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7A2BD" w14:textId="77777777" w:rsidR="00591D54" w:rsidRDefault="007D3B39" w:rsidP="00146D10">
      <w:pPr>
        <w:framePr w:h="2097" w:hSpace="10080" w:wrap="notBeside" w:vAnchor="text" w:hAnchor="margin" w:x="308" w:y="1"/>
        <w:ind w:left="720" w:hanging="720"/>
        <w:rPr>
          <w:rFonts w:cs="Times New Roman"/>
          <w:sz w:val="24"/>
          <w:szCs w:val="24"/>
        </w:rPr>
      </w:pPr>
      <w:r>
        <w:rPr>
          <w:rFonts w:cs="Times New Roman"/>
          <w:sz w:val="24"/>
          <w:szCs w:val="24"/>
        </w:rPr>
        <w:pict w14:anchorId="4F67BC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122.2pt">
            <v:imagedata r:id="rId7" o:title=""/>
          </v:shape>
        </w:pict>
      </w:r>
    </w:p>
    <w:p w14:paraId="4F67A2BE" w14:textId="77777777" w:rsidR="00591D54" w:rsidRDefault="00591D54">
      <w:pPr>
        <w:spacing w:line="1" w:lineRule="exact"/>
        <w:rPr>
          <w:rFonts w:cs="Times New Roman"/>
          <w:sz w:val="2"/>
          <w:szCs w:val="2"/>
        </w:rPr>
      </w:pPr>
    </w:p>
    <w:p w14:paraId="4F67A2BF" w14:textId="77777777" w:rsidR="00591D54" w:rsidRDefault="00591D54">
      <w:pPr>
        <w:framePr w:h="2097" w:hSpace="10080" w:wrap="notBeside" w:vAnchor="text" w:hAnchor="margin" w:x="308" w:y="1"/>
        <w:rPr>
          <w:rFonts w:cs="Times New Roman"/>
          <w:sz w:val="24"/>
          <w:szCs w:val="24"/>
        </w:rPr>
        <w:sectPr w:rsidR="00591D54">
          <w:footerReference w:type="default" r:id="rId8"/>
          <w:type w:val="continuous"/>
          <w:pgSz w:w="11909" w:h="16834"/>
          <w:pgMar w:top="761" w:right="1304" w:bottom="360" w:left="1231" w:header="720" w:footer="720" w:gutter="0"/>
          <w:cols w:space="720"/>
          <w:noEndnote/>
        </w:sectPr>
      </w:pPr>
    </w:p>
    <w:p w14:paraId="4F67A2C0" w14:textId="77777777" w:rsidR="00591D54" w:rsidRDefault="00591D54">
      <w:pPr>
        <w:shd w:val="clear" w:color="auto" w:fill="FFFFFF"/>
        <w:spacing w:before="274" w:after="581"/>
        <w:ind w:left="658"/>
      </w:pPr>
      <w:r>
        <w:rPr>
          <w:spacing w:val="-17"/>
          <w:w w:val="179"/>
          <w:sz w:val="38"/>
          <w:szCs w:val="38"/>
          <w:lang w:val="es-ES_tradnl"/>
        </w:rPr>
        <w:t>SEGUNDO SUPLEMENTO</w:t>
      </w:r>
    </w:p>
    <w:p w14:paraId="4F67A2C1" w14:textId="77777777" w:rsidR="00591D54" w:rsidRDefault="00591D54">
      <w:pPr>
        <w:shd w:val="clear" w:color="auto" w:fill="FFFFFF"/>
        <w:spacing w:before="274" w:after="581"/>
        <w:ind w:left="658"/>
        <w:sectPr w:rsidR="00591D54">
          <w:type w:val="continuous"/>
          <w:pgSz w:w="11909" w:h="16834"/>
          <w:pgMar w:top="761" w:right="1304" w:bottom="360" w:left="1231" w:header="720" w:footer="720" w:gutter="0"/>
          <w:cols w:space="60"/>
          <w:noEndnote/>
        </w:sectPr>
      </w:pPr>
    </w:p>
    <w:p w14:paraId="4F67A2C2" w14:textId="77777777" w:rsidR="00591D54" w:rsidRDefault="00591D54">
      <w:pPr>
        <w:spacing w:line="1" w:lineRule="exact"/>
        <w:rPr>
          <w:rFonts w:cs="Times New Roman"/>
          <w:sz w:val="2"/>
          <w:szCs w:val="2"/>
        </w:rPr>
      </w:pPr>
    </w:p>
    <w:p w14:paraId="4F67A2C3" w14:textId="77777777" w:rsidR="00591D54" w:rsidRDefault="007D3B39">
      <w:pPr>
        <w:shd w:val="clear" w:color="auto" w:fill="FFFFFF"/>
        <w:spacing w:before="250"/>
        <w:ind w:left="178"/>
      </w:pPr>
      <w:r>
        <w:rPr>
          <w:noProof/>
          <w:lang w:val="en-US" w:eastAsia="en-US"/>
        </w:rPr>
        <w:pict w14:anchorId="4F67BC97">
          <v:shape id="_x0000_s2050" type="#_x0000_t75" style="position:absolute;left:0;text-align:left;margin-left:-34.05pt;margin-top:118.6pt;width:187.5pt;height:324pt;z-index:-1;mso-wrap-distance-left:1.9pt;mso-wrap-distance-right:1.9pt;mso-position-horizontal-relative:margin" wrapcoords="-86 0 -86 21550 21600 21550 21600 0 -86 0" o:allowincell="f">
            <v:imagedata r:id="rId9" o:title=""/>
            <w10:wrap type="tight" anchorx="margin"/>
          </v:shape>
        </w:pict>
      </w:r>
      <w:r w:rsidR="00591D54">
        <w:rPr>
          <w:b/>
          <w:bCs/>
          <w:sz w:val="26"/>
          <w:szCs w:val="26"/>
          <w:lang w:val="es-ES_tradnl"/>
        </w:rPr>
        <w:t>A</w:t>
      </w:r>
      <w:r w:rsidR="00591D54">
        <w:rPr>
          <w:rFonts w:cs="Times New Roman"/>
          <w:b/>
          <w:bCs/>
          <w:sz w:val="26"/>
          <w:szCs w:val="26"/>
          <w:lang w:val="es-ES_tradnl"/>
        </w:rPr>
        <w:t>ñ</w:t>
      </w:r>
      <w:r w:rsidR="00591D54">
        <w:rPr>
          <w:b/>
          <w:bCs/>
          <w:sz w:val="26"/>
          <w:szCs w:val="26"/>
          <w:lang w:val="es-ES_tradnl"/>
        </w:rPr>
        <w:t xml:space="preserve">o </w:t>
      </w:r>
      <w:r w:rsidR="00591D54" w:rsidRPr="00146D10">
        <w:rPr>
          <w:b/>
          <w:bCs/>
          <w:sz w:val="26"/>
          <w:szCs w:val="26"/>
        </w:rPr>
        <w:t xml:space="preserve">III </w:t>
      </w:r>
      <w:r w:rsidR="00591D54">
        <w:rPr>
          <w:b/>
          <w:bCs/>
          <w:sz w:val="26"/>
          <w:szCs w:val="26"/>
          <w:lang w:val="es-ES_tradnl"/>
        </w:rPr>
        <w:t>- N</w:t>
      </w:r>
      <w:r w:rsidR="00591D54">
        <w:rPr>
          <w:rFonts w:cs="Times New Roman"/>
          <w:b/>
          <w:bCs/>
          <w:sz w:val="26"/>
          <w:szCs w:val="26"/>
          <w:lang w:val="es-ES_tradnl"/>
        </w:rPr>
        <w:t>º</w:t>
      </w:r>
      <w:r w:rsidR="00591D54">
        <w:rPr>
          <w:b/>
          <w:bCs/>
          <w:sz w:val="26"/>
          <w:szCs w:val="26"/>
          <w:lang w:val="es-ES_tradnl"/>
        </w:rPr>
        <w:t xml:space="preserve"> 607</w:t>
      </w:r>
    </w:p>
    <w:p w14:paraId="4F67A2C4" w14:textId="77777777" w:rsidR="00591D54" w:rsidRDefault="00591D54">
      <w:pPr>
        <w:shd w:val="clear" w:color="auto" w:fill="FFFFFF"/>
        <w:spacing w:before="149" w:line="288" w:lineRule="exact"/>
        <w:ind w:left="341" w:hanging="341"/>
      </w:pPr>
      <w:r>
        <w:rPr>
          <w:b/>
          <w:bCs/>
          <w:sz w:val="22"/>
          <w:szCs w:val="22"/>
          <w:lang w:val="es-ES_tradnl"/>
        </w:rPr>
        <w:t>Quito, mi</w:t>
      </w:r>
      <w:r>
        <w:rPr>
          <w:rFonts w:cs="Times New Roman"/>
          <w:b/>
          <w:bCs/>
          <w:sz w:val="22"/>
          <w:szCs w:val="22"/>
          <w:lang w:val="es-ES_tradnl"/>
        </w:rPr>
        <w:t>é</w:t>
      </w:r>
      <w:r>
        <w:rPr>
          <w:b/>
          <w:bCs/>
          <w:sz w:val="22"/>
          <w:szCs w:val="22"/>
          <w:lang w:val="es-ES_tradnl"/>
        </w:rPr>
        <w:t>rcoles 14 de octubre de 2015</w:t>
      </w:r>
    </w:p>
    <w:p w14:paraId="4F67A2C5" w14:textId="77777777" w:rsidR="00591D54" w:rsidRDefault="00591D54">
      <w:pPr>
        <w:shd w:val="clear" w:color="auto" w:fill="FFFFFF"/>
        <w:jc w:val="center"/>
      </w:pPr>
      <w:r>
        <w:br w:type="column"/>
      </w:r>
      <w:r>
        <w:rPr>
          <w:b/>
          <w:bCs/>
          <w:sz w:val="32"/>
          <w:szCs w:val="32"/>
          <w:lang w:val="es-ES_tradnl"/>
        </w:rPr>
        <w:t>SUMARIO:</w:t>
      </w:r>
    </w:p>
    <w:p w14:paraId="4F67A2C6" w14:textId="77777777" w:rsidR="00591D54" w:rsidRDefault="00591D54" w:rsidP="00251195">
      <w:pPr>
        <w:shd w:val="clear" w:color="auto" w:fill="FFFFFF"/>
        <w:jc w:val="right"/>
      </w:pPr>
      <w:r>
        <w:rPr>
          <w:b/>
          <w:bCs/>
          <w:spacing w:val="-16"/>
          <w:sz w:val="18"/>
          <w:szCs w:val="18"/>
          <w:lang w:val="es-ES_tradnl"/>
        </w:rPr>
        <w:t>P</w:t>
      </w:r>
      <w:r>
        <w:rPr>
          <w:rFonts w:cs="Times New Roman"/>
          <w:b/>
          <w:bCs/>
          <w:spacing w:val="-16"/>
          <w:sz w:val="18"/>
          <w:szCs w:val="18"/>
          <w:lang w:val="es-ES_tradnl"/>
        </w:rPr>
        <w:t>á</w:t>
      </w:r>
      <w:r>
        <w:rPr>
          <w:b/>
          <w:bCs/>
          <w:spacing w:val="-16"/>
          <w:sz w:val="18"/>
          <w:szCs w:val="18"/>
          <w:lang w:val="es-ES_tradnl"/>
        </w:rPr>
        <w:t>gs.</w:t>
      </w:r>
    </w:p>
    <w:p w14:paraId="4F67A2C7" w14:textId="77777777" w:rsidR="00591D54" w:rsidRDefault="00591D54" w:rsidP="00251195">
      <w:pPr>
        <w:shd w:val="clear" w:color="auto" w:fill="FFFFFF"/>
        <w:ind w:left="638"/>
      </w:pPr>
      <w:r>
        <w:rPr>
          <w:b/>
          <w:bCs/>
          <w:sz w:val="18"/>
          <w:szCs w:val="18"/>
          <w:lang w:val="es-ES_tradnl"/>
        </w:rPr>
        <w:t>CORTE CONSTITUCIONAL DEL ECUADOR</w:t>
      </w:r>
    </w:p>
    <w:p w14:paraId="4F67A2C8" w14:textId="77777777" w:rsidR="00591D54" w:rsidRDefault="00591D54" w:rsidP="00251195">
      <w:pPr>
        <w:shd w:val="clear" w:color="auto" w:fill="FFFFFF"/>
        <w:ind w:right="5"/>
        <w:jc w:val="center"/>
      </w:pPr>
      <w:r>
        <w:rPr>
          <w:b/>
          <w:bCs/>
          <w:sz w:val="18"/>
          <w:szCs w:val="18"/>
          <w:lang w:val="es-ES_tradnl"/>
        </w:rPr>
        <w:t>DICTAMEN:</w:t>
      </w:r>
    </w:p>
    <w:p w14:paraId="4F67A2C9" w14:textId="77777777" w:rsidR="00591D54" w:rsidRPr="00251195" w:rsidRDefault="00591D54" w:rsidP="00251195">
      <w:pPr>
        <w:shd w:val="clear" w:color="auto" w:fill="FFFFFF"/>
        <w:ind w:left="680" w:right="323" w:hanging="680"/>
        <w:jc w:val="both"/>
        <w:rPr>
          <w:b/>
          <w:bCs/>
          <w:spacing w:val="-6"/>
          <w:sz w:val="18"/>
          <w:szCs w:val="18"/>
          <w:lang w:val="es-ES_tradnl"/>
        </w:rPr>
      </w:pPr>
      <w:r w:rsidRPr="00251195">
        <w:rPr>
          <w:b/>
          <w:bCs/>
          <w:spacing w:val="-6"/>
          <w:sz w:val="18"/>
          <w:szCs w:val="18"/>
          <w:lang w:val="es-ES_tradnl"/>
        </w:rPr>
        <w:t>004-15-DTI-CC Declárese que el “Convenio de Servicios</w:t>
      </w:r>
      <w:r>
        <w:rPr>
          <w:b/>
          <w:bCs/>
          <w:spacing w:val="-6"/>
          <w:sz w:val="18"/>
          <w:szCs w:val="18"/>
          <w:lang w:val="es-ES_tradnl"/>
        </w:rPr>
        <w:t xml:space="preserve"> </w:t>
      </w:r>
      <w:r w:rsidRPr="00251195">
        <w:rPr>
          <w:b/>
          <w:bCs/>
          <w:spacing w:val="-6"/>
          <w:sz w:val="18"/>
          <w:szCs w:val="18"/>
          <w:lang w:val="es-ES_tradnl"/>
        </w:rPr>
        <w:t>Aéreos entre el Gobierno de la República del</w:t>
      </w:r>
      <w:r>
        <w:rPr>
          <w:b/>
          <w:bCs/>
          <w:spacing w:val="-6"/>
          <w:sz w:val="18"/>
          <w:szCs w:val="18"/>
          <w:lang w:val="es-ES_tradnl"/>
        </w:rPr>
        <w:t xml:space="preserve"> </w:t>
      </w:r>
      <w:r w:rsidRPr="00251195">
        <w:rPr>
          <w:b/>
          <w:bCs/>
          <w:spacing w:val="-6"/>
          <w:sz w:val="18"/>
          <w:szCs w:val="18"/>
          <w:lang w:val="es-ES_tradnl"/>
        </w:rPr>
        <w:t>Ecuador y el Gobierno de la República Popular de</w:t>
      </w:r>
      <w:r>
        <w:rPr>
          <w:b/>
          <w:bCs/>
          <w:spacing w:val="-6"/>
          <w:sz w:val="18"/>
          <w:szCs w:val="18"/>
          <w:lang w:val="es-ES_tradnl"/>
        </w:rPr>
        <w:t xml:space="preserve"> </w:t>
      </w:r>
      <w:r w:rsidRPr="00251195">
        <w:rPr>
          <w:b/>
          <w:bCs/>
          <w:spacing w:val="-6"/>
          <w:sz w:val="18"/>
          <w:szCs w:val="18"/>
          <w:lang w:val="es-ES_tradnl"/>
        </w:rPr>
        <w:t>China”, requiere aprobación previa por parte de la Asamblea Nacional ………………….</w:t>
      </w:r>
      <w:r w:rsidRPr="00251195">
        <w:rPr>
          <w:b/>
          <w:bCs/>
          <w:spacing w:val="-6"/>
          <w:sz w:val="18"/>
          <w:szCs w:val="18"/>
          <w:lang w:val="es-ES_tradnl"/>
        </w:rPr>
        <w:tab/>
        <w:t xml:space="preserve">     3</w:t>
      </w:r>
    </w:p>
    <w:p w14:paraId="4F67A2CA" w14:textId="77777777" w:rsidR="00591D54" w:rsidRDefault="00591D54" w:rsidP="00251195">
      <w:pPr>
        <w:shd w:val="clear" w:color="auto" w:fill="FFFFFF"/>
        <w:ind w:left="682"/>
        <w:jc w:val="both"/>
      </w:pPr>
    </w:p>
    <w:p w14:paraId="4F67A2CB" w14:textId="77777777" w:rsidR="00591D54" w:rsidRDefault="00591D54" w:rsidP="00251195">
      <w:pPr>
        <w:shd w:val="clear" w:color="auto" w:fill="FFFFFF"/>
        <w:ind w:right="5"/>
        <w:jc w:val="center"/>
        <w:rPr>
          <w:b/>
          <w:bCs/>
          <w:spacing w:val="-1"/>
          <w:sz w:val="18"/>
          <w:szCs w:val="18"/>
          <w:lang w:val="es-ES_tradnl"/>
        </w:rPr>
      </w:pPr>
      <w:r>
        <w:rPr>
          <w:b/>
          <w:bCs/>
          <w:spacing w:val="-1"/>
          <w:sz w:val="18"/>
          <w:szCs w:val="18"/>
          <w:lang w:val="es-ES_tradnl"/>
        </w:rPr>
        <w:t>SENTENCIAS:</w:t>
      </w:r>
    </w:p>
    <w:p w14:paraId="4F67A2CC" w14:textId="77777777" w:rsidR="00591D54" w:rsidRDefault="00591D54" w:rsidP="00251195">
      <w:pPr>
        <w:shd w:val="clear" w:color="auto" w:fill="FFFFFF"/>
        <w:ind w:right="5"/>
        <w:jc w:val="both"/>
      </w:pPr>
    </w:p>
    <w:p w14:paraId="4F67A2CD" w14:textId="77777777" w:rsidR="00591D54" w:rsidRPr="00251195" w:rsidRDefault="00591D54" w:rsidP="00251195">
      <w:pPr>
        <w:shd w:val="clear" w:color="auto" w:fill="FFFFFF"/>
        <w:ind w:left="680" w:right="323" w:hanging="680"/>
        <w:jc w:val="both"/>
        <w:rPr>
          <w:b/>
          <w:bCs/>
          <w:spacing w:val="-6"/>
          <w:sz w:val="18"/>
          <w:szCs w:val="18"/>
          <w:lang w:val="es-ES_tradnl"/>
        </w:rPr>
      </w:pPr>
      <w:r w:rsidRPr="00251195">
        <w:rPr>
          <w:b/>
          <w:bCs/>
          <w:spacing w:val="-6"/>
          <w:sz w:val="18"/>
          <w:szCs w:val="18"/>
          <w:lang w:val="es-ES_tradnl"/>
        </w:rPr>
        <w:t>009-15-SAN-CC Niéguese la acción por incumplimiento</w:t>
      </w:r>
      <w:r>
        <w:rPr>
          <w:b/>
          <w:bCs/>
          <w:spacing w:val="-6"/>
          <w:sz w:val="18"/>
          <w:szCs w:val="18"/>
          <w:lang w:val="es-ES_tradnl"/>
        </w:rPr>
        <w:t xml:space="preserve"> </w:t>
      </w:r>
      <w:r w:rsidRPr="00251195">
        <w:rPr>
          <w:b/>
          <w:bCs/>
          <w:spacing w:val="-6"/>
          <w:sz w:val="18"/>
          <w:szCs w:val="18"/>
          <w:lang w:val="es-ES_tradnl"/>
        </w:rPr>
        <w:t>planteada por la señorita Mireya Nataly Caiza</w:t>
      </w:r>
      <w:r>
        <w:rPr>
          <w:b/>
          <w:bCs/>
          <w:spacing w:val="-6"/>
          <w:sz w:val="18"/>
          <w:szCs w:val="18"/>
          <w:lang w:val="es-ES_tradnl"/>
        </w:rPr>
        <w:t xml:space="preserve"> </w:t>
      </w:r>
      <w:r w:rsidRPr="00251195">
        <w:rPr>
          <w:b/>
          <w:bCs/>
          <w:spacing w:val="-6"/>
          <w:sz w:val="18"/>
          <w:szCs w:val="18"/>
          <w:lang w:val="es-ES_tradnl"/>
        </w:rPr>
        <w:t xml:space="preserve">Rivera </w:t>
      </w:r>
      <w:r w:rsidRPr="00251195">
        <w:rPr>
          <w:b/>
          <w:bCs/>
          <w:spacing w:val="-6"/>
          <w:sz w:val="18"/>
          <w:szCs w:val="18"/>
          <w:lang w:val="es-ES_tradnl"/>
        </w:rPr>
        <w:tab/>
        <w:t>15</w:t>
      </w:r>
    </w:p>
    <w:p w14:paraId="4F67A2CE" w14:textId="77777777" w:rsidR="00591D54" w:rsidRPr="00251195" w:rsidRDefault="00591D54" w:rsidP="00251195">
      <w:pPr>
        <w:shd w:val="clear" w:color="auto" w:fill="FFFFFF"/>
        <w:ind w:left="680" w:right="323" w:hanging="680"/>
        <w:jc w:val="both"/>
        <w:rPr>
          <w:b/>
          <w:bCs/>
          <w:spacing w:val="-6"/>
          <w:sz w:val="18"/>
          <w:szCs w:val="18"/>
          <w:lang w:val="es-ES_tradnl"/>
        </w:rPr>
      </w:pPr>
    </w:p>
    <w:p w14:paraId="4F67A2CF" w14:textId="77777777" w:rsidR="00591D54" w:rsidRPr="00251195" w:rsidRDefault="00591D54" w:rsidP="00251195">
      <w:pPr>
        <w:shd w:val="clear" w:color="auto" w:fill="FFFFFF"/>
        <w:ind w:left="680" w:right="323" w:hanging="680"/>
        <w:jc w:val="both"/>
        <w:rPr>
          <w:b/>
          <w:bCs/>
          <w:spacing w:val="-6"/>
          <w:sz w:val="18"/>
          <w:szCs w:val="18"/>
          <w:lang w:val="es-ES_tradnl"/>
        </w:rPr>
      </w:pPr>
      <w:r w:rsidRPr="00251195">
        <w:rPr>
          <w:b/>
          <w:bCs/>
          <w:spacing w:val="-6"/>
          <w:sz w:val="18"/>
          <w:szCs w:val="18"/>
          <w:lang w:val="es-ES_tradnl"/>
        </w:rPr>
        <w:t>009-15-SCN-CC   Niéguense   las   consultas   de   constitu-cionalidad planteadas por el doctor Carlos Marino</w:t>
      </w:r>
      <w:r>
        <w:rPr>
          <w:b/>
          <w:bCs/>
          <w:spacing w:val="-6"/>
          <w:sz w:val="18"/>
          <w:szCs w:val="18"/>
          <w:lang w:val="es-ES_tradnl"/>
        </w:rPr>
        <w:t xml:space="preserve"> </w:t>
      </w:r>
      <w:r w:rsidRPr="00251195">
        <w:rPr>
          <w:b/>
          <w:bCs/>
          <w:spacing w:val="-6"/>
          <w:sz w:val="18"/>
          <w:szCs w:val="18"/>
          <w:lang w:val="es-ES_tradnl"/>
        </w:rPr>
        <w:t>Burneo Escudero, Juez Primero de Tránsito de</w:t>
      </w:r>
      <w:r>
        <w:rPr>
          <w:b/>
          <w:bCs/>
          <w:spacing w:val="-6"/>
          <w:sz w:val="18"/>
          <w:szCs w:val="18"/>
          <w:lang w:val="es-ES_tradnl"/>
        </w:rPr>
        <w:t xml:space="preserve"> </w:t>
      </w:r>
      <w:r w:rsidRPr="00251195">
        <w:rPr>
          <w:b/>
          <w:bCs/>
          <w:spacing w:val="-6"/>
          <w:sz w:val="18"/>
          <w:szCs w:val="18"/>
          <w:lang w:val="es-ES_tradnl"/>
        </w:rPr>
        <w:t xml:space="preserve">Imbabura </w:t>
      </w:r>
      <w:r w:rsidRPr="00251195">
        <w:rPr>
          <w:b/>
          <w:bCs/>
          <w:spacing w:val="-6"/>
          <w:sz w:val="18"/>
          <w:szCs w:val="18"/>
          <w:lang w:val="es-ES_tradnl"/>
        </w:rPr>
        <w:tab/>
        <w:t>20</w:t>
      </w:r>
    </w:p>
    <w:p w14:paraId="4F67A2D0" w14:textId="77777777" w:rsidR="00591D54" w:rsidRPr="00251195" w:rsidRDefault="00591D54" w:rsidP="00251195">
      <w:pPr>
        <w:shd w:val="clear" w:color="auto" w:fill="FFFFFF"/>
        <w:ind w:left="680" w:right="323" w:hanging="680"/>
        <w:jc w:val="both"/>
        <w:rPr>
          <w:b/>
          <w:bCs/>
          <w:spacing w:val="-6"/>
          <w:sz w:val="18"/>
          <w:szCs w:val="18"/>
          <w:lang w:val="es-ES_tradnl"/>
        </w:rPr>
      </w:pPr>
    </w:p>
    <w:p w14:paraId="4F67A2D1" w14:textId="77777777" w:rsidR="00591D54" w:rsidRPr="00251195" w:rsidRDefault="00591D54" w:rsidP="00251195">
      <w:pPr>
        <w:shd w:val="clear" w:color="auto" w:fill="FFFFFF"/>
        <w:ind w:left="680" w:right="323" w:hanging="680"/>
        <w:jc w:val="both"/>
        <w:rPr>
          <w:b/>
          <w:bCs/>
          <w:spacing w:val="-6"/>
          <w:sz w:val="18"/>
          <w:szCs w:val="18"/>
          <w:lang w:val="es-ES_tradnl"/>
        </w:rPr>
      </w:pPr>
      <w:r>
        <w:rPr>
          <w:b/>
          <w:bCs/>
          <w:spacing w:val="-6"/>
          <w:sz w:val="18"/>
          <w:szCs w:val="18"/>
          <w:lang w:val="es-ES_tradnl"/>
        </w:rPr>
        <w:t>032-15-SIN-CC Ac</w:t>
      </w:r>
      <w:r w:rsidRPr="00251195">
        <w:rPr>
          <w:b/>
          <w:bCs/>
          <w:spacing w:val="-6"/>
          <w:sz w:val="18"/>
          <w:szCs w:val="18"/>
          <w:lang w:val="es-ES_tradnl"/>
        </w:rPr>
        <w:t>é</w:t>
      </w:r>
      <w:r>
        <w:rPr>
          <w:b/>
          <w:bCs/>
          <w:spacing w:val="-6"/>
          <w:sz w:val="18"/>
          <w:szCs w:val="18"/>
          <w:lang w:val="es-ES_tradnl"/>
        </w:rPr>
        <w:t>ptese  la  acci</w:t>
      </w:r>
      <w:r w:rsidRPr="00251195">
        <w:rPr>
          <w:b/>
          <w:bCs/>
          <w:spacing w:val="-6"/>
          <w:sz w:val="18"/>
          <w:szCs w:val="18"/>
          <w:lang w:val="es-ES_tradnl"/>
        </w:rPr>
        <w:t>ó</w:t>
      </w:r>
      <w:r>
        <w:rPr>
          <w:b/>
          <w:bCs/>
          <w:spacing w:val="-6"/>
          <w:sz w:val="18"/>
          <w:szCs w:val="18"/>
          <w:lang w:val="es-ES_tradnl"/>
        </w:rPr>
        <w:t>n  p</w:t>
      </w:r>
      <w:r w:rsidRPr="00251195">
        <w:rPr>
          <w:b/>
          <w:bCs/>
          <w:spacing w:val="-6"/>
          <w:sz w:val="18"/>
          <w:szCs w:val="18"/>
          <w:lang w:val="es-ES_tradnl"/>
        </w:rPr>
        <w:t>ú</w:t>
      </w:r>
      <w:r>
        <w:rPr>
          <w:b/>
          <w:bCs/>
          <w:spacing w:val="-6"/>
          <w:sz w:val="18"/>
          <w:szCs w:val="18"/>
          <w:lang w:val="es-ES_tradnl"/>
        </w:rPr>
        <w:t>blica  de  incons-</w:t>
      </w:r>
      <w:r w:rsidRPr="00251195">
        <w:rPr>
          <w:b/>
          <w:bCs/>
          <w:spacing w:val="-6"/>
          <w:sz w:val="18"/>
          <w:szCs w:val="18"/>
          <w:lang w:val="es-ES_tradnl"/>
        </w:rPr>
        <w:t>titucionalidad planteada por la abogada María</w:t>
      </w:r>
      <w:r>
        <w:rPr>
          <w:b/>
          <w:bCs/>
          <w:spacing w:val="-6"/>
          <w:sz w:val="18"/>
          <w:szCs w:val="18"/>
          <w:lang w:val="es-ES_tradnl"/>
        </w:rPr>
        <w:t xml:space="preserve"> </w:t>
      </w:r>
      <w:r w:rsidRPr="00251195">
        <w:rPr>
          <w:b/>
          <w:bCs/>
          <w:spacing w:val="-6"/>
          <w:sz w:val="18"/>
          <w:szCs w:val="18"/>
          <w:lang w:val="es-ES_tradnl"/>
        </w:rPr>
        <w:t xml:space="preserve"> del Carmen Burgos Macías </w:t>
      </w:r>
      <w:r w:rsidRPr="00251195">
        <w:rPr>
          <w:b/>
          <w:bCs/>
          <w:spacing w:val="-6"/>
          <w:sz w:val="18"/>
          <w:szCs w:val="18"/>
          <w:lang w:val="es-ES_tradnl"/>
        </w:rPr>
        <w:tab/>
        <w:t>27</w:t>
      </w:r>
    </w:p>
    <w:p w14:paraId="4F67A2D2" w14:textId="77777777" w:rsidR="00591D54" w:rsidRPr="00251195" w:rsidRDefault="00591D54" w:rsidP="00251195">
      <w:pPr>
        <w:shd w:val="clear" w:color="auto" w:fill="FFFFFF"/>
        <w:ind w:left="680" w:right="323" w:hanging="680"/>
        <w:jc w:val="both"/>
        <w:rPr>
          <w:b/>
          <w:bCs/>
          <w:spacing w:val="-6"/>
          <w:sz w:val="18"/>
          <w:szCs w:val="18"/>
          <w:lang w:val="es-ES_tradnl"/>
        </w:rPr>
      </w:pPr>
    </w:p>
    <w:p w14:paraId="4F67A2D3" w14:textId="77777777" w:rsidR="00591D54" w:rsidRPr="00251195" w:rsidRDefault="00591D54" w:rsidP="00251195">
      <w:pPr>
        <w:shd w:val="clear" w:color="auto" w:fill="FFFFFF"/>
        <w:ind w:left="680" w:right="323" w:hanging="680"/>
        <w:jc w:val="both"/>
        <w:rPr>
          <w:b/>
          <w:bCs/>
          <w:spacing w:val="-6"/>
          <w:sz w:val="18"/>
          <w:szCs w:val="18"/>
          <w:lang w:val="es-ES_tradnl"/>
        </w:rPr>
      </w:pPr>
      <w:r w:rsidRPr="00251195">
        <w:rPr>
          <w:b/>
          <w:bCs/>
          <w:spacing w:val="-6"/>
          <w:sz w:val="18"/>
          <w:szCs w:val="18"/>
          <w:lang w:val="es-ES_tradnl"/>
        </w:rPr>
        <w:t>034-15-SIN-CC    Niéguese    la    demanda    de    inconsti-tucionalidad propuesta por el ciudadano Oscar</w:t>
      </w:r>
      <w:r>
        <w:rPr>
          <w:b/>
          <w:bCs/>
          <w:spacing w:val="-6"/>
          <w:sz w:val="18"/>
          <w:szCs w:val="18"/>
          <w:lang w:val="es-ES_tradnl"/>
        </w:rPr>
        <w:t xml:space="preserve"> </w:t>
      </w:r>
      <w:r w:rsidRPr="00251195">
        <w:rPr>
          <w:b/>
          <w:bCs/>
          <w:spacing w:val="-6"/>
          <w:sz w:val="18"/>
          <w:szCs w:val="18"/>
          <w:lang w:val="es-ES_tradnl"/>
        </w:rPr>
        <w:t xml:space="preserve"> Raúl del Monserrat D`Ortignacq Salazar </w:t>
      </w:r>
      <w:r w:rsidRPr="00251195">
        <w:rPr>
          <w:b/>
          <w:bCs/>
          <w:spacing w:val="-6"/>
          <w:sz w:val="18"/>
          <w:szCs w:val="18"/>
          <w:lang w:val="es-ES_tradnl"/>
        </w:rPr>
        <w:tab/>
        <w:t xml:space="preserve"> 41</w:t>
      </w:r>
    </w:p>
    <w:p w14:paraId="4F67A2D4" w14:textId="77777777" w:rsidR="00591D54" w:rsidRPr="00251195" w:rsidRDefault="00591D54" w:rsidP="00251195">
      <w:pPr>
        <w:shd w:val="clear" w:color="auto" w:fill="FFFFFF"/>
        <w:ind w:left="680" w:right="323" w:hanging="680"/>
        <w:jc w:val="both"/>
        <w:rPr>
          <w:b/>
          <w:bCs/>
          <w:spacing w:val="-6"/>
          <w:sz w:val="18"/>
          <w:szCs w:val="18"/>
          <w:lang w:val="es-ES_tradnl"/>
        </w:rPr>
      </w:pPr>
    </w:p>
    <w:p w14:paraId="4F67A2D5" w14:textId="77777777" w:rsidR="00591D54" w:rsidRPr="00251195" w:rsidRDefault="00591D54" w:rsidP="00251195">
      <w:pPr>
        <w:shd w:val="clear" w:color="auto" w:fill="FFFFFF"/>
        <w:ind w:left="680" w:right="323" w:hanging="680"/>
        <w:jc w:val="both"/>
        <w:rPr>
          <w:b/>
          <w:bCs/>
          <w:spacing w:val="-6"/>
          <w:sz w:val="18"/>
          <w:szCs w:val="18"/>
          <w:lang w:val="es-ES_tradnl"/>
        </w:rPr>
      </w:pPr>
      <w:r>
        <w:rPr>
          <w:b/>
          <w:bCs/>
          <w:spacing w:val="-6"/>
          <w:sz w:val="18"/>
          <w:szCs w:val="18"/>
          <w:lang w:val="es-ES_tradnl"/>
        </w:rPr>
        <w:t>035-15-SIN-CC Ac</w:t>
      </w:r>
      <w:r w:rsidRPr="00251195">
        <w:rPr>
          <w:b/>
          <w:bCs/>
          <w:spacing w:val="-6"/>
          <w:sz w:val="18"/>
          <w:szCs w:val="18"/>
          <w:lang w:val="es-ES_tradnl"/>
        </w:rPr>
        <w:t>é</w:t>
      </w:r>
      <w:r>
        <w:rPr>
          <w:b/>
          <w:bCs/>
          <w:spacing w:val="-6"/>
          <w:sz w:val="18"/>
          <w:szCs w:val="18"/>
          <w:lang w:val="es-ES_tradnl"/>
        </w:rPr>
        <w:t>ptese la acci</w:t>
      </w:r>
      <w:r w:rsidRPr="00251195">
        <w:rPr>
          <w:b/>
          <w:bCs/>
          <w:spacing w:val="-6"/>
          <w:sz w:val="18"/>
          <w:szCs w:val="18"/>
          <w:lang w:val="es-ES_tradnl"/>
        </w:rPr>
        <w:t>ó</w:t>
      </w:r>
      <w:r>
        <w:rPr>
          <w:b/>
          <w:bCs/>
          <w:spacing w:val="-6"/>
          <w:sz w:val="18"/>
          <w:szCs w:val="18"/>
          <w:lang w:val="es-ES_tradnl"/>
        </w:rPr>
        <w:t>n p</w:t>
      </w:r>
      <w:r w:rsidRPr="00251195">
        <w:rPr>
          <w:b/>
          <w:bCs/>
          <w:spacing w:val="-6"/>
          <w:sz w:val="18"/>
          <w:szCs w:val="18"/>
          <w:lang w:val="es-ES_tradnl"/>
        </w:rPr>
        <w:t>ú</w:t>
      </w:r>
      <w:r>
        <w:rPr>
          <w:b/>
          <w:bCs/>
          <w:spacing w:val="-6"/>
          <w:sz w:val="18"/>
          <w:szCs w:val="18"/>
          <w:lang w:val="es-ES_tradnl"/>
        </w:rPr>
        <w:t>blica de inconstitu-cionalidad presentada por la abogada Mar</w:t>
      </w:r>
      <w:r w:rsidRPr="00251195">
        <w:rPr>
          <w:b/>
          <w:bCs/>
          <w:spacing w:val="-6"/>
          <w:sz w:val="18"/>
          <w:szCs w:val="18"/>
          <w:lang w:val="es-ES_tradnl"/>
        </w:rPr>
        <w:t>í</w:t>
      </w:r>
      <w:r>
        <w:rPr>
          <w:b/>
          <w:bCs/>
          <w:spacing w:val="-6"/>
          <w:sz w:val="18"/>
          <w:szCs w:val="18"/>
          <w:lang w:val="es-ES_tradnl"/>
        </w:rPr>
        <w:t xml:space="preserve">a del </w:t>
      </w:r>
      <w:r w:rsidRPr="00251195">
        <w:rPr>
          <w:b/>
          <w:bCs/>
          <w:spacing w:val="-6"/>
          <w:sz w:val="18"/>
          <w:szCs w:val="18"/>
          <w:lang w:val="es-ES_tradnl"/>
        </w:rPr>
        <w:t xml:space="preserve"> Carmen Burgos Macías </w:t>
      </w:r>
      <w:r w:rsidRPr="00251195">
        <w:rPr>
          <w:b/>
          <w:bCs/>
          <w:spacing w:val="-6"/>
          <w:sz w:val="18"/>
          <w:szCs w:val="18"/>
          <w:lang w:val="es-ES_tradnl"/>
        </w:rPr>
        <w:tab/>
        <w:t xml:space="preserve"> 49</w:t>
      </w:r>
    </w:p>
    <w:p w14:paraId="4F67A2D6" w14:textId="77777777" w:rsidR="00591D54" w:rsidRPr="00251195" w:rsidRDefault="00591D54" w:rsidP="00251195">
      <w:pPr>
        <w:shd w:val="clear" w:color="auto" w:fill="FFFFFF"/>
        <w:ind w:left="680" w:right="323" w:hanging="680"/>
        <w:jc w:val="both"/>
        <w:rPr>
          <w:b/>
          <w:bCs/>
          <w:spacing w:val="-6"/>
          <w:sz w:val="18"/>
          <w:szCs w:val="18"/>
          <w:lang w:val="es-ES_tradnl"/>
        </w:rPr>
      </w:pPr>
    </w:p>
    <w:p w14:paraId="4F67A2D7" w14:textId="77777777" w:rsidR="00591D54" w:rsidRPr="00251195" w:rsidRDefault="00591D54" w:rsidP="00251195">
      <w:pPr>
        <w:shd w:val="clear" w:color="auto" w:fill="FFFFFF"/>
        <w:ind w:left="680" w:right="323" w:hanging="680"/>
        <w:jc w:val="both"/>
        <w:rPr>
          <w:b/>
          <w:bCs/>
          <w:spacing w:val="-6"/>
          <w:sz w:val="18"/>
          <w:szCs w:val="18"/>
          <w:lang w:val="es-ES_tradnl"/>
        </w:rPr>
      </w:pPr>
      <w:r w:rsidRPr="00251195">
        <w:rPr>
          <w:b/>
          <w:bCs/>
          <w:spacing w:val="-6"/>
          <w:sz w:val="18"/>
          <w:szCs w:val="18"/>
          <w:lang w:val="es-ES_tradnl"/>
        </w:rPr>
        <w:t>036-15-SIN-CC Acéptese  parcialmente  la  demanda  de</w:t>
      </w:r>
      <w:r>
        <w:rPr>
          <w:b/>
          <w:bCs/>
          <w:spacing w:val="-6"/>
          <w:sz w:val="18"/>
          <w:szCs w:val="18"/>
          <w:lang w:val="es-ES_tradnl"/>
        </w:rPr>
        <w:t xml:space="preserve"> </w:t>
      </w:r>
      <w:r w:rsidRPr="00251195">
        <w:rPr>
          <w:b/>
          <w:bCs/>
          <w:spacing w:val="-6"/>
          <w:sz w:val="18"/>
          <w:szCs w:val="18"/>
          <w:lang w:val="es-ES_tradnl"/>
        </w:rPr>
        <w:t>inconstitucionalidad   planteada   por   la   doctora</w:t>
      </w:r>
      <w:r>
        <w:rPr>
          <w:b/>
          <w:bCs/>
          <w:spacing w:val="-6"/>
          <w:sz w:val="18"/>
          <w:szCs w:val="18"/>
          <w:lang w:val="es-ES_tradnl"/>
        </w:rPr>
        <w:t xml:space="preserve"> </w:t>
      </w:r>
      <w:r w:rsidRPr="00251195">
        <w:rPr>
          <w:b/>
          <w:bCs/>
          <w:spacing w:val="-6"/>
          <w:sz w:val="18"/>
          <w:szCs w:val="18"/>
          <w:lang w:val="es-ES_tradnl"/>
        </w:rPr>
        <w:t xml:space="preserve"> Andrea Vanesa Izquierdo Duncan </w:t>
      </w:r>
      <w:r w:rsidRPr="00251195">
        <w:rPr>
          <w:b/>
          <w:bCs/>
          <w:spacing w:val="-6"/>
          <w:sz w:val="18"/>
          <w:szCs w:val="18"/>
          <w:lang w:val="es-ES_tradnl"/>
        </w:rPr>
        <w:tab/>
        <w:t xml:space="preserve"> 58</w:t>
      </w:r>
    </w:p>
    <w:p w14:paraId="4F67A2D8" w14:textId="77777777" w:rsidR="00591D54" w:rsidRPr="00251195" w:rsidRDefault="00591D54" w:rsidP="00251195">
      <w:pPr>
        <w:shd w:val="clear" w:color="auto" w:fill="FFFFFF"/>
        <w:ind w:left="680" w:right="323" w:hanging="680"/>
        <w:jc w:val="both"/>
        <w:rPr>
          <w:b/>
          <w:bCs/>
          <w:spacing w:val="-6"/>
          <w:sz w:val="18"/>
          <w:szCs w:val="18"/>
          <w:lang w:val="es-ES_tradnl"/>
        </w:rPr>
      </w:pPr>
    </w:p>
    <w:p w14:paraId="4F67A2D9" w14:textId="77777777" w:rsidR="00591D54" w:rsidRPr="00251195" w:rsidRDefault="00591D54" w:rsidP="00251195">
      <w:pPr>
        <w:shd w:val="clear" w:color="auto" w:fill="FFFFFF"/>
        <w:ind w:left="680" w:right="323" w:hanging="680"/>
        <w:jc w:val="both"/>
        <w:rPr>
          <w:b/>
          <w:bCs/>
          <w:spacing w:val="-6"/>
          <w:sz w:val="18"/>
          <w:szCs w:val="18"/>
          <w:lang w:val="es-ES_tradnl"/>
        </w:rPr>
      </w:pPr>
      <w:r w:rsidRPr="00251195">
        <w:rPr>
          <w:b/>
          <w:bCs/>
          <w:spacing w:val="-6"/>
          <w:sz w:val="18"/>
          <w:szCs w:val="18"/>
          <w:lang w:val="es-ES_tradnl"/>
        </w:rPr>
        <w:t>048-15-SIS-CC  Acéptese   la   acción   de   incumplimiento</w:t>
      </w:r>
      <w:r>
        <w:rPr>
          <w:b/>
          <w:bCs/>
          <w:spacing w:val="-6"/>
          <w:sz w:val="18"/>
          <w:szCs w:val="18"/>
          <w:lang w:val="es-ES_tradnl"/>
        </w:rPr>
        <w:t xml:space="preserve"> </w:t>
      </w:r>
      <w:r w:rsidRPr="00251195">
        <w:rPr>
          <w:b/>
          <w:bCs/>
          <w:spacing w:val="-6"/>
          <w:sz w:val="18"/>
          <w:szCs w:val="18"/>
          <w:lang w:val="es-ES_tradnl"/>
        </w:rPr>
        <w:t>de sentencia presentada por la    doctora María</w:t>
      </w:r>
      <w:r>
        <w:rPr>
          <w:b/>
          <w:bCs/>
          <w:spacing w:val="-6"/>
          <w:sz w:val="18"/>
          <w:szCs w:val="18"/>
          <w:lang w:val="es-ES_tradnl"/>
        </w:rPr>
        <w:t xml:space="preserve"> Carmen Paca Ajitimbay </w:t>
      </w:r>
      <w:r w:rsidRPr="00251195">
        <w:rPr>
          <w:b/>
          <w:bCs/>
          <w:spacing w:val="-6"/>
          <w:sz w:val="18"/>
          <w:szCs w:val="18"/>
          <w:lang w:val="es-ES_tradnl"/>
        </w:rPr>
        <w:tab/>
        <w:t xml:space="preserve"> 69</w:t>
      </w:r>
    </w:p>
    <w:p w14:paraId="4F67A2DA" w14:textId="77777777" w:rsidR="00591D54" w:rsidRPr="00251195" w:rsidRDefault="00591D54" w:rsidP="00251195">
      <w:pPr>
        <w:shd w:val="clear" w:color="auto" w:fill="FFFFFF"/>
        <w:ind w:left="680" w:right="323" w:hanging="680"/>
        <w:jc w:val="both"/>
        <w:rPr>
          <w:b/>
          <w:bCs/>
          <w:spacing w:val="-6"/>
          <w:sz w:val="18"/>
          <w:szCs w:val="18"/>
          <w:lang w:val="es-ES_tradnl"/>
        </w:rPr>
      </w:pPr>
    </w:p>
    <w:p w14:paraId="4F67A2DB" w14:textId="77777777" w:rsidR="00591D54" w:rsidRPr="00251195" w:rsidRDefault="00591D54" w:rsidP="00251195">
      <w:pPr>
        <w:shd w:val="clear" w:color="auto" w:fill="FFFFFF"/>
        <w:ind w:left="680" w:right="323" w:hanging="680"/>
        <w:jc w:val="both"/>
        <w:rPr>
          <w:b/>
          <w:bCs/>
          <w:spacing w:val="-6"/>
          <w:sz w:val="18"/>
          <w:szCs w:val="18"/>
          <w:lang w:val="es-ES_tradnl"/>
        </w:rPr>
        <w:sectPr w:rsidR="00591D54" w:rsidRPr="00251195">
          <w:type w:val="continuous"/>
          <w:pgSz w:w="11909" w:h="16834"/>
          <w:pgMar w:top="761" w:right="1304" w:bottom="360" w:left="1912" w:header="720" w:footer="720" w:gutter="0"/>
          <w:cols w:num="2" w:space="720" w:equalWidth="0">
            <w:col w:w="2409" w:space="1291"/>
            <w:col w:w="4992"/>
          </w:cols>
          <w:noEndnote/>
        </w:sectPr>
      </w:pPr>
      <w:r w:rsidRPr="00251195">
        <w:rPr>
          <w:b/>
          <w:bCs/>
          <w:spacing w:val="-6"/>
          <w:sz w:val="18"/>
          <w:szCs w:val="18"/>
          <w:lang w:val="es-ES_tradnl"/>
        </w:rPr>
        <w:t>050-15-SIS-CC Acéptese la acción de incumplimiento de la</w:t>
      </w:r>
      <w:r>
        <w:rPr>
          <w:b/>
          <w:bCs/>
          <w:spacing w:val="-6"/>
          <w:sz w:val="18"/>
          <w:szCs w:val="18"/>
          <w:lang w:val="es-ES_tradnl"/>
        </w:rPr>
        <w:t xml:space="preserve"> </w:t>
      </w:r>
      <w:r w:rsidRPr="00251195">
        <w:rPr>
          <w:b/>
          <w:bCs/>
          <w:spacing w:val="-6"/>
          <w:sz w:val="18"/>
          <w:szCs w:val="18"/>
          <w:lang w:val="es-ES_tradnl"/>
        </w:rPr>
        <w:t>resolución constitucional propuesta por el doctor</w:t>
      </w:r>
      <w:r>
        <w:rPr>
          <w:b/>
          <w:bCs/>
          <w:spacing w:val="-6"/>
          <w:sz w:val="18"/>
          <w:szCs w:val="18"/>
          <w:lang w:val="es-ES_tradnl"/>
        </w:rPr>
        <w:t xml:space="preserve"> </w:t>
      </w:r>
      <w:r w:rsidRPr="00251195">
        <w:rPr>
          <w:b/>
          <w:bCs/>
          <w:spacing w:val="-6"/>
          <w:sz w:val="18"/>
          <w:szCs w:val="18"/>
          <w:lang w:val="es-ES_tradnl"/>
        </w:rPr>
        <w:t xml:space="preserve">Leonel Segundo Martínez Rosero </w:t>
      </w:r>
      <w:r w:rsidRPr="00251195">
        <w:rPr>
          <w:b/>
          <w:bCs/>
          <w:spacing w:val="-6"/>
          <w:sz w:val="18"/>
          <w:szCs w:val="18"/>
          <w:lang w:val="es-ES_tradnl"/>
        </w:rPr>
        <w:tab/>
        <w:t xml:space="preserve"> 74</w:t>
      </w:r>
    </w:p>
    <w:p w14:paraId="4F67A2DC" w14:textId="77777777" w:rsidR="00591D54" w:rsidRDefault="00591D54" w:rsidP="00251195">
      <w:pPr>
        <w:shd w:val="clear" w:color="auto" w:fill="FFFFFF"/>
        <w:tabs>
          <w:tab w:val="left" w:pos="4814"/>
        </w:tabs>
        <w:ind w:left="5"/>
        <w:jc w:val="center"/>
      </w:pPr>
      <w:r>
        <w:rPr>
          <w:b/>
          <w:bCs/>
          <w:sz w:val="18"/>
          <w:szCs w:val="18"/>
          <w:lang w:val="es-ES_tradnl"/>
        </w:rPr>
        <w:lastRenderedPageBreak/>
        <w:t xml:space="preserve">2 -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2DD" w14:textId="77777777" w:rsidR="00591D54" w:rsidRDefault="00591D54" w:rsidP="00251195">
      <w:pPr>
        <w:shd w:val="clear" w:color="auto" w:fill="FFFFFF"/>
        <w:tabs>
          <w:tab w:val="left" w:pos="4814"/>
        </w:tabs>
        <w:ind w:left="5"/>
        <w:sectPr w:rsidR="00591D54">
          <w:pgSz w:w="11909" w:h="16834"/>
          <w:pgMar w:top="1361" w:right="1309" w:bottom="360" w:left="1308" w:header="720" w:footer="720" w:gutter="0"/>
          <w:cols w:space="60"/>
          <w:noEndnote/>
        </w:sectPr>
      </w:pPr>
    </w:p>
    <w:p w14:paraId="4F67A2DE" w14:textId="77777777" w:rsidR="00591D54" w:rsidRDefault="00591D54" w:rsidP="00251195">
      <w:pPr>
        <w:shd w:val="clear" w:color="auto" w:fill="FFFFFF"/>
        <w:jc w:val="right"/>
      </w:pPr>
      <w:r>
        <w:rPr>
          <w:b/>
          <w:bCs/>
          <w:spacing w:val="-16"/>
          <w:sz w:val="18"/>
          <w:szCs w:val="18"/>
          <w:lang w:val="es-ES_tradnl"/>
        </w:rPr>
        <w:t>P</w:t>
      </w:r>
      <w:r>
        <w:rPr>
          <w:rFonts w:cs="Times New Roman"/>
          <w:b/>
          <w:bCs/>
          <w:spacing w:val="-16"/>
          <w:sz w:val="18"/>
          <w:szCs w:val="18"/>
          <w:lang w:val="es-ES_tradnl"/>
        </w:rPr>
        <w:t>á</w:t>
      </w:r>
      <w:r>
        <w:rPr>
          <w:b/>
          <w:bCs/>
          <w:spacing w:val="-16"/>
          <w:sz w:val="18"/>
          <w:szCs w:val="18"/>
          <w:lang w:val="es-ES_tradnl"/>
        </w:rPr>
        <w:t>gs.</w:t>
      </w:r>
    </w:p>
    <w:p w14:paraId="4F67A2DF" w14:textId="77777777" w:rsidR="00591D54" w:rsidRDefault="00591D54" w:rsidP="00251195">
      <w:pPr>
        <w:shd w:val="clear" w:color="auto" w:fill="FFFFFF"/>
        <w:tabs>
          <w:tab w:val="left" w:leader="dot" w:pos="3850"/>
        </w:tabs>
        <w:ind w:left="677" w:hanging="677"/>
        <w:jc w:val="both"/>
        <w:rPr>
          <w:b/>
          <w:bCs/>
          <w:spacing w:val="-11"/>
          <w:sz w:val="18"/>
          <w:szCs w:val="18"/>
          <w:lang w:val="es-ES_tradnl"/>
        </w:rPr>
      </w:pPr>
      <w:r>
        <w:rPr>
          <w:b/>
          <w:bCs/>
          <w:spacing w:val="-7"/>
          <w:sz w:val="18"/>
          <w:szCs w:val="18"/>
          <w:lang w:val="es-ES_tradnl"/>
        </w:rPr>
        <w:t>051-15-SIS-CC Ac</w:t>
      </w:r>
      <w:r>
        <w:rPr>
          <w:rFonts w:cs="Times New Roman"/>
          <w:b/>
          <w:bCs/>
          <w:spacing w:val="-7"/>
          <w:sz w:val="18"/>
          <w:szCs w:val="18"/>
          <w:lang w:val="es-ES_tradnl"/>
        </w:rPr>
        <w:t>é</w:t>
      </w:r>
      <w:r>
        <w:rPr>
          <w:b/>
          <w:bCs/>
          <w:spacing w:val="-7"/>
          <w:sz w:val="18"/>
          <w:szCs w:val="18"/>
          <w:lang w:val="es-ES_tradnl"/>
        </w:rPr>
        <w:t>ptese la acci</w:t>
      </w:r>
      <w:r>
        <w:rPr>
          <w:rFonts w:cs="Times New Roman"/>
          <w:b/>
          <w:bCs/>
          <w:spacing w:val="-7"/>
          <w:sz w:val="18"/>
          <w:szCs w:val="18"/>
          <w:lang w:val="es-ES_tradnl"/>
        </w:rPr>
        <w:t>ó</w:t>
      </w:r>
      <w:r>
        <w:rPr>
          <w:b/>
          <w:bCs/>
          <w:spacing w:val="-7"/>
          <w:sz w:val="18"/>
          <w:szCs w:val="18"/>
          <w:lang w:val="es-ES_tradnl"/>
        </w:rPr>
        <w:t>n de incum</w:t>
      </w:r>
      <w:r>
        <w:rPr>
          <w:b/>
          <w:bCs/>
          <w:spacing w:val="-7"/>
          <w:sz w:val="18"/>
          <w:szCs w:val="18"/>
          <w:lang w:val="es-ES_tradnl"/>
        </w:rPr>
        <w:softHyphen/>
        <w:t> </w:t>
      </w:r>
      <w:r>
        <w:rPr>
          <w:b/>
          <w:bCs/>
          <w:spacing w:val="-2"/>
          <w:sz w:val="18"/>
          <w:szCs w:val="18"/>
          <w:lang w:val="es-ES_tradnl"/>
        </w:rPr>
        <w:t>plimiento de sentencia planteada por </w:t>
      </w:r>
      <w:r>
        <w:rPr>
          <w:b/>
          <w:bCs/>
          <w:spacing w:val="-5"/>
          <w:sz w:val="18"/>
          <w:szCs w:val="18"/>
          <w:lang w:val="es-ES_tradnl"/>
        </w:rPr>
        <w:t>la se</w:t>
      </w:r>
      <w:r>
        <w:rPr>
          <w:rFonts w:cs="Times New Roman"/>
          <w:b/>
          <w:bCs/>
          <w:spacing w:val="-5"/>
          <w:sz w:val="18"/>
          <w:szCs w:val="18"/>
          <w:lang w:val="es-ES_tradnl"/>
        </w:rPr>
        <w:t>ñ</w:t>
      </w:r>
      <w:r>
        <w:rPr>
          <w:b/>
          <w:bCs/>
          <w:spacing w:val="-5"/>
          <w:sz w:val="18"/>
          <w:szCs w:val="18"/>
          <w:lang w:val="es-ES_tradnl"/>
        </w:rPr>
        <w:t>ora Herlinda Cris</w:t>
      </w:r>
      <w:r>
        <w:rPr>
          <w:rFonts w:cs="Times New Roman"/>
          <w:b/>
          <w:bCs/>
          <w:spacing w:val="-5"/>
          <w:sz w:val="18"/>
          <w:szCs w:val="18"/>
          <w:lang w:val="es-ES_tradnl"/>
        </w:rPr>
        <w:t>á</w:t>
      </w:r>
      <w:r>
        <w:rPr>
          <w:b/>
          <w:bCs/>
          <w:spacing w:val="-5"/>
          <w:sz w:val="18"/>
          <w:szCs w:val="18"/>
          <w:lang w:val="es-ES_tradnl"/>
        </w:rPr>
        <w:t>lida Armijos </w:t>
      </w:r>
      <w:r>
        <w:rPr>
          <w:b/>
          <w:bCs/>
          <w:spacing w:val="-10"/>
          <w:sz w:val="18"/>
          <w:szCs w:val="18"/>
          <w:lang w:val="es-ES_tradnl"/>
        </w:rPr>
        <w:t xml:space="preserve">Tinoco </w:t>
      </w:r>
      <w:r>
        <w:rPr>
          <w:b/>
          <w:bCs/>
          <w:sz w:val="18"/>
          <w:szCs w:val="18"/>
          <w:lang w:val="es-ES_tradnl"/>
        </w:rPr>
        <w:tab/>
        <w:t xml:space="preserve">     </w:t>
      </w:r>
      <w:r>
        <w:rPr>
          <w:b/>
          <w:bCs/>
          <w:spacing w:val="-11"/>
          <w:sz w:val="18"/>
          <w:szCs w:val="18"/>
          <w:lang w:val="es-ES_tradnl"/>
        </w:rPr>
        <w:t>80</w:t>
      </w:r>
    </w:p>
    <w:p w14:paraId="4F67A2E0" w14:textId="77777777" w:rsidR="00591D54" w:rsidRDefault="00591D54" w:rsidP="00251195">
      <w:pPr>
        <w:shd w:val="clear" w:color="auto" w:fill="FFFFFF"/>
        <w:tabs>
          <w:tab w:val="left" w:leader="dot" w:pos="3850"/>
        </w:tabs>
        <w:ind w:left="677" w:hanging="677"/>
        <w:jc w:val="both"/>
      </w:pPr>
    </w:p>
    <w:p w14:paraId="4F67A2E1" w14:textId="77777777" w:rsidR="00591D54" w:rsidRDefault="00591D54" w:rsidP="00251195">
      <w:pPr>
        <w:shd w:val="clear" w:color="auto" w:fill="FFFFFF"/>
        <w:tabs>
          <w:tab w:val="left" w:leader="dot" w:pos="3850"/>
        </w:tabs>
        <w:ind w:left="677" w:right="5" w:hanging="677"/>
        <w:jc w:val="both"/>
        <w:rPr>
          <w:b/>
          <w:bCs/>
          <w:spacing w:val="-14"/>
          <w:sz w:val="18"/>
          <w:szCs w:val="18"/>
          <w:lang w:val="es-ES_tradnl"/>
        </w:rPr>
      </w:pPr>
      <w:r>
        <w:rPr>
          <w:b/>
          <w:bCs/>
          <w:spacing w:val="-7"/>
          <w:sz w:val="18"/>
          <w:szCs w:val="18"/>
          <w:lang w:val="es-ES_tradnl"/>
        </w:rPr>
        <w:t>052-15-SIS-CC Ni</w:t>
      </w:r>
      <w:r>
        <w:rPr>
          <w:rFonts w:cs="Times New Roman"/>
          <w:b/>
          <w:bCs/>
          <w:spacing w:val="-7"/>
          <w:sz w:val="18"/>
          <w:szCs w:val="18"/>
          <w:lang w:val="es-ES_tradnl"/>
        </w:rPr>
        <w:t>é</w:t>
      </w:r>
      <w:r>
        <w:rPr>
          <w:b/>
          <w:bCs/>
          <w:spacing w:val="-7"/>
          <w:sz w:val="18"/>
          <w:szCs w:val="18"/>
          <w:lang w:val="es-ES_tradnl"/>
        </w:rPr>
        <w:t>guese la acci</w:t>
      </w:r>
      <w:r>
        <w:rPr>
          <w:rFonts w:cs="Times New Roman"/>
          <w:b/>
          <w:bCs/>
          <w:spacing w:val="-7"/>
          <w:sz w:val="18"/>
          <w:szCs w:val="18"/>
          <w:lang w:val="es-ES_tradnl"/>
        </w:rPr>
        <w:t>ó</w:t>
      </w:r>
      <w:r>
        <w:rPr>
          <w:b/>
          <w:bCs/>
          <w:spacing w:val="-7"/>
          <w:sz w:val="18"/>
          <w:szCs w:val="18"/>
          <w:lang w:val="es-ES_tradnl"/>
        </w:rPr>
        <w:t>n de incum</w:t>
      </w:r>
      <w:r>
        <w:rPr>
          <w:b/>
          <w:bCs/>
          <w:spacing w:val="-7"/>
          <w:sz w:val="18"/>
          <w:szCs w:val="18"/>
          <w:lang w:val="es-ES_tradnl"/>
        </w:rPr>
        <w:softHyphen/>
        <w:t> </w:t>
      </w:r>
      <w:r>
        <w:rPr>
          <w:b/>
          <w:bCs/>
          <w:sz w:val="18"/>
          <w:szCs w:val="18"/>
          <w:lang w:val="es-ES_tradnl"/>
        </w:rPr>
        <w:t>plimiento de la sentencia planteada </w:t>
      </w:r>
      <w:r>
        <w:rPr>
          <w:b/>
          <w:bCs/>
          <w:spacing w:val="-8"/>
          <w:sz w:val="18"/>
          <w:szCs w:val="18"/>
          <w:lang w:val="es-ES_tradnl"/>
        </w:rPr>
        <w:t>por el se</w:t>
      </w:r>
      <w:r>
        <w:rPr>
          <w:rFonts w:cs="Times New Roman"/>
          <w:b/>
          <w:bCs/>
          <w:spacing w:val="-8"/>
          <w:sz w:val="18"/>
          <w:szCs w:val="18"/>
          <w:lang w:val="es-ES_tradnl"/>
        </w:rPr>
        <w:t>ñ</w:t>
      </w:r>
      <w:r>
        <w:rPr>
          <w:b/>
          <w:bCs/>
          <w:spacing w:val="-8"/>
          <w:sz w:val="18"/>
          <w:szCs w:val="18"/>
          <w:lang w:val="es-ES_tradnl"/>
        </w:rPr>
        <w:t>or Edison Ernesto Piguave </w:t>
      </w:r>
      <w:r>
        <w:rPr>
          <w:b/>
          <w:bCs/>
          <w:spacing w:val="-11"/>
          <w:sz w:val="18"/>
          <w:szCs w:val="18"/>
          <w:lang w:val="es-ES_tradnl"/>
        </w:rPr>
        <w:t xml:space="preserve">Panchana </w:t>
      </w:r>
      <w:r>
        <w:rPr>
          <w:b/>
          <w:bCs/>
          <w:sz w:val="18"/>
          <w:szCs w:val="18"/>
          <w:lang w:val="es-ES_tradnl"/>
        </w:rPr>
        <w:tab/>
        <w:t xml:space="preserve">     </w:t>
      </w:r>
      <w:r>
        <w:rPr>
          <w:b/>
          <w:bCs/>
          <w:spacing w:val="-14"/>
          <w:sz w:val="18"/>
          <w:szCs w:val="18"/>
          <w:lang w:val="es-ES_tradnl"/>
        </w:rPr>
        <w:t>87</w:t>
      </w:r>
    </w:p>
    <w:p w14:paraId="4F67A2E2" w14:textId="77777777" w:rsidR="00591D54" w:rsidRDefault="00591D54" w:rsidP="00251195">
      <w:pPr>
        <w:shd w:val="clear" w:color="auto" w:fill="FFFFFF"/>
        <w:tabs>
          <w:tab w:val="left" w:leader="dot" w:pos="3850"/>
        </w:tabs>
        <w:ind w:left="677" w:right="5" w:hanging="677"/>
        <w:jc w:val="both"/>
      </w:pPr>
    </w:p>
    <w:p w14:paraId="4F67A2E3" w14:textId="77777777" w:rsidR="00591D54" w:rsidRDefault="00591D54" w:rsidP="00251195">
      <w:pPr>
        <w:shd w:val="clear" w:color="auto" w:fill="FFFFFF"/>
        <w:tabs>
          <w:tab w:val="left" w:leader="dot" w:pos="3850"/>
        </w:tabs>
        <w:ind w:left="677" w:right="5" w:hanging="677"/>
        <w:jc w:val="both"/>
        <w:rPr>
          <w:b/>
          <w:bCs/>
          <w:spacing w:val="-14"/>
          <w:sz w:val="18"/>
          <w:szCs w:val="18"/>
          <w:lang w:val="es-ES_tradnl"/>
        </w:rPr>
      </w:pPr>
      <w:r>
        <w:rPr>
          <w:b/>
          <w:bCs/>
          <w:spacing w:val="-8"/>
          <w:sz w:val="18"/>
          <w:szCs w:val="18"/>
          <w:lang w:val="es-ES_tradnl"/>
        </w:rPr>
        <w:t>078-15-SEP-CC Ac</w:t>
      </w:r>
      <w:r>
        <w:rPr>
          <w:rFonts w:cs="Times New Roman"/>
          <w:b/>
          <w:bCs/>
          <w:spacing w:val="-8"/>
          <w:sz w:val="18"/>
          <w:szCs w:val="18"/>
          <w:lang w:val="es-ES_tradnl"/>
        </w:rPr>
        <w:t>é</w:t>
      </w:r>
      <w:r>
        <w:rPr>
          <w:b/>
          <w:bCs/>
          <w:spacing w:val="-8"/>
          <w:sz w:val="18"/>
          <w:szCs w:val="18"/>
          <w:lang w:val="es-ES_tradnl"/>
        </w:rPr>
        <w:t>ptese la acci</w:t>
      </w:r>
      <w:r>
        <w:rPr>
          <w:rFonts w:cs="Times New Roman"/>
          <w:b/>
          <w:bCs/>
          <w:spacing w:val="-8"/>
          <w:sz w:val="18"/>
          <w:szCs w:val="18"/>
          <w:lang w:val="es-ES_tradnl"/>
        </w:rPr>
        <w:t>ó</w:t>
      </w:r>
      <w:r>
        <w:rPr>
          <w:b/>
          <w:bCs/>
          <w:spacing w:val="-8"/>
          <w:sz w:val="18"/>
          <w:szCs w:val="18"/>
          <w:lang w:val="es-ES_tradnl"/>
        </w:rPr>
        <w:t>n extraordinaria </w:t>
      </w:r>
      <w:r>
        <w:rPr>
          <w:b/>
          <w:bCs/>
          <w:spacing w:val="-9"/>
          <w:sz w:val="18"/>
          <w:szCs w:val="18"/>
          <w:lang w:val="es-ES_tradnl"/>
        </w:rPr>
        <w:t>de protecci</w:t>
      </w:r>
      <w:r>
        <w:rPr>
          <w:rFonts w:cs="Times New Roman"/>
          <w:b/>
          <w:bCs/>
          <w:spacing w:val="-9"/>
          <w:sz w:val="18"/>
          <w:szCs w:val="18"/>
          <w:lang w:val="es-ES_tradnl"/>
        </w:rPr>
        <w:t>ó</w:t>
      </w:r>
      <w:r>
        <w:rPr>
          <w:b/>
          <w:bCs/>
          <w:spacing w:val="-9"/>
          <w:sz w:val="18"/>
          <w:szCs w:val="18"/>
          <w:lang w:val="es-ES_tradnl"/>
        </w:rPr>
        <w:t>n presentada por el se</w:t>
      </w:r>
      <w:r>
        <w:rPr>
          <w:rFonts w:cs="Times New Roman"/>
          <w:b/>
          <w:bCs/>
          <w:spacing w:val="-9"/>
          <w:sz w:val="18"/>
          <w:szCs w:val="18"/>
          <w:lang w:val="es-ES_tradnl"/>
        </w:rPr>
        <w:t>ñ</w:t>
      </w:r>
      <w:r>
        <w:rPr>
          <w:b/>
          <w:bCs/>
          <w:spacing w:val="-9"/>
          <w:sz w:val="18"/>
          <w:szCs w:val="18"/>
          <w:lang w:val="es-ES_tradnl"/>
        </w:rPr>
        <w:t>or </w:t>
      </w:r>
      <w:r>
        <w:rPr>
          <w:b/>
          <w:bCs/>
          <w:spacing w:val="-7"/>
          <w:sz w:val="18"/>
          <w:szCs w:val="18"/>
          <w:lang w:val="es-ES_tradnl"/>
        </w:rPr>
        <w:t>Henry An</w:t>
      </w:r>
      <w:r>
        <w:rPr>
          <w:rFonts w:cs="Times New Roman"/>
          <w:b/>
          <w:bCs/>
          <w:spacing w:val="-7"/>
          <w:sz w:val="18"/>
          <w:szCs w:val="18"/>
          <w:lang w:val="es-ES_tradnl"/>
        </w:rPr>
        <w:t>í</w:t>
      </w:r>
      <w:r>
        <w:rPr>
          <w:b/>
          <w:bCs/>
          <w:spacing w:val="-7"/>
          <w:sz w:val="18"/>
          <w:szCs w:val="18"/>
          <w:lang w:val="es-ES_tradnl"/>
        </w:rPr>
        <w:t xml:space="preserve">bal Ayala Espinoza </w:t>
      </w:r>
      <w:r>
        <w:rPr>
          <w:b/>
          <w:bCs/>
          <w:sz w:val="18"/>
          <w:szCs w:val="18"/>
          <w:lang w:val="es-ES_tradnl"/>
        </w:rPr>
        <w:tab/>
        <w:t xml:space="preserve">     </w:t>
      </w:r>
      <w:r>
        <w:rPr>
          <w:b/>
          <w:bCs/>
          <w:spacing w:val="-14"/>
          <w:sz w:val="18"/>
          <w:szCs w:val="18"/>
          <w:lang w:val="es-ES_tradnl"/>
        </w:rPr>
        <w:t>91</w:t>
      </w:r>
    </w:p>
    <w:p w14:paraId="4F67A2E4" w14:textId="77777777" w:rsidR="00591D54" w:rsidRDefault="00591D54" w:rsidP="00251195">
      <w:pPr>
        <w:shd w:val="clear" w:color="auto" w:fill="FFFFFF"/>
        <w:tabs>
          <w:tab w:val="left" w:leader="dot" w:pos="3850"/>
        </w:tabs>
        <w:ind w:left="677" w:right="5" w:hanging="677"/>
        <w:jc w:val="both"/>
      </w:pPr>
    </w:p>
    <w:p w14:paraId="4F67A2E5" w14:textId="77777777" w:rsidR="00591D54" w:rsidRDefault="00591D54" w:rsidP="00251195">
      <w:pPr>
        <w:shd w:val="clear" w:color="auto" w:fill="FFFFFF"/>
        <w:ind w:left="677" w:hanging="677"/>
        <w:jc w:val="both"/>
        <w:rPr>
          <w:b/>
          <w:bCs/>
          <w:spacing w:val="-8"/>
          <w:sz w:val="18"/>
          <w:szCs w:val="18"/>
          <w:lang w:val="es-ES_tradnl"/>
        </w:rPr>
      </w:pPr>
      <w:r>
        <w:rPr>
          <w:b/>
          <w:bCs/>
          <w:spacing w:val="-8"/>
          <w:sz w:val="18"/>
          <w:szCs w:val="18"/>
          <w:lang w:val="es-ES_tradnl"/>
        </w:rPr>
        <w:t>182-15-SEP-CC Ac</w:t>
      </w:r>
      <w:r>
        <w:rPr>
          <w:rFonts w:cs="Times New Roman"/>
          <w:b/>
          <w:bCs/>
          <w:spacing w:val="-8"/>
          <w:sz w:val="18"/>
          <w:szCs w:val="18"/>
          <w:lang w:val="es-ES_tradnl"/>
        </w:rPr>
        <w:t>é</w:t>
      </w:r>
      <w:r>
        <w:rPr>
          <w:b/>
          <w:bCs/>
          <w:spacing w:val="-8"/>
          <w:sz w:val="18"/>
          <w:szCs w:val="18"/>
          <w:lang w:val="es-ES_tradnl"/>
        </w:rPr>
        <w:t>ptese la acci</w:t>
      </w:r>
      <w:r>
        <w:rPr>
          <w:rFonts w:cs="Times New Roman"/>
          <w:b/>
          <w:bCs/>
          <w:spacing w:val="-8"/>
          <w:sz w:val="18"/>
          <w:szCs w:val="18"/>
          <w:lang w:val="es-ES_tradnl"/>
        </w:rPr>
        <w:t>ó</w:t>
      </w:r>
      <w:r>
        <w:rPr>
          <w:b/>
          <w:bCs/>
          <w:spacing w:val="-8"/>
          <w:sz w:val="18"/>
          <w:szCs w:val="18"/>
          <w:lang w:val="es-ES_tradnl"/>
        </w:rPr>
        <w:t xml:space="preserve">n extraordinaria </w:t>
      </w:r>
      <w:r>
        <w:rPr>
          <w:b/>
          <w:bCs/>
          <w:spacing w:val="-9"/>
          <w:sz w:val="18"/>
          <w:szCs w:val="18"/>
          <w:lang w:val="es-ES_tradnl"/>
        </w:rPr>
        <w:t>de protecci</w:t>
      </w:r>
      <w:r>
        <w:rPr>
          <w:rFonts w:cs="Times New Roman"/>
          <w:b/>
          <w:bCs/>
          <w:spacing w:val="-9"/>
          <w:sz w:val="18"/>
          <w:szCs w:val="18"/>
          <w:lang w:val="es-ES_tradnl"/>
        </w:rPr>
        <w:t>ó</w:t>
      </w:r>
      <w:r>
        <w:rPr>
          <w:b/>
          <w:bCs/>
          <w:spacing w:val="-9"/>
          <w:sz w:val="18"/>
          <w:szCs w:val="18"/>
          <w:lang w:val="es-ES_tradnl"/>
        </w:rPr>
        <w:t>n presentada por el se</w:t>
      </w:r>
      <w:r>
        <w:rPr>
          <w:rFonts w:cs="Times New Roman"/>
          <w:b/>
          <w:bCs/>
          <w:spacing w:val="-9"/>
          <w:sz w:val="18"/>
          <w:szCs w:val="18"/>
          <w:lang w:val="es-ES_tradnl"/>
        </w:rPr>
        <w:t>ñ</w:t>
      </w:r>
      <w:r>
        <w:rPr>
          <w:b/>
          <w:bCs/>
          <w:spacing w:val="-9"/>
          <w:sz w:val="18"/>
          <w:szCs w:val="18"/>
          <w:lang w:val="es-ES_tradnl"/>
        </w:rPr>
        <w:t xml:space="preserve">or </w:t>
      </w:r>
      <w:r>
        <w:rPr>
          <w:b/>
          <w:bCs/>
          <w:spacing w:val="-8"/>
          <w:sz w:val="18"/>
          <w:szCs w:val="18"/>
          <w:lang w:val="es-ES_tradnl"/>
        </w:rPr>
        <w:t>Leandro Rufino Ull</w:t>
      </w:r>
      <w:r>
        <w:rPr>
          <w:rFonts w:cs="Times New Roman"/>
          <w:b/>
          <w:bCs/>
          <w:spacing w:val="-8"/>
          <w:sz w:val="18"/>
          <w:szCs w:val="18"/>
          <w:lang w:val="es-ES_tradnl"/>
        </w:rPr>
        <w:t>ó</w:t>
      </w:r>
      <w:r>
        <w:rPr>
          <w:b/>
          <w:bCs/>
          <w:spacing w:val="-8"/>
          <w:sz w:val="18"/>
          <w:szCs w:val="18"/>
          <w:lang w:val="es-ES_tradnl"/>
        </w:rPr>
        <w:t>n Rodr</w:t>
      </w:r>
      <w:r>
        <w:rPr>
          <w:rFonts w:cs="Times New Roman"/>
          <w:b/>
          <w:bCs/>
          <w:spacing w:val="-8"/>
          <w:sz w:val="18"/>
          <w:szCs w:val="18"/>
          <w:lang w:val="es-ES_tradnl"/>
        </w:rPr>
        <w:t>í</w:t>
      </w:r>
      <w:r>
        <w:rPr>
          <w:b/>
          <w:bCs/>
          <w:spacing w:val="-8"/>
          <w:sz w:val="18"/>
          <w:szCs w:val="18"/>
          <w:lang w:val="es-ES_tradnl"/>
        </w:rPr>
        <w:t>guez y otro .    100</w:t>
      </w:r>
    </w:p>
    <w:p w14:paraId="4F67A2E6" w14:textId="77777777" w:rsidR="00591D54" w:rsidRDefault="00591D54" w:rsidP="00251195">
      <w:pPr>
        <w:shd w:val="clear" w:color="auto" w:fill="FFFFFF"/>
        <w:ind w:left="677" w:hanging="677"/>
        <w:jc w:val="both"/>
      </w:pPr>
    </w:p>
    <w:p w14:paraId="4F67A2E7" w14:textId="77777777" w:rsidR="00591D54" w:rsidRDefault="00591D54" w:rsidP="00251195">
      <w:pPr>
        <w:shd w:val="clear" w:color="auto" w:fill="FFFFFF"/>
        <w:tabs>
          <w:tab w:val="left" w:leader="dot" w:pos="3850"/>
        </w:tabs>
        <w:ind w:left="677" w:hanging="677"/>
        <w:jc w:val="both"/>
        <w:rPr>
          <w:b/>
          <w:bCs/>
          <w:spacing w:val="-14"/>
          <w:sz w:val="18"/>
          <w:szCs w:val="18"/>
          <w:lang w:val="es-ES_tradnl"/>
        </w:rPr>
      </w:pPr>
      <w:r>
        <w:rPr>
          <w:b/>
          <w:bCs/>
          <w:spacing w:val="-8"/>
          <w:sz w:val="18"/>
          <w:szCs w:val="18"/>
          <w:lang w:val="es-ES_tradnl"/>
        </w:rPr>
        <w:t>213-15-SEP-CC Ni</w:t>
      </w:r>
      <w:r>
        <w:rPr>
          <w:rFonts w:cs="Times New Roman"/>
          <w:b/>
          <w:bCs/>
          <w:spacing w:val="-8"/>
          <w:sz w:val="18"/>
          <w:szCs w:val="18"/>
          <w:lang w:val="es-ES_tradnl"/>
        </w:rPr>
        <w:t>é</w:t>
      </w:r>
      <w:r>
        <w:rPr>
          <w:b/>
          <w:bCs/>
          <w:spacing w:val="-8"/>
          <w:sz w:val="18"/>
          <w:szCs w:val="18"/>
          <w:lang w:val="es-ES_tradnl"/>
        </w:rPr>
        <w:t>guese la acci</w:t>
      </w:r>
      <w:r>
        <w:rPr>
          <w:rFonts w:cs="Times New Roman"/>
          <w:b/>
          <w:bCs/>
          <w:spacing w:val="-8"/>
          <w:sz w:val="18"/>
          <w:szCs w:val="18"/>
          <w:lang w:val="es-ES_tradnl"/>
        </w:rPr>
        <w:t>ó</w:t>
      </w:r>
      <w:r>
        <w:rPr>
          <w:b/>
          <w:bCs/>
          <w:spacing w:val="-8"/>
          <w:sz w:val="18"/>
          <w:szCs w:val="18"/>
          <w:lang w:val="es-ES_tradnl"/>
        </w:rPr>
        <w:t>n extraordinaria de protecci</w:t>
      </w:r>
      <w:r>
        <w:rPr>
          <w:rFonts w:cs="Times New Roman"/>
          <w:b/>
          <w:bCs/>
          <w:spacing w:val="-8"/>
          <w:sz w:val="18"/>
          <w:szCs w:val="18"/>
          <w:lang w:val="es-ES_tradnl"/>
        </w:rPr>
        <w:t>ó</w:t>
      </w:r>
      <w:r>
        <w:rPr>
          <w:b/>
          <w:bCs/>
          <w:spacing w:val="-8"/>
          <w:sz w:val="18"/>
          <w:szCs w:val="18"/>
          <w:lang w:val="es-ES_tradnl"/>
        </w:rPr>
        <w:t>n presentada por el se</w:t>
      </w:r>
      <w:r>
        <w:rPr>
          <w:rFonts w:cs="Times New Roman"/>
          <w:b/>
          <w:bCs/>
          <w:spacing w:val="-8"/>
          <w:sz w:val="18"/>
          <w:szCs w:val="18"/>
          <w:lang w:val="es-ES_tradnl"/>
        </w:rPr>
        <w:t>ñ</w:t>
      </w:r>
      <w:r>
        <w:rPr>
          <w:b/>
          <w:bCs/>
          <w:spacing w:val="-8"/>
          <w:sz w:val="18"/>
          <w:szCs w:val="18"/>
          <w:lang w:val="es-ES_tradnl"/>
        </w:rPr>
        <w:t>or </w:t>
      </w:r>
      <w:r>
        <w:rPr>
          <w:b/>
          <w:bCs/>
          <w:spacing w:val="-4"/>
          <w:sz w:val="18"/>
          <w:szCs w:val="18"/>
          <w:lang w:val="es-ES_tradnl"/>
        </w:rPr>
        <w:t>Jorge Vicente Chapiliquin Purisaga y </w:t>
      </w:r>
      <w:r>
        <w:rPr>
          <w:b/>
          <w:bCs/>
          <w:spacing w:val="-5"/>
          <w:sz w:val="18"/>
          <w:szCs w:val="18"/>
          <w:lang w:val="es-ES_tradnl"/>
        </w:rPr>
        <w:t xml:space="preserve">otra </w:t>
      </w:r>
      <w:r>
        <w:rPr>
          <w:b/>
          <w:bCs/>
          <w:sz w:val="18"/>
          <w:szCs w:val="18"/>
          <w:lang w:val="es-ES_tradnl"/>
        </w:rPr>
        <w:tab/>
        <w:t xml:space="preserve">   </w:t>
      </w:r>
      <w:r>
        <w:rPr>
          <w:b/>
          <w:bCs/>
          <w:spacing w:val="-14"/>
          <w:sz w:val="18"/>
          <w:szCs w:val="18"/>
          <w:lang w:val="es-ES_tradnl"/>
        </w:rPr>
        <w:t>112</w:t>
      </w:r>
    </w:p>
    <w:p w14:paraId="4F67A2E8" w14:textId="77777777" w:rsidR="00591D54" w:rsidRDefault="00591D54" w:rsidP="00251195">
      <w:pPr>
        <w:shd w:val="clear" w:color="auto" w:fill="FFFFFF"/>
        <w:tabs>
          <w:tab w:val="left" w:leader="dot" w:pos="3850"/>
        </w:tabs>
        <w:ind w:left="677" w:hanging="677"/>
        <w:jc w:val="both"/>
      </w:pPr>
    </w:p>
    <w:p w14:paraId="4F67A2E9" w14:textId="77777777" w:rsidR="00591D54" w:rsidRDefault="00591D54" w:rsidP="00251195">
      <w:pPr>
        <w:shd w:val="clear" w:color="auto" w:fill="FFFFFF"/>
        <w:tabs>
          <w:tab w:val="left" w:leader="dot" w:pos="3850"/>
        </w:tabs>
        <w:ind w:left="677" w:hanging="677"/>
        <w:jc w:val="both"/>
        <w:rPr>
          <w:b/>
          <w:bCs/>
          <w:spacing w:val="-14"/>
          <w:sz w:val="18"/>
          <w:szCs w:val="18"/>
          <w:lang w:val="es-ES_tradnl"/>
        </w:rPr>
      </w:pPr>
      <w:r>
        <w:rPr>
          <w:b/>
          <w:bCs/>
          <w:spacing w:val="-8"/>
          <w:sz w:val="18"/>
          <w:szCs w:val="18"/>
          <w:lang w:val="es-ES_tradnl"/>
        </w:rPr>
        <w:t>215-15-SEP-CC Ac</w:t>
      </w:r>
      <w:r>
        <w:rPr>
          <w:rFonts w:cs="Times New Roman"/>
          <w:b/>
          <w:bCs/>
          <w:spacing w:val="-8"/>
          <w:sz w:val="18"/>
          <w:szCs w:val="18"/>
          <w:lang w:val="es-ES_tradnl"/>
        </w:rPr>
        <w:t>é</w:t>
      </w:r>
      <w:r>
        <w:rPr>
          <w:b/>
          <w:bCs/>
          <w:spacing w:val="-8"/>
          <w:sz w:val="18"/>
          <w:szCs w:val="18"/>
          <w:lang w:val="es-ES_tradnl"/>
        </w:rPr>
        <w:t>ptese parcialmente la acci</w:t>
      </w:r>
      <w:r>
        <w:rPr>
          <w:rFonts w:cs="Times New Roman"/>
          <w:b/>
          <w:bCs/>
          <w:spacing w:val="-8"/>
          <w:sz w:val="18"/>
          <w:szCs w:val="18"/>
          <w:lang w:val="es-ES_tradnl"/>
        </w:rPr>
        <w:t>ó</w:t>
      </w:r>
      <w:r>
        <w:rPr>
          <w:b/>
          <w:bCs/>
          <w:spacing w:val="-8"/>
          <w:sz w:val="18"/>
          <w:szCs w:val="18"/>
          <w:lang w:val="es-ES_tradnl"/>
        </w:rPr>
        <w:t>n </w:t>
      </w:r>
      <w:r>
        <w:rPr>
          <w:b/>
          <w:bCs/>
          <w:spacing w:val="-7"/>
          <w:sz w:val="18"/>
          <w:szCs w:val="18"/>
          <w:lang w:val="es-ES_tradnl"/>
        </w:rPr>
        <w:t>extraordinaria de protecci</w:t>
      </w:r>
      <w:r>
        <w:rPr>
          <w:rFonts w:cs="Times New Roman"/>
          <w:b/>
          <w:bCs/>
          <w:spacing w:val="-7"/>
          <w:sz w:val="18"/>
          <w:szCs w:val="18"/>
          <w:lang w:val="es-ES_tradnl"/>
        </w:rPr>
        <w:t>ó</w:t>
      </w:r>
      <w:r>
        <w:rPr>
          <w:b/>
          <w:bCs/>
          <w:spacing w:val="-7"/>
          <w:sz w:val="18"/>
          <w:szCs w:val="18"/>
          <w:lang w:val="es-ES_tradnl"/>
        </w:rPr>
        <w:t>n presentada </w:t>
      </w:r>
      <w:r>
        <w:rPr>
          <w:b/>
          <w:bCs/>
          <w:spacing w:val="-10"/>
          <w:sz w:val="18"/>
          <w:szCs w:val="18"/>
          <w:lang w:val="es-ES_tradnl"/>
        </w:rPr>
        <w:t>por se</w:t>
      </w:r>
      <w:r>
        <w:rPr>
          <w:rFonts w:cs="Times New Roman"/>
          <w:b/>
          <w:bCs/>
          <w:spacing w:val="-10"/>
          <w:sz w:val="18"/>
          <w:szCs w:val="18"/>
          <w:lang w:val="es-ES_tradnl"/>
        </w:rPr>
        <w:t>ñ</w:t>
      </w:r>
      <w:r>
        <w:rPr>
          <w:b/>
          <w:bCs/>
          <w:spacing w:val="-10"/>
          <w:sz w:val="18"/>
          <w:szCs w:val="18"/>
          <w:lang w:val="es-ES_tradnl"/>
        </w:rPr>
        <w:t xml:space="preserve">or </w:t>
      </w:r>
      <w:r>
        <w:rPr>
          <w:rFonts w:cs="Times New Roman"/>
          <w:b/>
          <w:bCs/>
          <w:spacing w:val="-10"/>
          <w:sz w:val="18"/>
          <w:szCs w:val="18"/>
          <w:lang w:val="es-ES_tradnl"/>
        </w:rPr>
        <w:t>Á</w:t>
      </w:r>
      <w:r>
        <w:rPr>
          <w:b/>
          <w:bCs/>
          <w:spacing w:val="-10"/>
          <w:sz w:val="18"/>
          <w:szCs w:val="18"/>
          <w:lang w:val="es-ES_tradnl"/>
        </w:rPr>
        <w:t xml:space="preserve">ngel Sarzosa Aguirre………………………………………. </w:t>
      </w:r>
      <w:r>
        <w:rPr>
          <w:b/>
          <w:bCs/>
          <w:spacing w:val="-14"/>
          <w:sz w:val="18"/>
          <w:szCs w:val="18"/>
          <w:lang w:val="es-ES_tradnl"/>
        </w:rPr>
        <w:t>117</w:t>
      </w:r>
    </w:p>
    <w:p w14:paraId="4F67A2EA" w14:textId="77777777" w:rsidR="00591D54" w:rsidRDefault="00591D54" w:rsidP="00251195">
      <w:pPr>
        <w:shd w:val="clear" w:color="auto" w:fill="FFFFFF"/>
        <w:tabs>
          <w:tab w:val="left" w:leader="dot" w:pos="3850"/>
        </w:tabs>
        <w:ind w:left="677" w:hanging="677"/>
        <w:jc w:val="both"/>
      </w:pPr>
    </w:p>
    <w:p w14:paraId="4F67A2EB" w14:textId="77777777" w:rsidR="00591D54" w:rsidRDefault="00591D54" w:rsidP="00251195">
      <w:pPr>
        <w:shd w:val="clear" w:color="auto" w:fill="FFFFFF"/>
        <w:tabs>
          <w:tab w:val="left" w:leader="dot" w:pos="3850"/>
        </w:tabs>
        <w:ind w:left="677" w:right="5" w:hanging="677"/>
        <w:jc w:val="both"/>
        <w:rPr>
          <w:b/>
          <w:bCs/>
          <w:spacing w:val="-12"/>
          <w:sz w:val="18"/>
          <w:szCs w:val="18"/>
          <w:lang w:val="es-ES_tradnl"/>
        </w:rPr>
      </w:pPr>
      <w:r>
        <w:rPr>
          <w:b/>
          <w:bCs/>
          <w:spacing w:val="-8"/>
          <w:sz w:val="18"/>
          <w:szCs w:val="18"/>
          <w:lang w:val="es-ES_tradnl"/>
        </w:rPr>
        <w:t>232-15-SEP-CC Ac</w:t>
      </w:r>
      <w:r>
        <w:rPr>
          <w:rFonts w:cs="Times New Roman"/>
          <w:b/>
          <w:bCs/>
          <w:spacing w:val="-8"/>
          <w:sz w:val="18"/>
          <w:szCs w:val="18"/>
          <w:lang w:val="es-ES_tradnl"/>
        </w:rPr>
        <w:t>é</w:t>
      </w:r>
      <w:r>
        <w:rPr>
          <w:b/>
          <w:bCs/>
          <w:spacing w:val="-8"/>
          <w:sz w:val="18"/>
          <w:szCs w:val="18"/>
          <w:lang w:val="es-ES_tradnl"/>
        </w:rPr>
        <w:t>ptese la acci</w:t>
      </w:r>
      <w:r>
        <w:rPr>
          <w:rFonts w:cs="Times New Roman"/>
          <w:b/>
          <w:bCs/>
          <w:spacing w:val="-8"/>
          <w:sz w:val="18"/>
          <w:szCs w:val="18"/>
          <w:lang w:val="es-ES_tradnl"/>
        </w:rPr>
        <w:t>ó</w:t>
      </w:r>
      <w:r>
        <w:rPr>
          <w:b/>
          <w:bCs/>
          <w:spacing w:val="-8"/>
          <w:sz w:val="18"/>
          <w:szCs w:val="18"/>
          <w:lang w:val="es-ES_tradnl"/>
        </w:rPr>
        <w:t>n extraordinaria </w:t>
      </w:r>
      <w:r>
        <w:rPr>
          <w:b/>
          <w:bCs/>
          <w:spacing w:val="-9"/>
          <w:sz w:val="18"/>
          <w:szCs w:val="18"/>
          <w:lang w:val="es-ES_tradnl"/>
        </w:rPr>
        <w:t>de protecci</w:t>
      </w:r>
      <w:r>
        <w:rPr>
          <w:rFonts w:cs="Times New Roman"/>
          <w:b/>
          <w:bCs/>
          <w:spacing w:val="-9"/>
          <w:sz w:val="18"/>
          <w:szCs w:val="18"/>
          <w:lang w:val="es-ES_tradnl"/>
        </w:rPr>
        <w:t>ó</w:t>
      </w:r>
      <w:r>
        <w:rPr>
          <w:b/>
          <w:bCs/>
          <w:spacing w:val="-9"/>
          <w:sz w:val="18"/>
          <w:szCs w:val="18"/>
          <w:lang w:val="es-ES_tradnl"/>
        </w:rPr>
        <w:t>n presentada por se</w:t>
      </w:r>
      <w:r>
        <w:rPr>
          <w:rFonts w:cs="Times New Roman"/>
          <w:b/>
          <w:bCs/>
          <w:spacing w:val="-9"/>
          <w:sz w:val="18"/>
          <w:szCs w:val="18"/>
          <w:lang w:val="es-ES_tradnl"/>
        </w:rPr>
        <w:t>ñ</w:t>
      </w:r>
      <w:r>
        <w:rPr>
          <w:b/>
          <w:bCs/>
          <w:spacing w:val="-9"/>
          <w:sz w:val="18"/>
          <w:szCs w:val="18"/>
          <w:lang w:val="es-ES_tradnl"/>
        </w:rPr>
        <w:t>or Alex </w:t>
      </w:r>
      <w:r>
        <w:rPr>
          <w:b/>
          <w:bCs/>
          <w:spacing w:val="-7"/>
          <w:sz w:val="18"/>
          <w:szCs w:val="18"/>
          <w:lang w:val="es-ES_tradnl"/>
        </w:rPr>
        <w:t>Javier Agonaga Crib</w:t>
      </w:r>
      <w:r>
        <w:rPr>
          <w:rFonts w:cs="Times New Roman"/>
          <w:b/>
          <w:bCs/>
          <w:spacing w:val="-7"/>
          <w:sz w:val="18"/>
          <w:szCs w:val="18"/>
          <w:lang w:val="es-ES_tradnl"/>
        </w:rPr>
        <w:t>á</w:t>
      </w:r>
      <w:r>
        <w:rPr>
          <w:b/>
          <w:bCs/>
          <w:spacing w:val="-7"/>
          <w:sz w:val="18"/>
          <w:szCs w:val="18"/>
          <w:lang w:val="es-ES_tradnl"/>
        </w:rPr>
        <w:t xml:space="preserve">n </w:t>
      </w:r>
      <w:r>
        <w:rPr>
          <w:b/>
          <w:bCs/>
          <w:sz w:val="18"/>
          <w:szCs w:val="18"/>
          <w:lang w:val="es-ES_tradnl"/>
        </w:rPr>
        <w:tab/>
        <w:t xml:space="preserve">   </w:t>
      </w:r>
      <w:r>
        <w:rPr>
          <w:b/>
          <w:bCs/>
          <w:spacing w:val="-12"/>
          <w:sz w:val="18"/>
          <w:szCs w:val="18"/>
          <w:lang w:val="es-ES_tradnl"/>
        </w:rPr>
        <w:t>126</w:t>
      </w:r>
    </w:p>
    <w:p w14:paraId="4F67A2EC" w14:textId="77777777" w:rsidR="00591D54" w:rsidRDefault="00591D54" w:rsidP="00251195">
      <w:pPr>
        <w:shd w:val="clear" w:color="auto" w:fill="FFFFFF"/>
        <w:tabs>
          <w:tab w:val="left" w:leader="dot" w:pos="3850"/>
        </w:tabs>
        <w:ind w:left="677" w:right="5" w:hanging="677"/>
        <w:jc w:val="both"/>
      </w:pPr>
    </w:p>
    <w:p w14:paraId="4F67A2ED" w14:textId="77777777" w:rsidR="00591D54" w:rsidRDefault="00591D54" w:rsidP="00251195">
      <w:pPr>
        <w:shd w:val="clear" w:color="auto" w:fill="FFFFFF"/>
        <w:tabs>
          <w:tab w:val="left" w:leader="dot" w:pos="3850"/>
        </w:tabs>
        <w:ind w:left="677" w:hanging="677"/>
        <w:jc w:val="both"/>
        <w:rPr>
          <w:b/>
          <w:bCs/>
          <w:spacing w:val="-10"/>
          <w:sz w:val="18"/>
          <w:szCs w:val="18"/>
          <w:lang w:val="es-ES_tradnl"/>
        </w:rPr>
      </w:pPr>
      <w:r>
        <w:rPr>
          <w:b/>
          <w:bCs/>
          <w:spacing w:val="-8"/>
          <w:sz w:val="18"/>
          <w:szCs w:val="18"/>
          <w:lang w:val="es-ES_tradnl"/>
        </w:rPr>
        <w:t>233-15-SEP-CC Ni</w:t>
      </w:r>
      <w:r>
        <w:rPr>
          <w:rFonts w:cs="Times New Roman"/>
          <w:b/>
          <w:bCs/>
          <w:spacing w:val="-8"/>
          <w:sz w:val="18"/>
          <w:szCs w:val="18"/>
          <w:lang w:val="es-ES_tradnl"/>
        </w:rPr>
        <w:t>é</w:t>
      </w:r>
      <w:r>
        <w:rPr>
          <w:b/>
          <w:bCs/>
          <w:spacing w:val="-8"/>
          <w:sz w:val="18"/>
          <w:szCs w:val="18"/>
          <w:lang w:val="es-ES_tradnl"/>
        </w:rPr>
        <w:t>guese la acci</w:t>
      </w:r>
      <w:r>
        <w:rPr>
          <w:rFonts w:cs="Times New Roman"/>
          <w:b/>
          <w:bCs/>
          <w:spacing w:val="-8"/>
          <w:sz w:val="18"/>
          <w:szCs w:val="18"/>
          <w:lang w:val="es-ES_tradnl"/>
        </w:rPr>
        <w:t>ó</w:t>
      </w:r>
      <w:r>
        <w:rPr>
          <w:b/>
          <w:bCs/>
          <w:spacing w:val="-8"/>
          <w:sz w:val="18"/>
          <w:szCs w:val="18"/>
          <w:lang w:val="es-ES_tradnl"/>
        </w:rPr>
        <w:t>n extraordinaria de protecci</w:t>
      </w:r>
      <w:r>
        <w:rPr>
          <w:rFonts w:cs="Times New Roman"/>
          <w:b/>
          <w:bCs/>
          <w:spacing w:val="-8"/>
          <w:sz w:val="18"/>
          <w:szCs w:val="18"/>
          <w:lang w:val="es-ES_tradnl"/>
        </w:rPr>
        <w:t>ó</w:t>
      </w:r>
      <w:r>
        <w:rPr>
          <w:b/>
          <w:bCs/>
          <w:spacing w:val="-8"/>
          <w:sz w:val="18"/>
          <w:szCs w:val="18"/>
          <w:lang w:val="es-ES_tradnl"/>
        </w:rPr>
        <w:t>n propuesta por la doctora </w:t>
      </w:r>
      <w:r>
        <w:rPr>
          <w:b/>
          <w:bCs/>
          <w:spacing w:val="-5"/>
          <w:sz w:val="18"/>
          <w:szCs w:val="18"/>
          <w:lang w:val="es-ES_tradnl"/>
        </w:rPr>
        <w:t>Helen Alexandra Maldonado Albarrac</w:t>
      </w:r>
      <w:r>
        <w:rPr>
          <w:rFonts w:cs="Times New Roman"/>
          <w:b/>
          <w:bCs/>
          <w:spacing w:val="-5"/>
          <w:sz w:val="18"/>
          <w:szCs w:val="18"/>
          <w:lang w:val="es-ES_tradnl"/>
        </w:rPr>
        <w:t>í</w:t>
      </w:r>
      <w:r>
        <w:rPr>
          <w:b/>
          <w:bCs/>
          <w:spacing w:val="-5"/>
          <w:sz w:val="18"/>
          <w:szCs w:val="18"/>
          <w:lang w:val="es-ES_tradnl"/>
        </w:rPr>
        <w:t>n </w:t>
      </w:r>
      <w:r>
        <w:rPr>
          <w:b/>
          <w:bCs/>
          <w:spacing w:val="-7"/>
          <w:sz w:val="18"/>
          <w:szCs w:val="18"/>
          <w:lang w:val="es-ES_tradnl"/>
        </w:rPr>
        <w:t>y otro</w:t>
      </w:r>
      <w:r>
        <w:rPr>
          <w:b/>
          <w:bCs/>
          <w:sz w:val="18"/>
          <w:szCs w:val="18"/>
          <w:lang w:val="es-ES_tradnl"/>
        </w:rPr>
        <w:t xml:space="preserve">   </w:t>
      </w:r>
      <w:r>
        <w:rPr>
          <w:b/>
          <w:bCs/>
          <w:spacing w:val="-10"/>
          <w:sz w:val="18"/>
          <w:szCs w:val="18"/>
          <w:lang w:val="es-ES_tradnl"/>
        </w:rPr>
        <w:t>135</w:t>
      </w:r>
    </w:p>
    <w:p w14:paraId="4F67A2EE" w14:textId="77777777" w:rsidR="00591D54" w:rsidRDefault="00591D54" w:rsidP="00251195">
      <w:pPr>
        <w:shd w:val="clear" w:color="auto" w:fill="FFFFFF"/>
        <w:tabs>
          <w:tab w:val="left" w:leader="dot" w:pos="3850"/>
        </w:tabs>
        <w:ind w:left="677" w:hanging="677"/>
        <w:jc w:val="both"/>
      </w:pPr>
    </w:p>
    <w:p w14:paraId="4F67A2EF" w14:textId="77777777" w:rsidR="00591D54" w:rsidRDefault="00591D54" w:rsidP="00251195">
      <w:pPr>
        <w:shd w:val="clear" w:color="auto" w:fill="FFFFFF"/>
        <w:tabs>
          <w:tab w:val="left" w:leader="dot" w:pos="3850"/>
        </w:tabs>
        <w:ind w:left="677" w:hanging="677"/>
        <w:jc w:val="both"/>
        <w:rPr>
          <w:b/>
          <w:bCs/>
          <w:spacing w:val="-10"/>
          <w:sz w:val="18"/>
          <w:szCs w:val="18"/>
          <w:lang w:val="es-ES_tradnl"/>
        </w:rPr>
      </w:pPr>
      <w:r>
        <w:rPr>
          <w:b/>
          <w:bCs/>
          <w:spacing w:val="-8"/>
          <w:sz w:val="18"/>
          <w:szCs w:val="18"/>
          <w:lang w:val="es-ES_tradnl"/>
        </w:rPr>
        <w:t>239-15-SEP-CC Ac</w:t>
      </w:r>
      <w:r>
        <w:rPr>
          <w:rFonts w:cs="Times New Roman"/>
          <w:b/>
          <w:bCs/>
          <w:spacing w:val="-8"/>
          <w:sz w:val="18"/>
          <w:szCs w:val="18"/>
          <w:lang w:val="es-ES_tradnl"/>
        </w:rPr>
        <w:t>é</w:t>
      </w:r>
      <w:r>
        <w:rPr>
          <w:b/>
          <w:bCs/>
          <w:spacing w:val="-8"/>
          <w:sz w:val="18"/>
          <w:szCs w:val="18"/>
          <w:lang w:val="es-ES_tradnl"/>
        </w:rPr>
        <w:t>ptese la acci</w:t>
      </w:r>
      <w:r>
        <w:rPr>
          <w:rFonts w:cs="Times New Roman"/>
          <w:b/>
          <w:bCs/>
          <w:spacing w:val="-8"/>
          <w:sz w:val="18"/>
          <w:szCs w:val="18"/>
          <w:lang w:val="es-ES_tradnl"/>
        </w:rPr>
        <w:t>ó</w:t>
      </w:r>
      <w:r>
        <w:rPr>
          <w:b/>
          <w:bCs/>
          <w:spacing w:val="-8"/>
          <w:sz w:val="18"/>
          <w:szCs w:val="18"/>
          <w:lang w:val="es-ES_tradnl"/>
        </w:rPr>
        <w:t>n extraordinaria </w:t>
      </w:r>
      <w:r>
        <w:rPr>
          <w:b/>
          <w:bCs/>
          <w:spacing w:val="-5"/>
          <w:sz w:val="18"/>
          <w:szCs w:val="18"/>
          <w:lang w:val="es-ES_tradnl"/>
        </w:rPr>
        <w:t>de protecci</w:t>
      </w:r>
      <w:r>
        <w:rPr>
          <w:rFonts w:cs="Times New Roman"/>
          <w:b/>
          <w:bCs/>
          <w:spacing w:val="-5"/>
          <w:sz w:val="18"/>
          <w:szCs w:val="18"/>
          <w:lang w:val="es-ES_tradnl"/>
        </w:rPr>
        <w:t>ó</w:t>
      </w:r>
      <w:r>
        <w:rPr>
          <w:b/>
          <w:bCs/>
          <w:spacing w:val="-5"/>
          <w:sz w:val="18"/>
          <w:szCs w:val="18"/>
          <w:lang w:val="es-ES_tradnl"/>
        </w:rPr>
        <w:t>n planteada por el se</w:t>
      </w:r>
      <w:r>
        <w:rPr>
          <w:rFonts w:cs="Times New Roman"/>
          <w:b/>
          <w:bCs/>
          <w:spacing w:val="-5"/>
          <w:sz w:val="18"/>
          <w:szCs w:val="18"/>
          <w:lang w:val="es-ES_tradnl"/>
        </w:rPr>
        <w:t>ñ</w:t>
      </w:r>
      <w:r>
        <w:rPr>
          <w:b/>
          <w:bCs/>
          <w:spacing w:val="-5"/>
          <w:sz w:val="18"/>
          <w:szCs w:val="18"/>
          <w:lang w:val="es-ES_tradnl"/>
        </w:rPr>
        <w:t xml:space="preserve">or Julio Diez Merino </w:t>
      </w:r>
      <w:r>
        <w:rPr>
          <w:b/>
          <w:bCs/>
          <w:sz w:val="18"/>
          <w:szCs w:val="18"/>
          <w:lang w:val="es-ES_tradnl"/>
        </w:rPr>
        <w:tab/>
        <w:t xml:space="preserve">   </w:t>
      </w:r>
      <w:r>
        <w:rPr>
          <w:b/>
          <w:bCs/>
          <w:spacing w:val="-10"/>
          <w:sz w:val="18"/>
          <w:szCs w:val="18"/>
          <w:lang w:val="es-ES_tradnl"/>
        </w:rPr>
        <w:t>141</w:t>
      </w:r>
    </w:p>
    <w:p w14:paraId="4F67A2F0" w14:textId="77777777" w:rsidR="00591D54" w:rsidRDefault="00591D54" w:rsidP="00251195">
      <w:pPr>
        <w:shd w:val="clear" w:color="auto" w:fill="FFFFFF"/>
        <w:tabs>
          <w:tab w:val="left" w:leader="dot" w:pos="3850"/>
        </w:tabs>
        <w:ind w:left="677" w:hanging="677"/>
        <w:jc w:val="both"/>
      </w:pPr>
    </w:p>
    <w:p w14:paraId="4F67A2F1" w14:textId="77777777" w:rsidR="00591D54" w:rsidRDefault="00591D54" w:rsidP="00251195">
      <w:pPr>
        <w:shd w:val="clear" w:color="auto" w:fill="FFFFFF"/>
        <w:tabs>
          <w:tab w:val="left" w:leader="dot" w:pos="3850"/>
        </w:tabs>
        <w:ind w:left="677" w:right="5" w:hanging="677"/>
        <w:jc w:val="both"/>
        <w:rPr>
          <w:b/>
          <w:bCs/>
          <w:spacing w:val="-12"/>
          <w:sz w:val="18"/>
          <w:szCs w:val="18"/>
          <w:lang w:val="es-ES_tradnl"/>
        </w:rPr>
      </w:pPr>
      <w:r>
        <w:rPr>
          <w:b/>
          <w:bCs/>
          <w:spacing w:val="-8"/>
          <w:sz w:val="18"/>
          <w:szCs w:val="18"/>
          <w:lang w:val="es-ES_tradnl"/>
        </w:rPr>
        <w:t>253-15-SEP-CC Ni</w:t>
      </w:r>
      <w:r>
        <w:rPr>
          <w:rFonts w:cs="Times New Roman"/>
          <w:b/>
          <w:bCs/>
          <w:spacing w:val="-8"/>
          <w:sz w:val="18"/>
          <w:szCs w:val="18"/>
          <w:lang w:val="es-ES_tradnl"/>
        </w:rPr>
        <w:t>é</w:t>
      </w:r>
      <w:r>
        <w:rPr>
          <w:b/>
          <w:bCs/>
          <w:spacing w:val="-8"/>
          <w:sz w:val="18"/>
          <w:szCs w:val="18"/>
          <w:lang w:val="es-ES_tradnl"/>
        </w:rPr>
        <w:t>guese la acci</w:t>
      </w:r>
      <w:r>
        <w:rPr>
          <w:rFonts w:cs="Times New Roman"/>
          <w:b/>
          <w:bCs/>
          <w:spacing w:val="-8"/>
          <w:sz w:val="18"/>
          <w:szCs w:val="18"/>
          <w:lang w:val="es-ES_tradnl"/>
        </w:rPr>
        <w:t>ó</w:t>
      </w:r>
      <w:r>
        <w:rPr>
          <w:b/>
          <w:bCs/>
          <w:spacing w:val="-8"/>
          <w:sz w:val="18"/>
          <w:szCs w:val="18"/>
          <w:lang w:val="es-ES_tradnl"/>
        </w:rPr>
        <w:t>n extraordinaria </w:t>
      </w:r>
      <w:r>
        <w:rPr>
          <w:b/>
          <w:bCs/>
          <w:spacing w:val="-7"/>
          <w:sz w:val="18"/>
          <w:szCs w:val="18"/>
          <w:lang w:val="es-ES_tradnl"/>
        </w:rPr>
        <w:t>de protecci</w:t>
      </w:r>
      <w:r>
        <w:rPr>
          <w:rFonts w:cs="Times New Roman"/>
          <w:b/>
          <w:bCs/>
          <w:spacing w:val="-7"/>
          <w:sz w:val="18"/>
          <w:szCs w:val="18"/>
          <w:lang w:val="es-ES_tradnl"/>
        </w:rPr>
        <w:t>ó</w:t>
      </w:r>
      <w:r>
        <w:rPr>
          <w:b/>
          <w:bCs/>
          <w:spacing w:val="-7"/>
          <w:sz w:val="18"/>
          <w:szCs w:val="18"/>
          <w:lang w:val="es-ES_tradnl"/>
        </w:rPr>
        <w:t>n planteada por el se</w:t>
      </w:r>
      <w:r>
        <w:rPr>
          <w:rFonts w:cs="Times New Roman"/>
          <w:b/>
          <w:bCs/>
          <w:spacing w:val="-7"/>
          <w:sz w:val="18"/>
          <w:szCs w:val="18"/>
          <w:lang w:val="es-ES_tradnl"/>
        </w:rPr>
        <w:t>ñ</w:t>
      </w:r>
      <w:r>
        <w:rPr>
          <w:b/>
          <w:bCs/>
          <w:spacing w:val="-7"/>
          <w:sz w:val="18"/>
          <w:szCs w:val="18"/>
          <w:lang w:val="es-ES_tradnl"/>
        </w:rPr>
        <w:t>or </w:t>
      </w:r>
      <w:r>
        <w:rPr>
          <w:b/>
          <w:bCs/>
          <w:spacing w:val="-9"/>
          <w:sz w:val="18"/>
          <w:szCs w:val="18"/>
          <w:lang w:val="es-ES_tradnl"/>
        </w:rPr>
        <w:t xml:space="preserve">Wilson Rodrigo Camino Ramos </w:t>
      </w:r>
      <w:r>
        <w:rPr>
          <w:b/>
          <w:bCs/>
          <w:sz w:val="18"/>
          <w:szCs w:val="18"/>
          <w:lang w:val="es-ES_tradnl"/>
        </w:rPr>
        <w:tab/>
        <w:t xml:space="preserve">   </w:t>
      </w:r>
      <w:r>
        <w:rPr>
          <w:b/>
          <w:bCs/>
          <w:spacing w:val="-12"/>
          <w:sz w:val="18"/>
          <w:szCs w:val="18"/>
          <w:lang w:val="es-ES_tradnl"/>
        </w:rPr>
        <w:t>149</w:t>
      </w:r>
    </w:p>
    <w:p w14:paraId="4F67A2F2" w14:textId="77777777" w:rsidR="00591D54" w:rsidRDefault="00591D54" w:rsidP="00251195">
      <w:pPr>
        <w:shd w:val="clear" w:color="auto" w:fill="FFFFFF"/>
        <w:tabs>
          <w:tab w:val="left" w:leader="dot" w:pos="3850"/>
        </w:tabs>
        <w:ind w:left="677" w:right="5" w:hanging="677"/>
        <w:jc w:val="both"/>
      </w:pPr>
    </w:p>
    <w:p w14:paraId="4F67A2F3" w14:textId="77777777" w:rsidR="00591D54" w:rsidRDefault="00591D54" w:rsidP="00251195">
      <w:pPr>
        <w:shd w:val="clear" w:color="auto" w:fill="FFFFFF"/>
        <w:tabs>
          <w:tab w:val="left" w:leader="dot" w:pos="3850"/>
        </w:tabs>
        <w:ind w:left="677" w:hanging="677"/>
        <w:jc w:val="both"/>
        <w:rPr>
          <w:b/>
          <w:bCs/>
          <w:spacing w:val="-10"/>
          <w:sz w:val="18"/>
          <w:szCs w:val="18"/>
          <w:lang w:val="es-ES_tradnl"/>
        </w:rPr>
      </w:pPr>
      <w:r>
        <w:rPr>
          <w:b/>
          <w:bCs/>
          <w:spacing w:val="-8"/>
          <w:sz w:val="18"/>
          <w:szCs w:val="18"/>
          <w:lang w:val="es-ES_tradnl"/>
        </w:rPr>
        <w:t>254-15-SEP-CC Ac</w:t>
      </w:r>
      <w:r>
        <w:rPr>
          <w:rFonts w:cs="Times New Roman"/>
          <w:b/>
          <w:bCs/>
          <w:spacing w:val="-8"/>
          <w:sz w:val="18"/>
          <w:szCs w:val="18"/>
          <w:lang w:val="es-ES_tradnl"/>
        </w:rPr>
        <w:t>é</w:t>
      </w:r>
      <w:r>
        <w:rPr>
          <w:b/>
          <w:bCs/>
          <w:spacing w:val="-8"/>
          <w:sz w:val="18"/>
          <w:szCs w:val="18"/>
          <w:lang w:val="es-ES_tradnl"/>
        </w:rPr>
        <w:t>ptese la acci</w:t>
      </w:r>
      <w:r>
        <w:rPr>
          <w:rFonts w:cs="Times New Roman"/>
          <w:b/>
          <w:bCs/>
          <w:spacing w:val="-8"/>
          <w:sz w:val="18"/>
          <w:szCs w:val="18"/>
          <w:lang w:val="es-ES_tradnl"/>
        </w:rPr>
        <w:t>ó</w:t>
      </w:r>
      <w:r>
        <w:rPr>
          <w:b/>
          <w:bCs/>
          <w:spacing w:val="-8"/>
          <w:sz w:val="18"/>
          <w:szCs w:val="18"/>
          <w:lang w:val="es-ES_tradnl"/>
        </w:rPr>
        <w:t>n extraordinaria </w:t>
      </w:r>
      <w:r>
        <w:rPr>
          <w:b/>
          <w:bCs/>
          <w:spacing w:val="-11"/>
          <w:sz w:val="18"/>
          <w:szCs w:val="18"/>
          <w:lang w:val="es-ES_tradnl"/>
        </w:rPr>
        <w:t>de protecci</w:t>
      </w:r>
      <w:r>
        <w:rPr>
          <w:rFonts w:cs="Times New Roman"/>
          <w:b/>
          <w:bCs/>
          <w:spacing w:val="-11"/>
          <w:sz w:val="18"/>
          <w:szCs w:val="18"/>
          <w:lang w:val="es-ES_tradnl"/>
        </w:rPr>
        <w:t>ó</w:t>
      </w:r>
      <w:r>
        <w:rPr>
          <w:b/>
          <w:bCs/>
          <w:spacing w:val="-11"/>
          <w:sz w:val="18"/>
          <w:szCs w:val="18"/>
          <w:lang w:val="es-ES_tradnl"/>
        </w:rPr>
        <w:t>n propuesta por el se</w:t>
      </w:r>
      <w:r>
        <w:rPr>
          <w:rFonts w:cs="Times New Roman"/>
          <w:b/>
          <w:bCs/>
          <w:spacing w:val="-11"/>
          <w:sz w:val="18"/>
          <w:szCs w:val="18"/>
          <w:lang w:val="es-ES_tradnl"/>
        </w:rPr>
        <w:t>ñ</w:t>
      </w:r>
      <w:r>
        <w:rPr>
          <w:b/>
          <w:bCs/>
          <w:spacing w:val="-11"/>
          <w:sz w:val="18"/>
          <w:szCs w:val="18"/>
          <w:lang w:val="es-ES_tradnl"/>
        </w:rPr>
        <w:t>or Jos</w:t>
      </w:r>
      <w:r>
        <w:rPr>
          <w:rFonts w:cs="Times New Roman"/>
          <w:b/>
          <w:bCs/>
          <w:spacing w:val="-11"/>
          <w:sz w:val="18"/>
          <w:szCs w:val="18"/>
          <w:lang w:val="es-ES_tradnl"/>
        </w:rPr>
        <w:t>é </w:t>
      </w:r>
      <w:r>
        <w:rPr>
          <w:b/>
          <w:bCs/>
          <w:spacing w:val="-10"/>
          <w:sz w:val="18"/>
          <w:szCs w:val="18"/>
          <w:lang w:val="es-ES_tradnl"/>
        </w:rPr>
        <w:t>Francisco Vacas D</w:t>
      </w:r>
      <w:r>
        <w:rPr>
          <w:rFonts w:cs="Times New Roman"/>
          <w:b/>
          <w:bCs/>
          <w:spacing w:val="-10"/>
          <w:sz w:val="18"/>
          <w:szCs w:val="18"/>
          <w:lang w:val="es-ES_tradnl"/>
        </w:rPr>
        <w:t>á</w:t>
      </w:r>
      <w:r>
        <w:rPr>
          <w:b/>
          <w:bCs/>
          <w:spacing w:val="-10"/>
          <w:sz w:val="18"/>
          <w:szCs w:val="18"/>
          <w:lang w:val="es-ES_tradnl"/>
        </w:rPr>
        <w:t xml:space="preserve">vila </w:t>
      </w:r>
      <w:r>
        <w:rPr>
          <w:b/>
          <w:bCs/>
          <w:sz w:val="18"/>
          <w:szCs w:val="18"/>
          <w:lang w:val="es-ES_tradnl"/>
        </w:rPr>
        <w:tab/>
        <w:t xml:space="preserve">   </w:t>
      </w:r>
      <w:r>
        <w:rPr>
          <w:b/>
          <w:bCs/>
          <w:spacing w:val="-10"/>
          <w:sz w:val="18"/>
          <w:szCs w:val="18"/>
          <w:lang w:val="es-ES_tradnl"/>
        </w:rPr>
        <w:t>155</w:t>
      </w:r>
    </w:p>
    <w:p w14:paraId="4F67A2F4" w14:textId="77777777" w:rsidR="00591D54" w:rsidRDefault="00591D54" w:rsidP="00251195">
      <w:pPr>
        <w:shd w:val="clear" w:color="auto" w:fill="FFFFFF"/>
        <w:tabs>
          <w:tab w:val="left" w:leader="dot" w:pos="3850"/>
        </w:tabs>
        <w:ind w:left="677" w:hanging="677"/>
        <w:jc w:val="both"/>
      </w:pPr>
    </w:p>
    <w:p w14:paraId="4F67A2F5" w14:textId="77777777" w:rsidR="00591D54" w:rsidRDefault="00591D54" w:rsidP="00251195">
      <w:pPr>
        <w:shd w:val="clear" w:color="auto" w:fill="FFFFFF"/>
        <w:ind w:left="677" w:hanging="677"/>
        <w:jc w:val="both"/>
        <w:rPr>
          <w:b/>
          <w:bCs/>
          <w:spacing w:val="-8"/>
          <w:sz w:val="18"/>
          <w:szCs w:val="18"/>
          <w:lang w:val="es-ES_tradnl"/>
        </w:rPr>
      </w:pPr>
      <w:r>
        <w:rPr>
          <w:b/>
          <w:bCs/>
          <w:spacing w:val="-8"/>
          <w:sz w:val="18"/>
          <w:szCs w:val="18"/>
          <w:lang w:val="es-ES_tradnl"/>
        </w:rPr>
        <w:t>256-15-SEP-CC Ni</w:t>
      </w:r>
      <w:r>
        <w:rPr>
          <w:rFonts w:cs="Times New Roman"/>
          <w:b/>
          <w:bCs/>
          <w:spacing w:val="-8"/>
          <w:sz w:val="18"/>
          <w:szCs w:val="18"/>
          <w:lang w:val="es-ES_tradnl"/>
        </w:rPr>
        <w:t>é</w:t>
      </w:r>
      <w:r>
        <w:rPr>
          <w:b/>
          <w:bCs/>
          <w:spacing w:val="-8"/>
          <w:sz w:val="18"/>
          <w:szCs w:val="18"/>
          <w:lang w:val="es-ES_tradnl"/>
        </w:rPr>
        <w:t>guese la acci</w:t>
      </w:r>
      <w:r>
        <w:rPr>
          <w:rFonts w:cs="Times New Roman"/>
          <w:b/>
          <w:bCs/>
          <w:spacing w:val="-8"/>
          <w:sz w:val="18"/>
          <w:szCs w:val="18"/>
          <w:lang w:val="es-ES_tradnl"/>
        </w:rPr>
        <w:t>ó</w:t>
      </w:r>
      <w:r>
        <w:rPr>
          <w:b/>
          <w:bCs/>
          <w:spacing w:val="-8"/>
          <w:sz w:val="18"/>
          <w:szCs w:val="18"/>
          <w:lang w:val="es-ES_tradnl"/>
        </w:rPr>
        <w:t>n extraordinaria de protecci</w:t>
      </w:r>
      <w:r>
        <w:rPr>
          <w:rFonts w:cs="Times New Roman"/>
          <w:b/>
          <w:bCs/>
          <w:spacing w:val="-8"/>
          <w:sz w:val="18"/>
          <w:szCs w:val="18"/>
          <w:lang w:val="es-ES_tradnl"/>
        </w:rPr>
        <w:t>ó</w:t>
      </w:r>
      <w:r>
        <w:rPr>
          <w:b/>
          <w:bCs/>
          <w:spacing w:val="-8"/>
          <w:sz w:val="18"/>
          <w:szCs w:val="18"/>
          <w:lang w:val="es-ES_tradnl"/>
        </w:rPr>
        <w:t>n presentada por la se</w:t>
      </w:r>
      <w:r>
        <w:rPr>
          <w:rFonts w:cs="Times New Roman"/>
          <w:b/>
          <w:bCs/>
          <w:spacing w:val="-8"/>
          <w:sz w:val="18"/>
          <w:szCs w:val="18"/>
          <w:lang w:val="es-ES_tradnl"/>
        </w:rPr>
        <w:t>ñ</w:t>
      </w:r>
      <w:r>
        <w:rPr>
          <w:b/>
          <w:bCs/>
          <w:spacing w:val="-8"/>
          <w:sz w:val="18"/>
          <w:szCs w:val="18"/>
          <w:lang w:val="es-ES_tradnl"/>
        </w:rPr>
        <w:t>ora Cecilia Isabel Prieto Vega de la Cadena ..    163</w:t>
      </w:r>
    </w:p>
    <w:p w14:paraId="4F67A2F6" w14:textId="77777777" w:rsidR="00591D54" w:rsidRDefault="00591D54" w:rsidP="00251195">
      <w:pPr>
        <w:shd w:val="clear" w:color="auto" w:fill="FFFFFF"/>
        <w:ind w:left="677" w:hanging="677"/>
        <w:jc w:val="both"/>
      </w:pPr>
    </w:p>
    <w:p w14:paraId="4F67A2F7" w14:textId="77777777" w:rsidR="00591D54" w:rsidRDefault="00591D54" w:rsidP="00251195">
      <w:pPr>
        <w:shd w:val="clear" w:color="auto" w:fill="FFFFFF"/>
        <w:tabs>
          <w:tab w:val="left" w:leader="dot" w:pos="3850"/>
        </w:tabs>
        <w:ind w:left="677" w:hanging="677"/>
        <w:jc w:val="both"/>
      </w:pPr>
      <w:r>
        <w:rPr>
          <w:b/>
          <w:bCs/>
          <w:spacing w:val="-8"/>
          <w:sz w:val="18"/>
          <w:szCs w:val="18"/>
          <w:lang w:val="es-ES_tradnl"/>
        </w:rPr>
        <w:t>257-15-SEP-CC Ac</w:t>
      </w:r>
      <w:r>
        <w:rPr>
          <w:rFonts w:cs="Times New Roman"/>
          <w:b/>
          <w:bCs/>
          <w:spacing w:val="-8"/>
          <w:sz w:val="18"/>
          <w:szCs w:val="18"/>
          <w:lang w:val="es-ES_tradnl"/>
        </w:rPr>
        <w:t>é</w:t>
      </w:r>
      <w:r>
        <w:rPr>
          <w:b/>
          <w:bCs/>
          <w:spacing w:val="-8"/>
          <w:sz w:val="18"/>
          <w:szCs w:val="18"/>
          <w:lang w:val="es-ES_tradnl"/>
        </w:rPr>
        <w:t>ptese la acci</w:t>
      </w:r>
      <w:r>
        <w:rPr>
          <w:rFonts w:cs="Times New Roman"/>
          <w:b/>
          <w:bCs/>
          <w:spacing w:val="-8"/>
          <w:sz w:val="18"/>
          <w:szCs w:val="18"/>
          <w:lang w:val="es-ES_tradnl"/>
        </w:rPr>
        <w:t>ó</w:t>
      </w:r>
      <w:r>
        <w:rPr>
          <w:b/>
          <w:bCs/>
          <w:spacing w:val="-8"/>
          <w:sz w:val="18"/>
          <w:szCs w:val="18"/>
          <w:lang w:val="es-ES_tradnl"/>
        </w:rPr>
        <w:t>n extraordinaria </w:t>
      </w:r>
      <w:r>
        <w:rPr>
          <w:b/>
          <w:bCs/>
          <w:spacing w:val="-7"/>
          <w:sz w:val="18"/>
          <w:szCs w:val="18"/>
          <w:lang w:val="es-ES_tradnl"/>
        </w:rPr>
        <w:t>de protecci</w:t>
      </w:r>
      <w:r>
        <w:rPr>
          <w:rFonts w:cs="Times New Roman"/>
          <w:b/>
          <w:bCs/>
          <w:spacing w:val="-7"/>
          <w:sz w:val="18"/>
          <w:szCs w:val="18"/>
          <w:lang w:val="es-ES_tradnl"/>
        </w:rPr>
        <w:t>ó</w:t>
      </w:r>
      <w:r>
        <w:rPr>
          <w:b/>
          <w:bCs/>
          <w:spacing w:val="-7"/>
          <w:sz w:val="18"/>
          <w:szCs w:val="18"/>
          <w:lang w:val="es-ES_tradnl"/>
        </w:rPr>
        <w:t>n planteada por la se</w:t>
      </w:r>
      <w:r>
        <w:rPr>
          <w:rFonts w:cs="Times New Roman"/>
          <w:b/>
          <w:bCs/>
          <w:spacing w:val="-7"/>
          <w:sz w:val="18"/>
          <w:szCs w:val="18"/>
          <w:lang w:val="es-ES_tradnl"/>
        </w:rPr>
        <w:t>ñ</w:t>
      </w:r>
      <w:r>
        <w:rPr>
          <w:b/>
          <w:bCs/>
          <w:spacing w:val="-7"/>
          <w:sz w:val="18"/>
          <w:szCs w:val="18"/>
          <w:lang w:val="es-ES_tradnl"/>
        </w:rPr>
        <w:t>ora </w:t>
      </w:r>
      <w:r>
        <w:rPr>
          <w:b/>
          <w:bCs/>
          <w:spacing w:val="-8"/>
          <w:sz w:val="18"/>
          <w:szCs w:val="18"/>
          <w:lang w:val="es-ES_tradnl"/>
        </w:rPr>
        <w:t>Rosa Mar</w:t>
      </w:r>
      <w:r>
        <w:rPr>
          <w:rFonts w:cs="Times New Roman"/>
          <w:b/>
          <w:bCs/>
          <w:spacing w:val="-8"/>
          <w:sz w:val="18"/>
          <w:szCs w:val="18"/>
          <w:lang w:val="es-ES_tradnl"/>
        </w:rPr>
        <w:t>í</w:t>
      </w:r>
      <w:r>
        <w:rPr>
          <w:b/>
          <w:bCs/>
          <w:spacing w:val="-8"/>
          <w:sz w:val="18"/>
          <w:szCs w:val="18"/>
          <w:lang w:val="es-ES_tradnl"/>
        </w:rPr>
        <w:t xml:space="preserve">a Toledo Tapia </w:t>
      </w:r>
      <w:r>
        <w:rPr>
          <w:b/>
          <w:bCs/>
          <w:sz w:val="18"/>
          <w:szCs w:val="18"/>
          <w:lang w:val="es-ES_tradnl"/>
        </w:rPr>
        <w:tab/>
        <w:t xml:space="preserve">   </w:t>
      </w:r>
      <w:r>
        <w:rPr>
          <w:b/>
          <w:bCs/>
          <w:spacing w:val="-10"/>
          <w:sz w:val="18"/>
          <w:szCs w:val="18"/>
          <w:lang w:val="es-ES_tradnl"/>
        </w:rPr>
        <w:t>173</w:t>
      </w:r>
    </w:p>
    <w:p w14:paraId="4F67A2F8" w14:textId="77777777" w:rsidR="00591D54" w:rsidRDefault="00591D54" w:rsidP="00251195">
      <w:pPr>
        <w:shd w:val="clear" w:color="auto" w:fill="FFFFFF"/>
        <w:jc w:val="right"/>
      </w:pPr>
      <w:r>
        <w:br w:type="column"/>
      </w:r>
      <w:r>
        <w:rPr>
          <w:b/>
          <w:bCs/>
          <w:spacing w:val="-16"/>
          <w:sz w:val="18"/>
          <w:szCs w:val="18"/>
          <w:lang w:val="es-ES_tradnl"/>
        </w:rPr>
        <w:t>P</w:t>
      </w:r>
      <w:r>
        <w:rPr>
          <w:rFonts w:cs="Times New Roman"/>
          <w:b/>
          <w:bCs/>
          <w:spacing w:val="-16"/>
          <w:sz w:val="18"/>
          <w:szCs w:val="18"/>
          <w:lang w:val="es-ES_tradnl"/>
        </w:rPr>
        <w:t>á</w:t>
      </w:r>
      <w:r>
        <w:rPr>
          <w:b/>
          <w:bCs/>
          <w:spacing w:val="-16"/>
          <w:sz w:val="18"/>
          <w:szCs w:val="18"/>
          <w:lang w:val="es-ES_tradnl"/>
        </w:rPr>
        <w:t>gs.</w:t>
      </w:r>
    </w:p>
    <w:p w14:paraId="4F67A2F9" w14:textId="77777777" w:rsidR="00591D54" w:rsidRDefault="00591D54" w:rsidP="00251195">
      <w:pPr>
        <w:shd w:val="clear" w:color="auto" w:fill="FFFFFF"/>
        <w:tabs>
          <w:tab w:val="left" w:leader="dot" w:pos="3850"/>
        </w:tabs>
        <w:ind w:left="682" w:hanging="682"/>
        <w:jc w:val="both"/>
        <w:rPr>
          <w:b/>
          <w:bCs/>
          <w:spacing w:val="-10"/>
          <w:sz w:val="18"/>
          <w:szCs w:val="18"/>
          <w:lang w:val="es-ES_tradnl"/>
        </w:rPr>
      </w:pPr>
      <w:r>
        <w:rPr>
          <w:b/>
          <w:bCs/>
          <w:spacing w:val="-8"/>
          <w:sz w:val="18"/>
          <w:szCs w:val="18"/>
          <w:lang w:val="es-ES_tradnl"/>
        </w:rPr>
        <w:t>259-15-SEP-CC Ac</w:t>
      </w:r>
      <w:r>
        <w:rPr>
          <w:rFonts w:cs="Times New Roman"/>
          <w:b/>
          <w:bCs/>
          <w:spacing w:val="-8"/>
          <w:sz w:val="18"/>
          <w:szCs w:val="18"/>
          <w:lang w:val="es-ES_tradnl"/>
        </w:rPr>
        <w:t>é</w:t>
      </w:r>
      <w:r>
        <w:rPr>
          <w:b/>
          <w:bCs/>
          <w:spacing w:val="-8"/>
          <w:sz w:val="18"/>
          <w:szCs w:val="18"/>
          <w:lang w:val="es-ES_tradnl"/>
        </w:rPr>
        <w:t>ptese la acci</w:t>
      </w:r>
      <w:r>
        <w:rPr>
          <w:rFonts w:cs="Times New Roman"/>
          <w:b/>
          <w:bCs/>
          <w:spacing w:val="-8"/>
          <w:sz w:val="18"/>
          <w:szCs w:val="18"/>
          <w:lang w:val="es-ES_tradnl"/>
        </w:rPr>
        <w:t>ó</w:t>
      </w:r>
      <w:r>
        <w:rPr>
          <w:b/>
          <w:bCs/>
          <w:spacing w:val="-8"/>
          <w:sz w:val="18"/>
          <w:szCs w:val="18"/>
          <w:lang w:val="es-ES_tradnl"/>
        </w:rPr>
        <w:t>n extraordinaria de protecci</w:t>
      </w:r>
      <w:r>
        <w:rPr>
          <w:rFonts w:cs="Times New Roman"/>
          <w:b/>
          <w:bCs/>
          <w:spacing w:val="-8"/>
          <w:sz w:val="18"/>
          <w:szCs w:val="18"/>
          <w:lang w:val="es-ES_tradnl"/>
        </w:rPr>
        <w:t>ó</w:t>
      </w:r>
      <w:r>
        <w:rPr>
          <w:b/>
          <w:bCs/>
          <w:spacing w:val="-8"/>
          <w:sz w:val="18"/>
          <w:szCs w:val="18"/>
          <w:lang w:val="es-ES_tradnl"/>
        </w:rPr>
        <w:t>n presentada por el doctor </w:t>
      </w:r>
      <w:r>
        <w:rPr>
          <w:b/>
          <w:bCs/>
          <w:spacing w:val="-6"/>
          <w:sz w:val="18"/>
          <w:szCs w:val="18"/>
          <w:lang w:val="es-ES_tradnl"/>
        </w:rPr>
        <w:t>V</w:t>
      </w:r>
      <w:r>
        <w:rPr>
          <w:rFonts w:cs="Times New Roman"/>
          <w:b/>
          <w:bCs/>
          <w:spacing w:val="-6"/>
          <w:sz w:val="18"/>
          <w:szCs w:val="18"/>
          <w:lang w:val="es-ES_tradnl"/>
        </w:rPr>
        <w:t>í</w:t>
      </w:r>
      <w:r>
        <w:rPr>
          <w:b/>
          <w:bCs/>
          <w:spacing w:val="-6"/>
          <w:sz w:val="18"/>
          <w:szCs w:val="18"/>
          <w:lang w:val="es-ES_tradnl"/>
        </w:rPr>
        <w:t xml:space="preserve">ctor Hugo Largo Machuca y otro </w:t>
      </w:r>
      <w:r>
        <w:rPr>
          <w:b/>
          <w:bCs/>
          <w:sz w:val="18"/>
          <w:szCs w:val="18"/>
          <w:lang w:val="es-ES_tradnl"/>
        </w:rPr>
        <w:tab/>
        <w:t xml:space="preserve">   </w:t>
      </w:r>
      <w:r>
        <w:rPr>
          <w:b/>
          <w:bCs/>
          <w:spacing w:val="-10"/>
          <w:sz w:val="18"/>
          <w:szCs w:val="18"/>
          <w:lang w:val="es-ES_tradnl"/>
        </w:rPr>
        <w:t>181</w:t>
      </w:r>
    </w:p>
    <w:p w14:paraId="4F67A2FA" w14:textId="77777777" w:rsidR="00591D54" w:rsidRDefault="00591D54" w:rsidP="00251195">
      <w:pPr>
        <w:shd w:val="clear" w:color="auto" w:fill="FFFFFF"/>
        <w:tabs>
          <w:tab w:val="left" w:leader="dot" w:pos="3850"/>
        </w:tabs>
        <w:ind w:left="682" w:hanging="682"/>
        <w:jc w:val="both"/>
      </w:pPr>
    </w:p>
    <w:p w14:paraId="4F67A2FB" w14:textId="77777777" w:rsidR="00591D54" w:rsidRDefault="00591D54" w:rsidP="00251195">
      <w:pPr>
        <w:shd w:val="clear" w:color="auto" w:fill="FFFFFF"/>
        <w:tabs>
          <w:tab w:val="left" w:leader="dot" w:pos="3850"/>
        </w:tabs>
        <w:ind w:left="682" w:hanging="682"/>
        <w:jc w:val="both"/>
        <w:rPr>
          <w:b/>
          <w:bCs/>
          <w:spacing w:val="-10"/>
          <w:sz w:val="18"/>
          <w:szCs w:val="18"/>
          <w:lang w:val="es-ES_tradnl"/>
        </w:rPr>
      </w:pPr>
      <w:r>
        <w:rPr>
          <w:b/>
          <w:bCs/>
          <w:spacing w:val="-8"/>
          <w:sz w:val="18"/>
          <w:szCs w:val="18"/>
          <w:lang w:val="es-ES_tradnl"/>
        </w:rPr>
        <w:t>263-15-SEP-CC Ni</w:t>
      </w:r>
      <w:r>
        <w:rPr>
          <w:rFonts w:cs="Times New Roman"/>
          <w:b/>
          <w:bCs/>
          <w:spacing w:val="-8"/>
          <w:sz w:val="18"/>
          <w:szCs w:val="18"/>
          <w:lang w:val="es-ES_tradnl"/>
        </w:rPr>
        <w:t>é</w:t>
      </w:r>
      <w:r>
        <w:rPr>
          <w:b/>
          <w:bCs/>
          <w:spacing w:val="-8"/>
          <w:sz w:val="18"/>
          <w:szCs w:val="18"/>
          <w:lang w:val="es-ES_tradnl"/>
        </w:rPr>
        <w:t>guese la acci</w:t>
      </w:r>
      <w:r>
        <w:rPr>
          <w:rFonts w:cs="Times New Roman"/>
          <w:b/>
          <w:bCs/>
          <w:spacing w:val="-8"/>
          <w:sz w:val="18"/>
          <w:szCs w:val="18"/>
          <w:lang w:val="es-ES_tradnl"/>
        </w:rPr>
        <w:t>ó</w:t>
      </w:r>
      <w:r>
        <w:rPr>
          <w:b/>
          <w:bCs/>
          <w:spacing w:val="-8"/>
          <w:sz w:val="18"/>
          <w:szCs w:val="18"/>
          <w:lang w:val="es-ES_tradnl"/>
        </w:rPr>
        <w:t>n extraordinaria </w:t>
      </w:r>
      <w:r>
        <w:rPr>
          <w:b/>
          <w:bCs/>
          <w:spacing w:val="-9"/>
          <w:sz w:val="18"/>
          <w:szCs w:val="18"/>
          <w:lang w:val="es-ES_tradnl"/>
        </w:rPr>
        <w:t>de protecci</w:t>
      </w:r>
      <w:r>
        <w:rPr>
          <w:rFonts w:cs="Times New Roman"/>
          <w:b/>
          <w:bCs/>
          <w:spacing w:val="-9"/>
          <w:sz w:val="18"/>
          <w:szCs w:val="18"/>
          <w:lang w:val="es-ES_tradnl"/>
        </w:rPr>
        <w:t>ó</w:t>
      </w:r>
      <w:r>
        <w:rPr>
          <w:b/>
          <w:bCs/>
          <w:spacing w:val="-9"/>
          <w:sz w:val="18"/>
          <w:szCs w:val="18"/>
          <w:lang w:val="es-ES_tradnl"/>
        </w:rPr>
        <w:t>n presentada por el se</w:t>
      </w:r>
      <w:r>
        <w:rPr>
          <w:rFonts w:cs="Times New Roman"/>
          <w:b/>
          <w:bCs/>
          <w:spacing w:val="-9"/>
          <w:sz w:val="18"/>
          <w:szCs w:val="18"/>
          <w:lang w:val="es-ES_tradnl"/>
        </w:rPr>
        <w:t>ñ</w:t>
      </w:r>
      <w:r>
        <w:rPr>
          <w:b/>
          <w:bCs/>
          <w:spacing w:val="-9"/>
          <w:sz w:val="18"/>
          <w:szCs w:val="18"/>
          <w:lang w:val="es-ES_tradnl"/>
        </w:rPr>
        <w:t>or </w:t>
      </w:r>
      <w:r>
        <w:rPr>
          <w:b/>
          <w:bCs/>
          <w:spacing w:val="-6"/>
          <w:sz w:val="18"/>
          <w:szCs w:val="18"/>
          <w:lang w:val="es-ES_tradnl"/>
        </w:rPr>
        <w:t xml:space="preserve">Wilfrido Euclides Montalvo Bustamante y otra </w:t>
      </w:r>
      <w:r>
        <w:rPr>
          <w:b/>
          <w:bCs/>
          <w:sz w:val="18"/>
          <w:szCs w:val="18"/>
          <w:lang w:val="es-ES_tradnl"/>
        </w:rPr>
        <w:tab/>
        <w:t xml:space="preserve">   </w:t>
      </w:r>
      <w:r>
        <w:rPr>
          <w:b/>
          <w:bCs/>
          <w:spacing w:val="-10"/>
          <w:sz w:val="18"/>
          <w:szCs w:val="18"/>
          <w:lang w:val="es-ES_tradnl"/>
        </w:rPr>
        <w:t>189</w:t>
      </w:r>
    </w:p>
    <w:p w14:paraId="4F67A2FC" w14:textId="77777777" w:rsidR="00591D54" w:rsidRDefault="00591D54" w:rsidP="00251195">
      <w:pPr>
        <w:shd w:val="clear" w:color="auto" w:fill="FFFFFF"/>
        <w:tabs>
          <w:tab w:val="left" w:leader="dot" w:pos="3850"/>
        </w:tabs>
        <w:ind w:left="682" w:hanging="682"/>
        <w:jc w:val="both"/>
      </w:pPr>
    </w:p>
    <w:p w14:paraId="4F67A2FD" w14:textId="77777777" w:rsidR="00591D54" w:rsidRDefault="00591D54" w:rsidP="00251195">
      <w:pPr>
        <w:shd w:val="clear" w:color="auto" w:fill="FFFFFF"/>
        <w:tabs>
          <w:tab w:val="left" w:leader="dot" w:pos="3850"/>
        </w:tabs>
        <w:ind w:left="682" w:hanging="682"/>
        <w:jc w:val="both"/>
        <w:rPr>
          <w:b/>
          <w:bCs/>
          <w:spacing w:val="-10"/>
          <w:sz w:val="18"/>
          <w:szCs w:val="18"/>
          <w:lang w:val="es-ES_tradnl"/>
        </w:rPr>
      </w:pPr>
      <w:r>
        <w:rPr>
          <w:b/>
          <w:bCs/>
          <w:spacing w:val="-8"/>
          <w:sz w:val="18"/>
          <w:szCs w:val="18"/>
          <w:lang w:val="es-ES_tradnl"/>
        </w:rPr>
        <w:t>265-15-SEP-CC Ac</w:t>
      </w:r>
      <w:r>
        <w:rPr>
          <w:rFonts w:cs="Times New Roman"/>
          <w:b/>
          <w:bCs/>
          <w:spacing w:val="-8"/>
          <w:sz w:val="18"/>
          <w:szCs w:val="18"/>
          <w:lang w:val="es-ES_tradnl"/>
        </w:rPr>
        <w:t>é</w:t>
      </w:r>
      <w:r>
        <w:rPr>
          <w:b/>
          <w:bCs/>
          <w:spacing w:val="-8"/>
          <w:sz w:val="18"/>
          <w:szCs w:val="18"/>
          <w:lang w:val="es-ES_tradnl"/>
        </w:rPr>
        <w:t>ptese la acci</w:t>
      </w:r>
      <w:r>
        <w:rPr>
          <w:rFonts w:cs="Times New Roman"/>
          <w:b/>
          <w:bCs/>
          <w:spacing w:val="-8"/>
          <w:sz w:val="18"/>
          <w:szCs w:val="18"/>
          <w:lang w:val="es-ES_tradnl"/>
        </w:rPr>
        <w:t>ó</w:t>
      </w:r>
      <w:r>
        <w:rPr>
          <w:b/>
          <w:bCs/>
          <w:spacing w:val="-8"/>
          <w:sz w:val="18"/>
          <w:szCs w:val="18"/>
          <w:lang w:val="es-ES_tradnl"/>
        </w:rPr>
        <w:t>n extraordinaria de protecci</w:t>
      </w:r>
      <w:r>
        <w:rPr>
          <w:rFonts w:cs="Times New Roman"/>
          <w:b/>
          <w:bCs/>
          <w:spacing w:val="-8"/>
          <w:sz w:val="18"/>
          <w:szCs w:val="18"/>
          <w:lang w:val="es-ES_tradnl"/>
        </w:rPr>
        <w:t>ó</w:t>
      </w:r>
      <w:r>
        <w:rPr>
          <w:b/>
          <w:bCs/>
          <w:spacing w:val="-8"/>
          <w:sz w:val="18"/>
          <w:szCs w:val="18"/>
          <w:lang w:val="es-ES_tradnl"/>
        </w:rPr>
        <w:t>n planteada por el se</w:t>
      </w:r>
      <w:r>
        <w:rPr>
          <w:rFonts w:cs="Times New Roman"/>
          <w:b/>
          <w:bCs/>
          <w:spacing w:val="-8"/>
          <w:sz w:val="18"/>
          <w:szCs w:val="18"/>
          <w:lang w:val="es-ES_tradnl"/>
        </w:rPr>
        <w:t>ñ</w:t>
      </w:r>
      <w:r>
        <w:rPr>
          <w:b/>
          <w:bCs/>
          <w:spacing w:val="-8"/>
          <w:sz w:val="18"/>
          <w:szCs w:val="18"/>
          <w:lang w:val="es-ES_tradnl"/>
        </w:rPr>
        <w:t>or </w:t>
      </w:r>
      <w:r>
        <w:rPr>
          <w:b/>
          <w:bCs/>
          <w:sz w:val="18"/>
          <w:szCs w:val="18"/>
          <w:lang w:val="es-ES_tradnl"/>
        </w:rPr>
        <w:t>Manuel Gonzalo Quillupangui </w:t>
      </w:r>
      <w:r>
        <w:rPr>
          <w:b/>
          <w:bCs/>
          <w:spacing w:val="-7"/>
          <w:sz w:val="18"/>
          <w:szCs w:val="18"/>
          <w:lang w:val="es-ES_tradnl"/>
        </w:rPr>
        <w:t xml:space="preserve">Ninahualpa </w:t>
      </w:r>
      <w:r>
        <w:rPr>
          <w:b/>
          <w:bCs/>
          <w:sz w:val="18"/>
          <w:szCs w:val="18"/>
          <w:lang w:val="es-ES_tradnl"/>
        </w:rPr>
        <w:tab/>
        <w:t xml:space="preserve">   </w:t>
      </w:r>
      <w:r>
        <w:rPr>
          <w:b/>
          <w:bCs/>
          <w:spacing w:val="-10"/>
          <w:sz w:val="18"/>
          <w:szCs w:val="18"/>
          <w:lang w:val="es-ES_tradnl"/>
        </w:rPr>
        <w:t>194</w:t>
      </w:r>
    </w:p>
    <w:p w14:paraId="4F67A2FE" w14:textId="77777777" w:rsidR="00591D54" w:rsidRDefault="00591D54" w:rsidP="00251195">
      <w:pPr>
        <w:shd w:val="clear" w:color="auto" w:fill="FFFFFF"/>
        <w:tabs>
          <w:tab w:val="left" w:leader="dot" w:pos="3850"/>
        </w:tabs>
        <w:ind w:left="682" w:hanging="682"/>
        <w:jc w:val="both"/>
      </w:pPr>
    </w:p>
    <w:p w14:paraId="4F67A2FF" w14:textId="77777777" w:rsidR="00591D54" w:rsidRDefault="00591D54" w:rsidP="00251195">
      <w:pPr>
        <w:shd w:val="clear" w:color="auto" w:fill="FFFFFF"/>
        <w:tabs>
          <w:tab w:val="left" w:leader="dot" w:pos="3850"/>
        </w:tabs>
        <w:ind w:left="682" w:hanging="682"/>
        <w:jc w:val="both"/>
        <w:rPr>
          <w:b/>
          <w:bCs/>
          <w:spacing w:val="-10"/>
          <w:sz w:val="18"/>
          <w:szCs w:val="18"/>
          <w:lang w:val="es-ES_tradnl"/>
        </w:rPr>
      </w:pPr>
      <w:r>
        <w:rPr>
          <w:b/>
          <w:bCs/>
          <w:spacing w:val="-8"/>
          <w:sz w:val="18"/>
          <w:szCs w:val="18"/>
          <w:lang w:val="es-ES_tradnl"/>
        </w:rPr>
        <w:t>266-15-SEP-CC Ac</w:t>
      </w:r>
      <w:r>
        <w:rPr>
          <w:rFonts w:cs="Times New Roman"/>
          <w:b/>
          <w:bCs/>
          <w:spacing w:val="-8"/>
          <w:sz w:val="18"/>
          <w:szCs w:val="18"/>
          <w:lang w:val="es-ES_tradnl"/>
        </w:rPr>
        <w:t>é</w:t>
      </w:r>
      <w:r>
        <w:rPr>
          <w:b/>
          <w:bCs/>
          <w:spacing w:val="-8"/>
          <w:sz w:val="18"/>
          <w:szCs w:val="18"/>
          <w:lang w:val="es-ES_tradnl"/>
        </w:rPr>
        <w:t>ptese la acci</w:t>
      </w:r>
      <w:r>
        <w:rPr>
          <w:rFonts w:cs="Times New Roman"/>
          <w:b/>
          <w:bCs/>
          <w:spacing w:val="-8"/>
          <w:sz w:val="18"/>
          <w:szCs w:val="18"/>
          <w:lang w:val="es-ES_tradnl"/>
        </w:rPr>
        <w:t>ó</w:t>
      </w:r>
      <w:r>
        <w:rPr>
          <w:b/>
          <w:bCs/>
          <w:spacing w:val="-8"/>
          <w:sz w:val="18"/>
          <w:szCs w:val="18"/>
          <w:lang w:val="es-ES_tradnl"/>
        </w:rPr>
        <w:t>n extraordinaria </w:t>
      </w:r>
      <w:r>
        <w:rPr>
          <w:b/>
          <w:bCs/>
          <w:spacing w:val="-9"/>
          <w:sz w:val="18"/>
          <w:szCs w:val="18"/>
          <w:lang w:val="es-ES_tradnl"/>
        </w:rPr>
        <w:t>de protecci</w:t>
      </w:r>
      <w:r>
        <w:rPr>
          <w:rFonts w:cs="Times New Roman"/>
          <w:b/>
          <w:bCs/>
          <w:spacing w:val="-9"/>
          <w:sz w:val="18"/>
          <w:szCs w:val="18"/>
          <w:lang w:val="es-ES_tradnl"/>
        </w:rPr>
        <w:t>ó</w:t>
      </w:r>
      <w:r>
        <w:rPr>
          <w:b/>
          <w:bCs/>
          <w:spacing w:val="-9"/>
          <w:sz w:val="18"/>
          <w:szCs w:val="18"/>
          <w:lang w:val="es-ES_tradnl"/>
        </w:rPr>
        <w:t>n propuesta por el abogado V</w:t>
      </w:r>
      <w:r>
        <w:rPr>
          <w:rFonts w:cs="Times New Roman"/>
          <w:b/>
          <w:bCs/>
          <w:spacing w:val="-9"/>
          <w:sz w:val="18"/>
          <w:szCs w:val="18"/>
          <w:lang w:val="es-ES_tradnl"/>
        </w:rPr>
        <w:t>í</w:t>
      </w:r>
      <w:r>
        <w:rPr>
          <w:b/>
          <w:bCs/>
          <w:spacing w:val="-9"/>
          <w:sz w:val="18"/>
          <w:szCs w:val="18"/>
          <w:lang w:val="es-ES_tradnl"/>
        </w:rPr>
        <w:t xml:space="preserve">ctor Anchundia Places </w:t>
      </w:r>
      <w:r>
        <w:rPr>
          <w:b/>
          <w:bCs/>
          <w:sz w:val="18"/>
          <w:szCs w:val="18"/>
          <w:lang w:val="es-ES_tradnl"/>
        </w:rPr>
        <w:tab/>
        <w:t xml:space="preserve">   </w:t>
      </w:r>
      <w:r>
        <w:rPr>
          <w:b/>
          <w:bCs/>
          <w:spacing w:val="-10"/>
          <w:sz w:val="18"/>
          <w:szCs w:val="18"/>
          <w:lang w:val="es-ES_tradnl"/>
        </w:rPr>
        <w:t>202</w:t>
      </w:r>
    </w:p>
    <w:p w14:paraId="4F67A300" w14:textId="77777777" w:rsidR="00591D54" w:rsidRDefault="00591D54" w:rsidP="00251195">
      <w:pPr>
        <w:shd w:val="clear" w:color="auto" w:fill="FFFFFF"/>
        <w:tabs>
          <w:tab w:val="left" w:leader="dot" w:pos="3850"/>
        </w:tabs>
        <w:ind w:left="682" w:hanging="682"/>
        <w:jc w:val="both"/>
      </w:pPr>
    </w:p>
    <w:p w14:paraId="4F67A301" w14:textId="77777777" w:rsidR="00591D54" w:rsidRDefault="00591D54" w:rsidP="00251195">
      <w:pPr>
        <w:shd w:val="clear" w:color="auto" w:fill="FFFFFF"/>
        <w:tabs>
          <w:tab w:val="left" w:leader="dot" w:pos="3850"/>
        </w:tabs>
        <w:ind w:left="682" w:hanging="682"/>
        <w:jc w:val="both"/>
        <w:rPr>
          <w:b/>
          <w:bCs/>
          <w:spacing w:val="-14"/>
          <w:sz w:val="18"/>
          <w:szCs w:val="18"/>
          <w:lang w:val="es-ES_tradnl"/>
        </w:rPr>
      </w:pPr>
      <w:r>
        <w:rPr>
          <w:b/>
          <w:bCs/>
          <w:spacing w:val="-8"/>
          <w:sz w:val="18"/>
          <w:szCs w:val="18"/>
          <w:lang w:val="es-ES_tradnl"/>
        </w:rPr>
        <w:t>268-15-SEP-CC Ni</w:t>
      </w:r>
      <w:r>
        <w:rPr>
          <w:rFonts w:cs="Times New Roman"/>
          <w:b/>
          <w:bCs/>
          <w:spacing w:val="-8"/>
          <w:sz w:val="18"/>
          <w:szCs w:val="18"/>
          <w:lang w:val="es-ES_tradnl"/>
        </w:rPr>
        <w:t>é</w:t>
      </w:r>
      <w:r>
        <w:rPr>
          <w:b/>
          <w:bCs/>
          <w:spacing w:val="-8"/>
          <w:sz w:val="18"/>
          <w:szCs w:val="18"/>
          <w:lang w:val="es-ES_tradnl"/>
        </w:rPr>
        <w:t>guese la acci</w:t>
      </w:r>
      <w:r>
        <w:rPr>
          <w:rFonts w:cs="Times New Roman"/>
          <w:b/>
          <w:bCs/>
          <w:spacing w:val="-8"/>
          <w:sz w:val="18"/>
          <w:szCs w:val="18"/>
          <w:lang w:val="es-ES_tradnl"/>
        </w:rPr>
        <w:t>ó</w:t>
      </w:r>
      <w:r>
        <w:rPr>
          <w:b/>
          <w:bCs/>
          <w:spacing w:val="-8"/>
          <w:sz w:val="18"/>
          <w:szCs w:val="18"/>
          <w:lang w:val="es-ES_tradnl"/>
        </w:rPr>
        <w:t>n extraordinaria </w:t>
      </w:r>
      <w:r>
        <w:rPr>
          <w:b/>
          <w:bCs/>
          <w:spacing w:val="-7"/>
          <w:sz w:val="18"/>
          <w:szCs w:val="18"/>
          <w:lang w:val="es-ES_tradnl"/>
        </w:rPr>
        <w:t>de protecci</w:t>
      </w:r>
      <w:r>
        <w:rPr>
          <w:rFonts w:cs="Times New Roman"/>
          <w:b/>
          <w:bCs/>
          <w:spacing w:val="-7"/>
          <w:sz w:val="18"/>
          <w:szCs w:val="18"/>
          <w:lang w:val="es-ES_tradnl"/>
        </w:rPr>
        <w:t>ó</w:t>
      </w:r>
      <w:r>
        <w:rPr>
          <w:b/>
          <w:bCs/>
          <w:spacing w:val="-7"/>
          <w:sz w:val="18"/>
          <w:szCs w:val="18"/>
          <w:lang w:val="es-ES_tradnl"/>
        </w:rPr>
        <w:t>n planteada por el doctor </w:t>
      </w:r>
      <w:r>
        <w:rPr>
          <w:b/>
          <w:bCs/>
          <w:spacing w:val="-8"/>
          <w:sz w:val="18"/>
          <w:szCs w:val="18"/>
          <w:lang w:val="es-ES_tradnl"/>
        </w:rPr>
        <w:t>Wilson Narv</w:t>
      </w:r>
      <w:r>
        <w:rPr>
          <w:rFonts w:cs="Times New Roman"/>
          <w:b/>
          <w:bCs/>
          <w:spacing w:val="-8"/>
          <w:sz w:val="18"/>
          <w:szCs w:val="18"/>
          <w:lang w:val="es-ES_tradnl"/>
        </w:rPr>
        <w:t>á</w:t>
      </w:r>
      <w:r>
        <w:rPr>
          <w:b/>
          <w:bCs/>
          <w:spacing w:val="-8"/>
          <w:sz w:val="18"/>
          <w:szCs w:val="18"/>
          <w:lang w:val="es-ES_tradnl"/>
        </w:rPr>
        <w:t>ez Vicu</w:t>
      </w:r>
      <w:r>
        <w:rPr>
          <w:rFonts w:cs="Times New Roman"/>
          <w:b/>
          <w:bCs/>
          <w:spacing w:val="-8"/>
          <w:sz w:val="18"/>
          <w:szCs w:val="18"/>
          <w:lang w:val="es-ES_tradnl"/>
        </w:rPr>
        <w:t>ñ</w:t>
      </w:r>
      <w:r>
        <w:rPr>
          <w:b/>
          <w:bCs/>
          <w:spacing w:val="-8"/>
          <w:sz w:val="18"/>
          <w:szCs w:val="18"/>
          <w:lang w:val="es-ES_tradnl"/>
        </w:rPr>
        <w:t xml:space="preserve">a </w:t>
      </w:r>
      <w:r>
        <w:rPr>
          <w:b/>
          <w:bCs/>
          <w:sz w:val="18"/>
          <w:szCs w:val="18"/>
          <w:lang w:val="es-ES_tradnl"/>
        </w:rPr>
        <w:tab/>
        <w:t xml:space="preserve">   </w:t>
      </w:r>
      <w:r>
        <w:rPr>
          <w:b/>
          <w:bCs/>
          <w:spacing w:val="-14"/>
          <w:sz w:val="18"/>
          <w:szCs w:val="18"/>
          <w:lang w:val="es-ES_tradnl"/>
        </w:rPr>
        <w:t>211</w:t>
      </w:r>
    </w:p>
    <w:p w14:paraId="4F67A302" w14:textId="77777777" w:rsidR="00591D54" w:rsidRDefault="00591D54" w:rsidP="00251195">
      <w:pPr>
        <w:shd w:val="clear" w:color="auto" w:fill="FFFFFF"/>
        <w:tabs>
          <w:tab w:val="left" w:leader="dot" w:pos="3850"/>
        </w:tabs>
        <w:ind w:left="682" w:hanging="682"/>
        <w:jc w:val="both"/>
      </w:pPr>
    </w:p>
    <w:p w14:paraId="4F67A303" w14:textId="77777777" w:rsidR="00591D54" w:rsidRDefault="00591D54" w:rsidP="00251195">
      <w:pPr>
        <w:shd w:val="clear" w:color="auto" w:fill="FFFFFF"/>
        <w:tabs>
          <w:tab w:val="left" w:leader="dot" w:pos="3850"/>
        </w:tabs>
        <w:ind w:left="682" w:hanging="682"/>
        <w:jc w:val="both"/>
        <w:rPr>
          <w:b/>
          <w:bCs/>
          <w:spacing w:val="-10"/>
          <w:sz w:val="18"/>
          <w:szCs w:val="18"/>
          <w:lang w:val="es-ES_tradnl"/>
        </w:rPr>
      </w:pPr>
      <w:r>
        <w:rPr>
          <w:b/>
          <w:bCs/>
          <w:spacing w:val="-8"/>
          <w:sz w:val="18"/>
          <w:szCs w:val="18"/>
          <w:lang w:val="es-ES_tradnl"/>
        </w:rPr>
        <w:t>269-15-SEP-CC Ac</w:t>
      </w:r>
      <w:r>
        <w:rPr>
          <w:rFonts w:cs="Times New Roman"/>
          <w:b/>
          <w:bCs/>
          <w:spacing w:val="-8"/>
          <w:sz w:val="18"/>
          <w:szCs w:val="18"/>
          <w:lang w:val="es-ES_tradnl"/>
        </w:rPr>
        <w:t>é</w:t>
      </w:r>
      <w:r>
        <w:rPr>
          <w:b/>
          <w:bCs/>
          <w:spacing w:val="-8"/>
          <w:sz w:val="18"/>
          <w:szCs w:val="18"/>
          <w:lang w:val="es-ES_tradnl"/>
        </w:rPr>
        <w:t>ptese la acci</w:t>
      </w:r>
      <w:r>
        <w:rPr>
          <w:rFonts w:cs="Times New Roman"/>
          <w:b/>
          <w:bCs/>
          <w:spacing w:val="-8"/>
          <w:sz w:val="18"/>
          <w:szCs w:val="18"/>
          <w:lang w:val="es-ES_tradnl"/>
        </w:rPr>
        <w:t>ó</w:t>
      </w:r>
      <w:r>
        <w:rPr>
          <w:b/>
          <w:bCs/>
          <w:spacing w:val="-8"/>
          <w:sz w:val="18"/>
          <w:szCs w:val="18"/>
          <w:lang w:val="es-ES_tradnl"/>
        </w:rPr>
        <w:t>n extraordinaria </w:t>
      </w:r>
      <w:r>
        <w:rPr>
          <w:b/>
          <w:bCs/>
          <w:spacing w:val="-9"/>
          <w:sz w:val="18"/>
          <w:szCs w:val="18"/>
          <w:lang w:val="es-ES_tradnl"/>
        </w:rPr>
        <w:t>de protecci</w:t>
      </w:r>
      <w:r>
        <w:rPr>
          <w:rFonts w:cs="Times New Roman"/>
          <w:b/>
          <w:bCs/>
          <w:spacing w:val="-9"/>
          <w:sz w:val="18"/>
          <w:szCs w:val="18"/>
          <w:lang w:val="es-ES_tradnl"/>
        </w:rPr>
        <w:t>ó</w:t>
      </w:r>
      <w:r>
        <w:rPr>
          <w:b/>
          <w:bCs/>
          <w:spacing w:val="-9"/>
          <w:sz w:val="18"/>
          <w:szCs w:val="18"/>
          <w:lang w:val="es-ES_tradnl"/>
        </w:rPr>
        <w:t>n planteada por el licenciado </w:t>
      </w:r>
      <w:r>
        <w:rPr>
          <w:b/>
          <w:bCs/>
          <w:spacing w:val="-7"/>
          <w:sz w:val="18"/>
          <w:szCs w:val="18"/>
          <w:lang w:val="es-ES_tradnl"/>
        </w:rPr>
        <w:t>Fausto Gil S</w:t>
      </w:r>
      <w:r>
        <w:rPr>
          <w:rFonts w:cs="Times New Roman"/>
          <w:b/>
          <w:bCs/>
          <w:spacing w:val="-7"/>
          <w:sz w:val="18"/>
          <w:szCs w:val="18"/>
          <w:lang w:val="es-ES_tradnl"/>
        </w:rPr>
        <w:t>á</w:t>
      </w:r>
      <w:r>
        <w:rPr>
          <w:b/>
          <w:bCs/>
          <w:spacing w:val="-7"/>
          <w:sz w:val="18"/>
          <w:szCs w:val="18"/>
          <w:lang w:val="es-ES_tradnl"/>
        </w:rPr>
        <w:t xml:space="preserve">enz Zavala </w:t>
      </w:r>
      <w:r>
        <w:rPr>
          <w:b/>
          <w:bCs/>
          <w:sz w:val="18"/>
          <w:szCs w:val="18"/>
          <w:lang w:val="es-ES_tradnl"/>
        </w:rPr>
        <w:tab/>
        <w:t xml:space="preserve">   </w:t>
      </w:r>
      <w:r>
        <w:rPr>
          <w:b/>
          <w:bCs/>
          <w:spacing w:val="-10"/>
          <w:sz w:val="18"/>
          <w:szCs w:val="18"/>
          <w:lang w:val="es-ES_tradnl"/>
        </w:rPr>
        <w:t>217</w:t>
      </w:r>
    </w:p>
    <w:p w14:paraId="4F67A304" w14:textId="77777777" w:rsidR="00591D54" w:rsidRDefault="00591D54" w:rsidP="00251195">
      <w:pPr>
        <w:shd w:val="clear" w:color="auto" w:fill="FFFFFF"/>
        <w:tabs>
          <w:tab w:val="left" w:leader="dot" w:pos="3850"/>
        </w:tabs>
        <w:ind w:left="682" w:hanging="682"/>
        <w:jc w:val="both"/>
      </w:pPr>
    </w:p>
    <w:p w14:paraId="4F67A305" w14:textId="77777777" w:rsidR="00591D54" w:rsidRDefault="00591D54" w:rsidP="00251195">
      <w:pPr>
        <w:shd w:val="clear" w:color="auto" w:fill="FFFFFF"/>
        <w:tabs>
          <w:tab w:val="left" w:leader="dot" w:pos="3850"/>
        </w:tabs>
        <w:ind w:left="682" w:hanging="682"/>
        <w:jc w:val="both"/>
        <w:rPr>
          <w:b/>
          <w:bCs/>
          <w:spacing w:val="-10"/>
          <w:sz w:val="18"/>
          <w:szCs w:val="18"/>
          <w:lang w:val="es-ES_tradnl"/>
        </w:rPr>
      </w:pPr>
      <w:r>
        <w:rPr>
          <w:b/>
          <w:bCs/>
          <w:spacing w:val="-8"/>
          <w:sz w:val="18"/>
          <w:szCs w:val="18"/>
          <w:lang w:val="es-ES_tradnl"/>
        </w:rPr>
        <w:t>270-15-SEP-CC Ni</w:t>
      </w:r>
      <w:r>
        <w:rPr>
          <w:rFonts w:cs="Times New Roman"/>
          <w:b/>
          <w:bCs/>
          <w:spacing w:val="-8"/>
          <w:sz w:val="18"/>
          <w:szCs w:val="18"/>
          <w:lang w:val="es-ES_tradnl"/>
        </w:rPr>
        <w:t>é</w:t>
      </w:r>
      <w:r>
        <w:rPr>
          <w:b/>
          <w:bCs/>
          <w:spacing w:val="-8"/>
          <w:sz w:val="18"/>
          <w:szCs w:val="18"/>
          <w:lang w:val="es-ES_tradnl"/>
        </w:rPr>
        <w:t>guese la acci</w:t>
      </w:r>
      <w:r>
        <w:rPr>
          <w:rFonts w:cs="Times New Roman"/>
          <w:b/>
          <w:bCs/>
          <w:spacing w:val="-8"/>
          <w:sz w:val="18"/>
          <w:szCs w:val="18"/>
          <w:lang w:val="es-ES_tradnl"/>
        </w:rPr>
        <w:t>ó</w:t>
      </w:r>
      <w:r>
        <w:rPr>
          <w:b/>
          <w:bCs/>
          <w:spacing w:val="-8"/>
          <w:sz w:val="18"/>
          <w:szCs w:val="18"/>
          <w:lang w:val="es-ES_tradnl"/>
        </w:rPr>
        <w:t>n extraordinaria de protecci</w:t>
      </w:r>
      <w:r>
        <w:rPr>
          <w:rFonts w:cs="Times New Roman"/>
          <w:b/>
          <w:bCs/>
          <w:spacing w:val="-8"/>
          <w:sz w:val="18"/>
          <w:szCs w:val="18"/>
          <w:lang w:val="es-ES_tradnl"/>
        </w:rPr>
        <w:t>ó</w:t>
      </w:r>
      <w:r>
        <w:rPr>
          <w:b/>
          <w:bCs/>
          <w:spacing w:val="-8"/>
          <w:sz w:val="18"/>
          <w:szCs w:val="18"/>
          <w:lang w:val="es-ES_tradnl"/>
        </w:rPr>
        <w:t>n planteada por el abogado </w:t>
      </w:r>
      <w:r>
        <w:rPr>
          <w:b/>
          <w:bCs/>
          <w:spacing w:val="-6"/>
          <w:sz w:val="18"/>
          <w:szCs w:val="18"/>
          <w:lang w:val="es-ES_tradnl"/>
        </w:rPr>
        <w:t>Christian Molina Rom</w:t>
      </w:r>
      <w:r>
        <w:rPr>
          <w:rFonts w:cs="Times New Roman"/>
          <w:b/>
          <w:bCs/>
          <w:spacing w:val="-6"/>
          <w:sz w:val="18"/>
          <w:szCs w:val="18"/>
          <w:lang w:val="es-ES_tradnl"/>
        </w:rPr>
        <w:t>á</w:t>
      </w:r>
      <w:r>
        <w:rPr>
          <w:b/>
          <w:bCs/>
          <w:spacing w:val="-6"/>
          <w:sz w:val="18"/>
          <w:szCs w:val="18"/>
          <w:lang w:val="es-ES_tradnl"/>
        </w:rPr>
        <w:t xml:space="preserve">n </w:t>
      </w:r>
      <w:r>
        <w:rPr>
          <w:b/>
          <w:bCs/>
          <w:sz w:val="18"/>
          <w:szCs w:val="18"/>
          <w:lang w:val="es-ES_tradnl"/>
        </w:rPr>
        <w:tab/>
        <w:t xml:space="preserve">   </w:t>
      </w:r>
      <w:r>
        <w:rPr>
          <w:b/>
          <w:bCs/>
          <w:spacing w:val="-10"/>
          <w:sz w:val="18"/>
          <w:szCs w:val="18"/>
          <w:lang w:val="es-ES_tradnl"/>
        </w:rPr>
        <w:t>223</w:t>
      </w:r>
    </w:p>
    <w:p w14:paraId="4F67A306" w14:textId="77777777" w:rsidR="00591D54" w:rsidRDefault="00591D54" w:rsidP="00251195">
      <w:pPr>
        <w:shd w:val="clear" w:color="auto" w:fill="FFFFFF"/>
        <w:tabs>
          <w:tab w:val="left" w:leader="dot" w:pos="3850"/>
        </w:tabs>
        <w:ind w:left="682" w:hanging="682"/>
        <w:jc w:val="both"/>
      </w:pPr>
    </w:p>
    <w:p w14:paraId="4F67A307" w14:textId="77777777" w:rsidR="00591D54" w:rsidRDefault="00591D54" w:rsidP="00251195">
      <w:pPr>
        <w:shd w:val="clear" w:color="auto" w:fill="FFFFFF"/>
        <w:tabs>
          <w:tab w:val="left" w:leader="dot" w:pos="3850"/>
        </w:tabs>
        <w:ind w:left="682" w:hanging="682"/>
        <w:jc w:val="both"/>
        <w:rPr>
          <w:b/>
          <w:bCs/>
          <w:spacing w:val="-10"/>
          <w:sz w:val="18"/>
          <w:szCs w:val="18"/>
          <w:lang w:val="es-ES_tradnl"/>
        </w:rPr>
      </w:pPr>
      <w:r>
        <w:rPr>
          <w:b/>
          <w:bCs/>
          <w:spacing w:val="-8"/>
          <w:sz w:val="18"/>
          <w:szCs w:val="18"/>
          <w:lang w:val="es-ES_tradnl"/>
        </w:rPr>
        <w:t>271-15-SEP-CC Ac</w:t>
      </w:r>
      <w:r>
        <w:rPr>
          <w:rFonts w:cs="Times New Roman"/>
          <w:b/>
          <w:bCs/>
          <w:spacing w:val="-8"/>
          <w:sz w:val="18"/>
          <w:szCs w:val="18"/>
          <w:lang w:val="es-ES_tradnl"/>
        </w:rPr>
        <w:t>é</w:t>
      </w:r>
      <w:r>
        <w:rPr>
          <w:b/>
          <w:bCs/>
          <w:spacing w:val="-8"/>
          <w:sz w:val="18"/>
          <w:szCs w:val="18"/>
          <w:lang w:val="es-ES_tradnl"/>
        </w:rPr>
        <w:t>ptese la acci</w:t>
      </w:r>
      <w:r>
        <w:rPr>
          <w:rFonts w:cs="Times New Roman"/>
          <w:b/>
          <w:bCs/>
          <w:spacing w:val="-8"/>
          <w:sz w:val="18"/>
          <w:szCs w:val="18"/>
          <w:lang w:val="es-ES_tradnl"/>
        </w:rPr>
        <w:t>ó</w:t>
      </w:r>
      <w:r>
        <w:rPr>
          <w:b/>
          <w:bCs/>
          <w:spacing w:val="-8"/>
          <w:sz w:val="18"/>
          <w:szCs w:val="18"/>
          <w:lang w:val="es-ES_tradnl"/>
        </w:rPr>
        <w:t>n extraordinaria </w:t>
      </w:r>
      <w:r>
        <w:rPr>
          <w:b/>
          <w:bCs/>
          <w:spacing w:val="-9"/>
          <w:sz w:val="18"/>
          <w:szCs w:val="18"/>
          <w:lang w:val="es-ES_tradnl"/>
        </w:rPr>
        <w:t>de protecci</w:t>
      </w:r>
      <w:r>
        <w:rPr>
          <w:rFonts w:cs="Times New Roman"/>
          <w:b/>
          <w:bCs/>
          <w:spacing w:val="-9"/>
          <w:sz w:val="18"/>
          <w:szCs w:val="18"/>
          <w:lang w:val="es-ES_tradnl"/>
        </w:rPr>
        <w:t>ó</w:t>
      </w:r>
      <w:r>
        <w:rPr>
          <w:b/>
          <w:bCs/>
          <w:spacing w:val="-9"/>
          <w:sz w:val="18"/>
          <w:szCs w:val="18"/>
          <w:lang w:val="es-ES_tradnl"/>
        </w:rPr>
        <w:t>n propuesta el se</w:t>
      </w:r>
      <w:r>
        <w:rPr>
          <w:rFonts w:cs="Times New Roman"/>
          <w:b/>
          <w:bCs/>
          <w:spacing w:val="-9"/>
          <w:sz w:val="18"/>
          <w:szCs w:val="18"/>
          <w:lang w:val="es-ES_tradnl"/>
        </w:rPr>
        <w:t>ñ</w:t>
      </w:r>
      <w:r>
        <w:rPr>
          <w:b/>
          <w:bCs/>
          <w:spacing w:val="-9"/>
          <w:sz w:val="18"/>
          <w:szCs w:val="18"/>
          <w:lang w:val="es-ES_tradnl"/>
        </w:rPr>
        <w:t>or Jaime </w:t>
      </w:r>
      <w:r>
        <w:rPr>
          <w:b/>
          <w:bCs/>
          <w:spacing w:val="-6"/>
          <w:sz w:val="18"/>
          <w:szCs w:val="18"/>
          <w:lang w:val="es-ES_tradnl"/>
        </w:rPr>
        <w:t xml:space="preserve">Patricio Chiriboga Guerrero </w:t>
      </w:r>
      <w:r>
        <w:rPr>
          <w:b/>
          <w:bCs/>
          <w:sz w:val="18"/>
          <w:szCs w:val="18"/>
          <w:lang w:val="es-ES_tradnl"/>
        </w:rPr>
        <w:tab/>
        <w:t xml:space="preserve">   </w:t>
      </w:r>
      <w:r>
        <w:rPr>
          <w:b/>
          <w:bCs/>
          <w:spacing w:val="-10"/>
          <w:sz w:val="18"/>
          <w:szCs w:val="18"/>
          <w:lang w:val="es-ES_tradnl"/>
        </w:rPr>
        <w:t>232</w:t>
      </w:r>
    </w:p>
    <w:p w14:paraId="4F67A308" w14:textId="77777777" w:rsidR="00591D54" w:rsidRDefault="00591D54" w:rsidP="00251195">
      <w:pPr>
        <w:shd w:val="clear" w:color="auto" w:fill="FFFFFF"/>
        <w:tabs>
          <w:tab w:val="left" w:leader="dot" w:pos="3850"/>
        </w:tabs>
        <w:ind w:left="682" w:hanging="682"/>
        <w:jc w:val="both"/>
      </w:pPr>
    </w:p>
    <w:p w14:paraId="4F67A309" w14:textId="77777777" w:rsidR="00591D54" w:rsidRDefault="00591D54" w:rsidP="00251195">
      <w:pPr>
        <w:shd w:val="clear" w:color="auto" w:fill="FFFFFF"/>
        <w:tabs>
          <w:tab w:val="left" w:leader="dot" w:pos="3850"/>
        </w:tabs>
        <w:ind w:left="682" w:hanging="682"/>
        <w:jc w:val="both"/>
        <w:rPr>
          <w:b/>
          <w:bCs/>
          <w:spacing w:val="-10"/>
          <w:sz w:val="18"/>
          <w:szCs w:val="18"/>
          <w:lang w:val="es-ES_tradnl"/>
        </w:rPr>
      </w:pPr>
      <w:r>
        <w:rPr>
          <w:b/>
          <w:bCs/>
          <w:spacing w:val="-8"/>
          <w:sz w:val="18"/>
          <w:szCs w:val="18"/>
          <w:lang w:val="es-ES_tradnl"/>
        </w:rPr>
        <w:t>272-15-SEP-CC Ni</w:t>
      </w:r>
      <w:r>
        <w:rPr>
          <w:rFonts w:cs="Times New Roman"/>
          <w:b/>
          <w:bCs/>
          <w:spacing w:val="-8"/>
          <w:sz w:val="18"/>
          <w:szCs w:val="18"/>
          <w:lang w:val="es-ES_tradnl"/>
        </w:rPr>
        <w:t>é</w:t>
      </w:r>
      <w:r>
        <w:rPr>
          <w:b/>
          <w:bCs/>
          <w:spacing w:val="-8"/>
          <w:sz w:val="18"/>
          <w:szCs w:val="18"/>
          <w:lang w:val="es-ES_tradnl"/>
        </w:rPr>
        <w:t>guese la acci</w:t>
      </w:r>
      <w:r>
        <w:rPr>
          <w:rFonts w:cs="Times New Roman"/>
          <w:b/>
          <w:bCs/>
          <w:spacing w:val="-8"/>
          <w:sz w:val="18"/>
          <w:szCs w:val="18"/>
          <w:lang w:val="es-ES_tradnl"/>
        </w:rPr>
        <w:t>ó</w:t>
      </w:r>
      <w:r>
        <w:rPr>
          <w:b/>
          <w:bCs/>
          <w:spacing w:val="-8"/>
          <w:sz w:val="18"/>
          <w:szCs w:val="18"/>
          <w:lang w:val="es-ES_tradnl"/>
        </w:rPr>
        <w:t>n extraordinaria </w:t>
      </w:r>
      <w:r>
        <w:rPr>
          <w:b/>
          <w:bCs/>
          <w:spacing w:val="-9"/>
          <w:sz w:val="18"/>
          <w:szCs w:val="18"/>
          <w:lang w:val="es-ES_tradnl"/>
        </w:rPr>
        <w:t>de protecci</w:t>
      </w:r>
      <w:r>
        <w:rPr>
          <w:rFonts w:cs="Times New Roman"/>
          <w:b/>
          <w:bCs/>
          <w:spacing w:val="-9"/>
          <w:sz w:val="18"/>
          <w:szCs w:val="18"/>
          <w:lang w:val="es-ES_tradnl"/>
        </w:rPr>
        <w:t>ó</w:t>
      </w:r>
      <w:r>
        <w:rPr>
          <w:b/>
          <w:bCs/>
          <w:spacing w:val="-9"/>
          <w:sz w:val="18"/>
          <w:szCs w:val="18"/>
          <w:lang w:val="es-ES_tradnl"/>
        </w:rPr>
        <w:t>n presentada por el se</w:t>
      </w:r>
      <w:r>
        <w:rPr>
          <w:rFonts w:cs="Times New Roman"/>
          <w:b/>
          <w:bCs/>
          <w:spacing w:val="-9"/>
          <w:sz w:val="18"/>
          <w:szCs w:val="18"/>
          <w:lang w:val="es-ES_tradnl"/>
        </w:rPr>
        <w:t>ñ</w:t>
      </w:r>
      <w:r>
        <w:rPr>
          <w:b/>
          <w:bCs/>
          <w:spacing w:val="-9"/>
          <w:sz w:val="18"/>
          <w:szCs w:val="18"/>
          <w:lang w:val="es-ES_tradnl"/>
        </w:rPr>
        <w:t>or </w:t>
      </w:r>
      <w:r>
        <w:rPr>
          <w:rFonts w:cs="Times New Roman"/>
          <w:b/>
          <w:bCs/>
          <w:spacing w:val="-8"/>
          <w:sz w:val="18"/>
          <w:szCs w:val="18"/>
          <w:lang w:val="es-ES_tradnl"/>
        </w:rPr>
        <w:t>Á</w:t>
      </w:r>
      <w:r>
        <w:rPr>
          <w:b/>
          <w:bCs/>
          <w:spacing w:val="-8"/>
          <w:sz w:val="18"/>
          <w:szCs w:val="18"/>
          <w:lang w:val="es-ES_tradnl"/>
        </w:rPr>
        <w:t>ngel Ra</w:t>
      </w:r>
      <w:r>
        <w:rPr>
          <w:rFonts w:cs="Times New Roman"/>
          <w:b/>
          <w:bCs/>
          <w:spacing w:val="-8"/>
          <w:sz w:val="18"/>
          <w:szCs w:val="18"/>
          <w:lang w:val="es-ES_tradnl"/>
        </w:rPr>
        <w:t>ú</w:t>
      </w:r>
      <w:r>
        <w:rPr>
          <w:b/>
          <w:bCs/>
          <w:spacing w:val="-8"/>
          <w:sz w:val="18"/>
          <w:szCs w:val="18"/>
          <w:lang w:val="es-ES_tradnl"/>
        </w:rPr>
        <w:t>l Salvador Garc</w:t>
      </w:r>
      <w:r>
        <w:rPr>
          <w:rFonts w:cs="Times New Roman"/>
          <w:b/>
          <w:bCs/>
          <w:spacing w:val="-8"/>
          <w:sz w:val="18"/>
          <w:szCs w:val="18"/>
          <w:lang w:val="es-ES_tradnl"/>
        </w:rPr>
        <w:t>í</w:t>
      </w:r>
      <w:r>
        <w:rPr>
          <w:b/>
          <w:bCs/>
          <w:spacing w:val="-8"/>
          <w:sz w:val="18"/>
          <w:szCs w:val="18"/>
          <w:lang w:val="es-ES_tradnl"/>
        </w:rPr>
        <w:t xml:space="preserve">a </w:t>
      </w:r>
      <w:r>
        <w:rPr>
          <w:b/>
          <w:bCs/>
          <w:sz w:val="18"/>
          <w:szCs w:val="18"/>
          <w:lang w:val="es-ES_tradnl"/>
        </w:rPr>
        <w:tab/>
        <w:t xml:space="preserve">   </w:t>
      </w:r>
      <w:r>
        <w:rPr>
          <w:b/>
          <w:bCs/>
          <w:spacing w:val="-10"/>
          <w:sz w:val="18"/>
          <w:szCs w:val="18"/>
          <w:lang w:val="es-ES_tradnl"/>
        </w:rPr>
        <w:t>237</w:t>
      </w:r>
    </w:p>
    <w:p w14:paraId="4F67A30A" w14:textId="77777777" w:rsidR="00591D54" w:rsidRDefault="00591D54" w:rsidP="00251195">
      <w:pPr>
        <w:shd w:val="clear" w:color="auto" w:fill="FFFFFF"/>
        <w:tabs>
          <w:tab w:val="left" w:leader="dot" w:pos="3850"/>
        </w:tabs>
        <w:ind w:left="682" w:hanging="682"/>
        <w:jc w:val="both"/>
      </w:pPr>
    </w:p>
    <w:p w14:paraId="4F67A30B" w14:textId="77777777" w:rsidR="00591D54" w:rsidRDefault="00591D54" w:rsidP="00251195">
      <w:pPr>
        <w:shd w:val="clear" w:color="auto" w:fill="FFFFFF"/>
        <w:tabs>
          <w:tab w:val="left" w:leader="dot" w:pos="3850"/>
        </w:tabs>
        <w:ind w:left="682" w:hanging="682"/>
        <w:jc w:val="both"/>
        <w:rPr>
          <w:b/>
          <w:bCs/>
          <w:spacing w:val="-10"/>
          <w:sz w:val="18"/>
          <w:szCs w:val="18"/>
          <w:lang w:val="es-ES_tradnl"/>
        </w:rPr>
      </w:pPr>
      <w:r>
        <w:rPr>
          <w:b/>
          <w:bCs/>
          <w:spacing w:val="-8"/>
          <w:sz w:val="18"/>
          <w:szCs w:val="18"/>
          <w:lang w:val="es-ES_tradnl"/>
        </w:rPr>
        <w:t>274-15-SEP-CC Ac</w:t>
      </w:r>
      <w:r>
        <w:rPr>
          <w:rFonts w:cs="Times New Roman"/>
          <w:b/>
          <w:bCs/>
          <w:spacing w:val="-8"/>
          <w:sz w:val="18"/>
          <w:szCs w:val="18"/>
          <w:lang w:val="es-ES_tradnl"/>
        </w:rPr>
        <w:t>é</w:t>
      </w:r>
      <w:r>
        <w:rPr>
          <w:b/>
          <w:bCs/>
          <w:spacing w:val="-8"/>
          <w:sz w:val="18"/>
          <w:szCs w:val="18"/>
          <w:lang w:val="es-ES_tradnl"/>
        </w:rPr>
        <w:t>ptese la acci</w:t>
      </w:r>
      <w:r>
        <w:rPr>
          <w:rFonts w:cs="Times New Roman"/>
          <w:b/>
          <w:bCs/>
          <w:spacing w:val="-8"/>
          <w:sz w:val="18"/>
          <w:szCs w:val="18"/>
          <w:lang w:val="es-ES_tradnl"/>
        </w:rPr>
        <w:t>ó</w:t>
      </w:r>
      <w:r>
        <w:rPr>
          <w:b/>
          <w:bCs/>
          <w:spacing w:val="-8"/>
          <w:sz w:val="18"/>
          <w:szCs w:val="18"/>
          <w:lang w:val="es-ES_tradnl"/>
        </w:rPr>
        <w:t>n extraordinaria </w:t>
      </w:r>
      <w:r>
        <w:rPr>
          <w:b/>
          <w:bCs/>
          <w:spacing w:val="-5"/>
          <w:sz w:val="18"/>
          <w:szCs w:val="18"/>
          <w:lang w:val="es-ES_tradnl"/>
        </w:rPr>
        <w:t>de protecci</w:t>
      </w:r>
      <w:r>
        <w:rPr>
          <w:rFonts w:cs="Times New Roman"/>
          <w:b/>
          <w:bCs/>
          <w:spacing w:val="-5"/>
          <w:sz w:val="18"/>
          <w:szCs w:val="18"/>
          <w:lang w:val="es-ES_tradnl"/>
        </w:rPr>
        <w:t>ó</w:t>
      </w:r>
      <w:r>
        <w:rPr>
          <w:b/>
          <w:bCs/>
          <w:spacing w:val="-5"/>
          <w:sz w:val="18"/>
          <w:szCs w:val="18"/>
          <w:lang w:val="es-ES_tradnl"/>
        </w:rPr>
        <w:t>n planteada por el se</w:t>
      </w:r>
      <w:r>
        <w:rPr>
          <w:rFonts w:cs="Times New Roman"/>
          <w:b/>
          <w:bCs/>
          <w:spacing w:val="-5"/>
          <w:sz w:val="18"/>
          <w:szCs w:val="18"/>
          <w:lang w:val="es-ES_tradnl"/>
        </w:rPr>
        <w:t>ñ</w:t>
      </w:r>
      <w:r>
        <w:rPr>
          <w:b/>
          <w:bCs/>
          <w:spacing w:val="-5"/>
          <w:sz w:val="18"/>
          <w:szCs w:val="18"/>
          <w:lang w:val="es-ES_tradnl"/>
        </w:rPr>
        <w:t>or </w:t>
      </w:r>
      <w:r>
        <w:rPr>
          <w:b/>
          <w:bCs/>
          <w:spacing w:val="-7"/>
          <w:sz w:val="18"/>
          <w:szCs w:val="18"/>
          <w:lang w:val="es-ES_tradnl"/>
        </w:rPr>
        <w:t xml:space="preserve">Juan Vicente Saavedra Mera </w:t>
      </w:r>
      <w:r>
        <w:rPr>
          <w:b/>
          <w:bCs/>
          <w:sz w:val="18"/>
          <w:szCs w:val="18"/>
          <w:lang w:val="es-ES_tradnl"/>
        </w:rPr>
        <w:tab/>
        <w:t xml:space="preserve">   </w:t>
      </w:r>
      <w:r>
        <w:rPr>
          <w:b/>
          <w:bCs/>
          <w:spacing w:val="-10"/>
          <w:sz w:val="18"/>
          <w:szCs w:val="18"/>
          <w:lang w:val="es-ES_tradnl"/>
        </w:rPr>
        <w:t>244</w:t>
      </w:r>
    </w:p>
    <w:p w14:paraId="4F67A30C" w14:textId="77777777" w:rsidR="00591D54" w:rsidRDefault="00591D54" w:rsidP="00251195">
      <w:pPr>
        <w:shd w:val="clear" w:color="auto" w:fill="FFFFFF"/>
        <w:tabs>
          <w:tab w:val="left" w:leader="dot" w:pos="3850"/>
        </w:tabs>
        <w:ind w:left="682" w:hanging="682"/>
        <w:jc w:val="both"/>
      </w:pPr>
    </w:p>
    <w:p w14:paraId="4F67A30D" w14:textId="77777777" w:rsidR="00591D54" w:rsidRDefault="00591D54" w:rsidP="00251195">
      <w:pPr>
        <w:shd w:val="clear" w:color="auto" w:fill="FFFFFF"/>
        <w:tabs>
          <w:tab w:val="left" w:leader="dot" w:pos="3850"/>
        </w:tabs>
        <w:ind w:left="682" w:hanging="682"/>
        <w:jc w:val="both"/>
        <w:rPr>
          <w:b/>
          <w:bCs/>
          <w:spacing w:val="-10"/>
          <w:sz w:val="18"/>
          <w:szCs w:val="18"/>
          <w:lang w:val="es-ES_tradnl"/>
        </w:rPr>
      </w:pPr>
      <w:r>
        <w:rPr>
          <w:b/>
          <w:bCs/>
          <w:spacing w:val="-8"/>
          <w:sz w:val="18"/>
          <w:szCs w:val="18"/>
          <w:lang w:val="es-ES_tradnl"/>
        </w:rPr>
        <w:t>276-15-SEP-CC Ni</w:t>
      </w:r>
      <w:r>
        <w:rPr>
          <w:rFonts w:cs="Times New Roman"/>
          <w:b/>
          <w:bCs/>
          <w:spacing w:val="-8"/>
          <w:sz w:val="18"/>
          <w:szCs w:val="18"/>
          <w:lang w:val="es-ES_tradnl"/>
        </w:rPr>
        <w:t>é</w:t>
      </w:r>
      <w:r>
        <w:rPr>
          <w:b/>
          <w:bCs/>
          <w:spacing w:val="-8"/>
          <w:sz w:val="18"/>
          <w:szCs w:val="18"/>
          <w:lang w:val="es-ES_tradnl"/>
        </w:rPr>
        <w:t>guese la acci</w:t>
      </w:r>
      <w:r>
        <w:rPr>
          <w:rFonts w:cs="Times New Roman"/>
          <w:b/>
          <w:bCs/>
          <w:spacing w:val="-8"/>
          <w:sz w:val="18"/>
          <w:szCs w:val="18"/>
          <w:lang w:val="es-ES_tradnl"/>
        </w:rPr>
        <w:t>ó</w:t>
      </w:r>
      <w:r>
        <w:rPr>
          <w:b/>
          <w:bCs/>
          <w:spacing w:val="-8"/>
          <w:sz w:val="18"/>
          <w:szCs w:val="18"/>
          <w:lang w:val="es-ES_tradnl"/>
        </w:rPr>
        <w:t>n extraordinaria </w:t>
      </w:r>
      <w:r>
        <w:rPr>
          <w:b/>
          <w:bCs/>
          <w:spacing w:val="-12"/>
          <w:sz w:val="18"/>
          <w:szCs w:val="18"/>
          <w:lang w:val="es-ES_tradnl"/>
        </w:rPr>
        <w:t>de protecci</w:t>
      </w:r>
      <w:r>
        <w:rPr>
          <w:rFonts w:cs="Times New Roman"/>
          <w:b/>
          <w:bCs/>
          <w:spacing w:val="-12"/>
          <w:sz w:val="18"/>
          <w:szCs w:val="18"/>
          <w:lang w:val="es-ES_tradnl"/>
        </w:rPr>
        <w:t>ó</w:t>
      </w:r>
      <w:r>
        <w:rPr>
          <w:b/>
          <w:bCs/>
          <w:spacing w:val="-12"/>
          <w:sz w:val="18"/>
          <w:szCs w:val="18"/>
          <w:lang w:val="es-ES_tradnl"/>
        </w:rPr>
        <w:t>n planteada por el economista </w:t>
      </w:r>
      <w:r>
        <w:rPr>
          <w:b/>
          <w:bCs/>
          <w:spacing w:val="-5"/>
          <w:sz w:val="18"/>
          <w:szCs w:val="18"/>
          <w:lang w:val="es-ES_tradnl"/>
        </w:rPr>
        <w:t xml:space="preserve">Carlos Marx Carrasco V. . </w:t>
      </w:r>
      <w:r>
        <w:rPr>
          <w:b/>
          <w:bCs/>
          <w:sz w:val="18"/>
          <w:szCs w:val="18"/>
          <w:lang w:val="es-ES_tradnl"/>
        </w:rPr>
        <w:tab/>
        <w:t xml:space="preserve">   </w:t>
      </w:r>
      <w:r>
        <w:rPr>
          <w:b/>
          <w:bCs/>
          <w:spacing w:val="-10"/>
          <w:sz w:val="18"/>
          <w:szCs w:val="18"/>
          <w:lang w:val="es-ES_tradnl"/>
        </w:rPr>
        <w:t>251</w:t>
      </w:r>
    </w:p>
    <w:p w14:paraId="4F67A30E" w14:textId="77777777" w:rsidR="00591D54" w:rsidRDefault="00591D54" w:rsidP="00251195">
      <w:pPr>
        <w:shd w:val="clear" w:color="auto" w:fill="FFFFFF"/>
        <w:tabs>
          <w:tab w:val="left" w:leader="dot" w:pos="3850"/>
        </w:tabs>
        <w:ind w:left="682" w:hanging="682"/>
        <w:jc w:val="both"/>
      </w:pPr>
    </w:p>
    <w:p w14:paraId="4F67A30F" w14:textId="77777777" w:rsidR="00591D54" w:rsidRDefault="00591D54" w:rsidP="00251195">
      <w:pPr>
        <w:shd w:val="clear" w:color="auto" w:fill="FFFFFF"/>
        <w:tabs>
          <w:tab w:val="left" w:leader="dot" w:pos="3850"/>
        </w:tabs>
        <w:ind w:left="682" w:hanging="682"/>
        <w:jc w:val="both"/>
        <w:rPr>
          <w:b/>
          <w:bCs/>
          <w:spacing w:val="-10"/>
          <w:sz w:val="18"/>
          <w:szCs w:val="18"/>
          <w:lang w:val="es-ES_tradnl"/>
        </w:rPr>
      </w:pPr>
      <w:r>
        <w:rPr>
          <w:b/>
          <w:bCs/>
          <w:spacing w:val="-8"/>
          <w:sz w:val="18"/>
          <w:szCs w:val="18"/>
          <w:lang w:val="es-ES_tradnl"/>
        </w:rPr>
        <w:t>277-15-SEP-CC Ni</w:t>
      </w:r>
      <w:r>
        <w:rPr>
          <w:rFonts w:cs="Times New Roman"/>
          <w:b/>
          <w:bCs/>
          <w:spacing w:val="-8"/>
          <w:sz w:val="18"/>
          <w:szCs w:val="18"/>
          <w:lang w:val="es-ES_tradnl"/>
        </w:rPr>
        <w:t>é</w:t>
      </w:r>
      <w:r>
        <w:rPr>
          <w:b/>
          <w:bCs/>
          <w:spacing w:val="-8"/>
          <w:sz w:val="18"/>
          <w:szCs w:val="18"/>
          <w:lang w:val="es-ES_tradnl"/>
        </w:rPr>
        <w:t>guese la acci</w:t>
      </w:r>
      <w:r>
        <w:rPr>
          <w:rFonts w:cs="Times New Roman"/>
          <w:b/>
          <w:bCs/>
          <w:spacing w:val="-8"/>
          <w:sz w:val="18"/>
          <w:szCs w:val="18"/>
          <w:lang w:val="es-ES_tradnl"/>
        </w:rPr>
        <w:t>ó</w:t>
      </w:r>
      <w:r>
        <w:rPr>
          <w:b/>
          <w:bCs/>
          <w:spacing w:val="-8"/>
          <w:sz w:val="18"/>
          <w:szCs w:val="18"/>
          <w:lang w:val="es-ES_tradnl"/>
        </w:rPr>
        <w:t>n extraordinaria </w:t>
      </w:r>
      <w:r>
        <w:rPr>
          <w:b/>
          <w:bCs/>
          <w:spacing w:val="-7"/>
          <w:sz w:val="18"/>
          <w:szCs w:val="18"/>
          <w:lang w:val="es-ES_tradnl"/>
        </w:rPr>
        <w:t>de protecci</w:t>
      </w:r>
      <w:r>
        <w:rPr>
          <w:rFonts w:cs="Times New Roman"/>
          <w:b/>
          <w:bCs/>
          <w:spacing w:val="-7"/>
          <w:sz w:val="18"/>
          <w:szCs w:val="18"/>
          <w:lang w:val="es-ES_tradnl"/>
        </w:rPr>
        <w:t>ó</w:t>
      </w:r>
      <w:r>
        <w:rPr>
          <w:b/>
          <w:bCs/>
          <w:spacing w:val="-7"/>
          <w:sz w:val="18"/>
          <w:szCs w:val="18"/>
          <w:lang w:val="es-ES_tradnl"/>
        </w:rPr>
        <w:t>n planteada por el doctor </w:t>
      </w:r>
      <w:r>
        <w:rPr>
          <w:b/>
          <w:bCs/>
          <w:spacing w:val="-6"/>
          <w:sz w:val="18"/>
          <w:szCs w:val="18"/>
          <w:lang w:val="es-ES_tradnl"/>
        </w:rPr>
        <w:t xml:space="preserve">Pedro Marcelo Carrillo Ruiz </w:t>
      </w:r>
      <w:r>
        <w:rPr>
          <w:b/>
          <w:bCs/>
          <w:sz w:val="18"/>
          <w:szCs w:val="18"/>
          <w:lang w:val="es-ES_tradnl"/>
        </w:rPr>
        <w:tab/>
        <w:t xml:space="preserve">   </w:t>
      </w:r>
      <w:r>
        <w:rPr>
          <w:b/>
          <w:bCs/>
          <w:spacing w:val="-10"/>
          <w:sz w:val="18"/>
          <w:szCs w:val="18"/>
          <w:lang w:val="es-ES_tradnl"/>
        </w:rPr>
        <w:t>259</w:t>
      </w:r>
    </w:p>
    <w:p w14:paraId="4F67A310" w14:textId="77777777" w:rsidR="00591D54" w:rsidRDefault="00591D54" w:rsidP="00251195">
      <w:pPr>
        <w:shd w:val="clear" w:color="auto" w:fill="FFFFFF"/>
        <w:tabs>
          <w:tab w:val="left" w:leader="dot" w:pos="3850"/>
        </w:tabs>
        <w:ind w:left="682" w:hanging="682"/>
        <w:jc w:val="both"/>
      </w:pPr>
    </w:p>
    <w:p w14:paraId="4F67A311" w14:textId="77777777" w:rsidR="00591D54" w:rsidRDefault="00591D54" w:rsidP="00251195">
      <w:pPr>
        <w:shd w:val="clear" w:color="auto" w:fill="FFFFFF"/>
        <w:tabs>
          <w:tab w:val="left" w:leader="dot" w:pos="3850"/>
        </w:tabs>
        <w:ind w:left="682" w:hanging="682"/>
        <w:jc w:val="both"/>
      </w:pPr>
      <w:r>
        <w:rPr>
          <w:b/>
          <w:bCs/>
          <w:spacing w:val="-8"/>
          <w:sz w:val="18"/>
          <w:szCs w:val="18"/>
          <w:lang w:val="es-ES_tradnl"/>
        </w:rPr>
        <w:t>280-15-SEP-CC Ni</w:t>
      </w:r>
      <w:r>
        <w:rPr>
          <w:rFonts w:cs="Times New Roman"/>
          <w:b/>
          <w:bCs/>
          <w:spacing w:val="-8"/>
          <w:sz w:val="18"/>
          <w:szCs w:val="18"/>
          <w:lang w:val="es-ES_tradnl"/>
        </w:rPr>
        <w:t>é</w:t>
      </w:r>
      <w:r>
        <w:rPr>
          <w:b/>
          <w:bCs/>
          <w:spacing w:val="-8"/>
          <w:sz w:val="18"/>
          <w:szCs w:val="18"/>
          <w:lang w:val="es-ES_tradnl"/>
        </w:rPr>
        <w:t>guese la acci</w:t>
      </w:r>
      <w:r>
        <w:rPr>
          <w:rFonts w:cs="Times New Roman"/>
          <w:b/>
          <w:bCs/>
          <w:spacing w:val="-8"/>
          <w:sz w:val="18"/>
          <w:szCs w:val="18"/>
          <w:lang w:val="es-ES_tradnl"/>
        </w:rPr>
        <w:t>ó</w:t>
      </w:r>
      <w:r>
        <w:rPr>
          <w:b/>
          <w:bCs/>
          <w:spacing w:val="-8"/>
          <w:sz w:val="18"/>
          <w:szCs w:val="18"/>
          <w:lang w:val="es-ES_tradnl"/>
        </w:rPr>
        <w:t>n extraordinaria </w:t>
      </w:r>
      <w:r>
        <w:rPr>
          <w:b/>
          <w:bCs/>
          <w:spacing w:val="-10"/>
          <w:sz w:val="18"/>
          <w:szCs w:val="18"/>
          <w:lang w:val="es-ES_tradnl"/>
        </w:rPr>
        <w:t>de protecci</w:t>
      </w:r>
      <w:r>
        <w:rPr>
          <w:rFonts w:cs="Times New Roman"/>
          <w:b/>
          <w:bCs/>
          <w:spacing w:val="-10"/>
          <w:sz w:val="18"/>
          <w:szCs w:val="18"/>
          <w:lang w:val="es-ES_tradnl"/>
        </w:rPr>
        <w:t>ó</w:t>
      </w:r>
      <w:r>
        <w:rPr>
          <w:b/>
          <w:bCs/>
          <w:spacing w:val="-10"/>
          <w:sz w:val="18"/>
          <w:szCs w:val="18"/>
          <w:lang w:val="es-ES_tradnl"/>
        </w:rPr>
        <w:t>n presentada por el ingeniero </w:t>
      </w:r>
      <w:r>
        <w:rPr>
          <w:b/>
          <w:bCs/>
          <w:spacing w:val="-11"/>
          <w:sz w:val="18"/>
          <w:szCs w:val="18"/>
          <w:lang w:val="es-ES_tradnl"/>
        </w:rPr>
        <w:t>Jos</w:t>
      </w:r>
      <w:r>
        <w:rPr>
          <w:rFonts w:cs="Times New Roman"/>
          <w:b/>
          <w:bCs/>
          <w:spacing w:val="-11"/>
          <w:sz w:val="18"/>
          <w:szCs w:val="18"/>
          <w:lang w:val="es-ES_tradnl"/>
        </w:rPr>
        <w:t>é</w:t>
      </w:r>
      <w:r>
        <w:rPr>
          <w:b/>
          <w:bCs/>
          <w:spacing w:val="-11"/>
          <w:sz w:val="18"/>
          <w:szCs w:val="18"/>
          <w:lang w:val="es-ES_tradnl"/>
        </w:rPr>
        <w:t xml:space="preserve"> Luis Santos Garc</w:t>
      </w:r>
      <w:r>
        <w:rPr>
          <w:rFonts w:cs="Times New Roman"/>
          <w:b/>
          <w:bCs/>
          <w:spacing w:val="-11"/>
          <w:sz w:val="18"/>
          <w:szCs w:val="18"/>
          <w:lang w:val="es-ES_tradnl"/>
        </w:rPr>
        <w:t>í</w:t>
      </w:r>
      <w:r>
        <w:rPr>
          <w:b/>
          <w:bCs/>
          <w:spacing w:val="-11"/>
          <w:sz w:val="18"/>
          <w:szCs w:val="18"/>
          <w:lang w:val="es-ES_tradnl"/>
        </w:rPr>
        <w:t xml:space="preserve">a </w:t>
      </w:r>
      <w:r>
        <w:rPr>
          <w:b/>
          <w:bCs/>
          <w:sz w:val="18"/>
          <w:szCs w:val="18"/>
          <w:lang w:val="es-ES_tradnl"/>
        </w:rPr>
        <w:tab/>
        <w:t xml:space="preserve">   </w:t>
      </w:r>
      <w:r>
        <w:rPr>
          <w:b/>
          <w:bCs/>
          <w:spacing w:val="-10"/>
          <w:sz w:val="18"/>
          <w:szCs w:val="18"/>
          <w:lang w:val="es-ES_tradnl"/>
        </w:rPr>
        <w:t>267</w:t>
      </w:r>
    </w:p>
    <w:p w14:paraId="4F67A312" w14:textId="77777777" w:rsidR="00591D54" w:rsidRDefault="00591D54" w:rsidP="00251195">
      <w:pPr>
        <w:shd w:val="clear" w:color="auto" w:fill="FFFFFF"/>
        <w:tabs>
          <w:tab w:val="left" w:leader="dot" w:pos="3850"/>
        </w:tabs>
        <w:ind w:left="682" w:hanging="682"/>
        <w:jc w:val="both"/>
        <w:sectPr w:rsidR="00591D54">
          <w:type w:val="continuous"/>
          <w:pgSz w:w="11909" w:h="16834"/>
          <w:pgMar w:top="1361" w:right="1309" w:bottom="360" w:left="1308" w:header="720" w:footer="720" w:gutter="0"/>
          <w:cols w:num="2" w:space="720" w:equalWidth="0">
            <w:col w:w="4305" w:space="682"/>
            <w:col w:w="4305"/>
          </w:cols>
          <w:noEndnote/>
        </w:sectPr>
      </w:pPr>
    </w:p>
    <w:p w14:paraId="4F67A313" w14:textId="77777777" w:rsidR="00591D54" w:rsidRDefault="00591D54" w:rsidP="00171846">
      <w:pPr>
        <w:shd w:val="clear" w:color="auto" w:fill="FFFFFF"/>
        <w:tabs>
          <w:tab w:val="left" w:pos="6062"/>
        </w:tabs>
        <w:ind w:left="5"/>
        <w:jc w:val="center"/>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- 3</w:t>
      </w:r>
    </w:p>
    <w:p w14:paraId="4F67A314" w14:textId="77777777" w:rsidR="00591D54" w:rsidRDefault="00591D54" w:rsidP="00251195">
      <w:pPr>
        <w:shd w:val="clear" w:color="auto" w:fill="FFFFFF"/>
        <w:tabs>
          <w:tab w:val="left" w:pos="6062"/>
        </w:tabs>
        <w:ind w:left="5"/>
      </w:pPr>
    </w:p>
    <w:p w14:paraId="4F67A315" w14:textId="77777777" w:rsidR="00591D54" w:rsidRDefault="00591D54" w:rsidP="00251195">
      <w:pPr>
        <w:shd w:val="clear" w:color="auto" w:fill="FFFFFF"/>
        <w:tabs>
          <w:tab w:val="left" w:pos="6062"/>
        </w:tabs>
        <w:ind w:left="5"/>
        <w:sectPr w:rsidR="00591D54">
          <w:pgSz w:w="11909" w:h="16834"/>
          <w:pgMar w:top="1356" w:right="1309" w:bottom="360" w:left="1308" w:header="720" w:footer="720" w:gutter="0"/>
          <w:cols w:space="60"/>
          <w:noEndnote/>
        </w:sectPr>
      </w:pPr>
    </w:p>
    <w:p w14:paraId="4F67A316" w14:textId="77777777" w:rsidR="00591D54" w:rsidRDefault="00591D54" w:rsidP="00251195">
      <w:pPr>
        <w:shd w:val="clear" w:color="auto" w:fill="FFFFFF"/>
        <w:jc w:val="right"/>
      </w:pPr>
      <w:r>
        <w:rPr>
          <w:b/>
          <w:bCs/>
          <w:spacing w:val="-16"/>
          <w:sz w:val="18"/>
          <w:szCs w:val="18"/>
          <w:lang w:val="es-ES_tradnl"/>
        </w:rPr>
        <w:t>P</w:t>
      </w:r>
      <w:r>
        <w:rPr>
          <w:rFonts w:cs="Times New Roman"/>
          <w:b/>
          <w:bCs/>
          <w:spacing w:val="-16"/>
          <w:sz w:val="18"/>
          <w:szCs w:val="18"/>
          <w:lang w:val="es-ES_tradnl"/>
        </w:rPr>
        <w:t>á</w:t>
      </w:r>
      <w:r>
        <w:rPr>
          <w:b/>
          <w:bCs/>
          <w:spacing w:val="-16"/>
          <w:sz w:val="18"/>
          <w:szCs w:val="18"/>
          <w:lang w:val="es-ES_tradnl"/>
        </w:rPr>
        <w:t>gs.</w:t>
      </w:r>
    </w:p>
    <w:p w14:paraId="4F67A317" w14:textId="77777777" w:rsidR="00591D54" w:rsidRDefault="00591D54" w:rsidP="00251195">
      <w:pPr>
        <w:shd w:val="clear" w:color="auto" w:fill="FFFFFF"/>
        <w:tabs>
          <w:tab w:val="left" w:leader="dot" w:pos="3850"/>
        </w:tabs>
        <w:ind w:left="677" w:hanging="677"/>
        <w:jc w:val="both"/>
        <w:rPr>
          <w:b/>
          <w:bCs/>
          <w:spacing w:val="-10"/>
          <w:sz w:val="18"/>
          <w:szCs w:val="18"/>
          <w:lang w:val="es-ES_tradnl"/>
        </w:rPr>
      </w:pPr>
      <w:r>
        <w:rPr>
          <w:b/>
          <w:bCs/>
          <w:spacing w:val="-8"/>
          <w:sz w:val="18"/>
          <w:szCs w:val="18"/>
          <w:lang w:val="es-ES_tradnl"/>
        </w:rPr>
        <w:t>281-15-SEP-CC Ni</w:t>
      </w:r>
      <w:r>
        <w:rPr>
          <w:rFonts w:cs="Times New Roman"/>
          <w:b/>
          <w:bCs/>
          <w:spacing w:val="-8"/>
          <w:sz w:val="18"/>
          <w:szCs w:val="18"/>
          <w:lang w:val="es-ES_tradnl"/>
        </w:rPr>
        <w:t>é</w:t>
      </w:r>
      <w:r>
        <w:rPr>
          <w:b/>
          <w:bCs/>
          <w:spacing w:val="-8"/>
          <w:sz w:val="18"/>
          <w:szCs w:val="18"/>
          <w:lang w:val="es-ES_tradnl"/>
        </w:rPr>
        <w:t>guese la acci</w:t>
      </w:r>
      <w:r>
        <w:rPr>
          <w:rFonts w:cs="Times New Roman"/>
          <w:b/>
          <w:bCs/>
          <w:spacing w:val="-8"/>
          <w:sz w:val="18"/>
          <w:szCs w:val="18"/>
          <w:lang w:val="es-ES_tradnl"/>
        </w:rPr>
        <w:t>ó</w:t>
      </w:r>
      <w:r>
        <w:rPr>
          <w:b/>
          <w:bCs/>
          <w:spacing w:val="-8"/>
          <w:sz w:val="18"/>
          <w:szCs w:val="18"/>
          <w:lang w:val="es-ES_tradnl"/>
        </w:rPr>
        <w:t>n extraordinaria </w:t>
      </w:r>
      <w:r>
        <w:rPr>
          <w:b/>
          <w:bCs/>
          <w:spacing w:val="-9"/>
          <w:sz w:val="18"/>
          <w:szCs w:val="18"/>
          <w:lang w:val="es-ES_tradnl"/>
        </w:rPr>
        <w:t>de protecci</w:t>
      </w:r>
      <w:r>
        <w:rPr>
          <w:rFonts w:cs="Times New Roman"/>
          <w:b/>
          <w:bCs/>
          <w:spacing w:val="-9"/>
          <w:sz w:val="18"/>
          <w:szCs w:val="18"/>
          <w:lang w:val="es-ES_tradnl"/>
        </w:rPr>
        <w:t>ó</w:t>
      </w:r>
      <w:r>
        <w:rPr>
          <w:b/>
          <w:bCs/>
          <w:spacing w:val="-9"/>
          <w:sz w:val="18"/>
          <w:szCs w:val="18"/>
          <w:lang w:val="es-ES_tradnl"/>
        </w:rPr>
        <w:t>n presentada por el econo</w:t>
      </w:r>
      <w:r>
        <w:rPr>
          <w:b/>
          <w:bCs/>
          <w:spacing w:val="-9"/>
          <w:sz w:val="18"/>
          <w:szCs w:val="18"/>
          <w:lang w:val="es-ES_tradnl"/>
        </w:rPr>
        <w:softHyphen/>
        <w:t> </w:t>
      </w:r>
      <w:r>
        <w:rPr>
          <w:b/>
          <w:bCs/>
          <w:spacing w:val="-8"/>
          <w:sz w:val="18"/>
          <w:szCs w:val="18"/>
          <w:lang w:val="es-ES_tradnl"/>
        </w:rPr>
        <w:t xml:space="preserve">mista Marco Chango Jacho y otra </w:t>
      </w:r>
      <w:r>
        <w:rPr>
          <w:b/>
          <w:bCs/>
          <w:sz w:val="18"/>
          <w:szCs w:val="18"/>
          <w:lang w:val="es-ES_tradnl"/>
        </w:rPr>
        <w:tab/>
        <w:t xml:space="preserve">   </w:t>
      </w:r>
      <w:r>
        <w:rPr>
          <w:b/>
          <w:bCs/>
          <w:spacing w:val="-10"/>
          <w:sz w:val="18"/>
          <w:szCs w:val="18"/>
          <w:lang w:val="es-ES_tradnl"/>
        </w:rPr>
        <w:t>271</w:t>
      </w:r>
    </w:p>
    <w:p w14:paraId="4F67A318" w14:textId="77777777" w:rsidR="00591D54" w:rsidRDefault="00591D54" w:rsidP="00251195">
      <w:pPr>
        <w:shd w:val="clear" w:color="auto" w:fill="FFFFFF"/>
        <w:tabs>
          <w:tab w:val="left" w:leader="dot" w:pos="3850"/>
        </w:tabs>
        <w:ind w:left="677" w:hanging="677"/>
        <w:jc w:val="both"/>
      </w:pPr>
    </w:p>
    <w:p w14:paraId="4F67A319" w14:textId="77777777" w:rsidR="00591D54" w:rsidRDefault="00591D54" w:rsidP="00251195">
      <w:pPr>
        <w:shd w:val="clear" w:color="auto" w:fill="FFFFFF"/>
        <w:ind w:left="677" w:hanging="677"/>
        <w:jc w:val="both"/>
        <w:rPr>
          <w:b/>
          <w:bCs/>
          <w:spacing w:val="-8"/>
          <w:sz w:val="18"/>
          <w:szCs w:val="18"/>
          <w:lang w:val="es-ES_tradnl"/>
        </w:rPr>
      </w:pPr>
      <w:r>
        <w:rPr>
          <w:b/>
          <w:bCs/>
          <w:spacing w:val="-8"/>
          <w:sz w:val="18"/>
          <w:szCs w:val="18"/>
          <w:lang w:val="es-ES_tradnl"/>
        </w:rPr>
        <w:t>285-15-SEP-CC Ac</w:t>
      </w:r>
      <w:r>
        <w:rPr>
          <w:rFonts w:cs="Times New Roman"/>
          <w:b/>
          <w:bCs/>
          <w:spacing w:val="-8"/>
          <w:sz w:val="18"/>
          <w:szCs w:val="18"/>
          <w:lang w:val="es-ES_tradnl"/>
        </w:rPr>
        <w:t>é</w:t>
      </w:r>
      <w:r>
        <w:rPr>
          <w:b/>
          <w:bCs/>
          <w:spacing w:val="-8"/>
          <w:sz w:val="18"/>
          <w:szCs w:val="18"/>
          <w:lang w:val="es-ES_tradnl"/>
        </w:rPr>
        <w:t>ptese la acci</w:t>
      </w:r>
      <w:r>
        <w:rPr>
          <w:rFonts w:cs="Times New Roman"/>
          <w:b/>
          <w:bCs/>
          <w:spacing w:val="-8"/>
          <w:sz w:val="18"/>
          <w:szCs w:val="18"/>
          <w:lang w:val="es-ES_tradnl"/>
        </w:rPr>
        <w:t>ó</w:t>
      </w:r>
      <w:r>
        <w:rPr>
          <w:b/>
          <w:bCs/>
          <w:spacing w:val="-8"/>
          <w:sz w:val="18"/>
          <w:szCs w:val="18"/>
          <w:lang w:val="es-ES_tradnl"/>
        </w:rPr>
        <w:t xml:space="preserve">n extraordinaria </w:t>
      </w:r>
      <w:r>
        <w:rPr>
          <w:b/>
          <w:bCs/>
          <w:sz w:val="18"/>
          <w:szCs w:val="18"/>
          <w:lang w:val="es-ES_tradnl"/>
        </w:rPr>
        <w:t>de protecci</w:t>
      </w:r>
      <w:r>
        <w:rPr>
          <w:rFonts w:cs="Times New Roman"/>
          <w:b/>
          <w:bCs/>
          <w:sz w:val="18"/>
          <w:szCs w:val="18"/>
          <w:lang w:val="es-ES_tradnl"/>
        </w:rPr>
        <w:t>ó</w:t>
      </w:r>
      <w:r>
        <w:rPr>
          <w:b/>
          <w:bCs/>
          <w:sz w:val="18"/>
          <w:szCs w:val="18"/>
          <w:lang w:val="es-ES_tradnl"/>
        </w:rPr>
        <w:t xml:space="preserve">n presentada por el </w:t>
      </w:r>
      <w:r>
        <w:rPr>
          <w:b/>
          <w:bCs/>
          <w:spacing w:val="-8"/>
          <w:sz w:val="18"/>
          <w:szCs w:val="18"/>
          <w:lang w:val="es-ES_tradnl"/>
        </w:rPr>
        <w:t>ciudadano Mario Bol</w:t>
      </w:r>
      <w:r>
        <w:rPr>
          <w:rFonts w:cs="Times New Roman"/>
          <w:b/>
          <w:bCs/>
          <w:spacing w:val="-8"/>
          <w:sz w:val="18"/>
          <w:szCs w:val="18"/>
          <w:lang w:val="es-ES_tradnl"/>
        </w:rPr>
        <w:t>í</w:t>
      </w:r>
      <w:r>
        <w:rPr>
          <w:b/>
          <w:bCs/>
          <w:spacing w:val="-8"/>
          <w:sz w:val="18"/>
          <w:szCs w:val="18"/>
          <w:lang w:val="es-ES_tradnl"/>
        </w:rPr>
        <w:t>var Juca Cabrera ..    278</w:t>
      </w:r>
    </w:p>
    <w:p w14:paraId="4F67A31A" w14:textId="77777777" w:rsidR="00591D54" w:rsidRDefault="00591D54" w:rsidP="00251195">
      <w:pPr>
        <w:shd w:val="clear" w:color="auto" w:fill="FFFFFF"/>
        <w:ind w:left="677" w:hanging="677"/>
        <w:jc w:val="both"/>
      </w:pPr>
    </w:p>
    <w:p w14:paraId="4F67A31B" w14:textId="77777777" w:rsidR="00591D54" w:rsidRDefault="00591D54" w:rsidP="00251195">
      <w:pPr>
        <w:shd w:val="clear" w:color="auto" w:fill="FFFFFF"/>
        <w:tabs>
          <w:tab w:val="left" w:leader="dot" w:pos="3850"/>
        </w:tabs>
        <w:ind w:left="677" w:hanging="677"/>
        <w:jc w:val="both"/>
        <w:rPr>
          <w:b/>
          <w:bCs/>
          <w:spacing w:val="-10"/>
          <w:sz w:val="18"/>
          <w:szCs w:val="18"/>
          <w:lang w:val="es-ES_tradnl"/>
        </w:rPr>
      </w:pPr>
      <w:r>
        <w:rPr>
          <w:b/>
          <w:bCs/>
          <w:spacing w:val="-3"/>
          <w:sz w:val="18"/>
          <w:szCs w:val="18"/>
          <w:lang w:val="es-ES_tradnl"/>
        </w:rPr>
        <w:t>287-15-SEP-CC Ac</w:t>
      </w:r>
      <w:r>
        <w:rPr>
          <w:rFonts w:cs="Times New Roman"/>
          <w:b/>
          <w:bCs/>
          <w:spacing w:val="-3"/>
          <w:sz w:val="18"/>
          <w:szCs w:val="18"/>
          <w:lang w:val="es-ES_tradnl"/>
        </w:rPr>
        <w:t>é</w:t>
      </w:r>
      <w:r>
        <w:rPr>
          <w:b/>
          <w:bCs/>
          <w:spacing w:val="-3"/>
          <w:sz w:val="18"/>
          <w:szCs w:val="18"/>
          <w:lang w:val="es-ES_tradnl"/>
        </w:rPr>
        <w:t>ptese la acci</w:t>
      </w:r>
      <w:r>
        <w:rPr>
          <w:rFonts w:cs="Times New Roman"/>
          <w:b/>
          <w:bCs/>
          <w:spacing w:val="-3"/>
          <w:sz w:val="18"/>
          <w:szCs w:val="18"/>
          <w:lang w:val="es-ES_tradnl"/>
        </w:rPr>
        <w:t>ó</w:t>
      </w:r>
      <w:r>
        <w:rPr>
          <w:b/>
          <w:bCs/>
          <w:spacing w:val="-3"/>
          <w:sz w:val="18"/>
          <w:szCs w:val="18"/>
          <w:lang w:val="es-ES_tradnl"/>
        </w:rPr>
        <w:t>n extraor</w:t>
      </w:r>
      <w:r>
        <w:rPr>
          <w:b/>
          <w:bCs/>
          <w:spacing w:val="-3"/>
          <w:sz w:val="18"/>
          <w:szCs w:val="18"/>
          <w:lang w:val="es-ES_tradnl"/>
        </w:rPr>
        <w:softHyphen/>
        <w:t> </w:t>
      </w:r>
      <w:r>
        <w:rPr>
          <w:b/>
          <w:bCs/>
          <w:sz w:val="18"/>
          <w:szCs w:val="18"/>
          <w:lang w:val="es-ES_tradnl"/>
        </w:rPr>
        <w:t>dinaria de protecci</w:t>
      </w:r>
      <w:r>
        <w:rPr>
          <w:rFonts w:cs="Times New Roman"/>
          <w:b/>
          <w:bCs/>
          <w:sz w:val="18"/>
          <w:szCs w:val="18"/>
          <w:lang w:val="es-ES_tradnl"/>
        </w:rPr>
        <w:t>ó</w:t>
      </w:r>
      <w:r>
        <w:rPr>
          <w:b/>
          <w:bCs/>
          <w:sz w:val="18"/>
          <w:szCs w:val="18"/>
          <w:lang w:val="es-ES_tradnl"/>
        </w:rPr>
        <w:t>n planteada por </w:t>
      </w:r>
      <w:r>
        <w:rPr>
          <w:b/>
          <w:bCs/>
          <w:spacing w:val="-5"/>
          <w:sz w:val="18"/>
          <w:szCs w:val="18"/>
          <w:lang w:val="es-ES_tradnl"/>
        </w:rPr>
        <w:t>el economista Carlos Marx Carrasco </w:t>
      </w:r>
      <w:r>
        <w:rPr>
          <w:b/>
          <w:bCs/>
          <w:spacing w:val="-7"/>
          <w:sz w:val="18"/>
          <w:szCs w:val="18"/>
          <w:lang w:val="es-ES_tradnl"/>
        </w:rPr>
        <w:t>Vicu</w:t>
      </w:r>
      <w:r>
        <w:rPr>
          <w:rFonts w:cs="Times New Roman"/>
          <w:b/>
          <w:bCs/>
          <w:spacing w:val="-7"/>
          <w:sz w:val="18"/>
          <w:szCs w:val="18"/>
          <w:lang w:val="es-ES_tradnl"/>
        </w:rPr>
        <w:t>ñ</w:t>
      </w:r>
      <w:r>
        <w:rPr>
          <w:b/>
          <w:bCs/>
          <w:spacing w:val="-7"/>
          <w:sz w:val="18"/>
          <w:szCs w:val="18"/>
          <w:lang w:val="es-ES_tradnl"/>
        </w:rPr>
        <w:t xml:space="preserve">a </w:t>
      </w:r>
      <w:r>
        <w:rPr>
          <w:b/>
          <w:bCs/>
          <w:sz w:val="18"/>
          <w:szCs w:val="18"/>
          <w:lang w:val="es-ES_tradnl"/>
        </w:rPr>
        <w:tab/>
        <w:t xml:space="preserve">   </w:t>
      </w:r>
      <w:r>
        <w:rPr>
          <w:b/>
          <w:bCs/>
          <w:spacing w:val="-10"/>
          <w:sz w:val="18"/>
          <w:szCs w:val="18"/>
          <w:lang w:val="es-ES_tradnl"/>
        </w:rPr>
        <w:t>284</w:t>
      </w:r>
    </w:p>
    <w:p w14:paraId="4F67A31C" w14:textId="77777777" w:rsidR="00591D54" w:rsidRDefault="00591D54" w:rsidP="00251195">
      <w:pPr>
        <w:shd w:val="clear" w:color="auto" w:fill="FFFFFF"/>
        <w:tabs>
          <w:tab w:val="left" w:leader="dot" w:pos="3850"/>
        </w:tabs>
        <w:ind w:left="677" w:hanging="677"/>
        <w:jc w:val="both"/>
      </w:pPr>
    </w:p>
    <w:p w14:paraId="4F67A31D" w14:textId="77777777" w:rsidR="00591D54" w:rsidRDefault="00591D54" w:rsidP="00251195">
      <w:pPr>
        <w:shd w:val="clear" w:color="auto" w:fill="FFFFFF"/>
        <w:tabs>
          <w:tab w:val="left" w:leader="dot" w:pos="3850"/>
        </w:tabs>
        <w:ind w:left="677" w:hanging="677"/>
        <w:jc w:val="both"/>
        <w:rPr>
          <w:b/>
          <w:bCs/>
          <w:spacing w:val="-10"/>
          <w:sz w:val="18"/>
          <w:szCs w:val="18"/>
          <w:lang w:val="es-ES_tradnl"/>
        </w:rPr>
      </w:pPr>
      <w:r>
        <w:rPr>
          <w:b/>
          <w:bCs/>
          <w:spacing w:val="-8"/>
          <w:sz w:val="18"/>
          <w:szCs w:val="18"/>
          <w:lang w:val="es-ES_tradnl"/>
        </w:rPr>
        <w:t>289-15-SEP-CC Ni</w:t>
      </w:r>
      <w:r>
        <w:rPr>
          <w:rFonts w:cs="Times New Roman"/>
          <w:b/>
          <w:bCs/>
          <w:spacing w:val="-8"/>
          <w:sz w:val="18"/>
          <w:szCs w:val="18"/>
          <w:lang w:val="es-ES_tradnl"/>
        </w:rPr>
        <w:t>é</w:t>
      </w:r>
      <w:r>
        <w:rPr>
          <w:b/>
          <w:bCs/>
          <w:spacing w:val="-8"/>
          <w:sz w:val="18"/>
          <w:szCs w:val="18"/>
          <w:lang w:val="es-ES_tradnl"/>
        </w:rPr>
        <w:t>guese la acci</w:t>
      </w:r>
      <w:r>
        <w:rPr>
          <w:rFonts w:cs="Times New Roman"/>
          <w:b/>
          <w:bCs/>
          <w:spacing w:val="-8"/>
          <w:sz w:val="18"/>
          <w:szCs w:val="18"/>
          <w:lang w:val="es-ES_tradnl"/>
        </w:rPr>
        <w:t>ó</w:t>
      </w:r>
      <w:r>
        <w:rPr>
          <w:b/>
          <w:bCs/>
          <w:spacing w:val="-8"/>
          <w:sz w:val="18"/>
          <w:szCs w:val="18"/>
          <w:lang w:val="es-ES_tradnl"/>
        </w:rPr>
        <w:t>n extraordinaria </w:t>
      </w:r>
      <w:r>
        <w:rPr>
          <w:b/>
          <w:bCs/>
          <w:spacing w:val="-5"/>
          <w:sz w:val="18"/>
          <w:szCs w:val="18"/>
          <w:lang w:val="es-ES_tradnl"/>
        </w:rPr>
        <w:t>de protecci</w:t>
      </w:r>
      <w:r>
        <w:rPr>
          <w:rFonts w:cs="Times New Roman"/>
          <w:b/>
          <w:bCs/>
          <w:spacing w:val="-5"/>
          <w:sz w:val="18"/>
          <w:szCs w:val="18"/>
          <w:lang w:val="es-ES_tradnl"/>
        </w:rPr>
        <w:t>ó</w:t>
      </w:r>
      <w:r>
        <w:rPr>
          <w:b/>
          <w:bCs/>
          <w:spacing w:val="-5"/>
          <w:sz w:val="18"/>
          <w:szCs w:val="18"/>
          <w:lang w:val="es-ES_tradnl"/>
        </w:rPr>
        <w:t>n planteada por el se</w:t>
      </w:r>
      <w:r>
        <w:rPr>
          <w:rFonts w:cs="Times New Roman"/>
          <w:b/>
          <w:bCs/>
          <w:spacing w:val="-5"/>
          <w:sz w:val="18"/>
          <w:szCs w:val="18"/>
          <w:lang w:val="es-ES_tradnl"/>
        </w:rPr>
        <w:t>ñ</w:t>
      </w:r>
      <w:r>
        <w:rPr>
          <w:b/>
          <w:bCs/>
          <w:spacing w:val="-5"/>
          <w:sz w:val="18"/>
          <w:szCs w:val="18"/>
          <w:lang w:val="es-ES_tradnl"/>
        </w:rPr>
        <w:t>or </w:t>
      </w:r>
      <w:r>
        <w:rPr>
          <w:b/>
          <w:bCs/>
          <w:spacing w:val="-7"/>
          <w:sz w:val="18"/>
          <w:szCs w:val="18"/>
          <w:lang w:val="es-ES_tradnl"/>
        </w:rPr>
        <w:t xml:space="preserve">Jorge Antonio Burbano Muriel </w:t>
      </w:r>
      <w:r>
        <w:rPr>
          <w:b/>
          <w:bCs/>
          <w:sz w:val="18"/>
          <w:szCs w:val="18"/>
          <w:lang w:val="es-ES_tradnl"/>
        </w:rPr>
        <w:tab/>
        <w:t xml:space="preserve">   </w:t>
      </w:r>
      <w:r>
        <w:rPr>
          <w:b/>
          <w:bCs/>
          <w:spacing w:val="-10"/>
          <w:sz w:val="18"/>
          <w:szCs w:val="18"/>
          <w:lang w:val="es-ES_tradnl"/>
        </w:rPr>
        <w:t>289</w:t>
      </w:r>
    </w:p>
    <w:p w14:paraId="4F67A31E" w14:textId="77777777" w:rsidR="00591D54" w:rsidRDefault="00591D54" w:rsidP="00251195">
      <w:pPr>
        <w:shd w:val="clear" w:color="auto" w:fill="FFFFFF"/>
        <w:tabs>
          <w:tab w:val="left" w:leader="dot" w:pos="3850"/>
        </w:tabs>
        <w:ind w:left="677" w:hanging="677"/>
        <w:jc w:val="both"/>
      </w:pPr>
    </w:p>
    <w:p w14:paraId="4F67A31F" w14:textId="77777777" w:rsidR="00591D54" w:rsidRDefault="00591D54" w:rsidP="00251195">
      <w:pPr>
        <w:shd w:val="clear" w:color="auto" w:fill="FFFFFF"/>
        <w:tabs>
          <w:tab w:val="left" w:leader="dot" w:pos="3850"/>
        </w:tabs>
        <w:ind w:left="677" w:hanging="677"/>
        <w:jc w:val="both"/>
      </w:pPr>
      <w:r>
        <w:rPr>
          <w:b/>
          <w:bCs/>
          <w:spacing w:val="-8"/>
          <w:sz w:val="18"/>
          <w:szCs w:val="18"/>
          <w:lang w:val="es-ES_tradnl"/>
        </w:rPr>
        <w:t>292-15-SEP-CC Ni</w:t>
      </w:r>
      <w:r>
        <w:rPr>
          <w:rFonts w:cs="Times New Roman"/>
          <w:b/>
          <w:bCs/>
          <w:spacing w:val="-8"/>
          <w:sz w:val="18"/>
          <w:szCs w:val="18"/>
          <w:lang w:val="es-ES_tradnl"/>
        </w:rPr>
        <w:t>é</w:t>
      </w:r>
      <w:r>
        <w:rPr>
          <w:b/>
          <w:bCs/>
          <w:spacing w:val="-8"/>
          <w:sz w:val="18"/>
          <w:szCs w:val="18"/>
          <w:lang w:val="es-ES_tradnl"/>
        </w:rPr>
        <w:t>guese la acci</w:t>
      </w:r>
      <w:r>
        <w:rPr>
          <w:rFonts w:cs="Times New Roman"/>
          <w:b/>
          <w:bCs/>
          <w:spacing w:val="-8"/>
          <w:sz w:val="18"/>
          <w:szCs w:val="18"/>
          <w:lang w:val="es-ES_tradnl"/>
        </w:rPr>
        <w:t>ó</w:t>
      </w:r>
      <w:r>
        <w:rPr>
          <w:b/>
          <w:bCs/>
          <w:spacing w:val="-8"/>
          <w:sz w:val="18"/>
          <w:szCs w:val="18"/>
          <w:lang w:val="es-ES_tradnl"/>
        </w:rPr>
        <w:t>n extraordinaria de protecci</w:t>
      </w:r>
      <w:r>
        <w:rPr>
          <w:rFonts w:cs="Times New Roman"/>
          <w:b/>
          <w:bCs/>
          <w:spacing w:val="-8"/>
          <w:sz w:val="18"/>
          <w:szCs w:val="18"/>
          <w:lang w:val="es-ES_tradnl"/>
        </w:rPr>
        <w:t>ó</w:t>
      </w:r>
      <w:r>
        <w:rPr>
          <w:b/>
          <w:bCs/>
          <w:spacing w:val="-8"/>
          <w:sz w:val="18"/>
          <w:szCs w:val="18"/>
          <w:lang w:val="es-ES_tradnl"/>
        </w:rPr>
        <w:t>n planteada por la se</w:t>
      </w:r>
      <w:r>
        <w:rPr>
          <w:rFonts w:cs="Times New Roman"/>
          <w:b/>
          <w:bCs/>
          <w:spacing w:val="-8"/>
          <w:sz w:val="18"/>
          <w:szCs w:val="18"/>
          <w:lang w:val="es-ES_tradnl"/>
        </w:rPr>
        <w:t>ñ</w:t>
      </w:r>
      <w:r>
        <w:rPr>
          <w:b/>
          <w:bCs/>
          <w:spacing w:val="-8"/>
          <w:sz w:val="18"/>
          <w:szCs w:val="18"/>
          <w:lang w:val="es-ES_tradnl"/>
        </w:rPr>
        <w:t>ora </w:t>
      </w:r>
      <w:r>
        <w:rPr>
          <w:b/>
          <w:bCs/>
          <w:spacing w:val="-1"/>
          <w:sz w:val="18"/>
          <w:szCs w:val="18"/>
          <w:lang w:val="es-ES_tradnl"/>
        </w:rPr>
        <w:t>Emperatriz Mu</w:t>
      </w:r>
      <w:r>
        <w:rPr>
          <w:rFonts w:cs="Times New Roman"/>
          <w:b/>
          <w:bCs/>
          <w:spacing w:val="-1"/>
          <w:sz w:val="18"/>
          <w:szCs w:val="18"/>
          <w:lang w:val="es-ES_tradnl"/>
        </w:rPr>
        <w:t>ñ</w:t>
      </w:r>
      <w:r>
        <w:rPr>
          <w:b/>
          <w:bCs/>
          <w:spacing w:val="-1"/>
          <w:sz w:val="18"/>
          <w:szCs w:val="18"/>
          <w:lang w:val="es-ES_tradnl"/>
        </w:rPr>
        <w:t>etones Hern</w:t>
      </w:r>
      <w:r>
        <w:rPr>
          <w:rFonts w:cs="Times New Roman"/>
          <w:b/>
          <w:bCs/>
          <w:spacing w:val="-1"/>
          <w:sz w:val="18"/>
          <w:szCs w:val="18"/>
          <w:lang w:val="es-ES_tradnl"/>
        </w:rPr>
        <w:t>á</w:t>
      </w:r>
      <w:r>
        <w:rPr>
          <w:b/>
          <w:bCs/>
          <w:spacing w:val="-1"/>
          <w:sz w:val="18"/>
          <w:szCs w:val="18"/>
          <w:lang w:val="es-ES_tradnl"/>
        </w:rPr>
        <w:t>ndez y </w:t>
      </w:r>
      <w:r>
        <w:rPr>
          <w:b/>
          <w:bCs/>
          <w:spacing w:val="-9"/>
          <w:sz w:val="18"/>
          <w:szCs w:val="18"/>
          <w:lang w:val="es-ES_tradnl"/>
        </w:rPr>
        <w:t xml:space="preserve">otro </w:t>
      </w:r>
      <w:r>
        <w:rPr>
          <w:b/>
          <w:bCs/>
          <w:sz w:val="18"/>
          <w:szCs w:val="18"/>
          <w:lang w:val="es-ES_tradnl"/>
        </w:rPr>
        <w:tab/>
        <w:t xml:space="preserve">   </w:t>
      </w:r>
      <w:r>
        <w:rPr>
          <w:b/>
          <w:bCs/>
          <w:spacing w:val="-10"/>
          <w:sz w:val="18"/>
          <w:szCs w:val="18"/>
          <w:lang w:val="es-ES_tradnl"/>
        </w:rPr>
        <w:t>299</w:t>
      </w:r>
    </w:p>
    <w:p w14:paraId="4F67A320" w14:textId="77777777" w:rsidR="00591D54" w:rsidRDefault="00591D54">
      <w:pPr>
        <w:shd w:val="clear" w:color="auto" w:fill="FFFFFF"/>
        <w:spacing w:before="1531" w:line="571" w:lineRule="exact"/>
      </w:pPr>
      <w:r>
        <w:rPr>
          <w:spacing w:val="-4"/>
          <w:sz w:val="18"/>
          <w:szCs w:val="18"/>
          <w:lang w:val="es-ES_tradnl"/>
        </w:rPr>
        <w:t>Quito, D. M., 19 de agosto de 2015</w:t>
      </w:r>
    </w:p>
    <w:p w14:paraId="4F67A321" w14:textId="77777777" w:rsidR="00591D54" w:rsidRDefault="00591D54">
      <w:pPr>
        <w:shd w:val="clear" w:color="auto" w:fill="FFFFFF"/>
        <w:spacing w:line="571" w:lineRule="exact"/>
        <w:ind w:left="850"/>
      </w:pPr>
      <w:r>
        <w:rPr>
          <w:b/>
          <w:bCs/>
          <w:sz w:val="18"/>
          <w:szCs w:val="18"/>
          <w:u w:val="single"/>
          <w:lang w:val="es-ES_tradnl"/>
        </w:rPr>
        <w:t>DICTAMEN N.</w:t>
      </w:r>
      <w:r>
        <w:rPr>
          <w:rFonts w:cs="Times New Roman"/>
          <w:b/>
          <w:bCs/>
          <w:sz w:val="18"/>
          <w:szCs w:val="18"/>
          <w:u w:val="single"/>
          <w:lang w:val="es-ES_tradnl"/>
        </w:rPr>
        <w:t>º</w:t>
      </w:r>
      <w:r>
        <w:rPr>
          <w:b/>
          <w:bCs/>
          <w:sz w:val="18"/>
          <w:szCs w:val="18"/>
          <w:u w:val="single"/>
          <w:lang w:val="es-ES_tradnl"/>
        </w:rPr>
        <w:t xml:space="preserve"> 004-15-DTI-CC</w:t>
      </w:r>
    </w:p>
    <w:p w14:paraId="4F67A322" w14:textId="77777777" w:rsidR="00591D54" w:rsidRDefault="00591D54">
      <w:pPr>
        <w:shd w:val="clear" w:color="auto" w:fill="FFFFFF"/>
        <w:spacing w:line="571" w:lineRule="exact"/>
        <w:ind w:left="1282"/>
      </w:pPr>
      <w:r>
        <w:rPr>
          <w:b/>
          <w:bCs/>
          <w:sz w:val="18"/>
          <w:szCs w:val="18"/>
          <w:u w:val="single"/>
          <w:lang w:val="es-ES_tradnl"/>
        </w:rPr>
        <w:t>CASO N.</w:t>
      </w:r>
      <w:r>
        <w:rPr>
          <w:rFonts w:cs="Times New Roman"/>
          <w:b/>
          <w:bCs/>
          <w:sz w:val="18"/>
          <w:szCs w:val="18"/>
          <w:u w:val="single"/>
          <w:lang w:val="es-ES_tradnl"/>
        </w:rPr>
        <w:t>º</w:t>
      </w:r>
      <w:r>
        <w:rPr>
          <w:b/>
          <w:bCs/>
          <w:sz w:val="18"/>
          <w:szCs w:val="18"/>
          <w:u w:val="single"/>
          <w:lang w:val="es-ES_tradnl"/>
        </w:rPr>
        <w:t xml:space="preserve"> 0003-14-TI</w:t>
      </w:r>
    </w:p>
    <w:p w14:paraId="4F67A323" w14:textId="77777777" w:rsidR="00591D54" w:rsidRDefault="00591D54">
      <w:pPr>
        <w:shd w:val="clear" w:color="auto" w:fill="FFFFFF"/>
        <w:spacing w:line="571" w:lineRule="exact"/>
        <w:ind w:left="254"/>
      </w:pPr>
      <w:r>
        <w:rPr>
          <w:b/>
          <w:bCs/>
          <w:sz w:val="18"/>
          <w:szCs w:val="18"/>
          <w:lang w:val="es-ES_tradnl"/>
        </w:rPr>
        <w:t>CORTE CONSTITUCIONAL DEL ECUADOR</w:t>
      </w:r>
    </w:p>
    <w:p w14:paraId="4F67A324" w14:textId="77777777" w:rsidR="00591D54" w:rsidRDefault="00591D54">
      <w:pPr>
        <w:shd w:val="clear" w:color="auto" w:fill="FFFFFF"/>
        <w:spacing w:line="571" w:lineRule="exact"/>
        <w:ind w:left="1315"/>
      </w:pPr>
      <w:r>
        <w:rPr>
          <w:b/>
          <w:bCs/>
          <w:sz w:val="18"/>
          <w:szCs w:val="18"/>
          <w:lang w:val="es-ES_tradnl"/>
        </w:rPr>
        <w:t>I. ANTECEDENTES</w:t>
      </w:r>
    </w:p>
    <w:p w14:paraId="4F67A325" w14:textId="77777777" w:rsidR="00591D54" w:rsidRDefault="00591D54">
      <w:pPr>
        <w:shd w:val="clear" w:color="auto" w:fill="FFFFFF"/>
        <w:spacing w:line="571" w:lineRule="exact"/>
      </w:pPr>
      <w:r>
        <w:rPr>
          <w:b/>
          <w:bCs/>
          <w:spacing w:val="-7"/>
          <w:sz w:val="18"/>
          <w:szCs w:val="18"/>
          <w:lang w:val="es-ES_tradnl"/>
        </w:rPr>
        <w:t>Resumen de admisibilidad</w:t>
      </w:r>
    </w:p>
    <w:p w14:paraId="4F67A326" w14:textId="77777777" w:rsidR="00591D54" w:rsidRDefault="00591D54">
      <w:pPr>
        <w:shd w:val="clear" w:color="auto" w:fill="FFFFFF"/>
        <w:spacing w:before="269" w:line="240" w:lineRule="exact"/>
        <w:jc w:val="both"/>
      </w:pPr>
      <w:r>
        <w:rPr>
          <w:spacing w:val="-2"/>
          <w:sz w:val="18"/>
          <w:szCs w:val="18"/>
          <w:lang w:val="es-ES_tradnl"/>
        </w:rPr>
        <w:t>El doctor Alexis Mera Giler, secretario nacional jur</w:t>
      </w:r>
      <w:r>
        <w:rPr>
          <w:rFonts w:cs="Times New Roman"/>
          <w:spacing w:val="-2"/>
          <w:sz w:val="18"/>
          <w:szCs w:val="18"/>
          <w:lang w:val="es-ES_tradnl"/>
        </w:rPr>
        <w:t>í</w:t>
      </w:r>
      <w:r>
        <w:rPr>
          <w:spacing w:val="-2"/>
          <w:sz w:val="18"/>
          <w:szCs w:val="18"/>
          <w:lang w:val="es-ES_tradnl"/>
        </w:rPr>
        <w:t xml:space="preserve">dico </w:t>
      </w:r>
      <w:r>
        <w:rPr>
          <w:spacing w:val="-5"/>
          <w:sz w:val="18"/>
          <w:szCs w:val="18"/>
          <w:lang w:val="es-ES_tradnl"/>
        </w:rPr>
        <w:t>de la Presidencia de la Rep</w:t>
      </w:r>
      <w:r>
        <w:rPr>
          <w:rFonts w:cs="Times New Roman"/>
          <w:spacing w:val="-5"/>
          <w:sz w:val="18"/>
          <w:szCs w:val="18"/>
          <w:lang w:val="es-ES_tradnl"/>
        </w:rPr>
        <w:t>ú</w:t>
      </w:r>
      <w:r>
        <w:rPr>
          <w:spacing w:val="-5"/>
          <w:sz w:val="18"/>
          <w:szCs w:val="18"/>
          <w:lang w:val="es-ES_tradnl"/>
        </w:rPr>
        <w:t>blica, mediante oficio N.</w:t>
      </w:r>
      <w:r>
        <w:rPr>
          <w:rFonts w:cs="Times New Roman"/>
          <w:spacing w:val="-5"/>
          <w:sz w:val="18"/>
          <w:szCs w:val="18"/>
          <w:lang w:val="es-ES_tradnl"/>
        </w:rPr>
        <w:t>º</w:t>
      </w:r>
      <w:r>
        <w:rPr>
          <w:spacing w:val="-5"/>
          <w:sz w:val="18"/>
          <w:szCs w:val="18"/>
          <w:lang w:val="es-ES_tradnl"/>
        </w:rPr>
        <w:t xml:space="preserve"> T. </w:t>
      </w:r>
      <w:r>
        <w:rPr>
          <w:spacing w:val="-3"/>
          <w:sz w:val="18"/>
          <w:szCs w:val="18"/>
          <w:lang w:val="es-ES_tradnl"/>
        </w:rPr>
        <w:t>6934-SGJ-14-458 del 03 de julio de 2014, solicit</w:t>
      </w:r>
      <w:r>
        <w:rPr>
          <w:rFonts w:cs="Times New Roman"/>
          <w:spacing w:val="-3"/>
          <w:sz w:val="18"/>
          <w:szCs w:val="18"/>
          <w:lang w:val="es-ES_tradnl"/>
        </w:rPr>
        <w:t>ó</w:t>
      </w:r>
      <w:r>
        <w:rPr>
          <w:spacing w:val="-3"/>
          <w:sz w:val="18"/>
          <w:szCs w:val="18"/>
          <w:lang w:val="es-ES_tradnl"/>
        </w:rPr>
        <w:t xml:space="preserve"> a la </w:t>
      </w:r>
      <w:r>
        <w:rPr>
          <w:spacing w:val="-6"/>
          <w:sz w:val="18"/>
          <w:szCs w:val="18"/>
          <w:lang w:val="es-ES_tradnl"/>
        </w:rPr>
        <w:t xml:space="preserve">Corte Constitucional resuelva si el </w:t>
      </w:r>
      <w:r>
        <w:rPr>
          <w:rFonts w:cs="Times New Roman"/>
          <w:spacing w:val="-6"/>
          <w:sz w:val="18"/>
          <w:szCs w:val="18"/>
          <w:lang w:val="es-ES_tradnl"/>
        </w:rPr>
        <w:t>“</w:t>
      </w:r>
      <w:r>
        <w:rPr>
          <w:spacing w:val="-6"/>
          <w:sz w:val="18"/>
          <w:szCs w:val="18"/>
          <w:lang w:val="es-ES_tradnl"/>
        </w:rPr>
        <w:t xml:space="preserve">Convenio de Servicios </w:t>
      </w:r>
      <w:r>
        <w:rPr>
          <w:spacing w:val="-7"/>
          <w:sz w:val="18"/>
          <w:szCs w:val="18"/>
          <w:lang w:val="es-ES_tradnl"/>
        </w:rPr>
        <w:t>A</w:t>
      </w:r>
      <w:r>
        <w:rPr>
          <w:rFonts w:cs="Times New Roman"/>
          <w:spacing w:val="-7"/>
          <w:sz w:val="18"/>
          <w:szCs w:val="18"/>
          <w:lang w:val="es-ES_tradnl"/>
        </w:rPr>
        <w:t>é</w:t>
      </w:r>
      <w:r>
        <w:rPr>
          <w:spacing w:val="-7"/>
          <w:sz w:val="18"/>
          <w:szCs w:val="18"/>
          <w:lang w:val="es-ES_tradnl"/>
        </w:rPr>
        <w:t>reos entre el Gobierno de la Rep</w:t>
      </w:r>
      <w:r>
        <w:rPr>
          <w:rFonts w:cs="Times New Roman"/>
          <w:spacing w:val="-7"/>
          <w:sz w:val="18"/>
          <w:szCs w:val="18"/>
          <w:lang w:val="es-ES_tradnl"/>
        </w:rPr>
        <w:t>ú</w:t>
      </w:r>
      <w:r>
        <w:rPr>
          <w:spacing w:val="-7"/>
          <w:sz w:val="18"/>
          <w:szCs w:val="18"/>
          <w:lang w:val="es-ES_tradnl"/>
        </w:rPr>
        <w:t xml:space="preserve">blica del Ecuador y el </w:t>
      </w:r>
      <w:r>
        <w:rPr>
          <w:spacing w:val="-5"/>
          <w:sz w:val="18"/>
          <w:szCs w:val="18"/>
          <w:lang w:val="es-ES_tradnl"/>
        </w:rPr>
        <w:t>Gobierno de la Rep</w:t>
      </w:r>
      <w:r>
        <w:rPr>
          <w:rFonts w:cs="Times New Roman"/>
          <w:spacing w:val="-5"/>
          <w:sz w:val="18"/>
          <w:szCs w:val="18"/>
          <w:lang w:val="es-ES_tradnl"/>
        </w:rPr>
        <w:t>ú</w:t>
      </w:r>
      <w:r>
        <w:rPr>
          <w:spacing w:val="-5"/>
          <w:sz w:val="18"/>
          <w:szCs w:val="18"/>
          <w:lang w:val="es-ES_tradnl"/>
        </w:rPr>
        <w:t>blica Popular de China</w:t>
      </w:r>
      <w:r>
        <w:rPr>
          <w:rFonts w:cs="Times New Roman"/>
          <w:spacing w:val="-5"/>
          <w:sz w:val="18"/>
          <w:szCs w:val="18"/>
          <w:lang w:val="es-ES_tradnl"/>
        </w:rPr>
        <w:t>”</w:t>
      </w:r>
      <w:r>
        <w:rPr>
          <w:spacing w:val="-5"/>
          <w:sz w:val="18"/>
          <w:szCs w:val="18"/>
          <w:lang w:val="es-ES_tradnl"/>
        </w:rPr>
        <w:t xml:space="preserve">, suscrito en la ciudad de Beijing, China, el 19 de noviembre de 2013, </w:t>
      </w:r>
      <w:r>
        <w:rPr>
          <w:sz w:val="18"/>
          <w:szCs w:val="18"/>
          <w:lang w:val="es-ES_tradnl"/>
        </w:rPr>
        <w:t>requiere o no de aprobaci</w:t>
      </w:r>
      <w:r>
        <w:rPr>
          <w:rFonts w:cs="Times New Roman"/>
          <w:sz w:val="18"/>
          <w:szCs w:val="18"/>
          <w:lang w:val="es-ES_tradnl"/>
        </w:rPr>
        <w:t>ó</w:t>
      </w:r>
      <w:r>
        <w:rPr>
          <w:sz w:val="18"/>
          <w:szCs w:val="18"/>
          <w:lang w:val="es-ES_tradnl"/>
        </w:rPr>
        <w:t>n legislativa.</w:t>
      </w:r>
    </w:p>
    <w:p w14:paraId="4F67A327" w14:textId="77777777" w:rsidR="00591D54" w:rsidRDefault="00591D54">
      <w:pPr>
        <w:shd w:val="clear" w:color="auto" w:fill="FFFFFF"/>
        <w:spacing w:before="322" w:line="245" w:lineRule="exact"/>
        <w:jc w:val="both"/>
      </w:pPr>
      <w:r>
        <w:rPr>
          <w:spacing w:val="-6"/>
          <w:sz w:val="18"/>
          <w:szCs w:val="18"/>
          <w:lang w:val="es-ES_tradnl"/>
        </w:rPr>
        <w:t>La Secretar</w:t>
      </w:r>
      <w:r>
        <w:rPr>
          <w:rFonts w:cs="Times New Roman"/>
          <w:spacing w:val="-6"/>
          <w:sz w:val="18"/>
          <w:szCs w:val="18"/>
          <w:lang w:val="es-ES_tradnl"/>
        </w:rPr>
        <w:t>í</w:t>
      </w:r>
      <w:r>
        <w:rPr>
          <w:spacing w:val="-6"/>
          <w:sz w:val="18"/>
          <w:szCs w:val="18"/>
          <w:lang w:val="es-ES_tradnl"/>
        </w:rPr>
        <w:t xml:space="preserve">a General de la Corte Constitucional, el 04 de </w:t>
      </w:r>
      <w:r>
        <w:rPr>
          <w:spacing w:val="-7"/>
          <w:sz w:val="18"/>
          <w:szCs w:val="18"/>
          <w:lang w:val="es-ES_tradnl"/>
        </w:rPr>
        <w:t>julio de 2014, en base al segundo inciso del cuarto art</w:t>
      </w:r>
      <w:r>
        <w:rPr>
          <w:rFonts w:cs="Times New Roman"/>
          <w:spacing w:val="-7"/>
          <w:sz w:val="18"/>
          <w:szCs w:val="18"/>
          <w:lang w:val="es-ES_tradnl"/>
        </w:rPr>
        <w:t>í</w:t>
      </w:r>
      <w:r>
        <w:rPr>
          <w:spacing w:val="-7"/>
          <w:sz w:val="18"/>
          <w:szCs w:val="18"/>
          <w:lang w:val="es-ES_tradnl"/>
        </w:rPr>
        <w:t>culo</w:t>
      </w:r>
    </w:p>
    <w:p w14:paraId="4F67A328" w14:textId="77777777" w:rsidR="00591D54" w:rsidRDefault="00591D54">
      <w:pPr>
        <w:shd w:val="clear" w:color="auto" w:fill="FFFFFF"/>
        <w:spacing w:before="5" w:line="221" w:lineRule="exact"/>
        <w:jc w:val="both"/>
      </w:pPr>
      <w:r>
        <w:br w:type="column"/>
      </w:r>
      <w:r>
        <w:rPr>
          <w:spacing w:val="-6"/>
          <w:sz w:val="18"/>
          <w:szCs w:val="18"/>
          <w:lang w:val="es-ES_tradnl"/>
        </w:rPr>
        <w:t>innumerado agregado a continuaci</w:t>
      </w:r>
      <w:r>
        <w:rPr>
          <w:rFonts w:cs="Times New Roman"/>
          <w:spacing w:val="-6"/>
          <w:sz w:val="18"/>
          <w:szCs w:val="18"/>
          <w:lang w:val="es-ES_tradnl"/>
        </w:rPr>
        <w:t>ó</w:t>
      </w:r>
      <w:r>
        <w:rPr>
          <w:spacing w:val="-6"/>
          <w:sz w:val="18"/>
          <w:szCs w:val="18"/>
          <w:lang w:val="es-ES_tradnl"/>
        </w:rPr>
        <w:t>n del art</w:t>
      </w:r>
      <w:r>
        <w:rPr>
          <w:rFonts w:cs="Times New Roman"/>
          <w:spacing w:val="-6"/>
          <w:sz w:val="18"/>
          <w:szCs w:val="18"/>
          <w:lang w:val="es-ES_tradnl"/>
        </w:rPr>
        <w:t>í</w:t>
      </w:r>
      <w:r>
        <w:rPr>
          <w:spacing w:val="-6"/>
          <w:sz w:val="18"/>
          <w:szCs w:val="18"/>
          <w:lang w:val="es-ES_tradnl"/>
        </w:rPr>
        <w:t xml:space="preserve">culo 8 del </w:t>
      </w:r>
      <w:r>
        <w:rPr>
          <w:spacing w:val="-10"/>
          <w:sz w:val="18"/>
          <w:szCs w:val="18"/>
          <w:lang w:val="es-ES_tradnl"/>
        </w:rPr>
        <w:t>Reglamento de Sustanciaci</w:t>
      </w:r>
      <w:r>
        <w:rPr>
          <w:rFonts w:cs="Times New Roman"/>
          <w:spacing w:val="-10"/>
          <w:sz w:val="18"/>
          <w:szCs w:val="18"/>
          <w:lang w:val="es-ES_tradnl"/>
        </w:rPr>
        <w:t>ó</w:t>
      </w:r>
      <w:r>
        <w:rPr>
          <w:spacing w:val="-10"/>
          <w:sz w:val="18"/>
          <w:szCs w:val="18"/>
          <w:lang w:val="es-ES_tradnl"/>
        </w:rPr>
        <w:t xml:space="preserve">n de Procesos de Competencia </w:t>
      </w:r>
      <w:r>
        <w:rPr>
          <w:spacing w:val="-5"/>
          <w:sz w:val="18"/>
          <w:szCs w:val="18"/>
          <w:lang w:val="es-ES_tradnl"/>
        </w:rPr>
        <w:t>de la Corte Constitucional, certific</w:t>
      </w:r>
      <w:r>
        <w:rPr>
          <w:rFonts w:cs="Times New Roman"/>
          <w:spacing w:val="-5"/>
          <w:sz w:val="18"/>
          <w:szCs w:val="18"/>
          <w:lang w:val="es-ES_tradnl"/>
        </w:rPr>
        <w:t>ó</w:t>
      </w:r>
      <w:r>
        <w:rPr>
          <w:spacing w:val="-5"/>
          <w:sz w:val="18"/>
          <w:szCs w:val="18"/>
          <w:lang w:val="es-ES_tradnl"/>
        </w:rPr>
        <w:t xml:space="preserve"> que respecto de la </w:t>
      </w:r>
      <w:r>
        <w:rPr>
          <w:spacing w:val="-8"/>
          <w:sz w:val="18"/>
          <w:szCs w:val="18"/>
          <w:lang w:val="es-ES_tradnl"/>
        </w:rPr>
        <w:t>presente petici</w:t>
      </w:r>
      <w:r>
        <w:rPr>
          <w:rFonts w:cs="Times New Roman"/>
          <w:spacing w:val="-8"/>
          <w:sz w:val="18"/>
          <w:szCs w:val="18"/>
          <w:lang w:val="es-ES_tradnl"/>
        </w:rPr>
        <w:t>ó</w:t>
      </w:r>
      <w:r>
        <w:rPr>
          <w:spacing w:val="-8"/>
          <w:sz w:val="18"/>
          <w:szCs w:val="18"/>
          <w:lang w:val="es-ES_tradnl"/>
        </w:rPr>
        <w:t xml:space="preserve">n </w:t>
      </w:r>
      <w:r>
        <w:rPr>
          <w:rFonts w:cs="Times New Roman"/>
          <w:spacing w:val="-8"/>
          <w:sz w:val="18"/>
          <w:szCs w:val="18"/>
          <w:lang w:val="es-ES_tradnl"/>
        </w:rPr>
        <w:t>“</w:t>
      </w:r>
      <w:r>
        <w:rPr>
          <w:spacing w:val="-8"/>
          <w:sz w:val="18"/>
          <w:szCs w:val="18"/>
          <w:lang w:val="es-ES_tradnl"/>
        </w:rPr>
        <w:t xml:space="preserve">no se ha presentado otra demanda con </w:t>
      </w:r>
      <w:r>
        <w:rPr>
          <w:sz w:val="18"/>
          <w:szCs w:val="18"/>
          <w:lang w:val="es-ES_tradnl"/>
        </w:rPr>
        <w:t>identidad de objeto y acci</w:t>
      </w:r>
      <w:r>
        <w:rPr>
          <w:rFonts w:cs="Times New Roman"/>
          <w:sz w:val="18"/>
          <w:szCs w:val="18"/>
          <w:lang w:val="es-ES_tradnl"/>
        </w:rPr>
        <w:t>ó</w:t>
      </w:r>
      <w:r>
        <w:rPr>
          <w:sz w:val="18"/>
          <w:szCs w:val="18"/>
          <w:lang w:val="es-ES_tradnl"/>
        </w:rPr>
        <w:t>n</w:t>
      </w:r>
      <w:r>
        <w:rPr>
          <w:rFonts w:cs="Times New Roman"/>
          <w:sz w:val="18"/>
          <w:szCs w:val="18"/>
          <w:lang w:val="es-ES_tradnl"/>
        </w:rPr>
        <w:t>”</w:t>
      </w:r>
      <w:r>
        <w:rPr>
          <w:sz w:val="18"/>
          <w:szCs w:val="18"/>
          <w:lang w:val="es-ES_tradnl"/>
        </w:rPr>
        <w:t>.</w:t>
      </w:r>
    </w:p>
    <w:p w14:paraId="4F67A329" w14:textId="77777777" w:rsidR="00591D54" w:rsidRDefault="00591D54">
      <w:pPr>
        <w:shd w:val="clear" w:color="auto" w:fill="FFFFFF"/>
        <w:spacing w:before="202" w:line="221" w:lineRule="exact"/>
        <w:jc w:val="both"/>
      </w:pPr>
      <w:r>
        <w:rPr>
          <w:spacing w:val="-4"/>
          <w:sz w:val="18"/>
          <w:szCs w:val="18"/>
          <w:lang w:val="es-ES_tradnl"/>
        </w:rPr>
        <w:t xml:space="preserve">De conformidad con el sorteo efectuado por el Pleno de </w:t>
      </w:r>
      <w:r>
        <w:rPr>
          <w:spacing w:val="-7"/>
          <w:sz w:val="18"/>
          <w:szCs w:val="18"/>
          <w:lang w:val="es-ES_tradnl"/>
        </w:rPr>
        <w:t>la Corte Constitucional en sesi</w:t>
      </w:r>
      <w:r>
        <w:rPr>
          <w:rFonts w:cs="Times New Roman"/>
          <w:spacing w:val="-7"/>
          <w:sz w:val="18"/>
          <w:szCs w:val="18"/>
          <w:lang w:val="es-ES_tradnl"/>
        </w:rPr>
        <w:t>ó</w:t>
      </w:r>
      <w:r>
        <w:rPr>
          <w:spacing w:val="-7"/>
          <w:sz w:val="18"/>
          <w:szCs w:val="18"/>
          <w:lang w:val="es-ES_tradnl"/>
        </w:rPr>
        <w:t xml:space="preserve">n extraordinaria del 23 de </w:t>
      </w:r>
      <w:r>
        <w:rPr>
          <w:spacing w:val="-8"/>
          <w:sz w:val="18"/>
          <w:szCs w:val="18"/>
          <w:lang w:val="es-ES_tradnl"/>
        </w:rPr>
        <w:t>julio de 2014, respecto de la presente causa, correspondi</w:t>
      </w:r>
      <w:r>
        <w:rPr>
          <w:rFonts w:cs="Times New Roman"/>
          <w:spacing w:val="-8"/>
          <w:sz w:val="18"/>
          <w:szCs w:val="18"/>
          <w:lang w:val="es-ES_tradnl"/>
        </w:rPr>
        <w:t xml:space="preserve">ó </w:t>
      </w:r>
      <w:r>
        <w:rPr>
          <w:spacing w:val="-6"/>
          <w:sz w:val="18"/>
          <w:szCs w:val="18"/>
          <w:lang w:val="es-ES_tradnl"/>
        </w:rPr>
        <w:t>su conocimiento y tr</w:t>
      </w:r>
      <w:r>
        <w:rPr>
          <w:rFonts w:cs="Times New Roman"/>
          <w:spacing w:val="-6"/>
          <w:sz w:val="18"/>
          <w:szCs w:val="18"/>
          <w:lang w:val="es-ES_tradnl"/>
        </w:rPr>
        <w:t>á</w:t>
      </w:r>
      <w:r>
        <w:rPr>
          <w:spacing w:val="-6"/>
          <w:sz w:val="18"/>
          <w:szCs w:val="18"/>
          <w:lang w:val="es-ES_tradnl"/>
        </w:rPr>
        <w:t>mite a la jueza constitucional Mar</w:t>
      </w:r>
      <w:r>
        <w:rPr>
          <w:rFonts w:cs="Times New Roman"/>
          <w:spacing w:val="-6"/>
          <w:sz w:val="18"/>
          <w:szCs w:val="18"/>
          <w:lang w:val="es-ES_tradnl"/>
        </w:rPr>
        <w:t>í</w:t>
      </w:r>
      <w:r>
        <w:rPr>
          <w:spacing w:val="-6"/>
          <w:sz w:val="18"/>
          <w:szCs w:val="18"/>
          <w:lang w:val="es-ES_tradnl"/>
        </w:rPr>
        <w:t xml:space="preserve">a </w:t>
      </w:r>
      <w:r>
        <w:rPr>
          <w:sz w:val="18"/>
          <w:szCs w:val="18"/>
          <w:lang w:val="es-ES_tradnl"/>
        </w:rPr>
        <w:t>del Carmen Maldonado S</w:t>
      </w:r>
      <w:r>
        <w:rPr>
          <w:rFonts w:cs="Times New Roman"/>
          <w:sz w:val="18"/>
          <w:szCs w:val="18"/>
          <w:lang w:val="es-ES_tradnl"/>
        </w:rPr>
        <w:t>á</w:t>
      </w:r>
      <w:r>
        <w:rPr>
          <w:sz w:val="18"/>
          <w:szCs w:val="18"/>
          <w:lang w:val="es-ES_tradnl"/>
        </w:rPr>
        <w:t>nchez.</w:t>
      </w:r>
    </w:p>
    <w:p w14:paraId="4F67A32A" w14:textId="77777777" w:rsidR="00591D54" w:rsidRDefault="00591D54">
      <w:pPr>
        <w:shd w:val="clear" w:color="auto" w:fill="FFFFFF"/>
        <w:spacing w:before="202" w:line="221" w:lineRule="exact"/>
        <w:jc w:val="both"/>
      </w:pPr>
      <w:r>
        <w:rPr>
          <w:spacing w:val="-8"/>
          <w:sz w:val="18"/>
          <w:szCs w:val="18"/>
          <w:lang w:val="es-ES_tradnl"/>
        </w:rPr>
        <w:t xml:space="preserve">El 21 de enero de 2015, el Pleno de la Corte Constitucional </w:t>
      </w:r>
      <w:r>
        <w:rPr>
          <w:spacing w:val="-4"/>
          <w:sz w:val="18"/>
          <w:szCs w:val="18"/>
          <w:lang w:val="es-ES_tradnl"/>
        </w:rPr>
        <w:t>aprob</w:t>
      </w:r>
      <w:r>
        <w:rPr>
          <w:rFonts w:cs="Times New Roman"/>
          <w:spacing w:val="-4"/>
          <w:sz w:val="18"/>
          <w:szCs w:val="18"/>
          <w:lang w:val="es-ES_tradnl"/>
        </w:rPr>
        <w:t>ó</w:t>
      </w:r>
      <w:r>
        <w:rPr>
          <w:spacing w:val="-4"/>
          <w:sz w:val="18"/>
          <w:szCs w:val="18"/>
          <w:lang w:val="es-ES_tradnl"/>
        </w:rPr>
        <w:t xml:space="preserve"> el informe previo mediante el cual se establec</w:t>
      </w:r>
      <w:r>
        <w:rPr>
          <w:rFonts w:cs="Times New Roman"/>
          <w:spacing w:val="-4"/>
          <w:sz w:val="18"/>
          <w:szCs w:val="18"/>
          <w:lang w:val="es-ES_tradnl"/>
        </w:rPr>
        <w:t>í</w:t>
      </w:r>
      <w:r>
        <w:rPr>
          <w:spacing w:val="-4"/>
          <w:sz w:val="18"/>
          <w:szCs w:val="18"/>
          <w:lang w:val="es-ES_tradnl"/>
        </w:rPr>
        <w:t xml:space="preserve">a </w:t>
      </w:r>
      <w:r>
        <w:rPr>
          <w:sz w:val="18"/>
          <w:szCs w:val="18"/>
          <w:lang w:val="es-ES_tradnl"/>
        </w:rPr>
        <w:t>que dicho convenio requiere aprobaci</w:t>
      </w:r>
      <w:r>
        <w:rPr>
          <w:rFonts w:cs="Times New Roman"/>
          <w:sz w:val="18"/>
          <w:szCs w:val="18"/>
          <w:lang w:val="es-ES_tradnl"/>
        </w:rPr>
        <w:t>ó</w:t>
      </w:r>
      <w:r>
        <w:rPr>
          <w:sz w:val="18"/>
          <w:szCs w:val="18"/>
          <w:lang w:val="es-ES_tradnl"/>
        </w:rPr>
        <w:t xml:space="preserve">n legislativa </w:t>
      </w:r>
      <w:r>
        <w:rPr>
          <w:spacing w:val="-7"/>
          <w:sz w:val="18"/>
          <w:szCs w:val="18"/>
          <w:lang w:val="es-ES_tradnl"/>
        </w:rPr>
        <w:t>y en consecuencia, procede el control autom</w:t>
      </w:r>
      <w:r>
        <w:rPr>
          <w:rFonts w:cs="Times New Roman"/>
          <w:spacing w:val="-7"/>
          <w:sz w:val="18"/>
          <w:szCs w:val="18"/>
          <w:lang w:val="es-ES_tradnl"/>
        </w:rPr>
        <w:t>á</w:t>
      </w:r>
      <w:r>
        <w:rPr>
          <w:spacing w:val="-7"/>
          <w:sz w:val="18"/>
          <w:szCs w:val="18"/>
          <w:lang w:val="es-ES_tradnl"/>
        </w:rPr>
        <w:t xml:space="preserve">tico de </w:t>
      </w:r>
      <w:r>
        <w:rPr>
          <w:spacing w:val="-5"/>
          <w:sz w:val="18"/>
          <w:szCs w:val="18"/>
          <w:lang w:val="es-ES_tradnl"/>
        </w:rPr>
        <w:t xml:space="preserve">constitucionalidad por parte de la Corte Constitucional. </w:t>
      </w:r>
      <w:r>
        <w:rPr>
          <w:spacing w:val="-7"/>
          <w:sz w:val="18"/>
          <w:szCs w:val="18"/>
          <w:lang w:val="es-ES_tradnl"/>
        </w:rPr>
        <w:t>Asimismo, se dispuso la publicaci</w:t>
      </w:r>
      <w:r>
        <w:rPr>
          <w:rFonts w:cs="Times New Roman"/>
          <w:spacing w:val="-7"/>
          <w:sz w:val="18"/>
          <w:szCs w:val="18"/>
          <w:lang w:val="es-ES_tradnl"/>
        </w:rPr>
        <w:t>ó</w:t>
      </w:r>
      <w:r>
        <w:rPr>
          <w:spacing w:val="-7"/>
          <w:sz w:val="18"/>
          <w:szCs w:val="18"/>
          <w:lang w:val="es-ES_tradnl"/>
        </w:rPr>
        <w:t xml:space="preserve">n en el Registro Oficial </w:t>
      </w:r>
      <w:r>
        <w:rPr>
          <w:spacing w:val="-3"/>
          <w:sz w:val="18"/>
          <w:szCs w:val="18"/>
          <w:lang w:val="es-ES_tradnl"/>
        </w:rPr>
        <w:t xml:space="preserve">del texto del </w:t>
      </w:r>
      <w:r>
        <w:rPr>
          <w:rFonts w:cs="Times New Roman"/>
          <w:spacing w:val="-3"/>
          <w:sz w:val="18"/>
          <w:szCs w:val="18"/>
          <w:lang w:val="es-ES_tradnl"/>
        </w:rPr>
        <w:t>“</w:t>
      </w:r>
      <w:r>
        <w:rPr>
          <w:spacing w:val="-3"/>
          <w:sz w:val="18"/>
          <w:szCs w:val="18"/>
          <w:lang w:val="es-ES_tradnl"/>
        </w:rPr>
        <w:t>Convenio de Servicios A</w:t>
      </w:r>
      <w:r>
        <w:rPr>
          <w:rFonts w:cs="Times New Roman"/>
          <w:spacing w:val="-3"/>
          <w:sz w:val="18"/>
          <w:szCs w:val="18"/>
          <w:lang w:val="es-ES_tradnl"/>
        </w:rPr>
        <w:t>é</w:t>
      </w:r>
      <w:r>
        <w:rPr>
          <w:spacing w:val="-3"/>
          <w:sz w:val="18"/>
          <w:szCs w:val="18"/>
          <w:lang w:val="es-ES_tradnl"/>
        </w:rPr>
        <w:t>reos entre el Gobierno de la Rep</w:t>
      </w:r>
      <w:r>
        <w:rPr>
          <w:rFonts w:cs="Times New Roman"/>
          <w:spacing w:val="-3"/>
          <w:sz w:val="18"/>
          <w:szCs w:val="18"/>
          <w:lang w:val="es-ES_tradnl"/>
        </w:rPr>
        <w:t>ú</w:t>
      </w:r>
      <w:r>
        <w:rPr>
          <w:spacing w:val="-3"/>
          <w:sz w:val="18"/>
          <w:szCs w:val="18"/>
          <w:lang w:val="es-ES_tradnl"/>
        </w:rPr>
        <w:t xml:space="preserve">blica del Ecuador y el Gobierno de </w:t>
      </w:r>
      <w:r>
        <w:rPr>
          <w:spacing w:val="-5"/>
          <w:sz w:val="18"/>
          <w:szCs w:val="18"/>
          <w:lang w:val="es-ES_tradnl"/>
        </w:rPr>
        <w:t>la Rep</w:t>
      </w:r>
      <w:r>
        <w:rPr>
          <w:rFonts w:cs="Times New Roman"/>
          <w:spacing w:val="-5"/>
          <w:sz w:val="18"/>
          <w:szCs w:val="18"/>
          <w:lang w:val="es-ES_tradnl"/>
        </w:rPr>
        <w:t>ú</w:t>
      </w:r>
      <w:r>
        <w:rPr>
          <w:spacing w:val="-5"/>
          <w:sz w:val="18"/>
          <w:szCs w:val="18"/>
          <w:lang w:val="es-ES_tradnl"/>
        </w:rPr>
        <w:t>blica Popular de China</w:t>
      </w:r>
      <w:r>
        <w:rPr>
          <w:rFonts w:cs="Times New Roman"/>
          <w:spacing w:val="-5"/>
          <w:sz w:val="18"/>
          <w:szCs w:val="18"/>
          <w:lang w:val="es-ES_tradnl"/>
        </w:rPr>
        <w:t>”</w:t>
      </w:r>
      <w:r>
        <w:rPr>
          <w:spacing w:val="-5"/>
          <w:sz w:val="18"/>
          <w:szCs w:val="18"/>
          <w:lang w:val="es-ES_tradnl"/>
        </w:rPr>
        <w:t xml:space="preserve">, a fin de que cualquier </w:t>
      </w:r>
      <w:r>
        <w:rPr>
          <w:spacing w:val="-3"/>
          <w:sz w:val="18"/>
          <w:szCs w:val="18"/>
          <w:lang w:val="es-ES_tradnl"/>
        </w:rPr>
        <w:t xml:space="preserve">ciudadano pueda intervenir defendiendo o impugnando </w:t>
      </w:r>
      <w:r>
        <w:rPr>
          <w:spacing w:val="-4"/>
          <w:sz w:val="18"/>
          <w:szCs w:val="18"/>
          <w:lang w:val="es-ES_tradnl"/>
        </w:rPr>
        <w:t>su constitucionalidad total o parcial; publicaci</w:t>
      </w:r>
      <w:r>
        <w:rPr>
          <w:rFonts w:cs="Times New Roman"/>
          <w:spacing w:val="-4"/>
          <w:sz w:val="18"/>
          <w:szCs w:val="18"/>
          <w:lang w:val="es-ES_tradnl"/>
        </w:rPr>
        <w:t>ó</w:t>
      </w:r>
      <w:r>
        <w:rPr>
          <w:spacing w:val="-4"/>
          <w:sz w:val="18"/>
          <w:szCs w:val="18"/>
          <w:lang w:val="es-ES_tradnl"/>
        </w:rPr>
        <w:t xml:space="preserve">n que fue </w:t>
      </w:r>
      <w:r>
        <w:rPr>
          <w:spacing w:val="-5"/>
          <w:sz w:val="18"/>
          <w:szCs w:val="18"/>
          <w:lang w:val="es-ES_tradnl"/>
        </w:rPr>
        <w:t xml:space="preserve">realizada el 06 de febrero de 2015 en el Registro Oficial </w:t>
      </w:r>
      <w:r>
        <w:rPr>
          <w:sz w:val="18"/>
          <w:szCs w:val="18"/>
          <w:lang w:val="es-ES_tradnl"/>
        </w:rPr>
        <w:t>N.</w:t>
      </w:r>
      <w:r>
        <w:rPr>
          <w:rFonts w:cs="Times New Roman"/>
          <w:sz w:val="18"/>
          <w:szCs w:val="18"/>
          <w:lang w:val="es-ES_tradnl"/>
        </w:rPr>
        <w:t>º</w:t>
      </w:r>
      <w:r>
        <w:rPr>
          <w:sz w:val="18"/>
          <w:szCs w:val="18"/>
          <w:lang w:val="es-ES_tradnl"/>
        </w:rPr>
        <w:t xml:space="preserve"> 433.</w:t>
      </w:r>
    </w:p>
    <w:p w14:paraId="4F67A32B" w14:textId="77777777" w:rsidR="00591D54" w:rsidRDefault="00591D54">
      <w:pPr>
        <w:shd w:val="clear" w:color="auto" w:fill="FFFFFF"/>
        <w:spacing w:before="197"/>
        <w:ind w:left="998"/>
      </w:pPr>
      <w:r>
        <w:rPr>
          <w:b/>
          <w:bCs/>
          <w:sz w:val="18"/>
          <w:szCs w:val="18"/>
          <w:lang w:val="es-ES_tradnl"/>
        </w:rPr>
        <w:t>II. TEXTO DEL CONVENIO</w:t>
      </w:r>
    </w:p>
    <w:p w14:paraId="4F67A32C" w14:textId="77777777" w:rsidR="00591D54" w:rsidRDefault="00591D54">
      <w:pPr>
        <w:shd w:val="clear" w:color="auto" w:fill="FFFFFF"/>
        <w:spacing w:before="197" w:line="221" w:lineRule="exact"/>
        <w:ind w:left="10"/>
        <w:jc w:val="center"/>
      </w:pPr>
      <w:r>
        <w:rPr>
          <w:b/>
          <w:bCs/>
          <w:sz w:val="18"/>
          <w:szCs w:val="18"/>
          <w:lang w:val="es-ES_tradnl"/>
        </w:rPr>
        <w:t>CONVENIO DE SERVICIOS A</w:t>
      </w:r>
      <w:r>
        <w:rPr>
          <w:rFonts w:cs="Times New Roman"/>
          <w:b/>
          <w:bCs/>
          <w:sz w:val="18"/>
          <w:szCs w:val="18"/>
          <w:lang w:val="es-ES_tradnl"/>
        </w:rPr>
        <w:t>É</w:t>
      </w:r>
      <w:r>
        <w:rPr>
          <w:b/>
          <w:bCs/>
          <w:sz w:val="18"/>
          <w:szCs w:val="18"/>
          <w:lang w:val="es-ES_tradnl"/>
        </w:rPr>
        <w:t>REOS ENTRE EL</w:t>
      </w:r>
    </w:p>
    <w:p w14:paraId="4F67A32D" w14:textId="77777777" w:rsidR="00591D54" w:rsidRDefault="00591D54">
      <w:pPr>
        <w:shd w:val="clear" w:color="auto" w:fill="FFFFFF"/>
        <w:spacing w:line="221" w:lineRule="exact"/>
        <w:ind w:left="5"/>
        <w:jc w:val="center"/>
      </w:pPr>
      <w:r>
        <w:rPr>
          <w:b/>
          <w:bCs/>
          <w:sz w:val="18"/>
          <w:szCs w:val="18"/>
          <w:lang w:val="es-ES_tradnl"/>
        </w:rPr>
        <w:t>GOBIERNO DE LA REP</w:t>
      </w:r>
      <w:r>
        <w:rPr>
          <w:rFonts w:cs="Times New Roman"/>
          <w:b/>
          <w:bCs/>
          <w:sz w:val="18"/>
          <w:szCs w:val="18"/>
          <w:lang w:val="es-ES_tradnl"/>
        </w:rPr>
        <w:t>Ú</w:t>
      </w:r>
      <w:r>
        <w:rPr>
          <w:b/>
          <w:bCs/>
          <w:sz w:val="18"/>
          <w:szCs w:val="18"/>
          <w:lang w:val="es-ES_tradnl"/>
        </w:rPr>
        <w:t>BLICA DEL ECUADOR Y</w:t>
      </w:r>
    </w:p>
    <w:p w14:paraId="4F67A32E" w14:textId="77777777" w:rsidR="00591D54" w:rsidRDefault="00591D54">
      <w:pPr>
        <w:shd w:val="clear" w:color="auto" w:fill="FFFFFF"/>
        <w:spacing w:line="221" w:lineRule="exact"/>
        <w:ind w:left="10"/>
        <w:jc w:val="center"/>
      </w:pPr>
      <w:r>
        <w:rPr>
          <w:b/>
          <w:bCs/>
          <w:sz w:val="18"/>
          <w:szCs w:val="18"/>
          <w:lang w:val="es-ES_tradnl"/>
        </w:rPr>
        <w:t>EL GOBIERNO DE LA REP</w:t>
      </w:r>
      <w:r>
        <w:rPr>
          <w:rFonts w:cs="Times New Roman"/>
          <w:b/>
          <w:bCs/>
          <w:sz w:val="18"/>
          <w:szCs w:val="18"/>
          <w:lang w:val="es-ES_tradnl"/>
        </w:rPr>
        <w:t>Ú</w:t>
      </w:r>
      <w:r>
        <w:rPr>
          <w:b/>
          <w:bCs/>
          <w:sz w:val="18"/>
          <w:szCs w:val="18"/>
          <w:lang w:val="es-ES_tradnl"/>
        </w:rPr>
        <w:t>BLICA</w:t>
      </w:r>
    </w:p>
    <w:p w14:paraId="4F67A32F" w14:textId="77777777" w:rsidR="00591D54" w:rsidRDefault="00591D54">
      <w:pPr>
        <w:shd w:val="clear" w:color="auto" w:fill="FFFFFF"/>
        <w:spacing w:line="221" w:lineRule="exact"/>
        <w:ind w:left="10"/>
        <w:jc w:val="center"/>
      </w:pPr>
      <w:r>
        <w:rPr>
          <w:b/>
          <w:bCs/>
          <w:sz w:val="18"/>
          <w:szCs w:val="18"/>
          <w:lang w:val="es-ES_tradnl"/>
        </w:rPr>
        <w:t>POPULAR DE CHINA</w:t>
      </w:r>
    </w:p>
    <w:p w14:paraId="4F67A330" w14:textId="77777777" w:rsidR="00591D54" w:rsidRDefault="00591D54">
      <w:pPr>
        <w:shd w:val="clear" w:color="auto" w:fill="FFFFFF"/>
        <w:spacing w:before="202" w:line="221" w:lineRule="exact"/>
        <w:jc w:val="both"/>
      </w:pPr>
      <w:r>
        <w:rPr>
          <w:spacing w:val="-3"/>
          <w:sz w:val="18"/>
          <w:szCs w:val="18"/>
          <w:lang w:val="es-ES_tradnl"/>
        </w:rPr>
        <w:t>El Gobierno de la Rep</w:t>
      </w:r>
      <w:r>
        <w:rPr>
          <w:rFonts w:cs="Times New Roman"/>
          <w:spacing w:val="-3"/>
          <w:sz w:val="18"/>
          <w:szCs w:val="18"/>
          <w:lang w:val="es-ES_tradnl"/>
        </w:rPr>
        <w:t>ú</w:t>
      </w:r>
      <w:r>
        <w:rPr>
          <w:spacing w:val="-3"/>
          <w:sz w:val="18"/>
          <w:szCs w:val="18"/>
          <w:lang w:val="es-ES_tradnl"/>
        </w:rPr>
        <w:t xml:space="preserve">blica del Ecuador y el Gobierno </w:t>
      </w:r>
      <w:r>
        <w:rPr>
          <w:sz w:val="18"/>
          <w:szCs w:val="18"/>
          <w:lang w:val="es-ES_tradnl"/>
        </w:rPr>
        <w:t>de la Rep</w:t>
      </w:r>
      <w:r>
        <w:rPr>
          <w:rFonts w:cs="Times New Roman"/>
          <w:sz w:val="18"/>
          <w:szCs w:val="18"/>
          <w:lang w:val="es-ES_tradnl"/>
        </w:rPr>
        <w:t>ú</w:t>
      </w:r>
      <w:r>
        <w:rPr>
          <w:sz w:val="18"/>
          <w:szCs w:val="18"/>
          <w:lang w:val="es-ES_tradnl"/>
        </w:rPr>
        <w:t xml:space="preserve">blica Popular de China (en lo sucesivo </w:t>
      </w:r>
      <w:r>
        <w:rPr>
          <w:spacing w:val="-2"/>
          <w:sz w:val="18"/>
          <w:szCs w:val="18"/>
          <w:lang w:val="es-ES_tradnl"/>
        </w:rPr>
        <w:t xml:space="preserve">referidos individualmente como </w:t>
      </w:r>
      <w:r>
        <w:rPr>
          <w:rFonts w:cs="Times New Roman"/>
          <w:spacing w:val="-2"/>
          <w:sz w:val="18"/>
          <w:szCs w:val="18"/>
          <w:lang w:val="es-ES_tradnl"/>
        </w:rPr>
        <w:t>“</w:t>
      </w:r>
      <w:r>
        <w:rPr>
          <w:spacing w:val="-2"/>
          <w:sz w:val="18"/>
          <w:szCs w:val="18"/>
          <w:lang w:val="es-ES_tradnl"/>
        </w:rPr>
        <w:t>Ecuador</w:t>
      </w:r>
      <w:r>
        <w:rPr>
          <w:rFonts w:cs="Times New Roman"/>
          <w:spacing w:val="-2"/>
          <w:sz w:val="18"/>
          <w:szCs w:val="18"/>
          <w:lang w:val="es-ES_tradnl"/>
        </w:rPr>
        <w:t>”</w:t>
      </w:r>
      <w:r>
        <w:rPr>
          <w:spacing w:val="-2"/>
          <w:sz w:val="18"/>
          <w:szCs w:val="18"/>
          <w:lang w:val="es-ES_tradnl"/>
        </w:rPr>
        <w:t xml:space="preserve"> y </w:t>
      </w:r>
      <w:r>
        <w:rPr>
          <w:rFonts w:cs="Times New Roman"/>
          <w:spacing w:val="-2"/>
          <w:sz w:val="18"/>
          <w:szCs w:val="18"/>
          <w:lang w:val="es-ES_tradnl"/>
        </w:rPr>
        <w:t>“</w:t>
      </w:r>
      <w:r>
        <w:rPr>
          <w:spacing w:val="-2"/>
          <w:sz w:val="18"/>
          <w:szCs w:val="18"/>
          <w:lang w:val="es-ES_tradnl"/>
        </w:rPr>
        <w:t>China</w:t>
      </w:r>
      <w:r>
        <w:rPr>
          <w:rFonts w:cs="Times New Roman"/>
          <w:spacing w:val="-2"/>
          <w:sz w:val="18"/>
          <w:szCs w:val="18"/>
          <w:lang w:val="es-ES_tradnl"/>
        </w:rPr>
        <w:t>”</w:t>
      </w:r>
      <w:r>
        <w:rPr>
          <w:spacing w:val="-2"/>
          <w:sz w:val="18"/>
          <w:szCs w:val="18"/>
          <w:lang w:val="es-ES_tradnl"/>
        </w:rPr>
        <w:t xml:space="preserve">, </w:t>
      </w:r>
      <w:r>
        <w:rPr>
          <w:spacing w:val="-7"/>
          <w:sz w:val="18"/>
          <w:szCs w:val="18"/>
          <w:lang w:val="es-ES_tradnl"/>
        </w:rPr>
        <w:t xml:space="preserve">respectivamente, y colectivamente como las </w:t>
      </w:r>
      <w:r>
        <w:rPr>
          <w:rFonts w:cs="Times New Roman"/>
          <w:spacing w:val="-7"/>
          <w:sz w:val="18"/>
          <w:szCs w:val="18"/>
          <w:lang w:val="es-ES_tradnl"/>
        </w:rPr>
        <w:t>“</w:t>
      </w:r>
      <w:r>
        <w:rPr>
          <w:spacing w:val="-7"/>
          <w:sz w:val="18"/>
          <w:szCs w:val="18"/>
          <w:lang w:val="es-ES_tradnl"/>
        </w:rPr>
        <w:t xml:space="preserve">Partes </w:t>
      </w:r>
      <w:r>
        <w:rPr>
          <w:sz w:val="18"/>
          <w:szCs w:val="18"/>
          <w:lang w:val="es-ES_tradnl"/>
        </w:rPr>
        <w:t>Contratantes</w:t>
      </w:r>
      <w:r>
        <w:rPr>
          <w:rFonts w:cs="Times New Roman"/>
          <w:sz w:val="18"/>
          <w:szCs w:val="18"/>
          <w:lang w:val="es-ES_tradnl"/>
        </w:rPr>
        <w:t>”</w:t>
      </w:r>
      <w:r>
        <w:rPr>
          <w:sz w:val="18"/>
          <w:szCs w:val="18"/>
          <w:lang w:val="es-ES_tradnl"/>
        </w:rPr>
        <w:t>);</w:t>
      </w:r>
    </w:p>
    <w:p w14:paraId="4F67A331" w14:textId="77777777" w:rsidR="00591D54" w:rsidRDefault="00591D54">
      <w:pPr>
        <w:shd w:val="clear" w:color="auto" w:fill="FFFFFF"/>
        <w:spacing w:before="202" w:line="221" w:lineRule="exact"/>
        <w:jc w:val="both"/>
      </w:pPr>
      <w:r>
        <w:rPr>
          <w:spacing w:val="-4"/>
          <w:sz w:val="18"/>
          <w:szCs w:val="18"/>
          <w:lang w:val="es-ES_tradnl"/>
        </w:rPr>
        <w:t>Como participantes en la Convenci</w:t>
      </w:r>
      <w:r>
        <w:rPr>
          <w:rFonts w:cs="Times New Roman"/>
          <w:spacing w:val="-4"/>
          <w:sz w:val="18"/>
          <w:szCs w:val="18"/>
          <w:lang w:val="es-ES_tradnl"/>
        </w:rPr>
        <w:t>ó</w:t>
      </w:r>
      <w:r>
        <w:rPr>
          <w:spacing w:val="-4"/>
          <w:sz w:val="18"/>
          <w:szCs w:val="18"/>
          <w:lang w:val="es-ES_tradnl"/>
        </w:rPr>
        <w:t>n de Aviaci</w:t>
      </w:r>
      <w:r>
        <w:rPr>
          <w:rFonts w:cs="Times New Roman"/>
          <w:spacing w:val="-4"/>
          <w:sz w:val="18"/>
          <w:szCs w:val="18"/>
          <w:lang w:val="es-ES_tradnl"/>
        </w:rPr>
        <w:t>ó</w:t>
      </w:r>
      <w:r>
        <w:rPr>
          <w:spacing w:val="-4"/>
          <w:sz w:val="18"/>
          <w:szCs w:val="18"/>
          <w:lang w:val="es-ES_tradnl"/>
        </w:rPr>
        <w:t xml:space="preserve">n Civil </w:t>
      </w:r>
      <w:r>
        <w:rPr>
          <w:spacing w:val="-10"/>
          <w:sz w:val="18"/>
          <w:szCs w:val="18"/>
          <w:lang w:val="es-ES_tradnl"/>
        </w:rPr>
        <w:t xml:space="preserve">Internacional abierta a la firma en Chicago el 7 de diciembre </w:t>
      </w:r>
      <w:r>
        <w:rPr>
          <w:sz w:val="18"/>
          <w:szCs w:val="18"/>
          <w:lang w:val="es-ES_tradnl"/>
        </w:rPr>
        <w:t>de 1944;</w:t>
      </w:r>
    </w:p>
    <w:p w14:paraId="4F67A332" w14:textId="77777777" w:rsidR="00591D54" w:rsidRDefault="00591D54">
      <w:pPr>
        <w:shd w:val="clear" w:color="auto" w:fill="FFFFFF"/>
        <w:spacing w:before="202" w:line="221" w:lineRule="exact"/>
        <w:jc w:val="both"/>
      </w:pPr>
      <w:r>
        <w:rPr>
          <w:spacing w:val="-7"/>
          <w:sz w:val="18"/>
          <w:szCs w:val="18"/>
          <w:lang w:val="es-ES_tradnl"/>
        </w:rPr>
        <w:t>Deseando facilitar la expansi</w:t>
      </w:r>
      <w:r>
        <w:rPr>
          <w:rFonts w:cs="Times New Roman"/>
          <w:spacing w:val="-7"/>
          <w:sz w:val="18"/>
          <w:szCs w:val="18"/>
          <w:lang w:val="es-ES_tradnl"/>
        </w:rPr>
        <w:t>ó</w:t>
      </w:r>
      <w:r>
        <w:rPr>
          <w:spacing w:val="-7"/>
          <w:sz w:val="18"/>
          <w:szCs w:val="18"/>
          <w:lang w:val="es-ES_tradnl"/>
        </w:rPr>
        <w:t xml:space="preserve">n de las oportunidades de </w:t>
      </w:r>
      <w:r>
        <w:rPr>
          <w:sz w:val="18"/>
          <w:szCs w:val="18"/>
          <w:lang w:val="es-ES_tradnl"/>
        </w:rPr>
        <w:t>servicios a</w:t>
      </w:r>
      <w:r>
        <w:rPr>
          <w:rFonts w:cs="Times New Roman"/>
          <w:sz w:val="18"/>
          <w:szCs w:val="18"/>
          <w:lang w:val="es-ES_tradnl"/>
        </w:rPr>
        <w:t>é</w:t>
      </w:r>
      <w:r>
        <w:rPr>
          <w:sz w:val="18"/>
          <w:szCs w:val="18"/>
          <w:lang w:val="es-ES_tradnl"/>
        </w:rPr>
        <w:t>reos internacionales;</w:t>
      </w:r>
    </w:p>
    <w:p w14:paraId="4F67A333" w14:textId="77777777" w:rsidR="00591D54" w:rsidRDefault="00591D54">
      <w:pPr>
        <w:shd w:val="clear" w:color="auto" w:fill="FFFFFF"/>
        <w:spacing w:before="197" w:line="221" w:lineRule="exact"/>
        <w:jc w:val="both"/>
      </w:pPr>
      <w:r>
        <w:rPr>
          <w:spacing w:val="-3"/>
          <w:sz w:val="18"/>
          <w:szCs w:val="18"/>
          <w:lang w:val="es-ES_tradnl"/>
        </w:rPr>
        <w:t>Reconociendo que los servicios a</w:t>
      </w:r>
      <w:r>
        <w:rPr>
          <w:rFonts w:cs="Times New Roman"/>
          <w:spacing w:val="-3"/>
          <w:sz w:val="18"/>
          <w:szCs w:val="18"/>
          <w:lang w:val="es-ES_tradnl"/>
        </w:rPr>
        <w:t>é</w:t>
      </w:r>
      <w:r>
        <w:rPr>
          <w:spacing w:val="-3"/>
          <w:sz w:val="18"/>
          <w:szCs w:val="18"/>
          <w:lang w:val="es-ES_tradnl"/>
        </w:rPr>
        <w:t xml:space="preserve">reos internacionales </w:t>
      </w:r>
      <w:r>
        <w:rPr>
          <w:spacing w:val="-4"/>
          <w:sz w:val="18"/>
          <w:szCs w:val="18"/>
          <w:lang w:val="es-ES_tradnl"/>
        </w:rPr>
        <w:t xml:space="preserve">eficientes y competitivos promueven el comercio, el </w:t>
      </w:r>
      <w:r>
        <w:rPr>
          <w:spacing w:val="-6"/>
          <w:sz w:val="18"/>
          <w:szCs w:val="18"/>
          <w:lang w:val="es-ES_tradnl"/>
        </w:rPr>
        <w:t>bienestar del consumidor y el crecimiento econ</w:t>
      </w:r>
      <w:r>
        <w:rPr>
          <w:rFonts w:cs="Times New Roman"/>
          <w:spacing w:val="-6"/>
          <w:sz w:val="18"/>
          <w:szCs w:val="18"/>
          <w:lang w:val="es-ES_tradnl"/>
        </w:rPr>
        <w:t>ó</w:t>
      </w:r>
      <w:r>
        <w:rPr>
          <w:spacing w:val="-6"/>
          <w:sz w:val="18"/>
          <w:szCs w:val="18"/>
          <w:lang w:val="es-ES_tradnl"/>
        </w:rPr>
        <w:t xml:space="preserve">mico; </w:t>
      </w:r>
      <w:r>
        <w:rPr>
          <w:spacing w:val="-2"/>
          <w:sz w:val="18"/>
          <w:szCs w:val="18"/>
          <w:lang w:val="es-ES_tradnl"/>
        </w:rPr>
        <w:t>Deseando alentar las l</w:t>
      </w:r>
      <w:r>
        <w:rPr>
          <w:rFonts w:cs="Times New Roman"/>
          <w:spacing w:val="-2"/>
          <w:sz w:val="18"/>
          <w:szCs w:val="18"/>
          <w:lang w:val="es-ES_tradnl"/>
        </w:rPr>
        <w:t>í</w:t>
      </w:r>
      <w:r>
        <w:rPr>
          <w:spacing w:val="-2"/>
          <w:sz w:val="18"/>
          <w:szCs w:val="18"/>
          <w:lang w:val="es-ES_tradnl"/>
        </w:rPr>
        <w:t>neas a</w:t>
      </w:r>
      <w:r>
        <w:rPr>
          <w:rFonts w:cs="Times New Roman"/>
          <w:spacing w:val="-2"/>
          <w:sz w:val="18"/>
          <w:szCs w:val="18"/>
          <w:lang w:val="es-ES_tradnl"/>
        </w:rPr>
        <w:t>é</w:t>
      </w:r>
      <w:r>
        <w:rPr>
          <w:spacing w:val="-2"/>
          <w:sz w:val="18"/>
          <w:szCs w:val="18"/>
          <w:lang w:val="es-ES_tradnl"/>
        </w:rPr>
        <w:t xml:space="preserve">reas de forma individual a desarrollar e implementar tarifas innovadoras y </w:t>
      </w:r>
      <w:r>
        <w:rPr>
          <w:spacing w:val="-3"/>
          <w:sz w:val="18"/>
          <w:szCs w:val="18"/>
          <w:lang w:val="es-ES_tradnl"/>
        </w:rPr>
        <w:t xml:space="preserve">competitivas, siempre que dichas tarifas no incluyan </w:t>
      </w:r>
      <w:r>
        <w:rPr>
          <w:spacing w:val="-9"/>
          <w:sz w:val="18"/>
          <w:szCs w:val="18"/>
          <w:lang w:val="es-ES_tradnl"/>
        </w:rPr>
        <w:t>pr</w:t>
      </w:r>
      <w:r>
        <w:rPr>
          <w:rFonts w:cs="Times New Roman"/>
          <w:spacing w:val="-9"/>
          <w:sz w:val="18"/>
          <w:szCs w:val="18"/>
          <w:lang w:val="es-ES_tradnl"/>
        </w:rPr>
        <w:t>á</w:t>
      </w:r>
      <w:r>
        <w:rPr>
          <w:spacing w:val="-9"/>
          <w:sz w:val="18"/>
          <w:szCs w:val="18"/>
          <w:lang w:val="es-ES_tradnl"/>
        </w:rPr>
        <w:t>cticas anticompetitivas en contra de otras l</w:t>
      </w:r>
      <w:r>
        <w:rPr>
          <w:rFonts w:cs="Times New Roman"/>
          <w:spacing w:val="-9"/>
          <w:sz w:val="18"/>
          <w:szCs w:val="18"/>
          <w:lang w:val="es-ES_tradnl"/>
        </w:rPr>
        <w:t>í</w:t>
      </w:r>
      <w:r>
        <w:rPr>
          <w:spacing w:val="-9"/>
          <w:sz w:val="18"/>
          <w:szCs w:val="18"/>
          <w:lang w:val="es-ES_tradnl"/>
        </w:rPr>
        <w:t>neas a</w:t>
      </w:r>
      <w:r>
        <w:rPr>
          <w:rFonts w:cs="Times New Roman"/>
          <w:spacing w:val="-9"/>
          <w:sz w:val="18"/>
          <w:szCs w:val="18"/>
          <w:lang w:val="es-ES_tradnl"/>
        </w:rPr>
        <w:t>é</w:t>
      </w:r>
      <w:r>
        <w:rPr>
          <w:spacing w:val="-9"/>
          <w:sz w:val="18"/>
          <w:szCs w:val="18"/>
          <w:lang w:val="es-ES_tradnl"/>
        </w:rPr>
        <w:t>reas;</w:t>
      </w:r>
    </w:p>
    <w:p w14:paraId="4F67A334" w14:textId="77777777" w:rsidR="00591D54" w:rsidRDefault="00591D54">
      <w:pPr>
        <w:shd w:val="clear" w:color="auto" w:fill="FFFFFF"/>
        <w:spacing w:before="197" w:line="221" w:lineRule="exact"/>
        <w:jc w:val="both"/>
      </w:pPr>
      <w:r>
        <w:rPr>
          <w:spacing w:val="-8"/>
          <w:sz w:val="18"/>
          <w:szCs w:val="18"/>
          <w:lang w:val="es-ES_tradnl"/>
        </w:rPr>
        <w:t>Deseosos de garantizar el m</w:t>
      </w:r>
      <w:r>
        <w:rPr>
          <w:rFonts w:cs="Times New Roman"/>
          <w:spacing w:val="-8"/>
          <w:sz w:val="18"/>
          <w:szCs w:val="18"/>
          <w:lang w:val="es-ES_tradnl"/>
        </w:rPr>
        <w:t>á</w:t>
      </w:r>
      <w:r>
        <w:rPr>
          <w:spacing w:val="-8"/>
          <w:sz w:val="18"/>
          <w:szCs w:val="18"/>
          <w:lang w:val="es-ES_tradnl"/>
        </w:rPr>
        <w:t xml:space="preserve">s alto grado de seguridad operativa y la seguridad de los aeropuertos en los servicios </w:t>
      </w:r>
      <w:r>
        <w:rPr>
          <w:spacing w:val="-11"/>
          <w:sz w:val="18"/>
          <w:szCs w:val="18"/>
          <w:lang w:val="es-ES_tradnl"/>
        </w:rPr>
        <w:t>a</w:t>
      </w:r>
      <w:r>
        <w:rPr>
          <w:rFonts w:cs="Times New Roman"/>
          <w:spacing w:val="-11"/>
          <w:sz w:val="18"/>
          <w:szCs w:val="18"/>
          <w:lang w:val="es-ES_tradnl"/>
        </w:rPr>
        <w:t>é</w:t>
      </w:r>
      <w:r>
        <w:rPr>
          <w:spacing w:val="-11"/>
          <w:sz w:val="18"/>
          <w:szCs w:val="18"/>
          <w:lang w:val="es-ES_tradnl"/>
        </w:rPr>
        <w:t>reos internacionales y reafirmando su grave preocupaci</w:t>
      </w:r>
      <w:r>
        <w:rPr>
          <w:rFonts w:cs="Times New Roman"/>
          <w:spacing w:val="-11"/>
          <w:sz w:val="18"/>
          <w:szCs w:val="18"/>
          <w:lang w:val="es-ES_tradnl"/>
        </w:rPr>
        <w:t>ó</w:t>
      </w:r>
      <w:r>
        <w:rPr>
          <w:spacing w:val="-11"/>
          <w:sz w:val="18"/>
          <w:szCs w:val="18"/>
          <w:lang w:val="es-ES_tradnl"/>
        </w:rPr>
        <w:t xml:space="preserve">n </w:t>
      </w:r>
      <w:r>
        <w:rPr>
          <w:spacing w:val="-5"/>
          <w:sz w:val="18"/>
          <w:szCs w:val="18"/>
          <w:lang w:val="es-ES_tradnl"/>
        </w:rPr>
        <w:t xml:space="preserve">por los actos o amenazas contra la seguridad de las </w:t>
      </w:r>
      <w:r>
        <w:rPr>
          <w:spacing w:val="-8"/>
          <w:sz w:val="18"/>
          <w:szCs w:val="18"/>
          <w:lang w:val="es-ES_tradnl"/>
        </w:rPr>
        <w:t xml:space="preserve">aeronaves, que ponen en peligro la seguridad de personas </w:t>
      </w:r>
      <w:r>
        <w:rPr>
          <w:spacing w:val="-6"/>
          <w:sz w:val="18"/>
          <w:szCs w:val="18"/>
          <w:lang w:val="es-ES_tradnl"/>
        </w:rPr>
        <w:t>o bienes, afectan negativamente a la operaci</w:t>
      </w:r>
      <w:r>
        <w:rPr>
          <w:rFonts w:cs="Times New Roman"/>
          <w:spacing w:val="-6"/>
          <w:sz w:val="18"/>
          <w:szCs w:val="18"/>
          <w:lang w:val="es-ES_tradnl"/>
        </w:rPr>
        <w:t>ó</w:t>
      </w:r>
      <w:r>
        <w:rPr>
          <w:spacing w:val="-6"/>
          <w:sz w:val="18"/>
          <w:szCs w:val="18"/>
          <w:lang w:val="es-ES_tradnl"/>
        </w:rPr>
        <w:t xml:space="preserve">n de los </w:t>
      </w:r>
      <w:r>
        <w:rPr>
          <w:spacing w:val="-7"/>
          <w:sz w:val="18"/>
          <w:szCs w:val="18"/>
          <w:lang w:val="es-ES_tradnl"/>
        </w:rPr>
        <w:t>servicios a</w:t>
      </w:r>
      <w:r>
        <w:rPr>
          <w:rFonts w:cs="Times New Roman"/>
          <w:spacing w:val="-7"/>
          <w:sz w:val="18"/>
          <w:szCs w:val="18"/>
          <w:lang w:val="es-ES_tradnl"/>
        </w:rPr>
        <w:t>é</w:t>
      </w:r>
      <w:r>
        <w:rPr>
          <w:spacing w:val="-7"/>
          <w:sz w:val="18"/>
          <w:szCs w:val="18"/>
          <w:lang w:val="es-ES_tradnl"/>
        </w:rPr>
        <w:t>reos y socavan la confianza del p</w:t>
      </w:r>
      <w:r>
        <w:rPr>
          <w:rFonts w:cs="Times New Roman"/>
          <w:spacing w:val="-7"/>
          <w:sz w:val="18"/>
          <w:szCs w:val="18"/>
          <w:lang w:val="es-ES_tradnl"/>
        </w:rPr>
        <w:t>ú</w:t>
      </w:r>
      <w:r>
        <w:rPr>
          <w:spacing w:val="-7"/>
          <w:sz w:val="18"/>
          <w:szCs w:val="18"/>
          <w:lang w:val="es-ES_tradnl"/>
        </w:rPr>
        <w:t xml:space="preserve">blico en la </w:t>
      </w:r>
      <w:r>
        <w:rPr>
          <w:sz w:val="18"/>
          <w:szCs w:val="18"/>
          <w:lang w:val="es-ES_tradnl"/>
        </w:rPr>
        <w:t>seguridad de la aviaci</w:t>
      </w:r>
      <w:r>
        <w:rPr>
          <w:rFonts w:cs="Times New Roman"/>
          <w:sz w:val="18"/>
          <w:szCs w:val="18"/>
          <w:lang w:val="es-ES_tradnl"/>
        </w:rPr>
        <w:t>ó</w:t>
      </w:r>
      <w:r>
        <w:rPr>
          <w:sz w:val="18"/>
          <w:szCs w:val="18"/>
          <w:lang w:val="es-ES_tradnl"/>
        </w:rPr>
        <w:t>n civil;</w:t>
      </w:r>
    </w:p>
    <w:p w14:paraId="4F67A335" w14:textId="77777777" w:rsidR="00591D54" w:rsidRDefault="00591D54">
      <w:pPr>
        <w:shd w:val="clear" w:color="auto" w:fill="FFFFFF"/>
        <w:spacing w:before="197" w:line="221" w:lineRule="exact"/>
        <w:jc w:val="both"/>
        <w:sectPr w:rsidR="00591D54">
          <w:type w:val="continuous"/>
          <w:pgSz w:w="11909" w:h="16834"/>
          <w:pgMar w:top="1356" w:right="1309" w:bottom="360" w:left="1308" w:header="720" w:footer="720" w:gutter="0"/>
          <w:cols w:num="2" w:space="720" w:equalWidth="0">
            <w:col w:w="4305" w:space="682"/>
            <w:col w:w="4305"/>
          </w:cols>
          <w:noEndnote/>
        </w:sectPr>
      </w:pPr>
    </w:p>
    <w:p w14:paraId="4F67A336" w14:textId="77777777" w:rsidR="00591D54" w:rsidRDefault="00591D54" w:rsidP="00171846">
      <w:pPr>
        <w:shd w:val="clear" w:color="auto" w:fill="FFFFFF"/>
        <w:tabs>
          <w:tab w:val="left" w:pos="4814"/>
        </w:tabs>
        <w:spacing w:after="230"/>
        <w:ind w:left="5"/>
        <w:jc w:val="center"/>
      </w:pPr>
      <w:r>
        <w:rPr>
          <w:b/>
          <w:bCs/>
          <w:sz w:val="18"/>
          <w:szCs w:val="18"/>
          <w:lang w:val="es-ES_tradnl"/>
        </w:rPr>
        <w:t xml:space="preserve">4 -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337" w14:textId="77777777" w:rsidR="00591D54" w:rsidRDefault="00591D54">
      <w:pPr>
        <w:shd w:val="clear" w:color="auto" w:fill="FFFFFF"/>
        <w:tabs>
          <w:tab w:val="left" w:pos="4814"/>
        </w:tabs>
        <w:spacing w:after="230"/>
        <w:ind w:left="5"/>
        <w:sectPr w:rsidR="00591D54">
          <w:pgSz w:w="11909" w:h="16834"/>
          <w:pgMar w:top="1359" w:right="1309" w:bottom="360" w:left="1308" w:header="720" w:footer="720" w:gutter="0"/>
          <w:cols w:space="60"/>
          <w:noEndnote/>
        </w:sectPr>
      </w:pPr>
    </w:p>
    <w:p w14:paraId="4F67A338" w14:textId="77777777" w:rsidR="00591D54" w:rsidRDefault="00591D54">
      <w:pPr>
        <w:shd w:val="clear" w:color="auto" w:fill="FFFFFF"/>
        <w:spacing w:before="5" w:line="216" w:lineRule="exact"/>
        <w:jc w:val="both"/>
      </w:pPr>
      <w:r>
        <w:rPr>
          <w:spacing w:val="-10"/>
          <w:sz w:val="18"/>
          <w:szCs w:val="18"/>
          <w:lang w:val="es-ES_tradnl"/>
        </w:rPr>
        <w:t>Convienen por el presente en el establecimiento y operaci</w:t>
      </w:r>
      <w:r>
        <w:rPr>
          <w:rFonts w:cs="Times New Roman"/>
          <w:spacing w:val="-10"/>
          <w:sz w:val="18"/>
          <w:szCs w:val="18"/>
          <w:lang w:val="es-ES_tradnl"/>
        </w:rPr>
        <w:t>ó</w:t>
      </w:r>
      <w:r>
        <w:rPr>
          <w:spacing w:val="-10"/>
          <w:sz w:val="18"/>
          <w:szCs w:val="18"/>
          <w:lang w:val="es-ES_tradnl"/>
        </w:rPr>
        <w:t xml:space="preserve">n </w:t>
      </w:r>
      <w:r>
        <w:rPr>
          <w:spacing w:val="-8"/>
          <w:sz w:val="18"/>
          <w:szCs w:val="18"/>
          <w:lang w:val="es-ES_tradnl"/>
        </w:rPr>
        <w:t>de servicios a</w:t>
      </w:r>
      <w:r>
        <w:rPr>
          <w:rFonts w:cs="Times New Roman"/>
          <w:spacing w:val="-8"/>
          <w:sz w:val="18"/>
          <w:szCs w:val="18"/>
          <w:lang w:val="es-ES_tradnl"/>
        </w:rPr>
        <w:t>é</w:t>
      </w:r>
      <w:r>
        <w:rPr>
          <w:spacing w:val="-8"/>
          <w:sz w:val="18"/>
          <w:szCs w:val="18"/>
          <w:lang w:val="es-ES_tradnl"/>
        </w:rPr>
        <w:t>reos entre y m</w:t>
      </w:r>
      <w:r>
        <w:rPr>
          <w:rFonts w:cs="Times New Roman"/>
          <w:spacing w:val="-8"/>
          <w:sz w:val="18"/>
          <w:szCs w:val="18"/>
          <w:lang w:val="es-ES_tradnl"/>
        </w:rPr>
        <w:t>á</w:t>
      </w:r>
      <w:r>
        <w:rPr>
          <w:spacing w:val="-8"/>
          <w:sz w:val="18"/>
          <w:szCs w:val="18"/>
          <w:lang w:val="es-ES_tradnl"/>
        </w:rPr>
        <w:t>s all</w:t>
      </w:r>
      <w:r>
        <w:rPr>
          <w:rFonts w:cs="Times New Roman"/>
          <w:spacing w:val="-8"/>
          <w:sz w:val="18"/>
          <w:szCs w:val="18"/>
          <w:lang w:val="es-ES_tradnl"/>
        </w:rPr>
        <w:t>á</w:t>
      </w:r>
      <w:r>
        <w:rPr>
          <w:spacing w:val="-8"/>
          <w:sz w:val="18"/>
          <w:szCs w:val="18"/>
          <w:lang w:val="es-ES_tradnl"/>
        </w:rPr>
        <w:t xml:space="preserve"> de sus respectivos </w:t>
      </w:r>
      <w:r>
        <w:rPr>
          <w:sz w:val="18"/>
          <w:szCs w:val="18"/>
          <w:lang w:val="es-ES_tradnl"/>
        </w:rPr>
        <w:t>territorios de la siguiente manera:</w:t>
      </w:r>
    </w:p>
    <w:p w14:paraId="4F67A339" w14:textId="77777777" w:rsidR="00591D54" w:rsidRDefault="00591D54">
      <w:pPr>
        <w:shd w:val="clear" w:color="auto" w:fill="FFFFFF"/>
        <w:spacing w:before="192" w:line="216" w:lineRule="exact"/>
        <w:ind w:left="1598" w:right="1603"/>
        <w:jc w:val="center"/>
      </w:pPr>
      <w:r>
        <w:rPr>
          <w:b/>
          <w:bCs/>
          <w:sz w:val="18"/>
          <w:szCs w:val="18"/>
          <w:lang w:val="es-ES_tradnl"/>
        </w:rPr>
        <w:t>ART</w:t>
      </w:r>
      <w:r>
        <w:rPr>
          <w:rFonts w:cs="Times New Roman"/>
          <w:b/>
          <w:bCs/>
          <w:sz w:val="18"/>
          <w:szCs w:val="18"/>
          <w:lang w:val="es-ES_tradnl"/>
        </w:rPr>
        <w:t>Í</w:t>
      </w:r>
      <w:r>
        <w:rPr>
          <w:b/>
          <w:bCs/>
          <w:sz w:val="18"/>
          <w:szCs w:val="18"/>
          <w:lang w:val="es-ES_tradnl"/>
        </w:rPr>
        <w:t xml:space="preserve">CULO 1 </w:t>
      </w:r>
      <w:r>
        <w:rPr>
          <w:b/>
          <w:bCs/>
          <w:spacing w:val="-14"/>
          <w:sz w:val="18"/>
          <w:szCs w:val="18"/>
          <w:lang w:val="es-ES_tradnl"/>
        </w:rPr>
        <w:t>Definiciones</w:t>
      </w:r>
    </w:p>
    <w:p w14:paraId="4F67A33A" w14:textId="77777777" w:rsidR="00591D54" w:rsidRDefault="00591D54">
      <w:pPr>
        <w:shd w:val="clear" w:color="auto" w:fill="FFFFFF"/>
        <w:spacing w:before="197" w:line="216" w:lineRule="exact"/>
        <w:jc w:val="both"/>
      </w:pPr>
      <w:r>
        <w:rPr>
          <w:spacing w:val="-10"/>
          <w:sz w:val="18"/>
          <w:szCs w:val="18"/>
          <w:lang w:val="es-ES_tradnl"/>
        </w:rPr>
        <w:t>(1) Para los prop</w:t>
      </w:r>
      <w:r>
        <w:rPr>
          <w:rFonts w:cs="Times New Roman"/>
          <w:spacing w:val="-10"/>
          <w:sz w:val="18"/>
          <w:szCs w:val="18"/>
          <w:lang w:val="es-ES_tradnl"/>
        </w:rPr>
        <w:t>ó</w:t>
      </w:r>
      <w:r>
        <w:rPr>
          <w:spacing w:val="-10"/>
          <w:sz w:val="18"/>
          <w:szCs w:val="18"/>
          <w:lang w:val="es-ES_tradnl"/>
        </w:rPr>
        <w:t xml:space="preserve">sitos del presente Convenio, a menos que </w:t>
      </w:r>
      <w:r>
        <w:rPr>
          <w:sz w:val="18"/>
          <w:szCs w:val="18"/>
          <w:lang w:val="es-ES_tradnl"/>
        </w:rPr>
        <w:t>el contexto requiera otra cosa el t</w:t>
      </w:r>
      <w:r>
        <w:rPr>
          <w:rFonts w:cs="Times New Roman"/>
          <w:sz w:val="18"/>
          <w:szCs w:val="18"/>
          <w:lang w:val="es-ES_tradnl"/>
        </w:rPr>
        <w:t>é</w:t>
      </w:r>
      <w:r>
        <w:rPr>
          <w:sz w:val="18"/>
          <w:szCs w:val="18"/>
          <w:lang w:val="es-ES_tradnl"/>
        </w:rPr>
        <w:t>rmino:</w:t>
      </w:r>
    </w:p>
    <w:p w14:paraId="4F67A33B" w14:textId="77777777" w:rsidR="00591D54" w:rsidRDefault="00591D54" w:rsidP="00251195">
      <w:pPr>
        <w:numPr>
          <w:ilvl w:val="0"/>
          <w:numId w:val="1"/>
        </w:numPr>
        <w:shd w:val="clear" w:color="auto" w:fill="FFFFFF"/>
        <w:tabs>
          <w:tab w:val="left" w:pos="528"/>
        </w:tabs>
        <w:spacing w:before="192" w:line="216" w:lineRule="exact"/>
        <w:ind w:left="283" w:right="5"/>
        <w:jc w:val="both"/>
        <w:rPr>
          <w:spacing w:val="-9"/>
          <w:sz w:val="18"/>
          <w:szCs w:val="18"/>
          <w:lang w:val="es-ES_tradnl"/>
        </w:rPr>
      </w:pPr>
      <w:r>
        <w:rPr>
          <w:spacing w:val="-7"/>
          <w:sz w:val="18"/>
          <w:szCs w:val="18"/>
          <w:lang w:val="es-ES_tradnl"/>
        </w:rPr>
        <w:t>El t</w:t>
      </w:r>
      <w:r>
        <w:rPr>
          <w:rFonts w:cs="Times New Roman"/>
          <w:spacing w:val="-7"/>
          <w:sz w:val="18"/>
          <w:szCs w:val="18"/>
          <w:lang w:val="es-ES_tradnl"/>
        </w:rPr>
        <w:t>é</w:t>
      </w:r>
      <w:r>
        <w:rPr>
          <w:spacing w:val="-7"/>
          <w:sz w:val="18"/>
          <w:szCs w:val="18"/>
          <w:lang w:val="es-ES_tradnl"/>
        </w:rPr>
        <w:t xml:space="preserve">rmino </w:t>
      </w:r>
      <w:r>
        <w:rPr>
          <w:rFonts w:cs="Times New Roman"/>
          <w:spacing w:val="-7"/>
          <w:sz w:val="18"/>
          <w:szCs w:val="18"/>
          <w:lang w:val="es-ES_tradnl"/>
        </w:rPr>
        <w:t>“</w:t>
      </w:r>
      <w:r>
        <w:rPr>
          <w:spacing w:val="-7"/>
          <w:sz w:val="18"/>
          <w:szCs w:val="18"/>
          <w:lang w:val="es-ES_tradnl"/>
        </w:rPr>
        <w:t>Autoridades Aeron</w:t>
      </w:r>
      <w:r>
        <w:rPr>
          <w:rFonts w:cs="Times New Roman"/>
          <w:spacing w:val="-7"/>
          <w:sz w:val="18"/>
          <w:szCs w:val="18"/>
          <w:lang w:val="es-ES_tradnl"/>
        </w:rPr>
        <w:t>á</w:t>
      </w:r>
      <w:r>
        <w:rPr>
          <w:spacing w:val="-7"/>
          <w:sz w:val="18"/>
          <w:szCs w:val="18"/>
          <w:lang w:val="es-ES_tradnl"/>
        </w:rPr>
        <w:t>uticas</w:t>
      </w:r>
      <w:r>
        <w:rPr>
          <w:rFonts w:cs="Times New Roman"/>
          <w:spacing w:val="-7"/>
          <w:sz w:val="18"/>
          <w:szCs w:val="18"/>
          <w:lang w:val="es-ES_tradnl"/>
        </w:rPr>
        <w:t>”</w:t>
      </w:r>
      <w:r>
        <w:rPr>
          <w:spacing w:val="-7"/>
          <w:sz w:val="18"/>
          <w:szCs w:val="18"/>
          <w:lang w:val="es-ES_tradnl"/>
        </w:rPr>
        <w:t xml:space="preserve"> significa, en </w:t>
      </w:r>
      <w:r>
        <w:rPr>
          <w:spacing w:val="-6"/>
          <w:sz w:val="18"/>
          <w:szCs w:val="18"/>
          <w:lang w:val="es-ES_tradnl"/>
        </w:rPr>
        <w:t>el caso de Ecuador, el Consejo Nacional de Aviaci</w:t>
      </w:r>
      <w:r>
        <w:rPr>
          <w:rFonts w:cs="Times New Roman"/>
          <w:spacing w:val="-6"/>
          <w:sz w:val="18"/>
          <w:szCs w:val="18"/>
          <w:lang w:val="es-ES_tradnl"/>
        </w:rPr>
        <w:t>ó</w:t>
      </w:r>
      <w:r>
        <w:rPr>
          <w:spacing w:val="-6"/>
          <w:sz w:val="18"/>
          <w:szCs w:val="18"/>
          <w:lang w:val="es-ES_tradnl"/>
        </w:rPr>
        <w:t>n Civil y/o la Direcci</w:t>
      </w:r>
      <w:r>
        <w:rPr>
          <w:rFonts w:cs="Times New Roman"/>
          <w:spacing w:val="-6"/>
          <w:sz w:val="18"/>
          <w:szCs w:val="18"/>
          <w:lang w:val="es-ES_tradnl"/>
        </w:rPr>
        <w:t>ó</w:t>
      </w:r>
      <w:r>
        <w:rPr>
          <w:spacing w:val="-6"/>
          <w:sz w:val="18"/>
          <w:szCs w:val="18"/>
          <w:lang w:val="es-ES_tradnl"/>
        </w:rPr>
        <w:t>n General de Aviaci</w:t>
      </w:r>
      <w:r>
        <w:rPr>
          <w:rFonts w:cs="Times New Roman"/>
          <w:spacing w:val="-6"/>
          <w:sz w:val="18"/>
          <w:szCs w:val="18"/>
          <w:lang w:val="es-ES_tradnl"/>
        </w:rPr>
        <w:t>ó</w:t>
      </w:r>
      <w:r>
        <w:rPr>
          <w:spacing w:val="-6"/>
          <w:sz w:val="18"/>
          <w:szCs w:val="18"/>
          <w:lang w:val="es-ES_tradnl"/>
        </w:rPr>
        <w:t>n Civil, seg</w:t>
      </w:r>
      <w:r>
        <w:rPr>
          <w:rFonts w:cs="Times New Roman"/>
          <w:spacing w:val="-6"/>
          <w:sz w:val="18"/>
          <w:szCs w:val="18"/>
          <w:lang w:val="es-ES_tradnl"/>
        </w:rPr>
        <w:t>ú</w:t>
      </w:r>
      <w:r>
        <w:rPr>
          <w:spacing w:val="-6"/>
          <w:sz w:val="18"/>
          <w:szCs w:val="18"/>
          <w:lang w:val="es-ES_tradnl"/>
        </w:rPr>
        <w:t xml:space="preserve">n </w:t>
      </w:r>
      <w:r>
        <w:rPr>
          <w:spacing w:val="-7"/>
          <w:sz w:val="18"/>
          <w:szCs w:val="18"/>
          <w:lang w:val="es-ES_tradnl"/>
        </w:rPr>
        <w:t>corresponda, y, en el caso de China, la Administraci</w:t>
      </w:r>
      <w:r>
        <w:rPr>
          <w:rFonts w:cs="Times New Roman"/>
          <w:spacing w:val="-7"/>
          <w:sz w:val="18"/>
          <w:szCs w:val="18"/>
          <w:lang w:val="es-ES_tradnl"/>
        </w:rPr>
        <w:t>ó</w:t>
      </w:r>
      <w:r>
        <w:rPr>
          <w:spacing w:val="-7"/>
          <w:sz w:val="18"/>
          <w:szCs w:val="18"/>
          <w:lang w:val="es-ES_tradnl"/>
        </w:rPr>
        <w:t xml:space="preserve">n </w:t>
      </w:r>
      <w:r>
        <w:rPr>
          <w:spacing w:val="-6"/>
          <w:sz w:val="18"/>
          <w:szCs w:val="18"/>
          <w:lang w:val="es-ES_tradnl"/>
        </w:rPr>
        <w:t>de Aviaci</w:t>
      </w:r>
      <w:r>
        <w:rPr>
          <w:rFonts w:cs="Times New Roman"/>
          <w:spacing w:val="-6"/>
          <w:sz w:val="18"/>
          <w:szCs w:val="18"/>
          <w:lang w:val="es-ES_tradnl"/>
        </w:rPr>
        <w:t>ó</w:t>
      </w:r>
      <w:r>
        <w:rPr>
          <w:spacing w:val="-6"/>
          <w:sz w:val="18"/>
          <w:szCs w:val="18"/>
          <w:lang w:val="es-ES_tradnl"/>
        </w:rPr>
        <w:t xml:space="preserve">n Civil de China o, en ambos casos, sus </w:t>
      </w:r>
      <w:r>
        <w:rPr>
          <w:spacing w:val="-9"/>
          <w:sz w:val="18"/>
          <w:szCs w:val="18"/>
          <w:lang w:val="es-ES_tradnl"/>
        </w:rPr>
        <w:t xml:space="preserve">sucesores o cualquier persona o grupo que puede ser </w:t>
      </w:r>
      <w:r>
        <w:rPr>
          <w:spacing w:val="-10"/>
          <w:sz w:val="18"/>
          <w:szCs w:val="18"/>
          <w:lang w:val="es-ES_tradnl"/>
        </w:rPr>
        <w:t xml:space="preserve">autorizado para ejecutar cualquiera de las funciones que </w:t>
      </w:r>
      <w:r>
        <w:rPr>
          <w:spacing w:val="-9"/>
          <w:sz w:val="18"/>
          <w:szCs w:val="18"/>
          <w:lang w:val="es-ES_tradnl"/>
        </w:rPr>
        <w:t xml:space="preserve">pueden ser actualmente realizadas por las autoridades </w:t>
      </w:r>
      <w:r>
        <w:rPr>
          <w:sz w:val="18"/>
          <w:szCs w:val="18"/>
          <w:lang w:val="es-ES_tradnl"/>
        </w:rPr>
        <w:t>superiores o funciones similares;</w:t>
      </w:r>
    </w:p>
    <w:p w14:paraId="4F67A33C" w14:textId="77777777" w:rsidR="00591D54" w:rsidRDefault="00591D54" w:rsidP="00251195">
      <w:pPr>
        <w:numPr>
          <w:ilvl w:val="0"/>
          <w:numId w:val="1"/>
        </w:numPr>
        <w:shd w:val="clear" w:color="auto" w:fill="FFFFFF"/>
        <w:tabs>
          <w:tab w:val="left" w:pos="528"/>
        </w:tabs>
        <w:spacing w:before="197" w:line="216" w:lineRule="exact"/>
        <w:ind w:left="283" w:right="5"/>
        <w:jc w:val="both"/>
        <w:rPr>
          <w:spacing w:val="-6"/>
          <w:sz w:val="18"/>
          <w:szCs w:val="18"/>
          <w:lang w:val="es-ES_tradnl"/>
        </w:rPr>
      </w:pPr>
      <w:r>
        <w:rPr>
          <w:spacing w:val="-6"/>
          <w:sz w:val="18"/>
          <w:szCs w:val="18"/>
          <w:lang w:val="es-ES_tradnl"/>
        </w:rPr>
        <w:t>El t</w:t>
      </w:r>
      <w:r>
        <w:rPr>
          <w:rFonts w:cs="Times New Roman"/>
          <w:spacing w:val="-6"/>
          <w:sz w:val="18"/>
          <w:szCs w:val="18"/>
          <w:lang w:val="es-ES_tradnl"/>
        </w:rPr>
        <w:t>é</w:t>
      </w:r>
      <w:r>
        <w:rPr>
          <w:spacing w:val="-6"/>
          <w:sz w:val="18"/>
          <w:szCs w:val="18"/>
          <w:lang w:val="es-ES_tradnl"/>
        </w:rPr>
        <w:t xml:space="preserve">rmino </w:t>
      </w:r>
      <w:r>
        <w:rPr>
          <w:rFonts w:cs="Times New Roman"/>
          <w:spacing w:val="-6"/>
          <w:sz w:val="18"/>
          <w:szCs w:val="18"/>
          <w:lang w:val="es-ES_tradnl"/>
        </w:rPr>
        <w:t>“</w:t>
      </w:r>
      <w:r>
        <w:rPr>
          <w:spacing w:val="-6"/>
          <w:sz w:val="18"/>
          <w:szCs w:val="18"/>
          <w:lang w:val="es-ES_tradnl"/>
        </w:rPr>
        <w:t>Convenio</w:t>
      </w:r>
      <w:r>
        <w:rPr>
          <w:rFonts w:cs="Times New Roman"/>
          <w:spacing w:val="-6"/>
          <w:sz w:val="18"/>
          <w:szCs w:val="18"/>
          <w:lang w:val="es-ES_tradnl"/>
        </w:rPr>
        <w:t>”</w:t>
      </w:r>
      <w:r>
        <w:rPr>
          <w:spacing w:val="-6"/>
          <w:sz w:val="18"/>
          <w:szCs w:val="18"/>
          <w:lang w:val="es-ES_tradnl"/>
        </w:rPr>
        <w:t xml:space="preserve"> significa este Convenio, su </w:t>
      </w:r>
      <w:r>
        <w:rPr>
          <w:sz w:val="18"/>
          <w:szCs w:val="18"/>
          <w:lang w:val="es-ES_tradnl"/>
        </w:rPr>
        <w:t>Anexo y sus modificaciones;</w:t>
      </w:r>
    </w:p>
    <w:p w14:paraId="4F67A33D" w14:textId="77777777" w:rsidR="00591D54" w:rsidRDefault="00591D54" w:rsidP="00251195">
      <w:pPr>
        <w:numPr>
          <w:ilvl w:val="0"/>
          <w:numId w:val="1"/>
        </w:numPr>
        <w:shd w:val="clear" w:color="auto" w:fill="FFFFFF"/>
        <w:tabs>
          <w:tab w:val="left" w:pos="528"/>
        </w:tabs>
        <w:spacing w:before="192" w:line="216" w:lineRule="exact"/>
        <w:ind w:left="283"/>
        <w:jc w:val="both"/>
        <w:rPr>
          <w:spacing w:val="-5"/>
          <w:sz w:val="18"/>
          <w:szCs w:val="18"/>
          <w:lang w:val="es-ES_tradnl"/>
        </w:rPr>
      </w:pPr>
      <w:r>
        <w:rPr>
          <w:spacing w:val="-5"/>
          <w:sz w:val="18"/>
          <w:szCs w:val="18"/>
          <w:lang w:val="es-ES_tradnl"/>
        </w:rPr>
        <w:t>El t</w:t>
      </w:r>
      <w:r>
        <w:rPr>
          <w:rFonts w:cs="Times New Roman"/>
          <w:spacing w:val="-5"/>
          <w:sz w:val="18"/>
          <w:szCs w:val="18"/>
          <w:lang w:val="es-ES_tradnl"/>
        </w:rPr>
        <w:t>é</w:t>
      </w:r>
      <w:r>
        <w:rPr>
          <w:spacing w:val="-5"/>
          <w:sz w:val="18"/>
          <w:szCs w:val="18"/>
          <w:lang w:val="es-ES_tradnl"/>
        </w:rPr>
        <w:t xml:space="preserve">rmino </w:t>
      </w:r>
      <w:r>
        <w:rPr>
          <w:rFonts w:cs="Times New Roman"/>
          <w:spacing w:val="-5"/>
          <w:sz w:val="18"/>
          <w:szCs w:val="18"/>
          <w:lang w:val="es-ES_tradnl"/>
        </w:rPr>
        <w:t>“</w:t>
      </w:r>
      <w:r>
        <w:rPr>
          <w:spacing w:val="-5"/>
          <w:sz w:val="18"/>
          <w:szCs w:val="18"/>
          <w:lang w:val="es-ES_tradnl"/>
        </w:rPr>
        <w:t>capacidad</w:t>
      </w:r>
      <w:r>
        <w:rPr>
          <w:rFonts w:cs="Times New Roman"/>
          <w:spacing w:val="-5"/>
          <w:sz w:val="18"/>
          <w:szCs w:val="18"/>
          <w:lang w:val="es-ES_tradnl"/>
        </w:rPr>
        <w:t>”</w:t>
      </w:r>
      <w:r>
        <w:rPr>
          <w:spacing w:val="-5"/>
          <w:sz w:val="18"/>
          <w:szCs w:val="18"/>
          <w:lang w:val="es-ES_tradnl"/>
        </w:rPr>
        <w:t xml:space="preserve"> es el n</w:t>
      </w:r>
      <w:r>
        <w:rPr>
          <w:rFonts w:cs="Times New Roman"/>
          <w:spacing w:val="-5"/>
          <w:sz w:val="18"/>
          <w:szCs w:val="18"/>
          <w:lang w:val="es-ES_tradnl"/>
        </w:rPr>
        <w:t>ú</w:t>
      </w:r>
      <w:r>
        <w:rPr>
          <w:spacing w:val="-5"/>
          <w:sz w:val="18"/>
          <w:szCs w:val="18"/>
          <w:lang w:val="es-ES_tradnl"/>
        </w:rPr>
        <w:t xml:space="preserve">mero de servicios </w:t>
      </w:r>
      <w:r>
        <w:rPr>
          <w:spacing w:val="-4"/>
          <w:sz w:val="18"/>
          <w:szCs w:val="18"/>
          <w:lang w:val="es-ES_tradnl"/>
        </w:rPr>
        <w:t xml:space="preserve">prestados en virtud del presente Convenio, por lo </w:t>
      </w:r>
      <w:r>
        <w:rPr>
          <w:spacing w:val="-6"/>
          <w:sz w:val="18"/>
          <w:szCs w:val="18"/>
          <w:lang w:val="es-ES_tradnl"/>
        </w:rPr>
        <w:t>general medida por el n</w:t>
      </w:r>
      <w:r>
        <w:rPr>
          <w:rFonts w:cs="Times New Roman"/>
          <w:spacing w:val="-6"/>
          <w:sz w:val="18"/>
          <w:szCs w:val="18"/>
          <w:lang w:val="es-ES_tradnl"/>
        </w:rPr>
        <w:t>ú</w:t>
      </w:r>
      <w:r>
        <w:rPr>
          <w:spacing w:val="-6"/>
          <w:sz w:val="18"/>
          <w:szCs w:val="18"/>
          <w:lang w:val="es-ES_tradnl"/>
        </w:rPr>
        <w:t xml:space="preserve">mero de vuelos (frecuencias) </w:t>
      </w:r>
      <w:r>
        <w:rPr>
          <w:spacing w:val="-8"/>
          <w:sz w:val="18"/>
          <w:szCs w:val="18"/>
          <w:lang w:val="es-ES_tradnl"/>
        </w:rPr>
        <w:t>o asientos o toneladas de carga que se ofrecen en un mercado (entre dos ciudades, o pa</w:t>
      </w:r>
      <w:r>
        <w:rPr>
          <w:rFonts w:cs="Times New Roman"/>
          <w:spacing w:val="-8"/>
          <w:sz w:val="18"/>
          <w:szCs w:val="18"/>
          <w:lang w:val="es-ES_tradnl"/>
        </w:rPr>
        <w:t>í</w:t>
      </w:r>
      <w:r>
        <w:rPr>
          <w:spacing w:val="-8"/>
          <w:sz w:val="18"/>
          <w:szCs w:val="18"/>
          <w:lang w:val="es-ES_tradnl"/>
        </w:rPr>
        <w:t xml:space="preserve">ses) o en una ruta, </w:t>
      </w:r>
      <w:r>
        <w:rPr>
          <w:spacing w:val="-10"/>
          <w:sz w:val="18"/>
          <w:szCs w:val="18"/>
          <w:lang w:val="es-ES_tradnl"/>
        </w:rPr>
        <w:t>seg</w:t>
      </w:r>
      <w:r>
        <w:rPr>
          <w:rFonts w:cs="Times New Roman"/>
          <w:spacing w:val="-10"/>
          <w:sz w:val="18"/>
          <w:szCs w:val="18"/>
          <w:lang w:val="es-ES_tradnl"/>
        </w:rPr>
        <w:t>ú</w:t>
      </w:r>
      <w:r>
        <w:rPr>
          <w:spacing w:val="-10"/>
          <w:sz w:val="18"/>
          <w:szCs w:val="18"/>
          <w:lang w:val="es-ES_tradnl"/>
        </w:rPr>
        <w:t>n lo acordado por las partes en el Anexo respectivo;</w:t>
      </w:r>
    </w:p>
    <w:p w14:paraId="4F67A33E" w14:textId="77777777" w:rsidR="00591D54" w:rsidRDefault="00591D54" w:rsidP="00251195">
      <w:pPr>
        <w:numPr>
          <w:ilvl w:val="0"/>
          <w:numId w:val="1"/>
        </w:numPr>
        <w:shd w:val="clear" w:color="auto" w:fill="FFFFFF"/>
        <w:tabs>
          <w:tab w:val="left" w:pos="528"/>
        </w:tabs>
        <w:spacing w:before="197" w:line="216" w:lineRule="exact"/>
        <w:ind w:left="283" w:right="5"/>
        <w:jc w:val="both"/>
        <w:rPr>
          <w:spacing w:val="-6"/>
          <w:sz w:val="18"/>
          <w:szCs w:val="18"/>
          <w:lang w:val="es-ES_tradnl"/>
        </w:rPr>
      </w:pPr>
      <w:r>
        <w:rPr>
          <w:spacing w:val="-4"/>
          <w:sz w:val="18"/>
          <w:szCs w:val="18"/>
          <w:lang w:val="es-ES_tradnl"/>
        </w:rPr>
        <w:t>El t</w:t>
      </w:r>
      <w:r>
        <w:rPr>
          <w:rFonts w:cs="Times New Roman"/>
          <w:spacing w:val="-4"/>
          <w:sz w:val="18"/>
          <w:szCs w:val="18"/>
          <w:lang w:val="es-ES_tradnl"/>
        </w:rPr>
        <w:t>é</w:t>
      </w:r>
      <w:r>
        <w:rPr>
          <w:spacing w:val="-4"/>
          <w:sz w:val="18"/>
          <w:szCs w:val="18"/>
          <w:lang w:val="es-ES_tradnl"/>
        </w:rPr>
        <w:t xml:space="preserve">rmino </w:t>
      </w:r>
      <w:r>
        <w:rPr>
          <w:rFonts w:cs="Times New Roman"/>
          <w:spacing w:val="-4"/>
          <w:sz w:val="18"/>
          <w:szCs w:val="18"/>
          <w:lang w:val="es-ES_tradnl"/>
        </w:rPr>
        <w:t>“</w:t>
      </w:r>
      <w:r>
        <w:rPr>
          <w:spacing w:val="-4"/>
          <w:sz w:val="18"/>
          <w:szCs w:val="18"/>
          <w:lang w:val="es-ES_tradnl"/>
        </w:rPr>
        <w:t>Convenci</w:t>
      </w:r>
      <w:r>
        <w:rPr>
          <w:rFonts w:cs="Times New Roman"/>
          <w:spacing w:val="-4"/>
          <w:sz w:val="18"/>
          <w:szCs w:val="18"/>
          <w:lang w:val="es-ES_tradnl"/>
        </w:rPr>
        <w:t>ó</w:t>
      </w:r>
      <w:r>
        <w:rPr>
          <w:spacing w:val="-4"/>
          <w:sz w:val="18"/>
          <w:szCs w:val="18"/>
          <w:lang w:val="es-ES_tradnl"/>
        </w:rPr>
        <w:t>n</w:t>
      </w:r>
      <w:r>
        <w:rPr>
          <w:rFonts w:cs="Times New Roman"/>
          <w:spacing w:val="-4"/>
          <w:sz w:val="18"/>
          <w:szCs w:val="18"/>
          <w:lang w:val="es-ES_tradnl"/>
        </w:rPr>
        <w:t>”</w:t>
      </w:r>
      <w:r>
        <w:rPr>
          <w:spacing w:val="-4"/>
          <w:sz w:val="18"/>
          <w:szCs w:val="18"/>
          <w:lang w:val="es-ES_tradnl"/>
        </w:rPr>
        <w:t xml:space="preserve"> significa la Convenci</w:t>
      </w:r>
      <w:r>
        <w:rPr>
          <w:rFonts w:cs="Times New Roman"/>
          <w:spacing w:val="-4"/>
          <w:sz w:val="18"/>
          <w:szCs w:val="18"/>
          <w:lang w:val="es-ES_tradnl"/>
        </w:rPr>
        <w:t>ó</w:t>
      </w:r>
      <w:r>
        <w:rPr>
          <w:spacing w:val="-4"/>
          <w:sz w:val="18"/>
          <w:szCs w:val="18"/>
          <w:lang w:val="es-ES_tradnl"/>
        </w:rPr>
        <w:t xml:space="preserve">n </w:t>
      </w:r>
      <w:r>
        <w:rPr>
          <w:spacing w:val="-7"/>
          <w:sz w:val="18"/>
          <w:szCs w:val="18"/>
          <w:lang w:val="es-ES_tradnl"/>
        </w:rPr>
        <w:t>sobre Aviaci</w:t>
      </w:r>
      <w:r>
        <w:rPr>
          <w:rFonts w:cs="Times New Roman"/>
          <w:spacing w:val="-7"/>
          <w:sz w:val="18"/>
          <w:szCs w:val="18"/>
          <w:lang w:val="es-ES_tradnl"/>
        </w:rPr>
        <w:t>ó</w:t>
      </w:r>
      <w:r>
        <w:rPr>
          <w:spacing w:val="-7"/>
          <w:sz w:val="18"/>
          <w:szCs w:val="18"/>
          <w:lang w:val="es-ES_tradnl"/>
        </w:rPr>
        <w:t xml:space="preserve">n Civil Internacional, abierta a la firma en </w:t>
      </w:r>
      <w:r>
        <w:rPr>
          <w:spacing w:val="-8"/>
          <w:sz w:val="18"/>
          <w:szCs w:val="18"/>
          <w:lang w:val="es-ES_tradnl"/>
        </w:rPr>
        <w:t xml:space="preserve">Chicago el 7 de diciembre de 1944, e incluye cualquier </w:t>
      </w:r>
      <w:r>
        <w:rPr>
          <w:spacing w:val="-5"/>
          <w:sz w:val="18"/>
          <w:szCs w:val="18"/>
          <w:lang w:val="es-ES_tradnl"/>
        </w:rPr>
        <w:t>Anexo adoptado en virtud del Art</w:t>
      </w:r>
      <w:r>
        <w:rPr>
          <w:rFonts w:cs="Times New Roman"/>
          <w:spacing w:val="-5"/>
          <w:sz w:val="18"/>
          <w:szCs w:val="18"/>
          <w:lang w:val="es-ES_tradnl"/>
        </w:rPr>
        <w:t>í</w:t>
      </w:r>
      <w:r>
        <w:rPr>
          <w:spacing w:val="-5"/>
          <w:sz w:val="18"/>
          <w:szCs w:val="18"/>
          <w:lang w:val="es-ES_tradnl"/>
        </w:rPr>
        <w:t xml:space="preserve">culo 90 de esta </w:t>
      </w:r>
      <w:r>
        <w:rPr>
          <w:spacing w:val="-7"/>
          <w:sz w:val="18"/>
          <w:szCs w:val="18"/>
          <w:lang w:val="es-ES_tradnl"/>
        </w:rPr>
        <w:t>Convenci</w:t>
      </w:r>
      <w:r>
        <w:rPr>
          <w:rFonts w:cs="Times New Roman"/>
          <w:spacing w:val="-7"/>
          <w:sz w:val="18"/>
          <w:szCs w:val="18"/>
          <w:lang w:val="es-ES_tradnl"/>
        </w:rPr>
        <w:t>ó</w:t>
      </w:r>
      <w:r>
        <w:rPr>
          <w:spacing w:val="-7"/>
          <w:sz w:val="18"/>
          <w:szCs w:val="18"/>
          <w:lang w:val="es-ES_tradnl"/>
        </w:rPr>
        <w:t xml:space="preserve">n y cualquier enmienda de los Anexos o de </w:t>
      </w:r>
      <w:r>
        <w:rPr>
          <w:spacing w:val="-5"/>
          <w:sz w:val="18"/>
          <w:szCs w:val="18"/>
          <w:lang w:val="es-ES_tradnl"/>
        </w:rPr>
        <w:t>la Convenci</w:t>
      </w:r>
      <w:r>
        <w:rPr>
          <w:rFonts w:cs="Times New Roman"/>
          <w:spacing w:val="-5"/>
          <w:sz w:val="18"/>
          <w:szCs w:val="18"/>
          <w:lang w:val="es-ES_tradnl"/>
        </w:rPr>
        <w:t>ó</w:t>
      </w:r>
      <w:r>
        <w:rPr>
          <w:spacing w:val="-5"/>
          <w:sz w:val="18"/>
          <w:szCs w:val="18"/>
          <w:lang w:val="es-ES_tradnl"/>
        </w:rPr>
        <w:t>n de conformidad con los Art</w:t>
      </w:r>
      <w:r>
        <w:rPr>
          <w:rFonts w:cs="Times New Roman"/>
          <w:spacing w:val="-5"/>
          <w:sz w:val="18"/>
          <w:szCs w:val="18"/>
          <w:lang w:val="es-ES_tradnl"/>
        </w:rPr>
        <w:t>í</w:t>
      </w:r>
      <w:r>
        <w:rPr>
          <w:spacing w:val="-5"/>
          <w:sz w:val="18"/>
          <w:szCs w:val="18"/>
          <w:lang w:val="es-ES_tradnl"/>
        </w:rPr>
        <w:t xml:space="preserve">culos 90 y </w:t>
      </w:r>
      <w:r>
        <w:rPr>
          <w:spacing w:val="-4"/>
          <w:sz w:val="18"/>
          <w:szCs w:val="18"/>
          <w:lang w:val="es-ES_tradnl"/>
        </w:rPr>
        <w:t xml:space="preserve">94 de la misma, en la medida en que dichos Anexos </w:t>
      </w:r>
      <w:r>
        <w:rPr>
          <w:spacing w:val="-8"/>
          <w:sz w:val="18"/>
          <w:szCs w:val="18"/>
          <w:lang w:val="es-ES_tradnl"/>
        </w:rPr>
        <w:t xml:space="preserve">y enmiendas hayan entrado en vigencia para ambas </w:t>
      </w:r>
      <w:r>
        <w:rPr>
          <w:sz w:val="18"/>
          <w:szCs w:val="18"/>
          <w:lang w:val="es-ES_tradnl"/>
        </w:rPr>
        <w:t>Partes Contratantes;</w:t>
      </w:r>
    </w:p>
    <w:p w14:paraId="4F67A33F" w14:textId="77777777" w:rsidR="00591D54" w:rsidRDefault="00591D54">
      <w:pPr>
        <w:rPr>
          <w:rFonts w:cs="Times New Roman"/>
          <w:sz w:val="2"/>
          <w:szCs w:val="2"/>
        </w:rPr>
      </w:pPr>
    </w:p>
    <w:p w14:paraId="4F67A340" w14:textId="77777777" w:rsidR="00591D54" w:rsidRDefault="00591D54" w:rsidP="00251195">
      <w:pPr>
        <w:numPr>
          <w:ilvl w:val="0"/>
          <w:numId w:val="2"/>
        </w:numPr>
        <w:shd w:val="clear" w:color="auto" w:fill="FFFFFF"/>
        <w:tabs>
          <w:tab w:val="left" w:pos="571"/>
        </w:tabs>
        <w:spacing w:before="197" w:line="216" w:lineRule="exact"/>
        <w:ind w:left="283" w:right="5"/>
        <w:jc w:val="both"/>
        <w:rPr>
          <w:spacing w:val="-9"/>
          <w:sz w:val="18"/>
          <w:szCs w:val="18"/>
          <w:lang w:val="es-ES_tradnl"/>
        </w:rPr>
      </w:pPr>
      <w:r>
        <w:rPr>
          <w:spacing w:val="-2"/>
          <w:sz w:val="18"/>
          <w:szCs w:val="18"/>
          <w:lang w:val="es-ES_tradnl"/>
        </w:rPr>
        <w:t>El t</w:t>
      </w:r>
      <w:r>
        <w:rPr>
          <w:rFonts w:cs="Times New Roman"/>
          <w:spacing w:val="-2"/>
          <w:sz w:val="18"/>
          <w:szCs w:val="18"/>
          <w:lang w:val="es-ES_tradnl"/>
        </w:rPr>
        <w:t>é</w:t>
      </w:r>
      <w:r>
        <w:rPr>
          <w:spacing w:val="-2"/>
          <w:sz w:val="18"/>
          <w:szCs w:val="18"/>
          <w:lang w:val="es-ES_tradnl"/>
        </w:rPr>
        <w:t xml:space="preserve">rmino </w:t>
      </w:r>
      <w:r>
        <w:rPr>
          <w:rFonts w:cs="Times New Roman"/>
          <w:spacing w:val="-2"/>
          <w:sz w:val="18"/>
          <w:szCs w:val="18"/>
          <w:lang w:val="es-ES_tradnl"/>
        </w:rPr>
        <w:t>“</w:t>
      </w:r>
      <w:r>
        <w:rPr>
          <w:spacing w:val="-2"/>
          <w:sz w:val="18"/>
          <w:szCs w:val="18"/>
          <w:lang w:val="es-ES_tradnl"/>
        </w:rPr>
        <w:t>OACI</w:t>
      </w:r>
      <w:r>
        <w:rPr>
          <w:rFonts w:cs="Times New Roman"/>
          <w:spacing w:val="-2"/>
          <w:sz w:val="18"/>
          <w:szCs w:val="18"/>
          <w:lang w:val="es-ES_tradnl"/>
        </w:rPr>
        <w:t>”</w:t>
      </w:r>
      <w:r>
        <w:rPr>
          <w:spacing w:val="-2"/>
          <w:sz w:val="18"/>
          <w:szCs w:val="18"/>
          <w:lang w:val="es-ES_tradnl"/>
        </w:rPr>
        <w:t xml:space="preserve"> significa la Organizaci</w:t>
      </w:r>
      <w:r>
        <w:rPr>
          <w:rFonts w:cs="Times New Roman"/>
          <w:spacing w:val="-2"/>
          <w:sz w:val="18"/>
          <w:szCs w:val="18"/>
          <w:lang w:val="es-ES_tradnl"/>
        </w:rPr>
        <w:t>ó</w:t>
      </w:r>
      <w:r>
        <w:rPr>
          <w:spacing w:val="-2"/>
          <w:sz w:val="18"/>
          <w:szCs w:val="18"/>
          <w:lang w:val="es-ES_tradnl"/>
        </w:rPr>
        <w:t xml:space="preserve">n de </w:t>
      </w:r>
      <w:r>
        <w:rPr>
          <w:spacing w:val="-3"/>
          <w:sz w:val="18"/>
          <w:szCs w:val="18"/>
          <w:lang w:val="es-ES_tradnl"/>
        </w:rPr>
        <w:t>Aviaci</w:t>
      </w:r>
      <w:r>
        <w:rPr>
          <w:rFonts w:cs="Times New Roman"/>
          <w:spacing w:val="-3"/>
          <w:sz w:val="18"/>
          <w:szCs w:val="18"/>
          <w:lang w:val="es-ES_tradnl"/>
        </w:rPr>
        <w:t>ó</w:t>
      </w:r>
      <w:r>
        <w:rPr>
          <w:spacing w:val="-3"/>
          <w:sz w:val="18"/>
          <w:szCs w:val="18"/>
          <w:lang w:val="es-ES_tradnl"/>
        </w:rPr>
        <w:t xml:space="preserve">n Civil Internacional creada de conformidad </w:t>
      </w:r>
      <w:r>
        <w:rPr>
          <w:sz w:val="18"/>
          <w:szCs w:val="18"/>
          <w:lang w:val="es-ES_tradnl"/>
        </w:rPr>
        <w:t>con la Convenci</w:t>
      </w:r>
      <w:r>
        <w:rPr>
          <w:rFonts w:cs="Times New Roman"/>
          <w:sz w:val="18"/>
          <w:szCs w:val="18"/>
          <w:lang w:val="es-ES_tradnl"/>
        </w:rPr>
        <w:t>ó</w:t>
      </w:r>
      <w:r>
        <w:rPr>
          <w:sz w:val="18"/>
          <w:szCs w:val="18"/>
          <w:lang w:val="es-ES_tradnl"/>
        </w:rPr>
        <w:t>n.</w:t>
      </w:r>
    </w:p>
    <w:p w14:paraId="4F67A341" w14:textId="77777777" w:rsidR="00591D54" w:rsidRDefault="00591D54" w:rsidP="00251195">
      <w:pPr>
        <w:numPr>
          <w:ilvl w:val="0"/>
          <w:numId w:val="2"/>
        </w:numPr>
        <w:shd w:val="clear" w:color="auto" w:fill="FFFFFF"/>
        <w:tabs>
          <w:tab w:val="left" w:pos="571"/>
        </w:tabs>
        <w:spacing w:before="197" w:line="216" w:lineRule="exact"/>
        <w:ind w:left="283" w:right="5"/>
        <w:jc w:val="both"/>
        <w:rPr>
          <w:sz w:val="18"/>
          <w:szCs w:val="18"/>
          <w:lang w:val="es-ES_tradnl"/>
        </w:rPr>
      </w:pPr>
      <w:r>
        <w:rPr>
          <w:sz w:val="18"/>
          <w:szCs w:val="18"/>
          <w:lang w:val="es-ES_tradnl"/>
        </w:rPr>
        <w:t>El t</w:t>
      </w:r>
      <w:r>
        <w:rPr>
          <w:rFonts w:cs="Times New Roman"/>
          <w:sz w:val="18"/>
          <w:szCs w:val="18"/>
          <w:lang w:val="es-ES_tradnl"/>
        </w:rPr>
        <w:t>é</w:t>
      </w:r>
      <w:r>
        <w:rPr>
          <w:sz w:val="18"/>
          <w:szCs w:val="18"/>
          <w:lang w:val="es-ES_tradnl"/>
        </w:rPr>
        <w:t xml:space="preserve">rmino </w:t>
      </w:r>
      <w:r>
        <w:rPr>
          <w:rFonts w:cs="Times New Roman"/>
          <w:sz w:val="18"/>
          <w:szCs w:val="18"/>
          <w:lang w:val="es-ES_tradnl"/>
        </w:rPr>
        <w:t>“</w:t>
      </w:r>
      <w:r>
        <w:rPr>
          <w:sz w:val="18"/>
          <w:szCs w:val="18"/>
          <w:lang w:val="es-ES_tradnl"/>
        </w:rPr>
        <w:t>l</w:t>
      </w:r>
      <w:r>
        <w:rPr>
          <w:rFonts w:cs="Times New Roman"/>
          <w:sz w:val="18"/>
          <w:szCs w:val="18"/>
          <w:lang w:val="es-ES_tradnl"/>
        </w:rPr>
        <w:t>í</w:t>
      </w:r>
      <w:r>
        <w:rPr>
          <w:sz w:val="18"/>
          <w:szCs w:val="18"/>
          <w:lang w:val="es-ES_tradnl"/>
        </w:rPr>
        <w:t>nea a</w:t>
      </w:r>
      <w:r>
        <w:rPr>
          <w:rFonts w:cs="Times New Roman"/>
          <w:sz w:val="18"/>
          <w:szCs w:val="18"/>
          <w:lang w:val="es-ES_tradnl"/>
        </w:rPr>
        <w:t>é</w:t>
      </w:r>
      <w:r>
        <w:rPr>
          <w:sz w:val="18"/>
          <w:szCs w:val="18"/>
          <w:lang w:val="es-ES_tradnl"/>
        </w:rPr>
        <w:t>rea designada</w:t>
      </w:r>
      <w:r>
        <w:rPr>
          <w:rFonts w:cs="Times New Roman"/>
          <w:sz w:val="18"/>
          <w:szCs w:val="18"/>
          <w:lang w:val="es-ES_tradnl"/>
        </w:rPr>
        <w:t>”</w:t>
      </w:r>
      <w:r>
        <w:rPr>
          <w:sz w:val="18"/>
          <w:szCs w:val="18"/>
          <w:lang w:val="es-ES_tradnl"/>
        </w:rPr>
        <w:t xml:space="preserve"> significa </w:t>
      </w:r>
      <w:r>
        <w:rPr>
          <w:spacing w:val="-4"/>
          <w:sz w:val="18"/>
          <w:szCs w:val="18"/>
          <w:lang w:val="es-ES_tradnl"/>
        </w:rPr>
        <w:t>una l</w:t>
      </w:r>
      <w:r>
        <w:rPr>
          <w:rFonts w:cs="Times New Roman"/>
          <w:spacing w:val="-4"/>
          <w:sz w:val="18"/>
          <w:szCs w:val="18"/>
          <w:lang w:val="es-ES_tradnl"/>
        </w:rPr>
        <w:t>í</w:t>
      </w:r>
      <w:r>
        <w:rPr>
          <w:spacing w:val="-4"/>
          <w:sz w:val="18"/>
          <w:szCs w:val="18"/>
          <w:lang w:val="es-ES_tradnl"/>
        </w:rPr>
        <w:t>nea a</w:t>
      </w:r>
      <w:r>
        <w:rPr>
          <w:rFonts w:cs="Times New Roman"/>
          <w:spacing w:val="-4"/>
          <w:sz w:val="18"/>
          <w:szCs w:val="18"/>
          <w:lang w:val="es-ES_tradnl"/>
        </w:rPr>
        <w:t>é</w:t>
      </w:r>
      <w:r>
        <w:rPr>
          <w:spacing w:val="-4"/>
          <w:sz w:val="18"/>
          <w:szCs w:val="18"/>
          <w:lang w:val="es-ES_tradnl"/>
        </w:rPr>
        <w:t>rea que ha sido designada y autorizada de conformidad con el Art</w:t>
      </w:r>
      <w:r>
        <w:rPr>
          <w:rFonts w:cs="Times New Roman"/>
          <w:spacing w:val="-4"/>
          <w:sz w:val="18"/>
          <w:szCs w:val="18"/>
          <w:lang w:val="es-ES_tradnl"/>
        </w:rPr>
        <w:t>í</w:t>
      </w:r>
      <w:r>
        <w:rPr>
          <w:spacing w:val="-4"/>
          <w:sz w:val="18"/>
          <w:szCs w:val="18"/>
          <w:lang w:val="es-ES_tradnl"/>
        </w:rPr>
        <w:t>culo 3 (Designaci</w:t>
      </w:r>
      <w:r>
        <w:rPr>
          <w:rFonts w:cs="Times New Roman"/>
          <w:spacing w:val="-4"/>
          <w:sz w:val="18"/>
          <w:szCs w:val="18"/>
          <w:lang w:val="es-ES_tradnl"/>
        </w:rPr>
        <w:t>ó</w:t>
      </w:r>
      <w:r>
        <w:rPr>
          <w:spacing w:val="-4"/>
          <w:sz w:val="18"/>
          <w:szCs w:val="18"/>
          <w:lang w:val="es-ES_tradnl"/>
        </w:rPr>
        <w:t xml:space="preserve">n y </w:t>
      </w:r>
      <w:r>
        <w:rPr>
          <w:sz w:val="18"/>
          <w:szCs w:val="18"/>
          <w:lang w:val="es-ES_tradnl"/>
        </w:rPr>
        <w:t>Autorizaci</w:t>
      </w:r>
      <w:r>
        <w:rPr>
          <w:rFonts w:cs="Times New Roman"/>
          <w:sz w:val="18"/>
          <w:szCs w:val="18"/>
          <w:lang w:val="es-ES_tradnl"/>
        </w:rPr>
        <w:t>ó</w:t>
      </w:r>
      <w:r>
        <w:rPr>
          <w:sz w:val="18"/>
          <w:szCs w:val="18"/>
          <w:lang w:val="es-ES_tradnl"/>
        </w:rPr>
        <w:t>n) del presente Convenio;</w:t>
      </w:r>
    </w:p>
    <w:p w14:paraId="4F67A342" w14:textId="77777777" w:rsidR="00591D54" w:rsidRDefault="00591D54" w:rsidP="00251195">
      <w:pPr>
        <w:numPr>
          <w:ilvl w:val="0"/>
          <w:numId w:val="2"/>
        </w:numPr>
        <w:shd w:val="clear" w:color="auto" w:fill="FFFFFF"/>
        <w:tabs>
          <w:tab w:val="left" w:pos="571"/>
        </w:tabs>
        <w:spacing w:before="192" w:line="216" w:lineRule="exact"/>
        <w:ind w:left="283"/>
        <w:jc w:val="both"/>
        <w:rPr>
          <w:spacing w:val="-6"/>
          <w:sz w:val="18"/>
          <w:szCs w:val="18"/>
          <w:lang w:val="es-ES_tradnl"/>
        </w:rPr>
      </w:pPr>
      <w:r>
        <w:rPr>
          <w:spacing w:val="-3"/>
          <w:sz w:val="18"/>
          <w:szCs w:val="18"/>
          <w:lang w:val="es-ES_tradnl"/>
        </w:rPr>
        <w:t>El t</w:t>
      </w:r>
      <w:r>
        <w:rPr>
          <w:rFonts w:cs="Times New Roman"/>
          <w:spacing w:val="-3"/>
          <w:sz w:val="18"/>
          <w:szCs w:val="18"/>
          <w:lang w:val="es-ES_tradnl"/>
        </w:rPr>
        <w:t>é</w:t>
      </w:r>
      <w:r>
        <w:rPr>
          <w:spacing w:val="-3"/>
          <w:sz w:val="18"/>
          <w:szCs w:val="18"/>
          <w:lang w:val="es-ES_tradnl"/>
        </w:rPr>
        <w:t xml:space="preserve">rmino </w:t>
      </w:r>
      <w:r>
        <w:rPr>
          <w:rFonts w:cs="Times New Roman"/>
          <w:spacing w:val="-3"/>
          <w:sz w:val="18"/>
          <w:szCs w:val="18"/>
          <w:lang w:val="es-ES_tradnl"/>
        </w:rPr>
        <w:t>“</w:t>
      </w:r>
      <w:r>
        <w:rPr>
          <w:spacing w:val="-3"/>
          <w:sz w:val="18"/>
          <w:szCs w:val="18"/>
          <w:lang w:val="es-ES_tradnl"/>
        </w:rPr>
        <w:t>tarifa</w:t>
      </w:r>
      <w:r>
        <w:rPr>
          <w:rFonts w:cs="Times New Roman"/>
          <w:spacing w:val="-3"/>
          <w:sz w:val="18"/>
          <w:szCs w:val="18"/>
          <w:lang w:val="es-ES_tradnl"/>
        </w:rPr>
        <w:t>”</w:t>
      </w:r>
      <w:r>
        <w:rPr>
          <w:spacing w:val="-3"/>
          <w:sz w:val="18"/>
          <w:szCs w:val="18"/>
          <w:lang w:val="es-ES_tradnl"/>
        </w:rPr>
        <w:t xml:space="preserve"> significa los precios que las </w:t>
      </w:r>
      <w:r>
        <w:rPr>
          <w:spacing w:val="-5"/>
          <w:sz w:val="18"/>
          <w:szCs w:val="18"/>
          <w:lang w:val="es-ES_tradnl"/>
        </w:rPr>
        <w:t>l</w:t>
      </w:r>
      <w:r>
        <w:rPr>
          <w:rFonts w:cs="Times New Roman"/>
          <w:spacing w:val="-5"/>
          <w:sz w:val="18"/>
          <w:szCs w:val="18"/>
          <w:lang w:val="es-ES_tradnl"/>
        </w:rPr>
        <w:t>í</w:t>
      </w:r>
      <w:r>
        <w:rPr>
          <w:spacing w:val="-5"/>
          <w:sz w:val="18"/>
          <w:szCs w:val="18"/>
          <w:lang w:val="es-ES_tradnl"/>
        </w:rPr>
        <w:t>neas a</w:t>
      </w:r>
      <w:r>
        <w:rPr>
          <w:rFonts w:cs="Times New Roman"/>
          <w:spacing w:val="-5"/>
          <w:sz w:val="18"/>
          <w:szCs w:val="18"/>
          <w:lang w:val="es-ES_tradnl"/>
        </w:rPr>
        <w:t>é</w:t>
      </w:r>
      <w:r>
        <w:rPr>
          <w:spacing w:val="-5"/>
          <w:sz w:val="18"/>
          <w:szCs w:val="18"/>
          <w:lang w:val="es-ES_tradnl"/>
        </w:rPr>
        <w:t xml:space="preserve">reas designadas cobran por el transporte </w:t>
      </w:r>
      <w:r>
        <w:rPr>
          <w:spacing w:val="-9"/>
          <w:sz w:val="18"/>
          <w:szCs w:val="18"/>
          <w:lang w:val="es-ES_tradnl"/>
        </w:rPr>
        <w:t>p</w:t>
      </w:r>
      <w:r>
        <w:rPr>
          <w:rFonts w:cs="Times New Roman"/>
          <w:spacing w:val="-9"/>
          <w:sz w:val="18"/>
          <w:szCs w:val="18"/>
          <w:lang w:val="es-ES_tradnl"/>
        </w:rPr>
        <w:t>ú</w:t>
      </w:r>
      <w:r>
        <w:rPr>
          <w:spacing w:val="-9"/>
          <w:sz w:val="18"/>
          <w:szCs w:val="18"/>
          <w:lang w:val="es-ES_tradnl"/>
        </w:rPr>
        <w:t xml:space="preserve">blico de pasajeros, equipaje y carga y las condiciones </w:t>
      </w:r>
      <w:r>
        <w:rPr>
          <w:spacing w:val="-6"/>
          <w:sz w:val="18"/>
          <w:szCs w:val="18"/>
          <w:lang w:val="es-ES_tradnl"/>
        </w:rPr>
        <w:t>de aplicaci</w:t>
      </w:r>
      <w:r>
        <w:rPr>
          <w:rFonts w:cs="Times New Roman"/>
          <w:spacing w:val="-6"/>
          <w:sz w:val="18"/>
          <w:szCs w:val="18"/>
          <w:lang w:val="es-ES_tradnl"/>
        </w:rPr>
        <w:t>ó</w:t>
      </w:r>
      <w:r>
        <w:rPr>
          <w:spacing w:val="-6"/>
          <w:sz w:val="18"/>
          <w:szCs w:val="18"/>
          <w:lang w:val="es-ES_tradnl"/>
        </w:rPr>
        <w:t xml:space="preserve">n de dichos precios, pero excluyendo la </w:t>
      </w:r>
      <w:r>
        <w:rPr>
          <w:spacing w:val="-10"/>
          <w:sz w:val="18"/>
          <w:szCs w:val="18"/>
          <w:lang w:val="es-ES_tradnl"/>
        </w:rPr>
        <w:t>remuneraci</w:t>
      </w:r>
      <w:r>
        <w:rPr>
          <w:rFonts w:cs="Times New Roman"/>
          <w:spacing w:val="-10"/>
          <w:sz w:val="18"/>
          <w:szCs w:val="18"/>
          <w:lang w:val="es-ES_tradnl"/>
        </w:rPr>
        <w:t>ó</w:t>
      </w:r>
      <w:r>
        <w:rPr>
          <w:spacing w:val="-10"/>
          <w:sz w:val="18"/>
          <w:szCs w:val="18"/>
          <w:lang w:val="es-ES_tradnl"/>
        </w:rPr>
        <w:t>n y las condiciones de transporte de correo;</w:t>
      </w:r>
    </w:p>
    <w:p w14:paraId="4F67A343" w14:textId="77777777" w:rsidR="00591D54" w:rsidRDefault="00591D54">
      <w:pPr>
        <w:shd w:val="clear" w:color="auto" w:fill="FFFFFF"/>
        <w:spacing w:before="197" w:line="216" w:lineRule="exact"/>
        <w:ind w:left="283"/>
        <w:jc w:val="both"/>
      </w:pPr>
      <w:r>
        <w:rPr>
          <w:spacing w:val="-2"/>
          <w:sz w:val="18"/>
          <w:szCs w:val="18"/>
          <w:lang w:val="es-ES_tradnl"/>
        </w:rPr>
        <w:t>(h) El t</w:t>
      </w:r>
      <w:r>
        <w:rPr>
          <w:rFonts w:cs="Times New Roman"/>
          <w:spacing w:val="-2"/>
          <w:sz w:val="18"/>
          <w:szCs w:val="18"/>
          <w:lang w:val="es-ES_tradnl"/>
        </w:rPr>
        <w:t>é</w:t>
      </w:r>
      <w:r>
        <w:rPr>
          <w:spacing w:val="-2"/>
          <w:sz w:val="18"/>
          <w:szCs w:val="18"/>
          <w:lang w:val="es-ES_tradnl"/>
        </w:rPr>
        <w:t xml:space="preserve">rmino </w:t>
      </w:r>
      <w:r>
        <w:rPr>
          <w:rFonts w:cs="Times New Roman"/>
          <w:spacing w:val="-2"/>
          <w:sz w:val="18"/>
          <w:szCs w:val="18"/>
          <w:lang w:val="es-ES_tradnl"/>
        </w:rPr>
        <w:t>“</w:t>
      </w:r>
      <w:r>
        <w:rPr>
          <w:spacing w:val="-2"/>
          <w:sz w:val="18"/>
          <w:szCs w:val="18"/>
          <w:lang w:val="es-ES_tradnl"/>
        </w:rPr>
        <w:t>territorio</w:t>
      </w:r>
      <w:r>
        <w:rPr>
          <w:rFonts w:cs="Times New Roman"/>
          <w:spacing w:val="-2"/>
          <w:sz w:val="18"/>
          <w:szCs w:val="18"/>
          <w:lang w:val="es-ES_tradnl"/>
        </w:rPr>
        <w:t>”</w:t>
      </w:r>
      <w:r>
        <w:rPr>
          <w:spacing w:val="-2"/>
          <w:sz w:val="18"/>
          <w:szCs w:val="18"/>
          <w:lang w:val="es-ES_tradnl"/>
        </w:rPr>
        <w:t xml:space="preserve"> en relaci</w:t>
      </w:r>
      <w:r>
        <w:rPr>
          <w:rFonts w:cs="Times New Roman"/>
          <w:spacing w:val="-2"/>
          <w:sz w:val="18"/>
          <w:szCs w:val="18"/>
          <w:lang w:val="es-ES_tradnl"/>
        </w:rPr>
        <w:t>ó</w:t>
      </w:r>
      <w:r>
        <w:rPr>
          <w:spacing w:val="-2"/>
          <w:sz w:val="18"/>
          <w:szCs w:val="18"/>
          <w:lang w:val="es-ES_tradnl"/>
        </w:rPr>
        <w:t xml:space="preserve">n con el Estado </w:t>
      </w:r>
      <w:r>
        <w:rPr>
          <w:spacing w:val="-7"/>
          <w:sz w:val="18"/>
          <w:szCs w:val="18"/>
          <w:lang w:val="es-ES_tradnl"/>
        </w:rPr>
        <w:t xml:space="preserve">significa las </w:t>
      </w:r>
      <w:r>
        <w:rPr>
          <w:rFonts w:cs="Times New Roman"/>
          <w:spacing w:val="-7"/>
          <w:sz w:val="18"/>
          <w:szCs w:val="18"/>
          <w:lang w:val="es-ES_tradnl"/>
        </w:rPr>
        <w:t>á</w:t>
      </w:r>
      <w:r>
        <w:rPr>
          <w:spacing w:val="-7"/>
          <w:sz w:val="18"/>
          <w:szCs w:val="18"/>
          <w:lang w:val="es-ES_tradnl"/>
        </w:rPr>
        <w:t xml:space="preserve">reas terrestres y las aguas territoriales </w:t>
      </w:r>
      <w:r>
        <w:rPr>
          <w:spacing w:val="-9"/>
          <w:sz w:val="18"/>
          <w:szCs w:val="18"/>
          <w:lang w:val="es-ES_tradnl"/>
        </w:rPr>
        <w:t>adyacentes y el espacio a</w:t>
      </w:r>
      <w:r>
        <w:rPr>
          <w:rFonts w:cs="Times New Roman"/>
          <w:spacing w:val="-9"/>
          <w:sz w:val="18"/>
          <w:szCs w:val="18"/>
          <w:lang w:val="es-ES_tradnl"/>
        </w:rPr>
        <w:t>é</w:t>
      </w:r>
      <w:r>
        <w:rPr>
          <w:spacing w:val="-9"/>
          <w:sz w:val="18"/>
          <w:szCs w:val="18"/>
          <w:lang w:val="es-ES_tradnl"/>
        </w:rPr>
        <w:t xml:space="preserve">reo por encima de ellos bajo </w:t>
      </w:r>
      <w:r>
        <w:rPr>
          <w:sz w:val="18"/>
          <w:szCs w:val="18"/>
          <w:lang w:val="es-ES_tradnl"/>
        </w:rPr>
        <w:t>la soberan</w:t>
      </w:r>
      <w:r>
        <w:rPr>
          <w:rFonts w:cs="Times New Roman"/>
          <w:sz w:val="18"/>
          <w:szCs w:val="18"/>
          <w:lang w:val="es-ES_tradnl"/>
        </w:rPr>
        <w:t>í</w:t>
      </w:r>
      <w:r>
        <w:rPr>
          <w:sz w:val="18"/>
          <w:szCs w:val="18"/>
          <w:lang w:val="es-ES_tradnl"/>
        </w:rPr>
        <w:t>a de ese Estado.</w:t>
      </w:r>
    </w:p>
    <w:p w14:paraId="4F67A344" w14:textId="77777777" w:rsidR="00591D54" w:rsidRDefault="00591D54">
      <w:pPr>
        <w:shd w:val="clear" w:color="auto" w:fill="FFFFFF"/>
        <w:spacing w:before="197" w:line="216" w:lineRule="exact"/>
        <w:ind w:left="283" w:right="5"/>
        <w:jc w:val="both"/>
      </w:pPr>
      <w:r>
        <w:rPr>
          <w:spacing w:val="-6"/>
          <w:sz w:val="18"/>
          <w:szCs w:val="18"/>
          <w:lang w:val="es-ES_tradnl"/>
        </w:rPr>
        <w:t>(i) El t</w:t>
      </w:r>
      <w:r>
        <w:rPr>
          <w:rFonts w:cs="Times New Roman"/>
          <w:spacing w:val="-6"/>
          <w:sz w:val="18"/>
          <w:szCs w:val="18"/>
          <w:lang w:val="es-ES_tradnl"/>
        </w:rPr>
        <w:t>é</w:t>
      </w:r>
      <w:r>
        <w:rPr>
          <w:spacing w:val="-6"/>
          <w:sz w:val="18"/>
          <w:szCs w:val="18"/>
          <w:lang w:val="es-ES_tradnl"/>
        </w:rPr>
        <w:t xml:space="preserve">rmino </w:t>
      </w:r>
      <w:r>
        <w:rPr>
          <w:rFonts w:cs="Times New Roman"/>
          <w:spacing w:val="-6"/>
          <w:sz w:val="18"/>
          <w:szCs w:val="18"/>
          <w:lang w:val="es-ES_tradnl"/>
        </w:rPr>
        <w:t>“</w:t>
      </w:r>
      <w:r>
        <w:rPr>
          <w:spacing w:val="-6"/>
          <w:sz w:val="18"/>
          <w:szCs w:val="18"/>
          <w:lang w:val="es-ES_tradnl"/>
        </w:rPr>
        <w:t>cobros al usuario</w:t>
      </w:r>
      <w:r>
        <w:rPr>
          <w:rFonts w:cs="Times New Roman"/>
          <w:spacing w:val="-6"/>
          <w:sz w:val="18"/>
          <w:szCs w:val="18"/>
          <w:lang w:val="es-ES_tradnl"/>
        </w:rPr>
        <w:t>”</w:t>
      </w:r>
      <w:r>
        <w:rPr>
          <w:spacing w:val="-6"/>
          <w:sz w:val="18"/>
          <w:szCs w:val="18"/>
          <w:lang w:val="es-ES_tradnl"/>
        </w:rPr>
        <w:t xml:space="preserve"> se refiere a un cobro </w:t>
      </w:r>
      <w:r>
        <w:rPr>
          <w:spacing w:val="-9"/>
          <w:sz w:val="18"/>
          <w:szCs w:val="18"/>
          <w:lang w:val="es-ES_tradnl"/>
        </w:rPr>
        <w:t>hecho a las l</w:t>
      </w:r>
      <w:r>
        <w:rPr>
          <w:rFonts w:cs="Times New Roman"/>
          <w:spacing w:val="-9"/>
          <w:sz w:val="18"/>
          <w:szCs w:val="18"/>
          <w:lang w:val="es-ES_tradnl"/>
        </w:rPr>
        <w:t>í</w:t>
      </w:r>
      <w:r>
        <w:rPr>
          <w:spacing w:val="-9"/>
          <w:sz w:val="18"/>
          <w:szCs w:val="18"/>
          <w:lang w:val="es-ES_tradnl"/>
        </w:rPr>
        <w:t>neas a</w:t>
      </w:r>
      <w:r>
        <w:rPr>
          <w:rFonts w:cs="Times New Roman"/>
          <w:spacing w:val="-9"/>
          <w:sz w:val="18"/>
          <w:szCs w:val="18"/>
          <w:lang w:val="es-ES_tradnl"/>
        </w:rPr>
        <w:t>é</w:t>
      </w:r>
      <w:r>
        <w:rPr>
          <w:spacing w:val="-9"/>
          <w:sz w:val="18"/>
          <w:szCs w:val="18"/>
          <w:lang w:val="es-ES_tradnl"/>
        </w:rPr>
        <w:t xml:space="preserve">reas por la autoridad competente y </w:t>
      </w:r>
      <w:r>
        <w:rPr>
          <w:spacing w:val="-10"/>
          <w:sz w:val="18"/>
          <w:szCs w:val="18"/>
          <w:lang w:val="es-ES_tradnl"/>
        </w:rPr>
        <w:t>que la autoridad permite que se cobren por el suministro</w:t>
      </w:r>
    </w:p>
    <w:p w14:paraId="4F67A345" w14:textId="77777777" w:rsidR="00591D54" w:rsidRDefault="00591D54">
      <w:pPr>
        <w:shd w:val="clear" w:color="auto" w:fill="FFFFFF"/>
        <w:spacing w:line="221" w:lineRule="exact"/>
        <w:ind w:left="283"/>
        <w:jc w:val="both"/>
      </w:pPr>
      <w:r>
        <w:br w:type="column"/>
      </w:r>
      <w:r>
        <w:rPr>
          <w:spacing w:val="-10"/>
          <w:sz w:val="18"/>
          <w:szCs w:val="18"/>
          <w:lang w:val="es-ES_tradnl"/>
        </w:rPr>
        <w:t xml:space="preserve">de los bienes y las instalaciones del aeropuerto o por las </w:t>
      </w:r>
      <w:r>
        <w:rPr>
          <w:spacing w:val="-8"/>
          <w:sz w:val="18"/>
          <w:szCs w:val="18"/>
          <w:lang w:val="es-ES_tradnl"/>
        </w:rPr>
        <w:t>facilidades de navegaci</w:t>
      </w:r>
      <w:r>
        <w:rPr>
          <w:rFonts w:cs="Times New Roman"/>
          <w:spacing w:val="-8"/>
          <w:sz w:val="18"/>
          <w:szCs w:val="18"/>
          <w:lang w:val="es-ES_tradnl"/>
        </w:rPr>
        <w:t>ó</w:t>
      </w:r>
      <w:r>
        <w:rPr>
          <w:spacing w:val="-8"/>
          <w:sz w:val="18"/>
          <w:szCs w:val="18"/>
          <w:lang w:val="es-ES_tradnl"/>
        </w:rPr>
        <w:t>n a</w:t>
      </w:r>
      <w:r>
        <w:rPr>
          <w:rFonts w:cs="Times New Roman"/>
          <w:spacing w:val="-8"/>
          <w:sz w:val="18"/>
          <w:szCs w:val="18"/>
          <w:lang w:val="es-ES_tradnl"/>
        </w:rPr>
        <w:t>é</w:t>
      </w:r>
      <w:r>
        <w:rPr>
          <w:spacing w:val="-8"/>
          <w:sz w:val="18"/>
          <w:szCs w:val="18"/>
          <w:lang w:val="es-ES_tradnl"/>
        </w:rPr>
        <w:t xml:space="preserve">rea o por las instalaciones </w:t>
      </w:r>
      <w:r>
        <w:rPr>
          <w:sz w:val="18"/>
          <w:szCs w:val="18"/>
          <w:lang w:val="es-ES_tradnl"/>
        </w:rPr>
        <w:t>o servicios de seguridad de la aviaci</w:t>
      </w:r>
      <w:r>
        <w:rPr>
          <w:rFonts w:cs="Times New Roman"/>
          <w:sz w:val="18"/>
          <w:szCs w:val="18"/>
          <w:lang w:val="es-ES_tradnl"/>
        </w:rPr>
        <w:t>ó</w:t>
      </w:r>
      <w:r>
        <w:rPr>
          <w:sz w:val="18"/>
          <w:szCs w:val="18"/>
          <w:lang w:val="es-ES_tradnl"/>
        </w:rPr>
        <w:t xml:space="preserve">n, incluidos </w:t>
      </w:r>
      <w:r>
        <w:rPr>
          <w:spacing w:val="-7"/>
          <w:sz w:val="18"/>
          <w:szCs w:val="18"/>
          <w:lang w:val="es-ES_tradnl"/>
        </w:rPr>
        <w:t xml:space="preserve">los servicios e instalaciones relacionados para las </w:t>
      </w:r>
      <w:r>
        <w:rPr>
          <w:spacing w:val="-8"/>
          <w:sz w:val="18"/>
          <w:szCs w:val="18"/>
          <w:lang w:val="es-ES_tradnl"/>
        </w:rPr>
        <w:t xml:space="preserve">aeronaves, tripulaciones de vuelo, pasajeros y carga; </w:t>
      </w:r>
      <w:r>
        <w:rPr>
          <w:spacing w:val="-3"/>
          <w:sz w:val="18"/>
          <w:szCs w:val="18"/>
          <w:lang w:val="es-ES_tradnl"/>
        </w:rPr>
        <w:t>(j) Los t</w:t>
      </w:r>
      <w:r>
        <w:rPr>
          <w:rFonts w:cs="Times New Roman"/>
          <w:spacing w:val="-3"/>
          <w:sz w:val="18"/>
          <w:szCs w:val="18"/>
          <w:lang w:val="es-ES_tradnl"/>
        </w:rPr>
        <w:t>é</w:t>
      </w:r>
      <w:r>
        <w:rPr>
          <w:spacing w:val="-3"/>
          <w:sz w:val="18"/>
          <w:szCs w:val="18"/>
          <w:lang w:val="es-ES_tradnl"/>
        </w:rPr>
        <w:t xml:space="preserve">rminos </w:t>
      </w:r>
      <w:r>
        <w:rPr>
          <w:rFonts w:cs="Times New Roman"/>
          <w:spacing w:val="-3"/>
          <w:sz w:val="18"/>
          <w:szCs w:val="18"/>
          <w:lang w:val="es-ES_tradnl"/>
        </w:rPr>
        <w:t>“</w:t>
      </w:r>
      <w:r>
        <w:rPr>
          <w:spacing w:val="-3"/>
          <w:sz w:val="18"/>
          <w:szCs w:val="18"/>
          <w:lang w:val="es-ES_tradnl"/>
        </w:rPr>
        <w:t>servicio a</w:t>
      </w:r>
      <w:r>
        <w:rPr>
          <w:rFonts w:cs="Times New Roman"/>
          <w:spacing w:val="-3"/>
          <w:sz w:val="18"/>
          <w:szCs w:val="18"/>
          <w:lang w:val="es-ES_tradnl"/>
        </w:rPr>
        <w:t>é</w:t>
      </w:r>
      <w:r>
        <w:rPr>
          <w:spacing w:val="-3"/>
          <w:sz w:val="18"/>
          <w:szCs w:val="18"/>
          <w:lang w:val="es-ES_tradnl"/>
        </w:rPr>
        <w:t>reo</w:t>
      </w:r>
      <w:r>
        <w:rPr>
          <w:rFonts w:cs="Times New Roman"/>
          <w:spacing w:val="-3"/>
          <w:sz w:val="18"/>
          <w:szCs w:val="18"/>
          <w:lang w:val="es-ES_tradnl"/>
        </w:rPr>
        <w:t>”</w:t>
      </w:r>
      <w:r>
        <w:rPr>
          <w:spacing w:val="-3"/>
          <w:sz w:val="18"/>
          <w:szCs w:val="18"/>
          <w:lang w:val="es-ES_tradnl"/>
        </w:rPr>
        <w:t xml:space="preserve">, </w:t>
      </w:r>
      <w:r>
        <w:rPr>
          <w:rFonts w:cs="Times New Roman"/>
          <w:spacing w:val="-3"/>
          <w:sz w:val="18"/>
          <w:szCs w:val="18"/>
          <w:lang w:val="es-ES_tradnl"/>
        </w:rPr>
        <w:t>“</w:t>
      </w:r>
      <w:r>
        <w:rPr>
          <w:spacing w:val="-3"/>
          <w:sz w:val="18"/>
          <w:szCs w:val="18"/>
          <w:lang w:val="es-ES_tradnl"/>
        </w:rPr>
        <w:t>servicio a</w:t>
      </w:r>
      <w:r>
        <w:rPr>
          <w:rFonts w:cs="Times New Roman"/>
          <w:spacing w:val="-3"/>
          <w:sz w:val="18"/>
          <w:szCs w:val="18"/>
          <w:lang w:val="es-ES_tradnl"/>
        </w:rPr>
        <w:t>é</w:t>
      </w:r>
      <w:r>
        <w:rPr>
          <w:spacing w:val="-3"/>
          <w:sz w:val="18"/>
          <w:szCs w:val="18"/>
          <w:lang w:val="es-ES_tradnl"/>
        </w:rPr>
        <w:t xml:space="preserve">reo </w:t>
      </w:r>
      <w:r>
        <w:rPr>
          <w:spacing w:val="-5"/>
          <w:sz w:val="18"/>
          <w:szCs w:val="18"/>
          <w:lang w:val="es-ES_tradnl"/>
        </w:rPr>
        <w:t>internacional</w:t>
      </w:r>
      <w:r>
        <w:rPr>
          <w:rFonts w:cs="Times New Roman"/>
          <w:spacing w:val="-5"/>
          <w:sz w:val="18"/>
          <w:szCs w:val="18"/>
          <w:lang w:val="es-ES_tradnl"/>
        </w:rPr>
        <w:t>”</w:t>
      </w:r>
      <w:r>
        <w:rPr>
          <w:spacing w:val="-5"/>
          <w:sz w:val="18"/>
          <w:szCs w:val="18"/>
          <w:lang w:val="es-ES_tradnl"/>
        </w:rPr>
        <w:t xml:space="preserve">, </w:t>
      </w:r>
      <w:r>
        <w:rPr>
          <w:rFonts w:cs="Times New Roman"/>
          <w:spacing w:val="-5"/>
          <w:sz w:val="18"/>
          <w:szCs w:val="18"/>
          <w:lang w:val="es-ES_tradnl"/>
        </w:rPr>
        <w:t>“</w:t>
      </w:r>
      <w:r>
        <w:rPr>
          <w:spacing w:val="-5"/>
          <w:sz w:val="18"/>
          <w:szCs w:val="18"/>
          <w:lang w:val="es-ES_tradnl"/>
        </w:rPr>
        <w:t>l</w:t>
      </w:r>
      <w:r>
        <w:rPr>
          <w:rFonts w:cs="Times New Roman"/>
          <w:spacing w:val="-5"/>
          <w:sz w:val="18"/>
          <w:szCs w:val="18"/>
          <w:lang w:val="es-ES_tradnl"/>
        </w:rPr>
        <w:t>í</w:t>
      </w:r>
      <w:r>
        <w:rPr>
          <w:spacing w:val="-5"/>
          <w:sz w:val="18"/>
          <w:szCs w:val="18"/>
          <w:lang w:val="es-ES_tradnl"/>
        </w:rPr>
        <w:t>nea a</w:t>
      </w:r>
      <w:r>
        <w:rPr>
          <w:rFonts w:cs="Times New Roman"/>
          <w:spacing w:val="-5"/>
          <w:sz w:val="18"/>
          <w:szCs w:val="18"/>
          <w:lang w:val="es-ES_tradnl"/>
        </w:rPr>
        <w:t>é</w:t>
      </w:r>
      <w:r>
        <w:rPr>
          <w:spacing w:val="-5"/>
          <w:sz w:val="18"/>
          <w:szCs w:val="18"/>
          <w:lang w:val="es-ES_tradnl"/>
        </w:rPr>
        <w:t>rea</w:t>
      </w:r>
      <w:r>
        <w:rPr>
          <w:rFonts w:cs="Times New Roman"/>
          <w:spacing w:val="-5"/>
          <w:sz w:val="18"/>
          <w:szCs w:val="18"/>
          <w:lang w:val="es-ES_tradnl"/>
        </w:rPr>
        <w:t>”</w:t>
      </w:r>
      <w:r>
        <w:rPr>
          <w:spacing w:val="-5"/>
          <w:sz w:val="18"/>
          <w:szCs w:val="18"/>
          <w:lang w:val="es-ES_tradnl"/>
        </w:rPr>
        <w:t xml:space="preserve"> y </w:t>
      </w:r>
      <w:r>
        <w:rPr>
          <w:rFonts w:cs="Times New Roman"/>
          <w:spacing w:val="-5"/>
          <w:sz w:val="18"/>
          <w:szCs w:val="18"/>
          <w:lang w:val="es-ES_tradnl"/>
        </w:rPr>
        <w:t>“</w:t>
      </w:r>
      <w:r>
        <w:rPr>
          <w:spacing w:val="-5"/>
          <w:sz w:val="18"/>
          <w:szCs w:val="18"/>
          <w:lang w:val="es-ES_tradnl"/>
        </w:rPr>
        <w:t xml:space="preserve">escalas para fines no </w:t>
      </w:r>
      <w:r>
        <w:rPr>
          <w:spacing w:val="-8"/>
          <w:sz w:val="18"/>
          <w:szCs w:val="18"/>
          <w:lang w:val="es-ES_tradnl"/>
        </w:rPr>
        <w:t>comerciales</w:t>
      </w:r>
      <w:r>
        <w:rPr>
          <w:rFonts w:cs="Times New Roman"/>
          <w:spacing w:val="-8"/>
          <w:sz w:val="18"/>
          <w:szCs w:val="18"/>
          <w:lang w:val="es-ES_tradnl"/>
        </w:rPr>
        <w:t>”</w:t>
      </w:r>
      <w:r>
        <w:rPr>
          <w:spacing w:val="-8"/>
          <w:sz w:val="18"/>
          <w:szCs w:val="18"/>
          <w:lang w:val="es-ES_tradnl"/>
        </w:rPr>
        <w:t xml:space="preserve"> tienen el significado que se les asigna en </w:t>
      </w:r>
      <w:r>
        <w:rPr>
          <w:sz w:val="18"/>
          <w:szCs w:val="18"/>
          <w:lang w:val="es-ES_tradnl"/>
        </w:rPr>
        <w:t>el Art</w:t>
      </w:r>
      <w:r>
        <w:rPr>
          <w:rFonts w:cs="Times New Roman"/>
          <w:sz w:val="18"/>
          <w:szCs w:val="18"/>
          <w:lang w:val="es-ES_tradnl"/>
        </w:rPr>
        <w:t>í</w:t>
      </w:r>
      <w:r>
        <w:rPr>
          <w:sz w:val="18"/>
          <w:szCs w:val="18"/>
          <w:lang w:val="es-ES_tradnl"/>
        </w:rPr>
        <w:t>culo 96 de la Convenci</w:t>
      </w:r>
      <w:r>
        <w:rPr>
          <w:rFonts w:cs="Times New Roman"/>
          <w:sz w:val="18"/>
          <w:szCs w:val="18"/>
          <w:lang w:val="es-ES_tradnl"/>
        </w:rPr>
        <w:t>ó</w:t>
      </w:r>
      <w:r>
        <w:rPr>
          <w:sz w:val="18"/>
          <w:szCs w:val="18"/>
          <w:lang w:val="es-ES_tradnl"/>
        </w:rPr>
        <w:t>n;</w:t>
      </w:r>
    </w:p>
    <w:p w14:paraId="4F67A346" w14:textId="77777777" w:rsidR="00591D54" w:rsidRDefault="00591D54">
      <w:pPr>
        <w:shd w:val="clear" w:color="auto" w:fill="FFFFFF"/>
        <w:spacing w:before="197" w:line="221" w:lineRule="exact"/>
        <w:ind w:left="283"/>
        <w:jc w:val="both"/>
      </w:pPr>
      <w:r>
        <w:rPr>
          <w:spacing w:val="-8"/>
          <w:sz w:val="18"/>
          <w:szCs w:val="18"/>
          <w:lang w:val="es-ES_tradnl"/>
        </w:rPr>
        <w:t xml:space="preserve">(k) Todas las referencias a las palabras en singular, se </w:t>
      </w:r>
      <w:r>
        <w:rPr>
          <w:spacing w:val="-6"/>
          <w:sz w:val="18"/>
          <w:szCs w:val="18"/>
          <w:lang w:val="es-ES_tradnl"/>
        </w:rPr>
        <w:t xml:space="preserve">entiende que incluyen el plural, y todas las referencias </w:t>
      </w:r>
      <w:r>
        <w:rPr>
          <w:spacing w:val="-9"/>
          <w:sz w:val="18"/>
          <w:szCs w:val="18"/>
          <w:lang w:val="es-ES_tradnl"/>
        </w:rPr>
        <w:t>a la plural se entiende que incluyen el singular, seg</w:t>
      </w:r>
      <w:r>
        <w:rPr>
          <w:rFonts w:cs="Times New Roman"/>
          <w:spacing w:val="-9"/>
          <w:sz w:val="18"/>
          <w:szCs w:val="18"/>
          <w:lang w:val="es-ES_tradnl"/>
        </w:rPr>
        <w:t>ú</w:t>
      </w:r>
      <w:r>
        <w:rPr>
          <w:spacing w:val="-9"/>
          <w:sz w:val="18"/>
          <w:szCs w:val="18"/>
          <w:lang w:val="es-ES_tradnl"/>
        </w:rPr>
        <w:t xml:space="preserve">n lo </w:t>
      </w:r>
      <w:r>
        <w:rPr>
          <w:sz w:val="18"/>
          <w:szCs w:val="18"/>
          <w:lang w:val="es-ES_tradnl"/>
        </w:rPr>
        <w:t>requiera el contexto.</w:t>
      </w:r>
    </w:p>
    <w:p w14:paraId="4F67A347" w14:textId="77777777" w:rsidR="00591D54" w:rsidRDefault="00591D54">
      <w:pPr>
        <w:shd w:val="clear" w:color="auto" w:fill="FFFFFF"/>
        <w:spacing w:before="192" w:line="221" w:lineRule="exact"/>
        <w:ind w:left="1262" w:right="979" w:firstLine="341"/>
      </w:pPr>
      <w:r>
        <w:rPr>
          <w:b/>
          <w:bCs/>
          <w:sz w:val="18"/>
          <w:szCs w:val="18"/>
          <w:lang w:val="es-ES_tradnl"/>
        </w:rPr>
        <w:t>ART</w:t>
      </w:r>
      <w:r>
        <w:rPr>
          <w:rFonts w:cs="Times New Roman"/>
          <w:b/>
          <w:bCs/>
          <w:sz w:val="18"/>
          <w:szCs w:val="18"/>
          <w:lang w:val="es-ES_tradnl"/>
        </w:rPr>
        <w:t>Í</w:t>
      </w:r>
      <w:r>
        <w:rPr>
          <w:b/>
          <w:bCs/>
          <w:sz w:val="18"/>
          <w:szCs w:val="18"/>
          <w:lang w:val="es-ES_tradnl"/>
        </w:rPr>
        <w:t xml:space="preserve">CULO 2 </w:t>
      </w:r>
      <w:r>
        <w:rPr>
          <w:b/>
          <w:bCs/>
          <w:spacing w:val="-14"/>
          <w:sz w:val="18"/>
          <w:szCs w:val="18"/>
          <w:lang w:val="es-ES_tradnl"/>
        </w:rPr>
        <w:t>Concesi</w:t>
      </w:r>
      <w:r>
        <w:rPr>
          <w:rFonts w:cs="Times New Roman"/>
          <w:b/>
          <w:bCs/>
          <w:spacing w:val="-14"/>
          <w:sz w:val="18"/>
          <w:szCs w:val="18"/>
          <w:lang w:val="es-ES_tradnl"/>
        </w:rPr>
        <w:t>ó</w:t>
      </w:r>
      <w:r>
        <w:rPr>
          <w:b/>
          <w:bCs/>
          <w:spacing w:val="-14"/>
          <w:sz w:val="18"/>
          <w:szCs w:val="18"/>
          <w:lang w:val="es-ES_tradnl"/>
        </w:rPr>
        <w:t>n de Derechos</w:t>
      </w:r>
    </w:p>
    <w:p w14:paraId="4F67A348" w14:textId="77777777" w:rsidR="00591D54" w:rsidRDefault="00591D54">
      <w:pPr>
        <w:shd w:val="clear" w:color="auto" w:fill="FFFFFF"/>
        <w:tabs>
          <w:tab w:val="left" w:pos="331"/>
        </w:tabs>
        <w:spacing w:before="202" w:line="221" w:lineRule="exact"/>
        <w:jc w:val="both"/>
      </w:pPr>
      <w:r>
        <w:rPr>
          <w:spacing w:val="-6"/>
          <w:sz w:val="18"/>
          <w:szCs w:val="18"/>
          <w:lang w:val="es-ES_tradnl"/>
        </w:rPr>
        <w:t>(1)</w:t>
      </w:r>
      <w:r>
        <w:rPr>
          <w:sz w:val="18"/>
          <w:szCs w:val="18"/>
          <w:lang w:val="es-ES_tradnl"/>
        </w:rPr>
        <w:tab/>
      </w:r>
      <w:r>
        <w:rPr>
          <w:spacing w:val="-6"/>
          <w:sz w:val="18"/>
          <w:szCs w:val="18"/>
          <w:lang w:val="es-ES_tradnl"/>
        </w:rPr>
        <w:t>Cada Parte Contratante concede a la otra Parte </w:t>
      </w:r>
      <w:r>
        <w:rPr>
          <w:spacing w:val="-7"/>
          <w:sz w:val="18"/>
          <w:szCs w:val="18"/>
          <w:lang w:val="es-ES_tradnl"/>
        </w:rPr>
        <w:t>Contratante los siguientes derechos con respecto a los </w:t>
      </w:r>
      <w:r>
        <w:rPr>
          <w:spacing w:val="-6"/>
          <w:sz w:val="18"/>
          <w:szCs w:val="18"/>
          <w:lang w:val="es-ES_tradnl"/>
        </w:rPr>
        <w:t>servicios a</w:t>
      </w:r>
      <w:r>
        <w:rPr>
          <w:rFonts w:cs="Times New Roman"/>
          <w:spacing w:val="-6"/>
          <w:sz w:val="18"/>
          <w:szCs w:val="18"/>
          <w:lang w:val="es-ES_tradnl"/>
        </w:rPr>
        <w:t>é</w:t>
      </w:r>
      <w:r>
        <w:rPr>
          <w:spacing w:val="-6"/>
          <w:sz w:val="18"/>
          <w:szCs w:val="18"/>
          <w:lang w:val="es-ES_tradnl"/>
        </w:rPr>
        <w:t>reos internacionales llevados a cabo por las </w:t>
      </w:r>
      <w:r>
        <w:rPr>
          <w:spacing w:val="-10"/>
          <w:sz w:val="18"/>
          <w:szCs w:val="18"/>
          <w:lang w:val="es-ES_tradnl"/>
        </w:rPr>
        <w:t>l</w:t>
      </w:r>
      <w:r>
        <w:rPr>
          <w:rFonts w:cs="Times New Roman"/>
          <w:spacing w:val="-10"/>
          <w:sz w:val="18"/>
          <w:szCs w:val="18"/>
          <w:lang w:val="es-ES_tradnl"/>
        </w:rPr>
        <w:t>í</w:t>
      </w:r>
      <w:r>
        <w:rPr>
          <w:spacing w:val="-10"/>
          <w:sz w:val="18"/>
          <w:szCs w:val="18"/>
          <w:lang w:val="es-ES_tradnl"/>
        </w:rPr>
        <w:t>neas a</w:t>
      </w:r>
      <w:r>
        <w:rPr>
          <w:rFonts w:cs="Times New Roman"/>
          <w:spacing w:val="-10"/>
          <w:sz w:val="18"/>
          <w:szCs w:val="18"/>
          <w:lang w:val="es-ES_tradnl"/>
        </w:rPr>
        <w:t>é</w:t>
      </w:r>
      <w:r>
        <w:rPr>
          <w:spacing w:val="-10"/>
          <w:sz w:val="18"/>
          <w:szCs w:val="18"/>
          <w:lang w:val="es-ES_tradnl"/>
        </w:rPr>
        <w:t>reas designadas de la otra Parte Contratante:</w:t>
      </w:r>
    </w:p>
    <w:p w14:paraId="4F67A349" w14:textId="77777777" w:rsidR="00591D54" w:rsidRDefault="00591D54">
      <w:pPr>
        <w:shd w:val="clear" w:color="auto" w:fill="FFFFFF"/>
        <w:tabs>
          <w:tab w:val="left" w:pos="533"/>
        </w:tabs>
        <w:spacing w:before="202" w:line="221" w:lineRule="exact"/>
        <w:ind w:left="283"/>
        <w:jc w:val="both"/>
      </w:pPr>
      <w:r>
        <w:rPr>
          <w:spacing w:val="-9"/>
          <w:sz w:val="18"/>
          <w:szCs w:val="18"/>
          <w:lang w:val="es-ES_tradnl"/>
        </w:rPr>
        <w:t>(a)</w:t>
      </w:r>
      <w:r>
        <w:rPr>
          <w:sz w:val="18"/>
          <w:szCs w:val="18"/>
          <w:lang w:val="es-ES_tradnl"/>
        </w:rPr>
        <w:tab/>
      </w:r>
      <w:r>
        <w:rPr>
          <w:spacing w:val="-7"/>
          <w:sz w:val="18"/>
          <w:szCs w:val="18"/>
          <w:lang w:val="es-ES_tradnl"/>
        </w:rPr>
        <w:t>El derecho de sobrevolar su territorio sin aterrizar a </w:t>
      </w:r>
      <w:r>
        <w:rPr>
          <w:spacing w:val="-11"/>
          <w:sz w:val="18"/>
          <w:szCs w:val="18"/>
          <w:lang w:val="es-ES_tradnl"/>
        </w:rPr>
        <w:t>lo largo de las rutas a</w:t>
      </w:r>
      <w:r>
        <w:rPr>
          <w:rFonts w:cs="Times New Roman"/>
          <w:spacing w:val="-11"/>
          <w:sz w:val="18"/>
          <w:szCs w:val="18"/>
          <w:lang w:val="es-ES_tradnl"/>
        </w:rPr>
        <w:t>é</w:t>
      </w:r>
      <w:r>
        <w:rPr>
          <w:spacing w:val="-11"/>
          <w:sz w:val="18"/>
          <w:szCs w:val="18"/>
          <w:lang w:val="es-ES_tradnl"/>
        </w:rPr>
        <w:t>reas prescritas por las Autoridades </w:t>
      </w:r>
      <w:r>
        <w:rPr>
          <w:sz w:val="18"/>
          <w:szCs w:val="18"/>
          <w:lang w:val="es-ES_tradnl"/>
        </w:rPr>
        <w:t>Aeron</w:t>
      </w:r>
      <w:r>
        <w:rPr>
          <w:rFonts w:cs="Times New Roman"/>
          <w:sz w:val="18"/>
          <w:szCs w:val="18"/>
          <w:lang w:val="es-ES_tradnl"/>
        </w:rPr>
        <w:t>á</w:t>
      </w:r>
      <w:r>
        <w:rPr>
          <w:sz w:val="18"/>
          <w:szCs w:val="18"/>
          <w:lang w:val="es-ES_tradnl"/>
        </w:rPr>
        <w:t>uticas;</w:t>
      </w:r>
    </w:p>
    <w:p w14:paraId="4F67A34A" w14:textId="77777777" w:rsidR="00591D54" w:rsidRDefault="00591D54">
      <w:pPr>
        <w:shd w:val="clear" w:color="auto" w:fill="FFFFFF"/>
        <w:tabs>
          <w:tab w:val="left" w:pos="576"/>
        </w:tabs>
        <w:spacing w:before="202" w:line="221" w:lineRule="exact"/>
        <w:ind w:left="283"/>
        <w:jc w:val="both"/>
      </w:pPr>
      <w:r>
        <w:rPr>
          <w:spacing w:val="-4"/>
          <w:sz w:val="18"/>
          <w:szCs w:val="18"/>
          <w:lang w:val="es-ES_tradnl"/>
        </w:rPr>
        <w:t>(b)</w:t>
      </w:r>
      <w:r>
        <w:rPr>
          <w:sz w:val="18"/>
          <w:szCs w:val="18"/>
          <w:lang w:val="es-ES_tradnl"/>
        </w:rPr>
        <w:tab/>
      </w:r>
      <w:r>
        <w:rPr>
          <w:spacing w:val="-4"/>
          <w:sz w:val="18"/>
          <w:szCs w:val="18"/>
          <w:lang w:val="es-ES_tradnl"/>
        </w:rPr>
        <w:t>El derecho de hacer escalas en su territorio para </w:t>
      </w:r>
      <w:r>
        <w:rPr>
          <w:spacing w:val="-6"/>
          <w:sz w:val="18"/>
          <w:szCs w:val="18"/>
          <w:lang w:val="es-ES_tradnl"/>
        </w:rPr>
        <w:t>fines no comerciales, sujeto a la aprobaci</w:t>
      </w:r>
      <w:r>
        <w:rPr>
          <w:rFonts w:cs="Times New Roman"/>
          <w:spacing w:val="-6"/>
          <w:sz w:val="18"/>
          <w:szCs w:val="18"/>
          <w:lang w:val="es-ES_tradnl"/>
        </w:rPr>
        <w:t>ó</w:t>
      </w:r>
      <w:r>
        <w:rPr>
          <w:spacing w:val="-6"/>
          <w:sz w:val="18"/>
          <w:szCs w:val="18"/>
          <w:lang w:val="es-ES_tradnl"/>
        </w:rPr>
        <w:t>n de sus </w:t>
      </w:r>
      <w:r>
        <w:rPr>
          <w:sz w:val="18"/>
          <w:szCs w:val="18"/>
          <w:lang w:val="es-ES_tradnl"/>
        </w:rPr>
        <w:t>Autoridades Aeron</w:t>
      </w:r>
      <w:r>
        <w:rPr>
          <w:rFonts w:cs="Times New Roman"/>
          <w:sz w:val="18"/>
          <w:szCs w:val="18"/>
          <w:lang w:val="es-ES_tradnl"/>
        </w:rPr>
        <w:t>á</w:t>
      </w:r>
      <w:r>
        <w:rPr>
          <w:sz w:val="18"/>
          <w:szCs w:val="18"/>
          <w:lang w:val="es-ES_tradnl"/>
        </w:rPr>
        <w:t>uticas;</w:t>
      </w:r>
    </w:p>
    <w:p w14:paraId="4F67A34B" w14:textId="77777777" w:rsidR="00591D54" w:rsidRDefault="00591D54" w:rsidP="00251195">
      <w:pPr>
        <w:numPr>
          <w:ilvl w:val="0"/>
          <w:numId w:val="3"/>
        </w:numPr>
        <w:shd w:val="clear" w:color="auto" w:fill="FFFFFF"/>
        <w:tabs>
          <w:tab w:val="left" w:pos="523"/>
        </w:tabs>
        <w:spacing w:before="202" w:line="221" w:lineRule="exact"/>
        <w:ind w:left="283"/>
        <w:jc w:val="both"/>
        <w:rPr>
          <w:spacing w:val="-5"/>
          <w:sz w:val="18"/>
          <w:szCs w:val="18"/>
          <w:lang w:val="es-ES_tradnl"/>
        </w:rPr>
      </w:pPr>
      <w:r>
        <w:rPr>
          <w:spacing w:val="-12"/>
          <w:sz w:val="18"/>
          <w:szCs w:val="18"/>
          <w:lang w:val="es-ES_tradnl"/>
        </w:rPr>
        <w:t xml:space="preserve">El derecho de hacer escalas en los puntos de las rutas especificadas en el Anexo 1 del presente Convenio con el </w:t>
      </w:r>
      <w:r>
        <w:rPr>
          <w:spacing w:val="-11"/>
          <w:sz w:val="18"/>
          <w:szCs w:val="18"/>
          <w:lang w:val="es-ES_tradnl"/>
        </w:rPr>
        <w:t>prop</w:t>
      </w:r>
      <w:r>
        <w:rPr>
          <w:rFonts w:cs="Times New Roman"/>
          <w:spacing w:val="-11"/>
          <w:sz w:val="18"/>
          <w:szCs w:val="18"/>
          <w:lang w:val="es-ES_tradnl"/>
        </w:rPr>
        <w:t>ó</w:t>
      </w:r>
      <w:r>
        <w:rPr>
          <w:spacing w:val="-11"/>
          <w:sz w:val="18"/>
          <w:szCs w:val="18"/>
          <w:lang w:val="es-ES_tradnl"/>
        </w:rPr>
        <w:t xml:space="preserve">sito de embarcar y desembarcar pasajeros y carga, </w:t>
      </w:r>
      <w:r>
        <w:rPr>
          <w:spacing w:val="-7"/>
          <w:sz w:val="18"/>
          <w:szCs w:val="18"/>
          <w:lang w:val="es-ES_tradnl"/>
        </w:rPr>
        <w:t>incluyendo correo, por separado o en combinaci</w:t>
      </w:r>
      <w:r>
        <w:rPr>
          <w:rFonts w:cs="Times New Roman"/>
          <w:spacing w:val="-7"/>
          <w:sz w:val="18"/>
          <w:szCs w:val="18"/>
          <w:lang w:val="es-ES_tradnl"/>
        </w:rPr>
        <w:t>ó</w:t>
      </w:r>
      <w:r>
        <w:rPr>
          <w:spacing w:val="-7"/>
          <w:sz w:val="18"/>
          <w:szCs w:val="18"/>
          <w:lang w:val="es-ES_tradnl"/>
        </w:rPr>
        <w:t>n, de conformidad con lo dispuesto en el Anexo;</w:t>
      </w:r>
    </w:p>
    <w:p w14:paraId="4F67A34C" w14:textId="77777777" w:rsidR="00591D54" w:rsidRDefault="00591D54" w:rsidP="00251195">
      <w:pPr>
        <w:numPr>
          <w:ilvl w:val="0"/>
          <w:numId w:val="3"/>
        </w:numPr>
        <w:shd w:val="clear" w:color="auto" w:fill="FFFFFF"/>
        <w:tabs>
          <w:tab w:val="left" w:pos="523"/>
        </w:tabs>
        <w:spacing w:before="202"/>
        <w:ind w:left="283"/>
        <w:rPr>
          <w:spacing w:val="-4"/>
          <w:sz w:val="18"/>
          <w:szCs w:val="18"/>
          <w:lang w:val="es-ES_tradnl"/>
        </w:rPr>
      </w:pPr>
      <w:r>
        <w:rPr>
          <w:spacing w:val="-9"/>
          <w:sz w:val="18"/>
          <w:szCs w:val="18"/>
          <w:lang w:val="es-ES_tradnl"/>
        </w:rPr>
        <w:t>Otros especificado en este Convenio.</w:t>
      </w:r>
    </w:p>
    <w:p w14:paraId="4F67A34D" w14:textId="77777777" w:rsidR="00591D54" w:rsidRDefault="00591D54">
      <w:pPr>
        <w:shd w:val="clear" w:color="auto" w:fill="FFFFFF"/>
        <w:tabs>
          <w:tab w:val="left" w:pos="331"/>
        </w:tabs>
        <w:spacing w:before="202" w:line="221" w:lineRule="exact"/>
        <w:jc w:val="both"/>
      </w:pPr>
      <w:r>
        <w:rPr>
          <w:spacing w:val="-4"/>
          <w:sz w:val="18"/>
          <w:szCs w:val="18"/>
          <w:lang w:val="es-ES_tradnl"/>
        </w:rPr>
        <w:t>(2)</w:t>
      </w:r>
      <w:r>
        <w:rPr>
          <w:sz w:val="18"/>
          <w:szCs w:val="18"/>
          <w:lang w:val="es-ES_tradnl"/>
        </w:rPr>
        <w:tab/>
      </w:r>
      <w:r>
        <w:rPr>
          <w:spacing w:val="-5"/>
          <w:sz w:val="18"/>
          <w:szCs w:val="18"/>
          <w:lang w:val="es-ES_tradnl"/>
        </w:rPr>
        <w:t>Nada de lo dispuesto en el presente Art</w:t>
      </w:r>
      <w:r>
        <w:rPr>
          <w:rFonts w:cs="Times New Roman"/>
          <w:spacing w:val="-5"/>
          <w:sz w:val="18"/>
          <w:szCs w:val="18"/>
          <w:lang w:val="es-ES_tradnl"/>
        </w:rPr>
        <w:t>í</w:t>
      </w:r>
      <w:r>
        <w:rPr>
          <w:spacing w:val="-5"/>
          <w:sz w:val="18"/>
          <w:szCs w:val="18"/>
          <w:lang w:val="es-ES_tradnl"/>
        </w:rPr>
        <w:t>culo se </w:t>
      </w:r>
      <w:r>
        <w:rPr>
          <w:spacing w:val="-10"/>
          <w:sz w:val="18"/>
          <w:szCs w:val="18"/>
          <w:lang w:val="es-ES_tradnl"/>
        </w:rPr>
        <w:t>considerar</w:t>
      </w:r>
      <w:r>
        <w:rPr>
          <w:rFonts w:cs="Times New Roman"/>
          <w:spacing w:val="-10"/>
          <w:sz w:val="18"/>
          <w:szCs w:val="18"/>
          <w:lang w:val="es-ES_tradnl"/>
        </w:rPr>
        <w:t>á</w:t>
      </w:r>
      <w:r>
        <w:rPr>
          <w:spacing w:val="-10"/>
          <w:sz w:val="18"/>
          <w:szCs w:val="18"/>
          <w:lang w:val="es-ES_tradnl"/>
        </w:rPr>
        <w:t xml:space="preserve"> que confiere a las l</w:t>
      </w:r>
      <w:r>
        <w:rPr>
          <w:rFonts w:cs="Times New Roman"/>
          <w:spacing w:val="-10"/>
          <w:sz w:val="18"/>
          <w:szCs w:val="18"/>
          <w:lang w:val="es-ES_tradnl"/>
        </w:rPr>
        <w:t>í</w:t>
      </w:r>
      <w:r>
        <w:rPr>
          <w:spacing w:val="-10"/>
          <w:sz w:val="18"/>
          <w:szCs w:val="18"/>
          <w:lang w:val="es-ES_tradnl"/>
        </w:rPr>
        <w:t>neas a</w:t>
      </w:r>
      <w:r>
        <w:rPr>
          <w:rFonts w:cs="Times New Roman"/>
          <w:spacing w:val="-10"/>
          <w:sz w:val="18"/>
          <w:szCs w:val="18"/>
          <w:lang w:val="es-ES_tradnl"/>
        </w:rPr>
        <w:t>é</w:t>
      </w:r>
      <w:r>
        <w:rPr>
          <w:spacing w:val="-10"/>
          <w:sz w:val="18"/>
          <w:szCs w:val="18"/>
          <w:lang w:val="es-ES_tradnl"/>
        </w:rPr>
        <w:t>reas designadas de </w:t>
      </w:r>
      <w:r>
        <w:rPr>
          <w:spacing w:val="-9"/>
          <w:sz w:val="18"/>
          <w:szCs w:val="18"/>
          <w:lang w:val="es-ES_tradnl"/>
        </w:rPr>
        <w:t>cada Parte Contratante el derecho de cabotaje.</w:t>
      </w:r>
    </w:p>
    <w:p w14:paraId="4F67A34E" w14:textId="77777777" w:rsidR="00591D54" w:rsidRDefault="00591D54">
      <w:pPr>
        <w:shd w:val="clear" w:color="auto" w:fill="FFFFFF"/>
        <w:spacing w:before="197" w:line="221" w:lineRule="exact"/>
        <w:ind w:left="1094" w:right="979" w:firstLine="509"/>
      </w:pPr>
      <w:r>
        <w:rPr>
          <w:b/>
          <w:bCs/>
          <w:sz w:val="18"/>
          <w:szCs w:val="18"/>
          <w:lang w:val="es-ES_tradnl"/>
        </w:rPr>
        <w:t>ART</w:t>
      </w:r>
      <w:r>
        <w:rPr>
          <w:rFonts w:cs="Times New Roman"/>
          <w:b/>
          <w:bCs/>
          <w:sz w:val="18"/>
          <w:szCs w:val="18"/>
          <w:lang w:val="es-ES_tradnl"/>
        </w:rPr>
        <w:t>Í</w:t>
      </w:r>
      <w:r>
        <w:rPr>
          <w:b/>
          <w:bCs/>
          <w:sz w:val="18"/>
          <w:szCs w:val="18"/>
          <w:lang w:val="es-ES_tradnl"/>
        </w:rPr>
        <w:t xml:space="preserve">CULO 3 </w:t>
      </w:r>
      <w:r>
        <w:rPr>
          <w:b/>
          <w:bCs/>
          <w:spacing w:val="-10"/>
          <w:sz w:val="18"/>
          <w:szCs w:val="18"/>
          <w:lang w:val="es-ES_tradnl"/>
        </w:rPr>
        <w:t>Designaci</w:t>
      </w:r>
      <w:r>
        <w:rPr>
          <w:rFonts w:cs="Times New Roman"/>
          <w:b/>
          <w:bCs/>
          <w:spacing w:val="-10"/>
          <w:sz w:val="18"/>
          <w:szCs w:val="18"/>
          <w:lang w:val="es-ES_tradnl"/>
        </w:rPr>
        <w:t>ó</w:t>
      </w:r>
      <w:r>
        <w:rPr>
          <w:b/>
          <w:bCs/>
          <w:spacing w:val="-10"/>
          <w:sz w:val="18"/>
          <w:szCs w:val="18"/>
          <w:lang w:val="es-ES_tradnl"/>
        </w:rPr>
        <w:t>n y Autorizaci</w:t>
      </w:r>
      <w:r>
        <w:rPr>
          <w:rFonts w:cs="Times New Roman"/>
          <w:b/>
          <w:bCs/>
          <w:spacing w:val="-10"/>
          <w:sz w:val="18"/>
          <w:szCs w:val="18"/>
          <w:lang w:val="es-ES_tradnl"/>
        </w:rPr>
        <w:t>ó</w:t>
      </w:r>
      <w:r>
        <w:rPr>
          <w:b/>
          <w:bCs/>
          <w:spacing w:val="-10"/>
          <w:sz w:val="18"/>
          <w:szCs w:val="18"/>
          <w:lang w:val="es-ES_tradnl"/>
        </w:rPr>
        <w:t>n</w:t>
      </w:r>
    </w:p>
    <w:p w14:paraId="4F67A34F" w14:textId="77777777" w:rsidR="00591D54" w:rsidRDefault="00591D54">
      <w:pPr>
        <w:shd w:val="clear" w:color="auto" w:fill="FFFFFF"/>
        <w:tabs>
          <w:tab w:val="left" w:pos="259"/>
        </w:tabs>
        <w:spacing w:before="202" w:line="221" w:lineRule="exact"/>
        <w:jc w:val="both"/>
      </w:pPr>
      <w:r>
        <w:rPr>
          <w:spacing w:val="-4"/>
          <w:sz w:val="18"/>
          <w:szCs w:val="18"/>
          <w:lang w:val="es-ES_tradnl"/>
        </w:rPr>
        <w:t>(1)</w:t>
      </w:r>
      <w:r>
        <w:rPr>
          <w:sz w:val="18"/>
          <w:szCs w:val="18"/>
          <w:lang w:val="es-ES_tradnl"/>
        </w:rPr>
        <w:tab/>
      </w:r>
      <w:r>
        <w:rPr>
          <w:spacing w:val="-10"/>
          <w:sz w:val="18"/>
          <w:szCs w:val="18"/>
          <w:lang w:val="es-ES_tradnl"/>
        </w:rPr>
        <w:t>Cada Parte Contratante tendr</w:t>
      </w:r>
      <w:r>
        <w:rPr>
          <w:rFonts w:cs="Times New Roman"/>
          <w:spacing w:val="-10"/>
          <w:sz w:val="18"/>
          <w:szCs w:val="18"/>
          <w:lang w:val="es-ES_tradnl"/>
        </w:rPr>
        <w:t>á</w:t>
      </w:r>
      <w:r>
        <w:rPr>
          <w:spacing w:val="-10"/>
          <w:sz w:val="18"/>
          <w:szCs w:val="18"/>
          <w:lang w:val="es-ES_tradnl"/>
        </w:rPr>
        <w:t xml:space="preserve"> derecho a designar a una </w:t>
      </w:r>
      <w:r>
        <w:rPr>
          <w:spacing w:val="-9"/>
          <w:sz w:val="18"/>
          <w:szCs w:val="18"/>
          <w:lang w:val="es-ES_tradnl"/>
        </w:rPr>
        <w:t>o m</w:t>
      </w:r>
      <w:r>
        <w:rPr>
          <w:rFonts w:cs="Times New Roman"/>
          <w:spacing w:val="-9"/>
          <w:sz w:val="18"/>
          <w:szCs w:val="18"/>
          <w:lang w:val="es-ES_tradnl"/>
        </w:rPr>
        <w:t>á</w:t>
      </w:r>
      <w:r>
        <w:rPr>
          <w:spacing w:val="-9"/>
          <w:sz w:val="18"/>
          <w:szCs w:val="18"/>
          <w:lang w:val="es-ES_tradnl"/>
        </w:rPr>
        <w:t>s l</w:t>
      </w:r>
      <w:r>
        <w:rPr>
          <w:rFonts w:cs="Times New Roman"/>
          <w:spacing w:val="-9"/>
          <w:sz w:val="18"/>
          <w:szCs w:val="18"/>
          <w:lang w:val="es-ES_tradnl"/>
        </w:rPr>
        <w:t>í</w:t>
      </w:r>
      <w:r>
        <w:rPr>
          <w:spacing w:val="-9"/>
          <w:sz w:val="18"/>
          <w:szCs w:val="18"/>
          <w:lang w:val="es-ES_tradnl"/>
        </w:rPr>
        <w:t>neas a</w:t>
      </w:r>
      <w:r>
        <w:rPr>
          <w:rFonts w:cs="Times New Roman"/>
          <w:spacing w:val="-9"/>
          <w:sz w:val="18"/>
          <w:szCs w:val="18"/>
          <w:lang w:val="es-ES_tradnl"/>
        </w:rPr>
        <w:t>é</w:t>
      </w:r>
      <w:r>
        <w:rPr>
          <w:spacing w:val="-9"/>
          <w:sz w:val="18"/>
          <w:szCs w:val="18"/>
          <w:lang w:val="es-ES_tradnl"/>
        </w:rPr>
        <w:t>reas con el prop</w:t>
      </w:r>
      <w:r>
        <w:rPr>
          <w:rFonts w:cs="Times New Roman"/>
          <w:spacing w:val="-9"/>
          <w:sz w:val="18"/>
          <w:szCs w:val="18"/>
          <w:lang w:val="es-ES_tradnl"/>
        </w:rPr>
        <w:t>ó</w:t>
      </w:r>
      <w:r>
        <w:rPr>
          <w:spacing w:val="-9"/>
          <w:sz w:val="18"/>
          <w:szCs w:val="18"/>
          <w:lang w:val="es-ES_tradnl"/>
        </w:rPr>
        <w:t>sito de operar los servicios </w:t>
      </w:r>
      <w:r>
        <w:rPr>
          <w:spacing w:val="-6"/>
          <w:sz w:val="18"/>
          <w:szCs w:val="18"/>
          <w:lang w:val="es-ES_tradnl"/>
        </w:rPr>
        <w:t>acordados en cada ruta especificada y para eliminar o </w:t>
      </w:r>
      <w:r>
        <w:rPr>
          <w:spacing w:val="-8"/>
          <w:sz w:val="18"/>
          <w:szCs w:val="18"/>
          <w:lang w:val="es-ES_tradnl"/>
        </w:rPr>
        <w:t>modificar dichas designaciones. Estas designaciones se </w:t>
      </w:r>
      <w:r>
        <w:rPr>
          <w:spacing w:val="-7"/>
          <w:sz w:val="18"/>
          <w:szCs w:val="18"/>
          <w:lang w:val="es-ES_tradnl"/>
        </w:rPr>
        <w:t>transmitir</w:t>
      </w:r>
      <w:r>
        <w:rPr>
          <w:rFonts w:cs="Times New Roman"/>
          <w:spacing w:val="-7"/>
          <w:sz w:val="18"/>
          <w:szCs w:val="18"/>
          <w:lang w:val="es-ES_tradnl"/>
        </w:rPr>
        <w:t>á</w:t>
      </w:r>
      <w:r>
        <w:rPr>
          <w:spacing w:val="-7"/>
          <w:sz w:val="18"/>
          <w:szCs w:val="18"/>
          <w:lang w:val="es-ES_tradnl"/>
        </w:rPr>
        <w:t>n por escrito a la otra Parte Contratante.</w:t>
      </w:r>
    </w:p>
    <w:p w14:paraId="4F67A350" w14:textId="77777777" w:rsidR="00591D54" w:rsidRDefault="00591D54">
      <w:pPr>
        <w:shd w:val="clear" w:color="auto" w:fill="FFFFFF"/>
        <w:tabs>
          <w:tab w:val="left" w:pos="322"/>
        </w:tabs>
        <w:spacing w:before="202" w:line="221" w:lineRule="exact"/>
        <w:jc w:val="both"/>
      </w:pPr>
      <w:r>
        <w:rPr>
          <w:spacing w:val="-4"/>
          <w:sz w:val="18"/>
          <w:szCs w:val="18"/>
          <w:lang w:val="es-ES_tradnl"/>
        </w:rPr>
        <w:t>(2)</w:t>
      </w:r>
      <w:r>
        <w:rPr>
          <w:sz w:val="18"/>
          <w:szCs w:val="18"/>
          <w:lang w:val="es-ES_tradnl"/>
        </w:rPr>
        <w:tab/>
      </w:r>
      <w:r>
        <w:rPr>
          <w:spacing w:val="-6"/>
          <w:sz w:val="18"/>
          <w:szCs w:val="18"/>
          <w:lang w:val="es-ES_tradnl"/>
        </w:rPr>
        <w:t>Una vez recibida dicha designaci</w:t>
      </w:r>
      <w:r>
        <w:rPr>
          <w:rFonts w:cs="Times New Roman"/>
          <w:spacing w:val="-6"/>
          <w:sz w:val="18"/>
          <w:szCs w:val="18"/>
          <w:lang w:val="es-ES_tradnl"/>
        </w:rPr>
        <w:t>ó</w:t>
      </w:r>
      <w:r>
        <w:rPr>
          <w:spacing w:val="-6"/>
          <w:sz w:val="18"/>
          <w:szCs w:val="18"/>
          <w:lang w:val="es-ES_tradnl"/>
        </w:rPr>
        <w:t>n as</w:t>
      </w:r>
      <w:r>
        <w:rPr>
          <w:rFonts w:cs="Times New Roman"/>
          <w:spacing w:val="-6"/>
          <w:sz w:val="18"/>
          <w:szCs w:val="18"/>
          <w:lang w:val="es-ES_tradnl"/>
        </w:rPr>
        <w:t>í</w:t>
      </w:r>
      <w:r>
        <w:rPr>
          <w:spacing w:val="-6"/>
          <w:sz w:val="18"/>
          <w:szCs w:val="18"/>
          <w:lang w:val="es-ES_tradnl"/>
        </w:rPr>
        <w:t xml:space="preserve"> como las </w:t>
      </w:r>
      <w:r>
        <w:rPr>
          <w:spacing w:val="-8"/>
          <w:sz w:val="18"/>
          <w:szCs w:val="18"/>
          <w:lang w:val="es-ES_tradnl"/>
        </w:rPr>
        <w:t>aplicaciones de una l</w:t>
      </w:r>
      <w:r>
        <w:rPr>
          <w:rFonts w:cs="Times New Roman"/>
          <w:spacing w:val="-8"/>
          <w:sz w:val="18"/>
          <w:szCs w:val="18"/>
          <w:lang w:val="es-ES_tradnl"/>
        </w:rPr>
        <w:t>í</w:t>
      </w:r>
      <w:r>
        <w:rPr>
          <w:spacing w:val="-8"/>
          <w:sz w:val="18"/>
          <w:szCs w:val="18"/>
          <w:lang w:val="es-ES_tradnl"/>
        </w:rPr>
        <w:t>nea a</w:t>
      </w:r>
      <w:r>
        <w:rPr>
          <w:rFonts w:cs="Times New Roman"/>
          <w:spacing w:val="-8"/>
          <w:sz w:val="18"/>
          <w:szCs w:val="18"/>
          <w:lang w:val="es-ES_tradnl"/>
        </w:rPr>
        <w:t>é</w:t>
      </w:r>
      <w:r>
        <w:rPr>
          <w:spacing w:val="-8"/>
          <w:sz w:val="18"/>
          <w:szCs w:val="18"/>
          <w:lang w:val="es-ES_tradnl"/>
        </w:rPr>
        <w:t>rea designada, en la forma y </w:t>
      </w:r>
      <w:r>
        <w:rPr>
          <w:spacing w:val="-7"/>
          <w:sz w:val="18"/>
          <w:szCs w:val="18"/>
          <w:lang w:val="es-ES_tradnl"/>
        </w:rPr>
        <w:t>manera prescrita para las autorizaciones de operaci</w:t>
      </w:r>
      <w:r>
        <w:rPr>
          <w:rFonts w:cs="Times New Roman"/>
          <w:spacing w:val="-7"/>
          <w:sz w:val="18"/>
          <w:szCs w:val="18"/>
          <w:lang w:val="es-ES_tradnl"/>
        </w:rPr>
        <w:t>ó</w:t>
      </w:r>
      <w:r>
        <w:rPr>
          <w:spacing w:val="-7"/>
          <w:sz w:val="18"/>
          <w:szCs w:val="18"/>
          <w:lang w:val="es-ES_tradnl"/>
        </w:rPr>
        <w:t>n y </w:t>
      </w:r>
      <w:r>
        <w:rPr>
          <w:spacing w:val="-9"/>
          <w:sz w:val="18"/>
          <w:szCs w:val="18"/>
          <w:lang w:val="es-ES_tradnl"/>
        </w:rPr>
        <w:t>permisos t</w:t>
      </w:r>
      <w:r>
        <w:rPr>
          <w:rFonts w:cs="Times New Roman"/>
          <w:spacing w:val="-9"/>
          <w:sz w:val="18"/>
          <w:szCs w:val="18"/>
          <w:lang w:val="es-ES_tradnl"/>
        </w:rPr>
        <w:t>é</w:t>
      </w:r>
      <w:r>
        <w:rPr>
          <w:spacing w:val="-9"/>
          <w:sz w:val="18"/>
          <w:szCs w:val="18"/>
          <w:lang w:val="es-ES_tradnl"/>
        </w:rPr>
        <w:t>cnicos, la Autoridad Aeron</w:t>
      </w:r>
      <w:r>
        <w:rPr>
          <w:rFonts w:cs="Times New Roman"/>
          <w:spacing w:val="-9"/>
          <w:sz w:val="18"/>
          <w:szCs w:val="18"/>
          <w:lang w:val="es-ES_tradnl"/>
        </w:rPr>
        <w:t>á</w:t>
      </w:r>
      <w:r>
        <w:rPr>
          <w:spacing w:val="-9"/>
          <w:sz w:val="18"/>
          <w:szCs w:val="18"/>
          <w:lang w:val="es-ES_tradnl"/>
        </w:rPr>
        <w:t>utica de la otra Parte Contratante conceder</w:t>
      </w:r>
      <w:r>
        <w:rPr>
          <w:rFonts w:cs="Times New Roman"/>
          <w:spacing w:val="-9"/>
          <w:sz w:val="18"/>
          <w:szCs w:val="18"/>
          <w:lang w:val="es-ES_tradnl"/>
        </w:rPr>
        <w:t>á</w:t>
      </w:r>
      <w:r>
        <w:rPr>
          <w:spacing w:val="-9"/>
          <w:sz w:val="18"/>
          <w:szCs w:val="18"/>
          <w:lang w:val="es-ES_tradnl"/>
        </w:rPr>
        <w:t xml:space="preserve"> las correspondientes autorizaciones </w:t>
      </w:r>
      <w:r>
        <w:rPr>
          <w:spacing w:val="-7"/>
          <w:sz w:val="18"/>
          <w:szCs w:val="18"/>
          <w:lang w:val="es-ES_tradnl"/>
        </w:rPr>
        <w:t>de operaci</w:t>
      </w:r>
      <w:r>
        <w:rPr>
          <w:rFonts w:cs="Times New Roman"/>
          <w:spacing w:val="-7"/>
          <w:sz w:val="18"/>
          <w:szCs w:val="18"/>
          <w:lang w:val="es-ES_tradnl"/>
        </w:rPr>
        <w:t>ó</w:t>
      </w:r>
      <w:r>
        <w:rPr>
          <w:spacing w:val="-7"/>
          <w:sz w:val="18"/>
          <w:szCs w:val="18"/>
          <w:lang w:val="es-ES_tradnl"/>
        </w:rPr>
        <w:t>n y permisos t</w:t>
      </w:r>
      <w:r>
        <w:rPr>
          <w:rFonts w:cs="Times New Roman"/>
          <w:spacing w:val="-7"/>
          <w:sz w:val="18"/>
          <w:szCs w:val="18"/>
          <w:lang w:val="es-ES_tradnl"/>
        </w:rPr>
        <w:t>é</w:t>
      </w:r>
      <w:r>
        <w:rPr>
          <w:spacing w:val="-7"/>
          <w:sz w:val="18"/>
          <w:szCs w:val="18"/>
          <w:lang w:val="es-ES_tradnl"/>
        </w:rPr>
        <w:t>cnicos, con la m</w:t>
      </w:r>
      <w:r>
        <w:rPr>
          <w:rFonts w:cs="Times New Roman"/>
          <w:spacing w:val="-7"/>
          <w:sz w:val="18"/>
          <w:szCs w:val="18"/>
          <w:lang w:val="es-ES_tradnl"/>
        </w:rPr>
        <w:t>í</w:t>
      </w:r>
      <w:r>
        <w:rPr>
          <w:spacing w:val="-7"/>
          <w:sz w:val="18"/>
          <w:szCs w:val="18"/>
          <w:lang w:val="es-ES_tradnl"/>
        </w:rPr>
        <w:t>nima demora </w:t>
      </w:r>
      <w:r>
        <w:rPr>
          <w:sz w:val="18"/>
          <w:szCs w:val="18"/>
          <w:lang w:val="es-ES_tradnl"/>
        </w:rPr>
        <w:t>administrativa, siempre que:</w:t>
      </w:r>
    </w:p>
    <w:p w14:paraId="4F67A351" w14:textId="77777777" w:rsidR="00591D54" w:rsidRDefault="00591D54">
      <w:pPr>
        <w:shd w:val="clear" w:color="auto" w:fill="FFFFFF"/>
        <w:spacing w:before="202" w:line="221" w:lineRule="exact"/>
        <w:ind w:left="283"/>
        <w:jc w:val="both"/>
      </w:pPr>
      <w:r>
        <w:rPr>
          <w:spacing w:val="-9"/>
          <w:sz w:val="18"/>
          <w:szCs w:val="18"/>
          <w:lang w:val="es-ES_tradnl"/>
        </w:rPr>
        <w:t>(a) En el caso de una l</w:t>
      </w:r>
      <w:r>
        <w:rPr>
          <w:rFonts w:cs="Times New Roman"/>
          <w:spacing w:val="-9"/>
          <w:sz w:val="18"/>
          <w:szCs w:val="18"/>
          <w:lang w:val="es-ES_tradnl"/>
        </w:rPr>
        <w:t>í</w:t>
      </w:r>
      <w:r>
        <w:rPr>
          <w:spacing w:val="-9"/>
          <w:sz w:val="18"/>
          <w:szCs w:val="18"/>
          <w:lang w:val="es-ES_tradnl"/>
        </w:rPr>
        <w:t>nea a</w:t>
      </w:r>
      <w:r>
        <w:rPr>
          <w:rFonts w:cs="Times New Roman"/>
          <w:spacing w:val="-9"/>
          <w:sz w:val="18"/>
          <w:szCs w:val="18"/>
          <w:lang w:val="es-ES_tradnl"/>
        </w:rPr>
        <w:t>é</w:t>
      </w:r>
      <w:r>
        <w:rPr>
          <w:spacing w:val="-9"/>
          <w:sz w:val="18"/>
          <w:szCs w:val="18"/>
          <w:lang w:val="es-ES_tradnl"/>
        </w:rPr>
        <w:t xml:space="preserve">rea designada por China, </w:t>
      </w:r>
      <w:r>
        <w:rPr>
          <w:spacing w:val="-3"/>
          <w:sz w:val="18"/>
          <w:szCs w:val="18"/>
          <w:lang w:val="es-ES_tradnl"/>
        </w:rPr>
        <w:t>la propiedad sustancial y control efectivo de la l</w:t>
      </w:r>
      <w:r>
        <w:rPr>
          <w:rFonts w:cs="Times New Roman"/>
          <w:spacing w:val="-3"/>
          <w:sz w:val="18"/>
          <w:szCs w:val="18"/>
          <w:lang w:val="es-ES_tradnl"/>
        </w:rPr>
        <w:t>í</w:t>
      </w:r>
      <w:r>
        <w:rPr>
          <w:spacing w:val="-3"/>
          <w:sz w:val="18"/>
          <w:szCs w:val="18"/>
          <w:lang w:val="es-ES_tradnl"/>
        </w:rPr>
        <w:t>nea</w:t>
      </w:r>
    </w:p>
    <w:p w14:paraId="4F67A352" w14:textId="77777777" w:rsidR="00591D54" w:rsidRDefault="00591D54">
      <w:pPr>
        <w:shd w:val="clear" w:color="auto" w:fill="FFFFFF"/>
        <w:spacing w:before="202" w:line="221" w:lineRule="exact"/>
        <w:ind w:left="283"/>
        <w:jc w:val="both"/>
        <w:sectPr w:rsidR="00591D54">
          <w:type w:val="continuous"/>
          <w:pgSz w:w="11909" w:h="16834"/>
          <w:pgMar w:top="1359" w:right="1309" w:bottom="360" w:left="1308" w:header="720" w:footer="720" w:gutter="0"/>
          <w:cols w:num="2" w:space="720" w:equalWidth="0">
            <w:col w:w="4305" w:space="682"/>
            <w:col w:w="4305"/>
          </w:cols>
          <w:noEndnote/>
        </w:sectPr>
      </w:pPr>
    </w:p>
    <w:p w14:paraId="4F67A353" w14:textId="77777777" w:rsidR="00591D54" w:rsidRDefault="00591D54">
      <w:pPr>
        <w:shd w:val="clear" w:color="auto" w:fill="FFFFFF"/>
        <w:tabs>
          <w:tab w:val="left" w:pos="6062"/>
        </w:tabs>
        <w:spacing w:after="235"/>
        <w:ind w:left="14"/>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- 5</w:t>
      </w:r>
    </w:p>
    <w:p w14:paraId="4F67A354" w14:textId="77777777" w:rsidR="00591D54" w:rsidRDefault="00591D54">
      <w:pPr>
        <w:shd w:val="clear" w:color="auto" w:fill="FFFFFF"/>
        <w:tabs>
          <w:tab w:val="left" w:pos="6062"/>
        </w:tabs>
        <w:spacing w:after="235"/>
        <w:ind w:left="14"/>
        <w:sectPr w:rsidR="00591D54">
          <w:pgSz w:w="11909" w:h="16834"/>
          <w:pgMar w:top="1368" w:right="1309" w:bottom="360" w:left="1308" w:header="720" w:footer="720" w:gutter="0"/>
          <w:cols w:space="60"/>
          <w:noEndnote/>
        </w:sectPr>
      </w:pPr>
    </w:p>
    <w:p w14:paraId="4F67A355" w14:textId="77777777" w:rsidR="00591D54" w:rsidRDefault="00591D54">
      <w:pPr>
        <w:shd w:val="clear" w:color="auto" w:fill="FFFFFF"/>
        <w:spacing w:line="216" w:lineRule="exact"/>
        <w:ind w:left="283" w:right="5"/>
        <w:jc w:val="both"/>
      </w:pPr>
      <w:r>
        <w:rPr>
          <w:spacing w:val="-10"/>
          <w:sz w:val="18"/>
          <w:szCs w:val="18"/>
          <w:lang w:val="es-ES_tradnl"/>
        </w:rPr>
        <w:t>a</w:t>
      </w:r>
      <w:r>
        <w:rPr>
          <w:rFonts w:cs="Times New Roman"/>
          <w:spacing w:val="-10"/>
          <w:sz w:val="18"/>
          <w:szCs w:val="18"/>
          <w:lang w:val="es-ES_tradnl"/>
        </w:rPr>
        <w:t>é</w:t>
      </w:r>
      <w:r>
        <w:rPr>
          <w:spacing w:val="-10"/>
          <w:sz w:val="18"/>
          <w:szCs w:val="18"/>
          <w:lang w:val="es-ES_tradnl"/>
        </w:rPr>
        <w:t>rea est</w:t>
      </w:r>
      <w:r>
        <w:rPr>
          <w:rFonts w:cs="Times New Roman"/>
          <w:spacing w:val="-10"/>
          <w:sz w:val="18"/>
          <w:szCs w:val="18"/>
          <w:lang w:val="es-ES_tradnl"/>
        </w:rPr>
        <w:t>é</w:t>
      </w:r>
      <w:r>
        <w:rPr>
          <w:spacing w:val="-10"/>
          <w:sz w:val="18"/>
          <w:szCs w:val="18"/>
          <w:lang w:val="es-ES_tradnl"/>
        </w:rPr>
        <w:t xml:space="preserve">n en manos de China o de sus ciudadanos y </w:t>
      </w:r>
      <w:r>
        <w:rPr>
          <w:spacing w:val="-7"/>
          <w:sz w:val="18"/>
          <w:szCs w:val="18"/>
          <w:lang w:val="es-ES_tradnl"/>
        </w:rPr>
        <w:t>con su direcci</w:t>
      </w:r>
      <w:r>
        <w:rPr>
          <w:rFonts w:cs="Times New Roman"/>
          <w:spacing w:val="-7"/>
          <w:sz w:val="18"/>
          <w:szCs w:val="18"/>
          <w:lang w:val="es-ES_tradnl"/>
        </w:rPr>
        <w:t>ó</w:t>
      </w:r>
      <w:r>
        <w:rPr>
          <w:spacing w:val="-7"/>
          <w:sz w:val="18"/>
          <w:szCs w:val="18"/>
          <w:lang w:val="es-ES_tradnl"/>
        </w:rPr>
        <w:t xml:space="preserve">n de residencia en China; en el caso de </w:t>
      </w:r>
      <w:r>
        <w:rPr>
          <w:spacing w:val="-9"/>
          <w:sz w:val="18"/>
          <w:szCs w:val="18"/>
          <w:lang w:val="es-ES_tradnl"/>
        </w:rPr>
        <w:t>una l</w:t>
      </w:r>
      <w:r>
        <w:rPr>
          <w:rFonts w:cs="Times New Roman"/>
          <w:spacing w:val="-9"/>
          <w:sz w:val="18"/>
          <w:szCs w:val="18"/>
          <w:lang w:val="es-ES_tradnl"/>
        </w:rPr>
        <w:t>í</w:t>
      </w:r>
      <w:r>
        <w:rPr>
          <w:spacing w:val="-9"/>
          <w:sz w:val="18"/>
          <w:szCs w:val="18"/>
          <w:lang w:val="es-ES_tradnl"/>
        </w:rPr>
        <w:t>nea a</w:t>
      </w:r>
      <w:r>
        <w:rPr>
          <w:rFonts w:cs="Times New Roman"/>
          <w:spacing w:val="-9"/>
          <w:sz w:val="18"/>
          <w:szCs w:val="18"/>
          <w:lang w:val="es-ES_tradnl"/>
        </w:rPr>
        <w:t>é</w:t>
      </w:r>
      <w:r>
        <w:rPr>
          <w:spacing w:val="-9"/>
          <w:sz w:val="18"/>
          <w:szCs w:val="18"/>
          <w:lang w:val="es-ES_tradnl"/>
        </w:rPr>
        <w:t xml:space="preserve">rea designada por el Ecuador, la propiedad </w:t>
      </w:r>
      <w:r>
        <w:rPr>
          <w:spacing w:val="-8"/>
          <w:sz w:val="18"/>
          <w:szCs w:val="18"/>
          <w:lang w:val="es-ES_tradnl"/>
        </w:rPr>
        <w:t>sustancial y control efectivo de la l</w:t>
      </w:r>
      <w:r>
        <w:rPr>
          <w:rFonts w:cs="Times New Roman"/>
          <w:spacing w:val="-8"/>
          <w:sz w:val="18"/>
          <w:szCs w:val="18"/>
          <w:lang w:val="es-ES_tradnl"/>
        </w:rPr>
        <w:t>í</w:t>
      </w:r>
      <w:r>
        <w:rPr>
          <w:spacing w:val="-8"/>
          <w:sz w:val="18"/>
          <w:szCs w:val="18"/>
          <w:lang w:val="es-ES_tradnl"/>
        </w:rPr>
        <w:t>nea a</w:t>
      </w:r>
      <w:r>
        <w:rPr>
          <w:rFonts w:cs="Times New Roman"/>
          <w:spacing w:val="-8"/>
          <w:sz w:val="18"/>
          <w:szCs w:val="18"/>
          <w:lang w:val="es-ES_tradnl"/>
        </w:rPr>
        <w:t>é</w:t>
      </w:r>
      <w:r>
        <w:rPr>
          <w:spacing w:val="-8"/>
          <w:sz w:val="18"/>
          <w:szCs w:val="18"/>
          <w:lang w:val="es-ES_tradnl"/>
        </w:rPr>
        <w:t>rea est</w:t>
      </w:r>
      <w:r>
        <w:rPr>
          <w:rFonts w:cs="Times New Roman"/>
          <w:spacing w:val="-8"/>
          <w:sz w:val="18"/>
          <w:szCs w:val="18"/>
          <w:lang w:val="es-ES_tradnl"/>
        </w:rPr>
        <w:t>é</w:t>
      </w:r>
      <w:r>
        <w:rPr>
          <w:spacing w:val="-8"/>
          <w:sz w:val="18"/>
          <w:szCs w:val="18"/>
          <w:lang w:val="es-ES_tradnl"/>
        </w:rPr>
        <w:t xml:space="preserve">n en </w:t>
      </w:r>
      <w:r>
        <w:rPr>
          <w:spacing w:val="-10"/>
          <w:sz w:val="18"/>
          <w:szCs w:val="18"/>
          <w:lang w:val="es-ES_tradnl"/>
        </w:rPr>
        <w:t xml:space="preserve">manos de Ecuador, o sus nacionales, o en un Estado de </w:t>
      </w:r>
      <w:r>
        <w:rPr>
          <w:spacing w:val="-8"/>
          <w:sz w:val="18"/>
          <w:szCs w:val="18"/>
          <w:lang w:val="es-ES_tradnl"/>
        </w:rPr>
        <w:t>Am</w:t>
      </w:r>
      <w:r>
        <w:rPr>
          <w:rFonts w:cs="Times New Roman"/>
          <w:spacing w:val="-8"/>
          <w:sz w:val="18"/>
          <w:szCs w:val="18"/>
          <w:lang w:val="es-ES_tradnl"/>
        </w:rPr>
        <w:t>é</w:t>
      </w:r>
      <w:r>
        <w:rPr>
          <w:spacing w:val="-8"/>
          <w:sz w:val="18"/>
          <w:szCs w:val="18"/>
          <w:lang w:val="es-ES_tradnl"/>
        </w:rPr>
        <w:t>rica Latina o sus nacionales, y con su direcci</w:t>
      </w:r>
      <w:r>
        <w:rPr>
          <w:rFonts w:cs="Times New Roman"/>
          <w:spacing w:val="-8"/>
          <w:sz w:val="18"/>
          <w:szCs w:val="18"/>
          <w:lang w:val="es-ES_tradnl"/>
        </w:rPr>
        <w:t>ó</w:t>
      </w:r>
      <w:r>
        <w:rPr>
          <w:spacing w:val="-8"/>
          <w:sz w:val="18"/>
          <w:szCs w:val="18"/>
          <w:lang w:val="es-ES_tradnl"/>
        </w:rPr>
        <w:t xml:space="preserve">n de residencia en el Ecuador, siempre que dicho Estado de </w:t>
      </w:r>
      <w:r>
        <w:rPr>
          <w:spacing w:val="-9"/>
          <w:sz w:val="18"/>
          <w:szCs w:val="18"/>
          <w:lang w:val="es-ES_tradnl"/>
        </w:rPr>
        <w:t>Am</w:t>
      </w:r>
      <w:r>
        <w:rPr>
          <w:rFonts w:cs="Times New Roman"/>
          <w:spacing w:val="-9"/>
          <w:sz w:val="18"/>
          <w:szCs w:val="18"/>
          <w:lang w:val="es-ES_tradnl"/>
        </w:rPr>
        <w:t>é</w:t>
      </w:r>
      <w:r>
        <w:rPr>
          <w:spacing w:val="-9"/>
          <w:sz w:val="18"/>
          <w:szCs w:val="18"/>
          <w:lang w:val="es-ES_tradnl"/>
        </w:rPr>
        <w:t>rica Latina tenga un Convenio de Servicios A</w:t>
      </w:r>
      <w:r>
        <w:rPr>
          <w:rFonts w:cs="Times New Roman"/>
          <w:spacing w:val="-9"/>
          <w:sz w:val="18"/>
          <w:szCs w:val="18"/>
          <w:lang w:val="es-ES_tradnl"/>
        </w:rPr>
        <w:t>é</w:t>
      </w:r>
      <w:r>
        <w:rPr>
          <w:spacing w:val="-9"/>
          <w:sz w:val="18"/>
          <w:szCs w:val="18"/>
          <w:lang w:val="es-ES_tradnl"/>
        </w:rPr>
        <w:t xml:space="preserve">reos </w:t>
      </w:r>
      <w:r>
        <w:rPr>
          <w:sz w:val="18"/>
          <w:szCs w:val="18"/>
          <w:lang w:val="es-ES_tradnl"/>
        </w:rPr>
        <w:t>con China;</w:t>
      </w:r>
    </w:p>
    <w:p w14:paraId="4F67A356" w14:textId="77777777" w:rsidR="00591D54" w:rsidRDefault="00591D54" w:rsidP="00251195">
      <w:pPr>
        <w:numPr>
          <w:ilvl w:val="0"/>
          <w:numId w:val="4"/>
        </w:numPr>
        <w:shd w:val="clear" w:color="auto" w:fill="FFFFFF"/>
        <w:tabs>
          <w:tab w:val="left" w:pos="557"/>
        </w:tabs>
        <w:spacing w:before="197" w:line="216" w:lineRule="exact"/>
        <w:ind w:left="283"/>
        <w:jc w:val="both"/>
        <w:rPr>
          <w:spacing w:val="-6"/>
          <w:sz w:val="18"/>
          <w:szCs w:val="18"/>
          <w:lang w:val="es-ES_tradnl"/>
        </w:rPr>
      </w:pPr>
      <w:r>
        <w:rPr>
          <w:spacing w:val="-8"/>
          <w:sz w:val="18"/>
          <w:szCs w:val="18"/>
          <w:lang w:val="es-ES_tradnl"/>
        </w:rPr>
        <w:t>La l</w:t>
      </w:r>
      <w:r>
        <w:rPr>
          <w:rFonts w:cs="Times New Roman"/>
          <w:spacing w:val="-8"/>
          <w:sz w:val="18"/>
          <w:szCs w:val="18"/>
          <w:lang w:val="es-ES_tradnl"/>
        </w:rPr>
        <w:t>í</w:t>
      </w:r>
      <w:r>
        <w:rPr>
          <w:spacing w:val="-8"/>
          <w:sz w:val="18"/>
          <w:szCs w:val="18"/>
          <w:lang w:val="es-ES_tradnl"/>
        </w:rPr>
        <w:t>nea a</w:t>
      </w:r>
      <w:r>
        <w:rPr>
          <w:rFonts w:cs="Times New Roman"/>
          <w:spacing w:val="-8"/>
          <w:sz w:val="18"/>
          <w:szCs w:val="18"/>
          <w:lang w:val="es-ES_tradnl"/>
        </w:rPr>
        <w:t>é</w:t>
      </w:r>
      <w:r>
        <w:rPr>
          <w:spacing w:val="-8"/>
          <w:sz w:val="18"/>
          <w:szCs w:val="18"/>
          <w:lang w:val="es-ES_tradnl"/>
        </w:rPr>
        <w:t xml:space="preserve">rea puede convencer a las autoridades </w:t>
      </w:r>
      <w:r>
        <w:rPr>
          <w:spacing w:val="-6"/>
          <w:sz w:val="18"/>
          <w:szCs w:val="18"/>
          <w:lang w:val="es-ES_tradnl"/>
        </w:rPr>
        <w:t>que est</w:t>
      </w:r>
      <w:r>
        <w:rPr>
          <w:rFonts w:cs="Times New Roman"/>
          <w:spacing w:val="-6"/>
          <w:sz w:val="18"/>
          <w:szCs w:val="18"/>
          <w:lang w:val="es-ES_tradnl"/>
        </w:rPr>
        <w:t>á</w:t>
      </w:r>
      <w:r>
        <w:rPr>
          <w:spacing w:val="-6"/>
          <w:sz w:val="18"/>
          <w:szCs w:val="18"/>
          <w:lang w:val="es-ES_tradnl"/>
        </w:rPr>
        <w:t xml:space="preserve"> calificada para cumplir con las condiciones </w:t>
      </w:r>
      <w:r>
        <w:rPr>
          <w:spacing w:val="-8"/>
          <w:sz w:val="18"/>
          <w:szCs w:val="18"/>
          <w:lang w:val="es-ES_tradnl"/>
        </w:rPr>
        <w:t>prescritas en las leyes y regulaciones aplicadas normal y razonablemente a la operaci</w:t>
      </w:r>
      <w:r>
        <w:rPr>
          <w:rFonts w:cs="Times New Roman"/>
          <w:spacing w:val="-8"/>
          <w:sz w:val="18"/>
          <w:szCs w:val="18"/>
          <w:lang w:val="es-ES_tradnl"/>
        </w:rPr>
        <w:t>ó</w:t>
      </w:r>
      <w:r>
        <w:rPr>
          <w:spacing w:val="-8"/>
          <w:sz w:val="18"/>
          <w:szCs w:val="18"/>
          <w:lang w:val="es-ES_tradnl"/>
        </w:rPr>
        <w:t>n de servicios a</w:t>
      </w:r>
      <w:r>
        <w:rPr>
          <w:rFonts w:cs="Times New Roman"/>
          <w:spacing w:val="-8"/>
          <w:sz w:val="18"/>
          <w:szCs w:val="18"/>
          <w:lang w:val="es-ES_tradnl"/>
        </w:rPr>
        <w:t>é</w:t>
      </w:r>
      <w:r>
        <w:rPr>
          <w:spacing w:val="-8"/>
          <w:sz w:val="18"/>
          <w:szCs w:val="18"/>
          <w:lang w:val="es-ES_tradnl"/>
        </w:rPr>
        <w:t xml:space="preserve">reos internacionales por dichas autoridades, de conformidad </w:t>
      </w:r>
      <w:r>
        <w:rPr>
          <w:sz w:val="18"/>
          <w:szCs w:val="18"/>
          <w:lang w:val="es-ES_tradnl"/>
        </w:rPr>
        <w:t>con la Convenci</w:t>
      </w:r>
      <w:r>
        <w:rPr>
          <w:rFonts w:cs="Times New Roman"/>
          <w:sz w:val="18"/>
          <w:szCs w:val="18"/>
          <w:lang w:val="es-ES_tradnl"/>
        </w:rPr>
        <w:t>ó</w:t>
      </w:r>
      <w:r>
        <w:rPr>
          <w:sz w:val="18"/>
          <w:szCs w:val="18"/>
          <w:lang w:val="es-ES_tradnl"/>
        </w:rPr>
        <w:t>n; y</w:t>
      </w:r>
    </w:p>
    <w:p w14:paraId="4F67A357" w14:textId="77777777" w:rsidR="00591D54" w:rsidRDefault="00591D54" w:rsidP="00251195">
      <w:pPr>
        <w:numPr>
          <w:ilvl w:val="0"/>
          <w:numId w:val="4"/>
        </w:numPr>
        <w:shd w:val="clear" w:color="auto" w:fill="FFFFFF"/>
        <w:tabs>
          <w:tab w:val="left" w:pos="557"/>
        </w:tabs>
        <w:spacing w:before="192" w:line="216" w:lineRule="exact"/>
        <w:ind w:left="283" w:right="5"/>
        <w:jc w:val="both"/>
        <w:rPr>
          <w:spacing w:val="-5"/>
          <w:sz w:val="18"/>
          <w:szCs w:val="18"/>
          <w:lang w:val="es-ES_tradnl"/>
        </w:rPr>
      </w:pPr>
      <w:r>
        <w:rPr>
          <w:spacing w:val="-8"/>
          <w:sz w:val="18"/>
          <w:szCs w:val="18"/>
          <w:lang w:val="es-ES_tradnl"/>
        </w:rPr>
        <w:t>La Parte Contratante que designa a la l</w:t>
      </w:r>
      <w:r>
        <w:rPr>
          <w:rFonts w:cs="Times New Roman"/>
          <w:spacing w:val="-8"/>
          <w:sz w:val="18"/>
          <w:szCs w:val="18"/>
          <w:lang w:val="es-ES_tradnl"/>
        </w:rPr>
        <w:t>í</w:t>
      </w:r>
      <w:r>
        <w:rPr>
          <w:spacing w:val="-8"/>
          <w:sz w:val="18"/>
          <w:szCs w:val="18"/>
          <w:lang w:val="es-ES_tradnl"/>
        </w:rPr>
        <w:t>nea a</w:t>
      </w:r>
      <w:r>
        <w:rPr>
          <w:rFonts w:cs="Times New Roman"/>
          <w:spacing w:val="-8"/>
          <w:sz w:val="18"/>
          <w:szCs w:val="18"/>
          <w:lang w:val="es-ES_tradnl"/>
        </w:rPr>
        <w:t>é</w:t>
      </w:r>
      <w:r>
        <w:rPr>
          <w:spacing w:val="-8"/>
          <w:sz w:val="18"/>
          <w:szCs w:val="18"/>
          <w:lang w:val="es-ES_tradnl"/>
        </w:rPr>
        <w:t xml:space="preserve">rea </w:t>
      </w:r>
      <w:r>
        <w:rPr>
          <w:spacing w:val="-4"/>
          <w:sz w:val="18"/>
          <w:szCs w:val="18"/>
          <w:lang w:val="es-ES_tradnl"/>
        </w:rPr>
        <w:t>cumpla con el Art</w:t>
      </w:r>
      <w:r>
        <w:rPr>
          <w:rFonts w:cs="Times New Roman"/>
          <w:spacing w:val="-4"/>
          <w:sz w:val="18"/>
          <w:szCs w:val="18"/>
          <w:lang w:val="es-ES_tradnl"/>
        </w:rPr>
        <w:t>í</w:t>
      </w:r>
      <w:r>
        <w:rPr>
          <w:spacing w:val="-4"/>
          <w:sz w:val="18"/>
          <w:szCs w:val="18"/>
          <w:lang w:val="es-ES_tradnl"/>
        </w:rPr>
        <w:t xml:space="preserve">culo 8 (Seguridad de Vuelo) y el </w:t>
      </w:r>
      <w:r>
        <w:rPr>
          <w:spacing w:val="-5"/>
          <w:sz w:val="18"/>
          <w:szCs w:val="18"/>
          <w:lang w:val="es-ES_tradnl"/>
        </w:rPr>
        <w:t>Art</w:t>
      </w:r>
      <w:r>
        <w:rPr>
          <w:rFonts w:cs="Times New Roman"/>
          <w:spacing w:val="-5"/>
          <w:sz w:val="18"/>
          <w:szCs w:val="18"/>
          <w:lang w:val="es-ES_tradnl"/>
        </w:rPr>
        <w:t>í</w:t>
      </w:r>
      <w:r>
        <w:rPr>
          <w:spacing w:val="-5"/>
          <w:sz w:val="18"/>
          <w:szCs w:val="18"/>
          <w:lang w:val="es-ES_tradnl"/>
        </w:rPr>
        <w:t>culo 9 (Seguridad de la Aviaci</w:t>
      </w:r>
      <w:r>
        <w:rPr>
          <w:rFonts w:cs="Times New Roman"/>
          <w:spacing w:val="-5"/>
          <w:sz w:val="18"/>
          <w:szCs w:val="18"/>
          <w:lang w:val="es-ES_tradnl"/>
        </w:rPr>
        <w:t>ó</w:t>
      </w:r>
      <w:r>
        <w:rPr>
          <w:spacing w:val="-5"/>
          <w:sz w:val="18"/>
          <w:szCs w:val="18"/>
          <w:lang w:val="es-ES_tradnl"/>
        </w:rPr>
        <w:t xml:space="preserve">n) del presente </w:t>
      </w:r>
      <w:r>
        <w:rPr>
          <w:sz w:val="18"/>
          <w:szCs w:val="18"/>
          <w:lang w:val="es-ES_tradnl"/>
        </w:rPr>
        <w:t>Convenio.</w:t>
      </w:r>
    </w:p>
    <w:p w14:paraId="4F67A358" w14:textId="77777777" w:rsidR="00591D54" w:rsidRDefault="00591D54">
      <w:pPr>
        <w:shd w:val="clear" w:color="auto" w:fill="FFFFFF"/>
        <w:spacing w:before="192" w:line="216" w:lineRule="exact"/>
        <w:ind w:right="5"/>
        <w:jc w:val="both"/>
      </w:pPr>
      <w:r>
        <w:rPr>
          <w:spacing w:val="-4"/>
          <w:sz w:val="18"/>
          <w:szCs w:val="18"/>
          <w:lang w:val="es-ES_tradnl"/>
        </w:rPr>
        <w:t>3) Tras la recepci</w:t>
      </w:r>
      <w:r>
        <w:rPr>
          <w:rFonts w:cs="Times New Roman"/>
          <w:spacing w:val="-4"/>
          <w:sz w:val="18"/>
          <w:szCs w:val="18"/>
          <w:lang w:val="es-ES_tradnl"/>
        </w:rPr>
        <w:t>ó</w:t>
      </w:r>
      <w:r>
        <w:rPr>
          <w:spacing w:val="-4"/>
          <w:sz w:val="18"/>
          <w:szCs w:val="18"/>
          <w:lang w:val="es-ES_tradnl"/>
        </w:rPr>
        <w:t>n de las autorizaciones de operaci</w:t>
      </w:r>
      <w:r>
        <w:rPr>
          <w:rFonts w:cs="Times New Roman"/>
          <w:spacing w:val="-4"/>
          <w:sz w:val="18"/>
          <w:szCs w:val="18"/>
          <w:lang w:val="es-ES_tradnl"/>
        </w:rPr>
        <w:t>ó</w:t>
      </w:r>
      <w:r>
        <w:rPr>
          <w:spacing w:val="-4"/>
          <w:sz w:val="18"/>
          <w:szCs w:val="18"/>
          <w:lang w:val="es-ES_tradnl"/>
        </w:rPr>
        <w:t xml:space="preserve">n </w:t>
      </w:r>
      <w:r>
        <w:rPr>
          <w:spacing w:val="-2"/>
          <w:sz w:val="18"/>
          <w:szCs w:val="18"/>
          <w:lang w:val="es-ES_tradnl"/>
        </w:rPr>
        <w:t>y permisos t</w:t>
      </w:r>
      <w:r>
        <w:rPr>
          <w:rFonts w:cs="Times New Roman"/>
          <w:spacing w:val="-2"/>
          <w:sz w:val="18"/>
          <w:szCs w:val="18"/>
          <w:lang w:val="es-ES_tradnl"/>
        </w:rPr>
        <w:t>é</w:t>
      </w:r>
      <w:r>
        <w:rPr>
          <w:spacing w:val="-2"/>
          <w:sz w:val="18"/>
          <w:szCs w:val="18"/>
          <w:lang w:val="es-ES_tradnl"/>
        </w:rPr>
        <w:t>cnicos, una l</w:t>
      </w:r>
      <w:r>
        <w:rPr>
          <w:rFonts w:cs="Times New Roman"/>
          <w:spacing w:val="-2"/>
          <w:sz w:val="18"/>
          <w:szCs w:val="18"/>
          <w:lang w:val="es-ES_tradnl"/>
        </w:rPr>
        <w:t>í</w:t>
      </w:r>
      <w:r>
        <w:rPr>
          <w:spacing w:val="-2"/>
          <w:sz w:val="18"/>
          <w:szCs w:val="18"/>
          <w:lang w:val="es-ES_tradnl"/>
        </w:rPr>
        <w:t>nea a</w:t>
      </w:r>
      <w:r>
        <w:rPr>
          <w:rFonts w:cs="Times New Roman"/>
          <w:spacing w:val="-2"/>
          <w:sz w:val="18"/>
          <w:szCs w:val="18"/>
          <w:lang w:val="es-ES_tradnl"/>
        </w:rPr>
        <w:t>é</w:t>
      </w:r>
      <w:r>
        <w:rPr>
          <w:spacing w:val="-2"/>
          <w:sz w:val="18"/>
          <w:szCs w:val="18"/>
          <w:lang w:val="es-ES_tradnl"/>
        </w:rPr>
        <w:t>rea designada podr</w:t>
      </w:r>
      <w:r>
        <w:rPr>
          <w:rFonts w:cs="Times New Roman"/>
          <w:spacing w:val="-2"/>
          <w:sz w:val="18"/>
          <w:szCs w:val="18"/>
          <w:lang w:val="es-ES_tradnl"/>
        </w:rPr>
        <w:t xml:space="preserve">á </w:t>
      </w:r>
      <w:r>
        <w:rPr>
          <w:spacing w:val="-7"/>
          <w:sz w:val="18"/>
          <w:szCs w:val="18"/>
          <w:lang w:val="es-ES_tradnl"/>
        </w:rPr>
        <w:t xml:space="preserve">en cualquier momento comenzar a operar los servicios </w:t>
      </w:r>
      <w:r>
        <w:rPr>
          <w:spacing w:val="-9"/>
          <w:sz w:val="18"/>
          <w:szCs w:val="18"/>
          <w:lang w:val="es-ES_tradnl"/>
        </w:rPr>
        <w:t>acordados para los que fue designada, siempre que la l</w:t>
      </w:r>
      <w:r>
        <w:rPr>
          <w:rFonts w:cs="Times New Roman"/>
          <w:spacing w:val="-9"/>
          <w:sz w:val="18"/>
          <w:szCs w:val="18"/>
          <w:lang w:val="es-ES_tradnl"/>
        </w:rPr>
        <w:t>í</w:t>
      </w:r>
      <w:r>
        <w:rPr>
          <w:spacing w:val="-9"/>
          <w:sz w:val="18"/>
          <w:szCs w:val="18"/>
          <w:lang w:val="es-ES_tradnl"/>
        </w:rPr>
        <w:t>nea a</w:t>
      </w:r>
      <w:r>
        <w:rPr>
          <w:rFonts w:cs="Times New Roman"/>
          <w:spacing w:val="-9"/>
          <w:sz w:val="18"/>
          <w:szCs w:val="18"/>
          <w:lang w:val="es-ES_tradnl"/>
        </w:rPr>
        <w:t>é</w:t>
      </w:r>
      <w:r>
        <w:rPr>
          <w:spacing w:val="-9"/>
          <w:sz w:val="18"/>
          <w:szCs w:val="18"/>
          <w:lang w:val="es-ES_tradnl"/>
        </w:rPr>
        <w:t xml:space="preserve">rea designada cumpla con las disposiciones del presente </w:t>
      </w:r>
      <w:r>
        <w:rPr>
          <w:sz w:val="18"/>
          <w:szCs w:val="18"/>
          <w:lang w:val="es-ES_tradnl"/>
        </w:rPr>
        <w:t>Convenio.</w:t>
      </w:r>
    </w:p>
    <w:p w14:paraId="4F67A359" w14:textId="77777777" w:rsidR="00591D54" w:rsidRDefault="00591D54">
      <w:pPr>
        <w:shd w:val="clear" w:color="auto" w:fill="FFFFFF"/>
        <w:spacing w:before="192" w:line="216" w:lineRule="exact"/>
        <w:ind w:right="5"/>
        <w:jc w:val="center"/>
      </w:pPr>
      <w:r>
        <w:rPr>
          <w:b/>
          <w:bCs/>
          <w:sz w:val="18"/>
          <w:szCs w:val="18"/>
          <w:lang w:val="es-ES_tradnl"/>
        </w:rPr>
        <w:t>ART</w:t>
      </w:r>
      <w:r>
        <w:rPr>
          <w:rFonts w:cs="Times New Roman"/>
          <w:b/>
          <w:bCs/>
          <w:sz w:val="18"/>
          <w:szCs w:val="18"/>
          <w:lang w:val="es-ES_tradnl"/>
        </w:rPr>
        <w:t>Í</w:t>
      </w:r>
      <w:r>
        <w:rPr>
          <w:b/>
          <w:bCs/>
          <w:sz w:val="18"/>
          <w:szCs w:val="18"/>
          <w:lang w:val="es-ES_tradnl"/>
        </w:rPr>
        <w:t>CULO 4</w:t>
      </w:r>
    </w:p>
    <w:p w14:paraId="4F67A35A" w14:textId="77777777" w:rsidR="00591D54" w:rsidRDefault="00591D54">
      <w:pPr>
        <w:shd w:val="clear" w:color="auto" w:fill="FFFFFF"/>
        <w:spacing w:line="216" w:lineRule="exact"/>
        <w:ind w:right="5"/>
        <w:jc w:val="center"/>
      </w:pPr>
      <w:r>
        <w:rPr>
          <w:b/>
          <w:bCs/>
          <w:spacing w:val="-11"/>
          <w:sz w:val="18"/>
          <w:szCs w:val="18"/>
          <w:lang w:val="es-ES_tradnl"/>
        </w:rPr>
        <w:t>Retenci</w:t>
      </w:r>
      <w:r>
        <w:rPr>
          <w:rFonts w:cs="Times New Roman"/>
          <w:b/>
          <w:bCs/>
          <w:spacing w:val="-11"/>
          <w:sz w:val="18"/>
          <w:szCs w:val="18"/>
          <w:lang w:val="es-ES_tradnl"/>
        </w:rPr>
        <w:t>ó</w:t>
      </w:r>
      <w:r>
        <w:rPr>
          <w:b/>
          <w:bCs/>
          <w:spacing w:val="-11"/>
          <w:sz w:val="18"/>
          <w:szCs w:val="18"/>
          <w:lang w:val="es-ES_tradnl"/>
        </w:rPr>
        <w:t>n, Revocaci</w:t>
      </w:r>
      <w:r>
        <w:rPr>
          <w:rFonts w:cs="Times New Roman"/>
          <w:b/>
          <w:bCs/>
          <w:spacing w:val="-11"/>
          <w:sz w:val="18"/>
          <w:szCs w:val="18"/>
          <w:lang w:val="es-ES_tradnl"/>
        </w:rPr>
        <w:t>ó</w:t>
      </w:r>
      <w:r>
        <w:rPr>
          <w:b/>
          <w:bCs/>
          <w:spacing w:val="-11"/>
          <w:sz w:val="18"/>
          <w:szCs w:val="18"/>
          <w:lang w:val="es-ES_tradnl"/>
        </w:rPr>
        <w:t>n, Suspensi</w:t>
      </w:r>
      <w:r>
        <w:rPr>
          <w:rFonts w:cs="Times New Roman"/>
          <w:b/>
          <w:bCs/>
          <w:spacing w:val="-11"/>
          <w:sz w:val="18"/>
          <w:szCs w:val="18"/>
          <w:lang w:val="es-ES_tradnl"/>
        </w:rPr>
        <w:t>ó</w:t>
      </w:r>
      <w:r>
        <w:rPr>
          <w:b/>
          <w:bCs/>
          <w:spacing w:val="-11"/>
          <w:sz w:val="18"/>
          <w:szCs w:val="18"/>
          <w:lang w:val="es-ES_tradnl"/>
        </w:rPr>
        <w:t>n y Limitaci</w:t>
      </w:r>
      <w:r>
        <w:rPr>
          <w:rFonts w:cs="Times New Roman"/>
          <w:b/>
          <w:bCs/>
          <w:spacing w:val="-11"/>
          <w:sz w:val="18"/>
          <w:szCs w:val="18"/>
          <w:lang w:val="es-ES_tradnl"/>
        </w:rPr>
        <w:t>ó</w:t>
      </w:r>
      <w:r>
        <w:rPr>
          <w:b/>
          <w:bCs/>
          <w:spacing w:val="-11"/>
          <w:sz w:val="18"/>
          <w:szCs w:val="18"/>
          <w:lang w:val="es-ES_tradnl"/>
        </w:rPr>
        <w:t>n de las</w:t>
      </w:r>
    </w:p>
    <w:p w14:paraId="4F67A35B" w14:textId="77777777" w:rsidR="00591D54" w:rsidRDefault="00591D54">
      <w:pPr>
        <w:shd w:val="clear" w:color="auto" w:fill="FFFFFF"/>
        <w:spacing w:line="216" w:lineRule="exact"/>
        <w:ind w:right="5"/>
        <w:jc w:val="center"/>
      </w:pPr>
      <w:r>
        <w:rPr>
          <w:b/>
          <w:bCs/>
          <w:spacing w:val="-10"/>
          <w:sz w:val="18"/>
          <w:szCs w:val="18"/>
          <w:lang w:val="es-ES_tradnl"/>
        </w:rPr>
        <w:t>Autorizaciones de Operaci</w:t>
      </w:r>
      <w:r>
        <w:rPr>
          <w:rFonts w:cs="Times New Roman"/>
          <w:b/>
          <w:bCs/>
          <w:spacing w:val="-10"/>
          <w:sz w:val="18"/>
          <w:szCs w:val="18"/>
          <w:lang w:val="es-ES_tradnl"/>
        </w:rPr>
        <w:t>ó</w:t>
      </w:r>
      <w:r>
        <w:rPr>
          <w:b/>
          <w:bCs/>
          <w:spacing w:val="-10"/>
          <w:sz w:val="18"/>
          <w:szCs w:val="18"/>
          <w:lang w:val="es-ES_tradnl"/>
        </w:rPr>
        <w:t>n o Permisos T</w:t>
      </w:r>
      <w:r>
        <w:rPr>
          <w:rFonts w:cs="Times New Roman"/>
          <w:b/>
          <w:bCs/>
          <w:spacing w:val="-10"/>
          <w:sz w:val="18"/>
          <w:szCs w:val="18"/>
          <w:lang w:val="es-ES_tradnl"/>
        </w:rPr>
        <w:t>é</w:t>
      </w:r>
      <w:r>
        <w:rPr>
          <w:b/>
          <w:bCs/>
          <w:spacing w:val="-10"/>
          <w:sz w:val="18"/>
          <w:szCs w:val="18"/>
          <w:lang w:val="es-ES_tradnl"/>
        </w:rPr>
        <w:t>cnicos</w:t>
      </w:r>
    </w:p>
    <w:p w14:paraId="4F67A35C" w14:textId="77777777" w:rsidR="00591D54" w:rsidRDefault="00591D54">
      <w:pPr>
        <w:shd w:val="clear" w:color="auto" w:fill="FFFFFF"/>
        <w:spacing w:before="192" w:line="216" w:lineRule="exact"/>
        <w:ind w:right="5"/>
        <w:jc w:val="both"/>
      </w:pPr>
      <w:r>
        <w:rPr>
          <w:spacing w:val="-10"/>
          <w:sz w:val="18"/>
          <w:szCs w:val="18"/>
          <w:lang w:val="es-ES_tradnl"/>
        </w:rPr>
        <w:t>1) Las Autoridades Aeron</w:t>
      </w:r>
      <w:r>
        <w:rPr>
          <w:rFonts w:cs="Times New Roman"/>
          <w:spacing w:val="-10"/>
          <w:sz w:val="18"/>
          <w:szCs w:val="18"/>
          <w:lang w:val="es-ES_tradnl"/>
        </w:rPr>
        <w:t>á</w:t>
      </w:r>
      <w:r>
        <w:rPr>
          <w:spacing w:val="-10"/>
          <w:sz w:val="18"/>
          <w:szCs w:val="18"/>
          <w:lang w:val="es-ES_tradnl"/>
        </w:rPr>
        <w:t xml:space="preserve">uticas de cada Parte Contratante </w:t>
      </w:r>
      <w:r>
        <w:rPr>
          <w:spacing w:val="-7"/>
          <w:sz w:val="18"/>
          <w:szCs w:val="18"/>
          <w:lang w:val="es-ES_tradnl"/>
        </w:rPr>
        <w:t>podr</w:t>
      </w:r>
      <w:r>
        <w:rPr>
          <w:rFonts w:cs="Times New Roman"/>
          <w:spacing w:val="-7"/>
          <w:sz w:val="18"/>
          <w:szCs w:val="18"/>
          <w:lang w:val="es-ES_tradnl"/>
        </w:rPr>
        <w:t>á</w:t>
      </w:r>
      <w:r>
        <w:rPr>
          <w:spacing w:val="-7"/>
          <w:sz w:val="18"/>
          <w:szCs w:val="18"/>
          <w:lang w:val="es-ES_tradnl"/>
        </w:rPr>
        <w:t>n retener, revocar, suspender, limitar o imponer condiciones a las autorizaciones de operaci</w:t>
      </w:r>
      <w:r>
        <w:rPr>
          <w:rFonts w:cs="Times New Roman"/>
          <w:spacing w:val="-7"/>
          <w:sz w:val="18"/>
          <w:szCs w:val="18"/>
          <w:lang w:val="es-ES_tradnl"/>
        </w:rPr>
        <w:t>ó</w:t>
      </w:r>
      <w:r>
        <w:rPr>
          <w:spacing w:val="-7"/>
          <w:sz w:val="18"/>
          <w:szCs w:val="18"/>
          <w:lang w:val="es-ES_tradnl"/>
        </w:rPr>
        <w:t>n o permisos</w:t>
      </w:r>
    </w:p>
    <w:p w14:paraId="4F67A35D" w14:textId="77777777" w:rsidR="00591D54" w:rsidRDefault="00591D54">
      <w:pPr>
        <w:shd w:val="clear" w:color="auto" w:fill="FFFFFF"/>
        <w:spacing w:line="216" w:lineRule="exact"/>
        <w:ind w:right="5"/>
        <w:jc w:val="both"/>
      </w:pPr>
      <w:r>
        <w:rPr>
          <w:rFonts w:cs="Times New Roman"/>
          <w:spacing w:val="-8"/>
          <w:sz w:val="18"/>
          <w:szCs w:val="18"/>
          <w:lang w:val="es-ES_tradnl"/>
        </w:rPr>
        <w:t>é</w:t>
      </w:r>
      <w:r>
        <w:rPr>
          <w:spacing w:val="-8"/>
          <w:sz w:val="18"/>
          <w:szCs w:val="18"/>
          <w:lang w:val="es-ES_tradnl"/>
        </w:rPr>
        <w:t>cnicos de una l</w:t>
      </w:r>
      <w:r>
        <w:rPr>
          <w:rFonts w:cs="Times New Roman"/>
          <w:spacing w:val="-8"/>
          <w:sz w:val="18"/>
          <w:szCs w:val="18"/>
          <w:lang w:val="es-ES_tradnl"/>
        </w:rPr>
        <w:t>í</w:t>
      </w:r>
      <w:r>
        <w:rPr>
          <w:spacing w:val="-8"/>
          <w:sz w:val="18"/>
          <w:szCs w:val="18"/>
          <w:lang w:val="es-ES_tradnl"/>
        </w:rPr>
        <w:t>nea a</w:t>
      </w:r>
      <w:r>
        <w:rPr>
          <w:rFonts w:cs="Times New Roman"/>
          <w:spacing w:val="-8"/>
          <w:sz w:val="18"/>
          <w:szCs w:val="18"/>
          <w:lang w:val="es-ES_tradnl"/>
        </w:rPr>
        <w:t>é</w:t>
      </w:r>
      <w:r>
        <w:rPr>
          <w:spacing w:val="-8"/>
          <w:sz w:val="18"/>
          <w:szCs w:val="18"/>
          <w:lang w:val="es-ES_tradnl"/>
        </w:rPr>
        <w:t xml:space="preserve">rea designada por la otra Parte </w:t>
      </w:r>
      <w:r>
        <w:rPr>
          <w:sz w:val="18"/>
          <w:szCs w:val="18"/>
          <w:lang w:val="es-ES_tradnl"/>
        </w:rPr>
        <w:t>Contratante, en cualquiera de estos casos:</w:t>
      </w:r>
    </w:p>
    <w:p w14:paraId="4F67A35E" w14:textId="77777777" w:rsidR="00591D54" w:rsidRDefault="00591D54">
      <w:pPr>
        <w:shd w:val="clear" w:color="auto" w:fill="FFFFFF"/>
        <w:tabs>
          <w:tab w:val="left" w:pos="538"/>
        </w:tabs>
        <w:spacing w:before="197" w:line="216" w:lineRule="exact"/>
        <w:ind w:left="283"/>
        <w:jc w:val="both"/>
      </w:pPr>
      <w:r>
        <w:rPr>
          <w:spacing w:val="-9"/>
          <w:sz w:val="18"/>
          <w:szCs w:val="18"/>
          <w:lang w:val="es-ES_tradnl"/>
        </w:rPr>
        <w:t>(a)</w:t>
      </w:r>
      <w:r>
        <w:rPr>
          <w:sz w:val="18"/>
          <w:szCs w:val="18"/>
          <w:lang w:val="es-ES_tradnl"/>
        </w:rPr>
        <w:tab/>
      </w:r>
      <w:r>
        <w:rPr>
          <w:spacing w:val="-9"/>
          <w:sz w:val="18"/>
          <w:szCs w:val="18"/>
          <w:lang w:val="es-ES_tradnl"/>
        </w:rPr>
        <w:t>En el caso de una l</w:t>
      </w:r>
      <w:r>
        <w:rPr>
          <w:rFonts w:cs="Times New Roman"/>
          <w:spacing w:val="-9"/>
          <w:sz w:val="18"/>
          <w:szCs w:val="18"/>
          <w:lang w:val="es-ES_tradnl"/>
        </w:rPr>
        <w:t>í</w:t>
      </w:r>
      <w:r>
        <w:rPr>
          <w:spacing w:val="-9"/>
          <w:sz w:val="18"/>
          <w:szCs w:val="18"/>
          <w:lang w:val="es-ES_tradnl"/>
        </w:rPr>
        <w:t>nea a</w:t>
      </w:r>
      <w:r>
        <w:rPr>
          <w:rFonts w:cs="Times New Roman"/>
          <w:spacing w:val="-9"/>
          <w:sz w:val="18"/>
          <w:szCs w:val="18"/>
          <w:lang w:val="es-ES_tradnl"/>
        </w:rPr>
        <w:t>é</w:t>
      </w:r>
      <w:r>
        <w:rPr>
          <w:spacing w:val="-9"/>
          <w:sz w:val="18"/>
          <w:szCs w:val="18"/>
          <w:lang w:val="es-ES_tradnl"/>
        </w:rPr>
        <w:t>rea designada por China, cuando dichas autoridades no est</w:t>
      </w:r>
      <w:r>
        <w:rPr>
          <w:rFonts w:cs="Times New Roman"/>
          <w:spacing w:val="-9"/>
          <w:sz w:val="18"/>
          <w:szCs w:val="18"/>
          <w:lang w:val="es-ES_tradnl"/>
        </w:rPr>
        <w:t>á</w:t>
      </w:r>
      <w:r>
        <w:rPr>
          <w:spacing w:val="-9"/>
          <w:sz w:val="18"/>
          <w:szCs w:val="18"/>
          <w:lang w:val="es-ES_tradnl"/>
        </w:rPr>
        <w:t>n satisfechas de que </w:t>
      </w:r>
      <w:r>
        <w:rPr>
          <w:spacing w:val="-5"/>
          <w:sz w:val="18"/>
          <w:szCs w:val="18"/>
          <w:lang w:val="es-ES_tradnl"/>
        </w:rPr>
        <w:t>la propiedad sustancial y control efectivo de la l</w:t>
      </w:r>
      <w:r>
        <w:rPr>
          <w:rFonts w:cs="Times New Roman"/>
          <w:spacing w:val="-5"/>
          <w:sz w:val="18"/>
          <w:szCs w:val="18"/>
          <w:lang w:val="es-ES_tradnl"/>
        </w:rPr>
        <w:t>í</w:t>
      </w:r>
      <w:r>
        <w:rPr>
          <w:spacing w:val="-5"/>
          <w:sz w:val="18"/>
          <w:szCs w:val="18"/>
          <w:lang w:val="es-ES_tradnl"/>
        </w:rPr>
        <w:t>nea </w:t>
      </w:r>
      <w:r>
        <w:rPr>
          <w:spacing w:val="-9"/>
          <w:sz w:val="18"/>
          <w:szCs w:val="18"/>
          <w:lang w:val="es-ES_tradnl"/>
        </w:rPr>
        <w:t>a</w:t>
      </w:r>
      <w:r>
        <w:rPr>
          <w:rFonts w:cs="Times New Roman"/>
          <w:spacing w:val="-9"/>
          <w:sz w:val="18"/>
          <w:szCs w:val="18"/>
          <w:lang w:val="es-ES_tradnl"/>
        </w:rPr>
        <w:t>é</w:t>
      </w:r>
      <w:r>
        <w:rPr>
          <w:spacing w:val="-9"/>
          <w:sz w:val="18"/>
          <w:szCs w:val="18"/>
          <w:lang w:val="es-ES_tradnl"/>
        </w:rPr>
        <w:t>rea est</w:t>
      </w:r>
      <w:r>
        <w:rPr>
          <w:rFonts w:cs="Times New Roman"/>
          <w:spacing w:val="-9"/>
          <w:sz w:val="18"/>
          <w:szCs w:val="18"/>
          <w:lang w:val="es-ES_tradnl"/>
        </w:rPr>
        <w:t>é</w:t>
      </w:r>
      <w:r>
        <w:rPr>
          <w:spacing w:val="-9"/>
          <w:sz w:val="18"/>
          <w:szCs w:val="18"/>
          <w:lang w:val="es-ES_tradnl"/>
        </w:rPr>
        <w:t>n en manos de China o sus nacionales, o su </w:t>
      </w:r>
      <w:r>
        <w:rPr>
          <w:spacing w:val="-3"/>
          <w:sz w:val="18"/>
          <w:szCs w:val="18"/>
          <w:lang w:val="es-ES_tradnl"/>
        </w:rPr>
        <w:t>direcci</w:t>
      </w:r>
      <w:r>
        <w:rPr>
          <w:rFonts w:cs="Times New Roman"/>
          <w:spacing w:val="-3"/>
          <w:sz w:val="18"/>
          <w:szCs w:val="18"/>
          <w:lang w:val="es-ES_tradnl"/>
        </w:rPr>
        <w:t>ó</w:t>
      </w:r>
      <w:r>
        <w:rPr>
          <w:spacing w:val="-3"/>
          <w:sz w:val="18"/>
          <w:szCs w:val="18"/>
          <w:lang w:val="es-ES_tradnl"/>
        </w:rPr>
        <w:t>n domiciliaria no se encuentra en China. En </w:t>
      </w:r>
      <w:r>
        <w:rPr>
          <w:spacing w:val="-9"/>
          <w:sz w:val="18"/>
          <w:szCs w:val="18"/>
          <w:lang w:val="es-ES_tradnl"/>
        </w:rPr>
        <w:t>el caso de una l</w:t>
      </w:r>
      <w:r>
        <w:rPr>
          <w:rFonts w:cs="Times New Roman"/>
          <w:spacing w:val="-9"/>
          <w:sz w:val="18"/>
          <w:szCs w:val="18"/>
          <w:lang w:val="es-ES_tradnl"/>
        </w:rPr>
        <w:t>í</w:t>
      </w:r>
      <w:r>
        <w:rPr>
          <w:spacing w:val="-9"/>
          <w:sz w:val="18"/>
          <w:szCs w:val="18"/>
          <w:lang w:val="es-ES_tradnl"/>
        </w:rPr>
        <w:t>nea a</w:t>
      </w:r>
      <w:r>
        <w:rPr>
          <w:rFonts w:cs="Times New Roman"/>
          <w:spacing w:val="-9"/>
          <w:sz w:val="18"/>
          <w:szCs w:val="18"/>
          <w:lang w:val="es-ES_tradnl"/>
        </w:rPr>
        <w:t>é</w:t>
      </w:r>
      <w:r>
        <w:rPr>
          <w:spacing w:val="-9"/>
          <w:sz w:val="18"/>
          <w:szCs w:val="18"/>
          <w:lang w:val="es-ES_tradnl"/>
        </w:rPr>
        <w:t>rea designada por el Ecuador, </w:t>
      </w:r>
      <w:r>
        <w:rPr>
          <w:spacing w:val="-6"/>
          <w:sz w:val="18"/>
          <w:szCs w:val="18"/>
          <w:lang w:val="es-ES_tradnl"/>
        </w:rPr>
        <w:t>cuando dichas autoridades no est</w:t>
      </w:r>
      <w:r>
        <w:rPr>
          <w:rFonts w:cs="Times New Roman"/>
          <w:spacing w:val="-6"/>
          <w:sz w:val="18"/>
          <w:szCs w:val="18"/>
          <w:lang w:val="es-ES_tradnl"/>
        </w:rPr>
        <w:t>á</w:t>
      </w:r>
      <w:r>
        <w:rPr>
          <w:spacing w:val="-6"/>
          <w:sz w:val="18"/>
          <w:szCs w:val="18"/>
          <w:lang w:val="es-ES_tradnl"/>
        </w:rPr>
        <w:t>n convencidas de </w:t>
      </w:r>
      <w:r>
        <w:rPr>
          <w:spacing w:val="-4"/>
          <w:sz w:val="18"/>
          <w:szCs w:val="18"/>
          <w:lang w:val="es-ES_tradnl"/>
        </w:rPr>
        <w:t>que la propiedad sustancial y control efectivo de la </w:t>
      </w:r>
      <w:r>
        <w:rPr>
          <w:spacing w:val="-6"/>
          <w:sz w:val="18"/>
          <w:szCs w:val="18"/>
          <w:lang w:val="es-ES_tradnl"/>
        </w:rPr>
        <w:t>l</w:t>
      </w:r>
      <w:r>
        <w:rPr>
          <w:rFonts w:cs="Times New Roman"/>
          <w:spacing w:val="-6"/>
          <w:sz w:val="18"/>
          <w:szCs w:val="18"/>
          <w:lang w:val="es-ES_tradnl"/>
        </w:rPr>
        <w:t>í</w:t>
      </w:r>
      <w:r>
        <w:rPr>
          <w:spacing w:val="-6"/>
          <w:sz w:val="18"/>
          <w:szCs w:val="18"/>
          <w:lang w:val="es-ES_tradnl"/>
        </w:rPr>
        <w:t>nea a</w:t>
      </w:r>
      <w:r>
        <w:rPr>
          <w:rFonts w:cs="Times New Roman"/>
          <w:spacing w:val="-6"/>
          <w:sz w:val="18"/>
          <w:szCs w:val="18"/>
          <w:lang w:val="es-ES_tradnl"/>
        </w:rPr>
        <w:t>é</w:t>
      </w:r>
      <w:r>
        <w:rPr>
          <w:spacing w:val="-6"/>
          <w:sz w:val="18"/>
          <w:szCs w:val="18"/>
          <w:lang w:val="es-ES_tradnl"/>
        </w:rPr>
        <w:t>rea recaen en el Ecuador o sus nacionales, o </w:t>
      </w:r>
      <w:r>
        <w:rPr>
          <w:spacing w:val="-8"/>
          <w:sz w:val="18"/>
          <w:szCs w:val="18"/>
          <w:lang w:val="es-ES_tradnl"/>
        </w:rPr>
        <w:t>en un Estado de Am</w:t>
      </w:r>
      <w:r>
        <w:rPr>
          <w:rFonts w:cs="Times New Roman"/>
          <w:spacing w:val="-8"/>
          <w:sz w:val="18"/>
          <w:szCs w:val="18"/>
          <w:lang w:val="es-ES_tradnl"/>
        </w:rPr>
        <w:t>é</w:t>
      </w:r>
      <w:r>
        <w:rPr>
          <w:spacing w:val="-8"/>
          <w:sz w:val="18"/>
          <w:szCs w:val="18"/>
          <w:lang w:val="es-ES_tradnl"/>
        </w:rPr>
        <w:t>rica Latina o sus nacionales, o su </w:t>
      </w:r>
      <w:r>
        <w:rPr>
          <w:spacing w:val="-6"/>
          <w:sz w:val="18"/>
          <w:szCs w:val="18"/>
          <w:lang w:val="es-ES_tradnl"/>
        </w:rPr>
        <w:t>direcci</w:t>
      </w:r>
      <w:r>
        <w:rPr>
          <w:rFonts w:cs="Times New Roman"/>
          <w:spacing w:val="-6"/>
          <w:sz w:val="18"/>
          <w:szCs w:val="18"/>
          <w:lang w:val="es-ES_tradnl"/>
        </w:rPr>
        <w:t>ó</w:t>
      </w:r>
      <w:r>
        <w:rPr>
          <w:spacing w:val="-6"/>
          <w:sz w:val="18"/>
          <w:szCs w:val="18"/>
          <w:lang w:val="es-ES_tradnl"/>
        </w:rPr>
        <w:t>n domiciliaria no est</w:t>
      </w:r>
      <w:r>
        <w:rPr>
          <w:rFonts w:cs="Times New Roman"/>
          <w:spacing w:val="-6"/>
          <w:sz w:val="18"/>
          <w:szCs w:val="18"/>
          <w:lang w:val="es-ES_tradnl"/>
        </w:rPr>
        <w:t>á</w:t>
      </w:r>
      <w:r>
        <w:rPr>
          <w:spacing w:val="-6"/>
          <w:sz w:val="18"/>
          <w:szCs w:val="18"/>
          <w:lang w:val="es-ES_tradnl"/>
        </w:rPr>
        <w:t xml:space="preserve"> en Ecuador, o tal estado </w:t>
      </w:r>
      <w:r>
        <w:rPr>
          <w:spacing w:val="-8"/>
          <w:sz w:val="18"/>
          <w:szCs w:val="18"/>
          <w:lang w:val="es-ES_tradnl"/>
        </w:rPr>
        <w:t>no tiene un Convenio de Servicios A</w:t>
      </w:r>
      <w:r>
        <w:rPr>
          <w:rFonts w:cs="Times New Roman"/>
          <w:spacing w:val="-8"/>
          <w:sz w:val="18"/>
          <w:szCs w:val="18"/>
          <w:lang w:val="es-ES_tradnl"/>
        </w:rPr>
        <w:t>é</w:t>
      </w:r>
      <w:r>
        <w:rPr>
          <w:spacing w:val="-8"/>
          <w:sz w:val="18"/>
          <w:szCs w:val="18"/>
          <w:lang w:val="es-ES_tradnl"/>
        </w:rPr>
        <w:t>reos con China; o</w:t>
      </w:r>
    </w:p>
    <w:p w14:paraId="4F67A35F" w14:textId="77777777" w:rsidR="00591D54" w:rsidRDefault="00591D54" w:rsidP="00251195">
      <w:pPr>
        <w:numPr>
          <w:ilvl w:val="0"/>
          <w:numId w:val="5"/>
        </w:numPr>
        <w:shd w:val="clear" w:color="auto" w:fill="FFFFFF"/>
        <w:tabs>
          <w:tab w:val="left" w:pos="557"/>
        </w:tabs>
        <w:spacing w:before="197" w:line="216" w:lineRule="exact"/>
        <w:ind w:left="283" w:right="5"/>
        <w:jc w:val="both"/>
        <w:rPr>
          <w:spacing w:val="-6"/>
          <w:sz w:val="18"/>
          <w:szCs w:val="18"/>
          <w:lang w:val="es-ES_tradnl"/>
        </w:rPr>
      </w:pPr>
      <w:r>
        <w:rPr>
          <w:spacing w:val="-9"/>
          <w:sz w:val="18"/>
          <w:szCs w:val="18"/>
          <w:lang w:val="es-ES_tradnl"/>
        </w:rPr>
        <w:t>La l</w:t>
      </w:r>
      <w:r>
        <w:rPr>
          <w:rFonts w:cs="Times New Roman"/>
          <w:spacing w:val="-9"/>
          <w:sz w:val="18"/>
          <w:szCs w:val="18"/>
          <w:lang w:val="es-ES_tradnl"/>
        </w:rPr>
        <w:t>í</w:t>
      </w:r>
      <w:r>
        <w:rPr>
          <w:spacing w:val="-9"/>
          <w:sz w:val="18"/>
          <w:szCs w:val="18"/>
          <w:lang w:val="es-ES_tradnl"/>
        </w:rPr>
        <w:t>nea a</w:t>
      </w:r>
      <w:r>
        <w:rPr>
          <w:rFonts w:cs="Times New Roman"/>
          <w:spacing w:val="-9"/>
          <w:sz w:val="18"/>
          <w:szCs w:val="18"/>
          <w:lang w:val="es-ES_tradnl"/>
        </w:rPr>
        <w:t>é</w:t>
      </w:r>
      <w:r>
        <w:rPr>
          <w:spacing w:val="-9"/>
          <w:sz w:val="18"/>
          <w:szCs w:val="18"/>
          <w:lang w:val="es-ES_tradnl"/>
        </w:rPr>
        <w:t xml:space="preserve">rea no es capaz de convencer a las </w:t>
      </w:r>
      <w:r>
        <w:rPr>
          <w:spacing w:val="-6"/>
          <w:sz w:val="18"/>
          <w:szCs w:val="18"/>
          <w:lang w:val="es-ES_tradnl"/>
        </w:rPr>
        <w:t>autoridades que est</w:t>
      </w:r>
      <w:r>
        <w:rPr>
          <w:rFonts w:cs="Times New Roman"/>
          <w:spacing w:val="-6"/>
          <w:sz w:val="18"/>
          <w:szCs w:val="18"/>
          <w:lang w:val="es-ES_tradnl"/>
        </w:rPr>
        <w:t>á</w:t>
      </w:r>
      <w:r>
        <w:rPr>
          <w:spacing w:val="-6"/>
          <w:sz w:val="18"/>
          <w:szCs w:val="18"/>
          <w:lang w:val="es-ES_tradnl"/>
        </w:rPr>
        <w:t xml:space="preserve"> calificada para cumplir con las </w:t>
      </w:r>
      <w:r>
        <w:rPr>
          <w:spacing w:val="-5"/>
          <w:sz w:val="18"/>
          <w:szCs w:val="18"/>
          <w:lang w:val="es-ES_tradnl"/>
        </w:rPr>
        <w:t xml:space="preserve">condiciones prescritas en las leyes y regulaciones </w:t>
      </w:r>
      <w:r>
        <w:rPr>
          <w:spacing w:val="-8"/>
          <w:sz w:val="18"/>
          <w:szCs w:val="18"/>
          <w:lang w:val="es-ES_tradnl"/>
        </w:rPr>
        <w:t>normal y razonablemente aplicadas a la operaci</w:t>
      </w:r>
      <w:r>
        <w:rPr>
          <w:rFonts w:cs="Times New Roman"/>
          <w:spacing w:val="-8"/>
          <w:sz w:val="18"/>
          <w:szCs w:val="18"/>
          <w:lang w:val="es-ES_tradnl"/>
        </w:rPr>
        <w:t>ó</w:t>
      </w:r>
      <w:r>
        <w:rPr>
          <w:spacing w:val="-8"/>
          <w:sz w:val="18"/>
          <w:szCs w:val="18"/>
          <w:lang w:val="es-ES_tradnl"/>
        </w:rPr>
        <w:t xml:space="preserve">n de </w:t>
      </w:r>
      <w:r>
        <w:rPr>
          <w:spacing w:val="-9"/>
          <w:sz w:val="18"/>
          <w:szCs w:val="18"/>
          <w:lang w:val="es-ES_tradnl"/>
        </w:rPr>
        <w:t>servicios a</w:t>
      </w:r>
      <w:r>
        <w:rPr>
          <w:rFonts w:cs="Times New Roman"/>
          <w:spacing w:val="-9"/>
          <w:sz w:val="18"/>
          <w:szCs w:val="18"/>
          <w:lang w:val="es-ES_tradnl"/>
        </w:rPr>
        <w:t>é</w:t>
      </w:r>
      <w:r>
        <w:rPr>
          <w:spacing w:val="-9"/>
          <w:sz w:val="18"/>
          <w:szCs w:val="18"/>
          <w:lang w:val="es-ES_tradnl"/>
        </w:rPr>
        <w:t xml:space="preserve">reos internacionales por dichas autoridades, </w:t>
      </w:r>
      <w:r>
        <w:rPr>
          <w:sz w:val="18"/>
          <w:szCs w:val="18"/>
          <w:lang w:val="es-ES_tradnl"/>
        </w:rPr>
        <w:t>de conformidad con la Convenci</w:t>
      </w:r>
      <w:r>
        <w:rPr>
          <w:rFonts w:cs="Times New Roman"/>
          <w:sz w:val="18"/>
          <w:szCs w:val="18"/>
          <w:lang w:val="es-ES_tradnl"/>
        </w:rPr>
        <w:t>ó</w:t>
      </w:r>
      <w:r>
        <w:rPr>
          <w:sz w:val="18"/>
          <w:szCs w:val="18"/>
          <w:lang w:val="es-ES_tradnl"/>
        </w:rPr>
        <w:t>n; o</w:t>
      </w:r>
    </w:p>
    <w:p w14:paraId="4F67A360" w14:textId="77777777" w:rsidR="00591D54" w:rsidRDefault="00591D54" w:rsidP="00251195">
      <w:pPr>
        <w:numPr>
          <w:ilvl w:val="0"/>
          <w:numId w:val="5"/>
        </w:numPr>
        <w:shd w:val="clear" w:color="auto" w:fill="FFFFFF"/>
        <w:tabs>
          <w:tab w:val="left" w:pos="557"/>
        </w:tabs>
        <w:spacing w:before="197" w:line="216" w:lineRule="exact"/>
        <w:ind w:left="283"/>
        <w:jc w:val="both"/>
        <w:rPr>
          <w:spacing w:val="-5"/>
          <w:sz w:val="18"/>
          <w:szCs w:val="18"/>
          <w:lang w:val="es-ES_tradnl"/>
        </w:rPr>
      </w:pPr>
      <w:r>
        <w:rPr>
          <w:spacing w:val="-7"/>
          <w:sz w:val="18"/>
          <w:szCs w:val="18"/>
          <w:lang w:val="es-ES_tradnl"/>
        </w:rPr>
        <w:t>La Parte Contratante que designa a la l</w:t>
      </w:r>
      <w:r>
        <w:rPr>
          <w:rFonts w:cs="Times New Roman"/>
          <w:spacing w:val="-7"/>
          <w:sz w:val="18"/>
          <w:szCs w:val="18"/>
          <w:lang w:val="es-ES_tradnl"/>
        </w:rPr>
        <w:t>í</w:t>
      </w:r>
      <w:r>
        <w:rPr>
          <w:spacing w:val="-7"/>
          <w:sz w:val="18"/>
          <w:szCs w:val="18"/>
          <w:lang w:val="es-ES_tradnl"/>
        </w:rPr>
        <w:t>nea a</w:t>
      </w:r>
      <w:r>
        <w:rPr>
          <w:rFonts w:cs="Times New Roman"/>
          <w:spacing w:val="-7"/>
          <w:sz w:val="18"/>
          <w:szCs w:val="18"/>
          <w:lang w:val="es-ES_tradnl"/>
        </w:rPr>
        <w:t>é</w:t>
      </w:r>
      <w:r>
        <w:rPr>
          <w:spacing w:val="-7"/>
          <w:sz w:val="18"/>
          <w:szCs w:val="18"/>
          <w:lang w:val="es-ES_tradnl"/>
        </w:rPr>
        <w:t xml:space="preserve">rea </w:t>
      </w:r>
      <w:r>
        <w:rPr>
          <w:spacing w:val="-2"/>
          <w:sz w:val="18"/>
          <w:szCs w:val="18"/>
          <w:lang w:val="es-ES_tradnl"/>
        </w:rPr>
        <w:t>no cumple con el Art</w:t>
      </w:r>
      <w:r>
        <w:rPr>
          <w:rFonts w:cs="Times New Roman"/>
          <w:spacing w:val="-2"/>
          <w:sz w:val="18"/>
          <w:szCs w:val="18"/>
          <w:lang w:val="es-ES_tradnl"/>
        </w:rPr>
        <w:t>í</w:t>
      </w:r>
      <w:r>
        <w:rPr>
          <w:spacing w:val="-2"/>
          <w:sz w:val="18"/>
          <w:szCs w:val="18"/>
          <w:lang w:val="es-ES_tradnl"/>
        </w:rPr>
        <w:t xml:space="preserve">culo 8 (Seguridad de Vuelo) y </w:t>
      </w:r>
      <w:r>
        <w:rPr>
          <w:spacing w:val="-5"/>
          <w:sz w:val="18"/>
          <w:szCs w:val="18"/>
          <w:lang w:val="es-ES_tradnl"/>
        </w:rPr>
        <w:t>el Art</w:t>
      </w:r>
      <w:r>
        <w:rPr>
          <w:rFonts w:cs="Times New Roman"/>
          <w:spacing w:val="-5"/>
          <w:sz w:val="18"/>
          <w:szCs w:val="18"/>
          <w:lang w:val="es-ES_tradnl"/>
        </w:rPr>
        <w:t>í</w:t>
      </w:r>
      <w:r>
        <w:rPr>
          <w:spacing w:val="-5"/>
          <w:sz w:val="18"/>
          <w:szCs w:val="18"/>
          <w:lang w:val="es-ES_tradnl"/>
        </w:rPr>
        <w:t>culo 9 (Seguridad de la Aviaci</w:t>
      </w:r>
      <w:r>
        <w:rPr>
          <w:rFonts w:cs="Times New Roman"/>
          <w:spacing w:val="-5"/>
          <w:sz w:val="18"/>
          <w:szCs w:val="18"/>
          <w:lang w:val="es-ES_tradnl"/>
        </w:rPr>
        <w:t>ó</w:t>
      </w:r>
      <w:r>
        <w:rPr>
          <w:spacing w:val="-5"/>
          <w:sz w:val="18"/>
          <w:szCs w:val="18"/>
          <w:lang w:val="es-ES_tradnl"/>
        </w:rPr>
        <w:t xml:space="preserve">n) del presente </w:t>
      </w:r>
      <w:r>
        <w:rPr>
          <w:sz w:val="18"/>
          <w:szCs w:val="18"/>
          <w:lang w:val="es-ES_tradnl"/>
        </w:rPr>
        <w:t>Convenio; o</w:t>
      </w:r>
    </w:p>
    <w:p w14:paraId="4F67A361" w14:textId="77777777" w:rsidR="00591D54" w:rsidRDefault="00591D54">
      <w:pPr>
        <w:shd w:val="clear" w:color="auto" w:fill="FFFFFF"/>
        <w:spacing w:line="216" w:lineRule="exact"/>
        <w:ind w:left="283"/>
      </w:pPr>
      <w:r>
        <w:rPr>
          <w:spacing w:val="-5"/>
          <w:sz w:val="18"/>
          <w:szCs w:val="18"/>
          <w:lang w:val="es-ES_tradnl"/>
        </w:rPr>
        <w:br w:type="column"/>
      </w:r>
      <w:r>
        <w:rPr>
          <w:spacing w:val="-2"/>
          <w:sz w:val="18"/>
          <w:szCs w:val="18"/>
          <w:lang w:val="es-ES_tradnl"/>
        </w:rPr>
        <w:t>(d) La l</w:t>
      </w:r>
      <w:r>
        <w:rPr>
          <w:rFonts w:cs="Times New Roman"/>
          <w:spacing w:val="-2"/>
          <w:sz w:val="18"/>
          <w:szCs w:val="18"/>
          <w:lang w:val="es-ES_tradnl"/>
        </w:rPr>
        <w:t>í</w:t>
      </w:r>
      <w:r>
        <w:rPr>
          <w:spacing w:val="-2"/>
          <w:sz w:val="18"/>
          <w:szCs w:val="18"/>
          <w:lang w:val="es-ES_tradnl"/>
        </w:rPr>
        <w:t>nea a</w:t>
      </w:r>
      <w:r>
        <w:rPr>
          <w:rFonts w:cs="Times New Roman"/>
          <w:spacing w:val="-2"/>
          <w:sz w:val="18"/>
          <w:szCs w:val="18"/>
          <w:lang w:val="es-ES_tradnl"/>
        </w:rPr>
        <w:t>é</w:t>
      </w:r>
      <w:r>
        <w:rPr>
          <w:spacing w:val="-2"/>
          <w:sz w:val="18"/>
          <w:szCs w:val="18"/>
          <w:lang w:val="es-ES_tradnl"/>
        </w:rPr>
        <w:t xml:space="preserve">rea no opera de conformidad con las </w:t>
      </w:r>
      <w:r>
        <w:rPr>
          <w:spacing w:val="-8"/>
          <w:sz w:val="18"/>
          <w:szCs w:val="18"/>
          <w:lang w:val="es-ES_tradnl"/>
        </w:rPr>
        <w:t>condiciones prescritas en el presente Convenio.</w:t>
      </w:r>
    </w:p>
    <w:p w14:paraId="4F67A362" w14:textId="77777777" w:rsidR="00591D54" w:rsidRDefault="00591D54" w:rsidP="00251195">
      <w:pPr>
        <w:numPr>
          <w:ilvl w:val="0"/>
          <w:numId w:val="6"/>
        </w:numPr>
        <w:shd w:val="clear" w:color="auto" w:fill="FFFFFF"/>
        <w:tabs>
          <w:tab w:val="left" w:pos="307"/>
        </w:tabs>
        <w:spacing w:before="197" w:line="216" w:lineRule="exact"/>
        <w:jc w:val="both"/>
        <w:rPr>
          <w:spacing w:val="-6"/>
          <w:sz w:val="18"/>
          <w:szCs w:val="18"/>
          <w:lang w:val="es-ES_tradnl"/>
        </w:rPr>
      </w:pPr>
      <w:r>
        <w:rPr>
          <w:spacing w:val="-1"/>
          <w:sz w:val="18"/>
          <w:szCs w:val="18"/>
          <w:lang w:val="es-ES_tradnl"/>
        </w:rPr>
        <w:t>A menos que la inmediata revocaci</w:t>
      </w:r>
      <w:r>
        <w:rPr>
          <w:rFonts w:cs="Times New Roman"/>
          <w:spacing w:val="-1"/>
          <w:sz w:val="18"/>
          <w:szCs w:val="18"/>
          <w:lang w:val="es-ES_tradnl"/>
        </w:rPr>
        <w:t>ó</w:t>
      </w:r>
      <w:r>
        <w:rPr>
          <w:spacing w:val="-1"/>
          <w:sz w:val="18"/>
          <w:szCs w:val="18"/>
          <w:lang w:val="es-ES_tradnl"/>
        </w:rPr>
        <w:t>n, suspensi</w:t>
      </w:r>
      <w:r>
        <w:rPr>
          <w:rFonts w:cs="Times New Roman"/>
          <w:spacing w:val="-1"/>
          <w:sz w:val="18"/>
          <w:szCs w:val="18"/>
          <w:lang w:val="es-ES_tradnl"/>
        </w:rPr>
        <w:t>ó</w:t>
      </w:r>
      <w:r>
        <w:rPr>
          <w:spacing w:val="-1"/>
          <w:sz w:val="18"/>
          <w:szCs w:val="18"/>
          <w:lang w:val="es-ES_tradnl"/>
        </w:rPr>
        <w:t xml:space="preserve">n </w:t>
      </w:r>
      <w:r>
        <w:rPr>
          <w:spacing w:val="-5"/>
          <w:sz w:val="18"/>
          <w:szCs w:val="18"/>
          <w:lang w:val="es-ES_tradnl"/>
        </w:rPr>
        <w:t>o imposici</w:t>
      </w:r>
      <w:r>
        <w:rPr>
          <w:rFonts w:cs="Times New Roman"/>
          <w:spacing w:val="-5"/>
          <w:sz w:val="18"/>
          <w:szCs w:val="18"/>
          <w:lang w:val="es-ES_tradnl"/>
        </w:rPr>
        <w:t>ó</w:t>
      </w:r>
      <w:r>
        <w:rPr>
          <w:spacing w:val="-5"/>
          <w:sz w:val="18"/>
          <w:szCs w:val="18"/>
          <w:lang w:val="es-ES_tradnl"/>
        </w:rPr>
        <w:t>n de las condiciones dispuestas en el p</w:t>
      </w:r>
      <w:r>
        <w:rPr>
          <w:rFonts w:cs="Times New Roman"/>
          <w:spacing w:val="-5"/>
          <w:sz w:val="18"/>
          <w:szCs w:val="18"/>
          <w:lang w:val="es-ES_tradnl"/>
        </w:rPr>
        <w:t>á</w:t>
      </w:r>
      <w:r>
        <w:rPr>
          <w:spacing w:val="-5"/>
          <w:sz w:val="18"/>
          <w:szCs w:val="18"/>
          <w:lang w:val="es-ES_tradnl"/>
        </w:rPr>
        <w:t xml:space="preserve">rrafo </w:t>
      </w:r>
      <w:r>
        <w:rPr>
          <w:spacing w:val="-6"/>
          <w:sz w:val="18"/>
          <w:szCs w:val="18"/>
          <w:lang w:val="es-ES_tradnl"/>
        </w:rPr>
        <w:t>(1) del presente Art</w:t>
      </w:r>
      <w:r>
        <w:rPr>
          <w:rFonts w:cs="Times New Roman"/>
          <w:spacing w:val="-6"/>
          <w:sz w:val="18"/>
          <w:szCs w:val="18"/>
          <w:lang w:val="es-ES_tradnl"/>
        </w:rPr>
        <w:t>í</w:t>
      </w:r>
      <w:r>
        <w:rPr>
          <w:spacing w:val="-6"/>
          <w:sz w:val="18"/>
          <w:szCs w:val="18"/>
          <w:lang w:val="es-ES_tradnl"/>
        </w:rPr>
        <w:t xml:space="preserve">culo sea esencial para prevenir la </w:t>
      </w:r>
      <w:r>
        <w:rPr>
          <w:spacing w:val="-4"/>
          <w:sz w:val="18"/>
          <w:szCs w:val="18"/>
          <w:lang w:val="es-ES_tradnl"/>
        </w:rPr>
        <w:t>infracci</w:t>
      </w:r>
      <w:r>
        <w:rPr>
          <w:rFonts w:cs="Times New Roman"/>
          <w:spacing w:val="-4"/>
          <w:sz w:val="18"/>
          <w:szCs w:val="18"/>
          <w:lang w:val="es-ES_tradnl"/>
        </w:rPr>
        <w:t>ó</w:t>
      </w:r>
      <w:r>
        <w:rPr>
          <w:spacing w:val="-4"/>
          <w:sz w:val="18"/>
          <w:szCs w:val="18"/>
          <w:lang w:val="es-ES_tradnl"/>
        </w:rPr>
        <w:t xml:space="preserve">n de las leyes o regulaciones, tal derecho se </w:t>
      </w:r>
      <w:r>
        <w:rPr>
          <w:spacing w:val="-11"/>
          <w:sz w:val="18"/>
          <w:szCs w:val="18"/>
          <w:lang w:val="es-ES_tradnl"/>
        </w:rPr>
        <w:t>ejercer</w:t>
      </w:r>
      <w:r>
        <w:rPr>
          <w:rFonts w:cs="Times New Roman"/>
          <w:spacing w:val="-11"/>
          <w:sz w:val="18"/>
          <w:szCs w:val="18"/>
          <w:lang w:val="es-ES_tradnl"/>
        </w:rPr>
        <w:t>á</w:t>
      </w:r>
      <w:r>
        <w:rPr>
          <w:spacing w:val="-11"/>
          <w:sz w:val="18"/>
          <w:szCs w:val="18"/>
          <w:lang w:val="es-ES_tradnl"/>
        </w:rPr>
        <w:t xml:space="preserve"> solamente despu</w:t>
      </w:r>
      <w:r>
        <w:rPr>
          <w:rFonts w:cs="Times New Roman"/>
          <w:spacing w:val="-11"/>
          <w:sz w:val="18"/>
          <w:szCs w:val="18"/>
          <w:lang w:val="es-ES_tradnl"/>
        </w:rPr>
        <w:t>é</w:t>
      </w:r>
      <w:r>
        <w:rPr>
          <w:spacing w:val="-11"/>
          <w:sz w:val="18"/>
          <w:szCs w:val="18"/>
          <w:lang w:val="es-ES_tradnl"/>
        </w:rPr>
        <w:t xml:space="preserve">s de consultar con las Autoridades </w:t>
      </w:r>
      <w:r>
        <w:rPr>
          <w:spacing w:val="-9"/>
          <w:sz w:val="18"/>
          <w:szCs w:val="18"/>
          <w:lang w:val="es-ES_tradnl"/>
        </w:rPr>
        <w:t>Aeron</w:t>
      </w:r>
      <w:r>
        <w:rPr>
          <w:rFonts w:cs="Times New Roman"/>
          <w:spacing w:val="-9"/>
          <w:sz w:val="18"/>
          <w:szCs w:val="18"/>
          <w:lang w:val="es-ES_tradnl"/>
        </w:rPr>
        <w:t>á</w:t>
      </w:r>
      <w:r>
        <w:rPr>
          <w:spacing w:val="-9"/>
          <w:sz w:val="18"/>
          <w:szCs w:val="18"/>
          <w:lang w:val="es-ES_tradnl"/>
        </w:rPr>
        <w:t>uticas de la Parte Contratante que designa a la l</w:t>
      </w:r>
      <w:r>
        <w:rPr>
          <w:rFonts w:cs="Times New Roman"/>
          <w:spacing w:val="-9"/>
          <w:sz w:val="18"/>
          <w:szCs w:val="18"/>
          <w:lang w:val="es-ES_tradnl"/>
        </w:rPr>
        <w:t>í</w:t>
      </w:r>
      <w:r>
        <w:rPr>
          <w:spacing w:val="-9"/>
          <w:sz w:val="18"/>
          <w:szCs w:val="18"/>
          <w:lang w:val="es-ES_tradnl"/>
        </w:rPr>
        <w:t xml:space="preserve">nea </w:t>
      </w:r>
      <w:r>
        <w:rPr>
          <w:spacing w:val="-6"/>
          <w:sz w:val="18"/>
          <w:szCs w:val="18"/>
          <w:lang w:val="es-ES_tradnl"/>
        </w:rPr>
        <w:t>a</w:t>
      </w:r>
      <w:r>
        <w:rPr>
          <w:rFonts w:cs="Times New Roman"/>
          <w:spacing w:val="-6"/>
          <w:sz w:val="18"/>
          <w:szCs w:val="18"/>
          <w:lang w:val="es-ES_tradnl"/>
        </w:rPr>
        <w:t>é</w:t>
      </w:r>
      <w:r>
        <w:rPr>
          <w:spacing w:val="-6"/>
          <w:sz w:val="18"/>
          <w:szCs w:val="18"/>
          <w:lang w:val="es-ES_tradnl"/>
        </w:rPr>
        <w:t>rea, de conformidad con el Art</w:t>
      </w:r>
      <w:r>
        <w:rPr>
          <w:rFonts w:cs="Times New Roman"/>
          <w:spacing w:val="-6"/>
          <w:sz w:val="18"/>
          <w:szCs w:val="18"/>
          <w:lang w:val="es-ES_tradnl"/>
        </w:rPr>
        <w:t>í</w:t>
      </w:r>
      <w:r>
        <w:rPr>
          <w:spacing w:val="-6"/>
          <w:sz w:val="18"/>
          <w:szCs w:val="18"/>
          <w:lang w:val="es-ES_tradnl"/>
        </w:rPr>
        <w:t xml:space="preserve">culo 19 (Consultas) del </w:t>
      </w:r>
      <w:r>
        <w:rPr>
          <w:sz w:val="18"/>
          <w:szCs w:val="18"/>
          <w:lang w:val="es-ES_tradnl"/>
        </w:rPr>
        <w:t>presente Convenio.</w:t>
      </w:r>
    </w:p>
    <w:p w14:paraId="4F67A363" w14:textId="77777777" w:rsidR="00591D54" w:rsidRDefault="00591D54" w:rsidP="00251195">
      <w:pPr>
        <w:numPr>
          <w:ilvl w:val="0"/>
          <w:numId w:val="6"/>
        </w:numPr>
        <w:shd w:val="clear" w:color="auto" w:fill="FFFFFF"/>
        <w:tabs>
          <w:tab w:val="left" w:pos="307"/>
        </w:tabs>
        <w:spacing w:before="192" w:line="216" w:lineRule="exact"/>
        <w:jc w:val="both"/>
        <w:rPr>
          <w:spacing w:val="-6"/>
          <w:sz w:val="18"/>
          <w:szCs w:val="18"/>
          <w:lang w:val="es-ES_tradnl"/>
        </w:rPr>
      </w:pPr>
      <w:r>
        <w:rPr>
          <w:spacing w:val="-6"/>
          <w:sz w:val="18"/>
          <w:szCs w:val="18"/>
          <w:lang w:val="es-ES_tradnl"/>
        </w:rPr>
        <w:t>Este Art</w:t>
      </w:r>
      <w:r>
        <w:rPr>
          <w:rFonts w:cs="Times New Roman"/>
          <w:spacing w:val="-6"/>
          <w:sz w:val="18"/>
          <w:szCs w:val="18"/>
          <w:lang w:val="es-ES_tradnl"/>
        </w:rPr>
        <w:t>í</w:t>
      </w:r>
      <w:r>
        <w:rPr>
          <w:spacing w:val="-6"/>
          <w:sz w:val="18"/>
          <w:szCs w:val="18"/>
          <w:lang w:val="es-ES_tradnl"/>
        </w:rPr>
        <w:t xml:space="preserve">culo no limita los derechos de cada Parte </w:t>
      </w:r>
      <w:r>
        <w:rPr>
          <w:spacing w:val="-9"/>
          <w:sz w:val="18"/>
          <w:szCs w:val="18"/>
          <w:lang w:val="es-ES_tradnl"/>
        </w:rPr>
        <w:t xml:space="preserve">Contratante a retener, revocar, suspender, limitar o imponer </w:t>
      </w:r>
      <w:r>
        <w:rPr>
          <w:spacing w:val="-8"/>
          <w:sz w:val="18"/>
          <w:szCs w:val="18"/>
          <w:lang w:val="es-ES_tradnl"/>
        </w:rPr>
        <w:t>condiciones a las autorizaciones de operaci</w:t>
      </w:r>
      <w:r>
        <w:rPr>
          <w:rFonts w:cs="Times New Roman"/>
          <w:spacing w:val="-8"/>
          <w:sz w:val="18"/>
          <w:szCs w:val="18"/>
          <w:lang w:val="es-ES_tradnl"/>
        </w:rPr>
        <w:t>ó</w:t>
      </w:r>
      <w:r>
        <w:rPr>
          <w:spacing w:val="-8"/>
          <w:sz w:val="18"/>
          <w:szCs w:val="18"/>
          <w:lang w:val="es-ES_tradnl"/>
        </w:rPr>
        <w:t>n o permisos t</w:t>
      </w:r>
      <w:r>
        <w:rPr>
          <w:rFonts w:cs="Times New Roman"/>
          <w:spacing w:val="-8"/>
          <w:sz w:val="18"/>
          <w:szCs w:val="18"/>
          <w:lang w:val="es-ES_tradnl"/>
        </w:rPr>
        <w:t>é</w:t>
      </w:r>
      <w:r>
        <w:rPr>
          <w:spacing w:val="-8"/>
          <w:sz w:val="18"/>
          <w:szCs w:val="18"/>
          <w:lang w:val="es-ES_tradnl"/>
        </w:rPr>
        <w:t>cnicos de una l</w:t>
      </w:r>
      <w:r>
        <w:rPr>
          <w:rFonts w:cs="Times New Roman"/>
          <w:spacing w:val="-8"/>
          <w:sz w:val="18"/>
          <w:szCs w:val="18"/>
          <w:lang w:val="es-ES_tradnl"/>
        </w:rPr>
        <w:t>í</w:t>
      </w:r>
      <w:r>
        <w:rPr>
          <w:spacing w:val="-8"/>
          <w:sz w:val="18"/>
          <w:szCs w:val="18"/>
          <w:lang w:val="es-ES_tradnl"/>
        </w:rPr>
        <w:t>nea a</w:t>
      </w:r>
      <w:r>
        <w:rPr>
          <w:rFonts w:cs="Times New Roman"/>
          <w:spacing w:val="-8"/>
          <w:sz w:val="18"/>
          <w:szCs w:val="18"/>
          <w:lang w:val="es-ES_tradnl"/>
        </w:rPr>
        <w:t>é</w:t>
      </w:r>
      <w:r>
        <w:rPr>
          <w:spacing w:val="-8"/>
          <w:sz w:val="18"/>
          <w:szCs w:val="18"/>
          <w:lang w:val="es-ES_tradnl"/>
        </w:rPr>
        <w:t xml:space="preserve">rea designada por la otra Parte </w:t>
      </w:r>
      <w:r>
        <w:rPr>
          <w:spacing w:val="-6"/>
          <w:sz w:val="18"/>
          <w:szCs w:val="18"/>
          <w:lang w:val="es-ES_tradnl"/>
        </w:rPr>
        <w:t>Contratante, de conformidad con el Art</w:t>
      </w:r>
      <w:r>
        <w:rPr>
          <w:rFonts w:cs="Times New Roman"/>
          <w:spacing w:val="-6"/>
          <w:sz w:val="18"/>
          <w:szCs w:val="18"/>
          <w:lang w:val="es-ES_tradnl"/>
        </w:rPr>
        <w:t>í</w:t>
      </w:r>
      <w:r>
        <w:rPr>
          <w:spacing w:val="-6"/>
          <w:sz w:val="18"/>
          <w:szCs w:val="18"/>
          <w:lang w:val="es-ES_tradnl"/>
        </w:rPr>
        <w:t xml:space="preserve">culo 8 (Seguridad </w:t>
      </w:r>
      <w:r>
        <w:rPr>
          <w:spacing w:val="-4"/>
          <w:sz w:val="18"/>
          <w:szCs w:val="18"/>
          <w:lang w:val="es-ES_tradnl"/>
        </w:rPr>
        <w:t>de Vuelo) y el Art</w:t>
      </w:r>
      <w:r>
        <w:rPr>
          <w:rFonts w:cs="Times New Roman"/>
          <w:spacing w:val="-4"/>
          <w:sz w:val="18"/>
          <w:szCs w:val="18"/>
          <w:lang w:val="es-ES_tradnl"/>
        </w:rPr>
        <w:t>í</w:t>
      </w:r>
      <w:r>
        <w:rPr>
          <w:spacing w:val="-4"/>
          <w:sz w:val="18"/>
          <w:szCs w:val="18"/>
          <w:lang w:val="es-ES_tradnl"/>
        </w:rPr>
        <w:t>culo 9 (Seguridad de la Aviaci</w:t>
      </w:r>
      <w:r>
        <w:rPr>
          <w:rFonts w:cs="Times New Roman"/>
          <w:spacing w:val="-4"/>
          <w:sz w:val="18"/>
          <w:szCs w:val="18"/>
          <w:lang w:val="es-ES_tradnl"/>
        </w:rPr>
        <w:t>ó</w:t>
      </w:r>
      <w:r>
        <w:rPr>
          <w:spacing w:val="-4"/>
          <w:sz w:val="18"/>
          <w:szCs w:val="18"/>
          <w:lang w:val="es-ES_tradnl"/>
        </w:rPr>
        <w:t xml:space="preserve">n) del </w:t>
      </w:r>
      <w:r>
        <w:rPr>
          <w:sz w:val="18"/>
          <w:szCs w:val="18"/>
          <w:lang w:val="es-ES_tradnl"/>
        </w:rPr>
        <w:t>presente Convenio.</w:t>
      </w:r>
    </w:p>
    <w:p w14:paraId="4F67A364" w14:textId="77777777" w:rsidR="00591D54" w:rsidRDefault="00591D54">
      <w:pPr>
        <w:shd w:val="clear" w:color="auto" w:fill="FFFFFF"/>
        <w:spacing w:before="192" w:line="216" w:lineRule="exact"/>
        <w:ind w:left="1363" w:right="1306" w:firstLine="240"/>
      </w:pPr>
      <w:r>
        <w:rPr>
          <w:b/>
          <w:bCs/>
          <w:sz w:val="18"/>
          <w:szCs w:val="18"/>
          <w:lang w:val="es-ES_tradnl"/>
        </w:rPr>
        <w:t>ART</w:t>
      </w:r>
      <w:r>
        <w:rPr>
          <w:rFonts w:cs="Times New Roman"/>
          <w:b/>
          <w:bCs/>
          <w:sz w:val="18"/>
          <w:szCs w:val="18"/>
          <w:lang w:val="es-ES_tradnl"/>
        </w:rPr>
        <w:t>Í</w:t>
      </w:r>
      <w:r>
        <w:rPr>
          <w:b/>
          <w:bCs/>
          <w:sz w:val="18"/>
          <w:szCs w:val="18"/>
          <w:lang w:val="es-ES_tradnl"/>
        </w:rPr>
        <w:t xml:space="preserve">CULO 5 </w:t>
      </w:r>
      <w:r>
        <w:rPr>
          <w:b/>
          <w:bCs/>
          <w:spacing w:val="-9"/>
          <w:sz w:val="18"/>
          <w:szCs w:val="18"/>
          <w:lang w:val="es-ES_tradnl"/>
        </w:rPr>
        <w:t>Aplicaci</w:t>
      </w:r>
      <w:r>
        <w:rPr>
          <w:rFonts w:cs="Times New Roman"/>
          <w:b/>
          <w:bCs/>
          <w:spacing w:val="-9"/>
          <w:sz w:val="18"/>
          <w:szCs w:val="18"/>
          <w:lang w:val="es-ES_tradnl"/>
        </w:rPr>
        <w:t>ó</w:t>
      </w:r>
      <w:r>
        <w:rPr>
          <w:b/>
          <w:bCs/>
          <w:spacing w:val="-9"/>
          <w:sz w:val="18"/>
          <w:szCs w:val="18"/>
          <w:lang w:val="es-ES_tradnl"/>
        </w:rPr>
        <w:t>n de la Ley</w:t>
      </w:r>
    </w:p>
    <w:p w14:paraId="4F67A365" w14:textId="77777777" w:rsidR="00591D54" w:rsidRDefault="00591D54" w:rsidP="00251195">
      <w:pPr>
        <w:numPr>
          <w:ilvl w:val="0"/>
          <w:numId w:val="7"/>
        </w:numPr>
        <w:shd w:val="clear" w:color="auto" w:fill="FFFFFF"/>
        <w:tabs>
          <w:tab w:val="left" w:pos="264"/>
        </w:tabs>
        <w:spacing w:before="192" w:line="216" w:lineRule="exact"/>
        <w:jc w:val="both"/>
        <w:rPr>
          <w:spacing w:val="-6"/>
          <w:sz w:val="18"/>
          <w:szCs w:val="18"/>
          <w:lang w:val="es-ES_tradnl"/>
        </w:rPr>
      </w:pPr>
      <w:r>
        <w:rPr>
          <w:spacing w:val="-9"/>
          <w:sz w:val="18"/>
          <w:szCs w:val="18"/>
          <w:lang w:val="es-ES_tradnl"/>
        </w:rPr>
        <w:t xml:space="preserve">Las leyes y regulaciones de cada Parte Contratante que </w:t>
      </w:r>
      <w:r>
        <w:rPr>
          <w:spacing w:val="-7"/>
          <w:sz w:val="18"/>
          <w:szCs w:val="18"/>
          <w:lang w:val="es-ES_tradnl"/>
        </w:rPr>
        <w:t xml:space="preserve">rigen para la entrada y salida de su territorio de aeronaves </w:t>
      </w:r>
      <w:r>
        <w:rPr>
          <w:spacing w:val="-11"/>
          <w:sz w:val="18"/>
          <w:szCs w:val="18"/>
          <w:lang w:val="es-ES_tradnl"/>
        </w:rPr>
        <w:t>dedicadas a servicios a</w:t>
      </w:r>
      <w:r>
        <w:rPr>
          <w:rFonts w:cs="Times New Roman"/>
          <w:spacing w:val="-11"/>
          <w:sz w:val="18"/>
          <w:szCs w:val="18"/>
          <w:lang w:val="es-ES_tradnl"/>
        </w:rPr>
        <w:t>é</w:t>
      </w:r>
      <w:r>
        <w:rPr>
          <w:spacing w:val="-11"/>
          <w:sz w:val="18"/>
          <w:szCs w:val="18"/>
          <w:lang w:val="es-ES_tradnl"/>
        </w:rPr>
        <w:t>reos internacionales o a la operaci</w:t>
      </w:r>
      <w:r>
        <w:rPr>
          <w:rFonts w:cs="Times New Roman"/>
          <w:spacing w:val="-11"/>
          <w:sz w:val="18"/>
          <w:szCs w:val="18"/>
          <w:lang w:val="es-ES_tradnl"/>
        </w:rPr>
        <w:t>ó</w:t>
      </w:r>
      <w:r>
        <w:rPr>
          <w:spacing w:val="-11"/>
          <w:sz w:val="18"/>
          <w:szCs w:val="18"/>
          <w:lang w:val="es-ES_tradnl"/>
        </w:rPr>
        <w:t xml:space="preserve">n </w:t>
      </w:r>
      <w:r>
        <w:rPr>
          <w:spacing w:val="-9"/>
          <w:sz w:val="18"/>
          <w:szCs w:val="18"/>
          <w:lang w:val="es-ES_tradnl"/>
        </w:rPr>
        <w:t>y navegaci</w:t>
      </w:r>
      <w:r>
        <w:rPr>
          <w:rFonts w:cs="Times New Roman"/>
          <w:spacing w:val="-9"/>
          <w:sz w:val="18"/>
          <w:szCs w:val="18"/>
          <w:lang w:val="es-ES_tradnl"/>
        </w:rPr>
        <w:t>ó</w:t>
      </w:r>
      <w:r>
        <w:rPr>
          <w:spacing w:val="-9"/>
          <w:sz w:val="18"/>
          <w:szCs w:val="18"/>
          <w:lang w:val="es-ES_tradnl"/>
        </w:rPr>
        <w:t xml:space="preserve">n de dichas aeronaves mientras se encuentren </w:t>
      </w:r>
      <w:r>
        <w:rPr>
          <w:spacing w:val="-10"/>
          <w:sz w:val="18"/>
          <w:szCs w:val="18"/>
          <w:lang w:val="es-ES_tradnl"/>
        </w:rPr>
        <w:t>en su territorio se aplicar</w:t>
      </w:r>
      <w:r>
        <w:rPr>
          <w:rFonts w:cs="Times New Roman"/>
          <w:spacing w:val="-10"/>
          <w:sz w:val="18"/>
          <w:szCs w:val="18"/>
          <w:lang w:val="es-ES_tradnl"/>
        </w:rPr>
        <w:t>á</w:t>
      </w:r>
      <w:r>
        <w:rPr>
          <w:spacing w:val="-10"/>
          <w:sz w:val="18"/>
          <w:szCs w:val="18"/>
          <w:lang w:val="es-ES_tradnl"/>
        </w:rPr>
        <w:t>n a las aeronaves de la l</w:t>
      </w:r>
      <w:r>
        <w:rPr>
          <w:rFonts w:cs="Times New Roman"/>
          <w:spacing w:val="-10"/>
          <w:sz w:val="18"/>
          <w:szCs w:val="18"/>
          <w:lang w:val="es-ES_tradnl"/>
        </w:rPr>
        <w:t>í</w:t>
      </w:r>
      <w:r>
        <w:rPr>
          <w:spacing w:val="-10"/>
          <w:sz w:val="18"/>
          <w:szCs w:val="18"/>
          <w:lang w:val="es-ES_tradnl"/>
        </w:rPr>
        <w:t>nea a</w:t>
      </w:r>
      <w:r>
        <w:rPr>
          <w:rFonts w:cs="Times New Roman"/>
          <w:spacing w:val="-10"/>
          <w:sz w:val="18"/>
          <w:szCs w:val="18"/>
          <w:lang w:val="es-ES_tradnl"/>
        </w:rPr>
        <w:t>é</w:t>
      </w:r>
      <w:r>
        <w:rPr>
          <w:spacing w:val="-10"/>
          <w:sz w:val="18"/>
          <w:szCs w:val="18"/>
          <w:lang w:val="es-ES_tradnl"/>
        </w:rPr>
        <w:t xml:space="preserve">rea </w:t>
      </w:r>
      <w:r>
        <w:rPr>
          <w:sz w:val="18"/>
          <w:szCs w:val="18"/>
          <w:lang w:val="es-ES_tradnl"/>
        </w:rPr>
        <w:t>designada de la otra Parte Contratante.</w:t>
      </w:r>
    </w:p>
    <w:p w14:paraId="4F67A366" w14:textId="77777777" w:rsidR="00591D54" w:rsidRDefault="00591D54" w:rsidP="00251195">
      <w:pPr>
        <w:numPr>
          <w:ilvl w:val="0"/>
          <w:numId w:val="7"/>
        </w:numPr>
        <w:shd w:val="clear" w:color="auto" w:fill="FFFFFF"/>
        <w:tabs>
          <w:tab w:val="left" w:pos="264"/>
        </w:tabs>
        <w:spacing w:before="197" w:line="216" w:lineRule="exact"/>
        <w:jc w:val="both"/>
        <w:rPr>
          <w:spacing w:val="-6"/>
          <w:sz w:val="18"/>
          <w:szCs w:val="18"/>
          <w:lang w:val="es-ES_tradnl"/>
        </w:rPr>
      </w:pPr>
      <w:r>
        <w:rPr>
          <w:spacing w:val="-8"/>
          <w:sz w:val="18"/>
          <w:szCs w:val="18"/>
          <w:lang w:val="es-ES_tradnl"/>
        </w:rPr>
        <w:t xml:space="preserve">Las leyes y regulaciones de cada Parte Contratante </w:t>
      </w:r>
      <w:r>
        <w:rPr>
          <w:spacing w:val="-1"/>
          <w:sz w:val="18"/>
          <w:szCs w:val="18"/>
          <w:lang w:val="es-ES_tradnl"/>
        </w:rPr>
        <w:t xml:space="preserve">relativas a la entrada, estancia y salida de su territorio </w:t>
      </w:r>
      <w:r>
        <w:rPr>
          <w:sz w:val="18"/>
          <w:szCs w:val="18"/>
          <w:lang w:val="es-ES_tradnl"/>
        </w:rPr>
        <w:t>de pasajeros, tripulaci</w:t>
      </w:r>
      <w:r>
        <w:rPr>
          <w:rFonts w:cs="Times New Roman"/>
          <w:sz w:val="18"/>
          <w:szCs w:val="18"/>
          <w:lang w:val="es-ES_tradnl"/>
        </w:rPr>
        <w:t>ó</w:t>
      </w:r>
      <w:r>
        <w:rPr>
          <w:sz w:val="18"/>
          <w:szCs w:val="18"/>
          <w:lang w:val="es-ES_tradnl"/>
        </w:rPr>
        <w:t xml:space="preserve">n y carga, incluyendo correo, </w:t>
      </w:r>
      <w:r>
        <w:rPr>
          <w:spacing w:val="-7"/>
          <w:sz w:val="18"/>
          <w:szCs w:val="18"/>
          <w:lang w:val="es-ES_tradnl"/>
        </w:rPr>
        <w:t>tales como los relacionados con la inmigraci</w:t>
      </w:r>
      <w:r>
        <w:rPr>
          <w:rFonts w:cs="Times New Roman"/>
          <w:spacing w:val="-7"/>
          <w:sz w:val="18"/>
          <w:szCs w:val="18"/>
          <w:lang w:val="es-ES_tradnl"/>
        </w:rPr>
        <w:t>ó</w:t>
      </w:r>
      <w:r>
        <w:rPr>
          <w:spacing w:val="-7"/>
          <w:sz w:val="18"/>
          <w:szCs w:val="18"/>
          <w:lang w:val="es-ES_tradnl"/>
        </w:rPr>
        <w:t xml:space="preserve">n, aduanas, </w:t>
      </w:r>
      <w:r>
        <w:rPr>
          <w:spacing w:val="-12"/>
          <w:sz w:val="18"/>
          <w:szCs w:val="18"/>
          <w:lang w:val="es-ES_tradnl"/>
        </w:rPr>
        <w:t xml:space="preserve">moneda, salud y cuarentena, deben aplicarse a los pasajeros, </w:t>
      </w:r>
      <w:r>
        <w:rPr>
          <w:spacing w:val="-8"/>
          <w:sz w:val="18"/>
          <w:szCs w:val="18"/>
          <w:lang w:val="es-ES_tradnl"/>
        </w:rPr>
        <w:t>tripulaci</w:t>
      </w:r>
      <w:r>
        <w:rPr>
          <w:rFonts w:cs="Times New Roman"/>
          <w:spacing w:val="-8"/>
          <w:sz w:val="18"/>
          <w:szCs w:val="18"/>
          <w:lang w:val="es-ES_tradnl"/>
        </w:rPr>
        <w:t>ó</w:t>
      </w:r>
      <w:r>
        <w:rPr>
          <w:spacing w:val="-8"/>
          <w:sz w:val="18"/>
          <w:szCs w:val="18"/>
          <w:lang w:val="es-ES_tradnl"/>
        </w:rPr>
        <w:t>n, carga y correo transportados por las aeronaves de la l</w:t>
      </w:r>
      <w:r>
        <w:rPr>
          <w:rFonts w:cs="Times New Roman"/>
          <w:spacing w:val="-8"/>
          <w:sz w:val="18"/>
          <w:szCs w:val="18"/>
          <w:lang w:val="es-ES_tradnl"/>
        </w:rPr>
        <w:t>í</w:t>
      </w:r>
      <w:r>
        <w:rPr>
          <w:spacing w:val="-8"/>
          <w:sz w:val="18"/>
          <w:szCs w:val="18"/>
          <w:lang w:val="es-ES_tradnl"/>
        </w:rPr>
        <w:t>nea a</w:t>
      </w:r>
      <w:r>
        <w:rPr>
          <w:rFonts w:cs="Times New Roman"/>
          <w:spacing w:val="-8"/>
          <w:sz w:val="18"/>
          <w:szCs w:val="18"/>
          <w:lang w:val="es-ES_tradnl"/>
        </w:rPr>
        <w:t>é</w:t>
      </w:r>
      <w:r>
        <w:rPr>
          <w:spacing w:val="-8"/>
          <w:sz w:val="18"/>
          <w:szCs w:val="18"/>
          <w:lang w:val="es-ES_tradnl"/>
        </w:rPr>
        <w:t xml:space="preserve">rea designada de la otra Parte Contratante, </w:t>
      </w:r>
      <w:r>
        <w:rPr>
          <w:sz w:val="18"/>
          <w:szCs w:val="18"/>
          <w:lang w:val="es-ES_tradnl"/>
        </w:rPr>
        <w:t>mientras est</w:t>
      </w:r>
      <w:r>
        <w:rPr>
          <w:rFonts w:cs="Times New Roman"/>
          <w:sz w:val="18"/>
          <w:szCs w:val="18"/>
          <w:lang w:val="es-ES_tradnl"/>
        </w:rPr>
        <w:t>é</w:t>
      </w:r>
      <w:r>
        <w:rPr>
          <w:sz w:val="18"/>
          <w:szCs w:val="18"/>
          <w:lang w:val="es-ES_tradnl"/>
        </w:rPr>
        <w:t>n dentro de ese territorio.</w:t>
      </w:r>
    </w:p>
    <w:p w14:paraId="4F67A367" w14:textId="77777777" w:rsidR="00591D54" w:rsidRDefault="00591D54" w:rsidP="00251195">
      <w:pPr>
        <w:numPr>
          <w:ilvl w:val="0"/>
          <w:numId w:val="7"/>
        </w:numPr>
        <w:shd w:val="clear" w:color="auto" w:fill="FFFFFF"/>
        <w:tabs>
          <w:tab w:val="left" w:pos="264"/>
        </w:tabs>
        <w:spacing w:before="197" w:line="216" w:lineRule="exact"/>
        <w:jc w:val="both"/>
        <w:rPr>
          <w:spacing w:val="-6"/>
          <w:sz w:val="18"/>
          <w:szCs w:val="18"/>
          <w:lang w:val="es-ES_tradnl"/>
        </w:rPr>
      </w:pPr>
      <w:r>
        <w:rPr>
          <w:spacing w:val="-7"/>
          <w:sz w:val="18"/>
          <w:szCs w:val="18"/>
          <w:lang w:val="es-ES_tradnl"/>
        </w:rPr>
        <w:t>Otras leyes y regulaciones relativas a las aeronaves y las disposiciones en materia de aviaci</w:t>
      </w:r>
      <w:r>
        <w:rPr>
          <w:rFonts w:cs="Times New Roman"/>
          <w:spacing w:val="-7"/>
          <w:sz w:val="18"/>
          <w:szCs w:val="18"/>
          <w:lang w:val="es-ES_tradnl"/>
        </w:rPr>
        <w:t>ó</w:t>
      </w:r>
      <w:r>
        <w:rPr>
          <w:spacing w:val="-7"/>
          <w:sz w:val="18"/>
          <w:szCs w:val="18"/>
          <w:lang w:val="es-ES_tradnl"/>
        </w:rPr>
        <w:t xml:space="preserve">n civil de una Parte </w:t>
      </w:r>
      <w:r>
        <w:rPr>
          <w:spacing w:val="-10"/>
          <w:sz w:val="18"/>
          <w:szCs w:val="18"/>
          <w:lang w:val="es-ES_tradnl"/>
        </w:rPr>
        <w:t>Contratante ser</w:t>
      </w:r>
      <w:r>
        <w:rPr>
          <w:rFonts w:cs="Times New Roman"/>
          <w:spacing w:val="-10"/>
          <w:sz w:val="18"/>
          <w:szCs w:val="18"/>
          <w:lang w:val="es-ES_tradnl"/>
        </w:rPr>
        <w:t>á</w:t>
      </w:r>
      <w:r>
        <w:rPr>
          <w:spacing w:val="-10"/>
          <w:sz w:val="18"/>
          <w:szCs w:val="18"/>
          <w:lang w:val="es-ES_tradnl"/>
        </w:rPr>
        <w:t>n aplicables a las l</w:t>
      </w:r>
      <w:r>
        <w:rPr>
          <w:rFonts w:cs="Times New Roman"/>
          <w:spacing w:val="-10"/>
          <w:sz w:val="18"/>
          <w:szCs w:val="18"/>
          <w:lang w:val="es-ES_tradnl"/>
        </w:rPr>
        <w:t>í</w:t>
      </w:r>
      <w:r>
        <w:rPr>
          <w:spacing w:val="-10"/>
          <w:sz w:val="18"/>
          <w:szCs w:val="18"/>
          <w:lang w:val="es-ES_tradnl"/>
        </w:rPr>
        <w:t>neas a</w:t>
      </w:r>
      <w:r>
        <w:rPr>
          <w:rFonts w:cs="Times New Roman"/>
          <w:spacing w:val="-10"/>
          <w:sz w:val="18"/>
          <w:szCs w:val="18"/>
          <w:lang w:val="es-ES_tradnl"/>
        </w:rPr>
        <w:t>é</w:t>
      </w:r>
      <w:r>
        <w:rPr>
          <w:spacing w:val="-10"/>
          <w:sz w:val="18"/>
          <w:szCs w:val="18"/>
          <w:lang w:val="es-ES_tradnl"/>
        </w:rPr>
        <w:t xml:space="preserve">reas designadas </w:t>
      </w:r>
      <w:r>
        <w:rPr>
          <w:spacing w:val="-8"/>
          <w:sz w:val="18"/>
          <w:szCs w:val="18"/>
          <w:lang w:val="es-ES_tradnl"/>
        </w:rPr>
        <w:t xml:space="preserve">de la otra Parte Contratante, mientras operan los servicios </w:t>
      </w:r>
      <w:r>
        <w:rPr>
          <w:spacing w:val="-7"/>
          <w:sz w:val="18"/>
          <w:szCs w:val="18"/>
          <w:lang w:val="es-ES_tradnl"/>
        </w:rPr>
        <w:t>acordados en el territorio de la primera Parte Contratante.</w:t>
      </w:r>
    </w:p>
    <w:p w14:paraId="4F67A368" w14:textId="77777777" w:rsidR="00591D54" w:rsidRDefault="00591D54" w:rsidP="00251195">
      <w:pPr>
        <w:numPr>
          <w:ilvl w:val="0"/>
          <w:numId w:val="7"/>
        </w:numPr>
        <w:shd w:val="clear" w:color="auto" w:fill="FFFFFF"/>
        <w:tabs>
          <w:tab w:val="left" w:pos="264"/>
        </w:tabs>
        <w:spacing w:before="197" w:line="216" w:lineRule="exact"/>
        <w:jc w:val="both"/>
        <w:rPr>
          <w:spacing w:val="-6"/>
          <w:sz w:val="18"/>
          <w:szCs w:val="18"/>
          <w:lang w:val="es-ES_tradnl"/>
        </w:rPr>
      </w:pPr>
      <w:r>
        <w:rPr>
          <w:spacing w:val="-8"/>
          <w:sz w:val="18"/>
          <w:szCs w:val="18"/>
          <w:lang w:val="es-ES_tradnl"/>
        </w:rPr>
        <w:t>Ninguna Parte Contratante deber</w:t>
      </w:r>
      <w:r>
        <w:rPr>
          <w:rFonts w:cs="Times New Roman"/>
          <w:spacing w:val="-8"/>
          <w:sz w:val="18"/>
          <w:szCs w:val="18"/>
          <w:lang w:val="es-ES_tradnl"/>
        </w:rPr>
        <w:t>á</w:t>
      </w:r>
      <w:r>
        <w:rPr>
          <w:spacing w:val="-8"/>
          <w:sz w:val="18"/>
          <w:szCs w:val="18"/>
          <w:lang w:val="es-ES_tradnl"/>
        </w:rPr>
        <w:t xml:space="preserve"> dar preferencia a su </w:t>
      </w:r>
      <w:r>
        <w:rPr>
          <w:spacing w:val="-9"/>
          <w:sz w:val="18"/>
          <w:szCs w:val="18"/>
          <w:lang w:val="es-ES_tradnl"/>
        </w:rPr>
        <w:t>propia l</w:t>
      </w:r>
      <w:r>
        <w:rPr>
          <w:rFonts w:cs="Times New Roman"/>
          <w:spacing w:val="-9"/>
          <w:sz w:val="18"/>
          <w:szCs w:val="18"/>
          <w:lang w:val="es-ES_tradnl"/>
        </w:rPr>
        <w:t>í</w:t>
      </w:r>
      <w:r>
        <w:rPr>
          <w:spacing w:val="-9"/>
          <w:sz w:val="18"/>
          <w:szCs w:val="18"/>
          <w:lang w:val="es-ES_tradnl"/>
        </w:rPr>
        <w:t>nea a</w:t>
      </w:r>
      <w:r>
        <w:rPr>
          <w:rFonts w:cs="Times New Roman"/>
          <w:spacing w:val="-9"/>
          <w:sz w:val="18"/>
          <w:szCs w:val="18"/>
          <w:lang w:val="es-ES_tradnl"/>
        </w:rPr>
        <w:t>é</w:t>
      </w:r>
      <w:r>
        <w:rPr>
          <w:spacing w:val="-9"/>
          <w:sz w:val="18"/>
          <w:szCs w:val="18"/>
          <w:lang w:val="es-ES_tradnl"/>
        </w:rPr>
        <w:t>rea o a cualquier otra l</w:t>
      </w:r>
      <w:r>
        <w:rPr>
          <w:rFonts w:cs="Times New Roman"/>
          <w:spacing w:val="-9"/>
          <w:sz w:val="18"/>
          <w:szCs w:val="18"/>
          <w:lang w:val="es-ES_tradnl"/>
        </w:rPr>
        <w:t>í</w:t>
      </w:r>
      <w:r>
        <w:rPr>
          <w:spacing w:val="-9"/>
          <w:sz w:val="18"/>
          <w:szCs w:val="18"/>
          <w:lang w:val="es-ES_tradnl"/>
        </w:rPr>
        <w:t>nea a</w:t>
      </w:r>
      <w:r>
        <w:rPr>
          <w:rFonts w:cs="Times New Roman"/>
          <w:spacing w:val="-9"/>
          <w:sz w:val="18"/>
          <w:szCs w:val="18"/>
          <w:lang w:val="es-ES_tradnl"/>
        </w:rPr>
        <w:t>é</w:t>
      </w:r>
      <w:r>
        <w:rPr>
          <w:spacing w:val="-9"/>
          <w:sz w:val="18"/>
          <w:szCs w:val="18"/>
          <w:lang w:val="es-ES_tradnl"/>
        </w:rPr>
        <w:t xml:space="preserve">rea sobre una </w:t>
      </w:r>
      <w:r>
        <w:rPr>
          <w:spacing w:val="-10"/>
          <w:sz w:val="18"/>
          <w:szCs w:val="18"/>
          <w:lang w:val="es-ES_tradnl"/>
        </w:rPr>
        <w:t>l</w:t>
      </w:r>
      <w:r>
        <w:rPr>
          <w:rFonts w:cs="Times New Roman"/>
          <w:spacing w:val="-10"/>
          <w:sz w:val="18"/>
          <w:szCs w:val="18"/>
          <w:lang w:val="es-ES_tradnl"/>
        </w:rPr>
        <w:t>í</w:t>
      </w:r>
      <w:r>
        <w:rPr>
          <w:spacing w:val="-10"/>
          <w:sz w:val="18"/>
          <w:szCs w:val="18"/>
          <w:lang w:val="es-ES_tradnl"/>
        </w:rPr>
        <w:t>nea a</w:t>
      </w:r>
      <w:r>
        <w:rPr>
          <w:rFonts w:cs="Times New Roman"/>
          <w:spacing w:val="-10"/>
          <w:sz w:val="18"/>
          <w:szCs w:val="18"/>
          <w:lang w:val="es-ES_tradnl"/>
        </w:rPr>
        <w:t>é</w:t>
      </w:r>
      <w:r>
        <w:rPr>
          <w:spacing w:val="-10"/>
          <w:sz w:val="18"/>
          <w:szCs w:val="18"/>
          <w:lang w:val="es-ES_tradnl"/>
        </w:rPr>
        <w:t xml:space="preserve">rea designada de la otra Parte Contratante, dedicada </w:t>
      </w:r>
      <w:r>
        <w:rPr>
          <w:spacing w:val="-9"/>
          <w:sz w:val="18"/>
          <w:szCs w:val="18"/>
          <w:lang w:val="es-ES_tradnl"/>
        </w:rPr>
        <w:t>a servicios a</w:t>
      </w:r>
      <w:r>
        <w:rPr>
          <w:rFonts w:cs="Times New Roman"/>
          <w:spacing w:val="-9"/>
          <w:sz w:val="18"/>
          <w:szCs w:val="18"/>
          <w:lang w:val="es-ES_tradnl"/>
        </w:rPr>
        <w:t>é</w:t>
      </w:r>
      <w:r>
        <w:rPr>
          <w:spacing w:val="-9"/>
          <w:sz w:val="18"/>
          <w:szCs w:val="18"/>
          <w:lang w:val="es-ES_tradnl"/>
        </w:rPr>
        <w:t>reos internacionales similares, en la aplicaci</w:t>
      </w:r>
      <w:r>
        <w:rPr>
          <w:rFonts w:cs="Times New Roman"/>
          <w:spacing w:val="-9"/>
          <w:sz w:val="18"/>
          <w:szCs w:val="18"/>
          <w:lang w:val="es-ES_tradnl"/>
        </w:rPr>
        <w:t>ó</w:t>
      </w:r>
      <w:r>
        <w:rPr>
          <w:spacing w:val="-9"/>
          <w:sz w:val="18"/>
          <w:szCs w:val="18"/>
          <w:lang w:val="es-ES_tradnl"/>
        </w:rPr>
        <w:t xml:space="preserve">n </w:t>
      </w:r>
      <w:r>
        <w:rPr>
          <w:spacing w:val="-8"/>
          <w:sz w:val="18"/>
          <w:szCs w:val="18"/>
          <w:lang w:val="es-ES_tradnl"/>
        </w:rPr>
        <w:t>de sus leyes y regulaciones establecidas en este Art</w:t>
      </w:r>
      <w:r>
        <w:rPr>
          <w:rFonts w:cs="Times New Roman"/>
          <w:spacing w:val="-8"/>
          <w:sz w:val="18"/>
          <w:szCs w:val="18"/>
          <w:lang w:val="es-ES_tradnl"/>
        </w:rPr>
        <w:t>í</w:t>
      </w:r>
      <w:r>
        <w:rPr>
          <w:spacing w:val="-8"/>
          <w:sz w:val="18"/>
          <w:szCs w:val="18"/>
          <w:lang w:val="es-ES_tradnl"/>
        </w:rPr>
        <w:t>culo.</w:t>
      </w:r>
    </w:p>
    <w:p w14:paraId="4F67A369" w14:textId="77777777" w:rsidR="00591D54" w:rsidRDefault="00591D54">
      <w:pPr>
        <w:shd w:val="clear" w:color="auto" w:fill="FFFFFF"/>
        <w:spacing w:before="192" w:line="216" w:lineRule="exact"/>
        <w:ind w:left="1570" w:right="1570"/>
        <w:jc w:val="center"/>
      </w:pPr>
      <w:r>
        <w:rPr>
          <w:b/>
          <w:bCs/>
          <w:sz w:val="18"/>
          <w:szCs w:val="18"/>
          <w:lang w:val="es-ES_tradnl"/>
        </w:rPr>
        <w:t>ART</w:t>
      </w:r>
      <w:r>
        <w:rPr>
          <w:rFonts w:cs="Times New Roman"/>
          <w:b/>
          <w:bCs/>
          <w:sz w:val="18"/>
          <w:szCs w:val="18"/>
          <w:lang w:val="es-ES_tradnl"/>
        </w:rPr>
        <w:t>Í</w:t>
      </w:r>
      <w:r>
        <w:rPr>
          <w:b/>
          <w:bCs/>
          <w:sz w:val="18"/>
          <w:szCs w:val="18"/>
          <w:lang w:val="es-ES_tradnl"/>
        </w:rPr>
        <w:t xml:space="preserve">CULO 6 </w:t>
      </w:r>
      <w:r>
        <w:rPr>
          <w:b/>
          <w:bCs/>
          <w:spacing w:val="-11"/>
          <w:sz w:val="18"/>
          <w:szCs w:val="18"/>
          <w:lang w:val="es-ES_tradnl"/>
        </w:rPr>
        <w:t>Tr</w:t>
      </w:r>
      <w:r>
        <w:rPr>
          <w:rFonts w:cs="Times New Roman"/>
          <w:b/>
          <w:bCs/>
          <w:spacing w:val="-11"/>
          <w:sz w:val="18"/>
          <w:szCs w:val="18"/>
          <w:lang w:val="es-ES_tradnl"/>
        </w:rPr>
        <w:t>á</w:t>
      </w:r>
      <w:r>
        <w:rPr>
          <w:b/>
          <w:bCs/>
          <w:spacing w:val="-11"/>
          <w:sz w:val="18"/>
          <w:szCs w:val="18"/>
          <w:lang w:val="es-ES_tradnl"/>
        </w:rPr>
        <w:t>fico Directo</w:t>
      </w:r>
    </w:p>
    <w:p w14:paraId="4F67A36A" w14:textId="77777777" w:rsidR="00591D54" w:rsidRDefault="00591D54">
      <w:pPr>
        <w:shd w:val="clear" w:color="auto" w:fill="FFFFFF"/>
        <w:spacing w:before="197" w:line="216" w:lineRule="exact"/>
        <w:jc w:val="both"/>
      </w:pPr>
      <w:r>
        <w:rPr>
          <w:spacing w:val="-4"/>
          <w:sz w:val="18"/>
          <w:szCs w:val="18"/>
          <w:lang w:val="es-ES_tradnl"/>
        </w:rPr>
        <w:t>Los pasajeros, equipaje y carga en el tr</w:t>
      </w:r>
      <w:r>
        <w:rPr>
          <w:rFonts w:cs="Times New Roman"/>
          <w:spacing w:val="-4"/>
          <w:sz w:val="18"/>
          <w:szCs w:val="18"/>
          <w:lang w:val="es-ES_tradnl"/>
        </w:rPr>
        <w:t>á</w:t>
      </w:r>
      <w:r>
        <w:rPr>
          <w:spacing w:val="-4"/>
          <w:sz w:val="18"/>
          <w:szCs w:val="18"/>
          <w:lang w:val="es-ES_tradnl"/>
        </w:rPr>
        <w:t xml:space="preserve">fico directo a </w:t>
      </w:r>
      <w:r>
        <w:rPr>
          <w:sz w:val="18"/>
          <w:szCs w:val="18"/>
          <w:lang w:val="es-ES_tradnl"/>
        </w:rPr>
        <w:t>trav</w:t>
      </w:r>
      <w:r>
        <w:rPr>
          <w:rFonts w:cs="Times New Roman"/>
          <w:sz w:val="18"/>
          <w:szCs w:val="18"/>
          <w:lang w:val="es-ES_tradnl"/>
        </w:rPr>
        <w:t>é</w:t>
      </w:r>
      <w:r>
        <w:rPr>
          <w:sz w:val="18"/>
          <w:szCs w:val="18"/>
          <w:lang w:val="es-ES_tradnl"/>
        </w:rPr>
        <w:t xml:space="preserve">s del territorio de cada Parte Contratante y que </w:t>
      </w:r>
      <w:r>
        <w:rPr>
          <w:spacing w:val="-9"/>
          <w:sz w:val="18"/>
          <w:szCs w:val="18"/>
          <w:lang w:val="es-ES_tradnl"/>
        </w:rPr>
        <w:t xml:space="preserve">no abandonan el </w:t>
      </w:r>
      <w:r>
        <w:rPr>
          <w:rFonts w:cs="Times New Roman"/>
          <w:spacing w:val="-9"/>
          <w:sz w:val="18"/>
          <w:szCs w:val="18"/>
          <w:lang w:val="es-ES_tradnl"/>
        </w:rPr>
        <w:t>á</w:t>
      </w:r>
      <w:r>
        <w:rPr>
          <w:spacing w:val="-9"/>
          <w:sz w:val="18"/>
          <w:szCs w:val="18"/>
          <w:lang w:val="es-ES_tradnl"/>
        </w:rPr>
        <w:t xml:space="preserve">rea del aeropuerto reservada para tal </w:t>
      </w:r>
      <w:r>
        <w:rPr>
          <w:spacing w:val="-7"/>
          <w:sz w:val="18"/>
          <w:szCs w:val="18"/>
          <w:lang w:val="es-ES_tradnl"/>
        </w:rPr>
        <w:t>prop</w:t>
      </w:r>
      <w:r>
        <w:rPr>
          <w:rFonts w:cs="Times New Roman"/>
          <w:spacing w:val="-7"/>
          <w:sz w:val="18"/>
          <w:szCs w:val="18"/>
          <w:lang w:val="es-ES_tradnl"/>
        </w:rPr>
        <w:t>ó</w:t>
      </w:r>
      <w:r>
        <w:rPr>
          <w:spacing w:val="-7"/>
          <w:sz w:val="18"/>
          <w:szCs w:val="18"/>
          <w:lang w:val="es-ES_tradnl"/>
        </w:rPr>
        <w:t>sito, no estar</w:t>
      </w:r>
      <w:r>
        <w:rPr>
          <w:rFonts w:cs="Times New Roman"/>
          <w:spacing w:val="-7"/>
          <w:sz w:val="18"/>
          <w:szCs w:val="18"/>
          <w:lang w:val="es-ES_tradnl"/>
        </w:rPr>
        <w:t>á</w:t>
      </w:r>
      <w:r>
        <w:rPr>
          <w:spacing w:val="-7"/>
          <w:sz w:val="18"/>
          <w:szCs w:val="18"/>
          <w:lang w:val="es-ES_tradnl"/>
        </w:rPr>
        <w:t>n sujetos a un examen m</w:t>
      </w:r>
      <w:r>
        <w:rPr>
          <w:rFonts w:cs="Times New Roman"/>
          <w:spacing w:val="-7"/>
          <w:sz w:val="18"/>
          <w:szCs w:val="18"/>
          <w:lang w:val="es-ES_tradnl"/>
        </w:rPr>
        <w:t>á</w:t>
      </w:r>
      <w:r>
        <w:rPr>
          <w:spacing w:val="-7"/>
          <w:sz w:val="18"/>
          <w:szCs w:val="18"/>
          <w:lang w:val="es-ES_tradnl"/>
        </w:rPr>
        <w:t xml:space="preserve">s detenido, </w:t>
      </w:r>
      <w:r>
        <w:rPr>
          <w:spacing w:val="-6"/>
          <w:sz w:val="18"/>
          <w:szCs w:val="18"/>
          <w:lang w:val="es-ES_tradnl"/>
        </w:rPr>
        <w:t>salvo por razones de seguridad de la aviaci</w:t>
      </w:r>
      <w:r>
        <w:rPr>
          <w:rFonts w:cs="Times New Roman"/>
          <w:spacing w:val="-6"/>
          <w:sz w:val="18"/>
          <w:szCs w:val="18"/>
          <w:lang w:val="es-ES_tradnl"/>
        </w:rPr>
        <w:t>ó</w:t>
      </w:r>
      <w:r>
        <w:rPr>
          <w:spacing w:val="-6"/>
          <w:sz w:val="18"/>
          <w:szCs w:val="18"/>
          <w:lang w:val="es-ES_tradnl"/>
        </w:rPr>
        <w:t>n, control de estupefacientes, la prevenci</w:t>
      </w:r>
      <w:r>
        <w:rPr>
          <w:rFonts w:cs="Times New Roman"/>
          <w:spacing w:val="-6"/>
          <w:sz w:val="18"/>
          <w:szCs w:val="18"/>
          <w:lang w:val="es-ES_tradnl"/>
        </w:rPr>
        <w:t>ó</w:t>
      </w:r>
      <w:r>
        <w:rPr>
          <w:spacing w:val="-6"/>
          <w:sz w:val="18"/>
          <w:szCs w:val="18"/>
          <w:lang w:val="es-ES_tradnl"/>
        </w:rPr>
        <w:t xml:space="preserve">n de la entrada ilegal, o por </w:t>
      </w:r>
      <w:r>
        <w:rPr>
          <w:spacing w:val="-10"/>
          <w:sz w:val="18"/>
          <w:szCs w:val="18"/>
          <w:lang w:val="es-ES_tradnl"/>
        </w:rPr>
        <w:t>circunstancias especiales. El equipaje y la carga en el tr</w:t>
      </w:r>
      <w:r>
        <w:rPr>
          <w:rFonts w:cs="Times New Roman"/>
          <w:spacing w:val="-10"/>
          <w:sz w:val="18"/>
          <w:szCs w:val="18"/>
          <w:lang w:val="es-ES_tradnl"/>
        </w:rPr>
        <w:t>á</w:t>
      </w:r>
      <w:r>
        <w:rPr>
          <w:spacing w:val="-10"/>
          <w:sz w:val="18"/>
          <w:szCs w:val="18"/>
          <w:lang w:val="es-ES_tradnl"/>
        </w:rPr>
        <w:t xml:space="preserve">fico </w:t>
      </w:r>
      <w:r>
        <w:rPr>
          <w:spacing w:val="-9"/>
          <w:sz w:val="18"/>
          <w:szCs w:val="18"/>
          <w:lang w:val="es-ES_tradnl"/>
        </w:rPr>
        <w:t>directo estar</w:t>
      </w:r>
      <w:r>
        <w:rPr>
          <w:rFonts w:cs="Times New Roman"/>
          <w:spacing w:val="-9"/>
          <w:sz w:val="18"/>
          <w:szCs w:val="18"/>
          <w:lang w:val="es-ES_tradnl"/>
        </w:rPr>
        <w:t>á</w:t>
      </w:r>
      <w:r>
        <w:rPr>
          <w:spacing w:val="-9"/>
          <w:sz w:val="18"/>
          <w:szCs w:val="18"/>
          <w:lang w:val="es-ES_tradnl"/>
        </w:rPr>
        <w:t xml:space="preserve">n exentos de derechos de aduana y otros </w:t>
      </w:r>
      <w:r>
        <w:rPr>
          <w:sz w:val="18"/>
          <w:szCs w:val="18"/>
          <w:lang w:val="es-ES_tradnl"/>
        </w:rPr>
        <w:t>impuestos similares.</w:t>
      </w:r>
    </w:p>
    <w:p w14:paraId="4F67A36B" w14:textId="77777777" w:rsidR="00591D54" w:rsidRDefault="00591D54">
      <w:pPr>
        <w:shd w:val="clear" w:color="auto" w:fill="FFFFFF"/>
        <w:spacing w:before="197" w:line="216" w:lineRule="exact"/>
        <w:jc w:val="both"/>
        <w:sectPr w:rsidR="00591D54">
          <w:type w:val="continuous"/>
          <w:pgSz w:w="11909" w:h="16834"/>
          <w:pgMar w:top="1368" w:right="1309" w:bottom="360" w:left="1308" w:header="720" w:footer="720" w:gutter="0"/>
          <w:cols w:num="2" w:space="720" w:equalWidth="0">
            <w:col w:w="4305" w:space="682"/>
            <w:col w:w="4305"/>
          </w:cols>
          <w:noEndnote/>
        </w:sectPr>
      </w:pPr>
    </w:p>
    <w:p w14:paraId="4F67A36C" w14:textId="77777777" w:rsidR="00591D54" w:rsidRDefault="00591D54">
      <w:pPr>
        <w:shd w:val="clear" w:color="auto" w:fill="FFFFFF"/>
        <w:tabs>
          <w:tab w:val="left" w:pos="4814"/>
        </w:tabs>
        <w:spacing w:after="226"/>
        <w:ind w:left="5"/>
      </w:pPr>
      <w:r>
        <w:rPr>
          <w:b/>
          <w:bCs/>
          <w:sz w:val="18"/>
          <w:szCs w:val="18"/>
          <w:lang w:val="es-ES_tradnl"/>
        </w:rPr>
        <w:t xml:space="preserve">6 -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36D" w14:textId="77777777" w:rsidR="00591D54" w:rsidRDefault="00591D54">
      <w:pPr>
        <w:shd w:val="clear" w:color="auto" w:fill="FFFFFF"/>
        <w:tabs>
          <w:tab w:val="left" w:pos="4814"/>
        </w:tabs>
        <w:spacing w:after="226"/>
        <w:ind w:left="5"/>
        <w:sectPr w:rsidR="00591D54">
          <w:pgSz w:w="11909" w:h="16834"/>
          <w:pgMar w:top="1371" w:right="1309" w:bottom="360" w:left="1308" w:header="720" w:footer="720" w:gutter="0"/>
          <w:cols w:space="60"/>
          <w:noEndnote/>
        </w:sectPr>
      </w:pPr>
    </w:p>
    <w:p w14:paraId="4F67A36E" w14:textId="77777777" w:rsidR="00591D54" w:rsidRDefault="00591D54">
      <w:pPr>
        <w:shd w:val="clear" w:color="auto" w:fill="FFFFFF"/>
        <w:spacing w:line="216" w:lineRule="exact"/>
        <w:ind w:left="470" w:right="326" w:firstLine="1128"/>
      </w:pPr>
      <w:r>
        <w:rPr>
          <w:b/>
          <w:bCs/>
          <w:sz w:val="18"/>
          <w:szCs w:val="18"/>
          <w:lang w:val="es-ES_tradnl"/>
        </w:rPr>
        <w:t>ART</w:t>
      </w:r>
      <w:r>
        <w:rPr>
          <w:rFonts w:cs="Times New Roman"/>
          <w:b/>
          <w:bCs/>
          <w:sz w:val="18"/>
          <w:szCs w:val="18"/>
          <w:lang w:val="es-ES_tradnl"/>
        </w:rPr>
        <w:t>Í</w:t>
      </w:r>
      <w:r>
        <w:rPr>
          <w:b/>
          <w:bCs/>
          <w:sz w:val="18"/>
          <w:szCs w:val="18"/>
          <w:lang w:val="es-ES_tradnl"/>
        </w:rPr>
        <w:t xml:space="preserve">CULO 7 </w:t>
      </w:r>
      <w:r>
        <w:rPr>
          <w:b/>
          <w:bCs/>
          <w:spacing w:val="-12"/>
          <w:sz w:val="18"/>
          <w:szCs w:val="18"/>
          <w:lang w:val="es-ES_tradnl"/>
        </w:rPr>
        <w:t>Reconocimiento de Certificados y Licencias</w:t>
      </w:r>
    </w:p>
    <w:p w14:paraId="4F67A36F" w14:textId="77777777" w:rsidR="00591D54" w:rsidRDefault="00591D54" w:rsidP="00251195">
      <w:pPr>
        <w:numPr>
          <w:ilvl w:val="0"/>
          <w:numId w:val="8"/>
        </w:numPr>
        <w:shd w:val="clear" w:color="auto" w:fill="FFFFFF"/>
        <w:tabs>
          <w:tab w:val="left" w:pos="312"/>
        </w:tabs>
        <w:spacing w:before="197" w:line="216" w:lineRule="exact"/>
        <w:ind w:right="5"/>
        <w:jc w:val="both"/>
        <w:rPr>
          <w:spacing w:val="-6"/>
          <w:sz w:val="18"/>
          <w:szCs w:val="18"/>
          <w:lang w:val="es-ES_tradnl"/>
        </w:rPr>
      </w:pPr>
      <w:r>
        <w:rPr>
          <w:spacing w:val="-5"/>
          <w:sz w:val="18"/>
          <w:szCs w:val="18"/>
          <w:lang w:val="es-ES_tradnl"/>
        </w:rPr>
        <w:t xml:space="preserve">Los certificados de aeronavegabilidad, certificados </w:t>
      </w:r>
      <w:r>
        <w:rPr>
          <w:spacing w:val="-7"/>
          <w:sz w:val="18"/>
          <w:szCs w:val="18"/>
          <w:lang w:val="es-ES_tradnl"/>
        </w:rPr>
        <w:t xml:space="preserve">de competencia y licencias expedidos o convalidados de conformidad con las leyes y regulaciones de cada Parte </w:t>
      </w:r>
      <w:r>
        <w:rPr>
          <w:spacing w:val="-5"/>
          <w:sz w:val="18"/>
          <w:szCs w:val="18"/>
          <w:lang w:val="es-ES_tradnl"/>
        </w:rPr>
        <w:t>contratante ser</w:t>
      </w:r>
      <w:r>
        <w:rPr>
          <w:rFonts w:cs="Times New Roman"/>
          <w:spacing w:val="-5"/>
          <w:sz w:val="18"/>
          <w:szCs w:val="18"/>
          <w:lang w:val="es-ES_tradnl"/>
        </w:rPr>
        <w:t>á</w:t>
      </w:r>
      <w:r>
        <w:rPr>
          <w:spacing w:val="-5"/>
          <w:sz w:val="18"/>
          <w:szCs w:val="18"/>
          <w:lang w:val="es-ES_tradnl"/>
        </w:rPr>
        <w:t>n reconocidos como v</w:t>
      </w:r>
      <w:r>
        <w:rPr>
          <w:rFonts w:cs="Times New Roman"/>
          <w:spacing w:val="-5"/>
          <w:sz w:val="18"/>
          <w:szCs w:val="18"/>
          <w:lang w:val="es-ES_tradnl"/>
        </w:rPr>
        <w:t>á</w:t>
      </w:r>
      <w:r>
        <w:rPr>
          <w:spacing w:val="-5"/>
          <w:sz w:val="18"/>
          <w:szCs w:val="18"/>
          <w:lang w:val="es-ES_tradnl"/>
        </w:rPr>
        <w:t xml:space="preserve">lidos por la otra </w:t>
      </w:r>
      <w:r>
        <w:rPr>
          <w:spacing w:val="-7"/>
          <w:sz w:val="18"/>
          <w:szCs w:val="18"/>
          <w:lang w:val="es-ES_tradnl"/>
        </w:rPr>
        <w:t>Parte Contratante con el prop</w:t>
      </w:r>
      <w:r>
        <w:rPr>
          <w:rFonts w:cs="Times New Roman"/>
          <w:spacing w:val="-7"/>
          <w:sz w:val="18"/>
          <w:szCs w:val="18"/>
          <w:lang w:val="es-ES_tradnl"/>
        </w:rPr>
        <w:t>ó</w:t>
      </w:r>
      <w:r>
        <w:rPr>
          <w:spacing w:val="-7"/>
          <w:sz w:val="18"/>
          <w:szCs w:val="18"/>
          <w:lang w:val="es-ES_tradnl"/>
        </w:rPr>
        <w:t xml:space="preserve">sito de operar los servicios acordados, siempre que tales certificados o licencias se </w:t>
      </w:r>
      <w:r>
        <w:rPr>
          <w:spacing w:val="-8"/>
          <w:sz w:val="18"/>
          <w:szCs w:val="18"/>
          <w:lang w:val="es-ES_tradnl"/>
        </w:rPr>
        <w:t>hayan emitido o validado de la misma o mejor manera que los est</w:t>
      </w:r>
      <w:r>
        <w:rPr>
          <w:rFonts w:cs="Times New Roman"/>
          <w:spacing w:val="-8"/>
          <w:sz w:val="18"/>
          <w:szCs w:val="18"/>
          <w:lang w:val="es-ES_tradnl"/>
        </w:rPr>
        <w:t>á</w:t>
      </w:r>
      <w:r>
        <w:rPr>
          <w:spacing w:val="-8"/>
          <w:sz w:val="18"/>
          <w:szCs w:val="18"/>
          <w:lang w:val="es-ES_tradnl"/>
        </w:rPr>
        <w:t>ndares m</w:t>
      </w:r>
      <w:r>
        <w:rPr>
          <w:rFonts w:cs="Times New Roman"/>
          <w:spacing w:val="-8"/>
          <w:sz w:val="18"/>
          <w:szCs w:val="18"/>
          <w:lang w:val="es-ES_tradnl"/>
        </w:rPr>
        <w:t>í</w:t>
      </w:r>
      <w:r>
        <w:rPr>
          <w:spacing w:val="-8"/>
          <w:sz w:val="18"/>
          <w:szCs w:val="18"/>
          <w:lang w:val="es-ES_tradnl"/>
        </w:rPr>
        <w:t>nimos establecidos por la Convenci</w:t>
      </w:r>
      <w:r>
        <w:rPr>
          <w:rFonts w:cs="Times New Roman"/>
          <w:spacing w:val="-8"/>
          <w:sz w:val="18"/>
          <w:szCs w:val="18"/>
          <w:lang w:val="es-ES_tradnl"/>
        </w:rPr>
        <w:t>ó</w:t>
      </w:r>
      <w:r>
        <w:rPr>
          <w:spacing w:val="-8"/>
          <w:sz w:val="18"/>
          <w:szCs w:val="18"/>
          <w:lang w:val="es-ES_tradnl"/>
        </w:rPr>
        <w:t>n.</w:t>
      </w:r>
    </w:p>
    <w:p w14:paraId="4F67A370" w14:textId="77777777" w:rsidR="00591D54" w:rsidRDefault="00591D54" w:rsidP="00251195">
      <w:pPr>
        <w:numPr>
          <w:ilvl w:val="0"/>
          <w:numId w:val="8"/>
        </w:numPr>
        <w:shd w:val="clear" w:color="auto" w:fill="FFFFFF"/>
        <w:tabs>
          <w:tab w:val="left" w:pos="312"/>
        </w:tabs>
        <w:spacing w:before="197" w:line="216" w:lineRule="exact"/>
        <w:jc w:val="both"/>
        <w:rPr>
          <w:spacing w:val="-6"/>
          <w:sz w:val="18"/>
          <w:szCs w:val="18"/>
          <w:lang w:val="es-ES_tradnl"/>
        </w:rPr>
      </w:pPr>
      <w:r>
        <w:rPr>
          <w:spacing w:val="-7"/>
          <w:sz w:val="18"/>
          <w:szCs w:val="18"/>
          <w:lang w:val="es-ES_tradnl"/>
        </w:rPr>
        <w:t xml:space="preserve">Sin embargo, cada Parte Contratante se reserva el </w:t>
      </w:r>
      <w:r>
        <w:rPr>
          <w:spacing w:val="-8"/>
          <w:sz w:val="18"/>
          <w:szCs w:val="18"/>
          <w:lang w:val="es-ES_tradnl"/>
        </w:rPr>
        <w:t>derecho de negarse a reconocer, para los prop</w:t>
      </w:r>
      <w:r>
        <w:rPr>
          <w:rFonts w:cs="Times New Roman"/>
          <w:spacing w:val="-8"/>
          <w:sz w:val="18"/>
          <w:szCs w:val="18"/>
          <w:lang w:val="es-ES_tradnl"/>
        </w:rPr>
        <w:t>ó</w:t>
      </w:r>
      <w:r>
        <w:rPr>
          <w:spacing w:val="-8"/>
          <w:sz w:val="18"/>
          <w:szCs w:val="18"/>
          <w:lang w:val="es-ES_tradnl"/>
        </w:rPr>
        <w:t xml:space="preserve">sitos de </w:t>
      </w:r>
      <w:r>
        <w:rPr>
          <w:spacing w:val="-9"/>
          <w:sz w:val="18"/>
          <w:szCs w:val="18"/>
          <w:lang w:val="es-ES_tradnl"/>
        </w:rPr>
        <w:t xml:space="preserve">sobrevolar o aterrizar en su propio territorio, los certificados </w:t>
      </w:r>
      <w:r>
        <w:rPr>
          <w:spacing w:val="-4"/>
          <w:sz w:val="18"/>
          <w:szCs w:val="18"/>
          <w:lang w:val="es-ES_tradnl"/>
        </w:rPr>
        <w:t xml:space="preserve">de competencia y licencias otorgados a sus propios </w:t>
      </w:r>
      <w:r>
        <w:rPr>
          <w:sz w:val="18"/>
          <w:szCs w:val="18"/>
          <w:lang w:val="es-ES_tradnl"/>
        </w:rPr>
        <w:t>nacionales por la otra Parte Contratante.</w:t>
      </w:r>
    </w:p>
    <w:p w14:paraId="4F67A371" w14:textId="77777777" w:rsidR="00591D54" w:rsidRDefault="00591D54">
      <w:pPr>
        <w:shd w:val="clear" w:color="auto" w:fill="FFFFFF"/>
        <w:spacing w:before="192" w:line="216" w:lineRule="exact"/>
        <w:ind w:left="1402" w:right="1306" w:firstLine="197"/>
      </w:pPr>
      <w:r>
        <w:rPr>
          <w:b/>
          <w:bCs/>
          <w:sz w:val="18"/>
          <w:szCs w:val="18"/>
          <w:lang w:val="es-ES_tradnl"/>
        </w:rPr>
        <w:t>ART</w:t>
      </w:r>
      <w:r>
        <w:rPr>
          <w:rFonts w:cs="Times New Roman"/>
          <w:b/>
          <w:bCs/>
          <w:sz w:val="18"/>
          <w:szCs w:val="18"/>
          <w:lang w:val="es-ES_tradnl"/>
        </w:rPr>
        <w:t>Í</w:t>
      </w:r>
      <w:r>
        <w:rPr>
          <w:b/>
          <w:bCs/>
          <w:sz w:val="18"/>
          <w:szCs w:val="18"/>
          <w:lang w:val="es-ES_tradnl"/>
        </w:rPr>
        <w:t xml:space="preserve">CULO 8 </w:t>
      </w:r>
      <w:r>
        <w:rPr>
          <w:b/>
          <w:bCs/>
          <w:spacing w:val="-11"/>
          <w:sz w:val="18"/>
          <w:szCs w:val="18"/>
          <w:lang w:val="es-ES_tradnl"/>
        </w:rPr>
        <w:t>Seguridad de Vuelo</w:t>
      </w:r>
    </w:p>
    <w:p w14:paraId="4F67A372" w14:textId="77777777" w:rsidR="00591D54" w:rsidRDefault="00591D54">
      <w:pPr>
        <w:shd w:val="clear" w:color="auto" w:fill="FFFFFF"/>
        <w:tabs>
          <w:tab w:val="left" w:pos="346"/>
        </w:tabs>
        <w:spacing w:before="197" w:line="216" w:lineRule="exact"/>
        <w:ind w:right="5"/>
        <w:jc w:val="both"/>
      </w:pPr>
      <w:r>
        <w:rPr>
          <w:spacing w:val="-6"/>
          <w:sz w:val="18"/>
          <w:szCs w:val="18"/>
          <w:lang w:val="es-ES_tradnl"/>
        </w:rPr>
        <w:t>(1)</w:t>
      </w:r>
      <w:r>
        <w:rPr>
          <w:sz w:val="18"/>
          <w:szCs w:val="18"/>
          <w:lang w:val="es-ES_tradnl"/>
        </w:rPr>
        <w:tab/>
        <w:t>Cada Parte Contratante podr</w:t>
      </w:r>
      <w:r>
        <w:rPr>
          <w:rFonts w:cs="Times New Roman"/>
          <w:sz w:val="18"/>
          <w:szCs w:val="18"/>
          <w:lang w:val="es-ES_tradnl"/>
        </w:rPr>
        <w:t>á</w:t>
      </w:r>
      <w:r>
        <w:rPr>
          <w:sz w:val="18"/>
          <w:szCs w:val="18"/>
          <w:lang w:val="es-ES_tradnl"/>
        </w:rPr>
        <w:t xml:space="preserve"> solicitar consultas </w:t>
      </w:r>
      <w:r>
        <w:rPr>
          <w:spacing w:val="-5"/>
          <w:sz w:val="18"/>
          <w:szCs w:val="18"/>
          <w:lang w:val="es-ES_tradnl"/>
        </w:rPr>
        <w:t>en cualquier momento con respecto a las normas de </w:t>
      </w:r>
      <w:r>
        <w:rPr>
          <w:spacing w:val="-10"/>
          <w:sz w:val="18"/>
          <w:szCs w:val="18"/>
          <w:lang w:val="es-ES_tradnl"/>
        </w:rPr>
        <w:t>seguridad de vuelo aprobadas por la otra Parte Contratante, </w:t>
      </w:r>
      <w:r>
        <w:rPr>
          <w:spacing w:val="-5"/>
          <w:sz w:val="18"/>
          <w:szCs w:val="18"/>
          <w:lang w:val="es-ES_tradnl"/>
        </w:rPr>
        <w:t xml:space="preserve">en cualquier </w:t>
      </w:r>
      <w:r>
        <w:rPr>
          <w:rFonts w:cs="Times New Roman"/>
          <w:spacing w:val="-5"/>
          <w:sz w:val="18"/>
          <w:szCs w:val="18"/>
          <w:lang w:val="es-ES_tradnl"/>
        </w:rPr>
        <w:t>á</w:t>
      </w:r>
      <w:r>
        <w:rPr>
          <w:spacing w:val="-5"/>
          <w:sz w:val="18"/>
          <w:szCs w:val="18"/>
          <w:lang w:val="es-ES_tradnl"/>
        </w:rPr>
        <w:t>rea relacionada con las instalaciones aeron</w:t>
      </w:r>
      <w:r>
        <w:rPr>
          <w:rFonts w:cs="Times New Roman"/>
          <w:spacing w:val="-5"/>
          <w:sz w:val="18"/>
          <w:szCs w:val="18"/>
          <w:lang w:val="es-ES_tradnl"/>
        </w:rPr>
        <w:t>á</w:t>
      </w:r>
      <w:r>
        <w:rPr>
          <w:spacing w:val="-5"/>
          <w:sz w:val="18"/>
          <w:szCs w:val="18"/>
          <w:lang w:val="es-ES_tradnl"/>
        </w:rPr>
        <w:t>uticas, tripulaciones de vuelo, aeronaves, o la </w:t>
      </w:r>
      <w:r>
        <w:rPr>
          <w:sz w:val="18"/>
          <w:szCs w:val="18"/>
          <w:lang w:val="es-ES_tradnl"/>
        </w:rPr>
        <w:t>operaci</w:t>
      </w:r>
      <w:r>
        <w:rPr>
          <w:rFonts w:cs="Times New Roman"/>
          <w:sz w:val="18"/>
          <w:szCs w:val="18"/>
          <w:lang w:val="es-ES_tradnl"/>
        </w:rPr>
        <w:t>ó</w:t>
      </w:r>
      <w:r>
        <w:rPr>
          <w:sz w:val="18"/>
          <w:szCs w:val="18"/>
          <w:lang w:val="es-ES_tradnl"/>
        </w:rPr>
        <w:t>n de la aeronave.</w:t>
      </w:r>
    </w:p>
    <w:p w14:paraId="4F67A373" w14:textId="77777777" w:rsidR="00591D54" w:rsidRDefault="00591D54">
      <w:pPr>
        <w:shd w:val="clear" w:color="auto" w:fill="FFFFFF"/>
        <w:tabs>
          <w:tab w:val="left" w:pos="250"/>
        </w:tabs>
        <w:spacing w:before="197" w:line="216" w:lineRule="exact"/>
        <w:ind w:right="5"/>
        <w:jc w:val="both"/>
      </w:pPr>
      <w:r>
        <w:rPr>
          <w:spacing w:val="-6"/>
          <w:sz w:val="18"/>
          <w:szCs w:val="18"/>
          <w:lang w:val="es-ES_tradnl"/>
        </w:rPr>
        <w:t>(2)</w:t>
      </w:r>
      <w:r>
        <w:rPr>
          <w:sz w:val="18"/>
          <w:szCs w:val="18"/>
          <w:lang w:val="es-ES_tradnl"/>
        </w:rPr>
        <w:tab/>
      </w:r>
      <w:r>
        <w:rPr>
          <w:spacing w:val="-10"/>
          <w:sz w:val="18"/>
          <w:szCs w:val="18"/>
          <w:lang w:val="es-ES_tradnl"/>
        </w:rPr>
        <w:t>Dichas consultas deber</w:t>
      </w:r>
      <w:r>
        <w:rPr>
          <w:rFonts w:cs="Times New Roman"/>
          <w:spacing w:val="-10"/>
          <w:sz w:val="18"/>
          <w:szCs w:val="18"/>
          <w:lang w:val="es-ES_tradnl"/>
        </w:rPr>
        <w:t>á</w:t>
      </w:r>
      <w:r>
        <w:rPr>
          <w:spacing w:val="-10"/>
          <w:sz w:val="18"/>
          <w:szCs w:val="18"/>
          <w:lang w:val="es-ES_tradnl"/>
        </w:rPr>
        <w:t>n comenzar dentro de los treinta </w:t>
      </w:r>
      <w:r>
        <w:rPr>
          <w:spacing w:val="-11"/>
          <w:sz w:val="18"/>
          <w:szCs w:val="18"/>
          <w:lang w:val="es-ES_tradnl"/>
        </w:rPr>
        <w:t>(30) d</w:t>
      </w:r>
      <w:r>
        <w:rPr>
          <w:rFonts w:cs="Times New Roman"/>
          <w:spacing w:val="-11"/>
          <w:sz w:val="18"/>
          <w:szCs w:val="18"/>
          <w:lang w:val="es-ES_tradnl"/>
        </w:rPr>
        <w:t>í</w:t>
      </w:r>
      <w:r>
        <w:rPr>
          <w:spacing w:val="-11"/>
          <w:sz w:val="18"/>
          <w:szCs w:val="18"/>
          <w:lang w:val="es-ES_tradnl"/>
        </w:rPr>
        <w:t>as siguientes a la solicitud. Si, tras estas consultas, una </w:t>
      </w:r>
      <w:r>
        <w:rPr>
          <w:spacing w:val="-7"/>
          <w:sz w:val="18"/>
          <w:szCs w:val="18"/>
          <w:lang w:val="es-ES_tradnl"/>
        </w:rPr>
        <w:t>Parte Contratante considera que la otra Parte Contratante </w:t>
      </w:r>
      <w:r>
        <w:rPr>
          <w:spacing w:val="-8"/>
          <w:sz w:val="18"/>
          <w:szCs w:val="18"/>
          <w:lang w:val="es-ES_tradnl"/>
        </w:rPr>
        <w:t>no mantiene ni administra efectivamente los est</w:t>
      </w:r>
      <w:r>
        <w:rPr>
          <w:rFonts w:cs="Times New Roman"/>
          <w:spacing w:val="-8"/>
          <w:sz w:val="18"/>
          <w:szCs w:val="18"/>
          <w:lang w:val="es-ES_tradnl"/>
        </w:rPr>
        <w:t>á</w:t>
      </w:r>
      <w:r>
        <w:rPr>
          <w:spacing w:val="-8"/>
          <w:sz w:val="18"/>
          <w:szCs w:val="18"/>
          <w:lang w:val="es-ES_tradnl"/>
        </w:rPr>
        <w:t>ndares de </w:t>
      </w:r>
      <w:r>
        <w:rPr>
          <w:spacing w:val="-9"/>
          <w:sz w:val="18"/>
          <w:szCs w:val="18"/>
          <w:lang w:val="es-ES_tradnl"/>
        </w:rPr>
        <w:t xml:space="preserve">seguridad de vuelo en cualquiera de las </w:t>
      </w:r>
      <w:r>
        <w:rPr>
          <w:rFonts w:cs="Times New Roman"/>
          <w:spacing w:val="-9"/>
          <w:sz w:val="18"/>
          <w:szCs w:val="18"/>
          <w:lang w:val="es-ES_tradnl"/>
        </w:rPr>
        <w:t>á</w:t>
      </w:r>
      <w:r>
        <w:rPr>
          <w:spacing w:val="-9"/>
          <w:sz w:val="18"/>
          <w:szCs w:val="18"/>
          <w:lang w:val="es-ES_tradnl"/>
        </w:rPr>
        <w:t>reas, que sean al </w:t>
      </w:r>
      <w:r>
        <w:rPr>
          <w:spacing w:val="-7"/>
          <w:sz w:val="18"/>
          <w:szCs w:val="18"/>
          <w:lang w:val="es-ES_tradnl"/>
        </w:rPr>
        <w:t>menos iguales a los est</w:t>
      </w:r>
      <w:r>
        <w:rPr>
          <w:rFonts w:cs="Times New Roman"/>
          <w:spacing w:val="-7"/>
          <w:sz w:val="18"/>
          <w:szCs w:val="18"/>
          <w:lang w:val="es-ES_tradnl"/>
        </w:rPr>
        <w:t>á</w:t>
      </w:r>
      <w:r>
        <w:rPr>
          <w:spacing w:val="-7"/>
          <w:sz w:val="18"/>
          <w:szCs w:val="18"/>
          <w:lang w:val="es-ES_tradnl"/>
        </w:rPr>
        <w:t>ndares m</w:t>
      </w:r>
      <w:r>
        <w:rPr>
          <w:rFonts w:cs="Times New Roman"/>
          <w:spacing w:val="-7"/>
          <w:sz w:val="18"/>
          <w:szCs w:val="18"/>
          <w:lang w:val="es-ES_tradnl"/>
        </w:rPr>
        <w:t>í</w:t>
      </w:r>
      <w:r>
        <w:rPr>
          <w:spacing w:val="-7"/>
          <w:sz w:val="18"/>
          <w:szCs w:val="18"/>
          <w:lang w:val="es-ES_tradnl"/>
        </w:rPr>
        <w:t>nimos establecidos en ese momento en virtud de la Convenci</w:t>
      </w:r>
      <w:r>
        <w:rPr>
          <w:rFonts w:cs="Times New Roman"/>
          <w:spacing w:val="-7"/>
          <w:sz w:val="18"/>
          <w:szCs w:val="18"/>
          <w:lang w:val="es-ES_tradnl"/>
        </w:rPr>
        <w:t>ó</w:t>
      </w:r>
      <w:r>
        <w:rPr>
          <w:spacing w:val="-7"/>
          <w:sz w:val="18"/>
          <w:szCs w:val="18"/>
          <w:lang w:val="es-ES_tradnl"/>
        </w:rPr>
        <w:t>n, la primera Parte </w:t>
      </w:r>
      <w:r>
        <w:rPr>
          <w:spacing w:val="-6"/>
          <w:sz w:val="18"/>
          <w:szCs w:val="18"/>
          <w:lang w:val="es-ES_tradnl"/>
        </w:rPr>
        <w:t>Contratante notificar</w:t>
      </w:r>
      <w:r>
        <w:rPr>
          <w:rFonts w:cs="Times New Roman"/>
          <w:spacing w:val="-6"/>
          <w:sz w:val="18"/>
          <w:szCs w:val="18"/>
          <w:lang w:val="es-ES_tradnl"/>
        </w:rPr>
        <w:t>á</w:t>
      </w:r>
      <w:r>
        <w:rPr>
          <w:spacing w:val="-6"/>
          <w:sz w:val="18"/>
          <w:szCs w:val="18"/>
          <w:lang w:val="es-ES_tradnl"/>
        </w:rPr>
        <w:t xml:space="preserve"> a la otra Parte Contratante sobre </w:t>
      </w:r>
      <w:r>
        <w:rPr>
          <w:spacing w:val="-9"/>
          <w:sz w:val="18"/>
          <w:szCs w:val="18"/>
          <w:lang w:val="es-ES_tradnl"/>
        </w:rPr>
        <w:t>dichas observaciones y las medidas que se consideren </w:t>
      </w:r>
      <w:r>
        <w:rPr>
          <w:spacing w:val="-8"/>
          <w:sz w:val="18"/>
          <w:szCs w:val="18"/>
          <w:lang w:val="es-ES_tradnl"/>
        </w:rPr>
        <w:t>necesarias para cumplir con aquellos est</w:t>
      </w:r>
      <w:r>
        <w:rPr>
          <w:rFonts w:cs="Times New Roman"/>
          <w:spacing w:val="-8"/>
          <w:sz w:val="18"/>
          <w:szCs w:val="18"/>
          <w:lang w:val="es-ES_tradnl"/>
        </w:rPr>
        <w:t>á</w:t>
      </w:r>
      <w:r>
        <w:rPr>
          <w:spacing w:val="-8"/>
          <w:sz w:val="18"/>
          <w:szCs w:val="18"/>
          <w:lang w:val="es-ES_tradnl"/>
        </w:rPr>
        <w:t>ndares m</w:t>
      </w:r>
      <w:r>
        <w:rPr>
          <w:rFonts w:cs="Times New Roman"/>
          <w:spacing w:val="-8"/>
          <w:sz w:val="18"/>
          <w:szCs w:val="18"/>
          <w:lang w:val="es-ES_tradnl"/>
        </w:rPr>
        <w:t>í</w:t>
      </w:r>
      <w:r>
        <w:rPr>
          <w:spacing w:val="-8"/>
          <w:sz w:val="18"/>
          <w:szCs w:val="18"/>
          <w:lang w:val="es-ES_tradnl"/>
        </w:rPr>
        <w:t>nimos, y la otra Parte Contratante tomar</w:t>
      </w:r>
      <w:r>
        <w:rPr>
          <w:rFonts w:cs="Times New Roman"/>
          <w:spacing w:val="-8"/>
          <w:sz w:val="18"/>
          <w:szCs w:val="18"/>
          <w:lang w:val="es-ES_tradnl"/>
        </w:rPr>
        <w:t>á</w:t>
      </w:r>
      <w:r>
        <w:rPr>
          <w:spacing w:val="-8"/>
          <w:sz w:val="18"/>
          <w:szCs w:val="18"/>
          <w:lang w:val="es-ES_tradnl"/>
        </w:rPr>
        <w:t xml:space="preserve"> las medidas correctivas </w:t>
      </w:r>
      <w:r>
        <w:rPr>
          <w:spacing w:val="-11"/>
          <w:sz w:val="18"/>
          <w:szCs w:val="18"/>
          <w:lang w:val="es-ES_tradnl"/>
        </w:rPr>
        <w:t>apropiadas. Si la otra Parte Contratante no toma las medidas </w:t>
      </w:r>
      <w:r>
        <w:rPr>
          <w:spacing w:val="-2"/>
          <w:sz w:val="18"/>
          <w:szCs w:val="18"/>
          <w:lang w:val="es-ES_tradnl"/>
        </w:rPr>
        <w:t>adecuadas dentro de los quince (15) d</w:t>
      </w:r>
      <w:r>
        <w:rPr>
          <w:rFonts w:cs="Times New Roman"/>
          <w:spacing w:val="-2"/>
          <w:sz w:val="18"/>
          <w:szCs w:val="18"/>
          <w:lang w:val="es-ES_tradnl"/>
        </w:rPr>
        <w:t>í</w:t>
      </w:r>
      <w:r>
        <w:rPr>
          <w:spacing w:val="-2"/>
          <w:sz w:val="18"/>
          <w:szCs w:val="18"/>
          <w:lang w:val="es-ES_tradnl"/>
        </w:rPr>
        <w:t>as o un plazo </w:t>
      </w:r>
      <w:r>
        <w:rPr>
          <w:spacing w:val="-6"/>
          <w:sz w:val="18"/>
          <w:szCs w:val="18"/>
          <w:lang w:val="es-ES_tradnl"/>
        </w:rPr>
        <w:t>mayor que acuerden, ser</w:t>
      </w:r>
      <w:r>
        <w:rPr>
          <w:rFonts w:cs="Times New Roman"/>
          <w:spacing w:val="-6"/>
          <w:sz w:val="18"/>
          <w:szCs w:val="18"/>
          <w:lang w:val="es-ES_tradnl"/>
        </w:rPr>
        <w:t>á</w:t>
      </w:r>
      <w:r>
        <w:rPr>
          <w:spacing w:val="-6"/>
          <w:sz w:val="18"/>
          <w:szCs w:val="18"/>
          <w:lang w:val="es-ES_tradnl"/>
        </w:rPr>
        <w:t xml:space="preserve"> la base para aplicar el p</w:t>
      </w:r>
      <w:r>
        <w:rPr>
          <w:rFonts w:cs="Times New Roman"/>
          <w:spacing w:val="-6"/>
          <w:sz w:val="18"/>
          <w:szCs w:val="18"/>
          <w:lang w:val="es-ES_tradnl"/>
        </w:rPr>
        <w:t>á</w:t>
      </w:r>
      <w:r>
        <w:rPr>
          <w:spacing w:val="-6"/>
          <w:sz w:val="18"/>
          <w:szCs w:val="18"/>
          <w:lang w:val="es-ES_tradnl"/>
        </w:rPr>
        <w:t>rrafo </w:t>
      </w:r>
      <w:r>
        <w:rPr>
          <w:spacing w:val="-5"/>
          <w:sz w:val="18"/>
          <w:szCs w:val="18"/>
          <w:lang w:val="es-ES_tradnl"/>
        </w:rPr>
        <w:t>(1) del Art</w:t>
      </w:r>
      <w:r>
        <w:rPr>
          <w:rFonts w:cs="Times New Roman"/>
          <w:spacing w:val="-5"/>
          <w:sz w:val="18"/>
          <w:szCs w:val="18"/>
          <w:lang w:val="es-ES_tradnl"/>
        </w:rPr>
        <w:t>í</w:t>
      </w:r>
      <w:r>
        <w:rPr>
          <w:spacing w:val="-5"/>
          <w:sz w:val="18"/>
          <w:szCs w:val="18"/>
          <w:lang w:val="es-ES_tradnl"/>
        </w:rPr>
        <w:t>culo 4 (Retenci</w:t>
      </w:r>
      <w:r>
        <w:rPr>
          <w:rFonts w:cs="Times New Roman"/>
          <w:spacing w:val="-5"/>
          <w:sz w:val="18"/>
          <w:szCs w:val="18"/>
          <w:lang w:val="es-ES_tradnl"/>
        </w:rPr>
        <w:t>ó</w:t>
      </w:r>
      <w:r>
        <w:rPr>
          <w:spacing w:val="-5"/>
          <w:sz w:val="18"/>
          <w:szCs w:val="18"/>
          <w:lang w:val="es-ES_tradnl"/>
        </w:rPr>
        <w:t>n, Revocaci</w:t>
      </w:r>
      <w:r>
        <w:rPr>
          <w:rFonts w:cs="Times New Roman"/>
          <w:spacing w:val="-5"/>
          <w:sz w:val="18"/>
          <w:szCs w:val="18"/>
          <w:lang w:val="es-ES_tradnl"/>
        </w:rPr>
        <w:t>ó</w:t>
      </w:r>
      <w:r>
        <w:rPr>
          <w:spacing w:val="-5"/>
          <w:sz w:val="18"/>
          <w:szCs w:val="18"/>
          <w:lang w:val="es-ES_tradnl"/>
        </w:rPr>
        <w:t>n, Suspensi</w:t>
      </w:r>
      <w:r>
        <w:rPr>
          <w:rFonts w:cs="Times New Roman"/>
          <w:spacing w:val="-5"/>
          <w:sz w:val="18"/>
          <w:szCs w:val="18"/>
          <w:lang w:val="es-ES_tradnl"/>
        </w:rPr>
        <w:t>ó</w:t>
      </w:r>
      <w:r>
        <w:rPr>
          <w:spacing w:val="-5"/>
          <w:sz w:val="18"/>
          <w:szCs w:val="18"/>
          <w:lang w:val="es-ES_tradnl"/>
        </w:rPr>
        <w:t>n y </w:t>
      </w:r>
      <w:r>
        <w:rPr>
          <w:spacing w:val="-7"/>
          <w:sz w:val="18"/>
          <w:szCs w:val="18"/>
          <w:lang w:val="es-ES_tradnl"/>
        </w:rPr>
        <w:t>Limitaci</w:t>
      </w:r>
      <w:r>
        <w:rPr>
          <w:rFonts w:cs="Times New Roman"/>
          <w:spacing w:val="-7"/>
          <w:sz w:val="18"/>
          <w:szCs w:val="18"/>
          <w:lang w:val="es-ES_tradnl"/>
        </w:rPr>
        <w:t>ó</w:t>
      </w:r>
      <w:r>
        <w:rPr>
          <w:spacing w:val="-7"/>
          <w:sz w:val="18"/>
          <w:szCs w:val="18"/>
          <w:lang w:val="es-ES_tradnl"/>
        </w:rPr>
        <w:t>n de las Autorizaciones de Operaci</w:t>
      </w:r>
      <w:r>
        <w:rPr>
          <w:rFonts w:cs="Times New Roman"/>
          <w:spacing w:val="-7"/>
          <w:sz w:val="18"/>
          <w:szCs w:val="18"/>
          <w:lang w:val="es-ES_tradnl"/>
        </w:rPr>
        <w:t>ó</w:t>
      </w:r>
      <w:r>
        <w:rPr>
          <w:spacing w:val="-7"/>
          <w:sz w:val="18"/>
          <w:szCs w:val="18"/>
          <w:lang w:val="es-ES_tradnl"/>
        </w:rPr>
        <w:t>n o Permisos </w:t>
      </w:r>
      <w:r>
        <w:rPr>
          <w:sz w:val="18"/>
          <w:szCs w:val="18"/>
          <w:lang w:val="es-ES_tradnl"/>
        </w:rPr>
        <w:t>T</w:t>
      </w:r>
      <w:r>
        <w:rPr>
          <w:rFonts w:cs="Times New Roman"/>
          <w:sz w:val="18"/>
          <w:szCs w:val="18"/>
          <w:lang w:val="es-ES_tradnl"/>
        </w:rPr>
        <w:t>é</w:t>
      </w:r>
      <w:r>
        <w:rPr>
          <w:sz w:val="18"/>
          <w:szCs w:val="18"/>
          <w:lang w:val="es-ES_tradnl"/>
        </w:rPr>
        <w:t>cnicos) del presente Convenio.</w:t>
      </w:r>
    </w:p>
    <w:p w14:paraId="4F67A374" w14:textId="77777777" w:rsidR="00591D54" w:rsidRDefault="00591D54" w:rsidP="00251195">
      <w:pPr>
        <w:numPr>
          <w:ilvl w:val="0"/>
          <w:numId w:val="9"/>
        </w:numPr>
        <w:shd w:val="clear" w:color="auto" w:fill="FFFFFF"/>
        <w:tabs>
          <w:tab w:val="left" w:pos="278"/>
        </w:tabs>
        <w:spacing w:before="197" w:line="216" w:lineRule="exact"/>
        <w:ind w:right="5"/>
        <w:jc w:val="both"/>
        <w:rPr>
          <w:spacing w:val="-6"/>
          <w:sz w:val="18"/>
          <w:szCs w:val="18"/>
          <w:lang w:val="es-ES_tradnl"/>
        </w:rPr>
      </w:pPr>
      <w:r>
        <w:rPr>
          <w:spacing w:val="-6"/>
          <w:sz w:val="18"/>
          <w:szCs w:val="18"/>
          <w:lang w:val="es-ES_tradnl"/>
        </w:rPr>
        <w:t xml:space="preserve">Sin perjuicio de las obligaciones mencionadas en el </w:t>
      </w:r>
      <w:r>
        <w:rPr>
          <w:spacing w:val="-9"/>
          <w:sz w:val="18"/>
          <w:szCs w:val="18"/>
          <w:lang w:val="es-ES_tradnl"/>
        </w:rPr>
        <w:t>Art</w:t>
      </w:r>
      <w:r>
        <w:rPr>
          <w:rFonts w:cs="Times New Roman"/>
          <w:spacing w:val="-9"/>
          <w:sz w:val="18"/>
          <w:szCs w:val="18"/>
          <w:lang w:val="es-ES_tradnl"/>
        </w:rPr>
        <w:t>í</w:t>
      </w:r>
      <w:r>
        <w:rPr>
          <w:spacing w:val="-9"/>
          <w:sz w:val="18"/>
          <w:szCs w:val="18"/>
          <w:lang w:val="es-ES_tradnl"/>
        </w:rPr>
        <w:t>culo 33 de la Convenci</w:t>
      </w:r>
      <w:r>
        <w:rPr>
          <w:rFonts w:cs="Times New Roman"/>
          <w:spacing w:val="-9"/>
          <w:sz w:val="18"/>
          <w:szCs w:val="18"/>
          <w:lang w:val="es-ES_tradnl"/>
        </w:rPr>
        <w:t>ó</w:t>
      </w:r>
      <w:r>
        <w:rPr>
          <w:spacing w:val="-9"/>
          <w:sz w:val="18"/>
          <w:szCs w:val="18"/>
          <w:lang w:val="es-ES_tradnl"/>
        </w:rPr>
        <w:t xml:space="preserve">n, se ha acordado que cualquier </w:t>
      </w:r>
      <w:r>
        <w:rPr>
          <w:spacing w:val="-7"/>
          <w:sz w:val="18"/>
          <w:szCs w:val="18"/>
          <w:lang w:val="es-ES_tradnl"/>
        </w:rPr>
        <w:t xml:space="preserve">aeronave operada por o en virtud de un contrato de </w:t>
      </w:r>
      <w:r>
        <w:rPr>
          <w:spacing w:val="-9"/>
          <w:sz w:val="18"/>
          <w:szCs w:val="18"/>
          <w:lang w:val="es-ES_tradnl"/>
        </w:rPr>
        <w:t>arrendamiento a nombre de las l</w:t>
      </w:r>
      <w:r>
        <w:rPr>
          <w:rFonts w:cs="Times New Roman"/>
          <w:spacing w:val="-9"/>
          <w:sz w:val="18"/>
          <w:szCs w:val="18"/>
          <w:lang w:val="es-ES_tradnl"/>
        </w:rPr>
        <w:t>í</w:t>
      </w:r>
      <w:r>
        <w:rPr>
          <w:spacing w:val="-9"/>
          <w:sz w:val="18"/>
          <w:szCs w:val="18"/>
          <w:lang w:val="es-ES_tradnl"/>
        </w:rPr>
        <w:t>neas a</w:t>
      </w:r>
      <w:r>
        <w:rPr>
          <w:rFonts w:cs="Times New Roman"/>
          <w:spacing w:val="-9"/>
          <w:sz w:val="18"/>
          <w:szCs w:val="18"/>
          <w:lang w:val="es-ES_tradnl"/>
        </w:rPr>
        <w:t>é</w:t>
      </w:r>
      <w:r>
        <w:rPr>
          <w:spacing w:val="-9"/>
          <w:sz w:val="18"/>
          <w:szCs w:val="18"/>
          <w:lang w:val="es-ES_tradnl"/>
        </w:rPr>
        <w:t xml:space="preserve">reas de una Parte </w:t>
      </w:r>
      <w:r>
        <w:rPr>
          <w:spacing w:val="-8"/>
          <w:sz w:val="18"/>
          <w:szCs w:val="18"/>
          <w:lang w:val="es-ES_tradnl"/>
        </w:rPr>
        <w:t xml:space="preserve">Contratante en los servicios hacia o desde el territorio de la </w:t>
      </w:r>
      <w:r>
        <w:rPr>
          <w:spacing w:val="-7"/>
          <w:sz w:val="18"/>
          <w:szCs w:val="18"/>
          <w:lang w:val="es-ES_tradnl"/>
        </w:rPr>
        <w:t>otra Parte Contratante podr</w:t>
      </w:r>
      <w:r>
        <w:rPr>
          <w:rFonts w:cs="Times New Roman"/>
          <w:spacing w:val="-7"/>
          <w:sz w:val="18"/>
          <w:szCs w:val="18"/>
          <w:lang w:val="es-ES_tradnl"/>
        </w:rPr>
        <w:t>á</w:t>
      </w:r>
      <w:r>
        <w:rPr>
          <w:spacing w:val="-7"/>
          <w:sz w:val="18"/>
          <w:szCs w:val="18"/>
          <w:lang w:val="es-ES_tradnl"/>
        </w:rPr>
        <w:t>, mientras est</w:t>
      </w:r>
      <w:r>
        <w:rPr>
          <w:rFonts w:cs="Times New Roman"/>
          <w:spacing w:val="-7"/>
          <w:sz w:val="18"/>
          <w:szCs w:val="18"/>
          <w:lang w:val="es-ES_tradnl"/>
        </w:rPr>
        <w:t>é</w:t>
      </w:r>
      <w:r>
        <w:rPr>
          <w:spacing w:val="-7"/>
          <w:sz w:val="18"/>
          <w:szCs w:val="18"/>
          <w:lang w:val="es-ES_tradnl"/>
        </w:rPr>
        <w:t xml:space="preserve"> en el territorio </w:t>
      </w:r>
      <w:r>
        <w:rPr>
          <w:spacing w:val="-8"/>
          <w:sz w:val="18"/>
          <w:szCs w:val="18"/>
          <w:lang w:val="es-ES_tradnl"/>
        </w:rPr>
        <w:t xml:space="preserve">de la otra Parte Contratante, ser objeto de examen por los representantes autorizados de la otra Parte Contratante, a </w:t>
      </w:r>
      <w:r>
        <w:rPr>
          <w:spacing w:val="-10"/>
          <w:sz w:val="18"/>
          <w:szCs w:val="18"/>
          <w:lang w:val="es-ES_tradnl"/>
        </w:rPr>
        <w:t xml:space="preserve">bordo y alrededor de la aeronave, para comprobar la validez </w:t>
      </w:r>
      <w:r>
        <w:rPr>
          <w:spacing w:val="-6"/>
          <w:sz w:val="18"/>
          <w:szCs w:val="18"/>
          <w:lang w:val="es-ES_tradnl"/>
        </w:rPr>
        <w:t>de los documentos de la aeronave y de la tripulaci</w:t>
      </w:r>
      <w:r>
        <w:rPr>
          <w:rFonts w:cs="Times New Roman"/>
          <w:spacing w:val="-6"/>
          <w:sz w:val="18"/>
          <w:szCs w:val="18"/>
          <w:lang w:val="es-ES_tradnl"/>
        </w:rPr>
        <w:t>ó</w:t>
      </w:r>
      <w:r>
        <w:rPr>
          <w:spacing w:val="-6"/>
          <w:sz w:val="18"/>
          <w:szCs w:val="18"/>
          <w:lang w:val="es-ES_tradnl"/>
        </w:rPr>
        <w:t xml:space="preserve">n de </w:t>
      </w:r>
      <w:r>
        <w:rPr>
          <w:spacing w:val="-7"/>
          <w:sz w:val="18"/>
          <w:szCs w:val="18"/>
          <w:lang w:val="es-ES_tradnl"/>
        </w:rPr>
        <w:t xml:space="preserve">vuelo y el estado aparente de la aeronave y el equipo </w:t>
      </w:r>
      <w:r>
        <w:rPr>
          <w:spacing w:val="-5"/>
          <w:sz w:val="18"/>
          <w:szCs w:val="18"/>
          <w:lang w:val="es-ES_tradnl"/>
        </w:rPr>
        <w:t>relacionado (llamado en el presente Art</w:t>
      </w:r>
      <w:r>
        <w:rPr>
          <w:rFonts w:cs="Times New Roman"/>
          <w:spacing w:val="-5"/>
          <w:sz w:val="18"/>
          <w:szCs w:val="18"/>
          <w:lang w:val="es-ES_tradnl"/>
        </w:rPr>
        <w:t>í</w:t>
      </w:r>
      <w:r>
        <w:rPr>
          <w:spacing w:val="-5"/>
          <w:sz w:val="18"/>
          <w:szCs w:val="18"/>
          <w:lang w:val="es-ES_tradnl"/>
        </w:rPr>
        <w:t xml:space="preserve">culo </w:t>
      </w:r>
      <w:r>
        <w:rPr>
          <w:rFonts w:cs="Times New Roman"/>
          <w:spacing w:val="-5"/>
          <w:sz w:val="18"/>
          <w:szCs w:val="18"/>
          <w:lang w:val="es-ES_tradnl"/>
        </w:rPr>
        <w:t>“</w:t>
      </w:r>
      <w:r>
        <w:rPr>
          <w:spacing w:val="-5"/>
          <w:sz w:val="18"/>
          <w:szCs w:val="18"/>
          <w:lang w:val="es-ES_tradnl"/>
        </w:rPr>
        <w:t xml:space="preserve"> inspecci</w:t>
      </w:r>
      <w:r>
        <w:rPr>
          <w:rFonts w:cs="Times New Roman"/>
          <w:spacing w:val="-5"/>
          <w:sz w:val="18"/>
          <w:szCs w:val="18"/>
          <w:lang w:val="es-ES_tradnl"/>
        </w:rPr>
        <w:t>ó</w:t>
      </w:r>
      <w:r>
        <w:rPr>
          <w:spacing w:val="-5"/>
          <w:sz w:val="18"/>
          <w:szCs w:val="18"/>
          <w:lang w:val="es-ES_tradnl"/>
        </w:rPr>
        <w:t xml:space="preserve">n </w:t>
      </w:r>
      <w:r>
        <w:rPr>
          <w:spacing w:val="-7"/>
          <w:sz w:val="18"/>
          <w:szCs w:val="18"/>
          <w:lang w:val="es-ES_tradnl"/>
        </w:rPr>
        <w:t>de rampa o plataforma</w:t>
      </w:r>
      <w:r>
        <w:rPr>
          <w:rFonts w:cs="Times New Roman"/>
          <w:spacing w:val="-7"/>
          <w:sz w:val="18"/>
          <w:szCs w:val="18"/>
          <w:lang w:val="es-ES_tradnl"/>
        </w:rPr>
        <w:t>”</w:t>
      </w:r>
      <w:r>
        <w:rPr>
          <w:spacing w:val="-7"/>
          <w:sz w:val="18"/>
          <w:szCs w:val="18"/>
          <w:lang w:val="es-ES_tradnl"/>
        </w:rPr>
        <w:t xml:space="preserve">), siempre y cuando no cause una </w:t>
      </w:r>
      <w:r>
        <w:rPr>
          <w:sz w:val="18"/>
          <w:szCs w:val="18"/>
          <w:lang w:val="es-ES_tradnl"/>
        </w:rPr>
        <w:t>demora indebida.</w:t>
      </w:r>
    </w:p>
    <w:p w14:paraId="4F67A375" w14:textId="77777777" w:rsidR="00591D54" w:rsidRDefault="00591D54" w:rsidP="00251195">
      <w:pPr>
        <w:numPr>
          <w:ilvl w:val="0"/>
          <w:numId w:val="9"/>
        </w:numPr>
        <w:shd w:val="clear" w:color="auto" w:fill="FFFFFF"/>
        <w:tabs>
          <w:tab w:val="left" w:pos="278"/>
        </w:tabs>
        <w:spacing w:before="192" w:line="216" w:lineRule="exact"/>
        <w:ind w:right="5"/>
        <w:jc w:val="both"/>
        <w:rPr>
          <w:spacing w:val="-6"/>
          <w:sz w:val="18"/>
          <w:szCs w:val="18"/>
          <w:lang w:val="es-ES_tradnl"/>
        </w:rPr>
      </w:pPr>
      <w:r>
        <w:rPr>
          <w:spacing w:val="-7"/>
          <w:sz w:val="18"/>
          <w:szCs w:val="18"/>
          <w:lang w:val="es-ES_tradnl"/>
        </w:rPr>
        <w:t>Si la inspecci</w:t>
      </w:r>
      <w:r>
        <w:rPr>
          <w:rFonts w:cs="Times New Roman"/>
          <w:spacing w:val="-7"/>
          <w:sz w:val="18"/>
          <w:szCs w:val="18"/>
          <w:lang w:val="es-ES_tradnl"/>
        </w:rPr>
        <w:t>ó</w:t>
      </w:r>
      <w:r>
        <w:rPr>
          <w:spacing w:val="-7"/>
          <w:sz w:val="18"/>
          <w:szCs w:val="18"/>
          <w:lang w:val="es-ES_tradnl"/>
        </w:rPr>
        <w:t xml:space="preserve">n en rampa o serie de inspecciones de </w:t>
      </w:r>
      <w:r>
        <w:rPr>
          <w:sz w:val="18"/>
          <w:szCs w:val="18"/>
          <w:lang w:val="es-ES_tradnl"/>
        </w:rPr>
        <w:t>rampa causan:</w:t>
      </w:r>
    </w:p>
    <w:p w14:paraId="4F67A376" w14:textId="77777777" w:rsidR="00591D54" w:rsidRDefault="00591D54">
      <w:pPr>
        <w:rPr>
          <w:rFonts w:cs="Times New Roman"/>
          <w:sz w:val="2"/>
          <w:szCs w:val="2"/>
        </w:rPr>
      </w:pPr>
      <w:r>
        <w:rPr>
          <w:spacing w:val="-6"/>
          <w:sz w:val="18"/>
          <w:szCs w:val="18"/>
          <w:lang w:val="es-ES_tradnl"/>
        </w:rPr>
        <w:br w:type="column"/>
      </w:r>
    </w:p>
    <w:p w14:paraId="4F67A377" w14:textId="77777777" w:rsidR="00591D54" w:rsidRDefault="00591D54" w:rsidP="00251195">
      <w:pPr>
        <w:numPr>
          <w:ilvl w:val="0"/>
          <w:numId w:val="10"/>
        </w:numPr>
        <w:shd w:val="clear" w:color="auto" w:fill="FFFFFF"/>
        <w:tabs>
          <w:tab w:val="left" w:pos="571"/>
        </w:tabs>
        <w:spacing w:before="10" w:line="216" w:lineRule="exact"/>
        <w:ind w:left="283"/>
        <w:jc w:val="both"/>
        <w:rPr>
          <w:spacing w:val="-9"/>
          <w:sz w:val="18"/>
          <w:szCs w:val="18"/>
          <w:lang w:val="es-ES_tradnl"/>
        </w:rPr>
      </w:pPr>
      <w:r>
        <w:rPr>
          <w:spacing w:val="-9"/>
          <w:sz w:val="18"/>
          <w:szCs w:val="18"/>
          <w:lang w:val="es-ES_tradnl"/>
        </w:rPr>
        <w:t xml:space="preserve">Serias preocupaciones de que una aeronave o la </w:t>
      </w:r>
      <w:r>
        <w:rPr>
          <w:spacing w:val="-12"/>
          <w:sz w:val="18"/>
          <w:szCs w:val="18"/>
          <w:lang w:val="es-ES_tradnl"/>
        </w:rPr>
        <w:t>operaci</w:t>
      </w:r>
      <w:r>
        <w:rPr>
          <w:rFonts w:cs="Times New Roman"/>
          <w:spacing w:val="-12"/>
          <w:sz w:val="18"/>
          <w:szCs w:val="18"/>
          <w:lang w:val="es-ES_tradnl"/>
        </w:rPr>
        <w:t>ó</w:t>
      </w:r>
      <w:r>
        <w:rPr>
          <w:spacing w:val="-12"/>
          <w:sz w:val="18"/>
          <w:szCs w:val="18"/>
          <w:lang w:val="es-ES_tradnl"/>
        </w:rPr>
        <w:t>n de una aeronave no cumple con los est</w:t>
      </w:r>
      <w:r>
        <w:rPr>
          <w:rFonts w:cs="Times New Roman"/>
          <w:spacing w:val="-12"/>
          <w:sz w:val="18"/>
          <w:szCs w:val="18"/>
          <w:lang w:val="es-ES_tradnl"/>
        </w:rPr>
        <w:t>á</w:t>
      </w:r>
      <w:r>
        <w:rPr>
          <w:spacing w:val="-12"/>
          <w:sz w:val="18"/>
          <w:szCs w:val="18"/>
          <w:lang w:val="es-ES_tradnl"/>
        </w:rPr>
        <w:t xml:space="preserve">ndares </w:t>
      </w:r>
      <w:r>
        <w:rPr>
          <w:spacing w:val="-9"/>
          <w:sz w:val="18"/>
          <w:szCs w:val="18"/>
          <w:lang w:val="es-ES_tradnl"/>
        </w:rPr>
        <w:t>m</w:t>
      </w:r>
      <w:r>
        <w:rPr>
          <w:rFonts w:cs="Times New Roman"/>
          <w:spacing w:val="-9"/>
          <w:sz w:val="18"/>
          <w:szCs w:val="18"/>
          <w:lang w:val="es-ES_tradnl"/>
        </w:rPr>
        <w:t>í</w:t>
      </w:r>
      <w:r>
        <w:rPr>
          <w:spacing w:val="-9"/>
          <w:sz w:val="18"/>
          <w:szCs w:val="18"/>
          <w:lang w:val="es-ES_tradnl"/>
        </w:rPr>
        <w:t xml:space="preserve">nimos establecidos en ese momento de conformidad </w:t>
      </w:r>
      <w:r>
        <w:rPr>
          <w:sz w:val="18"/>
          <w:szCs w:val="18"/>
          <w:lang w:val="es-ES_tradnl"/>
        </w:rPr>
        <w:t>con la Convenci</w:t>
      </w:r>
      <w:r>
        <w:rPr>
          <w:rFonts w:cs="Times New Roman"/>
          <w:sz w:val="18"/>
          <w:szCs w:val="18"/>
          <w:lang w:val="es-ES_tradnl"/>
        </w:rPr>
        <w:t>ó</w:t>
      </w:r>
      <w:r>
        <w:rPr>
          <w:sz w:val="18"/>
          <w:szCs w:val="18"/>
          <w:lang w:val="es-ES_tradnl"/>
        </w:rPr>
        <w:t>n; o</w:t>
      </w:r>
    </w:p>
    <w:p w14:paraId="4F67A378" w14:textId="77777777" w:rsidR="00591D54" w:rsidRDefault="00591D54" w:rsidP="00251195">
      <w:pPr>
        <w:numPr>
          <w:ilvl w:val="0"/>
          <w:numId w:val="10"/>
        </w:numPr>
        <w:shd w:val="clear" w:color="auto" w:fill="FFFFFF"/>
        <w:tabs>
          <w:tab w:val="left" w:pos="571"/>
        </w:tabs>
        <w:spacing w:before="197" w:line="216" w:lineRule="exact"/>
        <w:ind w:left="283"/>
        <w:jc w:val="both"/>
        <w:rPr>
          <w:spacing w:val="-6"/>
          <w:sz w:val="18"/>
          <w:szCs w:val="18"/>
          <w:lang w:val="es-ES_tradnl"/>
        </w:rPr>
      </w:pPr>
      <w:r>
        <w:rPr>
          <w:spacing w:val="-7"/>
          <w:sz w:val="18"/>
          <w:szCs w:val="18"/>
          <w:lang w:val="es-ES_tradnl"/>
        </w:rPr>
        <w:t xml:space="preserve">Serias preocupaciones de que hay una falta de </w:t>
      </w:r>
      <w:r>
        <w:rPr>
          <w:spacing w:val="-6"/>
          <w:sz w:val="18"/>
          <w:szCs w:val="18"/>
          <w:lang w:val="es-ES_tradnl"/>
        </w:rPr>
        <w:t>gesti</w:t>
      </w:r>
      <w:r>
        <w:rPr>
          <w:rFonts w:cs="Times New Roman"/>
          <w:spacing w:val="-6"/>
          <w:sz w:val="18"/>
          <w:szCs w:val="18"/>
          <w:lang w:val="es-ES_tradnl"/>
        </w:rPr>
        <w:t>ó</w:t>
      </w:r>
      <w:r>
        <w:rPr>
          <w:spacing w:val="-6"/>
          <w:sz w:val="18"/>
          <w:szCs w:val="18"/>
          <w:lang w:val="es-ES_tradnl"/>
        </w:rPr>
        <w:t>n y de mantenimiento eficaz de los est</w:t>
      </w:r>
      <w:r>
        <w:rPr>
          <w:rFonts w:cs="Times New Roman"/>
          <w:spacing w:val="-6"/>
          <w:sz w:val="18"/>
          <w:szCs w:val="18"/>
          <w:lang w:val="es-ES_tradnl"/>
        </w:rPr>
        <w:t>á</w:t>
      </w:r>
      <w:r>
        <w:rPr>
          <w:spacing w:val="-6"/>
          <w:sz w:val="18"/>
          <w:szCs w:val="18"/>
          <w:lang w:val="es-ES_tradnl"/>
        </w:rPr>
        <w:t xml:space="preserve">ndares </w:t>
      </w:r>
      <w:r>
        <w:rPr>
          <w:spacing w:val="-9"/>
          <w:sz w:val="18"/>
          <w:szCs w:val="18"/>
          <w:lang w:val="es-ES_tradnl"/>
        </w:rPr>
        <w:t xml:space="preserve">de seguridad de vuelo establecidos en ese momento de </w:t>
      </w:r>
      <w:r>
        <w:rPr>
          <w:spacing w:val="-6"/>
          <w:sz w:val="18"/>
          <w:szCs w:val="18"/>
          <w:lang w:val="es-ES_tradnl"/>
        </w:rPr>
        <w:t>conformidad con la Convenci</w:t>
      </w:r>
      <w:r>
        <w:rPr>
          <w:rFonts w:cs="Times New Roman"/>
          <w:spacing w:val="-6"/>
          <w:sz w:val="18"/>
          <w:szCs w:val="18"/>
          <w:lang w:val="es-ES_tradnl"/>
        </w:rPr>
        <w:t>ó</w:t>
      </w:r>
      <w:r>
        <w:rPr>
          <w:spacing w:val="-6"/>
          <w:sz w:val="18"/>
          <w:szCs w:val="18"/>
          <w:lang w:val="es-ES_tradnl"/>
        </w:rPr>
        <w:t xml:space="preserve">n, la Parte contratante </w:t>
      </w:r>
      <w:r>
        <w:rPr>
          <w:spacing w:val="-5"/>
          <w:sz w:val="18"/>
          <w:szCs w:val="18"/>
          <w:lang w:val="es-ES_tradnl"/>
        </w:rPr>
        <w:t>que realice la inspecci</w:t>
      </w:r>
      <w:r>
        <w:rPr>
          <w:rFonts w:cs="Times New Roman"/>
          <w:spacing w:val="-5"/>
          <w:sz w:val="18"/>
          <w:szCs w:val="18"/>
          <w:lang w:val="es-ES_tradnl"/>
        </w:rPr>
        <w:t>ó</w:t>
      </w:r>
      <w:r>
        <w:rPr>
          <w:spacing w:val="-5"/>
          <w:sz w:val="18"/>
          <w:szCs w:val="18"/>
          <w:lang w:val="es-ES_tradnl"/>
        </w:rPr>
        <w:t>n deber</w:t>
      </w:r>
      <w:r>
        <w:rPr>
          <w:rFonts w:cs="Times New Roman"/>
          <w:spacing w:val="-5"/>
          <w:sz w:val="18"/>
          <w:szCs w:val="18"/>
          <w:lang w:val="es-ES_tradnl"/>
        </w:rPr>
        <w:t>á</w:t>
      </w:r>
      <w:r>
        <w:rPr>
          <w:spacing w:val="-5"/>
          <w:sz w:val="18"/>
          <w:szCs w:val="18"/>
          <w:lang w:val="es-ES_tradnl"/>
        </w:rPr>
        <w:t>, para los prop</w:t>
      </w:r>
      <w:r>
        <w:rPr>
          <w:rFonts w:cs="Times New Roman"/>
          <w:spacing w:val="-5"/>
          <w:sz w:val="18"/>
          <w:szCs w:val="18"/>
          <w:lang w:val="es-ES_tradnl"/>
        </w:rPr>
        <w:t>ó</w:t>
      </w:r>
      <w:r>
        <w:rPr>
          <w:spacing w:val="-5"/>
          <w:sz w:val="18"/>
          <w:szCs w:val="18"/>
          <w:lang w:val="es-ES_tradnl"/>
        </w:rPr>
        <w:t xml:space="preserve">sitos </w:t>
      </w:r>
      <w:r>
        <w:rPr>
          <w:sz w:val="18"/>
          <w:szCs w:val="18"/>
          <w:lang w:val="es-ES_tradnl"/>
        </w:rPr>
        <w:t>del Art</w:t>
      </w:r>
      <w:r>
        <w:rPr>
          <w:rFonts w:cs="Times New Roman"/>
          <w:sz w:val="18"/>
          <w:szCs w:val="18"/>
          <w:lang w:val="es-ES_tradnl"/>
        </w:rPr>
        <w:t>í</w:t>
      </w:r>
      <w:r>
        <w:rPr>
          <w:sz w:val="18"/>
          <w:szCs w:val="18"/>
          <w:lang w:val="es-ES_tradnl"/>
        </w:rPr>
        <w:t>culo 33 de la Convenci</w:t>
      </w:r>
      <w:r>
        <w:rPr>
          <w:rFonts w:cs="Times New Roman"/>
          <w:sz w:val="18"/>
          <w:szCs w:val="18"/>
          <w:lang w:val="es-ES_tradnl"/>
        </w:rPr>
        <w:t>ó</w:t>
      </w:r>
      <w:r>
        <w:rPr>
          <w:sz w:val="18"/>
          <w:szCs w:val="18"/>
          <w:lang w:val="es-ES_tradnl"/>
        </w:rPr>
        <w:t xml:space="preserve">n, tener la libertad </w:t>
      </w:r>
      <w:r>
        <w:rPr>
          <w:spacing w:val="-5"/>
          <w:sz w:val="18"/>
          <w:szCs w:val="18"/>
          <w:lang w:val="es-ES_tradnl"/>
        </w:rPr>
        <w:t xml:space="preserve">de concluir que los requisitos en virtud de los cuales </w:t>
      </w:r>
      <w:r>
        <w:rPr>
          <w:spacing w:val="-8"/>
          <w:sz w:val="18"/>
          <w:szCs w:val="18"/>
          <w:lang w:val="es-ES_tradnl"/>
        </w:rPr>
        <w:t>fueron emitidos o considerados v</w:t>
      </w:r>
      <w:r>
        <w:rPr>
          <w:rFonts w:cs="Times New Roman"/>
          <w:spacing w:val="-8"/>
          <w:sz w:val="18"/>
          <w:szCs w:val="18"/>
          <w:lang w:val="es-ES_tradnl"/>
        </w:rPr>
        <w:t>á</w:t>
      </w:r>
      <w:r>
        <w:rPr>
          <w:spacing w:val="-8"/>
          <w:sz w:val="18"/>
          <w:szCs w:val="18"/>
          <w:lang w:val="es-ES_tradnl"/>
        </w:rPr>
        <w:t xml:space="preserve">lidos los certificados </w:t>
      </w:r>
      <w:r>
        <w:rPr>
          <w:spacing w:val="-11"/>
          <w:sz w:val="18"/>
          <w:szCs w:val="18"/>
          <w:lang w:val="es-ES_tradnl"/>
        </w:rPr>
        <w:t xml:space="preserve">o licencias con respecto a dicha aeronave o con respecto </w:t>
      </w:r>
      <w:r>
        <w:rPr>
          <w:spacing w:val="-7"/>
          <w:sz w:val="18"/>
          <w:szCs w:val="18"/>
          <w:lang w:val="es-ES_tradnl"/>
        </w:rPr>
        <w:t>a la tripulaci</w:t>
      </w:r>
      <w:r>
        <w:rPr>
          <w:rFonts w:cs="Times New Roman"/>
          <w:spacing w:val="-7"/>
          <w:sz w:val="18"/>
          <w:szCs w:val="18"/>
          <w:lang w:val="es-ES_tradnl"/>
        </w:rPr>
        <w:t>ó</w:t>
      </w:r>
      <w:r>
        <w:rPr>
          <w:spacing w:val="-7"/>
          <w:sz w:val="18"/>
          <w:szCs w:val="18"/>
          <w:lang w:val="es-ES_tradnl"/>
        </w:rPr>
        <w:t xml:space="preserve">n de vuelo de esa aeronave, o que los </w:t>
      </w:r>
      <w:r>
        <w:rPr>
          <w:spacing w:val="-12"/>
          <w:sz w:val="18"/>
          <w:szCs w:val="18"/>
          <w:lang w:val="es-ES_tradnl"/>
        </w:rPr>
        <w:t>requisitos bajo los cuales se oper</w:t>
      </w:r>
      <w:r>
        <w:rPr>
          <w:rFonts w:cs="Times New Roman"/>
          <w:spacing w:val="-12"/>
          <w:sz w:val="18"/>
          <w:szCs w:val="18"/>
          <w:lang w:val="es-ES_tradnl"/>
        </w:rPr>
        <w:t>ó</w:t>
      </w:r>
      <w:r>
        <w:rPr>
          <w:spacing w:val="-12"/>
          <w:sz w:val="18"/>
          <w:szCs w:val="18"/>
          <w:lang w:val="es-ES_tradnl"/>
        </w:rPr>
        <w:t xml:space="preserve"> dicha aeronave no son </w:t>
      </w:r>
      <w:r>
        <w:rPr>
          <w:spacing w:val="-9"/>
          <w:sz w:val="18"/>
          <w:szCs w:val="18"/>
          <w:lang w:val="es-ES_tradnl"/>
        </w:rPr>
        <w:t>iguales o no exceden las normas m</w:t>
      </w:r>
      <w:r>
        <w:rPr>
          <w:rFonts w:cs="Times New Roman"/>
          <w:spacing w:val="-9"/>
          <w:sz w:val="18"/>
          <w:szCs w:val="18"/>
          <w:lang w:val="es-ES_tradnl"/>
        </w:rPr>
        <w:t>í</w:t>
      </w:r>
      <w:r>
        <w:rPr>
          <w:spacing w:val="-9"/>
          <w:sz w:val="18"/>
          <w:szCs w:val="18"/>
          <w:lang w:val="es-ES_tradnl"/>
        </w:rPr>
        <w:t xml:space="preserve">nimas establecidas </w:t>
      </w:r>
      <w:r>
        <w:rPr>
          <w:sz w:val="18"/>
          <w:szCs w:val="18"/>
          <w:lang w:val="es-ES_tradnl"/>
        </w:rPr>
        <w:t>por la Convenci</w:t>
      </w:r>
      <w:r>
        <w:rPr>
          <w:rFonts w:cs="Times New Roman"/>
          <w:sz w:val="18"/>
          <w:szCs w:val="18"/>
          <w:lang w:val="es-ES_tradnl"/>
        </w:rPr>
        <w:t>ó</w:t>
      </w:r>
      <w:r>
        <w:rPr>
          <w:sz w:val="18"/>
          <w:szCs w:val="18"/>
          <w:lang w:val="es-ES_tradnl"/>
        </w:rPr>
        <w:t>n.</w:t>
      </w:r>
    </w:p>
    <w:p w14:paraId="4F67A379" w14:textId="77777777" w:rsidR="00591D54" w:rsidRDefault="00591D54">
      <w:pPr>
        <w:shd w:val="clear" w:color="auto" w:fill="FFFFFF"/>
        <w:tabs>
          <w:tab w:val="left" w:pos="283"/>
        </w:tabs>
        <w:spacing w:before="197" w:line="216" w:lineRule="exact"/>
        <w:jc w:val="both"/>
      </w:pPr>
      <w:r>
        <w:rPr>
          <w:spacing w:val="-6"/>
          <w:sz w:val="18"/>
          <w:szCs w:val="18"/>
          <w:lang w:val="es-ES_tradnl"/>
        </w:rPr>
        <w:t>(5)</w:t>
      </w:r>
      <w:r>
        <w:rPr>
          <w:sz w:val="18"/>
          <w:szCs w:val="18"/>
          <w:lang w:val="es-ES_tradnl"/>
        </w:rPr>
        <w:tab/>
      </w:r>
      <w:r>
        <w:rPr>
          <w:spacing w:val="-5"/>
          <w:sz w:val="18"/>
          <w:szCs w:val="18"/>
          <w:lang w:val="es-ES_tradnl"/>
        </w:rPr>
        <w:t>En el caso de que, con el prop</w:t>
      </w:r>
      <w:r>
        <w:rPr>
          <w:rFonts w:cs="Times New Roman"/>
          <w:spacing w:val="-5"/>
          <w:sz w:val="18"/>
          <w:szCs w:val="18"/>
          <w:lang w:val="es-ES_tradnl"/>
        </w:rPr>
        <w:t>ó</w:t>
      </w:r>
      <w:r>
        <w:rPr>
          <w:spacing w:val="-5"/>
          <w:sz w:val="18"/>
          <w:szCs w:val="18"/>
          <w:lang w:val="es-ES_tradnl"/>
        </w:rPr>
        <w:t>sito de llevar a cabo </w:t>
      </w:r>
      <w:r>
        <w:rPr>
          <w:spacing w:val="-10"/>
          <w:sz w:val="18"/>
          <w:szCs w:val="18"/>
          <w:lang w:val="es-ES_tradnl"/>
        </w:rPr>
        <w:t>una inspecci</w:t>
      </w:r>
      <w:r>
        <w:rPr>
          <w:rFonts w:cs="Times New Roman"/>
          <w:spacing w:val="-10"/>
          <w:sz w:val="18"/>
          <w:szCs w:val="18"/>
          <w:lang w:val="es-ES_tradnl"/>
        </w:rPr>
        <w:t>ó</w:t>
      </w:r>
      <w:r>
        <w:rPr>
          <w:spacing w:val="-10"/>
          <w:sz w:val="18"/>
          <w:szCs w:val="18"/>
          <w:lang w:val="es-ES_tradnl"/>
        </w:rPr>
        <w:t>n de rampa de una aeronave operada por una l</w:t>
      </w:r>
      <w:r>
        <w:rPr>
          <w:rFonts w:cs="Times New Roman"/>
          <w:spacing w:val="-10"/>
          <w:sz w:val="18"/>
          <w:szCs w:val="18"/>
          <w:lang w:val="es-ES_tradnl"/>
        </w:rPr>
        <w:t>í</w:t>
      </w:r>
      <w:r>
        <w:rPr>
          <w:spacing w:val="-10"/>
          <w:sz w:val="18"/>
          <w:szCs w:val="18"/>
          <w:lang w:val="es-ES_tradnl"/>
        </w:rPr>
        <w:t>nea a</w:t>
      </w:r>
      <w:r>
        <w:rPr>
          <w:rFonts w:cs="Times New Roman"/>
          <w:spacing w:val="-10"/>
          <w:sz w:val="18"/>
          <w:szCs w:val="18"/>
          <w:lang w:val="es-ES_tradnl"/>
        </w:rPr>
        <w:t>é</w:t>
      </w:r>
      <w:r>
        <w:rPr>
          <w:spacing w:val="-10"/>
          <w:sz w:val="18"/>
          <w:szCs w:val="18"/>
          <w:lang w:val="es-ES_tradnl"/>
        </w:rPr>
        <w:t>rea de una Parte Contratante, de conformidad con el p</w:t>
      </w:r>
      <w:r>
        <w:rPr>
          <w:rFonts w:cs="Times New Roman"/>
          <w:spacing w:val="-10"/>
          <w:sz w:val="18"/>
          <w:szCs w:val="18"/>
          <w:lang w:val="es-ES_tradnl"/>
        </w:rPr>
        <w:t>á</w:t>
      </w:r>
      <w:r>
        <w:rPr>
          <w:spacing w:val="-10"/>
          <w:sz w:val="18"/>
          <w:szCs w:val="18"/>
          <w:lang w:val="es-ES_tradnl"/>
        </w:rPr>
        <w:t>rrafo (3) del presente Art</w:t>
      </w:r>
      <w:r>
        <w:rPr>
          <w:rFonts w:cs="Times New Roman"/>
          <w:spacing w:val="-10"/>
          <w:sz w:val="18"/>
          <w:szCs w:val="18"/>
          <w:lang w:val="es-ES_tradnl"/>
        </w:rPr>
        <w:t>í</w:t>
      </w:r>
      <w:r>
        <w:rPr>
          <w:spacing w:val="-10"/>
          <w:sz w:val="18"/>
          <w:szCs w:val="18"/>
          <w:lang w:val="es-ES_tradnl"/>
        </w:rPr>
        <w:t>culo, el acceso es negado por un </w:t>
      </w:r>
      <w:r>
        <w:rPr>
          <w:spacing w:val="-9"/>
          <w:sz w:val="18"/>
          <w:szCs w:val="18"/>
          <w:lang w:val="es-ES_tradnl"/>
        </w:rPr>
        <w:t>representante de esa l</w:t>
      </w:r>
      <w:r>
        <w:rPr>
          <w:rFonts w:cs="Times New Roman"/>
          <w:spacing w:val="-9"/>
          <w:sz w:val="18"/>
          <w:szCs w:val="18"/>
          <w:lang w:val="es-ES_tradnl"/>
        </w:rPr>
        <w:t>í</w:t>
      </w:r>
      <w:r>
        <w:rPr>
          <w:spacing w:val="-9"/>
          <w:sz w:val="18"/>
          <w:szCs w:val="18"/>
          <w:lang w:val="es-ES_tradnl"/>
        </w:rPr>
        <w:t>nea a</w:t>
      </w:r>
      <w:r>
        <w:rPr>
          <w:rFonts w:cs="Times New Roman"/>
          <w:spacing w:val="-9"/>
          <w:sz w:val="18"/>
          <w:szCs w:val="18"/>
          <w:lang w:val="es-ES_tradnl"/>
        </w:rPr>
        <w:t>é</w:t>
      </w:r>
      <w:r>
        <w:rPr>
          <w:spacing w:val="-9"/>
          <w:sz w:val="18"/>
          <w:szCs w:val="18"/>
          <w:lang w:val="es-ES_tradnl"/>
        </w:rPr>
        <w:t>rea, la otra Parte Contratante </w:t>
      </w:r>
      <w:r>
        <w:rPr>
          <w:spacing w:val="-6"/>
          <w:sz w:val="18"/>
          <w:szCs w:val="18"/>
          <w:lang w:val="es-ES_tradnl"/>
        </w:rPr>
        <w:t>tendr</w:t>
      </w:r>
      <w:r>
        <w:rPr>
          <w:rFonts w:cs="Times New Roman"/>
          <w:spacing w:val="-6"/>
          <w:sz w:val="18"/>
          <w:szCs w:val="18"/>
          <w:lang w:val="es-ES_tradnl"/>
        </w:rPr>
        <w:t>á</w:t>
      </w:r>
      <w:r>
        <w:rPr>
          <w:spacing w:val="-6"/>
          <w:sz w:val="18"/>
          <w:szCs w:val="18"/>
          <w:lang w:val="es-ES_tradnl"/>
        </w:rPr>
        <w:t xml:space="preserve"> la libertad de inferir que las preocupaciones han </w:t>
      </w:r>
      <w:r>
        <w:rPr>
          <w:spacing w:val="-4"/>
          <w:sz w:val="18"/>
          <w:szCs w:val="18"/>
          <w:lang w:val="es-ES_tradnl"/>
        </w:rPr>
        <w:t>surgido graves preocupaciones del tipo referido en el </w:t>
      </w:r>
      <w:r>
        <w:rPr>
          <w:spacing w:val="-7"/>
          <w:sz w:val="18"/>
          <w:szCs w:val="18"/>
          <w:lang w:val="es-ES_tradnl"/>
        </w:rPr>
        <w:t>p</w:t>
      </w:r>
      <w:r>
        <w:rPr>
          <w:rFonts w:cs="Times New Roman"/>
          <w:spacing w:val="-7"/>
          <w:sz w:val="18"/>
          <w:szCs w:val="18"/>
          <w:lang w:val="es-ES_tradnl"/>
        </w:rPr>
        <w:t>á</w:t>
      </w:r>
      <w:r>
        <w:rPr>
          <w:spacing w:val="-7"/>
          <w:sz w:val="18"/>
          <w:szCs w:val="18"/>
          <w:lang w:val="es-ES_tradnl"/>
        </w:rPr>
        <w:t>rrafo (4) del presente Art</w:t>
      </w:r>
      <w:r>
        <w:rPr>
          <w:rFonts w:cs="Times New Roman"/>
          <w:spacing w:val="-7"/>
          <w:sz w:val="18"/>
          <w:szCs w:val="18"/>
          <w:lang w:val="es-ES_tradnl"/>
        </w:rPr>
        <w:t>í</w:t>
      </w:r>
      <w:r>
        <w:rPr>
          <w:spacing w:val="-7"/>
          <w:sz w:val="18"/>
          <w:szCs w:val="18"/>
          <w:lang w:val="es-ES_tradnl"/>
        </w:rPr>
        <w:t>culo y sacar las conclusiones a </w:t>
      </w:r>
      <w:r>
        <w:rPr>
          <w:sz w:val="18"/>
          <w:szCs w:val="18"/>
          <w:lang w:val="es-ES_tradnl"/>
        </w:rPr>
        <w:t>que se refiere dicho p</w:t>
      </w:r>
      <w:r>
        <w:rPr>
          <w:rFonts w:cs="Times New Roman"/>
          <w:sz w:val="18"/>
          <w:szCs w:val="18"/>
          <w:lang w:val="es-ES_tradnl"/>
        </w:rPr>
        <w:t>á</w:t>
      </w:r>
      <w:r>
        <w:rPr>
          <w:sz w:val="18"/>
          <w:szCs w:val="18"/>
          <w:lang w:val="es-ES_tradnl"/>
        </w:rPr>
        <w:t>rrafo.</w:t>
      </w:r>
    </w:p>
    <w:p w14:paraId="4F67A37A" w14:textId="77777777" w:rsidR="00591D54" w:rsidRDefault="00591D54">
      <w:pPr>
        <w:shd w:val="clear" w:color="auto" w:fill="FFFFFF"/>
        <w:tabs>
          <w:tab w:val="left" w:pos="331"/>
        </w:tabs>
        <w:spacing w:before="197" w:line="216" w:lineRule="exact"/>
        <w:jc w:val="both"/>
      </w:pPr>
      <w:r>
        <w:rPr>
          <w:spacing w:val="-6"/>
          <w:sz w:val="18"/>
          <w:szCs w:val="18"/>
          <w:lang w:val="es-ES_tradnl"/>
        </w:rPr>
        <w:t>(6)</w:t>
      </w:r>
      <w:r>
        <w:rPr>
          <w:sz w:val="18"/>
          <w:szCs w:val="18"/>
          <w:lang w:val="es-ES_tradnl"/>
        </w:rPr>
        <w:tab/>
      </w:r>
      <w:r>
        <w:rPr>
          <w:spacing w:val="-7"/>
          <w:sz w:val="18"/>
          <w:szCs w:val="18"/>
          <w:lang w:val="es-ES_tradnl"/>
        </w:rPr>
        <w:t>Cada Parte Contratante se reserva el derecho de suspender inmediatamente o de modificar los permisos </w:t>
      </w:r>
      <w:r>
        <w:rPr>
          <w:spacing w:val="-11"/>
          <w:sz w:val="18"/>
          <w:szCs w:val="18"/>
          <w:lang w:val="es-ES_tradnl"/>
        </w:rPr>
        <w:t>t</w:t>
      </w:r>
      <w:r>
        <w:rPr>
          <w:rFonts w:cs="Times New Roman"/>
          <w:spacing w:val="-11"/>
          <w:sz w:val="18"/>
          <w:szCs w:val="18"/>
          <w:lang w:val="es-ES_tradnl"/>
        </w:rPr>
        <w:t>é</w:t>
      </w:r>
      <w:r>
        <w:rPr>
          <w:spacing w:val="-11"/>
          <w:sz w:val="18"/>
          <w:szCs w:val="18"/>
          <w:lang w:val="es-ES_tradnl"/>
        </w:rPr>
        <w:t>cnicos y la autorizaci</w:t>
      </w:r>
      <w:r>
        <w:rPr>
          <w:rFonts w:cs="Times New Roman"/>
          <w:spacing w:val="-11"/>
          <w:sz w:val="18"/>
          <w:szCs w:val="18"/>
          <w:lang w:val="es-ES_tradnl"/>
        </w:rPr>
        <w:t>ó</w:t>
      </w:r>
      <w:r>
        <w:rPr>
          <w:spacing w:val="-11"/>
          <w:sz w:val="18"/>
          <w:szCs w:val="18"/>
          <w:lang w:val="es-ES_tradnl"/>
        </w:rPr>
        <w:t>n de operaci</w:t>
      </w:r>
      <w:r>
        <w:rPr>
          <w:rFonts w:cs="Times New Roman"/>
          <w:spacing w:val="-11"/>
          <w:sz w:val="18"/>
          <w:szCs w:val="18"/>
          <w:lang w:val="es-ES_tradnl"/>
        </w:rPr>
        <w:t>ó</w:t>
      </w:r>
      <w:r>
        <w:rPr>
          <w:spacing w:val="-11"/>
          <w:sz w:val="18"/>
          <w:szCs w:val="18"/>
          <w:lang w:val="es-ES_tradnl"/>
        </w:rPr>
        <w:t>n de una l</w:t>
      </w:r>
      <w:r>
        <w:rPr>
          <w:rFonts w:cs="Times New Roman"/>
          <w:spacing w:val="-11"/>
          <w:sz w:val="18"/>
          <w:szCs w:val="18"/>
          <w:lang w:val="es-ES_tradnl"/>
        </w:rPr>
        <w:t>í</w:t>
      </w:r>
      <w:r>
        <w:rPr>
          <w:spacing w:val="-11"/>
          <w:sz w:val="18"/>
          <w:szCs w:val="18"/>
          <w:lang w:val="es-ES_tradnl"/>
        </w:rPr>
        <w:t>nea a</w:t>
      </w:r>
      <w:r>
        <w:rPr>
          <w:rFonts w:cs="Times New Roman"/>
          <w:spacing w:val="-11"/>
          <w:sz w:val="18"/>
          <w:szCs w:val="18"/>
          <w:lang w:val="es-ES_tradnl"/>
        </w:rPr>
        <w:t>é</w:t>
      </w:r>
      <w:r>
        <w:rPr>
          <w:spacing w:val="-11"/>
          <w:sz w:val="18"/>
          <w:szCs w:val="18"/>
          <w:lang w:val="es-ES_tradnl"/>
        </w:rPr>
        <w:t>rea de </w:t>
      </w:r>
      <w:r>
        <w:rPr>
          <w:spacing w:val="-9"/>
          <w:sz w:val="18"/>
          <w:szCs w:val="18"/>
          <w:lang w:val="es-ES_tradnl"/>
        </w:rPr>
        <w:t>la otra Parte Contratante en el caso de que la primera Parte </w:t>
      </w:r>
      <w:r>
        <w:rPr>
          <w:spacing w:val="-7"/>
          <w:sz w:val="18"/>
          <w:szCs w:val="18"/>
          <w:lang w:val="es-ES_tradnl"/>
        </w:rPr>
        <w:t>Contratante llegue a la conclusi</w:t>
      </w:r>
      <w:r>
        <w:rPr>
          <w:rFonts w:cs="Times New Roman"/>
          <w:spacing w:val="-7"/>
          <w:sz w:val="18"/>
          <w:szCs w:val="18"/>
          <w:lang w:val="es-ES_tradnl"/>
        </w:rPr>
        <w:t>ó</w:t>
      </w:r>
      <w:r>
        <w:rPr>
          <w:spacing w:val="-7"/>
          <w:sz w:val="18"/>
          <w:szCs w:val="18"/>
          <w:lang w:val="es-ES_tradnl"/>
        </w:rPr>
        <w:t>n, ya sea como resultado </w:t>
      </w:r>
      <w:r>
        <w:rPr>
          <w:spacing w:val="-6"/>
          <w:sz w:val="18"/>
          <w:szCs w:val="18"/>
          <w:lang w:val="es-ES_tradnl"/>
        </w:rPr>
        <w:t>de una inspecci</w:t>
      </w:r>
      <w:r>
        <w:rPr>
          <w:rFonts w:cs="Times New Roman"/>
          <w:spacing w:val="-6"/>
          <w:sz w:val="18"/>
          <w:szCs w:val="18"/>
          <w:lang w:val="es-ES_tradnl"/>
        </w:rPr>
        <w:t>ó</w:t>
      </w:r>
      <w:r>
        <w:rPr>
          <w:spacing w:val="-6"/>
          <w:sz w:val="18"/>
          <w:szCs w:val="18"/>
          <w:lang w:val="es-ES_tradnl"/>
        </w:rPr>
        <w:t>n en rampa o una serie de inspecciones </w:t>
      </w:r>
      <w:r>
        <w:rPr>
          <w:spacing w:val="-7"/>
          <w:sz w:val="18"/>
          <w:szCs w:val="18"/>
          <w:lang w:val="es-ES_tradnl"/>
        </w:rPr>
        <w:t>en rampa, la negativa a dar acceso a una inspecci</w:t>
      </w:r>
      <w:r>
        <w:rPr>
          <w:rFonts w:cs="Times New Roman"/>
          <w:spacing w:val="-7"/>
          <w:sz w:val="18"/>
          <w:szCs w:val="18"/>
          <w:lang w:val="es-ES_tradnl"/>
        </w:rPr>
        <w:t>ó</w:t>
      </w:r>
      <w:r>
        <w:rPr>
          <w:spacing w:val="-7"/>
          <w:sz w:val="18"/>
          <w:szCs w:val="18"/>
          <w:lang w:val="es-ES_tradnl"/>
        </w:rPr>
        <w:t>n en </w:t>
      </w:r>
      <w:r>
        <w:rPr>
          <w:spacing w:val="-8"/>
          <w:sz w:val="18"/>
          <w:szCs w:val="18"/>
          <w:lang w:val="es-ES_tradnl"/>
        </w:rPr>
        <w:t>rampa, consultas o de otro tipo, que es esencial una acci</w:t>
      </w:r>
      <w:r>
        <w:rPr>
          <w:rFonts w:cs="Times New Roman"/>
          <w:spacing w:val="-8"/>
          <w:sz w:val="18"/>
          <w:szCs w:val="18"/>
          <w:lang w:val="es-ES_tradnl"/>
        </w:rPr>
        <w:t>ó</w:t>
      </w:r>
      <w:r>
        <w:rPr>
          <w:spacing w:val="-8"/>
          <w:sz w:val="18"/>
          <w:szCs w:val="18"/>
          <w:lang w:val="es-ES_tradnl"/>
        </w:rPr>
        <w:t>n inmediata para la seguridad de vuelo o la operaci</w:t>
      </w:r>
      <w:r>
        <w:rPr>
          <w:rFonts w:cs="Times New Roman"/>
          <w:spacing w:val="-8"/>
          <w:sz w:val="18"/>
          <w:szCs w:val="18"/>
          <w:lang w:val="es-ES_tradnl"/>
        </w:rPr>
        <w:t>ó</w:t>
      </w:r>
      <w:r>
        <w:rPr>
          <w:spacing w:val="-8"/>
          <w:sz w:val="18"/>
          <w:szCs w:val="18"/>
          <w:lang w:val="es-ES_tradnl"/>
        </w:rPr>
        <w:t>n de una </w:t>
      </w:r>
      <w:r>
        <w:rPr>
          <w:sz w:val="18"/>
          <w:szCs w:val="18"/>
          <w:lang w:val="es-ES_tradnl"/>
        </w:rPr>
        <w:t>l</w:t>
      </w:r>
      <w:r>
        <w:rPr>
          <w:rFonts w:cs="Times New Roman"/>
          <w:sz w:val="18"/>
          <w:szCs w:val="18"/>
          <w:lang w:val="es-ES_tradnl"/>
        </w:rPr>
        <w:t>í</w:t>
      </w:r>
      <w:r>
        <w:rPr>
          <w:sz w:val="18"/>
          <w:szCs w:val="18"/>
          <w:lang w:val="es-ES_tradnl"/>
        </w:rPr>
        <w:t>nea a</w:t>
      </w:r>
      <w:r>
        <w:rPr>
          <w:rFonts w:cs="Times New Roman"/>
          <w:sz w:val="18"/>
          <w:szCs w:val="18"/>
          <w:lang w:val="es-ES_tradnl"/>
        </w:rPr>
        <w:t>é</w:t>
      </w:r>
      <w:r>
        <w:rPr>
          <w:sz w:val="18"/>
          <w:szCs w:val="18"/>
          <w:lang w:val="es-ES_tradnl"/>
        </w:rPr>
        <w:t>rea.</w:t>
      </w:r>
    </w:p>
    <w:p w14:paraId="4F67A37B" w14:textId="77777777" w:rsidR="00591D54" w:rsidRDefault="00591D54">
      <w:pPr>
        <w:shd w:val="clear" w:color="auto" w:fill="FFFFFF"/>
        <w:tabs>
          <w:tab w:val="left" w:pos="274"/>
        </w:tabs>
        <w:spacing w:before="192" w:line="216" w:lineRule="exact"/>
        <w:jc w:val="both"/>
      </w:pPr>
      <w:r>
        <w:rPr>
          <w:spacing w:val="-6"/>
          <w:sz w:val="18"/>
          <w:szCs w:val="18"/>
          <w:lang w:val="es-ES_tradnl"/>
        </w:rPr>
        <w:t>(7)</w:t>
      </w:r>
      <w:r>
        <w:rPr>
          <w:sz w:val="18"/>
          <w:szCs w:val="18"/>
          <w:lang w:val="es-ES_tradnl"/>
        </w:rPr>
        <w:tab/>
      </w:r>
      <w:r>
        <w:rPr>
          <w:spacing w:val="-8"/>
          <w:sz w:val="18"/>
          <w:szCs w:val="18"/>
          <w:lang w:val="es-ES_tradnl"/>
        </w:rPr>
        <w:t>Cualquier acci</w:t>
      </w:r>
      <w:r>
        <w:rPr>
          <w:rFonts w:cs="Times New Roman"/>
          <w:spacing w:val="-8"/>
          <w:sz w:val="18"/>
          <w:szCs w:val="18"/>
          <w:lang w:val="es-ES_tradnl"/>
        </w:rPr>
        <w:t>ó</w:t>
      </w:r>
      <w:r>
        <w:rPr>
          <w:spacing w:val="-8"/>
          <w:sz w:val="18"/>
          <w:szCs w:val="18"/>
          <w:lang w:val="es-ES_tradnl"/>
        </w:rPr>
        <w:t>n tomada por una Parte Contratante de </w:t>
      </w:r>
      <w:r>
        <w:rPr>
          <w:spacing w:val="-7"/>
          <w:sz w:val="18"/>
          <w:szCs w:val="18"/>
          <w:lang w:val="es-ES_tradnl"/>
        </w:rPr>
        <w:t>conformidad con el p</w:t>
      </w:r>
      <w:r>
        <w:rPr>
          <w:rFonts w:cs="Times New Roman"/>
          <w:spacing w:val="-7"/>
          <w:sz w:val="18"/>
          <w:szCs w:val="18"/>
          <w:lang w:val="es-ES_tradnl"/>
        </w:rPr>
        <w:t>á</w:t>
      </w:r>
      <w:r>
        <w:rPr>
          <w:spacing w:val="-7"/>
          <w:sz w:val="18"/>
          <w:szCs w:val="18"/>
          <w:lang w:val="es-ES_tradnl"/>
        </w:rPr>
        <w:t>rrafo (2) o el p</w:t>
      </w:r>
      <w:r>
        <w:rPr>
          <w:rFonts w:cs="Times New Roman"/>
          <w:spacing w:val="-7"/>
          <w:sz w:val="18"/>
          <w:szCs w:val="18"/>
          <w:lang w:val="es-ES_tradnl"/>
        </w:rPr>
        <w:t>á</w:t>
      </w:r>
      <w:r>
        <w:rPr>
          <w:spacing w:val="-7"/>
          <w:sz w:val="18"/>
          <w:szCs w:val="18"/>
          <w:lang w:val="es-ES_tradnl"/>
        </w:rPr>
        <w:t>rrafo (6) del presente Art</w:t>
      </w:r>
      <w:r>
        <w:rPr>
          <w:rFonts w:cs="Times New Roman"/>
          <w:spacing w:val="-7"/>
          <w:sz w:val="18"/>
          <w:szCs w:val="18"/>
          <w:lang w:val="es-ES_tradnl"/>
        </w:rPr>
        <w:t>í</w:t>
      </w:r>
      <w:r>
        <w:rPr>
          <w:spacing w:val="-7"/>
          <w:sz w:val="18"/>
          <w:szCs w:val="18"/>
          <w:lang w:val="es-ES_tradnl"/>
        </w:rPr>
        <w:t>culo se suspender</w:t>
      </w:r>
      <w:r>
        <w:rPr>
          <w:rFonts w:cs="Times New Roman"/>
          <w:spacing w:val="-7"/>
          <w:sz w:val="18"/>
          <w:szCs w:val="18"/>
          <w:lang w:val="es-ES_tradnl"/>
        </w:rPr>
        <w:t>á</w:t>
      </w:r>
      <w:r>
        <w:rPr>
          <w:spacing w:val="-7"/>
          <w:sz w:val="18"/>
          <w:szCs w:val="18"/>
          <w:lang w:val="es-ES_tradnl"/>
        </w:rPr>
        <w:t xml:space="preserve"> una vez la base para tomar esa </w:t>
      </w:r>
      <w:r>
        <w:rPr>
          <w:sz w:val="18"/>
          <w:szCs w:val="18"/>
          <w:lang w:val="es-ES_tradnl"/>
        </w:rPr>
        <w:t>medida ha dejado de existir.</w:t>
      </w:r>
    </w:p>
    <w:p w14:paraId="4F67A37C" w14:textId="77777777" w:rsidR="00591D54" w:rsidRDefault="00591D54">
      <w:pPr>
        <w:shd w:val="clear" w:color="auto" w:fill="FFFFFF"/>
        <w:spacing w:before="192" w:line="216" w:lineRule="exact"/>
        <w:ind w:left="1195" w:right="979" w:firstLine="408"/>
      </w:pPr>
      <w:r>
        <w:rPr>
          <w:b/>
          <w:bCs/>
          <w:sz w:val="18"/>
          <w:szCs w:val="18"/>
          <w:lang w:val="es-ES_tradnl"/>
        </w:rPr>
        <w:t>ART</w:t>
      </w:r>
      <w:r>
        <w:rPr>
          <w:rFonts w:cs="Times New Roman"/>
          <w:b/>
          <w:bCs/>
          <w:sz w:val="18"/>
          <w:szCs w:val="18"/>
          <w:lang w:val="es-ES_tradnl"/>
        </w:rPr>
        <w:t>Í</w:t>
      </w:r>
      <w:r>
        <w:rPr>
          <w:b/>
          <w:bCs/>
          <w:sz w:val="18"/>
          <w:szCs w:val="18"/>
          <w:lang w:val="es-ES_tradnl"/>
        </w:rPr>
        <w:t xml:space="preserve">CULO 9 </w:t>
      </w:r>
      <w:r>
        <w:rPr>
          <w:b/>
          <w:bCs/>
          <w:spacing w:val="-10"/>
          <w:sz w:val="18"/>
          <w:szCs w:val="18"/>
          <w:lang w:val="es-ES_tradnl"/>
        </w:rPr>
        <w:t>Seguridad de la Aviaci</w:t>
      </w:r>
      <w:r>
        <w:rPr>
          <w:rFonts w:cs="Times New Roman"/>
          <w:b/>
          <w:bCs/>
          <w:spacing w:val="-10"/>
          <w:sz w:val="18"/>
          <w:szCs w:val="18"/>
          <w:lang w:val="es-ES_tradnl"/>
        </w:rPr>
        <w:t>ó</w:t>
      </w:r>
      <w:r>
        <w:rPr>
          <w:b/>
          <w:bCs/>
          <w:spacing w:val="-10"/>
          <w:sz w:val="18"/>
          <w:szCs w:val="18"/>
          <w:lang w:val="es-ES_tradnl"/>
        </w:rPr>
        <w:t>n</w:t>
      </w:r>
    </w:p>
    <w:p w14:paraId="4F67A37D" w14:textId="77777777" w:rsidR="00591D54" w:rsidRDefault="00591D54">
      <w:pPr>
        <w:shd w:val="clear" w:color="auto" w:fill="FFFFFF"/>
        <w:spacing w:before="192" w:line="216" w:lineRule="exact"/>
        <w:jc w:val="both"/>
      </w:pPr>
      <w:r>
        <w:rPr>
          <w:spacing w:val="-7"/>
          <w:sz w:val="18"/>
          <w:szCs w:val="18"/>
          <w:lang w:val="es-ES_tradnl"/>
        </w:rPr>
        <w:t xml:space="preserve">(1) Conscientes de sus derechos y obligaciones en virtud </w:t>
      </w:r>
      <w:r>
        <w:rPr>
          <w:spacing w:val="-8"/>
          <w:sz w:val="18"/>
          <w:szCs w:val="18"/>
          <w:lang w:val="es-ES_tradnl"/>
        </w:rPr>
        <w:t xml:space="preserve">del derecho internacional, las Partes Contratantes ratifican </w:t>
      </w:r>
      <w:r>
        <w:rPr>
          <w:spacing w:val="-6"/>
          <w:sz w:val="18"/>
          <w:szCs w:val="18"/>
          <w:lang w:val="es-ES_tradnl"/>
        </w:rPr>
        <w:t>que su obligaci</w:t>
      </w:r>
      <w:r>
        <w:rPr>
          <w:rFonts w:cs="Times New Roman"/>
          <w:spacing w:val="-6"/>
          <w:sz w:val="18"/>
          <w:szCs w:val="18"/>
          <w:lang w:val="es-ES_tradnl"/>
        </w:rPr>
        <w:t>ó</w:t>
      </w:r>
      <w:r>
        <w:rPr>
          <w:spacing w:val="-6"/>
          <w:sz w:val="18"/>
          <w:szCs w:val="18"/>
          <w:lang w:val="es-ES_tradnl"/>
        </w:rPr>
        <w:t xml:space="preserve">n para con la otra Parte Contratante de </w:t>
      </w:r>
      <w:r>
        <w:rPr>
          <w:spacing w:val="-5"/>
          <w:sz w:val="18"/>
          <w:szCs w:val="18"/>
          <w:lang w:val="es-ES_tradnl"/>
        </w:rPr>
        <w:t>proteger la seguridad de la aviaci</w:t>
      </w:r>
      <w:r>
        <w:rPr>
          <w:rFonts w:cs="Times New Roman"/>
          <w:spacing w:val="-5"/>
          <w:sz w:val="18"/>
          <w:szCs w:val="18"/>
          <w:lang w:val="es-ES_tradnl"/>
        </w:rPr>
        <w:t>ó</w:t>
      </w:r>
      <w:r>
        <w:rPr>
          <w:spacing w:val="-5"/>
          <w:sz w:val="18"/>
          <w:szCs w:val="18"/>
          <w:lang w:val="es-ES_tradnl"/>
        </w:rPr>
        <w:t>n civil contra actos de interferencia il</w:t>
      </w:r>
      <w:r>
        <w:rPr>
          <w:rFonts w:cs="Times New Roman"/>
          <w:spacing w:val="-5"/>
          <w:sz w:val="18"/>
          <w:szCs w:val="18"/>
          <w:lang w:val="es-ES_tradnl"/>
        </w:rPr>
        <w:t>í</w:t>
      </w:r>
      <w:r>
        <w:rPr>
          <w:spacing w:val="-5"/>
          <w:sz w:val="18"/>
          <w:szCs w:val="18"/>
          <w:lang w:val="es-ES_tradnl"/>
        </w:rPr>
        <w:t xml:space="preserve">cita forma parte integrante del presente </w:t>
      </w:r>
      <w:r>
        <w:rPr>
          <w:spacing w:val="-6"/>
          <w:sz w:val="18"/>
          <w:szCs w:val="18"/>
          <w:lang w:val="es-ES_tradnl"/>
        </w:rPr>
        <w:t>Convenio. Sin limitar la generalidad de sus derechos y obligaciones bajo el derecho internacional, las Partes Contratantes actuar</w:t>
      </w:r>
      <w:r>
        <w:rPr>
          <w:rFonts w:cs="Times New Roman"/>
          <w:spacing w:val="-6"/>
          <w:sz w:val="18"/>
          <w:szCs w:val="18"/>
          <w:lang w:val="es-ES_tradnl"/>
        </w:rPr>
        <w:t>á</w:t>
      </w:r>
      <w:r>
        <w:rPr>
          <w:spacing w:val="-6"/>
          <w:sz w:val="18"/>
          <w:szCs w:val="18"/>
          <w:lang w:val="es-ES_tradnl"/>
        </w:rPr>
        <w:t xml:space="preserve">n, en particular, de conformidad con </w:t>
      </w:r>
      <w:r>
        <w:rPr>
          <w:spacing w:val="-8"/>
          <w:sz w:val="18"/>
          <w:szCs w:val="18"/>
          <w:lang w:val="es-ES_tradnl"/>
        </w:rPr>
        <w:t>las disposiciones de la Convenci</w:t>
      </w:r>
      <w:r>
        <w:rPr>
          <w:rFonts w:cs="Times New Roman"/>
          <w:spacing w:val="-8"/>
          <w:sz w:val="18"/>
          <w:szCs w:val="18"/>
          <w:lang w:val="es-ES_tradnl"/>
        </w:rPr>
        <w:t>ó</w:t>
      </w:r>
      <w:r>
        <w:rPr>
          <w:spacing w:val="-8"/>
          <w:sz w:val="18"/>
          <w:szCs w:val="18"/>
          <w:lang w:val="es-ES_tradnl"/>
        </w:rPr>
        <w:t xml:space="preserve">n sobre las Infracciones y </w:t>
      </w:r>
      <w:r>
        <w:rPr>
          <w:spacing w:val="-7"/>
          <w:sz w:val="18"/>
          <w:szCs w:val="18"/>
          <w:lang w:val="es-ES_tradnl"/>
        </w:rPr>
        <w:t xml:space="preserve">Ciertos Otros Actos Cometidos a Bordo de las Aeronaves, </w:t>
      </w:r>
      <w:r>
        <w:rPr>
          <w:spacing w:val="-2"/>
          <w:sz w:val="18"/>
          <w:szCs w:val="18"/>
          <w:lang w:val="es-ES_tradnl"/>
        </w:rPr>
        <w:t xml:space="preserve">firmado en Tokio el 14 de septiembre de 1963; la </w:t>
      </w:r>
      <w:r>
        <w:rPr>
          <w:spacing w:val="-8"/>
          <w:sz w:val="18"/>
          <w:szCs w:val="18"/>
          <w:lang w:val="es-ES_tradnl"/>
        </w:rPr>
        <w:t>Convenci</w:t>
      </w:r>
      <w:r>
        <w:rPr>
          <w:rFonts w:cs="Times New Roman"/>
          <w:spacing w:val="-8"/>
          <w:sz w:val="18"/>
          <w:szCs w:val="18"/>
          <w:lang w:val="es-ES_tradnl"/>
        </w:rPr>
        <w:t>ó</w:t>
      </w:r>
      <w:r>
        <w:rPr>
          <w:spacing w:val="-8"/>
          <w:sz w:val="18"/>
          <w:szCs w:val="18"/>
          <w:lang w:val="es-ES_tradnl"/>
        </w:rPr>
        <w:t>n para la Represi</w:t>
      </w:r>
      <w:r>
        <w:rPr>
          <w:rFonts w:cs="Times New Roman"/>
          <w:spacing w:val="-8"/>
          <w:sz w:val="18"/>
          <w:szCs w:val="18"/>
          <w:lang w:val="es-ES_tradnl"/>
        </w:rPr>
        <w:t>ó</w:t>
      </w:r>
      <w:r>
        <w:rPr>
          <w:spacing w:val="-8"/>
          <w:sz w:val="18"/>
          <w:szCs w:val="18"/>
          <w:lang w:val="es-ES_tradnl"/>
        </w:rPr>
        <w:t>n del Apoderamiento Il</w:t>
      </w:r>
      <w:r>
        <w:rPr>
          <w:rFonts w:cs="Times New Roman"/>
          <w:spacing w:val="-8"/>
          <w:sz w:val="18"/>
          <w:szCs w:val="18"/>
          <w:lang w:val="es-ES_tradnl"/>
        </w:rPr>
        <w:t>í</w:t>
      </w:r>
      <w:r>
        <w:rPr>
          <w:spacing w:val="-8"/>
          <w:sz w:val="18"/>
          <w:szCs w:val="18"/>
          <w:lang w:val="es-ES_tradnl"/>
        </w:rPr>
        <w:t xml:space="preserve">cito de </w:t>
      </w:r>
      <w:r>
        <w:rPr>
          <w:spacing w:val="-10"/>
          <w:sz w:val="18"/>
          <w:szCs w:val="18"/>
          <w:lang w:val="es-ES_tradnl"/>
        </w:rPr>
        <w:t xml:space="preserve">Aeronaves, firmado en La Haya el 16 de diciembre de 1970; </w:t>
      </w:r>
      <w:r>
        <w:rPr>
          <w:spacing w:val="-4"/>
          <w:sz w:val="18"/>
          <w:szCs w:val="18"/>
          <w:lang w:val="es-ES_tradnl"/>
        </w:rPr>
        <w:t>la Convenci</w:t>
      </w:r>
      <w:r>
        <w:rPr>
          <w:rFonts w:cs="Times New Roman"/>
          <w:spacing w:val="-4"/>
          <w:sz w:val="18"/>
          <w:szCs w:val="18"/>
          <w:lang w:val="es-ES_tradnl"/>
        </w:rPr>
        <w:t>ó</w:t>
      </w:r>
      <w:r>
        <w:rPr>
          <w:spacing w:val="-4"/>
          <w:sz w:val="18"/>
          <w:szCs w:val="18"/>
          <w:lang w:val="es-ES_tradnl"/>
        </w:rPr>
        <w:t>n para la Represi</w:t>
      </w:r>
      <w:r>
        <w:rPr>
          <w:rFonts w:cs="Times New Roman"/>
          <w:spacing w:val="-4"/>
          <w:sz w:val="18"/>
          <w:szCs w:val="18"/>
          <w:lang w:val="es-ES_tradnl"/>
        </w:rPr>
        <w:t>ó</w:t>
      </w:r>
      <w:r>
        <w:rPr>
          <w:spacing w:val="-4"/>
          <w:sz w:val="18"/>
          <w:szCs w:val="18"/>
          <w:lang w:val="es-ES_tradnl"/>
        </w:rPr>
        <w:t>n de Actos Il</w:t>
      </w:r>
      <w:r>
        <w:rPr>
          <w:rFonts w:cs="Times New Roman"/>
          <w:spacing w:val="-4"/>
          <w:sz w:val="18"/>
          <w:szCs w:val="18"/>
          <w:lang w:val="es-ES_tradnl"/>
        </w:rPr>
        <w:t>í</w:t>
      </w:r>
      <w:r>
        <w:rPr>
          <w:spacing w:val="-4"/>
          <w:sz w:val="18"/>
          <w:szCs w:val="18"/>
          <w:lang w:val="es-ES_tradnl"/>
        </w:rPr>
        <w:t xml:space="preserve">citos contra </w:t>
      </w:r>
      <w:r>
        <w:rPr>
          <w:spacing w:val="-6"/>
          <w:sz w:val="18"/>
          <w:szCs w:val="18"/>
          <w:lang w:val="es-ES_tradnl"/>
        </w:rPr>
        <w:t>la Seguridad de Aviaci</w:t>
      </w:r>
      <w:r>
        <w:rPr>
          <w:rFonts w:cs="Times New Roman"/>
          <w:spacing w:val="-6"/>
          <w:sz w:val="18"/>
          <w:szCs w:val="18"/>
          <w:lang w:val="es-ES_tradnl"/>
        </w:rPr>
        <w:t>ó</w:t>
      </w:r>
      <w:r>
        <w:rPr>
          <w:spacing w:val="-6"/>
          <w:sz w:val="18"/>
          <w:szCs w:val="18"/>
          <w:lang w:val="es-ES_tradnl"/>
        </w:rPr>
        <w:t>n Civil, firmado en Montreal el 23</w:t>
      </w:r>
    </w:p>
    <w:p w14:paraId="4F67A37E" w14:textId="77777777" w:rsidR="00591D54" w:rsidRDefault="00591D54">
      <w:pPr>
        <w:shd w:val="clear" w:color="auto" w:fill="FFFFFF"/>
        <w:spacing w:before="192" w:line="216" w:lineRule="exact"/>
        <w:jc w:val="both"/>
        <w:sectPr w:rsidR="00591D54">
          <w:type w:val="continuous"/>
          <w:pgSz w:w="11909" w:h="16834"/>
          <w:pgMar w:top="1371" w:right="1309" w:bottom="360" w:left="1308" w:header="720" w:footer="720" w:gutter="0"/>
          <w:cols w:num="2" w:space="720" w:equalWidth="0">
            <w:col w:w="4305" w:space="682"/>
            <w:col w:w="4305"/>
          </w:cols>
          <w:noEndnote/>
        </w:sectPr>
      </w:pPr>
    </w:p>
    <w:p w14:paraId="4F67A37F" w14:textId="77777777" w:rsidR="00591D54" w:rsidRDefault="00591D54">
      <w:pPr>
        <w:shd w:val="clear" w:color="auto" w:fill="FFFFFF"/>
        <w:tabs>
          <w:tab w:val="left" w:pos="606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- 7</w:t>
      </w:r>
    </w:p>
    <w:p w14:paraId="4F67A380" w14:textId="77777777" w:rsidR="00591D54" w:rsidRDefault="00591D54">
      <w:pPr>
        <w:shd w:val="clear" w:color="auto" w:fill="FFFFFF"/>
        <w:tabs>
          <w:tab w:val="left" w:pos="6062"/>
        </w:tabs>
        <w:spacing w:after="235"/>
        <w:ind w:left="5"/>
        <w:sectPr w:rsidR="00591D54">
          <w:pgSz w:w="11909" w:h="16834"/>
          <w:pgMar w:top="1368" w:right="1309" w:bottom="360" w:left="1308" w:header="720" w:footer="720" w:gutter="0"/>
          <w:cols w:space="60"/>
          <w:noEndnote/>
        </w:sectPr>
      </w:pPr>
    </w:p>
    <w:p w14:paraId="4F67A381" w14:textId="77777777" w:rsidR="00591D54" w:rsidRDefault="00591D54">
      <w:pPr>
        <w:shd w:val="clear" w:color="auto" w:fill="FFFFFF"/>
        <w:spacing w:line="216" w:lineRule="exact"/>
        <w:jc w:val="both"/>
      </w:pPr>
      <w:r>
        <w:rPr>
          <w:spacing w:val="-6"/>
          <w:sz w:val="18"/>
          <w:szCs w:val="18"/>
          <w:lang w:val="es-ES_tradnl"/>
        </w:rPr>
        <w:t xml:space="preserve">de septiembre de 1971; el Protocolo Complementario de </w:t>
      </w:r>
      <w:r>
        <w:rPr>
          <w:spacing w:val="-5"/>
          <w:sz w:val="18"/>
          <w:szCs w:val="18"/>
          <w:lang w:val="es-ES_tradnl"/>
        </w:rPr>
        <w:t>Montreal para la Represi</w:t>
      </w:r>
      <w:r>
        <w:rPr>
          <w:rFonts w:cs="Times New Roman"/>
          <w:spacing w:val="-5"/>
          <w:sz w:val="18"/>
          <w:szCs w:val="18"/>
          <w:lang w:val="es-ES_tradnl"/>
        </w:rPr>
        <w:t>ó</w:t>
      </w:r>
      <w:r>
        <w:rPr>
          <w:spacing w:val="-5"/>
          <w:sz w:val="18"/>
          <w:szCs w:val="18"/>
          <w:lang w:val="es-ES_tradnl"/>
        </w:rPr>
        <w:t>n de Actos Il</w:t>
      </w:r>
      <w:r>
        <w:rPr>
          <w:rFonts w:cs="Times New Roman"/>
          <w:spacing w:val="-5"/>
          <w:sz w:val="18"/>
          <w:szCs w:val="18"/>
          <w:lang w:val="es-ES_tradnl"/>
        </w:rPr>
        <w:t>í</w:t>
      </w:r>
      <w:r>
        <w:rPr>
          <w:spacing w:val="-5"/>
          <w:sz w:val="18"/>
          <w:szCs w:val="18"/>
          <w:lang w:val="es-ES_tradnl"/>
        </w:rPr>
        <w:t>citos de Violencia en Aeropuertos que Presten Servicios de Aviaci</w:t>
      </w:r>
      <w:r>
        <w:rPr>
          <w:rFonts w:cs="Times New Roman"/>
          <w:spacing w:val="-5"/>
          <w:sz w:val="18"/>
          <w:szCs w:val="18"/>
          <w:lang w:val="es-ES_tradnl"/>
        </w:rPr>
        <w:t>ó</w:t>
      </w:r>
      <w:r>
        <w:rPr>
          <w:spacing w:val="-5"/>
          <w:sz w:val="18"/>
          <w:szCs w:val="18"/>
          <w:lang w:val="es-ES_tradnl"/>
        </w:rPr>
        <w:t xml:space="preserve">n Civil </w:t>
      </w:r>
      <w:r>
        <w:rPr>
          <w:spacing w:val="-9"/>
          <w:sz w:val="18"/>
          <w:szCs w:val="18"/>
          <w:lang w:val="es-ES_tradnl"/>
        </w:rPr>
        <w:t xml:space="preserve">Internacional firmado en Montreal el 24 de febrero de 1988; </w:t>
      </w:r>
      <w:r>
        <w:rPr>
          <w:spacing w:val="-7"/>
          <w:sz w:val="18"/>
          <w:szCs w:val="18"/>
          <w:lang w:val="es-ES_tradnl"/>
        </w:rPr>
        <w:t>y cualquier otra convenci</w:t>
      </w:r>
      <w:r>
        <w:rPr>
          <w:rFonts w:cs="Times New Roman"/>
          <w:spacing w:val="-7"/>
          <w:sz w:val="18"/>
          <w:szCs w:val="18"/>
          <w:lang w:val="es-ES_tradnl"/>
        </w:rPr>
        <w:t>ó</w:t>
      </w:r>
      <w:r>
        <w:rPr>
          <w:spacing w:val="-7"/>
          <w:sz w:val="18"/>
          <w:szCs w:val="18"/>
          <w:lang w:val="es-ES_tradnl"/>
        </w:rPr>
        <w:t>n y protocolo relacionado con la seguridad de la aviaci</w:t>
      </w:r>
      <w:r>
        <w:rPr>
          <w:rFonts w:cs="Times New Roman"/>
          <w:spacing w:val="-7"/>
          <w:sz w:val="18"/>
          <w:szCs w:val="18"/>
          <w:lang w:val="es-ES_tradnl"/>
        </w:rPr>
        <w:t>ó</w:t>
      </w:r>
      <w:r>
        <w:rPr>
          <w:spacing w:val="-7"/>
          <w:sz w:val="18"/>
          <w:szCs w:val="18"/>
          <w:lang w:val="es-ES_tradnl"/>
        </w:rPr>
        <w:t xml:space="preserve">n civil, a los cuales se adhieran las </w:t>
      </w:r>
      <w:r>
        <w:rPr>
          <w:sz w:val="18"/>
          <w:szCs w:val="18"/>
          <w:lang w:val="es-ES_tradnl"/>
        </w:rPr>
        <w:t>Partes Contratantes.</w:t>
      </w:r>
    </w:p>
    <w:p w14:paraId="4F67A382" w14:textId="77777777" w:rsidR="00591D54" w:rsidRDefault="00591D54" w:rsidP="00251195">
      <w:pPr>
        <w:numPr>
          <w:ilvl w:val="0"/>
          <w:numId w:val="11"/>
        </w:numPr>
        <w:shd w:val="clear" w:color="auto" w:fill="FFFFFF"/>
        <w:tabs>
          <w:tab w:val="left" w:pos="264"/>
        </w:tabs>
        <w:spacing w:before="197" w:line="216" w:lineRule="exact"/>
        <w:ind w:right="5"/>
        <w:jc w:val="both"/>
        <w:rPr>
          <w:spacing w:val="-6"/>
          <w:sz w:val="18"/>
          <w:szCs w:val="18"/>
          <w:lang w:val="es-ES_tradnl"/>
        </w:rPr>
      </w:pPr>
      <w:r>
        <w:rPr>
          <w:spacing w:val="-7"/>
          <w:sz w:val="18"/>
          <w:szCs w:val="18"/>
          <w:lang w:val="es-ES_tradnl"/>
        </w:rPr>
        <w:t>Las Partes Contratantes se proporcionar</w:t>
      </w:r>
      <w:r>
        <w:rPr>
          <w:rFonts w:cs="Times New Roman"/>
          <w:spacing w:val="-7"/>
          <w:sz w:val="18"/>
          <w:szCs w:val="18"/>
          <w:lang w:val="es-ES_tradnl"/>
        </w:rPr>
        <w:t>á</w:t>
      </w:r>
      <w:r>
        <w:rPr>
          <w:spacing w:val="-7"/>
          <w:sz w:val="18"/>
          <w:szCs w:val="18"/>
          <w:lang w:val="es-ES_tradnl"/>
        </w:rPr>
        <w:t>n entre s</w:t>
      </w:r>
      <w:r>
        <w:rPr>
          <w:rFonts w:cs="Times New Roman"/>
          <w:spacing w:val="-7"/>
          <w:sz w:val="18"/>
          <w:szCs w:val="18"/>
          <w:lang w:val="es-ES_tradnl"/>
        </w:rPr>
        <w:t>í</w:t>
      </w:r>
      <w:r>
        <w:rPr>
          <w:spacing w:val="-7"/>
          <w:sz w:val="18"/>
          <w:szCs w:val="18"/>
          <w:lang w:val="es-ES_tradnl"/>
        </w:rPr>
        <w:t xml:space="preserve">, </w:t>
      </w:r>
      <w:r>
        <w:rPr>
          <w:spacing w:val="-3"/>
          <w:sz w:val="18"/>
          <w:szCs w:val="18"/>
          <w:lang w:val="es-ES_tradnl"/>
        </w:rPr>
        <w:t>previa petici</w:t>
      </w:r>
      <w:r>
        <w:rPr>
          <w:rFonts w:cs="Times New Roman"/>
          <w:spacing w:val="-3"/>
          <w:sz w:val="18"/>
          <w:szCs w:val="18"/>
          <w:lang w:val="es-ES_tradnl"/>
        </w:rPr>
        <w:t>ó</w:t>
      </w:r>
      <w:r>
        <w:rPr>
          <w:spacing w:val="-3"/>
          <w:sz w:val="18"/>
          <w:szCs w:val="18"/>
          <w:lang w:val="es-ES_tradnl"/>
        </w:rPr>
        <w:t>n, cualquier y toda ayuda pr</w:t>
      </w:r>
      <w:r>
        <w:rPr>
          <w:rFonts w:cs="Times New Roman"/>
          <w:spacing w:val="-3"/>
          <w:sz w:val="18"/>
          <w:szCs w:val="18"/>
          <w:lang w:val="es-ES_tradnl"/>
        </w:rPr>
        <w:t>á</w:t>
      </w:r>
      <w:r>
        <w:rPr>
          <w:spacing w:val="-3"/>
          <w:sz w:val="18"/>
          <w:szCs w:val="18"/>
          <w:lang w:val="es-ES_tradnl"/>
        </w:rPr>
        <w:t xml:space="preserve">ctica para </w:t>
      </w:r>
      <w:r>
        <w:rPr>
          <w:spacing w:val="-2"/>
          <w:sz w:val="18"/>
          <w:szCs w:val="18"/>
          <w:lang w:val="es-ES_tradnl"/>
        </w:rPr>
        <w:t>impedir actos de apoderamiento il</w:t>
      </w:r>
      <w:r>
        <w:rPr>
          <w:rFonts w:cs="Times New Roman"/>
          <w:spacing w:val="-2"/>
          <w:sz w:val="18"/>
          <w:szCs w:val="18"/>
          <w:lang w:val="es-ES_tradnl"/>
        </w:rPr>
        <w:t>í</w:t>
      </w:r>
      <w:r>
        <w:rPr>
          <w:spacing w:val="-2"/>
          <w:sz w:val="18"/>
          <w:szCs w:val="18"/>
          <w:lang w:val="es-ES_tradnl"/>
        </w:rPr>
        <w:t xml:space="preserve">cito de aeronaves </w:t>
      </w:r>
      <w:r>
        <w:rPr>
          <w:spacing w:val="-5"/>
          <w:sz w:val="18"/>
          <w:szCs w:val="18"/>
          <w:lang w:val="es-ES_tradnl"/>
        </w:rPr>
        <w:t>civiles y otros actos il</w:t>
      </w:r>
      <w:r>
        <w:rPr>
          <w:rFonts w:cs="Times New Roman"/>
          <w:spacing w:val="-5"/>
          <w:sz w:val="18"/>
          <w:szCs w:val="18"/>
          <w:lang w:val="es-ES_tradnl"/>
        </w:rPr>
        <w:t>í</w:t>
      </w:r>
      <w:r>
        <w:rPr>
          <w:spacing w:val="-5"/>
          <w:sz w:val="18"/>
          <w:szCs w:val="18"/>
          <w:lang w:val="es-ES_tradnl"/>
        </w:rPr>
        <w:t xml:space="preserve">citos contra la seguridad de dichas </w:t>
      </w:r>
      <w:r>
        <w:rPr>
          <w:spacing w:val="-10"/>
          <w:sz w:val="18"/>
          <w:szCs w:val="18"/>
          <w:lang w:val="es-ES_tradnl"/>
        </w:rPr>
        <w:t>aeronaves, sus pasajeros y tripulaci</w:t>
      </w:r>
      <w:r>
        <w:rPr>
          <w:rFonts w:cs="Times New Roman"/>
          <w:spacing w:val="-10"/>
          <w:sz w:val="18"/>
          <w:szCs w:val="18"/>
          <w:lang w:val="es-ES_tradnl"/>
        </w:rPr>
        <w:t>ó</w:t>
      </w:r>
      <w:r>
        <w:rPr>
          <w:spacing w:val="-10"/>
          <w:sz w:val="18"/>
          <w:szCs w:val="18"/>
          <w:lang w:val="es-ES_tradnl"/>
        </w:rPr>
        <w:t xml:space="preserve">n de vuelo, aeropuertos </w:t>
      </w:r>
      <w:r>
        <w:rPr>
          <w:spacing w:val="-5"/>
          <w:sz w:val="18"/>
          <w:szCs w:val="18"/>
          <w:lang w:val="es-ES_tradnl"/>
        </w:rPr>
        <w:t>e instalaciones de navegaci</w:t>
      </w:r>
      <w:r>
        <w:rPr>
          <w:rFonts w:cs="Times New Roman"/>
          <w:spacing w:val="-5"/>
          <w:sz w:val="18"/>
          <w:szCs w:val="18"/>
          <w:lang w:val="es-ES_tradnl"/>
        </w:rPr>
        <w:t>ó</w:t>
      </w:r>
      <w:r>
        <w:rPr>
          <w:spacing w:val="-5"/>
          <w:sz w:val="18"/>
          <w:szCs w:val="18"/>
          <w:lang w:val="es-ES_tradnl"/>
        </w:rPr>
        <w:t>n a</w:t>
      </w:r>
      <w:r>
        <w:rPr>
          <w:rFonts w:cs="Times New Roman"/>
          <w:spacing w:val="-5"/>
          <w:sz w:val="18"/>
          <w:szCs w:val="18"/>
          <w:lang w:val="es-ES_tradnl"/>
        </w:rPr>
        <w:t>é</w:t>
      </w:r>
      <w:r>
        <w:rPr>
          <w:spacing w:val="-5"/>
          <w:sz w:val="18"/>
          <w:szCs w:val="18"/>
          <w:lang w:val="es-ES_tradnl"/>
        </w:rPr>
        <w:t xml:space="preserve">rea, y cualquier otra </w:t>
      </w:r>
      <w:r>
        <w:rPr>
          <w:spacing w:val="-7"/>
          <w:sz w:val="18"/>
          <w:szCs w:val="18"/>
          <w:lang w:val="es-ES_tradnl"/>
        </w:rPr>
        <w:t>amenaza a la seguridad de la aviaci</w:t>
      </w:r>
      <w:r>
        <w:rPr>
          <w:rFonts w:cs="Times New Roman"/>
          <w:spacing w:val="-7"/>
          <w:sz w:val="18"/>
          <w:szCs w:val="18"/>
          <w:lang w:val="es-ES_tradnl"/>
        </w:rPr>
        <w:t>ó</w:t>
      </w:r>
      <w:r>
        <w:rPr>
          <w:spacing w:val="-7"/>
          <w:sz w:val="18"/>
          <w:szCs w:val="18"/>
          <w:lang w:val="es-ES_tradnl"/>
        </w:rPr>
        <w:t>n civil.</w:t>
      </w:r>
    </w:p>
    <w:p w14:paraId="4F67A383" w14:textId="77777777" w:rsidR="00591D54" w:rsidRDefault="00591D54" w:rsidP="00251195">
      <w:pPr>
        <w:numPr>
          <w:ilvl w:val="0"/>
          <w:numId w:val="11"/>
        </w:numPr>
        <w:shd w:val="clear" w:color="auto" w:fill="FFFFFF"/>
        <w:tabs>
          <w:tab w:val="left" w:pos="264"/>
        </w:tabs>
        <w:spacing w:before="197" w:line="216" w:lineRule="exact"/>
        <w:ind w:right="5"/>
        <w:jc w:val="both"/>
        <w:rPr>
          <w:spacing w:val="-6"/>
          <w:sz w:val="18"/>
          <w:szCs w:val="18"/>
          <w:lang w:val="es-ES_tradnl"/>
        </w:rPr>
      </w:pPr>
      <w:r>
        <w:rPr>
          <w:spacing w:val="-8"/>
          <w:sz w:val="18"/>
          <w:szCs w:val="18"/>
          <w:lang w:val="es-ES_tradnl"/>
        </w:rPr>
        <w:t xml:space="preserve">Las Partes Contratantes, en sus relaciones mutuas, </w:t>
      </w:r>
      <w:r>
        <w:rPr>
          <w:spacing w:val="-1"/>
          <w:sz w:val="18"/>
          <w:szCs w:val="18"/>
          <w:lang w:val="es-ES_tradnl"/>
        </w:rPr>
        <w:t>actuar</w:t>
      </w:r>
      <w:r>
        <w:rPr>
          <w:rFonts w:cs="Times New Roman"/>
          <w:spacing w:val="-1"/>
          <w:sz w:val="18"/>
          <w:szCs w:val="18"/>
          <w:lang w:val="es-ES_tradnl"/>
        </w:rPr>
        <w:t>á</w:t>
      </w:r>
      <w:r>
        <w:rPr>
          <w:spacing w:val="-1"/>
          <w:sz w:val="18"/>
          <w:szCs w:val="18"/>
          <w:lang w:val="es-ES_tradnl"/>
        </w:rPr>
        <w:t xml:space="preserve">n de conformidad con las disposiciones de </w:t>
      </w:r>
      <w:r>
        <w:rPr>
          <w:spacing w:val="-7"/>
          <w:sz w:val="18"/>
          <w:szCs w:val="18"/>
          <w:lang w:val="es-ES_tradnl"/>
        </w:rPr>
        <w:t>seguridad de la aviaci</w:t>
      </w:r>
      <w:r>
        <w:rPr>
          <w:rFonts w:cs="Times New Roman"/>
          <w:spacing w:val="-7"/>
          <w:sz w:val="18"/>
          <w:szCs w:val="18"/>
          <w:lang w:val="es-ES_tradnl"/>
        </w:rPr>
        <w:t>ó</w:t>
      </w:r>
      <w:r>
        <w:rPr>
          <w:spacing w:val="-7"/>
          <w:sz w:val="18"/>
          <w:szCs w:val="18"/>
          <w:lang w:val="es-ES_tradnl"/>
        </w:rPr>
        <w:t>n establecidas por la Organizaci</w:t>
      </w:r>
      <w:r>
        <w:rPr>
          <w:rFonts w:cs="Times New Roman"/>
          <w:spacing w:val="-7"/>
          <w:sz w:val="18"/>
          <w:szCs w:val="18"/>
          <w:lang w:val="es-ES_tradnl"/>
        </w:rPr>
        <w:t>ó</w:t>
      </w:r>
      <w:r>
        <w:rPr>
          <w:spacing w:val="-7"/>
          <w:sz w:val="18"/>
          <w:szCs w:val="18"/>
          <w:lang w:val="es-ES_tradnl"/>
        </w:rPr>
        <w:t>n de Aviaci</w:t>
      </w:r>
      <w:r>
        <w:rPr>
          <w:rFonts w:cs="Times New Roman"/>
          <w:spacing w:val="-7"/>
          <w:sz w:val="18"/>
          <w:szCs w:val="18"/>
          <w:lang w:val="es-ES_tradnl"/>
        </w:rPr>
        <w:t>ó</w:t>
      </w:r>
      <w:r>
        <w:rPr>
          <w:spacing w:val="-7"/>
          <w:sz w:val="18"/>
          <w:szCs w:val="18"/>
          <w:lang w:val="es-ES_tradnl"/>
        </w:rPr>
        <w:t xml:space="preserve">n Civil Internacional y designadas como Anexos </w:t>
      </w:r>
      <w:r>
        <w:rPr>
          <w:spacing w:val="-8"/>
          <w:sz w:val="18"/>
          <w:szCs w:val="18"/>
          <w:lang w:val="es-ES_tradnl"/>
        </w:rPr>
        <w:t>a la Convenci</w:t>
      </w:r>
      <w:r>
        <w:rPr>
          <w:rFonts w:cs="Times New Roman"/>
          <w:spacing w:val="-8"/>
          <w:sz w:val="18"/>
          <w:szCs w:val="18"/>
          <w:lang w:val="es-ES_tradnl"/>
        </w:rPr>
        <w:t>ó</w:t>
      </w:r>
      <w:r>
        <w:rPr>
          <w:spacing w:val="-8"/>
          <w:sz w:val="18"/>
          <w:szCs w:val="18"/>
          <w:lang w:val="es-ES_tradnl"/>
        </w:rPr>
        <w:t xml:space="preserve">n, en la medida en que esas disposiciones </w:t>
      </w:r>
      <w:r>
        <w:rPr>
          <w:spacing w:val="-9"/>
          <w:sz w:val="18"/>
          <w:szCs w:val="18"/>
          <w:lang w:val="es-ES_tradnl"/>
        </w:rPr>
        <w:t xml:space="preserve">sobre seguridad sean aplicables a las Partes Contratantes. </w:t>
      </w:r>
      <w:r>
        <w:rPr>
          <w:spacing w:val="-6"/>
          <w:sz w:val="18"/>
          <w:szCs w:val="18"/>
          <w:lang w:val="es-ES_tradnl"/>
        </w:rPr>
        <w:t>Cada Parte contratante exigir</w:t>
      </w:r>
      <w:r>
        <w:rPr>
          <w:rFonts w:cs="Times New Roman"/>
          <w:spacing w:val="-6"/>
          <w:sz w:val="18"/>
          <w:szCs w:val="18"/>
          <w:lang w:val="es-ES_tradnl"/>
        </w:rPr>
        <w:t>á</w:t>
      </w:r>
      <w:r>
        <w:rPr>
          <w:spacing w:val="-6"/>
          <w:sz w:val="18"/>
          <w:szCs w:val="18"/>
          <w:lang w:val="es-ES_tradnl"/>
        </w:rPr>
        <w:t xml:space="preserve"> que las l</w:t>
      </w:r>
      <w:r>
        <w:rPr>
          <w:rFonts w:cs="Times New Roman"/>
          <w:spacing w:val="-6"/>
          <w:sz w:val="18"/>
          <w:szCs w:val="18"/>
          <w:lang w:val="es-ES_tradnl"/>
        </w:rPr>
        <w:t>í</w:t>
      </w:r>
      <w:r>
        <w:rPr>
          <w:spacing w:val="-6"/>
          <w:sz w:val="18"/>
          <w:szCs w:val="18"/>
          <w:lang w:val="es-ES_tradnl"/>
        </w:rPr>
        <w:t>neas a</w:t>
      </w:r>
      <w:r>
        <w:rPr>
          <w:rFonts w:cs="Times New Roman"/>
          <w:spacing w:val="-6"/>
          <w:sz w:val="18"/>
          <w:szCs w:val="18"/>
          <w:lang w:val="es-ES_tradnl"/>
        </w:rPr>
        <w:t>é</w:t>
      </w:r>
      <w:r>
        <w:rPr>
          <w:spacing w:val="-6"/>
          <w:sz w:val="18"/>
          <w:szCs w:val="18"/>
          <w:lang w:val="es-ES_tradnl"/>
        </w:rPr>
        <w:t xml:space="preserve">reas </w:t>
      </w:r>
      <w:r>
        <w:rPr>
          <w:spacing w:val="-4"/>
          <w:sz w:val="18"/>
          <w:szCs w:val="18"/>
          <w:lang w:val="es-ES_tradnl"/>
        </w:rPr>
        <w:t xml:space="preserve">designadas para operar los servicios acordados en las </w:t>
      </w:r>
      <w:r>
        <w:rPr>
          <w:spacing w:val="-9"/>
          <w:sz w:val="18"/>
          <w:szCs w:val="18"/>
          <w:lang w:val="es-ES_tradnl"/>
        </w:rPr>
        <w:t xml:space="preserve">rutas especificadas, y los operadores de aeropuertos en su </w:t>
      </w:r>
      <w:r>
        <w:rPr>
          <w:spacing w:val="-6"/>
          <w:sz w:val="18"/>
          <w:szCs w:val="18"/>
          <w:lang w:val="es-ES_tradnl"/>
        </w:rPr>
        <w:t>territorio act</w:t>
      </w:r>
      <w:r>
        <w:rPr>
          <w:rFonts w:cs="Times New Roman"/>
          <w:spacing w:val="-6"/>
          <w:sz w:val="18"/>
          <w:szCs w:val="18"/>
          <w:lang w:val="es-ES_tradnl"/>
        </w:rPr>
        <w:t>ú</w:t>
      </w:r>
      <w:r>
        <w:rPr>
          <w:spacing w:val="-6"/>
          <w:sz w:val="18"/>
          <w:szCs w:val="18"/>
          <w:lang w:val="es-ES_tradnl"/>
        </w:rPr>
        <w:t xml:space="preserve">en de conformidad con dichas disposiciones </w:t>
      </w:r>
      <w:r>
        <w:rPr>
          <w:sz w:val="18"/>
          <w:szCs w:val="18"/>
          <w:lang w:val="es-ES_tradnl"/>
        </w:rPr>
        <w:t>sobre seguridad de la aviaci</w:t>
      </w:r>
      <w:r>
        <w:rPr>
          <w:rFonts w:cs="Times New Roman"/>
          <w:sz w:val="18"/>
          <w:szCs w:val="18"/>
          <w:lang w:val="es-ES_tradnl"/>
        </w:rPr>
        <w:t>ó</w:t>
      </w:r>
      <w:r>
        <w:rPr>
          <w:sz w:val="18"/>
          <w:szCs w:val="18"/>
          <w:lang w:val="es-ES_tradnl"/>
        </w:rPr>
        <w:t>n.</w:t>
      </w:r>
    </w:p>
    <w:p w14:paraId="4F67A384" w14:textId="77777777" w:rsidR="00591D54" w:rsidRDefault="00591D54" w:rsidP="00251195">
      <w:pPr>
        <w:numPr>
          <w:ilvl w:val="0"/>
          <w:numId w:val="11"/>
        </w:numPr>
        <w:shd w:val="clear" w:color="auto" w:fill="FFFFFF"/>
        <w:tabs>
          <w:tab w:val="left" w:pos="264"/>
        </w:tabs>
        <w:spacing w:before="192" w:line="216" w:lineRule="exact"/>
        <w:ind w:right="5"/>
        <w:jc w:val="both"/>
        <w:rPr>
          <w:spacing w:val="-6"/>
          <w:sz w:val="18"/>
          <w:szCs w:val="18"/>
          <w:lang w:val="es-ES_tradnl"/>
        </w:rPr>
      </w:pPr>
      <w:r>
        <w:rPr>
          <w:spacing w:val="-7"/>
          <w:sz w:val="18"/>
          <w:szCs w:val="18"/>
          <w:lang w:val="es-ES_tradnl"/>
        </w:rPr>
        <w:t>Cada Parte Contratante conviene en que sus l</w:t>
      </w:r>
      <w:r>
        <w:rPr>
          <w:rFonts w:cs="Times New Roman"/>
          <w:spacing w:val="-7"/>
          <w:sz w:val="18"/>
          <w:szCs w:val="18"/>
          <w:lang w:val="es-ES_tradnl"/>
        </w:rPr>
        <w:t>í</w:t>
      </w:r>
      <w:r>
        <w:rPr>
          <w:spacing w:val="-7"/>
          <w:sz w:val="18"/>
          <w:szCs w:val="18"/>
          <w:lang w:val="es-ES_tradnl"/>
        </w:rPr>
        <w:t xml:space="preserve">neas </w:t>
      </w:r>
      <w:r>
        <w:rPr>
          <w:spacing w:val="-9"/>
          <w:sz w:val="18"/>
          <w:szCs w:val="18"/>
          <w:lang w:val="es-ES_tradnl"/>
        </w:rPr>
        <w:t>a</w:t>
      </w:r>
      <w:r>
        <w:rPr>
          <w:rFonts w:cs="Times New Roman"/>
          <w:spacing w:val="-9"/>
          <w:sz w:val="18"/>
          <w:szCs w:val="18"/>
          <w:lang w:val="es-ES_tradnl"/>
        </w:rPr>
        <w:t>é</w:t>
      </w:r>
      <w:r>
        <w:rPr>
          <w:spacing w:val="-9"/>
          <w:sz w:val="18"/>
          <w:szCs w:val="18"/>
          <w:lang w:val="es-ES_tradnl"/>
        </w:rPr>
        <w:t>reas designadas tendr</w:t>
      </w:r>
      <w:r>
        <w:rPr>
          <w:rFonts w:cs="Times New Roman"/>
          <w:spacing w:val="-9"/>
          <w:sz w:val="18"/>
          <w:szCs w:val="18"/>
          <w:lang w:val="es-ES_tradnl"/>
        </w:rPr>
        <w:t>á</w:t>
      </w:r>
      <w:r>
        <w:rPr>
          <w:spacing w:val="-9"/>
          <w:sz w:val="18"/>
          <w:szCs w:val="18"/>
          <w:lang w:val="es-ES_tradnl"/>
        </w:rPr>
        <w:t>n la obligaci</w:t>
      </w:r>
      <w:r>
        <w:rPr>
          <w:rFonts w:cs="Times New Roman"/>
          <w:spacing w:val="-9"/>
          <w:sz w:val="18"/>
          <w:szCs w:val="18"/>
          <w:lang w:val="es-ES_tradnl"/>
        </w:rPr>
        <w:t>ó</w:t>
      </w:r>
      <w:r>
        <w:rPr>
          <w:spacing w:val="-9"/>
          <w:sz w:val="18"/>
          <w:szCs w:val="18"/>
          <w:lang w:val="es-ES_tradnl"/>
        </w:rPr>
        <w:t xml:space="preserve">n de observar las </w:t>
      </w:r>
      <w:r>
        <w:rPr>
          <w:spacing w:val="-6"/>
          <w:sz w:val="18"/>
          <w:szCs w:val="18"/>
          <w:lang w:val="es-ES_tradnl"/>
        </w:rPr>
        <w:t>disposiciones de seguridad de la aviaci</w:t>
      </w:r>
      <w:r>
        <w:rPr>
          <w:rFonts w:cs="Times New Roman"/>
          <w:spacing w:val="-6"/>
          <w:sz w:val="18"/>
          <w:szCs w:val="18"/>
          <w:lang w:val="es-ES_tradnl"/>
        </w:rPr>
        <w:t>ó</w:t>
      </w:r>
      <w:r>
        <w:rPr>
          <w:spacing w:val="-6"/>
          <w:sz w:val="18"/>
          <w:szCs w:val="18"/>
          <w:lang w:val="es-ES_tradnl"/>
        </w:rPr>
        <w:t>n referidas en el p</w:t>
      </w:r>
      <w:r>
        <w:rPr>
          <w:rFonts w:cs="Times New Roman"/>
          <w:spacing w:val="-6"/>
          <w:sz w:val="18"/>
          <w:szCs w:val="18"/>
          <w:lang w:val="es-ES_tradnl"/>
        </w:rPr>
        <w:t>á</w:t>
      </w:r>
      <w:r>
        <w:rPr>
          <w:spacing w:val="-6"/>
          <w:sz w:val="18"/>
          <w:szCs w:val="18"/>
          <w:lang w:val="es-ES_tradnl"/>
        </w:rPr>
        <w:t>rrafo (3) del presente Art</w:t>
      </w:r>
      <w:r>
        <w:rPr>
          <w:rFonts w:cs="Times New Roman"/>
          <w:spacing w:val="-6"/>
          <w:sz w:val="18"/>
          <w:szCs w:val="18"/>
          <w:lang w:val="es-ES_tradnl"/>
        </w:rPr>
        <w:t>í</w:t>
      </w:r>
      <w:r>
        <w:rPr>
          <w:spacing w:val="-6"/>
          <w:sz w:val="18"/>
          <w:szCs w:val="18"/>
          <w:lang w:val="es-ES_tradnl"/>
        </w:rPr>
        <w:t xml:space="preserve">culo y de conformidad con las </w:t>
      </w:r>
      <w:r>
        <w:rPr>
          <w:spacing w:val="-8"/>
          <w:sz w:val="18"/>
          <w:szCs w:val="18"/>
          <w:lang w:val="es-ES_tradnl"/>
        </w:rPr>
        <w:t xml:space="preserve">leyes y regulaciones vigentes en la otra Parte Contratante, </w:t>
      </w:r>
      <w:r>
        <w:rPr>
          <w:spacing w:val="-12"/>
          <w:sz w:val="18"/>
          <w:szCs w:val="18"/>
          <w:lang w:val="es-ES_tradnl"/>
        </w:rPr>
        <w:t>seg</w:t>
      </w:r>
      <w:r>
        <w:rPr>
          <w:rFonts w:cs="Times New Roman"/>
          <w:spacing w:val="-12"/>
          <w:sz w:val="18"/>
          <w:szCs w:val="18"/>
          <w:lang w:val="es-ES_tradnl"/>
        </w:rPr>
        <w:t>ú</w:t>
      </w:r>
      <w:r>
        <w:rPr>
          <w:spacing w:val="-12"/>
          <w:sz w:val="18"/>
          <w:szCs w:val="18"/>
          <w:lang w:val="es-ES_tradnl"/>
        </w:rPr>
        <w:t xml:space="preserve">n sea necesario para entrar, salir o mientras permanezca </w:t>
      </w:r>
      <w:r>
        <w:rPr>
          <w:spacing w:val="-6"/>
          <w:sz w:val="18"/>
          <w:szCs w:val="18"/>
          <w:lang w:val="es-ES_tradnl"/>
        </w:rPr>
        <w:t xml:space="preserve">en el territorio de la otra Parte Contratante. Cada Parte </w:t>
      </w:r>
      <w:r>
        <w:rPr>
          <w:spacing w:val="-8"/>
          <w:sz w:val="18"/>
          <w:szCs w:val="18"/>
          <w:lang w:val="es-ES_tradnl"/>
        </w:rPr>
        <w:t>Contratante deber</w:t>
      </w:r>
      <w:r>
        <w:rPr>
          <w:rFonts w:cs="Times New Roman"/>
          <w:spacing w:val="-8"/>
          <w:sz w:val="18"/>
          <w:szCs w:val="18"/>
          <w:lang w:val="es-ES_tradnl"/>
        </w:rPr>
        <w:t>á</w:t>
      </w:r>
      <w:r>
        <w:rPr>
          <w:spacing w:val="-8"/>
          <w:sz w:val="18"/>
          <w:szCs w:val="18"/>
          <w:lang w:val="es-ES_tradnl"/>
        </w:rPr>
        <w:t xml:space="preserve"> garantizar la aplicaci</w:t>
      </w:r>
      <w:r>
        <w:rPr>
          <w:rFonts w:cs="Times New Roman"/>
          <w:spacing w:val="-8"/>
          <w:sz w:val="18"/>
          <w:szCs w:val="18"/>
          <w:lang w:val="es-ES_tradnl"/>
        </w:rPr>
        <w:t>ó</w:t>
      </w:r>
      <w:r>
        <w:rPr>
          <w:spacing w:val="-8"/>
          <w:sz w:val="18"/>
          <w:szCs w:val="18"/>
          <w:lang w:val="es-ES_tradnl"/>
        </w:rPr>
        <w:t xml:space="preserve">n efectiva de las </w:t>
      </w:r>
      <w:r>
        <w:rPr>
          <w:spacing w:val="-9"/>
          <w:sz w:val="18"/>
          <w:szCs w:val="18"/>
          <w:lang w:val="es-ES_tradnl"/>
        </w:rPr>
        <w:t xml:space="preserve">medidas adecuadas dentro de su territorio para proteger las </w:t>
      </w:r>
      <w:r>
        <w:rPr>
          <w:spacing w:val="-8"/>
          <w:sz w:val="18"/>
          <w:szCs w:val="18"/>
          <w:lang w:val="es-ES_tradnl"/>
        </w:rPr>
        <w:t>aeronaves e inspeccionar a los pasajeros, la tripulaci</w:t>
      </w:r>
      <w:r>
        <w:rPr>
          <w:rFonts w:cs="Times New Roman"/>
          <w:spacing w:val="-8"/>
          <w:sz w:val="18"/>
          <w:szCs w:val="18"/>
          <w:lang w:val="es-ES_tradnl"/>
        </w:rPr>
        <w:t>ó</w:t>
      </w:r>
      <w:r>
        <w:rPr>
          <w:spacing w:val="-8"/>
          <w:sz w:val="18"/>
          <w:szCs w:val="18"/>
          <w:lang w:val="es-ES_tradnl"/>
        </w:rPr>
        <w:t xml:space="preserve">n de </w:t>
      </w:r>
      <w:r>
        <w:rPr>
          <w:spacing w:val="-10"/>
          <w:sz w:val="18"/>
          <w:szCs w:val="18"/>
          <w:lang w:val="es-ES_tradnl"/>
        </w:rPr>
        <w:t>vuelo, los art</w:t>
      </w:r>
      <w:r>
        <w:rPr>
          <w:rFonts w:cs="Times New Roman"/>
          <w:spacing w:val="-10"/>
          <w:sz w:val="18"/>
          <w:szCs w:val="18"/>
          <w:lang w:val="es-ES_tradnl"/>
        </w:rPr>
        <w:t>í</w:t>
      </w:r>
      <w:r>
        <w:rPr>
          <w:spacing w:val="-10"/>
          <w:sz w:val="18"/>
          <w:szCs w:val="18"/>
          <w:lang w:val="es-ES_tradnl"/>
        </w:rPr>
        <w:t xml:space="preserve">culos en el equipaje de mano, equipaje, carga y </w:t>
      </w:r>
      <w:r>
        <w:rPr>
          <w:spacing w:val="-12"/>
          <w:sz w:val="18"/>
          <w:szCs w:val="18"/>
          <w:lang w:val="es-ES_tradnl"/>
        </w:rPr>
        <w:t xml:space="preserve">almacenamiento de la aeronave antes y durante el embarque </w:t>
      </w:r>
      <w:r>
        <w:rPr>
          <w:spacing w:val="-11"/>
          <w:sz w:val="18"/>
          <w:szCs w:val="18"/>
          <w:lang w:val="es-ES_tradnl"/>
        </w:rPr>
        <w:t>de pasajeros y carga. Cada Parte Contratante se pronunciar</w:t>
      </w:r>
      <w:r>
        <w:rPr>
          <w:rFonts w:cs="Times New Roman"/>
          <w:spacing w:val="-11"/>
          <w:sz w:val="18"/>
          <w:szCs w:val="18"/>
          <w:lang w:val="es-ES_tradnl"/>
        </w:rPr>
        <w:t xml:space="preserve">á </w:t>
      </w:r>
      <w:r>
        <w:rPr>
          <w:spacing w:val="-7"/>
          <w:sz w:val="18"/>
          <w:szCs w:val="18"/>
          <w:lang w:val="es-ES_tradnl"/>
        </w:rPr>
        <w:t>tambi</w:t>
      </w:r>
      <w:r>
        <w:rPr>
          <w:rFonts w:cs="Times New Roman"/>
          <w:spacing w:val="-7"/>
          <w:sz w:val="18"/>
          <w:szCs w:val="18"/>
          <w:lang w:val="es-ES_tradnl"/>
        </w:rPr>
        <w:t>é</w:t>
      </w:r>
      <w:r>
        <w:rPr>
          <w:spacing w:val="-7"/>
          <w:sz w:val="18"/>
          <w:szCs w:val="18"/>
          <w:lang w:val="es-ES_tradnl"/>
        </w:rPr>
        <w:t xml:space="preserve">n favorablemente con respecto a cualquier solicitud </w:t>
      </w:r>
      <w:r>
        <w:rPr>
          <w:spacing w:val="-9"/>
          <w:sz w:val="18"/>
          <w:szCs w:val="18"/>
          <w:lang w:val="es-ES_tradnl"/>
        </w:rPr>
        <w:t xml:space="preserve">razonable de la otra Parte Contratante de adoptar medidas especiales de seguridad para hacer frente a una amenaza </w:t>
      </w:r>
      <w:r>
        <w:rPr>
          <w:sz w:val="18"/>
          <w:szCs w:val="18"/>
          <w:lang w:val="es-ES_tradnl"/>
        </w:rPr>
        <w:t>espec</w:t>
      </w:r>
      <w:r>
        <w:rPr>
          <w:rFonts w:cs="Times New Roman"/>
          <w:sz w:val="18"/>
          <w:szCs w:val="18"/>
          <w:lang w:val="es-ES_tradnl"/>
        </w:rPr>
        <w:t>í</w:t>
      </w:r>
      <w:r>
        <w:rPr>
          <w:sz w:val="18"/>
          <w:szCs w:val="18"/>
          <w:lang w:val="es-ES_tradnl"/>
        </w:rPr>
        <w:t>fica.</w:t>
      </w:r>
    </w:p>
    <w:p w14:paraId="4F67A385" w14:textId="77777777" w:rsidR="00591D54" w:rsidRDefault="00591D54" w:rsidP="00251195">
      <w:pPr>
        <w:numPr>
          <w:ilvl w:val="0"/>
          <w:numId w:val="11"/>
        </w:numPr>
        <w:shd w:val="clear" w:color="auto" w:fill="FFFFFF"/>
        <w:tabs>
          <w:tab w:val="left" w:pos="264"/>
        </w:tabs>
        <w:spacing w:before="192" w:line="216" w:lineRule="exact"/>
        <w:jc w:val="both"/>
        <w:rPr>
          <w:spacing w:val="-6"/>
          <w:sz w:val="18"/>
          <w:szCs w:val="18"/>
          <w:lang w:val="es-ES_tradnl"/>
        </w:rPr>
      </w:pPr>
      <w:r>
        <w:rPr>
          <w:spacing w:val="-8"/>
          <w:sz w:val="18"/>
          <w:szCs w:val="18"/>
          <w:lang w:val="es-ES_tradnl"/>
        </w:rPr>
        <w:t xml:space="preserve">Cuando ocurra un incidente o amenaza de incidente de </w:t>
      </w:r>
      <w:r>
        <w:rPr>
          <w:spacing w:val="-6"/>
          <w:sz w:val="18"/>
          <w:szCs w:val="18"/>
          <w:lang w:val="es-ES_tradnl"/>
        </w:rPr>
        <w:t>apoderamiento il</w:t>
      </w:r>
      <w:r>
        <w:rPr>
          <w:rFonts w:cs="Times New Roman"/>
          <w:spacing w:val="-6"/>
          <w:sz w:val="18"/>
          <w:szCs w:val="18"/>
          <w:lang w:val="es-ES_tradnl"/>
        </w:rPr>
        <w:t>í</w:t>
      </w:r>
      <w:r>
        <w:rPr>
          <w:spacing w:val="-6"/>
          <w:sz w:val="18"/>
          <w:szCs w:val="18"/>
          <w:lang w:val="es-ES_tradnl"/>
        </w:rPr>
        <w:t xml:space="preserve">cito de aeronaves civiles u otros actos </w:t>
      </w:r>
      <w:r>
        <w:rPr>
          <w:spacing w:val="-7"/>
          <w:sz w:val="18"/>
          <w:szCs w:val="18"/>
          <w:lang w:val="es-ES_tradnl"/>
        </w:rPr>
        <w:t>il</w:t>
      </w:r>
      <w:r>
        <w:rPr>
          <w:rFonts w:cs="Times New Roman"/>
          <w:spacing w:val="-7"/>
          <w:sz w:val="18"/>
          <w:szCs w:val="18"/>
          <w:lang w:val="es-ES_tradnl"/>
        </w:rPr>
        <w:t>í</w:t>
      </w:r>
      <w:r>
        <w:rPr>
          <w:spacing w:val="-7"/>
          <w:sz w:val="18"/>
          <w:szCs w:val="18"/>
          <w:lang w:val="es-ES_tradnl"/>
        </w:rPr>
        <w:t xml:space="preserve">citos contra la seguridad de dichas aeronaves, pasajeros </w:t>
      </w:r>
      <w:r>
        <w:rPr>
          <w:spacing w:val="-6"/>
          <w:sz w:val="18"/>
          <w:szCs w:val="18"/>
          <w:lang w:val="es-ES_tradnl"/>
        </w:rPr>
        <w:t>y tripulaci</w:t>
      </w:r>
      <w:r>
        <w:rPr>
          <w:rFonts w:cs="Times New Roman"/>
          <w:spacing w:val="-6"/>
          <w:sz w:val="18"/>
          <w:szCs w:val="18"/>
          <w:lang w:val="es-ES_tradnl"/>
        </w:rPr>
        <w:t>ó</w:t>
      </w:r>
      <w:r>
        <w:rPr>
          <w:spacing w:val="-6"/>
          <w:sz w:val="18"/>
          <w:szCs w:val="18"/>
          <w:lang w:val="es-ES_tradnl"/>
        </w:rPr>
        <w:t xml:space="preserve">n de vuelo, aeropuertos o instalaciones de </w:t>
      </w:r>
      <w:r>
        <w:rPr>
          <w:spacing w:val="-8"/>
          <w:sz w:val="18"/>
          <w:szCs w:val="18"/>
          <w:lang w:val="es-ES_tradnl"/>
        </w:rPr>
        <w:t>navegaci</w:t>
      </w:r>
      <w:r>
        <w:rPr>
          <w:rFonts w:cs="Times New Roman"/>
          <w:spacing w:val="-8"/>
          <w:sz w:val="18"/>
          <w:szCs w:val="18"/>
          <w:lang w:val="es-ES_tradnl"/>
        </w:rPr>
        <w:t>ó</w:t>
      </w:r>
      <w:r>
        <w:rPr>
          <w:spacing w:val="-8"/>
          <w:sz w:val="18"/>
          <w:szCs w:val="18"/>
          <w:lang w:val="es-ES_tradnl"/>
        </w:rPr>
        <w:t>n a</w:t>
      </w:r>
      <w:r>
        <w:rPr>
          <w:rFonts w:cs="Times New Roman"/>
          <w:spacing w:val="-8"/>
          <w:sz w:val="18"/>
          <w:szCs w:val="18"/>
          <w:lang w:val="es-ES_tradnl"/>
        </w:rPr>
        <w:t>é</w:t>
      </w:r>
      <w:r>
        <w:rPr>
          <w:spacing w:val="-8"/>
          <w:sz w:val="18"/>
          <w:szCs w:val="18"/>
          <w:lang w:val="es-ES_tradnl"/>
        </w:rPr>
        <w:t>rea, las Partes Contratantes se asistir</w:t>
      </w:r>
      <w:r>
        <w:rPr>
          <w:rFonts w:cs="Times New Roman"/>
          <w:spacing w:val="-8"/>
          <w:sz w:val="18"/>
          <w:szCs w:val="18"/>
          <w:lang w:val="es-ES_tradnl"/>
        </w:rPr>
        <w:t>á</w:t>
      </w:r>
      <w:r>
        <w:rPr>
          <w:spacing w:val="-8"/>
          <w:sz w:val="18"/>
          <w:szCs w:val="18"/>
          <w:lang w:val="es-ES_tradnl"/>
        </w:rPr>
        <w:t xml:space="preserve">n </w:t>
      </w:r>
      <w:r>
        <w:rPr>
          <w:spacing w:val="-1"/>
          <w:sz w:val="18"/>
          <w:szCs w:val="18"/>
          <w:lang w:val="es-ES_tradnl"/>
        </w:rPr>
        <w:t xml:space="preserve">mutuamente facilitando las comunicaciones y otras </w:t>
      </w:r>
      <w:r>
        <w:rPr>
          <w:spacing w:val="-11"/>
          <w:sz w:val="18"/>
          <w:szCs w:val="18"/>
          <w:lang w:val="es-ES_tradnl"/>
        </w:rPr>
        <w:t xml:space="preserve">medidas apropiadas destinadas a poner fin a dicho incidente </w:t>
      </w:r>
      <w:r>
        <w:rPr>
          <w:spacing w:val="-8"/>
          <w:sz w:val="18"/>
          <w:szCs w:val="18"/>
          <w:lang w:val="es-ES_tradnl"/>
        </w:rPr>
        <w:t>o amenaza de forma r</w:t>
      </w:r>
      <w:r>
        <w:rPr>
          <w:rFonts w:cs="Times New Roman"/>
          <w:spacing w:val="-8"/>
          <w:sz w:val="18"/>
          <w:szCs w:val="18"/>
          <w:lang w:val="es-ES_tradnl"/>
        </w:rPr>
        <w:t>á</w:t>
      </w:r>
      <w:r>
        <w:rPr>
          <w:spacing w:val="-8"/>
          <w:sz w:val="18"/>
          <w:szCs w:val="18"/>
          <w:lang w:val="es-ES_tradnl"/>
        </w:rPr>
        <w:t xml:space="preserve">pida y segura en la medida de lo </w:t>
      </w:r>
      <w:r>
        <w:rPr>
          <w:sz w:val="18"/>
          <w:szCs w:val="18"/>
          <w:lang w:val="es-ES_tradnl"/>
        </w:rPr>
        <w:t>posible dadas las circunstancias.</w:t>
      </w:r>
    </w:p>
    <w:p w14:paraId="4F67A386" w14:textId="77777777" w:rsidR="00591D54" w:rsidRDefault="00591D54">
      <w:pPr>
        <w:shd w:val="clear" w:color="auto" w:fill="FFFFFF"/>
        <w:tabs>
          <w:tab w:val="left" w:pos="389"/>
        </w:tabs>
        <w:spacing w:before="192" w:line="216" w:lineRule="exact"/>
        <w:ind w:right="5"/>
        <w:jc w:val="both"/>
      </w:pPr>
      <w:r>
        <w:rPr>
          <w:spacing w:val="-6"/>
          <w:sz w:val="18"/>
          <w:szCs w:val="18"/>
          <w:lang w:val="es-ES_tradnl"/>
        </w:rPr>
        <w:t>(6)</w:t>
      </w:r>
      <w:r>
        <w:rPr>
          <w:sz w:val="18"/>
          <w:szCs w:val="18"/>
          <w:lang w:val="es-ES_tradnl"/>
        </w:rPr>
        <w:tab/>
      </w:r>
      <w:r>
        <w:rPr>
          <w:spacing w:val="-2"/>
          <w:sz w:val="18"/>
          <w:szCs w:val="18"/>
          <w:lang w:val="es-ES_tradnl"/>
        </w:rPr>
        <w:t>Cuando una Parte Contratante tenga motivos </w:t>
      </w:r>
      <w:r>
        <w:rPr>
          <w:spacing w:val="-8"/>
          <w:sz w:val="18"/>
          <w:szCs w:val="18"/>
          <w:lang w:val="es-ES_tradnl"/>
        </w:rPr>
        <w:t>razonables para creer que la otra Parte Contratante se ha </w:t>
      </w:r>
      <w:r>
        <w:rPr>
          <w:spacing w:val="-7"/>
          <w:sz w:val="18"/>
          <w:szCs w:val="18"/>
          <w:lang w:val="es-ES_tradnl"/>
        </w:rPr>
        <w:t>desviado de las disposiciones del presente Art</w:t>
      </w:r>
      <w:r>
        <w:rPr>
          <w:rFonts w:cs="Times New Roman"/>
          <w:spacing w:val="-7"/>
          <w:sz w:val="18"/>
          <w:szCs w:val="18"/>
          <w:lang w:val="es-ES_tradnl"/>
        </w:rPr>
        <w:t>í</w:t>
      </w:r>
      <w:r>
        <w:rPr>
          <w:spacing w:val="-7"/>
          <w:sz w:val="18"/>
          <w:szCs w:val="18"/>
          <w:lang w:val="es-ES_tradnl"/>
        </w:rPr>
        <w:t>culo, las </w:t>
      </w:r>
      <w:r>
        <w:rPr>
          <w:spacing w:val="-8"/>
          <w:sz w:val="18"/>
          <w:szCs w:val="18"/>
          <w:lang w:val="es-ES_tradnl"/>
        </w:rPr>
        <w:t>Autoridades Aeron</w:t>
      </w:r>
      <w:r>
        <w:rPr>
          <w:rFonts w:cs="Times New Roman"/>
          <w:spacing w:val="-8"/>
          <w:sz w:val="18"/>
          <w:szCs w:val="18"/>
          <w:lang w:val="es-ES_tradnl"/>
        </w:rPr>
        <w:t>á</w:t>
      </w:r>
      <w:r>
        <w:rPr>
          <w:spacing w:val="-8"/>
          <w:sz w:val="18"/>
          <w:szCs w:val="18"/>
          <w:lang w:val="es-ES_tradnl"/>
        </w:rPr>
        <w:t>uticas de la primera Parte Contratante </w:t>
      </w:r>
      <w:r>
        <w:rPr>
          <w:spacing w:val="-7"/>
          <w:sz w:val="18"/>
          <w:szCs w:val="18"/>
          <w:lang w:val="es-ES_tradnl"/>
        </w:rPr>
        <w:t>podr</w:t>
      </w:r>
      <w:r>
        <w:rPr>
          <w:rFonts w:cs="Times New Roman"/>
          <w:spacing w:val="-7"/>
          <w:sz w:val="18"/>
          <w:szCs w:val="18"/>
          <w:lang w:val="es-ES_tradnl"/>
        </w:rPr>
        <w:t>á</w:t>
      </w:r>
      <w:r>
        <w:rPr>
          <w:spacing w:val="-7"/>
          <w:sz w:val="18"/>
          <w:szCs w:val="18"/>
          <w:lang w:val="es-ES_tradnl"/>
        </w:rPr>
        <w:t>n solicitar consultas inmediatas con las Autoridades </w:t>
      </w:r>
      <w:r>
        <w:rPr>
          <w:spacing w:val="-6"/>
          <w:sz w:val="18"/>
          <w:szCs w:val="18"/>
          <w:lang w:val="es-ES_tradnl"/>
        </w:rPr>
        <w:t>Aeron</w:t>
      </w:r>
      <w:r>
        <w:rPr>
          <w:rFonts w:cs="Times New Roman"/>
          <w:spacing w:val="-6"/>
          <w:sz w:val="18"/>
          <w:szCs w:val="18"/>
          <w:lang w:val="es-ES_tradnl"/>
        </w:rPr>
        <w:t>á</w:t>
      </w:r>
      <w:r>
        <w:rPr>
          <w:spacing w:val="-6"/>
          <w:sz w:val="18"/>
          <w:szCs w:val="18"/>
          <w:lang w:val="es-ES_tradnl"/>
        </w:rPr>
        <w:t>uticas de la otra Parte Contratante. De no llegarse </w:t>
      </w:r>
      <w:r>
        <w:rPr>
          <w:spacing w:val="-4"/>
          <w:sz w:val="18"/>
          <w:szCs w:val="18"/>
          <w:lang w:val="es-ES_tradnl"/>
        </w:rPr>
        <w:t>a un acuerdo satisfactorio dentro de los quince (15) d</w:t>
      </w:r>
      <w:r>
        <w:rPr>
          <w:rFonts w:cs="Times New Roman"/>
          <w:spacing w:val="-4"/>
          <w:sz w:val="18"/>
          <w:szCs w:val="18"/>
          <w:lang w:val="es-ES_tradnl"/>
        </w:rPr>
        <w:t>í</w:t>
      </w:r>
      <w:r>
        <w:rPr>
          <w:spacing w:val="-4"/>
          <w:sz w:val="18"/>
          <w:szCs w:val="18"/>
          <w:lang w:val="es-ES_tradnl"/>
        </w:rPr>
        <w:t>as</w:t>
      </w:r>
    </w:p>
    <w:p w14:paraId="4F67A387" w14:textId="77777777" w:rsidR="00591D54" w:rsidRDefault="00591D54">
      <w:pPr>
        <w:shd w:val="clear" w:color="auto" w:fill="FFFFFF"/>
        <w:spacing w:line="216" w:lineRule="exact"/>
        <w:jc w:val="both"/>
      </w:pPr>
      <w:r>
        <w:br w:type="column"/>
      </w:r>
      <w:r>
        <w:rPr>
          <w:spacing w:val="-4"/>
          <w:sz w:val="18"/>
          <w:szCs w:val="18"/>
          <w:lang w:val="es-ES_tradnl"/>
        </w:rPr>
        <w:t>a partir de la fecha de dicha solicitud, constituir</w:t>
      </w:r>
      <w:r>
        <w:rPr>
          <w:rFonts w:cs="Times New Roman"/>
          <w:spacing w:val="-4"/>
          <w:sz w:val="18"/>
          <w:szCs w:val="18"/>
          <w:lang w:val="es-ES_tradnl"/>
        </w:rPr>
        <w:t>á</w:t>
      </w:r>
      <w:r>
        <w:rPr>
          <w:spacing w:val="-4"/>
          <w:sz w:val="18"/>
          <w:szCs w:val="18"/>
          <w:lang w:val="es-ES_tradnl"/>
        </w:rPr>
        <w:t xml:space="preserve"> motivo </w:t>
      </w:r>
      <w:r>
        <w:rPr>
          <w:spacing w:val="-5"/>
          <w:sz w:val="18"/>
          <w:szCs w:val="18"/>
          <w:lang w:val="es-ES_tradnl"/>
        </w:rPr>
        <w:t>suficiente para la aplicaci</w:t>
      </w:r>
      <w:r>
        <w:rPr>
          <w:rFonts w:cs="Times New Roman"/>
          <w:spacing w:val="-5"/>
          <w:sz w:val="18"/>
          <w:szCs w:val="18"/>
          <w:lang w:val="es-ES_tradnl"/>
        </w:rPr>
        <w:t>ó</w:t>
      </w:r>
      <w:r>
        <w:rPr>
          <w:spacing w:val="-5"/>
          <w:sz w:val="18"/>
          <w:szCs w:val="18"/>
          <w:lang w:val="es-ES_tradnl"/>
        </w:rPr>
        <w:t>n del p</w:t>
      </w:r>
      <w:r>
        <w:rPr>
          <w:rFonts w:cs="Times New Roman"/>
          <w:spacing w:val="-5"/>
          <w:sz w:val="18"/>
          <w:szCs w:val="18"/>
          <w:lang w:val="es-ES_tradnl"/>
        </w:rPr>
        <w:t>á</w:t>
      </w:r>
      <w:r>
        <w:rPr>
          <w:spacing w:val="-5"/>
          <w:sz w:val="18"/>
          <w:szCs w:val="18"/>
          <w:lang w:val="es-ES_tradnl"/>
        </w:rPr>
        <w:t>rrafo (1) del Art</w:t>
      </w:r>
      <w:r>
        <w:rPr>
          <w:rFonts w:cs="Times New Roman"/>
          <w:spacing w:val="-5"/>
          <w:sz w:val="18"/>
          <w:szCs w:val="18"/>
          <w:lang w:val="es-ES_tradnl"/>
        </w:rPr>
        <w:t>í</w:t>
      </w:r>
      <w:r>
        <w:rPr>
          <w:spacing w:val="-5"/>
          <w:sz w:val="18"/>
          <w:szCs w:val="18"/>
          <w:lang w:val="es-ES_tradnl"/>
        </w:rPr>
        <w:t>culo 4 (Retenci</w:t>
      </w:r>
      <w:r>
        <w:rPr>
          <w:rFonts w:cs="Times New Roman"/>
          <w:spacing w:val="-5"/>
          <w:sz w:val="18"/>
          <w:szCs w:val="18"/>
          <w:lang w:val="es-ES_tradnl"/>
        </w:rPr>
        <w:t>ó</w:t>
      </w:r>
      <w:r>
        <w:rPr>
          <w:spacing w:val="-5"/>
          <w:sz w:val="18"/>
          <w:szCs w:val="18"/>
          <w:lang w:val="es-ES_tradnl"/>
        </w:rPr>
        <w:t>n, Revocaci</w:t>
      </w:r>
      <w:r>
        <w:rPr>
          <w:rFonts w:cs="Times New Roman"/>
          <w:spacing w:val="-5"/>
          <w:sz w:val="18"/>
          <w:szCs w:val="18"/>
          <w:lang w:val="es-ES_tradnl"/>
        </w:rPr>
        <w:t>ó</w:t>
      </w:r>
      <w:r>
        <w:rPr>
          <w:spacing w:val="-5"/>
          <w:sz w:val="18"/>
          <w:szCs w:val="18"/>
          <w:lang w:val="es-ES_tradnl"/>
        </w:rPr>
        <w:t>n, Suspensi</w:t>
      </w:r>
      <w:r>
        <w:rPr>
          <w:rFonts w:cs="Times New Roman"/>
          <w:spacing w:val="-5"/>
          <w:sz w:val="18"/>
          <w:szCs w:val="18"/>
          <w:lang w:val="es-ES_tradnl"/>
        </w:rPr>
        <w:t>ó</w:t>
      </w:r>
      <w:r>
        <w:rPr>
          <w:spacing w:val="-5"/>
          <w:sz w:val="18"/>
          <w:szCs w:val="18"/>
          <w:lang w:val="es-ES_tradnl"/>
        </w:rPr>
        <w:t>n y Limitaci</w:t>
      </w:r>
      <w:r>
        <w:rPr>
          <w:rFonts w:cs="Times New Roman"/>
          <w:spacing w:val="-5"/>
          <w:sz w:val="18"/>
          <w:szCs w:val="18"/>
          <w:lang w:val="es-ES_tradnl"/>
        </w:rPr>
        <w:t>ó</w:t>
      </w:r>
      <w:r>
        <w:rPr>
          <w:spacing w:val="-5"/>
          <w:sz w:val="18"/>
          <w:szCs w:val="18"/>
          <w:lang w:val="es-ES_tradnl"/>
        </w:rPr>
        <w:t xml:space="preserve">n de las </w:t>
      </w:r>
      <w:r>
        <w:rPr>
          <w:spacing w:val="-9"/>
          <w:sz w:val="18"/>
          <w:szCs w:val="18"/>
          <w:lang w:val="es-ES_tradnl"/>
        </w:rPr>
        <w:t>Autorizaciones de Operaci</w:t>
      </w:r>
      <w:r>
        <w:rPr>
          <w:rFonts w:cs="Times New Roman"/>
          <w:spacing w:val="-9"/>
          <w:sz w:val="18"/>
          <w:szCs w:val="18"/>
          <w:lang w:val="es-ES_tradnl"/>
        </w:rPr>
        <w:t>ó</w:t>
      </w:r>
      <w:r>
        <w:rPr>
          <w:spacing w:val="-9"/>
          <w:sz w:val="18"/>
          <w:szCs w:val="18"/>
          <w:lang w:val="es-ES_tradnl"/>
        </w:rPr>
        <w:t>n o Permisos T</w:t>
      </w:r>
      <w:r>
        <w:rPr>
          <w:rFonts w:cs="Times New Roman"/>
          <w:spacing w:val="-9"/>
          <w:sz w:val="18"/>
          <w:szCs w:val="18"/>
          <w:lang w:val="es-ES_tradnl"/>
        </w:rPr>
        <w:t>é</w:t>
      </w:r>
      <w:r>
        <w:rPr>
          <w:spacing w:val="-9"/>
          <w:sz w:val="18"/>
          <w:szCs w:val="18"/>
          <w:lang w:val="es-ES_tradnl"/>
        </w:rPr>
        <w:t xml:space="preserve">cnicos) de este </w:t>
      </w:r>
      <w:r>
        <w:rPr>
          <w:spacing w:val="-11"/>
          <w:sz w:val="18"/>
          <w:szCs w:val="18"/>
          <w:lang w:val="es-ES_tradnl"/>
        </w:rPr>
        <w:t xml:space="preserve">Convenio. Cuando sea requerido por una emergencia o para prevenir que se sigan violando las disposiciones del presente </w:t>
      </w:r>
      <w:r>
        <w:rPr>
          <w:spacing w:val="-6"/>
          <w:sz w:val="18"/>
          <w:szCs w:val="18"/>
          <w:lang w:val="es-ES_tradnl"/>
        </w:rPr>
        <w:t>Art</w:t>
      </w:r>
      <w:r>
        <w:rPr>
          <w:rFonts w:cs="Times New Roman"/>
          <w:spacing w:val="-6"/>
          <w:sz w:val="18"/>
          <w:szCs w:val="18"/>
          <w:lang w:val="es-ES_tradnl"/>
        </w:rPr>
        <w:t>í</w:t>
      </w:r>
      <w:r>
        <w:rPr>
          <w:spacing w:val="-6"/>
          <w:sz w:val="18"/>
          <w:szCs w:val="18"/>
          <w:lang w:val="es-ES_tradnl"/>
        </w:rPr>
        <w:t>culo, una Parte Contratante podr</w:t>
      </w:r>
      <w:r>
        <w:rPr>
          <w:rFonts w:cs="Times New Roman"/>
          <w:spacing w:val="-6"/>
          <w:sz w:val="18"/>
          <w:szCs w:val="18"/>
          <w:lang w:val="es-ES_tradnl"/>
        </w:rPr>
        <w:t>á</w:t>
      </w:r>
      <w:r>
        <w:rPr>
          <w:spacing w:val="-6"/>
          <w:sz w:val="18"/>
          <w:szCs w:val="18"/>
          <w:lang w:val="es-ES_tradnl"/>
        </w:rPr>
        <w:t xml:space="preserve"> tomar medidas </w:t>
      </w:r>
      <w:r>
        <w:rPr>
          <w:spacing w:val="-5"/>
          <w:sz w:val="18"/>
          <w:szCs w:val="18"/>
          <w:lang w:val="es-ES_tradnl"/>
        </w:rPr>
        <w:t>provisionales en virtud del p</w:t>
      </w:r>
      <w:r>
        <w:rPr>
          <w:rFonts w:cs="Times New Roman"/>
          <w:spacing w:val="-5"/>
          <w:sz w:val="18"/>
          <w:szCs w:val="18"/>
          <w:lang w:val="es-ES_tradnl"/>
        </w:rPr>
        <w:t>á</w:t>
      </w:r>
      <w:r>
        <w:rPr>
          <w:spacing w:val="-5"/>
          <w:sz w:val="18"/>
          <w:szCs w:val="18"/>
          <w:lang w:val="es-ES_tradnl"/>
        </w:rPr>
        <w:t>rrafo (1) de la Secci</w:t>
      </w:r>
      <w:r>
        <w:rPr>
          <w:rFonts w:cs="Times New Roman"/>
          <w:spacing w:val="-5"/>
          <w:sz w:val="18"/>
          <w:szCs w:val="18"/>
          <w:lang w:val="es-ES_tradnl"/>
        </w:rPr>
        <w:t>ó</w:t>
      </w:r>
      <w:r>
        <w:rPr>
          <w:spacing w:val="-5"/>
          <w:sz w:val="18"/>
          <w:szCs w:val="18"/>
          <w:lang w:val="es-ES_tradnl"/>
        </w:rPr>
        <w:t xml:space="preserve">n 4 del </w:t>
      </w:r>
      <w:r>
        <w:rPr>
          <w:spacing w:val="-6"/>
          <w:sz w:val="18"/>
          <w:szCs w:val="18"/>
          <w:lang w:val="es-ES_tradnl"/>
        </w:rPr>
        <w:t>presente Convenio antes de la expiraci</w:t>
      </w:r>
      <w:r>
        <w:rPr>
          <w:rFonts w:cs="Times New Roman"/>
          <w:spacing w:val="-6"/>
          <w:sz w:val="18"/>
          <w:szCs w:val="18"/>
          <w:lang w:val="es-ES_tradnl"/>
        </w:rPr>
        <w:t>ó</w:t>
      </w:r>
      <w:r>
        <w:rPr>
          <w:spacing w:val="-6"/>
          <w:sz w:val="18"/>
          <w:szCs w:val="18"/>
          <w:lang w:val="es-ES_tradnl"/>
        </w:rPr>
        <w:t xml:space="preserve">n de quince (15) </w:t>
      </w:r>
      <w:r>
        <w:rPr>
          <w:spacing w:val="-11"/>
          <w:sz w:val="18"/>
          <w:szCs w:val="18"/>
          <w:lang w:val="es-ES_tradnl"/>
        </w:rPr>
        <w:t>d</w:t>
      </w:r>
      <w:r>
        <w:rPr>
          <w:rFonts w:cs="Times New Roman"/>
          <w:spacing w:val="-11"/>
          <w:sz w:val="18"/>
          <w:szCs w:val="18"/>
          <w:lang w:val="es-ES_tradnl"/>
        </w:rPr>
        <w:t>í</w:t>
      </w:r>
      <w:r>
        <w:rPr>
          <w:spacing w:val="-11"/>
          <w:sz w:val="18"/>
          <w:szCs w:val="18"/>
          <w:lang w:val="es-ES_tradnl"/>
        </w:rPr>
        <w:t>as. Toda medida adoptada de conformidad con ese p</w:t>
      </w:r>
      <w:r>
        <w:rPr>
          <w:rFonts w:cs="Times New Roman"/>
          <w:spacing w:val="-11"/>
          <w:sz w:val="18"/>
          <w:szCs w:val="18"/>
          <w:lang w:val="es-ES_tradnl"/>
        </w:rPr>
        <w:t>á</w:t>
      </w:r>
      <w:r>
        <w:rPr>
          <w:spacing w:val="-11"/>
          <w:sz w:val="18"/>
          <w:szCs w:val="18"/>
          <w:lang w:val="es-ES_tradnl"/>
        </w:rPr>
        <w:t xml:space="preserve">rrafo </w:t>
      </w:r>
      <w:r>
        <w:rPr>
          <w:spacing w:val="-10"/>
          <w:sz w:val="18"/>
          <w:szCs w:val="18"/>
          <w:lang w:val="es-ES_tradnl"/>
        </w:rPr>
        <w:t>se suspender</w:t>
      </w:r>
      <w:r>
        <w:rPr>
          <w:rFonts w:cs="Times New Roman"/>
          <w:spacing w:val="-10"/>
          <w:sz w:val="18"/>
          <w:szCs w:val="18"/>
          <w:lang w:val="es-ES_tradnl"/>
        </w:rPr>
        <w:t>á</w:t>
      </w:r>
      <w:r>
        <w:rPr>
          <w:spacing w:val="-10"/>
          <w:sz w:val="18"/>
          <w:szCs w:val="18"/>
          <w:lang w:val="es-ES_tradnl"/>
        </w:rPr>
        <w:t xml:space="preserve"> cuando la otra Parte Contratante cumpla con </w:t>
      </w:r>
      <w:r>
        <w:rPr>
          <w:spacing w:val="-8"/>
          <w:sz w:val="18"/>
          <w:szCs w:val="18"/>
          <w:lang w:val="es-ES_tradnl"/>
        </w:rPr>
        <w:t>las disposiciones de seguridad de este Art</w:t>
      </w:r>
      <w:r>
        <w:rPr>
          <w:rFonts w:cs="Times New Roman"/>
          <w:spacing w:val="-8"/>
          <w:sz w:val="18"/>
          <w:szCs w:val="18"/>
          <w:lang w:val="es-ES_tradnl"/>
        </w:rPr>
        <w:t>í</w:t>
      </w:r>
      <w:r>
        <w:rPr>
          <w:spacing w:val="-8"/>
          <w:sz w:val="18"/>
          <w:szCs w:val="18"/>
          <w:lang w:val="es-ES_tradnl"/>
        </w:rPr>
        <w:t>culo.</w:t>
      </w:r>
    </w:p>
    <w:p w14:paraId="4F67A388" w14:textId="77777777" w:rsidR="00591D54" w:rsidRDefault="00591D54">
      <w:pPr>
        <w:shd w:val="clear" w:color="auto" w:fill="FFFFFF"/>
        <w:spacing w:before="192" w:line="216" w:lineRule="exact"/>
        <w:ind w:left="1310" w:right="1306" w:firstLine="245"/>
      </w:pPr>
      <w:r>
        <w:rPr>
          <w:b/>
          <w:bCs/>
          <w:sz w:val="18"/>
          <w:szCs w:val="18"/>
          <w:lang w:val="es-ES_tradnl"/>
        </w:rPr>
        <w:t>ART</w:t>
      </w:r>
      <w:r>
        <w:rPr>
          <w:rFonts w:cs="Times New Roman"/>
          <w:b/>
          <w:bCs/>
          <w:sz w:val="18"/>
          <w:szCs w:val="18"/>
          <w:lang w:val="es-ES_tradnl"/>
        </w:rPr>
        <w:t>Í</w:t>
      </w:r>
      <w:r>
        <w:rPr>
          <w:b/>
          <w:bCs/>
          <w:sz w:val="18"/>
          <w:szCs w:val="18"/>
          <w:lang w:val="es-ES_tradnl"/>
        </w:rPr>
        <w:t xml:space="preserve">CULO 10 </w:t>
      </w:r>
      <w:r>
        <w:rPr>
          <w:b/>
          <w:bCs/>
          <w:spacing w:val="-12"/>
          <w:sz w:val="18"/>
          <w:szCs w:val="18"/>
          <w:lang w:val="es-ES_tradnl"/>
        </w:rPr>
        <w:t>Cobros a los Usuarios</w:t>
      </w:r>
    </w:p>
    <w:p w14:paraId="4F67A389" w14:textId="77777777" w:rsidR="00591D54" w:rsidRDefault="00591D54" w:rsidP="00251195">
      <w:pPr>
        <w:numPr>
          <w:ilvl w:val="0"/>
          <w:numId w:val="12"/>
        </w:numPr>
        <w:shd w:val="clear" w:color="auto" w:fill="FFFFFF"/>
        <w:tabs>
          <w:tab w:val="left" w:pos="278"/>
        </w:tabs>
        <w:spacing w:before="197" w:line="216" w:lineRule="exact"/>
        <w:jc w:val="both"/>
        <w:rPr>
          <w:spacing w:val="-6"/>
          <w:sz w:val="18"/>
          <w:szCs w:val="18"/>
          <w:lang w:val="es-ES_tradnl"/>
        </w:rPr>
      </w:pPr>
      <w:r>
        <w:rPr>
          <w:spacing w:val="-7"/>
          <w:sz w:val="18"/>
          <w:szCs w:val="18"/>
          <w:lang w:val="es-ES_tradnl"/>
        </w:rPr>
        <w:t>Ninguna Parte Contratante podr</w:t>
      </w:r>
      <w:r>
        <w:rPr>
          <w:rFonts w:cs="Times New Roman"/>
          <w:spacing w:val="-7"/>
          <w:sz w:val="18"/>
          <w:szCs w:val="18"/>
          <w:lang w:val="es-ES_tradnl"/>
        </w:rPr>
        <w:t>á</w:t>
      </w:r>
      <w:r>
        <w:rPr>
          <w:spacing w:val="-7"/>
          <w:sz w:val="18"/>
          <w:szCs w:val="18"/>
          <w:lang w:val="es-ES_tradnl"/>
        </w:rPr>
        <w:t xml:space="preserve"> imponer o dejar que </w:t>
      </w:r>
      <w:r>
        <w:rPr>
          <w:spacing w:val="-10"/>
          <w:sz w:val="18"/>
          <w:szCs w:val="18"/>
          <w:lang w:val="es-ES_tradnl"/>
        </w:rPr>
        <w:t>se imponga a las l</w:t>
      </w:r>
      <w:r>
        <w:rPr>
          <w:rFonts w:cs="Times New Roman"/>
          <w:spacing w:val="-10"/>
          <w:sz w:val="18"/>
          <w:szCs w:val="18"/>
          <w:lang w:val="es-ES_tradnl"/>
        </w:rPr>
        <w:t>í</w:t>
      </w:r>
      <w:r>
        <w:rPr>
          <w:spacing w:val="-10"/>
          <w:sz w:val="18"/>
          <w:szCs w:val="18"/>
          <w:lang w:val="es-ES_tradnl"/>
        </w:rPr>
        <w:t>neas a</w:t>
      </w:r>
      <w:r>
        <w:rPr>
          <w:rFonts w:cs="Times New Roman"/>
          <w:spacing w:val="-10"/>
          <w:sz w:val="18"/>
          <w:szCs w:val="18"/>
          <w:lang w:val="es-ES_tradnl"/>
        </w:rPr>
        <w:t>é</w:t>
      </w:r>
      <w:r>
        <w:rPr>
          <w:spacing w:val="-10"/>
          <w:sz w:val="18"/>
          <w:szCs w:val="18"/>
          <w:lang w:val="es-ES_tradnl"/>
        </w:rPr>
        <w:t xml:space="preserve">reas designadas de la otra Parte </w:t>
      </w:r>
      <w:r>
        <w:rPr>
          <w:spacing w:val="-8"/>
          <w:sz w:val="18"/>
          <w:szCs w:val="18"/>
          <w:lang w:val="es-ES_tradnl"/>
        </w:rPr>
        <w:t xml:space="preserve">Contratante, cobros al usuario que sean superiores a los </w:t>
      </w:r>
      <w:r>
        <w:rPr>
          <w:spacing w:val="-11"/>
          <w:sz w:val="18"/>
          <w:szCs w:val="18"/>
          <w:lang w:val="es-ES_tradnl"/>
        </w:rPr>
        <w:t>impuestos a cualquier l</w:t>
      </w:r>
      <w:r>
        <w:rPr>
          <w:rFonts w:cs="Times New Roman"/>
          <w:spacing w:val="-11"/>
          <w:sz w:val="18"/>
          <w:szCs w:val="18"/>
          <w:lang w:val="es-ES_tradnl"/>
        </w:rPr>
        <w:t>í</w:t>
      </w:r>
      <w:r>
        <w:rPr>
          <w:spacing w:val="-11"/>
          <w:sz w:val="18"/>
          <w:szCs w:val="18"/>
          <w:lang w:val="es-ES_tradnl"/>
        </w:rPr>
        <w:t>nea a</w:t>
      </w:r>
      <w:r>
        <w:rPr>
          <w:rFonts w:cs="Times New Roman"/>
          <w:spacing w:val="-11"/>
          <w:sz w:val="18"/>
          <w:szCs w:val="18"/>
          <w:lang w:val="es-ES_tradnl"/>
        </w:rPr>
        <w:t>é</w:t>
      </w:r>
      <w:r>
        <w:rPr>
          <w:spacing w:val="-11"/>
          <w:sz w:val="18"/>
          <w:szCs w:val="18"/>
          <w:lang w:val="es-ES_tradnl"/>
        </w:rPr>
        <w:t xml:space="preserve">rea de los Estados que operan </w:t>
      </w:r>
      <w:r>
        <w:rPr>
          <w:spacing w:val="-7"/>
          <w:sz w:val="18"/>
          <w:szCs w:val="18"/>
          <w:lang w:val="es-ES_tradnl"/>
        </w:rPr>
        <w:t>servicios a</w:t>
      </w:r>
      <w:r>
        <w:rPr>
          <w:rFonts w:cs="Times New Roman"/>
          <w:spacing w:val="-7"/>
          <w:sz w:val="18"/>
          <w:szCs w:val="18"/>
          <w:lang w:val="es-ES_tradnl"/>
        </w:rPr>
        <w:t>é</w:t>
      </w:r>
      <w:r>
        <w:rPr>
          <w:spacing w:val="-7"/>
          <w:sz w:val="18"/>
          <w:szCs w:val="18"/>
          <w:lang w:val="es-ES_tradnl"/>
        </w:rPr>
        <w:t>reos internacionales similares.</w:t>
      </w:r>
    </w:p>
    <w:p w14:paraId="4F67A38A" w14:textId="77777777" w:rsidR="00591D54" w:rsidRDefault="00591D54" w:rsidP="00251195">
      <w:pPr>
        <w:numPr>
          <w:ilvl w:val="0"/>
          <w:numId w:val="12"/>
        </w:numPr>
        <w:shd w:val="clear" w:color="auto" w:fill="FFFFFF"/>
        <w:tabs>
          <w:tab w:val="left" w:pos="278"/>
        </w:tabs>
        <w:spacing w:before="197" w:line="216" w:lineRule="exact"/>
        <w:jc w:val="both"/>
        <w:rPr>
          <w:spacing w:val="-6"/>
          <w:sz w:val="18"/>
          <w:szCs w:val="18"/>
          <w:lang w:val="es-ES_tradnl"/>
        </w:rPr>
      </w:pPr>
      <w:r>
        <w:rPr>
          <w:spacing w:val="-8"/>
          <w:sz w:val="18"/>
          <w:szCs w:val="18"/>
          <w:lang w:val="es-ES_tradnl"/>
        </w:rPr>
        <w:t>Cada Parte Contratante promover</w:t>
      </w:r>
      <w:r>
        <w:rPr>
          <w:rFonts w:cs="Times New Roman"/>
          <w:spacing w:val="-8"/>
          <w:sz w:val="18"/>
          <w:szCs w:val="18"/>
          <w:lang w:val="es-ES_tradnl"/>
        </w:rPr>
        <w:t>á</w:t>
      </w:r>
      <w:r>
        <w:rPr>
          <w:spacing w:val="-8"/>
          <w:sz w:val="18"/>
          <w:szCs w:val="18"/>
          <w:lang w:val="es-ES_tradnl"/>
        </w:rPr>
        <w:t xml:space="preserve"> consultas sobre </w:t>
      </w:r>
      <w:r>
        <w:rPr>
          <w:spacing w:val="-12"/>
          <w:sz w:val="18"/>
          <w:szCs w:val="18"/>
          <w:lang w:val="es-ES_tradnl"/>
        </w:rPr>
        <w:t xml:space="preserve">cobros al usuario entre sus autoridades de cobro competentes </w:t>
      </w:r>
      <w:r>
        <w:rPr>
          <w:spacing w:val="-8"/>
          <w:sz w:val="18"/>
          <w:szCs w:val="18"/>
          <w:lang w:val="es-ES_tradnl"/>
        </w:rPr>
        <w:t>y las l</w:t>
      </w:r>
      <w:r>
        <w:rPr>
          <w:rFonts w:cs="Times New Roman"/>
          <w:spacing w:val="-8"/>
          <w:sz w:val="18"/>
          <w:szCs w:val="18"/>
          <w:lang w:val="es-ES_tradnl"/>
        </w:rPr>
        <w:t>í</w:t>
      </w:r>
      <w:r>
        <w:rPr>
          <w:spacing w:val="-8"/>
          <w:sz w:val="18"/>
          <w:szCs w:val="18"/>
          <w:lang w:val="es-ES_tradnl"/>
        </w:rPr>
        <w:t>neas a</w:t>
      </w:r>
      <w:r>
        <w:rPr>
          <w:rFonts w:cs="Times New Roman"/>
          <w:spacing w:val="-8"/>
          <w:sz w:val="18"/>
          <w:szCs w:val="18"/>
          <w:lang w:val="es-ES_tradnl"/>
        </w:rPr>
        <w:t>é</w:t>
      </w:r>
      <w:r>
        <w:rPr>
          <w:spacing w:val="-8"/>
          <w:sz w:val="18"/>
          <w:szCs w:val="18"/>
          <w:lang w:val="es-ES_tradnl"/>
        </w:rPr>
        <w:t xml:space="preserve">reas que utilizan los servicios e instalaciones proporcionados por aquellas autoridades de cobro, cuando </w:t>
      </w:r>
      <w:r>
        <w:rPr>
          <w:spacing w:val="-10"/>
          <w:sz w:val="18"/>
          <w:szCs w:val="18"/>
          <w:lang w:val="es-ES_tradnl"/>
        </w:rPr>
        <w:t>sea pr</w:t>
      </w:r>
      <w:r>
        <w:rPr>
          <w:rFonts w:cs="Times New Roman"/>
          <w:spacing w:val="-10"/>
          <w:sz w:val="18"/>
          <w:szCs w:val="18"/>
          <w:lang w:val="es-ES_tradnl"/>
        </w:rPr>
        <w:t>á</w:t>
      </w:r>
      <w:r>
        <w:rPr>
          <w:spacing w:val="-10"/>
          <w:sz w:val="18"/>
          <w:szCs w:val="18"/>
          <w:lang w:val="es-ES_tradnl"/>
        </w:rPr>
        <w:t>ctico, a trav</w:t>
      </w:r>
      <w:r>
        <w:rPr>
          <w:rFonts w:cs="Times New Roman"/>
          <w:spacing w:val="-10"/>
          <w:sz w:val="18"/>
          <w:szCs w:val="18"/>
          <w:lang w:val="es-ES_tradnl"/>
        </w:rPr>
        <w:t>é</w:t>
      </w:r>
      <w:r>
        <w:rPr>
          <w:spacing w:val="-10"/>
          <w:sz w:val="18"/>
          <w:szCs w:val="18"/>
          <w:lang w:val="es-ES_tradnl"/>
        </w:rPr>
        <w:t xml:space="preserve">s de las organizaciones que representan </w:t>
      </w:r>
      <w:r>
        <w:rPr>
          <w:spacing w:val="-7"/>
          <w:sz w:val="18"/>
          <w:szCs w:val="18"/>
          <w:lang w:val="es-ES_tradnl"/>
        </w:rPr>
        <w:t>a dichas l</w:t>
      </w:r>
      <w:r>
        <w:rPr>
          <w:rFonts w:cs="Times New Roman"/>
          <w:spacing w:val="-7"/>
          <w:sz w:val="18"/>
          <w:szCs w:val="18"/>
          <w:lang w:val="es-ES_tradnl"/>
        </w:rPr>
        <w:t>í</w:t>
      </w:r>
      <w:r>
        <w:rPr>
          <w:spacing w:val="-7"/>
          <w:sz w:val="18"/>
          <w:szCs w:val="18"/>
          <w:lang w:val="es-ES_tradnl"/>
        </w:rPr>
        <w:t>neas a</w:t>
      </w:r>
      <w:r>
        <w:rPr>
          <w:rFonts w:cs="Times New Roman"/>
          <w:spacing w:val="-7"/>
          <w:sz w:val="18"/>
          <w:szCs w:val="18"/>
          <w:lang w:val="es-ES_tradnl"/>
        </w:rPr>
        <w:t>é</w:t>
      </w:r>
      <w:r>
        <w:rPr>
          <w:spacing w:val="-7"/>
          <w:sz w:val="18"/>
          <w:szCs w:val="18"/>
          <w:lang w:val="es-ES_tradnl"/>
        </w:rPr>
        <w:t>reas. Se dar</w:t>
      </w:r>
      <w:r>
        <w:rPr>
          <w:rFonts w:cs="Times New Roman"/>
          <w:spacing w:val="-7"/>
          <w:sz w:val="18"/>
          <w:szCs w:val="18"/>
          <w:lang w:val="es-ES_tradnl"/>
        </w:rPr>
        <w:t>á</w:t>
      </w:r>
      <w:r>
        <w:rPr>
          <w:spacing w:val="-7"/>
          <w:sz w:val="18"/>
          <w:szCs w:val="18"/>
          <w:lang w:val="es-ES_tradnl"/>
        </w:rPr>
        <w:t xml:space="preserve"> notificaci</w:t>
      </w:r>
      <w:r>
        <w:rPr>
          <w:rFonts w:cs="Times New Roman"/>
          <w:spacing w:val="-7"/>
          <w:sz w:val="18"/>
          <w:szCs w:val="18"/>
          <w:lang w:val="es-ES_tradnl"/>
        </w:rPr>
        <w:t>ó</w:t>
      </w:r>
      <w:r>
        <w:rPr>
          <w:spacing w:val="-7"/>
          <w:sz w:val="18"/>
          <w:szCs w:val="18"/>
          <w:lang w:val="es-ES_tradnl"/>
        </w:rPr>
        <w:t xml:space="preserve">n razonable de </w:t>
      </w:r>
      <w:r>
        <w:rPr>
          <w:spacing w:val="-11"/>
          <w:sz w:val="18"/>
          <w:szCs w:val="18"/>
          <w:lang w:val="es-ES_tradnl"/>
        </w:rPr>
        <w:t xml:space="preserve">cualquier cambio propuesto en los cobros al usuario a dichos usuarios para que puedan expresar sus puntos de vista antes </w:t>
      </w:r>
      <w:r>
        <w:rPr>
          <w:spacing w:val="-9"/>
          <w:sz w:val="18"/>
          <w:szCs w:val="18"/>
          <w:lang w:val="es-ES_tradnl"/>
        </w:rPr>
        <w:t>de realizar los cambios. Cada Parte Contratante promover</w:t>
      </w:r>
      <w:r>
        <w:rPr>
          <w:rFonts w:cs="Times New Roman"/>
          <w:spacing w:val="-9"/>
          <w:sz w:val="18"/>
          <w:szCs w:val="18"/>
          <w:lang w:val="es-ES_tradnl"/>
        </w:rPr>
        <w:t xml:space="preserve">á </w:t>
      </w:r>
      <w:r>
        <w:rPr>
          <w:spacing w:val="-8"/>
          <w:sz w:val="18"/>
          <w:szCs w:val="18"/>
          <w:lang w:val="es-ES_tradnl"/>
        </w:rPr>
        <w:t>tambi</w:t>
      </w:r>
      <w:r>
        <w:rPr>
          <w:rFonts w:cs="Times New Roman"/>
          <w:spacing w:val="-8"/>
          <w:sz w:val="18"/>
          <w:szCs w:val="18"/>
          <w:lang w:val="es-ES_tradnl"/>
        </w:rPr>
        <w:t>é</w:t>
      </w:r>
      <w:r>
        <w:rPr>
          <w:spacing w:val="-8"/>
          <w:sz w:val="18"/>
          <w:szCs w:val="18"/>
          <w:lang w:val="es-ES_tradnl"/>
        </w:rPr>
        <w:t>n que sus autoridades competentes de cobro y los usuarios que intercambien la informaci</w:t>
      </w:r>
      <w:r>
        <w:rPr>
          <w:rFonts w:cs="Times New Roman"/>
          <w:spacing w:val="-8"/>
          <w:sz w:val="18"/>
          <w:szCs w:val="18"/>
          <w:lang w:val="es-ES_tradnl"/>
        </w:rPr>
        <w:t>ó</w:t>
      </w:r>
      <w:r>
        <w:rPr>
          <w:spacing w:val="-8"/>
          <w:sz w:val="18"/>
          <w:szCs w:val="18"/>
          <w:lang w:val="es-ES_tradnl"/>
        </w:rPr>
        <w:t xml:space="preserve">n adecuada sobre </w:t>
      </w:r>
      <w:r>
        <w:rPr>
          <w:sz w:val="18"/>
          <w:szCs w:val="18"/>
          <w:lang w:val="es-ES_tradnl"/>
        </w:rPr>
        <w:t>los cobros al usuario.</w:t>
      </w:r>
    </w:p>
    <w:p w14:paraId="4F67A38B" w14:textId="77777777" w:rsidR="00591D54" w:rsidRDefault="00591D54">
      <w:pPr>
        <w:shd w:val="clear" w:color="auto" w:fill="FFFFFF"/>
        <w:spacing w:before="192" w:line="216" w:lineRule="exact"/>
        <w:ind w:left="1358" w:right="1306" w:firstLine="202"/>
      </w:pPr>
      <w:r>
        <w:rPr>
          <w:b/>
          <w:bCs/>
          <w:sz w:val="18"/>
          <w:szCs w:val="18"/>
          <w:lang w:val="es-ES_tradnl"/>
        </w:rPr>
        <w:t>ART</w:t>
      </w:r>
      <w:r>
        <w:rPr>
          <w:rFonts w:cs="Times New Roman"/>
          <w:b/>
          <w:bCs/>
          <w:sz w:val="18"/>
          <w:szCs w:val="18"/>
          <w:lang w:val="es-ES_tradnl"/>
        </w:rPr>
        <w:t>Í</w:t>
      </w:r>
      <w:r>
        <w:rPr>
          <w:b/>
          <w:bCs/>
          <w:sz w:val="18"/>
          <w:szCs w:val="18"/>
          <w:lang w:val="es-ES_tradnl"/>
        </w:rPr>
        <w:t xml:space="preserve">CULO 11 </w:t>
      </w:r>
      <w:r>
        <w:rPr>
          <w:b/>
          <w:bCs/>
          <w:spacing w:val="-12"/>
          <w:sz w:val="18"/>
          <w:szCs w:val="18"/>
          <w:lang w:val="es-ES_tradnl"/>
        </w:rPr>
        <w:t>Derechos de Aduana</w:t>
      </w:r>
    </w:p>
    <w:p w14:paraId="4F67A38C" w14:textId="77777777" w:rsidR="00591D54" w:rsidRDefault="00591D54" w:rsidP="00251195">
      <w:pPr>
        <w:numPr>
          <w:ilvl w:val="0"/>
          <w:numId w:val="13"/>
        </w:numPr>
        <w:shd w:val="clear" w:color="auto" w:fill="FFFFFF"/>
        <w:tabs>
          <w:tab w:val="left" w:pos="346"/>
        </w:tabs>
        <w:spacing w:before="192" w:line="216" w:lineRule="exact"/>
        <w:jc w:val="both"/>
        <w:rPr>
          <w:spacing w:val="-6"/>
          <w:sz w:val="18"/>
          <w:szCs w:val="18"/>
          <w:lang w:val="es-ES_tradnl"/>
        </w:rPr>
      </w:pPr>
      <w:r>
        <w:rPr>
          <w:spacing w:val="-4"/>
          <w:sz w:val="18"/>
          <w:szCs w:val="18"/>
          <w:lang w:val="es-ES_tradnl"/>
        </w:rPr>
        <w:t xml:space="preserve">Cuando una aeronave operada en los servicios </w:t>
      </w:r>
      <w:r>
        <w:rPr>
          <w:spacing w:val="-9"/>
          <w:sz w:val="18"/>
          <w:szCs w:val="18"/>
          <w:lang w:val="es-ES_tradnl"/>
        </w:rPr>
        <w:t>acordados por la l</w:t>
      </w:r>
      <w:r>
        <w:rPr>
          <w:rFonts w:cs="Times New Roman"/>
          <w:spacing w:val="-9"/>
          <w:sz w:val="18"/>
          <w:szCs w:val="18"/>
          <w:lang w:val="es-ES_tradnl"/>
        </w:rPr>
        <w:t>í</w:t>
      </w:r>
      <w:r>
        <w:rPr>
          <w:spacing w:val="-9"/>
          <w:sz w:val="18"/>
          <w:szCs w:val="18"/>
          <w:lang w:val="es-ES_tradnl"/>
        </w:rPr>
        <w:t>nea a</w:t>
      </w:r>
      <w:r>
        <w:rPr>
          <w:rFonts w:cs="Times New Roman"/>
          <w:spacing w:val="-9"/>
          <w:sz w:val="18"/>
          <w:szCs w:val="18"/>
          <w:lang w:val="es-ES_tradnl"/>
        </w:rPr>
        <w:t>é</w:t>
      </w:r>
      <w:r>
        <w:rPr>
          <w:spacing w:val="-9"/>
          <w:sz w:val="18"/>
          <w:szCs w:val="18"/>
          <w:lang w:val="es-ES_tradnl"/>
        </w:rPr>
        <w:t xml:space="preserve">rea de una Parte Contratante llega </w:t>
      </w:r>
      <w:r>
        <w:rPr>
          <w:spacing w:val="-6"/>
          <w:sz w:val="18"/>
          <w:szCs w:val="18"/>
          <w:lang w:val="es-ES_tradnl"/>
        </w:rPr>
        <w:t xml:space="preserve">al territorio de la otra Parte Contratante, dicha aeronave y </w:t>
      </w:r>
      <w:r>
        <w:rPr>
          <w:spacing w:val="-7"/>
          <w:sz w:val="18"/>
          <w:szCs w:val="18"/>
          <w:lang w:val="es-ES_tradnl"/>
        </w:rPr>
        <w:t xml:space="preserve">su equipo regular, piezas de repuesto (incluidos motores), </w:t>
      </w:r>
      <w:r>
        <w:rPr>
          <w:spacing w:val="-5"/>
          <w:sz w:val="18"/>
          <w:szCs w:val="18"/>
          <w:lang w:val="es-ES_tradnl"/>
        </w:rPr>
        <w:t>combustibles, aceites (incluyendo todos los l</w:t>
      </w:r>
      <w:r>
        <w:rPr>
          <w:rFonts w:cs="Times New Roman"/>
          <w:spacing w:val="-5"/>
          <w:sz w:val="18"/>
          <w:szCs w:val="18"/>
          <w:lang w:val="es-ES_tradnl"/>
        </w:rPr>
        <w:t>í</w:t>
      </w:r>
      <w:r>
        <w:rPr>
          <w:spacing w:val="-5"/>
          <w:sz w:val="18"/>
          <w:szCs w:val="18"/>
          <w:lang w:val="es-ES_tradnl"/>
        </w:rPr>
        <w:t xml:space="preserve">quidos </w:t>
      </w:r>
      <w:r>
        <w:rPr>
          <w:spacing w:val="-6"/>
          <w:sz w:val="18"/>
          <w:szCs w:val="18"/>
          <w:lang w:val="es-ES_tradnl"/>
        </w:rPr>
        <w:t>hidr</w:t>
      </w:r>
      <w:r>
        <w:rPr>
          <w:rFonts w:cs="Times New Roman"/>
          <w:spacing w:val="-6"/>
          <w:sz w:val="18"/>
          <w:szCs w:val="18"/>
          <w:lang w:val="es-ES_tradnl"/>
        </w:rPr>
        <w:t>á</w:t>
      </w:r>
      <w:r>
        <w:rPr>
          <w:spacing w:val="-6"/>
          <w:sz w:val="18"/>
          <w:szCs w:val="18"/>
          <w:lang w:val="es-ES_tradnl"/>
        </w:rPr>
        <w:t>ulicos, lubricantes) y suministros para la aeronave (incluyendo alimentos, bebidas y tabaco) a bordo de la aeronave, estar</w:t>
      </w:r>
      <w:r>
        <w:rPr>
          <w:rFonts w:cs="Times New Roman"/>
          <w:spacing w:val="-6"/>
          <w:sz w:val="18"/>
          <w:szCs w:val="18"/>
          <w:lang w:val="es-ES_tradnl"/>
        </w:rPr>
        <w:t>á</w:t>
      </w:r>
      <w:r>
        <w:rPr>
          <w:spacing w:val="-6"/>
          <w:sz w:val="18"/>
          <w:szCs w:val="18"/>
          <w:lang w:val="es-ES_tradnl"/>
        </w:rPr>
        <w:t xml:space="preserve">n exentos, en la base de la reciprocidad, </w:t>
      </w:r>
      <w:r>
        <w:rPr>
          <w:spacing w:val="-9"/>
          <w:sz w:val="18"/>
          <w:szCs w:val="18"/>
          <w:lang w:val="es-ES_tradnl"/>
        </w:rPr>
        <w:t xml:space="preserve">de todos los derechos de aduana, impuestos, tasas de </w:t>
      </w:r>
      <w:r>
        <w:rPr>
          <w:spacing w:val="-5"/>
          <w:sz w:val="18"/>
          <w:szCs w:val="18"/>
          <w:lang w:val="es-ES_tradnl"/>
        </w:rPr>
        <w:t>inspecci</w:t>
      </w:r>
      <w:r>
        <w:rPr>
          <w:rFonts w:cs="Times New Roman"/>
          <w:spacing w:val="-5"/>
          <w:sz w:val="18"/>
          <w:szCs w:val="18"/>
          <w:lang w:val="es-ES_tradnl"/>
        </w:rPr>
        <w:t>ó</w:t>
      </w:r>
      <w:r>
        <w:rPr>
          <w:spacing w:val="-5"/>
          <w:sz w:val="18"/>
          <w:szCs w:val="18"/>
          <w:lang w:val="es-ES_tradnl"/>
        </w:rPr>
        <w:t xml:space="preserve">n y otras tarifas y cobros similares, siempre y </w:t>
      </w:r>
      <w:r>
        <w:rPr>
          <w:spacing w:val="-10"/>
          <w:sz w:val="18"/>
          <w:szCs w:val="18"/>
          <w:lang w:val="es-ES_tradnl"/>
        </w:rPr>
        <w:t>cuando dichos equipos y elementos permanecen a bordo de la aeronave hasta el momento en que sean reexportados.</w:t>
      </w:r>
    </w:p>
    <w:p w14:paraId="4F67A38D" w14:textId="77777777" w:rsidR="00591D54" w:rsidRDefault="00591D54" w:rsidP="00251195">
      <w:pPr>
        <w:numPr>
          <w:ilvl w:val="0"/>
          <w:numId w:val="13"/>
        </w:numPr>
        <w:shd w:val="clear" w:color="auto" w:fill="FFFFFF"/>
        <w:tabs>
          <w:tab w:val="left" w:pos="346"/>
        </w:tabs>
        <w:spacing w:before="192" w:line="216" w:lineRule="exact"/>
        <w:jc w:val="both"/>
        <w:rPr>
          <w:spacing w:val="-6"/>
          <w:sz w:val="18"/>
          <w:szCs w:val="18"/>
          <w:lang w:val="es-ES_tradnl"/>
        </w:rPr>
      </w:pPr>
      <w:r>
        <w:rPr>
          <w:spacing w:val="-2"/>
          <w:sz w:val="18"/>
          <w:szCs w:val="18"/>
          <w:lang w:val="es-ES_tradnl"/>
        </w:rPr>
        <w:t>El siguiente equipo y Art</w:t>
      </w:r>
      <w:r>
        <w:rPr>
          <w:rFonts w:cs="Times New Roman"/>
          <w:spacing w:val="-2"/>
          <w:sz w:val="18"/>
          <w:szCs w:val="18"/>
          <w:lang w:val="es-ES_tradnl"/>
        </w:rPr>
        <w:t>í</w:t>
      </w:r>
      <w:r>
        <w:rPr>
          <w:spacing w:val="-2"/>
          <w:sz w:val="18"/>
          <w:szCs w:val="18"/>
          <w:lang w:val="es-ES_tradnl"/>
        </w:rPr>
        <w:t>culos estar</w:t>
      </w:r>
      <w:r>
        <w:rPr>
          <w:rFonts w:cs="Times New Roman"/>
          <w:spacing w:val="-2"/>
          <w:sz w:val="18"/>
          <w:szCs w:val="18"/>
          <w:lang w:val="es-ES_tradnl"/>
        </w:rPr>
        <w:t>á</w:t>
      </w:r>
      <w:r>
        <w:rPr>
          <w:spacing w:val="-2"/>
          <w:sz w:val="18"/>
          <w:szCs w:val="18"/>
          <w:lang w:val="es-ES_tradnl"/>
        </w:rPr>
        <w:t>n tambi</w:t>
      </w:r>
      <w:r>
        <w:rPr>
          <w:rFonts w:cs="Times New Roman"/>
          <w:spacing w:val="-2"/>
          <w:sz w:val="18"/>
          <w:szCs w:val="18"/>
          <w:lang w:val="es-ES_tradnl"/>
        </w:rPr>
        <w:t>é</w:t>
      </w:r>
      <w:r>
        <w:rPr>
          <w:spacing w:val="-2"/>
          <w:sz w:val="18"/>
          <w:szCs w:val="18"/>
          <w:lang w:val="es-ES_tradnl"/>
        </w:rPr>
        <w:t xml:space="preserve">n </w:t>
      </w:r>
      <w:r>
        <w:rPr>
          <w:spacing w:val="-7"/>
          <w:sz w:val="18"/>
          <w:szCs w:val="18"/>
          <w:lang w:val="es-ES_tradnl"/>
        </w:rPr>
        <w:t xml:space="preserve">exentos, sobre la base de la reciprocidad, de todos los </w:t>
      </w:r>
      <w:r>
        <w:rPr>
          <w:spacing w:val="-10"/>
          <w:sz w:val="18"/>
          <w:szCs w:val="18"/>
          <w:lang w:val="es-ES_tradnl"/>
        </w:rPr>
        <w:t>derechos de aduana, impuestos, tasas de inspecci</w:t>
      </w:r>
      <w:r>
        <w:rPr>
          <w:rFonts w:cs="Times New Roman"/>
          <w:spacing w:val="-10"/>
          <w:sz w:val="18"/>
          <w:szCs w:val="18"/>
          <w:lang w:val="es-ES_tradnl"/>
        </w:rPr>
        <w:t>ó</w:t>
      </w:r>
      <w:r>
        <w:rPr>
          <w:spacing w:val="-10"/>
          <w:sz w:val="18"/>
          <w:szCs w:val="18"/>
          <w:lang w:val="es-ES_tradnl"/>
        </w:rPr>
        <w:t xml:space="preserve">n y otras </w:t>
      </w:r>
      <w:r>
        <w:rPr>
          <w:spacing w:val="-6"/>
          <w:sz w:val="18"/>
          <w:szCs w:val="18"/>
          <w:lang w:val="es-ES_tradnl"/>
        </w:rPr>
        <w:t>tarifas y cobros similares, con excepci</w:t>
      </w:r>
      <w:r>
        <w:rPr>
          <w:rFonts w:cs="Times New Roman"/>
          <w:spacing w:val="-6"/>
          <w:sz w:val="18"/>
          <w:szCs w:val="18"/>
          <w:lang w:val="es-ES_tradnl"/>
        </w:rPr>
        <w:t>ó</w:t>
      </w:r>
      <w:r>
        <w:rPr>
          <w:spacing w:val="-6"/>
          <w:sz w:val="18"/>
          <w:szCs w:val="18"/>
          <w:lang w:val="es-ES_tradnl"/>
        </w:rPr>
        <w:t xml:space="preserve">n de los cobros </w:t>
      </w:r>
      <w:r>
        <w:rPr>
          <w:spacing w:val="-7"/>
          <w:sz w:val="18"/>
          <w:szCs w:val="18"/>
          <w:lang w:val="es-ES_tradnl"/>
        </w:rPr>
        <w:t>correspondientes a los servicios provistos:</w:t>
      </w:r>
    </w:p>
    <w:p w14:paraId="4F67A38E" w14:textId="77777777" w:rsidR="00591D54" w:rsidRDefault="00591D54">
      <w:pPr>
        <w:shd w:val="clear" w:color="auto" w:fill="FFFFFF"/>
        <w:spacing w:before="197" w:line="216" w:lineRule="exact"/>
        <w:ind w:left="283"/>
        <w:jc w:val="both"/>
      </w:pPr>
      <w:r>
        <w:rPr>
          <w:spacing w:val="-4"/>
          <w:sz w:val="18"/>
          <w:szCs w:val="18"/>
          <w:lang w:val="es-ES_tradnl"/>
        </w:rPr>
        <w:t xml:space="preserve">(a) Equipo regular, piezas de repuesto (incluidos </w:t>
      </w:r>
      <w:r>
        <w:rPr>
          <w:spacing w:val="-5"/>
          <w:sz w:val="18"/>
          <w:szCs w:val="18"/>
          <w:lang w:val="es-ES_tradnl"/>
        </w:rPr>
        <w:t xml:space="preserve">motores), combustibles, aceites (incluyendo fl uidos </w:t>
      </w:r>
      <w:r>
        <w:rPr>
          <w:spacing w:val="-8"/>
          <w:sz w:val="18"/>
          <w:szCs w:val="18"/>
          <w:lang w:val="es-ES_tradnl"/>
        </w:rPr>
        <w:t>hidr</w:t>
      </w:r>
      <w:r>
        <w:rPr>
          <w:rFonts w:cs="Times New Roman"/>
          <w:spacing w:val="-8"/>
          <w:sz w:val="18"/>
          <w:szCs w:val="18"/>
          <w:lang w:val="es-ES_tradnl"/>
        </w:rPr>
        <w:t>á</w:t>
      </w:r>
      <w:r>
        <w:rPr>
          <w:spacing w:val="-8"/>
          <w:sz w:val="18"/>
          <w:szCs w:val="18"/>
          <w:lang w:val="es-ES_tradnl"/>
        </w:rPr>
        <w:t xml:space="preserve">ulicos, lubricantes) y suministros para la aeronave </w:t>
      </w:r>
      <w:r>
        <w:rPr>
          <w:spacing w:val="-6"/>
          <w:sz w:val="18"/>
          <w:szCs w:val="18"/>
          <w:lang w:val="es-ES_tradnl"/>
        </w:rPr>
        <w:t>(incluyendo alimentos, bebidas y tabaco) tra</w:t>
      </w:r>
      <w:r>
        <w:rPr>
          <w:rFonts w:cs="Times New Roman"/>
          <w:spacing w:val="-6"/>
          <w:sz w:val="18"/>
          <w:szCs w:val="18"/>
          <w:lang w:val="es-ES_tradnl"/>
        </w:rPr>
        <w:t>í</w:t>
      </w:r>
      <w:r>
        <w:rPr>
          <w:spacing w:val="-6"/>
          <w:sz w:val="18"/>
          <w:szCs w:val="18"/>
          <w:lang w:val="es-ES_tradnl"/>
        </w:rPr>
        <w:t xml:space="preserve">dos al </w:t>
      </w:r>
      <w:r>
        <w:rPr>
          <w:spacing w:val="-2"/>
          <w:sz w:val="18"/>
          <w:szCs w:val="18"/>
          <w:lang w:val="es-ES_tradnl"/>
        </w:rPr>
        <w:t xml:space="preserve">territorio de la otra Parte Contratante y destinados </w:t>
      </w:r>
      <w:r>
        <w:rPr>
          <w:spacing w:val="-9"/>
          <w:sz w:val="18"/>
          <w:szCs w:val="18"/>
          <w:lang w:val="es-ES_tradnl"/>
        </w:rPr>
        <w:t>para su uso en las aeronaves operadas en los servicios</w:t>
      </w:r>
    </w:p>
    <w:p w14:paraId="4F67A38F" w14:textId="77777777" w:rsidR="00591D54" w:rsidRDefault="00591D54">
      <w:pPr>
        <w:shd w:val="clear" w:color="auto" w:fill="FFFFFF"/>
        <w:spacing w:before="197" w:line="216" w:lineRule="exact"/>
        <w:ind w:left="283"/>
        <w:jc w:val="both"/>
        <w:sectPr w:rsidR="00591D54">
          <w:type w:val="continuous"/>
          <w:pgSz w:w="11909" w:h="16834"/>
          <w:pgMar w:top="1368" w:right="1309" w:bottom="360" w:left="1308" w:header="720" w:footer="720" w:gutter="0"/>
          <w:cols w:num="2" w:space="720" w:equalWidth="0">
            <w:col w:w="4305" w:space="682"/>
            <w:col w:w="4305"/>
          </w:cols>
          <w:noEndnote/>
        </w:sectPr>
      </w:pPr>
    </w:p>
    <w:p w14:paraId="4F67A390" w14:textId="77777777" w:rsidR="00591D54" w:rsidRDefault="00591D54">
      <w:pPr>
        <w:shd w:val="clear" w:color="auto" w:fill="FFFFFF"/>
        <w:tabs>
          <w:tab w:val="left" w:pos="4814"/>
        </w:tabs>
        <w:spacing w:after="235"/>
        <w:ind w:left="5"/>
      </w:pPr>
      <w:r>
        <w:rPr>
          <w:b/>
          <w:bCs/>
          <w:sz w:val="18"/>
          <w:szCs w:val="18"/>
          <w:lang w:val="es-ES_tradnl"/>
        </w:rPr>
        <w:t xml:space="preserve">8 -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391" w14:textId="77777777" w:rsidR="00591D54" w:rsidRDefault="00591D54">
      <w:pPr>
        <w:shd w:val="clear" w:color="auto" w:fill="FFFFFF"/>
        <w:tabs>
          <w:tab w:val="left" w:pos="4814"/>
        </w:tabs>
        <w:spacing w:after="235"/>
        <w:ind w:left="5"/>
        <w:sectPr w:rsidR="00591D54">
          <w:pgSz w:w="11909" w:h="16834"/>
          <w:pgMar w:top="1373" w:right="1309" w:bottom="360" w:left="1308" w:header="720" w:footer="720" w:gutter="0"/>
          <w:cols w:space="60"/>
          <w:noEndnote/>
        </w:sectPr>
      </w:pPr>
    </w:p>
    <w:p w14:paraId="4F67A392" w14:textId="77777777" w:rsidR="00591D54" w:rsidRDefault="00591D54">
      <w:pPr>
        <w:shd w:val="clear" w:color="auto" w:fill="FFFFFF"/>
        <w:spacing w:line="216" w:lineRule="exact"/>
        <w:ind w:left="283"/>
        <w:jc w:val="both"/>
      </w:pPr>
      <w:r>
        <w:rPr>
          <w:spacing w:val="-11"/>
          <w:sz w:val="18"/>
          <w:szCs w:val="18"/>
          <w:lang w:val="es-ES_tradnl"/>
        </w:rPr>
        <w:t>acordados por las l</w:t>
      </w:r>
      <w:r>
        <w:rPr>
          <w:rFonts w:cs="Times New Roman"/>
          <w:spacing w:val="-11"/>
          <w:sz w:val="18"/>
          <w:szCs w:val="18"/>
          <w:lang w:val="es-ES_tradnl"/>
        </w:rPr>
        <w:t>í</w:t>
      </w:r>
      <w:r>
        <w:rPr>
          <w:spacing w:val="-11"/>
          <w:sz w:val="18"/>
          <w:szCs w:val="18"/>
          <w:lang w:val="es-ES_tradnl"/>
        </w:rPr>
        <w:t>neas a</w:t>
      </w:r>
      <w:r>
        <w:rPr>
          <w:rFonts w:cs="Times New Roman"/>
          <w:spacing w:val="-11"/>
          <w:sz w:val="18"/>
          <w:szCs w:val="18"/>
          <w:lang w:val="es-ES_tradnl"/>
        </w:rPr>
        <w:t>é</w:t>
      </w:r>
      <w:r>
        <w:rPr>
          <w:spacing w:val="-11"/>
          <w:sz w:val="18"/>
          <w:szCs w:val="18"/>
          <w:lang w:val="es-ES_tradnl"/>
        </w:rPr>
        <w:t xml:space="preserve">reas designadas, aun cuando </w:t>
      </w:r>
      <w:r>
        <w:rPr>
          <w:spacing w:val="-8"/>
          <w:sz w:val="18"/>
          <w:szCs w:val="18"/>
          <w:lang w:val="es-ES_tradnl"/>
        </w:rPr>
        <w:t xml:space="preserve">dichos equipos y elementos se vayan a utilizar en una </w:t>
      </w:r>
      <w:r>
        <w:rPr>
          <w:spacing w:val="-9"/>
          <w:sz w:val="18"/>
          <w:szCs w:val="18"/>
          <w:lang w:val="es-ES_tradnl"/>
        </w:rPr>
        <w:t xml:space="preserve">parte del viaje que se realice sobre el territorio de la otra </w:t>
      </w:r>
      <w:r>
        <w:rPr>
          <w:sz w:val="18"/>
          <w:szCs w:val="18"/>
          <w:lang w:val="es-ES_tradnl"/>
        </w:rPr>
        <w:t>Parte Contratante;</w:t>
      </w:r>
    </w:p>
    <w:p w14:paraId="4F67A393" w14:textId="77777777" w:rsidR="00591D54" w:rsidRDefault="00591D54">
      <w:pPr>
        <w:shd w:val="clear" w:color="auto" w:fill="FFFFFF"/>
        <w:spacing w:before="197" w:line="216" w:lineRule="exact"/>
        <w:ind w:left="283"/>
        <w:jc w:val="both"/>
      </w:pPr>
      <w:r>
        <w:rPr>
          <w:spacing w:val="-3"/>
          <w:sz w:val="18"/>
          <w:szCs w:val="18"/>
          <w:lang w:val="es-ES_tradnl"/>
        </w:rPr>
        <w:t xml:space="preserve">(b) Las piezas de repuesto (incluidos motores) </w:t>
      </w:r>
      <w:r>
        <w:rPr>
          <w:spacing w:val="-7"/>
          <w:sz w:val="18"/>
          <w:szCs w:val="18"/>
          <w:lang w:val="es-ES_tradnl"/>
        </w:rPr>
        <w:t xml:space="preserve">introducidos en el territorio de la otra Parte Contratante </w:t>
      </w:r>
      <w:r>
        <w:rPr>
          <w:spacing w:val="-9"/>
          <w:sz w:val="18"/>
          <w:szCs w:val="18"/>
          <w:lang w:val="es-ES_tradnl"/>
        </w:rPr>
        <w:t>para el mantenimiento o la reparaci</w:t>
      </w:r>
      <w:r>
        <w:rPr>
          <w:rFonts w:cs="Times New Roman"/>
          <w:spacing w:val="-9"/>
          <w:sz w:val="18"/>
          <w:szCs w:val="18"/>
          <w:lang w:val="es-ES_tradnl"/>
        </w:rPr>
        <w:t>ó</w:t>
      </w:r>
      <w:r>
        <w:rPr>
          <w:spacing w:val="-9"/>
          <w:sz w:val="18"/>
          <w:szCs w:val="18"/>
          <w:lang w:val="es-ES_tradnl"/>
        </w:rPr>
        <w:t xml:space="preserve">n de las aeronaves </w:t>
      </w:r>
      <w:r>
        <w:rPr>
          <w:spacing w:val="-5"/>
          <w:sz w:val="18"/>
          <w:szCs w:val="18"/>
          <w:lang w:val="es-ES_tradnl"/>
        </w:rPr>
        <w:t>operadas en los servicios acordados por las l</w:t>
      </w:r>
      <w:r>
        <w:rPr>
          <w:rFonts w:cs="Times New Roman"/>
          <w:spacing w:val="-5"/>
          <w:sz w:val="18"/>
          <w:szCs w:val="18"/>
          <w:lang w:val="es-ES_tradnl"/>
        </w:rPr>
        <w:t>í</w:t>
      </w:r>
      <w:r>
        <w:rPr>
          <w:spacing w:val="-5"/>
          <w:sz w:val="18"/>
          <w:szCs w:val="18"/>
          <w:lang w:val="es-ES_tradnl"/>
        </w:rPr>
        <w:t xml:space="preserve">neas </w:t>
      </w:r>
      <w:r>
        <w:rPr>
          <w:sz w:val="18"/>
          <w:szCs w:val="18"/>
          <w:lang w:val="es-ES_tradnl"/>
        </w:rPr>
        <w:t>a</w:t>
      </w:r>
      <w:r>
        <w:rPr>
          <w:rFonts w:cs="Times New Roman"/>
          <w:sz w:val="18"/>
          <w:szCs w:val="18"/>
          <w:lang w:val="es-ES_tradnl"/>
        </w:rPr>
        <w:t>é</w:t>
      </w:r>
      <w:r>
        <w:rPr>
          <w:sz w:val="18"/>
          <w:szCs w:val="18"/>
          <w:lang w:val="es-ES_tradnl"/>
        </w:rPr>
        <w:t>reas designadas.</w:t>
      </w:r>
    </w:p>
    <w:p w14:paraId="4F67A394" w14:textId="77777777" w:rsidR="00591D54" w:rsidRDefault="00591D54">
      <w:pPr>
        <w:shd w:val="clear" w:color="auto" w:fill="FFFFFF"/>
        <w:tabs>
          <w:tab w:val="left" w:pos="254"/>
        </w:tabs>
        <w:spacing w:before="197" w:line="216" w:lineRule="exact"/>
        <w:jc w:val="both"/>
      </w:pPr>
      <w:r>
        <w:rPr>
          <w:spacing w:val="-6"/>
          <w:sz w:val="18"/>
          <w:szCs w:val="18"/>
          <w:lang w:val="es-ES_tradnl"/>
        </w:rPr>
        <w:t>(3)</w:t>
      </w:r>
      <w:r>
        <w:rPr>
          <w:sz w:val="18"/>
          <w:szCs w:val="18"/>
          <w:lang w:val="es-ES_tradnl"/>
        </w:rPr>
        <w:tab/>
      </w:r>
      <w:r>
        <w:rPr>
          <w:spacing w:val="-9"/>
          <w:sz w:val="18"/>
          <w:szCs w:val="18"/>
          <w:lang w:val="es-ES_tradnl"/>
        </w:rPr>
        <w:t>El equipo y los elementos contemplados en los p</w:t>
      </w:r>
      <w:r>
        <w:rPr>
          <w:rFonts w:cs="Times New Roman"/>
          <w:spacing w:val="-9"/>
          <w:sz w:val="18"/>
          <w:szCs w:val="18"/>
          <w:lang w:val="es-ES_tradnl"/>
        </w:rPr>
        <w:t>á</w:t>
      </w:r>
      <w:r>
        <w:rPr>
          <w:spacing w:val="-9"/>
          <w:sz w:val="18"/>
          <w:szCs w:val="18"/>
          <w:lang w:val="es-ES_tradnl"/>
        </w:rPr>
        <w:t>rrafos </w:t>
      </w:r>
      <w:r>
        <w:rPr>
          <w:spacing w:val="-6"/>
          <w:sz w:val="18"/>
          <w:szCs w:val="18"/>
          <w:lang w:val="es-ES_tradnl"/>
        </w:rPr>
        <w:t>(1) y (2) del presente Art</w:t>
      </w:r>
      <w:r>
        <w:rPr>
          <w:rFonts w:cs="Times New Roman"/>
          <w:spacing w:val="-6"/>
          <w:sz w:val="18"/>
          <w:szCs w:val="18"/>
          <w:lang w:val="es-ES_tradnl"/>
        </w:rPr>
        <w:t>í</w:t>
      </w:r>
      <w:r>
        <w:rPr>
          <w:spacing w:val="-6"/>
          <w:sz w:val="18"/>
          <w:szCs w:val="18"/>
          <w:lang w:val="es-ES_tradnl"/>
        </w:rPr>
        <w:t>culo podr</w:t>
      </w:r>
      <w:r>
        <w:rPr>
          <w:rFonts w:cs="Times New Roman"/>
          <w:spacing w:val="-6"/>
          <w:sz w:val="18"/>
          <w:szCs w:val="18"/>
          <w:lang w:val="es-ES_tradnl"/>
        </w:rPr>
        <w:t>á</w:t>
      </w:r>
      <w:r>
        <w:rPr>
          <w:spacing w:val="-6"/>
          <w:sz w:val="18"/>
          <w:szCs w:val="18"/>
          <w:lang w:val="es-ES_tradnl"/>
        </w:rPr>
        <w:t>n ser descargados en el territorio de la otra Parte Contratante con la aprobaci</w:t>
      </w:r>
      <w:r>
        <w:rPr>
          <w:rFonts w:cs="Times New Roman"/>
          <w:spacing w:val="-6"/>
          <w:sz w:val="18"/>
          <w:szCs w:val="18"/>
          <w:lang w:val="es-ES_tradnl"/>
        </w:rPr>
        <w:t>ó</w:t>
      </w:r>
      <w:r>
        <w:rPr>
          <w:spacing w:val="-6"/>
          <w:sz w:val="18"/>
          <w:szCs w:val="18"/>
          <w:lang w:val="es-ES_tradnl"/>
        </w:rPr>
        <w:t>n </w:t>
      </w:r>
      <w:r>
        <w:rPr>
          <w:spacing w:val="-9"/>
          <w:sz w:val="18"/>
          <w:szCs w:val="18"/>
          <w:lang w:val="es-ES_tradnl"/>
        </w:rPr>
        <w:t>de las Autoridades Aduaneras de la otra Parte Contratante. </w:t>
      </w:r>
      <w:r>
        <w:rPr>
          <w:spacing w:val="-12"/>
          <w:sz w:val="18"/>
          <w:szCs w:val="18"/>
          <w:lang w:val="es-ES_tradnl"/>
        </w:rPr>
        <w:t>Estos equipos y elementos se mantendr</w:t>
      </w:r>
      <w:r>
        <w:rPr>
          <w:rFonts w:cs="Times New Roman"/>
          <w:spacing w:val="-12"/>
          <w:sz w:val="18"/>
          <w:szCs w:val="18"/>
          <w:lang w:val="es-ES_tradnl"/>
        </w:rPr>
        <w:t>á</w:t>
      </w:r>
      <w:r>
        <w:rPr>
          <w:spacing w:val="-12"/>
          <w:sz w:val="18"/>
          <w:szCs w:val="18"/>
          <w:lang w:val="es-ES_tradnl"/>
        </w:rPr>
        <w:t>n bajo la supervisi</w:t>
      </w:r>
      <w:r>
        <w:rPr>
          <w:rFonts w:cs="Times New Roman"/>
          <w:spacing w:val="-12"/>
          <w:sz w:val="18"/>
          <w:szCs w:val="18"/>
          <w:lang w:val="es-ES_tradnl"/>
        </w:rPr>
        <w:t>ó</w:t>
      </w:r>
      <w:r>
        <w:rPr>
          <w:spacing w:val="-12"/>
          <w:sz w:val="18"/>
          <w:szCs w:val="18"/>
          <w:lang w:val="es-ES_tradnl"/>
        </w:rPr>
        <w:t>n </w:t>
      </w:r>
      <w:r>
        <w:rPr>
          <w:spacing w:val="-7"/>
          <w:sz w:val="18"/>
          <w:szCs w:val="18"/>
          <w:lang w:val="es-ES_tradnl"/>
        </w:rPr>
        <w:t>o el control de las Autoridades Aduaneras de la otra Parte </w:t>
      </w:r>
      <w:r>
        <w:rPr>
          <w:spacing w:val="-9"/>
          <w:sz w:val="18"/>
          <w:szCs w:val="18"/>
          <w:lang w:val="es-ES_tradnl"/>
        </w:rPr>
        <w:t>Contratante, hasta el momento en que sean reexportados o </w:t>
      </w:r>
      <w:r>
        <w:rPr>
          <w:spacing w:val="-10"/>
          <w:sz w:val="18"/>
          <w:szCs w:val="18"/>
          <w:lang w:val="es-ES_tradnl"/>
        </w:rPr>
        <w:t>hayan recibido otro destino de acuerdo con las regulaciones </w:t>
      </w:r>
      <w:r>
        <w:rPr>
          <w:sz w:val="18"/>
          <w:szCs w:val="18"/>
          <w:lang w:val="es-ES_tradnl"/>
        </w:rPr>
        <w:t>aduaneras de la otra Parte Contratante.</w:t>
      </w:r>
    </w:p>
    <w:p w14:paraId="4F67A395" w14:textId="77777777" w:rsidR="00591D54" w:rsidRDefault="00591D54" w:rsidP="00251195">
      <w:pPr>
        <w:numPr>
          <w:ilvl w:val="0"/>
          <w:numId w:val="14"/>
        </w:numPr>
        <w:shd w:val="clear" w:color="auto" w:fill="FFFFFF"/>
        <w:tabs>
          <w:tab w:val="left" w:pos="259"/>
        </w:tabs>
        <w:spacing w:before="192" w:line="216" w:lineRule="exact"/>
        <w:jc w:val="both"/>
        <w:rPr>
          <w:spacing w:val="-6"/>
          <w:sz w:val="18"/>
          <w:szCs w:val="18"/>
          <w:lang w:val="es-ES_tradnl"/>
        </w:rPr>
      </w:pPr>
      <w:r>
        <w:rPr>
          <w:spacing w:val="-5"/>
          <w:sz w:val="18"/>
          <w:szCs w:val="18"/>
          <w:lang w:val="es-ES_tradnl"/>
        </w:rPr>
        <w:t>La exenci</w:t>
      </w:r>
      <w:r>
        <w:rPr>
          <w:rFonts w:cs="Times New Roman"/>
          <w:spacing w:val="-5"/>
          <w:sz w:val="18"/>
          <w:szCs w:val="18"/>
          <w:lang w:val="es-ES_tradnl"/>
        </w:rPr>
        <w:t>ó</w:t>
      </w:r>
      <w:r>
        <w:rPr>
          <w:spacing w:val="-5"/>
          <w:sz w:val="18"/>
          <w:szCs w:val="18"/>
          <w:lang w:val="es-ES_tradnl"/>
        </w:rPr>
        <w:t>n dispuesta en los p</w:t>
      </w:r>
      <w:r>
        <w:rPr>
          <w:rFonts w:cs="Times New Roman"/>
          <w:spacing w:val="-5"/>
          <w:sz w:val="18"/>
          <w:szCs w:val="18"/>
          <w:lang w:val="es-ES_tradnl"/>
        </w:rPr>
        <w:t>á</w:t>
      </w:r>
      <w:r>
        <w:rPr>
          <w:spacing w:val="-5"/>
          <w:sz w:val="18"/>
          <w:szCs w:val="18"/>
          <w:lang w:val="es-ES_tradnl"/>
        </w:rPr>
        <w:t xml:space="preserve">rrafos (1) y (2) del </w:t>
      </w:r>
      <w:r>
        <w:rPr>
          <w:spacing w:val="-11"/>
          <w:sz w:val="18"/>
          <w:szCs w:val="18"/>
          <w:lang w:val="es-ES_tradnl"/>
        </w:rPr>
        <w:t>presente Art</w:t>
      </w:r>
      <w:r>
        <w:rPr>
          <w:rFonts w:cs="Times New Roman"/>
          <w:spacing w:val="-11"/>
          <w:sz w:val="18"/>
          <w:szCs w:val="18"/>
          <w:lang w:val="es-ES_tradnl"/>
        </w:rPr>
        <w:t>í</w:t>
      </w:r>
      <w:r>
        <w:rPr>
          <w:spacing w:val="-11"/>
          <w:sz w:val="18"/>
          <w:szCs w:val="18"/>
          <w:lang w:val="es-ES_tradnl"/>
        </w:rPr>
        <w:t>culo tambi</w:t>
      </w:r>
      <w:r>
        <w:rPr>
          <w:rFonts w:cs="Times New Roman"/>
          <w:spacing w:val="-11"/>
          <w:sz w:val="18"/>
          <w:szCs w:val="18"/>
          <w:lang w:val="es-ES_tradnl"/>
        </w:rPr>
        <w:t>é</w:t>
      </w:r>
      <w:r>
        <w:rPr>
          <w:spacing w:val="-11"/>
          <w:sz w:val="18"/>
          <w:szCs w:val="18"/>
          <w:lang w:val="es-ES_tradnl"/>
        </w:rPr>
        <w:t>n estar</w:t>
      </w:r>
      <w:r>
        <w:rPr>
          <w:rFonts w:cs="Times New Roman"/>
          <w:spacing w:val="-11"/>
          <w:sz w:val="18"/>
          <w:szCs w:val="18"/>
          <w:lang w:val="es-ES_tradnl"/>
        </w:rPr>
        <w:t>á</w:t>
      </w:r>
      <w:r>
        <w:rPr>
          <w:spacing w:val="-11"/>
          <w:sz w:val="18"/>
          <w:szCs w:val="18"/>
          <w:lang w:val="es-ES_tradnl"/>
        </w:rPr>
        <w:t xml:space="preserve"> disponible cuando una l</w:t>
      </w:r>
      <w:r>
        <w:rPr>
          <w:rFonts w:cs="Times New Roman"/>
          <w:spacing w:val="-11"/>
          <w:sz w:val="18"/>
          <w:szCs w:val="18"/>
          <w:lang w:val="es-ES_tradnl"/>
        </w:rPr>
        <w:t>í</w:t>
      </w:r>
      <w:r>
        <w:rPr>
          <w:spacing w:val="-11"/>
          <w:sz w:val="18"/>
          <w:szCs w:val="18"/>
          <w:lang w:val="es-ES_tradnl"/>
        </w:rPr>
        <w:t xml:space="preserve">nea </w:t>
      </w:r>
      <w:r>
        <w:rPr>
          <w:spacing w:val="-10"/>
          <w:sz w:val="18"/>
          <w:szCs w:val="18"/>
          <w:lang w:val="es-ES_tradnl"/>
        </w:rPr>
        <w:t>a</w:t>
      </w:r>
      <w:r>
        <w:rPr>
          <w:rFonts w:cs="Times New Roman"/>
          <w:spacing w:val="-10"/>
          <w:sz w:val="18"/>
          <w:szCs w:val="18"/>
          <w:lang w:val="es-ES_tradnl"/>
        </w:rPr>
        <w:t>é</w:t>
      </w:r>
      <w:r>
        <w:rPr>
          <w:spacing w:val="-10"/>
          <w:sz w:val="18"/>
          <w:szCs w:val="18"/>
          <w:lang w:val="es-ES_tradnl"/>
        </w:rPr>
        <w:t xml:space="preserve">rea designada de una Parte Contratante haya contratado </w:t>
      </w:r>
      <w:r>
        <w:rPr>
          <w:spacing w:val="-8"/>
          <w:sz w:val="18"/>
          <w:szCs w:val="18"/>
          <w:lang w:val="es-ES_tradnl"/>
        </w:rPr>
        <w:t>con otras l</w:t>
      </w:r>
      <w:r>
        <w:rPr>
          <w:rFonts w:cs="Times New Roman"/>
          <w:spacing w:val="-8"/>
          <w:sz w:val="18"/>
          <w:szCs w:val="18"/>
          <w:lang w:val="es-ES_tradnl"/>
        </w:rPr>
        <w:t>í</w:t>
      </w:r>
      <w:r>
        <w:rPr>
          <w:spacing w:val="-8"/>
          <w:sz w:val="18"/>
          <w:szCs w:val="18"/>
          <w:lang w:val="es-ES_tradnl"/>
        </w:rPr>
        <w:t>neas a</w:t>
      </w:r>
      <w:r>
        <w:rPr>
          <w:rFonts w:cs="Times New Roman"/>
          <w:spacing w:val="-8"/>
          <w:sz w:val="18"/>
          <w:szCs w:val="18"/>
          <w:lang w:val="es-ES_tradnl"/>
        </w:rPr>
        <w:t>é</w:t>
      </w:r>
      <w:r>
        <w:rPr>
          <w:spacing w:val="-8"/>
          <w:sz w:val="18"/>
          <w:szCs w:val="18"/>
          <w:lang w:val="es-ES_tradnl"/>
        </w:rPr>
        <w:t xml:space="preserve">reas que igualmente disfrutan de tales </w:t>
      </w:r>
      <w:r>
        <w:rPr>
          <w:spacing w:val="-9"/>
          <w:sz w:val="18"/>
          <w:szCs w:val="18"/>
          <w:lang w:val="es-ES_tradnl"/>
        </w:rPr>
        <w:t xml:space="preserve">exenciones en el territorio de la otra Parte Contratante, para </w:t>
      </w:r>
      <w:r>
        <w:rPr>
          <w:spacing w:val="-7"/>
          <w:sz w:val="18"/>
          <w:szCs w:val="18"/>
          <w:lang w:val="es-ES_tradnl"/>
        </w:rPr>
        <w:t>el pr</w:t>
      </w:r>
      <w:r>
        <w:rPr>
          <w:rFonts w:cs="Times New Roman"/>
          <w:spacing w:val="-7"/>
          <w:sz w:val="18"/>
          <w:szCs w:val="18"/>
          <w:lang w:val="es-ES_tradnl"/>
        </w:rPr>
        <w:t>é</w:t>
      </w:r>
      <w:r>
        <w:rPr>
          <w:spacing w:val="-7"/>
          <w:sz w:val="18"/>
          <w:szCs w:val="18"/>
          <w:lang w:val="es-ES_tradnl"/>
        </w:rPr>
        <w:t xml:space="preserve">stamo o transferencia en el territorio de la otra Parte </w:t>
      </w:r>
      <w:r>
        <w:rPr>
          <w:spacing w:val="-8"/>
          <w:sz w:val="18"/>
          <w:szCs w:val="18"/>
          <w:lang w:val="es-ES_tradnl"/>
        </w:rPr>
        <w:t xml:space="preserve">Contratante de los equipos y elementos que se indican en </w:t>
      </w:r>
      <w:r>
        <w:rPr>
          <w:spacing w:val="-6"/>
          <w:sz w:val="18"/>
          <w:szCs w:val="18"/>
          <w:lang w:val="es-ES_tradnl"/>
        </w:rPr>
        <w:t>los p</w:t>
      </w:r>
      <w:r>
        <w:rPr>
          <w:rFonts w:cs="Times New Roman"/>
          <w:spacing w:val="-6"/>
          <w:sz w:val="18"/>
          <w:szCs w:val="18"/>
          <w:lang w:val="es-ES_tradnl"/>
        </w:rPr>
        <w:t>á</w:t>
      </w:r>
      <w:r>
        <w:rPr>
          <w:spacing w:val="-6"/>
          <w:sz w:val="18"/>
          <w:szCs w:val="18"/>
          <w:lang w:val="es-ES_tradnl"/>
        </w:rPr>
        <w:t>rrafos (1) y (2) del presente Art</w:t>
      </w:r>
      <w:r>
        <w:rPr>
          <w:rFonts w:cs="Times New Roman"/>
          <w:spacing w:val="-6"/>
          <w:sz w:val="18"/>
          <w:szCs w:val="18"/>
          <w:lang w:val="es-ES_tradnl"/>
        </w:rPr>
        <w:t>í</w:t>
      </w:r>
      <w:r>
        <w:rPr>
          <w:spacing w:val="-6"/>
          <w:sz w:val="18"/>
          <w:szCs w:val="18"/>
          <w:lang w:val="es-ES_tradnl"/>
        </w:rPr>
        <w:t>culo.</w:t>
      </w:r>
    </w:p>
    <w:p w14:paraId="4F67A396" w14:textId="77777777" w:rsidR="00591D54" w:rsidRDefault="00591D54" w:rsidP="00251195">
      <w:pPr>
        <w:numPr>
          <w:ilvl w:val="0"/>
          <w:numId w:val="14"/>
        </w:numPr>
        <w:shd w:val="clear" w:color="auto" w:fill="FFFFFF"/>
        <w:tabs>
          <w:tab w:val="left" w:pos="259"/>
        </w:tabs>
        <w:spacing w:before="192" w:line="216" w:lineRule="exact"/>
        <w:jc w:val="both"/>
        <w:rPr>
          <w:spacing w:val="-6"/>
          <w:sz w:val="18"/>
          <w:szCs w:val="18"/>
          <w:lang w:val="es-ES_tradnl"/>
        </w:rPr>
      </w:pPr>
      <w:r>
        <w:rPr>
          <w:spacing w:val="-10"/>
          <w:sz w:val="18"/>
          <w:szCs w:val="18"/>
          <w:lang w:val="es-ES_tradnl"/>
        </w:rPr>
        <w:t>Reservas de boletos a</w:t>
      </w:r>
      <w:r>
        <w:rPr>
          <w:rFonts w:cs="Times New Roman"/>
          <w:spacing w:val="-10"/>
          <w:sz w:val="18"/>
          <w:szCs w:val="18"/>
          <w:lang w:val="es-ES_tradnl"/>
        </w:rPr>
        <w:t>é</w:t>
      </w:r>
      <w:r>
        <w:rPr>
          <w:spacing w:val="-10"/>
          <w:sz w:val="18"/>
          <w:szCs w:val="18"/>
          <w:lang w:val="es-ES_tradnl"/>
        </w:rPr>
        <w:t xml:space="preserve">reos impresos, conocimientos de </w:t>
      </w:r>
      <w:r>
        <w:rPr>
          <w:spacing w:val="-5"/>
          <w:sz w:val="18"/>
          <w:szCs w:val="18"/>
          <w:lang w:val="es-ES_tradnl"/>
        </w:rPr>
        <w:t>embarque a</w:t>
      </w:r>
      <w:r>
        <w:rPr>
          <w:rFonts w:cs="Times New Roman"/>
          <w:spacing w:val="-5"/>
          <w:sz w:val="18"/>
          <w:szCs w:val="18"/>
          <w:lang w:val="es-ES_tradnl"/>
        </w:rPr>
        <w:t>é</w:t>
      </w:r>
      <w:r>
        <w:rPr>
          <w:spacing w:val="-5"/>
          <w:sz w:val="18"/>
          <w:szCs w:val="18"/>
          <w:lang w:val="es-ES_tradnl"/>
        </w:rPr>
        <w:t xml:space="preserve">reo y materiales de publicidad introducidos </w:t>
      </w:r>
      <w:r>
        <w:rPr>
          <w:spacing w:val="-9"/>
          <w:sz w:val="18"/>
          <w:szCs w:val="18"/>
          <w:lang w:val="es-ES_tradnl"/>
        </w:rPr>
        <w:t>por las l</w:t>
      </w:r>
      <w:r>
        <w:rPr>
          <w:rFonts w:cs="Times New Roman"/>
          <w:spacing w:val="-9"/>
          <w:sz w:val="18"/>
          <w:szCs w:val="18"/>
          <w:lang w:val="es-ES_tradnl"/>
        </w:rPr>
        <w:t>í</w:t>
      </w:r>
      <w:r>
        <w:rPr>
          <w:spacing w:val="-9"/>
          <w:sz w:val="18"/>
          <w:szCs w:val="18"/>
          <w:lang w:val="es-ES_tradnl"/>
        </w:rPr>
        <w:t>neas a</w:t>
      </w:r>
      <w:r>
        <w:rPr>
          <w:rFonts w:cs="Times New Roman"/>
          <w:spacing w:val="-9"/>
          <w:sz w:val="18"/>
          <w:szCs w:val="18"/>
          <w:lang w:val="es-ES_tradnl"/>
        </w:rPr>
        <w:t>é</w:t>
      </w:r>
      <w:r>
        <w:rPr>
          <w:spacing w:val="-9"/>
          <w:sz w:val="18"/>
          <w:szCs w:val="18"/>
          <w:lang w:val="es-ES_tradnl"/>
        </w:rPr>
        <w:t>reas designadas de una Parte Contratante en el territorio de la otra Parte Contratante, estar</w:t>
      </w:r>
      <w:r>
        <w:rPr>
          <w:rFonts w:cs="Times New Roman"/>
          <w:spacing w:val="-9"/>
          <w:sz w:val="18"/>
          <w:szCs w:val="18"/>
          <w:lang w:val="es-ES_tradnl"/>
        </w:rPr>
        <w:t>á</w:t>
      </w:r>
      <w:r>
        <w:rPr>
          <w:spacing w:val="-9"/>
          <w:sz w:val="18"/>
          <w:szCs w:val="18"/>
          <w:lang w:val="es-ES_tradnl"/>
        </w:rPr>
        <w:t xml:space="preserve">n exentos, </w:t>
      </w:r>
      <w:r>
        <w:rPr>
          <w:spacing w:val="-8"/>
          <w:sz w:val="18"/>
          <w:szCs w:val="18"/>
          <w:lang w:val="es-ES_tradnl"/>
        </w:rPr>
        <w:t xml:space="preserve">sobre la base de la reciprocidad, de todos los derechos de </w:t>
      </w:r>
      <w:r>
        <w:rPr>
          <w:spacing w:val="-7"/>
          <w:sz w:val="18"/>
          <w:szCs w:val="18"/>
          <w:lang w:val="es-ES_tradnl"/>
        </w:rPr>
        <w:t>aduana, impuestos, tasas de inspecci</w:t>
      </w:r>
      <w:r>
        <w:rPr>
          <w:rFonts w:cs="Times New Roman"/>
          <w:spacing w:val="-7"/>
          <w:sz w:val="18"/>
          <w:szCs w:val="18"/>
          <w:lang w:val="es-ES_tradnl"/>
        </w:rPr>
        <w:t>ó</w:t>
      </w:r>
      <w:r>
        <w:rPr>
          <w:spacing w:val="-7"/>
          <w:sz w:val="18"/>
          <w:szCs w:val="18"/>
          <w:lang w:val="es-ES_tradnl"/>
        </w:rPr>
        <w:t xml:space="preserve">n y otras tarifas y </w:t>
      </w:r>
      <w:r>
        <w:rPr>
          <w:sz w:val="18"/>
          <w:szCs w:val="18"/>
          <w:lang w:val="es-ES_tradnl"/>
        </w:rPr>
        <w:t>cobros similares.</w:t>
      </w:r>
    </w:p>
    <w:p w14:paraId="4F67A397" w14:textId="77777777" w:rsidR="00591D54" w:rsidRDefault="00591D54" w:rsidP="00251195">
      <w:pPr>
        <w:numPr>
          <w:ilvl w:val="0"/>
          <w:numId w:val="14"/>
        </w:numPr>
        <w:shd w:val="clear" w:color="auto" w:fill="FFFFFF"/>
        <w:tabs>
          <w:tab w:val="left" w:pos="259"/>
        </w:tabs>
        <w:spacing w:before="192" w:line="216" w:lineRule="exact"/>
        <w:ind w:right="5"/>
        <w:jc w:val="both"/>
        <w:rPr>
          <w:spacing w:val="-6"/>
          <w:sz w:val="18"/>
          <w:szCs w:val="18"/>
          <w:lang w:val="es-ES_tradnl"/>
        </w:rPr>
      </w:pPr>
      <w:r>
        <w:rPr>
          <w:spacing w:val="-6"/>
          <w:sz w:val="18"/>
          <w:szCs w:val="18"/>
          <w:lang w:val="es-ES_tradnl"/>
        </w:rPr>
        <w:t>Art</w:t>
      </w:r>
      <w:r>
        <w:rPr>
          <w:rFonts w:cs="Times New Roman"/>
          <w:spacing w:val="-6"/>
          <w:sz w:val="18"/>
          <w:szCs w:val="18"/>
          <w:lang w:val="es-ES_tradnl"/>
        </w:rPr>
        <w:t>í</w:t>
      </w:r>
      <w:r>
        <w:rPr>
          <w:spacing w:val="-6"/>
          <w:sz w:val="18"/>
          <w:szCs w:val="18"/>
          <w:lang w:val="es-ES_tradnl"/>
        </w:rPr>
        <w:t>culos de oficina, veh</w:t>
      </w:r>
      <w:r>
        <w:rPr>
          <w:rFonts w:cs="Times New Roman"/>
          <w:spacing w:val="-6"/>
          <w:sz w:val="18"/>
          <w:szCs w:val="18"/>
          <w:lang w:val="es-ES_tradnl"/>
        </w:rPr>
        <w:t>í</w:t>
      </w:r>
      <w:r>
        <w:rPr>
          <w:spacing w:val="-6"/>
          <w:sz w:val="18"/>
          <w:szCs w:val="18"/>
          <w:lang w:val="es-ES_tradnl"/>
        </w:rPr>
        <w:t xml:space="preserve">culos para uso de la oficina, </w:t>
      </w:r>
      <w:r>
        <w:rPr>
          <w:spacing w:val="-5"/>
          <w:sz w:val="18"/>
          <w:szCs w:val="18"/>
          <w:lang w:val="es-ES_tradnl"/>
        </w:rPr>
        <w:t>veh</w:t>
      </w:r>
      <w:r>
        <w:rPr>
          <w:rFonts w:cs="Times New Roman"/>
          <w:spacing w:val="-5"/>
          <w:sz w:val="18"/>
          <w:szCs w:val="18"/>
          <w:lang w:val="es-ES_tradnl"/>
        </w:rPr>
        <w:t>í</w:t>
      </w:r>
      <w:r>
        <w:rPr>
          <w:spacing w:val="-5"/>
          <w:sz w:val="18"/>
          <w:szCs w:val="18"/>
          <w:lang w:val="es-ES_tradnl"/>
        </w:rPr>
        <w:t>culos para uso especial en el aeropuerto, veh</w:t>
      </w:r>
      <w:r>
        <w:rPr>
          <w:rFonts w:cs="Times New Roman"/>
          <w:spacing w:val="-5"/>
          <w:sz w:val="18"/>
          <w:szCs w:val="18"/>
          <w:lang w:val="es-ES_tradnl"/>
        </w:rPr>
        <w:t>í</w:t>
      </w:r>
      <w:r>
        <w:rPr>
          <w:spacing w:val="-5"/>
          <w:sz w:val="18"/>
          <w:szCs w:val="18"/>
          <w:lang w:val="es-ES_tradnl"/>
        </w:rPr>
        <w:t xml:space="preserve">culos </w:t>
      </w:r>
      <w:r>
        <w:rPr>
          <w:spacing w:val="-4"/>
          <w:sz w:val="18"/>
          <w:szCs w:val="18"/>
          <w:lang w:val="es-ES_tradnl"/>
        </w:rPr>
        <w:t>tipo bus (excluyendo autom</w:t>
      </w:r>
      <w:r>
        <w:rPr>
          <w:rFonts w:cs="Times New Roman"/>
          <w:spacing w:val="-4"/>
          <w:sz w:val="18"/>
          <w:szCs w:val="18"/>
          <w:lang w:val="es-ES_tradnl"/>
        </w:rPr>
        <w:t>ó</w:t>
      </w:r>
      <w:r>
        <w:rPr>
          <w:spacing w:val="-4"/>
          <w:sz w:val="18"/>
          <w:szCs w:val="18"/>
          <w:lang w:val="es-ES_tradnl"/>
        </w:rPr>
        <w:t xml:space="preserve">viles) para el transporte de </w:t>
      </w:r>
      <w:r>
        <w:rPr>
          <w:spacing w:val="-2"/>
          <w:sz w:val="18"/>
          <w:szCs w:val="18"/>
          <w:lang w:val="es-ES_tradnl"/>
        </w:rPr>
        <w:t>los miembros de la tripulaci</w:t>
      </w:r>
      <w:r>
        <w:rPr>
          <w:rFonts w:cs="Times New Roman"/>
          <w:spacing w:val="-2"/>
          <w:sz w:val="18"/>
          <w:szCs w:val="18"/>
          <w:lang w:val="es-ES_tradnl"/>
        </w:rPr>
        <w:t>ó</w:t>
      </w:r>
      <w:r>
        <w:rPr>
          <w:spacing w:val="-2"/>
          <w:sz w:val="18"/>
          <w:szCs w:val="18"/>
          <w:lang w:val="es-ES_tradnl"/>
        </w:rPr>
        <w:t>n y su equipaje, as</w:t>
      </w:r>
      <w:r>
        <w:rPr>
          <w:rFonts w:cs="Times New Roman"/>
          <w:spacing w:val="-2"/>
          <w:sz w:val="18"/>
          <w:szCs w:val="18"/>
          <w:lang w:val="es-ES_tradnl"/>
        </w:rPr>
        <w:t>í</w:t>
      </w:r>
      <w:r>
        <w:rPr>
          <w:spacing w:val="-2"/>
          <w:sz w:val="18"/>
          <w:szCs w:val="18"/>
          <w:lang w:val="es-ES_tradnl"/>
        </w:rPr>
        <w:t xml:space="preserve"> como </w:t>
      </w:r>
      <w:r>
        <w:rPr>
          <w:spacing w:val="-6"/>
          <w:sz w:val="18"/>
          <w:szCs w:val="18"/>
          <w:lang w:val="es-ES_tradnl"/>
        </w:rPr>
        <w:t xml:space="preserve">los sistemas de reservaciones computarizadas y equipos </w:t>
      </w:r>
      <w:r>
        <w:rPr>
          <w:spacing w:val="-7"/>
          <w:sz w:val="18"/>
          <w:szCs w:val="18"/>
          <w:lang w:val="es-ES_tradnl"/>
        </w:rPr>
        <w:t>de comunicaci</w:t>
      </w:r>
      <w:r>
        <w:rPr>
          <w:rFonts w:cs="Times New Roman"/>
          <w:spacing w:val="-7"/>
          <w:sz w:val="18"/>
          <w:szCs w:val="18"/>
          <w:lang w:val="es-ES_tradnl"/>
        </w:rPr>
        <w:t>ó</w:t>
      </w:r>
      <w:r>
        <w:rPr>
          <w:spacing w:val="-7"/>
          <w:sz w:val="18"/>
          <w:szCs w:val="18"/>
          <w:lang w:val="es-ES_tradnl"/>
        </w:rPr>
        <w:t xml:space="preserve">n, incluidas sus piezas de repuesto de la </w:t>
      </w:r>
      <w:r>
        <w:rPr>
          <w:spacing w:val="-12"/>
          <w:sz w:val="18"/>
          <w:szCs w:val="18"/>
          <w:lang w:val="es-ES_tradnl"/>
        </w:rPr>
        <w:t>representaci</w:t>
      </w:r>
      <w:r>
        <w:rPr>
          <w:rFonts w:cs="Times New Roman"/>
          <w:spacing w:val="-12"/>
          <w:sz w:val="18"/>
          <w:szCs w:val="18"/>
          <w:lang w:val="es-ES_tradnl"/>
        </w:rPr>
        <w:t>ó</w:t>
      </w:r>
      <w:r>
        <w:rPr>
          <w:spacing w:val="-12"/>
          <w:sz w:val="18"/>
          <w:szCs w:val="18"/>
          <w:lang w:val="es-ES_tradnl"/>
        </w:rPr>
        <w:t>n de las l</w:t>
      </w:r>
      <w:r>
        <w:rPr>
          <w:rFonts w:cs="Times New Roman"/>
          <w:spacing w:val="-12"/>
          <w:sz w:val="18"/>
          <w:szCs w:val="18"/>
          <w:lang w:val="es-ES_tradnl"/>
        </w:rPr>
        <w:t>í</w:t>
      </w:r>
      <w:r>
        <w:rPr>
          <w:spacing w:val="-12"/>
          <w:sz w:val="18"/>
          <w:szCs w:val="18"/>
          <w:lang w:val="es-ES_tradnl"/>
        </w:rPr>
        <w:t>neas a</w:t>
      </w:r>
      <w:r>
        <w:rPr>
          <w:rFonts w:cs="Times New Roman"/>
          <w:spacing w:val="-12"/>
          <w:sz w:val="18"/>
          <w:szCs w:val="18"/>
          <w:lang w:val="es-ES_tradnl"/>
        </w:rPr>
        <w:t>é</w:t>
      </w:r>
      <w:r>
        <w:rPr>
          <w:spacing w:val="-12"/>
          <w:sz w:val="18"/>
          <w:szCs w:val="18"/>
          <w:lang w:val="es-ES_tradnl"/>
        </w:rPr>
        <w:t xml:space="preserve">reas designadas de cualquiera </w:t>
      </w:r>
      <w:r>
        <w:rPr>
          <w:spacing w:val="-11"/>
          <w:sz w:val="18"/>
          <w:szCs w:val="18"/>
          <w:lang w:val="es-ES_tradnl"/>
        </w:rPr>
        <w:t>de las Partes Contratantes deber</w:t>
      </w:r>
      <w:r>
        <w:rPr>
          <w:rFonts w:cs="Times New Roman"/>
          <w:spacing w:val="-11"/>
          <w:sz w:val="18"/>
          <w:szCs w:val="18"/>
          <w:lang w:val="es-ES_tradnl"/>
        </w:rPr>
        <w:t>á</w:t>
      </w:r>
      <w:r>
        <w:rPr>
          <w:spacing w:val="-11"/>
          <w:sz w:val="18"/>
          <w:szCs w:val="18"/>
          <w:lang w:val="es-ES_tradnl"/>
        </w:rPr>
        <w:t xml:space="preserve">n, cuando se introducen en </w:t>
      </w:r>
      <w:r>
        <w:rPr>
          <w:spacing w:val="-6"/>
          <w:sz w:val="18"/>
          <w:szCs w:val="18"/>
          <w:lang w:val="es-ES_tradnl"/>
        </w:rPr>
        <w:t xml:space="preserve">el territorio de la otra Parte Contratante, estar exentos de </w:t>
      </w:r>
      <w:r>
        <w:rPr>
          <w:spacing w:val="-10"/>
          <w:sz w:val="18"/>
          <w:szCs w:val="18"/>
          <w:lang w:val="es-ES_tradnl"/>
        </w:rPr>
        <w:t>derechos de aduana y otros derechos de importaci</w:t>
      </w:r>
      <w:r>
        <w:rPr>
          <w:rFonts w:cs="Times New Roman"/>
          <w:spacing w:val="-10"/>
          <w:sz w:val="18"/>
          <w:szCs w:val="18"/>
          <w:lang w:val="es-ES_tradnl"/>
        </w:rPr>
        <w:t>ó</w:t>
      </w:r>
      <w:r>
        <w:rPr>
          <w:spacing w:val="-10"/>
          <w:sz w:val="18"/>
          <w:szCs w:val="18"/>
          <w:lang w:val="es-ES_tradnl"/>
        </w:rPr>
        <w:t xml:space="preserve">n, sobre </w:t>
      </w:r>
      <w:r>
        <w:rPr>
          <w:spacing w:val="-7"/>
          <w:sz w:val="18"/>
          <w:szCs w:val="18"/>
          <w:lang w:val="es-ES_tradnl"/>
        </w:rPr>
        <w:t xml:space="preserve">la base de la reciprocidad, siempre que estos suministros </w:t>
      </w:r>
      <w:r>
        <w:rPr>
          <w:spacing w:val="-12"/>
          <w:sz w:val="18"/>
          <w:szCs w:val="18"/>
          <w:lang w:val="es-ES_tradnl"/>
        </w:rPr>
        <w:t>est</w:t>
      </w:r>
      <w:r>
        <w:rPr>
          <w:rFonts w:cs="Times New Roman"/>
          <w:spacing w:val="-12"/>
          <w:sz w:val="18"/>
          <w:szCs w:val="18"/>
          <w:lang w:val="es-ES_tradnl"/>
        </w:rPr>
        <w:t>á</w:t>
      </w:r>
      <w:r>
        <w:rPr>
          <w:spacing w:val="-12"/>
          <w:sz w:val="18"/>
          <w:szCs w:val="18"/>
          <w:lang w:val="es-ES_tradnl"/>
        </w:rPr>
        <w:t>n destinados al uso propio de la l</w:t>
      </w:r>
      <w:r>
        <w:rPr>
          <w:rFonts w:cs="Times New Roman"/>
          <w:spacing w:val="-12"/>
          <w:sz w:val="18"/>
          <w:szCs w:val="18"/>
          <w:lang w:val="es-ES_tradnl"/>
        </w:rPr>
        <w:t>í</w:t>
      </w:r>
      <w:r>
        <w:rPr>
          <w:spacing w:val="-12"/>
          <w:sz w:val="18"/>
          <w:szCs w:val="18"/>
          <w:lang w:val="es-ES_tradnl"/>
        </w:rPr>
        <w:t>nea a</w:t>
      </w:r>
      <w:r>
        <w:rPr>
          <w:rFonts w:cs="Times New Roman"/>
          <w:spacing w:val="-12"/>
          <w:sz w:val="18"/>
          <w:szCs w:val="18"/>
          <w:lang w:val="es-ES_tradnl"/>
        </w:rPr>
        <w:t>é</w:t>
      </w:r>
      <w:r>
        <w:rPr>
          <w:spacing w:val="-12"/>
          <w:sz w:val="18"/>
          <w:szCs w:val="18"/>
          <w:lang w:val="es-ES_tradnl"/>
        </w:rPr>
        <w:t xml:space="preserve">rea y no excedan </w:t>
      </w:r>
      <w:r>
        <w:rPr>
          <w:sz w:val="18"/>
          <w:szCs w:val="18"/>
          <w:lang w:val="es-ES_tradnl"/>
        </w:rPr>
        <w:t>el l</w:t>
      </w:r>
      <w:r>
        <w:rPr>
          <w:rFonts w:cs="Times New Roman"/>
          <w:sz w:val="18"/>
          <w:szCs w:val="18"/>
          <w:lang w:val="es-ES_tradnl"/>
        </w:rPr>
        <w:t>í</w:t>
      </w:r>
      <w:r>
        <w:rPr>
          <w:sz w:val="18"/>
          <w:szCs w:val="18"/>
          <w:lang w:val="es-ES_tradnl"/>
        </w:rPr>
        <w:t>mite razonable.</w:t>
      </w:r>
    </w:p>
    <w:p w14:paraId="4F67A398" w14:textId="77777777" w:rsidR="00591D54" w:rsidRDefault="00591D54">
      <w:pPr>
        <w:shd w:val="clear" w:color="auto" w:fill="FFFFFF"/>
        <w:tabs>
          <w:tab w:val="left" w:pos="302"/>
        </w:tabs>
        <w:spacing w:before="192" w:line="216" w:lineRule="exact"/>
        <w:ind w:right="5"/>
        <w:jc w:val="both"/>
      </w:pPr>
      <w:r>
        <w:rPr>
          <w:spacing w:val="-6"/>
          <w:sz w:val="18"/>
          <w:szCs w:val="18"/>
          <w:lang w:val="es-ES_tradnl"/>
        </w:rPr>
        <w:t>(7)</w:t>
      </w:r>
      <w:r>
        <w:rPr>
          <w:sz w:val="18"/>
          <w:szCs w:val="18"/>
          <w:lang w:val="es-ES_tradnl"/>
        </w:rPr>
        <w:tab/>
      </w:r>
      <w:r>
        <w:rPr>
          <w:spacing w:val="-6"/>
          <w:sz w:val="18"/>
          <w:szCs w:val="18"/>
          <w:lang w:val="es-ES_tradnl"/>
        </w:rPr>
        <w:t>Equipaje, carga y correo en tr</w:t>
      </w:r>
      <w:r>
        <w:rPr>
          <w:rFonts w:cs="Times New Roman"/>
          <w:spacing w:val="-6"/>
          <w:sz w:val="18"/>
          <w:szCs w:val="18"/>
          <w:lang w:val="es-ES_tradnl"/>
        </w:rPr>
        <w:t>á</w:t>
      </w:r>
      <w:r>
        <w:rPr>
          <w:spacing w:val="-6"/>
          <w:sz w:val="18"/>
          <w:szCs w:val="18"/>
          <w:lang w:val="es-ES_tradnl"/>
        </w:rPr>
        <w:t>nsito directo estar</w:t>
      </w:r>
      <w:r>
        <w:rPr>
          <w:rFonts w:cs="Times New Roman"/>
          <w:spacing w:val="-6"/>
          <w:sz w:val="18"/>
          <w:szCs w:val="18"/>
          <w:lang w:val="es-ES_tradnl"/>
        </w:rPr>
        <w:t>á</w:t>
      </w:r>
      <w:r>
        <w:rPr>
          <w:spacing w:val="-6"/>
          <w:sz w:val="18"/>
          <w:szCs w:val="18"/>
          <w:lang w:val="es-ES_tradnl"/>
        </w:rPr>
        <w:t>n </w:t>
      </w:r>
      <w:r>
        <w:rPr>
          <w:spacing w:val="-10"/>
          <w:sz w:val="18"/>
          <w:szCs w:val="18"/>
          <w:lang w:val="es-ES_tradnl"/>
        </w:rPr>
        <w:t>exentos de todos los derechos de aduana, impuestos, tasas </w:t>
      </w:r>
      <w:r>
        <w:rPr>
          <w:spacing w:val="-6"/>
          <w:sz w:val="18"/>
          <w:szCs w:val="18"/>
          <w:lang w:val="es-ES_tradnl"/>
        </w:rPr>
        <w:t>de inspecci</w:t>
      </w:r>
      <w:r>
        <w:rPr>
          <w:rFonts w:cs="Times New Roman"/>
          <w:spacing w:val="-6"/>
          <w:sz w:val="18"/>
          <w:szCs w:val="18"/>
          <w:lang w:val="es-ES_tradnl"/>
        </w:rPr>
        <w:t>ó</w:t>
      </w:r>
      <w:r>
        <w:rPr>
          <w:spacing w:val="-6"/>
          <w:sz w:val="18"/>
          <w:szCs w:val="18"/>
          <w:lang w:val="es-ES_tradnl"/>
        </w:rPr>
        <w:t>n y otras tarifas y cobros similares, sobre la </w:t>
      </w:r>
      <w:r>
        <w:rPr>
          <w:spacing w:val="-7"/>
          <w:sz w:val="18"/>
          <w:szCs w:val="18"/>
          <w:lang w:val="es-ES_tradnl"/>
        </w:rPr>
        <w:t>base de la reciprocidad, con la excepci</w:t>
      </w:r>
      <w:r>
        <w:rPr>
          <w:rFonts w:cs="Times New Roman"/>
          <w:spacing w:val="-7"/>
          <w:sz w:val="18"/>
          <w:szCs w:val="18"/>
          <w:lang w:val="es-ES_tradnl"/>
        </w:rPr>
        <w:t>ó</w:t>
      </w:r>
      <w:r>
        <w:rPr>
          <w:spacing w:val="-7"/>
          <w:sz w:val="18"/>
          <w:szCs w:val="18"/>
          <w:lang w:val="es-ES_tradnl"/>
        </w:rPr>
        <w:t>n de los cobros </w:t>
      </w:r>
      <w:r>
        <w:rPr>
          <w:spacing w:val="-8"/>
          <w:sz w:val="18"/>
          <w:szCs w:val="18"/>
          <w:lang w:val="es-ES_tradnl"/>
        </w:rPr>
        <w:t>correspondientes a los servicios prestados.</w:t>
      </w:r>
    </w:p>
    <w:p w14:paraId="4F67A399" w14:textId="77777777" w:rsidR="00591D54" w:rsidRDefault="00591D54">
      <w:pPr>
        <w:shd w:val="clear" w:color="auto" w:fill="FFFFFF"/>
        <w:spacing w:before="192" w:line="216" w:lineRule="exact"/>
        <w:ind w:left="1555" w:right="1560"/>
        <w:jc w:val="center"/>
      </w:pPr>
      <w:r>
        <w:rPr>
          <w:b/>
          <w:bCs/>
          <w:spacing w:val="-1"/>
          <w:sz w:val="18"/>
          <w:szCs w:val="18"/>
          <w:lang w:val="es-ES_tradnl"/>
        </w:rPr>
        <w:t>ART</w:t>
      </w:r>
      <w:r>
        <w:rPr>
          <w:rFonts w:cs="Times New Roman"/>
          <w:b/>
          <w:bCs/>
          <w:spacing w:val="-1"/>
          <w:sz w:val="18"/>
          <w:szCs w:val="18"/>
          <w:lang w:val="es-ES_tradnl"/>
        </w:rPr>
        <w:t>Í</w:t>
      </w:r>
      <w:r>
        <w:rPr>
          <w:b/>
          <w:bCs/>
          <w:spacing w:val="-1"/>
          <w:sz w:val="18"/>
          <w:szCs w:val="18"/>
          <w:lang w:val="es-ES_tradnl"/>
        </w:rPr>
        <w:t xml:space="preserve">CULO 12 </w:t>
      </w:r>
      <w:r>
        <w:rPr>
          <w:b/>
          <w:bCs/>
          <w:spacing w:val="-8"/>
          <w:sz w:val="18"/>
          <w:szCs w:val="18"/>
          <w:lang w:val="es-ES_tradnl"/>
        </w:rPr>
        <w:t>Capacidad</w:t>
      </w:r>
    </w:p>
    <w:p w14:paraId="4F67A39A" w14:textId="77777777" w:rsidR="00591D54" w:rsidRDefault="00591D54">
      <w:pPr>
        <w:shd w:val="clear" w:color="auto" w:fill="FFFFFF"/>
        <w:spacing w:before="197" w:line="216" w:lineRule="exact"/>
        <w:ind w:right="5"/>
        <w:jc w:val="both"/>
      </w:pPr>
      <w:r>
        <w:rPr>
          <w:spacing w:val="-7"/>
          <w:sz w:val="18"/>
          <w:szCs w:val="18"/>
          <w:lang w:val="es-ES_tradnl"/>
        </w:rPr>
        <w:t>(1) Cada Parte Contratante deber</w:t>
      </w:r>
      <w:r>
        <w:rPr>
          <w:rFonts w:cs="Times New Roman"/>
          <w:spacing w:val="-7"/>
          <w:sz w:val="18"/>
          <w:szCs w:val="18"/>
          <w:lang w:val="es-ES_tradnl"/>
        </w:rPr>
        <w:t>á</w:t>
      </w:r>
      <w:r>
        <w:rPr>
          <w:spacing w:val="-7"/>
          <w:sz w:val="18"/>
          <w:szCs w:val="18"/>
          <w:lang w:val="es-ES_tradnl"/>
        </w:rPr>
        <w:t xml:space="preserve"> proporcionar una </w:t>
      </w:r>
      <w:r>
        <w:rPr>
          <w:spacing w:val="-9"/>
          <w:sz w:val="18"/>
          <w:szCs w:val="18"/>
          <w:lang w:val="es-ES_tradnl"/>
        </w:rPr>
        <w:t>oportunidad   justa   y   equitativa   para   las   l</w:t>
      </w:r>
      <w:r>
        <w:rPr>
          <w:rFonts w:cs="Times New Roman"/>
          <w:spacing w:val="-9"/>
          <w:sz w:val="18"/>
          <w:szCs w:val="18"/>
          <w:lang w:val="es-ES_tradnl"/>
        </w:rPr>
        <w:t>í</w:t>
      </w:r>
      <w:r>
        <w:rPr>
          <w:spacing w:val="-9"/>
          <w:sz w:val="18"/>
          <w:szCs w:val="18"/>
          <w:lang w:val="es-ES_tradnl"/>
        </w:rPr>
        <w:t>neas   a</w:t>
      </w:r>
      <w:r>
        <w:rPr>
          <w:rFonts w:cs="Times New Roman"/>
          <w:spacing w:val="-9"/>
          <w:sz w:val="18"/>
          <w:szCs w:val="18"/>
          <w:lang w:val="es-ES_tradnl"/>
        </w:rPr>
        <w:t>é</w:t>
      </w:r>
      <w:r>
        <w:rPr>
          <w:spacing w:val="-9"/>
          <w:sz w:val="18"/>
          <w:szCs w:val="18"/>
          <w:lang w:val="es-ES_tradnl"/>
        </w:rPr>
        <w:t>reas</w:t>
      </w:r>
    </w:p>
    <w:p w14:paraId="4F67A39B" w14:textId="77777777" w:rsidR="00591D54" w:rsidRDefault="00591D54">
      <w:pPr>
        <w:shd w:val="clear" w:color="auto" w:fill="FFFFFF"/>
        <w:spacing w:line="216" w:lineRule="exact"/>
        <w:jc w:val="both"/>
      </w:pPr>
      <w:r>
        <w:br w:type="column"/>
      </w:r>
      <w:r>
        <w:rPr>
          <w:spacing w:val="-7"/>
          <w:sz w:val="18"/>
          <w:szCs w:val="18"/>
          <w:lang w:val="es-ES_tradnl"/>
        </w:rPr>
        <w:t xml:space="preserve">designadas de ambas Partes Contratantes, para competir </w:t>
      </w:r>
      <w:r>
        <w:rPr>
          <w:spacing w:val="-6"/>
          <w:sz w:val="18"/>
          <w:szCs w:val="18"/>
          <w:lang w:val="es-ES_tradnl"/>
        </w:rPr>
        <w:t>en la operaci</w:t>
      </w:r>
      <w:r>
        <w:rPr>
          <w:rFonts w:cs="Times New Roman"/>
          <w:spacing w:val="-6"/>
          <w:sz w:val="18"/>
          <w:szCs w:val="18"/>
          <w:lang w:val="es-ES_tradnl"/>
        </w:rPr>
        <w:t>ó</w:t>
      </w:r>
      <w:r>
        <w:rPr>
          <w:spacing w:val="-6"/>
          <w:sz w:val="18"/>
          <w:szCs w:val="18"/>
          <w:lang w:val="es-ES_tradnl"/>
        </w:rPr>
        <w:t xml:space="preserve">n de los servicios acordados en las rutas </w:t>
      </w:r>
      <w:r>
        <w:rPr>
          <w:sz w:val="18"/>
          <w:szCs w:val="18"/>
          <w:lang w:val="es-ES_tradnl"/>
        </w:rPr>
        <w:t>especificadas.</w:t>
      </w:r>
    </w:p>
    <w:p w14:paraId="4F67A39C" w14:textId="77777777" w:rsidR="00591D54" w:rsidRDefault="00591D54">
      <w:pPr>
        <w:shd w:val="clear" w:color="auto" w:fill="FFFFFF"/>
        <w:tabs>
          <w:tab w:val="left" w:pos="264"/>
        </w:tabs>
        <w:spacing w:before="197" w:line="216" w:lineRule="exact"/>
        <w:jc w:val="both"/>
      </w:pPr>
      <w:r>
        <w:rPr>
          <w:spacing w:val="-6"/>
          <w:sz w:val="18"/>
          <w:szCs w:val="18"/>
          <w:lang w:val="es-ES_tradnl"/>
        </w:rPr>
        <w:t>(2)</w:t>
      </w:r>
      <w:r>
        <w:rPr>
          <w:sz w:val="18"/>
          <w:szCs w:val="18"/>
          <w:lang w:val="es-ES_tradnl"/>
        </w:rPr>
        <w:tab/>
      </w:r>
      <w:r>
        <w:rPr>
          <w:spacing w:val="-9"/>
          <w:sz w:val="18"/>
          <w:szCs w:val="18"/>
          <w:lang w:val="es-ES_tradnl"/>
        </w:rPr>
        <w:t>Cada Parte Contratante permitir</w:t>
      </w:r>
      <w:r>
        <w:rPr>
          <w:rFonts w:cs="Times New Roman"/>
          <w:spacing w:val="-9"/>
          <w:sz w:val="18"/>
          <w:szCs w:val="18"/>
          <w:lang w:val="es-ES_tradnl"/>
        </w:rPr>
        <w:t>á</w:t>
      </w:r>
      <w:r>
        <w:rPr>
          <w:spacing w:val="-9"/>
          <w:sz w:val="18"/>
          <w:szCs w:val="18"/>
          <w:lang w:val="es-ES_tradnl"/>
        </w:rPr>
        <w:t xml:space="preserve"> que cada l</w:t>
      </w:r>
      <w:r>
        <w:rPr>
          <w:rFonts w:cs="Times New Roman"/>
          <w:spacing w:val="-9"/>
          <w:sz w:val="18"/>
          <w:szCs w:val="18"/>
          <w:lang w:val="es-ES_tradnl"/>
        </w:rPr>
        <w:t>í</w:t>
      </w:r>
      <w:r>
        <w:rPr>
          <w:spacing w:val="-9"/>
          <w:sz w:val="18"/>
          <w:szCs w:val="18"/>
          <w:lang w:val="es-ES_tradnl"/>
        </w:rPr>
        <w:t>nea a</w:t>
      </w:r>
      <w:r>
        <w:rPr>
          <w:rFonts w:cs="Times New Roman"/>
          <w:spacing w:val="-9"/>
          <w:sz w:val="18"/>
          <w:szCs w:val="18"/>
          <w:lang w:val="es-ES_tradnl"/>
        </w:rPr>
        <w:t>é</w:t>
      </w:r>
      <w:r>
        <w:rPr>
          <w:spacing w:val="-9"/>
          <w:sz w:val="18"/>
          <w:szCs w:val="18"/>
          <w:lang w:val="es-ES_tradnl"/>
        </w:rPr>
        <w:t>rea designada opere de acuerdo con el n</w:t>
      </w:r>
      <w:r>
        <w:rPr>
          <w:rFonts w:cs="Times New Roman"/>
          <w:spacing w:val="-9"/>
          <w:sz w:val="18"/>
          <w:szCs w:val="18"/>
          <w:lang w:val="es-ES_tradnl"/>
        </w:rPr>
        <w:t>ú</w:t>
      </w:r>
      <w:r>
        <w:rPr>
          <w:spacing w:val="-9"/>
          <w:sz w:val="18"/>
          <w:szCs w:val="18"/>
          <w:lang w:val="es-ES_tradnl"/>
        </w:rPr>
        <w:t>mero de frecuencias acordadas entre ambas Autoridades Aeron</w:t>
      </w:r>
      <w:r>
        <w:rPr>
          <w:rFonts w:cs="Times New Roman"/>
          <w:spacing w:val="-9"/>
          <w:sz w:val="18"/>
          <w:szCs w:val="18"/>
          <w:lang w:val="es-ES_tradnl"/>
        </w:rPr>
        <w:t>á</w:t>
      </w:r>
      <w:r>
        <w:rPr>
          <w:spacing w:val="-9"/>
          <w:sz w:val="18"/>
          <w:szCs w:val="18"/>
          <w:lang w:val="es-ES_tradnl"/>
        </w:rPr>
        <w:t>uticas.</w:t>
      </w:r>
    </w:p>
    <w:p w14:paraId="4F67A39D" w14:textId="77777777" w:rsidR="00591D54" w:rsidRDefault="00591D54">
      <w:pPr>
        <w:shd w:val="clear" w:color="auto" w:fill="FFFFFF"/>
        <w:spacing w:before="197" w:line="216" w:lineRule="exact"/>
        <w:jc w:val="both"/>
      </w:pPr>
      <w:r>
        <w:rPr>
          <w:spacing w:val="-9"/>
          <w:sz w:val="18"/>
          <w:szCs w:val="18"/>
          <w:lang w:val="es-ES_tradnl"/>
        </w:rPr>
        <w:t>El tipo o tipos de aeronaves operadas por las l</w:t>
      </w:r>
      <w:r>
        <w:rPr>
          <w:rFonts w:cs="Times New Roman"/>
          <w:spacing w:val="-9"/>
          <w:sz w:val="18"/>
          <w:szCs w:val="18"/>
          <w:lang w:val="es-ES_tradnl"/>
        </w:rPr>
        <w:t>í</w:t>
      </w:r>
      <w:r>
        <w:rPr>
          <w:spacing w:val="-9"/>
          <w:sz w:val="18"/>
          <w:szCs w:val="18"/>
          <w:lang w:val="es-ES_tradnl"/>
        </w:rPr>
        <w:t>neas a</w:t>
      </w:r>
      <w:r>
        <w:rPr>
          <w:rFonts w:cs="Times New Roman"/>
          <w:spacing w:val="-9"/>
          <w:sz w:val="18"/>
          <w:szCs w:val="18"/>
          <w:lang w:val="es-ES_tradnl"/>
        </w:rPr>
        <w:t>é</w:t>
      </w:r>
      <w:r>
        <w:rPr>
          <w:spacing w:val="-9"/>
          <w:sz w:val="18"/>
          <w:szCs w:val="18"/>
          <w:lang w:val="es-ES_tradnl"/>
        </w:rPr>
        <w:t>reas designadas de la otra Parte Contratante, excepto seg</w:t>
      </w:r>
      <w:r>
        <w:rPr>
          <w:rFonts w:cs="Times New Roman"/>
          <w:spacing w:val="-9"/>
          <w:sz w:val="18"/>
          <w:szCs w:val="18"/>
          <w:lang w:val="es-ES_tradnl"/>
        </w:rPr>
        <w:t>ú</w:t>
      </w:r>
      <w:r>
        <w:rPr>
          <w:spacing w:val="-9"/>
          <w:sz w:val="18"/>
          <w:szCs w:val="18"/>
          <w:lang w:val="es-ES_tradnl"/>
        </w:rPr>
        <w:t xml:space="preserve">n se </w:t>
      </w:r>
      <w:r>
        <w:rPr>
          <w:spacing w:val="-8"/>
          <w:sz w:val="18"/>
          <w:szCs w:val="18"/>
          <w:lang w:val="es-ES_tradnl"/>
        </w:rPr>
        <w:t>requiera por razones de aduanas, condiciones t</w:t>
      </w:r>
      <w:r>
        <w:rPr>
          <w:rFonts w:cs="Times New Roman"/>
          <w:spacing w:val="-8"/>
          <w:sz w:val="18"/>
          <w:szCs w:val="18"/>
          <w:lang w:val="es-ES_tradnl"/>
        </w:rPr>
        <w:t>é</w:t>
      </w:r>
      <w:r>
        <w:rPr>
          <w:spacing w:val="-8"/>
          <w:sz w:val="18"/>
          <w:szCs w:val="18"/>
          <w:lang w:val="es-ES_tradnl"/>
        </w:rPr>
        <w:t xml:space="preserve">cnicas, </w:t>
      </w:r>
      <w:r>
        <w:rPr>
          <w:spacing w:val="-11"/>
          <w:sz w:val="18"/>
          <w:szCs w:val="18"/>
          <w:lang w:val="es-ES_tradnl"/>
        </w:rPr>
        <w:t xml:space="preserve">operativas o ambientales, debe ser en condiciones uniformes </w:t>
      </w:r>
      <w:r>
        <w:rPr>
          <w:spacing w:val="-6"/>
          <w:sz w:val="18"/>
          <w:szCs w:val="18"/>
          <w:lang w:val="es-ES_tradnl"/>
        </w:rPr>
        <w:t>compatibles con el Art</w:t>
      </w:r>
      <w:r>
        <w:rPr>
          <w:rFonts w:cs="Times New Roman"/>
          <w:spacing w:val="-6"/>
          <w:sz w:val="18"/>
          <w:szCs w:val="18"/>
          <w:lang w:val="es-ES_tradnl"/>
        </w:rPr>
        <w:t>í</w:t>
      </w:r>
      <w:r>
        <w:rPr>
          <w:spacing w:val="-6"/>
          <w:sz w:val="18"/>
          <w:szCs w:val="18"/>
          <w:lang w:val="es-ES_tradnl"/>
        </w:rPr>
        <w:t>culo 15 de la Convenci</w:t>
      </w:r>
      <w:r>
        <w:rPr>
          <w:rFonts w:cs="Times New Roman"/>
          <w:spacing w:val="-6"/>
          <w:sz w:val="18"/>
          <w:szCs w:val="18"/>
          <w:lang w:val="es-ES_tradnl"/>
        </w:rPr>
        <w:t>ó</w:t>
      </w:r>
      <w:r>
        <w:rPr>
          <w:spacing w:val="-6"/>
          <w:sz w:val="18"/>
          <w:szCs w:val="18"/>
          <w:lang w:val="es-ES_tradnl"/>
        </w:rPr>
        <w:t>n.</w:t>
      </w:r>
    </w:p>
    <w:p w14:paraId="4F67A39E" w14:textId="77777777" w:rsidR="00591D54" w:rsidRDefault="00591D54">
      <w:pPr>
        <w:shd w:val="clear" w:color="auto" w:fill="FFFFFF"/>
        <w:tabs>
          <w:tab w:val="left" w:pos="264"/>
        </w:tabs>
        <w:spacing w:before="197" w:line="216" w:lineRule="exact"/>
        <w:jc w:val="both"/>
      </w:pPr>
      <w:r>
        <w:rPr>
          <w:spacing w:val="-6"/>
          <w:sz w:val="18"/>
          <w:szCs w:val="18"/>
          <w:lang w:val="es-ES_tradnl"/>
        </w:rPr>
        <w:t>(3)</w:t>
      </w:r>
      <w:r>
        <w:rPr>
          <w:sz w:val="18"/>
          <w:szCs w:val="18"/>
          <w:lang w:val="es-ES_tradnl"/>
        </w:rPr>
        <w:tab/>
      </w:r>
      <w:r>
        <w:rPr>
          <w:spacing w:val="-10"/>
          <w:sz w:val="18"/>
          <w:szCs w:val="18"/>
          <w:lang w:val="es-ES_tradnl"/>
        </w:rPr>
        <w:t>Las l</w:t>
      </w:r>
      <w:r>
        <w:rPr>
          <w:rFonts w:cs="Times New Roman"/>
          <w:spacing w:val="-10"/>
          <w:sz w:val="18"/>
          <w:szCs w:val="18"/>
          <w:lang w:val="es-ES_tradnl"/>
        </w:rPr>
        <w:t>í</w:t>
      </w:r>
      <w:r>
        <w:rPr>
          <w:spacing w:val="-10"/>
          <w:sz w:val="18"/>
          <w:szCs w:val="18"/>
          <w:lang w:val="es-ES_tradnl"/>
        </w:rPr>
        <w:t>neas a</w:t>
      </w:r>
      <w:r>
        <w:rPr>
          <w:rFonts w:cs="Times New Roman"/>
          <w:spacing w:val="-10"/>
          <w:sz w:val="18"/>
          <w:szCs w:val="18"/>
          <w:lang w:val="es-ES_tradnl"/>
        </w:rPr>
        <w:t>é</w:t>
      </w:r>
      <w:r>
        <w:rPr>
          <w:spacing w:val="-10"/>
          <w:sz w:val="18"/>
          <w:szCs w:val="18"/>
          <w:lang w:val="es-ES_tradnl"/>
        </w:rPr>
        <w:t>reas designadas de cada Parte Contratante </w:t>
      </w:r>
      <w:r>
        <w:rPr>
          <w:spacing w:val="-4"/>
          <w:sz w:val="18"/>
          <w:szCs w:val="18"/>
          <w:lang w:val="es-ES_tradnl"/>
        </w:rPr>
        <w:t>presentar</w:t>
      </w:r>
      <w:r>
        <w:rPr>
          <w:rFonts w:cs="Times New Roman"/>
          <w:spacing w:val="-4"/>
          <w:sz w:val="18"/>
          <w:szCs w:val="18"/>
          <w:lang w:val="es-ES_tradnl"/>
        </w:rPr>
        <w:t>á</w:t>
      </w:r>
      <w:r>
        <w:rPr>
          <w:spacing w:val="-4"/>
          <w:sz w:val="18"/>
          <w:szCs w:val="18"/>
          <w:lang w:val="es-ES_tradnl"/>
        </w:rPr>
        <w:t>n sus horarios de vuelo previstos para la aprobaci</w:t>
      </w:r>
      <w:r>
        <w:rPr>
          <w:rFonts w:cs="Times New Roman"/>
          <w:spacing w:val="-4"/>
          <w:sz w:val="18"/>
          <w:szCs w:val="18"/>
          <w:lang w:val="es-ES_tradnl"/>
        </w:rPr>
        <w:t>ó</w:t>
      </w:r>
      <w:r>
        <w:rPr>
          <w:spacing w:val="-4"/>
          <w:sz w:val="18"/>
          <w:szCs w:val="18"/>
          <w:lang w:val="es-ES_tradnl"/>
        </w:rPr>
        <w:t>n de las Autoridades Aeron</w:t>
      </w:r>
      <w:r>
        <w:rPr>
          <w:rFonts w:cs="Times New Roman"/>
          <w:spacing w:val="-4"/>
          <w:sz w:val="18"/>
          <w:szCs w:val="18"/>
          <w:lang w:val="es-ES_tradnl"/>
        </w:rPr>
        <w:t>á</w:t>
      </w:r>
      <w:r>
        <w:rPr>
          <w:spacing w:val="-4"/>
          <w:sz w:val="18"/>
          <w:szCs w:val="18"/>
          <w:lang w:val="es-ES_tradnl"/>
        </w:rPr>
        <w:t>uticas de la otra Parte Contratante por lo menos sesenta (60) d</w:t>
      </w:r>
      <w:r>
        <w:rPr>
          <w:rFonts w:cs="Times New Roman"/>
          <w:spacing w:val="-4"/>
          <w:sz w:val="18"/>
          <w:szCs w:val="18"/>
          <w:lang w:val="es-ES_tradnl"/>
        </w:rPr>
        <w:t>í</w:t>
      </w:r>
      <w:r>
        <w:rPr>
          <w:spacing w:val="-4"/>
          <w:sz w:val="18"/>
          <w:szCs w:val="18"/>
          <w:lang w:val="es-ES_tradnl"/>
        </w:rPr>
        <w:t>as antes </w:t>
      </w:r>
      <w:r>
        <w:rPr>
          <w:spacing w:val="-6"/>
          <w:sz w:val="18"/>
          <w:szCs w:val="18"/>
          <w:lang w:val="es-ES_tradnl"/>
        </w:rPr>
        <w:t>de la operaci</w:t>
      </w:r>
      <w:r>
        <w:rPr>
          <w:rFonts w:cs="Times New Roman"/>
          <w:spacing w:val="-6"/>
          <w:sz w:val="18"/>
          <w:szCs w:val="18"/>
          <w:lang w:val="es-ES_tradnl"/>
        </w:rPr>
        <w:t>ó</w:t>
      </w:r>
      <w:r>
        <w:rPr>
          <w:spacing w:val="-6"/>
          <w:sz w:val="18"/>
          <w:szCs w:val="18"/>
          <w:lang w:val="es-ES_tradnl"/>
        </w:rPr>
        <w:t>n de los servicios acordados. El mismo procedimiento se aplicar</w:t>
      </w:r>
      <w:r>
        <w:rPr>
          <w:rFonts w:cs="Times New Roman"/>
          <w:spacing w:val="-6"/>
          <w:sz w:val="18"/>
          <w:szCs w:val="18"/>
          <w:lang w:val="es-ES_tradnl"/>
        </w:rPr>
        <w:t>á</w:t>
      </w:r>
      <w:r>
        <w:rPr>
          <w:spacing w:val="-6"/>
          <w:sz w:val="18"/>
          <w:szCs w:val="18"/>
          <w:lang w:val="es-ES_tradnl"/>
        </w:rPr>
        <w:t xml:space="preserve"> a cualquier modificaci</w:t>
      </w:r>
      <w:r>
        <w:rPr>
          <w:rFonts w:cs="Times New Roman"/>
          <w:spacing w:val="-6"/>
          <w:sz w:val="18"/>
          <w:szCs w:val="18"/>
          <w:lang w:val="es-ES_tradnl"/>
        </w:rPr>
        <w:t>ó</w:t>
      </w:r>
      <w:r>
        <w:rPr>
          <w:spacing w:val="-6"/>
          <w:sz w:val="18"/>
          <w:szCs w:val="18"/>
          <w:lang w:val="es-ES_tradnl"/>
        </w:rPr>
        <w:t>n de los </w:t>
      </w:r>
      <w:r>
        <w:rPr>
          <w:sz w:val="18"/>
          <w:szCs w:val="18"/>
          <w:lang w:val="es-ES_tradnl"/>
        </w:rPr>
        <w:t>mismos.</w:t>
      </w:r>
    </w:p>
    <w:p w14:paraId="4F67A39F" w14:textId="77777777" w:rsidR="00591D54" w:rsidRDefault="00591D54">
      <w:pPr>
        <w:shd w:val="clear" w:color="auto" w:fill="FFFFFF"/>
        <w:spacing w:before="624" w:line="216" w:lineRule="exact"/>
        <w:ind w:left="1555" w:right="1555"/>
        <w:jc w:val="center"/>
      </w:pPr>
      <w:r>
        <w:rPr>
          <w:b/>
          <w:bCs/>
          <w:spacing w:val="-1"/>
          <w:sz w:val="18"/>
          <w:szCs w:val="18"/>
          <w:lang w:val="es-ES_tradnl"/>
        </w:rPr>
        <w:t>ART</w:t>
      </w:r>
      <w:r>
        <w:rPr>
          <w:rFonts w:cs="Times New Roman"/>
          <w:b/>
          <w:bCs/>
          <w:spacing w:val="-1"/>
          <w:sz w:val="18"/>
          <w:szCs w:val="18"/>
          <w:lang w:val="es-ES_tradnl"/>
        </w:rPr>
        <w:t>Í</w:t>
      </w:r>
      <w:r>
        <w:rPr>
          <w:b/>
          <w:bCs/>
          <w:spacing w:val="-1"/>
          <w:sz w:val="18"/>
          <w:szCs w:val="18"/>
          <w:lang w:val="es-ES_tradnl"/>
        </w:rPr>
        <w:t xml:space="preserve">CULO 13 </w:t>
      </w:r>
      <w:r>
        <w:rPr>
          <w:b/>
          <w:bCs/>
          <w:spacing w:val="-7"/>
          <w:sz w:val="18"/>
          <w:szCs w:val="18"/>
          <w:lang w:val="es-ES_tradnl"/>
        </w:rPr>
        <w:t>Tarifas</w:t>
      </w:r>
    </w:p>
    <w:p w14:paraId="4F67A3A0" w14:textId="77777777" w:rsidR="00591D54" w:rsidRDefault="00591D54">
      <w:pPr>
        <w:shd w:val="clear" w:color="auto" w:fill="FFFFFF"/>
        <w:spacing w:before="192" w:line="216" w:lineRule="exact"/>
        <w:jc w:val="both"/>
      </w:pPr>
      <w:r>
        <w:rPr>
          <w:spacing w:val="-7"/>
          <w:sz w:val="18"/>
          <w:szCs w:val="18"/>
          <w:lang w:val="es-ES_tradnl"/>
        </w:rPr>
        <w:t>(1) Las Partes Contratantes permitir</w:t>
      </w:r>
      <w:r>
        <w:rPr>
          <w:rFonts w:cs="Times New Roman"/>
          <w:spacing w:val="-7"/>
          <w:sz w:val="18"/>
          <w:szCs w:val="18"/>
          <w:lang w:val="es-ES_tradnl"/>
        </w:rPr>
        <w:t>á</w:t>
      </w:r>
      <w:r>
        <w:rPr>
          <w:spacing w:val="-7"/>
          <w:sz w:val="18"/>
          <w:szCs w:val="18"/>
          <w:lang w:val="es-ES_tradnl"/>
        </w:rPr>
        <w:t xml:space="preserve">n a cada una de las </w:t>
      </w:r>
      <w:r>
        <w:rPr>
          <w:spacing w:val="-8"/>
          <w:sz w:val="18"/>
          <w:szCs w:val="18"/>
          <w:lang w:val="es-ES_tradnl"/>
        </w:rPr>
        <w:t>l</w:t>
      </w:r>
      <w:r>
        <w:rPr>
          <w:rFonts w:cs="Times New Roman"/>
          <w:spacing w:val="-8"/>
          <w:sz w:val="18"/>
          <w:szCs w:val="18"/>
          <w:lang w:val="es-ES_tradnl"/>
        </w:rPr>
        <w:t>í</w:t>
      </w:r>
      <w:r>
        <w:rPr>
          <w:spacing w:val="-8"/>
          <w:sz w:val="18"/>
          <w:szCs w:val="18"/>
          <w:lang w:val="es-ES_tradnl"/>
        </w:rPr>
        <w:t>neas a</w:t>
      </w:r>
      <w:r>
        <w:rPr>
          <w:rFonts w:cs="Times New Roman"/>
          <w:spacing w:val="-8"/>
          <w:sz w:val="18"/>
          <w:szCs w:val="18"/>
          <w:lang w:val="es-ES_tradnl"/>
        </w:rPr>
        <w:t>é</w:t>
      </w:r>
      <w:r>
        <w:rPr>
          <w:spacing w:val="-8"/>
          <w:sz w:val="18"/>
          <w:szCs w:val="18"/>
          <w:lang w:val="es-ES_tradnl"/>
        </w:rPr>
        <w:t>reas designadas fijar las tarifas para los servicios de transporte a</w:t>
      </w:r>
      <w:r>
        <w:rPr>
          <w:rFonts w:cs="Times New Roman"/>
          <w:spacing w:val="-8"/>
          <w:sz w:val="18"/>
          <w:szCs w:val="18"/>
          <w:lang w:val="es-ES_tradnl"/>
        </w:rPr>
        <w:t>é</w:t>
      </w:r>
      <w:r>
        <w:rPr>
          <w:spacing w:val="-8"/>
          <w:sz w:val="18"/>
          <w:szCs w:val="18"/>
          <w:lang w:val="es-ES_tradnl"/>
        </w:rPr>
        <w:t xml:space="preserve">reo sobre la base de consideraciones </w:t>
      </w:r>
      <w:r>
        <w:rPr>
          <w:spacing w:val="-7"/>
          <w:sz w:val="18"/>
          <w:szCs w:val="18"/>
          <w:lang w:val="es-ES_tradnl"/>
        </w:rPr>
        <w:t>comerciales en el mercado pertinente. La intervenci</w:t>
      </w:r>
      <w:r>
        <w:rPr>
          <w:rFonts w:cs="Times New Roman"/>
          <w:spacing w:val="-7"/>
          <w:sz w:val="18"/>
          <w:szCs w:val="18"/>
          <w:lang w:val="es-ES_tradnl"/>
        </w:rPr>
        <w:t>ó</w:t>
      </w:r>
      <w:r>
        <w:rPr>
          <w:spacing w:val="-7"/>
          <w:sz w:val="18"/>
          <w:szCs w:val="18"/>
          <w:lang w:val="es-ES_tradnl"/>
        </w:rPr>
        <w:t xml:space="preserve">n de </w:t>
      </w:r>
      <w:r>
        <w:rPr>
          <w:sz w:val="18"/>
          <w:szCs w:val="18"/>
          <w:lang w:val="es-ES_tradnl"/>
        </w:rPr>
        <w:t>las Partes Contratantes se limitar</w:t>
      </w:r>
      <w:r>
        <w:rPr>
          <w:rFonts w:cs="Times New Roman"/>
          <w:sz w:val="18"/>
          <w:szCs w:val="18"/>
          <w:lang w:val="es-ES_tradnl"/>
        </w:rPr>
        <w:t>á</w:t>
      </w:r>
      <w:r>
        <w:rPr>
          <w:sz w:val="18"/>
          <w:szCs w:val="18"/>
          <w:lang w:val="es-ES_tradnl"/>
        </w:rPr>
        <w:t xml:space="preserve"> a:</w:t>
      </w:r>
    </w:p>
    <w:p w14:paraId="4F67A3A1" w14:textId="77777777" w:rsidR="00591D54" w:rsidRDefault="00591D54">
      <w:pPr>
        <w:shd w:val="clear" w:color="auto" w:fill="FFFFFF"/>
        <w:tabs>
          <w:tab w:val="left" w:pos="643"/>
        </w:tabs>
        <w:spacing w:before="197" w:line="216" w:lineRule="exact"/>
        <w:ind w:left="283"/>
        <w:jc w:val="both"/>
      </w:pPr>
      <w:r>
        <w:rPr>
          <w:spacing w:val="-9"/>
          <w:sz w:val="18"/>
          <w:szCs w:val="18"/>
          <w:lang w:val="es-ES_tradnl"/>
        </w:rPr>
        <w:t>(a)</w:t>
      </w:r>
      <w:r>
        <w:rPr>
          <w:sz w:val="18"/>
          <w:szCs w:val="18"/>
          <w:lang w:val="es-ES_tradnl"/>
        </w:rPr>
        <w:tab/>
        <w:t>Prevenir la fijaci</w:t>
      </w:r>
      <w:r>
        <w:rPr>
          <w:rFonts w:cs="Times New Roman"/>
          <w:sz w:val="18"/>
          <w:szCs w:val="18"/>
          <w:lang w:val="es-ES_tradnl"/>
        </w:rPr>
        <w:t>ó</w:t>
      </w:r>
      <w:r>
        <w:rPr>
          <w:sz w:val="18"/>
          <w:szCs w:val="18"/>
          <w:lang w:val="es-ES_tradnl"/>
        </w:rPr>
        <w:t>n de precios o pr</w:t>
      </w:r>
      <w:r>
        <w:rPr>
          <w:rFonts w:cs="Times New Roman"/>
          <w:sz w:val="18"/>
          <w:szCs w:val="18"/>
          <w:lang w:val="es-ES_tradnl"/>
        </w:rPr>
        <w:t>á</w:t>
      </w:r>
      <w:r>
        <w:rPr>
          <w:sz w:val="18"/>
          <w:szCs w:val="18"/>
          <w:lang w:val="es-ES_tradnl"/>
        </w:rPr>
        <w:t>cticas injustificadamente discriminatorias;</w:t>
      </w:r>
    </w:p>
    <w:p w14:paraId="4F67A3A2" w14:textId="77777777" w:rsidR="00591D54" w:rsidRDefault="00591D54">
      <w:pPr>
        <w:shd w:val="clear" w:color="auto" w:fill="FFFFFF"/>
        <w:tabs>
          <w:tab w:val="left" w:pos="706"/>
        </w:tabs>
        <w:spacing w:before="197" w:line="216" w:lineRule="exact"/>
        <w:ind w:left="283"/>
        <w:jc w:val="both"/>
      </w:pPr>
      <w:r>
        <w:rPr>
          <w:spacing w:val="-6"/>
          <w:sz w:val="18"/>
          <w:szCs w:val="18"/>
          <w:lang w:val="es-ES_tradnl"/>
        </w:rPr>
        <w:t>(b)</w:t>
      </w:r>
      <w:r>
        <w:rPr>
          <w:sz w:val="18"/>
          <w:szCs w:val="18"/>
          <w:lang w:val="es-ES_tradnl"/>
        </w:rPr>
        <w:tab/>
        <w:t>Proteger a los consumidores de tarifas </w:t>
      </w:r>
      <w:r>
        <w:rPr>
          <w:spacing w:val="-7"/>
          <w:sz w:val="18"/>
          <w:szCs w:val="18"/>
          <w:lang w:val="es-ES_tradnl"/>
        </w:rPr>
        <w:t>injustificadamente elevadas o restrictivas por el abuso </w:t>
      </w:r>
      <w:r>
        <w:rPr>
          <w:sz w:val="18"/>
          <w:szCs w:val="18"/>
          <w:lang w:val="es-ES_tradnl"/>
        </w:rPr>
        <w:t>de una posici</w:t>
      </w:r>
      <w:r>
        <w:rPr>
          <w:rFonts w:cs="Times New Roman"/>
          <w:sz w:val="18"/>
          <w:szCs w:val="18"/>
          <w:lang w:val="es-ES_tradnl"/>
        </w:rPr>
        <w:t>ó</w:t>
      </w:r>
      <w:r>
        <w:rPr>
          <w:sz w:val="18"/>
          <w:szCs w:val="18"/>
          <w:lang w:val="es-ES_tradnl"/>
        </w:rPr>
        <w:t>n dominante;</w:t>
      </w:r>
    </w:p>
    <w:p w14:paraId="4F67A3A3" w14:textId="77777777" w:rsidR="00591D54" w:rsidRDefault="00591D54">
      <w:pPr>
        <w:shd w:val="clear" w:color="auto" w:fill="FFFFFF"/>
        <w:tabs>
          <w:tab w:val="left" w:pos="528"/>
        </w:tabs>
        <w:spacing w:before="197" w:line="216" w:lineRule="exact"/>
        <w:ind w:left="283"/>
        <w:jc w:val="both"/>
      </w:pPr>
      <w:r>
        <w:rPr>
          <w:spacing w:val="-5"/>
          <w:sz w:val="18"/>
          <w:szCs w:val="18"/>
          <w:lang w:val="es-ES_tradnl"/>
        </w:rPr>
        <w:t>(c)</w:t>
      </w:r>
      <w:r>
        <w:rPr>
          <w:sz w:val="18"/>
          <w:szCs w:val="18"/>
          <w:lang w:val="es-ES_tradnl"/>
        </w:rPr>
        <w:tab/>
      </w:r>
      <w:r>
        <w:rPr>
          <w:spacing w:val="-11"/>
          <w:sz w:val="18"/>
          <w:szCs w:val="18"/>
          <w:lang w:val="es-ES_tradnl"/>
        </w:rPr>
        <w:t>No permitir que sus l</w:t>
      </w:r>
      <w:r>
        <w:rPr>
          <w:rFonts w:cs="Times New Roman"/>
          <w:spacing w:val="-11"/>
          <w:sz w:val="18"/>
          <w:szCs w:val="18"/>
          <w:lang w:val="es-ES_tradnl"/>
        </w:rPr>
        <w:t>í</w:t>
      </w:r>
      <w:r>
        <w:rPr>
          <w:spacing w:val="-11"/>
          <w:sz w:val="18"/>
          <w:szCs w:val="18"/>
          <w:lang w:val="es-ES_tradnl"/>
        </w:rPr>
        <w:t>neas a</w:t>
      </w:r>
      <w:r>
        <w:rPr>
          <w:rFonts w:cs="Times New Roman"/>
          <w:spacing w:val="-11"/>
          <w:sz w:val="18"/>
          <w:szCs w:val="18"/>
          <w:lang w:val="es-ES_tradnl"/>
        </w:rPr>
        <w:t>é</w:t>
      </w:r>
      <w:r>
        <w:rPr>
          <w:spacing w:val="-11"/>
          <w:sz w:val="18"/>
          <w:szCs w:val="18"/>
          <w:lang w:val="es-ES_tradnl"/>
        </w:rPr>
        <w:t>reas designadas, ya sea </w:t>
      </w:r>
      <w:r>
        <w:rPr>
          <w:spacing w:val="-9"/>
          <w:sz w:val="18"/>
          <w:szCs w:val="18"/>
          <w:lang w:val="es-ES_tradnl"/>
        </w:rPr>
        <w:t>con una o m</w:t>
      </w:r>
      <w:r>
        <w:rPr>
          <w:rFonts w:cs="Times New Roman"/>
          <w:spacing w:val="-9"/>
          <w:sz w:val="18"/>
          <w:szCs w:val="18"/>
          <w:lang w:val="es-ES_tradnl"/>
        </w:rPr>
        <w:t>á</w:t>
      </w:r>
      <w:r>
        <w:rPr>
          <w:spacing w:val="-9"/>
          <w:sz w:val="18"/>
          <w:szCs w:val="18"/>
          <w:lang w:val="es-ES_tradnl"/>
        </w:rPr>
        <w:t>s de otras l</w:t>
      </w:r>
      <w:r>
        <w:rPr>
          <w:rFonts w:cs="Times New Roman"/>
          <w:spacing w:val="-9"/>
          <w:sz w:val="18"/>
          <w:szCs w:val="18"/>
          <w:lang w:val="es-ES_tradnl"/>
        </w:rPr>
        <w:t>í</w:t>
      </w:r>
      <w:r>
        <w:rPr>
          <w:spacing w:val="-9"/>
          <w:sz w:val="18"/>
          <w:szCs w:val="18"/>
          <w:lang w:val="es-ES_tradnl"/>
        </w:rPr>
        <w:t>neas a</w:t>
      </w:r>
      <w:r>
        <w:rPr>
          <w:rFonts w:cs="Times New Roman"/>
          <w:spacing w:val="-9"/>
          <w:sz w:val="18"/>
          <w:szCs w:val="18"/>
          <w:lang w:val="es-ES_tradnl"/>
        </w:rPr>
        <w:t>é</w:t>
      </w:r>
      <w:r>
        <w:rPr>
          <w:spacing w:val="-9"/>
          <w:sz w:val="18"/>
          <w:szCs w:val="18"/>
          <w:lang w:val="es-ES_tradnl"/>
        </w:rPr>
        <w:t>reas o por separado, </w:t>
      </w:r>
      <w:r>
        <w:rPr>
          <w:spacing w:val="-13"/>
          <w:sz w:val="18"/>
          <w:szCs w:val="18"/>
          <w:lang w:val="es-ES_tradnl"/>
        </w:rPr>
        <w:t>abusen de su poder de mercado de manera que causen o </w:t>
      </w:r>
      <w:r>
        <w:rPr>
          <w:spacing w:val="-10"/>
          <w:sz w:val="18"/>
          <w:szCs w:val="18"/>
          <w:lang w:val="es-ES_tradnl"/>
        </w:rPr>
        <w:t>que causar</w:t>
      </w:r>
      <w:r>
        <w:rPr>
          <w:rFonts w:cs="Times New Roman"/>
          <w:spacing w:val="-10"/>
          <w:sz w:val="18"/>
          <w:szCs w:val="18"/>
          <w:lang w:val="es-ES_tradnl"/>
        </w:rPr>
        <w:t>í</w:t>
      </w:r>
      <w:r>
        <w:rPr>
          <w:spacing w:val="-10"/>
          <w:sz w:val="18"/>
          <w:szCs w:val="18"/>
          <w:lang w:val="es-ES_tradnl"/>
        </w:rPr>
        <w:t>an o que se pretenda causar la exclusi</w:t>
      </w:r>
      <w:r>
        <w:rPr>
          <w:rFonts w:cs="Times New Roman"/>
          <w:spacing w:val="-10"/>
          <w:sz w:val="18"/>
          <w:szCs w:val="18"/>
          <w:lang w:val="es-ES_tradnl"/>
        </w:rPr>
        <w:t>ó</w:t>
      </w:r>
      <w:r>
        <w:rPr>
          <w:spacing w:val="-10"/>
          <w:sz w:val="18"/>
          <w:szCs w:val="18"/>
          <w:lang w:val="es-ES_tradnl"/>
        </w:rPr>
        <w:t>n de </w:t>
      </w:r>
      <w:r>
        <w:rPr>
          <w:sz w:val="18"/>
          <w:szCs w:val="18"/>
          <w:lang w:val="es-ES_tradnl"/>
        </w:rPr>
        <w:t>un competidor en una ruta.</w:t>
      </w:r>
    </w:p>
    <w:p w14:paraId="4F67A3A4" w14:textId="77777777" w:rsidR="00591D54" w:rsidRDefault="00591D54">
      <w:pPr>
        <w:shd w:val="clear" w:color="auto" w:fill="FFFFFF"/>
        <w:spacing w:before="197" w:line="216" w:lineRule="exact"/>
        <w:jc w:val="both"/>
      </w:pPr>
      <w:r>
        <w:rPr>
          <w:spacing w:val="-8"/>
          <w:sz w:val="18"/>
          <w:szCs w:val="18"/>
          <w:lang w:val="es-ES_tradnl"/>
        </w:rPr>
        <w:t>(3) Ninguna de las Partes Contratantes tomar</w:t>
      </w:r>
      <w:r>
        <w:rPr>
          <w:rFonts w:cs="Times New Roman"/>
          <w:spacing w:val="-8"/>
          <w:sz w:val="18"/>
          <w:szCs w:val="18"/>
          <w:lang w:val="es-ES_tradnl"/>
        </w:rPr>
        <w:t>á</w:t>
      </w:r>
      <w:r>
        <w:rPr>
          <w:spacing w:val="-8"/>
          <w:sz w:val="18"/>
          <w:szCs w:val="18"/>
          <w:lang w:val="es-ES_tradnl"/>
        </w:rPr>
        <w:t xml:space="preserve"> medidas unilaterales para impedir la entrada en vigor o que contin</w:t>
      </w:r>
      <w:r>
        <w:rPr>
          <w:rFonts w:cs="Times New Roman"/>
          <w:spacing w:val="-8"/>
          <w:sz w:val="18"/>
          <w:szCs w:val="18"/>
          <w:lang w:val="es-ES_tradnl"/>
        </w:rPr>
        <w:t>ú</w:t>
      </w:r>
      <w:r>
        <w:rPr>
          <w:spacing w:val="-8"/>
          <w:sz w:val="18"/>
          <w:szCs w:val="18"/>
          <w:lang w:val="es-ES_tradnl"/>
        </w:rPr>
        <w:t xml:space="preserve">e </w:t>
      </w:r>
      <w:r>
        <w:rPr>
          <w:spacing w:val="-7"/>
          <w:sz w:val="18"/>
          <w:szCs w:val="18"/>
          <w:lang w:val="es-ES_tradnl"/>
        </w:rPr>
        <w:t>en efecto, una tarifa que se ha propuesto aplicar (a) a una l</w:t>
      </w:r>
      <w:r>
        <w:rPr>
          <w:rFonts w:cs="Times New Roman"/>
          <w:spacing w:val="-7"/>
          <w:sz w:val="18"/>
          <w:szCs w:val="18"/>
          <w:lang w:val="es-ES_tradnl"/>
        </w:rPr>
        <w:t>í</w:t>
      </w:r>
      <w:r>
        <w:rPr>
          <w:spacing w:val="-7"/>
          <w:sz w:val="18"/>
          <w:szCs w:val="18"/>
          <w:lang w:val="es-ES_tradnl"/>
        </w:rPr>
        <w:t>nea a</w:t>
      </w:r>
      <w:r>
        <w:rPr>
          <w:rFonts w:cs="Times New Roman"/>
          <w:spacing w:val="-7"/>
          <w:sz w:val="18"/>
          <w:szCs w:val="18"/>
          <w:lang w:val="es-ES_tradnl"/>
        </w:rPr>
        <w:t>é</w:t>
      </w:r>
      <w:r>
        <w:rPr>
          <w:spacing w:val="-7"/>
          <w:sz w:val="18"/>
          <w:szCs w:val="18"/>
          <w:lang w:val="es-ES_tradnl"/>
        </w:rPr>
        <w:t>rea de una Parte Contratante en relaci</w:t>
      </w:r>
      <w:r>
        <w:rPr>
          <w:rFonts w:cs="Times New Roman"/>
          <w:spacing w:val="-7"/>
          <w:sz w:val="18"/>
          <w:szCs w:val="18"/>
          <w:lang w:val="es-ES_tradnl"/>
        </w:rPr>
        <w:t>ó</w:t>
      </w:r>
      <w:r>
        <w:rPr>
          <w:spacing w:val="-7"/>
          <w:sz w:val="18"/>
          <w:szCs w:val="18"/>
          <w:lang w:val="es-ES_tradnl"/>
        </w:rPr>
        <w:t xml:space="preserve">n con el </w:t>
      </w:r>
      <w:r>
        <w:rPr>
          <w:spacing w:val="-6"/>
          <w:sz w:val="18"/>
          <w:szCs w:val="18"/>
          <w:lang w:val="es-ES_tradnl"/>
        </w:rPr>
        <w:t>transporte a</w:t>
      </w:r>
      <w:r>
        <w:rPr>
          <w:rFonts w:cs="Times New Roman"/>
          <w:spacing w:val="-6"/>
          <w:sz w:val="18"/>
          <w:szCs w:val="18"/>
          <w:lang w:val="es-ES_tradnl"/>
        </w:rPr>
        <w:t>é</w:t>
      </w:r>
      <w:r>
        <w:rPr>
          <w:spacing w:val="-6"/>
          <w:sz w:val="18"/>
          <w:szCs w:val="18"/>
          <w:lang w:val="es-ES_tradnl"/>
        </w:rPr>
        <w:t xml:space="preserve">reo internacional entre los territorios de las </w:t>
      </w:r>
      <w:r>
        <w:rPr>
          <w:spacing w:val="-8"/>
          <w:sz w:val="18"/>
          <w:szCs w:val="18"/>
          <w:lang w:val="es-ES_tradnl"/>
        </w:rPr>
        <w:t>Partes Contratantes; o (b) una l</w:t>
      </w:r>
      <w:r>
        <w:rPr>
          <w:rFonts w:cs="Times New Roman"/>
          <w:spacing w:val="-8"/>
          <w:sz w:val="18"/>
          <w:szCs w:val="18"/>
          <w:lang w:val="es-ES_tradnl"/>
        </w:rPr>
        <w:t>í</w:t>
      </w:r>
      <w:r>
        <w:rPr>
          <w:spacing w:val="-8"/>
          <w:sz w:val="18"/>
          <w:szCs w:val="18"/>
          <w:lang w:val="es-ES_tradnl"/>
        </w:rPr>
        <w:t>nea a</w:t>
      </w:r>
      <w:r>
        <w:rPr>
          <w:rFonts w:cs="Times New Roman"/>
          <w:spacing w:val="-8"/>
          <w:sz w:val="18"/>
          <w:szCs w:val="18"/>
          <w:lang w:val="es-ES_tradnl"/>
        </w:rPr>
        <w:t>é</w:t>
      </w:r>
      <w:r>
        <w:rPr>
          <w:spacing w:val="-8"/>
          <w:sz w:val="18"/>
          <w:szCs w:val="18"/>
          <w:lang w:val="es-ES_tradnl"/>
        </w:rPr>
        <w:t xml:space="preserve">rea de una Parte </w:t>
      </w:r>
      <w:r>
        <w:rPr>
          <w:spacing w:val="-7"/>
          <w:sz w:val="18"/>
          <w:szCs w:val="18"/>
          <w:lang w:val="es-ES_tradnl"/>
        </w:rPr>
        <w:t>Contratante en relaci</w:t>
      </w:r>
      <w:r>
        <w:rPr>
          <w:rFonts w:cs="Times New Roman"/>
          <w:spacing w:val="-7"/>
          <w:sz w:val="18"/>
          <w:szCs w:val="18"/>
          <w:lang w:val="es-ES_tradnl"/>
        </w:rPr>
        <w:t>ó</w:t>
      </w:r>
      <w:r>
        <w:rPr>
          <w:spacing w:val="-7"/>
          <w:sz w:val="18"/>
          <w:szCs w:val="18"/>
          <w:lang w:val="es-ES_tradnl"/>
        </w:rPr>
        <w:t>n con el transporte a</w:t>
      </w:r>
      <w:r>
        <w:rPr>
          <w:rFonts w:cs="Times New Roman"/>
          <w:spacing w:val="-7"/>
          <w:sz w:val="18"/>
          <w:szCs w:val="18"/>
          <w:lang w:val="es-ES_tradnl"/>
        </w:rPr>
        <w:t>é</w:t>
      </w:r>
      <w:r>
        <w:rPr>
          <w:spacing w:val="-7"/>
          <w:sz w:val="18"/>
          <w:szCs w:val="18"/>
          <w:lang w:val="es-ES_tradnl"/>
        </w:rPr>
        <w:t>reo entre el territorio de la otra Parte Contratante y cualquier otro pa</w:t>
      </w:r>
      <w:r>
        <w:rPr>
          <w:rFonts w:cs="Times New Roman"/>
          <w:spacing w:val="-7"/>
          <w:sz w:val="18"/>
          <w:szCs w:val="18"/>
          <w:lang w:val="es-ES_tradnl"/>
        </w:rPr>
        <w:t>í</w:t>
      </w:r>
      <w:r>
        <w:rPr>
          <w:spacing w:val="-7"/>
          <w:sz w:val="18"/>
          <w:szCs w:val="18"/>
          <w:lang w:val="es-ES_tradnl"/>
        </w:rPr>
        <w:t>s.</w:t>
      </w:r>
    </w:p>
    <w:p w14:paraId="4F67A3A5" w14:textId="77777777" w:rsidR="00591D54" w:rsidRDefault="00591D54">
      <w:pPr>
        <w:shd w:val="clear" w:color="auto" w:fill="FFFFFF"/>
        <w:spacing w:before="197" w:line="216" w:lineRule="exact"/>
        <w:jc w:val="both"/>
      </w:pPr>
      <w:r>
        <w:rPr>
          <w:spacing w:val="-4"/>
          <w:sz w:val="18"/>
          <w:szCs w:val="18"/>
          <w:lang w:val="es-ES_tradnl"/>
        </w:rPr>
        <w:t xml:space="preserve">Si una Parte Contratante considera que la tarifa es </w:t>
      </w:r>
      <w:r>
        <w:rPr>
          <w:sz w:val="18"/>
          <w:szCs w:val="18"/>
          <w:lang w:val="es-ES_tradnl"/>
        </w:rPr>
        <w:t>incompatible con las consideraciones del p</w:t>
      </w:r>
      <w:r>
        <w:rPr>
          <w:rFonts w:cs="Times New Roman"/>
          <w:sz w:val="18"/>
          <w:szCs w:val="18"/>
          <w:lang w:val="es-ES_tradnl"/>
        </w:rPr>
        <w:t>á</w:t>
      </w:r>
      <w:r>
        <w:rPr>
          <w:sz w:val="18"/>
          <w:szCs w:val="18"/>
          <w:lang w:val="es-ES_tradnl"/>
        </w:rPr>
        <w:t xml:space="preserve">rrafo (1) </w:t>
      </w:r>
      <w:r>
        <w:rPr>
          <w:spacing w:val="-6"/>
          <w:sz w:val="18"/>
          <w:szCs w:val="18"/>
          <w:lang w:val="es-ES_tradnl"/>
        </w:rPr>
        <w:t>del presente Art</w:t>
      </w:r>
      <w:r>
        <w:rPr>
          <w:rFonts w:cs="Times New Roman"/>
          <w:spacing w:val="-6"/>
          <w:sz w:val="18"/>
          <w:szCs w:val="18"/>
          <w:lang w:val="es-ES_tradnl"/>
        </w:rPr>
        <w:t>í</w:t>
      </w:r>
      <w:r>
        <w:rPr>
          <w:spacing w:val="-6"/>
          <w:sz w:val="18"/>
          <w:szCs w:val="18"/>
          <w:lang w:val="es-ES_tradnl"/>
        </w:rPr>
        <w:t>culo, deber</w:t>
      </w:r>
      <w:r>
        <w:rPr>
          <w:rFonts w:cs="Times New Roman"/>
          <w:spacing w:val="-6"/>
          <w:sz w:val="18"/>
          <w:szCs w:val="18"/>
          <w:lang w:val="es-ES_tradnl"/>
        </w:rPr>
        <w:t>á</w:t>
      </w:r>
      <w:r>
        <w:rPr>
          <w:spacing w:val="-6"/>
          <w:sz w:val="18"/>
          <w:szCs w:val="18"/>
          <w:lang w:val="es-ES_tradnl"/>
        </w:rPr>
        <w:t xml:space="preserve"> solicitar la celebraci</w:t>
      </w:r>
      <w:r>
        <w:rPr>
          <w:rFonts w:cs="Times New Roman"/>
          <w:spacing w:val="-6"/>
          <w:sz w:val="18"/>
          <w:szCs w:val="18"/>
          <w:lang w:val="es-ES_tradnl"/>
        </w:rPr>
        <w:t>ó</w:t>
      </w:r>
      <w:r>
        <w:rPr>
          <w:spacing w:val="-6"/>
          <w:sz w:val="18"/>
          <w:szCs w:val="18"/>
          <w:lang w:val="es-ES_tradnl"/>
        </w:rPr>
        <w:t xml:space="preserve">n de </w:t>
      </w:r>
      <w:r>
        <w:rPr>
          <w:spacing w:val="-10"/>
          <w:sz w:val="18"/>
          <w:szCs w:val="18"/>
          <w:lang w:val="es-ES_tradnl"/>
        </w:rPr>
        <w:t>consultas y notificar</w:t>
      </w:r>
      <w:r>
        <w:rPr>
          <w:rFonts w:cs="Times New Roman"/>
          <w:spacing w:val="-10"/>
          <w:sz w:val="18"/>
          <w:szCs w:val="18"/>
          <w:lang w:val="es-ES_tradnl"/>
        </w:rPr>
        <w:t>á</w:t>
      </w:r>
      <w:r>
        <w:rPr>
          <w:spacing w:val="-10"/>
          <w:sz w:val="18"/>
          <w:szCs w:val="18"/>
          <w:lang w:val="es-ES_tradnl"/>
        </w:rPr>
        <w:t xml:space="preserve"> sin demora a la otra Parte Contratante </w:t>
      </w:r>
      <w:r>
        <w:rPr>
          <w:spacing w:val="-9"/>
          <w:sz w:val="18"/>
          <w:szCs w:val="18"/>
          <w:lang w:val="es-ES_tradnl"/>
        </w:rPr>
        <w:t xml:space="preserve">las razones de su descontento. Estas consultas tienen que </w:t>
      </w:r>
      <w:r>
        <w:rPr>
          <w:spacing w:val="-6"/>
          <w:sz w:val="18"/>
          <w:szCs w:val="18"/>
          <w:lang w:val="es-ES_tradnl"/>
        </w:rPr>
        <w:t>realizarse dentro de los treinta (30) d</w:t>
      </w:r>
      <w:r>
        <w:rPr>
          <w:rFonts w:cs="Times New Roman"/>
          <w:spacing w:val="-6"/>
          <w:sz w:val="18"/>
          <w:szCs w:val="18"/>
          <w:lang w:val="es-ES_tradnl"/>
        </w:rPr>
        <w:t>í</w:t>
      </w:r>
      <w:r>
        <w:rPr>
          <w:spacing w:val="-6"/>
          <w:sz w:val="18"/>
          <w:szCs w:val="18"/>
          <w:lang w:val="es-ES_tradnl"/>
        </w:rPr>
        <w:t xml:space="preserve">as siguientes a la </w:t>
      </w:r>
      <w:r>
        <w:rPr>
          <w:spacing w:val="-8"/>
          <w:sz w:val="18"/>
          <w:szCs w:val="18"/>
          <w:lang w:val="es-ES_tradnl"/>
        </w:rPr>
        <w:t>recepci</w:t>
      </w:r>
      <w:r>
        <w:rPr>
          <w:rFonts w:cs="Times New Roman"/>
          <w:spacing w:val="-8"/>
          <w:sz w:val="18"/>
          <w:szCs w:val="18"/>
          <w:lang w:val="es-ES_tradnl"/>
        </w:rPr>
        <w:t>ó</w:t>
      </w:r>
      <w:r>
        <w:rPr>
          <w:spacing w:val="-8"/>
          <w:sz w:val="18"/>
          <w:szCs w:val="18"/>
          <w:lang w:val="es-ES_tradnl"/>
        </w:rPr>
        <w:t>n de la solicitud, y las Partes Contratantes deber</w:t>
      </w:r>
      <w:r>
        <w:rPr>
          <w:rFonts w:cs="Times New Roman"/>
          <w:spacing w:val="-8"/>
          <w:sz w:val="18"/>
          <w:szCs w:val="18"/>
          <w:lang w:val="es-ES_tradnl"/>
        </w:rPr>
        <w:t>á</w:t>
      </w:r>
      <w:r>
        <w:rPr>
          <w:spacing w:val="-8"/>
          <w:sz w:val="18"/>
          <w:szCs w:val="18"/>
          <w:lang w:val="es-ES_tradnl"/>
        </w:rPr>
        <w:t xml:space="preserve">n </w:t>
      </w:r>
      <w:r>
        <w:rPr>
          <w:spacing w:val="-9"/>
          <w:sz w:val="18"/>
          <w:szCs w:val="18"/>
          <w:lang w:val="es-ES_tradnl"/>
        </w:rPr>
        <w:t>cooperar   para   obtener   la   informaci</w:t>
      </w:r>
      <w:r>
        <w:rPr>
          <w:rFonts w:cs="Times New Roman"/>
          <w:spacing w:val="-9"/>
          <w:sz w:val="18"/>
          <w:szCs w:val="18"/>
          <w:lang w:val="es-ES_tradnl"/>
        </w:rPr>
        <w:t>ó</w:t>
      </w:r>
      <w:r>
        <w:rPr>
          <w:spacing w:val="-9"/>
          <w:sz w:val="18"/>
          <w:szCs w:val="18"/>
          <w:lang w:val="es-ES_tradnl"/>
        </w:rPr>
        <w:t>n   necesaria   para</w:t>
      </w:r>
    </w:p>
    <w:p w14:paraId="4F67A3A6" w14:textId="77777777" w:rsidR="00591D54" w:rsidRDefault="00591D54">
      <w:pPr>
        <w:shd w:val="clear" w:color="auto" w:fill="FFFFFF"/>
        <w:spacing w:before="197" w:line="216" w:lineRule="exact"/>
        <w:jc w:val="both"/>
        <w:sectPr w:rsidR="00591D54" w:rsidSect="00171846">
          <w:type w:val="continuous"/>
          <w:pgSz w:w="11909" w:h="16834"/>
          <w:pgMar w:top="1373" w:right="1309" w:bottom="360" w:left="993" w:header="720" w:footer="720" w:gutter="0"/>
          <w:cols w:num="2" w:space="720" w:equalWidth="0">
            <w:col w:w="4620" w:space="682"/>
            <w:col w:w="4305"/>
          </w:cols>
          <w:noEndnote/>
        </w:sectPr>
      </w:pPr>
    </w:p>
    <w:p w14:paraId="4F67A3A7" w14:textId="77777777" w:rsidR="00591D54" w:rsidRDefault="00591D54">
      <w:pPr>
        <w:shd w:val="clear" w:color="auto" w:fill="FFFFFF"/>
        <w:tabs>
          <w:tab w:val="left" w:pos="606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- 9</w:t>
      </w:r>
    </w:p>
    <w:p w14:paraId="4F67A3A8" w14:textId="77777777" w:rsidR="00591D54" w:rsidRDefault="00591D54">
      <w:pPr>
        <w:shd w:val="clear" w:color="auto" w:fill="FFFFFF"/>
        <w:tabs>
          <w:tab w:val="left" w:pos="6062"/>
        </w:tabs>
        <w:spacing w:after="235"/>
        <w:ind w:left="5"/>
        <w:sectPr w:rsidR="00591D54">
          <w:pgSz w:w="11909" w:h="16834"/>
          <w:pgMar w:top="1364" w:right="1309" w:bottom="360" w:left="1308" w:header="720" w:footer="720" w:gutter="0"/>
          <w:cols w:space="60"/>
          <w:noEndnote/>
        </w:sectPr>
      </w:pPr>
    </w:p>
    <w:p w14:paraId="4F67A3A9" w14:textId="77777777" w:rsidR="00591D54" w:rsidRDefault="00591D54">
      <w:pPr>
        <w:shd w:val="clear" w:color="auto" w:fill="FFFFFF"/>
        <w:spacing w:line="211" w:lineRule="exact"/>
        <w:jc w:val="both"/>
      </w:pPr>
      <w:r>
        <w:rPr>
          <w:spacing w:val="-7"/>
          <w:sz w:val="18"/>
          <w:szCs w:val="18"/>
          <w:lang w:val="es-ES_tradnl"/>
        </w:rPr>
        <w:t>llegar a una soluci</w:t>
      </w:r>
      <w:r>
        <w:rPr>
          <w:rFonts w:cs="Times New Roman"/>
          <w:spacing w:val="-7"/>
          <w:sz w:val="18"/>
          <w:szCs w:val="18"/>
          <w:lang w:val="es-ES_tradnl"/>
        </w:rPr>
        <w:t>ó</w:t>
      </w:r>
      <w:r>
        <w:rPr>
          <w:spacing w:val="-7"/>
          <w:sz w:val="18"/>
          <w:szCs w:val="18"/>
          <w:lang w:val="es-ES_tradnl"/>
        </w:rPr>
        <w:t xml:space="preserve">n razonada al problema. Si las Partes </w:t>
      </w:r>
      <w:r>
        <w:rPr>
          <w:spacing w:val="-5"/>
          <w:sz w:val="18"/>
          <w:szCs w:val="18"/>
          <w:lang w:val="es-ES_tradnl"/>
        </w:rPr>
        <w:t xml:space="preserve">Contratantes llegan a un acuerdo sobre un precio por el </w:t>
      </w:r>
      <w:r>
        <w:rPr>
          <w:spacing w:val="-8"/>
          <w:sz w:val="18"/>
          <w:szCs w:val="18"/>
          <w:lang w:val="es-ES_tradnl"/>
        </w:rPr>
        <w:t>que han presentado una notificaci</w:t>
      </w:r>
      <w:r>
        <w:rPr>
          <w:rFonts w:cs="Times New Roman"/>
          <w:spacing w:val="-8"/>
          <w:sz w:val="18"/>
          <w:szCs w:val="18"/>
          <w:lang w:val="es-ES_tradnl"/>
        </w:rPr>
        <w:t>ó</w:t>
      </w:r>
      <w:r>
        <w:rPr>
          <w:spacing w:val="-8"/>
          <w:sz w:val="18"/>
          <w:szCs w:val="18"/>
          <w:lang w:val="es-ES_tradnl"/>
        </w:rPr>
        <w:t>n de descontento, cada Parte Contratante deber</w:t>
      </w:r>
      <w:r>
        <w:rPr>
          <w:rFonts w:cs="Times New Roman"/>
          <w:spacing w:val="-8"/>
          <w:sz w:val="18"/>
          <w:szCs w:val="18"/>
          <w:lang w:val="es-ES_tradnl"/>
        </w:rPr>
        <w:t>á</w:t>
      </w:r>
      <w:r>
        <w:rPr>
          <w:spacing w:val="-8"/>
          <w:sz w:val="18"/>
          <w:szCs w:val="18"/>
          <w:lang w:val="es-ES_tradnl"/>
        </w:rPr>
        <w:t xml:space="preserve"> hacer todo lo posible para aplicar </w:t>
      </w:r>
      <w:r>
        <w:rPr>
          <w:spacing w:val="-6"/>
          <w:sz w:val="18"/>
          <w:szCs w:val="18"/>
          <w:lang w:val="es-ES_tradnl"/>
        </w:rPr>
        <w:t xml:space="preserve">el acuerdo. Si no se llega a un acuerdo mutuo, el precio </w:t>
      </w:r>
      <w:r>
        <w:rPr>
          <w:sz w:val="18"/>
          <w:szCs w:val="18"/>
          <w:lang w:val="es-ES_tradnl"/>
        </w:rPr>
        <w:t>entrar</w:t>
      </w:r>
      <w:r>
        <w:rPr>
          <w:rFonts w:cs="Times New Roman"/>
          <w:sz w:val="18"/>
          <w:szCs w:val="18"/>
          <w:lang w:val="es-ES_tradnl"/>
        </w:rPr>
        <w:t>á</w:t>
      </w:r>
      <w:r>
        <w:rPr>
          <w:sz w:val="18"/>
          <w:szCs w:val="18"/>
          <w:lang w:val="es-ES_tradnl"/>
        </w:rPr>
        <w:t xml:space="preserve"> en vigor o contin</w:t>
      </w:r>
      <w:r>
        <w:rPr>
          <w:rFonts w:cs="Times New Roman"/>
          <w:sz w:val="18"/>
          <w:szCs w:val="18"/>
          <w:lang w:val="es-ES_tradnl"/>
        </w:rPr>
        <w:t>ú</w:t>
      </w:r>
      <w:r>
        <w:rPr>
          <w:sz w:val="18"/>
          <w:szCs w:val="18"/>
          <w:lang w:val="es-ES_tradnl"/>
        </w:rPr>
        <w:t>a en efecto.</w:t>
      </w:r>
    </w:p>
    <w:p w14:paraId="4F67A3AA" w14:textId="77777777" w:rsidR="00591D54" w:rsidRDefault="00591D54">
      <w:pPr>
        <w:shd w:val="clear" w:color="auto" w:fill="FFFFFF"/>
        <w:spacing w:before="192" w:line="211" w:lineRule="exact"/>
        <w:jc w:val="both"/>
      </w:pPr>
      <w:r>
        <w:rPr>
          <w:spacing w:val="-8"/>
          <w:sz w:val="18"/>
          <w:szCs w:val="18"/>
          <w:lang w:val="es-ES_tradnl"/>
        </w:rPr>
        <w:t>(4) En cualquier caso, respecto a las tarifas, deber</w:t>
      </w:r>
      <w:r>
        <w:rPr>
          <w:rFonts w:cs="Times New Roman"/>
          <w:spacing w:val="-8"/>
          <w:sz w:val="18"/>
          <w:szCs w:val="18"/>
          <w:lang w:val="es-ES_tradnl"/>
        </w:rPr>
        <w:t>á</w:t>
      </w:r>
      <w:r>
        <w:rPr>
          <w:spacing w:val="-8"/>
          <w:sz w:val="18"/>
          <w:szCs w:val="18"/>
          <w:lang w:val="es-ES_tradnl"/>
        </w:rPr>
        <w:t xml:space="preserve"> ser de </w:t>
      </w:r>
      <w:r>
        <w:rPr>
          <w:spacing w:val="-6"/>
          <w:sz w:val="18"/>
          <w:szCs w:val="18"/>
          <w:lang w:val="es-ES_tradnl"/>
        </w:rPr>
        <w:t>conformidad con el principio conocido del pa</w:t>
      </w:r>
      <w:r>
        <w:rPr>
          <w:rFonts w:cs="Times New Roman"/>
          <w:spacing w:val="-6"/>
          <w:sz w:val="18"/>
          <w:szCs w:val="18"/>
          <w:lang w:val="es-ES_tradnl"/>
        </w:rPr>
        <w:t>í</w:t>
      </w:r>
      <w:r>
        <w:rPr>
          <w:spacing w:val="-6"/>
          <w:sz w:val="18"/>
          <w:szCs w:val="18"/>
          <w:lang w:val="es-ES_tradnl"/>
        </w:rPr>
        <w:t>s de origen.</w:t>
      </w:r>
    </w:p>
    <w:p w14:paraId="4F67A3AB" w14:textId="77777777" w:rsidR="00591D54" w:rsidRDefault="00591D54">
      <w:pPr>
        <w:shd w:val="clear" w:color="auto" w:fill="FFFFFF"/>
        <w:spacing w:before="187" w:line="211" w:lineRule="exact"/>
        <w:ind w:left="1162" w:right="979" w:firstLine="394"/>
      </w:pPr>
      <w:r>
        <w:rPr>
          <w:b/>
          <w:bCs/>
          <w:sz w:val="18"/>
          <w:szCs w:val="18"/>
          <w:lang w:val="es-ES_tradnl"/>
        </w:rPr>
        <w:t>ART</w:t>
      </w:r>
      <w:r>
        <w:rPr>
          <w:rFonts w:cs="Times New Roman"/>
          <w:b/>
          <w:bCs/>
          <w:sz w:val="18"/>
          <w:szCs w:val="18"/>
          <w:lang w:val="es-ES_tradnl"/>
        </w:rPr>
        <w:t>Í</w:t>
      </w:r>
      <w:r>
        <w:rPr>
          <w:b/>
          <w:bCs/>
          <w:sz w:val="18"/>
          <w:szCs w:val="18"/>
          <w:lang w:val="es-ES_tradnl"/>
        </w:rPr>
        <w:t xml:space="preserve">CULO 14 </w:t>
      </w:r>
      <w:r>
        <w:rPr>
          <w:b/>
          <w:bCs/>
          <w:spacing w:val="-12"/>
          <w:sz w:val="18"/>
          <w:szCs w:val="18"/>
          <w:lang w:val="es-ES_tradnl"/>
        </w:rPr>
        <w:t>Transferencias de Fondos</w:t>
      </w:r>
    </w:p>
    <w:p w14:paraId="4F67A3AC" w14:textId="77777777" w:rsidR="00591D54" w:rsidRDefault="00591D54">
      <w:pPr>
        <w:shd w:val="clear" w:color="auto" w:fill="FFFFFF"/>
        <w:spacing w:before="192" w:line="211" w:lineRule="exact"/>
        <w:jc w:val="both"/>
      </w:pPr>
      <w:r>
        <w:rPr>
          <w:spacing w:val="-11"/>
          <w:sz w:val="18"/>
          <w:szCs w:val="18"/>
          <w:lang w:val="es-ES_tradnl"/>
        </w:rPr>
        <w:t>Las l</w:t>
      </w:r>
      <w:r>
        <w:rPr>
          <w:rFonts w:cs="Times New Roman"/>
          <w:spacing w:val="-11"/>
          <w:sz w:val="18"/>
          <w:szCs w:val="18"/>
          <w:lang w:val="es-ES_tradnl"/>
        </w:rPr>
        <w:t>í</w:t>
      </w:r>
      <w:r>
        <w:rPr>
          <w:spacing w:val="-11"/>
          <w:sz w:val="18"/>
          <w:szCs w:val="18"/>
          <w:lang w:val="es-ES_tradnl"/>
        </w:rPr>
        <w:t>neas a</w:t>
      </w:r>
      <w:r>
        <w:rPr>
          <w:rFonts w:cs="Times New Roman"/>
          <w:spacing w:val="-11"/>
          <w:sz w:val="18"/>
          <w:szCs w:val="18"/>
          <w:lang w:val="es-ES_tradnl"/>
        </w:rPr>
        <w:t>é</w:t>
      </w:r>
      <w:r>
        <w:rPr>
          <w:spacing w:val="-11"/>
          <w:sz w:val="18"/>
          <w:szCs w:val="18"/>
          <w:lang w:val="es-ES_tradnl"/>
        </w:rPr>
        <w:t>reas de cada Parte Contratante tendr</w:t>
      </w:r>
      <w:r>
        <w:rPr>
          <w:rFonts w:cs="Times New Roman"/>
          <w:spacing w:val="-11"/>
          <w:sz w:val="18"/>
          <w:szCs w:val="18"/>
          <w:lang w:val="es-ES_tradnl"/>
        </w:rPr>
        <w:t>á</w:t>
      </w:r>
      <w:r>
        <w:rPr>
          <w:spacing w:val="-11"/>
          <w:sz w:val="18"/>
          <w:szCs w:val="18"/>
          <w:lang w:val="es-ES_tradnl"/>
        </w:rPr>
        <w:t xml:space="preserve">n derecho </w:t>
      </w:r>
      <w:r>
        <w:rPr>
          <w:spacing w:val="-5"/>
          <w:sz w:val="18"/>
          <w:szCs w:val="18"/>
          <w:lang w:val="es-ES_tradnl"/>
        </w:rPr>
        <w:t>a transferir los fondos al territorio de su pa</w:t>
      </w:r>
      <w:r>
        <w:rPr>
          <w:rFonts w:cs="Times New Roman"/>
          <w:spacing w:val="-5"/>
          <w:sz w:val="18"/>
          <w:szCs w:val="18"/>
          <w:lang w:val="es-ES_tradnl"/>
        </w:rPr>
        <w:t>í</w:t>
      </w:r>
      <w:r>
        <w:rPr>
          <w:spacing w:val="-5"/>
          <w:sz w:val="18"/>
          <w:szCs w:val="18"/>
          <w:lang w:val="es-ES_tradnl"/>
        </w:rPr>
        <w:t xml:space="preserve">s desde el </w:t>
      </w:r>
      <w:r>
        <w:rPr>
          <w:spacing w:val="-7"/>
          <w:sz w:val="18"/>
          <w:szCs w:val="18"/>
          <w:lang w:val="es-ES_tradnl"/>
        </w:rPr>
        <w:t xml:space="preserve">territorio de venta, de conformidad con las leyes aplicables </w:t>
      </w:r>
      <w:r>
        <w:rPr>
          <w:spacing w:val="-10"/>
          <w:sz w:val="18"/>
          <w:szCs w:val="18"/>
          <w:lang w:val="es-ES_tradnl"/>
        </w:rPr>
        <w:t>en cada pa</w:t>
      </w:r>
      <w:r>
        <w:rPr>
          <w:rFonts w:cs="Times New Roman"/>
          <w:spacing w:val="-10"/>
          <w:sz w:val="18"/>
          <w:szCs w:val="18"/>
          <w:lang w:val="es-ES_tradnl"/>
        </w:rPr>
        <w:t>í</w:t>
      </w:r>
      <w:r>
        <w:rPr>
          <w:spacing w:val="-10"/>
          <w:sz w:val="18"/>
          <w:szCs w:val="18"/>
          <w:lang w:val="es-ES_tradnl"/>
        </w:rPr>
        <w:t xml:space="preserve">s y, en general, teniendo en cuenta los acuerdos </w:t>
      </w:r>
      <w:r>
        <w:rPr>
          <w:spacing w:val="-9"/>
          <w:sz w:val="18"/>
          <w:szCs w:val="18"/>
          <w:lang w:val="es-ES_tradnl"/>
        </w:rPr>
        <w:t>bilaterales, leyes y regulaciones de cada Parte Contratante.</w:t>
      </w:r>
    </w:p>
    <w:p w14:paraId="4F67A3AD" w14:textId="77777777" w:rsidR="00591D54" w:rsidRDefault="00591D54">
      <w:pPr>
        <w:shd w:val="clear" w:color="auto" w:fill="FFFFFF"/>
        <w:spacing w:before="187" w:line="211" w:lineRule="exact"/>
        <w:ind w:left="1195" w:right="979" w:firstLine="360"/>
      </w:pPr>
      <w:r>
        <w:rPr>
          <w:b/>
          <w:bCs/>
          <w:sz w:val="18"/>
          <w:szCs w:val="18"/>
          <w:lang w:val="es-ES_tradnl"/>
        </w:rPr>
        <w:t>ART</w:t>
      </w:r>
      <w:r>
        <w:rPr>
          <w:rFonts w:cs="Times New Roman"/>
          <w:b/>
          <w:bCs/>
          <w:sz w:val="18"/>
          <w:szCs w:val="18"/>
          <w:lang w:val="es-ES_tradnl"/>
        </w:rPr>
        <w:t>Í</w:t>
      </w:r>
      <w:r>
        <w:rPr>
          <w:b/>
          <w:bCs/>
          <w:sz w:val="18"/>
          <w:szCs w:val="18"/>
          <w:lang w:val="es-ES_tradnl"/>
        </w:rPr>
        <w:t xml:space="preserve">CULO 15 </w:t>
      </w:r>
      <w:r>
        <w:rPr>
          <w:b/>
          <w:bCs/>
          <w:spacing w:val="-11"/>
          <w:sz w:val="18"/>
          <w:szCs w:val="18"/>
          <w:lang w:val="es-ES_tradnl"/>
        </w:rPr>
        <w:t>Actividades Comerciales</w:t>
      </w:r>
    </w:p>
    <w:p w14:paraId="4F67A3AE" w14:textId="77777777" w:rsidR="00591D54" w:rsidRDefault="00591D54">
      <w:pPr>
        <w:shd w:val="clear" w:color="auto" w:fill="FFFFFF"/>
        <w:tabs>
          <w:tab w:val="left" w:pos="250"/>
        </w:tabs>
        <w:spacing w:before="192" w:line="211" w:lineRule="exact"/>
        <w:jc w:val="both"/>
      </w:pPr>
      <w:r>
        <w:rPr>
          <w:spacing w:val="-6"/>
          <w:sz w:val="18"/>
          <w:szCs w:val="18"/>
          <w:lang w:val="es-ES_tradnl"/>
        </w:rPr>
        <w:t>(1)</w:t>
      </w:r>
      <w:r>
        <w:rPr>
          <w:sz w:val="18"/>
          <w:szCs w:val="18"/>
          <w:lang w:val="es-ES_tradnl"/>
        </w:rPr>
        <w:tab/>
      </w:r>
      <w:r>
        <w:rPr>
          <w:spacing w:val="-8"/>
          <w:sz w:val="18"/>
          <w:szCs w:val="18"/>
          <w:lang w:val="es-ES_tradnl"/>
        </w:rPr>
        <w:t>Con sujeci</w:t>
      </w:r>
      <w:r>
        <w:rPr>
          <w:rFonts w:cs="Times New Roman"/>
          <w:spacing w:val="-8"/>
          <w:sz w:val="18"/>
          <w:szCs w:val="18"/>
          <w:lang w:val="es-ES_tradnl"/>
        </w:rPr>
        <w:t>ó</w:t>
      </w:r>
      <w:r>
        <w:rPr>
          <w:spacing w:val="-8"/>
          <w:sz w:val="18"/>
          <w:szCs w:val="18"/>
          <w:lang w:val="es-ES_tradnl"/>
        </w:rPr>
        <w:t>n a las leyes y regulaciones de la otra Parte </w:t>
      </w:r>
      <w:r>
        <w:rPr>
          <w:spacing w:val="-10"/>
          <w:sz w:val="18"/>
          <w:szCs w:val="18"/>
          <w:lang w:val="es-ES_tradnl"/>
        </w:rPr>
        <w:t>Contratante, a la l</w:t>
      </w:r>
      <w:r>
        <w:rPr>
          <w:rFonts w:cs="Times New Roman"/>
          <w:spacing w:val="-10"/>
          <w:sz w:val="18"/>
          <w:szCs w:val="18"/>
          <w:lang w:val="es-ES_tradnl"/>
        </w:rPr>
        <w:t>í</w:t>
      </w:r>
      <w:r>
        <w:rPr>
          <w:spacing w:val="-10"/>
          <w:sz w:val="18"/>
          <w:szCs w:val="18"/>
          <w:lang w:val="es-ES_tradnl"/>
        </w:rPr>
        <w:t>nea a</w:t>
      </w:r>
      <w:r>
        <w:rPr>
          <w:rFonts w:cs="Times New Roman"/>
          <w:spacing w:val="-10"/>
          <w:sz w:val="18"/>
          <w:szCs w:val="18"/>
          <w:lang w:val="es-ES_tradnl"/>
        </w:rPr>
        <w:t>é</w:t>
      </w:r>
      <w:r>
        <w:rPr>
          <w:spacing w:val="-10"/>
          <w:sz w:val="18"/>
          <w:szCs w:val="18"/>
          <w:lang w:val="es-ES_tradnl"/>
        </w:rPr>
        <w:t>rea o l</w:t>
      </w:r>
      <w:r>
        <w:rPr>
          <w:rFonts w:cs="Times New Roman"/>
          <w:spacing w:val="-10"/>
          <w:sz w:val="18"/>
          <w:szCs w:val="18"/>
          <w:lang w:val="es-ES_tradnl"/>
        </w:rPr>
        <w:t>í</w:t>
      </w:r>
      <w:r>
        <w:rPr>
          <w:spacing w:val="-10"/>
          <w:sz w:val="18"/>
          <w:szCs w:val="18"/>
          <w:lang w:val="es-ES_tradnl"/>
        </w:rPr>
        <w:t>neas a</w:t>
      </w:r>
      <w:r>
        <w:rPr>
          <w:rFonts w:cs="Times New Roman"/>
          <w:spacing w:val="-10"/>
          <w:sz w:val="18"/>
          <w:szCs w:val="18"/>
          <w:lang w:val="es-ES_tradnl"/>
        </w:rPr>
        <w:t>é</w:t>
      </w:r>
      <w:r>
        <w:rPr>
          <w:spacing w:val="-10"/>
          <w:sz w:val="18"/>
          <w:szCs w:val="18"/>
          <w:lang w:val="es-ES_tradnl"/>
        </w:rPr>
        <w:t>reas designadas de </w:t>
      </w:r>
      <w:r>
        <w:rPr>
          <w:sz w:val="18"/>
          <w:szCs w:val="18"/>
          <w:lang w:val="es-ES_tradnl"/>
        </w:rPr>
        <w:t>cada Parte Contratante se les permitir</w:t>
      </w:r>
      <w:r>
        <w:rPr>
          <w:rFonts w:cs="Times New Roman"/>
          <w:sz w:val="18"/>
          <w:szCs w:val="18"/>
          <w:lang w:val="es-ES_tradnl"/>
        </w:rPr>
        <w:t>á</w:t>
      </w:r>
      <w:r>
        <w:rPr>
          <w:sz w:val="18"/>
          <w:szCs w:val="18"/>
          <w:lang w:val="es-ES_tradnl"/>
        </w:rPr>
        <w:t>:</w:t>
      </w:r>
    </w:p>
    <w:p w14:paraId="4F67A3AF" w14:textId="77777777" w:rsidR="00591D54" w:rsidRDefault="00591D54">
      <w:pPr>
        <w:shd w:val="clear" w:color="auto" w:fill="FFFFFF"/>
        <w:tabs>
          <w:tab w:val="left" w:pos="547"/>
        </w:tabs>
        <w:spacing w:before="192" w:line="211" w:lineRule="exact"/>
        <w:ind w:left="283"/>
        <w:jc w:val="both"/>
      </w:pPr>
      <w:r>
        <w:rPr>
          <w:spacing w:val="-9"/>
          <w:sz w:val="18"/>
          <w:szCs w:val="18"/>
          <w:lang w:val="es-ES_tradnl"/>
        </w:rPr>
        <w:t>(a)</w:t>
      </w:r>
      <w:r>
        <w:rPr>
          <w:sz w:val="18"/>
          <w:szCs w:val="18"/>
          <w:lang w:val="es-ES_tradnl"/>
        </w:rPr>
        <w:tab/>
      </w:r>
      <w:r>
        <w:rPr>
          <w:spacing w:val="-6"/>
          <w:sz w:val="18"/>
          <w:szCs w:val="18"/>
          <w:lang w:val="es-ES_tradnl"/>
        </w:rPr>
        <w:t>Establecer oficinas en el territorio de la otra Parte Contratante para la promoci</w:t>
      </w:r>
      <w:r>
        <w:rPr>
          <w:rFonts w:cs="Times New Roman"/>
          <w:spacing w:val="-6"/>
          <w:sz w:val="18"/>
          <w:szCs w:val="18"/>
          <w:lang w:val="es-ES_tradnl"/>
        </w:rPr>
        <w:t>ó</w:t>
      </w:r>
      <w:r>
        <w:rPr>
          <w:spacing w:val="-6"/>
          <w:sz w:val="18"/>
          <w:szCs w:val="18"/>
          <w:lang w:val="es-ES_tradnl"/>
        </w:rPr>
        <w:t>n y venta de transporte </w:t>
      </w:r>
      <w:r>
        <w:rPr>
          <w:sz w:val="18"/>
          <w:szCs w:val="18"/>
          <w:lang w:val="es-ES_tradnl"/>
        </w:rPr>
        <w:t>a</w:t>
      </w:r>
      <w:r>
        <w:rPr>
          <w:rFonts w:cs="Times New Roman"/>
          <w:sz w:val="18"/>
          <w:szCs w:val="18"/>
          <w:lang w:val="es-ES_tradnl"/>
        </w:rPr>
        <w:t>é</w:t>
      </w:r>
      <w:r>
        <w:rPr>
          <w:sz w:val="18"/>
          <w:szCs w:val="18"/>
          <w:lang w:val="es-ES_tradnl"/>
        </w:rPr>
        <w:t>reo;</w:t>
      </w:r>
    </w:p>
    <w:p w14:paraId="4F67A3B0" w14:textId="77777777" w:rsidR="00591D54" w:rsidRDefault="00591D54">
      <w:pPr>
        <w:shd w:val="clear" w:color="auto" w:fill="FFFFFF"/>
        <w:tabs>
          <w:tab w:val="left" w:pos="605"/>
        </w:tabs>
        <w:spacing w:before="192" w:line="211" w:lineRule="exact"/>
        <w:ind w:left="283"/>
        <w:jc w:val="both"/>
      </w:pPr>
      <w:r>
        <w:rPr>
          <w:spacing w:val="-6"/>
          <w:sz w:val="18"/>
          <w:szCs w:val="18"/>
          <w:lang w:val="es-ES_tradnl"/>
        </w:rPr>
        <w:t>(b)</w:t>
      </w:r>
      <w:r>
        <w:rPr>
          <w:sz w:val="18"/>
          <w:szCs w:val="18"/>
          <w:lang w:val="es-ES_tradnl"/>
        </w:rPr>
        <w:tab/>
      </w:r>
      <w:r>
        <w:rPr>
          <w:spacing w:val="-7"/>
          <w:sz w:val="18"/>
          <w:szCs w:val="18"/>
          <w:lang w:val="es-ES_tradnl"/>
        </w:rPr>
        <w:t>Toda persona tendr</w:t>
      </w:r>
      <w:r>
        <w:rPr>
          <w:rFonts w:cs="Times New Roman"/>
          <w:spacing w:val="-7"/>
          <w:sz w:val="18"/>
          <w:szCs w:val="18"/>
          <w:lang w:val="es-ES_tradnl"/>
        </w:rPr>
        <w:t>á</w:t>
      </w:r>
      <w:r>
        <w:rPr>
          <w:spacing w:val="-7"/>
          <w:sz w:val="18"/>
          <w:szCs w:val="18"/>
          <w:lang w:val="es-ES_tradnl"/>
        </w:rPr>
        <w:t xml:space="preserve"> derecho a adquirir dicho </w:t>
      </w:r>
      <w:r>
        <w:rPr>
          <w:spacing w:val="-6"/>
          <w:sz w:val="18"/>
          <w:szCs w:val="18"/>
          <w:lang w:val="es-ES_tradnl"/>
        </w:rPr>
        <w:t>transporte en la moneda de la otra Parte Contratante, </w:t>
      </w:r>
      <w:r>
        <w:rPr>
          <w:spacing w:val="-8"/>
          <w:sz w:val="18"/>
          <w:szCs w:val="18"/>
          <w:lang w:val="es-ES_tradnl"/>
        </w:rPr>
        <w:t>o en monedas libremente convertibles, de conformidad con las disposiciones de las regulaciones de control de </w:t>
      </w:r>
      <w:r>
        <w:rPr>
          <w:sz w:val="18"/>
          <w:szCs w:val="18"/>
          <w:lang w:val="es-ES_tradnl"/>
        </w:rPr>
        <w:t>divisas de esa otra Parte Contratante.</w:t>
      </w:r>
    </w:p>
    <w:p w14:paraId="4F67A3B1" w14:textId="77777777" w:rsidR="00591D54" w:rsidRDefault="00591D54" w:rsidP="00251195">
      <w:pPr>
        <w:numPr>
          <w:ilvl w:val="0"/>
          <w:numId w:val="15"/>
        </w:numPr>
        <w:shd w:val="clear" w:color="auto" w:fill="FFFFFF"/>
        <w:tabs>
          <w:tab w:val="left" w:pos="250"/>
        </w:tabs>
        <w:spacing w:before="192" w:line="211" w:lineRule="exact"/>
        <w:jc w:val="both"/>
        <w:rPr>
          <w:spacing w:val="-6"/>
          <w:sz w:val="18"/>
          <w:szCs w:val="18"/>
          <w:lang w:val="es-ES_tradnl"/>
        </w:rPr>
      </w:pPr>
      <w:r>
        <w:rPr>
          <w:spacing w:val="-7"/>
          <w:sz w:val="18"/>
          <w:szCs w:val="18"/>
          <w:lang w:val="es-ES_tradnl"/>
        </w:rPr>
        <w:t xml:space="preserve">De conformidad con las leyes y regulaciones de la otra Parte Contratante relacionadas a la entrada, residencia y </w:t>
      </w:r>
      <w:r>
        <w:rPr>
          <w:spacing w:val="-8"/>
          <w:sz w:val="18"/>
          <w:szCs w:val="18"/>
          <w:lang w:val="es-ES_tradnl"/>
        </w:rPr>
        <w:t>empleo, las l</w:t>
      </w:r>
      <w:r>
        <w:rPr>
          <w:rFonts w:cs="Times New Roman"/>
          <w:spacing w:val="-8"/>
          <w:sz w:val="18"/>
          <w:szCs w:val="18"/>
          <w:lang w:val="es-ES_tradnl"/>
        </w:rPr>
        <w:t>í</w:t>
      </w:r>
      <w:r>
        <w:rPr>
          <w:spacing w:val="-8"/>
          <w:sz w:val="18"/>
          <w:szCs w:val="18"/>
          <w:lang w:val="es-ES_tradnl"/>
        </w:rPr>
        <w:t>neas a</w:t>
      </w:r>
      <w:r>
        <w:rPr>
          <w:rFonts w:cs="Times New Roman"/>
          <w:spacing w:val="-8"/>
          <w:sz w:val="18"/>
          <w:szCs w:val="18"/>
          <w:lang w:val="es-ES_tradnl"/>
        </w:rPr>
        <w:t>é</w:t>
      </w:r>
      <w:r>
        <w:rPr>
          <w:spacing w:val="-8"/>
          <w:sz w:val="18"/>
          <w:szCs w:val="18"/>
          <w:lang w:val="es-ES_tradnl"/>
        </w:rPr>
        <w:t>reas designadas podr</w:t>
      </w:r>
      <w:r>
        <w:rPr>
          <w:rFonts w:cs="Times New Roman"/>
          <w:spacing w:val="-8"/>
          <w:sz w:val="18"/>
          <w:szCs w:val="18"/>
          <w:lang w:val="es-ES_tradnl"/>
        </w:rPr>
        <w:t>á</w:t>
      </w:r>
      <w:r>
        <w:rPr>
          <w:spacing w:val="-8"/>
          <w:sz w:val="18"/>
          <w:szCs w:val="18"/>
          <w:lang w:val="es-ES_tradnl"/>
        </w:rPr>
        <w:t xml:space="preserve">n introducir y </w:t>
      </w:r>
      <w:r>
        <w:rPr>
          <w:spacing w:val="-6"/>
          <w:sz w:val="18"/>
          <w:szCs w:val="18"/>
          <w:lang w:val="es-ES_tradnl"/>
        </w:rPr>
        <w:t>mantener en el territorio de la otra Parte Contratante, el personal administrativo, comercial, operacional y t</w:t>
      </w:r>
      <w:r>
        <w:rPr>
          <w:rFonts w:cs="Times New Roman"/>
          <w:spacing w:val="-6"/>
          <w:sz w:val="18"/>
          <w:szCs w:val="18"/>
          <w:lang w:val="es-ES_tradnl"/>
        </w:rPr>
        <w:t>é</w:t>
      </w:r>
      <w:r>
        <w:rPr>
          <w:spacing w:val="-6"/>
          <w:sz w:val="18"/>
          <w:szCs w:val="18"/>
          <w:lang w:val="es-ES_tradnl"/>
        </w:rPr>
        <w:t xml:space="preserve">cnico </w:t>
      </w:r>
      <w:r>
        <w:rPr>
          <w:spacing w:val="-8"/>
          <w:sz w:val="18"/>
          <w:szCs w:val="18"/>
          <w:lang w:val="es-ES_tradnl"/>
        </w:rPr>
        <w:t>necesario para llevar a cabo el transporte a</w:t>
      </w:r>
      <w:r>
        <w:rPr>
          <w:rFonts w:cs="Times New Roman"/>
          <w:spacing w:val="-8"/>
          <w:sz w:val="18"/>
          <w:szCs w:val="18"/>
          <w:lang w:val="es-ES_tradnl"/>
        </w:rPr>
        <w:t>é</w:t>
      </w:r>
      <w:r>
        <w:rPr>
          <w:spacing w:val="-8"/>
          <w:sz w:val="18"/>
          <w:szCs w:val="18"/>
          <w:lang w:val="es-ES_tradnl"/>
        </w:rPr>
        <w:t>reo.</w:t>
      </w:r>
    </w:p>
    <w:p w14:paraId="4F67A3B2" w14:textId="77777777" w:rsidR="00591D54" w:rsidRDefault="00591D54" w:rsidP="00251195">
      <w:pPr>
        <w:numPr>
          <w:ilvl w:val="0"/>
          <w:numId w:val="15"/>
        </w:numPr>
        <w:shd w:val="clear" w:color="auto" w:fill="FFFFFF"/>
        <w:tabs>
          <w:tab w:val="left" w:pos="250"/>
        </w:tabs>
        <w:spacing w:before="192" w:line="211" w:lineRule="exact"/>
        <w:jc w:val="both"/>
        <w:rPr>
          <w:spacing w:val="-6"/>
          <w:sz w:val="18"/>
          <w:szCs w:val="18"/>
          <w:lang w:val="es-ES_tradnl"/>
        </w:rPr>
      </w:pPr>
      <w:r>
        <w:rPr>
          <w:spacing w:val="-12"/>
          <w:sz w:val="18"/>
          <w:szCs w:val="18"/>
          <w:lang w:val="es-ES_tradnl"/>
        </w:rPr>
        <w:t>Estas necesidades de personal, a opci</w:t>
      </w:r>
      <w:r>
        <w:rPr>
          <w:rFonts w:cs="Times New Roman"/>
          <w:spacing w:val="-12"/>
          <w:sz w:val="18"/>
          <w:szCs w:val="18"/>
          <w:lang w:val="es-ES_tradnl"/>
        </w:rPr>
        <w:t>ó</w:t>
      </w:r>
      <w:r>
        <w:rPr>
          <w:spacing w:val="-12"/>
          <w:sz w:val="18"/>
          <w:szCs w:val="18"/>
          <w:lang w:val="es-ES_tradnl"/>
        </w:rPr>
        <w:t>n de la l</w:t>
      </w:r>
      <w:r>
        <w:rPr>
          <w:rFonts w:cs="Times New Roman"/>
          <w:spacing w:val="-12"/>
          <w:sz w:val="18"/>
          <w:szCs w:val="18"/>
          <w:lang w:val="es-ES_tradnl"/>
        </w:rPr>
        <w:t>í</w:t>
      </w:r>
      <w:r>
        <w:rPr>
          <w:spacing w:val="-12"/>
          <w:sz w:val="18"/>
          <w:szCs w:val="18"/>
          <w:lang w:val="es-ES_tradnl"/>
        </w:rPr>
        <w:t>nea a</w:t>
      </w:r>
      <w:r>
        <w:rPr>
          <w:rFonts w:cs="Times New Roman"/>
          <w:spacing w:val="-12"/>
          <w:sz w:val="18"/>
          <w:szCs w:val="18"/>
          <w:lang w:val="es-ES_tradnl"/>
        </w:rPr>
        <w:t>é</w:t>
      </w:r>
      <w:r>
        <w:rPr>
          <w:spacing w:val="-12"/>
          <w:sz w:val="18"/>
          <w:szCs w:val="18"/>
          <w:lang w:val="es-ES_tradnl"/>
        </w:rPr>
        <w:t xml:space="preserve">rea </w:t>
      </w:r>
      <w:r>
        <w:rPr>
          <w:spacing w:val="-7"/>
          <w:sz w:val="18"/>
          <w:szCs w:val="18"/>
          <w:lang w:val="es-ES_tradnl"/>
        </w:rPr>
        <w:t>designada, podr</w:t>
      </w:r>
      <w:r>
        <w:rPr>
          <w:rFonts w:cs="Times New Roman"/>
          <w:spacing w:val="-7"/>
          <w:sz w:val="18"/>
          <w:szCs w:val="18"/>
          <w:lang w:val="es-ES_tradnl"/>
        </w:rPr>
        <w:t>á</w:t>
      </w:r>
      <w:r>
        <w:rPr>
          <w:spacing w:val="-7"/>
          <w:sz w:val="18"/>
          <w:szCs w:val="18"/>
          <w:lang w:val="es-ES_tradnl"/>
        </w:rPr>
        <w:t xml:space="preserve">n ser cubiertas por su propio personal o </w:t>
      </w:r>
      <w:r>
        <w:rPr>
          <w:spacing w:val="-5"/>
          <w:sz w:val="18"/>
          <w:szCs w:val="18"/>
          <w:lang w:val="es-ES_tradnl"/>
        </w:rPr>
        <w:t>utilizando los servicios de cualquier otra organizaci</w:t>
      </w:r>
      <w:r>
        <w:rPr>
          <w:rFonts w:cs="Times New Roman"/>
          <w:spacing w:val="-5"/>
          <w:sz w:val="18"/>
          <w:szCs w:val="18"/>
          <w:lang w:val="es-ES_tradnl"/>
        </w:rPr>
        <w:t>ó</w:t>
      </w:r>
      <w:r>
        <w:rPr>
          <w:spacing w:val="-5"/>
          <w:sz w:val="18"/>
          <w:szCs w:val="18"/>
          <w:lang w:val="es-ES_tradnl"/>
        </w:rPr>
        <w:t xml:space="preserve">n, </w:t>
      </w:r>
      <w:r>
        <w:rPr>
          <w:spacing w:val="-7"/>
          <w:sz w:val="18"/>
          <w:szCs w:val="18"/>
          <w:lang w:val="es-ES_tradnl"/>
        </w:rPr>
        <w:t>empresa o l</w:t>
      </w:r>
      <w:r>
        <w:rPr>
          <w:rFonts w:cs="Times New Roman"/>
          <w:spacing w:val="-7"/>
          <w:sz w:val="18"/>
          <w:szCs w:val="18"/>
          <w:lang w:val="es-ES_tradnl"/>
        </w:rPr>
        <w:t>í</w:t>
      </w:r>
      <w:r>
        <w:rPr>
          <w:spacing w:val="-7"/>
          <w:sz w:val="18"/>
          <w:szCs w:val="18"/>
          <w:lang w:val="es-ES_tradnl"/>
        </w:rPr>
        <w:t>nea a</w:t>
      </w:r>
      <w:r>
        <w:rPr>
          <w:rFonts w:cs="Times New Roman"/>
          <w:spacing w:val="-7"/>
          <w:sz w:val="18"/>
          <w:szCs w:val="18"/>
          <w:lang w:val="es-ES_tradnl"/>
        </w:rPr>
        <w:t>é</w:t>
      </w:r>
      <w:r>
        <w:rPr>
          <w:spacing w:val="-7"/>
          <w:sz w:val="18"/>
          <w:szCs w:val="18"/>
          <w:lang w:val="es-ES_tradnl"/>
        </w:rPr>
        <w:t xml:space="preserve">rea que opera en el territorio de la otra </w:t>
      </w:r>
      <w:r>
        <w:rPr>
          <w:spacing w:val="-9"/>
          <w:sz w:val="18"/>
          <w:szCs w:val="18"/>
          <w:lang w:val="es-ES_tradnl"/>
        </w:rPr>
        <w:t>Parte Contratante, que est</w:t>
      </w:r>
      <w:r>
        <w:rPr>
          <w:rFonts w:cs="Times New Roman"/>
          <w:spacing w:val="-9"/>
          <w:sz w:val="18"/>
          <w:szCs w:val="18"/>
          <w:lang w:val="es-ES_tradnl"/>
        </w:rPr>
        <w:t>á</w:t>
      </w:r>
      <w:r>
        <w:rPr>
          <w:spacing w:val="-9"/>
          <w:sz w:val="18"/>
          <w:szCs w:val="18"/>
          <w:lang w:val="es-ES_tradnl"/>
        </w:rPr>
        <w:t xml:space="preserve"> autorizada para prestar estos </w:t>
      </w:r>
      <w:r>
        <w:rPr>
          <w:spacing w:val="-7"/>
          <w:sz w:val="18"/>
          <w:szCs w:val="18"/>
          <w:lang w:val="es-ES_tradnl"/>
        </w:rPr>
        <w:t>servicios en el territorio de dicha Parte Contratante.</w:t>
      </w:r>
    </w:p>
    <w:p w14:paraId="4F67A3B3" w14:textId="77777777" w:rsidR="00591D54" w:rsidRDefault="00591D54" w:rsidP="00251195">
      <w:pPr>
        <w:numPr>
          <w:ilvl w:val="0"/>
          <w:numId w:val="15"/>
        </w:numPr>
        <w:shd w:val="clear" w:color="auto" w:fill="FFFFFF"/>
        <w:tabs>
          <w:tab w:val="left" w:pos="250"/>
        </w:tabs>
        <w:spacing w:before="192" w:line="211" w:lineRule="exact"/>
        <w:jc w:val="both"/>
        <w:rPr>
          <w:spacing w:val="-6"/>
          <w:sz w:val="18"/>
          <w:szCs w:val="18"/>
          <w:lang w:val="es-ES_tradnl"/>
        </w:rPr>
      </w:pPr>
      <w:r>
        <w:rPr>
          <w:spacing w:val="-10"/>
          <w:sz w:val="18"/>
          <w:szCs w:val="18"/>
          <w:lang w:val="es-ES_tradnl"/>
        </w:rPr>
        <w:t>A la l</w:t>
      </w:r>
      <w:r>
        <w:rPr>
          <w:rFonts w:cs="Times New Roman"/>
          <w:spacing w:val="-10"/>
          <w:sz w:val="18"/>
          <w:szCs w:val="18"/>
          <w:lang w:val="es-ES_tradnl"/>
        </w:rPr>
        <w:t>í</w:t>
      </w:r>
      <w:r>
        <w:rPr>
          <w:spacing w:val="-10"/>
          <w:sz w:val="18"/>
          <w:szCs w:val="18"/>
          <w:lang w:val="es-ES_tradnl"/>
        </w:rPr>
        <w:t>nea a</w:t>
      </w:r>
      <w:r>
        <w:rPr>
          <w:rFonts w:cs="Times New Roman"/>
          <w:spacing w:val="-10"/>
          <w:sz w:val="18"/>
          <w:szCs w:val="18"/>
          <w:lang w:val="es-ES_tradnl"/>
        </w:rPr>
        <w:t>é</w:t>
      </w:r>
      <w:r>
        <w:rPr>
          <w:spacing w:val="-10"/>
          <w:sz w:val="18"/>
          <w:szCs w:val="18"/>
          <w:lang w:val="es-ES_tradnl"/>
        </w:rPr>
        <w:t xml:space="preserve">rea designada de cada Parte Contratante se </w:t>
      </w:r>
      <w:r>
        <w:rPr>
          <w:spacing w:val="-8"/>
          <w:sz w:val="18"/>
          <w:szCs w:val="18"/>
          <w:lang w:val="es-ES_tradnl"/>
        </w:rPr>
        <w:t>le deber</w:t>
      </w:r>
      <w:r>
        <w:rPr>
          <w:rFonts w:cs="Times New Roman"/>
          <w:spacing w:val="-8"/>
          <w:sz w:val="18"/>
          <w:szCs w:val="18"/>
          <w:lang w:val="es-ES_tradnl"/>
        </w:rPr>
        <w:t>á</w:t>
      </w:r>
      <w:r>
        <w:rPr>
          <w:spacing w:val="-8"/>
          <w:sz w:val="18"/>
          <w:szCs w:val="18"/>
          <w:lang w:val="es-ES_tradnl"/>
        </w:rPr>
        <w:t xml:space="preserve"> permitir que pague en moneda local los gastos </w:t>
      </w:r>
      <w:r>
        <w:rPr>
          <w:spacing w:val="-9"/>
          <w:sz w:val="18"/>
          <w:szCs w:val="18"/>
          <w:lang w:val="es-ES_tradnl"/>
        </w:rPr>
        <w:t xml:space="preserve">locales, incluyendo la compra de combustible en el territorio </w:t>
      </w:r>
      <w:r>
        <w:rPr>
          <w:spacing w:val="-3"/>
          <w:sz w:val="18"/>
          <w:szCs w:val="18"/>
          <w:lang w:val="es-ES_tradnl"/>
        </w:rPr>
        <w:t>de la otra Parte Contratante. A su elecci</w:t>
      </w:r>
      <w:r>
        <w:rPr>
          <w:rFonts w:cs="Times New Roman"/>
          <w:spacing w:val="-3"/>
          <w:sz w:val="18"/>
          <w:szCs w:val="18"/>
          <w:lang w:val="es-ES_tradnl"/>
        </w:rPr>
        <w:t>ó</w:t>
      </w:r>
      <w:r>
        <w:rPr>
          <w:spacing w:val="-3"/>
          <w:sz w:val="18"/>
          <w:szCs w:val="18"/>
          <w:lang w:val="es-ES_tradnl"/>
        </w:rPr>
        <w:t>n, las l</w:t>
      </w:r>
      <w:r>
        <w:rPr>
          <w:rFonts w:cs="Times New Roman"/>
          <w:spacing w:val="-3"/>
          <w:sz w:val="18"/>
          <w:szCs w:val="18"/>
          <w:lang w:val="es-ES_tradnl"/>
        </w:rPr>
        <w:t>í</w:t>
      </w:r>
      <w:r>
        <w:rPr>
          <w:spacing w:val="-3"/>
          <w:sz w:val="18"/>
          <w:szCs w:val="18"/>
          <w:lang w:val="es-ES_tradnl"/>
        </w:rPr>
        <w:t xml:space="preserve">neas </w:t>
      </w:r>
      <w:r>
        <w:rPr>
          <w:spacing w:val="-12"/>
          <w:sz w:val="18"/>
          <w:szCs w:val="18"/>
          <w:lang w:val="es-ES_tradnl"/>
        </w:rPr>
        <w:t>a</w:t>
      </w:r>
      <w:r>
        <w:rPr>
          <w:rFonts w:cs="Times New Roman"/>
          <w:spacing w:val="-12"/>
          <w:sz w:val="18"/>
          <w:szCs w:val="18"/>
          <w:lang w:val="es-ES_tradnl"/>
        </w:rPr>
        <w:t>é</w:t>
      </w:r>
      <w:r>
        <w:rPr>
          <w:spacing w:val="-12"/>
          <w:sz w:val="18"/>
          <w:szCs w:val="18"/>
          <w:lang w:val="es-ES_tradnl"/>
        </w:rPr>
        <w:t>reas designadas de cada Parte Contratante deber</w:t>
      </w:r>
      <w:r>
        <w:rPr>
          <w:rFonts w:cs="Times New Roman"/>
          <w:spacing w:val="-12"/>
          <w:sz w:val="18"/>
          <w:szCs w:val="18"/>
          <w:lang w:val="es-ES_tradnl"/>
        </w:rPr>
        <w:t>á</w:t>
      </w:r>
      <w:r>
        <w:rPr>
          <w:spacing w:val="-12"/>
          <w:sz w:val="18"/>
          <w:szCs w:val="18"/>
          <w:lang w:val="es-ES_tradnl"/>
        </w:rPr>
        <w:t xml:space="preserve">n pagar </w:t>
      </w:r>
      <w:r>
        <w:rPr>
          <w:spacing w:val="-5"/>
          <w:sz w:val="18"/>
          <w:szCs w:val="18"/>
          <w:lang w:val="es-ES_tradnl"/>
        </w:rPr>
        <w:t xml:space="preserve">dichos gastos en el territorio de la otra Parte Contratante </w:t>
      </w:r>
      <w:r>
        <w:rPr>
          <w:spacing w:val="-7"/>
          <w:sz w:val="18"/>
          <w:szCs w:val="18"/>
          <w:lang w:val="es-ES_tradnl"/>
        </w:rPr>
        <w:t xml:space="preserve">en una moneda libremente convertible de acuerdo con la </w:t>
      </w:r>
      <w:r>
        <w:rPr>
          <w:sz w:val="18"/>
          <w:szCs w:val="18"/>
          <w:lang w:val="es-ES_tradnl"/>
        </w:rPr>
        <w:t>regulaci</w:t>
      </w:r>
      <w:r>
        <w:rPr>
          <w:rFonts w:cs="Times New Roman"/>
          <w:sz w:val="18"/>
          <w:szCs w:val="18"/>
          <w:lang w:val="es-ES_tradnl"/>
        </w:rPr>
        <w:t>ó</w:t>
      </w:r>
      <w:r>
        <w:rPr>
          <w:sz w:val="18"/>
          <w:szCs w:val="18"/>
          <w:lang w:val="es-ES_tradnl"/>
        </w:rPr>
        <w:t>n de la moneda local.</w:t>
      </w:r>
    </w:p>
    <w:p w14:paraId="4F67A3B4" w14:textId="77777777" w:rsidR="00591D54" w:rsidRDefault="00591D54">
      <w:pPr>
        <w:shd w:val="clear" w:color="auto" w:fill="FFFFFF"/>
        <w:spacing w:before="187" w:line="211" w:lineRule="exact"/>
        <w:ind w:left="1267" w:right="979" w:firstLine="288"/>
      </w:pPr>
      <w:r>
        <w:rPr>
          <w:b/>
          <w:bCs/>
          <w:sz w:val="18"/>
          <w:szCs w:val="18"/>
          <w:lang w:val="es-ES_tradnl"/>
        </w:rPr>
        <w:t>ART</w:t>
      </w:r>
      <w:r>
        <w:rPr>
          <w:rFonts w:cs="Times New Roman"/>
          <w:b/>
          <w:bCs/>
          <w:sz w:val="18"/>
          <w:szCs w:val="18"/>
          <w:lang w:val="es-ES_tradnl"/>
        </w:rPr>
        <w:t>Í</w:t>
      </w:r>
      <w:r>
        <w:rPr>
          <w:b/>
          <w:bCs/>
          <w:sz w:val="18"/>
          <w:szCs w:val="18"/>
          <w:lang w:val="es-ES_tradnl"/>
        </w:rPr>
        <w:t xml:space="preserve">CULO 16 </w:t>
      </w:r>
      <w:r>
        <w:rPr>
          <w:b/>
          <w:bCs/>
          <w:spacing w:val="-10"/>
          <w:sz w:val="18"/>
          <w:szCs w:val="18"/>
          <w:lang w:val="es-ES_tradnl"/>
        </w:rPr>
        <w:t>Servicios Intermodales</w:t>
      </w:r>
    </w:p>
    <w:p w14:paraId="4F67A3B5" w14:textId="77777777" w:rsidR="00591D54" w:rsidRDefault="00591D54">
      <w:pPr>
        <w:shd w:val="clear" w:color="auto" w:fill="FFFFFF"/>
        <w:spacing w:before="192" w:line="211" w:lineRule="exact"/>
        <w:jc w:val="both"/>
      </w:pPr>
      <w:r>
        <w:rPr>
          <w:spacing w:val="-12"/>
          <w:sz w:val="18"/>
          <w:szCs w:val="18"/>
          <w:lang w:val="es-ES_tradnl"/>
        </w:rPr>
        <w:t>A cada l</w:t>
      </w:r>
      <w:r>
        <w:rPr>
          <w:rFonts w:cs="Times New Roman"/>
          <w:spacing w:val="-12"/>
          <w:sz w:val="18"/>
          <w:szCs w:val="18"/>
          <w:lang w:val="es-ES_tradnl"/>
        </w:rPr>
        <w:t>í</w:t>
      </w:r>
      <w:r>
        <w:rPr>
          <w:spacing w:val="-12"/>
          <w:sz w:val="18"/>
          <w:szCs w:val="18"/>
          <w:lang w:val="es-ES_tradnl"/>
        </w:rPr>
        <w:t>nea a</w:t>
      </w:r>
      <w:r>
        <w:rPr>
          <w:rFonts w:cs="Times New Roman"/>
          <w:spacing w:val="-12"/>
          <w:sz w:val="18"/>
          <w:szCs w:val="18"/>
          <w:lang w:val="es-ES_tradnl"/>
        </w:rPr>
        <w:t>é</w:t>
      </w:r>
      <w:r>
        <w:rPr>
          <w:spacing w:val="-12"/>
          <w:sz w:val="18"/>
          <w:szCs w:val="18"/>
          <w:lang w:val="es-ES_tradnl"/>
        </w:rPr>
        <w:t xml:space="preserve">rea designada de las Partes Contratantes se le </w:t>
      </w:r>
      <w:r>
        <w:rPr>
          <w:spacing w:val="-7"/>
          <w:sz w:val="18"/>
          <w:szCs w:val="18"/>
          <w:lang w:val="es-ES_tradnl"/>
        </w:rPr>
        <w:t>debe permitir utilizar modos de transporte en la superficie,</w:t>
      </w:r>
    </w:p>
    <w:p w14:paraId="4F67A3B6" w14:textId="77777777" w:rsidR="00591D54" w:rsidRDefault="00591D54">
      <w:pPr>
        <w:shd w:val="clear" w:color="auto" w:fill="FFFFFF"/>
        <w:spacing w:line="216" w:lineRule="exact"/>
        <w:jc w:val="both"/>
      </w:pPr>
      <w:r>
        <w:br w:type="column"/>
      </w:r>
      <w:r>
        <w:rPr>
          <w:spacing w:val="-7"/>
          <w:sz w:val="18"/>
          <w:szCs w:val="18"/>
          <w:lang w:val="es-ES_tradnl"/>
        </w:rPr>
        <w:t>sin restricciones, conjuntamente con los servicios a</w:t>
      </w:r>
      <w:r>
        <w:rPr>
          <w:rFonts w:cs="Times New Roman"/>
          <w:spacing w:val="-7"/>
          <w:sz w:val="18"/>
          <w:szCs w:val="18"/>
          <w:lang w:val="es-ES_tradnl"/>
        </w:rPr>
        <w:t>é</w:t>
      </w:r>
      <w:r>
        <w:rPr>
          <w:spacing w:val="-7"/>
          <w:sz w:val="18"/>
          <w:szCs w:val="18"/>
          <w:lang w:val="es-ES_tradnl"/>
        </w:rPr>
        <w:t xml:space="preserve">reos </w:t>
      </w:r>
      <w:r>
        <w:rPr>
          <w:sz w:val="18"/>
          <w:szCs w:val="18"/>
          <w:lang w:val="es-ES_tradnl"/>
        </w:rPr>
        <w:t>internacionales para pasajeros y carga.</w:t>
      </w:r>
    </w:p>
    <w:p w14:paraId="4F67A3B7" w14:textId="77777777" w:rsidR="00591D54" w:rsidRDefault="00591D54">
      <w:pPr>
        <w:shd w:val="clear" w:color="auto" w:fill="FFFFFF"/>
        <w:spacing w:before="187" w:line="216" w:lineRule="exact"/>
        <w:ind w:left="1555" w:right="1555"/>
        <w:jc w:val="center"/>
      </w:pPr>
      <w:r>
        <w:rPr>
          <w:b/>
          <w:bCs/>
          <w:spacing w:val="-1"/>
          <w:sz w:val="18"/>
          <w:szCs w:val="18"/>
          <w:lang w:val="es-ES_tradnl"/>
        </w:rPr>
        <w:t>ART</w:t>
      </w:r>
      <w:r>
        <w:rPr>
          <w:rFonts w:cs="Times New Roman"/>
          <w:b/>
          <w:bCs/>
          <w:spacing w:val="-1"/>
          <w:sz w:val="18"/>
          <w:szCs w:val="18"/>
          <w:lang w:val="es-ES_tradnl"/>
        </w:rPr>
        <w:t>Í</w:t>
      </w:r>
      <w:r>
        <w:rPr>
          <w:b/>
          <w:bCs/>
          <w:spacing w:val="-1"/>
          <w:sz w:val="18"/>
          <w:szCs w:val="18"/>
          <w:lang w:val="es-ES_tradnl"/>
        </w:rPr>
        <w:t xml:space="preserve">CULO 17 </w:t>
      </w:r>
      <w:r>
        <w:rPr>
          <w:b/>
          <w:bCs/>
          <w:spacing w:val="-12"/>
          <w:sz w:val="18"/>
          <w:szCs w:val="18"/>
          <w:lang w:val="es-ES_tradnl"/>
        </w:rPr>
        <w:t>Consultas</w:t>
      </w:r>
    </w:p>
    <w:p w14:paraId="4F67A3B8" w14:textId="77777777" w:rsidR="00591D54" w:rsidRDefault="00591D54">
      <w:pPr>
        <w:shd w:val="clear" w:color="auto" w:fill="FFFFFF"/>
        <w:spacing w:before="197" w:line="216" w:lineRule="exact"/>
        <w:jc w:val="both"/>
      </w:pPr>
      <w:r>
        <w:rPr>
          <w:spacing w:val="-8"/>
          <w:sz w:val="18"/>
          <w:szCs w:val="18"/>
          <w:lang w:val="es-ES_tradnl"/>
        </w:rPr>
        <w:t>Cualquier Parte Contratante podr</w:t>
      </w:r>
      <w:r>
        <w:rPr>
          <w:rFonts w:cs="Times New Roman"/>
          <w:spacing w:val="-8"/>
          <w:sz w:val="18"/>
          <w:szCs w:val="18"/>
          <w:lang w:val="es-ES_tradnl"/>
        </w:rPr>
        <w:t>á</w:t>
      </w:r>
      <w:r>
        <w:rPr>
          <w:spacing w:val="-8"/>
          <w:sz w:val="18"/>
          <w:szCs w:val="18"/>
          <w:lang w:val="es-ES_tradnl"/>
        </w:rPr>
        <w:t xml:space="preserve">, en cualquier momento, </w:t>
      </w:r>
      <w:r>
        <w:rPr>
          <w:spacing w:val="-1"/>
          <w:sz w:val="18"/>
          <w:szCs w:val="18"/>
          <w:lang w:val="es-ES_tradnl"/>
        </w:rPr>
        <w:t>consultar sobre la implementaci</w:t>
      </w:r>
      <w:r>
        <w:rPr>
          <w:rFonts w:cs="Times New Roman"/>
          <w:spacing w:val="-1"/>
          <w:sz w:val="18"/>
          <w:szCs w:val="18"/>
          <w:lang w:val="es-ES_tradnl"/>
        </w:rPr>
        <w:t>ó</w:t>
      </w:r>
      <w:r>
        <w:rPr>
          <w:spacing w:val="-1"/>
          <w:sz w:val="18"/>
          <w:szCs w:val="18"/>
          <w:lang w:val="es-ES_tradnl"/>
        </w:rPr>
        <w:t>n, interpretaci</w:t>
      </w:r>
      <w:r>
        <w:rPr>
          <w:rFonts w:cs="Times New Roman"/>
          <w:spacing w:val="-1"/>
          <w:sz w:val="18"/>
          <w:szCs w:val="18"/>
          <w:lang w:val="es-ES_tradnl"/>
        </w:rPr>
        <w:t>ó</w:t>
      </w:r>
      <w:r>
        <w:rPr>
          <w:spacing w:val="-1"/>
          <w:sz w:val="18"/>
          <w:szCs w:val="18"/>
          <w:lang w:val="es-ES_tradnl"/>
        </w:rPr>
        <w:t xml:space="preserve">n, </w:t>
      </w:r>
      <w:r>
        <w:rPr>
          <w:spacing w:val="-4"/>
          <w:sz w:val="18"/>
          <w:szCs w:val="18"/>
          <w:lang w:val="es-ES_tradnl"/>
        </w:rPr>
        <w:t>aplicaci</w:t>
      </w:r>
      <w:r>
        <w:rPr>
          <w:rFonts w:cs="Times New Roman"/>
          <w:spacing w:val="-4"/>
          <w:sz w:val="18"/>
          <w:szCs w:val="18"/>
          <w:lang w:val="es-ES_tradnl"/>
        </w:rPr>
        <w:t>ó</w:t>
      </w:r>
      <w:r>
        <w:rPr>
          <w:spacing w:val="-4"/>
          <w:sz w:val="18"/>
          <w:szCs w:val="18"/>
          <w:lang w:val="es-ES_tradnl"/>
        </w:rPr>
        <w:t>n, modificaci</w:t>
      </w:r>
      <w:r>
        <w:rPr>
          <w:rFonts w:cs="Times New Roman"/>
          <w:spacing w:val="-4"/>
          <w:sz w:val="18"/>
          <w:szCs w:val="18"/>
          <w:lang w:val="es-ES_tradnl"/>
        </w:rPr>
        <w:t>ó</w:t>
      </w:r>
      <w:r>
        <w:rPr>
          <w:spacing w:val="-4"/>
          <w:sz w:val="18"/>
          <w:szCs w:val="18"/>
          <w:lang w:val="es-ES_tradnl"/>
        </w:rPr>
        <w:t xml:space="preserve">n o cumplimiento del presente </w:t>
      </w:r>
      <w:r>
        <w:rPr>
          <w:spacing w:val="-6"/>
          <w:sz w:val="18"/>
          <w:szCs w:val="18"/>
          <w:lang w:val="es-ES_tradnl"/>
        </w:rPr>
        <w:t>Convenio, que podr</w:t>
      </w:r>
      <w:r>
        <w:rPr>
          <w:rFonts w:cs="Times New Roman"/>
          <w:spacing w:val="-6"/>
          <w:sz w:val="18"/>
          <w:szCs w:val="18"/>
          <w:lang w:val="es-ES_tradnl"/>
        </w:rPr>
        <w:t>á</w:t>
      </w:r>
      <w:r>
        <w:rPr>
          <w:spacing w:val="-6"/>
          <w:sz w:val="18"/>
          <w:szCs w:val="18"/>
          <w:lang w:val="es-ES_tradnl"/>
        </w:rPr>
        <w:t xml:space="preserve"> ser a trav</w:t>
      </w:r>
      <w:r>
        <w:rPr>
          <w:rFonts w:cs="Times New Roman"/>
          <w:spacing w:val="-6"/>
          <w:sz w:val="18"/>
          <w:szCs w:val="18"/>
          <w:lang w:val="es-ES_tradnl"/>
        </w:rPr>
        <w:t>é</w:t>
      </w:r>
      <w:r>
        <w:rPr>
          <w:spacing w:val="-6"/>
          <w:sz w:val="18"/>
          <w:szCs w:val="18"/>
          <w:lang w:val="es-ES_tradnl"/>
        </w:rPr>
        <w:t xml:space="preserve">s de discusiones o por </w:t>
      </w:r>
      <w:r>
        <w:rPr>
          <w:spacing w:val="-3"/>
          <w:sz w:val="18"/>
          <w:szCs w:val="18"/>
          <w:lang w:val="es-ES_tradnl"/>
        </w:rPr>
        <w:t>escrito entre las Autoridades Aeron</w:t>
      </w:r>
      <w:r>
        <w:rPr>
          <w:rFonts w:cs="Times New Roman"/>
          <w:spacing w:val="-3"/>
          <w:sz w:val="18"/>
          <w:szCs w:val="18"/>
          <w:lang w:val="es-ES_tradnl"/>
        </w:rPr>
        <w:t>á</w:t>
      </w:r>
      <w:r>
        <w:rPr>
          <w:spacing w:val="-3"/>
          <w:sz w:val="18"/>
          <w:szCs w:val="18"/>
          <w:lang w:val="es-ES_tradnl"/>
        </w:rPr>
        <w:t>uticas. Deber</w:t>
      </w:r>
      <w:r>
        <w:rPr>
          <w:rFonts w:cs="Times New Roman"/>
          <w:spacing w:val="-3"/>
          <w:sz w:val="18"/>
          <w:szCs w:val="18"/>
          <w:lang w:val="es-ES_tradnl"/>
        </w:rPr>
        <w:t>á</w:t>
      </w:r>
      <w:r>
        <w:rPr>
          <w:spacing w:val="-3"/>
          <w:sz w:val="18"/>
          <w:szCs w:val="18"/>
          <w:lang w:val="es-ES_tradnl"/>
        </w:rPr>
        <w:t xml:space="preserve">n </w:t>
      </w:r>
      <w:r>
        <w:rPr>
          <w:spacing w:val="-8"/>
          <w:sz w:val="18"/>
          <w:szCs w:val="18"/>
          <w:lang w:val="es-ES_tradnl"/>
        </w:rPr>
        <w:t>iniciarse dentro de un plazo de sesenta (60) d</w:t>
      </w:r>
      <w:r>
        <w:rPr>
          <w:rFonts w:cs="Times New Roman"/>
          <w:spacing w:val="-8"/>
          <w:sz w:val="18"/>
          <w:szCs w:val="18"/>
          <w:lang w:val="es-ES_tradnl"/>
        </w:rPr>
        <w:t>í</w:t>
      </w:r>
      <w:r>
        <w:rPr>
          <w:spacing w:val="-8"/>
          <w:sz w:val="18"/>
          <w:szCs w:val="18"/>
          <w:lang w:val="es-ES_tradnl"/>
        </w:rPr>
        <w:t xml:space="preserve">as a partir de </w:t>
      </w:r>
      <w:r>
        <w:rPr>
          <w:spacing w:val="-10"/>
          <w:sz w:val="18"/>
          <w:szCs w:val="18"/>
          <w:lang w:val="es-ES_tradnl"/>
        </w:rPr>
        <w:t xml:space="preserve">la fecha en que la otra Parte Contratante reciba una solicitud </w:t>
      </w:r>
      <w:r>
        <w:rPr>
          <w:spacing w:val="-8"/>
          <w:sz w:val="18"/>
          <w:szCs w:val="18"/>
          <w:lang w:val="es-ES_tradnl"/>
        </w:rPr>
        <w:t xml:space="preserve">por escrito, a menos que las Partes Contratantes acuerden </w:t>
      </w:r>
      <w:r>
        <w:rPr>
          <w:sz w:val="18"/>
          <w:szCs w:val="18"/>
          <w:lang w:val="es-ES_tradnl"/>
        </w:rPr>
        <w:t>lo contrario.</w:t>
      </w:r>
    </w:p>
    <w:p w14:paraId="4F67A3B9" w14:textId="77777777" w:rsidR="00591D54" w:rsidRDefault="00591D54">
      <w:pPr>
        <w:shd w:val="clear" w:color="auto" w:fill="FFFFFF"/>
        <w:spacing w:before="192" w:line="216" w:lineRule="exact"/>
        <w:ind w:left="1142" w:right="979" w:firstLine="413"/>
      </w:pPr>
      <w:r>
        <w:rPr>
          <w:b/>
          <w:bCs/>
          <w:sz w:val="18"/>
          <w:szCs w:val="18"/>
          <w:lang w:val="es-ES_tradnl"/>
        </w:rPr>
        <w:t>ART</w:t>
      </w:r>
      <w:r>
        <w:rPr>
          <w:rFonts w:cs="Times New Roman"/>
          <w:b/>
          <w:bCs/>
          <w:sz w:val="18"/>
          <w:szCs w:val="18"/>
          <w:lang w:val="es-ES_tradnl"/>
        </w:rPr>
        <w:t>Í</w:t>
      </w:r>
      <w:r>
        <w:rPr>
          <w:b/>
          <w:bCs/>
          <w:sz w:val="18"/>
          <w:szCs w:val="18"/>
          <w:lang w:val="es-ES_tradnl"/>
        </w:rPr>
        <w:t xml:space="preserve">CULO 18 </w:t>
      </w:r>
      <w:r>
        <w:rPr>
          <w:b/>
          <w:bCs/>
          <w:spacing w:val="-11"/>
          <w:sz w:val="18"/>
          <w:szCs w:val="18"/>
          <w:lang w:val="es-ES_tradnl"/>
        </w:rPr>
        <w:t>Soluci</w:t>
      </w:r>
      <w:r>
        <w:rPr>
          <w:rFonts w:cs="Times New Roman"/>
          <w:b/>
          <w:bCs/>
          <w:spacing w:val="-11"/>
          <w:sz w:val="18"/>
          <w:szCs w:val="18"/>
          <w:lang w:val="es-ES_tradnl"/>
        </w:rPr>
        <w:t>ó</w:t>
      </w:r>
      <w:r>
        <w:rPr>
          <w:b/>
          <w:bCs/>
          <w:spacing w:val="-11"/>
          <w:sz w:val="18"/>
          <w:szCs w:val="18"/>
          <w:lang w:val="es-ES_tradnl"/>
        </w:rPr>
        <w:t>n de Controversias</w:t>
      </w:r>
    </w:p>
    <w:p w14:paraId="4F67A3BA" w14:textId="77777777" w:rsidR="00591D54" w:rsidRDefault="00591D54" w:rsidP="00251195">
      <w:pPr>
        <w:numPr>
          <w:ilvl w:val="0"/>
          <w:numId w:val="16"/>
        </w:numPr>
        <w:shd w:val="clear" w:color="auto" w:fill="FFFFFF"/>
        <w:tabs>
          <w:tab w:val="left" w:pos="350"/>
        </w:tabs>
        <w:spacing w:before="197" w:line="216" w:lineRule="exact"/>
        <w:jc w:val="both"/>
        <w:rPr>
          <w:spacing w:val="-6"/>
          <w:sz w:val="18"/>
          <w:szCs w:val="18"/>
          <w:lang w:val="es-ES_tradnl"/>
        </w:rPr>
      </w:pPr>
      <w:r>
        <w:rPr>
          <w:spacing w:val="-6"/>
          <w:sz w:val="18"/>
          <w:szCs w:val="18"/>
          <w:lang w:val="es-ES_tradnl"/>
        </w:rPr>
        <w:t xml:space="preserve">Si surgiera alguna controversia entre las Partes </w:t>
      </w:r>
      <w:r>
        <w:rPr>
          <w:spacing w:val="-5"/>
          <w:sz w:val="18"/>
          <w:szCs w:val="18"/>
          <w:lang w:val="es-ES_tradnl"/>
        </w:rPr>
        <w:t>Contratantes relativa a la interpretaci</w:t>
      </w:r>
      <w:r>
        <w:rPr>
          <w:rFonts w:cs="Times New Roman"/>
          <w:spacing w:val="-5"/>
          <w:sz w:val="18"/>
          <w:szCs w:val="18"/>
          <w:lang w:val="es-ES_tradnl"/>
        </w:rPr>
        <w:t>ó</w:t>
      </w:r>
      <w:r>
        <w:rPr>
          <w:spacing w:val="-5"/>
          <w:sz w:val="18"/>
          <w:szCs w:val="18"/>
          <w:lang w:val="es-ES_tradnl"/>
        </w:rPr>
        <w:t>n o aplicaci</w:t>
      </w:r>
      <w:r>
        <w:rPr>
          <w:rFonts w:cs="Times New Roman"/>
          <w:spacing w:val="-5"/>
          <w:sz w:val="18"/>
          <w:szCs w:val="18"/>
          <w:lang w:val="es-ES_tradnl"/>
        </w:rPr>
        <w:t>ó</w:t>
      </w:r>
      <w:r>
        <w:rPr>
          <w:spacing w:val="-5"/>
          <w:sz w:val="18"/>
          <w:szCs w:val="18"/>
          <w:lang w:val="es-ES_tradnl"/>
        </w:rPr>
        <w:t xml:space="preserve">n del </w:t>
      </w:r>
      <w:r>
        <w:rPr>
          <w:spacing w:val="-6"/>
          <w:sz w:val="18"/>
          <w:szCs w:val="18"/>
          <w:lang w:val="es-ES_tradnl"/>
        </w:rPr>
        <w:t>presente Convenio, las Autoridades Aeron</w:t>
      </w:r>
      <w:r>
        <w:rPr>
          <w:rFonts w:cs="Times New Roman"/>
          <w:spacing w:val="-6"/>
          <w:sz w:val="18"/>
          <w:szCs w:val="18"/>
          <w:lang w:val="es-ES_tradnl"/>
        </w:rPr>
        <w:t>á</w:t>
      </w:r>
      <w:r>
        <w:rPr>
          <w:spacing w:val="-6"/>
          <w:sz w:val="18"/>
          <w:szCs w:val="18"/>
          <w:lang w:val="es-ES_tradnl"/>
        </w:rPr>
        <w:t xml:space="preserve">uticas de las </w:t>
      </w:r>
      <w:r>
        <w:rPr>
          <w:spacing w:val="-7"/>
          <w:sz w:val="18"/>
          <w:szCs w:val="18"/>
          <w:lang w:val="es-ES_tradnl"/>
        </w:rPr>
        <w:t>dos Partes Contratantes, en primer lugar resolver</w:t>
      </w:r>
      <w:r>
        <w:rPr>
          <w:rFonts w:cs="Times New Roman"/>
          <w:spacing w:val="-7"/>
          <w:sz w:val="18"/>
          <w:szCs w:val="18"/>
          <w:lang w:val="es-ES_tradnl"/>
        </w:rPr>
        <w:t>á</w:t>
      </w:r>
      <w:r>
        <w:rPr>
          <w:spacing w:val="-7"/>
          <w:sz w:val="18"/>
          <w:szCs w:val="18"/>
          <w:lang w:val="es-ES_tradnl"/>
        </w:rPr>
        <w:t xml:space="preserve">n la </w:t>
      </w:r>
      <w:r>
        <w:rPr>
          <w:sz w:val="18"/>
          <w:szCs w:val="18"/>
          <w:lang w:val="es-ES_tradnl"/>
        </w:rPr>
        <w:t>controversia mediante la negociaci</w:t>
      </w:r>
      <w:r>
        <w:rPr>
          <w:rFonts w:cs="Times New Roman"/>
          <w:sz w:val="18"/>
          <w:szCs w:val="18"/>
          <w:lang w:val="es-ES_tradnl"/>
        </w:rPr>
        <w:t>ó</w:t>
      </w:r>
      <w:r>
        <w:rPr>
          <w:sz w:val="18"/>
          <w:szCs w:val="18"/>
          <w:lang w:val="es-ES_tradnl"/>
        </w:rPr>
        <w:t>n.</w:t>
      </w:r>
    </w:p>
    <w:p w14:paraId="4F67A3BB" w14:textId="77777777" w:rsidR="00591D54" w:rsidRDefault="00591D54" w:rsidP="00251195">
      <w:pPr>
        <w:numPr>
          <w:ilvl w:val="0"/>
          <w:numId w:val="16"/>
        </w:numPr>
        <w:shd w:val="clear" w:color="auto" w:fill="FFFFFF"/>
        <w:tabs>
          <w:tab w:val="left" w:pos="350"/>
        </w:tabs>
        <w:spacing w:before="197" w:line="216" w:lineRule="exact"/>
        <w:jc w:val="both"/>
        <w:rPr>
          <w:spacing w:val="-6"/>
          <w:sz w:val="18"/>
          <w:szCs w:val="18"/>
          <w:lang w:val="es-ES_tradnl"/>
        </w:rPr>
      </w:pPr>
      <w:r>
        <w:rPr>
          <w:spacing w:val="-4"/>
          <w:sz w:val="18"/>
          <w:szCs w:val="18"/>
          <w:lang w:val="es-ES_tradnl"/>
        </w:rPr>
        <w:t>Si las Autoridades Aeron</w:t>
      </w:r>
      <w:r>
        <w:rPr>
          <w:rFonts w:cs="Times New Roman"/>
          <w:spacing w:val="-4"/>
          <w:sz w:val="18"/>
          <w:szCs w:val="18"/>
          <w:lang w:val="es-ES_tradnl"/>
        </w:rPr>
        <w:t>á</w:t>
      </w:r>
      <w:r>
        <w:rPr>
          <w:spacing w:val="-4"/>
          <w:sz w:val="18"/>
          <w:szCs w:val="18"/>
          <w:lang w:val="es-ES_tradnl"/>
        </w:rPr>
        <w:t xml:space="preserve">uticas de las Partes </w:t>
      </w:r>
      <w:r>
        <w:rPr>
          <w:spacing w:val="-6"/>
          <w:sz w:val="18"/>
          <w:szCs w:val="18"/>
          <w:lang w:val="es-ES_tradnl"/>
        </w:rPr>
        <w:t>Contratantes no llegan a una soluci</w:t>
      </w:r>
      <w:r>
        <w:rPr>
          <w:rFonts w:cs="Times New Roman"/>
          <w:spacing w:val="-6"/>
          <w:sz w:val="18"/>
          <w:szCs w:val="18"/>
          <w:lang w:val="es-ES_tradnl"/>
        </w:rPr>
        <w:t>ó</w:t>
      </w:r>
      <w:r>
        <w:rPr>
          <w:spacing w:val="-6"/>
          <w:sz w:val="18"/>
          <w:szCs w:val="18"/>
          <w:lang w:val="es-ES_tradnl"/>
        </w:rPr>
        <w:t xml:space="preserve">n de la controversia, </w:t>
      </w:r>
      <w:r>
        <w:rPr>
          <w:spacing w:val="-9"/>
          <w:sz w:val="18"/>
          <w:szCs w:val="18"/>
          <w:lang w:val="es-ES_tradnl"/>
        </w:rPr>
        <w:t>las Partes Contratantes resolver</w:t>
      </w:r>
      <w:r>
        <w:rPr>
          <w:rFonts w:cs="Times New Roman"/>
          <w:spacing w:val="-9"/>
          <w:sz w:val="18"/>
          <w:szCs w:val="18"/>
          <w:lang w:val="es-ES_tradnl"/>
        </w:rPr>
        <w:t>á</w:t>
      </w:r>
      <w:r>
        <w:rPr>
          <w:spacing w:val="-9"/>
          <w:sz w:val="18"/>
          <w:szCs w:val="18"/>
          <w:lang w:val="es-ES_tradnl"/>
        </w:rPr>
        <w:t xml:space="preserve">n dicha controversia por la </w:t>
      </w:r>
      <w:r>
        <w:rPr>
          <w:sz w:val="18"/>
          <w:szCs w:val="18"/>
          <w:lang w:val="es-ES_tradnl"/>
        </w:rPr>
        <w:t>v</w:t>
      </w:r>
      <w:r>
        <w:rPr>
          <w:rFonts w:cs="Times New Roman"/>
          <w:sz w:val="18"/>
          <w:szCs w:val="18"/>
          <w:lang w:val="es-ES_tradnl"/>
        </w:rPr>
        <w:t>í</w:t>
      </w:r>
      <w:r>
        <w:rPr>
          <w:sz w:val="18"/>
          <w:szCs w:val="18"/>
          <w:lang w:val="es-ES_tradnl"/>
        </w:rPr>
        <w:t>a diplom</w:t>
      </w:r>
      <w:r>
        <w:rPr>
          <w:rFonts w:cs="Times New Roman"/>
          <w:sz w:val="18"/>
          <w:szCs w:val="18"/>
          <w:lang w:val="es-ES_tradnl"/>
        </w:rPr>
        <w:t>á</w:t>
      </w:r>
      <w:r>
        <w:rPr>
          <w:sz w:val="18"/>
          <w:szCs w:val="18"/>
          <w:lang w:val="es-ES_tradnl"/>
        </w:rPr>
        <w:t>tica.</w:t>
      </w:r>
    </w:p>
    <w:p w14:paraId="4F67A3BC" w14:textId="77777777" w:rsidR="00591D54" w:rsidRDefault="00591D54">
      <w:pPr>
        <w:shd w:val="clear" w:color="auto" w:fill="FFFFFF"/>
        <w:spacing w:before="192" w:line="216" w:lineRule="exact"/>
        <w:ind w:left="1723" w:right="1555" w:hanging="168"/>
        <w:jc w:val="both"/>
      </w:pPr>
      <w:r>
        <w:rPr>
          <w:b/>
          <w:bCs/>
          <w:spacing w:val="-1"/>
          <w:sz w:val="18"/>
          <w:szCs w:val="18"/>
          <w:lang w:val="es-ES_tradnl"/>
        </w:rPr>
        <w:t>ART</w:t>
      </w:r>
      <w:r>
        <w:rPr>
          <w:rFonts w:cs="Times New Roman"/>
          <w:b/>
          <w:bCs/>
          <w:spacing w:val="-1"/>
          <w:sz w:val="18"/>
          <w:szCs w:val="18"/>
          <w:lang w:val="es-ES_tradnl"/>
        </w:rPr>
        <w:t>Í</w:t>
      </w:r>
      <w:r>
        <w:rPr>
          <w:b/>
          <w:bCs/>
          <w:spacing w:val="-1"/>
          <w:sz w:val="18"/>
          <w:szCs w:val="18"/>
          <w:lang w:val="es-ES_tradnl"/>
        </w:rPr>
        <w:t xml:space="preserve">CULO 19 </w:t>
      </w:r>
      <w:r>
        <w:rPr>
          <w:b/>
          <w:bCs/>
          <w:spacing w:val="-11"/>
          <w:sz w:val="18"/>
          <w:szCs w:val="18"/>
          <w:lang w:val="es-ES_tradnl"/>
        </w:rPr>
        <w:t>Enmiendas</w:t>
      </w:r>
    </w:p>
    <w:p w14:paraId="4F67A3BD" w14:textId="77777777" w:rsidR="00591D54" w:rsidRDefault="00591D54" w:rsidP="00251195">
      <w:pPr>
        <w:numPr>
          <w:ilvl w:val="0"/>
          <w:numId w:val="17"/>
        </w:numPr>
        <w:shd w:val="clear" w:color="auto" w:fill="FFFFFF"/>
        <w:tabs>
          <w:tab w:val="left" w:pos="254"/>
        </w:tabs>
        <w:spacing w:before="197" w:line="216" w:lineRule="exact"/>
        <w:jc w:val="both"/>
        <w:rPr>
          <w:spacing w:val="-6"/>
          <w:sz w:val="18"/>
          <w:szCs w:val="18"/>
          <w:lang w:val="es-ES_tradnl"/>
        </w:rPr>
      </w:pPr>
      <w:r>
        <w:rPr>
          <w:spacing w:val="-9"/>
          <w:sz w:val="18"/>
          <w:szCs w:val="18"/>
          <w:lang w:val="es-ES_tradnl"/>
        </w:rPr>
        <w:t xml:space="preserve">Toda enmienda al presente Convenio acordada por las </w:t>
      </w:r>
      <w:r>
        <w:rPr>
          <w:spacing w:val="-11"/>
          <w:sz w:val="18"/>
          <w:szCs w:val="18"/>
          <w:lang w:val="es-ES_tradnl"/>
        </w:rPr>
        <w:t>Partes Contratantes entrar</w:t>
      </w:r>
      <w:r>
        <w:rPr>
          <w:rFonts w:cs="Times New Roman"/>
          <w:spacing w:val="-11"/>
          <w:sz w:val="18"/>
          <w:szCs w:val="18"/>
          <w:lang w:val="es-ES_tradnl"/>
        </w:rPr>
        <w:t>á</w:t>
      </w:r>
      <w:r>
        <w:rPr>
          <w:spacing w:val="-11"/>
          <w:sz w:val="18"/>
          <w:szCs w:val="18"/>
          <w:lang w:val="es-ES_tradnl"/>
        </w:rPr>
        <w:t xml:space="preserve"> en vigor cuando sea confirmada </w:t>
      </w:r>
      <w:r>
        <w:rPr>
          <w:spacing w:val="-7"/>
          <w:sz w:val="18"/>
          <w:szCs w:val="18"/>
          <w:lang w:val="es-ES_tradnl"/>
        </w:rPr>
        <w:t>mediante el intercambio de notas diplom</w:t>
      </w:r>
      <w:r>
        <w:rPr>
          <w:rFonts w:cs="Times New Roman"/>
          <w:spacing w:val="-7"/>
          <w:sz w:val="18"/>
          <w:szCs w:val="18"/>
          <w:lang w:val="es-ES_tradnl"/>
        </w:rPr>
        <w:t>á</w:t>
      </w:r>
      <w:r>
        <w:rPr>
          <w:spacing w:val="-7"/>
          <w:sz w:val="18"/>
          <w:szCs w:val="18"/>
          <w:lang w:val="es-ES_tradnl"/>
        </w:rPr>
        <w:t>ticas.</w:t>
      </w:r>
    </w:p>
    <w:p w14:paraId="4F67A3BE" w14:textId="77777777" w:rsidR="00591D54" w:rsidRDefault="00591D54" w:rsidP="00251195">
      <w:pPr>
        <w:numPr>
          <w:ilvl w:val="0"/>
          <w:numId w:val="17"/>
        </w:numPr>
        <w:shd w:val="clear" w:color="auto" w:fill="FFFFFF"/>
        <w:tabs>
          <w:tab w:val="left" w:pos="254"/>
        </w:tabs>
        <w:spacing w:before="192" w:line="216" w:lineRule="exact"/>
        <w:jc w:val="both"/>
        <w:rPr>
          <w:spacing w:val="-6"/>
          <w:sz w:val="18"/>
          <w:szCs w:val="18"/>
          <w:lang w:val="es-ES_tradnl"/>
        </w:rPr>
      </w:pPr>
      <w:r>
        <w:rPr>
          <w:spacing w:val="-10"/>
          <w:sz w:val="18"/>
          <w:szCs w:val="18"/>
          <w:lang w:val="es-ES_tradnl"/>
        </w:rPr>
        <w:t xml:space="preserve">Si la enmienda se refiere </w:t>
      </w:r>
      <w:r>
        <w:rPr>
          <w:rFonts w:cs="Times New Roman"/>
          <w:spacing w:val="-10"/>
          <w:sz w:val="18"/>
          <w:szCs w:val="18"/>
          <w:lang w:val="es-ES_tradnl"/>
        </w:rPr>
        <w:t>ú</w:t>
      </w:r>
      <w:r>
        <w:rPr>
          <w:spacing w:val="-10"/>
          <w:sz w:val="18"/>
          <w:szCs w:val="18"/>
          <w:lang w:val="es-ES_tradnl"/>
        </w:rPr>
        <w:t>nicamente a las disposiciones de los horarios anexados, se acordar</w:t>
      </w:r>
      <w:r>
        <w:rPr>
          <w:rFonts w:cs="Times New Roman"/>
          <w:spacing w:val="-10"/>
          <w:sz w:val="18"/>
          <w:szCs w:val="18"/>
          <w:lang w:val="es-ES_tradnl"/>
        </w:rPr>
        <w:t>á</w:t>
      </w:r>
      <w:r>
        <w:rPr>
          <w:spacing w:val="-10"/>
          <w:sz w:val="18"/>
          <w:szCs w:val="18"/>
          <w:lang w:val="es-ES_tradnl"/>
        </w:rPr>
        <w:t xml:space="preserve"> entre las Autoridades </w:t>
      </w:r>
      <w:r>
        <w:rPr>
          <w:spacing w:val="-2"/>
          <w:sz w:val="18"/>
          <w:szCs w:val="18"/>
          <w:lang w:val="es-ES_tradnl"/>
        </w:rPr>
        <w:t>Aeron</w:t>
      </w:r>
      <w:r>
        <w:rPr>
          <w:rFonts w:cs="Times New Roman"/>
          <w:spacing w:val="-2"/>
          <w:sz w:val="18"/>
          <w:szCs w:val="18"/>
          <w:lang w:val="es-ES_tradnl"/>
        </w:rPr>
        <w:t>á</w:t>
      </w:r>
      <w:r>
        <w:rPr>
          <w:spacing w:val="-2"/>
          <w:sz w:val="18"/>
          <w:szCs w:val="18"/>
          <w:lang w:val="es-ES_tradnl"/>
        </w:rPr>
        <w:t>uticas de ambas Partes Contratantes y entrar</w:t>
      </w:r>
      <w:r>
        <w:rPr>
          <w:rFonts w:cs="Times New Roman"/>
          <w:spacing w:val="-2"/>
          <w:sz w:val="18"/>
          <w:szCs w:val="18"/>
          <w:lang w:val="es-ES_tradnl"/>
        </w:rPr>
        <w:t xml:space="preserve">á </w:t>
      </w:r>
      <w:r>
        <w:rPr>
          <w:spacing w:val="-7"/>
          <w:sz w:val="18"/>
          <w:szCs w:val="18"/>
          <w:lang w:val="es-ES_tradnl"/>
        </w:rPr>
        <w:t xml:space="preserve">en vigor a partir de la fecha del acuerdo entre ambas </w:t>
      </w:r>
      <w:r>
        <w:rPr>
          <w:sz w:val="18"/>
          <w:szCs w:val="18"/>
          <w:lang w:val="es-ES_tradnl"/>
        </w:rPr>
        <w:t>Autoridades Aeron</w:t>
      </w:r>
      <w:r>
        <w:rPr>
          <w:rFonts w:cs="Times New Roman"/>
          <w:sz w:val="18"/>
          <w:szCs w:val="18"/>
          <w:lang w:val="es-ES_tradnl"/>
        </w:rPr>
        <w:t>á</w:t>
      </w:r>
      <w:r>
        <w:rPr>
          <w:sz w:val="18"/>
          <w:szCs w:val="18"/>
          <w:lang w:val="es-ES_tradnl"/>
        </w:rPr>
        <w:t>uticas.</w:t>
      </w:r>
    </w:p>
    <w:p w14:paraId="4F67A3BF" w14:textId="77777777" w:rsidR="00591D54" w:rsidRDefault="00591D54">
      <w:pPr>
        <w:shd w:val="clear" w:color="auto" w:fill="FFFFFF"/>
        <w:tabs>
          <w:tab w:val="left" w:pos="355"/>
        </w:tabs>
        <w:spacing w:before="192" w:line="216" w:lineRule="exact"/>
        <w:jc w:val="both"/>
      </w:pPr>
      <w:r>
        <w:rPr>
          <w:spacing w:val="-6"/>
          <w:sz w:val="18"/>
          <w:szCs w:val="18"/>
          <w:lang w:val="es-ES_tradnl"/>
        </w:rPr>
        <w:t>(3)</w:t>
      </w:r>
      <w:r>
        <w:rPr>
          <w:sz w:val="18"/>
          <w:szCs w:val="18"/>
          <w:lang w:val="es-ES_tradnl"/>
        </w:rPr>
        <w:tab/>
      </w:r>
      <w:r>
        <w:rPr>
          <w:spacing w:val="-1"/>
          <w:sz w:val="18"/>
          <w:szCs w:val="18"/>
          <w:lang w:val="es-ES_tradnl"/>
        </w:rPr>
        <w:t>Si un Convenio multilateral sobre servicios de </w:t>
      </w:r>
      <w:r>
        <w:rPr>
          <w:spacing w:val="-11"/>
          <w:sz w:val="18"/>
          <w:szCs w:val="18"/>
          <w:lang w:val="es-ES_tradnl"/>
        </w:rPr>
        <w:t>transporte a</w:t>
      </w:r>
      <w:r>
        <w:rPr>
          <w:rFonts w:cs="Times New Roman"/>
          <w:spacing w:val="-11"/>
          <w:sz w:val="18"/>
          <w:szCs w:val="18"/>
          <w:lang w:val="es-ES_tradnl"/>
        </w:rPr>
        <w:t>é</w:t>
      </w:r>
      <w:r>
        <w:rPr>
          <w:spacing w:val="-11"/>
          <w:sz w:val="18"/>
          <w:szCs w:val="18"/>
          <w:lang w:val="es-ES_tradnl"/>
        </w:rPr>
        <w:t>reo entra en vigor en relaci</w:t>
      </w:r>
      <w:r>
        <w:rPr>
          <w:rFonts w:cs="Times New Roman"/>
          <w:spacing w:val="-11"/>
          <w:sz w:val="18"/>
          <w:szCs w:val="18"/>
          <w:lang w:val="es-ES_tradnl"/>
        </w:rPr>
        <w:t>ó</w:t>
      </w:r>
      <w:r>
        <w:rPr>
          <w:spacing w:val="-11"/>
          <w:sz w:val="18"/>
          <w:szCs w:val="18"/>
          <w:lang w:val="es-ES_tradnl"/>
        </w:rPr>
        <w:t>n con ambas Partes </w:t>
      </w:r>
      <w:r>
        <w:rPr>
          <w:spacing w:val="-7"/>
          <w:sz w:val="18"/>
          <w:szCs w:val="18"/>
          <w:lang w:val="es-ES_tradnl"/>
        </w:rPr>
        <w:t>Contratantes, cualquier inconsistencia en las obligaciones </w:t>
      </w:r>
      <w:r>
        <w:rPr>
          <w:spacing w:val="-4"/>
          <w:sz w:val="18"/>
          <w:szCs w:val="18"/>
          <w:lang w:val="es-ES_tradnl"/>
        </w:rPr>
        <w:t>de las Partes Contratantes en virtud de este Convenio y </w:t>
      </w:r>
      <w:r>
        <w:rPr>
          <w:spacing w:val="-6"/>
          <w:sz w:val="18"/>
          <w:szCs w:val="18"/>
          <w:lang w:val="es-ES_tradnl"/>
        </w:rPr>
        <w:t>en virtud del otro acuerdo, igual que entre las dos Partes </w:t>
      </w:r>
      <w:r>
        <w:rPr>
          <w:spacing w:val="-8"/>
          <w:sz w:val="18"/>
          <w:szCs w:val="18"/>
          <w:lang w:val="es-ES_tradnl"/>
        </w:rPr>
        <w:t>Contratantes, ser</w:t>
      </w:r>
      <w:r>
        <w:rPr>
          <w:rFonts w:cs="Times New Roman"/>
          <w:spacing w:val="-8"/>
          <w:sz w:val="18"/>
          <w:szCs w:val="18"/>
          <w:lang w:val="es-ES_tradnl"/>
        </w:rPr>
        <w:t>á</w:t>
      </w:r>
      <w:r>
        <w:rPr>
          <w:spacing w:val="-8"/>
          <w:sz w:val="18"/>
          <w:szCs w:val="18"/>
          <w:lang w:val="es-ES_tradnl"/>
        </w:rPr>
        <w:t>n resueltas a favor de las disposiciones </w:t>
      </w:r>
      <w:r>
        <w:rPr>
          <w:spacing w:val="-9"/>
          <w:sz w:val="18"/>
          <w:szCs w:val="18"/>
          <w:lang w:val="es-ES_tradnl"/>
        </w:rPr>
        <w:t>que otorgan a las l</w:t>
      </w:r>
      <w:r>
        <w:rPr>
          <w:rFonts w:cs="Times New Roman"/>
          <w:spacing w:val="-9"/>
          <w:sz w:val="18"/>
          <w:szCs w:val="18"/>
          <w:lang w:val="es-ES_tradnl"/>
        </w:rPr>
        <w:t>í</w:t>
      </w:r>
      <w:r>
        <w:rPr>
          <w:spacing w:val="-9"/>
          <w:sz w:val="18"/>
          <w:szCs w:val="18"/>
          <w:lang w:val="es-ES_tradnl"/>
        </w:rPr>
        <w:t>neas a</w:t>
      </w:r>
      <w:r>
        <w:rPr>
          <w:rFonts w:cs="Times New Roman"/>
          <w:spacing w:val="-9"/>
          <w:sz w:val="18"/>
          <w:szCs w:val="18"/>
          <w:lang w:val="es-ES_tradnl"/>
        </w:rPr>
        <w:t>é</w:t>
      </w:r>
      <w:r>
        <w:rPr>
          <w:spacing w:val="-9"/>
          <w:sz w:val="18"/>
          <w:szCs w:val="18"/>
          <w:lang w:val="es-ES_tradnl"/>
        </w:rPr>
        <w:t>reas designadas el mayor (a) </w:t>
      </w:r>
      <w:r>
        <w:rPr>
          <w:spacing w:val="-2"/>
          <w:sz w:val="18"/>
          <w:szCs w:val="18"/>
          <w:lang w:val="es-ES_tradnl"/>
        </w:rPr>
        <w:t>ejercicio de los derechos, (b) la seguridad operacional, </w:t>
      </w:r>
      <w:r>
        <w:rPr>
          <w:spacing w:val="-7"/>
          <w:sz w:val="18"/>
          <w:szCs w:val="18"/>
          <w:lang w:val="es-ES_tradnl"/>
        </w:rPr>
        <w:t>o (c) seguridad de la aviaci</w:t>
      </w:r>
      <w:r>
        <w:rPr>
          <w:rFonts w:cs="Times New Roman"/>
          <w:spacing w:val="-7"/>
          <w:sz w:val="18"/>
          <w:szCs w:val="18"/>
          <w:lang w:val="es-ES_tradnl"/>
        </w:rPr>
        <w:t>ó</w:t>
      </w:r>
      <w:r>
        <w:rPr>
          <w:spacing w:val="-7"/>
          <w:sz w:val="18"/>
          <w:szCs w:val="18"/>
          <w:lang w:val="es-ES_tradnl"/>
        </w:rPr>
        <w:t>n, a menos que las Partes </w:t>
      </w:r>
      <w:r>
        <w:rPr>
          <w:spacing w:val="-6"/>
          <w:sz w:val="18"/>
          <w:szCs w:val="18"/>
          <w:lang w:val="es-ES_tradnl"/>
        </w:rPr>
        <w:t>Contratantes acuerden lo contrario o el contexto requiera </w:t>
      </w:r>
      <w:r>
        <w:rPr>
          <w:sz w:val="18"/>
          <w:szCs w:val="18"/>
          <w:lang w:val="es-ES_tradnl"/>
        </w:rPr>
        <w:t>otra cosa.</w:t>
      </w:r>
    </w:p>
    <w:p w14:paraId="4F67A3C0" w14:textId="77777777" w:rsidR="00591D54" w:rsidRDefault="00591D54">
      <w:pPr>
        <w:shd w:val="clear" w:color="auto" w:fill="FFFFFF"/>
        <w:spacing w:before="187" w:line="216" w:lineRule="exact"/>
        <w:ind w:left="1666" w:right="1555" w:hanging="110"/>
        <w:jc w:val="both"/>
      </w:pPr>
      <w:r>
        <w:rPr>
          <w:b/>
          <w:bCs/>
          <w:spacing w:val="-1"/>
          <w:sz w:val="18"/>
          <w:szCs w:val="18"/>
          <w:lang w:val="es-ES_tradnl"/>
        </w:rPr>
        <w:t>ART</w:t>
      </w:r>
      <w:r>
        <w:rPr>
          <w:rFonts w:cs="Times New Roman"/>
          <w:b/>
          <w:bCs/>
          <w:spacing w:val="-1"/>
          <w:sz w:val="18"/>
          <w:szCs w:val="18"/>
          <w:lang w:val="es-ES_tradnl"/>
        </w:rPr>
        <w:t>Í</w:t>
      </w:r>
      <w:r>
        <w:rPr>
          <w:b/>
          <w:bCs/>
          <w:spacing w:val="-1"/>
          <w:sz w:val="18"/>
          <w:szCs w:val="18"/>
          <w:lang w:val="es-ES_tradnl"/>
        </w:rPr>
        <w:t xml:space="preserve">CULO 20 </w:t>
      </w:r>
      <w:r>
        <w:rPr>
          <w:b/>
          <w:bCs/>
          <w:spacing w:val="-9"/>
          <w:sz w:val="18"/>
          <w:szCs w:val="18"/>
          <w:lang w:val="es-ES_tradnl"/>
        </w:rPr>
        <w:t>Terminaci</w:t>
      </w:r>
      <w:r>
        <w:rPr>
          <w:rFonts w:cs="Times New Roman"/>
          <w:b/>
          <w:bCs/>
          <w:spacing w:val="-9"/>
          <w:sz w:val="18"/>
          <w:szCs w:val="18"/>
          <w:lang w:val="es-ES_tradnl"/>
        </w:rPr>
        <w:t>ó</w:t>
      </w:r>
      <w:r>
        <w:rPr>
          <w:b/>
          <w:bCs/>
          <w:spacing w:val="-9"/>
          <w:sz w:val="18"/>
          <w:szCs w:val="18"/>
          <w:lang w:val="es-ES_tradnl"/>
        </w:rPr>
        <w:t>n</w:t>
      </w:r>
    </w:p>
    <w:p w14:paraId="4F67A3C1" w14:textId="77777777" w:rsidR="00591D54" w:rsidRDefault="00591D54">
      <w:pPr>
        <w:shd w:val="clear" w:color="auto" w:fill="FFFFFF"/>
        <w:spacing w:before="197" w:line="216" w:lineRule="exact"/>
        <w:jc w:val="both"/>
      </w:pPr>
      <w:r>
        <w:rPr>
          <w:spacing w:val="-3"/>
          <w:sz w:val="18"/>
          <w:szCs w:val="18"/>
          <w:lang w:val="es-ES_tradnl"/>
        </w:rPr>
        <w:t>Cualquiera de las Partes Contratantes podr</w:t>
      </w:r>
      <w:r>
        <w:rPr>
          <w:rFonts w:cs="Times New Roman"/>
          <w:spacing w:val="-3"/>
          <w:sz w:val="18"/>
          <w:szCs w:val="18"/>
          <w:lang w:val="es-ES_tradnl"/>
        </w:rPr>
        <w:t>á</w:t>
      </w:r>
      <w:r>
        <w:rPr>
          <w:spacing w:val="-3"/>
          <w:sz w:val="18"/>
          <w:szCs w:val="18"/>
          <w:lang w:val="es-ES_tradnl"/>
        </w:rPr>
        <w:t xml:space="preserve"> presentar </w:t>
      </w:r>
      <w:r>
        <w:rPr>
          <w:spacing w:val="-5"/>
          <w:sz w:val="18"/>
          <w:szCs w:val="18"/>
          <w:lang w:val="es-ES_tradnl"/>
        </w:rPr>
        <w:t>en cualquier momento una notificaci</w:t>
      </w:r>
      <w:r>
        <w:rPr>
          <w:rFonts w:cs="Times New Roman"/>
          <w:spacing w:val="-5"/>
          <w:sz w:val="18"/>
          <w:szCs w:val="18"/>
          <w:lang w:val="es-ES_tradnl"/>
        </w:rPr>
        <w:t>ó</w:t>
      </w:r>
      <w:r>
        <w:rPr>
          <w:spacing w:val="-5"/>
          <w:sz w:val="18"/>
          <w:szCs w:val="18"/>
          <w:lang w:val="es-ES_tradnl"/>
        </w:rPr>
        <w:t>n escrita por la v</w:t>
      </w:r>
      <w:r>
        <w:rPr>
          <w:rFonts w:cs="Times New Roman"/>
          <w:spacing w:val="-5"/>
          <w:sz w:val="18"/>
          <w:szCs w:val="18"/>
          <w:lang w:val="es-ES_tradnl"/>
        </w:rPr>
        <w:t>í</w:t>
      </w:r>
      <w:r>
        <w:rPr>
          <w:spacing w:val="-5"/>
          <w:sz w:val="18"/>
          <w:szCs w:val="18"/>
          <w:lang w:val="es-ES_tradnl"/>
        </w:rPr>
        <w:t xml:space="preserve">a </w:t>
      </w:r>
      <w:r>
        <w:rPr>
          <w:spacing w:val="-6"/>
          <w:sz w:val="18"/>
          <w:szCs w:val="18"/>
          <w:lang w:val="es-ES_tradnl"/>
        </w:rPr>
        <w:t>diplom</w:t>
      </w:r>
      <w:r>
        <w:rPr>
          <w:rFonts w:cs="Times New Roman"/>
          <w:spacing w:val="-6"/>
          <w:sz w:val="18"/>
          <w:szCs w:val="18"/>
          <w:lang w:val="es-ES_tradnl"/>
        </w:rPr>
        <w:t>á</w:t>
      </w:r>
      <w:r>
        <w:rPr>
          <w:spacing w:val="-6"/>
          <w:sz w:val="18"/>
          <w:szCs w:val="18"/>
          <w:lang w:val="es-ES_tradnl"/>
        </w:rPr>
        <w:t>tica a la otra Parte Contratante de su decisi</w:t>
      </w:r>
      <w:r>
        <w:rPr>
          <w:rFonts w:cs="Times New Roman"/>
          <w:spacing w:val="-6"/>
          <w:sz w:val="18"/>
          <w:szCs w:val="18"/>
          <w:lang w:val="es-ES_tradnl"/>
        </w:rPr>
        <w:t>ó</w:t>
      </w:r>
      <w:r>
        <w:rPr>
          <w:spacing w:val="-6"/>
          <w:sz w:val="18"/>
          <w:szCs w:val="18"/>
          <w:lang w:val="es-ES_tradnl"/>
        </w:rPr>
        <w:t>n de terminar con el presente Convenio. Dicha notificaci</w:t>
      </w:r>
      <w:r>
        <w:rPr>
          <w:rFonts w:cs="Times New Roman"/>
          <w:spacing w:val="-6"/>
          <w:sz w:val="18"/>
          <w:szCs w:val="18"/>
          <w:lang w:val="es-ES_tradnl"/>
        </w:rPr>
        <w:t>ó</w:t>
      </w:r>
      <w:r>
        <w:rPr>
          <w:spacing w:val="-6"/>
          <w:sz w:val="18"/>
          <w:szCs w:val="18"/>
          <w:lang w:val="es-ES_tradnl"/>
        </w:rPr>
        <w:t xml:space="preserve">n se </w:t>
      </w:r>
      <w:r>
        <w:rPr>
          <w:spacing w:val="-10"/>
          <w:sz w:val="18"/>
          <w:szCs w:val="18"/>
          <w:lang w:val="es-ES_tradnl"/>
        </w:rPr>
        <w:t>comunicar</w:t>
      </w:r>
      <w:r>
        <w:rPr>
          <w:rFonts w:cs="Times New Roman"/>
          <w:spacing w:val="-10"/>
          <w:sz w:val="18"/>
          <w:szCs w:val="18"/>
          <w:lang w:val="es-ES_tradnl"/>
        </w:rPr>
        <w:t>á</w:t>
      </w:r>
      <w:r>
        <w:rPr>
          <w:spacing w:val="-10"/>
          <w:sz w:val="18"/>
          <w:szCs w:val="18"/>
          <w:lang w:val="es-ES_tradnl"/>
        </w:rPr>
        <w:t xml:space="preserve"> simult</w:t>
      </w:r>
      <w:r>
        <w:rPr>
          <w:rFonts w:cs="Times New Roman"/>
          <w:spacing w:val="-10"/>
          <w:sz w:val="18"/>
          <w:szCs w:val="18"/>
          <w:lang w:val="es-ES_tradnl"/>
        </w:rPr>
        <w:t>á</w:t>
      </w:r>
      <w:r>
        <w:rPr>
          <w:spacing w:val="-10"/>
          <w:sz w:val="18"/>
          <w:szCs w:val="18"/>
          <w:lang w:val="es-ES_tradnl"/>
        </w:rPr>
        <w:t>neamente a la Organizaci</w:t>
      </w:r>
      <w:r>
        <w:rPr>
          <w:rFonts w:cs="Times New Roman"/>
          <w:spacing w:val="-10"/>
          <w:sz w:val="18"/>
          <w:szCs w:val="18"/>
          <w:lang w:val="es-ES_tradnl"/>
        </w:rPr>
        <w:t>ó</w:t>
      </w:r>
      <w:r>
        <w:rPr>
          <w:spacing w:val="-10"/>
          <w:sz w:val="18"/>
          <w:szCs w:val="18"/>
          <w:lang w:val="es-ES_tradnl"/>
        </w:rPr>
        <w:t>n de Aviaci</w:t>
      </w:r>
      <w:r>
        <w:rPr>
          <w:rFonts w:cs="Times New Roman"/>
          <w:spacing w:val="-10"/>
          <w:sz w:val="18"/>
          <w:szCs w:val="18"/>
          <w:lang w:val="es-ES_tradnl"/>
        </w:rPr>
        <w:t>ó</w:t>
      </w:r>
      <w:r>
        <w:rPr>
          <w:spacing w:val="-10"/>
          <w:sz w:val="18"/>
          <w:szCs w:val="18"/>
          <w:lang w:val="es-ES_tradnl"/>
        </w:rPr>
        <w:t>n</w:t>
      </w:r>
    </w:p>
    <w:p w14:paraId="4F67A3C2" w14:textId="77777777" w:rsidR="00591D54" w:rsidRDefault="00591D54">
      <w:pPr>
        <w:shd w:val="clear" w:color="auto" w:fill="FFFFFF"/>
        <w:spacing w:before="197" w:line="216" w:lineRule="exact"/>
        <w:jc w:val="both"/>
        <w:sectPr w:rsidR="00591D54">
          <w:type w:val="continuous"/>
          <w:pgSz w:w="11909" w:h="16834"/>
          <w:pgMar w:top="1364" w:right="1309" w:bottom="360" w:left="1308" w:header="720" w:footer="720" w:gutter="0"/>
          <w:cols w:num="2" w:space="720" w:equalWidth="0">
            <w:col w:w="4305" w:space="682"/>
            <w:col w:w="4305"/>
          </w:cols>
          <w:noEndnote/>
        </w:sectPr>
      </w:pPr>
    </w:p>
    <w:p w14:paraId="4F67A3C3" w14:textId="77777777" w:rsidR="00591D54" w:rsidRDefault="00591D54">
      <w:pPr>
        <w:shd w:val="clear" w:color="auto" w:fill="FFFFFF"/>
        <w:tabs>
          <w:tab w:val="left" w:pos="4814"/>
        </w:tabs>
        <w:spacing w:after="235"/>
        <w:ind w:left="14"/>
      </w:pPr>
      <w:r>
        <w:rPr>
          <w:b/>
          <w:bCs/>
          <w:sz w:val="18"/>
          <w:szCs w:val="18"/>
          <w:lang w:val="es-ES_tradnl"/>
        </w:rPr>
        <w:t xml:space="preserve">10 -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3C4" w14:textId="77777777" w:rsidR="00591D54" w:rsidRDefault="00591D54">
      <w:pPr>
        <w:shd w:val="clear" w:color="auto" w:fill="FFFFFF"/>
        <w:tabs>
          <w:tab w:val="left" w:pos="4814"/>
        </w:tabs>
        <w:spacing w:after="235"/>
        <w:ind w:left="14"/>
        <w:sectPr w:rsidR="00591D54">
          <w:pgSz w:w="11909" w:h="16834"/>
          <w:pgMar w:top="1371" w:right="1309" w:bottom="360" w:left="1308" w:header="720" w:footer="720" w:gutter="0"/>
          <w:cols w:space="60"/>
          <w:noEndnote/>
        </w:sectPr>
      </w:pPr>
    </w:p>
    <w:p w14:paraId="4F67A3C5" w14:textId="77777777" w:rsidR="00591D54" w:rsidRDefault="00591D54">
      <w:pPr>
        <w:shd w:val="clear" w:color="auto" w:fill="FFFFFF"/>
        <w:spacing w:line="216" w:lineRule="exact"/>
        <w:jc w:val="both"/>
      </w:pPr>
      <w:r>
        <w:rPr>
          <w:sz w:val="18"/>
          <w:szCs w:val="18"/>
          <w:lang w:val="es-ES_tradnl"/>
        </w:rPr>
        <w:t>Civil Internacional. El presente Convenio terminar</w:t>
      </w:r>
      <w:r>
        <w:rPr>
          <w:rFonts w:cs="Times New Roman"/>
          <w:sz w:val="18"/>
          <w:szCs w:val="18"/>
          <w:lang w:val="es-ES_tradnl"/>
        </w:rPr>
        <w:t xml:space="preserve">á </w:t>
      </w:r>
      <w:r>
        <w:rPr>
          <w:spacing w:val="-8"/>
          <w:sz w:val="18"/>
          <w:szCs w:val="18"/>
          <w:lang w:val="es-ES_tradnl"/>
        </w:rPr>
        <w:t>doce (12) meses despu</w:t>
      </w:r>
      <w:r>
        <w:rPr>
          <w:rFonts w:cs="Times New Roman"/>
          <w:spacing w:val="-8"/>
          <w:sz w:val="18"/>
          <w:szCs w:val="18"/>
          <w:lang w:val="es-ES_tradnl"/>
        </w:rPr>
        <w:t>é</w:t>
      </w:r>
      <w:r>
        <w:rPr>
          <w:spacing w:val="-8"/>
          <w:sz w:val="18"/>
          <w:szCs w:val="18"/>
          <w:lang w:val="es-ES_tradnl"/>
        </w:rPr>
        <w:t>s de la fecha de recepci</w:t>
      </w:r>
      <w:r>
        <w:rPr>
          <w:rFonts w:cs="Times New Roman"/>
          <w:spacing w:val="-8"/>
          <w:sz w:val="18"/>
          <w:szCs w:val="18"/>
          <w:lang w:val="es-ES_tradnl"/>
        </w:rPr>
        <w:t>ó</w:t>
      </w:r>
      <w:r>
        <w:rPr>
          <w:spacing w:val="-8"/>
          <w:sz w:val="18"/>
          <w:szCs w:val="18"/>
          <w:lang w:val="es-ES_tradnl"/>
        </w:rPr>
        <w:t xml:space="preserve">n de la </w:t>
      </w:r>
      <w:r>
        <w:rPr>
          <w:spacing w:val="-6"/>
          <w:sz w:val="18"/>
          <w:szCs w:val="18"/>
          <w:lang w:val="es-ES_tradnl"/>
        </w:rPr>
        <w:t>notificaci</w:t>
      </w:r>
      <w:r>
        <w:rPr>
          <w:rFonts w:cs="Times New Roman"/>
          <w:spacing w:val="-6"/>
          <w:sz w:val="18"/>
          <w:szCs w:val="18"/>
          <w:lang w:val="es-ES_tradnl"/>
        </w:rPr>
        <w:t>ó</w:t>
      </w:r>
      <w:r>
        <w:rPr>
          <w:spacing w:val="-6"/>
          <w:sz w:val="18"/>
          <w:szCs w:val="18"/>
          <w:lang w:val="es-ES_tradnl"/>
        </w:rPr>
        <w:t>n por la otra Parte Contratante, a menos que dicha notificaci</w:t>
      </w:r>
      <w:r>
        <w:rPr>
          <w:rFonts w:cs="Times New Roman"/>
          <w:spacing w:val="-6"/>
          <w:sz w:val="18"/>
          <w:szCs w:val="18"/>
          <w:lang w:val="es-ES_tradnl"/>
        </w:rPr>
        <w:t>ó</w:t>
      </w:r>
      <w:r>
        <w:rPr>
          <w:spacing w:val="-6"/>
          <w:sz w:val="18"/>
          <w:szCs w:val="18"/>
          <w:lang w:val="es-ES_tradnl"/>
        </w:rPr>
        <w:t xml:space="preserve">n se retire por Convenio mutuo antes del </w:t>
      </w:r>
      <w:r>
        <w:rPr>
          <w:spacing w:val="-10"/>
          <w:sz w:val="18"/>
          <w:szCs w:val="18"/>
          <w:lang w:val="es-ES_tradnl"/>
        </w:rPr>
        <w:t>final de este per</w:t>
      </w:r>
      <w:r>
        <w:rPr>
          <w:rFonts w:cs="Times New Roman"/>
          <w:spacing w:val="-10"/>
          <w:sz w:val="18"/>
          <w:szCs w:val="18"/>
          <w:lang w:val="es-ES_tradnl"/>
        </w:rPr>
        <w:t>í</w:t>
      </w:r>
      <w:r>
        <w:rPr>
          <w:spacing w:val="-10"/>
          <w:sz w:val="18"/>
          <w:szCs w:val="18"/>
          <w:lang w:val="es-ES_tradnl"/>
        </w:rPr>
        <w:t>odo. Ante la falta de confirmaci</w:t>
      </w:r>
      <w:r>
        <w:rPr>
          <w:rFonts w:cs="Times New Roman"/>
          <w:spacing w:val="-10"/>
          <w:sz w:val="18"/>
          <w:szCs w:val="18"/>
          <w:lang w:val="es-ES_tradnl"/>
        </w:rPr>
        <w:t>ó</w:t>
      </w:r>
      <w:r>
        <w:rPr>
          <w:spacing w:val="-10"/>
          <w:sz w:val="18"/>
          <w:szCs w:val="18"/>
          <w:lang w:val="es-ES_tradnl"/>
        </w:rPr>
        <w:t xml:space="preserve">n por parte </w:t>
      </w:r>
      <w:r>
        <w:rPr>
          <w:spacing w:val="-7"/>
          <w:sz w:val="18"/>
          <w:szCs w:val="18"/>
          <w:lang w:val="es-ES_tradnl"/>
        </w:rPr>
        <w:t>de la otra Parte Contratante, la notificaci</w:t>
      </w:r>
      <w:r>
        <w:rPr>
          <w:rFonts w:cs="Times New Roman"/>
          <w:spacing w:val="-7"/>
          <w:sz w:val="18"/>
          <w:szCs w:val="18"/>
          <w:lang w:val="es-ES_tradnl"/>
        </w:rPr>
        <w:t>ó</w:t>
      </w:r>
      <w:r>
        <w:rPr>
          <w:spacing w:val="-7"/>
          <w:sz w:val="18"/>
          <w:szCs w:val="18"/>
          <w:lang w:val="es-ES_tradnl"/>
        </w:rPr>
        <w:t>n se considerar</w:t>
      </w:r>
      <w:r>
        <w:rPr>
          <w:rFonts w:cs="Times New Roman"/>
          <w:spacing w:val="-7"/>
          <w:sz w:val="18"/>
          <w:szCs w:val="18"/>
          <w:lang w:val="es-ES_tradnl"/>
        </w:rPr>
        <w:t xml:space="preserve">á </w:t>
      </w:r>
      <w:r>
        <w:rPr>
          <w:spacing w:val="-6"/>
          <w:sz w:val="18"/>
          <w:szCs w:val="18"/>
          <w:lang w:val="es-ES_tradnl"/>
        </w:rPr>
        <w:t>recibida catorce (14) d</w:t>
      </w:r>
      <w:r>
        <w:rPr>
          <w:rFonts w:cs="Times New Roman"/>
          <w:spacing w:val="-6"/>
          <w:sz w:val="18"/>
          <w:szCs w:val="18"/>
          <w:lang w:val="es-ES_tradnl"/>
        </w:rPr>
        <w:t>í</w:t>
      </w:r>
      <w:r>
        <w:rPr>
          <w:spacing w:val="-6"/>
          <w:sz w:val="18"/>
          <w:szCs w:val="18"/>
          <w:lang w:val="es-ES_tradnl"/>
        </w:rPr>
        <w:t>as despu</w:t>
      </w:r>
      <w:r>
        <w:rPr>
          <w:rFonts w:cs="Times New Roman"/>
          <w:spacing w:val="-6"/>
          <w:sz w:val="18"/>
          <w:szCs w:val="18"/>
          <w:lang w:val="es-ES_tradnl"/>
        </w:rPr>
        <w:t>é</w:t>
      </w:r>
      <w:r>
        <w:rPr>
          <w:spacing w:val="-6"/>
          <w:sz w:val="18"/>
          <w:szCs w:val="18"/>
          <w:lang w:val="es-ES_tradnl"/>
        </w:rPr>
        <w:t>s de la recepci</w:t>
      </w:r>
      <w:r>
        <w:rPr>
          <w:rFonts w:cs="Times New Roman"/>
          <w:spacing w:val="-6"/>
          <w:sz w:val="18"/>
          <w:szCs w:val="18"/>
          <w:lang w:val="es-ES_tradnl"/>
        </w:rPr>
        <w:t>ó</w:t>
      </w:r>
      <w:r>
        <w:rPr>
          <w:spacing w:val="-6"/>
          <w:sz w:val="18"/>
          <w:szCs w:val="18"/>
          <w:lang w:val="es-ES_tradnl"/>
        </w:rPr>
        <w:t xml:space="preserve">n de la </w:t>
      </w:r>
      <w:r>
        <w:rPr>
          <w:spacing w:val="-7"/>
          <w:sz w:val="18"/>
          <w:szCs w:val="18"/>
          <w:lang w:val="es-ES_tradnl"/>
        </w:rPr>
        <w:t>notificaci</w:t>
      </w:r>
      <w:r>
        <w:rPr>
          <w:rFonts w:cs="Times New Roman"/>
          <w:spacing w:val="-7"/>
          <w:sz w:val="18"/>
          <w:szCs w:val="18"/>
          <w:lang w:val="es-ES_tradnl"/>
        </w:rPr>
        <w:t>ó</w:t>
      </w:r>
      <w:r>
        <w:rPr>
          <w:spacing w:val="-7"/>
          <w:sz w:val="18"/>
          <w:szCs w:val="18"/>
          <w:lang w:val="es-ES_tradnl"/>
        </w:rPr>
        <w:t>n por parte de la Organizaci</w:t>
      </w:r>
      <w:r>
        <w:rPr>
          <w:rFonts w:cs="Times New Roman"/>
          <w:spacing w:val="-7"/>
          <w:sz w:val="18"/>
          <w:szCs w:val="18"/>
          <w:lang w:val="es-ES_tradnl"/>
        </w:rPr>
        <w:t>ó</w:t>
      </w:r>
      <w:r>
        <w:rPr>
          <w:spacing w:val="-7"/>
          <w:sz w:val="18"/>
          <w:szCs w:val="18"/>
          <w:lang w:val="es-ES_tradnl"/>
        </w:rPr>
        <w:t>n de Aviaci</w:t>
      </w:r>
      <w:r>
        <w:rPr>
          <w:rFonts w:cs="Times New Roman"/>
          <w:spacing w:val="-7"/>
          <w:sz w:val="18"/>
          <w:szCs w:val="18"/>
          <w:lang w:val="es-ES_tradnl"/>
        </w:rPr>
        <w:t>ó</w:t>
      </w:r>
      <w:r>
        <w:rPr>
          <w:spacing w:val="-7"/>
          <w:sz w:val="18"/>
          <w:szCs w:val="18"/>
          <w:lang w:val="es-ES_tradnl"/>
        </w:rPr>
        <w:t xml:space="preserve">n Civil </w:t>
      </w:r>
      <w:r>
        <w:rPr>
          <w:sz w:val="18"/>
          <w:szCs w:val="18"/>
          <w:lang w:val="es-ES_tradnl"/>
        </w:rPr>
        <w:t>Internacional.</w:t>
      </w:r>
    </w:p>
    <w:p w14:paraId="4F67A3C6" w14:textId="77777777" w:rsidR="00591D54" w:rsidRDefault="00591D54">
      <w:pPr>
        <w:shd w:val="clear" w:color="auto" w:fill="FFFFFF"/>
        <w:spacing w:before="192" w:line="216" w:lineRule="exact"/>
        <w:ind w:left="1296" w:right="979" w:firstLine="259"/>
      </w:pPr>
      <w:r>
        <w:rPr>
          <w:b/>
          <w:bCs/>
          <w:sz w:val="18"/>
          <w:szCs w:val="18"/>
          <w:lang w:val="es-ES_tradnl"/>
        </w:rPr>
        <w:t>ART</w:t>
      </w:r>
      <w:r>
        <w:rPr>
          <w:rFonts w:cs="Times New Roman"/>
          <w:b/>
          <w:bCs/>
          <w:sz w:val="18"/>
          <w:szCs w:val="18"/>
          <w:lang w:val="es-ES_tradnl"/>
        </w:rPr>
        <w:t>Í</w:t>
      </w:r>
      <w:r>
        <w:rPr>
          <w:b/>
          <w:bCs/>
          <w:sz w:val="18"/>
          <w:szCs w:val="18"/>
          <w:lang w:val="es-ES_tradnl"/>
        </w:rPr>
        <w:t xml:space="preserve">CULO 21 </w:t>
      </w:r>
      <w:r>
        <w:rPr>
          <w:b/>
          <w:bCs/>
          <w:spacing w:val="-11"/>
          <w:sz w:val="18"/>
          <w:szCs w:val="18"/>
          <w:lang w:val="es-ES_tradnl"/>
        </w:rPr>
        <w:t>Registro del Convenio</w:t>
      </w:r>
    </w:p>
    <w:p w14:paraId="4F67A3C7" w14:textId="77777777" w:rsidR="00591D54" w:rsidRDefault="00591D54">
      <w:pPr>
        <w:shd w:val="clear" w:color="auto" w:fill="FFFFFF"/>
        <w:spacing w:before="197" w:line="216" w:lineRule="exact"/>
        <w:ind w:right="5"/>
        <w:jc w:val="both"/>
      </w:pPr>
      <w:r>
        <w:rPr>
          <w:spacing w:val="-6"/>
          <w:sz w:val="18"/>
          <w:szCs w:val="18"/>
          <w:lang w:val="es-ES_tradnl"/>
        </w:rPr>
        <w:t>Las Partes Contratantes registrar</w:t>
      </w:r>
      <w:r>
        <w:rPr>
          <w:rFonts w:cs="Times New Roman"/>
          <w:spacing w:val="-6"/>
          <w:sz w:val="18"/>
          <w:szCs w:val="18"/>
          <w:lang w:val="es-ES_tradnl"/>
        </w:rPr>
        <w:t>á</w:t>
      </w:r>
      <w:r>
        <w:rPr>
          <w:spacing w:val="-6"/>
          <w:sz w:val="18"/>
          <w:szCs w:val="18"/>
          <w:lang w:val="es-ES_tradnl"/>
        </w:rPr>
        <w:t>n el presente Convenio y cualquier enmienda al mismo en la Organizaci</w:t>
      </w:r>
      <w:r>
        <w:rPr>
          <w:rFonts w:cs="Times New Roman"/>
          <w:spacing w:val="-6"/>
          <w:sz w:val="18"/>
          <w:szCs w:val="18"/>
          <w:lang w:val="es-ES_tradnl"/>
        </w:rPr>
        <w:t>ó</w:t>
      </w:r>
      <w:r>
        <w:rPr>
          <w:spacing w:val="-6"/>
          <w:sz w:val="18"/>
          <w:szCs w:val="18"/>
          <w:lang w:val="es-ES_tradnl"/>
        </w:rPr>
        <w:t xml:space="preserve">n de </w:t>
      </w:r>
      <w:r>
        <w:rPr>
          <w:spacing w:val="-8"/>
          <w:sz w:val="18"/>
          <w:szCs w:val="18"/>
          <w:lang w:val="es-ES_tradnl"/>
        </w:rPr>
        <w:t>Aviaci</w:t>
      </w:r>
      <w:r>
        <w:rPr>
          <w:rFonts w:cs="Times New Roman"/>
          <w:spacing w:val="-8"/>
          <w:sz w:val="18"/>
          <w:szCs w:val="18"/>
          <w:lang w:val="es-ES_tradnl"/>
        </w:rPr>
        <w:t>ó</w:t>
      </w:r>
      <w:r>
        <w:rPr>
          <w:spacing w:val="-8"/>
          <w:sz w:val="18"/>
          <w:szCs w:val="18"/>
          <w:lang w:val="es-ES_tradnl"/>
        </w:rPr>
        <w:t xml:space="preserve">n Civil Internacional, cuando </w:t>
      </w:r>
      <w:r>
        <w:rPr>
          <w:rFonts w:cs="Times New Roman"/>
          <w:spacing w:val="-8"/>
          <w:sz w:val="18"/>
          <w:szCs w:val="18"/>
          <w:lang w:val="es-ES_tradnl"/>
        </w:rPr>
        <w:t>é</w:t>
      </w:r>
      <w:r>
        <w:rPr>
          <w:spacing w:val="-8"/>
          <w:sz w:val="18"/>
          <w:szCs w:val="18"/>
          <w:lang w:val="es-ES_tradnl"/>
        </w:rPr>
        <w:t>ste entre en vigencia.</w:t>
      </w:r>
    </w:p>
    <w:p w14:paraId="4F67A3C8" w14:textId="77777777" w:rsidR="00591D54" w:rsidRDefault="00591D54">
      <w:pPr>
        <w:shd w:val="clear" w:color="auto" w:fill="FFFFFF"/>
        <w:spacing w:before="192" w:line="216" w:lineRule="exact"/>
        <w:ind w:left="1358" w:right="979" w:firstLine="197"/>
      </w:pPr>
      <w:r>
        <w:rPr>
          <w:b/>
          <w:bCs/>
          <w:sz w:val="18"/>
          <w:szCs w:val="18"/>
          <w:lang w:val="es-ES_tradnl"/>
        </w:rPr>
        <w:t>ART</w:t>
      </w:r>
      <w:r>
        <w:rPr>
          <w:rFonts w:cs="Times New Roman"/>
          <w:b/>
          <w:bCs/>
          <w:sz w:val="18"/>
          <w:szCs w:val="18"/>
          <w:lang w:val="es-ES_tradnl"/>
        </w:rPr>
        <w:t>Í</w:t>
      </w:r>
      <w:r>
        <w:rPr>
          <w:b/>
          <w:bCs/>
          <w:sz w:val="18"/>
          <w:szCs w:val="18"/>
          <w:lang w:val="es-ES_tradnl"/>
        </w:rPr>
        <w:t xml:space="preserve">CULO 22 </w:t>
      </w:r>
      <w:r>
        <w:rPr>
          <w:b/>
          <w:bCs/>
          <w:spacing w:val="-8"/>
          <w:sz w:val="18"/>
          <w:szCs w:val="18"/>
          <w:lang w:val="es-ES_tradnl"/>
        </w:rPr>
        <w:t>Entrada en Vigencia</w:t>
      </w:r>
    </w:p>
    <w:p w14:paraId="4F67A3C9" w14:textId="77777777" w:rsidR="00591D54" w:rsidRDefault="00591D54">
      <w:pPr>
        <w:shd w:val="clear" w:color="auto" w:fill="FFFFFF"/>
        <w:spacing w:before="192" w:line="216" w:lineRule="exact"/>
        <w:ind w:right="5"/>
        <w:jc w:val="both"/>
      </w:pPr>
      <w:r>
        <w:rPr>
          <w:spacing w:val="-7"/>
          <w:sz w:val="18"/>
          <w:szCs w:val="18"/>
          <w:lang w:val="es-ES_tradnl"/>
        </w:rPr>
        <w:t>Las Partes Contratantes se notificar</w:t>
      </w:r>
      <w:r>
        <w:rPr>
          <w:rFonts w:cs="Times New Roman"/>
          <w:spacing w:val="-7"/>
          <w:sz w:val="18"/>
          <w:szCs w:val="18"/>
          <w:lang w:val="es-ES_tradnl"/>
        </w:rPr>
        <w:t>á</w:t>
      </w:r>
      <w:r>
        <w:rPr>
          <w:spacing w:val="-7"/>
          <w:sz w:val="18"/>
          <w:szCs w:val="18"/>
          <w:lang w:val="es-ES_tradnl"/>
        </w:rPr>
        <w:t xml:space="preserve">n mutuamente por </w:t>
      </w:r>
      <w:r>
        <w:rPr>
          <w:spacing w:val="-9"/>
          <w:sz w:val="18"/>
          <w:szCs w:val="18"/>
          <w:lang w:val="es-ES_tradnl"/>
        </w:rPr>
        <w:t>escrito a trav</w:t>
      </w:r>
      <w:r>
        <w:rPr>
          <w:rFonts w:cs="Times New Roman"/>
          <w:spacing w:val="-9"/>
          <w:sz w:val="18"/>
          <w:szCs w:val="18"/>
          <w:lang w:val="es-ES_tradnl"/>
        </w:rPr>
        <w:t>é</w:t>
      </w:r>
      <w:r>
        <w:rPr>
          <w:spacing w:val="-9"/>
          <w:sz w:val="18"/>
          <w:szCs w:val="18"/>
          <w:lang w:val="es-ES_tradnl"/>
        </w:rPr>
        <w:t>s de canales diplom</w:t>
      </w:r>
      <w:r>
        <w:rPr>
          <w:rFonts w:cs="Times New Roman"/>
          <w:spacing w:val="-9"/>
          <w:sz w:val="18"/>
          <w:szCs w:val="18"/>
          <w:lang w:val="es-ES_tradnl"/>
        </w:rPr>
        <w:t>á</w:t>
      </w:r>
      <w:r>
        <w:rPr>
          <w:spacing w:val="-9"/>
          <w:sz w:val="18"/>
          <w:szCs w:val="18"/>
          <w:lang w:val="es-ES_tradnl"/>
        </w:rPr>
        <w:t>ticos sobre la conclusi</w:t>
      </w:r>
      <w:r>
        <w:rPr>
          <w:rFonts w:cs="Times New Roman"/>
          <w:spacing w:val="-9"/>
          <w:sz w:val="18"/>
          <w:szCs w:val="18"/>
          <w:lang w:val="es-ES_tradnl"/>
        </w:rPr>
        <w:t>ó</w:t>
      </w:r>
      <w:r>
        <w:rPr>
          <w:spacing w:val="-9"/>
          <w:sz w:val="18"/>
          <w:szCs w:val="18"/>
          <w:lang w:val="es-ES_tradnl"/>
        </w:rPr>
        <w:t xml:space="preserve">n de sus respectivos procedimientos internos necesarios para </w:t>
      </w:r>
      <w:r>
        <w:rPr>
          <w:spacing w:val="-8"/>
          <w:sz w:val="18"/>
          <w:szCs w:val="18"/>
          <w:lang w:val="es-ES_tradnl"/>
        </w:rPr>
        <w:t xml:space="preserve">la entrada en vigencia del presente Convenio. El Convenio </w:t>
      </w:r>
      <w:r>
        <w:rPr>
          <w:spacing w:val="-7"/>
          <w:sz w:val="18"/>
          <w:szCs w:val="18"/>
          <w:lang w:val="es-ES_tradnl"/>
        </w:rPr>
        <w:t>entrar</w:t>
      </w:r>
      <w:r>
        <w:rPr>
          <w:rFonts w:cs="Times New Roman"/>
          <w:spacing w:val="-7"/>
          <w:sz w:val="18"/>
          <w:szCs w:val="18"/>
          <w:lang w:val="es-ES_tradnl"/>
        </w:rPr>
        <w:t>á</w:t>
      </w:r>
      <w:r>
        <w:rPr>
          <w:spacing w:val="-7"/>
          <w:sz w:val="18"/>
          <w:szCs w:val="18"/>
          <w:lang w:val="es-ES_tradnl"/>
        </w:rPr>
        <w:t xml:space="preserve"> en vigencia en la fecha de la </w:t>
      </w:r>
      <w:r>
        <w:rPr>
          <w:rFonts w:cs="Times New Roman"/>
          <w:spacing w:val="-7"/>
          <w:sz w:val="18"/>
          <w:szCs w:val="18"/>
          <w:lang w:val="es-ES_tradnl"/>
        </w:rPr>
        <w:t>ú</w:t>
      </w:r>
      <w:r>
        <w:rPr>
          <w:spacing w:val="-7"/>
          <w:sz w:val="18"/>
          <w:szCs w:val="18"/>
          <w:lang w:val="es-ES_tradnl"/>
        </w:rPr>
        <w:t>ltima notificaci</w:t>
      </w:r>
      <w:r>
        <w:rPr>
          <w:rFonts w:cs="Times New Roman"/>
          <w:spacing w:val="-7"/>
          <w:sz w:val="18"/>
          <w:szCs w:val="18"/>
          <w:lang w:val="es-ES_tradnl"/>
        </w:rPr>
        <w:t>ó</w:t>
      </w:r>
      <w:r>
        <w:rPr>
          <w:spacing w:val="-7"/>
          <w:sz w:val="18"/>
          <w:szCs w:val="18"/>
          <w:lang w:val="es-ES_tradnl"/>
        </w:rPr>
        <w:t>n.</w:t>
      </w:r>
    </w:p>
    <w:p w14:paraId="4F67A3CA" w14:textId="77777777" w:rsidR="00591D54" w:rsidRDefault="00591D54">
      <w:pPr>
        <w:shd w:val="clear" w:color="auto" w:fill="FFFFFF"/>
        <w:spacing w:before="192" w:line="216" w:lineRule="exact"/>
        <w:jc w:val="both"/>
      </w:pPr>
      <w:r>
        <w:rPr>
          <w:spacing w:val="-5"/>
          <w:sz w:val="18"/>
          <w:szCs w:val="18"/>
          <w:lang w:val="es-ES_tradnl"/>
        </w:rPr>
        <w:t xml:space="preserve">En fe de lo cual, los suscritos, debidamente autorizados </w:t>
      </w:r>
      <w:r>
        <w:rPr>
          <w:spacing w:val="-7"/>
          <w:sz w:val="18"/>
          <w:szCs w:val="18"/>
          <w:lang w:val="es-ES_tradnl"/>
        </w:rPr>
        <w:t xml:space="preserve">por sus respectivos Gobiernos, han firmado el presente </w:t>
      </w:r>
      <w:r>
        <w:rPr>
          <w:sz w:val="18"/>
          <w:szCs w:val="18"/>
          <w:lang w:val="es-ES_tradnl"/>
        </w:rPr>
        <w:t>Convenio.</w:t>
      </w:r>
    </w:p>
    <w:p w14:paraId="4F67A3CB" w14:textId="77777777" w:rsidR="00591D54" w:rsidRDefault="00591D54">
      <w:pPr>
        <w:shd w:val="clear" w:color="auto" w:fill="FFFFFF"/>
        <w:spacing w:before="192" w:line="216" w:lineRule="exact"/>
        <w:jc w:val="both"/>
      </w:pPr>
      <w:r>
        <w:rPr>
          <w:spacing w:val="-7"/>
          <w:sz w:val="18"/>
          <w:szCs w:val="18"/>
          <w:lang w:val="es-ES_tradnl"/>
        </w:rPr>
        <w:t>Celebrado en la ciudad de Beijing, el d</w:t>
      </w:r>
      <w:r>
        <w:rPr>
          <w:rFonts w:cs="Times New Roman"/>
          <w:spacing w:val="-7"/>
          <w:sz w:val="18"/>
          <w:szCs w:val="18"/>
          <w:lang w:val="es-ES_tradnl"/>
        </w:rPr>
        <w:t>í</w:t>
      </w:r>
      <w:r>
        <w:rPr>
          <w:spacing w:val="-7"/>
          <w:sz w:val="18"/>
          <w:szCs w:val="18"/>
          <w:lang w:val="es-ES_tradnl"/>
        </w:rPr>
        <w:t xml:space="preserve">a 19 de noviembre </w:t>
      </w:r>
      <w:r>
        <w:rPr>
          <w:spacing w:val="-5"/>
          <w:sz w:val="18"/>
          <w:szCs w:val="18"/>
          <w:lang w:val="es-ES_tradnl"/>
        </w:rPr>
        <w:t>de 2013, en dos originales en los idiomas espa</w:t>
      </w:r>
      <w:r>
        <w:rPr>
          <w:rFonts w:cs="Times New Roman"/>
          <w:spacing w:val="-5"/>
          <w:sz w:val="18"/>
          <w:szCs w:val="18"/>
          <w:lang w:val="es-ES_tradnl"/>
        </w:rPr>
        <w:t>ñ</w:t>
      </w:r>
      <w:r>
        <w:rPr>
          <w:spacing w:val="-5"/>
          <w:sz w:val="18"/>
          <w:szCs w:val="18"/>
          <w:lang w:val="es-ES_tradnl"/>
        </w:rPr>
        <w:t xml:space="preserve">ol, chino </w:t>
      </w:r>
      <w:r>
        <w:rPr>
          <w:spacing w:val="-7"/>
          <w:sz w:val="18"/>
          <w:szCs w:val="18"/>
          <w:lang w:val="es-ES_tradnl"/>
        </w:rPr>
        <w:t>e ingl</w:t>
      </w:r>
      <w:r>
        <w:rPr>
          <w:rFonts w:cs="Times New Roman"/>
          <w:spacing w:val="-7"/>
          <w:sz w:val="18"/>
          <w:szCs w:val="18"/>
          <w:lang w:val="es-ES_tradnl"/>
        </w:rPr>
        <w:t>é</w:t>
      </w:r>
      <w:r>
        <w:rPr>
          <w:spacing w:val="-7"/>
          <w:sz w:val="18"/>
          <w:szCs w:val="18"/>
          <w:lang w:val="es-ES_tradnl"/>
        </w:rPr>
        <w:t>s, siendo todos los textos igualmente aut</w:t>
      </w:r>
      <w:r>
        <w:rPr>
          <w:rFonts w:cs="Times New Roman"/>
          <w:spacing w:val="-7"/>
          <w:sz w:val="18"/>
          <w:szCs w:val="18"/>
          <w:lang w:val="es-ES_tradnl"/>
        </w:rPr>
        <w:t>é</w:t>
      </w:r>
      <w:r>
        <w:rPr>
          <w:spacing w:val="-7"/>
          <w:sz w:val="18"/>
          <w:szCs w:val="18"/>
          <w:lang w:val="es-ES_tradnl"/>
        </w:rPr>
        <w:t>nticos. En caso de cualquier controversia o diferencia prevalecer</w:t>
      </w:r>
      <w:r>
        <w:rPr>
          <w:rFonts w:cs="Times New Roman"/>
          <w:spacing w:val="-7"/>
          <w:sz w:val="18"/>
          <w:szCs w:val="18"/>
          <w:lang w:val="es-ES_tradnl"/>
        </w:rPr>
        <w:t>á</w:t>
      </w:r>
      <w:r>
        <w:rPr>
          <w:spacing w:val="-7"/>
          <w:sz w:val="18"/>
          <w:szCs w:val="18"/>
          <w:lang w:val="es-ES_tradnl"/>
        </w:rPr>
        <w:t xml:space="preserve"> el </w:t>
      </w:r>
      <w:r>
        <w:rPr>
          <w:sz w:val="18"/>
          <w:szCs w:val="18"/>
          <w:lang w:val="es-ES_tradnl"/>
        </w:rPr>
        <w:t>texto en ingl</w:t>
      </w:r>
      <w:r>
        <w:rPr>
          <w:rFonts w:cs="Times New Roman"/>
          <w:sz w:val="18"/>
          <w:szCs w:val="18"/>
          <w:lang w:val="es-ES_tradnl"/>
        </w:rPr>
        <w:t>é</w:t>
      </w:r>
      <w:r>
        <w:rPr>
          <w:sz w:val="18"/>
          <w:szCs w:val="18"/>
          <w:lang w:val="es-ES_tradnl"/>
        </w:rPr>
        <w:t>s.</w:t>
      </w:r>
    </w:p>
    <w:p w14:paraId="4F67A3CC" w14:textId="77777777" w:rsidR="00591D54" w:rsidRDefault="00591D54">
      <w:pPr>
        <w:shd w:val="clear" w:color="auto" w:fill="FFFFFF"/>
        <w:spacing w:before="192" w:line="216" w:lineRule="exact"/>
        <w:ind w:left="1493" w:right="1498"/>
        <w:jc w:val="center"/>
      </w:pPr>
      <w:r>
        <w:rPr>
          <w:b/>
          <w:bCs/>
          <w:sz w:val="18"/>
          <w:szCs w:val="18"/>
          <w:lang w:val="es-ES_tradnl"/>
        </w:rPr>
        <w:t xml:space="preserve">ANEXO </w:t>
      </w:r>
      <w:r>
        <w:rPr>
          <w:b/>
          <w:bCs/>
          <w:spacing w:val="-9"/>
          <w:sz w:val="18"/>
          <w:szCs w:val="18"/>
          <w:lang w:val="es-ES_tradnl"/>
        </w:rPr>
        <w:t>Cuadro de Rutas</w:t>
      </w:r>
    </w:p>
    <w:p w14:paraId="4F67A3CD" w14:textId="77777777" w:rsidR="00591D54" w:rsidRDefault="00591D54">
      <w:pPr>
        <w:shd w:val="clear" w:color="auto" w:fill="FFFFFF"/>
        <w:tabs>
          <w:tab w:val="left" w:pos="178"/>
        </w:tabs>
        <w:spacing w:before="197" w:line="216" w:lineRule="exact"/>
        <w:jc w:val="both"/>
      </w:pPr>
      <w:r>
        <w:rPr>
          <w:spacing w:val="-11"/>
          <w:sz w:val="18"/>
          <w:szCs w:val="18"/>
          <w:lang w:val="es-ES_tradnl"/>
        </w:rPr>
        <w:t>1.</w:t>
      </w:r>
      <w:r>
        <w:rPr>
          <w:sz w:val="18"/>
          <w:szCs w:val="18"/>
          <w:lang w:val="es-ES_tradnl"/>
        </w:rPr>
        <w:tab/>
      </w:r>
      <w:r>
        <w:rPr>
          <w:spacing w:val="-10"/>
          <w:sz w:val="18"/>
          <w:szCs w:val="18"/>
          <w:lang w:val="es-ES_tradnl"/>
        </w:rPr>
        <w:t>La ruta de los servicios acordados operados por las l</w:t>
      </w:r>
      <w:r>
        <w:rPr>
          <w:rFonts w:cs="Times New Roman"/>
          <w:spacing w:val="-10"/>
          <w:sz w:val="18"/>
          <w:szCs w:val="18"/>
          <w:lang w:val="es-ES_tradnl"/>
        </w:rPr>
        <w:t>í</w:t>
      </w:r>
      <w:r>
        <w:rPr>
          <w:spacing w:val="-10"/>
          <w:sz w:val="18"/>
          <w:szCs w:val="18"/>
          <w:lang w:val="es-ES_tradnl"/>
        </w:rPr>
        <w:t>neas </w:t>
      </w:r>
      <w:r>
        <w:rPr>
          <w:spacing w:val="-9"/>
          <w:sz w:val="18"/>
          <w:szCs w:val="18"/>
          <w:lang w:val="es-ES_tradnl"/>
        </w:rPr>
        <w:t>a</w:t>
      </w:r>
      <w:r>
        <w:rPr>
          <w:rFonts w:cs="Times New Roman"/>
          <w:spacing w:val="-9"/>
          <w:sz w:val="18"/>
          <w:szCs w:val="18"/>
          <w:lang w:val="es-ES_tradnl"/>
        </w:rPr>
        <w:t>é</w:t>
      </w:r>
      <w:r>
        <w:rPr>
          <w:spacing w:val="-9"/>
          <w:sz w:val="18"/>
          <w:szCs w:val="18"/>
          <w:lang w:val="es-ES_tradnl"/>
        </w:rPr>
        <w:t>reas designadas por el Gobierno de la Rep</w:t>
      </w:r>
      <w:r>
        <w:rPr>
          <w:rFonts w:cs="Times New Roman"/>
          <w:spacing w:val="-9"/>
          <w:sz w:val="18"/>
          <w:szCs w:val="18"/>
          <w:lang w:val="es-ES_tradnl"/>
        </w:rPr>
        <w:t>ú</w:t>
      </w:r>
      <w:r>
        <w:rPr>
          <w:spacing w:val="-9"/>
          <w:sz w:val="18"/>
          <w:szCs w:val="18"/>
          <w:lang w:val="es-ES_tradnl"/>
        </w:rPr>
        <w:t>blica Popular </w:t>
      </w:r>
      <w:r>
        <w:rPr>
          <w:spacing w:val="-8"/>
          <w:sz w:val="18"/>
          <w:szCs w:val="18"/>
          <w:lang w:val="es-ES_tradnl"/>
        </w:rPr>
        <w:t>de China, ser</w:t>
      </w:r>
      <w:r>
        <w:rPr>
          <w:rFonts w:cs="Times New Roman"/>
          <w:spacing w:val="-8"/>
          <w:sz w:val="18"/>
          <w:szCs w:val="18"/>
          <w:lang w:val="es-ES_tradnl"/>
        </w:rPr>
        <w:t>á</w:t>
      </w:r>
      <w:r>
        <w:rPr>
          <w:spacing w:val="-8"/>
          <w:sz w:val="18"/>
          <w:szCs w:val="18"/>
          <w:lang w:val="es-ES_tradnl"/>
        </w:rPr>
        <w:t xml:space="preserve"> la siguiente, en ambas direcciones:</w:t>
      </w:r>
    </w:p>
    <w:p w14:paraId="4F67A3CE" w14:textId="77777777" w:rsidR="00591D54" w:rsidRDefault="00591D54">
      <w:pPr>
        <w:shd w:val="clear" w:color="auto" w:fill="FFFFFF"/>
        <w:spacing w:before="197" w:line="216" w:lineRule="exact"/>
      </w:pPr>
      <w:r>
        <w:rPr>
          <w:spacing w:val="-9"/>
          <w:sz w:val="18"/>
          <w:szCs w:val="18"/>
          <w:lang w:val="es-ES_tradnl"/>
        </w:rPr>
        <w:t>Puntos de origen: Puntos en China</w:t>
      </w:r>
    </w:p>
    <w:p w14:paraId="4F67A3CF" w14:textId="77777777" w:rsidR="00591D54" w:rsidRDefault="00591D54">
      <w:pPr>
        <w:shd w:val="clear" w:color="auto" w:fill="FFFFFF"/>
        <w:spacing w:line="216" w:lineRule="exact"/>
      </w:pPr>
      <w:r>
        <w:rPr>
          <w:spacing w:val="-7"/>
          <w:sz w:val="18"/>
          <w:szCs w:val="18"/>
          <w:lang w:val="es-ES_tradnl"/>
        </w:rPr>
        <w:t>Puntos intermedios: Cualquier punto</w:t>
      </w:r>
    </w:p>
    <w:p w14:paraId="4F67A3D0" w14:textId="77777777" w:rsidR="00591D54" w:rsidRDefault="00591D54">
      <w:pPr>
        <w:shd w:val="clear" w:color="auto" w:fill="FFFFFF"/>
        <w:spacing w:line="216" w:lineRule="exact"/>
      </w:pPr>
      <w:r>
        <w:rPr>
          <w:spacing w:val="-6"/>
          <w:sz w:val="18"/>
          <w:szCs w:val="18"/>
          <w:lang w:val="es-ES_tradnl"/>
        </w:rPr>
        <w:t>Puntos de destino: Cualquier punto en Ecuador abierto al</w:t>
      </w:r>
    </w:p>
    <w:p w14:paraId="4F67A3D1" w14:textId="77777777" w:rsidR="00591D54" w:rsidRDefault="00591D54">
      <w:pPr>
        <w:shd w:val="clear" w:color="auto" w:fill="FFFFFF"/>
        <w:spacing w:line="216" w:lineRule="exact"/>
      </w:pPr>
      <w:r>
        <w:rPr>
          <w:spacing w:val="-7"/>
          <w:sz w:val="18"/>
          <w:szCs w:val="18"/>
          <w:lang w:val="es-ES_tradnl"/>
        </w:rPr>
        <w:t>tr</w:t>
      </w:r>
      <w:r>
        <w:rPr>
          <w:rFonts w:cs="Times New Roman"/>
          <w:spacing w:val="-7"/>
          <w:sz w:val="18"/>
          <w:szCs w:val="18"/>
          <w:lang w:val="es-ES_tradnl"/>
        </w:rPr>
        <w:t>á</w:t>
      </w:r>
      <w:r>
        <w:rPr>
          <w:spacing w:val="-7"/>
          <w:sz w:val="18"/>
          <w:szCs w:val="18"/>
          <w:lang w:val="es-ES_tradnl"/>
        </w:rPr>
        <w:t>fico internacional</w:t>
      </w:r>
    </w:p>
    <w:p w14:paraId="4F67A3D2" w14:textId="77777777" w:rsidR="00591D54" w:rsidRDefault="00591D54">
      <w:pPr>
        <w:shd w:val="clear" w:color="auto" w:fill="FFFFFF"/>
        <w:spacing w:line="216" w:lineRule="exact"/>
      </w:pPr>
      <w:r>
        <w:rPr>
          <w:spacing w:val="-7"/>
          <w:sz w:val="18"/>
          <w:szCs w:val="18"/>
          <w:lang w:val="es-ES_tradnl"/>
        </w:rPr>
        <w:t>Puntos m</w:t>
      </w:r>
      <w:r>
        <w:rPr>
          <w:rFonts w:cs="Times New Roman"/>
          <w:spacing w:val="-7"/>
          <w:sz w:val="18"/>
          <w:szCs w:val="18"/>
          <w:lang w:val="es-ES_tradnl"/>
        </w:rPr>
        <w:t>á</w:t>
      </w:r>
      <w:r>
        <w:rPr>
          <w:spacing w:val="-7"/>
          <w:sz w:val="18"/>
          <w:szCs w:val="18"/>
          <w:lang w:val="es-ES_tradnl"/>
        </w:rPr>
        <w:t>s all</w:t>
      </w:r>
      <w:r>
        <w:rPr>
          <w:rFonts w:cs="Times New Roman"/>
          <w:spacing w:val="-7"/>
          <w:sz w:val="18"/>
          <w:szCs w:val="18"/>
          <w:lang w:val="es-ES_tradnl"/>
        </w:rPr>
        <w:t>á</w:t>
      </w:r>
      <w:r>
        <w:rPr>
          <w:spacing w:val="-7"/>
          <w:sz w:val="18"/>
          <w:szCs w:val="18"/>
          <w:lang w:val="es-ES_tradnl"/>
        </w:rPr>
        <w:t>: Cualquier punto</w:t>
      </w:r>
    </w:p>
    <w:p w14:paraId="4F67A3D3" w14:textId="77777777" w:rsidR="00591D54" w:rsidRDefault="00591D54">
      <w:pPr>
        <w:shd w:val="clear" w:color="auto" w:fill="FFFFFF"/>
        <w:tabs>
          <w:tab w:val="left" w:pos="178"/>
        </w:tabs>
        <w:spacing w:before="197" w:line="216" w:lineRule="exact"/>
        <w:jc w:val="both"/>
      </w:pPr>
      <w:r>
        <w:rPr>
          <w:spacing w:val="-11"/>
          <w:sz w:val="18"/>
          <w:szCs w:val="18"/>
          <w:lang w:val="es-ES_tradnl"/>
        </w:rPr>
        <w:t>2.</w:t>
      </w:r>
      <w:r>
        <w:rPr>
          <w:sz w:val="18"/>
          <w:szCs w:val="18"/>
          <w:lang w:val="es-ES_tradnl"/>
        </w:rPr>
        <w:tab/>
      </w:r>
      <w:r>
        <w:rPr>
          <w:spacing w:val="-10"/>
          <w:sz w:val="18"/>
          <w:szCs w:val="18"/>
          <w:lang w:val="es-ES_tradnl"/>
        </w:rPr>
        <w:t>La ruta de los servicios acordados operados por las l</w:t>
      </w:r>
      <w:r>
        <w:rPr>
          <w:rFonts w:cs="Times New Roman"/>
          <w:spacing w:val="-10"/>
          <w:sz w:val="18"/>
          <w:szCs w:val="18"/>
          <w:lang w:val="es-ES_tradnl"/>
        </w:rPr>
        <w:t>í</w:t>
      </w:r>
      <w:r>
        <w:rPr>
          <w:spacing w:val="-10"/>
          <w:sz w:val="18"/>
          <w:szCs w:val="18"/>
          <w:lang w:val="es-ES_tradnl"/>
        </w:rPr>
        <w:t>neas </w:t>
      </w:r>
      <w:r>
        <w:rPr>
          <w:spacing w:val="-7"/>
          <w:sz w:val="18"/>
          <w:szCs w:val="18"/>
          <w:lang w:val="es-ES_tradnl"/>
        </w:rPr>
        <w:t>a</w:t>
      </w:r>
      <w:r>
        <w:rPr>
          <w:rFonts w:cs="Times New Roman"/>
          <w:spacing w:val="-7"/>
          <w:sz w:val="18"/>
          <w:szCs w:val="18"/>
          <w:lang w:val="es-ES_tradnl"/>
        </w:rPr>
        <w:t>é</w:t>
      </w:r>
      <w:r>
        <w:rPr>
          <w:spacing w:val="-7"/>
          <w:sz w:val="18"/>
          <w:szCs w:val="18"/>
          <w:lang w:val="es-ES_tradnl"/>
        </w:rPr>
        <w:t>reas designadas por el Gobierno de la Rep</w:t>
      </w:r>
      <w:r>
        <w:rPr>
          <w:rFonts w:cs="Times New Roman"/>
          <w:spacing w:val="-7"/>
          <w:sz w:val="18"/>
          <w:szCs w:val="18"/>
          <w:lang w:val="es-ES_tradnl"/>
        </w:rPr>
        <w:t>ú</w:t>
      </w:r>
      <w:r>
        <w:rPr>
          <w:spacing w:val="-7"/>
          <w:sz w:val="18"/>
          <w:szCs w:val="18"/>
          <w:lang w:val="es-ES_tradnl"/>
        </w:rPr>
        <w:t>blica del </w:t>
      </w:r>
      <w:r>
        <w:rPr>
          <w:spacing w:val="-9"/>
          <w:sz w:val="18"/>
          <w:szCs w:val="18"/>
          <w:lang w:val="es-ES_tradnl"/>
        </w:rPr>
        <w:t>Ecuador ser</w:t>
      </w:r>
      <w:r>
        <w:rPr>
          <w:rFonts w:cs="Times New Roman"/>
          <w:spacing w:val="-9"/>
          <w:sz w:val="18"/>
          <w:szCs w:val="18"/>
          <w:lang w:val="es-ES_tradnl"/>
        </w:rPr>
        <w:t>á</w:t>
      </w:r>
      <w:r>
        <w:rPr>
          <w:spacing w:val="-9"/>
          <w:sz w:val="18"/>
          <w:szCs w:val="18"/>
          <w:lang w:val="es-ES_tradnl"/>
        </w:rPr>
        <w:t xml:space="preserve"> la siguiente en ambas direcciones:</w:t>
      </w:r>
    </w:p>
    <w:p w14:paraId="4F67A3D4" w14:textId="77777777" w:rsidR="00591D54" w:rsidRDefault="00591D54">
      <w:pPr>
        <w:shd w:val="clear" w:color="auto" w:fill="FFFFFF"/>
        <w:spacing w:before="197" w:line="216" w:lineRule="exact"/>
      </w:pPr>
      <w:r>
        <w:rPr>
          <w:spacing w:val="-9"/>
          <w:sz w:val="18"/>
          <w:szCs w:val="18"/>
          <w:lang w:val="es-ES_tradnl"/>
        </w:rPr>
        <w:t>Puntos de origen: Puntos en el Ecuador</w:t>
      </w:r>
    </w:p>
    <w:p w14:paraId="4F67A3D5" w14:textId="77777777" w:rsidR="00591D54" w:rsidRDefault="00591D54">
      <w:pPr>
        <w:shd w:val="clear" w:color="auto" w:fill="FFFFFF"/>
        <w:spacing w:line="216" w:lineRule="exact"/>
      </w:pPr>
      <w:r>
        <w:rPr>
          <w:spacing w:val="-7"/>
          <w:sz w:val="18"/>
          <w:szCs w:val="18"/>
          <w:lang w:val="es-ES_tradnl"/>
        </w:rPr>
        <w:t>Puntos intermedios: Cualquier punto</w:t>
      </w:r>
    </w:p>
    <w:p w14:paraId="4F67A3D6" w14:textId="77777777" w:rsidR="00591D54" w:rsidRDefault="00591D54">
      <w:pPr>
        <w:shd w:val="clear" w:color="auto" w:fill="FFFFFF"/>
        <w:spacing w:line="216" w:lineRule="exact"/>
      </w:pPr>
      <w:r>
        <w:rPr>
          <w:spacing w:val="-2"/>
          <w:sz w:val="18"/>
          <w:szCs w:val="18"/>
          <w:lang w:val="es-ES_tradnl"/>
        </w:rPr>
        <w:t>Puntos de destino: Cualquier punto en China abierto al</w:t>
      </w:r>
    </w:p>
    <w:p w14:paraId="4F67A3D7" w14:textId="77777777" w:rsidR="00591D54" w:rsidRDefault="00591D54">
      <w:pPr>
        <w:shd w:val="clear" w:color="auto" w:fill="FFFFFF"/>
        <w:spacing w:line="216" w:lineRule="exact"/>
      </w:pPr>
      <w:r>
        <w:rPr>
          <w:spacing w:val="-7"/>
          <w:sz w:val="18"/>
          <w:szCs w:val="18"/>
          <w:lang w:val="es-ES_tradnl"/>
        </w:rPr>
        <w:t>tr</w:t>
      </w:r>
      <w:r>
        <w:rPr>
          <w:rFonts w:cs="Times New Roman"/>
          <w:spacing w:val="-7"/>
          <w:sz w:val="18"/>
          <w:szCs w:val="18"/>
          <w:lang w:val="es-ES_tradnl"/>
        </w:rPr>
        <w:t>á</w:t>
      </w:r>
      <w:r>
        <w:rPr>
          <w:spacing w:val="-7"/>
          <w:sz w:val="18"/>
          <w:szCs w:val="18"/>
          <w:lang w:val="es-ES_tradnl"/>
        </w:rPr>
        <w:t>fico internacional</w:t>
      </w:r>
    </w:p>
    <w:p w14:paraId="4F67A3D8" w14:textId="77777777" w:rsidR="00591D54" w:rsidRDefault="00591D54">
      <w:pPr>
        <w:shd w:val="clear" w:color="auto" w:fill="FFFFFF"/>
        <w:spacing w:line="216" w:lineRule="exact"/>
      </w:pPr>
      <w:r>
        <w:rPr>
          <w:spacing w:val="-7"/>
          <w:sz w:val="18"/>
          <w:szCs w:val="18"/>
          <w:lang w:val="es-ES_tradnl"/>
        </w:rPr>
        <w:t>Puntos m</w:t>
      </w:r>
      <w:r>
        <w:rPr>
          <w:rFonts w:cs="Times New Roman"/>
          <w:spacing w:val="-7"/>
          <w:sz w:val="18"/>
          <w:szCs w:val="18"/>
          <w:lang w:val="es-ES_tradnl"/>
        </w:rPr>
        <w:t>á</w:t>
      </w:r>
      <w:r>
        <w:rPr>
          <w:spacing w:val="-7"/>
          <w:sz w:val="18"/>
          <w:szCs w:val="18"/>
          <w:lang w:val="es-ES_tradnl"/>
        </w:rPr>
        <w:t>s all</w:t>
      </w:r>
      <w:r>
        <w:rPr>
          <w:rFonts w:cs="Times New Roman"/>
          <w:spacing w:val="-7"/>
          <w:sz w:val="18"/>
          <w:szCs w:val="18"/>
          <w:lang w:val="es-ES_tradnl"/>
        </w:rPr>
        <w:t>á</w:t>
      </w:r>
      <w:r>
        <w:rPr>
          <w:spacing w:val="-7"/>
          <w:sz w:val="18"/>
          <w:szCs w:val="18"/>
          <w:lang w:val="es-ES_tradnl"/>
        </w:rPr>
        <w:t>: Cualquier punto</w:t>
      </w:r>
    </w:p>
    <w:p w14:paraId="4F67A3D9" w14:textId="77777777" w:rsidR="00591D54" w:rsidRDefault="00591D54">
      <w:pPr>
        <w:shd w:val="clear" w:color="auto" w:fill="FFFFFF"/>
        <w:spacing w:before="192"/>
      </w:pPr>
      <w:r>
        <w:rPr>
          <w:spacing w:val="-8"/>
          <w:sz w:val="18"/>
          <w:szCs w:val="18"/>
          <w:lang w:val="es-ES_tradnl"/>
        </w:rPr>
        <w:t>Notas:</w:t>
      </w:r>
    </w:p>
    <w:p w14:paraId="4F67A3DA" w14:textId="77777777" w:rsidR="00591D54" w:rsidRDefault="00591D54">
      <w:pPr>
        <w:shd w:val="clear" w:color="auto" w:fill="FFFFFF"/>
        <w:spacing w:before="192" w:line="216" w:lineRule="exact"/>
        <w:jc w:val="both"/>
      </w:pPr>
      <w:r>
        <w:rPr>
          <w:spacing w:val="-9"/>
          <w:sz w:val="18"/>
          <w:szCs w:val="18"/>
          <w:lang w:val="es-ES_tradnl"/>
        </w:rPr>
        <w:t>1. Las l</w:t>
      </w:r>
      <w:r>
        <w:rPr>
          <w:rFonts w:cs="Times New Roman"/>
          <w:spacing w:val="-9"/>
          <w:sz w:val="18"/>
          <w:szCs w:val="18"/>
          <w:lang w:val="es-ES_tradnl"/>
        </w:rPr>
        <w:t>í</w:t>
      </w:r>
      <w:r>
        <w:rPr>
          <w:spacing w:val="-9"/>
          <w:sz w:val="18"/>
          <w:szCs w:val="18"/>
          <w:lang w:val="es-ES_tradnl"/>
        </w:rPr>
        <w:t>neas a</w:t>
      </w:r>
      <w:r>
        <w:rPr>
          <w:rFonts w:cs="Times New Roman"/>
          <w:spacing w:val="-9"/>
          <w:sz w:val="18"/>
          <w:szCs w:val="18"/>
          <w:lang w:val="es-ES_tradnl"/>
        </w:rPr>
        <w:t>é</w:t>
      </w:r>
      <w:r>
        <w:rPr>
          <w:spacing w:val="-9"/>
          <w:sz w:val="18"/>
          <w:szCs w:val="18"/>
          <w:lang w:val="es-ES_tradnl"/>
        </w:rPr>
        <w:t>reas designadas de una Parte Contratante pueden omitir, en uno o en todos los vuelos, cualquier punto</w:t>
      </w:r>
    </w:p>
    <w:p w14:paraId="4F67A3DB" w14:textId="77777777" w:rsidR="00591D54" w:rsidRDefault="00591D54">
      <w:pPr>
        <w:shd w:val="clear" w:color="auto" w:fill="FFFFFF"/>
        <w:spacing w:line="216" w:lineRule="exact"/>
        <w:jc w:val="both"/>
      </w:pPr>
      <w:r>
        <w:br w:type="column"/>
      </w:r>
      <w:r>
        <w:rPr>
          <w:spacing w:val="-8"/>
          <w:sz w:val="18"/>
          <w:szCs w:val="18"/>
          <w:lang w:val="es-ES_tradnl"/>
        </w:rPr>
        <w:t xml:space="preserve">en las rutas especificadas y pueden servirles en cualquier orden, siempre que el servicio acordado se inicie y termine </w:t>
      </w:r>
      <w:r>
        <w:rPr>
          <w:spacing w:val="-9"/>
          <w:sz w:val="18"/>
          <w:szCs w:val="18"/>
          <w:lang w:val="es-ES_tradnl"/>
        </w:rPr>
        <w:t>en el territorio de la Parte Contratante que designa a la l</w:t>
      </w:r>
      <w:r>
        <w:rPr>
          <w:rFonts w:cs="Times New Roman"/>
          <w:spacing w:val="-9"/>
          <w:sz w:val="18"/>
          <w:szCs w:val="18"/>
          <w:lang w:val="es-ES_tradnl"/>
        </w:rPr>
        <w:t>í</w:t>
      </w:r>
      <w:r>
        <w:rPr>
          <w:spacing w:val="-9"/>
          <w:sz w:val="18"/>
          <w:szCs w:val="18"/>
          <w:lang w:val="es-ES_tradnl"/>
        </w:rPr>
        <w:t xml:space="preserve">nea </w:t>
      </w:r>
      <w:r>
        <w:rPr>
          <w:sz w:val="18"/>
          <w:szCs w:val="18"/>
          <w:lang w:val="es-ES_tradnl"/>
        </w:rPr>
        <w:t>a</w:t>
      </w:r>
      <w:r>
        <w:rPr>
          <w:rFonts w:cs="Times New Roman"/>
          <w:sz w:val="18"/>
          <w:szCs w:val="18"/>
          <w:lang w:val="es-ES_tradnl"/>
        </w:rPr>
        <w:t>é</w:t>
      </w:r>
      <w:r>
        <w:rPr>
          <w:sz w:val="18"/>
          <w:szCs w:val="18"/>
          <w:lang w:val="es-ES_tradnl"/>
        </w:rPr>
        <w:t>rea.</w:t>
      </w:r>
    </w:p>
    <w:p w14:paraId="4F67A3DC" w14:textId="77777777" w:rsidR="00591D54" w:rsidRDefault="00591D54">
      <w:pPr>
        <w:shd w:val="clear" w:color="auto" w:fill="FFFFFF"/>
        <w:spacing w:before="197" w:line="216" w:lineRule="exact"/>
        <w:jc w:val="both"/>
      </w:pPr>
      <w:r>
        <w:rPr>
          <w:spacing w:val="-7"/>
          <w:sz w:val="18"/>
          <w:szCs w:val="18"/>
          <w:lang w:val="es-ES_tradnl"/>
        </w:rPr>
        <w:t>2. El ejercicio de los derechos de tr</w:t>
      </w:r>
      <w:r>
        <w:rPr>
          <w:rFonts w:cs="Times New Roman"/>
          <w:spacing w:val="-7"/>
          <w:sz w:val="18"/>
          <w:szCs w:val="18"/>
          <w:lang w:val="es-ES_tradnl"/>
        </w:rPr>
        <w:t>á</w:t>
      </w:r>
      <w:r>
        <w:rPr>
          <w:spacing w:val="-7"/>
          <w:sz w:val="18"/>
          <w:szCs w:val="18"/>
          <w:lang w:val="es-ES_tradnl"/>
        </w:rPr>
        <w:t xml:space="preserve">fico de quinta libertad </w:t>
      </w:r>
      <w:r>
        <w:rPr>
          <w:spacing w:val="-10"/>
          <w:sz w:val="18"/>
          <w:szCs w:val="18"/>
          <w:lang w:val="es-ES_tradnl"/>
        </w:rPr>
        <w:t>por parte de las l</w:t>
      </w:r>
      <w:r>
        <w:rPr>
          <w:rFonts w:cs="Times New Roman"/>
          <w:spacing w:val="-10"/>
          <w:sz w:val="18"/>
          <w:szCs w:val="18"/>
          <w:lang w:val="es-ES_tradnl"/>
        </w:rPr>
        <w:t>í</w:t>
      </w:r>
      <w:r>
        <w:rPr>
          <w:spacing w:val="-10"/>
          <w:sz w:val="18"/>
          <w:szCs w:val="18"/>
          <w:lang w:val="es-ES_tradnl"/>
        </w:rPr>
        <w:t>neas a</w:t>
      </w:r>
      <w:r>
        <w:rPr>
          <w:rFonts w:cs="Times New Roman"/>
          <w:spacing w:val="-10"/>
          <w:sz w:val="18"/>
          <w:szCs w:val="18"/>
          <w:lang w:val="es-ES_tradnl"/>
        </w:rPr>
        <w:t>é</w:t>
      </w:r>
      <w:r>
        <w:rPr>
          <w:spacing w:val="-10"/>
          <w:sz w:val="18"/>
          <w:szCs w:val="18"/>
          <w:lang w:val="es-ES_tradnl"/>
        </w:rPr>
        <w:t>reas designadas de ambas Partes Contratantes en las rutas mencionadas deber</w:t>
      </w:r>
      <w:r>
        <w:rPr>
          <w:rFonts w:cs="Times New Roman"/>
          <w:spacing w:val="-10"/>
          <w:sz w:val="18"/>
          <w:szCs w:val="18"/>
          <w:lang w:val="es-ES_tradnl"/>
        </w:rPr>
        <w:t>á</w:t>
      </w:r>
      <w:r>
        <w:rPr>
          <w:spacing w:val="-10"/>
          <w:sz w:val="18"/>
          <w:szCs w:val="18"/>
          <w:lang w:val="es-ES_tradnl"/>
        </w:rPr>
        <w:t xml:space="preserve"> ser acordado </w:t>
      </w:r>
      <w:r>
        <w:rPr>
          <w:spacing w:val="-8"/>
          <w:sz w:val="18"/>
          <w:szCs w:val="18"/>
          <w:lang w:val="es-ES_tradnl"/>
        </w:rPr>
        <w:t>entre las Autoridades Aeron</w:t>
      </w:r>
      <w:r>
        <w:rPr>
          <w:rFonts w:cs="Times New Roman"/>
          <w:spacing w:val="-8"/>
          <w:sz w:val="18"/>
          <w:szCs w:val="18"/>
          <w:lang w:val="es-ES_tradnl"/>
        </w:rPr>
        <w:t>á</w:t>
      </w:r>
      <w:r>
        <w:rPr>
          <w:spacing w:val="-8"/>
          <w:sz w:val="18"/>
          <w:szCs w:val="18"/>
          <w:lang w:val="es-ES_tradnl"/>
        </w:rPr>
        <w:t xml:space="preserve">uticas de las dos Partes </w:t>
      </w:r>
      <w:r>
        <w:rPr>
          <w:sz w:val="18"/>
          <w:szCs w:val="18"/>
          <w:lang w:val="es-ES_tradnl"/>
        </w:rPr>
        <w:t>Contratantes.</w:t>
      </w:r>
    </w:p>
    <w:p w14:paraId="4F67A3DD" w14:textId="77777777" w:rsidR="00591D54" w:rsidRDefault="00591D54">
      <w:pPr>
        <w:shd w:val="clear" w:color="auto" w:fill="FFFFFF"/>
        <w:spacing w:before="192" w:line="216" w:lineRule="exact"/>
        <w:jc w:val="both"/>
      </w:pPr>
      <w:r>
        <w:rPr>
          <w:b/>
          <w:bCs/>
          <w:spacing w:val="-3"/>
          <w:sz w:val="18"/>
          <w:szCs w:val="18"/>
          <w:lang w:val="es-ES_tradnl"/>
        </w:rPr>
        <w:t>Identificaci</w:t>
      </w:r>
      <w:r>
        <w:rPr>
          <w:rFonts w:cs="Times New Roman"/>
          <w:b/>
          <w:bCs/>
          <w:spacing w:val="-3"/>
          <w:sz w:val="18"/>
          <w:szCs w:val="18"/>
          <w:lang w:val="es-ES_tradnl"/>
        </w:rPr>
        <w:t>ó</w:t>
      </w:r>
      <w:r>
        <w:rPr>
          <w:b/>
          <w:bCs/>
          <w:spacing w:val="-3"/>
          <w:sz w:val="18"/>
          <w:szCs w:val="18"/>
          <w:lang w:val="es-ES_tradnl"/>
        </w:rPr>
        <w:t xml:space="preserve">n de las normas constitucionales </w:t>
      </w:r>
      <w:r>
        <w:rPr>
          <w:b/>
          <w:bCs/>
          <w:sz w:val="18"/>
          <w:szCs w:val="18"/>
          <w:lang w:val="es-ES_tradnl"/>
        </w:rPr>
        <w:t>relacionadas con el instrumento</w:t>
      </w:r>
    </w:p>
    <w:p w14:paraId="4F67A3DE" w14:textId="77777777" w:rsidR="00591D54" w:rsidRDefault="00591D54">
      <w:pPr>
        <w:shd w:val="clear" w:color="auto" w:fill="FFFFFF"/>
        <w:spacing w:before="197" w:line="216" w:lineRule="exact"/>
        <w:jc w:val="both"/>
      </w:pPr>
      <w:r>
        <w:rPr>
          <w:spacing w:val="-5"/>
          <w:sz w:val="18"/>
          <w:szCs w:val="18"/>
          <w:lang w:val="es-ES_tradnl"/>
        </w:rPr>
        <w:t xml:space="preserve">Con el fin de establecer las normas constitucionales </w:t>
      </w:r>
      <w:r>
        <w:rPr>
          <w:spacing w:val="-6"/>
          <w:sz w:val="18"/>
          <w:szCs w:val="18"/>
          <w:lang w:val="es-ES_tradnl"/>
        </w:rPr>
        <w:t xml:space="preserve">aplicables a este caso, esta Corte Constitucional debe </w:t>
      </w:r>
      <w:r>
        <w:rPr>
          <w:spacing w:val="-10"/>
          <w:sz w:val="18"/>
          <w:szCs w:val="18"/>
          <w:lang w:val="es-ES_tradnl"/>
        </w:rPr>
        <w:t>analizar de un modo integral la Constituci</w:t>
      </w:r>
      <w:r>
        <w:rPr>
          <w:rFonts w:cs="Times New Roman"/>
          <w:spacing w:val="-10"/>
          <w:sz w:val="18"/>
          <w:szCs w:val="18"/>
          <w:lang w:val="es-ES_tradnl"/>
        </w:rPr>
        <w:t>ó</w:t>
      </w:r>
      <w:r>
        <w:rPr>
          <w:spacing w:val="-10"/>
          <w:sz w:val="18"/>
          <w:szCs w:val="18"/>
          <w:lang w:val="es-ES_tradnl"/>
        </w:rPr>
        <w:t>n de la Rep</w:t>
      </w:r>
      <w:r>
        <w:rPr>
          <w:rFonts w:cs="Times New Roman"/>
          <w:spacing w:val="-10"/>
          <w:sz w:val="18"/>
          <w:szCs w:val="18"/>
          <w:lang w:val="es-ES_tradnl"/>
        </w:rPr>
        <w:t>ú</w:t>
      </w:r>
      <w:r>
        <w:rPr>
          <w:spacing w:val="-10"/>
          <w:sz w:val="18"/>
          <w:szCs w:val="18"/>
          <w:lang w:val="es-ES_tradnl"/>
        </w:rPr>
        <w:t xml:space="preserve">blica, </w:t>
      </w:r>
      <w:r>
        <w:rPr>
          <w:spacing w:val="-5"/>
          <w:sz w:val="18"/>
          <w:szCs w:val="18"/>
          <w:lang w:val="es-ES_tradnl"/>
        </w:rPr>
        <w:t>en aplicaci</w:t>
      </w:r>
      <w:r>
        <w:rPr>
          <w:rFonts w:cs="Times New Roman"/>
          <w:spacing w:val="-5"/>
          <w:sz w:val="18"/>
          <w:szCs w:val="18"/>
          <w:lang w:val="es-ES_tradnl"/>
        </w:rPr>
        <w:t>ó</w:t>
      </w:r>
      <w:r>
        <w:rPr>
          <w:spacing w:val="-5"/>
          <w:sz w:val="18"/>
          <w:szCs w:val="18"/>
          <w:lang w:val="es-ES_tradnl"/>
        </w:rPr>
        <w:t xml:space="preserve">n del principio de unidad constitucional; para </w:t>
      </w:r>
      <w:r>
        <w:rPr>
          <w:spacing w:val="-7"/>
          <w:sz w:val="18"/>
          <w:szCs w:val="18"/>
          <w:lang w:val="es-ES_tradnl"/>
        </w:rPr>
        <w:t xml:space="preserve">lo cual, una vez revisado el tratado se han identificado las </w:t>
      </w:r>
      <w:r>
        <w:rPr>
          <w:sz w:val="18"/>
          <w:szCs w:val="18"/>
          <w:lang w:val="es-ES_tradnl"/>
        </w:rPr>
        <w:t>siguientes normas pertinentes:</w:t>
      </w:r>
    </w:p>
    <w:p w14:paraId="4F67A3DF" w14:textId="77777777" w:rsidR="00591D54" w:rsidRDefault="00591D54">
      <w:pPr>
        <w:shd w:val="clear" w:color="auto" w:fill="FFFFFF"/>
        <w:spacing w:before="192"/>
      </w:pPr>
      <w:r>
        <w:rPr>
          <w:b/>
          <w:bCs/>
          <w:spacing w:val="-9"/>
          <w:sz w:val="18"/>
          <w:szCs w:val="18"/>
          <w:lang w:val="es-ES_tradnl"/>
        </w:rPr>
        <w:t>Sobre el control de constitucionalidad</w:t>
      </w:r>
    </w:p>
    <w:p w14:paraId="4F67A3E0" w14:textId="77777777" w:rsidR="00591D54" w:rsidRDefault="00591D54">
      <w:pPr>
        <w:shd w:val="clear" w:color="auto" w:fill="FFFFFF"/>
        <w:spacing w:before="192" w:line="216" w:lineRule="exact"/>
        <w:jc w:val="both"/>
      </w:pPr>
      <w:r>
        <w:rPr>
          <w:b/>
          <w:bCs/>
          <w:spacing w:val="-6"/>
          <w:sz w:val="18"/>
          <w:szCs w:val="18"/>
          <w:lang w:val="es-ES_tradnl"/>
        </w:rPr>
        <w:t xml:space="preserve">Art. 438.- </w:t>
      </w:r>
      <w:r>
        <w:rPr>
          <w:spacing w:val="-6"/>
          <w:sz w:val="18"/>
          <w:szCs w:val="18"/>
          <w:lang w:val="es-ES_tradnl"/>
        </w:rPr>
        <w:t>La Corte Constitucional emitir</w:t>
      </w:r>
      <w:r>
        <w:rPr>
          <w:rFonts w:cs="Times New Roman"/>
          <w:spacing w:val="-6"/>
          <w:sz w:val="18"/>
          <w:szCs w:val="18"/>
          <w:lang w:val="es-ES_tradnl"/>
        </w:rPr>
        <w:t>á</w:t>
      </w:r>
      <w:r>
        <w:rPr>
          <w:spacing w:val="-6"/>
          <w:sz w:val="18"/>
          <w:szCs w:val="18"/>
          <w:lang w:val="es-ES_tradnl"/>
        </w:rPr>
        <w:t xml:space="preserve"> dictamen previo </w:t>
      </w:r>
      <w:r>
        <w:rPr>
          <w:spacing w:val="-7"/>
          <w:sz w:val="18"/>
          <w:szCs w:val="18"/>
          <w:lang w:val="es-ES_tradnl"/>
        </w:rPr>
        <w:t xml:space="preserve">y vinculante de constitucionalidad en los siguientes casos, </w:t>
      </w:r>
      <w:r>
        <w:rPr>
          <w:sz w:val="18"/>
          <w:szCs w:val="18"/>
          <w:lang w:val="es-ES_tradnl"/>
        </w:rPr>
        <w:t>adem</w:t>
      </w:r>
      <w:r>
        <w:rPr>
          <w:rFonts w:cs="Times New Roman"/>
          <w:sz w:val="18"/>
          <w:szCs w:val="18"/>
          <w:lang w:val="es-ES_tradnl"/>
        </w:rPr>
        <w:t>á</w:t>
      </w:r>
      <w:r>
        <w:rPr>
          <w:sz w:val="18"/>
          <w:szCs w:val="18"/>
          <w:lang w:val="es-ES_tradnl"/>
        </w:rPr>
        <w:t>s de los que determine la ley:</w:t>
      </w:r>
    </w:p>
    <w:p w14:paraId="4F67A3E1" w14:textId="77777777" w:rsidR="00591D54" w:rsidRDefault="00591D54">
      <w:pPr>
        <w:shd w:val="clear" w:color="auto" w:fill="FFFFFF"/>
        <w:spacing w:before="192" w:line="216" w:lineRule="exact"/>
        <w:ind w:left="283"/>
      </w:pPr>
      <w:r>
        <w:rPr>
          <w:spacing w:val="-7"/>
          <w:sz w:val="18"/>
          <w:szCs w:val="18"/>
          <w:lang w:val="es-ES_tradnl"/>
        </w:rPr>
        <w:t>1.    Tratados    internacionales,    previamente    a    su ratificaci</w:t>
      </w:r>
      <w:r>
        <w:rPr>
          <w:rFonts w:cs="Times New Roman"/>
          <w:spacing w:val="-7"/>
          <w:sz w:val="18"/>
          <w:szCs w:val="18"/>
          <w:lang w:val="es-ES_tradnl"/>
        </w:rPr>
        <w:t>ó</w:t>
      </w:r>
      <w:r>
        <w:rPr>
          <w:spacing w:val="-7"/>
          <w:sz w:val="18"/>
          <w:szCs w:val="18"/>
          <w:lang w:val="es-ES_tradnl"/>
        </w:rPr>
        <w:t>n por parte de la Asamblea Nacional.</w:t>
      </w:r>
    </w:p>
    <w:p w14:paraId="4F67A3E2" w14:textId="77777777" w:rsidR="00591D54" w:rsidRDefault="00591D54">
      <w:pPr>
        <w:shd w:val="clear" w:color="auto" w:fill="FFFFFF"/>
        <w:spacing w:before="192"/>
      </w:pPr>
      <w:r>
        <w:rPr>
          <w:b/>
          <w:bCs/>
          <w:spacing w:val="-9"/>
          <w:sz w:val="18"/>
          <w:szCs w:val="18"/>
          <w:lang w:val="es-ES_tradnl"/>
        </w:rPr>
        <w:t>Sobre tratados e instrumentos internacionales</w:t>
      </w:r>
    </w:p>
    <w:p w14:paraId="4F67A3E3" w14:textId="77777777" w:rsidR="00591D54" w:rsidRDefault="00591D54">
      <w:pPr>
        <w:shd w:val="clear" w:color="auto" w:fill="FFFFFF"/>
        <w:spacing w:before="192" w:line="216" w:lineRule="exact"/>
        <w:jc w:val="both"/>
      </w:pPr>
      <w:r>
        <w:rPr>
          <w:b/>
          <w:bCs/>
          <w:spacing w:val="-6"/>
          <w:sz w:val="18"/>
          <w:szCs w:val="18"/>
          <w:lang w:val="es-ES_tradnl"/>
        </w:rPr>
        <w:t xml:space="preserve">Art. 416.- </w:t>
      </w:r>
      <w:r>
        <w:rPr>
          <w:spacing w:val="-6"/>
          <w:sz w:val="18"/>
          <w:szCs w:val="18"/>
          <w:lang w:val="es-ES_tradnl"/>
        </w:rPr>
        <w:t>Las relaciones del Ecuador con la comunidad internacional responder</w:t>
      </w:r>
      <w:r>
        <w:rPr>
          <w:rFonts w:cs="Times New Roman"/>
          <w:spacing w:val="-6"/>
          <w:sz w:val="18"/>
          <w:szCs w:val="18"/>
          <w:lang w:val="es-ES_tradnl"/>
        </w:rPr>
        <w:t>á</w:t>
      </w:r>
      <w:r>
        <w:rPr>
          <w:spacing w:val="-6"/>
          <w:sz w:val="18"/>
          <w:szCs w:val="18"/>
          <w:lang w:val="es-ES_tradnl"/>
        </w:rPr>
        <w:t xml:space="preserve">n a los intereses del pueblo </w:t>
      </w:r>
      <w:r>
        <w:rPr>
          <w:spacing w:val="-8"/>
          <w:sz w:val="18"/>
          <w:szCs w:val="18"/>
          <w:lang w:val="es-ES_tradnl"/>
        </w:rPr>
        <w:t>ecuatoriano, al que le rendir</w:t>
      </w:r>
      <w:r>
        <w:rPr>
          <w:rFonts w:cs="Times New Roman"/>
          <w:spacing w:val="-8"/>
          <w:sz w:val="18"/>
          <w:szCs w:val="18"/>
          <w:lang w:val="es-ES_tradnl"/>
        </w:rPr>
        <w:t>á</w:t>
      </w:r>
      <w:r>
        <w:rPr>
          <w:spacing w:val="-8"/>
          <w:sz w:val="18"/>
          <w:szCs w:val="18"/>
          <w:lang w:val="es-ES_tradnl"/>
        </w:rPr>
        <w:t xml:space="preserve">n cuenta sus responsables y </w:t>
      </w:r>
      <w:r>
        <w:rPr>
          <w:sz w:val="18"/>
          <w:szCs w:val="18"/>
          <w:lang w:val="es-ES_tradnl"/>
        </w:rPr>
        <w:t>ejecutores, y en consecuencia:</w:t>
      </w:r>
    </w:p>
    <w:p w14:paraId="4F67A3E4" w14:textId="77777777" w:rsidR="00591D54" w:rsidRDefault="00591D54">
      <w:pPr>
        <w:shd w:val="clear" w:color="auto" w:fill="FFFFFF"/>
        <w:spacing w:before="197" w:line="216" w:lineRule="exact"/>
        <w:jc w:val="both"/>
      </w:pPr>
      <w:r>
        <w:rPr>
          <w:spacing w:val="-11"/>
          <w:sz w:val="18"/>
          <w:szCs w:val="18"/>
          <w:lang w:val="es-ES_tradnl"/>
        </w:rPr>
        <w:t>12. Fomenta un nuevo sistema de comercio e inversi</w:t>
      </w:r>
      <w:r>
        <w:rPr>
          <w:rFonts w:cs="Times New Roman"/>
          <w:spacing w:val="-11"/>
          <w:sz w:val="18"/>
          <w:szCs w:val="18"/>
          <w:lang w:val="es-ES_tradnl"/>
        </w:rPr>
        <w:t>ó</w:t>
      </w:r>
      <w:r>
        <w:rPr>
          <w:spacing w:val="-11"/>
          <w:sz w:val="18"/>
          <w:szCs w:val="18"/>
          <w:lang w:val="es-ES_tradnl"/>
        </w:rPr>
        <w:t xml:space="preserve">n entre </w:t>
      </w:r>
      <w:r>
        <w:rPr>
          <w:spacing w:val="-8"/>
          <w:sz w:val="18"/>
          <w:szCs w:val="18"/>
          <w:lang w:val="es-ES_tradnl"/>
        </w:rPr>
        <w:t>los Estados que se sustente en la justicia, la solidaridad, la complementariedad, la creaci</w:t>
      </w:r>
      <w:r>
        <w:rPr>
          <w:rFonts w:cs="Times New Roman"/>
          <w:spacing w:val="-8"/>
          <w:sz w:val="18"/>
          <w:szCs w:val="18"/>
          <w:lang w:val="es-ES_tradnl"/>
        </w:rPr>
        <w:t>ó</w:t>
      </w:r>
      <w:r>
        <w:rPr>
          <w:spacing w:val="-8"/>
          <w:sz w:val="18"/>
          <w:szCs w:val="18"/>
          <w:lang w:val="es-ES_tradnl"/>
        </w:rPr>
        <w:t xml:space="preserve">n de mecanismos de control </w:t>
      </w:r>
      <w:r>
        <w:rPr>
          <w:spacing w:val="-6"/>
          <w:sz w:val="18"/>
          <w:szCs w:val="18"/>
          <w:lang w:val="es-ES_tradnl"/>
        </w:rPr>
        <w:t xml:space="preserve">internacional a las corporaciones multinacionales y el </w:t>
      </w:r>
      <w:r>
        <w:rPr>
          <w:spacing w:val="-5"/>
          <w:sz w:val="18"/>
          <w:szCs w:val="18"/>
          <w:lang w:val="es-ES_tradnl"/>
        </w:rPr>
        <w:t xml:space="preserve">establecimiento de un sistema financiero internacional, </w:t>
      </w:r>
      <w:r>
        <w:rPr>
          <w:spacing w:val="-8"/>
          <w:sz w:val="18"/>
          <w:szCs w:val="18"/>
          <w:lang w:val="es-ES_tradnl"/>
        </w:rPr>
        <w:t xml:space="preserve">justo, transparente y equitativo. Rechaza que controversias </w:t>
      </w:r>
      <w:r>
        <w:rPr>
          <w:spacing w:val="-1"/>
          <w:sz w:val="18"/>
          <w:szCs w:val="18"/>
          <w:lang w:val="es-ES_tradnl"/>
        </w:rPr>
        <w:t xml:space="preserve">con empresas privadas extranjeras se conviertan en </w:t>
      </w:r>
      <w:r>
        <w:rPr>
          <w:sz w:val="18"/>
          <w:szCs w:val="18"/>
          <w:lang w:val="es-ES_tradnl"/>
        </w:rPr>
        <w:t>confl ictos entre Estados.</w:t>
      </w:r>
    </w:p>
    <w:p w14:paraId="4F67A3E5" w14:textId="77777777" w:rsidR="00591D54" w:rsidRDefault="00591D54">
      <w:pPr>
        <w:shd w:val="clear" w:color="auto" w:fill="FFFFFF"/>
        <w:spacing w:before="192" w:line="216" w:lineRule="exact"/>
        <w:jc w:val="both"/>
      </w:pPr>
      <w:r>
        <w:rPr>
          <w:b/>
          <w:bCs/>
          <w:spacing w:val="-4"/>
          <w:sz w:val="18"/>
          <w:szCs w:val="18"/>
          <w:lang w:val="es-ES_tradnl"/>
        </w:rPr>
        <w:t xml:space="preserve">Art. 419.- </w:t>
      </w:r>
      <w:r>
        <w:rPr>
          <w:spacing w:val="-4"/>
          <w:sz w:val="18"/>
          <w:szCs w:val="18"/>
          <w:lang w:val="es-ES_tradnl"/>
        </w:rPr>
        <w:t>La ratificaci</w:t>
      </w:r>
      <w:r>
        <w:rPr>
          <w:rFonts w:cs="Times New Roman"/>
          <w:spacing w:val="-4"/>
          <w:sz w:val="18"/>
          <w:szCs w:val="18"/>
          <w:lang w:val="es-ES_tradnl"/>
        </w:rPr>
        <w:t>ó</w:t>
      </w:r>
      <w:r>
        <w:rPr>
          <w:spacing w:val="-4"/>
          <w:sz w:val="18"/>
          <w:szCs w:val="18"/>
          <w:lang w:val="es-ES_tradnl"/>
        </w:rPr>
        <w:t xml:space="preserve">n o denuncia de los tratados </w:t>
      </w:r>
      <w:r>
        <w:rPr>
          <w:spacing w:val="-3"/>
          <w:sz w:val="18"/>
          <w:szCs w:val="18"/>
          <w:lang w:val="es-ES_tradnl"/>
        </w:rPr>
        <w:t>internacionales requerir</w:t>
      </w:r>
      <w:r>
        <w:rPr>
          <w:rFonts w:cs="Times New Roman"/>
          <w:spacing w:val="-3"/>
          <w:sz w:val="18"/>
          <w:szCs w:val="18"/>
          <w:lang w:val="es-ES_tradnl"/>
        </w:rPr>
        <w:t>á</w:t>
      </w:r>
      <w:r>
        <w:rPr>
          <w:spacing w:val="-3"/>
          <w:sz w:val="18"/>
          <w:szCs w:val="18"/>
          <w:lang w:val="es-ES_tradnl"/>
        </w:rPr>
        <w:t xml:space="preserve"> la aprobaci</w:t>
      </w:r>
      <w:r>
        <w:rPr>
          <w:rFonts w:cs="Times New Roman"/>
          <w:spacing w:val="-3"/>
          <w:sz w:val="18"/>
          <w:szCs w:val="18"/>
          <w:lang w:val="es-ES_tradnl"/>
        </w:rPr>
        <w:t>ó</w:t>
      </w:r>
      <w:r>
        <w:rPr>
          <w:spacing w:val="-3"/>
          <w:sz w:val="18"/>
          <w:szCs w:val="18"/>
          <w:lang w:val="es-ES_tradnl"/>
        </w:rPr>
        <w:t xml:space="preserve">n previa de la </w:t>
      </w:r>
      <w:r>
        <w:rPr>
          <w:sz w:val="18"/>
          <w:szCs w:val="18"/>
          <w:lang w:val="es-ES_tradnl"/>
        </w:rPr>
        <w:t>Asamblea Nacional en los casos que:</w:t>
      </w:r>
    </w:p>
    <w:p w14:paraId="4F67A3E6" w14:textId="77777777" w:rsidR="00591D54" w:rsidRDefault="00591D54">
      <w:pPr>
        <w:shd w:val="clear" w:color="auto" w:fill="FFFFFF"/>
        <w:spacing w:before="197" w:line="216" w:lineRule="exact"/>
        <w:jc w:val="both"/>
      </w:pPr>
      <w:r>
        <w:rPr>
          <w:spacing w:val="-7"/>
          <w:sz w:val="18"/>
          <w:szCs w:val="18"/>
          <w:lang w:val="es-ES_tradnl"/>
        </w:rPr>
        <w:t>6. Comprometan al pa</w:t>
      </w:r>
      <w:r>
        <w:rPr>
          <w:rFonts w:cs="Times New Roman"/>
          <w:spacing w:val="-7"/>
          <w:sz w:val="18"/>
          <w:szCs w:val="18"/>
          <w:lang w:val="es-ES_tradnl"/>
        </w:rPr>
        <w:t>í</w:t>
      </w:r>
      <w:r>
        <w:rPr>
          <w:spacing w:val="-7"/>
          <w:sz w:val="18"/>
          <w:szCs w:val="18"/>
          <w:lang w:val="es-ES_tradnl"/>
        </w:rPr>
        <w:t>s en acuerdos de integraci</w:t>
      </w:r>
      <w:r>
        <w:rPr>
          <w:rFonts w:cs="Times New Roman"/>
          <w:spacing w:val="-7"/>
          <w:sz w:val="18"/>
          <w:szCs w:val="18"/>
          <w:lang w:val="es-ES_tradnl"/>
        </w:rPr>
        <w:t>ó</w:t>
      </w:r>
      <w:r>
        <w:rPr>
          <w:spacing w:val="-7"/>
          <w:sz w:val="18"/>
          <w:szCs w:val="18"/>
          <w:lang w:val="es-ES_tradnl"/>
        </w:rPr>
        <w:t xml:space="preserve">n y de </w:t>
      </w:r>
      <w:r>
        <w:rPr>
          <w:sz w:val="18"/>
          <w:szCs w:val="18"/>
          <w:lang w:val="es-ES_tradnl"/>
        </w:rPr>
        <w:t>comercio.</w:t>
      </w:r>
    </w:p>
    <w:p w14:paraId="4F67A3E7" w14:textId="77777777" w:rsidR="00591D54" w:rsidRDefault="00591D54">
      <w:pPr>
        <w:shd w:val="clear" w:color="auto" w:fill="FFFFFF"/>
        <w:spacing w:before="192" w:line="216" w:lineRule="exact"/>
        <w:jc w:val="both"/>
      </w:pPr>
      <w:r>
        <w:rPr>
          <w:b/>
          <w:bCs/>
          <w:spacing w:val="-6"/>
          <w:sz w:val="18"/>
          <w:szCs w:val="18"/>
          <w:lang w:val="es-ES_tradnl"/>
        </w:rPr>
        <w:t xml:space="preserve">Art. 422.- </w:t>
      </w:r>
      <w:r>
        <w:rPr>
          <w:spacing w:val="-6"/>
          <w:sz w:val="18"/>
          <w:szCs w:val="18"/>
          <w:lang w:val="es-ES_tradnl"/>
        </w:rPr>
        <w:t>No se podr</w:t>
      </w:r>
      <w:r>
        <w:rPr>
          <w:rFonts w:cs="Times New Roman"/>
          <w:spacing w:val="-6"/>
          <w:sz w:val="18"/>
          <w:szCs w:val="18"/>
          <w:lang w:val="es-ES_tradnl"/>
        </w:rPr>
        <w:t>á</w:t>
      </w:r>
      <w:r>
        <w:rPr>
          <w:spacing w:val="-6"/>
          <w:sz w:val="18"/>
          <w:szCs w:val="18"/>
          <w:lang w:val="es-ES_tradnl"/>
        </w:rPr>
        <w:t xml:space="preserve"> celebrar tratados o instrumentos </w:t>
      </w:r>
      <w:r>
        <w:rPr>
          <w:spacing w:val="-7"/>
          <w:sz w:val="18"/>
          <w:szCs w:val="18"/>
          <w:lang w:val="es-ES_tradnl"/>
        </w:rPr>
        <w:t xml:space="preserve">internacionales en los que el Estado ecuatoriano ceda </w:t>
      </w:r>
      <w:r>
        <w:rPr>
          <w:spacing w:val="-8"/>
          <w:sz w:val="18"/>
          <w:szCs w:val="18"/>
          <w:lang w:val="es-ES_tradnl"/>
        </w:rPr>
        <w:t>jurisdicci</w:t>
      </w:r>
      <w:r>
        <w:rPr>
          <w:rFonts w:cs="Times New Roman"/>
          <w:spacing w:val="-8"/>
          <w:sz w:val="18"/>
          <w:szCs w:val="18"/>
          <w:lang w:val="es-ES_tradnl"/>
        </w:rPr>
        <w:t>ó</w:t>
      </w:r>
      <w:r>
        <w:rPr>
          <w:spacing w:val="-8"/>
          <w:sz w:val="18"/>
          <w:szCs w:val="18"/>
          <w:lang w:val="es-ES_tradnl"/>
        </w:rPr>
        <w:t xml:space="preserve">n soberana a instancias de arbitraje internacional, en controversias contractuales o de </w:t>
      </w:r>
      <w:r>
        <w:rPr>
          <w:rFonts w:cs="Times New Roman"/>
          <w:spacing w:val="-8"/>
          <w:sz w:val="18"/>
          <w:szCs w:val="18"/>
          <w:lang w:val="es-ES_tradnl"/>
        </w:rPr>
        <w:t>í</w:t>
      </w:r>
      <w:r>
        <w:rPr>
          <w:spacing w:val="-8"/>
          <w:sz w:val="18"/>
          <w:szCs w:val="18"/>
          <w:lang w:val="es-ES_tradnl"/>
        </w:rPr>
        <w:t>ndole comercial, entre el Estado y personas naturales o jur</w:t>
      </w:r>
      <w:r>
        <w:rPr>
          <w:rFonts w:cs="Times New Roman"/>
          <w:spacing w:val="-8"/>
          <w:sz w:val="18"/>
          <w:szCs w:val="18"/>
          <w:lang w:val="es-ES_tradnl"/>
        </w:rPr>
        <w:t>í</w:t>
      </w:r>
      <w:r>
        <w:rPr>
          <w:spacing w:val="-8"/>
          <w:sz w:val="18"/>
          <w:szCs w:val="18"/>
          <w:lang w:val="es-ES_tradnl"/>
        </w:rPr>
        <w:t>dicas privadas.</w:t>
      </w:r>
    </w:p>
    <w:p w14:paraId="4F67A3E8" w14:textId="77777777" w:rsidR="00591D54" w:rsidRDefault="00591D54">
      <w:pPr>
        <w:shd w:val="clear" w:color="auto" w:fill="FFFFFF"/>
        <w:spacing w:before="192" w:line="216" w:lineRule="exact"/>
        <w:jc w:val="both"/>
      </w:pPr>
      <w:r>
        <w:rPr>
          <w:spacing w:val="-7"/>
          <w:sz w:val="18"/>
          <w:szCs w:val="18"/>
          <w:lang w:val="es-ES_tradnl"/>
        </w:rPr>
        <w:t>Se except</w:t>
      </w:r>
      <w:r>
        <w:rPr>
          <w:rFonts w:cs="Times New Roman"/>
          <w:spacing w:val="-7"/>
          <w:sz w:val="18"/>
          <w:szCs w:val="18"/>
          <w:lang w:val="es-ES_tradnl"/>
        </w:rPr>
        <w:t>ú</w:t>
      </w:r>
      <w:r>
        <w:rPr>
          <w:spacing w:val="-7"/>
          <w:sz w:val="18"/>
          <w:szCs w:val="18"/>
          <w:lang w:val="es-ES_tradnl"/>
        </w:rPr>
        <w:t xml:space="preserve">an los tratados e instrumentos internacionales </w:t>
      </w:r>
      <w:r>
        <w:rPr>
          <w:spacing w:val="-8"/>
          <w:sz w:val="18"/>
          <w:szCs w:val="18"/>
          <w:lang w:val="es-ES_tradnl"/>
        </w:rPr>
        <w:t>que establezcan la soluci</w:t>
      </w:r>
      <w:r>
        <w:rPr>
          <w:rFonts w:cs="Times New Roman"/>
          <w:spacing w:val="-8"/>
          <w:sz w:val="18"/>
          <w:szCs w:val="18"/>
          <w:lang w:val="es-ES_tradnl"/>
        </w:rPr>
        <w:t>ó</w:t>
      </w:r>
      <w:r>
        <w:rPr>
          <w:spacing w:val="-8"/>
          <w:sz w:val="18"/>
          <w:szCs w:val="18"/>
          <w:lang w:val="es-ES_tradnl"/>
        </w:rPr>
        <w:t xml:space="preserve">n de controversias entre Estados </w:t>
      </w:r>
      <w:r>
        <w:rPr>
          <w:spacing w:val="-6"/>
          <w:sz w:val="18"/>
          <w:szCs w:val="18"/>
          <w:lang w:val="es-ES_tradnl"/>
        </w:rPr>
        <w:t>y ciudadanos en Latinoam</w:t>
      </w:r>
      <w:r>
        <w:rPr>
          <w:rFonts w:cs="Times New Roman"/>
          <w:spacing w:val="-6"/>
          <w:sz w:val="18"/>
          <w:szCs w:val="18"/>
          <w:lang w:val="es-ES_tradnl"/>
        </w:rPr>
        <w:t>é</w:t>
      </w:r>
      <w:r>
        <w:rPr>
          <w:spacing w:val="-6"/>
          <w:sz w:val="18"/>
          <w:szCs w:val="18"/>
          <w:lang w:val="es-ES_tradnl"/>
        </w:rPr>
        <w:t xml:space="preserve">rica por instancias arbitrales </w:t>
      </w:r>
      <w:r>
        <w:rPr>
          <w:spacing w:val="-9"/>
          <w:sz w:val="18"/>
          <w:szCs w:val="18"/>
          <w:lang w:val="es-ES_tradnl"/>
        </w:rPr>
        <w:t xml:space="preserve">regionales o por </w:t>
      </w:r>
      <w:r>
        <w:rPr>
          <w:rFonts w:cs="Times New Roman"/>
          <w:spacing w:val="-9"/>
          <w:sz w:val="18"/>
          <w:szCs w:val="18"/>
          <w:lang w:val="es-ES_tradnl"/>
        </w:rPr>
        <w:t>ó</w:t>
      </w:r>
      <w:r>
        <w:rPr>
          <w:spacing w:val="-9"/>
          <w:sz w:val="18"/>
          <w:szCs w:val="18"/>
          <w:lang w:val="es-ES_tradnl"/>
        </w:rPr>
        <w:t>rganos jurisdiccionales de designaci</w:t>
      </w:r>
      <w:r>
        <w:rPr>
          <w:rFonts w:cs="Times New Roman"/>
          <w:spacing w:val="-9"/>
          <w:sz w:val="18"/>
          <w:szCs w:val="18"/>
          <w:lang w:val="es-ES_tradnl"/>
        </w:rPr>
        <w:t>ó</w:t>
      </w:r>
      <w:r>
        <w:rPr>
          <w:spacing w:val="-9"/>
          <w:sz w:val="18"/>
          <w:szCs w:val="18"/>
          <w:lang w:val="es-ES_tradnl"/>
        </w:rPr>
        <w:t>n de</w:t>
      </w:r>
    </w:p>
    <w:p w14:paraId="4F67A3E9" w14:textId="77777777" w:rsidR="00591D54" w:rsidRDefault="00591D54">
      <w:pPr>
        <w:shd w:val="clear" w:color="auto" w:fill="FFFFFF"/>
        <w:spacing w:before="192" w:line="216" w:lineRule="exact"/>
        <w:jc w:val="both"/>
        <w:sectPr w:rsidR="00591D54">
          <w:type w:val="continuous"/>
          <w:pgSz w:w="11909" w:h="16834"/>
          <w:pgMar w:top="1371" w:right="1309" w:bottom="360" w:left="1308" w:header="720" w:footer="720" w:gutter="0"/>
          <w:cols w:num="2" w:space="720" w:equalWidth="0">
            <w:col w:w="4305" w:space="682"/>
            <w:col w:w="4305"/>
          </w:cols>
          <w:noEndnote/>
        </w:sectPr>
      </w:pPr>
    </w:p>
    <w:p w14:paraId="4F67A3EA" w14:textId="77777777" w:rsidR="00591D54" w:rsidRDefault="00591D54">
      <w:pPr>
        <w:shd w:val="clear" w:color="auto" w:fill="FFFFFF"/>
        <w:tabs>
          <w:tab w:val="left" w:pos="5966"/>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- 11</w:t>
      </w:r>
    </w:p>
    <w:p w14:paraId="4F67A3EB" w14:textId="77777777" w:rsidR="00591D54" w:rsidRDefault="00591D54">
      <w:pPr>
        <w:shd w:val="clear" w:color="auto" w:fill="FFFFFF"/>
        <w:tabs>
          <w:tab w:val="left" w:pos="5966"/>
        </w:tabs>
        <w:spacing w:after="235"/>
        <w:ind w:left="5"/>
        <w:sectPr w:rsidR="00591D54">
          <w:pgSz w:w="11909" w:h="16834"/>
          <w:pgMar w:top="1361" w:right="1309" w:bottom="360" w:left="1308" w:header="720" w:footer="720" w:gutter="0"/>
          <w:cols w:space="60"/>
          <w:noEndnote/>
        </w:sectPr>
      </w:pPr>
    </w:p>
    <w:p w14:paraId="4F67A3EC" w14:textId="77777777" w:rsidR="00591D54" w:rsidRDefault="00591D54">
      <w:pPr>
        <w:shd w:val="clear" w:color="auto" w:fill="FFFFFF"/>
        <w:spacing w:line="226" w:lineRule="exact"/>
        <w:jc w:val="both"/>
      </w:pPr>
      <w:r>
        <w:rPr>
          <w:spacing w:val="-7"/>
          <w:sz w:val="18"/>
          <w:szCs w:val="18"/>
          <w:lang w:val="es-ES_tradnl"/>
        </w:rPr>
        <w:t>los pa</w:t>
      </w:r>
      <w:r>
        <w:rPr>
          <w:rFonts w:cs="Times New Roman"/>
          <w:spacing w:val="-7"/>
          <w:sz w:val="18"/>
          <w:szCs w:val="18"/>
          <w:lang w:val="es-ES_tradnl"/>
        </w:rPr>
        <w:t>í</w:t>
      </w:r>
      <w:r>
        <w:rPr>
          <w:spacing w:val="-7"/>
          <w:sz w:val="18"/>
          <w:szCs w:val="18"/>
          <w:lang w:val="es-ES_tradnl"/>
        </w:rPr>
        <w:t>ses signatarios. No podr</w:t>
      </w:r>
      <w:r>
        <w:rPr>
          <w:rFonts w:cs="Times New Roman"/>
          <w:spacing w:val="-7"/>
          <w:sz w:val="18"/>
          <w:szCs w:val="18"/>
          <w:lang w:val="es-ES_tradnl"/>
        </w:rPr>
        <w:t>á</w:t>
      </w:r>
      <w:r>
        <w:rPr>
          <w:spacing w:val="-7"/>
          <w:sz w:val="18"/>
          <w:szCs w:val="18"/>
          <w:lang w:val="es-ES_tradnl"/>
        </w:rPr>
        <w:t xml:space="preserve">n intervenir jueces de los </w:t>
      </w:r>
      <w:r>
        <w:rPr>
          <w:spacing w:val="-9"/>
          <w:sz w:val="18"/>
          <w:szCs w:val="18"/>
          <w:lang w:val="es-ES_tradnl"/>
        </w:rPr>
        <w:t xml:space="preserve">Estados que como tales o sus nacionales sean parte de la </w:t>
      </w:r>
      <w:r>
        <w:rPr>
          <w:sz w:val="18"/>
          <w:szCs w:val="18"/>
          <w:lang w:val="es-ES_tradnl"/>
        </w:rPr>
        <w:t>controversia.</w:t>
      </w:r>
    </w:p>
    <w:p w14:paraId="4F67A3ED" w14:textId="77777777" w:rsidR="00591D54" w:rsidRDefault="00591D54">
      <w:pPr>
        <w:shd w:val="clear" w:color="auto" w:fill="FFFFFF"/>
        <w:spacing w:before="202" w:line="226" w:lineRule="exact"/>
        <w:jc w:val="both"/>
      </w:pPr>
      <w:r>
        <w:rPr>
          <w:spacing w:val="-7"/>
          <w:sz w:val="18"/>
          <w:szCs w:val="18"/>
          <w:lang w:val="es-ES_tradnl"/>
        </w:rPr>
        <w:t xml:space="preserve">En el caso de controversias relacionadas con la deuda </w:t>
      </w:r>
      <w:r>
        <w:rPr>
          <w:spacing w:val="-6"/>
          <w:sz w:val="18"/>
          <w:szCs w:val="18"/>
          <w:lang w:val="es-ES_tradnl"/>
        </w:rPr>
        <w:t>externa, el Estado ecuatoriano promover</w:t>
      </w:r>
      <w:r>
        <w:rPr>
          <w:rFonts w:cs="Times New Roman"/>
          <w:spacing w:val="-6"/>
          <w:sz w:val="18"/>
          <w:szCs w:val="18"/>
          <w:lang w:val="es-ES_tradnl"/>
        </w:rPr>
        <w:t>á</w:t>
      </w:r>
      <w:r>
        <w:rPr>
          <w:spacing w:val="-6"/>
          <w:sz w:val="18"/>
          <w:szCs w:val="18"/>
          <w:lang w:val="es-ES_tradnl"/>
        </w:rPr>
        <w:t xml:space="preserve"> soluciones arbitrales en funci</w:t>
      </w:r>
      <w:r>
        <w:rPr>
          <w:rFonts w:cs="Times New Roman"/>
          <w:spacing w:val="-6"/>
          <w:sz w:val="18"/>
          <w:szCs w:val="18"/>
          <w:lang w:val="es-ES_tradnl"/>
        </w:rPr>
        <w:t>ó</w:t>
      </w:r>
      <w:r>
        <w:rPr>
          <w:spacing w:val="-6"/>
          <w:sz w:val="18"/>
          <w:szCs w:val="18"/>
          <w:lang w:val="es-ES_tradnl"/>
        </w:rPr>
        <w:t>n del origen de la deuda y con sujeci</w:t>
      </w:r>
      <w:r>
        <w:rPr>
          <w:rFonts w:cs="Times New Roman"/>
          <w:spacing w:val="-6"/>
          <w:sz w:val="18"/>
          <w:szCs w:val="18"/>
          <w:lang w:val="es-ES_tradnl"/>
        </w:rPr>
        <w:t>ó</w:t>
      </w:r>
      <w:r>
        <w:rPr>
          <w:spacing w:val="-6"/>
          <w:sz w:val="18"/>
          <w:szCs w:val="18"/>
          <w:lang w:val="es-ES_tradnl"/>
        </w:rPr>
        <w:t xml:space="preserve">n </w:t>
      </w:r>
      <w:r>
        <w:rPr>
          <w:spacing w:val="-5"/>
          <w:sz w:val="18"/>
          <w:szCs w:val="18"/>
          <w:lang w:val="es-ES_tradnl"/>
        </w:rPr>
        <w:t xml:space="preserve">a los principios de transparencia, equidad y justicia </w:t>
      </w:r>
      <w:r>
        <w:rPr>
          <w:sz w:val="18"/>
          <w:szCs w:val="18"/>
          <w:lang w:val="es-ES_tradnl"/>
        </w:rPr>
        <w:t>internacional.</w:t>
      </w:r>
    </w:p>
    <w:p w14:paraId="4F67A3EE" w14:textId="77777777" w:rsidR="00591D54" w:rsidRDefault="00591D54">
      <w:pPr>
        <w:shd w:val="clear" w:color="auto" w:fill="FFFFFF"/>
        <w:spacing w:before="206"/>
      </w:pPr>
      <w:r>
        <w:rPr>
          <w:b/>
          <w:bCs/>
          <w:spacing w:val="-13"/>
          <w:sz w:val="18"/>
          <w:szCs w:val="18"/>
          <w:lang w:val="es-ES_tradnl"/>
        </w:rPr>
        <w:t>Sobre los derechos de los consumidores</w:t>
      </w:r>
    </w:p>
    <w:p w14:paraId="4F67A3EF" w14:textId="77777777" w:rsidR="00591D54" w:rsidRDefault="00591D54">
      <w:pPr>
        <w:shd w:val="clear" w:color="auto" w:fill="FFFFFF"/>
        <w:spacing w:before="202" w:line="226" w:lineRule="exact"/>
        <w:jc w:val="both"/>
      </w:pPr>
      <w:r>
        <w:rPr>
          <w:b/>
          <w:bCs/>
          <w:spacing w:val="-9"/>
          <w:sz w:val="18"/>
          <w:szCs w:val="18"/>
          <w:lang w:val="es-ES_tradnl"/>
        </w:rPr>
        <w:t xml:space="preserve">Art. 52.- </w:t>
      </w:r>
      <w:r>
        <w:rPr>
          <w:spacing w:val="-9"/>
          <w:sz w:val="18"/>
          <w:szCs w:val="18"/>
          <w:lang w:val="es-ES_tradnl"/>
        </w:rPr>
        <w:t xml:space="preserve">Las personas tienen derecho a disponer de bienes </w:t>
      </w:r>
      <w:r>
        <w:rPr>
          <w:spacing w:val="-6"/>
          <w:sz w:val="18"/>
          <w:szCs w:val="18"/>
          <w:lang w:val="es-ES_tradnl"/>
        </w:rPr>
        <w:t xml:space="preserve">y servicios de </w:t>
      </w:r>
      <w:r>
        <w:rPr>
          <w:rFonts w:cs="Times New Roman"/>
          <w:spacing w:val="-6"/>
          <w:sz w:val="18"/>
          <w:szCs w:val="18"/>
          <w:lang w:val="es-ES_tradnl"/>
        </w:rPr>
        <w:t>ó</w:t>
      </w:r>
      <w:r>
        <w:rPr>
          <w:spacing w:val="-6"/>
          <w:sz w:val="18"/>
          <w:szCs w:val="18"/>
          <w:lang w:val="es-ES_tradnl"/>
        </w:rPr>
        <w:t>ptima calidad y a elegirlos con libertad, as</w:t>
      </w:r>
      <w:r>
        <w:rPr>
          <w:rFonts w:cs="Times New Roman"/>
          <w:spacing w:val="-6"/>
          <w:sz w:val="18"/>
          <w:szCs w:val="18"/>
          <w:lang w:val="es-ES_tradnl"/>
        </w:rPr>
        <w:t xml:space="preserve">í </w:t>
      </w:r>
      <w:r>
        <w:rPr>
          <w:spacing w:val="-7"/>
          <w:sz w:val="18"/>
          <w:szCs w:val="18"/>
          <w:lang w:val="es-ES_tradnl"/>
        </w:rPr>
        <w:t>como a una informaci</w:t>
      </w:r>
      <w:r>
        <w:rPr>
          <w:rFonts w:cs="Times New Roman"/>
          <w:spacing w:val="-7"/>
          <w:sz w:val="18"/>
          <w:szCs w:val="18"/>
          <w:lang w:val="es-ES_tradnl"/>
        </w:rPr>
        <w:t>ó</w:t>
      </w:r>
      <w:r>
        <w:rPr>
          <w:spacing w:val="-7"/>
          <w:sz w:val="18"/>
          <w:szCs w:val="18"/>
          <w:lang w:val="es-ES_tradnl"/>
        </w:rPr>
        <w:t>n precisa y no enga</w:t>
      </w:r>
      <w:r>
        <w:rPr>
          <w:rFonts w:cs="Times New Roman"/>
          <w:spacing w:val="-7"/>
          <w:sz w:val="18"/>
          <w:szCs w:val="18"/>
          <w:lang w:val="es-ES_tradnl"/>
        </w:rPr>
        <w:t>ñ</w:t>
      </w:r>
      <w:r>
        <w:rPr>
          <w:spacing w:val="-7"/>
          <w:sz w:val="18"/>
          <w:szCs w:val="18"/>
          <w:lang w:val="es-ES_tradnl"/>
        </w:rPr>
        <w:t xml:space="preserve">osa sobre su </w:t>
      </w:r>
      <w:r>
        <w:rPr>
          <w:sz w:val="18"/>
          <w:szCs w:val="18"/>
          <w:lang w:val="es-ES_tradnl"/>
        </w:rPr>
        <w:t>contenido y caracter</w:t>
      </w:r>
      <w:r>
        <w:rPr>
          <w:rFonts w:cs="Times New Roman"/>
          <w:sz w:val="18"/>
          <w:szCs w:val="18"/>
          <w:lang w:val="es-ES_tradnl"/>
        </w:rPr>
        <w:t>í</w:t>
      </w:r>
      <w:r>
        <w:rPr>
          <w:sz w:val="18"/>
          <w:szCs w:val="18"/>
          <w:lang w:val="es-ES_tradnl"/>
        </w:rPr>
        <w:t>sticas.</w:t>
      </w:r>
    </w:p>
    <w:p w14:paraId="4F67A3F0" w14:textId="77777777" w:rsidR="00591D54" w:rsidRDefault="00591D54">
      <w:pPr>
        <w:shd w:val="clear" w:color="auto" w:fill="FFFFFF"/>
        <w:spacing w:line="226" w:lineRule="exact"/>
        <w:jc w:val="both"/>
      </w:pPr>
      <w:r>
        <w:rPr>
          <w:b/>
          <w:bCs/>
          <w:spacing w:val="-9"/>
          <w:sz w:val="18"/>
          <w:szCs w:val="18"/>
          <w:lang w:val="es-ES_tradnl"/>
        </w:rPr>
        <w:t>Sobre las competencias del Estado en relaci</w:t>
      </w:r>
      <w:r>
        <w:rPr>
          <w:rFonts w:cs="Times New Roman"/>
          <w:b/>
          <w:bCs/>
          <w:spacing w:val="-9"/>
          <w:sz w:val="18"/>
          <w:szCs w:val="18"/>
          <w:lang w:val="es-ES_tradnl"/>
        </w:rPr>
        <w:t>ó</w:t>
      </w:r>
      <w:r>
        <w:rPr>
          <w:b/>
          <w:bCs/>
          <w:spacing w:val="-9"/>
          <w:sz w:val="18"/>
          <w:szCs w:val="18"/>
          <w:lang w:val="es-ES_tradnl"/>
        </w:rPr>
        <w:t xml:space="preserve">n a las </w:t>
      </w:r>
      <w:r>
        <w:rPr>
          <w:b/>
          <w:bCs/>
          <w:spacing w:val="-10"/>
          <w:sz w:val="18"/>
          <w:szCs w:val="18"/>
          <w:lang w:val="es-ES_tradnl"/>
        </w:rPr>
        <w:t>actividades comerciales y respecto al transporte a</w:t>
      </w:r>
      <w:r>
        <w:rPr>
          <w:rFonts w:cs="Times New Roman"/>
          <w:b/>
          <w:bCs/>
          <w:spacing w:val="-10"/>
          <w:sz w:val="18"/>
          <w:szCs w:val="18"/>
          <w:lang w:val="es-ES_tradnl"/>
        </w:rPr>
        <w:t>é</w:t>
      </w:r>
      <w:r>
        <w:rPr>
          <w:b/>
          <w:bCs/>
          <w:spacing w:val="-10"/>
          <w:sz w:val="18"/>
          <w:szCs w:val="18"/>
          <w:lang w:val="es-ES_tradnl"/>
        </w:rPr>
        <w:t>reo</w:t>
      </w:r>
    </w:p>
    <w:p w14:paraId="4F67A3F1" w14:textId="77777777" w:rsidR="00591D54" w:rsidRDefault="00591D54">
      <w:pPr>
        <w:shd w:val="clear" w:color="auto" w:fill="FFFFFF"/>
        <w:spacing w:before="197" w:line="230" w:lineRule="exact"/>
        <w:jc w:val="both"/>
      </w:pPr>
      <w:r>
        <w:rPr>
          <w:b/>
          <w:bCs/>
          <w:spacing w:val="-9"/>
          <w:sz w:val="18"/>
          <w:szCs w:val="18"/>
          <w:lang w:val="es-ES_tradnl"/>
        </w:rPr>
        <w:t xml:space="preserve">Art. 261.- </w:t>
      </w:r>
      <w:r>
        <w:rPr>
          <w:spacing w:val="-9"/>
          <w:sz w:val="18"/>
          <w:szCs w:val="18"/>
          <w:lang w:val="es-ES_tradnl"/>
        </w:rPr>
        <w:t>El Estado central tendr</w:t>
      </w:r>
      <w:r>
        <w:rPr>
          <w:rFonts w:cs="Times New Roman"/>
          <w:spacing w:val="-9"/>
          <w:sz w:val="18"/>
          <w:szCs w:val="18"/>
          <w:lang w:val="es-ES_tradnl"/>
        </w:rPr>
        <w:t>á</w:t>
      </w:r>
      <w:r>
        <w:rPr>
          <w:spacing w:val="-9"/>
          <w:sz w:val="18"/>
          <w:szCs w:val="18"/>
          <w:lang w:val="es-ES_tradnl"/>
        </w:rPr>
        <w:t xml:space="preserve"> competencias exclusivas </w:t>
      </w:r>
      <w:r>
        <w:rPr>
          <w:sz w:val="18"/>
          <w:szCs w:val="18"/>
          <w:lang w:val="es-ES_tradnl"/>
        </w:rPr>
        <w:t>sobre:</w:t>
      </w:r>
    </w:p>
    <w:p w14:paraId="4F67A3F2" w14:textId="77777777" w:rsidR="00591D54" w:rsidRDefault="00591D54">
      <w:pPr>
        <w:shd w:val="clear" w:color="auto" w:fill="FFFFFF"/>
        <w:tabs>
          <w:tab w:val="left" w:pos="494"/>
        </w:tabs>
        <w:spacing w:before="206" w:line="226" w:lineRule="exact"/>
        <w:ind w:left="283"/>
        <w:jc w:val="both"/>
      </w:pPr>
      <w:r>
        <w:rPr>
          <w:spacing w:val="-11"/>
          <w:sz w:val="18"/>
          <w:szCs w:val="18"/>
          <w:lang w:val="es-ES_tradnl"/>
        </w:rPr>
        <w:t>9.</w:t>
      </w:r>
      <w:r>
        <w:rPr>
          <w:sz w:val="18"/>
          <w:szCs w:val="18"/>
          <w:lang w:val="es-ES_tradnl"/>
        </w:rPr>
        <w:tab/>
      </w:r>
      <w:r>
        <w:rPr>
          <w:spacing w:val="-7"/>
          <w:sz w:val="18"/>
          <w:szCs w:val="18"/>
          <w:lang w:val="es-ES_tradnl"/>
        </w:rPr>
        <w:t>Las que le corresponda aplicar como resultado de </w:t>
      </w:r>
      <w:r>
        <w:rPr>
          <w:sz w:val="18"/>
          <w:szCs w:val="18"/>
          <w:lang w:val="es-ES_tradnl"/>
        </w:rPr>
        <w:t>tratados internacionales.</w:t>
      </w:r>
    </w:p>
    <w:p w14:paraId="4F67A3F3" w14:textId="77777777" w:rsidR="00591D54" w:rsidRDefault="00591D54">
      <w:pPr>
        <w:shd w:val="clear" w:color="auto" w:fill="FFFFFF"/>
        <w:tabs>
          <w:tab w:val="left" w:pos="605"/>
        </w:tabs>
        <w:spacing w:before="206" w:line="226" w:lineRule="exact"/>
        <w:ind w:left="283"/>
        <w:jc w:val="both"/>
      </w:pPr>
      <w:r>
        <w:rPr>
          <w:spacing w:val="-11"/>
          <w:sz w:val="18"/>
          <w:szCs w:val="18"/>
          <w:lang w:val="es-ES_tradnl"/>
        </w:rPr>
        <w:t>10.</w:t>
      </w:r>
      <w:r>
        <w:rPr>
          <w:sz w:val="18"/>
          <w:szCs w:val="18"/>
          <w:lang w:val="es-ES_tradnl"/>
        </w:rPr>
        <w:tab/>
      </w:r>
      <w:r>
        <w:rPr>
          <w:spacing w:val="-2"/>
          <w:sz w:val="18"/>
          <w:szCs w:val="18"/>
          <w:lang w:val="es-ES_tradnl"/>
        </w:rPr>
        <w:t>El espectro radioel</w:t>
      </w:r>
      <w:r>
        <w:rPr>
          <w:rFonts w:cs="Times New Roman"/>
          <w:spacing w:val="-2"/>
          <w:sz w:val="18"/>
          <w:szCs w:val="18"/>
          <w:lang w:val="es-ES_tradnl"/>
        </w:rPr>
        <w:t>é</w:t>
      </w:r>
      <w:r>
        <w:rPr>
          <w:spacing w:val="-2"/>
          <w:sz w:val="18"/>
          <w:szCs w:val="18"/>
          <w:lang w:val="es-ES_tradnl"/>
        </w:rPr>
        <w:t>ctrico y el r</w:t>
      </w:r>
      <w:r>
        <w:rPr>
          <w:rFonts w:cs="Times New Roman"/>
          <w:spacing w:val="-2"/>
          <w:sz w:val="18"/>
          <w:szCs w:val="18"/>
          <w:lang w:val="es-ES_tradnl"/>
        </w:rPr>
        <w:t>é</w:t>
      </w:r>
      <w:r>
        <w:rPr>
          <w:spacing w:val="-2"/>
          <w:sz w:val="18"/>
          <w:szCs w:val="18"/>
          <w:lang w:val="es-ES_tradnl"/>
        </w:rPr>
        <w:t>gimen general </w:t>
      </w:r>
      <w:r>
        <w:rPr>
          <w:spacing w:val="-7"/>
          <w:sz w:val="18"/>
          <w:szCs w:val="18"/>
          <w:lang w:val="es-ES_tradnl"/>
        </w:rPr>
        <w:t>de comunicaciones y telecomunicaciones; puertos y </w:t>
      </w:r>
      <w:r>
        <w:rPr>
          <w:sz w:val="18"/>
          <w:szCs w:val="18"/>
          <w:lang w:val="es-ES_tradnl"/>
        </w:rPr>
        <w:t>aeropuertos.</w:t>
      </w:r>
    </w:p>
    <w:p w14:paraId="4F67A3F4" w14:textId="77777777" w:rsidR="00591D54" w:rsidRDefault="00591D54">
      <w:pPr>
        <w:shd w:val="clear" w:color="auto" w:fill="FFFFFF"/>
        <w:spacing w:before="202"/>
      </w:pPr>
      <w:r>
        <w:rPr>
          <w:b/>
          <w:bCs/>
          <w:spacing w:val="-9"/>
          <w:sz w:val="18"/>
          <w:szCs w:val="18"/>
          <w:lang w:val="es-ES_tradnl"/>
        </w:rPr>
        <w:t>Sobre el r</w:t>
      </w:r>
      <w:r>
        <w:rPr>
          <w:rFonts w:cs="Times New Roman"/>
          <w:b/>
          <w:bCs/>
          <w:spacing w:val="-9"/>
          <w:sz w:val="18"/>
          <w:szCs w:val="18"/>
          <w:lang w:val="es-ES_tradnl"/>
        </w:rPr>
        <w:t>é</w:t>
      </w:r>
      <w:r>
        <w:rPr>
          <w:b/>
          <w:bCs/>
          <w:spacing w:val="-9"/>
          <w:sz w:val="18"/>
          <w:szCs w:val="18"/>
          <w:lang w:val="es-ES_tradnl"/>
        </w:rPr>
        <w:t>gimen de desarrollo</w:t>
      </w:r>
    </w:p>
    <w:p w14:paraId="4F67A3F5" w14:textId="77777777" w:rsidR="00591D54" w:rsidRDefault="00591D54">
      <w:pPr>
        <w:shd w:val="clear" w:color="auto" w:fill="FFFFFF"/>
        <w:spacing w:before="202" w:line="226" w:lineRule="exact"/>
        <w:jc w:val="both"/>
      </w:pPr>
      <w:r>
        <w:rPr>
          <w:b/>
          <w:bCs/>
          <w:spacing w:val="-5"/>
          <w:sz w:val="18"/>
          <w:szCs w:val="18"/>
          <w:lang w:val="es-ES_tradnl"/>
        </w:rPr>
        <w:t xml:space="preserve">Art. 276.- </w:t>
      </w:r>
      <w:r>
        <w:rPr>
          <w:spacing w:val="-5"/>
          <w:sz w:val="18"/>
          <w:szCs w:val="18"/>
          <w:lang w:val="es-ES_tradnl"/>
        </w:rPr>
        <w:t>El r</w:t>
      </w:r>
      <w:r>
        <w:rPr>
          <w:rFonts w:cs="Times New Roman"/>
          <w:spacing w:val="-5"/>
          <w:sz w:val="18"/>
          <w:szCs w:val="18"/>
          <w:lang w:val="es-ES_tradnl"/>
        </w:rPr>
        <w:t>é</w:t>
      </w:r>
      <w:r>
        <w:rPr>
          <w:spacing w:val="-5"/>
          <w:sz w:val="18"/>
          <w:szCs w:val="18"/>
          <w:lang w:val="es-ES_tradnl"/>
        </w:rPr>
        <w:t>gimen de desarrollo tendr</w:t>
      </w:r>
      <w:r>
        <w:rPr>
          <w:rFonts w:cs="Times New Roman"/>
          <w:spacing w:val="-5"/>
          <w:sz w:val="18"/>
          <w:szCs w:val="18"/>
          <w:lang w:val="es-ES_tradnl"/>
        </w:rPr>
        <w:t>á</w:t>
      </w:r>
      <w:r>
        <w:rPr>
          <w:spacing w:val="-5"/>
          <w:sz w:val="18"/>
          <w:szCs w:val="18"/>
          <w:lang w:val="es-ES_tradnl"/>
        </w:rPr>
        <w:t xml:space="preserve"> los siguientes </w:t>
      </w:r>
      <w:r>
        <w:rPr>
          <w:sz w:val="18"/>
          <w:szCs w:val="18"/>
          <w:lang w:val="es-ES_tradnl"/>
        </w:rPr>
        <w:t>objetivos:</w:t>
      </w:r>
    </w:p>
    <w:p w14:paraId="4F67A3F6" w14:textId="77777777" w:rsidR="00591D54" w:rsidRDefault="00591D54">
      <w:pPr>
        <w:shd w:val="clear" w:color="auto" w:fill="FFFFFF"/>
        <w:spacing w:before="206" w:line="226" w:lineRule="exact"/>
        <w:ind w:left="283"/>
        <w:jc w:val="both"/>
      </w:pPr>
      <w:r>
        <w:rPr>
          <w:spacing w:val="-5"/>
          <w:sz w:val="18"/>
          <w:szCs w:val="18"/>
          <w:lang w:val="es-ES_tradnl"/>
        </w:rPr>
        <w:t>5. Garantizar la soberan</w:t>
      </w:r>
      <w:r>
        <w:rPr>
          <w:rFonts w:cs="Times New Roman"/>
          <w:spacing w:val="-5"/>
          <w:sz w:val="18"/>
          <w:szCs w:val="18"/>
          <w:lang w:val="es-ES_tradnl"/>
        </w:rPr>
        <w:t>í</w:t>
      </w:r>
      <w:r>
        <w:rPr>
          <w:spacing w:val="-5"/>
          <w:sz w:val="18"/>
          <w:szCs w:val="18"/>
          <w:lang w:val="es-ES_tradnl"/>
        </w:rPr>
        <w:t xml:space="preserve">a nacional, promover la </w:t>
      </w:r>
      <w:r>
        <w:rPr>
          <w:spacing w:val="-6"/>
          <w:sz w:val="18"/>
          <w:szCs w:val="18"/>
          <w:lang w:val="es-ES_tradnl"/>
        </w:rPr>
        <w:t>integraci</w:t>
      </w:r>
      <w:r>
        <w:rPr>
          <w:rFonts w:cs="Times New Roman"/>
          <w:spacing w:val="-6"/>
          <w:sz w:val="18"/>
          <w:szCs w:val="18"/>
          <w:lang w:val="es-ES_tradnl"/>
        </w:rPr>
        <w:t>ó</w:t>
      </w:r>
      <w:r>
        <w:rPr>
          <w:spacing w:val="-6"/>
          <w:sz w:val="18"/>
          <w:szCs w:val="18"/>
          <w:lang w:val="es-ES_tradnl"/>
        </w:rPr>
        <w:t>n latinoamericana e impulsar una inserci</w:t>
      </w:r>
      <w:r>
        <w:rPr>
          <w:rFonts w:cs="Times New Roman"/>
          <w:spacing w:val="-6"/>
          <w:sz w:val="18"/>
          <w:szCs w:val="18"/>
          <w:lang w:val="es-ES_tradnl"/>
        </w:rPr>
        <w:t>ó</w:t>
      </w:r>
      <w:r>
        <w:rPr>
          <w:spacing w:val="-6"/>
          <w:sz w:val="18"/>
          <w:szCs w:val="18"/>
          <w:lang w:val="es-ES_tradnl"/>
        </w:rPr>
        <w:t xml:space="preserve">n </w:t>
      </w:r>
      <w:r>
        <w:rPr>
          <w:spacing w:val="-7"/>
          <w:sz w:val="18"/>
          <w:szCs w:val="18"/>
          <w:lang w:val="es-ES_tradnl"/>
        </w:rPr>
        <w:t>estrat</w:t>
      </w:r>
      <w:r>
        <w:rPr>
          <w:rFonts w:cs="Times New Roman"/>
          <w:spacing w:val="-7"/>
          <w:sz w:val="18"/>
          <w:szCs w:val="18"/>
          <w:lang w:val="es-ES_tradnl"/>
        </w:rPr>
        <w:t>é</w:t>
      </w:r>
      <w:r>
        <w:rPr>
          <w:spacing w:val="-7"/>
          <w:sz w:val="18"/>
          <w:szCs w:val="18"/>
          <w:lang w:val="es-ES_tradnl"/>
        </w:rPr>
        <w:t xml:space="preserve">gica en el contexto internacional, que contribuya </w:t>
      </w:r>
      <w:r>
        <w:rPr>
          <w:spacing w:val="-3"/>
          <w:sz w:val="18"/>
          <w:szCs w:val="18"/>
          <w:lang w:val="es-ES_tradnl"/>
        </w:rPr>
        <w:t>a la paz y a un sistema democr</w:t>
      </w:r>
      <w:r>
        <w:rPr>
          <w:rFonts w:cs="Times New Roman"/>
          <w:spacing w:val="-3"/>
          <w:sz w:val="18"/>
          <w:szCs w:val="18"/>
          <w:lang w:val="es-ES_tradnl"/>
        </w:rPr>
        <w:t>á</w:t>
      </w:r>
      <w:r>
        <w:rPr>
          <w:spacing w:val="-3"/>
          <w:sz w:val="18"/>
          <w:szCs w:val="18"/>
          <w:lang w:val="es-ES_tradnl"/>
        </w:rPr>
        <w:t xml:space="preserve">tico y equitativo </w:t>
      </w:r>
      <w:r>
        <w:rPr>
          <w:sz w:val="18"/>
          <w:szCs w:val="18"/>
          <w:lang w:val="es-ES_tradnl"/>
        </w:rPr>
        <w:t>mundial.</w:t>
      </w:r>
    </w:p>
    <w:p w14:paraId="4F67A3F7" w14:textId="77777777" w:rsidR="00591D54" w:rsidRDefault="00591D54">
      <w:pPr>
        <w:shd w:val="clear" w:color="auto" w:fill="FFFFFF"/>
        <w:spacing w:before="202" w:line="226" w:lineRule="exact"/>
        <w:jc w:val="both"/>
      </w:pPr>
      <w:r>
        <w:rPr>
          <w:b/>
          <w:bCs/>
          <w:spacing w:val="-9"/>
          <w:sz w:val="18"/>
          <w:szCs w:val="18"/>
          <w:lang w:val="es-ES_tradnl"/>
        </w:rPr>
        <w:t xml:space="preserve">Art. 277.- </w:t>
      </w:r>
      <w:r>
        <w:rPr>
          <w:spacing w:val="-9"/>
          <w:sz w:val="18"/>
          <w:szCs w:val="18"/>
          <w:lang w:val="es-ES_tradnl"/>
        </w:rPr>
        <w:t>Para la consecuci</w:t>
      </w:r>
      <w:r>
        <w:rPr>
          <w:rFonts w:cs="Times New Roman"/>
          <w:spacing w:val="-9"/>
          <w:sz w:val="18"/>
          <w:szCs w:val="18"/>
          <w:lang w:val="es-ES_tradnl"/>
        </w:rPr>
        <w:t>ó</w:t>
      </w:r>
      <w:r>
        <w:rPr>
          <w:spacing w:val="-9"/>
          <w:sz w:val="18"/>
          <w:szCs w:val="18"/>
          <w:lang w:val="es-ES_tradnl"/>
        </w:rPr>
        <w:t>n del buen vivir, ser</w:t>
      </w:r>
      <w:r>
        <w:rPr>
          <w:rFonts w:cs="Times New Roman"/>
          <w:spacing w:val="-9"/>
          <w:sz w:val="18"/>
          <w:szCs w:val="18"/>
          <w:lang w:val="es-ES_tradnl"/>
        </w:rPr>
        <w:t>á</w:t>
      </w:r>
      <w:r>
        <w:rPr>
          <w:spacing w:val="-9"/>
          <w:sz w:val="18"/>
          <w:szCs w:val="18"/>
          <w:lang w:val="es-ES_tradnl"/>
        </w:rPr>
        <w:t xml:space="preserve">n deberes </w:t>
      </w:r>
      <w:r>
        <w:rPr>
          <w:sz w:val="18"/>
          <w:szCs w:val="18"/>
          <w:lang w:val="es-ES_tradnl"/>
        </w:rPr>
        <w:t>generales del Estado:</w:t>
      </w:r>
    </w:p>
    <w:p w14:paraId="4F67A3F8" w14:textId="77777777" w:rsidR="00591D54" w:rsidRDefault="00591D54">
      <w:pPr>
        <w:shd w:val="clear" w:color="auto" w:fill="FFFFFF"/>
        <w:spacing w:before="202" w:line="226" w:lineRule="exact"/>
        <w:ind w:left="283"/>
        <w:jc w:val="both"/>
      </w:pPr>
      <w:r>
        <w:rPr>
          <w:spacing w:val="-8"/>
          <w:sz w:val="18"/>
          <w:szCs w:val="18"/>
          <w:lang w:val="es-ES_tradnl"/>
        </w:rPr>
        <w:t>5. Impulsar el desarrollo de las actividades econ</w:t>
      </w:r>
      <w:r>
        <w:rPr>
          <w:rFonts w:cs="Times New Roman"/>
          <w:spacing w:val="-8"/>
          <w:sz w:val="18"/>
          <w:szCs w:val="18"/>
          <w:lang w:val="es-ES_tradnl"/>
        </w:rPr>
        <w:t>ó</w:t>
      </w:r>
      <w:r>
        <w:rPr>
          <w:spacing w:val="-8"/>
          <w:sz w:val="18"/>
          <w:szCs w:val="18"/>
          <w:lang w:val="es-ES_tradnl"/>
        </w:rPr>
        <w:t xml:space="preserve">micas </w:t>
      </w:r>
      <w:r>
        <w:rPr>
          <w:spacing w:val="-3"/>
          <w:sz w:val="18"/>
          <w:szCs w:val="18"/>
          <w:lang w:val="es-ES_tradnl"/>
        </w:rPr>
        <w:t>mediante un orden jur</w:t>
      </w:r>
      <w:r>
        <w:rPr>
          <w:rFonts w:cs="Times New Roman"/>
          <w:spacing w:val="-3"/>
          <w:sz w:val="18"/>
          <w:szCs w:val="18"/>
          <w:lang w:val="es-ES_tradnl"/>
        </w:rPr>
        <w:t>í</w:t>
      </w:r>
      <w:r>
        <w:rPr>
          <w:spacing w:val="-3"/>
          <w:sz w:val="18"/>
          <w:szCs w:val="18"/>
          <w:lang w:val="es-ES_tradnl"/>
        </w:rPr>
        <w:t>dico e instituciones pol</w:t>
      </w:r>
      <w:r>
        <w:rPr>
          <w:rFonts w:cs="Times New Roman"/>
          <w:spacing w:val="-3"/>
          <w:sz w:val="18"/>
          <w:szCs w:val="18"/>
          <w:lang w:val="es-ES_tradnl"/>
        </w:rPr>
        <w:t>í</w:t>
      </w:r>
      <w:r>
        <w:rPr>
          <w:spacing w:val="-3"/>
          <w:sz w:val="18"/>
          <w:szCs w:val="18"/>
          <w:lang w:val="es-ES_tradnl"/>
        </w:rPr>
        <w:t xml:space="preserve">ticas </w:t>
      </w:r>
      <w:r>
        <w:rPr>
          <w:spacing w:val="-8"/>
          <w:sz w:val="18"/>
          <w:szCs w:val="18"/>
          <w:lang w:val="es-ES_tradnl"/>
        </w:rPr>
        <w:t xml:space="preserve">que las promuevan, fomenten y defiendan mediante el </w:t>
      </w:r>
      <w:r>
        <w:rPr>
          <w:spacing w:val="-5"/>
          <w:sz w:val="18"/>
          <w:szCs w:val="18"/>
          <w:lang w:val="es-ES_tradnl"/>
        </w:rPr>
        <w:t>cumplimiento de la Constituci</w:t>
      </w:r>
      <w:r>
        <w:rPr>
          <w:rFonts w:cs="Times New Roman"/>
          <w:spacing w:val="-5"/>
          <w:sz w:val="18"/>
          <w:szCs w:val="18"/>
          <w:lang w:val="es-ES_tradnl"/>
        </w:rPr>
        <w:t>ó</w:t>
      </w:r>
      <w:r>
        <w:rPr>
          <w:spacing w:val="-5"/>
          <w:sz w:val="18"/>
          <w:szCs w:val="18"/>
          <w:lang w:val="es-ES_tradnl"/>
        </w:rPr>
        <w:t>n y la ley.</w:t>
      </w:r>
    </w:p>
    <w:p w14:paraId="4F67A3F9" w14:textId="77777777" w:rsidR="00591D54" w:rsidRDefault="00591D54">
      <w:pPr>
        <w:shd w:val="clear" w:color="auto" w:fill="FFFFFF"/>
        <w:spacing w:before="202"/>
      </w:pPr>
      <w:r>
        <w:rPr>
          <w:b/>
          <w:bCs/>
          <w:spacing w:val="-11"/>
          <w:sz w:val="18"/>
          <w:szCs w:val="18"/>
          <w:lang w:val="es-ES_tradnl"/>
        </w:rPr>
        <w:t>Sobre la soberan</w:t>
      </w:r>
      <w:r>
        <w:rPr>
          <w:rFonts w:cs="Times New Roman"/>
          <w:b/>
          <w:bCs/>
          <w:spacing w:val="-11"/>
          <w:sz w:val="18"/>
          <w:szCs w:val="18"/>
          <w:lang w:val="es-ES_tradnl"/>
        </w:rPr>
        <w:t>í</w:t>
      </w:r>
      <w:r>
        <w:rPr>
          <w:b/>
          <w:bCs/>
          <w:spacing w:val="-11"/>
          <w:sz w:val="18"/>
          <w:szCs w:val="18"/>
          <w:lang w:val="es-ES_tradnl"/>
        </w:rPr>
        <w:t>a econ</w:t>
      </w:r>
      <w:r>
        <w:rPr>
          <w:rFonts w:cs="Times New Roman"/>
          <w:b/>
          <w:bCs/>
          <w:spacing w:val="-11"/>
          <w:sz w:val="18"/>
          <w:szCs w:val="18"/>
          <w:lang w:val="es-ES_tradnl"/>
        </w:rPr>
        <w:t>ó</w:t>
      </w:r>
      <w:r>
        <w:rPr>
          <w:b/>
          <w:bCs/>
          <w:spacing w:val="-11"/>
          <w:sz w:val="18"/>
          <w:szCs w:val="18"/>
          <w:lang w:val="es-ES_tradnl"/>
        </w:rPr>
        <w:t>mica</w:t>
      </w:r>
    </w:p>
    <w:p w14:paraId="4F67A3FA" w14:textId="77777777" w:rsidR="00591D54" w:rsidRDefault="00591D54">
      <w:pPr>
        <w:shd w:val="clear" w:color="auto" w:fill="FFFFFF"/>
        <w:spacing w:before="206" w:line="226" w:lineRule="exact"/>
        <w:jc w:val="both"/>
      </w:pPr>
      <w:r>
        <w:rPr>
          <w:b/>
          <w:bCs/>
          <w:spacing w:val="-5"/>
          <w:sz w:val="18"/>
          <w:szCs w:val="18"/>
          <w:lang w:val="es-ES_tradnl"/>
        </w:rPr>
        <w:t xml:space="preserve">Art. 284.- </w:t>
      </w:r>
      <w:r>
        <w:rPr>
          <w:spacing w:val="-5"/>
          <w:sz w:val="18"/>
          <w:szCs w:val="18"/>
          <w:lang w:val="es-ES_tradnl"/>
        </w:rPr>
        <w:t>La pol</w:t>
      </w:r>
      <w:r>
        <w:rPr>
          <w:rFonts w:cs="Times New Roman"/>
          <w:spacing w:val="-5"/>
          <w:sz w:val="18"/>
          <w:szCs w:val="18"/>
          <w:lang w:val="es-ES_tradnl"/>
        </w:rPr>
        <w:t>í</w:t>
      </w:r>
      <w:r>
        <w:rPr>
          <w:spacing w:val="-5"/>
          <w:sz w:val="18"/>
          <w:szCs w:val="18"/>
          <w:lang w:val="es-ES_tradnl"/>
        </w:rPr>
        <w:t>tica econ</w:t>
      </w:r>
      <w:r>
        <w:rPr>
          <w:rFonts w:cs="Times New Roman"/>
          <w:spacing w:val="-5"/>
          <w:sz w:val="18"/>
          <w:szCs w:val="18"/>
          <w:lang w:val="es-ES_tradnl"/>
        </w:rPr>
        <w:t>ó</w:t>
      </w:r>
      <w:r>
        <w:rPr>
          <w:spacing w:val="-5"/>
          <w:sz w:val="18"/>
          <w:szCs w:val="18"/>
          <w:lang w:val="es-ES_tradnl"/>
        </w:rPr>
        <w:t>mica tendr</w:t>
      </w:r>
      <w:r>
        <w:rPr>
          <w:rFonts w:cs="Times New Roman"/>
          <w:spacing w:val="-5"/>
          <w:sz w:val="18"/>
          <w:szCs w:val="18"/>
          <w:lang w:val="es-ES_tradnl"/>
        </w:rPr>
        <w:t>á</w:t>
      </w:r>
      <w:r>
        <w:rPr>
          <w:spacing w:val="-5"/>
          <w:sz w:val="18"/>
          <w:szCs w:val="18"/>
          <w:lang w:val="es-ES_tradnl"/>
        </w:rPr>
        <w:t xml:space="preserve"> los siguientes </w:t>
      </w:r>
      <w:r>
        <w:rPr>
          <w:sz w:val="18"/>
          <w:szCs w:val="18"/>
          <w:lang w:val="es-ES_tradnl"/>
        </w:rPr>
        <w:t>objetivos:</w:t>
      </w:r>
    </w:p>
    <w:p w14:paraId="4F67A3FB" w14:textId="77777777" w:rsidR="00591D54" w:rsidRDefault="00591D54">
      <w:pPr>
        <w:shd w:val="clear" w:color="auto" w:fill="FFFFFF"/>
        <w:spacing w:before="202" w:line="226" w:lineRule="exact"/>
        <w:ind w:left="283"/>
        <w:jc w:val="both"/>
      </w:pPr>
      <w:r>
        <w:rPr>
          <w:spacing w:val="-1"/>
          <w:sz w:val="18"/>
          <w:szCs w:val="18"/>
          <w:lang w:val="es-ES_tradnl"/>
        </w:rPr>
        <w:t xml:space="preserve">8. Propiciar el intercambio justo y complementario </w:t>
      </w:r>
      <w:r>
        <w:rPr>
          <w:spacing w:val="-3"/>
          <w:sz w:val="18"/>
          <w:szCs w:val="18"/>
          <w:lang w:val="es-ES_tradnl"/>
        </w:rPr>
        <w:t xml:space="preserve">de bienes y servicios en mercados transparentes y </w:t>
      </w:r>
      <w:r>
        <w:rPr>
          <w:sz w:val="18"/>
          <w:szCs w:val="18"/>
          <w:lang w:val="es-ES_tradnl"/>
        </w:rPr>
        <w:t>eficientes.</w:t>
      </w:r>
    </w:p>
    <w:p w14:paraId="4F67A3FC" w14:textId="77777777" w:rsidR="00591D54" w:rsidRDefault="00591D54">
      <w:pPr>
        <w:shd w:val="clear" w:color="auto" w:fill="FFFFFF"/>
        <w:spacing w:before="202"/>
      </w:pPr>
      <w:r>
        <w:rPr>
          <w:b/>
          <w:bCs/>
          <w:spacing w:val="-9"/>
          <w:sz w:val="18"/>
          <w:szCs w:val="18"/>
          <w:lang w:val="es-ES_tradnl"/>
        </w:rPr>
        <w:t>Sobre la polic</w:t>
      </w:r>
      <w:r>
        <w:rPr>
          <w:rFonts w:cs="Times New Roman"/>
          <w:b/>
          <w:bCs/>
          <w:spacing w:val="-9"/>
          <w:sz w:val="18"/>
          <w:szCs w:val="18"/>
          <w:lang w:val="es-ES_tradnl"/>
        </w:rPr>
        <w:t>í</w:t>
      </w:r>
      <w:r>
        <w:rPr>
          <w:b/>
          <w:bCs/>
          <w:spacing w:val="-9"/>
          <w:sz w:val="18"/>
          <w:szCs w:val="18"/>
          <w:lang w:val="es-ES_tradnl"/>
        </w:rPr>
        <w:t>a comercial</w:t>
      </w:r>
    </w:p>
    <w:p w14:paraId="4F67A3FD" w14:textId="77777777" w:rsidR="00591D54" w:rsidRDefault="00591D54">
      <w:pPr>
        <w:shd w:val="clear" w:color="auto" w:fill="FFFFFF"/>
        <w:spacing w:before="202" w:line="226" w:lineRule="exact"/>
        <w:jc w:val="both"/>
      </w:pPr>
      <w:r>
        <w:rPr>
          <w:b/>
          <w:bCs/>
          <w:spacing w:val="-4"/>
          <w:sz w:val="18"/>
          <w:szCs w:val="18"/>
          <w:lang w:val="es-ES_tradnl"/>
        </w:rPr>
        <w:t xml:space="preserve">Art. 304.- </w:t>
      </w:r>
      <w:r>
        <w:rPr>
          <w:spacing w:val="-4"/>
          <w:sz w:val="18"/>
          <w:szCs w:val="18"/>
          <w:lang w:val="es-ES_tradnl"/>
        </w:rPr>
        <w:t>La pol</w:t>
      </w:r>
      <w:r>
        <w:rPr>
          <w:rFonts w:cs="Times New Roman"/>
          <w:spacing w:val="-4"/>
          <w:sz w:val="18"/>
          <w:szCs w:val="18"/>
          <w:lang w:val="es-ES_tradnl"/>
        </w:rPr>
        <w:t>í</w:t>
      </w:r>
      <w:r>
        <w:rPr>
          <w:spacing w:val="-4"/>
          <w:sz w:val="18"/>
          <w:szCs w:val="18"/>
          <w:lang w:val="es-ES_tradnl"/>
        </w:rPr>
        <w:t>tica comercial tendr</w:t>
      </w:r>
      <w:r>
        <w:rPr>
          <w:rFonts w:cs="Times New Roman"/>
          <w:spacing w:val="-4"/>
          <w:sz w:val="18"/>
          <w:szCs w:val="18"/>
          <w:lang w:val="es-ES_tradnl"/>
        </w:rPr>
        <w:t>á</w:t>
      </w:r>
      <w:r>
        <w:rPr>
          <w:spacing w:val="-4"/>
          <w:sz w:val="18"/>
          <w:szCs w:val="18"/>
          <w:lang w:val="es-ES_tradnl"/>
        </w:rPr>
        <w:t xml:space="preserve"> los siguientes </w:t>
      </w:r>
      <w:r>
        <w:rPr>
          <w:sz w:val="18"/>
          <w:szCs w:val="18"/>
          <w:lang w:val="es-ES_tradnl"/>
        </w:rPr>
        <w:t>objetivos:</w:t>
      </w:r>
    </w:p>
    <w:p w14:paraId="4F67A3FE" w14:textId="77777777" w:rsidR="00591D54" w:rsidRDefault="00591D54">
      <w:pPr>
        <w:shd w:val="clear" w:color="auto" w:fill="FFFFFF"/>
        <w:spacing w:line="216" w:lineRule="exact"/>
        <w:ind w:left="283"/>
        <w:jc w:val="both"/>
      </w:pPr>
      <w:r>
        <w:br w:type="column"/>
      </w:r>
      <w:r>
        <w:rPr>
          <w:spacing w:val="-3"/>
          <w:sz w:val="18"/>
          <w:szCs w:val="18"/>
          <w:lang w:val="es-ES_tradnl"/>
        </w:rPr>
        <w:t xml:space="preserve">2. Regular, promover y ejecutar las acciones </w:t>
      </w:r>
      <w:r>
        <w:rPr>
          <w:spacing w:val="-8"/>
          <w:sz w:val="18"/>
          <w:szCs w:val="18"/>
          <w:lang w:val="es-ES_tradnl"/>
        </w:rPr>
        <w:t>correspondientes para impulsar la inserci</w:t>
      </w:r>
      <w:r>
        <w:rPr>
          <w:rFonts w:cs="Times New Roman"/>
          <w:spacing w:val="-8"/>
          <w:sz w:val="18"/>
          <w:szCs w:val="18"/>
          <w:lang w:val="es-ES_tradnl"/>
        </w:rPr>
        <w:t>ó</w:t>
      </w:r>
      <w:r>
        <w:rPr>
          <w:spacing w:val="-8"/>
          <w:sz w:val="18"/>
          <w:szCs w:val="18"/>
          <w:lang w:val="es-ES_tradnl"/>
        </w:rPr>
        <w:t>n estrat</w:t>
      </w:r>
      <w:r>
        <w:rPr>
          <w:rFonts w:cs="Times New Roman"/>
          <w:spacing w:val="-8"/>
          <w:sz w:val="18"/>
          <w:szCs w:val="18"/>
          <w:lang w:val="es-ES_tradnl"/>
        </w:rPr>
        <w:t>é</w:t>
      </w:r>
      <w:r>
        <w:rPr>
          <w:spacing w:val="-8"/>
          <w:sz w:val="18"/>
          <w:szCs w:val="18"/>
          <w:lang w:val="es-ES_tradnl"/>
        </w:rPr>
        <w:t xml:space="preserve">gica </w:t>
      </w:r>
      <w:r>
        <w:rPr>
          <w:sz w:val="18"/>
          <w:szCs w:val="18"/>
          <w:lang w:val="es-ES_tradnl"/>
        </w:rPr>
        <w:t>del pa</w:t>
      </w:r>
      <w:r>
        <w:rPr>
          <w:rFonts w:cs="Times New Roman"/>
          <w:sz w:val="18"/>
          <w:szCs w:val="18"/>
          <w:lang w:val="es-ES_tradnl"/>
        </w:rPr>
        <w:t>í</w:t>
      </w:r>
      <w:r>
        <w:rPr>
          <w:sz w:val="18"/>
          <w:szCs w:val="18"/>
          <w:lang w:val="es-ES_tradnl"/>
        </w:rPr>
        <w:t>s en la econom</w:t>
      </w:r>
      <w:r>
        <w:rPr>
          <w:rFonts w:cs="Times New Roman"/>
          <w:sz w:val="18"/>
          <w:szCs w:val="18"/>
          <w:lang w:val="es-ES_tradnl"/>
        </w:rPr>
        <w:t>í</w:t>
      </w:r>
      <w:r>
        <w:rPr>
          <w:sz w:val="18"/>
          <w:szCs w:val="18"/>
          <w:lang w:val="es-ES_tradnl"/>
        </w:rPr>
        <w:t>a mundial.</w:t>
      </w:r>
    </w:p>
    <w:p w14:paraId="4F67A3FF" w14:textId="77777777" w:rsidR="00591D54" w:rsidRDefault="00591D54">
      <w:pPr>
        <w:shd w:val="clear" w:color="auto" w:fill="FFFFFF"/>
        <w:spacing w:before="192" w:line="216" w:lineRule="exact"/>
        <w:jc w:val="both"/>
      </w:pPr>
      <w:r>
        <w:rPr>
          <w:b/>
          <w:bCs/>
          <w:spacing w:val="-5"/>
          <w:sz w:val="18"/>
          <w:szCs w:val="18"/>
          <w:lang w:val="es-ES_tradnl"/>
        </w:rPr>
        <w:t xml:space="preserve">Art. 305.- </w:t>
      </w:r>
      <w:r>
        <w:rPr>
          <w:spacing w:val="-5"/>
          <w:sz w:val="18"/>
          <w:szCs w:val="18"/>
          <w:lang w:val="es-ES_tradnl"/>
        </w:rPr>
        <w:t>La creaci</w:t>
      </w:r>
      <w:r>
        <w:rPr>
          <w:rFonts w:cs="Times New Roman"/>
          <w:spacing w:val="-5"/>
          <w:sz w:val="18"/>
          <w:szCs w:val="18"/>
          <w:lang w:val="es-ES_tradnl"/>
        </w:rPr>
        <w:t>ó</w:t>
      </w:r>
      <w:r>
        <w:rPr>
          <w:spacing w:val="-5"/>
          <w:sz w:val="18"/>
          <w:szCs w:val="18"/>
          <w:lang w:val="es-ES_tradnl"/>
        </w:rPr>
        <w:t>n de aranceles y la fijaci</w:t>
      </w:r>
      <w:r>
        <w:rPr>
          <w:rFonts w:cs="Times New Roman"/>
          <w:spacing w:val="-5"/>
          <w:sz w:val="18"/>
          <w:szCs w:val="18"/>
          <w:lang w:val="es-ES_tradnl"/>
        </w:rPr>
        <w:t>ó</w:t>
      </w:r>
      <w:r>
        <w:rPr>
          <w:spacing w:val="-5"/>
          <w:sz w:val="18"/>
          <w:szCs w:val="18"/>
          <w:lang w:val="es-ES_tradnl"/>
        </w:rPr>
        <w:t xml:space="preserve">n de sus </w:t>
      </w:r>
      <w:r>
        <w:rPr>
          <w:spacing w:val="-8"/>
          <w:sz w:val="18"/>
          <w:szCs w:val="18"/>
          <w:lang w:val="es-ES_tradnl"/>
        </w:rPr>
        <w:t>niveles son competencia exclusiva de la Funci</w:t>
      </w:r>
      <w:r>
        <w:rPr>
          <w:rFonts w:cs="Times New Roman"/>
          <w:spacing w:val="-8"/>
          <w:sz w:val="18"/>
          <w:szCs w:val="18"/>
          <w:lang w:val="es-ES_tradnl"/>
        </w:rPr>
        <w:t>ó</w:t>
      </w:r>
      <w:r>
        <w:rPr>
          <w:spacing w:val="-8"/>
          <w:sz w:val="18"/>
          <w:szCs w:val="18"/>
          <w:lang w:val="es-ES_tradnl"/>
        </w:rPr>
        <w:t>n Ejecutiva.</w:t>
      </w:r>
    </w:p>
    <w:p w14:paraId="4F67A400" w14:textId="77777777" w:rsidR="00591D54" w:rsidRDefault="00591D54">
      <w:pPr>
        <w:shd w:val="clear" w:color="auto" w:fill="FFFFFF"/>
        <w:spacing w:before="192"/>
      </w:pPr>
      <w:r>
        <w:rPr>
          <w:b/>
          <w:bCs/>
          <w:spacing w:val="-9"/>
          <w:sz w:val="18"/>
          <w:szCs w:val="18"/>
          <w:lang w:val="es-ES_tradnl"/>
        </w:rPr>
        <w:t>Sobre el ahorro e inversi</w:t>
      </w:r>
      <w:r>
        <w:rPr>
          <w:rFonts w:cs="Times New Roman"/>
          <w:b/>
          <w:bCs/>
          <w:spacing w:val="-9"/>
          <w:sz w:val="18"/>
          <w:szCs w:val="18"/>
          <w:lang w:val="es-ES_tradnl"/>
        </w:rPr>
        <w:t>ó</w:t>
      </w:r>
      <w:r>
        <w:rPr>
          <w:b/>
          <w:bCs/>
          <w:spacing w:val="-9"/>
          <w:sz w:val="18"/>
          <w:szCs w:val="18"/>
          <w:lang w:val="es-ES_tradnl"/>
        </w:rPr>
        <w:t>n</w:t>
      </w:r>
    </w:p>
    <w:p w14:paraId="4F67A401" w14:textId="77777777" w:rsidR="00591D54" w:rsidRDefault="00591D54">
      <w:pPr>
        <w:shd w:val="clear" w:color="auto" w:fill="FFFFFF"/>
        <w:spacing w:before="192" w:line="216" w:lineRule="exact"/>
        <w:jc w:val="both"/>
      </w:pPr>
      <w:r>
        <w:rPr>
          <w:b/>
          <w:bCs/>
          <w:spacing w:val="-7"/>
          <w:sz w:val="18"/>
          <w:szCs w:val="18"/>
          <w:lang w:val="es-ES_tradnl"/>
        </w:rPr>
        <w:t xml:space="preserve">Art. 339.- </w:t>
      </w:r>
      <w:r>
        <w:rPr>
          <w:spacing w:val="-7"/>
          <w:sz w:val="18"/>
          <w:szCs w:val="18"/>
          <w:lang w:val="es-ES_tradnl"/>
        </w:rPr>
        <w:t>El Estado promover</w:t>
      </w:r>
      <w:r>
        <w:rPr>
          <w:rFonts w:cs="Times New Roman"/>
          <w:spacing w:val="-7"/>
          <w:sz w:val="18"/>
          <w:szCs w:val="18"/>
          <w:lang w:val="es-ES_tradnl"/>
        </w:rPr>
        <w:t>á</w:t>
      </w:r>
      <w:r>
        <w:rPr>
          <w:spacing w:val="-7"/>
          <w:sz w:val="18"/>
          <w:szCs w:val="18"/>
          <w:lang w:val="es-ES_tradnl"/>
        </w:rPr>
        <w:t xml:space="preserve"> las inversiones nacionales </w:t>
      </w:r>
      <w:r>
        <w:rPr>
          <w:spacing w:val="-8"/>
          <w:sz w:val="18"/>
          <w:szCs w:val="18"/>
          <w:lang w:val="es-ES_tradnl"/>
        </w:rPr>
        <w:t>y extranjeras, y establecer</w:t>
      </w:r>
      <w:r>
        <w:rPr>
          <w:rFonts w:cs="Times New Roman"/>
          <w:spacing w:val="-8"/>
          <w:sz w:val="18"/>
          <w:szCs w:val="18"/>
          <w:lang w:val="es-ES_tradnl"/>
        </w:rPr>
        <w:t>á</w:t>
      </w:r>
      <w:r>
        <w:rPr>
          <w:spacing w:val="-8"/>
          <w:sz w:val="18"/>
          <w:szCs w:val="18"/>
          <w:lang w:val="es-ES_tradnl"/>
        </w:rPr>
        <w:t xml:space="preserve"> regulaciones espec</w:t>
      </w:r>
      <w:r>
        <w:rPr>
          <w:rFonts w:cs="Times New Roman"/>
          <w:spacing w:val="-8"/>
          <w:sz w:val="18"/>
          <w:szCs w:val="18"/>
          <w:lang w:val="es-ES_tradnl"/>
        </w:rPr>
        <w:t>í</w:t>
      </w:r>
      <w:r>
        <w:rPr>
          <w:spacing w:val="-8"/>
          <w:sz w:val="18"/>
          <w:szCs w:val="18"/>
          <w:lang w:val="es-ES_tradnl"/>
        </w:rPr>
        <w:t xml:space="preserve">ficas de </w:t>
      </w:r>
      <w:r>
        <w:rPr>
          <w:spacing w:val="-5"/>
          <w:sz w:val="18"/>
          <w:szCs w:val="18"/>
          <w:lang w:val="es-ES_tradnl"/>
        </w:rPr>
        <w:t>acuerdo a sus tipos, otorgando prioridad a la inversi</w:t>
      </w:r>
      <w:r>
        <w:rPr>
          <w:rFonts w:cs="Times New Roman"/>
          <w:spacing w:val="-5"/>
          <w:sz w:val="18"/>
          <w:szCs w:val="18"/>
          <w:lang w:val="es-ES_tradnl"/>
        </w:rPr>
        <w:t>ó</w:t>
      </w:r>
      <w:r>
        <w:rPr>
          <w:spacing w:val="-5"/>
          <w:sz w:val="18"/>
          <w:szCs w:val="18"/>
          <w:lang w:val="es-ES_tradnl"/>
        </w:rPr>
        <w:t xml:space="preserve">n </w:t>
      </w:r>
      <w:r>
        <w:rPr>
          <w:spacing w:val="-6"/>
          <w:sz w:val="18"/>
          <w:szCs w:val="18"/>
          <w:lang w:val="es-ES_tradnl"/>
        </w:rPr>
        <w:t>nacional. Las inversiones se orientar</w:t>
      </w:r>
      <w:r>
        <w:rPr>
          <w:rFonts w:cs="Times New Roman"/>
          <w:spacing w:val="-6"/>
          <w:sz w:val="18"/>
          <w:szCs w:val="18"/>
          <w:lang w:val="es-ES_tradnl"/>
        </w:rPr>
        <w:t>á</w:t>
      </w:r>
      <w:r>
        <w:rPr>
          <w:spacing w:val="-6"/>
          <w:sz w:val="18"/>
          <w:szCs w:val="18"/>
          <w:lang w:val="es-ES_tradnl"/>
        </w:rPr>
        <w:t xml:space="preserve">n con criterios de </w:t>
      </w:r>
      <w:r>
        <w:rPr>
          <w:spacing w:val="-3"/>
          <w:sz w:val="18"/>
          <w:szCs w:val="18"/>
          <w:lang w:val="es-ES_tradnl"/>
        </w:rPr>
        <w:t>diversificaci</w:t>
      </w:r>
      <w:r>
        <w:rPr>
          <w:rFonts w:cs="Times New Roman"/>
          <w:spacing w:val="-3"/>
          <w:sz w:val="18"/>
          <w:szCs w:val="18"/>
          <w:lang w:val="es-ES_tradnl"/>
        </w:rPr>
        <w:t>ó</w:t>
      </w:r>
      <w:r>
        <w:rPr>
          <w:spacing w:val="-3"/>
          <w:sz w:val="18"/>
          <w:szCs w:val="18"/>
          <w:lang w:val="es-ES_tradnl"/>
        </w:rPr>
        <w:t>n productiva, innovaci</w:t>
      </w:r>
      <w:r>
        <w:rPr>
          <w:rFonts w:cs="Times New Roman"/>
          <w:spacing w:val="-3"/>
          <w:sz w:val="18"/>
          <w:szCs w:val="18"/>
          <w:lang w:val="es-ES_tradnl"/>
        </w:rPr>
        <w:t>ó</w:t>
      </w:r>
      <w:r>
        <w:rPr>
          <w:spacing w:val="-3"/>
          <w:sz w:val="18"/>
          <w:szCs w:val="18"/>
          <w:lang w:val="es-ES_tradnl"/>
        </w:rPr>
        <w:t>n tecnol</w:t>
      </w:r>
      <w:r>
        <w:rPr>
          <w:rFonts w:cs="Times New Roman"/>
          <w:spacing w:val="-3"/>
          <w:sz w:val="18"/>
          <w:szCs w:val="18"/>
          <w:lang w:val="es-ES_tradnl"/>
        </w:rPr>
        <w:t>ó</w:t>
      </w:r>
      <w:r>
        <w:rPr>
          <w:spacing w:val="-3"/>
          <w:sz w:val="18"/>
          <w:szCs w:val="18"/>
          <w:lang w:val="es-ES_tradnl"/>
        </w:rPr>
        <w:t xml:space="preserve">gica y </w:t>
      </w:r>
      <w:r>
        <w:rPr>
          <w:spacing w:val="-7"/>
          <w:sz w:val="18"/>
          <w:szCs w:val="18"/>
          <w:lang w:val="es-ES_tradnl"/>
        </w:rPr>
        <w:t>generaci</w:t>
      </w:r>
      <w:r>
        <w:rPr>
          <w:rFonts w:cs="Times New Roman"/>
          <w:spacing w:val="-7"/>
          <w:sz w:val="18"/>
          <w:szCs w:val="18"/>
          <w:lang w:val="es-ES_tradnl"/>
        </w:rPr>
        <w:t>ó</w:t>
      </w:r>
      <w:r>
        <w:rPr>
          <w:spacing w:val="-7"/>
          <w:sz w:val="18"/>
          <w:szCs w:val="18"/>
          <w:lang w:val="es-ES_tradnl"/>
        </w:rPr>
        <w:t>n de equilibrios regionales y sectoriales.</w:t>
      </w:r>
    </w:p>
    <w:p w14:paraId="4F67A402" w14:textId="77777777" w:rsidR="00591D54" w:rsidRDefault="00591D54">
      <w:pPr>
        <w:shd w:val="clear" w:color="auto" w:fill="FFFFFF"/>
        <w:spacing w:before="197" w:line="216" w:lineRule="exact"/>
        <w:jc w:val="both"/>
      </w:pPr>
      <w:r>
        <w:rPr>
          <w:spacing w:val="-1"/>
          <w:sz w:val="18"/>
          <w:szCs w:val="18"/>
          <w:lang w:val="es-ES_tradnl"/>
        </w:rPr>
        <w:t>La inversi</w:t>
      </w:r>
      <w:r>
        <w:rPr>
          <w:rFonts w:cs="Times New Roman"/>
          <w:spacing w:val="-1"/>
          <w:sz w:val="18"/>
          <w:szCs w:val="18"/>
          <w:lang w:val="es-ES_tradnl"/>
        </w:rPr>
        <w:t>ó</w:t>
      </w:r>
      <w:r>
        <w:rPr>
          <w:spacing w:val="-1"/>
          <w:sz w:val="18"/>
          <w:szCs w:val="18"/>
          <w:lang w:val="es-ES_tradnl"/>
        </w:rPr>
        <w:t>n extranjera directa ser</w:t>
      </w:r>
      <w:r>
        <w:rPr>
          <w:rFonts w:cs="Times New Roman"/>
          <w:spacing w:val="-1"/>
          <w:sz w:val="18"/>
          <w:szCs w:val="18"/>
          <w:lang w:val="es-ES_tradnl"/>
        </w:rPr>
        <w:t>á</w:t>
      </w:r>
      <w:r>
        <w:rPr>
          <w:spacing w:val="-1"/>
          <w:sz w:val="18"/>
          <w:szCs w:val="18"/>
          <w:lang w:val="es-ES_tradnl"/>
        </w:rPr>
        <w:t xml:space="preserve"> complementaria a </w:t>
      </w:r>
      <w:r>
        <w:rPr>
          <w:spacing w:val="-7"/>
          <w:sz w:val="18"/>
          <w:szCs w:val="18"/>
          <w:lang w:val="es-ES_tradnl"/>
        </w:rPr>
        <w:t>la nacional, estar</w:t>
      </w:r>
      <w:r>
        <w:rPr>
          <w:rFonts w:cs="Times New Roman"/>
          <w:spacing w:val="-7"/>
          <w:sz w:val="18"/>
          <w:szCs w:val="18"/>
          <w:lang w:val="es-ES_tradnl"/>
        </w:rPr>
        <w:t>á</w:t>
      </w:r>
      <w:r>
        <w:rPr>
          <w:spacing w:val="-7"/>
          <w:sz w:val="18"/>
          <w:szCs w:val="18"/>
          <w:lang w:val="es-ES_tradnl"/>
        </w:rPr>
        <w:t xml:space="preserve"> sujeta a un estricto respeto del marco </w:t>
      </w:r>
      <w:r>
        <w:rPr>
          <w:spacing w:val="-4"/>
          <w:sz w:val="18"/>
          <w:szCs w:val="18"/>
          <w:lang w:val="es-ES_tradnl"/>
        </w:rPr>
        <w:t>jur</w:t>
      </w:r>
      <w:r>
        <w:rPr>
          <w:rFonts w:cs="Times New Roman"/>
          <w:spacing w:val="-4"/>
          <w:sz w:val="18"/>
          <w:szCs w:val="18"/>
          <w:lang w:val="es-ES_tradnl"/>
        </w:rPr>
        <w:t>í</w:t>
      </w:r>
      <w:r>
        <w:rPr>
          <w:spacing w:val="-4"/>
          <w:sz w:val="18"/>
          <w:szCs w:val="18"/>
          <w:lang w:val="es-ES_tradnl"/>
        </w:rPr>
        <w:t>dico y de las regulaciones nacionales, a la aplicaci</w:t>
      </w:r>
      <w:r>
        <w:rPr>
          <w:rFonts w:cs="Times New Roman"/>
          <w:spacing w:val="-4"/>
          <w:sz w:val="18"/>
          <w:szCs w:val="18"/>
          <w:lang w:val="es-ES_tradnl"/>
        </w:rPr>
        <w:t>ó</w:t>
      </w:r>
      <w:r>
        <w:rPr>
          <w:spacing w:val="-4"/>
          <w:sz w:val="18"/>
          <w:szCs w:val="18"/>
          <w:lang w:val="es-ES_tradnl"/>
        </w:rPr>
        <w:t xml:space="preserve">n </w:t>
      </w:r>
      <w:r>
        <w:rPr>
          <w:spacing w:val="-9"/>
          <w:sz w:val="18"/>
          <w:szCs w:val="18"/>
          <w:lang w:val="es-ES_tradnl"/>
        </w:rPr>
        <w:t>de los derechos y se orientar</w:t>
      </w:r>
      <w:r>
        <w:rPr>
          <w:rFonts w:cs="Times New Roman"/>
          <w:spacing w:val="-9"/>
          <w:sz w:val="18"/>
          <w:szCs w:val="18"/>
          <w:lang w:val="es-ES_tradnl"/>
        </w:rPr>
        <w:t>á</w:t>
      </w:r>
      <w:r>
        <w:rPr>
          <w:spacing w:val="-9"/>
          <w:sz w:val="18"/>
          <w:szCs w:val="18"/>
          <w:lang w:val="es-ES_tradnl"/>
        </w:rPr>
        <w:t xml:space="preserve"> seg</w:t>
      </w:r>
      <w:r>
        <w:rPr>
          <w:rFonts w:cs="Times New Roman"/>
          <w:spacing w:val="-9"/>
          <w:sz w:val="18"/>
          <w:szCs w:val="18"/>
          <w:lang w:val="es-ES_tradnl"/>
        </w:rPr>
        <w:t>ú</w:t>
      </w:r>
      <w:r>
        <w:rPr>
          <w:spacing w:val="-9"/>
          <w:sz w:val="18"/>
          <w:szCs w:val="18"/>
          <w:lang w:val="es-ES_tradnl"/>
        </w:rPr>
        <w:t>n las necesidades y prioridades definidas en el Plan Nacional de Desarrollo, as</w:t>
      </w:r>
      <w:r>
        <w:rPr>
          <w:rFonts w:cs="Times New Roman"/>
          <w:spacing w:val="-9"/>
          <w:sz w:val="18"/>
          <w:szCs w:val="18"/>
          <w:lang w:val="es-ES_tradnl"/>
        </w:rPr>
        <w:t xml:space="preserve">í </w:t>
      </w:r>
      <w:r>
        <w:rPr>
          <w:spacing w:val="-8"/>
          <w:sz w:val="18"/>
          <w:szCs w:val="18"/>
          <w:lang w:val="es-ES_tradnl"/>
        </w:rPr>
        <w:t xml:space="preserve">como en los diversos planes de desarrollo de los gobiernos </w:t>
      </w:r>
      <w:r>
        <w:rPr>
          <w:sz w:val="18"/>
          <w:szCs w:val="18"/>
          <w:lang w:val="es-ES_tradnl"/>
        </w:rPr>
        <w:t>aut</w:t>
      </w:r>
      <w:r>
        <w:rPr>
          <w:rFonts w:cs="Times New Roman"/>
          <w:sz w:val="18"/>
          <w:szCs w:val="18"/>
          <w:lang w:val="es-ES_tradnl"/>
        </w:rPr>
        <w:t>ó</w:t>
      </w:r>
      <w:r>
        <w:rPr>
          <w:sz w:val="18"/>
          <w:szCs w:val="18"/>
          <w:lang w:val="es-ES_tradnl"/>
        </w:rPr>
        <w:t>nomos descentralizados.</w:t>
      </w:r>
    </w:p>
    <w:p w14:paraId="4F67A403" w14:textId="77777777" w:rsidR="00591D54" w:rsidRDefault="00591D54">
      <w:pPr>
        <w:shd w:val="clear" w:color="auto" w:fill="FFFFFF"/>
        <w:spacing w:before="197" w:line="216" w:lineRule="exact"/>
        <w:jc w:val="both"/>
      </w:pPr>
      <w:r>
        <w:rPr>
          <w:spacing w:val="-5"/>
          <w:sz w:val="18"/>
          <w:szCs w:val="18"/>
          <w:lang w:val="es-ES_tradnl"/>
        </w:rPr>
        <w:t>La inversi</w:t>
      </w:r>
      <w:r>
        <w:rPr>
          <w:rFonts w:cs="Times New Roman"/>
          <w:spacing w:val="-5"/>
          <w:sz w:val="18"/>
          <w:szCs w:val="18"/>
          <w:lang w:val="es-ES_tradnl"/>
        </w:rPr>
        <w:t>ó</w:t>
      </w:r>
      <w:r>
        <w:rPr>
          <w:spacing w:val="-5"/>
          <w:sz w:val="18"/>
          <w:szCs w:val="18"/>
          <w:lang w:val="es-ES_tradnl"/>
        </w:rPr>
        <w:t>n p</w:t>
      </w:r>
      <w:r>
        <w:rPr>
          <w:rFonts w:cs="Times New Roman"/>
          <w:spacing w:val="-5"/>
          <w:sz w:val="18"/>
          <w:szCs w:val="18"/>
          <w:lang w:val="es-ES_tradnl"/>
        </w:rPr>
        <w:t>ú</w:t>
      </w:r>
      <w:r>
        <w:rPr>
          <w:spacing w:val="-5"/>
          <w:sz w:val="18"/>
          <w:szCs w:val="18"/>
          <w:lang w:val="es-ES_tradnl"/>
        </w:rPr>
        <w:t>blica se dirigir</w:t>
      </w:r>
      <w:r>
        <w:rPr>
          <w:rFonts w:cs="Times New Roman"/>
          <w:spacing w:val="-5"/>
          <w:sz w:val="18"/>
          <w:szCs w:val="18"/>
          <w:lang w:val="es-ES_tradnl"/>
        </w:rPr>
        <w:t>á</w:t>
      </w:r>
      <w:r>
        <w:rPr>
          <w:spacing w:val="-5"/>
          <w:sz w:val="18"/>
          <w:szCs w:val="18"/>
          <w:lang w:val="es-ES_tradnl"/>
        </w:rPr>
        <w:t xml:space="preserve"> a cumplir los objetivos del </w:t>
      </w:r>
      <w:r>
        <w:rPr>
          <w:spacing w:val="-6"/>
          <w:sz w:val="18"/>
          <w:szCs w:val="18"/>
          <w:lang w:val="es-ES_tradnl"/>
        </w:rPr>
        <w:t>r</w:t>
      </w:r>
      <w:r>
        <w:rPr>
          <w:rFonts w:cs="Times New Roman"/>
          <w:spacing w:val="-6"/>
          <w:sz w:val="18"/>
          <w:szCs w:val="18"/>
          <w:lang w:val="es-ES_tradnl"/>
        </w:rPr>
        <w:t>é</w:t>
      </w:r>
      <w:r>
        <w:rPr>
          <w:spacing w:val="-6"/>
          <w:sz w:val="18"/>
          <w:szCs w:val="18"/>
          <w:lang w:val="es-ES_tradnl"/>
        </w:rPr>
        <w:t>gimen de desarrollo que la Constituci</w:t>
      </w:r>
      <w:r>
        <w:rPr>
          <w:rFonts w:cs="Times New Roman"/>
          <w:spacing w:val="-6"/>
          <w:sz w:val="18"/>
          <w:szCs w:val="18"/>
          <w:lang w:val="es-ES_tradnl"/>
        </w:rPr>
        <w:t>ó</w:t>
      </w:r>
      <w:r>
        <w:rPr>
          <w:spacing w:val="-6"/>
          <w:sz w:val="18"/>
          <w:szCs w:val="18"/>
          <w:lang w:val="es-ES_tradnl"/>
        </w:rPr>
        <w:t xml:space="preserve">n consagra y se </w:t>
      </w:r>
      <w:r>
        <w:rPr>
          <w:spacing w:val="-8"/>
          <w:sz w:val="18"/>
          <w:szCs w:val="18"/>
          <w:lang w:val="es-ES_tradnl"/>
        </w:rPr>
        <w:t>enmarcar</w:t>
      </w:r>
      <w:r>
        <w:rPr>
          <w:rFonts w:cs="Times New Roman"/>
          <w:spacing w:val="-8"/>
          <w:sz w:val="18"/>
          <w:szCs w:val="18"/>
          <w:lang w:val="es-ES_tradnl"/>
        </w:rPr>
        <w:t>á</w:t>
      </w:r>
      <w:r>
        <w:rPr>
          <w:spacing w:val="-8"/>
          <w:sz w:val="18"/>
          <w:szCs w:val="18"/>
          <w:lang w:val="es-ES_tradnl"/>
        </w:rPr>
        <w:t xml:space="preserve"> en los planes de desarrollo nacional y locales, y en los correspondientes planes de inversi</w:t>
      </w:r>
      <w:r>
        <w:rPr>
          <w:rFonts w:cs="Times New Roman"/>
          <w:spacing w:val="-8"/>
          <w:sz w:val="18"/>
          <w:szCs w:val="18"/>
          <w:lang w:val="es-ES_tradnl"/>
        </w:rPr>
        <w:t>ó</w:t>
      </w:r>
      <w:r>
        <w:rPr>
          <w:spacing w:val="-8"/>
          <w:sz w:val="18"/>
          <w:szCs w:val="18"/>
          <w:lang w:val="es-ES_tradnl"/>
        </w:rPr>
        <w:t>n.</w:t>
      </w:r>
    </w:p>
    <w:p w14:paraId="4F67A404" w14:textId="77777777" w:rsidR="00591D54" w:rsidRDefault="00591D54">
      <w:pPr>
        <w:shd w:val="clear" w:color="auto" w:fill="FFFFFF"/>
        <w:spacing w:before="192"/>
      </w:pPr>
      <w:r>
        <w:rPr>
          <w:b/>
          <w:bCs/>
          <w:spacing w:val="-9"/>
          <w:sz w:val="18"/>
          <w:szCs w:val="18"/>
          <w:lang w:val="es-ES_tradnl"/>
        </w:rPr>
        <w:t>Sobre el transporte</w:t>
      </w:r>
    </w:p>
    <w:p w14:paraId="4F67A405" w14:textId="77777777" w:rsidR="00591D54" w:rsidRDefault="00591D54">
      <w:pPr>
        <w:shd w:val="clear" w:color="auto" w:fill="FFFFFF"/>
        <w:spacing w:before="192" w:line="216" w:lineRule="exact"/>
        <w:jc w:val="both"/>
      </w:pPr>
      <w:r>
        <w:rPr>
          <w:b/>
          <w:bCs/>
          <w:spacing w:val="-5"/>
          <w:sz w:val="18"/>
          <w:szCs w:val="18"/>
          <w:lang w:val="es-ES_tradnl"/>
        </w:rPr>
        <w:t xml:space="preserve">Art. 394.- </w:t>
      </w:r>
      <w:r>
        <w:rPr>
          <w:spacing w:val="-5"/>
          <w:sz w:val="18"/>
          <w:szCs w:val="18"/>
          <w:lang w:val="es-ES_tradnl"/>
        </w:rPr>
        <w:t>El Estado garantizar</w:t>
      </w:r>
      <w:r>
        <w:rPr>
          <w:rFonts w:cs="Times New Roman"/>
          <w:spacing w:val="-5"/>
          <w:sz w:val="18"/>
          <w:szCs w:val="18"/>
          <w:lang w:val="es-ES_tradnl"/>
        </w:rPr>
        <w:t>á</w:t>
      </w:r>
      <w:r>
        <w:rPr>
          <w:spacing w:val="-5"/>
          <w:sz w:val="18"/>
          <w:szCs w:val="18"/>
          <w:lang w:val="es-ES_tradnl"/>
        </w:rPr>
        <w:t xml:space="preserve"> la libertad de transporte </w:t>
      </w:r>
      <w:r>
        <w:rPr>
          <w:spacing w:val="-3"/>
          <w:sz w:val="18"/>
          <w:szCs w:val="18"/>
          <w:lang w:val="es-ES_tradnl"/>
        </w:rPr>
        <w:t>terrestre, a</w:t>
      </w:r>
      <w:r>
        <w:rPr>
          <w:rFonts w:cs="Times New Roman"/>
          <w:spacing w:val="-3"/>
          <w:sz w:val="18"/>
          <w:szCs w:val="18"/>
          <w:lang w:val="es-ES_tradnl"/>
        </w:rPr>
        <w:t>é</w:t>
      </w:r>
      <w:r>
        <w:rPr>
          <w:spacing w:val="-3"/>
          <w:sz w:val="18"/>
          <w:szCs w:val="18"/>
          <w:lang w:val="es-ES_tradnl"/>
        </w:rPr>
        <w:t>reo, mar</w:t>
      </w:r>
      <w:r>
        <w:rPr>
          <w:rFonts w:cs="Times New Roman"/>
          <w:spacing w:val="-3"/>
          <w:sz w:val="18"/>
          <w:szCs w:val="18"/>
          <w:lang w:val="es-ES_tradnl"/>
        </w:rPr>
        <w:t>í</w:t>
      </w:r>
      <w:r>
        <w:rPr>
          <w:spacing w:val="-3"/>
          <w:sz w:val="18"/>
          <w:szCs w:val="18"/>
          <w:lang w:val="es-ES_tradnl"/>
        </w:rPr>
        <w:t xml:space="preserve">timo y fl uvial dentro del territorio </w:t>
      </w:r>
      <w:r>
        <w:rPr>
          <w:spacing w:val="-1"/>
          <w:sz w:val="18"/>
          <w:szCs w:val="18"/>
          <w:lang w:val="es-ES_tradnl"/>
        </w:rPr>
        <w:t xml:space="preserve">nacional, sin privilegios de ninguna naturaleza. La </w:t>
      </w:r>
      <w:r>
        <w:rPr>
          <w:spacing w:val="-2"/>
          <w:sz w:val="18"/>
          <w:szCs w:val="18"/>
          <w:lang w:val="es-ES_tradnl"/>
        </w:rPr>
        <w:t>promoci</w:t>
      </w:r>
      <w:r>
        <w:rPr>
          <w:rFonts w:cs="Times New Roman"/>
          <w:spacing w:val="-2"/>
          <w:sz w:val="18"/>
          <w:szCs w:val="18"/>
          <w:lang w:val="es-ES_tradnl"/>
        </w:rPr>
        <w:t>ó</w:t>
      </w:r>
      <w:r>
        <w:rPr>
          <w:spacing w:val="-2"/>
          <w:sz w:val="18"/>
          <w:szCs w:val="18"/>
          <w:lang w:val="es-ES_tradnl"/>
        </w:rPr>
        <w:t>n del transporte p</w:t>
      </w:r>
      <w:r>
        <w:rPr>
          <w:rFonts w:cs="Times New Roman"/>
          <w:spacing w:val="-2"/>
          <w:sz w:val="18"/>
          <w:szCs w:val="18"/>
          <w:lang w:val="es-ES_tradnl"/>
        </w:rPr>
        <w:t>ú</w:t>
      </w:r>
      <w:r>
        <w:rPr>
          <w:spacing w:val="-2"/>
          <w:sz w:val="18"/>
          <w:szCs w:val="18"/>
          <w:lang w:val="es-ES_tradnl"/>
        </w:rPr>
        <w:t>blico masivo y la adopci</w:t>
      </w:r>
      <w:r>
        <w:rPr>
          <w:rFonts w:cs="Times New Roman"/>
          <w:spacing w:val="-2"/>
          <w:sz w:val="18"/>
          <w:szCs w:val="18"/>
          <w:lang w:val="es-ES_tradnl"/>
        </w:rPr>
        <w:t>ó</w:t>
      </w:r>
      <w:r>
        <w:rPr>
          <w:spacing w:val="-2"/>
          <w:sz w:val="18"/>
          <w:szCs w:val="18"/>
          <w:lang w:val="es-ES_tradnl"/>
        </w:rPr>
        <w:t xml:space="preserve">n </w:t>
      </w:r>
      <w:r>
        <w:rPr>
          <w:spacing w:val="-7"/>
          <w:sz w:val="18"/>
          <w:szCs w:val="18"/>
          <w:lang w:val="es-ES_tradnl"/>
        </w:rPr>
        <w:t>de una pol</w:t>
      </w:r>
      <w:r>
        <w:rPr>
          <w:rFonts w:cs="Times New Roman"/>
          <w:spacing w:val="-7"/>
          <w:sz w:val="18"/>
          <w:szCs w:val="18"/>
          <w:lang w:val="es-ES_tradnl"/>
        </w:rPr>
        <w:t>í</w:t>
      </w:r>
      <w:r>
        <w:rPr>
          <w:spacing w:val="-7"/>
          <w:sz w:val="18"/>
          <w:szCs w:val="18"/>
          <w:lang w:val="es-ES_tradnl"/>
        </w:rPr>
        <w:t>tica de tarifas diferenciadas de transporte ser</w:t>
      </w:r>
      <w:r>
        <w:rPr>
          <w:rFonts w:cs="Times New Roman"/>
          <w:spacing w:val="-7"/>
          <w:sz w:val="18"/>
          <w:szCs w:val="18"/>
          <w:lang w:val="es-ES_tradnl"/>
        </w:rPr>
        <w:t>á</w:t>
      </w:r>
      <w:r>
        <w:rPr>
          <w:spacing w:val="-7"/>
          <w:sz w:val="18"/>
          <w:szCs w:val="18"/>
          <w:lang w:val="es-ES_tradnl"/>
        </w:rPr>
        <w:t xml:space="preserve">n </w:t>
      </w:r>
      <w:r>
        <w:rPr>
          <w:spacing w:val="-8"/>
          <w:sz w:val="18"/>
          <w:szCs w:val="18"/>
          <w:lang w:val="es-ES_tradnl"/>
        </w:rPr>
        <w:t>prioritarias. El Estado regular</w:t>
      </w:r>
      <w:r>
        <w:rPr>
          <w:rFonts w:cs="Times New Roman"/>
          <w:spacing w:val="-8"/>
          <w:sz w:val="18"/>
          <w:szCs w:val="18"/>
          <w:lang w:val="es-ES_tradnl"/>
        </w:rPr>
        <w:t>á</w:t>
      </w:r>
      <w:r>
        <w:rPr>
          <w:spacing w:val="-8"/>
          <w:sz w:val="18"/>
          <w:szCs w:val="18"/>
          <w:lang w:val="es-ES_tradnl"/>
        </w:rPr>
        <w:t xml:space="preserve"> el transporte terrestre, a</w:t>
      </w:r>
      <w:r>
        <w:rPr>
          <w:rFonts w:cs="Times New Roman"/>
          <w:spacing w:val="-8"/>
          <w:sz w:val="18"/>
          <w:szCs w:val="18"/>
          <w:lang w:val="es-ES_tradnl"/>
        </w:rPr>
        <w:t>é</w:t>
      </w:r>
      <w:r>
        <w:rPr>
          <w:spacing w:val="-8"/>
          <w:sz w:val="18"/>
          <w:szCs w:val="18"/>
          <w:lang w:val="es-ES_tradnl"/>
        </w:rPr>
        <w:t xml:space="preserve">reo </w:t>
      </w:r>
      <w:r>
        <w:rPr>
          <w:spacing w:val="-7"/>
          <w:sz w:val="18"/>
          <w:szCs w:val="18"/>
          <w:lang w:val="es-ES_tradnl"/>
        </w:rPr>
        <w:t>y acu</w:t>
      </w:r>
      <w:r>
        <w:rPr>
          <w:rFonts w:cs="Times New Roman"/>
          <w:spacing w:val="-7"/>
          <w:sz w:val="18"/>
          <w:szCs w:val="18"/>
          <w:lang w:val="es-ES_tradnl"/>
        </w:rPr>
        <w:t>á</w:t>
      </w:r>
      <w:r>
        <w:rPr>
          <w:spacing w:val="-7"/>
          <w:sz w:val="18"/>
          <w:szCs w:val="18"/>
          <w:lang w:val="es-ES_tradnl"/>
        </w:rPr>
        <w:t>tico, y las actividades aeroportuarias y portuarias.</w:t>
      </w:r>
    </w:p>
    <w:p w14:paraId="4F67A406" w14:textId="77777777" w:rsidR="00591D54" w:rsidRDefault="00591D54">
      <w:pPr>
        <w:shd w:val="clear" w:color="auto" w:fill="FFFFFF"/>
        <w:spacing w:before="187"/>
      </w:pPr>
      <w:r>
        <w:rPr>
          <w:b/>
          <w:bCs/>
          <w:spacing w:val="-6"/>
          <w:sz w:val="18"/>
          <w:szCs w:val="18"/>
          <w:lang w:val="es-ES_tradnl"/>
        </w:rPr>
        <w:t>Normativa internacional</w:t>
      </w:r>
    </w:p>
    <w:p w14:paraId="4F67A407" w14:textId="77777777" w:rsidR="00591D54" w:rsidRDefault="00591D54">
      <w:pPr>
        <w:shd w:val="clear" w:color="auto" w:fill="FFFFFF"/>
        <w:spacing w:before="192"/>
      </w:pPr>
      <w:r>
        <w:rPr>
          <w:b/>
          <w:bCs/>
          <w:spacing w:val="-10"/>
          <w:sz w:val="18"/>
          <w:szCs w:val="18"/>
          <w:lang w:val="es-ES_tradnl"/>
        </w:rPr>
        <w:t>Convenci</w:t>
      </w:r>
      <w:r>
        <w:rPr>
          <w:rFonts w:cs="Times New Roman"/>
          <w:b/>
          <w:bCs/>
          <w:spacing w:val="-10"/>
          <w:sz w:val="18"/>
          <w:szCs w:val="18"/>
          <w:lang w:val="es-ES_tradnl"/>
        </w:rPr>
        <w:t>ó</w:t>
      </w:r>
      <w:r>
        <w:rPr>
          <w:b/>
          <w:bCs/>
          <w:spacing w:val="-10"/>
          <w:sz w:val="18"/>
          <w:szCs w:val="18"/>
          <w:lang w:val="es-ES_tradnl"/>
        </w:rPr>
        <w:t>n de Viena</w:t>
      </w:r>
    </w:p>
    <w:p w14:paraId="4F67A408" w14:textId="77777777" w:rsidR="00591D54" w:rsidRDefault="00591D54">
      <w:pPr>
        <w:shd w:val="clear" w:color="auto" w:fill="FFFFFF"/>
        <w:spacing w:before="192" w:line="216" w:lineRule="exact"/>
        <w:jc w:val="both"/>
      </w:pPr>
      <w:r>
        <w:rPr>
          <w:b/>
          <w:bCs/>
          <w:spacing w:val="-2"/>
          <w:sz w:val="18"/>
          <w:szCs w:val="18"/>
          <w:lang w:val="es-ES_tradnl"/>
        </w:rPr>
        <w:t xml:space="preserve">Art. 27.- </w:t>
      </w:r>
      <w:r>
        <w:rPr>
          <w:spacing w:val="-2"/>
          <w:sz w:val="18"/>
          <w:szCs w:val="18"/>
          <w:lang w:val="es-ES_tradnl"/>
        </w:rPr>
        <w:t xml:space="preserve">El derecho interno y la observancia de los </w:t>
      </w:r>
      <w:r>
        <w:rPr>
          <w:spacing w:val="-7"/>
          <w:sz w:val="18"/>
          <w:szCs w:val="18"/>
          <w:lang w:val="es-ES_tradnl"/>
        </w:rPr>
        <w:t>tratados.- Una parte no podr</w:t>
      </w:r>
      <w:r>
        <w:rPr>
          <w:rFonts w:cs="Times New Roman"/>
          <w:spacing w:val="-7"/>
          <w:sz w:val="18"/>
          <w:szCs w:val="18"/>
          <w:lang w:val="es-ES_tradnl"/>
        </w:rPr>
        <w:t>á</w:t>
      </w:r>
      <w:r>
        <w:rPr>
          <w:spacing w:val="-7"/>
          <w:sz w:val="18"/>
          <w:szCs w:val="18"/>
          <w:lang w:val="es-ES_tradnl"/>
        </w:rPr>
        <w:t xml:space="preserve"> invocar las disposiciones de </w:t>
      </w:r>
      <w:r>
        <w:rPr>
          <w:spacing w:val="-5"/>
          <w:sz w:val="18"/>
          <w:szCs w:val="18"/>
          <w:lang w:val="es-ES_tradnl"/>
        </w:rPr>
        <w:t>su derecho interno como justificaci</w:t>
      </w:r>
      <w:r>
        <w:rPr>
          <w:rFonts w:cs="Times New Roman"/>
          <w:spacing w:val="-5"/>
          <w:sz w:val="18"/>
          <w:szCs w:val="18"/>
          <w:lang w:val="es-ES_tradnl"/>
        </w:rPr>
        <w:t>ó</w:t>
      </w:r>
      <w:r>
        <w:rPr>
          <w:spacing w:val="-5"/>
          <w:sz w:val="18"/>
          <w:szCs w:val="18"/>
          <w:lang w:val="es-ES_tradnl"/>
        </w:rPr>
        <w:t xml:space="preserve">n del incumplimiento </w:t>
      </w:r>
      <w:r>
        <w:rPr>
          <w:spacing w:val="-7"/>
          <w:sz w:val="18"/>
          <w:szCs w:val="18"/>
          <w:lang w:val="es-ES_tradnl"/>
        </w:rPr>
        <w:t>de un tratado. Esta norma se entender</w:t>
      </w:r>
      <w:r>
        <w:rPr>
          <w:rFonts w:cs="Times New Roman"/>
          <w:spacing w:val="-7"/>
          <w:sz w:val="18"/>
          <w:szCs w:val="18"/>
          <w:lang w:val="es-ES_tradnl"/>
        </w:rPr>
        <w:t>á</w:t>
      </w:r>
      <w:r>
        <w:rPr>
          <w:spacing w:val="-7"/>
          <w:sz w:val="18"/>
          <w:szCs w:val="18"/>
          <w:lang w:val="es-ES_tradnl"/>
        </w:rPr>
        <w:t xml:space="preserve"> sin perjuicio de lo </w:t>
      </w:r>
      <w:r>
        <w:rPr>
          <w:sz w:val="18"/>
          <w:szCs w:val="18"/>
          <w:lang w:val="es-ES_tradnl"/>
        </w:rPr>
        <w:t>dispuesto en el art</w:t>
      </w:r>
      <w:r>
        <w:rPr>
          <w:rFonts w:cs="Times New Roman"/>
          <w:sz w:val="18"/>
          <w:szCs w:val="18"/>
          <w:lang w:val="es-ES_tradnl"/>
        </w:rPr>
        <w:t>í</w:t>
      </w:r>
      <w:r>
        <w:rPr>
          <w:sz w:val="18"/>
          <w:szCs w:val="18"/>
          <w:lang w:val="es-ES_tradnl"/>
        </w:rPr>
        <w:t>culo 46.</w:t>
      </w:r>
    </w:p>
    <w:p w14:paraId="4F67A409" w14:textId="77777777" w:rsidR="00591D54" w:rsidRDefault="00591D54">
      <w:pPr>
        <w:shd w:val="clear" w:color="auto" w:fill="FFFFFF"/>
        <w:spacing w:before="192" w:line="216" w:lineRule="exact"/>
        <w:jc w:val="both"/>
      </w:pPr>
      <w:r>
        <w:rPr>
          <w:b/>
          <w:bCs/>
          <w:spacing w:val="-8"/>
          <w:sz w:val="18"/>
          <w:szCs w:val="18"/>
          <w:lang w:val="es-ES_tradnl"/>
        </w:rPr>
        <w:t xml:space="preserve">Art. 46.- </w:t>
      </w:r>
      <w:r>
        <w:rPr>
          <w:spacing w:val="-8"/>
          <w:sz w:val="18"/>
          <w:szCs w:val="18"/>
          <w:lang w:val="es-ES_tradnl"/>
        </w:rPr>
        <w:t xml:space="preserve">Disposiciones de derecho interno concernientes a </w:t>
      </w:r>
      <w:r>
        <w:rPr>
          <w:sz w:val="18"/>
          <w:szCs w:val="18"/>
          <w:lang w:val="es-ES_tradnl"/>
        </w:rPr>
        <w:t>la competencia para celebrar tratados</w:t>
      </w:r>
    </w:p>
    <w:p w14:paraId="4F67A40A" w14:textId="77777777" w:rsidR="00591D54" w:rsidRDefault="00591D54" w:rsidP="00251195">
      <w:pPr>
        <w:numPr>
          <w:ilvl w:val="0"/>
          <w:numId w:val="18"/>
        </w:numPr>
        <w:shd w:val="clear" w:color="auto" w:fill="FFFFFF"/>
        <w:tabs>
          <w:tab w:val="left" w:pos="226"/>
        </w:tabs>
        <w:spacing w:before="197" w:line="216" w:lineRule="exact"/>
        <w:jc w:val="both"/>
        <w:rPr>
          <w:spacing w:val="-9"/>
          <w:sz w:val="18"/>
          <w:szCs w:val="18"/>
          <w:lang w:val="es-ES_tradnl"/>
        </w:rPr>
      </w:pPr>
      <w:r>
        <w:rPr>
          <w:spacing w:val="-7"/>
          <w:sz w:val="18"/>
          <w:szCs w:val="18"/>
          <w:lang w:val="es-ES_tradnl"/>
        </w:rPr>
        <w:t xml:space="preserve">El hecho de que el consentimiento de un Estado en </w:t>
      </w:r>
      <w:r>
        <w:rPr>
          <w:spacing w:val="-9"/>
          <w:sz w:val="18"/>
          <w:szCs w:val="18"/>
          <w:lang w:val="es-ES_tradnl"/>
        </w:rPr>
        <w:t>obligarse por un tratado haya sido manifestado en violaci</w:t>
      </w:r>
      <w:r>
        <w:rPr>
          <w:rFonts w:cs="Times New Roman"/>
          <w:spacing w:val="-9"/>
          <w:sz w:val="18"/>
          <w:szCs w:val="18"/>
          <w:lang w:val="es-ES_tradnl"/>
        </w:rPr>
        <w:t>ó</w:t>
      </w:r>
      <w:r>
        <w:rPr>
          <w:spacing w:val="-9"/>
          <w:sz w:val="18"/>
          <w:szCs w:val="18"/>
          <w:lang w:val="es-ES_tradnl"/>
        </w:rPr>
        <w:t xml:space="preserve">n </w:t>
      </w:r>
      <w:r>
        <w:rPr>
          <w:spacing w:val="-8"/>
          <w:sz w:val="18"/>
          <w:szCs w:val="18"/>
          <w:lang w:val="es-ES_tradnl"/>
        </w:rPr>
        <w:t>de una disposici</w:t>
      </w:r>
      <w:r>
        <w:rPr>
          <w:rFonts w:cs="Times New Roman"/>
          <w:spacing w:val="-8"/>
          <w:sz w:val="18"/>
          <w:szCs w:val="18"/>
          <w:lang w:val="es-ES_tradnl"/>
        </w:rPr>
        <w:t>ó</w:t>
      </w:r>
      <w:r>
        <w:rPr>
          <w:spacing w:val="-8"/>
          <w:sz w:val="18"/>
          <w:szCs w:val="18"/>
          <w:lang w:val="es-ES_tradnl"/>
        </w:rPr>
        <w:t xml:space="preserve">n de su derecho interno concerniente a la </w:t>
      </w:r>
      <w:r>
        <w:rPr>
          <w:spacing w:val="-7"/>
          <w:sz w:val="18"/>
          <w:szCs w:val="18"/>
          <w:lang w:val="es-ES_tradnl"/>
        </w:rPr>
        <w:t>competencia para celebrar tratados no podr</w:t>
      </w:r>
      <w:r>
        <w:rPr>
          <w:rFonts w:cs="Times New Roman"/>
          <w:spacing w:val="-7"/>
          <w:sz w:val="18"/>
          <w:szCs w:val="18"/>
          <w:lang w:val="es-ES_tradnl"/>
        </w:rPr>
        <w:t>á</w:t>
      </w:r>
      <w:r>
        <w:rPr>
          <w:spacing w:val="-7"/>
          <w:sz w:val="18"/>
          <w:szCs w:val="18"/>
          <w:lang w:val="es-ES_tradnl"/>
        </w:rPr>
        <w:t xml:space="preserve"> ser alegado </w:t>
      </w:r>
      <w:r>
        <w:rPr>
          <w:spacing w:val="-10"/>
          <w:sz w:val="18"/>
          <w:szCs w:val="18"/>
          <w:lang w:val="es-ES_tradnl"/>
        </w:rPr>
        <w:t xml:space="preserve">por dicho Estado como vicio de su consentimiento, a menos </w:t>
      </w:r>
      <w:r>
        <w:rPr>
          <w:spacing w:val="-7"/>
          <w:sz w:val="18"/>
          <w:szCs w:val="18"/>
          <w:lang w:val="es-ES_tradnl"/>
        </w:rPr>
        <w:t>que esa violaci</w:t>
      </w:r>
      <w:r>
        <w:rPr>
          <w:rFonts w:cs="Times New Roman"/>
          <w:spacing w:val="-7"/>
          <w:sz w:val="18"/>
          <w:szCs w:val="18"/>
          <w:lang w:val="es-ES_tradnl"/>
        </w:rPr>
        <w:t>ó</w:t>
      </w:r>
      <w:r>
        <w:rPr>
          <w:spacing w:val="-7"/>
          <w:sz w:val="18"/>
          <w:szCs w:val="18"/>
          <w:lang w:val="es-ES_tradnl"/>
        </w:rPr>
        <w:t>n sea manifiesta y afecte a una norma de importancia fundamental de su derecho interno.</w:t>
      </w:r>
    </w:p>
    <w:p w14:paraId="4F67A40B" w14:textId="77777777" w:rsidR="00591D54" w:rsidRDefault="00591D54" w:rsidP="00251195">
      <w:pPr>
        <w:numPr>
          <w:ilvl w:val="0"/>
          <w:numId w:val="18"/>
        </w:numPr>
        <w:shd w:val="clear" w:color="auto" w:fill="FFFFFF"/>
        <w:tabs>
          <w:tab w:val="left" w:pos="226"/>
        </w:tabs>
        <w:spacing w:before="197" w:line="216" w:lineRule="exact"/>
        <w:jc w:val="both"/>
        <w:rPr>
          <w:spacing w:val="-9"/>
          <w:sz w:val="18"/>
          <w:szCs w:val="18"/>
          <w:lang w:val="es-ES_tradnl"/>
        </w:rPr>
      </w:pPr>
      <w:r>
        <w:rPr>
          <w:spacing w:val="-4"/>
          <w:sz w:val="18"/>
          <w:szCs w:val="18"/>
          <w:lang w:val="es-ES_tradnl"/>
        </w:rPr>
        <w:t>Una violaci</w:t>
      </w:r>
      <w:r>
        <w:rPr>
          <w:rFonts w:cs="Times New Roman"/>
          <w:spacing w:val="-4"/>
          <w:sz w:val="18"/>
          <w:szCs w:val="18"/>
          <w:lang w:val="es-ES_tradnl"/>
        </w:rPr>
        <w:t>ó</w:t>
      </w:r>
      <w:r>
        <w:rPr>
          <w:spacing w:val="-4"/>
          <w:sz w:val="18"/>
          <w:szCs w:val="18"/>
          <w:lang w:val="es-ES_tradnl"/>
        </w:rPr>
        <w:t xml:space="preserve">n es manifiesta si resulta objetivamente </w:t>
      </w:r>
      <w:r>
        <w:rPr>
          <w:spacing w:val="-8"/>
          <w:sz w:val="18"/>
          <w:szCs w:val="18"/>
          <w:lang w:val="es-ES_tradnl"/>
        </w:rPr>
        <w:t xml:space="preserve">evidente para cualquier Estado que proceda en la materia </w:t>
      </w:r>
      <w:r>
        <w:rPr>
          <w:spacing w:val="-7"/>
          <w:sz w:val="18"/>
          <w:szCs w:val="18"/>
          <w:lang w:val="es-ES_tradnl"/>
        </w:rPr>
        <w:t>conforme a la pr</w:t>
      </w:r>
      <w:r>
        <w:rPr>
          <w:rFonts w:cs="Times New Roman"/>
          <w:spacing w:val="-7"/>
          <w:sz w:val="18"/>
          <w:szCs w:val="18"/>
          <w:lang w:val="es-ES_tradnl"/>
        </w:rPr>
        <w:t>á</w:t>
      </w:r>
      <w:r>
        <w:rPr>
          <w:spacing w:val="-7"/>
          <w:sz w:val="18"/>
          <w:szCs w:val="18"/>
          <w:lang w:val="es-ES_tradnl"/>
        </w:rPr>
        <w:t>ctica usual y de buena fe.</w:t>
      </w:r>
    </w:p>
    <w:p w14:paraId="4F67A40C" w14:textId="77777777" w:rsidR="00591D54" w:rsidRDefault="00591D54" w:rsidP="00251195">
      <w:pPr>
        <w:numPr>
          <w:ilvl w:val="0"/>
          <w:numId w:val="18"/>
        </w:numPr>
        <w:shd w:val="clear" w:color="auto" w:fill="FFFFFF"/>
        <w:tabs>
          <w:tab w:val="left" w:pos="226"/>
        </w:tabs>
        <w:spacing w:before="197" w:line="216" w:lineRule="exact"/>
        <w:jc w:val="both"/>
        <w:rPr>
          <w:spacing w:val="-9"/>
          <w:sz w:val="18"/>
          <w:szCs w:val="18"/>
          <w:lang w:val="es-ES_tradnl"/>
        </w:rPr>
        <w:sectPr w:rsidR="00591D54">
          <w:type w:val="continuous"/>
          <w:pgSz w:w="11909" w:h="16834"/>
          <w:pgMar w:top="1361" w:right="1309" w:bottom="360" w:left="1308" w:header="720" w:footer="720" w:gutter="0"/>
          <w:cols w:num="2" w:space="720" w:equalWidth="0">
            <w:col w:w="4305" w:space="682"/>
            <w:col w:w="4305"/>
          </w:cols>
          <w:noEndnote/>
        </w:sectPr>
      </w:pPr>
    </w:p>
    <w:p w14:paraId="4F67A40D" w14:textId="77777777" w:rsidR="00591D54" w:rsidRDefault="00591D54">
      <w:pPr>
        <w:shd w:val="clear" w:color="auto" w:fill="FFFFFF"/>
        <w:tabs>
          <w:tab w:val="left" w:pos="4814"/>
        </w:tabs>
        <w:spacing w:after="226"/>
        <w:ind w:left="14"/>
      </w:pPr>
      <w:r>
        <w:rPr>
          <w:b/>
          <w:bCs/>
          <w:sz w:val="18"/>
          <w:szCs w:val="18"/>
          <w:lang w:val="es-ES_tradnl"/>
        </w:rPr>
        <w:t xml:space="preserve">12 -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40E" w14:textId="77777777" w:rsidR="00591D54" w:rsidRDefault="00591D54">
      <w:pPr>
        <w:shd w:val="clear" w:color="auto" w:fill="FFFFFF"/>
        <w:tabs>
          <w:tab w:val="left" w:pos="4814"/>
        </w:tabs>
        <w:spacing w:after="226"/>
        <w:ind w:left="14"/>
        <w:sectPr w:rsidR="00591D54">
          <w:pgSz w:w="11909" w:h="16834"/>
          <w:pgMar w:top="1359" w:right="1309" w:bottom="360" w:left="1308" w:header="720" w:footer="720" w:gutter="0"/>
          <w:cols w:space="60"/>
          <w:noEndnote/>
        </w:sectPr>
      </w:pPr>
    </w:p>
    <w:p w14:paraId="4F67A40F" w14:textId="77777777" w:rsidR="00591D54" w:rsidRDefault="00591D54">
      <w:pPr>
        <w:shd w:val="clear" w:color="auto" w:fill="FFFFFF"/>
        <w:spacing w:line="216" w:lineRule="exact"/>
        <w:ind w:left="686" w:hanging="389"/>
      </w:pPr>
      <w:r>
        <w:rPr>
          <w:b/>
          <w:bCs/>
          <w:sz w:val="18"/>
          <w:szCs w:val="18"/>
          <w:lang w:val="es-ES_tradnl"/>
        </w:rPr>
        <w:t>III. CONSIDERACIONES Y FUNDAMENTOS DE LA CORTE CONSTITUCIONAL</w:t>
      </w:r>
    </w:p>
    <w:p w14:paraId="4F67A410" w14:textId="77777777" w:rsidR="00591D54" w:rsidRDefault="00591D54">
      <w:pPr>
        <w:shd w:val="clear" w:color="auto" w:fill="FFFFFF"/>
        <w:spacing w:before="192"/>
      </w:pPr>
      <w:r>
        <w:rPr>
          <w:b/>
          <w:bCs/>
          <w:spacing w:val="-11"/>
          <w:sz w:val="18"/>
          <w:szCs w:val="18"/>
          <w:lang w:val="es-ES_tradnl"/>
        </w:rPr>
        <w:t>Competencia</w:t>
      </w:r>
    </w:p>
    <w:p w14:paraId="4F67A411" w14:textId="77777777" w:rsidR="00591D54" w:rsidRDefault="00591D54">
      <w:pPr>
        <w:shd w:val="clear" w:color="auto" w:fill="FFFFFF"/>
        <w:spacing w:before="197" w:line="216" w:lineRule="exact"/>
        <w:jc w:val="both"/>
      </w:pPr>
      <w:r>
        <w:rPr>
          <w:spacing w:val="-9"/>
          <w:sz w:val="18"/>
          <w:szCs w:val="18"/>
          <w:lang w:val="es-ES_tradnl"/>
        </w:rPr>
        <w:t>De conformidad con los art</w:t>
      </w:r>
      <w:r>
        <w:rPr>
          <w:rFonts w:cs="Times New Roman"/>
          <w:spacing w:val="-9"/>
          <w:sz w:val="18"/>
          <w:szCs w:val="18"/>
          <w:lang w:val="es-ES_tradnl"/>
        </w:rPr>
        <w:t>í</w:t>
      </w:r>
      <w:r>
        <w:rPr>
          <w:spacing w:val="-9"/>
          <w:sz w:val="18"/>
          <w:szCs w:val="18"/>
          <w:lang w:val="es-ES_tradnl"/>
        </w:rPr>
        <w:t xml:space="preserve">culos 429 y 438 numeral 1 de la </w:t>
      </w:r>
      <w:r>
        <w:rPr>
          <w:spacing w:val="-7"/>
          <w:sz w:val="18"/>
          <w:szCs w:val="18"/>
          <w:lang w:val="es-ES_tradnl"/>
        </w:rPr>
        <w:t>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 xml:space="preserve">blica, la Corte Constitucional tiene competencia para resolver, mediante dictamen vinculante, </w:t>
      </w:r>
      <w:r>
        <w:rPr>
          <w:spacing w:val="-8"/>
          <w:sz w:val="18"/>
          <w:szCs w:val="18"/>
          <w:lang w:val="es-ES_tradnl"/>
        </w:rPr>
        <w:t xml:space="preserve">la constitucionalidad de los instrumentos internacionales en </w:t>
      </w:r>
      <w:r>
        <w:rPr>
          <w:spacing w:val="-7"/>
          <w:sz w:val="18"/>
          <w:szCs w:val="18"/>
          <w:lang w:val="es-ES_tradnl"/>
        </w:rPr>
        <w:t>concordancia con lo estipulado en los art</w:t>
      </w:r>
      <w:r>
        <w:rPr>
          <w:rFonts w:cs="Times New Roman"/>
          <w:spacing w:val="-7"/>
          <w:sz w:val="18"/>
          <w:szCs w:val="18"/>
          <w:lang w:val="es-ES_tradnl"/>
        </w:rPr>
        <w:t>í</w:t>
      </w:r>
      <w:r>
        <w:rPr>
          <w:spacing w:val="-7"/>
          <w:sz w:val="18"/>
          <w:szCs w:val="18"/>
          <w:lang w:val="es-ES_tradnl"/>
        </w:rPr>
        <w:t xml:space="preserve">culos 75 numeral </w:t>
      </w:r>
      <w:r>
        <w:rPr>
          <w:spacing w:val="-8"/>
          <w:sz w:val="18"/>
          <w:szCs w:val="18"/>
          <w:lang w:val="es-ES_tradnl"/>
        </w:rPr>
        <w:t>3 y 110 de la Ley Org</w:t>
      </w:r>
      <w:r>
        <w:rPr>
          <w:rFonts w:cs="Times New Roman"/>
          <w:spacing w:val="-8"/>
          <w:sz w:val="18"/>
          <w:szCs w:val="18"/>
          <w:lang w:val="es-ES_tradnl"/>
        </w:rPr>
        <w:t>á</w:t>
      </w:r>
      <w:r>
        <w:rPr>
          <w:spacing w:val="-8"/>
          <w:sz w:val="18"/>
          <w:szCs w:val="18"/>
          <w:lang w:val="es-ES_tradnl"/>
        </w:rPr>
        <w:t>nica de Garant</w:t>
      </w:r>
      <w:r>
        <w:rPr>
          <w:rFonts w:cs="Times New Roman"/>
          <w:spacing w:val="-8"/>
          <w:sz w:val="18"/>
          <w:szCs w:val="18"/>
          <w:lang w:val="es-ES_tradnl"/>
        </w:rPr>
        <w:t>í</w:t>
      </w:r>
      <w:r>
        <w:rPr>
          <w:spacing w:val="-8"/>
          <w:sz w:val="18"/>
          <w:szCs w:val="18"/>
          <w:lang w:val="es-ES_tradnl"/>
        </w:rPr>
        <w:t xml:space="preserve">as Jurisdiccionales y </w:t>
      </w:r>
      <w:r>
        <w:rPr>
          <w:sz w:val="18"/>
          <w:szCs w:val="18"/>
          <w:lang w:val="es-ES_tradnl"/>
        </w:rPr>
        <w:t>Control Constitucional.</w:t>
      </w:r>
    </w:p>
    <w:p w14:paraId="4F67A412" w14:textId="77777777" w:rsidR="00591D54" w:rsidRDefault="00591D54">
      <w:pPr>
        <w:shd w:val="clear" w:color="auto" w:fill="FFFFFF"/>
        <w:spacing w:before="192" w:line="216" w:lineRule="exact"/>
        <w:jc w:val="both"/>
      </w:pPr>
      <w:r>
        <w:rPr>
          <w:b/>
          <w:bCs/>
          <w:spacing w:val="-8"/>
          <w:sz w:val="18"/>
          <w:szCs w:val="18"/>
          <w:lang w:val="es-ES_tradnl"/>
        </w:rPr>
        <w:t>Naturaleza jur</w:t>
      </w:r>
      <w:r>
        <w:rPr>
          <w:rFonts w:cs="Times New Roman"/>
          <w:b/>
          <w:bCs/>
          <w:spacing w:val="-8"/>
          <w:sz w:val="18"/>
          <w:szCs w:val="18"/>
          <w:lang w:val="es-ES_tradnl"/>
        </w:rPr>
        <w:t>í</w:t>
      </w:r>
      <w:r>
        <w:rPr>
          <w:b/>
          <w:bCs/>
          <w:spacing w:val="-8"/>
          <w:sz w:val="18"/>
          <w:szCs w:val="18"/>
          <w:lang w:val="es-ES_tradnl"/>
        </w:rPr>
        <w:t xml:space="preserve">dica, alcances y efectos del control de </w:t>
      </w:r>
      <w:r>
        <w:rPr>
          <w:b/>
          <w:bCs/>
          <w:spacing w:val="-9"/>
          <w:sz w:val="18"/>
          <w:szCs w:val="18"/>
          <w:lang w:val="es-ES_tradnl"/>
        </w:rPr>
        <w:t>constitucionalidad de los tratados internacionales</w:t>
      </w:r>
    </w:p>
    <w:p w14:paraId="4F67A413" w14:textId="77777777" w:rsidR="00591D54" w:rsidRDefault="00591D54">
      <w:pPr>
        <w:shd w:val="clear" w:color="auto" w:fill="FFFFFF"/>
        <w:spacing w:before="197" w:line="216" w:lineRule="exact"/>
        <w:jc w:val="both"/>
      </w:pPr>
      <w:r>
        <w:rPr>
          <w:spacing w:val="-9"/>
          <w:sz w:val="18"/>
          <w:szCs w:val="18"/>
          <w:lang w:val="es-ES_tradnl"/>
        </w:rPr>
        <w:t xml:space="preserve">Respecto al control de constitucionalidad de un instrumento </w:t>
      </w:r>
      <w:r>
        <w:rPr>
          <w:spacing w:val="-6"/>
          <w:sz w:val="18"/>
          <w:szCs w:val="18"/>
          <w:lang w:val="es-ES_tradnl"/>
        </w:rPr>
        <w:t>de car</w:t>
      </w:r>
      <w:r>
        <w:rPr>
          <w:rFonts w:cs="Times New Roman"/>
          <w:spacing w:val="-6"/>
          <w:sz w:val="18"/>
          <w:szCs w:val="18"/>
          <w:lang w:val="es-ES_tradnl"/>
        </w:rPr>
        <w:t>á</w:t>
      </w:r>
      <w:r>
        <w:rPr>
          <w:spacing w:val="-6"/>
          <w:sz w:val="18"/>
          <w:szCs w:val="18"/>
          <w:lang w:val="es-ES_tradnl"/>
        </w:rPr>
        <w:t>cter internacional,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w:t>
      </w:r>
      <w:r>
        <w:rPr>
          <w:spacing w:val="-7"/>
          <w:sz w:val="18"/>
          <w:szCs w:val="18"/>
          <w:lang w:val="es-ES_tradnl"/>
        </w:rPr>
        <w:t xml:space="preserve">del Ecuador dispone que todo convenio, pacto o acuerdo </w:t>
      </w:r>
      <w:r>
        <w:rPr>
          <w:spacing w:val="-8"/>
          <w:sz w:val="18"/>
          <w:szCs w:val="18"/>
          <w:lang w:val="es-ES_tradnl"/>
        </w:rPr>
        <w:t>debe mantener compatibilidad con su contenido.</w:t>
      </w:r>
    </w:p>
    <w:p w14:paraId="4F67A414" w14:textId="77777777" w:rsidR="00591D54" w:rsidRDefault="00591D54">
      <w:pPr>
        <w:shd w:val="clear" w:color="auto" w:fill="FFFFFF"/>
        <w:spacing w:before="197" w:line="216" w:lineRule="exact"/>
        <w:jc w:val="both"/>
      </w:pPr>
      <w:r>
        <w:rPr>
          <w:spacing w:val="-2"/>
          <w:sz w:val="18"/>
          <w:szCs w:val="18"/>
          <w:lang w:val="es-ES_tradnl"/>
        </w:rPr>
        <w:t>En este marco, el art</w:t>
      </w:r>
      <w:r>
        <w:rPr>
          <w:rFonts w:cs="Times New Roman"/>
          <w:spacing w:val="-2"/>
          <w:sz w:val="18"/>
          <w:szCs w:val="18"/>
          <w:lang w:val="es-ES_tradnl"/>
        </w:rPr>
        <w:t>í</w:t>
      </w:r>
      <w:r>
        <w:rPr>
          <w:spacing w:val="-2"/>
          <w:sz w:val="18"/>
          <w:szCs w:val="18"/>
          <w:lang w:val="es-ES_tradnl"/>
        </w:rPr>
        <w:t xml:space="preserve">culo 417 de la Norma Suprema </w:t>
      </w:r>
      <w:r>
        <w:rPr>
          <w:spacing w:val="-5"/>
          <w:sz w:val="18"/>
          <w:szCs w:val="18"/>
          <w:lang w:val="es-ES_tradnl"/>
        </w:rPr>
        <w:t>se</w:t>
      </w:r>
      <w:r>
        <w:rPr>
          <w:rFonts w:cs="Times New Roman"/>
          <w:spacing w:val="-5"/>
          <w:sz w:val="18"/>
          <w:szCs w:val="18"/>
          <w:lang w:val="es-ES_tradnl"/>
        </w:rPr>
        <w:t>ñ</w:t>
      </w:r>
      <w:r>
        <w:rPr>
          <w:spacing w:val="-5"/>
          <w:sz w:val="18"/>
          <w:szCs w:val="18"/>
          <w:lang w:val="es-ES_tradnl"/>
        </w:rPr>
        <w:t xml:space="preserve">ala que: </w:t>
      </w:r>
      <w:r>
        <w:rPr>
          <w:rFonts w:cs="Times New Roman"/>
          <w:spacing w:val="-5"/>
          <w:sz w:val="18"/>
          <w:szCs w:val="18"/>
          <w:lang w:val="es-ES_tradnl"/>
        </w:rPr>
        <w:t>“</w:t>
      </w:r>
      <w:r>
        <w:rPr>
          <w:spacing w:val="-5"/>
          <w:sz w:val="18"/>
          <w:szCs w:val="18"/>
          <w:lang w:val="es-ES_tradnl"/>
        </w:rPr>
        <w:t xml:space="preserve">Los tratados internacionales ratificados por </w:t>
      </w:r>
      <w:r>
        <w:rPr>
          <w:spacing w:val="-8"/>
          <w:sz w:val="18"/>
          <w:szCs w:val="18"/>
          <w:lang w:val="es-ES_tradnl"/>
        </w:rPr>
        <w:t>el Ecuador se sujetar</w:t>
      </w:r>
      <w:r>
        <w:rPr>
          <w:rFonts w:cs="Times New Roman"/>
          <w:spacing w:val="-8"/>
          <w:sz w:val="18"/>
          <w:szCs w:val="18"/>
          <w:lang w:val="es-ES_tradnl"/>
        </w:rPr>
        <w:t>á</w:t>
      </w:r>
      <w:r>
        <w:rPr>
          <w:spacing w:val="-8"/>
          <w:sz w:val="18"/>
          <w:szCs w:val="18"/>
          <w:lang w:val="es-ES_tradnl"/>
        </w:rPr>
        <w:t>n a lo establecido en la Constituci</w:t>
      </w:r>
      <w:r>
        <w:rPr>
          <w:rFonts w:cs="Times New Roman"/>
          <w:spacing w:val="-8"/>
          <w:sz w:val="18"/>
          <w:szCs w:val="18"/>
          <w:lang w:val="es-ES_tradnl"/>
        </w:rPr>
        <w:t>ó</w:t>
      </w:r>
      <w:r>
        <w:rPr>
          <w:spacing w:val="-8"/>
          <w:sz w:val="18"/>
          <w:szCs w:val="18"/>
          <w:lang w:val="es-ES_tradnl"/>
        </w:rPr>
        <w:t>n (</w:t>
      </w:r>
      <w:r>
        <w:rPr>
          <w:rFonts w:cs="Times New Roman"/>
          <w:spacing w:val="-8"/>
          <w:sz w:val="18"/>
          <w:szCs w:val="18"/>
          <w:lang w:val="es-ES_tradnl"/>
        </w:rPr>
        <w:t>…</w:t>
      </w:r>
      <w:r>
        <w:rPr>
          <w:spacing w:val="-8"/>
          <w:sz w:val="18"/>
          <w:szCs w:val="18"/>
          <w:lang w:val="es-ES_tradnl"/>
        </w:rPr>
        <w:t>)</w:t>
      </w:r>
      <w:r>
        <w:rPr>
          <w:rFonts w:cs="Times New Roman"/>
          <w:spacing w:val="-8"/>
          <w:sz w:val="18"/>
          <w:szCs w:val="18"/>
          <w:lang w:val="es-ES_tradnl"/>
        </w:rPr>
        <w:t>”</w:t>
      </w:r>
      <w:r>
        <w:rPr>
          <w:spacing w:val="-8"/>
          <w:sz w:val="18"/>
          <w:szCs w:val="18"/>
          <w:lang w:val="es-ES_tradnl"/>
        </w:rPr>
        <w:t>; por lo que, en tal sentido, es necesario la intervenci</w:t>
      </w:r>
      <w:r>
        <w:rPr>
          <w:rFonts w:cs="Times New Roman"/>
          <w:spacing w:val="-8"/>
          <w:sz w:val="18"/>
          <w:szCs w:val="18"/>
          <w:lang w:val="es-ES_tradnl"/>
        </w:rPr>
        <w:t>ó</w:t>
      </w:r>
      <w:r>
        <w:rPr>
          <w:spacing w:val="-8"/>
          <w:sz w:val="18"/>
          <w:szCs w:val="18"/>
          <w:lang w:val="es-ES_tradnl"/>
        </w:rPr>
        <w:t xml:space="preserve">n </w:t>
      </w:r>
      <w:r>
        <w:rPr>
          <w:spacing w:val="-7"/>
          <w:sz w:val="18"/>
          <w:szCs w:val="18"/>
          <w:lang w:val="es-ES_tradnl"/>
        </w:rPr>
        <w:t xml:space="preserve">de la Corte con la finalidad de efectuar el correspondiente </w:t>
      </w:r>
      <w:r>
        <w:rPr>
          <w:sz w:val="18"/>
          <w:szCs w:val="18"/>
          <w:lang w:val="es-ES_tradnl"/>
        </w:rPr>
        <w:t>control abstracto de constitucionalidad.</w:t>
      </w:r>
    </w:p>
    <w:p w14:paraId="4F67A415" w14:textId="77777777" w:rsidR="00591D54" w:rsidRDefault="00591D54">
      <w:pPr>
        <w:shd w:val="clear" w:color="auto" w:fill="FFFFFF"/>
        <w:spacing w:before="197" w:line="216" w:lineRule="exact"/>
        <w:ind w:right="5"/>
        <w:jc w:val="both"/>
      </w:pPr>
      <w:r>
        <w:rPr>
          <w:spacing w:val="-6"/>
          <w:sz w:val="18"/>
          <w:szCs w:val="18"/>
          <w:lang w:val="es-ES_tradnl"/>
        </w:rPr>
        <w:t>As</w:t>
      </w:r>
      <w:r>
        <w:rPr>
          <w:rFonts w:cs="Times New Roman"/>
          <w:spacing w:val="-6"/>
          <w:sz w:val="18"/>
          <w:szCs w:val="18"/>
          <w:lang w:val="es-ES_tradnl"/>
        </w:rPr>
        <w:t>í</w:t>
      </w:r>
      <w:r>
        <w:rPr>
          <w:spacing w:val="-6"/>
          <w:sz w:val="18"/>
          <w:szCs w:val="18"/>
          <w:lang w:val="es-ES_tradnl"/>
        </w:rPr>
        <w:t>, el art</w:t>
      </w:r>
      <w:r>
        <w:rPr>
          <w:rFonts w:cs="Times New Roman"/>
          <w:spacing w:val="-6"/>
          <w:sz w:val="18"/>
          <w:szCs w:val="18"/>
          <w:lang w:val="es-ES_tradnl"/>
        </w:rPr>
        <w:t>í</w:t>
      </w:r>
      <w:r>
        <w:rPr>
          <w:spacing w:val="-6"/>
          <w:sz w:val="18"/>
          <w:szCs w:val="18"/>
          <w:lang w:val="es-ES_tradnl"/>
        </w:rPr>
        <w:t>culo 107 de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as Jurisdiccionales y Control Constitucional se</w:t>
      </w:r>
      <w:r>
        <w:rPr>
          <w:rFonts w:cs="Times New Roman"/>
          <w:spacing w:val="-6"/>
          <w:sz w:val="18"/>
          <w:szCs w:val="18"/>
          <w:lang w:val="es-ES_tradnl"/>
        </w:rPr>
        <w:t>ñ</w:t>
      </w:r>
      <w:r>
        <w:rPr>
          <w:spacing w:val="-6"/>
          <w:sz w:val="18"/>
          <w:szCs w:val="18"/>
          <w:lang w:val="es-ES_tradnl"/>
        </w:rPr>
        <w:t>ala respecto del control constitucional de los tratados internacionales, que la Corte Constitucional intervendr</w:t>
      </w:r>
      <w:r>
        <w:rPr>
          <w:rFonts w:cs="Times New Roman"/>
          <w:spacing w:val="-6"/>
          <w:sz w:val="18"/>
          <w:szCs w:val="18"/>
          <w:lang w:val="es-ES_tradnl"/>
        </w:rPr>
        <w:t>á</w:t>
      </w:r>
      <w:r>
        <w:rPr>
          <w:spacing w:val="-6"/>
          <w:sz w:val="18"/>
          <w:szCs w:val="18"/>
          <w:lang w:val="es-ES_tradnl"/>
        </w:rPr>
        <w:t xml:space="preserve"> a trav</w:t>
      </w:r>
      <w:r>
        <w:rPr>
          <w:rFonts w:cs="Times New Roman"/>
          <w:spacing w:val="-6"/>
          <w:sz w:val="18"/>
          <w:szCs w:val="18"/>
          <w:lang w:val="es-ES_tradnl"/>
        </w:rPr>
        <w:t>é</w:t>
      </w:r>
      <w:r>
        <w:rPr>
          <w:spacing w:val="-6"/>
          <w:sz w:val="18"/>
          <w:szCs w:val="18"/>
          <w:lang w:val="es-ES_tradnl"/>
        </w:rPr>
        <w:t xml:space="preserve">s de los </w:t>
      </w:r>
      <w:r>
        <w:rPr>
          <w:spacing w:val="-9"/>
          <w:sz w:val="18"/>
          <w:szCs w:val="18"/>
          <w:lang w:val="es-ES_tradnl"/>
        </w:rPr>
        <w:t xml:space="preserve">siguientes mecanismos: a) Dictamen sobre la necesidad de </w:t>
      </w:r>
      <w:r>
        <w:rPr>
          <w:spacing w:val="-7"/>
          <w:sz w:val="18"/>
          <w:szCs w:val="18"/>
          <w:lang w:val="es-ES_tradnl"/>
        </w:rPr>
        <w:t>aprobaci</w:t>
      </w:r>
      <w:r>
        <w:rPr>
          <w:rFonts w:cs="Times New Roman"/>
          <w:spacing w:val="-7"/>
          <w:sz w:val="18"/>
          <w:szCs w:val="18"/>
          <w:lang w:val="es-ES_tradnl"/>
        </w:rPr>
        <w:t>ó</w:t>
      </w:r>
      <w:r>
        <w:rPr>
          <w:spacing w:val="-7"/>
          <w:sz w:val="18"/>
          <w:szCs w:val="18"/>
          <w:lang w:val="es-ES_tradnl"/>
        </w:rPr>
        <w:t>n legislativa; b) Control constitucional previo a la aprobaci</w:t>
      </w:r>
      <w:r>
        <w:rPr>
          <w:rFonts w:cs="Times New Roman"/>
          <w:spacing w:val="-7"/>
          <w:sz w:val="18"/>
          <w:szCs w:val="18"/>
          <w:lang w:val="es-ES_tradnl"/>
        </w:rPr>
        <w:t>ó</w:t>
      </w:r>
      <w:r>
        <w:rPr>
          <w:spacing w:val="-7"/>
          <w:sz w:val="18"/>
          <w:szCs w:val="18"/>
          <w:lang w:val="es-ES_tradnl"/>
        </w:rPr>
        <w:t>n legislativa y, c) Control sobre las resoluciones mediante las que se imparte la aprobaci</w:t>
      </w:r>
      <w:r>
        <w:rPr>
          <w:rFonts w:cs="Times New Roman"/>
          <w:spacing w:val="-7"/>
          <w:sz w:val="18"/>
          <w:szCs w:val="18"/>
          <w:lang w:val="es-ES_tradnl"/>
        </w:rPr>
        <w:t>ó</w:t>
      </w:r>
      <w:r>
        <w:rPr>
          <w:spacing w:val="-7"/>
          <w:sz w:val="18"/>
          <w:szCs w:val="18"/>
          <w:lang w:val="es-ES_tradnl"/>
        </w:rPr>
        <w:t>n legislativa.</w:t>
      </w:r>
    </w:p>
    <w:p w14:paraId="4F67A416" w14:textId="77777777" w:rsidR="00591D54" w:rsidRDefault="00591D54">
      <w:pPr>
        <w:shd w:val="clear" w:color="auto" w:fill="FFFFFF"/>
        <w:spacing w:before="192" w:line="216" w:lineRule="exact"/>
        <w:ind w:right="5"/>
        <w:jc w:val="both"/>
      </w:pPr>
      <w:r>
        <w:rPr>
          <w:spacing w:val="-2"/>
          <w:sz w:val="18"/>
          <w:szCs w:val="18"/>
          <w:lang w:val="es-ES_tradnl"/>
        </w:rPr>
        <w:t>Nuestro ordenamiento jur</w:t>
      </w:r>
      <w:r>
        <w:rPr>
          <w:rFonts w:cs="Times New Roman"/>
          <w:spacing w:val="-2"/>
          <w:sz w:val="18"/>
          <w:szCs w:val="18"/>
          <w:lang w:val="es-ES_tradnl"/>
        </w:rPr>
        <w:t>í</w:t>
      </w:r>
      <w:r>
        <w:rPr>
          <w:spacing w:val="-2"/>
          <w:sz w:val="18"/>
          <w:szCs w:val="18"/>
          <w:lang w:val="es-ES_tradnl"/>
        </w:rPr>
        <w:t xml:space="preserve">dico cuya principal norma es </w:t>
      </w:r>
      <w:r>
        <w:rPr>
          <w:spacing w:val="-5"/>
          <w:sz w:val="18"/>
          <w:szCs w:val="18"/>
          <w:lang w:val="es-ES_tradnl"/>
        </w:rPr>
        <w:t>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 xml:space="preserve">blica, consagra el principio de </w:t>
      </w:r>
      <w:r>
        <w:rPr>
          <w:spacing w:val="-7"/>
          <w:sz w:val="18"/>
          <w:szCs w:val="18"/>
          <w:lang w:val="es-ES_tradnl"/>
        </w:rPr>
        <w:t>supremac</w:t>
      </w:r>
      <w:r>
        <w:rPr>
          <w:rFonts w:cs="Times New Roman"/>
          <w:spacing w:val="-7"/>
          <w:sz w:val="18"/>
          <w:szCs w:val="18"/>
          <w:lang w:val="es-ES_tradnl"/>
        </w:rPr>
        <w:t>í</w:t>
      </w:r>
      <w:r>
        <w:rPr>
          <w:spacing w:val="-7"/>
          <w:sz w:val="18"/>
          <w:szCs w:val="18"/>
          <w:lang w:val="es-ES_tradnl"/>
        </w:rPr>
        <w:t>a normativa de la Constituci</w:t>
      </w:r>
      <w:r>
        <w:rPr>
          <w:rFonts w:cs="Times New Roman"/>
          <w:spacing w:val="-7"/>
          <w:sz w:val="18"/>
          <w:szCs w:val="18"/>
          <w:lang w:val="es-ES_tradnl"/>
        </w:rPr>
        <w:t>ó</w:t>
      </w:r>
      <w:r>
        <w:rPr>
          <w:spacing w:val="-7"/>
          <w:sz w:val="18"/>
          <w:szCs w:val="18"/>
          <w:lang w:val="es-ES_tradnl"/>
        </w:rPr>
        <w:t xml:space="preserve">n sobre todas las </w:t>
      </w:r>
      <w:r>
        <w:rPr>
          <w:spacing w:val="-4"/>
          <w:sz w:val="18"/>
          <w:szCs w:val="18"/>
          <w:lang w:val="es-ES_tradnl"/>
        </w:rPr>
        <w:t>normas que integran dicho orden jur</w:t>
      </w:r>
      <w:r>
        <w:rPr>
          <w:rFonts w:cs="Times New Roman"/>
          <w:spacing w:val="-4"/>
          <w:sz w:val="18"/>
          <w:szCs w:val="18"/>
          <w:lang w:val="es-ES_tradnl"/>
        </w:rPr>
        <w:t>í</w:t>
      </w:r>
      <w:r>
        <w:rPr>
          <w:spacing w:val="-4"/>
          <w:sz w:val="18"/>
          <w:szCs w:val="18"/>
          <w:lang w:val="es-ES_tradnl"/>
        </w:rPr>
        <w:t xml:space="preserve">dico, incluyendo </w:t>
      </w:r>
      <w:r>
        <w:rPr>
          <w:spacing w:val="-6"/>
          <w:sz w:val="18"/>
          <w:szCs w:val="18"/>
          <w:lang w:val="es-ES_tradnl"/>
        </w:rPr>
        <w:t xml:space="preserve">aquellas que se integran a este por un acto normativo </w:t>
      </w:r>
      <w:r>
        <w:rPr>
          <w:spacing w:val="-5"/>
          <w:sz w:val="18"/>
          <w:szCs w:val="18"/>
          <w:lang w:val="es-ES_tradnl"/>
        </w:rPr>
        <w:t xml:space="preserve">internacional, de tal suerte que el control constitucional </w:t>
      </w:r>
      <w:r>
        <w:rPr>
          <w:spacing w:val="-2"/>
          <w:sz w:val="18"/>
          <w:szCs w:val="18"/>
          <w:lang w:val="es-ES_tradnl"/>
        </w:rPr>
        <w:t xml:space="preserve">realizado por esta Corte se hace extensivo hacia la </w:t>
      </w:r>
      <w:r>
        <w:rPr>
          <w:spacing w:val="-3"/>
          <w:sz w:val="18"/>
          <w:szCs w:val="18"/>
          <w:lang w:val="es-ES_tradnl"/>
        </w:rPr>
        <w:t>necesaria revisi</w:t>
      </w:r>
      <w:r>
        <w:rPr>
          <w:rFonts w:cs="Times New Roman"/>
          <w:spacing w:val="-3"/>
          <w:sz w:val="18"/>
          <w:szCs w:val="18"/>
          <w:lang w:val="es-ES_tradnl"/>
        </w:rPr>
        <w:t>ó</w:t>
      </w:r>
      <w:r>
        <w:rPr>
          <w:spacing w:val="-3"/>
          <w:sz w:val="18"/>
          <w:szCs w:val="18"/>
          <w:lang w:val="es-ES_tradnl"/>
        </w:rPr>
        <w:t xml:space="preserve">n de las normas convencionales de </w:t>
      </w:r>
      <w:r>
        <w:rPr>
          <w:spacing w:val="-7"/>
          <w:sz w:val="18"/>
          <w:szCs w:val="18"/>
          <w:lang w:val="es-ES_tradnl"/>
        </w:rPr>
        <w:t xml:space="preserve">derecho internacional que se pretende, formen parte del </w:t>
      </w:r>
      <w:r>
        <w:rPr>
          <w:spacing w:val="-8"/>
          <w:sz w:val="18"/>
          <w:szCs w:val="18"/>
          <w:lang w:val="es-ES_tradnl"/>
        </w:rPr>
        <w:t xml:space="preserve">orden normativo, en el sentido de que las mismas, previo a </w:t>
      </w:r>
      <w:r>
        <w:rPr>
          <w:spacing w:val="-7"/>
          <w:sz w:val="18"/>
          <w:szCs w:val="18"/>
          <w:lang w:val="es-ES_tradnl"/>
        </w:rPr>
        <w:t>su integraci</w:t>
      </w:r>
      <w:r>
        <w:rPr>
          <w:rFonts w:cs="Times New Roman"/>
          <w:spacing w:val="-7"/>
          <w:sz w:val="18"/>
          <w:szCs w:val="18"/>
          <w:lang w:val="es-ES_tradnl"/>
        </w:rPr>
        <w:t>ó</w:t>
      </w:r>
      <w:r>
        <w:rPr>
          <w:spacing w:val="-7"/>
          <w:sz w:val="18"/>
          <w:szCs w:val="18"/>
          <w:lang w:val="es-ES_tradnl"/>
        </w:rPr>
        <w:t>n, deben guardar armon</w:t>
      </w:r>
      <w:r>
        <w:rPr>
          <w:rFonts w:cs="Times New Roman"/>
          <w:spacing w:val="-7"/>
          <w:sz w:val="18"/>
          <w:szCs w:val="18"/>
          <w:lang w:val="es-ES_tradnl"/>
        </w:rPr>
        <w:t>í</w:t>
      </w:r>
      <w:r>
        <w:rPr>
          <w:spacing w:val="-7"/>
          <w:sz w:val="18"/>
          <w:szCs w:val="18"/>
          <w:lang w:val="es-ES_tradnl"/>
        </w:rPr>
        <w:t xml:space="preserve">a y conformidad con </w:t>
      </w:r>
      <w:r>
        <w:rPr>
          <w:spacing w:val="-8"/>
          <w:sz w:val="18"/>
          <w:szCs w:val="18"/>
          <w:lang w:val="es-ES_tradnl"/>
        </w:rPr>
        <w:t xml:space="preserve">las normas constitucionales; es decir, sujetarse a esta, sin </w:t>
      </w:r>
      <w:r>
        <w:rPr>
          <w:spacing w:val="-7"/>
          <w:sz w:val="18"/>
          <w:szCs w:val="18"/>
          <w:lang w:val="es-ES_tradnl"/>
        </w:rPr>
        <w:t>perjuicio de la aplicaci</w:t>
      </w:r>
      <w:r>
        <w:rPr>
          <w:rFonts w:cs="Times New Roman"/>
          <w:spacing w:val="-7"/>
          <w:sz w:val="18"/>
          <w:szCs w:val="18"/>
          <w:lang w:val="es-ES_tradnl"/>
        </w:rPr>
        <w:t>ó</w:t>
      </w:r>
      <w:r>
        <w:rPr>
          <w:spacing w:val="-7"/>
          <w:sz w:val="18"/>
          <w:szCs w:val="18"/>
          <w:lang w:val="es-ES_tradnl"/>
        </w:rPr>
        <w:t>n de los principios pro ser humano, de no restricci</w:t>
      </w:r>
      <w:r>
        <w:rPr>
          <w:rFonts w:cs="Times New Roman"/>
          <w:spacing w:val="-7"/>
          <w:sz w:val="18"/>
          <w:szCs w:val="18"/>
          <w:lang w:val="es-ES_tradnl"/>
        </w:rPr>
        <w:t>ó</w:t>
      </w:r>
      <w:r>
        <w:rPr>
          <w:spacing w:val="-7"/>
          <w:sz w:val="18"/>
          <w:szCs w:val="18"/>
          <w:lang w:val="es-ES_tradnl"/>
        </w:rPr>
        <w:t xml:space="preserve">n de derechos, de aplicabilidad directa y de </w:t>
      </w:r>
      <w:r>
        <w:rPr>
          <w:spacing w:val="-5"/>
          <w:sz w:val="18"/>
          <w:szCs w:val="18"/>
          <w:lang w:val="es-ES_tradnl"/>
        </w:rPr>
        <w:t>cl</w:t>
      </w:r>
      <w:r>
        <w:rPr>
          <w:rFonts w:cs="Times New Roman"/>
          <w:spacing w:val="-5"/>
          <w:sz w:val="18"/>
          <w:szCs w:val="18"/>
          <w:lang w:val="es-ES_tradnl"/>
        </w:rPr>
        <w:t>á</w:t>
      </w:r>
      <w:r>
        <w:rPr>
          <w:spacing w:val="-5"/>
          <w:sz w:val="18"/>
          <w:szCs w:val="18"/>
          <w:lang w:val="es-ES_tradnl"/>
        </w:rPr>
        <w:t>usula abierta (art</w:t>
      </w:r>
      <w:r>
        <w:rPr>
          <w:rFonts w:cs="Times New Roman"/>
          <w:spacing w:val="-5"/>
          <w:sz w:val="18"/>
          <w:szCs w:val="18"/>
          <w:lang w:val="es-ES_tradnl"/>
        </w:rPr>
        <w:t>í</w:t>
      </w:r>
      <w:r>
        <w:rPr>
          <w:spacing w:val="-5"/>
          <w:sz w:val="18"/>
          <w:szCs w:val="18"/>
          <w:lang w:val="es-ES_tradnl"/>
        </w:rPr>
        <w:t>culos 417 y 424 de la Constituci</w:t>
      </w:r>
      <w:r>
        <w:rPr>
          <w:rFonts w:cs="Times New Roman"/>
          <w:spacing w:val="-5"/>
          <w:sz w:val="18"/>
          <w:szCs w:val="18"/>
          <w:lang w:val="es-ES_tradnl"/>
        </w:rPr>
        <w:t>ó</w:t>
      </w:r>
      <w:r>
        <w:rPr>
          <w:spacing w:val="-5"/>
          <w:sz w:val="18"/>
          <w:szCs w:val="18"/>
          <w:lang w:val="es-ES_tradnl"/>
        </w:rPr>
        <w:t>n). La aplicaci</w:t>
      </w:r>
      <w:r>
        <w:rPr>
          <w:rFonts w:cs="Times New Roman"/>
          <w:spacing w:val="-5"/>
          <w:sz w:val="18"/>
          <w:szCs w:val="18"/>
          <w:lang w:val="es-ES_tradnl"/>
        </w:rPr>
        <w:t>ó</w:t>
      </w:r>
      <w:r>
        <w:rPr>
          <w:spacing w:val="-5"/>
          <w:sz w:val="18"/>
          <w:szCs w:val="18"/>
          <w:lang w:val="es-ES_tradnl"/>
        </w:rPr>
        <w:t xml:space="preserve">n de estos principios, legitimada por la propia </w:t>
      </w:r>
      <w:r>
        <w:rPr>
          <w:spacing w:val="-9"/>
          <w:sz w:val="18"/>
          <w:szCs w:val="18"/>
          <w:lang w:val="es-ES_tradnl"/>
        </w:rPr>
        <w:t>Constituci</w:t>
      </w:r>
      <w:r>
        <w:rPr>
          <w:rFonts w:cs="Times New Roman"/>
          <w:spacing w:val="-9"/>
          <w:sz w:val="18"/>
          <w:szCs w:val="18"/>
          <w:lang w:val="es-ES_tradnl"/>
        </w:rPr>
        <w:t>ó</w:t>
      </w:r>
      <w:r>
        <w:rPr>
          <w:spacing w:val="-9"/>
          <w:sz w:val="18"/>
          <w:szCs w:val="18"/>
          <w:lang w:val="es-ES_tradnl"/>
        </w:rPr>
        <w:t>n como consecuencia de su supremac</w:t>
      </w:r>
      <w:r>
        <w:rPr>
          <w:rFonts w:cs="Times New Roman"/>
          <w:spacing w:val="-9"/>
          <w:sz w:val="18"/>
          <w:szCs w:val="18"/>
          <w:lang w:val="es-ES_tradnl"/>
        </w:rPr>
        <w:t>í</w:t>
      </w:r>
      <w:r>
        <w:rPr>
          <w:spacing w:val="-9"/>
          <w:sz w:val="18"/>
          <w:szCs w:val="18"/>
          <w:lang w:val="es-ES_tradnl"/>
        </w:rPr>
        <w:t>a.</w:t>
      </w:r>
    </w:p>
    <w:p w14:paraId="4F67A417" w14:textId="77777777" w:rsidR="00591D54" w:rsidRDefault="00591D54">
      <w:pPr>
        <w:shd w:val="clear" w:color="auto" w:fill="FFFFFF"/>
        <w:spacing w:before="192" w:line="216" w:lineRule="exact"/>
        <w:ind w:right="5"/>
        <w:jc w:val="both"/>
      </w:pPr>
      <w:r>
        <w:rPr>
          <w:b/>
          <w:bCs/>
          <w:spacing w:val="-10"/>
          <w:sz w:val="18"/>
          <w:szCs w:val="18"/>
          <w:lang w:val="es-ES_tradnl"/>
        </w:rPr>
        <w:t>An</w:t>
      </w:r>
      <w:r>
        <w:rPr>
          <w:rFonts w:cs="Times New Roman"/>
          <w:b/>
          <w:bCs/>
          <w:spacing w:val="-10"/>
          <w:sz w:val="18"/>
          <w:szCs w:val="18"/>
          <w:lang w:val="es-ES_tradnl"/>
        </w:rPr>
        <w:t>á</w:t>
      </w:r>
      <w:r>
        <w:rPr>
          <w:b/>
          <w:bCs/>
          <w:spacing w:val="-10"/>
          <w:sz w:val="18"/>
          <w:szCs w:val="18"/>
          <w:lang w:val="es-ES_tradnl"/>
        </w:rPr>
        <w:t xml:space="preserve">lisis de conformidad constitucional del instrumento </w:t>
      </w:r>
      <w:r>
        <w:rPr>
          <w:b/>
          <w:bCs/>
          <w:sz w:val="18"/>
          <w:szCs w:val="18"/>
          <w:lang w:val="es-ES_tradnl"/>
        </w:rPr>
        <w:t>internacional</w:t>
      </w:r>
    </w:p>
    <w:p w14:paraId="4F67A418" w14:textId="77777777" w:rsidR="00591D54" w:rsidRDefault="00591D54">
      <w:pPr>
        <w:shd w:val="clear" w:color="auto" w:fill="FFFFFF"/>
        <w:spacing w:before="192" w:line="216" w:lineRule="exact"/>
        <w:ind w:right="5"/>
        <w:jc w:val="both"/>
      </w:pPr>
      <w:r>
        <w:rPr>
          <w:spacing w:val="-6"/>
          <w:sz w:val="18"/>
          <w:szCs w:val="18"/>
          <w:lang w:val="es-ES_tradnl"/>
        </w:rPr>
        <w:t>Previo a iniciarse el proceso de ratificaci</w:t>
      </w:r>
      <w:r>
        <w:rPr>
          <w:rFonts w:cs="Times New Roman"/>
          <w:spacing w:val="-6"/>
          <w:sz w:val="18"/>
          <w:szCs w:val="18"/>
          <w:lang w:val="es-ES_tradnl"/>
        </w:rPr>
        <w:t>ó</w:t>
      </w:r>
      <w:r>
        <w:rPr>
          <w:spacing w:val="-6"/>
          <w:sz w:val="18"/>
          <w:szCs w:val="18"/>
          <w:lang w:val="es-ES_tradnl"/>
        </w:rPr>
        <w:t xml:space="preserve">n de un tratado </w:t>
      </w:r>
      <w:r>
        <w:rPr>
          <w:sz w:val="18"/>
          <w:szCs w:val="18"/>
          <w:lang w:val="es-ES_tradnl"/>
        </w:rPr>
        <w:t>internacional, conforme lo determina el art</w:t>
      </w:r>
      <w:r>
        <w:rPr>
          <w:rFonts w:cs="Times New Roman"/>
          <w:sz w:val="18"/>
          <w:szCs w:val="18"/>
          <w:lang w:val="es-ES_tradnl"/>
        </w:rPr>
        <w:t>í</w:t>
      </w:r>
      <w:r>
        <w:rPr>
          <w:sz w:val="18"/>
          <w:szCs w:val="18"/>
          <w:lang w:val="es-ES_tradnl"/>
        </w:rPr>
        <w:t xml:space="preserve">culo 71 </w:t>
      </w:r>
      <w:r>
        <w:rPr>
          <w:spacing w:val="-10"/>
          <w:sz w:val="18"/>
          <w:szCs w:val="18"/>
          <w:lang w:val="es-ES_tradnl"/>
        </w:rPr>
        <w:t>numeral 2 del Reglamento de Sustanciaci</w:t>
      </w:r>
      <w:r>
        <w:rPr>
          <w:rFonts w:cs="Times New Roman"/>
          <w:spacing w:val="-10"/>
          <w:sz w:val="18"/>
          <w:szCs w:val="18"/>
          <w:lang w:val="es-ES_tradnl"/>
        </w:rPr>
        <w:t>ó</w:t>
      </w:r>
      <w:r>
        <w:rPr>
          <w:spacing w:val="-10"/>
          <w:sz w:val="18"/>
          <w:szCs w:val="18"/>
          <w:lang w:val="es-ES_tradnl"/>
        </w:rPr>
        <w:t xml:space="preserve">n de Procesos de </w:t>
      </w:r>
      <w:r>
        <w:rPr>
          <w:spacing w:val="-7"/>
          <w:sz w:val="18"/>
          <w:szCs w:val="18"/>
          <w:lang w:val="es-ES_tradnl"/>
        </w:rPr>
        <w:t xml:space="preserve">Competencia de la Corte Constitucional, en concordancia </w:t>
      </w:r>
      <w:r>
        <w:rPr>
          <w:sz w:val="18"/>
          <w:szCs w:val="18"/>
          <w:lang w:val="es-ES_tradnl"/>
        </w:rPr>
        <w:t>con el art</w:t>
      </w:r>
      <w:r>
        <w:rPr>
          <w:rFonts w:cs="Times New Roman"/>
          <w:sz w:val="18"/>
          <w:szCs w:val="18"/>
          <w:lang w:val="es-ES_tradnl"/>
        </w:rPr>
        <w:t>í</w:t>
      </w:r>
      <w:r>
        <w:rPr>
          <w:sz w:val="18"/>
          <w:szCs w:val="18"/>
          <w:lang w:val="es-ES_tradnl"/>
        </w:rPr>
        <w:t>culo 110 numeral 1 de la Ley Org</w:t>
      </w:r>
      <w:r>
        <w:rPr>
          <w:rFonts w:cs="Times New Roman"/>
          <w:sz w:val="18"/>
          <w:szCs w:val="18"/>
          <w:lang w:val="es-ES_tradnl"/>
        </w:rPr>
        <w:t>á</w:t>
      </w:r>
      <w:r>
        <w:rPr>
          <w:sz w:val="18"/>
          <w:szCs w:val="18"/>
          <w:lang w:val="es-ES_tradnl"/>
        </w:rPr>
        <w:t>nica de</w:t>
      </w:r>
    </w:p>
    <w:p w14:paraId="4F67A419" w14:textId="77777777" w:rsidR="00591D54" w:rsidRDefault="00591D54">
      <w:pPr>
        <w:shd w:val="clear" w:color="auto" w:fill="FFFFFF"/>
        <w:spacing w:before="10" w:line="211" w:lineRule="exact"/>
        <w:jc w:val="both"/>
      </w:pPr>
      <w:r>
        <w:br w:type="column"/>
      </w:r>
      <w:r>
        <w:rPr>
          <w:spacing w:val="-6"/>
          <w:sz w:val="18"/>
          <w:szCs w:val="18"/>
          <w:lang w:val="es-ES_tradnl"/>
        </w:rPr>
        <w:t>Garant</w:t>
      </w:r>
      <w:r>
        <w:rPr>
          <w:rFonts w:cs="Times New Roman"/>
          <w:spacing w:val="-6"/>
          <w:sz w:val="18"/>
          <w:szCs w:val="18"/>
          <w:lang w:val="es-ES_tradnl"/>
        </w:rPr>
        <w:t>í</w:t>
      </w:r>
      <w:r>
        <w:rPr>
          <w:spacing w:val="-6"/>
          <w:sz w:val="18"/>
          <w:szCs w:val="18"/>
          <w:lang w:val="es-ES_tradnl"/>
        </w:rPr>
        <w:t xml:space="preserve">as Jurisdiccionales y Control Constitucional, le corresponde a la Corte Constitucional realizar un control </w:t>
      </w:r>
      <w:r>
        <w:rPr>
          <w:spacing w:val="-2"/>
          <w:sz w:val="18"/>
          <w:szCs w:val="18"/>
          <w:lang w:val="es-ES_tradnl"/>
        </w:rPr>
        <w:t>autom</w:t>
      </w:r>
      <w:r>
        <w:rPr>
          <w:rFonts w:cs="Times New Roman"/>
          <w:spacing w:val="-2"/>
          <w:sz w:val="18"/>
          <w:szCs w:val="18"/>
          <w:lang w:val="es-ES_tradnl"/>
        </w:rPr>
        <w:t>á</w:t>
      </w:r>
      <w:r>
        <w:rPr>
          <w:spacing w:val="-2"/>
          <w:sz w:val="18"/>
          <w:szCs w:val="18"/>
          <w:lang w:val="es-ES_tradnl"/>
        </w:rPr>
        <w:t xml:space="preserve">tico de constitucionalidad tanto formal como </w:t>
      </w:r>
      <w:r>
        <w:rPr>
          <w:spacing w:val="-7"/>
          <w:sz w:val="18"/>
          <w:szCs w:val="18"/>
          <w:lang w:val="es-ES_tradnl"/>
        </w:rPr>
        <w:t>material del presente instrumento internacional.</w:t>
      </w:r>
    </w:p>
    <w:p w14:paraId="4F67A41A" w14:textId="77777777" w:rsidR="00591D54" w:rsidRDefault="00591D54">
      <w:pPr>
        <w:shd w:val="clear" w:color="auto" w:fill="FFFFFF"/>
        <w:spacing w:before="187"/>
      </w:pPr>
      <w:r>
        <w:rPr>
          <w:b/>
          <w:bCs/>
          <w:spacing w:val="-5"/>
          <w:sz w:val="18"/>
          <w:szCs w:val="18"/>
          <w:lang w:val="es-ES_tradnl"/>
        </w:rPr>
        <w:t>Control formal</w:t>
      </w:r>
    </w:p>
    <w:p w14:paraId="4F67A41B" w14:textId="77777777" w:rsidR="00591D54" w:rsidRDefault="00591D54">
      <w:pPr>
        <w:shd w:val="clear" w:color="auto" w:fill="FFFFFF"/>
        <w:spacing w:before="187" w:line="211" w:lineRule="exact"/>
        <w:jc w:val="both"/>
      </w:pPr>
      <w:r>
        <w:rPr>
          <w:spacing w:val="-3"/>
          <w:sz w:val="18"/>
          <w:szCs w:val="18"/>
          <w:lang w:val="es-ES_tradnl"/>
        </w:rPr>
        <w:t>Mediante oficio N.</w:t>
      </w:r>
      <w:r>
        <w:rPr>
          <w:rFonts w:cs="Times New Roman"/>
          <w:spacing w:val="-3"/>
          <w:sz w:val="18"/>
          <w:szCs w:val="18"/>
          <w:lang w:val="es-ES_tradnl"/>
        </w:rPr>
        <w:t>º</w:t>
      </w:r>
      <w:r>
        <w:rPr>
          <w:spacing w:val="-3"/>
          <w:sz w:val="18"/>
          <w:szCs w:val="18"/>
          <w:lang w:val="es-ES_tradnl"/>
        </w:rPr>
        <w:t xml:space="preserve"> T.6934-SGJ-14-458 del 03 de julio </w:t>
      </w:r>
      <w:r>
        <w:rPr>
          <w:spacing w:val="-4"/>
          <w:sz w:val="18"/>
          <w:szCs w:val="18"/>
          <w:lang w:val="es-ES_tradnl"/>
        </w:rPr>
        <w:t xml:space="preserve">de 2014, el doctor Alexis Mera Giler en su calidad de </w:t>
      </w:r>
      <w:r>
        <w:rPr>
          <w:spacing w:val="-10"/>
          <w:sz w:val="18"/>
          <w:szCs w:val="18"/>
          <w:lang w:val="es-ES_tradnl"/>
        </w:rPr>
        <w:t>secretario general jur</w:t>
      </w:r>
      <w:r>
        <w:rPr>
          <w:rFonts w:cs="Times New Roman"/>
          <w:spacing w:val="-10"/>
          <w:sz w:val="18"/>
          <w:szCs w:val="18"/>
          <w:lang w:val="es-ES_tradnl"/>
        </w:rPr>
        <w:t>í</w:t>
      </w:r>
      <w:r>
        <w:rPr>
          <w:spacing w:val="-10"/>
          <w:sz w:val="18"/>
          <w:szCs w:val="18"/>
          <w:lang w:val="es-ES_tradnl"/>
        </w:rPr>
        <w:t>dico de la Presidencia de la Rep</w:t>
      </w:r>
      <w:r>
        <w:rPr>
          <w:rFonts w:cs="Times New Roman"/>
          <w:spacing w:val="-10"/>
          <w:sz w:val="18"/>
          <w:szCs w:val="18"/>
          <w:lang w:val="es-ES_tradnl"/>
        </w:rPr>
        <w:t>ú</w:t>
      </w:r>
      <w:r>
        <w:rPr>
          <w:spacing w:val="-10"/>
          <w:sz w:val="18"/>
          <w:szCs w:val="18"/>
          <w:lang w:val="es-ES_tradnl"/>
        </w:rPr>
        <w:t xml:space="preserve">blica, </w:t>
      </w:r>
      <w:r>
        <w:rPr>
          <w:spacing w:val="-6"/>
          <w:sz w:val="18"/>
          <w:szCs w:val="18"/>
          <w:lang w:val="es-ES_tradnl"/>
        </w:rPr>
        <w:t>solicit</w:t>
      </w:r>
      <w:r>
        <w:rPr>
          <w:rFonts w:cs="Times New Roman"/>
          <w:spacing w:val="-6"/>
          <w:sz w:val="18"/>
          <w:szCs w:val="18"/>
          <w:lang w:val="es-ES_tradnl"/>
        </w:rPr>
        <w:t>ó</w:t>
      </w:r>
      <w:r>
        <w:rPr>
          <w:spacing w:val="-6"/>
          <w:sz w:val="18"/>
          <w:szCs w:val="18"/>
          <w:lang w:val="es-ES_tradnl"/>
        </w:rPr>
        <w:t xml:space="preserve"> a esta Corte el pronunciamiento respectivo de </w:t>
      </w:r>
      <w:r>
        <w:rPr>
          <w:spacing w:val="-4"/>
          <w:sz w:val="18"/>
          <w:szCs w:val="18"/>
          <w:lang w:val="es-ES_tradnl"/>
        </w:rPr>
        <w:t>constitucionalidad, previo a la ratificaci</w:t>
      </w:r>
      <w:r>
        <w:rPr>
          <w:rFonts w:cs="Times New Roman"/>
          <w:spacing w:val="-4"/>
          <w:sz w:val="18"/>
          <w:szCs w:val="18"/>
          <w:lang w:val="es-ES_tradnl"/>
        </w:rPr>
        <w:t>ó</w:t>
      </w:r>
      <w:r>
        <w:rPr>
          <w:spacing w:val="-4"/>
          <w:sz w:val="18"/>
          <w:szCs w:val="18"/>
          <w:lang w:val="es-ES_tradnl"/>
        </w:rPr>
        <w:t xml:space="preserve">n del </w:t>
      </w:r>
      <w:r>
        <w:rPr>
          <w:rFonts w:cs="Times New Roman"/>
          <w:spacing w:val="-4"/>
          <w:sz w:val="18"/>
          <w:szCs w:val="18"/>
          <w:lang w:val="es-ES_tradnl"/>
        </w:rPr>
        <w:t>“</w:t>
      </w:r>
      <w:r>
        <w:rPr>
          <w:spacing w:val="-4"/>
          <w:sz w:val="18"/>
          <w:szCs w:val="18"/>
          <w:lang w:val="es-ES_tradnl"/>
        </w:rPr>
        <w:t xml:space="preserve">Convenio </w:t>
      </w:r>
      <w:r>
        <w:rPr>
          <w:spacing w:val="-7"/>
          <w:sz w:val="18"/>
          <w:szCs w:val="18"/>
          <w:lang w:val="es-ES_tradnl"/>
        </w:rPr>
        <w:t>de Servicios A</w:t>
      </w:r>
      <w:r>
        <w:rPr>
          <w:rFonts w:cs="Times New Roman"/>
          <w:spacing w:val="-7"/>
          <w:sz w:val="18"/>
          <w:szCs w:val="18"/>
          <w:lang w:val="es-ES_tradnl"/>
        </w:rPr>
        <w:t>é</w:t>
      </w:r>
      <w:r>
        <w:rPr>
          <w:spacing w:val="-7"/>
          <w:sz w:val="18"/>
          <w:szCs w:val="18"/>
          <w:lang w:val="es-ES_tradnl"/>
        </w:rPr>
        <w:t>reos entre el Gobierno de la Rep</w:t>
      </w:r>
      <w:r>
        <w:rPr>
          <w:rFonts w:cs="Times New Roman"/>
          <w:spacing w:val="-7"/>
          <w:sz w:val="18"/>
          <w:szCs w:val="18"/>
          <w:lang w:val="es-ES_tradnl"/>
        </w:rPr>
        <w:t>ú</w:t>
      </w:r>
      <w:r>
        <w:rPr>
          <w:spacing w:val="-7"/>
          <w:sz w:val="18"/>
          <w:szCs w:val="18"/>
          <w:lang w:val="es-ES_tradnl"/>
        </w:rPr>
        <w:t xml:space="preserve">blica del </w:t>
      </w:r>
      <w:r>
        <w:rPr>
          <w:spacing w:val="-8"/>
          <w:sz w:val="18"/>
          <w:szCs w:val="18"/>
          <w:lang w:val="es-ES_tradnl"/>
        </w:rPr>
        <w:t>Ecuador y el Gobierno de la Rep</w:t>
      </w:r>
      <w:r>
        <w:rPr>
          <w:rFonts w:cs="Times New Roman"/>
          <w:spacing w:val="-8"/>
          <w:sz w:val="18"/>
          <w:szCs w:val="18"/>
          <w:lang w:val="es-ES_tradnl"/>
        </w:rPr>
        <w:t>ú</w:t>
      </w:r>
      <w:r>
        <w:rPr>
          <w:spacing w:val="-8"/>
          <w:sz w:val="18"/>
          <w:szCs w:val="18"/>
          <w:lang w:val="es-ES_tradnl"/>
        </w:rPr>
        <w:t>blica Popular de China</w:t>
      </w:r>
      <w:r>
        <w:rPr>
          <w:rFonts w:cs="Times New Roman"/>
          <w:spacing w:val="-8"/>
          <w:sz w:val="18"/>
          <w:szCs w:val="18"/>
          <w:lang w:val="es-ES_tradnl"/>
        </w:rPr>
        <w:t>”</w:t>
      </w:r>
      <w:r>
        <w:rPr>
          <w:spacing w:val="-8"/>
          <w:sz w:val="18"/>
          <w:szCs w:val="18"/>
          <w:lang w:val="es-ES_tradnl"/>
        </w:rPr>
        <w:t>.</w:t>
      </w:r>
    </w:p>
    <w:p w14:paraId="4F67A41C" w14:textId="77777777" w:rsidR="00591D54" w:rsidRDefault="00591D54">
      <w:pPr>
        <w:shd w:val="clear" w:color="auto" w:fill="FFFFFF"/>
        <w:spacing w:before="192" w:line="211" w:lineRule="exact"/>
        <w:jc w:val="both"/>
      </w:pPr>
      <w:r>
        <w:rPr>
          <w:spacing w:val="-2"/>
          <w:sz w:val="18"/>
          <w:szCs w:val="18"/>
          <w:lang w:val="es-ES_tradnl"/>
        </w:rPr>
        <w:t>El instrumento internacional de servicios a</w:t>
      </w:r>
      <w:r>
        <w:rPr>
          <w:rFonts w:cs="Times New Roman"/>
          <w:spacing w:val="-2"/>
          <w:sz w:val="18"/>
          <w:szCs w:val="18"/>
          <w:lang w:val="es-ES_tradnl"/>
        </w:rPr>
        <w:t>é</w:t>
      </w:r>
      <w:r>
        <w:rPr>
          <w:spacing w:val="-2"/>
          <w:sz w:val="18"/>
          <w:szCs w:val="18"/>
          <w:lang w:val="es-ES_tradnl"/>
        </w:rPr>
        <w:t xml:space="preserve">reos fue </w:t>
      </w:r>
      <w:r>
        <w:rPr>
          <w:spacing w:val="-8"/>
          <w:sz w:val="18"/>
          <w:szCs w:val="18"/>
          <w:lang w:val="es-ES_tradnl"/>
        </w:rPr>
        <w:t>suscrito por el economista Ricardo Pati</w:t>
      </w:r>
      <w:r>
        <w:rPr>
          <w:rFonts w:cs="Times New Roman"/>
          <w:spacing w:val="-8"/>
          <w:sz w:val="18"/>
          <w:szCs w:val="18"/>
          <w:lang w:val="es-ES_tradnl"/>
        </w:rPr>
        <w:t>ñ</w:t>
      </w:r>
      <w:r>
        <w:rPr>
          <w:spacing w:val="-8"/>
          <w:sz w:val="18"/>
          <w:szCs w:val="18"/>
          <w:lang w:val="es-ES_tradnl"/>
        </w:rPr>
        <w:t xml:space="preserve">o Aroca en calidad </w:t>
      </w:r>
      <w:r>
        <w:rPr>
          <w:spacing w:val="-6"/>
          <w:sz w:val="18"/>
          <w:szCs w:val="18"/>
          <w:lang w:val="es-ES_tradnl"/>
        </w:rPr>
        <w:t xml:space="preserve">de ministro de Relaciones Exteriores y Movilidad Humana </w:t>
      </w:r>
      <w:r>
        <w:rPr>
          <w:spacing w:val="-9"/>
          <w:sz w:val="18"/>
          <w:szCs w:val="18"/>
          <w:lang w:val="es-ES_tradnl"/>
        </w:rPr>
        <w:t>y por el representante del Gobierno de la Rep</w:t>
      </w:r>
      <w:r>
        <w:rPr>
          <w:rFonts w:cs="Times New Roman"/>
          <w:spacing w:val="-9"/>
          <w:sz w:val="18"/>
          <w:szCs w:val="18"/>
          <w:lang w:val="es-ES_tradnl"/>
        </w:rPr>
        <w:t>ú</w:t>
      </w:r>
      <w:r>
        <w:rPr>
          <w:spacing w:val="-9"/>
          <w:sz w:val="18"/>
          <w:szCs w:val="18"/>
          <w:lang w:val="es-ES_tradnl"/>
        </w:rPr>
        <w:t xml:space="preserve">blica Popular </w:t>
      </w:r>
      <w:r>
        <w:rPr>
          <w:spacing w:val="-8"/>
          <w:sz w:val="18"/>
          <w:szCs w:val="18"/>
          <w:lang w:val="es-ES_tradnl"/>
        </w:rPr>
        <w:t xml:space="preserve">de China, en pleno uso de las facultades que se les han </w:t>
      </w:r>
      <w:r>
        <w:rPr>
          <w:spacing w:val="-6"/>
          <w:sz w:val="18"/>
          <w:szCs w:val="18"/>
          <w:lang w:val="es-ES_tradnl"/>
        </w:rPr>
        <w:t xml:space="preserve">asignado. Por lo tanto, el mismo cumple los requisitos </w:t>
      </w:r>
      <w:r>
        <w:rPr>
          <w:sz w:val="18"/>
          <w:szCs w:val="18"/>
          <w:lang w:val="es-ES_tradnl"/>
        </w:rPr>
        <w:t>formales para ser suscrito.</w:t>
      </w:r>
    </w:p>
    <w:p w14:paraId="4F67A41D" w14:textId="77777777" w:rsidR="00591D54" w:rsidRDefault="00591D54">
      <w:pPr>
        <w:shd w:val="clear" w:color="auto" w:fill="FFFFFF"/>
        <w:spacing w:before="192" w:line="211" w:lineRule="exact"/>
        <w:jc w:val="both"/>
      </w:pPr>
      <w:r>
        <w:rPr>
          <w:spacing w:val="-3"/>
          <w:sz w:val="18"/>
          <w:szCs w:val="18"/>
          <w:lang w:val="es-ES_tradnl"/>
        </w:rPr>
        <w:t xml:space="preserve">El contenido del instrumento internacional, objeto de </w:t>
      </w:r>
      <w:r>
        <w:rPr>
          <w:sz w:val="18"/>
          <w:szCs w:val="18"/>
          <w:lang w:val="es-ES_tradnl"/>
        </w:rPr>
        <w:t xml:space="preserve">control previo, determina un compromiso entre las </w:t>
      </w:r>
      <w:r>
        <w:rPr>
          <w:spacing w:val="-3"/>
          <w:sz w:val="18"/>
          <w:szCs w:val="18"/>
          <w:lang w:val="es-ES_tradnl"/>
        </w:rPr>
        <w:t>partes suscriptoras para el establecimiento y operaci</w:t>
      </w:r>
      <w:r>
        <w:rPr>
          <w:rFonts w:cs="Times New Roman"/>
          <w:spacing w:val="-3"/>
          <w:sz w:val="18"/>
          <w:szCs w:val="18"/>
          <w:lang w:val="es-ES_tradnl"/>
        </w:rPr>
        <w:t>ó</w:t>
      </w:r>
      <w:r>
        <w:rPr>
          <w:spacing w:val="-3"/>
          <w:sz w:val="18"/>
          <w:szCs w:val="18"/>
          <w:lang w:val="es-ES_tradnl"/>
        </w:rPr>
        <w:t xml:space="preserve">n </w:t>
      </w:r>
      <w:r>
        <w:rPr>
          <w:spacing w:val="-8"/>
          <w:sz w:val="18"/>
          <w:szCs w:val="18"/>
          <w:lang w:val="es-ES_tradnl"/>
        </w:rPr>
        <w:t>de servicios a</w:t>
      </w:r>
      <w:r>
        <w:rPr>
          <w:rFonts w:cs="Times New Roman"/>
          <w:spacing w:val="-8"/>
          <w:sz w:val="18"/>
          <w:szCs w:val="18"/>
          <w:lang w:val="es-ES_tradnl"/>
        </w:rPr>
        <w:t>é</w:t>
      </w:r>
      <w:r>
        <w:rPr>
          <w:spacing w:val="-8"/>
          <w:sz w:val="18"/>
          <w:szCs w:val="18"/>
          <w:lang w:val="es-ES_tradnl"/>
        </w:rPr>
        <w:t>reos entre y m</w:t>
      </w:r>
      <w:r>
        <w:rPr>
          <w:rFonts w:cs="Times New Roman"/>
          <w:spacing w:val="-8"/>
          <w:sz w:val="18"/>
          <w:szCs w:val="18"/>
          <w:lang w:val="es-ES_tradnl"/>
        </w:rPr>
        <w:t>á</w:t>
      </w:r>
      <w:r>
        <w:rPr>
          <w:spacing w:val="-8"/>
          <w:sz w:val="18"/>
          <w:szCs w:val="18"/>
          <w:lang w:val="es-ES_tradnl"/>
        </w:rPr>
        <w:t>s all</w:t>
      </w:r>
      <w:r>
        <w:rPr>
          <w:rFonts w:cs="Times New Roman"/>
          <w:spacing w:val="-8"/>
          <w:sz w:val="18"/>
          <w:szCs w:val="18"/>
          <w:lang w:val="es-ES_tradnl"/>
        </w:rPr>
        <w:t>á</w:t>
      </w:r>
      <w:r>
        <w:rPr>
          <w:spacing w:val="-8"/>
          <w:sz w:val="18"/>
          <w:szCs w:val="18"/>
          <w:lang w:val="es-ES_tradnl"/>
        </w:rPr>
        <w:t xml:space="preserve"> de sus respectivos </w:t>
      </w:r>
      <w:r>
        <w:rPr>
          <w:spacing w:val="-9"/>
          <w:sz w:val="18"/>
          <w:szCs w:val="18"/>
          <w:lang w:val="es-ES_tradnl"/>
        </w:rPr>
        <w:t>territorios. A partir de esta convenci</w:t>
      </w:r>
      <w:r>
        <w:rPr>
          <w:rFonts w:cs="Times New Roman"/>
          <w:spacing w:val="-9"/>
          <w:sz w:val="18"/>
          <w:szCs w:val="18"/>
          <w:lang w:val="es-ES_tradnl"/>
        </w:rPr>
        <w:t>ó</w:t>
      </w:r>
      <w:r>
        <w:rPr>
          <w:spacing w:val="-9"/>
          <w:sz w:val="18"/>
          <w:szCs w:val="18"/>
          <w:lang w:val="es-ES_tradnl"/>
        </w:rPr>
        <w:t xml:space="preserve">n se generan una serie </w:t>
      </w:r>
      <w:r>
        <w:rPr>
          <w:spacing w:val="-8"/>
          <w:sz w:val="18"/>
          <w:szCs w:val="18"/>
          <w:lang w:val="es-ES_tradnl"/>
        </w:rPr>
        <w:t>de prerrogativas para las partes respecto a la prestaci</w:t>
      </w:r>
      <w:r>
        <w:rPr>
          <w:rFonts w:cs="Times New Roman"/>
          <w:spacing w:val="-8"/>
          <w:sz w:val="18"/>
          <w:szCs w:val="18"/>
          <w:lang w:val="es-ES_tradnl"/>
        </w:rPr>
        <w:t>ó</w:t>
      </w:r>
      <w:r>
        <w:rPr>
          <w:spacing w:val="-8"/>
          <w:sz w:val="18"/>
          <w:szCs w:val="18"/>
          <w:lang w:val="es-ES_tradnl"/>
        </w:rPr>
        <w:t xml:space="preserve">n y </w:t>
      </w:r>
      <w:r>
        <w:rPr>
          <w:spacing w:val="-7"/>
          <w:sz w:val="18"/>
          <w:szCs w:val="18"/>
          <w:lang w:val="es-ES_tradnl"/>
        </w:rPr>
        <w:t>ejecuci</w:t>
      </w:r>
      <w:r>
        <w:rPr>
          <w:rFonts w:cs="Times New Roman"/>
          <w:spacing w:val="-7"/>
          <w:sz w:val="18"/>
          <w:szCs w:val="18"/>
          <w:lang w:val="es-ES_tradnl"/>
        </w:rPr>
        <w:t>ó</w:t>
      </w:r>
      <w:r>
        <w:rPr>
          <w:spacing w:val="-7"/>
          <w:sz w:val="18"/>
          <w:szCs w:val="18"/>
          <w:lang w:val="es-ES_tradnl"/>
        </w:rPr>
        <w:t>n de servicios a</w:t>
      </w:r>
      <w:r>
        <w:rPr>
          <w:rFonts w:cs="Times New Roman"/>
          <w:spacing w:val="-7"/>
          <w:sz w:val="18"/>
          <w:szCs w:val="18"/>
          <w:lang w:val="es-ES_tradnl"/>
        </w:rPr>
        <w:t>é</w:t>
      </w:r>
      <w:r>
        <w:rPr>
          <w:spacing w:val="-7"/>
          <w:sz w:val="18"/>
          <w:szCs w:val="18"/>
          <w:lang w:val="es-ES_tradnl"/>
        </w:rPr>
        <w:t xml:space="preserve">reos internacionales en las rutas </w:t>
      </w:r>
      <w:r>
        <w:rPr>
          <w:spacing w:val="-6"/>
          <w:sz w:val="18"/>
          <w:szCs w:val="18"/>
          <w:lang w:val="es-ES_tradnl"/>
        </w:rPr>
        <w:t xml:space="preserve">especificadas en el anexo del convenio, de conformidad con los requisitos y modos determinados en el propio </w:t>
      </w:r>
      <w:r>
        <w:rPr>
          <w:spacing w:val="-3"/>
          <w:sz w:val="18"/>
          <w:szCs w:val="18"/>
          <w:lang w:val="es-ES_tradnl"/>
        </w:rPr>
        <w:t>instrumento, lo cual compromete al pa</w:t>
      </w:r>
      <w:r>
        <w:rPr>
          <w:rFonts w:cs="Times New Roman"/>
          <w:spacing w:val="-3"/>
          <w:sz w:val="18"/>
          <w:szCs w:val="18"/>
          <w:lang w:val="es-ES_tradnl"/>
        </w:rPr>
        <w:t>í</w:t>
      </w:r>
      <w:r>
        <w:rPr>
          <w:spacing w:val="-3"/>
          <w:sz w:val="18"/>
          <w:szCs w:val="18"/>
          <w:lang w:val="es-ES_tradnl"/>
        </w:rPr>
        <w:t xml:space="preserve">s en un acuerdo </w:t>
      </w:r>
      <w:r>
        <w:rPr>
          <w:spacing w:val="-6"/>
          <w:sz w:val="18"/>
          <w:szCs w:val="18"/>
          <w:lang w:val="es-ES_tradnl"/>
        </w:rPr>
        <w:t>de comercio, justific</w:t>
      </w:r>
      <w:r>
        <w:rPr>
          <w:rFonts w:cs="Times New Roman"/>
          <w:spacing w:val="-6"/>
          <w:sz w:val="18"/>
          <w:szCs w:val="18"/>
          <w:lang w:val="es-ES_tradnl"/>
        </w:rPr>
        <w:t>á</w:t>
      </w:r>
      <w:r>
        <w:rPr>
          <w:spacing w:val="-6"/>
          <w:sz w:val="18"/>
          <w:szCs w:val="18"/>
          <w:lang w:val="es-ES_tradnl"/>
        </w:rPr>
        <w:t>ndose la necesidad de requerir aprobaci</w:t>
      </w:r>
      <w:r>
        <w:rPr>
          <w:rFonts w:cs="Times New Roman"/>
          <w:spacing w:val="-6"/>
          <w:sz w:val="18"/>
          <w:szCs w:val="18"/>
          <w:lang w:val="es-ES_tradnl"/>
        </w:rPr>
        <w:t>ó</w:t>
      </w:r>
      <w:r>
        <w:rPr>
          <w:spacing w:val="-6"/>
          <w:sz w:val="18"/>
          <w:szCs w:val="18"/>
          <w:lang w:val="es-ES_tradnl"/>
        </w:rPr>
        <w:t>n legislativa, conforme el art</w:t>
      </w:r>
      <w:r>
        <w:rPr>
          <w:rFonts w:cs="Times New Roman"/>
          <w:spacing w:val="-6"/>
          <w:sz w:val="18"/>
          <w:szCs w:val="18"/>
          <w:lang w:val="es-ES_tradnl"/>
        </w:rPr>
        <w:t>í</w:t>
      </w:r>
      <w:r>
        <w:rPr>
          <w:spacing w:val="-6"/>
          <w:sz w:val="18"/>
          <w:szCs w:val="18"/>
          <w:lang w:val="es-ES_tradnl"/>
        </w:rPr>
        <w:t xml:space="preserve">culo 419 numeral 6 </w:t>
      </w:r>
      <w:r>
        <w:rPr>
          <w:sz w:val="18"/>
          <w:szCs w:val="18"/>
          <w:lang w:val="es-ES_tradnl"/>
        </w:rPr>
        <w:t>de 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A41E" w14:textId="77777777" w:rsidR="00591D54" w:rsidRDefault="00591D54">
      <w:pPr>
        <w:shd w:val="clear" w:color="auto" w:fill="FFFFFF"/>
        <w:spacing w:before="192" w:line="211" w:lineRule="exact"/>
        <w:jc w:val="both"/>
      </w:pPr>
      <w:r>
        <w:rPr>
          <w:spacing w:val="-9"/>
          <w:sz w:val="18"/>
          <w:szCs w:val="18"/>
          <w:lang w:val="es-ES_tradnl"/>
        </w:rPr>
        <w:t xml:space="preserve">Consecuentemente, el presente caso se inserta dentro del </w:t>
      </w:r>
      <w:r>
        <w:rPr>
          <w:spacing w:val="-5"/>
          <w:sz w:val="18"/>
          <w:szCs w:val="18"/>
          <w:lang w:val="es-ES_tradnl"/>
        </w:rPr>
        <w:t xml:space="preserve">denominado control previo de constitucionalidad de los </w:t>
      </w:r>
      <w:r>
        <w:rPr>
          <w:spacing w:val="-4"/>
          <w:sz w:val="18"/>
          <w:szCs w:val="18"/>
          <w:lang w:val="es-ES_tradnl"/>
        </w:rPr>
        <w:t>tratados internacionales, por cuanto guarda correlaci</w:t>
      </w:r>
      <w:r>
        <w:rPr>
          <w:rFonts w:cs="Times New Roman"/>
          <w:spacing w:val="-4"/>
          <w:sz w:val="18"/>
          <w:szCs w:val="18"/>
          <w:lang w:val="es-ES_tradnl"/>
        </w:rPr>
        <w:t>ó</w:t>
      </w:r>
      <w:r>
        <w:rPr>
          <w:spacing w:val="-4"/>
          <w:sz w:val="18"/>
          <w:szCs w:val="18"/>
          <w:lang w:val="es-ES_tradnl"/>
        </w:rPr>
        <w:t xml:space="preserve">n </w:t>
      </w:r>
      <w:r>
        <w:rPr>
          <w:spacing w:val="-6"/>
          <w:sz w:val="18"/>
          <w:szCs w:val="18"/>
          <w:lang w:val="es-ES_tradnl"/>
        </w:rPr>
        <w:t>con los casos previstos, tanto en el art</w:t>
      </w:r>
      <w:r>
        <w:rPr>
          <w:rFonts w:cs="Times New Roman"/>
          <w:spacing w:val="-6"/>
          <w:sz w:val="18"/>
          <w:szCs w:val="18"/>
          <w:lang w:val="es-ES_tradnl"/>
        </w:rPr>
        <w:t>í</w:t>
      </w:r>
      <w:r>
        <w:rPr>
          <w:spacing w:val="-6"/>
          <w:sz w:val="18"/>
          <w:szCs w:val="18"/>
          <w:lang w:val="es-ES_tradnl"/>
        </w:rPr>
        <w:t xml:space="preserve">culo 419 de la </w:t>
      </w:r>
      <w:r>
        <w:rPr>
          <w:spacing w:val="-5"/>
          <w:sz w:val="18"/>
          <w:szCs w:val="18"/>
          <w:lang w:val="es-ES_tradnl"/>
        </w:rPr>
        <w:t>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blica cuanto en el art</w:t>
      </w:r>
      <w:r>
        <w:rPr>
          <w:rFonts w:cs="Times New Roman"/>
          <w:spacing w:val="-5"/>
          <w:sz w:val="18"/>
          <w:szCs w:val="18"/>
          <w:lang w:val="es-ES_tradnl"/>
        </w:rPr>
        <w:t>í</w:t>
      </w:r>
      <w:r>
        <w:rPr>
          <w:spacing w:val="-5"/>
          <w:sz w:val="18"/>
          <w:szCs w:val="18"/>
          <w:lang w:val="es-ES_tradnl"/>
        </w:rPr>
        <w:t xml:space="preserve">culo 108 de </w:t>
      </w:r>
      <w:r>
        <w:rPr>
          <w:spacing w:val="-6"/>
          <w:sz w:val="18"/>
          <w:szCs w:val="18"/>
          <w:lang w:val="es-ES_tradnl"/>
        </w:rPr>
        <w:t>la Ley Org</w:t>
      </w:r>
      <w:r>
        <w:rPr>
          <w:rFonts w:cs="Times New Roman"/>
          <w:spacing w:val="-6"/>
          <w:sz w:val="18"/>
          <w:szCs w:val="18"/>
          <w:lang w:val="es-ES_tradnl"/>
        </w:rPr>
        <w:t>á</w:t>
      </w:r>
      <w:r>
        <w:rPr>
          <w:spacing w:val="-6"/>
          <w:sz w:val="18"/>
          <w:szCs w:val="18"/>
          <w:lang w:val="es-ES_tradnl"/>
        </w:rPr>
        <w:t>nica de la Funci</w:t>
      </w:r>
      <w:r>
        <w:rPr>
          <w:rFonts w:cs="Times New Roman"/>
          <w:spacing w:val="-6"/>
          <w:sz w:val="18"/>
          <w:szCs w:val="18"/>
          <w:lang w:val="es-ES_tradnl"/>
        </w:rPr>
        <w:t>ó</w:t>
      </w:r>
      <w:r>
        <w:rPr>
          <w:spacing w:val="-6"/>
          <w:sz w:val="18"/>
          <w:szCs w:val="18"/>
          <w:lang w:val="es-ES_tradnl"/>
        </w:rPr>
        <w:t xml:space="preserve">n Legislativa, requiriendo, de </w:t>
      </w:r>
      <w:r>
        <w:rPr>
          <w:spacing w:val="-8"/>
          <w:sz w:val="18"/>
          <w:szCs w:val="18"/>
          <w:lang w:val="es-ES_tradnl"/>
        </w:rPr>
        <w:t>este modo, aprobaci</w:t>
      </w:r>
      <w:r>
        <w:rPr>
          <w:rFonts w:cs="Times New Roman"/>
          <w:spacing w:val="-8"/>
          <w:sz w:val="18"/>
          <w:szCs w:val="18"/>
          <w:lang w:val="es-ES_tradnl"/>
        </w:rPr>
        <w:t>ó</w:t>
      </w:r>
      <w:r>
        <w:rPr>
          <w:spacing w:val="-8"/>
          <w:sz w:val="18"/>
          <w:szCs w:val="18"/>
          <w:lang w:val="es-ES_tradnl"/>
        </w:rPr>
        <w:t xml:space="preserve">n legislativa en virtud de la normativa </w:t>
      </w:r>
      <w:r>
        <w:rPr>
          <w:sz w:val="18"/>
          <w:szCs w:val="18"/>
          <w:lang w:val="es-ES_tradnl"/>
        </w:rPr>
        <w:t>se</w:t>
      </w:r>
      <w:r>
        <w:rPr>
          <w:rFonts w:cs="Times New Roman"/>
          <w:sz w:val="18"/>
          <w:szCs w:val="18"/>
          <w:lang w:val="es-ES_tradnl"/>
        </w:rPr>
        <w:t>ñ</w:t>
      </w:r>
      <w:r>
        <w:rPr>
          <w:sz w:val="18"/>
          <w:szCs w:val="18"/>
          <w:lang w:val="es-ES_tradnl"/>
        </w:rPr>
        <w:t>alada.</w:t>
      </w:r>
    </w:p>
    <w:p w14:paraId="4F67A41F" w14:textId="77777777" w:rsidR="00591D54" w:rsidRDefault="00591D54">
      <w:pPr>
        <w:shd w:val="clear" w:color="auto" w:fill="FFFFFF"/>
        <w:spacing w:before="187"/>
      </w:pPr>
      <w:r>
        <w:rPr>
          <w:b/>
          <w:bCs/>
          <w:spacing w:val="-5"/>
          <w:sz w:val="18"/>
          <w:szCs w:val="18"/>
          <w:lang w:val="es-ES_tradnl"/>
        </w:rPr>
        <w:t>Control material</w:t>
      </w:r>
    </w:p>
    <w:p w14:paraId="4F67A420" w14:textId="77777777" w:rsidR="00591D54" w:rsidRDefault="00591D54">
      <w:pPr>
        <w:shd w:val="clear" w:color="auto" w:fill="FFFFFF"/>
        <w:spacing w:before="192" w:line="211" w:lineRule="exact"/>
        <w:jc w:val="both"/>
      </w:pPr>
      <w:r>
        <w:rPr>
          <w:spacing w:val="-5"/>
          <w:sz w:val="18"/>
          <w:szCs w:val="18"/>
          <w:lang w:val="es-ES_tradnl"/>
        </w:rPr>
        <w:t xml:space="preserve">Una vez que se ha determinado que el </w:t>
      </w:r>
      <w:r>
        <w:rPr>
          <w:rFonts w:cs="Times New Roman"/>
          <w:spacing w:val="-5"/>
          <w:sz w:val="18"/>
          <w:szCs w:val="18"/>
          <w:lang w:val="es-ES_tradnl"/>
        </w:rPr>
        <w:t>“</w:t>
      </w:r>
      <w:r>
        <w:rPr>
          <w:spacing w:val="-5"/>
          <w:sz w:val="18"/>
          <w:szCs w:val="18"/>
          <w:lang w:val="es-ES_tradnl"/>
        </w:rPr>
        <w:t xml:space="preserve">Convenio de </w:t>
      </w:r>
      <w:r>
        <w:rPr>
          <w:spacing w:val="-6"/>
          <w:sz w:val="18"/>
          <w:szCs w:val="18"/>
          <w:lang w:val="es-ES_tradnl"/>
        </w:rPr>
        <w:t>Servicios A</w:t>
      </w:r>
      <w:r>
        <w:rPr>
          <w:rFonts w:cs="Times New Roman"/>
          <w:spacing w:val="-6"/>
          <w:sz w:val="18"/>
          <w:szCs w:val="18"/>
          <w:lang w:val="es-ES_tradnl"/>
        </w:rPr>
        <w:t>é</w:t>
      </w:r>
      <w:r>
        <w:rPr>
          <w:spacing w:val="-6"/>
          <w:sz w:val="18"/>
          <w:szCs w:val="18"/>
          <w:lang w:val="es-ES_tradnl"/>
        </w:rPr>
        <w:t>reos entre el Gobierno de la Rep</w:t>
      </w:r>
      <w:r>
        <w:rPr>
          <w:rFonts w:cs="Times New Roman"/>
          <w:spacing w:val="-6"/>
          <w:sz w:val="18"/>
          <w:szCs w:val="18"/>
          <w:lang w:val="es-ES_tradnl"/>
        </w:rPr>
        <w:t>ú</w:t>
      </w:r>
      <w:r>
        <w:rPr>
          <w:spacing w:val="-6"/>
          <w:sz w:val="18"/>
          <w:szCs w:val="18"/>
          <w:lang w:val="es-ES_tradnl"/>
        </w:rPr>
        <w:t xml:space="preserve">blica del </w:t>
      </w:r>
      <w:r>
        <w:rPr>
          <w:spacing w:val="-7"/>
          <w:sz w:val="18"/>
          <w:szCs w:val="18"/>
          <w:lang w:val="es-ES_tradnl"/>
        </w:rPr>
        <w:t>Ecuador y el Gobierno de la Rep</w:t>
      </w:r>
      <w:r>
        <w:rPr>
          <w:rFonts w:cs="Times New Roman"/>
          <w:spacing w:val="-7"/>
          <w:sz w:val="18"/>
          <w:szCs w:val="18"/>
          <w:lang w:val="es-ES_tradnl"/>
        </w:rPr>
        <w:t>ú</w:t>
      </w:r>
      <w:r>
        <w:rPr>
          <w:spacing w:val="-7"/>
          <w:sz w:val="18"/>
          <w:szCs w:val="18"/>
          <w:lang w:val="es-ES_tradnl"/>
        </w:rPr>
        <w:t>blica Popular de China</w:t>
      </w:r>
      <w:r>
        <w:rPr>
          <w:rFonts w:cs="Times New Roman"/>
          <w:spacing w:val="-7"/>
          <w:sz w:val="18"/>
          <w:szCs w:val="18"/>
          <w:lang w:val="es-ES_tradnl"/>
        </w:rPr>
        <w:t>”</w:t>
      </w:r>
      <w:r>
        <w:rPr>
          <w:spacing w:val="-7"/>
          <w:sz w:val="18"/>
          <w:szCs w:val="18"/>
          <w:lang w:val="es-ES_tradnl"/>
        </w:rPr>
        <w:t xml:space="preserve">, </w:t>
      </w:r>
      <w:r>
        <w:rPr>
          <w:spacing w:val="-8"/>
          <w:sz w:val="18"/>
          <w:szCs w:val="18"/>
          <w:lang w:val="es-ES_tradnl"/>
        </w:rPr>
        <w:t>objeto de este an</w:t>
      </w:r>
      <w:r>
        <w:rPr>
          <w:rFonts w:cs="Times New Roman"/>
          <w:spacing w:val="-8"/>
          <w:sz w:val="18"/>
          <w:szCs w:val="18"/>
          <w:lang w:val="es-ES_tradnl"/>
        </w:rPr>
        <w:t>á</w:t>
      </w:r>
      <w:r>
        <w:rPr>
          <w:spacing w:val="-8"/>
          <w:sz w:val="18"/>
          <w:szCs w:val="18"/>
          <w:lang w:val="es-ES_tradnl"/>
        </w:rPr>
        <w:t xml:space="preserve">lisis por parte de la Corte Constitucional, </w:t>
      </w:r>
      <w:r>
        <w:rPr>
          <w:spacing w:val="-9"/>
          <w:sz w:val="18"/>
          <w:szCs w:val="18"/>
          <w:lang w:val="es-ES_tradnl"/>
        </w:rPr>
        <w:t>se encuentra dentro de los casos que requieren aprobaci</w:t>
      </w:r>
      <w:r>
        <w:rPr>
          <w:rFonts w:cs="Times New Roman"/>
          <w:spacing w:val="-9"/>
          <w:sz w:val="18"/>
          <w:szCs w:val="18"/>
          <w:lang w:val="es-ES_tradnl"/>
        </w:rPr>
        <w:t>ó</w:t>
      </w:r>
      <w:r>
        <w:rPr>
          <w:spacing w:val="-9"/>
          <w:sz w:val="18"/>
          <w:szCs w:val="18"/>
          <w:lang w:val="es-ES_tradnl"/>
        </w:rPr>
        <w:t xml:space="preserve">n </w:t>
      </w:r>
      <w:r>
        <w:rPr>
          <w:spacing w:val="-1"/>
          <w:sz w:val="18"/>
          <w:szCs w:val="18"/>
          <w:lang w:val="es-ES_tradnl"/>
        </w:rPr>
        <w:t xml:space="preserve">previa de la Asamblea Nacional; es menester realizar </w:t>
      </w:r>
      <w:r>
        <w:rPr>
          <w:spacing w:val="-3"/>
          <w:sz w:val="18"/>
          <w:szCs w:val="18"/>
          <w:lang w:val="es-ES_tradnl"/>
        </w:rPr>
        <w:t>un an</w:t>
      </w:r>
      <w:r>
        <w:rPr>
          <w:rFonts w:cs="Times New Roman"/>
          <w:spacing w:val="-3"/>
          <w:sz w:val="18"/>
          <w:szCs w:val="18"/>
          <w:lang w:val="es-ES_tradnl"/>
        </w:rPr>
        <w:t>á</w:t>
      </w:r>
      <w:r>
        <w:rPr>
          <w:spacing w:val="-3"/>
          <w:sz w:val="18"/>
          <w:szCs w:val="18"/>
          <w:lang w:val="es-ES_tradnl"/>
        </w:rPr>
        <w:t xml:space="preserve">lisis material del contenido del instrumento </w:t>
      </w:r>
      <w:r>
        <w:rPr>
          <w:sz w:val="18"/>
          <w:szCs w:val="18"/>
          <w:lang w:val="es-ES_tradnl"/>
        </w:rPr>
        <w:t>internacional.</w:t>
      </w:r>
    </w:p>
    <w:p w14:paraId="4F67A421" w14:textId="77777777" w:rsidR="00591D54" w:rsidRDefault="00591D54">
      <w:pPr>
        <w:shd w:val="clear" w:color="auto" w:fill="FFFFFF"/>
        <w:spacing w:before="192" w:line="206" w:lineRule="exact"/>
        <w:jc w:val="both"/>
      </w:pPr>
      <w:r>
        <w:rPr>
          <w:spacing w:val="-9"/>
          <w:sz w:val="18"/>
          <w:szCs w:val="18"/>
          <w:lang w:val="es-ES_tradnl"/>
        </w:rPr>
        <w:t>Para comenzar con el an</w:t>
      </w:r>
      <w:r>
        <w:rPr>
          <w:rFonts w:cs="Times New Roman"/>
          <w:spacing w:val="-9"/>
          <w:sz w:val="18"/>
          <w:szCs w:val="18"/>
          <w:lang w:val="es-ES_tradnl"/>
        </w:rPr>
        <w:t>á</w:t>
      </w:r>
      <w:r>
        <w:rPr>
          <w:spacing w:val="-9"/>
          <w:sz w:val="18"/>
          <w:szCs w:val="18"/>
          <w:lang w:val="es-ES_tradnl"/>
        </w:rPr>
        <w:t>lisis, es importante se</w:t>
      </w:r>
      <w:r>
        <w:rPr>
          <w:rFonts w:cs="Times New Roman"/>
          <w:spacing w:val="-9"/>
          <w:sz w:val="18"/>
          <w:szCs w:val="18"/>
          <w:lang w:val="es-ES_tradnl"/>
        </w:rPr>
        <w:t>ñ</w:t>
      </w:r>
      <w:r>
        <w:rPr>
          <w:spacing w:val="-9"/>
          <w:sz w:val="18"/>
          <w:szCs w:val="18"/>
          <w:lang w:val="es-ES_tradnl"/>
        </w:rPr>
        <w:t xml:space="preserve">alar que el </w:t>
      </w:r>
      <w:r>
        <w:rPr>
          <w:spacing w:val="-7"/>
          <w:sz w:val="18"/>
          <w:szCs w:val="18"/>
          <w:lang w:val="es-ES_tradnl"/>
        </w:rPr>
        <w:t>Pleno de esta Corte Constitucional mediante dictamen N.</w:t>
      </w:r>
      <w:r>
        <w:rPr>
          <w:rFonts w:cs="Times New Roman"/>
          <w:spacing w:val="-7"/>
          <w:sz w:val="18"/>
          <w:szCs w:val="18"/>
          <w:lang w:val="es-ES_tradnl"/>
        </w:rPr>
        <w:t xml:space="preserve">º </w:t>
      </w:r>
      <w:r>
        <w:rPr>
          <w:spacing w:val="-6"/>
          <w:sz w:val="18"/>
          <w:szCs w:val="18"/>
          <w:lang w:val="es-ES_tradnl"/>
        </w:rPr>
        <w:t>010-14-DTI-CC</w:t>
      </w:r>
      <w:r>
        <w:rPr>
          <w:spacing w:val="-6"/>
          <w:sz w:val="18"/>
          <w:szCs w:val="18"/>
          <w:vertAlign w:val="superscript"/>
          <w:lang w:val="es-ES_tradnl"/>
        </w:rPr>
        <w:t>1</w:t>
      </w:r>
      <w:r>
        <w:rPr>
          <w:spacing w:val="-6"/>
          <w:sz w:val="18"/>
          <w:szCs w:val="18"/>
          <w:lang w:val="es-ES_tradnl"/>
        </w:rPr>
        <w:t xml:space="preserve"> declar</w:t>
      </w:r>
      <w:r>
        <w:rPr>
          <w:rFonts w:cs="Times New Roman"/>
          <w:spacing w:val="-6"/>
          <w:sz w:val="18"/>
          <w:szCs w:val="18"/>
          <w:lang w:val="es-ES_tradnl"/>
        </w:rPr>
        <w:t>ó</w:t>
      </w:r>
      <w:r>
        <w:rPr>
          <w:spacing w:val="-6"/>
          <w:sz w:val="18"/>
          <w:szCs w:val="18"/>
          <w:lang w:val="es-ES_tradnl"/>
        </w:rPr>
        <w:t xml:space="preserve"> que el convenio suscrito entre la</w:t>
      </w:r>
    </w:p>
    <w:p w14:paraId="4F67A422" w14:textId="77777777" w:rsidR="00591D54" w:rsidRDefault="00591D54">
      <w:pPr>
        <w:shd w:val="clear" w:color="auto" w:fill="FFFFFF"/>
        <w:spacing w:before="499" w:line="178" w:lineRule="exact"/>
        <w:ind w:left="144" w:hanging="144"/>
      </w:pPr>
      <w:r>
        <w:rPr>
          <w:sz w:val="14"/>
          <w:szCs w:val="14"/>
          <w:vertAlign w:val="superscript"/>
          <w:lang w:val="es-ES_tradnl"/>
        </w:rPr>
        <w:t>1</w:t>
      </w:r>
      <w:r>
        <w:rPr>
          <w:sz w:val="14"/>
          <w:szCs w:val="14"/>
          <w:lang w:val="es-ES_tradnl"/>
        </w:rPr>
        <w:t xml:space="preserve">  Corte Constitucional del Ecuador, dictamen N.</w:t>
      </w:r>
      <w:r>
        <w:rPr>
          <w:rFonts w:cs="Times New Roman"/>
          <w:sz w:val="14"/>
          <w:szCs w:val="14"/>
          <w:lang w:val="es-ES_tradnl"/>
        </w:rPr>
        <w:t>°</w:t>
      </w:r>
      <w:r>
        <w:rPr>
          <w:sz w:val="14"/>
          <w:szCs w:val="14"/>
          <w:lang w:val="es-ES_tradnl"/>
        </w:rPr>
        <w:t xml:space="preserve"> 010-14-DTI-CC, caso N,</w:t>
      </w:r>
      <w:r>
        <w:rPr>
          <w:rFonts w:cs="Times New Roman"/>
          <w:sz w:val="14"/>
          <w:szCs w:val="14"/>
          <w:lang w:val="es-ES_tradnl"/>
        </w:rPr>
        <w:t>°</w:t>
      </w:r>
      <w:r>
        <w:rPr>
          <w:sz w:val="14"/>
          <w:szCs w:val="14"/>
          <w:lang w:val="es-ES_tradnl"/>
        </w:rPr>
        <w:t xml:space="preserve"> 0017-13-TI</w:t>
      </w:r>
    </w:p>
    <w:p w14:paraId="4F67A423" w14:textId="77777777" w:rsidR="00591D54" w:rsidRDefault="00591D54">
      <w:pPr>
        <w:shd w:val="clear" w:color="auto" w:fill="FFFFFF"/>
        <w:spacing w:before="499" w:line="178" w:lineRule="exact"/>
        <w:ind w:left="144" w:hanging="144"/>
        <w:sectPr w:rsidR="00591D54">
          <w:type w:val="continuous"/>
          <w:pgSz w:w="11909" w:h="16834"/>
          <w:pgMar w:top="1359" w:right="1309" w:bottom="360" w:left="1308" w:header="720" w:footer="720" w:gutter="0"/>
          <w:cols w:num="2" w:space="720" w:equalWidth="0">
            <w:col w:w="4305" w:space="682"/>
            <w:col w:w="4305"/>
          </w:cols>
          <w:noEndnote/>
        </w:sectPr>
      </w:pPr>
    </w:p>
    <w:p w14:paraId="4F67A424" w14:textId="77777777" w:rsidR="00591D54" w:rsidRDefault="00591D54">
      <w:pPr>
        <w:shd w:val="clear" w:color="auto" w:fill="FFFFFF"/>
        <w:tabs>
          <w:tab w:val="left" w:pos="595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- 13</w:t>
      </w:r>
    </w:p>
    <w:p w14:paraId="4F67A425" w14:textId="77777777" w:rsidR="00591D54" w:rsidRDefault="00591D54">
      <w:pPr>
        <w:shd w:val="clear" w:color="auto" w:fill="FFFFFF"/>
        <w:tabs>
          <w:tab w:val="left" w:pos="5952"/>
        </w:tabs>
        <w:spacing w:after="235"/>
        <w:ind w:left="5"/>
        <w:sectPr w:rsidR="00591D54">
          <w:pgSz w:w="11909" w:h="16834"/>
          <w:pgMar w:top="1366" w:right="1309" w:bottom="360" w:left="1308" w:header="720" w:footer="720" w:gutter="0"/>
          <w:cols w:space="60"/>
          <w:noEndnote/>
        </w:sectPr>
      </w:pPr>
    </w:p>
    <w:p w14:paraId="4F67A426" w14:textId="77777777" w:rsidR="00591D54" w:rsidRDefault="00591D54">
      <w:pPr>
        <w:shd w:val="clear" w:color="auto" w:fill="FFFFFF"/>
        <w:spacing w:line="216" w:lineRule="exact"/>
        <w:jc w:val="both"/>
      </w:pPr>
      <w:r>
        <w:rPr>
          <w:spacing w:val="-9"/>
          <w:sz w:val="18"/>
          <w:szCs w:val="18"/>
          <w:lang w:val="es-ES_tradnl"/>
        </w:rPr>
        <w:t>Rep</w:t>
      </w:r>
      <w:r>
        <w:rPr>
          <w:rFonts w:cs="Times New Roman"/>
          <w:spacing w:val="-9"/>
          <w:sz w:val="18"/>
          <w:szCs w:val="18"/>
          <w:lang w:val="es-ES_tradnl"/>
        </w:rPr>
        <w:t>ú</w:t>
      </w:r>
      <w:r>
        <w:rPr>
          <w:spacing w:val="-9"/>
          <w:sz w:val="18"/>
          <w:szCs w:val="18"/>
          <w:lang w:val="es-ES_tradnl"/>
        </w:rPr>
        <w:t xml:space="preserve">blica del Ecuador y el Estado de Qatar sobre servicios </w:t>
      </w:r>
      <w:r>
        <w:rPr>
          <w:spacing w:val="-6"/>
          <w:sz w:val="18"/>
          <w:szCs w:val="18"/>
          <w:lang w:val="es-ES_tradnl"/>
        </w:rPr>
        <w:t>a</w:t>
      </w:r>
      <w:r>
        <w:rPr>
          <w:rFonts w:cs="Times New Roman"/>
          <w:spacing w:val="-6"/>
          <w:sz w:val="18"/>
          <w:szCs w:val="18"/>
          <w:lang w:val="es-ES_tradnl"/>
        </w:rPr>
        <w:t>é</w:t>
      </w:r>
      <w:r>
        <w:rPr>
          <w:spacing w:val="-6"/>
          <w:sz w:val="18"/>
          <w:szCs w:val="18"/>
          <w:lang w:val="es-ES_tradnl"/>
        </w:rPr>
        <w:t>reos, requiere de aprobaci</w:t>
      </w:r>
      <w:r>
        <w:rPr>
          <w:rFonts w:cs="Times New Roman"/>
          <w:spacing w:val="-6"/>
          <w:sz w:val="18"/>
          <w:szCs w:val="18"/>
          <w:lang w:val="es-ES_tradnl"/>
        </w:rPr>
        <w:t>ó</w:t>
      </w:r>
      <w:r>
        <w:rPr>
          <w:spacing w:val="-6"/>
          <w:sz w:val="18"/>
          <w:szCs w:val="18"/>
          <w:lang w:val="es-ES_tradnl"/>
        </w:rPr>
        <w:t xml:space="preserve">n previa por parte de la </w:t>
      </w:r>
      <w:r>
        <w:rPr>
          <w:spacing w:val="-8"/>
          <w:sz w:val="18"/>
          <w:szCs w:val="18"/>
          <w:lang w:val="es-ES_tradnl"/>
        </w:rPr>
        <w:t>Asamblea Nacional, en raz</w:t>
      </w:r>
      <w:r>
        <w:rPr>
          <w:rFonts w:cs="Times New Roman"/>
          <w:spacing w:val="-8"/>
          <w:sz w:val="18"/>
          <w:szCs w:val="18"/>
          <w:lang w:val="es-ES_tradnl"/>
        </w:rPr>
        <w:t>ó</w:t>
      </w:r>
      <w:r>
        <w:rPr>
          <w:spacing w:val="-8"/>
          <w:sz w:val="18"/>
          <w:szCs w:val="18"/>
          <w:lang w:val="es-ES_tradnl"/>
        </w:rPr>
        <w:t>n de encontrarse contemplado en uno de los casos previstos en el art</w:t>
      </w:r>
      <w:r>
        <w:rPr>
          <w:rFonts w:cs="Times New Roman"/>
          <w:spacing w:val="-8"/>
          <w:sz w:val="18"/>
          <w:szCs w:val="18"/>
          <w:lang w:val="es-ES_tradnl"/>
        </w:rPr>
        <w:t>í</w:t>
      </w:r>
      <w:r>
        <w:rPr>
          <w:spacing w:val="-8"/>
          <w:sz w:val="18"/>
          <w:szCs w:val="18"/>
          <w:lang w:val="es-ES_tradnl"/>
        </w:rPr>
        <w:t xml:space="preserve">culo 419.6. De este modo, existen precedentes jurisprudenciales por los cuales se ha determinado la necesidad de que los convenios o tratados internacionales suscritos entre el Ecuador y otros </w:t>
      </w:r>
      <w:r>
        <w:rPr>
          <w:spacing w:val="-7"/>
          <w:sz w:val="18"/>
          <w:szCs w:val="18"/>
          <w:lang w:val="es-ES_tradnl"/>
        </w:rPr>
        <w:t>Estados, respecto a la prestaci</w:t>
      </w:r>
      <w:r>
        <w:rPr>
          <w:rFonts w:cs="Times New Roman"/>
          <w:spacing w:val="-7"/>
          <w:sz w:val="18"/>
          <w:szCs w:val="18"/>
          <w:lang w:val="es-ES_tradnl"/>
        </w:rPr>
        <w:t>ó</w:t>
      </w:r>
      <w:r>
        <w:rPr>
          <w:spacing w:val="-7"/>
          <w:sz w:val="18"/>
          <w:szCs w:val="18"/>
          <w:lang w:val="es-ES_tradnl"/>
        </w:rPr>
        <w:t>n de servicios a</w:t>
      </w:r>
      <w:r>
        <w:rPr>
          <w:rFonts w:cs="Times New Roman"/>
          <w:spacing w:val="-7"/>
          <w:sz w:val="18"/>
          <w:szCs w:val="18"/>
          <w:lang w:val="es-ES_tradnl"/>
        </w:rPr>
        <w:t>é</w:t>
      </w:r>
      <w:r>
        <w:rPr>
          <w:spacing w:val="-7"/>
          <w:sz w:val="18"/>
          <w:szCs w:val="18"/>
          <w:lang w:val="es-ES_tradnl"/>
        </w:rPr>
        <w:t xml:space="preserve">reos, </w:t>
      </w:r>
      <w:r>
        <w:rPr>
          <w:spacing w:val="-9"/>
          <w:sz w:val="18"/>
          <w:szCs w:val="18"/>
          <w:lang w:val="es-ES_tradnl"/>
        </w:rPr>
        <w:t>requieran de aprobaci</w:t>
      </w:r>
      <w:r>
        <w:rPr>
          <w:rFonts w:cs="Times New Roman"/>
          <w:spacing w:val="-9"/>
          <w:sz w:val="18"/>
          <w:szCs w:val="18"/>
          <w:lang w:val="es-ES_tradnl"/>
        </w:rPr>
        <w:t>ó</w:t>
      </w:r>
      <w:r>
        <w:rPr>
          <w:spacing w:val="-9"/>
          <w:sz w:val="18"/>
          <w:szCs w:val="18"/>
          <w:lang w:val="es-ES_tradnl"/>
        </w:rPr>
        <w:t xml:space="preserve">n por parte del </w:t>
      </w:r>
      <w:r>
        <w:rPr>
          <w:rFonts w:cs="Times New Roman"/>
          <w:spacing w:val="-9"/>
          <w:sz w:val="18"/>
          <w:szCs w:val="18"/>
          <w:lang w:val="es-ES_tradnl"/>
        </w:rPr>
        <w:t>ó</w:t>
      </w:r>
      <w:r>
        <w:rPr>
          <w:spacing w:val="-9"/>
          <w:sz w:val="18"/>
          <w:szCs w:val="18"/>
          <w:lang w:val="es-ES_tradnl"/>
        </w:rPr>
        <w:t xml:space="preserve">rgano legislativo del </w:t>
      </w:r>
      <w:r>
        <w:rPr>
          <w:sz w:val="18"/>
          <w:szCs w:val="18"/>
          <w:lang w:val="es-ES_tradnl"/>
        </w:rPr>
        <w:t>Estado.</w:t>
      </w:r>
    </w:p>
    <w:p w14:paraId="4F67A427" w14:textId="77777777" w:rsidR="00591D54" w:rsidRDefault="00591D54">
      <w:pPr>
        <w:shd w:val="clear" w:color="auto" w:fill="FFFFFF"/>
        <w:spacing w:before="192" w:line="216" w:lineRule="exact"/>
        <w:ind w:right="5"/>
        <w:jc w:val="both"/>
      </w:pPr>
      <w:r>
        <w:rPr>
          <w:spacing w:val="-6"/>
          <w:sz w:val="18"/>
          <w:szCs w:val="18"/>
          <w:lang w:val="es-ES_tradnl"/>
        </w:rPr>
        <w:t xml:space="preserve">Ahora bien, el </w:t>
      </w:r>
      <w:r>
        <w:rPr>
          <w:b/>
          <w:bCs/>
          <w:spacing w:val="-6"/>
          <w:sz w:val="18"/>
          <w:szCs w:val="18"/>
          <w:lang w:val="es-ES_tradnl"/>
        </w:rPr>
        <w:t>art</w:t>
      </w:r>
      <w:r>
        <w:rPr>
          <w:rFonts w:cs="Times New Roman"/>
          <w:b/>
          <w:bCs/>
          <w:spacing w:val="-6"/>
          <w:sz w:val="18"/>
          <w:szCs w:val="18"/>
          <w:lang w:val="es-ES_tradnl"/>
        </w:rPr>
        <w:t>í</w:t>
      </w:r>
      <w:r>
        <w:rPr>
          <w:b/>
          <w:bCs/>
          <w:spacing w:val="-6"/>
          <w:sz w:val="18"/>
          <w:szCs w:val="18"/>
          <w:lang w:val="es-ES_tradnl"/>
        </w:rPr>
        <w:t xml:space="preserve">culo 1 </w:t>
      </w:r>
      <w:r>
        <w:rPr>
          <w:spacing w:val="-6"/>
          <w:sz w:val="18"/>
          <w:szCs w:val="18"/>
          <w:lang w:val="es-ES_tradnl"/>
        </w:rPr>
        <w:t xml:space="preserve">del instrumento internacional de </w:t>
      </w:r>
      <w:r>
        <w:rPr>
          <w:spacing w:val="-7"/>
          <w:sz w:val="18"/>
          <w:szCs w:val="18"/>
          <w:lang w:val="es-ES_tradnl"/>
        </w:rPr>
        <w:t>refiere a definiciones generales de t</w:t>
      </w:r>
      <w:r>
        <w:rPr>
          <w:rFonts w:cs="Times New Roman"/>
          <w:spacing w:val="-7"/>
          <w:sz w:val="18"/>
          <w:szCs w:val="18"/>
          <w:lang w:val="es-ES_tradnl"/>
        </w:rPr>
        <w:t>é</w:t>
      </w:r>
      <w:r>
        <w:rPr>
          <w:spacing w:val="-7"/>
          <w:sz w:val="18"/>
          <w:szCs w:val="18"/>
          <w:lang w:val="es-ES_tradnl"/>
        </w:rPr>
        <w:t xml:space="preserve">rminos que constan </w:t>
      </w:r>
      <w:r>
        <w:rPr>
          <w:spacing w:val="-8"/>
          <w:sz w:val="18"/>
          <w:szCs w:val="18"/>
          <w:lang w:val="es-ES_tradnl"/>
        </w:rPr>
        <w:t>dentro de su texto; as</w:t>
      </w:r>
      <w:r>
        <w:rPr>
          <w:rFonts w:cs="Times New Roman"/>
          <w:spacing w:val="-8"/>
          <w:sz w:val="18"/>
          <w:szCs w:val="18"/>
          <w:lang w:val="es-ES_tradnl"/>
        </w:rPr>
        <w:t>í</w:t>
      </w:r>
      <w:r>
        <w:rPr>
          <w:spacing w:val="-8"/>
          <w:sz w:val="18"/>
          <w:szCs w:val="18"/>
          <w:lang w:val="es-ES_tradnl"/>
        </w:rPr>
        <w:t xml:space="preserve">, por ejemplo, se define: autoridades </w:t>
      </w:r>
      <w:r>
        <w:rPr>
          <w:spacing w:val="-9"/>
          <w:sz w:val="18"/>
          <w:szCs w:val="18"/>
          <w:lang w:val="es-ES_tradnl"/>
        </w:rPr>
        <w:t>aeron</w:t>
      </w:r>
      <w:r>
        <w:rPr>
          <w:rFonts w:cs="Times New Roman"/>
          <w:spacing w:val="-9"/>
          <w:sz w:val="18"/>
          <w:szCs w:val="18"/>
          <w:lang w:val="es-ES_tradnl"/>
        </w:rPr>
        <w:t>á</w:t>
      </w:r>
      <w:r>
        <w:rPr>
          <w:spacing w:val="-9"/>
          <w:sz w:val="18"/>
          <w:szCs w:val="18"/>
          <w:lang w:val="es-ES_tradnl"/>
        </w:rPr>
        <w:t>uticas, convenio, capacidad, convenci</w:t>
      </w:r>
      <w:r>
        <w:rPr>
          <w:rFonts w:cs="Times New Roman"/>
          <w:spacing w:val="-9"/>
          <w:sz w:val="18"/>
          <w:szCs w:val="18"/>
          <w:lang w:val="es-ES_tradnl"/>
        </w:rPr>
        <w:t>ó</w:t>
      </w:r>
      <w:r>
        <w:rPr>
          <w:spacing w:val="-9"/>
          <w:sz w:val="18"/>
          <w:szCs w:val="18"/>
          <w:lang w:val="es-ES_tradnl"/>
        </w:rPr>
        <w:t>n, l</w:t>
      </w:r>
      <w:r>
        <w:rPr>
          <w:rFonts w:cs="Times New Roman"/>
          <w:spacing w:val="-9"/>
          <w:sz w:val="18"/>
          <w:szCs w:val="18"/>
          <w:lang w:val="es-ES_tradnl"/>
        </w:rPr>
        <w:t>í</w:t>
      </w:r>
      <w:r>
        <w:rPr>
          <w:spacing w:val="-9"/>
          <w:sz w:val="18"/>
          <w:szCs w:val="18"/>
          <w:lang w:val="es-ES_tradnl"/>
        </w:rPr>
        <w:t>nea a</w:t>
      </w:r>
      <w:r>
        <w:rPr>
          <w:rFonts w:cs="Times New Roman"/>
          <w:spacing w:val="-9"/>
          <w:sz w:val="18"/>
          <w:szCs w:val="18"/>
          <w:lang w:val="es-ES_tradnl"/>
        </w:rPr>
        <w:t>é</w:t>
      </w:r>
      <w:r>
        <w:rPr>
          <w:spacing w:val="-9"/>
          <w:sz w:val="18"/>
          <w:szCs w:val="18"/>
          <w:lang w:val="es-ES_tradnl"/>
        </w:rPr>
        <w:t xml:space="preserve">rea </w:t>
      </w:r>
      <w:r>
        <w:rPr>
          <w:spacing w:val="-5"/>
          <w:sz w:val="18"/>
          <w:szCs w:val="18"/>
          <w:lang w:val="es-ES_tradnl"/>
        </w:rPr>
        <w:t xml:space="preserve">designada, tarifa, territorio, cobros al usuario. Luego de </w:t>
      </w:r>
      <w:r>
        <w:rPr>
          <w:spacing w:val="-9"/>
          <w:sz w:val="18"/>
          <w:szCs w:val="18"/>
          <w:lang w:val="es-ES_tradnl"/>
        </w:rPr>
        <w:t>analizar estos t</w:t>
      </w:r>
      <w:r>
        <w:rPr>
          <w:rFonts w:cs="Times New Roman"/>
          <w:spacing w:val="-9"/>
          <w:sz w:val="18"/>
          <w:szCs w:val="18"/>
          <w:lang w:val="es-ES_tradnl"/>
        </w:rPr>
        <w:t>é</w:t>
      </w:r>
      <w:r>
        <w:rPr>
          <w:spacing w:val="-9"/>
          <w:sz w:val="18"/>
          <w:szCs w:val="18"/>
          <w:lang w:val="es-ES_tradnl"/>
        </w:rPr>
        <w:t>rminos, se observa que el presente art</w:t>
      </w:r>
      <w:r>
        <w:rPr>
          <w:rFonts w:cs="Times New Roman"/>
          <w:spacing w:val="-9"/>
          <w:sz w:val="18"/>
          <w:szCs w:val="18"/>
          <w:lang w:val="es-ES_tradnl"/>
        </w:rPr>
        <w:t>í</w:t>
      </w:r>
      <w:r>
        <w:rPr>
          <w:spacing w:val="-9"/>
          <w:sz w:val="18"/>
          <w:szCs w:val="18"/>
          <w:lang w:val="es-ES_tradnl"/>
        </w:rPr>
        <w:t xml:space="preserve">culo </w:t>
      </w:r>
      <w:r>
        <w:rPr>
          <w:spacing w:val="-4"/>
          <w:sz w:val="18"/>
          <w:szCs w:val="18"/>
          <w:lang w:val="es-ES_tradnl"/>
        </w:rPr>
        <w:t>no se encuentra en contradicci</w:t>
      </w:r>
      <w:r>
        <w:rPr>
          <w:rFonts w:cs="Times New Roman"/>
          <w:spacing w:val="-4"/>
          <w:sz w:val="18"/>
          <w:szCs w:val="18"/>
          <w:lang w:val="es-ES_tradnl"/>
        </w:rPr>
        <w:t>ó</w:t>
      </w:r>
      <w:r>
        <w:rPr>
          <w:spacing w:val="-4"/>
          <w:sz w:val="18"/>
          <w:szCs w:val="18"/>
          <w:lang w:val="es-ES_tradnl"/>
        </w:rPr>
        <w:t>n con la Constituci</w:t>
      </w:r>
      <w:r>
        <w:rPr>
          <w:rFonts w:cs="Times New Roman"/>
          <w:spacing w:val="-4"/>
          <w:sz w:val="18"/>
          <w:szCs w:val="18"/>
          <w:lang w:val="es-ES_tradnl"/>
        </w:rPr>
        <w:t>ó</w:t>
      </w:r>
      <w:r>
        <w:rPr>
          <w:spacing w:val="-4"/>
          <w:sz w:val="18"/>
          <w:szCs w:val="18"/>
          <w:lang w:val="es-ES_tradnl"/>
        </w:rPr>
        <w:t>n de la Rep</w:t>
      </w:r>
      <w:r>
        <w:rPr>
          <w:rFonts w:cs="Times New Roman"/>
          <w:spacing w:val="-4"/>
          <w:sz w:val="18"/>
          <w:szCs w:val="18"/>
          <w:lang w:val="es-ES_tradnl"/>
        </w:rPr>
        <w:t>ú</w:t>
      </w:r>
      <w:r>
        <w:rPr>
          <w:spacing w:val="-4"/>
          <w:sz w:val="18"/>
          <w:szCs w:val="18"/>
          <w:lang w:val="es-ES_tradnl"/>
        </w:rPr>
        <w:t xml:space="preserve">blica; al contrario, su objetivo se centra en dotar </w:t>
      </w:r>
      <w:r>
        <w:rPr>
          <w:spacing w:val="-6"/>
          <w:sz w:val="18"/>
          <w:szCs w:val="18"/>
          <w:lang w:val="es-ES_tradnl"/>
        </w:rPr>
        <w:t xml:space="preserve">de certeza al contenido del instrumento internacional en </w:t>
      </w:r>
      <w:r>
        <w:rPr>
          <w:spacing w:val="-5"/>
          <w:sz w:val="18"/>
          <w:szCs w:val="18"/>
          <w:lang w:val="es-ES_tradnl"/>
        </w:rPr>
        <w:t>menci</w:t>
      </w:r>
      <w:r>
        <w:rPr>
          <w:rFonts w:cs="Times New Roman"/>
          <w:spacing w:val="-5"/>
          <w:sz w:val="18"/>
          <w:szCs w:val="18"/>
          <w:lang w:val="es-ES_tradnl"/>
        </w:rPr>
        <w:t>ó</w:t>
      </w:r>
      <w:r>
        <w:rPr>
          <w:spacing w:val="-5"/>
          <w:sz w:val="18"/>
          <w:szCs w:val="18"/>
          <w:lang w:val="es-ES_tradnl"/>
        </w:rPr>
        <w:t xml:space="preserve">n, y con ello, evitar interpretaciones extensivas o </w:t>
      </w:r>
      <w:r>
        <w:rPr>
          <w:sz w:val="18"/>
          <w:szCs w:val="18"/>
          <w:lang w:val="es-ES_tradnl"/>
        </w:rPr>
        <w:t>innecesarias por cualquiera de las Partes.</w:t>
      </w:r>
    </w:p>
    <w:p w14:paraId="4F67A428" w14:textId="77777777" w:rsidR="00591D54" w:rsidRDefault="00591D54">
      <w:pPr>
        <w:shd w:val="clear" w:color="auto" w:fill="FFFFFF"/>
        <w:spacing w:before="192" w:line="216" w:lineRule="exact"/>
        <w:jc w:val="both"/>
      </w:pPr>
      <w:r>
        <w:rPr>
          <w:spacing w:val="-5"/>
          <w:sz w:val="18"/>
          <w:szCs w:val="18"/>
          <w:lang w:val="es-ES_tradnl"/>
        </w:rPr>
        <w:t xml:space="preserve">El </w:t>
      </w:r>
      <w:r>
        <w:rPr>
          <w:b/>
          <w:bCs/>
          <w:spacing w:val="-5"/>
          <w:sz w:val="18"/>
          <w:szCs w:val="18"/>
          <w:lang w:val="es-ES_tradnl"/>
        </w:rPr>
        <w:t>art</w:t>
      </w:r>
      <w:r>
        <w:rPr>
          <w:rFonts w:cs="Times New Roman"/>
          <w:b/>
          <w:bCs/>
          <w:spacing w:val="-5"/>
          <w:sz w:val="18"/>
          <w:szCs w:val="18"/>
          <w:lang w:val="es-ES_tradnl"/>
        </w:rPr>
        <w:t>í</w:t>
      </w:r>
      <w:r>
        <w:rPr>
          <w:b/>
          <w:bCs/>
          <w:spacing w:val="-5"/>
          <w:sz w:val="18"/>
          <w:szCs w:val="18"/>
          <w:lang w:val="es-ES_tradnl"/>
        </w:rPr>
        <w:t xml:space="preserve">culo 2 </w:t>
      </w:r>
      <w:r>
        <w:rPr>
          <w:spacing w:val="-5"/>
          <w:sz w:val="18"/>
          <w:szCs w:val="18"/>
          <w:lang w:val="es-ES_tradnl"/>
        </w:rPr>
        <w:t xml:space="preserve">contiene el compromiso principal que nace </w:t>
      </w:r>
      <w:r>
        <w:rPr>
          <w:spacing w:val="-7"/>
          <w:sz w:val="18"/>
          <w:szCs w:val="18"/>
          <w:lang w:val="es-ES_tradnl"/>
        </w:rPr>
        <w:t xml:space="preserve">del acuerdo, en virtud del cual, las partes se conceden, </w:t>
      </w:r>
      <w:r>
        <w:rPr>
          <w:spacing w:val="-9"/>
          <w:sz w:val="18"/>
          <w:szCs w:val="18"/>
          <w:lang w:val="es-ES_tradnl"/>
        </w:rPr>
        <w:t>respecto de sus servicios a</w:t>
      </w:r>
      <w:r>
        <w:rPr>
          <w:rFonts w:cs="Times New Roman"/>
          <w:spacing w:val="-9"/>
          <w:sz w:val="18"/>
          <w:szCs w:val="18"/>
          <w:lang w:val="es-ES_tradnl"/>
        </w:rPr>
        <w:t>é</w:t>
      </w:r>
      <w:r>
        <w:rPr>
          <w:spacing w:val="-9"/>
          <w:sz w:val="18"/>
          <w:szCs w:val="18"/>
          <w:lang w:val="es-ES_tradnl"/>
        </w:rPr>
        <w:t xml:space="preserve">reos internacionales, el derecho </w:t>
      </w:r>
      <w:r>
        <w:rPr>
          <w:spacing w:val="-3"/>
          <w:sz w:val="18"/>
          <w:szCs w:val="18"/>
          <w:lang w:val="es-ES_tradnl"/>
        </w:rPr>
        <w:t xml:space="preserve">a volar sobre su territorio y a la vez realizar escalas con </w:t>
      </w:r>
      <w:r>
        <w:rPr>
          <w:spacing w:val="-11"/>
          <w:sz w:val="18"/>
          <w:szCs w:val="18"/>
          <w:lang w:val="es-ES_tradnl"/>
        </w:rPr>
        <w:t xml:space="preserve">fines no comerciales en los mismos; es decir, para embarcar </w:t>
      </w:r>
      <w:r>
        <w:rPr>
          <w:spacing w:val="-8"/>
          <w:sz w:val="18"/>
          <w:szCs w:val="18"/>
          <w:lang w:val="es-ES_tradnl"/>
        </w:rPr>
        <w:t xml:space="preserve">y desembarcar pasajeros y carga, incluyendo correo, en </w:t>
      </w:r>
      <w:r>
        <w:rPr>
          <w:spacing w:val="-9"/>
          <w:sz w:val="18"/>
          <w:szCs w:val="18"/>
          <w:lang w:val="es-ES_tradnl"/>
        </w:rPr>
        <w:t>combinaci</w:t>
      </w:r>
      <w:r>
        <w:rPr>
          <w:rFonts w:cs="Times New Roman"/>
          <w:spacing w:val="-9"/>
          <w:sz w:val="18"/>
          <w:szCs w:val="18"/>
          <w:lang w:val="es-ES_tradnl"/>
        </w:rPr>
        <w:t>ó</w:t>
      </w:r>
      <w:r>
        <w:rPr>
          <w:spacing w:val="-9"/>
          <w:sz w:val="18"/>
          <w:szCs w:val="18"/>
          <w:lang w:val="es-ES_tradnl"/>
        </w:rPr>
        <w:t>n o por separado. Adicionalmente, se determina el derecho de las partes de establecer servicios a</w:t>
      </w:r>
      <w:r>
        <w:rPr>
          <w:rFonts w:cs="Times New Roman"/>
          <w:spacing w:val="-9"/>
          <w:sz w:val="18"/>
          <w:szCs w:val="18"/>
          <w:lang w:val="es-ES_tradnl"/>
        </w:rPr>
        <w:t>é</w:t>
      </w:r>
      <w:r>
        <w:rPr>
          <w:spacing w:val="-9"/>
          <w:sz w:val="18"/>
          <w:szCs w:val="18"/>
          <w:lang w:val="es-ES_tradnl"/>
        </w:rPr>
        <w:t xml:space="preserve">reos </w:t>
      </w:r>
      <w:r>
        <w:rPr>
          <w:spacing w:val="-7"/>
          <w:sz w:val="18"/>
          <w:szCs w:val="18"/>
          <w:lang w:val="es-ES_tradnl"/>
        </w:rPr>
        <w:t xml:space="preserve">internacionales regulares en las rutas establecidas en el </w:t>
      </w:r>
      <w:r>
        <w:rPr>
          <w:spacing w:val="-5"/>
          <w:sz w:val="18"/>
          <w:szCs w:val="18"/>
          <w:lang w:val="es-ES_tradnl"/>
        </w:rPr>
        <w:t>anexo del convenio. El art</w:t>
      </w:r>
      <w:r>
        <w:rPr>
          <w:rFonts w:cs="Times New Roman"/>
          <w:spacing w:val="-5"/>
          <w:sz w:val="18"/>
          <w:szCs w:val="18"/>
          <w:lang w:val="es-ES_tradnl"/>
        </w:rPr>
        <w:t>í</w:t>
      </w:r>
      <w:r>
        <w:rPr>
          <w:spacing w:val="-5"/>
          <w:sz w:val="18"/>
          <w:szCs w:val="18"/>
          <w:lang w:val="es-ES_tradnl"/>
        </w:rPr>
        <w:t>culo tambi</w:t>
      </w:r>
      <w:r>
        <w:rPr>
          <w:rFonts w:cs="Times New Roman"/>
          <w:spacing w:val="-5"/>
          <w:sz w:val="18"/>
          <w:szCs w:val="18"/>
          <w:lang w:val="es-ES_tradnl"/>
        </w:rPr>
        <w:t>é</w:t>
      </w:r>
      <w:r>
        <w:rPr>
          <w:spacing w:val="-5"/>
          <w:sz w:val="18"/>
          <w:szCs w:val="18"/>
          <w:lang w:val="es-ES_tradnl"/>
        </w:rPr>
        <w:t xml:space="preserve">n contempla la </w:t>
      </w:r>
      <w:r>
        <w:rPr>
          <w:spacing w:val="-8"/>
          <w:sz w:val="18"/>
          <w:szCs w:val="18"/>
          <w:lang w:val="es-ES_tradnl"/>
        </w:rPr>
        <w:t>prohibici</w:t>
      </w:r>
      <w:r>
        <w:rPr>
          <w:rFonts w:cs="Times New Roman"/>
          <w:spacing w:val="-8"/>
          <w:sz w:val="18"/>
          <w:szCs w:val="18"/>
          <w:lang w:val="es-ES_tradnl"/>
        </w:rPr>
        <w:t>ó</w:t>
      </w:r>
      <w:r>
        <w:rPr>
          <w:spacing w:val="-8"/>
          <w:sz w:val="18"/>
          <w:szCs w:val="18"/>
          <w:lang w:val="es-ES_tradnl"/>
        </w:rPr>
        <w:t xml:space="preserve">n de que las Partes, al momento de ejecutar sus </w:t>
      </w:r>
      <w:r>
        <w:rPr>
          <w:spacing w:val="-9"/>
          <w:sz w:val="18"/>
          <w:szCs w:val="18"/>
          <w:lang w:val="es-ES_tradnl"/>
        </w:rPr>
        <w:t>servicios a</w:t>
      </w:r>
      <w:r>
        <w:rPr>
          <w:rFonts w:cs="Times New Roman"/>
          <w:spacing w:val="-9"/>
          <w:sz w:val="18"/>
          <w:szCs w:val="18"/>
          <w:lang w:val="es-ES_tradnl"/>
        </w:rPr>
        <w:t>é</w:t>
      </w:r>
      <w:r>
        <w:rPr>
          <w:spacing w:val="-9"/>
          <w:sz w:val="18"/>
          <w:szCs w:val="18"/>
          <w:lang w:val="es-ES_tradnl"/>
        </w:rPr>
        <w:t>reos internacionales, realicen cabotaje, es decir, embarcar pasajeros y carga incluyendo correo, a cambio de una compensaci</w:t>
      </w:r>
      <w:r>
        <w:rPr>
          <w:rFonts w:cs="Times New Roman"/>
          <w:spacing w:val="-9"/>
          <w:sz w:val="18"/>
          <w:szCs w:val="18"/>
          <w:lang w:val="es-ES_tradnl"/>
        </w:rPr>
        <w:t>ó</w:t>
      </w:r>
      <w:r>
        <w:rPr>
          <w:spacing w:val="-9"/>
          <w:sz w:val="18"/>
          <w:szCs w:val="18"/>
          <w:lang w:val="es-ES_tradnl"/>
        </w:rPr>
        <w:t xml:space="preserve">n o contrato, destinados a otro punto en el </w:t>
      </w:r>
      <w:r>
        <w:rPr>
          <w:sz w:val="18"/>
          <w:szCs w:val="18"/>
          <w:lang w:val="es-ES_tradnl"/>
        </w:rPr>
        <w:t>territorio de la otra parte contratante.</w:t>
      </w:r>
    </w:p>
    <w:p w14:paraId="4F67A429" w14:textId="77777777" w:rsidR="00591D54" w:rsidRDefault="00591D54">
      <w:pPr>
        <w:shd w:val="clear" w:color="auto" w:fill="FFFFFF"/>
        <w:spacing w:before="192" w:line="216" w:lineRule="exact"/>
        <w:ind w:right="5"/>
        <w:jc w:val="both"/>
      </w:pPr>
      <w:r>
        <w:rPr>
          <w:sz w:val="18"/>
          <w:szCs w:val="18"/>
          <w:lang w:val="es-ES_tradnl"/>
        </w:rPr>
        <w:t>El art</w:t>
      </w:r>
      <w:r>
        <w:rPr>
          <w:rFonts w:cs="Times New Roman"/>
          <w:sz w:val="18"/>
          <w:szCs w:val="18"/>
          <w:lang w:val="es-ES_tradnl"/>
        </w:rPr>
        <w:t>í</w:t>
      </w:r>
      <w:r>
        <w:rPr>
          <w:sz w:val="18"/>
          <w:szCs w:val="18"/>
          <w:lang w:val="es-ES_tradnl"/>
        </w:rPr>
        <w:t>culo se</w:t>
      </w:r>
      <w:r>
        <w:rPr>
          <w:rFonts w:cs="Times New Roman"/>
          <w:sz w:val="18"/>
          <w:szCs w:val="18"/>
          <w:lang w:val="es-ES_tradnl"/>
        </w:rPr>
        <w:t>ñ</w:t>
      </w:r>
      <w:r>
        <w:rPr>
          <w:sz w:val="18"/>
          <w:szCs w:val="18"/>
          <w:lang w:val="es-ES_tradnl"/>
        </w:rPr>
        <w:t>alado no se opone a la Constituci</w:t>
      </w:r>
      <w:r>
        <w:rPr>
          <w:rFonts w:cs="Times New Roman"/>
          <w:sz w:val="18"/>
          <w:szCs w:val="18"/>
          <w:lang w:val="es-ES_tradnl"/>
        </w:rPr>
        <w:t>ó</w:t>
      </w:r>
      <w:r>
        <w:rPr>
          <w:sz w:val="18"/>
          <w:szCs w:val="18"/>
          <w:lang w:val="es-ES_tradnl"/>
        </w:rPr>
        <w:t xml:space="preserve">n de </w:t>
      </w:r>
      <w:r>
        <w:rPr>
          <w:spacing w:val="-1"/>
          <w:sz w:val="18"/>
          <w:szCs w:val="18"/>
          <w:lang w:val="es-ES_tradnl"/>
        </w:rPr>
        <w:t>la Rep</w:t>
      </w:r>
      <w:r>
        <w:rPr>
          <w:rFonts w:cs="Times New Roman"/>
          <w:spacing w:val="-1"/>
          <w:sz w:val="18"/>
          <w:szCs w:val="18"/>
          <w:lang w:val="es-ES_tradnl"/>
        </w:rPr>
        <w:t>ú</w:t>
      </w:r>
      <w:r>
        <w:rPr>
          <w:spacing w:val="-1"/>
          <w:sz w:val="18"/>
          <w:szCs w:val="18"/>
          <w:lang w:val="es-ES_tradnl"/>
        </w:rPr>
        <w:t xml:space="preserve">blica, por cuanto, conforme lo disponen los </w:t>
      </w:r>
      <w:r>
        <w:rPr>
          <w:spacing w:val="-7"/>
          <w:sz w:val="18"/>
          <w:szCs w:val="18"/>
          <w:lang w:val="es-ES_tradnl"/>
        </w:rPr>
        <w:t>art</w:t>
      </w:r>
      <w:r>
        <w:rPr>
          <w:rFonts w:cs="Times New Roman"/>
          <w:spacing w:val="-7"/>
          <w:sz w:val="18"/>
          <w:szCs w:val="18"/>
          <w:lang w:val="es-ES_tradnl"/>
        </w:rPr>
        <w:t>í</w:t>
      </w:r>
      <w:r>
        <w:rPr>
          <w:spacing w:val="-7"/>
          <w:sz w:val="18"/>
          <w:szCs w:val="18"/>
          <w:lang w:val="es-ES_tradnl"/>
        </w:rPr>
        <w:t xml:space="preserve">culos 261 numeral 10 y 394 de la Norma Suprema, es </w:t>
      </w:r>
      <w:r>
        <w:rPr>
          <w:spacing w:val="-10"/>
          <w:sz w:val="18"/>
          <w:szCs w:val="18"/>
          <w:lang w:val="es-ES_tradnl"/>
        </w:rPr>
        <w:t xml:space="preserve">competencia del Estado regular las actividades relacionadas </w:t>
      </w:r>
      <w:r>
        <w:rPr>
          <w:spacing w:val="-7"/>
          <w:sz w:val="18"/>
          <w:szCs w:val="18"/>
          <w:lang w:val="es-ES_tradnl"/>
        </w:rPr>
        <w:t>con el transporte a</w:t>
      </w:r>
      <w:r>
        <w:rPr>
          <w:rFonts w:cs="Times New Roman"/>
          <w:spacing w:val="-7"/>
          <w:sz w:val="18"/>
          <w:szCs w:val="18"/>
          <w:lang w:val="es-ES_tradnl"/>
        </w:rPr>
        <w:t>é</w:t>
      </w:r>
      <w:r>
        <w:rPr>
          <w:spacing w:val="-7"/>
          <w:sz w:val="18"/>
          <w:szCs w:val="18"/>
          <w:lang w:val="es-ES_tradnl"/>
        </w:rPr>
        <w:t xml:space="preserve">reo y en ese contexto, el objeto del </w:t>
      </w:r>
      <w:r>
        <w:rPr>
          <w:spacing w:val="-5"/>
          <w:sz w:val="18"/>
          <w:szCs w:val="18"/>
          <w:lang w:val="es-ES_tradnl"/>
        </w:rPr>
        <w:t>presente convenio, contenido en el art</w:t>
      </w:r>
      <w:r>
        <w:rPr>
          <w:rFonts w:cs="Times New Roman"/>
          <w:spacing w:val="-5"/>
          <w:sz w:val="18"/>
          <w:szCs w:val="18"/>
          <w:lang w:val="es-ES_tradnl"/>
        </w:rPr>
        <w:t>í</w:t>
      </w:r>
      <w:r>
        <w:rPr>
          <w:spacing w:val="-5"/>
          <w:sz w:val="18"/>
          <w:szCs w:val="18"/>
          <w:lang w:val="es-ES_tradnl"/>
        </w:rPr>
        <w:t xml:space="preserve">culo 2 del mismo, </w:t>
      </w:r>
      <w:r>
        <w:rPr>
          <w:spacing w:val="-9"/>
          <w:sz w:val="18"/>
          <w:szCs w:val="18"/>
          <w:lang w:val="es-ES_tradnl"/>
        </w:rPr>
        <w:t xml:space="preserve">se orienta a establecer beneficios mutuos para los Estados </w:t>
      </w:r>
      <w:r>
        <w:rPr>
          <w:spacing w:val="-8"/>
          <w:sz w:val="18"/>
          <w:szCs w:val="18"/>
          <w:lang w:val="es-ES_tradnl"/>
        </w:rPr>
        <w:t>partes, respecto a la prestaci</w:t>
      </w:r>
      <w:r>
        <w:rPr>
          <w:rFonts w:cs="Times New Roman"/>
          <w:spacing w:val="-8"/>
          <w:sz w:val="18"/>
          <w:szCs w:val="18"/>
          <w:lang w:val="es-ES_tradnl"/>
        </w:rPr>
        <w:t>ó</w:t>
      </w:r>
      <w:r>
        <w:rPr>
          <w:spacing w:val="-8"/>
          <w:sz w:val="18"/>
          <w:szCs w:val="18"/>
          <w:lang w:val="es-ES_tradnl"/>
        </w:rPr>
        <w:t>n de los servicios a</w:t>
      </w:r>
      <w:r>
        <w:rPr>
          <w:rFonts w:cs="Times New Roman"/>
          <w:spacing w:val="-8"/>
          <w:sz w:val="18"/>
          <w:szCs w:val="18"/>
          <w:lang w:val="es-ES_tradnl"/>
        </w:rPr>
        <w:t>é</w:t>
      </w:r>
      <w:r>
        <w:rPr>
          <w:spacing w:val="-8"/>
          <w:sz w:val="18"/>
          <w:szCs w:val="18"/>
          <w:lang w:val="es-ES_tradnl"/>
        </w:rPr>
        <w:t xml:space="preserve">reos </w:t>
      </w:r>
      <w:r>
        <w:rPr>
          <w:spacing w:val="-6"/>
          <w:sz w:val="18"/>
          <w:szCs w:val="18"/>
          <w:lang w:val="es-ES_tradnl"/>
        </w:rPr>
        <w:t>internacionales de cada uno de ellos, encontrando as</w:t>
      </w:r>
      <w:r>
        <w:rPr>
          <w:rFonts w:cs="Times New Roman"/>
          <w:spacing w:val="-6"/>
          <w:sz w:val="18"/>
          <w:szCs w:val="18"/>
          <w:lang w:val="es-ES_tradnl"/>
        </w:rPr>
        <w:t xml:space="preserve">í </w:t>
      </w:r>
      <w:r>
        <w:rPr>
          <w:spacing w:val="-7"/>
          <w:sz w:val="18"/>
          <w:szCs w:val="18"/>
          <w:lang w:val="es-ES_tradnl"/>
        </w:rPr>
        <w:t xml:space="preserve">sustento en el principio de reciprocidad que ampara a las </w:t>
      </w:r>
      <w:r>
        <w:rPr>
          <w:spacing w:val="-8"/>
          <w:sz w:val="18"/>
          <w:szCs w:val="18"/>
          <w:lang w:val="es-ES_tradnl"/>
        </w:rPr>
        <w:t>relaciones de derecho p</w:t>
      </w:r>
      <w:r>
        <w:rPr>
          <w:rFonts w:cs="Times New Roman"/>
          <w:spacing w:val="-8"/>
          <w:sz w:val="18"/>
          <w:szCs w:val="18"/>
          <w:lang w:val="es-ES_tradnl"/>
        </w:rPr>
        <w:t>ú</w:t>
      </w:r>
      <w:r>
        <w:rPr>
          <w:spacing w:val="-8"/>
          <w:sz w:val="18"/>
          <w:szCs w:val="18"/>
          <w:lang w:val="es-ES_tradnl"/>
        </w:rPr>
        <w:t>blico internacional entre Estados.</w:t>
      </w:r>
    </w:p>
    <w:p w14:paraId="4F67A42A" w14:textId="77777777" w:rsidR="00591D54" w:rsidRDefault="00591D54">
      <w:pPr>
        <w:shd w:val="clear" w:color="auto" w:fill="FFFFFF"/>
        <w:spacing w:before="192" w:line="216" w:lineRule="exact"/>
        <w:ind w:right="5"/>
        <w:jc w:val="both"/>
      </w:pPr>
      <w:r>
        <w:rPr>
          <w:spacing w:val="-2"/>
          <w:sz w:val="18"/>
          <w:szCs w:val="18"/>
          <w:lang w:val="es-ES_tradnl"/>
        </w:rPr>
        <w:t xml:space="preserve">El </w:t>
      </w:r>
      <w:r>
        <w:rPr>
          <w:b/>
          <w:bCs/>
          <w:spacing w:val="-2"/>
          <w:sz w:val="18"/>
          <w:szCs w:val="18"/>
          <w:lang w:val="es-ES_tradnl"/>
        </w:rPr>
        <w:t>art</w:t>
      </w:r>
      <w:r>
        <w:rPr>
          <w:rFonts w:cs="Times New Roman"/>
          <w:b/>
          <w:bCs/>
          <w:spacing w:val="-2"/>
          <w:sz w:val="18"/>
          <w:szCs w:val="18"/>
          <w:lang w:val="es-ES_tradnl"/>
        </w:rPr>
        <w:t>í</w:t>
      </w:r>
      <w:r>
        <w:rPr>
          <w:b/>
          <w:bCs/>
          <w:spacing w:val="-2"/>
          <w:sz w:val="18"/>
          <w:szCs w:val="18"/>
          <w:lang w:val="es-ES_tradnl"/>
        </w:rPr>
        <w:t xml:space="preserve">culo 3 </w:t>
      </w:r>
      <w:r>
        <w:rPr>
          <w:spacing w:val="-2"/>
          <w:sz w:val="18"/>
          <w:szCs w:val="18"/>
          <w:lang w:val="es-ES_tradnl"/>
        </w:rPr>
        <w:t>establece lo relativo a designaci</w:t>
      </w:r>
      <w:r>
        <w:rPr>
          <w:rFonts w:cs="Times New Roman"/>
          <w:spacing w:val="-2"/>
          <w:sz w:val="18"/>
          <w:szCs w:val="18"/>
          <w:lang w:val="es-ES_tradnl"/>
        </w:rPr>
        <w:t>ó</w:t>
      </w:r>
      <w:r>
        <w:rPr>
          <w:spacing w:val="-2"/>
          <w:sz w:val="18"/>
          <w:szCs w:val="18"/>
          <w:lang w:val="es-ES_tradnl"/>
        </w:rPr>
        <w:t xml:space="preserve">n y </w:t>
      </w:r>
      <w:r>
        <w:rPr>
          <w:spacing w:val="-5"/>
          <w:sz w:val="18"/>
          <w:szCs w:val="18"/>
          <w:lang w:val="es-ES_tradnl"/>
        </w:rPr>
        <w:t>autorizaci</w:t>
      </w:r>
      <w:r>
        <w:rPr>
          <w:rFonts w:cs="Times New Roman"/>
          <w:spacing w:val="-5"/>
          <w:sz w:val="18"/>
          <w:szCs w:val="18"/>
          <w:lang w:val="es-ES_tradnl"/>
        </w:rPr>
        <w:t>ó</w:t>
      </w:r>
      <w:r>
        <w:rPr>
          <w:spacing w:val="-5"/>
          <w:sz w:val="18"/>
          <w:szCs w:val="18"/>
          <w:lang w:val="es-ES_tradnl"/>
        </w:rPr>
        <w:t>n de l</w:t>
      </w:r>
      <w:r>
        <w:rPr>
          <w:rFonts w:cs="Times New Roman"/>
          <w:spacing w:val="-5"/>
          <w:sz w:val="18"/>
          <w:szCs w:val="18"/>
          <w:lang w:val="es-ES_tradnl"/>
        </w:rPr>
        <w:t>í</w:t>
      </w:r>
      <w:r>
        <w:rPr>
          <w:spacing w:val="-5"/>
          <w:sz w:val="18"/>
          <w:szCs w:val="18"/>
          <w:lang w:val="es-ES_tradnl"/>
        </w:rPr>
        <w:t>neas a</w:t>
      </w:r>
      <w:r>
        <w:rPr>
          <w:rFonts w:cs="Times New Roman"/>
          <w:spacing w:val="-5"/>
          <w:sz w:val="18"/>
          <w:szCs w:val="18"/>
          <w:lang w:val="es-ES_tradnl"/>
        </w:rPr>
        <w:t>é</w:t>
      </w:r>
      <w:r>
        <w:rPr>
          <w:spacing w:val="-5"/>
          <w:sz w:val="18"/>
          <w:szCs w:val="18"/>
          <w:lang w:val="es-ES_tradnl"/>
        </w:rPr>
        <w:t>reas con el prop</w:t>
      </w:r>
      <w:r>
        <w:rPr>
          <w:rFonts w:cs="Times New Roman"/>
          <w:spacing w:val="-5"/>
          <w:sz w:val="18"/>
          <w:szCs w:val="18"/>
          <w:lang w:val="es-ES_tradnl"/>
        </w:rPr>
        <w:t>ó</w:t>
      </w:r>
      <w:r>
        <w:rPr>
          <w:spacing w:val="-5"/>
          <w:sz w:val="18"/>
          <w:szCs w:val="18"/>
          <w:lang w:val="es-ES_tradnl"/>
        </w:rPr>
        <w:t xml:space="preserve">sito de operar </w:t>
      </w:r>
      <w:r>
        <w:rPr>
          <w:spacing w:val="-7"/>
          <w:sz w:val="18"/>
          <w:szCs w:val="18"/>
          <w:lang w:val="es-ES_tradnl"/>
        </w:rPr>
        <w:t xml:space="preserve">los servicios acordados. En el texto se determina que la </w:t>
      </w:r>
      <w:r>
        <w:rPr>
          <w:spacing w:val="-10"/>
          <w:sz w:val="18"/>
          <w:szCs w:val="18"/>
          <w:lang w:val="es-ES_tradnl"/>
        </w:rPr>
        <w:t>autoridad aeron</w:t>
      </w:r>
      <w:r>
        <w:rPr>
          <w:rFonts w:cs="Times New Roman"/>
          <w:spacing w:val="-10"/>
          <w:sz w:val="18"/>
          <w:szCs w:val="18"/>
          <w:lang w:val="es-ES_tradnl"/>
        </w:rPr>
        <w:t>á</w:t>
      </w:r>
      <w:r>
        <w:rPr>
          <w:spacing w:val="-10"/>
          <w:sz w:val="18"/>
          <w:szCs w:val="18"/>
          <w:lang w:val="es-ES_tradnl"/>
        </w:rPr>
        <w:t>utica de la otra Parte contratante conceder</w:t>
      </w:r>
      <w:r>
        <w:rPr>
          <w:rFonts w:cs="Times New Roman"/>
          <w:spacing w:val="-10"/>
          <w:sz w:val="18"/>
          <w:szCs w:val="18"/>
          <w:lang w:val="es-ES_tradnl"/>
        </w:rPr>
        <w:t xml:space="preserve">á </w:t>
      </w:r>
      <w:r>
        <w:rPr>
          <w:spacing w:val="-3"/>
          <w:sz w:val="18"/>
          <w:szCs w:val="18"/>
          <w:lang w:val="es-ES_tradnl"/>
        </w:rPr>
        <w:t>las correspondientes autorizaciones de operaci</w:t>
      </w:r>
      <w:r>
        <w:rPr>
          <w:rFonts w:cs="Times New Roman"/>
          <w:spacing w:val="-3"/>
          <w:sz w:val="18"/>
          <w:szCs w:val="18"/>
          <w:lang w:val="es-ES_tradnl"/>
        </w:rPr>
        <w:t>ó</w:t>
      </w:r>
      <w:r>
        <w:rPr>
          <w:spacing w:val="-3"/>
          <w:sz w:val="18"/>
          <w:szCs w:val="18"/>
          <w:lang w:val="es-ES_tradnl"/>
        </w:rPr>
        <w:t xml:space="preserve">n y </w:t>
      </w:r>
      <w:r>
        <w:rPr>
          <w:spacing w:val="-7"/>
          <w:sz w:val="18"/>
          <w:szCs w:val="18"/>
          <w:lang w:val="es-ES_tradnl"/>
        </w:rPr>
        <w:t>permisos t</w:t>
      </w:r>
      <w:r>
        <w:rPr>
          <w:rFonts w:cs="Times New Roman"/>
          <w:spacing w:val="-7"/>
          <w:sz w:val="18"/>
          <w:szCs w:val="18"/>
          <w:lang w:val="es-ES_tradnl"/>
        </w:rPr>
        <w:t>é</w:t>
      </w:r>
      <w:r>
        <w:rPr>
          <w:spacing w:val="-7"/>
          <w:sz w:val="18"/>
          <w:szCs w:val="18"/>
          <w:lang w:val="es-ES_tradnl"/>
        </w:rPr>
        <w:t xml:space="preserve">cnicos siempre que: en el caso de China, la </w:t>
      </w:r>
      <w:r>
        <w:rPr>
          <w:spacing w:val="-6"/>
          <w:sz w:val="18"/>
          <w:szCs w:val="18"/>
          <w:lang w:val="es-ES_tradnl"/>
        </w:rPr>
        <w:t>propiedad sustancial y control efectivo de la l</w:t>
      </w:r>
      <w:r>
        <w:rPr>
          <w:rFonts w:cs="Times New Roman"/>
          <w:spacing w:val="-6"/>
          <w:sz w:val="18"/>
          <w:szCs w:val="18"/>
          <w:lang w:val="es-ES_tradnl"/>
        </w:rPr>
        <w:t>í</w:t>
      </w:r>
      <w:r>
        <w:rPr>
          <w:spacing w:val="-6"/>
          <w:sz w:val="18"/>
          <w:szCs w:val="18"/>
          <w:lang w:val="es-ES_tradnl"/>
        </w:rPr>
        <w:t>nea a</w:t>
      </w:r>
      <w:r>
        <w:rPr>
          <w:rFonts w:cs="Times New Roman"/>
          <w:spacing w:val="-6"/>
          <w:sz w:val="18"/>
          <w:szCs w:val="18"/>
          <w:lang w:val="es-ES_tradnl"/>
        </w:rPr>
        <w:t>é</w:t>
      </w:r>
      <w:r>
        <w:rPr>
          <w:spacing w:val="-6"/>
          <w:sz w:val="18"/>
          <w:szCs w:val="18"/>
          <w:lang w:val="es-ES_tradnl"/>
        </w:rPr>
        <w:t xml:space="preserve">rea </w:t>
      </w:r>
      <w:r>
        <w:rPr>
          <w:spacing w:val="-8"/>
          <w:sz w:val="18"/>
          <w:szCs w:val="18"/>
          <w:lang w:val="es-ES_tradnl"/>
        </w:rPr>
        <w:t>est</w:t>
      </w:r>
      <w:r>
        <w:rPr>
          <w:rFonts w:cs="Times New Roman"/>
          <w:spacing w:val="-8"/>
          <w:sz w:val="18"/>
          <w:szCs w:val="18"/>
          <w:lang w:val="es-ES_tradnl"/>
        </w:rPr>
        <w:t>é</w:t>
      </w:r>
      <w:r>
        <w:rPr>
          <w:spacing w:val="-8"/>
          <w:sz w:val="18"/>
          <w:szCs w:val="18"/>
          <w:lang w:val="es-ES_tradnl"/>
        </w:rPr>
        <w:t xml:space="preserve">n en manos de China o de sus ciudadanos y con su </w:t>
      </w:r>
      <w:r>
        <w:rPr>
          <w:spacing w:val="-7"/>
          <w:sz w:val="18"/>
          <w:szCs w:val="18"/>
          <w:lang w:val="es-ES_tradnl"/>
        </w:rPr>
        <w:t>direcci</w:t>
      </w:r>
      <w:r>
        <w:rPr>
          <w:rFonts w:cs="Times New Roman"/>
          <w:spacing w:val="-7"/>
          <w:sz w:val="18"/>
          <w:szCs w:val="18"/>
          <w:lang w:val="es-ES_tradnl"/>
        </w:rPr>
        <w:t>ó</w:t>
      </w:r>
      <w:r>
        <w:rPr>
          <w:spacing w:val="-7"/>
          <w:sz w:val="18"/>
          <w:szCs w:val="18"/>
          <w:lang w:val="es-ES_tradnl"/>
        </w:rPr>
        <w:t xml:space="preserve">n de residencia en China; mientras que en el caso </w:t>
      </w:r>
      <w:r>
        <w:rPr>
          <w:spacing w:val="-8"/>
          <w:sz w:val="18"/>
          <w:szCs w:val="18"/>
          <w:lang w:val="es-ES_tradnl"/>
        </w:rPr>
        <w:t xml:space="preserve">de Ecuador, la propiedad sustancial y control efectivo de la </w:t>
      </w:r>
      <w:r>
        <w:rPr>
          <w:spacing w:val="-10"/>
          <w:sz w:val="18"/>
          <w:szCs w:val="18"/>
          <w:lang w:val="es-ES_tradnl"/>
        </w:rPr>
        <w:t>l</w:t>
      </w:r>
      <w:r>
        <w:rPr>
          <w:rFonts w:cs="Times New Roman"/>
          <w:spacing w:val="-10"/>
          <w:sz w:val="18"/>
          <w:szCs w:val="18"/>
          <w:lang w:val="es-ES_tradnl"/>
        </w:rPr>
        <w:t>í</w:t>
      </w:r>
      <w:r>
        <w:rPr>
          <w:spacing w:val="-10"/>
          <w:sz w:val="18"/>
          <w:szCs w:val="18"/>
          <w:lang w:val="es-ES_tradnl"/>
        </w:rPr>
        <w:t>nea a</w:t>
      </w:r>
      <w:r>
        <w:rPr>
          <w:rFonts w:cs="Times New Roman"/>
          <w:spacing w:val="-10"/>
          <w:sz w:val="18"/>
          <w:szCs w:val="18"/>
          <w:lang w:val="es-ES_tradnl"/>
        </w:rPr>
        <w:t>é</w:t>
      </w:r>
      <w:r>
        <w:rPr>
          <w:spacing w:val="-10"/>
          <w:sz w:val="18"/>
          <w:szCs w:val="18"/>
          <w:lang w:val="es-ES_tradnl"/>
        </w:rPr>
        <w:t>rea est</w:t>
      </w:r>
      <w:r>
        <w:rPr>
          <w:rFonts w:cs="Times New Roman"/>
          <w:spacing w:val="-10"/>
          <w:sz w:val="18"/>
          <w:szCs w:val="18"/>
          <w:lang w:val="es-ES_tradnl"/>
        </w:rPr>
        <w:t>é</w:t>
      </w:r>
      <w:r>
        <w:rPr>
          <w:spacing w:val="-10"/>
          <w:sz w:val="18"/>
          <w:szCs w:val="18"/>
          <w:lang w:val="es-ES_tradnl"/>
        </w:rPr>
        <w:t xml:space="preserve">n en manos de Ecuador o sus nacionales, o </w:t>
      </w:r>
      <w:r>
        <w:rPr>
          <w:spacing w:val="-8"/>
          <w:sz w:val="18"/>
          <w:szCs w:val="18"/>
          <w:lang w:val="es-ES_tradnl"/>
        </w:rPr>
        <w:t>en un Estado de Am</w:t>
      </w:r>
      <w:r>
        <w:rPr>
          <w:rFonts w:cs="Times New Roman"/>
          <w:spacing w:val="-8"/>
          <w:sz w:val="18"/>
          <w:szCs w:val="18"/>
          <w:lang w:val="es-ES_tradnl"/>
        </w:rPr>
        <w:t>é</w:t>
      </w:r>
      <w:r>
        <w:rPr>
          <w:spacing w:val="-8"/>
          <w:sz w:val="18"/>
          <w:szCs w:val="18"/>
          <w:lang w:val="es-ES_tradnl"/>
        </w:rPr>
        <w:t>rica Latina o sus nacionales, y con su</w:t>
      </w:r>
    </w:p>
    <w:p w14:paraId="4F67A42B" w14:textId="77777777" w:rsidR="00591D54" w:rsidRDefault="00591D54">
      <w:pPr>
        <w:shd w:val="clear" w:color="auto" w:fill="FFFFFF"/>
        <w:spacing w:line="216" w:lineRule="exact"/>
        <w:jc w:val="both"/>
      </w:pPr>
      <w:r>
        <w:br w:type="column"/>
      </w:r>
      <w:r>
        <w:rPr>
          <w:spacing w:val="-7"/>
          <w:sz w:val="18"/>
          <w:szCs w:val="18"/>
          <w:lang w:val="es-ES_tradnl"/>
        </w:rPr>
        <w:t>direcci</w:t>
      </w:r>
      <w:r>
        <w:rPr>
          <w:rFonts w:cs="Times New Roman"/>
          <w:spacing w:val="-7"/>
          <w:sz w:val="18"/>
          <w:szCs w:val="18"/>
          <w:lang w:val="es-ES_tradnl"/>
        </w:rPr>
        <w:t>ó</w:t>
      </w:r>
      <w:r>
        <w:rPr>
          <w:spacing w:val="-7"/>
          <w:sz w:val="18"/>
          <w:szCs w:val="18"/>
          <w:lang w:val="es-ES_tradnl"/>
        </w:rPr>
        <w:t>n de residencia en el Ecuador, siempre que dicho Estado de Am</w:t>
      </w:r>
      <w:r>
        <w:rPr>
          <w:rFonts w:cs="Times New Roman"/>
          <w:spacing w:val="-7"/>
          <w:sz w:val="18"/>
          <w:szCs w:val="18"/>
          <w:lang w:val="es-ES_tradnl"/>
        </w:rPr>
        <w:t>é</w:t>
      </w:r>
      <w:r>
        <w:rPr>
          <w:spacing w:val="-7"/>
          <w:sz w:val="18"/>
          <w:szCs w:val="18"/>
          <w:lang w:val="es-ES_tradnl"/>
        </w:rPr>
        <w:t xml:space="preserve">rica Latina tenga un Convenio de Servicios </w:t>
      </w:r>
      <w:r>
        <w:rPr>
          <w:sz w:val="18"/>
          <w:szCs w:val="18"/>
          <w:lang w:val="es-ES_tradnl"/>
        </w:rPr>
        <w:t>A</w:t>
      </w:r>
      <w:r>
        <w:rPr>
          <w:rFonts w:cs="Times New Roman"/>
          <w:sz w:val="18"/>
          <w:szCs w:val="18"/>
          <w:lang w:val="es-ES_tradnl"/>
        </w:rPr>
        <w:t>é</w:t>
      </w:r>
      <w:r>
        <w:rPr>
          <w:sz w:val="18"/>
          <w:szCs w:val="18"/>
          <w:lang w:val="es-ES_tradnl"/>
        </w:rPr>
        <w:t>reos con China.</w:t>
      </w:r>
    </w:p>
    <w:p w14:paraId="4F67A42C" w14:textId="77777777" w:rsidR="00591D54" w:rsidRDefault="00591D54">
      <w:pPr>
        <w:shd w:val="clear" w:color="auto" w:fill="FFFFFF"/>
        <w:spacing w:before="197" w:line="216" w:lineRule="exact"/>
        <w:jc w:val="both"/>
      </w:pPr>
      <w:r>
        <w:rPr>
          <w:spacing w:val="-8"/>
          <w:sz w:val="18"/>
          <w:szCs w:val="18"/>
          <w:lang w:val="es-ES_tradnl"/>
        </w:rPr>
        <w:t>Se observa que, en virtud del texto de esta convenci</w:t>
      </w:r>
      <w:r>
        <w:rPr>
          <w:rFonts w:cs="Times New Roman"/>
          <w:spacing w:val="-8"/>
          <w:sz w:val="18"/>
          <w:szCs w:val="18"/>
          <w:lang w:val="es-ES_tradnl"/>
        </w:rPr>
        <w:t>ó</w:t>
      </w:r>
      <w:r>
        <w:rPr>
          <w:spacing w:val="-8"/>
          <w:sz w:val="18"/>
          <w:szCs w:val="18"/>
          <w:lang w:val="es-ES_tradnl"/>
        </w:rPr>
        <w:t xml:space="preserve">n, se </w:t>
      </w:r>
      <w:r>
        <w:rPr>
          <w:spacing w:val="-9"/>
          <w:sz w:val="18"/>
          <w:szCs w:val="18"/>
          <w:lang w:val="es-ES_tradnl"/>
        </w:rPr>
        <w:t>determina que las autoridades aeron</w:t>
      </w:r>
      <w:r>
        <w:rPr>
          <w:rFonts w:cs="Times New Roman"/>
          <w:spacing w:val="-9"/>
          <w:sz w:val="18"/>
          <w:szCs w:val="18"/>
          <w:lang w:val="es-ES_tradnl"/>
        </w:rPr>
        <w:t>á</w:t>
      </w:r>
      <w:r>
        <w:rPr>
          <w:spacing w:val="-9"/>
          <w:sz w:val="18"/>
          <w:szCs w:val="18"/>
          <w:lang w:val="es-ES_tradnl"/>
        </w:rPr>
        <w:t>uticas chinas podr</w:t>
      </w:r>
      <w:r>
        <w:rPr>
          <w:rFonts w:cs="Times New Roman"/>
          <w:spacing w:val="-9"/>
          <w:sz w:val="18"/>
          <w:szCs w:val="18"/>
          <w:lang w:val="es-ES_tradnl"/>
        </w:rPr>
        <w:t>á</w:t>
      </w:r>
      <w:r>
        <w:rPr>
          <w:spacing w:val="-9"/>
          <w:sz w:val="18"/>
          <w:szCs w:val="18"/>
          <w:lang w:val="es-ES_tradnl"/>
        </w:rPr>
        <w:t>n conceder autorizaciones a l</w:t>
      </w:r>
      <w:r>
        <w:rPr>
          <w:rFonts w:cs="Times New Roman"/>
          <w:spacing w:val="-9"/>
          <w:sz w:val="18"/>
          <w:szCs w:val="18"/>
          <w:lang w:val="es-ES_tradnl"/>
        </w:rPr>
        <w:t>í</w:t>
      </w:r>
      <w:r>
        <w:rPr>
          <w:spacing w:val="-9"/>
          <w:sz w:val="18"/>
          <w:szCs w:val="18"/>
          <w:lang w:val="es-ES_tradnl"/>
        </w:rPr>
        <w:t>neas a</w:t>
      </w:r>
      <w:r>
        <w:rPr>
          <w:rFonts w:cs="Times New Roman"/>
          <w:spacing w:val="-9"/>
          <w:sz w:val="18"/>
          <w:szCs w:val="18"/>
          <w:lang w:val="es-ES_tradnl"/>
        </w:rPr>
        <w:t>é</w:t>
      </w:r>
      <w:r>
        <w:rPr>
          <w:spacing w:val="-9"/>
          <w:sz w:val="18"/>
          <w:szCs w:val="18"/>
          <w:lang w:val="es-ES_tradnl"/>
        </w:rPr>
        <w:t xml:space="preserve">reas de un Estado de </w:t>
      </w:r>
      <w:r>
        <w:rPr>
          <w:spacing w:val="-4"/>
          <w:sz w:val="18"/>
          <w:szCs w:val="18"/>
          <w:lang w:val="es-ES_tradnl"/>
        </w:rPr>
        <w:t>Am</w:t>
      </w:r>
      <w:r>
        <w:rPr>
          <w:rFonts w:cs="Times New Roman"/>
          <w:spacing w:val="-4"/>
          <w:sz w:val="18"/>
          <w:szCs w:val="18"/>
          <w:lang w:val="es-ES_tradnl"/>
        </w:rPr>
        <w:t>é</w:t>
      </w:r>
      <w:r>
        <w:rPr>
          <w:spacing w:val="-4"/>
          <w:sz w:val="18"/>
          <w:szCs w:val="18"/>
          <w:lang w:val="es-ES_tradnl"/>
        </w:rPr>
        <w:t>rica Latina o sus nacionales y con su direcci</w:t>
      </w:r>
      <w:r>
        <w:rPr>
          <w:rFonts w:cs="Times New Roman"/>
          <w:spacing w:val="-4"/>
          <w:sz w:val="18"/>
          <w:szCs w:val="18"/>
          <w:lang w:val="es-ES_tradnl"/>
        </w:rPr>
        <w:t>ó</w:t>
      </w:r>
      <w:r>
        <w:rPr>
          <w:spacing w:val="-4"/>
          <w:sz w:val="18"/>
          <w:szCs w:val="18"/>
          <w:lang w:val="es-ES_tradnl"/>
        </w:rPr>
        <w:t xml:space="preserve">n en </w:t>
      </w:r>
      <w:r>
        <w:rPr>
          <w:spacing w:val="-8"/>
          <w:sz w:val="18"/>
          <w:szCs w:val="18"/>
          <w:lang w:val="es-ES_tradnl"/>
        </w:rPr>
        <w:t xml:space="preserve">dicho Estado siempre que tenga un Convenio de Servicios </w:t>
      </w:r>
      <w:r>
        <w:rPr>
          <w:spacing w:val="-7"/>
          <w:sz w:val="18"/>
          <w:szCs w:val="18"/>
          <w:lang w:val="es-ES_tradnl"/>
        </w:rPr>
        <w:t>A</w:t>
      </w:r>
      <w:r>
        <w:rPr>
          <w:rFonts w:cs="Times New Roman"/>
          <w:spacing w:val="-7"/>
          <w:sz w:val="18"/>
          <w:szCs w:val="18"/>
          <w:lang w:val="es-ES_tradnl"/>
        </w:rPr>
        <w:t>é</w:t>
      </w:r>
      <w:r>
        <w:rPr>
          <w:spacing w:val="-7"/>
          <w:sz w:val="18"/>
          <w:szCs w:val="18"/>
          <w:lang w:val="es-ES_tradnl"/>
        </w:rPr>
        <w:t>reos con China. Frente a ello, cabe se</w:t>
      </w:r>
      <w:r>
        <w:rPr>
          <w:rFonts w:cs="Times New Roman"/>
          <w:spacing w:val="-7"/>
          <w:sz w:val="18"/>
          <w:szCs w:val="18"/>
          <w:lang w:val="es-ES_tradnl"/>
        </w:rPr>
        <w:t>ñ</w:t>
      </w:r>
      <w:r>
        <w:rPr>
          <w:spacing w:val="-7"/>
          <w:sz w:val="18"/>
          <w:szCs w:val="18"/>
          <w:lang w:val="es-ES_tradnl"/>
        </w:rPr>
        <w:t xml:space="preserve">alar que en el </w:t>
      </w:r>
      <w:r>
        <w:rPr>
          <w:spacing w:val="-5"/>
          <w:sz w:val="18"/>
          <w:szCs w:val="18"/>
          <w:lang w:val="es-ES_tradnl"/>
        </w:rPr>
        <w:t xml:space="preserve">presente convenio intervienen </w:t>
      </w:r>
      <w:r>
        <w:rPr>
          <w:rFonts w:cs="Times New Roman"/>
          <w:spacing w:val="-5"/>
          <w:sz w:val="18"/>
          <w:szCs w:val="18"/>
          <w:lang w:val="es-ES_tradnl"/>
        </w:rPr>
        <w:t>ú</w:t>
      </w:r>
      <w:r>
        <w:rPr>
          <w:spacing w:val="-5"/>
          <w:sz w:val="18"/>
          <w:szCs w:val="18"/>
          <w:lang w:val="es-ES_tradnl"/>
        </w:rPr>
        <w:t xml:space="preserve">nicamente los Estados </w:t>
      </w:r>
      <w:r>
        <w:rPr>
          <w:spacing w:val="-6"/>
          <w:sz w:val="18"/>
          <w:szCs w:val="18"/>
          <w:lang w:val="es-ES_tradnl"/>
        </w:rPr>
        <w:t xml:space="preserve">parte de Ecuador y China, por lo que incluir disposiciones </w:t>
      </w:r>
      <w:r>
        <w:rPr>
          <w:spacing w:val="-7"/>
          <w:sz w:val="18"/>
          <w:szCs w:val="18"/>
          <w:lang w:val="es-ES_tradnl"/>
        </w:rPr>
        <w:t>respecto a otros Estados contraviene la condici</w:t>
      </w:r>
      <w:r>
        <w:rPr>
          <w:rFonts w:cs="Times New Roman"/>
          <w:spacing w:val="-7"/>
          <w:sz w:val="18"/>
          <w:szCs w:val="18"/>
          <w:lang w:val="es-ES_tradnl"/>
        </w:rPr>
        <w:t>ó</w:t>
      </w:r>
      <w:r>
        <w:rPr>
          <w:spacing w:val="-7"/>
          <w:sz w:val="18"/>
          <w:szCs w:val="18"/>
          <w:lang w:val="es-ES_tradnl"/>
        </w:rPr>
        <w:t xml:space="preserve">n de la </w:t>
      </w:r>
      <w:r>
        <w:rPr>
          <w:spacing w:val="-6"/>
          <w:sz w:val="18"/>
          <w:szCs w:val="18"/>
          <w:lang w:val="es-ES_tradnl"/>
        </w:rPr>
        <w:t xml:space="preserve">bilateralidad del mismo, el Estado ecuatoriano no puede </w:t>
      </w:r>
      <w:r>
        <w:rPr>
          <w:spacing w:val="-3"/>
          <w:sz w:val="18"/>
          <w:szCs w:val="18"/>
          <w:lang w:val="es-ES_tradnl"/>
        </w:rPr>
        <w:t xml:space="preserve">obligarse en virtud de un convenio bilateral a que se </w:t>
      </w:r>
      <w:r>
        <w:rPr>
          <w:spacing w:val="-6"/>
          <w:sz w:val="18"/>
          <w:szCs w:val="18"/>
          <w:lang w:val="es-ES_tradnl"/>
        </w:rPr>
        <w:t xml:space="preserve">incluyen disposiciones aplicables para otros Estados. Si </w:t>
      </w:r>
      <w:r>
        <w:rPr>
          <w:spacing w:val="-4"/>
          <w:sz w:val="18"/>
          <w:szCs w:val="18"/>
          <w:lang w:val="es-ES_tradnl"/>
        </w:rPr>
        <w:t>bien promover la integraci</w:t>
      </w:r>
      <w:r>
        <w:rPr>
          <w:rFonts w:cs="Times New Roman"/>
          <w:spacing w:val="-4"/>
          <w:sz w:val="18"/>
          <w:szCs w:val="18"/>
          <w:lang w:val="es-ES_tradnl"/>
        </w:rPr>
        <w:t>ó</w:t>
      </w:r>
      <w:r>
        <w:rPr>
          <w:spacing w:val="-4"/>
          <w:sz w:val="18"/>
          <w:szCs w:val="18"/>
          <w:lang w:val="es-ES_tradnl"/>
        </w:rPr>
        <w:t xml:space="preserve">n latinoamericana es uno de </w:t>
      </w:r>
      <w:r>
        <w:rPr>
          <w:spacing w:val="-1"/>
          <w:sz w:val="18"/>
          <w:szCs w:val="18"/>
          <w:lang w:val="es-ES_tradnl"/>
        </w:rPr>
        <w:t>los objetivos del r</w:t>
      </w:r>
      <w:r>
        <w:rPr>
          <w:rFonts w:cs="Times New Roman"/>
          <w:spacing w:val="-1"/>
          <w:sz w:val="18"/>
          <w:szCs w:val="18"/>
          <w:lang w:val="es-ES_tradnl"/>
        </w:rPr>
        <w:t>é</w:t>
      </w:r>
      <w:r>
        <w:rPr>
          <w:spacing w:val="-1"/>
          <w:sz w:val="18"/>
          <w:szCs w:val="18"/>
          <w:lang w:val="es-ES_tradnl"/>
        </w:rPr>
        <w:t xml:space="preserve">gimen de desarrollo establecido en </w:t>
      </w:r>
      <w:r>
        <w:rPr>
          <w:spacing w:val="-5"/>
          <w:sz w:val="18"/>
          <w:szCs w:val="18"/>
          <w:lang w:val="es-ES_tradnl"/>
        </w:rPr>
        <w:t>el art</w:t>
      </w:r>
      <w:r>
        <w:rPr>
          <w:rFonts w:cs="Times New Roman"/>
          <w:spacing w:val="-5"/>
          <w:sz w:val="18"/>
          <w:szCs w:val="18"/>
          <w:lang w:val="es-ES_tradnl"/>
        </w:rPr>
        <w:t>í</w:t>
      </w:r>
      <w:r>
        <w:rPr>
          <w:spacing w:val="-5"/>
          <w:sz w:val="18"/>
          <w:szCs w:val="18"/>
          <w:lang w:val="es-ES_tradnl"/>
        </w:rPr>
        <w:t>culo 276 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 xml:space="preserve">blica, cabe </w:t>
      </w:r>
      <w:r>
        <w:rPr>
          <w:spacing w:val="-9"/>
          <w:sz w:val="18"/>
          <w:szCs w:val="18"/>
          <w:lang w:val="es-ES_tradnl"/>
        </w:rPr>
        <w:t>se</w:t>
      </w:r>
      <w:r>
        <w:rPr>
          <w:rFonts w:cs="Times New Roman"/>
          <w:spacing w:val="-9"/>
          <w:sz w:val="18"/>
          <w:szCs w:val="18"/>
          <w:lang w:val="es-ES_tradnl"/>
        </w:rPr>
        <w:t>ñ</w:t>
      </w:r>
      <w:r>
        <w:rPr>
          <w:spacing w:val="-9"/>
          <w:sz w:val="18"/>
          <w:szCs w:val="18"/>
          <w:lang w:val="es-ES_tradnl"/>
        </w:rPr>
        <w:t>alar que dentro de estos objetivos tambi</w:t>
      </w:r>
      <w:r>
        <w:rPr>
          <w:rFonts w:cs="Times New Roman"/>
          <w:spacing w:val="-9"/>
          <w:sz w:val="18"/>
          <w:szCs w:val="18"/>
          <w:lang w:val="es-ES_tradnl"/>
        </w:rPr>
        <w:t>é</w:t>
      </w:r>
      <w:r>
        <w:rPr>
          <w:spacing w:val="-9"/>
          <w:sz w:val="18"/>
          <w:szCs w:val="18"/>
          <w:lang w:val="es-ES_tradnl"/>
        </w:rPr>
        <w:t xml:space="preserve">n se establece </w:t>
      </w:r>
      <w:r>
        <w:rPr>
          <w:spacing w:val="-7"/>
          <w:sz w:val="18"/>
          <w:szCs w:val="18"/>
          <w:lang w:val="es-ES_tradnl"/>
        </w:rPr>
        <w:t>la garant</w:t>
      </w:r>
      <w:r>
        <w:rPr>
          <w:rFonts w:cs="Times New Roman"/>
          <w:spacing w:val="-7"/>
          <w:sz w:val="18"/>
          <w:szCs w:val="18"/>
          <w:lang w:val="es-ES_tradnl"/>
        </w:rPr>
        <w:t>í</w:t>
      </w:r>
      <w:r>
        <w:rPr>
          <w:spacing w:val="-7"/>
          <w:sz w:val="18"/>
          <w:szCs w:val="18"/>
          <w:lang w:val="es-ES_tradnl"/>
        </w:rPr>
        <w:t>a de la soberan</w:t>
      </w:r>
      <w:r>
        <w:rPr>
          <w:rFonts w:cs="Times New Roman"/>
          <w:spacing w:val="-7"/>
          <w:sz w:val="18"/>
          <w:szCs w:val="18"/>
          <w:lang w:val="es-ES_tradnl"/>
        </w:rPr>
        <w:t>í</w:t>
      </w:r>
      <w:r>
        <w:rPr>
          <w:spacing w:val="-7"/>
          <w:sz w:val="18"/>
          <w:szCs w:val="18"/>
          <w:lang w:val="es-ES_tradnl"/>
        </w:rPr>
        <w:t>a nacional que tiene relaci</w:t>
      </w:r>
      <w:r>
        <w:rPr>
          <w:rFonts w:cs="Times New Roman"/>
          <w:spacing w:val="-7"/>
          <w:sz w:val="18"/>
          <w:szCs w:val="18"/>
          <w:lang w:val="es-ES_tradnl"/>
        </w:rPr>
        <w:t>ó</w:t>
      </w:r>
      <w:r>
        <w:rPr>
          <w:spacing w:val="-7"/>
          <w:sz w:val="18"/>
          <w:szCs w:val="18"/>
          <w:lang w:val="es-ES_tradnl"/>
        </w:rPr>
        <w:t>n con la autodeterminaci</w:t>
      </w:r>
      <w:r>
        <w:rPr>
          <w:rFonts w:cs="Times New Roman"/>
          <w:spacing w:val="-7"/>
          <w:sz w:val="18"/>
          <w:szCs w:val="18"/>
          <w:lang w:val="es-ES_tradnl"/>
        </w:rPr>
        <w:t>ó</w:t>
      </w:r>
      <w:r>
        <w:rPr>
          <w:spacing w:val="-7"/>
          <w:sz w:val="18"/>
          <w:szCs w:val="18"/>
          <w:lang w:val="es-ES_tradnl"/>
        </w:rPr>
        <w:t xml:space="preserve">n e independencia del Ecuador en el </w:t>
      </w:r>
      <w:r>
        <w:rPr>
          <w:spacing w:val="-6"/>
          <w:sz w:val="18"/>
          <w:szCs w:val="18"/>
          <w:lang w:val="es-ES_tradnl"/>
        </w:rPr>
        <w:t xml:space="preserve">contexto internacional. Sin embargo, de lo expuesto, se </w:t>
      </w:r>
      <w:r>
        <w:rPr>
          <w:spacing w:val="-5"/>
          <w:sz w:val="18"/>
          <w:szCs w:val="18"/>
          <w:lang w:val="es-ES_tradnl"/>
        </w:rPr>
        <w:t>verifica que el art</w:t>
      </w:r>
      <w:r>
        <w:rPr>
          <w:rFonts w:cs="Times New Roman"/>
          <w:spacing w:val="-5"/>
          <w:sz w:val="18"/>
          <w:szCs w:val="18"/>
          <w:lang w:val="es-ES_tradnl"/>
        </w:rPr>
        <w:t>í</w:t>
      </w:r>
      <w:r>
        <w:rPr>
          <w:spacing w:val="-5"/>
          <w:sz w:val="18"/>
          <w:szCs w:val="18"/>
          <w:lang w:val="es-ES_tradnl"/>
        </w:rPr>
        <w:t xml:space="preserve">culo 3 del instrumento internacional en </w:t>
      </w:r>
      <w:r>
        <w:rPr>
          <w:spacing w:val="-6"/>
          <w:sz w:val="18"/>
          <w:szCs w:val="18"/>
          <w:lang w:val="es-ES_tradnl"/>
        </w:rPr>
        <w:t>estudio no contraviene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al </w:t>
      </w:r>
      <w:r>
        <w:rPr>
          <w:spacing w:val="-7"/>
          <w:sz w:val="18"/>
          <w:szCs w:val="18"/>
          <w:lang w:val="es-ES_tradnl"/>
        </w:rPr>
        <w:t>incluir disposiciones que mencionan a otros Estados.</w:t>
      </w:r>
    </w:p>
    <w:p w14:paraId="4F67A42D" w14:textId="77777777" w:rsidR="00591D54" w:rsidRDefault="00591D54">
      <w:pPr>
        <w:shd w:val="clear" w:color="auto" w:fill="FFFFFF"/>
        <w:spacing w:before="192" w:line="216" w:lineRule="exact"/>
        <w:jc w:val="both"/>
      </w:pPr>
      <w:r>
        <w:rPr>
          <w:spacing w:val="-2"/>
          <w:sz w:val="18"/>
          <w:szCs w:val="18"/>
          <w:lang w:val="es-ES_tradnl"/>
        </w:rPr>
        <w:t xml:space="preserve">Sobre el </w:t>
      </w:r>
      <w:r>
        <w:rPr>
          <w:b/>
          <w:bCs/>
          <w:spacing w:val="-2"/>
          <w:sz w:val="18"/>
          <w:szCs w:val="18"/>
          <w:lang w:val="es-ES_tradnl"/>
        </w:rPr>
        <w:t>art</w:t>
      </w:r>
      <w:r>
        <w:rPr>
          <w:rFonts w:cs="Times New Roman"/>
          <w:b/>
          <w:bCs/>
          <w:spacing w:val="-2"/>
          <w:sz w:val="18"/>
          <w:szCs w:val="18"/>
          <w:lang w:val="es-ES_tradnl"/>
        </w:rPr>
        <w:t>í</w:t>
      </w:r>
      <w:r>
        <w:rPr>
          <w:b/>
          <w:bCs/>
          <w:spacing w:val="-2"/>
          <w:sz w:val="18"/>
          <w:szCs w:val="18"/>
          <w:lang w:val="es-ES_tradnl"/>
        </w:rPr>
        <w:t xml:space="preserve">culo 4 </w:t>
      </w:r>
      <w:r>
        <w:rPr>
          <w:spacing w:val="-2"/>
          <w:sz w:val="18"/>
          <w:szCs w:val="18"/>
          <w:lang w:val="es-ES_tradnl"/>
        </w:rPr>
        <w:t>del instrumento en an</w:t>
      </w:r>
      <w:r>
        <w:rPr>
          <w:rFonts w:cs="Times New Roman"/>
          <w:spacing w:val="-2"/>
          <w:sz w:val="18"/>
          <w:szCs w:val="18"/>
          <w:lang w:val="es-ES_tradnl"/>
        </w:rPr>
        <w:t>á</w:t>
      </w:r>
      <w:r>
        <w:rPr>
          <w:spacing w:val="-2"/>
          <w:sz w:val="18"/>
          <w:szCs w:val="18"/>
          <w:lang w:val="es-ES_tradnl"/>
        </w:rPr>
        <w:t xml:space="preserve">lisis, se </w:t>
      </w:r>
      <w:r>
        <w:rPr>
          <w:spacing w:val="-1"/>
          <w:sz w:val="18"/>
          <w:szCs w:val="18"/>
          <w:lang w:val="es-ES_tradnl"/>
        </w:rPr>
        <w:t>determinan disposiciones relativas a la retenci</w:t>
      </w:r>
      <w:r>
        <w:rPr>
          <w:rFonts w:cs="Times New Roman"/>
          <w:spacing w:val="-1"/>
          <w:sz w:val="18"/>
          <w:szCs w:val="18"/>
          <w:lang w:val="es-ES_tradnl"/>
        </w:rPr>
        <w:t>ó</w:t>
      </w:r>
      <w:r>
        <w:rPr>
          <w:spacing w:val="-1"/>
          <w:sz w:val="18"/>
          <w:szCs w:val="18"/>
          <w:lang w:val="es-ES_tradnl"/>
        </w:rPr>
        <w:t xml:space="preserve">n, </w:t>
      </w:r>
      <w:r>
        <w:rPr>
          <w:spacing w:val="-6"/>
          <w:sz w:val="18"/>
          <w:szCs w:val="18"/>
          <w:lang w:val="es-ES_tradnl"/>
        </w:rPr>
        <w:t>revocaci</w:t>
      </w:r>
      <w:r>
        <w:rPr>
          <w:rFonts w:cs="Times New Roman"/>
          <w:spacing w:val="-6"/>
          <w:sz w:val="18"/>
          <w:szCs w:val="18"/>
          <w:lang w:val="es-ES_tradnl"/>
        </w:rPr>
        <w:t>ó</w:t>
      </w:r>
      <w:r>
        <w:rPr>
          <w:spacing w:val="-6"/>
          <w:sz w:val="18"/>
          <w:szCs w:val="18"/>
          <w:lang w:val="es-ES_tradnl"/>
        </w:rPr>
        <w:t>n, suspensi</w:t>
      </w:r>
      <w:r>
        <w:rPr>
          <w:rFonts w:cs="Times New Roman"/>
          <w:spacing w:val="-6"/>
          <w:sz w:val="18"/>
          <w:szCs w:val="18"/>
          <w:lang w:val="es-ES_tradnl"/>
        </w:rPr>
        <w:t>ó</w:t>
      </w:r>
      <w:r>
        <w:rPr>
          <w:spacing w:val="-6"/>
          <w:sz w:val="18"/>
          <w:szCs w:val="18"/>
          <w:lang w:val="es-ES_tradnl"/>
        </w:rPr>
        <w:t>n y limitaci</w:t>
      </w:r>
      <w:r>
        <w:rPr>
          <w:rFonts w:cs="Times New Roman"/>
          <w:spacing w:val="-6"/>
          <w:sz w:val="18"/>
          <w:szCs w:val="18"/>
          <w:lang w:val="es-ES_tradnl"/>
        </w:rPr>
        <w:t>ó</w:t>
      </w:r>
      <w:r>
        <w:rPr>
          <w:spacing w:val="-6"/>
          <w:sz w:val="18"/>
          <w:szCs w:val="18"/>
          <w:lang w:val="es-ES_tradnl"/>
        </w:rPr>
        <w:t xml:space="preserve">n de las autorizaciones </w:t>
      </w:r>
      <w:r>
        <w:rPr>
          <w:spacing w:val="-10"/>
          <w:sz w:val="18"/>
          <w:szCs w:val="18"/>
          <w:lang w:val="es-ES_tradnl"/>
        </w:rPr>
        <w:t>de operaci</w:t>
      </w:r>
      <w:r>
        <w:rPr>
          <w:rFonts w:cs="Times New Roman"/>
          <w:spacing w:val="-10"/>
          <w:sz w:val="18"/>
          <w:szCs w:val="18"/>
          <w:lang w:val="es-ES_tradnl"/>
        </w:rPr>
        <w:t>ó</w:t>
      </w:r>
      <w:r>
        <w:rPr>
          <w:spacing w:val="-10"/>
          <w:sz w:val="18"/>
          <w:szCs w:val="18"/>
          <w:lang w:val="es-ES_tradnl"/>
        </w:rPr>
        <w:t>n o permisos t</w:t>
      </w:r>
      <w:r>
        <w:rPr>
          <w:rFonts w:cs="Times New Roman"/>
          <w:spacing w:val="-10"/>
          <w:sz w:val="18"/>
          <w:szCs w:val="18"/>
          <w:lang w:val="es-ES_tradnl"/>
        </w:rPr>
        <w:t>é</w:t>
      </w:r>
      <w:r>
        <w:rPr>
          <w:spacing w:val="-10"/>
          <w:sz w:val="18"/>
          <w:szCs w:val="18"/>
          <w:lang w:val="es-ES_tradnl"/>
        </w:rPr>
        <w:t>cnicos. Seg</w:t>
      </w:r>
      <w:r>
        <w:rPr>
          <w:rFonts w:cs="Times New Roman"/>
          <w:spacing w:val="-10"/>
          <w:sz w:val="18"/>
          <w:szCs w:val="18"/>
          <w:lang w:val="es-ES_tradnl"/>
        </w:rPr>
        <w:t>ú</w:t>
      </w:r>
      <w:r>
        <w:rPr>
          <w:spacing w:val="-10"/>
          <w:sz w:val="18"/>
          <w:szCs w:val="18"/>
          <w:lang w:val="es-ES_tradnl"/>
        </w:rPr>
        <w:t xml:space="preserve">n el texto se otorgan </w:t>
      </w:r>
      <w:r>
        <w:rPr>
          <w:spacing w:val="-8"/>
          <w:sz w:val="18"/>
          <w:szCs w:val="18"/>
          <w:lang w:val="es-ES_tradnl"/>
        </w:rPr>
        <w:t>estas atribuciones a las autoridades aeron</w:t>
      </w:r>
      <w:r>
        <w:rPr>
          <w:rFonts w:cs="Times New Roman"/>
          <w:spacing w:val="-8"/>
          <w:sz w:val="18"/>
          <w:szCs w:val="18"/>
          <w:lang w:val="es-ES_tradnl"/>
        </w:rPr>
        <w:t>á</w:t>
      </w:r>
      <w:r>
        <w:rPr>
          <w:spacing w:val="-8"/>
          <w:sz w:val="18"/>
          <w:szCs w:val="18"/>
          <w:lang w:val="es-ES_tradnl"/>
        </w:rPr>
        <w:t xml:space="preserve">uticas de cada </w:t>
      </w:r>
      <w:r>
        <w:rPr>
          <w:spacing w:val="-9"/>
          <w:sz w:val="18"/>
          <w:szCs w:val="18"/>
          <w:lang w:val="es-ES_tradnl"/>
        </w:rPr>
        <w:t>pa</w:t>
      </w:r>
      <w:r>
        <w:rPr>
          <w:rFonts w:cs="Times New Roman"/>
          <w:spacing w:val="-9"/>
          <w:sz w:val="18"/>
          <w:szCs w:val="18"/>
          <w:lang w:val="es-ES_tradnl"/>
        </w:rPr>
        <w:t>í</w:t>
      </w:r>
      <w:r>
        <w:rPr>
          <w:spacing w:val="-9"/>
          <w:sz w:val="18"/>
          <w:szCs w:val="18"/>
          <w:lang w:val="es-ES_tradnl"/>
        </w:rPr>
        <w:t>s y se se</w:t>
      </w:r>
      <w:r>
        <w:rPr>
          <w:rFonts w:cs="Times New Roman"/>
          <w:spacing w:val="-9"/>
          <w:sz w:val="18"/>
          <w:szCs w:val="18"/>
          <w:lang w:val="es-ES_tradnl"/>
        </w:rPr>
        <w:t>ñ</w:t>
      </w:r>
      <w:r>
        <w:rPr>
          <w:spacing w:val="-9"/>
          <w:sz w:val="18"/>
          <w:szCs w:val="18"/>
          <w:lang w:val="es-ES_tradnl"/>
        </w:rPr>
        <w:t>alan casos espec</w:t>
      </w:r>
      <w:r>
        <w:rPr>
          <w:rFonts w:cs="Times New Roman"/>
          <w:spacing w:val="-9"/>
          <w:sz w:val="18"/>
          <w:szCs w:val="18"/>
          <w:lang w:val="es-ES_tradnl"/>
        </w:rPr>
        <w:t>í</w:t>
      </w:r>
      <w:r>
        <w:rPr>
          <w:spacing w:val="-9"/>
          <w:sz w:val="18"/>
          <w:szCs w:val="18"/>
          <w:lang w:val="es-ES_tradnl"/>
        </w:rPr>
        <w:t xml:space="preserve">ficos para ejecutarlas. Estos </w:t>
      </w:r>
      <w:r>
        <w:rPr>
          <w:spacing w:val="-11"/>
          <w:sz w:val="18"/>
          <w:szCs w:val="18"/>
          <w:lang w:val="es-ES_tradnl"/>
        </w:rPr>
        <w:t>casos esencialmente se refieren a: cuando las l</w:t>
      </w:r>
      <w:r>
        <w:rPr>
          <w:rFonts w:cs="Times New Roman"/>
          <w:spacing w:val="-11"/>
          <w:sz w:val="18"/>
          <w:szCs w:val="18"/>
          <w:lang w:val="es-ES_tradnl"/>
        </w:rPr>
        <w:t>í</w:t>
      </w:r>
      <w:r>
        <w:rPr>
          <w:spacing w:val="-11"/>
          <w:sz w:val="18"/>
          <w:szCs w:val="18"/>
          <w:lang w:val="es-ES_tradnl"/>
        </w:rPr>
        <w:t>neas a</w:t>
      </w:r>
      <w:r>
        <w:rPr>
          <w:rFonts w:cs="Times New Roman"/>
          <w:spacing w:val="-11"/>
          <w:sz w:val="18"/>
          <w:szCs w:val="18"/>
          <w:lang w:val="es-ES_tradnl"/>
        </w:rPr>
        <w:t>é</w:t>
      </w:r>
      <w:r>
        <w:rPr>
          <w:spacing w:val="-11"/>
          <w:sz w:val="18"/>
          <w:szCs w:val="18"/>
          <w:lang w:val="es-ES_tradnl"/>
        </w:rPr>
        <w:t xml:space="preserve">reas designadas no pueden convencer a las autoridades de la otra </w:t>
      </w:r>
      <w:r>
        <w:rPr>
          <w:spacing w:val="-10"/>
          <w:sz w:val="18"/>
          <w:szCs w:val="18"/>
          <w:lang w:val="es-ES_tradnl"/>
        </w:rPr>
        <w:t>parte que est</w:t>
      </w:r>
      <w:r>
        <w:rPr>
          <w:rFonts w:cs="Times New Roman"/>
          <w:spacing w:val="-10"/>
          <w:sz w:val="18"/>
          <w:szCs w:val="18"/>
          <w:lang w:val="es-ES_tradnl"/>
        </w:rPr>
        <w:t>á</w:t>
      </w:r>
      <w:r>
        <w:rPr>
          <w:spacing w:val="-10"/>
          <w:sz w:val="18"/>
          <w:szCs w:val="18"/>
          <w:lang w:val="es-ES_tradnl"/>
        </w:rPr>
        <w:t xml:space="preserve">n calificadas para cumplir con las condiciones </w:t>
      </w:r>
      <w:r>
        <w:rPr>
          <w:spacing w:val="-7"/>
          <w:sz w:val="18"/>
          <w:szCs w:val="18"/>
          <w:lang w:val="es-ES_tradnl"/>
        </w:rPr>
        <w:t>prescritas en las leyes y regulaciones; cuando existe incumplimiento por cualquiera de las Partes con el art</w:t>
      </w:r>
      <w:r>
        <w:rPr>
          <w:rFonts w:cs="Times New Roman"/>
          <w:spacing w:val="-7"/>
          <w:sz w:val="18"/>
          <w:szCs w:val="18"/>
          <w:lang w:val="es-ES_tradnl"/>
        </w:rPr>
        <w:t>í</w:t>
      </w:r>
      <w:r>
        <w:rPr>
          <w:spacing w:val="-7"/>
          <w:sz w:val="18"/>
          <w:szCs w:val="18"/>
          <w:lang w:val="es-ES_tradnl"/>
        </w:rPr>
        <w:t>culo 8 y 9 del presente convenio y en general cuando la l</w:t>
      </w:r>
      <w:r>
        <w:rPr>
          <w:rFonts w:cs="Times New Roman"/>
          <w:spacing w:val="-7"/>
          <w:sz w:val="18"/>
          <w:szCs w:val="18"/>
          <w:lang w:val="es-ES_tradnl"/>
        </w:rPr>
        <w:t>í</w:t>
      </w:r>
      <w:r>
        <w:rPr>
          <w:spacing w:val="-7"/>
          <w:sz w:val="18"/>
          <w:szCs w:val="18"/>
          <w:lang w:val="es-ES_tradnl"/>
        </w:rPr>
        <w:t xml:space="preserve">nea </w:t>
      </w:r>
      <w:r>
        <w:rPr>
          <w:spacing w:val="-9"/>
          <w:sz w:val="18"/>
          <w:szCs w:val="18"/>
          <w:lang w:val="es-ES_tradnl"/>
        </w:rPr>
        <w:t>a</w:t>
      </w:r>
      <w:r>
        <w:rPr>
          <w:rFonts w:cs="Times New Roman"/>
          <w:spacing w:val="-9"/>
          <w:sz w:val="18"/>
          <w:szCs w:val="18"/>
          <w:lang w:val="es-ES_tradnl"/>
        </w:rPr>
        <w:t>é</w:t>
      </w:r>
      <w:r>
        <w:rPr>
          <w:spacing w:val="-9"/>
          <w:sz w:val="18"/>
          <w:szCs w:val="18"/>
          <w:lang w:val="es-ES_tradnl"/>
        </w:rPr>
        <w:t xml:space="preserve">rea no opera de conformidad a las condiciones prescritas </w:t>
      </w:r>
      <w:r>
        <w:rPr>
          <w:spacing w:val="-11"/>
          <w:sz w:val="18"/>
          <w:szCs w:val="18"/>
          <w:lang w:val="es-ES_tradnl"/>
        </w:rPr>
        <w:t>en el instrumento internacional; as</w:t>
      </w:r>
      <w:r>
        <w:rPr>
          <w:rFonts w:cs="Times New Roman"/>
          <w:spacing w:val="-11"/>
          <w:sz w:val="18"/>
          <w:szCs w:val="18"/>
          <w:lang w:val="es-ES_tradnl"/>
        </w:rPr>
        <w:t>í</w:t>
      </w:r>
      <w:r>
        <w:rPr>
          <w:spacing w:val="-11"/>
          <w:sz w:val="18"/>
          <w:szCs w:val="18"/>
          <w:lang w:val="es-ES_tradnl"/>
        </w:rPr>
        <w:t xml:space="preserve">, se observa que se busca </w:t>
      </w:r>
      <w:r>
        <w:rPr>
          <w:spacing w:val="-8"/>
          <w:sz w:val="18"/>
          <w:szCs w:val="18"/>
          <w:lang w:val="es-ES_tradnl"/>
        </w:rPr>
        <w:t>resguardar la seguridad de vuelo y de aviaci</w:t>
      </w:r>
      <w:r>
        <w:rPr>
          <w:rFonts w:cs="Times New Roman"/>
          <w:spacing w:val="-8"/>
          <w:sz w:val="18"/>
          <w:szCs w:val="18"/>
          <w:lang w:val="es-ES_tradnl"/>
        </w:rPr>
        <w:t>ó</w:t>
      </w:r>
      <w:r>
        <w:rPr>
          <w:spacing w:val="-8"/>
          <w:sz w:val="18"/>
          <w:szCs w:val="18"/>
          <w:lang w:val="es-ES_tradnl"/>
        </w:rPr>
        <w:t>n. Del an</w:t>
      </w:r>
      <w:r>
        <w:rPr>
          <w:rFonts w:cs="Times New Roman"/>
          <w:spacing w:val="-8"/>
          <w:sz w:val="18"/>
          <w:szCs w:val="18"/>
          <w:lang w:val="es-ES_tradnl"/>
        </w:rPr>
        <w:t>á</w:t>
      </w:r>
      <w:r>
        <w:rPr>
          <w:spacing w:val="-8"/>
          <w:sz w:val="18"/>
          <w:szCs w:val="18"/>
          <w:lang w:val="es-ES_tradnl"/>
        </w:rPr>
        <w:t xml:space="preserve">lisis </w:t>
      </w:r>
      <w:r>
        <w:rPr>
          <w:spacing w:val="-10"/>
          <w:sz w:val="18"/>
          <w:szCs w:val="18"/>
          <w:lang w:val="es-ES_tradnl"/>
        </w:rPr>
        <w:t>efectuado se determina que las disposiciones se</w:t>
      </w:r>
      <w:r>
        <w:rPr>
          <w:rFonts w:cs="Times New Roman"/>
          <w:spacing w:val="-10"/>
          <w:sz w:val="18"/>
          <w:szCs w:val="18"/>
          <w:lang w:val="es-ES_tradnl"/>
        </w:rPr>
        <w:t>ñ</w:t>
      </w:r>
      <w:r>
        <w:rPr>
          <w:spacing w:val="-10"/>
          <w:sz w:val="18"/>
          <w:szCs w:val="18"/>
          <w:lang w:val="es-ES_tradnl"/>
        </w:rPr>
        <w:t xml:space="preserve">aladas son </w:t>
      </w:r>
      <w:r>
        <w:rPr>
          <w:spacing w:val="-7"/>
          <w:sz w:val="18"/>
          <w:szCs w:val="18"/>
          <w:lang w:val="es-ES_tradnl"/>
        </w:rPr>
        <w:t>conformes a 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blica.</w:t>
      </w:r>
    </w:p>
    <w:p w14:paraId="4F67A42E" w14:textId="77777777" w:rsidR="00591D54" w:rsidRDefault="00591D54">
      <w:pPr>
        <w:shd w:val="clear" w:color="auto" w:fill="FFFFFF"/>
        <w:spacing w:before="192" w:line="216" w:lineRule="exact"/>
        <w:jc w:val="both"/>
      </w:pPr>
      <w:r>
        <w:rPr>
          <w:spacing w:val="-7"/>
          <w:sz w:val="18"/>
          <w:szCs w:val="18"/>
          <w:lang w:val="es-ES_tradnl"/>
        </w:rPr>
        <w:t xml:space="preserve">En el </w:t>
      </w:r>
      <w:r>
        <w:rPr>
          <w:b/>
          <w:bCs/>
          <w:spacing w:val="-7"/>
          <w:sz w:val="18"/>
          <w:szCs w:val="18"/>
          <w:lang w:val="es-ES_tradnl"/>
        </w:rPr>
        <w:t>art</w:t>
      </w:r>
      <w:r>
        <w:rPr>
          <w:rFonts w:cs="Times New Roman"/>
          <w:b/>
          <w:bCs/>
          <w:spacing w:val="-7"/>
          <w:sz w:val="18"/>
          <w:szCs w:val="18"/>
          <w:lang w:val="es-ES_tradnl"/>
        </w:rPr>
        <w:t>í</w:t>
      </w:r>
      <w:r>
        <w:rPr>
          <w:b/>
          <w:bCs/>
          <w:spacing w:val="-7"/>
          <w:sz w:val="18"/>
          <w:szCs w:val="18"/>
          <w:lang w:val="es-ES_tradnl"/>
        </w:rPr>
        <w:t xml:space="preserve">culo 5 </w:t>
      </w:r>
      <w:r>
        <w:rPr>
          <w:spacing w:val="-7"/>
          <w:sz w:val="18"/>
          <w:szCs w:val="18"/>
          <w:lang w:val="es-ES_tradnl"/>
        </w:rPr>
        <w:t>se realizan precisiones sobre la aplicaci</w:t>
      </w:r>
      <w:r>
        <w:rPr>
          <w:rFonts w:cs="Times New Roman"/>
          <w:spacing w:val="-7"/>
          <w:sz w:val="18"/>
          <w:szCs w:val="18"/>
          <w:lang w:val="es-ES_tradnl"/>
        </w:rPr>
        <w:t>ó</w:t>
      </w:r>
      <w:r>
        <w:rPr>
          <w:spacing w:val="-7"/>
          <w:sz w:val="18"/>
          <w:szCs w:val="18"/>
          <w:lang w:val="es-ES_tradnl"/>
        </w:rPr>
        <w:t>n de la ley, este art</w:t>
      </w:r>
      <w:r>
        <w:rPr>
          <w:rFonts w:cs="Times New Roman"/>
          <w:spacing w:val="-7"/>
          <w:sz w:val="18"/>
          <w:szCs w:val="18"/>
          <w:lang w:val="es-ES_tradnl"/>
        </w:rPr>
        <w:t>í</w:t>
      </w:r>
      <w:r>
        <w:rPr>
          <w:spacing w:val="-7"/>
          <w:sz w:val="18"/>
          <w:szCs w:val="18"/>
          <w:lang w:val="es-ES_tradnl"/>
        </w:rPr>
        <w:t>culo se</w:t>
      </w:r>
      <w:r>
        <w:rPr>
          <w:rFonts w:cs="Times New Roman"/>
          <w:spacing w:val="-7"/>
          <w:sz w:val="18"/>
          <w:szCs w:val="18"/>
          <w:lang w:val="es-ES_tradnl"/>
        </w:rPr>
        <w:t>ñ</w:t>
      </w:r>
      <w:r>
        <w:rPr>
          <w:spacing w:val="-7"/>
          <w:sz w:val="18"/>
          <w:szCs w:val="18"/>
          <w:lang w:val="es-ES_tradnl"/>
        </w:rPr>
        <w:t xml:space="preserve">ala que las leyes y regulaciones </w:t>
      </w:r>
      <w:r>
        <w:rPr>
          <w:spacing w:val="-9"/>
          <w:sz w:val="18"/>
          <w:szCs w:val="18"/>
          <w:lang w:val="es-ES_tradnl"/>
        </w:rPr>
        <w:t>de cada Parte se aplicar</w:t>
      </w:r>
      <w:r>
        <w:rPr>
          <w:rFonts w:cs="Times New Roman"/>
          <w:spacing w:val="-9"/>
          <w:sz w:val="18"/>
          <w:szCs w:val="18"/>
          <w:lang w:val="es-ES_tradnl"/>
        </w:rPr>
        <w:t>á</w:t>
      </w:r>
      <w:r>
        <w:rPr>
          <w:spacing w:val="-9"/>
          <w:sz w:val="18"/>
          <w:szCs w:val="18"/>
          <w:lang w:val="es-ES_tradnl"/>
        </w:rPr>
        <w:t>n a las l</w:t>
      </w:r>
      <w:r>
        <w:rPr>
          <w:rFonts w:cs="Times New Roman"/>
          <w:spacing w:val="-9"/>
          <w:sz w:val="18"/>
          <w:szCs w:val="18"/>
          <w:lang w:val="es-ES_tradnl"/>
        </w:rPr>
        <w:t>í</w:t>
      </w:r>
      <w:r>
        <w:rPr>
          <w:spacing w:val="-9"/>
          <w:sz w:val="18"/>
          <w:szCs w:val="18"/>
          <w:lang w:val="es-ES_tradnl"/>
        </w:rPr>
        <w:t>neas a</w:t>
      </w:r>
      <w:r>
        <w:rPr>
          <w:rFonts w:cs="Times New Roman"/>
          <w:spacing w:val="-9"/>
          <w:sz w:val="18"/>
          <w:szCs w:val="18"/>
          <w:lang w:val="es-ES_tradnl"/>
        </w:rPr>
        <w:t>é</w:t>
      </w:r>
      <w:r>
        <w:rPr>
          <w:spacing w:val="-9"/>
          <w:sz w:val="18"/>
          <w:szCs w:val="18"/>
          <w:lang w:val="es-ES_tradnl"/>
        </w:rPr>
        <w:t xml:space="preserve">reas designadas </w:t>
      </w:r>
      <w:r>
        <w:rPr>
          <w:spacing w:val="-8"/>
          <w:sz w:val="18"/>
          <w:szCs w:val="18"/>
          <w:lang w:val="es-ES_tradnl"/>
        </w:rPr>
        <w:t xml:space="preserve">por la otra Parte contratante, mientras se encuentra dentro </w:t>
      </w:r>
      <w:r>
        <w:rPr>
          <w:spacing w:val="-7"/>
          <w:sz w:val="18"/>
          <w:szCs w:val="18"/>
          <w:lang w:val="es-ES_tradnl"/>
        </w:rPr>
        <w:t>de su territorio. Se establece tambi</w:t>
      </w:r>
      <w:r>
        <w:rPr>
          <w:rFonts w:cs="Times New Roman"/>
          <w:spacing w:val="-7"/>
          <w:sz w:val="18"/>
          <w:szCs w:val="18"/>
          <w:lang w:val="es-ES_tradnl"/>
        </w:rPr>
        <w:t>é</w:t>
      </w:r>
      <w:r>
        <w:rPr>
          <w:spacing w:val="-7"/>
          <w:sz w:val="18"/>
          <w:szCs w:val="18"/>
          <w:lang w:val="es-ES_tradnl"/>
        </w:rPr>
        <w:t xml:space="preserve">n que ninguna Parte </w:t>
      </w:r>
      <w:r>
        <w:rPr>
          <w:spacing w:val="-8"/>
          <w:sz w:val="18"/>
          <w:szCs w:val="18"/>
          <w:lang w:val="es-ES_tradnl"/>
        </w:rPr>
        <w:t>contratante deber</w:t>
      </w:r>
      <w:r>
        <w:rPr>
          <w:rFonts w:cs="Times New Roman"/>
          <w:spacing w:val="-8"/>
          <w:sz w:val="18"/>
          <w:szCs w:val="18"/>
          <w:lang w:val="es-ES_tradnl"/>
        </w:rPr>
        <w:t>á</w:t>
      </w:r>
      <w:r>
        <w:rPr>
          <w:spacing w:val="-8"/>
          <w:sz w:val="18"/>
          <w:szCs w:val="18"/>
          <w:lang w:val="es-ES_tradnl"/>
        </w:rPr>
        <w:t xml:space="preserve"> dar preferencia a su propia l</w:t>
      </w:r>
      <w:r>
        <w:rPr>
          <w:rFonts w:cs="Times New Roman"/>
          <w:spacing w:val="-8"/>
          <w:sz w:val="18"/>
          <w:szCs w:val="18"/>
          <w:lang w:val="es-ES_tradnl"/>
        </w:rPr>
        <w:t>í</w:t>
      </w:r>
      <w:r>
        <w:rPr>
          <w:spacing w:val="-8"/>
          <w:sz w:val="18"/>
          <w:szCs w:val="18"/>
          <w:lang w:val="es-ES_tradnl"/>
        </w:rPr>
        <w:t>nea a</w:t>
      </w:r>
      <w:r>
        <w:rPr>
          <w:rFonts w:cs="Times New Roman"/>
          <w:spacing w:val="-8"/>
          <w:sz w:val="18"/>
          <w:szCs w:val="18"/>
          <w:lang w:val="es-ES_tradnl"/>
        </w:rPr>
        <w:t>é</w:t>
      </w:r>
      <w:r>
        <w:rPr>
          <w:spacing w:val="-8"/>
          <w:sz w:val="18"/>
          <w:szCs w:val="18"/>
          <w:lang w:val="es-ES_tradnl"/>
        </w:rPr>
        <w:t xml:space="preserve">rea </w:t>
      </w:r>
      <w:r>
        <w:rPr>
          <w:spacing w:val="-4"/>
          <w:sz w:val="18"/>
          <w:szCs w:val="18"/>
          <w:lang w:val="es-ES_tradnl"/>
        </w:rPr>
        <w:t>sobre la designada por la otra Parte en la aplicaci</w:t>
      </w:r>
      <w:r>
        <w:rPr>
          <w:rFonts w:cs="Times New Roman"/>
          <w:spacing w:val="-4"/>
          <w:sz w:val="18"/>
          <w:szCs w:val="18"/>
          <w:lang w:val="es-ES_tradnl"/>
        </w:rPr>
        <w:t>ó</w:t>
      </w:r>
      <w:r>
        <w:rPr>
          <w:spacing w:val="-4"/>
          <w:sz w:val="18"/>
          <w:szCs w:val="18"/>
          <w:lang w:val="es-ES_tradnl"/>
        </w:rPr>
        <w:t xml:space="preserve">n de </w:t>
      </w:r>
      <w:r>
        <w:rPr>
          <w:spacing w:val="-8"/>
          <w:sz w:val="18"/>
          <w:szCs w:val="18"/>
          <w:lang w:val="es-ES_tradnl"/>
        </w:rPr>
        <w:t>sus leyes y regulaciones establecidas en este art</w:t>
      </w:r>
      <w:r>
        <w:rPr>
          <w:rFonts w:cs="Times New Roman"/>
          <w:spacing w:val="-8"/>
          <w:sz w:val="18"/>
          <w:szCs w:val="18"/>
          <w:lang w:val="es-ES_tradnl"/>
        </w:rPr>
        <w:t>í</w:t>
      </w:r>
      <w:r>
        <w:rPr>
          <w:spacing w:val="-8"/>
          <w:sz w:val="18"/>
          <w:szCs w:val="18"/>
          <w:lang w:val="es-ES_tradnl"/>
        </w:rPr>
        <w:t xml:space="preserve">culo. Las </w:t>
      </w:r>
      <w:r>
        <w:rPr>
          <w:spacing w:val="-10"/>
          <w:sz w:val="18"/>
          <w:szCs w:val="18"/>
          <w:lang w:val="es-ES_tradnl"/>
        </w:rPr>
        <w:t>disposiciones contenidas en este art</w:t>
      </w:r>
      <w:r>
        <w:rPr>
          <w:rFonts w:cs="Times New Roman"/>
          <w:spacing w:val="-10"/>
          <w:sz w:val="18"/>
          <w:szCs w:val="18"/>
          <w:lang w:val="es-ES_tradnl"/>
        </w:rPr>
        <w:t>í</w:t>
      </w:r>
      <w:r>
        <w:rPr>
          <w:spacing w:val="-10"/>
          <w:sz w:val="18"/>
          <w:szCs w:val="18"/>
          <w:lang w:val="es-ES_tradnl"/>
        </w:rPr>
        <w:t xml:space="preserve">culo no transgreden las </w:t>
      </w:r>
      <w:r>
        <w:rPr>
          <w:spacing w:val="-7"/>
          <w:sz w:val="18"/>
          <w:szCs w:val="18"/>
          <w:lang w:val="es-ES_tradnl"/>
        </w:rPr>
        <w:t>disposiciones de 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blica.</w:t>
      </w:r>
    </w:p>
    <w:p w14:paraId="4F67A42F" w14:textId="77777777" w:rsidR="00591D54" w:rsidRDefault="00591D54">
      <w:pPr>
        <w:shd w:val="clear" w:color="auto" w:fill="FFFFFF"/>
        <w:spacing w:before="192" w:line="216" w:lineRule="exact"/>
        <w:jc w:val="both"/>
      </w:pPr>
      <w:r>
        <w:rPr>
          <w:spacing w:val="-6"/>
          <w:sz w:val="18"/>
          <w:szCs w:val="18"/>
          <w:lang w:val="es-ES_tradnl"/>
        </w:rPr>
        <w:t xml:space="preserve">El </w:t>
      </w:r>
      <w:r>
        <w:rPr>
          <w:b/>
          <w:bCs/>
          <w:spacing w:val="-6"/>
          <w:sz w:val="18"/>
          <w:szCs w:val="18"/>
          <w:lang w:val="es-ES_tradnl"/>
        </w:rPr>
        <w:t>art</w:t>
      </w:r>
      <w:r>
        <w:rPr>
          <w:rFonts w:cs="Times New Roman"/>
          <w:b/>
          <w:bCs/>
          <w:spacing w:val="-6"/>
          <w:sz w:val="18"/>
          <w:szCs w:val="18"/>
          <w:lang w:val="es-ES_tradnl"/>
        </w:rPr>
        <w:t>í</w:t>
      </w:r>
      <w:r>
        <w:rPr>
          <w:b/>
          <w:bCs/>
          <w:spacing w:val="-6"/>
          <w:sz w:val="18"/>
          <w:szCs w:val="18"/>
          <w:lang w:val="es-ES_tradnl"/>
        </w:rPr>
        <w:t xml:space="preserve">culo 6 </w:t>
      </w:r>
      <w:r>
        <w:rPr>
          <w:spacing w:val="-6"/>
          <w:sz w:val="18"/>
          <w:szCs w:val="18"/>
          <w:lang w:val="es-ES_tradnl"/>
        </w:rPr>
        <w:t>del convenio determina que los pasajeros, equipaje y carga en el tr</w:t>
      </w:r>
      <w:r>
        <w:rPr>
          <w:rFonts w:cs="Times New Roman"/>
          <w:spacing w:val="-6"/>
          <w:sz w:val="18"/>
          <w:szCs w:val="18"/>
          <w:lang w:val="es-ES_tradnl"/>
        </w:rPr>
        <w:t>á</w:t>
      </w:r>
      <w:r>
        <w:rPr>
          <w:spacing w:val="-6"/>
          <w:sz w:val="18"/>
          <w:szCs w:val="18"/>
          <w:lang w:val="es-ES_tradnl"/>
        </w:rPr>
        <w:t>fico directo a trav</w:t>
      </w:r>
      <w:r>
        <w:rPr>
          <w:rFonts w:cs="Times New Roman"/>
          <w:spacing w:val="-6"/>
          <w:sz w:val="18"/>
          <w:szCs w:val="18"/>
          <w:lang w:val="es-ES_tradnl"/>
        </w:rPr>
        <w:t>é</w:t>
      </w:r>
      <w:r>
        <w:rPr>
          <w:spacing w:val="-6"/>
          <w:sz w:val="18"/>
          <w:szCs w:val="18"/>
          <w:lang w:val="es-ES_tradnl"/>
        </w:rPr>
        <w:t xml:space="preserve">s del territorio </w:t>
      </w:r>
      <w:r>
        <w:rPr>
          <w:spacing w:val="-9"/>
          <w:sz w:val="18"/>
          <w:szCs w:val="18"/>
          <w:lang w:val="es-ES_tradnl"/>
        </w:rPr>
        <w:t xml:space="preserve">de cada Parte Contratante y que no abandonan el </w:t>
      </w:r>
      <w:r>
        <w:rPr>
          <w:rFonts w:cs="Times New Roman"/>
          <w:spacing w:val="-9"/>
          <w:sz w:val="18"/>
          <w:szCs w:val="18"/>
          <w:lang w:val="es-ES_tradnl"/>
        </w:rPr>
        <w:t>á</w:t>
      </w:r>
      <w:r>
        <w:rPr>
          <w:spacing w:val="-9"/>
          <w:sz w:val="18"/>
          <w:szCs w:val="18"/>
          <w:lang w:val="es-ES_tradnl"/>
        </w:rPr>
        <w:t xml:space="preserve">rea del </w:t>
      </w:r>
      <w:r>
        <w:rPr>
          <w:spacing w:val="-8"/>
          <w:sz w:val="18"/>
          <w:szCs w:val="18"/>
          <w:lang w:val="es-ES_tradnl"/>
        </w:rPr>
        <w:t>aeropuerto reservada para tal prop</w:t>
      </w:r>
      <w:r>
        <w:rPr>
          <w:rFonts w:cs="Times New Roman"/>
          <w:spacing w:val="-8"/>
          <w:sz w:val="18"/>
          <w:szCs w:val="18"/>
          <w:lang w:val="es-ES_tradnl"/>
        </w:rPr>
        <w:t>ó</w:t>
      </w:r>
      <w:r>
        <w:rPr>
          <w:spacing w:val="-8"/>
          <w:sz w:val="18"/>
          <w:szCs w:val="18"/>
          <w:lang w:val="es-ES_tradnl"/>
        </w:rPr>
        <w:t>sito, no estar</w:t>
      </w:r>
      <w:r>
        <w:rPr>
          <w:rFonts w:cs="Times New Roman"/>
          <w:spacing w:val="-8"/>
          <w:sz w:val="18"/>
          <w:szCs w:val="18"/>
          <w:lang w:val="es-ES_tradnl"/>
        </w:rPr>
        <w:t>á</w:t>
      </w:r>
      <w:r>
        <w:rPr>
          <w:spacing w:val="-8"/>
          <w:sz w:val="18"/>
          <w:szCs w:val="18"/>
          <w:lang w:val="es-ES_tradnl"/>
        </w:rPr>
        <w:t xml:space="preserve">n sujetos </w:t>
      </w:r>
      <w:r>
        <w:rPr>
          <w:spacing w:val="-9"/>
          <w:sz w:val="18"/>
          <w:szCs w:val="18"/>
          <w:lang w:val="es-ES_tradnl"/>
        </w:rPr>
        <w:t>a un examen m</w:t>
      </w:r>
      <w:r>
        <w:rPr>
          <w:rFonts w:cs="Times New Roman"/>
          <w:spacing w:val="-9"/>
          <w:sz w:val="18"/>
          <w:szCs w:val="18"/>
          <w:lang w:val="es-ES_tradnl"/>
        </w:rPr>
        <w:t>á</w:t>
      </w:r>
      <w:r>
        <w:rPr>
          <w:spacing w:val="-9"/>
          <w:sz w:val="18"/>
          <w:szCs w:val="18"/>
          <w:lang w:val="es-ES_tradnl"/>
        </w:rPr>
        <w:t xml:space="preserve">s detenido, salvo en ciertas circunstancias, </w:t>
      </w:r>
      <w:r>
        <w:rPr>
          <w:spacing w:val="-3"/>
          <w:sz w:val="18"/>
          <w:szCs w:val="18"/>
          <w:lang w:val="es-ES_tradnl"/>
        </w:rPr>
        <w:t>taxativamente descritas en el presente art</w:t>
      </w:r>
      <w:r>
        <w:rPr>
          <w:rFonts w:cs="Times New Roman"/>
          <w:spacing w:val="-3"/>
          <w:sz w:val="18"/>
          <w:szCs w:val="18"/>
          <w:lang w:val="es-ES_tradnl"/>
        </w:rPr>
        <w:t>í</w:t>
      </w:r>
      <w:r>
        <w:rPr>
          <w:spacing w:val="-3"/>
          <w:sz w:val="18"/>
          <w:szCs w:val="18"/>
          <w:lang w:val="es-ES_tradnl"/>
        </w:rPr>
        <w:t xml:space="preserve">culo, y que </w:t>
      </w:r>
      <w:r>
        <w:rPr>
          <w:spacing w:val="-4"/>
          <w:sz w:val="18"/>
          <w:szCs w:val="18"/>
          <w:lang w:val="es-ES_tradnl"/>
        </w:rPr>
        <w:t>tienen relaci</w:t>
      </w:r>
      <w:r>
        <w:rPr>
          <w:rFonts w:cs="Times New Roman"/>
          <w:spacing w:val="-4"/>
          <w:sz w:val="18"/>
          <w:szCs w:val="18"/>
          <w:lang w:val="es-ES_tradnl"/>
        </w:rPr>
        <w:t>ó</w:t>
      </w:r>
      <w:r>
        <w:rPr>
          <w:spacing w:val="-4"/>
          <w:sz w:val="18"/>
          <w:szCs w:val="18"/>
          <w:lang w:val="es-ES_tradnl"/>
        </w:rPr>
        <w:t>n con seguridad de la aviaci</w:t>
      </w:r>
      <w:r>
        <w:rPr>
          <w:rFonts w:cs="Times New Roman"/>
          <w:spacing w:val="-4"/>
          <w:sz w:val="18"/>
          <w:szCs w:val="18"/>
          <w:lang w:val="es-ES_tradnl"/>
        </w:rPr>
        <w:t>ó</w:t>
      </w:r>
      <w:r>
        <w:rPr>
          <w:spacing w:val="-4"/>
          <w:sz w:val="18"/>
          <w:szCs w:val="18"/>
          <w:lang w:val="es-ES_tradnl"/>
        </w:rPr>
        <w:t>n y control de</w:t>
      </w:r>
    </w:p>
    <w:p w14:paraId="4F67A430" w14:textId="77777777" w:rsidR="00591D54" w:rsidRDefault="00591D54">
      <w:pPr>
        <w:shd w:val="clear" w:color="auto" w:fill="FFFFFF"/>
        <w:spacing w:before="192" w:line="216" w:lineRule="exact"/>
        <w:jc w:val="both"/>
        <w:sectPr w:rsidR="00591D54">
          <w:type w:val="continuous"/>
          <w:pgSz w:w="11909" w:h="16834"/>
          <w:pgMar w:top="1366" w:right="1309" w:bottom="360" w:left="1308" w:header="720" w:footer="720" w:gutter="0"/>
          <w:cols w:num="2" w:space="720" w:equalWidth="0">
            <w:col w:w="4305" w:space="682"/>
            <w:col w:w="4305"/>
          </w:cols>
          <w:noEndnote/>
        </w:sectPr>
      </w:pPr>
    </w:p>
    <w:p w14:paraId="4F67A431" w14:textId="77777777" w:rsidR="00591D54" w:rsidRDefault="00591D54">
      <w:pPr>
        <w:shd w:val="clear" w:color="auto" w:fill="FFFFFF"/>
        <w:tabs>
          <w:tab w:val="left" w:pos="4814"/>
        </w:tabs>
        <w:spacing w:after="230"/>
        <w:ind w:left="14"/>
      </w:pPr>
      <w:r>
        <w:rPr>
          <w:b/>
          <w:bCs/>
          <w:sz w:val="18"/>
          <w:szCs w:val="18"/>
          <w:lang w:val="es-ES_tradnl"/>
        </w:rPr>
        <w:t xml:space="preserve">14 -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432" w14:textId="77777777" w:rsidR="00591D54" w:rsidRDefault="00591D54">
      <w:pPr>
        <w:shd w:val="clear" w:color="auto" w:fill="FFFFFF"/>
        <w:tabs>
          <w:tab w:val="left" w:pos="4814"/>
        </w:tabs>
        <w:spacing w:after="230"/>
        <w:ind w:left="14"/>
        <w:sectPr w:rsidR="00591D54">
          <w:pgSz w:w="11909" w:h="16834"/>
          <w:pgMar w:top="1368" w:right="1309" w:bottom="360" w:left="1308" w:header="720" w:footer="720" w:gutter="0"/>
          <w:cols w:space="60"/>
          <w:noEndnote/>
        </w:sectPr>
      </w:pPr>
    </w:p>
    <w:p w14:paraId="4F67A433" w14:textId="77777777" w:rsidR="00591D54" w:rsidRDefault="00591D54">
      <w:pPr>
        <w:shd w:val="clear" w:color="auto" w:fill="FFFFFF"/>
        <w:spacing w:before="5" w:line="216" w:lineRule="exact"/>
        <w:jc w:val="both"/>
      </w:pPr>
      <w:r>
        <w:rPr>
          <w:spacing w:val="-9"/>
          <w:sz w:val="18"/>
          <w:szCs w:val="18"/>
          <w:lang w:val="es-ES_tradnl"/>
        </w:rPr>
        <w:t>estupefacientes. Las disposiciones se</w:t>
      </w:r>
      <w:r>
        <w:rPr>
          <w:rFonts w:cs="Times New Roman"/>
          <w:spacing w:val="-9"/>
          <w:sz w:val="18"/>
          <w:szCs w:val="18"/>
          <w:lang w:val="es-ES_tradnl"/>
        </w:rPr>
        <w:t>ñ</w:t>
      </w:r>
      <w:r>
        <w:rPr>
          <w:spacing w:val="-9"/>
          <w:sz w:val="18"/>
          <w:szCs w:val="18"/>
          <w:lang w:val="es-ES_tradnl"/>
        </w:rPr>
        <w:t>alas en el art</w:t>
      </w:r>
      <w:r>
        <w:rPr>
          <w:rFonts w:cs="Times New Roman"/>
          <w:spacing w:val="-9"/>
          <w:sz w:val="18"/>
          <w:szCs w:val="18"/>
          <w:lang w:val="es-ES_tradnl"/>
        </w:rPr>
        <w:t>í</w:t>
      </w:r>
      <w:r>
        <w:rPr>
          <w:spacing w:val="-9"/>
          <w:sz w:val="18"/>
          <w:szCs w:val="18"/>
          <w:lang w:val="es-ES_tradnl"/>
        </w:rPr>
        <w:t>culo en estudio no se oponen a lo establecido en la Constituci</w:t>
      </w:r>
      <w:r>
        <w:rPr>
          <w:rFonts w:cs="Times New Roman"/>
          <w:spacing w:val="-9"/>
          <w:sz w:val="18"/>
          <w:szCs w:val="18"/>
          <w:lang w:val="es-ES_tradnl"/>
        </w:rPr>
        <w:t>ó</w:t>
      </w:r>
      <w:r>
        <w:rPr>
          <w:spacing w:val="-9"/>
          <w:sz w:val="18"/>
          <w:szCs w:val="18"/>
          <w:lang w:val="es-ES_tradnl"/>
        </w:rPr>
        <w:t xml:space="preserve">n de </w:t>
      </w:r>
      <w:r>
        <w:rPr>
          <w:sz w:val="18"/>
          <w:szCs w:val="18"/>
          <w:lang w:val="es-ES_tradnl"/>
        </w:rPr>
        <w:t>la Rep</w:t>
      </w:r>
      <w:r>
        <w:rPr>
          <w:rFonts w:cs="Times New Roman"/>
          <w:sz w:val="18"/>
          <w:szCs w:val="18"/>
          <w:lang w:val="es-ES_tradnl"/>
        </w:rPr>
        <w:t>ú</w:t>
      </w:r>
      <w:r>
        <w:rPr>
          <w:sz w:val="18"/>
          <w:szCs w:val="18"/>
          <w:lang w:val="es-ES_tradnl"/>
        </w:rPr>
        <w:t>blica.</w:t>
      </w:r>
    </w:p>
    <w:p w14:paraId="4F67A434" w14:textId="77777777" w:rsidR="00591D54" w:rsidRDefault="00591D54">
      <w:pPr>
        <w:shd w:val="clear" w:color="auto" w:fill="FFFFFF"/>
        <w:spacing w:before="192" w:line="216" w:lineRule="exact"/>
        <w:jc w:val="both"/>
      </w:pPr>
      <w:r>
        <w:rPr>
          <w:spacing w:val="-7"/>
          <w:sz w:val="18"/>
          <w:szCs w:val="18"/>
          <w:lang w:val="es-ES_tradnl"/>
        </w:rPr>
        <w:t xml:space="preserve">Sobre el </w:t>
      </w:r>
      <w:r>
        <w:rPr>
          <w:b/>
          <w:bCs/>
          <w:spacing w:val="-7"/>
          <w:sz w:val="18"/>
          <w:szCs w:val="18"/>
          <w:lang w:val="es-ES_tradnl"/>
        </w:rPr>
        <w:t>art</w:t>
      </w:r>
      <w:r>
        <w:rPr>
          <w:rFonts w:cs="Times New Roman"/>
          <w:b/>
          <w:bCs/>
          <w:spacing w:val="-7"/>
          <w:sz w:val="18"/>
          <w:szCs w:val="18"/>
          <w:lang w:val="es-ES_tradnl"/>
        </w:rPr>
        <w:t>í</w:t>
      </w:r>
      <w:r>
        <w:rPr>
          <w:b/>
          <w:bCs/>
          <w:spacing w:val="-7"/>
          <w:sz w:val="18"/>
          <w:szCs w:val="18"/>
          <w:lang w:val="es-ES_tradnl"/>
        </w:rPr>
        <w:t xml:space="preserve">culo 7 </w:t>
      </w:r>
      <w:r>
        <w:rPr>
          <w:spacing w:val="-7"/>
          <w:sz w:val="18"/>
          <w:szCs w:val="18"/>
          <w:lang w:val="es-ES_tradnl"/>
        </w:rPr>
        <w:t xml:space="preserve">del instrumento internacional que hace </w:t>
      </w:r>
      <w:r>
        <w:rPr>
          <w:spacing w:val="-5"/>
          <w:sz w:val="18"/>
          <w:szCs w:val="18"/>
          <w:lang w:val="es-ES_tradnl"/>
        </w:rPr>
        <w:t xml:space="preserve">referencia al reconocimiento de certificados y licencias, </w:t>
      </w:r>
      <w:r>
        <w:rPr>
          <w:spacing w:val="-10"/>
          <w:sz w:val="18"/>
          <w:szCs w:val="18"/>
          <w:lang w:val="es-ES_tradnl"/>
        </w:rPr>
        <w:t xml:space="preserve">esencialmente se establece que si estos fueron expedidos o </w:t>
      </w:r>
      <w:r>
        <w:rPr>
          <w:spacing w:val="-8"/>
          <w:sz w:val="18"/>
          <w:szCs w:val="18"/>
          <w:lang w:val="es-ES_tradnl"/>
        </w:rPr>
        <w:t xml:space="preserve">convalidados de conformidad con las leyes y regulaciones </w:t>
      </w:r>
      <w:r>
        <w:rPr>
          <w:spacing w:val="-9"/>
          <w:sz w:val="18"/>
          <w:szCs w:val="18"/>
          <w:lang w:val="es-ES_tradnl"/>
        </w:rPr>
        <w:t>de cada Parte contratante ser</w:t>
      </w:r>
      <w:r>
        <w:rPr>
          <w:rFonts w:cs="Times New Roman"/>
          <w:spacing w:val="-9"/>
          <w:sz w:val="18"/>
          <w:szCs w:val="18"/>
          <w:lang w:val="es-ES_tradnl"/>
        </w:rPr>
        <w:t>á</w:t>
      </w:r>
      <w:r>
        <w:rPr>
          <w:spacing w:val="-9"/>
          <w:sz w:val="18"/>
          <w:szCs w:val="18"/>
          <w:lang w:val="es-ES_tradnl"/>
        </w:rPr>
        <w:t>n reconocidos como v</w:t>
      </w:r>
      <w:r>
        <w:rPr>
          <w:rFonts w:cs="Times New Roman"/>
          <w:spacing w:val="-9"/>
          <w:sz w:val="18"/>
          <w:szCs w:val="18"/>
          <w:lang w:val="es-ES_tradnl"/>
        </w:rPr>
        <w:t>á</w:t>
      </w:r>
      <w:r>
        <w:rPr>
          <w:spacing w:val="-9"/>
          <w:sz w:val="18"/>
          <w:szCs w:val="18"/>
          <w:lang w:val="es-ES_tradnl"/>
        </w:rPr>
        <w:t xml:space="preserve">lidos. </w:t>
      </w:r>
      <w:r>
        <w:rPr>
          <w:spacing w:val="-8"/>
          <w:sz w:val="18"/>
          <w:szCs w:val="18"/>
          <w:lang w:val="es-ES_tradnl"/>
        </w:rPr>
        <w:t>Lo se</w:t>
      </w:r>
      <w:r>
        <w:rPr>
          <w:rFonts w:cs="Times New Roman"/>
          <w:spacing w:val="-8"/>
          <w:sz w:val="18"/>
          <w:szCs w:val="18"/>
          <w:lang w:val="es-ES_tradnl"/>
        </w:rPr>
        <w:t>ñ</w:t>
      </w:r>
      <w:r>
        <w:rPr>
          <w:spacing w:val="-8"/>
          <w:sz w:val="18"/>
          <w:szCs w:val="18"/>
          <w:lang w:val="es-ES_tradnl"/>
        </w:rPr>
        <w:t xml:space="preserve">alado no contraviene las disposiciones de la Norma </w:t>
      </w:r>
      <w:r>
        <w:rPr>
          <w:sz w:val="18"/>
          <w:szCs w:val="18"/>
          <w:lang w:val="es-ES_tradnl"/>
        </w:rPr>
        <w:t>Fundamental.</w:t>
      </w:r>
    </w:p>
    <w:p w14:paraId="4F67A435" w14:textId="77777777" w:rsidR="00591D54" w:rsidRDefault="00591D54">
      <w:pPr>
        <w:shd w:val="clear" w:color="auto" w:fill="FFFFFF"/>
        <w:spacing w:before="197" w:line="216" w:lineRule="exact"/>
        <w:jc w:val="both"/>
      </w:pPr>
      <w:r>
        <w:rPr>
          <w:spacing w:val="-6"/>
          <w:sz w:val="18"/>
          <w:szCs w:val="18"/>
          <w:lang w:val="es-ES_tradnl"/>
        </w:rPr>
        <w:t xml:space="preserve">El </w:t>
      </w:r>
      <w:r>
        <w:rPr>
          <w:b/>
          <w:bCs/>
          <w:spacing w:val="-6"/>
          <w:sz w:val="18"/>
          <w:szCs w:val="18"/>
          <w:lang w:val="es-ES_tradnl"/>
        </w:rPr>
        <w:t>art</w:t>
      </w:r>
      <w:r>
        <w:rPr>
          <w:rFonts w:cs="Times New Roman"/>
          <w:b/>
          <w:bCs/>
          <w:spacing w:val="-6"/>
          <w:sz w:val="18"/>
          <w:szCs w:val="18"/>
          <w:lang w:val="es-ES_tradnl"/>
        </w:rPr>
        <w:t>í</w:t>
      </w:r>
      <w:r>
        <w:rPr>
          <w:b/>
          <w:bCs/>
          <w:spacing w:val="-6"/>
          <w:sz w:val="18"/>
          <w:szCs w:val="18"/>
          <w:lang w:val="es-ES_tradnl"/>
        </w:rPr>
        <w:t xml:space="preserve">culo 8 </w:t>
      </w:r>
      <w:r>
        <w:rPr>
          <w:spacing w:val="-6"/>
          <w:sz w:val="18"/>
          <w:szCs w:val="18"/>
          <w:lang w:val="es-ES_tradnl"/>
        </w:rPr>
        <w:t xml:space="preserve">del convenio regula lo relativo a la seguridad de vuelo, principalmente se establece que si una de las </w:t>
      </w:r>
      <w:r>
        <w:rPr>
          <w:spacing w:val="-7"/>
          <w:sz w:val="18"/>
          <w:szCs w:val="18"/>
          <w:lang w:val="es-ES_tradnl"/>
        </w:rPr>
        <w:t>partes no cumple est</w:t>
      </w:r>
      <w:r>
        <w:rPr>
          <w:rFonts w:cs="Times New Roman"/>
          <w:spacing w:val="-7"/>
          <w:sz w:val="18"/>
          <w:szCs w:val="18"/>
          <w:lang w:val="es-ES_tradnl"/>
        </w:rPr>
        <w:t>á</w:t>
      </w:r>
      <w:r>
        <w:rPr>
          <w:spacing w:val="-7"/>
          <w:sz w:val="18"/>
          <w:szCs w:val="18"/>
          <w:lang w:val="es-ES_tradnl"/>
        </w:rPr>
        <w:t xml:space="preserve">ndares de seguridad de vuelo, las </w:t>
      </w:r>
      <w:r>
        <w:rPr>
          <w:spacing w:val="-10"/>
          <w:sz w:val="18"/>
          <w:szCs w:val="18"/>
          <w:lang w:val="es-ES_tradnl"/>
        </w:rPr>
        <w:t>Partes podr</w:t>
      </w:r>
      <w:r>
        <w:rPr>
          <w:rFonts w:cs="Times New Roman"/>
          <w:spacing w:val="-10"/>
          <w:sz w:val="18"/>
          <w:szCs w:val="18"/>
          <w:lang w:val="es-ES_tradnl"/>
        </w:rPr>
        <w:t>á</w:t>
      </w:r>
      <w:r>
        <w:rPr>
          <w:spacing w:val="-10"/>
          <w:sz w:val="18"/>
          <w:szCs w:val="18"/>
          <w:lang w:val="es-ES_tradnl"/>
        </w:rPr>
        <w:t xml:space="preserve">n plantear observaciones, mismas que al no ser </w:t>
      </w:r>
      <w:r>
        <w:rPr>
          <w:spacing w:val="-8"/>
          <w:sz w:val="18"/>
          <w:szCs w:val="18"/>
          <w:lang w:val="es-ES_tradnl"/>
        </w:rPr>
        <w:t>atendidas por la otra Parte contratante ser</w:t>
      </w:r>
      <w:r>
        <w:rPr>
          <w:rFonts w:cs="Times New Roman"/>
          <w:spacing w:val="-8"/>
          <w:sz w:val="18"/>
          <w:szCs w:val="18"/>
          <w:lang w:val="es-ES_tradnl"/>
        </w:rPr>
        <w:t>á</w:t>
      </w:r>
      <w:r>
        <w:rPr>
          <w:spacing w:val="-8"/>
          <w:sz w:val="18"/>
          <w:szCs w:val="18"/>
          <w:lang w:val="es-ES_tradnl"/>
        </w:rPr>
        <w:t>n la base para aplicar las disposiciones referentes a retenci</w:t>
      </w:r>
      <w:r>
        <w:rPr>
          <w:rFonts w:cs="Times New Roman"/>
          <w:spacing w:val="-8"/>
          <w:sz w:val="18"/>
          <w:szCs w:val="18"/>
          <w:lang w:val="es-ES_tradnl"/>
        </w:rPr>
        <w:t>ó</w:t>
      </w:r>
      <w:r>
        <w:rPr>
          <w:spacing w:val="-8"/>
          <w:sz w:val="18"/>
          <w:szCs w:val="18"/>
          <w:lang w:val="es-ES_tradnl"/>
        </w:rPr>
        <w:t>n, revocaci</w:t>
      </w:r>
      <w:r>
        <w:rPr>
          <w:rFonts w:cs="Times New Roman"/>
          <w:spacing w:val="-8"/>
          <w:sz w:val="18"/>
          <w:szCs w:val="18"/>
          <w:lang w:val="es-ES_tradnl"/>
        </w:rPr>
        <w:t>ó</w:t>
      </w:r>
      <w:r>
        <w:rPr>
          <w:spacing w:val="-8"/>
          <w:sz w:val="18"/>
          <w:szCs w:val="18"/>
          <w:lang w:val="es-ES_tradnl"/>
        </w:rPr>
        <w:t xml:space="preserve">n, </w:t>
      </w:r>
      <w:r>
        <w:rPr>
          <w:spacing w:val="-7"/>
          <w:sz w:val="18"/>
          <w:szCs w:val="18"/>
          <w:lang w:val="es-ES_tradnl"/>
        </w:rPr>
        <w:t>suspensi</w:t>
      </w:r>
      <w:r>
        <w:rPr>
          <w:rFonts w:cs="Times New Roman"/>
          <w:spacing w:val="-7"/>
          <w:sz w:val="18"/>
          <w:szCs w:val="18"/>
          <w:lang w:val="es-ES_tradnl"/>
        </w:rPr>
        <w:t>ó</w:t>
      </w:r>
      <w:r>
        <w:rPr>
          <w:spacing w:val="-7"/>
          <w:sz w:val="18"/>
          <w:szCs w:val="18"/>
          <w:lang w:val="es-ES_tradnl"/>
        </w:rPr>
        <w:t>n y limitaci</w:t>
      </w:r>
      <w:r>
        <w:rPr>
          <w:rFonts w:cs="Times New Roman"/>
          <w:spacing w:val="-7"/>
          <w:sz w:val="18"/>
          <w:szCs w:val="18"/>
          <w:lang w:val="es-ES_tradnl"/>
        </w:rPr>
        <w:t>ó</w:t>
      </w:r>
      <w:r>
        <w:rPr>
          <w:spacing w:val="-7"/>
          <w:sz w:val="18"/>
          <w:szCs w:val="18"/>
          <w:lang w:val="es-ES_tradnl"/>
        </w:rPr>
        <w:t>n de las autorizaciones de operaci</w:t>
      </w:r>
      <w:r>
        <w:rPr>
          <w:rFonts w:cs="Times New Roman"/>
          <w:spacing w:val="-7"/>
          <w:sz w:val="18"/>
          <w:szCs w:val="18"/>
          <w:lang w:val="es-ES_tradnl"/>
        </w:rPr>
        <w:t>ó</w:t>
      </w:r>
      <w:r>
        <w:rPr>
          <w:spacing w:val="-7"/>
          <w:sz w:val="18"/>
          <w:szCs w:val="18"/>
          <w:lang w:val="es-ES_tradnl"/>
        </w:rPr>
        <w:t xml:space="preserve">n </w:t>
      </w:r>
      <w:r>
        <w:rPr>
          <w:spacing w:val="-8"/>
          <w:sz w:val="18"/>
          <w:szCs w:val="18"/>
          <w:lang w:val="es-ES_tradnl"/>
        </w:rPr>
        <w:t>o permisos t</w:t>
      </w:r>
      <w:r>
        <w:rPr>
          <w:rFonts w:cs="Times New Roman"/>
          <w:spacing w:val="-8"/>
          <w:sz w:val="18"/>
          <w:szCs w:val="18"/>
          <w:lang w:val="es-ES_tradnl"/>
        </w:rPr>
        <w:t>é</w:t>
      </w:r>
      <w:r>
        <w:rPr>
          <w:spacing w:val="-8"/>
          <w:sz w:val="18"/>
          <w:szCs w:val="18"/>
          <w:lang w:val="es-ES_tradnl"/>
        </w:rPr>
        <w:t>cnicos determinados en el art</w:t>
      </w:r>
      <w:r>
        <w:rPr>
          <w:rFonts w:cs="Times New Roman"/>
          <w:spacing w:val="-8"/>
          <w:sz w:val="18"/>
          <w:szCs w:val="18"/>
          <w:lang w:val="es-ES_tradnl"/>
        </w:rPr>
        <w:t>í</w:t>
      </w:r>
      <w:r>
        <w:rPr>
          <w:spacing w:val="-8"/>
          <w:sz w:val="18"/>
          <w:szCs w:val="18"/>
          <w:lang w:val="es-ES_tradnl"/>
        </w:rPr>
        <w:t xml:space="preserve">culo 4 del este convenio. A fin de garantizar la seguridad de vuelo en este </w:t>
      </w:r>
      <w:r>
        <w:rPr>
          <w:spacing w:val="-7"/>
          <w:sz w:val="18"/>
          <w:szCs w:val="18"/>
          <w:lang w:val="es-ES_tradnl"/>
        </w:rPr>
        <w:t>art</w:t>
      </w:r>
      <w:r>
        <w:rPr>
          <w:rFonts w:cs="Times New Roman"/>
          <w:spacing w:val="-7"/>
          <w:sz w:val="18"/>
          <w:szCs w:val="18"/>
          <w:lang w:val="es-ES_tradnl"/>
        </w:rPr>
        <w:t>í</w:t>
      </w:r>
      <w:r>
        <w:rPr>
          <w:spacing w:val="-7"/>
          <w:sz w:val="18"/>
          <w:szCs w:val="18"/>
          <w:lang w:val="es-ES_tradnl"/>
        </w:rPr>
        <w:t>culo tambi</w:t>
      </w:r>
      <w:r>
        <w:rPr>
          <w:rFonts w:cs="Times New Roman"/>
          <w:spacing w:val="-7"/>
          <w:sz w:val="18"/>
          <w:szCs w:val="18"/>
          <w:lang w:val="es-ES_tradnl"/>
        </w:rPr>
        <w:t>é</w:t>
      </w:r>
      <w:r>
        <w:rPr>
          <w:spacing w:val="-7"/>
          <w:sz w:val="18"/>
          <w:szCs w:val="18"/>
          <w:lang w:val="es-ES_tradnl"/>
        </w:rPr>
        <w:t xml:space="preserve">n se establecen disposiciones relativas a </w:t>
      </w:r>
      <w:r>
        <w:rPr>
          <w:spacing w:val="-8"/>
          <w:sz w:val="18"/>
          <w:szCs w:val="18"/>
          <w:lang w:val="es-ES_tradnl"/>
        </w:rPr>
        <w:t xml:space="preserve">inspecciones en rampa las cuales se dirigen a comprobar </w:t>
      </w:r>
      <w:r>
        <w:rPr>
          <w:spacing w:val="-6"/>
          <w:sz w:val="18"/>
          <w:szCs w:val="18"/>
          <w:lang w:val="es-ES_tradnl"/>
        </w:rPr>
        <w:t>condiciones de seguridad aptas para la operaci</w:t>
      </w:r>
      <w:r>
        <w:rPr>
          <w:rFonts w:cs="Times New Roman"/>
          <w:spacing w:val="-6"/>
          <w:sz w:val="18"/>
          <w:szCs w:val="18"/>
          <w:lang w:val="es-ES_tradnl"/>
        </w:rPr>
        <w:t>ó</w:t>
      </w:r>
      <w:r>
        <w:rPr>
          <w:spacing w:val="-6"/>
          <w:sz w:val="18"/>
          <w:szCs w:val="18"/>
          <w:lang w:val="es-ES_tradnl"/>
        </w:rPr>
        <w:t xml:space="preserve">n de </w:t>
      </w:r>
      <w:r>
        <w:rPr>
          <w:spacing w:val="-5"/>
          <w:sz w:val="18"/>
          <w:szCs w:val="18"/>
          <w:lang w:val="es-ES_tradnl"/>
        </w:rPr>
        <w:t>aerol</w:t>
      </w:r>
      <w:r>
        <w:rPr>
          <w:rFonts w:cs="Times New Roman"/>
          <w:spacing w:val="-5"/>
          <w:sz w:val="18"/>
          <w:szCs w:val="18"/>
          <w:lang w:val="es-ES_tradnl"/>
        </w:rPr>
        <w:t>í</w:t>
      </w:r>
      <w:r>
        <w:rPr>
          <w:spacing w:val="-5"/>
          <w:sz w:val="18"/>
          <w:szCs w:val="18"/>
          <w:lang w:val="es-ES_tradnl"/>
        </w:rPr>
        <w:t xml:space="preserve">neas, la consecuencia del incumplimiento de las </w:t>
      </w:r>
      <w:r>
        <w:rPr>
          <w:spacing w:val="-9"/>
          <w:sz w:val="18"/>
          <w:szCs w:val="18"/>
          <w:lang w:val="es-ES_tradnl"/>
        </w:rPr>
        <w:t xml:space="preserve">normas referidas, en virtud del presente convenio, autorizan </w:t>
      </w:r>
      <w:r>
        <w:rPr>
          <w:spacing w:val="-8"/>
          <w:sz w:val="18"/>
          <w:szCs w:val="18"/>
          <w:lang w:val="es-ES_tradnl"/>
        </w:rPr>
        <w:t xml:space="preserve">a las Partes a suspender inmediatamente o modificar los </w:t>
      </w:r>
      <w:r>
        <w:rPr>
          <w:spacing w:val="-6"/>
          <w:sz w:val="18"/>
          <w:szCs w:val="18"/>
          <w:lang w:val="es-ES_tradnl"/>
        </w:rPr>
        <w:t>permisos t</w:t>
      </w:r>
      <w:r>
        <w:rPr>
          <w:rFonts w:cs="Times New Roman"/>
          <w:spacing w:val="-6"/>
          <w:sz w:val="18"/>
          <w:szCs w:val="18"/>
          <w:lang w:val="es-ES_tradnl"/>
        </w:rPr>
        <w:t>é</w:t>
      </w:r>
      <w:r>
        <w:rPr>
          <w:spacing w:val="-6"/>
          <w:sz w:val="18"/>
          <w:szCs w:val="18"/>
          <w:lang w:val="es-ES_tradnl"/>
        </w:rPr>
        <w:t>cnicos y la autorizaci</w:t>
      </w:r>
      <w:r>
        <w:rPr>
          <w:rFonts w:cs="Times New Roman"/>
          <w:spacing w:val="-6"/>
          <w:sz w:val="18"/>
          <w:szCs w:val="18"/>
          <w:lang w:val="es-ES_tradnl"/>
        </w:rPr>
        <w:t>ó</w:t>
      </w:r>
      <w:r>
        <w:rPr>
          <w:spacing w:val="-6"/>
          <w:sz w:val="18"/>
          <w:szCs w:val="18"/>
          <w:lang w:val="es-ES_tradnl"/>
        </w:rPr>
        <w:t>n de operaci</w:t>
      </w:r>
      <w:r>
        <w:rPr>
          <w:rFonts w:cs="Times New Roman"/>
          <w:spacing w:val="-6"/>
          <w:sz w:val="18"/>
          <w:szCs w:val="18"/>
          <w:lang w:val="es-ES_tradnl"/>
        </w:rPr>
        <w:t>ó</w:t>
      </w:r>
      <w:r>
        <w:rPr>
          <w:spacing w:val="-6"/>
          <w:sz w:val="18"/>
          <w:szCs w:val="18"/>
          <w:lang w:val="es-ES_tradnl"/>
        </w:rPr>
        <w:t xml:space="preserve">n de una </w:t>
      </w:r>
      <w:r>
        <w:rPr>
          <w:spacing w:val="-7"/>
          <w:sz w:val="18"/>
          <w:szCs w:val="18"/>
          <w:lang w:val="es-ES_tradnl"/>
        </w:rPr>
        <w:t>l</w:t>
      </w:r>
      <w:r>
        <w:rPr>
          <w:rFonts w:cs="Times New Roman"/>
          <w:spacing w:val="-7"/>
          <w:sz w:val="18"/>
          <w:szCs w:val="18"/>
          <w:lang w:val="es-ES_tradnl"/>
        </w:rPr>
        <w:t>í</w:t>
      </w:r>
      <w:r>
        <w:rPr>
          <w:spacing w:val="-7"/>
          <w:sz w:val="18"/>
          <w:szCs w:val="18"/>
          <w:lang w:val="es-ES_tradnl"/>
        </w:rPr>
        <w:t>nea a</w:t>
      </w:r>
      <w:r>
        <w:rPr>
          <w:rFonts w:cs="Times New Roman"/>
          <w:spacing w:val="-7"/>
          <w:sz w:val="18"/>
          <w:szCs w:val="18"/>
          <w:lang w:val="es-ES_tradnl"/>
        </w:rPr>
        <w:t>é</w:t>
      </w:r>
      <w:r>
        <w:rPr>
          <w:spacing w:val="-7"/>
          <w:sz w:val="18"/>
          <w:szCs w:val="18"/>
          <w:lang w:val="es-ES_tradnl"/>
        </w:rPr>
        <w:t xml:space="preserve">rea. Garantizar la seguridad en el vuelo es una </w:t>
      </w:r>
      <w:r>
        <w:rPr>
          <w:spacing w:val="-6"/>
          <w:sz w:val="18"/>
          <w:szCs w:val="18"/>
          <w:lang w:val="es-ES_tradnl"/>
        </w:rPr>
        <w:t>obligaci</w:t>
      </w:r>
      <w:r>
        <w:rPr>
          <w:rFonts w:cs="Times New Roman"/>
          <w:spacing w:val="-6"/>
          <w:sz w:val="18"/>
          <w:szCs w:val="18"/>
          <w:lang w:val="es-ES_tradnl"/>
        </w:rPr>
        <w:t>ó</w:t>
      </w:r>
      <w:r>
        <w:rPr>
          <w:spacing w:val="-6"/>
          <w:sz w:val="18"/>
          <w:szCs w:val="18"/>
          <w:lang w:val="es-ES_tradnl"/>
        </w:rPr>
        <w:t>n intr</w:t>
      </w:r>
      <w:r>
        <w:rPr>
          <w:rFonts w:cs="Times New Roman"/>
          <w:spacing w:val="-6"/>
          <w:sz w:val="18"/>
          <w:szCs w:val="18"/>
          <w:lang w:val="es-ES_tradnl"/>
        </w:rPr>
        <w:t>í</w:t>
      </w:r>
      <w:r>
        <w:rPr>
          <w:spacing w:val="-6"/>
          <w:sz w:val="18"/>
          <w:szCs w:val="18"/>
          <w:lang w:val="es-ES_tradnl"/>
        </w:rPr>
        <w:t xml:space="preserve">nsecamente ligada a la integridad de las </w:t>
      </w:r>
      <w:r>
        <w:rPr>
          <w:spacing w:val="-8"/>
          <w:sz w:val="18"/>
          <w:szCs w:val="18"/>
          <w:lang w:val="es-ES_tradnl"/>
        </w:rPr>
        <w:t>personas, un derecho establecido en la Constituci</w:t>
      </w:r>
      <w:r>
        <w:rPr>
          <w:rFonts w:cs="Times New Roman"/>
          <w:spacing w:val="-8"/>
          <w:sz w:val="18"/>
          <w:szCs w:val="18"/>
          <w:lang w:val="es-ES_tradnl"/>
        </w:rPr>
        <w:t>ó</w:t>
      </w:r>
      <w:r>
        <w:rPr>
          <w:spacing w:val="-8"/>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blica. Las disposiciones esgrimidas en el art</w:t>
      </w:r>
      <w:r>
        <w:rPr>
          <w:rFonts w:cs="Times New Roman"/>
          <w:spacing w:val="-7"/>
          <w:sz w:val="18"/>
          <w:szCs w:val="18"/>
          <w:lang w:val="es-ES_tradnl"/>
        </w:rPr>
        <w:t>í</w:t>
      </w:r>
      <w:r>
        <w:rPr>
          <w:spacing w:val="-7"/>
          <w:sz w:val="18"/>
          <w:szCs w:val="18"/>
          <w:lang w:val="es-ES_tradnl"/>
        </w:rPr>
        <w:t xml:space="preserve">culo del </w:t>
      </w:r>
      <w:r>
        <w:rPr>
          <w:spacing w:val="-10"/>
          <w:sz w:val="18"/>
          <w:szCs w:val="18"/>
          <w:lang w:val="es-ES_tradnl"/>
        </w:rPr>
        <w:t>convenio en an</w:t>
      </w:r>
      <w:r>
        <w:rPr>
          <w:rFonts w:cs="Times New Roman"/>
          <w:spacing w:val="-10"/>
          <w:sz w:val="18"/>
          <w:szCs w:val="18"/>
          <w:lang w:val="es-ES_tradnl"/>
        </w:rPr>
        <w:t>á</w:t>
      </w:r>
      <w:r>
        <w:rPr>
          <w:spacing w:val="-10"/>
          <w:sz w:val="18"/>
          <w:szCs w:val="18"/>
          <w:lang w:val="es-ES_tradnl"/>
        </w:rPr>
        <w:t>lisis no est</w:t>
      </w:r>
      <w:r>
        <w:rPr>
          <w:rFonts w:cs="Times New Roman"/>
          <w:spacing w:val="-10"/>
          <w:sz w:val="18"/>
          <w:szCs w:val="18"/>
          <w:lang w:val="es-ES_tradnl"/>
        </w:rPr>
        <w:t>á</w:t>
      </w:r>
      <w:r>
        <w:rPr>
          <w:spacing w:val="-10"/>
          <w:sz w:val="18"/>
          <w:szCs w:val="18"/>
          <w:lang w:val="es-ES_tradnl"/>
        </w:rPr>
        <w:t>n en contra de lo se</w:t>
      </w:r>
      <w:r>
        <w:rPr>
          <w:rFonts w:cs="Times New Roman"/>
          <w:spacing w:val="-10"/>
          <w:sz w:val="18"/>
          <w:szCs w:val="18"/>
          <w:lang w:val="es-ES_tradnl"/>
        </w:rPr>
        <w:t>ñ</w:t>
      </w:r>
      <w:r>
        <w:rPr>
          <w:spacing w:val="-10"/>
          <w:sz w:val="18"/>
          <w:szCs w:val="18"/>
          <w:lang w:val="es-ES_tradnl"/>
        </w:rPr>
        <w:t xml:space="preserve">alado en la </w:t>
      </w:r>
      <w:r>
        <w:rPr>
          <w:sz w:val="18"/>
          <w:szCs w:val="18"/>
          <w:lang w:val="es-ES_tradnl"/>
        </w:rPr>
        <w:t>Carta Magna.</w:t>
      </w:r>
    </w:p>
    <w:p w14:paraId="4F67A436" w14:textId="77777777" w:rsidR="00591D54" w:rsidRDefault="00591D54">
      <w:pPr>
        <w:shd w:val="clear" w:color="auto" w:fill="FFFFFF"/>
        <w:spacing w:before="197" w:line="216" w:lineRule="exact"/>
        <w:ind w:right="5"/>
        <w:jc w:val="both"/>
      </w:pPr>
      <w:r>
        <w:rPr>
          <w:spacing w:val="-10"/>
          <w:sz w:val="18"/>
          <w:szCs w:val="18"/>
          <w:lang w:val="es-ES_tradnl"/>
        </w:rPr>
        <w:t xml:space="preserve">En cuanto al </w:t>
      </w:r>
      <w:r>
        <w:rPr>
          <w:b/>
          <w:bCs/>
          <w:spacing w:val="-10"/>
          <w:sz w:val="18"/>
          <w:szCs w:val="18"/>
          <w:lang w:val="es-ES_tradnl"/>
        </w:rPr>
        <w:t>art</w:t>
      </w:r>
      <w:r>
        <w:rPr>
          <w:rFonts w:cs="Times New Roman"/>
          <w:b/>
          <w:bCs/>
          <w:spacing w:val="-10"/>
          <w:sz w:val="18"/>
          <w:szCs w:val="18"/>
          <w:lang w:val="es-ES_tradnl"/>
        </w:rPr>
        <w:t>í</w:t>
      </w:r>
      <w:r>
        <w:rPr>
          <w:b/>
          <w:bCs/>
          <w:spacing w:val="-10"/>
          <w:sz w:val="18"/>
          <w:szCs w:val="18"/>
          <w:lang w:val="es-ES_tradnl"/>
        </w:rPr>
        <w:t>culo 9</w:t>
      </w:r>
      <w:r>
        <w:rPr>
          <w:spacing w:val="-10"/>
          <w:sz w:val="18"/>
          <w:szCs w:val="18"/>
          <w:lang w:val="es-ES_tradnl"/>
        </w:rPr>
        <w:t>, el Convenio establece disposiciones sobre la seguridad de la aviaci</w:t>
      </w:r>
      <w:r>
        <w:rPr>
          <w:rFonts w:cs="Times New Roman"/>
          <w:spacing w:val="-10"/>
          <w:sz w:val="18"/>
          <w:szCs w:val="18"/>
          <w:lang w:val="es-ES_tradnl"/>
        </w:rPr>
        <w:t>ó</w:t>
      </w:r>
      <w:r>
        <w:rPr>
          <w:spacing w:val="-10"/>
          <w:sz w:val="18"/>
          <w:szCs w:val="18"/>
          <w:lang w:val="es-ES_tradnl"/>
        </w:rPr>
        <w:t>n, en su contenido, el art</w:t>
      </w:r>
      <w:r>
        <w:rPr>
          <w:rFonts w:cs="Times New Roman"/>
          <w:spacing w:val="-10"/>
          <w:sz w:val="18"/>
          <w:szCs w:val="18"/>
          <w:lang w:val="es-ES_tradnl"/>
        </w:rPr>
        <w:t>í</w:t>
      </w:r>
      <w:r>
        <w:rPr>
          <w:spacing w:val="-10"/>
          <w:sz w:val="18"/>
          <w:szCs w:val="18"/>
          <w:lang w:val="es-ES_tradnl"/>
        </w:rPr>
        <w:t xml:space="preserve">culo </w:t>
      </w:r>
      <w:r>
        <w:rPr>
          <w:spacing w:val="-7"/>
          <w:sz w:val="18"/>
          <w:szCs w:val="18"/>
          <w:lang w:val="es-ES_tradnl"/>
        </w:rPr>
        <w:t>principalmente se</w:t>
      </w:r>
      <w:r>
        <w:rPr>
          <w:rFonts w:cs="Times New Roman"/>
          <w:spacing w:val="-7"/>
          <w:sz w:val="18"/>
          <w:szCs w:val="18"/>
          <w:lang w:val="es-ES_tradnl"/>
        </w:rPr>
        <w:t>ñ</w:t>
      </w:r>
      <w:r>
        <w:rPr>
          <w:spacing w:val="-7"/>
          <w:sz w:val="18"/>
          <w:szCs w:val="18"/>
          <w:lang w:val="es-ES_tradnl"/>
        </w:rPr>
        <w:t xml:space="preserve">ala que las partes se ratifican en su </w:t>
      </w:r>
      <w:r>
        <w:rPr>
          <w:spacing w:val="-8"/>
          <w:sz w:val="18"/>
          <w:szCs w:val="18"/>
          <w:lang w:val="es-ES_tradnl"/>
        </w:rPr>
        <w:t>obligaci</w:t>
      </w:r>
      <w:r>
        <w:rPr>
          <w:rFonts w:cs="Times New Roman"/>
          <w:spacing w:val="-8"/>
          <w:sz w:val="18"/>
          <w:szCs w:val="18"/>
          <w:lang w:val="es-ES_tradnl"/>
        </w:rPr>
        <w:t>ó</w:t>
      </w:r>
      <w:r>
        <w:rPr>
          <w:spacing w:val="-8"/>
          <w:sz w:val="18"/>
          <w:szCs w:val="18"/>
          <w:lang w:val="es-ES_tradnl"/>
        </w:rPr>
        <w:t xml:space="preserve">n para con la otra Parte contratante de proteger la </w:t>
      </w:r>
      <w:r>
        <w:rPr>
          <w:spacing w:val="-6"/>
          <w:sz w:val="18"/>
          <w:szCs w:val="18"/>
          <w:lang w:val="es-ES_tradnl"/>
        </w:rPr>
        <w:t>seguridad de la aviaci</w:t>
      </w:r>
      <w:r>
        <w:rPr>
          <w:rFonts w:cs="Times New Roman"/>
          <w:spacing w:val="-6"/>
          <w:sz w:val="18"/>
          <w:szCs w:val="18"/>
          <w:lang w:val="es-ES_tradnl"/>
        </w:rPr>
        <w:t>ó</w:t>
      </w:r>
      <w:r>
        <w:rPr>
          <w:spacing w:val="-6"/>
          <w:sz w:val="18"/>
          <w:szCs w:val="18"/>
          <w:lang w:val="es-ES_tradnl"/>
        </w:rPr>
        <w:t xml:space="preserve">n civil contra actos de interferencia </w:t>
      </w:r>
      <w:r>
        <w:rPr>
          <w:spacing w:val="-5"/>
          <w:sz w:val="18"/>
          <w:szCs w:val="18"/>
          <w:lang w:val="es-ES_tradnl"/>
        </w:rPr>
        <w:t>il</w:t>
      </w:r>
      <w:r>
        <w:rPr>
          <w:rFonts w:cs="Times New Roman"/>
          <w:spacing w:val="-5"/>
          <w:sz w:val="18"/>
          <w:szCs w:val="18"/>
          <w:lang w:val="es-ES_tradnl"/>
        </w:rPr>
        <w:t>í</w:t>
      </w:r>
      <w:r>
        <w:rPr>
          <w:spacing w:val="-5"/>
          <w:sz w:val="18"/>
          <w:szCs w:val="18"/>
          <w:lang w:val="es-ES_tradnl"/>
        </w:rPr>
        <w:t>cita, lo cual no contrar</w:t>
      </w:r>
      <w:r>
        <w:rPr>
          <w:rFonts w:cs="Times New Roman"/>
          <w:spacing w:val="-5"/>
          <w:sz w:val="18"/>
          <w:szCs w:val="18"/>
          <w:lang w:val="es-ES_tradnl"/>
        </w:rPr>
        <w:t>í</w:t>
      </w:r>
      <w:r>
        <w:rPr>
          <w:spacing w:val="-5"/>
          <w:sz w:val="18"/>
          <w:szCs w:val="18"/>
          <w:lang w:val="es-ES_tradnl"/>
        </w:rPr>
        <w:t>a el texto supremo.</w:t>
      </w:r>
    </w:p>
    <w:p w14:paraId="4F67A437" w14:textId="77777777" w:rsidR="00591D54" w:rsidRDefault="00591D54">
      <w:pPr>
        <w:shd w:val="clear" w:color="auto" w:fill="FFFFFF"/>
        <w:spacing w:before="197" w:line="221" w:lineRule="exact"/>
        <w:ind w:right="5"/>
        <w:jc w:val="both"/>
      </w:pPr>
      <w:r>
        <w:rPr>
          <w:spacing w:val="-3"/>
          <w:sz w:val="18"/>
          <w:szCs w:val="18"/>
          <w:lang w:val="es-ES_tradnl"/>
        </w:rPr>
        <w:t xml:space="preserve">El </w:t>
      </w:r>
      <w:r>
        <w:rPr>
          <w:b/>
          <w:bCs/>
          <w:spacing w:val="-3"/>
          <w:sz w:val="18"/>
          <w:szCs w:val="18"/>
          <w:lang w:val="es-ES_tradnl"/>
        </w:rPr>
        <w:t>art</w:t>
      </w:r>
      <w:r>
        <w:rPr>
          <w:rFonts w:cs="Times New Roman"/>
          <w:b/>
          <w:bCs/>
          <w:spacing w:val="-3"/>
          <w:sz w:val="18"/>
          <w:szCs w:val="18"/>
          <w:lang w:val="es-ES_tradnl"/>
        </w:rPr>
        <w:t>í</w:t>
      </w:r>
      <w:r>
        <w:rPr>
          <w:b/>
          <w:bCs/>
          <w:spacing w:val="-3"/>
          <w:sz w:val="18"/>
          <w:szCs w:val="18"/>
          <w:lang w:val="es-ES_tradnl"/>
        </w:rPr>
        <w:t xml:space="preserve">culo 10 </w:t>
      </w:r>
      <w:r>
        <w:rPr>
          <w:spacing w:val="-3"/>
          <w:sz w:val="18"/>
          <w:szCs w:val="18"/>
          <w:lang w:val="es-ES_tradnl"/>
        </w:rPr>
        <w:t xml:space="preserve">contiene disposiciones relativas al cobro </w:t>
      </w:r>
      <w:r>
        <w:rPr>
          <w:spacing w:val="-7"/>
          <w:sz w:val="18"/>
          <w:szCs w:val="18"/>
          <w:lang w:val="es-ES_tradnl"/>
        </w:rPr>
        <w:t>de los usuarios, se</w:t>
      </w:r>
      <w:r>
        <w:rPr>
          <w:rFonts w:cs="Times New Roman"/>
          <w:spacing w:val="-7"/>
          <w:sz w:val="18"/>
          <w:szCs w:val="18"/>
          <w:lang w:val="es-ES_tradnl"/>
        </w:rPr>
        <w:t>ñ</w:t>
      </w:r>
      <w:r>
        <w:rPr>
          <w:spacing w:val="-7"/>
          <w:sz w:val="18"/>
          <w:szCs w:val="18"/>
          <w:lang w:val="es-ES_tradnl"/>
        </w:rPr>
        <w:t>ala principalmente que no se podr</w:t>
      </w:r>
      <w:r>
        <w:rPr>
          <w:rFonts w:cs="Times New Roman"/>
          <w:spacing w:val="-7"/>
          <w:sz w:val="18"/>
          <w:szCs w:val="18"/>
          <w:lang w:val="es-ES_tradnl"/>
        </w:rPr>
        <w:t>á</w:t>
      </w:r>
      <w:r>
        <w:rPr>
          <w:spacing w:val="-7"/>
          <w:sz w:val="18"/>
          <w:szCs w:val="18"/>
          <w:lang w:val="es-ES_tradnl"/>
        </w:rPr>
        <w:t xml:space="preserve">n </w:t>
      </w:r>
      <w:r>
        <w:rPr>
          <w:spacing w:val="-1"/>
          <w:sz w:val="18"/>
          <w:szCs w:val="18"/>
          <w:lang w:val="es-ES_tradnl"/>
        </w:rPr>
        <w:t xml:space="preserve">imponer cobros a los usuarios que sean superiores a </w:t>
      </w:r>
      <w:r>
        <w:rPr>
          <w:spacing w:val="-8"/>
          <w:sz w:val="18"/>
          <w:szCs w:val="18"/>
          <w:lang w:val="es-ES_tradnl"/>
        </w:rPr>
        <w:t>los impuestos a cualquier l</w:t>
      </w:r>
      <w:r>
        <w:rPr>
          <w:rFonts w:cs="Times New Roman"/>
          <w:spacing w:val="-8"/>
          <w:sz w:val="18"/>
          <w:szCs w:val="18"/>
          <w:lang w:val="es-ES_tradnl"/>
        </w:rPr>
        <w:t>í</w:t>
      </w:r>
      <w:r>
        <w:rPr>
          <w:spacing w:val="-8"/>
          <w:sz w:val="18"/>
          <w:szCs w:val="18"/>
          <w:lang w:val="es-ES_tradnl"/>
        </w:rPr>
        <w:t>nea a</w:t>
      </w:r>
      <w:r>
        <w:rPr>
          <w:rFonts w:cs="Times New Roman"/>
          <w:spacing w:val="-8"/>
          <w:sz w:val="18"/>
          <w:szCs w:val="18"/>
          <w:lang w:val="es-ES_tradnl"/>
        </w:rPr>
        <w:t>é</w:t>
      </w:r>
      <w:r>
        <w:rPr>
          <w:spacing w:val="-8"/>
          <w:sz w:val="18"/>
          <w:szCs w:val="18"/>
          <w:lang w:val="es-ES_tradnl"/>
        </w:rPr>
        <w:t xml:space="preserve">rea de los Estados que </w:t>
      </w:r>
      <w:r>
        <w:rPr>
          <w:spacing w:val="-7"/>
          <w:sz w:val="18"/>
          <w:szCs w:val="18"/>
          <w:lang w:val="es-ES_tradnl"/>
        </w:rPr>
        <w:t>operan servicios a</w:t>
      </w:r>
      <w:r>
        <w:rPr>
          <w:rFonts w:cs="Times New Roman"/>
          <w:spacing w:val="-7"/>
          <w:sz w:val="18"/>
          <w:szCs w:val="18"/>
          <w:lang w:val="es-ES_tradnl"/>
        </w:rPr>
        <w:t>é</w:t>
      </w:r>
      <w:r>
        <w:rPr>
          <w:spacing w:val="-7"/>
          <w:sz w:val="18"/>
          <w:szCs w:val="18"/>
          <w:lang w:val="es-ES_tradnl"/>
        </w:rPr>
        <w:t xml:space="preserve">reos internacionales similares, sin que </w:t>
      </w:r>
      <w:r>
        <w:rPr>
          <w:sz w:val="18"/>
          <w:szCs w:val="18"/>
          <w:lang w:val="es-ES_tradnl"/>
        </w:rPr>
        <w:t>se transgreda la Constituci</w:t>
      </w:r>
      <w:r>
        <w:rPr>
          <w:rFonts w:cs="Times New Roman"/>
          <w:sz w:val="18"/>
          <w:szCs w:val="18"/>
          <w:lang w:val="es-ES_tradnl"/>
        </w:rPr>
        <w:t>ó</w:t>
      </w:r>
      <w:r>
        <w:rPr>
          <w:sz w:val="18"/>
          <w:szCs w:val="18"/>
          <w:lang w:val="es-ES_tradnl"/>
        </w:rPr>
        <w:t>n.</w:t>
      </w:r>
    </w:p>
    <w:p w14:paraId="4F67A438" w14:textId="77777777" w:rsidR="00591D54" w:rsidRDefault="00591D54">
      <w:pPr>
        <w:shd w:val="clear" w:color="auto" w:fill="FFFFFF"/>
        <w:spacing w:before="197" w:line="216" w:lineRule="exact"/>
        <w:jc w:val="both"/>
      </w:pPr>
      <w:r>
        <w:rPr>
          <w:spacing w:val="-8"/>
          <w:sz w:val="18"/>
          <w:szCs w:val="18"/>
          <w:lang w:val="es-ES_tradnl"/>
        </w:rPr>
        <w:t xml:space="preserve">El </w:t>
      </w:r>
      <w:r>
        <w:rPr>
          <w:b/>
          <w:bCs/>
          <w:spacing w:val="-8"/>
          <w:sz w:val="18"/>
          <w:szCs w:val="18"/>
          <w:lang w:val="es-ES_tradnl"/>
        </w:rPr>
        <w:t>art</w:t>
      </w:r>
      <w:r>
        <w:rPr>
          <w:rFonts w:cs="Times New Roman"/>
          <w:b/>
          <w:bCs/>
          <w:spacing w:val="-8"/>
          <w:sz w:val="18"/>
          <w:szCs w:val="18"/>
          <w:lang w:val="es-ES_tradnl"/>
        </w:rPr>
        <w:t>í</w:t>
      </w:r>
      <w:r>
        <w:rPr>
          <w:b/>
          <w:bCs/>
          <w:spacing w:val="-8"/>
          <w:sz w:val="18"/>
          <w:szCs w:val="18"/>
          <w:lang w:val="es-ES_tradnl"/>
        </w:rPr>
        <w:t xml:space="preserve">culo 11 </w:t>
      </w:r>
      <w:r>
        <w:rPr>
          <w:spacing w:val="-8"/>
          <w:sz w:val="18"/>
          <w:szCs w:val="18"/>
          <w:lang w:val="es-ES_tradnl"/>
        </w:rPr>
        <w:t xml:space="preserve">se refiere a derechos de aduana; establece </w:t>
      </w:r>
      <w:r>
        <w:rPr>
          <w:spacing w:val="-6"/>
          <w:sz w:val="18"/>
          <w:szCs w:val="18"/>
          <w:lang w:val="es-ES_tradnl"/>
        </w:rPr>
        <w:t xml:space="preserve">que cuando una Parte contratante llega al territorio de la </w:t>
      </w:r>
      <w:r>
        <w:rPr>
          <w:spacing w:val="-2"/>
          <w:sz w:val="18"/>
          <w:szCs w:val="18"/>
          <w:lang w:val="es-ES_tradnl"/>
        </w:rPr>
        <w:t xml:space="preserve">otra Parte, dicha aeronave y su equipo regular, piezas </w:t>
      </w:r>
      <w:r>
        <w:rPr>
          <w:spacing w:val="-6"/>
          <w:sz w:val="18"/>
          <w:szCs w:val="18"/>
          <w:lang w:val="es-ES_tradnl"/>
        </w:rPr>
        <w:t xml:space="preserve">de repuesto (incluidos motores), combustibles, aceites </w:t>
      </w:r>
      <w:r>
        <w:rPr>
          <w:spacing w:val="-1"/>
          <w:sz w:val="18"/>
          <w:szCs w:val="18"/>
          <w:lang w:val="es-ES_tradnl"/>
        </w:rPr>
        <w:t>(incluyendo todos los l</w:t>
      </w:r>
      <w:r>
        <w:rPr>
          <w:rFonts w:cs="Times New Roman"/>
          <w:spacing w:val="-1"/>
          <w:sz w:val="18"/>
          <w:szCs w:val="18"/>
          <w:lang w:val="es-ES_tradnl"/>
        </w:rPr>
        <w:t>í</w:t>
      </w:r>
      <w:r>
        <w:rPr>
          <w:spacing w:val="-1"/>
          <w:sz w:val="18"/>
          <w:szCs w:val="18"/>
          <w:lang w:val="es-ES_tradnl"/>
        </w:rPr>
        <w:t>quidos hidr</w:t>
      </w:r>
      <w:r>
        <w:rPr>
          <w:rFonts w:cs="Times New Roman"/>
          <w:spacing w:val="-1"/>
          <w:sz w:val="18"/>
          <w:szCs w:val="18"/>
          <w:lang w:val="es-ES_tradnl"/>
        </w:rPr>
        <w:t>á</w:t>
      </w:r>
      <w:r>
        <w:rPr>
          <w:spacing w:val="-1"/>
          <w:sz w:val="18"/>
          <w:szCs w:val="18"/>
          <w:lang w:val="es-ES_tradnl"/>
        </w:rPr>
        <w:t xml:space="preserve">ulicos, lubricantes) </w:t>
      </w:r>
      <w:r>
        <w:rPr>
          <w:spacing w:val="-5"/>
          <w:sz w:val="18"/>
          <w:szCs w:val="18"/>
          <w:lang w:val="es-ES_tradnl"/>
        </w:rPr>
        <w:t xml:space="preserve">y suministros para la aeronave (incluyendo alimentos, </w:t>
      </w:r>
      <w:r>
        <w:rPr>
          <w:spacing w:val="-9"/>
          <w:sz w:val="18"/>
          <w:szCs w:val="18"/>
          <w:lang w:val="es-ES_tradnl"/>
        </w:rPr>
        <w:t>bebidas y tabaco) a bordo de la aeronave, estar</w:t>
      </w:r>
      <w:r>
        <w:rPr>
          <w:rFonts w:cs="Times New Roman"/>
          <w:spacing w:val="-9"/>
          <w:sz w:val="18"/>
          <w:szCs w:val="18"/>
          <w:lang w:val="es-ES_tradnl"/>
        </w:rPr>
        <w:t>á</w:t>
      </w:r>
      <w:r>
        <w:rPr>
          <w:spacing w:val="-9"/>
          <w:sz w:val="18"/>
          <w:szCs w:val="18"/>
          <w:lang w:val="es-ES_tradnl"/>
        </w:rPr>
        <w:t xml:space="preserve">n exentos, </w:t>
      </w:r>
      <w:r>
        <w:rPr>
          <w:spacing w:val="-11"/>
          <w:sz w:val="18"/>
          <w:szCs w:val="18"/>
          <w:lang w:val="es-ES_tradnl"/>
        </w:rPr>
        <w:t xml:space="preserve">en base de la reciprocidad, de todos los derechos de aduana, </w:t>
      </w:r>
      <w:r>
        <w:rPr>
          <w:spacing w:val="-7"/>
          <w:sz w:val="18"/>
          <w:szCs w:val="18"/>
          <w:lang w:val="es-ES_tradnl"/>
        </w:rPr>
        <w:t>impuestos, tasas de inspecci</w:t>
      </w:r>
      <w:r>
        <w:rPr>
          <w:rFonts w:cs="Times New Roman"/>
          <w:spacing w:val="-7"/>
          <w:sz w:val="18"/>
          <w:szCs w:val="18"/>
          <w:lang w:val="es-ES_tradnl"/>
        </w:rPr>
        <w:t>ó</w:t>
      </w:r>
      <w:r>
        <w:rPr>
          <w:spacing w:val="-7"/>
          <w:sz w:val="18"/>
          <w:szCs w:val="18"/>
          <w:lang w:val="es-ES_tradnl"/>
        </w:rPr>
        <w:t xml:space="preserve">n y otras tarifas y cobros similares, siempre y cuando dichos equipos y elementos </w:t>
      </w:r>
      <w:r>
        <w:rPr>
          <w:spacing w:val="-9"/>
          <w:sz w:val="18"/>
          <w:szCs w:val="18"/>
          <w:lang w:val="es-ES_tradnl"/>
        </w:rPr>
        <w:t xml:space="preserve">permanecen a bordo de la aeronave hasta el momento en </w:t>
      </w:r>
      <w:r>
        <w:rPr>
          <w:spacing w:val="-8"/>
          <w:sz w:val="18"/>
          <w:szCs w:val="18"/>
          <w:lang w:val="es-ES_tradnl"/>
        </w:rPr>
        <w:t>que sean reexportados. El presente art</w:t>
      </w:r>
      <w:r>
        <w:rPr>
          <w:rFonts w:cs="Times New Roman"/>
          <w:spacing w:val="-8"/>
          <w:sz w:val="18"/>
          <w:szCs w:val="18"/>
          <w:lang w:val="es-ES_tradnl"/>
        </w:rPr>
        <w:t>í</w:t>
      </w:r>
      <w:r>
        <w:rPr>
          <w:spacing w:val="-8"/>
          <w:sz w:val="18"/>
          <w:szCs w:val="18"/>
          <w:lang w:val="es-ES_tradnl"/>
        </w:rPr>
        <w:t xml:space="preserve">culo no contraviene </w:t>
      </w:r>
      <w:r>
        <w:rPr>
          <w:sz w:val="18"/>
          <w:szCs w:val="18"/>
          <w:lang w:val="es-ES_tradnl"/>
        </w:rPr>
        <w:t>disposiciones constitucionales.</w:t>
      </w:r>
    </w:p>
    <w:p w14:paraId="4F67A439" w14:textId="77777777" w:rsidR="00591D54" w:rsidRDefault="00591D54">
      <w:pPr>
        <w:shd w:val="clear" w:color="auto" w:fill="FFFFFF"/>
        <w:spacing w:line="216" w:lineRule="exact"/>
        <w:jc w:val="both"/>
      </w:pPr>
      <w:r>
        <w:br w:type="column"/>
      </w:r>
      <w:r>
        <w:rPr>
          <w:spacing w:val="-4"/>
          <w:sz w:val="18"/>
          <w:szCs w:val="18"/>
          <w:lang w:val="es-ES_tradnl"/>
        </w:rPr>
        <w:t xml:space="preserve">Sobre el </w:t>
      </w:r>
      <w:r>
        <w:rPr>
          <w:b/>
          <w:bCs/>
          <w:spacing w:val="-4"/>
          <w:sz w:val="18"/>
          <w:szCs w:val="18"/>
          <w:lang w:val="es-ES_tradnl"/>
        </w:rPr>
        <w:t>art</w:t>
      </w:r>
      <w:r>
        <w:rPr>
          <w:rFonts w:cs="Times New Roman"/>
          <w:b/>
          <w:bCs/>
          <w:spacing w:val="-4"/>
          <w:sz w:val="18"/>
          <w:szCs w:val="18"/>
          <w:lang w:val="es-ES_tradnl"/>
        </w:rPr>
        <w:t>í</w:t>
      </w:r>
      <w:r>
        <w:rPr>
          <w:b/>
          <w:bCs/>
          <w:spacing w:val="-4"/>
          <w:sz w:val="18"/>
          <w:szCs w:val="18"/>
          <w:lang w:val="es-ES_tradnl"/>
        </w:rPr>
        <w:t>culo 12</w:t>
      </w:r>
      <w:r>
        <w:rPr>
          <w:spacing w:val="-4"/>
          <w:sz w:val="18"/>
          <w:szCs w:val="18"/>
          <w:lang w:val="es-ES_tradnl"/>
        </w:rPr>
        <w:t xml:space="preserve">, este se refiere a la capacidad, </w:t>
      </w:r>
      <w:r>
        <w:rPr>
          <w:spacing w:val="-11"/>
          <w:sz w:val="18"/>
          <w:szCs w:val="18"/>
          <w:lang w:val="es-ES_tradnl"/>
        </w:rPr>
        <w:t>se</w:t>
      </w:r>
      <w:r>
        <w:rPr>
          <w:rFonts w:cs="Times New Roman"/>
          <w:spacing w:val="-11"/>
          <w:sz w:val="18"/>
          <w:szCs w:val="18"/>
          <w:lang w:val="es-ES_tradnl"/>
        </w:rPr>
        <w:t>ñ</w:t>
      </w:r>
      <w:r>
        <w:rPr>
          <w:spacing w:val="-11"/>
          <w:sz w:val="18"/>
          <w:szCs w:val="18"/>
          <w:lang w:val="es-ES_tradnl"/>
        </w:rPr>
        <w:t>alando principalmente que cada parte contratante deber</w:t>
      </w:r>
      <w:r>
        <w:rPr>
          <w:rFonts w:cs="Times New Roman"/>
          <w:spacing w:val="-11"/>
          <w:sz w:val="18"/>
          <w:szCs w:val="18"/>
          <w:lang w:val="es-ES_tradnl"/>
        </w:rPr>
        <w:t xml:space="preserve">á </w:t>
      </w:r>
      <w:r>
        <w:rPr>
          <w:spacing w:val="-6"/>
          <w:sz w:val="18"/>
          <w:szCs w:val="18"/>
          <w:lang w:val="es-ES_tradnl"/>
        </w:rPr>
        <w:t xml:space="preserve">proporcionar una oportunidad justa y equitativa para las </w:t>
      </w:r>
      <w:r>
        <w:rPr>
          <w:spacing w:val="-11"/>
          <w:sz w:val="18"/>
          <w:szCs w:val="18"/>
          <w:lang w:val="es-ES_tradnl"/>
        </w:rPr>
        <w:t>l</w:t>
      </w:r>
      <w:r>
        <w:rPr>
          <w:rFonts w:cs="Times New Roman"/>
          <w:spacing w:val="-11"/>
          <w:sz w:val="18"/>
          <w:szCs w:val="18"/>
          <w:lang w:val="es-ES_tradnl"/>
        </w:rPr>
        <w:t>í</w:t>
      </w:r>
      <w:r>
        <w:rPr>
          <w:spacing w:val="-11"/>
          <w:sz w:val="18"/>
          <w:szCs w:val="18"/>
          <w:lang w:val="es-ES_tradnl"/>
        </w:rPr>
        <w:t>neas a</w:t>
      </w:r>
      <w:r>
        <w:rPr>
          <w:rFonts w:cs="Times New Roman"/>
          <w:spacing w:val="-11"/>
          <w:sz w:val="18"/>
          <w:szCs w:val="18"/>
          <w:lang w:val="es-ES_tradnl"/>
        </w:rPr>
        <w:t>é</w:t>
      </w:r>
      <w:r>
        <w:rPr>
          <w:spacing w:val="-11"/>
          <w:sz w:val="18"/>
          <w:szCs w:val="18"/>
          <w:lang w:val="es-ES_tradnl"/>
        </w:rPr>
        <w:t xml:space="preserve">reas designadas de ambas parte contratantes, para </w:t>
      </w:r>
      <w:r>
        <w:rPr>
          <w:spacing w:val="-3"/>
          <w:sz w:val="18"/>
          <w:szCs w:val="18"/>
          <w:lang w:val="es-ES_tradnl"/>
        </w:rPr>
        <w:t>competir en la operaci</w:t>
      </w:r>
      <w:r>
        <w:rPr>
          <w:rFonts w:cs="Times New Roman"/>
          <w:spacing w:val="-3"/>
          <w:sz w:val="18"/>
          <w:szCs w:val="18"/>
          <w:lang w:val="es-ES_tradnl"/>
        </w:rPr>
        <w:t>ó</w:t>
      </w:r>
      <w:r>
        <w:rPr>
          <w:spacing w:val="-3"/>
          <w:sz w:val="18"/>
          <w:szCs w:val="18"/>
          <w:lang w:val="es-ES_tradnl"/>
        </w:rPr>
        <w:t xml:space="preserve">n de los servicios acordados en </w:t>
      </w:r>
      <w:r>
        <w:rPr>
          <w:spacing w:val="-9"/>
          <w:sz w:val="18"/>
          <w:szCs w:val="18"/>
          <w:lang w:val="es-ES_tradnl"/>
        </w:rPr>
        <w:t>las rutas especificadas. Determina tambi</w:t>
      </w:r>
      <w:r>
        <w:rPr>
          <w:rFonts w:cs="Times New Roman"/>
          <w:spacing w:val="-9"/>
          <w:sz w:val="18"/>
          <w:szCs w:val="18"/>
          <w:lang w:val="es-ES_tradnl"/>
        </w:rPr>
        <w:t>é</w:t>
      </w:r>
      <w:r>
        <w:rPr>
          <w:spacing w:val="-9"/>
          <w:sz w:val="18"/>
          <w:szCs w:val="18"/>
          <w:lang w:val="es-ES_tradnl"/>
        </w:rPr>
        <w:t>n que cada parte contratante presentar</w:t>
      </w:r>
      <w:r>
        <w:rPr>
          <w:rFonts w:cs="Times New Roman"/>
          <w:spacing w:val="-9"/>
          <w:sz w:val="18"/>
          <w:szCs w:val="18"/>
          <w:lang w:val="es-ES_tradnl"/>
        </w:rPr>
        <w:t>á</w:t>
      </w:r>
      <w:r>
        <w:rPr>
          <w:spacing w:val="-9"/>
          <w:sz w:val="18"/>
          <w:szCs w:val="18"/>
          <w:lang w:val="es-ES_tradnl"/>
        </w:rPr>
        <w:t xml:space="preserve"> sus horarios de vuelo previstos para </w:t>
      </w:r>
      <w:r>
        <w:rPr>
          <w:spacing w:val="-11"/>
          <w:sz w:val="18"/>
          <w:szCs w:val="18"/>
          <w:lang w:val="es-ES_tradnl"/>
        </w:rPr>
        <w:t>la aprobaci</w:t>
      </w:r>
      <w:r>
        <w:rPr>
          <w:rFonts w:cs="Times New Roman"/>
          <w:spacing w:val="-11"/>
          <w:sz w:val="18"/>
          <w:szCs w:val="18"/>
          <w:lang w:val="es-ES_tradnl"/>
        </w:rPr>
        <w:t>ó</w:t>
      </w:r>
      <w:r>
        <w:rPr>
          <w:spacing w:val="-11"/>
          <w:sz w:val="18"/>
          <w:szCs w:val="18"/>
          <w:lang w:val="es-ES_tradnl"/>
        </w:rPr>
        <w:t>n de las autoridades aeron</w:t>
      </w:r>
      <w:r>
        <w:rPr>
          <w:rFonts w:cs="Times New Roman"/>
          <w:spacing w:val="-11"/>
          <w:sz w:val="18"/>
          <w:szCs w:val="18"/>
          <w:lang w:val="es-ES_tradnl"/>
        </w:rPr>
        <w:t>á</w:t>
      </w:r>
      <w:r>
        <w:rPr>
          <w:spacing w:val="-11"/>
          <w:sz w:val="18"/>
          <w:szCs w:val="18"/>
          <w:lang w:val="es-ES_tradnl"/>
        </w:rPr>
        <w:t xml:space="preserve">uticas de la otra parte </w:t>
      </w:r>
      <w:r>
        <w:rPr>
          <w:spacing w:val="-9"/>
          <w:sz w:val="18"/>
          <w:szCs w:val="18"/>
          <w:lang w:val="es-ES_tradnl"/>
        </w:rPr>
        <w:t>contratante por lo menos 60 d</w:t>
      </w:r>
      <w:r>
        <w:rPr>
          <w:rFonts w:cs="Times New Roman"/>
          <w:spacing w:val="-9"/>
          <w:sz w:val="18"/>
          <w:szCs w:val="18"/>
          <w:lang w:val="es-ES_tradnl"/>
        </w:rPr>
        <w:t>í</w:t>
      </w:r>
      <w:r>
        <w:rPr>
          <w:spacing w:val="-9"/>
          <w:sz w:val="18"/>
          <w:szCs w:val="18"/>
          <w:lang w:val="es-ES_tradnl"/>
        </w:rPr>
        <w:t>as antes de las operaci</w:t>
      </w:r>
      <w:r>
        <w:rPr>
          <w:rFonts w:cs="Times New Roman"/>
          <w:spacing w:val="-9"/>
          <w:sz w:val="18"/>
          <w:szCs w:val="18"/>
          <w:lang w:val="es-ES_tradnl"/>
        </w:rPr>
        <w:t>ó</w:t>
      </w:r>
      <w:r>
        <w:rPr>
          <w:spacing w:val="-9"/>
          <w:sz w:val="18"/>
          <w:szCs w:val="18"/>
          <w:lang w:val="es-ES_tradnl"/>
        </w:rPr>
        <w:t xml:space="preserve">n de </w:t>
      </w:r>
      <w:r>
        <w:rPr>
          <w:sz w:val="18"/>
          <w:szCs w:val="18"/>
          <w:lang w:val="es-ES_tradnl"/>
        </w:rPr>
        <w:t>los servicios acordados.</w:t>
      </w:r>
    </w:p>
    <w:p w14:paraId="4F67A43A" w14:textId="77777777" w:rsidR="00591D54" w:rsidRDefault="00591D54">
      <w:pPr>
        <w:shd w:val="clear" w:color="auto" w:fill="FFFFFF"/>
        <w:spacing w:before="192" w:line="216" w:lineRule="exact"/>
        <w:jc w:val="both"/>
      </w:pPr>
      <w:r>
        <w:rPr>
          <w:spacing w:val="-2"/>
          <w:sz w:val="18"/>
          <w:szCs w:val="18"/>
          <w:lang w:val="es-ES_tradnl"/>
        </w:rPr>
        <w:t xml:space="preserve">El </w:t>
      </w:r>
      <w:r>
        <w:rPr>
          <w:b/>
          <w:bCs/>
          <w:spacing w:val="-2"/>
          <w:sz w:val="18"/>
          <w:szCs w:val="18"/>
          <w:lang w:val="es-ES_tradnl"/>
        </w:rPr>
        <w:t>art</w:t>
      </w:r>
      <w:r>
        <w:rPr>
          <w:rFonts w:cs="Times New Roman"/>
          <w:b/>
          <w:bCs/>
          <w:spacing w:val="-2"/>
          <w:sz w:val="18"/>
          <w:szCs w:val="18"/>
          <w:lang w:val="es-ES_tradnl"/>
        </w:rPr>
        <w:t>í</w:t>
      </w:r>
      <w:r>
        <w:rPr>
          <w:b/>
          <w:bCs/>
          <w:spacing w:val="-2"/>
          <w:sz w:val="18"/>
          <w:szCs w:val="18"/>
          <w:lang w:val="es-ES_tradnl"/>
        </w:rPr>
        <w:t xml:space="preserve">culo 13 </w:t>
      </w:r>
      <w:r>
        <w:rPr>
          <w:spacing w:val="-2"/>
          <w:sz w:val="18"/>
          <w:szCs w:val="18"/>
          <w:lang w:val="es-ES_tradnl"/>
        </w:rPr>
        <w:t xml:space="preserve">establece normas sobre las tarifas para </w:t>
      </w:r>
      <w:r>
        <w:rPr>
          <w:spacing w:val="-9"/>
          <w:sz w:val="18"/>
          <w:szCs w:val="18"/>
          <w:lang w:val="es-ES_tradnl"/>
        </w:rPr>
        <w:t>los servicios de transporte a</w:t>
      </w:r>
      <w:r>
        <w:rPr>
          <w:rFonts w:cs="Times New Roman"/>
          <w:spacing w:val="-9"/>
          <w:sz w:val="18"/>
          <w:szCs w:val="18"/>
          <w:lang w:val="es-ES_tradnl"/>
        </w:rPr>
        <w:t>é</w:t>
      </w:r>
      <w:r>
        <w:rPr>
          <w:spacing w:val="-9"/>
          <w:sz w:val="18"/>
          <w:szCs w:val="18"/>
          <w:lang w:val="es-ES_tradnl"/>
        </w:rPr>
        <w:t>reo, se se</w:t>
      </w:r>
      <w:r>
        <w:rPr>
          <w:rFonts w:cs="Times New Roman"/>
          <w:spacing w:val="-9"/>
          <w:sz w:val="18"/>
          <w:szCs w:val="18"/>
          <w:lang w:val="es-ES_tradnl"/>
        </w:rPr>
        <w:t>ñ</w:t>
      </w:r>
      <w:r>
        <w:rPr>
          <w:spacing w:val="-9"/>
          <w:sz w:val="18"/>
          <w:szCs w:val="18"/>
          <w:lang w:val="es-ES_tradnl"/>
        </w:rPr>
        <w:t xml:space="preserve">ala que las partes </w:t>
      </w:r>
      <w:r>
        <w:rPr>
          <w:spacing w:val="-8"/>
          <w:sz w:val="18"/>
          <w:szCs w:val="18"/>
          <w:lang w:val="es-ES_tradnl"/>
        </w:rPr>
        <w:t>contratantes permitir</w:t>
      </w:r>
      <w:r>
        <w:rPr>
          <w:rFonts w:cs="Times New Roman"/>
          <w:spacing w:val="-8"/>
          <w:sz w:val="18"/>
          <w:szCs w:val="18"/>
          <w:lang w:val="es-ES_tradnl"/>
        </w:rPr>
        <w:t>á</w:t>
      </w:r>
      <w:r>
        <w:rPr>
          <w:spacing w:val="-8"/>
          <w:sz w:val="18"/>
          <w:szCs w:val="18"/>
          <w:lang w:val="es-ES_tradnl"/>
        </w:rPr>
        <w:t>n a cada una de las l</w:t>
      </w:r>
      <w:r>
        <w:rPr>
          <w:rFonts w:cs="Times New Roman"/>
          <w:spacing w:val="-8"/>
          <w:sz w:val="18"/>
          <w:szCs w:val="18"/>
          <w:lang w:val="es-ES_tradnl"/>
        </w:rPr>
        <w:t>í</w:t>
      </w:r>
      <w:r>
        <w:rPr>
          <w:spacing w:val="-8"/>
          <w:sz w:val="18"/>
          <w:szCs w:val="18"/>
          <w:lang w:val="es-ES_tradnl"/>
        </w:rPr>
        <w:t>neas a</w:t>
      </w:r>
      <w:r>
        <w:rPr>
          <w:rFonts w:cs="Times New Roman"/>
          <w:spacing w:val="-8"/>
          <w:sz w:val="18"/>
          <w:szCs w:val="18"/>
          <w:lang w:val="es-ES_tradnl"/>
        </w:rPr>
        <w:t>é</w:t>
      </w:r>
      <w:r>
        <w:rPr>
          <w:spacing w:val="-8"/>
          <w:sz w:val="18"/>
          <w:szCs w:val="18"/>
          <w:lang w:val="es-ES_tradnl"/>
        </w:rPr>
        <w:t xml:space="preserve">reas </w:t>
      </w:r>
      <w:r>
        <w:rPr>
          <w:spacing w:val="-10"/>
          <w:sz w:val="18"/>
          <w:szCs w:val="18"/>
          <w:lang w:val="es-ES_tradnl"/>
        </w:rPr>
        <w:t xml:space="preserve">designadas fijar las tarifas sobre la base de consideraciones </w:t>
      </w:r>
      <w:r>
        <w:rPr>
          <w:spacing w:val="-7"/>
          <w:sz w:val="18"/>
          <w:szCs w:val="18"/>
          <w:lang w:val="es-ES_tradnl"/>
        </w:rPr>
        <w:t>comerciales en el mercado pertinente; sin embargo, se determina que las partes contratantes intervendr</w:t>
      </w:r>
      <w:r>
        <w:rPr>
          <w:rFonts w:cs="Times New Roman"/>
          <w:spacing w:val="-7"/>
          <w:sz w:val="18"/>
          <w:szCs w:val="18"/>
          <w:lang w:val="es-ES_tradnl"/>
        </w:rPr>
        <w:t>á</w:t>
      </w:r>
      <w:r>
        <w:rPr>
          <w:spacing w:val="-7"/>
          <w:sz w:val="18"/>
          <w:szCs w:val="18"/>
          <w:lang w:val="es-ES_tradnl"/>
        </w:rPr>
        <w:t xml:space="preserve">n para </w:t>
      </w:r>
      <w:r>
        <w:rPr>
          <w:spacing w:val="-9"/>
          <w:sz w:val="18"/>
          <w:szCs w:val="18"/>
          <w:lang w:val="es-ES_tradnl"/>
        </w:rPr>
        <w:t>prevenir la fijaci</w:t>
      </w:r>
      <w:r>
        <w:rPr>
          <w:rFonts w:cs="Times New Roman"/>
          <w:spacing w:val="-9"/>
          <w:sz w:val="18"/>
          <w:szCs w:val="18"/>
          <w:lang w:val="es-ES_tradnl"/>
        </w:rPr>
        <w:t>ó</w:t>
      </w:r>
      <w:r>
        <w:rPr>
          <w:spacing w:val="-9"/>
          <w:sz w:val="18"/>
          <w:szCs w:val="18"/>
          <w:lang w:val="es-ES_tradnl"/>
        </w:rPr>
        <w:t>n de precios o pr</w:t>
      </w:r>
      <w:r>
        <w:rPr>
          <w:rFonts w:cs="Times New Roman"/>
          <w:spacing w:val="-9"/>
          <w:sz w:val="18"/>
          <w:szCs w:val="18"/>
          <w:lang w:val="es-ES_tradnl"/>
        </w:rPr>
        <w:t>á</w:t>
      </w:r>
      <w:r>
        <w:rPr>
          <w:spacing w:val="-9"/>
          <w:sz w:val="18"/>
          <w:szCs w:val="18"/>
          <w:lang w:val="es-ES_tradnl"/>
        </w:rPr>
        <w:t xml:space="preserve">cticas injustificadamente </w:t>
      </w:r>
      <w:r>
        <w:rPr>
          <w:spacing w:val="-3"/>
          <w:sz w:val="18"/>
          <w:szCs w:val="18"/>
          <w:lang w:val="es-ES_tradnl"/>
        </w:rPr>
        <w:t>discriminatorias. La Constituci</w:t>
      </w:r>
      <w:r>
        <w:rPr>
          <w:rFonts w:cs="Times New Roman"/>
          <w:spacing w:val="-3"/>
          <w:sz w:val="18"/>
          <w:szCs w:val="18"/>
          <w:lang w:val="es-ES_tradnl"/>
        </w:rPr>
        <w:t>ó</w:t>
      </w:r>
      <w:r>
        <w:rPr>
          <w:spacing w:val="-3"/>
          <w:sz w:val="18"/>
          <w:szCs w:val="18"/>
          <w:lang w:val="es-ES_tradnl"/>
        </w:rPr>
        <w:t>n de la Rep</w:t>
      </w:r>
      <w:r>
        <w:rPr>
          <w:rFonts w:cs="Times New Roman"/>
          <w:spacing w:val="-3"/>
          <w:sz w:val="18"/>
          <w:szCs w:val="18"/>
          <w:lang w:val="es-ES_tradnl"/>
        </w:rPr>
        <w:t>ú</w:t>
      </w:r>
      <w:r>
        <w:rPr>
          <w:spacing w:val="-3"/>
          <w:sz w:val="18"/>
          <w:szCs w:val="18"/>
          <w:lang w:val="es-ES_tradnl"/>
        </w:rPr>
        <w:t xml:space="preserve">blica del </w:t>
      </w:r>
      <w:r>
        <w:rPr>
          <w:spacing w:val="-7"/>
          <w:sz w:val="18"/>
          <w:szCs w:val="18"/>
          <w:lang w:val="es-ES_tradnl"/>
        </w:rPr>
        <w:t xml:space="preserve">Ecuador contiene normas que buscan eliminar toda forma </w:t>
      </w:r>
      <w:r>
        <w:rPr>
          <w:spacing w:val="-5"/>
          <w:sz w:val="18"/>
          <w:szCs w:val="18"/>
          <w:lang w:val="es-ES_tradnl"/>
        </w:rPr>
        <w:t>de discriminaci</w:t>
      </w:r>
      <w:r>
        <w:rPr>
          <w:rFonts w:cs="Times New Roman"/>
          <w:spacing w:val="-5"/>
          <w:sz w:val="18"/>
          <w:szCs w:val="18"/>
          <w:lang w:val="es-ES_tradnl"/>
        </w:rPr>
        <w:t>ó</w:t>
      </w:r>
      <w:r>
        <w:rPr>
          <w:spacing w:val="-5"/>
          <w:sz w:val="18"/>
          <w:szCs w:val="18"/>
          <w:lang w:val="es-ES_tradnl"/>
        </w:rPr>
        <w:t>n, puntualmente los art</w:t>
      </w:r>
      <w:r>
        <w:rPr>
          <w:rFonts w:cs="Times New Roman"/>
          <w:spacing w:val="-5"/>
          <w:sz w:val="18"/>
          <w:szCs w:val="18"/>
          <w:lang w:val="es-ES_tradnl"/>
        </w:rPr>
        <w:t>í</w:t>
      </w:r>
      <w:r>
        <w:rPr>
          <w:spacing w:val="-5"/>
          <w:sz w:val="18"/>
          <w:szCs w:val="18"/>
          <w:lang w:val="es-ES_tradnl"/>
        </w:rPr>
        <w:t xml:space="preserve">culos 3, 11, 66 </w:t>
      </w:r>
      <w:r>
        <w:rPr>
          <w:spacing w:val="-9"/>
          <w:sz w:val="18"/>
          <w:szCs w:val="18"/>
          <w:lang w:val="es-ES_tradnl"/>
        </w:rPr>
        <w:t>numeral 4; por ello, esta disposici</w:t>
      </w:r>
      <w:r>
        <w:rPr>
          <w:rFonts w:cs="Times New Roman"/>
          <w:spacing w:val="-9"/>
          <w:sz w:val="18"/>
          <w:szCs w:val="18"/>
          <w:lang w:val="es-ES_tradnl"/>
        </w:rPr>
        <w:t>ó</w:t>
      </w:r>
      <w:r>
        <w:rPr>
          <w:spacing w:val="-9"/>
          <w:sz w:val="18"/>
          <w:szCs w:val="18"/>
          <w:lang w:val="es-ES_tradnl"/>
        </w:rPr>
        <w:t xml:space="preserve">n del convenio en estudio </w:t>
      </w:r>
      <w:r>
        <w:rPr>
          <w:spacing w:val="-6"/>
          <w:sz w:val="18"/>
          <w:szCs w:val="18"/>
          <w:lang w:val="es-ES_tradnl"/>
        </w:rPr>
        <w:t>no contraviene formal ni materialmente su contenido.</w:t>
      </w:r>
    </w:p>
    <w:p w14:paraId="4F67A43B" w14:textId="77777777" w:rsidR="00591D54" w:rsidRDefault="00591D54">
      <w:pPr>
        <w:shd w:val="clear" w:color="auto" w:fill="FFFFFF"/>
        <w:spacing w:before="192" w:line="216" w:lineRule="exact"/>
        <w:jc w:val="both"/>
      </w:pPr>
      <w:r>
        <w:rPr>
          <w:sz w:val="18"/>
          <w:szCs w:val="18"/>
          <w:lang w:val="es-ES_tradnl"/>
        </w:rPr>
        <w:t>A seguir con el an</w:t>
      </w:r>
      <w:r>
        <w:rPr>
          <w:rFonts w:cs="Times New Roman"/>
          <w:sz w:val="18"/>
          <w:szCs w:val="18"/>
          <w:lang w:val="es-ES_tradnl"/>
        </w:rPr>
        <w:t>á</w:t>
      </w:r>
      <w:r>
        <w:rPr>
          <w:sz w:val="18"/>
          <w:szCs w:val="18"/>
          <w:lang w:val="es-ES_tradnl"/>
        </w:rPr>
        <w:t>lisis del art</w:t>
      </w:r>
      <w:r>
        <w:rPr>
          <w:rFonts w:cs="Times New Roman"/>
          <w:sz w:val="18"/>
          <w:szCs w:val="18"/>
          <w:lang w:val="es-ES_tradnl"/>
        </w:rPr>
        <w:t>í</w:t>
      </w:r>
      <w:r>
        <w:rPr>
          <w:sz w:val="18"/>
          <w:szCs w:val="18"/>
          <w:lang w:val="es-ES_tradnl"/>
        </w:rPr>
        <w:t xml:space="preserve">culo 13 del convenio, </w:t>
      </w:r>
      <w:r>
        <w:rPr>
          <w:spacing w:val="-9"/>
          <w:sz w:val="18"/>
          <w:szCs w:val="18"/>
          <w:lang w:val="es-ES_tradnl"/>
        </w:rPr>
        <w:t>se establece tambi</w:t>
      </w:r>
      <w:r>
        <w:rPr>
          <w:rFonts w:cs="Times New Roman"/>
          <w:spacing w:val="-9"/>
          <w:sz w:val="18"/>
          <w:szCs w:val="18"/>
          <w:lang w:val="es-ES_tradnl"/>
        </w:rPr>
        <w:t>é</w:t>
      </w:r>
      <w:r>
        <w:rPr>
          <w:spacing w:val="-9"/>
          <w:sz w:val="18"/>
          <w:szCs w:val="18"/>
          <w:lang w:val="es-ES_tradnl"/>
        </w:rPr>
        <w:t>n que las partes contratantes podr</w:t>
      </w:r>
      <w:r>
        <w:rPr>
          <w:rFonts w:cs="Times New Roman"/>
          <w:spacing w:val="-9"/>
          <w:sz w:val="18"/>
          <w:szCs w:val="18"/>
          <w:lang w:val="es-ES_tradnl"/>
        </w:rPr>
        <w:t>á</w:t>
      </w:r>
      <w:r>
        <w:rPr>
          <w:spacing w:val="-9"/>
          <w:sz w:val="18"/>
          <w:szCs w:val="18"/>
          <w:lang w:val="es-ES_tradnl"/>
        </w:rPr>
        <w:t xml:space="preserve">n </w:t>
      </w:r>
      <w:r>
        <w:rPr>
          <w:spacing w:val="-4"/>
          <w:sz w:val="18"/>
          <w:szCs w:val="18"/>
          <w:lang w:val="es-ES_tradnl"/>
        </w:rPr>
        <w:t xml:space="preserve">intervenir para proteger a los consumidores de tarifas </w:t>
      </w:r>
      <w:r>
        <w:rPr>
          <w:spacing w:val="-5"/>
          <w:sz w:val="18"/>
          <w:szCs w:val="18"/>
          <w:lang w:val="es-ES_tradnl"/>
        </w:rPr>
        <w:t xml:space="preserve">injustificadamente elevadas o restrictivas. En el texto </w:t>
      </w:r>
      <w:r>
        <w:rPr>
          <w:spacing w:val="-1"/>
          <w:sz w:val="18"/>
          <w:szCs w:val="18"/>
          <w:lang w:val="es-ES_tradnl"/>
        </w:rPr>
        <w:t xml:space="preserve">constitucional, se garantizan los derechos de los </w:t>
      </w:r>
      <w:r>
        <w:rPr>
          <w:spacing w:val="-6"/>
          <w:sz w:val="18"/>
          <w:szCs w:val="18"/>
          <w:lang w:val="es-ES_tradnl"/>
        </w:rPr>
        <w:t>consumidores en el art</w:t>
      </w:r>
      <w:r>
        <w:rPr>
          <w:rFonts w:cs="Times New Roman"/>
          <w:spacing w:val="-6"/>
          <w:sz w:val="18"/>
          <w:szCs w:val="18"/>
          <w:lang w:val="es-ES_tradnl"/>
        </w:rPr>
        <w:t>í</w:t>
      </w:r>
      <w:r>
        <w:rPr>
          <w:spacing w:val="-6"/>
          <w:sz w:val="18"/>
          <w:szCs w:val="18"/>
          <w:lang w:val="es-ES_tradnl"/>
        </w:rPr>
        <w:t>culo 52, por lo que la intervenci</w:t>
      </w:r>
      <w:r>
        <w:rPr>
          <w:rFonts w:cs="Times New Roman"/>
          <w:spacing w:val="-6"/>
          <w:sz w:val="18"/>
          <w:szCs w:val="18"/>
          <w:lang w:val="es-ES_tradnl"/>
        </w:rPr>
        <w:t>ó</w:t>
      </w:r>
      <w:r>
        <w:rPr>
          <w:spacing w:val="-6"/>
          <w:sz w:val="18"/>
          <w:szCs w:val="18"/>
          <w:lang w:val="es-ES_tradnl"/>
        </w:rPr>
        <w:t xml:space="preserve">n </w:t>
      </w:r>
      <w:r>
        <w:rPr>
          <w:spacing w:val="-7"/>
          <w:sz w:val="18"/>
          <w:szCs w:val="18"/>
          <w:lang w:val="es-ES_tradnl"/>
        </w:rPr>
        <w:t xml:space="preserve">que realice el Estado para regular las tarifas en los casos </w:t>
      </w:r>
      <w:r>
        <w:rPr>
          <w:spacing w:val="-6"/>
          <w:sz w:val="18"/>
          <w:szCs w:val="18"/>
          <w:lang w:val="es-ES_tradnl"/>
        </w:rPr>
        <w:t>se</w:t>
      </w:r>
      <w:r>
        <w:rPr>
          <w:rFonts w:cs="Times New Roman"/>
          <w:spacing w:val="-6"/>
          <w:sz w:val="18"/>
          <w:szCs w:val="18"/>
          <w:lang w:val="es-ES_tradnl"/>
        </w:rPr>
        <w:t>ñ</w:t>
      </w:r>
      <w:r>
        <w:rPr>
          <w:spacing w:val="-6"/>
          <w:sz w:val="18"/>
          <w:szCs w:val="18"/>
          <w:lang w:val="es-ES_tradnl"/>
        </w:rPr>
        <w:t xml:space="preserve">alados en este convenio no contraviene la Norma </w:t>
      </w:r>
      <w:r>
        <w:rPr>
          <w:spacing w:val="-7"/>
          <w:sz w:val="18"/>
          <w:szCs w:val="18"/>
          <w:lang w:val="es-ES_tradnl"/>
        </w:rPr>
        <w:t>Suprema. El convenio estable tambi</w:t>
      </w:r>
      <w:r>
        <w:rPr>
          <w:rFonts w:cs="Times New Roman"/>
          <w:spacing w:val="-7"/>
          <w:sz w:val="18"/>
          <w:szCs w:val="18"/>
          <w:lang w:val="es-ES_tradnl"/>
        </w:rPr>
        <w:t>é</w:t>
      </w:r>
      <w:r>
        <w:rPr>
          <w:spacing w:val="-7"/>
          <w:sz w:val="18"/>
          <w:szCs w:val="18"/>
          <w:lang w:val="es-ES_tradnl"/>
        </w:rPr>
        <w:t xml:space="preserve">n que las Partes </w:t>
      </w:r>
      <w:r>
        <w:rPr>
          <w:spacing w:val="-9"/>
          <w:sz w:val="18"/>
          <w:szCs w:val="18"/>
          <w:lang w:val="es-ES_tradnl"/>
        </w:rPr>
        <w:t>intervendr</w:t>
      </w:r>
      <w:r>
        <w:rPr>
          <w:rFonts w:cs="Times New Roman"/>
          <w:spacing w:val="-9"/>
          <w:sz w:val="18"/>
          <w:szCs w:val="18"/>
          <w:lang w:val="es-ES_tradnl"/>
        </w:rPr>
        <w:t>á</w:t>
      </w:r>
      <w:r>
        <w:rPr>
          <w:spacing w:val="-9"/>
          <w:sz w:val="18"/>
          <w:szCs w:val="18"/>
          <w:lang w:val="es-ES_tradnl"/>
        </w:rPr>
        <w:t>n para impedir que las l</w:t>
      </w:r>
      <w:r>
        <w:rPr>
          <w:rFonts w:cs="Times New Roman"/>
          <w:spacing w:val="-9"/>
          <w:sz w:val="18"/>
          <w:szCs w:val="18"/>
          <w:lang w:val="es-ES_tradnl"/>
        </w:rPr>
        <w:t>í</w:t>
      </w:r>
      <w:r>
        <w:rPr>
          <w:spacing w:val="-9"/>
          <w:sz w:val="18"/>
          <w:szCs w:val="18"/>
          <w:lang w:val="es-ES_tradnl"/>
        </w:rPr>
        <w:t>neas a</w:t>
      </w:r>
      <w:r>
        <w:rPr>
          <w:rFonts w:cs="Times New Roman"/>
          <w:spacing w:val="-9"/>
          <w:sz w:val="18"/>
          <w:szCs w:val="18"/>
          <w:lang w:val="es-ES_tradnl"/>
        </w:rPr>
        <w:t>é</w:t>
      </w:r>
      <w:r>
        <w:rPr>
          <w:spacing w:val="-9"/>
          <w:sz w:val="18"/>
          <w:szCs w:val="18"/>
          <w:lang w:val="es-ES_tradnl"/>
        </w:rPr>
        <w:t xml:space="preserve">reas designadas </w:t>
      </w:r>
      <w:r>
        <w:rPr>
          <w:spacing w:val="-10"/>
          <w:sz w:val="18"/>
          <w:szCs w:val="18"/>
          <w:lang w:val="es-ES_tradnl"/>
        </w:rPr>
        <w:t xml:space="preserve">abusen de su poder de mercado de manera que causen la </w:t>
      </w:r>
      <w:r>
        <w:rPr>
          <w:spacing w:val="-6"/>
          <w:sz w:val="18"/>
          <w:szCs w:val="18"/>
          <w:lang w:val="es-ES_tradnl"/>
        </w:rPr>
        <w:t>exclusi</w:t>
      </w:r>
      <w:r>
        <w:rPr>
          <w:rFonts w:cs="Times New Roman"/>
          <w:spacing w:val="-6"/>
          <w:sz w:val="18"/>
          <w:szCs w:val="18"/>
          <w:lang w:val="es-ES_tradnl"/>
        </w:rPr>
        <w:t>ó</w:t>
      </w:r>
      <w:r>
        <w:rPr>
          <w:spacing w:val="-6"/>
          <w:sz w:val="18"/>
          <w:szCs w:val="18"/>
          <w:lang w:val="es-ES_tradnl"/>
        </w:rPr>
        <w:t xml:space="preserve">n de un competidor. Las regulaciones que este </w:t>
      </w:r>
      <w:r>
        <w:rPr>
          <w:spacing w:val="-8"/>
          <w:sz w:val="18"/>
          <w:szCs w:val="18"/>
          <w:lang w:val="es-ES_tradnl"/>
        </w:rPr>
        <w:t>convenio establece sobre tarifas est</w:t>
      </w:r>
      <w:r>
        <w:rPr>
          <w:rFonts w:cs="Times New Roman"/>
          <w:spacing w:val="-8"/>
          <w:sz w:val="18"/>
          <w:szCs w:val="18"/>
          <w:lang w:val="es-ES_tradnl"/>
        </w:rPr>
        <w:t>á</w:t>
      </w:r>
      <w:r>
        <w:rPr>
          <w:spacing w:val="-8"/>
          <w:sz w:val="18"/>
          <w:szCs w:val="18"/>
          <w:lang w:val="es-ES_tradnl"/>
        </w:rPr>
        <w:t xml:space="preserve">n relacionadas con </w:t>
      </w:r>
      <w:r>
        <w:rPr>
          <w:spacing w:val="-6"/>
          <w:sz w:val="18"/>
          <w:szCs w:val="18"/>
          <w:lang w:val="es-ES_tradnl"/>
        </w:rPr>
        <w:t>normas internacionales de mercado, de all</w:t>
      </w:r>
      <w:r>
        <w:rPr>
          <w:rFonts w:cs="Times New Roman"/>
          <w:spacing w:val="-6"/>
          <w:sz w:val="18"/>
          <w:szCs w:val="18"/>
          <w:lang w:val="es-ES_tradnl"/>
        </w:rPr>
        <w:t>í</w:t>
      </w:r>
      <w:r>
        <w:rPr>
          <w:spacing w:val="-6"/>
          <w:sz w:val="18"/>
          <w:szCs w:val="18"/>
          <w:lang w:val="es-ES_tradnl"/>
        </w:rPr>
        <w:t xml:space="preserve"> que se ha analizado este art</w:t>
      </w:r>
      <w:r>
        <w:rPr>
          <w:rFonts w:cs="Times New Roman"/>
          <w:spacing w:val="-6"/>
          <w:sz w:val="18"/>
          <w:szCs w:val="18"/>
          <w:lang w:val="es-ES_tradnl"/>
        </w:rPr>
        <w:t>í</w:t>
      </w:r>
      <w:r>
        <w:rPr>
          <w:spacing w:val="-6"/>
          <w:sz w:val="18"/>
          <w:szCs w:val="18"/>
          <w:lang w:val="es-ES_tradnl"/>
        </w:rPr>
        <w:t xml:space="preserve">culo del convenio con normas sobre </w:t>
      </w:r>
      <w:r>
        <w:rPr>
          <w:sz w:val="18"/>
          <w:szCs w:val="18"/>
          <w:lang w:val="es-ES_tradnl"/>
        </w:rPr>
        <w:t>pol</w:t>
      </w:r>
      <w:r>
        <w:rPr>
          <w:rFonts w:cs="Times New Roman"/>
          <w:sz w:val="18"/>
          <w:szCs w:val="18"/>
          <w:lang w:val="es-ES_tradnl"/>
        </w:rPr>
        <w:t>í</w:t>
      </w:r>
      <w:r>
        <w:rPr>
          <w:sz w:val="18"/>
          <w:szCs w:val="18"/>
          <w:lang w:val="es-ES_tradnl"/>
        </w:rPr>
        <w:t>tica econ</w:t>
      </w:r>
      <w:r>
        <w:rPr>
          <w:rFonts w:cs="Times New Roman"/>
          <w:sz w:val="18"/>
          <w:szCs w:val="18"/>
          <w:lang w:val="es-ES_tradnl"/>
        </w:rPr>
        <w:t>ó</w:t>
      </w:r>
      <w:r>
        <w:rPr>
          <w:sz w:val="18"/>
          <w:szCs w:val="18"/>
          <w:lang w:val="es-ES_tradnl"/>
        </w:rPr>
        <w:t>mica que determina la Constituci</w:t>
      </w:r>
      <w:r>
        <w:rPr>
          <w:rFonts w:cs="Times New Roman"/>
          <w:sz w:val="18"/>
          <w:szCs w:val="18"/>
          <w:lang w:val="es-ES_tradnl"/>
        </w:rPr>
        <w:t>ó</w:t>
      </w:r>
      <w:r>
        <w:rPr>
          <w:sz w:val="18"/>
          <w:szCs w:val="18"/>
          <w:lang w:val="es-ES_tradnl"/>
        </w:rPr>
        <w:t xml:space="preserve">n, </w:t>
      </w:r>
      <w:r>
        <w:rPr>
          <w:spacing w:val="-10"/>
          <w:sz w:val="18"/>
          <w:szCs w:val="18"/>
          <w:lang w:val="es-ES_tradnl"/>
        </w:rPr>
        <w:t>espec</w:t>
      </w:r>
      <w:r>
        <w:rPr>
          <w:rFonts w:cs="Times New Roman"/>
          <w:spacing w:val="-10"/>
          <w:sz w:val="18"/>
          <w:szCs w:val="18"/>
          <w:lang w:val="es-ES_tradnl"/>
        </w:rPr>
        <w:t>í</w:t>
      </w:r>
      <w:r>
        <w:rPr>
          <w:spacing w:val="-10"/>
          <w:sz w:val="18"/>
          <w:szCs w:val="18"/>
          <w:lang w:val="es-ES_tradnl"/>
        </w:rPr>
        <w:t>ficamente el art</w:t>
      </w:r>
      <w:r>
        <w:rPr>
          <w:rFonts w:cs="Times New Roman"/>
          <w:spacing w:val="-10"/>
          <w:sz w:val="18"/>
          <w:szCs w:val="18"/>
          <w:lang w:val="es-ES_tradnl"/>
        </w:rPr>
        <w:t>í</w:t>
      </w:r>
      <w:r>
        <w:rPr>
          <w:spacing w:val="-10"/>
          <w:sz w:val="18"/>
          <w:szCs w:val="18"/>
          <w:lang w:val="es-ES_tradnl"/>
        </w:rPr>
        <w:t>culo 284 numeral 8. De tal an</w:t>
      </w:r>
      <w:r>
        <w:rPr>
          <w:rFonts w:cs="Times New Roman"/>
          <w:spacing w:val="-10"/>
          <w:sz w:val="18"/>
          <w:szCs w:val="18"/>
          <w:lang w:val="es-ES_tradnl"/>
        </w:rPr>
        <w:t>á</w:t>
      </w:r>
      <w:r>
        <w:rPr>
          <w:spacing w:val="-10"/>
          <w:sz w:val="18"/>
          <w:szCs w:val="18"/>
          <w:lang w:val="es-ES_tradnl"/>
        </w:rPr>
        <w:t xml:space="preserve">lisis se </w:t>
      </w:r>
      <w:r>
        <w:rPr>
          <w:spacing w:val="-7"/>
          <w:sz w:val="18"/>
          <w:szCs w:val="18"/>
          <w:lang w:val="es-ES_tradnl"/>
        </w:rPr>
        <w:t>ha determinado que este art</w:t>
      </w:r>
      <w:r>
        <w:rPr>
          <w:rFonts w:cs="Times New Roman"/>
          <w:spacing w:val="-7"/>
          <w:sz w:val="18"/>
          <w:szCs w:val="18"/>
          <w:lang w:val="es-ES_tradnl"/>
        </w:rPr>
        <w:t>í</w:t>
      </w:r>
      <w:r>
        <w:rPr>
          <w:spacing w:val="-7"/>
          <w:sz w:val="18"/>
          <w:szCs w:val="18"/>
          <w:lang w:val="es-ES_tradnl"/>
        </w:rPr>
        <w:t xml:space="preserve">culo del convenio en estudio, </w:t>
      </w:r>
      <w:r>
        <w:rPr>
          <w:sz w:val="18"/>
          <w:szCs w:val="18"/>
          <w:lang w:val="es-ES_tradnl"/>
        </w:rPr>
        <w:t>no contradice la Norma Suprema.</w:t>
      </w:r>
    </w:p>
    <w:p w14:paraId="4F67A43C" w14:textId="77777777" w:rsidR="00591D54" w:rsidRDefault="00591D54">
      <w:pPr>
        <w:shd w:val="clear" w:color="auto" w:fill="FFFFFF"/>
        <w:spacing w:before="192" w:line="216" w:lineRule="exact"/>
        <w:jc w:val="both"/>
      </w:pPr>
      <w:r>
        <w:rPr>
          <w:spacing w:val="-6"/>
          <w:sz w:val="18"/>
          <w:szCs w:val="18"/>
          <w:lang w:val="es-ES_tradnl"/>
        </w:rPr>
        <w:t xml:space="preserve">El </w:t>
      </w:r>
      <w:r>
        <w:rPr>
          <w:b/>
          <w:bCs/>
          <w:spacing w:val="-6"/>
          <w:sz w:val="18"/>
          <w:szCs w:val="18"/>
          <w:lang w:val="es-ES_tradnl"/>
        </w:rPr>
        <w:t>art</w:t>
      </w:r>
      <w:r>
        <w:rPr>
          <w:rFonts w:cs="Times New Roman"/>
          <w:b/>
          <w:bCs/>
          <w:spacing w:val="-6"/>
          <w:sz w:val="18"/>
          <w:szCs w:val="18"/>
          <w:lang w:val="es-ES_tradnl"/>
        </w:rPr>
        <w:t>í</w:t>
      </w:r>
      <w:r>
        <w:rPr>
          <w:b/>
          <w:bCs/>
          <w:spacing w:val="-6"/>
          <w:sz w:val="18"/>
          <w:szCs w:val="18"/>
          <w:lang w:val="es-ES_tradnl"/>
        </w:rPr>
        <w:t xml:space="preserve">culo 14 </w:t>
      </w:r>
      <w:r>
        <w:rPr>
          <w:spacing w:val="-6"/>
          <w:sz w:val="18"/>
          <w:szCs w:val="18"/>
          <w:lang w:val="es-ES_tradnl"/>
        </w:rPr>
        <w:t xml:space="preserve">del convenio se refiere a transferencia de </w:t>
      </w:r>
      <w:r>
        <w:rPr>
          <w:spacing w:val="-7"/>
          <w:sz w:val="18"/>
          <w:szCs w:val="18"/>
          <w:lang w:val="es-ES_tradnl"/>
        </w:rPr>
        <w:t>fondos, se establece que cada Parte podr</w:t>
      </w:r>
      <w:r>
        <w:rPr>
          <w:rFonts w:cs="Times New Roman"/>
          <w:spacing w:val="-7"/>
          <w:sz w:val="18"/>
          <w:szCs w:val="18"/>
          <w:lang w:val="es-ES_tradnl"/>
        </w:rPr>
        <w:t>á</w:t>
      </w:r>
      <w:r>
        <w:rPr>
          <w:spacing w:val="-7"/>
          <w:sz w:val="18"/>
          <w:szCs w:val="18"/>
          <w:lang w:val="es-ES_tradnl"/>
        </w:rPr>
        <w:t xml:space="preserve"> transferir los </w:t>
      </w:r>
      <w:r>
        <w:rPr>
          <w:spacing w:val="-6"/>
          <w:sz w:val="18"/>
          <w:szCs w:val="18"/>
          <w:lang w:val="es-ES_tradnl"/>
        </w:rPr>
        <w:t xml:space="preserve">fondos a su territorio desde el territorio de venta, todo ello </w:t>
      </w:r>
      <w:r>
        <w:rPr>
          <w:spacing w:val="-7"/>
          <w:sz w:val="18"/>
          <w:szCs w:val="18"/>
          <w:lang w:val="es-ES_tradnl"/>
        </w:rPr>
        <w:t>de conformidad a las normas aplicables de cada pa</w:t>
      </w:r>
      <w:r>
        <w:rPr>
          <w:rFonts w:cs="Times New Roman"/>
          <w:spacing w:val="-7"/>
          <w:sz w:val="18"/>
          <w:szCs w:val="18"/>
          <w:lang w:val="es-ES_tradnl"/>
        </w:rPr>
        <w:t>í</w:t>
      </w:r>
      <w:r>
        <w:rPr>
          <w:spacing w:val="-7"/>
          <w:sz w:val="18"/>
          <w:szCs w:val="18"/>
          <w:lang w:val="es-ES_tradnl"/>
        </w:rPr>
        <w:t xml:space="preserve">s. El </w:t>
      </w:r>
      <w:r>
        <w:rPr>
          <w:spacing w:val="-5"/>
          <w:sz w:val="18"/>
          <w:szCs w:val="18"/>
          <w:lang w:val="es-ES_tradnl"/>
        </w:rPr>
        <w:t>texto de este art</w:t>
      </w:r>
      <w:r>
        <w:rPr>
          <w:rFonts w:cs="Times New Roman"/>
          <w:spacing w:val="-5"/>
          <w:sz w:val="18"/>
          <w:szCs w:val="18"/>
          <w:lang w:val="es-ES_tradnl"/>
        </w:rPr>
        <w:t>í</w:t>
      </w:r>
      <w:r>
        <w:rPr>
          <w:spacing w:val="-5"/>
          <w:sz w:val="18"/>
          <w:szCs w:val="18"/>
          <w:lang w:val="es-ES_tradnl"/>
        </w:rPr>
        <w:t>culo no contraviene a la Constituci</w:t>
      </w:r>
      <w:r>
        <w:rPr>
          <w:rFonts w:cs="Times New Roman"/>
          <w:spacing w:val="-5"/>
          <w:sz w:val="18"/>
          <w:szCs w:val="18"/>
          <w:lang w:val="es-ES_tradnl"/>
        </w:rPr>
        <w:t>ó</w:t>
      </w:r>
      <w:r>
        <w:rPr>
          <w:spacing w:val="-5"/>
          <w:sz w:val="18"/>
          <w:szCs w:val="18"/>
          <w:lang w:val="es-ES_tradnl"/>
        </w:rPr>
        <w:t xml:space="preserve">n de </w:t>
      </w:r>
      <w:r>
        <w:rPr>
          <w:sz w:val="18"/>
          <w:szCs w:val="18"/>
          <w:lang w:val="es-ES_tradnl"/>
        </w:rPr>
        <w:t>la Rep</w:t>
      </w:r>
      <w:r>
        <w:rPr>
          <w:rFonts w:cs="Times New Roman"/>
          <w:sz w:val="18"/>
          <w:szCs w:val="18"/>
          <w:lang w:val="es-ES_tradnl"/>
        </w:rPr>
        <w:t>ú</w:t>
      </w:r>
      <w:r>
        <w:rPr>
          <w:sz w:val="18"/>
          <w:szCs w:val="18"/>
          <w:lang w:val="es-ES_tradnl"/>
        </w:rPr>
        <w:t>blica.</w:t>
      </w:r>
    </w:p>
    <w:p w14:paraId="4F67A43D" w14:textId="77777777" w:rsidR="00591D54" w:rsidRDefault="00591D54">
      <w:pPr>
        <w:shd w:val="clear" w:color="auto" w:fill="FFFFFF"/>
        <w:spacing w:before="192" w:line="216" w:lineRule="exact"/>
        <w:jc w:val="both"/>
      </w:pPr>
      <w:r>
        <w:rPr>
          <w:spacing w:val="-10"/>
          <w:sz w:val="18"/>
          <w:szCs w:val="18"/>
          <w:lang w:val="es-ES_tradnl"/>
        </w:rPr>
        <w:t xml:space="preserve">El </w:t>
      </w:r>
      <w:r>
        <w:rPr>
          <w:b/>
          <w:bCs/>
          <w:spacing w:val="-10"/>
          <w:sz w:val="18"/>
          <w:szCs w:val="18"/>
          <w:lang w:val="es-ES_tradnl"/>
        </w:rPr>
        <w:t>art</w:t>
      </w:r>
      <w:r>
        <w:rPr>
          <w:rFonts w:cs="Times New Roman"/>
          <w:b/>
          <w:bCs/>
          <w:spacing w:val="-10"/>
          <w:sz w:val="18"/>
          <w:szCs w:val="18"/>
          <w:lang w:val="es-ES_tradnl"/>
        </w:rPr>
        <w:t>í</w:t>
      </w:r>
      <w:r>
        <w:rPr>
          <w:b/>
          <w:bCs/>
          <w:spacing w:val="-10"/>
          <w:sz w:val="18"/>
          <w:szCs w:val="18"/>
          <w:lang w:val="es-ES_tradnl"/>
        </w:rPr>
        <w:t xml:space="preserve">culo 15 </w:t>
      </w:r>
      <w:r>
        <w:rPr>
          <w:spacing w:val="-10"/>
          <w:sz w:val="18"/>
          <w:szCs w:val="18"/>
          <w:lang w:val="es-ES_tradnl"/>
        </w:rPr>
        <w:t>regula lo relativo a actividades comerciales, de inicio se</w:t>
      </w:r>
      <w:r>
        <w:rPr>
          <w:rFonts w:cs="Times New Roman"/>
          <w:spacing w:val="-10"/>
          <w:sz w:val="18"/>
          <w:szCs w:val="18"/>
          <w:lang w:val="es-ES_tradnl"/>
        </w:rPr>
        <w:t>ñ</w:t>
      </w:r>
      <w:r>
        <w:rPr>
          <w:spacing w:val="-10"/>
          <w:sz w:val="18"/>
          <w:szCs w:val="18"/>
          <w:lang w:val="es-ES_tradnl"/>
        </w:rPr>
        <w:t xml:space="preserve">ala que las actividades comerciales que determina, </w:t>
      </w:r>
      <w:r>
        <w:rPr>
          <w:spacing w:val="-8"/>
          <w:sz w:val="18"/>
          <w:szCs w:val="18"/>
          <w:lang w:val="es-ES_tradnl"/>
        </w:rPr>
        <w:t>se realizar</w:t>
      </w:r>
      <w:r>
        <w:rPr>
          <w:rFonts w:cs="Times New Roman"/>
          <w:spacing w:val="-8"/>
          <w:sz w:val="18"/>
          <w:szCs w:val="18"/>
          <w:lang w:val="es-ES_tradnl"/>
        </w:rPr>
        <w:t>á</w:t>
      </w:r>
      <w:r>
        <w:rPr>
          <w:spacing w:val="-8"/>
          <w:sz w:val="18"/>
          <w:szCs w:val="18"/>
          <w:lang w:val="es-ES_tradnl"/>
        </w:rPr>
        <w:t xml:space="preserve">n de conformidad a las leyes y regulaciones de </w:t>
      </w:r>
      <w:r>
        <w:rPr>
          <w:spacing w:val="-5"/>
          <w:sz w:val="18"/>
          <w:szCs w:val="18"/>
          <w:lang w:val="es-ES_tradnl"/>
        </w:rPr>
        <w:t>la otra Parte contratante. En virtud de ello, se permitir</w:t>
      </w:r>
      <w:r>
        <w:rPr>
          <w:rFonts w:cs="Times New Roman"/>
          <w:spacing w:val="-5"/>
          <w:sz w:val="18"/>
          <w:szCs w:val="18"/>
          <w:lang w:val="es-ES_tradnl"/>
        </w:rPr>
        <w:t>á</w:t>
      </w:r>
      <w:r>
        <w:rPr>
          <w:spacing w:val="-5"/>
          <w:sz w:val="18"/>
          <w:szCs w:val="18"/>
          <w:lang w:val="es-ES_tradnl"/>
        </w:rPr>
        <w:t xml:space="preserve"> el </w:t>
      </w:r>
      <w:r>
        <w:rPr>
          <w:spacing w:val="-7"/>
          <w:sz w:val="18"/>
          <w:szCs w:val="18"/>
          <w:lang w:val="es-ES_tradnl"/>
        </w:rPr>
        <w:t>establecimiento de oficinas para la promoci</w:t>
      </w:r>
      <w:r>
        <w:rPr>
          <w:rFonts w:cs="Times New Roman"/>
          <w:spacing w:val="-7"/>
          <w:sz w:val="18"/>
          <w:szCs w:val="18"/>
          <w:lang w:val="es-ES_tradnl"/>
        </w:rPr>
        <w:t>ó</w:t>
      </w:r>
      <w:r>
        <w:rPr>
          <w:spacing w:val="-7"/>
          <w:sz w:val="18"/>
          <w:szCs w:val="18"/>
          <w:lang w:val="es-ES_tradnl"/>
        </w:rPr>
        <w:t xml:space="preserve">n y venta de </w:t>
      </w:r>
      <w:r>
        <w:rPr>
          <w:spacing w:val="-9"/>
          <w:sz w:val="18"/>
          <w:szCs w:val="18"/>
          <w:lang w:val="es-ES_tradnl"/>
        </w:rPr>
        <w:t>transporte a</w:t>
      </w:r>
      <w:r>
        <w:rPr>
          <w:rFonts w:cs="Times New Roman"/>
          <w:spacing w:val="-9"/>
          <w:sz w:val="18"/>
          <w:szCs w:val="18"/>
          <w:lang w:val="es-ES_tradnl"/>
        </w:rPr>
        <w:t>é</w:t>
      </w:r>
      <w:r>
        <w:rPr>
          <w:spacing w:val="-9"/>
          <w:sz w:val="18"/>
          <w:szCs w:val="18"/>
          <w:lang w:val="es-ES_tradnl"/>
        </w:rPr>
        <w:t>reo, adem</w:t>
      </w:r>
      <w:r>
        <w:rPr>
          <w:rFonts w:cs="Times New Roman"/>
          <w:spacing w:val="-9"/>
          <w:sz w:val="18"/>
          <w:szCs w:val="18"/>
          <w:lang w:val="es-ES_tradnl"/>
        </w:rPr>
        <w:t>á</w:t>
      </w:r>
      <w:r>
        <w:rPr>
          <w:spacing w:val="-9"/>
          <w:sz w:val="18"/>
          <w:szCs w:val="18"/>
          <w:lang w:val="es-ES_tradnl"/>
        </w:rPr>
        <w:t>s que toda persona tendr</w:t>
      </w:r>
      <w:r>
        <w:rPr>
          <w:rFonts w:cs="Times New Roman"/>
          <w:spacing w:val="-9"/>
          <w:sz w:val="18"/>
          <w:szCs w:val="18"/>
          <w:lang w:val="es-ES_tradnl"/>
        </w:rPr>
        <w:t>á</w:t>
      </w:r>
      <w:r>
        <w:rPr>
          <w:spacing w:val="-9"/>
          <w:sz w:val="18"/>
          <w:szCs w:val="18"/>
          <w:lang w:val="es-ES_tradnl"/>
        </w:rPr>
        <w:t xml:space="preserve"> derecho </w:t>
      </w:r>
      <w:r>
        <w:rPr>
          <w:spacing w:val="-6"/>
          <w:sz w:val="18"/>
          <w:szCs w:val="18"/>
          <w:lang w:val="es-ES_tradnl"/>
        </w:rPr>
        <w:t xml:space="preserve">a adquirir dicho transporte con la moneda y regulaciones de control de divisas de esa Parte contratante. Asimismo, </w:t>
      </w:r>
      <w:r>
        <w:rPr>
          <w:spacing w:val="-8"/>
          <w:sz w:val="18"/>
          <w:szCs w:val="18"/>
          <w:lang w:val="es-ES_tradnl"/>
        </w:rPr>
        <w:t xml:space="preserve">de conformidad con las normas aplicables de la otra Parte </w:t>
      </w:r>
      <w:r>
        <w:rPr>
          <w:spacing w:val="-9"/>
          <w:sz w:val="18"/>
          <w:szCs w:val="18"/>
          <w:lang w:val="es-ES_tradnl"/>
        </w:rPr>
        <w:t>contratante, las l</w:t>
      </w:r>
      <w:r>
        <w:rPr>
          <w:rFonts w:cs="Times New Roman"/>
          <w:spacing w:val="-9"/>
          <w:sz w:val="18"/>
          <w:szCs w:val="18"/>
          <w:lang w:val="es-ES_tradnl"/>
        </w:rPr>
        <w:t>í</w:t>
      </w:r>
      <w:r>
        <w:rPr>
          <w:spacing w:val="-9"/>
          <w:sz w:val="18"/>
          <w:szCs w:val="18"/>
          <w:lang w:val="es-ES_tradnl"/>
        </w:rPr>
        <w:t>neas a</w:t>
      </w:r>
      <w:r>
        <w:rPr>
          <w:rFonts w:cs="Times New Roman"/>
          <w:spacing w:val="-9"/>
          <w:sz w:val="18"/>
          <w:szCs w:val="18"/>
          <w:lang w:val="es-ES_tradnl"/>
        </w:rPr>
        <w:t>é</w:t>
      </w:r>
      <w:r>
        <w:rPr>
          <w:spacing w:val="-9"/>
          <w:sz w:val="18"/>
          <w:szCs w:val="18"/>
          <w:lang w:val="es-ES_tradnl"/>
        </w:rPr>
        <w:t>reas designadas podr</w:t>
      </w:r>
      <w:r>
        <w:rPr>
          <w:rFonts w:cs="Times New Roman"/>
          <w:spacing w:val="-9"/>
          <w:sz w:val="18"/>
          <w:szCs w:val="18"/>
          <w:lang w:val="es-ES_tradnl"/>
        </w:rPr>
        <w:t>á</w:t>
      </w:r>
      <w:r>
        <w:rPr>
          <w:spacing w:val="-9"/>
          <w:sz w:val="18"/>
          <w:szCs w:val="18"/>
          <w:lang w:val="es-ES_tradnl"/>
        </w:rPr>
        <w:t>n mantener el personal necesario para llevar a cabo el transporte a</w:t>
      </w:r>
      <w:r>
        <w:rPr>
          <w:rFonts w:cs="Times New Roman"/>
          <w:spacing w:val="-9"/>
          <w:sz w:val="18"/>
          <w:szCs w:val="18"/>
          <w:lang w:val="es-ES_tradnl"/>
        </w:rPr>
        <w:t>é</w:t>
      </w:r>
      <w:r>
        <w:rPr>
          <w:spacing w:val="-9"/>
          <w:sz w:val="18"/>
          <w:szCs w:val="18"/>
          <w:lang w:val="es-ES_tradnl"/>
        </w:rPr>
        <w:t xml:space="preserve">reo. </w:t>
      </w:r>
      <w:r>
        <w:rPr>
          <w:spacing w:val="-7"/>
          <w:sz w:val="18"/>
          <w:szCs w:val="18"/>
          <w:lang w:val="es-ES_tradnl"/>
        </w:rPr>
        <w:t>Cabe se</w:t>
      </w:r>
      <w:r>
        <w:rPr>
          <w:rFonts w:cs="Times New Roman"/>
          <w:spacing w:val="-7"/>
          <w:sz w:val="18"/>
          <w:szCs w:val="18"/>
          <w:lang w:val="es-ES_tradnl"/>
        </w:rPr>
        <w:t>ñ</w:t>
      </w:r>
      <w:r>
        <w:rPr>
          <w:spacing w:val="-7"/>
          <w:sz w:val="18"/>
          <w:szCs w:val="18"/>
          <w:lang w:val="es-ES_tradnl"/>
        </w:rPr>
        <w:t>alar que el convenio, deja a las Partes aplicar su</w:t>
      </w:r>
    </w:p>
    <w:p w14:paraId="4F67A43E" w14:textId="77777777" w:rsidR="00591D54" w:rsidRDefault="00591D54">
      <w:pPr>
        <w:shd w:val="clear" w:color="auto" w:fill="FFFFFF"/>
        <w:spacing w:before="192" w:line="216" w:lineRule="exact"/>
        <w:jc w:val="both"/>
        <w:sectPr w:rsidR="00591D54">
          <w:type w:val="continuous"/>
          <w:pgSz w:w="11909" w:h="16834"/>
          <w:pgMar w:top="1368" w:right="1309" w:bottom="360" w:left="1308" w:header="720" w:footer="720" w:gutter="0"/>
          <w:cols w:num="2" w:space="720" w:equalWidth="0">
            <w:col w:w="4305" w:space="682"/>
            <w:col w:w="4305"/>
          </w:cols>
          <w:noEndnote/>
        </w:sectPr>
      </w:pPr>
    </w:p>
    <w:p w14:paraId="4F67A43F" w14:textId="77777777" w:rsidR="00591D54" w:rsidRDefault="00591D54">
      <w:pPr>
        <w:shd w:val="clear" w:color="auto" w:fill="FFFFFF"/>
        <w:tabs>
          <w:tab w:val="left" w:pos="595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- 15</w:t>
      </w:r>
    </w:p>
    <w:p w14:paraId="4F67A440" w14:textId="77777777" w:rsidR="00591D54" w:rsidRDefault="00591D54">
      <w:pPr>
        <w:shd w:val="clear" w:color="auto" w:fill="FFFFFF"/>
        <w:tabs>
          <w:tab w:val="left" w:pos="5952"/>
        </w:tabs>
        <w:spacing w:after="230"/>
        <w:ind w:left="5"/>
        <w:sectPr w:rsidR="00591D54">
          <w:pgSz w:w="11909" w:h="16834"/>
          <w:pgMar w:top="1359" w:right="1309" w:bottom="360" w:left="1308" w:header="720" w:footer="720" w:gutter="0"/>
          <w:cols w:space="60"/>
          <w:noEndnote/>
        </w:sectPr>
      </w:pPr>
    </w:p>
    <w:p w14:paraId="4F67A441" w14:textId="77777777" w:rsidR="00591D54" w:rsidRDefault="00591D54">
      <w:pPr>
        <w:shd w:val="clear" w:color="auto" w:fill="FFFFFF"/>
        <w:spacing w:before="5" w:line="211" w:lineRule="exact"/>
        <w:jc w:val="both"/>
      </w:pPr>
      <w:r>
        <w:rPr>
          <w:spacing w:val="-5"/>
          <w:sz w:val="18"/>
          <w:szCs w:val="18"/>
          <w:lang w:val="es-ES_tradnl"/>
        </w:rPr>
        <w:t xml:space="preserve">normativa en cuanto a movimientos migratorios, normas </w:t>
      </w:r>
      <w:r>
        <w:rPr>
          <w:spacing w:val="-8"/>
          <w:sz w:val="18"/>
          <w:szCs w:val="18"/>
          <w:lang w:val="es-ES_tradnl"/>
        </w:rPr>
        <w:t>que claramente intervienen en la ejecuci</w:t>
      </w:r>
      <w:r>
        <w:rPr>
          <w:rFonts w:cs="Times New Roman"/>
          <w:spacing w:val="-8"/>
          <w:sz w:val="18"/>
          <w:szCs w:val="18"/>
          <w:lang w:val="es-ES_tradnl"/>
        </w:rPr>
        <w:t>ó</w:t>
      </w:r>
      <w:r>
        <w:rPr>
          <w:spacing w:val="-8"/>
          <w:sz w:val="18"/>
          <w:szCs w:val="18"/>
          <w:lang w:val="es-ES_tradnl"/>
        </w:rPr>
        <w:t>n de este art</w:t>
      </w:r>
      <w:r>
        <w:rPr>
          <w:rFonts w:cs="Times New Roman"/>
          <w:spacing w:val="-8"/>
          <w:sz w:val="18"/>
          <w:szCs w:val="18"/>
          <w:lang w:val="es-ES_tradnl"/>
        </w:rPr>
        <w:t>í</w:t>
      </w:r>
      <w:r>
        <w:rPr>
          <w:spacing w:val="-8"/>
          <w:sz w:val="18"/>
          <w:szCs w:val="18"/>
          <w:lang w:val="es-ES_tradnl"/>
        </w:rPr>
        <w:t xml:space="preserve">culo. </w:t>
      </w:r>
      <w:r>
        <w:rPr>
          <w:spacing w:val="-7"/>
          <w:sz w:val="18"/>
          <w:szCs w:val="18"/>
          <w:lang w:val="es-ES_tradnl"/>
        </w:rPr>
        <w:t>Del an</w:t>
      </w:r>
      <w:r>
        <w:rPr>
          <w:rFonts w:cs="Times New Roman"/>
          <w:spacing w:val="-7"/>
          <w:sz w:val="18"/>
          <w:szCs w:val="18"/>
          <w:lang w:val="es-ES_tradnl"/>
        </w:rPr>
        <w:t>á</w:t>
      </w:r>
      <w:r>
        <w:rPr>
          <w:spacing w:val="-7"/>
          <w:sz w:val="18"/>
          <w:szCs w:val="18"/>
          <w:lang w:val="es-ES_tradnl"/>
        </w:rPr>
        <w:t xml:space="preserve">lisis realizado, no se han identificado regulaciones </w:t>
      </w:r>
      <w:r>
        <w:rPr>
          <w:sz w:val="18"/>
          <w:szCs w:val="18"/>
          <w:lang w:val="es-ES_tradnl"/>
        </w:rPr>
        <w:t>que contravengan al texto constitucional.</w:t>
      </w:r>
    </w:p>
    <w:p w14:paraId="4F67A442" w14:textId="77777777" w:rsidR="00591D54" w:rsidRDefault="00591D54">
      <w:pPr>
        <w:shd w:val="clear" w:color="auto" w:fill="FFFFFF"/>
        <w:spacing w:before="187" w:line="211" w:lineRule="exact"/>
        <w:ind w:right="5"/>
        <w:jc w:val="both"/>
      </w:pPr>
      <w:r>
        <w:rPr>
          <w:spacing w:val="-12"/>
          <w:sz w:val="18"/>
          <w:szCs w:val="18"/>
          <w:lang w:val="es-ES_tradnl"/>
        </w:rPr>
        <w:t xml:space="preserve">En cuanto al </w:t>
      </w:r>
      <w:r>
        <w:rPr>
          <w:b/>
          <w:bCs/>
          <w:spacing w:val="-12"/>
          <w:sz w:val="18"/>
          <w:szCs w:val="18"/>
          <w:lang w:val="es-ES_tradnl"/>
        </w:rPr>
        <w:t>art</w:t>
      </w:r>
      <w:r>
        <w:rPr>
          <w:rFonts w:cs="Times New Roman"/>
          <w:b/>
          <w:bCs/>
          <w:spacing w:val="-12"/>
          <w:sz w:val="18"/>
          <w:szCs w:val="18"/>
          <w:lang w:val="es-ES_tradnl"/>
        </w:rPr>
        <w:t>í</w:t>
      </w:r>
      <w:r>
        <w:rPr>
          <w:b/>
          <w:bCs/>
          <w:spacing w:val="-12"/>
          <w:sz w:val="18"/>
          <w:szCs w:val="18"/>
          <w:lang w:val="es-ES_tradnl"/>
        </w:rPr>
        <w:t>culo 16</w:t>
      </w:r>
      <w:r>
        <w:rPr>
          <w:spacing w:val="-12"/>
          <w:sz w:val="18"/>
          <w:szCs w:val="18"/>
          <w:lang w:val="es-ES_tradnl"/>
        </w:rPr>
        <w:t>, se determina que a las l</w:t>
      </w:r>
      <w:r>
        <w:rPr>
          <w:rFonts w:cs="Times New Roman"/>
          <w:spacing w:val="-12"/>
          <w:sz w:val="18"/>
          <w:szCs w:val="18"/>
          <w:lang w:val="es-ES_tradnl"/>
        </w:rPr>
        <w:t>í</w:t>
      </w:r>
      <w:r>
        <w:rPr>
          <w:spacing w:val="-12"/>
          <w:sz w:val="18"/>
          <w:szCs w:val="18"/>
          <w:lang w:val="es-ES_tradnl"/>
        </w:rPr>
        <w:t>neas a</w:t>
      </w:r>
      <w:r>
        <w:rPr>
          <w:rFonts w:cs="Times New Roman"/>
          <w:spacing w:val="-12"/>
          <w:sz w:val="18"/>
          <w:szCs w:val="18"/>
          <w:lang w:val="es-ES_tradnl"/>
        </w:rPr>
        <w:t>é</w:t>
      </w:r>
      <w:r>
        <w:rPr>
          <w:spacing w:val="-12"/>
          <w:sz w:val="18"/>
          <w:szCs w:val="18"/>
          <w:lang w:val="es-ES_tradnl"/>
        </w:rPr>
        <w:t xml:space="preserve">reas designadas de cada una de las Partes contratantes se le debe </w:t>
      </w:r>
      <w:r>
        <w:rPr>
          <w:spacing w:val="-6"/>
          <w:sz w:val="18"/>
          <w:szCs w:val="18"/>
          <w:lang w:val="es-ES_tradnl"/>
        </w:rPr>
        <w:t xml:space="preserve">permitir el uso de modos de transporte en la superficie, </w:t>
      </w:r>
      <w:r>
        <w:rPr>
          <w:spacing w:val="-10"/>
          <w:sz w:val="18"/>
          <w:szCs w:val="18"/>
          <w:lang w:val="es-ES_tradnl"/>
        </w:rPr>
        <w:t>conjuntamente con los servicios a</w:t>
      </w:r>
      <w:r>
        <w:rPr>
          <w:rFonts w:cs="Times New Roman"/>
          <w:spacing w:val="-10"/>
          <w:sz w:val="18"/>
          <w:szCs w:val="18"/>
          <w:lang w:val="es-ES_tradnl"/>
        </w:rPr>
        <w:t>é</w:t>
      </w:r>
      <w:r>
        <w:rPr>
          <w:spacing w:val="-10"/>
          <w:sz w:val="18"/>
          <w:szCs w:val="18"/>
          <w:lang w:val="es-ES_tradnl"/>
        </w:rPr>
        <w:t xml:space="preserve">reos internacionales para </w:t>
      </w:r>
      <w:r>
        <w:rPr>
          <w:spacing w:val="-7"/>
          <w:sz w:val="18"/>
          <w:szCs w:val="18"/>
          <w:lang w:val="es-ES_tradnl"/>
        </w:rPr>
        <w:t xml:space="preserve">pasajeros y carga. En este texto, se verifica que no existe </w:t>
      </w:r>
      <w:r>
        <w:rPr>
          <w:sz w:val="18"/>
          <w:szCs w:val="18"/>
          <w:lang w:val="es-ES_tradnl"/>
        </w:rPr>
        <w:t>inconformidad con la Constituci</w:t>
      </w:r>
      <w:r>
        <w:rPr>
          <w:rFonts w:cs="Times New Roman"/>
          <w:sz w:val="18"/>
          <w:szCs w:val="18"/>
          <w:lang w:val="es-ES_tradnl"/>
        </w:rPr>
        <w:t>ó</w:t>
      </w:r>
      <w:r>
        <w:rPr>
          <w:sz w:val="18"/>
          <w:szCs w:val="18"/>
          <w:lang w:val="es-ES_tradnl"/>
        </w:rPr>
        <w:t>n.</w:t>
      </w:r>
    </w:p>
    <w:p w14:paraId="4F67A443" w14:textId="77777777" w:rsidR="00591D54" w:rsidRDefault="00591D54">
      <w:pPr>
        <w:shd w:val="clear" w:color="auto" w:fill="FFFFFF"/>
        <w:spacing w:before="187" w:line="211" w:lineRule="exact"/>
        <w:ind w:right="5"/>
        <w:jc w:val="both"/>
      </w:pPr>
      <w:r>
        <w:rPr>
          <w:spacing w:val="-6"/>
          <w:sz w:val="18"/>
          <w:szCs w:val="18"/>
          <w:lang w:val="es-ES_tradnl"/>
        </w:rPr>
        <w:t xml:space="preserve">En los </w:t>
      </w:r>
      <w:r>
        <w:rPr>
          <w:b/>
          <w:bCs/>
          <w:spacing w:val="-6"/>
          <w:sz w:val="18"/>
          <w:szCs w:val="18"/>
          <w:lang w:val="es-ES_tradnl"/>
        </w:rPr>
        <w:t>art</w:t>
      </w:r>
      <w:r>
        <w:rPr>
          <w:rFonts w:cs="Times New Roman"/>
          <w:b/>
          <w:bCs/>
          <w:spacing w:val="-6"/>
          <w:sz w:val="18"/>
          <w:szCs w:val="18"/>
          <w:lang w:val="es-ES_tradnl"/>
        </w:rPr>
        <w:t>í</w:t>
      </w:r>
      <w:r>
        <w:rPr>
          <w:b/>
          <w:bCs/>
          <w:spacing w:val="-6"/>
          <w:sz w:val="18"/>
          <w:szCs w:val="18"/>
          <w:lang w:val="es-ES_tradnl"/>
        </w:rPr>
        <w:t xml:space="preserve">culos 17, 18 y 19 </w:t>
      </w:r>
      <w:r>
        <w:rPr>
          <w:spacing w:val="-6"/>
          <w:sz w:val="18"/>
          <w:szCs w:val="18"/>
          <w:lang w:val="es-ES_tradnl"/>
        </w:rPr>
        <w:t xml:space="preserve">del convenio se determina lo </w:t>
      </w:r>
      <w:r>
        <w:rPr>
          <w:spacing w:val="-8"/>
          <w:sz w:val="18"/>
          <w:szCs w:val="18"/>
          <w:lang w:val="es-ES_tradnl"/>
        </w:rPr>
        <w:t>relativo a consultas, soluci</w:t>
      </w:r>
      <w:r>
        <w:rPr>
          <w:rFonts w:cs="Times New Roman"/>
          <w:spacing w:val="-8"/>
          <w:sz w:val="18"/>
          <w:szCs w:val="18"/>
          <w:lang w:val="es-ES_tradnl"/>
        </w:rPr>
        <w:t>ó</w:t>
      </w:r>
      <w:r>
        <w:rPr>
          <w:spacing w:val="-8"/>
          <w:sz w:val="18"/>
          <w:szCs w:val="18"/>
          <w:lang w:val="es-ES_tradnl"/>
        </w:rPr>
        <w:t xml:space="preserve">n de controversias y enmiendas </w:t>
      </w:r>
      <w:r>
        <w:rPr>
          <w:spacing w:val="-6"/>
          <w:sz w:val="18"/>
          <w:szCs w:val="18"/>
          <w:lang w:val="es-ES_tradnl"/>
        </w:rPr>
        <w:t>respectivamente. En estos tres art</w:t>
      </w:r>
      <w:r>
        <w:rPr>
          <w:rFonts w:cs="Times New Roman"/>
          <w:spacing w:val="-6"/>
          <w:sz w:val="18"/>
          <w:szCs w:val="18"/>
          <w:lang w:val="es-ES_tradnl"/>
        </w:rPr>
        <w:t>í</w:t>
      </w:r>
      <w:r>
        <w:rPr>
          <w:spacing w:val="-6"/>
          <w:sz w:val="18"/>
          <w:szCs w:val="18"/>
          <w:lang w:val="es-ES_tradnl"/>
        </w:rPr>
        <w:t>culos prima la v</w:t>
      </w:r>
      <w:r>
        <w:rPr>
          <w:rFonts w:cs="Times New Roman"/>
          <w:spacing w:val="-6"/>
          <w:sz w:val="18"/>
          <w:szCs w:val="18"/>
          <w:lang w:val="es-ES_tradnl"/>
        </w:rPr>
        <w:t>í</w:t>
      </w:r>
      <w:r>
        <w:rPr>
          <w:spacing w:val="-6"/>
          <w:sz w:val="18"/>
          <w:szCs w:val="18"/>
          <w:lang w:val="es-ES_tradnl"/>
        </w:rPr>
        <w:t>a diplom</w:t>
      </w:r>
      <w:r>
        <w:rPr>
          <w:rFonts w:cs="Times New Roman"/>
          <w:spacing w:val="-6"/>
          <w:sz w:val="18"/>
          <w:szCs w:val="18"/>
          <w:lang w:val="es-ES_tradnl"/>
        </w:rPr>
        <w:t>á</w:t>
      </w:r>
      <w:r>
        <w:rPr>
          <w:spacing w:val="-6"/>
          <w:sz w:val="18"/>
          <w:szCs w:val="18"/>
          <w:lang w:val="es-ES_tradnl"/>
        </w:rPr>
        <w:t>tica a</w:t>
      </w:r>
      <w:r>
        <w:rPr>
          <w:rFonts w:cs="Times New Roman"/>
          <w:spacing w:val="-6"/>
          <w:sz w:val="18"/>
          <w:szCs w:val="18"/>
          <w:lang w:val="es-ES_tradnl"/>
        </w:rPr>
        <w:t>ú</w:t>
      </w:r>
      <w:r>
        <w:rPr>
          <w:spacing w:val="-6"/>
          <w:sz w:val="18"/>
          <w:szCs w:val="18"/>
          <w:lang w:val="es-ES_tradnl"/>
        </w:rPr>
        <w:t>n en el caso de soluci</w:t>
      </w:r>
      <w:r>
        <w:rPr>
          <w:rFonts w:cs="Times New Roman"/>
          <w:spacing w:val="-6"/>
          <w:sz w:val="18"/>
          <w:szCs w:val="18"/>
          <w:lang w:val="es-ES_tradnl"/>
        </w:rPr>
        <w:t>ó</w:t>
      </w:r>
      <w:r>
        <w:rPr>
          <w:spacing w:val="-6"/>
          <w:sz w:val="18"/>
          <w:szCs w:val="18"/>
          <w:lang w:val="es-ES_tradnl"/>
        </w:rPr>
        <w:t xml:space="preserve">n de controversias. </w:t>
      </w:r>
      <w:r>
        <w:rPr>
          <w:spacing w:val="-7"/>
          <w:sz w:val="18"/>
          <w:szCs w:val="18"/>
          <w:lang w:val="es-ES_tradnl"/>
        </w:rPr>
        <w:t>No se identifica inconformidad alguna con la Constituci</w:t>
      </w:r>
      <w:r>
        <w:rPr>
          <w:rFonts w:cs="Times New Roman"/>
          <w:spacing w:val="-7"/>
          <w:sz w:val="18"/>
          <w:szCs w:val="18"/>
          <w:lang w:val="es-ES_tradnl"/>
        </w:rPr>
        <w:t>ó</w:t>
      </w:r>
      <w:r>
        <w:rPr>
          <w:spacing w:val="-7"/>
          <w:sz w:val="18"/>
          <w:szCs w:val="18"/>
          <w:lang w:val="es-ES_tradnl"/>
        </w:rPr>
        <w:t xml:space="preserve">n </w:t>
      </w:r>
      <w:r>
        <w:rPr>
          <w:sz w:val="18"/>
          <w:szCs w:val="18"/>
          <w:lang w:val="es-ES_tradnl"/>
        </w:rPr>
        <w:t>de la Rep</w:t>
      </w:r>
      <w:r>
        <w:rPr>
          <w:rFonts w:cs="Times New Roman"/>
          <w:sz w:val="18"/>
          <w:szCs w:val="18"/>
          <w:lang w:val="es-ES_tradnl"/>
        </w:rPr>
        <w:t>ú</w:t>
      </w:r>
      <w:r>
        <w:rPr>
          <w:sz w:val="18"/>
          <w:szCs w:val="18"/>
          <w:lang w:val="es-ES_tradnl"/>
        </w:rPr>
        <w:t>blica.</w:t>
      </w:r>
    </w:p>
    <w:p w14:paraId="4F67A444" w14:textId="77777777" w:rsidR="00591D54" w:rsidRDefault="00591D54">
      <w:pPr>
        <w:shd w:val="clear" w:color="auto" w:fill="FFFFFF"/>
        <w:spacing w:before="192" w:line="211" w:lineRule="exact"/>
        <w:ind w:right="5"/>
        <w:jc w:val="both"/>
      </w:pPr>
      <w:r>
        <w:rPr>
          <w:spacing w:val="-6"/>
          <w:sz w:val="18"/>
          <w:szCs w:val="18"/>
          <w:lang w:val="es-ES_tradnl"/>
        </w:rPr>
        <w:t xml:space="preserve">El </w:t>
      </w:r>
      <w:r>
        <w:rPr>
          <w:b/>
          <w:bCs/>
          <w:spacing w:val="-6"/>
          <w:sz w:val="18"/>
          <w:szCs w:val="18"/>
          <w:lang w:val="es-ES_tradnl"/>
        </w:rPr>
        <w:t>art</w:t>
      </w:r>
      <w:r>
        <w:rPr>
          <w:rFonts w:cs="Times New Roman"/>
          <w:b/>
          <w:bCs/>
          <w:spacing w:val="-6"/>
          <w:sz w:val="18"/>
          <w:szCs w:val="18"/>
          <w:lang w:val="es-ES_tradnl"/>
        </w:rPr>
        <w:t>í</w:t>
      </w:r>
      <w:r>
        <w:rPr>
          <w:b/>
          <w:bCs/>
          <w:spacing w:val="-6"/>
          <w:sz w:val="18"/>
          <w:szCs w:val="18"/>
          <w:lang w:val="es-ES_tradnl"/>
        </w:rPr>
        <w:t xml:space="preserve">culo 20 </w:t>
      </w:r>
      <w:r>
        <w:rPr>
          <w:spacing w:val="-6"/>
          <w:sz w:val="18"/>
          <w:szCs w:val="18"/>
          <w:lang w:val="es-ES_tradnl"/>
        </w:rPr>
        <w:t>se refiere a la terminaci</w:t>
      </w:r>
      <w:r>
        <w:rPr>
          <w:rFonts w:cs="Times New Roman"/>
          <w:spacing w:val="-6"/>
          <w:sz w:val="18"/>
          <w:szCs w:val="18"/>
          <w:lang w:val="es-ES_tradnl"/>
        </w:rPr>
        <w:t>ó</w:t>
      </w:r>
      <w:r>
        <w:rPr>
          <w:spacing w:val="-6"/>
          <w:sz w:val="18"/>
          <w:szCs w:val="18"/>
          <w:lang w:val="es-ES_tradnl"/>
        </w:rPr>
        <w:t>n, se se</w:t>
      </w:r>
      <w:r>
        <w:rPr>
          <w:rFonts w:cs="Times New Roman"/>
          <w:spacing w:val="-6"/>
          <w:sz w:val="18"/>
          <w:szCs w:val="18"/>
          <w:lang w:val="es-ES_tradnl"/>
        </w:rPr>
        <w:t>ñ</w:t>
      </w:r>
      <w:r>
        <w:rPr>
          <w:spacing w:val="-6"/>
          <w:sz w:val="18"/>
          <w:szCs w:val="18"/>
          <w:lang w:val="es-ES_tradnl"/>
        </w:rPr>
        <w:t xml:space="preserve">alan los </w:t>
      </w:r>
      <w:r>
        <w:rPr>
          <w:sz w:val="18"/>
          <w:szCs w:val="18"/>
          <w:lang w:val="es-ES_tradnl"/>
        </w:rPr>
        <w:t>mecanismos diplom</w:t>
      </w:r>
      <w:r>
        <w:rPr>
          <w:rFonts w:cs="Times New Roman"/>
          <w:sz w:val="18"/>
          <w:szCs w:val="18"/>
          <w:lang w:val="es-ES_tradnl"/>
        </w:rPr>
        <w:t>á</w:t>
      </w:r>
      <w:r>
        <w:rPr>
          <w:sz w:val="18"/>
          <w:szCs w:val="18"/>
          <w:lang w:val="es-ES_tradnl"/>
        </w:rPr>
        <w:t>ticos y los plazos que aplicar</w:t>
      </w:r>
      <w:r>
        <w:rPr>
          <w:rFonts w:cs="Times New Roman"/>
          <w:sz w:val="18"/>
          <w:szCs w:val="18"/>
          <w:lang w:val="es-ES_tradnl"/>
        </w:rPr>
        <w:t>á</w:t>
      </w:r>
      <w:r>
        <w:rPr>
          <w:sz w:val="18"/>
          <w:szCs w:val="18"/>
          <w:lang w:val="es-ES_tradnl"/>
        </w:rPr>
        <w:t xml:space="preserve">n. </w:t>
      </w:r>
      <w:r>
        <w:rPr>
          <w:spacing w:val="-7"/>
          <w:sz w:val="18"/>
          <w:szCs w:val="18"/>
          <w:lang w:val="es-ES_tradnl"/>
        </w:rPr>
        <w:t xml:space="preserve">El </w:t>
      </w:r>
      <w:r>
        <w:rPr>
          <w:b/>
          <w:bCs/>
          <w:spacing w:val="-7"/>
          <w:sz w:val="18"/>
          <w:szCs w:val="18"/>
          <w:lang w:val="es-ES_tradnl"/>
        </w:rPr>
        <w:t>art</w:t>
      </w:r>
      <w:r>
        <w:rPr>
          <w:rFonts w:cs="Times New Roman"/>
          <w:b/>
          <w:bCs/>
          <w:spacing w:val="-7"/>
          <w:sz w:val="18"/>
          <w:szCs w:val="18"/>
          <w:lang w:val="es-ES_tradnl"/>
        </w:rPr>
        <w:t>í</w:t>
      </w:r>
      <w:r>
        <w:rPr>
          <w:b/>
          <w:bCs/>
          <w:spacing w:val="-7"/>
          <w:sz w:val="18"/>
          <w:szCs w:val="18"/>
          <w:lang w:val="es-ES_tradnl"/>
        </w:rPr>
        <w:t xml:space="preserve">culo 21 </w:t>
      </w:r>
      <w:r>
        <w:rPr>
          <w:spacing w:val="-7"/>
          <w:sz w:val="18"/>
          <w:szCs w:val="18"/>
          <w:lang w:val="es-ES_tradnl"/>
        </w:rPr>
        <w:t>se</w:t>
      </w:r>
      <w:r>
        <w:rPr>
          <w:rFonts w:cs="Times New Roman"/>
          <w:spacing w:val="-7"/>
          <w:sz w:val="18"/>
          <w:szCs w:val="18"/>
          <w:lang w:val="es-ES_tradnl"/>
        </w:rPr>
        <w:t>ñ</w:t>
      </w:r>
      <w:r>
        <w:rPr>
          <w:spacing w:val="-7"/>
          <w:sz w:val="18"/>
          <w:szCs w:val="18"/>
          <w:lang w:val="es-ES_tradnl"/>
        </w:rPr>
        <w:t xml:space="preserve">ala que cuando este convenio entre en </w:t>
      </w:r>
      <w:r>
        <w:rPr>
          <w:spacing w:val="-6"/>
          <w:sz w:val="18"/>
          <w:szCs w:val="18"/>
          <w:lang w:val="es-ES_tradnl"/>
        </w:rPr>
        <w:t>vigencia, ser</w:t>
      </w:r>
      <w:r>
        <w:rPr>
          <w:rFonts w:cs="Times New Roman"/>
          <w:spacing w:val="-6"/>
          <w:sz w:val="18"/>
          <w:szCs w:val="18"/>
          <w:lang w:val="es-ES_tradnl"/>
        </w:rPr>
        <w:t>á</w:t>
      </w:r>
      <w:r>
        <w:rPr>
          <w:spacing w:val="-6"/>
          <w:sz w:val="18"/>
          <w:szCs w:val="18"/>
          <w:lang w:val="es-ES_tradnl"/>
        </w:rPr>
        <w:t xml:space="preserve"> registrado en la Organizaci</w:t>
      </w:r>
      <w:r>
        <w:rPr>
          <w:rFonts w:cs="Times New Roman"/>
          <w:spacing w:val="-6"/>
          <w:sz w:val="18"/>
          <w:szCs w:val="18"/>
          <w:lang w:val="es-ES_tradnl"/>
        </w:rPr>
        <w:t>ó</w:t>
      </w:r>
      <w:r>
        <w:rPr>
          <w:spacing w:val="-6"/>
          <w:sz w:val="18"/>
          <w:szCs w:val="18"/>
          <w:lang w:val="es-ES_tradnl"/>
        </w:rPr>
        <w:t>n de Aviaci</w:t>
      </w:r>
      <w:r>
        <w:rPr>
          <w:rFonts w:cs="Times New Roman"/>
          <w:spacing w:val="-6"/>
          <w:sz w:val="18"/>
          <w:szCs w:val="18"/>
          <w:lang w:val="es-ES_tradnl"/>
        </w:rPr>
        <w:t>ó</w:t>
      </w:r>
      <w:r>
        <w:rPr>
          <w:spacing w:val="-6"/>
          <w:sz w:val="18"/>
          <w:szCs w:val="18"/>
          <w:lang w:val="es-ES_tradnl"/>
        </w:rPr>
        <w:t xml:space="preserve">n Civil Internacional. Finalmente el </w:t>
      </w:r>
      <w:r>
        <w:rPr>
          <w:b/>
          <w:bCs/>
          <w:spacing w:val="-6"/>
          <w:sz w:val="18"/>
          <w:szCs w:val="18"/>
          <w:lang w:val="es-ES_tradnl"/>
        </w:rPr>
        <w:t>art</w:t>
      </w:r>
      <w:r>
        <w:rPr>
          <w:rFonts w:cs="Times New Roman"/>
          <w:b/>
          <w:bCs/>
          <w:spacing w:val="-6"/>
          <w:sz w:val="18"/>
          <w:szCs w:val="18"/>
          <w:lang w:val="es-ES_tradnl"/>
        </w:rPr>
        <w:t>í</w:t>
      </w:r>
      <w:r>
        <w:rPr>
          <w:b/>
          <w:bCs/>
          <w:spacing w:val="-6"/>
          <w:sz w:val="18"/>
          <w:szCs w:val="18"/>
          <w:lang w:val="es-ES_tradnl"/>
        </w:rPr>
        <w:t xml:space="preserve">culo 22 </w:t>
      </w:r>
      <w:r>
        <w:rPr>
          <w:spacing w:val="-6"/>
          <w:sz w:val="18"/>
          <w:szCs w:val="18"/>
          <w:lang w:val="es-ES_tradnl"/>
        </w:rPr>
        <w:t xml:space="preserve">del convenio </w:t>
      </w:r>
      <w:r>
        <w:rPr>
          <w:spacing w:val="-2"/>
          <w:sz w:val="18"/>
          <w:szCs w:val="18"/>
          <w:lang w:val="es-ES_tradnl"/>
        </w:rPr>
        <w:t>trata sobre la entrada en vigencia, se</w:t>
      </w:r>
      <w:r>
        <w:rPr>
          <w:rFonts w:cs="Times New Roman"/>
          <w:spacing w:val="-2"/>
          <w:sz w:val="18"/>
          <w:szCs w:val="18"/>
          <w:lang w:val="es-ES_tradnl"/>
        </w:rPr>
        <w:t>ñ</w:t>
      </w:r>
      <w:r>
        <w:rPr>
          <w:spacing w:val="-2"/>
          <w:sz w:val="18"/>
          <w:szCs w:val="18"/>
          <w:lang w:val="es-ES_tradnl"/>
        </w:rPr>
        <w:t xml:space="preserve">alando que esta </w:t>
      </w:r>
      <w:r>
        <w:rPr>
          <w:spacing w:val="-5"/>
          <w:sz w:val="18"/>
          <w:szCs w:val="18"/>
          <w:lang w:val="es-ES_tradnl"/>
        </w:rPr>
        <w:t>se realizar</w:t>
      </w:r>
      <w:r>
        <w:rPr>
          <w:rFonts w:cs="Times New Roman"/>
          <w:spacing w:val="-5"/>
          <w:sz w:val="18"/>
          <w:szCs w:val="18"/>
          <w:lang w:val="es-ES_tradnl"/>
        </w:rPr>
        <w:t>á</w:t>
      </w:r>
      <w:r>
        <w:rPr>
          <w:spacing w:val="-5"/>
          <w:sz w:val="18"/>
          <w:szCs w:val="18"/>
          <w:lang w:val="es-ES_tradnl"/>
        </w:rPr>
        <w:t xml:space="preserve"> a la fecha de la </w:t>
      </w:r>
      <w:r>
        <w:rPr>
          <w:rFonts w:cs="Times New Roman"/>
          <w:spacing w:val="-5"/>
          <w:sz w:val="18"/>
          <w:szCs w:val="18"/>
          <w:lang w:val="es-ES_tradnl"/>
        </w:rPr>
        <w:t>ú</w:t>
      </w:r>
      <w:r>
        <w:rPr>
          <w:spacing w:val="-5"/>
          <w:sz w:val="18"/>
          <w:szCs w:val="18"/>
          <w:lang w:val="es-ES_tradnl"/>
        </w:rPr>
        <w:t>ltima notificaci</w:t>
      </w:r>
      <w:r>
        <w:rPr>
          <w:rFonts w:cs="Times New Roman"/>
          <w:spacing w:val="-5"/>
          <w:sz w:val="18"/>
          <w:szCs w:val="18"/>
          <w:lang w:val="es-ES_tradnl"/>
        </w:rPr>
        <w:t>ó</w:t>
      </w:r>
      <w:r>
        <w:rPr>
          <w:spacing w:val="-5"/>
          <w:sz w:val="18"/>
          <w:szCs w:val="18"/>
          <w:lang w:val="es-ES_tradnl"/>
        </w:rPr>
        <w:t xml:space="preserve">n sobre la </w:t>
      </w:r>
      <w:r>
        <w:rPr>
          <w:spacing w:val="-6"/>
          <w:sz w:val="18"/>
          <w:szCs w:val="18"/>
          <w:lang w:val="es-ES_tradnl"/>
        </w:rPr>
        <w:t>conclusi</w:t>
      </w:r>
      <w:r>
        <w:rPr>
          <w:rFonts w:cs="Times New Roman"/>
          <w:spacing w:val="-6"/>
          <w:sz w:val="18"/>
          <w:szCs w:val="18"/>
          <w:lang w:val="es-ES_tradnl"/>
        </w:rPr>
        <w:t>ó</w:t>
      </w:r>
      <w:r>
        <w:rPr>
          <w:spacing w:val="-6"/>
          <w:sz w:val="18"/>
          <w:szCs w:val="18"/>
          <w:lang w:val="es-ES_tradnl"/>
        </w:rPr>
        <w:t xml:space="preserve">n de los respectivos procedimientos internos </w:t>
      </w:r>
      <w:r>
        <w:rPr>
          <w:spacing w:val="-11"/>
          <w:sz w:val="18"/>
          <w:szCs w:val="18"/>
          <w:lang w:val="es-ES_tradnl"/>
        </w:rPr>
        <w:t xml:space="preserve">necesarios para la entrada en vigencia de este convenio. Del </w:t>
      </w:r>
      <w:r>
        <w:rPr>
          <w:spacing w:val="-10"/>
          <w:sz w:val="18"/>
          <w:szCs w:val="18"/>
          <w:lang w:val="es-ES_tradnl"/>
        </w:rPr>
        <w:t>an</w:t>
      </w:r>
      <w:r>
        <w:rPr>
          <w:rFonts w:cs="Times New Roman"/>
          <w:spacing w:val="-10"/>
          <w:sz w:val="18"/>
          <w:szCs w:val="18"/>
          <w:lang w:val="es-ES_tradnl"/>
        </w:rPr>
        <w:t>á</w:t>
      </w:r>
      <w:r>
        <w:rPr>
          <w:spacing w:val="-10"/>
          <w:sz w:val="18"/>
          <w:szCs w:val="18"/>
          <w:lang w:val="es-ES_tradnl"/>
        </w:rPr>
        <w:t>lisis de estos art</w:t>
      </w:r>
      <w:r>
        <w:rPr>
          <w:rFonts w:cs="Times New Roman"/>
          <w:spacing w:val="-10"/>
          <w:sz w:val="18"/>
          <w:szCs w:val="18"/>
          <w:lang w:val="es-ES_tradnl"/>
        </w:rPr>
        <w:t>í</w:t>
      </w:r>
      <w:r>
        <w:rPr>
          <w:spacing w:val="-10"/>
          <w:sz w:val="18"/>
          <w:szCs w:val="18"/>
          <w:lang w:val="es-ES_tradnl"/>
        </w:rPr>
        <w:t xml:space="preserve">culos se determina que no contravienen </w:t>
      </w:r>
      <w:r>
        <w:rPr>
          <w:sz w:val="18"/>
          <w:szCs w:val="18"/>
          <w:lang w:val="es-ES_tradnl"/>
        </w:rPr>
        <w:t>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A445" w14:textId="77777777" w:rsidR="00591D54" w:rsidRDefault="00591D54">
      <w:pPr>
        <w:shd w:val="clear" w:color="auto" w:fill="FFFFFF"/>
        <w:spacing w:before="187"/>
        <w:ind w:right="5"/>
        <w:jc w:val="center"/>
      </w:pPr>
      <w:r>
        <w:rPr>
          <w:b/>
          <w:bCs/>
          <w:sz w:val="18"/>
          <w:szCs w:val="18"/>
          <w:lang w:val="es-ES_tradnl"/>
        </w:rPr>
        <w:t>IV. DECISI</w:t>
      </w:r>
      <w:r>
        <w:rPr>
          <w:rFonts w:cs="Times New Roman"/>
          <w:b/>
          <w:bCs/>
          <w:sz w:val="18"/>
          <w:szCs w:val="18"/>
          <w:lang w:val="es-ES_tradnl"/>
        </w:rPr>
        <w:t>Ó</w:t>
      </w:r>
      <w:r>
        <w:rPr>
          <w:b/>
          <w:bCs/>
          <w:sz w:val="18"/>
          <w:szCs w:val="18"/>
          <w:lang w:val="es-ES_tradnl"/>
        </w:rPr>
        <w:t>N</w:t>
      </w:r>
    </w:p>
    <w:p w14:paraId="4F67A446" w14:textId="77777777" w:rsidR="00591D54" w:rsidRDefault="00591D54">
      <w:pPr>
        <w:shd w:val="clear" w:color="auto" w:fill="FFFFFF"/>
        <w:spacing w:before="192" w:line="211" w:lineRule="exact"/>
        <w:ind w:right="5"/>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5"/>
          <w:sz w:val="18"/>
          <w:szCs w:val="18"/>
          <w:lang w:val="es-ES_tradnl"/>
        </w:rPr>
        <w:t>constitucional y por mandato de la Constituci</w:t>
      </w:r>
      <w:r>
        <w:rPr>
          <w:rFonts w:cs="Times New Roman"/>
          <w:spacing w:val="-5"/>
          <w:sz w:val="18"/>
          <w:szCs w:val="18"/>
          <w:lang w:val="es-ES_tradnl"/>
        </w:rPr>
        <w:t>ó</w:t>
      </w:r>
      <w:r>
        <w:rPr>
          <w:spacing w:val="-5"/>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 xml:space="preserve">blica del Ecuador, el Pleno de la Corte Constitucional </w:t>
      </w:r>
      <w:r>
        <w:rPr>
          <w:sz w:val="18"/>
          <w:szCs w:val="18"/>
          <w:lang w:val="es-ES_tradnl"/>
        </w:rPr>
        <w:t>emite el siguiente:</w:t>
      </w:r>
    </w:p>
    <w:p w14:paraId="4F67A447" w14:textId="77777777" w:rsidR="00591D54" w:rsidRDefault="00591D54">
      <w:pPr>
        <w:shd w:val="clear" w:color="auto" w:fill="FFFFFF"/>
        <w:spacing w:before="187"/>
        <w:ind w:right="5"/>
        <w:jc w:val="center"/>
      </w:pPr>
      <w:r>
        <w:rPr>
          <w:b/>
          <w:bCs/>
          <w:sz w:val="18"/>
          <w:szCs w:val="18"/>
          <w:lang w:val="es-ES_tradnl"/>
        </w:rPr>
        <w:t>DICTAMEN</w:t>
      </w:r>
    </w:p>
    <w:p w14:paraId="4F67A448" w14:textId="77777777" w:rsidR="00591D54" w:rsidRDefault="00591D54" w:rsidP="00251195">
      <w:pPr>
        <w:numPr>
          <w:ilvl w:val="0"/>
          <w:numId w:val="19"/>
        </w:numPr>
        <w:shd w:val="clear" w:color="auto" w:fill="FFFFFF"/>
        <w:tabs>
          <w:tab w:val="left" w:pos="566"/>
        </w:tabs>
        <w:spacing w:before="192" w:line="211" w:lineRule="exact"/>
        <w:ind w:left="566" w:hanging="283"/>
        <w:jc w:val="both"/>
        <w:rPr>
          <w:spacing w:val="-11"/>
          <w:sz w:val="18"/>
          <w:szCs w:val="18"/>
          <w:lang w:val="es-ES_tradnl"/>
        </w:rPr>
      </w:pPr>
      <w:r>
        <w:rPr>
          <w:spacing w:val="-4"/>
          <w:sz w:val="18"/>
          <w:szCs w:val="18"/>
          <w:lang w:val="es-ES_tradnl"/>
        </w:rPr>
        <w:t xml:space="preserve">Declarar que el </w:t>
      </w:r>
      <w:r>
        <w:rPr>
          <w:rFonts w:cs="Times New Roman"/>
          <w:spacing w:val="-4"/>
          <w:sz w:val="18"/>
          <w:szCs w:val="18"/>
          <w:lang w:val="es-ES_tradnl"/>
        </w:rPr>
        <w:t>“</w:t>
      </w:r>
      <w:r>
        <w:rPr>
          <w:spacing w:val="-4"/>
          <w:sz w:val="18"/>
          <w:szCs w:val="18"/>
          <w:lang w:val="es-ES_tradnl"/>
        </w:rPr>
        <w:t>Convenio de Servicios A</w:t>
      </w:r>
      <w:r>
        <w:rPr>
          <w:rFonts w:cs="Times New Roman"/>
          <w:spacing w:val="-4"/>
          <w:sz w:val="18"/>
          <w:szCs w:val="18"/>
          <w:lang w:val="es-ES_tradnl"/>
        </w:rPr>
        <w:t>é</w:t>
      </w:r>
      <w:r>
        <w:rPr>
          <w:spacing w:val="-4"/>
          <w:sz w:val="18"/>
          <w:szCs w:val="18"/>
          <w:lang w:val="es-ES_tradnl"/>
        </w:rPr>
        <w:t xml:space="preserve">reos </w:t>
      </w:r>
      <w:r>
        <w:rPr>
          <w:spacing w:val="-3"/>
          <w:sz w:val="18"/>
          <w:szCs w:val="18"/>
          <w:lang w:val="es-ES_tradnl"/>
        </w:rPr>
        <w:t>entre el Gobierno de la Rep</w:t>
      </w:r>
      <w:r>
        <w:rPr>
          <w:rFonts w:cs="Times New Roman"/>
          <w:spacing w:val="-3"/>
          <w:sz w:val="18"/>
          <w:szCs w:val="18"/>
          <w:lang w:val="es-ES_tradnl"/>
        </w:rPr>
        <w:t>ú</w:t>
      </w:r>
      <w:r>
        <w:rPr>
          <w:spacing w:val="-3"/>
          <w:sz w:val="18"/>
          <w:szCs w:val="18"/>
          <w:lang w:val="es-ES_tradnl"/>
        </w:rPr>
        <w:t xml:space="preserve">blica del Ecuador y </w:t>
      </w:r>
      <w:r>
        <w:rPr>
          <w:spacing w:val="-5"/>
          <w:sz w:val="18"/>
          <w:szCs w:val="18"/>
          <w:lang w:val="es-ES_tradnl"/>
        </w:rPr>
        <w:t>el Gobierno de la Rep</w:t>
      </w:r>
      <w:r>
        <w:rPr>
          <w:rFonts w:cs="Times New Roman"/>
          <w:spacing w:val="-5"/>
          <w:sz w:val="18"/>
          <w:szCs w:val="18"/>
          <w:lang w:val="es-ES_tradnl"/>
        </w:rPr>
        <w:t>ú</w:t>
      </w:r>
      <w:r>
        <w:rPr>
          <w:spacing w:val="-5"/>
          <w:sz w:val="18"/>
          <w:szCs w:val="18"/>
          <w:lang w:val="es-ES_tradnl"/>
        </w:rPr>
        <w:t>blica Popular de China</w:t>
      </w:r>
      <w:r>
        <w:rPr>
          <w:rFonts w:cs="Times New Roman"/>
          <w:spacing w:val="-5"/>
          <w:sz w:val="18"/>
          <w:szCs w:val="18"/>
          <w:lang w:val="es-ES_tradnl"/>
        </w:rPr>
        <w:t>”</w:t>
      </w:r>
      <w:r>
        <w:rPr>
          <w:spacing w:val="-5"/>
          <w:sz w:val="18"/>
          <w:szCs w:val="18"/>
          <w:lang w:val="es-ES_tradnl"/>
        </w:rPr>
        <w:t xml:space="preserve">, </w:t>
      </w:r>
      <w:r>
        <w:rPr>
          <w:spacing w:val="-10"/>
          <w:sz w:val="18"/>
          <w:szCs w:val="18"/>
          <w:lang w:val="es-ES_tradnl"/>
        </w:rPr>
        <w:t>requiere aprobaci</w:t>
      </w:r>
      <w:r>
        <w:rPr>
          <w:rFonts w:cs="Times New Roman"/>
          <w:spacing w:val="-10"/>
          <w:sz w:val="18"/>
          <w:szCs w:val="18"/>
          <w:lang w:val="es-ES_tradnl"/>
        </w:rPr>
        <w:t>ó</w:t>
      </w:r>
      <w:r>
        <w:rPr>
          <w:spacing w:val="-10"/>
          <w:sz w:val="18"/>
          <w:szCs w:val="18"/>
          <w:lang w:val="es-ES_tradnl"/>
        </w:rPr>
        <w:t xml:space="preserve">n previa por parte de la Asamblea </w:t>
      </w:r>
      <w:r>
        <w:rPr>
          <w:spacing w:val="-7"/>
          <w:sz w:val="18"/>
          <w:szCs w:val="18"/>
          <w:lang w:val="es-ES_tradnl"/>
        </w:rPr>
        <w:t xml:space="preserve">Nacional, por encontrarse dentro de lo establecido </w:t>
      </w:r>
      <w:r>
        <w:rPr>
          <w:spacing w:val="-6"/>
          <w:sz w:val="18"/>
          <w:szCs w:val="18"/>
          <w:lang w:val="es-ES_tradnl"/>
        </w:rPr>
        <w:t>en el art</w:t>
      </w:r>
      <w:r>
        <w:rPr>
          <w:rFonts w:cs="Times New Roman"/>
          <w:spacing w:val="-6"/>
          <w:sz w:val="18"/>
          <w:szCs w:val="18"/>
          <w:lang w:val="es-ES_tradnl"/>
        </w:rPr>
        <w:t>í</w:t>
      </w:r>
      <w:r>
        <w:rPr>
          <w:spacing w:val="-6"/>
          <w:sz w:val="18"/>
          <w:szCs w:val="18"/>
          <w:lang w:val="es-ES_tradnl"/>
        </w:rPr>
        <w:t>culo 419 numeral 6 de la Constituci</w:t>
      </w:r>
      <w:r>
        <w:rPr>
          <w:rFonts w:cs="Times New Roman"/>
          <w:spacing w:val="-6"/>
          <w:sz w:val="18"/>
          <w:szCs w:val="18"/>
          <w:lang w:val="es-ES_tradnl"/>
        </w:rPr>
        <w:t>ó</w:t>
      </w:r>
      <w:r>
        <w:rPr>
          <w:spacing w:val="-6"/>
          <w:sz w:val="18"/>
          <w:szCs w:val="18"/>
          <w:lang w:val="es-ES_tradnl"/>
        </w:rPr>
        <w:t xml:space="preserve">n de </w:t>
      </w:r>
      <w:r>
        <w:rPr>
          <w:sz w:val="18"/>
          <w:szCs w:val="18"/>
          <w:lang w:val="es-ES_tradnl"/>
        </w:rPr>
        <w:t>la Rep</w:t>
      </w:r>
      <w:r>
        <w:rPr>
          <w:rFonts w:cs="Times New Roman"/>
          <w:sz w:val="18"/>
          <w:szCs w:val="18"/>
          <w:lang w:val="es-ES_tradnl"/>
        </w:rPr>
        <w:t>ú</w:t>
      </w:r>
      <w:r>
        <w:rPr>
          <w:sz w:val="18"/>
          <w:szCs w:val="18"/>
          <w:lang w:val="es-ES_tradnl"/>
        </w:rPr>
        <w:t>blica.</w:t>
      </w:r>
    </w:p>
    <w:p w14:paraId="4F67A449" w14:textId="77777777" w:rsidR="00591D54" w:rsidRDefault="00591D54" w:rsidP="00251195">
      <w:pPr>
        <w:numPr>
          <w:ilvl w:val="0"/>
          <w:numId w:val="19"/>
        </w:numPr>
        <w:shd w:val="clear" w:color="auto" w:fill="FFFFFF"/>
        <w:tabs>
          <w:tab w:val="left" w:pos="566"/>
        </w:tabs>
        <w:spacing w:before="192" w:line="211" w:lineRule="exact"/>
        <w:ind w:left="566" w:hanging="283"/>
        <w:jc w:val="both"/>
        <w:rPr>
          <w:spacing w:val="-11"/>
          <w:sz w:val="18"/>
          <w:szCs w:val="18"/>
          <w:lang w:val="es-ES_tradnl"/>
        </w:rPr>
      </w:pPr>
      <w:r>
        <w:rPr>
          <w:spacing w:val="-7"/>
          <w:sz w:val="18"/>
          <w:szCs w:val="18"/>
          <w:lang w:val="es-ES_tradnl"/>
        </w:rPr>
        <w:t xml:space="preserve">Declarar que las disposiciones contenidas en el </w:t>
      </w:r>
      <w:r>
        <w:rPr>
          <w:rFonts w:cs="Times New Roman"/>
          <w:spacing w:val="-5"/>
          <w:sz w:val="18"/>
          <w:szCs w:val="18"/>
          <w:lang w:val="es-ES_tradnl"/>
        </w:rPr>
        <w:t>“</w:t>
      </w:r>
      <w:r>
        <w:rPr>
          <w:spacing w:val="-5"/>
          <w:sz w:val="18"/>
          <w:szCs w:val="18"/>
          <w:lang w:val="es-ES_tradnl"/>
        </w:rPr>
        <w:t>Convenio de Servicios A</w:t>
      </w:r>
      <w:r>
        <w:rPr>
          <w:rFonts w:cs="Times New Roman"/>
          <w:spacing w:val="-5"/>
          <w:sz w:val="18"/>
          <w:szCs w:val="18"/>
          <w:lang w:val="es-ES_tradnl"/>
        </w:rPr>
        <w:t>é</w:t>
      </w:r>
      <w:r>
        <w:rPr>
          <w:spacing w:val="-5"/>
          <w:sz w:val="18"/>
          <w:szCs w:val="18"/>
          <w:lang w:val="es-ES_tradnl"/>
        </w:rPr>
        <w:t xml:space="preserve">reos entre el Gobierno </w:t>
      </w:r>
      <w:r>
        <w:rPr>
          <w:spacing w:val="-6"/>
          <w:sz w:val="18"/>
          <w:szCs w:val="18"/>
          <w:lang w:val="es-ES_tradnl"/>
        </w:rPr>
        <w:t>de la Rep</w:t>
      </w:r>
      <w:r>
        <w:rPr>
          <w:rFonts w:cs="Times New Roman"/>
          <w:spacing w:val="-6"/>
          <w:sz w:val="18"/>
          <w:szCs w:val="18"/>
          <w:lang w:val="es-ES_tradnl"/>
        </w:rPr>
        <w:t>ú</w:t>
      </w:r>
      <w:r>
        <w:rPr>
          <w:spacing w:val="-6"/>
          <w:sz w:val="18"/>
          <w:szCs w:val="18"/>
          <w:lang w:val="es-ES_tradnl"/>
        </w:rPr>
        <w:t xml:space="preserve">blica del Ecuador y el Gobierno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blica de Popular de China</w:t>
      </w:r>
      <w:r>
        <w:rPr>
          <w:rFonts w:cs="Times New Roman"/>
          <w:spacing w:val="-7"/>
          <w:sz w:val="18"/>
          <w:szCs w:val="18"/>
          <w:lang w:val="es-ES_tradnl"/>
        </w:rPr>
        <w:t>”</w:t>
      </w:r>
      <w:r>
        <w:rPr>
          <w:spacing w:val="-7"/>
          <w:sz w:val="18"/>
          <w:szCs w:val="18"/>
          <w:lang w:val="es-ES_tradnl"/>
        </w:rPr>
        <w:t>, guardan armon</w:t>
      </w:r>
      <w:r>
        <w:rPr>
          <w:rFonts w:cs="Times New Roman"/>
          <w:spacing w:val="-7"/>
          <w:sz w:val="18"/>
          <w:szCs w:val="18"/>
          <w:lang w:val="es-ES_tradnl"/>
        </w:rPr>
        <w:t>í</w:t>
      </w:r>
      <w:r>
        <w:rPr>
          <w:spacing w:val="-7"/>
          <w:sz w:val="18"/>
          <w:szCs w:val="18"/>
          <w:lang w:val="es-ES_tradnl"/>
        </w:rPr>
        <w:t xml:space="preserve">a </w:t>
      </w:r>
      <w:r>
        <w:rPr>
          <w:sz w:val="18"/>
          <w:szCs w:val="18"/>
          <w:lang w:val="es-ES_tradnl"/>
        </w:rPr>
        <w:t>con la Constituci</w:t>
      </w:r>
      <w:r>
        <w:rPr>
          <w:rFonts w:cs="Times New Roman"/>
          <w:sz w:val="18"/>
          <w:szCs w:val="18"/>
          <w:lang w:val="es-ES_tradnl"/>
        </w:rPr>
        <w:t>ó</w:t>
      </w:r>
      <w:r>
        <w:rPr>
          <w:sz w:val="18"/>
          <w:szCs w:val="18"/>
          <w:lang w:val="es-ES_tradnl"/>
        </w:rPr>
        <w:t>n.</w:t>
      </w:r>
    </w:p>
    <w:p w14:paraId="4F67A44A" w14:textId="77777777" w:rsidR="00591D54" w:rsidRDefault="00591D54" w:rsidP="00251195">
      <w:pPr>
        <w:numPr>
          <w:ilvl w:val="0"/>
          <w:numId w:val="19"/>
        </w:numPr>
        <w:shd w:val="clear" w:color="auto" w:fill="FFFFFF"/>
        <w:tabs>
          <w:tab w:val="left" w:pos="566"/>
        </w:tabs>
        <w:spacing w:before="192" w:line="211" w:lineRule="exact"/>
        <w:ind w:left="566" w:right="5" w:hanging="283"/>
        <w:jc w:val="both"/>
        <w:rPr>
          <w:spacing w:val="-11"/>
          <w:sz w:val="18"/>
          <w:szCs w:val="18"/>
          <w:lang w:val="es-ES_tradnl"/>
        </w:rPr>
      </w:pPr>
      <w:r>
        <w:rPr>
          <w:sz w:val="18"/>
          <w:szCs w:val="18"/>
          <w:lang w:val="es-ES_tradnl"/>
        </w:rPr>
        <w:t xml:space="preserve">Notificar al presidente constitucional de la </w:t>
      </w:r>
      <w:r>
        <w:rPr>
          <w:spacing w:val="-10"/>
          <w:sz w:val="18"/>
          <w:szCs w:val="18"/>
          <w:lang w:val="es-ES_tradnl"/>
        </w:rPr>
        <w:t>Rep</w:t>
      </w:r>
      <w:r>
        <w:rPr>
          <w:rFonts w:cs="Times New Roman"/>
          <w:spacing w:val="-10"/>
          <w:sz w:val="18"/>
          <w:szCs w:val="18"/>
          <w:lang w:val="es-ES_tradnl"/>
        </w:rPr>
        <w:t>ú</w:t>
      </w:r>
      <w:r>
        <w:rPr>
          <w:spacing w:val="-10"/>
          <w:sz w:val="18"/>
          <w:szCs w:val="18"/>
          <w:lang w:val="es-ES_tradnl"/>
        </w:rPr>
        <w:t xml:space="preserve">blica con el presente Dictamen, a fin de que se </w:t>
      </w:r>
      <w:r>
        <w:rPr>
          <w:spacing w:val="-8"/>
          <w:sz w:val="18"/>
          <w:szCs w:val="18"/>
          <w:lang w:val="es-ES_tradnl"/>
        </w:rPr>
        <w:t>haga conocer el mismo a la Asamblea Nacional.</w:t>
      </w:r>
    </w:p>
    <w:p w14:paraId="4F67A44B" w14:textId="77777777" w:rsidR="00591D54" w:rsidRDefault="00591D54" w:rsidP="00251195">
      <w:pPr>
        <w:numPr>
          <w:ilvl w:val="0"/>
          <w:numId w:val="19"/>
        </w:numPr>
        <w:shd w:val="clear" w:color="auto" w:fill="FFFFFF"/>
        <w:tabs>
          <w:tab w:val="left" w:pos="566"/>
        </w:tabs>
        <w:spacing w:before="192"/>
        <w:ind w:left="283"/>
        <w:rPr>
          <w:spacing w:val="-11"/>
          <w:sz w:val="18"/>
          <w:szCs w:val="18"/>
          <w:lang w:val="es-ES_tradnl"/>
        </w:rPr>
      </w:pPr>
      <w:r>
        <w:rPr>
          <w:spacing w:val="-7"/>
          <w:sz w:val="18"/>
          <w:szCs w:val="18"/>
          <w:lang w:val="es-ES_tradnl"/>
        </w:rPr>
        <w:t>Notif</w:t>
      </w:r>
      <w:r>
        <w:rPr>
          <w:rFonts w:cs="Times New Roman"/>
          <w:spacing w:val="-7"/>
          <w:sz w:val="18"/>
          <w:szCs w:val="18"/>
          <w:lang w:val="es-ES_tradnl"/>
        </w:rPr>
        <w:t>í</w:t>
      </w:r>
      <w:r>
        <w:rPr>
          <w:spacing w:val="-7"/>
          <w:sz w:val="18"/>
          <w:szCs w:val="18"/>
          <w:lang w:val="es-ES_tradnl"/>
        </w:rPr>
        <w:t>quese, publ</w:t>
      </w:r>
      <w:r>
        <w:rPr>
          <w:rFonts w:cs="Times New Roman"/>
          <w:spacing w:val="-7"/>
          <w:sz w:val="18"/>
          <w:szCs w:val="18"/>
          <w:lang w:val="es-ES_tradnl"/>
        </w:rPr>
        <w:t>í</w:t>
      </w:r>
      <w:r>
        <w:rPr>
          <w:spacing w:val="-7"/>
          <w:sz w:val="18"/>
          <w:szCs w:val="18"/>
          <w:lang w:val="es-ES_tradnl"/>
        </w:rPr>
        <w:t>quese y c</w:t>
      </w:r>
      <w:r>
        <w:rPr>
          <w:rFonts w:cs="Times New Roman"/>
          <w:spacing w:val="-7"/>
          <w:sz w:val="18"/>
          <w:szCs w:val="18"/>
          <w:lang w:val="es-ES_tradnl"/>
        </w:rPr>
        <w:t>ú</w:t>
      </w:r>
      <w:r>
        <w:rPr>
          <w:spacing w:val="-7"/>
          <w:sz w:val="18"/>
          <w:szCs w:val="18"/>
          <w:lang w:val="es-ES_tradnl"/>
        </w:rPr>
        <w:t>mplase.</w:t>
      </w:r>
    </w:p>
    <w:p w14:paraId="4F67A44C" w14:textId="77777777" w:rsidR="00591D54" w:rsidRDefault="00591D54">
      <w:pPr>
        <w:shd w:val="clear" w:color="auto" w:fill="FFFFFF"/>
        <w:spacing w:before="187"/>
      </w:pPr>
      <w:r>
        <w:rPr>
          <w:spacing w:val="-4"/>
          <w:sz w:val="18"/>
          <w:szCs w:val="18"/>
          <w:lang w:val="es-ES_tradnl"/>
        </w:rPr>
        <w:t>f.) Patricio Pazmi</w:t>
      </w:r>
      <w:r>
        <w:rPr>
          <w:rFonts w:cs="Times New Roman"/>
          <w:spacing w:val="-4"/>
          <w:sz w:val="18"/>
          <w:szCs w:val="18"/>
          <w:lang w:val="es-ES_tradnl"/>
        </w:rPr>
        <w:t>ñ</w:t>
      </w:r>
      <w:r>
        <w:rPr>
          <w:spacing w:val="-4"/>
          <w:sz w:val="18"/>
          <w:szCs w:val="18"/>
          <w:lang w:val="es-ES_tradnl"/>
        </w:rPr>
        <w:t xml:space="preserve">o Freire, </w:t>
      </w:r>
      <w:r>
        <w:rPr>
          <w:b/>
          <w:bCs/>
          <w:spacing w:val="-4"/>
          <w:sz w:val="18"/>
          <w:szCs w:val="18"/>
          <w:lang w:val="es-ES_tradnl"/>
        </w:rPr>
        <w:t>PRESIDENTE.</w:t>
      </w:r>
    </w:p>
    <w:p w14:paraId="4F67A44D" w14:textId="77777777" w:rsidR="00591D54" w:rsidRDefault="00591D54">
      <w:pPr>
        <w:shd w:val="clear" w:color="auto" w:fill="FFFFFF"/>
        <w:spacing w:before="192" w:line="211" w:lineRule="exact"/>
        <w:ind w:right="5"/>
        <w:jc w:val="both"/>
      </w:pPr>
      <w:r>
        <w:rPr>
          <w:spacing w:val="-1"/>
          <w:sz w:val="18"/>
          <w:szCs w:val="18"/>
          <w:lang w:val="es-ES_tradnl"/>
        </w:rPr>
        <w:t>f.) Pa</w:t>
      </w:r>
      <w:r>
        <w:rPr>
          <w:rFonts w:cs="Times New Roman"/>
          <w:spacing w:val="-1"/>
          <w:sz w:val="18"/>
          <w:szCs w:val="18"/>
          <w:lang w:val="es-ES_tradnl"/>
        </w:rPr>
        <w:t>ú</w:t>
      </w:r>
      <w:r>
        <w:rPr>
          <w:spacing w:val="-1"/>
          <w:sz w:val="18"/>
          <w:szCs w:val="18"/>
          <w:lang w:val="es-ES_tradnl"/>
        </w:rPr>
        <w:t xml:space="preserve">l Emilio Prado Chiriboga, </w:t>
      </w:r>
      <w:r>
        <w:rPr>
          <w:b/>
          <w:bCs/>
          <w:spacing w:val="-1"/>
          <w:sz w:val="18"/>
          <w:szCs w:val="18"/>
          <w:lang w:val="es-ES_tradnl"/>
        </w:rPr>
        <w:t xml:space="preserve">SECRETARIO </w:t>
      </w:r>
      <w:r>
        <w:rPr>
          <w:b/>
          <w:bCs/>
          <w:sz w:val="18"/>
          <w:szCs w:val="18"/>
          <w:lang w:val="es-ES_tradnl"/>
        </w:rPr>
        <w:t>GENERAL (E).</w:t>
      </w:r>
    </w:p>
    <w:p w14:paraId="4F67A44E" w14:textId="77777777" w:rsidR="00591D54" w:rsidRDefault="00591D54">
      <w:pPr>
        <w:shd w:val="clear" w:color="auto" w:fill="FFFFFF"/>
        <w:spacing w:line="216" w:lineRule="exact"/>
        <w:jc w:val="both"/>
      </w:pPr>
      <w:r>
        <w:br w:type="column"/>
      </w:r>
      <w:r>
        <w:rPr>
          <w:b/>
          <w:bCs/>
          <w:spacing w:val="-7"/>
          <w:sz w:val="18"/>
          <w:szCs w:val="18"/>
          <w:lang w:val="es-ES_tradnl"/>
        </w:rPr>
        <w:t>Raz</w:t>
      </w:r>
      <w:r>
        <w:rPr>
          <w:rFonts w:cs="Times New Roman"/>
          <w:b/>
          <w:bCs/>
          <w:spacing w:val="-7"/>
          <w:sz w:val="18"/>
          <w:szCs w:val="18"/>
          <w:lang w:val="es-ES_tradnl"/>
        </w:rPr>
        <w:t>ó</w:t>
      </w:r>
      <w:r>
        <w:rPr>
          <w:b/>
          <w:bCs/>
          <w:spacing w:val="-7"/>
          <w:sz w:val="18"/>
          <w:szCs w:val="18"/>
          <w:lang w:val="es-ES_tradnl"/>
        </w:rPr>
        <w:t xml:space="preserve">n: </w:t>
      </w:r>
      <w:r>
        <w:rPr>
          <w:spacing w:val="-7"/>
          <w:sz w:val="18"/>
          <w:szCs w:val="18"/>
          <w:lang w:val="es-ES_tradnl"/>
        </w:rPr>
        <w:t xml:space="preserve">Siento por tal, que el dictamen que antecede fue </w:t>
      </w:r>
      <w:r>
        <w:rPr>
          <w:spacing w:val="-2"/>
          <w:sz w:val="18"/>
          <w:szCs w:val="18"/>
          <w:lang w:val="es-ES_tradnl"/>
        </w:rPr>
        <w:t xml:space="preserve">aprobado por el Pleno de la Corte Constitucional, con </w:t>
      </w:r>
      <w:r>
        <w:rPr>
          <w:spacing w:val="-10"/>
          <w:sz w:val="18"/>
          <w:szCs w:val="18"/>
          <w:lang w:val="es-ES_tradnl"/>
        </w:rPr>
        <w:t>siete votos de las se</w:t>
      </w:r>
      <w:r>
        <w:rPr>
          <w:rFonts w:cs="Times New Roman"/>
          <w:spacing w:val="-10"/>
          <w:sz w:val="18"/>
          <w:szCs w:val="18"/>
          <w:lang w:val="es-ES_tradnl"/>
        </w:rPr>
        <w:t>ñ</w:t>
      </w:r>
      <w:r>
        <w:rPr>
          <w:spacing w:val="-10"/>
          <w:sz w:val="18"/>
          <w:szCs w:val="18"/>
          <w:lang w:val="es-ES_tradnl"/>
        </w:rPr>
        <w:t>oras juezas y se</w:t>
      </w:r>
      <w:r>
        <w:rPr>
          <w:rFonts w:cs="Times New Roman"/>
          <w:spacing w:val="-10"/>
          <w:sz w:val="18"/>
          <w:szCs w:val="18"/>
          <w:lang w:val="es-ES_tradnl"/>
        </w:rPr>
        <w:t>ñ</w:t>
      </w:r>
      <w:r>
        <w:rPr>
          <w:spacing w:val="-10"/>
          <w:sz w:val="18"/>
          <w:szCs w:val="18"/>
          <w:lang w:val="es-ES_tradnl"/>
        </w:rPr>
        <w:t xml:space="preserve">ores jueces: Antonio </w:t>
      </w:r>
      <w:r>
        <w:rPr>
          <w:spacing w:val="-7"/>
          <w:sz w:val="18"/>
          <w:szCs w:val="18"/>
          <w:lang w:val="es-ES_tradnl"/>
        </w:rPr>
        <w:t>Gagliardo Loor, Marcelo Jaramillo Villa, Mar</w:t>
      </w:r>
      <w:r>
        <w:rPr>
          <w:rFonts w:cs="Times New Roman"/>
          <w:spacing w:val="-7"/>
          <w:sz w:val="18"/>
          <w:szCs w:val="18"/>
          <w:lang w:val="es-ES_tradnl"/>
        </w:rPr>
        <w:t>í</w:t>
      </w:r>
      <w:r>
        <w:rPr>
          <w:spacing w:val="-7"/>
          <w:sz w:val="18"/>
          <w:szCs w:val="18"/>
          <w:lang w:val="es-ES_tradnl"/>
        </w:rPr>
        <w:t xml:space="preserve">a del Carmen </w:t>
      </w:r>
      <w:r>
        <w:rPr>
          <w:spacing w:val="-5"/>
          <w:sz w:val="18"/>
          <w:szCs w:val="18"/>
          <w:lang w:val="es-ES_tradnl"/>
        </w:rPr>
        <w:t>Maldonado S</w:t>
      </w:r>
      <w:r>
        <w:rPr>
          <w:rFonts w:cs="Times New Roman"/>
          <w:spacing w:val="-5"/>
          <w:sz w:val="18"/>
          <w:szCs w:val="18"/>
          <w:lang w:val="es-ES_tradnl"/>
        </w:rPr>
        <w:t>á</w:t>
      </w:r>
      <w:r>
        <w:rPr>
          <w:spacing w:val="-5"/>
          <w:sz w:val="18"/>
          <w:szCs w:val="18"/>
          <w:lang w:val="es-ES_tradnl"/>
        </w:rPr>
        <w:t>nchez, Tatiana Orde</w:t>
      </w:r>
      <w:r>
        <w:rPr>
          <w:rFonts w:cs="Times New Roman"/>
          <w:spacing w:val="-5"/>
          <w:sz w:val="18"/>
          <w:szCs w:val="18"/>
          <w:lang w:val="es-ES_tradnl"/>
        </w:rPr>
        <w:t>ñ</w:t>
      </w:r>
      <w:r>
        <w:rPr>
          <w:spacing w:val="-5"/>
          <w:sz w:val="18"/>
          <w:szCs w:val="18"/>
          <w:lang w:val="es-ES_tradnl"/>
        </w:rPr>
        <w:t xml:space="preserve">ana Sierra, Alfredo </w:t>
      </w:r>
      <w:r>
        <w:rPr>
          <w:spacing w:val="-3"/>
          <w:sz w:val="18"/>
          <w:szCs w:val="18"/>
          <w:lang w:val="es-ES_tradnl"/>
        </w:rPr>
        <w:t>Ruiz Guzm</w:t>
      </w:r>
      <w:r>
        <w:rPr>
          <w:rFonts w:cs="Times New Roman"/>
          <w:spacing w:val="-3"/>
          <w:sz w:val="18"/>
          <w:szCs w:val="18"/>
          <w:lang w:val="es-ES_tradnl"/>
        </w:rPr>
        <w:t>á</w:t>
      </w:r>
      <w:r>
        <w:rPr>
          <w:spacing w:val="-3"/>
          <w:sz w:val="18"/>
          <w:szCs w:val="18"/>
          <w:lang w:val="es-ES_tradnl"/>
        </w:rPr>
        <w:t>n, Manuel Viteri Olvera y Patricio Pazmi</w:t>
      </w:r>
      <w:r>
        <w:rPr>
          <w:rFonts w:cs="Times New Roman"/>
          <w:spacing w:val="-3"/>
          <w:sz w:val="18"/>
          <w:szCs w:val="18"/>
          <w:lang w:val="es-ES_tradnl"/>
        </w:rPr>
        <w:t>ñ</w:t>
      </w:r>
      <w:r>
        <w:rPr>
          <w:spacing w:val="-3"/>
          <w:sz w:val="18"/>
          <w:szCs w:val="18"/>
          <w:lang w:val="es-ES_tradnl"/>
        </w:rPr>
        <w:t xml:space="preserve">o </w:t>
      </w:r>
      <w:r>
        <w:rPr>
          <w:spacing w:val="-7"/>
          <w:sz w:val="18"/>
          <w:szCs w:val="18"/>
          <w:lang w:val="es-ES_tradnl"/>
        </w:rPr>
        <w:t xml:space="preserve">Freire, sin contar con la presencia de las juezas Wendy </w:t>
      </w:r>
      <w:r>
        <w:rPr>
          <w:spacing w:val="-6"/>
          <w:sz w:val="18"/>
          <w:szCs w:val="18"/>
          <w:lang w:val="es-ES_tradnl"/>
        </w:rPr>
        <w:t>Molina Andrade y Ruth Seni Pinoargote, en sesi</w:t>
      </w:r>
      <w:r>
        <w:rPr>
          <w:rFonts w:cs="Times New Roman"/>
          <w:spacing w:val="-6"/>
          <w:sz w:val="18"/>
          <w:szCs w:val="18"/>
          <w:lang w:val="es-ES_tradnl"/>
        </w:rPr>
        <w:t>ó</w:t>
      </w:r>
      <w:r>
        <w:rPr>
          <w:spacing w:val="-6"/>
          <w:sz w:val="18"/>
          <w:szCs w:val="18"/>
          <w:lang w:val="es-ES_tradnl"/>
        </w:rPr>
        <w:t xml:space="preserve">n del 19 </w:t>
      </w:r>
      <w:r>
        <w:rPr>
          <w:sz w:val="18"/>
          <w:szCs w:val="18"/>
          <w:lang w:val="es-ES_tradnl"/>
        </w:rPr>
        <w:t>de agosto del 2015. Lo certifico.</w:t>
      </w:r>
    </w:p>
    <w:p w14:paraId="4F67A44F" w14:textId="77777777" w:rsidR="00591D54" w:rsidRDefault="00591D54">
      <w:pPr>
        <w:shd w:val="clear" w:color="auto" w:fill="FFFFFF"/>
        <w:spacing w:before="187" w:line="211" w:lineRule="exact"/>
        <w:jc w:val="both"/>
      </w:pPr>
      <w:r>
        <w:rPr>
          <w:spacing w:val="-1"/>
          <w:sz w:val="18"/>
          <w:szCs w:val="18"/>
          <w:lang w:val="es-ES_tradnl"/>
        </w:rPr>
        <w:t>f.) Pa</w:t>
      </w:r>
      <w:r>
        <w:rPr>
          <w:rFonts w:cs="Times New Roman"/>
          <w:spacing w:val="-1"/>
          <w:sz w:val="18"/>
          <w:szCs w:val="18"/>
          <w:lang w:val="es-ES_tradnl"/>
        </w:rPr>
        <w:t>ú</w:t>
      </w:r>
      <w:r>
        <w:rPr>
          <w:spacing w:val="-1"/>
          <w:sz w:val="18"/>
          <w:szCs w:val="18"/>
          <w:lang w:val="es-ES_tradnl"/>
        </w:rPr>
        <w:t xml:space="preserve">l Emilio Prado Chiriboga, </w:t>
      </w:r>
      <w:r>
        <w:rPr>
          <w:b/>
          <w:bCs/>
          <w:spacing w:val="-1"/>
          <w:sz w:val="18"/>
          <w:szCs w:val="18"/>
          <w:lang w:val="es-ES_tradnl"/>
        </w:rPr>
        <w:t xml:space="preserve">SECRETARIO </w:t>
      </w:r>
      <w:r>
        <w:rPr>
          <w:b/>
          <w:bCs/>
          <w:sz w:val="18"/>
          <w:szCs w:val="18"/>
          <w:lang w:val="es-ES_tradnl"/>
        </w:rPr>
        <w:t>GENERAL (E).</w:t>
      </w:r>
    </w:p>
    <w:p w14:paraId="4F67A450" w14:textId="77777777" w:rsidR="00591D54" w:rsidRDefault="00591D54">
      <w:pPr>
        <w:shd w:val="clear" w:color="auto" w:fill="FFFFFF"/>
        <w:tabs>
          <w:tab w:val="left" w:leader="dot" w:pos="1618"/>
        </w:tabs>
        <w:spacing w:before="192"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 </w:t>
      </w:r>
      <w:r>
        <w:rPr>
          <w:spacing w:val="-5"/>
          <w:sz w:val="18"/>
          <w:szCs w:val="18"/>
          <w:lang w:val="es-ES_tradnl"/>
        </w:rPr>
        <w:t xml:space="preserve">Quito, a </w:t>
      </w:r>
      <w:r>
        <w:rPr>
          <w:sz w:val="18"/>
          <w:szCs w:val="18"/>
          <w:lang w:val="es-ES_tradnl"/>
        </w:rPr>
        <w:tab/>
        <w:t xml:space="preserve"> </w:t>
      </w:r>
      <w:r>
        <w:rPr>
          <w:spacing w:val="-5"/>
          <w:sz w:val="18"/>
          <w:szCs w:val="18"/>
          <w:lang w:val="es-ES_tradnl"/>
        </w:rPr>
        <w:t>- f.) Ilegible, Secretar</w:t>
      </w:r>
      <w:r>
        <w:rPr>
          <w:rFonts w:cs="Times New Roman"/>
          <w:spacing w:val="-5"/>
          <w:sz w:val="18"/>
          <w:szCs w:val="18"/>
          <w:lang w:val="es-ES_tradnl"/>
        </w:rPr>
        <w:t>í</w:t>
      </w:r>
      <w:r>
        <w:rPr>
          <w:spacing w:val="-5"/>
          <w:sz w:val="18"/>
          <w:szCs w:val="18"/>
          <w:lang w:val="es-ES_tradnl"/>
        </w:rPr>
        <w:t>a General.</w:t>
      </w:r>
    </w:p>
    <w:p w14:paraId="4F67A451" w14:textId="77777777" w:rsidR="00591D54" w:rsidRDefault="00591D54">
      <w:pPr>
        <w:shd w:val="clear" w:color="auto" w:fill="FFFFFF"/>
        <w:spacing w:before="192"/>
      </w:pPr>
      <w:r>
        <w:rPr>
          <w:b/>
          <w:bCs/>
          <w:spacing w:val="-3"/>
          <w:sz w:val="18"/>
          <w:szCs w:val="18"/>
          <w:u w:val="single"/>
          <w:lang w:val="es-ES_tradnl"/>
        </w:rPr>
        <w:t>CASO Nro. 0003-14-TI</w:t>
      </w:r>
    </w:p>
    <w:p w14:paraId="4F67A452" w14:textId="77777777" w:rsidR="00591D54" w:rsidRDefault="00591D54">
      <w:pPr>
        <w:shd w:val="clear" w:color="auto" w:fill="FFFFFF"/>
        <w:spacing w:before="192" w:line="216" w:lineRule="exact"/>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w:t>
      </w:r>
      <w:r>
        <w:rPr>
          <w:spacing w:val="-7"/>
          <w:sz w:val="18"/>
          <w:szCs w:val="18"/>
          <w:lang w:val="es-ES_tradnl"/>
        </w:rPr>
        <w:t>suscrita por el Juez Patricio Pazmi</w:t>
      </w:r>
      <w:r>
        <w:rPr>
          <w:rFonts w:cs="Times New Roman"/>
          <w:spacing w:val="-7"/>
          <w:sz w:val="18"/>
          <w:szCs w:val="18"/>
          <w:lang w:val="es-ES_tradnl"/>
        </w:rPr>
        <w:t>ñ</w:t>
      </w:r>
      <w:r>
        <w:rPr>
          <w:spacing w:val="-7"/>
          <w:sz w:val="18"/>
          <w:szCs w:val="18"/>
          <w:lang w:val="es-ES_tradnl"/>
        </w:rPr>
        <w:t>o Freire, Presidente de la Corte Constitucional, el d</w:t>
      </w:r>
      <w:r>
        <w:rPr>
          <w:rFonts w:cs="Times New Roman"/>
          <w:spacing w:val="-7"/>
          <w:sz w:val="18"/>
          <w:szCs w:val="18"/>
          <w:lang w:val="es-ES_tradnl"/>
        </w:rPr>
        <w:t>í</w:t>
      </w:r>
      <w:r>
        <w:rPr>
          <w:spacing w:val="-7"/>
          <w:sz w:val="18"/>
          <w:szCs w:val="18"/>
          <w:lang w:val="es-ES_tradnl"/>
        </w:rPr>
        <w:t>a mi</w:t>
      </w:r>
      <w:r>
        <w:rPr>
          <w:rFonts w:cs="Times New Roman"/>
          <w:spacing w:val="-7"/>
          <w:sz w:val="18"/>
          <w:szCs w:val="18"/>
          <w:lang w:val="es-ES_tradnl"/>
        </w:rPr>
        <w:t>é</w:t>
      </w:r>
      <w:r>
        <w:rPr>
          <w:spacing w:val="-7"/>
          <w:sz w:val="18"/>
          <w:szCs w:val="18"/>
          <w:lang w:val="es-ES_tradnl"/>
        </w:rPr>
        <w:t xml:space="preserve">rcoles 23 de septiembre </w:t>
      </w:r>
      <w:r>
        <w:rPr>
          <w:sz w:val="18"/>
          <w:szCs w:val="18"/>
          <w:lang w:val="es-ES_tradnl"/>
        </w:rPr>
        <w:t>del dos mil quince.- Lo certifico.</w:t>
      </w:r>
    </w:p>
    <w:p w14:paraId="4F67A453" w14:textId="77777777" w:rsidR="00591D54" w:rsidRDefault="00591D54">
      <w:pPr>
        <w:shd w:val="clear" w:color="auto" w:fill="FFFFFF"/>
        <w:spacing w:before="192"/>
      </w:pPr>
      <w:r>
        <w:rPr>
          <w:spacing w:val="-4"/>
          <w:sz w:val="18"/>
          <w:szCs w:val="18"/>
          <w:lang w:val="es-ES_tradnl"/>
        </w:rPr>
        <w:t xml:space="preserve">f.) Jaime Pozo Chamorro, </w:t>
      </w:r>
      <w:r>
        <w:rPr>
          <w:b/>
          <w:bCs/>
          <w:spacing w:val="-4"/>
          <w:sz w:val="18"/>
          <w:szCs w:val="18"/>
          <w:lang w:val="es-ES_tradnl"/>
        </w:rPr>
        <w:t>SECRETARIO GENERAL.</w:t>
      </w:r>
    </w:p>
    <w:p w14:paraId="4F67A454" w14:textId="77777777" w:rsidR="00591D54" w:rsidRDefault="00591D54">
      <w:pPr>
        <w:shd w:val="clear" w:color="auto" w:fill="FFFFFF"/>
        <w:tabs>
          <w:tab w:val="left" w:leader="dot" w:pos="1397"/>
        </w:tabs>
        <w:spacing w:before="192"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 </w:t>
      </w:r>
      <w:r>
        <w:rPr>
          <w:spacing w:val="-3"/>
          <w:sz w:val="18"/>
          <w:szCs w:val="18"/>
          <w:lang w:val="es-ES_tradnl"/>
        </w:rPr>
        <w:t xml:space="preserve">Quito, </w:t>
      </w:r>
      <w:r>
        <w:rPr>
          <w:sz w:val="18"/>
          <w:szCs w:val="18"/>
          <w:lang w:val="es-ES_tradnl"/>
        </w:rPr>
        <w:tab/>
        <w:t xml:space="preserve"> </w:t>
      </w:r>
      <w:r>
        <w:rPr>
          <w:spacing w:val="-5"/>
          <w:sz w:val="18"/>
          <w:szCs w:val="18"/>
          <w:lang w:val="es-ES_tradnl"/>
        </w:rPr>
        <w:t>- f.) Ilegible, Secretar</w:t>
      </w:r>
      <w:r>
        <w:rPr>
          <w:rFonts w:cs="Times New Roman"/>
          <w:spacing w:val="-5"/>
          <w:sz w:val="18"/>
          <w:szCs w:val="18"/>
          <w:lang w:val="es-ES_tradnl"/>
        </w:rPr>
        <w:t>í</w:t>
      </w:r>
      <w:r>
        <w:rPr>
          <w:spacing w:val="-5"/>
          <w:sz w:val="18"/>
          <w:szCs w:val="18"/>
          <w:lang w:val="es-ES_tradnl"/>
        </w:rPr>
        <w:t>a General.</w:t>
      </w:r>
    </w:p>
    <w:p w14:paraId="4F67A455" w14:textId="77777777" w:rsidR="00591D54" w:rsidRDefault="00591D54">
      <w:pPr>
        <w:shd w:val="clear" w:color="auto" w:fill="FFFFFF"/>
        <w:spacing w:before="1142" w:line="432" w:lineRule="exact"/>
      </w:pPr>
      <w:r>
        <w:rPr>
          <w:spacing w:val="-5"/>
          <w:sz w:val="18"/>
          <w:szCs w:val="18"/>
          <w:lang w:val="es-ES_tradnl"/>
        </w:rPr>
        <w:t>Quito, D. M., 24 de junio del 2015</w:t>
      </w:r>
    </w:p>
    <w:p w14:paraId="4F67A456" w14:textId="77777777" w:rsidR="00591D54" w:rsidRDefault="00591D54">
      <w:pPr>
        <w:shd w:val="clear" w:color="auto" w:fill="FFFFFF"/>
        <w:spacing w:line="432" w:lineRule="exact"/>
        <w:ind w:left="835"/>
      </w:pPr>
      <w:r>
        <w:rPr>
          <w:b/>
          <w:bCs/>
          <w:spacing w:val="-3"/>
          <w:sz w:val="18"/>
          <w:szCs w:val="18"/>
          <w:u w:val="single"/>
          <w:lang w:val="es-ES_tradnl"/>
        </w:rPr>
        <w:t>SENTENCIA N.</w:t>
      </w:r>
      <w:r>
        <w:rPr>
          <w:rFonts w:cs="Times New Roman"/>
          <w:b/>
          <w:bCs/>
          <w:spacing w:val="-3"/>
          <w:sz w:val="18"/>
          <w:szCs w:val="18"/>
          <w:u w:val="single"/>
          <w:lang w:val="es-ES_tradnl"/>
        </w:rPr>
        <w:t>º</w:t>
      </w:r>
      <w:r>
        <w:rPr>
          <w:b/>
          <w:bCs/>
          <w:spacing w:val="-3"/>
          <w:sz w:val="18"/>
          <w:szCs w:val="18"/>
          <w:u w:val="single"/>
          <w:lang w:val="es-ES_tradnl"/>
        </w:rPr>
        <w:t xml:space="preserve"> 009-15-SAN-CC</w:t>
      </w:r>
    </w:p>
    <w:p w14:paraId="4F67A457" w14:textId="77777777" w:rsidR="00591D54" w:rsidRDefault="00591D54">
      <w:pPr>
        <w:shd w:val="clear" w:color="auto" w:fill="FFFFFF"/>
        <w:spacing w:line="432" w:lineRule="exact"/>
        <w:ind w:left="1272"/>
      </w:pPr>
      <w:r>
        <w:rPr>
          <w:b/>
          <w:bCs/>
          <w:spacing w:val="-5"/>
          <w:sz w:val="18"/>
          <w:szCs w:val="18"/>
          <w:u w:val="single"/>
          <w:lang w:val="es-ES_tradnl"/>
        </w:rPr>
        <w:t>CASO N.</w:t>
      </w:r>
      <w:r>
        <w:rPr>
          <w:rFonts w:cs="Times New Roman"/>
          <w:b/>
          <w:bCs/>
          <w:spacing w:val="-5"/>
          <w:sz w:val="18"/>
          <w:szCs w:val="18"/>
          <w:u w:val="single"/>
          <w:lang w:val="es-ES_tradnl"/>
        </w:rPr>
        <w:t>º</w:t>
      </w:r>
      <w:r>
        <w:rPr>
          <w:b/>
          <w:bCs/>
          <w:spacing w:val="-5"/>
          <w:sz w:val="18"/>
          <w:szCs w:val="18"/>
          <w:u w:val="single"/>
          <w:lang w:val="es-ES_tradnl"/>
        </w:rPr>
        <w:t xml:space="preserve"> 0022-12-AN</w:t>
      </w:r>
    </w:p>
    <w:p w14:paraId="4F67A458" w14:textId="77777777" w:rsidR="00591D54" w:rsidRDefault="00591D54">
      <w:pPr>
        <w:shd w:val="clear" w:color="auto" w:fill="FFFFFF"/>
        <w:spacing w:line="432" w:lineRule="exact"/>
        <w:ind w:left="298"/>
      </w:pPr>
      <w:r>
        <w:rPr>
          <w:b/>
          <w:bCs/>
          <w:sz w:val="18"/>
          <w:szCs w:val="18"/>
          <w:lang w:val="es-ES_tradnl"/>
        </w:rPr>
        <w:t>CORTE CONSTITUCIONAL DEL ECUADOR</w:t>
      </w:r>
    </w:p>
    <w:p w14:paraId="4F67A459" w14:textId="77777777" w:rsidR="00591D54" w:rsidRDefault="00591D54">
      <w:pPr>
        <w:shd w:val="clear" w:color="auto" w:fill="FFFFFF"/>
        <w:spacing w:line="432" w:lineRule="exact"/>
        <w:ind w:left="1339"/>
      </w:pPr>
      <w:r>
        <w:rPr>
          <w:b/>
          <w:bCs/>
          <w:sz w:val="18"/>
          <w:szCs w:val="18"/>
          <w:lang w:val="es-ES_tradnl"/>
        </w:rPr>
        <w:t>I. ANTECEDENTES</w:t>
      </w:r>
    </w:p>
    <w:p w14:paraId="4F67A45A" w14:textId="77777777" w:rsidR="00591D54" w:rsidRDefault="00591D54">
      <w:pPr>
        <w:shd w:val="clear" w:color="auto" w:fill="FFFFFF"/>
        <w:spacing w:line="432" w:lineRule="exact"/>
      </w:pPr>
      <w:r>
        <w:rPr>
          <w:b/>
          <w:bCs/>
          <w:spacing w:val="-9"/>
          <w:sz w:val="18"/>
          <w:szCs w:val="18"/>
          <w:lang w:val="es-ES_tradnl"/>
        </w:rPr>
        <w:t>Resumen de admisibilidad</w:t>
      </w:r>
    </w:p>
    <w:p w14:paraId="4F67A45B" w14:textId="77777777" w:rsidR="00591D54" w:rsidRDefault="00591D54">
      <w:pPr>
        <w:shd w:val="clear" w:color="auto" w:fill="FFFFFF"/>
        <w:spacing w:before="163" w:line="216" w:lineRule="exact"/>
        <w:jc w:val="both"/>
      </w:pPr>
      <w:r>
        <w:rPr>
          <w:spacing w:val="-3"/>
          <w:sz w:val="18"/>
          <w:szCs w:val="18"/>
          <w:lang w:val="es-ES_tradnl"/>
        </w:rPr>
        <w:t>La se</w:t>
      </w:r>
      <w:r>
        <w:rPr>
          <w:rFonts w:cs="Times New Roman"/>
          <w:spacing w:val="-3"/>
          <w:sz w:val="18"/>
          <w:szCs w:val="18"/>
          <w:lang w:val="es-ES_tradnl"/>
        </w:rPr>
        <w:t>ñ</w:t>
      </w:r>
      <w:r>
        <w:rPr>
          <w:spacing w:val="-3"/>
          <w:sz w:val="18"/>
          <w:szCs w:val="18"/>
          <w:lang w:val="es-ES_tradnl"/>
        </w:rPr>
        <w:t xml:space="preserve">orita Mireya Nataly Caiza Rivera, el 17 de mayo </w:t>
      </w:r>
      <w:r>
        <w:rPr>
          <w:spacing w:val="-7"/>
          <w:sz w:val="18"/>
          <w:szCs w:val="18"/>
          <w:lang w:val="es-ES_tradnl"/>
        </w:rPr>
        <w:t>del 2012 a las 13h28, por sus propios derechos, present</w:t>
      </w:r>
      <w:r>
        <w:rPr>
          <w:rFonts w:cs="Times New Roman"/>
          <w:spacing w:val="-7"/>
          <w:sz w:val="18"/>
          <w:szCs w:val="18"/>
          <w:lang w:val="es-ES_tradnl"/>
        </w:rPr>
        <w:t xml:space="preserve">ó </w:t>
      </w:r>
      <w:r>
        <w:rPr>
          <w:spacing w:val="-8"/>
          <w:sz w:val="18"/>
          <w:szCs w:val="18"/>
          <w:lang w:val="es-ES_tradnl"/>
        </w:rPr>
        <w:t>una demanda de acci</w:t>
      </w:r>
      <w:r>
        <w:rPr>
          <w:rFonts w:cs="Times New Roman"/>
          <w:spacing w:val="-8"/>
          <w:sz w:val="18"/>
          <w:szCs w:val="18"/>
          <w:lang w:val="es-ES_tradnl"/>
        </w:rPr>
        <w:t>ó</w:t>
      </w:r>
      <w:r>
        <w:rPr>
          <w:spacing w:val="-8"/>
          <w:sz w:val="18"/>
          <w:szCs w:val="18"/>
          <w:lang w:val="es-ES_tradnl"/>
        </w:rPr>
        <w:t xml:space="preserve">n por incumplimiento de norma ante </w:t>
      </w:r>
      <w:r>
        <w:rPr>
          <w:spacing w:val="-5"/>
          <w:sz w:val="18"/>
          <w:szCs w:val="18"/>
          <w:lang w:val="es-ES_tradnl"/>
        </w:rPr>
        <w:t>la Corte Constitucional, para el periodo de transici</w:t>
      </w:r>
      <w:r>
        <w:rPr>
          <w:rFonts w:cs="Times New Roman"/>
          <w:spacing w:val="-5"/>
          <w:sz w:val="18"/>
          <w:szCs w:val="18"/>
          <w:lang w:val="es-ES_tradnl"/>
        </w:rPr>
        <w:t>ó</w:t>
      </w:r>
      <w:r>
        <w:rPr>
          <w:spacing w:val="-5"/>
          <w:sz w:val="18"/>
          <w:szCs w:val="18"/>
          <w:lang w:val="es-ES_tradnl"/>
        </w:rPr>
        <w:t xml:space="preserve">n. En </w:t>
      </w:r>
      <w:r>
        <w:rPr>
          <w:spacing w:val="-7"/>
          <w:sz w:val="18"/>
          <w:szCs w:val="18"/>
          <w:lang w:val="es-ES_tradnl"/>
        </w:rPr>
        <w:t>dicha demanda, la accionante aleg</w:t>
      </w:r>
      <w:r>
        <w:rPr>
          <w:rFonts w:cs="Times New Roman"/>
          <w:spacing w:val="-7"/>
          <w:sz w:val="18"/>
          <w:szCs w:val="18"/>
          <w:lang w:val="es-ES_tradnl"/>
        </w:rPr>
        <w:t>ó</w:t>
      </w:r>
      <w:r>
        <w:rPr>
          <w:spacing w:val="-7"/>
          <w:sz w:val="18"/>
          <w:szCs w:val="18"/>
          <w:lang w:val="es-ES_tradnl"/>
        </w:rPr>
        <w:t xml:space="preserve"> el incumplimiento de </w:t>
      </w:r>
      <w:r>
        <w:rPr>
          <w:spacing w:val="-5"/>
          <w:sz w:val="18"/>
          <w:szCs w:val="18"/>
          <w:lang w:val="es-ES_tradnl"/>
        </w:rPr>
        <w:t>los art</w:t>
      </w:r>
      <w:r>
        <w:rPr>
          <w:rFonts w:cs="Times New Roman"/>
          <w:spacing w:val="-5"/>
          <w:sz w:val="18"/>
          <w:szCs w:val="18"/>
          <w:lang w:val="es-ES_tradnl"/>
        </w:rPr>
        <w:t>í</w:t>
      </w:r>
      <w:r>
        <w:rPr>
          <w:spacing w:val="-5"/>
          <w:sz w:val="18"/>
          <w:szCs w:val="18"/>
          <w:lang w:val="es-ES_tradnl"/>
        </w:rPr>
        <w:t xml:space="preserve">culos 11, 37, 66 y 68 del Reglamento Disciplinario </w:t>
      </w:r>
      <w:r>
        <w:rPr>
          <w:spacing w:val="-2"/>
          <w:sz w:val="18"/>
          <w:szCs w:val="18"/>
          <w:lang w:val="es-ES_tradnl"/>
        </w:rPr>
        <w:t>para la Escuela Superior de Polic</w:t>
      </w:r>
      <w:r>
        <w:rPr>
          <w:rFonts w:cs="Times New Roman"/>
          <w:spacing w:val="-2"/>
          <w:sz w:val="18"/>
          <w:szCs w:val="18"/>
          <w:lang w:val="es-ES_tradnl"/>
        </w:rPr>
        <w:t>í</w:t>
      </w:r>
      <w:r>
        <w:rPr>
          <w:spacing w:val="-2"/>
          <w:sz w:val="18"/>
          <w:szCs w:val="18"/>
          <w:lang w:val="es-ES_tradnl"/>
        </w:rPr>
        <w:t>a Alberto Enr</w:t>
      </w:r>
      <w:r>
        <w:rPr>
          <w:rFonts w:cs="Times New Roman"/>
          <w:spacing w:val="-2"/>
          <w:sz w:val="18"/>
          <w:szCs w:val="18"/>
          <w:lang w:val="es-ES_tradnl"/>
        </w:rPr>
        <w:t>í</w:t>
      </w:r>
      <w:r>
        <w:rPr>
          <w:spacing w:val="-2"/>
          <w:sz w:val="18"/>
          <w:szCs w:val="18"/>
          <w:lang w:val="es-ES_tradnl"/>
        </w:rPr>
        <w:t xml:space="preserve">quez </w:t>
      </w:r>
      <w:r>
        <w:rPr>
          <w:spacing w:val="-6"/>
          <w:sz w:val="18"/>
          <w:szCs w:val="18"/>
          <w:lang w:val="es-ES_tradnl"/>
        </w:rPr>
        <w:t>Gallo, al momento de expedir la Resoluci</w:t>
      </w:r>
      <w:r>
        <w:rPr>
          <w:rFonts w:cs="Times New Roman"/>
          <w:spacing w:val="-6"/>
          <w:sz w:val="18"/>
          <w:szCs w:val="18"/>
          <w:lang w:val="es-ES_tradnl"/>
        </w:rPr>
        <w:t>ó</w:t>
      </w:r>
      <w:r>
        <w:rPr>
          <w:spacing w:val="-6"/>
          <w:sz w:val="18"/>
          <w:szCs w:val="18"/>
          <w:lang w:val="es-ES_tradnl"/>
        </w:rPr>
        <w:t>n N.</w:t>
      </w:r>
      <w:r>
        <w:rPr>
          <w:rFonts w:cs="Times New Roman"/>
          <w:spacing w:val="-6"/>
          <w:sz w:val="18"/>
          <w:szCs w:val="18"/>
          <w:lang w:val="es-ES_tradnl"/>
        </w:rPr>
        <w:t>º</w:t>
      </w:r>
      <w:r>
        <w:rPr>
          <w:spacing w:val="-6"/>
          <w:sz w:val="18"/>
          <w:szCs w:val="18"/>
          <w:lang w:val="es-ES_tradnl"/>
        </w:rPr>
        <w:t xml:space="preserve"> 011-CG-</w:t>
      </w:r>
      <w:r>
        <w:rPr>
          <w:spacing w:val="-3"/>
          <w:sz w:val="18"/>
          <w:szCs w:val="18"/>
          <w:lang w:val="es-ES_tradnl"/>
        </w:rPr>
        <w:t xml:space="preserve">B-KDT-PAL, con la cual el comandante general de la </w:t>
      </w:r>
      <w:r>
        <w:rPr>
          <w:spacing w:val="-8"/>
          <w:sz w:val="18"/>
          <w:szCs w:val="18"/>
          <w:lang w:val="es-ES_tradnl"/>
        </w:rPr>
        <w:t>Polic</w:t>
      </w:r>
      <w:r>
        <w:rPr>
          <w:rFonts w:cs="Times New Roman"/>
          <w:spacing w:val="-8"/>
          <w:sz w:val="18"/>
          <w:szCs w:val="18"/>
          <w:lang w:val="es-ES_tradnl"/>
        </w:rPr>
        <w:t>í</w:t>
      </w:r>
      <w:r>
        <w:rPr>
          <w:spacing w:val="-8"/>
          <w:sz w:val="18"/>
          <w:szCs w:val="18"/>
          <w:lang w:val="es-ES_tradnl"/>
        </w:rPr>
        <w:t xml:space="preserve">a Nacional dispuso la baja de las filas policiales de la </w:t>
      </w:r>
      <w:r>
        <w:rPr>
          <w:sz w:val="18"/>
          <w:szCs w:val="18"/>
          <w:lang w:val="es-ES_tradnl"/>
        </w:rPr>
        <w:t>legitimada activa.</w:t>
      </w:r>
    </w:p>
    <w:p w14:paraId="4F67A45C" w14:textId="77777777" w:rsidR="00591D54" w:rsidRDefault="00591D54">
      <w:pPr>
        <w:shd w:val="clear" w:color="auto" w:fill="FFFFFF"/>
        <w:spacing w:before="197" w:line="216" w:lineRule="exact"/>
        <w:jc w:val="both"/>
      </w:pPr>
      <w:r>
        <w:rPr>
          <w:spacing w:val="-6"/>
          <w:sz w:val="18"/>
          <w:szCs w:val="18"/>
          <w:lang w:val="es-ES_tradnl"/>
        </w:rPr>
        <w:t xml:space="preserve">El secretario general de la Corte Constitucional, el 17 de mayo del 2012, de conformidad con lo establecido en el </w:t>
      </w:r>
      <w:r>
        <w:rPr>
          <w:spacing w:val="-8"/>
          <w:sz w:val="18"/>
          <w:szCs w:val="18"/>
          <w:lang w:val="es-ES_tradnl"/>
        </w:rPr>
        <w:t>segundo inciso del cuarto art</w:t>
      </w:r>
      <w:r>
        <w:rPr>
          <w:rFonts w:cs="Times New Roman"/>
          <w:spacing w:val="-8"/>
          <w:sz w:val="18"/>
          <w:szCs w:val="18"/>
          <w:lang w:val="es-ES_tradnl"/>
        </w:rPr>
        <w:t>í</w:t>
      </w:r>
      <w:r>
        <w:rPr>
          <w:spacing w:val="-8"/>
          <w:sz w:val="18"/>
          <w:szCs w:val="18"/>
          <w:lang w:val="es-ES_tradnl"/>
        </w:rPr>
        <w:t xml:space="preserve">culo innumerado agregado a </w:t>
      </w:r>
      <w:r>
        <w:rPr>
          <w:spacing w:val="-10"/>
          <w:sz w:val="18"/>
          <w:szCs w:val="18"/>
          <w:lang w:val="es-ES_tradnl"/>
        </w:rPr>
        <w:t>continuaci</w:t>
      </w:r>
      <w:r>
        <w:rPr>
          <w:rFonts w:cs="Times New Roman"/>
          <w:spacing w:val="-10"/>
          <w:sz w:val="18"/>
          <w:szCs w:val="18"/>
          <w:lang w:val="es-ES_tradnl"/>
        </w:rPr>
        <w:t>ó</w:t>
      </w:r>
      <w:r>
        <w:rPr>
          <w:spacing w:val="-10"/>
          <w:sz w:val="18"/>
          <w:szCs w:val="18"/>
          <w:lang w:val="es-ES_tradnl"/>
        </w:rPr>
        <w:t>n del art</w:t>
      </w:r>
      <w:r>
        <w:rPr>
          <w:rFonts w:cs="Times New Roman"/>
          <w:spacing w:val="-10"/>
          <w:sz w:val="18"/>
          <w:szCs w:val="18"/>
          <w:lang w:val="es-ES_tradnl"/>
        </w:rPr>
        <w:t>í</w:t>
      </w:r>
      <w:r>
        <w:rPr>
          <w:spacing w:val="-10"/>
          <w:sz w:val="18"/>
          <w:szCs w:val="18"/>
          <w:lang w:val="es-ES_tradnl"/>
        </w:rPr>
        <w:t>culo 8 del Reglamento de Sustanciaci</w:t>
      </w:r>
      <w:r>
        <w:rPr>
          <w:rFonts w:cs="Times New Roman"/>
          <w:spacing w:val="-10"/>
          <w:sz w:val="18"/>
          <w:szCs w:val="18"/>
          <w:lang w:val="es-ES_tradnl"/>
        </w:rPr>
        <w:t>ó</w:t>
      </w:r>
      <w:r>
        <w:rPr>
          <w:spacing w:val="-10"/>
          <w:sz w:val="18"/>
          <w:szCs w:val="18"/>
          <w:lang w:val="es-ES_tradnl"/>
        </w:rPr>
        <w:t>n</w:t>
      </w:r>
    </w:p>
    <w:p w14:paraId="4F67A45D" w14:textId="77777777" w:rsidR="00591D54" w:rsidRDefault="00591D54">
      <w:pPr>
        <w:shd w:val="clear" w:color="auto" w:fill="FFFFFF"/>
        <w:spacing w:before="197" w:line="216" w:lineRule="exact"/>
        <w:jc w:val="both"/>
        <w:sectPr w:rsidR="00591D54">
          <w:type w:val="continuous"/>
          <w:pgSz w:w="11909" w:h="16834"/>
          <w:pgMar w:top="1359" w:right="1309" w:bottom="360" w:left="1308" w:header="720" w:footer="720" w:gutter="0"/>
          <w:cols w:num="2" w:space="720" w:equalWidth="0">
            <w:col w:w="4305" w:space="682"/>
            <w:col w:w="4305"/>
          </w:cols>
          <w:noEndnote/>
        </w:sectPr>
      </w:pPr>
    </w:p>
    <w:p w14:paraId="4F67A45E" w14:textId="77777777" w:rsidR="00591D54" w:rsidRDefault="00591D54">
      <w:pPr>
        <w:shd w:val="clear" w:color="auto" w:fill="FFFFFF"/>
        <w:tabs>
          <w:tab w:val="left" w:pos="4814"/>
        </w:tabs>
        <w:spacing w:after="235"/>
        <w:ind w:left="14"/>
      </w:pPr>
      <w:r>
        <w:rPr>
          <w:b/>
          <w:bCs/>
          <w:sz w:val="18"/>
          <w:szCs w:val="18"/>
          <w:lang w:val="es-ES_tradnl"/>
        </w:rPr>
        <w:t xml:space="preserve">16 -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45F" w14:textId="77777777" w:rsidR="00591D54" w:rsidRDefault="00591D54">
      <w:pPr>
        <w:shd w:val="clear" w:color="auto" w:fill="FFFFFF"/>
        <w:tabs>
          <w:tab w:val="left" w:pos="4814"/>
        </w:tabs>
        <w:spacing w:after="235"/>
        <w:ind w:left="14"/>
        <w:sectPr w:rsidR="00591D54">
          <w:pgSz w:w="11909" w:h="16834"/>
          <w:pgMar w:top="1368" w:right="1304" w:bottom="360" w:left="1308" w:header="720" w:footer="720" w:gutter="0"/>
          <w:cols w:space="60"/>
          <w:noEndnote/>
        </w:sectPr>
      </w:pPr>
    </w:p>
    <w:p w14:paraId="4F67A460" w14:textId="77777777" w:rsidR="00591D54" w:rsidRDefault="00591D54">
      <w:pPr>
        <w:shd w:val="clear" w:color="auto" w:fill="FFFFFF"/>
        <w:spacing w:line="216" w:lineRule="exact"/>
        <w:jc w:val="both"/>
      </w:pPr>
      <w:r>
        <w:rPr>
          <w:spacing w:val="-8"/>
          <w:sz w:val="18"/>
          <w:szCs w:val="18"/>
          <w:lang w:val="es-ES_tradnl"/>
        </w:rPr>
        <w:t xml:space="preserve">de Procesos de Competencia de la Corte Constitucional, </w:t>
      </w:r>
      <w:r>
        <w:rPr>
          <w:spacing w:val="-7"/>
          <w:sz w:val="18"/>
          <w:szCs w:val="18"/>
          <w:lang w:val="es-ES_tradnl"/>
        </w:rPr>
        <w:t>certific</w:t>
      </w:r>
      <w:r>
        <w:rPr>
          <w:rFonts w:cs="Times New Roman"/>
          <w:spacing w:val="-7"/>
          <w:sz w:val="18"/>
          <w:szCs w:val="18"/>
          <w:lang w:val="es-ES_tradnl"/>
        </w:rPr>
        <w:t>ó</w:t>
      </w:r>
      <w:r>
        <w:rPr>
          <w:spacing w:val="-7"/>
          <w:sz w:val="18"/>
          <w:szCs w:val="18"/>
          <w:lang w:val="es-ES_tradnl"/>
        </w:rPr>
        <w:t xml:space="preserve"> que en referencia a la acci</w:t>
      </w:r>
      <w:r>
        <w:rPr>
          <w:rFonts w:cs="Times New Roman"/>
          <w:spacing w:val="-7"/>
          <w:sz w:val="18"/>
          <w:szCs w:val="18"/>
          <w:lang w:val="es-ES_tradnl"/>
        </w:rPr>
        <w:t>ó</w:t>
      </w:r>
      <w:r>
        <w:rPr>
          <w:spacing w:val="-7"/>
          <w:sz w:val="18"/>
          <w:szCs w:val="18"/>
          <w:lang w:val="es-ES_tradnl"/>
        </w:rPr>
        <w:t>n N.</w:t>
      </w:r>
      <w:r>
        <w:rPr>
          <w:rFonts w:cs="Times New Roman"/>
          <w:spacing w:val="-7"/>
          <w:sz w:val="18"/>
          <w:szCs w:val="18"/>
          <w:lang w:val="es-ES_tradnl"/>
        </w:rPr>
        <w:t>º</w:t>
      </w:r>
      <w:r>
        <w:rPr>
          <w:spacing w:val="-7"/>
          <w:sz w:val="18"/>
          <w:szCs w:val="18"/>
          <w:lang w:val="es-ES_tradnl"/>
        </w:rPr>
        <w:t xml:space="preserve"> 0022-12-AN, no </w:t>
      </w:r>
      <w:r>
        <w:rPr>
          <w:spacing w:val="-8"/>
          <w:sz w:val="18"/>
          <w:szCs w:val="18"/>
          <w:lang w:val="es-ES_tradnl"/>
        </w:rPr>
        <w:t xml:space="preserve">se ha presentado otra demanda con identidad de objeto y </w:t>
      </w:r>
      <w:r>
        <w:rPr>
          <w:sz w:val="18"/>
          <w:szCs w:val="18"/>
          <w:lang w:val="es-ES_tradnl"/>
        </w:rPr>
        <w:t>acci</w:t>
      </w:r>
      <w:r>
        <w:rPr>
          <w:rFonts w:cs="Times New Roman"/>
          <w:sz w:val="18"/>
          <w:szCs w:val="18"/>
          <w:lang w:val="es-ES_tradnl"/>
        </w:rPr>
        <w:t>ó</w:t>
      </w:r>
      <w:r>
        <w:rPr>
          <w:sz w:val="18"/>
          <w:szCs w:val="18"/>
          <w:lang w:val="es-ES_tradnl"/>
        </w:rPr>
        <w:t>n.</w:t>
      </w:r>
    </w:p>
    <w:p w14:paraId="4F67A461" w14:textId="77777777" w:rsidR="00591D54" w:rsidRDefault="00591D54">
      <w:pPr>
        <w:shd w:val="clear" w:color="auto" w:fill="FFFFFF"/>
        <w:spacing w:before="197" w:line="216" w:lineRule="exact"/>
        <w:jc w:val="both"/>
      </w:pPr>
      <w:r>
        <w:rPr>
          <w:spacing w:val="-7"/>
          <w:sz w:val="18"/>
          <w:szCs w:val="18"/>
          <w:lang w:val="es-ES_tradnl"/>
        </w:rPr>
        <w:t>Mediante providencia del 19 de septiembre de 2012 a las 10h27, la Sala de Admisi</w:t>
      </w:r>
      <w:r>
        <w:rPr>
          <w:rFonts w:cs="Times New Roman"/>
          <w:spacing w:val="-7"/>
          <w:sz w:val="18"/>
          <w:szCs w:val="18"/>
          <w:lang w:val="es-ES_tradnl"/>
        </w:rPr>
        <w:t>ó</w:t>
      </w:r>
      <w:r>
        <w:rPr>
          <w:spacing w:val="-7"/>
          <w:sz w:val="18"/>
          <w:szCs w:val="18"/>
          <w:lang w:val="es-ES_tradnl"/>
        </w:rPr>
        <w:t xml:space="preserve">n, conformada por los doctores </w:t>
      </w:r>
      <w:r>
        <w:rPr>
          <w:spacing w:val="-3"/>
          <w:sz w:val="18"/>
          <w:szCs w:val="18"/>
          <w:lang w:val="es-ES_tradnl"/>
        </w:rPr>
        <w:t xml:space="preserve">Alfonso Luz Yunes, Manuel Viteri Olvera y Nina Pacari </w:t>
      </w:r>
      <w:r>
        <w:rPr>
          <w:spacing w:val="-6"/>
          <w:sz w:val="18"/>
          <w:szCs w:val="18"/>
          <w:lang w:val="es-ES_tradnl"/>
        </w:rPr>
        <w:t>Vega, jueces constitucionales, del periodo de transici</w:t>
      </w:r>
      <w:r>
        <w:rPr>
          <w:rFonts w:cs="Times New Roman"/>
          <w:spacing w:val="-6"/>
          <w:sz w:val="18"/>
          <w:szCs w:val="18"/>
          <w:lang w:val="es-ES_tradnl"/>
        </w:rPr>
        <w:t>ó</w:t>
      </w:r>
      <w:r>
        <w:rPr>
          <w:spacing w:val="-6"/>
          <w:sz w:val="18"/>
          <w:szCs w:val="18"/>
          <w:lang w:val="es-ES_tradnl"/>
        </w:rPr>
        <w:t xml:space="preserve">n, </w:t>
      </w:r>
      <w:r>
        <w:rPr>
          <w:spacing w:val="-5"/>
          <w:sz w:val="18"/>
          <w:szCs w:val="18"/>
          <w:lang w:val="es-ES_tradnl"/>
        </w:rPr>
        <w:t>admiti</w:t>
      </w:r>
      <w:r>
        <w:rPr>
          <w:rFonts w:cs="Times New Roman"/>
          <w:spacing w:val="-5"/>
          <w:sz w:val="18"/>
          <w:szCs w:val="18"/>
          <w:lang w:val="es-ES_tradnl"/>
        </w:rPr>
        <w:t>ó</w:t>
      </w:r>
      <w:r>
        <w:rPr>
          <w:spacing w:val="-5"/>
          <w:sz w:val="18"/>
          <w:szCs w:val="18"/>
          <w:lang w:val="es-ES_tradnl"/>
        </w:rPr>
        <w:t xml:space="preserve"> la acci</w:t>
      </w:r>
      <w:r>
        <w:rPr>
          <w:rFonts w:cs="Times New Roman"/>
          <w:spacing w:val="-5"/>
          <w:sz w:val="18"/>
          <w:szCs w:val="18"/>
          <w:lang w:val="es-ES_tradnl"/>
        </w:rPr>
        <w:t>ó</w:t>
      </w:r>
      <w:r>
        <w:rPr>
          <w:spacing w:val="-5"/>
          <w:sz w:val="18"/>
          <w:szCs w:val="18"/>
          <w:lang w:val="es-ES_tradnl"/>
        </w:rPr>
        <w:t>n N.</w:t>
      </w:r>
      <w:r>
        <w:rPr>
          <w:rFonts w:cs="Times New Roman"/>
          <w:spacing w:val="-5"/>
          <w:sz w:val="18"/>
          <w:szCs w:val="18"/>
          <w:lang w:val="es-ES_tradnl"/>
        </w:rPr>
        <w:t>º</w:t>
      </w:r>
      <w:r>
        <w:rPr>
          <w:spacing w:val="-5"/>
          <w:sz w:val="18"/>
          <w:szCs w:val="18"/>
          <w:lang w:val="es-ES_tradnl"/>
        </w:rPr>
        <w:t xml:space="preserve"> 0022-12-AN, con el voto salvado de </w:t>
      </w:r>
      <w:r>
        <w:rPr>
          <w:sz w:val="18"/>
          <w:szCs w:val="18"/>
          <w:lang w:val="es-ES_tradnl"/>
        </w:rPr>
        <w:t>jueza Nina Pacari.</w:t>
      </w:r>
    </w:p>
    <w:p w14:paraId="4F67A462" w14:textId="77777777" w:rsidR="00591D54" w:rsidRDefault="00591D54">
      <w:pPr>
        <w:shd w:val="clear" w:color="auto" w:fill="FFFFFF"/>
        <w:spacing w:before="197" w:line="216" w:lineRule="exact"/>
        <w:ind w:right="5"/>
        <w:jc w:val="both"/>
      </w:pPr>
      <w:r>
        <w:rPr>
          <w:spacing w:val="-4"/>
          <w:sz w:val="18"/>
          <w:szCs w:val="18"/>
          <w:lang w:val="es-ES_tradnl"/>
        </w:rPr>
        <w:t xml:space="preserve">El 6 de noviembre de 2012, ante la Asamblea Nacional </w:t>
      </w:r>
      <w:r>
        <w:rPr>
          <w:spacing w:val="-9"/>
          <w:sz w:val="18"/>
          <w:szCs w:val="18"/>
          <w:lang w:val="es-ES_tradnl"/>
        </w:rPr>
        <w:t xml:space="preserve">del Ecuador, fueron posesionados los jueces de la primera </w:t>
      </w:r>
      <w:r>
        <w:rPr>
          <w:spacing w:val="-6"/>
          <w:sz w:val="18"/>
          <w:szCs w:val="18"/>
          <w:lang w:val="es-ES_tradnl"/>
        </w:rPr>
        <w:t>Corte Constitucional del Ecuador, integrada conforme lo dispuesto en los art</w:t>
      </w:r>
      <w:r>
        <w:rPr>
          <w:rFonts w:cs="Times New Roman"/>
          <w:spacing w:val="-6"/>
          <w:sz w:val="18"/>
          <w:szCs w:val="18"/>
          <w:lang w:val="es-ES_tradnl"/>
        </w:rPr>
        <w:t>í</w:t>
      </w:r>
      <w:r>
        <w:rPr>
          <w:spacing w:val="-6"/>
          <w:sz w:val="18"/>
          <w:szCs w:val="18"/>
          <w:lang w:val="es-ES_tradnl"/>
        </w:rPr>
        <w:t>culos 432 y 434 de la Constituci</w:t>
      </w:r>
      <w:r>
        <w:rPr>
          <w:rFonts w:cs="Times New Roman"/>
          <w:spacing w:val="-6"/>
          <w:sz w:val="18"/>
          <w:szCs w:val="18"/>
          <w:lang w:val="es-ES_tradnl"/>
        </w:rPr>
        <w:t>ó</w:t>
      </w:r>
      <w:r>
        <w:rPr>
          <w:spacing w:val="-6"/>
          <w:sz w:val="18"/>
          <w:szCs w:val="18"/>
          <w:lang w:val="es-ES_tradnl"/>
        </w:rPr>
        <w:t xml:space="preserve">n de </w:t>
      </w:r>
      <w:r>
        <w:rPr>
          <w:sz w:val="18"/>
          <w:szCs w:val="18"/>
          <w:lang w:val="es-ES_tradnl"/>
        </w:rPr>
        <w:t>la Rep</w:t>
      </w:r>
      <w:r>
        <w:rPr>
          <w:rFonts w:cs="Times New Roman"/>
          <w:sz w:val="18"/>
          <w:szCs w:val="18"/>
          <w:lang w:val="es-ES_tradnl"/>
        </w:rPr>
        <w:t>ú</w:t>
      </w:r>
      <w:r>
        <w:rPr>
          <w:sz w:val="18"/>
          <w:szCs w:val="18"/>
          <w:lang w:val="es-ES_tradnl"/>
        </w:rPr>
        <w:t>blica.</w:t>
      </w:r>
    </w:p>
    <w:p w14:paraId="4F67A463" w14:textId="77777777" w:rsidR="00591D54" w:rsidRDefault="00591D54">
      <w:pPr>
        <w:shd w:val="clear" w:color="auto" w:fill="FFFFFF"/>
        <w:spacing w:before="192" w:line="216" w:lineRule="exact"/>
        <w:jc w:val="both"/>
      </w:pPr>
      <w:r>
        <w:rPr>
          <w:spacing w:val="-6"/>
          <w:sz w:val="18"/>
          <w:szCs w:val="18"/>
          <w:lang w:val="es-ES_tradnl"/>
        </w:rPr>
        <w:t xml:space="preserve">Una vez posesionada la primera Corte Constitucional del </w:t>
      </w:r>
      <w:r>
        <w:rPr>
          <w:spacing w:val="-8"/>
          <w:sz w:val="18"/>
          <w:szCs w:val="18"/>
          <w:lang w:val="es-ES_tradnl"/>
        </w:rPr>
        <w:t>Ecuador se sorte</w:t>
      </w:r>
      <w:r>
        <w:rPr>
          <w:rFonts w:cs="Times New Roman"/>
          <w:spacing w:val="-8"/>
          <w:sz w:val="18"/>
          <w:szCs w:val="18"/>
          <w:lang w:val="es-ES_tradnl"/>
        </w:rPr>
        <w:t>ó</w:t>
      </w:r>
      <w:r>
        <w:rPr>
          <w:spacing w:val="-8"/>
          <w:sz w:val="18"/>
          <w:szCs w:val="18"/>
          <w:lang w:val="es-ES_tradnl"/>
        </w:rPr>
        <w:t xml:space="preserve"> una vez m</w:t>
      </w:r>
      <w:r>
        <w:rPr>
          <w:rFonts w:cs="Times New Roman"/>
          <w:spacing w:val="-8"/>
          <w:sz w:val="18"/>
          <w:szCs w:val="18"/>
          <w:lang w:val="es-ES_tradnl"/>
        </w:rPr>
        <w:t>á</w:t>
      </w:r>
      <w:r>
        <w:rPr>
          <w:spacing w:val="-8"/>
          <w:sz w:val="18"/>
          <w:szCs w:val="18"/>
          <w:lang w:val="es-ES_tradnl"/>
        </w:rPr>
        <w:t xml:space="preserve">s la causa, correspondiendo </w:t>
      </w:r>
      <w:r>
        <w:rPr>
          <w:spacing w:val="-7"/>
          <w:sz w:val="18"/>
          <w:szCs w:val="18"/>
          <w:lang w:val="es-ES_tradnl"/>
        </w:rPr>
        <w:t>la sustanciaci</w:t>
      </w:r>
      <w:r>
        <w:rPr>
          <w:rFonts w:cs="Times New Roman"/>
          <w:spacing w:val="-7"/>
          <w:sz w:val="18"/>
          <w:szCs w:val="18"/>
          <w:lang w:val="es-ES_tradnl"/>
        </w:rPr>
        <w:t>ó</w:t>
      </w:r>
      <w:r>
        <w:rPr>
          <w:spacing w:val="-7"/>
          <w:sz w:val="18"/>
          <w:szCs w:val="18"/>
          <w:lang w:val="es-ES_tradnl"/>
        </w:rPr>
        <w:t xml:space="preserve">n de la misma al juez constitucional Manuel </w:t>
      </w:r>
      <w:r>
        <w:rPr>
          <w:spacing w:val="-5"/>
          <w:sz w:val="18"/>
          <w:szCs w:val="18"/>
          <w:lang w:val="es-ES_tradnl"/>
        </w:rPr>
        <w:t>Viteri Olvera, quien avoc</w:t>
      </w:r>
      <w:r>
        <w:rPr>
          <w:rFonts w:cs="Times New Roman"/>
          <w:spacing w:val="-5"/>
          <w:sz w:val="18"/>
          <w:szCs w:val="18"/>
          <w:lang w:val="es-ES_tradnl"/>
        </w:rPr>
        <w:t>ó</w:t>
      </w:r>
      <w:r>
        <w:rPr>
          <w:spacing w:val="-5"/>
          <w:sz w:val="18"/>
          <w:szCs w:val="18"/>
          <w:lang w:val="es-ES_tradnl"/>
        </w:rPr>
        <w:t xml:space="preserve"> conocimiento de la presente </w:t>
      </w:r>
      <w:r>
        <w:rPr>
          <w:spacing w:val="-7"/>
          <w:sz w:val="18"/>
          <w:szCs w:val="18"/>
          <w:lang w:val="es-ES_tradnl"/>
        </w:rPr>
        <w:t>acci</w:t>
      </w:r>
      <w:r>
        <w:rPr>
          <w:rFonts w:cs="Times New Roman"/>
          <w:spacing w:val="-7"/>
          <w:sz w:val="18"/>
          <w:szCs w:val="18"/>
          <w:lang w:val="es-ES_tradnl"/>
        </w:rPr>
        <w:t>ó</w:t>
      </w:r>
      <w:r>
        <w:rPr>
          <w:spacing w:val="-7"/>
          <w:sz w:val="18"/>
          <w:szCs w:val="18"/>
          <w:lang w:val="es-ES_tradnl"/>
        </w:rPr>
        <w:t xml:space="preserve">n mediante providencia del 29 de octubre del 2013 a </w:t>
      </w:r>
      <w:r>
        <w:rPr>
          <w:spacing w:val="-6"/>
          <w:sz w:val="18"/>
          <w:szCs w:val="18"/>
          <w:lang w:val="es-ES_tradnl"/>
        </w:rPr>
        <w:t>las 15h25, y dispuso el desarrollo de la audiencia p</w:t>
      </w:r>
      <w:r>
        <w:rPr>
          <w:rFonts w:cs="Times New Roman"/>
          <w:spacing w:val="-6"/>
          <w:sz w:val="18"/>
          <w:szCs w:val="18"/>
          <w:lang w:val="es-ES_tradnl"/>
        </w:rPr>
        <w:t>ú</w:t>
      </w:r>
      <w:r>
        <w:rPr>
          <w:spacing w:val="-6"/>
          <w:sz w:val="18"/>
          <w:szCs w:val="18"/>
          <w:lang w:val="es-ES_tradnl"/>
        </w:rPr>
        <w:t xml:space="preserve">blica </w:t>
      </w:r>
      <w:r>
        <w:rPr>
          <w:spacing w:val="-8"/>
          <w:sz w:val="18"/>
          <w:szCs w:val="18"/>
          <w:lang w:val="es-ES_tradnl"/>
        </w:rPr>
        <w:t>para el d</w:t>
      </w:r>
      <w:r>
        <w:rPr>
          <w:rFonts w:cs="Times New Roman"/>
          <w:spacing w:val="-8"/>
          <w:sz w:val="18"/>
          <w:szCs w:val="18"/>
          <w:lang w:val="es-ES_tradnl"/>
        </w:rPr>
        <w:t>í</w:t>
      </w:r>
      <w:r>
        <w:rPr>
          <w:spacing w:val="-8"/>
          <w:sz w:val="18"/>
          <w:szCs w:val="18"/>
          <w:lang w:val="es-ES_tradnl"/>
        </w:rPr>
        <w:t>a martes 12 de noviembre del 2013 a las 11h00.</w:t>
      </w:r>
    </w:p>
    <w:p w14:paraId="4F67A464" w14:textId="77777777" w:rsidR="00591D54" w:rsidRDefault="00591D54">
      <w:pPr>
        <w:shd w:val="clear" w:color="auto" w:fill="FFFFFF"/>
        <w:spacing w:before="192"/>
      </w:pPr>
      <w:r>
        <w:rPr>
          <w:b/>
          <w:bCs/>
          <w:spacing w:val="-10"/>
          <w:sz w:val="18"/>
          <w:szCs w:val="18"/>
          <w:lang w:val="es-ES_tradnl"/>
        </w:rPr>
        <w:t>Normas cuyo cumplimiento se demanda</w:t>
      </w:r>
    </w:p>
    <w:p w14:paraId="4F67A465" w14:textId="77777777" w:rsidR="00591D54" w:rsidRDefault="00591D54">
      <w:pPr>
        <w:shd w:val="clear" w:color="auto" w:fill="FFFFFF"/>
        <w:spacing w:before="192" w:line="216" w:lineRule="exact"/>
        <w:ind w:right="5"/>
        <w:jc w:val="both"/>
      </w:pPr>
      <w:r>
        <w:rPr>
          <w:spacing w:val="-5"/>
          <w:sz w:val="18"/>
          <w:szCs w:val="18"/>
          <w:lang w:val="es-ES_tradnl"/>
        </w:rPr>
        <w:t>La acci</w:t>
      </w:r>
      <w:r>
        <w:rPr>
          <w:rFonts w:cs="Times New Roman"/>
          <w:spacing w:val="-5"/>
          <w:sz w:val="18"/>
          <w:szCs w:val="18"/>
          <w:lang w:val="es-ES_tradnl"/>
        </w:rPr>
        <w:t>ó</w:t>
      </w:r>
      <w:r>
        <w:rPr>
          <w:spacing w:val="-5"/>
          <w:sz w:val="18"/>
          <w:szCs w:val="18"/>
          <w:lang w:val="es-ES_tradnl"/>
        </w:rPr>
        <w:t xml:space="preserve">n por incumplimiento de normas, propuesta por </w:t>
      </w:r>
      <w:r>
        <w:rPr>
          <w:spacing w:val="-4"/>
          <w:sz w:val="18"/>
          <w:szCs w:val="18"/>
          <w:lang w:val="es-ES_tradnl"/>
        </w:rPr>
        <w:t>Mireya Nataly Caiza Rivera, tiene como pretensi</w:t>
      </w:r>
      <w:r>
        <w:rPr>
          <w:rFonts w:cs="Times New Roman"/>
          <w:spacing w:val="-4"/>
          <w:sz w:val="18"/>
          <w:szCs w:val="18"/>
          <w:lang w:val="es-ES_tradnl"/>
        </w:rPr>
        <w:t>ó</w:t>
      </w:r>
      <w:r>
        <w:rPr>
          <w:spacing w:val="-4"/>
          <w:sz w:val="18"/>
          <w:szCs w:val="18"/>
          <w:lang w:val="es-ES_tradnl"/>
        </w:rPr>
        <w:t xml:space="preserve">n el </w:t>
      </w:r>
      <w:r>
        <w:rPr>
          <w:spacing w:val="-7"/>
          <w:sz w:val="18"/>
          <w:szCs w:val="18"/>
          <w:lang w:val="es-ES_tradnl"/>
        </w:rPr>
        <w:t xml:space="preserve">cumplimiento de las siguientes normas previstas en el </w:t>
      </w:r>
      <w:r>
        <w:rPr>
          <w:spacing w:val="-4"/>
          <w:sz w:val="18"/>
          <w:szCs w:val="18"/>
          <w:lang w:val="es-ES_tradnl"/>
        </w:rPr>
        <w:t xml:space="preserve">Reglamento Disciplinario para la Escuela Superior de </w:t>
      </w:r>
      <w:r>
        <w:rPr>
          <w:spacing w:val="-6"/>
          <w:sz w:val="18"/>
          <w:szCs w:val="18"/>
          <w:lang w:val="es-ES_tradnl"/>
        </w:rPr>
        <w:t>Polic</w:t>
      </w:r>
      <w:r>
        <w:rPr>
          <w:rFonts w:cs="Times New Roman"/>
          <w:spacing w:val="-6"/>
          <w:sz w:val="18"/>
          <w:szCs w:val="18"/>
          <w:lang w:val="es-ES_tradnl"/>
        </w:rPr>
        <w:t>í</w:t>
      </w:r>
      <w:r>
        <w:rPr>
          <w:spacing w:val="-6"/>
          <w:sz w:val="18"/>
          <w:szCs w:val="18"/>
          <w:lang w:val="es-ES_tradnl"/>
        </w:rPr>
        <w:t>a Alberto Enr</w:t>
      </w:r>
      <w:r>
        <w:rPr>
          <w:rFonts w:cs="Times New Roman"/>
          <w:spacing w:val="-6"/>
          <w:sz w:val="18"/>
          <w:szCs w:val="18"/>
          <w:lang w:val="es-ES_tradnl"/>
        </w:rPr>
        <w:t>í</w:t>
      </w:r>
      <w:r>
        <w:rPr>
          <w:spacing w:val="-6"/>
          <w:sz w:val="18"/>
          <w:szCs w:val="18"/>
          <w:lang w:val="es-ES_tradnl"/>
        </w:rPr>
        <w:t>quez Gallo, espec</w:t>
      </w:r>
      <w:r>
        <w:rPr>
          <w:rFonts w:cs="Times New Roman"/>
          <w:spacing w:val="-6"/>
          <w:sz w:val="18"/>
          <w:szCs w:val="18"/>
          <w:lang w:val="es-ES_tradnl"/>
        </w:rPr>
        <w:t>í</w:t>
      </w:r>
      <w:r>
        <w:rPr>
          <w:spacing w:val="-6"/>
          <w:sz w:val="18"/>
          <w:szCs w:val="18"/>
          <w:lang w:val="es-ES_tradnl"/>
        </w:rPr>
        <w:t xml:space="preserve">ficamente respecto </w:t>
      </w:r>
      <w:r>
        <w:rPr>
          <w:sz w:val="18"/>
          <w:szCs w:val="18"/>
          <w:lang w:val="es-ES_tradnl"/>
        </w:rPr>
        <w:t>de los art</w:t>
      </w:r>
      <w:r>
        <w:rPr>
          <w:rFonts w:cs="Times New Roman"/>
          <w:sz w:val="18"/>
          <w:szCs w:val="18"/>
          <w:lang w:val="es-ES_tradnl"/>
        </w:rPr>
        <w:t>í</w:t>
      </w:r>
      <w:r>
        <w:rPr>
          <w:sz w:val="18"/>
          <w:szCs w:val="18"/>
          <w:lang w:val="es-ES_tradnl"/>
        </w:rPr>
        <w:t>culos:</w:t>
      </w:r>
    </w:p>
    <w:p w14:paraId="4F67A466" w14:textId="77777777" w:rsidR="00591D54" w:rsidRDefault="00591D54">
      <w:pPr>
        <w:shd w:val="clear" w:color="auto" w:fill="FFFFFF"/>
        <w:spacing w:before="202" w:line="216" w:lineRule="exact"/>
        <w:ind w:left="283"/>
        <w:jc w:val="both"/>
      </w:pPr>
      <w:r>
        <w:rPr>
          <w:spacing w:val="-5"/>
          <w:sz w:val="16"/>
          <w:szCs w:val="16"/>
          <w:lang w:val="es-ES_tradnl"/>
        </w:rPr>
        <w:t xml:space="preserve">Art 11: </w:t>
      </w:r>
      <w:r>
        <w:rPr>
          <w:rFonts w:cs="Times New Roman"/>
          <w:spacing w:val="-5"/>
          <w:sz w:val="16"/>
          <w:szCs w:val="16"/>
          <w:lang w:val="es-ES_tradnl"/>
        </w:rPr>
        <w:t>“</w:t>
      </w:r>
      <w:r>
        <w:rPr>
          <w:spacing w:val="-5"/>
          <w:sz w:val="16"/>
          <w:szCs w:val="16"/>
          <w:lang w:val="es-ES_tradnl"/>
        </w:rPr>
        <w:t>Ning</w:t>
      </w:r>
      <w:r>
        <w:rPr>
          <w:rFonts w:cs="Times New Roman"/>
          <w:spacing w:val="-5"/>
          <w:sz w:val="16"/>
          <w:szCs w:val="16"/>
          <w:lang w:val="es-ES_tradnl"/>
        </w:rPr>
        <w:t>ú</w:t>
      </w:r>
      <w:r>
        <w:rPr>
          <w:spacing w:val="-5"/>
          <w:sz w:val="16"/>
          <w:szCs w:val="16"/>
          <w:lang w:val="es-ES_tradnl"/>
        </w:rPr>
        <w:t>n cadete podr</w:t>
      </w:r>
      <w:r>
        <w:rPr>
          <w:rFonts w:cs="Times New Roman"/>
          <w:spacing w:val="-5"/>
          <w:sz w:val="16"/>
          <w:szCs w:val="16"/>
          <w:lang w:val="es-ES_tradnl"/>
        </w:rPr>
        <w:t>á</w:t>
      </w:r>
      <w:r>
        <w:rPr>
          <w:spacing w:val="-5"/>
          <w:sz w:val="16"/>
          <w:szCs w:val="16"/>
          <w:lang w:val="es-ES_tradnl"/>
        </w:rPr>
        <w:t xml:space="preserve"> ser sancionado por un acto </w:t>
      </w:r>
      <w:r>
        <w:rPr>
          <w:spacing w:val="-4"/>
          <w:sz w:val="16"/>
          <w:szCs w:val="16"/>
          <w:lang w:val="es-ES_tradnl"/>
        </w:rPr>
        <w:t xml:space="preserve">previsto como falta disciplinaria, sino es el resultado de su </w:t>
      </w:r>
      <w:r>
        <w:rPr>
          <w:sz w:val="16"/>
          <w:szCs w:val="16"/>
          <w:lang w:val="es-ES_tradnl"/>
        </w:rPr>
        <w:t>acci</w:t>
      </w:r>
      <w:r>
        <w:rPr>
          <w:rFonts w:cs="Times New Roman"/>
          <w:sz w:val="16"/>
          <w:szCs w:val="16"/>
          <w:lang w:val="es-ES_tradnl"/>
        </w:rPr>
        <w:t>ó</w:t>
      </w:r>
      <w:r>
        <w:rPr>
          <w:sz w:val="16"/>
          <w:szCs w:val="16"/>
          <w:lang w:val="es-ES_tradnl"/>
        </w:rPr>
        <w:t>n o omisi</w:t>
      </w:r>
      <w:r>
        <w:rPr>
          <w:rFonts w:cs="Times New Roman"/>
          <w:sz w:val="16"/>
          <w:szCs w:val="16"/>
          <w:lang w:val="es-ES_tradnl"/>
        </w:rPr>
        <w:t>ó</w:t>
      </w:r>
      <w:r>
        <w:rPr>
          <w:sz w:val="16"/>
          <w:szCs w:val="16"/>
          <w:lang w:val="es-ES_tradnl"/>
        </w:rPr>
        <w:t>n</w:t>
      </w:r>
      <w:r>
        <w:rPr>
          <w:rFonts w:cs="Times New Roman"/>
          <w:sz w:val="16"/>
          <w:szCs w:val="16"/>
          <w:lang w:val="es-ES_tradnl"/>
        </w:rPr>
        <w:t>”</w:t>
      </w:r>
    </w:p>
    <w:p w14:paraId="4F67A467" w14:textId="77777777" w:rsidR="00591D54" w:rsidRDefault="00591D54">
      <w:pPr>
        <w:shd w:val="clear" w:color="auto" w:fill="FFFFFF"/>
        <w:spacing w:before="211" w:line="216" w:lineRule="exact"/>
        <w:ind w:left="283"/>
        <w:jc w:val="both"/>
      </w:pPr>
      <w:r>
        <w:rPr>
          <w:spacing w:val="-6"/>
          <w:sz w:val="16"/>
          <w:szCs w:val="16"/>
          <w:lang w:val="es-ES_tradnl"/>
        </w:rPr>
        <w:t xml:space="preserve">Art 37: </w:t>
      </w:r>
      <w:r>
        <w:rPr>
          <w:rFonts w:cs="Times New Roman"/>
          <w:spacing w:val="-6"/>
          <w:sz w:val="16"/>
          <w:szCs w:val="16"/>
          <w:lang w:val="es-ES_tradnl"/>
        </w:rPr>
        <w:t>“</w:t>
      </w:r>
      <w:r>
        <w:rPr>
          <w:spacing w:val="-6"/>
          <w:sz w:val="16"/>
          <w:szCs w:val="16"/>
          <w:lang w:val="es-ES_tradnl"/>
        </w:rPr>
        <w:t>Se proh</w:t>
      </w:r>
      <w:r>
        <w:rPr>
          <w:rFonts w:cs="Times New Roman"/>
          <w:spacing w:val="-6"/>
          <w:sz w:val="16"/>
          <w:szCs w:val="16"/>
          <w:lang w:val="es-ES_tradnl"/>
        </w:rPr>
        <w:t>í</w:t>
      </w:r>
      <w:r>
        <w:rPr>
          <w:spacing w:val="-6"/>
          <w:sz w:val="16"/>
          <w:szCs w:val="16"/>
          <w:lang w:val="es-ES_tradnl"/>
        </w:rPr>
        <w:t xml:space="preserve">be a todo superior que aplique sanciones </w:t>
      </w:r>
      <w:r>
        <w:rPr>
          <w:spacing w:val="-8"/>
          <w:sz w:val="16"/>
          <w:szCs w:val="16"/>
          <w:lang w:val="es-ES_tradnl"/>
        </w:rPr>
        <w:t xml:space="preserve">excesivas, infundadas o no determinadas en este Reglamento; </w:t>
      </w:r>
      <w:r>
        <w:rPr>
          <w:spacing w:val="-5"/>
          <w:sz w:val="16"/>
          <w:szCs w:val="16"/>
          <w:lang w:val="es-ES_tradnl"/>
        </w:rPr>
        <w:t>de igual manera no podr</w:t>
      </w:r>
      <w:r>
        <w:rPr>
          <w:rFonts w:cs="Times New Roman"/>
          <w:spacing w:val="-5"/>
          <w:sz w:val="16"/>
          <w:szCs w:val="16"/>
          <w:lang w:val="es-ES_tradnl"/>
        </w:rPr>
        <w:t>á</w:t>
      </w:r>
      <w:r>
        <w:rPr>
          <w:spacing w:val="-5"/>
          <w:sz w:val="16"/>
          <w:szCs w:val="16"/>
          <w:lang w:val="es-ES_tradnl"/>
        </w:rPr>
        <w:t xml:space="preserve"> proferir expresiones injuriosas o </w:t>
      </w:r>
      <w:r>
        <w:rPr>
          <w:spacing w:val="-7"/>
          <w:sz w:val="16"/>
          <w:szCs w:val="16"/>
          <w:lang w:val="es-ES_tradnl"/>
        </w:rPr>
        <w:t>asumir actitudes denigrantes para con sus subordinados.</w:t>
      </w:r>
      <w:r>
        <w:rPr>
          <w:rFonts w:cs="Times New Roman"/>
          <w:spacing w:val="-7"/>
          <w:sz w:val="16"/>
          <w:szCs w:val="16"/>
          <w:lang w:val="es-ES_tradnl"/>
        </w:rPr>
        <w:t>”</w:t>
      </w:r>
    </w:p>
    <w:p w14:paraId="4F67A468" w14:textId="77777777" w:rsidR="00591D54" w:rsidRDefault="00591D54">
      <w:pPr>
        <w:shd w:val="clear" w:color="auto" w:fill="FFFFFF"/>
        <w:spacing w:before="211" w:line="216" w:lineRule="exact"/>
        <w:ind w:left="283"/>
        <w:jc w:val="both"/>
      </w:pPr>
      <w:r>
        <w:rPr>
          <w:spacing w:val="-4"/>
          <w:sz w:val="16"/>
          <w:szCs w:val="16"/>
          <w:lang w:val="es-ES_tradnl"/>
        </w:rPr>
        <w:t xml:space="preserve">Art 66: </w:t>
      </w:r>
      <w:r>
        <w:rPr>
          <w:rFonts w:cs="Times New Roman"/>
          <w:spacing w:val="-4"/>
          <w:sz w:val="16"/>
          <w:szCs w:val="16"/>
          <w:lang w:val="es-ES_tradnl"/>
        </w:rPr>
        <w:t>“</w:t>
      </w:r>
      <w:r>
        <w:rPr>
          <w:spacing w:val="-4"/>
          <w:sz w:val="16"/>
          <w:szCs w:val="16"/>
          <w:lang w:val="es-ES_tradnl"/>
        </w:rPr>
        <w:t xml:space="preserve">Una misma falta no puede ser reprimida por dos </w:t>
      </w:r>
      <w:r>
        <w:rPr>
          <w:spacing w:val="-6"/>
          <w:sz w:val="16"/>
          <w:szCs w:val="16"/>
          <w:lang w:val="es-ES_tradnl"/>
        </w:rPr>
        <w:t>superiores a la vez, ni con, ni con dos penas distintas</w:t>
      </w:r>
      <w:r>
        <w:rPr>
          <w:rFonts w:cs="Times New Roman"/>
          <w:spacing w:val="-6"/>
          <w:sz w:val="16"/>
          <w:szCs w:val="16"/>
          <w:lang w:val="es-ES_tradnl"/>
        </w:rPr>
        <w:t>”</w:t>
      </w:r>
    </w:p>
    <w:p w14:paraId="4F67A469" w14:textId="77777777" w:rsidR="00591D54" w:rsidRDefault="00591D54">
      <w:pPr>
        <w:shd w:val="clear" w:color="auto" w:fill="FFFFFF"/>
        <w:spacing w:before="211" w:line="216" w:lineRule="exact"/>
        <w:ind w:left="283" w:right="5"/>
        <w:jc w:val="both"/>
      </w:pPr>
      <w:r>
        <w:rPr>
          <w:spacing w:val="-8"/>
          <w:sz w:val="16"/>
          <w:szCs w:val="16"/>
          <w:lang w:val="es-ES_tradnl"/>
        </w:rPr>
        <w:t xml:space="preserve">Art. 68: </w:t>
      </w:r>
      <w:r>
        <w:rPr>
          <w:rFonts w:cs="Times New Roman"/>
          <w:spacing w:val="-8"/>
          <w:sz w:val="16"/>
          <w:szCs w:val="16"/>
          <w:lang w:val="es-ES_tradnl"/>
        </w:rPr>
        <w:t>“</w:t>
      </w:r>
      <w:r>
        <w:rPr>
          <w:spacing w:val="-8"/>
          <w:sz w:val="16"/>
          <w:szCs w:val="16"/>
          <w:lang w:val="es-ES_tradnl"/>
        </w:rPr>
        <w:t>Cuando una misma acci</w:t>
      </w:r>
      <w:r>
        <w:rPr>
          <w:rFonts w:cs="Times New Roman"/>
          <w:spacing w:val="-8"/>
          <w:sz w:val="16"/>
          <w:szCs w:val="16"/>
          <w:lang w:val="es-ES_tradnl"/>
        </w:rPr>
        <w:t>ó</w:t>
      </w:r>
      <w:r>
        <w:rPr>
          <w:spacing w:val="-8"/>
          <w:sz w:val="16"/>
          <w:szCs w:val="16"/>
          <w:lang w:val="es-ES_tradnl"/>
        </w:rPr>
        <w:t>n u omisi</w:t>
      </w:r>
      <w:r>
        <w:rPr>
          <w:rFonts w:cs="Times New Roman"/>
          <w:spacing w:val="-8"/>
          <w:sz w:val="16"/>
          <w:szCs w:val="16"/>
          <w:lang w:val="es-ES_tradnl"/>
        </w:rPr>
        <w:t>ó</w:t>
      </w:r>
      <w:r>
        <w:rPr>
          <w:spacing w:val="-8"/>
          <w:sz w:val="16"/>
          <w:szCs w:val="16"/>
          <w:lang w:val="es-ES_tradnl"/>
        </w:rPr>
        <w:t>n constituya dos o m</w:t>
      </w:r>
      <w:r>
        <w:rPr>
          <w:rFonts w:cs="Times New Roman"/>
          <w:spacing w:val="-8"/>
          <w:sz w:val="16"/>
          <w:szCs w:val="16"/>
          <w:lang w:val="es-ES_tradnl"/>
        </w:rPr>
        <w:t>á</w:t>
      </w:r>
      <w:r>
        <w:rPr>
          <w:spacing w:val="-8"/>
          <w:sz w:val="16"/>
          <w:szCs w:val="16"/>
          <w:lang w:val="es-ES_tradnl"/>
        </w:rPr>
        <w:t>s faltas se aplicar</w:t>
      </w:r>
      <w:r>
        <w:rPr>
          <w:rFonts w:cs="Times New Roman"/>
          <w:spacing w:val="-8"/>
          <w:sz w:val="16"/>
          <w:szCs w:val="16"/>
          <w:lang w:val="es-ES_tradnl"/>
        </w:rPr>
        <w:t>á</w:t>
      </w:r>
      <w:r>
        <w:rPr>
          <w:spacing w:val="-8"/>
          <w:sz w:val="16"/>
          <w:szCs w:val="16"/>
          <w:lang w:val="es-ES_tradnl"/>
        </w:rPr>
        <w:t xml:space="preserve"> la pena mayor. En caso de concurrencia </w:t>
      </w:r>
      <w:r>
        <w:rPr>
          <w:spacing w:val="-9"/>
          <w:sz w:val="16"/>
          <w:szCs w:val="16"/>
          <w:lang w:val="es-ES_tradnl"/>
        </w:rPr>
        <w:t>de dos o m</w:t>
      </w:r>
      <w:r>
        <w:rPr>
          <w:rFonts w:cs="Times New Roman"/>
          <w:spacing w:val="-9"/>
          <w:sz w:val="16"/>
          <w:szCs w:val="16"/>
          <w:lang w:val="es-ES_tradnl"/>
        </w:rPr>
        <w:t>á</w:t>
      </w:r>
      <w:r>
        <w:rPr>
          <w:spacing w:val="-9"/>
          <w:sz w:val="16"/>
          <w:szCs w:val="16"/>
          <w:lang w:val="es-ES_tradnl"/>
        </w:rPr>
        <w:t>s faltas se acumular</w:t>
      </w:r>
      <w:r>
        <w:rPr>
          <w:rFonts w:cs="Times New Roman"/>
          <w:spacing w:val="-9"/>
          <w:sz w:val="16"/>
          <w:szCs w:val="16"/>
          <w:lang w:val="es-ES_tradnl"/>
        </w:rPr>
        <w:t>á</w:t>
      </w:r>
      <w:r>
        <w:rPr>
          <w:spacing w:val="-9"/>
          <w:sz w:val="16"/>
          <w:szCs w:val="16"/>
          <w:lang w:val="es-ES_tradnl"/>
        </w:rPr>
        <w:t>n todas las penas merecidas por el inculpado; pero no podr</w:t>
      </w:r>
      <w:r>
        <w:rPr>
          <w:rFonts w:cs="Times New Roman"/>
          <w:spacing w:val="-9"/>
          <w:sz w:val="16"/>
          <w:szCs w:val="16"/>
          <w:lang w:val="es-ES_tradnl"/>
        </w:rPr>
        <w:t>á</w:t>
      </w:r>
      <w:r>
        <w:rPr>
          <w:spacing w:val="-9"/>
          <w:sz w:val="16"/>
          <w:szCs w:val="16"/>
          <w:lang w:val="es-ES_tradnl"/>
        </w:rPr>
        <w:t xml:space="preserve"> exceder del m</w:t>
      </w:r>
      <w:r>
        <w:rPr>
          <w:rFonts w:cs="Times New Roman"/>
          <w:spacing w:val="-9"/>
          <w:sz w:val="16"/>
          <w:szCs w:val="16"/>
          <w:lang w:val="es-ES_tradnl"/>
        </w:rPr>
        <w:t>á</w:t>
      </w:r>
      <w:r>
        <w:rPr>
          <w:spacing w:val="-9"/>
          <w:sz w:val="16"/>
          <w:szCs w:val="16"/>
          <w:lang w:val="es-ES_tradnl"/>
        </w:rPr>
        <w:t xml:space="preserve">ximo de la pena </w:t>
      </w:r>
      <w:r>
        <w:rPr>
          <w:sz w:val="16"/>
          <w:szCs w:val="16"/>
          <w:lang w:val="es-ES_tradnl"/>
        </w:rPr>
        <w:t>disciplinaria.</w:t>
      </w:r>
      <w:r>
        <w:rPr>
          <w:rFonts w:cs="Times New Roman"/>
          <w:sz w:val="16"/>
          <w:szCs w:val="16"/>
          <w:lang w:val="es-ES_tradnl"/>
        </w:rPr>
        <w:t>”</w:t>
      </w:r>
    </w:p>
    <w:p w14:paraId="4F67A46A" w14:textId="77777777" w:rsidR="00591D54" w:rsidRDefault="00591D54">
      <w:pPr>
        <w:shd w:val="clear" w:color="auto" w:fill="FFFFFF"/>
        <w:spacing w:before="197"/>
      </w:pPr>
      <w:r>
        <w:rPr>
          <w:b/>
          <w:bCs/>
          <w:spacing w:val="-10"/>
          <w:sz w:val="18"/>
          <w:szCs w:val="18"/>
          <w:lang w:val="es-ES_tradnl"/>
        </w:rPr>
        <w:t>Fundamentos y pretensi</w:t>
      </w:r>
      <w:r>
        <w:rPr>
          <w:rFonts w:cs="Times New Roman"/>
          <w:b/>
          <w:bCs/>
          <w:spacing w:val="-10"/>
          <w:sz w:val="18"/>
          <w:szCs w:val="18"/>
          <w:lang w:val="es-ES_tradnl"/>
        </w:rPr>
        <w:t>ó</w:t>
      </w:r>
      <w:r>
        <w:rPr>
          <w:b/>
          <w:bCs/>
          <w:spacing w:val="-10"/>
          <w:sz w:val="18"/>
          <w:szCs w:val="18"/>
          <w:lang w:val="es-ES_tradnl"/>
        </w:rPr>
        <w:t>n de la demanda</w:t>
      </w:r>
    </w:p>
    <w:p w14:paraId="4F67A46B" w14:textId="77777777" w:rsidR="00591D54" w:rsidRDefault="00591D54">
      <w:pPr>
        <w:shd w:val="clear" w:color="auto" w:fill="FFFFFF"/>
        <w:spacing w:before="197" w:line="216" w:lineRule="exact"/>
        <w:jc w:val="both"/>
      </w:pPr>
      <w:r>
        <w:rPr>
          <w:spacing w:val="-6"/>
          <w:sz w:val="18"/>
          <w:szCs w:val="18"/>
          <w:lang w:val="es-ES_tradnl"/>
        </w:rPr>
        <w:t>La accionante, Mireya Nataly Caiza Rivera, se</w:t>
      </w:r>
      <w:r>
        <w:rPr>
          <w:rFonts w:cs="Times New Roman"/>
          <w:spacing w:val="-6"/>
          <w:sz w:val="18"/>
          <w:szCs w:val="18"/>
          <w:lang w:val="es-ES_tradnl"/>
        </w:rPr>
        <w:t>ñ</w:t>
      </w:r>
      <w:r>
        <w:rPr>
          <w:spacing w:val="-6"/>
          <w:sz w:val="18"/>
          <w:szCs w:val="18"/>
          <w:lang w:val="es-ES_tradnl"/>
        </w:rPr>
        <w:t>al</w:t>
      </w:r>
      <w:r>
        <w:rPr>
          <w:rFonts w:cs="Times New Roman"/>
          <w:spacing w:val="-6"/>
          <w:sz w:val="18"/>
          <w:szCs w:val="18"/>
          <w:lang w:val="es-ES_tradnl"/>
        </w:rPr>
        <w:t>ó</w:t>
      </w:r>
      <w:r>
        <w:rPr>
          <w:spacing w:val="-6"/>
          <w:sz w:val="18"/>
          <w:szCs w:val="18"/>
          <w:lang w:val="es-ES_tradnl"/>
        </w:rPr>
        <w:t xml:space="preserve"> que el </w:t>
      </w:r>
      <w:r>
        <w:rPr>
          <w:spacing w:val="-7"/>
          <w:sz w:val="18"/>
          <w:szCs w:val="18"/>
          <w:lang w:val="es-ES_tradnl"/>
        </w:rPr>
        <w:t>17 de agosto de 2009 se inici</w:t>
      </w:r>
      <w:r>
        <w:rPr>
          <w:rFonts w:cs="Times New Roman"/>
          <w:spacing w:val="-7"/>
          <w:sz w:val="18"/>
          <w:szCs w:val="18"/>
          <w:lang w:val="es-ES_tradnl"/>
        </w:rPr>
        <w:t>ó</w:t>
      </w:r>
      <w:r>
        <w:rPr>
          <w:spacing w:val="-7"/>
          <w:sz w:val="18"/>
          <w:szCs w:val="18"/>
          <w:lang w:val="es-ES_tradnl"/>
        </w:rPr>
        <w:t xml:space="preserve"> el tr</w:t>
      </w:r>
      <w:r>
        <w:rPr>
          <w:rFonts w:cs="Times New Roman"/>
          <w:spacing w:val="-7"/>
          <w:sz w:val="18"/>
          <w:szCs w:val="18"/>
          <w:lang w:val="es-ES_tradnl"/>
        </w:rPr>
        <w:t>á</w:t>
      </w:r>
      <w:r>
        <w:rPr>
          <w:spacing w:val="-7"/>
          <w:sz w:val="18"/>
          <w:szCs w:val="18"/>
          <w:lang w:val="es-ES_tradnl"/>
        </w:rPr>
        <w:t>mite ante el Escalaf</w:t>
      </w:r>
      <w:r>
        <w:rPr>
          <w:rFonts w:cs="Times New Roman"/>
          <w:spacing w:val="-7"/>
          <w:sz w:val="18"/>
          <w:szCs w:val="18"/>
          <w:lang w:val="es-ES_tradnl"/>
        </w:rPr>
        <w:t>ó</w:t>
      </w:r>
      <w:r>
        <w:rPr>
          <w:spacing w:val="-7"/>
          <w:sz w:val="18"/>
          <w:szCs w:val="18"/>
          <w:lang w:val="es-ES_tradnl"/>
        </w:rPr>
        <w:t xml:space="preserve">n Superior, a fin de alcanzar del comandante general de la </w:t>
      </w:r>
      <w:r>
        <w:rPr>
          <w:spacing w:val="-3"/>
          <w:sz w:val="18"/>
          <w:szCs w:val="18"/>
          <w:lang w:val="es-ES_tradnl"/>
        </w:rPr>
        <w:t>Polic</w:t>
      </w:r>
      <w:r>
        <w:rPr>
          <w:rFonts w:cs="Times New Roman"/>
          <w:spacing w:val="-3"/>
          <w:sz w:val="18"/>
          <w:szCs w:val="18"/>
          <w:lang w:val="es-ES_tradnl"/>
        </w:rPr>
        <w:t>í</w:t>
      </w:r>
      <w:r>
        <w:rPr>
          <w:spacing w:val="-3"/>
          <w:sz w:val="18"/>
          <w:szCs w:val="18"/>
          <w:lang w:val="es-ES_tradnl"/>
        </w:rPr>
        <w:t>a Nacional, la baja de las filas de la instituci</w:t>
      </w:r>
      <w:r>
        <w:rPr>
          <w:rFonts w:cs="Times New Roman"/>
          <w:spacing w:val="-3"/>
          <w:sz w:val="18"/>
          <w:szCs w:val="18"/>
          <w:lang w:val="es-ES_tradnl"/>
        </w:rPr>
        <w:t>ó</w:t>
      </w:r>
      <w:r>
        <w:rPr>
          <w:spacing w:val="-3"/>
          <w:sz w:val="18"/>
          <w:szCs w:val="18"/>
          <w:lang w:val="es-ES_tradnl"/>
        </w:rPr>
        <w:t>n policial. En la resoluci</w:t>
      </w:r>
      <w:r>
        <w:rPr>
          <w:rFonts w:cs="Times New Roman"/>
          <w:spacing w:val="-3"/>
          <w:sz w:val="18"/>
          <w:szCs w:val="18"/>
          <w:lang w:val="es-ES_tradnl"/>
        </w:rPr>
        <w:t>ó</w:t>
      </w:r>
      <w:r>
        <w:rPr>
          <w:spacing w:val="-3"/>
          <w:sz w:val="18"/>
          <w:szCs w:val="18"/>
          <w:lang w:val="es-ES_tradnl"/>
        </w:rPr>
        <w:t xml:space="preserve">n administrativa del H. Consejo </w:t>
      </w:r>
      <w:r>
        <w:rPr>
          <w:spacing w:val="-9"/>
          <w:sz w:val="18"/>
          <w:szCs w:val="18"/>
          <w:lang w:val="es-ES_tradnl"/>
        </w:rPr>
        <w:t>Directivo de la Escuela Superior de Polic</w:t>
      </w:r>
      <w:r>
        <w:rPr>
          <w:rFonts w:cs="Times New Roman"/>
          <w:spacing w:val="-9"/>
          <w:sz w:val="18"/>
          <w:szCs w:val="18"/>
          <w:lang w:val="es-ES_tradnl"/>
        </w:rPr>
        <w:t>í</w:t>
      </w:r>
      <w:r>
        <w:rPr>
          <w:spacing w:val="-9"/>
          <w:sz w:val="18"/>
          <w:szCs w:val="18"/>
          <w:lang w:val="es-ES_tradnl"/>
        </w:rPr>
        <w:t xml:space="preserve">a, General Alberto </w:t>
      </w:r>
      <w:r>
        <w:rPr>
          <w:spacing w:val="-10"/>
          <w:sz w:val="18"/>
          <w:szCs w:val="18"/>
          <w:lang w:val="es-ES_tradnl"/>
        </w:rPr>
        <w:t>Enr</w:t>
      </w:r>
      <w:r>
        <w:rPr>
          <w:rFonts w:cs="Times New Roman"/>
          <w:spacing w:val="-10"/>
          <w:sz w:val="18"/>
          <w:szCs w:val="18"/>
          <w:lang w:val="es-ES_tradnl"/>
        </w:rPr>
        <w:t>í</w:t>
      </w:r>
      <w:r>
        <w:rPr>
          <w:spacing w:val="-10"/>
          <w:sz w:val="18"/>
          <w:szCs w:val="18"/>
          <w:lang w:val="es-ES_tradnl"/>
        </w:rPr>
        <w:t xml:space="preserve">quez Gallo, se hace constar como antecedente el oficio </w:t>
      </w:r>
      <w:r>
        <w:rPr>
          <w:spacing w:val="-9"/>
          <w:sz w:val="18"/>
          <w:szCs w:val="18"/>
          <w:lang w:val="es-ES_tradnl"/>
        </w:rPr>
        <w:t>N.</w:t>
      </w:r>
      <w:r>
        <w:rPr>
          <w:rFonts w:cs="Times New Roman"/>
          <w:spacing w:val="-9"/>
          <w:sz w:val="18"/>
          <w:szCs w:val="18"/>
          <w:lang w:val="es-ES_tradnl"/>
        </w:rPr>
        <w:t>º</w:t>
      </w:r>
      <w:r>
        <w:rPr>
          <w:spacing w:val="-9"/>
          <w:sz w:val="18"/>
          <w:szCs w:val="18"/>
          <w:lang w:val="es-ES_tradnl"/>
        </w:rPr>
        <w:t xml:space="preserve"> 2009-229-JI-ESP del 17 de agosto de 2009, suscrito por</w:t>
      </w:r>
    </w:p>
    <w:p w14:paraId="4F67A46C" w14:textId="77777777" w:rsidR="00591D54" w:rsidRDefault="00591D54">
      <w:pPr>
        <w:shd w:val="clear" w:color="auto" w:fill="FFFFFF"/>
        <w:spacing w:line="216" w:lineRule="exact"/>
        <w:ind w:right="5"/>
        <w:jc w:val="both"/>
      </w:pPr>
      <w:r>
        <w:br w:type="column"/>
      </w:r>
      <w:r>
        <w:rPr>
          <w:spacing w:val="-3"/>
          <w:sz w:val="18"/>
          <w:szCs w:val="18"/>
          <w:lang w:val="es-ES_tradnl"/>
        </w:rPr>
        <w:t>el jefe de Instrucci</w:t>
      </w:r>
      <w:r>
        <w:rPr>
          <w:rFonts w:cs="Times New Roman"/>
          <w:spacing w:val="-3"/>
          <w:sz w:val="18"/>
          <w:szCs w:val="18"/>
          <w:lang w:val="es-ES_tradnl"/>
        </w:rPr>
        <w:t>ó</w:t>
      </w:r>
      <w:r>
        <w:rPr>
          <w:spacing w:val="-3"/>
          <w:sz w:val="18"/>
          <w:szCs w:val="18"/>
          <w:lang w:val="es-ES_tradnl"/>
        </w:rPr>
        <w:t>n de la Escuela Superior de Polic</w:t>
      </w:r>
      <w:r>
        <w:rPr>
          <w:rFonts w:cs="Times New Roman"/>
          <w:spacing w:val="-3"/>
          <w:sz w:val="18"/>
          <w:szCs w:val="18"/>
          <w:lang w:val="es-ES_tradnl"/>
        </w:rPr>
        <w:t>í</w:t>
      </w:r>
      <w:r>
        <w:rPr>
          <w:spacing w:val="-3"/>
          <w:sz w:val="18"/>
          <w:szCs w:val="18"/>
          <w:lang w:val="es-ES_tradnl"/>
        </w:rPr>
        <w:t xml:space="preserve">a, </w:t>
      </w:r>
      <w:r>
        <w:rPr>
          <w:spacing w:val="-5"/>
          <w:sz w:val="18"/>
          <w:szCs w:val="18"/>
          <w:lang w:val="es-ES_tradnl"/>
        </w:rPr>
        <w:t>al que se anexa el informe N.</w:t>
      </w:r>
      <w:r>
        <w:rPr>
          <w:rFonts w:cs="Times New Roman"/>
          <w:spacing w:val="-5"/>
          <w:sz w:val="18"/>
          <w:szCs w:val="18"/>
          <w:lang w:val="es-ES_tradnl"/>
        </w:rPr>
        <w:t>º</w:t>
      </w:r>
      <w:r>
        <w:rPr>
          <w:spacing w:val="-5"/>
          <w:sz w:val="18"/>
          <w:szCs w:val="18"/>
          <w:lang w:val="es-ES_tradnl"/>
        </w:rPr>
        <w:t xml:space="preserve"> 029 del 17 de agosto de </w:t>
      </w:r>
      <w:r>
        <w:rPr>
          <w:spacing w:val="-3"/>
          <w:sz w:val="18"/>
          <w:szCs w:val="18"/>
          <w:lang w:val="es-ES_tradnl"/>
        </w:rPr>
        <w:t>2009 y oficio N.</w:t>
      </w:r>
      <w:r>
        <w:rPr>
          <w:rFonts w:cs="Times New Roman"/>
          <w:spacing w:val="-3"/>
          <w:sz w:val="18"/>
          <w:szCs w:val="18"/>
          <w:lang w:val="es-ES_tradnl"/>
        </w:rPr>
        <w:t>º</w:t>
      </w:r>
      <w:r>
        <w:rPr>
          <w:spacing w:val="-3"/>
          <w:sz w:val="18"/>
          <w:szCs w:val="18"/>
          <w:lang w:val="es-ES_tradnl"/>
        </w:rPr>
        <w:t xml:space="preserve"> 2009-235-AJ-ESP, elaborado por el </w:t>
      </w:r>
      <w:r>
        <w:rPr>
          <w:spacing w:val="-2"/>
          <w:sz w:val="18"/>
          <w:szCs w:val="18"/>
          <w:lang w:val="es-ES_tradnl"/>
        </w:rPr>
        <w:t>capit</w:t>
      </w:r>
      <w:r>
        <w:rPr>
          <w:rFonts w:cs="Times New Roman"/>
          <w:spacing w:val="-2"/>
          <w:sz w:val="18"/>
          <w:szCs w:val="18"/>
          <w:lang w:val="es-ES_tradnl"/>
        </w:rPr>
        <w:t>á</w:t>
      </w:r>
      <w:r>
        <w:rPr>
          <w:spacing w:val="-2"/>
          <w:sz w:val="18"/>
          <w:szCs w:val="18"/>
          <w:lang w:val="es-ES_tradnl"/>
        </w:rPr>
        <w:t>n Wilson Toro, en el que emite criterio jur</w:t>
      </w:r>
      <w:r>
        <w:rPr>
          <w:rFonts w:cs="Times New Roman"/>
          <w:spacing w:val="-2"/>
          <w:sz w:val="18"/>
          <w:szCs w:val="18"/>
          <w:lang w:val="es-ES_tradnl"/>
        </w:rPr>
        <w:t>í</w:t>
      </w:r>
      <w:r>
        <w:rPr>
          <w:spacing w:val="-2"/>
          <w:sz w:val="18"/>
          <w:szCs w:val="18"/>
          <w:lang w:val="es-ES_tradnl"/>
        </w:rPr>
        <w:t xml:space="preserve">dico y </w:t>
      </w:r>
      <w:r>
        <w:rPr>
          <w:sz w:val="18"/>
          <w:szCs w:val="18"/>
          <w:lang w:val="es-ES_tradnl"/>
        </w:rPr>
        <w:t>recomienda lo siguiente:</w:t>
      </w:r>
    </w:p>
    <w:p w14:paraId="4F67A46D" w14:textId="77777777" w:rsidR="00591D54" w:rsidRDefault="00591D54">
      <w:pPr>
        <w:shd w:val="clear" w:color="auto" w:fill="FFFFFF"/>
        <w:spacing w:before="211" w:line="216" w:lineRule="exact"/>
        <w:ind w:left="283" w:right="5"/>
        <w:jc w:val="both"/>
      </w:pPr>
      <w:r>
        <w:rPr>
          <w:rFonts w:cs="Times New Roman"/>
          <w:spacing w:val="-3"/>
          <w:sz w:val="16"/>
          <w:szCs w:val="16"/>
          <w:lang w:val="es-ES_tradnl"/>
        </w:rPr>
        <w:t>…</w:t>
      </w:r>
      <w:r>
        <w:rPr>
          <w:spacing w:val="-3"/>
          <w:sz w:val="16"/>
          <w:szCs w:val="16"/>
          <w:lang w:val="es-ES_tradnl"/>
        </w:rPr>
        <w:t>Tomando en consideraci</w:t>
      </w:r>
      <w:r>
        <w:rPr>
          <w:rFonts w:cs="Times New Roman"/>
          <w:spacing w:val="-3"/>
          <w:sz w:val="16"/>
          <w:szCs w:val="16"/>
          <w:lang w:val="es-ES_tradnl"/>
        </w:rPr>
        <w:t>ó</w:t>
      </w:r>
      <w:r>
        <w:rPr>
          <w:spacing w:val="-3"/>
          <w:sz w:val="16"/>
          <w:szCs w:val="16"/>
          <w:lang w:val="es-ES_tradnl"/>
        </w:rPr>
        <w:t xml:space="preserve">n lo que estipular el Art. 94, </w:t>
      </w:r>
      <w:r>
        <w:rPr>
          <w:spacing w:val="-1"/>
          <w:sz w:val="16"/>
          <w:szCs w:val="16"/>
          <w:lang w:val="es-ES_tradnl"/>
        </w:rPr>
        <w:t xml:space="preserve">numeral 2, del Reglamento Disciplinario de la ESP. El </w:t>
      </w:r>
      <w:r>
        <w:rPr>
          <w:sz w:val="16"/>
          <w:szCs w:val="16"/>
          <w:lang w:val="es-ES_tradnl"/>
        </w:rPr>
        <w:t xml:space="preserve">Consejo Directivo de la ESP debe resolver lo siguiente: </w:t>
      </w:r>
      <w:r>
        <w:rPr>
          <w:spacing w:val="-5"/>
          <w:sz w:val="16"/>
          <w:szCs w:val="16"/>
          <w:lang w:val="es-ES_tradnl"/>
        </w:rPr>
        <w:t>1.- Que el se</w:t>
      </w:r>
      <w:r>
        <w:rPr>
          <w:rFonts w:cs="Times New Roman"/>
          <w:spacing w:val="-5"/>
          <w:sz w:val="16"/>
          <w:szCs w:val="16"/>
          <w:lang w:val="es-ES_tradnl"/>
        </w:rPr>
        <w:t>ñ</w:t>
      </w:r>
      <w:r>
        <w:rPr>
          <w:spacing w:val="-5"/>
          <w:sz w:val="16"/>
          <w:szCs w:val="16"/>
          <w:lang w:val="es-ES_tradnl"/>
        </w:rPr>
        <w:t xml:space="preserve">or Director de la ESP, siguiendo el respectivo </w:t>
      </w:r>
      <w:r>
        <w:rPr>
          <w:rFonts w:cs="Times New Roman"/>
          <w:spacing w:val="-5"/>
          <w:sz w:val="16"/>
          <w:szCs w:val="16"/>
          <w:lang w:val="es-ES_tradnl"/>
        </w:rPr>
        <w:t>ó</w:t>
      </w:r>
      <w:r>
        <w:rPr>
          <w:spacing w:val="-5"/>
          <w:sz w:val="16"/>
          <w:szCs w:val="16"/>
          <w:lang w:val="es-ES_tradnl"/>
        </w:rPr>
        <w:t>rgano regular, solicite al Comandante General de la Polic</w:t>
      </w:r>
      <w:r>
        <w:rPr>
          <w:rFonts w:cs="Times New Roman"/>
          <w:spacing w:val="-5"/>
          <w:sz w:val="16"/>
          <w:szCs w:val="16"/>
          <w:lang w:val="es-ES_tradnl"/>
        </w:rPr>
        <w:t>í</w:t>
      </w:r>
      <w:r>
        <w:rPr>
          <w:spacing w:val="-5"/>
          <w:sz w:val="16"/>
          <w:szCs w:val="16"/>
          <w:lang w:val="es-ES_tradnl"/>
        </w:rPr>
        <w:t xml:space="preserve">a </w:t>
      </w:r>
      <w:r>
        <w:rPr>
          <w:spacing w:val="-2"/>
          <w:sz w:val="16"/>
          <w:szCs w:val="16"/>
          <w:lang w:val="es-ES_tradnl"/>
        </w:rPr>
        <w:t>Nacional, la baja de la se</w:t>
      </w:r>
      <w:r>
        <w:rPr>
          <w:rFonts w:cs="Times New Roman"/>
          <w:spacing w:val="-2"/>
          <w:sz w:val="16"/>
          <w:szCs w:val="16"/>
          <w:lang w:val="es-ES_tradnl"/>
        </w:rPr>
        <w:t>ñ</w:t>
      </w:r>
      <w:r>
        <w:rPr>
          <w:spacing w:val="-2"/>
          <w:sz w:val="16"/>
          <w:szCs w:val="16"/>
          <w:lang w:val="es-ES_tradnl"/>
        </w:rPr>
        <w:t>orita cadete de polic</w:t>
      </w:r>
      <w:r>
        <w:rPr>
          <w:rFonts w:cs="Times New Roman"/>
          <w:spacing w:val="-2"/>
          <w:sz w:val="16"/>
          <w:szCs w:val="16"/>
          <w:lang w:val="es-ES_tradnl"/>
        </w:rPr>
        <w:t>í</w:t>
      </w:r>
      <w:r>
        <w:rPr>
          <w:spacing w:val="-2"/>
          <w:sz w:val="16"/>
          <w:szCs w:val="16"/>
          <w:lang w:val="es-ES_tradnl"/>
        </w:rPr>
        <w:t xml:space="preserve">a por nota </w:t>
      </w:r>
      <w:r>
        <w:rPr>
          <w:spacing w:val="-6"/>
          <w:sz w:val="16"/>
          <w:szCs w:val="16"/>
          <w:lang w:val="es-ES_tradnl"/>
        </w:rPr>
        <w:t>de concepto deficiente por no haber obtenido la nota m</w:t>
      </w:r>
      <w:r>
        <w:rPr>
          <w:rFonts w:cs="Times New Roman"/>
          <w:spacing w:val="-6"/>
          <w:sz w:val="16"/>
          <w:szCs w:val="16"/>
          <w:lang w:val="es-ES_tradnl"/>
        </w:rPr>
        <w:t>í</w:t>
      </w:r>
      <w:r>
        <w:rPr>
          <w:spacing w:val="-6"/>
          <w:sz w:val="16"/>
          <w:szCs w:val="16"/>
          <w:lang w:val="es-ES_tradnl"/>
        </w:rPr>
        <w:t xml:space="preserve">nima </w:t>
      </w:r>
      <w:r>
        <w:rPr>
          <w:spacing w:val="-4"/>
          <w:sz w:val="16"/>
          <w:szCs w:val="16"/>
          <w:lang w:val="es-ES_tradnl"/>
        </w:rPr>
        <w:t xml:space="preserve">de 14 en el perfil profesional, que conlleva a tener un bajo </w:t>
      </w:r>
      <w:r>
        <w:rPr>
          <w:spacing w:val="-3"/>
          <w:sz w:val="16"/>
          <w:szCs w:val="16"/>
          <w:lang w:val="es-ES_tradnl"/>
        </w:rPr>
        <w:t>rendimiento</w:t>
      </w:r>
      <w:r>
        <w:rPr>
          <w:rFonts w:cs="Times New Roman"/>
          <w:spacing w:val="-3"/>
          <w:sz w:val="16"/>
          <w:szCs w:val="16"/>
          <w:lang w:val="es-ES_tradnl"/>
        </w:rPr>
        <w:t>…</w:t>
      </w:r>
      <w:r>
        <w:rPr>
          <w:spacing w:val="-3"/>
          <w:sz w:val="16"/>
          <w:szCs w:val="16"/>
          <w:lang w:val="es-ES_tradnl"/>
        </w:rPr>
        <w:t xml:space="preserve">Que este particular se le notifique de forma </w:t>
      </w:r>
      <w:r>
        <w:rPr>
          <w:spacing w:val="-7"/>
          <w:sz w:val="16"/>
          <w:szCs w:val="16"/>
          <w:lang w:val="es-ES_tradnl"/>
        </w:rPr>
        <w:t>inmediata a la se</w:t>
      </w:r>
      <w:r>
        <w:rPr>
          <w:rFonts w:cs="Times New Roman"/>
          <w:spacing w:val="-7"/>
          <w:sz w:val="16"/>
          <w:szCs w:val="16"/>
          <w:lang w:val="es-ES_tradnl"/>
        </w:rPr>
        <w:t>ñ</w:t>
      </w:r>
      <w:r>
        <w:rPr>
          <w:spacing w:val="-7"/>
          <w:sz w:val="16"/>
          <w:szCs w:val="16"/>
          <w:lang w:val="es-ES_tradnl"/>
        </w:rPr>
        <w:t>orita cadete en menci</w:t>
      </w:r>
      <w:r>
        <w:rPr>
          <w:rFonts w:cs="Times New Roman"/>
          <w:spacing w:val="-7"/>
          <w:sz w:val="16"/>
          <w:szCs w:val="16"/>
          <w:lang w:val="es-ES_tradnl"/>
        </w:rPr>
        <w:t>ó</w:t>
      </w:r>
      <w:r>
        <w:rPr>
          <w:spacing w:val="-7"/>
          <w:sz w:val="16"/>
          <w:szCs w:val="16"/>
          <w:lang w:val="es-ES_tradnl"/>
        </w:rPr>
        <w:t xml:space="preserve">n, esto es que se ha </w:t>
      </w:r>
      <w:r>
        <w:rPr>
          <w:spacing w:val="-8"/>
          <w:sz w:val="16"/>
          <w:szCs w:val="16"/>
          <w:lang w:val="es-ES_tradnl"/>
        </w:rPr>
        <w:t>iniciado el tr</w:t>
      </w:r>
      <w:r>
        <w:rPr>
          <w:rFonts w:cs="Times New Roman"/>
          <w:spacing w:val="-8"/>
          <w:sz w:val="16"/>
          <w:szCs w:val="16"/>
          <w:lang w:val="es-ES_tradnl"/>
        </w:rPr>
        <w:t>á</w:t>
      </w:r>
      <w:r>
        <w:rPr>
          <w:spacing w:val="-8"/>
          <w:sz w:val="16"/>
          <w:szCs w:val="16"/>
          <w:lang w:val="es-ES_tradnl"/>
        </w:rPr>
        <w:t xml:space="preserve">mite de baja por nota de concepto deficiente, por </w:t>
      </w:r>
      <w:r>
        <w:rPr>
          <w:spacing w:val="-6"/>
          <w:sz w:val="16"/>
          <w:szCs w:val="16"/>
          <w:lang w:val="es-ES_tradnl"/>
        </w:rPr>
        <w:t>no haber obtenido la nota m</w:t>
      </w:r>
      <w:r>
        <w:rPr>
          <w:rFonts w:cs="Times New Roman"/>
          <w:spacing w:val="-6"/>
          <w:sz w:val="16"/>
          <w:szCs w:val="16"/>
          <w:lang w:val="es-ES_tradnl"/>
        </w:rPr>
        <w:t>í</w:t>
      </w:r>
      <w:r>
        <w:rPr>
          <w:spacing w:val="-6"/>
          <w:sz w:val="16"/>
          <w:szCs w:val="16"/>
          <w:lang w:val="es-ES_tradnl"/>
        </w:rPr>
        <w:t xml:space="preserve">nima de 14 en perfil profesional, </w:t>
      </w:r>
      <w:r>
        <w:rPr>
          <w:sz w:val="16"/>
          <w:szCs w:val="16"/>
          <w:lang w:val="es-ES_tradnl"/>
        </w:rPr>
        <w:t>que conlleva a tener un bajo rendimiento.</w:t>
      </w:r>
    </w:p>
    <w:p w14:paraId="4F67A46E" w14:textId="77777777" w:rsidR="00591D54" w:rsidRDefault="00591D54">
      <w:pPr>
        <w:shd w:val="clear" w:color="auto" w:fill="FFFFFF"/>
        <w:spacing w:before="206" w:line="216" w:lineRule="exact"/>
        <w:jc w:val="both"/>
      </w:pPr>
      <w:r>
        <w:rPr>
          <w:spacing w:val="-8"/>
          <w:sz w:val="18"/>
          <w:szCs w:val="18"/>
          <w:lang w:val="es-ES_tradnl"/>
        </w:rPr>
        <w:t xml:space="preserve">El 17 de agosto de 2009, el director de la Escuela Superior </w:t>
      </w:r>
      <w:r>
        <w:rPr>
          <w:spacing w:val="-4"/>
          <w:sz w:val="18"/>
          <w:szCs w:val="18"/>
          <w:lang w:val="es-ES_tradnl"/>
        </w:rPr>
        <w:t>de Polic</w:t>
      </w:r>
      <w:r>
        <w:rPr>
          <w:rFonts w:cs="Times New Roman"/>
          <w:spacing w:val="-4"/>
          <w:sz w:val="18"/>
          <w:szCs w:val="18"/>
          <w:lang w:val="es-ES_tradnl"/>
        </w:rPr>
        <w:t>í</w:t>
      </w:r>
      <w:r>
        <w:rPr>
          <w:spacing w:val="-4"/>
          <w:sz w:val="18"/>
          <w:szCs w:val="18"/>
          <w:lang w:val="es-ES_tradnl"/>
        </w:rPr>
        <w:t>a, mediante oficio N.</w:t>
      </w:r>
      <w:r>
        <w:rPr>
          <w:rFonts w:cs="Times New Roman"/>
          <w:spacing w:val="-4"/>
          <w:sz w:val="18"/>
          <w:szCs w:val="18"/>
          <w:lang w:val="es-ES_tradnl"/>
        </w:rPr>
        <w:t>º</w:t>
      </w:r>
      <w:r>
        <w:rPr>
          <w:spacing w:val="-4"/>
          <w:sz w:val="18"/>
          <w:szCs w:val="18"/>
          <w:lang w:val="es-ES_tradnl"/>
        </w:rPr>
        <w:t xml:space="preserve"> 09-004-CD-ESP, solicit</w:t>
      </w:r>
      <w:r>
        <w:rPr>
          <w:rFonts w:cs="Times New Roman"/>
          <w:spacing w:val="-4"/>
          <w:sz w:val="18"/>
          <w:szCs w:val="18"/>
          <w:lang w:val="es-ES_tradnl"/>
        </w:rPr>
        <w:t xml:space="preserve">ó </w:t>
      </w:r>
      <w:r>
        <w:rPr>
          <w:spacing w:val="-1"/>
          <w:sz w:val="18"/>
          <w:szCs w:val="18"/>
          <w:lang w:val="es-ES_tradnl"/>
        </w:rPr>
        <w:t>al director nacional de Educaci</w:t>
      </w:r>
      <w:r>
        <w:rPr>
          <w:rFonts w:cs="Times New Roman"/>
          <w:spacing w:val="-1"/>
          <w:sz w:val="18"/>
          <w:szCs w:val="18"/>
          <w:lang w:val="es-ES_tradnl"/>
        </w:rPr>
        <w:t>ó</w:t>
      </w:r>
      <w:r>
        <w:rPr>
          <w:spacing w:val="-1"/>
          <w:sz w:val="18"/>
          <w:szCs w:val="18"/>
          <w:lang w:val="es-ES_tradnl"/>
        </w:rPr>
        <w:t xml:space="preserve">n que se viabilice el </w:t>
      </w:r>
      <w:r>
        <w:rPr>
          <w:spacing w:val="-5"/>
          <w:sz w:val="18"/>
          <w:szCs w:val="18"/>
          <w:lang w:val="es-ES_tradnl"/>
        </w:rPr>
        <w:t>tr</w:t>
      </w:r>
      <w:r>
        <w:rPr>
          <w:rFonts w:cs="Times New Roman"/>
          <w:spacing w:val="-5"/>
          <w:sz w:val="18"/>
          <w:szCs w:val="18"/>
          <w:lang w:val="es-ES_tradnl"/>
        </w:rPr>
        <w:t>á</w:t>
      </w:r>
      <w:r>
        <w:rPr>
          <w:spacing w:val="-5"/>
          <w:sz w:val="18"/>
          <w:szCs w:val="18"/>
          <w:lang w:val="es-ES_tradnl"/>
        </w:rPr>
        <w:t>mite correspondiente ante el Escalaf</w:t>
      </w:r>
      <w:r>
        <w:rPr>
          <w:rFonts w:cs="Times New Roman"/>
          <w:spacing w:val="-5"/>
          <w:sz w:val="18"/>
          <w:szCs w:val="18"/>
          <w:lang w:val="es-ES_tradnl"/>
        </w:rPr>
        <w:t>ó</w:t>
      </w:r>
      <w:r>
        <w:rPr>
          <w:spacing w:val="-5"/>
          <w:sz w:val="18"/>
          <w:szCs w:val="18"/>
          <w:lang w:val="es-ES_tradnl"/>
        </w:rPr>
        <w:t xml:space="preserve">n Superior, a fin </w:t>
      </w:r>
      <w:r>
        <w:rPr>
          <w:spacing w:val="-8"/>
          <w:sz w:val="18"/>
          <w:szCs w:val="18"/>
          <w:lang w:val="es-ES_tradnl"/>
        </w:rPr>
        <w:t>de alcanzar del comandante general de la Polic</w:t>
      </w:r>
      <w:r>
        <w:rPr>
          <w:rFonts w:cs="Times New Roman"/>
          <w:spacing w:val="-8"/>
          <w:sz w:val="18"/>
          <w:szCs w:val="18"/>
          <w:lang w:val="es-ES_tradnl"/>
        </w:rPr>
        <w:t>í</w:t>
      </w:r>
      <w:r>
        <w:rPr>
          <w:spacing w:val="-8"/>
          <w:sz w:val="18"/>
          <w:szCs w:val="18"/>
          <w:lang w:val="es-ES_tradnl"/>
        </w:rPr>
        <w:t xml:space="preserve">a Nacional </w:t>
      </w:r>
      <w:r>
        <w:rPr>
          <w:spacing w:val="-3"/>
          <w:sz w:val="18"/>
          <w:szCs w:val="18"/>
          <w:lang w:val="es-ES_tradnl"/>
        </w:rPr>
        <w:t xml:space="preserve">la baja de la legitimada activa, sin haberse ejecutoriado </w:t>
      </w:r>
      <w:r>
        <w:rPr>
          <w:spacing w:val="-5"/>
          <w:sz w:val="18"/>
          <w:szCs w:val="18"/>
          <w:lang w:val="es-ES_tradnl"/>
        </w:rPr>
        <w:t>la resoluci</w:t>
      </w:r>
      <w:r>
        <w:rPr>
          <w:rFonts w:cs="Times New Roman"/>
          <w:spacing w:val="-5"/>
          <w:sz w:val="18"/>
          <w:szCs w:val="18"/>
          <w:lang w:val="es-ES_tradnl"/>
        </w:rPr>
        <w:t>ó</w:t>
      </w:r>
      <w:r>
        <w:rPr>
          <w:spacing w:val="-5"/>
          <w:sz w:val="18"/>
          <w:szCs w:val="18"/>
          <w:lang w:val="es-ES_tradnl"/>
        </w:rPr>
        <w:t>n de la Escuela Superior de Polic</w:t>
      </w:r>
      <w:r>
        <w:rPr>
          <w:rFonts w:cs="Times New Roman"/>
          <w:spacing w:val="-5"/>
          <w:sz w:val="18"/>
          <w:szCs w:val="18"/>
          <w:lang w:val="es-ES_tradnl"/>
        </w:rPr>
        <w:t>í</w:t>
      </w:r>
      <w:r>
        <w:rPr>
          <w:spacing w:val="-5"/>
          <w:sz w:val="18"/>
          <w:szCs w:val="18"/>
          <w:lang w:val="es-ES_tradnl"/>
        </w:rPr>
        <w:t>a. Es decir, a</w:t>
      </w:r>
      <w:r>
        <w:rPr>
          <w:rFonts w:cs="Times New Roman"/>
          <w:spacing w:val="-5"/>
          <w:sz w:val="18"/>
          <w:szCs w:val="18"/>
          <w:lang w:val="es-ES_tradnl"/>
        </w:rPr>
        <w:t>ú</w:t>
      </w:r>
      <w:r>
        <w:rPr>
          <w:spacing w:val="-5"/>
          <w:sz w:val="18"/>
          <w:szCs w:val="18"/>
          <w:lang w:val="es-ES_tradnl"/>
        </w:rPr>
        <w:t>n exist</w:t>
      </w:r>
      <w:r>
        <w:rPr>
          <w:rFonts w:cs="Times New Roman"/>
          <w:spacing w:val="-5"/>
          <w:sz w:val="18"/>
          <w:szCs w:val="18"/>
          <w:lang w:val="es-ES_tradnl"/>
        </w:rPr>
        <w:t>í</w:t>
      </w:r>
      <w:r>
        <w:rPr>
          <w:spacing w:val="-5"/>
          <w:sz w:val="18"/>
          <w:szCs w:val="18"/>
          <w:lang w:val="es-ES_tradnl"/>
        </w:rPr>
        <w:t>a la posibilidad de apelar a dicha resoluci</w:t>
      </w:r>
      <w:r>
        <w:rPr>
          <w:rFonts w:cs="Times New Roman"/>
          <w:spacing w:val="-5"/>
          <w:sz w:val="18"/>
          <w:szCs w:val="18"/>
          <w:lang w:val="es-ES_tradnl"/>
        </w:rPr>
        <w:t>ó</w:t>
      </w:r>
      <w:r>
        <w:rPr>
          <w:spacing w:val="-5"/>
          <w:sz w:val="18"/>
          <w:szCs w:val="18"/>
          <w:lang w:val="es-ES_tradnl"/>
        </w:rPr>
        <w:t xml:space="preserve">n en </w:t>
      </w:r>
      <w:r>
        <w:rPr>
          <w:spacing w:val="-9"/>
          <w:sz w:val="18"/>
          <w:szCs w:val="18"/>
          <w:lang w:val="es-ES_tradnl"/>
        </w:rPr>
        <w:t>atenci</w:t>
      </w:r>
      <w:r>
        <w:rPr>
          <w:rFonts w:cs="Times New Roman"/>
          <w:spacing w:val="-9"/>
          <w:sz w:val="18"/>
          <w:szCs w:val="18"/>
          <w:lang w:val="es-ES_tradnl"/>
        </w:rPr>
        <w:t>ó</w:t>
      </w:r>
      <w:r>
        <w:rPr>
          <w:spacing w:val="-9"/>
          <w:sz w:val="18"/>
          <w:szCs w:val="18"/>
          <w:lang w:val="es-ES_tradnl"/>
        </w:rPr>
        <w:t xml:space="preserve">n a lo que determinan las normas establecidas en el </w:t>
      </w:r>
      <w:r>
        <w:rPr>
          <w:spacing w:val="-5"/>
          <w:sz w:val="18"/>
          <w:szCs w:val="18"/>
          <w:lang w:val="es-ES_tradnl"/>
        </w:rPr>
        <w:t>Reglamento del R</w:t>
      </w:r>
      <w:r>
        <w:rPr>
          <w:rFonts w:cs="Times New Roman"/>
          <w:spacing w:val="-5"/>
          <w:sz w:val="18"/>
          <w:szCs w:val="18"/>
          <w:lang w:val="es-ES_tradnl"/>
        </w:rPr>
        <w:t>é</w:t>
      </w:r>
      <w:r>
        <w:rPr>
          <w:spacing w:val="-5"/>
          <w:sz w:val="18"/>
          <w:szCs w:val="18"/>
          <w:lang w:val="es-ES_tradnl"/>
        </w:rPr>
        <w:t xml:space="preserve">gimen Interno de la Escuela Superior </w:t>
      </w:r>
      <w:r>
        <w:rPr>
          <w:spacing w:val="-6"/>
          <w:sz w:val="18"/>
          <w:szCs w:val="18"/>
          <w:lang w:val="es-ES_tradnl"/>
        </w:rPr>
        <w:t>de Polic</w:t>
      </w:r>
      <w:r>
        <w:rPr>
          <w:rFonts w:cs="Times New Roman"/>
          <w:spacing w:val="-6"/>
          <w:sz w:val="18"/>
          <w:szCs w:val="18"/>
          <w:lang w:val="es-ES_tradnl"/>
        </w:rPr>
        <w:t>í</w:t>
      </w:r>
      <w:r>
        <w:rPr>
          <w:spacing w:val="-6"/>
          <w:sz w:val="18"/>
          <w:szCs w:val="18"/>
          <w:lang w:val="es-ES_tradnl"/>
        </w:rPr>
        <w:t xml:space="preserve">a. Con estos antecedentes, el 31 de agosto de </w:t>
      </w:r>
      <w:r>
        <w:rPr>
          <w:spacing w:val="-3"/>
          <w:sz w:val="18"/>
          <w:szCs w:val="18"/>
          <w:lang w:val="es-ES_tradnl"/>
        </w:rPr>
        <w:t>2009, mediante resoluci</w:t>
      </w:r>
      <w:r>
        <w:rPr>
          <w:rFonts w:cs="Times New Roman"/>
          <w:spacing w:val="-3"/>
          <w:sz w:val="18"/>
          <w:szCs w:val="18"/>
          <w:lang w:val="es-ES_tradnl"/>
        </w:rPr>
        <w:t>ó</w:t>
      </w:r>
      <w:r>
        <w:rPr>
          <w:spacing w:val="-3"/>
          <w:sz w:val="18"/>
          <w:szCs w:val="18"/>
          <w:lang w:val="es-ES_tradnl"/>
        </w:rPr>
        <w:t>n administrativa N.</w:t>
      </w:r>
      <w:r>
        <w:rPr>
          <w:rFonts w:cs="Times New Roman"/>
          <w:spacing w:val="-3"/>
          <w:sz w:val="18"/>
          <w:szCs w:val="18"/>
          <w:lang w:val="es-ES_tradnl"/>
        </w:rPr>
        <w:t>º</w:t>
      </w:r>
      <w:r>
        <w:rPr>
          <w:spacing w:val="-3"/>
          <w:sz w:val="18"/>
          <w:szCs w:val="18"/>
          <w:lang w:val="es-ES_tradnl"/>
        </w:rPr>
        <w:t xml:space="preserve"> 011-CG-</w:t>
      </w:r>
      <w:r>
        <w:rPr>
          <w:spacing w:val="-4"/>
          <w:sz w:val="18"/>
          <w:szCs w:val="18"/>
          <w:lang w:val="es-ES_tradnl"/>
        </w:rPr>
        <w:t>CG-B-KDT-PAL, el comandante general de la Polic</w:t>
      </w:r>
      <w:r>
        <w:rPr>
          <w:rFonts w:cs="Times New Roman"/>
          <w:spacing w:val="-4"/>
          <w:sz w:val="18"/>
          <w:szCs w:val="18"/>
          <w:lang w:val="es-ES_tradnl"/>
        </w:rPr>
        <w:t>í</w:t>
      </w:r>
      <w:r>
        <w:rPr>
          <w:spacing w:val="-4"/>
          <w:sz w:val="18"/>
          <w:szCs w:val="18"/>
          <w:lang w:val="es-ES_tradnl"/>
        </w:rPr>
        <w:t>a Nacional, General Freddy Mart</w:t>
      </w:r>
      <w:r>
        <w:rPr>
          <w:rFonts w:cs="Times New Roman"/>
          <w:spacing w:val="-4"/>
          <w:sz w:val="18"/>
          <w:szCs w:val="18"/>
          <w:lang w:val="es-ES_tradnl"/>
        </w:rPr>
        <w:t>í</w:t>
      </w:r>
      <w:r>
        <w:rPr>
          <w:spacing w:val="-4"/>
          <w:sz w:val="18"/>
          <w:szCs w:val="18"/>
          <w:lang w:val="es-ES_tradnl"/>
        </w:rPr>
        <w:t>nez Pico, resolvi</w:t>
      </w:r>
      <w:r>
        <w:rPr>
          <w:rFonts w:cs="Times New Roman"/>
          <w:spacing w:val="-4"/>
          <w:sz w:val="18"/>
          <w:szCs w:val="18"/>
          <w:lang w:val="es-ES_tradnl"/>
        </w:rPr>
        <w:t>ó</w:t>
      </w:r>
      <w:r>
        <w:rPr>
          <w:spacing w:val="-4"/>
          <w:sz w:val="18"/>
          <w:szCs w:val="18"/>
          <w:lang w:val="es-ES_tradnl"/>
        </w:rPr>
        <w:t xml:space="preserve"> dar de </w:t>
      </w:r>
      <w:r>
        <w:rPr>
          <w:spacing w:val="-6"/>
          <w:sz w:val="18"/>
          <w:szCs w:val="18"/>
          <w:lang w:val="es-ES_tradnl"/>
        </w:rPr>
        <w:t xml:space="preserve">baja de las filas policiales a la legitimada activa, tal como </w:t>
      </w:r>
      <w:r>
        <w:rPr>
          <w:spacing w:val="-8"/>
          <w:sz w:val="18"/>
          <w:szCs w:val="18"/>
          <w:lang w:val="es-ES_tradnl"/>
        </w:rPr>
        <w:t>obra en la publicaci</w:t>
      </w:r>
      <w:r>
        <w:rPr>
          <w:rFonts w:cs="Times New Roman"/>
          <w:spacing w:val="-8"/>
          <w:sz w:val="18"/>
          <w:szCs w:val="18"/>
          <w:lang w:val="es-ES_tradnl"/>
        </w:rPr>
        <w:t>ó</w:t>
      </w:r>
      <w:r>
        <w:rPr>
          <w:spacing w:val="-8"/>
          <w:sz w:val="18"/>
          <w:szCs w:val="18"/>
          <w:lang w:val="es-ES_tradnl"/>
        </w:rPr>
        <w:t>n de Orden General N.</w:t>
      </w:r>
      <w:r>
        <w:rPr>
          <w:rFonts w:cs="Times New Roman"/>
          <w:spacing w:val="-8"/>
          <w:sz w:val="18"/>
          <w:szCs w:val="18"/>
          <w:lang w:val="es-ES_tradnl"/>
        </w:rPr>
        <w:t>º</w:t>
      </w:r>
      <w:r>
        <w:rPr>
          <w:spacing w:val="-8"/>
          <w:sz w:val="18"/>
          <w:szCs w:val="18"/>
          <w:lang w:val="es-ES_tradnl"/>
        </w:rPr>
        <w:t xml:space="preserve"> 190 del 02 de </w:t>
      </w:r>
      <w:r>
        <w:rPr>
          <w:sz w:val="18"/>
          <w:szCs w:val="18"/>
          <w:lang w:val="es-ES_tradnl"/>
        </w:rPr>
        <w:t>octubre de 2009</w:t>
      </w:r>
      <w:r>
        <w:rPr>
          <w:i/>
          <w:iCs/>
          <w:sz w:val="18"/>
          <w:szCs w:val="18"/>
          <w:lang w:val="es-ES_tradnl"/>
        </w:rPr>
        <w:t>.</w:t>
      </w:r>
    </w:p>
    <w:p w14:paraId="4F67A46F" w14:textId="77777777" w:rsidR="00591D54" w:rsidRDefault="00591D54">
      <w:pPr>
        <w:shd w:val="clear" w:color="auto" w:fill="FFFFFF"/>
        <w:spacing w:before="197" w:line="216" w:lineRule="exact"/>
        <w:jc w:val="both"/>
      </w:pPr>
      <w:r>
        <w:rPr>
          <w:spacing w:val="-4"/>
          <w:sz w:val="18"/>
          <w:szCs w:val="18"/>
          <w:lang w:val="es-ES_tradnl"/>
        </w:rPr>
        <w:t>La legitimada activa, los d</w:t>
      </w:r>
      <w:r>
        <w:rPr>
          <w:rFonts w:cs="Times New Roman"/>
          <w:spacing w:val="-4"/>
          <w:sz w:val="18"/>
          <w:szCs w:val="18"/>
          <w:lang w:val="es-ES_tradnl"/>
        </w:rPr>
        <w:t>í</w:t>
      </w:r>
      <w:r>
        <w:rPr>
          <w:spacing w:val="-4"/>
          <w:sz w:val="18"/>
          <w:szCs w:val="18"/>
          <w:lang w:val="es-ES_tradnl"/>
        </w:rPr>
        <w:t xml:space="preserve">as 18 y 23 de septiembre de </w:t>
      </w:r>
      <w:r>
        <w:rPr>
          <w:spacing w:val="-5"/>
          <w:sz w:val="18"/>
          <w:szCs w:val="18"/>
          <w:lang w:val="es-ES_tradnl"/>
        </w:rPr>
        <w:t>2009, present</w:t>
      </w:r>
      <w:r>
        <w:rPr>
          <w:rFonts w:cs="Times New Roman"/>
          <w:spacing w:val="-5"/>
          <w:sz w:val="18"/>
          <w:szCs w:val="18"/>
          <w:lang w:val="es-ES_tradnl"/>
        </w:rPr>
        <w:t>ó</w:t>
      </w:r>
      <w:r>
        <w:rPr>
          <w:spacing w:val="-5"/>
          <w:sz w:val="18"/>
          <w:szCs w:val="18"/>
          <w:lang w:val="es-ES_tradnl"/>
        </w:rPr>
        <w:t xml:space="preserve"> reclamaciones previas ante la instituci</w:t>
      </w:r>
      <w:r>
        <w:rPr>
          <w:rFonts w:cs="Times New Roman"/>
          <w:spacing w:val="-5"/>
          <w:sz w:val="18"/>
          <w:szCs w:val="18"/>
          <w:lang w:val="es-ES_tradnl"/>
        </w:rPr>
        <w:t>ó</w:t>
      </w:r>
      <w:r>
        <w:rPr>
          <w:spacing w:val="-5"/>
          <w:sz w:val="18"/>
          <w:szCs w:val="18"/>
          <w:lang w:val="es-ES_tradnl"/>
        </w:rPr>
        <w:t xml:space="preserve">n </w:t>
      </w:r>
      <w:r>
        <w:rPr>
          <w:spacing w:val="-7"/>
          <w:sz w:val="18"/>
          <w:szCs w:val="18"/>
          <w:lang w:val="es-ES_tradnl"/>
        </w:rPr>
        <w:t>policial, que no fueron contestadas, por lo que al no recibir ninguna contestaci</w:t>
      </w:r>
      <w:r>
        <w:rPr>
          <w:rFonts w:cs="Times New Roman"/>
          <w:spacing w:val="-7"/>
          <w:sz w:val="18"/>
          <w:szCs w:val="18"/>
          <w:lang w:val="es-ES_tradnl"/>
        </w:rPr>
        <w:t>ó</w:t>
      </w:r>
      <w:r>
        <w:rPr>
          <w:spacing w:val="-7"/>
          <w:sz w:val="18"/>
          <w:szCs w:val="18"/>
          <w:lang w:val="es-ES_tradnl"/>
        </w:rPr>
        <w:t xml:space="preserve">n a los escritos presentados, el 11 de </w:t>
      </w:r>
      <w:r>
        <w:rPr>
          <w:spacing w:val="-4"/>
          <w:sz w:val="18"/>
          <w:szCs w:val="18"/>
          <w:lang w:val="es-ES_tradnl"/>
        </w:rPr>
        <w:t>noviembre del mismo a</w:t>
      </w:r>
      <w:r>
        <w:rPr>
          <w:rFonts w:cs="Times New Roman"/>
          <w:spacing w:val="-4"/>
          <w:sz w:val="18"/>
          <w:szCs w:val="18"/>
          <w:lang w:val="es-ES_tradnl"/>
        </w:rPr>
        <w:t>ñ</w:t>
      </w:r>
      <w:r>
        <w:rPr>
          <w:spacing w:val="-4"/>
          <w:sz w:val="18"/>
          <w:szCs w:val="18"/>
          <w:lang w:val="es-ES_tradnl"/>
        </w:rPr>
        <w:t>o present</w:t>
      </w:r>
      <w:r>
        <w:rPr>
          <w:rFonts w:cs="Times New Roman"/>
          <w:spacing w:val="-4"/>
          <w:sz w:val="18"/>
          <w:szCs w:val="18"/>
          <w:lang w:val="es-ES_tradnl"/>
        </w:rPr>
        <w:t>ó</w:t>
      </w:r>
      <w:r>
        <w:rPr>
          <w:spacing w:val="-4"/>
          <w:sz w:val="18"/>
          <w:szCs w:val="18"/>
          <w:lang w:val="es-ES_tradnl"/>
        </w:rPr>
        <w:t xml:space="preserve"> una nueva solicitud </w:t>
      </w:r>
      <w:r>
        <w:rPr>
          <w:spacing w:val="-5"/>
          <w:sz w:val="18"/>
          <w:szCs w:val="18"/>
          <w:lang w:val="es-ES_tradnl"/>
        </w:rPr>
        <w:t>invocando el silencio administrativo al que ten</w:t>
      </w:r>
      <w:r>
        <w:rPr>
          <w:rFonts w:cs="Times New Roman"/>
          <w:spacing w:val="-5"/>
          <w:sz w:val="18"/>
          <w:szCs w:val="18"/>
          <w:lang w:val="es-ES_tradnl"/>
        </w:rPr>
        <w:t>í</w:t>
      </w:r>
      <w:r>
        <w:rPr>
          <w:spacing w:val="-5"/>
          <w:sz w:val="18"/>
          <w:szCs w:val="18"/>
          <w:lang w:val="es-ES_tradnl"/>
        </w:rPr>
        <w:t xml:space="preserve">a lugar en </w:t>
      </w:r>
      <w:r>
        <w:rPr>
          <w:spacing w:val="-4"/>
          <w:sz w:val="18"/>
          <w:szCs w:val="18"/>
          <w:lang w:val="es-ES_tradnl"/>
        </w:rPr>
        <w:t>atenci</w:t>
      </w:r>
      <w:r>
        <w:rPr>
          <w:rFonts w:cs="Times New Roman"/>
          <w:spacing w:val="-4"/>
          <w:sz w:val="18"/>
          <w:szCs w:val="18"/>
          <w:lang w:val="es-ES_tradnl"/>
        </w:rPr>
        <w:t>ó</w:t>
      </w:r>
      <w:r>
        <w:rPr>
          <w:spacing w:val="-4"/>
          <w:sz w:val="18"/>
          <w:szCs w:val="18"/>
          <w:lang w:val="es-ES_tradnl"/>
        </w:rPr>
        <w:t>n a lo que establece el art</w:t>
      </w:r>
      <w:r>
        <w:rPr>
          <w:rFonts w:cs="Times New Roman"/>
          <w:spacing w:val="-4"/>
          <w:sz w:val="18"/>
          <w:szCs w:val="18"/>
          <w:lang w:val="es-ES_tradnl"/>
        </w:rPr>
        <w:t>í</w:t>
      </w:r>
      <w:r>
        <w:rPr>
          <w:spacing w:val="-4"/>
          <w:sz w:val="18"/>
          <w:szCs w:val="18"/>
          <w:lang w:val="es-ES_tradnl"/>
        </w:rPr>
        <w:t xml:space="preserve">culo 28 de la Ley de </w:t>
      </w:r>
      <w:r>
        <w:rPr>
          <w:sz w:val="18"/>
          <w:szCs w:val="18"/>
          <w:lang w:val="es-ES_tradnl"/>
        </w:rPr>
        <w:t>Modernizaci</w:t>
      </w:r>
      <w:r>
        <w:rPr>
          <w:rFonts w:cs="Times New Roman"/>
          <w:sz w:val="18"/>
          <w:szCs w:val="18"/>
          <w:lang w:val="es-ES_tradnl"/>
        </w:rPr>
        <w:t>ó</w:t>
      </w:r>
      <w:r>
        <w:rPr>
          <w:sz w:val="18"/>
          <w:szCs w:val="18"/>
          <w:lang w:val="es-ES_tradnl"/>
        </w:rPr>
        <w:t>n del Estado</w:t>
      </w:r>
      <w:r>
        <w:rPr>
          <w:i/>
          <w:iCs/>
          <w:sz w:val="18"/>
          <w:szCs w:val="18"/>
          <w:lang w:val="es-ES_tradnl"/>
        </w:rPr>
        <w:t>.</w:t>
      </w:r>
    </w:p>
    <w:p w14:paraId="4F67A470" w14:textId="77777777" w:rsidR="00591D54" w:rsidRDefault="00591D54">
      <w:pPr>
        <w:shd w:val="clear" w:color="auto" w:fill="FFFFFF"/>
        <w:spacing w:before="197" w:line="216" w:lineRule="exact"/>
        <w:ind w:right="5"/>
        <w:jc w:val="both"/>
      </w:pPr>
      <w:r>
        <w:rPr>
          <w:spacing w:val="-6"/>
          <w:sz w:val="18"/>
          <w:szCs w:val="18"/>
          <w:lang w:val="es-ES_tradnl"/>
        </w:rPr>
        <w:t>La legitimada activa se</w:t>
      </w:r>
      <w:r>
        <w:rPr>
          <w:rFonts w:cs="Times New Roman"/>
          <w:spacing w:val="-6"/>
          <w:sz w:val="18"/>
          <w:szCs w:val="18"/>
          <w:lang w:val="es-ES_tradnl"/>
        </w:rPr>
        <w:t>ñ</w:t>
      </w:r>
      <w:r>
        <w:rPr>
          <w:spacing w:val="-6"/>
          <w:sz w:val="18"/>
          <w:szCs w:val="18"/>
          <w:lang w:val="es-ES_tradnl"/>
        </w:rPr>
        <w:t xml:space="preserve">ala que las sanciones que se le </w:t>
      </w:r>
      <w:r>
        <w:rPr>
          <w:spacing w:val="-4"/>
          <w:sz w:val="18"/>
          <w:szCs w:val="18"/>
          <w:lang w:val="es-ES_tradnl"/>
        </w:rPr>
        <w:t>aplicaron fueron el resultado de un an</w:t>
      </w:r>
      <w:r>
        <w:rPr>
          <w:rFonts w:cs="Times New Roman"/>
          <w:spacing w:val="-4"/>
          <w:sz w:val="18"/>
          <w:szCs w:val="18"/>
          <w:lang w:val="es-ES_tradnl"/>
        </w:rPr>
        <w:t>á</w:t>
      </w:r>
      <w:r>
        <w:rPr>
          <w:spacing w:val="-4"/>
          <w:sz w:val="18"/>
          <w:szCs w:val="18"/>
          <w:lang w:val="es-ES_tradnl"/>
        </w:rPr>
        <w:t xml:space="preserve">lisis ligero de las </w:t>
      </w:r>
      <w:r>
        <w:rPr>
          <w:spacing w:val="-3"/>
          <w:sz w:val="18"/>
          <w:szCs w:val="18"/>
          <w:lang w:val="es-ES_tradnl"/>
        </w:rPr>
        <w:t xml:space="preserve">normas contenidas en el Reglamento Disciplinario para </w:t>
      </w:r>
      <w:r>
        <w:rPr>
          <w:spacing w:val="-5"/>
          <w:sz w:val="18"/>
          <w:szCs w:val="18"/>
          <w:lang w:val="es-ES_tradnl"/>
        </w:rPr>
        <w:t>la Escuela Superior de Polic</w:t>
      </w:r>
      <w:r>
        <w:rPr>
          <w:rFonts w:cs="Times New Roman"/>
          <w:spacing w:val="-5"/>
          <w:sz w:val="18"/>
          <w:szCs w:val="18"/>
          <w:lang w:val="es-ES_tradnl"/>
        </w:rPr>
        <w:t>í</w:t>
      </w:r>
      <w:r>
        <w:rPr>
          <w:spacing w:val="-5"/>
          <w:sz w:val="18"/>
          <w:szCs w:val="18"/>
          <w:lang w:val="es-ES_tradnl"/>
        </w:rPr>
        <w:t xml:space="preserve">a </w:t>
      </w:r>
      <w:r>
        <w:rPr>
          <w:rFonts w:cs="Times New Roman"/>
          <w:spacing w:val="-5"/>
          <w:sz w:val="18"/>
          <w:szCs w:val="18"/>
          <w:lang w:val="es-ES_tradnl"/>
        </w:rPr>
        <w:t>“</w:t>
      </w:r>
      <w:r>
        <w:rPr>
          <w:spacing w:val="-5"/>
          <w:sz w:val="18"/>
          <w:szCs w:val="18"/>
          <w:lang w:val="es-ES_tradnl"/>
        </w:rPr>
        <w:t>General Alberto Enr</w:t>
      </w:r>
      <w:r>
        <w:rPr>
          <w:rFonts w:cs="Times New Roman"/>
          <w:spacing w:val="-5"/>
          <w:sz w:val="18"/>
          <w:szCs w:val="18"/>
          <w:lang w:val="es-ES_tradnl"/>
        </w:rPr>
        <w:t>í</w:t>
      </w:r>
      <w:r>
        <w:rPr>
          <w:spacing w:val="-5"/>
          <w:sz w:val="18"/>
          <w:szCs w:val="18"/>
          <w:lang w:val="es-ES_tradnl"/>
        </w:rPr>
        <w:t>quez Gallo</w:t>
      </w:r>
      <w:r>
        <w:rPr>
          <w:rFonts w:cs="Times New Roman"/>
          <w:spacing w:val="-5"/>
          <w:sz w:val="18"/>
          <w:szCs w:val="18"/>
          <w:lang w:val="es-ES_tradnl"/>
        </w:rPr>
        <w:t>”</w:t>
      </w:r>
      <w:r>
        <w:rPr>
          <w:spacing w:val="-5"/>
          <w:sz w:val="18"/>
          <w:szCs w:val="18"/>
          <w:lang w:val="es-ES_tradnl"/>
        </w:rPr>
        <w:t>; espec</w:t>
      </w:r>
      <w:r>
        <w:rPr>
          <w:rFonts w:cs="Times New Roman"/>
          <w:spacing w:val="-5"/>
          <w:sz w:val="18"/>
          <w:szCs w:val="18"/>
          <w:lang w:val="es-ES_tradnl"/>
        </w:rPr>
        <w:t>í</w:t>
      </w:r>
      <w:r>
        <w:rPr>
          <w:spacing w:val="-5"/>
          <w:sz w:val="18"/>
          <w:szCs w:val="18"/>
          <w:lang w:val="es-ES_tradnl"/>
        </w:rPr>
        <w:t>ficamente se</w:t>
      </w:r>
      <w:r>
        <w:rPr>
          <w:rFonts w:cs="Times New Roman"/>
          <w:spacing w:val="-5"/>
          <w:sz w:val="18"/>
          <w:szCs w:val="18"/>
          <w:lang w:val="es-ES_tradnl"/>
        </w:rPr>
        <w:t>ñ</w:t>
      </w:r>
      <w:r>
        <w:rPr>
          <w:spacing w:val="-5"/>
          <w:sz w:val="18"/>
          <w:szCs w:val="18"/>
          <w:lang w:val="es-ES_tradnl"/>
        </w:rPr>
        <w:t>ala que se incumplieron los art</w:t>
      </w:r>
      <w:r>
        <w:rPr>
          <w:rFonts w:cs="Times New Roman"/>
          <w:spacing w:val="-5"/>
          <w:sz w:val="18"/>
          <w:szCs w:val="18"/>
          <w:lang w:val="es-ES_tradnl"/>
        </w:rPr>
        <w:t>í</w:t>
      </w:r>
      <w:r>
        <w:rPr>
          <w:spacing w:val="-5"/>
          <w:sz w:val="18"/>
          <w:szCs w:val="18"/>
          <w:lang w:val="es-ES_tradnl"/>
        </w:rPr>
        <w:t>culos 11, 37, 66 y 68 del mencionado cuerpo legal.</w:t>
      </w:r>
    </w:p>
    <w:p w14:paraId="4F67A471" w14:textId="77777777" w:rsidR="00591D54" w:rsidRDefault="00591D54">
      <w:pPr>
        <w:shd w:val="clear" w:color="auto" w:fill="FFFFFF"/>
        <w:spacing w:before="202" w:line="216" w:lineRule="exact"/>
        <w:jc w:val="both"/>
      </w:pPr>
      <w:r>
        <w:rPr>
          <w:spacing w:val="-5"/>
          <w:sz w:val="18"/>
          <w:szCs w:val="18"/>
          <w:lang w:val="es-ES_tradnl"/>
        </w:rPr>
        <w:t xml:space="preserve">Finalmente, indica que se vulneraron los derechos </w:t>
      </w:r>
      <w:r>
        <w:rPr>
          <w:spacing w:val="-4"/>
          <w:sz w:val="18"/>
          <w:szCs w:val="18"/>
          <w:lang w:val="es-ES_tradnl"/>
        </w:rPr>
        <w:t xml:space="preserve">contemplados en las normas internas que regulan el </w:t>
      </w:r>
      <w:r>
        <w:rPr>
          <w:spacing w:val="-3"/>
          <w:sz w:val="18"/>
          <w:szCs w:val="18"/>
          <w:lang w:val="es-ES_tradnl"/>
        </w:rPr>
        <w:t>ejercicio de la Polic</w:t>
      </w:r>
      <w:r>
        <w:rPr>
          <w:rFonts w:cs="Times New Roman"/>
          <w:spacing w:val="-3"/>
          <w:sz w:val="18"/>
          <w:szCs w:val="18"/>
          <w:lang w:val="es-ES_tradnl"/>
        </w:rPr>
        <w:t>í</w:t>
      </w:r>
      <w:r>
        <w:rPr>
          <w:spacing w:val="-3"/>
          <w:sz w:val="18"/>
          <w:szCs w:val="18"/>
          <w:lang w:val="es-ES_tradnl"/>
        </w:rPr>
        <w:t>a Nacional del Ecuador y tambi</w:t>
      </w:r>
      <w:r>
        <w:rPr>
          <w:rFonts w:cs="Times New Roman"/>
          <w:spacing w:val="-3"/>
          <w:sz w:val="18"/>
          <w:szCs w:val="18"/>
          <w:lang w:val="es-ES_tradnl"/>
        </w:rPr>
        <w:t>é</w:t>
      </w:r>
      <w:r>
        <w:rPr>
          <w:spacing w:val="-3"/>
          <w:sz w:val="18"/>
          <w:szCs w:val="18"/>
          <w:lang w:val="es-ES_tradnl"/>
        </w:rPr>
        <w:t xml:space="preserve">n </w:t>
      </w:r>
      <w:r>
        <w:rPr>
          <w:spacing w:val="-4"/>
          <w:sz w:val="18"/>
          <w:szCs w:val="18"/>
          <w:lang w:val="es-ES_tradnl"/>
        </w:rPr>
        <w:t xml:space="preserve">normas y principios constitucionales, ya que como se </w:t>
      </w:r>
      <w:r>
        <w:rPr>
          <w:spacing w:val="-6"/>
          <w:sz w:val="18"/>
          <w:szCs w:val="18"/>
          <w:lang w:val="es-ES_tradnl"/>
        </w:rPr>
        <w:t>desprende en su cartilla de vida, a criterio de la legitimada activa, se puede constatar que se le atribuyen faltas disciplinarias repetitivas en d</w:t>
      </w:r>
      <w:r>
        <w:rPr>
          <w:rFonts w:cs="Times New Roman"/>
          <w:spacing w:val="-6"/>
          <w:sz w:val="18"/>
          <w:szCs w:val="18"/>
          <w:lang w:val="es-ES_tradnl"/>
        </w:rPr>
        <w:t>í</w:t>
      </w:r>
      <w:r>
        <w:rPr>
          <w:spacing w:val="-6"/>
          <w:sz w:val="18"/>
          <w:szCs w:val="18"/>
          <w:lang w:val="es-ES_tradnl"/>
        </w:rPr>
        <w:t xml:space="preserve">as iguales, por las cuales se </w:t>
      </w:r>
      <w:r>
        <w:rPr>
          <w:spacing w:val="-4"/>
          <w:sz w:val="18"/>
          <w:szCs w:val="18"/>
          <w:lang w:val="es-ES_tradnl"/>
        </w:rPr>
        <w:t xml:space="preserve">siente perjudicada por el </w:t>
      </w:r>
      <w:r>
        <w:rPr>
          <w:rFonts w:cs="Times New Roman"/>
          <w:spacing w:val="-4"/>
          <w:sz w:val="18"/>
          <w:szCs w:val="18"/>
          <w:lang w:val="es-ES_tradnl"/>
        </w:rPr>
        <w:t>Ó</w:t>
      </w:r>
      <w:r>
        <w:rPr>
          <w:spacing w:val="-4"/>
          <w:sz w:val="18"/>
          <w:szCs w:val="18"/>
          <w:lang w:val="es-ES_tradnl"/>
        </w:rPr>
        <w:t>rgano Policial</w:t>
      </w:r>
      <w:r>
        <w:rPr>
          <w:i/>
          <w:iCs/>
          <w:spacing w:val="-4"/>
          <w:sz w:val="18"/>
          <w:szCs w:val="18"/>
          <w:lang w:val="es-ES_tradnl"/>
        </w:rPr>
        <w:t>.</w:t>
      </w:r>
    </w:p>
    <w:p w14:paraId="4F67A472" w14:textId="77777777" w:rsidR="00591D54" w:rsidRDefault="00591D54">
      <w:pPr>
        <w:shd w:val="clear" w:color="auto" w:fill="FFFFFF"/>
        <w:spacing w:before="202" w:line="216" w:lineRule="exact"/>
        <w:jc w:val="both"/>
        <w:sectPr w:rsidR="00591D54">
          <w:type w:val="continuous"/>
          <w:pgSz w:w="11909" w:h="16834"/>
          <w:pgMar w:top="1368" w:right="1304" w:bottom="360" w:left="1308" w:header="720" w:footer="720" w:gutter="0"/>
          <w:cols w:num="2" w:space="720" w:equalWidth="0">
            <w:col w:w="4305" w:space="682"/>
            <w:col w:w="4310"/>
          </w:cols>
          <w:noEndnote/>
        </w:sectPr>
      </w:pPr>
    </w:p>
    <w:p w14:paraId="4F67A473" w14:textId="77777777" w:rsidR="00591D54" w:rsidRDefault="00591D54">
      <w:pPr>
        <w:shd w:val="clear" w:color="auto" w:fill="FFFFFF"/>
        <w:tabs>
          <w:tab w:val="left" w:pos="5952"/>
        </w:tabs>
        <w:spacing w:after="226"/>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- 17</w:t>
      </w:r>
    </w:p>
    <w:p w14:paraId="4F67A474" w14:textId="77777777" w:rsidR="00591D54" w:rsidRDefault="00591D54">
      <w:pPr>
        <w:shd w:val="clear" w:color="auto" w:fill="FFFFFF"/>
        <w:tabs>
          <w:tab w:val="left" w:pos="5952"/>
        </w:tabs>
        <w:spacing w:after="226"/>
        <w:ind w:left="5"/>
        <w:sectPr w:rsidR="00591D54">
          <w:pgSz w:w="11909" w:h="16834"/>
          <w:pgMar w:top="1373" w:right="1309" w:bottom="360" w:left="1308" w:header="720" w:footer="720" w:gutter="0"/>
          <w:cols w:space="60"/>
          <w:noEndnote/>
        </w:sectPr>
      </w:pPr>
    </w:p>
    <w:p w14:paraId="4F67A475" w14:textId="77777777" w:rsidR="00591D54" w:rsidRDefault="00591D54">
      <w:pPr>
        <w:shd w:val="clear" w:color="auto" w:fill="FFFFFF"/>
      </w:pPr>
      <w:r>
        <w:rPr>
          <w:b/>
          <w:bCs/>
          <w:spacing w:val="-11"/>
          <w:sz w:val="18"/>
          <w:szCs w:val="18"/>
          <w:lang w:val="es-ES_tradnl"/>
        </w:rPr>
        <w:t>Pretensi</w:t>
      </w:r>
      <w:r>
        <w:rPr>
          <w:rFonts w:cs="Times New Roman"/>
          <w:b/>
          <w:bCs/>
          <w:spacing w:val="-11"/>
          <w:sz w:val="18"/>
          <w:szCs w:val="18"/>
          <w:lang w:val="es-ES_tradnl"/>
        </w:rPr>
        <w:t>ó</w:t>
      </w:r>
      <w:r>
        <w:rPr>
          <w:b/>
          <w:bCs/>
          <w:spacing w:val="-11"/>
          <w:sz w:val="18"/>
          <w:szCs w:val="18"/>
          <w:lang w:val="es-ES_tradnl"/>
        </w:rPr>
        <w:t>n</w:t>
      </w:r>
    </w:p>
    <w:p w14:paraId="4F67A476" w14:textId="77777777" w:rsidR="00591D54" w:rsidRDefault="00591D54">
      <w:pPr>
        <w:shd w:val="clear" w:color="auto" w:fill="FFFFFF"/>
        <w:spacing w:before="197"/>
      </w:pPr>
      <w:r>
        <w:rPr>
          <w:spacing w:val="-10"/>
          <w:sz w:val="18"/>
          <w:szCs w:val="18"/>
          <w:lang w:val="es-ES_tradnl"/>
        </w:rPr>
        <w:t>La accionante se</w:t>
      </w:r>
      <w:r>
        <w:rPr>
          <w:rFonts w:cs="Times New Roman"/>
          <w:spacing w:val="-10"/>
          <w:sz w:val="18"/>
          <w:szCs w:val="18"/>
          <w:lang w:val="es-ES_tradnl"/>
        </w:rPr>
        <w:t>ñ</w:t>
      </w:r>
      <w:r>
        <w:rPr>
          <w:spacing w:val="-10"/>
          <w:sz w:val="18"/>
          <w:szCs w:val="18"/>
          <w:lang w:val="es-ES_tradnl"/>
        </w:rPr>
        <w:t>al</w:t>
      </w:r>
      <w:r>
        <w:rPr>
          <w:rFonts w:cs="Times New Roman"/>
          <w:spacing w:val="-10"/>
          <w:sz w:val="18"/>
          <w:szCs w:val="18"/>
          <w:lang w:val="es-ES_tradnl"/>
        </w:rPr>
        <w:t>ó</w:t>
      </w:r>
      <w:r>
        <w:rPr>
          <w:spacing w:val="-10"/>
          <w:sz w:val="18"/>
          <w:szCs w:val="18"/>
          <w:lang w:val="es-ES_tradnl"/>
        </w:rPr>
        <w:t xml:space="preserve"> como pretensi</w:t>
      </w:r>
      <w:r>
        <w:rPr>
          <w:rFonts w:cs="Times New Roman"/>
          <w:spacing w:val="-10"/>
          <w:sz w:val="18"/>
          <w:szCs w:val="18"/>
          <w:lang w:val="es-ES_tradnl"/>
        </w:rPr>
        <w:t>ó</w:t>
      </w:r>
      <w:r>
        <w:rPr>
          <w:spacing w:val="-10"/>
          <w:sz w:val="18"/>
          <w:szCs w:val="18"/>
          <w:lang w:val="es-ES_tradnl"/>
        </w:rPr>
        <w:t>n concreta lo siguiente:</w:t>
      </w:r>
    </w:p>
    <w:p w14:paraId="4F67A477" w14:textId="77777777" w:rsidR="00591D54" w:rsidRDefault="00591D54">
      <w:pPr>
        <w:shd w:val="clear" w:color="auto" w:fill="FFFFFF"/>
        <w:spacing w:before="206" w:line="216" w:lineRule="exact"/>
        <w:ind w:left="283" w:right="5"/>
        <w:jc w:val="both"/>
      </w:pPr>
      <w:r>
        <w:rPr>
          <w:spacing w:val="-5"/>
          <w:sz w:val="16"/>
          <w:szCs w:val="16"/>
          <w:lang w:val="es-ES_tradnl"/>
        </w:rPr>
        <w:t>Las circunstancias arbitrarias e ileg</w:t>
      </w:r>
      <w:r>
        <w:rPr>
          <w:rFonts w:cs="Times New Roman"/>
          <w:spacing w:val="-5"/>
          <w:sz w:val="16"/>
          <w:szCs w:val="16"/>
          <w:lang w:val="es-ES_tradnl"/>
        </w:rPr>
        <w:t>í</w:t>
      </w:r>
      <w:r>
        <w:rPr>
          <w:spacing w:val="-5"/>
          <w:sz w:val="16"/>
          <w:szCs w:val="16"/>
          <w:lang w:val="es-ES_tradnl"/>
        </w:rPr>
        <w:t xml:space="preserve">timas y la inobservancia </w:t>
      </w:r>
      <w:r>
        <w:rPr>
          <w:spacing w:val="-7"/>
          <w:sz w:val="16"/>
          <w:szCs w:val="16"/>
          <w:lang w:val="es-ES_tradnl"/>
        </w:rPr>
        <w:t xml:space="preserve">por parte del accionado a los derechos que me garantizan la </w:t>
      </w:r>
      <w:r>
        <w:rPr>
          <w:spacing w:val="-6"/>
          <w:sz w:val="16"/>
          <w:szCs w:val="16"/>
          <w:lang w:val="es-ES_tradnl"/>
        </w:rPr>
        <w:t>Constituci</w:t>
      </w:r>
      <w:r>
        <w:rPr>
          <w:rFonts w:cs="Times New Roman"/>
          <w:spacing w:val="-6"/>
          <w:sz w:val="16"/>
          <w:szCs w:val="16"/>
          <w:lang w:val="es-ES_tradnl"/>
        </w:rPr>
        <w:t>ó</w:t>
      </w:r>
      <w:r>
        <w:rPr>
          <w:spacing w:val="-6"/>
          <w:sz w:val="16"/>
          <w:szCs w:val="16"/>
          <w:lang w:val="es-ES_tradnl"/>
        </w:rPr>
        <w:t>n de la Rep</w:t>
      </w:r>
      <w:r>
        <w:rPr>
          <w:rFonts w:cs="Times New Roman"/>
          <w:spacing w:val="-6"/>
          <w:sz w:val="16"/>
          <w:szCs w:val="16"/>
          <w:lang w:val="es-ES_tradnl"/>
        </w:rPr>
        <w:t>ú</w:t>
      </w:r>
      <w:r>
        <w:rPr>
          <w:spacing w:val="-6"/>
          <w:sz w:val="16"/>
          <w:szCs w:val="16"/>
          <w:lang w:val="es-ES_tradnl"/>
        </w:rPr>
        <w:t xml:space="preserve">blica del Ecuador y del denominado </w:t>
      </w:r>
      <w:r>
        <w:rPr>
          <w:spacing w:val="-2"/>
          <w:sz w:val="16"/>
          <w:szCs w:val="16"/>
          <w:lang w:val="es-ES_tradnl"/>
        </w:rPr>
        <w:t>bloque de la Constitucionalidad, me permito se</w:t>
      </w:r>
      <w:r>
        <w:rPr>
          <w:rFonts w:cs="Times New Roman"/>
          <w:spacing w:val="-2"/>
          <w:sz w:val="16"/>
          <w:szCs w:val="16"/>
          <w:lang w:val="es-ES_tradnl"/>
        </w:rPr>
        <w:t>ñ</w:t>
      </w:r>
      <w:r>
        <w:rPr>
          <w:spacing w:val="-2"/>
          <w:sz w:val="16"/>
          <w:szCs w:val="16"/>
          <w:lang w:val="es-ES_tradnl"/>
        </w:rPr>
        <w:t xml:space="preserve">ores </w:t>
      </w:r>
      <w:r>
        <w:rPr>
          <w:spacing w:val="-11"/>
          <w:sz w:val="16"/>
          <w:szCs w:val="16"/>
          <w:lang w:val="es-ES_tradnl"/>
        </w:rPr>
        <w:t xml:space="preserve">Magistrados demandar concretamente a fin de que se acepte mi </w:t>
      </w:r>
      <w:r>
        <w:rPr>
          <w:spacing w:val="-7"/>
          <w:sz w:val="16"/>
          <w:szCs w:val="16"/>
          <w:lang w:val="es-ES_tradnl"/>
        </w:rPr>
        <w:t xml:space="preserve">demanda y mediante sentencia se declare el incumplimiento, </w:t>
      </w:r>
      <w:r>
        <w:rPr>
          <w:spacing w:val="-1"/>
          <w:sz w:val="16"/>
          <w:szCs w:val="16"/>
          <w:lang w:val="es-ES_tradnl"/>
        </w:rPr>
        <w:t>producido en la resoluci</w:t>
      </w:r>
      <w:r>
        <w:rPr>
          <w:rFonts w:cs="Times New Roman"/>
          <w:spacing w:val="-1"/>
          <w:sz w:val="16"/>
          <w:szCs w:val="16"/>
          <w:lang w:val="es-ES_tradnl"/>
        </w:rPr>
        <w:t>ó</w:t>
      </w:r>
      <w:r>
        <w:rPr>
          <w:spacing w:val="-1"/>
          <w:sz w:val="16"/>
          <w:szCs w:val="16"/>
          <w:lang w:val="es-ES_tradnl"/>
        </w:rPr>
        <w:t xml:space="preserve">n administrativa, adoptada en </w:t>
      </w:r>
      <w:r>
        <w:rPr>
          <w:spacing w:val="-5"/>
          <w:sz w:val="16"/>
          <w:szCs w:val="16"/>
          <w:lang w:val="es-ES_tradnl"/>
        </w:rPr>
        <w:t>sesi</w:t>
      </w:r>
      <w:r>
        <w:rPr>
          <w:rFonts w:cs="Times New Roman"/>
          <w:spacing w:val="-5"/>
          <w:sz w:val="16"/>
          <w:szCs w:val="16"/>
          <w:lang w:val="es-ES_tradnl"/>
        </w:rPr>
        <w:t>ó</w:t>
      </w:r>
      <w:r>
        <w:rPr>
          <w:spacing w:val="-5"/>
          <w:sz w:val="16"/>
          <w:szCs w:val="16"/>
          <w:lang w:val="es-ES_tradnl"/>
        </w:rPr>
        <w:t xml:space="preserve">n extraordinaria del H. Consejo Directivo de la Escuela </w:t>
      </w:r>
      <w:r>
        <w:rPr>
          <w:spacing w:val="-6"/>
          <w:sz w:val="16"/>
          <w:szCs w:val="16"/>
          <w:lang w:val="es-ES_tradnl"/>
        </w:rPr>
        <w:t>Superior de Polic</w:t>
      </w:r>
      <w:r>
        <w:rPr>
          <w:rFonts w:cs="Times New Roman"/>
          <w:spacing w:val="-6"/>
          <w:sz w:val="16"/>
          <w:szCs w:val="16"/>
          <w:lang w:val="es-ES_tradnl"/>
        </w:rPr>
        <w:t>í</w:t>
      </w:r>
      <w:r>
        <w:rPr>
          <w:spacing w:val="-6"/>
          <w:sz w:val="16"/>
          <w:szCs w:val="16"/>
          <w:lang w:val="es-ES_tradnl"/>
        </w:rPr>
        <w:t>a, realizada el d</w:t>
      </w:r>
      <w:r>
        <w:rPr>
          <w:rFonts w:cs="Times New Roman"/>
          <w:spacing w:val="-6"/>
          <w:sz w:val="16"/>
          <w:szCs w:val="16"/>
          <w:lang w:val="es-ES_tradnl"/>
        </w:rPr>
        <w:t>í</w:t>
      </w:r>
      <w:r>
        <w:rPr>
          <w:spacing w:val="-6"/>
          <w:sz w:val="16"/>
          <w:szCs w:val="16"/>
          <w:lang w:val="es-ES_tradnl"/>
        </w:rPr>
        <w:t xml:space="preserve">a lunes 17 de agosto del </w:t>
      </w:r>
      <w:r>
        <w:rPr>
          <w:spacing w:val="-8"/>
          <w:sz w:val="16"/>
          <w:szCs w:val="16"/>
          <w:lang w:val="es-ES_tradnl"/>
        </w:rPr>
        <w:t>2009; por cuanto no se ha garantizado la aplicaci</w:t>
      </w:r>
      <w:r>
        <w:rPr>
          <w:rFonts w:cs="Times New Roman"/>
          <w:spacing w:val="-8"/>
          <w:sz w:val="16"/>
          <w:szCs w:val="16"/>
          <w:lang w:val="es-ES_tradnl"/>
        </w:rPr>
        <w:t>ó</w:t>
      </w:r>
      <w:r>
        <w:rPr>
          <w:spacing w:val="-8"/>
          <w:sz w:val="16"/>
          <w:szCs w:val="16"/>
          <w:lang w:val="es-ES_tradnl"/>
        </w:rPr>
        <w:t xml:space="preserve">n adecuada </w:t>
      </w:r>
      <w:r>
        <w:rPr>
          <w:spacing w:val="-7"/>
          <w:sz w:val="16"/>
          <w:szCs w:val="16"/>
          <w:lang w:val="es-ES_tradnl"/>
        </w:rPr>
        <w:t>de las normas que integran el sistema jur</w:t>
      </w:r>
      <w:r>
        <w:rPr>
          <w:rFonts w:cs="Times New Roman"/>
          <w:spacing w:val="-7"/>
          <w:sz w:val="16"/>
          <w:szCs w:val="16"/>
          <w:lang w:val="es-ES_tradnl"/>
        </w:rPr>
        <w:t>í</w:t>
      </w:r>
      <w:r>
        <w:rPr>
          <w:spacing w:val="-7"/>
          <w:sz w:val="16"/>
          <w:szCs w:val="16"/>
          <w:lang w:val="es-ES_tradnl"/>
        </w:rPr>
        <w:t xml:space="preserve">dico, concretamente </w:t>
      </w:r>
      <w:r>
        <w:rPr>
          <w:spacing w:val="-6"/>
          <w:sz w:val="16"/>
          <w:szCs w:val="16"/>
          <w:lang w:val="es-ES_tradnl"/>
        </w:rPr>
        <w:t>las normas invocadas en el Reglamento de R</w:t>
      </w:r>
      <w:r>
        <w:rPr>
          <w:rFonts w:cs="Times New Roman"/>
          <w:spacing w:val="-6"/>
          <w:sz w:val="16"/>
          <w:szCs w:val="16"/>
          <w:lang w:val="es-ES_tradnl"/>
        </w:rPr>
        <w:t>é</w:t>
      </w:r>
      <w:r>
        <w:rPr>
          <w:spacing w:val="-6"/>
          <w:sz w:val="16"/>
          <w:szCs w:val="16"/>
          <w:lang w:val="es-ES_tradnl"/>
        </w:rPr>
        <w:t>gimen Interno de la Escuela Superior de Polic</w:t>
      </w:r>
      <w:r>
        <w:rPr>
          <w:rFonts w:cs="Times New Roman"/>
          <w:spacing w:val="-6"/>
          <w:sz w:val="16"/>
          <w:szCs w:val="16"/>
          <w:lang w:val="es-ES_tradnl"/>
        </w:rPr>
        <w:t>í</w:t>
      </w:r>
      <w:r>
        <w:rPr>
          <w:spacing w:val="-6"/>
          <w:sz w:val="16"/>
          <w:szCs w:val="16"/>
          <w:lang w:val="es-ES_tradnl"/>
        </w:rPr>
        <w:t xml:space="preserve">a, y se digne disponer a los </w:t>
      </w:r>
      <w:r>
        <w:rPr>
          <w:sz w:val="16"/>
          <w:szCs w:val="16"/>
          <w:lang w:val="es-ES_tradnl"/>
        </w:rPr>
        <w:t>accionados:</w:t>
      </w:r>
    </w:p>
    <w:p w14:paraId="4F67A478" w14:textId="77777777" w:rsidR="00591D54" w:rsidRDefault="00591D54">
      <w:pPr>
        <w:shd w:val="clear" w:color="auto" w:fill="FFFFFF"/>
        <w:tabs>
          <w:tab w:val="left" w:pos="581"/>
        </w:tabs>
        <w:spacing w:before="211" w:line="216" w:lineRule="exact"/>
        <w:ind w:left="283"/>
        <w:jc w:val="both"/>
      </w:pPr>
      <w:r>
        <w:rPr>
          <w:spacing w:val="-12"/>
          <w:sz w:val="16"/>
          <w:szCs w:val="16"/>
          <w:lang w:val="es-ES_tradnl"/>
        </w:rPr>
        <w:t>a)</w:t>
      </w:r>
      <w:r>
        <w:rPr>
          <w:sz w:val="18"/>
          <w:szCs w:val="18"/>
          <w:lang w:val="es-ES_tradnl"/>
        </w:rPr>
        <w:tab/>
      </w:r>
      <w:r>
        <w:rPr>
          <w:spacing w:val="-1"/>
          <w:sz w:val="16"/>
          <w:szCs w:val="16"/>
          <w:lang w:val="es-ES_tradnl"/>
        </w:rPr>
        <w:t>Se</w:t>
      </w:r>
      <w:r>
        <w:rPr>
          <w:spacing w:val="-1"/>
          <w:sz w:val="18"/>
          <w:szCs w:val="18"/>
          <w:lang w:val="es-ES_tradnl"/>
        </w:rPr>
        <w:t xml:space="preserve"> </w:t>
      </w:r>
      <w:r>
        <w:rPr>
          <w:spacing w:val="-1"/>
          <w:sz w:val="16"/>
          <w:szCs w:val="16"/>
          <w:lang w:val="es-ES_tradnl"/>
        </w:rPr>
        <w:t>deje</w:t>
      </w:r>
      <w:r>
        <w:rPr>
          <w:spacing w:val="-1"/>
          <w:sz w:val="18"/>
          <w:szCs w:val="18"/>
          <w:lang w:val="es-ES_tradnl"/>
        </w:rPr>
        <w:t xml:space="preserve"> </w:t>
      </w:r>
      <w:r>
        <w:rPr>
          <w:spacing w:val="-1"/>
          <w:sz w:val="16"/>
          <w:szCs w:val="16"/>
          <w:lang w:val="es-ES_tradnl"/>
        </w:rPr>
        <w:t>sin</w:t>
      </w:r>
      <w:r>
        <w:rPr>
          <w:spacing w:val="-1"/>
          <w:sz w:val="18"/>
          <w:szCs w:val="18"/>
          <w:lang w:val="es-ES_tradnl"/>
        </w:rPr>
        <w:t xml:space="preserve"> </w:t>
      </w:r>
      <w:r>
        <w:rPr>
          <w:spacing w:val="-1"/>
          <w:sz w:val="16"/>
          <w:szCs w:val="16"/>
          <w:lang w:val="es-ES_tradnl"/>
        </w:rPr>
        <w:t>efecto</w:t>
      </w:r>
      <w:r>
        <w:rPr>
          <w:spacing w:val="-1"/>
          <w:sz w:val="18"/>
          <w:szCs w:val="18"/>
          <w:lang w:val="es-ES_tradnl"/>
        </w:rPr>
        <w:t xml:space="preserve"> </w:t>
      </w:r>
      <w:r>
        <w:rPr>
          <w:spacing w:val="-1"/>
          <w:sz w:val="16"/>
          <w:szCs w:val="16"/>
          <w:lang w:val="es-ES_tradnl"/>
        </w:rPr>
        <w:t>las</w:t>
      </w:r>
      <w:r>
        <w:rPr>
          <w:spacing w:val="-1"/>
          <w:sz w:val="18"/>
          <w:szCs w:val="18"/>
          <w:lang w:val="es-ES_tradnl"/>
        </w:rPr>
        <w:t xml:space="preserve"> </w:t>
      </w:r>
      <w:r>
        <w:rPr>
          <w:spacing w:val="-1"/>
          <w:sz w:val="16"/>
          <w:szCs w:val="16"/>
          <w:lang w:val="es-ES_tradnl"/>
        </w:rPr>
        <w:t>sanciones</w:t>
      </w:r>
      <w:r>
        <w:rPr>
          <w:spacing w:val="-1"/>
          <w:sz w:val="18"/>
          <w:szCs w:val="18"/>
          <w:lang w:val="es-ES_tradnl"/>
        </w:rPr>
        <w:t xml:space="preserve"> </w:t>
      </w:r>
      <w:r>
        <w:rPr>
          <w:spacing w:val="-1"/>
          <w:sz w:val="16"/>
          <w:szCs w:val="16"/>
          <w:lang w:val="es-ES_tradnl"/>
        </w:rPr>
        <w:t>disciplinarias </w:t>
      </w:r>
      <w:r>
        <w:rPr>
          <w:spacing w:val="-6"/>
          <w:sz w:val="16"/>
          <w:szCs w:val="16"/>
          <w:lang w:val="es-ES_tradnl"/>
        </w:rPr>
        <w:t>correspondientes la segunda evaluaci</w:t>
      </w:r>
      <w:r>
        <w:rPr>
          <w:rFonts w:cs="Times New Roman"/>
          <w:spacing w:val="-6"/>
          <w:sz w:val="16"/>
          <w:szCs w:val="16"/>
          <w:lang w:val="es-ES_tradnl"/>
        </w:rPr>
        <w:t>ó</w:t>
      </w:r>
      <w:r>
        <w:rPr>
          <w:spacing w:val="-6"/>
          <w:sz w:val="16"/>
          <w:szCs w:val="16"/>
          <w:lang w:val="es-ES_tradnl"/>
        </w:rPr>
        <w:t>n del cuarto ciclo de conducta, impuestas en mi contra, y se vuelva a realizar una </w:t>
      </w:r>
      <w:r>
        <w:rPr>
          <w:spacing w:val="-7"/>
          <w:sz w:val="16"/>
          <w:szCs w:val="16"/>
          <w:lang w:val="es-ES_tradnl"/>
        </w:rPr>
        <w:t>evaluaci</w:t>
      </w:r>
      <w:r>
        <w:rPr>
          <w:rFonts w:cs="Times New Roman"/>
          <w:spacing w:val="-7"/>
          <w:sz w:val="16"/>
          <w:szCs w:val="16"/>
          <w:lang w:val="es-ES_tradnl"/>
        </w:rPr>
        <w:t>ó</w:t>
      </w:r>
      <w:r>
        <w:rPr>
          <w:spacing w:val="-7"/>
          <w:sz w:val="16"/>
          <w:szCs w:val="16"/>
          <w:lang w:val="es-ES_tradnl"/>
        </w:rPr>
        <w:t>n conforme a lo estipulado en los arts. 244 y 303 del </w:t>
      </w:r>
      <w:r>
        <w:rPr>
          <w:spacing w:val="-6"/>
          <w:sz w:val="16"/>
          <w:szCs w:val="16"/>
          <w:lang w:val="es-ES_tradnl"/>
        </w:rPr>
        <w:t>Reglamento de R</w:t>
      </w:r>
      <w:r>
        <w:rPr>
          <w:rFonts w:cs="Times New Roman"/>
          <w:spacing w:val="-6"/>
          <w:sz w:val="16"/>
          <w:szCs w:val="16"/>
          <w:lang w:val="es-ES_tradnl"/>
        </w:rPr>
        <w:t>é</w:t>
      </w:r>
      <w:r>
        <w:rPr>
          <w:spacing w:val="-6"/>
          <w:sz w:val="16"/>
          <w:szCs w:val="16"/>
          <w:lang w:val="es-ES_tradnl"/>
        </w:rPr>
        <w:t>gimen Interno de la Escuela Superior de </w:t>
      </w:r>
      <w:r>
        <w:rPr>
          <w:sz w:val="16"/>
          <w:szCs w:val="16"/>
          <w:lang w:val="es-ES_tradnl"/>
        </w:rPr>
        <w:t>Polic</w:t>
      </w:r>
      <w:r>
        <w:rPr>
          <w:rFonts w:cs="Times New Roman"/>
          <w:sz w:val="16"/>
          <w:szCs w:val="16"/>
          <w:lang w:val="es-ES_tradnl"/>
        </w:rPr>
        <w:t>í</w:t>
      </w:r>
      <w:r>
        <w:rPr>
          <w:sz w:val="16"/>
          <w:szCs w:val="16"/>
          <w:lang w:val="es-ES_tradnl"/>
        </w:rPr>
        <w:t>a; y,</w:t>
      </w:r>
    </w:p>
    <w:p w14:paraId="4F67A479" w14:textId="77777777" w:rsidR="00591D54" w:rsidRDefault="00591D54">
      <w:pPr>
        <w:shd w:val="clear" w:color="auto" w:fill="FFFFFF"/>
        <w:tabs>
          <w:tab w:val="left" w:pos="461"/>
        </w:tabs>
        <w:spacing w:before="211" w:line="216" w:lineRule="exact"/>
        <w:ind w:left="283"/>
        <w:jc w:val="both"/>
      </w:pPr>
      <w:r>
        <w:rPr>
          <w:spacing w:val="-7"/>
          <w:sz w:val="16"/>
          <w:szCs w:val="16"/>
          <w:lang w:val="es-ES_tradnl"/>
        </w:rPr>
        <w:t>b)</w:t>
      </w:r>
      <w:r>
        <w:rPr>
          <w:sz w:val="18"/>
          <w:szCs w:val="18"/>
          <w:lang w:val="es-ES_tradnl"/>
        </w:rPr>
        <w:tab/>
      </w:r>
      <w:r>
        <w:rPr>
          <w:spacing w:val="-6"/>
          <w:sz w:val="16"/>
          <w:szCs w:val="16"/>
          <w:lang w:val="es-ES_tradnl"/>
        </w:rPr>
        <w:t>Se</w:t>
      </w:r>
      <w:r>
        <w:rPr>
          <w:spacing w:val="-6"/>
          <w:sz w:val="18"/>
          <w:szCs w:val="18"/>
          <w:lang w:val="es-ES_tradnl"/>
        </w:rPr>
        <w:t xml:space="preserve"> </w:t>
      </w:r>
      <w:r>
        <w:rPr>
          <w:spacing w:val="-6"/>
          <w:sz w:val="16"/>
          <w:szCs w:val="16"/>
          <w:lang w:val="es-ES_tradnl"/>
        </w:rPr>
        <w:t>deje</w:t>
      </w:r>
      <w:r>
        <w:rPr>
          <w:spacing w:val="-6"/>
          <w:sz w:val="18"/>
          <w:szCs w:val="18"/>
          <w:lang w:val="es-ES_tradnl"/>
        </w:rPr>
        <w:t xml:space="preserve"> </w:t>
      </w:r>
      <w:r>
        <w:rPr>
          <w:spacing w:val="-6"/>
          <w:sz w:val="16"/>
          <w:szCs w:val="16"/>
          <w:lang w:val="es-ES_tradnl"/>
        </w:rPr>
        <w:t>sin</w:t>
      </w:r>
      <w:r>
        <w:rPr>
          <w:spacing w:val="-6"/>
          <w:sz w:val="18"/>
          <w:szCs w:val="18"/>
          <w:lang w:val="es-ES_tradnl"/>
        </w:rPr>
        <w:t xml:space="preserve"> </w:t>
      </w:r>
      <w:r>
        <w:rPr>
          <w:spacing w:val="-6"/>
          <w:sz w:val="16"/>
          <w:szCs w:val="16"/>
          <w:lang w:val="es-ES_tradnl"/>
        </w:rPr>
        <w:t>efecto</w:t>
      </w:r>
      <w:r>
        <w:rPr>
          <w:spacing w:val="-6"/>
          <w:sz w:val="18"/>
          <w:szCs w:val="18"/>
          <w:lang w:val="es-ES_tradnl"/>
        </w:rPr>
        <w:t xml:space="preserve"> </w:t>
      </w:r>
      <w:r>
        <w:rPr>
          <w:spacing w:val="-6"/>
          <w:sz w:val="16"/>
          <w:szCs w:val="16"/>
          <w:lang w:val="es-ES_tradnl"/>
        </w:rPr>
        <w:t>y</w:t>
      </w:r>
      <w:r>
        <w:rPr>
          <w:spacing w:val="-6"/>
          <w:sz w:val="18"/>
          <w:szCs w:val="18"/>
          <w:lang w:val="es-ES_tradnl"/>
        </w:rPr>
        <w:t xml:space="preserve"> </w:t>
      </w:r>
      <w:r>
        <w:rPr>
          <w:spacing w:val="-6"/>
          <w:sz w:val="16"/>
          <w:szCs w:val="16"/>
          <w:lang w:val="es-ES_tradnl"/>
        </w:rPr>
        <w:t>valor</w:t>
      </w:r>
      <w:r>
        <w:rPr>
          <w:spacing w:val="-6"/>
          <w:sz w:val="18"/>
          <w:szCs w:val="18"/>
          <w:lang w:val="es-ES_tradnl"/>
        </w:rPr>
        <w:t xml:space="preserve"> </w:t>
      </w:r>
      <w:r>
        <w:rPr>
          <w:spacing w:val="-6"/>
          <w:sz w:val="16"/>
          <w:szCs w:val="16"/>
          <w:lang w:val="es-ES_tradnl"/>
        </w:rPr>
        <w:t>alguno</w:t>
      </w:r>
      <w:r>
        <w:rPr>
          <w:spacing w:val="-6"/>
          <w:sz w:val="18"/>
          <w:szCs w:val="18"/>
          <w:lang w:val="es-ES_tradnl"/>
        </w:rPr>
        <w:t xml:space="preserve"> </w:t>
      </w:r>
      <w:r>
        <w:rPr>
          <w:spacing w:val="-6"/>
          <w:sz w:val="16"/>
          <w:szCs w:val="16"/>
          <w:lang w:val="es-ES_tradnl"/>
        </w:rPr>
        <w:t>la</w:t>
      </w:r>
      <w:r>
        <w:rPr>
          <w:spacing w:val="-6"/>
          <w:sz w:val="18"/>
          <w:szCs w:val="18"/>
          <w:lang w:val="es-ES_tradnl"/>
        </w:rPr>
        <w:t xml:space="preserve"> </w:t>
      </w:r>
      <w:r>
        <w:rPr>
          <w:spacing w:val="-6"/>
          <w:sz w:val="16"/>
          <w:szCs w:val="16"/>
          <w:lang w:val="es-ES_tradnl"/>
        </w:rPr>
        <w:t>resoluci</w:t>
      </w:r>
      <w:r>
        <w:rPr>
          <w:rFonts w:cs="Times New Roman"/>
          <w:spacing w:val="-6"/>
          <w:sz w:val="16"/>
          <w:szCs w:val="16"/>
          <w:lang w:val="es-ES_tradnl"/>
        </w:rPr>
        <w:t>ó</w:t>
      </w:r>
      <w:r>
        <w:rPr>
          <w:spacing w:val="-6"/>
          <w:sz w:val="16"/>
          <w:szCs w:val="16"/>
          <w:lang w:val="es-ES_tradnl"/>
        </w:rPr>
        <w:t>n</w:t>
      </w:r>
      <w:r>
        <w:rPr>
          <w:spacing w:val="-6"/>
          <w:sz w:val="18"/>
          <w:szCs w:val="18"/>
          <w:lang w:val="es-ES_tradnl"/>
        </w:rPr>
        <w:t xml:space="preserve"> </w:t>
      </w:r>
      <w:r>
        <w:rPr>
          <w:spacing w:val="-6"/>
          <w:sz w:val="16"/>
          <w:szCs w:val="16"/>
          <w:lang w:val="es-ES_tradnl"/>
        </w:rPr>
        <w:t>N.</w:t>
      </w:r>
      <w:r>
        <w:rPr>
          <w:spacing w:val="-6"/>
          <w:sz w:val="18"/>
          <w:szCs w:val="18"/>
          <w:lang w:val="es-ES_tradnl"/>
        </w:rPr>
        <w:t xml:space="preserve"> </w:t>
      </w:r>
      <w:r>
        <w:rPr>
          <w:spacing w:val="-6"/>
          <w:sz w:val="16"/>
          <w:szCs w:val="16"/>
          <w:lang w:val="es-ES_tradnl"/>
        </w:rPr>
        <w:t>011-CG- </w:t>
      </w:r>
      <w:r>
        <w:rPr>
          <w:spacing w:val="-4"/>
          <w:sz w:val="16"/>
          <w:szCs w:val="16"/>
          <w:lang w:val="es-ES_tradnl"/>
        </w:rPr>
        <w:t>CG-B-KDT-PAL, mediante la cual el se</w:t>
      </w:r>
      <w:r>
        <w:rPr>
          <w:rFonts w:cs="Times New Roman"/>
          <w:spacing w:val="-4"/>
          <w:sz w:val="16"/>
          <w:szCs w:val="16"/>
          <w:lang w:val="es-ES_tradnl"/>
        </w:rPr>
        <w:t>ñ</w:t>
      </w:r>
      <w:r>
        <w:rPr>
          <w:spacing w:val="-4"/>
          <w:sz w:val="16"/>
          <w:szCs w:val="16"/>
          <w:lang w:val="es-ES_tradnl"/>
        </w:rPr>
        <w:t>or Comandante </w:t>
      </w:r>
      <w:r>
        <w:rPr>
          <w:spacing w:val="-5"/>
          <w:sz w:val="16"/>
          <w:szCs w:val="16"/>
          <w:lang w:val="es-ES_tradnl"/>
        </w:rPr>
        <w:t>General de la H. Polic</w:t>
      </w:r>
      <w:r>
        <w:rPr>
          <w:rFonts w:cs="Times New Roman"/>
          <w:spacing w:val="-5"/>
          <w:sz w:val="16"/>
          <w:szCs w:val="16"/>
          <w:lang w:val="es-ES_tradnl"/>
        </w:rPr>
        <w:t>í</w:t>
      </w:r>
      <w:r>
        <w:rPr>
          <w:spacing w:val="-5"/>
          <w:sz w:val="16"/>
          <w:szCs w:val="16"/>
          <w:lang w:val="es-ES_tradnl"/>
        </w:rPr>
        <w:t>a Nacional, General Freddy Mart</w:t>
      </w:r>
      <w:r>
        <w:rPr>
          <w:rFonts w:cs="Times New Roman"/>
          <w:spacing w:val="-5"/>
          <w:sz w:val="16"/>
          <w:szCs w:val="16"/>
          <w:lang w:val="es-ES_tradnl"/>
        </w:rPr>
        <w:t>í</w:t>
      </w:r>
      <w:r>
        <w:rPr>
          <w:spacing w:val="-5"/>
          <w:sz w:val="16"/>
          <w:szCs w:val="16"/>
          <w:lang w:val="es-ES_tradnl"/>
        </w:rPr>
        <w:t>nez </w:t>
      </w:r>
      <w:r>
        <w:rPr>
          <w:spacing w:val="-6"/>
          <w:sz w:val="16"/>
          <w:szCs w:val="16"/>
          <w:lang w:val="es-ES_tradnl"/>
        </w:rPr>
        <w:t xml:space="preserve">Pico, Resuelva </w:t>
      </w:r>
      <w:r>
        <w:rPr>
          <w:rFonts w:cs="Times New Roman"/>
          <w:spacing w:val="-6"/>
          <w:sz w:val="16"/>
          <w:szCs w:val="16"/>
          <w:lang w:val="es-ES_tradnl"/>
        </w:rPr>
        <w:t>“</w:t>
      </w:r>
      <w:r>
        <w:rPr>
          <w:spacing w:val="-6"/>
          <w:sz w:val="16"/>
          <w:szCs w:val="16"/>
          <w:lang w:val="es-ES_tradnl"/>
        </w:rPr>
        <w:t>Dar de baja de las filas policiales</w:t>
      </w:r>
      <w:r>
        <w:rPr>
          <w:rFonts w:cs="Times New Roman"/>
          <w:spacing w:val="-6"/>
          <w:sz w:val="16"/>
          <w:szCs w:val="16"/>
          <w:lang w:val="es-ES_tradnl"/>
        </w:rPr>
        <w:t>”</w:t>
      </w:r>
      <w:r>
        <w:rPr>
          <w:spacing w:val="-6"/>
          <w:sz w:val="16"/>
          <w:szCs w:val="16"/>
          <w:lang w:val="es-ES_tradnl"/>
        </w:rPr>
        <w:t>, la misma </w:t>
      </w:r>
      <w:r>
        <w:rPr>
          <w:spacing w:val="-9"/>
          <w:sz w:val="16"/>
          <w:szCs w:val="16"/>
          <w:lang w:val="es-ES_tradnl"/>
        </w:rPr>
        <w:t>que se encuentra publicada en la orden general No. 190, de 02 </w:t>
      </w:r>
      <w:r>
        <w:rPr>
          <w:sz w:val="16"/>
          <w:szCs w:val="16"/>
          <w:lang w:val="es-ES_tradnl"/>
        </w:rPr>
        <w:t>de octubre del 2009.</w:t>
      </w:r>
    </w:p>
    <w:p w14:paraId="4F67A47A" w14:textId="77777777" w:rsidR="00591D54" w:rsidRDefault="00591D54">
      <w:pPr>
        <w:shd w:val="clear" w:color="auto" w:fill="FFFFFF"/>
        <w:spacing w:before="197"/>
      </w:pPr>
      <w:r>
        <w:rPr>
          <w:b/>
          <w:bCs/>
          <w:spacing w:val="-9"/>
          <w:sz w:val="18"/>
          <w:szCs w:val="18"/>
          <w:lang w:val="es-ES_tradnl"/>
        </w:rPr>
        <w:t>Reclamo Previo</w:t>
      </w:r>
    </w:p>
    <w:p w14:paraId="4F67A47B" w14:textId="77777777" w:rsidR="00591D54" w:rsidRDefault="00591D54">
      <w:pPr>
        <w:shd w:val="clear" w:color="auto" w:fill="FFFFFF"/>
        <w:spacing w:before="197" w:line="216" w:lineRule="exact"/>
        <w:jc w:val="both"/>
      </w:pPr>
      <w:r>
        <w:rPr>
          <w:spacing w:val="-6"/>
          <w:sz w:val="18"/>
          <w:szCs w:val="18"/>
          <w:lang w:val="es-ES_tradnl"/>
        </w:rPr>
        <w:t>De conformidad con el art</w:t>
      </w:r>
      <w:r>
        <w:rPr>
          <w:rFonts w:cs="Times New Roman"/>
          <w:spacing w:val="-6"/>
          <w:sz w:val="18"/>
          <w:szCs w:val="18"/>
          <w:lang w:val="es-ES_tradnl"/>
        </w:rPr>
        <w:t>í</w:t>
      </w:r>
      <w:r>
        <w:rPr>
          <w:spacing w:val="-6"/>
          <w:sz w:val="18"/>
          <w:szCs w:val="18"/>
          <w:lang w:val="es-ES_tradnl"/>
        </w:rPr>
        <w:t>culo 54 de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Control Constitucional, la </w:t>
      </w:r>
      <w:r>
        <w:rPr>
          <w:spacing w:val="-9"/>
          <w:sz w:val="18"/>
          <w:szCs w:val="18"/>
          <w:lang w:val="es-ES_tradnl"/>
        </w:rPr>
        <w:t xml:space="preserve">accionante, mediante escritos del 18 y 23 de septiembre de </w:t>
      </w:r>
      <w:r>
        <w:rPr>
          <w:spacing w:val="-6"/>
          <w:sz w:val="18"/>
          <w:szCs w:val="18"/>
          <w:lang w:val="es-ES_tradnl"/>
        </w:rPr>
        <w:t>2009, present</w:t>
      </w:r>
      <w:r>
        <w:rPr>
          <w:rFonts w:cs="Times New Roman"/>
          <w:spacing w:val="-6"/>
          <w:sz w:val="18"/>
          <w:szCs w:val="18"/>
          <w:lang w:val="es-ES_tradnl"/>
        </w:rPr>
        <w:t>ó</w:t>
      </w:r>
      <w:r>
        <w:rPr>
          <w:spacing w:val="-6"/>
          <w:sz w:val="18"/>
          <w:szCs w:val="18"/>
          <w:lang w:val="es-ES_tradnl"/>
        </w:rPr>
        <w:t xml:space="preserve"> reclamaciones previas ante la Instituci</w:t>
      </w:r>
      <w:r>
        <w:rPr>
          <w:rFonts w:cs="Times New Roman"/>
          <w:spacing w:val="-6"/>
          <w:sz w:val="18"/>
          <w:szCs w:val="18"/>
          <w:lang w:val="es-ES_tradnl"/>
        </w:rPr>
        <w:t>ó</w:t>
      </w:r>
      <w:r>
        <w:rPr>
          <w:spacing w:val="-6"/>
          <w:sz w:val="18"/>
          <w:szCs w:val="18"/>
          <w:lang w:val="es-ES_tradnl"/>
        </w:rPr>
        <w:t xml:space="preserve">n </w:t>
      </w:r>
      <w:r>
        <w:rPr>
          <w:spacing w:val="-5"/>
          <w:sz w:val="18"/>
          <w:szCs w:val="18"/>
          <w:lang w:val="es-ES_tradnl"/>
        </w:rPr>
        <w:t xml:space="preserve">Policial, de las cuales no obtuvo respuesta. El escrito del </w:t>
      </w:r>
      <w:r>
        <w:rPr>
          <w:spacing w:val="-7"/>
          <w:sz w:val="18"/>
          <w:szCs w:val="18"/>
          <w:lang w:val="es-ES_tradnl"/>
        </w:rPr>
        <w:t xml:space="preserve">18 de septiembre de 2009 consta a fojas 68 a la 75 del </w:t>
      </w:r>
      <w:r>
        <w:rPr>
          <w:sz w:val="18"/>
          <w:szCs w:val="18"/>
          <w:lang w:val="es-ES_tradnl"/>
        </w:rPr>
        <w:t>expediente constitucional.</w:t>
      </w:r>
    </w:p>
    <w:p w14:paraId="4F67A47C" w14:textId="77777777" w:rsidR="00591D54" w:rsidRDefault="00591D54">
      <w:pPr>
        <w:shd w:val="clear" w:color="auto" w:fill="FFFFFF"/>
        <w:spacing w:before="192"/>
      </w:pPr>
      <w:r>
        <w:rPr>
          <w:b/>
          <w:bCs/>
          <w:spacing w:val="-10"/>
          <w:sz w:val="18"/>
          <w:szCs w:val="18"/>
          <w:lang w:val="es-ES_tradnl"/>
        </w:rPr>
        <w:t>Contestaci</w:t>
      </w:r>
      <w:r>
        <w:rPr>
          <w:rFonts w:cs="Times New Roman"/>
          <w:b/>
          <w:bCs/>
          <w:spacing w:val="-10"/>
          <w:sz w:val="18"/>
          <w:szCs w:val="18"/>
          <w:lang w:val="es-ES_tradnl"/>
        </w:rPr>
        <w:t>ó</w:t>
      </w:r>
      <w:r>
        <w:rPr>
          <w:b/>
          <w:bCs/>
          <w:spacing w:val="-10"/>
          <w:sz w:val="18"/>
          <w:szCs w:val="18"/>
          <w:lang w:val="es-ES_tradnl"/>
        </w:rPr>
        <w:t>n a la demanda</w:t>
      </w:r>
    </w:p>
    <w:p w14:paraId="4F67A47D" w14:textId="77777777" w:rsidR="00591D54" w:rsidRDefault="00591D54">
      <w:pPr>
        <w:shd w:val="clear" w:color="auto" w:fill="FFFFFF"/>
        <w:spacing w:before="192" w:line="216" w:lineRule="exact"/>
        <w:ind w:right="5"/>
        <w:jc w:val="both"/>
      </w:pPr>
      <w:r>
        <w:rPr>
          <w:spacing w:val="-9"/>
          <w:sz w:val="18"/>
          <w:szCs w:val="18"/>
          <w:lang w:val="es-ES_tradnl"/>
        </w:rPr>
        <w:t>El doctor Henry Tib</w:t>
      </w:r>
      <w:r>
        <w:rPr>
          <w:rFonts w:cs="Times New Roman"/>
          <w:spacing w:val="-9"/>
          <w:sz w:val="18"/>
          <w:szCs w:val="18"/>
          <w:lang w:val="es-ES_tradnl"/>
        </w:rPr>
        <w:t>á</w:t>
      </w:r>
      <w:r>
        <w:rPr>
          <w:spacing w:val="-9"/>
          <w:sz w:val="18"/>
          <w:szCs w:val="18"/>
          <w:lang w:val="es-ES_tradnl"/>
        </w:rPr>
        <w:t>n L</w:t>
      </w:r>
      <w:r>
        <w:rPr>
          <w:rFonts w:cs="Times New Roman"/>
          <w:spacing w:val="-9"/>
          <w:sz w:val="18"/>
          <w:szCs w:val="18"/>
          <w:lang w:val="es-ES_tradnl"/>
        </w:rPr>
        <w:t>é</w:t>
      </w:r>
      <w:r>
        <w:rPr>
          <w:spacing w:val="-9"/>
          <w:sz w:val="18"/>
          <w:szCs w:val="18"/>
          <w:lang w:val="es-ES_tradnl"/>
        </w:rPr>
        <w:t>on, ofreciendo poder o ratificaci</w:t>
      </w:r>
      <w:r>
        <w:rPr>
          <w:rFonts w:cs="Times New Roman"/>
          <w:spacing w:val="-9"/>
          <w:sz w:val="18"/>
          <w:szCs w:val="18"/>
          <w:lang w:val="es-ES_tradnl"/>
        </w:rPr>
        <w:t>ó</w:t>
      </w:r>
      <w:r>
        <w:rPr>
          <w:spacing w:val="-9"/>
          <w:sz w:val="18"/>
          <w:szCs w:val="18"/>
          <w:lang w:val="es-ES_tradnl"/>
        </w:rPr>
        <w:t xml:space="preserve">n </w:t>
      </w:r>
      <w:r>
        <w:rPr>
          <w:spacing w:val="-6"/>
          <w:sz w:val="18"/>
          <w:szCs w:val="18"/>
          <w:lang w:val="es-ES_tradnl"/>
        </w:rPr>
        <w:t>del general superior de la Polic</w:t>
      </w:r>
      <w:r>
        <w:rPr>
          <w:rFonts w:cs="Times New Roman"/>
          <w:spacing w:val="-6"/>
          <w:sz w:val="18"/>
          <w:szCs w:val="18"/>
          <w:lang w:val="es-ES_tradnl"/>
        </w:rPr>
        <w:t>í</w:t>
      </w:r>
      <w:r>
        <w:rPr>
          <w:spacing w:val="-6"/>
          <w:sz w:val="18"/>
          <w:szCs w:val="18"/>
          <w:lang w:val="es-ES_tradnl"/>
        </w:rPr>
        <w:t>a Nacional, present</w:t>
      </w:r>
      <w:r>
        <w:rPr>
          <w:rFonts w:cs="Times New Roman"/>
          <w:spacing w:val="-6"/>
          <w:sz w:val="18"/>
          <w:szCs w:val="18"/>
          <w:lang w:val="es-ES_tradnl"/>
        </w:rPr>
        <w:t>ó</w:t>
      </w:r>
      <w:r>
        <w:rPr>
          <w:spacing w:val="-6"/>
          <w:sz w:val="18"/>
          <w:szCs w:val="18"/>
          <w:lang w:val="es-ES_tradnl"/>
        </w:rPr>
        <w:t xml:space="preserve"> un </w:t>
      </w:r>
      <w:r>
        <w:rPr>
          <w:spacing w:val="-5"/>
          <w:sz w:val="18"/>
          <w:szCs w:val="18"/>
          <w:lang w:val="es-ES_tradnl"/>
        </w:rPr>
        <w:t>escrito en el cual manifest</w:t>
      </w:r>
      <w:r>
        <w:rPr>
          <w:rFonts w:cs="Times New Roman"/>
          <w:spacing w:val="-5"/>
          <w:sz w:val="18"/>
          <w:szCs w:val="18"/>
          <w:lang w:val="es-ES_tradnl"/>
        </w:rPr>
        <w:t>ó</w:t>
      </w:r>
      <w:r>
        <w:rPr>
          <w:spacing w:val="-5"/>
          <w:sz w:val="18"/>
          <w:szCs w:val="18"/>
          <w:lang w:val="es-ES_tradnl"/>
        </w:rPr>
        <w:t xml:space="preserve"> que la Polic</w:t>
      </w:r>
      <w:r>
        <w:rPr>
          <w:rFonts w:cs="Times New Roman"/>
          <w:spacing w:val="-5"/>
          <w:sz w:val="18"/>
          <w:szCs w:val="18"/>
          <w:lang w:val="es-ES_tradnl"/>
        </w:rPr>
        <w:t>í</w:t>
      </w:r>
      <w:r>
        <w:rPr>
          <w:spacing w:val="-5"/>
          <w:sz w:val="18"/>
          <w:szCs w:val="18"/>
          <w:lang w:val="es-ES_tradnl"/>
        </w:rPr>
        <w:t xml:space="preserve">a Nacional del Ecuador, representada legalmente por el comandante </w:t>
      </w:r>
      <w:r>
        <w:rPr>
          <w:spacing w:val="-4"/>
          <w:sz w:val="18"/>
          <w:szCs w:val="18"/>
          <w:lang w:val="es-ES_tradnl"/>
        </w:rPr>
        <w:t>general de la Polic</w:t>
      </w:r>
      <w:r>
        <w:rPr>
          <w:rFonts w:cs="Times New Roman"/>
          <w:spacing w:val="-4"/>
          <w:sz w:val="18"/>
          <w:szCs w:val="18"/>
          <w:lang w:val="es-ES_tradnl"/>
        </w:rPr>
        <w:t>í</w:t>
      </w:r>
      <w:r>
        <w:rPr>
          <w:spacing w:val="-4"/>
          <w:sz w:val="18"/>
          <w:szCs w:val="18"/>
          <w:lang w:val="es-ES_tradnl"/>
        </w:rPr>
        <w:t>a, Rodrigo Su</w:t>
      </w:r>
      <w:r>
        <w:rPr>
          <w:rFonts w:cs="Times New Roman"/>
          <w:spacing w:val="-4"/>
          <w:sz w:val="18"/>
          <w:szCs w:val="18"/>
          <w:lang w:val="es-ES_tradnl"/>
        </w:rPr>
        <w:t>á</w:t>
      </w:r>
      <w:r>
        <w:rPr>
          <w:spacing w:val="-4"/>
          <w:sz w:val="18"/>
          <w:szCs w:val="18"/>
          <w:lang w:val="es-ES_tradnl"/>
        </w:rPr>
        <w:t xml:space="preserve">rez, general superior, </w:t>
      </w:r>
      <w:r>
        <w:rPr>
          <w:spacing w:val="-7"/>
          <w:sz w:val="18"/>
          <w:szCs w:val="18"/>
          <w:lang w:val="es-ES_tradnl"/>
        </w:rPr>
        <w:t xml:space="preserve">en escrito presentado el 15 de noviembre del 2013 a las </w:t>
      </w:r>
      <w:r>
        <w:rPr>
          <w:sz w:val="18"/>
          <w:szCs w:val="18"/>
          <w:lang w:val="es-ES_tradnl"/>
        </w:rPr>
        <w:t>12h54, se</w:t>
      </w:r>
      <w:r>
        <w:rPr>
          <w:rFonts w:cs="Times New Roman"/>
          <w:sz w:val="18"/>
          <w:szCs w:val="18"/>
          <w:lang w:val="es-ES_tradnl"/>
        </w:rPr>
        <w:t>ñ</w:t>
      </w:r>
      <w:r>
        <w:rPr>
          <w:sz w:val="18"/>
          <w:szCs w:val="18"/>
          <w:lang w:val="es-ES_tradnl"/>
        </w:rPr>
        <w:t>al</w:t>
      </w:r>
      <w:r>
        <w:rPr>
          <w:rFonts w:cs="Times New Roman"/>
          <w:sz w:val="18"/>
          <w:szCs w:val="18"/>
          <w:lang w:val="es-ES_tradnl"/>
        </w:rPr>
        <w:t>ó</w:t>
      </w:r>
      <w:r>
        <w:rPr>
          <w:sz w:val="18"/>
          <w:szCs w:val="18"/>
          <w:lang w:val="es-ES_tradnl"/>
        </w:rPr>
        <w:t xml:space="preserve"> que dentro de la pretensi</w:t>
      </w:r>
      <w:r>
        <w:rPr>
          <w:rFonts w:cs="Times New Roman"/>
          <w:sz w:val="18"/>
          <w:szCs w:val="18"/>
          <w:lang w:val="es-ES_tradnl"/>
        </w:rPr>
        <w:t>ó</w:t>
      </w:r>
      <w:r>
        <w:rPr>
          <w:sz w:val="18"/>
          <w:szCs w:val="18"/>
          <w:lang w:val="es-ES_tradnl"/>
        </w:rPr>
        <w:t xml:space="preserve">n realizada </w:t>
      </w:r>
      <w:r>
        <w:rPr>
          <w:spacing w:val="-4"/>
          <w:sz w:val="18"/>
          <w:szCs w:val="18"/>
          <w:lang w:val="es-ES_tradnl"/>
        </w:rPr>
        <w:t>por la legitimada activa no ha existido ning</w:t>
      </w:r>
      <w:r>
        <w:rPr>
          <w:rFonts w:cs="Times New Roman"/>
          <w:spacing w:val="-4"/>
          <w:sz w:val="18"/>
          <w:szCs w:val="18"/>
          <w:lang w:val="es-ES_tradnl"/>
        </w:rPr>
        <w:t>ú</w:t>
      </w:r>
      <w:r>
        <w:rPr>
          <w:spacing w:val="-4"/>
          <w:sz w:val="18"/>
          <w:szCs w:val="18"/>
          <w:lang w:val="es-ES_tradnl"/>
        </w:rPr>
        <w:t>n tipo de incumplimiento en el que haya incurrido el Comando General de la Polic</w:t>
      </w:r>
      <w:r>
        <w:rPr>
          <w:rFonts w:cs="Times New Roman"/>
          <w:spacing w:val="-4"/>
          <w:sz w:val="18"/>
          <w:szCs w:val="18"/>
          <w:lang w:val="es-ES_tradnl"/>
        </w:rPr>
        <w:t>í</w:t>
      </w:r>
      <w:r>
        <w:rPr>
          <w:spacing w:val="-4"/>
          <w:sz w:val="18"/>
          <w:szCs w:val="18"/>
          <w:lang w:val="es-ES_tradnl"/>
        </w:rPr>
        <w:t xml:space="preserve">a Nacional del Ecuador, por cuanto, </w:t>
      </w:r>
      <w:r>
        <w:rPr>
          <w:spacing w:val="-6"/>
          <w:sz w:val="18"/>
          <w:szCs w:val="18"/>
          <w:lang w:val="es-ES_tradnl"/>
        </w:rPr>
        <w:t>en el libelo de demanda de acci</w:t>
      </w:r>
      <w:r>
        <w:rPr>
          <w:rFonts w:cs="Times New Roman"/>
          <w:spacing w:val="-6"/>
          <w:sz w:val="18"/>
          <w:szCs w:val="18"/>
          <w:lang w:val="es-ES_tradnl"/>
        </w:rPr>
        <w:t>ó</w:t>
      </w:r>
      <w:r>
        <w:rPr>
          <w:spacing w:val="-6"/>
          <w:sz w:val="18"/>
          <w:szCs w:val="18"/>
          <w:lang w:val="es-ES_tradnl"/>
        </w:rPr>
        <w:t xml:space="preserve">n por incumplimiento de </w:t>
      </w:r>
      <w:r>
        <w:rPr>
          <w:spacing w:val="-9"/>
          <w:sz w:val="18"/>
          <w:szCs w:val="18"/>
          <w:lang w:val="es-ES_tradnl"/>
        </w:rPr>
        <w:t xml:space="preserve">normas, se puede demostrar claramente que la recurrente </w:t>
      </w:r>
      <w:r>
        <w:rPr>
          <w:spacing w:val="-7"/>
          <w:sz w:val="18"/>
          <w:szCs w:val="18"/>
          <w:lang w:val="es-ES_tradnl"/>
        </w:rPr>
        <w:t xml:space="preserve">pretende confundir a la autoridad, ya que los hechos que </w:t>
      </w:r>
      <w:r>
        <w:rPr>
          <w:sz w:val="18"/>
          <w:szCs w:val="18"/>
          <w:lang w:val="es-ES_tradnl"/>
        </w:rPr>
        <w:t>alega son ajenos a la verdad.</w:t>
      </w:r>
    </w:p>
    <w:p w14:paraId="4F67A47E" w14:textId="77777777" w:rsidR="00591D54" w:rsidRDefault="00591D54">
      <w:pPr>
        <w:shd w:val="clear" w:color="auto" w:fill="FFFFFF"/>
        <w:spacing w:before="192" w:line="216" w:lineRule="exact"/>
        <w:ind w:right="5"/>
        <w:jc w:val="both"/>
      </w:pPr>
      <w:r>
        <w:rPr>
          <w:spacing w:val="-7"/>
          <w:sz w:val="18"/>
          <w:szCs w:val="18"/>
          <w:lang w:val="es-ES_tradnl"/>
        </w:rPr>
        <w:t>La legitimada activa aduce que fue dejada en indefensi</w:t>
      </w:r>
      <w:r>
        <w:rPr>
          <w:rFonts w:cs="Times New Roman"/>
          <w:spacing w:val="-7"/>
          <w:sz w:val="18"/>
          <w:szCs w:val="18"/>
          <w:lang w:val="es-ES_tradnl"/>
        </w:rPr>
        <w:t>ó</w:t>
      </w:r>
      <w:r>
        <w:rPr>
          <w:spacing w:val="-7"/>
          <w:sz w:val="18"/>
          <w:szCs w:val="18"/>
          <w:lang w:val="es-ES_tradnl"/>
        </w:rPr>
        <w:t xml:space="preserve">n </w:t>
      </w:r>
      <w:r>
        <w:rPr>
          <w:spacing w:val="-5"/>
          <w:sz w:val="18"/>
          <w:szCs w:val="18"/>
          <w:lang w:val="es-ES_tradnl"/>
        </w:rPr>
        <w:t>en el tr</w:t>
      </w:r>
      <w:r>
        <w:rPr>
          <w:rFonts w:cs="Times New Roman"/>
          <w:spacing w:val="-5"/>
          <w:sz w:val="18"/>
          <w:szCs w:val="18"/>
          <w:lang w:val="es-ES_tradnl"/>
        </w:rPr>
        <w:t>á</w:t>
      </w:r>
      <w:r>
        <w:rPr>
          <w:spacing w:val="-5"/>
          <w:sz w:val="18"/>
          <w:szCs w:val="18"/>
          <w:lang w:val="es-ES_tradnl"/>
        </w:rPr>
        <w:t>mite de su baja de la Polic</w:t>
      </w:r>
      <w:r>
        <w:rPr>
          <w:rFonts w:cs="Times New Roman"/>
          <w:spacing w:val="-5"/>
          <w:sz w:val="18"/>
          <w:szCs w:val="18"/>
          <w:lang w:val="es-ES_tradnl"/>
        </w:rPr>
        <w:t>í</w:t>
      </w:r>
      <w:r>
        <w:rPr>
          <w:spacing w:val="-5"/>
          <w:sz w:val="18"/>
          <w:szCs w:val="18"/>
          <w:lang w:val="es-ES_tradnl"/>
        </w:rPr>
        <w:t>a Nacional, as</w:t>
      </w:r>
      <w:r>
        <w:rPr>
          <w:rFonts w:cs="Times New Roman"/>
          <w:spacing w:val="-5"/>
          <w:sz w:val="18"/>
          <w:szCs w:val="18"/>
          <w:lang w:val="es-ES_tradnl"/>
        </w:rPr>
        <w:t>í</w:t>
      </w:r>
      <w:r>
        <w:rPr>
          <w:spacing w:val="-5"/>
          <w:sz w:val="18"/>
          <w:szCs w:val="18"/>
          <w:lang w:val="es-ES_tradnl"/>
        </w:rPr>
        <w:t xml:space="preserve"> como </w:t>
      </w:r>
      <w:r>
        <w:rPr>
          <w:spacing w:val="-6"/>
          <w:sz w:val="18"/>
          <w:szCs w:val="18"/>
          <w:lang w:val="es-ES_tradnl"/>
        </w:rPr>
        <w:t>que se violentaron principios fundamentales como debido</w:t>
      </w:r>
    </w:p>
    <w:p w14:paraId="4F67A47F" w14:textId="77777777" w:rsidR="00591D54" w:rsidRDefault="00591D54">
      <w:pPr>
        <w:shd w:val="clear" w:color="auto" w:fill="FFFFFF"/>
        <w:spacing w:before="5" w:line="230" w:lineRule="exact"/>
        <w:jc w:val="both"/>
      </w:pPr>
      <w:r>
        <w:br w:type="column"/>
      </w:r>
      <w:r>
        <w:rPr>
          <w:spacing w:val="-3"/>
          <w:sz w:val="18"/>
          <w:szCs w:val="18"/>
          <w:lang w:val="es-ES_tradnl"/>
        </w:rPr>
        <w:t>proceso, seguridad jur</w:t>
      </w:r>
      <w:r>
        <w:rPr>
          <w:rFonts w:cs="Times New Roman"/>
          <w:spacing w:val="-3"/>
          <w:sz w:val="18"/>
          <w:szCs w:val="18"/>
          <w:lang w:val="es-ES_tradnl"/>
        </w:rPr>
        <w:t>í</w:t>
      </w:r>
      <w:r>
        <w:rPr>
          <w:spacing w:val="-3"/>
          <w:sz w:val="18"/>
          <w:szCs w:val="18"/>
          <w:lang w:val="es-ES_tradnl"/>
        </w:rPr>
        <w:t>dica, principios de legalidad y proporcionalidad, derecho a la motivaci</w:t>
      </w:r>
      <w:r>
        <w:rPr>
          <w:rFonts w:cs="Times New Roman"/>
          <w:spacing w:val="-3"/>
          <w:sz w:val="18"/>
          <w:szCs w:val="18"/>
          <w:lang w:val="es-ES_tradnl"/>
        </w:rPr>
        <w:t>ó</w:t>
      </w:r>
      <w:r>
        <w:rPr>
          <w:spacing w:val="-3"/>
          <w:sz w:val="18"/>
          <w:szCs w:val="18"/>
          <w:lang w:val="es-ES_tradnl"/>
        </w:rPr>
        <w:t xml:space="preserve">n y otros que </w:t>
      </w:r>
      <w:r>
        <w:rPr>
          <w:spacing w:val="-6"/>
          <w:sz w:val="18"/>
          <w:szCs w:val="18"/>
          <w:lang w:val="es-ES_tradnl"/>
        </w:rPr>
        <w:t>se</w:t>
      </w:r>
      <w:r>
        <w:rPr>
          <w:rFonts w:cs="Times New Roman"/>
          <w:spacing w:val="-6"/>
          <w:sz w:val="18"/>
          <w:szCs w:val="18"/>
          <w:lang w:val="es-ES_tradnl"/>
        </w:rPr>
        <w:t>ñ</w:t>
      </w:r>
      <w:r>
        <w:rPr>
          <w:spacing w:val="-6"/>
          <w:sz w:val="18"/>
          <w:szCs w:val="18"/>
          <w:lang w:val="es-ES_tradnl"/>
        </w:rPr>
        <w:t xml:space="preserve">ala en sus fundamentos de hecho y derecho de la </w:t>
      </w:r>
      <w:r>
        <w:rPr>
          <w:spacing w:val="-2"/>
          <w:sz w:val="18"/>
          <w:szCs w:val="18"/>
          <w:lang w:val="es-ES_tradnl"/>
        </w:rPr>
        <w:t>demanda planteada, lo que est</w:t>
      </w:r>
      <w:r>
        <w:rPr>
          <w:rFonts w:cs="Times New Roman"/>
          <w:spacing w:val="-2"/>
          <w:sz w:val="18"/>
          <w:szCs w:val="18"/>
          <w:lang w:val="es-ES_tradnl"/>
        </w:rPr>
        <w:t>á</w:t>
      </w:r>
      <w:r>
        <w:rPr>
          <w:spacing w:val="-2"/>
          <w:sz w:val="18"/>
          <w:szCs w:val="18"/>
          <w:lang w:val="es-ES_tradnl"/>
        </w:rPr>
        <w:t xml:space="preserve"> totalmente alejado de </w:t>
      </w:r>
      <w:r>
        <w:rPr>
          <w:spacing w:val="-5"/>
          <w:sz w:val="18"/>
          <w:szCs w:val="18"/>
          <w:lang w:val="es-ES_tradnl"/>
        </w:rPr>
        <w:t xml:space="preserve">la verdad, por lo que el legitimado pasivo presenta una </w:t>
      </w:r>
      <w:r>
        <w:rPr>
          <w:spacing w:val="-4"/>
          <w:sz w:val="18"/>
          <w:szCs w:val="18"/>
          <w:lang w:val="es-ES_tradnl"/>
        </w:rPr>
        <w:t xml:space="preserve">negativa pura y simple a los hechos que motivaron la </w:t>
      </w:r>
      <w:r>
        <w:rPr>
          <w:sz w:val="18"/>
          <w:szCs w:val="18"/>
          <w:lang w:val="es-ES_tradnl"/>
        </w:rPr>
        <w:t>presente acci</w:t>
      </w:r>
      <w:r>
        <w:rPr>
          <w:rFonts w:cs="Times New Roman"/>
          <w:sz w:val="18"/>
          <w:szCs w:val="18"/>
          <w:lang w:val="es-ES_tradnl"/>
        </w:rPr>
        <w:t>ó</w:t>
      </w:r>
      <w:r>
        <w:rPr>
          <w:sz w:val="18"/>
          <w:szCs w:val="18"/>
          <w:lang w:val="es-ES_tradnl"/>
        </w:rPr>
        <w:t>n constitucional.</w:t>
      </w:r>
    </w:p>
    <w:p w14:paraId="4F67A480" w14:textId="77777777" w:rsidR="00591D54" w:rsidRDefault="00591D54">
      <w:pPr>
        <w:shd w:val="clear" w:color="auto" w:fill="FFFFFF"/>
        <w:spacing w:before="206" w:line="230" w:lineRule="exact"/>
        <w:jc w:val="both"/>
      </w:pPr>
      <w:r>
        <w:rPr>
          <w:spacing w:val="-5"/>
          <w:sz w:val="18"/>
          <w:szCs w:val="18"/>
          <w:lang w:val="es-ES_tradnl"/>
        </w:rPr>
        <w:t>Se</w:t>
      </w:r>
      <w:r>
        <w:rPr>
          <w:rFonts w:cs="Times New Roman"/>
          <w:spacing w:val="-5"/>
          <w:sz w:val="18"/>
          <w:szCs w:val="18"/>
          <w:lang w:val="es-ES_tradnl"/>
        </w:rPr>
        <w:t>ñ</w:t>
      </w:r>
      <w:r>
        <w:rPr>
          <w:spacing w:val="-5"/>
          <w:sz w:val="18"/>
          <w:szCs w:val="18"/>
          <w:lang w:val="es-ES_tradnl"/>
        </w:rPr>
        <w:t>ala que han sido dejados en indefensi</w:t>
      </w:r>
      <w:r>
        <w:rPr>
          <w:rFonts w:cs="Times New Roman"/>
          <w:spacing w:val="-5"/>
          <w:sz w:val="18"/>
          <w:szCs w:val="18"/>
          <w:lang w:val="es-ES_tradnl"/>
        </w:rPr>
        <w:t>ó</w:t>
      </w:r>
      <w:r>
        <w:rPr>
          <w:spacing w:val="-5"/>
          <w:sz w:val="18"/>
          <w:szCs w:val="18"/>
          <w:lang w:val="es-ES_tradnl"/>
        </w:rPr>
        <w:t>n, por cuanto la recurrente no ha tomado en consideraci</w:t>
      </w:r>
      <w:r>
        <w:rPr>
          <w:rFonts w:cs="Times New Roman"/>
          <w:spacing w:val="-5"/>
          <w:sz w:val="18"/>
          <w:szCs w:val="18"/>
          <w:lang w:val="es-ES_tradnl"/>
        </w:rPr>
        <w:t>ó</w:t>
      </w:r>
      <w:r>
        <w:rPr>
          <w:spacing w:val="-5"/>
          <w:sz w:val="18"/>
          <w:szCs w:val="18"/>
          <w:lang w:val="es-ES_tradnl"/>
        </w:rPr>
        <w:t xml:space="preserve">n el Decreto </w:t>
      </w:r>
      <w:r>
        <w:rPr>
          <w:spacing w:val="-3"/>
          <w:sz w:val="18"/>
          <w:szCs w:val="18"/>
          <w:lang w:val="es-ES_tradnl"/>
        </w:rPr>
        <w:t>Ejecutivo N.</w:t>
      </w:r>
      <w:r>
        <w:rPr>
          <w:rFonts w:cs="Times New Roman"/>
          <w:spacing w:val="-3"/>
          <w:sz w:val="18"/>
          <w:szCs w:val="18"/>
          <w:lang w:val="es-ES_tradnl"/>
        </w:rPr>
        <w:t>º</w:t>
      </w:r>
      <w:r>
        <w:rPr>
          <w:spacing w:val="-3"/>
          <w:sz w:val="18"/>
          <w:szCs w:val="18"/>
          <w:lang w:val="es-ES_tradnl"/>
        </w:rPr>
        <w:t xml:space="preserve"> 632 del presidente constitucional de la </w:t>
      </w:r>
      <w:r>
        <w:rPr>
          <w:spacing w:val="-2"/>
          <w:sz w:val="18"/>
          <w:szCs w:val="18"/>
          <w:lang w:val="es-ES_tradnl"/>
        </w:rPr>
        <w:t>Rep</w:t>
      </w:r>
      <w:r>
        <w:rPr>
          <w:rFonts w:cs="Times New Roman"/>
          <w:spacing w:val="-2"/>
          <w:sz w:val="18"/>
          <w:szCs w:val="18"/>
          <w:lang w:val="es-ES_tradnl"/>
        </w:rPr>
        <w:t>ú</w:t>
      </w:r>
      <w:r>
        <w:rPr>
          <w:spacing w:val="-2"/>
          <w:sz w:val="18"/>
          <w:szCs w:val="18"/>
          <w:lang w:val="es-ES_tradnl"/>
        </w:rPr>
        <w:t xml:space="preserve">blica del Ecuador, que rige a partir de enero del </w:t>
      </w:r>
      <w:r>
        <w:rPr>
          <w:spacing w:val="-4"/>
          <w:sz w:val="18"/>
          <w:szCs w:val="18"/>
          <w:lang w:val="es-ES_tradnl"/>
        </w:rPr>
        <w:t>2011, en el que delega al Ministerio del Interior para que asuma la representaci</w:t>
      </w:r>
      <w:r>
        <w:rPr>
          <w:rFonts w:cs="Times New Roman"/>
          <w:spacing w:val="-4"/>
          <w:sz w:val="18"/>
          <w:szCs w:val="18"/>
          <w:lang w:val="es-ES_tradnl"/>
        </w:rPr>
        <w:t>ó</w:t>
      </w:r>
      <w:r>
        <w:rPr>
          <w:spacing w:val="-4"/>
          <w:sz w:val="18"/>
          <w:szCs w:val="18"/>
          <w:lang w:val="es-ES_tradnl"/>
        </w:rPr>
        <w:t xml:space="preserve">n legal, judicial y extrajudicial de </w:t>
      </w:r>
      <w:r>
        <w:rPr>
          <w:spacing w:val="-8"/>
          <w:sz w:val="18"/>
          <w:szCs w:val="18"/>
          <w:lang w:val="es-ES_tradnl"/>
        </w:rPr>
        <w:t xml:space="preserve">las causas en la que se involucren intereses referentes a la </w:t>
      </w:r>
      <w:r>
        <w:rPr>
          <w:sz w:val="18"/>
          <w:szCs w:val="18"/>
          <w:lang w:val="es-ES_tradnl"/>
        </w:rPr>
        <w:t>Polic</w:t>
      </w:r>
      <w:r>
        <w:rPr>
          <w:rFonts w:cs="Times New Roman"/>
          <w:sz w:val="18"/>
          <w:szCs w:val="18"/>
          <w:lang w:val="es-ES_tradnl"/>
        </w:rPr>
        <w:t>í</w:t>
      </w:r>
      <w:r>
        <w:rPr>
          <w:sz w:val="18"/>
          <w:szCs w:val="18"/>
          <w:lang w:val="es-ES_tradnl"/>
        </w:rPr>
        <w:t>a Nacional del Ecuador.</w:t>
      </w:r>
    </w:p>
    <w:p w14:paraId="4F67A481" w14:textId="77777777" w:rsidR="00591D54" w:rsidRDefault="00591D54">
      <w:pPr>
        <w:shd w:val="clear" w:color="auto" w:fill="FFFFFF"/>
        <w:spacing w:before="202" w:line="230" w:lineRule="exact"/>
        <w:jc w:val="both"/>
      </w:pPr>
      <w:r>
        <w:rPr>
          <w:spacing w:val="-4"/>
          <w:sz w:val="18"/>
          <w:szCs w:val="18"/>
          <w:lang w:val="es-ES_tradnl"/>
        </w:rPr>
        <w:t xml:space="preserve">Finalmente, manifiesta que la legitimada activa aduce </w:t>
      </w:r>
      <w:r>
        <w:rPr>
          <w:spacing w:val="-3"/>
          <w:sz w:val="18"/>
          <w:szCs w:val="18"/>
          <w:lang w:val="es-ES_tradnl"/>
        </w:rPr>
        <w:t>hechos totalmente falsos, por cuanto el tr</w:t>
      </w:r>
      <w:r>
        <w:rPr>
          <w:rFonts w:cs="Times New Roman"/>
          <w:spacing w:val="-3"/>
          <w:sz w:val="18"/>
          <w:szCs w:val="18"/>
          <w:lang w:val="es-ES_tradnl"/>
        </w:rPr>
        <w:t>á</w:t>
      </w:r>
      <w:r>
        <w:rPr>
          <w:spacing w:val="-3"/>
          <w:sz w:val="18"/>
          <w:szCs w:val="18"/>
          <w:lang w:val="es-ES_tradnl"/>
        </w:rPr>
        <w:t xml:space="preserve">mite de baja </w:t>
      </w:r>
      <w:r>
        <w:rPr>
          <w:spacing w:val="-5"/>
          <w:sz w:val="18"/>
          <w:szCs w:val="18"/>
          <w:lang w:val="es-ES_tradnl"/>
        </w:rPr>
        <w:t xml:space="preserve">de la recurrente de las filas de la Escuela Superior de la </w:t>
      </w:r>
      <w:r>
        <w:rPr>
          <w:spacing w:val="-6"/>
          <w:sz w:val="18"/>
          <w:szCs w:val="18"/>
          <w:lang w:val="es-ES_tradnl"/>
        </w:rPr>
        <w:t>Polic</w:t>
      </w:r>
      <w:r>
        <w:rPr>
          <w:rFonts w:cs="Times New Roman"/>
          <w:spacing w:val="-6"/>
          <w:sz w:val="18"/>
          <w:szCs w:val="18"/>
          <w:lang w:val="es-ES_tradnl"/>
        </w:rPr>
        <w:t>í</w:t>
      </w:r>
      <w:r>
        <w:rPr>
          <w:spacing w:val="-6"/>
          <w:sz w:val="18"/>
          <w:szCs w:val="18"/>
          <w:lang w:val="es-ES_tradnl"/>
        </w:rPr>
        <w:t xml:space="preserve">a Nacional del Ecuador fue sustanciado legalmente, respetando las normas establecidas para el efecto. La </w:t>
      </w:r>
      <w:r>
        <w:rPr>
          <w:spacing w:val="-4"/>
          <w:sz w:val="18"/>
          <w:szCs w:val="18"/>
          <w:lang w:val="es-ES_tradnl"/>
        </w:rPr>
        <w:t>legitimada activa jam</w:t>
      </w:r>
      <w:r>
        <w:rPr>
          <w:rFonts w:cs="Times New Roman"/>
          <w:spacing w:val="-4"/>
          <w:sz w:val="18"/>
          <w:szCs w:val="18"/>
          <w:lang w:val="es-ES_tradnl"/>
        </w:rPr>
        <w:t>á</w:t>
      </w:r>
      <w:r>
        <w:rPr>
          <w:spacing w:val="-4"/>
          <w:sz w:val="18"/>
          <w:szCs w:val="18"/>
          <w:lang w:val="es-ES_tradnl"/>
        </w:rPr>
        <w:t>s fue dejada en indefensi</w:t>
      </w:r>
      <w:r>
        <w:rPr>
          <w:rFonts w:cs="Times New Roman"/>
          <w:spacing w:val="-4"/>
          <w:sz w:val="18"/>
          <w:szCs w:val="18"/>
          <w:lang w:val="es-ES_tradnl"/>
        </w:rPr>
        <w:t>ó</w:t>
      </w:r>
      <w:r>
        <w:rPr>
          <w:spacing w:val="-4"/>
          <w:sz w:val="18"/>
          <w:szCs w:val="18"/>
          <w:lang w:val="es-ES_tradnl"/>
        </w:rPr>
        <w:t xml:space="preserve">n, por </w:t>
      </w:r>
      <w:r>
        <w:rPr>
          <w:spacing w:val="-6"/>
          <w:sz w:val="18"/>
          <w:szCs w:val="18"/>
          <w:lang w:val="es-ES_tradnl"/>
        </w:rPr>
        <w:t>cuanto los cadetes de la Escuela Superior de la Polic</w:t>
      </w:r>
      <w:r>
        <w:rPr>
          <w:rFonts w:cs="Times New Roman"/>
          <w:spacing w:val="-6"/>
          <w:sz w:val="18"/>
          <w:szCs w:val="18"/>
          <w:lang w:val="es-ES_tradnl"/>
        </w:rPr>
        <w:t>í</w:t>
      </w:r>
      <w:r>
        <w:rPr>
          <w:spacing w:val="-6"/>
          <w:sz w:val="18"/>
          <w:szCs w:val="18"/>
          <w:lang w:val="es-ES_tradnl"/>
        </w:rPr>
        <w:t xml:space="preserve">a </w:t>
      </w:r>
      <w:r>
        <w:rPr>
          <w:spacing w:val="-5"/>
          <w:sz w:val="18"/>
          <w:szCs w:val="18"/>
          <w:lang w:val="es-ES_tradnl"/>
        </w:rPr>
        <w:t xml:space="preserve">Nacional deben conocer las normas que rigen a la H. </w:t>
      </w:r>
      <w:r>
        <w:rPr>
          <w:spacing w:val="-6"/>
          <w:sz w:val="18"/>
          <w:szCs w:val="18"/>
          <w:lang w:val="es-ES_tradnl"/>
        </w:rPr>
        <w:t>Instituci</w:t>
      </w:r>
      <w:r>
        <w:rPr>
          <w:rFonts w:cs="Times New Roman"/>
          <w:spacing w:val="-6"/>
          <w:sz w:val="18"/>
          <w:szCs w:val="18"/>
          <w:lang w:val="es-ES_tradnl"/>
        </w:rPr>
        <w:t>ó</w:t>
      </w:r>
      <w:r>
        <w:rPr>
          <w:spacing w:val="-6"/>
          <w:sz w:val="18"/>
          <w:szCs w:val="18"/>
          <w:lang w:val="es-ES_tradnl"/>
        </w:rPr>
        <w:t>n Policial, que no reclam</w:t>
      </w:r>
      <w:r>
        <w:rPr>
          <w:rFonts w:cs="Times New Roman"/>
          <w:spacing w:val="-6"/>
          <w:sz w:val="18"/>
          <w:szCs w:val="18"/>
          <w:lang w:val="es-ES_tradnl"/>
        </w:rPr>
        <w:t>ó</w:t>
      </w:r>
      <w:r>
        <w:rPr>
          <w:spacing w:val="-6"/>
          <w:sz w:val="18"/>
          <w:szCs w:val="18"/>
          <w:lang w:val="es-ES_tradnl"/>
        </w:rPr>
        <w:t xml:space="preserve"> a su debido tiempo las </w:t>
      </w:r>
      <w:r>
        <w:rPr>
          <w:sz w:val="18"/>
          <w:szCs w:val="18"/>
          <w:lang w:val="es-ES_tradnl"/>
        </w:rPr>
        <w:t xml:space="preserve">faltas disciplinarias impuestas por indisciplina policial, </w:t>
      </w:r>
      <w:r>
        <w:rPr>
          <w:spacing w:val="-5"/>
          <w:sz w:val="18"/>
          <w:szCs w:val="18"/>
          <w:lang w:val="es-ES_tradnl"/>
        </w:rPr>
        <w:t>y que la v</w:t>
      </w:r>
      <w:r>
        <w:rPr>
          <w:rFonts w:cs="Times New Roman"/>
          <w:spacing w:val="-5"/>
          <w:sz w:val="18"/>
          <w:szCs w:val="18"/>
          <w:lang w:val="es-ES_tradnl"/>
        </w:rPr>
        <w:t>í</w:t>
      </w:r>
      <w:r>
        <w:rPr>
          <w:spacing w:val="-5"/>
          <w:sz w:val="18"/>
          <w:szCs w:val="18"/>
          <w:lang w:val="es-ES_tradnl"/>
        </w:rPr>
        <w:t xml:space="preserve">a para el reclamo de acciones administrativas </w:t>
      </w:r>
      <w:r>
        <w:rPr>
          <w:spacing w:val="-8"/>
          <w:sz w:val="18"/>
          <w:szCs w:val="18"/>
          <w:lang w:val="es-ES_tradnl"/>
        </w:rPr>
        <w:t xml:space="preserve">no es la correcta, por cuanto deben respetarse las normas </w:t>
      </w:r>
      <w:r>
        <w:rPr>
          <w:spacing w:val="-5"/>
          <w:sz w:val="18"/>
          <w:szCs w:val="18"/>
          <w:lang w:val="es-ES_tradnl"/>
        </w:rPr>
        <w:t>establecidas en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 xml:space="preserve">blica para la </w:t>
      </w:r>
      <w:r>
        <w:rPr>
          <w:sz w:val="18"/>
          <w:szCs w:val="18"/>
          <w:lang w:val="es-ES_tradnl"/>
        </w:rPr>
        <w:t>reclamaci</w:t>
      </w:r>
      <w:r>
        <w:rPr>
          <w:rFonts w:cs="Times New Roman"/>
          <w:sz w:val="18"/>
          <w:szCs w:val="18"/>
          <w:lang w:val="es-ES_tradnl"/>
        </w:rPr>
        <w:t>ó</w:t>
      </w:r>
      <w:r>
        <w:rPr>
          <w:sz w:val="18"/>
          <w:szCs w:val="18"/>
          <w:lang w:val="es-ES_tradnl"/>
        </w:rPr>
        <w:t>n de actos administrativos.</w:t>
      </w:r>
    </w:p>
    <w:p w14:paraId="4F67A482" w14:textId="77777777" w:rsidR="00591D54" w:rsidRDefault="00591D54">
      <w:pPr>
        <w:shd w:val="clear" w:color="auto" w:fill="FFFFFF"/>
        <w:spacing w:before="206" w:line="230" w:lineRule="exact"/>
        <w:jc w:val="both"/>
      </w:pPr>
      <w:r>
        <w:rPr>
          <w:b/>
          <w:bCs/>
          <w:spacing w:val="-2"/>
          <w:sz w:val="18"/>
          <w:szCs w:val="18"/>
          <w:lang w:val="es-ES_tradnl"/>
        </w:rPr>
        <w:t>Pronunciamiento de la Procuradur</w:t>
      </w:r>
      <w:r>
        <w:rPr>
          <w:rFonts w:cs="Times New Roman"/>
          <w:b/>
          <w:bCs/>
          <w:spacing w:val="-2"/>
          <w:sz w:val="18"/>
          <w:szCs w:val="18"/>
          <w:lang w:val="es-ES_tradnl"/>
        </w:rPr>
        <w:t>í</w:t>
      </w:r>
      <w:r>
        <w:rPr>
          <w:b/>
          <w:bCs/>
          <w:spacing w:val="-2"/>
          <w:sz w:val="18"/>
          <w:szCs w:val="18"/>
          <w:lang w:val="es-ES_tradnl"/>
        </w:rPr>
        <w:t xml:space="preserve">a General del </w:t>
      </w:r>
      <w:r>
        <w:rPr>
          <w:b/>
          <w:bCs/>
          <w:sz w:val="18"/>
          <w:szCs w:val="18"/>
          <w:lang w:val="es-ES_tradnl"/>
        </w:rPr>
        <w:t>Estado</w:t>
      </w:r>
    </w:p>
    <w:p w14:paraId="4F67A483" w14:textId="77777777" w:rsidR="00591D54" w:rsidRDefault="00591D54">
      <w:pPr>
        <w:shd w:val="clear" w:color="auto" w:fill="FFFFFF"/>
        <w:spacing w:before="206" w:line="230" w:lineRule="exact"/>
        <w:jc w:val="both"/>
      </w:pPr>
      <w:r>
        <w:rPr>
          <w:spacing w:val="-6"/>
          <w:sz w:val="18"/>
          <w:szCs w:val="18"/>
          <w:lang w:val="es-ES_tradnl"/>
        </w:rPr>
        <w:t xml:space="preserve">A fojas 211-214 de autos consta la comparecencia del </w:t>
      </w:r>
      <w:r>
        <w:rPr>
          <w:spacing w:val="-3"/>
          <w:sz w:val="18"/>
          <w:szCs w:val="18"/>
          <w:lang w:val="es-ES_tradnl"/>
        </w:rPr>
        <w:t xml:space="preserve">abogado Marcos Arteaga Valenzuela, director nacional </w:t>
      </w:r>
      <w:r>
        <w:rPr>
          <w:sz w:val="18"/>
          <w:szCs w:val="18"/>
          <w:lang w:val="es-ES_tradnl"/>
        </w:rPr>
        <w:t xml:space="preserve">de Patrocinio, delegado del procurador general del </w:t>
      </w:r>
      <w:r>
        <w:rPr>
          <w:spacing w:val="-5"/>
          <w:sz w:val="18"/>
          <w:szCs w:val="18"/>
          <w:lang w:val="es-ES_tradnl"/>
        </w:rPr>
        <w:t>Estado, quien realiz</w:t>
      </w:r>
      <w:r>
        <w:rPr>
          <w:rFonts w:cs="Times New Roman"/>
          <w:spacing w:val="-5"/>
          <w:sz w:val="18"/>
          <w:szCs w:val="18"/>
          <w:lang w:val="es-ES_tradnl"/>
        </w:rPr>
        <w:t>ó</w:t>
      </w:r>
      <w:r>
        <w:rPr>
          <w:spacing w:val="-5"/>
          <w:sz w:val="18"/>
          <w:szCs w:val="18"/>
          <w:lang w:val="es-ES_tradnl"/>
        </w:rPr>
        <w:t xml:space="preserve"> un an</w:t>
      </w:r>
      <w:r>
        <w:rPr>
          <w:rFonts w:cs="Times New Roman"/>
          <w:spacing w:val="-5"/>
          <w:sz w:val="18"/>
          <w:szCs w:val="18"/>
          <w:lang w:val="es-ES_tradnl"/>
        </w:rPr>
        <w:t>á</w:t>
      </w:r>
      <w:r>
        <w:rPr>
          <w:spacing w:val="-5"/>
          <w:sz w:val="18"/>
          <w:szCs w:val="18"/>
          <w:lang w:val="es-ES_tradnl"/>
        </w:rPr>
        <w:t>lisis de la naturaleza jur</w:t>
      </w:r>
      <w:r>
        <w:rPr>
          <w:rFonts w:cs="Times New Roman"/>
          <w:spacing w:val="-5"/>
          <w:sz w:val="18"/>
          <w:szCs w:val="18"/>
          <w:lang w:val="es-ES_tradnl"/>
        </w:rPr>
        <w:t>í</w:t>
      </w:r>
      <w:r>
        <w:rPr>
          <w:spacing w:val="-5"/>
          <w:sz w:val="18"/>
          <w:szCs w:val="18"/>
          <w:lang w:val="es-ES_tradnl"/>
        </w:rPr>
        <w:t xml:space="preserve">dica </w:t>
      </w:r>
      <w:r>
        <w:rPr>
          <w:spacing w:val="-4"/>
          <w:sz w:val="18"/>
          <w:szCs w:val="18"/>
          <w:lang w:val="es-ES_tradnl"/>
        </w:rPr>
        <w:t>de la acci</w:t>
      </w:r>
      <w:r>
        <w:rPr>
          <w:rFonts w:cs="Times New Roman"/>
          <w:spacing w:val="-4"/>
          <w:sz w:val="18"/>
          <w:szCs w:val="18"/>
          <w:lang w:val="es-ES_tradnl"/>
        </w:rPr>
        <w:t>ó</w:t>
      </w:r>
      <w:r>
        <w:rPr>
          <w:spacing w:val="-4"/>
          <w:sz w:val="18"/>
          <w:szCs w:val="18"/>
          <w:lang w:val="es-ES_tradnl"/>
        </w:rPr>
        <w:t>n por incumplimiento de normas, se</w:t>
      </w:r>
      <w:r>
        <w:rPr>
          <w:rFonts w:cs="Times New Roman"/>
          <w:spacing w:val="-4"/>
          <w:sz w:val="18"/>
          <w:szCs w:val="18"/>
          <w:lang w:val="es-ES_tradnl"/>
        </w:rPr>
        <w:t>ñ</w:t>
      </w:r>
      <w:r>
        <w:rPr>
          <w:spacing w:val="-4"/>
          <w:sz w:val="18"/>
          <w:szCs w:val="18"/>
          <w:lang w:val="es-ES_tradnl"/>
        </w:rPr>
        <w:t>al</w:t>
      </w:r>
      <w:r>
        <w:rPr>
          <w:rFonts w:cs="Times New Roman"/>
          <w:spacing w:val="-4"/>
          <w:sz w:val="18"/>
          <w:szCs w:val="18"/>
          <w:lang w:val="es-ES_tradnl"/>
        </w:rPr>
        <w:t>ó</w:t>
      </w:r>
      <w:r>
        <w:rPr>
          <w:spacing w:val="-4"/>
          <w:sz w:val="18"/>
          <w:szCs w:val="18"/>
          <w:lang w:val="es-ES_tradnl"/>
        </w:rPr>
        <w:t xml:space="preserve"> la </w:t>
      </w:r>
      <w:r>
        <w:rPr>
          <w:spacing w:val="-5"/>
          <w:sz w:val="18"/>
          <w:szCs w:val="18"/>
          <w:lang w:val="es-ES_tradnl"/>
        </w:rPr>
        <w:t>improcedencia de la presente acci</w:t>
      </w:r>
      <w:r>
        <w:rPr>
          <w:rFonts w:cs="Times New Roman"/>
          <w:spacing w:val="-5"/>
          <w:sz w:val="18"/>
          <w:szCs w:val="18"/>
          <w:lang w:val="es-ES_tradnl"/>
        </w:rPr>
        <w:t>ó</w:t>
      </w:r>
      <w:r>
        <w:rPr>
          <w:spacing w:val="-5"/>
          <w:sz w:val="18"/>
          <w:szCs w:val="18"/>
          <w:lang w:val="es-ES_tradnl"/>
        </w:rPr>
        <w:t xml:space="preserve">n por incumplimiento </w:t>
      </w:r>
      <w:r>
        <w:rPr>
          <w:spacing w:val="-4"/>
          <w:sz w:val="18"/>
          <w:szCs w:val="18"/>
          <w:lang w:val="es-ES_tradnl"/>
        </w:rPr>
        <w:t>por considerar que la accionante no cumpli</w:t>
      </w:r>
      <w:r>
        <w:rPr>
          <w:rFonts w:cs="Times New Roman"/>
          <w:spacing w:val="-4"/>
          <w:sz w:val="18"/>
          <w:szCs w:val="18"/>
          <w:lang w:val="es-ES_tradnl"/>
        </w:rPr>
        <w:t>ó</w:t>
      </w:r>
      <w:r>
        <w:rPr>
          <w:spacing w:val="-4"/>
          <w:sz w:val="18"/>
          <w:szCs w:val="18"/>
          <w:lang w:val="es-ES_tradnl"/>
        </w:rPr>
        <w:t xml:space="preserve"> con lo que establece la Ley Org</w:t>
      </w:r>
      <w:r>
        <w:rPr>
          <w:rFonts w:cs="Times New Roman"/>
          <w:spacing w:val="-4"/>
          <w:sz w:val="18"/>
          <w:szCs w:val="18"/>
          <w:lang w:val="es-ES_tradnl"/>
        </w:rPr>
        <w:t>á</w:t>
      </w:r>
      <w:r>
        <w:rPr>
          <w:spacing w:val="-4"/>
          <w:sz w:val="18"/>
          <w:szCs w:val="18"/>
          <w:lang w:val="es-ES_tradnl"/>
        </w:rPr>
        <w:t>nica de Garant</w:t>
      </w:r>
      <w:r>
        <w:rPr>
          <w:rFonts w:cs="Times New Roman"/>
          <w:spacing w:val="-4"/>
          <w:sz w:val="18"/>
          <w:szCs w:val="18"/>
          <w:lang w:val="es-ES_tradnl"/>
        </w:rPr>
        <w:t>í</w:t>
      </w:r>
      <w:r>
        <w:rPr>
          <w:spacing w:val="-4"/>
          <w:sz w:val="18"/>
          <w:szCs w:val="18"/>
          <w:lang w:val="es-ES_tradnl"/>
        </w:rPr>
        <w:t xml:space="preserve">as Jurisdiccionales </w:t>
      </w:r>
      <w:r>
        <w:rPr>
          <w:sz w:val="18"/>
          <w:szCs w:val="18"/>
          <w:lang w:val="es-ES_tradnl"/>
        </w:rPr>
        <w:t>y Control Constitucional en sus art</w:t>
      </w:r>
      <w:r>
        <w:rPr>
          <w:rFonts w:cs="Times New Roman"/>
          <w:sz w:val="18"/>
          <w:szCs w:val="18"/>
          <w:lang w:val="es-ES_tradnl"/>
        </w:rPr>
        <w:t>í</w:t>
      </w:r>
      <w:r>
        <w:rPr>
          <w:sz w:val="18"/>
          <w:szCs w:val="18"/>
          <w:lang w:val="es-ES_tradnl"/>
        </w:rPr>
        <w:t xml:space="preserve">culos 10 y 54, </w:t>
      </w:r>
      <w:r>
        <w:rPr>
          <w:spacing w:val="-4"/>
          <w:sz w:val="18"/>
          <w:szCs w:val="18"/>
          <w:lang w:val="es-ES_tradnl"/>
        </w:rPr>
        <w:t>esto es, no efectu</w:t>
      </w:r>
      <w:r>
        <w:rPr>
          <w:rFonts w:cs="Times New Roman"/>
          <w:spacing w:val="-4"/>
          <w:sz w:val="18"/>
          <w:szCs w:val="18"/>
          <w:lang w:val="es-ES_tradnl"/>
        </w:rPr>
        <w:t>ó</w:t>
      </w:r>
      <w:r>
        <w:rPr>
          <w:spacing w:val="-4"/>
          <w:sz w:val="18"/>
          <w:szCs w:val="18"/>
          <w:lang w:val="es-ES_tradnl"/>
        </w:rPr>
        <w:t xml:space="preserve"> el reclamo previo en la v</w:t>
      </w:r>
      <w:r>
        <w:rPr>
          <w:rFonts w:cs="Times New Roman"/>
          <w:spacing w:val="-4"/>
          <w:sz w:val="18"/>
          <w:szCs w:val="18"/>
          <w:lang w:val="es-ES_tradnl"/>
        </w:rPr>
        <w:t>í</w:t>
      </w:r>
      <w:r>
        <w:rPr>
          <w:spacing w:val="-4"/>
          <w:sz w:val="18"/>
          <w:szCs w:val="18"/>
          <w:lang w:val="es-ES_tradnl"/>
        </w:rPr>
        <w:t xml:space="preserve">a judicial </w:t>
      </w:r>
      <w:r>
        <w:rPr>
          <w:spacing w:val="-6"/>
          <w:sz w:val="18"/>
          <w:szCs w:val="18"/>
          <w:lang w:val="es-ES_tradnl"/>
        </w:rPr>
        <w:t>correspondiente, y adicion</w:t>
      </w:r>
      <w:r>
        <w:rPr>
          <w:rFonts w:cs="Times New Roman"/>
          <w:spacing w:val="-6"/>
          <w:sz w:val="18"/>
          <w:szCs w:val="18"/>
          <w:lang w:val="es-ES_tradnl"/>
        </w:rPr>
        <w:t>ó</w:t>
      </w:r>
      <w:r>
        <w:rPr>
          <w:spacing w:val="-6"/>
          <w:sz w:val="18"/>
          <w:szCs w:val="18"/>
          <w:lang w:val="es-ES_tradnl"/>
        </w:rPr>
        <w:t xml:space="preserve"> que se han presentado otras </w:t>
      </w:r>
      <w:r>
        <w:rPr>
          <w:spacing w:val="-3"/>
          <w:sz w:val="18"/>
          <w:szCs w:val="18"/>
          <w:lang w:val="es-ES_tradnl"/>
        </w:rPr>
        <w:t>garant</w:t>
      </w:r>
      <w:r>
        <w:rPr>
          <w:rFonts w:cs="Times New Roman"/>
          <w:spacing w:val="-3"/>
          <w:sz w:val="18"/>
          <w:szCs w:val="18"/>
          <w:lang w:val="es-ES_tradnl"/>
        </w:rPr>
        <w:t>í</w:t>
      </w:r>
      <w:r>
        <w:rPr>
          <w:spacing w:val="-3"/>
          <w:sz w:val="18"/>
          <w:szCs w:val="18"/>
          <w:lang w:val="es-ES_tradnl"/>
        </w:rPr>
        <w:t xml:space="preserve">as jurisdiccionales en el mismo caso, como la </w:t>
      </w:r>
      <w:r>
        <w:rPr>
          <w:spacing w:val="-6"/>
          <w:sz w:val="18"/>
          <w:szCs w:val="18"/>
          <w:lang w:val="es-ES_tradnl"/>
        </w:rPr>
        <w:t>acci</w:t>
      </w:r>
      <w:r>
        <w:rPr>
          <w:rFonts w:cs="Times New Roman"/>
          <w:spacing w:val="-6"/>
          <w:sz w:val="18"/>
          <w:szCs w:val="18"/>
          <w:lang w:val="es-ES_tradnl"/>
        </w:rPr>
        <w:t>ó</w:t>
      </w:r>
      <w:r>
        <w:rPr>
          <w:spacing w:val="-6"/>
          <w:sz w:val="18"/>
          <w:szCs w:val="18"/>
          <w:lang w:val="es-ES_tradnl"/>
        </w:rPr>
        <w:t>n de protecci</w:t>
      </w:r>
      <w:r>
        <w:rPr>
          <w:rFonts w:cs="Times New Roman"/>
          <w:spacing w:val="-6"/>
          <w:sz w:val="18"/>
          <w:szCs w:val="18"/>
          <w:lang w:val="es-ES_tradnl"/>
        </w:rPr>
        <w:t>ó</w:t>
      </w:r>
      <w:r>
        <w:rPr>
          <w:spacing w:val="-6"/>
          <w:sz w:val="18"/>
          <w:szCs w:val="18"/>
          <w:lang w:val="es-ES_tradnl"/>
        </w:rPr>
        <w:t xml:space="preserve">n que se constata en los autos del </w:t>
      </w:r>
      <w:r>
        <w:rPr>
          <w:spacing w:val="-5"/>
          <w:sz w:val="18"/>
          <w:szCs w:val="18"/>
          <w:lang w:val="es-ES_tradnl"/>
        </w:rPr>
        <w:t>expediente de acci</w:t>
      </w:r>
      <w:r>
        <w:rPr>
          <w:rFonts w:cs="Times New Roman"/>
          <w:spacing w:val="-5"/>
          <w:sz w:val="18"/>
          <w:szCs w:val="18"/>
          <w:lang w:val="es-ES_tradnl"/>
        </w:rPr>
        <w:t>ó</w:t>
      </w:r>
      <w:r>
        <w:rPr>
          <w:spacing w:val="-5"/>
          <w:sz w:val="18"/>
          <w:szCs w:val="18"/>
          <w:lang w:val="es-ES_tradnl"/>
        </w:rPr>
        <w:t>n por incumplimiento N.</w:t>
      </w:r>
      <w:r>
        <w:rPr>
          <w:rFonts w:cs="Times New Roman"/>
          <w:spacing w:val="-5"/>
          <w:sz w:val="18"/>
          <w:szCs w:val="18"/>
          <w:lang w:val="es-ES_tradnl"/>
        </w:rPr>
        <w:t>º</w:t>
      </w:r>
      <w:r>
        <w:rPr>
          <w:spacing w:val="-5"/>
          <w:sz w:val="18"/>
          <w:szCs w:val="18"/>
          <w:lang w:val="es-ES_tradnl"/>
        </w:rPr>
        <w:t xml:space="preserve"> 022-12-AN.</w:t>
      </w:r>
    </w:p>
    <w:p w14:paraId="4F67A484" w14:textId="77777777" w:rsidR="00591D54" w:rsidRDefault="00591D54">
      <w:pPr>
        <w:shd w:val="clear" w:color="auto" w:fill="FFFFFF"/>
        <w:spacing w:before="206" w:line="230" w:lineRule="exact"/>
        <w:jc w:val="both"/>
      </w:pPr>
      <w:r>
        <w:rPr>
          <w:spacing w:val="-4"/>
          <w:sz w:val="18"/>
          <w:szCs w:val="18"/>
          <w:lang w:val="es-ES_tradnl"/>
        </w:rPr>
        <w:t>As</w:t>
      </w:r>
      <w:r>
        <w:rPr>
          <w:rFonts w:cs="Times New Roman"/>
          <w:spacing w:val="-4"/>
          <w:sz w:val="18"/>
          <w:szCs w:val="18"/>
          <w:lang w:val="es-ES_tradnl"/>
        </w:rPr>
        <w:t>í</w:t>
      </w:r>
      <w:r>
        <w:rPr>
          <w:spacing w:val="-4"/>
          <w:sz w:val="18"/>
          <w:szCs w:val="18"/>
          <w:lang w:val="es-ES_tradnl"/>
        </w:rPr>
        <w:t xml:space="preserve">, el director nacional de Patrocinio, delegado del procurador general del Estado, concluye manifestando </w:t>
      </w:r>
      <w:r>
        <w:rPr>
          <w:spacing w:val="-6"/>
          <w:sz w:val="18"/>
          <w:szCs w:val="18"/>
          <w:lang w:val="es-ES_tradnl"/>
        </w:rPr>
        <w:t xml:space="preserve">que si la legitimada activa se siente perjudicada, si tuviera </w:t>
      </w:r>
      <w:r>
        <w:rPr>
          <w:spacing w:val="-7"/>
          <w:sz w:val="18"/>
          <w:szCs w:val="18"/>
          <w:lang w:val="es-ES_tradnl"/>
        </w:rPr>
        <w:t>consigo elementos probatorios claros y contundentes para as</w:t>
      </w:r>
      <w:r>
        <w:rPr>
          <w:rFonts w:cs="Times New Roman"/>
          <w:spacing w:val="-7"/>
          <w:sz w:val="18"/>
          <w:szCs w:val="18"/>
          <w:lang w:val="es-ES_tradnl"/>
        </w:rPr>
        <w:t>í</w:t>
      </w:r>
      <w:r>
        <w:rPr>
          <w:spacing w:val="-7"/>
          <w:sz w:val="18"/>
          <w:szCs w:val="18"/>
          <w:lang w:val="es-ES_tradnl"/>
        </w:rPr>
        <w:t xml:space="preserve"> demostrar la violaci</w:t>
      </w:r>
      <w:r>
        <w:rPr>
          <w:rFonts w:cs="Times New Roman"/>
          <w:spacing w:val="-7"/>
          <w:sz w:val="18"/>
          <w:szCs w:val="18"/>
          <w:lang w:val="es-ES_tradnl"/>
        </w:rPr>
        <w:t>ó</w:t>
      </w:r>
      <w:r>
        <w:rPr>
          <w:spacing w:val="-7"/>
          <w:sz w:val="18"/>
          <w:szCs w:val="18"/>
          <w:lang w:val="es-ES_tradnl"/>
        </w:rPr>
        <w:t xml:space="preserve">n a sus derechos constitucionales </w:t>
      </w:r>
      <w:r>
        <w:rPr>
          <w:spacing w:val="-4"/>
          <w:sz w:val="18"/>
          <w:szCs w:val="18"/>
          <w:lang w:val="es-ES_tradnl"/>
        </w:rPr>
        <w:t>como a normas claras y establecidas, deber</w:t>
      </w:r>
      <w:r>
        <w:rPr>
          <w:rFonts w:cs="Times New Roman"/>
          <w:spacing w:val="-4"/>
          <w:sz w:val="18"/>
          <w:szCs w:val="18"/>
          <w:lang w:val="es-ES_tradnl"/>
        </w:rPr>
        <w:t>í</w:t>
      </w:r>
      <w:r>
        <w:rPr>
          <w:spacing w:val="-4"/>
          <w:sz w:val="18"/>
          <w:szCs w:val="18"/>
          <w:lang w:val="es-ES_tradnl"/>
        </w:rPr>
        <w:t xml:space="preserve">a recurrir a </w:t>
      </w:r>
      <w:r>
        <w:rPr>
          <w:spacing w:val="-1"/>
          <w:sz w:val="18"/>
          <w:szCs w:val="18"/>
          <w:lang w:val="es-ES_tradnl"/>
        </w:rPr>
        <w:t xml:space="preserve">la justicia ordinaria, en cumplimiento a la seguridad </w:t>
      </w:r>
      <w:r>
        <w:rPr>
          <w:spacing w:val="-5"/>
          <w:sz w:val="18"/>
          <w:szCs w:val="18"/>
          <w:lang w:val="es-ES_tradnl"/>
        </w:rPr>
        <w:t>jur</w:t>
      </w:r>
      <w:r>
        <w:rPr>
          <w:rFonts w:cs="Times New Roman"/>
          <w:spacing w:val="-5"/>
          <w:sz w:val="18"/>
          <w:szCs w:val="18"/>
          <w:lang w:val="es-ES_tradnl"/>
        </w:rPr>
        <w:t>í</w:t>
      </w:r>
      <w:r>
        <w:rPr>
          <w:spacing w:val="-5"/>
          <w:sz w:val="18"/>
          <w:szCs w:val="18"/>
          <w:lang w:val="es-ES_tradnl"/>
        </w:rPr>
        <w:t xml:space="preserve">dica y las normas constitucionales establecidas en el </w:t>
      </w:r>
      <w:r>
        <w:rPr>
          <w:sz w:val="18"/>
          <w:szCs w:val="18"/>
          <w:lang w:val="es-ES_tradnl"/>
        </w:rPr>
        <w:t>ordenamiento jur</w:t>
      </w:r>
      <w:r>
        <w:rPr>
          <w:rFonts w:cs="Times New Roman"/>
          <w:sz w:val="18"/>
          <w:szCs w:val="18"/>
          <w:lang w:val="es-ES_tradnl"/>
        </w:rPr>
        <w:t>í</w:t>
      </w:r>
      <w:r>
        <w:rPr>
          <w:sz w:val="18"/>
          <w:szCs w:val="18"/>
          <w:lang w:val="es-ES_tradnl"/>
        </w:rPr>
        <w:t>dico del Estado.</w:t>
      </w:r>
    </w:p>
    <w:p w14:paraId="4F67A485" w14:textId="77777777" w:rsidR="00591D54" w:rsidRDefault="00591D54">
      <w:pPr>
        <w:shd w:val="clear" w:color="auto" w:fill="FFFFFF"/>
        <w:spacing w:before="206" w:line="230" w:lineRule="exact"/>
        <w:jc w:val="both"/>
        <w:sectPr w:rsidR="00591D54">
          <w:type w:val="continuous"/>
          <w:pgSz w:w="11909" w:h="16834"/>
          <w:pgMar w:top="1373" w:right="1309" w:bottom="360" w:left="1308" w:header="720" w:footer="720" w:gutter="0"/>
          <w:cols w:num="2" w:space="720" w:equalWidth="0">
            <w:col w:w="4305" w:space="682"/>
            <w:col w:w="4305"/>
          </w:cols>
          <w:noEndnote/>
        </w:sectPr>
      </w:pPr>
    </w:p>
    <w:p w14:paraId="4F67A486" w14:textId="77777777" w:rsidR="00591D54" w:rsidRDefault="00591D54">
      <w:pPr>
        <w:shd w:val="clear" w:color="auto" w:fill="FFFFFF"/>
        <w:tabs>
          <w:tab w:val="left" w:pos="4814"/>
        </w:tabs>
        <w:spacing w:after="226"/>
        <w:ind w:left="14"/>
      </w:pPr>
      <w:r>
        <w:rPr>
          <w:b/>
          <w:bCs/>
          <w:sz w:val="18"/>
          <w:szCs w:val="18"/>
          <w:lang w:val="es-ES_tradnl"/>
        </w:rPr>
        <w:t xml:space="preserve">18 -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487" w14:textId="77777777" w:rsidR="00591D54" w:rsidRDefault="00591D54">
      <w:pPr>
        <w:shd w:val="clear" w:color="auto" w:fill="FFFFFF"/>
        <w:tabs>
          <w:tab w:val="left" w:pos="4814"/>
        </w:tabs>
        <w:spacing w:after="226"/>
        <w:ind w:left="14"/>
        <w:sectPr w:rsidR="00591D54">
          <w:pgSz w:w="11909" w:h="16834"/>
          <w:pgMar w:top="1359" w:right="1309" w:bottom="360" w:left="1308" w:header="720" w:footer="720" w:gutter="0"/>
          <w:cols w:space="60"/>
          <w:noEndnote/>
        </w:sectPr>
      </w:pPr>
    </w:p>
    <w:p w14:paraId="4F67A488" w14:textId="77777777" w:rsidR="00591D54" w:rsidRDefault="00591D54">
      <w:pPr>
        <w:shd w:val="clear" w:color="auto" w:fill="FFFFFF"/>
        <w:spacing w:line="221" w:lineRule="exact"/>
        <w:ind w:left="686" w:right="326" w:hanging="355"/>
      </w:pPr>
      <w:r>
        <w:rPr>
          <w:b/>
          <w:bCs/>
          <w:spacing w:val="-1"/>
          <w:sz w:val="18"/>
          <w:szCs w:val="18"/>
          <w:lang w:val="es-ES_tradnl"/>
        </w:rPr>
        <w:t xml:space="preserve">II. CONSIDERACIONES Y FUNDAMENTOS </w:t>
      </w:r>
      <w:r>
        <w:rPr>
          <w:b/>
          <w:bCs/>
          <w:sz w:val="18"/>
          <w:szCs w:val="18"/>
          <w:lang w:val="es-ES_tradnl"/>
        </w:rPr>
        <w:t>DE LA CORTE CONSTITUCIONAL</w:t>
      </w:r>
    </w:p>
    <w:p w14:paraId="4F67A489" w14:textId="77777777" w:rsidR="00591D54" w:rsidRDefault="00591D54">
      <w:pPr>
        <w:shd w:val="clear" w:color="auto" w:fill="FFFFFF"/>
        <w:spacing w:before="197"/>
      </w:pPr>
      <w:r>
        <w:rPr>
          <w:b/>
          <w:bCs/>
          <w:spacing w:val="-11"/>
          <w:sz w:val="18"/>
          <w:szCs w:val="18"/>
          <w:lang w:val="es-ES_tradnl"/>
        </w:rPr>
        <w:t>Competencia</w:t>
      </w:r>
    </w:p>
    <w:p w14:paraId="4F67A48A" w14:textId="77777777" w:rsidR="00591D54" w:rsidRDefault="00591D54">
      <w:pPr>
        <w:shd w:val="clear" w:color="auto" w:fill="FFFFFF"/>
        <w:spacing w:before="202" w:line="221" w:lineRule="exact"/>
        <w:ind w:right="5"/>
        <w:jc w:val="both"/>
      </w:pPr>
      <w:r>
        <w:rPr>
          <w:spacing w:val="-6"/>
          <w:sz w:val="18"/>
          <w:szCs w:val="18"/>
          <w:lang w:val="es-ES_tradnl"/>
        </w:rPr>
        <w:t xml:space="preserve">La Corte Constitucional es competente para conocer y resolver las acciones por incumplimiento, de conformidad </w:t>
      </w:r>
      <w:r>
        <w:rPr>
          <w:spacing w:val="-5"/>
          <w:sz w:val="18"/>
          <w:szCs w:val="18"/>
          <w:lang w:val="es-ES_tradnl"/>
        </w:rPr>
        <w:t>con lo previsto en los art</w:t>
      </w:r>
      <w:r>
        <w:rPr>
          <w:rFonts w:cs="Times New Roman"/>
          <w:spacing w:val="-5"/>
          <w:sz w:val="18"/>
          <w:szCs w:val="18"/>
          <w:lang w:val="es-ES_tradnl"/>
        </w:rPr>
        <w:t>í</w:t>
      </w:r>
      <w:r>
        <w:rPr>
          <w:spacing w:val="-5"/>
          <w:sz w:val="18"/>
          <w:szCs w:val="18"/>
          <w:lang w:val="es-ES_tradnl"/>
        </w:rPr>
        <w:t>culos 93 y 436 numeral 5 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 xml:space="preserve">blica, en concordancia con lo </w:t>
      </w:r>
      <w:r>
        <w:rPr>
          <w:spacing w:val="-6"/>
          <w:sz w:val="18"/>
          <w:szCs w:val="18"/>
          <w:lang w:val="es-ES_tradnl"/>
        </w:rPr>
        <w:t>dispuesto en los art</w:t>
      </w:r>
      <w:r>
        <w:rPr>
          <w:rFonts w:cs="Times New Roman"/>
          <w:spacing w:val="-6"/>
          <w:sz w:val="18"/>
          <w:szCs w:val="18"/>
          <w:lang w:val="es-ES_tradnl"/>
        </w:rPr>
        <w:t>í</w:t>
      </w:r>
      <w:r>
        <w:rPr>
          <w:spacing w:val="-6"/>
          <w:sz w:val="18"/>
          <w:szCs w:val="18"/>
          <w:lang w:val="es-ES_tradnl"/>
        </w:rPr>
        <w:t>culos del 52 al 57 de la Ley Org</w:t>
      </w:r>
      <w:r>
        <w:rPr>
          <w:rFonts w:cs="Times New Roman"/>
          <w:spacing w:val="-6"/>
          <w:sz w:val="18"/>
          <w:szCs w:val="18"/>
          <w:lang w:val="es-ES_tradnl"/>
        </w:rPr>
        <w:t>á</w:t>
      </w:r>
      <w:r>
        <w:rPr>
          <w:spacing w:val="-6"/>
          <w:sz w:val="18"/>
          <w:szCs w:val="18"/>
          <w:lang w:val="es-ES_tradnl"/>
        </w:rPr>
        <w:t xml:space="preserve">nica </w:t>
      </w:r>
      <w:r>
        <w:rPr>
          <w:spacing w:val="-5"/>
          <w:sz w:val="18"/>
          <w:szCs w:val="18"/>
          <w:lang w:val="es-ES_tradnl"/>
        </w:rPr>
        <w:t>de Garant</w:t>
      </w:r>
      <w:r>
        <w:rPr>
          <w:rFonts w:cs="Times New Roman"/>
          <w:spacing w:val="-5"/>
          <w:sz w:val="18"/>
          <w:szCs w:val="18"/>
          <w:lang w:val="es-ES_tradnl"/>
        </w:rPr>
        <w:t>í</w:t>
      </w:r>
      <w:r>
        <w:rPr>
          <w:spacing w:val="-5"/>
          <w:sz w:val="18"/>
          <w:szCs w:val="18"/>
          <w:lang w:val="es-ES_tradnl"/>
        </w:rPr>
        <w:t xml:space="preserve">as Jurisdiccionales y Control Constitucional, y </w:t>
      </w:r>
      <w:r>
        <w:rPr>
          <w:spacing w:val="-7"/>
          <w:sz w:val="18"/>
          <w:szCs w:val="18"/>
          <w:lang w:val="es-ES_tradnl"/>
        </w:rPr>
        <w:t>de acuerdo con los art</w:t>
      </w:r>
      <w:r>
        <w:rPr>
          <w:rFonts w:cs="Times New Roman"/>
          <w:spacing w:val="-7"/>
          <w:sz w:val="18"/>
          <w:szCs w:val="18"/>
          <w:lang w:val="es-ES_tradnl"/>
        </w:rPr>
        <w:t>í</w:t>
      </w:r>
      <w:r>
        <w:rPr>
          <w:spacing w:val="-7"/>
          <w:sz w:val="18"/>
          <w:szCs w:val="18"/>
          <w:lang w:val="es-ES_tradnl"/>
        </w:rPr>
        <w:t xml:space="preserve">culos 32 y 33 del Reglamento de </w:t>
      </w:r>
      <w:r>
        <w:rPr>
          <w:spacing w:val="-9"/>
          <w:sz w:val="18"/>
          <w:szCs w:val="18"/>
          <w:lang w:val="es-ES_tradnl"/>
        </w:rPr>
        <w:t>Sustanciaci</w:t>
      </w:r>
      <w:r>
        <w:rPr>
          <w:rFonts w:cs="Times New Roman"/>
          <w:spacing w:val="-9"/>
          <w:sz w:val="18"/>
          <w:szCs w:val="18"/>
          <w:lang w:val="es-ES_tradnl"/>
        </w:rPr>
        <w:t>ó</w:t>
      </w:r>
      <w:r>
        <w:rPr>
          <w:spacing w:val="-9"/>
          <w:sz w:val="18"/>
          <w:szCs w:val="18"/>
          <w:lang w:val="es-ES_tradnl"/>
        </w:rPr>
        <w:t xml:space="preserve">n de Procesos de la Competencia de la Corte </w:t>
      </w:r>
      <w:r>
        <w:rPr>
          <w:sz w:val="18"/>
          <w:szCs w:val="18"/>
          <w:lang w:val="es-ES_tradnl"/>
        </w:rPr>
        <w:t>Constitucional.</w:t>
      </w:r>
    </w:p>
    <w:p w14:paraId="4F67A48B" w14:textId="77777777" w:rsidR="00591D54" w:rsidRDefault="00591D54">
      <w:pPr>
        <w:shd w:val="clear" w:color="auto" w:fill="FFFFFF"/>
        <w:spacing w:before="197"/>
      </w:pPr>
      <w:r>
        <w:rPr>
          <w:b/>
          <w:bCs/>
          <w:spacing w:val="-8"/>
          <w:sz w:val="18"/>
          <w:szCs w:val="18"/>
          <w:lang w:val="es-ES_tradnl"/>
        </w:rPr>
        <w:t>Legitimaci</w:t>
      </w:r>
      <w:r>
        <w:rPr>
          <w:rFonts w:cs="Times New Roman"/>
          <w:b/>
          <w:bCs/>
          <w:spacing w:val="-8"/>
          <w:sz w:val="18"/>
          <w:szCs w:val="18"/>
          <w:lang w:val="es-ES_tradnl"/>
        </w:rPr>
        <w:t>ó</w:t>
      </w:r>
      <w:r>
        <w:rPr>
          <w:b/>
          <w:bCs/>
          <w:spacing w:val="-8"/>
          <w:sz w:val="18"/>
          <w:szCs w:val="18"/>
          <w:lang w:val="es-ES_tradnl"/>
        </w:rPr>
        <w:t>n activa</w:t>
      </w:r>
    </w:p>
    <w:p w14:paraId="4F67A48C" w14:textId="77777777" w:rsidR="00591D54" w:rsidRDefault="00591D54">
      <w:pPr>
        <w:shd w:val="clear" w:color="auto" w:fill="FFFFFF"/>
        <w:spacing w:before="202" w:line="221" w:lineRule="exact"/>
        <w:jc w:val="both"/>
      </w:pPr>
      <w:r>
        <w:rPr>
          <w:spacing w:val="-7"/>
          <w:sz w:val="18"/>
          <w:szCs w:val="18"/>
          <w:lang w:val="es-ES_tradnl"/>
        </w:rPr>
        <w:t xml:space="preserve">La accionante se encuentra legitimada para proponer la </w:t>
      </w:r>
      <w:r>
        <w:rPr>
          <w:spacing w:val="-4"/>
          <w:sz w:val="18"/>
          <w:szCs w:val="18"/>
          <w:lang w:val="es-ES_tradnl"/>
        </w:rPr>
        <w:t>presente acci</w:t>
      </w:r>
      <w:r>
        <w:rPr>
          <w:rFonts w:cs="Times New Roman"/>
          <w:spacing w:val="-4"/>
          <w:sz w:val="18"/>
          <w:szCs w:val="18"/>
          <w:lang w:val="es-ES_tradnl"/>
        </w:rPr>
        <w:t>ó</w:t>
      </w:r>
      <w:r>
        <w:rPr>
          <w:spacing w:val="-4"/>
          <w:sz w:val="18"/>
          <w:szCs w:val="18"/>
          <w:lang w:val="es-ES_tradnl"/>
        </w:rPr>
        <w:t xml:space="preserve">n por incumplimiento de norma, en virtud </w:t>
      </w:r>
      <w:r>
        <w:rPr>
          <w:spacing w:val="-6"/>
          <w:sz w:val="18"/>
          <w:szCs w:val="18"/>
          <w:lang w:val="es-ES_tradnl"/>
        </w:rPr>
        <w:t>de lo dispuesto en el art</w:t>
      </w:r>
      <w:r>
        <w:rPr>
          <w:rFonts w:cs="Times New Roman"/>
          <w:spacing w:val="-6"/>
          <w:sz w:val="18"/>
          <w:szCs w:val="18"/>
          <w:lang w:val="es-ES_tradnl"/>
        </w:rPr>
        <w:t>í</w:t>
      </w:r>
      <w:r>
        <w:rPr>
          <w:spacing w:val="-6"/>
          <w:sz w:val="18"/>
          <w:szCs w:val="18"/>
          <w:lang w:val="es-ES_tradnl"/>
        </w:rPr>
        <w:t>culo 439 de la Constituci</w:t>
      </w:r>
      <w:r>
        <w:rPr>
          <w:rFonts w:cs="Times New Roman"/>
          <w:spacing w:val="-6"/>
          <w:sz w:val="18"/>
          <w:szCs w:val="18"/>
          <w:lang w:val="es-ES_tradnl"/>
        </w:rPr>
        <w:t>ó</w:t>
      </w:r>
      <w:r>
        <w:rPr>
          <w:spacing w:val="-6"/>
          <w:sz w:val="18"/>
          <w:szCs w:val="18"/>
          <w:lang w:val="es-ES_tradnl"/>
        </w:rPr>
        <w:t xml:space="preserve">n, que </w:t>
      </w:r>
      <w:r>
        <w:rPr>
          <w:spacing w:val="-7"/>
          <w:sz w:val="18"/>
          <w:szCs w:val="18"/>
          <w:lang w:val="es-ES_tradnl"/>
        </w:rPr>
        <w:t xml:space="preserve">establece: </w:t>
      </w:r>
      <w:r>
        <w:rPr>
          <w:rFonts w:cs="Times New Roman"/>
          <w:spacing w:val="-7"/>
          <w:sz w:val="18"/>
          <w:szCs w:val="18"/>
          <w:lang w:val="es-ES_tradnl"/>
        </w:rPr>
        <w:t>“…</w:t>
      </w:r>
      <w:r>
        <w:rPr>
          <w:spacing w:val="-7"/>
          <w:sz w:val="18"/>
          <w:szCs w:val="18"/>
          <w:lang w:val="es-ES_tradnl"/>
        </w:rPr>
        <w:t>las acciones constitucionales podr</w:t>
      </w:r>
      <w:r>
        <w:rPr>
          <w:rFonts w:cs="Times New Roman"/>
          <w:spacing w:val="-7"/>
          <w:sz w:val="18"/>
          <w:szCs w:val="18"/>
          <w:lang w:val="es-ES_tradnl"/>
        </w:rPr>
        <w:t>á</w:t>
      </w:r>
      <w:r>
        <w:rPr>
          <w:spacing w:val="-7"/>
          <w:sz w:val="18"/>
          <w:szCs w:val="18"/>
          <w:lang w:val="es-ES_tradnl"/>
        </w:rPr>
        <w:t xml:space="preserve">n ser </w:t>
      </w:r>
      <w:r>
        <w:rPr>
          <w:spacing w:val="-9"/>
          <w:sz w:val="18"/>
          <w:szCs w:val="18"/>
          <w:lang w:val="es-ES_tradnl"/>
        </w:rPr>
        <w:t xml:space="preserve">presentadas por cualquier ciudadana o ciudadano individual </w:t>
      </w:r>
      <w:r>
        <w:rPr>
          <w:sz w:val="18"/>
          <w:szCs w:val="18"/>
          <w:lang w:val="es-ES_tradnl"/>
        </w:rPr>
        <w:t>o colectivamente</w:t>
      </w:r>
      <w:r>
        <w:rPr>
          <w:rFonts w:cs="Times New Roman"/>
          <w:sz w:val="18"/>
          <w:szCs w:val="18"/>
          <w:lang w:val="es-ES_tradnl"/>
        </w:rPr>
        <w:t>”</w:t>
      </w:r>
      <w:r>
        <w:rPr>
          <w:sz w:val="18"/>
          <w:szCs w:val="18"/>
          <w:lang w:val="es-ES_tradnl"/>
        </w:rPr>
        <w:t>.</w:t>
      </w:r>
    </w:p>
    <w:p w14:paraId="4F67A48D" w14:textId="77777777" w:rsidR="00591D54" w:rsidRDefault="00591D54">
      <w:pPr>
        <w:shd w:val="clear" w:color="auto" w:fill="FFFFFF"/>
        <w:spacing w:before="202" w:line="221" w:lineRule="exact"/>
        <w:ind w:right="5"/>
        <w:jc w:val="both"/>
      </w:pPr>
      <w:r>
        <w:rPr>
          <w:spacing w:val="-10"/>
          <w:sz w:val="18"/>
          <w:szCs w:val="18"/>
          <w:lang w:val="es-ES_tradnl"/>
        </w:rPr>
        <w:t xml:space="preserve">Con los antecedentes expuestos, la Corte Constitucional del </w:t>
      </w:r>
      <w:r>
        <w:rPr>
          <w:spacing w:val="-7"/>
          <w:sz w:val="18"/>
          <w:szCs w:val="18"/>
          <w:lang w:val="es-ES_tradnl"/>
        </w:rPr>
        <w:t>Ecuador se plantea el siguiente problema jur</w:t>
      </w:r>
      <w:r>
        <w:rPr>
          <w:rFonts w:cs="Times New Roman"/>
          <w:spacing w:val="-7"/>
          <w:sz w:val="18"/>
          <w:szCs w:val="18"/>
          <w:lang w:val="es-ES_tradnl"/>
        </w:rPr>
        <w:t>í</w:t>
      </w:r>
      <w:r>
        <w:rPr>
          <w:spacing w:val="-7"/>
          <w:sz w:val="18"/>
          <w:szCs w:val="18"/>
          <w:lang w:val="es-ES_tradnl"/>
        </w:rPr>
        <w:t>dico:</w:t>
      </w:r>
    </w:p>
    <w:p w14:paraId="4F67A48E" w14:textId="77777777" w:rsidR="00591D54" w:rsidRDefault="00591D54">
      <w:pPr>
        <w:shd w:val="clear" w:color="auto" w:fill="FFFFFF"/>
        <w:spacing w:before="197"/>
      </w:pPr>
      <w:r>
        <w:rPr>
          <w:b/>
          <w:bCs/>
          <w:spacing w:val="-10"/>
          <w:sz w:val="18"/>
          <w:szCs w:val="18"/>
          <w:lang w:val="es-ES_tradnl"/>
        </w:rPr>
        <w:t>An</w:t>
      </w:r>
      <w:r>
        <w:rPr>
          <w:rFonts w:cs="Times New Roman"/>
          <w:b/>
          <w:bCs/>
          <w:spacing w:val="-10"/>
          <w:sz w:val="18"/>
          <w:szCs w:val="18"/>
          <w:lang w:val="es-ES_tradnl"/>
        </w:rPr>
        <w:t>á</w:t>
      </w:r>
      <w:r>
        <w:rPr>
          <w:b/>
          <w:bCs/>
          <w:spacing w:val="-10"/>
          <w:sz w:val="18"/>
          <w:szCs w:val="18"/>
          <w:lang w:val="es-ES_tradnl"/>
        </w:rPr>
        <w:t>lisis constitucional</w:t>
      </w:r>
    </w:p>
    <w:p w14:paraId="4F67A48F" w14:textId="77777777" w:rsidR="00591D54" w:rsidRDefault="00591D54">
      <w:pPr>
        <w:shd w:val="clear" w:color="auto" w:fill="FFFFFF"/>
        <w:spacing w:before="202" w:line="221" w:lineRule="exact"/>
        <w:ind w:right="5"/>
        <w:jc w:val="both"/>
      </w:pPr>
      <w:r>
        <w:rPr>
          <w:spacing w:val="-6"/>
          <w:sz w:val="18"/>
          <w:szCs w:val="18"/>
          <w:lang w:val="es-ES_tradnl"/>
        </w:rPr>
        <w:t>Considerando la relaci</w:t>
      </w:r>
      <w:r>
        <w:rPr>
          <w:rFonts w:cs="Times New Roman"/>
          <w:spacing w:val="-6"/>
          <w:sz w:val="18"/>
          <w:szCs w:val="18"/>
          <w:lang w:val="es-ES_tradnl"/>
        </w:rPr>
        <w:t>ó</w:t>
      </w:r>
      <w:r>
        <w:rPr>
          <w:spacing w:val="-6"/>
          <w:sz w:val="18"/>
          <w:szCs w:val="18"/>
          <w:lang w:val="es-ES_tradnl"/>
        </w:rPr>
        <w:t xml:space="preserve">n del hecho constitucionalmente </w:t>
      </w:r>
      <w:r>
        <w:rPr>
          <w:spacing w:val="-8"/>
          <w:sz w:val="18"/>
          <w:szCs w:val="18"/>
          <w:lang w:val="es-ES_tradnl"/>
        </w:rPr>
        <w:t>relevante y los elementos f</w:t>
      </w:r>
      <w:r>
        <w:rPr>
          <w:rFonts w:cs="Times New Roman"/>
          <w:spacing w:val="-8"/>
          <w:sz w:val="18"/>
          <w:szCs w:val="18"/>
          <w:lang w:val="es-ES_tradnl"/>
        </w:rPr>
        <w:t>á</w:t>
      </w:r>
      <w:r>
        <w:rPr>
          <w:spacing w:val="-8"/>
          <w:sz w:val="18"/>
          <w:szCs w:val="18"/>
          <w:lang w:val="es-ES_tradnl"/>
        </w:rPr>
        <w:t xml:space="preserve">cticos descritos en la demanda </w:t>
      </w:r>
      <w:r>
        <w:rPr>
          <w:spacing w:val="-5"/>
          <w:sz w:val="18"/>
          <w:szCs w:val="18"/>
          <w:lang w:val="es-ES_tradnl"/>
        </w:rPr>
        <w:t>planteada por la se</w:t>
      </w:r>
      <w:r>
        <w:rPr>
          <w:rFonts w:cs="Times New Roman"/>
          <w:spacing w:val="-5"/>
          <w:sz w:val="18"/>
          <w:szCs w:val="18"/>
          <w:lang w:val="es-ES_tradnl"/>
        </w:rPr>
        <w:t>ñ</w:t>
      </w:r>
      <w:r>
        <w:rPr>
          <w:spacing w:val="-5"/>
          <w:sz w:val="18"/>
          <w:szCs w:val="18"/>
          <w:lang w:val="es-ES_tradnl"/>
        </w:rPr>
        <w:t xml:space="preserve">orita Mireya Nataly Caiza Rivera, el </w:t>
      </w:r>
      <w:r>
        <w:rPr>
          <w:spacing w:val="-6"/>
          <w:sz w:val="18"/>
          <w:szCs w:val="18"/>
          <w:lang w:val="es-ES_tradnl"/>
        </w:rPr>
        <w:t>Pleno de la Corte Constitucional sistematizar</w:t>
      </w:r>
      <w:r>
        <w:rPr>
          <w:rFonts w:cs="Times New Roman"/>
          <w:spacing w:val="-6"/>
          <w:sz w:val="18"/>
          <w:szCs w:val="18"/>
          <w:lang w:val="es-ES_tradnl"/>
        </w:rPr>
        <w:t>á</w:t>
      </w:r>
      <w:r>
        <w:rPr>
          <w:spacing w:val="-6"/>
          <w:sz w:val="18"/>
          <w:szCs w:val="18"/>
          <w:lang w:val="es-ES_tradnl"/>
        </w:rPr>
        <w:t xml:space="preserve"> el an</w:t>
      </w:r>
      <w:r>
        <w:rPr>
          <w:rFonts w:cs="Times New Roman"/>
          <w:spacing w:val="-6"/>
          <w:sz w:val="18"/>
          <w:szCs w:val="18"/>
          <w:lang w:val="es-ES_tradnl"/>
        </w:rPr>
        <w:t>á</w:t>
      </w:r>
      <w:r>
        <w:rPr>
          <w:spacing w:val="-6"/>
          <w:sz w:val="18"/>
          <w:szCs w:val="18"/>
          <w:lang w:val="es-ES_tradnl"/>
        </w:rPr>
        <w:t xml:space="preserve">lisis </w:t>
      </w:r>
      <w:r>
        <w:rPr>
          <w:spacing w:val="-7"/>
          <w:sz w:val="18"/>
          <w:szCs w:val="18"/>
          <w:lang w:val="es-ES_tradnl"/>
        </w:rPr>
        <w:t>del caso concreto, a partir de la formulaci</w:t>
      </w:r>
      <w:r>
        <w:rPr>
          <w:rFonts w:cs="Times New Roman"/>
          <w:spacing w:val="-7"/>
          <w:sz w:val="18"/>
          <w:szCs w:val="18"/>
          <w:lang w:val="es-ES_tradnl"/>
        </w:rPr>
        <w:t>ó</w:t>
      </w:r>
      <w:r>
        <w:rPr>
          <w:spacing w:val="-7"/>
          <w:sz w:val="18"/>
          <w:szCs w:val="18"/>
          <w:lang w:val="es-ES_tradnl"/>
        </w:rPr>
        <w:t>n y soluci</w:t>
      </w:r>
      <w:r>
        <w:rPr>
          <w:rFonts w:cs="Times New Roman"/>
          <w:spacing w:val="-7"/>
          <w:sz w:val="18"/>
          <w:szCs w:val="18"/>
          <w:lang w:val="es-ES_tradnl"/>
        </w:rPr>
        <w:t>ó</w:t>
      </w:r>
      <w:r>
        <w:rPr>
          <w:spacing w:val="-7"/>
          <w:sz w:val="18"/>
          <w:szCs w:val="18"/>
          <w:lang w:val="es-ES_tradnl"/>
        </w:rPr>
        <w:t xml:space="preserve">n del </w:t>
      </w:r>
      <w:r>
        <w:rPr>
          <w:sz w:val="18"/>
          <w:szCs w:val="18"/>
          <w:lang w:val="es-ES_tradnl"/>
        </w:rPr>
        <w:t>siguiente problema jur</w:t>
      </w:r>
      <w:r>
        <w:rPr>
          <w:rFonts w:cs="Times New Roman"/>
          <w:sz w:val="18"/>
          <w:szCs w:val="18"/>
          <w:lang w:val="es-ES_tradnl"/>
        </w:rPr>
        <w:t>í</w:t>
      </w:r>
      <w:r>
        <w:rPr>
          <w:sz w:val="18"/>
          <w:szCs w:val="18"/>
          <w:lang w:val="es-ES_tradnl"/>
        </w:rPr>
        <w:t>dico:</w:t>
      </w:r>
    </w:p>
    <w:p w14:paraId="4F67A490" w14:textId="77777777" w:rsidR="00591D54" w:rsidRDefault="00591D54">
      <w:pPr>
        <w:shd w:val="clear" w:color="auto" w:fill="FFFFFF"/>
        <w:spacing w:before="197" w:line="221" w:lineRule="exact"/>
        <w:ind w:right="5"/>
        <w:jc w:val="both"/>
      </w:pPr>
      <w:r>
        <w:rPr>
          <w:b/>
          <w:bCs/>
          <w:spacing w:val="-3"/>
          <w:sz w:val="18"/>
          <w:szCs w:val="18"/>
          <w:lang w:val="es-ES_tradnl"/>
        </w:rPr>
        <w:t xml:space="preserve">Las normas del Reglamento Disciplinario para la </w:t>
      </w:r>
      <w:r>
        <w:rPr>
          <w:b/>
          <w:bCs/>
          <w:spacing w:val="-5"/>
          <w:sz w:val="18"/>
          <w:szCs w:val="18"/>
          <w:lang w:val="es-ES_tradnl"/>
        </w:rPr>
        <w:t>Escuela Superior de Polic</w:t>
      </w:r>
      <w:r>
        <w:rPr>
          <w:rFonts w:cs="Times New Roman"/>
          <w:b/>
          <w:bCs/>
          <w:spacing w:val="-5"/>
          <w:sz w:val="18"/>
          <w:szCs w:val="18"/>
          <w:lang w:val="es-ES_tradnl"/>
        </w:rPr>
        <w:t>í</w:t>
      </w:r>
      <w:r>
        <w:rPr>
          <w:b/>
          <w:bCs/>
          <w:spacing w:val="-5"/>
          <w:sz w:val="18"/>
          <w:szCs w:val="18"/>
          <w:lang w:val="es-ES_tradnl"/>
        </w:rPr>
        <w:t>a Alberto Enr</w:t>
      </w:r>
      <w:r>
        <w:rPr>
          <w:rFonts w:cs="Times New Roman"/>
          <w:b/>
          <w:bCs/>
          <w:spacing w:val="-5"/>
          <w:sz w:val="18"/>
          <w:szCs w:val="18"/>
          <w:lang w:val="es-ES_tradnl"/>
        </w:rPr>
        <w:t>í</w:t>
      </w:r>
      <w:r>
        <w:rPr>
          <w:b/>
          <w:bCs/>
          <w:spacing w:val="-5"/>
          <w:sz w:val="18"/>
          <w:szCs w:val="18"/>
          <w:lang w:val="es-ES_tradnl"/>
        </w:rPr>
        <w:t xml:space="preserve">quez Gallo, </w:t>
      </w:r>
      <w:r>
        <w:rPr>
          <w:b/>
          <w:bCs/>
          <w:spacing w:val="-12"/>
          <w:sz w:val="18"/>
          <w:szCs w:val="18"/>
          <w:lang w:val="es-ES_tradnl"/>
        </w:rPr>
        <w:t xml:space="preserve">cuyo cumplimiento se demanda </w:t>
      </w:r>
      <w:r>
        <w:rPr>
          <w:rFonts w:cs="Times New Roman"/>
          <w:b/>
          <w:bCs/>
          <w:spacing w:val="-12"/>
          <w:sz w:val="18"/>
          <w:szCs w:val="18"/>
          <w:lang w:val="es-ES_tradnl"/>
        </w:rPr>
        <w:t>¿</w:t>
      </w:r>
      <w:r>
        <w:rPr>
          <w:b/>
          <w:bCs/>
          <w:spacing w:val="-12"/>
          <w:sz w:val="18"/>
          <w:szCs w:val="18"/>
          <w:lang w:val="es-ES_tradnl"/>
        </w:rPr>
        <w:t xml:space="preserve">contienen obligaciones </w:t>
      </w:r>
      <w:r>
        <w:rPr>
          <w:b/>
          <w:bCs/>
          <w:spacing w:val="-7"/>
          <w:sz w:val="18"/>
          <w:szCs w:val="18"/>
          <w:lang w:val="es-ES_tradnl"/>
        </w:rPr>
        <w:t xml:space="preserve">de hacer o no hacer claras, expresas y exigibles, y de </w:t>
      </w:r>
      <w:r>
        <w:rPr>
          <w:b/>
          <w:bCs/>
          <w:spacing w:val="-9"/>
          <w:sz w:val="18"/>
          <w:szCs w:val="18"/>
          <w:lang w:val="es-ES_tradnl"/>
        </w:rPr>
        <w:t>ser as</w:t>
      </w:r>
      <w:r>
        <w:rPr>
          <w:rFonts w:cs="Times New Roman"/>
          <w:b/>
          <w:bCs/>
          <w:spacing w:val="-9"/>
          <w:sz w:val="18"/>
          <w:szCs w:val="18"/>
          <w:lang w:val="es-ES_tradnl"/>
        </w:rPr>
        <w:t>í</w:t>
      </w:r>
      <w:r>
        <w:rPr>
          <w:b/>
          <w:bCs/>
          <w:spacing w:val="-9"/>
          <w:sz w:val="18"/>
          <w:szCs w:val="18"/>
          <w:lang w:val="es-ES_tradnl"/>
        </w:rPr>
        <w:t xml:space="preserve">, las correspondientes obligaciones fueron </w:t>
      </w:r>
      <w:r>
        <w:rPr>
          <w:b/>
          <w:bCs/>
          <w:sz w:val="18"/>
          <w:szCs w:val="18"/>
          <w:lang w:val="es-ES_tradnl"/>
        </w:rPr>
        <w:t>incumplidas?</w:t>
      </w:r>
    </w:p>
    <w:p w14:paraId="4F67A491" w14:textId="77777777" w:rsidR="00591D54" w:rsidRDefault="00591D54">
      <w:pPr>
        <w:shd w:val="clear" w:color="auto" w:fill="FFFFFF"/>
        <w:spacing w:before="202" w:line="221" w:lineRule="exact"/>
        <w:ind w:right="5"/>
        <w:jc w:val="both"/>
      </w:pPr>
      <w:r>
        <w:rPr>
          <w:spacing w:val="-3"/>
          <w:sz w:val="18"/>
          <w:szCs w:val="18"/>
          <w:lang w:val="es-ES_tradnl"/>
        </w:rPr>
        <w:t xml:space="preserve">Las normas cuyo cumplimiento se demanda son los </w:t>
      </w:r>
      <w:r>
        <w:rPr>
          <w:spacing w:val="-7"/>
          <w:sz w:val="18"/>
          <w:szCs w:val="18"/>
          <w:lang w:val="es-ES_tradnl"/>
        </w:rPr>
        <w:t>art</w:t>
      </w:r>
      <w:r>
        <w:rPr>
          <w:rFonts w:cs="Times New Roman"/>
          <w:spacing w:val="-7"/>
          <w:sz w:val="18"/>
          <w:szCs w:val="18"/>
          <w:lang w:val="es-ES_tradnl"/>
        </w:rPr>
        <w:t>í</w:t>
      </w:r>
      <w:r>
        <w:rPr>
          <w:spacing w:val="-7"/>
          <w:sz w:val="18"/>
          <w:szCs w:val="18"/>
          <w:lang w:val="es-ES_tradnl"/>
        </w:rPr>
        <w:t>culos 11, 37, 66 y 68 del Reglamento Disciplinario para la Escuela Superior de Polic</w:t>
      </w:r>
      <w:r>
        <w:rPr>
          <w:rFonts w:cs="Times New Roman"/>
          <w:spacing w:val="-7"/>
          <w:sz w:val="18"/>
          <w:szCs w:val="18"/>
          <w:lang w:val="es-ES_tradnl"/>
        </w:rPr>
        <w:t>í</w:t>
      </w:r>
      <w:r>
        <w:rPr>
          <w:spacing w:val="-7"/>
          <w:sz w:val="18"/>
          <w:szCs w:val="18"/>
          <w:lang w:val="es-ES_tradnl"/>
        </w:rPr>
        <w:t>a Alberto Enr</w:t>
      </w:r>
      <w:r>
        <w:rPr>
          <w:rFonts w:cs="Times New Roman"/>
          <w:spacing w:val="-7"/>
          <w:sz w:val="18"/>
          <w:szCs w:val="18"/>
          <w:lang w:val="es-ES_tradnl"/>
        </w:rPr>
        <w:t>í</w:t>
      </w:r>
      <w:r>
        <w:rPr>
          <w:spacing w:val="-7"/>
          <w:sz w:val="18"/>
          <w:szCs w:val="18"/>
          <w:lang w:val="es-ES_tradnl"/>
        </w:rPr>
        <w:t xml:space="preserve">quez Gallo, que </w:t>
      </w:r>
      <w:r>
        <w:rPr>
          <w:sz w:val="18"/>
          <w:szCs w:val="18"/>
          <w:lang w:val="es-ES_tradnl"/>
        </w:rPr>
        <w:t>expresamente se</w:t>
      </w:r>
      <w:r>
        <w:rPr>
          <w:rFonts w:cs="Times New Roman"/>
          <w:sz w:val="18"/>
          <w:szCs w:val="18"/>
          <w:lang w:val="es-ES_tradnl"/>
        </w:rPr>
        <w:t>ñ</w:t>
      </w:r>
      <w:r>
        <w:rPr>
          <w:sz w:val="18"/>
          <w:szCs w:val="18"/>
          <w:lang w:val="es-ES_tradnl"/>
        </w:rPr>
        <w:t>alan:</w:t>
      </w:r>
    </w:p>
    <w:p w14:paraId="4F67A492" w14:textId="77777777" w:rsidR="00591D54" w:rsidRDefault="00591D54">
      <w:pPr>
        <w:shd w:val="clear" w:color="auto" w:fill="FFFFFF"/>
        <w:spacing w:before="202" w:line="221" w:lineRule="exact"/>
        <w:ind w:left="283" w:right="5"/>
        <w:jc w:val="both"/>
      </w:pPr>
      <w:r>
        <w:rPr>
          <w:spacing w:val="-4"/>
          <w:sz w:val="16"/>
          <w:szCs w:val="16"/>
          <w:lang w:val="es-ES_tradnl"/>
        </w:rPr>
        <w:t>Art 11: Ning</w:t>
      </w:r>
      <w:r>
        <w:rPr>
          <w:rFonts w:cs="Times New Roman"/>
          <w:spacing w:val="-4"/>
          <w:sz w:val="16"/>
          <w:szCs w:val="16"/>
          <w:lang w:val="es-ES_tradnl"/>
        </w:rPr>
        <w:t>ú</w:t>
      </w:r>
      <w:r>
        <w:rPr>
          <w:spacing w:val="-4"/>
          <w:sz w:val="16"/>
          <w:szCs w:val="16"/>
          <w:lang w:val="es-ES_tradnl"/>
        </w:rPr>
        <w:t>n cadete podr</w:t>
      </w:r>
      <w:r>
        <w:rPr>
          <w:rFonts w:cs="Times New Roman"/>
          <w:spacing w:val="-4"/>
          <w:sz w:val="16"/>
          <w:szCs w:val="16"/>
          <w:lang w:val="es-ES_tradnl"/>
        </w:rPr>
        <w:t>á</w:t>
      </w:r>
      <w:r>
        <w:rPr>
          <w:spacing w:val="-4"/>
          <w:sz w:val="16"/>
          <w:szCs w:val="16"/>
          <w:lang w:val="es-ES_tradnl"/>
        </w:rPr>
        <w:t xml:space="preserve"> ser sancionado por un acto previsto como falta disciplinaria, sino es el resultado de su </w:t>
      </w:r>
      <w:r>
        <w:rPr>
          <w:sz w:val="16"/>
          <w:szCs w:val="16"/>
          <w:lang w:val="es-ES_tradnl"/>
        </w:rPr>
        <w:t>acci</w:t>
      </w:r>
      <w:r>
        <w:rPr>
          <w:rFonts w:cs="Times New Roman"/>
          <w:sz w:val="16"/>
          <w:szCs w:val="16"/>
          <w:lang w:val="es-ES_tradnl"/>
        </w:rPr>
        <w:t>ó</w:t>
      </w:r>
      <w:r>
        <w:rPr>
          <w:sz w:val="16"/>
          <w:szCs w:val="16"/>
          <w:lang w:val="es-ES_tradnl"/>
        </w:rPr>
        <w:t>n u omisi</w:t>
      </w:r>
      <w:r>
        <w:rPr>
          <w:rFonts w:cs="Times New Roman"/>
          <w:sz w:val="16"/>
          <w:szCs w:val="16"/>
          <w:lang w:val="es-ES_tradnl"/>
        </w:rPr>
        <w:t>ó</w:t>
      </w:r>
      <w:r>
        <w:rPr>
          <w:sz w:val="16"/>
          <w:szCs w:val="16"/>
          <w:lang w:val="es-ES_tradnl"/>
        </w:rPr>
        <w:t>n.</w:t>
      </w:r>
    </w:p>
    <w:p w14:paraId="4F67A493" w14:textId="77777777" w:rsidR="00591D54" w:rsidRDefault="00591D54">
      <w:pPr>
        <w:shd w:val="clear" w:color="auto" w:fill="FFFFFF"/>
        <w:spacing w:before="211" w:line="221" w:lineRule="exact"/>
        <w:ind w:left="283" w:right="5"/>
        <w:jc w:val="both"/>
      </w:pPr>
      <w:r>
        <w:rPr>
          <w:spacing w:val="-6"/>
          <w:sz w:val="16"/>
          <w:szCs w:val="16"/>
          <w:lang w:val="es-ES_tradnl"/>
        </w:rPr>
        <w:t>Art 37: Se proh</w:t>
      </w:r>
      <w:r>
        <w:rPr>
          <w:rFonts w:cs="Times New Roman"/>
          <w:spacing w:val="-6"/>
          <w:sz w:val="16"/>
          <w:szCs w:val="16"/>
          <w:lang w:val="es-ES_tradnl"/>
        </w:rPr>
        <w:t>í</w:t>
      </w:r>
      <w:r>
        <w:rPr>
          <w:spacing w:val="-6"/>
          <w:sz w:val="16"/>
          <w:szCs w:val="16"/>
          <w:lang w:val="es-ES_tradnl"/>
        </w:rPr>
        <w:t xml:space="preserve">be a todo superior que aplique sanciones </w:t>
      </w:r>
      <w:r>
        <w:rPr>
          <w:spacing w:val="-9"/>
          <w:sz w:val="16"/>
          <w:szCs w:val="16"/>
          <w:lang w:val="es-ES_tradnl"/>
        </w:rPr>
        <w:t xml:space="preserve">excesivas, infundadas o no determinadas en este Reglamento; </w:t>
      </w:r>
      <w:r>
        <w:rPr>
          <w:spacing w:val="-5"/>
          <w:sz w:val="16"/>
          <w:szCs w:val="16"/>
          <w:lang w:val="es-ES_tradnl"/>
        </w:rPr>
        <w:t>de igual manera no podr</w:t>
      </w:r>
      <w:r>
        <w:rPr>
          <w:rFonts w:cs="Times New Roman"/>
          <w:spacing w:val="-5"/>
          <w:sz w:val="16"/>
          <w:szCs w:val="16"/>
          <w:lang w:val="es-ES_tradnl"/>
        </w:rPr>
        <w:t>á</w:t>
      </w:r>
      <w:r>
        <w:rPr>
          <w:spacing w:val="-5"/>
          <w:sz w:val="16"/>
          <w:szCs w:val="16"/>
          <w:lang w:val="es-ES_tradnl"/>
        </w:rPr>
        <w:t xml:space="preserve"> proferir expresiones injuriosas o </w:t>
      </w:r>
      <w:r>
        <w:rPr>
          <w:spacing w:val="-8"/>
          <w:sz w:val="16"/>
          <w:szCs w:val="16"/>
          <w:lang w:val="es-ES_tradnl"/>
        </w:rPr>
        <w:t>asumir actitudes denigrantes para con sus subordinados.</w:t>
      </w:r>
    </w:p>
    <w:p w14:paraId="4F67A494" w14:textId="77777777" w:rsidR="00591D54" w:rsidRDefault="00591D54">
      <w:pPr>
        <w:shd w:val="clear" w:color="auto" w:fill="FFFFFF"/>
        <w:spacing w:before="211" w:line="221" w:lineRule="exact"/>
        <w:ind w:left="283" w:right="5"/>
        <w:jc w:val="both"/>
      </w:pPr>
      <w:r>
        <w:rPr>
          <w:spacing w:val="-4"/>
          <w:sz w:val="16"/>
          <w:szCs w:val="16"/>
          <w:lang w:val="es-ES_tradnl"/>
        </w:rPr>
        <w:t xml:space="preserve">Art 66: Una misma falta no puede ser reprimida por dos </w:t>
      </w:r>
      <w:r>
        <w:rPr>
          <w:spacing w:val="-7"/>
          <w:sz w:val="16"/>
          <w:szCs w:val="16"/>
          <w:lang w:val="es-ES_tradnl"/>
        </w:rPr>
        <w:t>superiores a la vez, ni con dos penas distintas.</w:t>
      </w:r>
    </w:p>
    <w:p w14:paraId="4F67A495" w14:textId="77777777" w:rsidR="00591D54" w:rsidRDefault="00591D54">
      <w:pPr>
        <w:shd w:val="clear" w:color="auto" w:fill="FFFFFF"/>
        <w:spacing w:before="206" w:line="221" w:lineRule="exact"/>
        <w:ind w:left="283" w:right="5"/>
        <w:jc w:val="both"/>
      </w:pPr>
      <w:r>
        <w:rPr>
          <w:spacing w:val="-7"/>
          <w:sz w:val="16"/>
          <w:szCs w:val="16"/>
          <w:lang w:val="es-ES_tradnl"/>
        </w:rPr>
        <w:t>Art. 68: Cuando una misma acci</w:t>
      </w:r>
      <w:r>
        <w:rPr>
          <w:rFonts w:cs="Times New Roman"/>
          <w:spacing w:val="-7"/>
          <w:sz w:val="16"/>
          <w:szCs w:val="16"/>
          <w:lang w:val="es-ES_tradnl"/>
        </w:rPr>
        <w:t>ó</w:t>
      </w:r>
      <w:r>
        <w:rPr>
          <w:spacing w:val="-7"/>
          <w:sz w:val="16"/>
          <w:szCs w:val="16"/>
          <w:lang w:val="es-ES_tradnl"/>
        </w:rPr>
        <w:t>n u omisi</w:t>
      </w:r>
      <w:r>
        <w:rPr>
          <w:rFonts w:cs="Times New Roman"/>
          <w:spacing w:val="-7"/>
          <w:sz w:val="16"/>
          <w:szCs w:val="16"/>
          <w:lang w:val="es-ES_tradnl"/>
        </w:rPr>
        <w:t>ó</w:t>
      </w:r>
      <w:r>
        <w:rPr>
          <w:spacing w:val="-7"/>
          <w:sz w:val="16"/>
          <w:szCs w:val="16"/>
          <w:lang w:val="es-ES_tradnl"/>
        </w:rPr>
        <w:t xml:space="preserve">n constituya dos o </w:t>
      </w:r>
      <w:r>
        <w:rPr>
          <w:spacing w:val="-8"/>
          <w:sz w:val="16"/>
          <w:szCs w:val="16"/>
          <w:lang w:val="es-ES_tradnl"/>
        </w:rPr>
        <w:t>m</w:t>
      </w:r>
      <w:r>
        <w:rPr>
          <w:rFonts w:cs="Times New Roman"/>
          <w:spacing w:val="-8"/>
          <w:sz w:val="16"/>
          <w:szCs w:val="16"/>
          <w:lang w:val="es-ES_tradnl"/>
        </w:rPr>
        <w:t>á</w:t>
      </w:r>
      <w:r>
        <w:rPr>
          <w:spacing w:val="-8"/>
          <w:sz w:val="16"/>
          <w:szCs w:val="16"/>
          <w:lang w:val="es-ES_tradnl"/>
        </w:rPr>
        <w:t>s faltas se aplicar</w:t>
      </w:r>
      <w:r>
        <w:rPr>
          <w:rFonts w:cs="Times New Roman"/>
          <w:spacing w:val="-8"/>
          <w:sz w:val="16"/>
          <w:szCs w:val="16"/>
          <w:lang w:val="es-ES_tradnl"/>
        </w:rPr>
        <w:t>á</w:t>
      </w:r>
      <w:r>
        <w:rPr>
          <w:spacing w:val="-8"/>
          <w:sz w:val="16"/>
          <w:szCs w:val="16"/>
          <w:lang w:val="es-ES_tradnl"/>
        </w:rPr>
        <w:t xml:space="preserve"> la pena mayor. En caso de concurrencia</w:t>
      </w:r>
    </w:p>
    <w:p w14:paraId="4F67A496" w14:textId="77777777" w:rsidR="00591D54" w:rsidRDefault="00591D54">
      <w:pPr>
        <w:shd w:val="clear" w:color="auto" w:fill="FFFFFF"/>
        <w:spacing w:before="5" w:line="211" w:lineRule="exact"/>
        <w:ind w:left="283"/>
        <w:jc w:val="both"/>
      </w:pPr>
      <w:r>
        <w:br w:type="column"/>
      </w:r>
      <w:r>
        <w:rPr>
          <w:spacing w:val="-9"/>
          <w:sz w:val="16"/>
          <w:szCs w:val="16"/>
          <w:lang w:val="es-ES_tradnl"/>
        </w:rPr>
        <w:t>de dos o m</w:t>
      </w:r>
      <w:r>
        <w:rPr>
          <w:rFonts w:cs="Times New Roman"/>
          <w:spacing w:val="-9"/>
          <w:sz w:val="16"/>
          <w:szCs w:val="16"/>
          <w:lang w:val="es-ES_tradnl"/>
        </w:rPr>
        <w:t>á</w:t>
      </w:r>
      <w:r>
        <w:rPr>
          <w:spacing w:val="-9"/>
          <w:sz w:val="16"/>
          <w:szCs w:val="16"/>
          <w:lang w:val="es-ES_tradnl"/>
        </w:rPr>
        <w:t>s faltas se acumular</w:t>
      </w:r>
      <w:r>
        <w:rPr>
          <w:rFonts w:cs="Times New Roman"/>
          <w:spacing w:val="-9"/>
          <w:sz w:val="16"/>
          <w:szCs w:val="16"/>
          <w:lang w:val="es-ES_tradnl"/>
        </w:rPr>
        <w:t>á</w:t>
      </w:r>
      <w:r>
        <w:rPr>
          <w:spacing w:val="-9"/>
          <w:sz w:val="16"/>
          <w:szCs w:val="16"/>
          <w:lang w:val="es-ES_tradnl"/>
        </w:rPr>
        <w:t>n todas las penas merecidas por el inculpado; pero no podr</w:t>
      </w:r>
      <w:r>
        <w:rPr>
          <w:rFonts w:cs="Times New Roman"/>
          <w:spacing w:val="-9"/>
          <w:sz w:val="16"/>
          <w:szCs w:val="16"/>
          <w:lang w:val="es-ES_tradnl"/>
        </w:rPr>
        <w:t>á</w:t>
      </w:r>
      <w:r>
        <w:rPr>
          <w:spacing w:val="-9"/>
          <w:sz w:val="16"/>
          <w:szCs w:val="16"/>
          <w:lang w:val="es-ES_tradnl"/>
        </w:rPr>
        <w:t xml:space="preserve"> exceder del m</w:t>
      </w:r>
      <w:r>
        <w:rPr>
          <w:rFonts w:cs="Times New Roman"/>
          <w:spacing w:val="-9"/>
          <w:sz w:val="16"/>
          <w:szCs w:val="16"/>
          <w:lang w:val="es-ES_tradnl"/>
        </w:rPr>
        <w:t>á</w:t>
      </w:r>
      <w:r>
        <w:rPr>
          <w:spacing w:val="-9"/>
          <w:sz w:val="16"/>
          <w:szCs w:val="16"/>
          <w:lang w:val="es-ES_tradnl"/>
        </w:rPr>
        <w:t xml:space="preserve">ximo de la pena </w:t>
      </w:r>
      <w:r>
        <w:rPr>
          <w:sz w:val="16"/>
          <w:szCs w:val="16"/>
          <w:lang w:val="es-ES_tradnl"/>
        </w:rPr>
        <w:t>disciplinaria.</w:t>
      </w:r>
    </w:p>
    <w:p w14:paraId="4F67A497" w14:textId="77777777" w:rsidR="00591D54" w:rsidRDefault="00591D54">
      <w:pPr>
        <w:shd w:val="clear" w:color="auto" w:fill="FFFFFF"/>
        <w:spacing w:before="197" w:line="211" w:lineRule="exact"/>
        <w:jc w:val="both"/>
      </w:pPr>
      <w:r>
        <w:rPr>
          <w:spacing w:val="-1"/>
          <w:sz w:val="18"/>
          <w:szCs w:val="18"/>
          <w:lang w:val="es-ES_tradnl"/>
        </w:rPr>
        <w:t>La Constituci</w:t>
      </w:r>
      <w:r>
        <w:rPr>
          <w:rFonts w:cs="Times New Roman"/>
          <w:spacing w:val="-1"/>
          <w:sz w:val="18"/>
          <w:szCs w:val="18"/>
          <w:lang w:val="es-ES_tradnl"/>
        </w:rPr>
        <w:t>ó</w:t>
      </w:r>
      <w:r>
        <w:rPr>
          <w:spacing w:val="-1"/>
          <w:sz w:val="18"/>
          <w:szCs w:val="18"/>
          <w:lang w:val="es-ES_tradnl"/>
        </w:rPr>
        <w:t>n de la Rep</w:t>
      </w:r>
      <w:r>
        <w:rPr>
          <w:rFonts w:cs="Times New Roman"/>
          <w:spacing w:val="-1"/>
          <w:sz w:val="18"/>
          <w:szCs w:val="18"/>
          <w:lang w:val="es-ES_tradnl"/>
        </w:rPr>
        <w:t>ú</w:t>
      </w:r>
      <w:r>
        <w:rPr>
          <w:spacing w:val="-1"/>
          <w:sz w:val="18"/>
          <w:szCs w:val="18"/>
          <w:lang w:val="es-ES_tradnl"/>
        </w:rPr>
        <w:t>blica, en su art</w:t>
      </w:r>
      <w:r>
        <w:rPr>
          <w:rFonts w:cs="Times New Roman"/>
          <w:spacing w:val="-1"/>
          <w:sz w:val="18"/>
          <w:szCs w:val="18"/>
          <w:lang w:val="es-ES_tradnl"/>
        </w:rPr>
        <w:t>í</w:t>
      </w:r>
      <w:r>
        <w:rPr>
          <w:spacing w:val="-1"/>
          <w:sz w:val="18"/>
          <w:szCs w:val="18"/>
          <w:lang w:val="es-ES_tradnl"/>
        </w:rPr>
        <w:t xml:space="preserve">culo 93, </w:t>
      </w:r>
      <w:r>
        <w:rPr>
          <w:spacing w:val="-9"/>
          <w:sz w:val="18"/>
          <w:szCs w:val="18"/>
          <w:lang w:val="es-ES_tradnl"/>
        </w:rPr>
        <w:t>consagra a la acci</w:t>
      </w:r>
      <w:r>
        <w:rPr>
          <w:rFonts w:cs="Times New Roman"/>
          <w:spacing w:val="-9"/>
          <w:sz w:val="18"/>
          <w:szCs w:val="18"/>
          <w:lang w:val="es-ES_tradnl"/>
        </w:rPr>
        <w:t>ó</w:t>
      </w:r>
      <w:r>
        <w:rPr>
          <w:spacing w:val="-9"/>
          <w:sz w:val="18"/>
          <w:szCs w:val="18"/>
          <w:lang w:val="es-ES_tradnl"/>
        </w:rPr>
        <w:t>n por incumplimiento como una garant</w:t>
      </w:r>
      <w:r>
        <w:rPr>
          <w:rFonts w:cs="Times New Roman"/>
          <w:spacing w:val="-9"/>
          <w:sz w:val="18"/>
          <w:szCs w:val="18"/>
          <w:lang w:val="es-ES_tradnl"/>
        </w:rPr>
        <w:t>í</w:t>
      </w:r>
      <w:r>
        <w:rPr>
          <w:spacing w:val="-9"/>
          <w:sz w:val="18"/>
          <w:szCs w:val="18"/>
          <w:lang w:val="es-ES_tradnl"/>
        </w:rPr>
        <w:t xml:space="preserve">a </w:t>
      </w:r>
      <w:r>
        <w:rPr>
          <w:spacing w:val="-1"/>
          <w:sz w:val="18"/>
          <w:szCs w:val="18"/>
          <w:lang w:val="es-ES_tradnl"/>
        </w:rPr>
        <w:t xml:space="preserve">jurisdiccional que tiene por objeto: </w:t>
      </w:r>
      <w:r>
        <w:rPr>
          <w:rFonts w:cs="Times New Roman"/>
          <w:spacing w:val="-1"/>
          <w:sz w:val="18"/>
          <w:szCs w:val="18"/>
          <w:lang w:val="es-ES_tradnl"/>
        </w:rPr>
        <w:t>“…</w:t>
      </w:r>
      <w:r>
        <w:rPr>
          <w:spacing w:val="-1"/>
          <w:sz w:val="18"/>
          <w:szCs w:val="18"/>
          <w:lang w:val="es-ES_tradnl"/>
        </w:rPr>
        <w:t xml:space="preserve">garantizar la </w:t>
      </w:r>
      <w:r>
        <w:rPr>
          <w:spacing w:val="-6"/>
          <w:sz w:val="18"/>
          <w:szCs w:val="18"/>
          <w:lang w:val="es-ES_tradnl"/>
        </w:rPr>
        <w:t>aplicaci</w:t>
      </w:r>
      <w:r>
        <w:rPr>
          <w:rFonts w:cs="Times New Roman"/>
          <w:spacing w:val="-6"/>
          <w:sz w:val="18"/>
          <w:szCs w:val="18"/>
          <w:lang w:val="es-ES_tradnl"/>
        </w:rPr>
        <w:t>ó</w:t>
      </w:r>
      <w:r>
        <w:rPr>
          <w:spacing w:val="-6"/>
          <w:sz w:val="18"/>
          <w:szCs w:val="18"/>
          <w:lang w:val="es-ES_tradnl"/>
        </w:rPr>
        <w:t>n de las normas que integran el sistema jur</w:t>
      </w:r>
      <w:r>
        <w:rPr>
          <w:rFonts w:cs="Times New Roman"/>
          <w:spacing w:val="-6"/>
          <w:sz w:val="18"/>
          <w:szCs w:val="18"/>
          <w:lang w:val="es-ES_tradnl"/>
        </w:rPr>
        <w:t>í</w:t>
      </w:r>
      <w:r>
        <w:rPr>
          <w:spacing w:val="-6"/>
          <w:sz w:val="18"/>
          <w:szCs w:val="18"/>
          <w:lang w:val="es-ES_tradnl"/>
        </w:rPr>
        <w:t>dico, as</w:t>
      </w:r>
      <w:r>
        <w:rPr>
          <w:rFonts w:cs="Times New Roman"/>
          <w:spacing w:val="-6"/>
          <w:sz w:val="18"/>
          <w:szCs w:val="18"/>
          <w:lang w:val="es-ES_tradnl"/>
        </w:rPr>
        <w:t>í</w:t>
      </w:r>
      <w:r>
        <w:rPr>
          <w:spacing w:val="-6"/>
          <w:sz w:val="18"/>
          <w:szCs w:val="18"/>
          <w:lang w:val="es-ES_tradnl"/>
        </w:rPr>
        <w:t xml:space="preserve"> como el cumplimiento de sentencias o informes de </w:t>
      </w:r>
      <w:r>
        <w:rPr>
          <w:spacing w:val="-11"/>
          <w:sz w:val="18"/>
          <w:szCs w:val="18"/>
          <w:lang w:val="es-ES_tradnl"/>
        </w:rPr>
        <w:t xml:space="preserve">organismos internacionales de derechos humanos, cuando la </w:t>
      </w:r>
      <w:r>
        <w:rPr>
          <w:spacing w:val="-8"/>
          <w:sz w:val="18"/>
          <w:szCs w:val="18"/>
          <w:lang w:val="es-ES_tradnl"/>
        </w:rPr>
        <w:t>norma o decisi</w:t>
      </w:r>
      <w:r>
        <w:rPr>
          <w:rFonts w:cs="Times New Roman"/>
          <w:spacing w:val="-8"/>
          <w:sz w:val="18"/>
          <w:szCs w:val="18"/>
          <w:lang w:val="es-ES_tradnl"/>
        </w:rPr>
        <w:t>ó</w:t>
      </w:r>
      <w:r>
        <w:rPr>
          <w:spacing w:val="-8"/>
          <w:sz w:val="18"/>
          <w:szCs w:val="18"/>
          <w:lang w:val="es-ES_tradnl"/>
        </w:rPr>
        <w:t xml:space="preserve">n cuyo cumplimiento se persigue contenga </w:t>
      </w:r>
      <w:r>
        <w:rPr>
          <w:spacing w:val="-10"/>
          <w:sz w:val="18"/>
          <w:szCs w:val="18"/>
          <w:lang w:val="es-ES_tradnl"/>
        </w:rPr>
        <w:t>una obligaci</w:t>
      </w:r>
      <w:r>
        <w:rPr>
          <w:rFonts w:cs="Times New Roman"/>
          <w:spacing w:val="-10"/>
          <w:sz w:val="18"/>
          <w:szCs w:val="18"/>
          <w:lang w:val="es-ES_tradnl"/>
        </w:rPr>
        <w:t>ó</w:t>
      </w:r>
      <w:r>
        <w:rPr>
          <w:spacing w:val="-10"/>
          <w:sz w:val="18"/>
          <w:szCs w:val="18"/>
          <w:lang w:val="es-ES_tradnl"/>
        </w:rPr>
        <w:t xml:space="preserve">n de hacer o no hacer clara, expresa y exigible. </w:t>
      </w:r>
      <w:r>
        <w:rPr>
          <w:spacing w:val="-6"/>
          <w:sz w:val="18"/>
          <w:szCs w:val="18"/>
          <w:lang w:val="es-ES_tradnl"/>
        </w:rPr>
        <w:t>La acci</w:t>
      </w:r>
      <w:r>
        <w:rPr>
          <w:rFonts w:cs="Times New Roman"/>
          <w:spacing w:val="-6"/>
          <w:sz w:val="18"/>
          <w:szCs w:val="18"/>
          <w:lang w:val="es-ES_tradnl"/>
        </w:rPr>
        <w:t>ó</w:t>
      </w:r>
      <w:r>
        <w:rPr>
          <w:spacing w:val="-6"/>
          <w:sz w:val="18"/>
          <w:szCs w:val="18"/>
          <w:lang w:val="es-ES_tradnl"/>
        </w:rPr>
        <w:t>n se interpondr</w:t>
      </w:r>
      <w:r>
        <w:rPr>
          <w:rFonts w:cs="Times New Roman"/>
          <w:spacing w:val="-6"/>
          <w:sz w:val="18"/>
          <w:szCs w:val="18"/>
          <w:lang w:val="es-ES_tradnl"/>
        </w:rPr>
        <w:t>á</w:t>
      </w:r>
      <w:r>
        <w:rPr>
          <w:spacing w:val="-6"/>
          <w:sz w:val="18"/>
          <w:szCs w:val="18"/>
          <w:lang w:val="es-ES_tradnl"/>
        </w:rPr>
        <w:t xml:space="preserve"> ante la Corte Constitucional</w:t>
      </w:r>
      <w:r>
        <w:rPr>
          <w:rFonts w:cs="Times New Roman"/>
          <w:spacing w:val="-6"/>
          <w:sz w:val="18"/>
          <w:szCs w:val="18"/>
          <w:lang w:val="es-ES_tradnl"/>
        </w:rPr>
        <w:t>”</w:t>
      </w:r>
      <w:r>
        <w:rPr>
          <w:spacing w:val="-6"/>
          <w:sz w:val="18"/>
          <w:szCs w:val="18"/>
          <w:lang w:val="es-ES_tradnl"/>
        </w:rPr>
        <w:t>.</w:t>
      </w:r>
    </w:p>
    <w:p w14:paraId="4F67A498" w14:textId="77777777" w:rsidR="00591D54" w:rsidRDefault="00591D54">
      <w:pPr>
        <w:shd w:val="clear" w:color="auto" w:fill="FFFFFF"/>
        <w:spacing w:before="192" w:line="211" w:lineRule="exact"/>
        <w:jc w:val="both"/>
      </w:pPr>
      <w:r>
        <w:rPr>
          <w:spacing w:val="-2"/>
          <w:sz w:val="18"/>
          <w:szCs w:val="18"/>
          <w:lang w:val="es-ES_tradnl"/>
        </w:rPr>
        <w:t xml:space="preserve">Asimismo, la Norma Fundamental consagra como una </w:t>
      </w:r>
      <w:r>
        <w:rPr>
          <w:spacing w:val="-6"/>
          <w:sz w:val="18"/>
          <w:szCs w:val="18"/>
          <w:lang w:val="es-ES_tradnl"/>
        </w:rPr>
        <w:t>de las atribuciones de la Corte Constitucional</w:t>
      </w:r>
      <w:r>
        <w:rPr>
          <w:spacing w:val="-6"/>
          <w:sz w:val="18"/>
          <w:szCs w:val="18"/>
          <w:vertAlign w:val="superscript"/>
          <w:lang w:val="es-ES_tradnl"/>
        </w:rPr>
        <w:t>1</w:t>
      </w:r>
      <w:r>
        <w:rPr>
          <w:spacing w:val="-6"/>
          <w:sz w:val="18"/>
          <w:szCs w:val="18"/>
          <w:lang w:val="es-ES_tradnl"/>
        </w:rPr>
        <w:t xml:space="preserve"> conocer y </w:t>
      </w:r>
      <w:r>
        <w:rPr>
          <w:spacing w:val="-9"/>
          <w:sz w:val="18"/>
          <w:szCs w:val="18"/>
          <w:lang w:val="es-ES_tradnl"/>
        </w:rPr>
        <w:t>resolver a petici</w:t>
      </w:r>
      <w:r>
        <w:rPr>
          <w:rFonts w:cs="Times New Roman"/>
          <w:spacing w:val="-9"/>
          <w:sz w:val="18"/>
          <w:szCs w:val="18"/>
          <w:lang w:val="es-ES_tradnl"/>
        </w:rPr>
        <w:t>ó</w:t>
      </w:r>
      <w:r>
        <w:rPr>
          <w:spacing w:val="-9"/>
          <w:sz w:val="18"/>
          <w:szCs w:val="18"/>
          <w:lang w:val="es-ES_tradnl"/>
        </w:rPr>
        <w:t xml:space="preserve">n de parte las acciones por incumplimiento </w:t>
      </w:r>
      <w:r>
        <w:rPr>
          <w:spacing w:val="-10"/>
          <w:sz w:val="18"/>
          <w:szCs w:val="18"/>
          <w:lang w:val="es-ES_tradnl"/>
        </w:rPr>
        <w:t>que se presenten, con la finalidad de garantizar la aplicaci</w:t>
      </w:r>
      <w:r>
        <w:rPr>
          <w:rFonts w:cs="Times New Roman"/>
          <w:spacing w:val="-10"/>
          <w:sz w:val="18"/>
          <w:szCs w:val="18"/>
          <w:lang w:val="es-ES_tradnl"/>
        </w:rPr>
        <w:t>ó</w:t>
      </w:r>
      <w:r>
        <w:rPr>
          <w:spacing w:val="-10"/>
          <w:sz w:val="18"/>
          <w:szCs w:val="18"/>
          <w:lang w:val="es-ES_tradnl"/>
        </w:rPr>
        <w:t xml:space="preserve">n </w:t>
      </w:r>
      <w:r>
        <w:rPr>
          <w:spacing w:val="-7"/>
          <w:sz w:val="18"/>
          <w:szCs w:val="18"/>
          <w:lang w:val="es-ES_tradnl"/>
        </w:rPr>
        <w:t>de normas o actos administrativos de car</w:t>
      </w:r>
      <w:r>
        <w:rPr>
          <w:rFonts w:cs="Times New Roman"/>
          <w:spacing w:val="-7"/>
          <w:sz w:val="18"/>
          <w:szCs w:val="18"/>
          <w:lang w:val="es-ES_tradnl"/>
        </w:rPr>
        <w:t>á</w:t>
      </w:r>
      <w:r>
        <w:rPr>
          <w:spacing w:val="-7"/>
          <w:sz w:val="18"/>
          <w:szCs w:val="18"/>
          <w:lang w:val="es-ES_tradnl"/>
        </w:rPr>
        <w:t xml:space="preserve">cter general, </w:t>
      </w:r>
      <w:r>
        <w:rPr>
          <w:spacing w:val="-9"/>
          <w:sz w:val="18"/>
          <w:szCs w:val="18"/>
          <w:lang w:val="es-ES_tradnl"/>
        </w:rPr>
        <w:t>cualquiera que sea su naturaleza o jerarqu</w:t>
      </w:r>
      <w:r>
        <w:rPr>
          <w:rFonts w:cs="Times New Roman"/>
          <w:spacing w:val="-9"/>
          <w:sz w:val="18"/>
          <w:szCs w:val="18"/>
          <w:lang w:val="es-ES_tradnl"/>
        </w:rPr>
        <w:t>í</w:t>
      </w:r>
      <w:r>
        <w:rPr>
          <w:spacing w:val="-9"/>
          <w:sz w:val="18"/>
          <w:szCs w:val="18"/>
          <w:lang w:val="es-ES_tradnl"/>
        </w:rPr>
        <w:t>a, as</w:t>
      </w:r>
      <w:r>
        <w:rPr>
          <w:rFonts w:cs="Times New Roman"/>
          <w:spacing w:val="-9"/>
          <w:sz w:val="18"/>
          <w:szCs w:val="18"/>
          <w:lang w:val="es-ES_tradnl"/>
        </w:rPr>
        <w:t>í</w:t>
      </w:r>
      <w:r>
        <w:rPr>
          <w:spacing w:val="-9"/>
          <w:sz w:val="18"/>
          <w:szCs w:val="18"/>
          <w:lang w:val="es-ES_tradnl"/>
        </w:rPr>
        <w:t xml:space="preserve"> como para </w:t>
      </w:r>
      <w:r>
        <w:rPr>
          <w:spacing w:val="-7"/>
          <w:sz w:val="18"/>
          <w:szCs w:val="18"/>
          <w:lang w:val="es-ES_tradnl"/>
        </w:rPr>
        <w:t xml:space="preserve">el cumplimiento de sentencia e informes de organismos </w:t>
      </w:r>
      <w:r>
        <w:rPr>
          <w:spacing w:val="-9"/>
          <w:sz w:val="18"/>
          <w:szCs w:val="18"/>
          <w:lang w:val="es-ES_tradnl"/>
        </w:rPr>
        <w:t>internacionales de protecci</w:t>
      </w:r>
      <w:r>
        <w:rPr>
          <w:rFonts w:cs="Times New Roman"/>
          <w:spacing w:val="-9"/>
          <w:sz w:val="18"/>
          <w:szCs w:val="18"/>
          <w:lang w:val="es-ES_tradnl"/>
        </w:rPr>
        <w:t>ó</w:t>
      </w:r>
      <w:r>
        <w:rPr>
          <w:spacing w:val="-9"/>
          <w:sz w:val="18"/>
          <w:szCs w:val="18"/>
          <w:lang w:val="es-ES_tradnl"/>
        </w:rPr>
        <w:t xml:space="preserve">n de derechos humanos que no </w:t>
      </w:r>
      <w:r>
        <w:rPr>
          <w:spacing w:val="-7"/>
          <w:sz w:val="18"/>
          <w:szCs w:val="18"/>
          <w:lang w:val="es-ES_tradnl"/>
        </w:rPr>
        <w:t>sean ejecutables por las v</w:t>
      </w:r>
      <w:r>
        <w:rPr>
          <w:rFonts w:cs="Times New Roman"/>
          <w:spacing w:val="-7"/>
          <w:sz w:val="18"/>
          <w:szCs w:val="18"/>
          <w:lang w:val="es-ES_tradnl"/>
        </w:rPr>
        <w:t>í</w:t>
      </w:r>
      <w:r>
        <w:rPr>
          <w:spacing w:val="-7"/>
          <w:sz w:val="18"/>
          <w:szCs w:val="18"/>
          <w:lang w:val="es-ES_tradnl"/>
        </w:rPr>
        <w:t>as judiciales ordinarias.</w:t>
      </w:r>
    </w:p>
    <w:p w14:paraId="4F67A499" w14:textId="77777777" w:rsidR="00591D54" w:rsidRDefault="00591D54">
      <w:pPr>
        <w:shd w:val="clear" w:color="auto" w:fill="FFFFFF"/>
        <w:spacing w:before="192" w:line="211" w:lineRule="exact"/>
        <w:jc w:val="both"/>
      </w:pPr>
      <w:r>
        <w:rPr>
          <w:spacing w:val="-4"/>
          <w:sz w:val="18"/>
          <w:szCs w:val="18"/>
          <w:lang w:val="es-ES_tradnl"/>
        </w:rPr>
        <w:t>En igual sentido, el art</w:t>
      </w:r>
      <w:r>
        <w:rPr>
          <w:rFonts w:cs="Times New Roman"/>
          <w:spacing w:val="-4"/>
          <w:sz w:val="18"/>
          <w:szCs w:val="18"/>
          <w:lang w:val="es-ES_tradnl"/>
        </w:rPr>
        <w:t>í</w:t>
      </w:r>
      <w:r>
        <w:rPr>
          <w:spacing w:val="-4"/>
          <w:sz w:val="18"/>
          <w:szCs w:val="18"/>
          <w:lang w:val="es-ES_tradnl"/>
        </w:rPr>
        <w:t>culo 52 de la Ley Org</w:t>
      </w:r>
      <w:r>
        <w:rPr>
          <w:rFonts w:cs="Times New Roman"/>
          <w:spacing w:val="-4"/>
          <w:sz w:val="18"/>
          <w:szCs w:val="18"/>
          <w:lang w:val="es-ES_tradnl"/>
        </w:rPr>
        <w:t>á</w:t>
      </w:r>
      <w:r>
        <w:rPr>
          <w:spacing w:val="-4"/>
          <w:sz w:val="18"/>
          <w:szCs w:val="18"/>
          <w:lang w:val="es-ES_tradnl"/>
        </w:rPr>
        <w:t xml:space="preserve">nica de </w:t>
      </w:r>
      <w:r>
        <w:rPr>
          <w:spacing w:val="-2"/>
          <w:sz w:val="18"/>
          <w:szCs w:val="18"/>
          <w:lang w:val="es-ES_tradnl"/>
        </w:rPr>
        <w:t>Garant</w:t>
      </w:r>
      <w:r>
        <w:rPr>
          <w:rFonts w:cs="Times New Roman"/>
          <w:spacing w:val="-2"/>
          <w:sz w:val="18"/>
          <w:szCs w:val="18"/>
          <w:lang w:val="es-ES_tradnl"/>
        </w:rPr>
        <w:t>í</w:t>
      </w:r>
      <w:r>
        <w:rPr>
          <w:spacing w:val="-2"/>
          <w:sz w:val="18"/>
          <w:szCs w:val="18"/>
          <w:lang w:val="es-ES_tradnl"/>
        </w:rPr>
        <w:t xml:space="preserve">as Jurisdiccionales y Control Constitucional </w:t>
      </w:r>
      <w:r>
        <w:rPr>
          <w:spacing w:val="-6"/>
          <w:sz w:val="18"/>
          <w:szCs w:val="18"/>
          <w:lang w:val="es-ES_tradnl"/>
        </w:rPr>
        <w:t>determina que la acci</w:t>
      </w:r>
      <w:r>
        <w:rPr>
          <w:rFonts w:cs="Times New Roman"/>
          <w:spacing w:val="-6"/>
          <w:sz w:val="18"/>
          <w:szCs w:val="18"/>
          <w:lang w:val="es-ES_tradnl"/>
        </w:rPr>
        <w:t>ó</w:t>
      </w:r>
      <w:r>
        <w:rPr>
          <w:spacing w:val="-6"/>
          <w:sz w:val="18"/>
          <w:szCs w:val="18"/>
          <w:lang w:val="es-ES_tradnl"/>
        </w:rPr>
        <w:t>n por incumplimiento:</w:t>
      </w:r>
    </w:p>
    <w:p w14:paraId="4F67A49A" w14:textId="77777777" w:rsidR="00591D54" w:rsidRDefault="00591D54">
      <w:pPr>
        <w:shd w:val="clear" w:color="auto" w:fill="FFFFFF"/>
        <w:spacing w:before="197" w:line="211" w:lineRule="exact"/>
        <w:ind w:left="283"/>
        <w:jc w:val="both"/>
      </w:pPr>
      <w:r>
        <w:rPr>
          <w:sz w:val="16"/>
          <w:szCs w:val="16"/>
          <w:lang w:val="es-ES_tradnl"/>
        </w:rPr>
        <w:t>Tiene por objeto garantizar la aplicaci</w:t>
      </w:r>
      <w:r>
        <w:rPr>
          <w:rFonts w:cs="Times New Roman"/>
          <w:sz w:val="16"/>
          <w:szCs w:val="16"/>
          <w:lang w:val="es-ES_tradnl"/>
        </w:rPr>
        <w:t>ó</w:t>
      </w:r>
      <w:r>
        <w:rPr>
          <w:sz w:val="16"/>
          <w:szCs w:val="16"/>
          <w:lang w:val="es-ES_tradnl"/>
        </w:rPr>
        <w:t xml:space="preserve">n de las normas </w:t>
      </w:r>
      <w:r>
        <w:rPr>
          <w:spacing w:val="-2"/>
          <w:sz w:val="16"/>
          <w:szCs w:val="16"/>
          <w:lang w:val="es-ES_tradnl"/>
        </w:rPr>
        <w:t>que integran el sistema jur</w:t>
      </w:r>
      <w:r>
        <w:rPr>
          <w:rFonts w:cs="Times New Roman"/>
          <w:spacing w:val="-2"/>
          <w:sz w:val="16"/>
          <w:szCs w:val="16"/>
          <w:lang w:val="es-ES_tradnl"/>
        </w:rPr>
        <w:t>í</w:t>
      </w:r>
      <w:r>
        <w:rPr>
          <w:spacing w:val="-2"/>
          <w:sz w:val="16"/>
          <w:szCs w:val="16"/>
          <w:lang w:val="es-ES_tradnl"/>
        </w:rPr>
        <w:t>dico as</w:t>
      </w:r>
      <w:r>
        <w:rPr>
          <w:rFonts w:cs="Times New Roman"/>
          <w:spacing w:val="-2"/>
          <w:sz w:val="16"/>
          <w:szCs w:val="16"/>
          <w:lang w:val="es-ES_tradnl"/>
        </w:rPr>
        <w:t>í</w:t>
      </w:r>
      <w:r>
        <w:rPr>
          <w:spacing w:val="-2"/>
          <w:sz w:val="16"/>
          <w:szCs w:val="16"/>
          <w:lang w:val="es-ES_tradnl"/>
        </w:rPr>
        <w:t xml:space="preserve"> como el cumplimiento </w:t>
      </w:r>
      <w:r>
        <w:rPr>
          <w:spacing w:val="-4"/>
          <w:sz w:val="16"/>
          <w:szCs w:val="16"/>
          <w:lang w:val="es-ES_tradnl"/>
        </w:rPr>
        <w:t xml:space="preserve">de sentencias, decisiones o informes de organismos </w:t>
      </w:r>
      <w:r>
        <w:rPr>
          <w:spacing w:val="-8"/>
          <w:sz w:val="16"/>
          <w:szCs w:val="16"/>
          <w:lang w:val="es-ES_tradnl"/>
        </w:rPr>
        <w:t>internacionales de protecci</w:t>
      </w:r>
      <w:r>
        <w:rPr>
          <w:rFonts w:cs="Times New Roman"/>
          <w:spacing w:val="-8"/>
          <w:sz w:val="16"/>
          <w:szCs w:val="16"/>
          <w:lang w:val="es-ES_tradnl"/>
        </w:rPr>
        <w:t>ó</w:t>
      </w:r>
      <w:r>
        <w:rPr>
          <w:spacing w:val="-8"/>
          <w:sz w:val="16"/>
          <w:szCs w:val="16"/>
          <w:lang w:val="es-ES_tradnl"/>
        </w:rPr>
        <w:t>n de derechos humanos.</w:t>
      </w:r>
    </w:p>
    <w:p w14:paraId="4F67A49B" w14:textId="77777777" w:rsidR="00591D54" w:rsidRDefault="00591D54">
      <w:pPr>
        <w:shd w:val="clear" w:color="auto" w:fill="FFFFFF"/>
        <w:spacing w:before="206" w:line="211" w:lineRule="exact"/>
        <w:ind w:left="283"/>
        <w:jc w:val="both"/>
      </w:pPr>
      <w:r>
        <w:rPr>
          <w:spacing w:val="-5"/>
          <w:sz w:val="16"/>
          <w:szCs w:val="16"/>
          <w:lang w:val="es-ES_tradnl"/>
        </w:rPr>
        <w:t>Esta acci</w:t>
      </w:r>
      <w:r>
        <w:rPr>
          <w:rFonts w:cs="Times New Roman"/>
          <w:spacing w:val="-5"/>
          <w:sz w:val="16"/>
          <w:szCs w:val="16"/>
          <w:lang w:val="es-ES_tradnl"/>
        </w:rPr>
        <w:t>ó</w:t>
      </w:r>
      <w:r>
        <w:rPr>
          <w:spacing w:val="-5"/>
          <w:sz w:val="16"/>
          <w:szCs w:val="16"/>
          <w:lang w:val="es-ES_tradnl"/>
        </w:rPr>
        <w:t>n proceder</w:t>
      </w:r>
      <w:r>
        <w:rPr>
          <w:rFonts w:cs="Times New Roman"/>
          <w:spacing w:val="-5"/>
          <w:sz w:val="16"/>
          <w:szCs w:val="16"/>
          <w:lang w:val="es-ES_tradnl"/>
        </w:rPr>
        <w:t>á</w:t>
      </w:r>
      <w:r>
        <w:rPr>
          <w:spacing w:val="-5"/>
          <w:sz w:val="16"/>
          <w:szCs w:val="16"/>
          <w:lang w:val="es-ES_tradnl"/>
        </w:rPr>
        <w:t xml:space="preserve"> cuando la norma, sentencia, decisi</w:t>
      </w:r>
      <w:r>
        <w:rPr>
          <w:rFonts w:cs="Times New Roman"/>
          <w:spacing w:val="-5"/>
          <w:sz w:val="16"/>
          <w:szCs w:val="16"/>
          <w:lang w:val="es-ES_tradnl"/>
        </w:rPr>
        <w:t>ó</w:t>
      </w:r>
      <w:r>
        <w:rPr>
          <w:spacing w:val="-5"/>
          <w:sz w:val="16"/>
          <w:szCs w:val="16"/>
          <w:lang w:val="es-ES_tradnl"/>
        </w:rPr>
        <w:t xml:space="preserve">n o informe cuyo cumplimiento se persigue contengan una </w:t>
      </w:r>
      <w:r>
        <w:rPr>
          <w:spacing w:val="-6"/>
          <w:sz w:val="16"/>
          <w:szCs w:val="16"/>
          <w:lang w:val="es-ES_tradnl"/>
        </w:rPr>
        <w:t>obligaci</w:t>
      </w:r>
      <w:r>
        <w:rPr>
          <w:rFonts w:cs="Times New Roman"/>
          <w:spacing w:val="-6"/>
          <w:sz w:val="16"/>
          <w:szCs w:val="16"/>
          <w:lang w:val="es-ES_tradnl"/>
        </w:rPr>
        <w:t>ó</w:t>
      </w:r>
      <w:r>
        <w:rPr>
          <w:spacing w:val="-6"/>
          <w:sz w:val="16"/>
          <w:szCs w:val="16"/>
          <w:lang w:val="es-ES_tradnl"/>
        </w:rPr>
        <w:t>n de hacer o no hacer, clara, expresa y exigible.</w:t>
      </w:r>
    </w:p>
    <w:p w14:paraId="4F67A49C" w14:textId="77777777" w:rsidR="00591D54" w:rsidRDefault="00591D54">
      <w:pPr>
        <w:shd w:val="clear" w:color="auto" w:fill="FFFFFF"/>
        <w:spacing w:before="197" w:line="206" w:lineRule="exact"/>
        <w:jc w:val="both"/>
      </w:pPr>
      <w:r>
        <w:rPr>
          <w:spacing w:val="-7"/>
          <w:sz w:val="18"/>
          <w:szCs w:val="18"/>
          <w:lang w:val="es-ES_tradnl"/>
        </w:rPr>
        <w:t>De esta misma forma, la Corte Constitucional ha se</w:t>
      </w:r>
      <w:r>
        <w:rPr>
          <w:rFonts w:cs="Times New Roman"/>
          <w:spacing w:val="-7"/>
          <w:sz w:val="18"/>
          <w:szCs w:val="18"/>
          <w:lang w:val="es-ES_tradnl"/>
        </w:rPr>
        <w:t>ñ</w:t>
      </w:r>
      <w:r>
        <w:rPr>
          <w:spacing w:val="-7"/>
          <w:sz w:val="18"/>
          <w:szCs w:val="18"/>
          <w:lang w:val="es-ES_tradnl"/>
        </w:rPr>
        <w:t xml:space="preserve">alado </w:t>
      </w:r>
      <w:r>
        <w:rPr>
          <w:spacing w:val="-8"/>
          <w:sz w:val="18"/>
          <w:szCs w:val="18"/>
          <w:lang w:val="es-ES_tradnl"/>
        </w:rPr>
        <w:t>que esta acci</w:t>
      </w:r>
      <w:r>
        <w:rPr>
          <w:rFonts w:cs="Times New Roman"/>
          <w:spacing w:val="-8"/>
          <w:sz w:val="18"/>
          <w:szCs w:val="18"/>
          <w:lang w:val="es-ES_tradnl"/>
        </w:rPr>
        <w:t>ó</w:t>
      </w:r>
      <w:r>
        <w:rPr>
          <w:spacing w:val="-8"/>
          <w:sz w:val="18"/>
          <w:szCs w:val="18"/>
          <w:lang w:val="es-ES_tradnl"/>
        </w:rPr>
        <w:t xml:space="preserve">n </w:t>
      </w:r>
      <w:r>
        <w:rPr>
          <w:rFonts w:cs="Times New Roman"/>
          <w:spacing w:val="-8"/>
          <w:sz w:val="18"/>
          <w:szCs w:val="18"/>
          <w:lang w:val="es-ES_tradnl"/>
        </w:rPr>
        <w:t>“…</w:t>
      </w:r>
      <w:r>
        <w:rPr>
          <w:spacing w:val="-8"/>
          <w:sz w:val="18"/>
          <w:szCs w:val="18"/>
          <w:lang w:val="es-ES_tradnl"/>
        </w:rPr>
        <w:t>pone a disposici</w:t>
      </w:r>
      <w:r>
        <w:rPr>
          <w:rFonts w:cs="Times New Roman"/>
          <w:spacing w:val="-8"/>
          <w:sz w:val="18"/>
          <w:szCs w:val="18"/>
          <w:lang w:val="es-ES_tradnl"/>
        </w:rPr>
        <w:t>ó</w:t>
      </w:r>
      <w:r>
        <w:rPr>
          <w:spacing w:val="-8"/>
          <w:sz w:val="18"/>
          <w:szCs w:val="18"/>
          <w:lang w:val="es-ES_tradnl"/>
        </w:rPr>
        <w:t>n de las personas un mecanismo que permite exigir a las autoridades p</w:t>
      </w:r>
      <w:r>
        <w:rPr>
          <w:rFonts w:cs="Times New Roman"/>
          <w:spacing w:val="-8"/>
          <w:sz w:val="18"/>
          <w:szCs w:val="18"/>
          <w:lang w:val="es-ES_tradnl"/>
        </w:rPr>
        <w:t>ú</w:t>
      </w:r>
      <w:r>
        <w:rPr>
          <w:spacing w:val="-8"/>
          <w:sz w:val="18"/>
          <w:szCs w:val="18"/>
          <w:lang w:val="es-ES_tradnl"/>
        </w:rPr>
        <w:t xml:space="preserve">blicas o </w:t>
      </w:r>
      <w:r>
        <w:rPr>
          <w:spacing w:val="-6"/>
          <w:sz w:val="18"/>
          <w:szCs w:val="18"/>
          <w:lang w:val="es-ES_tradnl"/>
        </w:rPr>
        <w:t>personas particulares, naturales o jur</w:t>
      </w:r>
      <w:r>
        <w:rPr>
          <w:rFonts w:cs="Times New Roman"/>
          <w:spacing w:val="-6"/>
          <w:sz w:val="18"/>
          <w:szCs w:val="18"/>
          <w:lang w:val="es-ES_tradnl"/>
        </w:rPr>
        <w:t>í</w:t>
      </w:r>
      <w:r>
        <w:rPr>
          <w:spacing w:val="-6"/>
          <w:sz w:val="18"/>
          <w:szCs w:val="18"/>
          <w:lang w:val="es-ES_tradnl"/>
        </w:rPr>
        <w:t>dicas, la realizaci</w:t>
      </w:r>
      <w:r>
        <w:rPr>
          <w:rFonts w:cs="Times New Roman"/>
          <w:spacing w:val="-6"/>
          <w:sz w:val="18"/>
          <w:szCs w:val="18"/>
          <w:lang w:val="es-ES_tradnl"/>
        </w:rPr>
        <w:t>ó</w:t>
      </w:r>
      <w:r>
        <w:rPr>
          <w:spacing w:val="-6"/>
          <w:sz w:val="18"/>
          <w:szCs w:val="18"/>
          <w:lang w:val="es-ES_tradnl"/>
        </w:rPr>
        <w:t xml:space="preserve">n </w:t>
      </w:r>
      <w:r>
        <w:rPr>
          <w:spacing w:val="-9"/>
          <w:sz w:val="18"/>
          <w:szCs w:val="18"/>
          <w:lang w:val="es-ES_tradnl"/>
        </w:rPr>
        <w:t xml:space="preserve">de un deber que han omitido cumplir en procura de la plena </w:t>
      </w:r>
      <w:r>
        <w:rPr>
          <w:sz w:val="18"/>
          <w:szCs w:val="18"/>
          <w:lang w:val="es-ES_tradnl"/>
        </w:rPr>
        <w:t>vigencia de las leyes</w:t>
      </w:r>
      <w:r>
        <w:rPr>
          <w:rFonts w:cs="Times New Roman"/>
          <w:sz w:val="18"/>
          <w:szCs w:val="18"/>
          <w:lang w:val="es-ES_tradnl"/>
        </w:rPr>
        <w:t>…”</w:t>
      </w:r>
      <w:r>
        <w:rPr>
          <w:sz w:val="18"/>
          <w:szCs w:val="18"/>
          <w:vertAlign w:val="superscript"/>
          <w:lang w:val="es-ES_tradnl"/>
        </w:rPr>
        <w:t>2</w:t>
      </w:r>
      <w:r>
        <w:rPr>
          <w:sz w:val="18"/>
          <w:szCs w:val="18"/>
          <w:lang w:val="es-ES_tradnl"/>
        </w:rPr>
        <w:t>.</w:t>
      </w:r>
    </w:p>
    <w:p w14:paraId="4F67A49D" w14:textId="77777777" w:rsidR="00591D54" w:rsidRDefault="00591D54">
      <w:pPr>
        <w:shd w:val="clear" w:color="auto" w:fill="FFFFFF"/>
        <w:spacing w:before="187" w:line="211" w:lineRule="exact"/>
        <w:jc w:val="both"/>
      </w:pPr>
      <w:r>
        <w:rPr>
          <w:spacing w:val="-8"/>
          <w:sz w:val="18"/>
          <w:szCs w:val="18"/>
          <w:lang w:val="es-ES_tradnl"/>
        </w:rPr>
        <w:t>Por lo expuesto, la acci</w:t>
      </w:r>
      <w:r>
        <w:rPr>
          <w:rFonts w:cs="Times New Roman"/>
          <w:spacing w:val="-8"/>
          <w:sz w:val="18"/>
          <w:szCs w:val="18"/>
          <w:lang w:val="es-ES_tradnl"/>
        </w:rPr>
        <w:t>ó</w:t>
      </w:r>
      <w:r>
        <w:rPr>
          <w:spacing w:val="-8"/>
          <w:sz w:val="18"/>
          <w:szCs w:val="18"/>
          <w:lang w:val="es-ES_tradnl"/>
        </w:rPr>
        <w:t xml:space="preserve">n por incumplimiento se encuentra </w:t>
      </w:r>
      <w:r>
        <w:rPr>
          <w:spacing w:val="-7"/>
          <w:sz w:val="18"/>
          <w:szCs w:val="18"/>
          <w:lang w:val="es-ES_tradnl"/>
        </w:rPr>
        <w:t xml:space="preserve">orientada a exigir el cumplimiento de actos normativos de </w:t>
      </w:r>
      <w:r>
        <w:rPr>
          <w:spacing w:val="-9"/>
          <w:sz w:val="18"/>
          <w:szCs w:val="18"/>
          <w:lang w:val="es-ES_tradnl"/>
        </w:rPr>
        <w:t>car</w:t>
      </w:r>
      <w:r>
        <w:rPr>
          <w:rFonts w:cs="Times New Roman"/>
          <w:spacing w:val="-9"/>
          <w:sz w:val="18"/>
          <w:szCs w:val="18"/>
          <w:lang w:val="es-ES_tradnl"/>
        </w:rPr>
        <w:t>á</w:t>
      </w:r>
      <w:r>
        <w:rPr>
          <w:spacing w:val="-9"/>
          <w:sz w:val="18"/>
          <w:szCs w:val="18"/>
          <w:lang w:val="es-ES_tradnl"/>
        </w:rPr>
        <w:t xml:space="preserve">cter general, sentencias o decisiones en firme, siempre </w:t>
      </w:r>
      <w:r>
        <w:rPr>
          <w:spacing w:val="-10"/>
          <w:sz w:val="18"/>
          <w:szCs w:val="18"/>
          <w:lang w:val="es-ES_tradnl"/>
        </w:rPr>
        <w:t>que tengan la obligaci</w:t>
      </w:r>
      <w:r>
        <w:rPr>
          <w:rFonts w:cs="Times New Roman"/>
          <w:spacing w:val="-10"/>
          <w:sz w:val="18"/>
          <w:szCs w:val="18"/>
          <w:lang w:val="es-ES_tradnl"/>
        </w:rPr>
        <w:t>ó</w:t>
      </w:r>
      <w:r>
        <w:rPr>
          <w:spacing w:val="-10"/>
          <w:sz w:val="18"/>
          <w:szCs w:val="18"/>
          <w:lang w:val="es-ES_tradnl"/>
        </w:rPr>
        <w:t xml:space="preserve">n de hacer o no hacer, clara, expresa </w:t>
      </w:r>
      <w:r>
        <w:rPr>
          <w:spacing w:val="-6"/>
          <w:sz w:val="18"/>
          <w:szCs w:val="18"/>
          <w:lang w:val="es-ES_tradnl"/>
        </w:rPr>
        <w:t>y exigible. As</w:t>
      </w:r>
      <w:r>
        <w:rPr>
          <w:rFonts w:cs="Times New Roman"/>
          <w:spacing w:val="-6"/>
          <w:sz w:val="18"/>
          <w:szCs w:val="18"/>
          <w:lang w:val="es-ES_tradnl"/>
        </w:rPr>
        <w:t>í</w:t>
      </w:r>
      <w:r>
        <w:rPr>
          <w:spacing w:val="-6"/>
          <w:sz w:val="18"/>
          <w:szCs w:val="18"/>
          <w:lang w:val="es-ES_tradnl"/>
        </w:rPr>
        <w:t xml:space="preserve"> precisamente lo ha reiterado esta Corte </w:t>
      </w:r>
      <w:r>
        <w:rPr>
          <w:spacing w:val="-5"/>
          <w:sz w:val="18"/>
          <w:szCs w:val="18"/>
          <w:lang w:val="es-ES_tradnl"/>
        </w:rPr>
        <w:t>Constitucional, en su sentencia N.</w:t>
      </w:r>
      <w:r>
        <w:rPr>
          <w:rFonts w:cs="Times New Roman"/>
          <w:spacing w:val="-5"/>
          <w:sz w:val="18"/>
          <w:szCs w:val="18"/>
          <w:lang w:val="es-ES_tradnl"/>
        </w:rPr>
        <w:t>º</w:t>
      </w:r>
      <w:r>
        <w:rPr>
          <w:spacing w:val="-5"/>
          <w:sz w:val="18"/>
          <w:szCs w:val="18"/>
          <w:lang w:val="es-ES_tradnl"/>
        </w:rPr>
        <w:t xml:space="preserve"> 002-09-SAN-CC, al </w:t>
      </w:r>
      <w:r>
        <w:rPr>
          <w:spacing w:val="-9"/>
          <w:sz w:val="18"/>
          <w:szCs w:val="18"/>
          <w:lang w:val="es-ES_tradnl"/>
        </w:rPr>
        <w:t>se</w:t>
      </w:r>
      <w:r>
        <w:rPr>
          <w:rFonts w:cs="Times New Roman"/>
          <w:spacing w:val="-9"/>
          <w:sz w:val="18"/>
          <w:szCs w:val="18"/>
          <w:lang w:val="es-ES_tradnl"/>
        </w:rPr>
        <w:t>ñ</w:t>
      </w:r>
      <w:r>
        <w:rPr>
          <w:spacing w:val="-9"/>
          <w:sz w:val="18"/>
          <w:szCs w:val="18"/>
          <w:lang w:val="es-ES_tradnl"/>
        </w:rPr>
        <w:t>alar como presupuestos de esta acci</w:t>
      </w:r>
      <w:r>
        <w:rPr>
          <w:rFonts w:cs="Times New Roman"/>
          <w:spacing w:val="-9"/>
          <w:sz w:val="18"/>
          <w:szCs w:val="18"/>
          <w:lang w:val="es-ES_tradnl"/>
        </w:rPr>
        <w:t>ó</w:t>
      </w:r>
      <w:r>
        <w:rPr>
          <w:spacing w:val="-9"/>
          <w:sz w:val="18"/>
          <w:szCs w:val="18"/>
          <w:lang w:val="es-ES_tradnl"/>
        </w:rPr>
        <w:t xml:space="preserve">n en cuanto a su </w:t>
      </w:r>
      <w:r>
        <w:rPr>
          <w:spacing w:val="-6"/>
          <w:sz w:val="18"/>
          <w:szCs w:val="18"/>
          <w:lang w:val="es-ES_tradnl"/>
        </w:rPr>
        <w:t>objeto: a) Garantizar la aplicaci</w:t>
      </w:r>
      <w:r>
        <w:rPr>
          <w:rFonts w:cs="Times New Roman"/>
          <w:spacing w:val="-6"/>
          <w:sz w:val="18"/>
          <w:szCs w:val="18"/>
          <w:lang w:val="es-ES_tradnl"/>
        </w:rPr>
        <w:t>ó</w:t>
      </w:r>
      <w:r>
        <w:rPr>
          <w:spacing w:val="-6"/>
          <w:sz w:val="18"/>
          <w:szCs w:val="18"/>
          <w:lang w:val="es-ES_tradnl"/>
        </w:rPr>
        <w:t xml:space="preserve">n de las normas o actos </w:t>
      </w:r>
      <w:r>
        <w:rPr>
          <w:spacing w:val="-8"/>
          <w:sz w:val="18"/>
          <w:szCs w:val="18"/>
          <w:lang w:val="es-ES_tradnl"/>
        </w:rPr>
        <w:t>administrativos de car</w:t>
      </w:r>
      <w:r>
        <w:rPr>
          <w:rFonts w:cs="Times New Roman"/>
          <w:spacing w:val="-8"/>
          <w:sz w:val="18"/>
          <w:szCs w:val="18"/>
          <w:lang w:val="es-ES_tradnl"/>
        </w:rPr>
        <w:t>á</w:t>
      </w:r>
      <w:r>
        <w:rPr>
          <w:spacing w:val="-8"/>
          <w:sz w:val="18"/>
          <w:szCs w:val="18"/>
          <w:lang w:val="es-ES_tradnl"/>
        </w:rPr>
        <w:t xml:space="preserve">cter general que integran el sistema </w:t>
      </w:r>
      <w:r>
        <w:rPr>
          <w:spacing w:val="-7"/>
          <w:sz w:val="18"/>
          <w:szCs w:val="18"/>
          <w:lang w:val="es-ES_tradnl"/>
        </w:rPr>
        <w:t>jur</w:t>
      </w:r>
      <w:r>
        <w:rPr>
          <w:rFonts w:cs="Times New Roman"/>
          <w:spacing w:val="-7"/>
          <w:sz w:val="18"/>
          <w:szCs w:val="18"/>
          <w:lang w:val="es-ES_tradnl"/>
        </w:rPr>
        <w:t>í</w:t>
      </w:r>
      <w:r>
        <w:rPr>
          <w:spacing w:val="-7"/>
          <w:sz w:val="18"/>
          <w:szCs w:val="18"/>
          <w:lang w:val="es-ES_tradnl"/>
        </w:rPr>
        <w:t>dico, cualquiera que sea su naturaleza y jerarqu</w:t>
      </w:r>
      <w:r>
        <w:rPr>
          <w:rFonts w:cs="Times New Roman"/>
          <w:spacing w:val="-7"/>
          <w:sz w:val="18"/>
          <w:szCs w:val="18"/>
          <w:lang w:val="es-ES_tradnl"/>
        </w:rPr>
        <w:t>í</w:t>
      </w:r>
      <w:r>
        <w:rPr>
          <w:spacing w:val="-7"/>
          <w:sz w:val="18"/>
          <w:szCs w:val="18"/>
          <w:lang w:val="es-ES_tradnl"/>
        </w:rPr>
        <w:t xml:space="preserve">a, y b) </w:t>
      </w:r>
      <w:r>
        <w:rPr>
          <w:spacing w:val="-6"/>
          <w:sz w:val="18"/>
          <w:szCs w:val="18"/>
          <w:lang w:val="es-ES_tradnl"/>
        </w:rPr>
        <w:t xml:space="preserve">Garantizar el cumplimiento de sentencias o informes de </w:t>
      </w:r>
      <w:r>
        <w:rPr>
          <w:spacing w:val="-9"/>
          <w:sz w:val="18"/>
          <w:szCs w:val="18"/>
          <w:lang w:val="es-ES_tradnl"/>
        </w:rPr>
        <w:t>organismos internacionales de derechos humanos.</w:t>
      </w:r>
    </w:p>
    <w:p w14:paraId="4F67A49E" w14:textId="77777777" w:rsidR="00591D54" w:rsidRDefault="00591D54">
      <w:pPr>
        <w:shd w:val="clear" w:color="auto" w:fill="FFFFFF"/>
        <w:spacing w:before="192" w:line="216" w:lineRule="exact"/>
        <w:jc w:val="both"/>
      </w:pPr>
      <w:r>
        <w:rPr>
          <w:sz w:val="18"/>
          <w:szCs w:val="18"/>
          <w:lang w:val="es-ES_tradnl"/>
        </w:rPr>
        <w:t xml:space="preserve">En cuanto a los requisitos para su procedibilidad, la </w:t>
      </w:r>
      <w:r>
        <w:rPr>
          <w:spacing w:val="-7"/>
          <w:sz w:val="18"/>
          <w:szCs w:val="18"/>
          <w:lang w:val="es-ES_tradnl"/>
        </w:rPr>
        <w:t>Corte Constitucional ha se</w:t>
      </w:r>
      <w:r>
        <w:rPr>
          <w:rFonts w:cs="Times New Roman"/>
          <w:spacing w:val="-7"/>
          <w:sz w:val="18"/>
          <w:szCs w:val="18"/>
          <w:lang w:val="es-ES_tradnl"/>
        </w:rPr>
        <w:t>ñ</w:t>
      </w:r>
      <w:r>
        <w:rPr>
          <w:spacing w:val="-7"/>
          <w:sz w:val="18"/>
          <w:szCs w:val="18"/>
          <w:lang w:val="es-ES_tradnl"/>
        </w:rPr>
        <w:t>alado como presupuesto de la</w:t>
      </w:r>
    </w:p>
    <w:p w14:paraId="4F67A49F" w14:textId="77777777" w:rsidR="00591D54" w:rsidRDefault="00591D54">
      <w:pPr>
        <w:shd w:val="clear" w:color="auto" w:fill="FFFFFF"/>
        <w:tabs>
          <w:tab w:val="left" w:pos="144"/>
        </w:tabs>
        <w:spacing w:before="374"/>
      </w:pPr>
      <w:r>
        <w:rPr>
          <w:sz w:val="16"/>
          <w:szCs w:val="16"/>
          <w:vertAlign w:val="superscript"/>
          <w:lang w:val="es-ES_tradnl"/>
        </w:rPr>
        <w:t>1</w:t>
      </w:r>
      <w:r>
        <w:rPr>
          <w:sz w:val="18"/>
          <w:szCs w:val="18"/>
          <w:lang w:val="es-ES_tradnl"/>
        </w:rPr>
        <w:tab/>
      </w:r>
      <w:r>
        <w:rPr>
          <w:spacing w:val="-10"/>
          <w:sz w:val="16"/>
          <w:szCs w:val="16"/>
          <w:lang w:val="es-ES_tradnl"/>
        </w:rPr>
        <w:t>Constituci</w:t>
      </w:r>
      <w:r>
        <w:rPr>
          <w:rFonts w:cs="Times New Roman"/>
          <w:spacing w:val="-10"/>
          <w:sz w:val="16"/>
          <w:szCs w:val="16"/>
          <w:lang w:val="es-ES_tradnl"/>
        </w:rPr>
        <w:t>ó</w:t>
      </w:r>
      <w:r>
        <w:rPr>
          <w:spacing w:val="-10"/>
          <w:sz w:val="16"/>
          <w:szCs w:val="16"/>
          <w:lang w:val="es-ES_tradnl"/>
        </w:rPr>
        <w:t>n</w:t>
      </w:r>
      <w:r>
        <w:rPr>
          <w:spacing w:val="-10"/>
          <w:sz w:val="18"/>
          <w:szCs w:val="18"/>
          <w:lang w:val="es-ES_tradnl"/>
        </w:rPr>
        <w:t xml:space="preserve"> </w:t>
      </w:r>
      <w:r>
        <w:rPr>
          <w:spacing w:val="-10"/>
          <w:sz w:val="16"/>
          <w:szCs w:val="16"/>
          <w:lang w:val="es-ES_tradnl"/>
        </w:rPr>
        <w:t>de</w:t>
      </w:r>
      <w:r>
        <w:rPr>
          <w:spacing w:val="-10"/>
          <w:sz w:val="18"/>
          <w:szCs w:val="18"/>
          <w:lang w:val="es-ES_tradnl"/>
        </w:rPr>
        <w:t xml:space="preserve"> </w:t>
      </w:r>
      <w:r>
        <w:rPr>
          <w:spacing w:val="-10"/>
          <w:sz w:val="16"/>
          <w:szCs w:val="16"/>
          <w:lang w:val="es-ES_tradnl"/>
        </w:rPr>
        <w:t>la</w:t>
      </w:r>
      <w:r>
        <w:rPr>
          <w:spacing w:val="-10"/>
          <w:sz w:val="18"/>
          <w:szCs w:val="18"/>
          <w:lang w:val="es-ES_tradnl"/>
        </w:rPr>
        <w:t xml:space="preserve"> </w:t>
      </w:r>
      <w:r>
        <w:rPr>
          <w:spacing w:val="-10"/>
          <w:sz w:val="16"/>
          <w:szCs w:val="16"/>
          <w:lang w:val="es-ES_tradnl"/>
        </w:rPr>
        <w:t>Rep</w:t>
      </w:r>
      <w:r>
        <w:rPr>
          <w:rFonts w:cs="Times New Roman"/>
          <w:spacing w:val="-10"/>
          <w:sz w:val="16"/>
          <w:szCs w:val="16"/>
          <w:lang w:val="es-ES_tradnl"/>
        </w:rPr>
        <w:t>ú</w:t>
      </w:r>
      <w:r>
        <w:rPr>
          <w:spacing w:val="-10"/>
          <w:sz w:val="16"/>
          <w:szCs w:val="16"/>
          <w:lang w:val="es-ES_tradnl"/>
        </w:rPr>
        <w:t>blica,</w:t>
      </w:r>
      <w:r>
        <w:rPr>
          <w:spacing w:val="-10"/>
          <w:sz w:val="18"/>
          <w:szCs w:val="18"/>
          <w:lang w:val="es-ES_tradnl"/>
        </w:rPr>
        <w:t xml:space="preserve"> </w:t>
      </w:r>
      <w:r>
        <w:rPr>
          <w:spacing w:val="-10"/>
          <w:sz w:val="16"/>
          <w:szCs w:val="16"/>
          <w:lang w:val="es-ES_tradnl"/>
        </w:rPr>
        <w:t>art</w:t>
      </w:r>
      <w:r>
        <w:rPr>
          <w:rFonts w:cs="Times New Roman"/>
          <w:spacing w:val="-10"/>
          <w:sz w:val="16"/>
          <w:szCs w:val="16"/>
          <w:lang w:val="es-ES_tradnl"/>
        </w:rPr>
        <w:t>í</w:t>
      </w:r>
      <w:r>
        <w:rPr>
          <w:spacing w:val="-10"/>
          <w:sz w:val="16"/>
          <w:szCs w:val="16"/>
          <w:lang w:val="es-ES_tradnl"/>
        </w:rPr>
        <w:t>culo</w:t>
      </w:r>
      <w:r>
        <w:rPr>
          <w:spacing w:val="-10"/>
          <w:sz w:val="18"/>
          <w:szCs w:val="18"/>
          <w:lang w:val="es-ES_tradnl"/>
        </w:rPr>
        <w:t xml:space="preserve"> </w:t>
      </w:r>
      <w:r>
        <w:rPr>
          <w:spacing w:val="-10"/>
          <w:sz w:val="16"/>
          <w:szCs w:val="16"/>
          <w:lang w:val="es-ES_tradnl"/>
        </w:rPr>
        <w:t>436,</w:t>
      </w:r>
      <w:r>
        <w:rPr>
          <w:spacing w:val="-10"/>
          <w:sz w:val="18"/>
          <w:szCs w:val="18"/>
          <w:lang w:val="es-ES_tradnl"/>
        </w:rPr>
        <w:t xml:space="preserve"> </w:t>
      </w:r>
      <w:r>
        <w:rPr>
          <w:spacing w:val="-10"/>
          <w:sz w:val="16"/>
          <w:szCs w:val="16"/>
          <w:lang w:val="es-ES_tradnl"/>
        </w:rPr>
        <w:t>numeral</w:t>
      </w:r>
      <w:r>
        <w:rPr>
          <w:spacing w:val="-10"/>
          <w:sz w:val="18"/>
          <w:szCs w:val="18"/>
          <w:lang w:val="es-ES_tradnl"/>
        </w:rPr>
        <w:t xml:space="preserve"> </w:t>
      </w:r>
      <w:r>
        <w:rPr>
          <w:spacing w:val="-10"/>
          <w:sz w:val="16"/>
          <w:szCs w:val="16"/>
          <w:lang w:val="es-ES_tradnl"/>
        </w:rPr>
        <w:t>5.</w:t>
      </w:r>
    </w:p>
    <w:p w14:paraId="4F67A4A0" w14:textId="77777777" w:rsidR="00591D54" w:rsidRDefault="00591D54">
      <w:pPr>
        <w:shd w:val="clear" w:color="auto" w:fill="FFFFFF"/>
        <w:tabs>
          <w:tab w:val="left" w:pos="144"/>
        </w:tabs>
        <w:spacing w:before="149" w:line="178" w:lineRule="exact"/>
        <w:ind w:left="144" w:hanging="144"/>
      </w:pPr>
      <w:r>
        <w:rPr>
          <w:sz w:val="10"/>
          <w:szCs w:val="10"/>
          <w:vertAlign w:val="superscript"/>
          <w:lang w:val="es-ES_tradnl"/>
        </w:rPr>
        <w:t>2</w:t>
      </w:r>
      <w:r>
        <w:rPr>
          <w:sz w:val="18"/>
          <w:szCs w:val="18"/>
          <w:lang w:val="es-ES_tradnl"/>
        </w:rPr>
        <w:tab/>
      </w:r>
      <w:r>
        <w:rPr>
          <w:spacing w:val="-10"/>
          <w:sz w:val="16"/>
          <w:szCs w:val="16"/>
          <w:lang w:val="es-ES_tradnl"/>
        </w:rPr>
        <w:t>Corte</w:t>
      </w:r>
      <w:r>
        <w:rPr>
          <w:spacing w:val="-10"/>
          <w:sz w:val="18"/>
          <w:szCs w:val="18"/>
          <w:lang w:val="es-ES_tradnl"/>
        </w:rPr>
        <w:t xml:space="preserve"> </w:t>
      </w:r>
      <w:r>
        <w:rPr>
          <w:spacing w:val="-10"/>
          <w:sz w:val="16"/>
          <w:szCs w:val="16"/>
          <w:lang w:val="es-ES_tradnl"/>
        </w:rPr>
        <w:t>Constitucional</w:t>
      </w:r>
      <w:r>
        <w:rPr>
          <w:spacing w:val="-10"/>
          <w:sz w:val="18"/>
          <w:szCs w:val="18"/>
          <w:lang w:val="es-ES_tradnl"/>
        </w:rPr>
        <w:t xml:space="preserve"> </w:t>
      </w:r>
      <w:r>
        <w:rPr>
          <w:spacing w:val="-10"/>
          <w:sz w:val="16"/>
          <w:szCs w:val="16"/>
          <w:lang w:val="es-ES_tradnl"/>
        </w:rPr>
        <w:t>del</w:t>
      </w:r>
      <w:r>
        <w:rPr>
          <w:spacing w:val="-10"/>
          <w:sz w:val="18"/>
          <w:szCs w:val="18"/>
          <w:lang w:val="es-ES_tradnl"/>
        </w:rPr>
        <w:t xml:space="preserve"> </w:t>
      </w:r>
      <w:r>
        <w:rPr>
          <w:spacing w:val="-10"/>
          <w:sz w:val="16"/>
          <w:szCs w:val="16"/>
          <w:lang w:val="es-ES_tradnl"/>
        </w:rPr>
        <w:t>Ecuador,</w:t>
      </w:r>
      <w:r>
        <w:rPr>
          <w:spacing w:val="-10"/>
          <w:sz w:val="18"/>
          <w:szCs w:val="18"/>
          <w:lang w:val="es-ES_tradnl"/>
        </w:rPr>
        <w:t xml:space="preserve"> </w:t>
      </w:r>
      <w:r>
        <w:rPr>
          <w:spacing w:val="-10"/>
          <w:sz w:val="16"/>
          <w:szCs w:val="16"/>
          <w:lang w:val="es-ES_tradnl"/>
        </w:rPr>
        <w:t>sentencia</w:t>
      </w:r>
      <w:r>
        <w:rPr>
          <w:spacing w:val="-10"/>
          <w:sz w:val="18"/>
          <w:szCs w:val="18"/>
          <w:lang w:val="es-ES_tradnl"/>
        </w:rPr>
        <w:t xml:space="preserve"> </w:t>
      </w:r>
      <w:r>
        <w:rPr>
          <w:spacing w:val="-10"/>
          <w:sz w:val="16"/>
          <w:szCs w:val="16"/>
          <w:lang w:val="es-ES_tradnl"/>
        </w:rPr>
        <w:t>N.</w:t>
      </w:r>
      <w:r>
        <w:rPr>
          <w:rFonts w:cs="Times New Roman"/>
          <w:spacing w:val="-10"/>
          <w:sz w:val="16"/>
          <w:szCs w:val="16"/>
          <w:lang w:val="es-ES_tradnl"/>
        </w:rPr>
        <w:t>º</w:t>
      </w:r>
      <w:r>
        <w:rPr>
          <w:spacing w:val="-10"/>
          <w:sz w:val="18"/>
          <w:szCs w:val="18"/>
          <w:lang w:val="es-ES_tradnl"/>
        </w:rPr>
        <w:t xml:space="preserve"> </w:t>
      </w:r>
      <w:r>
        <w:rPr>
          <w:spacing w:val="-10"/>
          <w:sz w:val="16"/>
          <w:szCs w:val="16"/>
          <w:lang w:val="es-ES_tradnl"/>
        </w:rPr>
        <w:t>0002-14-SAN-CC, </w:t>
      </w:r>
      <w:r>
        <w:rPr>
          <w:sz w:val="16"/>
          <w:szCs w:val="16"/>
          <w:lang w:val="es-ES_tradnl"/>
        </w:rPr>
        <w:t>caso N.</w:t>
      </w:r>
      <w:r>
        <w:rPr>
          <w:rFonts w:cs="Times New Roman"/>
          <w:sz w:val="16"/>
          <w:szCs w:val="16"/>
          <w:lang w:val="es-ES_tradnl"/>
        </w:rPr>
        <w:t>º</w:t>
      </w:r>
      <w:r>
        <w:rPr>
          <w:sz w:val="16"/>
          <w:szCs w:val="16"/>
          <w:lang w:val="es-ES_tradnl"/>
        </w:rPr>
        <w:t xml:space="preserve"> 0006-11-AN</w:t>
      </w:r>
    </w:p>
    <w:p w14:paraId="4F67A4A1" w14:textId="77777777" w:rsidR="00591D54" w:rsidRDefault="00591D54">
      <w:pPr>
        <w:shd w:val="clear" w:color="auto" w:fill="FFFFFF"/>
        <w:tabs>
          <w:tab w:val="left" w:pos="144"/>
        </w:tabs>
        <w:spacing w:before="149" w:line="178" w:lineRule="exact"/>
        <w:ind w:left="144" w:hanging="144"/>
        <w:sectPr w:rsidR="00591D54">
          <w:type w:val="continuous"/>
          <w:pgSz w:w="11909" w:h="16834"/>
          <w:pgMar w:top="1359" w:right="1309" w:bottom="360" w:left="1308" w:header="720" w:footer="720" w:gutter="0"/>
          <w:cols w:num="2" w:space="720" w:equalWidth="0">
            <w:col w:w="4305" w:space="682"/>
            <w:col w:w="4305"/>
          </w:cols>
          <w:noEndnote/>
        </w:sectPr>
      </w:pPr>
    </w:p>
    <w:p w14:paraId="4F67A4A2" w14:textId="77777777" w:rsidR="00591D54" w:rsidRDefault="00591D54">
      <w:pPr>
        <w:shd w:val="clear" w:color="auto" w:fill="FFFFFF"/>
        <w:tabs>
          <w:tab w:val="left" w:pos="595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- 19</w:t>
      </w:r>
    </w:p>
    <w:p w14:paraId="4F67A4A3" w14:textId="77777777" w:rsidR="00591D54" w:rsidRDefault="00591D54">
      <w:pPr>
        <w:shd w:val="clear" w:color="auto" w:fill="FFFFFF"/>
        <w:tabs>
          <w:tab w:val="left" w:pos="5952"/>
        </w:tabs>
        <w:spacing w:after="235"/>
        <w:ind w:left="5"/>
        <w:sectPr w:rsidR="00591D54">
          <w:pgSz w:w="11909" w:h="16834"/>
          <w:pgMar w:top="1371" w:right="1309" w:bottom="360" w:left="1308" w:header="720" w:footer="720" w:gutter="0"/>
          <w:cols w:space="60"/>
          <w:noEndnote/>
        </w:sectPr>
      </w:pPr>
    </w:p>
    <w:p w14:paraId="4F67A4A4" w14:textId="77777777" w:rsidR="00591D54" w:rsidRDefault="00591D54">
      <w:pPr>
        <w:shd w:val="clear" w:color="auto" w:fill="FFFFFF"/>
        <w:spacing w:line="216" w:lineRule="exact"/>
        <w:jc w:val="both"/>
      </w:pPr>
      <w:r>
        <w:rPr>
          <w:spacing w:val="-5"/>
          <w:sz w:val="18"/>
          <w:szCs w:val="18"/>
          <w:lang w:val="es-ES_tradnl"/>
        </w:rPr>
        <w:t>acci</w:t>
      </w:r>
      <w:r>
        <w:rPr>
          <w:rFonts w:cs="Times New Roman"/>
          <w:spacing w:val="-5"/>
          <w:sz w:val="18"/>
          <w:szCs w:val="18"/>
          <w:lang w:val="es-ES_tradnl"/>
        </w:rPr>
        <w:t>ó</w:t>
      </w:r>
      <w:r>
        <w:rPr>
          <w:spacing w:val="-5"/>
          <w:sz w:val="18"/>
          <w:szCs w:val="18"/>
          <w:lang w:val="es-ES_tradnl"/>
        </w:rPr>
        <w:t>n por incumplimiento: a) La norma o decisi</w:t>
      </w:r>
      <w:r>
        <w:rPr>
          <w:rFonts w:cs="Times New Roman"/>
          <w:spacing w:val="-5"/>
          <w:sz w:val="18"/>
          <w:szCs w:val="18"/>
          <w:lang w:val="es-ES_tradnl"/>
        </w:rPr>
        <w:t>ó</w:t>
      </w:r>
      <w:r>
        <w:rPr>
          <w:spacing w:val="-5"/>
          <w:sz w:val="18"/>
          <w:szCs w:val="18"/>
          <w:lang w:val="es-ES_tradnl"/>
        </w:rPr>
        <w:t xml:space="preserve">n cuyo </w:t>
      </w:r>
      <w:r>
        <w:rPr>
          <w:spacing w:val="-4"/>
          <w:sz w:val="18"/>
          <w:szCs w:val="18"/>
          <w:lang w:val="es-ES_tradnl"/>
        </w:rPr>
        <w:t>cumplimiento se persigue debe contener una obligaci</w:t>
      </w:r>
      <w:r>
        <w:rPr>
          <w:rFonts w:cs="Times New Roman"/>
          <w:spacing w:val="-4"/>
          <w:sz w:val="18"/>
          <w:szCs w:val="18"/>
          <w:lang w:val="es-ES_tradnl"/>
        </w:rPr>
        <w:t>ó</w:t>
      </w:r>
      <w:r>
        <w:rPr>
          <w:spacing w:val="-4"/>
          <w:sz w:val="18"/>
          <w:szCs w:val="18"/>
          <w:lang w:val="es-ES_tradnl"/>
        </w:rPr>
        <w:t xml:space="preserve">n </w:t>
      </w:r>
      <w:r>
        <w:rPr>
          <w:spacing w:val="-7"/>
          <w:sz w:val="18"/>
          <w:szCs w:val="18"/>
          <w:lang w:val="es-ES_tradnl"/>
        </w:rPr>
        <w:t>de hacer o no hacer clara, expresa y exigible; y b) Deber</w:t>
      </w:r>
      <w:r>
        <w:rPr>
          <w:rFonts w:cs="Times New Roman"/>
          <w:spacing w:val="-7"/>
          <w:sz w:val="18"/>
          <w:szCs w:val="18"/>
          <w:lang w:val="es-ES_tradnl"/>
        </w:rPr>
        <w:t xml:space="preserve">á </w:t>
      </w:r>
      <w:r>
        <w:rPr>
          <w:spacing w:val="-6"/>
          <w:sz w:val="18"/>
          <w:szCs w:val="18"/>
          <w:lang w:val="es-ES_tradnl"/>
        </w:rPr>
        <w:t>verificarse que la norma, acto administrativo de car</w:t>
      </w:r>
      <w:r>
        <w:rPr>
          <w:rFonts w:cs="Times New Roman"/>
          <w:spacing w:val="-6"/>
          <w:sz w:val="18"/>
          <w:szCs w:val="18"/>
          <w:lang w:val="es-ES_tradnl"/>
        </w:rPr>
        <w:t>á</w:t>
      </w:r>
      <w:r>
        <w:rPr>
          <w:spacing w:val="-6"/>
          <w:sz w:val="18"/>
          <w:szCs w:val="18"/>
          <w:lang w:val="es-ES_tradnl"/>
        </w:rPr>
        <w:t xml:space="preserve">cter </w:t>
      </w:r>
      <w:r>
        <w:rPr>
          <w:spacing w:val="-9"/>
          <w:sz w:val="18"/>
          <w:szCs w:val="18"/>
          <w:lang w:val="es-ES_tradnl"/>
        </w:rPr>
        <w:t xml:space="preserve">general, sentencia o informe de organismos internacionales </w:t>
      </w:r>
      <w:r>
        <w:rPr>
          <w:spacing w:val="-8"/>
          <w:sz w:val="18"/>
          <w:szCs w:val="18"/>
          <w:lang w:val="es-ES_tradnl"/>
        </w:rPr>
        <w:t>de Derechos Humanos, no sea ejecutable por las v</w:t>
      </w:r>
      <w:r>
        <w:rPr>
          <w:rFonts w:cs="Times New Roman"/>
          <w:spacing w:val="-8"/>
          <w:sz w:val="18"/>
          <w:szCs w:val="18"/>
          <w:lang w:val="es-ES_tradnl"/>
        </w:rPr>
        <w:t>í</w:t>
      </w:r>
      <w:r>
        <w:rPr>
          <w:spacing w:val="-8"/>
          <w:sz w:val="18"/>
          <w:szCs w:val="18"/>
          <w:lang w:val="es-ES_tradnl"/>
        </w:rPr>
        <w:t xml:space="preserve">as </w:t>
      </w:r>
      <w:r>
        <w:rPr>
          <w:sz w:val="18"/>
          <w:szCs w:val="18"/>
          <w:lang w:val="es-ES_tradnl"/>
        </w:rPr>
        <w:t>judiciales.</w:t>
      </w:r>
    </w:p>
    <w:p w14:paraId="4F67A4A5" w14:textId="77777777" w:rsidR="00591D54" w:rsidRDefault="00591D54">
      <w:pPr>
        <w:shd w:val="clear" w:color="auto" w:fill="FFFFFF"/>
        <w:spacing w:before="197" w:line="216" w:lineRule="exact"/>
        <w:ind w:right="5"/>
        <w:jc w:val="both"/>
      </w:pPr>
      <w:r>
        <w:rPr>
          <w:spacing w:val="-1"/>
          <w:sz w:val="18"/>
          <w:szCs w:val="18"/>
          <w:lang w:val="es-ES_tradnl"/>
        </w:rPr>
        <w:t xml:space="preserve">Sobre la base de lo anotado, resulta claro que la </w:t>
      </w:r>
      <w:r>
        <w:rPr>
          <w:spacing w:val="-8"/>
          <w:sz w:val="18"/>
          <w:szCs w:val="18"/>
          <w:lang w:val="es-ES_tradnl"/>
        </w:rPr>
        <w:t>Constituci</w:t>
      </w:r>
      <w:r>
        <w:rPr>
          <w:rFonts w:cs="Times New Roman"/>
          <w:spacing w:val="-8"/>
          <w:sz w:val="18"/>
          <w:szCs w:val="18"/>
          <w:lang w:val="es-ES_tradnl"/>
        </w:rPr>
        <w:t>ó</w:t>
      </w:r>
      <w:r>
        <w:rPr>
          <w:spacing w:val="-8"/>
          <w:sz w:val="18"/>
          <w:szCs w:val="18"/>
          <w:lang w:val="es-ES_tradnl"/>
        </w:rPr>
        <w:t>n de la Rep</w:t>
      </w:r>
      <w:r>
        <w:rPr>
          <w:rFonts w:cs="Times New Roman"/>
          <w:spacing w:val="-8"/>
          <w:sz w:val="18"/>
          <w:szCs w:val="18"/>
          <w:lang w:val="es-ES_tradnl"/>
        </w:rPr>
        <w:t>ú</w:t>
      </w:r>
      <w:r>
        <w:rPr>
          <w:spacing w:val="-8"/>
          <w:sz w:val="18"/>
          <w:szCs w:val="18"/>
          <w:lang w:val="es-ES_tradnl"/>
        </w:rPr>
        <w:t>blica, la Ley Org</w:t>
      </w:r>
      <w:r>
        <w:rPr>
          <w:rFonts w:cs="Times New Roman"/>
          <w:spacing w:val="-8"/>
          <w:sz w:val="18"/>
          <w:szCs w:val="18"/>
          <w:lang w:val="es-ES_tradnl"/>
        </w:rPr>
        <w:t>á</w:t>
      </w:r>
      <w:r>
        <w:rPr>
          <w:spacing w:val="-8"/>
          <w:sz w:val="18"/>
          <w:szCs w:val="18"/>
          <w:lang w:val="es-ES_tradnl"/>
        </w:rPr>
        <w:t>nica de Garant</w:t>
      </w:r>
      <w:r>
        <w:rPr>
          <w:rFonts w:cs="Times New Roman"/>
          <w:spacing w:val="-8"/>
          <w:sz w:val="18"/>
          <w:szCs w:val="18"/>
          <w:lang w:val="es-ES_tradnl"/>
        </w:rPr>
        <w:t>í</w:t>
      </w:r>
      <w:r>
        <w:rPr>
          <w:spacing w:val="-8"/>
          <w:sz w:val="18"/>
          <w:szCs w:val="18"/>
          <w:lang w:val="es-ES_tradnl"/>
        </w:rPr>
        <w:t xml:space="preserve">as Jurisdiccionales y Control Constitucional y la jurisprudencia </w:t>
      </w:r>
      <w:r>
        <w:rPr>
          <w:spacing w:val="-6"/>
          <w:sz w:val="18"/>
          <w:szCs w:val="18"/>
          <w:lang w:val="es-ES_tradnl"/>
        </w:rPr>
        <w:t xml:space="preserve">de este organismo constitucional determinan claramente </w:t>
      </w:r>
      <w:r>
        <w:rPr>
          <w:spacing w:val="-8"/>
          <w:sz w:val="18"/>
          <w:szCs w:val="18"/>
          <w:lang w:val="es-ES_tradnl"/>
        </w:rPr>
        <w:t>que la norma o decisi</w:t>
      </w:r>
      <w:r>
        <w:rPr>
          <w:rFonts w:cs="Times New Roman"/>
          <w:spacing w:val="-8"/>
          <w:sz w:val="18"/>
          <w:szCs w:val="18"/>
          <w:lang w:val="es-ES_tradnl"/>
        </w:rPr>
        <w:t>ó</w:t>
      </w:r>
      <w:r>
        <w:rPr>
          <w:spacing w:val="-8"/>
          <w:sz w:val="18"/>
          <w:szCs w:val="18"/>
          <w:lang w:val="es-ES_tradnl"/>
        </w:rPr>
        <w:t xml:space="preserve">n cuyo cumplimiento se exige, debe </w:t>
      </w:r>
      <w:r>
        <w:rPr>
          <w:spacing w:val="-10"/>
          <w:sz w:val="18"/>
          <w:szCs w:val="18"/>
          <w:lang w:val="es-ES_tradnl"/>
        </w:rPr>
        <w:t>contener una obligaci</w:t>
      </w:r>
      <w:r>
        <w:rPr>
          <w:rFonts w:cs="Times New Roman"/>
          <w:spacing w:val="-10"/>
          <w:sz w:val="18"/>
          <w:szCs w:val="18"/>
          <w:lang w:val="es-ES_tradnl"/>
        </w:rPr>
        <w:t>ó</w:t>
      </w:r>
      <w:r>
        <w:rPr>
          <w:spacing w:val="-10"/>
          <w:sz w:val="18"/>
          <w:szCs w:val="18"/>
          <w:lang w:val="es-ES_tradnl"/>
        </w:rPr>
        <w:t xml:space="preserve">n de hacer o no hacer de forma clara, </w:t>
      </w:r>
      <w:r>
        <w:rPr>
          <w:sz w:val="18"/>
          <w:szCs w:val="18"/>
          <w:lang w:val="es-ES_tradnl"/>
        </w:rPr>
        <w:t>expresa y exigible.</w:t>
      </w:r>
    </w:p>
    <w:p w14:paraId="4F67A4A6" w14:textId="77777777" w:rsidR="00591D54" w:rsidRDefault="00591D54">
      <w:pPr>
        <w:shd w:val="clear" w:color="auto" w:fill="FFFFFF"/>
        <w:spacing w:before="197" w:line="216" w:lineRule="exact"/>
        <w:ind w:right="5"/>
        <w:jc w:val="both"/>
      </w:pPr>
      <w:r>
        <w:rPr>
          <w:spacing w:val="-10"/>
          <w:sz w:val="18"/>
          <w:szCs w:val="18"/>
          <w:lang w:val="es-ES_tradnl"/>
        </w:rPr>
        <w:t xml:space="preserve">Ahora bien, a la luz de lo anteriormente expuesto, esta Corte </w:t>
      </w:r>
      <w:r>
        <w:rPr>
          <w:spacing w:val="-9"/>
          <w:sz w:val="18"/>
          <w:szCs w:val="18"/>
          <w:lang w:val="es-ES_tradnl"/>
        </w:rPr>
        <w:t>Constitucional proceder</w:t>
      </w:r>
      <w:r>
        <w:rPr>
          <w:rFonts w:cs="Times New Roman"/>
          <w:spacing w:val="-9"/>
          <w:sz w:val="18"/>
          <w:szCs w:val="18"/>
          <w:lang w:val="es-ES_tradnl"/>
        </w:rPr>
        <w:t>á</w:t>
      </w:r>
      <w:r>
        <w:rPr>
          <w:spacing w:val="-9"/>
          <w:sz w:val="18"/>
          <w:szCs w:val="18"/>
          <w:lang w:val="es-ES_tradnl"/>
        </w:rPr>
        <w:t xml:space="preserve"> con la revisi</w:t>
      </w:r>
      <w:r>
        <w:rPr>
          <w:rFonts w:cs="Times New Roman"/>
          <w:spacing w:val="-9"/>
          <w:sz w:val="18"/>
          <w:szCs w:val="18"/>
          <w:lang w:val="es-ES_tradnl"/>
        </w:rPr>
        <w:t>ó</w:t>
      </w:r>
      <w:r>
        <w:rPr>
          <w:spacing w:val="-9"/>
          <w:sz w:val="18"/>
          <w:szCs w:val="18"/>
          <w:lang w:val="es-ES_tradnl"/>
        </w:rPr>
        <w:t xml:space="preserve">n de cada una de las </w:t>
      </w:r>
      <w:r>
        <w:rPr>
          <w:spacing w:val="-10"/>
          <w:sz w:val="18"/>
          <w:szCs w:val="18"/>
          <w:lang w:val="es-ES_tradnl"/>
        </w:rPr>
        <w:t xml:space="preserve">normas demandadas por parte de la accionante, esto es, los </w:t>
      </w:r>
      <w:r>
        <w:rPr>
          <w:spacing w:val="-7"/>
          <w:sz w:val="18"/>
          <w:szCs w:val="18"/>
          <w:lang w:val="es-ES_tradnl"/>
        </w:rPr>
        <w:t>art</w:t>
      </w:r>
      <w:r>
        <w:rPr>
          <w:rFonts w:cs="Times New Roman"/>
          <w:spacing w:val="-7"/>
          <w:sz w:val="18"/>
          <w:szCs w:val="18"/>
          <w:lang w:val="es-ES_tradnl"/>
        </w:rPr>
        <w:t>í</w:t>
      </w:r>
      <w:r>
        <w:rPr>
          <w:spacing w:val="-7"/>
          <w:sz w:val="18"/>
          <w:szCs w:val="18"/>
          <w:lang w:val="es-ES_tradnl"/>
        </w:rPr>
        <w:t xml:space="preserve">culos 11, 37, 66 y 68 del Reglamento Disciplinario para </w:t>
      </w:r>
      <w:r>
        <w:rPr>
          <w:spacing w:val="-6"/>
          <w:sz w:val="18"/>
          <w:szCs w:val="18"/>
          <w:lang w:val="es-ES_tradnl"/>
        </w:rPr>
        <w:t>la Escuela Superior de Polic</w:t>
      </w:r>
      <w:r>
        <w:rPr>
          <w:rFonts w:cs="Times New Roman"/>
          <w:spacing w:val="-6"/>
          <w:sz w:val="18"/>
          <w:szCs w:val="18"/>
          <w:lang w:val="es-ES_tradnl"/>
        </w:rPr>
        <w:t>í</w:t>
      </w:r>
      <w:r>
        <w:rPr>
          <w:spacing w:val="-6"/>
          <w:sz w:val="18"/>
          <w:szCs w:val="18"/>
          <w:lang w:val="es-ES_tradnl"/>
        </w:rPr>
        <w:t>a Alberto Enr</w:t>
      </w:r>
      <w:r>
        <w:rPr>
          <w:rFonts w:cs="Times New Roman"/>
          <w:spacing w:val="-6"/>
          <w:sz w:val="18"/>
          <w:szCs w:val="18"/>
          <w:lang w:val="es-ES_tradnl"/>
        </w:rPr>
        <w:t>í</w:t>
      </w:r>
      <w:r>
        <w:rPr>
          <w:spacing w:val="-6"/>
          <w:sz w:val="18"/>
          <w:szCs w:val="18"/>
          <w:lang w:val="es-ES_tradnl"/>
        </w:rPr>
        <w:t>quez Gallo.</w:t>
      </w:r>
    </w:p>
    <w:p w14:paraId="4F67A4A7" w14:textId="77777777" w:rsidR="00591D54" w:rsidRDefault="00591D54">
      <w:pPr>
        <w:shd w:val="clear" w:color="auto" w:fill="FFFFFF"/>
        <w:spacing w:before="192" w:line="216" w:lineRule="exact"/>
        <w:ind w:right="5"/>
        <w:jc w:val="both"/>
      </w:pPr>
      <w:r>
        <w:rPr>
          <w:spacing w:val="-7"/>
          <w:sz w:val="18"/>
          <w:szCs w:val="18"/>
          <w:lang w:val="es-ES_tradnl"/>
        </w:rPr>
        <w:t>El art</w:t>
      </w:r>
      <w:r>
        <w:rPr>
          <w:rFonts w:cs="Times New Roman"/>
          <w:spacing w:val="-7"/>
          <w:sz w:val="18"/>
          <w:szCs w:val="18"/>
          <w:lang w:val="es-ES_tradnl"/>
        </w:rPr>
        <w:t>í</w:t>
      </w:r>
      <w:r>
        <w:rPr>
          <w:spacing w:val="-7"/>
          <w:sz w:val="18"/>
          <w:szCs w:val="18"/>
          <w:lang w:val="es-ES_tradnl"/>
        </w:rPr>
        <w:t xml:space="preserve">culo 11 del Reglamento Disciplinario para la Escuela </w:t>
      </w:r>
      <w:r>
        <w:rPr>
          <w:spacing w:val="-1"/>
          <w:sz w:val="18"/>
          <w:szCs w:val="18"/>
          <w:lang w:val="es-ES_tradnl"/>
        </w:rPr>
        <w:t>Superior de Polic</w:t>
      </w:r>
      <w:r>
        <w:rPr>
          <w:rFonts w:cs="Times New Roman"/>
          <w:spacing w:val="-1"/>
          <w:sz w:val="18"/>
          <w:szCs w:val="18"/>
          <w:lang w:val="es-ES_tradnl"/>
        </w:rPr>
        <w:t>í</w:t>
      </w:r>
      <w:r>
        <w:rPr>
          <w:spacing w:val="-1"/>
          <w:sz w:val="18"/>
          <w:szCs w:val="18"/>
          <w:lang w:val="es-ES_tradnl"/>
        </w:rPr>
        <w:t>a, Alberto Enr</w:t>
      </w:r>
      <w:r>
        <w:rPr>
          <w:rFonts w:cs="Times New Roman"/>
          <w:spacing w:val="-1"/>
          <w:sz w:val="18"/>
          <w:szCs w:val="18"/>
          <w:lang w:val="es-ES_tradnl"/>
        </w:rPr>
        <w:t>í</w:t>
      </w:r>
      <w:r>
        <w:rPr>
          <w:spacing w:val="-1"/>
          <w:sz w:val="18"/>
          <w:szCs w:val="18"/>
          <w:lang w:val="es-ES_tradnl"/>
        </w:rPr>
        <w:t xml:space="preserve">quez Gallo, contiene </w:t>
      </w:r>
      <w:r>
        <w:rPr>
          <w:spacing w:val="-7"/>
          <w:sz w:val="18"/>
          <w:szCs w:val="18"/>
          <w:lang w:val="es-ES_tradnl"/>
        </w:rPr>
        <w:t>una frase de composici</w:t>
      </w:r>
      <w:r>
        <w:rPr>
          <w:rFonts w:cs="Times New Roman"/>
          <w:spacing w:val="-7"/>
          <w:sz w:val="18"/>
          <w:szCs w:val="18"/>
          <w:lang w:val="es-ES_tradnl"/>
        </w:rPr>
        <w:t>ó</w:t>
      </w:r>
      <w:r>
        <w:rPr>
          <w:spacing w:val="-7"/>
          <w:sz w:val="18"/>
          <w:szCs w:val="18"/>
          <w:lang w:val="es-ES_tradnl"/>
        </w:rPr>
        <w:t xml:space="preserve">n negativa, en la medida en que </w:t>
      </w:r>
      <w:r>
        <w:rPr>
          <w:spacing w:val="-6"/>
          <w:sz w:val="18"/>
          <w:szCs w:val="18"/>
          <w:lang w:val="es-ES_tradnl"/>
        </w:rPr>
        <w:t>establece la prohibici</w:t>
      </w:r>
      <w:r>
        <w:rPr>
          <w:rFonts w:cs="Times New Roman"/>
          <w:spacing w:val="-6"/>
          <w:sz w:val="18"/>
          <w:szCs w:val="18"/>
          <w:lang w:val="es-ES_tradnl"/>
        </w:rPr>
        <w:t>ó</w:t>
      </w:r>
      <w:r>
        <w:rPr>
          <w:spacing w:val="-6"/>
          <w:sz w:val="18"/>
          <w:szCs w:val="18"/>
          <w:lang w:val="es-ES_tradnl"/>
        </w:rPr>
        <w:t xml:space="preserve">n de sancionar a un cadete por un </w:t>
      </w:r>
      <w:r>
        <w:rPr>
          <w:spacing w:val="-4"/>
          <w:sz w:val="18"/>
          <w:szCs w:val="18"/>
          <w:lang w:val="es-ES_tradnl"/>
        </w:rPr>
        <w:t xml:space="preserve">acto previsto como falta disciplinaria, si dicho acto no es </w:t>
      </w:r>
      <w:r>
        <w:rPr>
          <w:spacing w:val="-5"/>
          <w:sz w:val="18"/>
          <w:szCs w:val="18"/>
          <w:lang w:val="es-ES_tradnl"/>
        </w:rPr>
        <w:t>el resultado de su acci</w:t>
      </w:r>
      <w:r>
        <w:rPr>
          <w:rFonts w:cs="Times New Roman"/>
          <w:spacing w:val="-5"/>
          <w:sz w:val="18"/>
          <w:szCs w:val="18"/>
          <w:lang w:val="es-ES_tradnl"/>
        </w:rPr>
        <w:t>ó</w:t>
      </w:r>
      <w:r>
        <w:rPr>
          <w:spacing w:val="-5"/>
          <w:sz w:val="18"/>
          <w:szCs w:val="18"/>
          <w:lang w:val="es-ES_tradnl"/>
        </w:rPr>
        <w:t>n u omisi</w:t>
      </w:r>
      <w:r>
        <w:rPr>
          <w:rFonts w:cs="Times New Roman"/>
          <w:spacing w:val="-5"/>
          <w:sz w:val="18"/>
          <w:szCs w:val="18"/>
          <w:lang w:val="es-ES_tradnl"/>
        </w:rPr>
        <w:t>ó</w:t>
      </w:r>
      <w:r>
        <w:rPr>
          <w:spacing w:val="-5"/>
          <w:sz w:val="18"/>
          <w:szCs w:val="18"/>
          <w:lang w:val="es-ES_tradnl"/>
        </w:rPr>
        <w:t xml:space="preserve">n; es decir, la norma </w:t>
      </w:r>
      <w:r>
        <w:rPr>
          <w:spacing w:val="-9"/>
          <w:sz w:val="18"/>
          <w:szCs w:val="18"/>
          <w:lang w:val="es-ES_tradnl"/>
        </w:rPr>
        <w:t>reglamentaria hace referencia a una situaci</w:t>
      </w:r>
      <w:r>
        <w:rPr>
          <w:rFonts w:cs="Times New Roman"/>
          <w:spacing w:val="-9"/>
          <w:sz w:val="18"/>
          <w:szCs w:val="18"/>
          <w:lang w:val="es-ES_tradnl"/>
        </w:rPr>
        <w:t>ó</w:t>
      </w:r>
      <w:r>
        <w:rPr>
          <w:spacing w:val="-9"/>
          <w:sz w:val="18"/>
          <w:szCs w:val="18"/>
          <w:lang w:val="es-ES_tradnl"/>
        </w:rPr>
        <w:t xml:space="preserve">n que debe ser </w:t>
      </w:r>
      <w:r>
        <w:rPr>
          <w:spacing w:val="-8"/>
          <w:sz w:val="18"/>
          <w:szCs w:val="18"/>
          <w:lang w:val="es-ES_tradnl"/>
        </w:rPr>
        <w:t>sometida a an</w:t>
      </w:r>
      <w:r>
        <w:rPr>
          <w:rFonts w:cs="Times New Roman"/>
          <w:spacing w:val="-8"/>
          <w:sz w:val="18"/>
          <w:szCs w:val="18"/>
          <w:lang w:val="es-ES_tradnl"/>
        </w:rPr>
        <w:t>á</w:t>
      </w:r>
      <w:r>
        <w:rPr>
          <w:spacing w:val="-8"/>
          <w:sz w:val="18"/>
          <w:szCs w:val="18"/>
          <w:lang w:val="es-ES_tradnl"/>
        </w:rPr>
        <w:t>lisis previo para establecer su adecuaci</w:t>
      </w:r>
      <w:r>
        <w:rPr>
          <w:rFonts w:cs="Times New Roman"/>
          <w:spacing w:val="-8"/>
          <w:sz w:val="18"/>
          <w:szCs w:val="18"/>
          <w:lang w:val="es-ES_tradnl"/>
        </w:rPr>
        <w:t>ó</w:t>
      </w:r>
      <w:r>
        <w:rPr>
          <w:spacing w:val="-8"/>
          <w:sz w:val="18"/>
          <w:szCs w:val="18"/>
          <w:lang w:val="es-ES_tradnl"/>
        </w:rPr>
        <w:t>n a la configuraci</w:t>
      </w:r>
      <w:r>
        <w:rPr>
          <w:rFonts w:cs="Times New Roman"/>
          <w:spacing w:val="-8"/>
          <w:sz w:val="18"/>
          <w:szCs w:val="18"/>
          <w:lang w:val="es-ES_tradnl"/>
        </w:rPr>
        <w:t>ó</w:t>
      </w:r>
      <w:r>
        <w:rPr>
          <w:spacing w:val="-8"/>
          <w:sz w:val="18"/>
          <w:szCs w:val="18"/>
          <w:lang w:val="es-ES_tradnl"/>
        </w:rPr>
        <w:t xml:space="preserve">n legal, y que por tanto, no equivale per se a </w:t>
      </w:r>
      <w:r>
        <w:rPr>
          <w:spacing w:val="-7"/>
          <w:sz w:val="18"/>
          <w:szCs w:val="18"/>
          <w:lang w:val="es-ES_tradnl"/>
        </w:rPr>
        <w:t>una obligaci</w:t>
      </w:r>
      <w:r>
        <w:rPr>
          <w:rFonts w:cs="Times New Roman"/>
          <w:spacing w:val="-7"/>
          <w:sz w:val="18"/>
          <w:szCs w:val="18"/>
          <w:lang w:val="es-ES_tradnl"/>
        </w:rPr>
        <w:t>ó</w:t>
      </w:r>
      <w:r>
        <w:rPr>
          <w:spacing w:val="-7"/>
          <w:sz w:val="18"/>
          <w:szCs w:val="18"/>
          <w:lang w:val="es-ES_tradnl"/>
        </w:rPr>
        <w:t>n a ser aplicada de forma inmediata.</w:t>
      </w:r>
    </w:p>
    <w:p w14:paraId="4F67A4A8" w14:textId="77777777" w:rsidR="00591D54" w:rsidRDefault="00591D54">
      <w:pPr>
        <w:shd w:val="clear" w:color="auto" w:fill="FFFFFF"/>
        <w:spacing w:before="192" w:line="216" w:lineRule="exact"/>
        <w:ind w:right="5"/>
        <w:jc w:val="both"/>
      </w:pPr>
      <w:r>
        <w:rPr>
          <w:spacing w:val="-9"/>
          <w:sz w:val="18"/>
          <w:szCs w:val="18"/>
          <w:lang w:val="es-ES_tradnl"/>
        </w:rPr>
        <w:t>El ordenamiento jur</w:t>
      </w:r>
      <w:r>
        <w:rPr>
          <w:rFonts w:cs="Times New Roman"/>
          <w:spacing w:val="-9"/>
          <w:sz w:val="18"/>
          <w:szCs w:val="18"/>
          <w:lang w:val="es-ES_tradnl"/>
        </w:rPr>
        <w:t>í</w:t>
      </w:r>
      <w:r>
        <w:rPr>
          <w:spacing w:val="-9"/>
          <w:sz w:val="18"/>
          <w:szCs w:val="18"/>
          <w:lang w:val="es-ES_tradnl"/>
        </w:rPr>
        <w:t>dico en su estructura est</w:t>
      </w:r>
      <w:r>
        <w:rPr>
          <w:rFonts w:cs="Times New Roman"/>
          <w:spacing w:val="-9"/>
          <w:sz w:val="18"/>
          <w:szCs w:val="18"/>
          <w:lang w:val="es-ES_tradnl"/>
        </w:rPr>
        <w:t>á</w:t>
      </w:r>
      <w:r>
        <w:rPr>
          <w:spacing w:val="-9"/>
          <w:sz w:val="18"/>
          <w:szCs w:val="18"/>
          <w:lang w:val="es-ES_tradnl"/>
        </w:rPr>
        <w:t xml:space="preserve"> integrado por normas, reglas, disposiciones y principios que se relacionan </w:t>
      </w:r>
      <w:r>
        <w:rPr>
          <w:spacing w:val="-8"/>
          <w:sz w:val="18"/>
          <w:szCs w:val="18"/>
          <w:lang w:val="es-ES_tradnl"/>
        </w:rPr>
        <w:t>entre s</w:t>
      </w:r>
      <w:r>
        <w:rPr>
          <w:rFonts w:cs="Times New Roman"/>
          <w:spacing w:val="-8"/>
          <w:sz w:val="18"/>
          <w:szCs w:val="18"/>
          <w:lang w:val="es-ES_tradnl"/>
        </w:rPr>
        <w:t>í</w:t>
      </w:r>
      <w:r>
        <w:rPr>
          <w:spacing w:val="-8"/>
          <w:sz w:val="18"/>
          <w:szCs w:val="18"/>
          <w:lang w:val="es-ES_tradnl"/>
        </w:rPr>
        <w:t xml:space="preserve">, por lo tanto, no es correcto entender que todas las </w:t>
      </w:r>
      <w:r>
        <w:rPr>
          <w:spacing w:val="-6"/>
          <w:sz w:val="18"/>
          <w:szCs w:val="18"/>
          <w:lang w:val="es-ES_tradnl"/>
        </w:rPr>
        <w:t>normas que integran el ordenamiento jur</w:t>
      </w:r>
      <w:r>
        <w:rPr>
          <w:rFonts w:cs="Times New Roman"/>
          <w:spacing w:val="-6"/>
          <w:sz w:val="18"/>
          <w:szCs w:val="18"/>
          <w:lang w:val="es-ES_tradnl"/>
        </w:rPr>
        <w:t>í</w:t>
      </w:r>
      <w:r>
        <w:rPr>
          <w:spacing w:val="-6"/>
          <w:sz w:val="18"/>
          <w:szCs w:val="18"/>
          <w:lang w:val="es-ES_tradnl"/>
        </w:rPr>
        <w:t xml:space="preserve">dico, solo por la </w:t>
      </w:r>
      <w:r>
        <w:rPr>
          <w:spacing w:val="-7"/>
          <w:sz w:val="18"/>
          <w:szCs w:val="18"/>
          <w:lang w:val="es-ES_tradnl"/>
        </w:rPr>
        <w:t xml:space="preserve">calidad de normas, contienen obligaciones de hacer o no </w:t>
      </w:r>
      <w:r>
        <w:rPr>
          <w:sz w:val="18"/>
          <w:szCs w:val="18"/>
          <w:lang w:val="es-ES_tradnl"/>
        </w:rPr>
        <w:t>hacer claras expresas y exigibles.</w:t>
      </w:r>
    </w:p>
    <w:p w14:paraId="4F67A4A9" w14:textId="77777777" w:rsidR="00591D54" w:rsidRDefault="00591D54">
      <w:pPr>
        <w:shd w:val="clear" w:color="auto" w:fill="FFFFFF"/>
        <w:spacing w:before="192" w:line="216" w:lineRule="exact"/>
        <w:ind w:right="5"/>
        <w:jc w:val="both"/>
      </w:pPr>
      <w:r>
        <w:rPr>
          <w:spacing w:val="-7"/>
          <w:sz w:val="18"/>
          <w:szCs w:val="18"/>
          <w:lang w:val="es-ES_tradnl"/>
        </w:rPr>
        <w:t>Consecuentemente, la norma contenida en la disposici</w:t>
      </w:r>
      <w:r>
        <w:rPr>
          <w:rFonts w:cs="Times New Roman"/>
          <w:spacing w:val="-7"/>
          <w:sz w:val="18"/>
          <w:szCs w:val="18"/>
          <w:lang w:val="es-ES_tradnl"/>
        </w:rPr>
        <w:t>ó</w:t>
      </w:r>
      <w:r>
        <w:rPr>
          <w:spacing w:val="-7"/>
          <w:sz w:val="18"/>
          <w:szCs w:val="18"/>
          <w:lang w:val="es-ES_tradnl"/>
        </w:rPr>
        <w:t xml:space="preserve">n </w:t>
      </w:r>
      <w:r>
        <w:rPr>
          <w:spacing w:val="-9"/>
          <w:sz w:val="18"/>
          <w:szCs w:val="18"/>
          <w:lang w:val="es-ES_tradnl"/>
        </w:rPr>
        <w:t>del art</w:t>
      </w:r>
      <w:r>
        <w:rPr>
          <w:rFonts w:cs="Times New Roman"/>
          <w:spacing w:val="-9"/>
          <w:sz w:val="18"/>
          <w:szCs w:val="18"/>
          <w:lang w:val="es-ES_tradnl"/>
        </w:rPr>
        <w:t>í</w:t>
      </w:r>
      <w:r>
        <w:rPr>
          <w:spacing w:val="-9"/>
          <w:sz w:val="18"/>
          <w:szCs w:val="18"/>
          <w:lang w:val="es-ES_tradnl"/>
        </w:rPr>
        <w:t xml:space="preserve">culo 11 del Reglamento Disciplinario para la Escuela </w:t>
      </w:r>
      <w:r>
        <w:rPr>
          <w:spacing w:val="-5"/>
          <w:sz w:val="18"/>
          <w:szCs w:val="18"/>
          <w:lang w:val="es-ES_tradnl"/>
        </w:rPr>
        <w:t>Superior de Polic</w:t>
      </w:r>
      <w:r>
        <w:rPr>
          <w:rFonts w:cs="Times New Roman"/>
          <w:spacing w:val="-5"/>
          <w:sz w:val="18"/>
          <w:szCs w:val="18"/>
          <w:lang w:val="es-ES_tradnl"/>
        </w:rPr>
        <w:t>í</w:t>
      </w:r>
      <w:r>
        <w:rPr>
          <w:spacing w:val="-5"/>
          <w:sz w:val="18"/>
          <w:szCs w:val="18"/>
          <w:lang w:val="es-ES_tradnl"/>
        </w:rPr>
        <w:t>a, Alberto Enr</w:t>
      </w:r>
      <w:r>
        <w:rPr>
          <w:rFonts w:cs="Times New Roman"/>
          <w:spacing w:val="-5"/>
          <w:sz w:val="18"/>
          <w:szCs w:val="18"/>
          <w:lang w:val="es-ES_tradnl"/>
        </w:rPr>
        <w:t>í</w:t>
      </w:r>
      <w:r>
        <w:rPr>
          <w:spacing w:val="-5"/>
          <w:sz w:val="18"/>
          <w:szCs w:val="18"/>
          <w:lang w:val="es-ES_tradnl"/>
        </w:rPr>
        <w:t xml:space="preserve">quez Gallo, no contiene </w:t>
      </w:r>
      <w:r>
        <w:rPr>
          <w:spacing w:val="-11"/>
          <w:sz w:val="18"/>
          <w:szCs w:val="18"/>
          <w:lang w:val="es-ES_tradnl"/>
        </w:rPr>
        <w:t>una obligaci</w:t>
      </w:r>
      <w:r>
        <w:rPr>
          <w:rFonts w:cs="Times New Roman"/>
          <w:spacing w:val="-11"/>
          <w:sz w:val="18"/>
          <w:szCs w:val="18"/>
          <w:lang w:val="es-ES_tradnl"/>
        </w:rPr>
        <w:t>ó</w:t>
      </w:r>
      <w:r>
        <w:rPr>
          <w:spacing w:val="-11"/>
          <w:sz w:val="18"/>
          <w:szCs w:val="18"/>
          <w:lang w:val="es-ES_tradnl"/>
        </w:rPr>
        <w:t>n espec</w:t>
      </w:r>
      <w:r>
        <w:rPr>
          <w:rFonts w:cs="Times New Roman"/>
          <w:spacing w:val="-11"/>
          <w:sz w:val="18"/>
          <w:szCs w:val="18"/>
          <w:lang w:val="es-ES_tradnl"/>
        </w:rPr>
        <w:t>í</w:t>
      </w:r>
      <w:r>
        <w:rPr>
          <w:spacing w:val="-11"/>
          <w:sz w:val="18"/>
          <w:szCs w:val="18"/>
          <w:lang w:val="es-ES_tradnl"/>
        </w:rPr>
        <w:t xml:space="preserve">fica de hacer o no hacer, clara, expresa </w:t>
      </w:r>
      <w:r>
        <w:rPr>
          <w:spacing w:val="-7"/>
          <w:sz w:val="18"/>
          <w:szCs w:val="18"/>
          <w:lang w:val="es-ES_tradnl"/>
        </w:rPr>
        <w:t>y exigible en atenci</w:t>
      </w:r>
      <w:r>
        <w:rPr>
          <w:rFonts w:cs="Times New Roman"/>
          <w:spacing w:val="-7"/>
          <w:sz w:val="18"/>
          <w:szCs w:val="18"/>
          <w:lang w:val="es-ES_tradnl"/>
        </w:rPr>
        <w:t>ó</w:t>
      </w:r>
      <w:r>
        <w:rPr>
          <w:spacing w:val="-7"/>
          <w:sz w:val="18"/>
          <w:szCs w:val="18"/>
          <w:lang w:val="es-ES_tradnl"/>
        </w:rPr>
        <w:t>n a lo dispuesto en el art</w:t>
      </w:r>
      <w:r>
        <w:rPr>
          <w:rFonts w:cs="Times New Roman"/>
          <w:spacing w:val="-7"/>
          <w:sz w:val="18"/>
          <w:szCs w:val="18"/>
          <w:lang w:val="es-ES_tradnl"/>
        </w:rPr>
        <w:t>í</w:t>
      </w:r>
      <w:r>
        <w:rPr>
          <w:spacing w:val="-7"/>
          <w:sz w:val="18"/>
          <w:szCs w:val="18"/>
          <w:lang w:val="es-ES_tradnl"/>
        </w:rPr>
        <w:t xml:space="preserve">culo 93 de la </w:t>
      </w:r>
      <w:r>
        <w:rPr>
          <w:sz w:val="18"/>
          <w:szCs w:val="18"/>
          <w:lang w:val="es-ES_tradnl"/>
        </w:rPr>
        <w:t>Norma Fundamental.</w:t>
      </w:r>
    </w:p>
    <w:p w14:paraId="4F67A4AA" w14:textId="77777777" w:rsidR="00591D54" w:rsidRDefault="00591D54">
      <w:pPr>
        <w:shd w:val="clear" w:color="auto" w:fill="FFFFFF"/>
        <w:spacing w:before="192" w:line="216" w:lineRule="exact"/>
        <w:jc w:val="both"/>
      </w:pPr>
      <w:r>
        <w:rPr>
          <w:spacing w:val="-5"/>
          <w:sz w:val="18"/>
          <w:szCs w:val="18"/>
          <w:lang w:val="es-ES_tradnl"/>
        </w:rPr>
        <w:t>Por otro lado, el art</w:t>
      </w:r>
      <w:r>
        <w:rPr>
          <w:rFonts w:cs="Times New Roman"/>
          <w:spacing w:val="-5"/>
          <w:sz w:val="18"/>
          <w:szCs w:val="18"/>
          <w:lang w:val="es-ES_tradnl"/>
        </w:rPr>
        <w:t>í</w:t>
      </w:r>
      <w:r>
        <w:rPr>
          <w:spacing w:val="-5"/>
          <w:sz w:val="18"/>
          <w:szCs w:val="18"/>
          <w:lang w:val="es-ES_tradnl"/>
        </w:rPr>
        <w:t xml:space="preserve">culo 37 del Reglamento Disciplinario </w:t>
      </w:r>
      <w:r>
        <w:rPr>
          <w:spacing w:val="-2"/>
          <w:sz w:val="18"/>
          <w:szCs w:val="18"/>
          <w:lang w:val="es-ES_tradnl"/>
        </w:rPr>
        <w:t>para la Escuela Superior de Polic</w:t>
      </w:r>
      <w:r>
        <w:rPr>
          <w:rFonts w:cs="Times New Roman"/>
          <w:spacing w:val="-2"/>
          <w:sz w:val="18"/>
          <w:szCs w:val="18"/>
          <w:lang w:val="es-ES_tradnl"/>
        </w:rPr>
        <w:t>í</w:t>
      </w:r>
      <w:r>
        <w:rPr>
          <w:spacing w:val="-2"/>
          <w:sz w:val="18"/>
          <w:szCs w:val="18"/>
          <w:lang w:val="es-ES_tradnl"/>
        </w:rPr>
        <w:t>a Alberto Enr</w:t>
      </w:r>
      <w:r>
        <w:rPr>
          <w:rFonts w:cs="Times New Roman"/>
          <w:spacing w:val="-2"/>
          <w:sz w:val="18"/>
          <w:szCs w:val="18"/>
          <w:lang w:val="es-ES_tradnl"/>
        </w:rPr>
        <w:t>í</w:t>
      </w:r>
      <w:r>
        <w:rPr>
          <w:spacing w:val="-2"/>
          <w:sz w:val="18"/>
          <w:szCs w:val="18"/>
          <w:lang w:val="es-ES_tradnl"/>
        </w:rPr>
        <w:t xml:space="preserve">quez </w:t>
      </w:r>
      <w:r>
        <w:rPr>
          <w:spacing w:val="-6"/>
          <w:sz w:val="18"/>
          <w:szCs w:val="18"/>
          <w:lang w:val="es-ES_tradnl"/>
        </w:rPr>
        <w:t>Gallo, contiene una prohibici</w:t>
      </w:r>
      <w:r>
        <w:rPr>
          <w:rFonts w:cs="Times New Roman"/>
          <w:spacing w:val="-6"/>
          <w:sz w:val="18"/>
          <w:szCs w:val="18"/>
          <w:lang w:val="es-ES_tradnl"/>
        </w:rPr>
        <w:t>ó</w:t>
      </w:r>
      <w:r>
        <w:rPr>
          <w:spacing w:val="-6"/>
          <w:sz w:val="18"/>
          <w:szCs w:val="18"/>
          <w:lang w:val="es-ES_tradnl"/>
        </w:rPr>
        <w:t>n que tambi</w:t>
      </w:r>
      <w:r>
        <w:rPr>
          <w:rFonts w:cs="Times New Roman"/>
          <w:spacing w:val="-6"/>
          <w:sz w:val="18"/>
          <w:szCs w:val="18"/>
          <w:lang w:val="es-ES_tradnl"/>
        </w:rPr>
        <w:t>é</w:t>
      </w:r>
      <w:r>
        <w:rPr>
          <w:spacing w:val="-6"/>
          <w:sz w:val="18"/>
          <w:szCs w:val="18"/>
          <w:lang w:val="es-ES_tradnl"/>
        </w:rPr>
        <w:t xml:space="preserve">n debe ser </w:t>
      </w:r>
      <w:r>
        <w:rPr>
          <w:spacing w:val="-1"/>
          <w:sz w:val="18"/>
          <w:szCs w:val="18"/>
          <w:lang w:val="es-ES_tradnl"/>
        </w:rPr>
        <w:t xml:space="preserve">interpretada a la luz de las normas disciplinarias que </w:t>
      </w:r>
      <w:r>
        <w:rPr>
          <w:spacing w:val="-5"/>
          <w:sz w:val="18"/>
          <w:szCs w:val="18"/>
          <w:lang w:val="es-ES_tradnl"/>
        </w:rPr>
        <w:t>rigen a los aspirantes a oficiales de la Polic</w:t>
      </w:r>
      <w:r>
        <w:rPr>
          <w:rFonts w:cs="Times New Roman"/>
          <w:spacing w:val="-5"/>
          <w:sz w:val="18"/>
          <w:szCs w:val="18"/>
          <w:lang w:val="es-ES_tradnl"/>
        </w:rPr>
        <w:t>í</w:t>
      </w:r>
      <w:r>
        <w:rPr>
          <w:spacing w:val="-5"/>
          <w:sz w:val="18"/>
          <w:szCs w:val="18"/>
          <w:lang w:val="es-ES_tradnl"/>
        </w:rPr>
        <w:t>a Nacional. As</w:t>
      </w:r>
      <w:r>
        <w:rPr>
          <w:rFonts w:cs="Times New Roman"/>
          <w:spacing w:val="-5"/>
          <w:sz w:val="18"/>
          <w:szCs w:val="18"/>
          <w:lang w:val="es-ES_tradnl"/>
        </w:rPr>
        <w:t>í</w:t>
      </w:r>
      <w:r>
        <w:rPr>
          <w:spacing w:val="-5"/>
          <w:sz w:val="18"/>
          <w:szCs w:val="18"/>
          <w:lang w:val="es-ES_tradnl"/>
        </w:rPr>
        <w:t>, los estudiantes que aspiran a convertirse en polic</w:t>
      </w:r>
      <w:r>
        <w:rPr>
          <w:rFonts w:cs="Times New Roman"/>
          <w:spacing w:val="-5"/>
          <w:sz w:val="18"/>
          <w:szCs w:val="18"/>
          <w:lang w:val="es-ES_tradnl"/>
        </w:rPr>
        <w:t>í</w:t>
      </w:r>
      <w:r>
        <w:rPr>
          <w:spacing w:val="-5"/>
          <w:sz w:val="18"/>
          <w:szCs w:val="18"/>
          <w:lang w:val="es-ES_tradnl"/>
        </w:rPr>
        <w:t xml:space="preserve">as </w:t>
      </w:r>
      <w:r>
        <w:rPr>
          <w:spacing w:val="-7"/>
          <w:sz w:val="18"/>
          <w:szCs w:val="18"/>
          <w:lang w:val="es-ES_tradnl"/>
        </w:rPr>
        <w:t>y formar parte de las filas de la instituci</w:t>
      </w:r>
      <w:r>
        <w:rPr>
          <w:rFonts w:cs="Times New Roman"/>
          <w:spacing w:val="-7"/>
          <w:sz w:val="18"/>
          <w:szCs w:val="18"/>
          <w:lang w:val="es-ES_tradnl"/>
        </w:rPr>
        <w:t>ó</w:t>
      </w:r>
      <w:r>
        <w:rPr>
          <w:spacing w:val="-7"/>
          <w:sz w:val="18"/>
          <w:szCs w:val="18"/>
          <w:lang w:val="es-ES_tradnl"/>
        </w:rPr>
        <w:t>n est</w:t>
      </w:r>
      <w:r>
        <w:rPr>
          <w:rFonts w:cs="Times New Roman"/>
          <w:spacing w:val="-7"/>
          <w:sz w:val="18"/>
          <w:szCs w:val="18"/>
          <w:lang w:val="es-ES_tradnl"/>
        </w:rPr>
        <w:t>á</w:t>
      </w:r>
      <w:r>
        <w:rPr>
          <w:spacing w:val="-7"/>
          <w:sz w:val="18"/>
          <w:szCs w:val="18"/>
          <w:lang w:val="es-ES_tradnl"/>
        </w:rPr>
        <w:t xml:space="preserve">n obligados </w:t>
      </w:r>
      <w:r>
        <w:rPr>
          <w:spacing w:val="-10"/>
          <w:sz w:val="18"/>
          <w:szCs w:val="18"/>
          <w:lang w:val="es-ES_tradnl"/>
        </w:rPr>
        <w:t>a observar todas las directrices espec</w:t>
      </w:r>
      <w:r>
        <w:rPr>
          <w:rFonts w:cs="Times New Roman"/>
          <w:spacing w:val="-10"/>
          <w:sz w:val="18"/>
          <w:szCs w:val="18"/>
          <w:lang w:val="es-ES_tradnl"/>
        </w:rPr>
        <w:t>í</w:t>
      </w:r>
      <w:r>
        <w:rPr>
          <w:spacing w:val="-10"/>
          <w:sz w:val="18"/>
          <w:szCs w:val="18"/>
          <w:lang w:val="es-ES_tradnl"/>
        </w:rPr>
        <w:t>ficas en su formaci</w:t>
      </w:r>
      <w:r>
        <w:rPr>
          <w:rFonts w:cs="Times New Roman"/>
          <w:spacing w:val="-10"/>
          <w:sz w:val="18"/>
          <w:szCs w:val="18"/>
          <w:lang w:val="es-ES_tradnl"/>
        </w:rPr>
        <w:t>ó</w:t>
      </w:r>
      <w:r>
        <w:rPr>
          <w:spacing w:val="-10"/>
          <w:sz w:val="18"/>
          <w:szCs w:val="18"/>
          <w:lang w:val="es-ES_tradnl"/>
        </w:rPr>
        <w:t xml:space="preserve">n </w:t>
      </w:r>
      <w:r>
        <w:rPr>
          <w:spacing w:val="-5"/>
          <w:sz w:val="18"/>
          <w:szCs w:val="18"/>
          <w:lang w:val="es-ES_tradnl"/>
        </w:rPr>
        <w:t>disciplinaria, acad</w:t>
      </w:r>
      <w:r>
        <w:rPr>
          <w:rFonts w:cs="Times New Roman"/>
          <w:spacing w:val="-5"/>
          <w:sz w:val="18"/>
          <w:szCs w:val="18"/>
          <w:lang w:val="es-ES_tradnl"/>
        </w:rPr>
        <w:t>é</w:t>
      </w:r>
      <w:r>
        <w:rPr>
          <w:spacing w:val="-5"/>
          <w:sz w:val="18"/>
          <w:szCs w:val="18"/>
          <w:lang w:val="es-ES_tradnl"/>
        </w:rPr>
        <w:t>mica y de esp</w:t>
      </w:r>
      <w:r>
        <w:rPr>
          <w:rFonts w:cs="Times New Roman"/>
          <w:spacing w:val="-5"/>
          <w:sz w:val="18"/>
          <w:szCs w:val="18"/>
          <w:lang w:val="es-ES_tradnl"/>
        </w:rPr>
        <w:t>í</w:t>
      </w:r>
      <w:r>
        <w:rPr>
          <w:spacing w:val="-5"/>
          <w:sz w:val="18"/>
          <w:szCs w:val="18"/>
          <w:lang w:val="es-ES_tradnl"/>
        </w:rPr>
        <w:t>ritu policial.</w:t>
      </w:r>
    </w:p>
    <w:p w14:paraId="4F67A4AB" w14:textId="77777777" w:rsidR="00591D54" w:rsidRDefault="00591D54">
      <w:pPr>
        <w:shd w:val="clear" w:color="auto" w:fill="FFFFFF"/>
        <w:spacing w:before="197" w:line="216" w:lineRule="exact"/>
        <w:jc w:val="both"/>
      </w:pPr>
      <w:r>
        <w:rPr>
          <w:spacing w:val="-8"/>
          <w:sz w:val="18"/>
          <w:szCs w:val="18"/>
          <w:lang w:val="es-ES_tradnl"/>
        </w:rPr>
        <w:t>De ah</w:t>
      </w:r>
      <w:r>
        <w:rPr>
          <w:rFonts w:cs="Times New Roman"/>
          <w:spacing w:val="-8"/>
          <w:sz w:val="18"/>
          <w:szCs w:val="18"/>
          <w:lang w:val="es-ES_tradnl"/>
        </w:rPr>
        <w:t>í</w:t>
      </w:r>
      <w:r>
        <w:rPr>
          <w:spacing w:val="-8"/>
          <w:sz w:val="18"/>
          <w:szCs w:val="18"/>
          <w:lang w:val="es-ES_tradnl"/>
        </w:rPr>
        <w:t xml:space="preserve"> que en caso de trasgredir normas reglamentarias, estar</w:t>
      </w:r>
      <w:r>
        <w:rPr>
          <w:rFonts w:cs="Times New Roman"/>
          <w:spacing w:val="-8"/>
          <w:sz w:val="18"/>
          <w:szCs w:val="18"/>
          <w:lang w:val="es-ES_tradnl"/>
        </w:rPr>
        <w:t>á</w:t>
      </w:r>
      <w:r>
        <w:rPr>
          <w:spacing w:val="-8"/>
          <w:sz w:val="18"/>
          <w:szCs w:val="18"/>
          <w:lang w:val="es-ES_tradnl"/>
        </w:rPr>
        <w:t xml:space="preserve">n sometidos a las consecuencias previstas en los </w:t>
      </w:r>
      <w:r>
        <w:rPr>
          <w:spacing w:val="-5"/>
          <w:sz w:val="18"/>
          <w:szCs w:val="18"/>
          <w:lang w:val="es-ES_tradnl"/>
        </w:rPr>
        <w:t>distintos instrumentos que regulan la formaci</w:t>
      </w:r>
      <w:r>
        <w:rPr>
          <w:rFonts w:cs="Times New Roman"/>
          <w:spacing w:val="-5"/>
          <w:sz w:val="18"/>
          <w:szCs w:val="18"/>
          <w:lang w:val="es-ES_tradnl"/>
        </w:rPr>
        <w:t>ó</w:t>
      </w:r>
      <w:r>
        <w:rPr>
          <w:spacing w:val="-5"/>
          <w:sz w:val="18"/>
          <w:szCs w:val="18"/>
          <w:lang w:val="es-ES_tradnl"/>
        </w:rPr>
        <w:t xml:space="preserve">n de los </w:t>
      </w:r>
      <w:r>
        <w:rPr>
          <w:spacing w:val="-7"/>
          <w:sz w:val="18"/>
          <w:szCs w:val="18"/>
          <w:lang w:val="es-ES_tradnl"/>
        </w:rPr>
        <w:t xml:space="preserve">estudiantes; por tanto, se debe acudir al resto de normas </w:t>
      </w:r>
      <w:r>
        <w:rPr>
          <w:spacing w:val="-5"/>
          <w:sz w:val="18"/>
          <w:szCs w:val="18"/>
          <w:lang w:val="es-ES_tradnl"/>
        </w:rPr>
        <w:t xml:space="preserve">que regulan la conducta de los estudiantes y aspirantes </w:t>
      </w:r>
      <w:r>
        <w:rPr>
          <w:spacing w:val="-7"/>
          <w:sz w:val="18"/>
          <w:szCs w:val="18"/>
          <w:lang w:val="es-ES_tradnl"/>
        </w:rPr>
        <w:t>para poder identificar la conducta pertinente. No obstante,</w:t>
      </w:r>
    </w:p>
    <w:p w14:paraId="4F67A4AC" w14:textId="77777777" w:rsidR="00591D54" w:rsidRDefault="00591D54">
      <w:pPr>
        <w:shd w:val="clear" w:color="auto" w:fill="FFFFFF"/>
        <w:spacing w:line="216" w:lineRule="exact"/>
        <w:jc w:val="both"/>
      </w:pPr>
      <w:r>
        <w:br w:type="column"/>
      </w:r>
      <w:r>
        <w:rPr>
          <w:spacing w:val="-6"/>
          <w:sz w:val="18"/>
          <w:szCs w:val="18"/>
          <w:lang w:val="es-ES_tradnl"/>
        </w:rPr>
        <w:t>una vez que ha concluido el proceso de investigaci</w:t>
      </w:r>
      <w:r>
        <w:rPr>
          <w:rFonts w:cs="Times New Roman"/>
          <w:spacing w:val="-6"/>
          <w:sz w:val="18"/>
          <w:szCs w:val="18"/>
          <w:lang w:val="es-ES_tradnl"/>
        </w:rPr>
        <w:t>ó</w:t>
      </w:r>
      <w:r>
        <w:rPr>
          <w:spacing w:val="-6"/>
          <w:sz w:val="18"/>
          <w:szCs w:val="18"/>
          <w:lang w:val="es-ES_tradnl"/>
        </w:rPr>
        <w:t xml:space="preserve">n </w:t>
      </w:r>
      <w:r>
        <w:rPr>
          <w:spacing w:val="-5"/>
          <w:sz w:val="18"/>
          <w:szCs w:val="18"/>
          <w:lang w:val="es-ES_tradnl"/>
        </w:rPr>
        <w:t>correspondiente y el caso amerite sanci</w:t>
      </w:r>
      <w:r>
        <w:rPr>
          <w:rFonts w:cs="Times New Roman"/>
          <w:spacing w:val="-5"/>
          <w:sz w:val="18"/>
          <w:szCs w:val="18"/>
          <w:lang w:val="es-ES_tradnl"/>
        </w:rPr>
        <w:t>ó</w:t>
      </w:r>
      <w:r>
        <w:rPr>
          <w:spacing w:val="-5"/>
          <w:sz w:val="18"/>
          <w:szCs w:val="18"/>
          <w:lang w:val="es-ES_tradnl"/>
        </w:rPr>
        <w:t>n, la norma que se analiza establece que dicha sanci</w:t>
      </w:r>
      <w:r>
        <w:rPr>
          <w:rFonts w:cs="Times New Roman"/>
          <w:spacing w:val="-5"/>
          <w:sz w:val="18"/>
          <w:szCs w:val="18"/>
          <w:lang w:val="es-ES_tradnl"/>
        </w:rPr>
        <w:t>ó</w:t>
      </w:r>
      <w:r>
        <w:rPr>
          <w:spacing w:val="-5"/>
          <w:sz w:val="18"/>
          <w:szCs w:val="18"/>
          <w:lang w:val="es-ES_tradnl"/>
        </w:rPr>
        <w:t xml:space="preserve">n no debe vulnerar </w:t>
      </w:r>
      <w:r>
        <w:rPr>
          <w:sz w:val="18"/>
          <w:szCs w:val="18"/>
          <w:lang w:val="es-ES_tradnl"/>
        </w:rPr>
        <w:t xml:space="preserve">el principio de proporcionalidad de las penas y que </w:t>
      </w:r>
      <w:r>
        <w:rPr>
          <w:spacing w:val="-5"/>
          <w:sz w:val="18"/>
          <w:szCs w:val="18"/>
          <w:lang w:val="es-ES_tradnl"/>
        </w:rPr>
        <w:t>en general las autoridades de la instituci</w:t>
      </w:r>
      <w:r>
        <w:rPr>
          <w:rFonts w:cs="Times New Roman"/>
          <w:spacing w:val="-5"/>
          <w:sz w:val="18"/>
          <w:szCs w:val="18"/>
          <w:lang w:val="es-ES_tradnl"/>
        </w:rPr>
        <w:t>ó</w:t>
      </w:r>
      <w:r>
        <w:rPr>
          <w:spacing w:val="-5"/>
          <w:sz w:val="18"/>
          <w:szCs w:val="18"/>
          <w:lang w:val="es-ES_tradnl"/>
        </w:rPr>
        <w:t xml:space="preserve">n no pueden </w:t>
      </w:r>
      <w:r>
        <w:rPr>
          <w:spacing w:val="-9"/>
          <w:sz w:val="18"/>
          <w:szCs w:val="18"/>
          <w:lang w:val="es-ES_tradnl"/>
        </w:rPr>
        <w:t xml:space="preserve">proferir expresiones injuriosas o denigrantes a las personas </w:t>
      </w:r>
      <w:r>
        <w:rPr>
          <w:sz w:val="18"/>
          <w:szCs w:val="18"/>
          <w:lang w:val="es-ES_tradnl"/>
        </w:rPr>
        <w:t>subordinadas.</w:t>
      </w:r>
    </w:p>
    <w:p w14:paraId="4F67A4AD" w14:textId="77777777" w:rsidR="00591D54" w:rsidRDefault="00591D54">
      <w:pPr>
        <w:shd w:val="clear" w:color="auto" w:fill="FFFFFF"/>
        <w:spacing w:before="197" w:line="216" w:lineRule="exact"/>
        <w:jc w:val="both"/>
      </w:pPr>
      <w:r>
        <w:rPr>
          <w:spacing w:val="-7"/>
          <w:sz w:val="18"/>
          <w:szCs w:val="18"/>
          <w:lang w:val="es-ES_tradnl"/>
        </w:rPr>
        <w:t xml:space="preserve">Por tanto, si bien las prohibiciones contenidas en la norma </w:t>
      </w:r>
      <w:r>
        <w:rPr>
          <w:i/>
          <w:iCs/>
          <w:spacing w:val="-5"/>
          <w:sz w:val="18"/>
          <w:szCs w:val="18"/>
          <w:lang w:val="es-ES_tradnl"/>
        </w:rPr>
        <w:t xml:space="preserve">sub examine </w:t>
      </w:r>
      <w:r>
        <w:rPr>
          <w:spacing w:val="-5"/>
          <w:sz w:val="18"/>
          <w:szCs w:val="18"/>
          <w:lang w:val="es-ES_tradnl"/>
        </w:rPr>
        <w:t>deben ser sometidas a un an</w:t>
      </w:r>
      <w:r>
        <w:rPr>
          <w:rFonts w:cs="Times New Roman"/>
          <w:spacing w:val="-5"/>
          <w:sz w:val="18"/>
          <w:szCs w:val="18"/>
          <w:lang w:val="es-ES_tradnl"/>
        </w:rPr>
        <w:t>á</w:t>
      </w:r>
      <w:r>
        <w:rPr>
          <w:spacing w:val="-5"/>
          <w:sz w:val="18"/>
          <w:szCs w:val="18"/>
          <w:lang w:val="es-ES_tradnl"/>
        </w:rPr>
        <w:t xml:space="preserve">lisis previo </w:t>
      </w:r>
      <w:r>
        <w:rPr>
          <w:spacing w:val="-8"/>
          <w:sz w:val="18"/>
          <w:szCs w:val="18"/>
          <w:lang w:val="es-ES_tradnl"/>
        </w:rPr>
        <w:t xml:space="preserve">dentro de un proceso disciplinario con objeto de establecer </w:t>
      </w:r>
      <w:r>
        <w:rPr>
          <w:spacing w:val="-5"/>
          <w:sz w:val="18"/>
          <w:szCs w:val="18"/>
          <w:lang w:val="es-ES_tradnl"/>
        </w:rPr>
        <w:t xml:space="preserve">con claridad si se ha incurrido o no en el comportamiento </w:t>
      </w:r>
      <w:r>
        <w:rPr>
          <w:spacing w:val="-11"/>
          <w:sz w:val="18"/>
          <w:szCs w:val="18"/>
          <w:lang w:val="es-ES_tradnl"/>
        </w:rPr>
        <w:t xml:space="preserve">restringido de manera que se garantice el debido proceso, se </w:t>
      </w:r>
      <w:r>
        <w:rPr>
          <w:spacing w:val="-9"/>
          <w:sz w:val="18"/>
          <w:szCs w:val="18"/>
          <w:lang w:val="es-ES_tradnl"/>
        </w:rPr>
        <w:t>desprende que esta contiene efectivamente una obligaci</w:t>
      </w:r>
      <w:r>
        <w:rPr>
          <w:rFonts w:cs="Times New Roman"/>
          <w:spacing w:val="-9"/>
          <w:sz w:val="18"/>
          <w:szCs w:val="18"/>
          <w:lang w:val="es-ES_tradnl"/>
        </w:rPr>
        <w:t>ó</w:t>
      </w:r>
      <w:r>
        <w:rPr>
          <w:spacing w:val="-9"/>
          <w:sz w:val="18"/>
          <w:szCs w:val="18"/>
          <w:lang w:val="es-ES_tradnl"/>
        </w:rPr>
        <w:t xml:space="preserve">n </w:t>
      </w:r>
      <w:r>
        <w:rPr>
          <w:spacing w:val="-6"/>
          <w:sz w:val="18"/>
          <w:szCs w:val="18"/>
          <w:lang w:val="es-ES_tradnl"/>
        </w:rPr>
        <w:t xml:space="preserve">de no hacer expresa y exigible, de conformidad con los </w:t>
      </w:r>
      <w:r>
        <w:rPr>
          <w:sz w:val="18"/>
          <w:szCs w:val="18"/>
          <w:lang w:val="es-ES_tradnl"/>
        </w:rPr>
        <w:t>presupuestos procesales necesarios.</w:t>
      </w:r>
    </w:p>
    <w:p w14:paraId="4F67A4AE" w14:textId="77777777" w:rsidR="00591D54" w:rsidRDefault="00591D54">
      <w:pPr>
        <w:shd w:val="clear" w:color="auto" w:fill="FFFFFF"/>
        <w:spacing w:before="197" w:line="216" w:lineRule="exact"/>
        <w:jc w:val="both"/>
      </w:pPr>
      <w:r>
        <w:rPr>
          <w:spacing w:val="-4"/>
          <w:sz w:val="18"/>
          <w:szCs w:val="18"/>
          <w:lang w:val="es-ES_tradnl"/>
        </w:rPr>
        <w:t>Por otro lado, los art</w:t>
      </w:r>
      <w:r>
        <w:rPr>
          <w:rFonts w:cs="Times New Roman"/>
          <w:spacing w:val="-4"/>
          <w:sz w:val="18"/>
          <w:szCs w:val="18"/>
          <w:lang w:val="es-ES_tradnl"/>
        </w:rPr>
        <w:t>í</w:t>
      </w:r>
      <w:r>
        <w:rPr>
          <w:spacing w:val="-4"/>
          <w:sz w:val="18"/>
          <w:szCs w:val="18"/>
          <w:lang w:val="es-ES_tradnl"/>
        </w:rPr>
        <w:t xml:space="preserve">culos 66 y 68 del Reglamento </w:t>
      </w:r>
      <w:r>
        <w:rPr>
          <w:sz w:val="18"/>
          <w:szCs w:val="18"/>
          <w:lang w:val="es-ES_tradnl"/>
        </w:rPr>
        <w:t>Disciplinario para la Escuela Superior de Polic</w:t>
      </w:r>
      <w:r>
        <w:rPr>
          <w:rFonts w:cs="Times New Roman"/>
          <w:sz w:val="18"/>
          <w:szCs w:val="18"/>
          <w:lang w:val="es-ES_tradnl"/>
        </w:rPr>
        <w:t>í</w:t>
      </w:r>
      <w:r>
        <w:rPr>
          <w:sz w:val="18"/>
          <w:szCs w:val="18"/>
          <w:lang w:val="es-ES_tradnl"/>
        </w:rPr>
        <w:t xml:space="preserve">a, </w:t>
      </w:r>
      <w:r>
        <w:rPr>
          <w:spacing w:val="-6"/>
          <w:sz w:val="18"/>
          <w:szCs w:val="18"/>
          <w:lang w:val="es-ES_tradnl"/>
        </w:rPr>
        <w:t>Alberto Enr</w:t>
      </w:r>
      <w:r>
        <w:rPr>
          <w:rFonts w:cs="Times New Roman"/>
          <w:spacing w:val="-6"/>
          <w:sz w:val="18"/>
          <w:szCs w:val="18"/>
          <w:lang w:val="es-ES_tradnl"/>
        </w:rPr>
        <w:t>í</w:t>
      </w:r>
      <w:r>
        <w:rPr>
          <w:spacing w:val="-6"/>
          <w:sz w:val="18"/>
          <w:szCs w:val="18"/>
          <w:lang w:val="es-ES_tradnl"/>
        </w:rPr>
        <w:t>quez Gallo, tambi</w:t>
      </w:r>
      <w:r>
        <w:rPr>
          <w:rFonts w:cs="Times New Roman"/>
          <w:spacing w:val="-6"/>
          <w:sz w:val="18"/>
          <w:szCs w:val="18"/>
          <w:lang w:val="es-ES_tradnl"/>
        </w:rPr>
        <w:t>é</w:t>
      </w:r>
      <w:r>
        <w:rPr>
          <w:spacing w:val="-6"/>
          <w:sz w:val="18"/>
          <w:szCs w:val="18"/>
          <w:lang w:val="es-ES_tradnl"/>
        </w:rPr>
        <w:t xml:space="preserve">n contienen disposiciones </w:t>
      </w:r>
      <w:r>
        <w:rPr>
          <w:spacing w:val="-2"/>
          <w:sz w:val="18"/>
          <w:szCs w:val="18"/>
          <w:lang w:val="es-ES_tradnl"/>
        </w:rPr>
        <w:t>que conforme consta en el an</w:t>
      </w:r>
      <w:r>
        <w:rPr>
          <w:rFonts w:cs="Times New Roman"/>
          <w:spacing w:val="-2"/>
          <w:sz w:val="18"/>
          <w:szCs w:val="18"/>
          <w:lang w:val="es-ES_tradnl"/>
        </w:rPr>
        <w:t>á</w:t>
      </w:r>
      <w:r>
        <w:rPr>
          <w:spacing w:val="-2"/>
          <w:sz w:val="18"/>
          <w:szCs w:val="18"/>
          <w:lang w:val="es-ES_tradnl"/>
        </w:rPr>
        <w:t xml:space="preserve">lisis precedente, deben </w:t>
      </w:r>
      <w:r>
        <w:rPr>
          <w:spacing w:val="-7"/>
          <w:sz w:val="18"/>
          <w:szCs w:val="18"/>
          <w:lang w:val="es-ES_tradnl"/>
        </w:rPr>
        <w:t xml:space="preserve">ser interpretadas acorde con las normas del resto de </w:t>
      </w:r>
      <w:r>
        <w:rPr>
          <w:spacing w:val="-6"/>
          <w:sz w:val="18"/>
          <w:szCs w:val="18"/>
          <w:lang w:val="es-ES_tradnl"/>
        </w:rPr>
        <w:t xml:space="preserve">instrumentos disciplinarios que rigen la conducta de los </w:t>
      </w:r>
      <w:r>
        <w:rPr>
          <w:spacing w:val="-8"/>
          <w:sz w:val="18"/>
          <w:szCs w:val="18"/>
          <w:lang w:val="es-ES_tradnl"/>
        </w:rPr>
        <w:t>estudiantes aspirantes a formar parte de la Polic</w:t>
      </w:r>
      <w:r>
        <w:rPr>
          <w:rFonts w:cs="Times New Roman"/>
          <w:spacing w:val="-8"/>
          <w:sz w:val="18"/>
          <w:szCs w:val="18"/>
          <w:lang w:val="es-ES_tradnl"/>
        </w:rPr>
        <w:t>í</w:t>
      </w:r>
      <w:r>
        <w:rPr>
          <w:spacing w:val="-8"/>
          <w:sz w:val="18"/>
          <w:szCs w:val="18"/>
          <w:lang w:val="es-ES_tradnl"/>
        </w:rPr>
        <w:t>a Nacional y de acuerdo a determinados elementos f</w:t>
      </w:r>
      <w:r>
        <w:rPr>
          <w:rFonts w:cs="Times New Roman"/>
          <w:spacing w:val="-8"/>
          <w:sz w:val="18"/>
          <w:szCs w:val="18"/>
          <w:lang w:val="es-ES_tradnl"/>
        </w:rPr>
        <w:t>á</w:t>
      </w:r>
      <w:r>
        <w:rPr>
          <w:spacing w:val="-8"/>
          <w:sz w:val="18"/>
          <w:szCs w:val="18"/>
          <w:lang w:val="es-ES_tradnl"/>
        </w:rPr>
        <w:t>cticos.</w:t>
      </w:r>
    </w:p>
    <w:p w14:paraId="4F67A4AF" w14:textId="77777777" w:rsidR="00591D54" w:rsidRDefault="00591D54">
      <w:pPr>
        <w:shd w:val="clear" w:color="auto" w:fill="FFFFFF"/>
        <w:spacing w:before="197" w:line="216" w:lineRule="exact"/>
        <w:jc w:val="both"/>
      </w:pPr>
      <w:r>
        <w:rPr>
          <w:spacing w:val="-5"/>
          <w:sz w:val="18"/>
          <w:szCs w:val="18"/>
          <w:lang w:val="es-ES_tradnl"/>
        </w:rPr>
        <w:t>As</w:t>
      </w:r>
      <w:r>
        <w:rPr>
          <w:rFonts w:cs="Times New Roman"/>
          <w:spacing w:val="-5"/>
          <w:sz w:val="18"/>
          <w:szCs w:val="18"/>
          <w:lang w:val="es-ES_tradnl"/>
        </w:rPr>
        <w:t>í</w:t>
      </w:r>
      <w:r>
        <w:rPr>
          <w:spacing w:val="-5"/>
          <w:sz w:val="18"/>
          <w:szCs w:val="18"/>
          <w:lang w:val="es-ES_tradnl"/>
        </w:rPr>
        <w:t>, el art</w:t>
      </w:r>
      <w:r>
        <w:rPr>
          <w:rFonts w:cs="Times New Roman"/>
          <w:spacing w:val="-5"/>
          <w:sz w:val="18"/>
          <w:szCs w:val="18"/>
          <w:lang w:val="es-ES_tradnl"/>
        </w:rPr>
        <w:t>í</w:t>
      </w:r>
      <w:r>
        <w:rPr>
          <w:spacing w:val="-5"/>
          <w:sz w:val="18"/>
          <w:szCs w:val="18"/>
          <w:lang w:val="es-ES_tradnl"/>
        </w:rPr>
        <w:t>culo 66 del referido reglamento contiene una prohibici</w:t>
      </w:r>
      <w:r>
        <w:rPr>
          <w:rFonts w:cs="Times New Roman"/>
          <w:spacing w:val="-5"/>
          <w:sz w:val="18"/>
          <w:szCs w:val="18"/>
          <w:lang w:val="es-ES_tradnl"/>
        </w:rPr>
        <w:t>ó</w:t>
      </w:r>
      <w:r>
        <w:rPr>
          <w:spacing w:val="-5"/>
          <w:sz w:val="18"/>
          <w:szCs w:val="18"/>
          <w:lang w:val="es-ES_tradnl"/>
        </w:rPr>
        <w:t xml:space="preserve">n al establecer que no es posible reprimir dos </w:t>
      </w:r>
      <w:r>
        <w:rPr>
          <w:spacing w:val="-2"/>
          <w:sz w:val="18"/>
          <w:szCs w:val="18"/>
          <w:lang w:val="es-ES_tradnl"/>
        </w:rPr>
        <w:t xml:space="preserve">veces una misma falta disciplinaria, mientras que el </w:t>
      </w:r>
      <w:r>
        <w:rPr>
          <w:spacing w:val="-9"/>
          <w:sz w:val="18"/>
          <w:szCs w:val="18"/>
          <w:lang w:val="es-ES_tradnl"/>
        </w:rPr>
        <w:t>art</w:t>
      </w:r>
      <w:r>
        <w:rPr>
          <w:rFonts w:cs="Times New Roman"/>
          <w:spacing w:val="-9"/>
          <w:sz w:val="18"/>
          <w:szCs w:val="18"/>
          <w:lang w:val="es-ES_tradnl"/>
        </w:rPr>
        <w:t>í</w:t>
      </w:r>
      <w:r>
        <w:rPr>
          <w:spacing w:val="-9"/>
          <w:sz w:val="18"/>
          <w:szCs w:val="18"/>
          <w:lang w:val="es-ES_tradnl"/>
        </w:rPr>
        <w:t>culo 68 ib</w:t>
      </w:r>
      <w:r>
        <w:rPr>
          <w:rFonts w:cs="Times New Roman"/>
          <w:spacing w:val="-9"/>
          <w:sz w:val="18"/>
          <w:szCs w:val="18"/>
          <w:lang w:val="es-ES_tradnl"/>
        </w:rPr>
        <w:t>í</w:t>
      </w:r>
      <w:r>
        <w:rPr>
          <w:spacing w:val="-9"/>
          <w:sz w:val="18"/>
          <w:szCs w:val="18"/>
          <w:lang w:val="es-ES_tradnl"/>
        </w:rPr>
        <w:t>dem determina que cuando una misma acci</w:t>
      </w:r>
      <w:r>
        <w:rPr>
          <w:rFonts w:cs="Times New Roman"/>
          <w:spacing w:val="-9"/>
          <w:sz w:val="18"/>
          <w:szCs w:val="18"/>
          <w:lang w:val="es-ES_tradnl"/>
        </w:rPr>
        <w:t>ó</w:t>
      </w:r>
      <w:r>
        <w:rPr>
          <w:spacing w:val="-9"/>
          <w:sz w:val="18"/>
          <w:szCs w:val="18"/>
          <w:lang w:val="es-ES_tradnl"/>
        </w:rPr>
        <w:t xml:space="preserve">n </w:t>
      </w:r>
      <w:r>
        <w:rPr>
          <w:spacing w:val="-10"/>
          <w:sz w:val="18"/>
          <w:szCs w:val="18"/>
          <w:lang w:val="es-ES_tradnl"/>
        </w:rPr>
        <w:t>constituya dos o m</w:t>
      </w:r>
      <w:r>
        <w:rPr>
          <w:rFonts w:cs="Times New Roman"/>
          <w:spacing w:val="-10"/>
          <w:sz w:val="18"/>
          <w:szCs w:val="18"/>
          <w:lang w:val="es-ES_tradnl"/>
        </w:rPr>
        <w:t>á</w:t>
      </w:r>
      <w:r>
        <w:rPr>
          <w:spacing w:val="-10"/>
          <w:sz w:val="18"/>
          <w:szCs w:val="18"/>
          <w:lang w:val="es-ES_tradnl"/>
        </w:rPr>
        <w:t>s faltas, se deber</w:t>
      </w:r>
      <w:r>
        <w:rPr>
          <w:rFonts w:cs="Times New Roman"/>
          <w:spacing w:val="-10"/>
          <w:sz w:val="18"/>
          <w:szCs w:val="18"/>
          <w:lang w:val="es-ES_tradnl"/>
        </w:rPr>
        <w:t>á</w:t>
      </w:r>
      <w:r>
        <w:rPr>
          <w:spacing w:val="-10"/>
          <w:sz w:val="18"/>
          <w:szCs w:val="18"/>
          <w:lang w:val="es-ES_tradnl"/>
        </w:rPr>
        <w:t xml:space="preserve"> aplicar la pena mayor </w:t>
      </w:r>
      <w:r>
        <w:rPr>
          <w:spacing w:val="-5"/>
          <w:sz w:val="18"/>
          <w:szCs w:val="18"/>
          <w:lang w:val="es-ES_tradnl"/>
        </w:rPr>
        <w:t>en el caso en que proceda la acumulaci</w:t>
      </w:r>
      <w:r>
        <w:rPr>
          <w:rFonts w:cs="Times New Roman"/>
          <w:spacing w:val="-5"/>
          <w:sz w:val="18"/>
          <w:szCs w:val="18"/>
          <w:lang w:val="es-ES_tradnl"/>
        </w:rPr>
        <w:t>ó</w:t>
      </w:r>
      <w:r>
        <w:rPr>
          <w:spacing w:val="-5"/>
          <w:sz w:val="18"/>
          <w:szCs w:val="18"/>
          <w:lang w:val="es-ES_tradnl"/>
        </w:rPr>
        <w:t xml:space="preserve">n de penas. En </w:t>
      </w:r>
      <w:r>
        <w:rPr>
          <w:spacing w:val="-8"/>
          <w:sz w:val="18"/>
          <w:szCs w:val="18"/>
          <w:lang w:val="es-ES_tradnl"/>
        </w:rPr>
        <w:t xml:space="preserve">tal virtud, de las normas descritas se desprende que en la </w:t>
      </w:r>
      <w:r>
        <w:rPr>
          <w:spacing w:val="-5"/>
          <w:sz w:val="18"/>
          <w:szCs w:val="18"/>
          <w:lang w:val="es-ES_tradnl"/>
        </w:rPr>
        <w:t>primera se formula una obligaci</w:t>
      </w:r>
      <w:r>
        <w:rPr>
          <w:rFonts w:cs="Times New Roman"/>
          <w:spacing w:val="-5"/>
          <w:sz w:val="18"/>
          <w:szCs w:val="18"/>
          <w:lang w:val="es-ES_tradnl"/>
        </w:rPr>
        <w:t>ó</w:t>
      </w:r>
      <w:r>
        <w:rPr>
          <w:spacing w:val="-5"/>
          <w:sz w:val="18"/>
          <w:szCs w:val="18"/>
          <w:lang w:val="es-ES_tradnl"/>
        </w:rPr>
        <w:t xml:space="preserve">n de no hacer, y en la </w:t>
      </w:r>
      <w:r>
        <w:rPr>
          <w:spacing w:val="-9"/>
          <w:sz w:val="18"/>
          <w:szCs w:val="18"/>
          <w:lang w:val="es-ES_tradnl"/>
        </w:rPr>
        <w:t>segunda una obligaci</w:t>
      </w:r>
      <w:r>
        <w:rPr>
          <w:rFonts w:cs="Times New Roman"/>
          <w:spacing w:val="-9"/>
          <w:sz w:val="18"/>
          <w:szCs w:val="18"/>
          <w:lang w:val="es-ES_tradnl"/>
        </w:rPr>
        <w:t>ó</w:t>
      </w:r>
      <w:r>
        <w:rPr>
          <w:spacing w:val="-9"/>
          <w:sz w:val="18"/>
          <w:szCs w:val="18"/>
          <w:lang w:val="es-ES_tradnl"/>
        </w:rPr>
        <w:t>n de hacer clara, expresa y exigible.</w:t>
      </w:r>
    </w:p>
    <w:p w14:paraId="4F67A4B0" w14:textId="77777777" w:rsidR="00591D54" w:rsidRDefault="00591D54">
      <w:pPr>
        <w:shd w:val="clear" w:color="auto" w:fill="FFFFFF"/>
        <w:spacing w:before="192" w:line="216" w:lineRule="exact"/>
        <w:jc w:val="both"/>
      </w:pPr>
      <w:r>
        <w:rPr>
          <w:spacing w:val="-7"/>
          <w:sz w:val="18"/>
          <w:szCs w:val="18"/>
          <w:lang w:val="es-ES_tradnl"/>
        </w:rPr>
        <w:t>A partir del an</w:t>
      </w:r>
      <w:r>
        <w:rPr>
          <w:rFonts w:cs="Times New Roman"/>
          <w:spacing w:val="-7"/>
          <w:sz w:val="18"/>
          <w:szCs w:val="18"/>
          <w:lang w:val="es-ES_tradnl"/>
        </w:rPr>
        <w:t>á</w:t>
      </w:r>
      <w:r>
        <w:rPr>
          <w:spacing w:val="-7"/>
          <w:sz w:val="18"/>
          <w:szCs w:val="18"/>
          <w:lang w:val="es-ES_tradnl"/>
        </w:rPr>
        <w:t>lisis que precede respecto a las normas jur</w:t>
      </w:r>
      <w:r>
        <w:rPr>
          <w:rFonts w:cs="Times New Roman"/>
          <w:spacing w:val="-7"/>
          <w:sz w:val="18"/>
          <w:szCs w:val="18"/>
          <w:lang w:val="es-ES_tradnl"/>
        </w:rPr>
        <w:t>í</w:t>
      </w:r>
      <w:r>
        <w:rPr>
          <w:spacing w:val="-7"/>
          <w:sz w:val="18"/>
          <w:szCs w:val="18"/>
          <w:lang w:val="es-ES_tradnl"/>
        </w:rPr>
        <w:t xml:space="preserve">dicas demandadas, esta Corte Constitucional advierte </w:t>
      </w:r>
      <w:r>
        <w:rPr>
          <w:spacing w:val="-6"/>
          <w:sz w:val="18"/>
          <w:szCs w:val="18"/>
          <w:lang w:val="es-ES_tradnl"/>
        </w:rPr>
        <w:t>que los art</w:t>
      </w:r>
      <w:r>
        <w:rPr>
          <w:rFonts w:cs="Times New Roman"/>
          <w:spacing w:val="-6"/>
          <w:sz w:val="18"/>
          <w:szCs w:val="18"/>
          <w:lang w:val="es-ES_tradnl"/>
        </w:rPr>
        <w:t>í</w:t>
      </w:r>
      <w:r>
        <w:rPr>
          <w:spacing w:val="-6"/>
          <w:sz w:val="18"/>
          <w:szCs w:val="18"/>
          <w:lang w:val="es-ES_tradnl"/>
        </w:rPr>
        <w:t xml:space="preserve">culos 37, 66 y 68 del Reglamento Disciplinario </w:t>
      </w:r>
      <w:r>
        <w:rPr>
          <w:spacing w:val="-9"/>
          <w:sz w:val="18"/>
          <w:szCs w:val="18"/>
          <w:lang w:val="es-ES_tradnl"/>
        </w:rPr>
        <w:t>para la Escuela Superior de Polic</w:t>
      </w:r>
      <w:r>
        <w:rPr>
          <w:rFonts w:cs="Times New Roman"/>
          <w:spacing w:val="-9"/>
          <w:sz w:val="18"/>
          <w:szCs w:val="18"/>
          <w:lang w:val="es-ES_tradnl"/>
        </w:rPr>
        <w:t>í</w:t>
      </w:r>
      <w:r>
        <w:rPr>
          <w:spacing w:val="-9"/>
          <w:sz w:val="18"/>
          <w:szCs w:val="18"/>
          <w:lang w:val="es-ES_tradnl"/>
        </w:rPr>
        <w:t>a, Alberto Enr</w:t>
      </w:r>
      <w:r>
        <w:rPr>
          <w:rFonts w:cs="Times New Roman"/>
          <w:spacing w:val="-9"/>
          <w:sz w:val="18"/>
          <w:szCs w:val="18"/>
          <w:lang w:val="es-ES_tradnl"/>
        </w:rPr>
        <w:t>í</w:t>
      </w:r>
      <w:r>
        <w:rPr>
          <w:spacing w:val="-9"/>
          <w:sz w:val="18"/>
          <w:szCs w:val="18"/>
          <w:lang w:val="es-ES_tradnl"/>
        </w:rPr>
        <w:t xml:space="preserve">quez Gallo, </w:t>
      </w:r>
      <w:r>
        <w:rPr>
          <w:spacing w:val="-10"/>
          <w:sz w:val="18"/>
          <w:szCs w:val="18"/>
          <w:lang w:val="es-ES_tradnl"/>
        </w:rPr>
        <w:t xml:space="preserve">contienen obligaciones de hacer y no hacer claras, expresas </w:t>
      </w:r>
      <w:r>
        <w:rPr>
          <w:sz w:val="18"/>
          <w:szCs w:val="18"/>
          <w:lang w:val="es-ES_tradnl"/>
        </w:rPr>
        <w:t>y exigibles.</w:t>
      </w:r>
    </w:p>
    <w:p w14:paraId="4F67A4B1" w14:textId="77777777" w:rsidR="00591D54" w:rsidRDefault="00591D54">
      <w:pPr>
        <w:shd w:val="clear" w:color="auto" w:fill="FFFFFF"/>
        <w:spacing w:before="192" w:line="216" w:lineRule="exact"/>
        <w:jc w:val="both"/>
      </w:pPr>
      <w:r>
        <w:rPr>
          <w:spacing w:val="-10"/>
          <w:sz w:val="18"/>
          <w:szCs w:val="18"/>
          <w:lang w:val="es-ES_tradnl"/>
        </w:rPr>
        <w:t xml:space="preserve">Ahora bien, respecto al caso concreto consta en la demanda presentada que la accionante fue sancionada con la baja de </w:t>
      </w:r>
      <w:r>
        <w:rPr>
          <w:spacing w:val="-6"/>
          <w:sz w:val="18"/>
          <w:szCs w:val="18"/>
          <w:lang w:val="es-ES_tradnl"/>
        </w:rPr>
        <w:t>las filas policiales a causa de su rendimiento profesional, de conformidad con la resoluci</w:t>
      </w:r>
      <w:r>
        <w:rPr>
          <w:rFonts w:cs="Times New Roman"/>
          <w:spacing w:val="-6"/>
          <w:sz w:val="18"/>
          <w:szCs w:val="18"/>
          <w:lang w:val="es-ES_tradnl"/>
        </w:rPr>
        <w:t>ó</w:t>
      </w:r>
      <w:r>
        <w:rPr>
          <w:spacing w:val="-6"/>
          <w:sz w:val="18"/>
          <w:szCs w:val="18"/>
          <w:lang w:val="es-ES_tradnl"/>
        </w:rPr>
        <w:t>n N.</w:t>
      </w:r>
      <w:r>
        <w:rPr>
          <w:rFonts w:cs="Times New Roman"/>
          <w:spacing w:val="-6"/>
          <w:sz w:val="18"/>
          <w:szCs w:val="18"/>
          <w:lang w:val="es-ES_tradnl"/>
        </w:rPr>
        <w:t>º</w:t>
      </w:r>
      <w:r>
        <w:rPr>
          <w:spacing w:val="-6"/>
          <w:sz w:val="18"/>
          <w:szCs w:val="18"/>
          <w:lang w:val="es-ES_tradnl"/>
        </w:rPr>
        <w:t xml:space="preserve"> 011-CG-CG-B-KDT, </w:t>
      </w:r>
      <w:r>
        <w:rPr>
          <w:spacing w:val="-10"/>
          <w:sz w:val="18"/>
          <w:szCs w:val="18"/>
          <w:lang w:val="es-ES_tradnl"/>
        </w:rPr>
        <w:t xml:space="preserve">emitida el 31 de agosto de 2009, por el comandante general </w:t>
      </w:r>
      <w:r>
        <w:rPr>
          <w:spacing w:val="-5"/>
          <w:sz w:val="18"/>
          <w:szCs w:val="18"/>
          <w:lang w:val="es-ES_tradnl"/>
        </w:rPr>
        <w:t>de la Polic</w:t>
      </w:r>
      <w:r>
        <w:rPr>
          <w:rFonts w:cs="Times New Roman"/>
          <w:spacing w:val="-5"/>
          <w:sz w:val="18"/>
          <w:szCs w:val="18"/>
          <w:lang w:val="es-ES_tradnl"/>
        </w:rPr>
        <w:t>í</w:t>
      </w:r>
      <w:r>
        <w:rPr>
          <w:spacing w:val="-5"/>
          <w:sz w:val="18"/>
          <w:szCs w:val="18"/>
          <w:lang w:val="es-ES_tradnl"/>
        </w:rPr>
        <w:t xml:space="preserve">a Nacional. En el mismo sentido, adiciona la </w:t>
      </w:r>
      <w:r>
        <w:rPr>
          <w:spacing w:val="-8"/>
          <w:sz w:val="18"/>
          <w:szCs w:val="18"/>
          <w:lang w:val="es-ES_tradnl"/>
        </w:rPr>
        <w:t>legitimada activa que la referida sanci</w:t>
      </w:r>
      <w:r>
        <w:rPr>
          <w:rFonts w:cs="Times New Roman"/>
          <w:spacing w:val="-8"/>
          <w:sz w:val="18"/>
          <w:szCs w:val="18"/>
          <w:lang w:val="es-ES_tradnl"/>
        </w:rPr>
        <w:t>ó</w:t>
      </w:r>
      <w:r>
        <w:rPr>
          <w:spacing w:val="-8"/>
          <w:sz w:val="18"/>
          <w:szCs w:val="18"/>
          <w:lang w:val="es-ES_tradnl"/>
        </w:rPr>
        <w:t>n se fundament</w:t>
      </w:r>
      <w:r>
        <w:rPr>
          <w:rFonts w:cs="Times New Roman"/>
          <w:spacing w:val="-8"/>
          <w:sz w:val="18"/>
          <w:szCs w:val="18"/>
          <w:lang w:val="es-ES_tradnl"/>
        </w:rPr>
        <w:t>ó</w:t>
      </w:r>
      <w:r>
        <w:rPr>
          <w:spacing w:val="-8"/>
          <w:sz w:val="18"/>
          <w:szCs w:val="18"/>
          <w:lang w:val="es-ES_tradnl"/>
        </w:rPr>
        <w:t xml:space="preserve"> en </w:t>
      </w:r>
      <w:r>
        <w:rPr>
          <w:spacing w:val="-6"/>
          <w:sz w:val="18"/>
          <w:szCs w:val="18"/>
          <w:lang w:val="es-ES_tradnl"/>
        </w:rPr>
        <w:t xml:space="preserve">el oficio del 17 de agosto de 2009, suscrito por el mayor </w:t>
      </w:r>
      <w:r>
        <w:rPr>
          <w:spacing w:val="-4"/>
          <w:sz w:val="18"/>
          <w:szCs w:val="18"/>
          <w:lang w:val="es-ES_tradnl"/>
        </w:rPr>
        <w:t>Patricio del Pozo, en calidad de jefe de instrucci</w:t>
      </w:r>
      <w:r>
        <w:rPr>
          <w:rFonts w:cs="Times New Roman"/>
          <w:spacing w:val="-4"/>
          <w:sz w:val="18"/>
          <w:szCs w:val="18"/>
          <w:lang w:val="es-ES_tradnl"/>
        </w:rPr>
        <w:t>ó</w:t>
      </w:r>
      <w:r>
        <w:rPr>
          <w:spacing w:val="-4"/>
          <w:sz w:val="18"/>
          <w:szCs w:val="18"/>
          <w:lang w:val="es-ES_tradnl"/>
        </w:rPr>
        <w:t xml:space="preserve">n, y en </w:t>
      </w:r>
      <w:r>
        <w:rPr>
          <w:spacing w:val="-5"/>
          <w:sz w:val="18"/>
          <w:szCs w:val="18"/>
          <w:lang w:val="es-ES_tradnl"/>
        </w:rPr>
        <w:t>el informe emitido por el capit</w:t>
      </w:r>
      <w:r>
        <w:rPr>
          <w:rFonts w:cs="Times New Roman"/>
          <w:spacing w:val="-5"/>
          <w:sz w:val="18"/>
          <w:szCs w:val="18"/>
          <w:lang w:val="es-ES_tradnl"/>
        </w:rPr>
        <w:t>á</w:t>
      </w:r>
      <w:r>
        <w:rPr>
          <w:spacing w:val="-5"/>
          <w:sz w:val="18"/>
          <w:szCs w:val="18"/>
          <w:lang w:val="es-ES_tradnl"/>
        </w:rPr>
        <w:t xml:space="preserve">n Wilson Toro, en calidad </w:t>
      </w:r>
      <w:r>
        <w:rPr>
          <w:spacing w:val="-6"/>
          <w:sz w:val="18"/>
          <w:szCs w:val="18"/>
          <w:lang w:val="es-ES_tradnl"/>
        </w:rPr>
        <w:t>de asesor jur</w:t>
      </w:r>
      <w:r>
        <w:rPr>
          <w:rFonts w:cs="Times New Roman"/>
          <w:spacing w:val="-6"/>
          <w:sz w:val="18"/>
          <w:szCs w:val="18"/>
          <w:lang w:val="es-ES_tradnl"/>
        </w:rPr>
        <w:t>í</w:t>
      </w:r>
      <w:r>
        <w:rPr>
          <w:spacing w:val="-6"/>
          <w:sz w:val="18"/>
          <w:szCs w:val="18"/>
          <w:lang w:val="es-ES_tradnl"/>
        </w:rPr>
        <w:t>dico, quien se</w:t>
      </w:r>
      <w:r>
        <w:rPr>
          <w:rFonts w:cs="Times New Roman"/>
          <w:spacing w:val="-6"/>
          <w:sz w:val="18"/>
          <w:szCs w:val="18"/>
          <w:lang w:val="es-ES_tradnl"/>
        </w:rPr>
        <w:t>ñ</w:t>
      </w:r>
      <w:r>
        <w:rPr>
          <w:spacing w:val="-6"/>
          <w:sz w:val="18"/>
          <w:szCs w:val="18"/>
          <w:lang w:val="es-ES_tradnl"/>
        </w:rPr>
        <w:t>al</w:t>
      </w:r>
      <w:r>
        <w:rPr>
          <w:rFonts w:cs="Times New Roman"/>
          <w:spacing w:val="-6"/>
          <w:sz w:val="18"/>
          <w:szCs w:val="18"/>
          <w:lang w:val="es-ES_tradnl"/>
        </w:rPr>
        <w:t>ó</w:t>
      </w:r>
      <w:r>
        <w:rPr>
          <w:spacing w:val="-6"/>
          <w:sz w:val="18"/>
          <w:szCs w:val="18"/>
          <w:lang w:val="es-ES_tradnl"/>
        </w:rPr>
        <w:t xml:space="preserve"> en lo principal que el </w:t>
      </w:r>
      <w:r>
        <w:rPr>
          <w:spacing w:val="-7"/>
          <w:sz w:val="18"/>
          <w:szCs w:val="18"/>
          <w:lang w:val="es-ES_tradnl"/>
        </w:rPr>
        <w:t>requerimiento de la sanci</w:t>
      </w:r>
      <w:r>
        <w:rPr>
          <w:rFonts w:cs="Times New Roman"/>
          <w:spacing w:val="-7"/>
          <w:sz w:val="18"/>
          <w:szCs w:val="18"/>
          <w:lang w:val="es-ES_tradnl"/>
        </w:rPr>
        <w:t>ó</w:t>
      </w:r>
      <w:r>
        <w:rPr>
          <w:spacing w:val="-7"/>
          <w:sz w:val="18"/>
          <w:szCs w:val="18"/>
          <w:lang w:val="es-ES_tradnl"/>
        </w:rPr>
        <w:t xml:space="preserve">n corresponde a </w:t>
      </w:r>
      <w:r>
        <w:rPr>
          <w:rFonts w:cs="Times New Roman"/>
          <w:spacing w:val="-7"/>
          <w:sz w:val="18"/>
          <w:szCs w:val="18"/>
          <w:lang w:val="es-ES_tradnl"/>
        </w:rPr>
        <w:t>“…</w:t>
      </w:r>
      <w:r>
        <w:rPr>
          <w:spacing w:val="-7"/>
          <w:sz w:val="18"/>
          <w:szCs w:val="18"/>
          <w:lang w:val="es-ES_tradnl"/>
        </w:rPr>
        <w:t xml:space="preserve">no haber </w:t>
      </w:r>
      <w:r>
        <w:rPr>
          <w:spacing w:val="-8"/>
          <w:sz w:val="18"/>
          <w:szCs w:val="18"/>
          <w:lang w:val="es-ES_tradnl"/>
        </w:rPr>
        <w:t>obtenido la nota m</w:t>
      </w:r>
      <w:r>
        <w:rPr>
          <w:rFonts w:cs="Times New Roman"/>
          <w:spacing w:val="-8"/>
          <w:sz w:val="18"/>
          <w:szCs w:val="18"/>
          <w:lang w:val="es-ES_tradnl"/>
        </w:rPr>
        <w:t>í</w:t>
      </w:r>
      <w:r>
        <w:rPr>
          <w:spacing w:val="-8"/>
          <w:sz w:val="18"/>
          <w:szCs w:val="18"/>
          <w:lang w:val="es-ES_tradnl"/>
        </w:rPr>
        <w:t xml:space="preserve">nima de catorce en el perfil profesional, </w:t>
      </w:r>
      <w:r>
        <w:rPr>
          <w:spacing w:val="-6"/>
          <w:sz w:val="18"/>
          <w:szCs w:val="18"/>
          <w:lang w:val="es-ES_tradnl"/>
        </w:rPr>
        <w:t>que conlleva a tener un bajo rendimiento</w:t>
      </w:r>
      <w:r>
        <w:rPr>
          <w:rFonts w:cs="Times New Roman"/>
          <w:spacing w:val="-6"/>
          <w:sz w:val="18"/>
          <w:szCs w:val="18"/>
          <w:lang w:val="es-ES_tradnl"/>
        </w:rPr>
        <w:t>”</w:t>
      </w:r>
      <w:r>
        <w:rPr>
          <w:spacing w:val="-6"/>
          <w:sz w:val="18"/>
          <w:szCs w:val="18"/>
          <w:lang w:val="es-ES_tradnl"/>
        </w:rPr>
        <w:t>.</w:t>
      </w:r>
    </w:p>
    <w:p w14:paraId="4F67A4B2" w14:textId="77777777" w:rsidR="00591D54" w:rsidRDefault="00591D54">
      <w:pPr>
        <w:shd w:val="clear" w:color="auto" w:fill="FFFFFF"/>
        <w:spacing w:before="192" w:line="216" w:lineRule="exact"/>
        <w:jc w:val="both"/>
      </w:pPr>
      <w:r>
        <w:rPr>
          <w:spacing w:val="-9"/>
          <w:sz w:val="18"/>
          <w:szCs w:val="18"/>
          <w:lang w:val="es-ES_tradnl"/>
        </w:rPr>
        <w:t xml:space="preserve">En este orden, consta en los antecedentes de la demanda </w:t>
      </w:r>
      <w:r>
        <w:rPr>
          <w:spacing w:val="-6"/>
          <w:sz w:val="18"/>
          <w:szCs w:val="18"/>
          <w:lang w:val="es-ES_tradnl"/>
        </w:rPr>
        <w:t xml:space="preserve">que el 17 de agosto de 2009, el director de la Escuela </w:t>
      </w:r>
      <w:r>
        <w:rPr>
          <w:spacing w:val="-5"/>
          <w:sz w:val="18"/>
          <w:szCs w:val="18"/>
          <w:lang w:val="es-ES_tradnl"/>
        </w:rPr>
        <w:t>Superior de Polic</w:t>
      </w:r>
      <w:r>
        <w:rPr>
          <w:rFonts w:cs="Times New Roman"/>
          <w:spacing w:val="-5"/>
          <w:sz w:val="18"/>
          <w:szCs w:val="18"/>
          <w:lang w:val="es-ES_tradnl"/>
        </w:rPr>
        <w:t>í</w:t>
      </w:r>
      <w:r>
        <w:rPr>
          <w:spacing w:val="-5"/>
          <w:sz w:val="18"/>
          <w:szCs w:val="18"/>
          <w:lang w:val="es-ES_tradnl"/>
        </w:rPr>
        <w:t>a, coronel Lino Proa</w:t>
      </w:r>
      <w:r>
        <w:rPr>
          <w:rFonts w:cs="Times New Roman"/>
          <w:spacing w:val="-5"/>
          <w:sz w:val="18"/>
          <w:szCs w:val="18"/>
          <w:lang w:val="es-ES_tradnl"/>
        </w:rPr>
        <w:t>ñ</w:t>
      </w:r>
      <w:r>
        <w:rPr>
          <w:spacing w:val="-5"/>
          <w:sz w:val="18"/>
          <w:szCs w:val="18"/>
          <w:lang w:val="es-ES_tradnl"/>
        </w:rPr>
        <w:t>o Daza, solicit</w:t>
      </w:r>
      <w:r>
        <w:rPr>
          <w:rFonts w:cs="Times New Roman"/>
          <w:spacing w:val="-5"/>
          <w:sz w:val="18"/>
          <w:szCs w:val="18"/>
          <w:lang w:val="es-ES_tradnl"/>
        </w:rPr>
        <w:t>ó</w:t>
      </w:r>
      <w:r>
        <w:rPr>
          <w:spacing w:val="-5"/>
          <w:sz w:val="18"/>
          <w:szCs w:val="18"/>
          <w:lang w:val="es-ES_tradnl"/>
        </w:rPr>
        <w:t xml:space="preserve"> al director nacional de Educaci</w:t>
      </w:r>
      <w:r>
        <w:rPr>
          <w:rFonts w:cs="Times New Roman"/>
          <w:spacing w:val="-5"/>
          <w:sz w:val="18"/>
          <w:szCs w:val="18"/>
          <w:lang w:val="es-ES_tradnl"/>
        </w:rPr>
        <w:t>ó</w:t>
      </w:r>
      <w:r>
        <w:rPr>
          <w:spacing w:val="-5"/>
          <w:sz w:val="18"/>
          <w:szCs w:val="18"/>
          <w:lang w:val="es-ES_tradnl"/>
        </w:rPr>
        <w:t>n de la Polic</w:t>
      </w:r>
      <w:r>
        <w:rPr>
          <w:rFonts w:cs="Times New Roman"/>
          <w:spacing w:val="-5"/>
          <w:sz w:val="18"/>
          <w:szCs w:val="18"/>
          <w:lang w:val="es-ES_tradnl"/>
        </w:rPr>
        <w:t>í</w:t>
      </w:r>
      <w:r>
        <w:rPr>
          <w:spacing w:val="-5"/>
          <w:sz w:val="18"/>
          <w:szCs w:val="18"/>
          <w:lang w:val="es-ES_tradnl"/>
        </w:rPr>
        <w:t xml:space="preserve">a Nacional el </w:t>
      </w:r>
      <w:r>
        <w:rPr>
          <w:spacing w:val="-6"/>
          <w:sz w:val="18"/>
          <w:szCs w:val="18"/>
          <w:lang w:val="es-ES_tradnl"/>
        </w:rPr>
        <w:t>tr</w:t>
      </w:r>
      <w:r>
        <w:rPr>
          <w:rFonts w:cs="Times New Roman"/>
          <w:spacing w:val="-6"/>
          <w:sz w:val="18"/>
          <w:szCs w:val="18"/>
          <w:lang w:val="es-ES_tradnl"/>
        </w:rPr>
        <w:t>á</w:t>
      </w:r>
      <w:r>
        <w:rPr>
          <w:spacing w:val="-6"/>
          <w:sz w:val="18"/>
          <w:szCs w:val="18"/>
          <w:lang w:val="es-ES_tradnl"/>
        </w:rPr>
        <w:t>mite pertinente previo a la imposici</w:t>
      </w:r>
      <w:r>
        <w:rPr>
          <w:rFonts w:cs="Times New Roman"/>
          <w:spacing w:val="-6"/>
          <w:sz w:val="18"/>
          <w:szCs w:val="18"/>
          <w:lang w:val="es-ES_tradnl"/>
        </w:rPr>
        <w:t>ó</w:t>
      </w:r>
      <w:r>
        <w:rPr>
          <w:spacing w:val="-6"/>
          <w:sz w:val="18"/>
          <w:szCs w:val="18"/>
          <w:lang w:val="es-ES_tradnl"/>
        </w:rPr>
        <w:t>n de la sanci</w:t>
      </w:r>
      <w:r>
        <w:rPr>
          <w:rFonts w:cs="Times New Roman"/>
          <w:spacing w:val="-6"/>
          <w:sz w:val="18"/>
          <w:szCs w:val="18"/>
          <w:lang w:val="es-ES_tradnl"/>
        </w:rPr>
        <w:t>ó</w:t>
      </w:r>
      <w:r>
        <w:rPr>
          <w:spacing w:val="-6"/>
          <w:sz w:val="18"/>
          <w:szCs w:val="18"/>
          <w:lang w:val="es-ES_tradnl"/>
        </w:rPr>
        <w:t>n. De</w:t>
      </w:r>
    </w:p>
    <w:p w14:paraId="4F67A4B3" w14:textId="77777777" w:rsidR="00591D54" w:rsidRDefault="00591D54">
      <w:pPr>
        <w:shd w:val="clear" w:color="auto" w:fill="FFFFFF"/>
        <w:spacing w:before="192" w:line="216" w:lineRule="exact"/>
        <w:jc w:val="both"/>
        <w:sectPr w:rsidR="00591D54">
          <w:type w:val="continuous"/>
          <w:pgSz w:w="11909" w:h="16834"/>
          <w:pgMar w:top="1371" w:right="1309" w:bottom="360" w:left="1308" w:header="720" w:footer="720" w:gutter="0"/>
          <w:cols w:num="2" w:space="720" w:equalWidth="0">
            <w:col w:w="4305" w:space="682"/>
            <w:col w:w="4305"/>
          </w:cols>
          <w:noEndnote/>
        </w:sectPr>
      </w:pPr>
    </w:p>
    <w:p w14:paraId="4F67A4B4" w14:textId="77777777" w:rsidR="00591D54" w:rsidRDefault="00591D54">
      <w:pPr>
        <w:shd w:val="clear" w:color="auto" w:fill="FFFFFF"/>
        <w:tabs>
          <w:tab w:val="left" w:pos="4814"/>
        </w:tabs>
        <w:spacing w:after="235"/>
        <w:ind w:left="5"/>
      </w:pPr>
      <w:r>
        <w:rPr>
          <w:b/>
          <w:bCs/>
          <w:sz w:val="18"/>
          <w:szCs w:val="18"/>
          <w:lang w:val="es-ES_tradnl"/>
        </w:rPr>
        <w:t xml:space="preserve">20 -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4B5" w14:textId="77777777" w:rsidR="00591D54" w:rsidRDefault="00591D54">
      <w:pPr>
        <w:shd w:val="clear" w:color="auto" w:fill="FFFFFF"/>
        <w:tabs>
          <w:tab w:val="left" w:pos="4814"/>
        </w:tabs>
        <w:spacing w:after="235"/>
        <w:ind w:left="5"/>
        <w:sectPr w:rsidR="00591D54">
          <w:pgSz w:w="11909" w:h="16834"/>
          <w:pgMar w:top="1368" w:right="1309" w:bottom="360" w:left="1308" w:header="720" w:footer="720" w:gutter="0"/>
          <w:cols w:space="60"/>
          <w:noEndnote/>
        </w:sectPr>
      </w:pPr>
    </w:p>
    <w:p w14:paraId="4F67A4B6" w14:textId="77777777" w:rsidR="00591D54" w:rsidRDefault="00591D54">
      <w:pPr>
        <w:shd w:val="clear" w:color="auto" w:fill="FFFFFF"/>
        <w:spacing w:line="216" w:lineRule="exact"/>
        <w:jc w:val="both"/>
      </w:pPr>
      <w:r>
        <w:rPr>
          <w:spacing w:val="-7"/>
          <w:sz w:val="18"/>
          <w:szCs w:val="18"/>
          <w:lang w:val="es-ES_tradnl"/>
        </w:rPr>
        <w:t xml:space="preserve">esta manera, afirma la accionante que en la misma fecha </w:t>
      </w:r>
      <w:r>
        <w:rPr>
          <w:spacing w:val="-9"/>
          <w:sz w:val="18"/>
          <w:szCs w:val="18"/>
          <w:lang w:val="es-ES_tradnl"/>
        </w:rPr>
        <w:t xml:space="preserve">en que se puso en conocimiento de la autoridad la presunta </w:t>
      </w:r>
      <w:r>
        <w:rPr>
          <w:spacing w:val="-7"/>
          <w:sz w:val="18"/>
          <w:szCs w:val="18"/>
          <w:lang w:val="es-ES_tradnl"/>
        </w:rPr>
        <w:t>falta disciplinaria se solicit</w:t>
      </w:r>
      <w:r>
        <w:rPr>
          <w:rFonts w:cs="Times New Roman"/>
          <w:spacing w:val="-7"/>
          <w:sz w:val="18"/>
          <w:szCs w:val="18"/>
          <w:lang w:val="es-ES_tradnl"/>
        </w:rPr>
        <w:t>ó</w:t>
      </w:r>
      <w:r>
        <w:rPr>
          <w:spacing w:val="-7"/>
          <w:sz w:val="18"/>
          <w:szCs w:val="18"/>
          <w:lang w:val="es-ES_tradnl"/>
        </w:rPr>
        <w:t xml:space="preserve"> el inicio del proceso que deriv</w:t>
      </w:r>
      <w:r>
        <w:rPr>
          <w:rFonts w:cs="Times New Roman"/>
          <w:spacing w:val="-7"/>
          <w:sz w:val="18"/>
          <w:szCs w:val="18"/>
          <w:lang w:val="es-ES_tradnl"/>
        </w:rPr>
        <w:t xml:space="preserve">ó </w:t>
      </w:r>
      <w:r>
        <w:rPr>
          <w:spacing w:val="-10"/>
          <w:sz w:val="18"/>
          <w:szCs w:val="18"/>
          <w:lang w:val="es-ES_tradnl"/>
        </w:rPr>
        <w:t>en la sanci</w:t>
      </w:r>
      <w:r>
        <w:rPr>
          <w:rFonts w:cs="Times New Roman"/>
          <w:spacing w:val="-10"/>
          <w:sz w:val="18"/>
          <w:szCs w:val="18"/>
          <w:lang w:val="es-ES_tradnl"/>
        </w:rPr>
        <w:t>ó</w:t>
      </w:r>
      <w:r>
        <w:rPr>
          <w:spacing w:val="-10"/>
          <w:sz w:val="18"/>
          <w:szCs w:val="18"/>
          <w:lang w:val="es-ES_tradnl"/>
        </w:rPr>
        <w:t>n de baja de las filas policiales, sin considerar su derecho a presentar recurso de apelaci</w:t>
      </w:r>
      <w:r>
        <w:rPr>
          <w:rFonts w:cs="Times New Roman"/>
          <w:spacing w:val="-10"/>
          <w:sz w:val="18"/>
          <w:szCs w:val="18"/>
          <w:lang w:val="es-ES_tradnl"/>
        </w:rPr>
        <w:t>ó</w:t>
      </w:r>
      <w:r>
        <w:rPr>
          <w:spacing w:val="-10"/>
          <w:sz w:val="18"/>
          <w:szCs w:val="18"/>
          <w:lang w:val="es-ES_tradnl"/>
        </w:rPr>
        <w:t xml:space="preserve">n, y que la predicha </w:t>
      </w:r>
      <w:r>
        <w:rPr>
          <w:spacing w:val="-8"/>
          <w:sz w:val="18"/>
          <w:szCs w:val="18"/>
          <w:lang w:val="es-ES_tradnl"/>
        </w:rPr>
        <w:t>sanci</w:t>
      </w:r>
      <w:r>
        <w:rPr>
          <w:rFonts w:cs="Times New Roman"/>
          <w:spacing w:val="-8"/>
          <w:sz w:val="18"/>
          <w:szCs w:val="18"/>
          <w:lang w:val="es-ES_tradnl"/>
        </w:rPr>
        <w:t>ó</w:t>
      </w:r>
      <w:r>
        <w:rPr>
          <w:spacing w:val="-8"/>
          <w:sz w:val="18"/>
          <w:szCs w:val="18"/>
          <w:lang w:val="es-ES_tradnl"/>
        </w:rPr>
        <w:t>n se fundament</w:t>
      </w:r>
      <w:r>
        <w:rPr>
          <w:rFonts w:cs="Times New Roman"/>
          <w:spacing w:val="-8"/>
          <w:sz w:val="18"/>
          <w:szCs w:val="18"/>
          <w:lang w:val="es-ES_tradnl"/>
        </w:rPr>
        <w:t>ó</w:t>
      </w:r>
      <w:r>
        <w:rPr>
          <w:spacing w:val="-8"/>
          <w:sz w:val="18"/>
          <w:szCs w:val="18"/>
          <w:lang w:val="es-ES_tradnl"/>
        </w:rPr>
        <w:t xml:space="preserve"> en dos informes emitidos al interior </w:t>
      </w:r>
      <w:r>
        <w:rPr>
          <w:sz w:val="18"/>
          <w:szCs w:val="18"/>
          <w:lang w:val="es-ES_tradnl"/>
        </w:rPr>
        <w:t>de la instituci</w:t>
      </w:r>
      <w:r>
        <w:rPr>
          <w:rFonts w:cs="Times New Roman"/>
          <w:sz w:val="18"/>
          <w:szCs w:val="18"/>
          <w:lang w:val="es-ES_tradnl"/>
        </w:rPr>
        <w:t>ó</w:t>
      </w:r>
      <w:r>
        <w:rPr>
          <w:sz w:val="18"/>
          <w:szCs w:val="18"/>
          <w:lang w:val="es-ES_tradnl"/>
        </w:rPr>
        <w:t>n policial.</w:t>
      </w:r>
    </w:p>
    <w:p w14:paraId="4F67A4B7" w14:textId="77777777" w:rsidR="00591D54" w:rsidRDefault="00591D54">
      <w:pPr>
        <w:shd w:val="clear" w:color="auto" w:fill="FFFFFF"/>
        <w:spacing w:before="197" w:line="216" w:lineRule="exact"/>
        <w:jc w:val="both"/>
      </w:pPr>
      <w:r>
        <w:rPr>
          <w:spacing w:val="-4"/>
          <w:sz w:val="18"/>
          <w:szCs w:val="18"/>
          <w:lang w:val="es-ES_tradnl"/>
        </w:rPr>
        <w:t xml:space="preserve">Sobre esta base, no se advierte de los antecedentes </w:t>
      </w:r>
      <w:r>
        <w:rPr>
          <w:spacing w:val="-7"/>
          <w:sz w:val="18"/>
          <w:szCs w:val="18"/>
          <w:lang w:val="es-ES_tradnl"/>
        </w:rPr>
        <w:t xml:space="preserve">relatados en la demanda que se hubieren incumplido las </w:t>
      </w:r>
      <w:r>
        <w:rPr>
          <w:spacing w:val="-6"/>
          <w:sz w:val="18"/>
          <w:szCs w:val="18"/>
          <w:lang w:val="es-ES_tradnl"/>
        </w:rPr>
        <w:t>obligaciones contenidas en los art</w:t>
      </w:r>
      <w:r>
        <w:rPr>
          <w:rFonts w:cs="Times New Roman"/>
          <w:spacing w:val="-6"/>
          <w:sz w:val="18"/>
          <w:szCs w:val="18"/>
          <w:lang w:val="es-ES_tradnl"/>
        </w:rPr>
        <w:t>í</w:t>
      </w:r>
      <w:r>
        <w:rPr>
          <w:spacing w:val="-6"/>
          <w:sz w:val="18"/>
          <w:szCs w:val="18"/>
          <w:lang w:val="es-ES_tradnl"/>
        </w:rPr>
        <w:t xml:space="preserve">culos 37, 66 y 68 del </w:t>
      </w:r>
      <w:r>
        <w:rPr>
          <w:spacing w:val="-4"/>
          <w:sz w:val="18"/>
          <w:szCs w:val="18"/>
          <w:lang w:val="es-ES_tradnl"/>
        </w:rPr>
        <w:t xml:space="preserve">Reglamento Disciplinario para la Escuela Superior de </w:t>
      </w:r>
      <w:r>
        <w:rPr>
          <w:spacing w:val="-5"/>
          <w:sz w:val="18"/>
          <w:szCs w:val="18"/>
          <w:lang w:val="es-ES_tradnl"/>
        </w:rPr>
        <w:t>Polic</w:t>
      </w:r>
      <w:r>
        <w:rPr>
          <w:rFonts w:cs="Times New Roman"/>
          <w:spacing w:val="-5"/>
          <w:sz w:val="18"/>
          <w:szCs w:val="18"/>
          <w:lang w:val="es-ES_tradnl"/>
        </w:rPr>
        <w:t>í</w:t>
      </w:r>
      <w:r>
        <w:rPr>
          <w:spacing w:val="-5"/>
          <w:sz w:val="18"/>
          <w:szCs w:val="18"/>
          <w:lang w:val="es-ES_tradnl"/>
        </w:rPr>
        <w:t>a, Alberto Enr</w:t>
      </w:r>
      <w:r>
        <w:rPr>
          <w:rFonts w:cs="Times New Roman"/>
          <w:spacing w:val="-5"/>
          <w:sz w:val="18"/>
          <w:szCs w:val="18"/>
          <w:lang w:val="es-ES_tradnl"/>
        </w:rPr>
        <w:t>í</w:t>
      </w:r>
      <w:r>
        <w:rPr>
          <w:spacing w:val="-5"/>
          <w:sz w:val="18"/>
          <w:szCs w:val="18"/>
          <w:lang w:val="es-ES_tradnl"/>
        </w:rPr>
        <w:t xml:space="preserve">quez Gallo, por cuanto la accionante </w:t>
      </w:r>
      <w:r>
        <w:rPr>
          <w:spacing w:val="-7"/>
          <w:sz w:val="18"/>
          <w:szCs w:val="18"/>
          <w:lang w:val="es-ES_tradnl"/>
        </w:rPr>
        <w:t>no hace referencia a que la sanci</w:t>
      </w:r>
      <w:r>
        <w:rPr>
          <w:rFonts w:cs="Times New Roman"/>
          <w:spacing w:val="-7"/>
          <w:sz w:val="18"/>
          <w:szCs w:val="18"/>
          <w:lang w:val="es-ES_tradnl"/>
        </w:rPr>
        <w:t>ó</w:t>
      </w:r>
      <w:r>
        <w:rPr>
          <w:spacing w:val="-7"/>
          <w:sz w:val="18"/>
          <w:szCs w:val="18"/>
          <w:lang w:val="es-ES_tradnl"/>
        </w:rPr>
        <w:t xml:space="preserve">n de baja de las filas </w:t>
      </w:r>
      <w:r>
        <w:rPr>
          <w:spacing w:val="-6"/>
          <w:sz w:val="18"/>
          <w:szCs w:val="18"/>
          <w:lang w:val="es-ES_tradnl"/>
        </w:rPr>
        <w:t xml:space="preserve">policiales sea desproporcionada frente a la falta de bajo </w:t>
      </w:r>
      <w:r>
        <w:rPr>
          <w:spacing w:val="-9"/>
          <w:sz w:val="18"/>
          <w:szCs w:val="18"/>
          <w:lang w:val="es-ES_tradnl"/>
        </w:rPr>
        <w:t>rendimiento profesional y no consta ninguna menci</w:t>
      </w:r>
      <w:r>
        <w:rPr>
          <w:rFonts w:cs="Times New Roman"/>
          <w:spacing w:val="-9"/>
          <w:sz w:val="18"/>
          <w:szCs w:val="18"/>
          <w:lang w:val="es-ES_tradnl"/>
        </w:rPr>
        <w:t>ó</w:t>
      </w:r>
      <w:r>
        <w:rPr>
          <w:spacing w:val="-9"/>
          <w:sz w:val="18"/>
          <w:szCs w:val="18"/>
          <w:lang w:val="es-ES_tradnl"/>
        </w:rPr>
        <w:t xml:space="preserve">n a que </w:t>
      </w:r>
      <w:r>
        <w:rPr>
          <w:spacing w:val="-8"/>
          <w:sz w:val="18"/>
          <w:szCs w:val="18"/>
          <w:lang w:val="es-ES_tradnl"/>
        </w:rPr>
        <w:t xml:space="preserve">las autoridades hubieren proferido expresiones injuriosas o </w:t>
      </w:r>
      <w:r>
        <w:rPr>
          <w:sz w:val="18"/>
          <w:szCs w:val="18"/>
          <w:lang w:val="es-ES_tradnl"/>
        </w:rPr>
        <w:t>denigrantes.</w:t>
      </w:r>
    </w:p>
    <w:p w14:paraId="4F67A4B8" w14:textId="77777777" w:rsidR="00591D54" w:rsidRDefault="00591D54">
      <w:pPr>
        <w:shd w:val="clear" w:color="auto" w:fill="FFFFFF"/>
        <w:spacing w:before="197" w:line="216" w:lineRule="exact"/>
        <w:jc w:val="both"/>
      </w:pPr>
      <w:r>
        <w:rPr>
          <w:spacing w:val="-6"/>
          <w:sz w:val="18"/>
          <w:szCs w:val="18"/>
          <w:lang w:val="es-ES_tradnl"/>
        </w:rPr>
        <w:t xml:space="preserve">De la misma manera, no se evidencia que la citada falta </w:t>
      </w:r>
      <w:r>
        <w:rPr>
          <w:spacing w:val="-5"/>
          <w:sz w:val="18"/>
          <w:szCs w:val="18"/>
          <w:lang w:val="es-ES_tradnl"/>
        </w:rPr>
        <w:t xml:space="preserve">hubiere sido reprimida dos veces o que por dicha falta </w:t>
      </w:r>
      <w:r>
        <w:rPr>
          <w:spacing w:val="-8"/>
          <w:sz w:val="18"/>
          <w:szCs w:val="18"/>
          <w:lang w:val="es-ES_tradnl"/>
        </w:rPr>
        <w:t>hubiere sido necesario recurrir a la acumulaci</w:t>
      </w:r>
      <w:r>
        <w:rPr>
          <w:rFonts w:cs="Times New Roman"/>
          <w:spacing w:val="-8"/>
          <w:sz w:val="18"/>
          <w:szCs w:val="18"/>
          <w:lang w:val="es-ES_tradnl"/>
        </w:rPr>
        <w:t>ó</w:t>
      </w:r>
      <w:r>
        <w:rPr>
          <w:spacing w:val="-8"/>
          <w:sz w:val="18"/>
          <w:szCs w:val="18"/>
          <w:lang w:val="es-ES_tradnl"/>
        </w:rPr>
        <w:t xml:space="preserve">n de penas, </w:t>
      </w:r>
      <w:r>
        <w:rPr>
          <w:spacing w:val="-7"/>
          <w:sz w:val="18"/>
          <w:szCs w:val="18"/>
          <w:lang w:val="es-ES_tradnl"/>
        </w:rPr>
        <w:t xml:space="preserve">sino que a </w:t>
      </w:r>
      <w:r>
        <w:rPr>
          <w:i/>
          <w:iCs/>
          <w:spacing w:val="-7"/>
          <w:sz w:val="18"/>
          <w:szCs w:val="18"/>
          <w:lang w:val="es-ES_tradnl"/>
        </w:rPr>
        <w:t>contrario sensu</w:t>
      </w:r>
      <w:r>
        <w:rPr>
          <w:spacing w:val="-7"/>
          <w:sz w:val="18"/>
          <w:szCs w:val="18"/>
          <w:lang w:val="es-ES_tradnl"/>
        </w:rPr>
        <w:t xml:space="preserve">, la accionante establece en su </w:t>
      </w:r>
      <w:r>
        <w:rPr>
          <w:spacing w:val="-8"/>
          <w:sz w:val="18"/>
          <w:szCs w:val="18"/>
          <w:lang w:val="es-ES_tradnl"/>
        </w:rPr>
        <w:t>demanda circunstancias f</w:t>
      </w:r>
      <w:r>
        <w:rPr>
          <w:rFonts w:cs="Times New Roman"/>
          <w:spacing w:val="-8"/>
          <w:sz w:val="18"/>
          <w:szCs w:val="18"/>
          <w:lang w:val="es-ES_tradnl"/>
        </w:rPr>
        <w:t>á</w:t>
      </w:r>
      <w:r>
        <w:rPr>
          <w:spacing w:val="-8"/>
          <w:sz w:val="18"/>
          <w:szCs w:val="18"/>
          <w:lang w:val="es-ES_tradnl"/>
        </w:rPr>
        <w:t>cticas que no se relacionan con las normas jur</w:t>
      </w:r>
      <w:r>
        <w:rPr>
          <w:rFonts w:cs="Times New Roman"/>
          <w:spacing w:val="-8"/>
          <w:sz w:val="18"/>
          <w:szCs w:val="18"/>
          <w:lang w:val="es-ES_tradnl"/>
        </w:rPr>
        <w:t>í</w:t>
      </w:r>
      <w:r>
        <w:rPr>
          <w:spacing w:val="-8"/>
          <w:sz w:val="18"/>
          <w:szCs w:val="18"/>
          <w:lang w:val="es-ES_tradnl"/>
        </w:rPr>
        <w:t xml:space="preserve">dicas demandadas y que se orientan a que </w:t>
      </w:r>
      <w:r>
        <w:rPr>
          <w:spacing w:val="-7"/>
          <w:sz w:val="18"/>
          <w:szCs w:val="18"/>
          <w:lang w:val="es-ES_tradnl"/>
        </w:rPr>
        <w:t>esta Corte Constitucional se aleje de la naturaleza jur</w:t>
      </w:r>
      <w:r>
        <w:rPr>
          <w:rFonts w:cs="Times New Roman"/>
          <w:spacing w:val="-7"/>
          <w:sz w:val="18"/>
          <w:szCs w:val="18"/>
          <w:lang w:val="es-ES_tradnl"/>
        </w:rPr>
        <w:t>í</w:t>
      </w:r>
      <w:r>
        <w:rPr>
          <w:spacing w:val="-7"/>
          <w:sz w:val="18"/>
          <w:szCs w:val="18"/>
          <w:lang w:val="es-ES_tradnl"/>
        </w:rPr>
        <w:t xml:space="preserve">dica </w:t>
      </w:r>
      <w:r>
        <w:rPr>
          <w:spacing w:val="-5"/>
          <w:sz w:val="18"/>
          <w:szCs w:val="18"/>
          <w:lang w:val="es-ES_tradnl"/>
        </w:rPr>
        <w:t>de la garant</w:t>
      </w:r>
      <w:r>
        <w:rPr>
          <w:rFonts w:cs="Times New Roman"/>
          <w:spacing w:val="-5"/>
          <w:sz w:val="18"/>
          <w:szCs w:val="18"/>
          <w:lang w:val="es-ES_tradnl"/>
        </w:rPr>
        <w:t>í</w:t>
      </w:r>
      <w:r>
        <w:rPr>
          <w:spacing w:val="-5"/>
          <w:sz w:val="18"/>
          <w:szCs w:val="18"/>
          <w:lang w:val="es-ES_tradnl"/>
        </w:rPr>
        <w:t>a de acci</w:t>
      </w:r>
      <w:r>
        <w:rPr>
          <w:rFonts w:cs="Times New Roman"/>
          <w:spacing w:val="-5"/>
          <w:sz w:val="18"/>
          <w:szCs w:val="18"/>
          <w:lang w:val="es-ES_tradnl"/>
        </w:rPr>
        <w:t>ó</w:t>
      </w:r>
      <w:r>
        <w:rPr>
          <w:spacing w:val="-5"/>
          <w:sz w:val="18"/>
          <w:szCs w:val="18"/>
          <w:lang w:val="es-ES_tradnl"/>
        </w:rPr>
        <w:t>n por incumplimiento y revise la legalidad o ilegalidad de la decisi</w:t>
      </w:r>
      <w:r>
        <w:rPr>
          <w:rFonts w:cs="Times New Roman"/>
          <w:spacing w:val="-5"/>
          <w:sz w:val="18"/>
          <w:szCs w:val="18"/>
          <w:lang w:val="es-ES_tradnl"/>
        </w:rPr>
        <w:t>ó</w:t>
      </w:r>
      <w:r>
        <w:rPr>
          <w:spacing w:val="-5"/>
          <w:sz w:val="18"/>
          <w:szCs w:val="18"/>
          <w:lang w:val="es-ES_tradnl"/>
        </w:rPr>
        <w:t xml:space="preserve">n administrativa y, por </w:t>
      </w:r>
      <w:r>
        <w:rPr>
          <w:sz w:val="18"/>
          <w:szCs w:val="18"/>
          <w:lang w:val="es-ES_tradnl"/>
        </w:rPr>
        <w:t>tanto, se revea la sanci</w:t>
      </w:r>
      <w:r>
        <w:rPr>
          <w:rFonts w:cs="Times New Roman"/>
          <w:sz w:val="18"/>
          <w:szCs w:val="18"/>
          <w:lang w:val="es-ES_tradnl"/>
        </w:rPr>
        <w:t>ó</w:t>
      </w:r>
      <w:r>
        <w:rPr>
          <w:sz w:val="18"/>
          <w:szCs w:val="18"/>
          <w:lang w:val="es-ES_tradnl"/>
        </w:rPr>
        <w:t>n.</w:t>
      </w:r>
    </w:p>
    <w:p w14:paraId="4F67A4B9" w14:textId="77777777" w:rsidR="00591D54" w:rsidRDefault="00591D54">
      <w:pPr>
        <w:shd w:val="clear" w:color="auto" w:fill="FFFFFF"/>
        <w:spacing w:before="192" w:line="216" w:lineRule="exact"/>
        <w:ind w:right="5"/>
        <w:jc w:val="both"/>
      </w:pPr>
      <w:r>
        <w:rPr>
          <w:spacing w:val="-6"/>
          <w:sz w:val="18"/>
          <w:szCs w:val="18"/>
          <w:lang w:val="es-ES_tradnl"/>
        </w:rPr>
        <w:t>En m</w:t>
      </w:r>
      <w:r>
        <w:rPr>
          <w:rFonts w:cs="Times New Roman"/>
          <w:spacing w:val="-6"/>
          <w:sz w:val="18"/>
          <w:szCs w:val="18"/>
          <w:lang w:val="es-ES_tradnl"/>
        </w:rPr>
        <w:t>é</w:t>
      </w:r>
      <w:r>
        <w:rPr>
          <w:spacing w:val="-6"/>
          <w:sz w:val="18"/>
          <w:szCs w:val="18"/>
          <w:lang w:val="es-ES_tradnl"/>
        </w:rPr>
        <w:t xml:space="preserve">rito de lo expuesto y habiendo analizado las </w:t>
      </w:r>
      <w:r>
        <w:rPr>
          <w:spacing w:val="-10"/>
          <w:sz w:val="18"/>
          <w:szCs w:val="18"/>
          <w:lang w:val="es-ES_tradnl"/>
        </w:rPr>
        <w:t xml:space="preserve">particularidades del caso concreto, esta Corte Constitucional </w:t>
      </w:r>
      <w:r>
        <w:rPr>
          <w:spacing w:val="-9"/>
          <w:sz w:val="18"/>
          <w:szCs w:val="18"/>
          <w:lang w:val="es-ES_tradnl"/>
        </w:rPr>
        <w:t>estima que el comandante general de la Polic</w:t>
      </w:r>
      <w:r>
        <w:rPr>
          <w:rFonts w:cs="Times New Roman"/>
          <w:spacing w:val="-9"/>
          <w:sz w:val="18"/>
          <w:szCs w:val="18"/>
          <w:lang w:val="es-ES_tradnl"/>
        </w:rPr>
        <w:t>í</w:t>
      </w:r>
      <w:r>
        <w:rPr>
          <w:spacing w:val="-9"/>
          <w:sz w:val="18"/>
          <w:szCs w:val="18"/>
          <w:lang w:val="es-ES_tradnl"/>
        </w:rPr>
        <w:t xml:space="preserve">a Nacional no </w:t>
      </w:r>
      <w:r>
        <w:rPr>
          <w:spacing w:val="-8"/>
          <w:sz w:val="18"/>
          <w:szCs w:val="18"/>
          <w:lang w:val="es-ES_tradnl"/>
        </w:rPr>
        <w:t>ha incumplido con los art</w:t>
      </w:r>
      <w:r>
        <w:rPr>
          <w:rFonts w:cs="Times New Roman"/>
          <w:spacing w:val="-8"/>
          <w:sz w:val="18"/>
          <w:szCs w:val="18"/>
          <w:lang w:val="es-ES_tradnl"/>
        </w:rPr>
        <w:t>í</w:t>
      </w:r>
      <w:r>
        <w:rPr>
          <w:spacing w:val="-8"/>
          <w:sz w:val="18"/>
          <w:szCs w:val="18"/>
          <w:lang w:val="es-ES_tradnl"/>
        </w:rPr>
        <w:t xml:space="preserve">culos 37, 66 y 68 del Reglamento </w:t>
      </w:r>
      <w:r>
        <w:rPr>
          <w:spacing w:val="-5"/>
          <w:sz w:val="18"/>
          <w:szCs w:val="18"/>
          <w:lang w:val="es-ES_tradnl"/>
        </w:rPr>
        <w:t>Disciplinario para la Escuela Superior de Polic</w:t>
      </w:r>
      <w:r>
        <w:rPr>
          <w:rFonts w:cs="Times New Roman"/>
          <w:spacing w:val="-5"/>
          <w:sz w:val="18"/>
          <w:szCs w:val="18"/>
          <w:lang w:val="es-ES_tradnl"/>
        </w:rPr>
        <w:t>í</w:t>
      </w:r>
      <w:r>
        <w:rPr>
          <w:spacing w:val="-5"/>
          <w:sz w:val="18"/>
          <w:szCs w:val="18"/>
          <w:lang w:val="es-ES_tradnl"/>
        </w:rPr>
        <w:t xml:space="preserve">a, Alberto </w:t>
      </w:r>
      <w:r>
        <w:rPr>
          <w:sz w:val="18"/>
          <w:szCs w:val="18"/>
          <w:lang w:val="es-ES_tradnl"/>
        </w:rPr>
        <w:t>Enr</w:t>
      </w:r>
      <w:r>
        <w:rPr>
          <w:rFonts w:cs="Times New Roman"/>
          <w:sz w:val="18"/>
          <w:szCs w:val="18"/>
          <w:lang w:val="es-ES_tradnl"/>
        </w:rPr>
        <w:t>í</w:t>
      </w:r>
      <w:r>
        <w:rPr>
          <w:sz w:val="18"/>
          <w:szCs w:val="18"/>
          <w:lang w:val="es-ES_tradnl"/>
        </w:rPr>
        <w:t>quez Gallo.</w:t>
      </w:r>
    </w:p>
    <w:p w14:paraId="4F67A4BA" w14:textId="77777777" w:rsidR="00591D54" w:rsidRDefault="00591D54">
      <w:pPr>
        <w:shd w:val="clear" w:color="auto" w:fill="FFFFFF"/>
        <w:spacing w:before="192"/>
        <w:ind w:right="5"/>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A4BB" w14:textId="77777777" w:rsidR="00591D54" w:rsidRDefault="00591D54">
      <w:pPr>
        <w:shd w:val="clear" w:color="auto" w:fill="FFFFFF"/>
        <w:spacing w:before="192" w:line="216" w:lineRule="exact"/>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5"/>
          <w:sz w:val="18"/>
          <w:szCs w:val="18"/>
          <w:lang w:val="es-ES_tradnl"/>
        </w:rPr>
        <w:t>constitucional y por mandato de la Constituci</w:t>
      </w:r>
      <w:r>
        <w:rPr>
          <w:rFonts w:cs="Times New Roman"/>
          <w:spacing w:val="-5"/>
          <w:sz w:val="18"/>
          <w:szCs w:val="18"/>
          <w:lang w:val="es-ES_tradnl"/>
        </w:rPr>
        <w:t>ó</w:t>
      </w:r>
      <w:r>
        <w:rPr>
          <w:spacing w:val="-5"/>
          <w:sz w:val="18"/>
          <w:szCs w:val="18"/>
          <w:lang w:val="es-ES_tradnl"/>
        </w:rPr>
        <w:t xml:space="preserve">n de la </w:t>
      </w:r>
      <w:r>
        <w:rPr>
          <w:spacing w:val="-6"/>
          <w:sz w:val="18"/>
          <w:szCs w:val="18"/>
          <w:lang w:val="es-ES_tradnl"/>
        </w:rPr>
        <w:t>Rep</w:t>
      </w:r>
      <w:r>
        <w:rPr>
          <w:rFonts w:cs="Times New Roman"/>
          <w:spacing w:val="-6"/>
          <w:sz w:val="18"/>
          <w:szCs w:val="18"/>
          <w:lang w:val="es-ES_tradnl"/>
        </w:rPr>
        <w:t>ú</w:t>
      </w:r>
      <w:r>
        <w:rPr>
          <w:spacing w:val="-6"/>
          <w:sz w:val="18"/>
          <w:szCs w:val="18"/>
          <w:lang w:val="es-ES_tradnl"/>
        </w:rPr>
        <w:t xml:space="preserve">blica del Ecuador, la Corte Constitucional expide la </w:t>
      </w:r>
      <w:r>
        <w:rPr>
          <w:sz w:val="18"/>
          <w:szCs w:val="18"/>
          <w:lang w:val="es-ES_tradnl"/>
        </w:rPr>
        <w:t>siguiente:</w:t>
      </w:r>
    </w:p>
    <w:p w14:paraId="4F67A4BC" w14:textId="77777777" w:rsidR="00591D54" w:rsidRDefault="00591D54">
      <w:pPr>
        <w:shd w:val="clear" w:color="auto" w:fill="FFFFFF"/>
        <w:spacing w:before="187"/>
        <w:ind w:left="5"/>
        <w:jc w:val="center"/>
      </w:pPr>
      <w:r>
        <w:rPr>
          <w:b/>
          <w:bCs/>
          <w:sz w:val="18"/>
          <w:szCs w:val="18"/>
          <w:lang w:val="es-ES_tradnl"/>
        </w:rPr>
        <w:t>SENTENCIA</w:t>
      </w:r>
    </w:p>
    <w:p w14:paraId="4F67A4BD" w14:textId="77777777" w:rsidR="00591D54" w:rsidRDefault="00591D54" w:rsidP="00251195">
      <w:pPr>
        <w:numPr>
          <w:ilvl w:val="0"/>
          <w:numId w:val="20"/>
        </w:numPr>
        <w:shd w:val="clear" w:color="auto" w:fill="FFFFFF"/>
        <w:tabs>
          <w:tab w:val="left" w:pos="566"/>
        </w:tabs>
        <w:spacing w:before="197" w:line="216" w:lineRule="exact"/>
        <w:ind w:left="566" w:hanging="283"/>
        <w:rPr>
          <w:spacing w:val="-11"/>
          <w:sz w:val="18"/>
          <w:szCs w:val="18"/>
          <w:lang w:val="es-ES_tradnl"/>
        </w:rPr>
      </w:pPr>
      <w:r>
        <w:rPr>
          <w:sz w:val="18"/>
          <w:szCs w:val="18"/>
          <w:lang w:val="es-ES_tradnl"/>
        </w:rPr>
        <w:t>Declarar que no existe vulneraci</w:t>
      </w:r>
      <w:r>
        <w:rPr>
          <w:rFonts w:cs="Times New Roman"/>
          <w:sz w:val="18"/>
          <w:szCs w:val="18"/>
          <w:lang w:val="es-ES_tradnl"/>
        </w:rPr>
        <w:t>ó</w:t>
      </w:r>
      <w:r>
        <w:rPr>
          <w:sz w:val="18"/>
          <w:szCs w:val="18"/>
          <w:lang w:val="es-ES_tradnl"/>
        </w:rPr>
        <w:t>n a derechos constitucionales.</w:t>
      </w:r>
    </w:p>
    <w:p w14:paraId="4F67A4BE" w14:textId="77777777" w:rsidR="00591D54" w:rsidRDefault="00591D54" w:rsidP="00251195">
      <w:pPr>
        <w:numPr>
          <w:ilvl w:val="0"/>
          <w:numId w:val="20"/>
        </w:numPr>
        <w:shd w:val="clear" w:color="auto" w:fill="FFFFFF"/>
        <w:tabs>
          <w:tab w:val="left" w:pos="566"/>
        </w:tabs>
        <w:spacing w:before="34" w:line="427" w:lineRule="exact"/>
        <w:ind w:left="283"/>
        <w:rPr>
          <w:spacing w:val="-11"/>
          <w:sz w:val="18"/>
          <w:szCs w:val="18"/>
          <w:lang w:val="es-ES_tradnl"/>
        </w:rPr>
      </w:pPr>
      <w:r>
        <w:rPr>
          <w:spacing w:val="-6"/>
          <w:sz w:val="18"/>
          <w:szCs w:val="18"/>
          <w:lang w:val="es-ES_tradnl"/>
        </w:rPr>
        <w:t>Negar la acci</w:t>
      </w:r>
      <w:r>
        <w:rPr>
          <w:rFonts w:cs="Times New Roman"/>
          <w:spacing w:val="-6"/>
          <w:sz w:val="18"/>
          <w:szCs w:val="18"/>
          <w:lang w:val="es-ES_tradnl"/>
        </w:rPr>
        <w:t>ó</w:t>
      </w:r>
      <w:r>
        <w:rPr>
          <w:spacing w:val="-6"/>
          <w:sz w:val="18"/>
          <w:szCs w:val="18"/>
          <w:lang w:val="es-ES_tradnl"/>
        </w:rPr>
        <w:t>n por incumplimiento planteada.</w:t>
      </w:r>
    </w:p>
    <w:p w14:paraId="4F67A4BF" w14:textId="77777777" w:rsidR="00591D54" w:rsidRDefault="00591D54">
      <w:pPr>
        <w:shd w:val="clear" w:color="auto" w:fill="FFFFFF"/>
        <w:tabs>
          <w:tab w:val="left" w:pos="566"/>
        </w:tabs>
        <w:spacing w:line="427" w:lineRule="exact"/>
        <w:ind w:right="979" w:firstLine="283"/>
      </w:pPr>
      <w:r>
        <w:rPr>
          <w:spacing w:val="-11"/>
          <w:sz w:val="18"/>
          <w:szCs w:val="18"/>
          <w:lang w:val="es-ES_tradnl"/>
        </w:rPr>
        <w:t>3.</w:t>
      </w:r>
      <w:r>
        <w:rPr>
          <w:sz w:val="18"/>
          <w:szCs w:val="18"/>
          <w:lang w:val="es-ES_tradnl"/>
        </w:rPr>
        <w:tab/>
      </w:r>
      <w:r>
        <w:rPr>
          <w:spacing w:val="-8"/>
          <w:sz w:val="18"/>
          <w:szCs w:val="18"/>
          <w:lang w:val="es-ES_tradnl"/>
        </w:rPr>
        <w:t>Notif</w:t>
      </w:r>
      <w:r>
        <w:rPr>
          <w:rFonts w:cs="Times New Roman"/>
          <w:spacing w:val="-8"/>
          <w:sz w:val="18"/>
          <w:szCs w:val="18"/>
          <w:lang w:val="es-ES_tradnl"/>
        </w:rPr>
        <w:t>í</w:t>
      </w:r>
      <w:r>
        <w:rPr>
          <w:spacing w:val="-8"/>
          <w:sz w:val="18"/>
          <w:szCs w:val="18"/>
          <w:lang w:val="es-ES_tradnl"/>
        </w:rPr>
        <w:t>quese, publ</w:t>
      </w:r>
      <w:r>
        <w:rPr>
          <w:rFonts w:cs="Times New Roman"/>
          <w:spacing w:val="-8"/>
          <w:sz w:val="18"/>
          <w:szCs w:val="18"/>
          <w:lang w:val="es-ES_tradnl"/>
        </w:rPr>
        <w:t>í</w:t>
      </w:r>
      <w:r>
        <w:rPr>
          <w:spacing w:val="-8"/>
          <w:sz w:val="18"/>
          <w:szCs w:val="18"/>
          <w:lang w:val="es-ES_tradnl"/>
        </w:rPr>
        <w:t>quese y c</w:t>
      </w:r>
      <w:r>
        <w:rPr>
          <w:rFonts w:cs="Times New Roman"/>
          <w:spacing w:val="-8"/>
          <w:sz w:val="18"/>
          <w:szCs w:val="18"/>
          <w:lang w:val="es-ES_tradnl"/>
        </w:rPr>
        <w:t>ú</w:t>
      </w:r>
      <w:r>
        <w:rPr>
          <w:spacing w:val="-8"/>
          <w:sz w:val="18"/>
          <w:szCs w:val="18"/>
          <w:lang w:val="es-ES_tradnl"/>
        </w:rPr>
        <w:t>mplase. </w:t>
      </w:r>
      <w:r>
        <w:rPr>
          <w:spacing w:val="-5"/>
          <w:sz w:val="18"/>
          <w:szCs w:val="18"/>
          <w:lang w:val="es-ES_tradnl"/>
        </w:rPr>
        <w:t>f.) Patricio Pazmi</w:t>
      </w:r>
      <w:r>
        <w:rPr>
          <w:rFonts w:cs="Times New Roman"/>
          <w:spacing w:val="-5"/>
          <w:sz w:val="18"/>
          <w:szCs w:val="18"/>
          <w:lang w:val="es-ES_tradnl"/>
        </w:rPr>
        <w:t>ñ</w:t>
      </w:r>
      <w:r>
        <w:rPr>
          <w:spacing w:val="-5"/>
          <w:sz w:val="18"/>
          <w:szCs w:val="18"/>
          <w:lang w:val="es-ES_tradnl"/>
        </w:rPr>
        <w:t xml:space="preserve">o Freire, </w:t>
      </w:r>
      <w:r>
        <w:rPr>
          <w:b/>
          <w:bCs/>
          <w:spacing w:val="-5"/>
          <w:sz w:val="18"/>
          <w:szCs w:val="18"/>
          <w:lang w:val="es-ES_tradnl"/>
        </w:rPr>
        <w:t>PRESIDENTE.</w:t>
      </w:r>
    </w:p>
    <w:p w14:paraId="4F67A4C0" w14:textId="77777777" w:rsidR="00591D54" w:rsidRDefault="00591D54">
      <w:pPr>
        <w:shd w:val="clear" w:color="auto" w:fill="FFFFFF"/>
        <w:spacing w:line="427" w:lineRule="exact"/>
      </w:pPr>
      <w:r>
        <w:rPr>
          <w:spacing w:val="-4"/>
          <w:sz w:val="18"/>
          <w:szCs w:val="18"/>
          <w:lang w:val="es-ES_tradnl"/>
        </w:rPr>
        <w:t xml:space="preserve">f.) Jaime Pozo Chamorro, </w:t>
      </w:r>
      <w:r>
        <w:rPr>
          <w:b/>
          <w:bCs/>
          <w:spacing w:val="-4"/>
          <w:sz w:val="18"/>
          <w:szCs w:val="18"/>
          <w:lang w:val="es-ES_tradnl"/>
        </w:rPr>
        <w:t>SECRETARIO GENERAL.</w:t>
      </w:r>
    </w:p>
    <w:p w14:paraId="4F67A4C1" w14:textId="77777777" w:rsidR="00591D54" w:rsidRDefault="00591D54">
      <w:pPr>
        <w:shd w:val="clear" w:color="auto" w:fill="FFFFFF"/>
        <w:spacing w:before="163" w:line="216" w:lineRule="exact"/>
        <w:jc w:val="both"/>
      </w:pPr>
      <w:r>
        <w:rPr>
          <w:b/>
          <w:bCs/>
          <w:spacing w:val="-7"/>
          <w:sz w:val="18"/>
          <w:szCs w:val="18"/>
          <w:lang w:val="es-ES_tradnl"/>
        </w:rPr>
        <w:t>Raz</w:t>
      </w:r>
      <w:r>
        <w:rPr>
          <w:rFonts w:cs="Times New Roman"/>
          <w:b/>
          <w:bCs/>
          <w:spacing w:val="-7"/>
          <w:sz w:val="18"/>
          <w:szCs w:val="18"/>
          <w:lang w:val="es-ES_tradnl"/>
        </w:rPr>
        <w:t>ó</w:t>
      </w:r>
      <w:r>
        <w:rPr>
          <w:b/>
          <w:bCs/>
          <w:spacing w:val="-7"/>
          <w:sz w:val="18"/>
          <w:szCs w:val="18"/>
          <w:lang w:val="es-ES_tradnl"/>
        </w:rPr>
        <w:t xml:space="preserve">n: </w:t>
      </w:r>
      <w:r>
        <w:rPr>
          <w:spacing w:val="-7"/>
          <w:sz w:val="18"/>
          <w:szCs w:val="18"/>
          <w:lang w:val="es-ES_tradnl"/>
        </w:rPr>
        <w:t xml:space="preserve">Siento por tal, que la sentencia que antecede fue </w:t>
      </w:r>
      <w:r>
        <w:rPr>
          <w:spacing w:val="-2"/>
          <w:sz w:val="18"/>
          <w:szCs w:val="18"/>
          <w:lang w:val="es-ES_tradnl"/>
        </w:rPr>
        <w:t xml:space="preserve">aprobada por el Pleno de la Corte Constitucional, con </w:t>
      </w:r>
      <w:r>
        <w:rPr>
          <w:spacing w:val="-10"/>
          <w:sz w:val="18"/>
          <w:szCs w:val="18"/>
          <w:lang w:val="es-ES_tradnl"/>
        </w:rPr>
        <w:t>siete votos de las se</w:t>
      </w:r>
      <w:r>
        <w:rPr>
          <w:rFonts w:cs="Times New Roman"/>
          <w:spacing w:val="-10"/>
          <w:sz w:val="18"/>
          <w:szCs w:val="18"/>
          <w:lang w:val="es-ES_tradnl"/>
        </w:rPr>
        <w:t>ñ</w:t>
      </w:r>
      <w:r>
        <w:rPr>
          <w:spacing w:val="-10"/>
          <w:sz w:val="18"/>
          <w:szCs w:val="18"/>
          <w:lang w:val="es-ES_tradnl"/>
        </w:rPr>
        <w:t>oras juezas y se</w:t>
      </w:r>
      <w:r>
        <w:rPr>
          <w:rFonts w:cs="Times New Roman"/>
          <w:spacing w:val="-10"/>
          <w:sz w:val="18"/>
          <w:szCs w:val="18"/>
          <w:lang w:val="es-ES_tradnl"/>
        </w:rPr>
        <w:t>ñ</w:t>
      </w:r>
      <w:r>
        <w:rPr>
          <w:spacing w:val="-10"/>
          <w:sz w:val="18"/>
          <w:szCs w:val="18"/>
          <w:lang w:val="es-ES_tradnl"/>
        </w:rPr>
        <w:t xml:space="preserve">ores jueces: Antonio </w:t>
      </w:r>
      <w:r>
        <w:rPr>
          <w:spacing w:val="-6"/>
          <w:sz w:val="18"/>
          <w:szCs w:val="18"/>
          <w:lang w:val="es-ES_tradnl"/>
        </w:rPr>
        <w:t>Gagliardo Loor, Mar</w:t>
      </w:r>
      <w:r>
        <w:rPr>
          <w:rFonts w:cs="Times New Roman"/>
          <w:spacing w:val="-6"/>
          <w:sz w:val="18"/>
          <w:szCs w:val="18"/>
          <w:lang w:val="es-ES_tradnl"/>
        </w:rPr>
        <w:t>í</w:t>
      </w:r>
      <w:r>
        <w:rPr>
          <w:spacing w:val="-6"/>
          <w:sz w:val="18"/>
          <w:szCs w:val="18"/>
          <w:lang w:val="es-ES_tradnl"/>
        </w:rPr>
        <w:t>a del Carmen Maldonado S</w:t>
      </w:r>
      <w:r>
        <w:rPr>
          <w:rFonts w:cs="Times New Roman"/>
          <w:spacing w:val="-6"/>
          <w:sz w:val="18"/>
          <w:szCs w:val="18"/>
          <w:lang w:val="es-ES_tradnl"/>
        </w:rPr>
        <w:t>á</w:t>
      </w:r>
      <w:r>
        <w:rPr>
          <w:spacing w:val="-6"/>
          <w:sz w:val="18"/>
          <w:szCs w:val="18"/>
          <w:lang w:val="es-ES_tradnl"/>
        </w:rPr>
        <w:t xml:space="preserve">nchez, </w:t>
      </w:r>
      <w:r>
        <w:rPr>
          <w:spacing w:val="-7"/>
          <w:sz w:val="18"/>
          <w:szCs w:val="18"/>
          <w:lang w:val="es-ES_tradnl"/>
        </w:rPr>
        <w:t>Wendy Molina Andrade, Tatiana Orde</w:t>
      </w:r>
      <w:r>
        <w:rPr>
          <w:rFonts w:cs="Times New Roman"/>
          <w:spacing w:val="-7"/>
          <w:sz w:val="18"/>
          <w:szCs w:val="18"/>
          <w:lang w:val="es-ES_tradnl"/>
        </w:rPr>
        <w:t>ñ</w:t>
      </w:r>
      <w:r>
        <w:rPr>
          <w:spacing w:val="-7"/>
          <w:sz w:val="18"/>
          <w:szCs w:val="18"/>
          <w:lang w:val="es-ES_tradnl"/>
        </w:rPr>
        <w:t xml:space="preserve">ana Sierra, Alfredo </w:t>
      </w:r>
      <w:r>
        <w:rPr>
          <w:spacing w:val="-2"/>
          <w:sz w:val="18"/>
          <w:szCs w:val="18"/>
          <w:lang w:val="es-ES_tradnl"/>
        </w:rPr>
        <w:t>Ruiz Guzm</w:t>
      </w:r>
      <w:r>
        <w:rPr>
          <w:rFonts w:cs="Times New Roman"/>
          <w:spacing w:val="-2"/>
          <w:sz w:val="18"/>
          <w:szCs w:val="18"/>
          <w:lang w:val="es-ES_tradnl"/>
        </w:rPr>
        <w:t>á</w:t>
      </w:r>
      <w:r>
        <w:rPr>
          <w:spacing w:val="-2"/>
          <w:sz w:val="18"/>
          <w:szCs w:val="18"/>
          <w:lang w:val="es-ES_tradnl"/>
        </w:rPr>
        <w:t>n, Manuel Viteri Olvera y Patricio Pazmi</w:t>
      </w:r>
      <w:r>
        <w:rPr>
          <w:rFonts w:cs="Times New Roman"/>
          <w:spacing w:val="-2"/>
          <w:sz w:val="18"/>
          <w:szCs w:val="18"/>
          <w:lang w:val="es-ES_tradnl"/>
        </w:rPr>
        <w:t>ñ</w:t>
      </w:r>
      <w:r>
        <w:rPr>
          <w:spacing w:val="-2"/>
          <w:sz w:val="18"/>
          <w:szCs w:val="18"/>
          <w:lang w:val="es-ES_tradnl"/>
        </w:rPr>
        <w:t>o</w:t>
      </w:r>
    </w:p>
    <w:p w14:paraId="4F67A4C2" w14:textId="77777777" w:rsidR="00591D54" w:rsidRDefault="00591D54">
      <w:pPr>
        <w:shd w:val="clear" w:color="auto" w:fill="FFFFFF"/>
        <w:spacing w:line="216" w:lineRule="exact"/>
        <w:jc w:val="both"/>
      </w:pPr>
      <w:r>
        <w:br w:type="column"/>
      </w:r>
      <w:r>
        <w:rPr>
          <w:spacing w:val="-6"/>
          <w:sz w:val="18"/>
          <w:szCs w:val="18"/>
          <w:lang w:val="es-ES_tradnl"/>
        </w:rPr>
        <w:t xml:space="preserve">Freire, sin contar con la presencia de los jueces Marcelo </w:t>
      </w:r>
      <w:r>
        <w:rPr>
          <w:spacing w:val="-7"/>
          <w:sz w:val="18"/>
          <w:szCs w:val="18"/>
          <w:lang w:val="es-ES_tradnl"/>
        </w:rPr>
        <w:t>Jaramillo Villa y Ruth Seni Pinoargote, en sesi</w:t>
      </w:r>
      <w:r>
        <w:rPr>
          <w:rFonts w:cs="Times New Roman"/>
          <w:spacing w:val="-7"/>
          <w:sz w:val="18"/>
          <w:szCs w:val="18"/>
          <w:lang w:val="es-ES_tradnl"/>
        </w:rPr>
        <w:t>ó</w:t>
      </w:r>
      <w:r>
        <w:rPr>
          <w:spacing w:val="-7"/>
          <w:sz w:val="18"/>
          <w:szCs w:val="18"/>
          <w:lang w:val="es-ES_tradnl"/>
        </w:rPr>
        <w:t xml:space="preserve">n del 24 de </w:t>
      </w:r>
      <w:r>
        <w:rPr>
          <w:sz w:val="18"/>
          <w:szCs w:val="18"/>
          <w:lang w:val="es-ES_tradnl"/>
        </w:rPr>
        <w:t>junio del 2015. Lo certifico.</w:t>
      </w:r>
    </w:p>
    <w:p w14:paraId="4F67A4C3" w14:textId="77777777" w:rsidR="00591D54" w:rsidRDefault="00591D54">
      <w:pPr>
        <w:shd w:val="clear" w:color="auto" w:fill="FFFFFF"/>
        <w:spacing w:before="192"/>
      </w:pPr>
      <w:r>
        <w:rPr>
          <w:spacing w:val="-4"/>
          <w:sz w:val="18"/>
          <w:szCs w:val="18"/>
          <w:lang w:val="es-ES_tradnl"/>
        </w:rPr>
        <w:t xml:space="preserve">f.) Jaime Pozo Chamorro, </w:t>
      </w:r>
      <w:r>
        <w:rPr>
          <w:b/>
          <w:bCs/>
          <w:spacing w:val="-4"/>
          <w:sz w:val="18"/>
          <w:szCs w:val="18"/>
          <w:lang w:val="es-ES_tradnl"/>
        </w:rPr>
        <w:t>SECRETARIO GENERAL.</w:t>
      </w:r>
    </w:p>
    <w:p w14:paraId="4F67A4C4" w14:textId="77777777" w:rsidR="00591D54" w:rsidRDefault="00591D54">
      <w:pPr>
        <w:shd w:val="clear" w:color="auto" w:fill="FFFFFF"/>
        <w:spacing w:before="192"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A4C5" w14:textId="77777777" w:rsidR="00591D54" w:rsidRDefault="00591D54">
      <w:pPr>
        <w:shd w:val="clear" w:color="auto" w:fill="FFFFFF"/>
        <w:spacing w:before="192"/>
      </w:pPr>
      <w:r>
        <w:rPr>
          <w:b/>
          <w:bCs/>
          <w:spacing w:val="-5"/>
          <w:sz w:val="18"/>
          <w:szCs w:val="18"/>
          <w:u w:val="single"/>
          <w:lang w:val="es-ES_tradnl"/>
        </w:rPr>
        <w:t>CASO Nro. 0022-12-AN</w:t>
      </w:r>
    </w:p>
    <w:p w14:paraId="4F67A4C6" w14:textId="77777777" w:rsidR="00591D54" w:rsidRDefault="00591D54">
      <w:pPr>
        <w:shd w:val="clear" w:color="auto" w:fill="FFFFFF"/>
        <w:spacing w:before="192" w:line="216" w:lineRule="exact"/>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w:t>
      </w:r>
      <w:r>
        <w:rPr>
          <w:spacing w:val="-7"/>
          <w:sz w:val="18"/>
          <w:szCs w:val="18"/>
          <w:lang w:val="es-ES_tradnl"/>
        </w:rPr>
        <w:t>suscrita por el Juez Patricio Pazmi</w:t>
      </w:r>
      <w:r>
        <w:rPr>
          <w:rFonts w:cs="Times New Roman"/>
          <w:spacing w:val="-7"/>
          <w:sz w:val="18"/>
          <w:szCs w:val="18"/>
          <w:lang w:val="es-ES_tradnl"/>
        </w:rPr>
        <w:t>ñ</w:t>
      </w:r>
      <w:r>
        <w:rPr>
          <w:spacing w:val="-7"/>
          <w:sz w:val="18"/>
          <w:szCs w:val="18"/>
          <w:lang w:val="es-ES_tradnl"/>
        </w:rPr>
        <w:t xml:space="preserve">o Freire, Presidente de </w:t>
      </w:r>
      <w:r>
        <w:rPr>
          <w:spacing w:val="-6"/>
          <w:sz w:val="18"/>
          <w:szCs w:val="18"/>
          <w:lang w:val="es-ES_tradnl"/>
        </w:rPr>
        <w:t>la Corte Constitucional, el d</w:t>
      </w:r>
      <w:r>
        <w:rPr>
          <w:rFonts w:cs="Times New Roman"/>
          <w:spacing w:val="-6"/>
          <w:sz w:val="18"/>
          <w:szCs w:val="18"/>
          <w:lang w:val="es-ES_tradnl"/>
        </w:rPr>
        <w:t>í</w:t>
      </w:r>
      <w:r>
        <w:rPr>
          <w:spacing w:val="-6"/>
          <w:sz w:val="18"/>
          <w:szCs w:val="18"/>
          <w:lang w:val="es-ES_tradnl"/>
        </w:rPr>
        <w:t xml:space="preserve">a lunes 07 de septiembre del </w:t>
      </w:r>
      <w:r>
        <w:rPr>
          <w:sz w:val="18"/>
          <w:szCs w:val="18"/>
          <w:lang w:val="es-ES_tradnl"/>
        </w:rPr>
        <w:t>dos mil quince.- Lo certifico.</w:t>
      </w:r>
    </w:p>
    <w:p w14:paraId="4F67A4C7" w14:textId="77777777" w:rsidR="00591D54" w:rsidRDefault="00591D54">
      <w:pPr>
        <w:shd w:val="clear" w:color="auto" w:fill="FFFFFF"/>
        <w:spacing w:before="192"/>
      </w:pPr>
      <w:r>
        <w:rPr>
          <w:spacing w:val="-7"/>
          <w:sz w:val="18"/>
          <w:szCs w:val="18"/>
          <w:lang w:val="es-ES_tradnl"/>
        </w:rPr>
        <w:t xml:space="preserve">f.) Jaime Pozo Chamorro, </w:t>
      </w:r>
      <w:r>
        <w:rPr>
          <w:b/>
          <w:bCs/>
          <w:spacing w:val="-7"/>
          <w:sz w:val="18"/>
          <w:szCs w:val="18"/>
          <w:lang w:val="es-ES_tradnl"/>
        </w:rPr>
        <w:t>Secretario General.</w:t>
      </w:r>
    </w:p>
    <w:p w14:paraId="4F67A4C8" w14:textId="77777777" w:rsidR="00591D54" w:rsidRDefault="00591D54">
      <w:pPr>
        <w:shd w:val="clear" w:color="auto" w:fill="FFFFFF"/>
        <w:spacing w:before="187"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A4C9" w14:textId="77777777" w:rsidR="00591D54" w:rsidRDefault="00591D54">
      <w:pPr>
        <w:shd w:val="clear" w:color="auto" w:fill="FFFFFF"/>
        <w:spacing w:before="1291"/>
      </w:pPr>
      <w:r>
        <w:rPr>
          <w:spacing w:val="-5"/>
          <w:sz w:val="18"/>
          <w:szCs w:val="18"/>
          <w:lang w:val="es-ES_tradnl"/>
        </w:rPr>
        <w:t>Quito, D. M., 19 de agosto del 2015</w:t>
      </w:r>
    </w:p>
    <w:p w14:paraId="4F67A4CA" w14:textId="77777777" w:rsidR="00591D54" w:rsidRDefault="00591D54">
      <w:pPr>
        <w:shd w:val="clear" w:color="auto" w:fill="FFFFFF"/>
        <w:spacing w:before="192"/>
        <w:ind w:left="826"/>
      </w:pPr>
      <w:r>
        <w:rPr>
          <w:b/>
          <w:bCs/>
          <w:spacing w:val="-2"/>
          <w:sz w:val="18"/>
          <w:szCs w:val="18"/>
          <w:u w:val="single"/>
          <w:lang w:val="es-ES_tradnl"/>
        </w:rPr>
        <w:t>SENTENCIA N.</w:t>
      </w:r>
      <w:r>
        <w:rPr>
          <w:rFonts w:cs="Times New Roman"/>
          <w:b/>
          <w:bCs/>
          <w:spacing w:val="-2"/>
          <w:sz w:val="18"/>
          <w:szCs w:val="18"/>
          <w:u w:val="single"/>
          <w:lang w:val="es-ES_tradnl"/>
        </w:rPr>
        <w:t>º</w:t>
      </w:r>
      <w:r>
        <w:rPr>
          <w:b/>
          <w:bCs/>
          <w:spacing w:val="-2"/>
          <w:sz w:val="18"/>
          <w:szCs w:val="18"/>
          <w:u w:val="single"/>
          <w:lang w:val="es-ES_tradnl"/>
        </w:rPr>
        <w:t xml:space="preserve"> 009-15-SCN-CC</w:t>
      </w:r>
    </w:p>
    <w:p w14:paraId="4F67A4CB" w14:textId="77777777" w:rsidR="00591D54" w:rsidRDefault="00591D54">
      <w:pPr>
        <w:shd w:val="clear" w:color="auto" w:fill="FFFFFF"/>
        <w:spacing w:before="192" w:line="216" w:lineRule="exact"/>
        <w:ind w:left="442" w:hanging="283"/>
      </w:pPr>
      <w:r>
        <w:rPr>
          <w:b/>
          <w:bCs/>
          <w:spacing w:val="-5"/>
          <w:sz w:val="18"/>
          <w:szCs w:val="18"/>
          <w:u w:val="single"/>
          <w:lang w:val="es-ES_tradnl"/>
        </w:rPr>
        <w:t>CASOS N.</w:t>
      </w:r>
      <w:r>
        <w:rPr>
          <w:rFonts w:cs="Times New Roman"/>
          <w:b/>
          <w:bCs/>
          <w:spacing w:val="-5"/>
          <w:sz w:val="18"/>
          <w:szCs w:val="18"/>
          <w:u w:val="single"/>
          <w:lang w:val="es-ES_tradnl"/>
        </w:rPr>
        <w:t>º</w:t>
      </w:r>
      <w:r>
        <w:rPr>
          <w:b/>
          <w:bCs/>
          <w:spacing w:val="-5"/>
          <w:sz w:val="18"/>
          <w:szCs w:val="18"/>
          <w:u w:val="single"/>
          <w:lang w:val="es-ES_tradnl"/>
        </w:rPr>
        <w:t xml:space="preserve"> 0042-09-CN, 0043-09-CN, 0007-10-CN, </w:t>
      </w:r>
      <w:r>
        <w:rPr>
          <w:b/>
          <w:bCs/>
          <w:spacing w:val="-3"/>
          <w:sz w:val="18"/>
          <w:szCs w:val="18"/>
          <w:u w:val="single"/>
          <w:lang w:val="es-ES_tradnl"/>
        </w:rPr>
        <w:t>0008-10-CN y 0009-10-CN ACUMULADOS</w:t>
      </w:r>
    </w:p>
    <w:p w14:paraId="4F67A4CC" w14:textId="77777777" w:rsidR="00591D54" w:rsidRDefault="00591D54">
      <w:pPr>
        <w:shd w:val="clear" w:color="auto" w:fill="FFFFFF"/>
        <w:spacing w:before="34" w:line="427" w:lineRule="exact"/>
        <w:ind w:left="283"/>
      </w:pPr>
      <w:r>
        <w:rPr>
          <w:b/>
          <w:bCs/>
          <w:sz w:val="18"/>
          <w:szCs w:val="18"/>
          <w:lang w:val="es-ES_tradnl"/>
        </w:rPr>
        <w:t>CORTE CONSTITUCIONAL DEL ECUADOR</w:t>
      </w:r>
    </w:p>
    <w:p w14:paraId="4F67A4CD" w14:textId="77777777" w:rsidR="00591D54" w:rsidRDefault="00591D54">
      <w:pPr>
        <w:shd w:val="clear" w:color="auto" w:fill="FFFFFF"/>
        <w:spacing w:line="427" w:lineRule="exact"/>
        <w:ind w:left="1330"/>
      </w:pPr>
      <w:r>
        <w:rPr>
          <w:b/>
          <w:bCs/>
          <w:sz w:val="18"/>
          <w:szCs w:val="18"/>
          <w:lang w:val="es-ES_tradnl"/>
        </w:rPr>
        <w:t>I. ANTECEDENTES</w:t>
      </w:r>
    </w:p>
    <w:p w14:paraId="4F67A4CE" w14:textId="77777777" w:rsidR="00591D54" w:rsidRDefault="00591D54">
      <w:pPr>
        <w:shd w:val="clear" w:color="auto" w:fill="FFFFFF"/>
        <w:spacing w:line="427" w:lineRule="exact"/>
      </w:pPr>
      <w:r>
        <w:rPr>
          <w:b/>
          <w:bCs/>
          <w:spacing w:val="-8"/>
          <w:sz w:val="18"/>
          <w:szCs w:val="18"/>
          <w:lang w:val="es-ES_tradnl"/>
        </w:rPr>
        <w:t>Resumen de admisibilidad</w:t>
      </w:r>
    </w:p>
    <w:p w14:paraId="4F67A4CF" w14:textId="77777777" w:rsidR="00591D54" w:rsidRDefault="00591D54">
      <w:pPr>
        <w:shd w:val="clear" w:color="auto" w:fill="FFFFFF"/>
        <w:spacing w:before="168" w:line="216" w:lineRule="exact"/>
        <w:jc w:val="both"/>
      </w:pPr>
      <w:r>
        <w:rPr>
          <w:spacing w:val="-7"/>
          <w:sz w:val="18"/>
          <w:szCs w:val="18"/>
          <w:lang w:val="es-ES_tradnl"/>
        </w:rPr>
        <w:t xml:space="preserve">Dentro de la presente causa se han presentado varias </w:t>
      </w:r>
      <w:r>
        <w:rPr>
          <w:spacing w:val="-3"/>
          <w:sz w:val="18"/>
          <w:szCs w:val="18"/>
          <w:lang w:val="es-ES_tradnl"/>
        </w:rPr>
        <w:t>consultas respecto de la constitucionalidad del art</w:t>
      </w:r>
      <w:r>
        <w:rPr>
          <w:rFonts w:cs="Times New Roman"/>
          <w:spacing w:val="-3"/>
          <w:sz w:val="18"/>
          <w:szCs w:val="18"/>
          <w:lang w:val="es-ES_tradnl"/>
        </w:rPr>
        <w:t>í</w:t>
      </w:r>
      <w:r>
        <w:rPr>
          <w:spacing w:val="-3"/>
          <w:sz w:val="18"/>
          <w:szCs w:val="18"/>
          <w:lang w:val="es-ES_tradnl"/>
        </w:rPr>
        <w:t xml:space="preserve">culo </w:t>
      </w:r>
      <w:r>
        <w:rPr>
          <w:spacing w:val="-6"/>
          <w:sz w:val="18"/>
          <w:szCs w:val="18"/>
          <w:lang w:val="es-ES_tradnl"/>
        </w:rPr>
        <w:t>168 inciso 3 de la Ley Org</w:t>
      </w:r>
      <w:r>
        <w:rPr>
          <w:rFonts w:cs="Times New Roman"/>
          <w:spacing w:val="-6"/>
          <w:sz w:val="18"/>
          <w:szCs w:val="18"/>
          <w:lang w:val="es-ES_tradnl"/>
        </w:rPr>
        <w:t>á</w:t>
      </w:r>
      <w:r>
        <w:rPr>
          <w:spacing w:val="-6"/>
          <w:sz w:val="18"/>
          <w:szCs w:val="18"/>
          <w:lang w:val="es-ES_tradnl"/>
        </w:rPr>
        <w:t>nica de Transporte Terrestre, Tr</w:t>
      </w:r>
      <w:r>
        <w:rPr>
          <w:rFonts w:cs="Times New Roman"/>
          <w:spacing w:val="-6"/>
          <w:sz w:val="18"/>
          <w:szCs w:val="18"/>
          <w:lang w:val="es-ES_tradnl"/>
        </w:rPr>
        <w:t>á</w:t>
      </w:r>
      <w:r>
        <w:rPr>
          <w:spacing w:val="-6"/>
          <w:sz w:val="18"/>
          <w:szCs w:val="18"/>
          <w:lang w:val="es-ES_tradnl"/>
        </w:rPr>
        <w:t xml:space="preserve">nsito y Seguridad Vial, publicada en el suplemento del </w:t>
      </w:r>
      <w:r>
        <w:rPr>
          <w:spacing w:val="-7"/>
          <w:sz w:val="18"/>
          <w:szCs w:val="18"/>
          <w:lang w:val="es-ES_tradnl"/>
        </w:rPr>
        <w:t>Registro Oficial N.</w:t>
      </w:r>
      <w:r>
        <w:rPr>
          <w:rFonts w:cs="Times New Roman"/>
          <w:spacing w:val="-7"/>
          <w:sz w:val="18"/>
          <w:szCs w:val="18"/>
          <w:lang w:val="es-ES_tradnl"/>
        </w:rPr>
        <w:t>º</w:t>
      </w:r>
      <w:r>
        <w:rPr>
          <w:spacing w:val="-7"/>
          <w:sz w:val="18"/>
          <w:szCs w:val="18"/>
          <w:lang w:val="es-ES_tradnl"/>
        </w:rPr>
        <w:t xml:space="preserve"> 398 del 7 de agosto de 2008.</w:t>
      </w:r>
    </w:p>
    <w:p w14:paraId="4F67A4D0" w14:textId="77777777" w:rsidR="00591D54" w:rsidRDefault="00591D54">
      <w:pPr>
        <w:shd w:val="clear" w:color="auto" w:fill="FFFFFF"/>
        <w:spacing w:before="192" w:line="216" w:lineRule="exact"/>
        <w:jc w:val="both"/>
      </w:pPr>
      <w:r>
        <w:rPr>
          <w:spacing w:val="-5"/>
          <w:sz w:val="18"/>
          <w:szCs w:val="18"/>
          <w:lang w:val="es-ES_tradnl"/>
        </w:rPr>
        <w:t>Por existir identidad de objeto y acci</w:t>
      </w:r>
      <w:r>
        <w:rPr>
          <w:rFonts w:cs="Times New Roman"/>
          <w:spacing w:val="-5"/>
          <w:sz w:val="18"/>
          <w:szCs w:val="18"/>
          <w:lang w:val="es-ES_tradnl"/>
        </w:rPr>
        <w:t>ó</w:t>
      </w:r>
      <w:r>
        <w:rPr>
          <w:spacing w:val="-5"/>
          <w:sz w:val="18"/>
          <w:szCs w:val="18"/>
          <w:lang w:val="es-ES_tradnl"/>
        </w:rPr>
        <w:t xml:space="preserve">n, certificada por la </w:t>
      </w:r>
      <w:r>
        <w:rPr>
          <w:spacing w:val="-8"/>
          <w:sz w:val="18"/>
          <w:szCs w:val="18"/>
          <w:lang w:val="es-ES_tradnl"/>
        </w:rPr>
        <w:t>Secretar</w:t>
      </w:r>
      <w:r>
        <w:rPr>
          <w:rFonts w:cs="Times New Roman"/>
          <w:spacing w:val="-8"/>
          <w:sz w:val="18"/>
          <w:szCs w:val="18"/>
          <w:lang w:val="es-ES_tradnl"/>
        </w:rPr>
        <w:t>í</w:t>
      </w:r>
      <w:r>
        <w:rPr>
          <w:spacing w:val="-8"/>
          <w:sz w:val="18"/>
          <w:szCs w:val="18"/>
          <w:lang w:val="es-ES_tradnl"/>
        </w:rPr>
        <w:t>a General de la Corte, se dispuso la acumulaci</w:t>
      </w:r>
      <w:r>
        <w:rPr>
          <w:rFonts w:cs="Times New Roman"/>
          <w:spacing w:val="-8"/>
          <w:sz w:val="18"/>
          <w:szCs w:val="18"/>
          <w:lang w:val="es-ES_tradnl"/>
        </w:rPr>
        <w:t>ó</w:t>
      </w:r>
      <w:r>
        <w:rPr>
          <w:spacing w:val="-8"/>
          <w:sz w:val="18"/>
          <w:szCs w:val="18"/>
          <w:lang w:val="es-ES_tradnl"/>
        </w:rPr>
        <w:t xml:space="preserve">n </w:t>
      </w:r>
      <w:r>
        <w:rPr>
          <w:spacing w:val="-5"/>
          <w:sz w:val="18"/>
          <w:szCs w:val="18"/>
          <w:lang w:val="es-ES_tradnl"/>
        </w:rPr>
        <w:t xml:space="preserve">de las causas, a fin de que esta Corte Constitucional </w:t>
      </w:r>
      <w:r>
        <w:rPr>
          <w:spacing w:val="-7"/>
          <w:sz w:val="18"/>
          <w:szCs w:val="18"/>
          <w:lang w:val="es-ES_tradnl"/>
        </w:rPr>
        <w:t>resuelva en conjunto las consultas formuladas.</w:t>
      </w:r>
    </w:p>
    <w:p w14:paraId="4F67A4D1" w14:textId="77777777" w:rsidR="00591D54" w:rsidRDefault="00591D54">
      <w:pPr>
        <w:shd w:val="clear" w:color="auto" w:fill="FFFFFF"/>
        <w:spacing w:before="192" w:line="216" w:lineRule="exact"/>
        <w:jc w:val="both"/>
      </w:pPr>
      <w:r>
        <w:rPr>
          <w:spacing w:val="-8"/>
          <w:sz w:val="18"/>
          <w:szCs w:val="18"/>
          <w:lang w:val="es-ES_tradnl"/>
        </w:rPr>
        <w:t xml:space="preserve">El 06 de noviembre de 2012 se posesionaron ante el Pleno </w:t>
      </w:r>
      <w:r>
        <w:rPr>
          <w:spacing w:val="-6"/>
          <w:sz w:val="18"/>
          <w:szCs w:val="18"/>
          <w:lang w:val="es-ES_tradnl"/>
        </w:rPr>
        <w:t xml:space="preserve">de la Asamblea Nacional, los jueces de la Primera Corte </w:t>
      </w:r>
      <w:r>
        <w:rPr>
          <w:spacing w:val="-5"/>
          <w:sz w:val="18"/>
          <w:szCs w:val="18"/>
          <w:lang w:val="es-ES_tradnl"/>
        </w:rPr>
        <w:t>Constitucional, integrada conforme lo dispuesto en los art</w:t>
      </w:r>
      <w:r>
        <w:rPr>
          <w:rFonts w:cs="Times New Roman"/>
          <w:spacing w:val="-5"/>
          <w:sz w:val="18"/>
          <w:szCs w:val="18"/>
          <w:lang w:val="es-ES_tradnl"/>
        </w:rPr>
        <w:t>í</w:t>
      </w:r>
      <w:r>
        <w:rPr>
          <w:spacing w:val="-5"/>
          <w:sz w:val="18"/>
          <w:szCs w:val="18"/>
          <w:lang w:val="es-ES_tradnl"/>
        </w:rPr>
        <w:t>culos 432 y 434 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blica.</w:t>
      </w:r>
    </w:p>
    <w:p w14:paraId="4F67A4D2" w14:textId="77777777" w:rsidR="00591D54" w:rsidRDefault="00591D54">
      <w:pPr>
        <w:shd w:val="clear" w:color="auto" w:fill="FFFFFF"/>
        <w:spacing w:before="192" w:line="216" w:lineRule="exact"/>
        <w:jc w:val="both"/>
      </w:pPr>
      <w:r>
        <w:rPr>
          <w:spacing w:val="-4"/>
          <w:sz w:val="18"/>
          <w:szCs w:val="18"/>
          <w:lang w:val="es-ES_tradnl"/>
        </w:rPr>
        <w:t xml:space="preserve">En virtud del sorteo de causas realizado por el Pleno de </w:t>
      </w:r>
      <w:r>
        <w:rPr>
          <w:spacing w:val="-6"/>
          <w:sz w:val="18"/>
          <w:szCs w:val="18"/>
          <w:lang w:val="es-ES_tradnl"/>
        </w:rPr>
        <w:t>la Corte Constitucional, en sesi</w:t>
      </w:r>
      <w:r>
        <w:rPr>
          <w:rFonts w:cs="Times New Roman"/>
          <w:spacing w:val="-6"/>
          <w:sz w:val="18"/>
          <w:szCs w:val="18"/>
          <w:lang w:val="es-ES_tradnl"/>
        </w:rPr>
        <w:t>ó</w:t>
      </w:r>
      <w:r>
        <w:rPr>
          <w:spacing w:val="-6"/>
          <w:sz w:val="18"/>
          <w:szCs w:val="18"/>
          <w:lang w:val="es-ES_tradnl"/>
        </w:rPr>
        <w:t xml:space="preserve">n extraordinaria del 11 de </w:t>
      </w:r>
      <w:r>
        <w:rPr>
          <w:spacing w:val="-8"/>
          <w:sz w:val="18"/>
          <w:szCs w:val="18"/>
          <w:lang w:val="es-ES_tradnl"/>
        </w:rPr>
        <w:t>diciembre de 2012, conforme a lo previsto en la disposici</w:t>
      </w:r>
      <w:r>
        <w:rPr>
          <w:rFonts w:cs="Times New Roman"/>
          <w:spacing w:val="-8"/>
          <w:sz w:val="18"/>
          <w:szCs w:val="18"/>
          <w:lang w:val="es-ES_tradnl"/>
        </w:rPr>
        <w:t>ó</w:t>
      </w:r>
      <w:r>
        <w:rPr>
          <w:spacing w:val="-8"/>
          <w:sz w:val="18"/>
          <w:szCs w:val="18"/>
          <w:lang w:val="es-ES_tradnl"/>
        </w:rPr>
        <w:t>n transitoria   octava   de   la   Ley   Org</w:t>
      </w:r>
      <w:r>
        <w:rPr>
          <w:rFonts w:cs="Times New Roman"/>
          <w:spacing w:val="-8"/>
          <w:sz w:val="18"/>
          <w:szCs w:val="18"/>
          <w:lang w:val="es-ES_tradnl"/>
        </w:rPr>
        <w:t>á</w:t>
      </w:r>
      <w:r>
        <w:rPr>
          <w:spacing w:val="-8"/>
          <w:sz w:val="18"/>
          <w:szCs w:val="18"/>
          <w:lang w:val="es-ES_tradnl"/>
        </w:rPr>
        <w:t>nica   de   Garant</w:t>
      </w:r>
      <w:r>
        <w:rPr>
          <w:rFonts w:cs="Times New Roman"/>
          <w:spacing w:val="-8"/>
          <w:sz w:val="18"/>
          <w:szCs w:val="18"/>
          <w:lang w:val="es-ES_tradnl"/>
        </w:rPr>
        <w:t>í</w:t>
      </w:r>
      <w:r>
        <w:rPr>
          <w:spacing w:val="-8"/>
          <w:sz w:val="18"/>
          <w:szCs w:val="18"/>
          <w:lang w:val="es-ES_tradnl"/>
        </w:rPr>
        <w:t>as</w:t>
      </w:r>
    </w:p>
    <w:p w14:paraId="4F67A4D3" w14:textId="77777777" w:rsidR="00591D54" w:rsidRDefault="00591D54">
      <w:pPr>
        <w:shd w:val="clear" w:color="auto" w:fill="FFFFFF"/>
        <w:spacing w:before="192" w:line="216" w:lineRule="exact"/>
        <w:jc w:val="both"/>
        <w:sectPr w:rsidR="00591D54">
          <w:type w:val="continuous"/>
          <w:pgSz w:w="11909" w:h="16834"/>
          <w:pgMar w:top="1368" w:right="1309" w:bottom="360" w:left="1308" w:header="720" w:footer="720" w:gutter="0"/>
          <w:cols w:num="2" w:space="720" w:equalWidth="0">
            <w:col w:w="4305" w:space="682"/>
            <w:col w:w="4305"/>
          </w:cols>
          <w:noEndnote/>
        </w:sectPr>
      </w:pPr>
    </w:p>
    <w:p w14:paraId="4F67A4D4" w14:textId="77777777" w:rsidR="00591D54" w:rsidRDefault="00591D54">
      <w:pPr>
        <w:shd w:val="clear" w:color="auto" w:fill="FFFFFF"/>
        <w:tabs>
          <w:tab w:val="left" w:pos="595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- 21</w:t>
      </w:r>
    </w:p>
    <w:p w14:paraId="4F67A4D5" w14:textId="77777777" w:rsidR="00591D54" w:rsidRDefault="00591D54">
      <w:pPr>
        <w:shd w:val="clear" w:color="auto" w:fill="FFFFFF"/>
        <w:tabs>
          <w:tab w:val="left" w:pos="5952"/>
        </w:tabs>
        <w:spacing w:after="235"/>
        <w:ind w:left="5"/>
        <w:sectPr w:rsidR="00591D54">
          <w:pgSz w:w="11909" w:h="16834"/>
          <w:pgMar w:top="1368" w:right="1309" w:bottom="360" w:left="1308" w:header="720" w:footer="720" w:gutter="0"/>
          <w:cols w:space="60"/>
          <w:noEndnote/>
        </w:sectPr>
      </w:pPr>
    </w:p>
    <w:p w14:paraId="4F67A4D6" w14:textId="77777777" w:rsidR="00591D54" w:rsidRDefault="00591D54">
      <w:pPr>
        <w:shd w:val="clear" w:color="auto" w:fill="FFFFFF"/>
        <w:spacing w:line="216" w:lineRule="exact"/>
        <w:jc w:val="both"/>
      </w:pPr>
      <w:r>
        <w:rPr>
          <w:spacing w:val="-5"/>
          <w:sz w:val="18"/>
          <w:szCs w:val="18"/>
          <w:lang w:val="es-ES_tradnl"/>
        </w:rPr>
        <w:t>Jurisdiccionales y Control Constitucional, le correspondi</w:t>
      </w:r>
      <w:r>
        <w:rPr>
          <w:rFonts w:cs="Times New Roman"/>
          <w:spacing w:val="-5"/>
          <w:sz w:val="18"/>
          <w:szCs w:val="18"/>
          <w:lang w:val="es-ES_tradnl"/>
        </w:rPr>
        <w:t xml:space="preserve">ó </w:t>
      </w:r>
      <w:r>
        <w:rPr>
          <w:spacing w:val="-7"/>
          <w:sz w:val="18"/>
          <w:szCs w:val="18"/>
          <w:lang w:val="es-ES_tradnl"/>
        </w:rPr>
        <w:t>a la jueza constitucional Tatiana Orde</w:t>
      </w:r>
      <w:r>
        <w:rPr>
          <w:rFonts w:cs="Times New Roman"/>
          <w:spacing w:val="-7"/>
          <w:sz w:val="18"/>
          <w:szCs w:val="18"/>
          <w:lang w:val="es-ES_tradnl"/>
        </w:rPr>
        <w:t>ñ</w:t>
      </w:r>
      <w:r>
        <w:rPr>
          <w:spacing w:val="-7"/>
          <w:sz w:val="18"/>
          <w:szCs w:val="18"/>
          <w:lang w:val="es-ES_tradnl"/>
        </w:rPr>
        <w:t>ana Sierra, actuar como jueza ponente en el caso N.</w:t>
      </w:r>
      <w:r>
        <w:rPr>
          <w:rFonts w:cs="Times New Roman"/>
          <w:spacing w:val="-7"/>
          <w:sz w:val="18"/>
          <w:szCs w:val="18"/>
          <w:lang w:val="es-ES_tradnl"/>
        </w:rPr>
        <w:t>º</w:t>
      </w:r>
      <w:r>
        <w:rPr>
          <w:spacing w:val="-7"/>
          <w:sz w:val="18"/>
          <w:szCs w:val="18"/>
          <w:lang w:val="es-ES_tradnl"/>
        </w:rPr>
        <w:t xml:space="preserve"> 0042-09-CN.</w:t>
      </w:r>
    </w:p>
    <w:p w14:paraId="4F67A4D7" w14:textId="77777777" w:rsidR="00591D54" w:rsidRDefault="00591D54">
      <w:pPr>
        <w:shd w:val="clear" w:color="auto" w:fill="FFFFFF"/>
        <w:spacing w:before="197" w:line="216" w:lineRule="exact"/>
        <w:jc w:val="both"/>
      </w:pPr>
      <w:r>
        <w:rPr>
          <w:spacing w:val="-5"/>
          <w:sz w:val="18"/>
          <w:szCs w:val="18"/>
          <w:lang w:val="es-ES_tradnl"/>
        </w:rPr>
        <w:t>Mediante memorando N.</w:t>
      </w:r>
      <w:r>
        <w:rPr>
          <w:rFonts w:cs="Times New Roman"/>
          <w:spacing w:val="-5"/>
          <w:sz w:val="18"/>
          <w:szCs w:val="18"/>
          <w:lang w:val="es-ES_tradnl"/>
        </w:rPr>
        <w:t>º</w:t>
      </w:r>
      <w:r>
        <w:rPr>
          <w:spacing w:val="-5"/>
          <w:sz w:val="18"/>
          <w:szCs w:val="18"/>
          <w:lang w:val="es-ES_tradnl"/>
        </w:rPr>
        <w:t xml:space="preserve"> 0019-CCE-SG-SUS-2012 del </w:t>
      </w:r>
      <w:r>
        <w:rPr>
          <w:spacing w:val="-7"/>
          <w:sz w:val="18"/>
          <w:szCs w:val="18"/>
          <w:lang w:val="es-ES_tradnl"/>
        </w:rPr>
        <w:t xml:space="preserve">17 de diciembre de 2012, el secretario general de la Corte </w:t>
      </w:r>
      <w:r>
        <w:rPr>
          <w:spacing w:val="-4"/>
          <w:sz w:val="18"/>
          <w:szCs w:val="18"/>
          <w:lang w:val="es-ES_tradnl"/>
        </w:rPr>
        <w:t>Constitucional remiti</w:t>
      </w:r>
      <w:r>
        <w:rPr>
          <w:rFonts w:cs="Times New Roman"/>
          <w:spacing w:val="-4"/>
          <w:sz w:val="18"/>
          <w:szCs w:val="18"/>
          <w:lang w:val="es-ES_tradnl"/>
        </w:rPr>
        <w:t>ó</w:t>
      </w:r>
      <w:r>
        <w:rPr>
          <w:spacing w:val="-4"/>
          <w:sz w:val="18"/>
          <w:szCs w:val="18"/>
          <w:lang w:val="es-ES_tradnl"/>
        </w:rPr>
        <w:t xml:space="preserve"> los expedientes N.</w:t>
      </w:r>
      <w:r>
        <w:rPr>
          <w:rFonts w:cs="Times New Roman"/>
          <w:spacing w:val="-4"/>
          <w:sz w:val="18"/>
          <w:szCs w:val="18"/>
          <w:lang w:val="es-ES_tradnl"/>
        </w:rPr>
        <w:t>º</w:t>
      </w:r>
      <w:r>
        <w:rPr>
          <w:spacing w:val="-4"/>
          <w:sz w:val="18"/>
          <w:szCs w:val="18"/>
          <w:lang w:val="es-ES_tradnl"/>
        </w:rPr>
        <w:t xml:space="preserve"> 0043-09-CN, 0007-10-CN, 0008-10-CN y 0009-10-CN, mismos que </w:t>
      </w:r>
      <w:r>
        <w:rPr>
          <w:spacing w:val="-7"/>
          <w:sz w:val="18"/>
          <w:szCs w:val="18"/>
          <w:lang w:val="es-ES_tradnl"/>
        </w:rPr>
        <w:t>est</w:t>
      </w:r>
      <w:r>
        <w:rPr>
          <w:rFonts w:cs="Times New Roman"/>
          <w:spacing w:val="-7"/>
          <w:sz w:val="18"/>
          <w:szCs w:val="18"/>
          <w:lang w:val="es-ES_tradnl"/>
        </w:rPr>
        <w:t>á</w:t>
      </w:r>
      <w:r>
        <w:rPr>
          <w:spacing w:val="-7"/>
          <w:sz w:val="18"/>
          <w:szCs w:val="18"/>
          <w:lang w:val="es-ES_tradnl"/>
        </w:rPr>
        <w:t>n acumulados al caso N.</w:t>
      </w:r>
      <w:r>
        <w:rPr>
          <w:rFonts w:cs="Times New Roman"/>
          <w:spacing w:val="-7"/>
          <w:sz w:val="18"/>
          <w:szCs w:val="18"/>
          <w:lang w:val="es-ES_tradnl"/>
        </w:rPr>
        <w:t>º</w:t>
      </w:r>
      <w:r>
        <w:rPr>
          <w:spacing w:val="-7"/>
          <w:sz w:val="18"/>
          <w:szCs w:val="18"/>
          <w:lang w:val="es-ES_tradnl"/>
        </w:rPr>
        <w:t xml:space="preserve"> 0042-09-CN, a la jueza </w:t>
      </w:r>
      <w:r>
        <w:rPr>
          <w:spacing w:val="-6"/>
          <w:sz w:val="18"/>
          <w:szCs w:val="18"/>
          <w:lang w:val="es-ES_tradnl"/>
        </w:rPr>
        <w:t>constitucional Tatiana Orde</w:t>
      </w:r>
      <w:r>
        <w:rPr>
          <w:rFonts w:cs="Times New Roman"/>
          <w:spacing w:val="-6"/>
          <w:sz w:val="18"/>
          <w:szCs w:val="18"/>
          <w:lang w:val="es-ES_tradnl"/>
        </w:rPr>
        <w:t>ñ</w:t>
      </w:r>
      <w:r>
        <w:rPr>
          <w:spacing w:val="-6"/>
          <w:sz w:val="18"/>
          <w:szCs w:val="18"/>
          <w:lang w:val="es-ES_tradnl"/>
        </w:rPr>
        <w:t>ana Sierra, para que act</w:t>
      </w:r>
      <w:r>
        <w:rPr>
          <w:rFonts w:cs="Times New Roman"/>
          <w:spacing w:val="-6"/>
          <w:sz w:val="18"/>
          <w:szCs w:val="18"/>
          <w:lang w:val="es-ES_tradnl"/>
        </w:rPr>
        <w:t>ú</w:t>
      </w:r>
      <w:r>
        <w:rPr>
          <w:spacing w:val="-6"/>
          <w:sz w:val="18"/>
          <w:szCs w:val="18"/>
          <w:lang w:val="es-ES_tradnl"/>
        </w:rPr>
        <w:t xml:space="preserve">e </w:t>
      </w:r>
      <w:r>
        <w:rPr>
          <w:sz w:val="18"/>
          <w:szCs w:val="18"/>
          <w:lang w:val="es-ES_tradnl"/>
        </w:rPr>
        <w:t>como jueza sustanciadora.</w:t>
      </w:r>
    </w:p>
    <w:p w14:paraId="4F67A4D8" w14:textId="77777777" w:rsidR="00591D54" w:rsidRDefault="00591D54">
      <w:pPr>
        <w:shd w:val="clear" w:color="auto" w:fill="FFFFFF"/>
        <w:spacing w:before="197" w:line="216" w:lineRule="exact"/>
        <w:jc w:val="both"/>
      </w:pPr>
      <w:r>
        <w:rPr>
          <w:sz w:val="18"/>
          <w:szCs w:val="18"/>
          <w:lang w:val="es-ES_tradnl"/>
        </w:rPr>
        <w:t>Con providencia del 7 de abril de 2015, la jueza constitucional Tatiana Orde</w:t>
      </w:r>
      <w:r>
        <w:rPr>
          <w:rFonts w:cs="Times New Roman"/>
          <w:sz w:val="18"/>
          <w:szCs w:val="18"/>
          <w:lang w:val="es-ES_tradnl"/>
        </w:rPr>
        <w:t>ñ</w:t>
      </w:r>
      <w:r>
        <w:rPr>
          <w:sz w:val="18"/>
          <w:szCs w:val="18"/>
          <w:lang w:val="es-ES_tradnl"/>
        </w:rPr>
        <w:t>ana Sierra, avoc</w:t>
      </w:r>
      <w:r>
        <w:rPr>
          <w:rFonts w:cs="Times New Roman"/>
          <w:sz w:val="18"/>
          <w:szCs w:val="18"/>
          <w:lang w:val="es-ES_tradnl"/>
        </w:rPr>
        <w:t xml:space="preserve">ó </w:t>
      </w:r>
      <w:r>
        <w:rPr>
          <w:spacing w:val="-8"/>
          <w:sz w:val="18"/>
          <w:szCs w:val="18"/>
          <w:lang w:val="es-ES_tradnl"/>
        </w:rPr>
        <w:t>conocimiento de las causas mencionadas y dispuso la acumulaci</w:t>
      </w:r>
      <w:r>
        <w:rPr>
          <w:rFonts w:cs="Times New Roman"/>
          <w:spacing w:val="-8"/>
          <w:sz w:val="18"/>
          <w:szCs w:val="18"/>
          <w:lang w:val="es-ES_tradnl"/>
        </w:rPr>
        <w:t>ó</w:t>
      </w:r>
      <w:r>
        <w:rPr>
          <w:spacing w:val="-8"/>
          <w:sz w:val="18"/>
          <w:szCs w:val="18"/>
          <w:lang w:val="es-ES_tradnl"/>
        </w:rPr>
        <w:t>n de las mismas al expediente N.</w:t>
      </w:r>
      <w:r>
        <w:rPr>
          <w:rFonts w:cs="Times New Roman"/>
          <w:spacing w:val="-8"/>
          <w:sz w:val="18"/>
          <w:szCs w:val="18"/>
          <w:lang w:val="es-ES_tradnl"/>
        </w:rPr>
        <w:t>º</w:t>
      </w:r>
      <w:r>
        <w:rPr>
          <w:spacing w:val="-8"/>
          <w:sz w:val="18"/>
          <w:szCs w:val="18"/>
          <w:lang w:val="es-ES_tradnl"/>
        </w:rPr>
        <w:t xml:space="preserve"> 0042-09-CN </w:t>
      </w:r>
      <w:r>
        <w:rPr>
          <w:spacing w:val="-4"/>
          <w:sz w:val="18"/>
          <w:szCs w:val="18"/>
          <w:lang w:val="es-ES_tradnl"/>
        </w:rPr>
        <w:t>como principal, conforme lo establecido en el art</w:t>
      </w:r>
      <w:r>
        <w:rPr>
          <w:rFonts w:cs="Times New Roman"/>
          <w:spacing w:val="-4"/>
          <w:sz w:val="18"/>
          <w:szCs w:val="18"/>
          <w:lang w:val="es-ES_tradnl"/>
        </w:rPr>
        <w:t>í</w:t>
      </w:r>
      <w:r>
        <w:rPr>
          <w:spacing w:val="-4"/>
          <w:sz w:val="18"/>
          <w:szCs w:val="18"/>
          <w:lang w:val="es-ES_tradnl"/>
        </w:rPr>
        <w:t xml:space="preserve">culo 8 </w:t>
      </w:r>
      <w:r>
        <w:rPr>
          <w:spacing w:val="-7"/>
          <w:sz w:val="18"/>
          <w:szCs w:val="18"/>
          <w:lang w:val="es-ES_tradnl"/>
        </w:rPr>
        <w:t>numeral 4 del Reglamento de Sustanciaci</w:t>
      </w:r>
      <w:r>
        <w:rPr>
          <w:rFonts w:cs="Times New Roman"/>
          <w:spacing w:val="-7"/>
          <w:sz w:val="18"/>
          <w:szCs w:val="18"/>
          <w:lang w:val="es-ES_tradnl"/>
        </w:rPr>
        <w:t>ó</w:t>
      </w:r>
      <w:r>
        <w:rPr>
          <w:spacing w:val="-7"/>
          <w:sz w:val="18"/>
          <w:szCs w:val="18"/>
          <w:lang w:val="es-ES_tradnl"/>
        </w:rPr>
        <w:t xml:space="preserve">n de Procesos </w:t>
      </w:r>
      <w:r>
        <w:rPr>
          <w:spacing w:val="-6"/>
          <w:sz w:val="18"/>
          <w:szCs w:val="18"/>
          <w:lang w:val="es-ES_tradnl"/>
        </w:rPr>
        <w:t>de Competencia de la Corte Constitucional.</w:t>
      </w:r>
    </w:p>
    <w:p w14:paraId="4F67A4D9" w14:textId="77777777" w:rsidR="00591D54" w:rsidRDefault="00591D54">
      <w:pPr>
        <w:shd w:val="clear" w:color="auto" w:fill="FFFFFF"/>
        <w:spacing w:before="192"/>
      </w:pPr>
      <w:r>
        <w:rPr>
          <w:b/>
          <w:bCs/>
          <w:spacing w:val="-9"/>
          <w:sz w:val="18"/>
          <w:szCs w:val="18"/>
          <w:lang w:val="es-ES_tradnl"/>
        </w:rPr>
        <w:t>Casos que generan la consulta de constitucionalidad</w:t>
      </w:r>
    </w:p>
    <w:p w14:paraId="4F67A4DA" w14:textId="77777777" w:rsidR="00591D54" w:rsidRDefault="00591D54">
      <w:pPr>
        <w:shd w:val="clear" w:color="auto" w:fill="FFFFFF"/>
        <w:spacing w:before="192" w:line="216" w:lineRule="exact"/>
        <w:jc w:val="both"/>
      </w:pPr>
      <w:r>
        <w:rPr>
          <w:spacing w:val="-6"/>
          <w:sz w:val="18"/>
          <w:szCs w:val="18"/>
          <w:lang w:val="es-ES_tradnl"/>
        </w:rPr>
        <w:t xml:space="preserve">La presente consulta de constitucionalidad de norma se </w:t>
      </w:r>
      <w:r>
        <w:rPr>
          <w:spacing w:val="-7"/>
          <w:sz w:val="18"/>
          <w:szCs w:val="18"/>
          <w:lang w:val="es-ES_tradnl"/>
        </w:rPr>
        <w:t>formula dentro de las causas signadas con los n</w:t>
      </w:r>
      <w:r>
        <w:rPr>
          <w:rFonts w:cs="Times New Roman"/>
          <w:spacing w:val="-7"/>
          <w:sz w:val="18"/>
          <w:szCs w:val="18"/>
          <w:lang w:val="es-ES_tradnl"/>
        </w:rPr>
        <w:t>ú</w:t>
      </w:r>
      <w:r>
        <w:rPr>
          <w:spacing w:val="-7"/>
          <w:sz w:val="18"/>
          <w:szCs w:val="18"/>
          <w:lang w:val="es-ES_tradnl"/>
        </w:rPr>
        <w:t xml:space="preserve">meros </w:t>
      </w:r>
      <w:r>
        <w:rPr>
          <w:spacing w:val="-3"/>
          <w:sz w:val="18"/>
          <w:szCs w:val="18"/>
          <w:lang w:val="es-ES_tradnl"/>
        </w:rPr>
        <w:t xml:space="preserve">0042-09-CN, 0043-09-CN, 0007-10-CN, 0008-10-CN y 0009-10-CN, todos a solicitud del doctor Carlos Marino </w:t>
      </w:r>
      <w:r>
        <w:rPr>
          <w:spacing w:val="-6"/>
          <w:sz w:val="18"/>
          <w:szCs w:val="18"/>
          <w:lang w:val="es-ES_tradnl"/>
        </w:rPr>
        <w:t>Burneo Escudero, juez primero de tr</w:t>
      </w:r>
      <w:r>
        <w:rPr>
          <w:rFonts w:cs="Times New Roman"/>
          <w:spacing w:val="-6"/>
          <w:sz w:val="18"/>
          <w:szCs w:val="18"/>
          <w:lang w:val="es-ES_tradnl"/>
        </w:rPr>
        <w:t>á</w:t>
      </w:r>
      <w:r>
        <w:rPr>
          <w:spacing w:val="-6"/>
          <w:sz w:val="18"/>
          <w:szCs w:val="18"/>
          <w:lang w:val="es-ES_tradnl"/>
        </w:rPr>
        <w:t>nsito de Imbabura.</w:t>
      </w:r>
    </w:p>
    <w:p w14:paraId="4F67A4DB" w14:textId="77777777" w:rsidR="00591D54" w:rsidRDefault="00591D54">
      <w:pPr>
        <w:shd w:val="clear" w:color="auto" w:fill="FFFFFF"/>
        <w:spacing w:before="192"/>
      </w:pPr>
      <w:r>
        <w:rPr>
          <w:b/>
          <w:bCs/>
          <w:spacing w:val="-6"/>
          <w:sz w:val="18"/>
          <w:szCs w:val="18"/>
          <w:lang w:val="es-ES_tradnl"/>
        </w:rPr>
        <w:t>Caso N.</w:t>
      </w:r>
      <w:r>
        <w:rPr>
          <w:rFonts w:cs="Times New Roman"/>
          <w:b/>
          <w:bCs/>
          <w:spacing w:val="-6"/>
          <w:sz w:val="18"/>
          <w:szCs w:val="18"/>
          <w:lang w:val="es-ES_tradnl"/>
        </w:rPr>
        <w:t>°</w:t>
      </w:r>
      <w:r>
        <w:rPr>
          <w:b/>
          <w:bCs/>
          <w:spacing w:val="-6"/>
          <w:sz w:val="18"/>
          <w:szCs w:val="18"/>
          <w:lang w:val="es-ES_tradnl"/>
        </w:rPr>
        <w:t xml:space="preserve"> 0042-09-CN</w:t>
      </w:r>
    </w:p>
    <w:p w14:paraId="4F67A4DC" w14:textId="77777777" w:rsidR="00591D54" w:rsidRDefault="00591D54">
      <w:pPr>
        <w:shd w:val="clear" w:color="auto" w:fill="FFFFFF"/>
        <w:spacing w:before="192" w:line="216" w:lineRule="exact"/>
        <w:jc w:val="both"/>
      </w:pPr>
      <w:r>
        <w:rPr>
          <w:spacing w:val="-3"/>
          <w:sz w:val="18"/>
          <w:szCs w:val="18"/>
          <w:lang w:val="es-ES_tradnl"/>
        </w:rPr>
        <w:t xml:space="preserve">El 26 de noviembre de 2009, el doctor Carlos Marino </w:t>
      </w:r>
      <w:r>
        <w:rPr>
          <w:spacing w:val="-5"/>
          <w:sz w:val="18"/>
          <w:szCs w:val="18"/>
          <w:lang w:val="es-ES_tradnl"/>
        </w:rPr>
        <w:t>Burneo Escudero, juez primero de tr</w:t>
      </w:r>
      <w:r>
        <w:rPr>
          <w:rFonts w:cs="Times New Roman"/>
          <w:spacing w:val="-5"/>
          <w:sz w:val="18"/>
          <w:szCs w:val="18"/>
          <w:lang w:val="es-ES_tradnl"/>
        </w:rPr>
        <w:t>á</w:t>
      </w:r>
      <w:r>
        <w:rPr>
          <w:spacing w:val="-5"/>
          <w:sz w:val="18"/>
          <w:szCs w:val="18"/>
          <w:lang w:val="es-ES_tradnl"/>
        </w:rPr>
        <w:t>nsito de Imbabura, suspendi</w:t>
      </w:r>
      <w:r>
        <w:rPr>
          <w:rFonts w:cs="Times New Roman"/>
          <w:spacing w:val="-5"/>
          <w:sz w:val="18"/>
          <w:szCs w:val="18"/>
          <w:lang w:val="es-ES_tradnl"/>
        </w:rPr>
        <w:t>ó</w:t>
      </w:r>
      <w:r>
        <w:rPr>
          <w:spacing w:val="-5"/>
          <w:sz w:val="18"/>
          <w:szCs w:val="18"/>
          <w:lang w:val="es-ES_tradnl"/>
        </w:rPr>
        <w:t xml:space="preserve"> el tr</w:t>
      </w:r>
      <w:r>
        <w:rPr>
          <w:rFonts w:cs="Times New Roman"/>
          <w:spacing w:val="-5"/>
          <w:sz w:val="18"/>
          <w:szCs w:val="18"/>
          <w:lang w:val="es-ES_tradnl"/>
        </w:rPr>
        <w:t>á</w:t>
      </w:r>
      <w:r>
        <w:rPr>
          <w:spacing w:val="-5"/>
          <w:sz w:val="18"/>
          <w:szCs w:val="18"/>
          <w:lang w:val="es-ES_tradnl"/>
        </w:rPr>
        <w:t>mite y remiti</w:t>
      </w:r>
      <w:r>
        <w:rPr>
          <w:rFonts w:cs="Times New Roman"/>
          <w:spacing w:val="-5"/>
          <w:sz w:val="18"/>
          <w:szCs w:val="18"/>
          <w:lang w:val="es-ES_tradnl"/>
        </w:rPr>
        <w:t>ó</w:t>
      </w:r>
      <w:r>
        <w:rPr>
          <w:spacing w:val="-5"/>
          <w:sz w:val="18"/>
          <w:szCs w:val="18"/>
          <w:lang w:val="es-ES_tradnl"/>
        </w:rPr>
        <w:t xml:space="preserve"> en consulta a la Corte </w:t>
      </w:r>
      <w:r>
        <w:rPr>
          <w:spacing w:val="-1"/>
          <w:sz w:val="18"/>
          <w:szCs w:val="18"/>
          <w:lang w:val="es-ES_tradnl"/>
        </w:rPr>
        <w:t>Constitucional, para el periodo de transici</w:t>
      </w:r>
      <w:r>
        <w:rPr>
          <w:rFonts w:cs="Times New Roman"/>
          <w:spacing w:val="-1"/>
          <w:sz w:val="18"/>
          <w:szCs w:val="18"/>
          <w:lang w:val="es-ES_tradnl"/>
        </w:rPr>
        <w:t>ó</w:t>
      </w:r>
      <w:r>
        <w:rPr>
          <w:spacing w:val="-1"/>
          <w:sz w:val="18"/>
          <w:szCs w:val="18"/>
          <w:lang w:val="es-ES_tradnl"/>
        </w:rPr>
        <w:t xml:space="preserve">n, la causa </w:t>
      </w:r>
      <w:r>
        <w:rPr>
          <w:spacing w:val="-4"/>
          <w:sz w:val="18"/>
          <w:szCs w:val="18"/>
          <w:lang w:val="es-ES_tradnl"/>
        </w:rPr>
        <w:t>N.</w:t>
      </w:r>
      <w:r>
        <w:rPr>
          <w:rFonts w:cs="Times New Roman"/>
          <w:spacing w:val="-4"/>
          <w:sz w:val="18"/>
          <w:szCs w:val="18"/>
          <w:lang w:val="es-ES_tradnl"/>
        </w:rPr>
        <w:t>º</w:t>
      </w:r>
      <w:r>
        <w:rPr>
          <w:spacing w:val="-4"/>
          <w:sz w:val="18"/>
          <w:szCs w:val="18"/>
          <w:lang w:val="es-ES_tradnl"/>
        </w:rPr>
        <w:t xml:space="preserve"> 0182-2009, dentro del juicio por accidente tr</w:t>
      </w:r>
      <w:r>
        <w:rPr>
          <w:rFonts w:cs="Times New Roman"/>
          <w:spacing w:val="-4"/>
          <w:sz w:val="18"/>
          <w:szCs w:val="18"/>
          <w:lang w:val="es-ES_tradnl"/>
        </w:rPr>
        <w:t>á</w:t>
      </w:r>
      <w:r>
        <w:rPr>
          <w:spacing w:val="-4"/>
          <w:sz w:val="18"/>
          <w:szCs w:val="18"/>
          <w:lang w:val="es-ES_tradnl"/>
        </w:rPr>
        <w:t xml:space="preserve">nsito, </w:t>
      </w:r>
      <w:r>
        <w:rPr>
          <w:spacing w:val="-5"/>
          <w:sz w:val="18"/>
          <w:szCs w:val="18"/>
          <w:lang w:val="es-ES_tradnl"/>
        </w:rPr>
        <w:t>seguido por la Fiscal</w:t>
      </w:r>
      <w:r>
        <w:rPr>
          <w:rFonts w:cs="Times New Roman"/>
          <w:spacing w:val="-5"/>
          <w:sz w:val="18"/>
          <w:szCs w:val="18"/>
          <w:lang w:val="es-ES_tradnl"/>
        </w:rPr>
        <w:t>í</w:t>
      </w:r>
      <w:r>
        <w:rPr>
          <w:spacing w:val="-5"/>
          <w:sz w:val="18"/>
          <w:szCs w:val="18"/>
          <w:lang w:val="es-ES_tradnl"/>
        </w:rPr>
        <w:t xml:space="preserve">a General del Estado y Christian </w:t>
      </w:r>
      <w:r>
        <w:rPr>
          <w:spacing w:val="-8"/>
          <w:sz w:val="18"/>
          <w:szCs w:val="18"/>
          <w:lang w:val="es-ES_tradnl"/>
        </w:rPr>
        <w:t>Eduardo L</w:t>
      </w:r>
      <w:r>
        <w:rPr>
          <w:rFonts w:cs="Times New Roman"/>
          <w:spacing w:val="-8"/>
          <w:sz w:val="18"/>
          <w:szCs w:val="18"/>
          <w:lang w:val="es-ES_tradnl"/>
        </w:rPr>
        <w:t>ó</w:t>
      </w:r>
      <w:r>
        <w:rPr>
          <w:spacing w:val="-8"/>
          <w:sz w:val="18"/>
          <w:szCs w:val="18"/>
          <w:lang w:val="es-ES_tradnl"/>
        </w:rPr>
        <w:t>pez Negrete, en calidad de acusador particular, en contra de Fausto Javier Tulcanaza Piarpuezan.</w:t>
      </w:r>
    </w:p>
    <w:p w14:paraId="4F67A4DD" w14:textId="77777777" w:rsidR="00591D54" w:rsidRDefault="00591D54">
      <w:pPr>
        <w:shd w:val="clear" w:color="auto" w:fill="FFFFFF"/>
        <w:spacing w:before="197" w:line="216" w:lineRule="exact"/>
        <w:jc w:val="both"/>
      </w:pPr>
      <w:r>
        <w:rPr>
          <w:spacing w:val="-5"/>
          <w:sz w:val="18"/>
          <w:szCs w:val="18"/>
          <w:lang w:val="es-ES_tradnl"/>
        </w:rPr>
        <w:t>La citada consulta se realiz</w:t>
      </w:r>
      <w:r>
        <w:rPr>
          <w:rFonts w:cs="Times New Roman"/>
          <w:spacing w:val="-5"/>
          <w:sz w:val="18"/>
          <w:szCs w:val="18"/>
          <w:lang w:val="es-ES_tradnl"/>
        </w:rPr>
        <w:t>ó</w:t>
      </w:r>
      <w:r>
        <w:rPr>
          <w:spacing w:val="-5"/>
          <w:sz w:val="18"/>
          <w:szCs w:val="18"/>
          <w:lang w:val="es-ES_tradnl"/>
        </w:rPr>
        <w:t xml:space="preserve"> luego de que iniciada la </w:t>
      </w:r>
      <w:r>
        <w:rPr>
          <w:spacing w:val="-6"/>
          <w:sz w:val="18"/>
          <w:szCs w:val="18"/>
          <w:lang w:val="es-ES_tradnl"/>
        </w:rPr>
        <w:t>instrucci</w:t>
      </w:r>
      <w:r>
        <w:rPr>
          <w:rFonts w:cs="Times New Roman"/>
          <w:spacing w:val="-6"/>
          <w:sz w:val="18"/>
          <w:szCs w:val="18"/>
          <w:lang w:val="es-ES_tradnl"/>
        </w:rPr>
        <w:t>ó</w:t>
      </w:r>
      <w:r>
        <w:rPr>
          <w:spacing w:val="-6"/>
          <w:sz w:val="18"/>
          <w:szCs w:val="18"/>
          <w:lang w:val="es-ES_tradnl"/>
        </w:rPr>
        <w:t xml:space="preserve">n fiscal en la causa y emitido el dictamen fiscal </w:t>
      </w:r>
      <w:r>
        <w:rPr>
          <w:spacing w:val="-9"/>
          <w:sz w:val="18"/>
          <w:szCs w:val="18"/>
          <w:lang w:val="es-ES_tradnl"/>
        </w:rPr>
        <w:t>acusatorio, el juez primero de tr</w:t>
      </w:r>
      <w:r>
        <w:rPr>
          <w:rFonts w:cs="Times New Roman"/>
          <w:spacing w:val="-9"/>
          <w:sz w:val="18"/>
          <w:szCs w:val="18"/>
          <w:lang w:val="es-ES_tradnl"/>
        </w:rPr>
        <w:t>á</w:t>
      </w:r>
      <w:r>
        <w:rPr>
          <w:spacing w:val="-9"/>
          <w:sz w:val="18"/>
          <w:szCs w:val="18"/>
          <w:lang w:val="es-ES_tradnl"/>
        </w:rPr>
        <w:t>nsito de Imbabura convoc</w:t>
      </w:r>
      <w:r>
        <w:rPr>
          <w:rFonts w:cs="Times New Roman"/>
          <w:spacing w:val="-9"/>
          <w:sz w:val="18"/>
          <w:szCs w:val="18"/>
          <w:lang w:val="es-ES_tradnl"/>
        </w:rPr>
        <w:t xml:space="preserve">ó </w:t>
      </w:r>
      <w:r>
        <w:rPr>
          <w:spacing w:val="-4"/>
          <w:sz w:val="18"/>
          <w:szCs w:val="18"/>
          <w:lang w:val="es-ES_tradnl"/>
        </w:rPr>
        <w:t>a audiencia oral y p</w:t>
      </w:r>
      <w:r>
        <w:rPr>
          <w:rFonts w:cs="Times New Roman"/>
          <w:spacing w:val="-4"/>
          <w:sz w:val="18"/>
          <w:szCs w:val="18"/>
          <w:lang w:val="es-ES_tradnl"/>
        </w:rPr>
        <w:t>ú</w:t>
      </w:r>
      <w:r>
        <w:rPr>
          <w:spacing w:val="-4"/>
          <w:sz w:val="18"/>
          <w:szCs w:val="18"/>
          <w:lang w:val="es-ES_tradnl"/>
        </w:rPr>
        <w:t xml:space="preserve">blica de prueba y juzgamiento, la </w:t>
      </w:r>
      <w:r>
        <w:rPr>
          <w:spacing w:val="-2"/>
          <w:sz w:val="18"/>
          <w:szCs w:val="18"/>
          <w:lang w:val="es-ES_tradnl"/>
        </w:rPr>
        <w:t xml:space="preserve">misma que por inasistencia del procesado fue diferida </w:t>
      </w:r>
      <w:r>
        <w:rPr>
          <w:spacing w:val="-8"/>
          <w:sz w:val="18"/>
          <w:szCs w:val="18"/>
          <w:lang w:val="es-ES_tradnl"/>
        </w:rPr>
        <w:t>por dos ocasiones. Al tercer se</w:t>
      </w:r>
      <w:r>
        <w:rPr>
          <w:rFonts w:cs="Times New Roman"/>
          <w:spacing w:val="-8"/>
          <w:sz w:val="18"/>
          <w:szCs w:val="18"/>
          <w:lang w:val="es-ES_tradnl"/>
        </w:rPr>
        <w:t>ñ</w:t>
      </w:r>
      <w:r>
        <w:rPr>
          <w:spacing w:val="-8"/>
          <w:sz w:val="18"/>
          <w:szCs w:val="18"/>
          <w:lang w:val="es-ES_tradnl"/>
        </w:rPr>
        <w:t xml:space="preserve">alamiento de audiencia se </w:t>
      </w:r>
      <w:r>
        <w:rPr>
          <w:spacing w:val="-7"/>
          <w:sz w:val="18"/>
          <w:szCs w:val="18"/>
          <w:lang w:val="es-ES_tradnl"/>
        </w:rPr>
        <w:t>previno al defensor p</w:t>
      </w:r>
      <w:r>
        <w:rPr>
          <w:rFonts w:cs="Times New Roman"/>
          <w:spacing w:val="-7"/>
          <w:sz w:val="18"/>
          <w:szCs w:val="18"/>
          <w:lang w:val="es-ES_tradnl"/>
        </w:rPr>
        <w:t>ú</w:t>
      </w:r>
      <w:r>
        <w:rPr>
          <w:spacing w:val="-7"/>
          <w:sz w:val="18"/>
          <w:szCs w:val="18"/>
          <w:lang w:val="es-ES_tradnl"/>
        </w:rPr>
        <w:t>blico del acusado que conforme a lo dispuesto en el art</w:t>
      </w:r>
      <w:r>
        <w:rPr>
          <w:rFonts w:cs="Times New Roman"/>
          <w:spacing w:val="-7"/>
          <w:sz w:val="18"/>
          <w:szCs w:val="18"/>
          <w:lang w:val="es-ES_tradnl"/>
        </w:rPr>
        <w:t>í</w:t>
      </w:r>
      <w:r>
        <w:rPr>
          <w:spacing w:val="-7"/>
          <w:sz w:val="18"/>
          <w:szCs w:val="18"/>
          <w:lang w:val="es-ES_tradnl"/>
        </w:rPr>
        <w:t>culo 168 inciso 3 de la Ley Org</w:t>
      </w:r>
      <w:r>
        <w:rPr>
          <w:rFonts w:cs="Times New Roman"/>
          <w:spacing w:val="-7"/>
          <w:sz w:val="18"/>
          <w:szCs w:val="18"/>
          <w:lang w:val="es-ES_tradnl"/>
        </w:rPr>
        <w:t>á</w:t>
      </w:r>
      <w:r>
        <w:rPr>
          <w:spacing w:val="-7"/>
          <w:sz w:val="18"/>
          <w:szCs w:val="18"/>
          <w:lang w:val="es-ES_tradnl"/>
        </w:rPr>
        <w:t xml:space="preserve">nica de </w:t>
      </w:r>
      <w:r>
        <w:rPr>
          <w:spacing w:val="-6"/>
          <w:sz w:val="18"/>
          <w:szCs w:val="18"/>
          <w:lang w:val="es-ES_tradnl"/>
        </w:rPr>
        <w:t>Transporte Terrestre, Tr</w:t>
      </w:r>
      <w:r>
        <w:rPr>
          <w:rFonts w:cs="Times New Roman"/>
          <w:spacing w:val="-6"/>
          <w:sz w:val="18"/>
          <w:szCs w:val="18"/>
          <w:lang w:val="es-ES_tradnl"/>
        </w:rPr>
        <w:t>á</w:t>
      </w:r>
      <w:r>
        <w:rPr>
          <w:spacing w:val="-6"/>
          <w:sz w:val="18"/>
          <w:szCs w:val="18"/>
          <w:lang w:val="es-ES_tradnl"/>
        </w:rPr>
        <w:t xml:space="preserve">nsito y Seguridad Vial, la misma </w:t>
      </w:r>
      <w:r>
        <w:rPr>
          <w:sz w:val="18"/>
          <w:szCs w:val="18"/>
          <w:lang w:val="es-ES_tradnl"/>
        </w:rPr>
        <w:t>se llevar</w:t>
      </w:r>
      <w:r>
        <w:rPr>
          <w:rFonts w:cs="Times New Roman"/>
          <w:sz w:val="18"/>
          <w:szCs w:val="18"/>
          <w:lang w:val="es-ES_tradnl"/>
        </w:rPr>
        <w:t>í</w:t>
      </w:r>
      <w:r>
        <w:rPr>
          <w:sz w:val="18"/>
          <w:szCs w:val="18"/>
          <w:lang w:val="es-ES_tradnl"/>
        </w:rPr>
        <w:t>a a cabo en su ausencia.</w:t>
      </w:r>
    </w:p>
    <w:p w14:paraId="4F67A4DE" w14:textId="77777777" w:rsidR="00591D54" w:rsidRDefault="00591D54">
      <w:pPr>
        <w:shd w:val="clear" w:color="auto" w:fill="FFFFFF"/>
        <w:spacing w:before="197" w:line="216" w:lineRule="exact"/>
        <w:jc w:val="both"/>
      </w:pPr>
      <w:r>
        <w:rPr>
          <w:spacing w:val="-8"/>
          <w:sz w:val="18"/>
          <w:szCs w:val="18"/>
          <w:lang w:val="es-ES_tradnl"/>
        </w:rPr>
        <w:t>Por esta raz</w:t>
      </w:r>
      <w:r>
        <w:rPr>
          <w:rFonts w:cs="Times New Roman"/>
          <w:spacing w:val="-8"/>
          <w:sz w:val="18"/>
          <w:szCs w:val="18"/>
          <w:lang w:val="es-ES_tradnl"/>
        </w:rPr>
        <w:t>ó</w:t>
      </w:r>
      <w:r>
        <w:rPr>
          <w:spacing w:val="-8"/>
          <w:sz w:val="18"/>
          <w:szCs w:val="18"/>
          <w:lang w:val="es-ES_tradnl"/>
        </w:rPr>
        <w:t>n, el doctor Fabi</w:t>
      </w:r>
      <w:r>
        <w:rPr>
          <w:rFonts w:cs="Times New Roman"/>
          <w:spacing w:val="-8"/>
          <w:sz w:val="18"/>
          <w:szCs w:val="18"/>
          <w:lang w:val="es-ES_tradnl"/>
        </w:rPr>
        <w:t>á</w:t>
      </w:r>
      <w:r>
        <w:rPr>
          <w:spacing w:val="-8"/>
          <w:sz w:val="18"/>
          <w:szCs w:val="18"/>
          <w:lang w:val="es-ES_tradnl"/>
        </w:rPr>
        <w:t>n Pazmi</w:t>
      </w:r>
      <w:r>
        <w:rPr>
          <w:rFonts w:cs="Times New Roman"/>
          <w:spacing w:val="-8"/>
          <w:sz w:val="18"/>
          <w:szCs w:val="18"/>
          <w:lang w:val="es-ES_tradnl"/>
        </w:rPr>
        <w:t>ñ</w:t>
      </w:r>
      <w:r>
        <w:rPr>
          <w:spacing w:val="-8"/>
          <w:sz w:val="18"/>
          <w:szCs w:val="18"/>
          <w:lang w:val="es-ES_tradnl"/>
        </w:rPr>
        <w:t xml:space="preserve">o Bonilla, defensor </w:t>
      </w:r>
      <w:r>
        <w:rPr>
          <w:spacing w:val="-2"/>
          <w:sz w:val="18"/>
          <w:szCs w:val="18"/>
          <w:lang w:val="es-ES_tradnl"/>
        </w:rPr>
        <w:t>p</w:t>
      </w:r>
      <w:r>
        <w:rPr>
          <w:rFonts w:cs="Times New Roman"/>
          <w:spacing w:val="-2"/>
          <w:sz w:val="18"/>
          <w:szCs w:val="18"/>
          <w:lang w:val="es-ES_tradnl"/>
        </w:rPr>
        <w:t>ú</w:t>
      </w:r>
      <w:r>
        <w:rPr>
          <w:spacing w:val="-2"/>
          <w:sz w:val="18"/>
          <w:szCs w:val="18"/>
          <w:lang w:val="es-ES_tradnl"/>
        </w:rPr>
        <w:t>blico del acusado, solicit</w:t>
      </w:r>
      <w:r>
        <w:rPr>
          <w:rFonts w:cs="Times New Roman"/>
          <w:spacing w:val="-2"/>
          <w:sz w:val="18"/>
          <w:szCs w:val="18"/>
          <w:lang w:val="es-ES_tradnl"/>
        </w:rPr>
        <w:t>ó</w:t>
      </w:r>
      <w:r>
        <w:rPr>
          <w:spacing w:val="-2"/>
          <w:sz w:val="18"/>
          <w:szCs w:val="18"/>
          <w:lang w:val="es-ES_tradnl"/>
        </w:rPr>
        <w:t xml:space="preserve"> al juez primero de tr</w:t>
      </w:r>
      <w:r>
        <w:rPr>
          <w:rFonts w:cs="Times New Roman"/>
          <w:spacing w:val="-2"/>
          <w:sz w:val="18"/>
          <w:szCs w:val="18"/>
          <w:lang w:val="es-ES_tradnl"/>
        </w:rPr>
        <w:t>á</w:t>
      </w:r>
      <w:r>
        <w:rPr>
          <w:spacing w:val="-2"/>
          <w:sz w:val="18"/>
          <w:szCs w:val="18"/>
          <w:lang w:val="es-ES_tradnl"/>
        </w:rPr>
        <w:t xml:space="preserve">nsito </w:t>
      </w:r>
      <w:r>
        <w:rPr>
          <w:spacing w:val="-5"/>
          <w:sz w:val="18"/>
          <w:szCs w:val="18"/>
          <w:lang w:val="es-ES_tradnl"/>
        </w:rPr>
        <w:t xml:space="preserve">de Imbabura remitir el proceso a la Corte Constitucional, </w:t>
      </w:r>
      <w:r>
        <w:rPr>
          <w:spacing w:val="-3"/>
          <w:sz w:val="18"/>
          <w:szCs w:val="18"/>
          <w:lang w:val="es-ES_tradnl"/>
        </w:rPr>
        <w:t xml:space="preserve">por cuanto consideraba que la norma invocada, para </w:t>
      </w:r>
      <w:r>
        <w:rPr>
          <w:spacing w:val="-6"/>
          <w:sz w:val="18"/>
          <w:szCs w:val="18"/>
          <w:lang w:val="es-ES_tradnl"/>
        </w:rPr>
        <w:t>juzgar en ausencia, estar</w:t>
      </w:r>
      <w:r>
        <w:rPr>
          <w:rFonts w:cs="Times New Roman"/>
          <w:spacing w:val="-6"/>
          <w:sz w:val="18"/>
          <w:szCs w:val="18"/>
          <w:lang w:val="es-ES_tradnl"/>
        </w:rPr>
        <w:t>í</w:t>
      </w:r>
      <w:r>
        <w:rPr>
          <w:spacing w:val="-6"/>
          <w:sz w:val="18"/>
          <w:szCs w:val="18"/>
          <w:lang w:val="es-ES_tradnl"/>
        </w:rPr>
        <w:t>a vulnerando los principios y derechos constitucionales de inmediaci</w:t>
      </w:r>
      <w:r>
        <w:rPr>
          <w:rFonts w:cs="Times New Roman"/>
          <w:spacing w:val="-6"/>
          <w:sz w:val="18"/>
          <w:szCs w:val="18"/>
          <w:lang w:val="es-ES_tradnl"/>
        </w:rPr>
        <w:t>ó</w:t>
      </w:r>
      <w:r>
        <w:rPr>
          <w:spacing w:val="-6"/>
          <w:sz w:val="18"/>
          <w:szCs w:val="18"/>
          <w:lang w:val="es-ES_tradnl"/>
        </w:rPr>
        <w:t>n, concentraci</w:t>
      </w:r>
      <w:r>
        <w:rPr>
          <w:rFonts w:cs="Times New Roman"/>
          <w:spacing w:val="-6"/>
          <w:sz w:val="18"/>
          <w:szCs w:val="18"/>
          <w:lang w:val="es-ES_tradnl"/>
        </w:rPr>
        <w:t>ó</w:t>
      </w:r>
      <w:r>
        <w:rPr>
          <w:spacing w:val="-6"/>
          <w:sz w:val="18"/>
          <w:szCs w:val="18"/>
          <w:lang w:val="es-ES_tradnl"/>
        </w:rPr>
        <w:t xml:space="preserve">n, </w:t>
      </w:r>
      <w:r>
        <w:rPr>
          <w:sz w:val="18"/>
          <w:szCs w:val="18"/>
          <w:lang w:val="es-ES_tradnl"/>
        </w:rPr>
        <w:t>contradicci</w:t>
      </w:r>
      <w:r>
        <w:rPr>
          <w:rFonts w:cs="Times New Roman"/>
          <w:sz w:val="18"/>
          <w:szCs w:val="18"/>
          <w:lang w:val="es-ES_tradnl"/>
        </w:rPr>
        <w:t>ó</w:t>
      </w:r>
      <w:r>
        <w:rPr>
          <w:sz w:val="18"/>
          <w:szCs w:val="18"/>
          <w:lang w:val="es-ES_tradnl"/>
        </w:rPr>
        <w:t>n y defensa.</w:t>
      </w:r>
    </w:p>
    <w:p w14:paraId="4F67A4DF" w14:textId="77777777" w:rsidR="00591D54" w:rsidRDefault="00591D54">
      <w:pPr>
        <w:shd w:val="clear" w:color="auto" w:fill="FFFFFF"/>
        <w:spacing w:before="192"/>
      </w:pPr>
      <w:r>
        <w:rPr>
          <w:b/>
          <w:bCs/>
          <w:spacing w:val="-6"/>
          <w:sz w:val="18"/>
          <w:szCs w:val="18"/>
          <w:lang w:val="es-ES_tradnl"/>
        </w:rPr>
        <w:t>Caso N.</w:t>
      </w:r>
      <w:r>
        <w:rPr>
          <w:rFonts w:cs="Times New Roman"/>
          <w:b/>
          <w:bCs/>
          <w:spacing w:val="-6"/>
          <w:sz w:val="18"/>
          <w:szCs w:val="18"/>
          <w:lang w:val="es-ES_tradnl"/>
        </w:rPr>
        <w:t>°</w:t>
      </w:r>
      <w:r>
        <w:rPr>
          <w:b/>
          <w:bCs/>
          <w:spacing w:val="-6"/>
          <w:sz w:val="18"/>
          <w:szCs w:val="18"/>
          <w:lang w:val="es-ES_tradnl"/>
        </w:rPr>
        <w:t xml:space="preserve"> 0043-09-CN</w:t>
      </w:r>
    </w:p>
    <w:p w14:paraId="4F67A4E0" w14:textId="77777777" w:rsidR="00591D54" w:rsidRDefault="00591D54">
      <w:pPr>
        <w:shd w:val="clear" w:color="auto" w:fill="FFFFFF"/>
        <w:spacing w:before="197" w:line="216" w:lineRule="exact"/>
        <w:jc w:val="both"/>
      </w:pPr>
      <w:r>
        <w:rPr>
          <w:spacing w:val="-4"/>
          <w:sz w:val="18"/>
          <w:szCs w:val="18"/>
          <w:lang w:val="es-ES_tradnl"/>
        </w:rPr>
        <w:t xml:space="preserve">El 27 de noviembre del 2009, el doctor Carlos Marino </w:t>
      </w:r>
      <w:r>
        <w:rPr>
          <w:spacing w:val="-5"/>
          <w:sz w:val="18"/>
          <w:szCs w:val="18"/>
          <w:lang w:val="es-ES_tradnl"/>
        </w:rPr>
        <w:t>Burneo Escudero, juez primero de tr</w:t>
      </w:r>
      <w:r>
        <w:rPr>
          <w:rFonts w:cs="Times New Roman"/>
          <w:spacing w:val="-5"/>
          <w:sz w:val="18"/>
          <w:szCs w:val="18"/>
          <w:lang w:val="es-ES_tradnl"/>
        </w:rPr>
        <w:t>á</w:t>
      </w:r>
      <w:r>
        <w:rPr>
          <w:spacing w:val="-5"/>
          <w:sz w:val="18"/>
          <w:szCs w:val="18"/>
          <w:lang w:val="es-ES_tradnl"/>
        </w:rPr>
        <w:t xml:space="preserve">nsito de Imbabura, </w:t>
      </w:r>
      <w:r>
        <w:rPr>
          <w:sz w:val="18"/>
          <w:szCs w:val="18"/>
          <w:lang w:val="es-ES_tradnl"/>
        </w:rPr>
        <w:t>suspendi</w:t>
      </w:r>
      <w:r>
        <w:rPr>
          <w:rFonts w:cs="Times New Roman"/>
          <w:sz w:val="18"/>
          <w:szCs w:val="18"/>
          <w:lang w:val="es-ES_tradnl"/>
        </w:rPr>
        <w:t>ó</w:t>
      </w:r>
      <w:r>
        <w:rPr>
          <w:sz w:val="18"/>
          <w:szCs w:val="18"/>
          <w:lang w:val="es-ES_tradnl"/>
        </w:rPr>
        <w:t xml:space="preserve"> el tr</w:t>
      </w:r>
      <w:r>
        <w:rPr>
          <w:rFonts w:cs="Times New Roman"/>
          <w:sz w:val="18"/>
          <w:szCs w:val="18"/>
          <w:lang w:val="es-ES_tradnl"/>
        </w:rPr>
        <w:t>á</w:t>
      </w:r>
      <w:r>
        <w:rPr>
          <w:sz w:val="18"/>
          <w:szCs w:val="18"/>
          <w:lang w:val="es-ES_tradnl"/>
        </w:rPr>
        <w:t>mite y remiti</w:t>
      </w:r>
      <w:r>
        <w:rPr>
          <w:rFonts w:cs="Times New Roman"/>
          <w:sz w:val="18"/>
          <w:szCs w:val="18"/>
          <w:lang w:val="es-ES_tradnl"/>
        </w:rPr>
        <w:t>ó</w:t>
      </w:r>
      <w:r>
        <w:rPr>
          <w:sz w:val="18"/>
          <w:szCs w:val="18"/>
          <w:lang w:val="es-ES_tradnl"/>
        </w:rPr>
        <w:t xml:space="preserve"> en consulta a la Corte</w:t>
      </w:r>
    </w:p>
    <w:p w14:paraId="4F67A4E1" w14:textId="77777777" w:rsidR="00591D54" w:rsidRDefault="00591D54">
      <w:pPr>
        <w:shd w:val="clear" w:color="auto" w:fill="FFFFFF"/>
        <w:spacing w:line="211" w:lineRule="exact"/>
        <w:jc w:val="both"/>
      </w:pPr>
      <w:r>
        <w:br w:type="column"/>
      </w:r>
      <w:r>
        <w:rPr>
          <w:spacing w:val="-1"/>
          <w:sz w:val="18"/>
          <w:szCs w:val="18"/>
          <w:lang w:val="es-ES_tradnl"/>
        </w:rPr>
        <w:t>Constitucional, para el periodo de transici</w:t>
      </w:r>
      <w:r>
        <w:rPr>
          <w:rFonts w:cs="Times New Roman"/>
          <w:spacing w:val="-1"/>
          <w:sz w:val="18"/>
          <w:szCs w:val="18"/>
          <w:lang w:val="es-ES_tradnl"/>
        </w:rPr>
        <w:t>ó</w:t>
      </w:r>
      <w:r>
        <w:rPr>
          <w:spacing w:val="-1"/>
          <w:sz w:val="18"/>
          <w:szCs w:val="18"/>
          <w:lang w:val="es-ES_tradnl"/>
        </w:rPr>
        <w:t xml:space="preserve">n, la causa </w:t>
      </w:r>
      <w:r>
        <w:rPr>
          <w:spacing w:val="-4"/>
          <w:sz w:val="18"/>
          <w:szCs w:val="18"/>
          <w:lang w:val="es-ES_tradnl"/>
        </w:rPr>
        <w:t>N.</w:t>
      </w:r>
      <w:r>
        <w:rPr>
          <w:rFonts w:cs="Times New Roman"/>
          <w:spacing w:val="-4"/>
          <w:sz w:val="18"/>
          <w:szCs w:val="18"/>
          <w:lang w:val="es-ES_tradnl"/>
        </w:rPr>
        <w:t>º</w:t>
      </w:r>
      <w:r>
        <w:rPr>
          <w:spacing w:val="-4"/>
          <w:sz w:val="18"/>
          <w:szCs w:val="18"/>
          <w:lang w:val="es-ES_tradnl"/>
        </w:rPr>
        <w:t xml:space="preserve"> 0265-2009, dentro del juicio por accidente tr</w:t>
      </w:r>
      <w:r>
        <w:rPr>
          <w:rFonts w:cs="Times New Roman"/>
          <w:spacing w:val="-4"/>
          <w:sz w:val="18"/>
          <w:szCs w:val="18"/>
          <w:lang w:val="es-ES_tradnl"/>
        </w:rPr>
        <w:t>á</w:t>
      </w:r>
      <w:r>
        <w:rPr>
          <w:spacing w:val="-4"/>
          <w:sz w:val="18"/>
          <w:szCs w:val="18"/>
          <w:lang w:val="es-ES_tradnl"/>
        </w:rPr>
        <w:t xml:space="preserve">nsito, </w:t>
      </w:r>
      <w:r>
        <w:rPr>
          <w:spacing w:val="-6"/>
          <w:sz w:val="18"/>
          <w:szCs w:val="18"/>
          <w:lang w:val="es-ES_tradnl"/>
        </w:rPr>
        <w:t>seguido por la Fiscal</w:t>
      </w:r>
      <w:r>
        <w:rPr>
          <w:rFonts w:cs="Times New Roman"/>
          <w:spacing w:val="-6"/>
          <w:sz w:val="18"/>
          <w:szCs w:val="18"/>
          <w:lang w:val="es-ES_tradnl"/>
        </w:rPr>
        <w:t>í</w:t>
      </w:r>
      <w:r>
        <w:rPr>
          <w:spacing w:val="-6"/>
          <w:sz w:val="18"/>
          <w:szCs w:val="18"/>
          <w:lang w:val="es-ES_tradnl"/>
        </w:rPr>
        <w:t xml:space="preserve">a General del Estado, en contra de </w:t>
      </w:r>
      <w:r>
        <w:rPr>
          <w:sz w:val="18"/>
          <w:szCs w:val="18"/>
          <w:lang w:val="es-ES_tradnl"/>
        </w:rPr>
        <w:t>Galo Fernando L</w:t>
      </w:r>
      <w:r>
        <w:rPr>
          <w:rFonts w:cs="Times New Roman"/>
          <w:sz w:val="18"/>
          <w:szCs w:val="18"/>
          <w:lang w:val="es-ES_tradnl"/>
        </w:rPr>
        <w:t>ó</w:t>
      </w:r>
      <w:r>
        <w:rPr>
          <w:sz w:val="18"/>
          <w:szCs w:val="18"/>
          <w:lang w:val="es-ES_tradnl"/>
        </w:rPr>
        <w:t>pez Sanguino.</w:t>
      </w:r>
    </w:p>
    <w:p w14:paraId="4F67A4E2" w14:textId="77777777" w:rsidR="00591D54" w:rsidRDefault="00591D54">
      <w:pPr>
        <w:shd w:val="clear" w:color="auto" w:fill="FFFFFF"/>
        <w:spacing w:before="187" w:line="211" w:lineRule="exact"/>
        <w:jc w:val="both"/>
      </w:pPr>
      <w:r>
        <w:rPr>
          <w:spacing w:val="-5"/>
          <w:sz w:val="18"/>
          <w:szCs w:val="18"/>
          <w:lang w:val="es-ES_tradnl"/>
        </w:rPr>
        <w:t>La citada consulta se realiz</w:t>
      </w:r>
      <w:r>
        <w:rPr>
          <w:rFonts w:cs="Times New Roman"/>
          <w:spacing w:val="-5"/>
          <w:sz w:val="18"/>
          <w:szCs w:val="18"/>
          <w:lang w:val="es-ES_tradnl"/>
        </w:rPr>
        <w:t>ó</w:t>
      </w:r>
      <w:r>
        <w:rPr>
          <w:spacing w:val="-5"/>
          <w:sz w:val="18"/>
          <w:szCs w:val="18"/>
          <w:lang w:val="es-ES_tradnl"/>
        </w:rPr>
        <w:t xml:space="preserve"> luego de que iniciada la </w:t>
      </w:r>
      <w:r>
        <w:rPr>
          <w:spacing w:val="-6"/>
          <w:sz w:val="18"/>
          <w:szCs w:val="18"/>
          <w:lang w:val="es-ES_tradnl"/>
        </w:rPr>
        <w:t>instrucci</w:t>
      </w:r>
      <w:r>
        <w:rPr>
          <w:rFonts w:cs="Times New Roman"/>
          <w:spacing w:val="-6"/>
          <w:sz w:val="18"/>
          <w:szCs w:val="18"/>
          <w:lang w:val="es-ES_tradnl"/>
        </w:rPr>
        <w:t>ó</w:t>
      </w:r>
      <w:r>
        <w:rPr>
          <w:spacing w:val="-6"/>
          <w:sz w:val="18"/>
          <w:szCs w:val="18"/>
          <w:lang w:val="es-ES_tradnl"/>
        </w:rPr>
        <w:t xml:space="preserve">n fiscal en la causa y emitido el dictamen fiscal </w:t>
      </w:r>
      <w:r>
        <w:rPr>
          <w:spacing w:val="-9"/>
          <w:sz w:val="18"/>
          <w:szCs w:val="18"/>
          <w:lang w:val="es-ES_tradnl"/>
        </w:rPr>
        <w:t>acusatorio, el juez primero de tr</w:t>
      </w:r>
      <w:r>
        <w:rPr>
          <w:rFonts w:cs="Times New Roman"/>
          <w:spacing w:val="-9"/>
          <w:sz w:val="18"/>
          <w:szCs w:val="18"/>
          <w:lang w:val="es-ES_tradnl"/>
        </w:rPr>
        <w:t>á</w:t>
      </w:r>
      <w:r>
        <w:rPr>
          <w:spacing w:val="-9"/>
          <w:sz w:val="18"/>
          <w:szCs w:val="18"/>
          <w:lang w:val="es-ES_tradnl"/>
        </w:rPr>
        <w:t>nsito de Imbabura convoc</w:t>
      </w:r>
      <w:r>
        <w:rPr>
          <w:rFonts w:cs="Times New Roman"/>
          <w:spacing w:val="-9"/>
          <w:sz w:val="18"/>
          <w:szCs w:val="18"/>
          <w:lang w:val="es-ES_tradnl"/>
        </w:rPr>
        <w:t xml:space="preserve">ó </w:t>
      </w:r>
      <w:r>
        <w:rPr>
          <w:spacing w:val="-4"/>
          <w:sz w:val="18"/>
          <w:szCs w:val="18"/>
          <w:lang w:val="es-ES_tradnl"/>
        </w:rPr>
        <w:t>a audiencia oral y p</w:t>
      </w:r>
      <w:r>
        <w:rPr>
          <w:rFonts w:cs="Times New Roman"/>
          <w:spacing w:val="-4"/>
          <w:sz w:val="18"/>
          <w:szCs w:val="18"/>
          <w:lang w:val="es-ES_tradnl"/>
        </w:rPr>
        <w:t>ú</w:t>
      </w:r>
      <w:r>
        <w:rPr>
          <w:spacing w:val="-4"/>
          <w:sz w:val="18"/>
          <w:szCs w:val="18"/>
          <w:lang w:val="es-ES_tradnl"/>
        </w:rPr>
        <w:t xml:space="preserve">blica de prueba y juzgamiento, la </w:t>
      </w:r>
      <w:r>
        <w:rPr>
          <w:spacing w:val="-2"/>
          <w:sz w:val="18"/>
          <w:szCs w:val="18"/>
          <w:lang w:val="es-ES_tradnl"/>
        </w:rPr>
        <w:t xml:space="preserve">misma que por inasistencia del procesado fue diferida </w:t>
      </w:r>
      <w:r>
        <w:rPr>
          <w:spacing w:val="-8"/>
          <w:sz w:val="18"/>
          <w:szCs w:val="18"/>
          <w:lang w:val="es-ES_tradnl"/>
        </w:rPr>
        <w:t>por dos ocasiones. Al tercer se</w:t>
      </w:r>
      <w:r>
        <w:rPr>
          <w:rFonts w:cs="Times New Roman"/>
          <w:spacing w:val="-8"/>
          <w:sz w:val="18"/>
          <w:szCs w:val="18"/>
          <w:lang w:val="es-ES_tradnl"/>
        </w:rPr>
        <w:t>ñ</w:t>
      </w:r>
      <w:r>
        <w:rPr>
          <w:spacing w:val="-8"/>
          <w:sz w:val="18"/>
          <w:szCs w:val="18"/>
          <w:lang w:val="es-ES_tradnl"/>
        </w:rPr>
        <w:t xml:space="preserve">alamiento de audiencia se </w:t>
      </w:r>
      <w:r>
        <w:rPr>
          <w:spacing w:val="-7"/>
          <w:sz w:val="18"/>
          <w:szCs w:val="18"/>
          <w:lang w:val="es-ES_tradnl"/>
        </w:rPr>
        <w:t>previno al defensor p</w:t>
      </w:r>
      <w:r>
        <w:rPr>
          <w:rFonts w:cs="Times New Roman"/>
          <w:spacing w:val="-7"/>
          <w:sz w:val="18"/>
          <w:szCs w:val="18"/>
          <w:lang w:val="es-ES_tradnl"/>
        </w:rPr>
        <w:t>ú</w:t>
      </w:r>
      <w:r>
        <w:rPr>
          <w:spacing w:val="-7"/>
          <w:sz w:val="18"/>
          <w:szCs w:val="18"/>
          <w:lang w:val="es-ES_tradnl"/>
        </w:rPr>
        <w:t>blico del acusado que conforme a lo dispuesto en el art</w:t>
      </w:r>
      <w:r>
        <w:rPr>
          <w:rFonts w:cs="Times New Roman"/>
          <w:spacing w:val="-7"/>
          <w:sz w:val="18"/>
          <w:szCs w:val="18"/>
          <w:lang w:val="es-ES_tradnl"/>
        </w:rPr>
        <w:t>í</w:t>
      </w:r>
      <w:r>
        <w:rPr>
          <w:spacing w:val="-7"/>
          <w:sz w:val="18"/>
          <w:szCs w:val="18"/>
          <w:lang w:val="es-ES_tradnl"/>
        </w:rPr>
        <w:t>culo 168 inciso 3 de la Ley Org</w:t>
      </w:r>
      <w:r>
        <w:rPr>
          <w:rFonts w:cs="Times New Roman"/>
          <w:spacing w:val="-7"/>
          <w:sz w:val="18"/>
          <w:szCs w:val="18"/>
          <w:lang w:val="es-ES_tradnl"/>
        </w:rPr>
        <w:t>á</w:t>
      </w:r>
      <w:r>
        <w:rPr>
          <w:spacing w:val="-7"/>
          <w:sz w:val="18"/>
          <w:szCs w:val="18"/>
          <w:lang w:val="es-ES_tradnl"/>
        </w:rPr>
        <w:t xml:space="preserve">nica de </w:t>
      </w:r>
      <w:r>
        <w:rPr>
          <w:spacing w:val="-6"/>
          <w:sz w:val="18"/>
          <w:szCs w:val="18"/>
          <w:lang w:val="es-ES_tradnl"/>
        </w:rPr>
        <w:t>Transporte Terrestre, Tr</w:t>
      </w:r>
      <w:r>
        <w:rPr>
          <w:rFonts w:cs="Times New Roman"/>
          <w:spacing w:val="-6"/>
          <w:sz w:val="18"/>
          <w:szCs w:val="18"/>
          <w:lang w:val="es-ES_tradnl"/>
        </w:rPr>
        <w:t>á</w:t>
      </w:r>
      <w:r>
        <w:rPr>
          <w:spacing w:val="-6"/>
          <w:sz w:val="18"/>
          <w:szCs w:val="18"/>
          <w:lang w:val="es-ES_tradnl"/>
        </w:rPr>
        <w:t xml:space="preserve">nsito y Seguridad Vial, la misma </w:t>
      </w:r>
      <w:r>
        <w:rPr>
          <w:sz w:val="18"/>
          <w:szCs w:val="18"/>
          <w:lang w:val="es-ES_tradnl"/>
        </w:rPr>
        <w:t>se llevar</w:t>
      </w:r>
      <w:r>
        <w:rPr>
          <w:rFonts w:cs="Times New Roman"/>
          <w:sz w:val="18"/>
          <w:szCs w:val="18"/>
          <w:lang w:val="es-ES_tradnl"/>
        </w:rPr>
        <w:t>í</w:t>
      </w:r>
      <w:r>
        <w:rPr>
          <w:sz w:val="18"/>
          <w:szCs w:val="18"/>
          <w:lang w:val="es-ES_tradnl"/>
        </w:rPr>
        <w:t>a a cabo en su ausencia.</w:t>
      </w:r>
    </w:p>
    <w:p w14:paraId="4F67A4E3" w14:textId="77777777" w:rsidR="00591D54" w:rsidRDefault="00591D54">
      <w:pPr>
        <w:shd w:val="clear" w:color="auto" w:fill="FFFFFF"/>
        <w:spacing w:before="192" w:line="211" w:lineRule="exact"/>
        <w:jc w:val="both"/>
      </w:pPr>
      <w:r>
        <w:rPr>
          <w:spacing w:val="-8"/>
          <w:sz w:val="18"/>
          <w:szCs w:val="18"/>
          <w:lang w:val="es-ES_tradnl"/>
        </w:rPr>
        <w:t>Por esta raz</w:t>
      </w:r>
      <w:r>
        <w:rPr>
          <w:rFonts w:cs="Times New Roman"/>
          <w:spacing w:val="-8"/>
          <w:sz w:val="18"/>
          <w:szCs w:val="18"/>
          <w:lang w:val="es-ES_tradnl"/>
        </w:rPr>
        <w:t>ó</w:t>
      </w:r>
      <w:r>
        <w:rPr>
          <w:spacing w:val="-8"/>
          <w:sz w:val="18"/>
          <w:szCs w:val="18"/>
          <w:lang w:val="es-ES_tradnl"/>
        </w:rPr>
        <w:t>n, el doctor Fabi</w:t>
      </w:r>
      <w:r>
        <w:rPr>
          <w:rFonts w:cs="Times New Roman"/>
          <w:spacing w:val="-8"/>
          <w:sz w:val="18"/>
          <w:szCs w:val="18"/>
          <w:lang w:val="es-ES_tradnl"/>
        </w:rPr>
        <w:t>á</w:t>
      </w:r>
      <w:r>
        <w:rPr>
          <w:spacing w:val="-8"/>
          <w:sz w:val="18"/>
          <w:szCs w:val="18"/>
          <w:lang w:val="es-ES_tradnl"/>
        </w:rPr>
        <w:t>n Pazmi</w:t>
      </w:r>
      <w:r>
        <w:rPr>
          <w:rFonts w:cs="Times New Roman"/>
          <w:spacing w:val="-8"/>
          <w:sz w:val="18"/>
          <w:szCs w:val="18"/>
          <w:lang w:val="es-ES_tradnl"/>
        </w:rPr>
        <w:t>ñ</w:t>
      </w:r>
      <w:r>
        <w:rPr>
          <w:spacing w:val="-8"/>
          <w:sz w:val="18"/>
          <w:szCs w:val="18"/>
          <w:lang w:val="es-ES_tradnl"/>
        </w:rPr>
        <w:t xml:space="preserve">o Bonilla, defensor </w:t>
      </w:r>
      <w:r>
        <w:rPr>
          <w:spacing w:val="-2"/>
          <w:sz w:val="18"/>
          <w:szCs w:val="18"/>
          <w:lang w:val="es-ES_tradnl"/>
        </w:rPr>
        <w:t>p</w:t>
      </w:r>
      <w:r>
        <w:rPr>
          <w:rFonts w:cs="Times New Roman"/>
          <w:spacing w:val="-2"/>
          <w:sz w:val="18"/>
          <w:szCs w:val="18"/>
          <w:lang w:val="es-ES_tradnl"/>
        </w:rPr>
        <w:t>ú</w:t>
      </w:r>
      <w:r>
        <w:rPr>
          <w:spacing w:val="-2"/>
          <w:sz w:val="18"/>
          <w:szCs w:val="18"/>
          <w:lang w:val="es-ES_tradnl"/>
        </w:rPr>
        <w:t>blico del acusado, solicit</w:t>
      </w:r>
      <w:r>
        <w:rPr>
          <w:rFonts w:cs="Times New Roman"/>
          <w:spacing w:val="-2"/>
          <w:sz w:val="18"/>
          <w:szCs w:val="18"/>
          <w:lang w:val="es-ES_tradnl"/>
        </w:rPr>
        <w:t>ó</w:t>
      </w:r>
      <w:r>
        <w:rPr>
          <w:spacing w:val="-2"/>
          <w:sz w:val="18"/>
          <w:szCs w:val="18"/>
          <w:lang w:val="es-ES_tradnl"/>
        </w:rPr>
        <w:t xml:space="preserve"> al juez primero de tr</w:t>
      </w:r>
      <w:r>
        <w:rPr>
          <w:rFonts w:cs="Times New Roman"/>
          <w:spacing w:val="-2"/>
          <w:sz w:val="18"/>
          <w:szCs w:val="18"/>
          <w:lang w:val="es-ES_tradnl"/>
        </w:rPr>
        <w:t>á</w:t>
      </w:r>
      <w:r>
        <w:rPr>
          <w:spacing w:val="-2"/>
          <w:sz w:val="18"/>
          <w:szCs w:val="18"/>
          <w:lang w:val="es-ES_tradnl"/>
        </w:rPr>
        <w:t xml:space="preserve">nsito </w:t>
      </w:r>
      <w:r>
        <w:rPr>
          <w:spacing w:val="-5"/>
          <w:sz w:val="18"/>
          <w:szCs w:val="18"/>
          <w:lang w:val="es-ES_tradnl"/>
        </w:rPr>
        <w:t xml:space="preserve">de Imbabura remitir el proceso a la Corte Constitucional, </w:t>
      </w:r>
      <w:r>
        <w:rPr>
          <w:spacing w:val="-3"/>
          <w:sz w:val="18"/>
          <w:szCs w:val="18"/>
          <w:lang w:val="es-ES_tradnl"/>
        </w:rPr>
        <w:t xml:space="preserve">por cuanto consideraba que la norma invocada, para </w:t>
      </w:r>
      <w:r>
        <w:rPr>
          <w:spacing w:val="-6"/>
          <w:sz w:val="18"/>
          <w:szCs w:val="18"/>
          <w:lang w:val="es-ES_tradnl"/>
        </w:rPr>
        <w:t>juzgar en ausencia, estar</w:t>
      </w:r>
      <w:r>
        <w:rPr>
          <w:rFonts w:cs="Times New Roman"/>
          <w:spacing w:val="-6"/>
          <w:sz w:val="18"/>
          <w:szCs w:val="18"/>
          <w:lang w:val="es-ES_tradnl"/>
        </w:rPr>
        <w:t>í</w:t>
      </w:r>
      <w:r>
        <w:rPr>
          <w:spacing w:val="-6"/>
          <w:sz w:val="18"/>
          <w:szCs w:val="18"/>
          <w:lang w:val="es-ES_tradnl"/>
        </w:rPr>
        <w:t xml:space="preserve">a vulnerando los principios y </w:t>
      </w:r>
      <w:r>
        <w:rPr>
          <w:spacing w:val="-7"/>
          <w:sz w:val="18"/>
          <w:szCs w:val="18"/>
          <w:lang w:val="es-ES_tradnl"/>
        </w:rPr>
        <w:t>derechos constitucionales de inmediaci</w:t>
      </w:r>
      <w:r>
        <w:rPr>
          <w:rFonts w:cs="Times New Roman"/>
          <w:spacing w:val="-7"/>
          <w:sz w:val="18"/>
          <w:szCs w:val="18"/>
          <w:lang w:val="es-ES_tradnl"/>
        </w:rPr>
        <w:t>ó</w:t>
      </w:r>
      <w:r>
        <w:rPr>
          <w:spacing w:val="-7"/>
          <w:sz w:val="18"/>
          <w:szCs w:val="18"/>
          <w:lang w:val="es-ES_tradnl"/>
        </w:rPr>
        <w:t>n, concentraci</w:t>
      </w:r>
      <w:r>
        <w:rPr>
          <w:rFonts w:cs="Times New Roman"/>
          <w:spacing w:val="-7"/>
          <w:sz w:val="18"/>
          <w:szCs w:val="18"/>
          <w:lang w:val="es-ES_tradnl"/>
        </w:rPr>
        <w:t>ó</w:t>
      </w:r>
      <w:r>
        <w:rPr>
          <w:spacing w:val="-7"/>
          <w:sz w:val="18"/>
          <w:szCs w:val="18"/>
          <w:lang w:val="es-ES_tradnl"/>
        </w:rPr>
        <w:t xml:space="preserve">n, </w:t>
      </w:r>
      <w:r>
        <w:rPr>
          <w:sz w:val="18"/>
          <w:szCs w:val="18"/>
          <w:lang w:val="es-ES_tradnl"/>
        </w:rPr>
        <w:t>contradicci</w:t>
      </w:r>
      <w:r>
        <w:rPr>
          <w:rFonts w:cs="Times New Roman"/>
          <w:sz w:val="18"/>
          <w:szCs w:val="18"/>
          <w:lang w:val="es-ES_tradnl"/>
        </w:rPr>
        <w:t>ó</w:t>
      </w:r>
      <w:r>
        <w:rPr>
          <w:sz w:val="18"/>
          <w:szCs w:val="18"/>
          <w:lang w:val="es-ES_tradnl"/>
        </w:rPr>
        <w:t>n y defensa.</w:t>
      </w:r>
    </w:p>
    <w:p w14:paraId="4F67A4E4" w14:textId="77777777" w:rsidR="00591D54" w:rsidRDefault="00591D54">
      <w:pPr>
        <w:shd w:val="clear" w:color="auto" w:fill="FFFFFF"/>
        <w:spacing w:before="192"/>
      </w:pPr>
      <w:r>
        <w:rPr>
          <w:b/>
          <w:bCs/>
          <w:spacing w:val="-6"/>
          <w:sz w:val="18"/>
          <w:szCs w:val="18"/>
          <w:lang w:val="es-ES_tradnl"/>
        </w:rPr>
        <w:t>Caso N.</w:t>
      </w:r>
      <w:r>
        <w:rPr>
          <w:rFonts w:cs="Times New Roman"/>
          <w:b/>
          <w:bCs/>
          <w:spacing w:val="-6"/>
          <w:sz w:val="18"/>
          <w:szCs w:val="18"/>
          <w:lang w:val="es-ES_tradnl"/>
        </w:rPr>
        <w:t>°</w:t>
      </w:r>
      <w:r>
        <w:rPr>
          <w:b/>
          <w:bCs/>
          <w:spacing w:val="-6"/>
          <w:sz w:val="18"/>
          <w:szCs w:val="18"/>
          <w:lang w:val="es-ES_tradnl"/>
        </w:rPr>
        <w:t xml:space="preserve"> 0007-10-CN</w:t>
      </w:r>
    </w:p>
    <w:p w14:paraId="4F67A4E5" w14:textId="77777777" w:rsidR="00591D54" w:rsidRDefault="00591D54">
      <w:pPr>
        <w:shd w:val="clear" w:color="auto" w:fill="FFFFFF"/>
        <w:spacing w:before="187" w:line="211" w:lineRule="exact"/>
        <w:jc w:val="both"/>
      </w:pPr>
      <w:r>
        <w:rPr>
          <w:spacing w:val="-5"/>
          <w:sz w:val="18"/>
          <w:szCs w:val="18"/>
          <w:lang w:val="es-ES_tradnl"/>
        </w:rPr>
        <w:t xml:space="preserve">El 4 de febrero del 2010, el doctor Carlos Marino Burneo </w:t>
      </w:r>
      <w:r>
        <w:rPr>
          <w:spacing w:val="-8"/>
          <w:sz w:val="18"/>
          <w:szCs w:val="18"/>
          <w:lang w:val="es-ES_tradnl"/>
        </w:rPr>
        <w:t>Escudero, juez primero de tr</w:t>
      </w:r>
      <w:r>
        <w:rPr>
          <w:rFonts w:cs="Times New Roman"/>
          <w:spacing w:val="-8"/>
          <w:sz w:val="18"/>
          <w:szCs w:val="18"/>
          <w:lang w:val="es-ES_tradnl"/>
        </w:rPr>
        <w:t>á</w:t>
      </w:r>
      <w:r>
        <w:rPr>
          <w:spacing w:val="-8"/>
          <w:sz w:val="18"/>
          <w:szCs w:val="18"/>
          <w:lang w:val="es-ES_tradnl"/>
        </w:rPr>
        <w:t>nsito de Imbabura, suspendi</w:t>
      </w:r>
      <w:r>
        <w:rPr>
          <w:rFonts w:cs="Times New Roman"/>
          <w:spacing w:val="-8"/>
          <w:sz w:val="18"/>
          <w:szCs w:val="18"/>
          <w:lang w:val="es-ES_tradnl"/>
        </w:rPr>
        <w:t xml:space="preserve">ó </w:t>
      </w:r>
      <w:r>
        <w:rPr>
          <w:spacing w:val="-4"/>
          <w:sz w:val="18"/>
          <w:szCs w:val="18"/>
          <w:lang w:val="es-ES_tradnl"/>
        </w:rPr>
        <w:t>el tr</w:t>
      </w:r>
      <w:r>
        <w:rPr>
          <w:rFonts w:cs="Times New Roman"/>
          <w:spacing w:val="-4"/>
          <w:sz w:val="18"/>
          <w:szCs w:val="18"/>
          <w:lang w:val="es-ES_tradnl"/>
        </w:rPr>
        <w:t>á</w:t>
      </w:r>
      <w:r>
        <w:rPr>
          <w:spacing w:val="-4"/>
          <w:sz w:val="18"/>
          <w:szCs w:val="18"/>
          <w:lang w:val="es-ES_tradnl"/>
        </w:rPr>
        <w:t>mite y remiti</w:t>
      </w:r>
      <w:r>
        <w:rPr>
          <w:rFonts w:cs="Times New Roman"/>
          <w:spacing w:val="-4"/>
          <w:sz w:val="18"/>
          <w:szCs w:val="18"/>
          <w:lang w:val="es-ES_tradnl"/>
        </w:rPr>
        <w:t>ó</w:t>
      </w:r>
      <w:r>
        <w:rPr>
          <w:spacing w:val="-4"/>
          <w:sz w:val="18"/>
          <w:szCs w:val="18"/>
          <w:lang w:val="es-ES_tradnl"/>
        </w:rPr>
        <w:t xml:space="preserve"> en consulta a la Corte Constitucional, </w:t>
      </w:r>
      <w:r>
        <w:rPr>
          <w:spacing w:val="-10"/>
          <w:sz w:val="18"/>
          <w:szCs w:val="18"/>
          <w:lang w:val="es-ES_tradnl"/>
        </w:rPr>
        <w:t>para el periodo de transici</w:t>
      </w:r>
      <w:r>
        <w:rPr>
          <w:rFonts w:cs="Times New Roman"/>
          <w:spacing w:val="-10"/>
          <w:sz w:val="18"/>
          <w:szCs w:val="18"/>
          <w:lang w:val="es-ES_tradnl"/>
        </w:rPr>
        <w:t>ó</w:t>
      </w:r>
      <w:r>
        <w:rPr>
          <w:spacing w:val="-10"/>
          <w:sz w:val="18"/>
          <w:szCs w:val="18"/>
          <w:lang w:val="es-ES_tradnl"/>
        </w:rPr>
        <w:t>n, la causa N.</w:t>
      </w:r>
      <w:r>
        <w:rPr>
          <w:rFonts w:cs="Times New Roman"/>
          <w:spacing w:val="-10"/>
          <w:sz w:val="18"/>
          <w:szCs w:val="18"/>
          <w:lang w:val="es-ES_tradnl"/>
        </w:rPr>
        <w:t>º</w:t>
      </w:r>
      <w:r>
        <w:rPr>
          <w:spacing w:val="-10"/>
          <w:sz w:val="18"/>
          <w:szCs w:val="18"/>
          <w:lang w:val="es-ES_tradnl"/>
        </w:rPr>
        <w:t xml:space="preserve"> 0273-2009, dentro </w:t>
      </w:r>
      <w:r>
        <w:rPr>
          <w:spacing w:val="-4"/>
          <w:sz w:val="18"/>
          <w:szCs w:val="18"/>
          <w:lang w:val="es-ES_tradnl"/>
        </w:rPr>
        <w:t>del juicio por accidente tr</w:t>
      </w:r>
      <w:r>
        <w:rPr>
          <w:rFonts w:cs="Times New Roman"/>
          <w:spacing w:val="-4"/>
          <w:sz w:val="18"/>
          <w:szCs w:val="18"/>
          <w:lang w:val="es-ES_tradnl"/>
        </w:rPr>
        <w:t>á</w:t>
      </w:r>
      <w:r>
        <w:rPr>
          <w:spacing w:val="-4"/>
          <w:sz w:val="18"/>
          <w:szCs w:val="18"/>
          <w:lang w:val="es-ES_tradnl"/>
        </w:rPr>
        <w:t>nsito, seguido por la Fiscal</w:t>
      </w:r>
      <w:r>
        <w:rPr>
          <w:rFonts w:cs="Times New Roman"/>
          <w:spacing w:val="-4"/>
          <w:sz w:val="18"/>
          <w:szCs w:val="18"/>
          <w:lang w:val="es-ES_tradnl"/>
        </w:rPr>
        <w:t>í</w:t>
      </w:r>
      <w:r>
        <w:rPr>
          <w:spacing w:val="-4"/>
          <w:sz w:val="18"/>
          <w:szCs w:val="18"/>
          <w:lang w:val="es-ES_tradnl"/>
        </w:rPr>
        <w:t>a General del Estado, y Luis Hern</w:t>
      </w:r>
      <w:r>
        <w:rPr>
          <w:rFonts w:cs="Times New Roman"/>
          <w:spacing w:val="-4"/>
          <w:sz w:val="18"/>
          <w:szCs w:val="18"/>
          <w:lang w:val="es-ES_tradnl"/>
        </w:rPr>
        <w:t>á</w:t>
      </w:r>
      <w:r>
        <w:rPr>
          <w:spacing w:val="-4"/>
          <w:sz w:val="18"/>
          <w:szCs w:val="18"/>
          <w:lang w:val="es-ES_tradnl"/>
        </w:rPr>
        <w:t xml:space="preserve">n Machado Grijalva y </w:t>
      </w:r>
      <w:r>
        <w:rPr>
          <w:spacing w:val="-6"/>
          <w:sz w:val="18"/>
          <w:szCs w:val="18"/>
          <w:lang w:val="es-ES_tradnl"/>
        </w:rPr>
        <w:t>Ruth Catalina Y</w:t>
      </w:r>
      <w:r>
        <w:rPr>
          <w:rFonts w:cs="Times New Roman"/>
          <w:spacing w:val="-6"/>
          <w:sz w:val="18"/>
          <w:szCs w:val="18"/>
          <w:lang w:val="es-ES_tradnl"/>
        </w:rPr>
        <w:t>é</w:t>
      </w:r>
      <w:r>
        <w:rPr>
          <w:spacing w:val="-6"/>
          <w:sz w:val="18"/>
          <w:szCs w:val="18"/>
          <w:lang w:val="es-ES_tradnl"/>
        </w:rPr>
        <w:t xml:space="preserve">pez Sanafria, en calidad de acusadores </w:t>
      </w:r>
      <w:r>
        <w:rPr>
          <w:spacing w:val="-7"/>
          <w:sz w:val="18"/>
          <w:szCs w:val="18"/>
          <w:lang w:val="es-ES_tradnl"/>
        </w:rPr>
        <w:t>particulares, en contra de Jorge Eduardo Chicaiza Tuza.</w:t>
      </w:r>
    </w:p>
    <w:p w14:paraId="4F67A4E6" w14:textId="77777777" w:rsidR="00591D54" w:rsidRDefault="00591D54">
      <w:pPr>
        <w:shd w:val="clear" w:color="auto" w:fill="FFFFFF"/>
        <w:spacing w:before="192" w:line="211" w:lineRule="exact"/>
        <w:jc w:val="both"/>
      </w:pPr>
      <w:r>
        <w:rPr>
          <w:spacing w:val="-5"/>
          <w:sz w:val="18"/>
          <w:szCs w:val="18"/>
          <w:lang w:val="es-ES_tradnl"/>
        </w:rPr>
        <w:t>La citada consulta se realiz</w:t>
      </w:r>
      <w:r>
        <w:rPr>
          <w:rFonts w:cs="Times New Roman"/>
          <w:spacing w:val="-5"/>
          <w:sz w:val="18"/>
          <w:szCs w:val="18"/>
          <w:lang w:val="es-ES_tradnl"/>
        </w:rPr>
        <w:t>ó</w:t>
      </w:r>
      <w:r>
        <w:rPr>
          <w:spacing w:val="-5"/>
          <w:sz w:val="18"/>
          <w:szCs w:val="18"/>
          <w:lang w:val="es-ES_tradnl"/>
        </w:rPr>
        <w:t xml:space="preserve"> luego de que iniciada la </w:t>
      </w:r>
      <w:r>
        <w:rPr>
          <w:spacing w:val="-6"/>
          <w:sz w:val="18"/>
          <w:szCs w:val="18"/>
          <w:lang w:val="es-ES_tradnl"/>
        </w:rPr>
        <w:t>instrucci</w:t>
      </w:r>
      <w:r>
        <w:rPr>
          <w:rFonts w:cs="Times New Roman"/>
          <w:spacing w:val="-6"/>
          <w:sz w:val="18"/>
          <w:szCs w:val="18"/>
          <w:lang w:val="es-ES_tradnl"/>
        </w:rPr>
        <w:t>ó</w:t>
      </w:r>
      <w:r>
        <w:rPr>
          <w:spacing w:val="-6"/>
          <w:sz w:val="18"/>
          <w:szCs w:val="18"/>
          <w:lang w:val="es-ES_tradnl"/>
        </w:rPr>
        <w:t xml:space="preserve">n fiscal en la causa y emitido el dictamen fiscal </w:t>
      </w:r>
      <w:r>
        <w:rPr>
          <w:spacing w:val="-9"/>
          <w:sz w:val="18"/>
          <w:szCs w:val="18"/>
          <w:lang w:val="es-ES_tradnl"/>
        </w:rPr>
        <w:t>acusatorio, el juez primero de tr</w:t>
      </w:r>
      <w:r>
        <w:rPr>
          <w:rFonts w:cs="Times New Roman"/>
          <w:spacing w:val="-9"/>
          <w:sz w:val="18"/>
          <w:szCs w:val="18"/>
          <w:lang w:val="es-ES_tradnl"/>
        </w:rPr>
        <w:t>á</w:t>
      </w:r>
      <w:r>
        <w:rPr>
          <w:spacing w:val="-9"/>
          <w:sz w:val="18"/>
          <w:szCs w:val="18"/>
          <w:lang w:val="es-ES_tradnl"/>
        </w:rPr>
        <w:t>nsito de Imbabura convoc</w:t>
      </w:r>
      <w:r>
        <w:rPr>
          <w:rFonts w:cs="Times New Roman"/>
          <w:spacing w:val="-9"/>
          <w:sz w:val="18"/>
          <w:szCs w:val="18"/>
          <w:lang w:val="es-ES_tradnl"/>
        </w:rPr>
        <w:t xml:space="preserve">ó </w:t>
      </w:r>
      <w:r>
        <w:rPr>
          <w:spacing w:val="-1"/>
          <w:sz w:val="18"/>
          <w:szCs w:val="18"/>
          <w:lang w:val="es-ES_tradnl"/>
        </w:rPr>
        <w:t>a audiencia oral y p</w:t>
      </w:r>
      <w:r>
        <w:rPr>
          <w:rFonts w:cs="Times New Roman"/>
          <w:spacing w:val="-1"/>
          <w:sz w:val="18"/>
          <w:szCs w:val="18"/>
          <w:lang w:val="es-ES_tradnl"/>
        </w:rPr>
        <w:t>ú</w:t>
      </w:r>
      <w:r>
        <w:rPr>
          <w:spacing w:val="-1"/>
          <w:sz w:val="18"/>
          <w:szCs w:val="18"/>
          <w:lang w:val="es-ES_tradnl"/>
        </w:rPr>
        <w:t xml:space="preserve">blica de prueba y juzgamiento, </w:t>
      </w:r>
      <w:r>
        <w:rPr>
          <w:spacing w:val="-2"/>
          <w:sz w:val="18"/>
          <w:szCs w:val="18"/>
          <w:lang w:val="es-ES_tradnl"/>
        </w:rPr>
        <w:t xml:space="preserve">misma que por inasistencia del procesado fue diferida </w:t>
      </w:r>
      <w:r>
        <w:rPr>
          <w:spacing w:val="-8"/>
          <w:sz w:val="18"/>
          <w:szCs w:val="18"/>
          <w:lang w:val="es-ES_tradnl"/>
        </w:rPr>
        <w:t>por dos ocasiones. Al tercer se</w:t>
      </w:r>
      <w:r>
        <w:rPr>
          <w:rFonts w:cs="Times New Roman"/>
          <w:spacing w:val="-8"/>
          <w:sz w:val="18"/>
          <w:szCs w:val="18"/>
          <w:lang w:val="es-ES_tradnl"/>
        </w:rPr>
        <w:t>ñ</w:t>
      </w:r>
      <w:r>
        <w:rPr>
          <w:spacing w:val="-8"/>
          <w:sz w:val="18"/>
          <w:szCs w:val="18"/>
          <w:lang w:val="es-ES_tradnl"/>
        </w:rPr>
        <w:t xml:space="preserve">alamiento de audiencia se </w:t>
      </w:r>
      <w:r>
        <w:rPr>
          <w:spacing w:val="-7"/>
          <w:sz w:val="18"/>
          <w:szCs w:val="18"/>
          <w:lang w:val="es-ES_tradnl"/>
        </w:rPr>
        <w:t>previno al defensor p</w:t>
      </w:r>
      <w:r>
        <w:rPr>
          <w:rFonts w:cs="Times New Roman"/>
          <w:spacing w:val="-7"/>
          <w:sz w:val="18"/>
          <w:szCs w:val="18"/>
          <w:lang w:val="es-ES_tradnl"/>
        </w:rPr>
        <w:t>ú</w:t>
      </w:r>
      <w:r>
        <w:rPr>
          <w:spacing w:val="-7"/>
          <w:sz w:val="18"/>
          <w:szCs w:val="18"/>
          <w:lang w:val="es-ES_tradnl"/>
        </w:rPr>
        <w:t>blico del acusado que conforme a lo dispuesto en el art</w:t>
      </w:r>
      <w:r>
        <w:rPr>
          <w:rFonts w:cs="Times New Roman"/>
          <w:spacing w:val="-7"/>
          <w:sz w:val="18"/>
          <w:szCs w:val="18"/>
          <w:lang w:val="es-ES_tradnl"/>
        </w:rPr>
        <w:t>í</w:t>
      </w:r>
      <w:r>
        <w:rPr>
          <w:spacing w:val="-7"/>
          <w:sz w:val="18"/>
          <w:szCs w:val="18"/>
          <w:lang w:val="es-ES_tradnl"/>
        </w:rPr>
        <w:t>culo 168 inciso 3 de la Ley Org</w:t>
      </w:r>
      <w:r>
        <w:rPr>
          <w:rFonts w:cs="Times New Roman"/>
          <w:spacing w:val="-7"/>
          <w:sz w:val="18"/>
          <w:szCs w:val="18"/>
          <w:lang w:val="es-ES_tradnl"/>
        </w:rPr>
        <w:t>á</w:t>
      </w:r>
      <w:r>
        <w:rPr>
          <w:spacing w:val="-7"/>
          <w:sz w:val="18"/>
          <w:szCs w:val="18"/>
          <w:lang w:val="es-ES_tradnl"/>
        </w:rPr>
        <w:t xml:space="preserve">nica de </w:t>
      </w:r>
      <w:r>
        <w:rPr>
          <w:spacing w:val="-6"/>
          <w:sz w:val="18"/>
          <w:szCs w:val="18"/>
          <w:lang w:val="es-ES_tradnl"/>
        </w:rPr>
        <w:t>Transporte Terrestre, Tr</w:t>
      </w:r>
      <w:r>
        <w:rPr>
          <w:rFonts w:cs="Times New Roman"/>
          <w:spacing w:val="-6"/>
          <w:sz w:val="18"/>
          <w:szCs w:val="18"/>
          <w:lang w:val="es-ES_tradnl"/>
        </w:rPr>
        <w:t>á</w:t>
      </w:r>
      <w:r>
        <w:rPr>
          <w:spacing w:val="-6"/>
          <w:sz w:val="18"/>
          <w:szCs w:val="18"/>
          <w:lang w:val="es-ES_tradnl"/>
        </w:rPr>
        <w:t xml:space="preserve">nsito y Seguridad Vial, la misma </w:t>
      </w:r>
      <w:r>
        <w:rPr>
          <w:sz w:val="18"/>
          <w:szCs w:val="18"/>
          <w:lang w:val="es-ES_tradnl"/>
        </w:rPr>
        <w:t>se llevar</w:t>
      </w:r>
      <w:r>
        <w:rPr>
          <w:rFonts w:cs="Times New Roman"/>
          <w:sz w:val="18"/>
          <w:szCs w:val="18"/>
          <w:lang w:val="es-ES_tradnl"/>
        </w:rPr>
        <w:t>í</w:t>
      </w:r>
      <w:r>
        <w:rPr>
          <w:sz w:val="18"/>
          <w:szCs w:val="18"/>
          <w:lang w:val="es-ES_tradnl"/>
        </w:rPr>
        <w:t>a a cabo en su ausencia.</w:t>
      </w:r>
    </w:p>
    <w:p w14:paraId="4F67A4E7" w14:textId="77777777" w:rsidR="00591D54" w:rsidRDefault="00591D54">
      <w:pPr>
        <w:shd w:val="clear" w:color="auto" w:fill="FFFFFF"/>
        <w:spacing w:before="192" w:line="211" w:lineRule="exact"/>
        <w:jc w:val="both"/>
      </w:pPr>
      <w:r>
        <w:rPr>
          <w:spacing w:val="-8"/>
          <w:sz w:val="18"/>
          <w:szCs w:val="18"/>
          <w:lang w:val="es-ES_tradnl"/>
        </w:rPr>
        <w:t>Por esta raz</w:t>
      </w:r>
      <w:r>
        <w:rPr>
          <w:rFonts w:cs="Times New Roman"/>
          <w:spacing w:val="-8"/>
          <w:sz w:val="18"/>
          <w:szCs w:val="18"/>
          <w:lang w:val="es-ES_tradnl"/>
        </w:rPr>
        <w:t>ó</w:t>
      </w:r>
      <w:r>
        <w:rPr>
          <w:spacing w:val="-8"/>
          <w:sz w:val="18"/>
          <w:szCs w:val="18"/>
          <w:lang w:val="es-ES_tradnl"/>
        </w:rPr>
        <w:t>n, el doctor Fabi</w:t>
      </w:r>
      <w:r>
        <w:rPr>
          <w:rFonts w:cs="Times New Roman"/>
          <w:spacing w:val="-8"/>
          <w:sz w:val="18"/>
          <w:szCs w:val="18"/>
          <w:lang w:val="es-ES_tradnl"/>
        </w:rPr>
        <w:t>á</w:t>
      </w:r>
      <w:r>
        <w:rPr>
          <w:spacing w:val="-8"/>
          <w:sz w:val="18"/>
          <w:szCs w:val="18"/>
          <w:lang w:val="es-ES_tradnl"/>
        </w:rPr>
        <w:t>n Pazmi</w:t>
      </w:r>
      <w:r>
        <w:rPr>
          <w:rFonts w:cs="Times New Roman"/>
          <w:spacing w:val="-8"/>
          <w:sz w:val="18"/>
          <w:szCs w:val="18"/>
          <w:lang w:val="es-ES_tradnl"/>
        </w:rPr>
        <w:t>ñ</w:t>
      </w:r>
      <w:r>
        <w:rPr>
          <w:spacing w:val="-8"/>
          <w:sz w:val="18"/>
          <w:szCs w:val="18"/>
          <w:lang w:val="es-ES_tradnl"/>
        </w:rPr>
        <w:t xml:space="preserve">o Bonilla, defensor </w:t>
      </w:r>
      <w:r>
        <w:rPr>
          <w:spacing w:val="-2"/>
          <w:sz w:val="18"/>
          <w:szCs w:val="18"/>
          <w:lang w:val="es-ES_tradnl"/>
        </w:rPr>
        <w:t>p</w:t>
      </w:r>
      <w:r>
        <w:rPr>
          <w:rFonts w:cs="Times New Roman"/>
          <w:spacing w:val="-2"/>
          <w:sz w:val="18"/>
          <w:szCs w:val="18"/>
          <w:lang w:val="es-ES_tradnl"/>
        </w:rPr>
        <w:t>ú</w:t>
      </w:r>
      <w:r>
        <w:rPr>
          <w:spacing w:val="-2"/>
          <w:sz w:val="18"/>
          <w:szCs w:val="18"/>
          <w:lang w:val="es-ES_tradnl"/>
        </w:rPr>
        <w:t>blico del acusado, solicit</w:t>
      </w:r>
      <w:r>
        <w:rPr>
          <w:rFonts w:cs="Times New Roman"/>
          <w:spacing w:val="-2"/>
          <w:sz w:val="18"/>
          <w:szCs w:val="18"/>
          <w:lang w:val="es-ES_tradnl"/>
        </w:rPr>
        <w:t>ó</w:t>
      </w:r>
      <w:r>
        <w:rPr>
          <w:spacing w:val="-2"/>
          <w:sz w:val="18"/>
          <w:szCs w:val="18"/>
          <w:lang w:val="es-ES_tradnl"/>
        </w:rPr>
        <w:t xml:space="preserve"> al juez primero de tr</w:t>
      </w:r>
      <w:r>
        <w:rPr>
          <w:rFonts w:cs="Times New Roman"/>
          <w:spacing w:val="-2"/>
          <w:sz w:val="18"/>
          <w:szCs w:val="18"/>
          <w:lang w:val="es-ES_tradnl"/>
        </w:rPr>
        <w:t>á</w:t>
      </w:r>
      <w:r>
        <w:rPr>
          <w:spacing w:val="-2"/>
          <w:sz w:val="18"/>
          <w:szCs w:val="18"/>
          <w:lang w:val="es-ES_tradnl"/>
        </w:rPr>
        <w:t xml:space="preserve">nsito </w:t>
      </w:r>
      <w:r>
        <w:rPr>
          <w:spacing w:val="-5"/>
          <w:sz w:val="18"/>
          <w:szCs w:val="18"/>
          <w:lang w:val="es-ES_tradnl"/>
        </w:rPr>
        <w:t xml:space="preserve">de Imbabura remitir el proceso a la Corte Constitucional, </w:t>
      </w:r>
      <w:r>
        <w:rPr>
          <w:spacing w:val="-3"/>
          <w:sz w:val="18"/>
          <w:szCs w:val="18"/>
          <w:lang w:val="es-ES_tradnl"/>
        </w:rPr>
        <w:t xml:space="preserve">por cuanto consideraba que la norma invocada, para </w:t>
      </w:r>
      <w:r>
        <w:rPr>
          <w:spacing w:val="-6"/>
          <w:sz w:val="18"/>
          <w:szCs w:val="18"/>
          <w:lang w:val="es-ES_tradnl"/>
        </w:rPr>
        <w:t>juzgar en ausencia, estar</w:t>
      </w:r>
      <w:r>
        <w:rPr>
          <w:rFonts w:cs="Times New Roman"/>
          <w:spacing w:val="-6"/>
          <w:sz w:val="18"/>
          <w:szCs w:val="18"/>
          <w:lang w:val="es-ES_tradnl"/>
        </w:rPr>
        <w:t>í</w:t>
      </w:r>
      <w:r>
        <w:rPr>
          <w:spacing w:val="-6"/>
          <w:sz w:val="18"/>
          <w:szCs w:val="18"/>
          <w:lang w:val="es-ES_tradnl"/>
        </w:rPr>
        <w:t xml:space="preserve">a vulnerando los principios y </w:t>
      </w:r>
      <w:r>
        <w:rPr>
          <w:spacing w:val="-7"/>
          <w:sz w:val="18"/>
          <w:szCs w:val="18"/>
          <w:lang w:val="es-ES_tradnl"/>
        </w:rPr>
        <w:t>derechos constitucionales de inmediaci</w:t>
      </w:r>
      <w:r>
        <w:rPr>
          <w:rFonts w:cs="Times New Roman"/>
          <w:spacing w:val="-7"/>
          <w:sz w:val="18"/>
          <w:szCs w:val="18"/>
          <w:lang w:val="es-ES_tradnl"/>
        </w:rPr>
        <w:t>ó</w:t>
      </w:r>
      <w:r>
        <w:rPr>
          <w:spacing w:val="-7"/>
          <w:sz w:val="18"/>
          <w:szCs w:val="18"/>
          <w:lang w:val="es-ES_tradnl"/>
        </w:rPr>
        <w:t>n, concentraci</w:t>
      </w:r>
      <w:r>
        <w:rPr>
          <w:rFonts w:cs="Times New Roman"/>
          <w:spacing w:val="-7"/>
          <w:sz w:val="18"/>
          <w:szCs w:val="18"/>
          <w:lang w:val="es-ES_tradnl"/>
        </w:rPr>
        <w:t>ó</w:t>
      </w:r>
      <w:r>
        <w:rPr>
          <w:spacing w:val="-7"/>
          <w:sz w:val="18"/>
          <w:szCs w:val="18"/>
          <w:lang w:val="es-ES_tradnl"/>
        </w:rPr>
        <w:t xml:space="preserve">n, </w:t>
      </w:r>
      <w:r>
        <w:rPr>
          <w:sz w:val="18"/>
          <w:szCs w:val="18"/>
          <w:lang w:val="es-ES_tradnl"/>
        </w:rPr>
        <w:t>contradicci</w:t>
      </w:r>
      <w:r>
        <w:rPr>
          <w:rFonts w:cs="Times New Roman"/>
          <w:sz w:val="18"/>
          <w:szCs w:val="18"/>
          <w:lang w:val="es-ES_tradnl"/>
        </w:rPr>
        <w:t>ó</w:t>
      </w:r>
      <w:r>
        <w:rPr>
          <w:sz w:val="18"/>
          <w:szCs w:val="18"/>
          <w:lang w:val="es-ES_tradnl"/>
        </w:rPr>
        <w:t>n y defensa.</w:t>
      </w:r>
    </w:p>
    <w:p w14:paraId="4F67A4E8" w14:textId="77777777" w:rsidR="00591D54" w:rsidRDefault="00591D54">
      <w:pPr>
        <w:shd w:val="clear" w:color="auto" w:fill="FFFFFF"/>
        <w:spacing w:before="187"/>
      </w:pPr>
      <w:r>
        <w:rPr>
          <w:b/>
          <w:bCs/>
          <w:spacing w:val="-6"/>
          <w:sz w:val="18"/>
          <w:szCs w:val="18"/>
          <w:lang w:val="es-ES_tradnl"/>
        </w:rPr>
        <w:t>Caso N.</w:t>
      </w:r>
      <w:r>
        <w:rPr>
          <w:rFonts w:cs="Times New Roman"/>
          <w:b/>
          <w:bCs/>
          <w:spacing w:val="-6"/>
          <w:sz w:val="18"/>
          <w:szCs w:val="18"/>
          <w:lang w:val="es-ES_tradnl"/>
        </w:rPr>
        <w:t>°</w:t>
      </w:r>
      <w:r>
        <w:rPr>
          <w:b/>
          <w:bCs/>
          <w:spacing w:val="-6"/>
          <w:sz w:val="18"/>
          <w:szCs w:val="18"/>
          <w:lang w:val="es-ES_tradnl"/>
        </w:rPr>
        <w:t xml:space="preserve"> 0008-10-CN</w:t>
      </w:r>
    </w:p>
    <w:p w14:paraId="4F67A4E9" w14:textId="77777777" w:rsidR="00591D54" w:rsidRDefault="00591D54">
      <w:pPr>
        <w:shd w:val="clear" w:color="auto" w:fill="FFFFFF"/>
        <w:spacing w:before="187" w:line="211" w:lineRule="exact"/>
        <w:jc w:val="both"/>
      </w:pPr>
      <w:r>
        <w:rPr>
          <w:spacing w:val="-5"/>
          <w:sz w:val="18"/>
          <w:szCs w:val="18"/>
          <w:lang w:val="es-ES_tradnl"/>
        </w:rPr>
        <w:t xml:space="preserve">El 14 de enero del 2010, el doctor Carlos Marino Burneo </w:t>
      </w:r>
      <w:r>
        <w:rPr>
          <w:spacing w:val="-8"/>
          <w:sz w:val="18"/>
          <w:szCs w:val="18"/>
          <w:lang w:val="es-ES_tradnl"/>
        </w:rPr>
        <w:t>Escudero, juez primero de tr</w:t>
      </w:r>
      <w:r>
        <w:rPr>
          <w:rFonts w:cs="Times New Roman"/>
          <w:spacing w:val="-8"/>
          <w:sz w:val="18"/>
          <w:szCs w:val="18"/>
          <w:lang w:val="es-ES_tradnl"/>
        </w:rPr>
        <w:t>á</w:t>
      </w:r>
      <w:r>
        <w:rPr>
          <w:spacing w:val="-8"/>
          <w:sz w:val="18"/>
          <w:szCs w:val="18"/>
          <w:lang w:val="es-ES_tradnl"/>
        </w:rPr>
        <w:t>nsito de Imbabura, suspendi</w:t>
      </w:r>
      <w:r>
        <w:rPr>
          <w:rFonts w:cs="Times New Roman"/>
          <w:spacing w:val="-8"/>
          <w:sz w:val="18"/>
          <w:szCs w:val="18"/>
          <w:lang w:val="es-ES_tradnl"/>
        </w:rPr>
        <w:t xml:space="preserve">ó </w:t>
      </w:r>
      <w:r>
        <w:rPr>
          <w:spacing w:val="-4"/>
          <w:sz w:val="18"/>
          <w:szCs w:val="18"/>
          <w:lang w:val="es-ES_tradnl"/>
        </w:rPr>
        <w:t>el tr</w:t>
      </w:r>
      <w:r>
        <w:rPr>
          <w:rFonts w:cs="Times New Roman"/>
          <w:spacing w:val="-4"/>
          <w:sz w:val="18"/>
          <w:szCs w:val="18"/>
          <w:lang w:val="es-ES_tradnl"/>
        </w:rPr>
        <w:t>á</w:t>
      </w:r>
      <w:r>
        <w:rPr>
          <w:spacing w:val="-4"/>
          <w:sz w:val="18"/>
          <w:szCs w:val="18"/>
          <w:lang w:val="es-ES_tradnl"/>
        </w:rPr>
        <w:t>mite y remiti</w:t>
      </w:r>
      <w:r>
        <w:rPr>
          <w:rFonts w:cs="Times New Roman"/>
          <w:spacing w:val="-4"/>
          <w:sz w:val="18"/>
          <w:szCs w:val="18"/>
          <w:lang w:val="es-ES_tradnl"/>
        </w:rPr>
        <w:t>ó</w:t>
      </w:r>
      <w:r>
        <w:rPr>
          <w:spacing w:val="-4"/>
          <w:sz w:val="18"/>
          <w:szCs w:val="18"/>
          <w:lang w:val="es-ES_tradnl"/>
        </w:rPr>
        <w:t xml:space="preserve"> en consulta a la Corte Constitucional, para el periodo de transici</w:t>
      </w:r>
      <w:r>
        <w:rPr>
          <w:rFonts w:cs="Times New Roman"/>
          <w:spacing w:val="-4"/>
          <w:sz w:val="18"/>
          <w:szCs w:val="18"/>
          <w:lang w:val="es-ES_tradnl"/>
        </w:rPr>
        <w:t>ó</w:t>
      </w:r>
      <w:r>
        <w:rPr>
          <w:spacing w:val="-4"/>
          <w:sz w:val="18"/>
          <w:szCs w:val="18"/>
          <w:lang w:val="es-ES_tradnl"/>
        </w:rPr>
        <w:t>n, la causa N.</w:t>
      </w:r>
      <w:r>
        <w:rPr>
          <w:rFonts w:cs="Times New Roman"/>
          <w:spacing w:val="-4"/>
          <w:sz w:val="18"/>
          <w:szCs w:val="18"/>
          <w:lang w:val="es-ES_tradnl"/>
        </w:rPr>
        <w:t>º</w:t>
      </w:r>
      <w:r>
        <w:rPr>
          <w:spacing w:val="-4"/>
          <w:sz w:val="18"/>
          <w:szCs w:val="18"/>
          <w:lang w:val="es-ES_tradnl"/>
        </w:rPr>
        <w:t xml:space="preserve"> 0271-2009, dentro del juicio por accidente tr</w:t>
      </w:r>
      <w:r>
        <w:rPr>
          <w:rFonts w:cs="Times New Roman"/>
          <w:spacing w:val="-4"/>
          <w:sz w:val="18"/>
          <w:szCs w:val="18"/>
          <w:lang w:val="es-ES_tradnl"/>
        </w:rPr>
        <w:t>á</w:t>
      </w:r>
      <w:r>
        <w:rPr>
          <w:spacing w:val="-4"/>
          <w:sz w:val="18"/>
          <w:szCs w:val="18"/>
          <w:lang w:val="es-ES_tradnl"/>
        </w:rPr>
        <w:t xml:space="preserve">nsito, seguido por la </w:t>
      </w:r>
      <w:r>
        <w:rPr>
          <w:spacing w:val="-7"/>
          <w:sz w:val="18"/>
          <w:szCs w:val="18"/>
          <w:lang w:val="es-ES_tradnl"/>
        </w:rPr>
        <w:t>Fiscal</w:t>
      </w:r>
      <w:r>
        <w:rPr>
          <w:rFonts w:cs="Times New Roman"/>
          <w:spacing w:val="-7"/>
          <w:sz w:val="18"/>
          <w:szCs w:val="18"/>
          <w:lang w:val="es-ES_tradnl"/>
        </w:rPr>
        <w:t>í</w:t>
      </w:r>
      <w:r>
        <w:rPr>
          <w:spacing w:val="-7"/>
          <w:sz w:val="18"/>
          <w:szCs w:val="18"/>
          <w:lang w:val="es-ES_tradnl"/>
        </w:rPr>
        <w:t>a General del Estado y Carmen G</w:t>
      </w:r>
      <w:r>
        <w:rPr>
          <w:rFonts w:cs="Times New Roman"/>
          <w:spacing w:val="-7"/>
          <w:sz w:val="18"/>
          <w:szCs w:val="18"/>
          <w:lang w:val="es-ES_tradnl"/>
        </w:rPr>
        <w:t>ó</w:t>
      </w:r>
      <w:r>
        <w:rPr>
          <w:spacing w:val="-7"/>
          <w:sz w:val="18"/>
          <w:szCs w:val="18"/>
          <w:lang w:val="es-ES_tradnl"/>
        </w:rPr>
        <w:t xml:space="preserve">mez de la Cruz, </w:t>
      </w:r>
      <w:r>
        <w:rPr>
          <w:spacing w:val="-6"/>
          <w:sz w:val="18"/>
          <w:szCs w:val="18"/>
          <w:lang w:val="es-ES_tradnl"/>
        </w:rPr>
        <w:t xml:space="preserve">en calidad de acusadora particular, en contra de Esau </w:t>
      </w:r>
      <w:r>
        <w:rPr>
          <w:sz w:val="18"/>
          <w:szCs w:val="18"/>
          <w:lang w:val="es-ES_tradnl"/>
        </w:rPr>
        <w:t>Marcelo Toapanta Vel</w:t>
      </w:r>
      <w:r>
        <w:rPr>
          <w:rFonts w:cs="Times New Roman"/>
          <w:sz w:val="18"/>
          <w:szCs w:val="18"/>
          <w:lang w:val="es-ES_tradnl"/>
        </w:rPr>
        <w:t>á</w:t>
      </w:r>
      <w:r>
        <w:rPr>
          <w:sz w:val="18"/>
          <w:szCs w:val="18"/>
          <w:lang w:val="es-ES_tradnl"/>
        </w:rPr>
        <w:t>squez.</w:t>
      </w:r>
    </w:p>
    <w:p w14:paraId="4F67A4EA" w14:textId="77777777" w:rsidR="00591D54" w:rsidRDefault="00591D54">
      <w:pPr>
        <w:shd w:val="clear" w:color="auto" w:fill="FFFFFF"/>
        <w:spacing w:before="187" w:line="211" w:lineRule="exact"/>
        <w:jc w:val="both"/>
        <w:sectPr w:rsidR="00591D54">
          <w:type w:val="continuous"/>
          <w:pgSz w:w="11909" w:h="16834"/>
          <w:pgMar w:top="1368" w:right="1309" w:bottom="360" w:left="1308" w:header="720" w:footer="720" w:gutter="0"/>
          <w:cols w:num="2" w:space="720" w:equalWidth="0">
            <w:col w:w="4305" w:space="682"/>
            <w:col w:w="4305"/>
          </w:cols>
          <w:noEndnote/>
        </w:sectPr>
      </w:pPr>
    </w:p>
    <w:p w14:paraId="4F67A4EB" w14:textId="77777777" w:rsidR="00591D54" w:rsidRDefault="00591D54">
      <w:pPr>
        <w:shd w:val="clear" w:color="auto" w:fill="FFFFFF"/>
        <w:tabs>
          <w:tab w:val="left" w:pos="4814"/>
        </w:tabs>
        <w:spacing w:after="230"/>
        <w:ind w:left="5"/>
      </w:pPr>
      <w:r>
        <w:rPr>
          <w:b/>
          <w:bCs/>
          <w:sz w:val="18"/>
          <w:szCs w:val="18"/>
          <w:lang w:val="es-ES_tradnl"/>
        </w:rPr>
        <w:t xml:space="preserve">22 -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4EC" w14:textId="77777777" w:rsidR="00591D54" w:rsidRDefault="00591D54">
      <w:pPr>
        <w:shd w:val="clear" w:color="auto" w:fill="FFFFFF"/>
        <w:tabs>
          <w:tab w:val="left" w:pos="4814"/>
        </w:tabs>
        <w:spacing w:after="230"/>
        <w:ind w:left="5"/>
        <w:sectPr w:rsidR="00591D54">
          <w:pgSz w:w="11909" w:h="16834"/>
          <w:pgMar w:top="1380" w:right="1309" w:bottom="360" w:left="1308" w:header="720" w:footer="720" w:gutter="0"/>
          <w:cols w:space="60"/>
          <w:noEndnote/>
        </w:sectPr>
      </w:pPr>
    </w:p>
    <w:p w14:paraId="4F67A4ED" w14:textId="77777777" w:rsidR="00591D54" w:rsidRDefault="00591D54">
      <w:pPr>
        <w:shd w:val="clear" w:color="auto" w:fill="FFFFFF"/>
        <w:spacing w:before="5" w:line="202" w:lineRule="exact"/>
        <w:jc w:val="both"/>
      </w:pPr>
      <w:r>
        <w:rPr>
          <w:spacing w:val="-5"/>
          <w:sz w:val="18"/>
          <w:szCs w:val="18"/>
          <w:lang w:val="es-ES_tradnl"/>
        </w:rPr>
        <w:t>La citada consulta se realiz</w:t>
      </w:r>
      <w:r>
        <w:rPr>
          <w:rFonts w:cs="Times New Roman"/>
          <w:spacing w:val="-5"/>
          <w:sz w:val="18"/>
          <w:szCs w:val="18"/>
          <w:lang w:val="es-ES_tradnl"/>
        </w:rPr>
        <w:t>ó</w:t>
      </w:r>
      <w:r>
        <w:rPr>
          <w:spacing w:val="-5"/>
          <w:sz w:val="18"/>
          <w:szCs w:val="18"/>
          <w:lang w:val="es-ES_tradnl"/>
        </w:rPr>
        <w:t xml:space="preserve"> luego de que iniciada la </w:t>
      </w:r>
      <w:r>
        <w:rPr>
          <w:spacing w:val="-6"/>
          <w:sz w:val="18"/>
          <w:szCs w:val="18"/>
          <w:lang w:val="es-ES_tradnl"/>
        </w:rPr>
        <w:t>instrucci</w:t>
      </w:r>
      <w:r>
        <w:rPr>
          <w:rFonts w:cs="Times New Roman"/>
          <w:spacing w:val="-6"/>
          <w:sz w:val="18"/>
          <w:szCs w:val="18"/>
          <w:lang w:val="es-ES_tradnl"/>
        </w:rPr>
        <w:t>ó</w:t>
      </w:r>
      <w:r>
        <w:rPr>
          <w:spacing w:val="-6"/>
          <w:sz w:val="18"/>
          <w:szCs w:val="18"/>
          <w:lang w:val="es-ES_tradnl"/>
        </w:rPr>
        <w:t xml:space="preserve">n fiscal en la causa y emitido el dictamen fiscal </w:t>
      </w:r>
      <w:r>
        <w:rPr>
          <w:spacing w:val="-2"/>
          <w:sz w:val="18"/>
          <w:szCs w:val="18"/>
          <w:lang w:val="es-ES_tradnl"/>
        </w:rPr>
        <w:t>acusatorio, el juez primero de Tr</w:t>
      </w:r>
      <w:r>
        <w:rPr>
          <w:rFonts w:cs="Times New Roman"/>
          <w:spacing w:val="-2"/>
          <w:sz w:val="18"/>
          <w:szCs w:val="18"/>
          <w:lang w:val="es-ES_tradnl"/>
        </w:rPr>
        <w:t>á</w:t>
      </w:r>
      <w:r>
        <w:rPr>
          <w:spacing w:val="-2"/>
          <w:sz w:val="18"/>
          <w:szCs w:val="18"/>
          <w:lang w:val="es-ES_tradnl"/>
        </w:rPr>
        <w:t xml:space="preserve">nsito de Imbabura </w:t>
      </w:r>
      <w:r>
        <w:rPr>
          <w:spacing w:val="-10"/>
          <w:sz w:val="18"/>
          <w:szCs w:val="18"/>
          <w:lang w:val="es-ES_tradnl"/>
        </w:rPr>
        <w:t>convoc</w:t>
      </w:r>
      <w:r>
        <w:rPr>
          <w:rFonts w:cs="Times New Roman"/>
          <w:spacing w:val="-10"/>
          <w:sz w:val="18"/>
          <w:szCs w:val="18"/>
          <w:lang w:val="es-ES_tradnl"/>
        </w:rPr>
        <w:t>ó</w:t>
      </w:r>
      <w:r>
        <w:rPr>
          <w:spacing w:val="-10"/>
          <w:sz w:val="18"/>
          <w:szCs w:val="18"/>
          <w:lang w:val="es-ES_tradnl"/>
        </w:rPr>
        <w:t xml:space="preserve"> a audiencia oral y p</w:t>
      </w:r>
      <w:r>
        <w:rPr>
          <w:rFonts w:cs="Times New Roman"/>
          <w:spacing w:val="-10"/>
          <w:sz w:val="18"/>
          <w:szCs w:val="18"/>
          <w:lang w:val="es-ES_tradnl"/>
        </w:rPr>
        <w:t>ú</w:t>
      </w:r>
      <w:r>
        <w:rPr>
          <w:spacing w:val="-10"/>
          <w:sz w:val="18"/>
          <w:szCs w:val="18"/>
          <w:lang w:val="es-ES_tradnl"/>
        </w:rPr>
        <w:t xml:space="preserve">blica de prueba y juzgamiento, </w:t>
      </w:r>
      <w:r>
        <w:rPr>
          <w:spacing w:val="-6"/>
          <w:sz w:val="18"/>
          <w:szCs w:val="18"/>
          <w:lang w:val="es-ES_tradnl"/>
        </w:rPr>
        <w:t>misma que por inasistencia del procesado fue diferida por dos ocasiones. Al tercer se</w:t>
      </w:r>
      <w:r>
        <w:rPr>
          <w:rFonts w:cs="Times New Roman"/>
          <w:spacing w:val="-6"/>
          <w:sz w:val="18"/>
          <w:szCs w:val="18"/>
          <w:lang w:val="es-ES_tradnl"/>
        </w:rPr>
        <w:t>ñ</w:t>
      </w:r>
      <w:r>
        <w:rPr>
          <w:spacing w:val="-6"/>
          <w:sz w:val="18"/>
          <w:szCs w:val="18"/>
          <w:lang w:val="es-ES_tradnl"/>
        </w:rPr>
        <w:t xml:space="preserve">alamiento de audiencia se </w:t>
      </w:r>
      <w:r>
        <w:rPr>
          <w:spacing w:val="-7"/>
          <w:sz w:val="18"/>
          <w:szCs w:val="18"/>
          <w:lang w:val="es-ES_tradnl"/>
        </w:rPr>
        <w:t>previno al defensor p</w:t>
      </w:r>
      <w:r>
        <w:rPr>
          <w:rFonts w:cs="Times New Roman"/>
          <w:spacing w:val="-7"/>
          <w:sz w:val="18"/>
          <w:szCs w:val="18"/>
          <w:lang w:val="es-ES_tradnl"/>
        </w:rPr>
        <w:t>ú</w:t>
      </w:r>
      <w:r>
        <w:rPr>
          <w:spacing w:val="-7"/>
          <w:sz w:val="18"/>
          <w:szCs w:val="18"/>
          <w:lang w:val="es-ES_tradnl"/>
        </w:rPr>
        <w:t>blico del acusado que conforme a lo dispuesto en el art</w:t>
      </w:r>
      <w:r>
        <w:rPr>
          <w:rFonts w:cs="Times New Roman"/>
          <w:spacing w:val="-7"/>
          <w:sz w:val="18"/>
          <w:szCs w:val="18"/>
          <w:lang w:val="es-ES_tradnl"/>
        </w:rPr>
        <w:t>í</w:t>
      </w:r>
      <w:r>
        <w:rPr>
          <w:spacing w:val="-7"/>
          <w:sz w:val="18"/>
          <w:szCs w:val="18"/>
          <w:lang w:val="es-ES_tradnl"/>
        </w:rPr>
        <w:t>culo 168 inciso 3 de la Ley Org</w:t>
      </w:r>
      <w:r>
        <w:rPr>
          <w:rFonts w:cs="Times New Roman"/>
          <w:spacing w:val="-7"/>
          <w:sz w:val="18"/>
          <w:szCs w:val="18"/>
          <w:lang w:val="es-ES_tradnl"/>
        </w:rPr>
        <w:t>á</w:t>
      </w:r>
      <w:r>
        <w:rPr>
          <w:spacing w:val="-7"/>
          <w:sz w:val="18"/>
          <w:szCs w:val="18"/>
          <w:lang w:val="es-ES_tradnl"/>
        </w:rPr>
        <w:t xml:space="preserve">nica de </w:t>
      </w:r>
      <w:r>
        <w:rPr>
          <w:spacing w:val="-6"/>
          <w:sz w:val="18"/>
          <w:szCs w:val="18"/>
          <w:lang w:val="es-ES_tradnl"/>
        </w:rPr>
        <w:t>Transporte Terrestre, Tr</w:t>
      </w:r>
      <w:r>
        <w:rPr>
          <w:rFonts w:cs="Times New Roman"/>
          <w:spacing w:val="-6"/>
          <w:sz w:val="18"/>
          <w:szCs w:val="18"/>
          <w:lang w:val="es-ES_tradnl"/>
        </w:rPr>
        <w:t>á</w:t>
      </w:r>
      <w:r>
        <w:rPr>
          <w:spacing w:val="-6"/>
          <w:sz w:val="18"/>
          <w:szCs w:val="18"/>
          <w:lang w:val="es-ES_tradnl"/>
        </w:rPr>
        <w:t xml:space="preserve">nsito y Seguridad Vial, la misma </w:t>
      </w:r>
      <w:r>
        <w:rPr>
          <w:sz w:val="18"/>
          <w:szCs w:val="18"/>
          <w:lang w:val="es-ES_tradnl"/>
        </w:rPr>
        <w:t>se llevar</w:t>
      </w:r>
      <w:r>
        <w:rPr>
          <w:rFonts w:cs="Times New Roman"/>
          <w:sz w:val="18"/>
          <w:szCs w:val="18"/>
          <w:lang w:val="es-ES_tradnl"/>
        </w:rPr>
        <w:t>í</w:t>
      </w:r>
      <w:r>
        <w:rPr>
          <w:sz w:val="18"/>
          <w:szCs w:val="18"/>
          <w:lang w:val="es-ES_tradnl"/>
        </w:rPr>
        <w:t>a a cabo en su ausencia.</w:t>
      </w:r>
    </w:p>
    <w:p w14:paraId="4F67A4EE" w14:textId="77777777" w:rsidR="00591D54" w:rsidRDefault="00591D54">
      <w:pPr>
        <w:shd w:val="clear" w:color="auto" w:fill="FFFFFF"/>
        <w:spacing w:before="187" w:line="202" w:lineRule="exact"/>
        <w:jc w:val="both"/>
      </w:pPr>
      <w:r>
        <w:rPr>
          <w:spacing w:val="-8"/>
          <w:sz w:val="18"/>
          <w:szCs w:val="18"/>
          <w:lang w:val="es-ES_tradnl"/>
        </w:rPr>
        <w:t>Por esta raz</w:t>
      </w:r>
      <w:r>
        <w:rPr>
          <w:rFonts w:cs="Times New Roman"/>
          <w:spacing w:val="-8"/>
          <w:sz w:val="18"/>
          <w:szCs w:val="18"/>
          <w:lang w:val="es-ES_tradnl"/>
        </w:rPr>
        <w:t>ó</w:t>
      </w:r>
      <w:r>
        <w:rPr>
          <w:spacing w:val="-8"/>
          <w:sz w:val="18"/>
          <w:szCs w:val="18"/>
          <w:lang w:val="es-ES_tradnl"/>
        </w:rPr>
        <w:t>n, el doctor Fabi</w:t>
      </w:r>
      <w:r>
        <w:rPr>
          <w:rFonts w:cs="Times New Roman"/>
          <w:spacing w:val="-8"/>
          <w:sz w:val="18"/>
          <w:szCs w:val="18"/>
          <w:lang w:val="es-ES_tradnl"/>
        </w:rPr>
        <w:t>á</w:t>
      </w:r>
      <w:r>
        <w:rPr>
          <w:spacing w:val="-8"/>
          <w:sz w:val="18"/>
          <w:szCs w:val="18"/>
          <w:lang w:val="es-ES_tradnl"/>
        </w:rPr>
        <w:t>n Pazmi</w:t>
      </w:r>
      <w:r>
        <w:rPr>
          <w:rFonts w:cs="Times New Roman"/>
          <w:spacing w:val="-8"/>
          <w:sz w:val="18"/>
          <w:szCs w:val="18"/>
          <w:lang w:val="es-ES_tradnl"/>
        </w:rPr>
        <w:t>ñ</w:t>
      </w:r>
      <w:r>
        <w:rPr>
          <w:spacing w:val="-8"/>
          <w:sz w:val="18"/>
          <w:szCs w:val="18"/>
          <w:lang w:val="es-ES_tradnl"/>
        </w:rPr>
        <w:t xml:space="preserve">o Bonilla, defensor </w:t>
      </w:r>
      <w:r>
        <w:rPr>
          <w:spacing w:val="-2"/>
          <w:sz w:val="18"/>
          <w:szCs w:val="18"/>
          <w:lang w:val="es-ES_tradnl"/>
        </w:rPr>
        <w:t>p</w:t>
      </w:r>
      <w:r>
        <w:rPr>
          <w:rFonts w:cs="Times New Roman"/>
          <w:spacing w:val="-2"/>
          <w:sz w:val="18"/>
          <w:szCs w:val="18"/>
          <w:lang w:val="es-ES_tradnl"/>
        </w:rPr>
        <w:t>ú</w:t>
      </w:r>
      <w:r>
        <w:rPr>
          <w:spacing w:val="-2"/>
          <w:sz w:val="18"/>
          <w:szCs w:val="18"/>
          <w:lang w:val="es-ES_tradnl"/>
        </w:rPr>
        <w:t>blico del acusado, solicit</w:t>
      </w:r>
      <w:r>
        <w:rPr>
          <w:rFonts w:cs="Times New Roman"/>
          <w:spacing w:val="-2"/>
          <w:sz w:val="18"/>
          <w:szCs w:val="18"/>
          <w:lang w:val="es-ES_tradnl"/>
        </w:rPr>
        <w:t>ó</w:t>
      </w:r>
      <w:r>
        <w:rPr>
          <w:spacing w:val="-2"/>
          <w:sz w:val="18"/>
          <w:szCs w:val="18"/>
          <w:lang w:val="es-ES_tradnl"/>
        </w:rPr>
        <w:t xml:space="preserve"> al juez primero de tr</w:t>
      </w:r>
      <w:r>
        <w:rPr>
          <w:rFonts w:cs="Times New Roman"/>
          <w:spacing w:val="-2"/>
          <w:sz w:val="18"/>
          <w:szCs w:val="18"/>
          <w:lang w:val="es-ES_tradnl"/>
        </w:rPr>
        <w:t>á</w:t>
      </w:r>
      <w:r>
        <w:rPr>
          <w:spacing w:val="-2"/>
          <w:sz w:val="18"/>
          <w:szCs w:val="18"/>
          <w:lang w:val="es-ES_tradnl"/>
        </w:rPr>
        <w:t xml:space="preserve">nsito </w:t>
      </w:r>
      <w:r>
        <w:rPr>
          <w:spacing w:val="-5"/>
          <w:sz w:val="18"/>
          <w:szCs w:val="18"/>
          <w:lang w:val="es-ES_tradnl"/>
        </w:rPr>
        <w:t xml:space="preserve">de Imbabura remitir el proceso a la Corte Constitucional, </w:t>
      </w:r>
      <w:r>
        <w:rPr>
          <w:spacing w:val="-3"/>
          <w:sz w:val="18"/>
          <w:szCs w:val="18"/>
          <w:lang w:val="es-ES_tradnl"/>
        </w:rPr>
        <w:t xml:space="preserve">por cuanto consideraba que la norma invocada, para </w:t>
      </w:r>
      <w:r>
        <w:rPr>
          <w:spacing w:val="-6"/>
          <w:sz w:val="18"/>
          <w:szCs w:val="18"/>
          <w:lang w:val="es-ES_tradnl"/>
        </w:rPr>
        <w:t>juzgar en ausencia, estar</w:t>
      </w:r>
      <w:r>
        <w:rPr>
          <w:rFonts w:cs="Times New Roman"/>
          <w:spacing w:val="-6"/>
          <w:sz w:val="18"/>
          <w:szCs w:val="18"/>
          <w:lang w:val="es-ES_tradnl"/>
        </w:rPr>
        <w:t>í</w:t>
      </w:r>
      <w:r>
        <w:rPr>
          <w:spacing w:val="-6"/>
          <w:sz w:val="18"/>
          <w:szCs w:val="18"/>
          <w:lang w:val="es-ES_tradnl"/>
        </w:rPr>
        <w:t>a vulnerando los principios y derechos constitucionales de inmediaci</w:t>
      </w:r>
      <w:r>
        <w:rPr>
          <w:rFonts w:cs="Times New Roman"/>
          <w:spacing w:val="-6"/>
          <w:sz w:val="18"/>
          <w:szCs w:val="18"/>
          <w:lang w:val="es-ES_tradnl"/>
        </w:rPr>
        <w:t>ó</w:t>
      </w:r>
      <w:r>
        <w:rPr>
          <w:spacing w:val="-6"/>
          <w:sz w:val="18"/>
          <w:szCs w:val="18"/>
          <w:lang w:val="es-ES_tradnl"/>
        </w:rPr>
        <w:t>n, concentraci</w:t>
      </w:r>
      <w:r>
        <w:rPr>
          <w:rFonts w:cs="Times New Roman"/>
          <w:spacing w:val="-6"/>
          <w:sz w:val="18"/>
          <w:szCs w:val="18"/>
          <w:lang w:val="es-ES_tradnl"/>
        </w:rPr>
        <w:t>ó</w:t>
      </w:r>
      <w:r>
        <w:rPr>
          <w:spacing w:val="-6"/>
          <w:sz w:val="18"/>
          <w:szCs w:val="18"/>
          <w:lang w:val="es-ES_tradnl"/>
        </w:rPr>
        <w:t xml:space="preserve">n, </w:t>
      </w:r>
      <w:r>
        <w:rPr>
          <w:sz w:val="18"/>
          <w:szCs w:val="18"/>
          <w:lang w:val="es-ES_tradnl"/>
        </w:rPr>
        <w:t>contradicci</w:t>
      </w:r>
      <w:r>
        <w:rPr>
          <w:rFonts w:cs="Times New Roman"/>
          <w:sz w:val="18"/>
          <w:szCs w:val="18"/>
          <w:lang w:val="es-ES_tradnl"/>
        </w:rPr>
        <w:t>ó</w:t>
      </w:r>
      <w:r>
        <w:rPr>
          <w:sz w:val="18"/>
          <w:szCs w:val="18"/>
          <w:lang w:val="es-ES_tradnl"/>
        </w:rPr>
        <w:t>n y defensa.</w:t>
      </w:r>
    </w:p>
    <w:p w14:paraId="4F67A4EF" w14:textId="77777777" w:rsidR="00591D54" w:rsidRDefault="00591D54">
      <w:pPr>
        <w:shd w:val="clear" w:color="auto" w:fill="FFFFFF"/>
        <w:spacing w:before="178"/>
      </w:pPr>
      <w:r>
        <w:rPr>
          <w:b/>
          <w:bCs/>
          <w:spacing w:val="-6"/>
          <w:sz w:val="18"/>
          <w:szCs w:val="18"/>
          <w:lang w:val="es-ES_tradnl"/>
        </w:rPr>
        <w:t>Caso N.</w:t>
      </w:r>
      <w:r>
        <w:rPr>
          <w:rFonts w:cs="Times New Roman"/>
          <w:b/>
          <w:bCs/>
          <w:spacing w:val="-6"/>
          <w:sz w:val="18"/>
          <w:szCs w:val="18"/>
          <w:lang w:val="es-ES_tradnl"/>
        </w:rPr>
        <w:t>°</w:t>
      </w:r>
      <w:r>
        <w:rPr>
          <w:b/>
          <w:bCs/>
          <w:spacing w:val="-6"/>
          <w:sz w:val="18"/>
          <w:szCs w:val="18"/>
          <w:lang w:val="es-ES_tradnl"/>
        </w:rPr>
        <w:t xml:space="preserve"> 0009-10-CN</w:t>
      </w:r>
    </w:p>
    <w:p w14:paraId="4F67A4F0" w14:textId="77777777" w:rsidR="00591D54" w:rsidRDefault="00591D54">
      <w:pPr>
        <w:shd w:val="clear" w:color="auto" w:fill="FFFFFF"/>
        <w:spacing w:before="182" w:line="202" w:lineRule="exact"/>
        <w:jc w:val="both"/>
      </w:pPr>
      <w:r>
        <w:rPr>
          <w:spacing w:val="-5"/>
          <w:sz w:val="18"/>
          <w:szCs w:val="18"/>
          <w:lang w:val="es-ES_tradnl"/>
        </w:rPr>
        <w:t xml:space="preserve">El 14 de enero del 2010, el doctor Carlos Marino Burneo </w:t>
      </w:r>
      <w:r>
        <w:rPr>
          <w:spacing w:val="-8"/>
          <w:sz w:val="18"/>
          <w:szCs w:val="18"/>
          <w:lang w:val="es-ES_tradnl"/>
        </w:rPr>
        <w:t>Escudero, juez primero de tr</w:t>
      </w:r>
      <w:r>
        <w:rPr>
          <w:rFonts w:cs="Times New Roman"/>
          <w:spacing w:val="-8"/>
          <w:sz w:val="18"/>
          <w:szCs w:val="18"/>
          <w:lang w:val="es-ES_tradnl"/>
        </w:rPr>
        <w:t>á</w:t>
      </w:r>
      <w:r>
        <w:rPr>
          <w:spacing w:val="-8"/>
          <w:sz w:val="18"/>
          <w:szCs w:val="18"/>
          <w:lang w:val="es-ES_tradnl"/>
        </w:rPr>
        <w:t>nsito de Imbabura, suspendi</w:t>
      </w:r>
      <w:r>
        <w:rPr>
          <w:rFonts w:cs="Times New Roman"/>
          <w:spacing w:val="-8"/>
          <w:sz w:val="18"/>
          <w:szCs w:val="18"/>
          <w:lang w:val="es-ES_tradnl"/>
        </w:rPr>
        <w:t xml:space="preserve">ó </w:t>
      </w:r>
      <w:r>
        <w:rPr>
          <w:spacing w:val="-4"/>
          <w:sz w:val="18"/>
          <w:szCs w:val="18"/>
          <w:lang w:val="es-ES_tradnl"/>
        </w:rPr>
        <w:t>el tr</w:t>
      </w:r>
      <w:r>
        <w:rPr>
          <w:rFonts w:cs="Times New Roman"/>
          <w:spacing w:val="-4"/>
          <w:sz w:val="18"/>
          <w:szCs w:val="18"/>
          <w:lang w:val="es-ES_tradnl"/>
        </w:rPr>
        <w:t>á</w:t>
      </w:r>
      <w:r>
        <w:rPr>
          <w:spacing w:val="-4"/>
          <w:sz w:val="18"/>
          <w:szCs w:val="18"/>
          <w:lang w:val="es-ES_tradnl"/>
        </w:rPr>
        <w:t>mite y remiti</w:t>
      </w:r>
      <w:r>
        <w:rPr>
          <w:rFonts w:cs="Times New Roman"/>
          <w:spacing w:val="-4"/>
          <w:sz w:val="18"/>
          <w:szCs w:val="18"/>
          <w:lang w:val="es-ES_tradnl"/>
        </w:rPr>
        <w:t>ó</w:t>
      </w:r>
      <w:r>
        <w:rPr>
          <w:spacing w:val="-4"/>
          <w:sz w:val="18"/>
          <w:szCs w:val="18"/>
          <w:lang w:val="es-ES_tradnl"/>
        </w:rPr>
        <w:t xml:space="preserve"> en consulta a la Corte Constitucional, para el periodo de transici</w:t>
      </w:r>
      <w:r>
        <w:rPr>
          <w:rFonts w:cs="Times New Roman"/>
          <w:spacing w:val="-4"/>
          <w:sz w:val="18"/>
          <w:szCs w:val="18"/>
          <w:lang w:val="es-ES_tradnl"/>
        </w:rPr>
        <w:t>ó</w:t>
      </w:r>
      <w:r>
        <w:rPr>
          <w:spacing w:val="-4"/>
          <w:sz w:val="18"/>
          <w:szCs w:val="18"/>
          <w:lang w:val="es-ES_tradnl"/>
        </w:rPr>
        <w:t>n, la causa N.</w:t>
      </w:r>
      <w:r>
        <w:rPr>
          <w:rFonts w:cs="Times New Roman"/>
          <w:spacing w:val="-4"/>
          <w:sz w:val="18"/>
          <w:szCs w:val="18"/>
          <w:lang w:val="es-ES_tradnl"/>
        </w:rPr>
        <w:t>º</w:t>
      </w:r>
      <w:r>
        <w:rPr>
          <w:spacing w:val="-4"/>
          <w:sz w:val="18"/>
          <w:szCs w:val="18"/>
          <w:lang w:val="es-ES_tradnl"/>
        </w:rPr>
        <w:t xml:space="preserve"> 0314-2009, dentro del juicio por accidente tr</w:t>
      </w:r>
      <w:r>
        <w:rPr>
          <w:rFonts w:cs="Times New Roman"/>
          <w:spacing w:val="-4"/>
          <w:sz w:val="18"/>
          <w:szCs w:val="18"/>
          <w:lang w:val="es-ES_tradnl"/>
        </w:rPr>
        <w:t>á</w:t>
      </w:r>
      <w:r>
        <w:rPr>
          <w:spacing w:val="-4"/>
          <w:sz w:val="18"/>
          <w:szCs w:val="18"/>
          <w:lang w:val="es-ES_tradnl"/>
        </w:rPr>
        <w:t xml:space="preserve">nsito, seguido por la </w:t>
      </w:r>
      <w:r>
        <w:rPr>
          <w:spacing w:val="-9"/>
          <w:sz w:val="18"/>
          <w:szCs w:val="18"/>
          <w:lang w:val="es-ES_tradnl"/>
        </w:rPr>
        <w:t>Fiscal</w:t>
      </w:r>
      <w:r>
        <w:rPr>
          <w:rFonts w:cs="Times New Roman"/>
          <w:spacing w:val="-9"/>
          <w:sz w:val="18"/>
          <w:szCs w:val="18"/>
          <w:lang w:val="es-ES_tradnl"/>
        </w:rPr>
        <w:t>í</w:t>
      </w:r>
      <w:r>
        <w:rPr>
          <w:spacing w:val="-9"/>
          <w:sz w:val="18"/>
          <w:szCs w:val="18"/>
          <w:lang w:val="es-ES_tradnl"/>
        </w:rPr>
        <w:t>a General del Estado y Ver</w:t>
      </w:r>
      <w:r>
        <w:rPr>
          <w:rFonts w:cs="Times New Roman"/>
          <w:spacing w:val="-9"/>
          <w:sz w:val="18"/>
          <w:szCs w:val="18"/>
          <w:lang w:val="es-ES_tradnl"/>
        </w:rPr>
        <w:t>ó</w:t>
      </w:r>
      <w:r>
        <w:rPr>
          <w:spacing w:val="-9"/>
          <w:sz w:val="18"/>
          <w:szCs w:val="18"/>
          <w:lang w:val="es-ES_tradnl"/>
        </w:rPr>
        <w:t xml:space="preserve">nica Alexandra Quintana </w:t>
      </w:r>
      <w:r>
        <w:rPr>
          <w:spacing w:val="-7"/>
          <w:sz w:val="18"/>
          <w:szCs w:val="18"/>
          <w:lang w:val="es-ES_tradnl"/>
        </w:rPr>
        <w:t>Calder</w:t>
      </w:r>
      <w:r>
        <w:rPr>
          <w:rFonts w:cs="Times New Roman"/>
          <w:spacing w:val="-7"/>
          <w:sz w:val="18"/>
          <w:szCs w:val="18"/>
          <w:lang w:val="es-ES_tradnl"/>
        </w:rPr>
        <w:t>ó</w:t>
      </w:r>
      <w:r>
        <w:rPr>
          <w:spacing w:val="-7"/>
          <w:sz w:val="18"/>
          <w:szCs w:val="18"/>
          <w:lang w:val="es-ES_tradnl"/>
        </w:rPr>
        <w:t xml:space="preserve">n, en calidad de acusadora particular, en contra de </w:t>
      </w:r>
      <w:r>
        <w:rPr>
          <w:sz w:val="18"/>
          <w:szCs w:val="18"/>
          <w:lang w:val="es-ES_tradnl"/>
        </w:rPr>
        <w:t>Amparito Elizabeth Rosero Reina.</w:t>
      </w:r>
    </w:p>
    <w:p w14:paraId="4F67A4F1" w14:textId="77777777" w:rsidR="00591D54" w:rsidRDefault="00591D54">
      <w:pPr>
        <w:shd w:val="clear" w:color="auto" w:fill="FFFFFF"/>
        <w:spacing w:before="182" w:line="202" w:lineRule="exact"/>
        <w:jc w:val="both"/>
      </w:pPr>
      <w:r>
        <w:rPr>
          <w:spacing w:val="-5"/>
          <w:sz w:val="18"/>
          <w:szCs w:val="18"/>
          <w:lang w:val="es-ES_tradnl"/>
        </w:rPr>
        <w:t>La citada consulta se realiz</w:t>
      </w:r>
      <w:r>
        <w:rPr>
          <w:rFonts w:cs="Times New Roman"/>
          <w:spacing w:val="-5"/>
          <w:sz w:val="18"/>
          <w:szCs w:val="18"/>
          <w:lang w:val="es-ES_tradnl"/>
        </w:rPr>
        <w:t>ó</w:t>
      </w:r>
      <w:r>
        <w:rPr>
          <w:spacing w:val="-5"/>
          <w:sz w:val="18"/>
          <w:szCs w:val="18"/>
          <w:lang w:val="es-ES_tradnl"/>
        </w:rPr>
        <w:t xml:space="preserve"> luego de que iniciada la </w:t>
      </w:r>
      <w:r>
        <w:rPr>
          <w:spacing w:val="-6"/>
          <w:sz w:val="18"/>
          <w:szCs w:val="18"/>
          <w:lang w:val="es-ES_tradnl"/>
        </w:rPr>
        <w:t>instrucci</w:t>
      </w:r>
      <w:r>
        <w:rPr>
          <w:rFonts w:cs="Times New Roman"/>
          <w:spacing w:val="-6"/>
          <w:sz w:val="18"/>
          <w:szCs w:val="18"/>
          <w:lang w:val="es-ES_tradnl"/>
        </w:rPr>
        <w:t>ó</w:t>
      </w:r>
      <w:r>
        <w:rPr>
          <w:spacing w:val="-6"/>
          <w:sz w:val="18"/>
          <w:szCs w:val="18"/>
          <w:lang w:val="es-ES_tradnl"/>
        </w:rPr>
        <w:t xml:space="preserve">n fiscal en la causa y emitido el dictamen fiscal </w:t>
      </w:r>
      <w:r>
        <w:rPr>
          <w:spacing w:val="-9"/>
          <w:sz w:val="18"/>
          <w:szCs w:val="18"/>
          <w:lang w:val="es-ES_tradnl"/>
        </w:rPr>
        <w:t>acusatorio, el juez primero de tr</w:t>
      </w:r>
      <w:r>
        <w:rPr>
          <w:rFonts w:cs="Times New Roman"/>
          <w:spacing w:val="-9"/>
          <w:sz w:val="18"/>
          <w:szCs w:val="18"/>
          <w:lang w:val="es-ES_tradnl"/>
        </w:rPr>
        <w:t>á</w:t>
      </w:r>
      <w:r>
        <w:rPr>
          <w:spacing w:val="-9"/>
          <w:sz w:val="18"/>
          <w:szCs w:val="18"/>
          <w:lang w:val="es-ES_tradnl"/>
        </w:rPr>
        <w:t>nsito de Imbabura convoc</w:t>
      </w:r>
      <w:r>
        <w:rPr>
          <w:rFonts w:cs="Times New Roman"/>
          <w:spacing w:val="-9"/>
          <w:sz w:val="18"/>
          <w:szCs w:val="18"/>
          <w:lang w:val="es-ES_tradnl"/>
        </w:rPr>
        <w:t xml:space="preserve">ó </w:t>
      </w:r>
      <w:r>
        <w:rPr>
          <w:spacing w:val="-4"/>
          <w:sz w:val="18"/>
          <w:szCs w:val="18"/>
          <w:lang w:val="es-ES_tradnl"/>
        </w:rPr>
        <w:t>a audiencia oral y p</w:t>
      </w:r>
      <w:r>
        <w:rPr>
          <w:rFonts w:cs="Times New Roman"/>
          <w:spacing w:val="-4"/>
          <w:sz w:val="18"/>
          <w:szCs w:val="18"/>
          <w:lang w:val="es-ES_tradnl"/>
        </w:rPr>
        <w:t>ú</w:t>
      </w:r>
      <w:r>
        <w:rPr>
          <w:spacing w:val="-4"/>
          <w:sz w:val="18"/>
          <w:szCs w:val="18"/>
          <w:lang w:val="es-ES_tradnl"/>
        </w:rPr>
        <w:t xml:space="preserve">blica de prueba y juzgamiento, la </w:t>
      </w:r>
      <w:r>
        <w:rPr>
          <w:spacing w:val="-2"/>
          <w:sz w:val="18"/>
          <w:szCs w:val="18"/>
          <w:lang w:val="es-ES_tradnl"/>
        </w:rPr>
        <w:t xml:space="preserve">misma que por inasistencia del procesado fue diferida </w:t>
      </w:r>
      <w:r>
        <w:rPr>
          <w:spacing w:val="-8"/>
          <w:sz w:val="18"/>
          <w:szCs w:val="18"/>
          <w:lang w:val="es-ES_tradnl"/>
        </w:rPr>
        <w:t>por dos ocasiones. Al tercer se</w:t>
      </w:r>
      <w:r>
        <w:rPr>
          <w:rFonts w:cs="Times New Roman"/>
          <w:spacing w:val="-8"/>
          <w:sz w:val="18"/>
          <w:szCs w:val="18"/>
          <w:lang w:val="es-ES_tradnl"/>
        </w:rPr>
        <w:t>ñ</w:t>
      </w:r>
      <w:r>
        <w:rPr>
          <w:spacing w:val="-8"/>
          <w:sz w:val="18"/>
          <w:szCs w:val="18"/>
          <w:lang w:val="es-ES_tradnl"/>
        </w:rPr>
        <w:t xml:space="preserve">alamiento de audiencia se </w:t>
      </w:r>
      <w:r>
        <w:rPr>
          <w:spacing w:val="-7"/>
          <w:sz w:val="18"/>
          <w:szCs w:val="18"/>
          <w:lang w:val="es-ES_tradnl"/>
        </w:rPr>
        <w:t>previno al defensor p</w:t>
      </w:r>
      <w:r>
        <w:rPr>
          <w:rFonts w:cs="Times New Roman"/>
          <w:spacing w:val="-7"/>
          <w:sz w:val="18"/>
          <w:szCs w:val="18"/>
          <w:lang w:val="es-ES_tradnl"/>
        </w:rPr>
        <w:t>ú</w:t>
      </w:r>
      <w:r>
        <w:rPr>
          <w:spacing w:val="-7"/>
          <w:sz w:val="18"/>
          <w:szCs w:val="18"/>
          <w:lang w:val="es-ES_tradnl"/>
        </w:rPr>
        <w:t>blico del acusado que conforme a lo dispuesto en el art</w:t>
      </w:r>
      <w:r>
        <w:rPr>
          <w:rFonts w:cs="Times New Roman"/>
          <w:spacing w:val="-7"/>
          <w:sz w:val="18"/>
          <w:szCs w:val="18"/>
          <w:lang w:val="es-ES_tradnl"/>
        </w:rPr>
        <w:t>í</w:t>
      </w:r>
      <w:r>
        <w:rPr>
          <w:spacing w:val="-7"/>
          <w:sz w:val="18"/>
          <w:szCs w:val="18"/>
          <w:lang w:val="es-ES_tradnl"/>
        </w:rPr>
        <w:t>culo 168 inciso 3 de la Ley Org</w:t>
      </w:r>
      <w:r>
        <w:rPr>
          <w:rFonts w:cs="Times New Roman"/>
          <w:spacing w:val="-7"/>
          <w:sz w:val="18"/>
          <w:szCs w:val="18"/>
          <w:lang w:val="es-ES_tradnl"/>
        </w:rPr>
        <w:t>á</w:t>
      </w:r>
      <w:r>
        <w:rPr>
          <w:spacing w:val="-7"/>
          <w:sz w:val="18"/>
          <w:szCs w:val="18"/>
          <w:lang w:val="es-ES_tradnl"/>
        </w:rPr>
        <w:t xml:space="preserve">nica de </w:t>
      </w:r>
      <w:r>
        <w:rPr>
          <w:spacing w:val="-6"/>
          <w:sz w:val="18"/>
          <w:szCs w:val="18"/>
          <w:lang w:val="es-ES_tradnl"/>
        </w:rPr>
        <w:t>Transporte Terrestre, Tr</w:t>
      </w:r>
      <w:r>
        <w:rPr>
          <w:rFonts w:cs="Times New Roman"/>
          <w:spacing w:val="-6"/>
          <w:sz w:val="18"/>
          <w:szCs w:val="18"/>
          <w:lang w:val="es-ES_tradnl"/>
        </w:rPr>
        <w:t>á</w:t>
      </w:r>
      <w:r>
        <w:rPr>
          <w:spacing w:val="-6"/>
          <w:sz w:val="18"/>
          <w:szCs w:val="18"/>
          <w:lang w:val="es-ES_tradnl"/>
        </w:rPr>
        <w:t xml:space="preserve">nsito y Seguridad Vial, la misma </w:t>
      </w:r>
      <w:r>
        <w:rPr>
          <w:sz w:val="18"/>
          <w:szCs w:val="18"/>
          <w:lang w:val="es-ES_tradnl"/>
        </w:rPr>
        <w:t>se llevar</w:t>
      </w:r>
      <w:r>
        <w:rPr>
          <w:rFonts w:cs="Times New Roman"/>
          <w:sz w:val="18"/>
          <w:szCs w:val="18"/>
          <w:lang w:val="es-ES_tradnl"/>
        </w:rPr>
        <w:t>í</w:t>
      </w:r>
      <w:r>
        <w:rPr>
          <w:sz w:val="18"/>
          <w:szCs w:val="18"/>
          <w:lang w:val="es-ES_tradnl"/>
        </w:rPr>
        <w:t>a a cabo en su ausencia.</w:t>
      </w:r>
    </w:p>
    <w:p w14:paraId="4F67A4F2" w14:textId="77777777" w:rsidR="00591D54" w:rsidRDefault="00591D54">
      <w:pPr>
        <w:shd w:val="clear" w:color="auto" w:fill="FFFFFF"/>
        <w:spacing w:before="182" w:line="202" w:lineRule="exact"/>
        <w:jc w:val="both"/>
      </w:pPr>
      <w:r>
        <w:rPr>
          <w:spacing w:val="-8"/>
          <w:sz w:val="18"/>
          <w:szCs w:val="18"/>
          <w:lang w:val="es-ES_tradnl"/>
        </w:rPr>
        <w:t>Por esta raz</w:t>
      </w:r>
      <w:r>
        <w:rPr>
          <w:rFonts w:cs="Times New Roman"/>
          <w:spacing w:val="-8"/>
          <w:sz w:val="18"/>
          <w:szCs w:val="18"/>
          <w:lang w:val="es-ES_tradnl"/>
        </w:rPr>
        <w:t>ó</w:t>
      </w:r>
      <w:r>
        <w:rPr>
          <w:spacing w:val="-8"/>
          <w:sz w:val="18"/>
          <w:szCs w:val="18"/>
          <w:lang w:val="es-ES_tradnl"/>
        </w:rPr>
        <w:t>n, el doctor Fabi</w:t>
      </w:r>
      <w:r>
        <w:rPr>
          <w:rFonts w:cs="Times New Roman"/>
          <w:spacing w:val="-8"/>
          <w:sz w:val="18"/>
          <w:szCs w:val="18"/>
          <w:lang w:val="es-ES_tradnl"/>
        </w:rPr>
        <w:t>á</w:t>
      </w:r>
      <w:r>
        <w:rPr>
          <w:spacing w:val="-8"/>
          <w:sz w:val="18"/>
          <w:szCs w:val="18"/>
          <w:lang w:val="es-ES_tradnl"/>
        </w:rPr>
        <w:t>n Pazmi</w:t>
      </w:r>
      <w:r>
        <w:rPr>
          <w:rFonts w:cs="Times New Roman"/>
          <w:spacing w:val="-8"/>
          <w:sz w:val="18"/>
          <w:szCs w:val="18"/>
          <w:lang w:val="es-ES_tradnl"/>
        </w:rPr>
        <w:t>ñ</w:t>
      </w:r>
      <w:r>
        <w:rPr>
          <w:spacing w:val="-8"/>
          <w:sz w:val="18"/>
          <w:szCs w:val="18"/>
          <w:lang w:val="es-ES_tradnl"/>
        </w:rPr>
        <w:t xml:space="preserve">o Bonilla, defensor </w:t>
      </w:r>
      <w:r>
        <w:rPr>
          <w:spacing w:val="-2"/>
          <w:sz w:val="18"/>
          <w:szCs w:val="18"/>
          <w:lang w:val="es-ES_tradnl"/>
        </w:rPr>
        <w:t>p</w:t>
      </w:r>
      <w:r>
        <w:rPr>
          <w:rFonts w:cs="Times New Roman"/>
          <w:spacing w:val="-2"/>
          <w:sz w:val="18"/>
          <w:szCs w:val="18"/>
          <w:lang w:val="es-ES_tradnl"/>
        </w:rPr>
        <w:t>ú</w:t>
      </w:r>
      <w:r>
        <w:rPr>
          <w:spacing w:val="-2"/>
          <w:sz w:val="18"/>
          <w:szCs w:val="18"/>
          <w:lang w:val="es-ES_tradnl"/>
        </w:rPr>
        <w:t>blico del acusado, solicit</w:t>
      </w:r>
      <w:r>
        <w:rPr>
          <w:rFonts w:cs="Times New Roman"/>
          <w:spacing w:val="-2"/>
          <w:sz w:val="18"/>
          <w:szCs w:val="18"/>
          <w:lang w:val="es-ES_tradnl"/>
        </w:rPr>
        <w:t>ó</w:t>
      </w:r>
      <w:r>
        <w:rPr>
          <w:spacing w:val="-2"/>
          <w:sz w:val="18"/>
          <w:szCs w:val="18"/>
          <w:lang w:val="es-ES_tradnl"/>
        </w:rPr>
        <w:t xml:space="preserve"> al juez primero de tr</w:t>
      </w:r>
      <w:r>
        <w:rPr>
          <w:rFonts w:cs="Times New Roman"/>
          <w:spacing w:val="-2"/>
          <w:sz w:val="18"/>
          <w:szCs w:val="18"/>
          <w:lang w:val="es-ES_tradnl"/>
        </w:rPr>
        <w:t>á</w:t>
      </w:r>
      <w:r>
        <w:rPr>
          <w:spacing w:val="-2"/>
          <w:sz w:val="18"/>
          <w:szCs w:val="18"/>
          <w:lang w:val="es-ES_tradnl"/>
        </w:rPr>
        <w:t xml:space="preserve">nsito </w:t>
      </w:r>
      <w:r>
        <w:rPr>
          <w:spacing w:val="-5"/>
          <w:sz w:val="18"/>
          <w:szCs w:val="18"/>
          <w:lang w:val="es-ES_tradnl"/>
        </w:rPr>
        <w:t xml:space="preserve">de Imbabura remitir el proceso a la Corte Constitucional, </w:t>
      </w:r>
      <w:r>
        <w:rPr>
          <w:spacing w:val="-3"/>
          <w:sz w:val="18"/>
          <w:szCs w:val="18"/>
          <w:lang w:val="es-ES_tradnl"/>
        </w:rPr>
        <w:t xml:space="preserve">por cuanto consideraba que la norma invocada, para </w:t>
      </w:r>
      <w:r>
        <w:rPr>
          <w:spacing w:val="-6"/>
          <w:sz w:val="18"/>
          <w:szCs w:val="18"/>
          <w:lang w:val="es-ES_tradnl"/>
        </w:rPr>
        <w:t>juzgar en ausencia, estar</w:t>
      </w:r>
      <w:r>
        <w:rPr>
          <w:rFonts w:cs="Times New Roman"/>
          <w:spacing w:val="-6"/>
          <w:sz w:val="18"/>
          <w:szCs w:val="18"/>
          <w:lang w:val="es-ES_tradnl"/>
        </w:rPr>
        <w:t>í</w:t>
      </w:r>
      <w:r>
        <w:rPr>
          <w:spacing w:val="-6"/>
          <w:sz w:val="18"/>
          <w:szCs w:val="18"/>
          <w:lang w:val="es-ES_tradnl"/>
        </w:rPr>
        <w:t>a vulnerando los principios y derechos constitucionales de inmediaci</w:t>
      </w:r>
      <w:r>
        <w:rPr>
          <w:rFonts w:cs="Times New Roman"/>
          <w:spacing w:val="-6"/>
          <w:sz w:val="18"/>
          <w:szCs w:val="18"/>
          <w:lang w:val="es-ES_tradnl"/>
        </w:rPr>
        <w:t>ó</w:t>
      </w:r>
      <w:r>
        <w:rPr>
          <w:spacing w:val="-6"/>
          <w:sz w:val="18"/>
          <w:szCs w:val="18"/>
          <w:lang w:val="es-ES_tradnl"/>
        </w:rPr>
        <w:t>n, concentraci</w:t>
      </w:r>
      <w:r>
        <w:rPr>
          <w:rFonts w:cs="Times New Roman"/>
          <w:spacing w:val="-6"/>
          <w:sz w:val="18"/>
          <w:szCs w:val="18"/>
          <w:lang w:val="es-ES_tradnl"/>
        </w:rPr>
        <w:t>ó</w:t>
      </w:r>
      <w:r>
        <w:rPr>
          <w:spacing w:val="-6"/>
          <w:sz w:val="18"/>
          <w:szCs w:val="18"/>
          <w:lang w:val="es-ES_tradnl"/>
        </w:rPr>
        <w:t xml:space="preserve">n, </w:t>
      </w:r>
      <w:r>
        <w:rPr>
          <w:sz w:val="18"/>
          <w:szCs w:val="18"/>
          <w:lang w:val="es-ES_tradnl"/>
        </w:rPr>
        <w:t>contradicci</w:t>
      </w:r>
      <w:r>
        <w:rPr>
          <w:rFonts w:cs="Times New Roman"/>
          <w:sz w:val="18"/>
          <w:szCs w:val="18"/>
          <w:lang w:val="es-ES_tradnl"/>
        </w:rPr>
        <w:t>ó</w:t>
      </w:r>
      <w:r>
        <w:rPr>
          <w:sz w:val="18"/>
          <w:szCs w:val="18"/>
          <w:lang w:val="es-ES_tradnl"/>
        </w:rPr>
        <w:t>n y defensa.</w:t>
      </w:r>
    </w:p>
    <w:p w14:paraId="4F67A4F3" w14:textId="77777777" w:rsidR="00591D54" w:rsidRDefault="00591D54">
      <w:pPr>
        <w:shd w:val="clear" w:color="auto" w:fill="FFFFFF"/>
        <w:spacing w:before="182" w:line="202" w:lineRule="exact"/>
        <w:jc w:val="both"/>
      </w:pPr>
      <w:r>
        <w:rPr>
          <w:spacing w:val="-6"/>
          <w:sz w:val="18"/>
          <w:szCs w:val="18"/>
          <w:lang w:val="es-ES_tradnl"/>
        </w:rPr>
        <w:t>La Secretar</w:t>
      </w:r>
      <w:r>
        <w:rPr>
          <w:rFonts w:cs="Times New Roman"/>
          <w:spacing w:val="-6"/>
          <w:sz w:val="18"/>
          <w:szCs w:val="18"/>
          <w:lang w:val="es-ES_tradnl"/>
        </w:rPr>
        <w:t>í</w:t>
      </w:r>
      <w:r>
        <w:rPr>
          <w:spacing w:val="-6"/>
          <w:sz w:val="18"/>
          <w:szCs w:val="18"/>
          <w:lang w:val="es-ES_tradnl"/>
        </w:rPr>
        <w:t xml:space="preserve">a General de la Corte Constitucional, para el </w:t>
      </w:r>
      <w:r>
        <w:rPr>
          <w:spacing w:val="-4"/>
          <w:sz w:val="18"/>
          <w:szCs w:val="18"/>
          <w:lang w:val="es-ES_tradnl"/>
        </w:rPr>
        <w:t>periodo de transici</w:t>
      </w:r>
      <w:r>
        <w:rPr>
          <w:rFonts w:cs="Times New Roman"/>
          <w:spacing w:val="-4"/>
          <w:sz w:val="18"/>
          <w:szCs w:val="18"/>
          <w:lang w:val="es-ES_tradnl"/>
        </w:rPr>
        <w:t>ó</w:t>
      </w:r>
      <w:r>
        <w:rPr>
          <w:spacing w:val="-4"/>
          <w:sz w:val="18"/>
          <w:szCs w:val="18"/>
          <w:lang w:val="es-ES_tradnl"/>
        </w:rPr>
        <w:t>n, el 17 de febrero de 2010, certific</w:t>
      </w:r>
      <w:r>
        <w:rPr>
          <w:rFonts w:cs="Times New Roman"/>
          <w:spacing w:val="-4"/>
          <w:sz w:val="18"/>
          <w:szCs w:val="18"/>
          <w:lang w:val="es-ES_tradnl"/>
        </w:rPr>
        <w:t xml:space="preserve">ó </w:t>
      </w:r>
      <w:r>
        <w:rPr>
          <w:spacing w:val="-7"/>
          <w:sz w:val="18"/>
          <w:szCs w:val="18"/>
          <w:lang w:val="es-ES_tradnl"/>
        </w:rPr>
        <w:t>que los casos N.</w:t>
      </w:r>
      <w:r>
        <w:rPr>
          <w:rFonts w:cs="Times New Roman"/>
          <w:spacing w:val="-7"/>
          <w:sz w:val="18"/>
          <w:szCs w:val="18"/>
          <w:lang w:val="es-ES_tradnl"/>
        </w:rPr>
        <w:t>°</w:t>
      </w:r>
      <w:r>
        <w:rPr>
          <w:spacing w:val="-7"/>
          <w:sz w:val="18"/>
          <w:szCs w:val="18"/>
          <w:lang w:val="es-ES_tradnl"/>
        </w:rPr>
        <w:t xml:space="preserve"> 0042-09-CN, 0043-09-CN, 0007-10-CN, </w:t>
      </w:r>
      <w:r>
        <w:rPr>
          <w:spacing w:val="-5"/>
          <w:sz w:val="18"/>
          <w:szCs w:val="18"/>
          <w:lang w:val="es-ES_tradnl"/>
        </w:rPr>
        <w:t>0008-10-CN y 0009-10-CN, tienen relaci</w:t>
      </w:r>
      <w:r>
        <w:rPr>
          <w:rFonts w:cs="Times New Roman"/>
          <w:spacing w:val="-5"/>
          <w:sz w:val="18"/>
          <w:szCs w:val="18"/>
          <w:lang w:val="es-ES_tradnl"/>
        </w:rPr>
        <w:t>ó</w:t>
      </w:r>
      <w:r>
        <w:rPr>
          <w:spacing w:val="-5"/>
          <w:sz w:val="18"/>
          <w:szCs w:val="18"/>
          <w:lang w:val="es-ES_tradnl"/>
        </w:rPr>
        <w:t xml:space="preserve">n con la causa </w:t>
      </w:r>
      <w:r>
        <w:rPr>
          <w:spacing w:val="-7"/>
          <w:sz w:val="18"/>
          <w:szCs w:val="18"/>
          <w:lang w:val="es-ES_tradnl"/>
        </w:rPr>
        <w:t>N.</w:t>
      </w:r>
      <w:r>
        <w:rPr>
          <w:rFonts w:cs="Times New Roman"/>
          <w:spacing w:val="-7"/>
          <w:sz w:val="18"/>
          <w:szCs w:val="18"/>
          <w:lang w:val="es-ES_tradnl"/>
        </w:rPr>
        <w:t>°</w:t>
      </w:r>
      <w:r>
        <w:rPr>
          <w:spacing w:val="-7"/>
          <w:sz w:val="18"/>
          <w:szCs w:val="18"/>
          <w:lang w:val="es-ES_tradnl"/>
        </w:rPr>
        <w:t xml:space="preserve"> 0022-09-CN, la misma que se encuentra resuelta.</w:t>
      </w:r>
    </w:p>
    <w:p w14:paraId="4F67A4F4" w14:textId="77777777" w:rsidR="00591D54" w:rsidRDefault="00591D54">
      <w:pPr>
        <w:shd w:val="clear" w:color="auto" w:fill="FFFFFF"/>
        <w:spacing w:before="182"/>
      </w:pPr>
      <w:r>
        <w:rPr>
          <w:b/>
          <w:bCs/>
          <w:spacing w:val="-9"/>
          <w:sz w:val="18"/>
          <w:szCs w:val="18"/>
          <w:lang w:val="es-ES_tradnl"/>
        </w:rPr>
        <w:t>Norma cuya constitucionalidad se consulta</w:t>
      </w:r>
    </w:p>
    <w:p w14:paraId="4F67A4F5" w14:textId="77777777" w:rsidR="00591D54" w:rsidRDefault="00591D54">
      <w:pPr>
        <w:shd w:val="clear" w:color="auto" w:fill="FFFFFF"/>
        <w:spacing w:before="178" w:line="202" w:lineRule="exact"/>
        <w:ind w:right="5"/>
        <w:jc w:val="center"/>
      </w:pPr>
      <w:r>
        <w:rPr>
          <w:b/>
          <w:bCs/>
          <w:spacing w:val="-6"/>
          <w:sz w:val="18"/>
          <w:szCs w:val="18"/>
          <w:lang w:val="es-ES_tradnl"/>
        </w:rPr>
        <w:t>Ley Org</w:t>
      </w:r>
      <w:r>
        <w:rPr>
          <w:rFonts w:cs="Times New Roman"/>
          <w:b/>
          <w:bCs/>
          <w:spacing w:val="-6"/>
          <w:sz w:val="18"/>
          <w:szCs w:val="18"/>
          <w:lang w:val="es-ES_tradnl"/>
        </w:rPr>
        <w:t>á</w:t>
      </w:r>
      <w:r>
        <w:rPr>
          <w:b/>
          <w:bCs/>
          <w:spacing w:val="-6"/>
          <w:sz w:val="18"/>
          <w:szCs w:val="18"/>
          <w:lang w:val="es-ES_tradnl"/>
        </w:rPr>
        <w:t>nica de Transporte Terrestre,</w:t>
      </w:r>
    </w:p>
    <w:p w14:paraId="4F67A4F6" w14:textId="77777777" w:rsidR="00591D54" w:rsidRDefault="00591D54">
      <w:pPr>
        <w:shd w:val="clear" w:color="auto" w:fill="FFFFFF"/>
        <w:spacing w:line="202" w:lineRule="exact"/>
        <w:jc w:val="center"/>
      </w:pPr>
      <w:r>
        <w:rPr>
          <w:b/>
          <w:bCs/>
          <w:spacing w:val="-6"/>
          <w:sz w:val="18"/>
          <w:szCs w:val="18"/>
          <w:lang w:val="es-ES_tradnl"/>
        </w:rPr>
        <w:t>Tr</w:t>
      </w:r>
      <w:r>
        <w:rPr>
          <w:rFonts w:cs="Times New Roman"/>
          <w:b/>
          <w:bCs/>
          <w:spacing w:val="-6"/>
          <w:sz w:val="18"/>
          <w:szCs w:val="18"/>
          <w:lang w:val="es-ES_tradnl"/>
        </w:rPr>
        <w:t>á</w:t>
      </w:r>
      <w:r>
        <w:rPr>
          <w:b/>
          <w:bCs/>
          <w:spacing w:val="-6"/>
          <w:sz w:val="18"/>
          <w:szCs w:val="18"/>
          <w:lang w:val="es-ES_tradnl"/>
        </w:rPr>
        <w:t>nsito y Seguridad Vial</w:t>
      </w:r>
    </w:p>
    <w:p w14:paraId="4F67A4F7" w14:textId="77777777" w:rsidR="00591D54" w:rsidRDefault="00591D54">
      <w:pPr>
        <w:shd w:val="clear" w:color="auto" w:fill="FFFFFF"/>
        <w:spacing w:line="202" w:lineRule="exact"/>
        <w:ind w:right="5"/>
        <w:jc w:val="center"/>
      </w:pPr>
      <w:r>
        <w:rPr>
          <w:b/>
          <w:bCs/>
          <w:spacing w:val="-5"/>
          <w:sz w:val="18"/>
          <w:szCs w:val="18"/>
          <w:lang w:val="es-ES_tradnl"/>
        </w:rPr>
        <w:t>Ley S/N</w:t>
      </w:r>
    </w:p>
    <w:p w14:paraId="4F67A4F8" w14:textId="77777777" w:rsidR="00591D54" w:rsidRDefault="00591D54">
      <w:pPr>
        <w:shd w:val="clear" w:color="auto" w:fill="FFFFFF"/>
        <w:spacing w:before="178" w:line="202" w:lineRule="exact"/>
        <w:ind w:left="1152" w:right="326" w:hanging="576"/>
      </w:pPr>
      <w:r>
        <w:rPr>
          <w:b/>
          <w:bCs/>
          <w:spacing w:val="-9"/>
          <w:sz w:val="18"/>
          <w:szCs w:val="18"/>
          <w:lang w:val="es-ES_tradnl"/>
        </w:rPr>
        <w:t>(Suplemento del Registro Oficial N.</w:t>
      </w:r>
      <w:r>
        <w:rPr>
          <w:rFonts w:cs="Times New Roman"/>
          <w:b/>
          <w:bCs/>
          <w:spacing w:val="-9"/>
          <w:sz w:val="18"/>
          <w:szCs w:val="18"/>
          <w:lang w:val="es-ES_tradnl"/>
        </w:rPr>
        <w:t>º</w:t>
      </w:r>
      <w:r>
        <w:rPr>
          <w:b/>
          <w:bCs/>
          <w:spacing w:val="-9"/>
          <w:sz w:val="18"/>
          <w:szCs w:val="18"/>
          <w:lang w:val="es-ES_tradnl"/>
        </w:rPr>
        <w:t xml:space="preserve"> 398 del 07 de agosto del 2008)</w:t>
      </w:r>
    </w:p>
    <w:p w14:paraId="4F67A4F9" w14:textId="77777777" w:rsidR="00591D54" w:rsidRDefault="00591D54">
      <w:pPr>
        <w:shd w:val="clear" w:color="auto" w:fill="FFFFFF"/>
        <w:spacing w:before="197" w:line="206" w:lineRule="exact"/>
        <w:ind w:left="283"/>
      </w:pPr>
      <w:r>
        <w:rPr>
          <w:spacing w:val="-5"/>
          <w:sz w:val="16"/>
          <w:szCs w:val="16"/>
          <w:lang w:val="es-ES_tradnl"/>
        </w:rPr>
        <w:t>Art</w:t>
      </w:r>
      <w:r>
        <w:rPr>
          <w:rFonts w:cs="Times New Roman"/>
          <w:spacing w:val="-5"/>
          <w:sz w:val="16"/>
          <w:szCs w:val="16"/>
          <w:lang w:val="es-ES_tradnl"/>
        </w:rPr>
        <w:t>í</w:t>
      </w:r>
      <w:r>
        <w:rPr>
          <w:spacing w:val="-5"/>
          <w:sz w:val="16"/>
          <w:szCs w:val="16"/>
          <w:lang w:val="es-ES_tradnl"/>
        </w:rPr>
        <w:t>culo 168.- inciso 3.- (</w:t>
      </w:r>
      <w:r>
        <w:rPr>
          <w:rFonts w:cs="Times New Roman"/>
          <w:spacing w:val="-5"/>
          <w:sz w:val="16"/>
          <w:szCs w:val="16"/>
          <w:lang w:val="es-ES_tradnl"/>
        </w:rPr>
        <w:t>…</w:t>
      </w:r>
      <w:r>
        <w:rPr>
          <w:spacing w:val="-5"/>
          <w:sz w:val="16"/>
          <w:szCs w:val="16"/>
          <w:lang w:val="es-ES_tradnl"/>
        </w:rPr>
        <w:t>) Si la audiencia oral y p</w:t>
      </w:r>
      <w:r>
        <w:rPr>
          <w:rFonts w:cs="Times New Roman"/>
          <w:spacing w:val="-5"/>
          <w:sz w:val="16"/>
          <w:szCs w:val="16"/>
          <w:lang w:val="es-ES_tradnl"/>
        </w:rPr>
        <w:t>ú</w:t>
      </w:r>
      <w:r>
        <w:rPr>
          <w:spacing w:val="-5"/>
          <w:sz w:val="16"/>
          <w:szCs w:val="16"/>
          <w:lang w:val="es-ES_tradnl"/>
        </w:rPr>
        <w:t xml:space="preserve">blica de </w:t>
      </w:r>
      <w:r>
        <w:rPr>
          <w:spacing w:val="-9"/>
          <w:sz w:val="16"/>
          <w:szCs w:val="16"/>
          <w:lang w:val="es-ES_tradnl"/>
        </w:rPr>
        <w:t>juzgamiento no se llevare a efecto en dos ocasiones por causas</w:t>
      </w:r>
    </w:p>
    <w:p w14:paraId="4F67A4FA" w14:textId="77777777" w:rsidR="00591D54" w:rsidRDefault="00591D54">
      <w:pPr>
        <w:shd w:val="clear" w:color="auto" w:fill="FFFFFF"/>
        <w:spacing w:line="216" w:lineRule="exact"/>
        <w:ind w:left="283"/>
        <w:jc w:val="both"/>
      </w:pPr>
      <w:r>
        <w:br w:type="column"/>
      </w:r>
      <w:r>
        <w:rPr>
          <w:spacing w:val="-3"/>
          <w:sz w:val="16"/>
          <w:szCs w:val="16"/>
          <w:lang w:val="es-ES_tradnl"/>
        </w:rPr>
        <w:t>que tengan relaci</w:t>
      </w:r>
      <w:r>
        <w:rPr>
          <w:rFonts w:cs="Times New Roman"/>
          <w:spacing w:val="-3"/>
          <w:sz w:val="16"/>
          <w:szCs w:val="16"/>
          <w:lang w:val="es-ES_tradnl"/>
        </w:rPr>
        <w:t>ó</w:t>
      </w:r>
      <w:r>
        <w:rPr>
          <w:spacing w:val="-3"/>
          <w:sz w:val="16"/>
          <w:szCs w:val="16"/>
          <w:lang w:val="es-ES_tradnl"/>
        </w:rPr>
        <w:t xml:space="preserve">n con el procesado, por la sola voluntad </w:t>
      </w:r>
      <w:r>
        <w:rPr>
          <w:spacing w:val="-7"/>
          <w:sz w:val="16"/>
          <w:szCs w:val="16"/>
          <w:lang w:val="es-ES_tradnl"/>
        </w:rPr>
        <w:t xml:space="preserve">de </w:t>
      </w:r>
      <w:r>
        <w:rPr>
          <w:rFonts w:cs="Times New Roman"/>
          <w:spacing w:val="-7"/>
          <w:sz w:val="16"/>
          <w:szCs w:val="16"/>
          <w:lang w:val="es-ES_tradnl"/>
        </w:rPr>
        <w:t>é</w:t>
      </w:r>
      <w:r>
        <w:rPr>
          <w:spacing w:val="-7"/>
          <w:sz w:val="16"/>
          <w:szCs w:val="16"/>
          <w:lang w:val="es-ES_tradnl"/>
        </w:rPr>
        <w:t>ste, en querer dilatar la causa, aquella se practicar</w:t>
      </w:r>
      <w:r>
        <w:rPr>
          <w:rFonts w:cs="Times New Roman"/>
          <w:spacing w:val="-7"/>
          <w:sz w:val="16"/>
          <w:szCs w:val="16"/>
          <w:lang w:val="es-ES_tradnl"/>
        </w:rPr>
        <w:t>á</w:t>
      </w:r>
      <w:r>
        <w:rPr>
          <w:spacing w:val="-7"/>
          <w:sz w:val="16"/>
          <w:szCs w:val="16"/>
          <w:lang w:val="es-ES_tradnl"/>
        </w:rPr>
        <w:t xml:space="preserve"> en </w:t>
      </w:r>
      <w:r>
        <w:rPr>
          <w:spacing w:val="-6"/>
          <w:sz w:val="16"/>
          <w:szCs w:val="16"/>
          <w:lang w:val="es-ES_tradnl"/>
        </w:rPr>
        <w:t xml:space="preserve">ausencia del imputado, sin que por ello haya recurso alguno. </w:t>
      </w:r>
      <w:r>
        <w:rPr>
          <w:spacing w:val="-1"/>
          <w:sz w:val="16"/>
          <w:szCs w:val="16"/>
          <w:lang w:val="es-ES_tradnl"/>
        </w:rPr>
        <w:t>En lo dem</w:t>
      </w:r>
      <w:r>
        <w:rPr>
          <w:rFonts w:cs="Times New Roman"/>
          <w:spacing w:val="-1"/>
          <w:sz w:val="16"/>
          <w:szCs w:val="16"/>
          <w:lang w:val="es-ES_tradnl"/>
        </w:rPr>
        <w:t>á</w:t>
      </w:r>
      <w:r>
        <w:rPr>
          <w:spacing w:val="-1"/>
          <w:sz w:val="16"/>
          <w:szCs w:val="16"/>
          <w:lang w:val="es-ES_tradnl"/>
        </w:rPr>
        <w:t xml:space="preserve">s y para el desarrollo de la audiencia oral y </w:t>
      </w:r>
      <w:r>
        <w:rPr>
          <w:spacing w:val="-7"/>
          <w:sz w:val="16"/>
          <w:szCs w:val="16"/>
          <w:lang w:val="es-ES_tradnl"/>
        </w:rPr>
        <w:t>p</w:t>
      </w:r>
      <w:r>
        <w:rPr>
          <w:rFonts w:cs="Times New Roman"/>
          <w:spacing w:val="-7"/>
          <w:sz w:val="16"/>
          <w:szCs w:val="16"/>
          <w:lang w:val="es-ES_tradnl"/>
        </w:rPr>
        <w:t>ú</w:t>
      </w:r>
      <w:r>
        <w:rPr>
          <w:spacing w:val="-7"/>
          <w:sz w:val="16"/>
          <w:szCs w:val="16"/>
          <w:lang w:val="es-ES_tradnl"/>
        </w:rPr>
        <w:t>blica de juzgamiento, se seguir</w:t>
      </w:r>
      <w:r>
        <w:rPr>
          <w:rFonts w:cs="Times New Roman"/>
          <w:spacing w:val="-7"/>
          <w:sz w:val="16"/>
          <w:szCs w:val="16"/>
          <w:lang w:val="es-ES_tradnl"/>
        </w:rPr>
        <w:t>á</w:t>
      </w:r>
      <w:r>
        <w:rPr>
          <w:spacing w:val="-7"/>
          <w:sz w:val="16"/>
          <w:szCs w:val="16"/>
          <w:lang w:val="es-ES_tradnl"/>
        </w:rPr>
        <w:t>n las normas del C</w:t>
      </w:r>
      <w:r>
        <w:rPr>
          <w:rFonts w:cs="Times New Roman"/>
          <w:spacing w:val="-7"/>
          <w:sz w:val="16"/>
          <w:szCs w:val="16"/>
          <w:lang w:val="es-ES_tradnl"/>
        </w:rPr>
        <w:t>ó</w:t>
      </w:r>
      <w:r>
        <w:rPr>
          <w:spacing w:val="-7"/>
          <w:sz w:val="16"/>
          <w:szCs w:val="16"/>
          <w:lang w:val="es-ES_tradnl"/>
        </w:rPr>
        <w:t xml:space="preserve">digo de </w:t>
      </w:r>
      <w:r>
        <w:rPr>
          <w:spacing w:val="-6"/>
          <w:sz w:val="16"/>
          <w:szCs w:val="16"/>
          <w:lang w:val="es-ES_tradnl"/>
        </w:rPr>
        <w:t>Procedimiento Penal que fueren aplicables (...).</w:t>
      </w:r>
    </w:p>
    <w:p w14:paraId="4F67A4FB" w14:textId="77777777" w:rsidR="00591D54" w:rsidRDefault="00591D54">
      <w:pPr>
        <w:shd w:val="clear" w:color="auto" w:fill="FFFFFF"/>
        <w:spacing w:before="197"/>
      </w:pPr>
      <w:r>
        <w:rPr>
          <w:b/>
          <w:bCs/>
          <w:spacing w:val="-9"/>
          <w:sz w:val="18"/>
          <w:szCs w:val="18"/>
          <w:lang w:val="es-ES_tradnl"/>
        </w:rPr>
        <w:t>Argumentos de la consulta de constitucionalidad</w:t>
      </w:r>
    </w:p>
    <w:p w14:paraId="4F67A4FC" w14:textId="77777777" w:rsidR="00591D54" w:rsidRDefault="00591D54">
      <w:pPr>
        <w:shd w:val="clear" w:color="auto" w:fill="FFFFFF"/>
        <w:spacing w:before="197" w:line="216" w:lineRule="exact"/>
        <w:jc w:val="both"/>
      </w:pPr>
      <w:r>
        <w:rPr>
          <w:spacing w:val="-4"/>
          <w:sz w:val="18"/>
          <w:szCs w:val="18"/>
          <w:lang w:val="es-ES_tradnl"/>
        </w:rPr>
        <w:t>El doctor Fabi</w:t>
      </w:r>
      <w:r>
        <w:rPr>
          <w:rFonts w:cs="Times New Roman"/>
          <w:spacing w:val="-4"/>
          <w:sz w:val="18"/>
          <w:szCs w:val="18"/>
          <w:lang w:val="es-ES_tradnl"/>
        </w:rPr>
        <w:t>á</w:t>
      </w:r>
      <w:r>
        <w:rPr>
          <w:spacing w:val="-4"/>
          <w:sz w:val="18"/>
          <w:szCs w:val="18"/>
          <w:lang w:val="es-ES_tradnl"/>
        </w:rPr>
        <w:t>n Ra</w:t>
      </w:r>
      <w:r>
        <w:rPr>
          <w:rFonts w:cs="Times New Roman"/>
          <w:spacing w:val="-4"/>
          <w:sz w:val="18"/>
          <w:szCs w:val="18"/>
          <w:lang w:val="es-ES_tradnl"/>
        </w:rPr>
        <w:t>ú</w:t>
      </w:r>
      <w:r>
        <w:rPr>
          <w:spacing w:val="-4"/>
          <w:sz w:val="18"/>
          <w:szCs w:val="18"/>
          <w:lang w:val="es-ES_tradnl"/>
        </w:rPr>
        <w:t>l Pazmi</w:t>
      </w:r>
      <w:r>
        <w:rPr>
          <w:rFonts w:cs="Times New Roman"/>
          <w:spacing w:val="-4"/>
          <w:sz w:val="18"/>
          <w:szCs w:val="18"/>
          <w:lang w:val="es-ES_tradnl"/>
        </w:rPr>
        <w:t>ñ</w:t>
      </w:r>
      <w:r>
        <w:rPr>
          <w:spacing w:val="-4"/>
          <w:sz w:val="18"/>
          <w:szCs w:val="18"/>
          <w:lang w:val="es-ES_tradnl"/>
        </w:rPr>
        <w:t>o Bonilla, defensor p</w:t>
      </w:r>
      <w:r>
        <w:rPr>
          <w:rFonts w:cs="Times New Roman"/>
          <w:spacing w:val="-4"/>
          <w:sz w:val="18"/>
          <w:szCs w:val="18"/>
          <w:lang w:val="es-ES_tradnl"/>
        </w:rPr>
        <w:t>ú</w:t>
      </w:r>
      <w:r>
        <w:rPr>
          <w:spacing w:val="-4"/>
          <w:sz w:val="18"/>
          <w:szCs w:val="18"/>
          <w:lang w:val="es-ES_tradnl"/>
        </w:rPr>
        <w:t xml:space="preserve">blico </w:t>
      </w:r>
      <w:r>
        <w:rPr>
          <w:spacing w:val="-7"/>
          <w:sz w:val="18"/>
          <w:szCs w:val="18"/>
          <w:lang w:val="es-ES_tradnl"/>
        </w:rPr>
        <w:t>de los procesados en los juicios por accidentes de tr</w:t>
      </w:r>
      <w:r>
        <w:rPr>
          <w:rFonts w:cs="Times New Roman"/>
          <w:spacing w:val="-7"/>
          <w:sz w:val="18"/>
          <w:szCs w:val="18"/>
          <w:lang w:val="es-ES_tradnl"/>
        </w:rPr>
        <w:t>á</w:t>
      </w:r>
      <w:r>
        <w:rPr>
          <w:spacing w:val="-7"/>
          <w:sz w:val="18"/>
          <w:szCs w:val="18"/>
          <w:lang w:val="es-ES_tradnl"/>
        </w:rPr>
        <w:t xml:space="preserve">nsito </w:t>
      </w:r>
      <w:r>
        <w:rPr>
          <w:spacing w:val="-6"/>
          <w:sz w:val="18"/>
          <w:szCs w:val="18"/>
          <w:lang w:val="es-ES_tradnl"/>
        </w:rPr>
        <w:t>que dieron lugar a los casos de consulta de norma N.</w:t>
      </w:r>
      <w:r>
        <w:rPr>
          <w:rFonts w:cs="Times New Roman"/>
          <w:spacing w:val="-6"/>
          <w:sz w:val="18"/>
          <w:szCs w:val="18"/>
          <w:lang w:val="es-ES_tradnl"/>
        </w:rPr>
        <w:t xml:space="preserve">° </w:t>
      </w:r>
      <w:r>
        <w:rPr>
          <w:sz w:val="18"/>
          <w:szCs w:val="18"/>
          <w:lang w:val="es-ES_tradnl"/>
        </w:rPr>
        <w:t xml:space="preserve">0042-09-CN, 0043-09-CN, 0007-10-CN, 0008-10-CN </w:t>
      </w:r>
      <w:r>
        <w:rPr>
          <w:spacing w:val="-4"/>
          <w:sz w:val="18"/>
          <w:szCs w:val="18"/>
          <w:lang w:val="es-ES_tradnl"/>
        </w:rPr>
        <w:t>y 0009-10-CN, solicit</w:t>
      </w:r>
      <w:r>
        <w:rPr>
          <w:rFonts w:cs="Times New Roman"/>
          <w:spacing w:val="-4"/>
          <w:sz w:val="18"/>
          <w:szCs w:val="18"/>
          <w:lang w:val="es-ES_tradnl"/>
        </w:rPr>
        <w:t>ó</w:t>
      </w:r>
      <w:r>
        <w:rPr>
          <w:spacing w:val="-4"/>
          <w:sz w:val="18"/>
          <w:szCs w:val="18"/>
          <w:lang w:val="es-ES_tradnl"/>
        </w:rPr>
        <w:t xml:space="preserve"> al juez primero de Tr</w:t>
      </w:r>
      <w:r>
        <w:rPr>
          <w:rFonts w:cs="Times New Roman"/>
          <w:spacing w:val="-4"/>
          <w:sz w:val="18"/>
          <w:szCs w:val="18"/>
          <w:lang w:val="es-ES_tradnl"/>
        </w:rPr>
        <w:t>á</w:t>
      </w:r>
      <w:r>
        <w:rPr>
          <w:spacing w:val="-4"/>
          <w:sz w:val="18"/>
          <w:szCs w:val="18"/>
          <w:lang w:val="es-ES_tradnl"/>
        </w:rPr>
        <w:t xml:space="preserve">nsito de </w:t>
      </w:r>
      <w:r>
        <w:rPr>
          <w:spacing w:val="-5"/>
          <w:sz w:val="18"/>
          <w:szCs w:val="18"/>
          <w:lang w:val="es-ES_tradnl"/>
        </w:rPr>
        <w:t>Imbabura que se suspenda la tramitaci</w:t>
      </w:r>
      <w:r>
        <w:rPr>
          <w:rFonts w:cs="Times New Roman"/>
          <w:spacing w:val="-5"/>
          <w:sz w:val="18"/>
          <w:szCs w:val="18"/>
          <w:lang w:val="es-ES_tradnl"/>
        </w:rPr>
        <w:t>ó</w:t>
      </w:r>
      <w:r>
        <w:rPr>
          <w:spacing w:val="-5"/>
          <w:sz w:val="18"/>
          <w:szCs w:val="18"/>
          <w:lang w:val="es-ES_tradnl"/>
        </w:rPr>
        <w:t xml:space="preserve">n de los mismos </w:t>
      </w:r>
      <w:r>
        <w:rPr>
          <w:spacing w:val="-4"/>
          <w:sz w:val="18"/>
          <w:szCs w:val="18"/>
          <w:lang w:val="es-ES_tradnl"/>
        </w:rPr>
        <w:t xml:space="preserve">y sean elevados en consulta a la Corte Constitucional, </w:t>
      </w:r>
      <w:r>
        <w:rPr>
          <w:spacing w:val="-7"/>
          <w:sz w:val="18"/>
          <w:szCs w:val="18"/>
          <w:lang w:val="es-ES_tradnl"/>
        </w:rPr>
        <w:t>pues consideraba que el inciso 3 del art</w:t>
      </w:r>
      <w:r>
        <w:rPr>
          <w:rFonts w:cs="Times New Roman"/>
          <w:spacing w:val="-7"/>
          <w:sz w:val="18"/>
          <w:szCs w:val="18"/>
          <w:lang w:val="es-ES_tradnl"/>
        </w:rPr>
        <w:t>í</w:t>
      </w:r>
      <w:r>
        <w:rPr>
          <w:spacing w:val="-7"/>
          <w:sz w:val="18"/>
          <w:szCs w:val="18"/>
          <w:lang w:val="es-ES_tradnl"/>
        </w:rPr>
        <w:t xml:space="preserve">culo 168 de la Ley </w:t>
      </w:r>
      <w:r>
        <w:rPr>
          <w:spacing w:val="-6"/>
          <w:sz w:val="18"/>
          <w:szCs w:val="18"/>
          <w:lang w:val="es-ES_tradnl"/>
        </w:rPr>
        <w:t>Org</w:t>
      </w:r>
      <w:r>
        <w:rPr>
          <w:rFonts w:cs="Times New Roman"/>
          <w:spacing w:val="-6"/>
          <w:sz w:val="18"/>
          <w:szCs w:val="18"/>
          <w:lang w:val="es-ES_tradnl"/>
        </w:rPr>
        <w:t>á</w:t>
      </w:r>
      <w:r>
        <w:rPr>
          <w:spacing w:val="-6"/>
          <w:sz w:val="18"/>
          <w:szCs w:val="18"/>
          <w:lang w:val="es-ES_tradnl"/>
        </w:rPr>
        <w:t>nica de Transporte Terrestre, Tr</w:t>
      </w:r>
      <w:r>
        <w:rPr>
          <w:rFonts w:cs="Times New Roman"/>
          <w:spacing w:val="-6"/>
          <w:sz w:val="18"/>
          <w:szCs w:val="18"/>
          <w:lang w:val="es-ES_tradnl"/>
        </w:rPr>
        <w:t>á</w:t>
      </w:r>
      <w:r>
        <w:rPr>
          <w:spacing w:val="-6"/>
          <w:sz w:val="18"/>
          <w:szCs w:val="18"/>
          <w:lang w:val="es-ES_tradnl"/>
        </w:rPr>
        <w:t>nsito y Seguridad Vial, el cual permit</w:t>
      </w:r>
      <w:r>
        <w:rPr>
          <w:rFonts w:cs="Times New Roman"/>
          <w:spacing w:val="-6"/>
          <w:sz w:val="18"/>
          <w:szCs w:val="18"/>
          <w:lang w:val="es-ES_tradnl"/>
        </w:rPr>
        <w:t>í</w:t>
      </w:r>
      <w:r>
        <w:rPr>
          <w:spacing w:val="-6"/>
          <w:sz w:val="18"/>
          <w:szCs w:val="18"/>
          <w:lang w:val="es-ES_tradnl"/>
        </w:rPr>
        <w:t xml:space="preserve">a juzgar en ausencia a los acusados, </w:t>
      </w:r>
      <w:r>
        <w:rPr>
          <w:spacing w:val="-11"/>
          <w:sz w:val="18"/>
          <w:szCs w:val="18"/>
          <w:lang w:val="es-ES_tradnl"/>
        </w:rPr>
        <w:t>estar</w:t>
      </w:r>
      <w:r>
        <w:rPr>
          <w:rFonts w:cs="Times New Roman"/>
          <w:spacing w:val="-11"/>
          <w:sz w:val="18"/>
          <w:szCs w:val="18"/>
          <w:lang w:val="es-ES_tradnl"/>
        </w:rPr>
        <w:t>í</w:t>
      </w:r>
      <w:r>
        <w:rPr>
          <w:spacing w:val="-11"/>
          <w:sz w:val="18"/>
          <w:szCs w:val="18"/>
          <w:lang w:val="es-ES_tradnl"/>
        </w:rPr>
        <w:t xml:space="preserve">a atentando el debido proceso, al derecho a la defensa, </w:t>
      </w:r>
      <w:r>
        <w:rPr>
          <w:spacing w:val="-7"/>
          <w:sz w:val="18"/>
          <w:szCs w:val="18"/>
          <w:lang w:val="es-ES_tradnl"/>
        </w:rPr>
        <w:t>garantizado en el art</w:t>
      </w:r>
      <w:r>
        <w:rPr>
          <w:rFonts w:cs="Times New Roman"/>
          <w:spacing w:val="-7"/>
          <w:sz w:val="18"/>
          <w:szCs w:val="18"/>
          <w:lang w:val="es-ES_tradnl"/>
        </w:rPr>
        <w:t>í</w:t>
      </w:r>
      <w:r>
        <w:rPr>
          <w:spacing w:val="-7"/>
          <w:sz w:val="18"/>
          <w:szCs w:val="18"/>
          <w:lang w:val="es-ES_tradnl"/>
        </w:rPr>
        <w:t xml:space="preserve">culo 76 numeral 7 literales </w:t>
      </w:r>
      <w:r>
        <w:rPr>
          <w:b/>
          <w:bCs/>
          <w:spacing w:val="-7"/>
          <w:sz w:val="18"/>
          <w:szCs w:val="18"/>
          <w:lang w:val="es-ES_tradnl"/>
        </w:rPr>
        <w:t xml:space="preserve">a </w:t>
      </w:r>
      <w:r>
        <w:rPr>
          <w:spacing w:val="-7"/>
          <w:sz w:val="18"/>
          <w:szCs w:val="18"/>
          <w:lang w:val="es-ES_tradnl"/>
        </w:rPr>
        <w:t xml:space="preserve">y </w:t>
      </w:r>
      <w:r>
        <w:rPr>
          <w:b/>
          <w:bCs/>
          <w:spacing w:val="-7"/>
          <w:sz w:val="18"/>
          <w:szCs w:val="18"/>
          <w:lang w:val="es-ES_tradnl"/>
        </w:rPr>
        <w:t xml:space="preserve">b </w:t>
      </w:r>
      <w:r>
        <w:rPr>
          <w:spacing w:val="-7"/>
          <w:sz w:val="18"/>
          <w:szCs w:val="18"/>
          <w:lang w:val="es-ES_tradnl"/>
        </w:rPr>
        <w:t xml:space="preserve">de la </w:t>
      </w:r>
      <w:r>
        <w:rPr>
          <w:sz w:val="18"/>
          <w:szCs w:val="18"/>
          <w:lang w:val="es-ES_tradnl"/>
        </w:rPr>
        <w:t>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A4FD" w14:textId="77777777" w:rsidR="00591D54" w:rsidRDefault="00591D54">
      <w:pPr>
        <w:shd w:val="clear" w:color="auto" w:fill="FFFFFF"/>
        <w:spacing w:before="197" w:line="216" w:lineRule="exact"/>
        <w:jc w:val="both"/>
      </w:pPr>
      <w:r>
        <w:rPr>
          <w:spacing w:val="-2"/>
          <w:sz w:val="18"/>
          <w:szCs w:val="18"/>
          <w:lang w:val="es-ES_tradnl"/>
        </w:rPr>
        <w:t>As</w:t>
      </w:r>
      <w:r>
        <w:rPr>
          <w:rFonts w:cs="Times New Roman"/>
          <w:spacing w:val="-2"/>
          <w:sz w:val="18"/>
          <w:szCs w:val="18"/>
          <w:lang w:val="es-ES_tradnl"/>
        </w:rPr>
        <w:t>í</w:t>
      </w:r>
      <w:r>
        <w:rPr>
          <w:spacing w:val="-2"/>
          <w:sz w:val="18"/>
          <w:szCs w:val="18"/>
          <w:lang w:val="es-ES_tradnl"/>
        </w:rPr>
        <w:t xml:space="preserve"> tambi</w:t>
      </w:r>
      <w:r>
        <w:rPr>
          <w:rFonts w:cs="Times New Roman"/>
          <w:spacing w:val="-2"/>
          <w:sz w:val="18"/>
          <w:szCs w:val="18"/>
          <w:lang w:val="es-ES_tradnl"/>
        </w:rPr>
        <w:t>é</w:t>
      </w:r>
      <w:r>
        <w:rPr>
          <w:spacing w:val="-2"/>
          <w:sz w:val="18"/>
          <w:szCs w:val="18"/>
          <w:lang w:val="es-ES_tradnl"/>
        </w:rPr>
        <w:t>n, estim</w:t>
      </w:r>
      <w:r>
        <w:rPr>
          <w:rFonts w:cs="Times New Roman"/>
          <w:spacing w:val="-2"/>
          <w:sz w:val="18"/>
          <w:szCs w:val="18"/>
          <w:lang w:val="es-ES_tradnl"/>
        </w:rPr>
        <w:t>ó</w:t>
      </w:r>
      <w:r>
        <w:rPr>
          <w:spacing w:val="-2"/>
          <w:sz w:val="18"/>
          <w:szCs w:val="18"/>
          <w:lang w:val="es-ES_tradnl"/>
        </w:rPr>
        <w:t xml:space="preserve"> que al juzgarles en ausencia se </w:t>
      </w:r>
      <w:r>
        <w:rPr>
          <w:spacing w:val="-5"/>
          <w:sz w:val="18"/>
          <w:szCs w:val="18"/>
          <w:lang w:val="es-ES_tradnl"/>
        </w:rPr>
        <w:t>estar</w:t>
      </w:r>
      <w:r>
        <w:rPr>
          <w:rFonts w:cs="Times New Roman"/>
          <w:spacing w:val="-5"/>
          <w:sz w:val="18"/>
          <w:szCs w:val="18"/>
          <w:lang w:val="es-ES_tradnl"/>
        </w:rPr>
        <w:t>í</w:t>
      </w:r>
      <w:r>
        <w:rPr>
          <w:spacing w:val="-5"/>
          <w:sz w:val="18"/>
          <w:szCs w:val="18"/>
          <w:lang w:val="es-ES_tradnl"/>
        </w:rPr>
        <w:t>a atentando contra los principios de inmediaci</w:t>
      </w:r>
      <w:r>
        <w:rPr>
          <w:rFonts w:cs="Times New Roman"/>
          <w:spacing w:val="-5"/>
          <w:sz w:val="18"/>
          <w:szCs w:val="18"/>
          <w:lang w:val="es-ES_tradnl"/>
        </w:rPr>
        <w:t>ó</w:t>
      </w:r>
      <w:r>
        <w:rPr>
          <w:spacing w:val="-5"/>
          <w:sz w:val="18"/>
          <w:szCs w:val="18"/>
          <w:lang w:val="es-ES_tradnl"/>
        </w:rPr>
        <w:t>n, concentraci</w:t>
      </w:r>
      <w:r>
        <w:rPr>
          <w:rFonts w:cs="Times New Roman"/>
          <w:spacing w:val="-5"/>
          <w:sz w:val="18"/>
          <w:szCs w:val="18"/>
          <w:lang w:val="es-ES_tradnl"/>
        </w:rPr>
        <w:t>ó</w:t>
      </w:r>
      <w:r>
        <w:rPr>
          <w:spacing w:val="-5"/>
          <w:sz w:val="18"/>
          <w:szCs w:val="18"/>
          <w:lang w:val="es-ES_tradnl"/>
        </w:rPr>
        <w:t>n y contradicci</w:t>
      </w:r>
      <w:r>
        <w:rPr>
          <w:rFonts w:cs="Times New Roman"/>
          <w:spacing w:val="-5"/>
          <w:sz w:val="18"/>
          <w:szCs w:val="18"/>
          <w:lang w:val="es-ES_tradnl"/>
        </w:rPr>
        <w:t>ó</w:t>
      </w:r>
      <w:r>
        <w:rPr>
          <w:spacing w:val="-5"/>
          <w:sz w:val="18"/>
          <w:szCs w:val="18"/>
          <w:lang w:val="es-ES_tradnl"/>
        </w:rPr>
        <w:t xml:space="preserve">n, por lo que el juez primero </w:t>
      </w:r>
      <w:r>
        <w:rPr>
          <w:spacing w:val="-1"/>
          <w:sz w:val="18"/>
          <w:szCs w:val="18"/>
          <w:lang w:val="es-ES_tradnl"/>
        </w:rPr>
        <w:t>de tr</w:t>
      </w:r>
      <w:r>
        <w:rPr>
          <w:rFonts w:cs="Times New Roman"/>
          <w:spacing w:val="-1"/>
          <w:sz w:val="18"/>
          <w:szCs w:val="18"/>
          <w:lang w:val="es-ES_tradnl"/>
        </w:rPr>
        <w:t>á</w:t>
      </w:r>
      <w:r>
        <w:rPr>
          <w:spacing w:val="-1"/>
          <w:sz w:val="18"/>
          <w:szCs w:val="18"/>
          <w:lang w:val="es-ES_tradnl"/>
        </w:rPr>
        <w:t>nsito de Imbabura, fundamentado en el art</w:t>
      </w:r>
      <w:r>
        <w:rPr>
          <w:rFonts w:cs="Times New Roman"/>
          <w:spacing w:val="-1"/>
          <w:sz w:val="18"/>
          <w:szCs w:val="18"/>
          <w:lang w:val="es-ES_tradnl"/>
        </w:rPr>
        <w:t>í</w:t>
      </w:r>
      <w:r>
        <w:rPr>
          <w:spacing w:val="-1"/>
          <w:sz w:val="18"/>
          <w:szCs w:val="18"/>
          <w:lang w:val="es-ES_tradnl"/>
        </w:rPr>
        <w:t xml:space="preserve">culo </w:t>
      </w:r>
      <w:r>
        <w:rPr>
          <w:spacing w:val="-5"/>
          <w:sz w:val="18"/>
          <w:szCs w:val="18"/>
          <w:lang w:val="es-ES_tradnl"/>
        </w:rPr>
        <w:t>428 de la Constituci</w:t>
      </w:r>
      <w:r>
        <w:rPr>
          <w:rFonts w:cs="Times New Roman"/>
          <w:spacing w:val="-5"/>
          <w:sz w:val="18"/>
          <w:szCs w:val="18"/>
          <w:lang w:val="es-ES_tradnl"/>
        </w:rPr>
        <w:t>ó</w:t>
      </w:r>
      <w:r>
        <w:rPr>
          <w:spacing w:val="-5"/>
          <w:sz w:val="18"/>
          <w:szCs w:val="18"/>
          <w:lang w:val="es-ES_tradnl"/>
        </w:rPr>
        <w:t>n de la Republica, suspendi</w:t>
      </w:r>
      <w:r>
        <w:rPr>
          <w:rFonts w:cs="Times New Roman"/>
          <w:spacing w:val="-5"/>
          <w:sz w:val="18"/>
          <w:szCs w:val="18"/>
          <w:lang w:val="es-ES_tradnl"/>
        </w:rPr>
        <w:t>ó</w:t>
      </w:r>
      <w:r>
        <w:rPr>
          <w:spacing w:val="-5"/>
          <w:sz w:val="18"/>
          <w:szCs w:val="18"/>
          <w:lang w:val="es-ES_tradnl"/>
        </w:rPr>
        <w:t xml:space="preserve"> la </w:t>
      </w:r>
      <w:r>
        <w:rPr>
          <w:sz w:val="18"/>
          <w:szCs w:val="18"/>
          <w:lang w:val="es-ES_tradnl"/>
        </w:rPr>
        <w:t>tramitaci</w:t>
      </w:r>
      <w:r>
        <w:rPr>
          <w:rFonts w:cs="Times New Roman"/>
          <w:sz w:val="18"/>
          <w:szCs w:val="18"/>
          <w:lang w:val="es-ES_tradnl"/>
        </w:rPr>
        <w:t>ó</w:t>
      </w:r>
      <w:r>
        <w:rPr>
          <w:sz w:val="18"/>
          <w:szCs w:val="18"/>
          <w:lang w:val="es-ES_tradnl"/>
        </w:rPr>
        <w:t>n de las causas y remiti</w:t>
      </w:r>
      <w:r>
        <w:rPr>
          <w:rFonts w:cs="Times New Roman"/>
          <w:sz w:val="18"/>
          <w:szCs w:val="18"/>
          <w:lang w:val="es-ES_tradnl"/>
        </w:rPr>
        <w:t>ó</w:t>
      </w:r>
      <w:r>
        <w:rPr>
          <w:sz w:val="18"/>
          <w:szCs w:val="18"/>
          <w:lang w:val="es-ES_tradnl"/>
        </w:rPr>
        <w:t xml:space="preserve"> los expedientes a </w:t>
      </w:r>
      <w:r>
        <w:rPr>
          <w:spacing w:val="-6"/>
          <w:sz w:val="18"/>
          <w:szCs w:val="18"/>
          <w:lang w:val="es-ES_tradnl"/>
        </w:rPr>
        <w:t xml:space="preserve">la Corte Constitucional para que se resuelva la aparente </w:t>
      </w:r>
      <w:r>
        <w:rPr>
          <w:sz w:val="18"/>
          <w:szCs w:val="18"/>
          <w:lang w:val="es-ES_tradnl"/>
        </w:rPr>
        <w:t>inconstitucionalidad normativa.</w:t>
      </w:r>
    </w:p>
    <w:p w14:paraId="4F67A4FE" w14:textId="77777777" w:rsidR="00591D54" w:rsidRDefault="00591D54">
      <w:pPr>
        <w:shd w:val="clear" w:color="auto" w:fill="FFFFFF"/>
        <w:spacing w:before="192"/>
      </w:pPr>
      <w:r>
        <w:rPr>
          <w:b/>
          <w:bCs/>
          <w:spacing w:val="-9"/>
          <w:sz w:val="18"/>
          <w:szCs w:val="18"/>
          <w:lang w:val="es-ES_tradnl"/>
        </w:rPr>
        <w:t>Petici</w:t>
      </w:r>
      <w:r>
        <w:rPr>
          <w:rFonts w:cs="Times New Roman"/>
          <w:b/>
          <w:bCs/>
          <w:spacing w:val="-9"/>
          <w:sz w:val="18"/>
          <w:szCs w:val="18"/>
          <w:lang w:val="es-ES_tradnl"/>
        </w:rPr>
        <w:t>ó</w:t>
      </w:r>
      <w:r>
        <w:rPr>
          <w:b/>
          <w:bCs/>
          <w:spacing w:val="-9"/>
          <w:sz w:val="18"/>
          <w:szCs w:val="18"/>
          <w:lang w:val="es-ES_tradnl"/>
        </w:rPr>
        <w:t>n concreta</w:t>
      </w:r>
    </w:p>
    <w:p w14:paraId="4F67A4FF" w14:textId="77777777" w:rsidR="00591D54" w:rsidRDefault="00591D54">
      <w:pPr>
        <w:shd w:val="clear" w:color="auto" w:fill="FFFFFF"/>
        <w:spacing w:before="192" w:line="216" w:lineRule="exact"/>
        <w:jc w:val="both"/>
      </w:pPr>
      <w:r>
        <w:rPr>
          <w:spacing w:val="-4"/>
          <w:sz w:val="18"/>
          <w:szCs w:val="18"/>
          <w:lang w:val="es-ES_tradnl"/>
        </w:rPr>
        <w:t xml:space="preserve">El doctor Carlos Marino Burneo Escudero, juez primero </w:t>
      </w:r>
      <w:r>
        <w:rPr>
          <w:spacing w:val="-5"/>
          <w:sz w:val="18"/>
          <w:szCs w:val="18"/>
          <w:lang w:val="es-ES_tradnl"/>
        </w:rPr>
        <w:t>de tr</w:t>
      </w:r>
      <w:r>
        <w:rPr>
          <w:rFonts w:cs="Times New Roman"/>
          <w:spacing w:val="-5"/>
          <w:sz w:val="18"/>
          <w:szCs w:val="18"/>
          <w:lang w:val="es-ES_tradnl"/>
        </w:rPr>
        <w:t>á</w:t>
      </w:r>
      <w:r>
        <w:rPr>
          <w:spacing w:val="-5"/>
          <w:sz w:val="18"/>
          <w:szCs w:val="18"/>
          <w:lang w:val="es-ES_tradnl"/>
        </w:rPr>
        <w:t xml:space="preserve">nsito de Imbabura, en lo principal solicita a la Corte </w:t>
      </w:r>
      <w:r>
        <w:rPr>
          <w:spacing w:val="-8"/>
          <w:sz w:val="18"/>
          <w:szCs w:val="18"/>
          <w:lang w:val="es-ES_tradnl"/>
        </w:rPr>
        <w:t xml:space="preserve">Constitucional que se pronuncie sobre la constitucionalidad </w:t>
      </w:r>
      <w:r>
        <w:rPr>
          <w:spacing w:val="-6"/>
          <w:sz w:val="18"/>
          <w:szCs w:val="18"/>
          <w:lang w:val="es-ES_tradnl"/>
        </w:rPr>
        <w:t>del art</w:t>
      </w:r>
      <w:r>
        <w:rPr>
          <w:rFonts w:cs="Times New Roman"/>
          <w:spacing w:val="-6"/>
          <w:sz w:val="18"/>
          <w:szCs w:val="18"/>
          <w:lang w:val="es-ES_tradnl"/>
        </w:rPr>
        <w:t>í</w:t>
      </w:r>
      <w:r>
        <w:rPr>
          <w:spacing w:val="-6"/>
          <w:sz w:val="18"/>
          <w:szCs w:val="18"/>
          <w:lang w:val="es-ES_tradnl"/>
        </w:rPr>
        <w:t>culo 168 inciso 3 de la Ley Org</w:t>
      </w:r>
      <w:r>
        <w:rPr>
          <w:rFonts w:cs="Times New Roman"/>
          <w:spacing w:val="-6"/>
          <w:sz w:val="18"/>
          <w:szCs w:val="18"/>
          <w:lang w:val="es-ES_tradnl"/>
        </w:rPr>
        <w:t>á</w:t>
      </w:r>
      <w:r>
        <w:rPr>
          <w:spacing w:val="-6"/>
          <w:sz w:val="18"/>
          <w:szCs w:val="18"/>
          <w:lang w:val="es-ES_tradnl"/>
        </w:rPr>
        <w:t xml:space="preserve">nica de Transporte </w:t>
      </w:r>
      <w:r>
        <w:rPr>
          <w:spacing w:val="-5"/>
          <w:sz w:val="18"/>
          <w:szCs w:val="18"/>
          <w:lang w:val="es-ES_tradnl"/>
        </w:rPr>
        <w:t>Terrestre, Tr</w:t>
      </w:r>
      <w:r>
        <w:rPr>
          <w:rFonts w:cs="Times New Roman"/>
          <w:spacing w:val="-5"/>
          <w:sz w:val="18"/>
          <w:szCs w:val="18"/>
          <w:lang w:val="es-ES_tradnl"/>
        </w:rPr>
        <w:t>á</w:t>
      </w:r>
      <w:r>
        <w:rPr>
          <w:spacing w:val="-5"/>
          <w:sz w:val="18"/>
          <w:szCs w:val="18"/>
          <w:lang w:val="es-ES_tradnl"/>
        </w:rPr>
        <w:t xml:space="preserve">nsito y Seguridad Vial, publicada en el </w:t>
      </w:r>
      <w:r>
        <w:rPr>
          <w:spacing w:val="-8"/>
          <w:sz w:val="18"/>
          <w:szCs w:val="18"/>
          <w:lang w:val="es-ES_tradnl"/>
        </w:rPr>
        <w:t>suplemento del Registro Oficial N.</w:t>
      </w:r>
      <w:r>
        <w:rPr>
          <w:rFonts w:cs="Times New Roman"/>
          <w:spacing w:val="-8"/>
          <w:sz w:val="18"/>
          <w:szCs w:val="18"/>
          <w:lang w:val="es-ES_tradnl"/>
        </w:rPr>
        <w:t>º</w:t>
      </w:r>
      <w:r>
        <w:rPr>
          <w:spacing w:val="-8"/>
          <w:sz w:val="18"/>
          <w:szCs w:val="18"/>
          <w:lang w:val="es-ES_tradnl"/>
        </w:rPr>
        <w:t xml:space="preserve"> 398 del 7 de agosto de </w:t>
      </w:r>
      <w:r>
        <w:rPr>
          <w:spacing w:val="-6"/>
          <w:sz w:val="18"/>
          <w:szCs w:val="18"/>
          <w:lang w:val="es-ES_tradnl"/>
        </w:rPr>
        <w:t>2008, por considerar a la norma antes referida contrar</w:t>
      </w:r>
      <w:r>
        <w:rPr>
          <w:rFonts w:cs="Times New Roman"/>
          <w:spacing w:val="-6"/>
          <w:sz w:val="18"/>
          <w:szCs w:val="18"/>
          <w:lang w:val="es-ES_tradnl"/>
        </w:rPr>
        <w:t>í</w:t>
      </w:r>
      <w:r>
        <w:rPr>
          <w:spacing w:val="-6"/>
          <w:sz w:val="18"/>
          <w:szCs w:val="18"/>
          <w:lang w:val="es-ES_tradnl"/>
        </w:rPr>
        <w:t xml:space="preserve">a a </w:t>
      </w:r>
      <w:r>
        <w:rPr>
          <w:sz w:val="18"/>
          <w:szCs w:val="18"/>
          <w:lang w:val="es-ES_tradnl"/>
        </w:rPr>
        <w:t>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A500" w14:textId="77777777" w:rsidR="00591D54" w:rsidRDefault="00591D54">
      <w:pPr>
        <w:shd w:val="clear" w:color="auto" w:fill="FFFFFF"/>
        <w:spacing w:before="192" w:line="216" w:lineRule="exact"/>
        <w:ind w:left="677" w:hanging="360"/>
      </w:pPr>
      <w:r>
        <w:rPr>
          <w:b/>
          <w:bCs/>
          <w:sz w:val="18"/>
          <w:szCs w:val="18"/>
          <w:lang w:val="es-ES_tradnl"/>
        </w:rPr>
        <w:t>II. CONSIDERACIONES Y FUNDAMENTOS DE LA CORTE CONSTITUCIONAL</w:t>
      </w:r>
    </w:p>
    <w:p w14:paraId="4F67A501" w14:textId="77777777" w:rsidR="00591D54" w:rsidRDefault="00591D54">
      <w:pPr>
        <w:shd w:val="clear" w:color="auto" w:fill="FFFFFF"/>
        <w:spacing w:before="187"/>
      </w:pPr>
      <w:r>
        <w:rPr>
          <w:b/>
          <w:bCs/>
          <w:spacing w:val="-7"/>
          <w:sz w:val="18"/>
          <w:szCs w:val="18"/>
          <w:lang w:val="es-ES_tradnl"/>
        </w:rPr>
        <w:t>Competencia de la Corte</w:t>
      </w:r>
    </w:p>
    <w:p w14:paraId="4F67A502" w14:textId="77777777" w:rsidR="00591D54" w:rsidRDefault="00591D54">
      <w:pPr>
        <w:shd w:val="clear" w:color="auto" w:fill="FFFFFF"/>
        <w:spacing w:before="197" w:line="216" w:lineRule="exact"/>
        <w:jc w:val="both"/>
      </w:pPr>
      <w:r>
        <w:rPr>
          <w:spacing w:val="-6"/>
          <w:sz w:val="18"/>
          <w:szCs w:val="18"/>
          <w:lang w:val="es-ES_tradnl"/>
        </w:rPr>
        <w:t xml:space="preserve">El Pleno de la Corte Constitucional es competente para conocer y resolver la presente consulta de norma dentro </w:t>
      </w:r>
      <w:r>
        <w:rPr>
          <w:spacing w:val="-2"/>
          <w:sz w:val="18"/>
          <w:szCs w:val="18"/>
          <w:lang w:val="es-ES_tradnl"/>
        </w:rPr>
        <w:t xml:space="preserve">del control concreto de constitucionalidad, en virtud de </w:t>
      </w:r>
      <w:r>
        <w:rPr>
          <w:spacing w:val="-3"/>
          <w:sz w:val="18"/>
          <w:szCs w:val="18"/>
          <w:lang w:val="es-ES_tradnl"/>
        </w:rPr>
        <w:t>lo previsto en los art</w:t>
      </w:r>
      <w:r>
        <w:rPr>
          <w:rFonts w:cs="Times New Roman"/>
          <w:spacing w:val="-3"/>
          <w:sz w:val="18"/>
          <w:szCs w:val="18"/>
          <w:lang w:val="es-ES_tradnl"/>
        </w:rPr>
        <w:t>í</w:t>
      </w:r>
      <w:r>
        <w:rPr>
          <w:spacing w:val="-3"/>
          <w:sz w:val="18"/>
          <w:szCs w:val="18"/>
          <w:lang w:val="es-ES_tradnl"/>
        </w:rPr>
        <w:t xml:space="preserve">culos 428, 429 y 436 numeral 2 de </w:t>
      </w:r>
      <w:r>
        <w:rPr>
          <w:spacing w:val="-1"/>
          <w:sz w:val="18"/>
          <w:szCs w:val="18"/>
          <w:lang w:val="es-ES_tradnl"/>
        </w:rPr>
        <w:t>la Constituci</w:t>
      </w:r>
      <w:r>
        <w:rPr>
          <w:rFonts w:cs="Times New Roman"/>
          <w:spacing w:val="-1"/>
          <w:sz w:val="18"/>
          <w:szCs w:val="18"/>
          <w:lang w:val="es-ES_tradnl"/>
        </w:rPr>
        <w:t>ó</w:t>
      </w:r>
      <w:r>
        <w:rPr>
          <w:spacing w:val="-1"/>
          <w:sz w:val="18"/>
          <w:szCs w:val="18"/>
          <w:lang w:val="es-ES_tradnl"/>
        </w:rPr>
        <w:t>n de la Rep</w:t>
      </w:r>
      <w:r>
        <w:rPr>
          <w:rFonts w:cs="Times New Roman"/>
          <w:spacing w:val="-1"/>
          <w:sz w:val="18"/>
          <w:szCs w:val="18"/>
          <w:lang w:val="es-ES_tradnl"/>
        </w:rPr>
        <w:t>ú</w:t>
      </w:r>
      <w:r>
        <w:rPr>
          <w:spacing w:val="-1"/>
          <w:sz w:val="18"/>
          <w:szCs w:val="18"/>
          <w:lang w:val="es-ES_tradnl"/>
        </w:rPr>
        <w:t xml:space="preserve">blica, en concordancia con </w:t>
      </w:r>
      <w:r>
        <w:rPr>
          <w:spacing w:val="-2"/>
          <w:sz w:val="18"/>
          <w:szCs w:val="18"/>
          <w:lang w:val="es-ES_tradnl"/>
        </w:rPr>
        <w:t>los art</w:t>
      </w:r>
      <w:r>
        <w:rPr>
          <w:rFonts w:cs="Times New Roman"/>
          <w:spacing w:val="-2"/>
          <w:sz w:val="18"/>
          <w:szCs w:val="18"/>
          <w:lang w:val="es-ES_tradnl"/>
        </w:rPr>
        <w:t>í</w:t>
      </w:r>
      <w:r>
        <w:rPr>
          <w:spacing w:val="-2"/>
          <w:sz w:val="18"/>
          <w:szCs w:val="18"/>
          <w:lang w:val="es-ES_tradnl"/>
        </w:rPr>
        <w:t xml:space="preserve">culos 141, 142, 143 y 191 numeral 2 literal </w:t>
      </w:r>
      <w:r>
        <w:rPr>
          <w:b/>
          <w:bCs/>
          <w:spacing w:val="-2"/>
          <w:sz w:val="18"/>
          <w:szCs w:val="18"/>
          <w:lang w:val="es-ES_tradnl"/>
        </w:rPr>
        <w:t xml:space="preserve">b </w:t>
      </w:r>
      <w:r>
        <w:rPr>
          <w:spacing w:val="-2"/>
          <w:sz w:val="18"/>
          <w:szCs w:val="18"/>
          <w:lang w:val="es-ES_tradnl"/>
        </w:rPr>
        <w:t xml:space="preserve">de </w:t>
      </w:r>
      <w:r>
        <w:rPr>
          <w:spacing w:val="-5"/>
          <w:sz w:val="18"/>
          <w:szCs w:val="18"/>
          <w:lang w:val="es-ES_tradnl"/>
        </w:rPr>
        <w:t>la Ley Org</w:t>
      </w:r>
      <w:r>
        <w:rPr>
          <w:rFonts w:cs="Times New Roman"/>
          <w:spacing w:val="-5"/>
          <w:sz w:val="18"/>
          <w:szCs w:val="18"/>
          <w:lang w:val="es-ES_tradnl"/>
        </w:rPr>
        <w:t>á</w:t>
      </w:r>
      <w:r>
        <w:rPr>
          <w:spacing w:val="-5"/>
          <w:sz w:val="18"/>
          <w:szCs w:val="18"/>
          <w:lang w:val="es-ES_tradnl"/>
        </w:rPr>
        <w:t>nica de Garant</w:t>
      </w:r>
      <w:r>
        <w:rPr>
          <w:rFonts w:cs="Times New Roman"/>
          <w:spacing w:val="-5"/>
          <w:sz w:val="18"/>
          <w:szCs w:val="18"/>
          <w:lang w:val="es-ES_tradnl"/>
        </w:rPr>
        <w:t>í</w:t>
      </w:r>
      <w:r>
        <w:rPr>
          <w:spacing w:val="-5"/>
          <w:sz w:val="18"/>
          <w:szCs w:val="18"/>
          <w:lang w:val="es-ES_tradnl"/>
        </w:rPr>
        <w:t xml:space="preserve">as Jurisdiccionales y Control </w:t>
      </w:r>
      <w:r>
        <w:rPr>
          <w:spacing w:val="-4"/>
          <w:sz w:val="18"/>
          <w:szCs w:val="18"/>
          <w:lang w:val="es-ES_tradnl"/>
        </w:rPr>
        <w:t>Constitucional, y en el art</w:t>
      </w:r>
      <w:r>
        <w:rPr>
          <w:rFonts w:cs="Times New Roman"/>
          <w:spacing w:val="-4"/>
          <w:sz w:val="18"/>
          <w:szCs w:val="18"/>
          <w:lang w:val="es-ES_tradnl"/>
        </w:rPr>
        <w:t>í</w:t>
      </w:r>
      <w:r>
        <w:rPr>
          <w:spacing w:val="-4"/>
          <w:sz w:val="18"/>
          <w:szCs w:val="18"/>
          <w:lang w:val="es-ES_tradnl"/>
        </w:rPr>
        <w:t xml:space="preserve">culo 81 del Reglamento de </w:t>
      </w:r>
      <w:r>
        <w:rPr>
          <w:spacing w:val="-7"/>
          <w:sz w:val="18"/>
          <w:szCs w:val="18"/>
          <w:lang w:val="es-ES_tradnl"/>
        </w:rPr>
        <w:t>Sustanciaci</w:t>
      </w:r>
      <w:r>
        <w:rPr>
          <w:rFonts w:cs="Times New Roman"/>
          <w:spacing w:val="-7"/>
          <w:sz w:val="18"/>
          <w:szCs w:val="18"/>
          <w:lang w:val="es-ES_tradnl"/>
        </w:rPr>
        <w:t>ó</w:t>
      </w:r>
      <w:r>
        <w:rPr>
          <w:spacing w:val="-7"/>
          <w:sz w:val="18"/>
          <w:szCs w:val="18"/>
          <w:lang w:val="es-ES_tradnl"/>
        </w:rPr>
        <w:t xml:space="preserve">n de Procesos de Competencia de la Corte </w:t>
      </w:r>
      <w:r>
        <w:rPr>
          <w:sz w:val="18"/>
          <w:szCs w:val="18"/>
          <w:lang w:val="es-ES_tradnl"/>
        </w:rPr>
        <w:t>Constitucional.</w:t>
      </w:r>
    </w:p>
    <w:p w14:paraId="4F67A503" w14:textId="77777777" w:rsidR="00591D54" w:rsidRDefault="00591D54">
      <w:pPr>
        <w:shd w:val="clear" w:color="auto" w:fill="FFFFFF"/>
        <w:spacing w:before="192"/>
      </w:pPr>
      <w:r>
        <w:rPr>
          <w:b/>
          <w:bCs/>
          <w:spacing w:val="-7"/>
          <w:sz w:val="18"/>
          <w:szCs w:val="18"/>
          <w:lang w:val="es-ES_tradnl"/>
        </w:rPr>
        <w:t>Legitimaci</w:t>
      </w:r>
      <w:r>
        <w:rPr>
          <w:rFonts w:cs="Times New Roman"/>
          <w:b/>
          <w:bCs/>
          <w:spacing w:val="-7"/>
          <w:sz w:val="18"/>
          <w:szCs w:val="18"/>
          <w:lang w:val="es-ES_tradnl"/>
        </w:rPr>
        <w:t>ó</w:t>
      </w:r>
      <w:r>
        <w:rPr>
          <w:b/>
          <w:bCs/>
          <w:spacing w:val="-7"/>
          <w:sz w:val="18"/>
          <w:szCs w:val="18"/>
          <w:lang w:val="es-ES_tradnl"/>
        </w:rPr>
        <w:t>n activa</w:t>
      </w:r>
    </w:p>
    <w:p w14:paraId="4F67A504" w14:textId="77777777" w:rsidR="00591D54" w:rsidRDefault="00591D54">
      <w:pPr>
        <w:shd w:val="clear" w:color="auto" w:fill="FFFFFF"/>
        <w:spacing w:before="197" w:line="216" w:lineRule="exact"/>
        <w:jc w:val="both"/>
      </w:pPr>
      <w:r>
        <w:rPr>
          <w:spacing w:val="-6"/>
          <w:sz w:val="18"/>
          <w:szCs w:val="18"/>
          <w:lang w:val="es-ES_tradnl"/>
        </w:rPr>
        <w:t>El juez primero de tr</w:t>
      </w:r>
      <w:r>
        <w:rPr>
          <w:rFonts w:cs="Times New Roman"/>
          <w:spacing w:val="-6"/>
          <w:sz w:val="18"/>
          <w:szCs w:val="18"/>
          <w:lang w:val="es-ES_tradnl"/>
        </w:rPr>
        <w:t>á</w:t>
      </w:r>
      <w:r>
        <w:rPr>
          <w:spacing w:val="-6"/>
          <w:sz w:val="18"/>
          <w:szCs w:val="18"/>
          <w:lang w:val="es-ES_tradnl"/>
        </w:rPr>
        <w:t xml:space="preserve">nsito de Imbabura se encuentra </w:t>
      </w:r>
      <w:r>
        <w:rPr>
          <w:spacing w:val="-8"/>
          <w:sz w:val="18"/>
          <w:szCs w:val="18"/>
          <w:lang w:val="es-ES_tradnl"/>
        </w:rPr>
        <w:t>legitimado para presentar la consulta de constitucionalidad,</w:t>
      </w:r>
    </w:p>
    <w:p w14:paraId="4F67A505" w14:textId="77777777" w:rsidR="00591D54" w:rsidRDefault="00591D54">
      <w:pPr>
        <w:shd w:val="clear" w:color="auto" w:fill="FFFFFF"/>
        <w:spacing w:before="197" w:line="216" w:lineRule="exact"/>
        <w:jc w:val="both"/>
        <w:sectPr w:rsidR="00591D54">
          <w:type w:val="continuous"/>
          <w:pgSz w:w="11909" w:h="16834"/>
          <w:pgMar w:top="1380" w:right="1309" w:bottom="360" w:left="1308" w:header="720" w:footer="720" w:gutter="0"/>
          <w:cols w:num="2" w:space="720" w:equalWidth="0">
            <w:col w:w="4305" w:space="682"/>
            <w:col w:w="4305"/>
          </w:cols>
          <w:noEndnote/>
        </w:sectPr>
      </w:pPr>
    </w:p>
    <w:p w14:paraId="4F67A506" w14:textId="77777777" w:rsidR="00591D54" w:rsidRDefault="00591D54">
      <w:pPr>
        <w:shd w:val="clear" w:color="auto" w:fill="FFFFFF"/>
        <w:tabs>
          <w:tab w:val="left" w:pos="595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- 23</w:t>
      </w:r>
    </w:p>
    <w:p w14:paraId="4F67A507" w14:textId="77777777" w:rsidR="00591D54" w:rsidRDefault="00591D54">
      <w:pPr>
        <w:shd w:val="clear" w:color="auto" w:fill="FFFFFF"/>
        <w:tabs>
          <w:tab w:val="left" w:pos="5952"/>
        </w:tabs>
        <w:spacing w:after="235"/>
        <w:ind w:left="5"/>
        <w:sectPr w:rsidR="00591D54">
          <w:pgSz w:w="11909" w:h="16834"/>
          <w:pgMar w:top="1356" w:right="1309" w:bottom="360" w:left="1308" w:header="720" w:footer="720" w:gutter="0"/>
          <w:cols w:space="60"/>
          <w:noEndnote/>
        </w:sectPr>
      </w:pPr>
    </w:p>
    <w:p w14:paraId="4F67A508" w14:textId="77777777" w:rsidR="00591D54" w:rsidRDefault="00591D54">
      <w:pPr>
        <w:shd w:val="clear" w:color="auto" w:fill="FFFFFF"/>
        <w:spacing w:line="226" w:lineRule="exact"/>
        <w:jc w:val="both"/>
      </w:pPr>
      <w:r>
        <w:rPr>
          <w:spacing w:val="-3"/>
          <w:sz w:val="18"/>
          <w:szCs w:val="18"/>
          <w:lang w:val="es-ES_tradnl"/>
        </w:rPr>
        <w:t>de conformidad con lo establecido en el art</w:t>
      </w:r>
      <w:r>
        <w:rPr>
          <w:rFonts w:cs="Times New Roman"/>
          <w:spacing w:val="-3"/>
          <w:sz w:val="18"/>
          <w:szCs w:val="18"/>
          <w:lang w:val="es-ES_tradnl"/>
        </w:rPr>
        <w:t>í</w:t>
      </w:r>
      <w:r>
        <w:rPr>
          <w:spacing w:val="-3"/>
          <w:sz w:val="18"/>
          <w:szCs w:val="18"/>
          <w:lang w:val="es-ES_tradnl"/>
        </w:rPr>
        <w:t xml:space="preserve">culo 428 de </w:t>
      </w:r>
      <w:r>
        <w:rPr>
          <w:sz w:val="18"/>
          <w:szCs w:val="18"/>
          <w:lang w:val="es-ES_tradnl"/>
        </w:rPr>
        <w:t>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 el art</w:t>
      </w:r>
      <w:r>
        <w:rPr>
          <w:rFonts w:cs="Times New Roman"/>
          <w:sz w:val="18"/>
          <w:szCs w:val="18"/>
          <w:lang w:val="es-ES_tradnl"/>
        </w:rPr>
        <w:t>í</w:t>
      </w:r>
      <w:r>
        <w:rPr>
          <w:sz w:val="18"/>
          <w:szCs w:val="18"/>
          <w:lang w:val="es-ES_tradnl"/>
        </w:rPr>
        <w:t xml:space="preserve">culo 142 de la </w:t>
      </w:r>
      <w:r>
        <w:rPr>
          <w:spacing w:val="-5"/>
          <w:sz w:val="18"/>
          <w:szCs w:val="18"/>
          <w:lang w:val="es-ES_tradnl"/>
        </w:rPr>
        <w:t>Ley Org</w:t>
      </w:r>
      <w:r>
        <w:rPr>
          <w:rFonts w:cs="Times New Roman"/>
          <w:spacing w:val="-5"/>
          <w:sz w:val="18"/>
          <w:szCs w:val="18"/>
          <w:lang w:val="es-ES_tradnl"/>
        </w:rPr>
        <w:t>á</w:t>
      </w:r>
      <w:r>
        <w:rPr>
          <w:spacing w:val="-5"/>
          <w:sz w:val="18"/>
          <w:szCs w:val="18"/>
          <w:lang w:val="es-ES_tradnl"/>
        </w:rPr>
        <w:t>nica de Garant</w:t>
      </w:r>
      <w:r>
        <w:rPr>
          <w:rFonts w:cs="Times New Roman"/>
          <w:spacing w:val="-5"/>
          <w:sz w:val="18"/>
          <w:szCs w:val="18"/>
          <w:lang w:val="es-ES_tradnl"/>
        </w:rPr>
        <w:t>í</w:t>
      </w:r>
      <w:r>
        <w:rPr>
          <w:spacing w:val="-5"/>
          <w:sz w:val="18"/>
          <w:szCs w:val="18"/>
          <w:lang w:val="es-ES_tradnl"/>
        </w:rPr>
        <w:t xml:space="preserve">as Jurisdiccionales y Control </w:t>
      </w:r>
      <w:r>
        <w:rPr>
          <w:spacing w:val="-4"/>
          <w:sz w:val="18"/>
          <w:szCs w:val="18"/>
          <w:lang w:val="es-ES_tradnl"/>
        </w:rPr>
        <w:t>Constitucional y el art</w:t>
      </w:r>
      <w:r>
        <w:rPr>
          <w:rFonts w:cs="Times New Roman"/>
          <w:spacing w:val="-4"/>
          <w:sz w:val="18"/>
          <w:szCs w:val="18"/>
          <w:lang w:val="es-ES_tradnl"/>
        </w:rPr>
        <w:t>í</w:t>
      </w:r>
      <w:r>
        <w:rPr>
          <w:spacing w:val="-4"/>
          <w:sz w:val="18"/>
          <w:szCs w:val="18"/>
          <w:lang w:val="es-ES_tradnl"/>
        </w:rPr>
        <w:t>culo 4 segundo inciso del C</w:t>
      </w:r>
      <w:r>
        <w:rPr>
          <w:rFonts w:cs="Times New Roman"/>
          <w:spacing w:val="-4"/>
          <w:sz w:val="18"/>
          <w:szCs w:val="18"/>
          <w:lang w:val="es-ES_tradnl"/>
        </w:rPr>
        <w:t>ó</w:t>
      </w:r>
      <w:r>
        <w:rPr>
          <w:spacing w:val="-4"/>
          <w:sz w:val="18"/>
          <w:szCs w:val="18"/>
          <w:lang w:val="es-ES_tradnl"/>
        </w:rPr>
        <w:t xml:space="preserve">digo </w:t>
      </w:r>
      <w:r>
        <w:rPr>
          <w:sz w:val="18"/>
          <w:szCs w:val="18"/>
          <w:lang w:val="es-ES_tradnl"/>
        </w:rPr>
        <w:t>Org</w:t>
      </w:r>
      <w:r>
        <w:rPr>
          <w:rFonts w:cs="Times New Roman"/>
          <w:sz w:val="18"/>
          <w:szCs w:val="18"/>
          <w:lang w:val="es-ES_tradnl"/>
        </w:rPr>
        <w:t>á</w:t>
      </w:r>
      <w:r>
        <w:rPr>
          <w:sz w:val="18"/>
          <w:szCs w:val="18"/>
          <w:lang w:val="es-ES_tradnl"/>
        </w:rPr>
        <w:t>nico de la Funci</w:t>
      </w:r>
      <w:r>
        <w:rPr>
          <w:rFonts w:cs="Times New Roman"/>
          <w:sz w:val="18"/>
          <w:szCs w:val="18"/>
          <w:lang w:val="es-ES_tradnl"/>
        </w:rPr>
        <w:t>ó</w:t>
      </w:r>
      <w:r>
        <w:rPr>
          <w:sz w:val="18"/>
          <w:szCs w:val="18"/>
          <w:lang w:val="es-ES_tradnl"/>
        </w:rPr>
        <w:t>n Judicial.</w:t>
      </w:r>
    </w:p>
    <w:p w14:paraId="4F67A509" w14:textId="77777777" w:rsidR="00591D54" w:rsidRDefault="00591D54">
      <w:pPr>
        <w:shd w:val="clear" w:color="auto" w:fill="FFFFFF"/>
        <w:spacing w:before="202"/>
      </w:pPr>
      <w:r>
        <w:rPr>
          <w:b/>
          <w:bCs/>
          <w:spacing w:val="-9"/>
          <w:sz w:val="18"/>
          <w:szCs w:val="18"/>
          <w:lang w:val="es-ES_tradnl"/>
        </w:rPr>
        <w:t>An</w:t>
      </w:r>
      <w:r>
        <w:rPr>
          <w:rFonts w:cs="Times New Roman"/>
          <w:b/>
          <w:bCs/>
          <w:spacing w:val="-9"/>
          <w:sz w:val="18"/>
          <w:szCs w:val="18"/>
          <w:lang w:val="es-ES_tradnl"/>
        </w:rPr>
        <w:t>á</w:t>
      </w:r>
      <w:r>
        <w:rPr>
          <w:b/>
          <w:bCs/>
          <w:spacing w:val="-9"/>
          <w:sz w:val="18"/>
          <w:szCs w:val="18"/>
          <w:lang w:val="es-ES_tradnl"/>
        </w:rPr>
        <w:t>lisis constitucional</w:t>
      </w:r>
    </w:p>
    <w:p w14:paraId="4F67A50A" w14:textId="77777777" w:rsidR="00591D54" w:rsidRDefault="00591D54">
      <w:pPr>
        <w:shd w:val="clear" w:color="auto" w:fill="FFFFFF"/>
        <w:spacing w:before="206" w:line="226" w:lineRule="exact"/>
        <w:jc w:val="both"/>
      </w:pPr>
      <w:r>
        <w:rPr>
          <w:b/>
          <w:bCs/>
          <w:spacing w:val="-7"/>
          <w:sz w:val="18"/>
          <w:szCs w:val="18"/>
          <w:lang w:val="es-ES_tradnl"/>
        </w:rPr>
        <w:t xml:space="preserve">Naturaleza de la consulta de norma dentro del control </w:t>
      </w:r>
      <w:r>
        <w:rPr>
          <w:b/>
          <w:bCs/>
          <w:sz w:val="18"/>
          <w:szCs w:val="18"/>
          <w:lang w:val="es-ES_tradnl"/>
        </w:rPr>
        <w:t>concreto de constitucionalidad</w:t>
      </w:r>
    </w:p>
    <w:p w14:paraId="4F67A50B" w14:textId="77777777" w:rsidR="00591D54" w:rsidRDefault="00591D54">
      <w:pPr>
        <w:shd w:val="clear" w:color="auto" w:fill="FFFFFF"/>
        <w:spacing w:before="202" w:line="230" w:lineRule="exact"/>
        <w:jc w:val="both"/>
      </w:pPr>
      <w:r>
        <w:rPr>
          <w:spacing w:val="-6"/>
          <w:sz w:val="18"/>
          <w:szCs w:val="18"/>
          <w:lang w:val="es-ES_tradnl"/>
        </w:rPr>
        <w:t>El art</w:t>
      </w:r>
      <w:r>
        <w:rPr>
          <w:rFonts w:cs="Times New Roman"/>
          <w:spacing w:val="-6"/>
          <w:sz w:val="18"/>
          <w:szCs w:val="18"/>
          <w:lang w:val="es-ES_tradnl"/>
        </w:rPr>
        <w:t>í</w:t>
      </w:r>
      <w:r>
        <w:rPr>
          <w:spacing w:val="-6"/>
          <w:sz w:val="18"/>
          <w:szCs w:val="18"/>
          <w:lang w:val="es-ES_tradnl"/>
        </w:rPr>
        <w:t>culo 428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dispone </w:t>
      </w:r>
      <w:r>
        <w:rPr>
          <w:sz w:val="18"/>
          <w:szCs w:val="18"/>
          <w:lang w:val="es-ES_tradnl"/>
        </w:rPr>
        <w:t>lo siguiente:</w:t>
      </w:r>
    </w:p>
    <w:p w14:paraId="4F67A50C" w14:textId="77777777" w:rsidR="00591D54" w:rsidRDefault="00591D54">
      <w:pPr>
        <w:shd w:val="clear" w:color="auto" w:fill="FFFFFF"/>
        <w:spacing w:before="206" w:line="226" w:lineRule="exact"/>
        <w:ind w:left="283" w:right="5"/>
        <w:jc w:val="both"/>
      </w:pPr>
      <w:r>
        <w:rPr>
          <w:spacing w:val="-8"/>
          <w:sz w:val="16"/>
          <w:szCs w:val="16"/>
          <w:lang w:val="es-ES_tradnl"/>
        </w:rPr>
        <w:t>(</w:t>
      </w:r>
      <w:r>
        <w:rPr>
          <w:rFonts w:cs="Times New Roman"/>
          <w:spacing w:val="-8"/>
          <w:sz w:val="16"/>
          <w:szCs w:val="16"/>
          <w:lang w:val="es-ES_tradnl"/>
        </w:rPr>
        <w:t>…</w:t>
      </w:r>
      <w:r>
        <w:rPr>
          <w:spacing w:val="-8"/>
          <w:sz w:val="16"/>
          <w:szCs w:val="16"/>
          <w:lang w:val="es-ES_tradnl"/>
        </w:rPr>
        <w:t>) Cuando una jueza o juez, de oficio o a petici</w:t>
      </w:r>
      <w:r>
        <w:rPr>
          <w:rFonts w:cs="Times New Roman"/>
          <w:spacing w:val="-8"/>
          <w:sz w:val="16"/>
          <w:szCs w:val="16"/>
          <w:lang w:val="es-ES_tradnl"/>
        </w:rPr>
        <w:t>ó</w:t>
      </w:r>
      <w:r>
        <w:rPr>
          <w:spacing w:val="-8"/>
          <w:sz w:val="16"/>
          <w:szCs w:val="16"/>
          <w:lang w:val="es-ES_tradnl"/>
        </w:rPr>
        <w:t xml:space="preserve">n, considere </w:t>
      </w:r>
      <w:r>
        <w:rPr>
          <w:spacing w:val="-1"/>
          <w:sz w:val="16"/>
          <w:szCs w:val="16"/>
          <w:lang w:val="es-ES_tradnl"/>
        </w:rPr>
        <w:t>que una norma jur</w:t>
      </w:r>
      <w:r>
        <w:rPr>
          <w:rFonts w:cs="Times New Roman"/>
          <w:spacing w:val="-1"/>
          <w:sz w:val="16"/>
          <w:szCs w:val="16"/>
          <w:lang w:val="es-ES_tradnl"/>
        </w:rPr>
        <w:t>í</w:t>
      </w:r>
      <w:r>
        <w:rPr>
          <w:spacing w:val="-1"/>
          <w:sz w:val="16"/>
          <w:szCs w:val="16"/>
          <w:lang w:val="es-ES_tradnl"/>
        </w:rPr>
        <w:t>dica es contraria a la Constituci</w:t>
      </w:r>
      <w:r>
        <w:rPr>
          <w:rFonts w:cs="Times New Roman"/>
          <w:spacing w:val="-1"/>
          <w:sz w:val="16"/>
          <w:szCs w:val="16"/>
          <w:lang w:val="es-ES_tradnl"/>
        </w:rPr>
        <w:t>ó</w:t>
      </w:r>
      <w:r>
        <w:rPr>
          <w:spacing w:val="-1"/>
          <w:sz w:val="16"/>
          <w:szCs w:val="16"/>
          <w:lang w:val="es-ES_tradnl"/>
        </w:rPr>
        <w:t xml:space="preserve">n o a </w:t>
      </w:r>
      <w:r>
        <w:rPr>
          <w:spacing w:val="-7"/>
          <w:sz w:val="16"/>
          <w:szCs w:val="16"/>
          <w:lang w:val="es-ES_tradnl"/>
        </w:rPr>
        <w:t xml:space="preserve">los instrumentos internacionales de derechos humanos que </w:t>
      </w:r>
      <w:r>
        <w:rPr>
          <w:spacing w:val="-10"/>
          <w:sz w:val="16"/>
          <w:szCs w:val="16"/>
          <w:lang w:val="es-ES_tradnl"/>
        </w:rPr>
        <w:t>establezcan derechos m</w:t>
      </w:r>
      <w:r>
        <w:rPr>
          <w:rFonts w:cs="Times New Roman"/>
          <w:spacing w:val="-10"/>
          <w:sz w:val="16"/>
          <w:szCs w:val="16"/>
          <w:lang w:val="es-ES_tradnl"/>
        </w:rPr>
        <w:t>á</w:t>
      </w:r>
      <w:r>
        <w:rPr>
          <w:spacing w:val="-10"/>
          <w:sz w:val="16"/>
          <w:szCs w:val="16"/>
          <w:lang w:val="es-ES_tradnl"/>
        </w:rPr>
        <w:t xml:space="preserve">s favorables que los reconocidos en la </w:t>
      </w:r>
      <w:r>
        <w:rPr>
          <w:spacing w:val="-7"/>
          <w:sz w:val="16"/>
          <w:szCs w:val="16"/>
          <w:lang w:val="es-ES_tradnl"/>
        </w:rPr>
        <w:t>Constituci</w:t>
      </w:r>
      <w:r>
        <w:rPr>
          <w:rFonts w:cs="Times New Roman"/>
          <w:spacing w:val="-7"/>
          <w:sz w:val="16"/>
          <w:szCs w:val="16"/>
          <w:lang w:val="es-ES_tradnl"/>
        </w:rPr>
        <w:t>ó</w:t>
      </w:r>
      <w:r>
        <w:rPr>
          <w:spacing w:val="-7"/>
          <w:sz w:val="16"/>
          <w:szCs w:val="16"/>
          <w:lang w:val="es-ES_tradnl"/>
        </w:rPr>
        <w:t>n, suspender</w:t>
      </w:r>
      <w:r>
        <w:rPr>
          <w:rFonts w:cs="Times New Roman"/>
          <w:spacing w:val="-7"/>
          <w:sz w:val="16"/>
          <w:szCs w:val="16"/>
          <w:lang w:val="es-ES_tradnl"/>
        </w:rPr>
        <w:t>á</w:t>
      </w:r>
      <w:r>
        <w:rPr>
          <w:spacing w:val="-7"/>
          <w:sz w:val="16"/>
          <w:szCs w:val="16"/>
          <w:lang w:val="es-ES_tradnl"/>
        </w:rPr>
        <w:t xml:space="preserve"> la tramitaci</w:t>
      </w:r>
      <w:r>
        <w:rPr>
          <w:rFonts w:cs="Times New Roman"/>
          <w:spacing w:val="-7"/>
          <w:sz w:val="16"/>
          <w:szCs w:val="16"/>
          <w:lang w:val="es-ES_tradnl"/>
        </w:rPr>
        <w:t>ó</w:t>
      </w:r>
      <w:r>
        <w:rPr>
          <w:spacing w:val="-7"/>
          <w:sz w:val="16"/>
          <w:szCs w:val="16"/>
          <w:lang w:val="es-ES_tradnl"/>
        </w:rPr>
        <w:t>n de la causa y remitir</w:t>
      </w:r>
      <w:r>
        <w:rPr>
          <w:rFonts w:cs="Times New Roman"/>
          <w:spacing w:val="-7"/>
          <w:sz w:val="16"/>
          <w:szCs w:val="16"/>
          <w:lang w:val="es-ES_tradnl"/>
        </w:rPr>
        <w:t xml:space="preserve">á </w:t>
      </w:r>
      <w:r>
        <w:rPr>
          <w:spacing w:val="-4"/>
          <w:sz w:val="16"/>
          <w:szCs w:val="16"/>
          <w:lang w:val="es-ES_tradnl"/>
        </w:rPr>
        <w:t xml:space="preserve">en consulta el expediente a la Corte Constitucional, que en </w:t>
      </w:r>
      <w:r>
        <w:rPr>
          <w:spacing w:val="-7"/>
          <w:sz w:val="16"/>
          <w:szCs w:val="16"/>
          <w:lang w:val="es-ES_tradnl"/>
        </w:rPr>
        <w:t>un plazo no mayor a cuarenta y cinco d</w:t>
      </w:r>
      <w:r>
        <w:rPr>
          <w:rFonts w:cs="Times New Roman"/>
          <w:spacing w:val="-7"/>
          <w:sz w:val="16"/>
          <w:szCs w:val="16"/>
          <w:lang w:val="es-ES_tradnl"/>
        </w:rPr>
        <w:t>í</w:t>
      </w:r>
      <w:r>
        <w:rPr>
          <w:spacing w:val="-7"/>
          <w:sz w:val="16"/>
          <w:szCs w:val="16"/>
          <w:lang w:val="es-ES_tradnl"/>
        </w:rPr>
        <w:t>as, resolver</w:t>
      </w:r>
      <w:r>
        <w:rPr>
          <w:rFonts w:cs="Times New Roman"/>
          <w:spacing w:val="-7"/>
          <w:sz w:val="16"/>
          <w:szCs w:val="16"/>
          <w:lang w:val="es-ES_tradnl"/>
        </w:rPr>
        <w:t>á</w:t>
      </w:r>
      <w:r>
        <w:rPr>
          <w:spacing w:val="-7"/>
          <w:sz w:val="16"/>
          <w:szCs w:val="16"/>
          <w:lang w:val="es-ES_tradnl"/>
        </w:rPr>
        <w:t xml:space="preserve"> sobre la </w:t>
      </w:r>
      <w:r>
        <w:rPr>
          <w:sz w:val="16"/>
          <w:szCs w:val="16"/>
          <w:lang w:val="es-ES_tradnl"/>
        </w:rPr>
        <w:t>constitucionalidad de la norma.</w:t>
      </w:r>
    </w:p>
    <w:p w14:paraId="4F67A50D" w14:textId="77777777" w:rsidR="00591D54" w:rsidRDefault="00591D54">
      <w:pPr>
        <w:shd w:val="clear" w:color="auto" w:fill="FFFFFF"/>
        <w:spacing w:before="216" w:line="226" w:lineRule="exact"/>
        <w:ind w:left="283"/>
        <w:jc w:val="both"/>
      </w:pPr>
      <w:r>
        <w:rPr>
          <w:spacing w:val="-8"/>
          <w:sz w:val="16"/>
          <w:szCs w:val="16"/>
          <w:lang w:val="es-ES_tradnl"/>
        </w:rPr>
        <w:t xml:space="preserve">Si ha transcurrido el plazo previsto la Corte no se pronuncia, el </w:t>
      </w:r>
      <w:r>
        <w:rPr>
          <w:spacing w:val="-6"/>
          <w:sz w:val="16"/>
          <w:szCs w:val="16"/>
          <w:lang w:val="es-ES_tradnl"/>
        </w:rPr>
        <w:t>perjudicado podr</w:t>
      </w:r>
      <w:r>
        <w:rPr>
          <w:rFonts w:cs="Times New Roman"/>
          <w:spacing w:val="-6"/>
          <w:sz w:val="16"/>
          <w:szCs w:val="16"/>
          <w:lang w:val="es-ES_tradnl"/>
        </w:rPr>
        <w:t>á</w:t>
      </w:r>
      <w:r>
        <w:rPr>
          <w:spacing w:val="-6"/>
          <w:sz w:val="16"/>
          <w:szCs w:val="16"/>
          <w:lang w:val="es-ES_tradnl"/>
        </w:rPr>
        <w:t xml:space="preserve"> interponer la acci</w:t>
      </w:r>
      <w:r>
        <w:rPr>
          <w:rFonts w:cs="Times New Roman"/>
          <w:spacing w:val="-6"/>
          <w:sz w:val="16"/>
          <w:szCs w:val="16"/>
          <w:lang w:val="es-ES_tradnl"/>
        </w:rPr>
        <w:t>ó</w:t>
      </w:r>
      <w:r>
        <w:rPr>
          <w:spacing w:val="-6"/>
          <w:sz w:val="16"/>
          <w:szCs w:val="16"/>
          <w:lang w:val="es-ES_tradnl"/>
        </w:rPr>
        <w:t>n correspondiente (</w:t>
      </w:r>
      <w:r>
        <w:rPr>
          <w:rFonts w:cs="Times New Roman"/>
          <w:spacing w:val="-6"/>
          <w:sz w:val="16"/>
          <w:szCs w:val="16"/>
          <w:lang w:val="es-ES_tradnl"/>
        </w:rPr>
        <w:t>…</w:t>
      </w:r>
      <w:r>
        <w:rPr>
          <w:spacing w:val="-6"/>
          <w:sz w:val="16"/>
          <w:szCs w:val="16"/>
          <w:lang w:val="es-ES_tradnl"/>
        </w:rPr>
        <w:t>).</w:t>
      </w:r>
    </w:p>
    <w:p w14:paraId="4F67A50E" w14:textId="77777777" w:rsidR="00591D54" w:rsidRDefault="00591D54">
      <w:pPr>
        <w:shd w:val="clear" w:color="auto" w:fill="FFFFFF"/>
        <w:spacing w:before="211" w:line="226" w:lineRule="exact"/>
        <w:jc w:val="both"/>
      </w:pPr>
      <w:r>
        <w:rPr>
          <w:spacing w:val="-7"/>
          <w:sz w:val="18"/>
          <w:szCs w:val="18"/>
          <w:lang w:val="es-ES_tradnl"/>
        </w:rPr>
        <w:t xml:space="preserve">La consulta de norma debe entenderse como aquella herramienta constitucional que permite a los jueces elevar </w:t>
      </w:r>
      <w:r>
        <w:rPr>
          <w:spacing w:val="-3"/>
          <w:sz w:val="18"/>
          <w:szCs w:val="18"/>
          <w:lang w:val="es-ES_tradnl"/>
        </w:rPr>
        <w:t xml:space="preserve">consultas a la Corte Constitucional cuando exista una </w:t>
      </w:r>
      <w:r>
        <w:rPr>
          <w:spacing w:val="-7"/>
          <w:sz w:val="18"/>
          <w:szCs w:val="18"/>
          <w:lang w:val="es-ES_tradnl"/>
        </w:rPr>
        <w:t xml:space="preserve">duda razonable sobre la constitucionalidad de una norma </w:t>
      </w:r>
      <w:r>
        <w:rPr>
          <w:spacing w:val="-8"/>
          <w:sz w:val="18"/>
          <w:szCs w:val="18"/>
          <w:lang w:val="es-ES_tradnl"/>
        </w:rPr>
        <w:t xml:space="preserve">que deba ser aplicada en el proceso que se encuentran </w:t>
      </w:r>
      <w:r>
        <w:rPr>
          <w:sz w:val="18"/>
          <w:szCs w:val="18"/>
          <w:lang w:val="es-ES_tradnl"/>
        </w:rPr>
        <w:t>sustanciando.</w:t>
      </w:r>
    </w:p>
    <w:p w14:paraId="4F67A50F" w14:textId="77777777" w:rsidR="00591D54" w:rsidRDefault="00591D54">
      <w:pPr>
        <w:shd w:val="clear" w:color="auto" w:fill="FFFFFF"/>
        <w:spacing w:before="206" w:line="226" w:lineRule="exact"/>
        <w:jc w:val="both"/>
      </w:pPr>
      <w:r>
        <w:rPr>
          <w:spacing w:val="-1"/>
          <w:sz w:val="18"/>
          <w:szCs w:val="18"/>
          <w:lang w:val="es-ES_tradnl"/>
        </w:rPr>
        <w:t>A partir de lo se</w:t>
      </w:r>
      <w:r>
        <w:rPr>
          <w:rFonts w:cs="Times New Roman"/>
          <w:spacing w:val="-1"/>
          <w:sz w:val="18"/>
          <w:szCs w:val="18"/>
          <w:lang w:val="es-ES_tradnl"/>
        </w:rPr>
        <w:t>ñ</w:t>
      </w:r>
      <w:r>
        <w:rPr>
          <w:spacing w:val="-1"/>
          <w:sz w:val="18"/>
          <w:szCs w:val="18"/>
          <w:lang w:val="es-ES_tradnl"/>
        </w:rPr>
        <w:t xml:space="preserve">alado, la consulta de norma puede </w:t>
      </w:r>
      <w:r>
        <w:rPr>
          <w:sz w:val="18"/>
          <w:szCs w:val="18"/>
          <w:lang w:val="es-ES_tradnl"/>
        </w:rPr>
        <w:t xml:space="preserve">identificar dos objetivos principales, por lo que en </w:t>
      </w:r>
      <w:r>
        <w:rPr>
          <w:spacing w:val="-2"/>
          <w:sz w:val="18"/>
          <w:szCs w:val="18"/>
          <w:lang w:val="es-ES_tradnl"/>
        </w:rPr>
        <w:t>primer t</w:t>
      </w:r>
      <w:r>
        <w:rPr>
          <w:rFonts w:cs="Times New Roman"/>
          <w:spacing w:val="-2"/>
          <w:sz w:val="18"/>
          <w:szCs w:val="18"/>
          <w:lang w:val="es-ES_tradnl"/>
        </w:rPr>
        <w:t>é</w:t>
      </w:r>
      <w:r>
        <w:rPr>
          <w:spacing w:val="-2"/>
          <w:sz w:val="18"/>
          <w:szCs w:val="18"/>
          <w:lang w:val="es-ES_tradnl"/>
        </w:rPr>
        <w:t xml:space="preserve">rmino desde su finalidad objetiva, es aquella </w:t>
      </w:r>
      <w:r>
        <w:rPr>
          <w:spacing w:val="-6"/>
          <w:sz w:val="18"/>
          <w:szCs w:val="18"/>
          <w:lang w:val="es-ES_tradnl"/>
        </w:rPr>
        <w:t>que garantiza la supremac</w:t>
      </w:r>
      <w:r>
        <w:rPr>
          <w:rFonts w:cs="Times New Roman"/>
          <w:spacing w:val="-6"/>
          <w:sz w:val="18"/>
          <w:szCs w:val="18"/>
          <w:lang w:val="es-ES_tradnl"/>
        </w:rPr>
        <w:t>í</w:t>
      </w:r>
      <w:r>
        <w:rPr>
          <w:spacing w:val="-6"/>
          <w:sz w:val="18"/>
          <w:szCs w:val="18"/>
          <w:lang w:val="es-ES_tradnl"/>
        </w:rPr>
        <w:t xml:space="preserve">a constitucional mediante la </w:t>
      </w:r>
      <w:r>
        <w:rPr>
          <w:sz w:val="18"/>
          <w:szCs w:val="18"/>
          <w:lang w:val="es-ES_tradnl"/>
        </w:rPr>
        <w:t>interpretaci</w:t>
      </w:r>
      <w:r>
        <w:rPr>
          <w:rFonts w:cs="Times New Roman"/>
          <w:sz w:val="18"/>
          <w:szCs w:val="18"/>
          <w:lang w:val="es-ES_tradnl"/>
        </w:rPr>
        <w:t>ó</w:t>
      </w:r>
      <w:r>
        <w:rPr>
          <w:sz w:val="18"/>
          <w:szCs w:val="18"/>
          <w:lang w:val="es-ES_tradnl"/>
        </w:rPr>
        <w:t xml:space="preserve">n conforme o la invalidez de las normas </w:t>
      </w:r>
      <w:r>
        <w:rPr>
          <w:spacing w:val="-7"/>
          <w:sz w:val="18"/>
          <w:szCs w:val="18"/>
          <w:lang w:val="es-ES_tradnl"/>
        </w:rPr>
        <w:t>que componen el ordenamiento jur</w:t>
      </w:r>
      <w:r>
        <w:rPr>
          <w:rFonts w:cs="Times New Roman"/>
          <w:spacing w:val="-7"/>
          <w:sz w:val="18"/>
          <w:szCs w:val="18"/>
          <w:lang w:val="es-ES_tradnl"/>
        </w:rPr>
        <w:t>í</w:t>
      </w:r>
      <w:r>
        <w:rPr>
          <w:spacing w:val="-7"/>
          <w:sz w:val="18"/>
          <w:szCs w:val="18"/>
          <w:lang w:val="es-ES_tradnl"/>
        </w:rPr>
        <w:t xml:space="preserve">dico, cuando estas </w:t>
      </w:r>
      <w:r>
        <w:rPr>
          <w:spacing w:val="-4"/>
          <w:sz w:val="18"/>
          <w:szCs w:val="18"/>
          <w:lang w:val="es-ES_tradnl"/>
        </w:rPr>
        <w:t>contrar</w:t>
      </w:r>
      <w:r>
        <w:rPr>
          <w:rFonts w:cs="Times New Roman"/>
          <w:spacing w:val="-4"/>
          <w:sz w:val="18"/>
          <w:szCs w:val="18"/>
          <w:lang w:val="es-ES_tradnl"/>
        </w:rPr>
        <w:t>í</w:t>
      </w:r>
      <w:r>
        <w:rPr>
          <w:spacing w:val="-4"/>
          <w:sz w:val="18"/>
          <w:szCs w:val="18"/>
          <w:lang w:val="es-ES_tradnl"/>
        </w:rPr>
        <w:t>en el texto constitucional. En segundo t</w:t>
      </w:r>
      <w:r>
        <w:rPr>
          <w:rFonts w:cs="Times New Roman"/>
          <w:spacing w:val="-4"/>
          <w:sz w:val="18"/>
          <w:szCs w:val="18"/>
          <w:lang w:val="es-ES_tradnl"/>
        </w:rPr>
        <w:t>é</w:t>
      </w:r>
      <w:r>
        <w:rPr>
          <w:spacing w:val="-4"/>
          <w:sz w:val="18"/>
          <w:szCs w:val="18"/>
          <w:lang w:val="es-ES_tradnl"/>
        </w:rPr>
        <w:t>rmino, desde la finalidad subjetiva es la que tutela a las partes de un proceso judicial y evita una posible aplicaci</w:t>
      </w:r>
      <w:r>
        <w:rPr>
          <w:rFonts w:cs="Times New Roman"/>
          <w:spacing w:val="-4"/>
          <w:sz w:val="18"/>
          <w:szCs w:val="18"/>
          <w:lang w:val="es-ES_tradnl"/>
        </w:rPr>
        <w:t>ó</w:t>
      </w:r>
      <w:r>
        <w:rPr>
          <w:spacing w:val="-4"/>
          <w:sz w:val="18"/>
          <w:szCs w:val="18"/>
          <w:lang w:val="es-ES_tradnl"/>
        </w:rPr>
        <w:t xml:space="preserve">n de </w:t>
      </w:r>
      <w:r>
        <w:rPr>
          <w:sz w:val="18"/>
          <w:szCs w:val="18"/>
          <w:lang w:val="es-ES_tradnl"/>
        </w:rPr>
        <w:t>normas inconstitucionales.</w:t>
      </w:r>
    </w:p>
    <w:p w14:paraId="4F67A510" w14:textId="77777777" w:rsidR="00591D54" w:rsidRDefault="00591D54">
      <w:pPr>
        <w:shd w:val="clear" w:color="auto" w:fill="FFFFFF"/>
        <w:spacing w:before="206" w:line="226" w:lineRule="exact"/>
        <w:jc w:val="both"/>
      </w:pPr>
      <w:r>
        <w:rPr>
          <w:sz w:val="18"/>
          <w:szCs w:val="18"/>
          <w:lang w:val="es-ES_tradnl"/>
        </w:rPr>
        <w:t xml:space="preserve">La Corte Constitucional del Ecuador, dentro de la </w:t>
      </w:r>
      <w:r>
        <w:rPr>
          <w:spacing w:val="-6"/>
          <w:sz w:val="18"/>
          <w:szCs w:val="18"/>
          <w:lang w:val="es-ES_tradnl"/>
        </w:rPr>
        <w:t>sentencia N.</w:t>
      </w:r>
      <w:r>
        <w:rPr>
          <w:rFonts w:cs="Times New Roman"/>
          <w:spacing w:val="-6"/>
          <w:sz w:val="18"/>
          <w:szCs w:val="18"/>
          <w:lang w:val="es-ES_tradnl"/>
        </w:rPr>
        <w:t>º</w:t>
      </w:r>
      <w:r>
        <w:rPr>
          <w:spacing w:val="-6"/>
          <w:sz w:val="18"/>
          <w:szCs w:val="18"/>
          <w:lang w:val="es-ES_tradnl"/>
        </w:rPr>
        <w:t xml:space="preserve"> 008-13-SCN-CC, publicada en la Gaceta </w:t>
      </w:r>
      <w:r>
        <w:rPr>
          <w:spacing w:val="-4"/>
          <w:sz w:val="18"/>
          <w:szCs w:val="18"/>
          <w:lang w:val="es-ES_tradnl"/>
        </w:rPr>
        <w:t>Constitucional N.</w:t>
      </w:r>
      <w:r>
        <w:rPr>
          <w:rFonts w:cs="Times New Roman"/>
          <w:spacing w:val="-4"/>
          <w:sz w:val="18"/>
          <w:szCs w:val="18"/>
          <w:lang w:val="es-ES_tradnl"/>
        </w:rPr>
        <w:t>º</w:t>
      </w:r>
      <w:r>
        <w:rPr>
          <w:spacing w:val="-4"/>
          <w:sz w:val="18"/>
          <w:szCs w:val="18"/>
          <w:lang w:val="es-ES_tradnl"/>
        </w:rPr>
        <w:t xml:space="preserve"> 002, Registro Oficial del 19 de marzo </w:t>
      </w:r>
      <w:r>
        <w:rPr>
          <w:spacing w:val="-7"/>
          <w:sz w:val="18"/>
          <w:szCs w:val="18"/>
          <w:lang w:val="es-ES_tradnl"/>
        </w:rPr>
        <w:t>del 2013, estableci</w:t>
      </w:r>
      <w:r>
        <w:rPr>
          <w:rFonts w:cs="Times New Roman"/>
          <w:spacing w:val="-7"/>
          <w:sz w:val="18"/>
          <w:szCs w:val="18"/>
          <w:lang w:val="es-ES_tradnl"/>
        </w:rPr>
        <w:t>ó</w:t>
      </w:r>
      <w:r>
        <w:rPr>
          <w:spacing w:val="-7"/>
          <w:sz w:val="18"/>
          <w:szCs w:val="18"/>
          <w:lang w:val="es-ES_tradnl"/>
        </w:rPr>
        <w:t xml:space="preserve"> sobre la consulta de la norma:</w:t>
      </w:r>
    </w:p>
    <w:p w14:paraId="4F67A511" w14:textId="77777777" w:rsidR="00591D54" w:rsidRDefault="00591D54">
      <w:pPr>
        <w:shd w:val="clear" w:color="auto" w:fill="FFFFFF"/>
        <w:spacing w:before="206" w:line="226" w:lineRule="exact"/>
        <w:ind w:left="283" w:right="5"/>
        <w:jc w:val="both"/>
      </w:pPr>
      <w:r>
        <w:rPr>
          <w:spacing w:val="-9"/>
          <w:sz w:val="16"/>
          <w:szCs w:val="16"/>
          <w:lang w:val="es-ES_tradnl"/>
        </w:rPr>
        <w:t>(</w:t>
      </w:r>
      <w:r>
        <w:rPr>
          <w:rFonts w:cs="Times New Roman"/>
          <w:spacing w:val="-9"/>
          <w:sz w:val="16"/>
          <w:szCs w:val="16"/>
          <w:lang w:val="es-ES_tradnl"/>
        </w:rPr>
        <w:t>…</w:t>
      </w:r>
      <w:r>
        <w:rPr>
          <w:spacing w:val="-9"/>
          <w:sz w:val="16"/>
          <w:szCs w:val="16"/>
          <w:lang w:val="es-ES_tradnl"/>
        </w:rPr>
        <w:t>) Es importante se</w:t>
      </w:r>
      <w:r>
        <w:rPr>
          <w:rFonts w:cs="Times New Roman"/>
          <w:spacing w:val="-9"/>
          <w:sz w:val="16"/>
          <w:szCs w:val="16"/>
          <w:lang w:val="es-ES_tradnl"/>
        </w:rPr>
        <w:t>ñ</w:t>
      </w:r>
      <w:r>
        <w:rPr>
          <w:spacing w:val="-9"/>
          <w:sz w:val="16"/>
          <w:szCs w:val="16"/>
          <w:lang w:val="es-ES_tradnl"/>
        </w:rPr>
        <w:t xml:space="preserve">alar que la consulta de constitucionalidad </w:t>
      </w:r>
      <w:r>
        <w:rPr>
          <w:spacing w:val="-6"/>
          <w:sz w:val="16"/>
          <w:szCs w:val="16"/>
          <w:lang w:val="es-ES_tradnl"/>
        </w:rPr>
        <w:t>por ninguna causa podr</w:t>
      </w:r>
      <w:r>
        <w:rPr>
          <w:rFonts w:cs="Times New Roman"/>
          <w:spacing w:val="-6"/>
          <w:sz w:val="16"/>
          <w:szCs w:val="16"/>
          <w:lang w:val="es-ES_tradnl"/>
        </w:rPr>
        <w:t>á</w:t>
      </w:r>
      <w:r>
        <w:rPr>
          <w:spacing w:val="-6"/>
          <w:sz w:val="16"/>
          <w:szCs w:val="16"/>
          <w:lang w:val="es-ES_tradnl"/>
        </w:rPr>
        <w:t xml:space="preserve"> convertirse en un mecanismo de dilaci</w:t>
      </w:r>
      <w:r>
        <w:rPr>
          <w:rFonts w:cs="Times New Roman"/>
          <w:spacing w:val="-6"/>
          <w:sz w:val="16"/>
          <w:szCs w:val="16"/>
          <w:lang w:val="es-ES_tradnl"/>
        </w:rPr>
        <w:t>ó</w:t>
      </w:r>
      <w:r>
        <w:rPr>
          <w:spacing w:val="-6"/>
          <w:sz w:val="16"/>
          <w:szCs w:val="16"/>
          <w:lang w:val="es-ES_tradnl"/>
        </w:rPr>
        <w:t>n de la justicia o como v</w:t>
      </w:r>
      <w:r>
        <w:rPr>
          <w:rFonts w:cs="Times New Roman"/>
          <w:spacing w:val="-6"/>
          <w:sz w:val="16"/>
          <w:szCs w:val="16"/>
          <w:lang w:val="es-ES_tradnl"/>
        </w:rPr>
        <w:t>í</w:t>
      </w:r>
      <w:r>
        <w:rPr>
          <w:spacing w:val="-6"/>
          <w:sz w:val="16"/>
          <w:szCs w:val="16"/>
          <w:lang w:val="es-ES_tradnl"/>
        </w:rPr>
        <w:t xml:space="preserve">a de escape de las juezas y </w:t>
      </w:r>
      <w:r>
        <w:rPr>
          <w:spacing w:val="-7"/>
          <w:sz w:val="16"/>
          <w:szCs w:val="16"/>
          <w:lang w:val="es-ES_tradnl"/>
        </w:rPr>
        <w:t>jueces para no cumplir con su deber constitucional de impartir justicia oportuna; de tal manera la consulta proceder</w:t>
      </w:r>
      <w:r>
        <w:rPr>
          <w:rFonts w:cs="Times New Roman"/>
          <w:spacing w:val="-7"/>
          <w:sz w:val="16"/>
          <w:szCs w:val="16"/>
          <w:lang w:val="es-ES_tradnl"/>
        </w:rPr>
        <w:t>á</w:t>
      </w:r>
      <w:r>
        <w:rPr>
          <w:spacing w:val="-7"/>
          <w:sz w:val="16"/>
          <w:szCs w:val="16"/>
          <w:lang w:val="es-ES_tradnl"/>
        </w:rPr>
        <w:t xml:space="preserve"> </w:t>
      </w:r>
      <w:r>
        <w:rPr>
          <w:rFonts w:cs="Times New Roman"/>
          <w:spacing w:val="-7"/>
          <w:sz w:val="16"/>
          <w:szCs w:val="16"/>
          <w:lang w:val="es-ES_tradnl"/>
        </w:rPr>
        <w:t>ú</w:t>
      </w:r>
      <w:r>
        <w:rPr>
          <w:spacing w:val="-7"/>
          <w:sz w:val="16"/>
          <w:szCs w:val="16"/>
          <w:lang w:val="es-ES_tradnl"/>
        </w:rPr>
        <w:t xml:space="preserve">nica y </w:t>
      </w:r>
      <w:r>
        <w:rPr>
          <w:spacing w:val="-9"/>
          <w:sz w:val="16"/>
          <w:szCs w:val="16"/>
          <w:lang w:val="es-ES_tradnl"/>
        </w:rPr>
        <w:t>exclusivamente cuando exista una motivaci</w:t>
      </w:r>
      <w:r>
        <w:rPr>
          <w:rFonts w:cs="Times New Roman"/>
          <w:spacing w:val="-9"/>
          <w:sz w:val="16"/>
          <w:szCs w:val="16"/>
          <w:lang w:val="es-ES_tradnl"/>
        </w:rPr>
        <w:t>ó</w:t>
      </w:r>
      <w:r>
        <w:rPr>
          <w:spacing w:val="-9"/>
          <w:sz w:val="16"/>
          <w:szCs w:val="16"/>
          <w:lang w:val="es-ES_tradnl"/>
        </w:rPr>
        <w:t xml:space="preserve">n razonada de por </w:t>
      </w:r>
      <w:r>
        <w:rPr>
          <w:spacing w:val="-10"/>
          <w:sz w:val="16"/>
          <w:szCs w:val="16"/>
          <w:lang w:val="es-ES_tradnl"/>
        </w:rPr>
        <w:t>qu</w:t>
      </w:r>
      <w:r>
        <w:rPr>
          <w:rFonts w:cs="Times New Roman"/>
          <w:spacing w:val="-10"/>
          <w:sz w:val="16"/>
          <w:szCs w:val="16"/>
          <w:lang w:val="es-ES_tradnl"/>
        </w:rPr>
        <w:t>é</w:t>
      </w:r>
      <w:r>
        <w:rPr>
          <w:spacing w:val="-10"/>
          <w:sz w:val="16"/>
          <w:szCs w:val="16"/>
          <w:lang w:val="es-ES_tradnl"/>
        </w:rPr>
        <w:t xml:space="preserve"> el juez acude a este mecanismo, pues un proceder contrario </w:t>
      </w:r>
      <w:r>
        <w:rPr>
          <w:spacing w:val="-8"/>
          <w:sz w:val="16"/>
          <w:szCs w:val="16"/>
          <w:lang w:val="es-ES_tradnl"/>
        </w:rPr>
        <w:t xml:space="preserve">deviene en la existencia de jueces pasivos, no comprometidos </w:t>
      </w:r>
      <w:r>
        <w:rPr>
          <w:spacing w:val="-5"/>
          <w:sz w:val="16"/>
          <w:szCs w:val="16"/>
          <w:lang w:val="es-ES_tradnl"/>
        </w:rPr>
        <w:t>con la protecci</w:t>
      </w:r>
      <w:r>
        <w:rPr>
          <w:rFonts w:cs="Times New Roman"/>
          <w:spacing w:val="-5"/>
          <w:sz w:val="16"/>
          <w:szCs w:val="16"/>
          <w:lang w:val="es-ES_tradnl"/>
        </w:rPr>
        <w:t>ó</w:t>
      </w:r>
      <w:r>
        <w:rPr>
          <w:spacing w:val="-5"/>
          <w:sz w:val="16"/>
          <w:szCs w:val="16"/>
          <w:lang w:val="es-ES_tradnl"/>
        </w:rPr>
        <w:t>n de derechos que se desatienden de la resoluci</w:t>
      </w:r>
      <w:r>
        <w:rPr>
          <w:rFonts w:cs="Times New Roman"/>
          <w:spacing w:val="-5"/>
          <w:sz w:val="16"/>
          <w:szCs w:val="16"/>
          <w:lang w:val="es-ES_tradnl"/>
        </w:rPr>
        <w:t>ó</w:t>
      </w:r>
      <w:r>
        <w:rPr>
          <w:spacing w:val="-5"/>
          <w:sz w:val="16"/>
          <w:szCs w:val="16"/>
          <w:lang w:val="es-ES_tradnl"/>
        </w:rPr>
        <w:t>n oportuna de las causas sin un leg</w:t>
      </w:r>
      <w:r>
        <w:rPr>
          <w:rFonts w:cs="Times New Roman"/>
          <w:spacing w:val="-5"/>
          <w:sz w:val="16"/>
          <w:szCs w:val="16"/>
          <w:lang w:val="es-ES_tradnl"/>
        </w:rPr>
        <w:t>í</w:t>
      </w:r>
      <w:r>
        <w:rPr>
          <w:spacing w:val="-5"/>
          <w:sz w:val="16"/>
          <w:szCs w:val="16"/>
          <w:lang w:val="es-ES_tradnl"/>
        </w:rPr>
        <w:t xml:space="preserve">timo motivo </w:t>
      </w:r>
      <w:r>
        <w:rPr>
          <w:sz w:val="16"/>
          <w:szCs w:val="16"/>
          <w:lang w:val="es-ES_tradnl"/>
        </w:rPr>
        <w:t>constitucional (</w:t>
      </w:r>
      <w:r>
        <w:rPr>
          <w:rFonts w:cs="Times New Roman"/>
          <w:sz w:val="16"/>
          <w:szCs w:val="16"/>
          <w:lang w:val="es-ES_tradnl"/>
        </w:rPr>
        <w:t>…</w:t>
      </w:r>
      <w:r>
        <w:rPr>
          <w:sz w:val="16"/>
          <w:szCs w:val="16"/>
          <w:lang w:val="es-ES_tradnl"/>
        </w:rPr>
        <w:t>).</w:t>
      </w:r>
    </w:p>
    <w:p w14:paraId="4F67A512" w14:textId="77777777" w:rsidR="00591D54" w:rsidRDefault="00591D54">
      <w:pPr>
        <w:shd w:val="clear" w:color="auto" w:fill="FFFFFF"/>
        <w:spacing w:line="216" w:lineRule="exact"/>
        <w:jc w:val="both"/>
      </w:pPr>
      <w:r>
        <w:br w:type="column"/>
      </w:r>
      <w:r>
        <w:rPr>
          <w:spacing w:val="-7"/>
          <w:sz w:val="18"/>
          <w:szCs w:val="18"/>
          <w:lang w:val="es-ES_tradnl"/>
        </w:rPr>
        <w:t>Dentro del derecho comparado, as</w:t>
      </w:r>
      <w:r>
        <w:rPr>
          <w:rFonts w:cs="Times New Roman"/>
          <w:spacing w:val="-7"/>
          <w:sz w:val="18"/>
          <w:szCs w:val="18"/>
          <w:lang w:val="es-ES_tradnl"/>
        </w:rPr>
        <w:t>í</w:t>
      </w:r>
      <w:r>
        <w:rPr>
          <w:spacing w:val="-7"/>
          <w:sz w:val="18"/>
          <w:szCs w:val="18"/>
          <w:lang w:val="es-ES_tradnl"/>
        </w:rPr>
        <w:t xml:space="preserve"> como la doctrina, esta figura ha sido denominada cuesti</w:t>
      </w:r>
      <w:r>
        <w:rPr>
          <w:rFonts w:cs="Times New Roman"/>
          <w:spacing w:val="-7"/>
          <w:sz w:val="18"/>
          <w:szCs w:val="18"/>
          <w:lang w:val="es-ES_tradnl"/>
        </w:rPr>
        <w:t>ó</w:t>
      </w:r>
      <w:r>
        <w:rPr>
          <w:spacing w:val="-7"/>
          <w:sz w:val="18"/>
          <w:szCs w:val="18"/>
          <w:lang w:val="es-ES_tradnl"/>
        </w:rPr>
        <w:t xml:space="preserve">n de constitucionalidad. </w:t>
      </w:r>
      <w:r>
        <w:rPr>
          <w:spacing w:val="-6"/>
          <w:sz w:val="18"/>
          <w:szCs w:val="18"/>
          <w:lang w:val="es-ES_tradnl"/>
        </w:rPr>
        <w:t>El tratadista Humberto Sierra Porto se</w:t>
      </w:r>
      <w:r>
        <w:rPr>
          <w:rFonts w:cs="Times New Roman"/>
          <w:spacing w:val="-6"/>
          <w:sz w:val="18"/>
          <w:szCs w:val="18"/>
          <w:lang w:val="es-ES_tradnl"/>
        </w:rPr>
        <w:t>ñ</w:t>
      </w:r>
      <w:r>
        <w:rPr>
          <w:spacing w:val="-6"/>
          <w:sz w:val="18"/>
          <w:szCs w:val="18"/>
          <w:lang w:val="es-ES_tradnl"/>
        </w:rPr>
        <w:t>ala que:</w:t>
      </w:r>
    </w:p>
    <w:p w14:paraId="4F67A513" w14:textId="77777777" w:rsidR="00591D54" w:rsidRDefault="00591D54">
      <w:pPr>
        <w:shd w:val="clear" w:color="auto" w:fill="FFFFFF"/>
        <w:spacing w:before="206" w:line="216" w:lineRule="exact"/>
        <w:ind w:left="283"/>
        <w:jc w:val="both"/>
      </w:pPr>
      <w:r>
        <w:rPr>
          <w:spacing w:val="-5"/>
          <w:sz w:val="16"/>
          <w:szCs w:val="16"/>
          <w:lang w:val="es-ES_tradnl"/>
        </w:rPr>
        <w:t>(...) La cuesti</w:t>
      </w:r>
      <w:r>
        <w:rPr>
          <w:rFonts w:cs="Times New Roman"/>
          <w:spacing w:val="-5"/>
          <w:sz w:val="16"/>
          <w:szCs w:val="16"/>
          <w:lang w:val="es-ES_tradnl"/>
        </w:rPr>
        <w:t>ó</w:t>
      </w:r>
      <w:r>
        <w:rPr>
          <w:spacing w:val="-5"/>
          <w:sz w:val="16"/>
          <w:szCs w:val="16"/>
          <w:lang w:val="es-ES_tradnl"/>
        </w:rPr>
        <w:t xml:space="preserve">n de constitucionalidad consiste en dar la </w:t>
      </w:r>
      <w:r>
        <w:rPr>
          <w:spacing w:val="-6"/>
          <w:sz w:val="16"/>
          <w:szCs w:val="16"/>
          <w:lang w:val="es-ES_tradnl"/>
        </w:rPr>
        <w:t>posibilidad a que el juez que tiene ante s</w:t>
      </w:r>
      <w:r>
        <w:rPr>
          <w:rFonts w:cs="Times New Roman"/>
          <w:spacing w:val="-6"/>
          <w:sz w:val="16"/>
          <w:szCs w:val="16"/>
          <w:lang w:val="es-ES_tradnl"/>
        </w:rPr>
        <w:t>í</w:t>
      </w:r>
      <w:r>
        <w:rPr>
          <w:spacing w:val="-6"/>
          <w:sz w:val="16"/>
          <w:szCs w:val="16"/>
          <w:lang w:val="es-ES_tradnl"/>
        </w:rPr>
        <w:t xml:space="preserve"> una ley de dudosa </w:t>
      </w:r>
      <w:r>
        <w:rPr>
          <w:spacing w:val="-4"/>
          <w:sz w:val="16"/>
          <w:szCs w:val="16"/>
          <w:lang w:val="es-ES_tradnl"/>
        </w:rPr>
        <w:t>constitucionalidad, bien sea a petici</w:t>
      </w:r>
      <w:r>
        <w:rPr>
          <w:rFonts w:cs="Times New Roman"/>
          <w:spacing w:val="-4"/>
          <w:sz w:val="16"/>
          <w:szCs w:val="16"/>
          <w:lang w:val="es-ES_tradnl"/>
        </w:rPr>
        <w:t>ó</w:t>
      </w:r>
      <w:r>
        <w:rPr>
          <w:spacing w:val="-4"/>
          <w:sz w:val="16"/>
          <w:szCs w:val="16"/>
          <w:lang w:val="es-ES_tradnl"/>
        </w:rPr>
        <w:t xml:space="preserve">n de parte o de oficio, </w:t>
      </w:r>
      <w:r>
        <w:rPr>
          <w:spacing w:val="-2"/>
          <w:sz w:val="16"/>
          <w:szCs w:val="16"/>
          <w:lang w:val="es-ES_tradnl"/>
        </w:rPr>
        <w:t xml:space="preserve">pueda elevar al Tribunal Constitucional una pregunta: </w:t>
      </w:r>
      <w:r>
        <w:rPr>
          <w:rFonts w:cs="Times New Roman"/>
          <w:spacing w:val="-2"/>
          <w:sz w:val="16"/>
          <w:szCs w:val="16"/>
          <w:lang w:val="es-ES_tradnl"/>
        </w:rPr>
        <w:t>“</w:t>
      </w:r>
      <w:r>
        <w:rPr>
          <w:spacing w:val="-2"/>
          <w:sz w:val="16"/>
          <w:szCs w:val="16"/>
          <w:lang w:val="es-ES_tradnl"/>
        </w:rPr>
        <w:t>cuesti</w:t>
      </w:r>
      <w:r>
        <w:rPr>
          <w:rFonts w:cs="Times New Roman"/>
          <w:spacing w:val="-2"/>
          <w:sz w:val="16"/>
          <w:szCs w:val="16"/>
          <w:lang w:val="es-ES_tradnl"/>
        </w:rPr>
        <w:t>ó</w:t>
      </w:r>
      <w:r>
        <w:rPr>
          <w:spacing w:val="-2"/>
          <w:sz w:val="16"/>
          <w:szCs w:val="16"/>
          <w:lang w:val="es-ES_tradnl"/>
        </w:rPr>
        <w:t>n</w:t>
      </w:r>
      <w:r>
        <w:rPr>
          <w:rFonts w:cs="Times New Roman"/>
          <w:spacing w:val="-2"/>
          <w:sz w:val="16"/>
          <w:szCs w:val="16"/>
          <w:lang w:val="es-ES_tradnl"/>
        </w:rPr>
        <w:t>”</w:t>
      </w:r>
      <w:r>
        <w:rPr>
          <w:spacing w:val="-2"/>
          <w:sz w:val="16"/>
          <w:szCs w:val="16"/>
          <w:lang w:val="es-ES_tradnl"/>
        </w:rPr>
        <w:t xml:space="preserve"> sobre la validez, de la norma legal que debe </w:t>
      </w:r>
      <w:r>
        <w:rPr>
          <w:spacing w:val="-3"/>
          <w:sz w:val="16"/>
          <w:szCs w:val="16"/>
          <w:lang w:val="es-ES_tradnl"/>
        </w:rPr>
        <w:t xml:space="preserve">utilizar para dictar sentencia. En la </w:t>
      </w:r>
      <w:r>
        <w:rPr>
          <w:rFonts w:cs="Times New Roman"/>
          <w:spacing w:val="-3"/>
          <w:sz w:val="16"/>
          <w:szCs w:val="16"/>
          <w:lang w:val="es-ES_tradnl"/>
        </w:rPr>
        <w:t>“</w:t>
      </w:r>
      <w:r>
        <w:rPr>
          <w:spacing w:val="-3"/>
          <w:sz w:val="16"/>
          <w:szCs w:val="16"/>
          <w:lang w:val="es-ES_tradnl"/>
        </w:rPr>
        <w:t>cuesti</w:t>
      </w:r>
      <w:r>
        <w:rPr>
          <w:rFonts w:cs="Times New Roman"/>
          <w:spacing w:val="-3"/>
          <w:sz w:val="16"/>
          <w:szCs w:val="16"/>
          <w:lang w:val="es-ES_tradnl"/>
        </w:rPr>
        <w:t>ó</w:t>
      </w:r>
      <w:r>
        <w:rPr>
          <w:spacing w:val="-3"/>
          <w:sz w:val="16"/>
          <w:szCs w:val="16"/>
          <w:lang w:val="es-ES_tradnl"/>
        </w:rPr>
        <w:t>n</w:t>
      </w:r>
      <w:r>
        <w:rPr>
          <w:rFonts w:cs="Times New Roman"/>
          <w:spacing w:val="-3"/>
          <w:sz w:val="16"/>
          <w:szCs w:val="16"/>
          <w:lang w:val="es-ES_tradnl"/>
        </w:rPr>
        <w:t>”</w:t>
      </w:r>
      <w:r>
        <w:rPr>
          <w:spacing w:val="-3"/>
          <w:sz w:val="16"/>
          <w:szCs w:val="16"/>
          <w:lang w:val="es-ES_tradnl"/>
        </w:rPr>
        <w:t xml:space="preserve"> el control de </w:t>
      </w:r>
      <w:r>
        <w:rPr>
          <w:spacing w:val="-5"/>
          <w:sz w:val="16"/>
          <w:szCs w:val="16"/>
          <w:lang w:val="es-ES_tradnl"/>
        </w:rPr>
        <w:t xml:space="preserve">constitucionalidad se realiza con motivo y en el seno de un </w:t>
      </w:r>
      <w:r>
        <w:rPr>
          <w:spacing w:val="-2"/>
          <w:sz w:val="16"/>
          <w:szCs w:val="16"/>
          <w:lang w:val="es-ES_tradnl"/>
        </w:rPr>
        <w:t xml:space="preserve">litigio o proceso ordinario; se trata de un control concreto, </w:t>
      </w:r>
      <w:r>
        <w:rPr>
          <w:spacing w:val="-6"/>
          <w:sz w:val="16"/>
          <w:szCs w:val="16"/>
          <w:lang w:val="es-ES_tradnl"/>
        </w:rPr>
        <w:t xml:space="preserve">en el que el estudio de la constitucionalidad de la norma es </w:t>
      </w:r>
      <w:r>
        <w:rPr>
          <w:spacing w:val="-5"/>
          <w:sz w:val="16"/>
          <w:szCs w:val="16"/>
          <w:lang w:val="es-ES_tradnl"/>
        </w:rPr>
        <w:t xml:space="preserve">condicionado por el proceso ordinario, es decir, solamente </w:t>
      </w:r>
      <w:r>
        <w:rPr>
          <w:spacing w:val="-7"/>
          <w:sz w:val="16"/>
          <w:szCs w:val="16"/>
          <w:lang w:val="es-ES_tradnl"/>
        </w:rPr>
        <w:t xml:space="preserve">puede examinarse la constitucionalidad de aquellos preceptos </w:t>
      </w:r>
      <w:r>
        <w:rPr>
          <w:sz w:val="16"/>
          <w:szCs w:val="16"/>
          <w:lang w:val="es-ES_tradnl"/>
        </w:rPr>
        <w:t>que sean relevantes en ese proceso (</w:t>
      </w:r>
      <w:r>
        <w:rPr>
          <w:rFonts w:cs="Times New Roman"/>
          <w:sz w:val="16"/>
          <w:szCs w:val="16"/>
          <w:lang w:val="es-ES_tradnl"/>
        </w:rPr>
        <w:t>…</w:t>
      </w:r>
      <w:r>
        <w:rPr>
          <w:sz w:val="16"/>
          <w:szCs w:val="16"/>
          <w:lang w:val="es-ES_tradnl"/>
        </w:rPr>
        <w:t>)</w:t>
      </w:r>
      <w:r>
        <w:rPr>
          <w:sz w:val="16"/>
          <w:szCs w:val="16"/>
          <w:vertAlign w:val="superscript"/>
          <w:lang w:val="es-ES_tradnl"/>
        </w:rPr>
        <w:t>1</w:t>
      </w:r>
      <w:r>
        <w:rPr>
          <w:sz w:val="16"/>
          <w:szCs w:val="16"/>
          <w:lang w:val="es-ES_tradnl"/>
        </w:rPr>
        <w:t>.</w:t>
      </w:r>
    </w:p>
    <w:p w14:paraId="4F67A514" w14:textId="77777777" w:rsidR="00591D54" w:rsidRDefault="00591D54">
      <w:pPr>
        <w:shd w:val="clear" w:color="auto" w:fill="FFFFFF"/>
        <w:spacing w:before="206" w:line="216" w:lineRule="exact"/>
        <w:jc w:val="both"/>
      </w:pPr>
      <w:r>
        <w:rPr>
          <w:spacing w:val="-10"/>
          <w:sz w:val="18"/>
          <w:szCs w:val="18"/>
          <w:lang w:val="es-ES_tradnl"/>
        </w:rPr>
        <w:t xml:space="preserve">En esta perspectiva, la Corte Constitucional, en las consultas </w:t>
      </w:r>
      <w:r>
        <w:rPr>
          <w:spacing w:val="-8"/>
          <w:sz w:val="18"/>
          <w:szCs w:val="18"/>
          <w:lang w:val="es-ES_tradnl"/>
        </w:rPr>
        <w:t xml:space="preserve">de norma dentro del control concreto de constitucionalidad, </w:t>
      </w:r>
      <w:r>
        <w:rPr>
          <w:spacing w:val="-10"/>
          <w:sz w:val="18"/>
          <w:szCs w:val="18"/>
          <w:lang w:val="es-ES_tradnl"/>
        </w:rPr>
        <w:t>se pronunciar</w:t>
      </w:r>
      <w:r>
        <w:rPr>
          <w:rFonts w:cs="Times New Roman"/>
          <w:spacing w:val="-10"/>
          <w:sz w:val="18"/>
          <w:szCs w:val="18"/>
          <w:lang w:val="es-ES_tradnl"/>
        </w:rPr>
        <w:t>á</w:t>
      </w:r>
      <w:r>
        <w:rPr>
          <w:spacing w:val="-10"/>
          <w:sz w:val="18"/>
          <w:szCs w:val="18"/>
          <w:lang w:val="es-ES_tradnl"/>
        </w:rPr>
        <w:t xml:space="preserve"> acerca de la conformidad o no de las normas </w:t>
      </w:r>
      <w:r>
        <w:rPr>
          <w:spacing w:val="-7"/>
          <w:sz w:val="18"/>
          <w:szCs w:val="18"/>
          <w:lang w:val="es-ES_tradnl"/>
        </w:rPr>
        <w:t>cuestionadas, en relaci</w:t>
      </w:r>
      <w:r>
        <w:rPr>
          <w:rFonts w:cs="Times New Roman"/>
          <w:spacing w:val="-7"/>
          <w:sz w:val="18"/>
          <w:szCs w:val="18"/>
          <w:lang w:val="es-ES_tradnl"/>
        </w:rPr>
        <w:t>ó</w:t>
      </w:r>
      <w:r>
        <w:rPr>
          <w:spacing w:val="-7"/>
          <w:sz w:val="18"/>
          <w:szCs w:val="18"/>
          <w:lang w:val="es-ES_tradnl"/>
        </w:rPr>
        <w:t xml:space="preserve">n con la Norma Suprema, para lo </w:t>
      </w:r>
      <w:r>
        <w:rPr>
          <w:spacing w:val="-8"/>
          <w:sz w:val="18"/>
          <w:szCs w:val="18"/>
          <w:lang w:val="es-ES_tradnl"/>
        </w:rPr>
        <w:t>cual se analizar</w:t>
      </w:r>
      <w:r>
        <w:rPr>
          <w:rFonts w:cs="Times New Roman"/>
          <w:spacing w:val="-8"/>
          <w:sz w:val="18"/>
          <w:szCs w:val="18"/>
          <w:lang w:val="es-ES_tradnl"/>
        </w:rPr>
        <w:t>á</w:t>
      </w:r>
      <w:r>
        <w:rPr>
          <w:spacing w:val="-8"/>
          <w:sz w:val="18"/>
          <w:szCs w:val="18"/>
          <w:lang w:val="es-ES_tradnl"/>
        </w:rPr>
        <w:t xml:space="preserve"> si las mismas vulneran principios o reglas </w:t>
      </w:r>
      <w:r>
        <w:rPr>
          <w:sz w:val="18"/>
          <w:szCs w:val="18"/>
          <w:lang w:val="es-ES_tradnl"/>
        </w:rPr>
        <w:t>constitucionales.</w:t>
      </w:r>
    </w:p>
    <w:p w14:paraId="4F67A515" w14:textId="77777777" w:rsidR="00591D54" w:rsidRDefault="00591D54">
      <w:pPr>
        <w:shd w:val="clear" w:color="auto" w:fill="FFFFFF"/>
        <w:spacing w:before="202" w:line="216" w:lineRule="exact"/>
        <w:jc w:val="both"/>
      </w:pPr>
      <w:r>
        <w:rPr>
          <w:spacing w:val="-8"/>
          <w:sz w:val="18"/>
          <w:szCs w:val="18"/>
          <w:lang w:val="es-ES_tradnl"/>
        </w:rPr>
        <w:t>Hay que determinar adem</w:t>
      </w:r>
      <w:r>
        <w:rPr>
          <w:rFonts w:cs="Times New Roman"/>
          <w:spacing w:val="-8"/>
          <w:sz w:val="18"/>
          <w:szCs w:val="18"/>
          <w:lang w:val="es-ES_tradnl"/>
        </w:rPr>
        <w:t>á</w:t>
      </w:r>
      <w:r>
        <w:rPr>
          <w:spacing w:val="-8"/>
          <w:sz w:val="18"/>
          <w:szCs w:val="18"/>
          <w:lang w:val="es-ES_tradnl"/>
        </w:rPr>
        <w:t xml:space="preserve">s, que sobre la base de las </w:t>
      </w:r>
      <w:r>
        <w:rPr>
          <w:spacing w:val="-7"/>
          <w:sz w:val="18"/>
          <w:szCs w:val="18"/>
          <w:lang w:val="es-ES_tradnl"/>
        </w:rPr>
        <w:t>consideraciones hasta aqu</w:t>
      </w:r>
      <w:r>
        <w:rPr>
          <w:rFonts w:cs="Times New Roman"/>
          <w:spacing w:val="-7"/>
          <w:sz w:val="18"/>
          <w:szCs w:val="18"/>
          <w:lang w:val="es-ES_tradnl"/>
        </w:rPr>
        <w:t>í</w:t>
      </w:r>
      <w:r>
        <w:rPr>
          <w:spacing w:val="-7"/>
          <w:sz w:val="18"/>
          <w:szCs w:val="18"/>
          <w:lang w:val="es-ES_tradnl"/>
        </w:rPr>
        <w:t xml:space="preserve"> desarrolladas, sobre el control </w:t>
      </w:r>
      <w:r>
        <w:rPr>
          <w:spacing w:val="-2"/>
          <w:sz w:val="18"/>
          <w:szCs w:val="18"/>
          <w:lang w:val="es-ES_tradnl"/>
        </w:rPr>
        <w:t>de constitucionalidad y teniendo en cuenta la relaci</w:t>
      </w:r>
      <w:r>
        <w:rPr>
          <w:rFonts w:cs="Times New Roman"/>
          <w:spacing w:val="-2"/>
          <w:sz w:val="18"/>
          <w:szCs w:val="18"/>
          <w:lang w:val="es-ES_tradnl"/>
        </w:rPr>
        <w:t>ó</w:t>
      </w:r>
      <w:r>
        <w:rPr>
          <w:spacing w:val="-2"/>
          <w:sz w:val="18"/>
          <w:szCs w:val="18"/>
          <w:lang w:val="es-ES_tradnl"/>
        </w:rPr>
        <w:t xml:space="preserve">n </w:t>
      </w:r>
      <w:r>
        <w:rPr>
          <w:spacing w:val="-6"/>
          <w:sz w:val="18"/>
          <w:szCs w:val="18"/>
          <w:lang w:val="es-ES_tradnl"/>
        </w:rPr>
        <w:t xml:space="preserve">que existe entre el presente caso y decisiones que, sobre </w:t>
      </w:r>
      <w:r>
        <w:rPr>
          <w:spacing w:val="-5"/>
          <w:sz w:val="18"/>
          <w:szCs w:val="18"/>
          <w:lang w:val="es-ES_tradnl"/>
        </w:rPr>
        <w:t xml:space="preserve">la misma materia, ha emitido la Corte Constitucional con </w:t>
      </w:r>
      <w:r>
        <w:rPr>
          <w:spacing w:val="-6"/>
          <w:sz w:val="18"/>
          <w:szCs w:val="18"/>
          <w:lang w:val="es-ES_tradnl"/>
        </w:rPr>
        <w:t xml:space="preserve">anterioridad, para efectos de resolver sobre el caso </w:t>
      </w:r>
      <w:r>
        <w:rPr>
          <w:i/>
          <w:iCs/>
          <w:spacing w:val="-6"/>
          <w:sz w:val="18"/>
          <w:szCs w:val="18"/>
          <w:lang w:val="es-ES_tradnl"/>
        </w:rPr>
        <w:t xml:space="preserve">sub </w:t>
      </w:r>
      <w:r>
        <w:rPr>
          <w:i/>
          <w:iCs/>
          <w:spacing w:val="-4"/>
          <w:sz w:val="18"/>
          <w:szCs w:val="18"/>
          <w:lang w:val="es-ES_tradnl"/>
        </w:rPr>
        <w:t>judice</w:t>
      </w:r>
      <w:r>
        <w:rPr>
          <w:spacing w:val="-4"/>
          <w:sz w:val="18"/>
          <w:szCs w:val="18"/>
          <w:lang w:val="es-ES_tradnl"/>
        </w:rPr>
        <w:t>, se formula el siguiente problema jur</w:t>
      </w:r>
      <w:r>
        <w:rPr>
          <w:rFonts w:cs="Times New Roman"/>
          <w:spacing w:val="-4"/>
          <w:sz w:val="18"/>
          <w:szCs w:val="18"/>
          <w:lang w:val="es-ES_tradnl"/>
        </w:rPr>
        <w:t>í</w:t>
      </w:r>
      <w:r>
        <w:rPr>
          <w:spacing w:val="-4"/>
          <w:sz w:val="18"/>
          <w:szCs w:val="18"/>
          <w:lang w:val="es-ES_tradnl"/>
        </w:rPr>
        <w:t>dico:</w:t>
      </w:r>
    </w:p>
    <w:p w14:paraId="4F67A516" w14:textId="77777777" w:rsidR="00591D54" w:rsidRDefault="00591D54">
      <w:pPr>
        <w:shd w:val="clear" w:color="auto" w:fill="FFFFFF"/>
        <w:spacing w:before="197"/>
      </w:pPr>
      <w:r>
        <w:rPr>
          <w:b/>
          <w:bCs/>
          <w:spacing w:val="-6"/>
          <w:sz w:val="18"/>
          <w:szCs w:val="18"/>
          <w:lang w:val="es-ES_tradnl"/>
        </w:rPr>
        <w:t>Determinaci</w:t>
      </w:r>
      <w:r>
        <w:rPr>
          <w:rFonts w:cs="Times New Roman"/>
          <w:b/>
          <w:bCs/>
          <w:spacing w:val="-6"/>
          <w:sz w:val="18"/>
          <w:szCs w:val="18"/>
          <w:lang w:val="es-ES_tradnl"/>
        </w:rPr>
        <w:t>ó</w:t>
      </w:r>
      <w:r>
        <w:rPr>
          <w:b/>
          <w:bCs/>
          <w:spacing w:val="-6"/>
          <w:sz w:val="18"/>
          <w:szCs w:val="18"/>
          <w:lang w:val="es-ES_tradnl"/>
        </w:rPr>
        <w:t>n del problema jur</w:t>
      </w:r>
      <w:r>
        <w:rPr>
          <w:rFonts w:cs="Times New Roman"/>
          <w:b/>
          <w:bCs/>
          <w:spacing w:val="-6"/>
          <w:sz w:val="18"/>
          <w:szCs w:val="18"/>
          <w:lang w:val="es-ES_tradnl"/>
        </w:rPr>
        <w:t>í</w:t>
      </w:r>
      <w:r>
        <w:rPr>
          <w:b/>
          <w:bCs/>
          <w:spacing w:val="-6"/>
          <w:sz w:val="18"/>
          <w:szCs w:val="18"/>
          <w:lang w:val="es-ES_tradnl"/>
        </w:rPr>
        <w:t>dico</w:t>
      </w:r>
    </w:p>
    <w:p w14:paraId="4F67A517" w14:textId="77777777" w:rsidR="00591D54" w:rsidRDefault="00591D54">
      <w:pPr>
        <w:shd w:val="clear" w:color="auto" w:fill="FFFFFF"/>
        <w:spacing w:before="197" w:line="221" w:lineRule="exact"/>
        <w:jc w:val="both"/>
      </w:pPr>
      <w:r>
        <w:rPr>
          <w:spacing w:val="-8"/>
          <w:sz w:val="18"/>
          <w:szCs w:val="18"/>
          <w:lang w:val="es-ES_tradnl"/>
        </w:rPr>
        <w:t xml:space="preserve">En el presente caso de consulta de norma </w:t>
      </w:r>
      <w:r>
        <w:rPr>
          <w:rFonts w:cs="Times New Roman"/>
          <w:spacing w:val="-8"/>
          <w:sz w:val="18"/>
          <w:szCs w:val="18"/>
          <w:lang w:val="es-ES_tradnl"/>
        </w:rPr>
        <w:t>¿</w:t>
      </w:r>
      <w:r>
        <w:rPr>
          <w:spacing w:val="-8"/>
          <w:sz w:val="18"/>
          <w:szCs w:val="18"/>
          <w:lang w:val="es-ES_tradnl"/>
        </w:rPr>
        <w:t xml:space="preserve">existe materia </w:t>
      </w:r>
      <w:r>
        <w:rPr>
          <w:spacing w:val="-6"/>
          <w:sz w:val="18"/>
          <w:szCs w:val="18"/>
          <w:lang w:val="es-ES_tradnl"/>
        </w:rPr>
        <w:t>sobre la cual deba pronunciarse la Corte Constitucional?</w:t>
      </w:r>
    </w:p>
    <w:p w14:paraId="4F67A518" w14:textId="77777777" w:rsidR="00591D54" w:rsidRDefault="00591D54">
      <w:pPr>
        <w:shd w:val="clear" w:color="auto" w:fill="FFFFFF"/>
        <w:spacing w:before="197"/>
      </w:pPr>
      <w:r>
        <w:rPr>
          <w:b/>
          <w:bCs/>
          <w:spacing w:val="-7"/>
          <w:sz w:val="18"/>
          <w:szCs w:val="18"/>
          <w:lang w:val="es-ES_tradnl"/>
        </w:rPr>
        <w:t>Resoluci</w:t>
      </w:r>
      <w:r>
        <w:rPr>
          <w:rFonts w:cs="Times New Roman"/>
          <w:b/>
          <w:bCs/>
          <w:spacing w:val="-7"/>
          <w:sz w:val="18"/>
          <w:szCs w:val="18"/>
          <w:lang w:val="es-ES_tradnl"/>
        </w:rPr>
        <w:t>ó</w:t>
      </w:r>
      <w:r>
        <w:rPr>
          <w:b/>
          <w:bCs/>
          <w:spacing w:val="-7"/>
          <w:sz w:val="18"/>
          <w:szCs w:val="18"/>
          <w:lang w:val="es-ES_tradnl"/>
        </w:rPr>
        <w:t>n del problema jur</w:t>
      </w:r>
      <w:r>
        <w:rPr>
          <w:rFonts w:cs="Times New Roman"/>
          <w:b/>
          <w:bCs/>
          <w:spacing w:val="-7"/>
          <w:sz w:val="18"/>
          <w:szCs w:val="18"/>
          <w:lang w:val="es-ES_tradnl"/>
        </w:rPr>
        <w:t>í</w:t>
      </w:r>
      <w:r>
        <w:rPr>
          <w:b/>
          <w:bCs/>
          <w:spacing w:val="-7"/>
          <w:sz w:val="18"/>
          <w:szCs w:val="18"/>
          <w:lang w:val="es-ES_tradnl"/>
        </w:rPr>
        <w:t>dico</w:t>
      </w:r>
    </w:p>
    <w:p w14:paraId="4F67A519" w14:textId="77777777" w:rsidR="00591D54" w:rsidRDefault="00591D54">
      <w:pPr>
        <w:shd w:val="clear" w:color="auto" w:fill="FFFFFF"/>
        <w:spacing w:before="202" w:line="221" w:lineRule="exact"/>
        <w:jc w:val="both"/>
      </w:pPr>
      <w:r>
        <w:rPr>
          <w:spacing w:val="-8"/>
          <w:sz w:val="18"/>
          <w:szCs w:val="18"/>
          <w:lang w:val="es-ES_tradnl"/>
        </w:rPr>
        <w:t xml:space="preserve">En el presente caso de consulta de norma </w:t>
      </w:r>
      <w:r>
        <w:rPr>
          <w:rFonts w:cs="Times New Roman"/>
          <w:spacing w:val="-8"/>
          <w:sz w:val="18"/>
          <w:szCs w:val="18"/>
          <w:lang w:val="es-ES_tradnl"/>
        </w:rPr>
        <w:t>¿</w:t>
      </w:r>
      <w:r>
        <w:rPr>
          <w:spacing w:val="-8"/>
          <w:sz w:val="18"/>
          <w:szCs w:val="18"/>
          <w:lang w:val="es-ES_tradnl"/>
        </w:rPr>
        <w:t xml:space="preserve">existe materia </w:t>
      </w:r>
      <w:r>
        <w:rPr>
          <w:spacing w:val="-6"/>
          <w:sz w:val="18"/>
          <w:szCs w:val="18"/>
          <w:lang w:val="es-ES_tradnl"/>
        </w:rPr>
        <w:t>sobre la cual deba pronunciarse la Corte Constitucional?</w:t>
      </w:r>
    </w:p>
    <w:p w14:paraId="4F67A51A" w14:textId="77777777" w:rsidR="00591D54" w:rsidRDefault="00591D54">
      <w:pPr>
        <w:shd w:val="clear" w:color="auto" w:fill="FFFFFF"/>
        <w:spacing w:before="197" w:line="216" w:lineRule="exact"/>
        <w:jc w:val="both"/>
      </w:pPr>
      <w:r>
        <w:rPr>
          <w:spacing w:val="-3"/>
          <w:sz w:val="18"/>
          <w:szCs w:val="18"/>
          <w:lang w:val="es-ES_tradnl"/>
        </w:rPr>
        <w:t>Hay que se</w:t>
      </w:r>
      <w:r>
        <w:rPr>
          <w:rFonts w:cs="Times New Roman"/>
          <w:spacing w:val="-3"/>
          <w:sz w:val="18"/>
          <w:szCs w:val="18"/>
          <w:lang w:val="es-ES_tradnl"/>
        </w:rPr>
        <w:t>ñ</w:t>
      </w:r>
      <w:r>
        <w:rPr>
          <w:spacing w:val="-3"/>
          <w:sz w:val="18"/>
          <w:szCs w:val="18"/>
          <w:lang w:val="es-ES_tradnl"/>
        </w:rPr>
        <w:t xml:space="preserve">alar que respecto de la norma consultada, </w:t>
      </w:r>
      <w:r>
        <w:rPr>
          <w:spacing w:val="-4"/>
          <w:sz w:val="18"/>
          <w:szCs w:val="18"/>
          <w:lang w:val="es-ES_tradnl"/>
        </w:rPr>
        <w:t>es decir, el art</w:t>
      </w:r>
      <w:r>
        <w:rPr>
          <w:rFonts w:cs="Times New Roman"/>
          <w:spacing w:val="-4"/>
          <w:sz w:val="18"/>
          <w:szCs w:val="18"/>
          <w:lang w:val="es-ES_tradnl"/>
        </w:rPr>
        <w:t>í</w:t>
      </w:r>
      <w:r>
        <w:rPr>
          <w:spacing w:val="-4"/>
          <w:sz w:val="18"/>
          <w:szCs w:val="18"/>
          <w:lang w:val="es-ES_tradnl"/>
        </w:rPr>
        <w:t>culo 168 inciso 3 de la Ley Org</w:t>
      </w:r>
      <w:r>
        <w:rPr>
          <w:rFonts w:cs="Times New Roman"/>
          <w:spacing w:val="-4"/>
          <w:sz w:val="18"/>
          <w:szCs w:val="18"/>
          <w:lang w:val="es-ES_tradnl"/>
        </w:rPr>
        <w:t>á</w:t>
      </w:r>
      <w:r>
        <w:rPr>
          <w:spacing w:val="-4"/>
          <w:sz w:val="18"/>
          <w:szCs w:val="18"/>
          <w:lang w:val="es-ES_tradnl"/>
        </w:rPr>
        <w:t xml:space="preserve">nica de </w:t>
      </w:r>
      <w:r>
        <w:rPr>
          <w:spacing w:val="-5"/>
          <w:sz w:val="18"/>
          <w:szCs w:val="18"/>
          <w:lang w:val="es-ES_tradnl"/>
        </w:rPr>
        <w:t>Transporte Terrestre, Tr</w:t>
      </w:r>
      <w:r>
        <w:rPr>
          <w:rFonts w:cs="Times New Roman"/>
          <w:spacing w:val="-5"/>
          <w:sz w:val="18"/>
          <w:szCs w:val="18"/>
          <w:lang w:val="es-ES_tradnl"/>
        </w:rPr>
        <w:t>á</w:t>
      </w:r>
      <w:r>
        <w:rPr>
          <w:spacing w:val="-5"/>
          <w:sz w:val="18"/>
          <w:szCs w:val="18"/>
          <w:lang w:val="es-ES_tradnl"/>
        </w:rPr>
        <w:t xml:space="preserve">nsito y Seguridad Vial, la Corte </w:t>
      </w:r>
      <w:r>
        <w:rPr>
          <w:spacing w:val="-8"/>
          <w:sz w:val="18"/>
          <w:szCs w:val="18"/>
          <w:lang w:val="es-ES_tradnl"/>
        </w:rPr>
        <w:t>Constitucional, para el per</w:t>
      </w:r>
      <w:r>
        <w:rPr>
          <w:rFonts w:cs="Times New Roman"/>
          <w:spacing w:val="-8"/>
          <w:sz w:val="18"/>
          <w:szCs w:val="18"/>
          <w:lang w:val="es-ES_tradnl"/>
        </w:rPr>
        <w:t>í</w:t>
      </w:r>
      <w:r>
        <w:rPr>
          <w:spacing w:val="-8"/>
          <w:sz w:val="18"/>
          <w:szCs w:val="18"/>
          <w:lang w:val="es-ES_tradnl"/>
        </w:rPr>
        <w:t>odo de transici</w:t>
      </w:r>
      <w:r>
        <w:rPr>
          <w:rFonts w:cs="Times New Roman"/>
          <w:spacing w:val="-8"/>
          <w:sz w:val="18"/>
          <w:szCs w:val="18"/>
          <w:lang w:val="es-ES_tradnl"/>
        </w:rPr>
        <w:t>ó</w:t>
      </w:r>
      <w:r>
        <w:rPr>
          <w:spacing w:val="-8"/>
          <w:sz w:val="18"/>
          <w:szCs w:val="18"/>
          <w:lang w:val="es-ES_tradnl"/>
        </w:rPr>
        <w:t>n, en el caso N.</w:t>
      </w:r>
      <w:r>
        <w:rPr>
          <w:rFonts w:cs="Times New Roman"/>
          <w:spacing w:val="-8"/>
          <w:sz w:val="18"/>
          <w:szCs w:val="18"/>
          <w:lang w:val="es-ES_tradnl"/>
        </w:rPr>
        <w:t xml:space="preserve">º </w:t>
      </w:r>
      <w:r>
        <w:rPr>
          <w:spacing w:val="-6"/>
          <w:sz w:val="18"/>
          <w:szCs w:val="18"/>
          <w:lang w:val="es-ES_tradnl"/>
        </w:rPr>
        <w:t>0022-2009-CN, expidi</w:t>
      </w:r>
      <w:r>
        <w:rPr>
          <w:rFonts w:cs="Times New Roman"/>
          <w:spacing w:val="-6"/>
          <w:sz w:val="18"/>
          <w:szCs w:val="18"/>
          <w:lang w:val="es-ES_tradnl"/>
        </w:rPr>
        <w:t>ó</w:t>
      </w:r>
      <w:r>
        <w:rPr>
          <w:spacing w:val="-6"/>
          <w:sz w:val="18"/>
          <w:szCs w:val="18"/>
          <w:lang w:val="es-ES_tradnl"/>
        </w:rPr>
        <w:t xml:space="preserve"> la sentencia N.</w:t>
      </w:r>
      <w:r>
        <w:rPr>
          <w:rFonts w:cs="Times New Roman"/>
          <w:spacing w:val="-6"/>
          <w:sz w:val="18"/>
          <w:szCs w:val="18"/>
          <w:lang w:val="es-ES_tradnl"/>
        </w:rPr>
        <w:t>º</w:t>
      </w:r>
      <w:r>
        <w:rPr>
          <w:spacing w:val="-6"/>
          <w:sz w:val="18"/>
          <w:szCs w:val="18"/>
          <w:lang w:val="es-ES_tradnl"/>
        </w:rPr>
        <w:t xml:space="preserve"> 024-10-SCN-CC, </w:t>
      </w:r>
      <w:r>
        <w:rPr>
          <w:sz w:val="18"/>
          <w:szCs w:val="18"/>
          <w:lang w:val="es-ES_tradnl"/>
        </w:rPr>
        <w:t>en la cual resolvi</w:t>
      </w:r>
      <w:r>
        <w:rPr>
          <w:rFonts w:cs="Times New Roman"/>
          <w:sz w:val="18"/>
          <w:szCs w:val="18"/>
          <w:lang w:val="es-ES_tradnl"/>
        </w:rPr>
        <w:t>ó</w:t>
      </w:r>
      <w:r>
        <w:rPr>
          <w:sz w:val="18"/>
          <w:szCs w:val="18"/>
          <w:lang w:val="es-ES_tradnl"/>
        </w:rPr>
        <w:t xml:space="preserve"> lo siguiente:</w:t>
      </w:r>
    </w:p>
    <w:p w14:paraId="4F67A51B" w14:textId="77777777" w:rsidR="00591D54" w:rsidRDefault="00591D54">
      <w:pPr>
        <w:shd w:val="clear" w:color="auto" w:fill="FFFFFF"/>
        <w:spacing w:before="211" w:line="216" w:lineRule="exact"/>
        <w:ind w:left="283"/>
        <w:jc w:val="both"/>
      </w:pPr>
      <w:r>
        <w:rPr>
          <w:spacing w:val="-2"/>
          <w:sz w:val="16"/>
          <w:szCs w:val="16"/>
          <w:lang w:val="es-ES_tradnl"/>
        </w:rPr>
        <w:t>(</w:t>
      </w:r>
      <w:r>
        <w:rPr>
          <w:rFonts w:cs="Times New Roman"/>
          <w:spacing w:val="-2"/>
          <w:sz w:val="16"/>
          <w:szCs w:val="16"/>
          <w:lang w:val="es-ES_tradnl"/>
        </w:rPr>
        <w:t>…</w:t>
      </w:r>
      <w:r>
        <w:rPr>
          <w:spacing w:val="-2"/>
          <w:sz w:val="16"/>
          <w:szCs w:val="16"/>
          <w:lang w:val="es-ES_tradnl"/>
        </w:rPr>
        <w:t xml:space="preserve">) 1.Se declara la inconstitucionalidad total por el fondo </w:t>
      </w:r>
      <w:r>
        <w:rPr>
          <w:spacing w:val="-5"/>
          <w:sz w:val="16"/>
          <w:szCs w:val="16"/>
          <w:lang w:val="es-ES_tradnl"/>
        </w:rPr>
        <w:t>del inciso tercero del art</w:t>
      </w:r>
      <w:r>
        <w:rPr>
          <w:rFonts w:cs="Times New Roman"/>
          <w:spacing w:val="-5"/>
          <w:sz w:val="16"/>
          <w:szCs w:val="16"/>
          <w:lang w:val="es-ES_tradnl"/>
        </w:rPr>
        <w:t>í</w:t>
      </w:r>
      <w:r>
        <w:rPr>
          <w:spacing w:val="-5"/>
          <w:sz w:val="16"/>
          <w:szCs w:val="16"/>
          <w:lang w:val="es-ES_tradnl"/>
        </w:rPr>
        <w:t>culo 168 de la Ley Org</w:t>
      </w:r>
      <w:r>
        <w:rPr>
          <w:rFonts w:cs="Times New Roman"/>
          <w:spacing w:val="-5"/>
          <w:sz w:val="16"/>
          <w:szCs w:val="16"/>
          <w:lang w:val="es-ES_tradnl"/>
        </w:rPr>
        <w:t>á</w:t>
      </w:r>
      <w:r>
        <w:rPr>
          <w:spacing w:val="-5"/>
          <w:sz w:val="16"/>
          <w:szCs w:val="16"/>
          <w:lang w:val="es-ES_tradnl"/>
        </w:rPr>
        <w:t xml:space="preserve">nica de </w:t>
      </w:r>
      <w:r>
        <w:rPr>
          <w:spacing w:val="-6"/>
          <w:sz w:val="16"/>
          <w:szCs w:val="16"/>
          <w:lang w:val="es-ES_tradnl"/>
        </w:rPr>
        <w:t>Transporte Terrestre, Tr</w:t>
      </w:r>
      <w:r>
        <w:rPr>
          <w:rFonts w:cs="Times New Roman"/>
          <w:spacing w:val="-6"/>
          <w:sz w:val="16"/>
          <w:szCs w:val="16"/>
          <w:lang w:val="es-ES_tradnl"/>
        </w:rPr>
        <w:t>á</w:t>
      </w:r>
      <w:r>
        <w:rPr>
          <w:spacing w:val="-6"/>
          <w:sz w:val="16"/>
          <w:szCs w:val="16"/>
          <w:lang w:val="es-ES_tradnl"/>
        </w:rPr>
        <w:t xml:space="preserve">nsito y Seguridad Vial, publicada en </w:t>
      </w:r>
      <w:r>
        <w:rPr>
          <w:spacing w:val="-5"/>
          <w:sz w:val="16"/>
          <w:szCs w:val="16"/>
          <w:lang w:val="es-ES_tradnl"/>
        </w:rPr>
        <w:t>el Suplemento del Registro Oficial N.</w:t>
      </w:r>
      <w:r>
        <w:rPr>
          <w:rFonts w:cs="Times New Roman"/>
          <w:spacing w:val="-5"/>
          <w:sz w:val="16"/>
          <w:szCs w:val="16"/>
          <w:lang w:val="es-ES_tradnl"/>
        </w:rPr>
        <w:t>º</w:t>
      </w:r>
      <w:r>
        <w:rPr>
          <w:spacing w:val="-5"/>
          <w:sz w:val="16"/>
          <w:szCs w:val="16"/>
          <w:lang w:val="es-ES_tradnl"/>
        </w:rPr>
        <w:t xml:space="preserve"> 398 del 07 de agosto </w:t>
      </w:r>
      <w:r>
        <w:rPr>
          <w:sz w:val="16"/>
          <w:szCs w:val="16"/>
          <w:lang w:val="es-ES_tradnl"/>
        </w:rPr>
        <w:t>del 2008.</w:t>
      </w:r>
    </w:p>
    <w:p w14:paraId="4F67A51C" w14:textId="77777777" w:rsidR="00591D54" w:rsidRDefault="00591D54">
      <w:pPr>
        <w:shd w:val="clear" w:color="auto" w:fill="FFFFFF"/>
        <w:spacing w:before="211" w:line="216" w:lineRule="exact"/>
        <w:ind w:left="283"/>
        <w:jc w:val="both"/>
      </w:pPr>
      <w:r>
        <w:rPr>
          <w:sz w:val="16"/>
          <w:szCs w:val="16"/>
          <w:lang w:val="es-ES_tradnl"/>
        </w:rPr>
        <w:t xml:space="preserve">2.Se declara la inconstitucionalidad por conexidad y por </w:t>
      </w:r>
      <w:r>
        <w:rPr>
          <w:spacing w:val="-3"/>
          <w:sz w:val="16"/>
          <w:szCs w:val="16"/>
          <w:lang w:val="es-ES_tradnl"/>
        </w:rPr>
        <w:t xml:space="preserve">el fondo, de la frase </w:t>
      </w:r>
      <w:r>
        <w:rPr>
          <w:rFonts w:cs="Times New Roman"/>
          <w:spacing w:val="-3"/>
          <w:sz w:val="16"/>
          <w:szCs w:val="16"/>
          <w:lang w:val="es-ES_tradnl"/>
        </w:rPr>
        <w:t>“</w:t>
      </w:r>
      <w:r>
        <w:rPr>
          <w:b/>
          <w:bCs/>
          <w:spacing w:val="-3"/>
          <w:sz w:val="16"/>
          <w:szCs w:val="16"/>
          <w:lang w:val="es-ES_tradnl"/>
        </w:rPr>
        <w:t>y la del juicio</w:t>
      </w:r>
      <w:r>
        <w:rPr>
          <w:rFonts w:cs="Times New Roman"/>
          <w:spacing w:val="-3"/>
          <w:sz w:val="16"/>
          <w:szCs w:val="16"/>
          <w:lang w:val="es-ES_tradnl"/>
        </w:rPr>
        <w:t>”</w:t>
      </w:r>
      <w:r>
        <w:rPr>
          <w:spacing w:val="-3"/>
          <w:sz w:val="16"/>
          <w:szCs w:val="16"/>
          <w:lang w:val="es-ES_tradnl"/>
        </w:rPr>
        <w:t xml:space="preserve"> contenida en el inciso</w:t>
      </w:r>
    </w:p>
    <w:p w14:paraId="4F67A51D" w14:textId="77777777" w:rsidR="00591D54" w:rsidRDefault="00591D54">
      <w:pPr>
        <w:shd w:val="clear" w:color="auto" w:fill="FFFFFF"/>
        <w:spacing w:before="418" w:line="178" w:lineRule="exact"/>
        <w:ind w:left="144" w:hanging="144"/>
        <w:jc w:val="both"/>
      </w:pPr>
      <w:r>
        <w:rPr>
          <w:sz w:val="16"/>
          <w:szCs w:val="16"/>
          <w:vertAlign w:val="superscript"/>
          <w:lang w:val="es-ES_tradnl"/>
        </w:rPr>
        <w:t>1</w:t>
      </w:r>
      <w:r>
        <w:rPr>
          <w:sz w:val="16"/>
          <w:szCs w:val="16"/>
          <w:lang w:val="es-ES_tradnl"/>
        </w:rPr>
        <w:t xml:space="preserve"> </w:t>
      </w:r>
      <w:r>
        <w:rPr>
          <w:spacing w:val="-10"/>
          <w:sz w:val="16"/>
          <w:szCs w:val="16"/>
          <w:lang w:val="es-ES_tradnl"/>
        </w:rPr>
        <w:t xml:space="preserve">SIERRA PORTO, Humberto (2012), </w:t>
      </w:r>
      <w:r>
        <w:rPr>
          <w:i/>
          <w:iCs/>
          <w:spacing w:val="-10"/>
          <w:sz w:val="16"/>
          <w:szCs w:val="16"/>
          <w:lang w:val="es-ES_tradnl"/>
        </w:rPr>
        <w:t>Cr</w:t>
      </w:r>
      <w:r>
        <w:rPr>
          <w:rFonts w:cs="Times New Roman"/>
          <w:i/>
          <w:iCs/>
          <w:spacing w:val="-10"/>
          <w:sz w:val="16"/>
          <w:szCs w:val="16"/>
          <w:lang w:val="es-ES_tradnl"/>
        </w:rPr>
        <w:t>í</w:t>
      </w:r>
      <w:r>
        <w:rPr>
          <w:i/>
          <w:iCs/>
          <w:spacing w:val="-10"/>
          <w:sz w:val="16"/>
          <w:szCs w:val="16"/>
          <w:lang w:val="es-ES_tradnl"/>
        </w:rPr>
        <w:t xml:space="preserve">ticas, ventajas y efectos del </w:t>
      </w:r>
      <w:r>
        <w:rPr>
          <w:i/>
          <w:iCs/>
          <w:spacing w:val="-9"/>
          <w:sz w:val="16"/>
          <w:szCs w:val="16"/>
          <w:lang w:val="es-ES_tradnl"/>
        </w:rPr>
        <w:t xml:space="preserve">sistema de control de constitucionalidad. </w:t>
      </w:r>
      <w:r>
        <w:rPr>
          <w:rFonts w:cs="Times New Roman"/>
          <w:i/>
          <w:iCs/>
          <w:spacing w:val="-9"/>
          <w:sz w:val="16"/>
          <w:szCs w:val="16"/>
          <w:lang w:val="es-ES_tradnl"/>
        </w:rPr>
        <w:t>“</w:t>
      </w:r>
      <w:r>
        <w:rPr>
          <w:i/>
          <w:iCs/>
          <w:spacing w:val="-9"/>
          <w:sz w:val="16"/>
          <w:szCs w:val="16"/>
          <w:lang w:val="es-ES_tradnl"/>
        </w:rPr>
        <w:t>Genealog</w:t>
      </w:r>
      <w:r>
        <w:rPr>
          <w:rFonts w:cs="Times New Roman"/>
          <w:i/>
          <w:iCs/>
          <w:spacing w:val="-9"/>
          <w:sz w:val="16"/>
          <w:szCs w:val="16"/>
          <w:lang w:val="es-ES_tradnl"/>
        </w:rPr>
        <w:t>í</w:t>
      </w:r>
      <w:r>
        <w:rPr>
          <w:i/>
          <w:iCs/>
          <w:spacing w:val="-9"/>
          <w:sz w:val="16"/>
          <w:szCs w:val="16"/>
          <w:lang w:val="es-ES_tradnl"/>
        </w:rPr>
        <w:t xml:space="preserve">a de la justicia </w:t>
      </w:r>
      <w:r>
        <w:rPr>
          <w:i/>
          <w:iCs/>
          <w:spacing w:val="-7"/>
          <w:sz w:val="16"/>
          <w:szCs w:val="16"/>
          <w:lang w:val="es-ES_tradnl"/>
        </w:rPr>
        <w:t>constitucional ecuatoriana</w:t>
      </w:r>
      <w:r>
        <w:rPr>
          <w:rFonts w:cs="Times New Roman"/>
          <w:i/>
          <w:iCs/>
          <w:spacing w:val="-7"/>
          <w:sz w:val="16"/>
          <w:szCs w:val="16"/>
          <w:lang w:val="es-ES_tradnl"/>
        </w:rPr>
        <w:t>”</w:t>
      </w:r>
      <w:r>
        <w:rPr>
          <w:spacing w:val="-7"/>
          <w:sz w:val="16"/>
          <w:szCs w:val="16"/>
          <w:lang w:val="es-ES_tradnl"/>
        </w:rPr>
        <w:t xml:space="preserve">. Quito, Corte Constitucional para el </w:t>
      </w:r>
      <w:r>
        <w:rPr>
          <w:sz w:val="16"/>
          <w:szCs w:val="16"/>
          <w:lang w:val="es-ES_tradnl"/>
        </w:rPr>
        <w:t>Per</w:t>
      </w:r>
      <w:r>
        <w:rPr>
          <w:rFonts w:cs="Times New Roman"/>
          <w:sz w:val="16"/>
          <w:szCs w:val="16"/>
          <w:lang w:val="es-ES_tradnl"/>
        </w:rPr>
        <w:t>í</w:t>
      </w:r>
      <w:r>
        <w:rPr>
          <w:sz w:val="16"/>
          <w:szCs w:val="16"/>
          <w:lang w:val="es-ES_tradnl"/>
        </w:rPr>
        <w:t>odo de Transici</w:t>
      </w:r>
      <w:r>
        <w:rPr>
          <w:rFonts w:cs="Times New Roman"/>
          <w:sz w:val="16"/>
          <w:szCs w:val="16"/>
          <w:lang w:val="es-ES_tradnl"/>
        </w:rPr>
        <w:t>ó</w:t>
      </w:r>
      <w:r>
        <w:rPr>
          <w:sz w:val="16"/>
          <w:szCs w:val="16"/>
          <w:lang w:val="es-ES_tradnl"/>
        </w:rPr>
        <w:t>n, P. 47</w:t>
      </w:r>
    </w:p>
    <w:p w14:paraId="4F67A51E" w14:textId="77777777" w:rsidR="00591D54" w:rsidRDefault="00591D54">
      <w:pPr>
        <w:shd w:val="clear" w:color="auto" w:fill="FFFFFF"/>
        <w:spacing w:before="418" w:line="178" w:lineRule="exact"/>
        <w:ind w:left="144" w:hanging="144"/>
        <w:jc w:val="both"/>
        <w:sectPr w:rsidR="00591D54">
          <w:type w:val="continuous"/>
          <w:pgSz w:w="11909" w:h="16834"/>
          <w:pgMar w:top="1356" w:right="1309" w:bottom="360" w:left="1308" w:header="720" w:footer="720" w:gutter="0"/>
          <w:cols w:num="2" w:space="720" w:equalWidth="0">
            <w:col w:w="4305" w:space="682"/>
            <w:col w:w="4305"/>
          </w:cols>
          <w:noEndnote/>
        </w:sectPr>
      </w:pPr>
    </w:p>
    <w:p w14:paraId="4F67A51F" w14:textId="77777777" w:rsidR="00591D54" w:rsidRDefault="00591D54">
      <w:pPr>
        <w:shd w:val="clear" w:color="auto" w:fill="FFFFFF"/>
        <w:tabs>
          <w:tab w:val="left" w:pos="4814"/>
        </w:tabs>
        <w:spacing w:after="230"/>
        <w:ind w:left="5"/>
      </w:pPr>
      <w:r>
        <w:rPr>
          <w:b/>
          <w:bCs/>
          <w:sz w:val="18"/>
          <w:szCs w:val="18"/>
          <w:lang w:val="es-ES_tradnl"/>
        </w:rPr>
        <w:t xml:space="preserve">24 -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520" w14:textId="77777777" w:rsidR="00591D54" w:rsidRDefault="00591D54">
      <w:pPr>
        <w:shd w:val="clear" w:color="auto" w:fill="FFFFFF"/>
        <w:tabs>
          <w:tab w:val="left" w:pos="4814"/>
        </w:tabs>
        <w:spacing w:after="230"/>
        <w:ind w:left="5"/>
        <w:sectPr w:rsidR="00591D54">
          <w:pgSz w:w="11909" w:h="16834"/>
          <w:pgMar w:top="1390" w:right="1309" w:bottom="360" w:left="1308" w:header="720" w:footer="720" w:gutter="0"/>
          <w:cols w:space="60"/>
          <w:noEndnote/>
        </w:sectPr>
      </w:pPr>
    </w:p>
    <w:p w14:paraId="4F67A521" w14:textId="77777777" w:rsidR="00591D54" w:rsidRDefault="00591D54">
      <w:pPr>
        <w:shd w:val="clear" w:color="auto" w:fill="FFFFFF"/>
        <w:spacing w:line="216" w:lineRule="exact"/>
        <w:ind w:left="283"/>
        <w:jc w:val="both"/>
      </w:pPr>
      <w:r>
        <w:rPr>
          <w:spacing w:val="-6"/>
          <w:sz w:val="16"/>
          <w:szCs w:val="16"/>
          <w:lang w:val="es-ES_tradnl"/>
        </w:rPr>
        <w:t>segundo del art</w:t>
      </w:r>
      <w:r>
        <w:rPr>
          <w:rFonts w:cs="Times New Roman"/>
          <w:spacing w:val="-6"/>
          <w:sz w:val="16"/>
          <w:szCs w:val="16"/>
          <w:lang w:val="es-ES_tradnl"/>
        </w:rPr>
        <w:t>í</w:t>
      </w:r>
      <w:r>
        <w:rPr>
          <w:spacing w:val="-6"/>
          <w:sz w:val="16"/>
          <w:szCs w:val="16"/>
          <w:lang w:val="es-ES_tradnl"/>
        </w:rPr>
        <w:t>culo 167 de la Ley Org</w:t>
      </w:r>
      <w:r>
        <w:rPr>
          <w:rFonts w:cs="Times New Roman"/>
          <w:spacing w:val="-6"/>
          <w:sz w:val="16"/>
          <w:szCs w:val="16"/>
          <w:lang w:val="es-ES_tradnl"/>
        </w:rPr>
        <w:t>á</w:t>
      </w:r>
      <w:r>
        <w:rPr>
          <w:spacing w:val="-6"/>
          <w:sz w:val="16"/>
          <w:szCs w:val="16"/>
          <w:lang w:val="es-ES_tradnl"/>
        </w:rPr>
        <w:t xml:space="preserve">nica de Transporte </w:t>
      </w:r>
      <w:r>
        <w:rPr>
          <w:spacing w:val="-1"/>
          <w:sz w:val="16"/>
          <w:szCs w:val="16"/>
          <w:lang w:val="es-ES_tradnl"/>
        </w:rPr>
        <w:t>Terrestre, Tr</w:t>
      </w:r>
      <w:r>
        <w:rPr>
          <w:rFonts w:cs="Times New Roman"/>
          <w:spacing w:val="-1"/>
          <w:sz w:val="16"/>
          <w:szCs w:val="16"/>
          <w:lang w:val="es-ES_tradnl"/>
        </w:rPr>
        <w:t>á</w:t>
      </w:r>
      <w:r>
        <w:rPr>
          <w:spacing w:val="-1"/>
          <w:sz w:val="16"/>
          <w:szCs w:val="16"/>
          <w:lang w:val="es-ES_tradnl"/>
        </w:rPr>
        <w:t xml:space="preserve">nsito y Seguridad Vial, publicada en el </w:t>
      </w:r>
      <w:r>
        <w:rPr>
          <w:spacing w:val="-6"/>
          <w:sz w:val="16"/>
          <w:szCs w:val="16"/>
          <w:lang w:val="es-ES_tradnl"/>
        </w:rPr>
        <w:t>Suplemento del Registro Oficial N.</w:t>
      </w:r>
      <w:r>
        <w:rPr>
          <w:rFonts w:cs="Times New Roman"/>
          <w:spacing w:val="-6"/>
          <w:sz w:val="16"/>
          <w:szCs w:val="16"/>
          <w:lang w:val="es-ES_tradnl"/>
        </w:rPr>
        <w:t>º</w:t>
      </w:r>
      <w:r>
        <w:rPr>
          <w:spacing w:val="-6"/>
          <w:sz w:val="16"/>
          <w:szCs w:val="16"/>
          <w:lang w:val="es-ES_tradnl"/>
        </w:rPr>
        <w:t xml:space="preserve"> 398 del 07 de agosto del </w:t>
      </w:r>
      <w:r>
        <w:rPr>
          <w:sz w:val="16"/>
          <w:szCs w:val="16"/>
          <w:lang w:val="es-ES_tradnl"/>
        </w:rPr>
        <w:t>2008.</w:t>
      </w:r>
    </w:p>
    <w:p w14:paraId="4F67A522" w14:textId="77777777" w:rsidR="00591D54" w:rsidRDefault="00591D54">
      <w:pPr>
        <w:shd w:val="clear" w:color="auto" w:fill="FFFFFF"/>
        <w:spacing w:before="221"/>
        <w:ind w:left="283"/>
      </w:pPr>
      <w:r>
        <w:rPr>
          <w:spacing w:val="-6"/>
          <w:sz w:val="16"/>
          <w:szCs w:val="16"/>
          <w:lang w:val="es-ES_tradnl"/>
        </w:rPr>
        <w:t>3. Notif</w:t>
      </w:r>
      <w:r>
        <w:rPr>
          <w:rFonts w:cs="Times New Roman"/>
          <w:spacing w:val="-6"/>
          <w:sz w:val="16"/>
          <w:szCs w:val="16"/>
          <w:lang w:val="es-ES_tradnl"/>
        </w:rPr>
        <w:t>í</w:t>
      </w:r>
      <w:r>
        <w:rPr>
          <w:spacing w:val="-6"/>
          <w:sz w:val="16"/>
          <w:szCs w:val="16"/>
          <w:lang w:val="es-ES_tradnl"/>
        </w:rPr>
        <w:t>quese, publ</w:t>
      </w:r>
      <w:r>
        <w:rPr>
          <w:rFonts w:cs="Times New Roman"/>
          <w:spacing w:val="-6"/>
          <w:sz w:val="16"/>
          <w:szCs w:val="16"/>
          <w:lang w:val="es-ES_tradnl"/>
        </w:rPr>
        <w:t>í</w:t>
      </w:r>
      <w:r>
        <w:rPr>
          <w:spacing w:val="-6"/>
          <w:sz w:val="16"/>
          <w:szCs w:val="16"/>
          <w:lang w:val="es-ES_tradnl"/>
        </w:rPr>
        <w:t>quese y c</w:t>
      </w:r>
      <w:r>
        <w:rPr>
          <w:rFonts w:cs="Times New Roman"/>
          <w:spacing w:val="-6"/>
          <w:sz w:val="16"/>
          <w:szCs w:val="16"/>
          <w:lang w:val="es-ES_tradnl"/>
        </w:rPr>
        <w:t>ú</w:t>
      </w:r>
      <w:r>
        <w:rPr>
          <w:spacing w:val="-6"/>
          <w:sz w:val="16"/>
          <w:szCs w:val="16"/>
          <w:lang w:val="es-ES_tradnl"/>
        </w:rPr>
        <w:t>mplase (</w:t>
      </w:r>
      <w:r>
        <w:rPr>
          <w:rFonts w:cs="Times New Roman"/>
          <w:spacing w:val="-6"/>
          <w:sz w:val="16"/>
          <w:szCs w:val="16"/>
          <w:lang w:val="es-ES_tradnl"/>
        </w:rPr>
        <w:t>…</w:t>
      </w:r>
      <w:r>
        <w:rPr>
          <w:spacing w:val="-6"/>
          <w:sz w:val="16"/>
          <w:szCs w:val="16"/>
          <w:lang w:val="es-ES_tradnl"/>
        </w:rPr>
        <w:t>).</w:t>
      </w:r>
    </w:p>
    <w:p w14:paraId="4F67A523" w14:textId="77777777" w:rsidR="00591D54" w:rsidRDefault="00591D54">
      <w:pPr>
        <w:shd w:val="clear" w:color="auto" w:fill="FFFFFF"/>
        <w:spacing w:before="202" w:line="216" w:lineRule="exact"/>
        <w:jc w:val="both"/>
      </w:pPr>
      <w:r>
        <w:rPr>
          <w:spacing w:val="-6"/>
          <w:sz w:val="18"/>
          <w:szCs w:val="18"/>
          <w:lang w:val="es-ES_tradnl"/>
        </w:rPr>
        <w:t>Dicha sentencia resolvi</w:t>
      </w:r>
      <w:r>
        <w:rPr>
          <w:rFonts w:cs="Times New Roman"/>
          <w:spacing w:val="-6"/>
          <w:sz w:val="18"/>
          <w:szCs w:val="18"/>
          <w:lang w:val="es-ES_tradnl"/>
        </w:rPr>
        <w:t>ó</w:t>
      </w:r>
      <w:r>
        <w:rPr>
          <w:spacing w:val="-6"/>
          <w:sz w:val="18"/>
          <w:szCs w:val="18"/>
          <w:lang w:val="es-ES_tradnl"/>
        </w:rPr>
        <w:t xml:space="preserve"> la consulta de norma planteada </w:t>
      </w:r>
      <w:r>
        <w:rPr>
          <w:spacing w:val="-2"/>
          <w:sz w:val="18"/>
          <w:szCs w:val="18"/>
          <w:lang w:val="es-ES_tradnl"/>
        </w:rPr>
        <w:t xml:space="preserve">por el doctor Edgar Criollo Flores, juez temporal del </w:t>
      </w:r>
      <w:r>
        <w:rPr>
          <w:spacing w:val="-5"/>
          <w:sz w:val="18"/>
          <w:szCs w:val="18"/>
          <w:lang w:val="es-ES_tradnl"/>
        </w:rPr>
        <w:t>Juzgado Segundo Provincial de Tr</w:t>
      </w:r>
      <w:r>
        <w:rPr>
          <w:rFonts w:cs="Times New Roman"/>
          <w:spacing w:val="-5"/>
          <w:sz w:val="18"/>
          <w:szCs w:val="18"/>
          <w:lang w:val="es-ES_tradnl"/>
        </w:rPr>
        <w:t>á</w:t>
      </w:r>
      <w:r>
        <w:rPr>
          <w:spacing w:val="-5"/>
          <w:sz w:val="18"/>
          <w:szCs w:val="18"/>
          <w:lang w:val="es-ES_tradnl"/>
        </w:rPr>
        <w:t xml:space="preserve">nsito de Loja, dentro </w:t>
      </w:r>
      <w:r>
        <w:rPr>
          <w:spacing w:val="-8"/>
          <w:sz w:val="18"/>
          <w:szCs w:val="18"/>
          <w:lang w:val="es-ES_tradnl"/>
        </w:rPr>
        <w:t>del caso N.</w:t>
      </w:r>
      <w:r>
        <w:rPr>
          <w:rFonts w:cs="Times New Roman"/>
          <w:spacing w:val="-8"/>
          <w:sz w:val="18"/>
          <w:szCs w:val="18"/>
          <w:lang w:val="es-ES_tradnl"/>
        </w:rPr>
        <w:t>°</w:t>
      </w:r>
      <w:r>
        <w:rPr>
          <w:spacing w:val="-8"/>
          <w:sz w:val="18"/>
          <w:szCs w:val="18"/>
          <w:lang w:val="es-ES_tradnl"/>
        </w:rPr>
        <w:t xml:space="preserve"> 0022-2009-CN, que guarda similares patrones </w:t>
      </w:r>
      <w:r>
        <w:rPr>
          <w:spacing w:val="-7"/>
          <w:sz w:val="18"/>
          <w:szCs w:val="18"/>
          <w:lang w:val="es-ES_tradnl"/>
        </w:rPr>
        <w:t>f</w:t>
      </w:r>
      <w:r>
        <w:rPr>
          <w:rFonts w:cs="Times New Roman"/>
          <w:spacing w:val="-7"/>
          <w:sz w:val="18"/>
          <w:szCs w:val="18"/>
          <w:lang w:val="es-ES_tradnl"/>
        </w:rPr>
        <w:t>á</w:t>
      </w:r>
      <w:r>
        <w:rPr>
          <w:spacing w:val="-7"/>
          <w:sz w:val="18"/>
          <w:szCs w:val="18"/>
          <w:lang w:val="es-ES_tradnl"/>
        </w:rPr>
        <w:t xml:space="preserve">cticos al presente, pues el juzgador consideraba que el </w:t>
      </w:r>
      <w:r>
        <w:rPr>
          <w:spacing w:val="-6"/>
          <w:sz w:val="18"/>
          <w:szCs w:val="18"/>
          <w:lang w:val="es-ES_tradnl"/>
        </w:rPr>
        <w:t>inciso 3 del art</w:t>
      </w:r>
      <w:r>
        <w:rPr>
          <w:rFonts w:cs="Times New Roman"/>
          <w:spacing w:val="-6"/>
          <w:sz w:val="18"/>
          <w:szCs w:val="18"/>
          <w:lang w:val="es-ES_tradnl"/>
        </w:rPr>
        <w:t>í</w:t>
      </w:r>
      <w:r>
        <w:rPr>
          <w:spacing w:val="-6"/>
          <w:sz w:val="18"/>
          <w:szCs w:val="18"/>
          <w:lang w:val="es-ES_tradnl"/>
        </w:rPr>
        <w:t>culo 168 de la Ley Org</w:t>
      </w:r>
      <w:r>
        <w:rPr>
          <w:rFonts w:cs="Times New Roman"/>
          <w:spacing w:val="-6"/>
          <w:sz w:val="18"/>
          <w:szCs w:val="18"/>
          <w:lang w:val="es-ES_tradnl"/>
        </w:rPr>
        <w:t>á</w:t>
      </w:r>
      <w:r>
        <w:rPr>
          <w:spacing w:val="-6"/>
          <w:sz w:val="18"/>
          <w:szCs w:val="18"/>
          <w:lang w:val="es-ES_tradnl"/>
        </w:rPr>
        <w:t>nica de Transporte Terrestre, Tr</w:t>
      </w:r>
      <w:r>
        <w:rPr>
          <w:rFonts w:cs="Times New Roman"/>
          <w:spacing w:val="-6"/>
          <w:sz w:val="18"/>
          <w:szCs w:val="18"/>
          <w:lang w:val="es-ES_tradnl"/>
        </w:rPr>
        <w:t>á</w:t>
      </w:r>
      <w:r>
        <w:rPr>
          <w:spacing w:val="-6"/>
          <w:sz w:val="18"/>
          <w:szCs w:val="18"/>
          <w:lang w:val="es-ES_tradnl"/>
        </w:rPr>
        <w:t xml:space="preserve">nsito y Seguridad Vial, de forma expresa </w:t>
      </w:r>
      <w:r>
        <w:rPr>
          <w:spacing w:val="-9"/>
          <w:sz w:val="18"/>
          <w:szCs w:val="18"/>
          <w:lang w:val="es-ES_tradnl"/>
        </w:rPr>
        <w:t>se</w:t>
      </w:r>
      <w:r>
        <w:rPr>
          <w:rFonts w:cs="Times New Roman"/>
          <w:spacing w:val="-9"/>
          <w:sz w:val="18"/>
          <w:szCs w:val="18"/>
          <w:lang w:val="es-ES_tradnl"/>
        </w:rPr>
        <w:t>ñ</w:t>
      </w:r>
      <w:r>
        <w:rPr>
          <w:spacing w:val="-9"/>
          <w:sz w:val="18"/>
          <w:szCs w:val="18"/>
          <w:lang w:val="es-ES_tradnl"/>
        </w:rPr>
        <w:t>alaba que para los casos en los que por tercera ocasi</w:t>
      </w:r>
      <w:r>
        <w:rPr>
          <w:rFonts w:cs="Times New Roman"/>
          <w:spacing w:val="-9"/>
          <w:sz w:val="18"/>
          <w:szCs w:val="18"/>
          <w:lang w:val="es-ES_tradnl"/>
        </w:rPr>
        <w:t>ó</w:t>
      </w:r>
      <w:r>
        <w:rPr>
          <w:spacing w:val="-9"/>
          <w:sz w:val="18"/>
          <w:szCs w:val="18"/>
          <w:lang w:val="es-ES_tradnl"/>
        </w:rPr>
        <w:t xml:space="preserve">n </w:t>
      </w:r>
      <w:r>
        <w:rPr>
          <w:spacing w:val="-8"/>
          <w:sz w:val="18"/>
          <w:szCs w:val="18"/>
          <w:lang w:val="es-ES_tradnl"/>
        </w:rPr>
        <w:t>se convoque a la audiencia de juzgamiento, de no asistir el imputado, se la practicar</w:t>
      </w:r>
      <w:r>
        <w:rPr>
          <w:rFonts w:cs="Times New Roman"/>
          <w:spacing w:val="-8"/>
          <w:sz w:val="18"/>
          <w:szCs w:val="18"/>
          <w:lang w:val="es-ES_tradnl"/>
        </w:rPr>
        <w:t>á</w:t>
      </w:r>
      <w:r>
        <w:rPr>
          <w:spacing w:val="-8"/>
          <w:sz w:val="18"/>
          <w:szCs w:val="18"/>
          <w:lang w:val="es-ES_tradnl"/>
        </w:rPr>
        <w:t xml:space="preserve"> en ausencia, lo cual a su parecer </w:t>
      </w:r>
      <w:r>
        <w:rPr>
          <w:spacing w:val="-4"/>
          <w:sz w:val="18"/>
          <w:szCs w:val="18"/>
          <w:lang w:val="es-ES_tradnl"/>
        </w:rPr>
        <w:t xml:space="preserve">vulneraba principios y derechos relativos a la igualdad </w:t>
      </w:r>
      <w:r>
        <w:rPr>
          <w:spacing w:val="-3"/>
          <w:sz w:val="18"/>
          <w:szCs w:val="18"/>
          <w:lang w:val="es-ES_tradnl"/>
        </w:rPr>
        <w:t>formal y material, aplicaci</w:t>
      </w:r>
      <w:r>
        <w:rPr>
          <w:rFonts w:cs="Times New Roman"/>
          <w:spacing w:val="-3"/>
          <w:sz w:val="18"/>
          <w:szCs w:val="18"/>
          <w:lang w:val="es-ES_tradnl"/>
        </w:rPr>
        <w:t>ó</w:t>
      </w:r>
      <w:r>
        <w:rPr>
          <w:spacing w:val="-3"/>
          <w:sz w:val="18"/>
          <w:szCs w:val="18"/>
          <w:lang w:val="es-ES_tradnl"/>
        </w:rPr>
        <w:t>n directa de la Constituci</w:t>
      </w:r>
      <w:r>
        <w:rPr>
          <w:rFonts w:cs="Times New Roman"/>
          <w:spacing w:val="-3"/>
          <w:sz w:val="18"/>
          <w:szCs w:val="18"/>
          <w:lang w:val="es-ES_tradnl"/>
        </w:rPr>
        <w:t>ó</w:t>
      </w:r>
      <w:r>
        <w:rPr>
          <w:spacing w:val="-3"/>
          <w:sz w:val="18"/>
          <w:szCs w:val="18"/>
          <w:lang w:val="es-ES_tradnl"/>
        </w:rPr>
        <w:t xml:space="preserve">n, </w:t>
      </w:r>
      <w:r>
        <w:rPr>
          <w:spacing w:val="-10"/>
          <w:sz w:val="18"/>
          <w:szCs w:val="18"/>
          <w:lang w:val="es-ES_tradnl"/>
        </w:rPr>
        <w:t xml:space="preserve">derechos de las personas a la defensa, a ser escuchados </w:t>
      </w:r>
      <w:r>
        <w:rPr>
          <w:spacing w:val="-9"/>
          <w:sz w:val="18"/>
          <w:szCs w:val="18"/>
          <w:lang w:val="es-ES_tradnl"/>
        </w:rPr>
        <w:t>oportunamente y presentar sus alegaciones.</w:t>
      </w:r>
    </w:p>
    <w:p w14:paraId="4F67A524" w14:textId="77777777" w:rsidR="00591D54" w:rsidRDefault="00591D54">
      <w:pPr>
        <w:shd w:val="clear" w:color="auto" w:fill="FFFFFF"/>
        <w:spacing w:before="197" w:line="216" w:lineRule="exact"/>
        <w:jc w:val="both"/>
      </w:pPr>
      <w:r>
        <w:rPr>
          <w:spacing w:val="-8"/>
          <w:sz w:val="18"/>
          <w:szCs w:val="18"/>
          <w:lang w:val="es-ES_tradnl"/>
        </w:rPr>
        <w:t xml:space="preserve">En este sentido, la Corte Constitucional, para el periodo de </w:t>
      </w:r>
      <w:r>
        <w:rPr>
          <w:spacing w:val="-6"/>
          <w:sz w:val="18"/>
          <w:szCs w:val="18"/>
          <w:lang w:val="es-ES_tradnl"/>
        </w:rPr>
        <w:t>transici</w:t>
      </w:r>
      <w:r>
        <w:rPr>
          <w:rFonts w:cs="Times New Roman"/>
          <w:spacing w:val="-6"/>
          <w:sz w:val="18"/>
          <w:szCs w:val="18"/>
          <w:lang w:val="es-ES_tradnl"/>
        </w:rPr>
        <w:t>ó</w:t>
      </w:r>
      <w:r>
        <w:rPr>
          <w:spacing w:val="-6"/>
          <w:sz w:val="18"/>
          <w:szCs w:val="18"/>
          <w:lang w:val="es-ES_tradnl"/>
        </w:rPr>
        <w:t xml:space="preserve">n, ante la alegada inconstitucionalidad normativa, </w:t>
      </w:r>
      <w:r>
        <w:rPr>
          <w:sz w:val="18"/>
          <w:szCs w:val="18"/>
          <w:lang w:val="es-ES_tradnl"/>
        </w:rPr>
        <w:t>argumentadamente se</w:t>
      </w:r>
      <w:r>
        <w:rPr>
          <w:rFonts w:cs="Times New Roman"/>
          <w:sz w:val="18"/>
          <w:szCs w:val="18"/>
          <w:lang w:val="es-ES_tradnl"/>
        </w:rPr>
        <w:t>ñ</w:t>
      </w:r>
      <w:r>
        <w:rPr>
          <w:sz w:val="18"/>
          <w:szCs w:val="18"/>
          <w:lang w:val="es-ES_tradnl"/>
        </w:rPr>
        <w:t>al</w:t>
      </w:r>
      <w:r>
        <w:rPr>
          <w:rFonts w:cs="Times New Roman"/>
          <w:sz w:val="18"/>
          <w:szCs w:val="18"/>
          <w:lang w:val="es-ES_tradnl"/>
        </w:rPr>
        <w:t>ó</w:t>
      </w:r>
      <w:r>
        <w:rPr>
          <w:sz w:val="18"/>
          <w:szCs w:val="18"/>
          <w:lang w:val="es-ES_tradnl"/>
        </w:rPr>
        <w:t>:</w:t>
      </w:r>
    </w:p>
    <w:p w14:paraId="4F67A525" w14:textId="77777777" w:rsidR="00591D54" w:rsidRDefault="00591D54">
      <w:pPr>
        <w:shd w:val="clear" w:color="auto" w:fill="FFFFFF"/>
        <w:spacing w:before="202" w:line="216" w:lineRule="exact"/>
        <w:ind w:left="283" w:right="5"/>
        <w:jc w:val="both"/>
      </w:pPr>
      <w:r>
        <w:rPr>
          <w:spacing w:val="-7"/>
          <w:sz w:val="16"/>
          <w:szCs w:val="16"/>
          <w:lang w:val="es-ES_tradnl"/>
        </w:rPr>
        <w:t>(</w:t>
      </w:r>
      <w:r>
        <w:rPr>
          <w:rFonts w:cs="Times New Roman"/>
          <w:spacing w:val="-7"/>
          <w:sz w:val="16"/>
          <w:szCs w:val="16"/>
          <w:lang w:val="es-ES_tradnl"/>
        </w:rPr>
        <w:t>…</w:t>
      </w:r>
      <w:r>
        <w:rPr>
          <w:spacing w:val="-7"/>
          <w:sz w:val="16"/>
          <w:szCs w:val="16"/>
          <w:lang w:val="es-ES_tradnl"/>
        </w:rPr>
        <w:t xml:space="preserve">) Si la norma examinada interviene adecuadamente en los </w:t>
      </w:r>
      <w:r>
        <w:rPr>
          <w:spacing w:val="-6"/>
          <w:sz w:val="16"/>
          <w:szCs w:val="16"/>
          <w:lang w:val="es-ES_tradnl"/>
        </w:rPr>
        <w:t>principios constitucionales supra, la misma que dice: inciso 3 del art</w:t>
      </w:r>
      <w:r>
        <w:rPr>
          <w:rFonts w:cs="Times New Roman"/>
          <w:spacing w:val="-6"/>
          <w:sz w:val="16"/>
          <w:szCs w:val="16"/>
          <w:lang w:val="es-ES_tradnl"/>
        </w:rPr>
        <w:t>í</w:t>
      </w:r>
      <w:r>
        <w:rPr>
          <w:spacing w:val="-6"/>
          <w:sz w:val="16"/>
          <w:szCs w:val="16"/>
          <w:lang w:val="es-ES_tradnl"/>
        </w:rPr>
        <w:t>culo 168 de la Ley Org</w:t>
      </w:r>
      <w:r>
        <w:rPr>
          <w:rFonts w:cs="Times New Roman"/>
          <w:spacing w:val="-6"/>
          <w:sz w:val="16"/>
          <w:szCs w:val="16"/>
          <w:lang w:val="es-ES_tradnl"/>
        </w:rPr>
        <w:t>á</w:t>
      </w:r>
      <w:r>
        <w:rPr>
          <w:spacing w:val="-6"/>
          <w:sz w:val="16"/>
          <w:szCs w:val="16"/>
          <w:lang w:val="es-ES_tradnl"/>
        </w:rPr>
        <w:t xml:space="preserve">nica de Transporte Terrestre, </w:t>
      </w:r>
      <w:r>
        <w:rPr>
          <w:spacing w:val="-4"/>
          <w:sz w:val="16"/>
          <w:szCs w:val="16"/>
          <w:lang w:val="es-ES_tradnl"/>
        </w:rPr>
        <w:t>Tr</w:t>
      </w:r>
      <w:r>
        <w:rPr>
          <w:rFonts w:cs="Times New Roman"/>
          <w:spacing w:val="-4"/>
          <w:sz w:val="16"/>
          <w:szCs w:val="16"/>
          <w:lang w:val="es-ES_tradnl"/>
        </w:rPr>
        <w:t>á</w:t>
      </w:r>
      <w:r>
        <w:rPr>
          <w:spacing w:val="-4"/>
          <w:sz w:val="16"/>
          <w:szCs w:val="16"/>
          <w:lang w:val="es-ES_tradnl"/>
        </w:rPr>
        <w:t xml:space="preserve">nsito y Seguridad Vial: </w:t>
      </w:r>
      <w:r>
        <w:rPr>
          <w:rFonts w:cs="Times New Roman"/>
          <w:spacing w:val="-4"/>
          <w:sz w:val="16"/>
          <w:szCs w:val="16"/>
          <w:lang w:val="es-ES_tradnl"/>
        </w:rPr>
        <w:t>“</w:t>
      </w:r>
      <w:r>
        <w:rPr>
          <w:spacing w:val="-4"/>
          <w:sz w:val="16"/>
          <w:szCs w:val="16"/>
          <w:lang w:val="es-ES_tradnl"/>
        </w:rPr>
        <w:t>Si la audiencia oral y p</w:t>
      </w:r>
      <w:r>
        <w:rPr>
          <w:rFonts w:cs="Times New Roman"/>
          <w:spacing w:val="-4"/>
          <w:sz w:val="16"/>
          <w:szCs w:val="16"/>
          <w:lang w:val="es-ES_tradnl"/>
        </w:rPr>
        <w:t>ú</w:t>
      </w:r>
      <w:r>
        <w:rPr>
          <w:spacing w:val="-4"/>
          <w:sz w:val="16"/>
          <w:szCs w:val="16"/>
          <w:lang w:val="es-ES_tradnl"/>
        </w:rPr>
        <w:t xml:space="preserve">blica de </w:t>
      </w:r>
      <w:r>
        <w:rPr>
          <w:spacing w:val="-9"/>
          <w:sz w:val="16"/>
          <w:szCs w:val="16"/>
          <w:lang w:val="es-ES_tradnl"/>
        </w:rPr>
        <w:t xml:space="preserve">juzgamiento no se llevare a efecto en dos ocasiones por causas </w:t>
      </w:r>
      <w:r>
        <w:rPr>
          <w:spacing w:val="-3"/>
          <w:sz w:val="16"/>
          <w:szCs w:val="16"/>
          <w:lang w:val="es-ES_tradnl"/>
        </w:rPr>
        <w:t>que tengan relaci</w:t>
      </w:r>
      <w:r>
        <w:rPr>
          <w:rFonts w:cs="Times New Roman"/>
          <w:spacing w:val="-3"/>
          <w:sz w:val="16"/>
          <w:szCs w:val="16"/>
          <w:lang w:val="es-ES_tradnl"/>
        </w:rPr>
        <w:t>ó</w:t>
      </w:r>
      <w:r>
        <w:rPr>
          <w:spacing w:val="-3"/>
          <w:sz w:val="16"/>
          <w:szCs w:val="16"/>
          <w:lang w:val="es-ES_tradnl"/>
        </w:rPr>
        <w:t xml:space="preserve">n con el procesado, por la sola voluntad </w:t>
      </w:r>
      <w:r>
        <w:rPr>
          <w:spacing w:val="-1"/>
          <w:sz w:val="16"/>
          <w:szCs w:val="16"/>
          <w:lang w:val="es-ES_tradnl"/>
        </w:rPr>
        <w:t>de este, en querer dilatar la causa, aquella se practicar</w:t>
      </w:r>
      <w:r>
        <w:rPr>
          <w:rFonts w:cs="Times New Roman"/>
          <w:spacing w:val="-1"/>
          <w:sz w:val="16"/>
          <w:szCs w:val="16"/>
          <w:lang w:val="es-ES_tradnl"/>
        </w:rPr>
        <w:t xml:space="preserve">á </w:t>
      </w:r>
      <w:r>
        <w:rPr>
          <w:spacing w:val="-3"/>
          <w:sz w:val="16"/>
          <w:szCs w:val="16"/>
          <w:lang w:val="es-ES_tradnl"/>
        </w:rPr>
        <w:t xml:space="preserve">en ausencia del imputado, sin que por ello haya recurso </w:t>
      </w:r>
      <w:r>
        <w:rPr>
          <w:spacing w:val="-5"/>
          <w:sz w:val="16"/>
          <w:szCs w:val="16"/>
          <w:lang w:val="es-ES_tradnl"/>
        </w:rPr>
        <w:t>alguno [</w:t>
      </w:r>
      <w:r>
        <w:rPr>
          <w:rFonts w:cs="Times New Roman"/>
          <w:spacing w:val="-5"/>
          <w:sz w:val="16"/>
          <w:szCs w:val="16"/>
          <w:lang w:val="es-ES_tradnl"/>
        </w:rPr>
        <w:t>…</w:t>
      </w:r>
      <w:r>
        <w:rPr>
          <w:spacing w:val="-5"/>
          <w:sz w:val="16"/>
          <w:szCs w:val="16"/>
          <w:lang w:val="es-ES_tradnl"/>
        </w:rPr>
        <w:t>].</w:t>
      </w:r>
      <w:r>
        <w:rPr>
          <w:rFonts w:cs="Times New Roman"/>
          <w:spacing w:val="-5"/>
          <w:sz w:val="16"/>
          <w:szCs w:val="16"/>
          <w:lang w:val="es-ES_tradnl"/>
        </w:rPr>
        <w:t>”</w:t>
      </w:r>
      <w:r>
        <w:rPr>
          <w:spacing w:val="-5"/>
          <w:sz w:val="16"/>
          <w:szCs w:val="16"/>
          <w:lang w:val="es-ES_tradnl"/>
        </w:rPr>
        <w:t xml:space="preserve"> Ahora bien, esta parte de la norma realiza una intervenci</w:t>
      </w:r>
      <w:r>
        <w:rPr>
          <w:rFonts w:cs="Times New Roman"/>
          <w:spacing w:val="-5"/>
          <w:sz w:val="16"/>
          <w:szCs w:val="16"/>
          <w:lang w:val="es-ES_tradnl"/>
        </w:rPr>
        <w:t>ó</w:t>
      </w:r>
      <w:r>
        <w:rPr>
          <w:spacing w:val="-5"/>
          <w:sz w:val="16"/>
          <w:szCs w:val="16"/>
          <w:lang w:val="es-ES_tradnl"/>
        </w:rPr>
        <w:t xml:space="preserve">n presuntamente justificada en el derecho a la </w:t>
      </w:r>
      <w:r>
        <w:rPr>
          <w:spacing w:val="-6"/>
          <w:sz w:val="16"/>
          <w:szCs w:val="16"/>
          <w:lang w:val="es-ES_tradnl"/>
        </w:rPr>
        <w:t>defensa material, la tutela judicial efectiva, el debido proceso, inmediaci</w:t>
      </w:r>
      <w:r>
        <w:rPr>
          <w:rFonts w:cs="Times New Roman"/>
          <w:spacing w:val="-6"/>
          <w:sz w:val="16"/>
          <w:szCs w:val="16"/>
          <w:lang w:val="es-ES_tradnl"/>
        </w:rPr>
        <w:t>ó</w:t>
      </w:r>
      <w:r>
        <w:rPr>
          <w:spacing w:val="-6"/>
          <w:sz w:val="16"/>
          <w:szCs w:val="16"/>
          <w:lang w:val="es-ES_tradnl"/>
        </w:rPr>
        <w:t xml:space="preserve">n, el derecho de recurrir del fallo y el derecho a la </w:t>
      </w:r>
      <w:r>
        <w:rPr>
          <w:spacing w:val="-8"/>
          <w:sz w:val="16"/>
          <w:szCs w:val="16"/>
          <w:lang w:val="es-ES_tradnl"/>
        </w:rPr>
        <w:t xml:space="preserve">igualdad en el proceso supra. La norma se basa en que </w:t>
      </w:r>
      <w:r>
        <w:rPr>
          <w:rFonts w:cs="Times New Roman"/>
          <w:spacing w:val="-8"/>
          <w:sz w:val="16"/>
          <w:szCs w:val="16"/>
          <w:lang w:val="es-ES_tradnl"/>
        </w:rPr>
        <w:t>“</w:t>
      </w:r>
      <w:r>
        <w:rPr>
          <w:spacing w:val="-8"/>
          <w:sz w:val="16"/>
          <w:szCs w:val="16"/>
          <w:lang w:val="es-ES_tradnl"/>
        </w:rPr>
        <w:t xml:space="preserve">por la sola voluntad del imputado de no acudir por dos ocasiones a la </w:t>
      </w:r>
      <w:r>
        <w:rPr>
          <w:spacing w:val="-9"/>
          <w:sz w:val="16"/>
          <w:szCs w:val="16"/>
          <w:lang w:val="es-ES_tradnl"/>
        </w:rPr>
        <w:t>audiencia de juzgamiento se proceda a juzgar en ausencia</w:t>
      </w:r>
      <w:r>
        <w:rPr>
          <w:rFonts w:cs="Times New Roman"/>
          <w:spacing w:val="-9"/>
          <w:sz w:val="16"/>
          <w:szCs w:val="16"/>
          <w:lang w:val="es-ES_tradnl"/>
        </w:rPr>
        <w:t>”</w:t>
      </w:r>
      <w:r>
        <w:rPr>
          <w:spacing w:val="-9"/>
          <w:sz w:val="16"/>
          <w:szCs w:val="16"/>
          <w:lang w:val="es-ES_tradnl"/>
        </w:rPr>
        <w:t xml:space="preserve">. Es evidente que la causa para juzgar en ausencia no exterioriza un </w:t>
      </w:r>
      <w:r>
        <w:rPr>
          <w:spacing w:val="-10"/>
          <w:sz w:val="16"/>
          <w:szCs w:val="16"/>
          <w:lang w:val="es-ES_tradnl"/>
        </w:rPr>
        <w:t xml:space="preserve">estado de necesidad, gravedad o de otra </w:t>
      </w:r>
      <w:r>
        <w:rPr>
          <w:rFonts w:cs="Times New Roman"/>
          <w:spacing w:val="-10"/>
          <w:sz w:val="16"/>
          <w:szCs w:val="16"/>
          <w:lang w:val="es-ES_tradnl"/>
        </w:rPr>
        <w:t>í</w:t>
      </w:r>
      <w:r>
        <w:rPr>
          <w:spacing w:val="-10"/>
          <w:sz w:val="16"/>
          <w:szCs w:val="16"/>
          <w:lang w:val="es-ES_tradnl"/>
        </w:rPr>
        <w:t>ndole que justifique la intervenci</w:t>
      </w:r>
      <w:r>
        <w:rPr>
          <w:rFonts w:cs="Times New Roman"/>
          <w:spacing w:val="-10"/>
          <w:sz w:val="16"/>
          <w:szCs w:val="16"/>
          <w:lang w:val="es-ES_tradnl"/>
        </w:rPr>
        <w:t>ó</w:t>
      </w:r>
      <w:r>
        <w:rPr>
          <w:spacing w:val="-10"/>
          <w:sz w:val="16"/>
          <w:szCs w:val="16"/>
          <w:lang w:val="es-ES_tradnl"/>
        </w:rPr>
        <w:t xml:space="preserve">n en los derechos constitucionales supra, lo que hace </w:t>
      </w:r>
      <w:r>
        <w:rPr>
          <w:spacing w:val="-7"/>
          <w:sz w:val="16"/>
          <w:szCs w:val="16"/>
          <w:lang w:val="es-ES_tradnl"/>
        </w:rPr>
        <w:t>imposible que la Corte Constitucional encuentre razonabilidad para mantener la constitucionalidad de la norma, as</w:t>
      </w:r>
      <w:r>
        <w:rPr>
          <w:rFonts w:cs="Times New Roman"/>
          <w:spacing w:val="-7"/>
          <w:sz w:val="16"/>
          <w:szCs w:val="16"/>
          <w:lang w:val="es-ES_tradnl"/>
        </w:rPr>
        <w:t>í</w:t>
      </w:r>
      <w:r>
        <w:rPr>
          <w:spacing w:val="-7"/>
          <w:sz w:val="16"/>
          <w:szCs w:val="16"/>
          <w:lang w:val="es-ES_tradnl"/>
        </w:rPr>
        <w:t xml:space="preserve"> como se </w:t>
      </w:r>
      <w:r>
        <w:rPr>
          <w:spacing w:val="-9"/>
          <w:sz w:val="16"/>
          <w:szCs w:val="16"/>
          <w:lang w:val="es-ES_tradnl"/>
        </w:rPr>
        <w:t xml:space="preserve">verifica la ausencia de equilibrio entre la gravedad de juzgar en ausencia porque quebranta los principios procesales inherentes </w:t>
      </w:r>
      <w:r>
        <w:rPr>
          <w:spacing w:val="-6"/>
          <w:sz w:val="16"/>
          <w:szCs w:val="16"/>
          <w:lang w:val="es-ES_tradnl"/>
        </w:rPr>
        <w:t xml:space="preserve">a un juicio justo, ya que de lo examinado se evidencia una </w:t>
      </w:r>
      <w:r>
        <w:rPr>
          <w:spacing w:val="-7"/>
          <w:sz w:val="16"/>
          <w:szCs w:val="16"/>
          <w:lang w:val="es-ES_tradnl"/>
        </w:rPr>
        <w:t>descompensaci</w:t>
      </w:r>
      <w:r>
        <w:rPr>
          <w:rFonts w:cs="Times New Roman"/>
          <w:spacing w:val="-7"/>
          <w:sz w:val="16"/>
          <w:szCs w:val="16"/>
          <w:lang w:val="es-ES_tradnl"/>
        </w:rPr>
        <w:t>ó</w:t>
      </w:r>
      <w:r>
        <w:rPr>
          <w:spacing w:val="-7"/>
          <w:sz w:val="16"/>
          <w:szCs w:val="16"/>
          <w:lang w:val="es-ES_tradnl"/>
        </w:rPr>
        <w:t xml:space="preserve">n que perjudica los derechos del imputado, </w:t>
      </w:r>
      <w:r>
        <w:rPr>
          <w:spacing w:val="-8"/>
          <w:sz w:val="16"/>
          <w:szCs w:val="16"/>
          <w:lang w:val="es-ES_tradnl"/>
        </w:rPr>
        <w:t>especialmente el de defensa e igualdad procesal.</w:t>
      </w:r>
    </w:p>
    <w:p w14:paraId="4F67A526" w14:textId="77777777" w:rsidR="00591D54" w:rsidRDefault="00591D54">
      <w:pPr>
        <w:shd w:val="clear" w:color="auto" w:fill="FFFFFF"/>
        <w:spacing w:before="211" w:line="216" w:lineRule="exact"/>
        <w:ind w:left="283" w:right="5"/>
        <w:jc w:val="both"/>
      </w:pPr>
      <w:r>
        <w:rPr>
          <w:spacing w:val="-1"/>
          <w:sz w:val="16"/>
          <w:szCs w:val="16"/>
          <w:lang w:val="es-ES_tradnl"/>
        </w:rPr>
        <w:t>En conclusi</w:t>
      </w:r>
      <w:r>
        <w:rPr>
          <w:rFonts w:cs="Times New Roman"/>
          <w:spacing w:val="-1"/>
          <w:sz w:val="16"/>
          <w:szCs w:val="16"/>
          <w:lang w:val="es-ES_tradnl"/>
        </w:rPr>
        <w:t>ó</w:t>
      </w:r>
      <w:r>
        <w:rPr>
          <w:spacing w:val="-1"/>
          <w:sz w:val="16"/>
          <w:szCs w:val="16"/>
          <w:lang w:val="es-ES_tradnl"/>
        </w:rPr>
        <w:t>n, la justificaci</w:t>
      </w:r>
      <w:r>
        <w:rPr>
          <w:rFonts w:cs="Times New Roman"/>
          <w:spacing w:val="-1"/>
          <w:sz w:val="16"/>
          <w:szCs w:val="16"/>
          <w:lang w:val="es-ES_tradnl"/>
        </w:rPr>
        <w:t>ó</w:t>
      </w:r>
      <w:r>
        <w:rPr>
          <w:spacing w:val="-1"/>
          <w:sz w:val="16"/>
          <w:szCs w:val="16"/>
          <w:lang w:val="es-ES_tradnl"/>
        </w:rPr>
        <w:t xml:space="preserve">n </w:t>
      </w:r>
      <w:r>
        <w:rPr>
          <w:rFonts w:cs="Times New Roman"/>
          <w:spacing w:val="-1"/>
          <w:sz w:val="16"/>
          <w:szCs w:val="16"/>
          <w:lang w:val="es-ES_tradnl"/>
        </w:rPr>
        <w:t>“</w:t>
      </w:r>
      <w:r>
        <w:rPr>
          <w:spacing w:val="-1"/>
          <w:sz w:val="16"/>
          <w:szCs w:val="16"/>
          <w:lang w:val="es-ES_tradnl"/>
        </w:rPr>
        <w:t>no es racional</w:t>
      </w:r>
      <w:r>
        <w:rPr>
          <w:rFonts w:cs="Times New Roman"/>
          <w:spacing w:val="-1"/>
          <w:sz w:val="16"/>
          <w:szCs w:val="16"/>
          <w:lang w:val="es-ES_tradnl"/>
        </w:rPr>
        <w:t>”</w:t>
      </w:r>
      <w:r>
        <w:rPr>
          <w:spacing w:val="-1"/>
          <w:sz w:val="16"/>
          <w:szCs w:val="16"/>
          <w:lang w:val="es-ES_tradnl"/>
        </w:rPr>
        <w:t xml:space="preserve">, ya que </w:t>
      </w:r>
      <w:r>
        <w:rPr>
          <w:spacing w:val="-4"/>
          <w:sz w:val="16"/>
          <w:szCs w:val="16"/>
          <w:lang w:val="es-ES_tradnl"/>
        </w:rPr>
        <w:t>adem</w:t>
      </w:r>
      <w:r>
        <w:rPr>
          <w:rFonts w:cs="Times New Roman"/>
          <w:spacing w:val="-4"/>
          <w:sz w:val="16"/>
          <w:szCs w:val="16"/>
          <w:lang w:val="es-ES_tradnl"/>
        </w:rPr>
        <w:t>á</w:t>
      </w:r>
      <w:r>
        <w:rPr>
          <w:spacing w:val="-4"/>
          <w:sz w:val="16"/>
          <w:szCs w:val="16"/>
          <w:lang w:val="es-ES_tradnl"/>
        </w:rPr>
        <w:t xml:space="preserve">s de vulnerar los derechos constitucionales supra, omite el cumplimiento de deberes constitucionales propios </w:t>
      </w:r>
      <w:r>
        <w:rPr>
          <w:sz w:val="16"/>
          <w:szCs w:val="16"/>
          <w:lang w:val="es-ES_tradnl"/>
        </w:rPr>
        <w:t>de la justicia, como son el principio de inmediaci</w:t>
      </w:r>
      <w:r>
        <w:rPr>
          <w:rFonts w:cs="Times New Roman"/>
          <w:sz w:val="16"/>
          <w:szCs w:val="16"/>
          <w:lang w:val="es-ES_tradnl"/>
        </w:rPr>
        <w:t>ó</w:t>
      </w:r>
      <w:r>
        <w:rPr>
          <w:sz w:val="16"/>
          <w:szCs w:val="16"/>
          <w:lang w:val="es-ES_tradnl"/>
        </w:rPr>
        <w:t xml:space="preserve">n, el </w:t>
      </w:r>
      <w:r>
        <w:rPr>
          <w:spacing w:val="-6"/>
          <w:sz w:val="16"/>
          <w:szCs w:val="16"/>
          <w:lang w:val="es-ES_tradnl"/>
        </w:rPr>
        <w:t>deber que tiene la administraci</w:t>
      </w:r>
      <w:r>
        <w:rPr>
          <w:rFonts w:cs="Times New Roman"/>
          <w:spacing w:val="-6"/>
          <w:sz w:val="16"/>
          <w:szCs w:val="16"/>
          <w:lang w:val="es-ES_tradnl"/>
        </w:rPr>
        <w:t>ó</w:t>
      </w:r>
      <w:r>
        <w:rPr>
          <w:spacing w:val="-6"/>
          <w:sz w:val="16"/>
          <w:szCs w:val="16"/>
          <w:lang w:val="es-ES_tradnl"/>
        </w:rPr>
        <w:t xml:space="preserve">n de justicia de garantizar el cumplimiento del debido proceso </w:t>
      </w:r>
      <w:r>
        <w:rPr>
          <w:rFonts w:cs="Times New Roman"/>
          <w:spacing w:val="-6"/>
          <w:sz w:val="16"/>
          <w:szCs w:val="16"/>
          <w:lang w:val="es-ES_tradnl"/>
        </w:rPr>
        <w:t>–</w:t>
      </w:r>
      <w:r>
        <w:rPr>
          <w:spacing w:val="-6"/>
          <w:sz w:val="16"/>
          <w:szCs w:val="16"/>
          <w:lang w:val="es-ES_tradnl"/>
        </w:rPr>
        <w:t>el juez garante</w:t>
      </w:r>
      <w:r>
        <w:rPr>
          <w:rFonts w:cs="Times New Roman"/>
          <w:spacing w:val="-6"/>
          <w:sz w:val="16"/>
          <w:szCs w:val="16"/>
          <w:lang w:val="es-ES_tradnl"/>
        </w:rPr>
        <w:t>–</w:t>
      </w:r>
      <w:r>
        <w:rPr>
          <w:spacing w:val="-6"/>
          <w:sz w:val="16"/>
          <w:szCs w:val="16"/>
          <w:lang w:val="es-ES_tradnl"/>
        </w:rPr>
        <w:t>.</w:t>
      </w:r>
    </w:p>
    <w:p w14:paraId="4F67A527" w14:textId="77777777" w:rsidR="00591D54" w:rsidRDefault="00591D54">
      <w:pPr>
        <w:shd w:val="clear" w:color="auto" w:fill="FFFFFF"/>
        <w:spacing w:before="211" w:line="216" w:lineRule="exact"/>
        <w:ind w:left="283" w:right="5"/>
        <w:jc w:val="both"/>
      </w:pPr>
      <w:r>
        <w:rPr>
          <w:spacing w:val="-8"/>
          <w:sz w:val="16"/>
          <w:szCs w:val="16"/>
          <w:lang w:val="es-ES_tradnl"/>
        </w:rPr>
        <w:t xml:space="preserve">Buena parte de la eficacia que se predica de un ordenamiento </w:t>
      </w:r>
      <w:r>
        <w:rPr>
          <w:spacing w:val="-6"/>
          <w:sz w:val="16"/>
          <w:szCs w:val="16"/>
          <w:lang w:val="es-ES_tradnl"/>
        </w:rPr>
        <w:t>jur</w:t>
      </w:r>
      <w:r>
        <w:rPr>
          <w:rFonts w:cs="Times New Roman"/>
          <w:spacing w:val="-6"/>
          <w:sz w:val="16"/>
          <w:szCs w:val="16"/>
          <w:lang w:val="es-ES_tradnl"/>
        </w:rPr>
        <w:t>í</w:t>
      </w:r>
      <w:r>
        <w:rPr>
          <w:spacing w:val="-6"/>
          <w:sz w:val="16"/>
          <w:szCs w:val="16"/>
          <w:lang w:val="es-ES_tradnl"/>
        </w:rPr>
        <w:t xml:space="preserve">dico como instrumento social encaminado a proteger los </w:t>
      </w:r>
      <w:r>
        <w:rPr>
          <w:spacing w:val="-9"/>
          <w:sz w:val="16"/>
          <w:szCs w:val="16"/>
          <w:lang w:val="es-ES_tradnl"/>
        </w:rPr>
        <w:t xml:space="preserve">derechos fundamentales de los miembros de una comunidad y </w:t>
      </w:r>
      <w:r>
        <w:rPr>
          <w:spacing w:val="-10"/>
          <w:sz w:val="16"/>
          <w:szCs w:val="16"/>
          <w:lang w:val="es-ES_tradnl"/>
        </w:rPr>
        <w:t>resolver los confl ictos que se presentan entre diferentes actores</w:t>
      </w:r>
    </w:p>
    <w:p w14:paraId="4F67A528" w14:textId="77777777" w:rsidR="00591D54" w:rsidRDefault="00591D54">
      <w:pPr>
        <w:shd w:val="clear" w:color="auto" w:fill="FFFFFF"/>
        <w:spacing w:line="216" w:lineRule="exact"/>
        <w:jc w:val="both"/>
      </w:pPr>
      <w:r>
        <w:br w:type="column"/>
      </w:r>
      <w:r>
        <w:rPr>
          <w:spacing w:val="-8"/>
          <w:sz w:val="16"/>
          <w:szCs w:val="16"/>
          <w:lang w:val="es-ES_tradnl"/>
        </w:rPr>
        <w:t xml:space="preserve">sociales, depende de la existencia de principios que garanticen el debate razonado de los argumentos enfrentados, y permitan </w:t>
      </w:r>
      <w:r>
        <w:rPr>
          <w:spacing w:val="-10"/>
          <w:sz w:val="16"/>
          <w:szCs w:val="16"/>
          <w:lang w:val="es-ES_tradnl"/>
        </w:rPr>
        <w:t xml:space="preserve">que las demandas y pretensiones que presentan los ciudadanos </w:t>
      </w:r>
      <w:r>
        <w:rPr>
          <w:spacing w:val="-9"/>
          <w:sz w:val="16"/>
          <w:szCs w:val="16"/>
          <w:lang w:val="es-ES_tradnl"/>
        </w:rPr>
        <w:t xml:space="preserve">en defensa de sus intereses, puedan ser discutidas y resueltas </w:t>
      </w:r>
      <w:r>
        <w:rPr>
          <w:spacing w:val="-10"/>
          <w:sz w:val="16"/>
          <w:szCs w:val="16"/>
          <w:lang w:val="es-ES_tradnl"/>
        </w:rPr>
        <w:t xml:space="preserve">sobre la base de procedimientos claramente establecidos por las </w:t>
      </w:r>
      <w:r>
        <w:rPr>
          <w:spacing w:val="-8"/>
          <w:sz w:val="16"/>
          <w:szCs w:val="16"/>
          <w:lang w:val="es-ES_tradnl"/>
        </w:rPr>
        <w:t>normas jur</w:t>
      </w:r>
      <w:r>
        <w:rPr>
          <w:rFonts w:cs="Times New Roman"/>
          <w:spacing w:val="-8"/>
          <w:sz w:val="16"/>
          <w:szCs w:val="16"/>
          <w:lang w:val="es-ES_tradnl"/>
        </w:rPr>
        <w:t>í</w:t>
      </w:r>
      <w:r>
        <w:rPr>
          <w:spacing w:val="-8"/>
          <w:sz w:val="16"/>
          <w:szCs w:val="16"/>
          <w:lang w:val="es-ES_tradnl"/>
        </w:rPr>
        <w:t xml:space="preserve">dicas. De esta manera se evita la incertidumbre o la </w:t>
      </w:r>
      <w:r>
        <w:rPr>
          <w:spacing w:val="-9"/>
          <w:sz w:val="16"/>
          <w:szCs w:val="16"/>
          <w:lang w:val="es-ES_tradnl"/>
        </w:rPr>
        <w:t>arbitrariedad en la definici</w:t>
      </w:r>
      <w:r>
        <w:rPr>
          <w:rFonts w:cs="Times New Roman"/>
          <w:spacing w:val="-9"/>
          <w:sz w:val="16"/>
          <w:szCs w:val="16"/>
          <w:lang w:val="es-ES_tradnl"/>
        </w:rPr>
        <w:t>ó</w:t>
      </w:r>
      <w:r>
        <w:rPr>
          <w:spacing w:val="-9"/>
          <w:sz w:val="16"/>
          <w:szCs w:val="16"/>
          <w:lang w:val="es-ES_tradnl"/>
        </w:rPr>
        <w:t xml:space="preserve">n de los derechos reconocidos a los </w:t>
      </w:r>
      <w:r>
        <w:rPr>
          <w:spacing w:val="-7"/>
          <w:sz w:val="16"/>
          <w:szCs w:val="16"/>
          <w:lang w:val="es-ES_tradnl"/>
        </w:rPr>
        <w:t>individuos por la Constituci</w:t>
      </w:r>
      <w:r>
        <w:rPr>
          <w:rFonts w:cs="Times New Roman"/>
          <w:spacing w:val="-7"/>
          <w:sz w:val="16"/>
          <w:szCs w:val="16"/>
          <w:lang w:val="es-ES_tradnl"/>
        </w:rPr>
        <w:t>ó</w:t>
      </w:r>
      <w:r>
        <w:rPr>
          <w:spacing w:val="-7"/>
          <w:sz w:val="16"/>
          <w:szCs w:val="16"/>
          <w:lang w:val="es-ES_tradnl"/>
        </w:rPr>
        <w:t>n y la ley. Desde esta perspectiva, la consagraci</w:t>
      </w:r>
      <w:r>
        <w:rPr>
          <w:rFonts w:cs="Times New Roman"/>
          <w:spacing w:val="-7"/>
          <w:sz w:val="16"/>
          <w:szCs w:val="16"/>
          <w:lang w:val="es-ES_tradnl"/>
        </w:rPr>
        <w:t>ó</w:t>
      </w:r>
      <w:r>
        <w:rPr>
          <w:spacing w:val="-7"/>
          <w:sz w:val="16"/>
          <w:szCs w:val="16"/>
          <w:lang w:val="es-ES_tradnl"/>
        </w:rPr>
        <w:t xml:space="preserve">n del debido proceso como principio articulador </w:t>
      </w:r>
      <w:r>
        <w:rPr>
          <w:spacing w:val="-8"/>
          <w:sz w:val="16"/>
          <w:szCs w:val="16"/>
          <w:lang w:val="es-ES_tradnl"/>
        </w:rPr>
        <w:t>de las controversias jur</w:t>
      </w:r>
      <w:r>
        <w:rPr>
          <w:rFonts w:cs="Times New Roman"/>
          <w:spacing w:val="-8"/>
          <w:sz w:val="16"/>
          <w:szCs w:val="16"/>
          <w:lang w:val="es-ES_tradnl"/>
        </w:rPr>
        <w:t>í</w:t>
      </w:r>
      <w:r>
        <w:rPr>
          <w:spacing w:val="-8"/>
          <w:sz w:val="16"/>
          <w:szCs w:val="16"/>
          <w:lang w:val="es-ES_tradnl"/>
        </w:rPr>
        <w:t>dicas es fundamental para asegurar la efectividad del derecho de defensa, no s</w:t>
      </w:r>
      <w:r>
        <w:rPr>
          <w:rFonts w:cs="Times New Roman"/>
          <w:spacing w:val="-8"/>
          <w:sz w:val="16"/>
          <w:szCs w:val="16"/>
          <w:lang w:val="es-ES_tradnl"/>
        </w:rPr>
        <w:t>ó</w:t>
      </w:r>
      <w:r>
        <w:rPr>
          <w:spacing w:val="-8"/>
          <w:sz w:val="16"/>
          <w:szCs w:val="16"/>
          <w:lang w:val="es-ES_tradnl"/>
        </w:rPr>
        <w:t xml:space="preserve">lo en las actuaciones </w:t>
      </w:r>
      <w:r>
        <w:rPr>
          <w:spacing w:val="-5"/>
          <w:sz w:val="16"/>
          <w:szCs w:val="16"/>
          <w:lang w:val="es-ES_tradnl"/>
        </w:rPr>
        <w:t xml:space="preserve">que comprometen a la autoridad y a los ciudadanos, sino </w:t>
      </w:r>
      <w:r>
        <w:rPr>
          <w:spacing w:val="-7"/>
          <w:sz w:val="16"/>
          <w:szCs w:val="16"/>
          <w:lang w:val="es-ES_tradnl"/>
        </w:rPr>
        <w:t>tambi</w:t>
      </w:r>
      <w:r>
        <w:rPr>
          <w:rFonts w:cs="Times New Roman"/>
          <w:spacing w:val="-7"/>
          <w:sz w:val="16"/>
          <w:szCs w:val="16"/>
          <w:lang w:val="es-ES_tradnl"/>
        </w:rPr>
        <w:t>é</w:t>
      </w:r>
      <w:r>
        <w:rPr>
          <w:spacing w:val="-7"/>
          <w:sz w:val="16"/>
          <w:szCs w:val="16"/>
          <w:lang w:val="es-ES_tradnl"/>
        </w:rPr>
        <w:t xml:space="preserve">n en el </w:t>
      </w:r>
      <w:r>
        <w:rPr>
          <w:rFonts w:cs="Times New Roman"/>
          <w:spacing w:val="-7"/>
          <w:sz w:val="16"/>
          <w:szCs w:val="16"/>
          <w:lang w:val="es-ES_tradnl"/>
        </w:rPr>
        <w:t>á</w:t>
      </w:r>
      <w:r>
        <w:rPr>
          <w:spacing w:val="-7"/>
          <w:sz w:val="16"/>
          <w:szCs w:val="16"/>
          <w:lang w:val="es-ES_tradnl"/>
        </w:rPr>
        <w:t>mbito espec</w:t>
      </w:r>
      <w:r>
        <w:rPr>
          <w:rFonts w:cs="Times New Roman"/>
          <w:spacing w:val="-7"/>
          <w:sz w:val="16"/>
          <w:szCs w:val="16"/>
          <w:lang w:val="es-ES_tradnl"/>
        </w:rPr>
        <w:t>í</w:t>
      </w:r>
      <w:r>
        <w:rPr>
          <w:spacing w:val="-7"/>
          <w:sz w:val="16"/>
          <w:szCs w:val="16"/>
          <w:lang w:val="es-ES_tradnl"/>
        </w:rPr>
        <w:t>fico de la relaci</w:t>
      </w:r>
      <w:r>
        <w:rPr>
          <w:rFonts w:cs="Times New Roman"/>
          <w:spacing w:val="-7"/>
          <w:sz w:val="16"/>
          <w:szCs w:val="16"/>
          <w:lang w:val="es-ES_tradnl"/>
        </w:rPr>
        <w:t>ó</w:t>
      </w:r>
      <w:r>
        <w:rPr>
          <w:spacing w:val="-7"/>
          <w:sz w:val="16"/>
          <w:szCs w:val="16"/>
          <w:lang w:val="es-ES_tradnl"/>
        </w:rPr>
        <w:t>n jur</w:t>
      </w:r>
      <w:r>
        <w:rPr>
          <w:rFonts w:cs="Times New Roman"/>
          <w:spacing w:val="-7"/>
          <w:sz w:val="16"/>
          <w:szCs w:val="16"/>
          <w:lang w:val="es-ES_tradnl"/>
        </w:rPr>
        <w:t>í</w:t>
      </w:r>
      <w:r>
        <w:rPr>
          <w:spacing w:val="-7"/>
          <w:sz w:val="16"/>
          <w:szCs w:val="16"/>
          <w:lang w:val="es-ES_tradnl"/>
        </w:rPr>
        <w:t xml:space="preserve">dica entre el </w:t>
      </w:r>
      <w:r>
        <w:rPr>
          <w:sz w:val="16"/>
          <w:szCs w:val="16"/>
          <w:lang w:val="es-ES_tradnl"/>
        </w:rPr>
        <w:t>Estado y sus servidores.</w:t>
      </w:r>
    </w:p>
    <w:p w14:paraId="4F67A529" w14:textId="77777777" w:rsidR="00591D54" w:rsidRDefault="00591D54">
      <w:pPr>
        <w:shd w:val="clear" w:color="auto" w:fill="FFFFFF"/>
        <w:spacing w:before="211" w:line="216" w:lineRule="exact"/>
        <w:jc w:val="both"/>
      </w:pPr>
      <w:r>
        <w:rPr>
          <w:spacing w:val="-5"/>
          <w:sz w:val="16"/>
          <w:szCs w:val="16"/>
          <w:lang w:val="es-ES_tradnl"/>
        </w:rPr>
        <w:t>(</w:t>
      </w:r>
      <w:r>
        <w:rPr>
          <w:rFonts w:cs="Times New Roman"/>
          <w:spacing w:val="-5"/>
          <w:sz w:val="16"/>
          <w:szCs w:val="16"/>
          <w:lang w:val="es-ES_tradnl"/>
        </w:rPr>
        <w:t>…</w:t>
      </w:r>
      <w:r>
        <w:rPr>
          <w:spacing w:val="-5"/>
          <w:sz w:val="16"/>
          <w:szCs w:val="16"/>
          <w:lang w:val="es-ES_tradnl"/>
        </w:rPr>
        <w:t>) El primer aspecto del an</w:t>
      </w:r>
      <w:r>
        <w:rPr>
          <w:rFonts w:cs="Times New Roman"/>
          <w:spacing w:val="-5"/>
          <w:sz w:val="16"/>
          <w:szCs w:val="16"/>
          <w:lang w:val="es-ES_tradnl"/>
        </w:rPr>
        <w:t>á</w:t>
      </w:r>
      <w:r>
        <w:rPr>
          <w:spacing w:val="-5"/>
          <w:sz w:val="16"/>
          <w:szCs w:val="16"/>
          <w:lang w:val="es-ES_tradnl"/>
        </w:rPr>
        <w:t>lisis es la idoneidad de la intervenci</w:t>
      </w:r>
      <w:r>
        <w:rPr>
          <w:rFonts w:cs="Times New Roman"/>
          <w:spacing w:val="-5"/>
          <w:sz w:val="16"/>
          <w:szCs w:val="16"/>
          <w:lang w:val="es-ES_tradnl"/>
        </w:rPr>
        <w:t>ó</w:t>
      </w:r>
      <w:r>
        <w:rPr>
          <w:spacing w:val="-5"/>
          <w:sz w:val="16"/>
          <w:szCs w:val="16"/>
          <w:lang w:val="es-ES_tradnl"/>
        </w:rPr>
        <w:t xml:space="preserve">n, que consiste en verificar si el fin que persigue </w:t>
      </w:r>
      <w:r>
        <w:rPr>
          <w:spacing w:val="-6"/>
          <w:sz w:val="16"/>
          <w:szCs w:val="16"/>
          <w:lang w:val="es-ES_tradnl"/>
        </w:rPr>
        <w:t>la Asamblea Nacional, es leg</w:t>
      </w:r>
      <w:r>
        <w:rPr>
          <w:rFonts w:cs="Times New Roman"/>
          <w:spacing w:val="-6"/>
          <w:sz w:val="16"/>
          <w:szCs w:val="16"/>
          <w:lang w:val="es-ES_tradnl"/>
        </w:rPr>
        <w:t>í</w:t>
      </w:r>
      <w:r>
        <w:rPr>
          <w:spacing w:val="-6"/>
          <w:sz w:val="16"/>
          <w:szCs w:val="16"/>
          <w:lang w:val="es-ES_tradnl"/>
        </w:rPr>
        <w:t xml:space="preserve">timo desde el punto de vista </w:t>
      </w:r>
      <w:r>
        <w:rPr>
          <w:spacing w:val="-3"/>
          <w:sz w:val="16"/>
          <w:szCs w:val="16"/>
          <w:lang w:val="es-ES_tradnl"/>
        </w:rPr>
        <w:t>constitucional. La relaci</w:t>
      </w:r>
      <w:r>
        <w:rPr>
          <w:rFonts w:cs="Times New Roman"/>
          <w:spacing w:val="-3"/>
          <w:sz w:val="16"/>
          <w:szCs w:val="16"/>
          <w:lang w:val="es-ES_tradnl"/>
        </w:rPr>
        <w:t>ó</w:t>
      </w:r>
      <w:r>
        <w:rPr>
          <w:spacing w:val="-3"/>
          <w:sz w:val="16"/>
          <w:szCs w:val="16"/>
          <w:lang w:val="es-ES_tradnl"/>
        </w:rPr>
        <w:t xml:space="preserve">n entre medio y el fin legislativo. </w:t>
      </w:r>
      <w:r>
        <w:rPr>
          <w:sz w:val="16"/>
          <w:szCs w:val="16"/>
          <w:lang w:val="es-ES_tradnl"/>
        </w:rPr>
        <w:t xml:space="preserve">Para ello es indispensable considerar el valor que le dio </w:t>
      </w:r>
      <w:r>
        <w:rPr>
          <w:spacing w:val="-4"/>
          <w:sz w:val="16"/>
          <w:szCs w:val="16"/>
          <w:lang w:val="es-ES_tradnl"/>
        </w:rPr>
        <w:t xml:space="preserve">el legislador, a la inasistencia al juicio del imputado por su </w:t>
      </w:r>
      <w:r>
        <w:rPr>
          <w:spacing w:val="-7"/>
          <w:sz w:val="16"/>
          <w:szCs w:val="16"/>
          <w:lang w:val="es-ES_tradnl"/>
        </w:rPr>
        <w:t xml:space="preserve">propia voluntad, para poder juzgar en ausencia e impedir que </w:t>
      </w:r>
      <w:r>
        <w:rPr>
          <w:spacing w:val="-6"/>
          <w:sz w:val="16"/>
          <w:szCs w:val="16"/>
          <w:lang w:val="es-ES_tradnl"/>
        </w:rPr>
        <w:t>recurriera del fallo de juzgamiento en ausencia (art</w:t>
      </w:r>
      <w:r>
        <w:rPr>
          <w:rFonts w:cs="Times New Roman"/>
          <w:spacing w:val="-6"/>
          <w:sz w:val="16"/>
          <w:szCs w:val="16"/>
          <w:lang w:val="es-ES_tradnl"/>
        </w:rPr>
        <w:t>í</w:t>
      </w:r>
      <w:r>
        <w:rPr>
          <w:spacing w:val="-6"/>
          <w:sz w:val="16"/>
          <w:szCs w:val="16"/>
          <w:lang w:val="es-ES_tradnl"/>
        </w:rPr>
        <w:t xml:space="preserve">culo 168, </w:t>
      </w:r>
      <w:r>
        <w:rPr>
          <w:spacing w:val="-7"/>
          <w:sz w:val="16"/>
          <w:szCs w:val="16"/>
          <w:lang w:val="es-ES_tradnl"/>
        </w:rPr>
        <w:t>inciso 3 LOTTTSV). El medio escogido por el legislador ata</w:t>
      </w:r>
      <w:r>
        <w:rPr>
          <w:rFonts w:cs="Times New Roman"/>
          <w:spacing w:val="-7"/>
          <w:sz w:val="16"/>
          <w:szCs w:val="16"/>
          <w:lang w:val="es-ES_tradnl"/>
        </w:rPr>
        <w:t>ñ</w:t>
      </w:r>
      <w:r>
        <w:rPr>
          <w:spacing w:val="-7"/>
          <w:sz w:val="16"/>
          <w:szCs w:val="16"/>
          <w:lang w:val="es-ES_tradnl"/>
        </w:rPr>
        <w:t xml:space="preserve">e </w:t>
      </w:r>
      <w:r>
        <w:rPr>
          <w:rFonts w:cs="Times New Roman"/>
          <w:spacing w:val="-8"/>
          <w:sz w:val="16"/>
          <w:szCs w:val="16"/>
          <w:lang w:val="es-ES_tradnl"/>
        </w:rPr>
        <w:t>ú</w:t>
      </w:r>
      <w:r>
        <w:rPr>
          <w:spacing w:val="-8"/>
          <w:sz w:val="16"/>
          <w:szCs w:val="16"/>
          <w:lang w:val="es-ES_tradnl"/>
        </w:rPr>
        <w:t>nicamente a la voluntad de hacer algo que est</w:t>
      </w:r>
      <w:r>
        <w:rPr>
          <w:rFonts w:cs="Times New Roman"/>
          <w:spacing w:val="-8"/>
          <w:sz w:val="16"/>
          <w:szCs w:val="16"/>
          <w:lang w:val="es-ES_tradnl"/>
        </w:rPr>
        <w:t>á</w:t>
      </w:r>
      <w:r>
        <w:rPr>
          <w:spacing w:val="-8"/>
          <w:sz w:val="16"/>
          <w:szCs w:val="16"/>
          <w:lang w:val="es-ES_tradnl"/>
        </w:rPr>
        <w:t xml:space="preserve"> en manos del </w:t>
      </w:r>
      <w:r>
        <w:rPr>
          <w:spacing w:val="-7"/>
          <w:sz w:val="16"/>
          <w:szCs w:val="16"/>
          <w:lang w:val="es-ES_tradnl"/>
        </w:rPr>
        <w:t xml:space="preserve">imputado, como es la asistencia o inasistencia a la audiencia, </w:t>
      </w:r>
      <w:r>
        <w:rPr>
          <w:spacing w:val="-8"/>
          <w:sz w:val="16"/>
          <w:szCs w:val="16"/>
          <w:lang w:val="es-ES_tradnl"/>
        </w:rPr>
        <w:t xml:space="preserve">hecho que constituye un medio para que el legislador limite los derechos a la defensa, el debido proceso, la igualdad procesal, </w:t>
      </w:r>
      <w:r>
        <w:rPr>
          <w:spacing w:val="-3"/>
          <w:sz w:val="16"/>
          <w:szCs w:val="16"/>
          <w:lang w:val="es-ES_tradnl"/>
        </w:rPr>
        <w:t>la tutela judicial efectiva y el principio de inmediaci</w:t>
      </w:r>
      <w:r>
        <w:rPr>
          <w:rFonts w:cs="Times New Roman"/>
          <w:spacing w:val="-3"/>
          <w:sz w:val="16"/>
          <w:szCs w:val="16"/>
          <w:lang w:val="es-ES_tradnl"/>
        </w:rPr>
        <w:t>ó</w:t>
      </w:r>
      <w:r>
        <w:rPr>
          <w:spacing w:val="-3"/>
          <w:sz w:val="16"/>
          <w:szCs w:val="16"/>
          <w:lang w:val="es-ES_tradnl"/>
        </w:rPr>
        <w:t xml:space="preserve">n, que </w:t>
      </w:r>
      <w:r>
        <w:rPr>
          <w:spacing w:val="-7"/>
          <w:sz w:val="16"/>
          <w:szCs w:val="16"/>
          <w:lang w:val="es-ES_tradnl"/>
        </w:rPr>
        <w:t>como se dej</w:t>
      </w:r>
      <w:r>
        <w:rPr>
          <w:rFonts w:cs="Times New Roman"/>
          <w:spacing w:val="-7"/>
          <w:sz w:val="16"/>
          <w:szCs w:val="16"/>
          <w:lang w:val="es-ES_tradnl"/>
        </w:rPr>
        <w:t>ó</w:t>
      </w:r>
      <w:r>
        <w:rPr>
          <w:spacing w:val="-7"/>
          <w:sz w:val="16"/>
          <w:szCs w:val="16"/>
          <w:lang w:val="es-ES_tradnl"/>
        </w:rPr>
        <w:t xml:space="preserve"> se</w:t>
      </w:r>
      <w:r>
        <w:rPr>
          <w:rFonts w:cs="Times New Roman"/>
          <w:spacing w:val="-7"/>
          <w:sz w:val="16"/>
          <w:szCs w:val="16"/>
          <w:lang w:val="es-ES_tradnl"/>
        </w:rPr>
        <w:t>ñ</w:t>
      </w:r>
      <w:r>
        <w:rPr>
          <w:spacing w:val="-7"/>
          <w:sz w:val="16"/>
          <w:szCs w:val="16"/>
          <w:lang w:val="es-ES_tradnl"/>
        </w:rPr>
        <w:t xml:space="preserve">alado, no posee un criterio de razonabilidad, </w:t>
      </w:r>
      <w:r>
        <w:rPr>
          <w:spacing w:val="-8"/>
          <w:sz w:val="16"/>
          <w:szCs w:val="16"/>
          <w:lang w:val="es-ES_tradnl"/>
        </w:rPr>
        <w:t>porque la administraci</w:t>
      </w:r>
      <w:r>
        <w:rPr>
          <w:rFonts w:cs="Times New Roman"/>
          <w:spacing w:val="-8"/>
          <w:sz w:val="16"/>
          <w:szCs w:val="16"/>
          <w:lang w:val="es-ES_tradnl"/>
        </w:rPr>
        <w:t>ó</w:t>
      </w:r>
      <w:r>
        <w:rPr>
          <w:spacing w:val="-8"/>
          <w:sz w:val="16"/>
          <w:szCs w:val="16"/>
          <w:lang w:val="es-ES_tradnl"/>
        </w:rPr>
        <w:t xml:space="preserve">n de justicia no depende de la voluntad </w:t>
      </w:r>
      <w:r>
        <w:rPr>
          <w:spacing w:val="-6"/>
          <w:sz w:val="16"/>
          <w:szCs w:val="16"/>
          <w:lang w:val="es-ES_tradnl"/>
        </w:rPr>
        <w:t xml:space="preserve">del imputado para llevar o no un juicio, sino que es deber del </w:t>
      </w:r>
      <w:r>
        <w:rPr>
          <w:spacing w:val="-9"/>
          <w:sz w:val="16"/>
          <w:szCs w:val="16"/>
          <w:lang w:val="es-ES_tradnl"/>
        </w:rPr>
        <w:t>juez, a trav</w:t>
      </w:r>
      <w:r>
        <w:rPr>
          <w:rFonts w:cs="Times New Roman"/>
          <w:spacing w:val="-9"/>
          <w:sz w:val="16"/>
          <w:szCs w:val="16"/>
          <w:lang w:val="es-ES_tradnl"/>
        </w:rPr>
        <w:t>é</w:t>
      </w:r>
      <w:r>
        <w:rPr>
          <w:spacing w:val="-9"/>
          <w:sz w:val="16"/>
          <w:szCs w:val="16"/>
          <w:lang w:val="es-ES_tradnl"/>
        </w:rPr>
        <w:t xml:space="preserve">s de las medidas cautelares, garantizar la presencia </w:t>
      </w:r>
      <w:r>
        <w:rPr>
          <w:spacing w:val="-10"/>
          <w:sz w:val="16"/>
          <w:szCs w:val="16"/>
          <w:lang w:val="es-ES_tradnl"/>
        </w:rPr>
        <w:t>del imputado en el juicio para que se respeten sus derechos, as</w:t>
      </w:r>
      <w:r>
        <w:rPr>
          <w:rFonts w:cs="Times New Roman"/>
          <w:spacing w:val="-10"/>
          <w:sz w:val="16"/>
          <w:szCs w:val="16"/>
          <w:lang w:val="es-ES_tradnl"/>
        </w:rPr>
        <w:t xml:space="preserve">í </w:t>
      </w:r>
      <w:r>
        <w:rPr>
          <w:sz w:val="16"/>
          <w:szCs w:val="16"/>
          <w:lang w:val="es-ES_tradnl"/>
        </w:rPr>
        <w:t>como los de las v</w:t>
      </w:r>
      <w:r>
        <w:rPr>
          <w:rFonts w:cs="Times New Roman"/>
          <w:sz w:val="16"/>
          <w:szCs w:val="16"/>
          <w:lang w:val="es-ES_tradnl"/>
        </w:rPr>
        <w:t>í</w:t>
      </w:r>
      <w:r>
        <w:rPr>
          <w:sz w:val="16"/>
          <w:szCs w:val="16"/>
          <w:lang w:val="es-ES_tradnl"/>
        </w:rPr>
        <w:t>ctimas.</w:t>
      </w:r>
    </w:p>
    <w:p w14:paraId="4F67A52A" w14:textId="77777777" w:rsidR="00591D54" w:rsidRDefault="00591D54">
      <w:pPr>
        <w:shd w:val="clear" w:color="auto" w:fill="FFFFFF"/>
        <w:spacing w:before="211" w:line="216" w:lineRule="exact"/>
        <w:jc w:val="both"/>
      </w:pPr>
      <w:r>
        <w:rPr>
          <w:spacing w:val="-5"/>
          <w:sz w:val="16"/>
          <w:szCs w:val="16"/>
          <w:lang w:val="es-ES_tradnl"/>
        </w:rPr>
        <w:t>El fin que persigue la ley es leg</w:t>
      </w:r>
      <w:r>
        <w:rPr>
          <w:rFonts w:cs="Times New Roman"/>
          <w:spacing w:val="-5"/>
          <w:sz w:val="16"/>
          <w:szCs w:val="16"/>
          <w:lang w:val="es-ES_tradnl"/>
        </w:rPr>
        <w:t>í</w:t>
      </w:r>
      <w:r>
        <w:rPr>
          <w:spacing w:val="-5"/>
          <w:sz w:val="16"/>
          <w:szCs w:val="16"/>
          <w:lang w:val="es-ES_tradnl"/>
        </w:rPr>
        <w:t xml:space="preserve">timo, ya que se encarga de </w:t>
      </w:r>
      <w:r>
        <w:rPr>
          <w:spacing w:val="-2"/>
          <w:sz w:val="16"/>
          <w:szCs w:val="16"/>
          <w:lang w:val="es-ES_tradnl"/>
        </w:rPr>
        <w:t>tipificar las infracciones de Transporte Terrestre, Tr</w:t>
      </w:r>
      <w:r>
        <w:rPr>
          <w:rFonts w:cs="Times New Roman"/>
          <w:spacing w:val="-2"/>
          <w:sz w:val="16"/>
          <w:szCs w:val="16"/>
          <w:lang w:val="es-ES_tradnl"/>
        </w:rPr>
        <w:t>á</w:t>
      </w:r>
      <w:r>
        <w:rPr>
          <w:spacing w:val="-2"/>
          <w:sz w:val="16"/>
          <w:szCs w:val="16"/>
          <w:lang w:val="es-ES_tradnl"/>
        </w:rPr>
        <w:t xml:space="preserve">nsito </w:t>
      </w:r>
      <w:r>
        <w:rPr>
          <w:spacing w:val="-4"/>
          <w:sz w:val="16"/>
          <w:szCs w:val="16"/>
          <w:lang w:val="es-ES_tradnl"/>
        </w:rPr>
        <w:t>y Seguridad Vial, as</w:t>
      </w:r>
      <w:r>
        <w:rPr>
          <w:rFonts w:cs="Times New Roman"/>
          <w:spacing w:val="-4"/>
          <w:sz w:val="16"/>
          <w:szCs w:val="16"/>
          <w:lang w:val="es-ES_tradnl"/>
        </w:rPr>
        <w:t>í</w:t>
      </w:r>
      <w:r>
        <w:rPr>
          <w:spacing w:val="-4"/>
          <w:sz w:val="16"/>
          <w:szCs w:val="16"/>
          <w:lang w:val="es-ES_tradnl"/>
        </w:rPr>
        <w:t xml:space="preserve"> como garantizar el debido proceso de </w:t>
      </w:r>
      <w:r>
        <w:rPr>
          <w:spacing w:val="-8"/>
          <w:sz w:val="16"/>
          <w:szCs w:val="16"/>
          <w:lang w:val="es-ES_tradnl"/>
        </w:rPr>
        <w:t>las partes sometidas a esta clase de proceso. En definitiva, es una norma sustantiva como adjetiva. De la norma en cuesti</w:t>
      </w:r>
      <w:r>
        <w:rPr>
          <w:rFonts w:cs="Times New Roman"/>
          <w:spacing w:val="-8"/>
          <w:sz w:val="16"/>
          <w:szCs w:val="16"/>
          <w:lang w:val="es-ES_tradnl"/>
        </w:rPr>
        <w:t>ó</w:t>
      </w:r>
      <w:r>
        <w:rPr>
          <w:spacing w:val="-8"/>
          <w:sz w:val="16"/>
          <w:szCs w:val="16"/>
          <w:lang w:val="es-ES_tradnl"/>
        </w:rPr>
        <w:t xml:space="preserve">n, </w:t>
      </w:r>
      <w:r>
        <w:rPr>
          <w:spacing w:val="-5"/>
          <w:sz w:val="16"/>
          <w:szCs w:val="16"/>
          <w:lang w:val="es-ES_tradnl"/>
        </w:rPr>
        <w:t>art</w:t>
      </w:r>
      <w:r>
        <w:rPr>
          <w:rFonts w:cs="Times New Roman"/>
          <w:spacing w:val="-5"/>
          <w:sz w:val="16"/>
          <w:szCs w:val="16"/>
          <w:lang w:val="es-ES_tradnl"/>
        </w:rPr>
        <w:t>í</w:t>
      </w:r>
      <w:r>
        <w:rPr>
          <w:spacing w:val="-5"/>
          <w:sz w:val="16"/>
          <w:szCs w:val="16"/>
          <w:lang w:val="es-ES_tradnl"/>
        </w:rPr>
        <w:t>culo 168, inciso 3 de la Ley supra, juzgar en ausencia y limitar el derecho a la defensa material, es una inserci</w:t>
      </w:r>
      <w:r>
        <w:rPr>
          <w:rFonts w:cs="Times New Roman"/>
          <w:spacing w:val="-5"/>
          <w:sz w:val="16"/>
          <w:szCs w:val="16"/>
          <w:lang w:val="es-ES_tradnl"/>
        </w:rPr>
        <w:t>ó</w:t>
      </w:r>
      <w:r>
        <w:rPr>
          <w:spacing w:val="-5"/>
          <w:sz w:val="16"/>
          <w:szCs w:val="16"/>
          <w:lang w:val="es-ES_tradnl"/>
        </w:rPr>
        <w:t xml:space="preserve">n impuesta por voluntad del legislador que afecta el derecho a </w:t>
      </w:r>
      <w:r>
        <w:rPr>
          <w:spacing w:val="-3"/>
          <w:sz w:val="16"/>
          <w:szCs w:val="16"/>
          <w:lang w:val="es-ES_tradnl"/>
        </w:rPr>
        <w:t xml:space="preserve">la defensa del imputado en el juicio, principio que es parte </w:t>
      </w:r>
      <w:r>
        <w:rPr>
          <w:spacing w:val="-6"/>
          <w:sz w:val="16"/>
          <w:szCs w:val="16"/>
          <w:lang w:val="es-ES_tradnl"/>
        </w:rPr>
        <w:t xml:space="preserve">de la estructura del debido proceso y se fundamenta en el derecho a la igualdad de las partes sometidas a un proceso, </w:t>
      </w:r>
      <w:r>
        <w:rPr>
          <w:spacing w:val="-8"/>
          <w:sz w:val="16"/>
          <w:szCs w:val="16"/>
          <w:lang w:val="es-ES_tradnl"/>
        </w:rPr>
        <w:t>ya que con esta norma existe una descompensaci</w:t>
      </w:r>
      <w:r>
        <w:rPr>
          <w:rFonts w:cs="Times New Roman"/>
          <w:spacing w:val="-8"/>
          <w:sz w:val="16"/>
          <w:szCs w:val="16"/>
          <w:lang w:val="es-ES_tradnl"/>
        </w:rPr>
        <w:t>ó</w:t>
      </w:r>
      <w:r>
        <w:rPr>
          <w:spacing w:val="-8"/>
          <w:sz w:val="16"/>
          <w:szCs w:val="16"/>
          <w:lang w:val="es-ES_tradnl"/>
        </w:rPr>
        <w:t xml:space="preserve">n entre las </w:t>
      </w:r>
      <w:r>
        <w:rPr>
          <w:spacing w:val="-7"/>
          <w:sz w:val="16"/>
          <w:szCs w:val="16"/>
          <w:lang w:val="es-ES_tradnl"/>
        </w:rPr>
        <w:t>partes procesales: fiscal</w:t>
      </w:r>
      <w:r>
        <w:rPr>
          <w:rFonts w:cs="Times New Roman"/>
          <w:spacing w:val="-7"/>
          <w:sz w:val="16"/>
          <w:szCs w:val="16"/>
          <w:lang w:val="es-ES_tradnl"/>
        </w:rPr>
        <w:t>í</w:t>
      </w:r>
      <w:r>
        <w:rPr>
          <w:spacing w:val="-7"/>
          <w:sz w:val="16"/>
          <w:szCs w:val="16"/>
          <w:lang w:val="es-ES_tradnl"/>
        </w:rPr>
        <w:t>a, v</w:t>
      </w:r>
      <w:r>
        <w:rPr>
          <w:rFonts w:cs="Times New Roman"/>
          <w:spacing w:val="-7"/>
          <w:sz w:val="16"/>
          <w:szCs w:val="16"/>
          <w:lang w:val="es-ES_tradnl"/>
        </w:rPr>
        <w:t>í</w:t>
      </w:r>
      <w:r>
        <w:rPr>
          <w:spacing w:val="-7"/>
          <w:sz w:val="16"/>
          <w:szCs w:val="16"/>
          <w:lang w:val="es-ES_tradnl"/>
        </w:rPr>
        <w:t xml:space="preserve">ctima e imputado </w:t>
      </w:r>
      <w:r>
        <w:rPr>
          <w:rFonts w:cs="Times New Roman"/>
          <w:spacing w:val="-7"/>
          <w:sz w:val="16"/>
          <w:szCs w:val="16"/>
          <w:lang w:val="es-ES_tradnl"/>
        </w:rPr>
        <w:t>–</w:t>
      </w:r>
      <w:r>
        <w:rPr>
          <w:spacing w:val="-7"/>
          <w:sz w:val="16"/>
          <w:szCs w:val="16"/>
          <w:lang w:val="es-ES_tradnl"/>
        </w:rPr>
        <w:t>ausente</w:t>
      </w:r>
      <w:r>
        <w:rPr>
          <w:rFonts w:cs="Times New Roman"/>
          <w:spacing w:val="-7"/>
          <w:sz w:val="16"/>
          <w:szCs w:val="16"/>
          <w:lang w:val="es-ES_tradnl"/>
        </w:rPr>
        <w:t>–</w:t>
      </w:r>
      <w:r>
        <w:rPr>
          <w:spacing w:val="-7"/>
          <w:sz w:val="16"/>
          <w:szCs w:val="16"/>
          <w:lang w:val="es-ES_tradnl"/>
        </w:rPr>
        <w:t xml:space="preserve"> que al parecer contar</w:t>
      </w:r>
      <w:r>
        <w:rPr>
          <w:rFonts w:cs="Times New Roman"/>
          <w:spacing w:val="-7"/>
          <w:sz w:val="16"/>
          <w:szCs w:val="16"/>
          <w:lang w:val="es-ES_tradnl"/>
        </w:rPr>
        <w:t>í</w:t>
      </w:r>
      <w:r>
        <w:rPr>
          <w:spacing w:val="-7"/>
          <w:sz w:val="16"/>
          <w:szCs w:val="16"/>
          <w:lang w:val="es-ES_tradnl"/>
        </w:rPr>
        <w:t xml:space="preserve">a </w:t>
      </w:r>
      <w:r>
        <w:rPr>
          <w:rFonts w:cs="Times New Roman"/>
          <w:spacing w:val="-7"/>
          <w:sz w:val="16"/>
          <w:szCs w:val="16"/>
          <w:lang w:val="es-ES_tradnl"/>
        </w:rPr>
        <w:t>ú</w:t>
      </w:r>
      <w:r>
        <w:rPr>
          <w:spacing w:val="-7"/>
          <w:sz w:val="16"/>
          <w:szCs w:val="16"/>
          <w:lang w:val="es-ES_tradnl"/>
        </w:rPr>
        <w:t xml:space="preserve">nicamente con el derecho a la defensa </w:t>
      </w:r>
      <w:r>
        <w:rPr>
          <w:spacing w:val="-8"/>
          <w:sz w:val="16"/>
          <w:szCs w:val="16"/>
          <w:lang w:val="es-ES_tradnl"/>
        </w:rPr>
        <w:t>t</w:t>
      </w:r>
      <w:r>
        <w:rPr>
          <w:rFonts w:cs="Times New Roman"/>
          <w:spacing w:val="-8"/>
          <w:sz w:val="16"/>
          <w:szCs w:val="16"/>
          <w:lang w:val="es-ES_tradnl"/>
        </w:rPr>
        <w:t>é</w:t>
      </w:r>
      <w:r>
        <w:rPr>
          <w:spacing w:val="-8"/>
          <w:sz w:val="16"/>
          <w:szCs w:val="16"/>
          <w:lang w:val="es-ES_tradnl"/>
        </w:rPr>
        <w:t>cnica. Lo cual impide que los derechos fundamentales sean aplicados y puedan contraponerse en igualdad de condiciones con las dem</w:t>
      </w:r>
      <w:r>
        <w:rPr>
          <w:rFonts w:cs="Times New Roman"/>
          <w:spacing w:val="-8"/>
          <w:sz w:val="16"/>
          <w:szCs w:val="16"/>
          <w:lang w:val="es-ES_tradnl"/>
        </w:rPr>
        <w:t>á</w:t>
      </w:r>
      <w:r>
        <w:rPr>
          <w:spacing w:val="-8"/>
          <w:sz w:val="16"/>
          <w:szCs w:val="16"/>
          <w:lang w:val="es-ES_tradnl"/>
        </w:rPr>
        <w:t xml:space="preserve">s partes procesales, despojando los derechos </w:t>
      </w:r>
      <w:r>
        <w:rPr>
          <w:spacing w:val="-7"/>
          <w:sz w:val="16"/>
          <w:szCs w:val="16"/>
          <w:lang w:val="es-ES_tradnl"/>
        </w:rPr>
        <w:t>fundamentales, incurriendo en la prohibici</w:t>
      </w:r>
      <w:r>
        <w:rPr>
          <w:rFonts w:cs="Times New Roman"/>
          <w:spacing w:val="-7"/>
          <w:sz w:val="16"/>
          <w:szCs w:val="16"/>
          <w:lang w:val="es-ES_tradnl"/>
        </w:rPr>
        <w:t>ó</w:t>
      </w:r>
      <w:r>
        <w:rPr>
          <w:spacing w:val="-7"/>
          <w:sz w:val="16"/>
          <w:szCs w:val="16"/>
          <w:lang w:val="es-ES_tradnl"/>
        </w:rPr>
        <w:t xml:space="preserve">n constitucional de </w:t>
      </w:r>
      <w:r>
        <w:rPr>
          <w:sz w:val="16"/>
          <w:szCs w:val="16"/>
          <w:lang w:val="es-ES_tradnl"/>
        </w:rPr>
        <w:t>juzgar en ausencia.</w:t>
      </w:r>
    </w:p>
    <w:p w14:paraId="4F67A52B" w14:textId="77777777" w:rsidR="00591D54" w:rsidRDefault="00591D54">
      <w:pPr>
        <w:shd w:val="clear" w:color="auto" w:fill="FFFFFF"/>
        <w:spacing w:before="206" w:line="216" w:lineRule="exact"/>
        <w:jc w:val="both"/>
      </w:pPr>
      <w:r>
        <w:rPr>
          <w:spacing w:val="-5"/>
          <w:sz w:val="16"/>
          <w:szCs w:val="16"/>
          <w:lang w:val="es-ES_tradnl"/>
        </w:rPr>
        <w:t>(</w:t>
      </w:r>
      <w:r>
        <w:rPr>
          <w:rFonts w:cs="Times New Roman"/>
          <w:spacing w:val="-5"/>
          <w:sz w:val="16"/>
          <w:szCs w:val="16"/>
          <w:lang w:val="es-ES_tradnl"/>
        </w:rPr>
        <w:t>…</w:t>
      </w:r>
      <w:r>
        <w:rPr>
          <w:spacing w:val="-5"/>
          <w:sz w:val="16"/>
          <w:szCs w:val="16"/>
          <w:lang w:val="es-ES_tradnl"/>
        </w:rPr>
        <w:t>) La Ley Org</w:t>
      </w:r>
      <w:r>
        <w:rPr>
          <w:rFonts w:cs="Times New Roman"/>
          <w:spacing w:val="-5"/>
          <w:sz w:val="16"/>
          <w:szCs w:val="16"/>
          <w:lang w:val="es-ES_tradnl"/>
        </w:rPr>
        <w:t>á</w:t>
      </w:r>
      <w:r>
        <w:rPr>
          <w:spacing w:val="-5"/>
          <w:sz w:val="16"/>
          <w:szCs w:val="16"/>
          <w:lang w:val="es-ES_tradnl"/>
        </w:rPr>
        <w:t>nica de Transporte Terrestre, Tr</w:t>
      </w:r>
      <w:r>
        <w:rPr>
          <w:rFonts w:cs="Times New Roman"/>
          <w:spacing w:val="-5"/>
          <w:sz w:val="16"/>
          <w:szCs w:val="16"/>
          <w:lang w:val="es-ES_tradnl"/>
        </w:rPr>
        <w:t>á</w:t>
      </w:r>
      <w:r>
        <w:rPr>
          <w:spacing w:val="-5"/>
          <w:sz w:val="16"/>
          <w:szCs w:val="16"/>
          <w:lang w:val="es-ES_tradnl"/>
        </w:rPr>
        <w:t>nsito y Seguridad Vial, mediante una disposici</w:t>
      </w:r>
      <w:r>
        <w:rPr>
          <w:rFonts w:cs="Times New Roman"/>
          <w:spacing w:val="-5"/>
          <w:sz w:val="16"/>
          <w:szCs w:val="16"/>
          <w:lang w:val="es-ES_tradnl"/>
        </w:rPr>
        <w:t>ó</w:t>
      </w:r>
      <w:r>
        <w:rPr>
          <w:spacing w:val="-5"/>
          <w:sz w:val="16"/>
          <w:szCs w:val="16"/>
          <w:lang w:val="es-ES_tradnl"/>
        </w:rPr>
        <w:t>n de hacer (art</w:t>
      </w:r>
      <w:r>
        <w:rPr>
          <w:rFonts w:cs="Times New Roman"/>
          <w:spacing w:val="-5"/>
          <w:sz w:val="16"/>
          <w:szCs w:val="16"/>
          <w:lang w:val="es-ES_tradnl"/>
        </w:rPr>
        <w:t>í</w:t>
      </w:r>
      <w:r>
        <w:rPr>
          <w:spacing w:val="-5"/>
          <w:sz w:val="16"/>
          <w:szCs w:val="16"/>
          <w:lang w:val="es-ES_tradnl"/>
        </w:rPr>
        <w:t xml:space="preserve">culo </w:t>
      </w:r>
      <w:r>
        <w:rPr>
          <w:spacing w:val="-3"/>
          <w:sz w:val="16"/>
          <w:szCs w:val="16"/>
          <w:lang w:val="es-ES_tradnl"/>
        </w:rPr>
        <w:t xml:space="preserve">168 LOTTTSV), genera la posibilidad de que realice la </w:t>
      </w:r>
      <w:r>
        <w:rPr>
          <w:spacing w:val="-6"/>
          <w:sz w:val="16"/>
          <w:szCs w:val="16"/>
          <w:lang w:val="es-ES_tradnl"/>
        </w:rPr>
        <w:t xml:space="preserve">audiencia de juzgamiento sin la presencia del imputado. Es </w:t>
      </w:r>
      <w:r>
        <w:rPr>
          <w:spacing w:val="-7"/>
          <w:sz w:val="16"/>
          <w:szCs w:val="16"/>
          <w:lang w:val="es-ES_tradnl"/>
        </w:rPr>
        <w:t>evidente que este hecho ingiere de forma directa en el n</w:t>
      </w:r>
      <w:r>
        <w:rPr>
          <w:rFonts w:cs="Times New Roman"/>
          <w:spacing w:val="-7"/>
          <w:sz w:val="16"/>
          <w:szCs w:val="16"/>
          <w:lang w:val="es-ES_tradnl"/>
        </w:rPr>
        <w:t>ú</w:t>
      </w:r>
      <w:r>
        <w:rPr>
          <w:spacing w:val="-7"/>
          <w:sz w:val="16"/>
          <w:szCs w:val="16"/>
          <w:lang w:val="es-ES_tradnl"/>
        </w:rPr>
        <w:t xml:space="preserve">cleo </w:t>
      </w:r>
      <w:r>
        <w:rPr>
          <w:spacing w:val="-10"/>
          <w:sz w:val="16"/>
          <w:szCs w:val="16"/>
          <w:lang w:val="es-ES_tradnl"/>
        </w:rPr>
        <w:t xml:space="preserve">esencial del derecho a la defensa material, que radica en que se </w:t>
      </w:r>
      <w:r>
        <w:rPr>
          <w:spacing w:val="-7"/>
          <w:sz w:val="16"/>
          <w:szCs w:val="16"/>
          <w:lang w:val="es-ES_tradnl"/>
        </w:rPr>
        <w:t>garantice la presencia del imputado en el proceso, as</w:t>
      </w:r>
      <w:r>
        <w:rPr>
          <w:rFonts w:cs="Times New Roman"/>
          <w:spacing w:val="-7"/>
          <w:sz w:val="16"/>
          <w:szCs w:val="16"/>
          <w:lang w:val="es-ES_tradnl"/>
        </w:rPr>
        <w:t>í</w:t>
      </w:r>
      <w:r>
        <w:rPr>
          <w:spacing w:val="-7"/>
          <w:sz w:val="16"/>
          <w:szCs w:val="16"/>
          <w:lang w:val="es-ES_tradnl"/>
        </w:rPr>
        <w:t xml:space="preserve"> como a</w:t>
      </w:r>
    </w:p>
    <w:p w14:paraId="4F67A52C" w14:textId="77777777" w:rsidR="00591D54" w:rsidRDefault="00591D54">
      <w:pPr>
        <w:shd w:val="clear" w:color="auto" w:fill="FFFFFF"/>
        <w:spacing w:before="206" w:line="216" w:lineRule="exact"/>
        <w:jc w:val="both"/>
        <w:sectPr w:rsidR="00591D54">
          <w:type w:val="continuous"/>
          <w:pgSz w:w="11909" w:h="16834"/>
          <w:pgMar w:top="1390" w:right="1309" w:bottom="360" w:left="1308" w:header="720" w:footer="720" w:gutter="0"/>
          <w:cols w:num="2" w:space="720" w:equalWidth="0">
            <w:col w:w="4305" w:space="965"/>
            <w:col w:w="4022"/>
          </w:cols>
          <w:noEndnote/>
        </w:sectPr>
      </w:pPr>
    </w:p>
    <w:p w14:paraId="4F67A52D" w14:textId="77777777" w:rsidR="00591D54" w:rsidRDefault="00591D54">
      <w:pPr>
        <w:shd w:val="clear" w:color="auto" w:fill="FFFFFF"/>
        <w:tabs>
          <w:tab w:val="left" w:pos="595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- 25</w:t>
      </w:r>
    </w:p>
    <w:p w14:paraId="4F67A52E" w14:textId="77777777" w:rsidR="00591D54" w:rsidRDefault="00591D54">
      <w:pPr>
        <w:shd w:val="clear" w:color="auto" w:fill="FFFFFF"/>
        <w:tabs>
          <w:tab w:val="left" w:pos="5952"/>
        </w:tabs>
        <w:spacing w:after="230"/>
        <w:ind w:left="5"/>
        <w:sectPr w:rsidR="00591D54">
          <w:pgSz w:w="11909" w:h="16834"/>
          <w:pgMar w:top="1359" w:right="1309" w:bottom="360" w:left="1308" w:header="720" w:footer="720" w:gutter="0"/>
          <w:cols w:space="60"/>
          <w:noEndnote/>
        </w:sectPr>
      </w:pPr>
    </w:p>
    <w:p w14:paraId="4F67A52F" w14:textId="77777777" w:rsidR="00591D54" w:rsidRDefault="00591D54">
      <w:pPr>
        <w:shd w:val="clear" w:color="auto" w:fill="FFFFFF"/>
        <w:spacing w:line="216" w:lineRule="exact"/>
        <w:ind w:left="283"/>
        <w:jc w:val="both"/>
      </w:pPr>
      <w:r>
        <w:rPr>
          <w:spacing w:val="-9"/>
          <w:sz w:val="16"/>
          <w:szCs w:val="16"/>
          <w:lang w:val="es-ES_tradnl"/>
        </w:rPr>
        <w:t xml:space="preserve">sus conectores, como son el derecho a la tutela judicial efectiva, </w:t>
      </w:r>
      <w:r>
        <w:rPr>
          <w:spacing w:val="-7"/>
          <w:sz w:val="16"/>
          <w:szCs w:val="16"/>
          <w:lang w:val="es-ES_tradnl"/>
        </w:rPr>
        <w:t xml:space="preserve">al debido proceso y a la igualdad material en el proceso. A su vez, cabe resaltar que la referida ley contempla disposiciones </w:t>
      </w:r>
      <w:r>
        <w:rPr>
          <w:spacing w:val="-4"/>
          <w:sz w:val="16"/>
          <w:szCs w:val="16"/>
          <w:lang w:val="es-ES_tradnl"/>
        </w:rPr>
        <w:t>de Medidas Cautelares, art</w:t>
      </w:r>
      <w:r>
        <w:rPr>
          <w:rFonts w:cs="Times New Roman"/>
          <w:spacing w:val="-4"/>
          <w:sz w:val="16"/>
          <w:szCs w:val="16"/>
          <w:lang w:val="es-ES_tradnl"/>
        </w:rPr>
        <w:t>í</w:t>
      </w:r>
      <w:r>
        <w:rPr>
          <w:spacing w:val="-4"/>
          <w:sz w:val="16"/>
          <w:szCs w:val="16"/>
          <w:lang w:val="es-ES_tradnl"/>
        </w:rPr>
        <w:t xml:space="preserve">culos 153-159, estableciendo </w:t>
      </w:r>
      <w:r>
        <w:rPr>
          <w:spacing w:val="-6"/>
          <w:sz w:val="16"/>
          <w:szCs w:val="16"/>
          <w:lang w:val="es-ES_tradnl"/>
        </w:rPr>
        <w:t>desde la cauci</w:t>
      </w:r>
      <w:r>
        <w:rPr>
          <w:rFonts w:cs="Times New Roman"/>
          <w:spacing w:val="-6"/>
          <w:sz w:val="16"/>
          <w:szCs w:val="16"/>
          <w:lang w:val="es-ES_tradnl"/>
        </w:rPr>
        <w:t>ó</w:t>
      </w:r>
      <w:r>
        <w:rPr>
          <w:spacing w:val="-6"/>
          <w:sz w:val="16"/>
          <w:szCs w:val="16"/>
          <w:lang w:val="es-ES_tradnl"/>
        </w:rPr>
        <w:t>n de bienes hasta la privaci</w:t>
      </w:r>
      <w:r>
        <w:rPr>
          <w:rFonts w:cs="Times New Roman"/>
          <w:spacing w:val="-6"/>
          <w:sz w:val="16"/>
          <w:szCs w:val="16"/>
          <w:lang w:val="es-ES_tradnl"/>
        </w:rPr>
        <w:t>ó</w:t>
      </w:r>
      <w:r>
        <w:rPr>
          <w:spacing w:val="-6"/>
          <w:sz w:val="16"/>
          <w:szCs w:val="16"/>
          <w:lang w:val="es-ES_tradnl"/>
        </w:rPr>
        <w:t xml:space="preserve">n de la libertad </w:t>
      </w:r>
      <w:r>
        <w:rPr>
          <w:spacing w:val="-9"/>
          <w:sz w:val="16"/>
          <w:szCs w:val="16"/>
          <w:lang w:val="es-ES_tradnl"/>
        </w:rPr>
        <w:t>como la m</w:t>
      </w:r>
      <w:r>
        <w:rPr>
          <w:rFonts w:cs="Times New Roman"/>
          <w:spacing w:val="-9"/>
          <w:sz w:val="16"/>
          <w:szCs w:val="16"/>
          <w:lang w:val="es-ES_tradnl"/>
        </w:rPr>
        <w:t>á</w:t>
      </w:r>
      <w:r>
        <w:rPr>
          <w:spacing w:val="-9"/>
          <w:sz w:val="16"/>
          <w:szCs w:val="16"/>
          <w:lang w:val="es-ES_tradnl"/>
        </w:rPr>
        <w:t xml:space="preserve">s estricta, para garantizar la presencia del imputado </w:t>
      </w:r>
      <w:r>
        <w:rPr>
          <w:spacing w:val="-6"/>
          <w:sz w:val="16"/>
          <w:szCs w:val="16"/>
          <w:lang w:val="es-ES_tradnl"/>
        </w:rPr>
        <w:t xml:space="preserve">en el juicio, de lo que se colige que la norma cuestionada, al permitir juzgar en ausencia y no acceder a recursos de ese </w:t>
      </w:r>
      <w:r>
        <w:rPr>
          <w:spacing w:val="-5"/>
          <w:sz w:val="16"/>
          <w:szCs w:val="16"/>
          <w:lang w:val="es-ES_tradnl"/>
        </w:rPr>
        <w:t>fallo, no realiza una intervenci</w:t>
      </w:r>
      <w:r>
        <w:rPr>
          <w:rFonts w:cs="Times New Roman"/>
          <w:spacing w:val="-5"/>
          <w:sz w:val="16"/>
          <w:szCs w:val="16"/>
          <w:lang w:val="es-ES_tradnl"/>
        </w:rPr>
        <w:t>ó</w:t>
      </w:r>
      <w:r>
        <w:rPr>
          <w:spacing w:val="-5"/>
          <w:sz w:val="16"/>
          <w:szCs w:val="16"/>
          <w:lang w:val="es-ES_tradnl"/>
        </w:rPr>
        <w:t xml:space="preserve">n benigna en los derechos </w:t>
      </w:r>
      <w:r>
        <w:rPr>
          <w:spacing w:val="-7"/>
          <w:sz w:val="16"/>
          <w:szCs w:val="16"/>
          <w:lang w:val="es-ES_tradnl"/>
        </w:rPr>
        <w:t>fundamentales supra, como tampoco realiza una justificaci</w:t>
      </w:r>
      <w:r>
        <w:rPr>
          <w:rFonts w:cs="Times New Roman"/>
          <w:spacing w:val="-7"/>
          <w:sz w:val="16"/>
          <w:szCs w:val="16"/>
          <w:lang w:val="es-ES_tradnl"/>
        </w:rPr>
        <w:t>ó</w:t>
      </w:r>
      <w:r>
        <w:rPr>
          <w:spacing w:val="-7"/>
          <w:sz w:val="16"/>
          <w:szCs w:val="16"/>
          <w:lang w:val="es-ES_tradnl"/>
        </w:rPr>
        <w:t xml:space="preserve">n </w:t>
      </w:r>
      <w:r>
        <w:rPr>
          <w:spacing w:val="-6"/>
          <w:sz w:val="16"/>
          <w:szCs w:val="16"/>
          <w:lang w:val="es-ES_tradnl"/>
        </w:rPr>
        <w:t xml:space="preserve">adecuada de un racional trato diferente al imputado respecto </w:t>
      </w:r>
      <w:r>
        <w:rPr>
          <w:spacing w:val="-8"/>
          <w:sz w:val="16"/>
          <w:szCs w:val="16"/>
          <w:lang w:val="es-ES_tradnl"/>
        </w:rPr>
        <w:t>de los dem</w:t>
      </w:r>
      <w:r>
        <w:rPr>
          <w:rFonts w:cs="Times New Roman"/>
          <w:spacing w:val="-8"/>
          <w:sz w:val="16"/>
          <w:szCs w:val="16"/>
          <w:lang w:val="es-ES_tradnl"/>
        </w:rPr>
        <w:t>á</w:t>
      </w:r>
      <w:r>
        <w:rPr>
          <w:spacing w:val="-8"/>
          <w:sz w:val="16"/>
          <w:szCs w:val="16"/>
          <w:lang w:val="es-ES_tradnl"/>
        </w:rPr>
        <w:t>s sujetos procesales, que s</w:t>
      </w:r>
      <w:r>
        <w:rPr>
          <w:rFonts w:cs="Times New Roman"/>
          <w:spacing w:val="-8"/>
          <w:sz w:val="16"/>
          <w:szCs w:val="16"/>
          <w:lang w:val="es-ES_tradnl"/>
        </w:rPr>
        <w:t>í</w:t>
      </w:r>
      <w:r>
        <w:rPr>
          <w:spacing w:val="-8"/>
          <w:sz w:val="16"/>
          <w:szCs w:val="16"/>
          <w:lang w:val="es-ES_tradnl"/>
        </w:rPr>
        <w:t xml:space="preserve"> deben garantizar su </w:t>
      </w:r>
      <w:r>
        <w:rPr>
          <w:spacing w:val="-6"/>
          <w:sz w:val="16"/>
          <w:szCs w:val="16"/>
          <w:lang w:val="es-ES_tradnl"/>
        </w:rPr>
        <w:t>presencia para continuar con la etapa del juicio.</w:t>
      </w:r>
    </w:p>
    <w:p w14:paraId="4F67A530" w14:textId="77777777" w:rsidR="00591D54" w:rsidRDefault="00591D54">
      <w:pPr>
        <w:shd w:val="clear" w:color="auto" w:fill="FFFFFF"/>
        <w:spacing w:before="211" w:line="216" w:lineRule="exact"/>
        <w:ind w:left="283"/>
        <w:jc w:val="both"/>
      </w:pPr>
      <w:r>
        <w:rPr>
          <w:spacing w:val="-3"/>
          <w:sz w:val="16"/>
          <w:szCs w:val="16"/>
          <w:lang w:val="es-ES_tradnl"/>
        </w:rPr>
        <w:t>(</w:t>
      </w:r>
      <w:r>
        <w:rPr>
          <w:rFonts w:cs="Times New Roman"/>
          <w:spacing w:val="-3"/>
          <w:sz w:val="16"/>
          <w:szCs w:val="16"/>
          <w:lang w:val="es-ES_tradnl"/>
        </w:rPr>
        <w:t>…</w:t>
      </w:r>
      <w:r>
        <w:rPr>
          <w:spacing w:val="-3"/>
          <w:sz w:val="16"/>
          <w:szCs w:val="16"/>
          <w:lang w:val="es-ES_tradnl"/>
        </w:rPr>
        <w:t>) El fin perseguido por el legislador en la Ley Org</w:t>
      </w:r>
      <w:r>
        <w:rPr>
          <w:rFonts w:cs="Times New Roman"/>
          <w:spacing w:val="-3"/>
          <w:sz w:val="16"/>
          <w:szCs w:val="16"/>
          <w:lang w:val="es-ES_tradnl"/>
        </w:rPr>
        <w:t>á</w:t>
      </w:r>
      <w:r>
        <w:rPr>
          <w:spacing w:val="-3"/>
          <w:sz w:val="16"/>
          <w:szCs w:val="16"/>
          <w:lang w:val="es-ES_tradnl"/>
        </w:rPr>
        <w:t xml:space="preserve">nica </w:t>
      </w:r>
      <w:r>
        <w:rPr>
          <w:spacing w:val="-8"/>
          <w:sz w:val="16"/>
          <w:szCs w:val="16"/>
          <w:lang w:val="es-ES_tradnl"/>
        </w:rPr>
        <w:t>de Transporte Terrestre, Tr</w:t>
      </w:r>
      <w:r>
        <w:rPr>
          <w:rFonts w:cs="Times New Roman"/>
          <w:spacing w:val="-8"/>
          <w:sz w:val="16"/>
          <w:szCs w:val="16"/>
          <w:lang w:val="es-ES_tradnl"/>
        </w:rPr>
        <w:t>á</w:t>
      </w:r>
      <w:r>
        <w:rPr>
          <w:spacing w:val="-8"/>
          <w:sz w:val="16"/>
          <w:szCs w:val="16"/>
          <w:lang w:val="es-ES_tradnl"/>
        </w:rPr>
        <w:t xml:space="preserve">nsito y Seguridad Vial, posee dos </w:t>
      </w:r>
      <w:r>
        <w:rPr>
          <w:spacing w:val="-5"/>
          <w:sz w:val="16"/>
          <w:szCs w:val="16"/>
          <w:lang w:val="es-ES_tradnl"/>
        </w:rPr>
        <w:t>dimensiones: 1.- norma sustantiva (tipificaci</w:t>
      </w:r>
      <w:r>
        <w:rPr>
          <w:rFonts w:cs="Times New Roman"/>
          <w:spacing w:val="-5"/>
          <w:sz w:val="16"/>
          <w:szCs w:val="16"/>
          <w:lang w:val="es-ES_tradnl"/>
        </w:rPr>
        <w:t>ó</w:t>
      </w:r>
      <w:r>
        <w:rPr>
          <w:spacing w:val="-5"/>
          <w:sz w:val="16"/>
          <w:szCs w:val="16"/>
          <w:lang w:val="es-ES_tradnl"/>
        </w:rPr>
        <w:t xml:space="preserve">n), y 2.- norma </w:t>
      </w:r>
      <w:r>
        <w:rPr>
          <w:spacing w:val="-6"/>
          <w:sz w:val="16"/>
          <w:szCs w:val="16"/>
          <w:lang w:val="es-ES_tradnl"/>
        </w:rPr>
        <w:t xml:space="preserve">adjetiva (procesal). Es evidente que la norma que se analiza </w:t>
      </w:r>
      <w:r>
        <w:rPr>
          <w:spacing w:val="-8"/>
          <w:sz w:val="16"/>
          <w:szCs w:val="16"/>
          <w:lang w:val="es-ES_tradnl"/>
        </w:rPr>
        <w:t xml:space="preserve">es parte del proceso cuya finalidad expuesta en el inciso 3 del </w:t>
      </w:r>
      <w:r>
        <w:rPr>
          <w:spacing w:val="-7"/>
          <w:sz w:val="16"/>
          <w:szCs w:val="16"/>
          <w:lang w:val="es-ES_tradnl"/>
        </w:rPr>
        <w:t>art</w:t>
      </w:r>
      <w:r>
        <w:rPr>
          <w:rFonts w:cs="Times New Roman"/>
          <w:spacing w:val="-7"/>
          <w:sz w:val="16"/>
          <w:szCs w:val="16"/>
          <w:lang w:val="es-ES_tradnl"/>
        </w:rPr>
        <w:t>í</w:t>
      </w:r>
      <w:r>
        <w:rPr>
          <w:spacing w:val="-7"/>
          <w:sz w:val="16"/>
          <w:szCs w:val="16"/>
          <w:lang w:val="es-ES_tradnl"/>
        </w:rPr>
        <w:t xml:space="preserve">culo 168 de la Ley supra, es que el proceso culmine con el juzgamiento. Siendo clara la finalidad e importancia de juzgar </w:t>
      </w:r>
      <w:r>
        <w:rPr>
          <w:spacing w:val="-9"/>
          <w:sz w:val="16"/>
          <w:szCs w:val="16"/>
          <w:lang w:val="es-ES_tradnl"/>
        </w:rPr>
        <w:t>en un proceso de tr</w:t>
      </w:r>
      <w:r>
        <w:rPr>
          <w:rFonts w:cs="Times New Roman"/>
          <w:spacing w:val="-9"/>
          <w:sz w:val="16"/>
          <w:szCs w:val="16"/>
          <w:lang w:val="es-ES_tradnl"/>
        </w:rPr>
        <w:t>á</w:t>
      </w:r>
      <w:r>
        <w:rPr>
          <w:spacing w:val="-9"/>
          <w:sz w:val="16"/>
          <w:szCs w:val="16"/>
          <w:lang w:val="es-ES_tradnl"/>
        </w:rPr>
        <w:t xml:space="preserve">nsito, es deber del legislador garantizar los derechos constitucionales del debido proceso, mas no justificar </w:t>
      </w:r>
      <w:r>
        <w:rPr>
          <w:spacing w:val="-10"/>
          <w:sz w:val="16"/>
          <w:szCs w:val="16"/>
          <w:lang w:val="es-ES_tradnl"/>
        </w:rPr>
        <w:t xml:space="preserve">la existencia de una norma que ingiere en las normas del debido </w:t>
      </w:r>
      <w:r>
        <w:rPr>
          <w:spacing w:val="-8"/>
          <w:sz w:val="16"/>
          <w:szCs w:val="16"/>
          <w:lang w:val="es-ES_tradnl"/>
        </w:rPr>
        <w:t xml:space="preserve">proceso, por la sola falta de responsabilidad del imputado, que </w:t>
      </w:r>
      <w:r>
        <w:rPr>
          <w:spacing w:val="-9"/>
          <w:sz w:val="16"/>
          <w:szCs w:val="16"/>
          <w:lang w:val="es-ES_tradnl"/>
        </w:rPr>
        <w:t xml:space="preserve">deja a la sola voluntad de este el querer dilatar la causa, ya que </w:t>
      </w:r>
      <w:r>
        <w:rPr>
          <w:spacing w:val="-8"/>
          <w:sz w:val="16"/>
          <w:szCs w:val="16"/>
          <w:lang w:val="es-ES_tradnl"/>
        </w:rPr>
        <w:t xml:space="preserve">cuando no asiste en dos ocasiones a la audiencia de juicio es </w:t>
      </w:r>
      <w:r>
        <w:rPr>
          <w:sz w:val="16"/>
          <w:szCs w:val="16"/>
          <w:lang w:val="es-ES_tradnl"/>
        </w:rPr>
        <w:t>procedente juzgar en ausencia.</w:t>
      </w:r>
    </w:p>
    <w:p w14:paraId="4F67A531" w14:textId="77777777" w:rsidR="00591D54" w:rsidRDefault="00591D54">
      <w:pPr>
        <w:shd w:val="clear" w:color="auto" w:fill="FFFFFF"/>
        <w:spacing w:before="206" w:line="211" w:lineRule="exact"/>
        <w:ind w:left="283"/>
        <w:jc w:val="both"/>
      </w:pPr>
      <w:r>
        <w:rPr>
          <w:spacing w:val="-9"/>
          <w:sz w:val="16"/>
          <w:szCs w:val="16"/>
          <w:lang w:val="es-ES_tradnl"/>
        </w:rPr>
        <w:t>La Corte Constitucional no encuentra ventajas en la calificaci</w:t>
      </w:r>
      <w:r>
        <w:rPr>
          <w:rFonts w:cs="Times New Roman"/>
          <w:spacing w:val="-9"/>
          <w:sz w:val="16"/>
          <w:szCs w:val="16"/>
          <w:lang w:val="es-ES_tradnl"/>
        </w:rPr>
        <w:t>ó</w:t>
      </w:r>
      <w:r>
        <w:rPr>
          <w:spacing w:val="-9"/>
          <w:sz w:val="16"/>
          <w:szCs w:val="16"/>
          <w:lang w:val="es-ES_tradnl"/>
        </w:rPr>
        <w:t xml:space="preserve">n </w:t>
      </w:r>
      <w:r>
        <w:rPr>
          <w:spacing w:val="-4"/>
          <w:sz w:val="16"/>
          <w:szCs w:val="16"/>
          <w:lang w:val="es-ES_tradnl"/>
        </w:rPr>
        <w:t xml:space="preserve">subjetiva de dejar en manos del imputado la asistencia o no </w:t>
      </w:r>
      <w:r>
        <w:rPr>
          <w:spacing w:val="-5"/>
          <w:sz w:val="16"/>
          <w:szCs w:val="16"/>
          <w:lang w:val="es-ES_tradnl"/>
        </w:rPr>
        <w:t>a la audiencia de juzgamiento, ni justifica la intervenci</w:t>
      </w:r>
      <w:r>
        <w:rPr>
          <w:rFonts w:cs="Times New Roman"/>
          <w:spacing w:val="-5"/>
          <w:sz w:val="16"/>
          <w:szCs w:val="16"/>
          <w:lang w:val="es-ES_tradnl"/>
        </w:rPr>
        <w:t>ó</w:t>
      </w:r>
      <w:r>
        <w:rPr>
          <w:spacing w:val="-5"/>
          <w:sz w:val="16"/>
          <w:szCs w:val="16"/>
          <w:lang w:val="es-ES_tradnl"/>
        </w:rPr>
        <w:t xml:space="preserve">n en </w:t>
      </w:r>
      <w:r>
        <w:rPr>
          <w:spacing w:val="-8"/>
          <w:sz w:val="16"/>
          <w:szCs w:val="16"/>
          <w:lang w:val="es-ES_tradnl"/>
        </w:rPr>
        <w:t xml:space="preserve">los derechos fundamentales del imputado, como tampoco es </w:t>
      </w:r>
      <w:r>
        <w:rPr>
          <w:spacing w:val="-6"/>
          <w:sz w:val="16"/>
          <w:szCs w:val="16"/>
          <w:lang w:val="es-ES_tradnl"/>
        </w:rPr>
        <w:t xml:space="preserve">posible demostrar un punto de equilibrio entre el sacrificio de </w:t>
      </w:r>
      <w:r>
        <w:rPr>
          <w:spacing w:val="-8"/>
          <w:sz w:val="16"/>
          <w:szCs w:val="16"/>
          <w:lang w:val="es-ES_tradnl"/>
        </w:rPr>
        <w:t xml:space="preserve">esos derechos para llegar a la finalidad de juzgar en ausencia. </w:t>
      </w:r>
      <w:r>
        <w:rPr>
          <w:spacing w:val="-10"/>
          <w:sz w:val="16"/>
          <w:szCs w:val="16"/>
          <w:lang w:val="es-ES_tradnl"/>
        </w:rPr>
        <w:t>La tendencia en el hecho de juzgar en ausencia se exteriorizar</w:t>
      </w:r>
      <w:r>
        <w:rPr>
          <w:rFonts w:cs="Times New Roman"/>
          <w:spacing w:val="-10"/>
          <w:sz w:val="16"/>
          <w:szCs w:val="16"/>
          <w:lang w:val="es-ES_tradnl"/>
        </w:rPr>
        <w:t>í</w:t>
      </w:r>
      <w:r>
        <w:rPr>
          <w:spacing w:val="-10"/>
          <w:sz w:val="16"/>
          <w:szCs w:val="16"/>
          <w:lang w:val="es-ES_tradnl"/>
        </w:rPr>
        <w:t xml:space="preserve">a </w:t>
      </w:r>
      <w:r>
        <w:rPr>
          <w:spacing w:val="-9"/>
          <w:sz w:val="16"/>
          <w:szCs w:val="16"/>
          <w:lang w:val="es-ES_tradnl"/>
        </w:rPr>
        <w:t xml:space="preserve">en la impunidad, ya que si no es posible garantizar la presencia </w:t>
      </w:r>
      <w:r>
        <w:rPr>
          <w:spacing w:val="-4"/>
          <w:sz w:val="16"/>
          <w:szCs w:val="16"/>
          <w:lang w:val="es-ES_tradnl"/>
        </w:rPr>
        <w:t xml:space="preserve">del imputado a la audiencia de juzgamiento </w:t>
      </w:r>
      <w:r>
        <w:rPr>
          <w:rFonts w:cs="Times New Roman"/>
          <w:spacing w:val="-4"/>
          <w:sz w:val="16"/>
          <w:szCs w:val="16"/>
          <w:lang w:val="es-ES_tradnl"/>
        </w:rPr>
        <w:t>¿</w:t>
      </w:r>
      <w:r>
        <w:rPr>
          <w:spacing w:val="-4"/>
          <w:sz w:val="16"/>
          <w:szCs w:val="16"/>
          <w:lang w:val="es-ES_tradnl"/>
        </w:rPr>
        <w:t>qu</w:t>
      </w:r>
      <w:r>
        <w:rPr>
          <w:rFonts w:cs="Times New Roman"/>
          <w:spacing w:val="-4"/>
          <w:sz w:val="16"/>
          <w:szCs w:val="16"/>
          <w:lang w:val="es-ES_tradnl"/>
        </w:rPr>
        <w:t>é</w:t>
      </w:r>
      <w:r>
        <w:rPr>
          <w:spacing w:val="-4"/>
          <w:sz w:val="16"/>
          <w:szCs w:val="16"/>
          <w:lang w:val="es-ES_tradnl"/>
        </w:rPr>
        <w:t xml:space="preserve"> garantiza </w:t>
      </w:r>
      <w:r>
        <w:rPr>
          <w:spacing w:val="-6"/>
          <w:sz w:val="16"/>
          <w:szCs w:val="16"/>
          <w:lang w:val="es-ES_tradnl"/>
        </w:rPr>
        <w:t>la presencia del mismo en la sanci</w:t>
      </w:r>
      <w:r>
        <w:rPr>
          <w:rFonts w:cs="Times New Roman"/>
          <w:spacing w:val="-6"/>
          <w:sz w:val="16"/>
          <w:szCs w:val="16"/>
          <w:lang w:val="es-ES_tradnl"/>
        </w:rPr>
        <w:t>ó</w:t>
      </w:r>
      <w:r>
        <w:rPr>
          <w:spacing w:val="-6"/>
          <w:sz w:val="16"/>
          <w:szCs w:val="16"/>
          <w:lang w:val="es-ES_tradnl"/>
        </w:rPr>
        <w:t xml:space="preserve">n? </w:t>
      </w:r>
      <w:r>
        <w:rPr>
          <w:rFonts w:cs="Times New Roman"/>
          <w:spacing w:val="-6"/>
          <w:sz w:val="16"/>
          <w:szCs w:val="16"/>
          <w:lang w:val="es-ES_tradnl"/>
        </w:rPr>
        <w:t>¿</w:t>
      </w:r>
      <w:r>
        <w:rPr>
          <w:spacing w:val="-6"/>
          <w:sz w:val="16"/>
          <w:szCs w:val="16"/>
          <w:lang w:val="es-ES_tradnl"/>
        </w:rPr>
        <w:t xml:space="preserve">se le han vulnerado </w:t>
      </w:r>
      <w:r>
        <w:rPr>
          <w:spacing w:val="-8"/>
          <w:sz w:val="16"/>
          <w:szCs w:val="16"/>
          <w:lang w:val="es-ES_tradnl"/>
        </w:rPr>
        <w:t xml:space="preserve">sus derechos procesales?. Es evidente que esta norma no </w:t>
      </w:r>
      <w:r>
        <w:rPr>
          <w:spacing w:val="-7"/>
          <w:sz w:val="16"/>
          <w:szCs w:val="16"/>
          <w:lang w:val="es-ES_tradnl"/>
        </w:rPr>
        <w:t xml:space="preserve">demuestra una coherencia entre el sacrificio de los derechos </w:t>
      </w:r>
      <w:r>
        <w:rPr>
          <w:spacing w:val="-6"/>
          <w:sz w:val="16"/>
          <w:szCs w:val="16"/>
          <w:lang w:val="es-ES_tradnl"/>
        </w:rPr>
        <w:t xml:space="preserve">fundamentales y el fin perseguido por el legislador, de lo que </w:t>
      </w:r>
      <w:r>
        <w:rPr>
          <w:spacing w:val="-9"/>
          <w:sz w:val="16"/>
          <w:szCs w:val="16"/>
          <w:lang w:val="es-ES_tradnl"/>
        </w:rPr>
        <w:t xml:space="preserve">se deduce que la norma examinada deviene en inconstitucional </w:t>
      </w:r>
      <w:r>
        <w:rPr>
          <w:spacing w:val="-7"/>
          <w:sz w:val="16"/>
          <w:szCs w:val="16"/>
          <w:lang w:val="es-ES_tradnl"/>
        </w:rPr>
        <w:t xml:space="preserve">por ser contraria a los preceptos constitucionales establecidos </w:t>
      </w:r>
      <w:r>
        <w:rPr>
          <w:spacing w:val="-3"/>
          <w:sz w:val="16"/>
          <w:szCs w:val="16"/>
          <w:lang w:val="es-ES_tradnl"/>
        </w:rPr>
        <w:t>en los art</w:t>
      </w:r>
      <w:r>
        <w:rPr>
          <w:rFonts w:cs="Times New Roman"/>
          <w:spacing w:val="-3"/>
          <w:sz w:val="16"/>
          <w:szCs w:val="16"/>
          <w:lang w:val="es-ES_tradnl"/>
        </w:rPr>
        <w:t>í</w:t>
      </w:r>
      <w:r>
        <w:rPr>
          <w:spacing w:val="-3"/>
          <w:sz w:val="16"/>
          <w:szCs w:val="16"/>
          <w:lang w:val="es-ES_tradnl"/>
        </w:rPr>
        <w:t xml:space="preserve">culos 11, numerales: 2, derecho a la igualdad; </w:t>
      </w:r>
      <w:r>
        <w:rPr>
          <w:spacing w:val="-4"/>
          <w:sz w:val="16"/>
          <w:szCs w:val="16"/>
          <w:lang w:val="es-ES_tradnl"/>
        </w:rPr>
        <w:t>art</w:t>
      </w:r>
      <w:r>
        <w:rPr>
          <w:rFonts w:cs="Times New Roman"/>
          <w:spacing w:val="-4"/>
          <w:sz w:val="16"/>
          <w:szCs w:val="16"/>
          <w:lang w:val="es-ES_tradnl"/>
        </w:rPr>
        <w:t>í</w:t>
      </w:r>
      <w:r>
        <w:rPr>
          <w:spacing w:val="-4"/>
          <w:sz w:val="16"/>
          <w:szCs w:val="16"/>
          <w:lang w:val="es-ES_tradnl"/>
        </w:rPr>
        <w:t xml:space="preserve">culo 75, derecho a la tutela judicial efectiva; 76, numeral </w:t>
      </w:r>
      <w:r>
        <w:rPr>
          <w:spacing w:val="-6"/>
          <w:sz w:val="16"/>
          <w:szCs w:val="16"/>
          <w:lang w:val="es-ES_tradnl"/>
        </w:rPr>
        <w:t xml:space="preserve">7, literal </w:t>
      </w:r>
      <w:r>
        <w:rPr>
          <w:b/>
          <w:bCs/>
          <w:spacing w:val="-6"/>
          <w:sz w:val="16"/>
          <w:szCs w:val="16"/>
          <w:lang w:val="es-ES_tradnl"/>
        </w:rPr>
        <w:t>a</w:t>
      </w:r>
      <w:r>
        <w:rPr>
          <w:spacing w:val="-6"/>
          <w:sz w:val="16"/>
          <w:szCs w:val="16"/>
          <w:lang w:val="es-ES_tradnl"/>
        </w:rPr>
        <w:t>, derecho a la defensa; art</w:t>
      </w:r>
      <w:r>
        <w:rPr>
          <w:rFonts w:cs="Times New Roman"/>
          <w:spacing w:val="-6"/>
          <w:sz w:val="16"/>
          <w:szCs w:val="16"/>
          <w:lang w:val="es-ES_tradnl"/>
        </w:rPr>
        <w:t>í</w:t>
      </w:r>
      <w:r>
        <w:rPr>
          <w:spacing w:val="-6"/>
          <w:sz w:val="16"/>
          <w:szCs w:val="16"/>
          <w:lang w:val="es-ES_tradnl"/>
        </w:rPr>
        <w:t xml:space="preserve">culo 76, numeral 7, literal </w:t>
      </w:r>
      <w:r>
        <w:rPr>
          <w:b/>
          <w:bCs/>
          <w:spacing w:val="-8"/>
          <w:sz w:val="16"/>
          <w:szCs w:val="16"/>
          <w:lang w:val="es-ES_tradnl"/>
        </w:rPr>
        <w:t>c</w:t>
      </w:r>
      <w:r>
        <w:rPr>
          <w:spacing w:val="-8"/>
          <w:sz w:val="16"/>
          <w:szCs w:val="16"/>
          <w:lang w:val="es-ES_tradnl"/>
        </w:rPr>
        <w:t xml:space="preserve">, derecho a ser escuchado oportunamente en igualdad de </w:t>
      </w:r>
      <w:r>
        <w:rPr>
          <w:spacing w:val="-4"/>
          <w:sz w:val="16"/>
          <w:szCs w:val="16"/>
          <w:lang w:val="es-ES_tradnl"/>
        </w:rPr>
        <w:t>condiciones; art</w:t>
      </w:r>
      <w:r>
        <w:rPr>
          <w:rFonts w:cs="Times New Roman"/>
          <w:spacing w:val="-4"/>
          <w:sz w:val="16"/>
          <w:szCs w:val="16"/>
          <w:lang w:val="es-ES_tradnl"/>
        </w:rPr>
        <w:t>í</w:t>
      </w:r>
      <w:r>
        <w:rPr>
          <w:spacing w:val="-4"/>
          <w:sz w:val="16"/>
          <w:szCs w:val="16"/>
          <w:lang w:val="es-ES_tradnl"/>
        </w:rPr>
        <w:t xml:space="preserve">culo 168, numeral 6, principio de oralidad; </w:t>
      </w:r>
      <w:r>
        <w:rPr>
          <w:spacing w:val="-6"/>
          <w:sz w:val="16"/>
          <w:szCs w:val="16"/>
          <w:lang w:val="es-ES_tradnl"/>
        </w:rPr>
        <w:t>art</w:t>
      </w:r>
      <w:r>
        <w:rPr>
          <w:rFonts w:cs="Times New Roman"/>
          <w:spacing w:val="-6"/>
          <w:sz w:val="16"/>
          <w:szCs w:val="16"/>
          <w:lang w:val="es-ES_tradnl"/>
        </w:rPr>
        <w:t>í</w:t>
      </w:r>
      <w:r>
        <w:rPr>
          <w:spacing w:val="-6"/>
          <w:sz w:val="16"/>
          <w:szCs w:val="16"/>
          <w:lang w:val="es-ES_tradnl"/>
        </w:rPr>
        <w:t>culo 169, el principio de inmediaci</w:t>
      </w:r>
      <w:r>
        <w:rPr>
          <w:rFonts w:cs="Times New Roman"/>
          <w:spacing w:val="-6"/>
          <w:sz w:val="16"/>
          <w:szCs w:val="16"/>
          <w:lang w:val="es-ES_tradnl"/>
        </w:rPr>
        <w:t>ó</w:t>
      </w:r>
      <w:r>
        <w:rPr>
          <w:spacing w:val="-6"/>
          <w:sz w:val="16"/>
          <w:szCs w:val="16"/>
          <w:lang w:val="es-ES_tradnl"/>
        </w:rPr>
        <w:t>n; art</w:t>
      </w:r>
      <w:r>
        <w:rPr>
          <w:rFonts w:cs="Times New Roman"/>
          <w:spacing w:val="-6"/>
          <w:sz w:val="16"/>
          <w:szCs w:val="16"/>
          <w:lang w:val="es-ES_tradnl"/>
        </w:rPr>
        <w:t>í</w:t>
      </w:r>
      <w:r>
        <w:rPr>
          <w:spacing w:val="-6"/>
          <w:sz w:val="16"/>
          <w:szCs w:val="16"/>
          <w:lang w:val="es-ES_tradnl"/>
        </w:rPr>
        <w:t xml:space="preserve">culo 76, numeral 7, literal m, derecho a recurrir en todos los procedimientos en </w:t>
      </w:r>
      <w:r>
        <w:rPr>
          <w:spacing w:val="-10"/>
          <w:sz w:val="16"/>
          <w:szCs w:val="16"/>
          <w:lang w:val="es-ES_tradnl"/>
        </w:rPr>
        <w:t>los que se decida sobre sus derechos, y art</w:t>
      </w:r>
      <w:r>
        <w:rPr>
          <w:rFonts w:cs="Times New Roman"/>
          <w:spacing w:val="-10"/>
          <w:sz w:val="16"/>
          <w:szCs w:val="16"/>
          <w:lang w:val="es-ES_tradnl"/>
        </w:rPr>
        <w:t>í</w:t>
      </w:r>
      <w:r>
        <w:rPr>
          <w:spacing w:val="-10"/>
          <w:sz w:val="16"/>
          <w:szCs w:val="16"/>
          <w:lang w:val="es-ES_tradnl"/>
        </w:rPr>
        <w:t>culo 424 supremac</w:t>
      </w:r>
      <w:r>
        <w:rPr>
          <w:rFonts w:cs="Times New Roman"/>
          <w:spacing w:val="-10"/>
          <w:sz w:val="16"/>
          <w:szCs w:val="16"/>
          <w:lang w:val="es-ES_tradnl"/>
        </w:rPr>
        <w:t>í</w:t>
      </w:r>
      <w:r>
        <w:rPr>
          <w:spacing w:val="-10"/>
          <w:sz w:val="16"/>
          <w:szCs w:val="16"/>
          <w:lang w:val="es-ES_tradnl"/>
        </w:rPr>
        <w:t xml:space="preserve">a </w:t>
      </w:r>
      <w:r>
        <w:rPr>
          <w:sz w:val="16"/>
          <w:szCs w:val="16"/>
          <w:lang w:val="es-ES_tradnl"/>
        </w:rPr>
        <w:t>constitucional (</w:t>
      </w:r>
      <w:r>
        <w:rPr>
          <w:rFonts w:cs="Times New Roman"/>
          <w:sz w:val="16"/>
          <w:szCs w:val="16"/>
          <w:lang w:val="es-ES_tradnl"/>
        </w:rPr>
        <w:t>…</w:t>
      </w:r>
      <w:r>
        <w:rPr>
          <w:sz w:val="16"/>
          <w:szCs w:val="16"/>
          <w:lang w:val="es-ES_tradnl"/>
        </w:rPr>
        <w:t>)</w:t>
      </w:r>
      <w:r>
        <w:rPr>
          <w:sz w:val="16"/>
          <w:szCs w:val="16"/>
          <w:vertAlign w:val="superscript"/>
          <w:lang w:val="es-ES_tradnl"/>
        </w:rPr>
        <w:t>2</w:t>
      </w:r>
      <w:r>
        <w:rPr>
          <w:sz w:val="16"/>
          <w:szCs w:val="16"/>
          <w:lang w:val="es-ES_tradnl"/>
        </w:rPr>
        <w:t>.</w:t>
      </w:r>
    </w:p>
    <w:p w14:paraId="4F67A532" w14:textId="77777777" w:rsidR="00591D54" w:rsidRDefault="00591D54">
      <w:pPr>
        <w:shd w:val="clear" w:color="auto" w:fill="FFFFFF"/>
        <w:spacing w:before="202" w:line="216" w:lineRule="exact"/>
        <w:jc w:val="both"/>
      </w:pPr>
      <w:r>
        <w:rPr>
          <w:spacing w:val="-4"/>
          <w:sz w:val="18"/>
          <w:szCs w:val="18"/>
          <w:lang w:val="es-ES_tradnl"/>
        </w:rPr>
        <w:t>As</w:t>
      </w:r>
      <w:r>
        <w:rPr>
          <w:rFonts w:cs="Times New Roman"/>
          <w:spacing w:val="-4"/>
          <w:sz w:val="18"/>
          <w:szCs w:val="18"/>
          <w:lang w:val="es-ES_tradnl"/>
        </w:rPr>
        <w:t>í</w:t>
      </w:r>
      <w:r>
        <w:rPr>
          <w:spacing w:val="-4"/>
          <w:sz w:val="18"/>
          <w:szCs w:val="18"/>
          <w:lang w:val="es-ES_tradnl"/>
        </w:rPr>
        <w:t xml:space="preserve"> tambi</w:t>
      </w:r>
      <w:r>
        <w:rPr>
          <w:rFonts w:cs="Times New Roman"/>
          <w:spacing w:val="-4"/>
          <w:sz w:val="18"/>
          <w:szCs w:val="18"/>
          <w:lang w:val="es-ES_tradnl"/>
        </w:rPr>
        <w:t>é</w:t>
      </w:r>
      <w:r>
        <w:rPr>
          <w:spacing w:val="-4"/>
          <w:sz w:val="18"/>
          <w:szCs w:val="18"/>
          <w:lang w:val="es-ES_tradnl"/>
        </w:rPr>
        <w:t xml:space="preserve">n, la Corte Constitucional, para el periodo de </w:t>
      </w:r>
      <w:r>
        <w:rPr>
          <w:spacing w:val="-6"/>
          <w:sz w:val="18"/>
          <w:szCs w:val="18"/>
          <w:lang w:val="es-ES_tradnl"/>
        </w:rPr>
        <w:t>transici</w:t>
      </w:r>
      <w:r>
        <w:rPr>
          <w:rFonts w:cs="Times New Roman"/>
          <w:spacing w:val="-6"/>
          <w:sz w:val="18"/>
          <w:szCs w:val="18"/>
          <w:lang w:val="es-ES_tradnl"/>
        </w:rPr>
        <w:t>ó</w:t>
      </w:r>
      <w:r>
        <w:rPr>
          <w:spacing w:val="-6"/>
          <w:sz w:val="18"/>
          <w:szCs w:val="18"/>
          <w:lang w:val="es-ES_tradnl"/>
        </w:rPr>
        <w:t>n, en la misma sentencia, analiz</w:t>
      </w:r>
      <w:r>
        <w:rPr>
          <w:rFonts w:cs="Times New Roman"/>
          <w:spacing w:val="-6"/>
          <w:sz w:val="18"/>
          <w:szCs w:val="18"/>
          <w:lang w:val="es-ES_tradnl"/>
        </w:rPr>
        <w:t>ó</w:t>
      </w:r>
      <w:r>
        <w:rPr>
          <w:spacing w:val="-6"/>
          <w:sz w:val="18"/>
          <w:szCs w:val="18"/>
          <w:lang w:val="es-ES_tradnl"/>
        </w:rPr>
        <w:t xml:space="preserve"> una aparente </w:t>
      </w:r>
      <w:r>
        <w:rPr>
          <w:spacing w:val="-7"/>
          <w:sz w:val="18"/>
          <w:szCs w:val="18"/>
          <w:lang w:val="es-ES_tradnl"/>
        </w:rPr>
        <w:t xml:space="preserve">inconstitucionalidad de norma conexa, esta es, el segundo </w:t>
      </w:r>
      <w:r>
        <w:rPr>
          <w:spacing w:val="-5"/>
          <w:sz w:val="18"/>
          <w:szCs w:val="18"/>
          <w:lang w:val="es-ES_tradnl"/>
        </w:rPr>
        <w:t>inciso del art</w:t>
      </w:r>
      <w:r>
        <w:rPr>
          <w:rFonts w:cs="Times New Roman"/>
          <w:spacing w:val="-5"/>
          <w:sz w:val="18"/>
          <w:szCs w:val="18"/>
          <w:lang w:val="es-ES_tradnl"/>
        </w:rPr>
        <w:t>í</w:t>
      </w:r>
      <w:r>
        <w:rPr>
          <w:spacing w:val="-5"/>
          <w:sz w:val="18"/>
          <w:szCs w:val="18"/>
          <w:lang w:val="es-ES_tradnl"/>
        </w:rPr>
        <w:t>culo 167 de la Ley Org</w:t>
      </w:r>
      <w:r>
        <w:rPr>
          <w:rFonts w:cs="Times New Roman"/>
          <w:spacing w:val="-5"/>
          <w:sz w:val="18"/>
          <w:szCs w:val="18"/>
          <w:lang w:val="es-ES_tradnl"/>
        </w:rPr>
        <w:t>á</w:t>
      </w:r>
      <w:r>
        <w:rPr>
          <w:spacing w:val="-5"/>
          <w:sz w:val="18"/>
          <w:szCs w:val="18"/>
          <w:lang w:val="es-ES_tradnl"/>
        </w:rPr>
        <w:t>nica de Transporte Terrestre, Tr</w:t>
      </w:r>
      <w:r>
        <w:rPr>
          <w:rFonts w:cs="Times New Roman"/>
          <w:spacing w:val="-5"/>
          <w:sz w:val="18"/>
          <w:szCs w:val="18"/>
          <w:lang w:val="es-ES_tradnl"/>
        </w:rPr>
        <w:t>á</w:t>
      </w:r>
      <w:r>
        <w:rPr>
          <w:spacing w:val="-5"/>
          <w:sz w:val="18"/>
          <w:szCs w:val="18"/>
          <w:lang w:val="es-ES_tradnl"/>
        </w:rPr>
        <w:t>nsito y Seguridad Vial, que se</w:t>
      </w:r>
      <w:r>
        <w:rPr>
          <w:rFonts w:cs="Times New Roman"/>
          <w:spacing w:val="-5"/>
          <w:sz w:val="18"/>
          <w:szCs w:val="18"/>
          <w:lang w:val="es-ES_tradnl"/>
        </w:rPr>
        <w:t>ñ</w:t>
      </w:r>
      <w:r>
        <w:rPr>
          <w:spacing w:val="-5"/>
          <w:sz w:val="18"/>
          <w:szCs w:val="18"/>
          <w:lang w:val="es-ES_tradnl"/>
        </w:rPr>
        <w:t xml:space="preserve">ala </w:t>
      </w:r>
      <w:r>
        <w:rPr>
          <w:rFonts w:cs="Times New Roman"/>
          <w:spacing w:val="-5"/>
          <w:sz w:val="18"/>
          <w:szCs w:val="18"/>
          <w:lang w:val="es-ES_tradnl"/>
        </w:rPr>
        <w:t>“</w:t>
      </w:r>
      <w:r>
        <w:rPr>
          <w:spacing w:val="-5"/>
          <w:sz w:val="18"/>
          <w:szCs w:val="18"/>
          <w:lang w:val="es-ES_tradnl"/>
        </w:rPr>
        <w:t>En todo</w:t>
      </w:r>
    </w:p>
    <w:p w14:paraId="4F67A533" w14:textId="77777777" w:rsidR="00591D54" w:rsidRDefault="00591D54">
      <w:pPr>
        <w:shd w:val="clear" w:color="auto" w:fill="FFFFFF"/>
        <w:spacing w:before="523" w:line="178" w:lineRule="exact"/>
        <w:ind w:left="139" w:hanging="139"/>
      </w:pPr>
      <w:r>
        <w:rPr>
          <w:sz w:val="16"/>
          <w:szCs w:val="16"/>
          <w:vertAlign w:val="superscript"/>
          <w:lang w:val="es-ES_tradnl"/>
        </w:rPr>
        <w:t>2</w:t>
      </w:r>
      <w:r>
        <w:rPr>
          <w:sz w:val="16"/>
          <w:szCs w:val="16"/>
          <w:lang w:val="es-ES_tradnl"/>
        </w:rPr>
        <w:t xml:space="preserve">  </w:t>
      </w:r>
      <w:r>
        <w:rPr>
          <w:spacing w:val="-5"/>
          <w:sz w:val="16"/>
          <w:szCs w:val="16"/>
          <w:lang w:val="es-ES_tradnl"/>
        </w:rPr>
        <w:t>Corte Constitucional del Ecuador, para el periodo de transici</w:t>
      </w:r>
      <w:r>
        <w:rPr>
          <w:rFonts w:cs="Times New Roman"/>
          <w:spacing w:val="-5"/>
          <w:sz w:val="16"/>
          <w:szCs w:val="16"/>
          <w:lang w:val="es-ES_tradnl"/>
        </w:rPr>
        <w:t>ó</w:t>
      </w:r>
      <w:r>
        <w:rPr>
          <w:spacing w:val="-5"/>
          <w:sz w:val="16"/>
          <w:szCs w:val="16"/>
          <w:lang w:val="es-ES_tradnl"/>
        </w:rPr>
        <w:t xml:space="preserve">n, </w:t>
      </w:r>
      <w:r>
        <w:rPr>
          <w:spacing w:val="-11"/>
          <w:sz w:val="16"/>
          <w:szCs w:val="16"/>
          <w:lang w:val="es-ES_tradnl"/>
        </w:rPr>
        <w:t>sentencia N.</w:t>
      </w:r>
      <w:r>
        <w:rPr>
          <w:rFonts w:cs="Times New Roman"/>
          <w:spacing w:val="-11"/>
          <w:sz w:val="16"/>
          <w:szCs w:val="16"/>
          <w:lang w:val="es-ES_tradnl"/>
        </w:rPr>
        <w:t>°</w:t>
      </w:r>
      <w:r>
        <w:rPr>
          <w:spacing w:val="-11"/>
          <w:sz w:val="16"/>
          <w:szCs w:val="16"/>
          <w:lang w:val="es-ES_tradnl"/>
        </w:rPr>
        <w:t xml:space="preserve"> 024-10-SCN-CC, caso N.</w:t>
      </w:r>
      <w:r>
        <w:rPr>
          <w:rFonts w:cs="Times New Roman"/>
          <w:spacing w:val="-11"/>
          <w:sz w:val="16"/>
          <w:szCs w:val="16"/>
          <w:lang w:val="es-ES_tradnl"/>
        </w:rPr>
        <w:t>°</w:t>
      </w:r>
      <w:r>
        <w:rPr>
          <w:spacing w:val="-11"/>
          <w:sz w:val="16"/>
          <w:szCs w:val="16"/>
          <w:lang w:val="es-ES_tradnl"/>
        </w:rPr>
        <w:t xml:space="preserve"> 0022-09-CN.</w:t>
      </w:r>
    </w:p>
    <w:p w14:paraId="4F67A534" w14:textId="77777777" w:rsidR="00591D54" w:rsidRDefault="00591D54">
      <w:pPr>
        <w:shd w:val="clear" w:color="auto" w:fill="FFFFFF"/>
        <w:spacing w:before="5" w:line="216" w:lineRule="exact"/>
        <w:jc w:val="both"/>
      </w:pPr>
      <w:r>
        <w:br w:type="column"/>
      </w:r>
      <w:r>
        <w:rPr>
          <w:spacing w:val="-8"/>
          <w:sz w:val="18"/>
          <w:szCs w:val="18"/>
          <w:lang w:val="es-ES_tradnl"/>
        </w:rPr>
        <w:t xml:space="preserve">tipo de audiencias es derecho del acusado y del afectado </w:t>
      </w:r>
      <w:r>
        <w:rPr>
          <w:spacing w:val="-9"/>
          <w:sz w:val="18"/>
          <w:szCs w:val="18"/>
          <w:lang w:val="es-ES_tradnl"/>
        </w:rPr>
        <w:t>estar presentes, pero salvo la audiencia donde se efect</w:t>
      </w:r>
      <w:r>
        <w:rPr>
          <w:rFonts w:cs="Times New Roman"/>
          <w:spacing w:val="-9"/>
          <w:sz w:val="18"/>
          <w:szCs w:val="18"/>
          <w:lang w:val="es-ES_tradnl"/>
        </w:rPr>
        <w:t>ú</w:t>
      </w:r>
      <w:r>
        <w:rPr>
          <w:spacing w:val="-9"/>
          <w:sz w:val="18"/>
          <w:szCs w:val="18"/>
          <w:lang w:val="es-ES_tradnl"/>
        </w:rPr>
        <w:t xml:space="preserve">e la </w:t>
      </w:r>
      <w:r>
        <w:rPr>
          <w:spacing w:val="-7"/>
          <w:sz w:val="18"/>
          <w:szCs w:val="18"/>
          <w:lang w:val="es-ES_tradnl"/>
        </w:rPr>
        <w:t>instrucci</w:t>
      </w:r>
      <w:r>
        <w:rPr>
          <w:rFonts w:cs="Times New Roman"/>
          <w:spacing w:val="-7"/>
          <w:sz w:val="18"/>
          <w:szCs w:val="18"/>
          <w:lang w:val="es-ES_tradnl"/>
        </w:rPr>
        <w:t>ó</w:t>
      </w:r>
      <w:r>
        <w:rPr>
          <w:spacing w:val="-7"/>
          <w:sz w:val="18"/>
          <w:szCs w:val="18"/>
          <w:lang w:val="es-ES_tradnl"/>
        </w:rPr>
        <w:t>n fiscal y la del juicio, bastar</w:t>
      </w:r>
      <w:r>
        <w:rPr>
          <w:rFonts w:cs="Times New Roman"/>
          <w:spacing w:val="-7"/>
          <w:sz w:val="18"/>
          <w:szCs w:val="18"/>
          <w:lang w:val="es-ES_tradnl"/>
        </w:rPr>
        <w:t>á</w:t>
      </w:r>
      <w:r>
        <w:rPr>
          <w:spacing w:val="-7"/>
          <w:sz w:val="18"/>
          <w:szCs w:val="18"/>
          <w:lang w:val="es-ES_tradnl"/>
        </w:rPr>
        <w:t xml:space="preserve"> la presencia de los </w:t>
      </w:r>
      <w:r>
        <w:rPr>
          <w:spacing w:val="-8"/>
          <w:sz w:val="18"/>
          <w:szCs w:val="18"/>
          <w:lang w:val="es-ES_tradnl"/>
        </w:rPr>
        <w:t>abogados y del juzgador para que se pueda llevar a cabo</w:t>
      </w:r>
      <w:r>
        <w:rPr>
          <w:rFonts w:cs="Times New Roman"/>
          <w:spacing w:val="-8"/>
          <w:sz w:val="18"/>
          <w:szCs w:val="18"/>
          <w:lang w:val="es-ES_tradnl"/>
        </w:rPr>
        <w:t>”</w:t>
      </w:r>
      <w:r>
        <w:rPr>
          <w:spacing w:val="-8"/>
          <w:sz w:val="18"/>
          <w:szCs w:val="18"/>
          <w:lang w:val="es-ES_tradnl"/>
        </w:rPr>
        <w:t xml:space="preserve">, </w:t>
      </w:r>
      <w:r>
        <w:rPr>
          <w:sz w:val="18"/>
          <w:szCs w:val="18"/>
          <w:lang w:val="es-ES_tradnl"/>
        </w:rPr>
        <w:t>sobre la cual manifest</w:t>
      </w:r>
      <w:r>
        <w:rPr>
          <w:rFonts w:cs="Times New Roman"/>
          <w:sz w:val="18"/>
          <w:szCs w:val="18"/>
          <w:lang w:val="es-ES_tradnl"/>
        </w:rPr>
        <w:t>ó</w:t>
      </w:r>
      <w:r>
        <w:rPr>
          <w:sz w:val="18"/>
          <w:szCs w:val="18"/>
          <w:lang w:val="es-ES_tradnl"/>
        </w:rPr>
        <w:t>:</w:t>
      </w:r>
    </w:p>
    <w:p w14:paraId="4F67A535" w14:textId="77777777" w:rsidR="00591D54" w:rsidRDefault="00591D54">
      <w:pPr>
        <w:shd w:val="clear" w:color="auto" w:fill="FFFFFF"/>
        <w:spacing w:before="202" w:line="216" w:lineRule="exact"/>
        <w:ind w:left="283"/>
        <w:jc w:val="both"/>
      </w:pPr>
      <w:r>
        <w:rPr>
          <w:spacing w:val="-1"/>
          <w:sz w:val="16"/>
          <w:szCs w:val="16"/>
          <w:lang w:val="es-ES_tradnl"/>
        </w:rPr>
        <w:t>(</w:t>
      </w:r>
      <w:r>
        <w:rPr>
          <w:rFonts w:cs="Times New Roman"/>
          <w:spacing w:val="-1"/>
          <w:sz w:val="16"/>
          <w:szCs w:val="16"/>
          <w:lang w:val="es-ES_tradnl"/>
        </w:rPr>
        <w:t>…</w:t>
      </w:r>
      <w:r>
        <w:rPr>
          <w:spacing w:val="-1"/>
          <w:sz w:val="16"/>
          <w:szCs w:val="16"/>
          <w:lang w:val="es-ES_tradnl"/>
        </w:rPr>
        <w:t xml:space="preserve">) En esta norma, la frase: </w:t>
      </w:r>
      <w:r>
        <w:rPr>
          <w:rFonts w:cs="Times New Roman"/>
          <w:spacing w:val="-1"/>
          <w:sz w:val="16"/>
          <w:szCs w:val="16"/>
          <w:lang w:val="es-ES_tradnl"/>
        </w:rPr>
        <w:t>“</w:t>
      </w:r>
      <w:r>
        <w:rPr>
          <w:b/>
          <w:bCs/>
          <w:spacing w:val="-1"/>
          <w:sz w:val="16"/>
          <w:szCs w:val="16"/>
          <w:lang w:val="es-ES_tradnl"/>
        </w:rPr>
        <w:t>y la del juicio</w:t>
      </w:r>
      <w:r>
        <w:rPr>
          <w:rFonts w:cs="Times New Roman"/>
          <w:spacing w:val="-1"/>
          <w:sz w:val="16"/>
          <w:szCs w:val="16"/>
          <w:lang w:val="es-ES_tradnl"/>
        </w:rPr>
        <w:t>”</w:t>
      </w:r>
      <w:r>
        <w:rPr>
          <w:spacing w:val="-1"/>
          <w:sz w:val="16"/>
          <w:szCs w:val="16"/>
          <w:lang w:val="es-ES_tradnl"/>
        </w:rPr>
        <w:t xml:space="preserve">, a igual que </w:t>
      </w:r>
      <w:r>
        <w:rPr>
          <w:spacing w:val="-7"/>
          <w:sz w:val="16"/>
          <w:szCs w:val="16"/>
          <w:lang w:val="es-ES_tradnl"/>
        </w:rPr>
        <w:t>la antes examinada norma de la Ley Org</w:t>
      </w:r>
      <w:r>
        <w:rPr>
          <w:rFonts w:cs="Times New Roman"/>
          <w:spacing w:val="-7"/>
          <w:sz w:val="16"/>
          <w:szCs w:val="16"/>
          <w:lang w:val="es-ES_tradnl"/>
        </w:rPr>
        <w:t>á</w:t>
      </w:r>
      <w:r>
        <w:rPr>
          <w:spacing w:val="-7"/>
          <w:sz w:val="16"/>
          <w:szCs w:val="16"/>
          <w:lang w:val="es-ES_tradnl"/>
        </w:rPr>
        <w:t xml:space="preserve">nica de Transporte </w:t>
      </w:r>
      <w:r>
        <w:rPr>
          <w:spacing w:val="-2"/>
          <w:sz w:val="16"/>
          <w:szCs w:val="16"/>
          <w:lang w:val="es-ES_tradnl"/>
        </w:rPr>
        <w:t>Terrestre, Tr</w:t>
      </w:r>
      <w:r>
        <w:rPr>
          <w:rFonts w:cs="Times New Roman"/>
          <w:spacing w:val="-2"/>
          <w:sz w:val="16"/>
          <w:szCs w:val="16"/>
          <w:lang w:val="es-ES_tradnl"/>
        </w:rPr>
        <w:t>á</w:t>
      </w:r>
      <w:r>
        <w:rPr>
          <w:spacing w:val="-2"/>
          <w:sz w:val="16"/>
          <w:szCs w:val="16"/>
          <w:lang w:val="es-ES_tradnl"/>
        </w:rPr>
        <w:t xml:space="preserve">nsito y Seguridad Vial, dentro del mismo </w:t>
      </w:r>
      <w:r>
        <w:rPr>
          <w:spacing w:val="-7"/>
          <w:sz w:val="16"/>
          <w:szCs w:val="16"/>
          <w:lang w:val="es-ES_tradnl"/>
        </w:rPr>
        <w:t xml:space="preserve">contexto, justifica, de forma general, la ausencia del acusado </w:t>
      </w:r>
      <w:r>
        <w:rPr>
          <w:spacing w:val="-5"/>
          <w:sz w:val="16"/>
          <w:szCs w:val="16"/>
          <w:lang w:val="es-ES_tradnl"/>
        </w:rPr>
        <w:t xml:space="preserve">en la etapa del juicio, vulnerando el derecho a la defensa </w:t>
      </w:r>
      <w:r>
        <w:rPr>
          <w:spacing w:val="-4"/>
          <w:sz w:val="16"/>
          <w:szCs w:val="16"/>
          <w:lang w:val="es-ES_tradnl"/>
        </w:rPr>
        <w:t>material y priorizando la defensa t</w:t>
      </w:r>
      <w:r>
        <w:rPr>
          <w:rFonts w:cs="Times New Roman"/>
          <w:spacing w:val="-4"/>
          <w:sz w:val="16"/>
          <w:szCs w:val="16"/>
          <w:lang w:val="es-ES_tradnl"/>
        </w:rPr>
        <w:t>é</w:t>
      </w:r>
      <w:r>
        <w:rPr>
          <w:spacing w:val="-4"/>
          <w:sz w:val="16"/>
          <w:szCs w:val="16"/>
          <w:lang w:val="es-ES_tradnl"/>
        </w:rPr>
        <w:t xml:space="preserve">cnica, lo cual exterioriza </w:t>
      </w:r>
      <w:r>
        <w:rPr>
          <w:spacing w:val="-6"/>
          <w:sz w:val="16"/>
          <w:szCs w:val="16"/>
          <w:lang w:val="es-ES_tradnl"/>
        </w:rPr>
        <w:t xml:space="preserve">el hecho de juzgar en ausencia en materia de Transporte </w:t>
      </w:r>
      <w:r>
        <w:rPr>
          <w:spacing w:val="-2"/>
          <w:sz w:val="16"/>
          <w:szCs w:val="16"/>
          <w:lang w:val="es-ES_tradnl"/>
        </w:rPr>
        <w:t>Terrestre, Tr</w:t>
      </w:r>
      <w:r>
        <w:rPr>
          <w:rFonts w:cs="Times New Roman"/>
          <w:spacing w:val="-2"/>
          <w:sz w:val="16"/>
          <w:szCs w:val="16"/>
          <w:lang w:val="es-ES_tradnl"/>
        </w:rPr>
        <w:t>á</w:t>
      </w:r>
      <w:r>
        <w:rPr>
          <w:spacing w:val="-2"/>
          <w:sz w:val="16"/>
          <w:szCs w:val="16"/>
          <w:lang w:val="es-ES_tradnl"/>
        </w:rPr>
        <w:t xml:space="preserve">nsito y Seguridad Vial. En definitiva, esta </w:t>
      </w:r>
      <w:r>
        <w:rPr>
          <w:spacing w:val="-8"/>
          <w:sz w:val="16"/>
          <w:szCs w:val="16"/>
          <w:lang w:val="es-ES_tradnl"/>
        </w:rPr>
        <w:t xml:space="preserve">norma se encuentra naturalmente conectada a aquella que es </w:t>
      </w:r>
      <w:r>
        <w:rPr>
          <w:sz w:val="16"/>
          <w:szCs w:val="16"/>
          <w:lang w:val="es-ES_tradnl"/>
        </w:rPr>
        <w:t>considerada inconstitucional supra.</w:t>
      </w:r>
    </w:p>
    <w:p w14:paraId="4F67A536" w14:textId="77777777" w:rsidR="00591D54" w:rsidRDefault="00591D54">
      <w:pPr>
        <w:shd w:val="clear" w:color="auto" w:fill="FFFFFF"/>
        <w:spacing w:before="206" w:line="216" w:lineRule="exact"/>
        <w:ind w:left="283"/>
        <w:jc w:val="both"/>
      </w:pPr>
      <w:r>
        <w:rPr>
          <w:spacing w:val="-5"/>
          <w:sz w:val="16"/>
          <w:szCs w:val="16"/>
          <w:lang w:val="es-ES_tradnl"/>
        </w:rPr>
        <w:t xml:space="preserve">La Corte Constitucional, luego de un extenso examen de </w:t>
      </w:r>
      <w:r>
        <w:rPr>
          <w:spacing w:val="-3"/>
          <w:sz w:val="16"/>
          <w:szCs w:val="16"/>
          <w:lang w:val="es-ES_tradnl"/>
        </w:rPr>
        <w:t xml:space="preserve">constitucionalidad dentro del contexto de las normas del </w:t>
      </w:r>
      <w:r>
        <w:rPr>
          <w:spacing w:val="-4"/>
          <w:sz w:val="16"/>
          <w:szCs w:val="16"/>
          <w:lang w:val="es-ES_tradnl"/>
        </w:rPr>
        <w:t xml:space="preserve">debido proceso constitucional, que incluye el desarrollo de </w:t>
      </w:r>
      <w:r>
        <w:rPr>
          <w:spacing w:val="-7"/>
          <w:sz w:val="16"/>
          <w:szCs w:val="16"/>
          <w:lang w:val="es-ES_tradnl"/>
        </w:rPr>
        <w:t>los derechos fundamentales: 1) a la defensa personal, t</w:t>
      </w:r>
      <w:r>
        <w:rPr>
          <w:rFonts w:cs="Times New Roman"/>
          <w:spacing w:val="-7"/>
          <w:sz w:val="16"/>
          <w:szCs w:val="16"/>
          <w:lang w:val="es-ES_tradnl"/>
        </w:rPr>
        <w:t>é</w:t>
      </w:r>
      <w:r>
        <w:rPr>
          <w:spacing w:val="-7"/>
          <w:sz w:val="16"/>
          <w:szCs w:val="16"/>
          <w:lang w:val="es-ES_tradnl"/>
        </w:rPr>
        <w:t xml:space="preserve">cnica </w:t>
      </w:r>
      <w:r>
        <w:rPr>
          <w:spacing w:val="-2"/>
          <w:sz w:val="16"/>
          <w:szCs w:val="16"/>
          <w:lang w:val="es-ES_tradnl"/>
        </w:rPr>
        <w:t xml:space="preserve">y material </w:t>
      </w:r>
      <w:r>
        <w:rPr>
          <w:rFonts w:cs="Times New Roman"/>
          <w:spacing w:val="-2"/>
          <w:sz w:val="16"/>
          <w:szCs w:val="16"/>
          <w:lang w:val="es-ES_tradnl"/>
        </w:rPr>
        <w:t>–</w:t>
      </w:r>
      <w:r>
        <w:rPr>
          <w:spacing w:val="-2"/>
          <w:sz w:val="16"/>
          <w:szCs w:val="16"/>
          <w:lang w:val="es-ES_tradnl"/>
        </w:rPr>
        <w:t>art</w:t>
      </w:r>
      <w:r>
        <w:rPr>
          <w:rFonts w:cs="Times New Roman"/>
          <w:spacing w:val="-2"/>
          <w:sz w:val="16"/>
          <w:szCs w:val="16"/>
          <w:lang w:val="es-ES_tradnl"/>
        </w:rPr>
        <w:t>í</w:t>
      </w:r>
      <w:r>
        <w:rPr>
          <w:spacing w:val="-2"/>
          <w:sz w:val="16"/>
          <w:szCs w:val="16"/>
          <w:lang w:val="es-ES_tradnl"/>
        </w:rPr>
        <w:t xml:space="preserve">culo 76, numeral 7, literales </w:t>
      </w:r>
      <w:r>
        <w:rPr>
          <w:b/>
          <w:bCs/>
          <w:spacing w:val="-2"/>
          <w:sz w:val="16"/>
          <w:szCs w:val="16"/>
          <w:lang w:val="es-ES_tradnl"/>
        </w:rPr>
        <w:t xml:space="preserve">a </w:t>
      </w:r>
      <w:r>
        <w:rPr>
          <w:spacing w:val="-2"/>
          <w:sz w:val="16"/>
          <w:szCs w:val="16"/>
          <w:lang w:val="es-ES_tradnl"/>
        </w:rPr>
        <w:t xml:space="preserve">y </w:t>
      </w:r>
      <w:r>
        <w:rPr>
          <w:b/>
          <w:bCs/>
          <w:spacing w:val="-2"/>
          <w:sz w:val="16"/>
          <w:szCs w:val="16"/>
          <w:lang w:val="es-ES_tradnl"/>
        </w:rPr>
        <w:t xml:space="preserve">c </w:t>
      </w:r>
      <w:r>
        <w:rPr>
          <w:spacing w:val="-2"/>
          <w:sz w:val="16"/>
          <w:szCs w:val="16"/>
          <w:lang w:val="es-ES_tradnl"/>
        </w:rPr>
        <w:t>CRE</w:t>
      </w:r>
      <w:r>
        <w:rPr>
          <w:rFonts w:cs="Times New Roman"/>
          <w:spacing w:val="-2"/>
          <w:sz w:val="16"/>
          <w:szCs w:val="16"/>
          <w:lang w:val="es-ES_tradnl"/>
        </w:rPr>
        <w:t>–</w:t>
      </w:r>
      <w:r>
        <w:rPr>
          <w:spacing w:val="-2"/>
          <w:sz w:val="16"/>
          <w:szCs w:val="16"/>
          <w:lang w:val="es-ES_tradnl"/>
        </w:rPr>
        <w:t xml:space="preserve">; 2) </w:t>
      </w:r>
      <w:r>
        <w:rPr>
          <w:spacing w:val="-3"/>
          <w:sz w:val="16"/>
          <w:szCs w:val="16"/>
          <w:lang w:val="es-ES_tradnl"/>
        </w:rPr>
        <w:t xml:space="preserve">a la tutela judicial efectiva </w:t>
      </w:r>
      <w:r>
        <w:rPr>
          <w:rFonts w:cs="Times New Roman"/>
          <w:spacing w:val="-3"/>
          <w:sz w:val="16"/>
          <w:szCs w:val="16"/>
          <w:lang w:val="es-ES_tradnl"/>
        </w:rPr>
        <w:t>–</w:t>
      </w:r>
      <w:r>
        <w:rPr>
          <w:spacing w:val="-3"/>
          <w:sz w:val="16"/>
          <w:szCs w:val="16"/>
          <w:lang w:val="es-ES_tradnl"/>
        </w:rPr>
        <w:t>art</w:t>
      </w:r>
      <w:r>
        <w:rPr>
          <w:rFonts w:cs="Times New Roman"/>
          <w:spacing w:val="-3"/>
          <w:sz w:val="16"/>
          <w:szCs w:val="16"/>
          <w:lang w:val="es-ES_tradnl"/>
        </w:rPr>
        <w:t>í</w:t>
      </w:r>
      <w:r>
        <w:rPr>
          <w:spacing w:val="-3"/>
          <w:sz w:val="16"/>
          <w:szCs w:val="16"/>
          <w:lang w:val="es-ES_tradnl"/>
        </w:rPr>
        <w:t>culo 75 CRE</w:t>
      </w:r>
      <w:r>
        <w:rPr>
          <w:rFonts w:cs="Times New Roman"/>
          <w:spacing w:val="-3"/>
          <w:sz w:val="16"/>
          <w:szCs w:val="16"/>
          <w:lang w:val="es-ES_tradnl"/>
        </w:rPr>
        <w:t>–</w:t>
      </w:r>
      <w:r>
        <w:rPr>
          <w:spacing w:val="-3"/>
          <w:sz w:val="16"/>
          <w:szCs w:val="16"/>
          <w:lang w:val="es-ES_tradnl"/>
        </w:rPr>
        <w:t xml:space="preserve">; 3) derecho a </w:t>
      </w:r>
      <w:r>
        <w:rPr>
          <w:spacing w:val="-4"/>
          <w:sz w:val="16"/>
          <w:szCs w:val="16"/>
          <w:lang w:val="es-ES_tradnl"/>
        </w:rPr>
        <w:t xml:space="preserve">la igualdad en el proceso </w:t>
      </w:r>
      <w:r>
        <w:rPr>
          <w:rFonts w:cs="Times New Roman"/>
          <w:spacing w:val="-4"/>
          <w:sz w:val="16"/>
          <w:szCs w:val="16"/>
          <w:lang w:val="es-ES_tradnl"/>
        </w:rPr>
        <w:t>–</w:t>
      </w:r>
      <w:r>
        <w:rPr>
          <w:spacing w:val="-4"/>
          <w:sz w:val="16"/>
          <w:szCs w:val="16"/>
          <w:lang w:val="es-ES_tradnl"/>
        </w:rPr>
        <w:t>art</w:t>
      </w:r>
      <w:r>
        <w:rPr>
          <w:rFonts w:cs="Times New Roman"/>
          <w:spacing w:val="-4"/>
          <w:sz w:val="16"/>
          <w:szCs w:val="16"/>
          <w:lang w:val="es-ES_tradnl"/>
        </w:rPr>
        <w:t>í</w:t>
      </w:r>
      <w:r>
        <w:rPr>
          <w:spacing w:val="-4"/>
          <w:sz w:val="16"/>
          <w:szCs w:val="16"/>
          <w:lang w:val="es-ES_tradnl"/>
        </w:rPr>
        <w:t>culo 11, numeral 2 y art</w:t>
      </w:r>
      <w:r>
        <w:rPr>
          <w:rFonts w:cs="Times New Roman"/>
          <w:spacing w:val="-4"/>
          <w:sz w:val="16"/>
          <w:szCs w:val="16"/>
          <w:lang w:val="es-ES_tradnl"/>
        </w:rPr>
        <w:t>í</w:t>
      </w:r>
      <w:r>
        <w:rPr>
          <w:spacing w:val="-4"/>
          <w:sz w:val="16"/>
          <w:szCs w:val="16"/>
          <w:lang w:val="es-ES_tradnl"/>
        </w:rPr>
        <w:t xml:space="preserve">culo </w:t>
      </w:r>
      <w:r>
        <w:rPr>
          <w:spacing w:val="-5"/>
          <w:sz w:val="16"/>
          <w:szCs w:val="16"/>
          <w:lang w:val="es-ES_tradnl"/>
        </w:rPr>
        <w:t xml:space="preserve">76, numeral 7, literal </w:t>
      </w:r>
      <w:r>
        <w:rPr>
          <w:b/>
          <w:bCs/>
          <w:spacing w:val="-5"/>
          <w:sz w:val="16"/>
          <w:szCs w:val="16"/>
          <w:lang w:val="es-ES_tradnl"/>
        </w:rPr>
        <w:t>c</w:t>
      </w:r>
      <w:r>
        <w:rPr>
          <w:spacing w:val="-5"/>
          <w:sz w:val="16"/>
          <w:szCs w:val="16"/>
          <w:lang w:val="es-ES_tradnl"/>
        </w:rPr>
        <w:t xml:space="preserve">; el principio de oralidad </w:t>
      </w:r>
      <w:r>
        <w:rPr>
          <w:rFonts w:cs="Times New Roman"/>
          <w:spacing w:val="-5"/>
          <w:sz w:val="16"/>
          <w:szCs w:val="16"/>
          <w:lang w:val="es-ES_tradnl"/>
        </w:rPr>
        <w:t>–</w:t>
      </w:r>
      <w:r>
        <w:rPr>
          <w:spacing w:val="-5"/>
          <w:sz w:val="16"/>
          <w:szCs w:val="16"/>
          <w:lang w:val="es-ES_tradnl"/>
        </w:rPr>
        <w:t>art</w:t>
      </w:r>
      <w:r>
        <w:rPr>
          <w:rFonts w:cs="Times New Roman"/>
          <w:spacing w:val="-5"/>
          <w:sz w:val="16"/>
          <w:szCs w:val="16"/>
          <w:lang w:val="es-ES_tradnl"/>
        </w:rPr>
        <w:t>í</w:t>
      </w:r>
      <w:r>
        <w:rPr>
          <w:spacing w:val="-5"/>
          <w:sz w:val="16"/>
          <w:szCs w:val="16"/>
          <w:lang w:val="es-ES_tradnl"/>
        </w:rPr>
        <w:t xml:space="preserve">culo 168, </w:t>
      </w:r>
      <w:r>
        <w:rPr>
          <w:spacing w:val="-4"/>
          <w:sz w:val="16"/>
          <w:szCs w:val="16"/>
          <w:lang w:val="es-ES_tradnl"/>
        </w:rPr>
        <w:t>numeral 6 CRE</w:t>
      </w:r>
      <w:r>
        <w:rPr>
          <w:rFonts w:cs="Times New Roman"/>
          <w:spacing w:val="-4"/>
          <w:sz w:val="16"/>
          <w:szCs w:val="16"/>
          <w:lang w:val="es-ES_tradnl"/>
        </w:rPr>
        <w:t>–</w:t>
      </w:r>
      <w:r>
        <w:rPr>
          <w:spacing w:val="-4"/>
          <w:sz w:val="16"/>
          <w:szCs w:val="16"/>
          <w:lang w:val="es-ES_tradnl"/>
        </w:rPr>
        <w:t>; el principio de inmediaci</w:t>
      </w:r>
      <w:r>
        <w:rPr>
          <w:rFonts w:cs="Times New Roman"/>
          <w:spacing w:val="-4"/>
          <w:sz w:val="16"/>
          <w:szCs w:val="16"/>
          <w:lang w:val="es-ES_tradnl"/>
        </w:rPr>
        <w:t>ó</w:t>
      </w:r>
      <w:r>
        <w:rPr>
          <w:spacing w:val="-4"/>
          <w:sz w:val="16"/>
          <w:szCs w:val="16"/>
          <w:lang w:val="es-ES_tradnl"/>
        </w:rPr>
        <w:t xml:space="preserve">n </w:t>
      </w:r>
      <w:r>
        <w:rPr>
          <w:rFonts w:cs="Times New Roman"/>
          <w:spacing w:val="-4"/>
          <w:sz w:val="16"/>
          <w:szCs w:val="16"/>
          <w:lang w:val="es-ES_tradnl"/>
        </w:rPr>
        <w:t>–</w:t>
      </w:r>
      <w:r>
        <w:rPr>
          <w:spacing w:val="-4"/>
          <w:sz w:val="16"/>
          <w:szCs w:val="16"/>
          <w:lang w:val="es-ES_tradnl"/>
        </w:rPr>
        <w:t>art</w:t>
      </w:r>
      <w:r>
        <w:rPr>
          <w:rFonts w:cs="Times New Roman"/>
          <w:spacing w:val="-4"/>
          <w:sz w:val="16"/>
          <w:szCs w:val="16"/>
          <w:lang w:val="es-ES_tradnl"/>
        </w:rPr>
        <w:t>í</w:t>
      </w:r>
      <w:r>
        <w:rPr>
          <w:spacing w:val="-4"/>
          <w:sz w:val="16"/>
          <w:szCs w:val="16"/>
          <w:lang w:val="es-ES_tradnl"/>
        </w:rPr>
        <w:t xml:space="preserve">culo 169 </w:t>
      </w:r>
      <w:r>
        <w:rPr>
          <w:spacing w:val="-5"/>
          <w:sz w:val="16"/>
          <w:szCs w:val="16"/>
          <w:lang w:val="es-ES_tradnl"/>
        </w:rPr>
        <w:t>CRE</w:t>
      </w:r>
      <w:r>
        <w:rPr>
          <w:rFonts w:cs="Times New Roman"/>
          <w:spacing w:val="-5"/>
          <w:sz w:val="16"/>
          <w:szCs w:val="16"/>
          <w:lang w:val="es-ES_tradnl"/>
        </w:rPr>
        <w:t>–</w:t>
      </w:r>
      <w:r>
        <w:rPr>
          <w:spacing w:val="-5"/>
          <w:sz w:val="16"/>
          <w:szCs w:val="16"/>
          <w:lang w:val="es-ES_tradnl"/>
        </w:rPr>
        <w:t>; y la supremac</w:t>
      </w:r>
      <w:r>
        <w:rPr>
          <w:rFonts w:cs="Times New Roman"/>
          <w:spacing w:val="-5"/>
          <w:sz w:val="16"/>
          <w:szCs w:val="16"/>
          <w:lang w:val="es-ES_tradnl"/>
        </w:rPr>
        <w:t>í</w:t>
      </w:r>
      <w:r>
        <w:rPr>
          <w:spacing w:val="-5"/>
          <w:sz w:val="16"/>
          <w:szCs w:val="16"/>
          <w:lang w:val="es-ES_tradnl"/>
        </w:rPr>
        <w:t xml:space="preserve">a constitucional </w:t>
      </w:r>
      <w:r>
        <w:rPr>
          <w:rFonts w:cs="Times New Roman"/>
          <w:spacing w:val="-5"/>
          <w:sz w:val="16"/>
          <w:szCs w:val="16"/>
          <w:lang w:val="es-ES_tradnl"/>
        </w:rPr>
        <w:t>–</w:t>
      </w:r>
      <w:r>
        <w:rPr>
          <w:spacing w:val="-5"/>
          <w:sz w:val="16"/>
          <w:szCs w:val="16"/>
          <w:lang w:val="es-ES_tradnl"/>
        </w:rPr>
        <w:t>art</w:t>
      </w:r>
      <w:r>
        <w:rPr>
          <w:rFonts w:cs="Times New Roman"/>
          <w:spacing w:val="-5"/>
          <w:sz w:val="16"/>
          <w:szCs w:val="16"/>
          <w:lang w:val="es-ES_tradnl"/>
        </w:rPr>
        <w:t>í</w:t>
      </w:r>
      <w:r>
        <w:rPr>
          <w:spacing w:val="-5"/>
          <w:sz w:val="16"/>
          <w:szCs w:val="16"/>
          <w:lang w:val="es-ES_tradnl"/>
        </w:rPr>
        <w:t>culo 424 CRE</w:t>
      </w:r>
      <w:r>
        <w:rPr>
          <w:rFonts w:cs="Times New Roman"/>
          <w:spacing w:val="-5"/>
          <w:sz w:val="16"/>
          <w:szCs w:val="16"/>
          <w:lang w:val="es-ES_tradnl"/>
        </w:rPr>
        <w:t>–</w:t>
      </w:r>
      <w:r>
        <w:rPr>
          <w:spacing w:val="-5"/>
          <w:sz w:val="16"/>
          <w:szCs w:val="16"/>
          <w:lang w:val="es-ES_tradnl"/>
        </w:rPr>
        <w:t xml:space="preserve">. </w:t>
      </w:r>
      <w:r>
        <w:rPr>
          <w:spacing w:val="-6"/>
          <w:sz w:val="16"/>
          <w:szCs w:val="16"/>
          <w:lang w:val="es-ES_tradnl"/>
        </w:rPr>
        <w:t xml:space="preserve">Igualmente, se evidencia que en los test de razonabilidad y </w:t>
      </w:r>
      <w:r>
        <w:rPr>
          <w:sz w:val="16"/>
          <w:szCs w:val="16"/>
          <w:lang w:val="es-ES_tradnl"/>
        </w:rPr>
        <w:t>proporcionalidad, el inciso tercero del art</w:t>
      </w:r>
      <w:r>
        <w:rPr>
          <w:rFonts w:cs="Times New Roman"/>
          <w:sz w:val="16"/>
          <w:szCs w:val="16"/>
          <w:lang w:val="es-ES_tradnl"/>
        </w:rPr>
        <w:t>í</w:t>
      </w:r>
      <w:r>
        <w:rPr>
          <w:sz w:val="16"/>
          <w:szCs w:val="16"/>
          <w:lang w:val="es-ES_tradnl"/>
        </w:rPr>
        <w:t xml:space="preserve">culo 168 de la </w:t>
      </w:r>
      <w:r>
        <w:rPr>
          <w:spacing w:val="-6"/>
          <w:sz w:val="16"/>
          <w:szCs w:val="16"/>
          <w:lang w:val="es-ES_tradnl"/>
        </w:rPr>
        <w:t>Ley Org</w:t>
      </w:r>
      <w:r>
        <w:rPr>
          <w:rFonts w:cs="Times New Roman"/>
          <w:spacing w:val="-6"/>
          <w:sz w:val="16"/>
          <w:szCs w:val="16"/>
          <w:lang w:val="es-ES_tradnl"/>
        </w:rPr>
        <w:t>á</w:t>
      </w:r>
      <w:r>
        <w:rPr>
          <w:spacing w:val="-6"/>
          <w:sz w:val="16"/>
          <w:szCs w:val="16"/>
          <w:lang w:val="es-ES_tradnl"/>
        </w:rPr>
        <w:t>nica de Transporte Terrestre, Tr</w:t>
      </w:r>
      <w:r>
        <w:rPr>
          <w:rFonts w:cs="Times New Roman"/>
          <w:spacing w:val="-6"/>
          <w:sz w:val="16"/>
          <w:szCs w:val="16"/>
          <w:lang w:val="es-ES_tradnl"/>
        </w:rPr>
        <w:t>á</w:t>
      </w:r>
      <w:r>
        <w:rPr>
          <w:spacing w:val="-6"/>
          <w:sz w:val="16"/>
          <w:szCs w:val="16"/>
          <w:lang w:val="es-ES_tradnl"/>
        </w:rPr>
        <w:t xml:space="preserve">nsito y Seguridad </w:t>
      </w:r>
      <w:r>
        <w:rPr>
          <w:spacing w:val="-5"/>
          <w:sz w:val="16"/>
          <w:szCs w:val="16"/>
          <w:lang w:val="es-ES_tradnl"/>
        </w:rPr>
        <w:t xml:space="preserve">Vial, no justifica el hecho de juzgar en ausencia y limitar el </w:t>
      </w:r>
      <w:r>
        <w:rPr>
          <w:spacing w:val="-8"/>
          <w:sz w:val="16"/>
          <w:szCs w:val="16"/>
          <w:lang w:val="es-ES_tradnl"/>
        </w:rPr>
        <w:t xml:space="preserve">derecho de recurrir en el fallo, por ese motivo se debe declarar </w:t>
      </w:r>
      <w:r>
        <w:rPr>
          <w:spacing w:val="-6"/>
          <w:sz w:val="16"/>
          <w:szCs w:val="16"/>
          <w:lang w:val="es-ES_tradnl"/>
        </w:rPr>
        <w:t xml:space="preserve">su inconstitucionalidad. Dentro del mismo cuerpo legal en el </w:t>
      </w:r>
      <w:r>
        <w:rPr>
          <w:spacing w:val="-7"/>
          <w:sz w:val="16"/>
          <w:szCs w:val="16"/>
          <w:lang w:val="es-ES_tradnl"/>
        </w:rPr>
        <w:t>inciso 2 del art</w:t>
      </w:r>
      <w:r>
        <w:rPr>
          <w:rFonts w:cs="Times New Roman"/>
          <w:spacing w:val="-7"/>
          <w:sz w:val="16"/>
          <w:szCs w:val="16"/>
          <w:lang w:val="es-ES_tradnl"/>
        </w:rPr>
        <w:t>í</w:t>
      </w:r>
      <w:r>
        <w:rPr>
          <w:spacing w:val="-7"/>
          <w:sz w:val="16"/>
          <w:szCs w:val="16"/>
          <w:lang w:val="es-ES_tradnl"/>
        </w:rPr>
        <w:t>culo 167 se justifica la ausencia del acusado y del afectado en la etapa del juicio, circunstancia que como se dej</w:t>
      </w:r>
      <w:r>
        <w:rPr>
          <w:rFonts w:cs="Times New Roman"/>
          <w:spacing w:val="-7"/>
          <w:sz w:val="16"/>
          <w:szCs w:val="16"/>
          <w:lang w:val="es-ES_tradnl"/>
        </w:rPr>
        <w:t>ó</w:t>
      </w:r>
      <w:r>
        <w:rPr>
          <w:spacing w:val="-7"/>
          <w:sz w:val="16"/>
          <w:szCs w:val="16"/>
          <w:lang w:val="es-ES_tradnl"/>
        </w:rPr>
        <w:t xml:space="preserve"> antes se</w:t>
      </w:r>
      <w:r>
        <w:rPr>
          <w:rFonts w:cs="Times New Roman"/>
          <w:spacing w:val="-7"/>
          <w:sz w:val="16"/>
          <w:szCs w:val="16"/>
          <w:lang w:val="es-ES_tradnl"/>
        </w:rPr>
        <w:t>ñ</w:t>
      </w:r>
      <w:r>
        <w:rPr>
          <w:spacing w:val="-7"/>
          <w:sz w:val="16"/>
          <w:szCs w:val="16"/>
          <w:lang w:val="es-ES_tradnl"/>
        </w:rPr>
        <w:t>alada contraviene la Constituci</w:t>
      </w:r>
      <w:r>
        <w:rPr>
          <w:rFonts w:cs="Times New Roman"/>
          <w:spacing w:val="-7"/>
          <w:sz w:val="16"/>
          <w:szCs w:val="16"/>
          <w:lang w:val="es-ES_tradnl"/>
        </w:rPr>
        <w:t>ó</w:t>
      </w:r>
      <w:r>
        <w:rPr>
          <w:spacing w:val="-7"/>
          <w:sz w:val="16"/>
          <w:szCs w:val="16"/>
          <w:lang w:val="es-ES_tradnl"/>
        </w:rPr>
        <w:t xml:space="preserve">n, y por lo tanto </w:t>
      </w:r>
      <w:r>
        <w:rPr>
          <w:sz w:val="16"/>
          <w:szCs w:val="16"/>
          <w:lang w:val="es-ES_tradnl"/>
        </w:rPr>
        <w:t>deviene en inconstitucional.</w:t>
      </w:r>
    </w:p>
    <w:p w14:paraId="4F67A537" w14:textId="77777777" w:rsidR="00591D54" w:rsidRDefault="00591D54">
      <w:pPr>
        <w:shd w:val="clear" w:color="auto" w:fill="FFFFFF"/>
        <w:spacing w:before="206" w:line="211" w:lineRule="exact"/>
        <w:ind w:left="283"/>
        <w:jc w:val="both"/>
      </w:pPr>
      <w:r>
        <w:rPr>
          <w:spacing w:val="-5"/>
          <w:sz w:val="16"/>
          <w:szCs w:val="16"/>
          <w:lang w:val="es-ES_tradnl"/>
        </w:rPr>
        <w:t xml:space="preserve">Por lo anteriormente dicho, la Corte Constitucional, para el </w:t>
      </w:r>
      <w:r>
        <w:rPr>
          <w:spacing w:val="-7"/>
          <w:sz w:val="16"/>
          <w:szCs w:val="16"/>
          <w:lang w:val="es-ES_tradnl"/>
        </w:rPr>
        <w:t>periodo transici</w:t>
      </w:r>
      <w:r>
        <w:rPr>
          <w:rFonts w:cs="Times New Roman"/>
          <w:spacing w:val="-7"/>
          <w:sz w:val="16"/>
          <w:szCs w:val="16"/>
          <w:lang w:val="es-ES_tradnl"/>
        </w:rPr>
        <w:t>ó</w:t>
      </w:r>
      <w:r>
        <w:rPr>
          <w:spacing w:val="-7"/>
          <w:sz w:val="16"/>
          <w:szCs w:val="16"/>
          <w:lang w:val="es-ES_tradnl"/>
        </w:rPr>
        <w:t xml:space="preserve">n, declara que una parte de la norma conexa </w:t>
      </w:r>
      <w:r>
        <w:rPr>
          <w:spacing w:val="-5"/>
          <w:sz w:val="16"/>
          <w:szCs w:val="16"/>
          <w:lang w:val="es-ES_tradnl"/>
        </w:rPr>
        <w:t>establecida en el inciso segundo del art</w:t>
      </w:r>
      <w:r>
        <w:rPr>
          <w:rFonts w:cs="Times New Roman"/>
          <w:spacing w:val="-5"/>
          <w:sz w:val="16"/>
          <w:szCs w:val="16"/>
          <w:lang w:val="es-ES_tradnl"/>
        </w:rPr>
        <w:t>í</w:t>
      </w:r>
      <w:r>
        <w:rPr>
          <w:spacing w:val="-5"/>
          <w:sz w:val="16"/>
          <w:szCs w:val="16"/>
          <w:lang w:val="es-ES_tradnl"/>
        </w:rPr>
        <w:t xml:space="preserve">culo 167, cuya </w:t>
      </w:r>
      <w:r>
        <w:rPr>
          <w:spacing w:val="-6"/>
          <w:sz w:val="16"/>
          <w:szCs w:val="16"/>
          <w:lang w:val="es-ES_tradnl"/>
        </w:rPr>
        <w:t>constitucionalidad se analiza, es inconstitucional (</w:t>
      </w:r>
      <w:r>
        <w:rPr>
          <w:rFonts w:cs="Times New Roman"/>
          <w:spacing w:val="-6"/>
          <w:sz w:val="16"/>
          <w:szCs w:val="16"/>
          <w:lang w:val="es-ES_tradnl"/>
        </w:rPr>
        <w:t>…</w:t>
      </w:r>
      <w:r>
        <w:rPr>
          <w:spacing w:val="-6"/>
          <w:sz w:val="16"/>
          <w:szCs w:val="16"/>
          <w:lang w:val="es-ES_tradnl"/>
        </w:rPr>
        <w:t>)</w:t>
      </w:r>
      <w:r>
        <w:rPr>
          <w:spacing w:val="-6"/>
          <w:sz w:val="16"/>
          <w:szCs w:val="16"/>
          <w:vertAlign w:val="superscript"/>
          <w:lang w:val="es-ES_tradnl"/>
        </w:rPr>
        <w:t>3</w:t>
      </w:r>
      <w:r>
        <w:rPr>
          <w:spacing w:val="-6"/>
          <w:sz w:val="16"/>
          <w:szCs w:val="16"/>
          <w:lang w:val="es-ES_tradnl"/>
        </w:rPr>
        <w:t>.</w:t>
      </w:r>
    </w:p>
    <w:p w14:paraId="4F67A538" w14:textId="77777777" w:rsidR="00591D54" w:rsidRDefault="00591D54">
      <w:pPr>
        <w:shd w:val="clear" w:color="auto" w:fill="FFFFFF"/>
        <w:spacing w:before="202" w:line="216" w:lineRule="exact"/>
        <w:jc w:val="both"/>
      </w:pPr>
      <w:r>
        <w:rPr>
          <w:spacing w:val="-6"/>
          <w:sz w:val="18"/>
          <w:szCs w:val="18"/>
          <w:lang w:val="es-ES_tradnl"/>
        </w:rPr>
        <w:t xml:space="preserve">En consecuencia, la Corte Constitucional, respecto a las </w:t>
      </w:r>
      <w:r>
        <w:rPr>
          <w:spacing w:val="-7"/>
          <w:sz w:val="18"/>
          <w:szCs w:val="18"/>
          <w:lang w:val="es-ES_tradnl"/>
        </w:rPr>
        <w:t xml:space="preserve">alegaciones expuestas en esta consulta ya ha emitido su </w:t>
      </w:r>
      <w:r>
        <w:rPr>
          <w:spacing w:val="-1"/>
          <w:sz w:val="18"/>
          <w:szCs w:val="18"/>
          <w:lang w:val="es-ES_tradnl"/>
        </w:rPr>
        <w:t xml:space="preserve">pronunciamiento acerca de la constitucionalidad del </w:t>
      </w:r>
      <w:r>
        <w:rPr>
          <w:spacing w:val="-6"/>
          <w:sz w:val="18"/>
          <w:szCs w:val="18"/>
          <w:lang w:val="es-ES_tradnl"/>
        </w:rPr>
        <w:t>inciso 3 del art</w:t>
      </w:r>
      <w:r>
        <w:rPr>
          <w:rFonts w:cs="Times New Roman"/>
          <w:spacing w:val="-6"/>
          <w:sz w:val="18"/>
          <w:szCs w:val="18"/>
          <w:lang w:val="es-ES_tradnl"/>
        </w:rPr>
        <w:t>í</w:t>
      </w:r>
      <w:r>
        <w:rPr>
          <w:spacing w:val="-6"/>
          <w:sz w:val="18"/>
          <w:szCs w:val="18"/>
          <w:lang w:val="es-ES_tradnl"/>
        </w:rPr>
        <w:t>culo 168 de la Ley Org</w:t>
      </w:r>
      <w:r>
        <w:rPr>
          <w:rFonts w:cs="Times New Roman"/>
          <w:spacing w:val="-6"/>
          <w:sz w:val="18"/>
          <w:szCs w:val="18"/>
          <w:lang w:val="es-ES_tradnl"/>
        </w:rPr>
        <w:t>á</w:t>
      </w:r>
      <w:r>
        <w:rPr>
          <w:spacing w:val="-6"/>
          <w:sz w:val="18"/>
          <w:szCs w:val="18"/>
          <w:lang w:val="es-ES_tradnl"/>
        </w:rPr>
        <w:t>nica de Transporte Terrestre, Tr</w:t>
      </w:r>
      <w:r>
        <w:rPr>
          <w:rFonts w:cs="Times New Roman"/>
          <w:spacing w:val="-6"/>
          <w:sz w:val="18"/>
          <w:szCs w:val="18"/>
          <w:lang w:val="es-ES_tradnl"/>
        </w:rPr>
        <w:t>á</w:t>
      </w:r>
      <w:r>
        <w:rPr>
          <w:spacing w:val="-6"/>
          <w:sz w:val="18"/>
          <w:szCs w:val="18"/>
          <w:lang w:val="es-ES_tradnl"/>
        </w:rPr>
        <w:t xml:space="preserve">nsito y Seguridad Vial, el cual fue declarado </w:t>
      </w:r>
      <w:r>
        <w:rPr>
          <w:spacing w:val="-4"/>
          <w:sz w:val="18"/>
          <w:szCs w:val="18"/>
          <w:lang w:val="es-ES_tradnl"/>
        </w:rPr>
        <w:t xml:space="preserve">inconstitucional por el fondo, por lo tanto se entiende </w:t>
      </w:r>
      <w:r>
        <w:rPr>
          <w:spacing w:val="-5"/>
          <w:sz w:val="18"/>
          <w:szCs w:val="18"/>
          <w:lang w:val="es-ES_tradnl"/>
        </w:rPr>
        <w:t>inexistente y sin capacidad de producir efectos jur</w:t>
      </w:r>
      <w:r>
        <w:rPr>
          <w:rFonts w:cs="Times New Roman"/>
          <w:spacing w:val="-5"/>
          <w:sz w:val="18"/>
          <w:szCs w:val="18"/>
          <w:lang w:val="es-ES_tradnl"/>
        </w:rPr>
        <w:t>í</w:t>
      </w:r>
      <w:r>
        <w:rPr>
          <w:spacing w:val="-5"/>
          <w:sz w:val="18"/>
          <w:szCs w:val="18"/>
          <w:lang w:val="es-ES_tradnl"/>
        </w:rPr>
        <w:t xml:space="preserve">dicos, </w:t>
      </w:r>
      <w:r>
        <w:rPr>
          <w:spacing w:val="-7"/>
          <w:sz w:val="18"/>
          <w:szCs w:val="18"/>
          <w:lang w:val="es-ES_tradnl"/>
        </w:rPr>
        <w:t>de lo cual se concluye que no existe materia sobre la cual pronunciarse respecto de la citada norma legal.</w:t>
      </w:r>
    </w:p>
    <w:p w14:paraId="4F67A539" w14:textId="77777777" w:rsidR="00591D54" w:rsidRDefault="00591D54">
      <w:pPr>
        <w:shd w:val="clear" w:color="auto" w:fill="FFFFFF"/>
        <w:spacing w:before="192" w:line="216" w:lineRule="exact"/>
        <w:jc w:val="both"/>
      </w:pPr>
      <w:r>
        <w:rPr>
          <w:spacing w:val="-8"/>
          <w:sz w:val="18"/>
          <w:szCs w:val="18"/>
          <w:lang w:val="es-ES_tradnl"/>
        </w:rPr>
        <w:t xml:space="preserve">De esta manera, se observa que en el caso </w:t>
      </w:r>
      <w:r>
        <w:rPr>
          <w:i/>
          <w:iCs/>
          <w:spacing w:val="-8"/>
          <w:sz w:val="18"/>
          <w:szCs w:val="18"/>
          <w:lang w:val="es-ES_tradnl"/>
        </w:rPr>
        <w:t>in examine</w:t>
      </w:r>
      <w:r>
        <w:rPr>
          <w:spacing w:val="-8"/>
          <w:sz w:val="18"/>
          <w:szCs w:val="18"/>
          <w:lang w:val="es-ES_tradnl"/>
        </w:rPr>
        <w:t xml:space="preserve">, no </w:t>
      </w:r>
      <w:r>
        <w:rPr>
          <w:spacing w:val="-7"/>
          <w:sz w:val="18"/>
          <w:szCs w:val="18"/>
          <w:lang w:val="es-ES_tradnl"/>
        </w:rPr>
        <w:t>se presentan situaciones que admiten una nueva revisi</w:t>
      </w:r>
      <w:r>
        <w:rPr>
          <w:rFonts w:cs="Times New Roman"/>
          <w:spacing w:val="-7"/>
          <w:sz w:val="18"/>
          <w:szCs w:val="18"/>
          <w:lang w:val="es-ES_tradnl"/>
        </w:rPr>
        <w:t>ó</w:t>
      </w:r>
      <w:r>
        <w:rPr>
          <w:spacing w:val="-7"/>
          <w:sz w:val="18"/>
          <w:szCs w:val="18"/>
          <w:lang w:val="es-ES_tradnl"/>
        </w:rPr>
        <w:t>n, raz</w:t>
      </w:r>
      <w:r>
        <w:rPr>
          <w:rFonts w:cs="Times New Roman"/>
          <w:spacing w:val="-7"/>
          <w:sz w:val="18"/>
          <w:szCs w:val="18"/>
          <w:lang w:val="es-ES_tradnl"/>
        </w:rPr>
        <w:t>ó</w:t>
      </w:r>
      <w:r>
        <w:rPr>
          <w:spacing w:val="-7"/>
          <w:sz w:val="18"/>
          <w:szCs w:val="18"/>
          <w:lang w:val="es-ES_tradnl"/>
        </w:rPr>
        <w:t>n por la cual, la consulta y la decisi</w:t>
      </w:r>
      <w:r>
        <w:rPr>
          <w:rFonts w:cs="Times New Roman"/>
          <w:spacing w:val="-7"/>
          <w:sz w:val="18"/>
          <w:szCs w:val="18"/>
          <w:lang w:val="es-ES_tradnl"/>
        </w:rPr>
        <w:t>ó</w:t>
      </w:r>
      <w:r>
        <w:rPr>
          <w:spacing w:val="-7"/>
          <w:sz w:val="18"/>
          <w:szCs w:val="18"/>
          <w:lang w:val="es-ES_tradnl"/>
        </w:rPr>
        <w:t>n que hizo tr</w:t>
      </w:r>
      <w:r>
        <w:rPr>
          <w:rFonts w:cs="Times New Roman"/>
          <w:spacing w:val="-7"/>
          <w:sz w:val="18"/>
          <w:szCs w:val="18"/>
          <w:lang w:val="es-ES_tradnl"/>
        </w:rPr>
        <w:t>á</w:t>
      </w:r>
      <w:r>
        <w:rPr>
          <w:spacing w:val="-7"/>
          <w:sz w:val="18"/>
          <w:szCs w:val="18"/>
          <w:lang w:val="es-ES_tradnl"/>
        </w:rPr>
        <w:t xml:space="preserve">nsito </w:t>
      </w:r>
      <w:r>
        <w:rPr>
          <w:spacing w:val="-8"/>
          <w:sz w:val="18"/>
          <w:szCs w:val="18"/>
          <w:lang w:val="es-ES_tradnl"/>
        </w:rPr>
        <w:t xml:space="preserve">a cosa juzgada, tienen los mismos fundamentos o hechos </w:t>
      </w:r>
      <w:r>
        <w:rPr>
          <w:spacing w:val="-7"/>
          <w:sz w:val="18"/>
          <w:szCs w:val="18"/>
          <w:lang w:val="es-ES_tradnl"/>
        </w:rPr>
        <w:t>como sustento, por lo que se reitera que no existe materia sobre la cual la Corte Constitucional pueda pronunciarse.</w:t>
      </w:r>
    </w:p>
    <w:p w14:paraId="4F67A53A" w14:textId="77777777" w:rsidR="00591D54" w:rsidRDefault="00591D54">
      <w:pPr>
        <w:shd w:val="clear" w:color="auto" w:fill="FFFFFF"/>
        <w:spacing w:before="509" w:line="178" w:lineRule="exact"/>
        <w:ind w:left="144" w:hanging="144"/>
      </w:pPr>
      <w:r>
        <w:rPr>
          <w:sz w:val="16"/>
          <w:szCs w:val="16"/>
          <w:vertAlign w:val="superscript"/>
          <w:lang w:val="es-ES_tradnl"/>
        </w:rPr>
        <w:t>3</w:t>
      </w:r>
      <w:r>
        <w:rPr>
          <w:sz w:val="16"/>
          <w:szCs w:val="16"/>
          <w:lang w:val="es-ES_tradnl"/>
        </w:rPr>
        <w:t xml:space="preserve">  </w:t>
      </w:r>
      <w:r>
        <w:rPr>
          <w:spacing w:val="-5"/>
          <w:sz w:val="16"/>
          <w:szCs w:val="16"/>
          <w:lang w:val="es-ES_tradnl"/>
        </w:rPr>
        <w:t>Corte Constitucional del Ecuador, para el periodo de transici</w:t>
      </w:r>
      <w:r>
        <w:rPr>
          <w:rFonts w:cs="Times New Roman"/>
          <w:spacing w:val="-5"/>
          <w:sz w:val="16"/>
          <w:szCs w:val="16"/>
          <w:lang w:val="es-ES_tradnl"/>
        </w:rPr>
        <w:t>ó</w:t>
      </w:r>
      <w:r>
        <w:rPr>
          <w:spacing w:val="-5"/>
          <w:sz w:val="16"/>
          <w:szCs w:val="16"/>
          <w:lang w:val="es-ES_tradnl"/>
        </w:rPr>
        <w:t xml:space="preserve">n, </w:t>
      </w:r>
      <w:r>
        <w:rPr>
          <w:spacing w:val="-11"/>
          <w:sz w:val="16"/>
          <w:szCs w:val="16"/>
          <w:lang w:val="es-ES_tradnl"/>
        </w:rPr>
        <w:t>sentencia N.</w:t>
      </w:r>
      <w:r>
        <w:rPr>
          <w:rFonts w:cs="Times New Roman"/>
          <w:spacing w:val="-11"/>
          <w:sz w:val="16"/>
          <w:szCs w:val="16"/>
          <w:lang w:val="es-ES_tradnl"/>
        </w:rPr>
        <w:t>°</w:t>
      </w:r>
      <w:r>
        <w:rPr>
          <w:spacing w:val="-11"/>
          <w:sz w:val="16"/>
          <w:szCs w:val="16"/>
          <w:lang w:val="es-ES_tradnl"/>
        </w:rPr>
        <w:t xml:space="preserve"> 024-10-SCN-CC, caso N.</w:t>
      </w:r>
      <w:r>
        <w:rPr>
          <w:rFonts w:cs="Times New Roman"/>
          <w:spacing w:val="-11"/>
          <w:sz w:val="16"/>
          <w:szCs w:val="16"/>
          <w:lang w:val="es-ES_tradnl"/>
        </w:rPr>
        <w:t>°</w:t>
      </w:r>
      <w:r>
        <w:rPr>
          <w:spacing w:val="-11"/>
          <w:sz w:val="16"/>
          <w:szCs w:val="16"/>
          <w:lang w:val="es-ES_tradnl"/>
        </w:rPr>
        <w:t xml:space="preserve"> 0022-09-CN</w:t>
      </w:r>
    </w:p>
    <w:p w14:paraId="4F67A53B" w14:textId="77777777" w:rsidR="00591D54" w:rsidRDefault="00591D54">
      <w:pPr>
        <w:shd w:val="clear" w:color="auto" w:fill="FFFFFF"/>
        <w:spacing w:before="509" w:line="178" w:lineRule="exact"/>
        <w:ind w:left="144" w:hanging="144"/>
        <w:sectPr w:rsidR="00591D54">
          <w:type w:val="continuous"/>
          <w:pgSz w:w="11909" w:h="16834"/>
          <w:pgMar w:top="1359" w:right="1309" w:bottom="360" w:left="1308" w:header="720" w:footer="720" w:gutter="0"/>
          <w:cols w:num="2" w:space="720" w:equalWidth="0">
            <w:col w:w="4305" w:space="682"/>
            <w:col w:w="4305"/>
          </w:cols>
          <w:noEndnote/>
        </w:sectPr>
      </w:pPr>
    </w:p>
    <w:p w14:paraId="4F67A53C" w14:textId="77777777" w:rsidR="00591D54" w:rsidRDefault="00591D54">
      <w:pPr>
        <w:shd w:val="clear" w:color="auto" w:fill="FFFFFF"/>
        <w:tabs>
          <w:tab w:val="left" w:pos="4814"/>
        </w:tabs>
        <w:spacing w:after="226"/>
        <w:ind w:left="5"/>
      </w:pPr>
      <w:r>
        <w:rPr>
          <w:b/>
          <w:bCs/>
          <w:sz w:val="18"/>
          <w:szCs w:val="18"/>
          <w:lang w:val="es-ES_tradnl"/>
        </w:rPr>
        <w:t xml:space="preserve">26 -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53D" w14:textId="77777777" w:rsidR="00591D54" w:rsidRDefault="00591D54">
      <w:pPr>
        <w:shd w:val="clear" w:color="auto" w:fill="FFFFFF"/>
        <w:tabs>
          <w:tab w:val="left" w:pos="4814"/>
        </w:tabs>
        <w:spacing w:after="226"/>
        <w:ind w:left="5"/>
        <w:sectPr w:rsidR="00591D54">
          <w:pgSz w:w="11909" w:h="16834"/>
          <w:pgMar w:top="1359" w:right="1309" w:bottom="360" w:left="1308" w:header="720" w:footer="720" w:gutter="0"/>
          <w:cols w:space="60"/>
          <w:noEndnote/>
        </w:sectPr>
      </w:pPr>
    </w:p>
    <w:p w14:paraId="4F67A53E" w14:textId="77777777" w:rsidR="00591D54" w:rsidRDefault="00591D54">
      <w:pPr>
        <w:shd w:val="clear" w:color="auto" w:fill="FFFFFF"/>
        <w:spacing w:line="235" w:lineRule="exact"/>
        <w:jc w:val="both"/>
      </w:pPr>
      <w:r>
        <w:rPr>
          <w:sz w:val="18"/>
          <w:szCs w:val="18"/>
          <w:lang w:val="es-ES_tradnl"/>
        </w:rPr>
        <w:t xml:space="preserve">Finalmente, esta Corte Constitucional considera </w:t>
      </w:r>
      <w:r>
        <w:rPr>
          <w:spacing w:val="-4"/>
          <w:sz w:val="18"/>
          <w:szCs w:val="18"/>
          <w:lang w:val="es-ES_tradnl"/>
        </w:rPr>
        <w:t>negligente la actuaci</w:t>
      </w:r>
      <w:r>
        <w:rPr>
          <w:rFonts w:cs="Times New Roman"/>
          <w:spacing w:val="-4"/>
          <w:sz w:val="18"/>
          <w:szCs w:val="18"/>
          <w:lang w:val="es-ES_tradnl"/>
        </w:rPr>
        <w:t>ó</w:t>
      </w:r>
      <w:r>
        <w:rPr>
          <w:spacing w:val="-4"/>
          <w:sz w:val="18"/>
          <w:szCs w:val="18"/>
          <w:lang w:val="es-ES_tradnl"/>
        </w:rPr>
        <w:t xml:space="preserve">n de los funcionarios involucrados </w:t>
      </w:r>
      <w:r>
        <w:rPr>
          <w:spacing w:val="-6"/>
          <w:sz w:val="18"/>
          <w:szCs w:val="18"/>
          <w:lang w:val="es-ES_tradnl"/>
        </w:rPr>
        <w:t xml:space="preserve">en las consultas de normas remitidas a este organismo </w:t>
      </w:r>
      <w:r>
        <w:rPr>
          <w:spacing w:val="-4"/>
          <w:sz w:val="18"/>
          <w:szCs w:val="18"/>
          <w:lang w:val="es-ES_tradnl"/>
        </w:rPr>
        <w:t>constitucional, es decir, tanto del defensor p</w:t>
      </w:r>
      <w:r>
        <w:rPr>
          <w:rFonts w:cs="Times New Roman"/>
          <w:spacing w:val="-4"/>
          <w:sz w:val="18"/>
          <w:szCs w:val="18"/>
          <w:lang w:val="es-ES_tradnl"/>
        </w:rPr>
        <w:t>ú</w:t>
      </w:r>
      <w:r>
        <w:rPr>
          <w:spacing w:val="-4"/>
          <w:sz w:val="18"/>
          <w:szCs w:val="18"/>
          <w:lang w:val="es-ES_tradnl"/>
        </w:rPr>
        <w:t xml:space="preserve">blico </w:t>
      </w:r>
      <w:r>
        <w:rPr>
          <w:rFonts w:cs="Times New Roman"/>
          <w:spacing w:val="-4"/>
          <w:sz w:val="18"/>
          <w:szCs w:val="18"/>
          <w:lang w:val="es-ES_tradnl"/>
        </w:rPr>
        <w:t>–</w:t>
      </w:r>
      <w:r>
        <w:rPr>
          <w:spacing w:val="-4"/>
          <w:sz w:val="18"/>
          <w:szCs w:val="18"/>
          <w:lang w:val="es-ES_tradnl"/>
        </w:rPr>
        <w:t xml:space="preserve">por </w:t>
      </w:r>
      <w:r>
        <w:rPr>
          <w:spacing w:val="-3"/>
          <w:sz w:val="18"/>
          <w:szCs w:val="18"/>
          <w:lang w:val="es-ES_tradnl"/>
        </w:rPr>
        <w:t>haber promovido las consultas</w:t>
      </w:r>
      <w:r>
        <w:rPr>
          <w:rFonts w:cs="Times New Roman"/>
          <w:spacing w:val="-3"/>
          <w:sz w:val="18"/>
          <w:szCs w:val="18"/>
          <w:lang w:val="es-ES_tradnl"/>
        </w:rPr>
        <w:t>–</w:t>
      </w:r>
      <w:r>
        <w:rPr>
          <w:spacing w:val="-3"/>
          <w:sz w:val="18"/>
          <w:szCs w:val="18"/>
          <w:lang w:val="es-ES_tradnl"/>
        </w:rPr>
        <w:t xml:space="preserve"> como del juez primero </w:t>
      </w:r>
      <w:r>
        <w:rPr>
          <w:spacing w:val="-6"/>
          <w:sz w:val="18"/>
          <w:szCs w:val="18"/>
          <w:lang w:val="es-ES_tradnl"/>
        </w:rPr>
        <w:t>de tr</w:t>
      </w:r>
      <w:r>
        <w:rPr>
          <w:rFonts w:cs="Times New Roman"/>
          <w:spacing w:val="-6"/>
          <w:sz w:val="18"/>
          <w:szCs w:val="18"/>
          <w:lang w:val="es-ES_tradnl"/>
        </w:rPr>
        <w:t>á</w:t>
      </w:r>
      <w:r>
        <w:rPr>
          <w:spacing w:val="-6"/>
          <w:sz w:val="18"/>
          <w:szCs w:val="18"/>
          <w:lang w:val="es-ES_tradnl"/>
        </w:rPr>
        <w:t xml:space="preserve">nsito de Imbabura </w:t>
      </w:r>
      <w:r>
        <w:rPr>
          <w:rFonts w:cs="Times New Roman"/>
          <w:spacing w:val="-6"/>
          <w:sz w:val="18"/>
          <w:szCs w:val="18"/>
          <w:lang w:val="es-ES_tradnl"/>
        </w:rPr>
        <w:t>–</w:t>
      </w:r>
      <w:r>
        <w:rPr>
          <w:spacing w:val="-6"/>
          <w:sz w:val="18"/>
          <w:szCs w:val="18"/>
          <w:lang w:val="es-ES_tradnl"/>
        </w:rPr>
        <w:t>por haber acogido las mismas</w:t>
      </w:r>
      <w:r>
        <w:rPr>
          <w:rFonts w:cs="Times New Roman"/>
          <w:spacing w:val="-6"/>
          <w:sz w:val="18"/>
          <w:szCs w:val="18"/>
          <w:lang w:val="es-ES_tradnl"/>
        </w:rPr>
        <w:t xml:space="preserve">– </w:t>
      </w:r>
      <w:r>
        <w:rPr>
          <w:spacing w:val="-5"/>
          <w:sz w:val="18"/>
          <w:szCs w:val="18"/>
          <w:lang w:val="es-ES_tradnl"/>
        </w:rPr>
        <w:t xml:space="preserve">desatendiendo jurisprudencia constitucional aplicable al </w:t>
      </w:r>
      <w:r>
        <w:rPr>
          <w:spacing w:val="-8"/>
          <w:sz w:val="18"/>
          <w:szCs w:val="18"/>
          <w:lang w:val="es-ES_tradnl"/>
        </w:rPr>
        <w:t>caso concreto, ya que han ocasionado una grave lesi</w:t>
      </w:r>
      <w:r>
        <w:rPr>
          <w:rFonts w:cs="Times New Roman"/>
          <w:spacing w:val="-8"/>
          <w:sz w:val="18"/>
          <w:szCs w:val="18"/>
          <w:lang w:val="es-ES_tradnl"/>
        </w:rPr>
        <w:t>ó</w:t>
      </w:r>
      <w:r>
        <w:rPr>
          <w:spacing w:val="-8"/>
          <w:sz w:val="18"/>
          <w:szCs w:val="18"/>
          <w:lang w:val="es-ES_tradnl"/>
        </w:rPr>
        <w:t xml:space="preserve">n de </w:t>
      </w:r>
      <w:r>
        <w:rPr>
          <w:spacing w:val="-5"/>
          <w:sz w:val="18"/>
          <w:szCs w:val="18"/>
          <w:lang w:val="es-ES_tradnl"/>
        </w:rPr>
        <w:t xml:space="preserve">derechos constitucionales como el derecho a la defensa, </w:t>
      </w:r>
      <w:r>
        <w:rPr>
          <w:spacing w:val="-4"/>
          <w:sz w:val="18"/>
          <w:szCs w:val="18"/>
          <w:lang w:val="es-ES_tradnl"/>
        </w:rPr>
        <w:t xml:space="preserve">el derecho a la tutela judicial efectiva y a la seguridad </w:t>
      </w:r>
      <w:r>
        <w:rPr>
          <w:sz w:val="18"/>
          <w:szCs w:val="18"/>
          <w:lang w:val="es-ES_tradnl"/>
        </w:rPr>
        <w:t>jur</w:t>
      </w:r>
      <w:r>
        <w:rPr>
          <w:rFonts w:cs="Times New Roman"/>
          <w:sz w:val="18"/>
          <w:szCs w:val="18"/>
          <w:lang w:val="es-ES_tradnl"/>
        </w:rPr>
        <w:t>í</w:t>
      </w:r>
      <w:r>
        <w:rPr>
          <w:sz w:val="18"/>
          <w:szCs w:val="18"/>
          <w:lang w:val="es-ES_tradnl"/>
        </w:rPr>
        <w:t>dica.</w:t>
      </w:r>
    </w:p>
    <w:p w14:paraId="4F67A53F" w14:textId="77777777" w:rsidR="00591D54" w:rsidRDefault="00591D54">
      <w:pPr>
        <w:shd w:val="clear" w:color="auto" w:fill="FFFFFF"/>
        <w:spacing w:before="235" w:line="235" w:lineRule="exact"/>
        <w:jc w:val="both"/>
      </w:pPr>
      <w:r>
        <w:rPr>
          <w:spacing w:val="-8"/>
          <w:sz w:val="18"/>
          <w:szCs w:val="18"/>
          <w:lang w:val="es-ES_tradnl"/>
        </w:rPr>
        <w:t>Adem</w:t>
      </w:r>
      <w:r>
        <w:rPr>
          <w:rFonts w:cs="Times New Roman"/>
          <w:spacing w:val="-8"/>
          <w:sz w:val="18"/>
          <w:szCs w:val="18"/>
          <w:lang w:val="es-ES_tradnl"/>
        </w:rPr>
        <w:t>á</w:t>
      </w:r>
      <w:r>
        <w:rPr>
          <w:spacing w:val="-8"/>
          <w:sz w:val="18"/>
          <w:szCs w:val="18"/>
          <w:lang w:val="es-ES_tradnl"/>
        </w:rPr>
        <w:t>s, y de conformidad con lo establecido en el art</w:t>
      </w:r>
      <w:r>
        <w:rPr>
          <w:rFonts w:cs="Times New Roman"/>
          <w:spacing w:val="-8"/>
          <w:sz w:val="18"/>
          <w:szCs w:val="18"/>
          <w:lang w:val="es-ES_tradnl"/>
        </w:rPr>
        <w:t>í</w:t>
      </w:r>
      <w:r>
        <w:rPr>
          <w:spacing w:val="-8"/>
          <w:sz w:val="18"/>
          <w:szCs w:val="18"/>
          <w:lang w:val="es-ES_tradnl"/>
        </w:rPr>
        <w:t xml:space="preserve">culo </w:t>
      </w:r>
      <w:r>
        <w:rPr>
          <w:spacing w:val="-5"/>
          <w:sz w:val="18"/>
          <w:szCs w:val="18"/>
          <w:lang w:val="es-ES_tradnl"/>
        </w:rPr>
        <w:t>23 de la Ley Org</w:t>
      </w:r>
      <w:r>
        <w:rPr>
          <w:rFonts w:cs="Times New Roman"/>
          <w:spacing w:val="-5"/>
          <w:sz w:val="18"/>
          <w:szCs w:val="18"/>
          <w:lang w:val="es-ES_tradnl"/>
        </w:rPr>
        <w:t>á</w:t>
      </w:r>
      <w:r>
        <w:rPr>
          <w:spacing w:val="-5"/>
          <w:sz w:val="18"/>
          <w:szCs w:val="18"/>
          <w:lang w:val="es-ES_tradnl"/>
        </w:rPr>
        <w:t>nica de Garant</w:t>
      </w:r>
      <w:r>
        <w:rPr>
          <w:rFonts w:cs="Times New Roman"/>
          <w:spacing w:val="-5"/>
          <w:sz w:val="18"/>
          <w:szCs w:val="18"/>
          <w:lang w:val="es-ES_tradnl"/>
        </w:rPr>
        <w:t>í</w:t>
      </w:r>
      <w:r>
        <w:rPr>
          <w:spacing w:val="-5"/>
          <w:sz w:val="18"/>
          <w:szCs w:val="18"/>
          <w:lang w:val="es-ES_tradnl"/>
        </w:rPr>
        <w:t xml:space="preserve">as Jurisdiccionales y </w:t>
      </w:r>
      <w:r>
        <w:rPr>
          <w:spacing w:val="-3"/>
          <w:sz w:val="18"/>
          <w:szCs w:val="18"/>
          <w:lang w:val="es-ES_tradnl"/>
        </w:rPr>
        <w:t xml:space="preserve">Control Constitucional, en el presente caso, existe por </w:t>
      </w:r>
      <w:r>
        <w:rPr>
          <w:spacing w:val="-6"/>
          <w:sz w:val="18"/>
          <w:szCs w:val="18"/>
          <w:lang w:val="es-ES_tradnl"/>
        </w:rPr>
        <w:t xml:space="preserve">parte de los funcionarios citados un abuso del derecho en </w:t>
      </w:r>
      <w:r>
        <w:rPr>
          <w:spacing w:val="-9"/>
          <w:sz w:val="18"/>
          <w:szCs w:val="18"/>
          <w:lang w:val="es-ES_tradnl"/>
        </w:rPr>
        <w:t>raz</w:t>
      </w:r>
      <w:r>
        <w:rPr>
          <w:rFonts w:cs="Times New Roman"/>
          <w:spacing w:val="-9"/>
          <w:sz w:val="18"/>
          <w:szCs w:val="18"/>
          <w:lang w:val="es-ES_tradnl"/>
        </w:rPr>
        <w:t>ó</w:t>
      </w:r>
      <w:r>
        <w:rPr>
          <w:spacing w:val="-9"/>
          <w:sz w:val="18"/>
          <w:szCs w:val="18"/>
          <w:lang w:val="es-ES_tradnl"/>
        </w:rPr>
        <w:t>n de haber interpuesto en forma simult</w:t>
      </w:r>
      <w:r>
        <w:rPr>
          <w:rFonts w:cs="Times New Roman"/>
          <w:spacing w:val="-9"/>
          <w:sz w:val="18"/>
          <w:szCs w:val="18"/>
          <w:lang w:val="es-ES_tradnl"/>
        </w:rPr>
        <w:t>á</w:t>
      </w:r>
      <w:r>
        <w:rPr>
          <w:spacing w:val="-9"/>
          <w:sz w:val="18"/>
          <w:szCs w:val="18"/>
          <w:lang w:val="es-ES_tradnl"/>
        </w:rPr>
        <w:t xml:space="preserve">nea o sucesiva, </w:t>
      </w:r>
      <w:r>
        <w:rPr>
          <w:spacing w:val="-5"/>
          <w:sz w:val="18"/>
          <w:szCs w:val="18"/>
          <w:lang w:val="es-ES_tradnl"/>
        </w:rPr>
        <w:t>por el mismo acto u omisi</w:t>
      </w:r>
      <w:r>
        <w:rPr>
          <w:rFonts w:cs="Times New Roman"/>
          <w:spacing w:val="-5"/>
          <w:sz w:val="18"/>
          <w:szCs w:val="18"/>
          <w:lang w:val="es-ES_tradnl"/>
        </w:rPr>
        <w:t>ó</w:t>
      </w:r>
      <w:r>
        <w:rPr>
          <w:spacing w:val="-5"/>
          <w:sz w:val="18"/>
          <w:szCs w:val="18"/>
          <w:lang w:val="es-ES_tradnl"/>
        </w:rPr>
        <w:t>n, varias acciones respecto a un asunto que hab</w:t>
      </w:r>
      <w:r>
        <w:rPr>
          <w:rFonts w:cs="Times New Roman"/>
          <w:spacing w:val="-5"/>
          <w:sz w:val="18"/>
          <w:szCs w:val="18"/>
          <w:lang w:val="es-ES_tradnl"/>
        </w:rPr>
        <w:t>í</w:t>
      </w:r>
      <w:r>
        <w:rPr>
          <w:spacing w:val="-5"/>
          <w:sz w:val="18"/>
          <w:szCs w:val="18"/>
          <w:lang w:val="es-ES_tradnl"/>
        </w:rPr>
        <w:t xml:space="preserve">a sido objeto de un pronunciamiento </w:t>
      </w:r>
      <w:r>
        <w:rPr>
          <w:spacing w:val="-6"/>
          <w:sz w:val="18"/>
          <w:szCs w:val="18"/>
          <w:lang w:val="es-ES_tradnl"/>
        </w:rPr>
        <w:t>previo por parte de este organismo constitucional</w:t>
      </w:r>
      <w:r>
        <w:rPr>
          <w:spacing w:val="-6"/>
          <w:sz w:val="18"/>
          <w:szCs w:val="18"/>
          <w:vertAlign w:val="superscript"/>
          <w:lang w:val="es-ES_tradnl"/>
        </w:rPr>
        <w:t>4</w:t>
      </w:r>
      <w:r>
        <w:rPr>
          <w:spacing w:val="-6"/>
          <w:sz w:val="18"/>
          <w:szCs w:val="18"/>
          <w:lang w:val="es-ES_tradnl"/>
        </w:rPr>
        <w:t>.</w:t>
      </w:r>
    </w:p>
    <w:p w14:paraId="4F67A540" w14:textId="77777777" w:rsidR="00591D54" w:rsidRDefault="00591D54">
      <w:pPr>
        <w:shd w:val="clear" w:color="auto" w:fill="FFFFFF"/>
        <w:spacing w:before="240" w:line="235" w:lineRule="exact"/>
        <w:jc w:val="both"/>
      </w:pPr>
      <w:r>
        <w:rPr>
          <w:spacing w:val="-4"/>
          <w:sz w:val="18"/>
          <w:szCs w:val="18"/>
          <w:lang w:val="es-ES_tradnl"/>
        </w:rPr>
        <w:t xml:space="preserve">En tal virtud, este organismo constitucional considera </w:t>
      </w:r>
      <w:r>
        <w:rPr>
          <w:spacing w:val="-3"/>
          <w:sz w:val="18"/>
          <w:szCs w:val="18"/>
          <w:lang w:val="es-ES_tradnl"/>
        </w:rPr>
        <w:t xml:space="preserve">pertinente remitir los expedientes de las consultas al </w:t>
      </w:r>
      <w:r>
        <w:rPr>
          <w:spacing w:val="-8"/>
          <w:sz w:val="18"/>
          <w:szCs w:val="18"/>
          <w:lang w:val="es-ES_tradnl"/>
        </w:rPr>
        <w:t xml:space="preserve">Consejo de la Judicatura, al constituirse aquel en el </w:t>
      </w:r>
      <w:r>
        <w:rPr>
          <w:rFonts w:cs="Times New Roman"/>
          <w:spacing w:val="-8"/>
          <w:sz w:val="18"/>
          <w:szCs w:val="18"/>
          <w:lang w:val="es-ES_tradnl"/>
        </w:rPr>
        <w:t>ó</w:t>
      </w:r>
      <w:r>
        <w:rPr>
          <w:spacing w:val="-8"/>
          <w:sz w:val="18"/>
          <w:szCs w:val="18"/>
          <w:lang w:val="es-ES_tradnl"/>
        </w:rPr>
        <w:t xml:space="preserve">rgano </w:t>
      </w:r>
      <w:r>
        <w:rPr>
          <w:spacing w:val="-3"/>
          <w:sz w:val="18"/>
          <w:szCs w:val="18"/>
          <w:lang w:val="es-ES_tradnl"/>
        </w:rPr>
        <w:t>de gobierno, administraci</w:t>
      </w:r>
      <w:r>
        <w:rPr>
          <w:rFonts w:cs="Times New Roman"/>
          <w:spacing w:val="-3"/>
          <w:sz w:val="18"/>
          <w:szCs w:val="18"/>
          <w:lang w:val="es-ES_tradnl"/>
        </w:rPr>
        <w:t>ó</w:t>
      </w:r>
      <w:r>
        <w:rPr>
          <w:spacing w:val="-3"/>
          <w:sz w:val="18"/>
          <w:szCs w:val="18"/>
          <w:lang w:val="es-ES_tradnl"/>
        </w:rPr>
        <w:t xml:space="preserve">n, vigilancia y disciplina de la </w:t>
      </w:r>
      <w:r>
        <w:rPr>
          <w:spacing w:val="-5"/>
          <w:sz w:val="18"/>
          <w:szCs w:val="18"/>
          <w:lang w:val="es-ES_tradnl"/>
        </w:rPr>
        <w:t>Funci</w:t>
      </w:r>
      <w:r>
        <w:rPr>
          <w:rFonts w:cs="Times New Roman"/>
          <w:spacing w:val="-5"/>
          <w:sz w:val="18"/>
          <w:szCs w:val="18"/>
          <w:lang w:val="es-ES_tradnl"/>
        </w:rPr>
        <w:t>ó</w:t>
      </w:r>
      <w:r>
        <w:rPr>
          <w:spacing w:val="-5"/>
          <w:sz w:val="18"/>
          <w:szCs w:val="18"/>
          <w:lang w:val="es-ES_tradnl"/>
        </w:rPr>
        <w:t>n Judicial</w:t>
      </w:r>
      <w:r>
        <w:rPr>
          <w:spacing w:val="-5"/>
          <w:sz w:val="18"/>
          <w:szCs w:val="18"/>
          <w:vertAlign w:val="superscript"/>
          <w:lang w:val="es-ES_tradnl"/>
        </w:rPr>
        <w:t>5</w:t>
      </w:r>
      <w:r>
        <w:rPr>
          <w:spacing w:val="-5"/>
          <w:sz w:val="18"/>
          <w:szCs w:val="18"/>
          <w:lang w:val="es-ES_tradnl"/>
        </w:rPr>
        <w:t xml:space="preserve">, para que en base a las atribuciones y </w:t>
      </w:r>
      <w:r>
        <w:rPr>
          <w:spacing w:val="-3"/>
          <w:sz w:val="18"/>
          <w:szCs w:val="18"/>
          <w:lang w:val="es-ES_tradnl"/>
        </w:rPr>
        <w:t>competencias establecidas en la Constituci</w:t>
      </w:r>
      <w:r>
        <w:rPr>
          <w:rFonts w:cs="Times New Roman"/>
          <w:spacing w:val="-3"/>
          <w:sz w:val="18"/>
          <w:szCs w:val="18"/>
          <w:lang w:val="es-ES_tradnl"/>
        </w:rPr>
        <w:t>ó</w:t>
      </w:r>
      <w:r>
        <w:rPr>
          <w:spacing w:val="-3"/>
          <w:sz w:val="18"/>
          <w:szCs w:val="18"/>
          <w:lang w:val="es-ES_tradnl"/>
        </w:rPr>
        <w:t xml:space="preserve">n y en la </w:t>
      </w:r>
      <w:r>
        <w:rPr>
          <w:spacing w:val="-6"/>
          <w:sz w:val="18"/>
          <w:szCs w:val="18"/>
          <w:lang w:val="es-ES_tradnl"/>
        </w:rPr>
        <w:t xml:space="preserve">norma infra constitucional pertinente, proceda a investigar </w:t>
      </w:r>
      <w:r>
        <w:rPr>
          <w:sz w:val="18"/>
          <w:szCs w:val="18"/>
          <w:lang w:val="es-ES_tradnl"/>
        </w:rPr>
        <w:t>el accionar de estos funcionarios.</w:t>
      </w:r>
    </w:p>
    <w:p w14:paraId="4F67A541" w14:textId="77777777" w:rsidR="00591D54" w:rsidRDefault="00591D54">
      <w:pPr>
        <w:shd w:val="clear" w:color="auto" w:fill="FFFFFF"/>
        <w:spacing w:before="245"/>
        <w:ind w:right="5"/>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A542" w14:textId="77777777" w:rsidR="00591D54" w:rsidRDefault="00591D54">
      <w:pPr>
        <w:shd w:val="clear" w:color="auto" w:fill="FFFFFF"/>
        <w:spacing w:before="240" w:line="235" w:lineRule="exact"/>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4"/>
          <w:sz w:val="18"/>
          <w:szCs w:val="18"/>
          <w:lang w:val="es-ES_tradnl"/>
        </w:rPr>
        <w:t>constitucional y por mandato de la Constituci</w:t>
      </w:r>
      <w:r>
        <w:rPr>
          <w:rFonts w:cs="Times New Roman"/>
          <w:spacing w:val="-4"/>
          <w:sz w:val="18"/>
          <w:szCs w:val="18"/>
          <w:lang w:val="es-ES_tradnl"/>
        </w:rPr>
        <w:t>ó</w:t>
      </w:r>
      <w:r>
        <w:rPr>
          <w:spacing w:val="-4"/>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 xml:space="preserve">blica del Ecuador, el Pleno de la Corte Constitucional </w:t>
      </w:r>
      <w:r>
        <w:rPr>
          <w:sz w:val="18"/>
          <w:szCs w:val="18"/>
          <w:lang w:val="es-ES_tradnl"/>
        </w:rPr>
        <w:t>expide la siguiente:</w:t>
      </w:r>
    </w:p>
    <w:p w14:paraId="4F67A543" w14:textId="77777777" w:rsidR="00591D54" w:rsidRDefault="00591D54">
      <w:pPr>
        <w:shd w:val="clear" w:color="auto" w:fill="FFFFFF"/>
        <w:tabs>
          <w:tab w:val="left" w:pos="139"/>
        </w:tabs>
        <w:spacing w:before="778" w:line="178" w:lineRule="exact"/>
        <w:ind w:left="139" w:right="5" w:hanging="139"/>
        <w:jc w:val="both"/>
      </w:pPr>
      <w:r>
        <w:rPr>
          <w:sz w:val="10"/>
          <w:szCs w:val="10"/>
          <w:vertAlign w:val="superscript"/>
          <w:lang w:val="es-ES_tradnl"/>
        </w:rPr>
        <w:t>4</w:t>
      </w:r>
      <w:r>
        <w:rPr>
          <w:sz w:val="18"/>
          <w:szCs w:val="18"/>
          <w:lang w:val="es-ES_tradnl"/>
        </w:rPr>
        <w:tab/>
      </w:r>
      <w:r>
        <w:rPr>
          <w:spacing w:val="-3"/>
          <w:sz w:val="14"/>
          <w:szCs w:val="14"/>
          <w:lang w:val="es-ES_tradnl"/>
        </w:rPr>
        <w:t>Ley</w:t>
      </w:r>
      <w:r>
        <w:rPr>
          <w:spacing w:val="-3"/>
          <w:sz w:val="18"/>
          <w:szCs w:val="18"/>
          <w:lang w:val="es-ES_tradnl"/>
        </w:rPr>
        <w:t xml:space="preserve"> </w:t>
      </w:r>
      <w:r>
        <w:rPr>
          <w:spacing w:val="-3"/>
          <w:sz w:val="14"/>
          <w:szCs w:val="14"/>
          <w:lang w:val="es-ES_tradnl"/>
        </w:rPr>
        <w:t>Org</w:t>
      </w:r>
      <w:r>
        <w:rPr>
          <w:rFonts w:cs="Times New Roman"/>
          <w:spacing w:val="-3"/>
          <w:sz w:val="14"/>
          <w:szCs w:val="14"/>
          <w:lang w:val="es-ES_tradnl"/>
        </w:rPr>
        <w:t>á</w:t>
      </w:r>
      <w:r>
        <w:rPr>
          <w:spacing w:val="-3"/>
          <w:sz w:val="14"/>
          <w:szCs w:val="14"/>
          <w:lang w:val="es-ES_tradnl"/>
        </w:rPr>
        <w:t>nica</w:t>
      </w:r>
      <w:r>
        <w:rPr>
          <w:spacing w:val="-3"/>
          <w:sz w:val="18"/>
          <w:szCs w:val="18"/>
          <w:lang w:val="es-ES_tradnl"/>
        </w:rPr>
        <w:t xml:space="preserve"> </w:t>
      </w:r>
      <w:r>
        <w:rPr>
          <w:spacing w:val="-3"/>
          <w:sz w:val="14"/>
          <w:szCs w:val="14"/>
          <w:lang w:val="es-ES_tradnl"/>
        </w:rPr>
        <w:t>de</w:t>
      </w:r>
      <w:r>
        <w:rPr>
          <w:spacing w:val="-3"/>
          <w:sz w:val="18"/>
          <w:szCs w:val="18"/>
          <w:lang w:val="es-ES_tradnl"/>
        </w:rPr>
        <w:t xml:space="preserve"> </w:t>
      </w:r>
      <w:r>
        <w:rPr>
          <w:spacing w:val="-3"/>
          <w:sz w:val="14"/>
          <w:szCs w:val="14"/>
          <w:lang w:val="es-ES_tradnl"/>
        </w:rPr>
        <w:t>Garant</w:t>
      </w:r>
      <w:r>
        <w:rPr>
          <w:rFonts w:cs="Times New Roman"/>
          <w:spacing w:val="-3"/>
          <w:sz w:val="14"/>
          <w:szCs w:val="14"/>
          <w:lang w:val="es-ES_tradnl"/>
        </w:rPr>
        <w:t>í</w:t>
      </w:r>
      <w:r>
        <w:rPr>
          <w:spacing w:val="-3"/>
          <w:sz w:val="14"/>
          <w:szCs w:val="14"/>
          <w:lang w:val="es-ES_tradnl"/>
        </w:rPr>
        <w:t>as</w:t>
      </w:r>
      <w:r>
        <w:rPr>
          <w:spacing w:val="-3"/>
          <w:sz w:val="18"/>
          <w:szCs w:val="18"/>
          <w:lang w:val="es-ES_tradnl"/>
        </w:rPr>
        <w:t xml:space="preserve"> </w:t>
      </w:r>
      <w:r>
        <w:rPr>
          <w:spacing w:val="-3"/>
          <w:sz w:val="14"/>
          <w:szCs w:val="14"/>
          <w:lang w:val="es-ES_tradnl"/>
        </w:rPr>
        <w:t>Jurisdiccionales</w:t>
      </w:r>
      <w:r>
        <w:rPr>
          <w:spacing w:val="-3"/>
          <w:sz w:val="18"/>
          <w:szCs w:val="18"/>
          <w:lang w:val="es-ES_tradnl"/>
        </w:rPr>
        <w:t xml:space="preserve"> </w:t>
      </w:r>
      <w:r>
        <w:rPr>
          <w:spacing w:val="-3"/>
          <w:sz w:val="14"/>
          <w:szCs w:val="14"/>
          <w:lang w:val="es-ES_tradnl"/>
        </w:rPr>
        <w:t>y</w:t>
      </w:r>
      <w:r>
        <w:rPr>
          <w:spacing w:val="-3"/>
          <w:sz w:val="18"/>
          <w:szCs w:val="18"/>
          <w:lang w:val="es-ES_tradnl"/>
        </w:rPr>
        <w:t xml:space="preserve"> </w:t>
      </w:r>
      <w:r>
        <w:rPr>
          <w:spacing w:val="-3"/>
          <w:sz w:val="14"/>
          <w:szCs w:val="14"/>
          <w:lang w:val="es-ES_tradnl"/>
        </w:rPr>
        <w:t>Control</w:t>
      </w:r>
      <w:r>
        <w:rPr>
          <w:spacing w:val="-3"/>
          <w:sz w:val="18"/>
          <w:szCs w:val="18"/>
          <w:lang w:val="es-ES_tradnl"/>
        </w:rPr>
        <w:t xml:space="preserve"> </w:t>
      </w:r>
      <w:r>
        <w:rPr>
          <w:spacing w:val="-3"/>
          <w:sz w:val="14"/>
          <w:szCs w:val="14"/>
          <w:lang w:val="es-ES_tradnl"/>
        </w:rPr>
        <w:t>Constitucional, </w:t>
      </w:r>
      <w:r>
        <w:rPr>
          <w:sz w:val="14"/>
          <w:szCs w:val="14"/>
          <w:lang w:val="es-ES_tradnl"/>
        </w:rPr>
        <w:t>art</w:t>
      </w:r>
      <w:r>
        <w:rPr>
          <w:rFonts w:cs="Times New Roman"/>
          <w:sz w:val="14"/>
          <w:szCs w:val="14"/>
          <w:lang w:val="es-ES_tradnl"/>
        </w:rPr>
        <w:t>í</w:t>
      </w:r>
      <w:r>
        <w:rPr>
          <w:sz w:val="14"/>
          <w:szCs w:val="14"/>
          <w:lang w:val="es-ES_tradnl"/>
        </w:rPr>
        <w:t>culo 23.- Abuso del derecho.- La jueza o juez podr</w:t>
      </w:r>
      <w:r>
        <w:rPr>
          <w:rFonts w:cs="Times New Roman"/>
          <w:sz w:val="14"/>
          <w:szCs w:val="14"/>
          <w:lang w:val="es-ES_tradnl"/>
        </w:rPr>
        <w:t>á</w:t>
      </w:r>
      <w:r>
        <w:rPr>
          <w:sz w:val="14"/>
          <w:szCs w:val="14"/>
          <w:lang w:val="es-ES_tradnl"/>
        </w:rPr>
        <w:t xml:space="preserve"> disponer de sus facultades correctivas y coercitivas, de conformidad con </w:t>
      </w:r>
      <w:r>
        <w:rPr>
          <w:spacing w:val="-1"/>
          <w:sz w:val="14"/>
          <w:szCs w:val="14"/>
          <w:lang w:val="es-ES_tradnl"/>
        </w:rPr>
        <w:t>el C</w:t>
      </w:r>
      <w:r>
        <w:rPr>
          <w:rFonts w:cs="Times New Roman"/>
          <w:spacing w:val="-1"/>
          <w:sz w:val="14"/>
          <w:szCs w:val="14"/>
          <w:lang w:val="es-ES_tradnl"/>
        </w:rPr>
        <w:t>ó</w:t>
      </w:r>
      <w:r>
        <w:rPr>
          <w:spacing w:val="-1"/>
          <w:sz w:val="14"/>
          <w:szCs w:val="14"/>
          <w:lang w:val="es-ES_tradnl"/>
        </w:rPr>
        <w:t>digo Org</w:t>
      </w:r>
      <w:r>
        <w:rPr>
          <w:rFonts w:cs="Times New Roman"/>
          <w:spacing w:val="-1"/>
          <w:sz w:val="14"/>
          <w:szCs w:val="14"/>
          <w:lang w:val="es-ES_tradnl"/>
        </w:rPr>
        <w:t>á</w:t>
      </w:r>
      <w:r>
        <w:rPr>
          <w:spacing w:val="-1"/>
          <w:sz w:val="14"/>
          <w:szCs w:val="14"/>
          <w:lang w:val="es-ES_tradnl"/>
        </w:rPr>
        <w:t>nico de la Funci</w:t>
      </w:r>
      <w:r>
        <w:rPr>
          <w:rFonts w:cs="Times New Roman"/>
          <w:spacing w:val="-1"/>
          <w:sz w:val="14"/>
          <w:szCs w:val="14"/>
          <w:lang w:val="es-ES_tradnl"/>
        </w:rPr>
        <w:t>ó</w:t>
      </w:r>
      <w:r>
        <w:rPr>
          <w:spacing w:val="-1"/>
          <w:sz w:val="14"/>
          <w:szCs w:val="14"/>
          <w:lang w:val="es-ES_tradnl"/>
        </w:rPr>
        <w:t>n Judicial, a quien, abusando del </w:t>
      </w:r>
      <w:r>
        <w:rPr>
          <w:spacing w:val="-3"/>
          <w:sz w:val="14"/>
          <w:szCs w:val="14"/>
          <w:lang w:val="es-ES_tradnl"/>
        </w:rPr>
        <w:t>derecho, interponga varias acciones en forma simult</w:t>
      </w:r>
      <w:r>
        <w:rPr>
          <w:rFonts w:cs="Times New Roman"/>
          <w:spacing w:val="-3"/>
          <w:sz w:val="14"/>
          <w:szCs w:val="14"/>
          <w:lang w:val="es-ES_tradnl"/>
        </w:rPr>
        <w:t>á</w:t>
      </w:r>
      <w:r>
        <w:rPr>
          <w:spacing w:val="-3"/>
          <w:sz w:val="14"/>
          <w:szCs w:val="14"/>
          <w:lang w:val="es-ES_tradnl"/>
        </w:rPr>
        <w:t>nea o sucesiva </w:t>
      </w:r>
      <w:r>
        <w:rPr>
          <w:spacing w:val="-1"/>
          <w:sz w:val="14"/>
          <w:szCs w:val="14"/>
          <w:lang w:val="es-ES_tradnl"/>
        </w:rPr>
        <w:t>por el mismo acto u omisi</w:t>
      </w:r>
      <w:r>
        <w:rPr>
          <w:rFonts w:cs="Times New Roman"/>
          <w:spacing w:val="-1"/>
          <w:sz w:val="14"/>
          <w:szCs w:val="14"/>
          <w:lang w:val="es-ES_tradnl"/>
        </w:rPr>
        <w:t>ó</w:t>
      </w:r>
      <w:r>
        <w:rPr>
          <w:spacing w:val="-1"/>
          <w:sz w:val="14"/>
          <w:szCs w:val="14"/>
          <w:lang w:val="es-ES_tradnl"/>
        </w:rPr>
        <w:t>n, por violaci</w:t>
      </w:r>
      <w:r>
        <w:rPr>
          <w:rFonts w:cs="Times New Roman"/>
          <w:spacing w:val="-1"/>
          <w:sz w:val="14"/>
          <w:szCs w:val="14"/>
          <w:lang w:val="es-ES_tradnl"/>
        </w:rPr>
        <w:t>ó</w:t>
      </w:r>
      <w:r>
        <w:rPr>
          <w:spacing w:val="-1"/>
          <w:sz w:val="14"/>
          <w:szCs w:val="14"/>
          <w:lang w:val="es-ES_tradnl"/>
        </w:rPr>
        <w:t>n del mismo derecho y en </w:t>
      </w:r>
      <w:r>
        <w:rPr>
          <w:spacing w:val="-3"/>
          <w:sz w:val="14"/>
          <w:szCs w:val="14"/>
          <w:lang w:val="es-ES_tradnl"/>
        </w:rPr>
        <w:t>contra de las mismas personas. En los casos en que los peticionarios </w:t>
      </w:r>
      <w:r>
        <w:rPr>
          <w:spacing w:val="-2"/>
          <w:sz w:val="14"/>
          <w:szCs w:val="14"/>
          <w:lang w:val="es-ES_tradnl"/>
        </w:rPr>
        <w:t>o las abogadas y abogados presenten solicitudes o peticiones de medidas cautelares de mala fe, desnaturalicen los objetivos de las </w:t>
      </w:r>
      <w:r>
        <w:rPr>
          <w:spacing w:val="-3"/>
          <w:sz w:val="14"/>
          <w:szCs w:val="14"/>
          <w:lang w:val="es-ES_tradnl"/>
        </w:rPr>
        <w:t xml:space="preserve">acciones o medidas o con </w:t>
      </w:r>
      <w:r>
        <w:rPr>
          <w:rFonts w:cs="Times New Roman"/>
          <w:spacing w:val="-3"/>
          <w:sz w:val="14"/>
          <w:szCs w:val="14"/>
          <w:lang w:val="es-ES_tradnl"/>
        </w:rPr>
        <w:t>á</w:t>
      </w:r>
      <w:r>
        <w:rPr>
          <w:spacing w:val="-3"/>
          <w:sz w:val="14"/>
          <w:szCs w:val="14"/>
          <w:lang w:val="es-ES_tradnl"/>
        </w:rPr>
        <w:t>nimo de causar da</w:t>
      </w:r>
      <w:r>
        <w:rPr>
          <w:rFonts w:cs="Times New Roman"/>
          <w:spacing w:val="-3"/>
          <w:sz w:val="14"/>
          <w:szCs w:val="14"/>
          <w:lang w:val="es-ES_tradnl"/>
        </w:rPr>
        <w:t>ñ</w:t>
      </w:r>
      <w:r>
        <w:rPr>
          <w:spacing w:val="-3"/>
          <w:sz w:val="14"/>
          <w:szCs w:val="14"/>
          <w:lang w:val="es-ES_tradnl"/>
        </w:rPr>
        <w:t>o, responder</w:t>
      </w:r>
      <w:r>
        <w:rPr>
          <w:rFonts w:cs="Times New Roman"/>
          <w:spacing w:val="-3"/>
          <w:sz w:val="14"/>
          <w:szCs w:val="14"/>
          <w:lang w:val="es-ES_tradnl"/>
        </w:rPr>
        <w:t>á</w:t>
      </w:r>
      <w:r>
        <w:rPr>
          <w:spacing w:val="-3"/>
          <w:sz w:val="14"/>
          <w:szCs w:val="14"/>
          <w:lang w:val="es-ES_tradnl"/>
        </w:rPr>
        <w:t>n civil o </w:t>
      </w:r>
      <w:r>
        <w:rPr>
          <w:spacing w:val="-4"/>
          <w:sz w:val="14"/>
          <w:szCs w:val="14"/>
          <w:lang w:val="es-ES_tradnl"/>
        </w:rPr>
        <w:t>penalmente, sin perjuicio de las facultades correctivas otorgadas a las juezas o jueces por el C</w:t>
      </w:r>
      <w:r>
        <w:rPr>
          <w:rFonts w:cs="Times New Roman"/>
          <w:spacing w:val="-4"/>
          <w:sz w:val="14"/>
          <w:szCs w:val="14"/>
          <w:lang w:val="es-ES_tradnl"/>
        </w:rPr>
        <w:t>ó</w:t>
      </w:r>
      <w:r>
        <w:rPr>
          <w:spacing w:val="-4"/>
          <w:sz w:val="14"/>
          <w:szCs w:val="14"/>
          <w:lang w:val="es-ES_tradnl"/>
        </w:rPr>
        <w:t>digo Org</w:t>
      </w:r>
      <w:r>
        <w:rPr>
          <w:rFonts w:cs="Times New Roman"/>
          <w:spacing w:val="-4"/>
          <w:sz w:val="14"/>
          <w:szCs w:val="14"/>
          <w:lang w:val="es-ES_tradnl"/>
        </w:rPr>
        <w:t>á</w:t>
      </w:r>
      <w:r>
        <w:rPr>
          <w:spacing w:val="-4"/>
          <w:sz w:val="14"/>
          <w:szCs w:val="14"/>
          <w:lang w:val="es-ES_tradnl"/>
        </w:rPr>
        <w:t>nico de la Funci</w:t>
      </w:r>
      <w:r>
        <w:rPr>
          <w:rFonts w:cs="Times New Roman"/>
          <w:spacing w:val="-4"/>
          <w:sz w:val="14"/>
          <w:szCs w:val="14"/>
          <w:lang w:val="es-ES_tradnl"/>
        </w:rPr>
        <w:t>ó</w:t>
      </w:r>
      <w:r>
        <w:rPr>
          <w:spacing w:val="-4"/>
          <w:sz w:val="14"/>
          <w:szCs w:val="14"/>
          <w:lang w:val="es-ES_tradnl"/>
        </w:rPr>
        <w:t>n Judicial y de las sanciones que puedan imponer las direcciones regionales respectivas </w:t>
      </w:r>
      <w:r>
        <w:rPr>
          <w:sz w:val="14"/>
          <w:szCs w:val="14"/>
          <w:lang w:val="es-ES_tradnl"/>
        </w:rPr>
        <w:t>del Consejo de la Judicatura.</w:t>
      </w:r>
    </w:p>
    <w:p w14:paraId="4F67A544" w14:textId="77777777" w:rsidR="00591D54" w:rsidRDefault="00591D54">
      <w:pPr>
        <w:shd w:val="clear" w:color="auto" w:fill="FFFFFF"/>
        <w:tabs>
          <w:tab w:val="left" w:pos="139"/>
        </w:tabs>
        <w:spacing w:before="154" w:line="178" w:lineRule="exact"/>
        <w:ind w:left="139" w:right="5" w:hanging="139"/>
        <w:jc w:val="both"/>
      </w:pPr>
      <w:r>
        <w:rPr>
          <w:sz w:val="10"/>
          <w:szCs w:val="10"/>
          <w:vertAlign w:val="superscript"/>
          <w:lang w:val="es-ES_tradnl"/>
        </w:rPr>
        <w:t>5</w:t>
      </w:r>
      <w:r>
        <w:rPr>
          <w:sz w:val="18"/>
          <w:szCs w:val="18"/>
          <w:lang w:val="es-ES_tradnl"/>
        </w:rPr>
        <w:tab/>
      </w:r>
      <w:r>
        <w:rPr>
          <w:sz w:val="14"/>
          <w:szCs w:val="14"/>
          <w:lang w:val="es-ES_tradnl"/>
        </w:rPr>
        <w:t>Constituci</w:t>
      </w:r>
      <w:r>
        <w:rPr>
          <w:rFonts w:cs="Times New Roman"/>
          <w:sz w:val="14"/>
          <w:szCs w:val="14"/>
          <w:lang w:val="es-ES_tradnl"/>
        </w:rPr>
        <w:t>ó</w:t>
      </w:r>
      <w:r>
        <w:rPr>
          <w:sz w:val="14"/>
          <w:szCs w:val="14"/>
          <w:lang w:val="es-ES_tradnl"/>
        </w:rPr>
        <w:t>n</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la</w:t>
      </w:r>
      <w:r>
        <w:rPr>
          <w:sz w:val="18"/>
          <w:szCs w:val="18"/>
          <w:lang w:val="es-ES_tradnl"/>
        </w:rPr>
        <w:t xml:space="preserve"> </w:t>
      </w:r>
      <w:r>
        <w:rPr>
          <w:sz w:val="14"/>
          <w:szCs w:val="14"/>
          <w:lang w:val="es-ES_tradnl"/>
        </w:rPr>
        <w:t>Rep</w:t>
      </w:r>
      <w:r>
        <w:rPr>
          <w:rFonts w:cs="Times New Roman"/>
          <w:sz w:val="14"/>
          <w:szCs w:val="14"/>
          <w:lang w:val="es-ES_tradnl"/>
        </w:rPr>
        <w:t>ú</w:t>
      </w:r>
      <w:r>
        <w:rPr>
          <w:sz w:val="14"/>
          <w:szCs w:val="14"/>
          <w:lang w:val="es-ES_tradnl"/>
        </w:rPr>
        <w:t>blica,</w:t>
      </w:r>
      <w:r>
        <w:rPr>
          <w:sz w:val="18"/>
          <w:szCs w:val="18"/>
          <w:lang w:val="es-ES_tradnl"/>
        </w:rPr>
        <w:t xml:space="preserve"> </w:t>
      </w:r>
      <w:r>
        <w:rPr>
          <w:sz w:val="14"/>
          <w:szCs w:val="14"/>
          <w:lang w:val="es-ES_tradnl"/>
        </w:rPr>
        <w:t>art</w:t>
      </w:r>
      <w:r>
        <w:rPr>
          <w:rFonts w:cs="Times New Roman"/>
          <w:sz w:val="14"/>
          <w:szCs w:val="14"/>
          <w:lang w:val="es-ES_tradnl"/>
        </w:rPr>
        <w:t>í</w:t>
      </w:r>
      <w:r>
        <w:rPr>
          <w:sz w:val="14"/>
          <w:szCs w:val="14"/>
          <w:lang w:val="es-ES_tradnl"/>
        </w:rPr>
        <w:t>culo</w:t>
      </w:r>
      <w:r>
        <w:rPr>
          <w:sz w:val="18"/>
          <w:szCs w:val="18"/>
          <w:lang w:val="es-ES_tradnl"/>
        </w:rPr>
        <w:t xml:space="preserve"> </w:t>
      </w:r>
      <w:r>
        <w:rPr>
          <w:sz w:val="14"/>
          <w:szCs w:val="14"/>
          <w:lang w:val="es-ES_tradnl"/>
        </w:rPr>
        <w:t>178.-</w:t>
      </w:r>
      <w:r>
        <w:rPr>
          <w:sz w:val="18"/>
          <w:szCs w:val="18"/>
          <w:lang w:val="es-ES_tradnl"/>
        </w:rPr>
        <w:t xml:space="preserve"> </w:t>
      </w:r>
      <w:r>
        <w:rPr>
          <w:sz w:val="14"/>
          <w:szCs w:val="14"/>
          <w:lang w:val="es-ES_tradnl"/>
        </w:rPr>
        <w:t>(</w:t>
      </w:r>
      <w:r>
        <w:rPr>
          <w:rFonts w:cs="Times New Roman"/>
          <w:sz w:val="14"/>
          <w:szCs w:val="14"/>
          <w:lang w:val="es-ES_tradnl"/>
        </w:rPr>
        <w:t>…</w:t>
      </w:r>
      <w:r>
        <w:rPr>
          <w:sz w:val="14"/>
          <w:szCs w:val="14"/>
          <w:lang w:val="es-ES_tradnl"/>
        </w:rPr>
        <w:t>)</w:t>
      </w:r>
      <w:r>
        <w:rPr>
          <w:sz w:val="18"/>
          <w:szCs w:val="18"/>
          <w:lang w:val="es-ES_tradnl"/>
        </w:rPr>
        <w:t xml:space="preserve"> </w:t>
      </w:r>
      <w:r>
        <w:rPr>
          <w:sz w:val="14"/>
          <w:szCs w:val="14"/>
          <w:lang w:val="es-ES_tradnl"/>
        </w:rPr>
        <w:t>El</w:t>
      </w:r>
      <w:r>
        <w:rPr>
          <w:sz w:val="18"/>
          <w:szCs w:val="18"/>
          <w:lang w:val="es-ES_tradnl"/>
        </w:rPr>
        <w:t xml:space="preserve"> </w:t>
      </w:r>
      <w:r>
        <w:rPr>
          <w:sz w:val="14"/>
          <w:szCs w:val="14"/>
          <w:lang w:val="es-ES_tradnl"/>
        </w:rPr>
        <w:t>Consejo</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 xml:space="preserve">la Judicatura es el </w:t>
      </w:r>
      <w:r>
        <w:rPr>
          <w:rFonts w:cs="Times New Roman"/>
          <w:sz w:val="14"/>
          <w:szCs w:val="14"/>
          <w:lang w:val="es-ES_tradnl"/>
        </w:rPr>
        <w:t>ó</w:t>
      </w:r>
      <w:r>
        <w:rPr>
          <w:sz w:val="14"/>
          <w:szCs w:val="14"/>
          <w:lang w:val="es-ES_tradnl"/>
        </w:rPr>
        <w:t>rgano de gobierno, administraci</w:t>
      </w:r>
      <w:r>
        <w:rPr>
          <w:rFonts w:cs="Times New Roman"/>
          <w:sz w:val="14"/>
          <w:szCs w:val="14"/>
          <w:lang w:val="es-ES_tradnl"/>
        </w:rPr>
        <w:t>ó</w:t>
      </w:r>
      <w:r>
        <w:rPr>
          <w:sz w:val="14"/>
          <w:szCs w:val="14"/>
          <w:lang w:val="es-ES_tradnl"/>
        </w:rPr>
        <w:t>n, vigilancia y disciplina de la Funci</w:t>
      </w:r>
      <w:r>
        <w:rPr>
          <w:rFonts w:cs="Times New Roman"/>
          <w:sz w:val="14"/>
          <w:szCs w:val="14"/>
          <w:lang w:val="es-ES_tradnl"/>
        </w:rPr>
        <w:t>ó</w:t>
      </w:r>
      <w:r>
        <w:rPr>
          <w:sz w:val="14"/>
          <w:szCs w:val="14"/>
          <w:lang w:val="es-ES_tradnl"/>
        </w:rPr>
        <w:t>n Judicial. La Funci</w:t>
      </w:r>
      <w:r>
        <w:rPr>
          <w:rFonts w:cs="Times New Roman"/>
          <w:sz w:val="14"/>
          <w:szCs w:val="14"/>
          <w:lang w:val="es-ES_tradnl"/>
        </w:rPr>
        <w:t>ó</w:t>
      </w:r>
      <w:r>
        <w:rPr>
          <w:sz w:val="14"/>
          <w:szCs w:val="14"/>
          <w:lang w:val="es-ES_tradnl"/>
        </w:rPr>
        <w:t>n Judicial tendr</w:t>
      </w:r>
      <w:r>
        <w:rPr>
          <w:rFonts w:cs="Times New Roman"/>
          <w:sz w:val="14"/>
          <w:szCs w:val="14"/>
          <w:lang w:val="es-ES_tradnl"/>
        </w:rPr>
        <w:t>á</w:t>
      </w:r>
      <w:r>
        <w:rPr>
          <w:sz w:val="14"/>
          <w:szCs w:val="14"/>
          <w:lang w:val="es-ES_tradnl"/>
        </w:rPr>
        <w:t xml:space="preserve"> como </w:t>
      </w:r>
      <w:r>
        <w:rPr>
          <w:rFonts w:cs="Times New Roman"/>
          <w:spacing w:val="-2"/>
          <w:sz w:val="14"/>
          <w:szCs w:val="14"/>
          <w:lang w:val="es-ES_tradnl"/>
        </w:rPr>
        <w:t>ó</w:t>
      </w:r>
      <w:r>
        <w:rPr>
          <w:spacing w:val="-2"/>
          <w:sz w:val="14"/>
          <w:szCs w:val="14"/>
          <w:lang w:val="es-ES_tradnl"/>
        </w:rPr>
        <w:t>rganos auxiliares el servicio notarial, los martilladores judiciales, los </w:t>
      </w:r>
      <w:r>
        <w:rPr>
          <w:spacing w:val="-5"/>
          <w:sz w:val="14"/>
          <w:szCs w:val="14"/>
          <w:lang w:val="es-ES_tradnl"/>
        </w:rPr>
        <w:t>depositarios judiciales y los dem</w:t>
      </w:r>
      <w:r>
        <w:rPr>
          <w:rFonts w:cs="Times New Roman"/>
          <w:spacing w:val="-5"/>
          <w:sz w:val="14"/>
          <w:szCs w:val="14"/>
          <w:lang w:val="es-ES_tradnl"/>
        </w:rPr>
        <w:t>á</w:t>
      </w:r>
      <w:r>
        <w:rPr>
          <w:spacing w:val="-5"/>
          <w:sz w:val="14"/>
          <w:szCs w:val="14"/>
          <w:lang w:val="es-ES_tradnl"/>
        </w:rPr>
        <w:t>s que determine la ley. La Defensor</w:t>
      </w:r>
      <w:r>
        <w:rPr>
          <w:rFonts w:cs="Times New Roman"/>
          <w:spacing w:val="-5"/>
          <w:sz w:val="14"/>
          <w:szCs w:val="14"/>
          <w:lang w:val="es-ES_tradnl"/>
        </w:rPr>
        <w:t>í</w:t>
      </w:r>
      <w:r>
        <w:rPr>
          <w:spacing w:val="-5"/>
          <w:sz w:val="14"/>
          <w:szCs w:val="14"/>
          <w:lang w:val="es-ES_tradnl"/>
        </w:rPr>
        <w:t>a </w:t>
      </w:r>
      <w:r>
        <w:rPr>
          <w:spacing w:val="-2"/>
          <w:sz w:val="14"/>
          <w:szCs w:val="14"/>
          <w:lang w:val="es-ES_tradnl"/>
        </w:rPr>
        <w:t>P</w:t>
      </w:r>
      <w:r>
        <w:rPr>
          <w:rFonts w:cs="Times New Roman"/>
          <w:spacing w:val="-2"/>
          <w:sz w:val="14"/>
          <w:szCs w:val="14"/>
          <w:lang w:val="es-ES_tradnl"/>
        </w:rPr>
        <w:t>ú</w:t>
      </w:r>
      <w:r>
        <w:rPr>
          <w:spacing w:val="-2"/>
          <w:sz w:val="14"/>
          <w:szCs w:val="14"/>
          <w:lang w:val="es-ES_tradnl"/>
        </w:rPr>
        <w:t>blica y la Fiscal</w:t>
      </w:r>
      <w:r>
        <w:rPr>
          <w:rFonts w:cs="Times New Roman"/>
          <w:spacing w:val="-2"/>
          <w:sz w:val="14"/>
          <w:szCs w:val="14"/>
          <w:lang w:val="es-ES_tradnl"/>
        </w:rPr>
        <w:t>í</w:t>
      </w:r>
      <w:r>
        <w:rPr>
          <w:spacing w:val="-2"/>
          <w:sz w:val="14"/>
          <w:szCs w:val="14"/>
          <w:lang w:val="es-ES_tradnl"/>
        </w:rPr>
        <w:t xml:space="preserve">a General del Estado son </w:t>
      </w:r>
      <w:r>
        <w:rPr>
          <w:rFonts w:cs="Times New Roman"/>
          <w:spacing w:val="-2"/>
          <w:sz w:val="14"/>
          <w:szCs w:val="14"/>
          <w:lang w:val="es-ES_tradnl"/>
        </w:rPr>
        <w:t>ó</w:t>
      </w:r>
      <w:r>
        <w:rPr>
          <w:spacing w:val="-2"/>
          <w:sz w:val="14"/>
          <w:szCs w:val="14"/>
          <w:lang w:val="es-ES_tradnl"/>
        </w:rPr>
        <w:t>rganos aut</w:t>
      </w:r>
      <w:r>
        <w:rPr>
          <w:rFonts w:cs="Times New Roman"/>
          <w:spacing w:val="-2"/>
          <w:sz w:val="14"/>
          <w:szCs w:val="14"/>
          <w:lang w:val="es-ES_tradnl"/>
        </w:rPr>
        <w:t>ó</w:t>
      </w:r>
      <w:r>
        <w:rPr>
          <w:spacing w:val="-2"/>
          <w:sz w:val="14"/>
          <w:szCs w:val="14"/>
          <w:lang w:val="es-ES_tradnl"/>
        </w:rPr>
        <w:t>nomos de la Funci</w:t>
      </w:r>
      <w:r>
        <w:rPr>
          <w:rFonts w:cs="Times New Roman"/>
          <w:spacing w:val="-2"/>
          <w:sz w:val="14"/>
          <w:szCs w:val="14"/>
          <w:lang w:val="es-ES_tradnl"/>
        </w:rPr>
        <w:t>ó</w:t>
      </w:r>
      <w:r>
        <w:rPr>
          <w:spacing w:val="-2"/>
          <w:sz w:val="14"/>
          <w:szCs w:val="14"/>
          <w:lang w:val="es-ES_tradnl"/>
        </w:rPr>
        <w:t>n Judicial. La ley determinar</w:t>
      </w:r>
      <w:r>
        <w:rPr>
          <w:rFonts w:cs="Times New Roman"/>
          <w:spacing w:val="-2"/>
          <w:sz w:val="14"/>
          <w:szCs w:val="14"/>
          <w:lang w:val="es-ES_tradnl"/>
        </w:rPr>
        <w:t>á</w:t>
      </w:r>
      <w:r>
        <w:rPr>
          <w:spacing w:val="-2"/>
          <w:sz w:val="14"/>
          <w:szCs w:val="14"/>
          <w:lang w:val="es-ES_tradnl"/>
        </w:rPr>
        <w:t xml:space="preserve"> la organizaci</w:t>
      </w:r>
      <w:r>
        <w:rPr>
          <w:rFonts w:cs="Times New Roman"/>
          <w:spacing w:val="-2"/>
          <w:sz w:val="14"/>
          <w:szCs w:val="14"/>
          <w:lang w:val="es-ES_tradnl"/>
        </w:rPr>
        <w:t>ó</w:t>
      </w:r>
      <w:r>
        <w:rPr>
          <w:spacing w:val="-2"/>
          <w:sz w:val="14"/>
          <w:szCs w:val="14"/>
          <w:lang w:val="es-ES_tradnl"/>
        </w:rPr>
        <w:t xml:space="preserve">n, el </w:t>
      </w:r>
      <w:r>
        <w:rPr>
          <w:rFonts w:cs="Times New Roman"/>
          <w:spacing w:val="-2"/>
          <w:sz w:val="14"/>
          <w:szCs w:val="14"/>
          <w:lang w:val="es-ES_tradnl"/>
        </w:rPr>
        <w:t>á</w:t>
      </w:r>
      <w:r>
        <w:rPr>
          <w:spacing w:val="-2"/>
          <w:sz w:val="14"/>
          <w:szCs w:val="14"/>
          <w:lang w:val="es-ES_tradnl"/>
        </w:rPr>
        <w:t>mbito de </w:t>
      </w:r>
      <w:r>
        <w:rPr>
          <w:spacing w:val="-1"/>
          <w:sz w:val="14"/>
          <w:szCs w:val="14"/>
          <w:lang w:val="es-ES_tradnl"/>
        </w:rPr>
        <w:t xml:space="preserve">competencia, el funcionamiento de los </w:t>
      </w:r>
      <w:r>
        <w:rPr>
          <w:rFonts w:cs="Times New Roman"/>
          <w:spacing w:val="-1"/>
          <w:sz w:val="14"/>
          <w:szCs w:val="14"/>
          <w:lang w:val="es-ES_tradnl"/>
        </w:rPr>
        <w:t>ó</w:t>
      </w:r>
      <w:r>
        <w:rPr>
          <w:spacing w:val="-1"/>
          <w:sz w:val="14"/>
          <w:szCs w:val="14"/>
          <w:lang w:val="es-ES_tradnl"/>
        </w:rPr>
        <w:t>rganos judiciales y todo lo </w:t>
      </w:r>
      <w:r>
        <w:rPr>
          <w:spacing w:val="-2"/>
          <w:sz w:val="14"/>
          <w:szCs w:val="14"/>
          <w:lang w:val="es-ES_tradnl"/>
        </w:rPr>
        <w:t>necesario para la adecuada administraci</w:t>
      </w:r>
      <w:r>
        <w:rPr>
          <w:rFonts w:cs="Times New Roman"/>
          <w:spacing w:val="-2"/>
          <w:sz w:val="14"/>
          <w:szCs w:val="14"/>
          <w:lang w:val="es-ES_tradnl"/>
        </w:rPr>
        <w:t>ó</w:t>
      </w:r>
      <w:r>
        <w:rPr>
          <w:spacing w:val="-2"/>
          <w:sz w:val="14"/>
          <w:szCs w:val="14"/>
          <w:lang w:val="es-ES_tradnl"/>
        </w:rPr>
        <w:t>n de justicia.</w:t>
      </w:r>
    </w:p>
    <w:p w14:paraId="4F67A545" w14:textId="77777777" w:rsidR="00591D54" w:rsidRDefault="00591D54">
      <w:pPr>
        <w:shd w:val="clear" w:color="auto" w:fill="FFFFFF"/>
        <w:ind w:left="10"/>
        <w:jc w:val="center"/>
      </w:pPr>
      <w:r>
        <w:br w:type="column"/>
      </w:r>
      <w:r>
        <w:rPr>
          <w:b/>
          <w:bCs/>
          <w:sz w:val="18"/>
          <w:szCs w:val="18"/>
          <w:lang w:val="es-ES_tradnl"/>
        </w:rPr>
        <w:t>SENTENCIA</w:t>
      </w:r>
    </w:p>
    <w:p w14:paraId="4F67A546" w14:textId="77777777" w:rsidR="00591D54" w:rsidRDefault="00591D54" w:rsidP="00251195">
      <w:pPr>
        <w:numPr>
          <w:ilvl w:val="0"/>
          <w:numId w:val="21"/>
        </w:numPr>
        <w:shd w:val="clear" w:color="auto" w:fill="FFFFFF"/>
        <w:tabs>
          <w:tab w:val="left" w:pos="566"/>
        </w:tabs>
        <w:spacing w:before="206" w:line="221" w:lineRule="exact"/>
        <w:ind w:left="566" w:hanging="283"/>
        <w:jc w:val="both"/>
        <w:rPr>
          <w:spacing w:val="-9"/>
          <w:sz w:val="18"/>
          <w:szCs w:val="18"/>
          <w:lang w:val="es-ES_tradnl"/>
        </w:rPr>
      </w:pPr>
      <w:r>
        <w:rPr>
          <w:sz w:val="18"/>
          <w:szCs w:val="18"/>
          <w:lang w:val="es-ES_tradnl"/>
        </w:rPr>
        <w:t>Negar las consultas de constitucionalidad planteadas.</w:t>
      </w:r>
    </w:p>
    <w:p w14:paraId="4F67A547" w14:textId="77777777" w:rsidR="00591D54" w:rsidRDefault="00591D54" w:rsidP="00251195">
      <w:pPr>
        <w:numPr>
          <w:ilvl w:val="0"/>
          <w:numId w:val="21"/>
        </w:numPr>
        <w:shd w:val="clear" w:color="auto" w:fill="FFFFFF"/>
        <w:tabs>
          <w:tab w:val="left" w:pos="566"/>
        </w:tabs>
        <w:spacing w:before="202" w:line="221" w:lineRule="exact"/>
        <w:ind w:left="566" w:hanging="283"/>
        <w:jc w:val="both"/>
        <w:rPr>
          <w:spacing w:val="-9"/>
          <w:sz w:val="18"/>
          <w:szCs w:val="18"/>
          <w:lang w:val="es-ES_tradnl"/>
        </w:rPr>
      </w:pPr>
      <w:r>
        <w:rPr>
          <w:sz w:val="18"/>
          <w:szCs w:val="18"/>
          <w:lang w:val="es-ES_tradnl"/>
        </w:rPr>
        <w:t>Devolver los procesos N.</w:t>
      </w:r>
      <w:r>
        <w:rPr>
          <w:rFonts w:cs="Times New Roman"/>
          <w:sz w:val="18"/>
          <w:szCs w:val="18"/>
          <w:lang w:val="es-ES_tradnl"/>
        </w:rPr>
        <w:t>º</w:t>
      </w:r>
      <w:r>
        <w:rPr>
          <w:sz w:val="18"/>
          <w:szCs w:val="18"/>
          <w:lang w:val="es-ES_tradnl"/>
        </w:rPr>
        <w:t xml:space="preserve"> 0182-2009, 0265-</w:t>
      </w:r>
      <w:r>
        <w:rPr>
          <w:spacing w:val="-5"/>
          <w:sz w:val="18"/>
          <w:szCs w:val="18"/>
          <w:lang w:val="es-ES_tradnl"/>
        </w:rPr>
        <w:t xml:space="preserve">2009, 0273-2009, 0271-2009 y 0314-2009, que </w:t>
      </w:r>
      <w:r>
        <w:rPr>
          <w:sz w:val="18"/>
          <w:szCs w:val="18"/>
          <w:lang w:val="es-ES_tradnl"/>
        </w:rPr>
        <w:t>motivaron las consultas de norma analizadas, al Juzgado Primero de Tr</w:t>
      </w:r>
      <w:r>
        <w:rPr>
          <w:rFonts w:cs="Times New Roman"/>
          <w:sz w:val="18"/>
          <w:szCs w:val="18"/>
          <w:lang w:val="es-ES_tradnl"/>
        </w:rPr>
        <w:t>á</w:t>
      </w:r>
      <w:r>
        <w:rPr>
          <w:sz w:val="18"/>
          <w:szCs w:val="18"/>
          <w:lang w:val="es-ES_tradnl"/>
        </w:rPr>
        <w:t>nsito de Imbabura, a fin de que su juez contin</w:t>
      </w:r>
      <w:r>
        <w:rPr>
          <w:rFonts w:cs="Times New Roman"/>
          <w:sz w:val="18"/>
          <w:szCs w:val="18"/>
          <w:lang w:val="es-ES_tradnl"/>
        </w:rPr>
        <w:t>ú</w:t>
      </w:r>
      <w:r>
        <w:rPr>
          <w:sz w:val="18"/>
          <w:szCs w:val="18"/>
          <w:lang w:val="es-ES_tradnl"/>
        </w:rPr>
        <w:t>e la sustanciaci</w:t>
      </w:r>
      <w:r>
        <w:rPr>
          <w:rFonts w:cs="Times New Roman"/>
          <w:sz w:val="18"/>
          <w:szCs w:val="18"/>
          <w:lang w:val="es-ES_tradnl"/>
        </w:rPr>
        <w:t>ó</w:t>
      </w:r>
      <w:r>
        <w:rPr>
          <w:sz w:val="18"/>
          <w:szCs w:val="18"/>
          <w:lang w:val="es-ES_tradnl"/>
        </w:rPr>
        <w:t xml:space="preserve">n </w:t>
      </w:r>
      <w:r>
        <w:rPr>
          <w:spacing w:val="-3"/>
          <w:sz w:val="18"/>
          <w:szCs w:val="18"/>
          <w:lang w:val="es-ES_tradnl"/>
        </w:rPr>
        <w:t xml:space="preserve">de las referidas causas, cumpliendo lo resuelto </w:t>
      </w:r>
      <w:r>
        <w:rPr>
          <w:spacing w:val="-5"/>
          <w:sz w:val="18"/>
          <w:szCs w:val="18"/>
          <w:lang w:val="es-ES_tradnl"/>
        </w:rPr>
        <w:t>por la Corte Constitucional, para el per</w:t>
      </w:r>
      <w:r>
        <w:rPr>
          <w:rFonts w:cs="Times New Roman"/>
          <w:spacing w:val="-5"/>
          <w:sz w:val="18"/>
          <w:szCs w:val="18"/>
          <w:lang w:val="es-ES_tradnl"/>
        </w:rPr>
        <w:t>í</w:t>
      </w:r>
      <w:r>
        <w:rPr>
          <w:spacing w:val="-5"/>
          <w:sz w:val="18"/>
          <w:szCs w:val="18"/>
          <w:lang w:val="es-ES_tradnl"/>
        </w:rPr>
        <w:t>odo de transici</w:t>
      </w:r>
      <w:r>
        <w:rPr>
          <w:rFonts w:cs="Times New Roman"/>
          <w:spacing w:val="-5"/>
          <w:sz w:val="18"/>
          <w:szCs w:val="18"/>
          <w:lang w:val="es-ES_tradnl"/>
        </w:rPr>
        <w:t>ó</w:t>
      </w:r>
      <w:r>
        <w:rPr>
          <w:spacing w:val="-5"/>
          <w:sz w:val="18"/>
          <w:szCs w:val="18"/>
          <w:lang w:val="es-ES_tradnl"/>
        </w:rPr>
        <w:t>n, conforme lo se</w:t>
      </w:r>
      <w:r>
        <w:rPr>
          <w:rFonts w:cs="Times New Roman"/>
          <w:spacing w:val="-5"/>
          <w:sz w:val="18"/>
          <w:szCs w:val="18"/>
          <w:lang w:val="es-ES_tradnl"/>
        </w:rPr>
        <w:t>ñ</w:t>
      </w:r>
      <w:r>
        <w:rPr>
          <w:spacing w:val="-5"/>
          <w:sz w:val="18"/>
          <w:szCs w:val="18"/>
          <w:lang w:val="es-ES_tradnl"/>
        </w:rPr>
        <w:t xml:space="preserve">alado en la sentencia </w:t>
      </w:r>
      <w:r>
        <w:rPr>
          <w:sz w:val="18"/>
          <w:szCs w:val="18"/>
          <w:lang w:val="es-ES_tradnl"/>
        </w:rPr>
        <w:t>N.</w:t>
      </w:r>
      <w:r>
        <w:rPr>
          <w:rFonts w:cs="Times New Roman"/>
          <w:sz w:val="18"/>
          <w:szCs w:val="18"/>
          <w:lang w:val="es-ES_tradnl"/>
        </w:rPr>
        <w:t>º</w:t>
      </w:r>
      <w:r>
        <w:rPr>
          <w:sz w:val="18"/>
          <w:szCs w:val="18"/>
          <w:lang w:val="es-ES_tradnl"/>
        </w:rPr>
        <w:t xml:space="preserve"> 024-10-SCN-CC.</w:t>
      </w:r>
    </w:p>
    <w:p w14:paraId="4F67A548" w14:textId="77777777" w:rsidR="00591D54" w:rsidRDefault="00591D54" w:rsidP="00251195">
      <w:pPr>
        <w:numPr>
          <w:ilvl w:val="0"/>
          <w:numId w:val="21"/>
        </w:numPr>
        <w:shd w:val="clear" w:color="auto" w:fill="FFFFFF"/>
        <w:tabs>
          <w:tab w:val="left" w:pos="566"/>
        </w:tabs>
        <w:spacing w:before="206" w:line="221" w:lineRule="exact"/>
        <w:ind w:left="566" w:hanging="283"/>
        <w:jc w:val="both"/>
        <w:rPr>
          <w:spacing w:val="-9"/>
          <w:sz w:val="18"/>
          <w:szCs w:val="18"/>
          <w:lang w:val="es-ES_tradnl"/>
        </w:rPr>
      </w:pPr>
      <w:r>
        <w:rPr>
          <w:spacing w:val="-6"/>
          <w:sz w:val="18"/>
          <w:szCs w:val="18"/>
          <w:lang w:val="es-ES_tradnl"/>
        </w:rPr>
        <w:t xml:space="preserve">Remitir la presente sentencia al Consejo de la </w:t>
      </w:r>
      <w:r>
        <w:rPr>
          <w:spacing w:val="-9"/>
          <w:sz w:val="18"/>
          <w:szCs w:val="18"/>
          <w:lang w:val="es-ES_tradnl"/>
        </w:rPr>
        <w:t xml:space="preserve">Judicatura, a fin que con base en las competencias </w:t>
      </w:r>
      <w:r>
        <w:rPr>
          <w:spacing w:val="-1"/>
          <w:sz w:val="18"/>
          <w:szCs w:val="18"/>
          <w:lang w:val="es-ES_tradnl"/>
        </w:rPr>
        <w:t>y atribuciones contenidas en Constituci</w:t>
      </w:r>
      <w:r>
        <w:rPr>
          <w:rFonts w:cs="Times New Roman"/>
          <w:spacing w:val="-1"/>
          <w:sz w:val="18"/>
          <w:szCs w:val="18"/>
          <w:lang w:val="es-ES_tradnl"/>
        </w:rPr>
        <w:t>ó</w:t>
      </w:r>
      <w:r>
        <w:rPr>
          <w:spacing w:val="-1"/>
          <w:sz w:val="18"/>
          <w:szCs w:val="18"/>
          <w:lang w:val="es-ES_tradnl"/>
        </w:rPr>
        <w:t xml:space="preserve">n y la </w:t>
      </w:r>
      <w:r>
        <w:rPr>
          <w:spacing w:val="-5"/>
          <w:sz w:val="18"/>
          <w:szCs w:val="18"/>
          <w:lang w:val="es-ES_tradnl"/>
        </w:rPr>
        <w:t xml:space="preserve">ley, inicie las investigaciones pertinentes a los </w:t>
      </w:r>
      <w:r>
        <w:rPr>
          <w:spacing w:val="-9"/>
          <w:sz w:val="18"/>
          <w:szCs w:val="18"/>
          <w:lang w:val="es-ES_tradnl"/>
        </w:rPr>
        <w:t>funcionarios involucrados en las causas analizadas.</w:t>
      </w:r>
    </w:p>
    <w:p w14:paraId="4F67A549" w14:textId="77777777" w:rsidR="00591D54" w:rsidRDefault="00591D54" w:rsidP="00251195">
      <w:pPr>
        <w:numPr>
          <w:ilvl w:val="0"/>
          <w:numId w:val="21"/>
        </w:numPr>
        <w:shd w:val="clear" w:color="auto" w:fill="FFFFFF"/>
        <w:tabs>
          <w:tab w:val="left" w:pos="566"/>
        </w:tabs>
        <w:spacing w:before="34" w:line="437" w:lineRule="exact"/>
        <w:ind w:left="283"/>
        <w:rPr>
          <w:spacing w:val="-9"/>
          <w:sz w:val="18"/>
          <w:szCs w:val="18"/>
          <w:lang w:val="es-ES_tradnl"/>
        </w:rPr>
      </w:pPr>
      <w:r>
        <w:rPr>
          <w:spacing w:val="-7"/>
          <w:sz w:val="18"/>
          <w:szCs w:val="18"/>
          <w:lang w:val="es-ES_tradnl"/>
        </w:rPr>
        <w:t>Notif</w:t>
      </w:r>
      <w:r>
        <w:rPr>
          <w:rFonts w:cs="Times New Roman"/>
          <w:spacing w:val="-7"/>
          <w:sz w:val="18"/>
          <w:szCs w:val="18"/>
          <w:lang w:val="es-ES_tradnl"/>
        </w:rPr>
        <w:t>í</w:t>
      </w:r>
      <w:r>
        <w:rPr>
          <w:spacing w:val="-7"/>
          <w:sz w:val="18"/>
          <w:szCs w:val="18"/>
          <w:lang w:val="es-ES_tradnl"/>
        </w:rPr>
        <w:t>quese, publ</w:t>
      </w:r>
      <w:r>
        <w:rPr>
          <w:rFonts w:cs="Times New Roman"/>
          <w:spacing w:val="-7"/>
          <w:sz w:val="18"/>
          <w:szCs w:val="18"/>
          <w:lang w:val="es-ES_tradnl"/>
        </w:rPr>
        <w:t>í</w:t>
      </w:r>
      <w:r>
        <w:rPr>
          <w:spacing w:val="-7"/>
          <w:sz w:val="18"/>
          <w:szCs w:val="18"/>
          <w:lang w:val="es-ES_tradnl"/>
        </w:rPr>
        <w:t>quese y c</w:t>
      </w:r>
      <w:r>
        <w:rPr>
          <w:rFonts w:cs="Times New Roman"/>
          <w:spacing w:val="-7"/>
          <w:sz w:val="18"/>
          <w:szCs w:val="18"/>
          <w:lang w:val="es-ES_tradnl"/>
        </w:rPr>
        <w:t>ú</w:t>
      </w:r>
      <w:r>
        <w:rPr>
          <w:spacing w:val="-7"/>
          <w:sz w:val="18"/>
          <w:szCs w:val="18"/>
          <w:lang w:val="es-ES_tradnl"/>
        </w:rPr>
        <w:t>mplase.</w:t>
      </w:r>
    </w:p>
    <w:p w14:paraId="4F67A54A" w14:textId="77777777" w:rsidR="00591D54" w:rsidRDefault="00591D54">
      <w:pPr>
        <w:shd w:val="clear" w:color="auto" w:fill="FFFFFF"/>
        <w:spacing w:line="437" w:lineRule="exact"/>
      </w:pPr>
      <w:r>
        <w:rPr>
          <w:spacing w:val="-4"/>
          <w:sz w:val="18"/>
          <w:szCs w:val="18"/>
          <w:lang w:val="es-ES_tradnl"/>
        </w:rPr>
        <w:t>f.) Patricio Pazmi</w:t>
      </w:r>
      <w:r>
        <w:rPr>
          <w:rFonts w:cs="Times New Roman"/>
          <w:spacing w:val="-4"/>
          <w:sz w:val="18"/>
          <w:szCs w:val="18"/>
          <w:lang w:val="es-ES_tradnl"/>
        </w:rPr>
        <w:t>ñ</w:t>
      </w:r>
      <w:r>
        <w:rPr>
          <w:spacing w:val="-4"/>
          <w:sz w:val="18"/>
          <w:szCs w:val="18"/>
          <w:lang w:val="es-ES_tradnl"/>
        </w:rPr>
        <w:t xml:space="preserve">o Freire, </w:t>
      </w:r>
      <w:r>
        <w:rPr>
          <w:b/>
          <w:bCs/>
          <w:spacing w:val="-4"/>
          <w:sz w:val="18"/>
          <w:szCs w:val="18"/>
          <w:lang w:val="es-ES_tradnl"/>
        </w:rPr>
        <w:t>PRESIDENTE.</w:t>
      </w:r>
    </w:p>
    <w:p w14:paraId="4F67A54B" w14:textId="77777777" w:rsidR="00591D54" w:rsidRDefault="00591D54">
      <w:pPr>
        <w:shd w:val="clear" w:color="auto" w:fill="FFFFFF"/>
        <w:spacing w:line="437" w:lineRule="exact"/>
      </w:pPr>
      <w:r>
        <w:rPr>
          <w:spacing w:val="-4"/>
          <w:sz w:val="18"/>
          <w:szCs w:val="18"/>
          <w:lang w:val="es-ES_tradnl"/>
        </w:rPr>
        <w:t>f.) Pa</w:t>
      </w:r>
      <w:r>
        <w:rPr>
          <w:rFonts w:cs="Times New Roman"/>
          <w:spacing w:val="-4"/>
          <w:sz w:val="18"/>
          <w:szCs w:val="18"/>
          <w:lang w:val="es-ES_tradnl"/>
        </w:rPr>
        <w:t>ú</w:t>
      </w:r>
      <w:r>
        <w:rPr>
          <w:spacing w:val="-4"/>
          <w:sz w:val="18"/>
          <w:szCs w:val="18"/>
          <w:lang w:val="es-ES_tradnl"/>
        </w:rPr>
        <w:t xml:space="preserve">l Prado Chiriboga, </w:t>
      </w:r>
      <w:r>
        <w:rPr>
          <w:b/>
          <w:bCs/>
          <w:spacing w:val="-4"/>
          <w:sz w:val="18"/>
          <w:szCs w:val="18"/>
          <w:lang w:val="es-ES_tradnl"/>
        </w:rPr>
        <w:t>SECRETARIO GENERAL (E).</w:t>
      </w:r>
    </w:p>
    <w:p w14:paraId="4F67A54C" w14:textId="77777777" w:rsidR="00591D54" w:rsidRDefault="00591D54">
      <w:pPr>
        <w:shd w:val="clear" w:color="auto" w:fill="FFFFFF"/>
        <w:spacing w:before="163" w:line="221" w:lineRule="exact"/>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aprobada por el Pleno de la Corte Constitucional, con siete </w:t>
      </w:r>
      <w:r>
        <w:rPr>
          <w:spacing w:val="-10"/>
          <w:sz w:val="18"/>
          <w:szCs w:val="18"/>
          <w:lang w:val="es-ES_tradnl"/>
        </w:rPr>
        <w:t xml:space="preserve">votos a favor, de las juezas y jueces Antonio Gagliardo Loor, </w:t>
      </w:r>
      <w:r>
        <w:rPr>
          <w:spacing w:val="-3"/>
          <w:sz w:val="18"/>
          <w:szCs w:val="18"/>
          <w:lang w:val="es-ES_tradnl"/>
        </w:rPr>
        <w:t>Marcelo Jaramillo Villa, Mar</w:t>
      </w:r>
      <w:r>
        <w:rPr>
          <w:rFonts w:cs="Times New Roman"/>
          <w:spacing w:val="-3"/>
          <w:sz w:val="18"/>
          <w:szCs w:val="18"/>
          <w:lang w:val="es-ES_tradnl"/>
        </w:rPr>
        <w:t>í</w:t>
      </w:r>
      <w:r>
        <w:rPr>
          <w:spacing w:val="-3"/>
          <w:sz w:val="18"/>
          <w:szCs w:val="18"/>
          <w:lang w:val="es-ES_tradnl"/>
        </w:rPr>
        <w:t xml:space="preserve">a del Carmen Maldonado </w:t>
      </w:r>
      <w:r>
        <w:rPr>
          <w:spacing w:val="-7"/>
          <w:sz w:val="18"/>
          <w:szCs w:val="18"/>
          <w:lang w:val="es-ES_tradnl"/>
        </w:rPr>
        <w:t>S</w:t>
      </w:r>
      <w:r>
        <w:rPr>
          <w:rFonts w:cs="Times New Roman"/>
          <w:spacing w:val="-7"/>
          <w:sz w:val="18"/>
          <w:szCs w:val="18"/>
          <w:lang w:val="es-ES_tradnl"/>
        </w:rPr>
        <w:t>á</w:t>
      </w:r>
      <w:r>
        <w:rPr>
          <w:spacing w:val="-7"/>
          <w:sz w:val="18"/>
          <w:szCs w:val="18"/>
          <w:lang w:val="es-ES_tradnl"/>
        </w:rPr>
        <w:t>nchez, Tatiana Orde</w:t>
      </w:r>
      <w:r>
        <w:rPr>
          <w:rFonts w:cs="Times New Roman"/>
          <w:spacing w:val="-7"/>
          <w:sz w:val="18"/>
          <w:szCs w:val="18"/>
          <w:lang w:val="es-ES_tradnl"/>
        </w:rPr>
        <w:t>ñ</w:t>
      </w:r>
      <w:r>
        <w:rPr>
          <w:spacing w:val="-7"/>
          <w:sz w:val="18"/>
          <w:szCs w:val="18"/>
          <w:lang w:val="es-ES_tradnl"/>
        </w:rPr>
        <w:t>ana Sierra, Alfredo Ruiz Guzm</w:t>
      </w:r>
      <w:r>
        <w:rPr>
          <w:rFonts w:cs="Times New Roman"/>
          <w:spacing w:val="-7"/>
          <w:sz w:val="18"/>
          <w:szCs w:val="18"/>
          <w:lang w:val="es-ES_tradnl"/>
        </w:rPr>
        <w:t>á</w:t>
      </w:r>
      <w:r>
        <w:rPr>
          <w:spacing w:val="-7"/>
          <w:sz w:val="18"/>
          <w:szCs w:val="18"/>
          <w:lang w:val="es-ES_tradnl"/>
        </w:rPr>
        <w:t xml:space="preserve">n, </w:t>
      </w:r>
      <w:r>
        <w:rPr>
          <w:spacing w:val="-6"/>
          <w:sz w:val="18"/>
          <w:szCs w:val="18"/>
          <w:lang w:val="es-ES_tradnl"/>
        </w:rPr>
        <w:t>Manuel Viteri Olvera y Patricio Pazmi</w:t>
      </w:r>
      <w:r>
        <w:rPr>
          <w:rFonts w:cs="Times New Roman"/>
          <w:spacing w:val="-6"/>
          <w:sz w:val="18"/>
          <w:szCs w:val="18"/>
          <w:lang w:val="es-ES_tradnl"/>
        </w:rPr>
        <w:t>ñ</w:t>
      </w:r>
      <w:r>
        <w:rPr>
          <w:spacing w:val="-6"/>
          <w:sz w:val="18"/>
          <w:szCs w:val="18"/>
          <w:lang w:val="es-ES_tradnl"/>
        </w:rPr>
        <w:t xml:space="preserve">o Freire, sin contar con la presencia de las juezas Wendy Molina Andrade y </w:t>
      </w:r>
      <w:r>
        <w:rPr>
          <w:spacing w:val="-8"/>
          <w:sz w:val="18"/>
          <w:szCs w:val="18"/>
          <w:lang w:val="es-ES_tradnl"/>
        </w:rPr>
        <w:t>Ruth Seni Pinoargote, en sesi</w:t>
      </w:r>
      <w:r>
        <w:rPr>
          <w:rFonts w:cs="Times New Roman"/>
          <w:spacing w:val="-8"/>
          <w:sz w:val="18"/>
          <w:szCs w:val="18"/>
          <w:lang w:val="es-ES_tradnl"/>
        </w:rPr>
        <w:t>ó</w:t>
      </w:r>
      <w:r>
        <w:rPr>
          <w:spacing w:val="-8"/>
          <w:sz w:val="18"/>
          <w:szCs w:val="18"/>
          <w:lang w:val="es-ES_tradnl"/>
        </w:rPr>
        <w:t xml:space="preserve">n de 19 de agosto del 2015. </w:t>
      </w:r>
      <w:r>
        <w:rPr>
          <w:sz w:val="18"/>
          <w:szCs w:val="18"/>
          <w:lang w:val="es-ES_tradnl"/>
        </w:rPr>
        <w:t>Lo certifico.</w:t>
      </w:r>
    </w:p>
    <w:p w14:paraId="4F67A54D" w14:textId="77777777" w:rsidR="00591D54" w:rsidRDefault="00591D54">
      <w:pPr>
        <w:shd w:val="clear" w:color="auto" w:fill="FFFFFF"/>
        <w:spacing w:before="197"/>
      </w:pPr>
      <w:r>
        <w:rPr>
          <w:spacing w:val="-4"/>
          <w:sz w:val="18"/>
          <w:szCs w:val="18"/>
          <w:lang w:val="es-ES_tradnl"/>
        </w:rPr>
        <w:t>f.) Pa</w:t>
      </w:r>
      <w:r>
        <w:rPr>
          <w:rFonts w:cs="Times New Roman"/>
          <w:spacing w:val="-4"/>
          <w:sz w:val="18"/>
          <w:szCs w:val="18"/>
          <w:lang w:val="es-ES_tradnl"/>
        </w:rPr>
        <w:t>ú</w:t>
      </w:r>
      <w:r>
        <w:rPr>
          <w:spacing w:val="-4"/>
          <w:sz w:val="18"/>
          <w:szCs w:val="18"/>
          <w:lang w:val="es-ES_tradnl"/>
        </w:rPr>
        <w:t xml:space="preserve">l Prado Chiriboga, </w:t>
      </w:r>
      <w:r>
        <w:rPr>
          <w:b/>
          <w:bCs/>
          <w:spacing w:val="-4"/>
          <w:sz w:val="18"/>
          <w:szCs w:val="18"/>
          <w:lang w:val="es-ES_tradnl"/>
        </w:rPr>
        <w:t>SECRETARIO GENERAL (E).</w:t>
      </w:r>
    </w:p>
    <w:p w14:paraId="4F67A54E" w14:textId="77777777" w:rsidR="00591D54" w:rsidRDefault="00591D54">
      <w:pPr>
        <w:shd w:val="clear" w:color="auto" w:fill="FFFFFF"/>
        <w:spacing w:before="202" w:line="221"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A54F" w14:textId="77777777" w:rsidR="00591D54" w:rsidRDefault="00591D54">
      <w:pPr>
        <w:shd w:val="clear" w:color="auto" w:fill="FFFFFF"/>
        <w:spacing w:before="197" w:line="226" w:lineRule="exact"/>
        <w:jc w:val="both"/>
      </w:pPr>
      <w:r>
        <w:rPr>
          <w:b/>
          <w:bCs/>
          <w:spacing w:val="-4"/>
          <w:sz w:val="18"/>
          <w:szCs w:val="18"/>
          <w:u w:val="single"/>
          <w:lang w:val="es-ES_tradnl"/>
        </w:rPr>
        <w:t>CASO Nro. N.</w:t>
      </w:r>
      <w:r>
        <w:rPr>
          <w:rFonts w:cs="Times New Roman"/>
          <w:b/>
          <w:bCs/>
          <w:spacing w:val="-4"/>
          <w:sz w:val="18"/>
          <w:szCs w:val="18"/>
          <w:u w:val="single"/>
          <w:lang w:val="es-ES_tradnl"/>
        </w:rPr>
        <w:t>º</w:t>
      </w:r>
      <w:r>
        <w:rPr>
          <w:b/>
          <w:bCs/>
          <w:spacing w:val="-4"/>
          <w:sz w:val="18"/>
          <w:szCs w:val="18"/>
          <w:u w:val="single"/>
          <w:lang w:val="es-ES_tradnl"/>
        </w:rPr>
        <w:t xml:space="preserve"> 0042-09-CN, 0043-09-CN, 0007-10-CN, </w:t>
      </w:r>
      <w:r>
        <w:rPr>
          <w:b/>
          <w:bCs/>
          <w:spacing w:val="-3"/>
          <w:sz w:val="18"/>
          <w:szCs w:val="18"/>
          <w:u w:val="single"/>
          <w:lang w:val="es-ES_tradnl"/>
        </w:rPr>
        <w:t>0008-10-CN y 0009-10-CN ACUMULADOS</w:t>
      </w:r>
    </w:p>
    <w:p w14:paraId="4F67A550" w14:textId="77777777" w:rsidR="00591D54" w:rsidRDefault="00591D54">
      <w:pPr>
        <w:shd w:val="clear" w:color="auto" w:fill="FFFFFF"/>
        <w:spacing w:before="202" w:line="221" w:lineRule="exact"/>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w:t>
      </w:r>
      <w:r>
        <w:rPr>
          <w:spacing w:val="-7"/>
          <w:sz w:val="18"/>
          <w:szCs w:val="18"/>
          <w:lang w:val="es-ES_tradnl"/>
        </w:rPr>
        <w:t>suscrita por el Juez Patricio Pazmi</w:t>
      </w:r>
      <w:r>
        <w:rPr>
          <w:rFonts w:cs="Times New Roman"/>
          <w:spacing w:val="-7"/>
          <w:sz w:val="18"/>
          <w:szCs w:val="18"/>
          <w:lang w:val="es-ES_tradnl"/>
        </w:rPr>
        <w:t>ñ</w:t>
      </w:r>
      <w:r>
        <w:rPr>
          <w:spacing w:val="-7"/>
          <w:sz w:val="18"/>
          <w:szCs w:val="18"/>
          <w:lang w:val="es-ES_tradnl"/>
        </w:rPr>
        <w:t>o Freire, Presidente de la Corte Constitucional, el d</w:t>
      </w:r>
      <w:r>
        <w:rPr>
          <w:rFonts w:cs="Times New Roman"/>
          <w:spacing w:val="-7"/>
          <w:sz w:val="18"/>
          <w:szCs w:val="18"/>
          <w:lang w:val="es-ES_tradnl"/>
        </w:rPr>
        <w:t>í</w:t>
      </w:r>
      <w:r>
        <w:rPr>
          <w:spacing w:val="-7"/>
          <w:sz w:val="18"/>
          <w:szCs w:val="18"/>
          <w:lang w:val="es-ES_tradnl"/>
        </w:rPr>
        <w:t>a mi</w:t>
      </w:r>
      <w:r>
        <w:rPr>
          <w:rFonts w:cs="Times New Roman"/>
          <w:spacing w:val="-7"/>
          <w:sz w:val="18"/>
          <w:szCs w:val="18"/>
          <w:lang w:val="es-ES_tradnl"/>
        </w:rPr>
        <w:t>é</w:t>
      </w:r>
      <w:r>
        <w:rPr>
          <w:spacing w:val="-7"/>
          <w:sz w:val="18"/>
          <w:szCs w:val="18"/>
          <w:lang w:val="es-ES_tradnl"/>
        </w:rPr>
        <w:t xml:space="preserve">rcoles 23 de septiembre </w:t>
      </w:r>
      <w:r>
        <w:rPr>
          <w:sz w:val="18"/>
          <w:szCs w:val="18"/>
          <w:lang w:val="es-ES_tradnl"/>
        </w:rPr>
        <w:t>del dos mil quince.- Lo certifico.</w:t>
      </w:r>
    </w:p>
    <w:p w14:paraId="4F67A551" w14:textId="77777777" w:rsidR="00591D54" w:rsidRDefault="00591D54">
      <w:pPr>
        <w:shd w:val="clear" w:color="auto" w:fill="FFFFFF"/>
        <w:spacing w:before="197"/>
      </w:pPr>
      <w:r>
        <w:rPr>
          <w:spacing w:val="-7"/>
          <w:sz w:val="18"/>
          <w:szCs w:val="18"/>
          <w:lang w:val="es-ES_tradnl"/>
        </w:rPr>
        <w:t xml:space="preserve">f.) Jaime Pozo Chamorro, </w:t>
      </w:r>
      <w:r>
        <w:rPr>
          <w:b/>
          <w:bCs/>
          <w:spacing w:val="-7"/>
          <w:sz w:val="18"/>
          <w:szCs w:val="18"/>
          <w:lang w:val="es-ES_tradnl"/>
        </w:rPr>
        <w:t>Secretario General.</w:t>
      </w:r>
    </w:p>
    <w:p w14:paraId="4F67A552" w14:textId="77777777" w:rsidR="00591D54" w:rsidRDefault="00591D54">
      <w:pPr>
        <w:shd w:val="clear" w:color="auto" w:fill="FFFFFF"/>
        <w:spacing w:before="202" w:line="221"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A553" w14:textId="77777777" w:rsidR="00591D54" w:rsidRDefault="00591D54">
      <w:pPr>
        <w:shd w:val="clear" w:color="auto" w:fill="FFFFFF"/>
        <w:spacing w:before="202" w:line="221" w:lineRule="exact"/>
        <w:jc w:val="both"/>
        <w:sectPr w:rsidR="00591D54">
          <w:type w:val="continuous"/>
          <w:pgSz w:w="11909" w:h="16834"/>
          <w:pgMar w:top="1359" w:right="1309" w:bottom="360" w:left="1308" w:header="720" w:footer="720" w:gutter="0"/>
          <w:cols w:num="2" w:space="720" w:equalWidth="0">
            <w:col w:w="4305" w:space="682"/>
            <w:col w:w="4305"/>
          </w:cols>
          <w:noEndnote/>
        </w:sectPr>
      </w:pPr>
    </w:p>
    <w:p w14:paraId="4F67A554" w14:textId="77777777" w:rsidR="00591D54" w:rsidRDefault="00591D54">
      <w:pPr>
        <w:shd w:val="clear" w:color="auto" w:fill="FFFFFF"/>
        <w:tabs>
          <w:tab w:val="left" w:pos="5952"/>
        </w:tabs>
        <w:spacing w:after="72"/>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- 27</w:t>
      </w:r>
    </w:p>
    <w:p w14:paraId="4F67A555" w14:textId="77777777" w:rsidR="00591D54" w:rsidRDefault="00591D54">
      <w:pPr>
        <w:shd w:val="clear" w:color="auto" w:fill="FFFFFF"/>
        <w:tabs>
          <w:tab w:val="left" w:pos="5952"/>
        </w:tabs>
        <w:spacing w:after="72"/>
        <w:ind w:left="5"/>
        <w:sectPr w:rsidR="00591D54">
          <w:pgSz w:w="11909" w:h="16834"/>
          <w:pgMar w:top="1371" w:right="1309" w:bottom="360" w:left="1308" w:header="720" w:footer="720" w:gutter="0"/>
          <w:cols w:space="60"/>
          <w:noEndnote/>
        </w:sectPr>
      </w:pPr>
    </w:p>
    <w:p w14:paraId="4F67A556" w14:textId="77777777" w:rsidR="00591D54" w:rsidRDefault="00591D54">
      <w:pPr>
        <w:shd w:val="clear" w:color="auto" w:fill="FFFFFF"/>
        <w:spacing w:line="427" w:lineRule="exact"/>
      </w:pPr>
      <w:r>
        <w:rPr>
          <w:spacing w:val="-5"/>
          <w:sz w:val="18"/>
          <w:szCs w:val="18"/>
          <w:lang w:val="es-ES_tradnl"/>
        </w:rPr>
        <w:t>Quito, D. M., 05 de agosto del 2015</w:t>
      </w:r>
    </w:p>
    <w:p w14:paraId="4F67A557" w14:textId="77777777" w:rsidR="00591D54" w:rsidRDefault="00591D54">
      <w:pPr>
        <w:shd w:val="clear" w:color="auto" w:fill="FFFFFF"/>
        <w:spacing w:line="427" w:lineRule="exact"/>
        <w:ind w:left="850"/>
      </w:pPr>
      <w:r>
        <w:rPr>
          <w:b/>
          <w:bCs/>
          <w:spacing w:val="-1"/>
          <w:sz w:val="18"/>
          <w:szCs w:val="18"/>
          <w:u w:val="single"/>
          <w:lang w:val="es-ES_tradnl"/>
        </w:rPr>
        <w:t>SENTENCIA N.</w:t>
      </w:r>
      <w:r>
        <w:rPr>
          <w:rFonts w:cs="Times New Roman"/>
          <w:b/>
          <w:bCs/>
          <w:spacing w:val="-1"/>
          <w:sz w:val="18"/>
          <w:szCs w:val="18"/>
          <w:u w:val="single"/>
          <w:lang w:val="es-ES_tradnl"/>
        </w:rPr>
        <w:t>º</w:t>
      </w:r>
      <w:r>
        <w:rPr>
          <w:b/>
          <w:bCs/>
          <w:spacing w:val="-1"/>
          <w:sz w:val="18"/>
          <w:szCs w:val="18"/>
          <w:u w:val="single"/>
          <w:lang w:val="es-ES_tradnl"/>
        </w:rPr>
        <w:t xml:space="preserve"> 032-15-SIN-CC</w:t>
      </w:r>
    </w:p>
    <w:p w14:paraId="4F67A558" w14:textId="77777777" w:rsidR="00591D54" w:rsidRDefault="00591D54">
      <w:pPr>
        <w:shd w:val="clear" w:color="auto" w:fill="FFFFFF"/>
        <w:spacing w:line="427" w:lineRule="exact"/>
        <w:ind w:left="1296"/>
      </w:pPr>
      <w:r>
        <w:rPr>
          <w:b/>
          <w:bCs/>
          <w:spacing w:val="-3"/>
          <w:sz w:val="18"/>
          <w:szCs w:val="18"/>
          <w:u w:val="single"/>
          <w:lang w:val="es-ES_tradnl"/>
        </w:rPr>
        <w:t>CASO N.</w:t>
      </w:r>
      <w:r>
        <w:rPr>
          <w:rFonts w:cs="Times New Roman"/>
          <w:b/>
          <w:bCs/>
          <w:spacing w:val="-3"/>
          <w:sz w:val="18"/>
          <w:szCs w:val="18"/>
          <w:u w:val="single"/>
          <w:lang w:val="es-ES_tradnl"/>
        </w:rPr>
        <w:t>º</w:t>
      </w:r>
      <w:r>
        <w:rPr>
          <w:b/>
          <w:bCs/>
          <w:spacing w:val="-3"/>
          <w:sz w:val="18"/>
          <w:szCs w:val="18"/>
          <w:u w:val="single"/>
          <w:lang w:val="es-ES_tradnl"/>
        </w:rPr>
        <w:t xml:space="preserve"> 0018-15-IN</w:t>
      </w:r>
    </w:p>
    <w:p w14:paraId="4F67A559" w14:textId="77777777" w:rsidR="00591D54" w:rsidRDefault="00591D54">
      <w:pPr>
        <w:shd w:val="clear" w:color="auto" w:fill="FFFFFF"/>
        <w:spacing w:line="427" w:lineRule="exact"/>
        <w:ind w:left="278"/>
      </w:pPr>
      <w:r>
        <w:rPr>
          <w:b/>
          <w:bCs/>
          <w:sz w:val="18"/>
          <w:szCs w:val="18"/>
          <w:lang w:val="es-ES_tradnl"/>
        </w:rPr>
        <w:t>CORTE CONSTITUCIONAL DEL ECUADOR</w:t>
      </w:r>
    </w:p>
    <w:p w14:paraId="4F67A55A" w14:textId="77777777" w:rsidR="00591D54" w:rsidRDefault="00591D54">
      <w:pPr>
        <w:shd w:val="clear" w:color="auto" w:fill="FFFFFF"/>
        <w:spacing w:line="427" w:lineRule="exact"/>
        <w:ind w:left="1330"/>
      </w:pPr>
      <w:r>
        <w:rPr>
          <w:b/>
          <w:bCs/>
          <w:sz w:val="18"/>
          <w:szCs w:val="18"/>
          <w:lang w:val="es-ES_tradnl"/>
        </w:rPr>
        <w:t>I. ANTECEDENTES</w:t>
      </w:r>
    </w:p>
    <w:p w14:paraId="4F67A55B" w14:textId="77777777" w:rsidR="00591D54" w:rsidRDefault="00591D54">
      <w:pPr>
        <w:shd w:val="clear" w:color="auto" w:fill="FFFFFF"/>
        <w:spacing w:line="427" w:lineRule="exact"/>
      </w:pPr>
      <w:r>
        <w:rPr>
          <w:b/>
          <w:bCs/>
          <w:spacing w:val="-8"/>
          <w:sz w:val="18"/>
          <w:szCs w:val="18"/>
          <w:lang w:val="es-ES_tradnl"/>
        </w:rPr>
        <w:t>Resumen de admisibilidad</w:t>
      </w:r>
    </w:p>
    <w:p w14:paraId="4F67A55C" w14:textId="77777777" w:rsidR="00591D54" w:rsidRDefault="00591D54">
      <w:pPr>
        <w:shd w:val="clear" w:color="auto" w:fill="FFFFFF"/>
        <w:spacing w:before="163" w:line="216" w:lineRule="exact"/>
        <w:jc w:val="both"/>
      </w:pPr>
      <w:r>
        <w:rPr>
          <w:spacing w:val="-4"/>
          <w:sz w:val="18"/>
          <w:szCs w:val="18"/>
          <w:lang w:val="es-ES_tradnl"/>
        </w:rPr>
        <w:t>La presente acci</w:t>
      </w:r>
      <w:r>
        <w:rPr>
          <w:rFonts w:cs="Times New Roman"/>
          <w:spacing w:val="-4"/>
          <w:sz w:val="18"/>
          <w:szCs w:val="18"/>
          <w:lang w:val="es-ES_tradnl"/>
        </w:rPr>
        <w:t>ó</w:t>
      </w:r>
      <w:r>
        <w:rPr>
          <w:spacing w:val="-4"/>
          <w:sz w:val="18"/>
          <w:szCs w:val="18"/>
          <w:lang w:val="es-ES_tradnl"/>
        </w:rPr>
        <w:t>n p</w:t>
      </w:r>
      <w:r>
        <w:rPr>
          <w:rFonts w:cs="Times New Roman"/>
          <w:spacing w:val="-4"/>
          <w:sz w:val="18"/>
          <w:szCs w:val="18"/>
          <w:lang w:val="es-ES_tradnl"/>
        </w:rPr>
        <w:t>ú</w:t>
      </w:r>
      <w:r>
        <w:rPr>
          <w:spacing w:val="-4"/>
          <w:sz w:val="18"/>
          <w:szCs w:val="18"/>
          <w:lang w:val="es-ES_tradnl"/>
        </w:rPr>
        <w:t xml:space="preserve">blica de inconstitucionalidad fue </w:t>
      </w:r>
      <w:r>
        <w:rPr>
          <w:spacing w:val="-3"/>
          <w:sz w:val="18"/>
          <w:szCs w:val="18"/>
          <w:lang w:val="es-ES_tradnl"/>
        </w:rPr>
        <w:t>planteada por la abogada Mar</w:t>
      </w:r>
      <w:r>
        <w:rPr>
          <w:rFonts w:cs="Times New Roman"/>
          <w:spacing w:val="-3"/>
          <w:sz w:val="18"/>
          <w:szCs w:val="18"/>
          <w:lang w:val="es-ES_tradnl"/>
        </w:rPr>
        <w:t>í</w:t>
      </w:r>
      <w:r>
        <w:rPr>
          <w:spacing w:val="-3"/>
          <w:sz w:val="18"/>
          <w:szCs w:val="18"/>
          <w:lang w:val="es-ES_tradnl"/>
        </w:rPr>
        <w:t>a del Carmen Burgos Mac</w:t>
      </w:r>
      <w:r>
        <w:rPr>
          <w:rFonts w:cs="Times New Roman"/>
          <w:spacing w:val="-3"/>
          <w:sz w:val="18"/>
          <w:szCs w:val="18"/>
          <w:lang w:val="es-ES_tradnl"/>
        </w:rPr>
        <w:t>í</w:t>
      </w:r>
      <w:r>
        <w:rPr>
          <w:spacing w:val="-3"/>
          <w:sz w:val="18"/>
          <w:szCs w:val="18"/>
          <w:lang w:val="es-ES_tradnl"/>
        </w:rPr>
        <w:t xml:space="preserve">as, quien comparece en calidad de procuradora </w:t>
      </w:r>
      <w:r>
        <w:rPr>
          <w:spacing w:val="-7"/>
          <w:sz w:val="18"/>
          <w:szCs w:val="18"/>
          <w:lang w:val="es-ES_tradnl"/>
        </w:rPr>
        <w:t xml:space="preserve">judicial del Consorcio Ecuatoriano de Telecomunicaciones </w:t>
      </w:r>
      <w:r>
        <w:rPr>
          <w:sz w:val="18"/>
          <w:szCs w:val="18"/>
          <w:lang w:val="es-ES_tradnl"/>
        </w:rPr>
        <w:t>S. A. (CONECEL), respecto del art</w:t>
      </w:r>
      <w:r>
        <w:rPr>
          <w:rFonts w:cs="Times New Roman"/>
          <w:sz w:val="18"/>
          <w:szCs w:val="18"/>
          <w:lang w:val="es-ES_tradnl"/>
        </w:rPr>
        <w:t>í</w:t>
      </w:r>
      <w:r>
        <w:rPr>
          <w:sz w:val="18"/>
          <w:szCs w:val="18"/>
          <w:lang w:val="es-ES_tradnl"/>
        </w:rPr>
        <w:t xml:space="preserve">culo 18 de la </w:t>
      </w:r>
      <w:r>
        <w:rPr>
          <w:rFonts w:cs="Times New Roman"/>
          <w:spacing w:val="-6"/>
          <w:sz w:val="18"/>
          <w:szCs w:val="18"/>
          <w:lang w:val="es-ES_tradnl"/>
        </w:rPr>
        <w:t>“</w:t>
      </w:r>
      <w:r>
        <w:rPr>
          <w:spacing w:val="-6"/>
          <w:sz w:val="18"/>
          <w:szCs w:val="18"/>
          <w:lang w:val="es-ES_tradnl"/>
        </w:rPr>
        <w:t xml:space="preserve">Ordenanza sustitutiva que sustituye a la ordenanza que </w:t>
      </w:r>
      <w:r>
        <w:rPr>
          <w:spacing w:val="-5"/>
          <w:sz w:val="18"/>
          <w:szCs w:val="18"/>
          <w:lang w:val="es-ES_tradnl"/>
        </w:rPr>
        <w:t>regula la instalaci</w:t>
      </w:r>
      <w:r>
        <w:rPr>
          <w:rFonts w:cs="Times New Roman"/>
          <w:spacing w:val="-5"/>
          <w:sz w:val="18"/>
          <w:szCs w:val="18"/>
          <w:lang w:val="es-ES_tradnl"/>
        </w:rPr>
        <w:t>ó</w:t>
      </w:r>
      <w:r>
        <w:rPr>
          <w:spacing w:val="-5"/>
          <w:sz w:val="18"/>
          <w:szCs w:val="18"/>
          <w:lang w:val="es-ES_tradnl"/>
        </w:rPr>
        <w:t>n de postes y l</w:t>
      </w:r>
      <w:r>
        <w:rPr>
          <w:rFonts w:cs="Times New Roman"/>
          <w:spacing w:val="-5"/>
          <w:sz w:val="18"/>
          <w:szCs w:val="18"/>
          <w:lang w:val="es-ES_tradnl"/>
        </w:rPr>
        <w:t>í</w:t>
      </w:r>
      <w:r>
        <w:rPr>
          <w:spacing w:val="-5"/>
          <w:sz w:val="18"/>
          <w:szCs w:val="18"/>
          <w:lang w:val="es-ES_tradnl"/>
        </w:rPr>
        <w:t xml:space="preserve">neas de media y baja </w:t>
      </w:r>
      <w:r>
        <w:rPr>
          <w:spacing w:val="-6"/>
          <w:sz w:val="18"/>
          <w:szCs w:val="18"/>
          <w:lang w:val="es-ES_tradnl"/>
        </w:rPr>
        <w:t>tensi</w:t>
      </w:r>
      <w:r>
        <w:rPr>
          <w:rFonts w:cs="Times New Roman"/>
          <w:spacing w:val="-6"/>
          <w:sz w:val="18"/>
          <w:szCs w:val="18"/>
          <w:lang w:val="es-ES_tradnl"/>
        </w:rPr>
        <w:t>ó</w:t>
      </w:r>
      <w:r>
        <w:rPr>
          <w:spacing w:val="-6"/>
          <w:sz w:val="18"/>
          <w:szCs w:val="18"/>
          <w:lang w:val="es-ES_tradnl"/>
        </w:rPr>
        <w:t>n de l</w:t>
      </w:r>
      <w:r>
        <w:rPr>
          <w:rFonts w:cs="Times New Roman"/>
          <w:spacing w:val="-6"/>
          <w:sz w:val="18"/>
          <w:szCs w:val="18"/>
          <w:lang w:val="es-ES_tradnl"/>
        </w:rPr>
        <w:t>í</w:t>
      </w:r>
      <w:r>
        <w:rPr>
          <w:spacing w:val="-6"/>
          <w:sz w:val="18"/>
          <w:szCs w:val="18"/>
          <w:lang w:val="es-ES_tradnl"/>
        </w:rPr>
        <w:t>nea el</w:t>
      </w:r>
      <w:r>
        <w:rPr>
          <w:rFonts w:cs="Times New Roman"/>
          <w:spacing w:val="-6"/>
          <w:sz w:val="18"/>
          <w:szCs w:val="18"/>
          <w:lang w:val="es-ES_tradnl"/>
        </w:rPr>
        <w:t>é</w:t>
      </w:r>
      <w:r>
        <w:rPr>
          <w:spacing w:val="-6"/>
          <w:sz w:val="18"/>
          <w:szCs w:val="18"/>
          <w:lang w:val="es-ES_tradnl"/>
        </w:rPr>
        <w:t>ctrica y de telecomunicaciones a</w:t>
      </w:r>
      <w:r>
        <w:rPr>
          <w:rFonts w:cs="Times New Roman"/>
          <w:spacing w:val="-6"/>
          <w:sz w:val="18"/>
          <w:szCs w:val="18"/>
          <w:lang w:val="es-ES_tradnl"/>
        </w:rPr>
        <w:t>é</w:t>
      </w:r>
      <w:r>
        <w:rPr>
          <w:spacing w:val="-6"/>
          <w:sz w:val="18"/>
          <w:szCs w:val="18"/>
          <w:lang w:val="es-ES_tradnl"/>
        </w:rPr>
        <w:t>reas y subterr</w:t>
      </w:r>
      <w:r>
        <w:rPr>
          <w:rFonts w:cs="Times New Roman"/>
          <w:spacing w:val="-6"/>
          <w:sz w:val="18"/>
          <w:szCs w:val="18"/>
          <w:lang w:val="es-ES_tradnl"/>
        </w:rPr>
        <w:t>á</w:t>
      </w:r>
      <w:r>
        <w:rPr>
          <w:spacing w:val="-6"/>
          <w:sz w:val="18"/>
          <w:szCs w:val="18"/>
          <w:lang w:val="es-ES_tradnl"/>
        </w:rPr>
        <w:t>neas en el cant</w:t>
      </w:r>
      <w:r>
        <w:rPr>
          <w:rFonts w:cs="Times New Roman"/>
          <w:spacing w:val="-6"/>
          <w:sz w:val="18"/>
          <w:szCs w:val="18"/>
          <w:lang w:val="es-ES_tradnl"/>
        </w:rPr>
        <w:t>ó</w:t>
      </w:r>
      <w:r>
        <w:rPr>
          <w:spacing w:val="-6"/>
          <w:sz w:val="18"/>
          <w:szCs w:val="18"/>
          <w:lang w:val="es-ES_tradnl"/>
        </w:rPr>
        <w:t>n Chone</w:t>
      </w:r>
      <w:r>
        <w:rPr>
          <w:rFonts w:cs="Times New Roman"/>
          <w:spacing w:val="-6"/>
          <w:sz w:val="18"/>
          <w:szCs w:val="18"/>
          <w:lang w:val="es-ES_tradnl"/>
        </w:rPr>
        <w:t>”</w:t>
      </w:r>
      <w:r>
        <w:rPr>
          <w:spacing w:val="-6"/>
          <w:sz w:val="18"/>
          <w:szCs w:val="18"/>
          <w:lang w:val="es-ES_tradnl"/>
        </w:rPr>
        <w:t xml:space="preserve">, publicada en el </w:t>
      </w:r>
      <w:r>
        <w:rPr>
          <w:spacing w:val="-3"/>
          <w:sz w:val="18"/>
          <w:szCs w:val="18"/>
          <w:lang w:val="es-ES_tradnl"/>
        </w:rPr>
        <w:t>suplemento del Registro Oficial N.</w:t>
      </w:r>
      <w:r>
        <w:rPr>
          <w:rFonts w:cs="Times New Roman"/>
          <w:spacing w:val="-3"/>
          <w:sz w:val="18"/>
          <w:szCs w:val="18"/>
          <w:lang w:val="es-ES_tradnl"/>
        </w:rPr>
        <w:t>º</w:t>
      </w:r>
      <w:r>
        <w:rPr>
          <w:spacing w:val="-3"/>
          <w:sz w:val="18"/>
          <w:szCs w:val="18"/>
          <w:lang w:val="es-ES_tradnl"/>
        </w:rPr>
        <w:t xml:space="preserve"> 277 del 27 de junio </w:t>
      </w:r>
      <w:r>
        <w:rPr>
          <w:sz w:val="18"/>
          <w:szCs w:val="18"/>
          <w:lang w:val="es-ES_tradnl"/>
        </w:rPr>
        <w:t>de 2014.</w:t>
      </w:r>
    </w:p>
    <w:p w14:paraId="4F67A55D" w14:textId="77777777" w:rsidR="00591D54" w:rsidRDefault="00591D54">
      <w:pPr>
        <w:shd w:val="clear" w:color="auto" w:fill="FFFFFF"/>
        <w:spacing w:before="197" w:line="216" w:lineRule="exact"/>
        <w:jc w:val="both"/>
      </w:pPr>
      <w:r>
        <w:rPr>
          <w:spacing w:val="-3"/>
          <w:sz w:val="18"/>
          <w:szCs w:val="18"/>
          <w:lang w:val="es-ES_tradnl"/>
        </w:rPr>
        <w:t>La Secretar</w:t>
      </w:r>
      <w:r>
        <w:rPr>
          <w:rFonts w:cs="Times New Roman"/>
          <w:spacing w:val="-3"/>
          <w:sz w:val="18"/>
          <w:szCs w:val="18"/>
          <w:lang w:val="es-ES_tradnl"/>
        </w:rPr>
        <w:t>í</w:t>
      </w:r>
      <w:r>
        <w:rPr>
          <w:spacing w:val="-3"/>
          <w:sz w:val="18"/>
          <w:szCs w:val="18"/>
          <w:lang w:val="es-ES_tradnl"/>
        </w:rPr>
        <w:t xml:space="preserve">a General de la Corte Constitucional, de </w:t>
      </w:r>
      <w:r>
        <w:rPr>
          <w:spacing w:val="-6"/>
          <w:sz w:val="18"/>
          <w:szCs w:val="18"/>
          <w:lang w:val="es-ES_tradnl"/>
        </w:rPr>
        <w:t xml:space="preserve">acuerdo a lo establecido en el segundo inciso del cuarto </w:t>
      </w:r>
      <w:r>
        <w:rPr>
          <w:spacing w:val="-5"/>
          <w:sz w:val="18"/>
          <w:szCs w:val="18"/>
          <w:lang w:val="es-ES_tradnl"/>
        </w:rPr>
        <w:t>art</w:t>
      </w:r>
      <w:r>
        <w:rPr>
          <w:rFonts w:cs="Times New Roman"/>
          <w:spacing w:val="-5"/>
          <w:sz w:val="18"/>
          <w:szCs w:val="18"/>
          <w:lang w:val="es-ES_tradnl"/>
        </w:rPr>
        <w:t>í</w:t>
      </w:r>
      <w:r>
        <w:rPr>
          <w:spacing w:val="-5"/>
          <w:sz w:val="18"/>
          <w:szCs w:val="18"/>
          <w:lang w:val="es-ES_tradnl"/>
        </w:rPr>
        <w:t>culo innumerado agregado a continuaci</w:t>
      </w:r>
      <w:r>
        <w:rPr>
          <w:rFonts w:cs="Times New Roman"/>
          <w:spacing w:val="-5"/>
          <w:sz w:val="18"/>
          <w:szCs w:val="18"/>
          <w:lang w:val="es-ES_tradnl"/>
        </w:rPr>
        <w:t>ó</w:t>
      </w:r>
      <w:r>
        <w:rPr>
          <w:spacing w:val="-5"/>
          <w:sz w:val="18"/>
          <w:szCs w:val="18"/>
          <w:lang w:val="es-ES_tradnl"/>
        </w:rPr>
        <w:t>n del art</w:t>
      </w:r>
      <w:r>
        <w:rPr>
          <w:rFonts w:cs="Times New Roman"/>
          <w:spacing w:val="-5"/>
          <w:sz w:val="18"/>
          <w:szCs w:val="18"/>
          <w:lang w:val="es-ES_tradnl"/>
        </w:rPr>
        <w:t>í</w:t>
      </w:r>
      <w:r>
        <w:rPr>
          <w:spacing w:val="-5"/>
          <w:sz w:val="18"/>
          <w:szCs w:val="18"/>
          <w:lang w:val="es-ES_tradnl"/>
        </w:rPr>
        <w:t xml:space="preserve">culo </w:t>
      </w:r>
      <w:r>
        <w:rPr>
          <w:spacing w:val="-6"/>
          <w:sz w:val="18"/>
          <w:szCs w:val="18"/>
          <w:lang w:val="es-ES_tradnl"/>
        </w:rPr>
        <w:t>8 del Reglamento de Sustanciaci</w:t>
      </w:r>
      <w:r>
        <w:rPr>
          <w:rFonts w:cs="Times New Roman"/>
          <w:spacing w:val="-6"/>
          <w:sz w:val="18"/>
          <w:szCs w:val="18"/>
          <w:lang w:val="es-ES_tradnl"/>
        </w:rPr>
        <w:t>ó</w:t>
      </w:r>
      <w:r>
        <w:rPr>
          <w:spacing w:val="-6"/>
          <w:sz w:val="18"/>
          <w:szCs w:val="18"/>
          <w:lang w:val="es-ES_tradnl"/>
        </w:rPr>
        <w:t xml:space="preserve">n de Procesos de </w:t>
      </w:r>
      <w:r>
        <w:rPr>
          <w:spacing w:val="-8"/>
          <w:sz w:val="18"/>
          <w:szCs w:val="18"/>
          <w:lang w:val="es-ES_tradnl"/>
        </w:rPr>
        <w:t>Competencia de la Corte Constitucional, el 26 de marzo de 2015, certific</w:t>
      </w:r>
      <w:r>
        <w:rPr>
          <w:rFonts w:cs="Times New Roman"/>
          <w:spacing w:val="-8"/>
          <w:sz w:val="18"/>
          <w:szCs w:val="18"/>
          <w:lang w:val="es-ES_tradnl"/>
        </w:rPr>
        <w:t>ó</w:t>
      </w:r>
      <w:r>
        <w:rPr>
          <w:spacing w:val="-8"/>
          <w:sz w:val="18"/>
          <w:szCs w:val="18"/>
          <w:lang w:val="es-ES_tradnl"/>
        </w:rPr>
        <w:t xml:space="preserve"> que no se ha presentado otra demanda con </w:t>
      </w:r>
      <w:r>
        <w:rPr>
          <w:spacing w:val="-7"/>
          <w:sz w:val="18"/>
          <w:szCs w:val="18"/>
          <w:lang w:val="es-ES_tradnl"/>
        </w:rPr>
        <w:t>identidad de objeto y acci</w:t>
      </w:r>
      <w:r>
        <w:rPr>
          <w:rFonts w:cs="Times New Roman"/>
          <w:spacing w:val="-7"/>
          <w:sz w:val="18"/>
          <w:szCs w:val="18"/>
          <w:lang w:val="es-ES_tradnl"/>
        </w:rPr>
        <w:t>ó</w:t>
      </w:r>
      <w:r>
        <w:rPr>
          <w:spacing w:val="-7"/>
          <w:sz w:val="18"/>
          <w:szCs w:val="18"/>
          <w:lang w:val="es-ES_tradnl"/>
        </w:rPr>
        <w:t xml:space="preserve">n; sin embargo, deja constancia </w:t>
      </w:r>
      <w:r>
        <w:rPr>
          <w:spacing w:val="-5"/>
          <w:sz w:val="18"/>
          <w:szCs w:val="18"/>
          <w:lang w:val="es-ES_tradnl"/>
        </w:rPr>
        <w:t>que tiene relaci</w:t>
      </w:r>
      <w:r>
        <w:rPr>
          <w:rFonts w:cs="Times New Roman"/>
          <w:spacing w:val="-5"/>
          <w:sz w:val="18"/>
          <w:szCs w:val="18"/>
          <w:lang w:val="es-ES_tradnl"/>
        </w:rPr>
        <w:t>ó</w:t>
      </w:r>
      <w:r>
        <w:rPr>
          <w:spacing w:val="-5"/>
          <w:sz w:val="18"/>
          <w:szCs w:val="18"/>
          <w:lang w:val="es-ES_tradnl"/>
        </w:rPr>
        <w:t>n con los casos Nros. 0026-14-IN, 0031-</w:t>
      </w:r>
      <w:r>
        <w:rPr>
          <w:spacing w:val="-4"/>
          <w:sz w:val="18"/>
          <w:szCs w:val="18"/>
          <w:lang w:val="es-ES_tradnl"/>
        </w:rPr>
        <w:t>14-IN, 0033-14-IN, 0034-14-IN, 0035-14-IN, 0036-14-IN, 0037-14-IN, 0038-14-IN, 0039-14-IN, 0040-14-IN, 0041-</w:t>
      </w:r>
      <w:r>
        <w:rPr>
          <w:spacing w:val="-1"/>
          <w:sz w:val="18"/>
          <w:szCs w:val="18"/>
          <w:lang w:val="es-ES_tradnl"/>
        </w:rPr>
        <w:t xml:space="preserve">14-IN, 0042-14-IN, 0043-14-IN, 0044-14-IN, 0045-14-IN, 0046-14-IN, 0051-14-IN, 0052-14-IN, 0053-14-IN y </w:t>
      </w:r>
      <w:r>
        <w:rPr>
          <w:spacing w:val="-7"/>
          <w:sz w:val="18"/>
          <w:szCs w:val="18"/>
          <w:lang w:val="es-ES_tradnl"/>
        </w:rPr>
        <w:t xml:space="preserve">0055-14-IN que se encuentran sustanciando y los casos </w:t>
      </w:r>
      <w:r>
        <w:rPr>
          <w:spacing w:val="-3"/>
          <w:sz w:val="18"/>
          <w:szCs w:val="18"/>
          <w:lang w:val="es-ES_tradnl"/>
        </w:rPr>
        <w:t xml:space="preserve">Nros. 0054-14-IN, 0008-15-IN, 0009-15-IN, 0010-15-IN, </w:t>
      </w:r>
      <w:r>
        <w:rPr>
          <w:spacing w:val="-6"/>
          <w:sz w:val="18"/>
          <w:szCs w:val="18"/>
          <w:lang w:val="es-ES_tradnl"/>
        </w:rPr>
        <w:t>0011-15-IN, 0012-15-IN, 0013-15-IN, 0014-15-IN y 0015-</w:t>
      </w:r>
      <w:r>
        <w:rPr>
          <w:spacing w:val="-4"/>
          <w:sz w:val="18"/>
          <w:szCs w:val="18"/>
          <w:lang w:val="es-ES_tradnl"/>
        </w:rPr>
        <w:t>15-IN, 0016-15-IN, 0017-15-IN, en Sala de Admisi</w:t>
      </w:r>
      <w:r>
        <w:rPr>
          <w:rFonts w:cs="Times New Roman"/>
          <w:spacing w:val="-4"/>
          <w:sz w:val="18"/>
          <w:szCs w:val="18"/>
          <w:lang w:val="es-ES_tradnl"/>
        </w:rPr>
        <w:t>ó</w:t>
      </w:r>
      <w:r>
        <w:rPr>
          <w:spacing w:val="-4"/>
          <w:sz w:val="18"/>
          <w:szCs w:val="18"/>
          <w:lang w:val="es-ES_tradnl"/>
        </w:rPr>
        <w:t>n.</w:t>
      </w:r>
    </w:p>
    <w:p w14:paraId="4F67A55E" w14:textId="77777777" w:rsidR="00591D54" w:rsidRDefault="00591D54">
      <w:pPr>
        <w:shd w:val="clear" w:color="auto" w:fill="FFFFFF"/>
        <w:spacing w:before="197" w:line="216" w:lineRule="exact"/>
        <w:jc w:val="both"/>
      </w:pPr>
      <w:r>
        <w:rPr>
          <w:sz w:val="18"/>
          <w:szCs w:val="18"/>
          <w:lang w:val="es-ES_tradnl"/>
        </w:rPr>
        <w:t>La Sala de Admisi</w:t>
      </w:r>
      <w:r>
        <w:rPr>
          <w:rFonts w:cs="Times New Roman"/>
          <w:sz w:val="18"/>
          <w:szCs w:val="18"/>
          <w:lang w:val="es-ES_tradnl"/>
        </w:rPr>
        <w:t>ó</w:t>
      </w:r>
      <w:r>
        <w:rPr>
          <w:sz w:val="18"/>
          <w:szCs w:val="18"/>
          <w:lang w:val="es-ES_tradnl"/>
        </w:rPr>
        <w:t xml:space="preserve">n de la Corte Constitucional, </w:t>
      </w:r>
      <w:r>
        <w:rPr>
          <w:spacing w:val="-7"/>
          <w:sz w:val="18"/>
          <w:szCs w:val="18"/>
          <w:lang w:val="es-ES_tradnl"/>
        </w:rPr>
        <w:t>considerando que la presente acci</w:t>
      </w:r>
      <w:r>
        <w:rPr>
          <w:rFonts w:cs="Times New Roman"/>
          <w:spacing w:val="-7"/>
          <w:sz w:val="18"/>
          <w:szCs w:val="18"/>
          <w:lang w:val="es-ES_tradnl"/>
        </w:rPr>
        <w:t>ó</w:t>
      </w:r>
      <w:r>
        <w:rPr>
          <w:spacing w:val="-7"/>
          <w:sz w:val="18"/>
          <w:szCs w:val="18"/>
          <w:lang w:val="es-ES_tradnl"/>
        </w:rPr>
        <w:t xml:space="preserve">n sometida a juicio de </w:t>
      </w:r>
      <w:r>
        <w:rPr>
          <w:spacing w:val="-4"/>
          <w:sz w:val="18"/>
          <w:szCs w:val="18"/>
          <w:lang w:val="es-ES_tradnl"/>
        </w:rPr>
        <w:t>admisibilidad re</w:t>
      </w:r>
      <w:r>
        <w:rPr>
          <w:rFonts w:cs="Times New Roman"/>
          <w:spacing w:val="-4"/>
          <w:sz w:val="18"/>
          <w:szCs w:val="18"/>
          <w:lang w:val="es-ES_tradnl"/>
        </w:rPr>
        <w:t>ú</w:t>
      </w:r>
      <w:r>
        <w:rPr>
          <w:spacing w:val="-4"/>
          <w:sz w:val="18"/>
          <w:szCs w:val="18"/>
          <w:lang w:val="es-ES_tradnl"/>
        </w:rPr>
        <w:t xml:space="preserve">ne todos los requisitos establecidos en </w:t>
      </w:r>
      <w:r>
        <w:rPr>
          <w:spacing w:val="-5"/>
          <w:sz w:val="18"/>
          <w:szCs w:val="18"/>
          <w:lang w:val="es-ES_tradnl"/>
        </w:rPr>
        <w:t>la Ley Org</w:t>
      </w:r>
      <w:r>
        <w:rPr>
          <w:rFonts w:cs="Times New Roman"/>
          <w:spacing w:val="-5"/>
          <w:sz w:val="18"/>
          <w:szCs w:val="18"/>
          <w:lang w:val="es-ES_tradnl"/>
        </w:rPr>
        <w:t>á</w:t>
      </w:r>
      <w:r>
        <w:rPr>
          <w:spacing w:val="-5"/>
          <w:sz w:val="18"/>
          <w:szCs w:val="18"/>
          <w:lang w:val="es-ES_tradnl"/>
        </w:rPr>
        <w:t>nica de Garant</w:t>
      </w:r>
      <w:r>
        <w:rPr>
          <w:rFonts w:cs="Times New Roman"/>
          <w:spacing w:val="-5"/>
          <w:sz w:val="18"/>
          <w:szCs w:val="18"/>
          <w:lang w:val="es-ES_tradnl"/>
        </w:rPr>
        <w:t>í</w:t>
      </w:r>
      <w:r>
        <w:rPr>
          <w:spacing w:val="-5"/>
          <w:sz w:val="18"/>
          <w:szCs w:val="18"/>
          <w:lang w:val="es-ES_tradnl"/>
        </w:rPr>
        <w:t xml:space="preserve">as Jurisdiccionales y Control </w:t>
      </w:r>
      <w:r>
        <w:rPr>
          <w:spacing w:val="-4"/>
          <w:sz w:val="18"/>
          <w:szCs w:val="18"/>
          <w:lang w:val="es-ES_tradnl"/>
        </w:rPr>
        <w:t xml:space="preserve">Constitucional, mediante auto dictado el 09 de abril de </w:t>
      </w:r>
      <w:r>
        <w:rPr>
          <w:spacing w:val="-6"/>
          <w:sz w:val="18"/>
          <w:szCs w:val="18"/>
          <w:lang w:val="es-ES_tradnl"/>
        </w:rPr>
        <w:t>2015 a las 09h59, admiti</w:t>
      </w:r>
      <w:r>
        <w:rPr>
          <w:rFonts w:cs="Times New Roman"/>
          <w:spacing w:val="-6"/>
          <w:sz w:val="18"/>
          <w:szCs w:val="18"/>
          <w:lang w:val="es-ES_tradnl"/>
        </w:rPr>
        <w:t>ó</w:t>
      </w:r>
      <w:r>
        <w:rPr>
          <w:spacing w:val="-6"/>
          <w:sz w:val="18"/>
          <w:szCs w:val="18"/>
          <w:lang w:val="es-ES_tradnl"/>
        </w:rPr>
        <w:t xml:space="preserve"> a tr</w:t>
      </w:r>
      <w:r>
        <w:rPr>
          <w:rFonts w:cs="Times New Roman"/>
          <w:spacing w:val="-6"/>
          <w:sz w:val="18"/>
          <w:szCs w:val="18"/>
          <w:lang w:val="es-ES_tradnl"/>
        </w:rPr>
        <w:t>á</w:t>
      </w:r>
      <w:r>
        <w:rPr>
          <w:spacing w:val="-6"/>
          <w:sz w:val="18"/>
          <w:szCs w:val="18"/>
          <w:lang w:val="es-ES_tradnl"/>
        </w:rPr>
        <w:t>mite la acci</w:t>
      </w:r>
      <w:r>
        <w:rPr>
          <w:rFonts w:cs="Times New Roman"/>
          <w:spacing w:val="-6"/>
          <w:sz w:val="18"/>
          <w:szCs w:val="18"/>
          <w:lang w:val="es-ES_tradnl"/>
        </w:rPr>
        <w:t>ó</w:t>
      </w:r>
      <w:r>
        <w:rPr>
          <w:spacing w:val="-6"/>
          <w:sz w:val="18"/>
          <w:szCs w:val="18"/>
          <w:lang w:val="es-ES_tradnl"/>
        </w:rPr>
        <w:t>n.</w:t>
      </w:r>
    </w:p>
    <w:p w14:paraId="4F67A55F" w14:textId="77777777" w:rsidR="00591D54" w:rsidRDefault="00591D54">
      <w:pPr>
        <w:shd w:val="clear" w:color="auto" w:fill="FFFFFF"/>
        <w:spacing w:before="197" w:line="216" w:lineRule="exact"/>
        <w:jc w:val="both"/>
      </w:pPr>
      <w:r>
        <w:rPr>
          <w:spacing w:val="-7"/>
          <w:sz w:val="18"/>
          <w:szCs w:val="18"/>
          <w:lang w:val="es-ES_tradnl"/>
        </w:rPr>
        <w:t>La Secretar</w:t>
      </w:r>
      <w:r>
        <w:rPr>
          <w:rFonts w:cs="Times New Roman"/>
          <w:spacing w:val="-7"/>
          <w:sz w:val="18"/>
          <w:szCs w:val="18"/>
          <w:lang w:val="es-ES_tradnl"/>
        </w:rPr>
        <w:t>í</w:t>
      </w:r>
      <w:r>
        <w:rPr>
          <w:spacing w:val="-7"/>
          <w:sz w:val="18"/>
          <w:szCs w:val="18"/>
          <w:lang w:val="es-ES_tradnl"/>
        </w:rPr>
        <w:t xml:space="preserve">a General de la Corte Constitucional mediante </w:t>
      </w:r>
      <w:r>
        <w:rPr>
          <w:spacing w:val="-4"/>
          <w:sz w:val="18"/>
          <w:szCs w:val="18"/>
          <w:lang w:val="es-ES_tradnl"/>
        </w:rPr>
        <w:t>memorando N.</w:t>
      </w:r>
      <w:r>
        <w:rPr>
          <w:rFonts w:cs="Times New Roman"/>
          <w:spacing w:val="-4"/>
          <w:sz w:val="18"/>
          <w:szCs w:val="18"/>
          <w:lang w:val="es-ES_tradnl"/>
        </w:rPr>
        <w:t>º</w:t>
      </w:r>
      <w:r>
        <w:rPr>
          <w:spacing w:val="-4"/>
          <w:sz w:val="18"/>
          <w:szCs w:val="18"/>
          <w:lang w:val="es-ES_tradnl"/>
        </w:rPr>
        <w:t xml:space="preserve"> 590-CCE-SG-SUS-2015 del 22 de abril </w:t>
      </w:r>
      <w:r>
        <w:rPr>
          <w:spacing w:val="-6"/>
          <w:sz w:val="18"/>
          <w:szCs w:val="18"/>
          <w:lang w:val="es-ES_tradnl"/>
        </w:rPr>
        <w:t xml:space="preserve">de 2015, de conformidad con el sorteo efectuado por el </w:t>
      </w:r>
      <w:r>
        <w:rPr>
          <w:spacing w:val="-5"/>
          <w:sz w:val="18"/>
          <w:szCs w:val="18"/>
          <w:lang w:val="es-ES_tradnl"/>
        </w:rPr>
        <w:t>Pleno del Organismo, en sesi</w:t>
      </w:r>
      <w:r>
        <w:rPr>
          <w:rFonts w:cs="Times New Roman"/>
          <w:spacing w:val="-5"/>
          <w:sz w:val="18"/>
          <w:szCs w:val="18"/>
          <w:lang w:val="es-ES_tradnl"/>
        </w:rPr>
        <w:t>ó</w:t>
      </w:r>
      <w:r>
        <w:rPr>
          <w:spacing w:val="-5"/>
          <w:sz w:val="18"/>
          <w:szCs w:val="18"/>
          <w:lang w:val="es-ES_tradnl"/>
        </w:rPr>
        <w:t xml:space="preserve">n ordinaria en la misma </w:t>
      </w:r>
      <w:r>
        <w:rPr>
          <w:spacing w:val="-4"/>
          <w:sz w:val="18"/>
          <w:szCs w:val="18"/>
          <w:lang w:val="es-ES_tradnl"/>
        </w:rPr>
        <w:t>fecha, remiti</w:t>
      </w:r>
      <w:r>
        <w:rPr>
          <w:rFonts w:cs="Times New Roman"/>
          <w:spacing w:val="-4"/>
          <w:sz w:val="18"/>
          <w:szCs w:val="18"/>
          <w:lang w:val="es-ES_tradnl"/>
        </w:rPr>
        <w:t>ó</w:t>
      </w:r>
      <w:r>
        <w:rPr>
          <w:spacing w:val="-4"/>
          <w:sz w:val="18"/>
          <w:szCs w:val="18"/>
          <w:lang w:val="es-ES_tradnl"/>
        </w:rPr>
        <w:t xml:space="preserve"> el expediente del caso N.</w:t>
      </w:r>
      <w:r>
        <w:rPr>
          <w:rFonts w:cs="Times New Roman"/>
          <w:spacing w:val="-4"/>
          <w:sz w:val="18"/>
          <w:szCs w:val="18"/>
          <w:lang w:val="es-ES_tradnl"/>
        </w:rPr>
        <w:t>º</w:t>
      </w:r>
      <w:r>
        <w:rPr>
          <w:spacing w:val="-4"/>
          <w:sz w:val="18"/>
          <w:szCs w:val="18"/>
          <w:lang w:val="es-ES_tradnl"/>
        </w:rPr>
        <w:t xml:space="preserve"> 0018-15-IN, al </w:t>
      </w:r>
      <w:r>
        <w:rPr>
          <w:spacing w:val="-6"/>
          <w:sz w:val="18"/>
          <w:szCs w:val="18"/>
          <w:lang w:val="es-ES_tradnl"/>
        </w:rPr>
        <w:t>juez constitucional Alfredo Ruiz Guzm</w:t>
      </w:r>
      <w:r>
        <w:rPr>
          <w:rFonts w:cs="Times New Roman"/>
          <w:spacing w:val="-6"/>
          <w:sz w:val="18"/>
          <w:szCs w:val="18"/>
          <w:lang w:val="es-ES_tradnl"/>
        </w:rPr>
        <w:t>á</w:t>
      </w:r>
      <w:r>
        <w:rPr>
          <w:spacing w:val="-6"/>
          <w:sz w:val="18"/>
          <w:szCs w:val="18"/>
          <w:lang w:val="es-ES_tradnl"/>
        </w:rPr>
        <w:t>n en su calidad de juez sustanciador, a fin de que contin</w:t>
      </w:r>
      <w:r>
        <w:rPr>
          <w:rFonts w:cs="Times New Roman"/>
          <w:spacing w:val="-6"/>
          <w:sz w:val="18"/>
          <w:szCs w:val="18"/>
          <w:lang w:val="es-ES_tradnl"/>
        </w:rPr>
        <w:t>ú</w:t>
      </w:r>
      <w:r>
        <w:rPr>
          <w:spacing w:val="-6"/>
          <w:sz w:val="18"/>
          <w:szCs w:val="18"/>
          <w:lang w:val="es-ES_tradnl"/>
        </w:rPr>
        <w:t>e con el tr</w:t>
      </w:r>
      <w:r>
        <w:rPr>
          <w:rFonts w:cs="Times New Roman"/>
          <w:spacing w:val="-6"/>
          <w:sz w:val="18"/>
          <w:szCs w:val="18"/>
          <w:lang w:val="es-ES_tradnl"/>
        </w:rPr>
        <w:t>á</w:t>
      </w:r>
      <w:r>
        <w:rPr>
          <w:spacing w:val="-6"/>
          <w:sz w:val="18"/>
          <w:szCs w:val="18"/>
          <w:lang w:val="es-ES_tradnl"/>
        </w:rPr>
        <w:t xml:space="preserve">mite de </w:t>
      </w:r>
      <w:r>
        <w:rPr>
          <w:spacing w:val="-9"/>
          <w:sz w:val="18"/>
          <w:szCs w:val="18"/>
          <w:lang w:val="es-ES_tradnl"/>
        </w:rPr>
        <w:t xml:space="preserve">la causa, y mediante providencia del 12 de mayo de 2015 a </w:t>
      </w:r>
      <w:r>
        <w:rPr>
          <w:spacing w:val="-7"/>
          <w:sz w:val="18"/>
          <w:szCs w:val="18"/>
          <w:lang w:val="es-ES_tradnl"/>
        </w:rPr>
        <w:t>las 09h00, avoc</w:t>
      </w:r>
      <w:r>
        <w:rPr>
          <w:rFonts w:cs="Times New Roman"/>
          <w:spacing w:val="-7"/>
          <w:sz w:val="18"/>
          <w:szCs w:val="18"/>
          <w:lang w:val="es-ES_tradnl"/>
        </w:rPr>
        <w:t>ó</w:t>
      </w:r>
      <w:r>
        <w:rPr>
          <w:spacing w:val="-7"/>
          <w:sz w:val="18"/>
          <w:szCs w:val="18"/>
          <w:lang w:val="es-ES_tradnl"/>
        </w:rPr>
        <w:t xml:space="preserve"> conocimiento de la presente acci</w:t>
      </w:r>
      <w:r>
        <w:rPr>
          <w:rFonts w:cs="Times New Roman"/>
          <w:spacing w:val="-7"/>
          <w:sz w:val="18"/>
          <w:szCs w:val="18"/>
          <w:lang w:val="es-ES_tradnl"/>
        </w:rPr>
        <w:t>ó</w:t>
      </w:r>
      <w:r>
        <w:rPr>
          <w:spacing w:val="-7"/>
          <w:sz w:val="18"/>
          <w:szCs w:val="18"/>
          <w:lang w:val="es-ES_tradnl"/>
        </w:rPr>
        <w:t>n.</w:t>
      </w:r>
    </w:p>
    <w:p w14:paraId="4F67A560" w14:textId="77777777" w:rsidR="00591D54" w:rsidRDefault="00591D54">
      <w:pPr>
        <w:shd w:val="clear" w:color="auto" w:fill="FFFFFF"/>
        <w:spacing w:before="192"/>
      </w:pPr>
      <w:r>
        <w:rPr>
          <w:b/>
          <w:bCs/>
          <w:spacing w:val="-10"/>
          <w:sz w:val="18"/>
          <w:szCs w:val="18"/>
          <w:lang w:val="es-ES_tradnl"/>
        </w:rPr>
        <w:t>De la demanda y sus argumentos</w:t>
      </w:r>
    </w:p>
    <w:p w14:paraId="4F67A561" w14:textId="77777777" w:rsidR="00591D54" w:rsidRDefault="00591D54">
      <w:pPr>
        <w:shd w:val="clear" w:color="auto" w:fill="FFFFFF"/>
        <w:spacing w:before="197" w:line="216" w:lineRule="exact"/>
        <w:jc w:val="both"/>
      </w:pPr>
      <w:r>
        <w:rPr>
          <w:spacing w:val="-4"/>
          <w:sz w:val="18"/>
          <w:szCs w:val="18"/>
          <w:lang w:val="es-ES_tradnl"/>
        </w:rPr>
        <w:t xml:space="preserve">Dentro de la demanda planteada la accionante en lo </w:t>
      </w:r>
      <w:r>
        <w:rPr>
          <w:spacing w:val="-5"/>
          <w:sz w:val="18"/>
          <w:szCs w:val="18"/>
          <w:lang w:val="es-ES_tradnl"/>
        </w:rPr>
        <w:t xml:space="preserve">principal manifiesta, que la ordenanza municipal es </w:t>
      </w:r>
      <w:r>
        <w:rPr>
          <w:spacing w:val="-7"/>
          <w:sz w:val="18"/>
          <w:szCs w:val="18"/>
          <w:lang w:val="es-ES_tradnl"/>
        </w:rPr>
        <w:t>inconstitucional por cuanto, si bien, por el uso u ocupaci</w:t>
      </w:r>
      <w:r>
        <w:rPr>
          <w:rFonts w:cs="Times New Roman"/>
          <w:spacing w:val="-7"/>
          <w:sz w:val="18"/>
          <w:szCs w:val="18"/>
          <w:lang w:val="es-ES_tradnl"/>
        </w:rPr>
        <w:t>ó</w:t>
      </w:r>
      <w:r>
        <w:rPr>
          <w:spacing w:val="-7"/>
          <w:sz w:val="18"/>
          <w:szCs w:val="18"/>
          <w:lang w:val="es-ES_tradnl"/>
        </w:rPr>
        <w:t>n</w:t>
      </w:r>
    </w:p>
    <w:p w14:paraId="4F67A562" w14:textId="77777777" w:rsidR="00591D54" w:rsidRDefault="00591D54">
      <w:pPr>
        <w:shd w:val="clear" w:color="auto" w:fill="FFFFFF"/>
        <w:spacing w:before="163" w:line="221" w:lineRule="exact"/>
        <w:jc w:val="both"/>
      </w:pPr>
      <w:r>
        <w:br w:type="column"/>
      </w:r>
      <w:r>
        <w:rPr>
          <w:spacing w:val="-5"/>
          <w:sz w:val="18"/>
          <w:szCs w:val="18"/>
          <w:lang w:val="es-ES_tradnl"/>
        </w:rPr>
        <w:t>de bienes p</w:t>
      </w:r>
      <w:r>
        <w:rPr>
          <w:rFonts w:cs="Times New Roman"/>
          <w:spacing w:val="-5"/>
          <w:sz w:val="18"/>
          <w:szCs w:val="18"/>
          <w:lang w:val="es-ES_tradnl"/>
        </w:rPr>
        <w:t>ú</w:t>
      </w:r>
      <w:r>
        <w:rPr>
          <w:spacing w:val="-5"/>
          <w:sz w:val="18"/>
          <w:szCs w:val="18"/>
          <w:lang w:val="es-ES_tradnl"/>
        </w:rPr>
        <w:t xml:space="preserve">blicos, puede cobrarse tasas, estas deben </w:t>
      </w:r>
      <w:r>
        <w:rPr>
          <w:spacing w:val="-8"/>
          <w:sz w:val="18"/>
          <w:szCs w:val="18"/>
          <w:lang w:val="es-ES_tradnl"/>
        </w:rPr>
        <w:t>estar configuradas como una contraprestaci</w:t>
      </w:r>
      <w:r>
        <w:rPr>
          <w:rFonts w:cs="Times New Roman"/>
          <w:spacing w:val="-8"/>
          <w:sz w:val="18"/>
          <w:szCs w:val="18"/>
          <w:lang w:val="es-ES_tradnl"/>
        </w:rPr>
        <w:t>ó</w:t>
      </w:r>
      <w:r>
        <w:rPr>
          <w:spacing w:val="-8"/>
          <w:sz w:val="18"/>
          <w:szCs w:val="18"/>
          <w:lang w:val="es-ES_tradnl"/>
        </w:rPr>
        <w:t xml:space="preserve">n vinculada a </w:t>
      </w:r>
      <w:r>
        <w:rPr>
          <w:spacing w:val="-7"/>
          <w:sz w:val="18"/>
          <w:szCs w:val="18"/>
          <w:lang w:val="es-ES_tradnl"/>
        </w:rPr>
        <w:t>dicho uso y ocupaci</w:t>
      </w:r>
      <w:r>
        <w:rPr>
          <w:rFonts w:cs="Times New Roman"/>
          <w:spacing w:val="-7"/>
          <w:sz w:val="18"/>
          <w:szCs w:val="18"/>
          <w:lang w:val="es-ES_tradnl"/>
        </w:rPr>
        <w:t>ó</w:t>
      </w:r>
      <w:r>
        <w:rPr>
          <w:spacing w:val="-7"/>
          <w:sz w:val="18"/>
          <w:szCs w:val="18"/>
          <w:lang w:val="es-ES_tradnl"/>
        </w:rPr>
        <w:t>n, en los t</w:t>
      </w:r>
      <w:r>
        <w:rPr>
          <w:rFonts w:cs="Times New Roman"/>
          <w:spacing w:val="-7"/>
          <w:sz w:val="18"/>
          <w:szCs w:val="18"/>
          <w:lang w:val="es-ES_tradnl"/>
        </w:rPr>
        <w:t>é</w:t>
      </w:r>
      <w:r>
        <w:rPr>
          <w:spacing w:val="-7"/>
          <w:sz w:val="18"/>
          <w:szCs w:val="18"/>
          <w:lang w:val="es-ES_tradnl"/>
        </w:rPr>
        <w:t>rminos de la sentencia N.</w:t>
      </w:r>
      <w:r>
        <w:rPr>
          <w:rFonts w:cs="Times New Roman"/>
          <w:spacing w:val="-7"/>
          <w:sz w:val="18"/>
          <w:szCs w:val="18"/>
          <w:lang w:val="es-ES_tradnl"/>
        </w:rPr>
        <w:t xml:space="preserve">º </w:t>
      </w:r>
      <w:r>
        <w:rPr>
          <w:spacing w:val="-5"/>
          <w:sz w:val="18"/>
          <w:szCs w:val="18"/>
          <w:lang w:val="es-ES_tradnl"/>
        </w:rPr>
        <w:t xml:space="preserve">003-09-SIN-CC, dictada por la Corte Constitucional, para </w:t>
      </w:r>
      <w:r>
        <w:rPr>
          <w:spacing w:val="-3"/>
          <w:sz w:val="18"/>
          <w:szCs w:val="18"/>
          <w:lang w:val="es-ES_tradnl"/>
        </w:rPr>
        <w:t>el per</w:t>
      </w:r>
      <w:r>
        <w:rPr>
          <w:rFonts w:cs="Times New Roman"/>
          <w:spacing w:val="-3"/>
          <w:sz w:val="18"/>
          <w:szCs w:val="18"/>
          <w:lang w:val="es-ES_tradnl"/>
        </w:rPr>
        <w:t>í</w:t>
      </w:r>
      <w:r>
        <w:rPr>
          <w:spacing w:val="-3"/>
          <w:sz w:val="18"/>
          <w:szCs w:val="18"/>
          <w:lang w:val="es-ES_tradnl"/>
        </w:rPr>
        <w:t>odo de transici</w:t>
      </w:r>
      <w:r>
        <w:rPr>
          <w:rFonts w:cs="Times New Roman"/>
          <w:spacing w:val="-3"/>
          <w:sz w:val="18"/>
          <w:szCs w:val="18"/>
          <w:lang w:val="es-ES_tradnl"/>
        </w:rPr>
        <w:t>ó</w:t>
      </w:r>
      <w:r>
        <w:rPr>
          <w:spacing w:val="-3"/>
          <w:sz w:val="18"/>
          <w:szCs w:val="18"/>
          <w:lang w:val="es-ES_tradnl"/>
        </w:rPr>
        <w:t>n y el art</w:t>
      </w:r>
      <w:r>
        <w:rPr>
          <w:rFonts w:cs="Times New Roman"/>
          <w:spacing w:val="-3"/>
          <w:sz w:val="18"/>
          <w:szCs w:val="18"/>
          <w:lang w:val="es-ES_tradnl"/>
        </w:rPr>
        <w:t>í</w:t>
      </w:r>
      <w:r>
        <w:rPr>
          <w:spacing w:val="-3"/>
          <w:sz w:val="18"/>
          <w:szCs w:val="18"/>
          <w:lang w:val="es-ES_tradnl"/>
        </w:rPr>
        <w:t xml:space="preserve">culo 567 del COOTAD, </w:t>
      </w:r>
      <w:r>
        <w:rPr>
          <w:spacing w:val="-8"/>
          <w:sz w:val="18"/>
          <w:szCs w:val="18"/>
          <w:lang w:val="es-ES_tradnl"/>
        </w:rPr>
        <w:t xml:space="preserve">respetando los principios tributarios generales establecidos </w:t>
      </w:r>
      <w:r>
        <w:rPr>
          <w:spacing w:val="-4"/>
          <w:sz w:val="18"/>
          <w:szCs w:val="18"/>
          <w:lang w:val="es-ES_tradnl"/>
        </w:rPr>
        <w:t>en el art</w:t>
      </w:r>
      <w:r>
        <w:rPr>
          <w:rFonts w:cs="Times New Roman"/>
          <w:spacing w:val="-4"/>
          <w:sz w:val="18"/>
          <w:szCs w:val="18"/>
          <w:lang w:val="es-ES_tradnl"/>
        </w:rPr>
        <w:t>í</w:t>
      </w:r>
      <w:r>
        <w:rPr>
          <w:spacing w:val="-4"/>
          <w:sz w:val="18"/>
          <w:szCs w:val="18"/>
          <w:lang w:val="es-ES_tradnl"/>
        </w:rPr>
        <w:t>culo 300 de la Constituci</w:t>
      </w:r>
      <w:r>
        <w:rPr>
          <w:rFonts w:cs="Times New Roman"/>
          <w:spacing w:val="-4"/>
          <w:sz w:val="18"/>
          <w:szCs w:val="18"/>
          <w:lang w:val="es-ES_tradnl"/>
        </w:rPr>
        <w:t>ó</w:t>
      </w:r>
      <w:r>
        <w:rPr>
          <w:spacing w:val="-4"/>
          <w:sz w:val="18"/>
          <w:szCs w:val="18"/>
          <w:lang w:val="es-ES_tradnl"/>
        </w:rPr>
        <w:t xml:space="preserve">n entre ellos, el de </w:t>
      </w:r>
      <w:r>
        <w:rPr>
          <w:sz w:val="18"/>
          <w:szCs w:val="18"/>
          <w:lang w:val="es-ES_tradnl"/>
        </w:rPr>
        <w:t>equidad.</w:t>
      </w:r>
    </w:p>
    <w:p w14:paraId="4F67A563" w14:textId="77777777" w:rsidR="00591D54" w:rsidRDefault="00591D54">
      <w:pPr>
        <w:shd w:val="clear" w:color="auto" w:fill="FFFFFF"/>
        <w:spacing w:before="202" w:line="221" w:lineRule="exact"/>
        <w:jc w:val="both"/>
      </w:pPr>
      <w:r>
        <w:rPr>
          <w:spacing w:val="-11"/>
          <w:sz w:val="18"/>
          <w:szCs w:val="18"/>
          <w:lang w:val="es-ES_tradnl"/>
        </w:rPr>
        <w:t>Tambi</w:t>
      </w:r>
      <w:r>
        <w:rPr>
          <w:rFonts w:cs="Times New Roman"/>
          <w:spacing w:val="-11"/>
          <w:sz w:val="18"/>
          <w:szCs w:val="18"/>
          <w:lang w:val="es-ES_tradnl"/>
        </w:rPr>
        <w:t>é</w:t>
      </w:r>
      <w:r>
        <w:rPr>
          <w:spacing w:val="-11"/>
          <w:sz w:val="18"/>
          <w:szCs w:val="18"/>
          <w:lang w:val="es-ES_tradnl"/>
        </w:rPr>
        <w:t>n se</w:t>
      </w:r>
      <w:r>
        <w:rPr>
          <w:rFonts w:cs="Times New Roman"/>
          <w:spacing w:val="-11"/>
          <w:sz w:val="18"/>
          <w:szCs w:val="18"/>
          <w:lang w:val="es-ES_tradnl"/>
        </w:rPr>
        <w:t>ñ</w:t>
      </w:r>
      <w:r>
        <w:rPr>
          <w:spacing w:val="-11"/>
          <w:sz w:val="18"/>
          <w:szCs w:val="18"/>
          <w:lang w:val="es-ES_tradnl"/>
        </w:rPr>
        <w:t xml:space="preserve">ala que el principio de equidad impone que toda </w:t>
      </w:r>
      <w:r>
        <w:rPr>
          <w:spacing w:val="-6"/>
          <w:sz w:val="18"/>
          <w:szCs w:val="18"/>
          <w:lang w:val="es-ES_tradnl"/>
        </w:rPr>
        <w:t>tasa, entendida como la contraprestaci</w:t>
      </w:r>
      <w:r>
        <w:rPr>
          <w:rFonts w:cs="Times New Roman"/>
          <w:spacing w:val="-6"/>
          <w:sz w:val="18"/>
          <w:szCs w:val="18"/>
          <w:lang w:val="es-ES_tradnl"/>
        </w:rPr>
        <w:t>ó</w:t>
      </w:r>
      <w:r>
        <w:rPr>
          <w:spacing w:val="-6"/>
          <w:sz w:val="18"/>
          <w:szCs w:val="18"/>
          <w:lang w:val="es-ES_tradnl"/>
        </w:rPr>
        <w:t xml:space="preserve">n por un servicio </w:t>
      </w:r>
      <w:r>
        <w:rPr>
          <w:spacing w:val="-4"/>
          <w:sz w:val="18"/>
          <w:szCs w:val="18"/>
          <w:lang w:val="es-ES_tradnl"/>
        </w:rPr>
        <w:t>p</w:t>
      </w:r>
      <w:r>
        <w:rPr>
          <w:rFonts w:cs="Times New Roman"/>
          <w:spacing w:val="-4"/>
          <w:sz w:val="18"/>
          <w:szCs w:val="18"/>
          <w:lang w:val="es-ES_tradnl"/>
        </w:rPr>
        <w:t>ú</w:t>
      </w:r>
      <w:r>
        <w:rPr>
          <w:spacing w:val="-4"/>
          <w:sz w:val="18"/>
          <w:szCs w:val="18"/>
          <w:lang w:val="es-ES_tradnl"/>
        </w:rPr>
        <w:t>blico o por el uso u ocupaci</w:t>
      </w:r>
      <w:r>
        <w:rPr>
          <w:rFonts w:cs="Times New Roman"/>
          <w:spacing w:val="-4"/>
          <w:sz w:val="18"/>
          <w:szCs w:val="18"/>
          <w:lang w:val="es-ES_tradnl"/>
        </w:rPr>
        <w:t>ó</w:t>
      </w:r>
      <w:r>
        <w:rPr>
          <w:spacing w:val="-4"/>
          <w:sz w:val="18"/>
          <w:szCs w:val="18"/>
          <w:lang w:val="es-ES_tradnl"/>
        </w:rPr>
        <w:t>n de un bien p</w:t>
      </w:r>
      <w:r>
        <w:rPr>
          <w:rFonts w:cs="Times New Roman"/>
          <w:spacing w:val="-4"/>
          <w:sz w:val="18"/>
          <w:szCs w:val="18"/>
          <w:lang w:val="es-ES_tradnl"/>
        </w:rPr>
        <w:t>ú</w:t>
      </w:r>
      <w:r>
        <w:rPr>
          <w:spacing w:val="-4"/>
          <w:sz w:val="18"/>
          <w:szCs w:val="18"/>
          <w:lang w:val="es-ES_tradnl"/>
        </w:rPr>
        <w:t xml:space="preserve">blico, sea </w:t>
      </w:r>
      <w:r>
        <w:rPr>
          <w:spacing w:val="-6"/>
          <w:sz w:val="18"/>
          <w:szCs w:val="18"/>
          <w:lang w:val="es-ES_tradnl"/>
        </w:rPr>
        <w:t xml:space="preserve">fijada con criterios justificados y razonables, tomando en </w:t>
      </w:r>
      <w:r>
        <w:rPr>
          <w:spacing w:val="-5"/>
          <w:sz w:val="18"/>
          <w:szCs w:val="18"/>
          <w:lang w:val="es-ES_tradnl"/>
        </w:rPr>
        <w:t xml:space="preserve">cuenta el beneficio obtenido por el contribuyente. Si una </w:t>
      </w:r>
      <w:r>
        <w:rPr>
          <w:spacing w:val="-6"/>
          <w:sz w:val="18"/>
          <w:szCs w:val="18"/>
          <w:lang w:val="es-ES_tradnl"/>
        </w:rPr>
        <w:t xml:space="preserve">tasa es desproporcionada frente al beneficio, rompe el </w:t>
      </w:r>
      <w:r>
        <w:rPr>
          <w:spacing w:val="-5"/>
          <w:sz w:val="18"/>
          <w:szCs w:val="18"/>
          <w:lang w:val="es-ES_tradnl"/>
        </w:rPr>
        <w:t>principio de equidad y por tanto es inconstitucional.</w:t>
      </w:r>
    </w:p>
    <w:p w14:paraId="4F67A564" w14:textId="77777777" w:rsidR="00591D54" w:rsidRDefault="00591D54">
      <w:pPr>
        <w:shd w:val="clear" w:color="auto" w:fill="FFFFFF"/>
        <w:spacing w:before="202" w:line="221" w:lineRule="exact"/>
        <w:jc w:val="both"/>
      </w:pPr>
      <w:r>
        <w:rPr>
          <w:spacing w:val="-8"/>
          <w:sz w:val="18"/>
          <w:szCs w:val="18"/>
          <w:lang w:val="es-ES_tradnl"/>
        </w:rPr>
        <w:t xml:space="preserve">Expresa que sobre la equidad en materia tributaria la Corte </w:t>
      </w:r>
      <w:r>
        <w:rPr>
          <w:spacing w:val="-6"/>
          <w:sz w:val="18"/>
          <w:szCs w:val="18"/>
          <w:lang w:val="es-ES_tradnl"/>
        </w:rPr>
        <w:t>Constitucional ha dicho que por su connotaci</w:t>
      </w:r>
      <w:r>
        <w:rPr>
          <w:rFonts w:cs="Times New Roman"/>
          <w:spacing w:val="-6"/>
          <w:sz w:val="18"/>
          <w:szCs w:val="18"/>
          <w:lang w:val="es-ES_tradnl"/>
        </w:rPr>
        <w:t>ó</w:t>
      </w:r>
      <w:r>
        <w:rPr>
          <w:spacing w:val="-6"/>
          <w:sz w:val="18"/>
          <w:szCs w:val="18"/>
          <w:lang w:val="es-ES_tradnl"/>
        </w:rPr>
        <w:t xml:space="preserve">n de justicia </w:t>
      </w:r>
      <w:r>
        <w:rPr>
          <w:spacing w:val="-10"/>
          <w:sz w:val="18"/>
          <w:szCs w:val="18"/>
          <w:lang w:val="es-ES_tradnl"/>
        </w:rPr>
        <w:t>e igualdad social con responsabilidad, consiste b</w:t>
      </w:r>
      <w:r>
        <w:rPr>
          <w:rFonts w:cs="Times New Roman"/>
          <w:spacing w:val="-10"/>
          <w:sz w:val="18"/>
          <w:szCs w:val="18"/>
          <w:lang w:val="es-ES_tradnl"/>
        </w:rPr>
        <w:t>á</w:t>
      </w:r>
      <w:r>
        <w:rPr>
          <w:spacing w:val="-10"/>
          <w:sz w:val="18"/>
          <w:szCs w:val="18"/>
          <w:lang w:val="es-ES_tradnl"/>
        </w:rPr>
        <w:t xml:space="preserve">sicamente en que la carga tributaria sea repartida de una manera justa, </w:t>
      </w:r>
      <w:r>
        <w:rPr>
          <w:spacing w:val="-9"/>
          <w:sz w:val="18"/>
          <w:szCs w:val="18"/>
          <w:lang w:val="es-ES_tradnl"/>
        </w:rPr>
        <w:t>lo que a todas luces no sucede con la presente ordenanza.</w:t>
      </w:r>
    </w:p>
    <w:p w14:paraId="4F67A565" w14:textId="77777777" w:rsidR="00591D54" w:rsidRDefault="00591D54">
      <w:pPr>
        <w:shd w:val="clear" w:color="auto" w:fill="FFFFFF"/>
        <w:spacing w:before="206" w:line="221" w:lineRule="exact"/>
        <w:jc w:val="both"/>
      </w:pPr>
      <w:r>
        <w:rPr>
          <w:spacing w:val="-6"/>
          <w:sz w:val="18"/>
          <w:szCs w:val="18"/>
          <w:lang w:val="es-ES_tradnl"/>
        </w:rPr>
        <w:t>Finalmente se</w:t>
      </w:r>
      <w:r>
        <w:rPr>
          <w:rFonts w:cs="Times New Roman"/>
          <w:spacing w:val="-6"/>
          <w:sz w:val="18"/>
          <w:szCs w:val="18"/>
          <w:lang w:val="es-ES_tradnl"/>
        </w:rPr>
        <w:t>ñ</w:t>
      </w:r>
      <w:r>
        <w:rPr>
          <w:spacing w:val="-6"/>
          <w:sz w:val="18"/>
          <w:szCs w:val="18"/>
          <w:lang w:val="es-ES_tradnl"/>
        </w:rPr>
        <w:t xml:space="preserve">ala que las tasas fijadas en la ordenanza </w:t>
      </w:r>
      <w:r>
        <w:rPr>
          <w:spacing w:val="-8"/>
          <w:sz w:val="18"/>
          <w:szCs w:val="18"/>
          <w:lang w:val="es-ES_tradnl"/>
        </w:rPr>
        <w:t>son absolutamente desproporcionadas frente al beneficio obtenido por el contribuyente como contraprestaci</w:t>
      </w:r>
      <w:r>
        <w:rPr>
          <w:rFonts w:cs="Times New Roman"/>
          <w:spacing w:val="-8"/>
          <w:sz w:val="18"/>
          <w:szCs w:val="18"/>
          <w:lang w:val="es-ES_tradnl"/>
        </w:rPr>
        <w:t>ó</w:t>
      </w:r>
      <w:r>
        <w:rPr>
          <w:spacing w:val="-8"/>
          <w:sz w:val="18"/>
          <w:szCs w:val="18"/>
          <w:lang w:val="es-ES_tradnl"/>
        </w:rPr>
        <w:t xml:space="preserve">n, pues </w:t>
      </w:r>
      <w:r>
        <w:rPr>
          <w:spacing w:val="-5"/>
          <w:sz w:val="18"/>
          <w:szCs w:val="18"/>
          <w:lang w:val="es-ES_tradnl"/>
        </w:rPr>
        <w:t xml:space="preserve">tal como determina el </w:t>
      </w:r>
      <w:r>
        <w:rPr>
          <w:rFonts w:cs="Times New Roman"/>
          <w:spacing w:val="-5"/>
          <w:sz w:val="18"/>
          <w:szCs w:val="18"/>
          <w:lang w:val="es-ES_tradnl"/>
        </w:rPr>
        <w:t>“</w:t>
      </w:r>
      <w:r>
        <w:rPr>
          <w:spacing w:val="-5"/>
          <w:sz w:val="18"/>
          <w:szCs w:val="18"/>
          <w:lang w:val="es-ES_tradnl"/>
        </w:rPr>
        <w:t>an</w:t>
      </w:r>
      <w:r>
        <w:rPr>
          <w:rFonts w:cs="Times New Roman"/>
          <w:spacing w:val="-5"/>
          <w:sz w:val="18"/>
          <w:szCs w:val="18"/>
          <w:lang w:val="es-ES_tradnl"/>
        </w:rPr>
        <w:t>á</w:t>
      </w:r>
      <w:r>
        <w:rPr>
          <w:spacing w:val="-5"/>
          <w:sz w:val="18"/>
          <w:szCs w:val="18"/>
          <w:lang w:val="es-ES_tradnl"/>
        </w:rPr>
        <w:t xml:space="preserve">lisis de tasas municipales por </w:t>
      </w:r>
      <w:r>
        <w:rPr>
          <w:spacing w:val="-9"/>
          <w:sz w:val="18"/>
          <w:szCs w:val="18"/>
          <w:lang w:val="es-ES_tradnl"/>
        </w:rPr>
        <w:t>derecho de v</w:t>
      </w:r>
      <w:r>
        <w:rPr>
          <w:rFonts w:cs="Times New Roman"/>
          <w:spacing w:val="-9"/>
          <w:sz w:val="18"/>
          <w:szCs w:val="18"/>
          <w:lang w:val="es-ES_tradnl"/>
        </w:rPr>
        <w:t>í</w:t>
      </w:r>
      <w:r>
        <w:rPr>
          <w:spacing w:val="-9"/>
          <w:sz w:val="18"/>
          <w:szCs w:val="18"/>
          <w:lang w:val="es-ES_tradnl"/>
        </w:rPr>
        <w:t>a para infraestructura de telecomunicaciones</w:t>
      </w:r>
      <w:r>
        <w:rPr>
          <w:rFonts w:cs="Times New Roman"/>
          <w:spacing w:val="-9"/>
          <w:sz w:val="18"/>
          <w:szCs w:val="18"/>
          <w:lang w:val="es-ES_tradnl"/>
        </w:rPr>
        <w:t xml:space="preserve">” </w:t>
      </w:r>
      <w:r>
        <w:rPr>
          <w:spacing w:val="-4"/>
          <w:sz w:val="18"/>
          <w:szCs w:val="18"/>
          <w:lang w:val="es-ES_tradnl"/>
        </w:rPr>
        <w:t>realizado por la Escuela Superior Polit</w:t>
      </w:r>
      <w:r>
        <w:rPr>
          <w:rFonts w:cs="Times New Roman"/>
          <w:spacing w:val="-4"/>
          <w:sz w:val="18"/>
          <w:szCs w:val="18"/>
          <w:lang w:val="es-ES_tradnl"/>
        </w:rPr>
        <w:t>é</w:t>
      </w:r>
      <w:r>
        <w:rPr>
          <w:spacing w:val="-4"/>
          <w:sz w:val="18"/>
          <w:szCs w:val="18"/>
          <w:lang w:val="es-ES_tradnl"/>
        </w:rPr>
        <w:t xml:space="preserve">cnica del Litoral, </w:t>
      </w:r>
      <w:r>
        <w:rPr>
          <w:spacing w:val="-6"/>
          <w:sz w:val="18"/>
          <w:szCs w:val="18"/>
          <w:lang w:val="es-ES_tradnl"/>
        </w:rPr>
        <w:t>de manten</w:t>
      </w:r>
      <w:r>
        <w:rPr>
          <w:rFonts w:cs="Times New Roman"/>
          <w:spacing w:val="-6"/>
          <w:sz w:val="18"/>
          <w:szCs w:val="18"/>
          <w:lang w:val="es-ES_tradnl"/>
        </w:rPr>
        <w:t>é</w:t>
      </w:r>
      <w:r>
        <w:rPr>
          <w:spacing w:val="-6"/>
          <w:sz w:val="18"/>
          <w:szCs w:val="18"/>
          <w:lang w:val="es-ES_tradnl"/>
        </w:rPr>
        <w:t>rselas, colapsar</w:t>
      </w:r>
      <w:r>
        <w:rPr>
          <w:rFonts w:cs="Times New Roman"/>
          <w:spacing w:val="-6"/>
          <w:sz w:val="18"/>
          <w:szCs w:val="18"/>
          <w:lang w:val="es-ES_tradnl"/>
        </w:rPr>
        <w:t>í</w:t>
      </w:r>
      <w:r>
        <w:rPr>
          <w:spacing w:val="-6"/>
          <w:sz w:val="18"/>
          <w:szCs w:val="18"/>
          <w:lang w:val="es-ES_tradnl"/>
        </w:rPr>
        <w:t xml:space="preserve">a la industria privada de </w:t>
      </w:r>
      <w:r>
        <w:rPr>
          <w:spacing w:val="-7"/>
          <w:sz w:val="18"/>
          <w:szCs w:val="18"/>
          <w:lang w:val="es-ES_tradnl"/>
        </w:rPr>
        <w:t xml:space="preserve">telecomunicaciones, en claro desmedro de la finalidad de </w:t>
      </w:r>
      <w:r>
        <w:rPr>
          <w:spacing w:val="-5"/>
          <w:sz w:val="18"/>
          <w:szCs w:val="18"/>
          <w:lang w:val="es-ES_tradnl"/>
        </w:rPr>
        <w:t>la pol</w:t>
      </w:r>
      <w:r>
        <w:rPr>
          <w:rFonts w:cs="Times New Roman"/>
          <w:spacing w:val="-5"/>
          <w:sz w:val="18"/>
          <w:szCs w:val="18"/>
          <w:lang w:val="es-ES_tradnl"/>
        </w:rPr>
        <w:t>í</w:t>
      </w:r>
      <w:r>
        <w:rPr>
          <w:spacing w:val="-5"/>
          <w:sz w:val="18"/>
          <w:szCs w:val="18"/>
          <w:lang w:val="es-ES_tradnl"/>
        </w:rPr>
        <w:t>tica tributaria establecida en el segundo inciso del art</w:t>
      </w:r>
      <w:r>
        <w:rPr>
          <w:rFonts w:cs="Times New Roman"/>
          <w:spacing w:val="-5"/>
          <w:sz w:val="18"/>
          <w:szCs w:val="18"/>
          <w:lang w:val="es-ES_tradnl"/>
        </w:rPr>
        <w:t>í</w:t>
      </w:r>
      <w:r>
        <w:rPr>
          <w:spacing w:val="-5"/>
          <w:sz w:val="18"/>
          <w:szCs w:val="18"/>
          <w:lang w:val="es-ES_tradnl"/>
        </w:rPr>
        <w:t>culo 300 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blica.</w:t>
      </w:r>
    </w:p>
    <w:p w14:paraId="4F67A566" w14:textId="77777777" w:rsidR="00591D54" w:rsidRDefault="00591D54">
      <w:pPr>
        <w:shd w:val="clear" w:color="auto" w:fill="FFFFFF"/>
        <w:spacing w:before="197"/>
      </w:pPr>
      <w:r>
        <w:rPr>
          <w:b/>
          <w:bCs/>
          <w:spacing w:val="-9"/>
          <w:sz w:val="18"/>
          <w:szCs w:val="18"/>
          <w:lang w:val="es-ES_tradnl"/>
        </w:rPr>
        <w:t>Normas cuya inconstitucionalidad se acusa</w:t>
      </w:r>
    </w:p>
    <w:p w14:paraId="4F67A567" w14:textId="77777777" w:rsidR="00591D54" w:rsidRDefault="00591D54">
      <w:pPr>
        <w:shd w:val="clear" w:color="auto" w:fill="FFFFFF"/>
        <w:spacing w:before="187" w:line="250" w:lineRule="exact"/>
        <w:ind w:left="283"/>
        <w:jc w:val="both"/>
      </w:pPr>
      <w:r>
        <w:rPr>
          <w:sz w:val="16"/>
          <w:szCs w:val="16"/>
          <w:lang w:val="es-ES_tradnl"/>
        </w:rPr>
        <w:t>Art. 18.- Valoraci</w:t>
      </w:r>
      <w:r>
        <w:rPr>
          <w:rFonts w:cs="Times New Roman"/>
          <w:sz w:val="16"/>
          <w:szCs w:val="16"/>
          <w:lang w:val="es-ES_tradnl"/>
        </w:rPr>
        <w:t>ó</w:t>
      </w:r>
      <w:r>
        <w:rPr>
          <w:sz w:val="16"/>
          <w:szCs w:val="16"/>
          <w:lang w:val="es-ES_tradnl"/>
        </w:rPr>
        <w:t>n de las tasas.-</w:t>
      </w:r>
      <w:r>
        <w:rPr>
          <w:spacing w:val="-7"/>
          <w:sz w:val="16"/>
          <w:szCs w:val="16"/>
          <w:lang w:val="es-ES_tradnl"/>
        </w:rPr>
        <w:t>Las personas naturales, jur</w:t>
      </w:r>
      <w:r>
        <w:rPr>
          <w:rFonts w:cs="Times New Roman"/>
          <w:spacing w:val="-7"/>
          <w:sz w:val="16"/>
          <w:szCs w:val="16"/>
          <w:lang w:val="es-ES_tradnl"/>
        </w:rPr>
        <w:t>í</w:t>
      </w:r>
      <w:r>
        <w:rPr>
          <w:spacing w:val="-7"/>
          <w:sz w:val="16"/>
          <w:szCs w:val="16"/>
          <w:lang w:val="es-ES_tradnl"/>
        </w:rPr>
        <w:t>dica, sociedades nacionales y extranjera todas ellas de car</w:t>
      </w:r>
      <w:r>
        <w:rPr>
          <w:rFonts w:cs="Times New Roman"/>
          <w:spacing w:val="-7"/>
          <w:sz w:val="16"/>
          <w:szCs w:val="16"/>
          <w:lang w:val="es-ES_tradnl"/>
        </w:rPr>
        <w:t>á</w:t>
      </w:r>
      <w:r>
        <w:rPr>
          <w:spacing w:val="-7"/>
          <w:sz w:val="16"/>
          <w:szCs w:val="16"/>
          <w:lang w:val="es-ES_tradnl"/>
        </w:rPr>
        <w:t>cter privado, deber</w:t>
      </w:r>
      <w:r>
        <w:rPr>
          <w:rFonts w:cs="Times New Roman"/>
          <w:spacing w:val="-7"/>
          <w:sz w:val="16"/>
          <w:szCs w:val="16"/>
          <w:lang w:val="es-ES_tradnl"/>
        </w:rPr>
        <w:t>á</w:t>
      </w:r>
      <w:r>
        <w:rPr>
          <w:spacing w:val="-7"/>
          <w:sz w:val="16"/>
          <w:szCs w:val="16"/>
          <w:lang w:val="es-ES_tradnl"/>
        </w:rPr>
        <w:t xml:space="preserve">n cancelar </w:t>
      </w:r>
      <w:r>
        <w:rPr>
          <w:spacing w:val="-5"/>
          <w:sz w:val="16"/>
          <w:szCs w:val="16"/>
          <w:lang w:val="es-ES_tradnl"/>
        </w:rPr>
        <w:t>anualmente estas tasas Municipales, generadas por la implantaci</w:t>
      </w:r>
      <w:r>
        <w:rPr>
          <w:rFonts w:cs="Times New Roman"/>
          <w:spacing w:val="-5"/>
          <w:sz w:val="16"/>
          <w:szCs w:val="16"/>
          <w:lang w:val="es-ES_tradnl"/>
        </w:rPr>
        <w:t>ó</w:t>
      </w:r>
      <w:r>
        <w:rPr>
          <w:spacing w:val="-5"/>
          <w:sz w:val="16"/>
          <w:szCs w:val="16"/>
          <w:lang w:val="es-ES_tradnl"/>
        </w:rPr>
        <w:t>n e instalaci</w:t>
      </w:r>
      <w:r>
        <w:rPr>
          <w:rFonts w:cs="Times New Roman"/>
          <w:spacing w:val="-5"/>
          <w:sz w:val="16"/>
          <w:szCs w:val="16"/>
          <w:lang w:val="es-ES_tradnl"/>
        </w:rPr>
        <w:t>ó</w:t>
      </w:r>
      <w:r>
        <w:rPr>
          <w:spacing w:val="-5"/>
          <w:sz w:val="16"/>
          <w:szCs w:val="16"/>
          <w:lang w:val="es-ES_tradnl"/>
        </w:rPr>
        <w:t xml:space="preserve">n de poste, tendidos de redes y </w:t>
      </w:r>
      <w:r>
        <w:rPr>
          <w:spacing w:val="-10"/>
          <w:sz w:val="16"/>
          <w:szCs w:val="16"/>
          <w:lang w:val="es-ES_tradnl"/>
        </w:rPr>
        <w:t>estructuras; adem</w:t>
      </w:r>
      <w:r>
        <w:rPr>
          <w:rFonts w:cs="Times New Roman"/>
          <w:spacing w:val="-10"/>
          <w:sz w:val="16"/>
          <w:szCs w:val="16"/>
          <w:lang w:val="es-ES_tradnl"/>
        </w:rPr>
        <w:t>á</w:t>
      </w:r>
      <w:r>
        <w:rPr>
          <w:spacing w:val="-10"/>
          <w:sz w:val="16"/>
          <w:szCs w:val="16"/>
          <w:lang w:val="es-ES_tradnl"/>
        </w:rPr>
        <w:t>s de la fijaci</w:t>
      </w:r>
      <w:r>
        <w:rPr>
          <w:rFonts w:cs="Times New Roman"/>
          <w:spacing w:val="-10"/>
          <w:sz w:val="16"/>
          <w:szCs w:val="16"/>
          <w:lang w:val="es-ES_tradnl"/>
        </w:rPr>
        <w:t>ó</w:t>
      </w:r>
      <w:r>
        <w:rPr>
          <w:spacing w:val="-10"/>
          <w:sz w:val="16"/>
          <w:szCs w:val="16"/>
          <w:lang w:val="es-ES_tradnl"/>
        </w:rPr>
        <w:t xml:space="preserve">n de las tasas correspondientes </w:t>
      </w:r>
      <w:r>
        <w:rPr>
          <w:spacing w:val="-6"/>
          <w:sz w:val="16"/>
          <w:szCs w:val="16"/>
          <w:lang w:val="es-ES_tradnl"/>
        </w:rPr>
        <w:t>por la utilizaci</w:t>
      </w:r>
      <w:r>
        <w:rPr>
          <w:rFonts w:cs="Times New Roman"/>
          <w:spacing w:val="-6"/>
          <w:sz w:val="16"/>
          <w:szCs w:val="16"/>
          <w:lang w:val="es-ES_tradnl"/>
        </w:rPr>
        <w:t>ó</w:t>
      </w:r>
      <w:r>
        <w:rPr>
          <w:spacing w:val="-6"/>
          <w:sz w:val="16"/>
          <w:szCs w:val="16"/>
          <w:lang w:val="es-ES_tradnl"/>
        </w:rPr>
        <w:t>n u ocupaci</w:t>
      </w:r>
      <w:r>
        <w:rPr>
          <w:rFonts w:cs="Times New Roman"/>
          <w:spacing w:val="-6"/>
          <w:sz w:val="16"/>
          <w:szCs w:val="16"/>
          <w:lang w:val="es-ES_tradnl"/>
        </w:rPr>
        <w:t>ó</w:t>
      </w:r>
      <w:r>
        <w:rPr>
          <w:spacing w:val="-6"/>
          <w:sz w:val="16"/>
          <w:szCs w:val="16"/>
          <w:lang w:val="es-ES_tradnl"/>
        </w:rPr>
        <w:t>n del espacio a</w:t>
      </w:r>
      <w:r>
        <w:rPr>
          <w:rFonts w:cs="Times New Roman"/>
          <w:spacing w:val="-6"/>
          <w:sz w:val="16"/>
          <w:szCs w:val="16"/>
          <w:lang w:val="es-ES_tradnl"/>
        </w:rPr>
        <w:t>é</w:t>
      </w:r>
      <w:r>
        <w:rPr>
          <w:spacing w:val="-6"/>
          <w:sz w:val="16"/>
          <w:szCs w:val="16"/>
          <w:lang w:val="es-ES_tradnl"/>
        </w:rPr>
        <w:t xml:space="preserve">reo municipal, en </w:t>
      </w:r>
      <w:r>
        <w:rPr>
          <w:spacing w:val="-7"/>
          <w:sz w:val="16"/>
          <w:szCs w:val="16"/>
          <w:lang w:val="es-ES_tradnl"/>
        </w:rPr>
        <w:t>el cant</w:t>
      </w:r>
      <w:r>
        <w:rPr>
          <w:rFonts w:cs="Times New Roman"/>
          <w:spacing w:val="-7"/>
          <w:sz w:val="16"/>
          <w:szCs w:val="16"/>
          <w:lang w:val="es-ES_tradnl"/>
        </w:rPr>
        <w:t>ó</w:t>
      </w:r>
      <w:r>
        <w:rPr>
          <w:spacing w:val="-7"/>
          <w:sz w:val="16"/>
          <w:szCs w:val="16"/>
          <w:lang w:val="es-ES_tradnl"/>
        </w:rPr>
        <w:t>n CHONE; tasas que se cancelar</w:t>
      </w:r>
      <w:r>
        <w:rPr>
          <w:rFonts w:cs="Times New Roman"/>
          <w:spacing w:val="-7"/>
          <w:sz w:val="16"/>
          <w:szCs w:val="16"/>
          <w:lang w:val="es-ES_tradnl"/>
        </w:rPr>
        <w:t>á</w:t>
      </w:r>
      <w:r>
        <w:rPr>
          <w:spacing w:val="-7"/>
          <w:sz w:val="16"/>
          <w:szCs w:val="16"/>
          <w:lang w:val="es-ES_tradnl"/>
        </w:rPr>
        <w:t xml:space="preserve"> por los siguientes </w:t>
      </w:r>
      <w:r>
        <w:rPr>
          <w:sz w:val="16"/>
          <w:szCs w:val="16"/>
          <w:lang w:val="es-ES_tradnl"/>
        </w:rPr>
        <w:t>conceptos:</w:t>
      </w:r>
    </w:p>
    <w:p w14:paraId="4F67A568" w14:textId="77777777" w:rsidR="00591D54" w:rsidRDefault="00591D54" w:rsidP="00251195">
      <w:pPr>
        <w:numPr>
          <w:ilvl w:val="0"/>
          <w:numId w:val="22"/>
        </w:numPr>
        <w:shd w:val="clear" w:color="auto" w:fill="FFFFFF"/>
        <w:tabs>
          <w:tab w:val="left" w:pos="566"/>
        </w:tabs>
        <w:spacing w:before="206" w:line="221" w:lineRule="exact"/>
        <w:ind w:left="566" w:hanging="283"/>
        <w:jc w:val="both"/>
        <w:rPr>
          <w:spacing w:val="-10"/>
          <w:sz w:val="16"/>
          <w:szCs w:val="16"/>
          <w:lang w:val="es-ES_tradnl"/>
        </w:rPr>
      </w:pPr>
      <w:r>
        <w:rPr>
          <w:b/>
          <w:bCs/>
          <w:spacing w:val="-7"/>
          <w:sz w:val="16"/>
          <w:szCs w:val="16"/>
          <w:lang w:val="es-ES_tradnl"/>
        </w:rPr>
        <w:t>Estructuras</w:t>
      </w:r>
      <w:r>
        <w:rPr>
          <w:b/>
          <w:bCs/>
          <w:spacing w:val="-7"/>
          <w:sz w:val="18"/>
          <w:szCs w:val="18"/>
          <w:lang w:val="es-ES_tradnl"/>
        </w:rPr>
        <w:t xml:space="preserve"> </w:t>
      </w:r>
      <w:r>
        <w:rPr>
          <w:b/>
          <w:bCs/>
          <w:spacing w:val="-7"/>
          <w:sz w:val="16"/>
          <w:szCs w:val="16"/>
          <w:lang w:val="es-ES_tradnl"/>
        </w:rPr>
        <w:t>Met</w:t>
      </w:r>
      <w:r>
        <w:rPr>
          <w:rFonts w:cs="Times New Roman"/>
          <w:b/>
          <w:bCs/>
          <w:spacing w:val="-7"/>
          <w:sz w:val="16"/>
          <w:szCs w:val="16"/>
          <w:lang w:val="es-ES_tradnl"/>
        </w:rPr>
        <w:t>á</w:t>
      </w:r>
      <w:r>
        <w:rPr>
          <w:b/>
          <w:bCs/>
          <w:spacing w:val="-7"/>
          <w:sz w:val="16"/>
          <w:szCs w:val="16"/>
          <w:lang w:val="es-ES_tradnl"/>
        </w:rPr>
        <w:t>licas.-</w:t>
      </w:r>
      <w:r>
        <w:rPr>
          <w:b/>
          <w:bCs/>
          <w:spacing w:val="-7"/>
          <w:sz w:val="18"/>
          <w:szCs w:val="18"/>
          <w:lang w:val="es-ES_tradnl"/>
        </w:rPr>
        <w:t xml:space="preserve"> </w:t>
      </w:r>
      <w:r>
        <w:rPr>
          <w:spacing w:val="-7"/>
          <w:sz w:val="16"/>
          <w:szCs w:val="16"/>
          <w:lang w:val="es-ES_tradnl"/>
        </w:rPr>
        <w:t>Por</w:t>
      </w:r>
      <w:r>
        <w:rPr>
          <w:spacing w:val="-7"/>
          <w:sz w:val="18"/>
          <w:szCs w:val="18"/>
          <w:lang w:val="es-ES_tradnl"/>
        </w:rPr>
        <w:t xml:space="preserve"> </w:t>
      </w:r>
      <w:r>
        <w:rPr>
          <w:spacing w:val="-7"/>
          <w:sz w:val="16"/>
          <w:szCs w:val="16"/>
          <w:lang w:val="es-ES_tradnl"/>
        </w:rPr>
        <w:t>cada</w:t>
      </w:r>
      <w:r>
        <w:rPr>
          <w:spacing w:val="-7"/>
          <w:sz w:val="18"/>
          <w:szCs w:val="18"/>
          <w:lang w:val="es-ES_tradnl"/>
        </w:rPr>
        <w:t xml:space="preserve"> </w:t>
      </w:r>
      <w:r>
        <w:rPr>
          <w:spacing w:val="-7"/>
          <w:sz w:val="16"/>
          <w:szCs w:val="16"/>
          <w:lang w:val="es-ES_tradnl"/>
        </w:rPr>
        <w:t>estructura</w:t>
      </w:r>
      <w:r>
        <w:rPr>
          <w:spacing w:val="-7"/>
          <w:sz w:val="18"/>
          <w:szCs w:val="18"/>
          <w:lang w:val="es-ES_tradnl"/>
        </w:rPr>
        <w:t xml:space="preserve"> </w:t>
      </w:r>
      <w:r>
        <w:rPr>
          <w:spacing w:val="-7"/>
          <w:sz w:val="16"/>
          <w:szCs w:val="16"/>
          <w:lang w:val="es-ES_tradnl"/>
        </w:rPr>
        <w:t>met</w:t>
      </w:r>
      <w:r>
        <w:rPr>
          <w:rFonts w:cs="Times New Roman"/>
          <w:spacing w:val="-7"/>
          <w:sz w:val="16"/>
          <w:szCs w:val="16"/>
          <w:lang w:val="es-ES_tradnl"/>
        </w:rPr>
        <w:t>á</w:t>
      </w:r>
      <w:r>
        <w:rPr>
          <w:spacing w:val="-7"/>
          <w:sz w:val="16"/>
          <w:szCs w:val="16"/>
          <w:lang w:val="es-ES_tradnl"/>
        </w:rPr>
        <w:t>lica</w:t>
      </w:r>
      <w:r>
        <w:rPr>
          <w:spacing w:val="-7"/>
          <w:sz w:val="18"/>
          <w:szCs w:val="18"/>
          <w:lang w:val="es-ES_tradnl"/>
        </w:rPr>
        <w:t xml:space="preserve"> </w:t>
      </w:r>
      <w:r>
        <w:rPr>
          <w:spacing w:val="-7"/>
          <w:sz w:val="16"/>
          <w:szCs w:val="16"/>
          <w:lang w:val="es-ES_tradnl"/>
        </w:rPr>
        <w:t xml:space="preserve">de </w:t>
      </w:r>
      <w:r>
        <w:rPr>
          <w:spacing w:val="-6"/>
          <w:sz w:val="16"/>
          <w:szCs w:val="16"/>
          <w:lang w:val="es-ES_tradnl"/>
        </w:rPr>
        <w:t>uso comercial de propiedad privada instalada en zonas urbanas o rurales dentro del cant</w:t>
      </w:r>
      <w:r>
        <w:rPr>
          <w:rFonts w:cs="Times New Roman"/>
          <w:spacing w:val="-6"/>
          <w:sz w:val="16"/>
          <w:szCs w:val="16"/>
          <w:lang w:val="es-ES_tradnl"/>
        </w:rPr>
        <w:t>ó</w:t>
      </w:r>
      <w:r>
        <w:rPr>
          <w:spacing w:val="-6"/>
          <w:sz w:val="16"/>
          <w:szCs w:val="16"/>
          <w:lang w:val="es-ES_tradnl"/>
        </w:rPr>
        <w:t>n y otras, pagar</w:t>
      </w:r>
      <w:r>
        <w:rPr>
          <w:rFonts w:cs="Times New Roman"/>
          <w:spacing w:val="-6"/>
          <w:sz w:val="16"/>
          <w:szCs w:val="16"/>
          <w:lang w:val="es-ES_tradnl"/>
        </w:rPr>
        <w:t>á</w:t>
      </w:r>
      <w:r>
        <w:rPr>
          <w:spacing w:val="-6"/>
          <w:sz w:val="16"/>
          <w:szCs w:val="16"/>
          <w:lang w:val="es-ES_tradnl"/>
        </w:rPr>
        <w:t xml:space="preserve">n el </w:t>
      </w:r>
      <w:r>
        <w:rPr>
          <w:spacing w:val="-7"/>
          <w:sz w:val="16"/>
          <w:szCs w:val="16"/>
          <w:lang w:val="es-ES_tradnl"/>
        </w:rPr>
        <w:t>20% del RBU diario; as</w:t>
      </w:r>
      <w:r>
        <w:rPr>
          <w:rFonts w:cs="Times New Roman"/>
          <w:spacing w:val="-7"/>
          <w:sz w:val="16"/>
          <w:szCs w:val="16"/>
          <w:lang w:val="es-ES_tradnl"/>
        </w:rPr>
        <w:t>í</w:t>
      </w:r>
      <w:r>
        <w:rPr>
          <w:spacing w:val="-7"/>
          <w:sz w:val="16"/>
          <w:szCs w:val="16"/>
          <w:lang w:val="es-ES_tradnl"/>
        </w:rPr>
        <w:t xml:space="preserve"> como tambi</w:t>
      </w:r>
      <w:r>
        <w:rPr>
          <w:rFonts w:cs="Times New Roman"/>
          <w:spacing w:val="-7"/>
          <w:sz w:val="16"/>
          <w:szCs w:val="16"/>
          <w:lang w:val="es-ES_tradnl"/>
        </w:rPr>
        <w:t>é</w:t>
      </w:r>
      <w:r>
        <w:rPr>
          <w:spacing w:val="-7"/>
          <w:sz w:val="16"/>
          <w:szCs w:val="16"/>
          <w:lang w:val="es-ES_tradnl"/>
        </w:rPr>
        <w:t>n las utilizadas para uso de comunicaci</w:t>
      </w:r>
      <w:r>
        <w:rPr>
          <w:rFonts w:cs="Times New Roman"/>
          <w:spacing w:val="-7"/>
          <w:sz w:val="16"/>
          <w:szCs w:val="16"/>
          <w:lang w:val="es-ES_tradnl"/>
        </w:rPr>
        <w:t>ó</w:t>
      </w:r>
      <w:r>
        <w:rPr>
          <w:spacing w:val="-7"/>
          <w:sz w:val="16"/>
          <w:szCs w:val="16"/>
          <w:lang w:val="es-ES_tradnl"/>
        </w:rPr>
        <w:t>n a celulares o canales de televisi</w:t>
      </w:r>
      <w:r>
        <w:rPr>
          <w:rFonts w:cs="Times New Roman"/>
          <w:spacing w:val="-7"/>
          <w:sz w:val="16"/>
          <w:szCs w:val="16"/>
          <w:lang w:val="es-ES_tradnl"/>
        </w:rPr>
        <w:t>ó</w:t>
      </w:r>
      <w:r>
        <w:rPr>
          <w:spacing w:val="-7"/>
          <w:sz w:val="16"/>
          <w:szCs w:val="16"/>
          <w:lang w:val="es-ES_tradnl"/>
        </w:rPr>
        <w:t>n.</w:t>
      </w:r>
    </w:p>
    <w:p w14:paraId="4F67A569" w14:textId="77777777" w:rsidR="00591D54" w:rsidRDefault="00591D54" w:rsidP="00251195">
      <w:pPr>
        <w:numPr>
          <w:ilvl w:val="0"/>
          <w:numId w:val="22"/>
        </w:numPr>
        <w:shd w:val="clear" w:color="auto" w:fill="FFFFFF"/>
        <w:tabs>
          <w:tab w:val="left" w:pos="566"/>
        </w:tabs>
        <w:spacing w:before="216" w:line="221" w:lineRule="exact"/>
        <w:ind w:left="566" w:hanging="283"/>
        <w:jc w:val="both"/>
        <w:rPr>
          <w:spacing w:val="-10"/>
          <w:sz w:val="16"/>
          <w:szCs w:val="16"/>
          <w:lang w:val="es-ES_tradnl"/>
        </w:rPr>
      </w:pPr>
      <w:r>
        <w:rPr>
          <w:b/>
          <w:bCs/>
          <w:spacing w:val="-3"/>
          <w:sz w:val="16"/>
          <w:szCs w:val="16"/>
          <w:lang w:val="es-ES_tradnl"/>
        </w:rPr>
        <w:t>Antenas</w:t>
      </w:r>
      <w:r>
        <w:rPr>
          <w:b/>
          <w:bCs/>
          <w:spacing w:val="-3"/>
          <w:sz w:val="18"/>
          <w:szCs w:val="18"/>
          <w:lang w:val="es-ES_tradnl"/>
        </w:rPr>
        <w:t xml:space="preserve"> </w:t>
      </w:r>
      <w:r>
        <w:rPr>
          <w:b/>
          <w:bCs/>
          <w:spacing w:val="-3"/>
          <w:sz w:val="16"/>
          <w:szCs w:val="16"/>
          <w:lang w:val="es-ES_tradnl"/>
        </w:rPr>
        <w:t>para</w:t>
      </w:r>
      <w:r>
        <w:rPr>
          <w:b/>
          <w:bCs/>
          <w:spacing w:val="-3"/>
          <w:sz w:val="18"/>
          <w:szCs w:val="18"/>
          <w:lang w:val="es-ES_tradnl"/>
        </w:rPr>
        <w:t xml:space="preserve"> </w:t>
      </w:r>
      <w:r>
        <w:rPr>
          <w:b/>
          <w:bCs/>
          <w:spacing w:val="-3"/>
          <w:sz w:val="16"/>
          <w:szCs w:val="16"/>
          <w:lang w:val="es-ES_tradnl"/>
        </w:rPr>
        <w:t>servicios</w:t>
      </w:r>
      <w:r>
        <w:rPr>
          <w:b/>
          <w:bCs/>
          <w:spacing w:val="-3"/>
          <w:sz w:val="18"/>
          <w:szCs w:val="18"/>
          <w:lang w:val="es-ES_tradnl"/>
        </w:rPr>
        <w:t xml:space="preserve"> </w:t>
      </w:r>
      <w:r>
        <w:rPr>
          <w:b/>
          <w:bCs/>
          <w:spacing w:val="-3"/>
          <w:sz w:val="16"/>
          <w:szCs w:val="16"/>
          <w:lang w:val="es-ES_tradnl"/>
        </w:rPr>
        <w:t>celulares</w:t>
      </w:r>
      <w:r>
        <w:rPr>
          <w:spacing w:val="-3"/>
          <w:sz w:val="16"/>
          <w:szCs w:val="16"/>
          <w:lang w:val="es-ES_tradnl"/>
        </w:rPr>
        <w:t>.-</w:t>
      </w:r>
      <w:r>
        <w:rPr>
          <w:spacing w:val="-3"/>
          <w:sz w:val="18"/>
          <w:szCs w:val="18"/>
          <w:lang w:val="es-ES_tradnl"/>
        </w:rPr>
        <w:t xml:space="preserve"> </w:t>
      </w:r>
      <w:r>
        <w:rPr>
          <w:spacing w:val="-3"/>
          <w:sz w:val="16"/>
          <w:szCs w:val="16"/>
          <w:lang w:val="es-ES_tradnl"/>
        </w:rPr>
        <w:t>Por</w:t>
      </w:r>
      <w:r>
        <w:rPr>
          <w:spacing w:val="-3"/>
          <w:sz w:val="18"/>
          <w:szCs w:val="18"/>
          <w:lang w:val="es-ES_tradnl"/>
        </w:rPr>
        <w:t xml:space="preserve"> </w:t>
      </w:r>
      <w:r>
        <w:rPr>
          <w:spacing w:val="-3"/>
          <w:sz w:val="16"/>
          <w:szCs w:val="16"/>
          <w:lang w:val="es-ES_tradnl"/>
        </w:rPr>
        <w:t>cada</w:t>
      </w:r>
      <w:r>
        <w:rPr>
          <w:spacing w:val="-3"/>
          <w:sz w:val="18"/>
          <w:szCs w:val="18"/>
          <w:lang w:val="es-ES_tradnl"/>
        </w:rPr>
        <w:t xml:space="preserve"> </w:t>
      </w:r>
      <w:r>
        <w:rPr>
          <w:spacing w:val="-3"/>
          <w:sz w:val="16"/>
          <w:szCs w:val="16"/>
          <w:lang w:val="es-ES_tradnl"/>
        </w:rPr>
        <w:t>una</w:t>
      </w:r>
      <w:r>
        <w:rPr>
          <w:spacing w:val="-3"/>
          <w:sz w:val="18"/>
          <w:szCs w:val="18"/>
          <w:lang w:val="es-ES_tradnl"/>
        </w:rPr>
        <w:t xml:space="preserve"> </w:t>
      </w:r>
      <w:r>
        <w:rPr>
          <w:spacing w:val="-3"/>
          <w:sz w:val="16"/>
          <w:szCs w:val="16"/>
          <w:lang w:val="es-ES_tradnl"/>
        </w:rPr>
        <w:t xml:space="preserve">de </w:t>
      </w:r>
      <w:r>
        <w:rPr>
          <w:spacing w:val="-2"/>
          <w:sz w:val="16"/>
          <w:szCs w:val="16"/>
          <w:lang w:val="es-ES_tradnl"/>
        </w:rPr>
        <w:t xml:space="preserve">las antenas instaladas en el alto de las estructuras, y </w:t>
      </w:r>
      <w:r>
        <w:rPr>
          <w:spacing w:val="-7"/>
          <w:sz w:val="16"/>
          <w:szCs w:val="16"/>
          <w:lang w:val="es-ES_tradnl"/>
        </w:rPr>
        <w:t>que forman parte de las redes para telecomunicaciones celulares, pagar</w:t>
      </w:r>
      <w:r>
        <w:rPr>
          <w:rFonts w:cs="Times New Roman"/>
          <w:spacing w:val="-7"/>
          <w:sz w:val="16"/>
          <w:szCs w:val="16"/>
          <w:lang w:val="es-ES_tradnl"/>
        </w:rPr>
        <w:t>á</w:t>
      </w:r>
      <w:r>
        <w:rPr>
          <w:spacing w:val="-7"/>
          <w:sz w:val="16"/>
          <w:szCs w:val="16"/>
          <w:lang w:val="es-ES_tradnl"/>
        </w:rPr>
        <w:t xml:space="preserve"> el 20% del RBU diario, por concepto de </w:t>
      </w:r>
      <w:r>
        <w:rPr>
          <w:sz w:val="16"/>
          <w:szCs w:val="16"/>
          <w:lang w:val="es-ES_tradnl"/>
        </w:rPr>
        <w:t>uso de Espacio A</w:t>
      </w:r>
      <w:r>
        <w:rPr>
          <w:rFonts w:cs="Times New Roman"/>
          <w:sz w:val="16"/>
          <w:szCs w:val="16"/>
          <w:lang w:val="es-ES_tradnl"/>
        </w:rPr>
        <w:t>é</w:t>
      </w:r>
      <w:r>
        <w:rPr>
          <w:sz w:val="16"/>
          <w:szCs w:val="16"/>
          <w:lang w:val="es-ES_tradnl"/>
        </w:rPr>
        <w:t>reo.</w:t>
      </w:r>
    </w:p>
    <w:p w14:paraId="4F67A56A" w14:textId="77777777" w:rsidR="00591D54" w:rsidRDefault="00591D54" w:rsidP="00251195">
      <w:pPr>
        <w:numPr>
          <w:ilvl w:val="0"/>
          <w:numId w:val="22"/>
        </w:numPr>
        <w:shd w:val="clear" w:color="auto" w:fill="FFFFFF"/>
        <w:tabs>
          <w:tab w:val="left" w:pos="566"/>
        </w:tabs>
        <w:spacing w:before="206" w:line="226" w:lineRule="exact"/>
        <w:ind w:left="566" w:hanging="283"/>
        <w:jc w:val="both"/>
        <w:rPr>
          <w:spacing w:val="-10"/>
          <w:sz w:val="16"/>
          <w:szCs w:val="16"/>
          <w:lang w:val="es-ES_tradnl"/>
        </w:rPr>
      </w:pPr>
      <w:r>
        <w:rPr>
          <w:b/>
          <w:bCs/>
          <w:spacing w:val="-3"/>
          <w:sz w:val="16"/>
          <w:szCs w:val="16"/>
          <w:lang w:val="es-ES_tradnl"/>
        </w:rPr>
        <w:t>Antenas</w:t>
      </w:r>
      <w:r>
        <w:rPr>
          <w:b/>
          <w:bCs/>
          <w:spacing w:val="-3"/>
          <w:sz w:val="18"/>
          <w:szCs w:val="18"/>
          <w:lang w:val="es-ES_tradnl"/>
        </w:rPr>
        <w:t xml:space="preserve"> </w:t>
      </w:r>
      <w:r>
        <w:rPr>
          <w:b/>
          <w:bCs/>
          <w:spacing w:val="-3"/>
          <w:sz w:val="16"/>
          <w:szCs w:val="16"/>
          <w:lang w:val="es-ES_tradnl"/>
        </w:rPr>
        <w:t>para</w:t>
      </w:r>
      <w:r>
        <w:rPr>
          <w:b/>
          <w:bCs/>
          <w:spacing w:val="-3"/>
          <w:sz w:val="18"/>
          <w:szCs w:val="18"/>
          <w:lang w:val="es-ES_tradnl"/>
        </w:rPr>
        <w:t xml:space="preserve"> </w:t>
      </w:r>
      <w:r>
        <w:rPr>
          <w:b/>
          <w:bCs/>
          <w:spacing w:val="-3"/>
          <w:sz w:val="16"/>
          <w:szCs w:val="16"/>
          <w:lang w:val="es-ES_tradnl"/>
        </w:rPr>
        <w:t>radio</w:t>
      </w:r>
      <w:r>
        <w:rPr>
          <w:b/>
          <w:bCs/>
          <w:spacing w:val="-3"/>
          <w:sz w:val="18"/>
          <w:szCs w:val="18"/>
          <w:lang w:val="es-ES_tradnl"/>
        </w:rPr>
        <w:t xml:space="preserve"> </w:t>
      </w:r>
      <w:r>
        <w:rPr>
          <w:b/>
          <w:bCs/>
          <w:spacing w:val="-3"/>
          <w:sz w:val="16"/>
          <w:szCs w:val="16"/>
          <w:lang w:val="es-ES_tradnl"/>
        </w:rPr>
        <w:t>ayuda</w:t>
      </w:r>
      <w:r>
        <w:rPr>
          <w:b/>
          <w:bCs/>
          <w:spacing w:val="-3"/>
          <w:sz w:val="18"/>
          <w:szCs w:val="18"/>
          <w:lang w:val="es-ES_tradnl"/>
        </w:rPr>
        <w:t xml:space="preserve"> </w:t>
      </w:r>
      <w:r>
        <w:rPr>
          <w:b/>
          <w:bCs/>
          <w:spacing w:val="-3"/>
          <w:sz w:val="16"/>
          <w:szCs w:val="16"/>
          <w:lang w:val="es-ES_tradnl"/>
        </w:rPr>
        <w:t>y</w:t>
      </w:r>
      <w:r>
        <w:rPr>
          <w:b/>
          <w:bCs/>
          <w:spacing w:val="-3"/>
          <w:sz w:val="18"/>
          <w:szCs w:val="18"/>
          <w:lang w:val="es-ES_tradnl"/>
        </w:rPr>
        <w:t xml:space="preserve"> </w:t>
      </w:r>
      <w:r>
        <w:rPr>
          <w:b/>
          <w:bCs/>
          <w:spacing w:val="-3"/>
          <w:sz w:val="16"/>
          <w:szCs w:val="16"/>
          <w:lang w:val="es-ES_tradnl"/>
        </w:rPr>
        <w:t>radioaficionado.-</w:t>
      </w:r>
      <w:r>
        <w:rPr>
          <w:b/>
          <w:bCs/>
          <w:spacing w:val="-3"/>
          <w:sz w:val="18"/>
          <w:szCs w:val="18"/>
          <w:lang w:val="es-ES_tradnl"/>
        </w:rPr>
        <w:t xml:space="preserve"> </w:t>
      </w:r>
      <w:r>
        <w:rPr>
          <w:spacing w:val="-3"/>
          <w:sz w:val="16"/>
          <w:szCs w:val="16"/>
          <w:lang w:val="es-ES_tradnl"/>
        </w:rPr>
        <w:t xml:space="preserve">Por </w:t>
      </w:r>
      <w:r>
        <w:rPr>
          <w:spacing w:val="-8"/>
          <w:sz w:val="16"/>
          <w:szCs w:val="16"/>
          <w:lang w:val="es-ES_tradnl"/>
        </w:rPr>
        <w:t xml:space="preserve">cada antena para radio ayuda fija y radioaficionado, </w:t>
      </w:r>
      <w:r>
        <w:rPr>
          <w:rFonts w:cs="Times New Roman"/>
          <w:spacing w:val="-8"/>
          <w:sz w:val="16"/>
          <w:szCs w:val="16"/>
          <w:lang w:val="es-ES_tradnl"/>
        </w:rPr>
        <w:t>é</w:t>
      </w:r>
      <w:r>
        <w:rPr>
          <w:spacing w:val="-8"/>
          <w:sz w:val="16"/>
          <w:szCs w:val="16"/>
          <w:lang w:val="es-ES_tradnl"/>
        </w:rPr>
        <w:t>stas</w:t>
      </w:r>
    </w:p>
    <w:p w14:paraId="4F67A56B" w14:textId="77777777" w:rsidR="00591D54" w:rsidRDefault="00591D54" w:rsidP="00251195">
      <w:pPr>
        <w:numPr>
          <w:ilvl w:val="0"/>
          <w:numId w:val="22"/>
        </w:numPr>
        <w:shd w:val="clear" w:color="auto" w:fill="FFFFFF"/>
        <w:tabs>
          <w:tab w:val="left" w:pos="566"/>
        </w:tabs>
        <w:spacing w:before="206" w:line="226" w:lineRule="exact"/>
        <w:ind w:left="566" w:hanging="283"/>
        <w:jc w:val="both"/>
        <w:rPr>
          <w:spacing w:val="-10"/>
          <w:sz w:val="16"/>
          <w:szCs w:val="16"/>
          <w:lang w:val="es-ES_tradnl"/>
        </w:rPr>
        <w:sectPr w:rsidR="00591D54">
          <w:type w:val="continuous"/>
          <w:pgSz w:w="11909" w:h="16834"/>
          <w:pgMar w:top="1371" w:right="1309" w:bottom="360" w:left="1308" w:header="720" w:footer="720" w:gutter="0"/>
          <w:cols w:num="2" w:space="720" w:equalWidth="0">
            <w:col w:w="4305" w:space="682"/>
            <w:col w:w="4305"/>
          </w:cols>
          <w:noEndnote/>
        </w:sectPr>
      </w:pPr>
    </w:p>
    <w:p w14:paraId="4F67A56C" w14:textId="77777777" w:rsidR="00591D54" w:rsidRDefault="00591D54">
      <w:pPr>
        <w:shd w:val="clear" w:color="auto" w:fill="FFFFFF"/>
        <w:tabs>
          <w:tab w:val="left" w:pos="4814"/>
        </w:tabs>
        <w:spacing w:after="230"/>
        <w:ind w:left="5"/>
      </w:pPr>
      <w:r>
        <w:rPr>
          <w:b/>
          <w:bCs/>
          <w:sz w:val="18"/>
          <w:szCs w:val="18"/>
          <w:lang w:val="es-ES_tradnl"/>
        </w:rPr>
        <w:t xml:space="preserve">28 -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56D" w14:textId="77777777" w:rsidR="00591D54" w:rsidRDefault="00591D54">
      <w:pPr>
        <w:shd w:val="clear" w:color="auto" w:fill="FFFFFF"/>
        <w:tabs>
          <w:tab w:val="left" w:pos="4814"/>
        </w:tabs>
        <w:spacing w:after="230"/>
        <w:ind w:left="5"/>
        <w:sectPr w:rsidR="00591D54">
          <w:pgSz w:w="11909" w:h="16834"/>
          <w:pgMar w:top="1373" w:right="1304" w:bottom="360" w:left="1308" w:header="720" w:footer="720" w:gutter="0"/>
          <w:cols w:space="60"/>
          <w:noEndnote/>
        </w:sectPr>
      </w:pPr>
    </w:p>
    <w:p w14:paraId="4F67A56E" w14:textId="77777777" w:rsidR="00591D54" w:rsidRDefault="00591D54">
      <w:pPr>
        <w:shd w:val="clear" w:color="auto" w:fill="FFFFFF"/>
        <w:spacing w:line="216" w:lineRule="exact"/>
        <w:ind w:left="566"/>
        <w:jc w:val="both"/>
      </w:pPr>
      <w:r>
        <w:rPr>
          <w:spacing w:val="-4"/>
          <w:sz w:val="16"/>
          <w:szCs w:val="16"/>
          <w:lang w:val="es-ES_tradnl"/>
        </w:rPr>
        <w:t>pagar</w:t>
      </w:r>
      <w:r>
        <w:rPr>
          <w:rFonts w:cs="Times New Roman"/>
          <w:spacing w:val="-4"/>
          <w:sz w:val="16"/>
          <w:szCs w:val="16"/>
          <w:lang w:val="es-ES_tradnl"/>
        </w:rPr>
        <w:t>á</w:t>
      </w:r>
      <w:r>
        <w:rPr>
          <w:spacing w:val="-4"/>
          <w:sz w:val="16"/>
          <w:szCs w:val="16"/>
          <w:lang w:val="es-ES_tradnl"/>
        </w:rPr>
        <w:t>n diez centavos de d</w:t>
      </w:r>
      <w:r>
        <w:rPr>
          <w:rFonts w:cs="Times New Roman"/>
          <w:spacing w:val="-4"/>
          <w:sz w:val="16"/>
          <w:szCs w:val="16"/>
          <w:lang w:val="es-ES_tradnl"/>
        </w:rPr>
        <w:t>ó</w:t>
      </w:r>
      <w:r>
        <w:rPr>
          <w:spacing w:val="-4"/>
          <w:sz w:val="16"/>
          <w:szCs w:val="16"/>
          <w:lang w:val="es-ES_tradnl"/>
        </w:rPr>
        <w:t xml:space="preserve">lar de los Estados Unidos </w:t>
      </w:r>
      <w:r>
        <w:rPr>
          <w:spacing w:val="-7"/>
          <w:sz w:val="16"/>
          <w:szCs w:val="16"/>
          <w:lang w:val="es-ES_tradnl"/>
        </w:rPr>
        <w:t>de Norteam</w:t>
      </w:r>
      <w:r>
        <w:rPr>
          <w:rFonts w:cs="Times New Roman"/>
          <w:spacing w:val="-7"/>
          <w:sz w:val="16"/>
          <w:szCs w:val="16"/>
          <w:lang w:val="es-ES_tradnl"/>
        </w:rPr>
        <w:t>é</w:t>
      </w:r>
      <w:r>
        <w:rPr>
          <w:spacing w:val="-7"/>
          <w:sz w:val="16"/>
          <w:szCs w:val="16"/>
          <w:lang w:val="es-ES_tradnl"/>
        </w:rPr>
        <w:t xml:space="preserve">rica diarios por concepto de uso de Espacio </w:t>
      </w:r>
      <w:r>
        <w:rPr>
          <w:sz w:val="16"/>
          <w:szCs w:val="16"/>
          <w:lang w:val="es-ES_tradnl"/>
        </w:rPr>
        <w:t>A</w:t>
      </w:r>
      <w:r>
        <w:rPr>
          <w:rFonts w:cs="Times New Roman"/>
          <w:sz w:val="16"/>
          <w:szCs w:val="16"/>
          <w:lang w:val="es-ES_tradnl"/>
        </w:rPr>
        <w:t>é</w:t>
      </w:r>
      <w:r>
        <w:rPr>
          <w:sz w:val="16"/>
          <w:szCs w:val="16"/>
          <w:lang w:val="es-ES_tradnl"/>
        </w:rPr>
        <w:t>reo.</w:t>
      </w:r>
    </w:p>
    <w:p w14:paraId="4F67A56F" w14:textId="77777777" w:rsidR="00591D54" w:rsidRDefault="00591D54" w:rsidP="00251195">
      <w:pPr>
        <w:numPr>
          <w:ilvl w:val="0"/>
          <w:numId w:val="23"/>
        </w:numPr>
        <w:shd w:val="clear" w:color="auto" w:fill="FFFFFF"/>
        <w:tabs>
          <w:tab w:val="left" w:pos="566"/>
        </w:tabs>
        <w:spacing w:before="211" w:line="216" w:lineRule="exact"/>
        <w:ind w:left="566" w:right="5" w:hanging="283"/>
        <w:jc w:val="both"/>
        <w:rPr>
          <w:spacing w:val="-10"/>
          <w:sz w:val="16"/>
          <w:szCs w:val="16"/>
          <w:lang w:val="es-ES_tradnl"/>
        </w:rPr>
      </w:pPr>
      <w:r>
        <w:rPr>
          <w:b/>
          <w:bCs/>
          <w:spacing w:val="-7"/>
          <w:sz w:val="16"/>
          <w:szCs w:val="16"/>
          <w:lang w:val="es-ES_tradnl"/>
        </w:rPr>
        <w:t>Antena</w:t>
      </w:r>
      <w:r>
        <w:rPr>
          <w:b/>
          <w:bCs/>
          <w:spacing w:val="-7"/>
          <w:sz w:val="18"/>
          <w:szCs w:val="18"/>
          <w:lang w:val="es-ES_tradnl"/>
        </w:rPr>
        <w:t xml:space="preserve"> </w:t>
      </w:r>
      <w:r>
        <w:rPr>
          <w:b/>
          <w:bCs/>
          <w:spacing w:val="-7"/>
          <w:sz w:val="16"/>
          <w:szCs w:val="16"/>
          <w:lang w:val="es-ES_tradnl"/>
        </w:rPr>
        <w:t>para</w:t>
      </w:r>
      <w:r>
        <w:rPr>
          <w:b/>
          <w:bCs/>
          <w:spacing w:val="-7"/>
          <w:sz w:val="18"/>
          <w:szCs w:val="18"/>
          <w:lang w:val="es-ES_tradnl"/>
        </w:rPr>
        <w:t xml:space="preserve"> </w:t>
      </w:r>
      <w:r>
        <w:rPr>
          <w:b/>
          <w:bCs/>
          <w:spacing w:val="-7"/>
          <w:sz w:val="16"/>
          <w:szCs w:val="16"/>
          <w:lang w:val="es-ES_tradnl"/>
        </w:rPr>
        <w:t>radio</w:t>
      </w:r>
      <w:r>
        <w:rPr>
          <w:b/>
          <w:bCs/>
          <w:spacing w:val="-7"/>
          <w:sz w:val="18"/>
          <w:szCs w:val="18"/>
          <w:lang w:val="es-ES_tradnl"/>
        </w:rPr>
        <w:t xml:space="preserve"> </w:t>
      </w:r>
      <w:r>
        <w:rPr>
          <w:b/>
          <w:bCs/>
          <w:spacing w:val="-7"/>
          <w:sz w:val="16"/>
          <w:szCs w:val="16"/>
          <w:lang w:val="es-ES_tradnl"/>
        </w:rPr>
        <w:t>emisoras</w:t>
      </w:r>
      <w:r>
        <w:rPr>
          <w:b/>
          <w:bCs/>
          <w:spacing w:val="-7"/>
          <w:sz w:val="18"/>
          <w:szCs w:val="18"/>
          <w:lang w:val="es-ES_tradnl"/>
        </w:rPr>
        <w:t xml:space="preserve"> </w:t>
      </w:r>
      <w:r>
        <w:rPr>
          <w:b/>
          <w:bCs/>
          <w:spacing w:val="-7"/>
          <w:sz w:val="16"/>
          <w:szCs w:val="16"/>
          <w:lang w:val="es-ES_tradnl"/>
        </w:rPr>
        <w:t>comerciales.-</w:t>
      </w:r>
      <w:r>
        <w:rPr>
          <w:b/>
          <w:bCs/>
          <w:spacing w:val="-7"/>
          <w:sz w:val="18"/>
          <w:szCs w:val="18"/>
          <w:lang w:val="es-ES_tradnl"/>
        </w:rPr>
        <w:t xml:space="preserve"> </w:t>
      </w:r>
      <w:r>
        <w:rPr>
          <w:spacing w:val="-7"/>
          <w:sz w:val="16"/>
          <w:szCs w:val="16"/>
          <w:lang w:val="es-ES_tradnl"/>
        </w:rPr>
        <w:t>Por</w:t>
      </w:r>
      <w:r>
        <w:rPr>
          <w:spacing w:val="-7"/>
          <w:sz w:val="18"/>
          <w:szCs w:val="18"/>
          <w:lang w:val="es-ES_tradnl"/>
        </w:rPr>
        <w:t xml:space="preserve"> </w:t>
      </w:r>
      <w:r>
        <w:rPr>
          <w:spacing w:val="-7"/>
          <w:sz w:val="16"/>
          <w:szCs w:val="16"/>
          <w:lang w:val="es-ES_tradnl"/>
        </w:rPr>
        <w:t xml:space="preserve">cada </w:t>
      </w:r>
      <w:r>
        <w:rPr>
          <w:spacing w:val="-8"/>
          <w:sz w:val="16"/>
          <w:szCs w:val="16"/>
          <w:lang w:val="es-ES_tradnl"/>
        </w:rPr>
        <w:t xml:space="preserve">antena para radio emisoras comerciales, </w:t>
      </w:r>
      <w:r>
        <w:rPr>
          <w:rFonts w:cs="Times New Roman"/>
          <w:spacing w:val="-8"/>
          <w:sz w:val="16"/>
          <w:szCs w:val="16"/>
          <w:lang w:val="es-ES_tradnl"/>
        </w:rPr>
        <w:t>é</w:t>
      </w:r>
      <w:r>
        <w:rPr>
          <w:spacing w:val="-8"/>
          <w:sz w:val="16"/>
          <w:szCs w:val="16"/>
          <w:lang w:val="es-ES_tradnl"/>
        </w:rPr>
        <w:t>stas pagar</w:t>
      </w:r>
      <w:r>
        <w:rPr>
          <w:rFonts w:cs="Times New Roman"/>
          <w:spacing w:val="-8"/>
          <w:sz w:val="16"/>
          <w:szCs w:val="16"/>
          <w:lang w:val="es-ES_tradnl"/>
        </w:rPr>
        <w:t>á</w:t>
      </w:r>
      <w:r>
        <w:rPr>
          <w:spacing w:val="-8"/>
          <w:sz w:val="16"/>
          <w:szCs w:val="16"/>
          <w:lang w:val="es-ES_tradnl"/>
        </w:rPr>
        <w:t xml:space="preserve">n </w:t>
      </w:r>
      <w:r>
        <w:rPr>
          <w:spacing w:val="-10"/>
          <w:sz w:val="16"/>
          <w:szCs w:val="16"/>
          <w:lang w:val="es-ES_tradnl"/>
        </w:rPr>
        <w:t>$USD 1.50 d</w:t>
      </w:r>
      <w:r>
        <w:rPr>
          <w:rFonts w:cs="Times New Roman"/>
          <w:spacing w:val="-10"/>
          <w:sz w:val="16"/>
          <w:szCs w:val="16"/>
          <w:lang w:val="es-ES_tradnl"/>
        </w:rPr>
        <w:t>ó</w:t>
      </w:r>
      <w:r>
        <w:rPr>
          <w:spacing w:val="-10"/>
          <w:sz w:val="16"/>
          <w:szCs w:val="16"/>
          <w:lang w:val="es-ES_tradnl"/>
        </w:rPr>
        <w:t>lares de los Estados Unidos de Norteam</w:t>
      </w:r>
      <w:r>
        <w:rPr>
          <w:rFonts w:cs="Times New Roman"/>
          <w:spacing w:val="-10"/>
          <w:sz w:val="16"/>
          <w:szCs w:val="16"/>
          <w:lang w:val="es-ES_tradnl"/>
        </w:rPr>
        <w:t>é</w:t>
      </w:r>
      <w:r>
        <w:rPr>
          <w:spacing w:val="-10"/>
          <w:sz w:val="16"/>
          <w:szCs w:val="16"/>
          <w:lang w:val="es-ES_tradnl"/>
        </w:rPr>
        <w:t xml:space="preserve">rica </w:t>
      </w:r>
      <w:r>
        <w:rPr>
          <w:spacing w:val="-7"/>
          <w:sz w:val="16"/>
          <w:szCs w:val="16"/>
          <w:lang w:val="es-ES_tradnl"/>
        </w:rPr>
        <w:t>diarios por concepto de uso de Espacio A</w:t>
      </w:r>
      <w:r>
        <w:rPr>
          <w:rFonts w:cs="Times New Roman"/>
          <w:spacing w:val="-7"/>
          <w:sz w:val="16"/>
          <w:szCs w:val="16"/>
          <w:lang w:val="es-ES_tradnl"/>
        </w:rPr>
        <w:t>é</w:t>
      </w:r>
      <w:r>
        <w:rPr>
          <w:spacing w:val="-7"/>
          <w:sz w:val="16"/>
          <w:szCs w:val="16"/>
          <w:lang w:val="es-ES_tradnl"/>
        </w:rPr>
        <w:t>reo.</w:t>
      </w:r>
    </w:p>
    <w:p w14:paraId="4F67A570" w14:textId="77777777" w:rsidR="00591D54" w:rsidRDefault="00591D54" w:rsidP="00251195">
      <w:pPr>
        <w:numPr>
          <w:ilvl w:val="0"/>
          <w:numId w:val="23"/>
        </w:numPr>
        <w:shd w:val="clear" w:color="auto" w:fill="FFFFFF"/>
        <w:tabs>
          <w:tab w:val="left" w:pos="566"/>
        </w:tabs>
        <w:spacing w:before="206" w:line="216" w:lineRule="exact"/>
        <w:ind w:left="566" w:right="5" w:hanging="283"/>
        <w:jc w:val="both"/>
        <w:rPr>
          <w:spacing w:val="-10"/>
          <w:sz w:val="16"/>
          <w:szCs w:val="16"/>
          <w:lang w:val="es-ES_tradnl"/>
        </w:rPr>
      </w:pPr>
      <w:r>
        <w:rPr>
          <w:b/>
          <w:bCs/>
          <w:spacing w:val="-5"/>
          <w:sz w:val="16"/>
          <w:szCs w:val="16"/>
          <w:lang w:val="es-ES_tradnl"/>
        </w:rPr>
        <w:t>Antenas</w:t>
      </w:r>
      <w:r>
        <w:rPr>
          <w:b/>
          <w:bCs/>
          <w:spacing w:val="-5"/>
          <w:sz w:val="18"/>
          <w:szCs w:val="18"/>
          <w:lang w:val="es-ES_tradnl"/>
        </w:rPr>
        <w:t xml:space="preserve"> </w:t>
      </w:r>
      <w:r>
        <w:rPr>
          <w:b/>
          <w:bCs/>
          <w:spacing w:val="-5"/>
          <w:sz w:val="16"/>
          <w:szCs w:val="16"/>
          <w:lang w:val="es-ES_tradnl"/>
        </w:rPr>
        <w:t>parab</w:t>
      </w:r>
      <w:r>
        <w:rPr>
          <w:rFonts w:cs="Times New Roman"/>
          <w:b/>
          <w:bCs/>
          <w:spacing w:val="-5"/>
          <w:sz w:val="16"/>
          <w:szCs w:val="16"/>
          <w:lang w:val="es-ES_tradnl"/>
        </w:rPr>
        <w:t>ó</w:t>
      </w:r>
      <w:r>
        <w:rPr>
          <w:b/>
          <w:bCs/>
          <w:spacing w:val="-5"/>
          <w:sz w:val="16"/>
          <w:szCs w:val="16"/>
          <w:lang w:val="es-ES_tradnl"/>
        </w:rPr>
        <w:t>licas</w:t>
      </w:r>
      <w:r>
        <w:rPr>
          <w:b/>
          <w:bCs/>
          <w:spacing w:val="-5"/>
          <w:sz w:val="18"/>
          <w:szCs w:val="18"/>
          <w:lang w:val="es-ES_tradnl"/>
        </w:rPr>
        <w:t xml:space="preserve"> </w:t>
      </w:r>
      <w:r>
        <w:rPr>
          <w:b/>
          <w:bCs/>
          <w:spacing w:val="-5"/>
          <w:sz w:val="16"/>
          <w:szCs w:val="16"/>
          <w:lang w:val="es-ES_tradnl"/>
        </w:rPr>
        <w:t>para</w:t>
      </w:r>
      <w:r>
        <w:rPr>
          <w:b/>
          <w:bCs/>
          <w:spacing w:val="-5"/>
          <w:sz w:val="18"/>
          <w:szCs w:val="18"/>
          <w:lang w:val="es-ES_tradnl"/>
        </w:rPr>
        <w:t xml:space="preserve"> </w:t>
      </w:r>
      <w:r>
        <w:rPr>
          <w:b/>
          <w:bCs/>
          <w:spacing w:val="-5"/>
          <w:sz w:val="16"/>
          <w:szCs w:val="16"/>
          <w:lang w:val="es-ES_tradnl"/>
        </w:rPr>
        <w:t>recepci</w:t>
      </w:r>
      <w:r>
        <w:rPr>
          <w:rFonts w:cs="Times New Roman"/>
          <w:b/>
          <w:bCs/>
          <w:spacing w:val="-5"/>
          <w:sz w:val="16"/>
          <w:szCs w:val="16"/>
          <w:lang w:val="es-ES_tradnl"/>
        </w:rPr>
        <w:t>ó</w:t>
      </w:r>
      <w:r>
        <w:rPr>
          <w:b/>
          <w:bCs/>
          <w:spacing w:val="-5"/>
          <w:sz w:val="16"/>
          <w:szCs w:val="16"/>
          <w:lang w:val="es-ES_tradnl"/>
        </w:rPr>
        <w:t>n</w:t>
      </w:r>
      <w:r>
        <w:rPr>
          <w:b/>
          <w:bCs/>
          <w:spacing w:val="-5"/>
          <w:sz w:val="18"/>
          <w:szCs w:val="18"/>
          <w:lang w:val="es-ES_tradnl"/>
        </w:rPr>
        <w:t xml:space="preserve"> </w:t>
      </w:r>
      <w:r>
        <w:rPr>
          <w:b/>
          <w:bCs/>
          <w:spacing w:val="-5"/>
          <w:sz w:val="16"/>
          <w:szCs w:val="16"/>
          <w:lang w:val="es-ES_tradnl"/>
        </w:rPr>
        <w:t>de</w:t>
      </w:r>
      <w:r>
        <w:rPr>
          <w:b/>
          <w:bCs/>
          <w:spacing w:val="-5"/>
          <w:sz w:val="18"/>
          <w:szCs w:val="18"/>
          <w:lang w:val="es-ES_tradnl"/>
        </w:rPr>
        <w:t xml:space="preserve"> </w:t>
      </w:r>
      <w:r>
        <w:rPr>
          <w:b/>
          <w:bCs/>
          <w:spacing w:val="-5"/>
          <w:sz w:val="16"/>
          <w:szCs w:val="16"/>
          <w:lang w:val="es-ES_tradnl"/>
        </w:rPr>
        <w:t>la</w:t>
      </w:r>
      <w:r>
        <w:rPr>
          <w:b/>
          <w:bCs/>
          <w:spacing w:val="-5"/>
          <w:sz w:val="18"/>
          <w:szCs w:val="18"/>
          <w:lang w:val="es-ES_tradnl"/>
        </w:rPr>
        <w:t xml:space="preserve"> </w:t>
      </w:r>
      <w:r>
        <w:rPr>
          <w:b/>
          <w:bCs/>
          <w:spacing w:val="-5"/>
          <w:sz w:val="16"/>
          <w:szCs w:val="16"/>
          <w:lang w:val="es-ES_tradnl"/>
        </w:rPr>
        <w:t>se</w:t>
      </w:r>
      <w:r>
        <w:rPr>
          <w:rFonts w:cs="Times New Roman"/>
          <w:b/>
          <w:bCs/>
          <w:spacing w:val="-5"/>
          <w:sz w:val="16"/>
          <w:szCs w:val="16"/>
          <w:lang w:val="es-ES_tradnl"/>
        </w:rPr>
        <w:t>ñ</w:t>
      </w:r>
      <w:r>
        <w:rPr>
          <w:b/>
          <w:bCs/>
          <w:spacing w:val="-5"/>
          <w:sz w:val="16"/>
          <w:szCs w:val="16"/>
          <w:lang w:val="es-ES_tradnl"/>
        </w:rPr>
        <w:t xml:space="preserve">al </w:t>
      </w:r>
      <w:r>
        <w:rPr>
          <w:b/>
          <w:bCs/>
          <w:spacing w:val="-8"/>
          <w:sz w:val="16"/>
          <w:szCs w:val="16"/>
          <w:lang w:val="es-ES_tradnl"/>
        </w:rPr>
        <w:t>comercial de televisi</w:t>
      </w:r>
      <w:r>
        <w:rPr>
          <w:rFonts w:cs="Times New Roman"/>
          <w:b/>
          <w:bCs/>
          <w:spacing w:val="-8"/>
          <w:sz w:val="16"/>
          <w:szCs w:val="16"/>
          <w:lang w:val="es-ES_tradnl"/>
        </w:rPr>
        <w:t>ó</w:t>
      </w:r>
      <w:r>
        <w:rPr>
          <w:b/>
          <w:bCs/>
          <w:spacing w:val="-8"/>
          <w:sz w:val="16"/>
          <w:szCs w:val="16"/>
          <w:lang w:val="es-ES_tradnl"/>
        </w:rPr>
        <w:t xml:space="preserve">n satelital.- </w:t>
      </w:r>
      <w:r>
        <w:rPr>
          <w:spacing w:val="-8"/>
          <w:sz w:val="16"/>
          <w:szCs w:val="16"/>
          <w:lang w:val="es-ES_tradnl"/>
        </w:rPr>
        <w:t>Pagar</w:t>
      </w:r>
      <w:r>
        <w:rPr>
          <w:rFonts w:cs="Times New Roman"/>
          <w:spacing w:val="-8"/>
          <w:sz w:val="16"/>
          <w:szCs w:val="16"/>
          <w:lang w:val="es-ES_tradnl"/>
        </w:rPr>
        <w:t>á</w:t>
      </w:r>
      <w:r>
        <w:rPr>
          <w:spacing w:val="-8"/>
          <w:sz w:val="16"/>
          <w:szCs w:val="16"/>
          <w:lang w:val="es-ES_tradnl"/>
        </w:rPr>
        <w:t xml:space="preserve">n el equivalente </w:t>
      </w:r>
      <w:r>
        <w:rPr>
          <w:spacing w:val="-7"/>
          <w:sz w:val="16"/>
          <w:szCs w:val="16"/>
          <w:lang w:val="es-ES_tradnl"/>
        </w:rPr>
        <w:t>a tres centavos de d</w:t>
      </w:r>
      <w:r>
        <w:rPr>
          <w:rFonts w:cs="Times New Roman"/>
          <w:spacing w:val="-7"/>
          <w:sz w:val="16"/>
          <w:szCs w:val="16"/>
          <w:lang w:val="es-ES_tradnl"/>
        </w:rPr>
        <w:t>ó</w:t>
      </w:r>
      <w:r>
        <w:rPr>
          <w:spacing w:val="-7"/>
          <w:sz w:val="16"/>
          <w:szCs w:val="16"/>
          <w:lang w:val="es-ES_tradnl"/>
        </w:rPr>
        <w:t xml:space="preserve">lares de los Estados Unidos de </w:t>
      </w:r>
      <w:r>
        <w:rPr>
          <w:spacing w:val="-9"/>
          <w:sz w:val="16"/>
          <w:szCs w:val="16"/>
          <w:lang w:val="es-ES_tradnl"/>
        </w:rPr>
        <w:t>Norteam</w:t>
      </w:r>
      <w:r>
        <w:rPr>
          <w:rFonts w:cs="Times New Roman"/>
          <w:spacing w:val="-9"/>
          <w:sz w:val="16"/>
          <w:szCs w:val="16"/>
          <w:lang w:val="es-ES_tradnl"/>
        </w:rPr>
        <w:t>é</w:t>
      </w:r>
      <w:r>
        <w:rPr>
          <w:spacing w:val="-9"/>
          <w:sz w:val="16"/>
          <w:szCs w:val="16"/>
          <w:lang w:val="es-ES_tradnl"/>
        </w:rPr>
        <w:t>rica diarios, por cada antena parab</w:t>
      </w:r>
      <w:r>
        <w:rPr>
          <w:rFonts w:cs="Times New Roman"/>
          <w:spacing w:val="-9"/>
          <w:sz w:val="16"/>
          <w:szCs w:val="16"/>
          <w:lang w:val="es-ES_tradnl"/>
        </w:rPr>
        <w:t>ó</w:t>
      </w:r>
      <w:r>
        <w:rPr>
          <w:spacing w:val="-9"/>
          <w:sz w:val="16"/>
          <w:szCs w:val="16"/>
          <w:lang w:val="es-ES_tradnl"/>
        </w:rPr>
        <w:t xml:space="preserve">lica instalada </w:t>
      </w:r>
      <w:r>
        <w:rPr>
          <w:spacing w:val="-6"/>
          <w:sz w:val="16"/>
          <w:szCs w:val="16"/>
          <w:lang w:val="es-ES_tradnl"/>
        </w:rPr>
        <w:t xml:space="preserve">en el </w:t>
      </w:r>
      <w:r>
        <w:rPr>
          <w:rFonts w:cs="Times New Roman"/>
          <w:spacing w:val="-6"/>
          <w:sz w:val="16"/>
          <w:szCs w:val="16"/>
          <w:lang w:val="es-ES_tradnl"/>
        </w:rPr>
        <w:t>á</w:t>
      </w:r>
      <w:r>
        <w:rPr>
          <w:spacing w:val="-6"/>
          <w:sz w:val="16"/>
          <w:szCs w:val="16"/>
          <w:lang w:val="es-ES_tradnl"/>
        </w:rPr>
        <w:t>rea geogr</w:t>
      </w:r>
      <w:r>
        <w:rPr>
          <w:rFonts w:cs="Times New Roman"/>
          <w:spacing w:val="-6"/>
          <w:sz w:val="16"/>
          <w:szCs w:val="16"/>
          <w:lang w:val="es-ES_tradnl"/>
        </w:rPr>
        <w:t>á</w:t>
      </w:r>
      <w:r>
        <w:rPr>
          <w:spacing w:val="-6"/>
          <w:sz w:val="16"/>
          <w:szCs w:val="16"/>
          <w:lang w:val="es-ES_tradnl"/>
        </w:rPr>
        <w:t>fica del cant</w:t>
      </w:r>
      <w:r>
        <w:rPr>
          <w:rFonts w:cs="Times New Roman"/>
          <w:spacing w:val="-6"/>
          <w:sz w:val="16"/>
          <w:szCs w:val="16"/>
          <w:lang w:val="es-ES_tradnl"/>
        </w:rPr>
        <w:t>ó</w:t>
      </w:r>
      <w:r>
        <w:rPr>
          <w:spacing w:val="-6"/>
          <w:sz w:val="16"/>
          <w:szCs w:val="16"/>
          <w:lang w:val="es-ES_tradnl"/>
        </w:rPr>
        <w:t xml:space="preserve">n, inventario establecido </w:t>
      </w:r>
      <w:r>
        <w:rPr>
          <w:sz w:val="16"/>
          <w:szCs w:val="16"/>
          <w:lang w:val="es-ES_tradnl"/>
        </w:rPr>
        <w:t>por la municipalidad.</w:t>
      </w:r>
    </w:p>
    <w:p w14:paraId="4F67A571" w14:textId="77777777" w:rsidR="00591D54" w:rsidRDefault="00591D54" w:rsidP="00251195">
      <w:pPr>
        <w:numPr>
          <w:ilvl w:val="0"/>
          <w:numId w:val="23"/>
        </w:numPr>
        <w:shd w:val="clear" w:color="auto" w:fill="FFFFFF"/>
        <w:tabs>
          <w:tab w:val="left" w:pos="566"/>
        </w:tabs>
        <w:spacing w:before="206" w:line="216" w:lineRule="exact"/>
        <w:ind w:left="566" w:right="5" w:hanging="283"/>
        <w:jc w:val="both"/>
        <w:rPr>
          <w:spacing w:val="-10"/>
          <w:sz w:val="16"/>
          <w:szCs w:val="16"/>
          <w:lang w:val="es-ES_tradnl"/>
        </w:rPr>
      </w:pPr>
      <w:r>
        <w:rPr>
          <w:b/>
          <w:bCs/>
          <w:spacing w:val="-7"/>
          <w:sz w:val="16"/>
          <w:szCs w:val="16"/>
          <w:lang w:val="es-ES_tradnl"/>
        </w:rPr>
        <w:t>Cables.-</w:t>
      </w:r>
      <w:r>
        <w:rPr>
          <w:b/>
          <w:bCs/>
          <w:spacing w:val="-7"/>
          <w:sz w:val="18"/>
          <w:szCs w:val="18"/>
          <w:lang w:val="es-ES_tradnl"/>
        </w:rPr>
        <w:t xml:space="preserve"> </w:t>
      </w:r>
      <w:r>
        <w:rPr>
          <w:spacing w:val="-7"/>
          <w:sz w:val="16"/>
          <w:szCs w:val="16"/>
          <w:lang w:val="es-ES_tradnl"/>
        </w:rPr>
        <w:t>Los</w:t>
      </w:r>
      <w:r>
        <w:rPr>
          <w:spacing w:val="-7"/>
          <w:sz w:val="18"/>
          <w:szCs w:val="18"/>
          <w:lang w:val="es-ES_tradnl"/>
        </w:rPr>
        <w:t xml:space="preserve"> </w:t>
      </w:r>
      <w:r>
        <w:rPr>
          <w:spacing w:val="-7"/>
          <w:sz w:val="16"/>
          <w:szCs w:val="16"/>
          <w:lang w:val="es-ES_tradnl"/>
        </w:rPr>
        <w:t>tendidos</w:t>
      </w:r>
      <w:r>
        <w:rPr>
          <w:spacing w:val="-7"/>
          <w:sz w:val="18"/>
          <w:szCs w:val="18"/>
          <w:lang w:val="es-ES_tradnl"/>
        </w:rPr>
        <w:t xml:space="preserve"> </w:t>
      </w:r>
      <w:r>
        <w:rPr>
          <w:spacing w:val="-7"/>
          <w:sz w:val="16"/>
          <w:szCs w:val="16"/>
          <w:lang w:val="es-ES_tradnl"/>
        </w:rPr>
        <w:t>de</w:t>
      </w:r>
      <w:r>
        <w:rPr>
          <w:spacing w:val="-7"/>
          <w:sz w:val="18"/>
          <w:szCs w:val="18"/>
          <w:lang w:val="es-ES_tradnl"/>
        </w:rPr>
        <w:t xml:space="preserve"> </w:t>
      </w:r>
      <w:r>
        <w:rPr>
          <w:spacing w:val="-7"/>
          <w:sz w:val="16"/>
          <w:szCs w:val="16"/>
          <w:lang w:val="es-ES_tradnl"/>
        </w:rPr>
        <w:t>redes</w:t>
      </w:r>
      <w:r>
        <w:rPr>
          <w:spacing w:val="-7"/>
          <w:sz w:val="18"/>
          <w:szCs w:val="18"/>
          <w:lang w:val="es-ES_tradnl"/>
        </w:rPr>
        <w:t xml:space="preserve"> </w:t>
      </w:r>
      <w:r>
        <w:rPr>
          <w:spacing w:val="-7"/>
          <w:sz w:val="16"/>
          <w:szCs w:val="16"/>
          <w:lang w:val="es-ES_tradnl"/>
        </w:rPr>
        <w:t>que</w:t>
      </w:r>
      <w:r>
        <w:rPr>
          <w:spacing w:val="-7"/>
          <w:sz w:val="18"/>
          <w:szCs w:val="18"/>
          <w:lang w:val="es-ES_tradnl"/>
        </w:rPr>
        <w:t xml:space="preserve"> </w:t>
      </w:r>
      <w:r>
        <w:rPr>
          <w:spacing w:val="-7"/>
          <w:sz w:val="16"/>
          <w:szCs w:val="16"/>
          <w:lang w:val="es-ES_tradnl"/>
        </w:rPr>
        <w:t>pertenezcan</w:t>
      </w:r>
      <w:r>
        <w:rPr>
          <w:spacing w:val="-7"/>
          <w:sz w:val="18"/>
          <w:szCs w:val="18"/>
          <w:lang w:val="es-ES_tradnl"/>
        </w:rPr>
        <w:t xml:space="preserve"> </w:t>
      </w:r>
      <w:r>
        <w:rPr>
          <w:spacing w:val="-7"/>
          <w:sz w:val="16"/>
          <w:szCs w:val="16"/>
          <w:lang w:val="es-ES_tradnl"/>
        </w:rPr>
        <w:t>a</w:t>
      </w:r>
      <w:r>
        <w:rPr>
          <w:spacing w:val="-7"/>
          <w:sz w:val="18"/>
          <w:szCs w:val="18"/>
          <w:lang w:val="es-ES_tradnl"/>
        </w:rPr>
        <w:t xml:space="preserve"> </w:t>
      </w:r>
      <w:r>
        <w:rPr>
          <w:spacing w:val="-7"/>
          <w:sz w:val="16"/>
          <w:szCs w:val="16"/>
          <w:lang w:val="es-ES_tradnl"/>
        </w:rPr>
        <w:t xml:space="preserve">las </w:t>
      </w:r>
      <w:r>
        <w:rPr>
          <w:spacing w:val="-8"/>
          <w:sz w:val="16"/>
          <w:szCs w:val="16"/>
          <w:lang w:val="es-ES_tradnl"/>
        </w:rPr>
        <w:t>empresas privadas estar</w:t>
      </w:r>
      <w:r>
        <w:rPr>
          <w:rFonts w:cs="Times New Roman"/>
          <w:spacing w:val="-8"/>
          <w:sz w:val="16"/>
          <w:szCs w:val="16"/>
          <w:lang w:val="es-ES_tradnl"/>
        </w:rPr>
        <w:t>á</w:t>
      </w:r>
      <w:r>
        <w:rPr>
          <w:spacing w:val="-8"/>
          <w:sz w:val="16"/>
          <w:szCs w:val="16"/>
          <w:lang w:val="es-ES_tradnl"/>
        </w:rPr>
        <w:t xml:space="preserve">n sujetos a una tasa diaria y </w:t>
      </w:r>
      <w:r>
        <w:rPr>
          <w:spacing w:val="-9"/>
          <w:sz w:val="16"/>
          <w:szCs w:val="16"/>
          <w:lang w:val="es-ES_tradnl"/>
        </w:rPr>
        <w:t>permanente de un centavo de d</w:t>
      </w:r>
      <w:r>
        <w:rPr>
          <w:rFonts w:cs="Times New Roman"/>
          <w:spacing w:val="-9"/>
          <w:sz w:val="16"/>
          <w:szCs w:val="16"/>
          <w:lang w:val="es-ES_tradnl"/>
        </w:rPr>
        <w:t>ó</w:t>
      </w:r>
      <w:r>
        <w:rPr>
          <w:spacing w:val="-9"/>
          <w:sz w:val="16"/>
          <w:szCs w:val="16"/>
          <w:lang w:val="es-ES_tradnl"/>
        </w:rPr>
        <w:t xml:space="preserve">lar de los Estados Unidos </w:t>
      </w:r>
      <w:r>
        <w:rPr>
          <w:spacing w:val="-6"/>
          <w:sz w:val="16"/>
          <w:szCs w:val="16"/>
          <w:lang w:val="es-ES_tradnl"/>
        </w:rPr>
        <w:t>de Norteam</w:t>
      </w:r>
      <w:r>
        <w:rPr>
          <w:rFonts w:cs="Times New Roman"/>
          <w:spacing w:val="-6"/>
          <w:sz w:val="16"/>
          <w:szCs w:val="16"/>
          <w:lang w:val="es-ES_tradnl"/>
        </w:rPr>
        <w:t>é</w:t>
      </w:r>
      <w:r>
        <w:rPr>
          <w:spacing w:val="-6"/>
          <w:sz w:val="16"/>
          <w:szCs w:val="16"/>
          <w:lang w:val="es-ES_tradnl"/>
        </w:rPr>
        <w:t xml:space="preserve">rica por cada metro lineal de cable tendido, </w:t>
      </w:r>
      <w:r>
        <w:rPr>
          <w:spacing w:val="-8"/>
          <w:sz w:val="16"/>
          <w:szCs w:val="16"/>
          <w:lang w:val="es-ES_tradnl"/>
        </w:rPr>
        <w:t>por ocupaci</w:t>
      </w:r>
      <w:r>
        <w:rPr>
          <w:rFonts w:cs="Times New Roman"/>
          <w:spacing w:val="-8"/>
          <w:sz w:val="16"/>
          <w:szCs w:val="16"/>
          <w:lang w:val="es-ES_tradnl"/>
        </w:rPr>
        <w:t>ó</w:t>
      </w:r>
      <w:r>
        <w:rPr>
          <w:spacing w:val="-8"/>
          <w:sz w:val="16"/>
          <w:szCs w:val="16"/>
          <w:lang w:val="es-ES_tradnl"/>
        </w:rPr>
        <w:t>n de espacio a</w:t>
      </w:r>
      <w:r>
        <w:rPr>
          <w:rFonts w:cs="Times New Roman"/>
          <w:spacing w:val="-8"/>
          <w:sz w:val="16"/>
          <w:szCs w:val="16"/>
          <w:lang w:val="es-ES_tradnl"/>
        </w:rPr>
        <w:t>é</w:t>
      </w:r>
      <w:r>
        <w:rPr>
          <w:spacing w:val="-8"/>
          <w:sz w:val="16"/>
          <w:szCs w:val="16"/>
          <w:lang w:val="es-ES_tradnl"/>
        </w:rPr>
        <w:t>reo, suelo o subsuelo.</w:t>
      </w:r>
    </w:p>
    <w:p w14:paraId="4F67A572" w14:textId="77777777" w:rsidR="00591D54" w:rsidRDefault="00591D54" w:rsidP="00251195">
      <w:pPr>
        <w:numPr>
          <w:ilvl w:val="0"/>
          <w:numId w:val="23"/>
        </w:numPr>
        <w:shd w:val="clear" w:color="auto" w:fill="FFFFFF"/>
        <w:tabs>
          <w:tab w:val="left" w:pos="566"/>
        </w:tabs>
        <w:spacing w:before="206" w:line="216" w:lineRule="exact"/>
        <w:ind w:left="566" w:right="5" w:hanging="283"/>
        <w:jc w:val="both"/>
        <w:rPr>
          <w:spacing w:val="-10"/>
          <w:sz w:val="16"/>
          <w:szCs w:val="16"/>
          <w:lang w:val="es-ES_tradnl"/>
        </w:rPr>
      </w:pPr>
      <w:r>
        <w:rPr>
          <w:b/>
          <w:bCs/>
          <w:spacing w:val="-6"/>
          <w:sz w:val="16"/>
          <w:szCs w:val="16"/>
          <w:lang w:val="es-ES_tradnl"/>
        </w:rPr>
        <w:t>Postes.-</w:t>
      </w:r>
      <w:r>
        <w:rPr>
          <w:b/>
          <w:bCs/>
          <w:spacing w:val="-6"/>
          <w:sz w:val="18"/>
          <w:szCs w:val="18"/>
          <w:lang w:val="es-ES_tradnl"/>
        </w:rPr>
        <w:t xml:space="preserve"> </w:t>
      </w:r>
      <w:r>
        <w:rPr>
          <w:spacing w:val="-6"/>
          <w:sz w:val="16"/>
          <w:szCs w:val="16"/>
          <w:lang w:val="es-ES_tradnl"/>
        </w:rPr>
        <w:t>Las</w:t>
      </w:r>
      <w:r>
        <w:rPr>
          <w:spacing w:val="-6"/>
          <w:sz w:val="18"/>
          <w:szCs w:val="18"/>
          <w:lang w:val="es-ES_tradnl"/>
        </w:rPr>
        <w:t xml:space="preserve"> </w:t>
      </w:r>
      <w:r>
        <w:rPr>
          <w:spacing w:val="-6"/>
          <w:sz w:val="16"/>
          <w:szCs w:val="16"/>
          <w:lang w:val="es-ES_tradnl"/>
        </w:rPr>
        <w:t>empresas</w:t>
      </w:r>
      <w:r>
        <w:rPr>
          <w:spacing w:val="-6"/>
          <w:sz w:val="18"/>
          <w:szCs w:val="18"/>
          <w:lang w:val="es-ES_tradnl"/>
        </w:rPr>
        <w:t xml:space="preserve"> </w:t>
      </w:r>
      <w:r>
        <w:rPr>
          <w:spacing w:val="-6"/>
          <w:sz w:val="16"/>
          <w:szCs w:val="16"/>
          <w:lang w:val="es-ES_tradnl"/>
        </w:rPr>
        <w:t>privadas</w:t>
      </w:r>
      <w:r>
        <w:rPr>
          <w:spacing w:val="-6"/>
          <w:sz w:val="18"/>
          <w:szCs w:val="18"/>
          <w:lang w:val="es-ES_tradnl"/>
        </w:rPr>
        <w:t xml:space="preserve"> </w:t>
      </w:r>
      <w:r>
        <w:rPr>
          <w:spacing w:val="-6"/>
          <w:sz w:val="16"/>
          <w:szCs w:val="16"/>
          <w:lang w:val="es-ES_tradnl"/>
        </w:rPr>
        <w:t>pagar</w:t>
      </w:r>
      <w:r>
        <w:rPr>
          <w:rFonts w:cs="Times New Roman"/>
          <w:spacing w:val="-6"/>
          <w:sz w:val="16"/>
          <w:szCs w:val="16"/>
          <w:lang w:val="es-ES_tradnl"/>
        </w:rPr>
        <w:t>á</w:t>
      </w:r>
      <w:r>
        <w:rPr>
          <w:spacing w:val="-6"/>
          <w:sz w:val="16"/>
          <w:szCs w:val="16"/>
          <w:lang w:val="es-ES_tradnl"/>
        </w:rPr>
        <w:t>n</w:t>
      </w:r>
      <w:r>
        <w:rPr>
          <w:spacing w:val="-6"/>
          <w:sz w:val="18"/>
          <w:szCs w:val="18"/>
          <w:lang w:val="es-ES_tradnl"/>
        </w:rPr>
        <w:t xml:space="preserve"> </w:t>
      </w:r>
      <w:r>
        <w:rPr>
          <w:spacing w:val="-6"/>
          <w:sz w:val="16"/>
          <w:szCs w:val="16"/>
          <w:lang w:val="es-ES_tradnl"/>
        </w:rPr>
        <w:t>una</w:t>
      </w:r>
      <w:r>
        <w:rPr>
          <w:spacing w:val="-6"/>
          <w:sz w:val="18"/>
          <w:szCs w:val="18"/>
          <w:lang w:val="es-ES_tradnl"/>
        </w:rPr>
        <w:t xml:space="preserve"> </w:t>
      </w:r>
      <w:r>
        <w:rPr>
          <w:spacing w:val="-6"/>
          <w:sz w:val="16"/>
          <w:szCs w:val="16"/>
          <w:lang w:val="es-ES_tradnl"/>
        </w:rPr>
        <w:t>tasa</w:t>
      </w:r>
      <w:r>
        <w:rPr>
          <w:spacing w:val="-6"/>
          <w:sz w:val="18"/>
          <w:szCs w:val="18"/>
          <w:lang w:val="es-ES_tradnl"/>
        </w:rPr>
        <w:t xml:space="preserve"> </w:t>
      </w:r>
      <w:r>
        <w:rPr>
          <w:spacing w:val="-6"/>
          <w:sz w:val="16"/>
          <w:szCs w:val="16"/>
          <w:lang w:val="es-ES_tradnl"/>
        </w:rPr>
        <w:t xml:space="preserve">diaria </w:t>
      </w:r>
      <w:r>
        <w:rPr>
          <w:spacing w:val="-5"/>
          <w:sz w:val="16"/>
          <w:szCs w:val="16"/>
          <w:lang w:val="es-ES_tradnl"/>
        </w:rPr>
        <w:t>y permanente de veinticinco centavos de d</w:t>
      </w:r>
      <w:r>
        <w:rPr>
          <w:rFonts w:cs="Times New Roman"/>
          <w:spacing w:val="-5"/>
          <w:sz w:val="16"/>
          <w:szCs w:val="16"/>
          <w:lang w:val="es-ES_tradnl"/>
        </w:rPr>
        <w:t>ó</w:t>
      </w:r>
      <w:r>
        <w:rPr>
          <w:spacing w:val="-5"/>
          <w:sz w:val="16"/>
          <w:szCs w:val="16"/>
          <w:lang w:val="es-ES_tradnl"/>
        </w:rPr>
        <w:t xml:space="preserve">lar de los </w:t>
      </w:r>
      <w:r>
        <w:rPr>
          <w:spacing w:val="-9"/>
          <w:sz w:val="16"/>
          <w:szCs w:val="16"/>
          <w:lang w:val="es-ES_tradnl"/>
        </w:rPr>
        <w:t>Estados Unidos de Norteam</w:t>
      </w:r>
      <w:r>
        <w:rPr>
          <w:rFonts w:cs="Times New Roman"/>
          <w:spacing w:val="-9"/>
          <w:sz w:val="16"/>
          <w:szCs w:val="16"/>
          <w:lang w:val="es-ES_tradnl"/>
        </w:rPr>
        <w:t>é</w:t>
      </w:r>
      <w:r>
        <w:rPr>
          <w:spacing w:val="-9"/>
          <w:sz w:val="16"/>
          <w:szCs w:val="16"/>
          <w:lang w:val="es-ES_tradnl"/>
        </w:rPr>
        <w:t xml:space="preserve">rica por cada poste instalado, </w:t>
      </w:r>
      <w:r>
        <w:rPr>
          <w:spacing w:val="-6"/>
          <w:sz w:val="16"/>
          <w:szCs w:val="16"/>
          <w:lang w:val="es-ES_tradnl"/>
        </w:rPr>
        <w:t>por ocupaci</w:t>
      </w:r>
      <w:r>
        <w:rPr>
          <w:rFonts w:cs="Times New Roman"/>
          <w:spacing w:val="-6"/>
          <w:sz w:val="16"/>
          <w:szCs w:val="16"/>
          <w:lang w:val="es-ES_tradnl"/>
        </w:rPr>
        <w:t>ó</w:t>
      </w:r>
      <w:r>
        <w:rPr>
          <w:spacing w:val="-6"/>
          <w:sz w:val="16"/>
          <w:szCs w:val="16"/>
          <w:lang w:val="es-ES_tradnl"/>
        </w:rPr>
        <w:t>n del espacio p</w:t>
      </w:r>
      <w:r>
        <w:rPr>
          <w:rFonts w:cs="Times New Roman"/>
          <w:spacing w:val="-6"/>
          <w:sz w:val="16"/>
          <w:szCs w:val="16"/>
          <w:lang w:val="es-ES_tradnl"/>
        </w:rPr>
        <w:t>ú</w:t>
      </w:r>
      <w:r>
        <w:rPr>
          <w:spacing w:val="-6"/>
          <w:sz w:val="16"/>
          <w:szCs w:val="16"/>
          <w:lang w:val="es-ES_tradnl"/>
        </w:rPr>
        <w:t>blico o v</w:t>
      </w:r>
      <w:r>
        <w:rPr>
          <w:rFonts w:cs="Times New Roman"/>
          <w:spacing w:val="-6"/>
          <w:sz w:val="16"/>
          <w:szCs w:val="16"/>
          <w:lang w:val="es-ES_tradnl"/>
        </w:rPr>
        <w:t>í</w:t>
      </w:r>
      <w:r>
        <w:rPr>
          <w:spacing w:val="-6"/>
          <w:sz w:val="16"/>
          <w:szCs w:val="16"/>
          <w:lang w:val="es-ES_tradnl"/>
        </w:rPr>
        <w:t>a p</w:t>
      </w:r>
      <w:r>
        <w:rPr>
          <w:rFonts w:cs="Times New Roman"/>
          <w:spacing w:val="-6"/>
          <w:sz w:val="16"/>
          <w:szCs w:val="16"/>
          <w:lang w:val="es-ES_tradnl"/>
        </w:rPr>
        <w:t>ú</w:t>
      </w:r>
      <w:r>
        <w:rPr>
          <w:spacing w:val="-6"/>
          <w:sz w:val="16"/>
          <w:szCs w:val="16"/>
          <w:lang w:val="es-ES_tradnl"/>
        </w:rPr>
        <w:t>blica.</w:t>
      </w:r>
    </w:p>
    <w:p w14:paraId="4F67A573" w14:textId="77777777" w:rsidR="00591D54" w:rsidRDefault="00591D54">
      <w:pPr>
        <w:shd w:val="clear" w:color="auto" w:fill="FFFFFF"/>
        <w:spacing w:before="197"/>
      </w:pPr>
      <w:r>
        <w:rPr>
          <w:b/>
          <w:bCs/>
          <w:spacing w:val="-10"/>
          <w:sz w:val="18"/>
          <w:szCs w:val="18"/>
          <w:lang w:val="es-ES_tradnl"/>
        </w:rPr>
        <w:t>Pretensi</w:t>
      </w:r>
      <w:r>
        <w:rPr>
          <w:rFonts w:cs="Times New Roman"/>
          <w:b/>
          <w:bCs/>
          <w:spacing w:val="-10"/>
          <w:sz w:val="18"/>
          <w:szCs w:val="18"/>
          <w:lang w:val="es-ES_tradnl"/>
        </w:rPr>
        <w:t>ó</w:t>
      </w:r>
      <w:r>
        <w:rPr>
          <w:b/>
          <w:bCs/>
          <w:spacing w:val="-10"/>
          <w:sz w:val="18"/>
          <w:szCs w:val="18"/>
          <w:lang w:val="es-ES_tradnl"/>
        </w:rPr>
        <w:t>n</w:t>
      </w:r>
    </w:p>
    <w:p w14:paraId="4F67A574" w14:textId="77777777" w:rsidR="00591D54" w:rsidRDefault="00591D54">
      <w:pPr>
        <w:shd w:val="clear" w:color="auto" w:fill="FFFFFF"/>
        <w:spacing w:before="192" w:line="216" w:lineRule="exact"/>
        <w:jc w:val="both"/>
      </w:pPr>
      <w:r>
        <w:rPr>
          <w:spacing w:val="-8"/>
          <w:sz w:val="18"/>
          <w:szCs w:val="18"/>
          <w:lang w:val="es-ES_tradnl"/>
        </w:rPr>
        <w:t xml:space="preserve">La accionante solicita que se declare la inconstitucionalidad </w:t>
      </w:r>
      <w:r>
        <w:rPr>
          <w:spacing w:val="-7"/>
          <w:sz w:val="18"/>
          <w:szCs w:val="18"/>
          <w:lang w:val="es-ES_tradnl"/>
        </w:rPr>
        <w:t>de la norma transcrita en l</w:t>
      </w:r>
      <w:r>
        <w:rPr>
          <w:rFonts w:cs="Times New Roman"/>
          <w:spacing w:val="-7"/>
          <w:sz w:val="18"/>
          <w:szCs w:val="18"/>
          <w:lang w:val="es-ES_tradnl"/>
        </w:rPr>
        <w:t>í</w:t>
      </w:r>
      <w:r>
        <w:rPr>
          <w:spacing w:val="-7"/>
          <w:sz w:val="18"/>
          <w:szCs w:val="18"/>
          <w:lang w:val="es-ES_tradnl"/>
        </w:rPr>
        <w:t xml:space="preserve">neas anteriores, contenida en la ordenanza municipal mencionada </w:t>
      </w:r>
      <w:r>
        <w:rPr>
          <w:i/>
          <w:iCs/>
          <w:spacing w:val="-7"/>
          <w:sz w:val="18"/>
          <w:szCs w:val="18"/>
          <w:lang w:val="es-ES_tradnl"/>
        </w:rPr>
        <w:t>ut supra</w:t>
      </w:r>
      <w:r>
        <w:rPr>
          <w:spacing w:val="-7"/>
          <w:sz w:val="18"/>
          <w:szCs w:val="18"/>
          <w:lang w:val="es-ES_tradnl"/>
        </w:rPr>
        <w:t>.</w:t>
      </w:r>
    </w:p>
    <w:p w14:paraId="4F67A575" w14:textId="77777777" w:rsidR="00591D54" w:rsidRDefault="00591D54">
      <w:pPr>
        <w:shd w:val="clear" w:color="auto" w:fill="FFFFFF"/>
        <w:spacing w:before="192" w:line="216" w:lineRule="exact"/>
        <w:jc w:val="both"/>
      </w:pPr>
      <w:r>
        <w:rPr>
          <w:b/>
          <w:bCs/>
          <w:spacing w:val="-11"/>
          <w:sz w:val="18"/>
          <w:szCs w:val="18"/>
          <w:lang w:val="es-ES_tradnl"/>
        </w:rPr>
        <w:t>Del argumento del Gobierno Aut</w:t>
      </w:r>
      <w:r>
        <w:rPr>
          <w:rFonts w:cs="Times New Roman"/>
          <w:b/>
          <w:bCs/>
          <w:spacing w:val="-11"/>
          <w:sz w:val="18"/>
          <w:szCs w:val="18"/>
          <w:lang w:val="es-ES_tradnl"/>
        </w:rPr>
        <w:t>ó</w:t>
      </w:r>
      <w:r>
        <w:rPr>
          <w:b/>
          <w:bCs/>
          <w:spacing w:val="-11"/>
          <w:sz w:val="18"/>
          <w:szCs w:val="18"/>
          <w:lang w:val="es-ES_tradnl"/>
        </w:rPr>
        <w:t xml:space="preserve">nomo Descentralizado </w:t>
      </w:r>
      <w:r>
        <w:rPr>
          <w:b/>
          <w:bCs/>
          <w:sz w:val="18"/>
          <w:szCs w:val="18"/>
          <w:lang w:val="es-ES_tradnl"/>
        </w:rPr>
        <w:t>Municipal del cant</w:t>
      </w:r>
      <w:r>
        <w:rPr>
          <w:rFonts w:cs="Times New Roman"/>
          <w:b/>
          <w:bCs/>
          <w:sz w:val="18"/>
          <w:szCs w:val="18"/>
          <w:lang w:val="es-ES_tradnl"/>
        </w:rPr>
        <w:t>ó</w:t>
      </w:r>
      <w:r>
        <w:rPr>
          <w:b/>
          <w:bCs/>
          <w:sz w:val="18"/>
          <w:szCs w:val="18"/>
          <w:lang w:val="es-ES_tradnl"/>
        </w:rPr>
        <w:t>n Chone</w:t>
      </w:r>
    </w:p>
    <w:p w14:paraId="4F67A576" w14:textId="77777777" w:rsidR="00591D54" w:rsidRDefault="00591D54">
      <w:pPr>
        <w:shd w:val="clear" w:color="auto" w:fill="FFFFFF"/>
        <w:spacing w:before="197" w:line="216" w:lineRule="exact"/>
        <w:jc w:val="both"/>
      </w:pPr>
      <w:r>
        <w:rPr>
          <w:spacing w:val="-5"/>
          <w:sz w:val="18"/>
          <w:szCs w:val="18"/>
          <w:lang w:val="es-ES_tradnl"/>
        </w:rPr>
        <w:t xml:space="preserve">Mediante escrito presentado el 16 de abril de 2015, los </w:t>
      </w:r>
      <w:r>
        <w:rPr>
          <w:spacing w:val="-4"/>
          <w:sz w:val="18"/>
          <w:szCs w:val="18"/>
          <w:lang w:val="es-ES_tradnl"/>
        </w:rPr>
        <w:t>se</w:t>
      </w:r>
      <w:r>
        <w:rPr>
          <w:rFonts w:cs="Times New Roman"/>
          <w:spacing w:val="-4"/>
          <w:sz w:val="18"/>
          <w:szCs w:val="18"/>
          <w:lang w:val="es-ES_tradnl"/>
        </w:rPr>
        <w:t>ñ</w:t>
      </w:r>
      <w:r>
        <w:rPr>
          <w:spacing w:val="-4"/>
          <w:sz w:val="18"/>
          <w:szCs w:val="18"/>
          <w:lang w:val="es-ES_tradnl"/>
        </w:rPr>
        <w:t>ores Deyton Alc</w:t>
      </w:r>
      <w:r>
        <w:rPr>
          <w:rFonts w:cs="Times New Roman"/>
          <w:spacing w:val="-4"/>
          <w:sz w:val="18"/>
          <w:szCs w:val="18"/>
          <w:lang w:val="es-ES_tradnl"/>
        </w:rPr>
        <w:t>í</w:t>
      </w:r>
      <w:r>
        <w:rPr>
          <w:spacing w:val="-4"/>
          <w:sz w:val="18"/>
          <w:szCs w:val="18"/>
          <w:lang w:val="es-ES_tradnl"/>
        </w:rPr>
        <w:t>var Alc</w:t>
      </w:r>
      <w:r>
        <w:rPr>
          <w:rFonts w:cs="Times New Roman"/>
          <w:spacing w:val="-4"/>
          <w:sz w:val="18"/>
          <w:szCs w:val="18"/>
          <w:lang w:val="es-ES_tradnl"/>
        </w:rPr>
        <w:t>í</w:t>
      </w:r>
      <w:r>
        <w:rPr>
          <w:spacing w:val="-4"/>
          <w:sz w:val="18"/>
          <w:szCs w:val="18"/>
          <w:lang w:val="es-ES_tradnl"/>
        </w:rPr>
        <w:t>var y Washington Hern</w:t>
      </w:r>
      <w:r>
        <w:rPr>
          <w:rFonts w:cs="Times New Roman"/>
          <w:spacing w:val="-4"/>
          <w:sz w:val="18"/>
          <w:szCs w:val="18"/>
          <w:lang w:val="es-ES_tradnl"/>
        </w:rPr>
        <w:t>á</w:t>
      </w:r>
      <w:r>
        <w:rPr>
          <w:spacing w:val="-4"/>
          <w:sz w:val="18"/>
          <w:szCs w:val="18"/>
          <w:lang w:val="es-ES_tradnl"/>
        </w:rPr>
        <w:t xml:space="preserve">n </w:t>
      </w:r>
      <w:r>
        <w:rPr>
          <w:spacing w:val="-5"/>
          <w:sz w:val="18"/>
          <w:szCs w:val="18"/>
          <w:lang w:val="es-ES_tradnl"/>
        </w:rPr>
        <w:t>Yand</w:t>
      </w:r>
      <w:r>
        <w:rPr>
          <w:rFonts w:cs="Times New Roman"/>
          <w:spacing w:val="-5"/>
          <w:sz w:val="18"/>
          <w:szCs w:val="18"/>
          <w:lang w:val="es-ES_tradnl"/>
        </w:rPr>
        <w:t>ú</w:t>
      </w:r>
      <w:r>
        <w:rPr>
          <w:spacing w:val="-5"/>
          <w:sz w:val="18"/>
          <w:szCs w:val="18"/>
          <w:lang w:val="es-ES_tradnl"/>
        </w:rPr>
        <w:t xml:space="preserve">n </w:t>
      </w:r>
      <w:r>
        <w:rPr>
          <w:rFonts w:cs="Times New Roman"/>
          <w:spacing w:val="-5"/>
          <w:sz w:val="18"/>
          <w:szCs w:val="18"/>
          <w:lang w:val="es-ES_tradnl"/>
        </w:rPr>
        <w:t>Á</w:t>
      </w:r>
      <w:r>
        <w:rPr>
          <w:spacing w:val="-5"/>
          <w:sz w:val="18"/>
          <w:szCs w:val="18"/>
          <w:lang w:val="es-ES_tradnl"/>
        </w:rPr>
        <w:t>vila en calidad de alcalde y procurador s</w:t>
      </w:r>
      <w:r>
        <w:rPr>
          <w:rFonts w:cs="Times New Roman"/>
          <w:spacing w:val="-5"/>
          <w:sz w:val="18"/>
          <w:szCs w:val="18"/>
          <w:lang w:val="es-ES_tradnl"/>
        </w:rPr>
        <w:t>í</w:t>
      </w:r>
      <w:r>
        <w:rPr>
          <w:spacing w:val="-5"/>
          <w:sz w:val="18"/>
          <w:szCs w:val="18"/>
          <w:lang w:val="es-ES_tradnl"/>
        </w:rPr>
        <w:t xml:space="preserve">ndico </w:t>
      </w:r>
      <w:r>
        <w:rPr>
          <w:spacing w:val="-8"/>
          <w:sz w:val="18"/>
          <w:szCs w:val="18"/>
          <w:lang w:val="es-ES_tradnl"/>
        </w:rPr>
        <w:t>respectivamente, del cant</w:t>
      </w:r>
      <w:r>
        <w:rPr>
          <w:rFonts w:cs="Times New Roman"/>
          <w:spacing w:val="-8"/>
          <w:sz w:val="18"/>
          <w:szCs w:val="18"/>
          <w:lang w:val="es-ES_tradnl"/>
        </w:rPr>
        <w:t>ó</w:t>
      </w:r>
      <w:r>
        <w:rPr>
          <w:spacing w:val="-8"/>
          <w:sz w:val="18"/>
          <w:szCs w:val="18"/>
          <w:lang w:val="es-ES_tradnl"/>
        </w:rPr>
        <w:t>n Chone, manifiestan:</w:t>
      </w:r>
    </w:p>
    <w:p w14:paraId="4F67A577" w14:textId="77777777" w:rsidR="00591D54" w:rsidRDefault="00591D54">
      <w:pPr>
        <w:shd w:val="clear" w:color="auto" w:fill="FFFFFF"/>
        <w:spacing w:before="197" w:line="216" w:lineRule="exact"/>
        <w:jc w:val="both"/>
      </w:pPr>
      <w:r>
        <w:rPr>
          <w:sz w:val="18"/>
          <w:szCs w:val="18"/>
          <w:lang w:val="es-ES_tradnl"/>
        </w:rPr>
        <w:t>Que conforme lo establece la disposici</w:t>
      </w:r>
      <w:r>
        <w:rPr>
          <w:rFonts w:cs="Times New Roman"/>
          <w:sz w:val="18"/>
          <w:szCs w:val="18"/>
          <w:lang w:val="es-ES_tradnl"/>
        </w:rPr>
        <w:t>ó</w:t>
      </w:r>
      <w:r>
        <w:rPr>
          <w:sz w:val="18"/>
          <w:szCs w:val="18"/>
          <w:lang w:val="es-ES_tradnl"/>
        </w:rPr>
        <w:t xml:space="preserve">n final de la </w:t>
      </w:r>
      <w:r>
        <w:rPr>
          <w:spacing w:val="-5"/>
          <w:sz w:val="18"/>
          <w:szCs w:val="18"/>
          <w:lang w:val="es-ES_tradnl"/>
        </w:rPr>
        <w:t>Ley Org</w:t>
      </w:r>
      <w:r>
        <w:rPr>
          <w:rFonts w:cs="Times New Roman"/>
          <w:spacing w:val="-5"/>
          <w:sz w:val="18"/>
          <w:szCs w:val="18"/>
          <w:lang w:val="es-ES_tradnl"/>
        </w:rPr>
        <w:t>á</w:t>
      </w:r>
      <w:r>
        <w:rPr>
          <w:spacing w:val="-5"/>
          <w:sz w:val="18"/>
          <w:szCs w:val="18"/>
          <w:lang w:val="es-ES_tradnl"/>
        </w:rPr>
        <w:t>nica de Garant</w:t>
      </w:r>
      <w:r>
        <w:rPr>
          <w:rFonts w:cs="Times New Roman"/>
          <w:spacing w:val="-5"/>
          <w:sz w:val="18"/>
          <w:szCs w:val="18"/>
          <w:lang w:val="es-ES_tradnl"/>
        </w:rPr>
        <w:t>í</w:t>
      </w:r>
      <w:r>
        <w:rPr>
          <w:spacing w:val="-5"/>
          <w:sz w:val="18"/>
          <w:szCs w:val="18"/>
          <w:lang w:val="es-ES_tradnl"/>
        </w:rPr>
        <w:t xml:space="preserve">as Jurisdiccionales y Control </w:t>
      </w:r>
      <w:r>
        <w:rPr>
          <w:spacing w:val="-10"/>
          <w:sz w:val="18"/>
          <w:szCs w:val="18"/>
          <w:lang w:val="es-ES_tradnl"/>
        </w:rPr>
        <w:t xml:space="preserve">Constitucional, que consagra la supletoriedad de las normas </w:t>
      </w:r>
      <w:r>
        <w:rPr>
          <w:spacing w:val="-3"/>
          <w:sz w:val="18"/>
          <w:szCs w:val="18"/>
          <w:lang w:val="es-ES_tradnl"/>
        </w:rPr>
        <w:t>del C</w:t>
      </w:r>
      <w:r>
        <w:rPr>
          <w:rFonts w:cs="Times New Roman"/>
          <w:spacing w:val="-3"/>
          <w:sz w:val="18"/>
          <w:szCs w:val="18"/>
          <w:lang w:val="es-ES_tradnl"/>
        </w:rPr>
        <w:t>ó</w:t>
      </w:r>
      <w:r>
        <w:rPr>
          <w:spacing w:val="-3"/>
          <w:sz w:val="18"/>
          <w:szCs w:val="18"/>
          <w:lang w:val="es-ES_tradnl"/>
        </w:rPr>
        <w:t xml:space="preserve">digo de Procedimiento Civil, de conformidad con </w:t>
      </w:r>
      <w:r>
        <w:rPr>
          <w:spacing w:val="-4"/>
          <w:sz w:val="18"/>
          <w:szCs w:val="18"/>
          <w:lang w:val="es-ES_tradnl"/>
        </w:rPr>
        <w:t>lo dispuesto en este cuerpo legal en los art</w:t>
      </w:r>
      <w:r>
        <w:rPr>
          <w:rFonts w:cs="Times New Roman"/>
          <w:spacing w:val="-4"/>
          <w:sz w:val="18"/>
          <w:szCs w:val="18"/>
          <w:lang w:val="es-ES_tradnl"/>
        </w:rPr>
        <w:t>í</w:t>
      </w:r>
      <w:r>
        <w:rPr>
          <w:spacing w:val="-4"/>
          <w:sz w:val="18"/>
          <w:szCs w:val="18"/>
          <w:lang w:val="es-ES_tradnl"/>
        </w:rPr>
        <w:t xml:space="preserve">culos 289 y </w:t>
      </w:r>
      <w:r>
        <w:rPr>
          <w:spacing w:val="-5"/>
          <w:sz w:val="18"/>
          <w:szCs w:val="18"/>
          <w:lang w:val="es-ES_tradnl"/>
        </w:rPr>
        <w:t>319, presentan recurso horizontal de reforma al auto de admisi</w:t>
      </w:r>
      <w:r>
        <w:rPr>
          <w:rFonts w:cs="Times New Roman"/>
          <w:spacing w:val="-5"/>
          <w:sz w:val="18"/>
          <w:szCs w:val="18"/>
          <w:lang w:val="es-ES_tradnl"/>
        </w:rPr>
        <w:t>ó</w:t>
      </w:r>
      <w:r>
        <w:rPr>
          <w:spacing w:val="-5"/>
          <w:sz w:val="18"/>
          <w:szCs w:val="18"/>
          <w:lang w:val="es-ES_tradnl"/>
        </w:rPr>
        <w:t xml:space="preserve">n, emitido el 05 de febrero de 2015 a las 10h32, </w:t>
      </w:r>
      <w:r>
        <w:rPr>
          <w:spacing w:val="-8"/>
          <w:sz w:val="18"/>
          <w:szCs w:val="18"/>
          <w:lang w:val="es-ES_tradnl"/>
        </w:rPr>
        <w:t xml:space="preserve">respecto de que en el considerando tercero, numeral uno, </w:t>
      </w:r>
      <w:r>
        <w:rPr>
          <w:spacing w:val="-9"/>
          <w:sz w:val="18"/>
          <w:szCs w:val="18"/>
          <w:lang w:val="es-ES_tradnl"/>
        </w:rPr>
        <w:t xml:space="preserve">que se refiere a la medida cautelar, se dispuso: </w:t>
      </w:r>
      <w:r>
        <w:rPr>
          <w:rFonts w:cs="Times New Roman"/>
          <w:spacing w:val="-9"/>
          <w:sz w:val="18"/>
          <w:szCs w:val="18"/>
          <w:lang w:val="es-ES_tradnl"/>
        </w:rPr>
        <w:t>“</w:t>
      </w:r>
      <w:r>
        <w:rPr>
          <w:spacing w:val="-9"/>
          <w:sz w:val="18"/>
          <w:szCs w:val="18"/>
          <w:lang w:val="es-ES_tradnl"/>
        </w:rPr>
        <w:t xml:space="preserve">suspender </w:t>
      </w:r>
      <w:r>
        <w:rPr>
          <w:spacing w:val="-6"/>
          <w:sz w:val="18"/>
          <w:szCs w:val="18"/>
          <w:lang w:val="es-ES_tradnl"/>
        </w:rPr>
        <w:t>provisionalmente la aplicaci</w:t>
      </w:r>
      <w:r>
        <w:rPr>
          <w:rFonts w:cs="Times New Roman"/>
          <w:spacing w:val="-6"/>
          <w:sz w:val="18"/>
          <w:szCs w:val="18"/>
          <w:lang w:val="es-ES_tradnl"/>
        </w:rPr>
        <w:t>ó</w:t>
      </w:r>
      <w:r>
        <w:rPr>
          <w:spacing w:val="-6"/>
          <w:sz w:val="18"/>
          <w:szCs w:val="18"/>
          <w:lang w:val="es-ES_tradnl"/>
        </w:rPr>
        <w:t xml:space="preserve">n del Art. 18 de la ordenanza </w:t>
      </w:r>
      <w:r>
        <w:rPr>
          <w:spacing w:val="-7"/>
          <w:sz w:val="18"/>
          <w:szCs w:val="18"/>
          <w:lang w:val="es-ES_tradnl"/>
        </w:rPr>
        <w:t xml:space="preserve">publicada en el suplemento del registro oficial No. 277 del </w:t>
      </w:r>
      <w:r>
        <w:rPr>
          <w:sz w:val="18"/>
          <w:szCs w:val="18"/>
          <w:lang w:val="es-ES_tradnl"/>
        </w:rPr>
        <w:t>27 de julio de 2014</w:t>
      </w:r>
      <w:r>
        <w:rPr>
          <w:rFonts w:cs="Times New Roman"/>
          <w:sz w:val="18"/>
          <w:szCs w:val="18"/>
          <w:lang w:val="es-ES_tradnl"/>
        </w:rPr>
        <w:t>”</w:t>
      </w:r>
      <w:r>
        <w:rPr>
          <w:sz w:val="18"/>
          <w:szCs w:val="18"/>
          <w:lang w:val="es-ES_tradnl"/>
        </w:rPr>
        <w:t xml:space="preserve"> (sic).</w:t>
      </w:r>
    </w:p>
    <w:p w14:paraId="4F67A578" w14:textId="77777777" w:rsidR="00591D54" w:rsidRDefault="00591D54">
      <w:pPr>
        <w:shd w:val="clear" w:color="auto" w:fill="FFFFFF"/>
        <w:spacing w:before="197" w:line="216" w:lineRule="exact"/>
        <w:jc w:val="both"/>
      </w:pPr>
      <w:r>
        <w:rPr>
          <w:spacing w:val="-9"/>
          <w:sz w:val="18"/>
          <w:szCs w:val="18"/>
          <w:lang w:val="es-ES_tradnl"/>
        </w:rPr>
        <w:t>Consideran que de conformidad a lo dispuesto en el art</w:t>
      </w:r>
      <w:r>
        <w:rPr>
          <w:rFonts w:cs="Times New Roman"/>
          <w:spacing w:val="-9"/>
          <w:sz w:val="18"/>
          <w:szCs w:val="18"/>
          <w:lang w:val="es-ES_tradnl"/>
        </w:rPr>
        <w:t>í</w:t>
      </w:r>
      <w:r>
        <w:rPr>
          <w:spacing w:val="-9"/>
          <w:sz w:val="18"/>
          <w:szCs w:val="18"/>
          <w:lang w:val="es-ES_tradnl"/>
        </w:rPr>
        <w:t xml:space="preserve">culo </w:t>
      </w:r>
      <w:r>
        <w:rPr>
          <w:spacing w:val="-11"/>
          <w:sz w:val="18"/>
          <w:szCs w:val="18"/>
          <w:lang w:val="es-ES_tradnl"/>
        </w:rPr>
        <w:t>2 numeral 3 de la Ley Org</w:t>
      </w:r>
      <w:r>
        <w:rPr>
          <w:rFonts w:cs="Times New Roman"/>
          <w:spacing w:val="-11"/>
          <w:sz w:val="18"/>
          <w:szCs w:val="18"/>
          <w:lang w:val="es-ES_tradnl"/>
        </w:rPr>
        <w:t>á</w:t>
      </w:r>
      <w:r>
        <w:rPr>
          <w:spacing w:val="-11"/>
          <w:sz w:val="18"/>
          <w:szCs w:val="18"/>
          <w:lang w:val="es-ES_tradnl"/>
        </w:rPr>
        <w:t>nica de Garant</w:t>
      </w:r>
      <w:r>
        <w:rPr>
          <w:rFonts w:cs="Times New Roman"/>
          <w:spacing w:val="-11"/>
          <w:sz w:val="18"/>
          <w:szCs w:val="18"/>
          <w:lang w:val="es-ES_tradnl"/>
        </w:rPr>
        <w:t>í</w:t>
      </w:r>
      <w:r>
        <w:rPr>
          <w:spacing w:val="-11"/>
          <w:sz w:val="18"/>
          <w:szCs w:val="18"/>
          <w:lang w:val="es-ES_tradnl"/>
        </w:rPr>
        <w:t xml:space="preserve">as Jurisdiccionales </w:t>
      </w:r>
      <w:r>
        <w:rPr>
          <w:spacing w:val="-3"/>
          <w:sz w:val="18"/>
          <w:szCs w:val="18"/>
          <w:lang w:val="es-ES_tradnl"/>
        </w:rPr>
        <w:t xml:space="preserve">y Control Constitucional, aplicada al caso </w:t>
      </w:r>
      <w:r>
        <w:rPr>
          <w:i/>
          <w:iCs/>
          <w:spacing w:val="-3"/>
          <w:sz w:val="18"/>
          <w:szCs w:val="18"/>
          <w:lang w:val="es-ES_tradnl"/>
        </w:rPr>
        <w:t>in examine</w:t>
      </w:r>
      <w:r>
        <w:rPr>
          <w:spacing w:val="-3"/>
          <w:sz w:val="18"/>
          <w:szCs w:val="18"/>
          <w:lang w:val="es-ES_tradnl"/>
        </w:rPr>
        <w:t xml:space="preserve">, </w:t>
      </w:r>
      <w:r>
        <w:rPr>
          <w:spacing w:val="-6"/>
          <w:sz w:val="18"/>
          <w:szCs w:val="18"/>
          <w:lang w:val="es-ES_tradnl"/>
        </w:rPr>
        <w:t>significar</w:t>
      </w:r>
      <w:r>
        <w:rPr>
          <w:rFonts w:cs="Times New Roman"/>
          <w:spacing w:val="-6"/>
          <w:sz w:val="18"/>
          <w:szCs w:val="18"/>
          <w:lang w:val="es-ES_tradnl"/>
        </w:rPr>
        <w:t>í</w:t>
      </w:r>
      <w:r>
        <w:rPr>
          <w:spacing w:val="-6"/>
          <w:sz w:val="18"/>
          <w:szCs w:val="18"/>
          <w:lang w:val="es-ES_tradnl"/>
        </w:rPr>
        <w:t>a que las sentencias interpretativas de la Corte Constitucional se considerar</w:t>
      </w:r>
      <w:r>
        <w:rPr>
          <w:rFonts w:cs="Times New Roman"/>
          <w:spacing w:val="-6"/>
          <w:sz w:val="18"/>
          <w:szCs w:val="18"/>
          <w:lang w:val="es-ES_tradnl"/>
        </w:rPr>
        <w:t>á</w:t>
      </w:r>
      <w:r>
        <w:rPr>
          <w:spacing w:val="-6"/>
          <w:sz w:val="18"/>
          <w:szCs w:val="18"/>
          <w:lang w:val="es-ES_tradnl"/>
        </w:rPr>
        <w:t xml:space="preserve">n precedente constitucional </w:t>
      </w:r>
      <w:r>
        <w:rPr>
          <w:sz w:val="18"/>
          <w:szCs w:val="18"/>
          <w:lang w:val="es-ES_tradnl"/>
        </w:rPr>
        <w:t>con car</w:t>
      </w:r>
      <w:r>
        <w:rPr>
          <w:rFonts w:cs="Times New Roman"/>
          <w:sz w:val="18"/>
          <w:szCs w:val="18"/>
          <w:lang w:val="es-ES_tradnl"/>
        </w:rPr>
        <w:t>á</w:t>
      </w:r>
      <w:r>
        <w:rPr>
          <w:sz w:val="18"/>
          <w:szCs w:val="18"/>
          <w:lang w:val="es-ES_tradnl"/>
        </w:rPr>
        <w:t xml:space="preserve">cter vinculante, de obligatorio cumplimiento </w:t>
      </w:r>
      <w:r>
        <w:rPr>
          <w:spacing w:val="-6"/>
          <w:sz w:val="18"/>
          <w:szCs w:val="18"/>
          <w:lang w:val="es-ES_tradnl"/>
        </w:rPr>
        <w:t xml:space="preserve">por parte de los jueces de la Corte Constitucional, de la </w:t>
      </w:r>
      <w:r>
        <w:rPr>
          <w:spacing w:val="-5"/>
          <w:sz w:val="18"/>
          <w:szCs w:val="18"/>
          <w:lang w:val="es-ES_tradnl"/>
        </w:rPr>
        <w:t>Funci</w:t>
      </w:r>
      <w:r>
        <w:rPr>
          <w:rFonts w:cs="Times New Roman"/>
          <w:spacing w:val="-5"/>
          <w:sz w:val="18"/>
          <w:szCs w:val="18"/>
          <w:lang w:val="es-ES_tradnl"/>
        </w:rPr>
        <w:t>ó</w:t>
      </w:r>
      <w:r>
        <w:rPr>
          <w:spacing w:val="-5"/>
          <w:sz w:val="18"/>
          <w:szCs w:val="18"/>
          <w:lang w:val="es-ES_tradnl"/>
        </w:rPr>
        <w:t>n Judicial y de todos los servidores p</w:t>
      </w:r>
      <w:r>
        <w:rPr>
          <w:rFonts w:cs="Times New Roman"/>
          <w:spacing w:val="-5"/>
          <w:sz w:val="18"/>
          <w:szCs w:val="18"/>
          <w:lang w:val="es-ES_tradnl"/>
        </w:rPr>
        <w:t>ú</w:t>
      </w:r>
      <w:r>
        <w:rPr>
          <w:spacing w:val="-5"/>
          <w:sz w:val="18"/>
          <w:szCs w:val="18"/>
          <w:lang w:val="es-ES_tradnl"/>
        </w:rPr>
        <w:t xml:space="preserve">blicos. Ello, </w:t>
      </w:r>
      <w:r>
        <w:rPr>
          <w:spacing w:val="-8"/>
          <w:sz w:val="18"/>
          <w:szCs w:val="18"/>
          <w:lang w:val="es-ES_tradnl"/>
        </w:rPr>
        <w:t>en alusi</w:t>
      </w:r>
      <w:r>
        <w:rPr>
          <w:rFonts w:cs="Times New Roman"/>
          <w:spacing w:val="-8"/>
          <w:sz w:val="18"/>
          <w:szCs w:val="18"/>
          <w:lang w:val="es-ES_tradnl"/>
        </w:rPr>
        <w:t>ó</w:t>
      </w:r>
      <w:r>
        <w:rPr>
          <w:spacing w:val="-8"/>
          <w:sz w:val="18"/>
          <w:szCs w:val="18"/>
          <w:lang w:val="es-ES_tradnl"/>
        </w:rPr>
        <w:t>n a que el auto de admisi</w:t>
      </w:r>
      <w:r>
        <w:rPr>
          <w:rFonts w:cs="Times New Roman"/>
          <w:spacing w:val="-8"/>
          <w:sz w:val="18"/>
          <w:szCs w:val="18"/>
          <w:lang w:val="es-ES_tradnl"/>
        </w:rPr>
        <w:t>ó</w:t>
      </w:r>
      <w:r>
        <w:rPr>
          <w:spacing w:val="-8"/>
          <w:sz w:val="18"/>
          <w:szCs w:val="18"/>
          <w:lang w:val="es-ES_tradnl"/>
        </w:rPr>
        <w:t xml:space="preserve">n </w:t>
      </w:r>
      <w:r>
        <w:rPr>
          <w:rFonts w:cs="Times New Roman"/>
          <w:spacing w:val="-8"/>
          <w:sz w:val="18"/>
          <w:szCs w:val="18"/>
          <w:lang w:val="es-ES_tradnl"/>
        </w:rPr>
        <w:t>–</w:t>
      </w:r>
      <w:r>
        <w:rPr>
          <w:spacing w:val="-8"/>
          <w:sz w:val="18"/>
          <w:szCs w:val="18"/>
          <w:lang w:val="es-ES_tradnl"/>
        </w:rPr>
        <w:t>dicen</w:t>
      </w:r>
      <w:r>
        <w:rPr>
          <w:rFonts w:ascii="Arial Unicode MS" w:eastAsia="Arial Unicode MS" w:cs="Arial Unicode MS" w:hint="eastAsia"/>
          <w:spacing w:val="-8"/>
          <w:sz w:val="18"/>
          <w:szCs w:val="18"/>
          <w:lang w:val="es-ES_tradnl"/>
        </w:rPr>
        <w:t>‒</w:t>
      </w:r>
      <w:r>
        <w:rPr>
          <w:spacing w:val="-8"/>
          <w:sz w:val="18"/>
          <w:szCs w:val="18"/>
          <w:lang w:val="es-ES_tradnl"/>
        </w:rPr>
        <w:t xml:space="preserve"> no guardar</w:t>
      </w:r>
      <w:r>
        <w:rPr>
          <w:rFonts w:cs="Times New Roman"/>
          <w:spacing w:val="-8"/>
          <w:sz w:val="18"/>
          <w:szCs w:val="18"/>
          <w:lang w:val="es-ES_tradnl"/>
        </w:rPr>
        <w:t>í</w:t>
      </w:r>
      <w:r>
        <w:rPr>
          <w:spacing w:val="-8"/>
          <w:sz w:val="18"/>
          <w:szCs w:val="18"/>
          <w:lang w:val="es-ES_tradnl"/>
        </w:rPr>
        <w:t>a</w:t>
      </w:r>
    </w:p>
    <w:p w14:paraId="4F67A579" w14:textId="77777777" w:rsidR="00591D54" w:rsidRDefault="00591D54">
      <w:pPr>
        <w:shd w:val="clear" w:color="auto" w:fill="FFFFFF"/>
        <w:spacing w:before="5" w:line="221" w:lineRule="exact"/>
        <w:ind w:right="5"/>
        <w:jc w:val="both"/>
      </w:pPr>
      <w:r>
        <w:br w:type="column"/>
      </w:r>
      <w:r>
        <w:rPr>
          <w:sz w:val="18"/>
          <w:szCs w:val="18"/>
          <w:lang w:val="es-ES_tradnl"/>
        </w:rPr>
        <w:t xml:space="preserve">conformidad y un criterio uniforme con el emitido por </w:t>
      </w:r>
      <w:r>
        <w:rPr>
          <w:spacing w:val="-4"/>
          <w:sz w:val="18"/>
          <w:szCs w:val="18"/>
          <w:lang w:val="es-ES_tradnl"/>
        </w:rPr>
        <w:t xml:space="preserve">el Pleno de la Corte Constitucional en la sentencia No. </w:t>
      </w:r>
      <w:r>
        <w:rPr>
          <w:spacing w:val="-6"/>
          <w:sz w:val="18"/>
          <w:szCs w:val="18"/>
          <w:lang w:val="es-ES_tradnl"/>
        </w:rPr>
        <w:t>008-10-SIN-CC, publicada en el Registro Oficial N.</w:t>
      </w:r>
      <w:r>
        <w:rPr>
          <w:rFonts w:cs="Times New Roman"/>
          <w:spacing w:val="-6"/>
          <w:sz w:val="18"/>
          <w:szCs w:val="18"/>
          <w:lang w:val="es-ES_tradnl"/>
        </w:rPr>
        <w:t>º</w:t>
      </w:r>
      <w:r>
        <w:rPr>
          <w:spacing w:val="-6"/>
          <w:sz w:val="18"/>
          <w:szCs w:val="18"/>
          <w:lang w:val="es-ES_tradnl"/>
        </w:rPr>
        <w:t xml:space="preserve"> 250-</w:t>
      </w:r>
      <w:r>
        <w:rPr>
          <w:spacing w:val="-7"/>
          <w:sz w:val="18"/>
          <w:szCs w:val="18"/>
          <w:lang w:val="es-ES_tradnl"/>
        </w:rPr>
        <w:t xml:space="preserve">S de 4-VIII-2010, que </w:t>
      </w:r>
      <w:r>
        <w:rPr>
          <w:rFonts w:cs="Times New Roman"/>
          <w:spacing w:val="-7"/>
          <w:sz w:val="18"/>
          <w:szCs w:val="18"/>
          <w:lang w:val="es-ES_tradnl"/>
        </w:rPr>
        <w:t>–</w:t>
      </w:r>
      <w:r>
        <w:rPr>
          <w:spacing w:val="-7"/>
          <w:sz w:val="18"/>
          <w:szCs w:val="18"/>
          <w:lang w:val="es-ES_tradnl"/>
        </w:rPr>
        <w:t>a su criterio</w:t>
      </w:r>
      <w:r>
        <w:rPr>
          <w:rFonts w:ascii="Arial Unicode MS" w:eastAsia="Arial Unicode MS" w:cs="Arial Unicode MS" w:hint="eastAsia"/>
          <w:spacing w:val="-7"/>
          <w:sz w:val="18"/>
          <w:szCs w:val="18"/>
          <w:lang w:val="es-ES_tradnl"/>
        </w:rPr>
        <w:t>‒</w:t>
      </w:r>
      <w:r>
        <w:rPr>
          <w:spacing w:val="-7"/>
          <w:sz w:val="18"/>
          <w:szCs w:val="18"/>
          <w:lang w:val="es-ES_tradnl"/>
        </w:rPr>
        <w:t xml:space="preserve">, en su parte medular, </w:t>
      </w:r>
      <w:r>
        <w:rPr>
          <w:spacing w:val="-4"/>
          <w:sz w:val="18"/>
          <w:szCs w:val="18"/>
          <w:lang w:val="es-ES_tradnl"/>
        </w:rPr>
        <w:t xml:space="preserve">establece que no es pertinente una medida cautelar en </w:t>
      </w:r>
      <w:r>
        <w:rPr>
          <w:spacing w:val="-5"/>
          <w:sz w:val="18"/>
          <w:szCs w:val="18"/>
          <w:lang w:val="es-ES_tradnl"/>
        </w:rPr>
        <w:t>los actos normativos de car</w:t>
      </w:r>
      <w:r>
        <w:rPr>
          <w:rFonts w:cs="Times New Roman"/>
          <w:spacing w:val="-5"/>
          <w:sz w:val="18"/>
          <w:szCs w:val="18"/>
          <w:lang w:val="es-ES_tradnl"/>
        </w:rPr>
        <w:t>á</w:t>
      </w:r>
      <w:r>
        <w:rPr>
          <w:spacing w:val="-5"/>
          <w:sz w:val="18"/>
          <w:szCs w:val="18"/>
          <w:lang w:val="es-ES_tradnl"/>
        </w:rPr>
        <w:t xml:space="preserve">cter general </w:t>
      </w:r>
      <w:r>
        <w:rPr>
          <w:rFonts w:cs="Times New Roman"/>
          <w:spacing w:val="-5"/>
          <w:sz w:val="18"/>
          <w:szCs w:val="18"/>
          <w:lang w:val="es-ES_tradnl"/>
        </w:rPr>
        <w:t>–</w:t>
      </w:r>
      <w:r>
        <w:rPr>
          <w:spacing w:val="-5"/>
          <w:sz w:val="18"/>
          <w:szCs w:val="18"/>
          <w:lang w:val="es-ES_tradnl"/>
        </w:rPr>
        <w:t>refiri</w:t>
      </w:r>
      <w:r>
        <w:rPr>
          <w:rFonts w:cs="Times New Roman"/>
          <w:spacing w:val="-5"/>
          <w:sz w:val="18"/>
          <w:szCs w:val="18"/>
          <w:lang w:val="es-ES_tradnl"/>
        </w:rPr>
        <w:t>é</w:t>
      </w:r>
      <w:r>
        <w:rPr>
          <w:spacing w:val="-5"/>
          <w:sz w:val="18"/>
          <w:szCs w:val="18"/>
          <w:lang w:val="es-ES_tradnl"/>
        </w:rPr>
        <w:t xml:space="preserve">ndose a </w:t>
      </w:r>
      <w:r>
        <w:rPr>
          <w:spacing w:val="-7"/>
          <w:sz w:val="18"/>
          <w:szCs w:val="18"/>
          <w:lang w:val="es-ES_tradnl"/>
        </w:rPr>
        <w:t>la presente acci</w:t>
      </w:r>
      <w:r>
        <w:rPr>
          <w:rFonts w:cs="Times New Roman"/>
          <w:spacing w:val="-7"/>
          <w:sz w:val="18"/>
          <w:szCs w:val="18"/>
          <w:lang w:val="es-ES_tradnl"/>
        </w:rPr>
        <w:t>ó</w:t>
      </w:r>
      <w:r>
        <w:rPr>
          <w:spacing w:val="-7"/>
          <w:sz w:val="18"/>
          <w:szCs w:val="18"/>
          <w:lang w:val="es-ES_tradnl"/>
        </w:rPr>
        <w:t>n constitucional</w:t>
      </w:r>
      <w:r>
        <w:rPr>
          <w:rFonts w:ascii="Arial Unicode MS" w:eastAsia="Arial Unicode MS" w:cs="Arial Unicode MS" w:hint="eastAsia"/>
          <w:spacing w:val="-7"/>
          <w:sz w:val="18"/>
          <w:szCs w:val="18"/>
          <w:lang w:val="es-ES_tradnl"/>
        </w:rPr>
        <w:t>‒</w:t>
      </w:r>
      <w:r>
        <w:rPr>
          <w:spacing w:val="-7"/>
          <w:sz w:val="18"/>
          <w:szCs w:val="18"/>
          <w:lang w:val="es-ES_tradnl"/>
        </w:rPr>
        <w:t xml:space="preserve"> porque consideran que </w:t>
      </w:r>
      <w:r>
        <w:rPr>
          <w:spacing w:val="-6"/>
          <w:sz w:val="18"/>
          <w:szCs w:val="18"/>
          <w:lang w:val="es-ES_tradnl"/>
        </w:rPr>
        <w:t>la decisi</w:t>
      </w:r>
      <w:r>
        <w:rPr>
          <w:rFonts w:cs="Times New Roman"/>
          <w:spacing w:val="-6"/>
          <w:sz w:val="18"/>
          <w:szCs w:val="18"/>
          <w:lang w:val="es-ES_tradnl"/>
        </w:rPr>
        <w:t>ó</w:t>
      </w:r>
      <w:r>
        <w:rPr>
          <w:spacing w:val="-6"/>
          <w:sz w:val="18"/>
          <w:szCs w:val="18"/>
          <w:lang w:val="es-ES_tradnl"/>
        </w:rPr>
        <w:t xml:space="preserve">n de ordenar una medida cautelar sobre actos </w:t>
      </w:r>
      <w:r>
        <w:rPr>
          <w:spacing w:val="-4"/>
          <w:sz w:val="18"/>
          <w:szCs w:val="18"/>
          <w:lang w:val="es-ES_tradnl"/>
        </w:rPr>
        <w:t>normativos de car</w:t>
      </w:r>
      <w:r>
        <w:rPr>
          <w:rFonts w:cs="Times New Roman"/>
          <w:spacing w:val="-4"/>
          <w:sz w:val="18"/>
          <w:szCs w:val="18"/>
          <w:lang w:val="es-ES_tradnl"/>
        </w:rPr>
        <w:t>á</w:t>
      </w:r>
      <w:r>
        <w:rPr>
          <w:spacing w:val="-4"/>
          <w:sz w:val="18"/>
          <w:szCs w:val="18"/>
          <w:lang w:val="es-ES_tradnl"/>
        </w:rPr>
        <w:t>cter general a m</w:t>
      </w:r>
      <w:r>
        <w:rPr>
          <w:rFonts w:cs="Times New Roman"/>
          <w:spacing w:val="-4"/>
          <w:sz w:val="18"/>
          <w:szCs w:val="18"/>
          <w:lang w:val="es-ES_tradnl"/>
        </w:rPr>
        <w:t>á</w:t>
      </w:r>
      <w:r>
        <w:rPr>
          <w:spacing w:val="-4"/>
          <w:sz w:val="18"/>
          <w:szCs w:val="18"/>
          <w:lang w:val="es-ES_tradnl"/>
        </w:rPr>
        <w:t xml:space="preserve">s de convertirse en </w:t>
      </w:r>
      <w:r>
        <w:rPr>
          <w:spacing w:val="-5"/>
          <w:sz w:val="18"/>
          <w:szCs w:val="18"/>
          <w:lang w:val="es-ES_tradnl"/>
        </w:rPr>
        <w:t>un pronunciamiento anticipado, atentar</w:t>
      </w:r>
      <w:r>
        <w:rPr>
          <w:rFonts w:cs="Times New Roman"/>
          <w:spacing w:val="-5"/>
          <w:sz w:val="18"/>
          <w:szCs w:val="18"/>
          <w:lang w:val="es-ES_tradnl"/>
        </w:rPr>
        <w:t>í</w:t>
      </w:r>
      <w:r>
        <w:rPr>
          <w:spacing w:val="-5"/>
          <w:sz w:val="18"/>
          <w:szCs w:val="18"/>
          <w:lang w:val="es-ES_tradnl"/>
        </w:rPr>
        <w:t xml:space="preserve">a a la seguridad </w:t>
      </w:r>
      <w:r>
        <w:rPr>
          <w:spacing w:val="-7"/>
          <w:sz w:val="18"/>
          <w:szCs w:val="18"/>
          <w:lang w:val="es-ES_tradnl"/>
        </w:rPr>
        <w:t>jur</w:t>
      </w:r>
      <w:r>
        <w:rPr>
          <w:rFonts w:cs="Times New Roman"/>
          <w:spacing w:val="-7"/>
          <w:sz w:val="18"/>
          <w:szCs w:val="18"/>
          <w:lang w:val="es-ES_tradnl"/>
        </w:rPr>
        <w:t>í</w:t>
      </w:r>
      <w:r>
        <w:rPr>
          <w:spacing w:val="-7"/>
          <w:sz w:val="18"/>
          <w:szCs w:val="18"/>
          <w:lang w:val="es-ES_tradnl"/>
        </w:rPr>
        <w:t>dica de todo el ordenamiento jur</w:t>
      </w:r>
      <w:r>
        <w:rPr>
          <w:rFonts w:cs="Times New Roman"/>
          <w:spacing w:val="-7"/>
          <w:sz w:val="18"/>
          <w:szCs w:val="18"/>
          <w:lang w:val="es-ES_tradnl"/>
        </w:rPr>
        <w:t>í</w:t>
      </w:r>
      <w:r>
        <w:rPr>
          <w:spacing w:val="-7"/>
          <w:sz w:val="18"/>
          <w:szCs w:val="18"/>
          <w:lang w:val="es-ES_tradnl"/>
        </w:rPr>
        <w:t>dico ecuatoriano, m</w:t>
      </w:r>
      <w:r>
        <w:rPr>
          <w:rFonts w:cs="Times New Roman"/>
          <w:spacing w:val="-7"/>
          <w:sz w:val="18"/>
          <w:szCs w:val="18"/>
          <w:lang w:val="es-ES_tradnl"/>
        </w:rPr>
        <w:t>á</w:t>
      </w:r>
      <w:r>
        <w:rPr>
          <w:spacing w:val="-7"/>
          <w:sz w:val="18"/>
          <w:szCs w:val="18"/>
          <w:lang w:val="es-ES_tradnl"/>
        </w:rPr>
        <w:t xml:space="preserve">s </w:t>
      </w:r>
      <w:r>
        <w:rPr>
          <w:spacing w:val="-6"/>
          <w:sz w:val="18"/>
          <w:szCs w:val="18"/>
          <w:lang w:val="es-ES_tradnl"/>
        </w:rPr>
        <w:t>aun, cuando las normas jur</w:t>
      </w:r>
      <w:r>
        <w:rPr>
          <w:rFonts w:cs="Times New Roman"/>
          <w:spacing w:val="-6"/>
          <w:sz w:val="18"/>
          <w:szCs w:val="18"/>
          <w:lang w:val="es-ES_tradnl"/>
        </w:rPr>
        <w:t>í</w:t>
      </w:r>
      <w:r>
        <w:rPr>
          <w:spacing w:val="-6"/>
          <w:sz w:val="18"/>
          <w:szCs w:val="18"/>
          <w:lang w:val="es-ES_tradnl"/>
        </w:rPr>
        <w:t xml:space="preserve">dicas gozan de la </w:t>
      </w:r>
      <w:r>
        <w:rPr>
          <w:rFonts w:cs="Times New Roman"/>
          <w:spacing w:val="-6"/>
          <w:sz w:val="18"/>
          <w:szCs w:val="18"/>
          <w:lang w:val="es-ES_tradnl"/>
        </w:rPr>
        <w:t>“</w:t>
      </w:r>
      <w:r>
        <w:rPr>
          <w:spacing w:val="-6"/>
          <w:sz w:val="18"/>
          <w:szCs w:val="18"/>
          <w:lang w:val="es-ES_tradnl"/>
        </w:rPr>
        <w:t>presunci</w:t>
      </w:r>
      <w:r>
        <w:rPr>
          <w:rFonts w:cs="Times New Roman"/>
          <w:spacing w:val="-6"/>
          <w:sz w:val="18"/>
          <w:szCs w:val="18"/>
          <w:lang w:val="es-ES_tradnl"/>
        </w:rPr>
        <w:t>ó</w:t>
      </w:r>
      <w:r>
        <w:rPr>
          <w:spacing w:val="-6"/>
          <w:sz w:val="18"/>
          <w:szCs w:val="18"/>
          <w:lang w:val="es-ES_tradnl"/>
        </w:rPr>
        <w:t>n de constitucionalidad de las disposiciones jur</w:t>
      </w:r>
      <w:r>
        <w:rPr>
          <w:rFonts w:cs="Times New Roman"/>
          <w:spacing w:val="-6"/>
          <w:sz w:val="18"/>
          <w:szCs w:val="18"/>
          <w:lang w:val="es-ES_tradnl"/>
        </w:rPr>
        <w:t>í</w:t>
      </w:r>
      <w:r>
        <w:rPr>
          <w:spacing w:val="-6"/>
          <w:sz w:val="18"/>
          <w:szCs w:val="18"/>
          <w:lang w:val="es-ES_tradnl"/>
        </w:rPr>
        <w:t>dicas</w:t>
      </w:r>
      <w:r>
        <w:rPr>
          <w:rFonts w:cs="Times New Roman"/>
          <w:spacing w:val="-6"/>
          <w:sz w:val="18"/>
          <w:szCs w:val="18"/>
          <w:lang w:val="es-ES_tradnl"/>
        </w:rPr>
        <w:t>”</w:t>
      </w:r>
      <w:r>
        <w:rPr>
          <w:spacing w:val="-6"/>
          <w:sz w:val="18"/>
          <w:szCs w:val="18"/>
          <w:lang w:val="es-ES_tradnl"/>
        </w:rPr>
        <w:t xml:space="preserve"> como as</w:t>
      </w:r>
      <w:r>
        <w:rPr>
          <w:rFonts w:cs="Times New Roman"/>
          <w:spacing w:val="-6"/>
          <w:sz w:val="18"/>
          <w:szCs w:val="18"/>
          <w:lang w:val="es-ES_tradnl"/>
        </w:rPr>
        <w:t>í</w:t>
      </w:r>
      <w:r>
        <w:rPr>
          <w:spacing w:val="-6"/>
          <w:sz w:val="18"/>
          <w:szCs w:val="18"/>
          <w:lang w:val="es-ES_tradnl"/>
        </w:rPr>
        <w:t xml:space="preserve"> lo estipula el art</w:t>
      </w:r>
      <w:r>
        <w:rPr>
          <w:rFonts w:cs="Times New Roman"/>
          <w:spacing w:val="-6"/>
          <w:sz w:val="18"/>
          <w:szCs w:val="18"/>
          <w:lang w:val="es-ES_tradnl"/>
        </w:rPr>
        <w:t>í</w:t>
      </w:r>
      <w:r>
        <w:rPr>
          <w:spacing w:val="-6"/>
          <w:sz w:val="18"/>
          <w:szCs w:val="18"/>
          <w:lang w:val="es-ES_tradnl"/>
        </w:rPr>
        <w:t>culo 76 numeral 2 de la Ley Org</w:t>
      </w:r>
      <w:r>
        <w:rPr>
          <w:rFonts w:cs="Times New Roman"/>
          <w:spacing w:val="-6"/>
          <w:sz w:val="18"/>
          <w:szCs w:val="18"/>
          <w:lang w:val="es-ES_tradnl"/>
        </w:rPr>
        <w:t>á</w:t>
      </w:r>
      <w:r>
        <w:rPr>
          <w:spacing w:val="-6"/>
          <w:sz w:val="18"/>
          <w:szCs w:val="18"/>
          <w:lang w:val="es-ES_tradnl"/>
        </w:rPr>
        <w:t xml:space="preserve">nica </w:t>
      </w:r>
      <w:r>
        <w:rPr>
          <w:spacing w:val="-5"/>
          <w:sz w:val="18"/>
          <w:szCs w:val="18"/>
          <w:lang w:val="es-ES_tradnl"/>
        </w:rPr>
        <w:t>de Garant</w:t>
      </w:r>
      <w:r>
        <w:rPr>
          <w:rFonts w:cs="Times New Roman"/>
          <w:spacing w:val="-5"/>
          <w:sz w:val="18"/>
          <w:szCs w:val="18"/>
          <w:lang w:val="es-ES_tradnl"/>
        </w:rPr>
        <w:t>í</w:t>
      </w:r>
      <w:r>
        <w:rPr>
          <w:spacing w:val="-5"/>
          <w:sz w:val="18"/>
          <w:szCs w:val="18"/>
          <w:lang w:val="es-ES_tradnl"/>
        </w:rPr>
        <w:t>as Jurisdiccionales y Control Constitucional.</w:t>
      </w:r>
    </w:p>
    <w:p w14:paraId="4F67A57A" w14:textId="77777777" w:rsidR="00591D54" w:rsidRDefault="00591D54">
      <w:pPr>
        <w:shd w:val="clear" w:color="auto" w:fill="FFFFFF"/>
        <w:spacing w:before="202" w:line="221" w:lineRule="exact"/>
        <w:jc w:val="both"/>
      </w:pPr>
      <w:r>
        <w:rPr>
          <w:spacing w:val="-4"/>
          <w:sz w:val="18"/>
          <w:szCs w:val="18"/>
          <w:lang w:val="es-ES_tradnl"/>
        </w:rPr>
        <w:t xml:space="preserve">No obstante, asumen, que si bien es cierto que esta </w:t>
      </w:r>
      <w:r>
        <w:rPr>
          <w:spacing w:val="-1"/>
          <w:sz w:val="18"/>
          <w:szCs w:val="18"/>
          <w:lang w:val="es-ES_tradnl"/>
        </w:rPr>
        <w:t xml:space="preserve">sentencia interpretativa de la Corte Constitucional se </w:t>
      </w:r>
      <w:r>
        <w:rPr>
          <w:spacing w:val="-5"/>
          <w:sz w:val="18"/>
          <w:szCs w:val="18"/>
          <w:lang w:val="es-ES_tradnl"/>
        </w:rPr>
        <w:t>refiere al art</w:t>
      </w:r>
      <w:r>
        <w:rPr>
          <w:rFonts w:cs="Times New Roman"/>
          <w:spacing w:val="-5"/>
          <w:sz w:val="18"/>
          <w:szCs w:val="18"/>
          <w:lang w:val="es-ES_tradnl"/>
        </w:rPr>
        <w:t>í</w:t>
      </w:r>
      <w:r>
        <w:rPr>
          <w:spacing w:val="-5"/>
          <w:sz w:val="18"/>
          <w:szCs w:val="18"/>
          <w:lang w:val="es-ES_tradnl"/>
        </w:rPr>
        <w:t>culo 87 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 xml:space="preserve">blica y </w:t>
      </w:r>
      <w:r>
        <w:rPr>
          <w:spacing w:val="-9"/>
          <w:sz w:val="18"/>
          <w:szCs w:val="18"/>
          <w:lang w:val="es-ES_tradnl"/>
        </w:rPr>
        <w:t>no al art</w:t>
      </w:r>
      <w:r>
        <w:rPr>
          <w:rFonts w:cs="Times New Roman"/>
          <w:spacing w:val="-9"/>
          <w:sz w:val="18"/>
          <w:szCs w:val="18"/>
          <w:lang w:val="es-ES_tradnl"/>
        </w:rPr>
        <w:t>í</w:t>
      </w:r>
      <w:r>
        <w:rPr>
          <w:spacing w:val="-9"/>
          <w:sz w:val="18"/>
          <w:szCs w:val="18"/>
          <w:lang w:val="es-ES_tradnl"/>
        </w:rPr>
        <w:t>culo 79 numeral 6 de la Ley Org</w:t>
      </w:r>
      <w:r>
        <w:rPr>
          <w:rFonts w:cs="Times New Roman"/>
          <w:spacing w:val="-9"/>
          <w:sz w:val="18"/>
          <w:szCs w:val="18"/>
          <w:lang w:val="es-ES_tradnl"/>
        </w:rPr>
        <w:t>á</w:t>
      </w:r>
      <w:r>
        <w:rPr>
          <w:spacing w:val="-9"/>
          <w:sz w:val="18"/>
          <w:szCs w:val="18"/>
          <w:lang w:val="es-ES_tradnl"/>
        </w:rPr>
        <w:t>nica de Garant</w:t>
      </w:r>
      <w:r>
        <w:rPr>
          <w:rFonts w:cs="Times New Roman"/>
          <w:spacing w:val="-9"/>
          <w:sz w:val="18"/>
          <w:szCs w:val="18"/>
          <w:lang w:val="es-ES_tradnl"/>
        </w:rPr>
        <w:t>í</w:t>
      </w:r>
      <w:r>
        <w:rPr>
          <w:spacing w:val="-9"/>
          <w:sz w:val="18"/>
          <w:szCs w:val="18"/>
          <w:lang w:val="es-ES_tradnl"/>
        </w:rPr>
        <w:t xml:space="preserve">as </w:t>
      </w:r>
      <w:r>
        <w:rPr>
          <w:spacing w:val="-5"/>
          <w:sz w:val="18"/>
          <w:szCs w:val="18"/>
          <w:lang w:val="es-ES_tradnl"/>
        </w:rPr>
        <w:t xml:space="preserve">Jurisdiccionales y Control Constitucional, que trata de la </w:t>
      </w:r>
      <w:r>
        <w:rPr>
          <w:spacing w:val="-2"/>
          <w:sz w:val="18"/>
          <w:szCs w:val="18"/>
          <w:lang w:val="es-ES_tradnl"/>
        </w:rPr>
        <w:t>suspensi</w:t>
      </w:r>
      <w:r>
        <w:rPr>
          <w:rFonts w:cs="Times New Roman"/>
          <w:spacing w:val="-2"/>
          <w:sz w:val="18"/>
          <w:szCs w:val="18"/>
          <w:lang w:val="es-ES_tradnl"/>
        </w:rPr>
        <w:t>ó</w:t>
      </w:r>
      <w:r>
        <w:rPr>
          <w:spacing w:val="-2"/>
          <w:sz w:val="18"/>
          <w:szCs w:val="18"/>
          <w:lang w:val="es-ES_tradnl"/>
        </w:rPr>
        <w:t>n provisional de la disposici</w:t>
      </w:r>
      <w:r>
        <w:rPr>
          <w:rFonts w:cs="Times New Roman"/>
          <w:spacing w:val="-2"/>
          <w:sz w:val="18"/>
          <w:szCs w:val="18"/>
          <w:lang w:val="es-ES_tradnl"/>
        </w:rPr>
        <w:t>ó</w:t>
      </w:r>
      <w:r>
        <w:rPr>
          <w:spacing w:val="-2"/>
          <w:sz w:val="18"/>
          <w:szCs w:val="18"/>
          <w:lang w:val="es-ES_tradnl"/>
        </w:rPr>
        <w:t xml:space="preserve">n que demanda </w:t>
      </w:r>
      <w:r>
        <w:rPr>
          <w:spacing w:val="-5"/>
          <w:sz w:val="18"/>
          <w:szCs w:val="18"/>
          <w:lang w:val="es-ES_tradnl"/>
        </w:rPr>
        <w:t xml:space="preserve">su inconstitucionalidad </w:t>
      </w:r>
      <w:r>
        <w:rPr>
          <w:rFonts w:cs="Times New Roman"/>
          <w:spacing w:val="-5"/>
          <w:sz w:val="18"/>
          <w:szCs w:val="18"/>
          <w:lang w:val="es-ES_tradnl"/>
        </w:rPr>
        <w:t>–</w:t>
      </w:r>
      <w:r>
        <w:rPr>
          <w:spacing w:val="-5"/>
          <w:sz w:val="18"/>
          <w:szCs w:val="18"/>
          <w:lang w:val="es-ES_tradnl"/>
        </w:rPr>
        <w:t>consideran</w:t>
      </w:r>
      <w:r>
        <w:rPr>
          <w:rFonts w:ascii="Arial Unicode MS" w:eastAsia="Arial Unicode MS" w:cs="Arial Unicode MS" w:hint="eastAsia"/>
          <w:spacing w:val="-5"/>
          <w:sz w:val="18"/>
          <w:szCs w:val="18"/>
          <w:lang w:val="es-ES_tradnl"/>
        </w:rPr>
        <w:t>‒</w:t>
      </w:r>
      <w:r>
        <w:rPr>
          <w:spacing w:val="-5"/>
          <w:sz w:val="18"/>
          <w:szCs w:val="18"/>
          <w:lang w:val="es-ES_tradnl"/>
        </w:rPr>
        <w:t xml:space="preserve"> que al igual que en </w:t>
      </w:r>
      <w:r>
        <w:rPr>
          <w:spacing w:val="-6"/>
          <w:sz w:val="18"/>
          <w:szCs w:val="18"/>
          <w:lang w:val="es-ES_tradnl"/>
        </w:rPr>
        <w:t>el antes enunciado art</w:t>
      </w:r>
      <w:r>
        <w:rPr>
          <w:rFonts w:cs="Times New Roman"/>
          <w:spacing w:val="-6"/>
          <w:sz w:val="18"/>
          <w:szCs w:val="18"/>
          <w:lang w:val="es-ES_tradnl"/>
        </w:rPr>
        <w:t>í</w:t>
      </w:r>
      <w:r>
        <w:rPr>
          <w:spacing w:val="-6"/>
          <w:sz w:val="18"/>
          <w:szCs w:val="18"/>
          <w:lang w:val="es-ES_tradnl"/>
        </w:rPr>
        <w:t xml:space="preserve">culo 87, se refieren a las medidas </w:t>
      </w:r>
      <w:r>
        <w:rPr>
          <w:spacing w:val="-7"/>
          <w:sz w:val="18"/>
          <w:szCs w:val="18"/>
          <w:lang w:val="es-ES_tradnl"/>
        </w:rPr>
        <w:t>cautelares, es decir, que aplicar</w:t>
      </w:r>
      <w:r>
        <w:rPr>
          <w:rFonts w:cs="Times New Roman"/>
          <w:spacing w:val="-7"/>
          <w:sz w:val="18"/>
          <w:szCs w:val="18"/>
          <w:lang w:val="es-ES_tradnl"/>
        </w:rPr>
        <w:t>í</w:t>
      </w:r>
      <w:r>
        <w:rPr>
          <w:spacing w:val="-7"/>
          <w:sz w:val="18"/>
          <w:szCs w:val="18"/>
          <w:lang w:val="es-ES_tradnl"/>
        </w:rPr>
        <w:t xml:space="preserve">a para el presente caso la </w:t>
      </w:r>
      <w:r>
        <w:rPr>
          <w:sz w:val="18"/>
          <w:szCs w:val="18"/>
          <w:lang w:val="es-ES_tradnl"/>
        </w:rPr>
        <w:t>referida sentencia interpretativa.</w:t>
      </w:r>
    </w:p>
    <w:p w14:paraId="4F67A57B" w14:textId="77777777" w:rsidR="00591D54" w:rsidRDefault="00591D54">
      <w:pPr>
        <w:shd w:val="clear" w:color="auto" w:fill="FFFFFF"/>
        <w:spacing w:before="202" w:line="221" w:lineRule="exact"/>
        <w:jc w:val="both"/>
      </w:pPr>
      <w:r>
        <w:rPr>
          <w:spacing w:val="-1"/>
          <w:sz w:val="18"/>
          <w:szCs w:val="18"/>
          <w:lang w:val="es-ES_tradnl"/>
        </w:rPr>
        <w:t>Finalmente, consideran que la decisi</w:t>
      </w:r>
      <w:r>
        <w:rPr>
          <w:rFonts w:cs="Times New Roman"/>
          <w:spacing w:val="-1"/>
          <w:sz w:val="18"/>
          <w:szCs w:val="18"/>
          <w:lang w:val="es-ES_tradnl"/>
        </w:rPr>
        <w:t>ó</w:t>
      </w:r>
      <w:r>
        <w:rPr>
          <w:spacing w:val="-1"/>
          <w:sz w:val="18"/>
          <w:szCs w:val="18"/>
          <w:lang w:val="es-ES_tradnl"/>
        </w:rPr>
        <w:t xml:space="preserve">n tomada en el </w:t>
      </w:r>
      <w:r>
        <w:rPr>
          <w:spacing w:val="-7"/>
          <w:sz w:val="18"/>
          <w:szCs w:val="18"/>
          <w:lang w:val="es-ES_tradnl"/>
        </w:rPr>
        <w:t>auto de admisi</w:t>
      </w:r>
      <w:r>
        <w:rPr>
          <w:rFonts w:cs="Times New Roman"/>
          <w:spacing w:val="-7"/>
          <w:sz w:val="18"/>
          <w:szCs w:val="18"/>
          <w:lang w:val="es-ES_tradnl"/>
        </w:rPr>
        <w:t>ó</w:t>
      </w:r>
      <w:r>
        <w:rPr>
          <w:spacing w:val="-7"/>
          <w:sz w:val="18"/>
          <w:szCs w:val="18"/>
          <w:lang w:val="es-ES_tradnl"/>
        </w:rPr>
        <w:t>n sobre la medida cautelar de suspensi</w:t>
      </w:r>
      <w:r>
        <w:rPr>
          <w:rFonts w:cs="Times New Roman"/>
          <w:spacing w:val="-7"/>
          <w:sz w:val="18"/>
          <w:szCs w:val="18"/>
          <w:lang w:val="es-ES_tradnl"/>
        </w:rPr>
        <w:t>ó</w:t>
      </w:r>
      <w:r>
        <w:rPr>
          <w:spacing w:val="-7"/>
          <w:sz w:val="18"/>
          <w:szCs w:val="18"/>
          <w:lang w:val="es-ES_tradnl"/>
        </w:rPr>
        <w:t xml:space="preserve">n </w:t>
      </w:r>
      <w:r>
        <w:rPr>
          <w:spacing w:val="-6"/>
          <w:sz w:val="18"/>
          <w:szCs w:val="18"/>
          <w:lang w:val="es-ES_tradnl"/>
        </w:rPr>
        <w:t>provisional de una disposici</w:t>
      </w:r>
      <w:r>
        <w:rPr>
          <w:rFonts w:cs="Times New Roman"/>
          <w:spacing w:val="-6"/>
          <w:sz w:val="18"/>
          <w:szCs w:val="18"/>
          <w:lang w:val="es-ES_tradnl"/>
        </w:rPr>
        <w:t>ó</w:t>
      </w:r>
      <w:r>
        <w:rPr>
          <w:spacing w:val="-6"/>
          <w:sz w:val="18"/>
          <w:szCs w:val="18"/>
          <w:lang w:val="es-ES_tradnl"/>
        </w:rPr>
        <w:t>n que goza de la presunci</w:t>
      </w:r>
      <w:r>
        <w:rPr>
          <w:rFonts w:cs="Times New Roman"/>
          <w:spacing w:val="-6"/>
          <w:sz w:val="18"/>
          <w:szCs w:val="18"/>
          <w:lang w:val="es-ES_tradnl"/>
        </w:rPr>
        <w:t>ó</w:t>
      </w:r>
      <w:r>
        <w:rPr>
          <w:spacing w:val="-6"/>
          <w:sz w:val="18"/>
          <w:szCs w:val="18"/>
          <w:lang w:val="es-ES_tradnl"/>
        </w:rPr>
        <w:t xml:space="preserve">n </w:t>
      </w:r>
      <w:r>
        <w:rPr>
          <w:sz w:val="18"/>
          <w:szCs w:val="18"/>
          <w:lang w:val="es-ES_tradnl"/>
        </w:rPr>
        <w:t>de constitucionalidad dentro del marco jur</w:t>
      </w:r>
      <w:r>
        <w:rPr>
          <w:rFonts w:cs="Times New Roman"/>
          <w:sz w:val="18"/>
          <w:szCs w:val="18"/>
          <w:lang w:val="es-ES_tradnl"/>
        </w:rPr>
        <w:t>í</w:t>
      </w:r>
      <w:r>
        <w:rPr>
          <w:sz w:val="18"/>
          <w:szCs w:val="18"/>
          <w:lang w:val="es-ES_tradnl"/>
        </w:rPr>
        <w:t xml:space="preserve">dico </w:t>
      </w:r>
      <w:r>
        <w:rPr>
          <w:spacing w:val="-9"/>
          <w:sz w:val="18"/>
          <w:szCs w:val="18"/>
          <w:lang w:val="es-ES_tradnl"/>
        </w:rPr>
        <w:t>ecuatoriano, podr</w:t>
      </w:r>
      <w:r>
        <w:rPr>
          <w:rFonts w:cs="Times New Roman"/>
          <w:spacing w:val="-9"/>
          <w:sz w:val="18"/>
          <w:szCs w:val="18"/>
          <w:lang w:val="es-ES_tradnl"/>
        </w:rPr>
        <w:t>í</w:t>
      </w:r>
      <w:r>
        <w:rPr>
          <w:spacing w:val="-9"/>
          <w:sz w:val="18"/>
          <w:szCs w:val="18"/>
          <w:lang w:val="es-ES_tradnl"/>
        </w:rPr>
        <w:t>a tener un efecto bumer</w:t>
      </w:r>
      <w:r>
        <w:rPr>
          <w:rFonts w:cs="Times New Roman"/>
          <w:spacing w:val="-9"/>
          <w:sz w:val="18"/>
          <w:szCs w:val="18"/>
          <w:lang w:val="es-ES_tradnl"/>
        </w:rPr>
        <w:t>á</w:t>
      </w:r>
      <w:r>
        <w:rPr>
          <w:spacing w:val="-9"/>
          <w:sz w:val="18"/>
          <w:szCs w:val="18"/>
          <w:lang w:val="es-ES_tradnl"/>
        </w:rPr>
        <w:t xml:space="preserve">n, toda vez, que </w:t>
      </w:r>
      <w:r>
        <w:rPr>
          <w:spacing w:val="-6"/>
          <w:sz w:val="18"/>
          <w:szCs w:val="18"/>
          <w:lang w:val="es-ES_tradnl"/>
        </w:rPr>
        <w:t>si se concede esta medida ser</w:t>
      </w:r>
      <w:r>
        <w:rPr>
          <w:rFonts w:cs="Times New Roman"/>
          <w:spacing w:val="-6"/>
          <w:sz w:val="18"/>
          <w:szCs w:val="18"/>
          <w:lang w:val="es-ES_tradnl"/>
        </w:rPr>
        <w:t>í</w:t>
      </w:r>
      <w:r>
        <w:rPr>
          <w:spacing w:val="-6"/>
          <w:sz w:val="18"/>
          <w:szCs w:val="18"/>
          <w:lang w:val="es-ES_tradnl"/>
        </w:rPr>
        <w:t xml:space="preserve">a obligatoria para la Corte </w:t>
      </w:r>
      <w:r>
        <w:rPr>
          <w:spacing w:val="-2"/>
          <w:sz w:val="18"/>
          <w:szCs w:val="18"/>
          <w:lang w:val="es-ES_tradnl"/>
        </w:rPr>
        <w:t>Constitucional, en aplicaci</w:t>
      </w:r>
      <w:r>
        <w:rPr>
          <w:rFonts w:cs="Times New Roman"/>
          <w:spacing w:val="-2"/>
          <w:sz w:val="18"/>
          <w:szCs w:val="18"/>
          <w:lang w:val="es-ES_tradnl"/>
        </w:rPr>
        <w:t>ó</w:t>
      </w:r>
      <w:r>
        <w:rPr>
          <w:spacing w:val="-2"/>
          <w:sz w:val="18"/>
          <w:szCs w:val="18"/>
          <w:lang w:val="es-ES_tradnl"/>
        </w:rPr>
        <w:t xml:space="preserve">n al principio de igualdad </w:t>
      </w:r>
      <w:r>
        <w:rPr>
          <w:spacing w:val="-6"/>
          <w:sz w:val="18"/>
          <w:szCs w:val="18"/>
          <w:lang w:val="es-ES_tradnl"/>
        </w:rPr>
        <w:t>contemplado en la Constituci</w:t>
      </w:r>
      <w:r>
        <w:rPr>
          <w:rFonts w:cs="Times New Roman"/>
          <w:spacing w:val="-6"/>
          <w:sz w:val="18"/>
          <w:szCs w:val="18"/>
          <w:lang w:val="es-ES_tradnl"/>
        </w:rPr>
        <w:t>ó</w:t>
      </w:r>
      <w:r>
        <w:rPr>
          <w:spacing w:val="-6"/>
          <w:sz w:val="18"/>
          <w:szCs w:val="18"/>
          <w:lang w:val="es-ES_tradnl"/>
        </w:rPr>
        <w:t>n, que cualquier petici</w:t>
      </w:r>
      <w:r>
        <w:rPr>
          <w:rFonts w:cs="Times New Roman"/>
          <w:spacing w:val="-6"/>
          <w:sz w:val="18"/>
          <w:szCs w:val="18"/>
          <w:lang w:val="es-ES_tradnl"/>
        </w:rPr>
        <w:t>ó</w:t>
      </w:r>
      <w:r>
        <w:rPr>
          <w:spacing w:val="-6"/>
          <w:sz w:val="18"/>
          <w:szCs w:val="18"/>
          <w:lang w:val="es-ES_tradnl"/>
        </w:rPr>
        <w:t xml:space="preserve">n de </w:t>
      </w:r>
      <w:r>
        <w:rPr>
          <w:spacing w:val="-4"/>
          <w:sz w:val="18"/>
          <w:szCs w:val="18"/>
          <w:lang w:val="es-ES_tradnl"/>
        </w:rPr>
        <w:t>esta naturaleza tenga la obligaci</w:t>
      </w:r>
      <w:r>
        <w:rPr>
          <w:rFonts w:cs="Times New Roman"/>
          <w:spacing w:val="-4"/>
          <w:sz w:val="18"/>
          <w:szCs w:val="18"/>
          <w:lang w:val="es-ES_tradnl"/>
        </w:rPr>
        <w:t>ó</w:t>
      </w:r>
      <w:r>
        <w:rPr>
          <w:spacing w:val="-4"/>
          <w:sz w:val="18"/>
          <w:szCs w:val="18"/>
          <w:lang w:val="es-ES_tradnl"/>
        </w:rPr>
        <w:t xml:space="preserve">n de acoger, en virtud </w:t>
      </w:r>
      <w:r>
        <w:rPr>
          <w:spacing w:val="-5"/>
          <w:sz w:val="18"/>
          <w:szCs w:val="18"/>
          <w:lang w:val="es-ES_tradnl"/>
        </w:rPr>
        <w:t>de lo cual el sistema jur</w:t>
      </w:r>
      <w:r>
        <w:rPr>
          <w:rFonts w:cs="Times New Roman"/>
          <w:spacing w:val="-5"/>
          <w:sz w:val="18"/>
          <w:szCs w:val="18"/>
          <w:lang w:val="es-ES_tradnl"/>
        </w:rPr>
        <w:t>í</w:t>
      </w:r>
      <w:r>
        <w:rPr>
          <w:spacing w:val="-5"/>
          <w:sz w:val="18"/>
          <w:szCs w:val="18"/>
          <w:lang w:val="es-ES_tradnl"/>
        </w:rPr>
        <w:t>dico ecuatoriano se tornar</w:t>
      </w:r>
      <w:r>
        <w:rPr>
          <w:rFonts w:cs="Times New Roman"/>
          <w:spacing w:val="-5"/>
          <w:sz w:val="18"/>
          <w:szCs w:val="18"/>
          <w:lang w:val="es-ES_tradnl"/>
        </w:rPr>
        <w:t>í</w:t>
      </w:r>
      <w:r>
        <w:rPr>
          <w:spacing w:val="-5"/>
          <w:sz w:val="18"/>
          <w:szCs w:val="18"/>
          <w:lang w:val="es-ES_tradnl"/>
        </w:rPr>
        <w:t xml:space="preserve">a en </w:t>
      </w:r>
      <w:r>
        <w:rPr>
          <w:spacing w:val="-4"/>
          <w:sz w:val="18"/>
          <w:szCs w:val="18"/>
          <w:lang w:val="es-ES_tradnl"/>
        </w:rPr>
        <w:t>ca</w:t>
      </w:r>
      <w:r>
        <w:rPr>
          <w:rFonts w:cs="Times New Roman"/>
          <w:spacing w:val="-4"/>
          <w:sz w:val="18"/>
          <w:szCs w:val="18"/>
          <w:lang w:val="es-ES_tradnl"/>
        </w:rPr>
        <w:t>ó</w:t>
      </w:r>
      <w:r>
        <w:rPr>
          <w:spacing w:val="-4"/>
          <w:sz w:val="18"/>
          <w:szCs w:val="18"/>
          <w:lang w:val="es-ES_tradnl"/>
        </w:rPr>
        <w:t>tico e inestable y no existir</w:t>
      </w:r>
      <w:r>
        <w:rPr>
          <w:rFonts w:cs="Times New Roman"/>
          <w:spacing w:val="-4"/>
          <w:sz w:val="18"/>
          <w:szCs w:val="18"/>
          <w:lang w:val="es-ES_tradnl"/>
        </w:rPr>
        <w:t>í</w:t>
      </w:r>
      <w:r>
        <w:rPr>
          <w:spacing w:val="-4"/>
          <w:sz w:val="18"/>
          <w:szCs w:val="18"/>
          <w:lang w:val="es-ES_tradnl"/>
        </w:rPr>
        <w:t>a seguridad jur</w:t>
      </w:r>
      <w:r>
        <w:rPr>
          <w:rFonts w:cs="Times New Roman"/>
          <w:spacing w:val="-4"/>
          <w:sz w:val="18"/>
          <w:szCs w:val="18"/>
          <w:lang w:val="es-ES_tradnl"/>
        </w:rPr>
        <w:t>í</w:t>
      </w:r>
      <w:r>
        <w:rPr>
          <w:spacing w:val="-4"/>
          <w:sz w:val="18"/>
          <w:szCs w:val="18"/>
          <w:lang w:val="es-ES_tradnl"/>
        </w:rPr>
        <w:t>dica.</w:t>
      </w:r>
    </w:p>
    <w:p w14:paraId="4F67A57C" w14:textId="77777777" w:rsidR="00591D54" w:rsidRDefault="00591D54">
      <w:pPr>
        <w:shd w:val="clear" w:color="auto" w:fill="FFFFFF"/>
        <w:spacing w:before="202" w:line="221" w:lineRule="exact"/>
        <w:jc w:val="both"/>
      </w:pPr>
      <w:r>
        <w:rPr>
          <w:spacing w:val="-5"/>
          <w:sz w:val="18"/>
          <w:szCs w:val="18"/>
          <w:lang w:val="es-ES_tradnl"/>
        </w:rPr>
        <w:t xml:space="preserve">Por otra parte, mediante escrito presentado el 30 de abril </w:t>
      </w:r>
      <w:r>
        <w:rPr>
          <w:spacing w:val="-8"/>
          <w:sz w:val="18"/>
          <w:szCs w:val="18"/>
          <w:lang w:val="es-ES_tradnl"/>
        </w:rPr>
        <w:t xml:space="preserve">de 2015, manifiestan que entre los argumentos expuestos </w:t>
      </w:r>
      <w:r>
        <w:rPr>
          <w:spacing w:val="-6"/>
          <w:sz w:val="18"/>
          <w:szCs w:val="18"/>
          <w:lang w:val="es-ES_tradnl"/>
        </w:rPr>
        <w:t xml:space="preserve">por el demandante, es que se transgrede el principio de </w:t>
      </w:r>
      <w:r>
        <w:rPr>
          <w:spacing w:val="-5"/>
          <w:sz w:val="18"/>
          <w:szCs w:val="18"/>
          <w:lang w:val="es-ES_tradnl"/>
        </w:rPr>
        <w:t xml:space="preserve">equidad, pero el demandante nada dice respecto a los </w:t>
      </w:r>
      <w:r>
        <w:rPr>
          <w:spacing w:val="-9"/>
          <w:sz w:val="18"/>
          <w:szCs w:val="18"/>
          <w:lang w:val="es-ES_tradnl"/>
        </w:rPr>
        <w:t>beneficios que ha venido obteniendo durante muchos a</w:t>
      </w:r>
      <w:r>
        <w:rPr>
          <w:rFonts w:cs="Times New Roman"/>
          <w:spacing w:val="-9"/>
          <w:sz w:val="18"/>
          <w:szCs w:val="18"/>
          <w:lang w:val="es-ES_tradnl"/>
        </w:rPr>
        <w:t>ñ</w:t>
      </w:r>
      <w:r>
        <w:rPr>
          <w:spacing w:val="-9"/>
          <w:sz w:val="18"/>
          <w:szCs w:val="18"/>
          <w:lang w:val="es-ES_tradnl"/>
        </w:rPr>
        <w:t xml:space="preserve">os </w:t>
      </w:r>
      <w:r>
        <w:rPr>
          <w:spacing w:val="-6"/>
          <w:sz w:val="18"/>
          <w:szCs w:val="18"/>
          <w:lang w:val="es-ES_tradnl"/>
        </w:rPr>
        <w:t>por haber ocupado dentro del cant</w:t>
      </w:r>
      <w:r>
        <w:rPr>
          <w:rFonts w:cs="Times New Roman"/>
          <w:spacing w:val="-6"/>
          <w:sz w:val="18"/>
          <w:szCs w:val="18"/>
          <w:lang w:val="es-ES_tradnl"/>
        </w:rPr>
        <w:t>ó</w:t>
      </w:r>
      <w:r>
        <w:rPr>
          <w:spacing w:val="-6"/>
          <w:sz w:val="18"/>
          <w:szCs w:val="18"/>
          <w:lang w:val="es-ES_tradnl"/>
        </w:rPr>
        <w:t xml:space="preserve">n Chone, el espacio </w:t>
      </w:r>
      <w:r>
        <w:rPr>
          <w:sz w:val="18"/>
          <w:szCs w:val="18"/>
          <w:lang w:val="es-ES_tradnl"/>
        </w:rPr>
        <w:t>p</w:t>
      </w:r>
      <w:r>
        <w:rPr>
          <w:rFonts w:cs="Times New Roman"/>
          <w:sz w:val="18"/>
          <w:szCs w:val="18"/>
          <w:lang w:val="es-ES_tradnl"/>
        </w:rPr>
        <w:t>ú</w:t>
      </w:r>
      <w:r>
        <w:rPr>
          <w:sz w:val="18"/>
          <w:szCs w:val="18"/>
          <w:lang w:val="es-ES_tradnl"/>
        </w:rPr>
        <w:t>blico, la v</w:t>
      </w:r>
      <w:r>
        <w:rPr>
          <w:rFonts w:cs="Times New Roman"/>
          <w:sz w:val="18"/>
          <w:szCs w:val="18"/>
          <w:lang w:val="es-ES_tradnl"/>
        </w:rPr>
        <w:t>í</w:t>
      </w:r>
      <w:r>
        <w:rPr>
          <w:sz w:val="18"/>
          <w:szCs w:val="18"/>
          <w:lang w:val="es-ES_tradnl"/>
        </w:rPr>
        <w:t>a p</w:t>
      </w:r>
      <w:r>
        <w:rPr>
          <w:rFonts w:cs="Times New Roman"/>
          <w:sz w:val="18"/>
          <w:szCs w:val="18"/>
          <w:lang w:val="es-ES_tradnl"/>
        </w:rPr>
        <w:t>ú</w:t>
      </w:r>
      <w:r>
        <w:rPr>
          <w:sz w:val="18"/>
          <w:szCs w:val="18"/>
          <w:lang w:val="es-ES_tradnl"/>
        </w:rPr>
        <w:t>blica y el espacio a</w:t>
      </w:r>
      <w:r>
        <w:rPr>
          <w:rFonts w:cs="Times New Roman"/>
          <w:sz w:val="18"/>
          <w:szCs w:val="18"/>
          <w:lang w:val="es-ES_tradnl"/>
        </w:rPr>
        <w:t>é</w:t>
      </w:r>
      <w:r>
        <w:rPr>
          <w:sz w:val="18"/>
          <w:szCs w:val="18"/>
          <w:lang w:val="es-ES_tradnl"/>
        </w:rPr>
        <w:t xml:space="preserve">reo municipal; </w:t>
      </w:r>
      <w:r>
        <w:rPr>
          <w:spacing w:val="-4"/>
          <w:sz w:val="18"/>
          <w:szCs w:val="18"/>
          <w:lang w:val="es-ES_tradnl"/>
        </w:rPr>
        <w:t>toda vez que es de conocimiento p</w:t>
      </w:r>
      <w:r>
        <w:rPr>
          <w:rFonts w:cs="Times New Roman"/>
          <w:spacing w:val="-4"/>
          <w:sz w:val="18"/>
          <w:szCs w:val="18"/>
          <w:lang w:val="es-ES_tradnl"/>
        </w:rPr>
        <w:t>ú</w:t>
      </w:r>
      <w:r>
        <w:rPr>
          <w:spacing w:val="-4"/>
          <w:sz w:val="18"/>
          <w:szCs w:val="18"/>
          <w:lang w:val="es-ES_tradnl"/>
        </w:rPr>
        <w:t xml:space="preserve">blico, los grandes </w:t>
      </w:r>
      <w:r>
        <w:rPr>
          <w:spacing w:val="-10"/>
          <w:sz w:val="18"/>
          <w:szCs w:val="18"/>
          <w:lang w:val="es-ES_tradnl"/>
        </w:rPr>
        <w:t>beneficios econ</w:t>
      </w:r>
      <w:r>
        <w:rPr>
          <w:rFonts w:cs="Times New Roman"/>
          <w:spacing w:val="-10"/>
          <w:sz w:val="18"/>
          <w:szCs w:val="18"/>
          <w:lang w:val="es-ES_tradnl"/>
        </w:rPr>
        <w:t>ó</w:t>
      </w:r>
      <w:r>
        <w:rPr>
          <w:spacing w:val="-10"/>
          <w:sz w:val="18"/>
          <w:szCs w:val="18"/>
          <w:lang w:val="es-ES_tradnl"/>
        </w:rPr>
        <w:t xml:space="preserve">micos que han obtenido las operadoras de </w:t>
      </w:r>
      <w:r>
        <w:rPr>
          <w:spacing w:val="-7"/>
          <w:sz w:val="18"/>
          <w:szCs w:val="18"/>
          <w:lang w:val="es-ES_tradnl"/>
        </w:rPr>
        <w:t xml:space="preserve">telecomunicaciones a nivel nacional, a costa del espacio y </w:t>
      </w:r>
      <w:r>
        <w:rPr>
          <w:sz w:val="18"/>
          <w:szCs w:val="18"/>
          <w:lang w:val="es-ES_tradnl"/>
        </w:rPr>
        <w:t>servicio p</w:t>
      </w:r>
      <w:r>
        <w:rPr>
          <w:rFonts w:cs="Times New Roman"/>
          <w:sz w:val="18"/>
          <w:szCs w:val="18"/>
          <w:lang w:val="es-ES_tradnl"/>
        </w:rPr>
        <w:t>ú</w:t>
      </w:r>
      <w:r>
        <w:rPr>
          <w:sz w:val="18"/>
          <w:szCs w:val="18"/>
          <w:lang w:val="es-ES_tradnl"/>
        </w:rPr>
        <w:t>blico municipal.</w:t>
      </w:r>
    </w:p>
    <w:p w14:paraId="4F67A57D" w14:textId="77777777" w:rsidR="00591D54" w:rsidRDefault="00591D54">
      <w:pPr>
        <w:shd w:val="clear" w:color="auto" w:fill="FFFFFF"/>
        <w:spacing w:before="202" w:line="221" w:lineRule="exact"/>
        <w:ind w:right="5"/>
        <w:jc w:val="both"/>
      </w:pPr>
      <w:r>
        <w:rPr>
          <w:spacing w:val="-5"/>
          <w:sz w:val="18"/>
          <w:szCs w:val="18"/>
          <w:lang w:val="es-ES_tradnl"/>
        </w:rPr>
        <w:t>Se</w:t>
      </w:r>
      <w:r>
        <w:rPr>
          <w:rFonts w:cs="Times New Roman"/>
          <w:spacing w:val="-5"/>
          <w:sz w:val="18"/>
          <w:szCs w:val="18"/>
          <w:lang w:val="es-ES_tradnl"/>
        </w:rPr>
        <w:t>ñ</w:t>
      </w:r>
      <w:r>
        <w:rPr>
          <w:spacing w:val="-5"/>
          <w:sz w:val="18"/>
          <w:szCs w:val="18"/>
          <w:lang w:val="es-ES_tradnl"/>
        </w:rPr>
        <w:t>ala adem</w:t>
      </w:r>
      <w:r>
        <w:rPr>
          <w:rFonts w:cs="Times New Roman"/>
          <w:spacing w:val="-5"/>
          <w:sz w:val="18"/>
          <w:szCs w:val="18"/>
          <w:lang w:val="es-ES_tradnl"/>
        </w:rPr>
        <w:t>á</w:t>
      </w:r>
      <w:r>
        <w:rPr>
          <w:spacing w:val="-5"/>
          <w:sz w:val="18"/>
          <w:szCs w:val="18"/>
          <w:lang w:val="es-ES_tradnl"/>
        </w:rPr>
        <w:t>s que con esta acci</w:t>
      </w:r>
      <w:r>
        <w:rPr>
          <w:rFonts w:cs="Times New Roman"/>
          <w:spacing w:val="-5"/>
          <w:sz w:val="18"/>
          <w:szCs w:val="18"/>
          <w:lang w:val="es-ES_tradnl"/>
        </w:rPr>
        <w:t>ó</w:t>
      </w:r>
      <w:r>
        <w:rPr>
          <w:spacing w:val="-5"/>
          <w:sz w:val="18"/>
          <w:szCs w:val="18"/>
          <w:lang w:val="es-ES_tradnl"/>
        </w:rPr>
        <w:t xml:space="preserve">n se busca evadir el </w:t>
      </w:r>
      <w:r>
        <w:rPr>
          <w:spacing w:val="-4"/>
          <w:sz w:val="18"/>
          <w:szCs w:val="18"/>
          <w:lang w:val="es-ES_tradnl"/>
        </w:rPr>
        <w:t xml:space="preserve">pago a este Gobierno Municipal, de aquellas tasas que </w:t>
      </w:r>
      <w:r>
        <w:rPr>
          <w:sz w:val="18"/>
          <w:szCs w:val="18"/>
          <w:lang w:val="es-ES_tradnl"/>
        </w:rPr>
        <w:t>por la Constituci</w:t>
      </w:r>
      <w:r>
        <w:rPr>
          <w:rFonts w:cs="Times New Roman"/>
          <w:sz w:val="18"/>
          <w:szCs w:val="18"/>
          <w:lang w:val="es-ES_tradnl"/>
        </w:rPr>
        <w:t>ó</w:t>
      </w:r>
      <w:r>
        <w:rPr>
          <w:sz w:val="18"/>
          <w:szCs w:val="18"/>
          <w:lang w:val="es-ES_tradnl"/>
        </w:rPr>
        <w:t xml:space="preserve">n y la ley, faculta a los municipios </w:t>
      </w:r>
      <w:r>
        <w:rPr>
          <w:spacing w:val="-2"/>
          <w:sz w:val="18"/>
          <w:szCs w:val="18"/>
          <w:lang w:val="es-ES_tradnl"/>
        </w:rPr>
        <w:t>crear, m</w:t>
      </w:r>
      <w:r>
        <w:rPr>
          <w:rFonts w:cs="Times New Roman"/>
          <w:spacing w:val="-2"/>
          <w:sz w:val="18"/>
          <w:szCs w:val="18"/>
          <w:lang w:val="es-ES_tradnl"/>
        </w:rPr>
        <w:t>á</w:t>
      </w:r>
      <w:r>
        <w:rPr>
          <w:spacing w:val="-2"/>
          <w:sz w:val="18"/>
          <w:szCs w:val="18"/>
          <w:lang w:val="es-ES_tradnl"/>
        </w:rPr>
        <w:t>s a</w:t>
      </w:r>
      <w:r>
        <w:rPr>
          <w:rFonts w:cs="Times New Roman"/>
          <w:spacing w:val="-2"/>
          <w:sz w:val="18"/>
          <w:szCs w:val="18"/>
          <w:lang w:val="es-ES_tradnl"/>
        </w:rPr>
        <w:t>ú</w:t>
      </w:r>
      <w:r>
        <w:rPr>
          <w:spacing w:val="-2"/>
          <w:sz w:val="18"/>
          <w:szCs w:val="18"/>
          <w:lang w:val="es-ES_tradnl"/>
        </w:rPr>
        <w:t>n, cuando el art</w:t>
      </w:r>
      <w:r>
        <w:rPr>
          <w:rFonts w:cs="Times New Roman"/>
          <w:spacing w:val="-2"/>
          <w:sz w:val="18"/>
          <w:szCs w:val="18"/>
          <w:lang w:val="es-ES_tradnl"/>
        </w:rPr>
        <w:t>í</w:t>
      </w:r>
      <w:r>
        <w:rPr>
          <w:spacing w:val="-2"/>
          <w:sz w:val="18"/>
          <w:szCs w:val="18"/>
          <w:lang w:val="es-ES_tradnl"/>
        </w:rPr>
        <w:t xml:space="preserve">culo 567 del COOTAD, </w:t>
      </w:r>
      <w:r>
        <w:rPr>
          <w:spacing w:val="-7"/>
          <w:sz w:val="18"/>
          <w:szCs w:val="18"/>
          <w:lang w:val="es-ES_tradnl"/>
        </w:rPr>
        <w:t xml:space="preserve">confiere a este Gobierno la facultad de crear la tasa, cuya </w:t>
      </w:r>
      <w:r>
        <w:rPr>
          <w:sz w:val="18"/>
          <w:szCs w:val="18"/>
          <w:lang w:val="es-ES_tradnl"/>
        </w:rPr>
        <w:t>inconstitucionalidad se demanda.</w:t>
      </w:r>
    </w:p>
    <w:p w14:paraId="4F67A57E" w14:textId="77777777" w:rsidR="00591D54" w:rsidRDefault="00591D54">
      <w:pPr>
        <w:shd w:val="clear" w:color="auto" w:fill="FFFFFF"/>
        <w:spacing w:before="202" w:line="226" w:lineRule="exact"/>
        <w:ind w:right="5"/>
        <w:jc w:val="both"/>
      </w:pPr>
      <w:r>
        <w:rPr>
          <w:spacing w:val="-8"/>
          <w:sz w:val="18"/>
          <w:szCs w:val="18"/>
          <w:lang w:val="es-ES_tradnl"/>
        </w:rPr>
        <w:t>Concluye diciendo que los valores contenidos en el art</w:t>
      </w:r>
      <w:r>
        <w:rPr>
          <w:rFonts w:cs="Times New Roman"/>
          <w:spacing w:val="-8"/>
          <w:sz w:val="18"/>
          <w:szCs w:val="18"/>
          <w:lang w:val="es-ES_tradnl"/>
        </w:rPr>
        <w:t>í</w:t>
      </w:r>
      <w:r>
        <w:rPr>
          <w:spacing w:val="-8"/>
          <w:sz w:val="18"/>
          <w:szCs w:val="18"/>
          <w:lang w:val="es-ES_tradnl"/>
        </w:rPr>
        <w:t xml:space="preserve">culo </w:t>
      </w:r>
      <w:r>
        <w:rPr>
          <w:spacing w:val="-6"/>
          <w:sz w:val="18"/>
          <w:szCs w:val="18"/>
          <w:lang w:val="es-ES_tradnl"/>
        </w:rPr>
        <w:t xml:space="preserve">18 de la ordenanza que se impugna, nacen a partir de la </w:t>
      </w:r>
      <w:r>
        <w:rPr>
          <w:spacing w:val="-3"/>
          <w:sz w:val="18"/>
          <w:szCs w:val="18"/>
          <w:lang w:val="es-ES_tradnl"/>
        </w:rPr>
        <w:t>vigencia del art</w:t>
      </w:r>
      <w:r>
        <w:rPr>
          <w:rFonts w:cs="Times New Roman"/>
          <w:spacing w:val="-3"/>
          <w:sz w:val="18"/>
          <w:szCs w:val="18"/>
          <w:lang w:val="es-ES_tradnl"/>
        </w:rPr>
        <w:t>í</w:t>
      </w:r>
      <w:r>
        <w:rPr>
          <w:spacing w:val="-3"/>
          <w:sz w:val="18"/>
          <w:szCs w:val="18"/>
          <w:lang w:val="es-ES_tradnl"/>
        </w:rPr>
        <w:t>culo 567 del COOTAD y actualmente, a</w:t>
      </w:r>
    </w:p>
    <w:p w14:paraId="4F67A57F" w14:textId="77777777" w:rsidR="00591D54" w:rsidRDefault="00591D54">
      <w:pPr>
        <w:shd w:val="clear" w:color="auto" w:fill="FFFFFF"/>
        <w:spacing w:before="202" w:line="226" w:lineRule="exact"/>
        <w:ind w:right="5"/>
        <w:jc w:val="both"/>
        <w:sectPr w:rsidR="00591D54">
          <w:type w:val="continuous"/>
          <w:pgSz w:w="11909" w:h="16834"/>
          <w:pgMar w:top="1373" w:right="1304" w:bottom="360" w:left="1308" w:header="720" w:footer="720" w:gutter="0"/>
          <w:cols w:num="2" w:space="720" w:equalWidth="0">
            <w:col w:w="4305" w:space="682"/>
            <w:col w:w="4310"/>
          </w:cols>
          <w:noEndnote/>
        </w:sectPr>
      </w:pPr>
    </w:p>
    <w:p w14:paraId="4F67A580" w14:textId="77777777" w:rsidR="00591D54" w:rsidRDefault="00591D54">
      <w:pPr>
        <w:shd w:val="clear" w:color="auto" w:fill="FFFFFF"/>
        <w:tabs>
          <w:tab w:val="left" w:pos="5952"/>
        </w:tabs>
        <w:spacing w:after="226"/>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- 29</w:t>
      </w:r>
    </w:p>
    <w:p w14:paraId="4F67A581" w14:textId="77777777" w:rsidR="00591D54" w:rsidRDefault="00591D54">
      <w:pPr>
        <w:shd w:val="clear" w:color="auto" w:fill="FFFFFF"/>
        <w:tabs>
          <w:tab w:val="left" w:pos="5952"/>
        </w:tabs>
        <w:spacing w:after="226"/>
        <w:ind w:left="5"/>
        <w:sectPr w:rsidR="00591D54">
          <w:pgSz w:w="11909" w:h="16834"/>
          <w:pgMar w:top="1371" w:right="1309" w:bottom="360" w:left="1308" w:header="720" w:footer="720" w:gutter="0"/>
          <w:cols w:space="60"/>
          <w:noEndnote/>
        </w:sectPr>
      </w:pPr>
    </w:p>
    <w:p w14:paraId="4F67A582" w14:textId="77777777" w:rsidR="00591D54" w:rsidRDefault="00591D54">
      <w:pPr>
        <w:shd w:val="clear" w:color="auto" w:fill="FFFFFF"/>
        <w:spacing w:before="10" w:line="216" w:lineRule="exact"/>
        <w:jc w:val="both"/>
      </w:pPr>
      <w:r>
        <w:rPr>
          <w:spacing w:val="-7"/>
          <w:sz w:val="18"/>
          <w:szCs w:val="18"/>
          <w:lang w:val="es-ES_tradnl"/>
        </w:rPr>
        <w:t>trav</w:t>
      </w:r>
      <w:r>
        <w:rPr>
          <w:rFonts w:cs="Times New Roman"/>
          <w:spacing w:val="-7"/>
          <w:sz w:val="18"/>
          <w:szCs w:val="18"/>
          <w:lang w:val="es-ES_tradnl"/>
        </w:rPr>
        <w:t>é</w:t>
      </w:r>
      <w:r>
        <w:rPr>
          <w:spacing w:val="-7"/>
          <w:sz w:val="18"/>
          <w:szCs w:val="18"/>
          <w:lang w:val="es-ES_tradnl"/>
        </w:rPr>
        <w:t>s de la nueva Ley Org</w:t>
      </w:r>
      <w:r>
        <w:rPr>
          <w:rFonts w:cs="Times New Roman"/>
          <w:spacing w:val="-7"/>
          <w:sz w:val="18"/>
          <w:szCs w:val="18"/>
          <w:lang w:val="es-ES_tradnl"/>
        </w:rPr>
        <w:t>á</w:t>
      </w:r>
      <w:r>
        <w:rPr>
          <w:spacing w:val="-7"/>
          <w:sz w:val="18"/>
          <w:szCs w:val="18"/>
          <w:lang w:val="es-ES_tradnl"/>
        </w:rPr>
        <w:t xml:space="preserve">nica de Telecomunicaciones, </w:t>
      </w:r>
      <w:r>
        <w:rPr>
          <w:spacing w:val="-6"/>
          <w:sz w:val="18"/>
          <w:szCs w:val="18"/>
          <w:lang w:val="es-ES_tradnl"/>
        </w:rPr>
        <w:t>publicada en el tercer suplemento del Registro Oficial N.</w:t>
      </w:r>
      <w:r>
        <w:rPr>
          <w:rFonts w:cs="Times New Roman"/>
          <w:spacing w:val="-6"/>
          <w:sz w:val="18"/>
          <w:szCs w:val="18"/>
          <w:lang w:val="es-ES_tradnl"/>
        </w:rPr>
        <w:t xml:space="preserve">º </w:t>
      </w:r>
      <w:r>
        <w:rPr>
          <w:sz w:val="18"/>
          <w:szCs w:val="18"/>
          <w:lang w:val="es-ES_tradnl"/>
        </w:rPr>
        <w:t>439, el 18 de febrero de 2015.</w:t>
      </w:r>
    </w:p>
    <w:p w14:paraId="4F67A583" w14:textId="77777777" w:rsidR="00591D54" w:rsidRDefault="00591D54">
      <w:pPr>
        <w:shd w:val="clear" w:color="auto" w:fill="FFFFFF"/>
        <w:spacing w:before="192" w:line="221" w:lineRule="exact"/>
        <w:jc w:val="both"/>
      </w:pPr>
      <w:r>
        <w:rPr>
          <w:b/>
          <w:bCs/>
          <w:spacing w:val="-5"/>
          <w:sz w:val="18"/>
          <w:szCs w:val="18"/>
          <w:lang w:val="es-ES_tradnl"/>
        </w:rPr>
        <w:t>De los argumentos de la Procuradur</w:t>
      </w:r>
      <w:r>
        <w:rPr>
          <w:rFonts w:cs="Times New Roman"/>
          <w:b/>
          <w:bCs/>
          <w:spacing w:val="-5"/>
          <w:sz w:val="18"/>
          <w:szCs w:val="18"/>
          <w:lang w:val="es-ES_tradnl"/>
        </w:rPr>
        <w:t>í</w:t>
      </w:r>
      <w:r>
        <w:rPr>
          <w:b/>
          <w:bCs/>
          <w:spacing w:val="-5"/>
          <w:sz w:val="18"/>
          <w:szCs w:val="18"/>
          <w:lang w:val="es-ES_tradnl"/>
        </w:rPr>
        <w:t xml:space="preserve">a General del </w:t>
      </w:r>
      <w:r>
        <w:rPr>
          <w:b/>
          <w:bCs/>
          <w:sz w:val="18"/>
          <w:szCs w:val="18"/>
          <w:lang w:val="es-ES_tradnl"/>
        </w:rPr>
        <w:t>Estado</w:t>
      </w:r>
    </w:p>
    <w:p w14:paraId="4F67A584" w14:textId="77777777" w:rsidR="00591D54" w:rsidRDefault="00591D54">
      <w:pPr>
        <w:shd w:val="clear" w:color="auto" w:fill="FFFFFF"/>
        <w:spacing w:before="202" w:line="221" w:lineRule="exact"/>
        <w:jc w:val="both"/>
      </w:pPr>
      <w:r>
        <w:rPr>
          <w:spacing w:val="-5"/>
          <w:sz w:val="18"/>
          <w:szCs w:val="18"/>
          <w:lang w:val="es-ES_tradnl"/>
        </w:rPr>
        <w:t xml:space="preserve">El abogado Marcos Arteaga Valenzuela en calidad de </w:t>
      </w:r>
      <w:r>
        <w:rPr>
          <w:spacing w:val="-6"/>
          <w:sz w:val="18"/>
          <w:szCs w:val="18"/>
          <w:lang w:val="es-ES_tradnl"/>
        </w:rPr>
        <w:t>director nacional de patrocinio de la Procuradur</w:t>
      </w:r>
      <w:r>
        <w:rPr>
          <w:rFonts w:cs="Times New Roman"/>
          <w:spacing w:val="-6"/>
          <w:sz w:val="18"/>
          <w:szCs w:val="18"/>
          <w:lang w:val="es-ES_tradnl"/>
        </w:rPr>
        <w:t>í</w:t>
      </w:r>
      <w:r>
        <w:rPr>
          <w:spacing w:val="-6"/>
          <w:sz w:val="18"/>
          <w:szCs w:val="18"/>
          <w:lang w:val="es-ES_tradnl"/>
        </w:rPr>
        <w:t xml:space="preserve">a General </w:t>
      </w:r>
      <w:r>
        <w:rPr>
          <w:spacing w:val="-7"/>
          <w:sz w:val="18"/>
          <w:szCs w:val="18"/>
          <w:lang w:val="es-ES_tradnl"/>
        </w:rPr>
        <w:t xml:space="preserve">del Estado, mediante escrito presentado el 05 de mayo de </w:t>
      </w:r>
      <w:r>
        <w:rPr>
          <w:sz w:val="18"/>
          <w:szCs w:val="18"/>
          <w:lang w:val="es-ES_tradnl"/>
        </w:rPr>
        <w:t>2015, manifiesta:</w:t>
      </w:r>
    </w:p>
    <w:p w14:paraId="4F67A585" w14:textId="77777777" w:rsidR="00591D54" w:rsidRDefault="00591D54">
      <w:pPr>
        <w:shd w:val="clear" w:color="auto" w:fill="FFFFFF"/>
        <w:spacing w:before="202" w:line="216" w:lineRule="exact"/>
        <w:jc w:val="both"/>
      </w:pPr>
      <w:r>
        <w:rPr>
          <w:sz w:val="18"/>
          <w:szCs w:val="18"/>
          <w:lang w:val="es-ES_tradnl"/>
        </w:rPr>
        <w:t>Que 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 xml:space="preserve">blica del Ecuador en </w:t>
      </w:r>
      <w:r>
        <w:rPr>
          <w:spacing w:val="-1"/>
          <w:sz w:val="18"/>
          <w:szCs w:val="18"/>
          <w:lang w:val="es-ES_tradnl"/>
        </w:rPr>
        <w:t>su art</w:t>
      </w:r>
      <w:r>
        <w:rPr>
          <w:rFonts w:cs="Times New Roman"/>
          <w:spacing w:val="-1"/>
          <w:sz w:val="18"/>
          <w:szCs w:val="18"/>
          <w:lang w:val="es-ES_tradnl"/>
        </w:rPr>
        <w:t>í</w:t>
      </w:r>
      <w:r>
        <w:rPr>
          <w:spacing w:val="-1"/>
          <w:sz w:val="18"/>
          <w:szCs w:val="18"/>
          <w:lang w:val="es-ES_tradnl"/>
        </w:rPr>
        <w:t xml:space="preserve">culo 261 numeral 10 determina que el Estado </w:t>
      </w:r>
      <w:r>
        <w:rPr>
          <w:spacing w:val="-3"/>
          <w:sz w:val="18"/>
          <w:szCs w:val="18"/>
          <w:lang w:val="es-ES_tradnl"/>
        </w:rPr>
        <w:t>central tendr</w:t>
      </w:r>
      <w:r>
        <w:rPr>
          <w:rFonts w:cs="Times New Roman"/>
          <w:spacing w:val="-3"/>
          <w:sz w:val="18"/>
          <w:szCs w:val="18"/>
          <w:lang w:val="es-ES_tradnl"/>
        </w:rPr>
        <w:t>á</w:t>
      </w:r>
      <w:r>
        <w:rPr>
          <w:spacing w:val="-3"/>
          <w:sz w:val="18"/>
          <w:szCs w:val="18"/>
          <w:lang w:val="es-ES_tradnl"/>
        </w:rPr>
        <w:t xml:space="preserve"> exclusiva competencia entre otras, sobre </w:t>
      </w:r>
      <w:r>
        <w:rPr>
          <w:sz w:val="18"/>
          <w:szCs w:val="18"/>
          <w:lang w:val="es-ES_tradnl"/>
        </w:rPr>
        <w:t>el espectro radioel</w:t>
      </w:r>
      <w:r>
        <w:rPr>
          <w:rFonts w:cs="Times New Roman"/>
          <w:sz w:val="18"/>
          <w:szCs w:val="18"/>
          <w:lang w:val="es-ES_tradnl"/>
        </w:rPr>
        <w:t>é</w:t>
      </w:r>
      <w:r>
        <w:rPr>
          <w:sz w:val="18"/>
          <w:szCs w:val="18"/>
          <w:lang w:val="es-ES_tradnl"/>
        </w:rPr>
        <w:t>ctrico y el r</w:t>
      </w:r>
      <w:r>
        <w:rPr>
          <w:rFonts w:cs="Times New Roman"/>
          <w:sz w:val="18"/>
          <w:szCs w:val="18"/>
          <w:lang w:val="es-ES_tradnl"/>
        </w:rPr>
        <w:t>é</w:t>
      </w:r>
      <w:r>
        <w:rPr>
          <w:sz w:val="18"/>
          <w:szCs w:val="18"/>
          <w:lang w:val="es-ES_tradnl"/>
        </w:rPr>
        <w:t xml:space="preserve">gimen general de </w:t>
      </w:r>
      <w:r>
        <w:rPr>
          <w:spacing w:val="-6"/>
          <w:sz w:val="18"/>
          <w:szCs w:val="18"/>
          <w:lang w:val="es-ES_tradnl"/>
        </w:rPr>
        <w:t xml:space="preserve">las comunicaciones y telecomunicaciones, puertos y </w:t>
      </w:r>
      <w:r>
        <w:rPr>
          <w:spacing w:val="-9"/>
          <w:sz w:val="18"/>
          <w:szCs w:val="18"/>
          <w:lang w:val="es-ES_tradnl"/>
        </w:rPr>
        <w:t>aeropuertos. Dice que consistentemente, el servicio p</w:t>
      </w:r>
      <w:r>
        <w:rPr>
          <w:rFonts w:cs="Times New Roman"/>
          <w:spacing w:val="-9"/>
          <w:sz w:val="18"/>
          <w:szCs w:val="18"/>
          <w:lang w:val="es-ES_tradnl"/>
        </w:rPr>
        <w:t>ú</w:t>
      </w:r>
      <w:r>
        <w:rPr>
          <w:spacing w:val="-9"/>
          <w:sz w:val="18"/>
          <w:szCs w:val="18"/>
          <w:lang w:val="es-ES_tradnl"/>
        </w:rPr>
        <w:t xml:space="preserve">blico </w:t>
      </w:r>
      <w:r>
        <w:rPr>
          <w:spacing w:val="-6"/>
          <w:sz w:val="18"/>
          <w:szCs w:val="18"/>
          <w:lang w:val="es-ES_tradnl"/>
        </w:rPr>
        <w:t>de uso y aprovechamiento del espectro radioel</w:t>
      </w:r>
      <w:r>
        <w:rPr>
          <w:rFonts w:cs="Times New Roman"/>
          <w:spacing w:val="-6"/>
          <w:sz w:val="18"/>
          <w:szCs w:val="18"/>
          <w:lang w:val="es-ES_tradnl"/>
        </w:rPr>
        <w:t>é</w:t>
      </w:r>
      <w:r>
        <w:rPr>
          <w:spacing w:val="-6"/>
          <w:sz w:val="18"/>
          <w:szCs w:val="18"/>
          <w:lang w:val="es-ES_tradnl"/>
        </w:rPr>
        <w:t xml:space="preserve">ctrico, </w:t>
      </w:r>
      <w:r>
        <w:rPr>
          <w:spacing w:val="-7"/>
          <w:sz w:val="18"/>
          <w:szCs w:val="18"/>
          <w:lang w:val="es-ES_tradnl"/>
        </w:rPr>
        <w:t>telecomunicaciones est</w:t>
      </w:r>
      <w:r>
        <w:rPr>
          <w:rFonts w:cs="Times New Roman"/>
          <w:spacing w:val="-7"/>
          <w:sz w:val="18"/>
          <w:szCs w:val="18"/>
          <w:lang w:val="es-ES_tradnl"/>
        </w:rPr>
        <w:t>á</w:t>
      </w:r>
      <w:r>
        <w:rPr>
          <w:spacing w:val="-7"/>
          <w:sz w:val="18"/>
          <w:szCs w:val="18"/>
          <w:lang w:val="es-ES_tradnl"/>
        </w:rPr>
        <w:t xml:space="preserve">n dentro del grupo denominado </w:t>
      </w:r>
      <w:r>
        <w:rPr>
          <w:spacing w:val="-4"/>
          <w:sz w:val="18"/>
          <w:szCs w:val="18"/>
          <w:lang w:val="es-ES_tradnl"/>
        </w:rPr>
        <w:t>sectores estrat</w:t>
      </w:r>
      <w:r>
        <w:rPr>
          <w:rFonts w:cs="Times New Roman"/>
          <w:spacing w:val="-4"/>
          <w:sz w:val="18"/>
          <w:szCs w:val="18"/>
          <w:lang w:val="es-ES_tradnl"/>
        </w:rPr>
        <w:t>é</w:t>
      </w:r>
      <w:r>
        <w:rPr>
          <w:spacing w:val="-4"/>
          <w:sz w:val="18"/>
          <w:szCs w:val="18"/>
          <w:lang w:val="es-ES_tradnl"/>
        </w:rPr>
        <w:t xml:space="preserve">gicos, por lo que el Estado central de </w:t>
      </w:r>
      <w:r>
        <w:rPr>
          <w:spacing w:val="-6"/>
          <w:sz w:val="18"/>
          <w:szCs w:val="18"/>
          <w:lang w:val="es-ES_tradnl"/>
        </w:rPr>
        <w:t>acuerdo al art</w:t>
      </w:r>
      <w:r>
        <w:rPr>
          <w:rFonts w:cs="Times New Roman"/>
          <w:spacing w:val="-6"/>
          <w:sz w:val="18"/>
          <w:szCs w:val="18"/>
          <w:lang w:val="es-ES_tradnl"/>
        </w:rPr>
        <w:t>í</w:t>
      </w:r>
      <w:r>
        <w:rPr>
          <w:spacing w:val="-6"/>
          <w:sz w:val="18"/>
          <w:szCs w:val="18"/>
          <w:lang w:val="es-ES_tradnl"/>
        </w:rPr>
        <w:t xml:space="preserve">culo 313 </w:t>
      </w:r>
      <w:r>
        <w:rPr>
          <w:i/>
          <w:iCs/>
          <w:spacing w:val="-6"/>
          <w:sz w:val="18"/>
          <w:szCs w:val="18"/>
          <w:lang w:val="es-ES_tradnl"/>
        </w:rPr>
        <w:t>ib</w:t>
      </w:r>
      <w:r>
        <w:rPr>
          <w:rFonts w:cs="Times New Roman"/>
          <w:i/>
          <w:iCs/>
          <w:spacing w:val="-6"/>
          <w:sz w:val="18"/>
          <w:szCs w:val="18"/>
          <w:lang w:val="es-ES_tradnl"/>
        </w:rPr>
        <w:t>í</w:t>
      </w:r>
      <w:r>
        <w:rPr>
          <w:i/>
          <w:iCs/>
          <w:spacing w:val="-6"/>
          <w:sz w:val="18"/>
          <w:szCs w:val="18"/>
          <w:lang w:val="es-ES_tradnl"/>
        </w:rPr>
        <w:t>dem</w:t>
      </w:r>
      <w:r>
        <w:rPr>
          <w:spacing w:val="-6"/>
          <w:sz w:val="18"/>
          <w:szCs w:val="18"/>
          <w:lang w:val="es-ES_tradnl"/>
        </w:rPr>
        <w:t xml:space="preserve">, se reserva el derecho de </w:t>
      </w:r>
      <w:r>
        <w:rPr>
          <w:spacing w:val="-8"/>
          <w:sz w:val="18"/>
          <w:szCs w:val="18"/>
          <w:lang w:val="es-ES_tradnl"/>
        </w:rPr>
        <w:t>administrar, regular y gestionar los sectores estrat</w:t>
      </w:r>
      <w:r>
        <w:rPr>
          <w:rFonts w:cs="Times New Roman"/>
          <w:spacing w:val="-8"/>
          <w:sz w:val="18"/>
          <w:szCs w:val="18"/>
          <w:lang w:val="es-ES_tradnl"/>
        </w:rPr>
        <w:t>é</w:t>
      </w:r>
      <w:r>
        <w:rPr>
          <w:spacing w:val="-8"/>
          <w:sz w:val="18"/>
          <w:szCs w:val="18"/>
          <w:lang w:val="es-ES_tradnl"/>
        </w:rPr>
        <w:t>gicos, lo que tambi</w:t>
      </w:r>
      <w:r>
        <w:rPr>
          <w:rFonts w:cs="Times New Roman"/>
          <w:spacing w:val="-8"/>
          <w:sz w:val="18"/>
          <w:szCs w:val="18"/>
          <w:lang w:val="es-ES_tradnl"/>
        </w:rPr>
        <w:t>é</w:t>
      </w:r>
      <w:r>
        <w:rPr>
          <w:spacing w:val="-8"/>
          <w:sz w:val="18"/>
          <w:szCs w:val="18"/>
          <w:lang w:val="es-ES_tradnl"/>
        </w:rPr>
        <w:t>n implica, de acuerdo al art</w:t>
      </w:r>
      <w:r>
        <w:rPr>
          <w:rFonts w:cs="Times New Roman"/>
          <w:spacing w:val="-8"/>
          <w:sz w:val="18"/>
          <w:szCs w:val="18"/>
          <w:lang w:val="es-ES_tradnl"/>
        </w:rPr>
        <w:t>í</w:t>
      </w:r>
      <w:r>
        <w:rPr>
          <w:spacing w:val="-8"/>
          <w:sz w:val="18"/>
          <w:szCs w:val="18"/>
          <w:lang w:val="es-ES_tradnl"/>
        </w:rPr>
        <w:t xml:space="preserve">culo 314 de la Carta </w:t>
      </w:r>
      <w:r>
        <w:rPr>
          <w:spacing w:val="-6"/>
          <w:sz w:val="18"/>
          <w:szCs w:val="18"/>
          <w:lang w:val="es-ES_tradnl"/>
        </w:rPr>
        <w:t xml:space="preserve">Suprema, disponer y fijar precios, tarifas, tasas por los </w:t>
      </w:r>
      <w:r>
        <w:rPr>
          <w:spacing w:val="-10"/>
          <w:sz w:val="18"/>
          <w:szCs w:val="18"/>
          <w:lang w:val="es-ES_tradnl"/>
        </w:rPr>
        <w:t>servicios p</w:t>
      </w:r>
      <w:r>
        <w:rPr>
          <w:rFonts w:cs="Times New Roman"/>
          <w:spacing w:val="-10"/>
          <w:sz w:val="18"/>
          <w:szCs w:val="18"/>
          <w:lang w:val="es-ES_tradnl"/>
        </w:rPr>
        <w:t>ú</w:t>
      </w:r>
      <w:r>
        <w:rPr>
          <w:spacing w:val="-10"/>
          <w:sz w:val="18"/>
          <w:szCs w:val="18"/>
          <w:lang w:val="es-ES_tradnl"/>
        </w:rPr>
        <w:t xml:space="preserve">blicos en este caso el del uso y aprovechamiento </w:t>
      </w:r>
      <w:r>
        <w:rPr>
          <w:spacing w:val="-6"/>
          <w:sz w:val="18"/>
          <w:szCs w:val="18"/>
          <w:lang w:val="es-ES_tradnl"/>
        </w:rPr>
        <w:t>del espectro radioel</w:t>
      </w:r>
      <w:r>
        <w:rPr>
          <w:rFonts w:cs="Times New Roman"/>
          <w:spacing w:val="-6"/>
          <w:sz w:val="18"/>
          <w:szCs w:val="18"/>
          <w:lang w:val="es-ES_tradnl"/>
        </w:rPr>
        <w:t>é</w:t>
      </w:r>
      <w:r>
        <w:rPr>
          <w:spacing w:val="-6"/>
          <w:sz w:val="18"/>
          <w:szCs w:val="18"/>
          <w:lang w:val="es-ES_tradnl"/>
        </w:rPr>
        <w:t>ctrico y telecomunicaciones.</w:t>
      </w:r>
    </w:p>
    <w:p w14:paraId="4F67A586" w14:textId="77777777" w:rsidR="00591D54" w:rsidRDefault="00591D54">
      <w:pPr>
        <w:shd w:val="clear" w:color="auto" w:fill="FFFFFF"/>
        <w:spacing w:before="197" w:line="216" w:lineRule="exact"/>
        <w:jc w:val="both"/>
      </w:pPr>
      <w:r>
        <w:rPr>
          <w:spacing w:val="-7"/>
          <w:sz w:val="18"/>
          <w:szCs w:val="18"/>
          <w:lang w:val="es-ES_tradnl"/>
        </w:rPr>
        <w:t xml:space="preserve">Considera que por norma constitucional, el </w:t>
      </w:r>
      <w:r>
        <w:rPr>
          <w:rFonts w:cs="Times New Roman"/>
          <w:spacing w:val="-7"/>
          <w:sz w:val="18"/>
          <w:szCs w:val="18"/>
          <w:lang w:val="es-ES_tradnl"/>
        </w:rPr>
        <w:t>ú</w:t>
      </w:r>
      <w:r>
        <w:rPr>
          <w:spacing w:val="-7"/>
          <w:sz w:val="18"/>
          <w:szCs w:val="18"/>
          <w:lang w:val="es-ES_tradnl"/>
        </w:rPr>
        <w:t xml:space="preserve">nico facultado </w:t>
      </w:r>
      <w:r>
        <w:rPr>
          <w:sz w:val="18"/>
          <w:szCs w:val="18"/>
          <w:lang w:val="es-ES_tradnl"/>
        </w:rPr>
        <w:t xml:space="preserve">para administrar, disponer los precios, tarifas, tasas </w:t>
      </w:r>
      <w:r>
        <w:rPr>
          <w:spacing w:val="-5"/>
          <w:sz w:val="18"/>
          <w:szCs w:val="18"/>
          <w:lang w:val="es-ES_tradnl"/>
        </w:rPr>
        <w:t>de los servicios p</w:t>
      </w:r>
      <w:r>
        <w:rPr>
          <w:rFonts w:cs="Times New Roman"/>
          <w:spacing w:val="-5"/>
          <w:sz w:val="18"/>
          <w:szCs w:val="18"/>
          <w:lang w:val="es-ES_tradnl"/>
        </w:rPr>
        <w:t>ú</w:t>
      </w:r>
      <w:r>
        <w:rPr>
          <w:spacing w:val="-5"/>
          <w:sz w:val="18"/>
          <w:szCs w:val="18"/>
          <w:lang w:val="es-ES_tradnl"/>
        </w:rPr>
        <w:t xml:space="preserve">blicos de Telecomunicaciones es el </w:t>
      </w:r>
      <w:r>
        <w:rPr>
          <w:spacing w:val="-6"/>
          <w:sz w:val="18"/>
          <w:szCs w:val="18"/>
          <w:lang w:val="es-ES_tradnl"/>
        </w:rPr>
        <w:t>Estado central, quien a su vez siempre ejercer</w:t>
      </w:r>
      <w:r>
        <w:rPr>
          <w:rFonts w:cs="Times New Roman"/>
          <w:spacing w:val="-6"/>
          <w:sz w:val="18"/>
          <w:szCs w:val="18"/>
          <w:lang w:val="es-ES_tradnl"/>
        </w:rPr>
        <w:t>á</w:t>
      </w:r>
      <w:r>
        <w:rPr>
          <w:spacing w:val="-6"/>
          <w:sz w:val="18"/>
          <w:szCs w:val="18"/>
          <w:lang w:val="es-ES_tradnl"/>
        </w:rPr>
        <w:t xml:space="preserve"> control y </w:t>
      </w:r>
      <w:r>
        <w:rPr>
          <w:spacing w:val="-8"/>
          <w:sz w:val="18"/>
          <w:szCs w:val="18"/>
          <w:lang w:val="es-ES_tradnl"/>
        </w:rPr>
        <w:t>regulaci</w:t>
      </w:r>
      <w:r>
        <w:rPr>
          <w:rFonts w:cs="Times New Roman"/>
          <w:spacing w:val="-8"/>
          <w:sz w:val="18"/>
          <w:szCs w:val="18"/>
          <w:lang w:val="es-ES_tradnl"/>
        </w:rPr>
        <w:t>ó</w:t>
      </w:r>
      <w:r>
        <w:rPr>
          <w:spacing w:val="-8"/>
          <w:sz w:val="18"/>
          <w:szCs w:val="18"/>
          <w:lang w:val="es-ES_tradnl"/>
        </w:rPr>
        <w:t xml:space="preserve">n encaminados a garantizar el acceso al espectro </w:t>
      </w:r>
      <w:r>
        <w:rPr>
          <w:spacing w:val="-5"/>
          <w:sz w:val="18"/>
          <w:szCs w:val="18"/>
          <w:lang w:val="es-ES_tradnl"/>
        </w:rPr>
        <w:t>radioel</w:t>
      </w:r>
      <w:r>
        <w:rPr>
          <w:rFonts w:cs="Times New Roman"/>
          <w:spacing w:val="-5"/>
          <w:sz w:val="18"/>
          <w:szCs w:val="18"/>
          <w:lang w:val="es-ES_tradnl"/>
        </w:rPr>
        <w:t>é</w:t>
      </w:r>
      <w:r>
        <w:rPr>
          <w:spacing w:val="-5"/>
          <w:sz w:val="18"/>
          <w:szCs w:val="18"/>
          <w:lang w:val="es-ES_tradnl"/>
        </w:rPr>
        <w:t xml:space="preserve">ctrico en igualdad de oportunidades, porque no </w:t>
      </w:r>
      <w:r>
        <w:rPr>
          <w:spacing w:val="-7"/>
          <w:sz w:val="18"/>
          <w:szCs w:val="18"/>
          <w:lang w:val="es-ES_tradnl"/>
        </w:rPr>
        <w:t>debe olvidarse que los servicios p</w:t>
      </w:r>
      <w:r>
        <w:rPr>
          <w:rFonts w:cs="Times New Roman"/>
          <w:spacing w:val="-7"/>
          <w:sz w:val="18"/>
          <w:szCs w:val="18"/>
          <w:lang w:val="es-ES_tradnl"/>
        </w:rPr>
        <w:t>ú</w:t>
      </w:r>
      <w:r>
        <w:rPr>
          <w:spacing w:val="-7"/>
          <w:sz w:val="18"/>
          <w:szCs w:val="18"/>
          <w:lang w:val="es-ES_tradnl"/>
        </w:rPr>
        <w:t xml:space="preserve">blicos son inherentes a </w:t>
      </w:r>
      <w:r>
        <w:rPr>
          <w:spacing w:val="-5"/>
          <w:sz w:val="18"/>
          <w:szCs w:val="18"/>
          <w:lang w:val="es-ES_tradnl"/>
        </w:rPr>
        <w:t xml:space="preserve">la finalidad social del Estado Central y que en ello radica </w:t>
      </w:r>
      <w:r>
        <w:rPr>
          <w:spacing w:val="-9"/>
          <w:sz w:val="18"/>
          <w:szCs w:val="18"/>
          <w:lang w:val="es-ES_tradnl"/>
        </w:rPr>
        <w:t>la prestaci</w:t>
      </w:r>
      <w:r>
        <w:rPr>
          <w:rFonts w:cs="Times New Roman"/>
          <w:spacing w:val="-9"/>
          <w:sz w:val="18"/>
          <w:szCs w:val="18"/>
          <w:lang w:val="es-ES_tradnl"/>
        </w:rPr>
        <w:t>ó</w:t>
      </w:r>
      <w:r>
        <w:rPr>
          <w:spacing w:val="-9"/>
          <w:sz w:val="18"/>
          <w:szCs w:val="18"/>
          <w:lang w:val="es-ES_tradnl"/>
        </w:rPr>
        <w:t xml:space="preserve">n eficiente de los mismos a todos los habitantes </w:t>
      </w:r>
      <w:r>
        <w:rPr>
          <w:sz w:val="18"/>
          <w:szCs w:val="18"/>
          <w:lang w:val="es-ES_tradnl"/>
        </w:rPr>
        <w:t>del territorio nacional.</w:t>
      </w:r>
    </w:p>
    <w:p w14:paraId="4F67A587" w14:textId="77777777" w:rsidR="00591D54" w:rsidRDefault="00591D54">
      <w:pPr>
        <w:shd w:val="clear" w:color="auto" w:fill="FFFFFF"/>
        <w:spacing w:before="197" w:line="216" w:lineRule="exact"/>
        <w:jc w:val="both"/>
      </w:pPr>
      <w:r>
        <w:rPr>
          <w:spacing w:val="-8"/>
          <w:sz w:val="18"/>
          <w:szCs w:val="18"/>
          <w:lang w:val="es-ES_tradnl"/>
        </w:rPr>
        <w:t>Tambi</w:t>
      </w:r>
      <w:r>
        <w:rPr>
          <w:rFonts w:cs="Times New Roman"/>
          <w:spacing w:val="-8"/>
          <w:sz w:val="18"/>
          <w:szCs w:val="18"/>
          <w:lang w:val="es-ES_tradnl"/>
        </w:rPr>
        <w:t>é</w:t>
      </w:r>
      <w:r>
        <w:rPr>
          <w:spacing w:val="-8"/>
          <w:sz w:val="18"/>
          <w:szCs w:val="18"/>
          <w:lang w:val="es-ES_tradnl"/>
        </w:rPr>
        <w:t xml:space="preserve">n asume que de acuerdo al mandato constitucional </w:t>
      </w:r>
      <w:r>
        <w:rPr>
          <w:spacing w:val="-7"/>
          <w:sz w:val="18"/>
          <w:szCs w:val="18"/>
          <w:lang w:val="es-ES_tradnl"/>
        </w:rPr>
        <w:t>estatuido en el art</w:t>
      </w:r>
      <w:r>
        <w:rPr>
          <w:rFonts w:cs="Times New Roman"/>
          <w:spacing w:val="-7"/>
          <w:sz w:val="18"/>
          <w:szCs w:val="18"/>
          <w:lang w:val="es-ES_tradnl"/>
        </w:rPr>
        <w:t>í</w:t>
      </w:r>
      <w:r>
        <w:rPr>
          <w:spacing w:val="-7"/>
          <w:sz w:val="18"/>
          <w:szCs w:val="18"/>
          <w:lang w:val="es-ES_tradnl"/>
        </w:rPr>
        <w:t xml:space="preserve">culo 264 numeral 2, es competencia de </w:t>
      </w:r>
      <w:r>
        <w:rPr>
          <w:spacing w:val="-5"/>
          <w:sz w:val="18"/>
          <w:szCs w:val="18"/>
          <w:lang w:val="es-ES_tradnl"/>
        </w:rPr>
        <w:t xml:space="preserve">los gobiernos municipales, entre otras, la competencia </w:t>
      </w:r>
      <w:r>
        <w:rPr>
          <w:spacing w:val="-8"/>
          <w:sz w:val="18"/>
          <w:szCs w:val="18"/>
          <w:lang w:val="es-ES_tradnl"/>
        </w:rPr>
        <w:t>exclusiva de ejercer el control sobre el uso y ocupaci</w:t>
      </w:r>
      <w:r>
        <w:rPr>
          <w:rFonts w:cs="Times New Roman"/>
          <w:spacing w:val="-8"/>
          <w:sz w:val="18"/>
          <w:szCs w:val="18"/>
          <w:lang w:val="es-ES_tradnl"/>
        </w:rPr>
        <w:t>ó</w:t>
      </w:r>
      <w:r>
        <w:rPr>
          <w:spacing w:val="-8"/>
          <w:sz w:val="18"/>
          <w:szCs w:val="18"/>
          <w:lang w:val="es-ES_tradnl"/>
        </w:rPr>
        <w:t xml:space="preserve">n del </w:t>
      </w:r>
      <w:r>
        <w:rPr>
          <w:spacing w:val="-4"/>
          <w:sz w:val="18"/>
          <w:szCs w:val="18"/>
          <w:lang w:val="es-ES_tradnl"/>
        </w:rPr>
        <w:t>suelo y que para aquello podr</w:t>
      </w:r>
      <w:r>
        <w:rPr>
          <w:rFonts w:cs="Times New Roman"/>
          <w:spacing w:val="-4"/>
          <w:sz w:val="18"/>
          <w:szCs w:val="18"/>
          <w:lang w:val="es-ES_tradnl"/>
        </w:rPr>
        <w:t>á</w:t>
      </w:r>
      <w:r>
        <w:rPr>
          <w:spacing w:val="-4"/>
          <w:sz w:val="18"/>
          <w:szCs w:val="18"/>
          <w:lang w:val="es-ES_tradnl"/>
        </w:rPr>
        <w:t xml:space="preserve"> tambi</w:t>
      </w:r>
      <w:r>
        <w:rPr>
          <w:rFonts w:cs="Times New Roman"/>
          <w:spacing w:val="-4"/>
          <w:sz w:val="18"/>
          <w:szCs w:val="18"/>
          <w:lang w:val="es-ES_tradnl"/>
        </w:rPr>
        <w:t>é</w:t>
      </w:r>
      <w:r>
        <w:rPr>
          <w:spacing w:val="-4"/>
          <w:sz w:val="18"/>
          <w:szCs w:val="18"/>
          <w:lang w:val="es-ES_tradnl"/>
        </w:rPr>
        <w:t xml:space="preserve">n crear, modificar </w:t>
      </w:r>
      <w:r>
        <w:rPr>
          <w:spacing w:val="-6"/>
          <w:sz w:val="18"/>
          <w:szCs w:val="18"/>
          <w:lang w:val="es-ES_tradnl"/>
        </w:rPr>
        <w:t xml:space="preserve">o suprimir mediante ordenanza tasas y contribuciones </w:t>
      </w:r>
      <w:r>
        <w:rPr>
          <w:spacing w:val="-7"/>
          <w:sz w:val="18"/>
          <w:szCs w:val="18"/>
          <w:lang w:val="es-ES_tradnl"/>
        </w:rPr>
        <w:t>especiales de mejoras, por lo que la creaci</w:t>
      </w:r>
      <w:r>
        <w:rPr>
          <w:rFonts w:cs="Times New Roman"/>
          <w:spacing w:val="-7"/>
          <w:sz w:val="18"/>
          <w:szCs w:val="18"/>
          <w:lang w:val="es-ES_tradnl"/>
        </w:rPr>
        <w:t>ó</w:t>
      </w:r>
      <w:r>
        <w:rPr>
          <w:spacing w:val="-7"/>
          <w:sz w:val="18"/>
          <w:szCs w:val="18"/>
          <w:lang w:val="es-ES_tradnl"/>
        </w:rPr>
        <w:t xml:space="preserve">n de tasas o </w:t>
      </w:r>
      <w:r>
        <w:rPr>
          <w:spacing w:val="-3"/>
          <w:sz w:val="18"/>
          <w:szCs w:val="18"/>
          <w:lang w:val="es-ES_tradnl"/>
        </w:rPr>
        <w:t>contribuciones est</w:t>
      </w:r>
      <w:r>
        <w:rPr>
          <w:rFonts w:cs="Times New Roman"/>
          <w:spacing w:val="-3"/>
          <w:sz w:val="18"/>
          <w:szCs w:val="18"/>
          <w:lang w:val="es-ES_tradnl"/>
        </w:rPr>
        <w:t>á</w:t>
      </w:r>
      <w:r>
        <w:rPr>
          <w:spacing w:val="-3"/>
          <w:sz w:val="18"/>
          <w:szCs w:val="18"/>
          <w:lang w:val="es-ES_tradnl"/>
        </w:rPr>
        <w:t xml:space="preserve"> en relaci</w:t>
      </w:r>
      <w:r>
        <w:rPr>
          <w:rFonts w:cs="Times New Roman"/>
          <w:spacing w:val="-3"/>
          <w:sz w:val="18"/>
          <w:szCs w:val="18"/>
          <w:lang w:val="es-ES_tradnl"/>
        </w:rPr>
        <w:t>ó</w:t>
      </w:r>
      <w:r>
        <w:rPr>
          <w:spacing w:val="-3"/>
          <w:sz w:val="18"/>
          <w:szCs w:val="18"/>
          <w:lang w:val="es-ES_tradnl"/>
        </w:rPr>
        <w:t xml:space="preserve">n directa y exclusiva al </w:t>
      </w:r>
      <w:r>
        <w:rPr>
          <w:rFonts w:cs="Times New Roman"/>
          <w:spacing w:val="-7"/>
          <w:sz w:val="18"/>
          <w:szCs w:val="18"/>
          <w:lang w:val="es-ES_tradnl"/>
        </w:rPr>
        <w:t>á</w:t>
      </w:r>
      <w:r>
        <w:rPr>
          <w:spacing w:val="-7"/>
          <w:sz w:val="18"/>
          <w:szCs w:val="18"/>
          <w:lang w:val="es-ES_tradnl"/>
        </w:rPr>
        <w:t>mbito de las atribuciones constitucionales se</w:t>
      </w:r>
      <w:r>
        <w:rPr>
          <w:rFonts w:cs="Times New Roman"/>
          <w:spacing w:val="-7"/>
          <w:sz w:val="18"/>
          <w:szCs w:val="18"/>
          <w:lang w:val="es-ES_tradnl"/>
        </w:rPr>
        <w:t>ñ</w:t>
      </w:r>
      <w:r>
        <w:rPr>
          <w:spacing w:val="-7"/>
          <w:sz w:val="18"/>
          <w:szCs w:val="18"/>
          <w:lang w:val="es-ES_tradnl"/>
        </w:rPr>
        <w:t>aladas.</w:t>
      </w:r>
    </w:p>
    <w:p w14:paraId="4F67A588" w14:textId="77777777" w:rsidR="00591D54" w:rsidRDefault="00591D54">
      <w:pPr>
        <w:shd w:val="clear" w:color="auto" w:fill="FFFFFF"/>
        <w:spacing w:before="202" w:line="216" w:lineRule="exact"/>
        <w:jc w:val="both"/>
      </w:pPr>
      <w:r>
        <w:rPr>
          <w:spacing w:val="-10"/>
          <w:sz w:val="18"/>
          <w:szCs w:val="18"/>
          <w:lang w:val="es-ES_tradnl"/>
        </w:rPr>
        <w:t>Determina que en el art</w:t>
      </w:r>
      <w:r>
        <w:rPr>
          <w:rFonts w:cs="Times New Roman"/>
          <w:spacing w:val="-10"/>
          <w:sz w:val="18"/>
          <w:szCs w:val="18"/>
          <w:lang w:val="es-ES_tradnl"/>
        </w:rPr>
        <w:t>í</w:t>
      </w:r>
      <w:r>
        <w:rPr>
          <w:spacing w:val="-10"/>
          <w:sz w:val="18"/>
          <w:szCs w:val="18"/>
          <w:lang w:val="es-ES_tradnl"/>
        </w:rPr>
        <w:t xml:space="preserve">culo 18 de la ordenanza impugnada </w:t>
      </w:r>
      <w:r>
        <w:rPr>
          <w:spacing w:val="-7"/>
          <w:sz w:val="18"/>
          <w:szCs w:val="18"/>
          <w:lang w:val="es-ES_tradnl"/>
        </w:rPr>
        <w:t xml:space="preserve">se encuentra el cobro de una tasa por la correspondiente </w:t>
      </w:r>
      <w:r>
        <w:rPr>
          <w:sz w:val="18"/>
          <w:szCs w:val="18"/>
          <w:lang w:val="es-ES_tradnl"/>
        </w:rPr>
        <w:t>utilizaci</w:t>
      </w:r>
      <w:r>
        <w:rPr>
          <w:rFonts w:cs="Times New Roman"/>
          <w:sz w:val="18"/>
          <w:szCs w:val="18"/>
          <w:lang w:val="es-ES_tradnl"/>
        </w:rPr>
        <w:t>ó</w:t>
      </w:r>
      <w:r>
        <w:rPr>
          <w:sz w:val="18"/>
          <w:szCs w:val="18"/>
          <w:lang w:val="es-ES_tradnl"/>
        </w:rPr>
        <w:t>n u ocupaci</w:t>
      </w:r>
      <w:r>
        <w:rPr>
          <w:rFonts w:cs="Times New Roman"/>
          <w:sz w:val="18"/>
          <w:szCs w:val="18"/>
          <w:lang w:val="es-ES_tradnl"/>
        </w:rPr>
        <w:t>ó</w:t>
      </w:r>
      <w:r>
        <w:rPr>
          <w:sz w:val="18"/>
          <w:szCs w:val="18"/>
          <w:lang w:val="es-ES_tradnl"/>
        </w:rPr>
        <w:t>n del espacio a</w:t>
      </w:r>
      <w:r>
        <w:rPr>
          <w:rFonts w:cs="Times New Roman"/>
          <w:sz w:val="18"/>
          <w:szCs w:val="18"/>
          <w:lang w:val="es-ES_tradnl"/>
        </w:rPr>
        <w:t>é</w:t>
      </w:r>
      <w:r>
        <w:rPr>
          <w:sz w:val="18"/>
          <w:szCs w:val="18"/>
          <w:lang w:val="es-ES_tradnl"/>
        </w:rPr>
        <w:t xml:space="preserve">reo municipal </w:t>
      </w:r>
      <w:r>
        <w:rPr>
          <w:spacing w:val="-3"/>
          <w:sz w:val="18"/>
          <w:szCs w:val="18"/>
          <w:lang w:val="es-ES_tradnl"/>
        </w:rPr>
        <w:t>en el cant</w:t>
      </w:r>
      <w:r>
        <w:rPr>
          <w:rFonts w:cs="Times New Roman"/>
          <w:spacing w:val="-3"/>
          <w:sz w:val="18"/>
          <w:szCs w:val="18"/>
          <w:lang w:val="es-ES_tradnl"/>
        </w:rPr>
        <w:t>ó</w:t>
      </w:r>
      <w:r>
        <w:rPr>
          <w:spacing w:val="-3"/>
          <w:sz w:val="18"/>
          <w:szCs w:val="18"/>
          <w:lang w:val="es-ES_tradnl"/>
        </w:rPr>
        <w:t xml:space="preserve">n Chone, lo cual </w:t>
      </w:r>
      <w:r>
        <w:rPr>
          <w:rFonts w:cs="Times New Roman"/>
          <w:spacing w:val="-3"/>
          <w:sz w:val="18"/>
          <w:szCs w:val="18"/>
          <w:lang w:val="es-ES_tradnl"/>
        </w:rPr>
        <w:t>–</w:t>
      </w:r>
      <w:r>
        <w:rPr>
          <w:spacing w:val="-3"/>
          <w:sz w:val="18"/>
          <w:szCs w:val="18"/>
          <w:lang w:val="es-ES_tradnl"/>
        </w:rPr>
        <w:t>a su criterio</w:t>
      </w:r>
      <w:r>
        <w:rPr>
          <w:rFonts w:ascii="Arial Unicode MS" w:eastAsia="Arial Unicode MS" w:cs="Arial Unicode MS" w:hint="eastAsia"/>
          <w:spacing w:val="-3"/>
          <w:sz w:val="18"/>
          <w:szCs w:val="18"/>
          <w:lang w:val="es-ES_tradnl"/>
        </w:rPr>
        <w:t>‒</w:t>
      </w:r>
      <w:r>
        <w:rPr>
          <w:spacing w:val="-3"/>
          <w:sz w:val="18"/>
          <w:szCs w:val="18"/>
          <w:lang w:val="es-ES_tradnl"/>
        </w:rPr>
        <w:t xml:space="preserve"> contraviene lo dispuesto en el art</w:t>
      </w:r>
      <w:r>
        <w:rPr>
          <w:rFonts w:cs="Times New Roman"/>
          <w:spacing w:val="-3"/>
          <w:sz w:val="18"/>
          <w:szCs w:val="18"/>
          <w:lang w:val="es-ES_tradnl"/>
        </w:rPr>
        <w:t>í</w:t>
      </w:r>
      <w:r>
        <w:rPr>
          <w:spacing w:val="-3"/>
          <w:sz w:val="18"/>
          <w:szCs w:val="18"/>
          <w:lang w:val="es-ES_tradnl"/>
        </w:rPr>
        <w:t>culo 226 de la Constituci</w:t>
      </w:r>
      <w:r>
        <w:rPr>
          <w:rFonts w:cs="Times New Roman"/>
          <w:spacing w:val="-3"/>
          <w:sz w:val="18"/>
          <w:szCs w:val="18"/>
          <w:lang w:val="es-ES_tradnl"/>
        </w:rPr>
        <w:t>ó</w:t>
      </w:r>
      <w:r>
        <w:rPr>
          <w:spacing w:val="-3"/>
          <w:sz w:val="18"/>
          <w:szCs w:val="18"/>
          <w:lang w:val="es-ES_tradnl"/>
        </w:rPr>
        <w:t xml:space="preserve">n que </w:t>
      </w:r>
      <w:r>
        <w:rPr>
          <w:spacing w:val="-4"/>
          <w:sz w:val="18"/>
          <w:szCs w:val="18"/>
          <w:lang w:val="es-ES_tradnl"/>
        </w:rPr>
        <w:t xml:space="preserve">indica: </w:t>
      </w:r>
      <w:r>
        <w:rPr>
          <w:rFonts w:cs="Times New Roman"/>
          <w:spacing w:val="-4"/>
          <w:sz w:val="18"/>
          <w:szCs w:val="18"/>
          <w:lang w:val="es-ES_tradnl"/>
        </w:rPr>
        <w:t>“</w:t>
      </w:r>
      <w:r>
        <w:rPr>
          <w:spacing w:val="-4"/>
          <w:sz w:val="18"/>
          <w:szCs w:val="18"/>
          <w:lang w:val="es-ES_tradnl"/>
        </w:rPr>
        <w:t xml:space="preserve">Las instituciones del Estado, sus organismos, </w:t>
      </w:r>
      <w:r>
        <w:rPr>
          <w:spacing w:val="-7"/>
          <w:sz w:val="18"/>
          <w:szCs w:val="18"/>
          <w:lang w:val="es-ES_tradnl"/>
        </w:rPr>
        <w:t>dependencias, las servidoras o servidores p</w:t>
      </w:r>
      <w:r>
        <w:rPr>
          <w:rFonts w:cs="Times New Roman"/>
          <w:spacing w:val="-7"/>
          <w:sz w:val="18"/>
          <w:szCs w:val="18"/>
          <w:lang w:val="es-ES_tradnl"/>
        </w:rPr>
        <w:t>ú</w:t>
      </w:r>
      <w:r>
        <w:rPr>
          <w:spacing w:val="-7"/>
          <w:sz w:val="18"/>
          <w:szCs w:val="18"/>
          <w:lang w:val="es-ES_tradnl"/>
        </w:rPr>
        <w:t>blicos y las personas que act</w:t>
      </w:r>
      <w:r>
        <w:rPr>
          <w:rFonts w:cs="Times New Roman"/>
          <w:spacing w:val="-7"/>
          <w:sz w:val="18"/>
          <w:szCs w:val="18"/>
          <w:lang w:val="es-ES_tradnl"/>
        </w:rPr>
        <w:t>ú</w:t>
      </w:r>
      <w:r>
        <w:rPr>
          <w:spacing w:val="-7"/>
          <w:sz w:val="18"/>
          <w:szCs w:val="18"/>
          <w:lang w:val="es-ES_tradnl"/>
        </w:rPr>
        <w:t xml:space="preserve">en en virtud de una potestad estatal </w:t>
      </w:r>
      <w:r>
        <w:rPr>
          <w:spacing w:val="-4"/>
          <w:sz w:val="18"/>
          <w:szCs w:val="18"/>
          <w:lang w:val="es-ES_tradnl"/>
        </w:rPr>
        <w:t>ejercer</w:t>
      </w:r>
      <w:r>
        <w:rPr>
          <w:rFonts w:cs="Times New Roman"/>
          <w:spacing w:val="-4"/>
          <w:sz w:val="18"/>
          <w:szCs w:val="18"/>
          <w:lang w:val="es-ES_tradnl"/>
        </w:rPr>
        <w:t>á</w:t>
      </w:r>
      <w:r>
        <w:rPr>
          <w:spacing w:val="-4"/>
          <w:sz w:val="18"/>
          <w:szCs w:val="18"/>
          <w:lang w:val="es-ES_tradnl"/>
        </w:rPr>
        <w:t xml:space="preserve">n solamente las competencias y facultades que </w:t>
      </w:r>
      <w:r>
        <w:rPr>
          <w:spacing w:val="-6"/>
          <w:sz w:val="18"/>
          <w:szCs w:val="18"/>
          <w:lang w:val="es-ES_tradnl"/>
        </w:rPr>
        <w:t>les sean atribuidas en la Constituci</w:t>
      </w:r>
      <w:r>
        <w:rPr>
          <w:rFonts w:cs="Times New Roman"/>
          <w:spacing w:val="-6"/>
          <w:sz w:val="18"/>
          <w:szCs w:val="18"/>
          <w:lang w:val="es-ES_tradnl"/>
        </w:rPr>
        <w:t>ó</w:t>
      </w:r>
      <w:r>
        <w:rPr>
          <w:spacing w:val="-6"/>
          <w:sz w:val="18"/>
          <w:szCs w:val="18"/>
          <w:lang w:val="es-ES_tradnl"/>
        </w:rPr>
        <w:t>n y la ley. Tendr</w:t>
      </w:r>
      <w:r>
        <w:rPr>
          <w:rFonts w:cs="Times New Roman"/>
          <w:spacing w:val="-6"/>
          <w:sz w:val="18"/>
          <w:szCs w:val="18"/>
          <w:lang w:val="es-ES_tradnl"/>
        </w:rPr>
        <w:t>á</w:t>
      </w:r>
      <w:r>
        <w:rPr>
          <w:spacing w:val="-6"/>
          <w:sz w:val="18"/>
          <w:szCs w:val="18"/>
          <w:lang w:val="es-ES_tradnl"/>
        </w:rPr>
        <w:t xml:space="preserve">n el deber de coordinar acciones para el cumplimiento de sus fines y hacer efectivo el goce y ejercicio de los derechos </w:t>
      </w:r>
      <w:r>
        <w:rPr>
          <w:sz w:val="18"/>
          <w:szCs w:val="18"/>
          <w:lang w:val="es-ES_tradnl"/>
        </w:rPr>
        <w:t>reconocidos en la Constituci</w:t>
      </w:r>
      <w:r>
        <w:rPr>
          <w:rFonts w:cs="Times New Roman"/>
          <w:sz w:val="18"/>
          <w:szCs w:val="18"/>
          <w:lang w:val="es-ES_tradnl"/>
        </w:rPr>
        <w:t>ó</w:t>
      </w:r>
      <w:r>
        <w:rPr>
          <w:sz w:val="18"/>
          <w:szCs w:val="18"/>
          <w:lang w:val="es-ES_tradnl"/>
        </w:rPr>
        <w:t>n</w:t>
      </w:r>
      <w:r>
        <w:rPr>
          <w:rFonts w:cs="Times New Roman"/>
          <w:sz w:val="18"/>
          <w:szCs w:val="18"/>
          <w:lang w:val="es-ES_tradnl"/>
        </w:rPr>
        <w:t>”</w:t>
      </w:r>
      <w:r>
        <w:rPr>
          <w:sz w:val="18"/>
          <w:szCs w:val="18"/>
          <w:lang w:val="es-ES_tradnl"/>
        </w:rPr>
        <w:t>.</w:t>
      </w:r>
    </w:p>
    <w:p w14:paraId="4F67A589" w14:textId="77777777" w:rsidR="00591D54" w:rsidRDefault="00591D54">
      <w:pPr>
        <w:shd w:val="clear" w:color="auto" w:fill="FFFFFF"/>
        <w:spacing w:line="216" w:lineRule="exact"/>
        <w:ind w:left="667" w:hanging="365"/>
      </w:pPr>
      <w:r>
        <w:br w:type="column"/>
      </w:r>
      <w:r>
        <w:rPr>
          <w:b/>
          <w:bCs/>
          <w:sz w:val="18"/>
          <w:szCs w:val="18"/>
          <w:lang w:val="es-ES_tradnl"/>
        </w:rPr>
        <w:t>II. CONSIDERACIONES Y FUNDAMENTOS DE LA CORTE CONSTITUCIONAL</w:t>
      </w:r>
    </w:p>
    <w:p w14:paraId="4F67A58A" w14:textId="77777777" w:rsidR="00591D54" w:rsidRDefault="00591D54">
      <w:pPr>
        <w:shd w:val="clear" w:color="auto" w:fill="FFFFFF"/>
        <w:spacing w:before="197"/>
      </w:pPr>
      <w:r>
        <w:rPr>
          <w:b/>
          <w:bCs/>
          <w:spacing w:val="-6"/>
          <w:sz w:val="18"/>
          <w:szCs w:val="18"/>
          <w:lang w:val="es-ES_tradnl"/>
        </w:rPr>
        <w:t>Competencia de la Corte</w:t>
      </w:r>
    </w:p>
    <w:p w14:paraId="4F67A58B" w14:textId="77777777" w:rsidR="00591D54" w:rsidRDefault="00591D54">
      <w:pPr>
        <w:shd w:val="clear" w:color="auto" w:fill="FFFFFF"/>
        <w:spacing w:before="197" w:line="216" w:lineRule="exact"/>
        <w:jc w:val="both"/>
      </w:pPr>
      <w:r>
        <w:rPr>
          <w:spacing w:val="-1"/>
          <w:sz w:val="18"/>
          <w:szCs w:val="18"/>
          <w:lang w:val="es-ES_tradnl"/>
        </w:rPr>
        <w:t>De conformidad con lo dispuesto en el art</w:t>
      </w:r>
      <w:r>
        <w:rPr>
          <w:rFonts w:cs="Times New Roman"/>
          <w:spacing w:val="-1"/>
          <w:sz w:val="18"/>
          <w:szCs w:val="18"/>
          <w:lang w:val="es-ES_tradnl"/>
        </w:rPr>
        <w:t>í</w:t>
      </w:r>
      <w:r>
        <w:rPr>
          <w:spacing w:val="-1"/>
          <w:sz w:val="18"/>
          <w:szCs w:val="18"/>
          <w:lang w:val="es-ES_tradnl"/>
        </w:rPr>
        <w:t xml:space="preserve">culo 436 </w:t>
      </w:r>
      <w:r>
        <w:rPr>
          <w:spacing w:val="-4"/>
          <w:sz w:val="18"/>
          <w:szCs w:val="18"/>
          <w:lang w:val="es-ES_tradnl"/>
        </w:rPr>
        <w:t>numeral 2 de la Constituci</w:t>
      </w:r>
      <w:r>
        <w:rPr>
          <w:rFonts w:cs="Times New Roman"/>
          <w:spacing w:val="-4"/>
          <w:sz w:val="18"/>
          <w:szCs w:val="18"/>
          <w:lang w:val="es-ES_tradnl"/>
        </w:rPr>
        <w:t>ó</w:t>
      </w:r>
      <w:r>
        <w:rPr>
          <w:spacing w:val="-4"/>
          <w:sz w:val="18"/>
          <w:szCs w:val="18"/>
          <w:lang w:val="es-ES_tradnl"/>
        </w:rPr>
        <w:t>n de la Rep</w:t>
      </w:r>
      <w:r>
        <w:rPr>
          <w:rFonts w:cs="Times New Roman"/>
          <w:spacing w:val="-4"/>
          <w:sz w:val="18"/>
          <w:szCs w:val="18"/>
          <w:lang w:val="es-ES_tradnl"/>
        </w:rPr>
        <w:t>ú</w:t>
      </w:r>
      <w:r>
        <w:rPr>
          <w:spacing w:val="-4"/>
          <w:sz w:val="18"/>
          <w:szCs w:val="18"/>
          <w:lang w:val="es-ES_tradnl"/>
        </w:rPr>
        <w:t xml:space="preserve">blica, la Corte </w:t>
      </w:r>
      <w:r>
        <w:rPr>
          <w:spacing w:val="-3"/>
          <w:sz w:val="18"/>
          <w:szCs w:val="18"/>
          <w:lang w:val="es-ES_tradnl"/>
        </w:rPr>
        <w:t xml:space="preserve">Constitucional es competente para </w:t>
      </w:r>
      <w:r>
        <w:rPr>
          <w:rFonts w:cs="Times New Roman"/>
          <w:spacing w:val="-3"/>
          <w:sz w:val="18"/>
          <w:szCs w:val="18"/>
          <w:lang w:val="es-ES_tradnl"/>
        </w:rPr>
        <w:t>“</w:t>
      </w:r>
      <w:r>
        <w:rPr>
          <w:spacing w:val="-3"/>
          <w:sz w:val="18"/>
          <w:szCs w:val="18"/>
          <w:lang w:val="es-ES_tradnl"/>
        </w:rPr>
        <w:t xml:space="preserve">conocer y resolver </w:t>
      </w:r>
      <w:r>
        <w:rPr>
          <w:spacing w:val="-1"/>
          <w:sz w:val="18"/>
          <w:szCs w:val="18"/>
          <w:lang w:val="es-ES_tradnl"/>
        </w:rPr>
        <w:t>las acciones p</w:t>
      </w:r>
      <w:r>
        <w:rPr>
          <w:rFonts w:cs="Times New Roman"/>
          <w:spacing w:val="-1"/>
          <w:sz w:val="18"/>
          <w:szCs w:val="18"/>
          <w:lang w:val="es-ES_tradnl"/>
        </w:rPr>
        <w:t>ú</w:t>
      </w:r>
      <w:r>
        <w:rPr>
          <w:spacing w:val="-1"/>
          <w:sz w:val="18"/>
          <w:szCs w:val="18"/>
          <w:lang w:val="es-ES_tradnl"/>
        </w:rPr>
        <w:t xml:space="preserve">blicas de inconstitucionalidad, por el </w:t>
      </w:r>
      <w:r>
        <w:rPr>
          <w:spacing w:val="-6"/>
          <w:sz w:val="18"/>
          <w:szCs w:val="18"/>
          <w:lang w:val="es-ES_tradnl"/>
        </w:rPr>
        <w:t>fondo o por la forma, contra actos normativos de car</w:t>
      </w:r>
      <w:r>
        <w:rPr>
          <w:rFonts w:cs="Times New Roman"/>
          <w:spacing w:val="-6"/>
          <w:sz w:val="18"/>
          <w:szCs w:val="18"/>
          <w:lang w:val="es-ES_tradnl"/>
        </w:rPr>
        <w:t>á</w:t>
      </w:r>
      <w:r>
        <w:rPr>
          <w:spacing w:val="-6"/>
          <w:sz w:val="18"/>
          <w:szCs w:val="18"/>
          <w:lang w:val="es-ES_tradnl"/>
        </w:rPr>
        <w:t xml:space="preserve">cter </w:t>
      </w:r>
      <w:r>
        <w:rPr>
          <w:spacing w:val="-7"/>
          <w:sz w:val="18"/>
          <w:szCs w:val="18"/>
          <w:lang w:val="es-ES_tradnl"/>
        </w:rPr>
        <w:t xml:space="preserve">general emitidos por </w:t>
      </w:r>
      <w:r>
        <w:rPr>
          <w:rFonts w:cs="Times New Roman"/>
          <w:spacing w:val="-7"/>
          <w:sz w:val="18"/>
          <w:szCs w:val="18"/>
          <w:lang w:val="es-ES_tradnl"/>
        </w:rPr>
        <w:t>ó</w:t>
      </w:r>
      <w:r>
        <w:rPr>
          <w:spacing w:val="-7"/>
          <w:sz w:val="18"/>
          <w:szCs w:val="18"/>
          <w:lang w:val="es-ES_tradnl"/>
        </w:rPr>
        <w:t xml:space="preserve">rganos y autoridades del Estado. La </w:t>
      </w:r>
      <w:r>
        <w:rPr>
          <w:spacing w:val="-6"/>
          <w:sz w:val="18"/>
          <w:szCs w:val="18"/>
          <w:lang w:val="es-ES_tradnl"/>
        </w:rPr>
        <w:t>declaratoria de inconstitucionalidad tendr</w:t>
      </w:r>
      <w:r>
        <w:rPr>
          <w:rFonts w:cs="Times New Roman"/>
          <w:spacing w:val="-6"/>
          <w:sz w:val="18"/>
          <w:szCs w:val="18"/>
          <w:lang w:val="es-ES_tradnl"/>
        </w:rPr>
        <w:t>á</w:t>
      </w:r>
      <w:r>
        <w:rPr>
          <w:spacing w:val="-6"/>
          <w:sz w:val="18"/>
          <w:szCs w:val="18"/>
          <w:lang w:val="es-ES_tradnl"/>
        </w:rPr>
        <w:t xml:space="preserve"> como efecto la </w:t>
      </w:r>
      <w:r>
        <w:rPr>
          <w:spacing w:val="-3"/>
          <w:sz w:val="18"/>
          <w:szCs w:val="18"/>
          <w:lang w:val="es-ES_tradnl"/>
        </w:rPr>
        <w:t>invalidez del acto normativo impugnado</w:t>
      </w:r>
      <w:r>
        <w:rPr>
          <w:rFonts w:cs="Times New Roman"/>
          <w:spacing w:val="-3"/>
          <w:sz w:val="18"/>
          <w:szCs w:val="18"/>
          <w:lang w:val="es-ES_tradnl"/>
        </w:rPr>
        <w:t>”</w:t>
      </w:r>
      <w:r>
        <w:rPr>
          <w:spacing w:val="-3"/>
          <w:sz w:val="18"/>
          <w:szCs w:val="18"/>
          <w:lang w:val="es-ES_tradnl"/>
        </w:rPr>
        <w:t>.</w:t>
      </w:r>
    </w:p>
    <w:p w14:paraId="4F67A58C" w14:textId="77777777" w:rsidR="00591D54" w:rsidRDefault="00591D54">
      <w:pPr>
        <w:shd w:val="clear" w:color="auto" w:fill="FFFFFF"/>
        <w:spacing w:before="202" w:line="221" w:lineRule="exact"/>
        <w:jc w:val="both"/>
      </w:pPr>
      <w:r>
        <w:rPr>
          <w:spacing w:val="-8"/>
          <w:sz w:val="18"/>
          <w:szCs w:val="18"/>
          <w:lang w:val="es-ES_tradnl"/>
        </w:rPr>
        <w:t>Por su parte, la Ley Org</w:t>
      </w:r>
      <w:r>
        <w:rPr>
          <w:rFonts w:cs="Times New Roman"/>
          <w:spacing w:val="-8"/>
          <w:sz w:val="18"/>
          <w:szCs w:val="18"/>
          <w:lang w:val="es-ES_tradnl"/>
        </w:rPr>
        <w:t>á</w:t>
      </w:r>
      <w:r>
        <w:rPr>
          <w:spacing w:val="-8"/>
          <w:sz w:val="18"/>
          <w:szCs w:val="18"/>
          <w:lang w:val="es-ES_tradnl"/>
        </w:rPr>
        <w:t>nica de Garant</w:t>
      </w:r>
      <w:r>
        <w:rPr>
          <w:rFonts w:cs="Times New Roman"/>
          <w:spacing w:val="-8"/>
          <w:sz w:val="18"/>
          <w:szCs w:val="18"/>
          <w:lang w:val="es-ES_tradnl"/>
        </w:rPr>
        <w:t>í</w:t>
      </w:r>
      <w:r>
        <w:rPr>
          <w:spacing w:val="-8"/>
          <w:sz w:val="18"/>
          <w:szCs w:val="18"/>
          <w:lang w:val="es-ES_tradnl"/>
        </w:rPr>
        <w:t xml:space="preserve">as Jurisdiccionales </w:t>
      </w:r>
      <w:r>
        <w:rPr>
          <w:sz w:val="18"/>
          <w:szCs w:val="18"/>
          <w:lang w:val="es-ES_tradnl"/>
        </w:rPr>
        <w:t>y Control Constitucional, en el T</w:t>
      </w:r>
      <w:r>
        <w:rPr>
          <w:rFonts w:cs="Times New Roman"/>
          <w:sz w:val="18"/>
          <w:szCs w:val="18"/>
          <w:lang w:val="es-ES_tradnl"/>
        </w:rPr>
        <w:t>í</w:t>
      </w:r>
      <w:r>
        <w:rPr>
          <w:sz w:val="18"/>
          <w:szCs w:val="18"/>
          <w:lang w:val="es-ES_tradnl"/>
        </w:rPr>
        <w:t xml:space="preserve">tulo III, Control </w:t>
      </w:r>
      <w:r>
        <w:rPr>
          <w:spacing w:val="-4"/>
          <w:sz w:val="18"/>
          <w:szCs w:val="18"/>
          <w:lang w:val="es-ES_tradnl"/>
        </w:rPr>
        <w:t>Abstracto de Constitucionalidad, art</w:t>
      </w:r>
      <w:r>
        <w:rPr>
          <w:rFonts w:cs="Times New Roman"/>
          <w:spacing w:val="-4"/>
          <w:sz w:val="18"/>
          <w:szCs w:val="18"/>
          <w:lang w:val="es-ES_tradnl"/>
        </w:rPr>
        <w:t>í</w:t>
      </w:r>
      <w:r>
        <w:rPr>
          <w:spacing w:val="-4"/>
          <w:sz w:val="18"/>
          <w:szCs w:val="18"/>
          <w:lang w:val="es-ES_tradnl"/>
        </w:rPr>
        <w:t xml:space="preserve">culos 74 al 98, trata </w:t>
      </w:r>
      <w:r>
        <w:rPr>
          <w:spacing w:val="-7"/>
          <w:sz w:val="18"/>
          <w:szCs w:val="18"/>
          <w:lang w:val="es-ES_tradnl"/>
        </w:rPr>
        <w:t>de esta acci</w:t>
      </w:r>
      <w:r>
        <w:rPr>
          <w:rFonts w:cs="Times New Roman"/>
          <w:spacing w:val="-7"/>
          <w:sz w:val="18"/>
          <w:szCs w:val="18"/>
          <w:lang w:val="es-ES_tradnl"/>
        </w:rPr>
        <w:t>ó</w:t>
      </w:r>
      <w:r>
        <w:rPr>
          <w:spacing w:val="-7"/>
          <w:sz w:val="18"/>
          <w:szCs w:val="18"/>
          <w:lang w:val="es-ES_tradnl"/>
        </w:rPr>
        <w:t>n; de manera particular el art</w:t>
      </w:r>
      <w:r>
        <w:rPr>
          <w:rFonts w:cs="Times New Roman"/>
          <w:spacing w:val="-7"/>
          <w:sz w:val="18"/>
          <w:szCs w:val="18"/>
          <w:lang w:val="es-ES_tradnl"/>
        </w:rPr>
        <w:t>í</w:t>
      </w:r>
      <w:r>
        <w:rPr>
          <w:spacing w:val="-7"/>
          <w:sz w:val="18"/>
          <w:szCs w:val="18"/>
          <w:lang w:val="es-ES_tradnl"/>
        </w:rPr>
        <w:t>culo 74 se</w:t>
      </w:r>
      <w:r>
        <w:rPr>
          <w:rFonts w:cs="Times New Roman"/>
          <w:spacing w:val="-7"/>
          <w:sz w:val="18"/>
          <w:szCs w:val="18"/>
          <w:lang w:val="es-ES_tradnl"/>
        </w:rPr>
        <w:t>ñ</w:t>
      </w:r>
      <w:r>
        <w:rPr>
          <w:spacing w:val="-7"/>
          <w:sz w:val="18"/>
          <w:szCs w:val="18"/>
          <w:lang w:val="es-ES_tradnl"/>
        </w:rPr>
        <w:t>ala:</w:t>
      </w:r>
    </w:p>
    <w:p w14:paraId="4F67A58D" w14:textId="77777777" w:rsidR="00591D54" w:rsidRDefault="00591D54">
      <w:pPr>
        <w:shd w:val="clear" w:color="auto" w:fill="FFFFFF"/>
        <w:spacing w:before="211" w:line="216" w:lineRule="exact"/>
        <w:ind w:left="283"/>
        <w:jc w:val="both"/>
      </w:pPr>
      <w:r>
        <w:rPr>
          <w:sz w:val="16"/>
          <w:szCs w:val="16"/>
          <w:lang w:val="es-ES_tradnl"/>
        </w:rPr>
        <w:t>Finalidad.- El control abstracto de constitucionalidad tiene como finalidad garantizar la unidad y coherencia del ordenamiento jur</w:t>
      </w:r>
      <w:r>
        <w:rPr>
          <w:rFonts w:cs="Times New Roman"/>
          <w:sz w:val="16"/>
          <w:szCs w:val="16"/>
          <w:lang w:val="es-ES_tradnl"/>
        </w:rPr>
        <w:t>í</w:t>
      </w:r>
      <w:r>
        <w:rPr>
          <w:sz w:val="16"/>
          <w:szCs w:val="16"/>
          <w:lang w:val="es-ES_tradnl"/>
        </w:rPr>
        <w:t>dico a trav</w:t>
      </w:r>
      <w:r>
        <w:rPr>
          <w:rFonts w:cs="Times New Roman"/>
          <w:sz w:val="16"/>
          <w:szCs w:val="16"/>
          <w:lang w:val="es-ES_tradnl"/>
        </w:rPr>
        <w:t>é</w:t>
      </w:r>
      <w:r>
        <w:rPr>
          <w:sz w:val="16"/>
          <w:szCs w:val="16"/>
          <w:lang w:val="es-ES_tradnl"/>
        </w:rPr>
        <w:t>s de la identificaci</w:t>
      </w:r>
      <w:r>
        <w:rPr>
          <w:rFonts w:cs="Times New Roman"/>
          <w:sz w:val="16"/>
          <w:szCs w:val="16"/>
          <w:lang w:val="es-ES_tradnl"/>
        </w:rPr>
        <w:t>ó</w:t>
      </w:r>
      <w:r>
        <w:rPr>
          <w:sz w:val="16"/>
          <w:szCs w:val="16"/>
          <w:lang w:val="es-ES_tradnl"/>
        </w:rPr>
        <w:t xml:space="preserve">n y </w:t>
      </w:r>
      <w:r>
        <w:rPr>
          <w:spacing w:val="-3"/>
          <w:sz w:val="16"/>
          <w:szCs w:val="16"/>
          <w:lang w:val="es-ES_tradnl"/>
        </w:rPr>
        <w:t>la eliminaci</w:t>
      </w:r>
      <w:r>
        <w:rPr>
          <w:rFonts w:cs="Times New Roman"/>
          <w:spacing w:val="-3"/>
          <w:sz w:val="16"/>
          <w:szCs w:val="16"/>
          <w:lang w:val="es-ES_tradnl"/>
        </w:rPr>
        <w:t>ó</w:t>
      </w:r>
      <w:r>
        <w:rPr>
          <w:spacing w:val="-3"/>
          <w:sz w:val="16"/>
          <w:szCs w:val="16"/>
          <w:lang w:val="es-ES_tradnl"/>
        </w:rPr>
        <w:t xml:space="preserve">n de las incompatibilidades normativas, por </w:t>
      </w:r>
      <w:r>
        <w:rPr>
          <w:spacing w:val="-5"/>
          <w:sz w:val="16"/>
          <w:szCs w:val="16"/>
          <w:lang w:val="es-ES_tradnl"/>
        </w:rPr>
        <w:t>razones de fondo o de forma, entre normas constitucionales y las dem</w:t>
      </w:r>
      <w:r>
        <w:rPr>
          <w:rFonts w:cs="Times New Roman"/>
          <w:spacing w:val="-5"/>
          <w:sz w:val="16"/>
          <w:szCs w:val="16"/>
          <w:lang w:val="es-ES_tradnl"/>
        </w:rPr>
        <w:t>á</w:t>
      </w:r>
      <w:r>
        <w:rPr>
          <w:spacing w:val="-5"/>
          <w:sz w:val="16"/>
          <w:szCs w:val="16"/>
          <w:lang w:val="es-ES_tradnl"/>
        </w:rPr>
        <w:t>s disposiciones que integran el sistema jur</w:t>
      </w:r>
      <w:r>
        <w:rPr>
          <w:rFonts w:cs="Times New Roman"/>
          <w:spacing w:val="-5"/>
          <w:sz w:val="16"/>
          <w:szCs w:val="16"/>
          <w:lang w:val="es-ES_tradnl"/>
        </w:rPr>
        <w:t>í</w:t>
      </w:r>
      <w:r>
        <w:rPr>
          <w:spacing w:val="-5"/>
          <w:sz w:val="16"/>
          <w:szCs w:val="16"/>
          <w:lang w:val="es-ES_tradnl"/>
        </w:rPr>
        <w:t>dico.</w:t>
      </w:r>
    </w:p>
    <w:p w14:paraId="4F67A58E" w14:textId="77777777" w:rsidR="00591D54" w:rsidRDefault="00591D54">
      <w:pPr>
        <w:shd w:val="clear" w:color="auto" w:fill="FFFFFF"/>
        <w:spacing w:before="202"/>
      </w:pPr>
      <w:r>
        <w:rPr>
          <w:b/>
          <w:bCs/>
          <w:spacing w:val="-9"/>
          <w:sz w:val="18"/>
          <w:szCs w:val="18"/>
          <w:lang w:val="es-ES_tradnl"/>
        </w:rPr>
        <w:t>An</w:t>
      </w:r>
      <w:r>
        <w:rPr>
          <w:rFonts w:cs="Times New Roman"/>
          <w:b/>
          <w:bCs/>
          <w:spacing w:val="-9"/>
          <w:sz w:val="18"/>
          <w:szCs w:val="18"/>
          <w:lang w:val="es-ES_tradnl"/>
        </w:rPr>
        <w:t>á</w:t>
      </w:r>
      <w:r>
        <w:rPr>
          <w:b/>
          <w:bCs/>
          <w:spacing w:val="-9"/>
          <w:sz w:val="18"/>
          <w:szCs w:val="18"/>
          <w:lang w:val="es-ES_tradnl"/>
        </w:rPr>
        <w:t>lisis constitucional del caso</w:t>
      </w:r>
    </w:p>
    <w:p w14:paraId="4F67A58F" w14:textId="77777777" w:rsidR="00591D54" w:rsidRDefault="00591D54">
      <w:pPr>
        <w:shd w:val="clear" w:color="auto" w:fill="FFFFFF"/>
        <w:spacing w:before="202" w:line="216" w:lineRule="exact"/>
        <w:jc w:val="both"/>
      </w:pPr>
      <w:r>
        <w:rPr>
          <w:sz w:val="18"/>
          <w:szCs w:val="18"/>
          <w:lang w:val="es-ES_tradnl"/>
        </w:rPr>
        <w:t xml:space="preserve">En un Estado constitucional de derechos y justicia, </w:t>
      </w:r>
      <w:r>
        <w:rPr>
          <w:spacing w:val="-4"/>
          <w:sz w:val="18"/>
          <w:szCs w:val="18"/>
          <w:lang w:val="es-ES_tradnl"/>
        </w:rPr>
        <w:t>social, democr</w:t>
      </w:r>
      <w:r>
        <w:rPr>
          <w:rFonts w:cs="Times New Roman"/>
          <w:spacing w:val="-4"/>
          <w:sz w:val="18"/>
          <w:szCs w:val="18"/>
          <w:lang w:val="es-ES_tradnl"/>
        </w:rPr>
        <w:t>á</w:t>
      </w:r>
      <w:r>
        <w:rPr>
          <w:spacing w:val="-4"/>
          <w:sz w:val="18"/>
          <w:szCs w:val="18"/>
          <w:lang w:val="es-ES_tradnl"/>
        </w:rPr>
        <w:t xml:space="preserve">tico, soberano, independiente, unitario, </w:t>
      </w:r>
      <w:r>
        <w:rPr>
          <w:spacing w:val="-2"/>
          <w:sz w:val="18"/>
          <w:szCs w:val="18"/>
          <w:lang w:val="es-ES_tradnl"/>
        </w:rPr>
        <w:t xml:space="preserve">intercultural, plurinacional y laico como el Ecuador, </w:t>
      </w:r>
      <w:r>
        <w:rPr>
          <w:spacing w:val="-3"/>
          <w:sz w:val="18"/>
          <w:szCs w:val="18"/>
          <w:lang w:val="es-ES_tradnl"/>
        </w:rPr>
        <w:t>conforme lo se</w:t>
      </w:r>
      <w:r>
        <w:rPr>
          <w:rFonts w:cs="Times New Roman"/>
          <w:spacing w:val="-3"/>
          <w:sz w:val="18"/>
          <w:szCs w:val="18"/>
          <w:lang w:val="es-ES_tradnl"/>
        </w:rPr>
        <w:t>ñ</w:t>
      </w:r>
      <w:r>
        <w:rPr>
          <w:spacing w:val="-3"/>
          <w:sz w:val="18"/>
          <w:szCs w:val="18"/>
          <w:lang w:val="es-ES_tradnl"/>
        </w:rPr>
        <w:t>ala el art</w:t>
      </w:r>
      <w:r>
        <w:rPr>
          <w:rFonts w:cs="Times New Roman"/>
          <w:spacing w:val="-3"/>
          <w:sz w:val="18"/>
          <w:szCs w:val="18"/>
          <w:lang w:val="es-ES_tradnl"/>
        </w:rPr>
        <w:t>í</w:t>
      </w:r>
      <w:r>
        <w:rPr>
          <w:spacing w:val="-3"/>
          <w:sz w:val="18"/>
          <w:szCs w:val="18"/>
          <w:lang w:val="es-ES_tradnl"/>
        </w:rPr>
        <w:t>culo 1 de la Constituci</w:t>
      </w:r>
      <w:r>
        <w:rPr>
          <w:rFonts w:cs="Times New Roman"/>
          <w:spacing w:val="-3"/>
          <w:sz w:val="18"/>
          <w:szCs w:val="18"/>
          <w:lang w:val="es-ES_tradnl"/>
        </w:rPr>
        <w:t>ó</w:t>
      </w:r>
      <w:r>
        <w:rPr>
          <w:spacing w:val="-3"/>
          <w:sz w:val="18"/>
          <w:szCs w:val="18"/>
          <w:lang w:val="es-ES_tradnl"/>
        </w:rPr>
        <w:t xml:space="preserve">n, la </w:t>
      </w:r>
      <w:r>
        <w:rPr>
          <w:sz w:val="18"/>
          <w:szCs w:val="18"/>
          <w:lang w:val="es-ES_tradnl"/>
        </w:rPr>
        <w:t>acci</w:t>
      </w:r>
      <w:r>
        <w:rPr>
          <w:rFonts w:cs="Times New Roman"/>
          <w:sz w:val="18"/>
          <w:szCs w:val="18"/>
          <w:lang w:val="es-ES_tradnl"/>
        </w:rPr>
        <w:t>ó</w:t>
      </w:r>
      <w:r>
        <w:rPr>
          <w:sz w:val="18"/>
          <w:szCs w:val="18"/>
          <w:lang w:val="es-ES_tradnl"/>
        </w:rPr>
        <w:t>n p</w:t>
      </w:r>
      <w:r>
        <w:rPr>
          <w:rFonts w:cs="Times New Roman"/>
          <w:sz w:val="18"/>
          <w:szCs w:val="18"/>
          <w:lang w:val="es-ES_tradnl"/>
        </w:rPr>
        <w:t>ú</w:t>
      </w:r>
      <w:r>
        <w:rPr>
          <w:sz w:val="18"/>
          <w:szCs w:val="18"/>
          <w:lang w:val="es-ES_tradnl"/>
        </w:rPr>
        <w:t xml:space="preserve">blica de inconstitucionalidad establecida en </w:t>
      </w:r>
      <w:r>
        <w:rPr>
          <w:spacing w:val="-3"/>
          <w:sz w:val="18"/>
          <w:szCs w:val="18"/>
          <w:lang w:val="es-ES_tradnl"/>
        </w:rPr>
        <w:t>el art</w:t>
      </w:r>
      <w:r>
        <w:rPr>
          <w:rFonts w:cs="Times New Roman"/>
          <w:spacing w:val="-3"/>
          <w:sz w:val="18"/>
          <w:szCs w:val="18"/>
          <w:lang w:val="es-ES_tradnl"/>
        </w:rPr>
        <w:t>í</w:t>
      </w:r>
      <w:r>
        <w:rPr>
          <w:spacing w:val="-3"/>
          <w:sz w:val="18"/>
          <w:szCs w:val="18"/>
          <w:lang w:val="es-ES_tradnl"/>
        </w:rPr>
        <w:t>culo 436 numeral 2 de la Norma Suprema, como una atribuci</w:t>
      </w:r>
      <w:r>
        <w:rPr>
          <w:rFonts w:cs="Times New Roman"/>
          <w:spacing w:val="-3"/>
          <w:sz w:val="18"/>
          <w:szCs w:val="18"/>
          <w:lang w:val="es-ES_tradnl"/>
        </w:rPr>
        <w:t>ó</w:t>
      </w:r>
      <w:r>
        <w:rPr>
          <w:spacing w:val="-3"/>
          <w:sz w:val="18"/>
          <w:szCs w:val="18"/>
          <w:lang w:val="es-ES_tradnl"/>
        </w:rPr>
        <w:t xml:space="preserve">n de la Corte Constitucional, edifica una herramienta jurisdiccional de naturaleza constitucional </w:t>
      </w:r>
      <w:r>
        <w:rPr>
          <w:spacing w:val="-4"/>
          <w:sz w:val="18"/>
          <w:szCs w:val="18"/>
          <w:lang w:val="es-ES_tradnl"/>
        </w:rPr>
        <w:t>con la finalidad de que sea posible la realizaci</w:t>
      </w:r>
      <w:r>
        <w:rPr>
          <w:rFonts w:cs="Times New Roman"/>
          <w:spacing w:val="-4"/>
          <w:sz w:val="18"/>
          <w:szCs w:val="18"/>
          <w:lang w:val="es-ES_tradnl"/>
        </w:rPr>
        <w:t>ó</w:t>
      </w:r>
      <w:r>
        <w:rPr>
          <w:spacing w:val="-4"/>
          <w:sz w:val="18"/>
          <w:szCs w:val="18"/>
          <w:lang w:val="es-ES_tradnl"/>
        </w:rPr>
        <w:t xml:space="preserve">n de un </w:t>
      </w:r>
      <w:r>
        <w:rPr>
          <w:spacing w:val="-2"/>
          <w:sz w:val="18"/>
          <w:szCs w:val="18"/>
          <w:lang w:val="es-ES_tradnl"/>
        </w:rPr>
        <w:t xml:space="preserve">control abstracto de constitucionalidad, ya sea por el </w:t>
      </w:r>
      <w:r>
        <w:rPr>
          <w:spacing w:val="-5"/>
          <w:sz w:val="18"/>
          <w:szCs w:val="18"/>
          <w:lang w:val="es-ES_tradnl"/>
        </w:rPr>
        <w:t xml:space="preserve">fondo y/o por la forma, respecto de actos normativos de </w:t>
      </w:r>
      <w:r>
        <w:rPr>
          <w:spacing w:val="-6"/>
          <w:sz w:val="18"/>
          <w:szCs w:val="18"/>
          <w:lang w:val="es-ES_tradnl"/>
        </w:rPr>
        <w:t>car</w:t>
      </w:r>
      <w:r>
        <w:rPr>
          <w:rFonts w:cs="Times New Roman"/>
          <w:spacing w:val="-6"/>
          <w:sz w:val="18"/>
          <w:szCs w:val="18"/>
          <w:lang w:val="es-ES_tradnl"/>
        </w:rPr>
        <w:t>á</w:t>
      </w:r>
      <w:r>
        <w:rPr>
          <w:spacing w:val="-6"/>
          <w:sz w:val="18"/>
          <w:szCs w:val="18"/>
          <w:lang w:val="es-ES_tradnl"/>
        </w:rPr>
        <w:t xml:space="preserve">cter general emitidos por </w:t>
      </w:r>
      <w:r>
        <w:rPr>
          <w:rFonts w:cs="Times New Roman"/>
          <w:spacing w:val="-6"/>
          <w:sz w:val="18"/>
          <w:szCs w:val="18"/>
          <w:lang w:val="es-ES_tradnl"/>
        </w:rPr>
        <w:t>ó</w:t>
      </w:r>
      <w:r>
        <w:rPr>
          <w:spacing w:val="-6"/>
          <w:sz w:val="18"/>
          <w:szCs w:val="18"/>
          <w:lang w:val="es-ES_tradnl"/>
        </w:rPr>
        <w:t xml:space="preserve">rganos y autoridades del </w:t>
      </w:r>
      <w:r>
        <w:rPr>
          <w:sz w:val="18"/>
          <w:szCs w:val="18"/>
          <w:lang w:val="es-ES_tradnl"/>
        </w:rPr>
        <w:t>Estado.</w:t>
      </w:r>
    </w:p>
    <w:p w14:paraId="4F67A590" w14:textId="77777777" w:rsidR="00591D54" w:rsidRDefault="00591D54">
      <w:pPr>
        <w:shd w:val="clear" w:color="auto" w:fill="FFFFFF"/>
        <w:spacing w:before="197" w:line="221" w:lineRule="exact"/>
        <w:jc w:val="both"/>
      </w:pPr>
      <w:r>
        <w:rPr>
          <w:spacing w:val="-4"/>
          <w:sz w:val="18"/>
          <w:szCs w:val="18"/>
          <w:lang w:val="es-ES_tradnl"/>
        </w:rPr>
        <w:t>En el ejercicio de esta atribuci</w:t>
      </w:r>
      <w:r>
        <w:rPr>
          <w:rFonts w:cs="Times New Roman"/>
          <w:spacing w:val="-4"/>
          <w:sz w:val="18"/>
          <w:szCs w:val="18"/>
          <w:lang w:val="es-ES_tradnl"/>
        </w:rPr>
        <w:t>ó</w:t>
      </w:r>
      <w:r>
        <w:rPr>
          <w:spacing w:val="-4"/>
          <w:sz w:val="18"/>
          <w:szCs w:val="18"/>
          <w:lang w:val="es-ES_tradnl"/>
        </w:rPr>
        <w:t xml:space="preserve">n, la Corte Constitucional </w:t>
      </w:r>
      <w:r>
        <w:rPr>
          <w:spacing w:val="-5"/>
          <w:sz w:val="18"/>
          <w:szCs w:val="18"/>
          <w:lang w:val="es-ES_tradnl"/>
        </w:rPr>
        <w:t>est</w:t>
      </w:r>
      <w:r>
        <w:rPr>
          <w:rFonts w:cs="Times New Roman"/>
          <w:spacing w:val="-5"/>
          <w:sz w:val="18"/>
          <w:szCs w:val="18"/>
          <w:lang w:val="es-ES_tradnl"/>
        </w:rPr>
        <w:t>á</w:t>
      </w:r>
      <w:r>
        <w:rPr>
          <w:spacing w:val="-5"/>
          <w:sz w:val="18"/>
          <w:szCs w:val="18"/>
          <w:lang w:val="es-ES_tradnl"/>
        </w:rPr>
        <w:t xml:space="preserve"> llamada a cumplir dos objetivos fundamentales: </w:t>
      </w:r>
      <w:r>
        <w:rPr>
          <w:spacing w:val="-6"/>
          <w:sz w:val="18"/>
          <w:szCs w:val="18"/>
          <w:lang w:val="es-ES_tradnl"/>
        </w:rPr>
        <w:t>salvaguardar y defender el principio de supremac</w:t>
      </w:r>
      <w:r>
        <w:rPr>
          <w:rFonts w:cs="Times New Roman"/>
          <w:spacing w:val="-6"/>
          <w:sz w:val="18"/>
          <w:szCs w:val="18"/>
          <w:lang w:val="es-ES_tradnl"/>
        </w:rPr>
        <w:t>í</w:t>
      </w:r>
      <w:r>
        <w:rPr>
          <w:spacing w:val="-6"/>
          <w:sz w:val="18"/>
          <w:szCs w:val="18"/>
          <w:lang w:val="es-ES_tradnl"/>
        </w:rPr>
        <w:t xml:space="preserve">a </w:t>
      </w:r>
      <w:r>
        <w:rPr>
          <w:spacing w:val="-1"/>
          <w:sz w:val="18"/>
          <w:szCs w:val="18"/>
          <w:lang w:val="es-ES_tradnl"/>
        </w:rPr>
        <w:t>constitucional y proteger los derechos, garant</w:t>
      </w:r>
      <w:r>
        <w:rPr>
          <w:rFonts w:cs="Times New Roman"/>
          <w:spacing w:val="-1"/>
          <w:sz w:val="18"/>
          <w:szCs w:val="18"/>
          <w:lang w:val="es-ES_tradnl"/>
        </w:rPr>
        <w:t>í</w:t>
      </w:r>
      <w:r>
        <w:rPr>
          <w:spacing w:val="-1"/>
          <w:sz w:val="18"/>
          <w:szCs w:val="18"/>
          <w:lang w:val="es-ES_tradnl"/>
        </w:rPr>
        <w:t xml:space="preserve">as y </w:t>
      </w:r>
      <w:r>
        <w:rPr>
          <w:sz w:val="18"/>
          <w:szCs w:val="18"/>
          <w:lang w:val="es-ES_tradnl"/>
        </w:rPr>
        <w:t>libertades p</w:t>
      </w:r>
      <w:r>
        <w:rPr>
          <w:rFonts w:cs="Times New Roman"/>
          <w:sz w:val="18"/>
          <w:szCs w:val="18"/>
          <w:lang w:val="es-ES_tradnl"/>
        </w:rPr>
        <w:t>ú</w:t>
      </w:r>
      <w:r>
        <w:rPr>
          <w:sz w:val="18"/>
          <w:szCs w:val="18"/>
          <w:lang w:val="es-ES_tradnl"/>
        </w:rPr>
        <w:t>blicas.</w:t>
      </w:r>
    </w:p>
    <w:p w14:paraId="4F67A591" w14:textId="77777777" w:rsidR="00591D54" w:rsidRDefault="00591D54">
      <w:pPr>
        <w:shd w:val="clear" w:color="auto" w:fill="FFFFFF"/>
        <w:spacing w:before="197" w:line="216" w:lineRule="exact"/>
        <w:jc w:val="both"/>
      </w:pPr>
      <w:r>
        <w:rPr>
          <w:spacing w:val="-8"/>
          <w:sz w:val="18"/>
          <w:szCs w:val="18"/>
          <w:lang w:val="es-ES_tradnl"/>
        </w:rPr>
        <w:t>La acci</w:t>
      </w:r>
      <w:r>
        <w:rPr>
          <w:rFonts w:cs="Times New Roman"/>
          <w:spacing w:val="-8"/>
          <w:sz w:val="18"/>
          <w:szCs w:val="18"/>
          <w:lang w:val="es-ES_tradnl"/>
        </w:rPr>
        <w:t>ó</w:t>
      </w:r>
      <w:r>
        <w:rPr>
          <w:spacing w:val="-8"/>
          <w:sz w:val="18"/>
          <w:szCs w:val="18"/>
          <w:lang w:val="es-ES_tradnl"/>
        </w:rPr>
        <w:t>n de inconstitucionalidad en su naturaleza jur</w:t>
      </w:r>
      <w:r>
        <w:rPr>
          <w:rFonts w:cs="Times New Roman"/>
          <w:spacing w:val="-8"/>
          <w:sz w:val="18"/>
          <w:szCs w:val="18"/>
          <w:lang w:val="es-ES_tradnl"/>
        </w:rPr>
        <w:t>í</w:t>
      </w:r>
      <w:r>
        <w:rPr>
          <w:spacing w:val="-8"/>
          <w:sz w:val="18"/>
          <w:szCs w:val="18"/>
          <w:lang w:val="es-ES_tradnl"/>
        </w:rPr>
        <w:t xml:space="preserve">dica, </w:t>
      </w:r>
      <w:r>
        <w:rPr>
          <w:spacing w:val="-5"/>
          <w:sz w:val="18"/>
          <w:szCs w:val="18"/>
          <w:lang w:val="es-ES_tradnl"/>
        </w:rPr>
        <w:t>es p</w:t>
      </w:r>
      <w:r>
        <w:rPr>
          <w:rFonts w:cs="Times New Roman"/>
          <w:spacing w:val="-5"/>
          <w:sz w:val="18"/>
          <w:szCs w:val="18"/>
          <w:lang w:val="es-ES_tradnl"/>
        </w:rPr>
        <w:t>ú</w:t>
      </w:r>
      <w:r>
        <w:rPr>
          <w:spacing w:val="-5"/>
          <w:sz w:val="18"/>
          <w:szCs w:val="18"/>
          <w:lang w:val="es-ES_tradnl"/>
        </w:rPr>
        <w:t xml:space="preserve">blica y participativa, pues se vincula expresamente con el derecho de todo ciudadano de participar en la </w:t>
      </w:r>
      <w:r>
        <w:rPr>
          <w:sz w:val="18"/>
          <w:szCs w:val="18"/>
          <w:lang w:val="es-ES_tradnl"/>
        </w:rPr>
        <w:t>conformaci</w:t>
      </w:r>
      <w:r>
        <w:rPr>
          <w:rFonts w:cs="Times New Roman"/>
          <w:sz w:val="18"/>
          <w:szCs w:val="18"/>
          <w:lang w:val="es-ES_tradnl"/>
        </w:rPr>
        <w:t>ó</w:t>
      </w:r>
      <w:r>
        <w:rPr>
          <w:sz w:val="18"/>
          <w:szCs w:val="18"/>
          <w:lang w:val="es-ES_tradnl"/>
        </w:rPr>
        <w:t>n, ejercicio y control del poder pol</w:t>
      </w:r>
      <w:r>
        <w:rPr>
          <w:rFonts w:cs="Times New Roman"/>
          <w:sz w:val="18"/>
          <w:szCs w:val="18"/>
          <w:lang w:val="es-ES_tradnl"/>
        </w:rPr>
        <w:t>í</w:t>
      </w:r>
      <w:r>
        <w:rPr>
          <w:sz w:val="18"/>
          <w:szCs w:val="18"/>
          <w:lang w:val="es-ES_tradnl"/>
        </w:rPr>
        <w:t xml:space="preserve">tico. </w:t>
      </w:r>
      <w:r>
        <w:rPr>
          <w:spacing w:val="-6"/>
          <w:sz w:val="18"/>
          <w:szCs w:val="18"/>
          <w:lang w:val="es-ES_tradnl"/>
        </w:rPr>
        <w:t>Con ese prop</w:t>
      </w:r>
      <w:r>
        <w:rPr>
          <w:rFonts w:cs="Times New Roman"/>
          <w:spacing w:val="-6"/>
          <w:sz w:val="18"/>
          <w:szCs w:val="18"/>
          <w:lang w:val="es-ES_tradnl"/>
        </w:rPr>
        <w:t>ó</w:t>
      </w:r>
      <w:r>
        <w:rPr>
          <w:spacing w:val="-6"/>
          <w:sz w:val="18"/>
          <w:szCs w:val="18"/>
          <w:lang w:val="es-ES_tradnl"/>
        </w:rPr>
        <w:t xml:space="preserve">sito, se otorga al ciudadano la facultad de </w:t>
      </w:r>
      <w:r>
        <w:rPr>
          <w:spacing w:val="-8"/>
          <w:sz w:val="18"/>
          <w:szCs w:val="18"/>
          <w:lang w:val="es-ES_tradnl"/>
        </w:rPr>
        <w:t>interponer acciones p</w:t>
      </w:r>
      <w:r>
        <w:rPr>
          <w:rFonts w:cs="Times New Roman"/>
          <w:spacing w:val="-8"/>
          <w:sz w:val="18"/>
          <w:szCs w:val="18"/>
          <w:lang w:val="es-ES_tradnl"/>
        </w:rPr>
        <w:t>ú</w:t>
      </w:r>
      <w:r>
        <w:rPr>
          <w:spacing w:val="-8"/>
          <w:sz w:val="18"/>
          <w:szCs w:val="18"/>
          <w:lang w:val="es-ES_tradnl"/>
        </w:rPr>
        <w:t>blicas en defensa de la Constituci</w:t>
      </w:r>
      <w:r>
        <w:rPr>
          <w:rFonts w:cs="Times New Roman"/>
          <w:spacing w:val="-8"/>
          <w:sz w:val="18"/>
          <w:szCs w:val="18"/>
          <w:lang w:val="es-ES_tradnl"/>
        </w:rPr>
        <w:t>ó</w:t>
      </w:r>
      <w:r>
        <w:rPr>
          <w:spacing w:val="-8"/>
          <w:sz w:val="18"/>
          <w:szCs w:val="18"/>
          <w:lang w:val="es-ES_tradnl"/>
        </w:rPr>
        <w:t xml:space="preserve">n </w:t>
      </w:r>
      <w:r>
        <w:rPr>
          <w:spacing w:val="-5"/>
          <w:sz w:val="18"/>
          <w:szCs w:val="18"/>
          <w:lang w:val="es-ES_tradnl"/>
        </w:rPr>
        <w:t>y de la validez de la ley, entendi</w:t>
      </w:r>
      <w:r>
        <w:rPr>
          <w:rFonts w:cs="Times New Roman"/>
          <w:spacing w:val="-5"/>
          <w:sz w:val="18"/>
          <w:szCs w:val="18"/>
          <w:lang w:val="es-ES_tradnl"/>
        </w:rPr>
        <w:t>é</w:t>
      </w:r>
      <w:r>
        <w:rPr>
          <w:spacing w:val="-5"/>
          <w:sz w:val="18"/>
          <w:szCs w:val="18"/>
          <w:lang w:val="es-ES_tradnl"/>
        </w:rPr>
        <w:t xml:space="preserve">ndose por validez la </w:t>
      </w:r>
      <w:r>
        <w:rPr>
          <w:spacing w:val="-6"/>
          <w:sz w:val="18"/>
          <w:szCs w:val="18"/>
          <w:lang w:val="es-ES_tradnl"/>
        </w:rPr>
        <w:t>conformidad de esta con los contenidos constitucionales.</w:t>
      </w:r>
    </w:p>
    <w:p w14:paraId="4F67A592" w14:textId="77777777" w:rsidR="00591D54" w:rsidRDefault="00591D54">
      <w:pPr>
        <w:shd w:val="clear" w:color="auto" w:fill="FFFFFF"/>
        <w:spacing w:before="197" w:line="216" w:lineRule="exact"/>
        <w:jc w:val="both"/>
      </w:pPr>
      <w:r>
        <w:rPr>
          <w:sz w:val="18"/>
          <w:szCs w:val="18"/>
          <w:lang w:val="es-ES_tradnl"/>
        </w:rPr>
        <w:t>La interposici</w:t>
      </w:r>
      <w:r>
        <w:rPr>
          <w:rFonts w:cs="Times New Roman"/>
          <w:sz w:val="18"/>
          <w:szCs w:val="18"/>
          <w:lang w:val="es-ES_tradnl"/>
        </w:rPr>
        <w:t>ó</w:t>
      </w:r>
      <w:r>
        <w:rPr>
          <w:sz w:val="18"/>
          <w:szCs w:val="18"/>
          <w:lang w:val="es-ES_tradnl"/>
        </w:rPr>
        <w:t>n de la acci</w:t>
      </w:r>
      <w:r>
        <w:rPr>
          <w:rFonts w:cs="Times New Roman"/>
          <w:sz w:val="18"/>
          <w:szCs w:val="18"/>
          <w:lang w:val="es-ES_tradnl"/>
        </w:rPr>
        <w:t>ó</w:t>
      </w:r>
      <w:r>
        <w:rPr>
          <w:sz w:val="18"/>
          <w:szCs w:val="18"/>
          <w:lang w:val="es-ES_tradnl"/>
        </w:rPr>
        <w:t xml:space="preserve">n de inconstitucionalidad </w:t>
      </w:r>
      <w:r>
        <w:rPr>
          <w:spacing w:val="-6"/>
          <w:sz w:val="18"/>
          <w:szCs w:val="18"/>
          <w:lang w:val="es-ES_tradnl"/>
        </w:rPr>
        <w:t>tiene una justificaci</w:t>
      </w:r>
      <w:r>
        <w:rPr>
          <w:rFonts w:cs="Times New Roman"/>
          <w:spacing w:val="-6"/>
          <w:sz w:val="18"/>
          <w:szCs w:val="18"/>
          <w:lang w:val="es-ES_tradnl"/>
        </w:rPr>
        <w:t>ó</w:t>
      </w:r>
      <w:r>
        <w:rPr>
          <w:spacing w:val="-6"/>
          <w:sz w:val="18"/>
          <w:szCs w:val="18"/>
          <w:lang w:val="es-ES_tradnl"/>
        </w:rPr>
        <w:t>n intr</w:t>
      </w:r>
      <w:r>
        <w:rPr>
          <w:rFonts w:cs="Times New Roman"/>
          <w:spacing w:val="-6"/>
          <w:sz w:val="18"/>
          <w:szCs w:val="18"/>
          <w:lang w:val="es-ES_tradnl"/>
        </w:rPr>
        <w:t>í</w:t>
      </w:r>
      <w:r>
        <w:rPr>
          <w:spacing w:val="-6"/>
          <w:sz w:val="18"/>
          <w:szCs w:val="18"/>
          <w:lang w:val="es-ES_tradnl"/>
        </w:rPr>
        <w:t xml:space="preserve">nseca como episodio de la vida </w:t>
      </w:r>
      <w:r>
        <w:rPr>
          <w:spacing w:val="-5"/>
          <w:sz w:val="18"/>
          <w:szCs w:val="18"/>
          <w:lang w:val="es-ES_tradnl"/>
        </w:rPr>
        <w:t>democr</w:t>
      </w:r>
      <w:r>
        <w:rPr>
          <w:rFonts w:cs="Times New Roman"/>
          <w:spacing w:val="-5"/>
          <w:sz w:val="18"/>
          <w:szCs w:val="18"/>
          <w:lang w:val="es-ES_tradnl"/>
        </w:rPr>
        <w:t>á</w:t>
      </w:r>
      <w:r>
        <w:rPr>
          <w:spacing w:val="-5"/>
          <w:sz w:val="18"/>
          <w:szCs w:val="18"/>
          <w:lang w:val="es-ES_tradnl"/>
        </w:rPr>
        <w:t>tica y est</w:t>
      </w:r>
      <w:r>
        <w:rPr>
          <w:rFonts w:cs="Times New Roman"/>
          <w:spacing w:val="-5"/>
          <w:sz w:val="18"/>
          <w:szCs w:val="18"/>
          <w:lang w:val="es-ES_tradnl"/>
        </w:rPr>
        <w:t>á</w:t>
      </w:r>
      <w:r>
        <w:rPr>
          <w:spacing w:val="-5"/>
          <w:sz w:val="18"/>
          <w:szCs w:val="18"/>
          <w:lang w:val="es-ES_tradnl"/>
        </w:rPr>
        <w:t xml:space="preserve">, por lo tanto, desligada de cualquier </w:t>
      </w:r>
      <w:r>
        <w:rPr>
          <w:spacing w:val="-4"/>
          <w:sz w:val="18"/>
          <w:szCs w:val="18"/>
          <w:lang w:val="es-ES_tradnl"/>
        </w:rPr>
        <w:t>proceso espec</w:t>
      </w:r>
      <w:r>
        <w:rPr>
          <w:rFonts w:cs="Times New Roman"/>
          <w:spacing w:val="-4"/>
          <w:sz w:val="18"/>
          <w:szCs w:val="18"/>
          <w:lang w:val="es-ES_tradnl"/>
        </w:rPr>
        <w:t>í</w:t>
      </w:r>
      <w:r>
        <w:rPr>
          <w:spacing w:val="-4"/>
          <w:sz w:val="18"/>
          <w:szCs w:val="18"/>
          <w:lang w:val="es-ES_tradnl"/>
        </w:rPr>
        <w:t>fico en curso o de la eventual aplicaci</w:t>
      </w:r>
      <w:r>
        <w:rPr>
          <w:rFonts w:cs="Times New Roman"/>
          <w:spacing w:val="-4"/>
          <w:sz w:val="18"/>
          <w:szCs w:val="18"/>
          <w:lang w:val="es-ES_tradnl"/>
        </w:rPr>
        <w:t>ó</w:t>
      </w:r>
      <w:r>
        <w:rPr>
          <w:spacing w:val="-4"/>
          <w:sz w:val="18"/>
          <w:szCs w:val="18"/>
          <w:lang w:val="es-ES_tradnl"/>
        </w:rPr>
        <w:t xml:space="preserve">n </w:t>
      </w:r>
      <w:r>
        <w:rPr>
          <w:spacing w:val="-2"/>
          <w:sz w:val="18"/>
          <w:szCs w:val="18"/>
          <w:lang w:val="es-ES_tradnl"/>
        </w:rPr>
        <w:t>de la ley a un caso concreto; por el contrario, la acci</w:t>
      </w:r>
      <w:r>
        <w:rPr>
          <w:rFonts w:cs="Times New Roman"/>
          <w:spacing w:val="-2"/>
          <w:sz w:val="18"/>
          <w:szCs w:val="18"/>
          <w:lang w:val="es-ES_tradnl"/>
        </w:rPr>
        <w:t>ó</w:t>
      </w:r>
      <w:r>
        <w:rPr>
          <w:spacing w:val="-2"/>
          <w:sz w:val="18"/>
          <w:szCs w:val="18"/>
          <w:lang w:val="es-ES_tradnl"/>
        </w:rPr>
        <w:t>n</w:t>
      </w:r>
    </w:p>
    <w:p w14:paraId="4F67A593" w14:textId="77777777" w:rsidR="00591D54" w:rsidRDefault="00591D54">
      <w:pPr>
        <w:shd w:val="clear" w:color="auto" w:fill="FFFFFF"/>
        <w:spacing w:before="197" w:line="216" w:lineRule="exact"/>
        <w:jc w:val="both"/>
        <w:sectPr w:rsidR="00591D54">
          <w:type w:val="continuous"/>
          <w:pgSz w:w="11909" w:h="16834"/>
          <w:pgMar w:top="1371" w:right="1309" w:bottom="360" w:left="1308" w:header="720" w:footer="720" w:gutter="0"/>
          <w:cols w:num="2" w:space="720" w:equalWidth="0">
            <w:col w:w="4305" w:space="682"/>
            <w:col w:w="4305"/>
          </w:cols>
          <w:noEndnote/>
        </w:sectPr>
      </w:pPr>
    </w:p>
    <w:p w14:paraId="4F67A594" w14:textId="77777777" w:rsidR="00591D54" w:rsidRDefault="00591D54">
      <w:pPr>
        <w:shd w:val="clear" w:color="auto" w:fill="FFFFFF"/>
        <w:tabs>
          <w:tab w:val="left" w:pos="4814"/>
        </w:tabs>
        <w:spacing w:after="230"/>
        <w:ind w:left="5"/>
      </w:pPr>
      <w:r>
        <w:rPr>
          <w:b/>
          <w:bCs/>
          <w:sz w:val="18"/>
          <w:szCs w:val="18"/>
          <w:lang w:val="es-ES_tradnl"/>
        </w:rPr>
        <w:t xml:space="preserve">30 -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595" w14:textId="77777777" w:rsidR="00591D54" w:rsidRDefault="00591D54">
      <w:pPr>
        <w:shd w:val="clear" w:color="auto" w:fill="FFFFFF"/>
        <w:tabs>
          <w:tab w:val="left" w:pos="4814"/>
        </w:tabs>
        <w:spacing w:after="230"/>
        <w:ind w:left="5"/>
        <w:sectPr w:rsidR="00591D54">
          <w:pgSz w:w="11909" w:h="16834"/>
          <w:pgMar w:top="1356" w:right="1304" w:bottom="360" w:left="1308" w:header="720" w:footer="720" w:gutter="0"/>
          <w:cols w:space="60"/>
          <w:noEndnote/>
        </w:sectPr>
      </w:pPr>
    </w:p>
    <w:p w14:paraId="4F67A596" w14:textId="77777777" w:rsidR="00591D54" w:rsidRDefault="00591D54">
      <w:pPr>
        <w:shd w:val="clear" w:color="auto" w:fill="FFFFFF"/>
        <w:spacing w:line="216" w:lineRule="exact"/>
        <w:jc w:val="both"/>
      </w:pPr>
      <w:r>
        <w:rPr>
          <w:spacing w:val="-4"/>
          <w:sz w:val="18"/>
          <w:szCs w:val="18"/>
          <w:lang w:val="es-ES_tradnl"/>
        </w:rPr>
        <w:t xml:space="preserve">de inconstitucionalidad </w:t>
      </w:r>
      <w:r>
        <w:rPr>
          <w:i/>
          <w:iCs/>
          <w:spacing w:val="-4"/>
          <w:sz w:val="18"/>
          <w:szCs w:val="18"/>
          <w:lang w:val="es-ES_tradnl"/>
        </w:rPr>
        <w:t xml:space="preserve">per se </w:t>
      </w:r>
      <w:r>
        <w:rPr>
          <w:spacing w:val="-4"/>
          <w:sz w:val="18"/>
          <w:szCs w:val="18"/>
          <w:lang w:val="es-ES_tradnl"/>
        </w:rPr>
        <w:t xml:space="preserve">da lugar a un proceso </w:t>
      </w:r>
      <w:r>
        <w:rPr>
          <w:spacing w:val="-9"/>
          <w:sz w:val="18"/>
          <w:szCs w:val="18"/>
          <w:lang w:val="es-ES_tradnl"/>
        </w:rPr>
        <w:t>aut</w:t>
      </w:r>
      <w:r>
        <w:rPr>
          <w:rFonts w:cs="Times New Roman"/>
          <w:spacing w:val="-9"/>
          <w:sz w:val="18"/>
          <w:szCs w:val="18"/>
          <w:lang w:val="es-ES_tradnl"/>
        </w:rPr>
        <w:t>ó</w:t>
      </w:r>
      <w:r>
        <w:rPr>
          <w:spacing w:val="-9"/>
          <w:sz w:val="18"/>
          <w:szCs w:val="18"/>
          <w:lang w:val="es-ES_tradnl"/>
        </w:rPr>
        <w:t>nomo e independiente, en el que prevalece su car</w:t>
      </w:r>
      <w:r>
        <w:rPr>
          <w:rFonts w:cs="Times New Roman"/>
          <w:spacing w:val="-9"/>
          <w:sz w:val="18"/>
          <w:szCs w:val="18"/>
          <w:lang w:val="es-ES_tradnl"/>
        </w:rPr>
        <w:t>á</w:t>
      </w:r>
      <w:r>
        <w:rPr>
          <w:spacing w:val="-9"/>
          <w:sz w:val="18"/>
          <w:szCs w:val="18"/>
          <w:lang w:val="es-ES_tradnl"/>
        </w:rPr>
        <w:t xml:space="preserve">cter </w:t>
      </w:r>
      <w:r>
        <w:rPr>
          <w:sz w:val="18"/>
          <w:szCs w:val="18"/>
          <w:lang w:val="es-ES_tradnl"/>
        </w:rPr>
        <w:t>abstracto y participativo.</w:t>
      </w:r>
    </w:p>
    <w:p w14:paraId="4F67A597" w14:textId="77777777" w:rsidR="00591D54" w:rsidRDefault="00591D54">
      <w:pPr>
        <w:shd w:val="clear" w:color="auto" w:fill="FFFFFF"/>
        <w:spacing w:before="192" w:line="216" w:lineRule="exact"/>
        <w:jc w:val="both"/>
      </w:pPr>
      <w:r>
        <w:rPr>
          <w:spacing w:val="-5"/>
          <w:sz w:val="18"/>
          <w:szCs w:val="18"/>
          <w:lang w:val="es-ES_tradnl"/>
        </w:rPr>
        <w:t>En esta acci</w:t>
      </w:r>
      <w:r>
        <w:rPr>
          <w:rFonts w:cs="Times New Roman"/>
          <w:spacing w:val="-5"/>
          <w:sz w:val="18"/>
          <w:szCs w:val="18"/>
          <w:lang w:val="es-ES_tradnl"/>
        </w:rPr>
        <w:t>ó</w:t>
      </w:r>
      <w:r>
        <w:rPr>
          <w:spacing w:val="-5"/>
          <w:sz w:val="18"/>
          <w:szCs w:val="18"/>
          <w:lang w:val="es-ES_tradnl"/>
        </w:rPr>
        <w:t xml:space="preserve">n, la Corte Constitucional debe hacer un </w:t>
      </w:r>
      <w:r>
        <w:rPr>
          <w:sz w:val="18"/>
          <w:szCs w:val="18"/>
          <w:lang w:val="es-ES_tradnl"/>
        </w:rPr>
        <w:t xml:space="preserve">control integral y de unidad normativa, a fin de que, </w:t>
      </w:r>
      <w:r>
        <w:rPr>
          <w:spacing w:val="-6"/>
          <w:sz w:val="18"/>
          <w:szCs w:val="18"/>
          <w:lang w:val="es-ES_tradnl"/>
        </w:rPr>
        <w:t xml:space="preserve">en la sentencia, se pronuncie de fondo sobre todas las </w:t>
      </w:r>
      <w:r>
        <w:rPr>
          <w:spacing w:val="-3"/>
          <w:sz w:val="18"/>
          <w:szCs w:val="18"/>
          <w:lang w:val="es-ES_tradnl"/>
        </w:rPr>
        <w:t xml:space="preserve">normas o actos demandados; adicionalmente, el fallo </w:t>
      </w:r>
      <w:r>
        <w:rPr>
          <w:spacing w:val="-9"/>
          <w:sz w:val="18"/>
          <w:szCs w:val="18"/>
          <w:lang w:val="es-ES_tradnl"/>
        </w:rPr>
        <w:t>podr</w:t>
      </w:r>
      <w:r>
        <w:rPr>
          <w:rFonts w:cs="Times New Roman"/>
          <w:spacing w:val="-9"/>
          <w:sz w:val="18"/>
          <w:szCs w:val="18"/>
          <w:lang w:val="es-ES_tradnl"/>
        </w:rPr>
        <w:t>á</w:t>
      </w:r>
      <w:r>
        <w:rPr>
          <w:spacing w:val="-9"/>
          <w:sz w:val="18"/>
          <w:szCs w:val="18"/>
          <w:lang w:val="es-ES_tradnl"/>
        </w:rPr>
        <w:t xml:space="preserve"> referirse a normas no demandadas que sin embargo, </w:t>
      </w:r>
      <w:r>
        <w:rPr>
          <w:spacing w:val="-8"/>
          <w:sz w:val="18"/>
          <w:szCs w:val="18"/>
          <w:lang w:val="es-ES_tradnl"/>
        </w:rPr>
        <w:t xml:space="preserve">conformen unidad normativa con aquellas que se declaran </w:t>
      </w:r>
      <w:r>
        <w:rPr>
          <w:spacing w:val="-6"/>
          <w:sz w:val="18"/>
          <w:szCs w:val="18"/>
          <w:lang w:val="es-ES_tradnl"/>
        </w:rPr>
        <w:t xml:space="preserve">inconstitucionales. La unidad normativa se define a partir </w:t>
      </w:r>
      <w:r>
        <w:rPr>
          <w:spacing w:val="-7"/>
          <w:sz w:val="18"/>
          <w:szCs w:val="18"/>
          <w:lang w:val="es-ES_tradnl"/>
        </w:rPr>
        <w:t>de la existencia de una relaci</w:t>
      </w:r>
      <w:r>
        <w:rPr>
          <w:rFonts w:cs="Times New Roman"/>
          <w:spacing w:val="-7"/>
          <w:sz w:val="18"/>
          <w:szCs w:val="18"/>
          <w:lang w:val="es-ES_tradnl"/>
        </w:rPr>
        <w:t>ó</w:t>
      </w:r>
      <w:r>
        <w:rPr>
          <w:spacing w:val="-7"/>
          <w:sz w:val="18"/>
          <w:szCs w:val="18"/>
          <w:lang w:val="es-ES_tradnl"/>
        </w:rPr>
        <w:t>n l</w:t>
      </w:r>
      <w:r>
        <w:rPr>
          <w:rFonts w:cs="Times New Roman"/>
          <w:spacing w:val="-7"/>
          <w:sz w:val="18"/>
          <w:szCs w:val="18"/>
          <w:lang w:val="es-ES_tradnl"/>
        </w:rPr>
        <w:t>ó</w:t>
      </w:r>
      <w:r>
        <w:rPr>
          <w:spacing w:val="-7"/>
          <w:sz w:val="18"/>
          <w:szCs w:val="18"/>
          <w:lang w:val="es-ES_tradnl"/>
        </w:rPr>
        <w:t xml:space="preserve">gica, necesaria, principal </w:t>
      </w:r>
      <w:r>
        <w:rPr>
          <w:spacing w:val="-6"/>
          <w:sz w:val="18"/>
          <w:szCs w:val="18"/>
          <w:lang w:val="es-ES_tradnl"/>
        </w:rPr>
        <w:t xml:space="preserve">y objetiva entre las disposiciones que son objeto de la </w:t>
      </w:r>
      <w:r>
        <w:rPr>
          <w:spacing w:val="-5"/>
          <w:sz w:val="18"/>
          <w:szCs w:val="18"/>
          <w:lang w:val="es-ES_tradnl"/>
        </w:rPr>
        <w:t>declaraci</w:t>
      </w:r>
      <w:r>
        <w:rPr>
          <w:rFonts w:cs="Times New Roman"/>
          <w:spacing w:val="-5"/>
          <w:sz w:val="18"/>
          <w:szCs w:val="18"/>
          <w:lang w:val="es-ES_tradnl"/>
        </w:rPr>
        <w:t>ó</w:t>
      </w:r>
      <w:r>
        <w:rPr>
          <w:spacing w:val="-5"/>
          <w:sz w:val="18"/>
          <w:szCs w:val="18"/>
          <w:lang w:val="es-ES_tradnl"/>
        </w:rPr>
        <w:t xml:space="preserve">n de inconstitucionalidad y las que identifica la </w:t>
      </w:r>
      <w:r>
        <w:rPr>
          <w:spacing w:val="-8"/>
          <w:sz w:val="18"/>
          <w:szCs w:val="18"/>
          <w:lang w:val="es-ES_tradnl"/>
        </w:rPr>
        <w:t xml:space="preserve">Corte Constitucional, unidad que se conforma con el objeto </w:t>
      </w:r>
      <w:r>
        <w:rPr>
          <w:spacing w:val="-5"/>
          <w:sz w:val="18"/>
          <w:szCs w:val="18"/>
          <w:lang w:val="es-ES_tradnl"/>
        </w:rPr>
        <w:t xml:space="preserve">de que el fallo de inconstitucionalidad que se profiera no </w:t>
      </w:r>
      <w:r>
        <w:rPr>
          <w:sz w:val="18"/>
          <w:szCs w:val="18"/>
          <w:lang w:val="es-ES_tradnl"/>
        </w:rPr>
        <w:t>vaya a ser inocuo.</w:t>
      </w:r>
    </w:p>
    <w:p w14:paraId="4F67A598" w14:textId="77777777" w:rsidR="00591D54" w:rsidRDefault="00591D54">
      <w:pPr>
        <w:shd w:val="clear" w:color="auto" w:fill="FFFFFF"/>
        <w:spacing w:before="192" w:line="211" w:lineRule="exact"/>
        <w:jc w:val="both"/>
      </w:pPr>
      <w:r>
        <w:rPr>
          <w:spacing w:val="-3"/>
          <w:sz w:val="18"/>
          <w:szCs w:val="18"/>
          <w:lang w:val="es-ES_tradnl"/>
        </w:rPr>
        <w:t>La Constituci</w:t>
      </w:r>
      <w:r>
        <w:rPr>
          <w:rFonts w:cs="Times New Roman"/>
          <w:spacing w:val="-3"/>
          <w:sz w:val="18"/>
          <w:szCs w:val="18"/>
          <w:lang w:val="es-ES_tradnl"/>
        </w:rPr>
        <w:t>ó</w:t>
      </w:r>
      <w:r>
        <w:rPr>
          <w:spacing w:val="-3"/>
          <w:sz w:val="18"/>
          <w:szCs w:val="18"/>
          <w:lang w:val="es-ES_tradnl"/>
        </w:rPr>
        <w:t xml:space="preserve">n postula su pleno valor normativo al </w:t>
      </w:r>
      <w:r>
        <w:rPr>
          <w:spacing w:val="-11"/>
          <w:sz w:val="18"/>
          <w:szCs w:val="18"/>
          <w:lang w:val="es-ES_tradnl"/>
        </w:rPr>
        <w:t xml:space="preserve">establecer que es la norma suprema (norma de normas), que </w:t>
      </w:r>
      <w:r>
        <w:rPr>
          <w:spacing w:val="-7"/>
          <w:sz w:val="18"/>
          <w:szCs w:val="18"/>
          <w:lang w:val="es-ES_tradnl"/>
        </w:rPr>
        <w:t>prevalece sobre cualquier otra del ordenamiento jur</w:t>
      </w:r>
      <w:r>
        <w:rPr>
          <w:rFonts w:cs="Times New Roman"/>
          <w:spacing w:val="-7"/>
          <w:sz w:val="18"/>
          <w:szCs w:val="18"/>
          <w:lang w:val="es-ES_tradnl"/>
        </w:rPr>
        <w:t>í</w:t>
      </w:r>
      <w:r>
        <w:rPr>
          <w:spacing w:val="-7"/>
          <w:sz w:val="18"/>
          <w:szCs w:val="18"/>
          <w:lang w:val="es-ES_tradnl"/>
        </w:rPr>
        <w:t xml:space="preserve">dico y </w:t>
      </w:r>
      <w:r>
        <w:rPr>
          <w:spacing w:val="-8"/>
          <w:sz w:val="18"/>
          <w:szCs w:val="18"/>
          <w:lang w:val="es-ES_tradnl"/>
        </w:rPr>
        <w:t xml:space="preserve">que con los tratados internacionales de derechos humanos </w:t>
      </w:r>
      <w:r>
        <w:rPr>
          <w:spacing w:val="-6"/>
          <w:sz w:val="18"/>
          <w:szCs w:val="18"/>
          <w:lang w:val="es-ES_tradnl"/>
        </w:rPr>
        <w:t>ratificados por el Estado que reconozcan derechos m</w:t>
      </w:r>
      <w:r>
        <w:rPr>
          <w:rFonts w:cs="Times New Roman"/>
          <w:spacing w:val="-6"/>
          <w:sz w:val="18"/>
          <w:szCs w:val="18"/>
          <w:lang w:val="es-ES_tradnl"/>
        </w:rPr>
        <w:t>á</w:t>
      </w:r>
      <w:r>
        <w:rPr>
          <w:spacing w:val="-6"/>
          <w:sz w:val="18"/>
          <w:szCs w:val="18"/>
          <w:lang w:val="es-ES_tradnl"/>
        </w:rPr>
        <w:t xml:space="preserve">s </w:t>
      </w:r>
      <w:r>
        <w:rPr>
          <w:spacing w:val="-5"/>
          <w:sz w:val="18"/>
          <w:szCs w:val="18"/>
          <w:lang w:val="es-ES_tradnl"/>
        </w:rPr>
        <w:t>favorables que los establecidos en la Constituci</w:t>
      </w:r>
      <w:r>
        <w:rPr>
          <w:rFonts w:cs="Times New Roman"/>
          <w:spacing w:val="-5"/>
          <w:sz w:val="18"/>
          <w:szCs w:val="18"/>
          <w:lang w:val="es-ES_tradnl"/>
        </w:rPr>
        <w:t>ó</w:t>
      </w:r>
      <w:r>
        <w:rPr>
          <w:spacing w:val="-5"/>
          <w:sz w:val="18"/>
          <w:szCs w:val="18"/>
          <w:lang w:val="es-ES_tradnl"/>
        </w:rPr>
        <w:t xml:space="preserve">n, tiene </w:t>
      </w:r>
      <w:r>
        <w:rPr>
          <w:spacing w:val="-13"/>
          <w:sz w:val="18"/>
          <w:szCs w:val="18"/>
          <w:lang w:val="es-ES_tradnl"/>
        </w:rPr>
        <w:t>supremac</w:t>
      </w:r>
      <w:r>
        <w:rPr>
          <w:rFonts w:cs="Times New Roman"/>
          <w:spacing w:val="-13"/>
          <w:sz w:val="18"/>
          <w:szCs w:val="18"/>
          <w:lang w:val="es-ES_tradnl"/>
        </w:rPr>
        <w:t>í</w:t>
      </w:r>
      <w:r>
        <w:rPr>
          <w:spacing w:val="-13"/>
          <w:sz w:val="18"/>
          <w:szCs w:val="18"/>
          <w:lang w:val="es-ES_tradnl"/>
        </w:rPr>
        <w:t>a sobre cualquier otra norma</w:t>
      </w:r>
      <w:r>
        <w:rPr>
          <w:b/>
          <w:bCs/>
          <w:spacing w:val="-13"/>
          <w:sz w:val="18"/>
          <w:szCs w:val="18"/>
          <w:vertAlign w:val="superscript"/>
          <w:lang w:val="es-ES_tradnl"/>
        </w:rPr>
        <w:t>1</w:t>
      </w:r>
      <w:r>
        <w:rPr>
          <w:spacing w:val="-13"/>
          <w:sz w:val="18"/>
          <w:szCs w:val="18"/>
          <w:lang w:val="es-ES_tradnl"/>
        </w:rPr>
        <w:t xml:space="preserve">; que, en todo caso de </w:t>
      </w:r>
      <w:r>
        <w:rPr>
          <w:spacing w:val="-7"/>
          <w:sz w:val="18"/>
          <w:szCs w:val="18"/>
          <w:lang w:val="es-ES_tradnl"/>
        </w:rPr>
        <w:t>incompatibilidad entre la Constituci</w:t>
      </w:r>
      <w:r>
        <w:rPr>
          <w:rFonts w:cs="Times New Roman"/>
          <w:spacing w:val="-7"/>
          <w:sz w:val="18"/>
          <w:szCs w:val="18"/>
          <w:lang w:val="es-ES_tradnl"/>
        </w:rPr>
        <w:t>ó</w:t>
      </w:r>
      <w:r>
        <w:rPr>
          <w:spacing w:val="-7"/>
          <w:sz w:val="18"/>
          <w:szCs w:val="18"/>
          <w:lang w:val="es-ES_tradnl"/>
        </w:rPr>
        <w:t xml:space="preserve">n y la ley u otra norma </w:t>
      </w:r>
      <w:r>
        <w:rPr>
          <w:spacing w:val="-6"/>
          <w:sz w:val="18"/>
          <w:szCs w:val="18"/>
          <w:lang w:val="es-ES_tradnl"/>
        </w:rPr>
        <w:t>jur</w:t>
      </w:r>
      <w:r>
        <w:rPr>
          <w:rFonts w:cs="Times New Roman"/>
          <w:spacing w:val="-6"/>
          <w:sz w:val="18"/>
          <w:szCs w:val="18"/>
          <w:lang w:val="es-ES_tradnl"/>
        </w:rPr>
        <w:t>í</w:t>
      </w:r>
      <w:r>
        <w:rPr>
          <w:spacing w:val="-6"/>
          <w:sz w:val="18"/>
          <w:szCs w:val="18"/>
          <w:lang w:val="es-ES_tradnl"/>
        </w:rPr>
        <w:t>dica, se aplicar</w:t>
      </w:r>
      <w:r>
        <w:rPr>
          <w:rFonts w:cs="Times New Roman"/>
          <w:spacing w:val="-6"/>
          <w:sz w:val="18"/>
          <w:szCs w:val="18"/>
          <w:lang w:val="es-ES_tradnl"/>
        </w:rPr>
        <w:t>á</w:t>
      </w:r>
      <w:r>
        <w:rPr>
          <w:spacing w:val="-6"/>
          <w:sz w:val="18"/>
          <w:szCs w:val="18"/>
          <w:lang w:val="es-ES_tradnl"/>
        </w:rPr>
        <w:t>n las disposiciones constitucionales</w:t>
      </w:r>
      <w:r>
        <w:rPr>
          <w:b/>
          <w:bCs/>
          <w:spacing w:val="-6"/>
          <w:sz w:val="18"/>
          <w:szCs w:val="18"/>
          <w:vertAlign w:val="superscript"/>
          <w:lang w:val="es-ES_tradnl"/>
        </w:rPr>
        <w:t>2</w:t>
      </w:r>
      <w:r>
        <w:rPr>
          <w:spacing w:val="-6"/>
          <w:sz w:val="18"/>
          <w:szCs w:val="18"/>
          <w:lang w:val="es-ES_tradnl"/>
        </w:rPr>
        <w:t xml:space="preserve">; </w:t>
      </w:r>
      <w:r>
        <w:rPr>
          <w:spacing w:val="-8"/>
          <w:sz w:val="18"/>
          <w:szCs w:val="18"/>
          <w:lang w:val="es-ES_tradnl"/>
        </w:rPr>
        <w:t>que los derechos y garant</w:t>
      </w:r>
      <w:r>
        <w:rPr>
          <w:rFonts w:cs="Times New Roman"/>
          <w:spacing w:val="-8"/>
          <w:sz w:val="18"/>
          <w:szCs w:val="18"/>
          <w:lang w:val="es-ES_tradnl"/>
        </w:rPr>
        <w:t>í</w:t>
      </w:r>
      <w:r>
        <w:rPr>
          <w:spacing w:val="-8"/>
          <w:sz w:val="18"/>
          <w:szCs w:val="18"/>
          <w:lang w:val="es-ES_tradnl"/>
        </w:rPr>
        <w:t xml:space="preserve">as consagrados en la norma </w:t>
      </w:r>
      <w:r>
        <w:rPr>
          <w:spacing w:val="-7"/>
          <w:sz w:val="18"/>
          <w:szCs w:val="18"/>
          <w:lang w:val="es-ES_tradnl"/>
        </w:rPr>
        <w:t xml:space="preserve">suprema y en los tratados internacionales de derechos </w:t>
      </w:r>
      <w:r>
        <w:rPr>
          <w:spacing w:val="-6"/>
          <w:sz w:val="18"/>
          <w:szCs w:val="18"/>
          <w:lang w:val="es-ES_tradnl"/>
        </w:rPr>
        <w:t>humanos ser</w:t>
      </w:r>
      <w:r>
        <w:rPr>
          <w:rFonts w:cs="Times New Roman"/>
          <w:spacing w:val="-6"/>
          <w:sz w:val="18"/>
          <w:szCs w:val="18"/>
          <w:lang w:val="es-ES_tradnl"/>
        </w:rPr>
        <w:t>á</w:t>
      </w:r>
      <w:r>
        <w:rPr>
          <w:spacing w:val="-6"/>
          <w:sz w:val="18"/>
          <w:szCs w:val="18"/>
          <w:lang w:val="es-ES_tradnl"/>
        </w:rPr>
        <w:t>n de cumplimiento y aplicaci</w:t>
      </w:r>
      <w:r>
        <w:rPr>
          <w:rFonts w:cs="Times New Roman"/>
          <w:spacing w:val="-6"/>
          <w:sz w:val="18"/>
          <w:szCs w:val="18"/>
          <w:lang w:val="es-ES_tradnl"/>
        </w:rPr>
        <w:t>ó</w:t>
      </w:r>
      <w:r>
        <w:rPr>
          <w:spacing w:val="-6"/>
          <w:sz w:val="18"/>
          <w:szCs w:val="18"/>
          <w:lang w:val="es-ES_tradnl"/>
        </w:rPr>
        <w:t>n inmediata</w:t>
      </w:r>
      <w:r>
        <w:rPr>
          <w:b/>
          <w:bCs/>
          <w:spacing w:val="-6"/>
          <w:sz w:val="18"/>
          <w:szCs w:val="18"/>
          <w:vertAlign w:val="superscript"/>
          <w:lang w:val="es-ES_tradnl"/>
        </w:rPr>
        <w:t>3</w:t>
      </w:r>
      <w:r>
        <w:rPr>
          <w:spacing w:val="-6"/>
          <w:sz w:val="18"/>
          <w:szCs w:val="18"/>
          <w:lang w:val="es-ES_tradnl"/>
        </w:rPr>
        <w:t xml:space="preserve">; </w:t>
      </w:r>
      <w:r>
        <w:rPr>
          <w:spacing w:val="-5"/>
          <w:sz w:val="18"/>
          <w:szCs w:val="18"/>
          <w:lang w:val="es-ES_tradnl"/>
        </w:rPr>
        <w:t>que las normas constitucionales se interpretar</w:t>
      </w:r>
      <w:r>
        <w:rPr>
          <w:rFonts w:cs="Times New Roman"/>
          <w:spacing w:val="-5"/>
          <w:sz w:val="18"/>
          <w:szCs w:val="18"/>
          <w:lang w:val="es-ES_tradnl"/>
        </w:rPr>
        <w:t>á</w:t>
      </w:r>
      <w:r>
        <w:rPr>
          <w:spacing w:val="-5"/>
          <w:sz w:val="18"/>
          <w:szCs w:val="18"/>
          <w:lang w:val="es-ES_tradnl"/>
        </w:rPr>
        <w:t xml:space="preserve">n por el </w:t>
      </w:r>
      <w:r>
        <w:rPr>
          <w:spacing w:val="-6"/>
          <w:sz w:val="18"/>
          <w:szCs w:val="18"/>
          <w:lang w:val="es-ES_tradnl"/>
        </w:rPr>
        <w:t>tenor literal que m</w:t>
      </w:r>
      <w:r>
        <w:rPr>
          <w:rFonts w:cs="Times New Roman"/>
          <w:spacing w:val="-6"/>
          <w:sz w:val="18"/>
          <w:szCs w:val="18"/>
          <w:lang w:val="es-ES_tradnl"/>
        </w:rPr>
        <w:t>á</w:t>
      </w:r>
      <w:r>
        <w:rPr>
          <w:spacing w:val="-6"/>
          <w:sz w:val="18"/>
          <w:szCs w:val="18"/>
          <w:lang w:val="es-ES_tradnl"/>
        </w:rPr>
        <w:t xml:space="preserve">s se ajuste a aquella en su integralidad </w:t>
      </w:r>
      <w:r>
        <w:rPr>
          <w:spacing w:val="-8"/>
          <w:sz w:val="18"/>
          <w:szCs w:val="18"/>
          <w:lang w:val="es-ES_tradnl"/>
        </w:rPr>
        <w:t>y que, en caso de duda, se interpretar</w:t>
      </w:r>
      <w:r>
        <w:rPr>
          <w:rFonts w:cs="Times New Roman"/>
          <w:spacing w:val="-8"/>
          <w:sz w:val="18"/>
          <w:szCs w:val="18"/>
          <w:lang w:val="es-ES_tradnl"/>
        </w:rPr>
        <w:t>á</w:t>
      </w:r>
      <w:r>
        <w:rPr>
          <w:spacing w:val="-8"/>
          <w:sz w:val="18"/>
          <w:szCs w:val="18"/>
          <w:lang w:val="es-ES_tradnl"/>
        </w:rPr>
        <w:t>n en el sentido m</w:t>
      </w:r>
      <w:r>
        <w:rPr>
          <w:rFonts w:cs="Times New Roman"/>
          <w:spacing w:val="-8"/>
          <w:sz w:val="18"/>
          <w:szCs w:val="18"/>
          <w:lang w:val="es-ES_tradnl"/>
        </w:rPr>
        <w:t>á</w:t>
      </w:r>
      <w:r>
        <w:rPr>
          <w:spacing w:val="-8"/>
          <w:sz w:val="18"/>
          <w:szCs w:val="18"/>
          <w:lang w:val="es-ES_tradnl"/>
        </w:rPr>
        <w:t xml:space="preserve">s </w:t>
      </w:r>
      <w:r>
        <w:rPr>
          <w:spacing w:val="-7"/>
          <w:sz w:val="18"/>
          <w:szCs w:val="18"/>
          <w:lang w:val="es-ES_tradnl"/>
        </w:rPr>
        <w:t>favorable para la plena vigencia de los derechos</w:t>
      </w:r>
      <w:r>
        <w:rPr>
          <w:spacing w:val="-7"/>
          <w:sz w:val="18"/>
          <w:szCs w:val="18"/>
          <w:vertAlign w:val="superscript"/>
          <w:lang w:val="es-ES_tradnl"/>
        </w:rPr>
        <w:t>4</w:t>
      </w:r>
      <w:r>
        <w:rPr>
          <w:spacing w:val="-7"/>
          <w:sz w:val="18"/>
          <w:szCs w:val="18"/>
          <w:lang w:val="es-ES_tradnl"/>
        </w:rPr>
        <w:t>.</w:t>
      </w:r>
    </w:p>
    <w:p w14:paraId="4F67A599" w14:textId="77777777" w:rsidR="00591D54" w:rsidRDefault="00591D54">
      <w:pPr>
        <w:shd w:val="clear" w:color="auto" w:fill="FFFFFF"/>
        <w:spacing w:before="187" w:line="216" w:lineRule="exact"/>
        <w:jc w:val="both"/>
      </w:pPr>
      <w:r>
        <w:rPr>
          <w:b/>
          <w:bCs/>
          <w:spacing w:val="-5"/>
          <w:sz w:val="18"/>
          <w:szCs w:val="18"/>
          <w:lang w:val="es-ES_tradnl"/>
        </w:rPr>
        <w:t>La acci</w:t>
      </w:r>
      <w:r>
        <w:rPr>
          <w:rFonts w:cs="Times New Roman"/>
          <w:b/>
          <w:bCs/>
          <w:spacing w:val="-5"/>
          <w:sz w:val="18"/>
          <w:szCs w:val="18"/>
          <w:lang w:val="es-ES_tradnl"/>
        </w:rPr>
        <w:t>ó</w:t>
      </w:r>
      <w:r>
        <w:rPr>
          <w:b/>
          <w:bCs/>
          <w:spacing w:val="-5"/>
          <w:sz w:val="18"/>
          <w:szCs w:val="18"/>
          <w:lang w:val="es-ES_tradnl"/>
        </w:rPr>
        <w:t xml:space="preserve">n de inconstitucionalidad como medio de </w:t>
      </w:r>
      <w:r>
        <w:rPr>
          <w:b/>
          <w:bCs/>
          <w:sz w:val="18"/>
          <w:szCs w:val="18"/>
          <w:lang w:val="es-ES_tradnl"/>
        </w:rPr>
        <w:t>control constitucional.-</w:t>
      </w:r>
    </w:p>
    <w:p w14:paraId="4F67A59A" w14:textId="77777777" w:rsidR="00591D54" w:rsidRDefault="00591D54">
      <w:pPr>
        <w:shd w:val="clear" w:color="auto" w:fill="FFFFFF"/>
        <w:spacing w:before="197" w:line="216" w:lineRule="exact"/>
        <w:jc w:val="both"/>
      </w:pPr>
      <w:r>
        <w:rPr>
          <w:spacing w:val="-6"/>
          <w:sz w:val="18"/>
          <w:szCs w:val="18"/>
          <w:lang w:val="es-ES_tradnl"/>
        </w:rPr>
        <w:t>La importancia de la acci</w:t>
      </w:r>
      <w:r>
        <w:rPr>
          <w:rFonts w:cs="Times New Roman"/>
          <w:spacing w:val="-6"/>
          <w:sz w:val="18"/>
          <w:szCs w:val="18"/>
          <w:lang w:val="es-ES_tradnl"/>
        </w:rPr>
        <w:t>ó</w:t>
      </w:r>
      <w:r>
        <w:rPr>
          <w:spacing w:val="-6"/>
          <w:sz w:val="18"/>
          <w:szCs w:val="18"/>
          <w:lang w:val="es-ES_tradnl"/>
        </w:rPr>
        <w:t xml:space="preserve">n de inconstitucionalidad, como </w:t>
      </w:r>
      <w:r>
        <w:rPr>
          <w:spacing w:val="-7"/>
          <w:sz w:val="18"/>
          <w:szCs w:val="18"/>
          <w:lang w:val="es-ES_tradnl"/>
        </w:rPr>
        <w:t xml:space="preserve">un medio de control constitucional, es evidente; una de las </w:t>
      </w:r>
      <w:r>
        <w:rPr>
          <w:spacing w:val="-11"/>
          <w:sz w:val="18"/>
          <w:szCs w:val="18"/>
          <w:lang w:val="es-ES_tradnl"/>
        </w:rPr>
        <w:t>caracter</w:t>
      </w:r>
      <w:r>
        <w:rPr>
          <w:rFonts w:cs="Times New Roman"/>
          <w:spacing w:val="-11"/>
          <w:sz w:val="18"/>
          <w:szCs w:val="18"/>
          <w:lang w:val="es-ES_tradnl"/>
        </w:rPr>
        <w:t>í</w:t>
      </w:r>
      <w:r>
        <w:rPr>
          <w:spacing w:val="-11"/>
          <w:sz w:val="18"/>
          <w:szCs w:val="18"/>
          <w:lang w:val="es-ES_tradnl"/>
        </w:rPr>
        <w:t xml:space="preserve">sticas que le agrega importancia es que es un medio </w:t>
      </w:r>
      <w:r>
        <w:rPr>
          <w:spacing w:val="-6"/>
          <w:sz w:val="18"/>
          <w:szCs w:val="18"/>
          <w:lang w:val="es-ES_tradnl"/>
        </w:rPr>
        <w:t xml:space="preserve">de control al alcance de </w:t>
      </w:r>
      <w:r>
        <w:rPr>
          <w:rFonts w:cs="Times New Roman"/>
          <w:spacing w:val="-6"/>
          <w:sz w:val="18"/>
          <w:szCs w:val="18"/>
          <w:lang w:val="es-ES_tradnl"/>
        </w:rPr>
        <w:t>ó</w:t>
      </w:r>
      <w:r>
        <w:rPr>
          <w:spacing w:val="-6"/>
          <w:sz w:val="18"/>
          <w:szCs w:val="18"/>
          <w:lang w:val="es-ES_tradnl"/>
        </w:rPr>
        <w:t xml:space="preserve">rganos del Estado, sin limitar su </w:t>
      </w:r>
      <w:r>
        <w:rPr>
          <w:spacing w:val="-10"/>
          <w:sz w:val="18"/>
          <w:szCs w:val="18"/>
          <w:lang w:val="es-ES_tradnl"/>
        </w:rPr>
        <w:t>procedencia o invasi</w:t>
      </w:r>
      <w:r>
        <w:rPr>
          <w:rFonts w:cs="Times New Roman"/>
          <w:spacing w:val="-10"/>
          <w:sz w:val="18"/>
          <w:szCs w:val="18"/>
          <w:lang w:val="es-ES_tradnl"/>
        </w:rPr>
        <w:t>ó</w:t>
      </w:r>
      <w:r>
        <w:rPr>
          <w:spacing w:val="-10"/>
          <w:sz w:val="18"/>
          <w:szCs w:val="18"/>
          <w:lang w:val="es-ES_tradnl"/>
        </w:rPr>
        <w:t xml:space="preserve">n de esferas de competencia, como es </w:t>
      </w:r>
      <w:r>
        <w:rPr>
          <w:spacing w:val="-9"/>
          <w:sz w:val="18"/>
          <w:szCs w:val="18"/>
          <w:lang w:val="es-ES_tradnl"/>
        </w:rPr>
        <w:t>el caso de la controversia constitucional. En estos t</w:t>
      </w:r>
      <w:r>
        <w:rPr>
          <w:rFonts w:cs="Times New Roman"/>
          <w:spacing w:val="-9"/>
          <w:sz w:val="18"/>
          <w:szCs w:val="18"/>
          <w:lang w:val="es-ES_tradnl"/>
        </w:rPr>
        <w:t>é</w:t>
      </w:r>
      <w:r>
        <w:rPr>
          <w:spacing w:val="-9"/>
          <w:sz w:val="18"/>
          <w:szCs w:val="18"/>
          <w:lang w:val="es-ES_tradnl"/>
        </w:rPr>
        <w:t xml:space="preserve">rminos, </w:t>
      </w:r>
      <w:r>
        <w:rPr>
          <w:spacing w:val="-5"/>
          <w:sz w:val="18"/>
          <w:szCs w:val="18"/>
          <w:lang w:val="es-ES_tradnl"/>
        </w:rPr>
        <w:t>la acci</w:t>
      </w:r>
      <w:r>
        <w:rPr>
          <w:rFonts w:cs="Times New Roman"/>
          <w:spacing w:val="-5"/>
          <w:sz w:val="18"/>
          <w:szCs w:val="18"/>
          <w:lang w:val="es-ES_tradnl"/>
        </w:rPr>
        <w:t>ó</w:t>
      </w:r>
      <w:r>
        <w:rPr>
          <w:spacing w:val="-5"/>
          <w:sz w:val="18"/>
          <w:szCs w:val="18"/>
          <w:lang w:val="es-ES_tradnl"/>
        </w:rPr>
        <w:t>n de inconstitucionalidad podr</w:t>
      </w:r>
      <w:r>
        <w:rPr>
          <w:rFonts w:cs="Times New Roman"/>
          <w:spacing w:val="-5"/>
          <w:sz w:val="18"/>
          <w:szCs w:val="18"/>
          <w:lang w:val="es-ES_tradnl"/>
        </w:rPr>
        <w:t>á</w:t>
      </w:r>
      <w:r>
        <w:rPr>
          <w:spacing w:val="-5"/>
          <w:sz w:val="18"/>
          <w:szCs w:val="18"/>
          <w:lang w:val="es-ES_tradnl"/>
        </w:rPr>
        <w:t xml:space="preserve"> ocuparse no solo </w:t>
      </w:r>
      <w:r>
        <w:rPr>
          <w:spacing w:val="-4"/>
          <w:sz w:val="18"/>
          <w:szCs w:val="18"/>
          <w:lang w:val="es-ES_tradnl"/>
        </w:rPr>
        <w:t>de violaciones a la parte org</w:t>
      </w:r>
      <w:r>
        <w:rPr>
          <w:rFonts w:cs="Times New Roman"/>
          <w:spacing w:val="-4"/>
          <w:sz w:val="18"/>
          <w:szCs w:val="18"/>
          <w:lang w:val="es-ES_tradnl"/>
        </w:rPr>
        <w:t>á</w:t>
      </w:r>
      <w:r>
        <w:rPr>
          <w:spacing w:val="-4"/>
          <w:sz w:val="18"/>
          <w:szCs w:val="18"/>
          <w:lang w:val="es-ES_tradnl"/>
        </w:rPr>
        <w:t>nica de la Constituci</w:t>
      </w:r>
      <w:r>
        <w:rPr>
          <w:rFonts w:cs="Times New Roman"/>
          <w:spacing w:val="-4"/>
          <w:sz w:val="18"/>
          <w:szCs w:val="18"/>
          <w:lang w:val="es-ES_tradnl"/>
        </w:rPr>
        <w:t>ó</w:t>
      </w:r>
      <w:r>
        <w:rPr>
          <w:spacing w:val="-4"/>
          <w:sz w:val="18"/>
          <w:szCs w:val="18"/>
          <w:lang w:val="es-ES_tradnl"/>
        </w:rPr>
        <w:t xml:space="preserve">n (lo </w:t>
      </w:r>
      <w:r>
        <w:rPr>
          <w:spacing w:val="-6"/>
          <w:sz w:val="18"/>
          <w:szCs w:val="18"/>
          <w:lang w:val="es-ES_tradnl"/>
        </w:rPr>
        <w:t xml:space="preserve">que ocurre en el caso </w:t>
      </w:r>
      <w:r>
        <w:rPr>
          <w:i/>
          <w:iCs/>
          <w:spacing w:val="-6"/>
          <w:sz w:val="18"/>
          <w:szCs w:val="18"/>
          <w:lang w:val="es-ES_tradnl"/>
        </w:rPr>
        <w:t>in examine</w:t>
      </w:r>
      <w:r>
        <w:rPr>
          <w:spacing w:val="-6"/>
          <w:sz w:val="18"/>
          <w:szCs w:val="18"/>
          <w:lang w:val="es-ES_tradnl"/>
        </w:rPr>
        <w:t>), sino que la acci</w:t>
      </w:r>
      <w:r>
        <w:rPr>
          <w:rFonts w:cs="Times New Roman"/>
          <w:spacing w:val="-6"/>
          <w:sz w:val="18"/>
          <w:szCs w:val="18"/>
          <w:lang w:val="es-ES_tradnl"/>
        </w:rPr>
        <w:t>ó</w:t>
      </w:r>
      <w:r>
        <w:rPr>
          <w:spacing w:val="-6"/>
          <w:sz w:val="18"/>
          <w:szCs w:val="18"/>
          <w:lang w:val="es-ES_tradnl"/>
        </w:rPr>
        <w:t xml:space="preserve">n de </w:t>
      </w:r>
      <w:r>
        <w:rPr>
          <w:spacing w:val="-8"/>
          <w:sz w:val="18"/>
          <w:szCs w:val="18"/>
          <w:lang w:val="es-ES_tradnl"/>
        </w:rPr>
        <w:t>inconstitucionalidad podr</w:t>
      </w:r>
      <w:r>
        <w:rPr>
          <w:rFonts w:cs="Times New Roman"/>
          <w:spacing w:val="-8"/>
          <w:sz w:val="18"/>
          <w:szCs w:val="18"/>
          <w:lang w:val="es-ES_tradnl"/>
        </w:rPr>
        <w:t>á</w:t>
      </w:r>
      <w:r>
        <w:rPr>
          <w:spacing w:val="-8"/>
          <w:sz w:val="18"/>
          <w:szCs w:val="18"/>
          <w:lang w:val="es-ES_tradnl"/>
        </w:rPr>
        <w:t xml:space="preserve"> tambi</w:t>
      </w:r>
      <w:r>
        <w:rPr>
          <w:rFonts w:cs="Times New Roman"/>
          <w:spacing w:val="-8"/>
          <w:sz w:val="18"/>
          <w:szCs w:val="18"/>
          <w:lang w:val="es-ES_tradnl"/>
        </w:rPr>
        <w:t>é</w:t>
      </w:r>
      <w:r>
        <w:rPr>
          <w:spacing w:val="-8"/>
          <w:sz w:val="18"/>
          <w:szCs w:val="18"/>
          <w:lang w:val="es-ES_tradnl"/>
        </w:rPr>
        <w:t xml:space="preserve">n ocuparse de violaciones </w:t>
      </w:r>
      <w:r>
        <w:rPr>
          <w:spacing w:val="-6"/>
          <w:sz w:val="18"/>
          <w:szCs w:val="18"/>
          <w:lang w:val="es-ES_tradnl"/>
        </w:rPr>
        <w:t>a garant</w:t>
      </w:r>
      <w:r>
        <w:rPr>
          <w:rFonts w:cs="Times New Roman"/>
          <w:spacing w:val="-6"/>
          <w:sz w:val="18"/>
          <w:szCs w:val="18"/>
          <w:lang w:val="es-ES_tradnl"/>
        </w:rPr>
        <w:t>í</w:t>
      </w:r>
      <w:r>
        <w:rPr>
          <w:spacing w:val="-6"/>
          <w:sz w:val="18"/>
          <w:szCs w:val="18"/>
          <w:lang w:val="es-ES_tradnl"/>
        </w:rPr>
        <w:t>as o derechos individuales o colectivos, seg</w:t>
      </w:r>
      <w:r>
        <w:rPr>
          <w:rFonts w:cs="Times New Roman"/>
          <w:spacing w:val="-6"/>
          <w:sz w:val="18"/>
          <w:szCs w:val="18"/>
          <w:lang w:val="es-ES_tradnl"/>
        </w:rPr>
        <w:t>ú</w:t>
      </w:r>
      <w:r>
        <w:rPr>
          <w:spacing w:val="-6"/>
          <w:sz w:val="18"/>
          <w:szCs w:val="18"/>
          <w:lang w:val="es-ES_tradnl"/>
        </w:rPr>
        <w:t xml:space="preserve">n el </w:t>
      </w:r>
      <w:r>
        <w:rPr>
          <w:sz w:val="18"/>
          <w:szCs w:val="18"/>
          <w:lang w:val="es-ES_tradnl"/>
        </w:rPr>
        <w:t>caso.</w:t>
      </w:r>
    </w:p>
    <w:p w14:paraId="4F67A59B" w14:textId="77777777" w:rsidR="00591D54" w:rsidRDefault="00591D54">
      <w:pPr>
        <w:shd w:val="clear" w:color="auto" w:fill="FFFFFF"/>
        <w:spacing w:before="197" w:line="216" w:lineRule="exact"/>
        <w:jc w:val="both"/>
      </w:pPr>
      <w:r>
        <w:rPr>
          <w:sz w:val="18"/>
          <w:szCs w:val="18"/>
          <w:lang w:val="es-ES_tradnl"/>
        </w:rPr>
        <w:t>La acci</w:t>
      </w:r>
      <w:r>
        <w:rPr>
          <w:rFonts w:cs="Times New Roman"/>
          <w:sz w:val="18"/>
          <w:szCs w:val="18"/>
          <w:lang w:val="es-ES_tradnl"/>
        </w:rPr>
        <w:t>ó</w:t>
      </w:r>
      <w:r>
        <w:rPr>
          <w:sz w:val="18"/>
          <w:szCs w:val="18"/>
          <w:lang w:val="es-ES_tradnl"/>
        </w:rPr>
        <w:t>n p</w:t>
      </w:r>
      <w:r>
        <w:rPr>
          <w:rFonts w:cs="Times New Roman"/>
          <w:sz w:val="18"/>
          <w:szCs w:val="18"/>
          <w:lang w:val="es-ES_tradnl"/>
        </w:rPr>
        <w:t>ú</w:t>
      </w:r>
      <w:r>
        <w:rPr>
          <w:sz w:val="18"/>
          <w:szCs w:val="18"/>
          <w:lang w:val="es-ES_tradnl"/>
        </w:rPr>
        <w:t xml:space="preserve">blica de inconstitucionalidad, prevista </w:t>
      </w:r>
      <w:r>
        <w:rPr>
          <w:spacing w:val="-1"/>
          <w:sz w:val="18"/>
          <w:szCs w:val="18"/>
          <w:lang w:val="es-ES_tradnl"/>
        </w:rPr>
        <w:t>en el art</w:t>
      </w:r>
      <w:r>
        <w:rPr>
          <w:rFonts w:cs="Times New Roman"/>
          <w:spacing w:val="-1"/>
          <w:sz w:val="18"/>
          <w:szCs w:val="18"/>
          <w:lang w:val="es-ES_tradnl"/>
        </w:rPr>
        <w:t>í</w:t>
      </w:r>
      <w:r>
        <w:rPr>
          <w:spacing w:val="-1"/>
          <w:sz w:val="18"/>
          <w:szCs w:val="18"/>
          <w:lang w:val="es-ES_tradnl"/>
        </w:rPr>
        <w:t xml:space="preserve">culo 436 numerales 2, 3, 4, 8 y 10 de la </w:t>
      </w:r>
      <w:r>
        <w:rPr>
          <w:spacing w:val="-3"/>
          <w:sz w:val="18"/>
          <w:szCs w:val="18"/>
          <w:lang w:val="es-ES_tradnl"/>
        </w:rPr>
        <w:t>Constituci</w:t>
      </w:r>
      <w:r>
        <w:rPr>
          <w:rFonts w:cs="Times New Roman"/>
          <w:spacing w:val="-3"/>
          <w:sz w:val="18"/>
          <w:szCs w:val="18"/>
          <w:lang w:val="es-ES_tradnl"/>
        </w:rPr>
        <w:t>ó</w:t>
      </w:r>
      <w:r>
        <w:rPr>
          <w:spacing w:val="-3"/>
          <w:sz w:val="18"/>
          <w:szCs w:val="18"/>
          <w:lang w:val="es-ES_tradnl"/>
        </w:rPr>
        <w:t>n, faculta a la Corte Constitucional vigilar la constitucionalidad tanto de los actos administrativos de</w:t>
      </w:r>
    </w:p>
    <w:p w14:paraId="4F67A59C" w14:textId="77777777" w:rsidR="00591D54" w:rsidRDefault="00591D54">
      <w:pPr>
        <w:shd w:val="clear" w:color="auto" w:fill="FFFFFF"/>
        <w:tabs>
          <w:tab w:val="left" w:pos="139"/>
        </w:tabs>
        <w:spacing w:before="370" w:line="346" w:lineRule="exact"/>
      </w:pPr>
      <w:r>
        <w:rPr>
          <w:sz w:val="14"/>
          <w:szCs w:val="14"/>
          <w:vertAlign w:val="superscript"/>
          <w:lang w:val="es-ES_tradnl"/>
        </w:rPr>
        <w:t>1</w:t>
      </w:r>
      <w:r>
        <w:rPr>
          <w:sz w:val="18"/>
          <w:szCs w:val="18"/>
          <w:lang w:val="es-ES_tradnl"/>
        </w:rPr>
        <w:tab/>
      </w:r>
      <w:r>
        <w:rPr>
          <w:sz w:val="14"/>
          <w:szCs w:val="14"/>
          <w:lang w:val="es-ES_tradnl"/>
        </w:rPr>
        <w:t>Ver</w:t>
      </w:r>
      <w:r>
        <w:rPr>
          <w:sz w:val="18"/>
          <w:szCs w:val="18"/>
          <w:lang w:val="es-ES_tradnl"/>
        </w:rPr>
        <w:t xml:space="preserve"> </w:t>
      </w:r>
      <w:r>
        <w:rPr>
          <w:sz w:val="14"/>
          <w:szCs w:val="14"/>
          <w:lang w:val="es-ES_tradnl"/>
        </w:rPr>
        <w:t>Art.</w:t>
      </w:r>
      <w:r>
        <w:rPr>
          <w:sz w:val="18"/>
          <w:szCs w:val="18"/>
          <w:lang w:val="es-ES_tradnl"/>
        </w:rPr>
        <w:t xml:space="preserve"> </w:t>
      </w:r>
      <w:r>
        <w:rPr>
          <w:sz w:val="14"/>
          <w:szCs w:val="14"/>
          <w:lang w:val="es-ES_tradnl"/>
        </w:rPr>
        <w:t>424</w:t>
      </w:r>
      <w:r>
        <w:rPr>
          <w:sz w:val="18"/>
          <w:szCs w:val="18"/>
          <w:lang w:val="es-ES_tradnl"/>
        </w:rPr>
        <w:t xml:space="preserve"> </w:t>
      </w:r>
      <w:r>
        <w:rPr>
          <w:sz w:val="14"/>
          <w:szCs w:val="14"/>
          <w:lang w:val="es-ES_tradnl"/>
        </w:rPr>
        <w:t>CRE.</w:t>
      </w:r>
    </w:p>
    <w:p w14:paraId="4F67A59D" w14:textId="77777777" w:rsidR="00591D54" w:rsidRDefault="00591D54">
      <w:pPr>
        <w:shd w:val="clear" w:color="auto" w:fill="FFFFFF"/>
        <w:tabs>
          <w:tab w:val="left" w:pos="139"/>
        </w:tabs>
        <w:spacing w:line="346" w:lineRule="exact"/>
      </w:pPr>
      <w:r>
        <w:rPr>
          <w:sz w:val="10"/>
          <w:szCs w:val="10"/>
          <w:vertAlign w:val="superscript"/>
          <w:lang w:val="es-ES_tradnl"/>
        </w:rPr>
        <w:t>2</w:t>
      </w:r>
      <w:r>
        <w:rPr>
          <w:sz w:val="18"/>
          <w:szCs w:val="18"/>
          <w:lang w:val="es-ES_tradnl"/>
        </w:rPr>
        <w:tab/>
      </w:r>
      <w:r>
        <w:rPr>
          <w:sz w:val="14"/>
          <w:szCs w:val="14"/>
          <w:lang w:val="es-ES_tradnl"/>
        </w:rPr>
        <w:t>Ver</w:t>
      </w:r>
      <w:r>
        <w:rPr>
          <w:sz w:val="18"/>
          <w:szCs w:val="18"/>
          <w:lang w:val="es-ES_tradnl"/>
        </w:rPr>
        <w:t xml:space="preserve"> </w:t>
      </w:r>
      <w:r>
        <w:rPr>
          <w:sz w:val="14"/>
          <w:szCs w:val="14"/>
          <w:lang w:val="es-ES_tradnl"/>
        </w:rPr>
        <w:t>Art.</w:t>
      </w:r>
      <w:r>
        <w:rPr>
          <w:sz w:val="18"/>
          <w:szCs w:val="18"/>
          <w:lang w:val="es-ES_tradnl"/>
        </w:rPr>
        <w:t xml:space="preserve"> </w:t>
      </w:r>
      <w:r>
        <w:rPr>
          <w:sz w:val="14"/>
          <w:szCs w:val="14"/>
          <w:lang w:val="es-ES_tradnl"/>
        </w:rPr>
        <w:t>425</w:t>
      </w:r>
      <w:r>
        <w:rPr>
          <w:sz w:val="18"/>
          <w:szCs w:val="18"/>
          <w:lang w:val="es-ES_tradnl"/>
        </w:rPr>
        <w:t xml:space="preserve"> </w:t>
      </w:r>
      <w:r>
        <w:rPr>
          <w:sz w:val="14"/>
          <w:szCs w:val="14"/>
          <w:lang w:val="es-ES_tradnl"/>
        </w:rPr>
        <w:t>CRE</w:t>
      </w:r>
    </w:p>
    <w:p w14:paraId="4F67A59E" w14:textId="77777777" w:rsidR="00591D54" w:rsidRDefault="00591D54">
      <w:pPr>
        <w:shd w:val="clear" w:color="auto" w:fill="FFFFFF"/>
        <w:tabs>
          <w:tab w:val="left" w:pos="139"/>
        </w:tabs>
        <w:spacing w:line="346" w:lineRule="exact"/>
      </w:pPr>
      <w:r>
        <w:rPr>
          <w:sz w:val="10"/>
          <w:szCs w:val="10"/>
          <w:vertAlign w:val="superscript"/>
          <w:lang w:val="es-ES_tradnl"/>
        </w:rPr>
        <w:t>3</w:t>
      </w:r>
      <w:r>
        <w:rPr>
          <w:sz w:val="18"/>
          <w:szCs w:val="18"/>
          <w:lang w:val="es-ES_tradnl"/>
        </w:rPr>
        <w:tab/>
      </w:r>
      <w:r>
        <w:rPr>
          <w:sz w:val="14"/>
          <w:szCs w:val="14"/>
          <w:lang w:val="es-ES_tradnl"/>
        </w:rPr>
        <w:t>Ver</w:t>
      </w:r>
      <w:r>
        <w:rPr>
          <w:sz w:val="18"/>
          <w:szCs w:val="18"/>
          <w:lang w:val="es-ES_tradnl"/>
        </w:rPr>
        <w:t xml:space="preserve"> </w:t>
      </w:r>
      <w:r>
        <w:rPr>
          <w:sz w:val="14"/>
          <w:szCs w:val="14"/>
          <w:lang w:val="es-ES_tradnl"/>
        </w:rPr>
        <w:t>Art.</w:t>
      </w:r>
      <w:r>
        <w:rPr>
          <w:sz w:val="18"/>
          <w:szCs w:val="18"/>
          <w:lang w:val="es-ES_tradnl"/>
        </w:rPr>
        <w:t xml:space="preserve"> </w:t>
      </w:r>
      <w:r>
        <w:rPr>
          <w:sz w:val="14"/>
          <w:szCs w:val="14"/>
          <w:lang w:val="es-ES_tradnl"/>
        </w:rPr>
        <w:t>426</w:t>
      </w:r>
      <w:r>
        <w:rPr>
          <w:sz w:val="18"/>
          <w:szCs w:val="18"/>
          <w:lang w:val="es-ES_tradnl"/>
        </w:rPr>
        <w:t xml:space="preserve"> </w:t>
      </w:r>
      <w:r>
        <w:rPr>
          <w:sz w:val="14"/>
          <w:szCs w:val="14"/>
          <w:lang w:val="es-ES_tradnl"/>
        </w:rPr>
        <w:t>CRE</w:t>
      </w:r>
    </w:p>
    <w:p w14:paraId="4F67A59F" w14:textId="77777777" w:rsidR="00591D54" w:rsidRDefault="00591D54">
      <w:pPr>
        <w:shd w:val="clear" w:color="auto" w:fill="FFFFFF"/>
        <w:tabs>
          <w:tab w:val="left" w:pos="139"/>
        </w:tabs>
        <w:spacing w:line="346" w:lineRule="exact"/>
      </w:pPr>
      <w:r>
        <w:rPr>
          <w:sz w:val="10"/>
          <w:szCs w:val="10"/>
          <w:vertAlign w:val="superscript"/>
          <w:lang w:val="es-ES_tradnl"/>
        </w:rPr>
        <w:t>4</w:t>
      </w:r>
      <w:r>
        <w:rPr>
          <w:sz w:val="18"/>
          <w:szCs w:val="18"/>
          <w:lang w:val="es-ES_tradnl"/>
        </w:rPr>
        <w:tab/>
      </w:r>
      <w:r>
        <w:rPr>
          <w:sz w:val="14"/>
          <w:szCs w:val="14"/>
          <w:lang w:val="es-ES_tradnl"/>
        </w:rPr>
        <w:t>Ver</w:t>
      </w:r>
      <w:r>
        <w:rPr>
          <w:sz w:val="18"/>
          <w:szCs w:val="18"/>
          <w:lang w:val="es-ES_tradnl"/>
        </w:rPr>
        <w:t xml:space="preserve"> </w:t>
      </w:r>
      <w:r>
        <w:rPr>
          <w:sz w:val="14"/>
          <w:szCs w:val="14"/>
          <w:lang w:val="es-ES_tradnl"/>
        </w:rPr>
        <w:t>Art.</w:t>
      </w:r>
      <w:r>
        <w:rPr>
          <w:sz w:val="18"/>
          <w:szCs w:val="18"/>
          <w:lang w:val="es-ES_tradnl"/>
        </w:rPr>
        <w:t xml:space="preserve"> </w:t>
      </w:r>
      <w:r>
        <w:rPr>
          <w:sz w:val="14"/>
          <w:szCs w:val="14"/>
          <w:lang w:val="es-ES_tradnl"/>
        </w:rPr>
        <w:t>427</w:t>
      </w:r>
      <w:r>
        <w:rPr>
          <w:sz w:val="18"/>
          <w:szCs w:val="18"/>
          <w:lang w:val="es-ES_tradnl"/>
        </w:rPr>
        <w:t xml:space="preserve"> </w:t>
      </w:r>
      <w:r>
        <w:rPr>
          <w:sz w:val="14"/>
          <w:szCs w:val="14"/>
          <w:lang w:val="es-ES_tradnl"/>
        </w:rPr>
        <w:t>CRE</w:t>
      </w:r>
    </w:p>
    <w:p w14:paraId="4F67A5A0" w14:textId="77777777" w:rsidR="00591D54" w:rsidRDefault="00591D54">
      <w:pPr>
        <w:shd w:val="clear" w:color="auto" w:fill="FFFFFF"/>
        <w:spacing w:before="5" w:line="226" w:lineRule="exact"/>
        <w:ind w:right="5"/>
        <w:jc w:val="both"/>
      </w:pPr>
      <w:r>
        <w:br w:type="column"/>
      </w:r>
      <w:r>
        <w:rPr>
          <w:spacing w:val="-8"/>
          <w:sz w:val="18"/>
          <w:szCs w:val="18"/>
          <w:lang w:val="es-ES_tradnl"/>
        </w:rPr>
        <w:t>car</w:t>
      </w:r>
      <w:r>
        <w:rPr>
          <w:rFonts w:cs="Times New Roman"/>
          <w:spacing w:val="-8"/>
          <w:sz w:val="18"/>
          <w:szCs w:val="18"/>
          <w:lang w:val="es-ES_tradnl"/>
        </w:rPr>
        <w:t>á</w:t>
      </w:r>
      <w:r>
        <w:rPr>
          <w:spacing w:val="-8"/>
          <w:sz w:val="18"/>
          <w:szCs w:val="18"/>
          <w:lang w:val="es-ES_tradnl"/>
        </w:rPr>
        <w:t xml:space="preserve">cter general (numeral 2), como para declarar de oficio </w:t>
      </w:r>
      <w:r>
        <w:rPr>
          <w:spacing w:val="-6"/>
          <w:sz w:val="18"/>
          <w:szCs w:val="18"/>
          <w:lang w:val="es-ES_tradnl"/>
        </w:rPr>
        <w:t xml:space="preserve">la inconstitucionalidad de normas conexas en los casos sometidos a su conocimiento (numeral 3), de los actos </w:t>
      </w:r>
      <w:r>
        <w:rPr>
          <w:spacing w:val="-7"/>
          <w:sz w:val="18"/>
          <w:szCs w:val="18"/>
          <w:lang w:val="es-ES_tradnl"/>
        </w:rPr>
        <w:t xml:space="preserve">administrativos con efectos generales (numeral 4), de las </w:t>
      </w:r>
      <w:r>
        <w:rPr>
          <w:spacing w:val="-9"/>
          <w:sz w:val="18"/>
          <w:szCs w:val="18"/>
          <w:lang w:val="es-ES_tradnl"/>
        </w:rPr>
        <w:t>declaratorias de los estados de excepci</w:t>
      </w:r>
      <w:r>
        <w:rPr>
          <w:rFonts w:cs="Times New Roman"/>
          <w:spacing w:val="-9"/>
          <w:sz w:val="18"/>
          <w:szCs w:val="18"/>
          <w:lang w:val="es-ES_tradnl"/>
        </w:rPr>
        <w:t>ó</w:t>
      </w:r>
      <w:r>
        <w:rPr>
          <w:spacing w:val="-9"/>
          <w:sz w:val="18"/>
          <w:szCs w:val="18"/>
          <w:lang w:val="es-ES_tradnl"/>
        </w:rPr>
        <w:t xml:space="preserve">n (numeral 8) y por </w:t>
      </w:r>
      <w:r>
        <w:rPr>
          <w:spacing w:val="-6"/>
          <w:sz w:val="18"/>
          <w:szCs w:val="18"/>
          <w:lang w:val="es-ES_tradnl"/>
        </w:rPr>
        <w:t>la omisi</w:t>
      </w:r>
      <w:r>
        <w:rPr>
          <w:rFonts w:cs="Times New Roman"/>
          <w:spacing w:val="-6"/>
          <w:sz w:val="18"/>
          <w:szCs w:val="18"/>
          <w:lang w:val="es-ES_tradnl"/>
        </w:rPr>
        <w:t>ó</w:t>
      </w:r>
      <w:r>
        <w:rPr>
          <w:spacing w:val="-6"/>
          <w:sz w:val="18"/>
          <w:szCs w:val="18"/>
          <w:lang w:val="es-ES_tradnl"/>
        </w:rPr>
        <w:t>n en que incurran las instituciones o autoridades p</w:t>
      </w:r>
      <w:r>
        <w:rPr>
          <w:rFonts w:cs="Times New Roman"/>
          <w:spacing w:val="-6"/>
          <w:sz w:val="18"/>
          <w:szCs w:val="18"/>
          <w:lang w:val="es-ES_tradnl"/>
        </w:rPr>
        <w:t>ú</w:t>
      </w:r>
      <w:r>
        <w:rPr>
          <w:spacing w:val="-6"/>
          <w:sz w:val="18"/>
          <w:szCs w:val="18"/>
          <w:lang w:val="es-ES_tradnl"/>
        </w:rPr>
        <w:t xml:space="preserve">blicas de los mandatos de las normas constitucionales </w:t>
      </w:r>
      <w:r>
        <w:rPr>
          <w:sz w:val="18"/>
          <w:szCs w:val="18"/>
          <w:lang w:val="es-ES_tradnl"/>
        </w:rPr>
        <w:t>(numeral 10).</w:t>
      </w:r>
    </w:p>
    <w:p w14:paraId="4F67A5A1" w14:textId="77777777" w:rsidR="00591D54" w:rsidRDefault="00591D54">
      <w:pPr>
        <w:shd w:val="clear" w:color="auto" w:fill="FFFFFF"/>
        <w:spacing w:before="202"/>
      </w:pPr>
      <w:r>
        <w:rPr>
          <w:b/>
          <w:bCs/>
          <w:spacing w:val="-8"/>
          <w:sz w:val="18"/>
          <w:szCs w:val="18"/>
          <w:lang w:val="es-ES_tradnl"/>
        </w:rPr>
        <w:t>Sobre el car</w:t>
      </w:r>
      <w:r>
        <w:rPr>
          <w:rFonts w:cs="Times New Roman"/>
          <w:b/>
          <w:bCs/>
          <w:spacing w:val="-8"/>
          <w:sz w:val="18"/>
          <w:szCs w:val="18"/>
          <w:lang w:val="es-ES_tradnl"/>
        </w:rPr>
        <w:t>á</w:t>
      </w:r>
      <w:r>
        <w:rPr>
          <w:b/>
          <w:bCs/>
          <w:spacing w:val="-8"/>
          <w:sz w:val="18"/>
          <w:szCs w:val="18"/>
          <w:lang w:val="es-ES_tradnl"/>
        </w:rPr>
        <w:t>cter del acto impugnado</w:t>
      </w:r>
    </w:p>
    <w:p w14:paraId="4F67A5A2" w14:textId="77777777" w:rsidR="00591D54" w:rsidRDefault="00591D54">
      <w:pPr>
        <w:shd w:val="clear" w:color="auto" w:fill="FFFFFF"/>
        <w:spacing w:before="202" w:line="230" w:lineRule="exact"/>
        <w:jc w:val="both"/>
      </w:pPr>
      <w:r>
        <w:rPr>
          <w:spacing w:val="-4"/>
          <w:sz w:val="18"/>
          <w:szCs w:val="18"/>
          <w:lang w:val="es-ES_tradnl"/>
        </w:rPr>
        <w:t>El texto de la prescripci</w:t>
      </w:r>
      <w:r>
        <w:rPr>
          <w:rFonts w:cs="Times New Roman"/>
          <w:spacing w:val="-4"/>
          <w:sz w:val="18"/>
          <w:szCs w:val="18"/>
          <w:lang w:val="es-ES_tradnl"/>
        </w:rPr>
        <w:t>ó</w:t>
      </w:r>
      <w:r>
        <w:rPr>
          <w:spacing w:val="-4"/>
          <w:sz w:val="18"/>
          <w:szCs w:val="18"/>
          <w:lang w:val="es-ES_tradnl"/>
        </w:rPr>
        <w:t xml:space="preserve">n normativa impugnada consta </w:t>
      </w:r>
      <w:r>
        <w:rPr>
          <w:spacing w:val="-9"/>
          <w:sz w:val="18"/>
          <w:szCs w:val="18"/>
          <w:lang w:val="es-ES_tradnl"/>
        </w:rPr>
        <w:t>transcrito en l</w:t>
      </w:r>
      <w:r>
        <w:rPr>
          <w:rFonts w:cs="Times New Roman"/>
          <w:spacing w:val="-9"/>
          <w:sz w:val="18"/>
          <w:szCs w:val="18"/>
          <w:lang w:val="es-ES_tradnl"/>
        </w:rPr>
        <w:t>í</w:t>
      </w:r>
      <w:r>
        <w:rPr>
          <w:spacing w:val="-9"/>
          <w:sz w:val="18"/>
          <w:szCs w:val="18"/>
          <w:lang w:val="es-ES_tradnl"/>
        </w:rPr>
        <w:t xml:space="preserve">neas precedentes de esta sentencia y a partir </w:t>
      </w:r>
      <w:r>
        <w:rPr>
          <w:spacing w:val="-5"/>
          <w:sz w:val="18"/>
          <w:szCs w:val="18"/>
          <w:lang w:val="es-ES_tradnl"/>
        </w:rPr>
        <w:t xml:space="preserve">de su estudio compete a la Corte Constitucional analizar </w:t>
      </w:r>
      <w:r>
        <w:rPr>
          <w:spacing w:val="-7"/>
          <w:sz w:val="18"/>
          <w:szCs w:val="18"/>
          <w:lang w:val="es-ES_tradnl"/>
        </w:rPr>
        <w:t>si determinados textos de la norma se</w:t>
      </w:r>
      <w:r>
        <w:rPr>
          <w:rFonts w:cs="Times New Roman"/>
          <w:spacing w:val="-7"/>
          <w:sz w:val="18"/>
          <w:szCs w:val="18"/>
          <w:lang w:val="es-ES_tradnl"/>
        </w:rPr>
        <w:t>ñ</w:t>
      </w:r>
      <w:r>
        <w:rPr>
          <w:spacing w:val="-7"/>
          <w:sz w:val="18"/>
          <w:szCs w:val="18"/>
          <w:lang w:val="es-ES_tradnl"/>
        </w:rPr>
        <w:t xml:space="preserve">alada </w:t>
      </w:r>
      <w:r>
        <w:rPr>
          <w:i/>
          <w:iCs/>
          <w:spacing w:val="-7"/>
          <w:sz w:val="18"/>
          <w:szCs w:val="18"/>
          <w:lang w:val="es-ES_tradnl"/>
        </w:rPr>
        <w:t>ut supra</w:t>
      </w:r>
      <w:r>
        <w:rPr>
          <w:spacing w:val="-7"/>
          <w:sz w:val="18"/>
          <w:szCs w:val="18"/>
          <w:lang w:val="es-ES_tradnl"/>
        </w:rPr>
        <w:t xml:space="preserve">, </w:t>
      </w:r>
      <w:r>
        <w:rPr>
          <w:spacing w:val="-6"/>
          <w:sz w:val="18"/>
          <w:szCs w:val="18"/>
          <w:lang w:val="es-ES_tradnl"/>
        </w:rPr>
        <w:t>contraviene los contenidos constitucionales o no.</w:t>
      </w:r>
    </w:p>
    <w:p w14:paraId="4F67A5A3" w14:textId="77777777" w:rsidR="00591D54" w:rsidRDefault="00591D54">
      <w:pPr>
        <w:shd w:val="clear" w:color="auto" w:fill="FFFFFF"/>
        <w:spacing w:before="206" w:line="226" w:lineRule="exact"/>
        <w:ind w:right="5"/>
        <w:jc w:val="both"/>
      </w:pPr>
      <w:r>
        <w:rPr>
          <w:spacing w:val="-4"/>
          <w:sz w:val="18"/>
          <w:szCs w:val="18"/>
          <w:lang w:val="es-ES_tradnl"/>
        </w:rPr>
        <w:t xml:space="preserve">En el Estado constitucional, el principio fundamental de </w:t>
      </w:r>
      <w:r>
        <w:rPr>
          <w:spacing w:val="-9"/>
          <w:sz w:val="18"/>
          <w:szCs w:val="18"/>
          <w:lang w:val="es-ES_tradnl"/>
        </w:rPr>
        <w:t>control normativo es el de la supremac</w:t>
      </w:r>
      <w:r>
        <w:rPr>
          <w:rFonts w:cs="Times New Roman"/>
          <w:spacing w:val="-9"/>
          <w:sz w:val="18"/>
          <w:szCs w:val="18"/>
          <w:lang w:val="es-ES_tradnl"/>
        </w:rPr>
        <w:t>í</w:t>
      </w:r>
      <w:r>
        <w:rPr>
          <w:spacing w:val="-9"/>
          <w:sz w:val="18"/>
          <w:szCs w:val="18"/>
          <w:lang w:val="es-ES_tradnl"/>
        </w:rPr>
        <w:t>a de la Constituci</w:t>
      </w:r>
      <w:r>
        <w:rPr>
          <w:rFonts w:cs="Times New Roman"/>
          <w:spacing w:val="-9"/>
          <w:sz w:val="18"/>
          <w:szCs w:val="18"/>
          <w:lang w:val="es-ES_tradnl"/>
        </w:rPr>
        <w:t>ó</w:t>
      </w:r>
      <w:r>
        <w:rPr>
          <w:spacing w:val="-9"/>
          <w:sz w:val="18"/>
          <w:szCs w:val="18"/>
          <w:lang w:val="es-ES_tradnl"/>
        </w:rPr>
        <w:t xml:space="preserve">n, </w:t>
      </w:r>
      <w:r>
        <w:rPr>
          <w:spacing w:val="-4"/>
          <w:sz w:val="18"/>
          <w:szCs w:val="18"/>
          <w:lang w:val="es-ES_tradnl"/>
        </w:rPr>
        <w:t>en funci</w:t>
      </w:r>
      <w:r>
        <w:rPr>
          <w:rFonts w:cs="Times New Roman"/>
          <w:spacing w:val="-4"/>
          <w:sz w:val="18"/>
          <w:szCs w:val="18"/>
          <w:lang w:val="es-ES_tradnl"/>
        </w:rPr>
        <w:t>ó</w:t>
      </w:r>
      <w:r>
        <w:rPr>
          <w:spacing w:val="-4"/>
          <w:sz w:val="18"/>
          <w:szCs w:val="18"/>
          <w:lang w:val="es-ES_tradnl"/>
        </w:rPr>
        <w:t xml:space="preserve">n del cual la norma infraconstitucional debe </w:t>
      </w:r>
      <w:r>
        <w:rPr>
          <w:spacing w:val="-6"/>
          <w:sz w:val="18"/>
          <w:szCs w:val="18"/>
          <w:lang w:val="es-ES_tradnl"/>
        </w:rPr>
        <w:t xml:space="preserve">necesariamente mantener conformidad, tanto en sus </w:t>
      </w:r>
      <w:r>
        <w:rPr>
          <w:spacing w:val="-7"/>
          <w:sz w:val="18"/>
          <w:szCs w:val="18"/>
          <w:lang w:val="es-ES_tradnl"/>
        </w:rPr>
        <w:t xml:space="preserve">contenidos sustanciales cuanto en los procedimientos de </w:t>
      </w:r>
      <w:r>
        <w:rPr>
          <w:spacing w:val="-6"/>
          <w:sz w:val="18"/>
          <w:szCs w:val="18"/>
          <w:lang w:val="es-ES_tradnl"/>
        </w:rPr>
        <w:t>elaboraci</w:t>
      </w:r>
      <w:r>
        <w:rPr>
          <w:rFonts w:cs="Times New Roman"/>
          <w:spacing w:val="-6"/>
          <w:sz w:val="18"/>
          <w:szCs w:val="18"/>
          <w:lang w:val="es-ES_tradnl"/>
        </w:rPr>
        <w:t>ó</w:t>
      </w:r>
      <w:r>
        <w:rPr>
          <w:spacing w:val="-6"/>
          <w:sz w:val="18"/>
          <w:szCs w:val="18"/>
          <w:lang w:val="es-ES_tradnl"/>
        </w:rPr>
        <w:t xml:space="preserve">n con las normas constitucionales, como una </w:t>
      </w:r>
      <w:r>
        <w:rPr>
          <w:spacing w:val="-4"/>
          <w:sz w:val="18"/>
          <w:szCs w:val="18"/>
          <w:lang w:val="es-ES_tradnl"/>
        </w:rPr>
        <w:t>expresi</w:t>
      </w:r>
      <w:r>
        <w:rPr>
          <w:rFonts w:cs="Times New Roman"/>
          <w:spacing w:val="-4"/>
          <w:sz w:val="18"/>
          <w:szCs w:val="18"/>
          <w:lang w:val="es-ES_tradnl"/>
        </w:rPr>
        <w:t>ó</w:t>
      </w:r>
      <w:r>
        <w:rPr>
          <w:spacing w:val="-4"/>
          <w:sz w:val="18"/>
          <w:szCs w:val="18"/>
          <w:lang w:val="es-ES_tradnl"/>
        </w:rPr>
        <w:t>n de la diferenciaci</w:t>
      </w:r>
      <w:r>
        <w:rPr>
          <w:rFonts w:cs="Times New Roman"/>
          <w:spacing w:val="-4"/>
          <w:sz w:val="18"/>
          <w:szCs w:val="18"/>
          <w:lang w:val="es-ES_tradnl"/>
        </w:rPr>
        <w:t>ó</w:t>
      </w:r>
      <w:r>
        <w:rPr>
          <w:spacing w:val="-4"/>
          <w:sz w:val="18"/>
          <w:szCs w:val="18"/>
          <w:lang w:val="es-ES_tradnl"/>
        </w:rPr>
        <w:t xml:space="preserve">n existente entre el objetivo </w:t>
      </w:r>
      <w:r>
        <w:rPr>
          <w:spacing w:val="-6"/>
          <w:sz w:val="18"/>
          <w:szCs w:val="18"/>
          <w:lang w:val="es-ES_tradnl"/>
        </w:rPr>
        <w:t xml:space="preserve">y el </w:t>
      </w:r>
      <w:r>
        <w:rPr>
          <w:rFonts w:cs="Times New Roman"/>
          <w:spacing w:val="-6"/>
          <w:sz w:val="18"/>
          <w:szCs w:val="18"/>
          <w:lang w:val="es-ES_tradnl"/>
        </w:rPr>
        <w:t>á</w:t>
      </w:r>
      <w:r>
        <w:rPr>
          <w:spacing w:val="-6"/>
          <w:sz w:val="18"/>
          <w:szCs w:val="18"/>
          <w:lang w:val="es-ES_tradnl"/>
        </w:rPr>
        <w:t xml:space="preserve">mbito del poder constituyente y de los poderes </w:t>
      </w:r>
      <w:r>
        <w:rPr>
          <w:sz w:val="18"/>
          <w:szCs w:val="18"/>
          <w:lang w:val="es-ES_tradnl"/>
        </w:rPr>
        <w:t>constituidos.</w:t>
      </w:r>
    </w:p>
    <w:p w14:paraId="4F67A5A4" w14:textId="77777777" w:rsidR="00591D54" w:rsidRDefault="00591D54">
      <w:pPr>
        <w:shd w:val="clear" w:color="auto" w:fill="FFFFFF"/>
        <w:spacing w:before="206" w:line="226" w:lineRule="exact"/>
        <w:ind w:right="5"/>
        <w:jc w:val="both"/>
      </w:pPr>
      <w:r>
        <w:rPr>
          <w:spacing w:val="-7"/>
          <w:sz w:val="18"/>
          <w:szCs w:val="18"/>
          <w:lang w:val="es-ES_tradnl"/>
        </w:rPr>
        <w:t>Esta garant</w:t>
      </w:r>
      <w:r>
        <w:rPr>
          <w:rFonts w:cs="Times New Roman"/>
          <w:spacing w:val="-7"/>
          <w:sz w:val="18"/>
          <w:szCs w:val="18"/>
          <w:lang w:val="es-ES_tradnl"/>
        </w:rPr>
        <w:t>í</w:t>
      </w:r>
      <w:r>
        <w:rPr>
          <w:spacing w:val="-7"/>
          <w:sz w:val="18"/>
          <w:szCs w:val="18"/>
          <w:lang w:val="es-ES_tradnl"/>
        </w:rPr>
        <w:t>a esencial de la supremac</w:t>
      </w:r>
      <w:r>
        <w:rPr>
          <w:rFonts w:cs="Times New Roman"/>
          <w:spacing w:val="-7"/>
          <w:sz w:val="18"/>
          <w:szCs w:val="18"/>
          <w:lang w:val="es-ES_tradnl"/>
        </w:rPr>
        <w:t>í</w:t>
      </w:r>
      <w:r>
        <w:rPr>
          <w:spacing w:val="-7"/>
          <w:sz w:val="18"/>
          <w:szCs w:val="18"/>
          <w:lang w:val="es-ES_tradnl"/>
        </w:rPr>
        <w:t xml:space="preserve">a constitucional, requiere indispensablemente un sistema de control que la </w:t>
      </w:r>
      <w:r>
        <w:rPr>
          <w:spacing w:val="-11"/>
          <w:sz w:val="18"/>
          <w:szCs w:val="18"/>
          <w:lang w:val="es-ES_tradnl"/>
        </w:rPr>
        <w:t>asegure con todo vigor, haciendo respetar esa concatenaci</w:t>
      </w:r>
      <w:r>
        <w:rPr>
          <w:rFonts w:cs="Times New Roman"/>
          <w:spacing w:val="-11"/>
          <w:sz w:val="18"/>
          <w:szCs w:val="18"/>
          <w:lang w:val="es-ES_tradnl"/>
        </w:rPr>
        <w:t>ó</w:t>
      </w:r>
      <w:r>
        <w:rPr>
          <w:spacing w:val="-11"/>
          <w:sz w:val="18"/>
          <w:szCs w:val="18"/>
          <w:lang w:val="es-ES_tradnl"/>
        </w:rPr>
        <w:t xml:space="preserve">n </w:t>
      </w:r>
      <w:r>
        <w:rPr>
          <w:spacing w:val="-6"/>
          <w:sz w:val="18"/>
          <w:szCs w:val="18"/>
          <w:lang w:val="es-ES_tradnl"/>
        </w:rPr>
        <w:t>jer</w:t>
      </w:r>
      <w:r>
        <w:rPr>
          <w:rFonts w:cs="Times New Roman"/>
          <w:spacing w:val="-6"/>
          <w:sz w:val="18"/>
          <w:szCs w:val="18"/>
          <w:lang w:val="es-ES_tradnl"/>
        </w:rPr>
        <w:t>á</w:t>
      </w:r>
      <w:r>
        <w:rPr>
          <w:spacing w:val="-6"/>
          <w:sz w:val="18"/>
          <w:szCs w:val="18"/>
          <w:lang w:val="es-ES_tradnl"/>
        </w:rPr>
        <w:t>rquica de normas, a partir de la Constituci</w:t>
      </w:r>
      <w:r>
        <w:rPr>
          <w:rFonts w:cs="Times New Roman"/>
          <w:spacing w:val="-6"/>
          <w:sz w:val="18"/>
          <w:szCs w:val="18"/>
          <w:lang w:val="es-ES_tradnl"/>
        </w:rPr>
        <w:t>ó</w:t>
      </w:r>
      <w:r>
        <w:rPr>
          <w:spacing w:val="-6"/>
          <w:sz w:val="18"/>
          <w:szCs w:val="18"/>
          <w:lang w:val="es-ES_tradnl"/>
        </w:rPr>
        <w:t xml:space="preserve">n, respecto </w:t>
      </w:r>
      <w:r>
        <w:rPr>
          <w:spacing w:val="-5"/>
          <w:sz w:val="18"/>
          <w:szCs w:val="18"/>
          <w:lang w:val="es-ES_tradnl"/>
        </w:rPr>
        <w:t>de toda norma infraconstitucional, tanto en su formaci</w:t>
      </w:r>
      <w:r>
        <w:rPr>
          <w:rFonts w:cs="Times New Roman"/>
          <w:spacing w:val="-5"/>
          <w:sz w:val="18"/>
          <w:szCs w:val="18"/>
          <w:lang w:val="es-ES_tradnl"/>
        </w:rPr>
        <w:t>ó</w:t>
      </w:r>
      <w:r>
        <w:rPr>
          <w:spacing w:val="-5"/>
          <w:sz w:val="18"/>
          <w:szCs w:val="18"/>
          <w:lang w:val="es-ES_tradnl"/>
        </w:rPr>
        <w:t xml:space="preserve">n </w:t>
      </w:r>
      <w:r>
        <w:rPr>
          <w:spacing w:val="-7"/>
          <w:sz w:val="18"/>
          <w:szCs w:val="18"/>
          <w:lang w:val="es-ES_tradnl"/>
        </w:rPr>
        <w:t>como en los contenidos normativos de sus textos.</w:t>
      </w:r>
    </w:p>
    <w:p w14:paraId="4F67A5A5" w14:textId="77777777" w:rsidR="00591D54" w:rsidRDefault="00591D54">
      <w:pPr>
        <w:shd w:val="clear" w:color="auto" w:fill="FFFFFF"/>
        <w:spacing w:before="211" w:line="226" w:lineRule="exact"/>
        <w:ind w:right="5"/>
        <w:jc w:val="both"/>
      </w:pPr>
      <w:r>
        <w:rPr>
          <w:spacing w:val="-8"/>
          <w:sz w:val="18"/>
          <w:szCs w:val="18"/>
          <w:lang w:val="es-ES_tradnl"/>
        </w:rPr>
        <w:t xml:space="preserve">Expuestos los antecedentes, corresponde a esta Corte </w:t>
      </w:r>
      <w:r>
        <w:rPr>
          <w:spacing w:val="-6"/>
          <w:sz w:val="18"/>
          <w:szCs w:val="18"/>
          <w:lang w:val="es-ES_tradnl"/>
        </w:rPr>
        <w:t xml:space="preserve">establecer si el texto impugnado de la ordenanza dictada </w:t>
      </w:r>
      <w:r>
        <w:rPr>
          <w:spacing w:val="-1"/>
          <w:sz w:val="18"/>
          <w:szCs w:val="18"/>
          <w:lang w:val="es-ES_tradnl"/>
        </w:rPr>
        <w:t>por el Gobierno Aut</w:t>
      </w:r>
      <w:r>
        <w:rPr>
          <w:rFonts w:cs="Times New Roman"/>
          <w:spacing w:val="-1"/>
          <w:sz w:val="18"/>
          <w:szCs w:val="18"/>
          <w:lang w:val="es-ES_tradnl"/>
        </w:rPr>
        <w:t>ó</w:t>
      </w:r>
      <w:r>
        <w:rPr>
          <w:spacing w:val="-1"/>
          <w:sz w:val="18"/>
          <w:szCs w:val="18"/>
          <w:lang w:val="es-ES_tradnl"/>
        </w:rPr>
        <w:t xml:space="preserve">nomo Descentralizado Municipal </w:t>
      </w:r>
      <w:r>
        <w:rPr>
          <w:spacing w:val="-3"/>
          <w:sz w:val="18"/>
          <w:szCs w:val="18"/>
          <w:lang w:val="es-ES_tradnl"/>
        </w:rPr>
        <w:t xml:space="preserve">de Chone, en adelante GAD, contraviene el texto </w:t>
      </w:r>
      <w:r>
        <w:rPr>
          <w:spacing w:val="-1"/>
          <w:sz w:val="18"/>
          <w:szCs w:val="18"/>
          <w:lang w:val="es-ES_tradnl"/>
        </w:rPr>
        <w:t>constitucional, espec</w:t>
      </w:r>
      <w:r>
        <w:rPr>
          <w:rFonts w:cs="Times New Roman"/>
          <w:spacing w:val="-1"/>
          <w:sz w:val="18"/>
          <w:szCs w:val="18"/>
          <w:lang w:val="es-ES_tradnl"/>
        </w:rPr>
        <w:t>í</w:t>
      </w:r>
      <w:r>
        <w:rPr>
          <w:spacing w:val="-1"/>
          <w:sz w:val="18"/>
          <w:szCs w:val="18"/>
          <w:lang w:val="es-ES_tradnl"/>
        </w:rPr>
        <w:t>ficamente los art</w:t>
      </w:r>
      <w:r>
        <w:rPr>
          <w:rFonts w:cs="Times New Roman"/>
          <w:spacing w:val="-1"/>
          <w:sz w:val="18"/>
          <w:szCs w:val="18"/>
          <w:lang w:val="es-ES_tradnl"/>
        </w:rPr>
        <w:t>í</w:t>
      </w:r>
      <w:r>
        <w:rPr>
          <w:spacing w:val="-1"/>
          <w:sz w:val="18"/>
          <w:szCs w:val="18"/>
          <w:lang w:val="es-ES_tradnl"/>
        </w:rPr>
        <w:t>culos 226, 261 y 300 de la Constituci</w:t>
      </w:r>
      <w:r>
        <w:rPr>
          <w:rFonts w:cs="Times New Roman"/>
          <w:spacing w:val="-1"/>
          <w:sz w:val="18"/>
          <w:szCs w:val="18"/>
          <w:lang w:val="es-ES_tradnl"/>
        </w:rPr>
        <w:t>ó</w:t>
      </w:r>
      <w:r>
        <w:rPr>
          <w:spacing w:val="-1"/>
          <w:sz w:val="18"/>
          <w:szCs w:val="18"/>
          <w:lang w:val="es-ES_tradnl"/>
        </w:rPr>
        <w:t>n de la Rep</w:t>
      </w:r>
      <w:r>
        <w:rPr>
          <w:rFonts w:cs="Times New Roman"/>
          <w:spacing w:val="-1"/>
          <w:sz w:val="18"/>
          <w:szCs w:val="18"/>
          <w:lang w:val="es-ES_tradnl"/>
        </w:rPr>
        <w:t>ú</w:t>
      </w:r>
      <w:r>
        <w:rPr>
          <w:spacing w:val="-1"/>
          <w:sz w:val="18"/>
          <w:szCs w:val="18"/>
          <w:lang w:val="es-ES_tradnl"/>
        </w:rPr>
        <w:t>blica; para lo cual, se realizar</w:t>
      </w:r>
      <w:r>
        <w:rPr>
          <w:rFonts w:cs="Times New Roman"/>
          <w:spacing w:val="-1"/>
          <w:sz w:val="18"/>
          <w:szCs w:val="18"/>
          <w:lang w:val="es-ES_tradnl"/>
        </w:rPr>
        <w:t>á</w:t>
      </w:r>
      <w:r>
        <w:rPr>
          <w:spacing w:val="-1"/>
          <w:sz w:val="18"/>
          <w:szCs w:val="18"/>
          <w:lang w:val="es-ES_tradnl"/>
        </w:rPr>
        <w:t xml:space="preserve"> un an</w:t>
      </w:r>
      <w:r>
        <w:rPr>
          <w:rFonts w:cs="Times New Roman"/>
          <w:spacing w:val="-1"/>
          <w:sz w:val="18"/>
          <w:szCs w:val="18"/>
          <w:lang w:val="es-ES_tradnl"/>
        </w:rPr>
        <w:t>á</w:t>
      </w:r>
      <w:r>
        <w:rPr>
          <w:spacing w:val="-1"/>
          <w:sz w:val="18"/>
          <w:szCs w:val="18"/>
          <w:lang w:val="es-ES_tradnl"/>
        </w:rPr>
        <w:t xml:space="preserve">lisis sobre la constitucionalidad por </w:t>
      </w:r>
      <w:r>
        <w:rPr>
          <w:spacing w:val="-5"/>
          <w:sz w:val="18"/>
          <w:szCs w:val="18"/>
          <w:lang w:val="es-ES_tradnl"/>
        </w:rPr>
        <w:t xml:space="preserve">la forma y el fondo de la norma impugnada, para acto </w:t>
      </w:r>
      <w:r>
        <w:rPr>
          <w:sz w:val="18"/>
          <w:szCs w:val="18"/>
          <w:lang w:val="es-ES_tradnl"/>
        </w:rPr>
        <w:t xml:space="preserve">seguido, emitir pronunciamiento sobre la existencia o </w:t>
      </w:r>
      <w:r>
        <w:rPr>
          <w:spacing w:val="-5"/>
          <w:sz w:val="18"/>
          <w:szCs w:val="18"/>
          <w:lang w:val="es-ES_tradnl"/>
        </w:rPr>
        <w:t>no de contraposici</w:t>
      </w:r>
      <w:r>
        <w:rPr>
          <w:rFonts w:cs="Times New Roman"/>
          <w:spacing w:val="-5"/>
          <w:sz w:val="18"/>
          <w:szCs w:val="18"/>
          <w:lang w:val="es-ES_tradnl"/>
        </w:rPr>
        <w:t>ó</w:t>
      </w:r>
      <w:r>
        <w:rPr>
          <w:spacing w:val="-5"/>
          <w:sz w:val="18"/>
          <w:szCs w:val="18"/>
          <w:lang w:val="es-ES_tradnl"/>
        </w:rPr>
        <w:t xml:space="preserve">n entre esta y lo establecido por la </w:t>
      </w:r>
      <w:r>
        <w:rPr>
          <w:sz w:val="18"/>
          <w:szCs w:val="18"/>
          <w:lang w:val="es-ES_tradnl"/>
        </w:rPr>
        <w:t>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A5A6" w14:textId="77777777" w:rsidR="00591D54" w:rsidRDefault="00591D54">
      <w:pPr>
        <w:shd w:val="clear" w:color="auto" w:fill="FFFFFF"/>
        <w:spacing w:before="206"/>
      </w:pPr>
      <w:r>
        <w:rPr>
          <w:b/>
          <w:bCs/>
          <w:spacing w:val="-7"/>
          <w:sz w:val="18"/>
          <w:szCs w:val="18"/>
          <w:lang w:val="es-ES_tradnl"/>
        </w:rPr>
        <w:t>Examen de constitucionalidad por la forma</w:t>
      </w:r>
    </w:p>
    <w:p w14:paraId="4F67A5A7" w14:textId="77777777" w:rsidR="00591D54" w:rsidRDefault="00591D54">
      <w:pPr>
        <w:shd w:val="clear" w:color="auto" w:fill="FFFFFF"/>
        <w:spacing w:before="211" w:line="226" w:lineRule="exact"/>
        <w:ind w:right="5"/>
        <w:jc w:val="both"/>
      </w:pPr>
      <w:r>
        <w:rPr>
          <w:sz w:val="18"/>
          <w:szCs w:val="18"/>
          <w:lang w:val="es-ES_tradnl"/>
        </w:rPr>
        <w:t xml:space="preserve">El examen constitucional por la forma radica en la </w:t>
      </w:r>
      <w:r>
        <w:rPr>
          <w:spacing w:val="-6"/>
          <w:sz w:val="18"/>
          <w:szCs w:val="18"/>
          <w:lang w:val="es-ES_tradnl"/>
        </w:rPr>
        <w:t>verificaci</w:t>
      </w:r>
      <w:r>
        <w:rPr>
          <w:rFonts w:cs="Times New Roman"/>
          <w:spacing w:val="-6"/>
          <w:sz w:val="18"/>
          <w:szCs w:val="18"/>
          <w:lang w:val="es-ES_tradnl"/>
        </w:rPr>
        <w:t>ó</w:t>
      </w:r>
      <w:r>
        <w:rPr>
          <w:spacing w:val="-6"/>
          <w:sz w:val="18"/>
          <w:szCs w:val="18"/>
          <w:lang w:val="es-ES_tradnl"/>
        </w:rPr>
        <w:t>n de que el tr</w:t>
      </w:r>
      <w:r>
        <w:rPr>
          <w:rFonts w:cs="Times New Roman"/>
          <w:spacing w:val="-6"/>
          <w:sz w:val="18"/>
          <w:szCs w:val="18"/>
          <w:lang w:val="es-ES_tradnl"/>
        </w:rPr>
        <w:t>á</w:t>
      </w:r>
      <w:r>
        <w:rPr>
          <w:spacing w:val="-6"/>
          <w:sz w:val="18"/>
          <w:szCs w:val="18"/>
          <w:lang w:val="es-ES_tradnl"/>
        </w:rPr>
        <w:t xml:space="preserve">mite preestablecido para ejercer </w:t>
      </w:r>
      <w:r>
        <w:rPr>
          <w:spacing w:val="-5"/>
          <w:sz w:val="18"/>
          <w:szCs w:val="18"/>
          <w:lang w:val="es-ES_tradnl"/>
        </w:rPr>
        <w:t>el proceso de creaci</w:t>
      </w:r>
      <w:r>
        <w:rPr>
          <w:rFonts w:cs="Times New Roman"/>
          <w:spacing w:val="-5"/>
          <w:sz w:val="18"/>
          <w:szCs w:val="18"/>
          <w:lang w:val="es-ES_tradnl"/>
        </w:rPr>
        <w:t>ó</w:t>
      </w:r>
      <w:r>
        <w:rPr>
          <w:spacing w:val="-5"/>
          <w:sz w:val="18"/>
          <w:szCs w:val="18"/>
          <w:lang w:val="es-ES_tradnl"/>
        </w:rPr>
        <w:t>n de una norma jur</w:t>
      </w:r>
      <w:r>
        <w:rPr>
          <w:rFonts w:cs="Times New Roman"/>
          <w:spacing w:val="-5"/>
          <w:sz w:val="18"/>
          <w:szCs w:val="18"/>
          <w:lang w:val="es-ES_tradnl"/>
        </w:rPr>
        <w:t>í</w:t>
      </w:r>
      <w:r>
        <w:rPr>
          <w:spacing w:val="-5"/>
          <w:sz w:val="18"/>
          <w:szCs w:val="18"/>
          <w:lang w:val="es-ES_tradnl"/>
        </w:rPr>
        <w:t xml:space="preserve">dica ha sido </w:t>
      </w:r>
      <w:r>
        <w:rPr>
          <w:spacing w:val="-7"/>
          <w:sz w:val="18"/>
          <w:szCs w:val="18"/>
          <w:lang w:val="es-ES_tradnl"/>
        </w:rPr>
        <w:t xml:space="preserve">respetado, es decir, si se ha observado las disposiciones </w:t>
      </w:r>
      <w:r>
        <w:rPr>
          <w:sz w:val="18"/>
          <w:szCs w:val="18"/>
          <w:lang w:val="es-ES_tradnl"/>
        </w:rPr>
        <w:t>constitucionales atinentes al caso en concreto, seg</w:t>
      </w:r>
      <w:r>
        <w:rPr>
          <w:rFonts w:cs="Times New Roman"/>
          <w:sz w:val="18"/>
          <w:szCs w:val="18"/>
          <w:lang w:val="es-ES_tradnl"/>
        </w:rPr>
        <w:t>ú</w:t>
      </w:r>
      <w:r>
        <w:rPr>
          <w:sz w:val="18"/>
          <w:szCs w:val="18"/>
          <w:lang w:val="es-ES_tradnl"/>
        </w:rPr>
        <w:t xml:space="preserve">n </w:t>
      </w:r>
      <w:r>
        <w:rPr>
          <w:spacing w:val="-6"/>
          <w:sz w:val="18"/>
          <w:szCs w:val="18"/>
          <w:lang w:val="es-ES_tradnl"/>
        </w:rPr>
        <w:t>la naturaleza de la regla jur</w:t>
      </w:r>
      <w:r>
        <w:rPr>
          <w:rFonts w:cs="Times New Roman"/>
          <w:spacing w:val="-6"/>
          <w:sz w:val="18"/>
          <w:szCs w:val="18"/>
          <w:lang w:val="es-ES_tradnl"/>
        </w:rPr>
        <w:t>í</w:t>
      </w:r>
      <w:r>
        <w:rPr>
          <w:spacing w:val="-6"/>
          <w:sz w:val="18"/>
          <w:szCs w:val="18"/>
          <w:lang w:val="es-ES_tradnl"/>
        </w:rPr>
        <w:t xml:space="preserve">dica a crearse, enfocado, principalmente, bajo una </w:t>
      </w:r>
      <w:r>
        <w:rPr>
          <w:rFonts w:cs="Times New Roman"/>
          <w:spacing w:val="-6"/>
          <w:sz w:val="18"/>
          <w:szCs w:val="18"/>
          <w:lang w:val="es-ES_tradnl"/>
        </w:rPr>
        <w:t>ó</w:t>
      </w:r>
      <w:r>
        <w:rPr>
          <w:spacing w:val="-6"/>
          <w:sz w:val="18"/>
          <w:szCs w:val="18"/>
          <w:lang w:val="es-ES_tradnl"/>
        </w:rPr>
        <w:t>ptica de competencia.</w:t>
      </w:r>
    </w:p>
    <w:p w14:paraId="4F67A5A8" w14:textId="77777777" w:rsidR="00591D54" w:rsidRDefault="00591D54">
      <w:pPr>
        <w:shd w:val="clear" w:color="auto" w:fill="FFFFFF"/>
        <w:spacing w:before="202"/>
      </w:pPr>
      <w:r>
        <w:rPr>
          <w:b/>
          <w:bCs/>
          <w:spacing w:val="-6"/>
          <w:sz w:val="18"/>
          <w:szCs w:val="18"/>
          <w:lang w:val="es-ES_tradnl"/>
        </w:rPr>
        <w:t>Determinaci</w:t>
      </w:r>
      <w:r>
        <w:rPr>
          <w:rFonts w:cs="Times New Roman"/>
          <w:b/>
          <w:bCs/>
          <w:spacing w:val="-6"/>
          <w:sz w:val="18"/>
          <w:szCs w:val="18"/>
          <w:lang w:val="es-ES_tradnl"/>
        </w:rPr>
        <w:t>ó</w:t>
      </w:r>
      <w:r>
        <w:rPr>
          <w:b/>
          <w:bCs/>
          <w:spacing w:val="-6"/>
          <w:sz w:val="18"/>
          <w:szCs w:val="18"/>
          <w:lang w:val="es-ES_tradnl"/>
        </w:rPr>
        <w:t>n del problema jur</w:t>
      </w:r>
      <w:r>
        <w:rPr>
          <w:rFonts w:cs="Times New Roman"/>
          <w:b/>
          <w:bCs/>
          <w:spacing w:val="-6"/>
          <w:sz w:val="18"/>
          <w:szCs w:val="18"/>
          <w:lang w:val="es-ES_tradnl"/>
        </w:rPr>
        <w:t>í</w:t>
      </w:r>
      <w:r>
        <w:rPr>
          <w:b/>
          <w:bCs/>
          <w:spacing w:val="-6"/>
          <w:sz w:val="18"/>
          <w:szCs w:val="18"/>
          <w:lang w:val="es-ES_tradnl"/>
        </w:rPr>
        <w:t>dico</w:t>
      </w:r>
    </w:p>
    <w:p w14:paraId="4F67A5A9" w14:textId="77777777" w:rsidR="00591D54" w:rsidRDefault="00591D54">
      <w:pPr>
        <w:shd w:val="clear" w:color="auto" w:fill="FFFFFF"/>
        <w:spacing w:before="211" w:line="226" w:lineRule="exact"/>
        <w:ind w:right="5"/>
        <w:jc w:val="both"/>
      </w:pPr>
      <w:r>
        <w:rPr>
          <w:spacing w:val="-6"/>
          <w:sz w:val="18"/>
          <w:szCs w:val="18"/>
          <w:lang w:val="es-ES_tradnl"/>
        </w:rPr>
        <w:t>De esta manera, se plantea el siguiente problema jur</w:t>
      </w:r>
      <w:r>
        <w:rPr>
          <w:rFonts w:cs="Times New Roman"/>
          <w:spacing w:val="-6"/>
          <w:sz w:val="18"/>
          <w:szCs w:val="18"/>
          <w:lang w:val="es-ES_tradnl"/>
        </w:rPr>
        <w:t>í</w:t>
      </w:r>
      <w:r>
        <w:rPr>
          <w:spacing w:val="-6"/>
          <w:sz w:val="18"/>
          <w:szCs w:val="18"/>
          <w:lang w:val="es-ES_tradnl"/>
        </w:rPr>
        <w:t xml:space="preserve">dico </w:t>
      </w:r>
      <w:r>
        <w:rPr>
          <w:sz w:val="18"/>
          <w:szCs w:val="18"/>
          <w:lang w:val="es-ES_tradnl"/>
        </w:rPr>
        <w:t>a resolver:</w:t>
      </w:r>
    </w:p>
    <w:p w14:paraId="4F67A5AA" w14:textId="77777777" w:rsidR="00591D54" w:rsidRDefault="00591D54">
      <w:pPr>
        <w:shd w:val="clear" w:color="auto" w:fill="FFFFFF"/>
        <w:spacing w:before="211" w:line="226" w:lineRule="exact"/>
        <w:ind w:right="5"/>
        <w:jc w:val="both"/>
        <w:sectPr w:rsidR="00591D54">
          <w:type w:val="continuous"/>
          <w:pgSz w:w="11909" w:h="16834"/>
          <w:pgMar w:top="1356" w:right="1304" w:bottom="360" w:left="1308" w:header="720" w:footer="720" w:gutter="0"/>
          <w:cols w:num="2" w:space="720" w:equalWidth="0">
            <w:col w:w="4305" w:space="682"/>
            <w:col w:w="4310"/>
          </w:cols>
          <w:noEndnote/>
        </w:sectPr>
      </w:pPr>
    </w:p>
    <w:p w14:paraId="4F67A5AB" w14:textId="77777777" w:rsidR="00591D54" w:rsidRDefault="00591D54">
      <w:pPr>
        <w:shd w:val="clear" w:color="auto" w:fill="FFFFFF"/>
        <w:tabs>
          <w:tab w:val="left" w:pos="595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- 31</w:t>
      </w:r>
    </w:p>
    <w:p w14:paraId="4F67A5AC" w14:textId="77777777" w:rsidR="00591D54" w:rsidRDefault="00591D54">
      <w:pPr>
        <w:shd w:val="clear" w:color="auto" w:fill="FFFFFF"/>
        <w:tabs>
          <w:tab w:val="left" w:pos="5952"/>
        </w:tabs>
        <w:spacing w:after="235"/>
        <w:ind w:left="5"/>
        <w:sectPr w:rsidR="00591D54">
          <w:pgSz w:w="11909" w:h="16834"/>
          <w:pgMar w:top="1371" w:right="1309" w:bottom="360" w:left="1308" w:header="720" w:footer="720" w:gutter="0"/>
          <w:cols w:space="60"/>
          <w:noEndnote/>
        </w:sectPr>
      </w:pPr>
    </w:p>
    <w:p w14:paraId="4F67A5AD" w14:textId="77777777" w:rsidR="00591D54" w:rsidRDefault="00591D54">
      <w:pPr>
        <w:shd w:val="clear" w:color="auto" w:fill="FFFFFF"/>
        <w:spacing w:line="221" w:lineRule="exact"/>
        <w:jc w:val="both"/>
      </w:pPr>
      <w:r>
        <w:rPr>
          <w:rFonts w:cs="Times New Roman"/>
          <w:spacing w:val="-6"/>
          <w:sz w:val="18"/>
          <w:szCs w:val="18"/>
          <w:lang w:val="es-ES_tradnl"/>
        </w:rPr>
        <w:t>¿</w:t>
      </w:r>
      <w:r>
        <w:rPr>
          <w:spacing w:val="-6"/>
          <w:sz w:val="18"/>
          <w:szCs w:val="18"/>
          <w:lang w:val="es-ES_tradnl"/>
        </w:rPr>
        <w:t>El Gobierno Aut</w:t>
      </w:r>
      <w:r>
        <w:rPr>
          <w:rFonts w:cs="Times New Roman"/>
          <w:spacing w:val="-6"/>
          <w:sz w:val="18"/>
          <w:szCs w:val="18"/>
          <w:lang w:val="es-ES_tradnl"/>
        </w:rPr>
        <w:t>ó</w:t>
      </w:r>
      <w:r>
        <w:rPr>
          <w:spacing w:val="-6"/>
          <w:sz w:val="18"/>
          <w:szCs w:val="18"/>
          <w:lang w:val="es-ES_tradnl"/>
        </w:rPr>
        <w:t xml:space="preserve">nomo Descentralizado, en el caso que </w:t>
      </w:r>
      <w:r>
        <w:rPr>
          <w:spacing w:val="-5"/>
          <w:sz w:val="18"/>
          <w:szCs w:val="18"/>
          <w:lang w:val="es-ES_tradnl"/>
        </w:rPr>
        <w:t>se analiza, cumpli</w:t>
      </w:r>
      <w:r>
        <w:rPr>
          <w:rFonts w:cs="Times New Roman"/>
          <w:spacing w:val="-5"/>
          <w:sz w:val="18"/>
          <w:szCs w:val="18"/>
          <w:lang w:val="es-ES_tradnl"/>
        </w:rPr>
        <w:t>ó</w:t>
      </w:r>
      <w:r>
        <w:rPr>
          <w:spacing w:val="-5"/>
          <w:sz w:val="18"/>
          <w:szCs w:val="18"/>
          <w:lang w:val="es-ES_tradnl"/>
        </w:rPr>
        <w:t xml:space="preserve"> con el procedimiento constitucional y </w:t>
      </w:r>
      <w:r>
        <w:rPr>
          <w:sz w:val="18"/>
          <w:szCs w:val="18"/>
          <w:lang w:val="es-ES_tradnl"/>
        </w:rPr>
        <w:t>legal para la creaci</w:t>
      </w:r>
      <w:r>
        <w:rPr>
          <w:rFonts w:cs="Times New Roman"/>
          <w:sz w:val="18"/>
          <w:szCs w:val="18"/>
          <w:lang w:val="es-ES_tradnl"/>
        </w:rPr>
        <w:t>ó</w:t>
      </w:r>
      <w:r>
        <w:rPr>
          <w:sz w:val="18"/>
          <w:szCs w:val="18"/>
          <w:lang w:val="es-ES_tradnl"/>
        </w:rPr>
        <w:t>n de ordenanzas?</w:t>
      </w:r>
    </w:p>
    <w:p w14:paraId="4F67A5AE" w14:textId="77777777" w:rsidR="00591D54" w:rsidRDefault="00591D54">
      <w:pPr>
        <w:shd w:val="clear" w:color="auto" w:fill="FFFFFF"/>
        <w:spacing w:before="197"/>
      </w:pPr>
      <w:r>
        <w:rPr>
          <w:b/>
          <w:bCs/>
          <w:spacing w:val="-7"/>
          <w:sz w:val="18"/>
          <w:szCs w:val="18"/>
          <w:lang w:val="es-ES_tradnl"/>
        </w:rPr>
        <w:t>Resoluci</w:t>
      </w:r>
      <w:r>
        <w:rPr>
          <w:rFonts w:cs="Times New Roman"/>
          <w:b/>
          <w:bCs/>
          <w:spacing w:val="-7"/>
          <w:sz w:val="18"/>
          <w:szCs w:val="18"/>
          <w:lang w:val="es-ES_tradnl"/>
        </w:rPr>
        <w:t>ó</w:t>
      </w:r>
      <w:r>
        <w:rPr>
          <w:b/>
          <w:bCs/>
          <w:spacing w:val="-7"/>
          <w:sz w:val="18"/>
          <w:szCs w:val="18"/>
          <w:lang w:val="es-ES_tradnl"/>
        </w:rPr>
        <w:t>n del problema jur</w:t>
      </w:r>
      <w:r>
        <w:rPr>
          <w:rFonts w:cs="Times New Roman"/>
          <w:b/>
          <w:bCs/>
          <w:spacing w:val="-7"/>
          <w:sz w:val="18"/>
          <w:szCs w:val="18"/>
          <w:lang w:val="es-ES_tradnl"/>
        </w:rPr>
        <w:t>í</w:t>
      </w:r>
      <w:r>
        <w:rPr>
          <w:b/>
          <w:bCs/>
          <w:spacing w:val="-7"/>
          <w:sz w:val="18"/>
          <w:szCs w:val="18"/>
          <w:lang w:val="es-ES_tradnl"/>
        </w:rPr>
        <w:t>dico</w:t>
      </w:r>
    </w:p>
    <w:p w14:paraId="4F67A5AF" w14:textId="77777777" w:rsidR="00591D54" w:rsidRDefault="00591D54">
      <w:pPr>
        <w:shd w:val="clear" w:color="auto" w:fill="FFFFFF"/>
        <w:spacing w:before="197" w:line="221" w:lineRule="exact"/>
        <w:jc w:val="both"/>
      </w:pPr>
      <w:r>
        <w:rPr>
          <w:rFonts w:cs="Times New Roman"/>
          <w:b/>
          <w:bCs/>
          <w:spacing w:val="-11"/>
          <w:sz w:val="18"/>
          <w:szCs w:val="18"/>
          <w:lang w:val="es-ES_tradnl"/>
        </w:rPr>
        <w:t>¿</w:t>
      </w:r>
      <w:r>
        <w:rPr>
          <w:b/>
          <w:bCs/>
          <w:spacing w:val="-11"/>
          <w:sz w:val="18"/>
          <w:szCs w:val="18"/>
          <w:lang w:val="es-ES_tradnl"/>
        </w:rPr>
        <w:t>El Gobierno Aut</w:t>
      </w:r>
      <w:r>
        <w:rPr>
          <w:rFonts w:cs="Times New Roman"/>
          <w:b/>
          <w:bCs/>
          <w:spacing w:val="-11"/>
          <w:sz w:val="18"/>
          <w:szCs w:val="18"/>
          <w:lang w:val="es-ES_tradnl"/>
        </w:rPr>
        <w:t>ó</w:t>
      </w:r>
      <w:r>
        <w:rPr>
          <w:b/>
          <w:bCs/>
          <w:spacing w:val="-11"/>
          <w:sz w:val="18"/>
          <w:szCs w:val="18"/>
          <w:lang w:val="es-ES_tradnl"/>
        </w:rPr>
        <w:t xml:space="preserve">nomo Descentralizado, en el caso que </w:t>
      </w:r>
      <w:r>
        <w:rPr>
          <w:b/>
          <w:bCs/>
          <w:spacing w:val="-9"/>
          <w:sz w:val="18"/>
          <w:szCs w:val="18"/>
          <w:lang w:val="es-ES_tradnl"/>
        </w:rPr>
        <w:t>se analiza, cumpli</w:t>
      </w:r>
      <w:r>
        <w:rPr>
          <w:rFonts w:cs="Times New Roman"/>
          <w:b/>
          <w:bCs/>
          <w:spacing w:val="-9"/>
          <w:sz w:val="18"/>
          <w:szCs w:val="18"/>
          <w:lang w:val="es-ES_tradnl"/>
        </w:rPr>
        <w:t>ó</w:t>
      </w:r>
      <w:r>
        <w:rPr>
          <w:b/>
          <w:bCs/>
          <w:spacing w:val="-9"/>
          <w:sz w:val="18"/>
          <w:szCs w:val="18"/>
          <w:lang w:val="es-ES_tradnl"/>
        </w:rPr>
        <w:t xml:space="preserve"> con el procedimiento constitucional </w:t>
      </w:r>
      <w:r>
        <w:rPr>
          <w:b/>
          <w:bCs/>
          <w:spacing w:val="-8"/>
          <w:sz w:val="18"/>
          <w:szCs w:val="18"/>
          <w:lang w:val="es-ES_tradnl"/>
        </w:rPr>
        <w:t>y legal para la creaci</w:t>
      </w:r>
      <w:r>
        <w:rPr>
          <w:rFonts w:cs="Times New Roman"/>
          <w:b/>
          <w:bCs/>
          <w:spacing w:val="-8"/>
          <w:sz w:val="18"/>
          <w:szCs w:val="18"/>
          <w:lang w:val="es-ES_tradnl"/>
        </w:rPr>
        <w:t>ó</w:t>
      </w:r>
      <w:r>
        <w:rPr>
          <w:b/>
          <w:bCs/>
          <w:spacing w:val="-8"/>
          <w:sz w:val="18"/>
          <w:szCs w:val="18"/>
          <w:lang w:val="es-ES_tradnl"/>
        </w:rPr>
        <w:t>n de ordenanzas?</w:t>
      </w:r>
    </w:p>
    <w:p w14:paraId="4F67A5B0" w14:textId="77777777" w:rsidR="00591D54" w:rsidRDefault="00591D54">
      <w:pPr>
        <w:shd w:val="clear" w:color="auto" w:fill="FFFFFF"/>
        <w:spacing w:before="202" w:line="221" w:lineRule="exact"/>
        <w:jc w:val="both"/>
      </w:pPr>
      <w:r>
        <w:rPr>
          <w:spacing w:val="-7"/>
          <w:sz w:val="18"/>
          <w:szCs w:val="18"/>
          <w:lang w:val="es-ES_tradnl"/>
        </w:rPr>
        <w:t>En el caso sometido a estudio cabe se</w:t>
      </w:r>
      <w:r>
        <w:rPr>
          <w:rFonts w:cs="Times New Roman"/>
          <w:spacing w:val="-7"/>
          <w:sz w:val="18"/>
          <w:szCs w:val="18"/>
          <w:lang w:val="es-ES_tradnl"/>
        </w:rPr>
        <w:t>ñ</w:t>
      </w:r>
      <w:r>
        <w:rPr>
          <w:spacing w:val="-7"/>
          <w:sz w:val="18"/>
          <w:szCs w:val="18"/>
          <w:lang w:val="es-ES_tradnl"/>
        </w:rPr>
        <w:t xml:space="preserve">alar que la norma </w:t>
      </w:r>
      <w:r>
        <w:rPr>
          <w:spacing w:val="-1"/>
          <w:sz w:val="18"/>
          <w:szCs w:val="18"/>
          <w:lang w:val="es-ES_tradnl"/>
        </w:rPr>
        <w:t xml:space="preserve">impugnada corresponde a la ordenanza expedida por </w:t>
      </w:r>
      <w:r>
        <w:rPr>
          <w:spacing w:val="-3"/>
          <w:sz w:val="18"/>
          <w:szCs w:val="18"/>
          <w:lang w:val="es-ES_tradnl"/>
        </w:rPr>
        <w:t>el GAD municipal del cant</w:t>
      </w:r>
      <w:r>
        <w:rPr>
          <w:rFonts w:cs="Times New Roman"/>
          <w:spacing w:val="-3"/>
          <w:sz w:val="18"/>
          <w:szCs w:val="18"/>
          <w:lang w:val="es-ES_tradnl"/>
        </w:rPr>
        <w:t>ó</w:t>
      </w:r>
      <w:r>
        <w:rPr>
          <w:spacing w:val="-3"/>
          <w:sz w:val="18"/>
          <w:szCs w:val="18"/>
          <w:lang w:val="es-ES_tradnl"/>
        </w:rPr>
        <w:t xml:space="preserve">n Chone referente a la </w:t>
      </w:r>
      <w:r>
        <w:rPr>
          <w:spacing w:val="-6"/>
          <w:sz w:val="18"/>
          <w:szCs w:val="18"/>
          <w:lang w:val="es-ES_tradnl"/>
        </w:rPr>
        <w:t>implantaci</w:t>
      </w:r>
      <w:r>
        <w:rPr>
          <w:rFonts w:cs="Times New Roman"/>
          <w:spacing w:val="-6"/>
          <w:sz w:val="18"/>
          <w:szCs w:val="18"/>
          <w:lang w:val="es-ES_tradnl"/>
        </w:rPr>
        <w:t>ó</w:t>
      </w:r>
      <w:r>
        <w:rPr>
          <w:spacing w:val="-6"/>
          <w:sz w:val="18"/>
          <w:szCs w:val="18"/>
          <w:lang w:val="es-ES_tradnl"/>
        </w:rPr>
        <w:t xml:space="preserve">n de estructuras, postes y tendidos de redes, </w:t>
      </w:r>
      <w:r>
        <w:rPr>
          <w:spacing w:val="-8"/>
          <w:sz w:val="18"/>
          <w:szCs w:val="18"/>
          <w:lang w:val="es-ES_tradnl"/>
        </w:rPr>
        <w:t>adem</w:t>
      </w:r>
      <w:r>
        <w:rPr>
          <w:rFonts w:cs="Times New Roman"/>
          <w:spacing w:val="-8"/>
          <w:sz w:val="18"/>
          <w:szCs w:val="18"/>
          <w:lang w:val="es-ES_tradnl"/>
        </w:rPr>
        <w:t>á</w:t>
      </w:r>
      <w:r>
        <w:rPr>
          <w:spacing w:val="-8"/>
          <w:sz w:val="18"/>
          <w:szCs w:val="18"/>
          <w:lang w:val="es-ES_tradnl"/>
        </w:rPr>
        <w:t>s de la fijaci</w:t>
      </w:r>
      <w:r>
        <w:rPr>
          <w:rFonts w:cs="Times New Roman"/>
          <w:spacing w:val="-8"/>
          <w:sz w:val="18"/>
          <w:szCs w:val="18"/>
          <w:lang w:val="es-ES_tradnl"/>
        </w:rPr>
        <w:t>ó</w:t>
      </w:r>
      <w:r>
        <w:rPr>
          <w:spacing w:val="-8"/>
          <w:sz w:val="18"/>
          <w:szCs w:val="18"/>
          <w:lang w:val="es-ES_tradnl"/>
        </w:rPr>
        <w:t xml:space="preserve">n de las tasas correspondientes por la </w:t>
      </w:r>
      <w:r>
        <w:rPr>
          <w:spacing w:val="-6"/>
          <w:sz w:val="18"/>
          <w:szCs w:val="18"/>
          <w:lang w:val="es-ES_tradnl"/>
        </w:rPr>
        <w:t>utilizaci</w:t>
      </w:r>
      <w:r>
        <w:rPr>
          <w:rFonts w:cs="Times New Roman"/>
          <w:spacing w:val="-6"/>
          <w:sz w:val="18"/>
          <w:szCs w:val="18"/>
          <w:lang w:val="es-ES_tradnl"/>
        </w:rPr>
        <w:t>ó</w:t>
      </w:r>
      <w:r>
        <w:rPr>
          <w:spacing w:val="-6"/>
          <w:sz w:val="18"/>
          <w:szCs w:val="18"/>
          <w:lang w:val="es-ES_tradnl"/>
        </w:rPr>
        <w:t>n u ocupaci</w:t>
      </w:r>
      <w:r>
        <w:rPr>
          <w:rFonts w:cs="Times New Roman"/>
          <w:spacing w:val="-6"/>
          <w:sz w:val="18"/>
          <w:szCs w:val="18"/>
          <w:lang w:val="es-ES_tradnl"/>
        </w:rPr>
        <w:t>ó</w:t>
      </w:r>
      <w:r>
        <w:rPr>
          <w:spacing w:val="-6"/>
          <w:sz w:val="18"/>
          <w:szCs w:val="18"/>
          <w:lang w:val="es-ES_tradnl"/>
        </w:rPr>
        <w:t>n del espacio a</w:t>
      </w:r>
      <w:r>
        <w:rPr>
          <w:rFonts w:cs="Times New Roman"/>
          <w:spacing w:val="-6"/>
          <w:sz w:val="18"/>
          <w:szCs w:val="18"/>
          <w:lang w:val="es-ES_tradnl"/>
        </w:rPr>
        <w:t>é</w:t>
      </w:r>
      <w:r>
        <w:rPr>
          <w:spacing w:val="-6"/>
          <w:sz w:val="18"/>
          <w:szCs w:val="18"/>
          <w:lang w:val="es-ES_tradnl"/>
        </w:rPr>
        <w:t>reo municipal, suelo y subsuelo, por lo que inicialmente hay que hacer relaci</w:t>
      </w:r>
      <w:r>
        <w:rPr>
          <w:rFonts w:cs="Times New Roman"/>
          <w:spacing w:val="-6"/>
          <w:sz w:val="18"/>
          <w:szCs w:val="18"/>
          <w:lang w:val="es-ES_tradnl"/>
        </w:rPr>
        <w:t>ó</w:t>
      </w:r>
      <w:r>
        <w:rPr>
          <w:spacing w:val="-6"/>
          <w:sz w:val="18"/>
          <w:szCs w:val="18"/>
          <w:lang w:val="es-ES_tradnl"/>
        </w:rPr>
        <w:t xml:space="preserve">n </w:t>
      </w:r>
      <w:r>
        <w:rPr>
          <w:sz w:val="18"/>
          <w:szCs w:val="18"/>
          <w:lang w:val="es-ES_tradnl"/>
        </w:rPr>
        <w:t>a que:</w:t>
      </w:r>
    </w:p>
    <w:p w14:paraId="4F67A5B1" w14:textId="77777777" w:rsidR="00591D54" w:rsidRDefault="00591D54">
      <w:pPr>
        <w:shd w:val="clear" w:color="auto" w:fill="FFFFFF"/>
        <w:spacing w:before="202"/>
      </w:pPr>
      <w:r>
        <w:rPr>
          <w:spacing w:val="-9"/>
          <w:sz w:val="18"/>
          <w:szCs w:val="18"/>
          <w:lang w:val="es-ES_tradnl"/>
        </w:rPr>
        <w:t>El art</w:t>
      </w:r>
      <w:r>
        <w:rPr>
          <w:rFonts w:cs="Times New Roman"/>
          <w:spacing w:val="-9"/>
          <w:sz w:val="18"/>
          <w:szCs w:val="18"/>
          <w:lang w:val="es-ES_tradnl"/>
        </w:rPr>
        <w:t>í</w:t>
      </w:r>
      <w:r>
        <w:rPr>
          <w:spacing w:val="-9"/>
          <w:sz w:val="18"/>
          <w:szCs w:val="18"/>
          <w:lang w:val="es-ES_tradnl"/>
        </w:rPr>
        <w:t>culo 240 de la Constituci</w:t>
      </w:r>
      <w:r>
        <w:rPr>
          <w:rFonts w:cs="Times New Roman"/>
          <w:spacing w:val="-9"/>
          <w:sz w:val="18"/>
          <w:szCs w:val="18"/>
          <w:lang w:val="es-ES_tradnl"/>
        </w:rPr>
        <w:t>ó</w:t>
      </w:r>
      <w:r>
        <w:rPr>
          <w:spacing w:val="-9"/>
          <w:sz w:val="18"/>
          <w:szCs w:val="18"/>
          <w:lang w:val="es-ES_tradnl"/>
        </w:rPr>
        <w:t>n de la Rep</w:t>
      </w:r>
      <w:r>
        <w:rPr>
          <w:rFonts w:cs="Times New Roman"/>
          <w:spacing w:val="-9"/>
          <w:sz w:val="18"/>
          <w:szCs w:val="18"/>
          <w:lang w:val="es-ES_tradnl"/>
        </w:rPr>
        <w:t>ú</w:t>
      </w:r>
      <w:r>
        <w:rPr>
          <w:spacing w:val="-9"/>
          <w:sz w:val="18"/>
          <w:szCs w:val="18"/>
          <w:lang w:val="es-ES_tradnl"/>
        </w:rPr>
        <w:t>blica establece:</w:t>
      </w:r>
    </w:p>
    <w:p w14:paraId="4F67A5B2" w14:textId="77777777" w:rsidR="00591D54" w:rsidRDefault="00591D54">
      <w:pPr>
        <w:shd w:val="clear" w:color="auto" w:fill="FFFFFF"/>
        <w:spacing w:before="202" w:line="221" w:lineRule="exact"/>
        <w:ind w:left="283" w:right="5"/>
        <w:jc w:val="both"/>
      </w:pPr>
      <w:r>
        <w:rPr>
          <w:spacing w:val="-6"/>
          <w:sz w:val="16"/>
          <w:szCs w:val="16"/>
          <w:lang w:val="es-ES_tradnl"/>
        </w:rPr>
        <w:t>Art. 240.- Los gobiernos aut</w:t>
      </w:r>
      <w:r>
        <w:rPr>
          <w:rFonts w:cs="Times New Roman"/>
          <w:spacing w:val="-6"/>
          <w:sz w:val="16"/>
          <w:szCs w:val="16"/>
          <w:lang w:val="es-ES_tradnl"/>
        </w:rPr>
        <w:t>ó</w:t>
      </w:r>
      <w:r>
        <w:rPr>
          <w:spacing w:val="-6"/>
          <w:sz w:val="16"/>
          <w:szCs w:val="16"/>
          <w:lang w:val="es-ES_tradnl"/>
        </w:rPr>
        <w:t xml:space="preserve">nomos descentralizados de las </w:t>
      </w:r>
      <w:r>
        <w:rPr>
          <w:spacing w:val="-3"/>
          <w:sz w:val="16"/>
          <w:szCs w:val="16"/>
          <w:lang w:val="es-ES_tradnl"/>
        </w:rPr>
        <w:t xml:space="preserve">regiones, distritos metropolitanos, provincias y cantones </w:t>
      </w:r>
      <w:r>
        <w:rPr>
          <w:spacing w:val="-10"/>
          <w:sz w:val="16"/>
          <w:szCs w:val="16"/>
          <w:lang w:val="es-ES_tradnl"/>
        </w:rPr>
        <w:t>tendr</w:t>
      </w:r>
      <w:r>
        <w:rPr>
          <w:rFonts w:cs="Times New Roman"/>
          <w:spacing w:val="-10"/>
          <w:sz w:val="16"/>
          <w:szCs w:val="16"/>
          <w:lang w:val="es-ES_tradnl"/>
        </w:rPr>
        <w:t>á</w:t>
      </w:r>
      <w:r>
        <w:rPr>
          <w:spacing w:val="-10"/>
          <w:sz w:val="16"/>
          <w:szCs w:val="16"/>
          <w:lang w:val="es-ES_tradnl"/>
        </w:rPr>
        <w:t xml:space="preserve">n facultades legislativas en el </w:t>
      </w:r>
      <w:r>
        <w:rPr>
          <w:rFonts w:cs="Times New Roman"/>
          <w:spacing w:val="-10"/>
          <w:sz w:val="16"/>
          <w:szCs w:val="16"/>
          <w:lang w:val="es-ES_tradnl"/>
        </w:rPr>
        <w:t>á</w:t>
      </w:r>
      <w:r>
        <w:rPr>
          <w:spacing w:val="-10"/>
          <w:sz w:val="16"/>
          <w:szCs w:val="16"/>
          <w:lang w:val="es-ES_tradnl"/>
        </w:rPr>
        <w:t xml:space="preserve">mbito de sus competencias </w:t>
      </w:r>
      <w:r>
        <w:rPr>
          <w:spacing w:val="-5"/>
          <w:sz w:val="16"/>
          <w:szCs w:val="16"/>
          <w:lang w:val="es-ES_tradnl"/>
        </w:rPr>
        <w:t xml:space="preserve">y jurisdicciones territoriales. Las juntas parroquiales rurales </w:t>
      </w:r>
      <w:r>
        <w:rPr>
          <w:sz w:val="16"/>
          <w:szCs w:val="16"/>
          <w:lang w:val="es-ES_tradnl"/>
        </w:rPr>
        <w:t>tendr</w:t>
      </w:r>
      <w:r>
        <w:rPr>
          <w:rFonts w:cs="Times New Roman"/>
          <w:sz w:val="16"/>
          <w:szCs w:val="16"/>
          <w:lang w:val="es-ES_tradnl"/>
        </w:rPr>
        <w:t>á</w:t>
      </w:r>
      <w:r>
        <w:rPr>
          <w:sz w:val="16"/>
          <w:szCs w:val="16"/>
          <w:lang w:val="es-ES_tradnl"/>
        </w:rPr>
        <w:t>n facultades reglamentarias.</w:t>
      </w:r>
    </w:p>
    <w:p w14:paraId="4F67A5B3" w14:textId="77777777" w:rsidR="00591D54" w:rsidRDefault="00591D54">
      <w:pPr>
        <w:shd w:val="clear" w:color="auto" w:fill="FFFFFF"/>
        <w:spacing w:before="211" w:line="221" w:lineRule="exact"/>
        <w:ind w:left="283" w:right="5"/>
        <w:jc w:val="both"/>
      </w:pPr>
      <w:r>
        <w:rPr>
          <w:spacing w:val="-8"/>
          <w:sz w:val="16"/>
          <w:szCs w:val="16"/>
          <w:lang w:val="es-ES_tradnl"/>
        </w:rPr>
        <w:t>Todos los gobiernos aut</w:t>
      </w:r>
      <w:r>
        <w:rPr>
          <w:rFonts w:cs="Times New Roman"/>
          <w:spacing w:val="-8"/>
          <w:sz w:val="16"/>
          <w:szCs w:val="16"/>
          <w:lang w:val="es-ES_tradnl"/>
        </w:rPr>
        <w:t>ó</w:t>
      </w:r>
      <w:r>
        <w:rPr>
          <w:spacing w:val="-8"/>
          <w:sz w:val="16"/>
          <w:szCs w:val="16"/>
          <w:lang w:val="es-ES_tradnl"/>
        </w:rPr>
        <w:t>nomos descentralizados ejercer</w:t>
      </w:r>
      <w:r>
        <w:rPr>
          <w:rFonts w:cs="Times New Roman"/>
          <w:spacing w:val="-8"/>
          <w:sz w:val="16"/>
          <w:szCs w:val="16"/>
          <w:lang w:val="es-ES_tradnl"/>
        </w:rPr>
        <w:t>á</w:t>
      </w:r>
      <w:r>
        <w:rPr>
          <w:spacing w:val="-8"/>
          <w:sz w:val="16"/>
          <w:szCs w:val="16"/>
          <w:lang w:val="es-ES_tradnl"/>
        </w:rPr>
        <w:t xml:space="preserve">n </w:t>
      </w:r>
      <w:r>
        <w:rPr>
          <w:spacing w:val="-7"/>
          <w:sz w:val="16"/>
          <w:szCs w:val="16"/>
          <w:lang w:val="es-ES_tradnl"/>
        </w:rPr>
        <w:t xml:space="preserve">facultades ejecutivas en el </w:t>
      </w:r>
      <w:r>
        <w:rPr>
          <w:rFonts w:cs="Times New Roman"/>
          <w:spacing w:val="-7"/>
          <w:sz w:val="16"/>
          <w:szCs w:val="16"/>
          <w:lang w:val="es-ES_tradnl"/>
        </w:rPr>
        <w:t>á</w:t>
      </w:r>
      <w:r>
        <w:rPr>
          <w:spacing w:val="-7"/>
          <w:sz w:val="16"/>
          <w:szCs w:val="16"/>
          <w:lang w:val="es-ES_tradnl"/>
        </w:rPr>
        <w:t xml:space="preserve">mbito de sus competencias y </w:t>
      </w:r>
      <w:r>
        <w:rPr>
          <w:sz w:val="16"/>
          <w:szCs w:val="16"/>
          <w:lang w:val="es-ES_tradnl"/>
        </w:rPr>
        <w:t>jurisdicciones territoriales.</w:t>
      </w:r>
    </w:p>
    <w:p w14:paraId="4F67A5B4" w14:textId="77777777" w:rsidR="00591D54" w:rsidRDefault="00591D54">
      <w:pPr>
        <w:shd w:val="clear" w:color="auto" w:fill="FFFFFF"/>
        <w:spacing w:before="206" w:line="221" w:lineRule="exact"/>
        <w:jc w:val="both"/>
      </w:pPr>
      <w:r>
        <w:rPr>
          <w:spacing w:val="-6"/>
          <w:sz w:val="18"/>
          <w:szCs w:val="18"/>
          <w:lang w:val="es-ES_tradnl"/>
        </w:rPr>
        <w:t>Acorde a lo se</w:t>
      </w:r>
      <w:r>
        <w:rPr>
          <w:rFonts w:cs="Times New Roman"/>
          <w:spacing w:val="-6"/>
          <w:sz w:val="18"/>
          <w:szCs w:val="18"/>
          <w:lang w:val="es-ES_tradnl"/>
        </w:rPr>
        <w:t>ñ</w:t>
      </w:r>
      <w:r>
        <w:rPr>
          <w:spacing w:val="-6"/>
          <w:sz w:val="18"/>
          <w:szCs w:val="18"/>
          <w:lang w:val="es-ES_tradnl"/>
        </w:rPr>
        <w:t>alado por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w:t>
      </w:r>
      <w:r>
        <w:rPr>
          <w:spacing w:val="-5"/>
          <w:sz w:val="18"/>
          <w:szCs w:val="18"/>
          <w:lang w:val="es-ES_tradnl"/>
        </w:rPr>
        <w:t>en la disposici</w:t>
      </w:r>
      <w:r>
        <w:rPr>
          <w:rFonts w:cs="Times New Roman"/>
          <w:spacing w:val="-5"/>
          <w:sz w:val="18"/>
          <w:szCs w:val="18"/>
          <w:lang w:val="es-ES_tradnl"/>
        </w:rPr>
        <w:t>ó</w:t>
      </w:r>
      <w:r>
        <w:rPr>
          <w:spacing w:val="-5"/>
          <w:sz w:val="18"/>
          <w:szCs w:val="18"/>
          <w:lang w:val="es-ES_tradnl"/>
        </w:rPr>
        <w:t>n transcrita, los Gobiernos Aut</w:t>
      </w:r>
      <w:r>
        <w:rPr>
          <w:rFonts w:cs="Times New Roman"/>
          <w:spacing w:val="-5"/>
          <w:sz w:val="18"/>
          <w:szCs w:val="18"/>
          <w:lang w:val="es-ES_tradnl"/>
        </w:rPr>
        <w:t>ó</w:t>
      </w:r>
      <w:r>
        <w:rPr>
          <w:spacing w:val="-5"/>
          <w:sz w:val="18"/>
          <w:szCs w:val="18"/>
          <w:lang w:val="es-ES_tradnl"/>
        </w:rPr>
        <w:t>nomos Descentralizados, solo podr</w:t>
      </w:r>
      <w:r>
        <w:rPr>
          <w:rFonts w:cs="Times New Roman"/>
          <w:spacing w:val="-5"/>
          <w:sz w:val="18"/>
          <w:szCs w:val="18"/>
          <w:lang w:val="es-ES_tradnl"/>
        </w:rPr>
        <w:t>á</w:t>
      </w:r>
      <w:r>
        <w:rPr>
          <w:spacing w:val="-5"/>
          <w:sz w:val="18"/>
          <w:szCs w:val="18"/>
          <w:lang w:val="es-ES_tradnl"/>
        </w:rPr>
        <w:t xml:space="preserve">n ejercer las facultades </w:t>
      </w:r>
      <w:r>
        <w:rPr>
          <w:spacing w:val="-9"/>
          <w:sz w:val="18"/>
          <w:szCs w:val="18"/>
          <w:lang w:val="es-ES_tradnl"/>
        </w:rPr>
        <w:t xml:space="preserve">legislativas dentro del </w:t>
      </w:r>
      <w:r>
        <w:rPr>
          <w:rFonts w:cs="Times New Roman"/>
          <w:spacing w:val="-9"/>
          <w:sz w:val="18"/>
          <w:szCs w:val="18"/>
          <w:lang w:val="es-ES_tradnl"/>
        </w:rPr>
        <w:t>á</w:t>
      </w:r>
      <w:r>
        <w:rPr>
          <w:spacing w:val="-9"/>
          <w:sz w:val="18"/>
          <w:szCs w:val="18"/>
          <w:lang w:val="es-ES_tradnl"/>
        </w:rPr>
        <w:t>mbito de sus competencias, a trav</w:t>
      </w:r>
      <w:r>
        <w:rPr>
          <w:rFonts w:cs="Times New Roman"/>
          <w:spacing w:val="-9"/>
          <w:sz w:val="18"/>
          <w:szCs w:val="18"/>
          <w:lang w:val="es-ES_tradnl"/>
        </w:rPr>
        <w:t>é</w:t>
      </w:r>
      <w:r>
        <w:rPr>
          <w:spacing w:val="-9"/>
          <w:sz w:val="18"/>
          <w:szCs w:val="18"/>
          <w:lang w:val="es-ES_tradnl"/>
        </w:rPr>
        <w:t xml:space="preserve">s </w:t>
      </w:r>
      <w:r>
        <w:rPr>
          <w:spacing w:val="-8"/>
          <w:sz w:val="18"/>
          <w:szCs w:val="18"/>
          <w:lang w:val="es-ES_tradnl"/>
        </w:rPr>
        <w:t xml:space="preserve">de ordenanzas, acuerdos y resoluciones, aplicables dentro </w:t>
      </w:r>
      <w:r>
        <w:rPr>
          <w:spacing w:val="-6"/>
          <w:sz w:val="18"/>
          <w:szCs w:val="18"/>
          <w:lang w:val="es-ES_tradnl"/>
        </w:rPr>
        <w:t>de su circunscripci</w:t>
      </w:r>
      <w:r>
        <w:rPr>
          <w:rFonts w:cs="Times New Roman"/>
          <w:spacing w:val="-6"/>
          <w:sz w:val="18"/>
          <w:szCs w:val="18"/>
          <w:lang w:val="es-ES_tradnl"/>
        </w:rPr>
        <w:t>ó</w:t>
      </w:r>
      <w:r>
        <w:rPr>
          <w:spacing w:val="-6"/>
          <w:sz w:val="18"/>
          <w:szCs w:val="18"/>
          <w:lang w:val="es-ES_tradnl"/>
        </w:rPr>
        <w:t xml:space="preserve">n territorial, observando lo establecido </w:t>
      </w:r>
      <w:r>
        <w:rPr>
          <w:spacing w:val="-4"/>
          <w:sz w:val="18"/>
          <w:szCs w:val="18"/>
          <w:lang w:val="es-ES_tradnl"/>
        </w:rPr>
        <w:t>en el art</w:t>
      </w:r>
      <w:r>
        <w:rPr>
          <w:rFonts w:cs="Times New Roman"/>
          <w:spacing w:val="-4"/>
          <w:sz w:val="18"/>
          <w:szCs w:val="18"/>
          <w:lang w:val="es-ES_tradnl"/>
        </w:rPr>
        <w:t>í</w:t>
      </w:r>
      <w:r>
        <w:rPr>
          <w:spacing w:val="-4"/>
          <w:sz w:val="18"/>
          <w:szCs w:val="18"/>
          <w:lang w:val="es-ES_tradnl"/>
        </w:rPr>
        <w:t>culo 7 del C</w:t>
      </w:r>
      <w:r>
        <w:rPr>
          <w:rFonts w:cs="Times New Roman"/>
          <w:spacing w:val="-4"/>
          <w:sz w:val="18"/>
          <w:szCs w:val="18"/>
          <w:lang w:val="es-ES_tradnl"/>
        </w:rPr>
        <w:t>ó</w:t>
      </w:r>
      <w:r>
        <w:rPr>
          <w:spacing w:val="-4"/>
          <w:sz w:val="18"/>
          <w:szCs w:val="18"/>
          <w:lang w:val="es-ES_tradnl"/>
        </w:rPr>
        <w:t>digo Org</w:t>
      </w:r>
      <w:r>
        <w:rPr>
          <w:rFonts w:cs="Times New Roman"/>
          <w:spacing w:val="-4"/>
          <w:sz w:val="18"/>
          <w:szCs w:val="18"/>
          <w:lang w:val="es-ES_tradnl"/>
        </w:rPr>
        <w:t>á</w:t>
      </w:r>
      <w:r>
        <w:rPr>
          <w:spacing w:val="-4"/>
          <w:sz w:val="18"/>
          <w:szCs w:val="18"/>
          <w:lang w:val="es-ES_tradnl"/>
        </w:rPr>
        <w:t>nico de Organizaci</w:t>
      </w:r>
      <w:r>
        <w:rPr>
          <w:rFonts w:cs="Times New Roman"/>
          <w:spacing w:val="-4"/>
          <w:sz w:val="18"/>
          <w:szCs w:val="18"/>
          <w:lang w:val="es-ES_tradnl"/>
        </w:rPr>
        <w:t>ó</w:t>
      </w:r>
      <w:r>
        <w:rPr>
          <w:spacing w:val="-4"/>
          <w:sz w:val="18"/>
          <w:szCs w:val="18"/>
          <w:lang w:val="es-ES_tradnl"/>
        </w:rPr>
        <w:t xml:space="preserve">n </w:t>
      </w:r>
      <w:r>
        <w:rPr>
          <w:spacing w:val="-3"/>
          <w:sz w:val="18"/>
          <w:szCs w:val="18"/>
          <w:lang w:val="es-ES_tradnl"/>
        </w:rPr>
        <w:t>Territorial, Autonom</w:t>
      </w:r>
      <w:r>
        <w:rPr>
          <w:rFonts w:cs="Times New Roman"/>
          <w:spacing w:val="-3"/>
          <w:sz w:val="18"/>
          <w:szCs w:val="18"/>
          <w:lang w:val="es-ES_tradnl"/>
        </w:rPr>
        <w:t>í</w:t>
      </w:r>
      <w:r>
        <w:rPr>
          <w:spacing w:val="-3"/>
          <w:sz w:val="18"/>
          <w:szCs w:val="18"/>
          <w:lang w:val="es-ES_tradnl"/>
        </w:rPr>
        <w:t>a y Descentralizaci</w:t>
      </w:r>
      <w:r>
        <w:rPr>
          <w:rFonts w:cs="Times New Roman"/>
          <w:spacing w:val="-3"/>
          <w:sz w:val="18"/>
          <w:szCs w:val="18"/>
          <w:lang w:val="es-ES_tradnl"/>
        </w:rPr>
        <w:t>ó</w:t>
      </w:r>
      <w:r>
        <w:rPr>
          <w:spacing w:val="-3"/>
          <w:sz w:val="18"/>
          <w:szCs w:val="18"/>
          <w:lang w:val="es-ES_tradnl"/>
        </w:rPr>
        <w:t xml:space="preserve">n (COOTAD), </w:t>
      </w:r>
      <w:r>
        <w:rPr>
          <w:sz w:val="18"/>
          <w:szCs w:val="18"/>
          <w:lang w:val="es-ES_tradnl"/>
        </w:rPr>
        <w:t>mismo que se</w:t>
      </w:r>
      <w:r>
        <w:rPr>
          <w:rFonts w:cs="Times New Roman"/>
          <w:sz w:val="18"/>
          <w:szCs w:val="18"/>
          <w:lang w:val="es-ES_tradnl"/>
        </w:rPr>
        <w:t>ñ</w:t>
      </w:r>
      <w:r>
        <w:rPr>
          <w:sz w:val="18"/>
          <w:szCs w:val="18"/>
          <w:lang w:val="es-ES_tradnl"/>
        </w:rPr>
        <w:t>ala:</w:t>
      </w:r>
    </w:p>
    <w:p w14:paraId="4F67A5B5" w14:textId="77777777" w:rsidR="00591D54" w:rsidRDefault="00591D54">
      <w:pPr>
        <w:shd w:val="clear" w:color="auto" w:fill="FFFFFF"/>
        <w:spacing w:before="206" w:line="221" w:lineRule="exact"/>
        <w:ind w:left="283" w:right="5"/>
        <w:jc w:val="both"/>
      </w:pPr>
      <w:r>
        <w:rPr>
          <w:sz w:val="16"/>
          <w:szCs w:val="16"/>
          <w:lang w:val="es-ES_tradnl"/>
        </w:rPr>
        <w:t xml:space="preserve">Facultad normativa.- Para el pleno ejercicio de sus </w:t>
      </w:r>
      <w:r>
        <w:rPr>
          <w:spacing w:val="-8"/>
          <w:sz w:val="16"/>
          <w:szCs w:val="16"/>
          <w:lang w:val="es-ES_tradnl"/>
        </w:rPr>
        <w:t xml:space="preserve">competencias y de las facultades que de manera concurrente </w:t>
      </w:r>
      <w:r>
        <w:rPr>
          <w:spacing w:val="-6"/>
          <w:sz w:val="16"/>
          <w:szCs w:val="16"/>
          <w:lang w:val="es-ES_tradnl"/>
        </w:rPr>
        <w:t>podr</w:t>
      </w:r>
      <w:r>
        <w:rPr>
          <w:rFonts w:cs="Times New Roman"/>
          <w:spacing w:val="-6"/>
          <w:sz w:val="16"/>
          <w:szCs w:val="16"/>
          <w:lang w:val="es-ES_tradnl"/>
        </w:rPr>
        <w:t>á</w:t>
      </w:r>
      <w:r>
        <w:rPr>
          <w:spacing w:val="-6"/>
          <w:sz w:val="16"/>
          <w:szCs w:val="16"/>
          <w:lang w:val="es-ES_tradnl"/>
        </w:rPr>
        <w:t xml:space="preserve">n asumir, se reconoce a los consejos regionales y </w:t>
      </w:r>
      <w:r>
        <w:rPr>
          <w:spacing w:val="-3"/>
          <w:sz w:val="16"/>
          <w:szCs w:val="16"/>
          <w:lang w:val="es-ES_tradnl"/>
        </w:rPr>
        <w:t xml:space="preserve">provinciales concejos metropolitanos y municipales, la </w:t>
      </w:r>
      <w:r>
        <w:rPr>
          <w:spacing w:val="-8"/>
          <w:sz w:val="16"/>
          <w:szCs w:val="16"/>
          <w:lang w:val="es-ES_tradnl"/>
        </w:rPr>
        <w:t>capacidad para dictar normas de car</w:t>
      </w:r>
      <w:r>
        <w:rPr>
          <w:rFonts w:cs="Times New Roman"/>
          <w:spacing w:val="-8"/>
          <w:sz w:val="16"/>
          <w:szCs w:val="16"/>
          <w:lang w:val="es-ES_tradnl"/>
        </w:rPr>
        <w:t>á</w:t>
      </w:r>
      <w:r>
        <w:rPr>
          <w:spacing w:val="-8"/>
          <w:sz w:val="16"/>
          <w:szCs w:val="16"/>
          <w:lang w:val="es-ES_tradnl"/>
        </w:rPr>
        <w:t>cter general a trav</w:t>
      </w:r>
      <w:r>
        <w:rPr>
          <w:rFonts w:cs="Times New Roman"/>
          <w:spacing w:val="-8"/>
          <w:sz w:val="16"/>
          <w:szCs w:val="16"/>
          <w:lang w:val="es-ES_tradnl"/>
        </w:rPr>
        <w:t>é</w:t>
      </w:r>
      <w:r>
        <w:rPr>
          <w:spacing w:val="-8"/>
          <w:sz w:val="16"/>
          <w:szCs w:val="16"/>
          <w:lang w:val="es-ES_tradnl"/>
        </w:rPr>
        <w:t xml:space="preserve">s de ordenanzas, acuerdos y resoluciones, aplicables dentro de su </w:t>
      </w:r>
      <w:r>
        <w:rPr>
          <w:sz w:val="16"/>
          <w:szCs w:val="16"/>
          <w:lang w:val="es-ES_tradnl"/>
        </w:rPr>
        <w:t>circunscripci</w:t>
      </w:r>
      <w:r>
        <w:rPr>
          <w:rFonts w:cs="Times New Roman"/>
          <w:sz w:val="16"/>
          <w:szCs w:val="16"/>
          <w:lang w:val="es-ES_tradnl"/>
        </w:rPr>
        <w:t>ó</w:t>
      </w:r>
      <w:r>
        <w:rPr>
          <w:sz w:val="16"/>
          <w:szCs w:val="16"/>
          <w:lang w:val="es-ES_tradnl"/>
        </w:rPr>
        <w:t>n territorial.</w:t>
      </w:r>
    </w:p>
    <w:p w14:paraId="4F67A5B6" w14:textId="77777777" w:rsidR="00591D54" w:rsidRDefault="00591D54">
      <w:pPr>
        <w:shd w:val="clear" w:color="auto" w:fill="FFFFFF"/>
        <w:spacing w:before="211" w:line="221" w:lineRule="exact"/>
        <w:ind w:left="283" w:right="5"/>
        <w:jc w:val="both"/>
      </w:pPr>
      <w:r>
        <w:rPr>
          <w:spacing w:val="-2"/>
          <w:sz w:val="16"/>
          <w:szCs w:val="16"/>
          <w:lang w:val="es-ES_tradnl"/>
        </w:rPr>
        <w:t>El ejercicio de esta facultad se circunscribir</w:t>
      </w:r>
      <w:r>
        <w:rPr>
          <w:rFonts w:cs="Times New Roman"/>
          <w:spacing w:val="-2"/>
          <w:sz w:val="16"/>
          <w:szCs w:val="16"/>
          <w:lang w:val="es-ES_tradnl"/>
        </w:rPr>
        <w:t>á</w:t>
      </w:r>
      <w:r>
        <w:rPr>
          <w:spacing w:val="-2"/>
          <w:sz w:val="16"/>
          <w:szCs w:val="16"/>
          <w:lang w:val="es-ES_tradnl"/>
        </w:rPr>
        <w:t xml:space="preserve"> al </w:t>
      </w:r>
      <w:r>
        <w:rPr>
          <w:rFonts w:cs="Times New Roman"/>
          <w:spacing w:val="-2"/>
          <w:sz w:val="16"/>
          <w:szCs w:val="16"/>
          <w:lang w:val="es-ES_tradnl"/>
        </w:rPr>
        <w:t>á</w:t>
      </w:r>
      <w:r>
        <w:rPr>
          <w:spacing w:val="-2"/>
          <w:sz w:val="16"/>
          <w:szCs w:val="16"/>
          <w:lang w:val="es-ES_tradnl"/>
        </w:rPr>
        <w:t xml:space="preserve">mbito </w:t>
      </w:r>
      <w:r>
        <w:rPr>
          <w:spacing w:val="-5"/>
          <w:sz w:val="16"/>
          <w:szCs w:val="16"/>
          <w:lang w:val="es-ES_tradnl"/>
        </w:rPr>
        <w:t>territorial y a las competencias de cada nivel de gobierno, y observar</w:t>
      </w:r>
      <w:r>
        <w:rPr>
          <w:rFonts w:cs="Times New Roman"/>
          <w:spacing w:val="-5"/>
          <w:sz w:val="16"/>
          <w:szCs w:val="16"/>
          <w:lang w:val="es-ES_tradnl"/>
        </w:rPr>
        <w:t>á</w:t>
      </w:r>
      <w:r>
        <w:rPr>
          <w:spacing w:val="-5"/>
          <w:sz w:val="16"/>
          <w:szCs w:val="16"/>
          <w:lang w:val="es-ES_tradnl"/>
        </w:rPr>
        <w:t xml:space="preserve"> lo previsto en la Constituci</w:t>
      </w:r>
      <w:r>
        <w:rPr>
          <w:rFonts w:cs="Times New Roman"/>
          <w:spacing w:val="-5"/>
          <w:sz w:val="16"/>
          <w:szCs w:val="16"/>
          <w:lang w:val="es-ES_tradnl"/>
        </w:rPr>
        <w:t>ó</w:t>
      </w:r>
      <w:r>
        <w:rPr>
          <w:spacing w:val="-5"/>
          <w:sz w:val="16"/>
          <w:szCs w:val="16"/>
          <w:lang w:val="es-ES_tradnl"/>
        </w:rPr>
        <w:t>n y la Ley.</w:t>
      </w:r>
    </w:p>
    <w:p w14:paraId="4F67A5B7" w14:textId="77777777" w:rsidR="00591D54" w:rsidRDefault="00591D54">
      <w:pPr>
        <w:shd w:val="clear" w:color="auto" w:fill="FFFFFF"/>
        <w:spacing w:before="206" w:line="221" w:lineRule="exact"/>
        <w:ind w:left="283" w:right="5"/>
        <w:jc w:val="both"/>
      </w:pPr>
      <w:r>
        <w:rPr>
          <w:spacing w:val="-4"/>
          <w:sz w:val="16"/>
          <w:szCs w:val="16"/>
          <w:lang w:val="es-ES_tradnl"/>
        </w:rPr>
        <w:t>Los gobiernos aut</w:t>
      </w:r>
      <w:r>
        <w:rPr>
          <w:rFonts w:cs="Times New Roman"/>
          <w:spacing w:val="-4"/>
          <w:sz w:val="16"/>
          <w:szCs w:val="16"/>
          <w:lang w:val="es-ES_tradnl"/>
        </w:rPr>
        <w:t>ó</w:t>
      </w:r>
      <w:r>
        <w:rPr>
          <w:spacing w:val="-4"/>
          <w:sz w:val="16"/>
          <w:szCs w:val="16"/>
          <w:lang w:val="es-ES_tradnl"/>
        </w:rPr>
        <w:t>nomos descentralizados del r</w:t>
      </w:r>
      <w:r>
        <w:rPr>
          <w:rFonts w:cs="Times New Roman"/>
          <w:spacing w:val="-4"/>
          <w:sz w:val="16"/>
          <w:szCs w:val="16"/>
          <w:lang w:val="es-ES_tradnl"/>
        </w:rPr>
        <w:t>é</w:t>
      </w:r>
      <w:r>
        <w:rPr>
          <w:spacing w:val="-4"/>
          <w:sz w:val="16"/>
          <w:szCs w:val="16"/>
          <w:lang w:val="es-ES_tradnl"/>
        </w:rPr>
        <w:t xml:space="preserve">gimen </w:t>
      </w:r>
      <w:r>
        <w:rPr>
          <w:spacing w:val="-6"/>
          <w:sz w:val="16"/>
          <w:szCs w:val="16"/>
          <w:lang w:val="es-ES_tradnl"/>
        </w:rPr>
        <w:t>especial de la provincia de Gal</w:t>
      </w:r>
      <w:r>
        <w:rPr>
          <w:rFonts w:cs="Times New Roman"/>
          <w:spacing w:val="-6"/>
          <w:sz w:val="16"/>
          <w:szCs w:val="16"/>
          <w:lang w:val="es-ES_tradnl"/>
        </w:rPr>
        <w:t>á</w:t>
      </w:r>
      <w:r>
        <w:rPr>
          <w:spacing w:val="-6"/>
          <w:sz w:val="16"/>
          <w:szCs w:val="16"/>
          <w:lang w:val="es-ES_tradnl"/>
        </w:rPr>
        <w:t>pagos ejercer</w:t>
      </w:r>
      <w:r>
        <w:rPr>
          <w:rFonts w:cs="Times New Roman"/>
          <w:spacing w:val="-6"/>
          <w:sz w:val="16"/>
          <w:szCs w:val="16"/>
          <w:lang w:val="es-ES_tradnl"/>
        </w:rPr>
        <w:t>á</w:t>
      </w:r>
      <w:r>
        <w:rPr>
          <w:spacing w:val="-6"/>
          <w:sz w:val="16"/>
          <w:szCs w:val="16"/>
          <w:lang w:val="es-ES_tradnl"/>
        </w:rPr>
        <w:t xml:space="preserve">n la facultad normativa con las limitaciones que para el caso expida la ley </w:t>
      </w:r>
      <w:r>
        <w:rPr>
          <w:sz w:val="16"/>
          <w:szCs w:val="16"/>
          <w:lang w:val="es-ES_tradnl"/>
        </w:rPr>
        <w:t>correspondiente.</w:t>
      </w:r>
    </w:p>
    <w:p w14:paraId="4F67A5B8" w14:textId="77777777" w:rsidR="00591D54" w:rsidRDefault="00591D54">
      <w:pPr>
        <w:shd w:val="clear" w:color="auto" w:fill="FFFFFF"/>
        <w:spacing w:before="206" w:line="221" w:lineRule="exact"/>
        <w:ind w:left="283" w:right="5"/>
        <w:jc w:val="both"/>
      </w:pPr>
      <w:r>
        <w:rPr>
          <w:spacing w:val="-6"/>
          <w:sz w:val="16"/>
          <w:szCs w:val="16"/>
          <w:lang w:val="es-ES_tradnl"/>
        </w:rPr>
        <w:t>Las circunscripciones territoriales ind</w:t>
      </w:r>
      <w:r>
        <w:rPr>
          <w:rFonts w:cs="Times New Roman"/>
          <w:spacing w:val="-6"/>
          <w:sz w:val="16"/>
          <w:szCs w:val="16"/>
          <w:lang w:val="es-ES_tradnl"/>
        </w:rPr>
        <w:t>í</w:t>
      </w:r>
      <w:r>
        <w:rPr>
          <w:spacing w:val="-6"/>
          <w:sz w:val="16"/>
          <w:szCs w:val="16"/>
          <w:lang w:val="es-ES_tradnl"/>
        </w:rPr>
        <w:t>genas, afroecuatorianas y montubias asumir</w:t>
      </w:r>
      <w:r>
        <w:rPr>
          <w:rFonts w:cs="Times New Roman"/>
          <w:spacing w:val="-6"/>
          <w:sz w:val="16"/>
          <w:szCs w:val="16"/>
          <w:lang w:val="es-ES_tradnl"/>
        </w:rPr>
        <w:t>á</w:t>
      </w:r>
      <w:r>
        <w:rPr>
          <w:spacing w:val="-6"/>
          <w:sz w:val="16"/>
          <w:szCs w:val="16"/>
          <w:lang w:val="es-ES_tradnl"/>
        </w:rPr>
        <w:t>n las capacidades normativas que correspondan al nivel de gobierno en las que se enmarquen sin perjuicio de aquellas que le otorga la Constituci</w:t>
      </w:r>
      <w:r>
        <w:rPr>
          <w:rFonts w:cs="Times New Roman"/>
          <w:spacing w:val="-6"/>
          <w:sz w:val="16"/>
          <w:szCs w:val="16"/>
          <w:lang w:val="es-ES_tradnl"/>
        </w:rPr>
        <w:t>ó</w:t>
      </w:r>
      <w:r>
        <w:rPr>
          <w:spacing w:val="-6"/>
          <w:sz w:val="16"/>
          <w:szCs w:val="16"/>
          <w:lang w:val="es-ES_tradnl"/>
        </w:rPr>
        <w:t>n y la ley.</w:t>
      </w:r>
    </w:p>
    <w:p w14:paraId="4F67A5B9" w14:textId="77777777" w:rsidR="00591D54" w:rsidRDefault="00591D54">
      <w:pPr>
        <w:shd w:val="clear" w:color="auto" w:fill="FFFFFF"/>
        <w:spacing w:line="216" w:lineRule="exact"/>
        <w:jc w:val="both"/>
      </w:pPr>
      <w:r>
        <w:br w:type="column"/>
      </w:r>
      <w:r>
        <w:rPr>
          <w:spacing w:val="-5"/>
          <w:sz w:val="18"/>
          <w:szCs w:val="18"/>
          <w:lang w:val="es-ES_tradnl"/>
        </w:rPr>
        <w:t xml:space="preserve">En tal sentido, queda claro que dentro del </w:t>
      </w:r>
      <w:r>
        <w:rPr>
          <w:rFonts w:cs="Times New Roman"/>
          <w:spacing w:val="-5"/>
          <w:sz w:val="18"/>
          <w:szCs w:val="18"/>
          <w:lang w:val="es-ES_tradnl"/>
        </w:rPr>
        <w:t>á</w:t>
      </w:r>
      <w:r>
        <w:rPr>
          <w:spacing w:val="-5"/>
          <w:sz w:val="18"/>
          <w:szCs w:val="18"/>
          <w:lang w:val="es-ES_tradnl"/>
        </w:rPr>
        <w:t xml:space="preserve">mbito de la </w:t>
      </w:r>
      <w:r>
        <w:rPr>
          <w:spacing w:val="-2"/>
          <w:sz w:val="18"/>
          <w:szCs w:val="18"/>
          <w:lang w:val="es-ES_tradnl"/>
        </w:rPr>
        <w:t>potestad legislativa de los GAD municipales, est</w:t>
      </w:r>
      <w:r>
        <w:rPr>
          <w:rFonts w:cs="Times New Roman"/>
          <w:spacing w:val="-2"/>
          <w:sz w:val="18"/>
          <w:szCs w:val="18"/>
          <w:lang w:val="es-ES_tradnl"/>
        </w:rPr>
        <w:t>á</w:t>
      </w:r>
      <w:r>
        <w:rPr>
          <w:spacing w:val="-2"/>
          <w:sz w:val="18"/>
          <w:szCs w:val="18"/>
          <w:lang w:val="es-ES_tradnl"/>
        </w:rPr>
        <w:t xml:space="preserve"> la </w:t>
      </w:r>
      <w:r>
        <w:rPr>
          <w:spacing w:val="-5"/>
          <w:sz w:val="18"/>
          <w:szCs w:val="18"/>
          <w:lang w:val="es-ES_tradnl"/>
        </w:rPr>
        <w:t>facultad de la creaci</w:t>
      </w:r>
      <w:r>
        <w:rPr>
          <w:rFonts w:cs="Times New Roman"/>
          <w:spacing w:val="-5"/>
          <w:sz w:val="18"/>
          <w:szCs w:val="18"/>
          <w:lang w:val="es-ES_tradnl"/>
        </w:rPr>
        <w:t>ó</w:t>
      </w:r>
      <w:r>
        <w:rPr>
          <w:spacing w:val="-5"/>
          <w:sz w:val="18"/>
          <w:szCs w:val="18"/>
          <w:lang w:val="es-ES_tradnl"/>
        </w:rPr>
        <w:t xml:space="preserve">n de tasas, tarifas y contribuciones </w:t>
      </w:r>
      <w:r>
        <w:rPr>
          <w:spacing w:val="-8"/>
          <w:sz w:val="18"/>
          <w:szCs w:val="18"/>
          <w:lang w:val="es-ES_tradnl"/>
        </w:rPr>
        <w:t>especiales de mejoras, las mismas que por mandato de la ley, ser</w:t>
      </w:r>
      <w:r>
        <w:rPr>
          <w:rFonts w:cs="Times New Roman"/>
          <w:spacing w:val="-8"/>
          <w:sz w:val="18"/>
          <w:szCs w:val="18"/>
          <w:lang w:val="es-ES_tradnl"/>
        </w:rPr>
        <w:t>á</w:t>
      </w:r>
      <w:r>
        <w:rPr>
          <w:spacing w:val="-8"/>
          <w:sz w:val="18"/>
          <w:szCs w:val="18"/>
          <w:lang w:val="es-ES_tradnl"/>
        </w:rPr>
        <w:t xml:space="preserve">n creadas, modificadas, exoneradas o suprimidas </w:t>
      </w:r>
      <w:r>
        <w:rPr>
          <w:spacing w:val="-9"/>
          <w:sz w:val="18"/>
          <w:szCs w:val="18"/>
          <w:lang w:val="es-ES_tradnl"/>
        </w:rPr>
        <w:t>mediante ordenanzas, acorde a lo se</w:t>
      </w:r>
      <w:r>
        <w:rPr>
          <w:rFonts w:cs="Times New Roman"/>
          <w:spacing w:val="-9"/>
          <w:sz w:val="18"/>
          <w:szCs w:val="18"/>
          <w:lang w:val="es-ES_tradnl"/>
        </w:rPr>
        <w:t>ñ</w:t>
      </w:r>
      <w:r>
        <w:rPr>
          <w:spacing w:val="-9"/>
          <w:sz w:val="18"/>
          <w:szCs w:val="18"/>
          <w:lang w:val="es-ES_tradnl"/>
        </w:rPr>
        <w:t xml:space="preserve">alado en la letra </w:t>
      </w:r>
      <w:r>
        <w:rPr>
          <w:b/>
          <w:bCs/>
          <w:spacing w:val="-9"/>
          <w:sz w:val="18"/>
          <w:szCs w:val="18"/>
          <w:lang w:val="es-ES_tradnl"/>
        </w:rPr>
        <w:t xml:space="preserve">e </w:t>
      </w:r>
      <w:r>
        <w:rPr>
          <w:spacing w:val="-9"/>
          <w:sz w:val="18"/>
          <w:szCs w:val="18"/>
          <w:lang w:val="es-ES_tradnl"/>
        </w:rPr>
        <w:t xml:space="preserve">del </w:t>
      </w:r>
      <w:r>
        <w:rPr>
          <w:sz w:val="18"/>
          <w:szCs w:val="18"/>
          <w:lang w:val="es-ES_tradnl"/>
        </w:rPr>
        <w:t>art</w:t>
      </w:r>
      <w:r>
        <w:rPr>
          <w:rFonts w:cs="Times New Roman"/>
          <w:sz w:val="18"/>
          <w:szCs w:val="18"/>
          <w:lang w:val="es-ES_tradnl"/>
        </w:rPr>
        <w:t>í</w:t>
      </w:r>
      <w:r>
        <w:rPr>
          <w:sz w:val="18"/>
          <w:szCs w:val="18"/>
          <w:lang w:val="es-ES_tradnl"/>
        </w:rPr>
        <w:t>culo 55 del COOTAD.</w:t>
      </w:r>
    </w:p>
    <w:p w14:paraId="4F67A5BA" w14:textId="77777777" w:rsidR="00591D54" w:rsidRDefault="00591D54">
      <w:pPr>
        <w:shd w:val="clear" w:color="auto" w:fill="FFFFFF"/>
        <w:spacing w:before="192" w:line="216" w:lineRule="exact"/>
        <w:jc w:val="both"/>
      </w:pPr>
      <w:r>
        <w:rPr>
          <w:spacing w:val="-7"/>
          <w:sz w:val="18"/>
          <w:szCs w:val="18"/>
          <w:lang w:val="es-ES_tradnl"/>
        </w:rPr>
        <w:t xml:space="preserve">En el caso </w:t>
      </w:r>
      <w:r>
        <w:rPr>
          <w:i/>
          <w:iCs/>
          <w:spacing w:val="-7"/>
          <w:sz w:val="18"/>
          <w:szCs w:val="18"/>
          <w:lang w:val="es-ES_tradnl"/>
        </w:rPr>
        <w:t>in examine</w:t>
      </w:r>
      <w:r>
        <w:rPr>
          <w:spacing w:val="-7"/>
          <w:sz w:val="18"/>
          <w:szCs w:val="18"/>
          <w:lang w:val="es-ES_tradnl"/>
        </w:rPr>
        <w:t xml:space="preserve">, la potestad legislativa que poseen </w:t>
      </w:r>
      <w:r>
        <w:rPr>
          <w:spacing w:val="-4"/>
          <w:sz w:val="18"/>
          <w:szCs w:val="18"/>
          <w:lang w:val="es-ES_tradnl"/>
        </w:rPr>
        <w:t>los GAD municipales ha sido ejercida a trav</w:t>
      </w:r>
      <w:r>
        <w:rPr>
          <w:rFonts w:cs="Times New Roman"/>
          <w:spacing w:val="-4"/>
          <w:sz w:val="18"/>
          <w:szCs w:val="18"/>
          <w:lang w:val="es-ES_tradnl"/>
        </w:rPr>
        <w:t>é</w:t>
      </w:r>
      <w:r>
        <w:rPr>
          <w:spacing w:val="-4"/>
          <w:sz w:val="18"/>
          <w:szCs w:val="18"/>
          <w:lang w:val="es-ES_tradnl"/>
        </w:rPr>
        <w:t xml:space="preserve">s de la </w:t>
      </w:r>
      <w:r>
        <w:rPr>
          <w:spacing w:val="-6"/>
          <w:sz w:val="18"/>
          <w:szCs w:val="18"/>
          <w:lang w:val="es-ES_tradnl"/>
        </w:rPr>
        <w:t>ordenanza, con la que se pretende regular la utilizaci</w:t>
      </w:r>
      <w:r>
        <w:rPr>
          <w:rFonts w:cs="Times New Roman"/>
          <w:spacing w:val="-6"/>
          <w:sz w:val="18"/>
          <w:szCs w:val="18"/>
          <w:lang w:val="es-ES_tradnl"/>
        </w:rPr>
        <w:t>ó</w:t>
      </w:r>
      <w:r>
        <w:rPr>
          <w:spacing w:val="-6"/>
          <w:sz w:val="18"/>
          <w:szCs w:val="18"/>
          <w:lang w:val="es-ES_tradnl"/>
        </w:rPr>
        <w:t xml:space="preserve">n u </w:t>
      </w:r>
      <w:r>
        <w:rPr>
          <w:spacing w:val="-7"/>
          <w:sz w:val="18"/>
          <w:szCs w:val="18"/>
          <w:lang w:val="es-ES_tradnl"/>
        </w:rPr>
        <w:t>ocupaci</w:t>
      </w:r>
      <w:r>
        <w:rPr>
          <w:rFonts w:cs="Times New Roman"/>
          <w:spacing w:val="-7"/>
          <w:sz w:val="18"/>
          <w:szCs w:val="18"/>
          <w:lang w:val="es-ES_tradnl"/>
        </w:rPr>
        <w:t>ó</w:t>
      </w:r>
      <w:r>
        <w:rPr>
          <w:spacing w:val="-7"/>
          <w:sz w:val="18"/>
          <w:szCs w:val="18"/>
          <w:lang w:val="es-ES_tradnl"/>
        </w:rPr>
        <w:t>n del espacio p</w:t>
      </w:r>
      <w:r>
        <w:rPr>
          <w:rFonts w:cs="Times New Roman"/>
          <w:spacing w:val="-7"/>
          <w:sz w:val="18"/>
          <w:szCs w:val="18"/>
          <w:lang w:val="es-ES_tradnl"/>
        </w:rPr>
        <w:t>ú</w:t>
      </w:r>
      <w:r>
        <w:rPr>
          <w:spacing w:val="-7"/>
          <w:sz w:val="18"/>
          <w:szCs w:val="18"/>
          <w:lang w:val="es-ES_tradnl"/>
        </w:rPr>
        <w:t>blico o la v</w:t>
      </w:r>
      <w:r>
        <w:rPr>
          <w:rFonts w:cs="Times New Roman"/>
          <w:spacing w:val="-7"/>
          <w:sz w:val="18"/>
          <w:szCs w:val="18"/>
          <w:lang w:val="es-ES_tradnl"/>
        </w:rPr>
        <w:t>í</w:t>
      </w:r>
      <w:r>
        <w:rPr>
          <w:spacing w:val="-7"/>
          <w:sz w:val="18"/>
          <w:szCs w:val="18"/>
          <w:lang w:val="es-ES_tradnl"/>
        </w:rPr>
        <w:t>a p</w:t>
      </w:r>
      <w:r>
        <w:rPr>
          <w:rFonts w:cs="Times New Roman"/>
          <w:spacing w:val="-7"/>
          <w:sz w:val="18"/>
          <w:szCs w:val="18"/>
          <w:lang w:val="es-ES_tradnl"/>
        </w:rPr>
        <w:t>ú</w:t>
      </w:r>
      <w:r>
        <w:rPr>
          <w:spacing w:val="-7"/>
          <w:sz w:val="18"/>
          <w:szCs w:val="18"/>
          <w:lang w:val="es-ES_tradnl"/>
        </w:rPr>
        <w:t xml:space="preserve">blica y el espacio </w:t>
      </w:r>
      <w:r>
        <w:rPr>
          <w:sz w:val="18"/>
          <w:szCs w:val="18"/>
          <w:lang w:val="es-ES_tradnl"/>
        </w:rPr>
        <w:t>a</w:t>
      </w:r>
      <w:r>
        <w:rPr>
          <w:rFonts w:cs="Times New Roman"/>
          <w:sz w:val="18"/>
          <w:szCs w:val="18"/>
          <w:lang w:val="es-ES_tradnl"/>
        </w:rPr>
        <w:t>é</w:t>
      </w:r>
      <w:r>
        <w:rPr>
          <w:sz w:val="18"/>
          <w:szCs w:val="18"/>
          <w:lang w:val="es-ES_tradnl"/>
        </w:rPr>
        <w:t>reo municipal, suelo y subsuelo, por la colocaci</w:t>
      </w:r>
      <w:r>
        <w:rPr>
          <w:rFonts w:cs="Times New Roman"/>
          <w:sz w:val="18"/>
          <w:szCs w:val="18"/>
          <w:lang w:val="es-ES_tradnl"/>
        </w:rPr>
        <w:t>ó</w:t>
      </w:r>
      <w:r>
        <w:rPr>
          <w:sz w:val="18"/>
          <w:szCs w:val="18"/>
          <w:lang w:val="es-ES_tradnl"/>
        </w:rPr>
        <w:t xml:space="preserve">n </w:t>
      </w:r>
      <w:r>
        <w:rPr>
          <w:spacing w:val="-5"/>
          <w:sz w:val="18"/>
          <w:szCs w:val="18"/>
          <w:lang w:val="es-ES_tradnl"/>
        </w:rPr>
        <w:t xml:space="preserve">de estructuras, postes y tendido de redes pertenecientes </w:t>
      </w:r>
      <w:r>
        <w:rPr>
          <w:spacing w:val="-7"/>
          <w:sz w:val="18"/>
          <w:szCs w:val="18"/>
          <w:lang w:val="es-ES_tradnl"/>
        </w:rPr>
        <w:t>a personas naturales o jur</w:t>
      </w:r>
      <w:r>
        <w:rPr>
          <w:rFonts w:cs="Times New Roman"/>
          <w:spacing w:val="-7"/>
          <w:sz w:val="18"/>
          <w:szCs w:val="18"/>
          <w:lang w:val="es-ES_tradnl"/>
        </w:rPr>
        <w:t>í</w:t>
      </w:r>
      <w:r>
        <w:rPr>
          <w:spacing w:val="-7"/>
          <w:sz w:val="18"/>
          <w:szCs w:val="18"/>
          <w:lang w:val="es-ES_tradnl"/>
        </w:rPr>
        <w:t>dicas privadas, sociedades nacionales y extranjeras, cuesti</w:t>
      </w:r>
      <w:r>
        <w:rPr>
          <w:rFonts w:cs="Times New Roman"/>
          <w:spacing w:val="-7"/>
          <w:sz w:val="18"/>
          <w:szCs w:val="18"/>
          <w:lang w:val="es-ES_tradnl"/>
        </w:rPr>
        <w:t>ó</w:t>
      </w:r>
      <w:r>
        <w:rPr>
          <w:spacing w:val="-7"/>
          <w:sz w:val="18"/>
          <w:szCs w:val="18"/>
          <w:lang w:val="es-ES_tradnl"/>
        </w:rPr>
        <w:t xml:space="preserve">n que no desnaturaliza el </w:t>
      </w:r>
      <w:r>
        <w:rPr>
          <w:spacing w:val="-6"/>
          <w:sz w:val="18"/>
          <w:szCs w:val="18"/>
          <w:lang w:val="es-ES_tradnl"/>
        </w:rPr>
        <w:t>proceso de creaci</w:t>
      </w:r>
      <w:r>
        <w:rPr>
          <w:rFonts w:cs="Times New Roman"/>
          <w:spacing w:val="-6"/>
          <w:sz w:val="18"/>
          <w:szCs w:val="18"/>
          <w:lang w:val="es-ES_tradnl"/>
        </w:rPr>
        <w:t>ó</w:t>
      </w:r>
      <w:r>
        <w:rPr>
          <w:spacing w:val="-6"/>
          <w:sz w:val="18"/>
          <w:szCs w:val="18"/>
          <w:lang w:val="es-ES_tradnl"/>
        </w:rPr>
        <w:t xml:space="preserve">n de dichas regulaciones, propias del </w:t>
      </w:r>
      <w:r>
        <w:rPr>
          <w:spacing w:val="-4"/>
          <w:sz w:val="18"/>
          <w:szCs w:val="18"/>
          <w:lang w:val="es-ES_tradnl"/>
        </w:rPr>
        <w:t>ejercicio legislativo de los GAD municipales.</w:t>
      </w:r>
    </w:p>
    <w:p w14:paraId="4F67A5BB" w14:textId="77777777" w:rsidR="00591D54" w:rsidRDefault="00591D54">
      <w:pPr>
        <w:shd w:val="clear" w:color="auto" w:fill="FFFFFF"/>
        <w:spacing w:before="197" w:line="216" w:lineRule="exact"/>
        <w:jc w:val="both"/>
      </w:pPr>
      <w:r>
        <w:rPr>
          <w:sz w:val="18"/>
          <w:szCs w:val="18"/>
          <w:lang w:val="es-ES_tradnl"/>
        </w:rPr>
        <w:t xml:space="preserve">En principio, en el caso que se analiza se observa </w:t>
      </w:r>
      <w:r>
        <w:rPr>
          <w:spacing w:val="-4"/>
          <w:sz w:val="18"/>
          <w:szCs w:val="18"/>
          <w:lang w:val="es-ES_tradnl"/>
        </w:rPr>
        <w:t xml:space="preserve">que el GAD municipal de Chone ha cumplido con el </w:t>
      </w:r>
      <w:r>
        <w:rPr>
          <w:spacing w:val="-7"/>
          <w:sz w:val="18"/>
          <w:szCs w:val="18"/>
          <w:lang w:val="es-ES_tradnl"/>
        </w:rPr>
        <w:t>procedimiento para la expedici</w:t>
      </w:r>
      <w:r>
        <w:rPr>
          <w:rFonts w:cs="Times New Roman"/>
          <w:spacing w:val="-7"/>
          <w:sz w:val="18"/>
          <w:szCs w:val="18"/>
          <w:lang w:val="es-ES_tradnl"/>
        </w:rPr>
        <w:t>ó</w:t>
      </w:r>
      <w:r>
        <w:rPr>
          <w:spacing w:val="-7"/>
          <w:sz w:val="18"/>
          <w:szCs w:val="18"/>
          <w:lang w:val="es-ES_tradnl"/>
        </w:rPr>
        <w:t xml:space="preserve">n de ordenanzas; es decir, </w:t>
      </w:r>
      <w:r>
        <w:rPr>
          <w:spacing w:val="-6"/>
          <w:sz w:val="18"/>
          <w:szCs w:val="18"/>
          <w:lang w:val="es-ES_tradnl"/>
        </w:rPr>
        <w:t>se ha respetado el tr</w:t>
      </w:r>
      <w:r>
        <w:rPr>
          <w:rFonts w:cs="Times New Roman"/>
          <w:spacing w:val="-6"/>
          <w:sz w:val="18"/>
          <w:szCs w:val="18"/>
          <w:lang w:val="es-ES_tradnl"/>
        </w:rPr>
        <w:t>á</w:t>
      </w:r>
      <w:r>
        <w:rPr>
          <w:spacing w:val="-6"/>
          <w:sz w:val="18"/>
          <w:szCs w:val="18"/>
          <w:lang w:val="es-ES_tradnl"/>
        </w:rPr>
        <w:t>mite previsto por la Constituci</w:t>
      </w:r>
      <w:r>
        <w:rPr>
          <w:rFonts w:cs="Times New Roman"/>
          <w:spacing w:val="-6"/>
          <w:sz w:val="18"/>
          <w:szCs w:val="18"/>
          <w:lang w:val="es-ES_tradnl"/>
        </w:rPr>
        <w:t>ó</w:t>
      </w:r>
      <w:r>
        <w:rPr>
          <w:spacing w:val="-6"/>
          <w:sz w:val="18"/>
          <w:szCs w:val="18"/>
          <w:lang w:val="es-ES_tradnl"/>
        </w:rPr>
        <w:t>n y la ley para la formulaci</w:t>
      </w:r>
      <w:r>
        <w:rPr>
          <w:rFonts w:cs="Times New Roman"/>
          <w:spacing w:val="-6"/>
          <w:sz w:val="18"/>
          <w:szCs w:val="18"/>
          <w:lang w:val="es-ES_tradnl"/>
        </w:rPr>
        <w:t>ó</w:t>
      </w:r>
      <w:r>
        <w:rPr>
          <w:spacing w:val="-6"/>
          <w:sz w:val="18"/>
          <w:szCs w:val="18"/>
          <w:lang w:val="es-ES_tradnl"/>
        </w:rPr>
        <w:t xml:space="preserve">n de un acto legislativo propio de su </w:t>
      </w:r>
      <w:r>
        <w:rPr>
          <w:sz w:val="18"/>
          <w:szCs w:val="18"/>
          <w:lang w:val="es-ES_tradnl"/>
        </w:rPr>
        <w:t>naturaleza.</w:t>
      </w:r>
    </w:p>
    <w:p w14:paraId="4F67A5BC" w14:textId="77777777" w:rsidR="00591D54" w:rsidRDefault="00591D54">
      <w:pPr>
        <w:shd w:val="clear" w:color="auto" w:fill="FFFFFF"/>
        <w:spacing w:before="192" w:line="216" w:lineRule="exact"/>
        <w:jc w:val="both"/>
      </w:pPr>
      <w:r>
        <w:rPr>
          <w:spacing w:val="-5"/>
          <w:sz w:val="18"/>
          <w:szCs w:val="18"/>
          <w:lang w:val="es-ES_tradnl"/>
        </w:rPr>
        <w:t>En consecuencia, ya que la materia del an</w:t>
      </w:r>
      <w:r>
        <w:rPr>
          <w:rFonts w:cs="Times New Roman"/>
          <w:spacing w:val="-5"/>
          <w:sz w:val="18"/>
          <w:szCs w:val="18"/>
          <w:lang w:val="es-ES_tradnl"/>
        </w:rPr>
        <w:t>á</w:t>
      </w:r>
      <w:r>
        <w:rPr>
          <w:spacing w:val="-5"/>
          <w:sz w:val="18"/>
          <w:szCs w:val="18"/>
          <w:lang w:val="es-ES_tradnl"/>
        </w:rPr>
        <w:t xml:space="preserve">lisis formal, </w:t>
      </w:r>
      <w:r>
        <w:rPr>
          <w:spacing w:val="-7"/>
          <w:sz w:val="18"/>
          <w:szCs w:val="18"/>
          <w:lang w:val="es-ES_tradnl"/>
        </w:rPr>
        <w:t xml:space="preserve">versa sobre el cumplimiento de las formalidades exigidas </w:t>
      </w:r>
      <w:r>
        <w:rPr>
          <w:spacing w:val="-3"/>
          <w:sz w:val="18"/>
          <w:szCs w:val="18"/>
          <w:lang w:val="es-ES_tradnl"/>
        </w:rPr>
        <w:t>para la creaci</w:t>
      </w:r>
      <w:r>
        <w:rPr>
          <w:rFonts w:cs="Times New Roman"/>
          <w:spacing w:val="-3"/>
          <w:sz w:val="18"/>
          <w:szCs w:val="18"/>
          <w:lang w:val="es-ES_tradnl"/>
        </w:rPr>
        <w:t>ó</w:t>
      </w:r>
      <w:r>
        <w:rPr>
          <w:spacing w:val="-3"/>
          <w:sz w:val="18"/>
          <w:szCs w:val="18"/>
          <w:lang w:val="es-ES_tradnl"/>
        </w:rPr>
        <w:t xml:space="preserve">n de una tasa municipal y que ha llegado </w:t>
      </w:r>
      <w:r>
        <w:rPr>
          <w:spacing w:val="-7"/>
          <w:sz w:val="18"/>
          <w:szCs w:val="18"/>
          <w:lang w:val="es-ES_tradnl"/>
        </w:rPr>
        <w:t>a determinarse que dicha creaci</w:t>
      </w:r>
      <w:r>
        <w:rPr>
          <w:rFonts w:cs="Times New Roman"/>
          <w:spacing w:val="-7"/>
          <w:sz w:val="18"/>
          <w:szCs w:val="18"/>
          <w:lang w:val="es-ES_tradnl"/>
        </w:rPr>
        <w:t>ó</w:t>
      </w:r>
      <w:r>
        <w:rPr>
          <w:spacing w:val="-7"/>
          <w:sz w:val="18"/>
          <w:szCs w:val="18"/>
          <w:lang w:val="es-ES_tradnl"/>
        </w:rPr>
        <w:t>n se hizo a trav</w:t>
      </w:r>
      <w:r>
        <w:rPr>
          <w:rFonts w:cs="Times New Roman"/>
          <w:spacing w:val="-7"/>
          <w:sz w:val="18"/>
          <w:szCs w:val="18"/>
          <w:lang w:val="es-ES_tradnl"/>
        </w:rPr>
        <w:t>é</w:t>
      </w:r>
      <w:r>
        <w:rPr>
          <w:spacing w:val="-7"/>
          <w:sz w:val="18"/>
          <w:szCs w:val="18"/>
          <w:lang w:val="es-ES_tradnl"/>
        </w:rPr>
        <w:t xml:space="preserve">s de </w:t>
      </w:r>
      <w:r>
        <w:rPr>
          <w:spacing w:val="-10"/>
          <w:sz w:val="18"/>
          <w:szCs w:val="18"/>
          <w:lang w:val="es-ES_tradnl"/>
        </w:rPr>
        <w:t xml:space="preserve">ordenanza, como corresponde, se puede concluir que, en la </w:t>
      </w:r>
      <w:r>
        <w:rPr>
          <w:spacing w:val="-5"/>
          <w:sz w:val="18"/>
          <w:szCs w:val="18"/>
          <w:lang w:val="es-ES_tradnl"/>
        </w:rPr>
        <w:t>especie, no existe inconstitucionalidad por la forma.</w:t>
      </w:r>
    </w:p>
    <w:p w14:paraId="4F67A5BD" w14:textId="77777777" w:rsidR="00591D54" w:rsidRDefault="00591D54">
      <w:pPr>
        <w:shd w:val="clear" w:color="auto" w:fill="FFFFFF"/>
        <w:spacing w:before="192" w:line="216" w:lineRule="exact"/>
        <w:jc w:val="both"/>
      </w:pPr>
      <w:r>
        <w:rPr>
          <w:spacing w:val="-7"/>
          <w:sz w:val="18"/>
          <w:szCs w:val="18"/>
          <w:lang w:val="es-ES_tradnl"/>
        </w:rPr>
        <w:t>En vista de lo expuesto hasta aqu</w:t>
      </w:r>
      <w:r>
        <w:rPr>
          <w:rFonts w:cs="Times New Roman"/>
          <w:spacing w:val="-7"/>
          <w:sz w:val="18"/>
          <w:szCs w:val="18"/>
          <w:lang w:val="es-ES_tradnl"/>
        </w:rPr>
        <w:t>í</w:t>
      </w:r>
      <w:r>
        <w:rPr>
          <w:spacing w:val="-7"/>
          <w:sz w:val="18"/>
          <w:szCs w:val="18"/>
          <w:lang w:val="es-ES_tradnl"/>
        </w:rPr>
        <w:t xml:space="preserve">, la Corte Constitucional </w:t>
      </w:r>
      <w:r>
        <w:rPr>
          <w:spacing w:val="-3"/>
          <w:sz w:val="18"/>
          <w:szCs w:val="18"/>
          <w:lang w:val="es-ES_tradnl"/>
        </w:rPr>
        <w:t>debe pasar al an</w:t>
      </w:r>
      <w:r>
        <w:rPr>
          <w:rFonts w:cs="Times New Roman"/>
          <w:spacing w:val="-3"/>
          <w:sz w:val="18"/>
          <w:szCs w:val="18"/>
          <w:lang w:val="es-ES_tradnl"/>
        </w:rPr>
        <w:t>á</w:t>
      </w:r>
      <w:r>
        <w:rPr>
          <w:spacing w:val="-3"/>
          <w:sz w:val="18"/>
          <w:szCs w:val="18"/>
          <w:lang w:val="es-ES_tradnl"/>
        </w:rPr>
        <w:t xml:space="preserve">lisis del fondo de las regulaciones </w:t>
      </w:r>
      <w:r>
        <w:rPr>
          <w:sz w:val="18"/>
          <w:szCs w:val="18"/>
          <w:lang w:val="es-ES_tradnl"/>
        </w:rPr>
        <w:t xml:space="preserve">emitidas, para determinar si el GAD municipal de </w:t>
      </w:r>
      <w:r>
        <w:rPr>
          <w:spacing w:val="-6"/>
          <w:sz w:val="18"/>
          <w:szCs w:val="18"/>
          <w:lang w:val="es-ES_tradnl"/>
        </w:rPr>
        <w:t>Chone, en su af</w:t>
      </w:r>
      <w:r>
        <w:rPr>
          <w:rFonts w:cs="Times New Roman"/>
          <w:spacing w:val="-6"/>
          <w:sz w:val="18"/>
          <w:szCs w:val="18"/>
          <w:lang w:val="es-ES_tradnl"/>
        </w:rPr>
        <w:t>á</w:t>
      </w:r>
      <w:r>
        <w:rPr>
          <w:spacing w:val="-6"/>
          <w:sz w:val="18"/>
          <w:szCs w:val="18"/>
          <w:lang w:val="es-ES_tradnl"/>
        </w:rPr>
        <w:t>n de creaci</w:t>
      </w:r>
      <w:r>
        <w:rPr>
          <w:rFonts w:cs="Times New Roman"/>
          <w:spacing w:val="-6"/>
          <w:sz w:val="18"/>
          <w:szCs w:val="18"/>
          <w:lang w:val="es-ES_tradnl"/>
        </w:rPr>
        <w:t>ó</w:t>
      </w:r>
      <w:r>
        <w:rPr>
          <w:spacing w:val="-6"/>
          <w:sz w:val="18"/>
          <w:szCs w:val="18"/>
          <w:lang w:val="es-ES_tradnl"/>
        </w:rPr>
        <w:t xml:space="preserve">n de tasas correspondientes </w:t>
      </w:r>
      <w:r>
        <w:rPr>
          <w:spacing w:val="-3"/>
          <w:sz w:val="18"/>
          <w:szCs w:val="18"/>
          <w:lang w:val="es-ES_tradnl"/>
        </w:rPr>
        <w:t>a la utilizaci</w:t>
      </w:r>
      <w:r>
        <w:rPr>
          <w:rFonts w:cs="Times New Roman"/>
          <w:spacing w:val="-3"/>
          <w:sz w:val="18"/>
          <w:szCs w:val="18"/>
          <w:lang w:val="es-ES_tradnl"/>
        </w:rPr>
        <w:t>ó</w:t>
      </w:r>
      <w:r>
        <w:rPr>
          <w:spacing w:val="-3"/>
          <w:sz w:val="18"/>
          <w:szCs w:val="18"/>
          <w:lang w:val="es-ES_tradnl"/>
        </w:rPr>
        <w:t>n y ocupaci</w:t>
      </w:r>
      <w:r>
        <w:rPr>
          <w:rFonts w:cs="Times New Roman"/>
          <w:spacing w:val="-3"/>
          <w:sz w:val="18"/>
          <w:szCs w:val="18"/>
          <w:lang w:val="es-ES_tradnl"/>
        </w:rPr>
        <w:t>ó</w:t>
      </w:r>
      <w:r>
        <w:rPr>
          <w:spacing w:val="-3"/>
          <w:sz w:val="18"/>
          <w:szCs w:val="18"/>
          <w:lang w:val="es-ES_tradnl"/>
        </w:rPr>
        <w:t>n del espacio p</w:t>
      </w:r>
      <w:r>
        <w:rPr>
          <w:rFonts w:cs="Times New Roman"/>
          <w:spacing w:val="-3"/>
          <w:sz w:val="18"/>
          <w:szCs w:val="18"/>
          <w:lang w:val="es-ES_tradnl"/>
        </w:rPr>
        <w:t>ú</w:t>
      </w:r>
      <w:r>
        <w:rPr>
          <w:spacing w:val="-3"/>
          <w:sz w:val="18"/>
          <w:szCs w:val="18"/>
          <w:lang w:val="es-ES_tradnl"/>
        </w:rPr>
        <w:t>blico o la v</w:t>
      </w:r>
      <w:r>
        <w:rPr>
          <w:rFonts w:cs="Times New Roman"/>
          <w:spacing w:val="-3"/>
          <w:sz w:val="18"/>
          <w:szCs w:val="18"/>
          <w:lang w:val="es-ES_tradnl"/>
        </w:rPr>
        <w:t>í</w:t>
      </w:r>
      <w:r>
        <w:rPr>
          <w:spacing w:val="-3"/>
          <w:sz w:val="18"/>
          <w:szCs w:val="18"/>
          <w:lang w:val="es-ES_tradnl"/>
        </w:rPr>
        <w:t xml:space="preserve">a </w:t>
      </w:r>
      <w:r>
        <w:rPr>
          <w:spacing w:val="-4"/>
          <w:sz w:val="18"/>
          <w:szCs w:val="18"/>
          <w:lang w:val="es-ES_tradnl"/>
        </w:rPr>
        <w:t>p</w:t>
      </w:r>
      <w:r>
        <w:rPr>
          <w:rFonts w:cs="Times New Roman"/>
          <w:spacing w:val="-4"/>
          <w:sz w:val="18"/>
          <w:szCs w:val="18"/>
          <w:lang w:val="es-ES_tradnl"/>
        </w:rPr>
        <w:t>ú</w:t>
      </w:r>
      <w:r>
        <w:rPr>
          <w:spacing w:val="-4"/>
          <w:sz w:val="18"/>
          <w:szCs w:val="18"/>
          <w:lang w:val="es-ES_tradnl"/>
        </w:rPr>
        <w:t>blica y el espacio a</w:t>
      </w:r>
      <w:r>
        <w:rPr>
          <w:rFonts w:cs="Times New Roman"/>
          <w:spacing w:val="-4"/>
          <w:sz w:val="18"/>
          <w:szCs w:val="18"/>
          <w:lang w:val="es-ES_tradnl"/>
        </w:rPr>
        <w:t>é</w:t>
      </w:r>
      <w:r>
        <w:rPr>
          <w:spacing w:val="-4"/>
          <w:sz w:val="18"/>
          <w:szCs w:val="18"/>
          <w:lang w:val="es-ES_tradnl"/>
        </w:rPr>
        <w:t xml:space="preserve">reo municipal, suelo y subsuelo, </w:t>
      </w:r>
      <w:r>
        <w:rPr>
          <w:spacing w:val="-2"/>
          <w:sz w:val="18"/>
          <w:szCs w:val="18"/>
          <w:lang w:val="es-ES_tradnl"/>
        </w:rPr>
        <w:t>por la colocaci</w:t>
      </w:r>
      <w:r>
        <w:rPr>
          <w:rFonts w:cs="Times New Roman"/>
          <w:spacing w:val="-2"/>
          <w:sz w:val="18"/>
          <w:szCs w:val="18"/>
          <w:lang w:val="es-ES_tradnl"/>
        </w:rPr>
        <w:t>ó</w:t>
      </w:r>
      <w:r>
        <w:rPr>
          <w:spacing w:val="-2"/>
          <w:sz w:val="18"/>
          <w:szCs w:val="18"/>
          <w:lang w:val="es-ES_tradnl"/>
        </w:rPr>
        <w:t xml:space="preserve">n de estructuras, postes y tendido de </w:t>
      </w:r>
      <w:r>
        <w:rPr>
          <w:spacing w:val="-6"/>
          <w:sz w:val="18"/>
          <w:szCs w:val="18"/>
          <w:lang w:val="es-ES_tradnl"/>
        </w:rPr>
        <w:t>redes pertenecientes a personas naturales o jur</w:t>
      </w:r>
      <w:r>
        <w:rPr>
          <w:rFonts w:cs="Times New Roman"/>
          <w:spacing w:val="-6"/>
          <w:sz w:val="18"/>
          <w:szCs w:val="18"/>
          <w:lang w:val="es-ES_tradnl"/>
        </w:rPr>
        <w:t>í</w:t>
      </w:r>
      <w:r>
        <w:rPr>
          <w:spacing w:val="-6"/>
          <w:sz w:val="18"/>
          <w:szCs w:val="18"/>
          <w:lang w:val="es-ES_tradnl"/>
        </w:rPr>
        <w:t xml:space="preserve">dicas </w:t>
      </w:r>
      <w:r>
        <w:rPr>
          <w:spacing w:val="-7"/>
          <w:sz w:val="18"/>
          <w:szCs w:val="18"/>
          <w:lang w:val="es-ES_tradnl"/>
        </w:rPr>
        <w:t xml:space="preserve">privadas, sociedades nacionales o extranjeras, no han </w:t>
      </w:r>
      <w:r>
        <w:rPr>
          <w:spacing w:val="-6"/>
          <w:sz w:val="18"/>
          <w:szCs w:val="18"/>
          <w:lang w:val="es-ES_tradnl"/>
        </w:rPr>
        <w:t xml:space="preserve">infringido norma constitucional alguna o han extralimitado </w:t>
      </w:r>
      <w:r>
        <w:rPr>
          <w:spacing w:val="-7"/>
          <w:sz w:val="18"/>
          <w:szCs w:val="18"/>
          <w:lang w:val="es-ES_tradnl"/>
        </w:rPr>
        <w:t>inconstitucionalmente sus funciones reguladoras.</w:t>
      </w:r>
    </w:p>
    <w:p w14:paraId="4F67A5BE" w14:textId="77777777" w:rsidR="00591D54" w:rsidRDefault="00591D54">
      <w:pPr>
        <w:shd w:val="clear" w:color="auto" w:fill="FFFFFF"/>
        <w:spacing w:before="192"/>
      </w:pPr>
      <w:r>
        <w:rPr>
          <w:b/>
          <w:bCs/>
          <w:spacing w:val="-8"/>
          <w:sz w:val="18"/>
          <w:szCs w:val="18"/>
          <w:lang w:val="es-ES_tradnl"/>
        </w:rPr>
        <w:t>Examen de constitucionalidad por el fondo</w:t>
      </w:r>
    </w:p>
    <w:p w14:paraId="4F67A5BF" w14:textId="77777777" w:rsidR="00591D54" w:rsidRDefault="00591D54">
      <w:pPr>
        <w:shd w:val="clear" w:color="auto" w:fill="FFFFFF"/>
        <w:spacing w:before="192" w:line="216" w:lineRule="exact"/>
        <w:jc w:val="both"/>
      </w:pPr>
      <w:r>
        <w:rPr>
          <w:spacing w:val="-6"/>
          <w:sz w:val="18"/>
          <w:szCs w:val="18"/>
          <w:lang w:val="es-ES_tradnl"/>
        </w:rPr>
        <w:t>Luego del an</w:t>
      </w:r>
      <w:r>
        <w:rPr>
          <w:rFonts w:cs="Times New Roman"/>
          <w:spacing w:val="-6"/>
          <w:sz w:val="18"/>
          <w:szCs w:val="18"/>
          <w:lang w:val="es-ES_tradnl"/>
        </w:rPr>
        <w:t>á</w:t>
      </w:r>
      <w:r>
        <w:rPr>
          <w:spacing w:val="-6"/>
          <w:sz w:val="18"/>
          <w:szCs w:val="18"/>
          <w:lang w:val="es-ES_tradnl"/>
        </w:rPr>
        <w:t>lisis desarrollado en l</w:t>
      </w:r>
      <w:r>
        <w:rPr>
          <w:rFonts w:cs="Times New Roman"/>
          <w:spacing w:val="-6"/>
          <w:sz w:val="18"/>
          <w:szCs w:val="18"/>
          <w:lang w:val="es-ES_tradnl"/>
        </w:rPr>
        <w:t>í</w:t>
      </w:r>
      <w:r>
        <w:rPr>
          <w:spacing w:val="-6"/>
          <w:sz w:val="18"/>
          <w:szCs w:val="18"/>
          <w:lang w:val="es-ES_tradnl"/>
        </w:rPr>
        <w:t xml:space="preserve">neas anteriores con </w:t>
      </w:r>
      <w:r>
        <w:rPr>
          <w:spacing w:val="-5"/>
          <w:sz w:val="18"/>
          <w:szCs w:val="18"/>
          <w:lang w:val="es-ES_tradnl"/>
        </w:rPr>
        <w:t xml:space="preserve">respecto a la inconstitucionalidad formal cabe dilucidar a </w:t>
      </w:r>
      <w:r>
        <w:rPr>
          <w:spacing w:val="-8"/>
          <w:sz w:val="18"/>
          <w:szCs w:val="18"/>
          <w:lang w:val="es-ES_tradnl"/>
        </w:rPr>
        <w:t>continuaci</w:t>
      </w:r>
      <w:r>
        <w:rPr>
          <w:rFonts w:cs="Times New Roman"/>
          <w:spacing w:val="-8"/>
          <w:sz w:val="18"/>
          <w:szCs w:val="18"/>
          <w:lang w:val="es-ES_tradnl"/>
        </w:rPr>
        <w:t>ó</w:t>
      </w:r>
      <w:r>
        <w:rPr>
          <w:spacing w:val="-8"/>
          <w:sz w:val="18"/>
          <w:szCs w:val="18"/>
          <w:lang w:val="es-ES_tradnl"/>
        </w:rPr>
        <w:t xml:space="preserve">n, si el contenido impugnado de la ordenanza e </w:t>
      </w:r>
      <w:r>
        <w:rPr>
          <w:spacing w:val="-6"/>
          <w:sz w:val="18"/>
          <w:szCs w:val="18"/>
          <w:lang w:val="es-ES_tradnl"/>
        </w:rPr>
        <w:t>menci</w:t>
      </w:r>
      <w:r>
        <w:rPr>
          <w:rFonts w:cs="Times New Roman"/>
          <w:spacing w:val="-6"/>
          <w:sz w:val="18"/>
          <w:szCs w:val="18"/>
          <w:lang w:val="es-ES_tradnl"/>
        </w:rPr>
        <w:t>ó</w:t>
      </w:r>
      <w:r>
        <w:rPr>
          <w:spacing w:val="-6"/>
          <w:sz w:val="18"/>
          <w:szCs w:val="18"/>
          <w:lang w:val="es-ES_tradnl"/>
        </w:rPr>
        <w:t>n referente a la utilizaci</w:t>
      </w:r>
      <w:r>
        <w:rPr>
          <w:rFonts w:cs="Times New Roman"/>
          <w:spacing w:val="-6"/>
          <w:sz w:val="18"/>
          <w:szCs w:val="18"/>
          <w:lang w:val="es-ES_tradnl"/>
        </w:rPr>
        <w:t>ó</w:t>
      </w:r>
      <w:r>
        <w:rPr>
          <w:spacing w:val="-6"/>
          <w:sz w:val="18"/>
          <w:szCs w:val="18"/>
          <w:lang w:val="es-ES_tradnl"/>
        </w:rPr>
        <w:t>n u ocupaci</w:t>
      </w:r>
      <w:r>
        <w:rPr>
          <w:rFonts w:cs="Times New Roman"/>
          <w:spacing w:val="-6"/>
          <w:sz w:val="18"/>
          <w:szCs w:val="18"/>
          <w:lang w:val="es-ES_tradnl"/>
        </w:rPr>
        <w:t>ó</w:t>
      </w:r>
      <w:r>
        <w:rPr>
          <w:spacing w:val="-6"/>
          <w:sz w:val="18"/>
          <w:szCs w:val="18"/>
          <w:lang w:val="es-ES_tradnl"/>
        </w:rPr>
        <w:t xml:space="preserve">n del espacio </w:t>
      </w:r>
      <w:r>
        <w:rPr>
          <w:spacing w:val="-1"/>
          <w:sz w:val="18"/>
          <w:szCs w:val="18"/>
          <w:lang w:val="es-ES_tradnl"/>
        </w:rPr>
        <w:t>p</w:t>
      </w:r>
      <w:r>
        <w:rPr>
          <w:rFonts w:cs="Times New Roman"/>
          <w:spacing w:val="-1"/>
          <w:sz w:val="18"/>
          <w:szCs w:val="18"/>
          <w:lang w:val="es-ES_tradnl"/>
        </w:rPr>
        <w:t>ú</w:t>
      </w:r>
      <w:r>
        <w:rPr>
          <w:spacing w:val="-1"/>
          <w:sz w:val="18"/>
          <w:szCs w:val="18"/>
          <w:lang w:val="es-ES_tradnl"/>
        </w:rPr>
        <w:t>blico o la v</w:t>
      </w:r>
      <w:r>
        <w:rPr>
          <w:rFonts w:cs="Times New Roman"/>
          <w:spacing w:val="-1"/>
          <w:sz w:val="18"/>
          <w:szCs w:val="18"/>
          <w:lang w:val="es-ES_tradnl"/>
        </w:rPr>
        <w:t>í</w:t>
      </w:r>
      <w:r>
        <w:rPr>
          <w:spacing w:val="-1"/>
          <w:sz w:val="18"/>
          <w:szCs w:val="18"/>
          <w:lang w:val="es-ES_tradnl"/>
        </w:rPr>
        <w:t>a p</w:t>
      </w:r>
      <w:r>
        <w:rPr>
          <w:rFonts w:cs="Times New Roman"/>
          <w:spacing w:val="-1"/>
          <w:sz w:val="18"/>
          <w:szCs w:val="18"/>
          <w:lang w:val="es-ES_tradnl"/>
        </w:rPr>
        <w:t>ú</w:t>
      </w:r>
      <w:r>
        <w:rPr>
          <w:spacing w:val="-1"/>
          <w:sz w:val="18"/>
          <w:szCs w:val="18"/>
          <w:lang w:val="es-ES_tradnl"/>
        </w:rPr>
        <w:t>blica y el espacio a</w:t>
      </w:r>
      <w:r>
        <w:rPr>
          <w:rFonts w:cs="Times New Roman"/>
          <w:spacing w:val="-1"/>
          <w:sz w:val="18"/>
          <w:szCs w:val="18"/>
          <w:lang w:val="es-ES_tradnl"/>
        </w:rPr>
        <w:t>é</w:t>
      </w:r>
      <w:r>
        <w:rPr>
          <w:spacing w:val="-1"/>
          <w:sz w:val="18"/>
          <w:szCs w:val="18"/>
          <w:lang w:val="es-ES_tradnl"/>
        </w:rPr>
        <w:t xml:space="preserve">reo municipal, </w:t>
      </w:r>
      <w:r>
        <w:rPr>
          <w:spacing w:val="-6"/>
          <w:sz w:val="18"/>
          <w:szCs w:val="18"/>
          <w:lang w:val="es-ES_tradnl"/>
        </w:rPr>
        <w:t>suelo y subsuelo, por la colocaci</w:t>
      </w:r>
      <w:r>
        <w:rPr>
          <w:rFonts w:cs="Times New Roman"/>
          <w:spacing w:val="-6"/>
          <w:sz w:val="18"/>
          <w:szCs w:val="18"/>
          <w:lang w:val="es-ES_tradnl"/>
        </w:rPr>
        <w:t>ó</w:t>
      </w:r>
      <w:r>
        <w:rPr>
          <w:spacing w:val="-6"/>
          <w:sz w:val="18"/>
          <w:szCs w:val="18"/>
          <w:lang w:val="es-ES_tradnl"/>
        </w:rPr>
        <w:t xml:space="preserve">n de estructuras, postes </w:t>
      </w:r>
      <w:r>
        <w:rPr>
          <w:spacing w:val="-8"/>
          <w:sz w:val="18"/>
          <w:szCs w:val="18"/>
          <w:lang w:val="es-ES_tradnl"/>
        </w:rPr>
        <w:t xml:space="preserve">y tendido de redes pertenecientes a personas naturales o </w:t>
      </w:r>
      <w:r>
        <w:rPr>
          <w:spacing w:val="-6"/>
          <w:sz w:val="18"/>
          <w:szCs w:val="18"/>
          <w:lang w:val="es-ES_tradnl"/>
        </w:rPr>
        <w:t>jur</w:t>
      </w:r>
      <w:r>
        <w:rPr>
          <w:rFonts w:cs="Times New Roman"/>
          <w:spacing w:val="-6"/>
          <w:sz w:val="18"/>
          <w:szCs w:val="18"/>
          <w:lang w:val="es-ES_tradnl"/>
        </w:rPr>
        <w:t>í</w:t>
      </w:r>
      <w:r>
        <w:rPr>
          <w:spacing w:val="-6"/>
          <w:sz w:val="18"/>
          <w:szCs w:val="18"/>
          <w:lang w:val="es-ES_tradnl"/>
        </w:rPr>
        <w:t xml:space="preserve">dicas privadas, sociedades nacionales o extranjeras, </w:t>
      </w:r>
      <w:r>
        <w:rPr>
          <w:spacing w:val="-1"/>
          <w:sz w:val="18"/>
          <w:szCs w:val="18"/>
          <w:lang w:val="es-ES_tradnl"/>
        </w:rPr>
        <w:t>contravienen el texto constitucional, espec</w:t>
      </w:r>
      <w:r>
        <w:rPr>
          <w:rFonts w:cs="Times New Roman"/>
          <w:spacing w:val="-1"/>
          <w:sz w:val="18"/>
          <w:szCs w:val="18"/>
          <w:lang w:val="es-ES_tradnl"/>
        </w:rPr>
        <w:t>í</w:t>
      </w:r>
      <w:r>
        <w:rPr>
          <w:spacing w:val="-1"/>
          <w:sz w:val="18"/>
          <w:szCs w:val="18"/>
          <w:lang w:val="es-ES_tradnl"/>
        </w:rPr>
        <w:t xml:space="preserve">ficamente, </w:t>
      </w:r>
      <w:r>
        <w:rPr>
          <w:spacing w:val="-4"/>
          <w:sz w:val="18"/>
          <w:szCs w:val="18"/>
          <w:lang w:val="es-ES_tradnl"/>
        </w:rPr>
        <w:t>lo establecido en los art</w:t>
      </w:r>
      <w:r>
        <w:rPr>
          <w:rFonts w:cs="Times New Roman"/>
          <w:spacing w:val="-4"/>
          <w:sz w:val="18"/>
          <w:szCs w:val="18"/>
          <w:lang w:val="es-ES_tradnl"/>
        </w:rPr>
        <w:t>í</w:t>
      </w:r>
      <w:r>
        <w:rPr>
          <w:spacing w:val="-4"/>
          <w:sz w:val="18"/>
          <w:szCs w:val="18"/>
          <w:lang w:val="es-ES_tradnl"/>
        </w:rPr>
        <w:t xml:space="preserve">culos 226, 261 y 300 de la </w:t>
      </w:r>
      <w:r>
        <w:rPr>
          <w:sz w:val="18"/>
          <w:szCs w:val="18"/>
          <w:lang w:val="es-ES_tradnl"/>
        </w:rPr>
        <w:t>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A5C0" w14:textId="77777777" w:rsidR="00591D54" w:rsidRDefault="00591D54">
      <w:pPr>
        <w:shd w:val="clear" w:color="auto" w:fill="FFFFFF"/>
        <w:spacing w:before="192"/>
      </w:pPr>
      <w:r>
        <w:rPr>
          <w:b/>
          <w:bCs/>
          <w:spacing w:val="-8"/>
          <w:sz w:val="18"/>
          <w:szCs w:val="18"/>
          <w:lang w:val="es-ES_tradnl"/>
        </w:rPr>
        <w:t>Determinaci</w:t>
      </w:r>
      <w:r>
        <w:rPr>
          <w:rFonts w:cs="Times New Roman"/>
          <w:b/>
          <w:bCs/>
          <w:spacing w:val="-8"/>
          <w:sz w:val="18"/>
          <w:szCs w:val="18"/>
          <w:lang w:val="es-ES_tradnl"/>
        </w:rPr>
        <w:t>ó</w:t>
      </w:r>
      <w:r>
        <w:rPr>
          <w:b/>
          <w:bCs/>
          <w:spacing w:val="-8"/>
          <w:sz w:val="18"/>
          <w:szCs w:val="18"/>
          <w:lang w:val="es-ES_tradnl"/>
        </w:rPr>
        <w:t>n de los problemas jur</w:t>
      </w:r>
      <w:r>
        <w:rPr>
          <w:rFonts w:cs="Times New Roman"/>
          <w:b/>
          <w:bCs/>
          <w:spacing w:val="-8"/>
          <w:sz w:val="18"/>
          <w:szCs w:val="18"/>
          <w:lang w:val="es-ES_tradnl"/>
        </w:rPr>
        <w:t>í</w:t>
      </w:r>
      <w:r>
        <w:rPr>
          <w:b/>
          <w:bCs/>
          <w:spacing w:val="-8"/>
          <w:sz w:val="18"/>
          <w:szCs w:val="18"/>
          <w:lang w:val="es-ES_tradnl"/>
        </w:rPr>
        <w:t>dicos</w:t>
      </w:r>
    </w:p>
    <w:p w14:paraId="4F67A5C1" w14:textId="77777777" w:rsidR="00591D54" w:rsidRDefault="00591D54">
      <w:pPr>
        <w:shd w:val="clear" w:color="auto" w:fill="FFFFFF"/>
        <w:spacing w:before="197" w:line="216" w:lineRule="exact"/>
        <w:jc w:val="both"/>
      </w:pPr>
      <w:r>
        <w:rPr>
          <w:spacing w:val="-10"/>
          <w:sz w:val="18"/>
          <w:szCs w:val="18"/>
          <w:lang w:val="es-ES_tradnl"/>
        </w:rPr>
        <w:t xml:space="preserve">Para este efecto, la Corte Constitucional estima conveniente </w:t>
      </w:r>
      <w:r>
        <w:rPr>
          <w:spacing w:val="-6"/>
          <w:sz w:val="18"/>
          <w:szCs w:val="18"/>
          <w:lang w:val="es-ES_tradnl"/>
        </w:rPr>
        <w:t>elaborar y resolver los siguientes problemas jur</w:t>
      </w:r>
      <w:r>
        <w:rPr>
          <w:rFonts w:cs="Times New Roman"/>
          <w:spacing w:val="-6"/>
          <w:sz w:val="18"/>
          <w:szCs w:val="18"/>
          <w:lang w:val="es-ES_tradnl"/>
        </w:rPr>
        <w:t>í</w:t>
      </w:r>
      <w:r>
        <w:rPr>
          <w:spacing w:val="-6"/>
          <w:sz w:val="18"/>
          <w:szCs w:val="18"/>
          <w:lang w:val="es-ES_tradnl"/>
        </w:rPr>
        <w:t>dicos:</w:t>
      </w:r>
    </w:p>
    <w:p w14:paraId="4F67A5C2" w14:textId="77777777" w:rsidR="00591D54" w:rsidRDefault="00591D54">
      <w:pPr>
        <w:shd w:val="clear" w:color="auto" w:fill="FFFFFF"/>
        <w:spacing w:before="197" w:line="216" w:lineRule="exact"/>
        <w:jc w:val="both"/>
        <w:sectPr w:rsidR="00591D54">
          <w:type w:val="continuous"/>
          <w:pgSz w:w="11909" w:h="16834"/>
          <w:pgMar w:top="1371" w:right="1309" w:bottom="360" w:left="1308" w:header="720" w:footer="720" w:gutter="0"/>
          <w:cols w:num="2" w:space="720" w:equalWidth="0">
            <w:col w:w="4305" w:space="682"/>
            <w:col w:w="4305"/>
          </w:cols>
          <w:noEndnote/>
        </w:sectPr>
      </w:pPr>
    </w:p>
    <w:p w14:paraId="4F67A5C3" w14:textId="77777777" w:rsidR="00591D54" w:rsidRDefault="00591D54">
      <w:pPr>
        <w:shd w:val="clear" w:color="auto" w:fill="FFFFFF"/>
        <w:tabs>
          <w:tab w:val="left" w:pos="4814"/>
        </w:tabs>
        <w:spacing w:after="230"/>
        <w:ind w:left="5"/>
      </w:pPr>
      <w:r>
        <w:rPr>
          <w:b/>
          <w:bCs/>
          <w:sz w:val="18"/>
          <w:szCs w:val="18"/>
          <w:lang w:val="es-ES_tradnl"/>
        </w:rPr>
        <w:t xml:space="preserve">32 -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5C4" w14:textId="77777777" w:rsidR="00591D54" w:rsidRDefault="00591D54">
      <w:pPr>
        <w:shd w:val="clear" w:color="auto" w:fill="FFFFFF"/>
        <w:tabs>
          <w:tab w:val="left" w:pos="4814"/>
        </w:tabs>
        <w:spacing w:after="230"/>
        <w:ind w:left="5"/>
        <w:sectPr w:rsidR="00591D54">
          <w:pgSz w:w="11909" w:h="16834"/>
          <w:pgMar w:top="1359" w:right="1304" w:bottom="360" w:left="1308" w:header="720" w:footer="720" w:gutter="0"/>
          <w:cols w:space="60"/>
          <w:noEndnote/>
        </w:sectPr>
      </w:pPr>
    </w:p>
    <w:p w14:paraId="4F67A5C5" w14:textId="77777777" w:rsidR="00591D54" w:rsidRDefault="00591D54" w:rsidP="00251195">
      <w:pPr>
        <w:numPr>
          <w:ilvl w:val="0"/>
          <w:numId w:val="24"/>
        </w:numPr>
        <w:shd w:val="clear" w:color="auto" w:fill="FFFFFF"/>
        <w:tabs>
          <w:tab w:val="left" w:pos="566"/>
        </w:tabs>
        <w:spacing w:before="5" w:line="216" w:lineRule="exact"/>
        <w:ind w:left="566" w:hanging="283"/>
        <w:jc w:val="both"/>
        <w:rPr>
          <w:spacing w:val="-9"/>
          <w:sz w:val="18"/>
          <w:szCs w:val="18"/>
          <w:lang w:val="es-ES_tradnl"/>
        </w:rPr>
      </w:pPr>
      <w:r>
        <w:rPr>
          <w:spacing w:val="-7"/>
          <w:sz w:val="18"/>
          <w:szCs w:val="18"/>
          <w:lang w:val="es-ES_tradnl"/>
        </w:rPr>
        <w:t>La ordenanza municipal bajo an</w:t>
      </w:r>
      <w:r>
        <w:rPr>
          <w:rFonts w:cs="Times New Roman"/>
          <w:spacing w:val="-7"/>
          <w:sz w:val="18"/>
          <w:szCs w:val="18"/>
          <w:lang w:val="es-ES_tradnl"/>
        </w:rPr>
        <w:t>á</w:t>
      </w:r>
      <w:r>
        <w:rPr>
          <w:spacing w:val="-7"/>
          <w:sz w:val="18"/>
          <w:szCs w:val="18"/>
          <w:lang w:val="es-ES_tradnl"/>
        </w:rPr>
        <w:t xml:space="preserve">lisis </w:t>
      </w:r>
      <w:r>
        <w:rPr>
          <w:rFonts w:cs="Times New Roman"/>
          <w:spacing w:val="-7"/>
          <w:sz w:val="18"/>
          <w:szCs w:val="18"/>
          <w:lang w:val="es-ES_tradnl"/>
        </w:rPr>
        <w:t>¿</w:t>
      </w:r>
      <w:r>
        <w:rPr>
          <w:spacing w:val="-7"/>
          <w:sz w:val="18"/>
          <w:szCs w:val="18"/>
          <w:lang w:val="es-ES_tradnl"/>
        </w:rPr>
        <w:t>contraviene lo dispuesto en el numeral 10 del art</w:t>
      </w:r>
      <w:r>
        <w:rPr>
          <w:rFonts w:cs="Times New Roman"/>
          <w:spacing w:val="-7"/>
          <w:sz w:val="18"/>
          <w:szCs w:val="18"/>
          <w:lang w:val="es-ES_tradnl"/>
        </w:rPr>
        <w:t>í</w:t>
      </w:r>
      <w:r>
        <w:rPr>
          <w:spacing w:val="-7"/>
          <w:sz w:val="18"/>
          <w:szCs w:val="18"/>
          <w:lang w:val="es-ES_tradnl"/>
        </w:rPr>
        <w:t xml:space="preserve">culo 261 de la </w:t>
      </w:r>
      <w:r>
        <w:rPr>
          <w:spacing w:val="-6"/>
          <w:sz w:val="18"/>
          <w:szCs w:val="18"/>
          <w:lang w:val="es-ES_tradnl"/>
        </w:rPr>
        <w:t>Constituci</w:t>
      </w:r>
      <w:r>
        <w:rPr>
          <w:rFonts w:cs="Times New Roman"/>
          <w:spacing w:val="-6"/>
          <w:sz w:val="18"/>
          <w:szCs w:val="18"/>
          <w:lang w:val="es-ES_tradnl"/>
        </w:rPr>
        <w:t>ó</w:t>
      </w:r>
      <w:r>
        <w:rPr>
          <w:spacing w:val="-6"/>
          <w:sz w:val="18"/>
          <w:szCs w:val="18"/>
          <w:lang w:val="es-ES_tradnl"/>
        </w:rPr>
        <w:t>n respecto a la regulaci</w:t>
      </w:r>
      <w:r>
        <w:rPr>
          <w:rFonts w:cs="Times New Roman"/>
          <w:spacing w:val="-6"/>
          <w:sz w:val="18"/>
          <w:szCs w:val="18"/>
          <w:lang w:val="es-ES_tradnl"/>
        </w:rPr>
        <w:t>ó</w:t>
      </w:r>
      <w:r>
        <w:rPr>
          <w:spacing w:val="-6"/>
          <w:sz w:val="18"/>
          <w:szCs w:val="18"/>
          <w:lang w:val="es-ES_tradnl"/>
        </w:rPr>
        <w:t xml:space="preserve">n del espectro </w:t>
      </w:r>
      <w:r>
        <w:rPr>
          <w:sz w:val="18"/>
          <w:szCs w:val="18"/>
          <w:lang w:val="es-ES_tradnl"/>
        </w:rPr>
        <w:t>radioel</w:t>
      </w:r>
      <w:r>
        <w:rPr>
          <w:rFonts w:cs="Times New Roman"/>
          <w:sz w:val="18"/>
          <w:szCs w:val="18"/>
          <w:lang w:val="es-ES_tradnl"/>
        </w:rPr>
        <w:t>é</w:t>
      </w:r>
      <w:r>
        <w:rPr>
          <w:sz w:val="18"/>
          <w:szCs w:val="18"/>
          <w:lang w:val="es-ES_tradnl"/>
        </w:rPr>
        <w:t>ctrico y espacio a</w:t>
      </w:r>
      <w:r>
        <w:rPr>
          <w:rFonts w:cs="Times New Roman"/>
          <w:sz w:val="18"/>
          <w:szCs w:val="18"/>
          <w:lang w:val="es-ES_tradnl"/>
        </w:rPr>
        <w:t>é</w:t>
      </w:r>
      <w:r>
        <w:rPr>
          <w:sz w:val="18"/>
          <w:szCs w:val="18"/>
          <w:lang w:val="es-ES_tradnl"/>
        </w:rPr>
        <w:t>reo?</w:t>
      </w:r>
    </w:p>
    <w:p w14:paraId="4F67A5C6" w14:textId="77777777" w:rsidR="00591D54" w:rsidRDefault="00591D54" w:rsidP="00251195">
      <w:pPr>
        <w:numPr>
          <w:ilvl w:val="0"/>
          <w:numId w:val="24"/>
        </w:numPr>
        <w:shd w:val="clear" w:color="auto" w:fill="FFFFFF"/>
        <w:tabs>
          <w:tab w:val="left" w:pos="566"/>
        </w:tabs>
        <w:spacing w:before="197" w:line="216" w:lineRule="exact"/>
        <w:ind w:left="566" w:hanging="283"/>
        <w:jc w:val="both"/>
        <w:rPr>
          <w:spacing w:val="-9"/>
          <w:sz w:val="18"/>
          <w:szCs w:val="18"/>
          <w:lang w:val="es-ES_tradnl"/>
        </w:rPr>
      </w:pPr>
      <w:r>
        <w:rPr>
          <w:spacing w:val="-7"/>
          <w:sz w:val="18"/>
          <w:szCs w:val="18"/>
          <w:lang w:val="es-ES_tradnl"/>
        </w:rPr>
        <w:t>La ordenanza municipal bajo an</w:t>
      </w:r>
      <w:r>
        <w:rPr>
          <w:rFonts w:cs="Times New Roman"/>
          <w:spacing w:val="-7"/>
          <w:sz w:val="18"/>
          <w:szCs w:val="18"/>
          <w:lang w:val="es-ES_tradnl"/>
        </w:rPr>
        <w:t>á</w:t>
      </w:r>
      <w:r>
        <w:rPr>
          <w:spacing w:val="-7"/>
          <w:sz w:val="18"/>
          <w:szCs w:val="18"/>
          <w:lang w:val="es-ES_tradnl"/>
        </w:rPr>
        <w:t xml:space="preserve">lisis </w:t>
      </w:r>
      <w:r>
        <w:rPr>
          <w:rFonts w:cs="Times New Roman"/>
          <w:spacing w:val="-7"/>
          <w:sz w:val="18"/>
          <w:szCs w:val="18"/>
          <w:lang w:val="es-ES_tradnl"/>
        </w:rPr>
        <w:t>¿</w:t>
      </w:r>
      <w:r>
        <w:rPr>
          <w:spacing w:val="-7"/>
          <w:sz w:val="18"/>
          <w:szCs w:val="18"/>
          <w:lang w:val="es-ES_tradnl"/>
        </w:rPr>
        <w:t xml:space="preserve">contraviene </w:t>
      </w:r>
      <w:r>
        <w:rPr>
          <w:spacing w:val="-4"/>
          <w:sz w:val="18"/>
          <w:szCs w:val="18"/>
          <w:lang w:val="es-ES_tradnl"/>
        </w:rPr>
        <w:t>lo dispuesto en el numeral 10 del art</w:t>
      </w:r>
      <w:r>
        <w:rPr>
          <w:rFonts w:cs="Times New Roman"/>
          <w:spacing w:val="-4"/>
          <w:sz w:val="18"/>
          <w:szCs w:val="18"/>
          <w:lang w:val="es-ES_tradnl"/>
        </w:rPr>
        <w:t>í</w:t>
      </w:r>
      <w:r>
        <w:rPr>
          <w:spacing w:val="-4"/>
          <w:sz w:val="18"/>
          <w:szCs w:val="18"/>
          <w:lang w:val="es-ES_tradnl"/>
        </w:rPr>
        <w:t xml:space="preserve">culo 261 de </w:t>
      </w:r>
      <w:r>
        <w:rPr>
          <w:spacing w:val="-5"/>
          <w:sz w:val="18"/>
          <w:szCs w:val="18"/>
          <w:lang w:val="es-ES_tradnl"/>
        </w:rPr>
        <w:t>la Constituci</w:t>
      </w:r>
      <w:r>
        <w:rPr>
          <w:rFonts w:cs="Times New Roman"/>
          <w:spacing w:val="-5"/>
          <w:sz w:val="18"/>
          <w:szCs w:val="18"/>
          <w:lang w:val="es-ES_tradnl"/>
        </w:rPr>
        <w:t>ó</w:t>
      </w:r>
      <w:r>
        <w:rPr>
          <w:spacing w:val="-5"/>
          <w:sz w:val="18"/>
          <w:szCs w:val="18"/>
          <w:lang w:val="es-ES_tradnl"/>
        </w:rPr>
        <w:t>n respecto a la regulaci</w:t>
      </w:r>
      <w:r>
        <w:rPr>
          <w:rFonts w:cs="Times New Roman"/>
          <w:spacing w:val="-5"/>
          <w:sz w:val="18"/>
          <w:szCs w:val="18"/>
          <w:lang w:val="es-ES_tradnl"/>
        </w:rPr>
        <w:t>ó</w:t>
      </w:r>
      <w:r>
        <w:rPr>
          <w:spacing w:val="-5"/>
          <w:sz w:val="18"/>
          <w:szCs w:val="18"/>
          <w:lang w:val="es-ES_tradnl"/>
        </w:rPr>
        <w:t xml:space="preserve">n de las </w:t>
      </w:r>
      <w:r>
        <w:rPr>
          <w:spacing w:val="-7"/>
          <w:sz w:val="18"/>
          <w:szCs w:val="18"/>
          <w:lang w:val="es-ES_tradnl"/>
        </w:rPr>
        <w:t>comunicaciones y telecomunicaciones?</w:t>
      </w:r>
    </w:p>
    <w:p w14:paraId="4F67A5C7" w14:textId="77777777" w:rsidR="00591D54" w:rsidRDefault="00591D54" w:rsidP="00251195">
      <w:pPr>
        <w:numPr>
          <w:ilvl w:val="0"/>
          <w:numId w:val="24"/>
        </w:numPr>
        <w:shd w:val="clear" w:color="auto" w:fill="FFFFFF"/>
        <w:tabs>
          <w:tab w:val="left" w:pos="566"/>
        </w:tabs>
        <w:spacing w:before="197" w:line="216" w:lineRule="exact"/>
        <w:ind w:left="566" w:hanging="283"/>
        <w:jc w:val="both"/>
        <w:rPr>
          <w:spacing w:val="-9"/>
          <w:sz w:val="18"/>
          <w:szCs w:val="18"/>
          <w:lang w:val="es-ES_tradnl"/>
        </w:rPr>
      </w:pPr>
      <w:r>
        <w:rPr>
          <w:spacing w:val="-1"/>
          <w:sz w:val="18"/>
          <w:szCs w:val="18"/>
          <w:lang w:val="es-ES_tradnl"/>
        </w:rPr>
        <w:t>La ordenanza bajo an</w:t>
      </w:r>
      <w:r>
        <w:rPr>
          <w:rFonts w:cs="Times New Roman"/>
          <w:spacing w:val="-1"/>
          <w:sz w:val="18"/>
          <w:szCs w:val="18"/>
          <w:lang w:val="es-ES_tradnl"/>
        </w:rPr>
        <w:t>á</w:t>
      </w:r>
      <w:r>
        <w:rPr>
          <w:spacing w:val="-1"/>
          <w:sz w:val="18"/>
          <w:szCs w:val="18"/>
          <w:lang w:val="es-ES_tradnl"/>
        </w:rPr>
        <w:t xml:space="preserve">lisis </w:t>
      </w:r>
      <w:r>
        <w:rPr>
          <w:rFonts w:cs="Times New Roman"/>
          <w:spacing w:val="-1"/>
          <w:sz w:val="18"/>
          <w:szCs w:val="18"/>
          <w:lang w:val="es-ES_tradnl"/>
        </w:rPr>
        <w:t>¿</w:t>
      </w:r>
      <w:r>
        <w:rPr>
          <w:spacing w:val="-1"/>
          <w:sz w:val="18"/>
          <w:szCs w:val="18"/>
          <w:lang w:val="es-ES_tradnl"/>
        </w:rPr>
        <w:t xml:space="preserve">afecta al principio </w:t>
      </w:r>
      <w:r>
        <w:rPr>
          <w:spacing w:val="-6"/>
          <w:sz w:val="18"/>
          <w:szCs w:val="18"/>
          <w:lang w:val="es-ES_tradnl"/>
        </w:rPr>
        <w:t>de jerarqu</w:t>
      </w:r>
      <w:r>
        <w:rPr>
          <w:rFonts w:cs="Times New Roman"/>
          <w:spacing w:val="-6"/>
          <w:sz w:val="18"/>
          <w:szCs w:val="18"/>
          <w:lang w:val="es-ES_tradnl"/>
        </w:rPr>
        <w:t>í</w:t>
      </w:r>
      <w:r>
        <w:rPr>
          <w:spacing w:val="-6"/>
          <w:sz w:val="18"/>
          <w:szCs w:val="18"/>
          <w:lang w:val="es-ES_tradnl"/>
        </w:rPr>
        <w:t>a establecido en el art</w:t>
      </w:r>
      <w:r>
        <w:rPr>
          <w:rFonts w:cs="Times New Roman"/>
          <w:spacing w:val="-6"/>
          <w:sz w:val="18"/>
          <w:szCs w:val="18"/>
          <w:lang w:val="es-ES_tradnl"/>
        </w:rPr>
        <w:t>í</w:t>
      </w:r>
      <w:r>
        <w:rPr>
          <w:spacing w:val="-6"/>
          <w:sz w:val="18"/>
          <w:szCs w:val="18"/>
          <w:lang w:val="es-ES_tradnl"/>
        </w:rPr>
        <w:t>culo 425 de la Constituci</w:t>
      </w:r>
      <w:r>
        <w:rPr>
          <w:rFonts w:cs="Times New Roman"/>
          <w:spacing w:val="-6"/>
          <w:sz w:val="18"/>
          <w:szCs w:val="18"/>
          <w:lang w:val="es-ES_tradnl"/>
        </w:rPr>
        <w:t>ó</w:t>
      </w:r>
      <w:r>
        <w:rPr>
          <w:spacing w:val="-6"/>
          <w:sz w:val="18"/>
          <w:szCs w:val="18"/>
          <w:lang w:val="es-ES_tradnl"/>
        </w:rPr>
        <w:t xml:space="preserve">n al establecer definiciones dentro del </w:t>
      </w:r>
      <w:r>
        <w:rPr>
          <w:rFonts w:cs="Times New Roman"/>
          <w:spacing w:val="-6"/>
          <w:sz w:val="18"/>
          <w:szCs w:val="18"/>
          <w:lang w:val="es-ES_tradnl"/>
        </w:rPr>
        <w:t>á</w:t>
      </w:r>
      <w:r>
        <w:rPr>
          <w:spacing w:val="-6"/>
          <w:sz w:val="18"/>
          <w:szCs w:val="18"/>
          <w:lang w:val="es-ES_tradnl"/>
        </w:rPr>
        <w:t>mbito de comunicaci</w:t>
      </w:r>
      <w:r>
        <w:rPr>
          <w:rFonts w:cs="Times New Roman"/>
          <w:spacing w:val="-6"/>
          <w:sz w:val="18"/>
          <w:szCs w:val="18"/>
          <w:lang w:val="es-ES_tradnl"/>
        </w:rPr>
        <w:t>ó</w:t>
      </w:r>
      <w:r>
        <w:rPr>
          <w:spacing w:val="-6"/>
          <w:sz w:val="18"/>
          <w:szCs w:val="18"/>
          <w:lang w:val="es-ES_tradnl"/>
        </w:rPr>
        <w:t>n y telecomunicaci</w:t>
      </w:r>
      <w:r>
        <w:rPr>
          <w:rFonts w:cs="Times New Roman"/>
          <w:spacing w:val="-6"/>
          <w:sz w:val="18"/>
          <w:szCs w:val="18"/>
          <w:lang w:val="es-ES_tradnl"/>
        </w:rPr>
        <w:t>ó</w:t>
      </w:r>
      <w:r>
        <w:rPr>
          <w:spacing w:val="-6"/>
          <w:sz w:val="18"/>
          <w:szCs w:val="18"/>
          <w:lang w:val="es-ES_tradnl"/>
        </w:rPr>
        <w:t>n?</w:t>
      </w:r>
    </w:p>
    <w:p w14:paraId="4F67A5C8" w14:textId="77777777" w:rsidR="00591D54" w:rsidRDefault="00591D54" w:rsidP="00251195">
      <w:pPr>
        <w:numPr>
          <w:ilvl w:val="0"/>
          <w:numId w:val="24"/>
        </w:numPr>
        <w:shd w:val="clear" w:color="auto" w:fill="FFFFFF"/>
        <w:tabs>
          <w:tab w:val="left" w:pos="566"/>
        </w:tabs>
        <w:spacing w:before="192" w:line="216" w:lineRule="exact"/>
        <w:ind w:left="566" w:hanging="283"/>
        <w:jc w:val="both"/>
        <w:rPr>
          <w:spacing w:val="-9"/>
          <w:sz w:val="18"/>
          <w:szCs w:val="18"/>
          <w:lang w:val="es-ES_tradnl"/>
        </w:rPr>
      </w:pPr>
      <w:r>
        <w:rPr>
          <w:spacing w:val="-4"/>
          <w:sz w:val="18"/>
          <w:szCs w:val="18"/>
          <w:lang w:val="es-ES_tradnl"/>
        </w:rPr>
        <w:t>La ordenanza bajo an</w:t>
      </w:r>
      <w:r>
        <w:rPr>
          <w:rFonts w:cs="Times New Roman"/>
          <w:spacing w:val="-4"/>
          <w:sz w:val="18"/>
          <w:szCs w:val="18"/>
          <w:lang w:val="es-ES_tradnl"/>
        </w:rPr>
        <w:t>á</w:t>
      </w:r>
      <w:r>
        <w:rPr>
          <w:spacing w:val="-4"/>
          <w:sz w:val="18"/>
          <w:szCs w:val="18"/>
          <w:lang w:val="es-ES_tradnl"/>
        </w:rPr>
        <w:t xml:space="preserve">lisis </w:t>
      </w:r>
      <w:r>
        <w:rPr>
          <w:rFonts w:cs="Times New Roman"/>
          <w:spacing w:val="-4"/>
          <w:sz w:val="18"/>
          <w:szCs w:val="18"/>
          <w:lang w:val="es-ES_tradnl"/>
        </w:rPr>
        <w:t>¿</w:t>
      </w:r>
      <w:r>
        <w:rPr>
          <w:spacing w:val="-4"/>
          <w:sz w:val="18"/>
          <w:szCs w:val="18"/>
          <w:lang w:val="es-ES_tradnl"/>
        </w:rPr>
        <w:t xml:space="preserve">vulnera el principio </w:t>
      </w:r>
      <w:r>
        <w:rPr>
          <w:spacing w:val="-5"/>
          <w:sz w:val="18"/>
          <w:szCs w:val="18"/>
          <w:lang w:val="es-ES_tradnl"/>
        </w:rPr>
        <w:t xml:space="preserve">constitucional tributario de equidad previsto en el </w:t>
      </w:r>
      <w:r>
        <w:rPr>
          <w:sz w:val="18"/>
          <w:szCs w:val="18"/>
          <w:lang w:val="es-ES_tradnl"/>
        </w:rPr>
        <w:t>art</w:t>
      </w:r>
      <w:r>
        <w:rPr>
          <w:rFonts w:cs="Times New Roman"/>
          <w:sz w:val="18"/>
          <w:szCs w:val="18"/>
          <w:lang w:val="es-ES_tradnl"/>
        </w:rPr>
        <w:t>í</w:t>
      </w:r>
      <w:r>
        <w:rPr>
          <w:sz w:val="18"/>
          <w:szCs w:val="18"/>
          <w:lang w:val="es-ES_tradnl"/>
        </w:rPr>
        <w:t>culo 300 de la Constituci</w:t>
      </w:r>
      <w:r>
        <w:rPr>
          <w:rFonts w:cs="Times New Roman"/>
          <w:sz w:val="18"/>
          <w:szCs w:val="18"/>
          <w:lang w:val="es-ES_tradnl"/>
        </w:rPr>
        <w:t>ó</w:t>
      </w:r>
      <w:r>
        <w:rPr>
          <w:sz w:val="18"/>
          <w:szCs w:val="18"/>
          <w:lang w:val="es-ES_tradnl"/>
        </w:rPr>
        <w:t>n?</w:t>
      </w:r>
    </w:p>
    <w:p w14:paraId="4F67A5C9" w14:textId="77777777" w:rsidR="00591D54" w:rsidRDefault="00591D54">
      <w:pPr>
        <w:shd w:val="clear" w:color="auto" w:fill="FFFFFF"/>
        <w:spacing w:before="192"/>
      </w:pPr>
      <w:r>
        <w:rPr>
          <w:b/>
          <w:bCs/>
          <w:spacing w:val="-9"/>
          <w:sz w:val="18"/>
          <w:szCs w:val="18"/>
          <w:lang w:val="es-ES_tradnl"/>
        </w:rPr>
        <w:t>Resoluci</w:t>
      </w:r>
      <w:r>
        <w:rPr>
          <w:rFonts w:cs="Times New Roman"/>
          <w:b/>
          <w:bCs/>
          <w:spacing w:val="-9"/>
          <w:sz w:val="18"/>
          <w:szCs w:val="18"/>
          <w:lang w:val="es-ES_tradnl"/>
        </w:rPr>
        <w:t>ó</w:t>
      </w:r>
      <w:r>
        <w:rPr>
          <w:b/>
          <w:bCs/>
          <w:spacing w:val="-9"/>
          <w:sz w:val="18"/>
          <w:szCs w:val="18"/>
          <w:lang w:val="es-ES_tradnl"/>
        </w:rPr>
        <w:t>n de los problemas jur</w:t>
      </w:r>
      <w:r>
        <w:rPr>
          <w:rFonts w:cs="Times New Roman"/>
          <w:b/>
          <w:bCs/>
          <w:spacing w:val="-9"/>
          <w:sz w:val="18"/>
          <w:szCs w:val="18"/>
          <w:lang w:val="es-ES_tradnl"/>
        </w:rPr>
        <w:t>í</w:t>
      </w:r>
      <w:r>
        <w:rPr>
          <w:b/>
          <w:bCs/>
          <w:spacing w:val="-9"/>
          <w:sz w:val="18"/>
          <w:szCs w:val="18"/>
          <w:lang w:val="es-ES_tradnl"/>
        </w:rPr>
        <w:t>dicos</w:t>
      </w:r>
    </w:p>
    <w:p w14:paraId="4F67A5CA" w14:textId="77777777" w:rsidR="00591D54" w:rsidRDefault="00591D54">
      <w:pPr>
        <w:shd w:val="clear" w:color="auto" w:fill="FFFFFF"/>
        <w:spacing w:before="192" w:line="216" w:lineRule="exact"/>
        <w:ind w:left="283" w:hanging="283"/>
        <w:jc w:val="both"/>
      </w:pPr>
      <w:r>
        <w:rPr>
          <w:b/>
          <w:bCs/>
          <w:spacing w:val="-6"/>
          <w:sz w:val="18"/>
          <w:szCs w:val="18"/>
          <w:lang w:val="es-ES_tradnl"/>
        </w:rPr>
        <w:t>1. La ordenanza municipal bajo an</w:t>
      </w:r>
      <w:r>
        <w:rPr>
          <w:rFonts w:cs="Times New Roman"/>
          <w:b/>
          <w:bCs/>
          <w:spacing w:val="-6"/>
          <w:sz w:val="18"/>
          <w:szCs w:val="18"/>
          <w:lang w:val="es-ES_tradnl"/>
        </w:rPr>
        <w:t>á</w:t>
      </w:r>
      <w:r>
        <w:rPr>
          <w:b/>
          <w:bCs/>
          <w:spacing w:val="-6"/>
          <w:sz w:val="18"/>
          <w:szCs w:val="18"/>
          <w:lang w:val="es-ES_tradnl"/>
        </w:rPr>
        <w:t xml:space="preserve">lisis </w:t>
      </w:r>
      <w:r>
        <w:rPr>
          <w:rFonts w:cs="Times New Roman"/>
          <w:b/>
          <w:bCs/>
          <w:spacing w:val="-6"/>
          <w:sz w:val="18"/>
          <w:szCs w:val="18"/>
          <w:lang w:val="es-ES_tradnl"/>
        </w:rPr>
        <w:t>¿</w:t>
      </w:r>
      <w:r>
        <w:rPr>
          <w:b/>
          <w:bCs/>
          <w:spacing w:val="-6"/>
          <w:sz w:val="18"/>
          <w:szCs w:val="18"/>
          <w:lang w:val="es-ES_tradnl"/>
        </w:rPr>
        <w:t xml:space="preserve">contraviene </w:t>
      </w:r>
      <w:r>
        <w:rPr>
          <w:b/>
          <w:bCs/>
          <w:sz w:val="18"/>
          <w:szCs w:val="18"/>
          <w:lang w:val="es-ES_tradnl"/>
        </w:rPr>
        <w:t>lo dispuesto en el numeral 10 del art</w:t>
      </w:r>
      <w:r>
        <w:rPr>
          <w:rFonts w:cs="Times New Roman"/>
          <w:b/>
          <w:bCs/>
          <w:sz w:val="18"/>
          <w:szCs w:val="18"/>
          <w:lang w:val="es-ES_tradnl"/>
        </w:rPr>
        <w:t>í</w:t>
      </w:r>
      <w:r>
        <w:rPr>
          <w:b/>
          <w:bCs/>
          <w:sz w:val="18"/>
          <w:szCs w:val="18"/>
          <w:lang w:val="es-ES_tradnl"/>
        </w:rPr>
        <w:t xml:space="preserve">culo 261 </w:t>
      </w:r>
      <w:r>
        <w:rPr>
          <w:b/>
          <w:bCs/>
          <w:spacing w:val="-7"/>
          <w:sz w:val="18"/>
          <w:szCs w:val="18"/>
          <w:lang w:val="es-ES_tradnl"/>
        </w:rPr>
        <w:t>de la Constituci</w:t>
      </w:r>
      <w:r>
        <w:rPr>
          <w:rFonts w:cs="Times New Roman"/>
          <w:b/>
          <w:bCs/>
          <w:spacing w:val="-7"/>
          <w:sz w:val="18"/>
          <w:szCs w:val="18"/>
          <w:lang w:val="es-ES_tradnl"/>
        </w:rPr>
        <w:t>ó</w:t>
      </w:r>
      <w:r>
        <w:rPr>
          <w:b/>
          <w:bCs/>
          <w:spacing w:val="-7"/>
          <w:sz w:val="18"/>
          <w:szCs w:val="18"/>
          <w:lang w:val="es-ES_tradnl"/>
        </w:rPr>
        <w:t>n respecto a la regulaci</w:t>
      </w:r>
      <w:r>
        <w:rPr>
          <w:rFonts w:cs="Times New Roman"/>
          <w:b/>
          <w:bCs/>
          <w:spacing w:val="-7"/>
          <w:sz w:val="18"/>
          <w:szCs w:val="18"/>
          <w:lang w:val="es-ES_tradnl"/>
        </w:rPr>
        <w:t>ó</w:t>
      </w:r>
      <w:r>
        <w:rPr>
          <w:b/>
          <w:bCs/>
          <w:spacing w:val="-7"/>
          <w:sz w:val="18"/>
          <w:szCs w:val="18"/>
          <w:lang w:val="es-ES_tradnl"/>
        </w:rPr>
        <w:t xml:space="preserve">n de las </w:t>
      </w:r>
      <w:r>
        <w:rPr>
          <w:b/>
          <w:bCs/>
          <w:spacing w:val="-11"/>
          <w:sz w:val="18"/>
          <w:szCs w:val="18"/>
          <w:lang w:val="es-ES_tradnl"/>
        </w:rPr>
        <w:t xml:space="preserve">comunicaciones y telecomunicaciones del espectro </w:t>
      </w:r>
      <w:r>
        <w:rPr>
          <w:b/>
          <w:bCs/>
          <w:sz w:val="18"/>
          <w:szCs w:val="18"/>
          <w:lang w:val="es-ES_tradnl"/>
        </w:rPr>
        <w:t>radioel</w:t>
      </w:r>
      <w:r>
        <w:rPr>
          <w:rFonts w:cs="Times New Roman"/>
          <w:b/>
          <w:bCs/>
          <w:sz w:val="18"/>
          <w:szCs w:val="18"/>
          <w:lang w:val="es-ES_tradnl"/>
        </w:rPr>
        <w:t>é</w:t>
      </w:r>
      <w:r>
        <w:rPr>
          <w:b/>
          <w:bCs/>
          <w:sz w:val="18"/>
          <w:szCs w:val="18"/>
          <w:lang w:val="es-ES_tradnl"/>
        </w:rPr>
        <w:t>ctrico y espacio a</w:t>
      </w:r>
      <w:r>
        <w:rPr>
          <w:rFonts w:cs="Times New Roman"/>
          <w:b/>
          <w:bCs/>
          <w:sz w:val="18"/>
          <w:szCs w:val="18"/>
          <w:lang w:val="es-ES_tradnl"/>
        </w:rPr>
        <w:t>é</w:t>
      </w:r>
      <w:r>
        <w:rPr>
          <w:b/>
          <w:bCs/>
          <w:sz w:val="18"/>
          <w:szCs w:val="18"/>
          <w:lang w:val="es-ES_tradnl"/>
        </w:rPr>
        <w:t>reo?</w:t>
      </w:r>
    </w:p>
    <w:p w14:paraId="4F67A5CB" w14:textId="77777777" w:rsidR="00591D54" w:rsidRDefault="00591D54">
      <w:pPr>
        <w:shd w:val="clear" w:color="auto" w:fill="FFFFFF"/>
        <w:spacing w:before="192" w:line="216" w:lineRule="exact"/>
        <w:jc w:val="both"/>
      </w:pPr>
      <w:r>
        <w:rPr>
          <w:spacing w:val="-3"/>
          <w:sz w:val="18"/>
          <w:szCs w:val="18"/>
          <w:lang w:val="es-ES_tradnl"/>
        </w:rPr>
        <w:t>El desarrollo de este problema jur</w:t>
      </w:r>
      <w:r>
        <w:rPr>
          <w:rFonts w:cs="Times New Roman"/>
          <w:spacing w:val="-3"/>
          <w:sz w:val="18"/>
          <w:szCs w:val="18"/>
          <w:lang w:val="es-ES_tradnl"/>
        </w:rPr>
        <w:t>í</w:t>
      </w:r>
      <w:r>
        <w:rPr>
          <w:spacing w:val="-3"/>
          <w:sz w:val="18"/>
          <w:szCs w:val="18"/>
          <w:lang w:val="es-ES_tradnl"/>
        </w:rPr>
        <w:t>dico se realizar</w:t>
      </w:r>
      <w:r>
        <w:rPr>
          <w:rFonts w:cs="Times New Roman"/>
          <w:spacing w:val="-3"/>
          <w:sz w:val="18"/>
          <w:szCs w:val="18"/>
          <w:lang w:val="es-ES_tradnl"/>
        </w:rPr>
        <w:t>á</w:t>
      </w:r>
      <w:r>
        <w:rPr>
          <w:spacing w:val="-3"/>
          <w:sz w:val="18"/>
          <w:szCs w:val="18"/>
          <w:lang w:val="es-ES_tradnl"/>
        </w:rPr>
        <w:t xml:space="preserve">, </w:t>
      </w:r>
      <w:r>
        <w:rPr>
          <w:spacing w:val="-5"/>
          <w:sz w:val="18"/>
          <w:szCs w:val="18"/>
          <w:lang w:val="es-ES_tradnl"/>
        </w:rPr>
        <w:t>partiendo del an</w:t>
      </w:r>
      <w:r>
        <w:rPr>
          <w:rFonts w:cs="Times New Roman"/>
          <w:spacing w:val="-5"/>
          <w:sz w:val="18"/>
          <w:szCs w:val="18"/>
          <w:lang w:val="es-ES_tradnl"/>
        </w:rPr>
        <w:t>á</w:t>
      </w:r>
      <w:r>
        <w:rPr>
          <w:spacing w:val="-5"/>
          <w:sz w:val="18"/>
          <w:szCs w:val="18"/>
          <w:lang w:val="es-ES_tradnl"/>
        </w:rPr>
        <w:t xml:space="preserve">lisis de lo que constituye el espectro </w:t>
      </w:r>
      <w:r>
        <w:rPr>
          <w:spacing w:val="-6"/>
          <w:sz w:val="18"/>
          <w:szCs w:val="18"/>
          <w:lang w:val="es-ES_tradnl"/>
        </w:rPr>
        <w:t>radioel</w:t>
      </w:r>
      <w:r>
        <w:rPr>
          <w:rFonts w:cs="Times New Roman"/>
          <w:spacing w:val="-6"/>
          <w:sz w:val="18"/>
          <w:szCs w:val="18"/>
          <w:lang w:val="es-ES_tradnl"/>
        </w:rPr>
        <w:t>é</w:t>
      </w:r>
      <w:r>
        <w:rPr>
          <w:spacing w:val="-6"/>
          <w:sz w:val="18"/>
          <w:szCs w:val="18"/>
          <w:lang w:val="es-ES_tradnl"/>
        </w:rPr>
        <w:t xml:space="preserve">ctrico para posteriormente, desplegar el enfoque </w:t>
      </w:r>
      <w:r>
        <w:rPr>
          <w:sz w:val="18"/>
          <w:szCs w:val="18"/>
          <w:lang w:val="es-ES_tradnl"/>
        </w:rPr>
        <w:t>del espacio radioel</w:t>
      </w:r>
      <w:r>
        <w:rPr>
          <w:rFonts w:cs="Times New Roman"/>
          <w:sz w:val="18"/>
          <w:szCs w:val="18"/>
          <w:lang w:val="es-ES_tradnl"/>
        </w:rPr>
        <w:t>é</w:t>
      </w:r>
      <w:r>
        <w:rPr>
          <w:sz w:val="18"/>
          <w:szCs w:val="18"/>
          <w:lang w:val="es-ES_tradnl"/>
        </w:rPr>
        <w:t>ctrico.</w:t>
      </w:r>
    </w:p>
    <w:p w14:paraId="4F67A5CC" w14:textId="77777777" w:rsidR="00591D54" w:rsidRDefault="00591D54">
      <w:pPr>
        <w:shd w:val="clear" w:color="auto" w:fill="FFFFFF"/>
        <w:spacing w:before="197" w:line="216" w:lineRule="exact"/>
        <w:jc w:val="both"/>
      </w:pPr>
      <w:r>
        <w:rPr>
          <w:spacing w:val="-1"/>
          <w:sz w:val="18"/>
          <w:szCs w:val="18"/>
          <w:lang w:val="es-ES_tradnl"/>
        </w:rPr>
        <w:t>Al respecto, es necesario establecer previamente que el art</w:t>
      </w:r>
      <w:r>
        <w:rPr>
          <w:rFonts w:cs="Times New Roman"/>
          <w:spacing w:val="-1"/>
          <w:sz w:val="18"/>
          <w:szCs w:val="18"/>
          <w:lang w:val="es-ES_tradnl"/>
        </w:rPr>
        <w:t>í</w:t>
      </w:r>
      <w:r>
        <w:rPr>
          <w:spacing w:val="-1"/>
          <w:sz w:val="18"/>
          <w:szCs w:val="18"/>
          <w:lang w:val="es-ES_tradnl"/>
        </w:rPr>
        <w:t>culo 261 numeral 10 de la Constituci</w:t>
      </w:r>
      <w:r>
        <w:rPr>
          <w:rFonts w:cs="Times New Roman"/>
          <w:spacing w:val="-1"/>
          <w:sz w:val="18"/>
          <w:szCs w:val="18"/>
          <w:lang w:val="es-ES_tradnl"/>
        </w:rPr>
        <w:t>ó</w:t>
      </w:r>
      <w:r>
        <w:rPr>
          <w:spacing w:val="-1"/>
          <w:sz w:val="18"/>
          <w:szCs w:val="18"/>
          <w:lang w:val="es-ES_tradnl"/>
        </w:rPr>
        <w:t xml:space="preserve">n de la </w:t>
      </w:r>
      <w:r>
        <w:rPr>
          <w:spacing w:val="-4"/>
          <w:sz w:val="18"/>
          <w:szCs w:val="18"/>
          <w:lang w:val="es-ES_tradnl"/>
        </w:rPr>
        <w:t>Rep</w:t>
      </w:r>
      <w:r>
        <w:rPr>
          <w:rFonts w:cs="Times New Roman"/>
          <w:spacing w:val="-4"/>
          <w:sz w:val="18"/>
          <w:szCs w:val="18"/>
          <w:lang w:val="es-ES_tradnl"/>
        </w:rPr>
        <w:t>ú</w:t>
      </w:r>
      <w:r>
        <w:rPr>
          <w:spacing w:val="-4"/>
          <w:sz w:val="18"/>
          <w:szCs w:val="18"/>
          <w:lang w:val="es-ES_tradnl"/>
        </w:rPr>
        <w:t>blica del Ecuador se</w:t>
      </w:r>
      <w:r>
        <w:rPr>
          <w:rFonts w:cs="Times New Roman"/>
          <w:spacing w:val="-4"/>
          <w:sz w:val="18"/>
          <w:szCs w:val="18"/>
          <w:lang w:val="es-ES_tradnl"/>
        </w:rPr>
        <w:t>ñ</w:t>
      </w:r>
      <w:r>
        <w:rPr>
          <w:spacing w:val="-4"/>
          <w:sz w:val="18"/>
          <w:szCs w:val="18"/>
          <w:lang w:val="es-ES_tradnl"/>
        </w:rPr>
        <w:t xml:space="preserve">ala que: </w:t>
      </w:r>
      <w:r>
        <w:rPr>
          <w:rFonts w:cs="Times New Roman"/>
          <w:spacing w:val="-4"/>
          <w:sz w:val="18"/>
          <w:szCs w:val="18"/>
          <w:lang w:val="es-ES_tradnl"/>
        </w:rPr>
        <w:t>“</w:t>
      </w:r>
      <w:r>
        <w:rPr>
          <w:spacing w:val="-4"/>
          <w:sz w:val="18"/>
          <w:szCs w:val="18"/>
          <w:lang w:val="es-ES_tradnl"/>
        </w:rPr>
        <w:t xml:space="preserve">El Estado central </w:t>
      </w:r>
      <w:r>
        <w:rPr>
          <w:spacing w:val="-8"/>
          <w:sz w:val="18"/>
          <w:szCs w:val="18"/>
          <w:lang w:val="es-ES_tradnl"/>
        </w:rPr>
        <w:t>tendr</w:t>
      </w:r>
      <w:r>
        <w:rPr>
          <w:rFonts w:cs="Times New Roman"/>
          <w:spacing w:val="-8"/>
          <w:sz w:val="18"/>
          <w:szCs w:val="18"/>
          <w:lang w:val="es-ES_tradnl"/>
        </w:rPr>
        <w:t>á</w:t>
      </w:r>
      <w:r>
        <w:rPr>
          <w:spacing w:val="-8"/>
          <w:sz w:val="18"/>
          <w:szCs w:val="18"/>
          <w:lang w:val="es-ES_tradnl"/>
        </w:rPr>
        <w:t xml:space="preserve"> competencias exclusivas sobre: (</w:t>
      </w:r>
      <w:r>
        <w:rPr>
          <w:rFonts w:cs="Times New Roman"/>
          <w:spacing w:val="-8"/>
          <w:sz w:val="18"/>
          <w:szCs w:val="18"/>
          <w:lang w:val="es-ES_tradnl"/>
        </w:rPr>
        <w:t>…</w:t>
      </w:r>
      <w:r>
        <w:rPr>
          <w:spacing w:val="-8"/>
          <w:sz w:val="18"/>
          <w:szCs w:val="18"/>
          <w:lang w:val="es-ES_tradnl"/>
        </w:rPr>
        <w:t xml:space="preserve">) 10. El espectro </w:t>
      </w:r>
      <w:r>
        <w:rPr>
          <w:spacing w:val="-5"/>
          <w:sz w:val="18"/>
          <w:szCs w:val="18"/>
          <w:lang w:val="es-ES_tradnl"/>
        </w:rPr>
        <w:t>radioel</w:t>
      </w:r>
      <w:r>
        <w:rPr>
          <w:rFonts w:cs="Times New Roman"/>
          <w:spacing w:val="-5"/>
          <w:sz w:val="18"/>
          <w:szCs w:val="18"/>
          <w:lang w:val="es-ES_tradnl"/>
        </w:rPr>
        <w:t>é</w:t>
      </w:r>
      <w:r>
        <w:rPr>
          <w:spacing w:val="-5"/>
          <w:sz w:val="18"/>
          <w:szCs w:val="18"/>
          <w:lang w:val="es-ES_tradnl"/>
        </w:rPr>
        <w:t>ctrico y el r</w:t>
      </w:r>
      <w:r>
        <w:rPr>
          <w:rFonts w:cs="Times New Roman"/>
          <w:spacing w:val="-5"/>
          <w:sz w:val="18"/>
          <w:szCs w:val="18"/>
          <w:lang w:val="es-ES_tradnl"/>
        </w:rPr>
        <w:t>é</w:t>
      </w:r>
      <w:r>
        <w:rPr>
          <w:spacing w:val="-5"/>
          <w:sz w:val="18"/>
          <w:szCs w:val="18"/>
          <w:lang w:val="es-ES_tradnl"/>
        </w:rPr>
        <w:t xml:space="preserve">gimen general de comunicaciones y </w:t>
      </w:r>
      <w:r>
        <w:rPr>
          <w:spacing w:val="-7"/>
          <w:sz w:val="18"/>
          <w:szCs w:val="18"/>
          <w:lang w:val="es-ES_tradnl"/>
        </w:rPr>
        <w:t>telecomunicaciones; puertos y aeropuertos</w:t>
      </w:r>
      <w:r>
        <w:rPr>
          <w:rFonts w:cs="Times New Roman"/>
          <w:spacing w:val="-7"/>
          <w:sz w:val="18"/>
          <w:szCs w:val="18"/>
          <w:lang w:val="es-ES_tradnl"/>
        </w:rPr>
        <w:t>”</w:t>
      </w:r>
      <w:r>
        <w:rPr>
          <w:spacing w:val="-7"/>
          <w:sz w:val="18"/>
          <w:szCs w:val="18"/>
          <w:lang w:val="es-ES_tradnl"/>
        </w:rPr>
        <w:t>.</w:t>
      </w:r>
    </w:p>
    <w:p w14:paraId="4F67A5CD" w14:textId="77777777" w:rsidR="00591D54" w:rsidRDefault="00591D54">
      <w:pPr>
        <w:shd w:val="clear" w:color="auto" w:fill="FFFFFF"/>
        <w:spacing w:before="197" w:line="216" w:lineRule="exact"/>
        <w:jc w:val="both"/>
      </w:pPr>
      <w:r>
        <w:rPr>
          <w:spacing w:val="-4"/>
          <w:sz w:val="18"/>
          <w:szCs w:val="18"/>
          <w:lang w:val="es-ES_tradnl"/>
        </w:rPr>
        <w:t xml:space="preserve">Del texto transcrito se colige que el Estado central, </w:t>
      </w:r>
      <w:r>
        <w:rPr>
          <w:spacing w:val="-10"/>
          <w:sz w:val="18"/>
          <w:szCs w:val="18"/>
          <w:lang w:val="es-ES_tradnl"/>
        </w:rPr>
        <w:t xml:space="preserve">representado por el Ejecutivo, posee competencia exclusiva, </w:t>
      </w:r>
      <w:r>
        <w:rPr>
          <w:spacing w:val="-6"/>
          <w:sz w:val="18"/>
          <w:szCs w:val="18"/>
          <w:lang w:val="es-ES_tradnl"/>
        </w:rPr>
        <w:t>entre otras materias, sobre el espectro radioel</w:t>
      </w:r>
      <w:r>
        <w:rPr>
          <w:rFonts w:cs="Times New Roman"/>
          <w:spacing w:val="-6"/>
          <w:sz w:val="18"/>
          <w:szCs w:val="18"/>
          <w:lang w:val="es-ES_tradnl"/>
        </w:rPr>
        <w:t>é</w:t>
      </w:r>
      <w:r>
        <w:rPr>
          <w:spacing w:val="-6"/>
          <w:sz w:val="18"/>
          <w:szCs w:val="18"/>
          <w:lang w:val="es-ES_tradnl"/>
        </w:rPr>
        <w:t xml:space="preserve">ctrico y el </w:t>
      </w:r>
      <w:r>
        <w:rPr>
          <w:spacing w:val="-8"/>
          <w:sz w:val="18"/>
          <w:szCs w:val="18"/>
          <w:lang w:val="es-ES_tradnl"/>
        </w:rPr>
        <w:t>r</w:t>
      </w:r>
      <w:r>
        <w:rPr>
          <w:rFonts w:cs="Times New Roman"/>
          <w:spacing w:val="-8"/>
          <w:sz w:val="18"/>
          <w:szCs w:val="18"/>
          <w:lang w:val="es-ES_tradnl"/>
        </w:rPr>
        <w:t>é</w:t>
      </w:r>
      <w:r>
        <w:rPr>
          <w:spacing w:val="-8"/>
          <w:sz w:val="18"/>
          <w:szCs w:val="18"/>
          <w:lang w:val="es-ES_tradnl"/>
        </w:rPr>
        <w:t xml:space="preserve">gimen general de comunicaciones y telecomunicaciones; </w:t>
      </w:r>
      <w:r>
        <w:rPr>
          <w:spacing w:val="-7"/>
          <w:sz w:val="18"/>
          <w:szCs w:val="18"/>
          <w:lang w:val="es-ES_tradnl"/>
        </w:rPr>
        <w:t>de ah</w:t>
      </w:r>
      <w:r>
        <w:rPr>
          <w:rFonts w:cs="Times New Roman"/>
          <w:spacing w:val="-7"/>
          <w:sz w:val="18"/>
          <w:szCs w:val="18"/>
          <w:lang w:val="es-ES_tradnl"/>
        </w:rPr>
        <w:t>í</w:t>
      </w:r>
      <w:r>
        <w:rPr>
          <w:spacing w:val="-7"/>
          <w:sz w:val="18"/>
          <w:szCs w:val="18"/>
          <w:lang w:val="es-ES_tradnl"/>
        </w:rPr>
        <w:t xml:space="preserve">, la necesidad de crear organismos que ejerzan la </w:t>
      </w:r>
      <w:r>
        <w:rPr>
          <w:spacing w:val="-4"/>
          <w:sz w:val="18"/>
          <w:szCs w:val="18"/>
          <w:lang w:val="es-ES_tradnl"/>
        </w:rPr>
        <w:t>actividad controladora y reguladora, que por delegaci</w:t>
      </w:r>
      <w:r>
        <w:rPr>
          <w:rFonts w:cs="Times New Roman"/>
          <w:spacing w:val="-4"/>
          <w:sz w:val="18"/>
          <w:szCs w:val="18"/>
          <w:lang w:val="es-ES_tradnl"/>
        </w:rPr>
        <w:t>ó</w:t>
      </w:r>
      <w:r>
        <w:rPr>
          <w:spacing w:val="-4"/>
          <w:sz w:val="18"/>
          <w:szCs w:val="18"/>
          <w:lang w:val="es-ES_tradnl"/>
        </w:rPr>
        <w:t xml:space="preserve">n </w:t>
      </w:r>
      <w:r>
        <w:rPr>
          <w:spacing w:val="-6"/>
          <w:sz w:val="18"/>
          <w:szCs w:val="18"/>
          <w:lang w:val="es-ES_tradnl"/>
        </w:rPr>
        <w:t>de la misma administraci</w:t>
      </w:r>
      <w:r>
        <w:rPr>
          <w:rFonts w:cs="Times New Roman"/>
          <w:spacing w:val="-6"/>
          <w:sz w:val="18"/>
          <w:szCs w:val="18"/>
          <w:lang w:val="es-ES_tradnl"/>
        </w:rPr>
        <w:t>ó</w:t>
      </w:r>
      <w:r>
        <w:rPr>
          <w:spacing w:val="-6"/>
          <w:sz w:val="18"/>
          <w:szCs w:val="18"/>
          <w:lang w:val="es-ES_tradnl"/>
        </w:rPr>
        <w:t xml:space="preserve">n, establecida como poder </w:t>
      </w:r>
      <w:r>
        <w:rPr>
          <w:spacing w:val="-3"/>
          <w:sz w:val="18"/>
          <w:szCs w:val="18"/>
          <w:lang w:val="es-ES_tradnl"/>
        </w:rPr>
        <w:t xml:space="preserve">constituido, despliegue las determinaciones dispuestas </w:t>
      </w:r>
      <w:r>
        <w:rPr>
          <w:sz w:val="18"/>
          <w:szCs w:val="18"/>
          <w:lang w:val="es-ES_tradnl"/>
        </w:rPr>
        <w:t xml:space="preserve">en el texto constitucional, en el caso concreto, el </w:t>
      </w:r>
      <w:r>
        <w:rPr>
          <w:spacing w:val="-7"/>
          <w:sz w:val="18"/>
          <w:szCs w:val="18"/>
          <w:lang w:val="es-ES_tradnl"/>
        </w:rPr>
        <w:t>Consejo Nacional de Telecomunicaciones y la Secretar</w:t>
      </w:r>
      <w:r>
        <w:rPr>
          <w:rFonts w:cs="Times New Roman"/>
          <w:spacing w:val="-7"/>
          <w:sz w:val="18"/>
          <w:szCs w:val="18"/>
          <w:lang w:val="es-ES_tradnl"/>
        </w:rPr>
        <w:t>í</w:t>
      </w:r>
      <w:r>
        <w:rPr>
          <w:spacing w:val="-7"/>
          <w:sz w:val="18"/>
          <w:szCs w:val="18"/>
          <w:lang w:val="es-ES_tradnl"/>
        </w:rPr>
        <w:t xml:space="preserve">a </w:t>
      </w:r>
      <w:r>
        <w:rPr>
          <w:spacing w:val="-6"/>
          <w:sz w:val="18"/>
          <w:szCs w:val="18"/>
          <w:lang w:val="es-ES_tradnl"/>
        </w:rPr>
        <w:t xml:space="preserve">Nacional de Telecomunicaciones, instituciones que se </w:t>
      </w:r>
      <w:r>
        <w:rPr>
          <w:spacing w:val="-7"/>
          <w:sz w:val="18"/>
          <w:szCs w:val="18"/>
          <w:lang w:val="es-ES_tradnl"/>
        </w:rPr>
        <w:t>encuentran reguladas adem</w:t>
      </w:r>
      <w:r>
        <w:rPr>
          <w:rFonts w:cs="Times New Roman"/>
          <w:spacing w:val="-7"/>
          <w:sz w:val="18"/>
          <w:szCs w:val="18"/>
          <w:lang w:val="es-ES_tradnl"/>
        </w:rPr>
        <w:t>á</w:t>
      </w:r>
      <w:r>
        <w:rPr>
          <w:spacing w:val="-7"/>
          <w:sz w:val="18"/>
          <w:szCs w:val="18"/>
          <w:lang w:val="es-ES_tradnl"/>
        </w:rPr>
        <w:t xml:space="preserve">s por la Ley Especial de </w:t>
      </w:r>
      <w:r>
        <w:rPr>
          <w:sz w:val="18"/>
          <w:szCs w:val="18"/>
          <w:lang w:val="es-ES_tradnl"/>
        </w:rPr>
        <w:t>Telecomunicaciones.</w:t>
      </w:r>
    </w:p>
    <w:p w14:paraId="4F67A5CE" w14:textId="77777777" w:rsidR="00591D54" w:rsidRDefault="00591D54">
      <w:pPr>
        <w:shd w:val="clear" w:color="auto" w:fill="FFFFFF"/>
        <w:spacing w:before="197" w:line="206" w:lineRule="exact"/>
        <w:jc w:val="both"/>
      </w:pPr>
      <w:r>
        <w:rPr>
          <w:sz w:val="18"/>
          <w:szCs w:val="18"/>
          <w:lang w:val="es-ES_tradnl"/>
        </w:rPr>
        <w:t>Con relaci</w:t>
      </w:r>
      <w:r>
        <w:rPr>
          <w:rFonts w:cs="Times New Roman"/>
          <w:sz w:val="18"/>
          <w:szCs w:val="18"/>
          <w:lang w:val="es-ES_tradnl"/>
        </w:rPr>
        <w:t>ó</w:t>
      </w:r>
      <w:r>
        <w:rPr>
          <w:sz w:val="18"/>
          <w:szCs w:val="18"/>
          <w:lang w:val="es-ES_tradnl"/>
        </w:rPr>
        <w:t xml:space="preserve">n a lo expuesto, la Corte Constitucional, </w:t>
      </w:r>
      <w:r>
        <w:rPr>
          <w:spacing w:val="-5"/>
          <w:sz w:val="18"/>
          <w:szCs w:val="18"/>
          <w:lang w:val="es-ES_tradnl"/>
        </w:rPr>
        <w:t>para el per</w:t>
      </w:r>
      <w:r>
        <w:rPr>
          <w:rFonts w:cs="Times New Roman"/>
          <w:spacing w:val="-5"/>
          <w:sz w:val="18"/>
          <w:szCs w:val="18"/>
          <w:lang w:val="es-ES_tradnl"/>
        </w:rPr>
        <w:t>í</w:t>
      </w:r>
      <w:r>
        <w:rPr>
          <w:spacing w:val="-5"/>
          <w:sz w:val="18"/>
          <w:szCs w:val="18"/>
          <w:lang w:val="es-ES_tradnl"/>
        </w:rPr>
        <w:t>odo de transici</w:t>
      </w:r>
      <w:r>
        <w:rPr>
          <w:rFonts w:cs="Times New Roman"/>
          <w:spacing w:val="-5"/>
          <w:sz w:val="18"/>
          <w:szCs w:val="18"/>
          <w:lang w:val="es-ES_tradnl"/>
        </w:rPr>
        <w:t>ó</w:t>
      </w:r>
      <w:r>
        <w:rPr>
          <w:spacing w:val="-5"/>
          <w:sz w:val="18"/>
          <w:szCs w:val="18"/>
          <w:lang w:val="es-ES_tradnl"/>
        </w:rPr>
        <w:t>n, mediante la sentencia N.</w:t>
      </w:r>
      <w:r>
        <w:rPr>
          <w:rFonts w:cs="Times New Roman"/>
          <w:spacing w:val="-5"/>
          <w:sz w:val="18"/>
          <w:szCs w:val="18"/>
          <w:lang w:val="es-ES_tradnl"/>
        </w:rPr>
        <w:t xml:space="preserve">º </w:t>
      </w:r>
      <w:r>
        <w:rPr>
          <w:sz w:val="18"/>
          <w:szCs w:val="18"/>
          <w:lang w:val="es-ES_tradnl"/>
        </w:rPr>
        <w:t>006-09-SIC-CC</w:t>
      </w:r>
      <w:r>
        <w:rPr>
          <w:sz w:val="18"/>
          <w:szCs w:val="18"/>
          <w:vertAlign w:val="superscript"/>
          <w:lang w:val="es-ES_tradnl"/>
        </w:rPr>
        <w:t>5</w:t>
      </w:r>
      <w:r>
        <w:rPr>
          <w:sz w:val="18"/>
          <w:szCs w:val="18"/>
          <w:lang w:val="es-ES_tradnl"/>
        </w:rPr>
        <w:t>, ha establecido que:</w:t>
      </w:r>
    </w:p>
    <w:p w14:paraId="4F67A5CF" w14:textId="77777777" w:rsidR="00591D54" w:rsidRDefault="00591D54">
      <w:pPr>
        <w:shd w:val="clear" w:color="auto" w:fill="FFFFFF"/>
        <w:spacing w:before="202" w:line="216" w:lineRule="exact"/>
        <w:ind w:left="283"/>
      </w:pPr>
      <w:r>
        <w:rPr>
          <w:sz w:val="14"/>
          <w:szCs w:val="14"/>
          <w:lang w:val="es-ES_tradnl"/>
        </w:rPr>
        <w:t>(</w:t>
      </w:r>
      <w:r>
        <w:rPr>
          <w:rFonts w:cs="Times New Roman"/>
          <w:sz w:val="14"/>
          <w:szCs w:val="14"/>
          <w:lang w:val="es-ES_tradnl"/>
        </w:rPr>
        <w:t>…</w:t>
      </w:r>
      <w:r>
        <w:rPr>
          <w:sz w:val="14"/>
          <w:szCs w:val="14"/>
          <w:lang w:val="es-ES_tradnl"/>
        </w:rPr>
        <w:t>) el espectro radioel</w:t>
      </w:r>
      <w:r>
        <w:rPr>
          <w:rFonts w:cs="Times New Roman"/>
          <w:sz w:val="14"/>
          <w:szCs w:val="14"/>
          <w:lang w:val="es-ES_tradnl"/>
        </w:rPr>
        <w:t>é</w:t>
      </w:r>
      <w:r>
        <w:rPr>
          <w:sz w:val="14"/>
          <w:szCs w:val="14"/>
          <w:lang w:val="es-ES_tradnl"/>
        </w:rPr>
        <w:t>ctrico no s</w:t>
      </w:r>
      <w:r>
        <w:rPr>
          <w:rFonts w:cs="Times New Roman"/>
          <w:sz w:val="14"/>
          <w:szCs w:val="14"/>
          <w:lang w:val="es-ES_tradnl"/>
        </w:rPr>
        <w:t>ó</w:t>
      </w:r>
      <w:r>
        <w:rPr>
          <w:sz w:val="14"/>
          <w:szCs w:val="14"/>
          <w:lang w:val="es-ES_tradnl"/>
        </w:rPr>
        <w:t>lo debe ser considerado como un recurso natural (Art. 408), sino tambi</w:t>
      </w:r>
      <w:r>
        <w:rPr>
          <w:rFonts w:cs="Times New Roman"/>
          <w:sz w:val="14"/>
          <w:szCs w:val="14"/>
          <w:lang w:val="es-ES_tradnl"/>
        </w:rPr>
        <w:t>é</w:t>
      </w:r>
      <w:r>
        <w:rPr>
          <w:sz w:val="14"/>
          <w:szCs w:val="14"/>
          <w:lang w:val="es-ES_tradnl"/>
        </w:rPr>
        <w:t>n como un</w:t>
      </w:r>
    </w:p>
    <w:p w14:paraId="4F67A5D0" w14:textId="77777777" w:rsidR="00591D54" w:rsidRDefault="00591D54">
      <w:pPr>
        <w:shd w:val="clear" w:color="auto" w:fill="FFFFFF"/>
        <w:spacing w:before="518" w:line="178" w:lineRule="exact"/>
        <w:ind w:left="139" w:hanging="139"/>
      </w:pPr>
      <w:r>
        <w:rPr>
          <w:sz w:val="14"/>
          <w:szCs w:val="14"/>
          <w:vertAlign w:val="superscript"/>
          <w:lang w:val="es-ES_tradnl"/>
        </w:rPr>
        <w:t>5</w:t>
      </w:r>
      <w:r>
        <w:rPr>
          <w:sz w:val="14"/>
          <w:szCs w:val="14"/>
          <w:lang w:val="es-ES_tradnl"/>
        </w:rPr>
        <w:t xml:space="preserve">  Corte Constitucional del Ecuador, para el periodo de transici</w:t>
      </w:r>
      <w:r>
        <w:rPr>
          <w:rFonts w:cs="Times New Roman"/>
          <w:sz w:val="14"/>
          <w:szCs w:val="14"/>
          <w:lang w:val="es-ES_tradnl"/>
        </w:rPr>
        <w:t>ó</w:t>
      </w:r>
      <w:r>
        <w:rPr>
          <w:sz w:val="14"/>
          <w:szCs w:val="14"/>
          <w:lang w:val="es-ES_tradnl"/>
        </w:rPr>
        <w:t xml:space="preserve">n, </w:t>
      </w:r>
      <w:r>
        <w:rPr>
          <w:spacing w:val="-1"/>
          <w:sz w:val="14"/>
          <w:szCs w:val="14"/>
          <w:lang w:val="es-ES_tradnl"/>
        </w:rPr>
        <w:t>sentencia N.</w:t>
      </w:r>
      <w:r>
        <w:rPr>
          <w:rFonts w:cs="Times New Roman"/>
          <w:spacing w:val="-1"/>
          <w:sz w:val="14"/>
          <w:szCs w:val="14"/>
          <w:lang w:val="es-ES_tradnl"/>
        </w:rPr>
        <w:t>º</w:t>
      </w:r>
      <w:r>
        <w:rPr>
          <w:spacing w:val="-1"/>
          <w:sz w:val="14"/>
          <w:szCs w:val="14"/>
          <w:lang w:val="es-ES_tradnl"/>
        </w:rPr>
        <w:t xml:space="preserve"> 006-09-SIC-CC, caso N.</w:t>
      </w:r>
      <w:r>
        <w:rPr>
          <w:rFonts w:cs="Times New Roman"/>
          <w:spacing w:val="-1"/>
          <w:sz w:val="14"/>
          <w:szCs w:val="14"/>
          <w:lang w:val="es-ES_tradnl"/>
        </w:rPr>
        <w:t>º</w:t>
      </w:r>
      <w:r>
        <w:rPr>
          <w:spacing w:val="-1"/>
          <w:sz w:val="14"/>
          <w:szCs w:val="14"/>
          <w:lang w:val="es-ES_tradnl"/>
        </w:rPr>
        <w:t xml:space="preserve"> 0012-08-IC.</w:t>
      </w:r>
    </w:p>
    <w:p w14:paraId="4F67A5D1" w14:textId="77777777" w:rsidR="00591D54" w:rsidRDefault="00591D54">
      <w:pPr>
        <w:shd w:val="clear" w:color="auto" w:fill="FFFFFF"/>
        <w:spacing w:line="216" w:lineRule="exact"/>
        <w:ind w:left="283"/>
        <w:jc w:val="both"/>
      </w:pPr>
      <w:r>
        <w:br w:type="column"/>
      </w:r>
      <w:r>
        <w:rPr>
          <w:sz w:val="14"/>
          <w:szCs w:val="14"/>
          <w:lang w:val="es-ES_tradnl"/>
        </w:rPr>
        <w:t>sector estrat</w:t>
      </w:r>
      <w:r>
        <w:rPr>
          <w:rFonts w:cs="Times New Roman"/>
          <w:sz w:val="14"/>
          <w:szCs w:val="14"/>
          <w:lang w:val="es-ES_tradnl"/>
        </w:rPr>
        <w:t>é</w:t>
      </w:r>
      <w:r>
        <w:rPr>
          <w:sz w:val="14"/>
          <w:szCs w:val="14"/>
          <w:lang w:val="es-ES_tradnl"/>
        </w:rPr>
        <w:t>gico (Art. 313 inciso tercero). Y ello resulta apenas l</w:t>
      </w:r>
      <w:r>
        <w:rPr>
          <w:rFonts w:cs="Times New Roman"/>
          <w:sz w:val="14"/>
          <w:szCs w:val="14"/>
          <w:lang w:val="es-ES_tradnl"/>
        </w:rPr>
        <w:t>ó</w:t>
      </w:r>
      <w:r>
        <w:rPr>
          <w:sz w:val="14"/>
          <w:szCs w:val="14"/>
          <w:lang w:val="es-ES_tradnl"/>
        </w:rPr>
        <w:t>gico si consideramos su decisiva infl uencia econ</w:t>
      </w:r>
      <w:r>
        <w:rPr>
          <w:rFonts w:cs="Times New Roman"/>
          <w:sz w:val="14"/>
          <w:szCs w:val="14"/>
          <w:lang w:val="es-ES_tradnl"/>
        </w:rPr>
        <w:t>ó</w:t>
      </w:r>
      <w:r>
        <w:rPr>
          <w:sz w:val="14"/>
          <w:szCs w:val="14"/>
          <w:lang w:val="es-ES_tradnl"/>
        </w:rPr>
        <w:t>mica, social, pol</w:t>
      </w:r>
      <w:r>
        <w:rPr>
          <w:rFonts w:cs="Times New Roman"/>
          <w:sz w:val="14"/>
          <w:szCs w:val="14"/>
          <w:lang w:val="es-ES_tradnl"/>
        </w:rPr>
        <w:t>í</w:t>
      </w:r>
      <w:r>
        <w:rPr>
          <w:sz w:val="14"/>
          <w:szCs w:val="14"/>
          <w:lang w:val="es-ES_tradnl"/>
        </w:rPr>
        <w:t xml:space="preserve">tica y ambiental. Por otro lado, </w:t>
      </w:r>
      <w:r>
        <w:rPr>
          <w:b/>
          <w:bCs/>
          <w:sz w:val="14"/>
          <w:szCs w:val="14"/>
          <w:lang w:val="es-ES_tradnl"/>
        </w:rPr>
        <w:t>la misma disposici</w:t>
      </w:r>
      <w:r>
        <w:rPr>
          <w:rFonts w:cs="Times New Roman"/>
          <w:b/>
          <w:bCs/>
          <w:sz w:val="14"/>
          <w:szCs w:val="14"/>
          <w:lang w:val="es-ES_tradnl"/>
        </w:rPr>
        <w:t>ó</w:t>
      </w:r>
      <w:r>
        <w:rPr>
          <w:b/>
          <w:bCs/>
          <w:sz w:val="14"/>
          <w:szCs w:val="14"/>
          <w:lang w:val="es-ES_tradnl"/>
        </w:rPr>
        <w:t>n constitucional (Art</w:t>
      </w:r>
      <w:r>
        <w:rPr>
          <w:rFonts w:cs="Times New Roman"/>
          <w:b/>
          <w:bCs/>
          <w:sz w:val="14"/>
          <w:szCs w:val="14"/>
          <w:lang w:val="es-ES_tradnl"/>
        </w:rPr>
        <w:t>í</w:t>
      </w:r>
      <w:r>
        <w:rPr>
          <w:b/>
          <w:bCs/>
          <w:sz w:val="14"/>
          <w:szCs w:val="14"/>
          <w:lang w:val="es-ES_tradnl"/>
        </w:rPr>
        <w:t xml:space="preserve">culo 313 inciso </w:t>
      </w:r>
      <w:r>
        <w:rPr>
          <w:b/>
          <w:bCs/>
          <w:spacing w:val="-1"/>
          <w:sz w:val="14"/>
          <w:szCs w:val="14"/>
          <w:lang w:val="es-ES_tradnl"/>
        </w:rPr>
        <w:t>tercero), consagra a las telecomunicaciones, medio a trav</w:t>
      </w:r>
      <w:r>
        <w:rPr>
          <w:rFonts w:cs="Times New Roman"/>
          <w:b/>
          <w:bCs/>
          <w:spacing w:val="-1"/>
          <w:sz w:val="14"/>
          <w:szCs w:val="14"/>
          <w:lang w:val="es-ES_tradnl"/>
        </w:rPr>
        <w:t>é</w:t>
      </w:r>
      <w:r>
        <w:rPr>
          <w:b/>
          <w:bCs/>
          <w:spacing w:val="-1"/>
          <w:sz w:val="14"/>
          <w:szCs w:val="14"/>
          <w:lang w:val="es-ES_tradnl"/>
        </w:rPr>
        <w:t xml:space="preserve">s </w:t>
      </w:r>
      <w:r>
        <w:rPr>
          <w:b/>
          <w:bCs/>
          <w:sz w:val="14"/>
          <w:szCs w:val="14"/>
          <w:lang w:val="es-ES_tradnl"/>
        </w:rPr>
        <w:t>del cual se utiliza el espectro frecuencial radioel</w:t>
      </w:r>
      <w:r>
        <w:rPr>
          <w:rFonts w:cs="Times New Roman"/>
          <w:b/>
          <w:bCs/>
          <w:sz w:val="14"/>
          <w:szCs w:val="14"/>
          <w:lang w:val="es-ES_tradnl"/>
        </w:rPr>
        <w:t>é</w:t>
      </w:r>
      <w:r>
        <w:rPr>
          <w:b/>
          <w:bCs/>
          <w:sz w:val="14"/>
          <w:szCs w:val="14"/>
          <w:lang w:val="es-ES_tradnl"/>
        </w:rPr>
        <w:t>ctrico, como otro de los sectores estrat</w:t>
      </w:r>
      <w:r>
        <w:rPr>
          <w:rFonts w:cs="Times New Roman"/>
          <w:b/>
          <w:bCs/>
          <w:sz w:val="14"/>
          <w:szCs w:val="14"/>
          <w:lang w:val="es-ES_tradnl"/>
        </w:rPr>
        <w:t>é</w:t>
      </w:r>
      <w:r>
        <w:rPr>
          <w:b/>
          <w:bCs/>
          <w:sz w:val="14"/>
          <w:szCs w:val="14"/>
          <w:lang w:val="es-ES_tradnl"/>
        </w:rPr>
        <w:t>gicos que deben ser administrados, regulados y controlados por el Estado</w:t>
      </w:r>
      <w:r>
        <w:rPr>
          <w:sz w:val="14"/>
          <w:szCs w:val="14"/>
          <w:lang w:val="es-ES_tradnl"/>
        </w:rPr>
        <w:t xml:space="preserve">. Es </w:t>
      </w:r>
      <w:r>
        <w:rPr>
          <w:spacing w:val="-1"/>
          <w:sz w:val="14"/>
          <w:szCs w:val="14"/>
          <w:lang w:val="es-ES_tradnl"/>
        </w:rPr>
        <w:t xml:space="preserve">decir, tanto el recurso natural que persiste sin la necesidad de la </w:t>
      </w:r>
      <w:r>
        <w:rPr>
          <w:sz w:val="14"/>
          <w:szCs w:val="14"/>
          <w:lang w:val="es-ES_tradnl"/>
        </w:rPr>
        <w:t>intervenci</w:t>
      </w:r>
      <w:r>
        <w:rPr>
          <w:rFonts w:cs="Times New Roman"/>
          <w:sz w:val="14"/>
          <w:szCs w:val="14"/>
          <w:lang w:val="es-ES_tradnl"/>
        </w:rPr>
        <w:t>ó</w:t>
      </w:r>
      <w:r>
        <w:rPr>
          <w:sz w:val="14"/>
          <w:szCs w:val="14"/>
          <w:lang w:val="es-ES_tradnl"/>
        </w:rPr>
        <w:t xml:space="preserve">n humana, </w:t>
      </w:r>
      <w:r>
        <w:rPr>
          <w:b/>
          <w:bCs/>
          <w:sz w:val="14"/>
          <w:szCs w:val="14"/>
          <w:lang w:val="es-ES_tradnl"/>
        </w:rPr>
        <w:t>el espectro radioel</w:t>
      </w:r>
      <w:r>
        <w:rPr>
          <w:rFonts w:cs="Times New Roman"/>
          <w:b/>
          <w:bCs/>
          <w:sz w:val="14"/>
          <w:szCs w:val="14"/>
          <w:lang w:val="es-ES_tradnl"/>
        </w:rPr>
        <w:t>é</w:t>
      </w:r>
      <w:r>
        <w:rPr>
          <w:b/>
          <w:bCs/>
          <w:sz w:val="14"/>
          <w:szCs w:val="14"/>
          <w:lang w:val="es-ES_tradnl"/>
        </w:rPr>
        <w:t>ctrico, como el uso del mismo, las telecomunicaciones</w:t>
      </w:r>
      <w:r>
        <w:rPr>
          <w:sz w:val="14"/>
          <w:szCs w:val="14"/>
          <w:lang w:val="es-ES_tradnl"/>
        </w:rPr>
        <w:t>, forman parte del sector estrat</w:t>
      </w:r>
      <w:r>
        <w:rPr>
          <w:rFonts w:cs="Times New Roman"/>
          <w:sz w:val="14"/>
          <w:szCs w:val="14"/>
          <w:lang w:val="es-ES_tradnl"/>
        </w:rPr>
        <w:t>é</w:t>
      </w:r>
      <w:r>
        <w:rPr>
          <w:sz w:val="14"/>
          <w:szCs w:val="14"/>
          <w:lang w:val="es-ES_tradnl"/>
        </w:rPr>
        <w:t xml:space="preserve">gico estatal, y </w:t>
      </w:r>
      <w:r>
        <w:rPr>
          <w:b/>
          <w:bCs/>
          <w:sz w:val="14"/>
          <w:szCs w:val="14"/>
          <w:lang w:val="es-ES_tradnl"/>
        </w:rPr>
        <w:t>como consecuencia de ello, forman parte de las competencias exclusivas del Estado central</w:t>
      </w:r>
      <w:r>
        <w:rPr>
          <w:sz w:val="14"/>
          <w:szCs w:val="14"/>
          <w:lang w:val="es-ES_tradnl"/>
        </w:rPr>
        <w:t>. (</w:t>
      </w:r>
      <w:r>
        <w:rPr>
          <w:rFonts w:cs="Times New Roman"/>
          <w:sz w:val="14"/>
          <w:szCs w:val="14"/>
          <w:lang w:val="es-ES_tradnl"/>
        </w:rPr>
        <w:t>…</w:t>
      </w:r>
      <w:r>
        <w:rPr>
          <w:sz w:val="14"/>
          <w:szCs w:val="14"/>
          <w:lang w:val="es-ES_tradnl"/>
        </w:rPr>
        <w:t>) Por consiguiente, debe quedar en claro que el r</w:t>
      </w:r>
      <w:r>
        <w:rPr>
          <w:rFonts w:cs="Times New Roman"/>
          <w:sz w:val="14"/>
          <w:szCs w:val="14"/>
          <w:lang w:val="es-ES_tradnl"/>
        </w:rPr>
        <w:t>é</w:t>
      </w:r>
      <w:r>
        <w:rPr>
          <w:sz w:val="14"/>
          <w:szCs w:val="14"/>
          <w:lang w:val="es-ES_tradnl"/>
        </w:rPr>
        <w:t>gimen general de comunicaciones y telecomunicaciones resulta ser el medio a partir del cual se utiliza el recurso natural espectro radioel</w:t>
      </w:r>
      <w:r>
        <w:rPr>
          <w:rFonts w:cs="Times New Roman"/>
          <w:sz w:val="14"/>
          <w:szCs w:val="14"/>
          <w:lang w:val="es-ES_tradnl"/>
        </w:rPr>
        <w:t>é</w:t>
      </w:r>
      <w:r>
        <w:rPr>
          <w:sz w:val="14"/>
          <w:szCs w:val="14"/>
          <w:lang w:val="es-ES_tradnl"/>
        </w:rPr>
        <w:t>ctrico. (Resaltado no pertenece al texto).</w:t>
      </w:r>
    </w:p>
    <w:p w14:paraId="4F67A5D2" w14:textId="77777777" w:rsidR="00591D54" w:rsidRDefault="00591D54">
      <w:pPr>
        <w:shd w:val="clear" w:color="auto" w:fill="FFFFFF"/>
        <w:spacing w:before="202" w:line="216" w:lineRule="exact"/>
        <w:ind w:right="5"/>
        <w:jc w:val="both"/>
      </w:pPr>
      <w:r>
        <w:rPr>
          <w:spacing w:val="-4"/>
          <w:sz w:val="18"/>
          <w:szCs w:val="18"/>
          <w:lang w:val="es-ES_tradnl"/>
        </w:rPr>
        <w:t>De igual forma, en la sentencia N.</w:t>
      </w:r>
      <w:r>
        <w:rPr>
          <w:rFonts w:cs="Times New Roman"/>
          <w:spacing w:val="-4"/>
          <w:sz w:val="18"/>
          <w:szCs w:val="18"/>
          <w:lang w:val="es-ES_tradnl"/>
        </w:rPr>
        <w:t>º</w:t>
      </w:r>
      <w:r>
        <w:rPr>
          <w:spacing w:val="-4"/>
          <w:sz w:val="18"/>
          <w:szCs w:val="18"/>
          <w:lang w:val="es-ES_tradnl"/>
        </w:rPr>
        <w:t xml:space="preserve"> 001-12-SIC-CC del </w:t>
      </w:r>
      <w:r>
        <w:rPr>
          <w:spacing w:val="-3"/>
          <w:sz w:val="18"/>
          <w:szCs w:val="18"/>
          <w:lang w:val="es-ES_tradnl"/>
        </w:rPr>
        <w:t>caso N.</w:t>
      </w:r>
      <w:r>
        <w:rPr>
          <w:rFonts w:cs="Times New Roman"/>
          <w:spacing w:val="-3"/>
          <w:sz w:val="18"/>
          <w:szCs w:val="18"/>
          <w:lang w:val="es-ES_tradnl"/>
        </w:rPr>
        <w:t>º</w:t>
      </w:r>
      <w:r>
        <w:rPr>
          <w:spacing w:val="-3"/>
          <w:sz w:val="18"/>
          <w:szCs w:val="18"/>
          <w:lang w:val="es-ES_tradnl"/>
        </w:rPr>
        <w:t xml:space="preserve"> 0008-10-IC, la Corte Constitucional, para el </w:t>
      </w:r>
      <w:r>
        <w:rPr>
          <w:spacing w:val="-4"/>
          <w:sz w:val="18"/>
          <w:szCs w:val="18"/>
          <w:lang w:val="es-ES_tradnl"/>
        </w:rPr>
        <w:t>per</w:t>
      </w:r>
      <w:r>
        <w:rPr>
          <w:rFonts w:cs="Times New Roman"/>
          <w:spacing w:val="-4"/>
          <w:sz w:val="18"/>
          <w:szCs w:val="18"/>
          <w:lang w:val="es-ES_tradnl"/>
        </w:rPr>
        <w:t>í</w:t>
      </w:r>
      <w:r>
        <w:rPr>
          <w:spacing w:val="-4"/>
          <w:sz w:val="18"/>
          <w:szCs w:val="18"/>
          <w:lang w:val="es-ES_tradnl"/>
        </w:rPr>
        <w:t>odo de transici</w:t>
      </w:r>
      <w:r>
        <w:rPr>
          <w:rFonts w:cs="Times New Roman"/>
          <w:spacing w:val="-4"/>
          <w:sz w:val="18"/>
          <w:szCs w:val="18"/>
          <w:lang w:val="es-ES_tradnl"/>
        </w:rPr>
        <w:t>ó</w:t>
      </w:r>
      <w:r>
        <w:rPr>
          <w:spacing w:val="-4"/>
          <w:sz w:val="18"/>
          <w:szCs w:val="18"/>
          <w:lang w:val="es-ES_tradnl"/>
        </w:rPr>
        <w:t>n, ejemplific</w:t>
      </w:r>
      <w:r>
        <w:rPr>
          <w:rFonts w:cs="Times New Roman"/>
          <w:spacing w:val="-4"/>
          <w:sz w:val="18"/>
          <w:szCs w:val="18"/>
          <w:lang w:val="es-ES_tradnl"/>
        </w:rPr>
        <w:t>ó</w:t>
      </w:r>
      <w:r>
        <w:rPr>
          <w:spacing w:val="-4"/>
          <w:sz w:val="18"/>
          <w:szCs w:val="18"/>
          <w:lang w:val="es-ES_tradnl"/>
        </w:rPr>
        <w:t xml:space="preserve"> el caso referente a la </w:t>
      </w:r>
      <w:r>
        <w:rPr>
          <w:spacing w:val="-7"/>
          <w:sz w:val="18"/>
          <w:szCs w:val="18"/>
          <w:lang w:val="es-ES_tradnl"/>
        </w:rPr>
        <w:t>gesti</w:t>
      </w:r>
      <w:r>
        <w:rPr>
          <w:rFonts w:cs="Times New Roman"/>
          <w:spacing w:val="-7"/>
          <w:sz w:val="18"/>
          <w:szCs w:val="18"/>
          <w:lang w:val="es-ES_tradnl"/>
        </w:rPr>
        <w:t>ó</w:t>
      </w:r>
      <w:r>
        <w:rPr>
          <w:spacing w:val="-7"/>
          <w:sz w:val="18"/>
          <w:szCs w:val="18"/>
          <w:lang w:val="es-ES_tradnl"/>
        </w:rPr>
        <w:t>n del espectro radioel</w:t>
      </w:r>
      <w:r>
        <w:rPr>
          <w:rFonts w:cs="Times New Roman"/>
          <w:spacing w:val="-7"/>
          <w:sz w:val="18"/>
          <w:szCs w:val="18"/>
          <w:lang w:val="es-ES_tradnl"/>
        </w:rPr>
        <w:t>é</w:t>
      </w:r>
      <w:r>
        <w:rPr>
          <w:spacing w:val="-7"/>
          <w:sz w:val="18"/>
          <w:szCs w:val="18"/>
          <w:lang w:val="es-ES_tradnl"/>
        </w:rPr>
        <w:t>ctrico de la siguiente manera:</w:t>
      </w:r>
    </w:p>
    <w:p w14:paraId="4F67A5D3" w14:textId="77777777" w:rsidR="00591D54" w:rsidRDefault="00591D54">
      <w:pPr>
        <w:shd w:val="clear" w:color="auto" w:fill="FFFFFF"/>
        <w:spacing w:before="202" w:line="216" w:lineRule="exact"/>
        <w:ind w:left="283" w:right="5"/>
        <w:jc w:val="both"/>
      </w:pPr>
      <w:r>
        <w:rPr>
          <w:sz w:val="14"/>
          <w:szCs w:val="14"/>
          <w:lang w:val="es-ES_tradnl"/>
        </w:rPr>
        <w:t>Por ejemplo, al hablar del espectro radioel</w:t>
      </w:r>
      <w:r>
        <w:rPr>
          <w:rFonts w:cs="Times New Roman"/>
          <w:sz w:val="14"/>
          <w:szCs w:val="14"/>
          <w:lang w:val="es-ES_tradnl"/>
        </w:rPr>
        <w:t>é</w:t>
      </w:r>
      <w:r>
        <w:rPr>
          <w:sz w:val="14"/>
          <w:szCs w:val="14"/>
          <w:lang w:val="es-ES_tradnl"/>
        </w:rPr>
        <w:t>ctrico, corresponder</w:t>
      </w:r>
      <w:r>
        <w:rPr>
          <w:rFonts w:cs="Times New Roman"/>
          <w:sz w:val="14"/>
          <w:szCs w:val="14"/>
          <w:lang w:val="es-ES_tradnl"/>
        </w:rPr>
        <w:t>í</w:t>
      </w:r>
      <w:r>
        <w:rPr>
          <w:sz w:val="14"/>
          <w:szCs w:val="14"/>
          <w:lang w:val="es-ES_tradnl"/>
        </w:rPr>
        <w:t>an al Estado central las competencias exclusivas sobre el mismo, de conformidad con lo preceptuado por el numeral 10 del art</w:t>
      </w:r>
      <w:r>
        <w:rPr>
          <w:rFonts w:cs="Times New Roman"/>
          <w:sz w:val="14"/>
          <w:szCs w:val="14"/>
          <w:lang w:val="es-ES_tradnl"/>
        </w:rPr>
        <w:t>í</w:t>
      </w:r>
      <w:r>
        <w:rPr>
          <w:sz w:val="14"/>
          <w:szCs w:val="14"/>
          <w:lang w:val="es-ES_tradnl"/>
        </w:rPr>
        <w:t xml:space="preserve">culo 261 de la misma Carta Magna; por lo que solo dicho Estado </w:t>
      </w:r>
      <w:r>
        <w:rPr>
          <w:rFonts w:ascii="Arial Unicode MS" w:eastAsia="Arial Unicode MS" w:cs="Arial Unicode MS" w:hint="eastAsia"/>
          <w:sz w:val="14"/>
          <w:szCs w:val="14"/>
          <w:lang w:val="es-ES_tradnl"/>
        </w:rPr>
        <w:t>‒</w:t>
      </w:r>
      <w:r>
        <w:rPr>
          <w:sz w:val="14"/>
          <w:szCs w:val="14"/>
          <w:lang w:val="es-ES_tradnl"/>
        </w:rPr>
        <w:t>enti</w:t>
      </w:r>
      <w:r>
        <w:rPr>
          <w:rFonts w:cs="Times New Roman"/>
          <w:sz w:val="14"/>
          <w:szCs w:val="14"/>
          <w:lang w:val="es-ES_tradnl"/>
        </w:rPr>
        <w:t>é</w:t>
      </w:r>
      <w:r>
        <w:rPr>
          <w:sz w:val="14"/>
          <w:szCs w:val="14"/>
          <w:lang w:val="es-ES_tradnl"/>
        </w:rPr>
        <w:t>ndase a trav</w:t>
      </w:r>
      <w:r>
        <w:rPr>
          <w:rFonts w:cs="Times New Roman"/>
          <w:sz w:val="14"/>
          <w:szCs w:val="14"/>
          <w:lang w:val="es-ES_tradnl"/>
        </w:rPr>
        <w:t>é</w:t>
      </w:r>
      <w:r>
        <w:rPr>
          <w:sz w:val="14"/>
          <w:szCs w:val="14"/>
          <w:lang w:val="es-ES_tradnl"/>
        </w:rPr>
        <w:t>s de los organismos pertinentes de regulaci</w:t>
      </w:r>
      <w:r>
        <w:rPr>
          <w:rFonts w:cs="Times New Roman"/>
          <w:sz w:val="14"/>
          <w:szCs w:val="14"/>
          <w:lang w:val="es-ES_tradnl"/>
        </w:rPr>
        <w:t>ó</w:t>
      </w:r>
      <w:r>
        <w:rPr>
          <w:sz w:val="14"/>
          <w:szCs w:val="14"/>
          <w:lang w:val="es-ES_tradnl"/>
        </w:rPr>
        <w:t>n y control creados legalmente para el efecto</w:t>
      </w:r>
      <w:r>
        <w:rPr>
          <w:rFonts w:ascii="Arial Unicode MS" w:eastAsia="Arial Unicode MS" w:cs="Arial Unicode MS" w:hint="eastAsia"/>
          <w:sz w:val="14"/>
          <w:szCs w:val="14"/>
          <w:lang w:val="es-ES_tradnl"/>
        </w:rPr>
        <w:t>‒</w:t>
      </w:r>
      <w:r>
        <w:rPr>
          <w:sz w:val="14"/>
          <w:szCs w:val="14"/>
          <w:lang w:val="es-ES_tradnl"/>
        </w:rPr>
        <w:t xml:space="preserve"> autorizar</w:t>
      </w:r>
      <w:r>
        <w:rPr>
          <w:rFonts w:cs="Times New Roman"/>
          <w:sz w:val="14"/>
          <w:szCs w:val="14"/>
          <w:lang w:val="es-ES_tradnl"/>
        </w:rPr>
        <w:t>í</w:t>
      </w:r>
      <w:r>
        <w:rPr>
          <w:sz w:val="14"/>
          <w:szCs w:val="14"/>
          <w:lang w:val="es-ES_tradnl"/>
        </w:rPr>
        <w:t>a el uso de frecuencias a las empresas p</w:t>
      </w:r>
      <w:r>
        <w:rPr>
          <w:rFonts w:cs="Times New Roman"/>
          <w:sz w:val="14"/>
          <w:szCs w:val="14"/>
          <w:lang w:val="es-ES_tradnl"/>
        </w:rPr>
        <w:t>ú</w:t>
      </w:r>
      <w:r>
        <w:rPr>
          <w:sz w:val="14"/>
          <w:szCs w:val="14"/>
          <w:lang w:val="es-ES_tradnl"/>
        </w:rPr>
        <w:t>blicas que las requieran y solo delegar</w:t>
      </w:r>
      <w:r>
        <w:rPr>
          <w:rFonts w:cs="Times New Roman"/>
          <w:sz w:val="14"/>
          <w:szCs w:val="14"/>
          <w:lang w:val="es-ES_tradnl"/>
        </w:rPr>
        <w:t>í</w:t>
      </w:r>
      <w:r>
        <w:rPr>
          <w:sz w:val="14"/>
          <w:szCs w:val="14"/>
          <w:lang w:val="es-ES_tradnl"/>
        </w:rPr>
        <w:t>a a otras empresas como las mixtas y excepcionalmente, a la iniciativa privada (siguiendo el ejemplo: a trav</w:t>
      </w:r>
      <w:r>
        <w:rPr>
          <w:rFonts w:cs="Times New Roman"/>
          <w:sz w:val="14"/>
          <w:szCs w:val="14"/>
          <w:lang w:val="es-ES_tradnl"/>
        </w:rPr>
        <w:t>é</w:t>
      </w:r>
      <w:r>
        <w:rPr>
          <w:sz w:val="14"/>
          <w:szCs w:val="14"/>
          <w:lang w:val="es-ES_tradnl"/>
        </w:rPr>
        <w:t>s de una concesi</w:t>
      </w:r>
      <w:r>
        <w:rPr>
          <w:rFonts w:cs="Times New Roman"/>
          <w:sz w:val="14"/>
          <w:szCs w:val="14"/>
          <w:lang w:val="es-ES_tradnl"/>
        </w:rPr>
        <w:t>ó</w:t>
      </w:r>
      <w:r>
        <w:rPr>
          <w:sz w:val="14"/>
          <w:szCs w:val="14"/>
          <w:lang w:val="es-ES_tradnl"/>
        </w:rPr>
        <w:t>n) o a la econom</w:t>
      </w:r>
      <w:r>
        <w:rPr>
          <w:rFonts w:cs="Times New Roman"/>
          <w:sz w:val="14"/>
          <w:szCs w:val="14"/>
          <w:lang w:val="es-ES_tradnl"/>
        </w:rPr>
        <w:t>í</w:t>
      </w:r>
      <w:r>
        <w:rPr>
          <w:sz w:val="14"/>
          <w:szCs w:val="14"/>
          <w:lang w:val="es-ES_tradnl"/>
        </w:rPr>
        <w:t>a popular y solidaria, en los casos se</w:t>
      </w:r>
      <w:r>
        <w:rPr>
          <w:rFonts w:cs="Times New Roman"/>
          <w:sz w:val="14"/>
          <w:szCs w:val="14"/>
          <w:lang w:val="es-ES_tradnl"/>
        </w:rPr>
        <w:t>ñ</w:t>
      </w:r>
      <w:r>
        <w:rPr>
          <w:sz w:val="14"/>
          <w:szCs w:val="14"/>
          <w:lang w:val="es-ES_tradnl"/>
        </w:rPr>
        <w:t>alados en la ley. Por ende, el Estado autoriza en unos casos o delega en otros.</w:t>
      </w:r>
    </w:p>
    <w:p w14:paraId="4F67A5D4" w14:textId="77777777" w:rsidR="00591D54" w:rsidRDefault="00591D54">
      <w:pPr>
        <w:shd w:val="clear" w:color="auto" w:fill="FFFFFF"/>
        <w:spacing w:before="202" w:line="216" w:lineRule="exact"/>
        <w:ind w:right="5"/>
        <w:jc w:val="both"/>
      </w:pPr>
      <w:r>
        <w:rPr>
          <w:spacing w:val="-5"/>
          <w:sz w:val="18"/>
          <w:szCs w:val="18"/>
          <w:lang w:val="es-ES_tradnl"/>
        </w:rPr>
        <w:t>Adem</w:t>
      </w:r>
      <w:r>
        <w:rPr>
          <w:rFonts w:cs="Times New Roman"/>
          <w:spacing w:val="-5"/>
          <w:sz w:val="18"/>
          <w:szCs w:val="18"/>
          <w:lang w:val="es-ES_tradnl"/>
        </w:rPr>
        <w:t>á</w:t>
      </w:r>
      <w:r>
        <w:rPr>
          <w:spacing w:val="-5"/>
          <w:sz w:val="18"/>
          <w:szCs w:val="18"/>
          <w:lang w:val="es-ES_tradnl"/>
        </w:rPr>
        <w:t>s, mediante la sentencia N.</w:t>
      </w:r>
      <w:r>
        <w:rPr>
          <w:rFonts w:cs="Times New Roman"/>
          <w:spacing w:val="-5"/>
          <w:sz w:val="18"/>
          <w:szCs w:val="18"/>
          <w:lang w:val="es-ES_tradnl"/>
        </w:rPr>
        <w:t>º</w:t>
      </w:r>
      <w:r>
        <w:rPr>
          <w:spacing w:val="-5"/>
          <w:sz w:val="18"/>
          <w:szCs w:val="18"/>
          <w:lang w:val="es-ES_tradnl"/>
        </w:rPr>
        <w:t xml:space="preserve"> 003-14-SIN-CC del </w:t>
      </w:r>
      <w:r>
        <w:rPr>
          <w:spacing w:val="-3"/>
          <w:sz w:val="18"/>
          <w:szCs w:val="18"/>
          <w:lang w:val="es-ES_tradnl"/>
        </w:rPr>
        <w:t>caso N.</w:t>
      </w:r>
      <w:r>
        <w:rPr>
          <w:rFonts w:cs="Times New Roman"/>
          <w:spacing w:val="-3"/>
          <w:sz w:val="18"/>
          <w:szCs w:val="18"/>
          <w:lang w:val="es-ES_tradnl"/>
        </w:rPr>
        <w:t>º</w:t>
      </w:r>
      <w:r>
        <w:rPr>
          <w:spacing w:val="-3"/>
          <w:sz w:val="18"/>
          <w:szCs w:val="18"/>
          <w:lang w:val="es-ES_tradnl"/>
        </w:rPr>
        <w:t xml:space="preserve"> 0014-13-IN y acumulados Nros. 0023-13-IN y </w:t>
      </w:r>
      <w:r>
        <w:rPr>
          <w:spacing w:val="-5"/>
          <w:sz w:val="18"/>
          <w:szCs w:val="18"/>
          <w:lang w:val="es-ES_tradnl"/>
        </w:rPr>
        <w:t>0028-13-IN, la Corte Constitucional se</w:t>
      </w:r>
      <w:r>
        <w:rPr>
          <w:rFonts w:cs="Times New Roman"/>
          <w:spacing w:val="-5"/>
          <w:sz w:val="18"/>
          <w:szCs w:val="18"/>
          <w:lang w:val="es-ES_tradnl"/>
        </w:rPr>
        <w:t>ñ</w:t>
      </w:r>
      <w:r>
        <w:rPr>
          <w:spacing w:val="-5"/>
          <w:sz w:val="18"/>
          <w:szCs w:val="18"/>
          <w:lang w:val="es-ES_tradnl"/>
        </w:rPr>
        <w:t>al</w:t>
      </w:r>
      <w:r>
        <w:rPr>
          <w:rFonts w:cs="Times New Roman"/>
          <w:spacing w:val="-5"/>
          <w:sz w:val="18"/>
          <w:szCs w:val="18"/>
          <w:lang w:val="es-ES_tradnl"/>
        </w:rPr>
        <w:t>ó</w:t>
      </w:r>
      <w:r>
        <w:rPr>
          <w:spacing w:val="-5"/>
          <w:sz w:val="18"/>
          <w:szCs w:val="18"/>
          <w:lang w:val="es-ES_tradnl"/>
        </w:rPr>
        <w:t xml:space="preserve"> que:</w:t>
      </w:r>
    </w:p>
    <w:p w14:paraId="4F67A5D5" w14:textId="77777777" w:rsidR="00591D54" w:rsidRDefault="00591D54">
      <w:pPr>
        <w:shd w:val="clear" w:color="auto" w:fill="FFFFFF"/>
        <w:spacing w:before="202" w:line="211" w:lineRule="exact"/>
        <w:ind w:left="283" w:right="5"/>
        <w:jc w:val="both"/>
      </w:pPr>
      <w:r>
        <w:rPr>
          <w:sz w:val="14"/>
          <w:szCs w:val="14"/>
          <w:lang w:val="es-ES_tradnl"/>
        </w:rPr>
        <w:t>El desarrollo tecnol</w:t>
      </w:r>
      <w:r>
        <w:rPr>
          <w:rFonts w:cs="Times New Roman"/>
          <w:sz w:val="14"/>
          <w:szCs w:val="14"/>
          <w:lang w:val="es-ES_tradnl"/>
        </w:rPr>
        <w:t>ó</w:t>
      </w:r>
      <w:r>
        <w:rPr>
          <w:sz w:val="14"/>
          <w:szCs w:val="14"/>
          <w:lang w:val="es-ES_tradnl"/>
        </w:rPr>
        <w:t>gico ha determinado que las actividades de los medios de comunicaci</w:t>
      </w:r>
      <w:r>
        <w:rPr>
          <w:rFonts w:cs="Times New Roman"/>
          <w:sz w:val="14"/>
          <w:szCs w:val="14"/>
          <w:lang w:val="es-ES_tradnl"/>
        </w:rPr>
        <w:t>ó</w:t>
      </w:r>
      <w:r>
        <w:rPr>
          <w:sz w:val="14"/>
          <w:szCs w:val="14"/>
          <w:lang w:val="es-ES_tradnl"/>
        </w:rPr>
        <w:t>n auditivos y audiovisuales se efect</w:t>
      </w:r>
      <w:r>
        <w:rPr>
          <w:rFonts w:cs="Times New Roman"/>
          <w:sz w:val="14"/>
          <w:szCs w:val="14"/>
          <w:lang w:val="es-ES_tradnl"/>
        </w:rPr>
        <w:t>ú</w:t>
      </w:r>
      <w:r>
        <w:rPr>
          <w:sz w:val="14"/>
          <w:szCs w:val="14"/>
          <w:lang w:val="es-ES_tradnl"/>
        </w:rPr>
        <w:t>en mediante el empleo del espectro radioel</w:t>
      </w:r>
      <w:r>
        <w:rPr>
          <w:rFonts w:cs="Times New Roman"/>
          <w:sz w:val="14"/>
          <w:szCs w:val="14"/>
          <w:lang w:val="es-ES_tradnl"/>
        </w:rPr>
        <w:t>é</w:t>
      </w:r>
      <w:r>
        <w:rPr>
          <w:sz w:val="14"/>
          <w:szCs w:val="14"/>
          <w:lang w:val="es-ES_tradnl"/>
        </w:rPr>
        <w:t>ctrico del pa</w:t>
      </w:r>
      <w:r>
        <w:rPr>
          <w:rFonts w:cs="Times New Roman"/>
          <w:sz w:val="14"/>
          <w:szCs w:val="14"/>
          <w:lang w:val="es-ES_tradnl"/>
        </w:rPr>
        <w:t>í</w:t>
      </w:r>
      <w:r>
        <w:rPr>
          <w:sz w:val="14"/>
          <w:szCs w:val="14"/>
          <w:lang w:val="es-ES_tradnl"/>
        </w:rPr>
        <w:t>s, que es considerado por la Norma Fundamental como un sector estrat</w:t>
      </w:r>
      <w:r>
        <w:rPr>
          <w:rFonts w:cs="Times New Roman"/>
          <w:sz w:val="14"/>
          <w:szCs w:val="14"/>
          <w:lang w:val="es-ES_tradnl"/>
        </w:rPr>
        <w:t>é</w:t>
      </w:r>
      <w:r>
        <w:rPr>
          <w:sz w:val="14"/>
          <w:szCs w:val="14"/>
          <w:lang w:val="es-ES_tradnl"/>
        </w:rPr>
        <w:t>gico</w:t>
      </w:r>
      <w:r>
        <w:rPr>
          <w:sz w:val="14"/>
          <w:szCs w:val="14"/>
          <w:vertAlign w:val="superscript"/>
          <w:lang w:val="es-ES_tradnl"/>
        </w:rPr>
        <w:t>6</w:t>
      </w:r>
      <w:r>
        <w:rPr>
          <w:sz w:val="14"/>
          <w:szCs w:val="14"/>
          <w:lang w:val="es-ES_tradnl"/>
        </w:rPr>
        <w:t>.</w:t>
      </w:r>
    </w:p>
    <w:p w14:paraId="4F67A5D6" w14:textId="77777777" w:rsidR="00591D54" w:rsidRDefault="00591D54">
      <w:pPr>
        <w:shd w:val="clear" w:color="auto" w:fill="FFFFFF"/>
        <w:spacing w:before="211" w:line="216" w:lineRule="exact"/>
        <w:ind w:left="283" w:right="5"/>
        <w:jc w:val="both"/>
      </w:pPr>
      <w:r>
        <w:rPr>
          <w:sz w:val="14"/>
          <w:szCs w:val="14"/>
          <w:lang w:val="es-ES_tradnl"/>
        </w:rPr>
        <w:t>(</w:t>
      </w:r>
      <w:r>
        <w:rPr>
          <w:rFonts w:cs="Times New Roman"/>
          <w:sz w:val="14"/>
          <w:szCs w:val="14"/>
          <w:lang w:val="es-ES_tradnl"/>
        </w:rPr>
        <w:t>…</w:t>
      </w:r>
      <w:r>
        <w:rPr>
          <w:sz w:val="14"/>
          <w:szCs w:val="14"/>
          <w:lang w:val="es-ES_tradnl"/>
        </w:rPr>
        <w:t>) En este contexto, es evidente que la gesti</w:t>
      </w:r>
      <w:r>
        <w:rPr>
          <w:rFonts w:cs="Times New Roman"/>
          <w:sz w:val="14"/>
          <w:szCs w:val="14"/>
          <w:lang w:val="es-ES_tradnl"/>
        </w:rPr>
        <w:t>ó</w:t>
      </w:r>
      <w:r>
        <w:rPr>
          <w:sz w:val="14"/>
          <w:szCs w:val="14"/>
          <w:lang w:val="es-ES_tradnl"/>
        </w:rPr>
        <w:t>n del espectro radioel</w:t>
      </w:r>
      <w:r>
        <w:rPr>
          <w:rFonts w:cs="Times New Roman"/>
          <w:sz w:val="14"/>
          <w:szCs w:val="14"/>
          <w:lang w:val="es-ES_tradnl"/>
        </w:rPr>
        <w:t>é</w:t>
      </w:r>
      <w:r>
        <w:rPr>
          <w:sz w:val="14"/>
          <w:szCs w:val="14"/>
          <w:lang w:val="es-ES_tradnl"/>
        </w:rPr>
        <w:t>ctrico es de competencia y responsabilidad del estado, por lo que los criterios bajo los cuales debe administrarse este recurso deben responder a la mayor satisfacci</w:t>
      </w:r>
      <w:r>
        <w:rPr>
          <w:rFonts w:cs="Times New Roman"/>
          <w:sz w:val="14"/>
          <w:szCs w:val="14"/>
          <w:lang w:val="es-ES_tradnl"/>
        </w:rPr>
        <w:t>ó</w:t>
      </w:r>
      <w:r>
        <w:rPr>
          <w:sz w:val="14"/>
          <w:szCs w:val="14"/>
          <w:lang w:val="es-ES_tradnl"/>
        </w:rPr>
        <w:t>n de los</w:t>
      </w:r>
    </w:p>
    <w:p w14:paraId="4F67A5D7" w14:textId="77777777" w:rsidR="00591D54" w:rsidRDefault="00591D54">
      <w:pPr>
        <w:shd w:val="clear" w:color="auto" w:fill="FFFFFF"/>
        <w:spacing w:before="499" w:line="178" w:lineRule="exact"/>
        <w:ind w:left="144" w:right="5" w:hanging="144"/>
        <w:jc w:val="both"/>
      </w:pPr>
      <w:r>
        <w:rPr>
          <w:sz w:val="14"/>
          <w:szCs w:val="14"/>
          <w:vertAlign w:val="superscript"/>
          <w:lang w:val="es-ES_tradnl"/>
        </w:rPr>
        <w:t>6</w:t>
      </w:r>
      <w:r>
        <w:rPr>
          <w:sz w:val="14"/>
          <w:szCs w:val="14"/>
          <w:lang w:val="es-ES_tradnl"/>
        </w:rPr>
        <w:t xml:space="preserve"> Constituci</w:t>
      </w:r>
      <w:r>
        <w:rPr>
          <w:rFonts w:cs="Times New Roman"/>
          <w:sz w:val="14"/>
          <w:szCs w:val="14"/>
          <w:lang w:val="es-ES_tradnl"/>
        </w:rPr>
        <w:t>ó</w:t>
      </w:r>
      <w:r>
        <w:rPr>
          <w:sz w:val="14"/>
          <w:szCs w:val="14"/>
          <w:lang w:val="es-ES_tradnl"/>
        </w:rPr>
        <w:t>n de la Rep</w:t>
      </w:r>
      <w:r>
        <w:rPr>
          <w:rFonts w:cs="Times New Roman"/>
          <w:sz w:val="14"/>
          <w:szCs w:val="14"/>
          <w:lang w:val="es-ES_tradnl"/>
        </w:rPr>
        <w:t>ú</w:t>
      </w:r>
      <w:r>
        <w:rPr>
          <w:sz w:val="14"/>
          <w:szCs w:val="14"/>
          <w:lang w:val="es-ES_tradnl"/>
        </w:rPr>
        <w:t xml:space="preserve">blica. </w:t>
      </w:r>
      <w:r>
        <w:rPr>
          <w:rFonts w:cs="Times New Roman"/>
          <w:sz w:val="14"/>
          <w:szCs w:val="14"/>
          <w:lang w:val="es-ES_tradnl"/>
        </w:rPr>
        <w:t>“</w:t>
      </w:r>
      <w:r>
        <w:rPr>
          <w:sz w:val="14"/>
          <w:szCs w:val="14"/>
          <w:lang w:val="es-ES_tradnl"/>
        </w:rPr>
        <w:t xml:space="preserve">Art. 313.- El Estado se reserva el </w:t>
      </w:r>
      <w:r>
        <w:rPr>
          <w:spacing w:val="-1"/>
          <w:sz w:val="14"/>
          <w:szCs w:val="14"/>
          <w:lang w:val="es-ES_tradnl"/>
        </w:rPr>
        <w:t xml:space="preserve">derecho de administrar, regular, controlar y gestionar los sectores </w:t>
      </w:r>
      <w:r>
        <w:rPr>
          <w:sz w:val="14"/>
          <w:szCs w:val="14"/>
          <w:lang w:val="es-ES_tradnl"/>
        </w:rPr>
        <w:t>estrat</w:t>
      </w:r>
      <w:r>
        <w:rPr>
          <w:rFonts w:cs="Times New Roman"/>
          <w:sz w:val="14"/>
          <w:szCs w:val="14"/>
          <w:lang w:val="es-ES_tradnl"/>
        </w:rPr>
        <w:t>é</w:t>
      </w:r>
      <w:r>
        <w:rPr>
          <w:sz w:val="14"/>
          <w:szCs w:val="14"/>
          <w:lang w:val="es-ES_tradnl"/>
        </w:rPr>
        <w:t>gicos, de conformidad con los principios de sostenibilidad ambiental, precauci</w:t>
      </w:r>
      <w:r>
        <w:rPr>
          <w:rFonts w:cs="Times New Roman"/>
          <w:sz w:val="14"/>
          <w:szCs w:val="14"/>
          <w:lang w:val="es-ES_tradnl"/>
        </w:rPr>
        <w:t>ó</w:t>
      </w:r>
      <w:r>
        <w:rPr>
          <w:sz w:val="14"/>
          <w:szCs w:val="14"/>
          <w:lang w:val="es-ES_tradnl"/>
        </w:rPr>
        <w:t>n, prevenci</w:t>
      </w:r>
      <w:r>
        <w:rPr>
          <w:rFonts w:cs="Times New Roman"/>
          <w:sz w:val="14"/>
          <w:szCs w:val="14"/>
          <w:lang w:val="es-ES_tradnl"/>
        </w:rPr>
        <w:t>ó</w:t>
      </w:r>
      <w:r>
        <w:rPr>
          <w:sz w:val="14"/>
          <w:szCs w:val="14"/>
          <w:lang w:val="es-ES_tradnl"/>
        </w:rPr>
        <w:t xml:space="preserve">n y eficiencia. </w:t>
      </w:r>
      <w:r>
        <w:rPr>
          <w:spacing w:val="-3"/>
          <w:sz w:val="14"/>
          <w:szCs w:val="14"/>
          <w:lang w:val="es-ES_tradnl"/>
        </w:rPr>
        <w:t>Los sectores estrat</w:t>
      </w:r>
      <w:r>
        <w:rPr>
          <w:rFonts w:cs="Times New Roman"/>
          <w:spacing w:val="-3"/>
          <w:sz w:val="14"/>
          <w:szCs w:val="14"/>
          <w:lang w:val="es-ES_tradnl"/>
        </w:rPr>
        <w:t>é</w:t>
      </w:r>
      <w:r>
        <w:rPr>
          <w:spacing w:val="-3"/>
          <w:sz w:val="14"/>
          <w:szCs w:val="14"/>
          <w:lang w:val="es-ES_tradnl"/>
        </w:rPr>
        <w:t>gicos, de decisi</w:t>
      </w:r>
      <w:r>
        <w:rPr>
          <w:rFonts w:cs="Times New Roman"/>
          <w:spacing w:val="-3"/>
          <w:sz w:val="14"/>
          <w:szCs w:val="14"/>
          <w:lang w:val="es-ES_tradnl"/>
        </w:rPr>
        <w:t>ó</w:t>
      </w:r>
      <w:r>
        <w:rPr>
          <w:spacing w:val="-3"/>
          <w:sz w:val="14"/>
          <w:szCs w:val="14"/>
          <w:lang w:val="es-ES_tradnl"/>
        </w:rPr>
        <w:t xml:space="preserve">n y control exclusivo del Estado, </w:t>
      </w:r>
      <w:r>
        <w:rPr>
          <w:sz w:val="14"/>
          <w:szCs w:val="14"/>
          <w:lang w:val="es-ES_tradnl"/>
        </w:rPr>
        <w:t>son aquellos que por su trascendencia y magnitud tienen decisiva infl uencia econ</w:t>
      </w:r>
      <w:r>
        <w:rPr>
          <w:rFonts w:cs="Times New Roman"/>
          <w:sz w:val="14"/>
          <w:szCs w:val="14"/>
          <w:lang w:val="es-ES_tradnl"/>
        </w:rPr>
        <w:t>ó</w:t>
      </w:r>
      <w:r>
        <w:rPr>
          <w:sz w:val="14"/>
          <w:szCs w:val="14"/>
          <w:lang w:val="es-ES_tradnl"/>
        </w:rPr>
        <w:t>mica, social, pol</w:t>
      </w:r>
      <w:r>
        <w:rPr>
          <w:rFonts w:cs="Times New Roman"/>
          <w:sz w:val="14"/>
          <w:szCs w:val="14"/>
          <w:lang w:val="es-ES_tradnl"/>
        </w:rPr>
        <w:t>í</w:t>
      </w:r>
      <w:r>
        <w:rPr>
          <w:sz w:val="14"/>
          <w:szCs w:val="14"/>
          <w:lang w:val="es-ES_tradnl"/>
        </w:rPr>
        <w:t>tica o ambiental, y deber</w:t>
      </w:r>
      <w:r>
        <w:rPr>
          <w:rFonts w:cs="Times New Roman"/>
          <w:sz w:val="14"/>
          <w:szCs w:val="14"/>
          <w:lang w:val="es-ES_tradnl"/>
        </w:rPr>
        <w:t>á</w:t>
      </w:r>
      <w:r>
        <w:rPr>
          <w:sz w:val="14"/>
          <w:szCs w:val="14"/>
          <w:lang w:val="es-ES_tradnl"/>
        </w:rPr>
        <w:t xml:space="preserve">n </w:t>
      </w:r>
      <w:r>
        <w:rPr>
          <w:spacing w:val="-2"/>
          <w:sz w:val="14"/>
          <w:szCs w:val="14"/>
          <w:lang w:val="es-ES_tradnl"/>
        </w:rPr>
        <w:t>orientarse al pleno desarrollo de los derechos y al inter</w:t>
      </w:r>
      <w:r>
        <w:rPr>
          <w:rFonts w:cs="Times New Roman"/>
          <w:spacing w:val="-2"/>
          <w:sz w:val="14"/>
          <w:szCs w:val="14"/>
          <w:lang w:val="es-ES_tradnl"/>
        </w:rPr>
        <w:t>é</w:t>
      </w:r>
      <w:r>
        <w:rPr>
          <w:spacing w:val="-2"/>
          <w:sz w:val="14"/>
          <w:szCs w:val="14"/>
          <w:lang w:val="es-ES_tradnl"/>
        </w:rPr>
        <w:t>s social.</w:t>
      </w:r>
    </w:p>
    <w:p w14:paraId="4F67A5D8" w14:textId="77777777" w:rsidR="00591D54" w:rsidRDefault="00591D54">
      <w:pPr>
        <w:shd w:val="clear" w:color="auto" w:fill="FFFFFF"/>
        <w:spacing w:line="178" w:lineRule="exact"/>
        <w:ind w:left="144" w:right="5"/>
        <w:jc w:val="both"/>
      </w:pPr>
      <w:r>
        <w:rPr>
          <w:b/>
          <w:bCs/>
          <w:spacing w:val="-7"/>
          <w:sz w:val="14"/>
          <w:szCs w:val="14"/>
          <w:lang w:val="es-ES_tradnl"/>
        </w:rPr>
        <w:t>Se consideran sectores estrat</w:t>
      </w:r>
      <w:r>
        <w:rPr>
          <w:rFonts w:cs="Times New Roman"/>
          <w:b/>
          <w:bCs/>
          <w:spacing w:val="-7"/>
          <w:sz w:val="14"/>
          <w:szCs w:val="14"/>
          <w:lang w:val="es-ES_tradnl"/>
        </w:rPr>
        <w:t>é</w:t>
      </w:r>
      <w:r>
        <w:rPr>
          <w:b/>
          <w:bCs/>
          <w:spacing w:val="-7"/>
          <w:sz w:val="14"/>
          <w:szCs w:val="14"/>
          <w:lang w:val="es-ES_tradnl"/>
        </w:rPr>
        <w:t>gicos la energ</w:t>
      </w:r>
      <w:r>
        <w:rPr>
          <w:rFonts w:cs="Times New Roman"/>
          <w:b/>
          <w:bCs/>
          <w:spacing w:val="-7"/>
          <w:sz w:val="14"/>
          <w:szCs w:val="14"/>
          <w:lang w:val="es-ES_tradnl"/>
        </w:rPr>
        <w:t>í</w:t>
      </w:r>
      <w:r>
        <w:rPr>
          <w:b/>
          <w:bCs/>
          <w:spacing w:val="-7"/>
          <w:sz w:val="14"/>
          <w:szCs w:val="14"/>
          <w:lang w:val="es-ES_tradnl"/>
        </w:rPr>
        <w:t xml:space="preserve">a en todas sus formas, </w:t>
      </w:r>
      <w:r>
        <w:rPr>
          <w:b/>
          <w:bCs/>
          <w:spacing w:val="-3"/>
          <w:sz w:val="14"/>
          <w:szCs w:val="14"/>
          <w:lang w:val="es-ES_tradnl"/>
        </w:rPr>
        <w:t xml:space="preserve">las telecomunicaciones, </w:t>
      </w:r>
      <w:r>
        <w:rPr>
          <w:spacing w:val="-3"/>
          <w:sz w:val="14"/>
          <w:szCs w:val="14"/>
          <w:lang w:val="es-ES_tradnl"/>
        </w:rPr>
        <w:t xml:space="preserve">los recursos naturales no renovables, el </w:t>
      </w:r>
      <w:r>
        <w:rPr>
          <w:sz w:val="14"/>
          <w:szCs w:val="14"/>
          <w:lang w:val="es-ES_tradnl"/>
        </w:rPr>
        <w:t>transporte y la refinaci</w:t>
      </w:r>
      <w:r>
        <w:rPr>
          <w:rFonts w:cs="Times New Roman"/>
          <w:sz w:val="14"/>
          <w:szCs w:val="14"/>
          <w:lang w:val="es-ES_tradnl"/>
        </w:rPr>
        <w:t>ó</w:t>
      </w:r>
      <w:r>
        <w:rPr>
          <w:sz w:val="14"/>
          <w:szCs w:val="14"/>
          <w:lang w:val="es-ES_tradnl"/>
        </w:rPr>
        <w:t xml:space="preserve">n de hidrocarburos, la biodiversidad y el </w:t>
      </w:r>
      <w:r>
        <w:rPr>
          <w:spacing w:val="-2"/>
          <w:sz w:val="14"/>
          <w:szCs w:val="14"/>
          <w:lang w:val="es-ES_tradnl"/>
        </w:rPr>
        <w:t>patrimonio gen</w:t>
      </w:r>
      <w:r>
        <w:rPr>
          <w:rFonts w:cs="Times New Roman"/>
          <w:spacing w:val="-2"/>
          <w:sz w:val="14"/>
          <w:szCs w:val="14"/>
          <w:lang w:val="es-ES_tradnl"/>
        </w:rPr>
        <w:t>é</w:t>
      </w:r>
      <w:r>
        <w:rPr>
          <w:spacing w:val="-2"/>
          <w:sz w:val="14"/>
          <w:szCs w:val="14"/>
          <w:lang w:val="es-ES_tradnl"/>
        </w:rPr>
        <w:t>tico, el espectro radioel</w:t>
      </w:r>
      <w:r>
        <w:rPr>
          <w:rFonts w:cs="Times New Roman"/>
          <w:spacing w:val="-2"/>
          <w:sz w:val="14"/>
          <w:szCs w:val="14"/>
          <w:lang w:val="es-ES_tradnl"/>
        </w:rPr>
        <w:t>é</w:t>
      </w:r>
      <w:r>
        <w:rPr>
          <w:spacing w:val="-2"/>
          <w:sz w:val="14"/>
          <w:szCs w:val="14"/>
          <w:lang w:val="es-ES_tradnl"/>
        </w:rPr>
        <w:t>ctrico, el agua, y los dem</w:t>
      </w:r>
      <w:r>
        <w:rPr>
          <w:rFonts w:cs="Times New Roman"/>
          <w:spacing w:val="-2"/>
          <w:sz w:val="14"/>
          <w:szCs w:val="14"/>
          <w:lang w:val="es-ES_tradnl"/>
        </w:rPr>
        <w:t>á</w:t>
      </w:r>
      <w:r>
        <w:rPr>
          <w:spacing w:val="-2"/>
          <w:sz w:val="14"/>
          <w:szCs w:val="14"/>
          <w:lang w:val="es-ES_tradnl"/>
        </w:rPr>
        <w:t xml:space="preserve">s </w:t>
      </w:r>
      <w:r>
        <w:rPr>
          <w:sz w:val="14"/>
          <w:szCs w:val="14"/>
          <w:lang w:val="es-ES_tradnl"/>
        </w:rPr>
        <w:t>que determine la ley.</w:t>
      </w:r>
      <w:r>
        <w:rPr>
          <w:rFonts w:cs="Times New Roman"/>
          <w:sz w:val="14"/>
          <w:szCs w:val="14"/>
          <w:lang w:val="es-ES_tradnl"/>
        </w:rPr>
        <w:t>”</w:t>
      </w:r>
    </w:p>
    <w:p w14:paraId="4F67A5D9" w14:textId="77777777" w:rsidR="00591D54" w:rsidRDefault="00591D54">
      <w:pPr>
        <w:shd w:val="clear" w:color="auto" w:fill="FFFFFF"/>
        <w:spacing w:line="178" w:lineRule="exact"/>
        <w:ind w:left="144" w:right="5"/>
        <w:jc w:val="both"/>
        <w:sectPr w:rsidR="00591D54">
          <w:type w:val="continuous"/>
          <w:pgSz w:w="11909" w:h="16834"/>
          <w:pgMar w:top="1359" w:right="1304" w:bottom="360" w:left="1308" w:header="720" w:footer="720" w:gutter="0"/>
          <w:cols w:num="2" w:space="720" w:equalWidth="0">
            <w:col w:w="4305" w:space="682"/>
            <w:col w:w="4310"/>
          </w:cols>
          <w:noEndnote/>
        </w:sectPr>
      </w:pPr>
    </w:p>
    <w:p w14:paraId="4F67A5DA" w14:textId="77777777" w:rsidR="00591D54" w:rsidRDefault="00591D54">
      <w:pPr>
        <w:shd w:val="clear" w:color="auto" w:fill="FFFFFF"/>
        <w:tabs>
          <w:tab w:val="left" w:pos="5952"/>
        </w:tabs>
        <w:spacing w:after="221"/>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- 33</w:t>
      </w:r>
    </w:p>
    <w:p w14:paraId="4F67A5DB" w14:textId="77777777" w:rsidR="00591D54" w:rsidRDefault="00591D54">
      <w:pPr>
        <w:shd w:val="clear" w:color="auto" w:fill="FFFFFF"/>
        <w:tabs>
          <w:tab w:val="left" w:pos="5952"/>
        </w:tabs>
        <w:spacing w:after="221"/>
        <w:ind w:left="5"/>
        <w:sectPr w:rsidR="00591D54">
          <w:pgSz w:w="11909" w:h="16834"/>
          <w:pgMar w:top="1356" w:right="1309" w:bottom="360" w:left="1308" w:header="720" w:footer="720" w:gutter="0"/>
          <w:cols w:space="60"/>
          <w:noEndnote/>
        </w:sectPr>
      </w:pPr>
    </w:p>
    <w:p w14:paraId="4F67A5DC" w14:textId="77777777" w:rsidR="00591D54" w:rsidRDefault="00591D54">
      <w:pPr>
        <w:shd w:val="clear" w:color="auto" w:fill="FFFFFF"/>
        <w:spacing w:line="226" w:lineRule="exact"/>
        <w:ind w:left="283"/>
        <w:jc w:val="both"/>
      </w:pPr>
      <w:r>
        <w:rPr>
          <w:spacing w:val="-6"/>
          <w:sz w:val="16"/>
          <w:szCs w:val="16"/>
          <w:lang w:val="es-ES_tradnl"/>
        </w:rPr>
        <w:t xml:space="preserve">derechos de las personas y al cumplimiento de los objetivos </w:t>
      </w:r>
      <w:r>
        <w:rPr>
          <w:spacing w:val="-7"/>
          <w:sz w:val="16"/>
          <w:szCs w:val="16"/>
          <w:lang w:val="es-ES_tradnl"/>
        </w:rPr>
        <w:t>que plantea el r</w:t>
      </w:r>
      <w:r>
        <w:rPr>
          <w:rFonts w:cs="Times New Roman"/>
          <w:spacing w:val="-7"/>
          <w:sz w:val="16"/>
          <w:szCs w:val="16"/>
          <w:lang w:val="es-ES_tradnl"/>
        </w:rPr>
        <w:t>é</w:t>
      </w:r>
      <w:r>
        <w:rPr>
          <w:spacing w:val="-7"/>
          <w:sz w:val="16"/>
          <w:szCs w:val="16"/>
          <w:lang w:val="es-ES_tradnl"/>
        </w:rPr>
        <w:t xml:space="preserve">gimen de desarrollo establecido en la propia </w:t>
      </w:r>
      <w:r>
        <w:rPr>
          <w:sz w:val="16"/>
          <w:szCs w:val="16"/>
          <w:lang w:val="es-ES_tradnl"/>
        </w:rPr>
        <w:t>Constituci</w:t>
      </w:r>
      <w:r>
        <w:rPr>
          <w:rFonts w:cs="Times New Roman"/>
          <w:sz w:val="16"/>
          <w:szCs w:val="16"/>
          <w:lang w:val="es-ES_tradnl"/>
        </w:rPr>
        <w:t>ó</w:t>
      </w:r>
      <w:r>
        <w:rPr>
          <w:sz w:val="16"/>
          <w:szCs w:val="16"/>
          <w:lang w:val="es-ES_tradnl"/>
        </w:rPr>
        <w:t>n (</w:t>
      </w:r>
      <w:r>
        <w:rPr>
          <w:rFonts w:cs="Times New Roman"/>
          <w:sz w:val="16"/>
          <w:szCs w:val="16"/>
          <w:lang w:val="es-ES_tradnl"/>
        </w:rPr>
        <w:t>…</w:t>
      </w:r>
      <w:r>
        <w:rPr>
          <w:sz w:val="16"/>
          <w:szCs w:val="16"/>
          <w:lang w:val="es-ES_tradnl"/>
        </w:rPr>
        <w:t>).</w:t>
      </w:r>
    </w:p>
    <w:p w14:paraId="4F67A5DD" w14:textId="77777777" w:rsidR="00591D54" w:rsidRDefault="00591D54">
      <w:pPr>
        <w:shd w:val="clear" w:color="auto" w:fill="FFFFFF"/>
        <w:spacing w:before="211" w:line="226" w:lineRule="exact"/>
        <w:jc w:val="both"/>
      </w:pPr>
      <w:r>
        <w:rPr>
          <w:spacing w:val="-7"/>
          <w:sz w:val="18"/>
          <w:szCs w:val="18"/>
          <w:lang w:val="es-ES_tradnl"/>
        </w:rPr>
        <w:t>En este sentido, 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 xml:space="preserve">blica establece </w:t>
      </w:r>
      <w:r>
        <w:rPr>
          <w:sz w:val="18"/>
          <w:szCs w:val="18"/>
          <w:lang w:val="es-ES_tradnl"/>
        </w:rPr>
        <w:t>en el art</w:t>
      </w:r>
      <w:r>
        <w:rPr>
          <w:rFonts w:cs="Times New Roman"/>
          <w:sz w:val="18"/>
          <w:szCs w:val="18"/>
          <w:lang w:val="es-ES_tradnl"/>
        </w:rPr>
        <w:t>í</w:t>
      </w:r>
      <w:r>
        <w:rPr>
          <w:sz w:val="18"/>
          <w:szCs w:val="18"/>
          <w:lang w:val="es-ES_tradnl"/>
        </w:rPr>
        <w:t xml:space="preserve">culo 313 a favor del Estado la reserva del </w:t>
      </w:r>
      <w:r>
        <w:rPr>
          <w:spacing w:val="-6"/>
          <w:sz w:val="18"/>
          <w:szCs w:val="18"/>
          <w:lang w:val="es-ES_tradnl"/>
        </w:rPr>
        <w:t xml:space="preserve">derecho de administrar, regular, controlar y gestionar los </w:t>
      </w:r>
      <w:r>
        <w:rPr>
          <w:spacing w:val="-4"/>
          <w:sz w:val="18"/>
          <w:szCs w:val="18"/>
          <w:lang w:val="es-ES_tradnl"/>
        </w:rPr>
        <w:t>sectores estrat</w:t>
      </w:r>
      <w:r>
        <w:rPr>
          <w:rFonts w:cs="Times New Roman"/>
          <w:spacing w:val="-4"/>
          <w:sz w:val="18"/>
          <w:szCs w:val="18"/>
          <w:lang w:val="es-ES_tradnl"/>
        </w:rPr>
        <w:t>é</w:t>
      </w:r>
      <w:r>
        <w:rPr>
          <w:spacing w:val="-4"/>
          <w:sz w:val="18"/>
          <w:szCs w:val="18"/>
          <w:lang w:val="es-ES_tradnl"/>
        </w:rPr>
        <w:t xml:space="preserve">gicos, de conformidad con los principios </w:t>
      </w:r>
      <w:r>
        <w:rPr>
          <w:spacing w:val="-1"/>
          <w:sz w:val="18"/>
          <w:szCs w:val="18"/>
          <w:lang w:val="es-ES_tradnl"/>
        </w:rPr>
        <w:t>de sostenibilidad ambiental, precauci</w:t>
      </w:r>
      <w:r>
        <w:rPr>
          <w:rFonts w:cs="Times New Roman"/>
          <w:spacing w:val="-1"/>
          <w:sz w:val="18"/>
          <w:szCs w:val="18"/>
          <w:lang w:val="es-ES_tradnl"/>
        </w:rPr>
        <w:t>ó</w:t>
      </w:r>
      <w:r>
        <w:rPr>
          <w:spacing w:val="-1"/>
          <w:sz w:val="18"/>
          <w:szCs w:val="18"/>
          <w:lang w:val="es-ES_tradnl"/>
        </w:rPr>
        <w:t>n, prevenci</w:t>
      </w:r>
      <w:r>
        <w:rPr>
          <w:rFonts w:cs="Times New Roman"/>
          <w:spacing w:val="-1"/>
          <w:sz w:val="18"/>
          <w:szCs w:val="18"/>
          <w:lang w:val="es-ES_tradnl"/>
        </w:rPr>
        <w:t>ó</w:t>
      </w:r>
      <w:r>
        <w:rPr>
          <w:spacing w:val="-1"/>
          <w:sz w:val="18"/>
          <w:szCs w:val="18"/>
          <w:lang w:val="es-ES_tradnl"/>
        </w:rPr>
        <w:t xml:space="preserve">n y </w:t>
      </w:r>
      <w:r>
        <w:rPr>
          <w:spacing w:val="-5"/>
          <w:sz w:val="18"/>
          <w:szCs w:val="18"/>
          <w:lang w:val="es-ES_tradnl"/>
        </w:rPr>
        <w:t xml:space="preserve">eficiencia, considerando textualmente como uno de los </w:t>
      </w:r>
      <w:r>
        <w:rPr>
          <w:spacing w:val="-8"/>
          <w:sz w:val="18"/>
          <w:szCs w:val="18"/>
          <w:lang w:val="es-ES_tradnl"/>
        </w:rPr>
        <w:t>sectores estrat</w:t>
      </w:r>
      <w:r>
        <w:rPr>
          <w:rFonts w:cs="Times New Roman"/>
          <w:spacing w:val="-8"/>
          <w:sz w:val="18"/>
          <w:szCs w:val="18"/>
          <w:lang w:val="es-ES_tradnl"/>
        </w:rPr>
        <w:t>é</w:t>
      </w:r>
      <w:r>
        <w:rPr>
          <w:spacing w:val="-8"/>
          <w:sz w:val="18"/>
          <w:szCs w:val="18"/>
          <w:lang w:val="es-ES_tradnl"/>
        </w:rPr>
        <w:t>gicos, a las telecomunicaciones.</w:t>
      </w:r>
    </w:p>
    <w:p w14:paraId="4F67A5DE" w14:textId="77777777" w:rsidR="00591D54" w:rsidRDefault="00591D54">
      <w:pPr>
        <w:shd w:val="clear" w:color="auto" w:fill="FFFFFF"/>
        <w:spacing w:before="206" w:line="226" w:lineRule="exact"/>
        <w:jc w:val="both"/>
      </w:pPr>
      <w:r>
        <w:rPr>
          <w:spacing w:val="-4"/>
          <w:sz w:val="18"/>
          <w:szCs w:val="18"/>
          <w:lang w:val="es-ES_tradnl"/>
        </w:rPr>
        <w:t>Hay que se</w:t>
      </w:r>
      <w:r>
        <w:rPr>
          <w:rFonts w:cs="Times New Roman"/>
          <w:spacing w:val="-4"/>
          <w:sz w:val="18"/>
          <w:szCs w:val="18"/>
          <w:lang w:val="es-ES_tradnl"/>
        </w:rPr>
        <w:t>ñ</w:t>
      </w:r>
      <w:r>
        <w:rPr>
          <w:spacing w:val="-4"/>
          <w:sz w:val="18"/>
          <w:szCs w:val="18"/>
          <w:lang w:val="es-ES_tradnl"/>
        </w:rPr>
        <w:t>alar respecto del an</w:t>
      </w:r>
      <w:r>
        <w:rPr>
          <w:rFonts w:cs="Times New Roman"/>
          <w:spacing w:val="-4"/>
          <w:sz w:val="18"/>
          <w:szCs w:val="18"/>
          <w:lang w:val="es-ES_tradnl"/>
        </w:rPr>
        <w:t>á</w:t>
      </w:r>
      <w:r>
        <w:rPr>
          <w:spacing w:val="-4"/>
          <w:sz w:val="18"/>
          <w:szCs w:val="18"/>
          <w:lang w:val="es-ES_tradnl"/>
        </w:rPr>
        <w:t xml:space="preserve">lisis que precede, que </w:t>
      </w:r>
      <w:r>
        <w:rPr>
          <w:sz w:val="18"/>
          <w:szCs w:val="18"/>
          <w:lang w:val="es-ES_tradnl"/>
        </w:rPr>
        <w:t>la Ley Especial de Telecomunicaciones, en su T</w:t>
      </w:r>
      <w:r>
        <w:rPr>
          <w:rFonts w:cs="Times New Roman"/>
          <w:sz w:val="18"/>
          <w:szCs w:val="18"/>
          <w:lang w:val="es-ES_tradnl"/>
        </w:rPr>
        <w:t>í</w:t>
      </w:r>
      <w:r>
        <w:rPr>
          <w:sz w:val="18"/>
          <w:szCs w:val="18"/>
          <w:lang w:val="es-ES_tradnl"/>
        </w:rPr>
        <w:t xml:space="preserve">tulo </w:t>
      </w:r>
      <w:r>
        <w:rPr>
          <w:spacing w:val="-3"/>
          <w:sz w:val="18"/>
          <w:szCs w:val="18"/>
          <w:lang w:val="es-ES_tradnl"/>
        </w:rPr>
        <w:t>VI, art</w:t>
      </w:r>
      <w:r>
        <w:rPr>
          <w:rFonts w:cs="Times New Roman"/>
          <w:spacing w:val="-3"/>
          <w:sz w:val="18"/>
          <w:szCs w:val="18"/>
          <w:lang w:val="es-ES_tradnl"/>
        </w:rPr>
        <w:t>í</w:t>
      </w:r>
      <w:r>
        <w:rPr>
          <w:spacing w:val="-3"/>
          <w:sz w:val="18"/>
          <w:szCs w:val="18"/>
          <w:lang w:val="es-ES_tradnl"/>
        </w:rPr>
        <w:t>culo innumerado a continuaci</w:t>
      </w:r>
      <w:r>
        <w:rPr>
          <w:rFonts w:cs="Times New Roman"/>
          <w:spacing w:val="-3"/>
          <w:sz w:val="18"/>
          <w:szCs w:val="18"/>
          <w:lang w:val="es-ES_tradnl"/>
        </w:rPr>
        <w:t>ó</w:t>
      </w:r>
      <w:r>
        <w:rPr>
          <w:spacing w:val="-3"/>
          <w:sz w:val="18"/>
          <w:szCs w:val="18"/>
          <w:lang w:val="es-ES_tradnl"/>
        </w:rPr>
        <w:t>n del art</w:t>
      </w:r>
      <w:r>
        <w:rPr>
          <w:rFonts w:cs="Times New Roman"/>
          <w:spacing w:val="-3"/>
          <w:sz w:val="18"/>
          <w:szCs w:val="18"/>
          <w:lang w:val="es-ES_tradnl"/>
        </w:rPr>
        <w:t>í</w:t>
      </w:r>
      <w:r>
        <w:rPr>
          <w:spacing w:val="-3"/>
          <w:sz w:val="18"/>
          <w:szCs w:val="18"/>
          <w:lang w:val="es-ES_tradnl"/>
        </w:rPr>
        <w:t xml:space="preserve">culo 33, </w:t>
      </w:r>
      <w:r>
        <w:rPr>
          <w:sz w:val="18"/>
          <w:szCs w:val="18"/>
          <w:lang w:val="es-ES_tradnl"/>
        </w:rPr>
        <w:t>establece:</w:t>
      </w:r>
    </w:p>
    <w:p w14:paraId="4F67A5DF" w14:textId="77777777" w:rsidR="00591D54" w:rsidRDefault="00591D54">
      <w:pPr>
        <w:shd w:val="clear" w:color="auto" w:fill="FFFFFF"/>
        <w:spacing w:before="202" w:line="226" w:lineRule="exact"/>
        <w:ind w:left="283" w:right="5"/>
        <w:jc w:val="both"/>
      </w:pPr>
      <w:r>
        <w:rPr>
          <w:spacing w:val="-2"/>
          <w:sz w:val="16"/>
          <w:szCs w:val="16"/>
          <w:lang w:val="es-ES_tradnl"/>
        </w:rPr>
        <w:t>Cr</w:t>
      </w:r>
      <w:r>
        <w:rPr>
          <w:rFonts w:cs="Times New Roman"/>
          <w:spacing w:val="-2"/>
          <w:sz w:val="16"/>
          <w:szCs w:val="16"/>
          <w:lang w:val="es-ES_tradnl"/>
        </w:rPr>
        <w:t>é</w:t>
      </w:r>
      <w:r>
        <w:rPr>
          <w:spacing w:val="-2"/>
          <w:sz w:val="16"/>
          <w:szCs w:val="16"/>
          <w:lang w:val="es-ES_tradnl"/>
        </w:rPr>
        <w:t xml:space="preserve">ase el Consejo Nacional de Telecomunicaciones </w:t>
      </w:r>
      <w:r>
        <w:rPr>
          <w:spacing w:val="-3"/>
          <w:sz w:val="16"/>
          <w:szCs w:val="16"/>
          <w:lang w:val="es-ES_tradnl"/>
        </w:rPr>
        <w:t>(CONATEL) como ente de administraci</w:t>
      </w:r>
      <w:r>
        <w:rPr>
          <w:rFonts w:cs="Times New Roman"/>
          <w:spacing w:val="-3"/>
          <w:sz w:val="16"/>
          <w:szCs w:val="16"/>
          <w:lang w:val="es-ES_tradnl"/>
        </w:rPr>
        <w:t>ó</w:t>
      </w:r>
      <w:r>
        <w:rPr>
          <w:spacing w:val="-3"/>
          <w:sz w:val="16"/>
          <w:szCs w:val="16"/>
          <w:lang w:val="es-ES_tradnl"/>
        </w:rPr>
        <w:t>n y regulaci</w:t>
      </w:r>
      <w:r>
        <w:rPr>
          <w:rFonts w:cs="Times New Roman"/>
          <w:spacing w:val="-3"/>
          <w:sz w:val="16"/>
          <w:szCs w:val="16"/>
          <w:lang w:val="es-ES_tradnl"/>
        </w:rPr>
        <w:t>ó</w:t>
      </w:r>
      <w:r>
        <w:rPr>
          <w:spacing w:val="-3"/>
          <w:sz w:val="16"/>
          <w:szCs w:val="16"/>
          <w:lang w:val="es-ES_tradnl"/>
        </w:rPr>
        <w:t xml:space="preserve">n de </w:t>
      </w:r>
      <w:r>
        <w:rPr>
          <w:spacing w:val="-6"/>
          <w:sz w:val="16"/>
          <w:szCs w:val="16"/>
          <w:lang w:val="es-ES_tradnl"/>
        </w:rPr>
        <w:t>las telecomunicaciones en el pa</w:t>
      </w:r>
      <w:r>
        <w:rPr>
          <w:rFonts w:cs="Times New Roman"/>
          <w:spacing w:val="-6"/>
          <w:sz w:val="16"/>
          <w:szCs w:val="16"/>
          <w:lang w:val="es-ES_tradnl"/>
        </w:rPr>
        <w:t>í</w:t>
      </w:r>
      <w:r>
        <w:rPr>
          <w:spacing w:val="-6"/>
          <w:sz w:val="16"/>
          <w:szCs w:val="16"/>
          <w:lang w:val="es-ES_tradnl"/>
        </w:rPr>
        <w:t xml:space="preserve">s, con domicilio en la ciudad </w:t>
      </w:r>
      <w:r>
        <w:rPr>
          <w:spacing w:val="-1"/>
          <w:sz w:val="16"/>
          <w:szCs w:val="16"/>
          <w:lang w:val="es-ES_tradnl"/>
        </w:rPr>
        <w:t>de Quito. El Consejo Nacional de Telecomunicaciones tendr</w:t>
      </w:r>
      <w:r>
        <w:rPr>
          <w:rFonts w:cs="Times New Roman"/>
          <w:spacing w:val="-1"/>
          <w:sz w:val="16"/>
          <w:szCs w:val="16"/>
          <w:lang w:val="es-ES_tradnl"/>
        </w:rPr>
        <w:t>á</w:t>
      </w:r>
      <w:r>
        <w:rPr>
          <w:spacing w:val="-1"/>
          <w:sz w:val="16"/>
          <w:szCs w:val="16"/>
          <w:lang w:val="es-ES_tradnl"/>
        </w:rPr>
        <w:t xml:space="preserve"> la representaci</w:t>
      </w:r>
      <w:r>
        <w:rPr>
          <w:rFonts w:cs="Times New Roman"/>
          <w:spacing w:val="-1"/>
          <w:sz w:val="16"/>
          <w:szCs w:val="16"/>
          <w:lang w:val="es-ES_tradnl"/>
        </w:rPr>
        <w:t>ó</w:t>
      </w:r>
      <w:r>
        <w:rPr>
          <w:spacing w:val="-1"/>
          <w:sz w:val="16"/>
          <w:szCs w:val="16"/>
          <w:lang w:val="es-ES_tradnl"/>
        </w:rPr>
        <w:t xml:space="preserve">n del Estado para ejercer, a su </w:t>
      </w:r>
      <w:r>
        <w:rPr>
          <w:spacing w:val="-6"/>
          <w:sz w:val="16"/>
          <w:szCs w:val="16"/>
          <w:lang w:val="es-ES_tradnl"/>
        </w:rPr>
        <w:t>nombre, las funciones de administraci</w:t>
      </w:r>
      <w:r>
        <w:rPr>
          <w:rFonts w:cs="Times New Roman"/>
          <w:spacing w:val="-6"/>
          <w:sz w:val="16"/>
          <w:szCs w:val="16"/>
          <w:lang w:val="es-ES_tradnl"/>
        </w:rPr>
        <w:t>ó</w:t>
      </w:r>
      <w:r>
        <w:rPr>
          <w:spacing w:val="-6"/>
          <w:sz w:val="16"/>
          <w:szCs w:val="16"/>
          <w:lang w:val="es-ES_tradnl"/>
        </w:rPr>
        <w:t>n y regulaci</w:t>
      </w:r>
      <w:r>
        <w:rPr>
          <w:rFonts w:cs="Times New Roman"/>
          <w:spacing w:val="-6"/>
          <w:sz w:val="16"/>
          <w:szCs w:val="16"/>
          <w:lang w:val="es-ES_tradnl"/>
        </w:rPr>
        <w:t>ó</w:t>
      </w:r>
      <w:r>
        <w:rPr>
          <w:spacing w:val="-6"/>
          <w:sz w:val="16"/>
          <w:szCs w:val="16"/>
          <w:lang w:val="es-ES_tradnl"/>
        </w:rPr>
        <w:t xml:space="preserve">n de los </w:t>
      </w:r>
      <w:r>
        <w:rPr>
          <w:spacing w:val="-5"/>
          <w:sz w:val="16"/>
          <w:szCs w:val="16"/>
          <w:lang w:val="es-ES_tradnl"/>
        </w:rPr>
        <w:t>servicios de telecomunicaciones, y es la Administraci</w:t>
      </w:r>
      <w:r>
        <w:rPr>
          <w:rFonts w:cs="Times New Roman"/>
          <w:spacing w:val="-5"/>
          <w:sz w:val="16"/>
          <w:szCs w:val="16"/>
          <w:lang w:val="es-ES_tradnl"/>
        </w:rPr>
        <w:t>ó</w:t>
      </w:r>
      <w:r>
        <w:rPr>
          <w:spacing w:val="-5"/>
          <w:sz w:val="16"/>
          <w:szCs w:val="16"/>
          <w:lang w:val="es-ES_tradnl"/>
        </w:rPr>
        <w:t xml:space="preserve">n de </w:t>
      </w:r>
      <w:r>
        <w:rPr>
          <w:spacing w:val="-6"/>
          <w:sz w:val="16"/>
          <w:szCs w:val="16"/>
          <w:lang w:val="es-ES_tradnl"/>
        </w:rPr>
        <w:t>Telecomunicaciones del Ecuador ante la Uni</w:t>
      </w:r>
      <w:r>
        <w:rPr>
          <w:rFonts w:cs="Times New Roman"/>
          <w:spacing w:val="-6"/>
          <w:sz w:val="16"/>
          <w:szCs w:val="16"/>
          <w:lang w:val="es-ES_tradnl"/>
        </w:rPr>
        <w:t>ó</w:t>
      </w:r>
      <w:r>
        <w:rPr>
          <w:spacing w:val="-6"/>
          <w:sz w:val="16"/>
          <w:szCs w:val="16"/>
          <w:lang w:val="es-ES_tradnl"/>
        </w:rPr>
        <w:t xml:space="preserve">n Internacional </w:t>
      </w:r>
      <w:r>
        <w:rPr>
          <w:sz w:val="16"/>
          <w:szCs w:val="16"/>
          <w:lang w:val="es-ES_tradnl"/>
        </w:rPr>
        <w:t>de Telecomunicaciones (</w:t>
      </w:r>
      <w:r>
        <w:rPr>
          <w:rFonts w:cs="Times New Roman"/>
          <w:sz w:val="16"/>
          <w:szCs w:val="16"/>
          <w:lang w:val="es-ES_tradnl"/>
        </w:rPr>
        <w:t>…</w:t>
      </w:r>
      <w:r>
        <w:rPr>
          <w:sz w:val="16"/>
          <w:szCs w:val="16"/>
          <w:lang w:val="es-ES_tradnl"/>
        </w:rPr>
        <w:t>).</w:t>
      </w:r>
    </w:p>
    <w:p w14:paraId="4F67A5E0" w14:textId="77777777" w:rsidR="00591D54" w:rsidRDefault="00591D54">
      <w:pPr>
        <w:shd w:val="clear" w:color="auto" w:fill="FFFFFF"/>
        <w:spacing w:before="211" w:line="216" w:lineRule="exact"/>
        <w:jc w:val="both"/>
      </w:pPr>
      <w:r>
        <w:rPr>
          <w:spacing w:val="-5"/>
          <w:sz w:val="18"/>
          <w:szCs w:val="18"/>
          <w:lang w:val="es-ES_tradnl"/>
        </w:rPr>
        <w:t xml:space="preserve">Respecto de lo cual, la Corte Constitucional mediante la </w:t>
      </w:r>
      <w:r>
        <w:rPr>
          <w:spacing w:val="-7"/>
          <w:sz w:val="18"/>
          <w:szCs w:val="18"/>
          <w:lang w:val="es-ES_tradnl"/>
        </w:rPr>
        <w:t>sentencia N.</w:t>
      </w:r>
      <w:r>
        <w:rPr>
          <w:rFonts w:cs="Times New Roman"/>
          <w:spacing w:val="-7"/>
          <w:sz w:val="18"/>
          <w:szCs w:val="18"/>
          <w:lang w:val="es-ES_tradnl"/>
        </w:rPr>
        <w:t>º</w:t>
      </w:r>
      <w:r>
        <w:rPr>
          <w:spacing w:val="-7"/>
          <w:sz w:val="18"/>
          <w:szCs w:val="18"/>
          <w:lang w:val="es-ES_tradnl"/>
        </w:rPr>
        <w:t xml:space="preserve"> 008-15-SIN-CC</w:t>
      </w:r>
      <w:r>
        <w:rPr>
          <w:spacing w:val="-7"/>
          <w:sz w:val="18"/>
          <w:szCs w:val="18"/>
          <w:vertAlign w:val="superscript"/>
          <w:lang w:val="es-ES_tradnl"/>
        </w:rPr>
        <w:t>7</w:t>
      </w:r>
      <w:r>
        <w:rPr>
          <w:spacing w:val="-7"/>
          <w:sz w:val="18"/>
          <w:szCs w:val="18"/>
          <w:lang w:val="es-ES_tradnl"/>
        </w:rPr>
        <w:t>, estableci</w:t>
      </w:r>
      <w:r>
        <w:rPr>
          <w:rFonts w:cs="Times New Roman"/>
          <w:spacing w:val="-7"/>
          <w:sz w:val="18"/>
          <w:szCs w:val="18"/>
          <w:lang w:val="es-ES_tradnl"/>
        </w:rPr>
        <w:t>ó</w:t>
      </w:r>
      <w:r>
        <w:rPr>
          <w:spacing w:val="-7"/>
          <w:sz w:val="18"/>
          <w:szCs w:val="18"/>
          <w:lang w:val="es-ES_tradnl"/>
        </w:rPr>
        <w:t xml:space="preserve"> que:</w:t>
      </w:r>
    </w:p>
    <w:p w14:paraId="4F67A5E1" w14:textId="77777777" w:rsidR="00591D54" w:rsidRDefault="00591D54">
      <w:pPr>
        <w:shd w:val="clear" w:color="auto" w:fill="FFFFFF"/>
        <w:spacing w:before="206" w:line="226" w:lineRule="exact"/>
        <w:ind w:left="283" w:right="5"/>
        <w:jc w:val="both"/>
      </w:pPr>
      <w:r>
        <w:rPr>
          <w:spacing w:val="-9"/>
          <w:sz w:val="16"/>
          <w:szCs w:val="16"/>
          <w:lang w:val="es-ES_tradnl"/>
        </w:rPr>
        <w:t>Por lo cual, se evidencia que la administraci</w:t>
      </w:r>
      <w:r>
        <w:rPr>
          <w:rFonts w:cs="Times New Roman"/>
          <w:spacing w:val="-9"/>
          <w:sz w:val="16"/>
          <w:szCs w:val="16"/>
          <w:lang w:val="es-ES_tradnl"/>
        </w:rPr>
        <w:t>ó</w:t>
      </w:r>
      <w:r>
        <w:rPr>
          <w:spacing w:val="-9"/>
          <w:sz w:val="16"/>
          <w:szCs w:val="16"/>
          <w:lang w:val="es-ES_tradnl"/>
        </w:rPr>
        <w:t xml:space="preserve">n estatal exclusiva </w:t>
      </w:r>
      <w:r>
        <w:rPr>
          <w:spacing w:val="-7"/>
          <w:sz w:val="16"/>
          <w:szCs w:val="16"/>
          <w:lang w:val="es-ES_tradnl"/>
        </w:rPr>
        <w:t>de las telecomunicaciones es desarrollada a trav</w:t>
      </w:r>
      <w:r>
        <w:rPr>
          <w:rFonts w:cs="Times New Roman"/>
          <w:spacing w:val="-7"/>
          <w:sz w:val="16"/>
          <w:szCs w:val="16"/>
          <w:lang w:val="es-ES_tradnl"/>
        </w:rPr>
        <w:t>é</w:t>
      </w:r>
      <w:r>
        <w:rPr>
          <w:spacing w:val="-7"/>
          <w:sz w:val="16"/>
          <w:szCs w:val="16"/>
          <w:lang w:val="es-ES_tradnl"/>
        </w:rPr>
        <w:t xml:space="preserve">s de dicho </w:t>
      </w:r>
      <w:r>
        <w:rPr>
          <w:sz w:val="16"/>
          <w:szCs w:val="16"/>
          <w:lang w:val="es-ES_tradnl"/>
        </w:rPr>
        <w:t>organismo.</w:t>
      </w:r>
    </w:p>
    <w:p w14:paraId="4F67A5E2" w14:textId="77777777" w:rsidR="00591D54" w:rsidRDefault="00591D54">
      <w:pPr>
        <w:shd w:val="clear" w:color="auto" w:fill="FFFFFF"/>
        <w:spacing w:before="216" w:line="221" w:lineRule="exact"/>
        <w:ind w:left="283" w:right="5"/>
        <w:jc w:val="both"/>
      </w:pPr>
      <w:r>
        <w:rPr>
          <w:spacing w:val="-6"/>
          <w:sz w:val="16"/>
          <w:szCs w:val="16"/>
          <w:lang w:val="es-ES_tradnl"/>
        </w:rPr>
        <w:t xml:space="preserve">Por tal motivo, es necesario establecer adicionalmente que </w:t>
      </w:r>
      <w:r>
        <w:rPr>
          <w:spacing w:val="-2"/>
          <w:sz w:val="16"/>
          <w:szCs w:val="16"/>
          <w:lang w:val="es-ES_tradnl"/>
        </w:rPr>
        <w:t>dentro de las competencias del CONATEL, se</w:t>
      </w:r>
      <w:r>
        <w:rPr>
          <w:rFonts w:cs="Times New Roman"/>
          <w:spacing w:val="-2"/>
          <w:sz w:val="16"/>
          <w:szCs w:val="16"/>
          <w:lang w:val="es-ES_tradnl"/>
        </w:rPr>
        <w:t>ñ</w:t>
      </w:r>
      <w:r>
        <w:rPr>
          <w:spacing w:val="-2"/>
          <w:sz w:val="16"/>
          <w:szCs w:val="16"/>
          <w:lang w:val="es-ES_tradnl"/>
        </w:rPr>
        <w:t>aladas en el Cap</w:t>
      </w:r>
      <w:r>
        <w:rPr>
          <w:rFonts w:cs="Times New Roman"/>
          <w:spacing w:val="-2"/>
          <w:sz w:val="16"/>
          <w:szCs w:val="16"/>
          <w:lang w:val="es-ES_tradnl"/>
        </w:rPr>
        <w:t>í</w:t>
      </w:r>
      <w:r>
        <w:rPr>
          <w:spacing w:val="-2"/>
          <w:sz w:val="16"/>
          <w:szCs w:val="16"/>
          <w:lang w:val="es-ES_tradnl"/>
        </w:rPr>
        <w:t xml:space="preserve">tulo VI de la Ley Especial de Telecomunicaciones, </w:t>
      </w:r>
      <w:r>
        <w:rPr>
          <w:spacing w:val="-7"/>
          <w:sz w:val="16"/>
          <w:szCs w:val="16"/>
          <w:lang w:val="es-ES_tradnl"/>
        </w:rPr>
        <w:t xml:space="preserve">se encuentra el aprobar el plan de frecuencias y de uso del </w:t>
      </w:r>
      <w:r>
        <w:rPr>
          <w:spacing w:val="-3"/>
          <w:sz w:val="16"/>
          <w:szCs w:val="16"/>
          <w:lang w:val="es-ES_tradnl"/>
        </w:rPr>
        <w:t>espectro radioel</w:t>
      </w:r>
      <w:r>
        <w:rPr>
          <w:rFonts w:cs="Times New Roman"/>
          <w:spacing w:val="-3"/>
          <w:sz w:val="16"/>
          <w:szCs w:val="16"/>
          <w:lang w:val="es-ES_tradnl"/>
        </w:rPr>
        <w:t>é</w:t>
      </w:r>
      <w:r>
        <w:rPr>
          <w:spacing w:val="-3"/>
          <w:sz w:val="16"/>
          <w:szCs w:val="16"/>
          <w:lang w:val="es-ES_tradnl"/>
        </w:rPr>
        <w:t>ctrico, as</w:t>
      </w:r>
      <w:r>
        <w:rPr>
          <w:rFonts w:cs="Times New Roman"/>
          <w:spacing w:val="-3"/>
          <w:sz w:val="16"/>
          <w:szCs w:val="16"/>
          <w:lang w:val="es-ES_tradnl"/>
        </w:rPr>
        <w:t>í</w:t>
      </w:r>
      <w:r>
        <w:rPr>
          <w:spacing w:val="-3"/>
          <w:sz w:val="16"/>
          <w:szCs w:val="16"/>
          <w:lang w:val="es-ES_tradnl"/>
        </w:rPr>
        <w:t xml:space="preserve"> como el establecimiento de </w:t>
      </w:r>
      <w:r>
        <w:rPr>
          <w:spacing w:val="-5"/>
          <w:sz w:val="16"/>
          <w:szCs w:val="16"/>
          <w:lang w:val="es-ES_tradnl"/>
        </w:rPr>
        <w:t>t</w:t>
      </w:r>
      <w:r>
        <w:rPr>
          <w:rFonts w:cs="Times New Roman"/>
          <w:spacing w:val="-5"/>
          <w:sz w:val="16"/>
          <w:szCs w:val="16"/>
          <w:lang w:val="es-ES_tradnl"/>
        </w:rPr>
        <w:t>é</w:t>
      </w:r>
      <w:r>
        <w:rPr>
          <w:spacing w:val="-5"/>
          <w:sz w:val="16"/>
          <w:szCs w:val="16"/>
          <w:lang w:val="es-ES_tradnl"/>
        </w:rPr>
        <w:t xml:space="preserve">rminos, condiciones y plazos para otorgar las concesiones </w:t>
      </w:r>
      <w:r>
        <w:rPr>
          <w:spacing w:val="-1"/>
          <w:sz w:val="16"/>
          <w:szCs w:val="16"/>
          <w:lang w:val="es-ES_tradnl"/>
        </w:rPr>
        <w:t>y autorizaciones del uso de frecuencias y la autorizaci</w:t>
      </w:r>
      <w:r>
        <w:rPr>
          <w:rFonts w:cs="Times New Roman"/>
          <w:spacing w:val="-1"/>
          <w:sz w:val="16"/>
          <w:szCs w:val="16"/>
          <w:lang w:val="es-ES_tradnl"/>
        </w:rPr>
        <w:t>ó</w:t>
      </w:r>
      <w:r>
        <w:rPr>
          <w:spacing w:val="-1"/>
          <w:sz w:val="16"/>
          <w:szCs w:val="16"/>
          <w:lang w:val="es-ES_tradnl"/>
        </w:rPr>
        <w:t xml:space="preserve">n </w:t>
      </w:r>
      <w:r>
        <w:rPr>
          <w:spacing w:val="-5"/>
          <w:sz w:val="16"/>
          <w:szCs w:val="16"/>
          <w:lang w:val="es-ES_tradnl"/>
        </w:rPr>
        <w:t>de la explotaci</w:t>
      </w:r>
      <w:r>
        <w:rPr>
          <w:rFonts w:cs="Times New Roman"/>
          <w:spacing w:val="-5"/>
          <w:sz w:val="16"/>
          <w:szCs w:val="16"/>
          <w:lang w:val="es-ES_tradnl"/>
        </w:rPr>
        <w:t>ó</w:t>
      </w:r>
      <w:r>
        <w:rPr>
          <w:spacing w:val="-5"/>
          <w:sz w:val="16"/>
          <w:szCs w:val="16"/>
          <w:lang w:val="es-ES_tradnl"/>
        </w:rPr>
        <w:t xml:space="preserve">n de los servicios finales y portadores de </w:t>
      </w:r>
      <w:r>
        <w:rPr>
          <w:sz w:val="16"/>
          <w:szCs w:val="16"/>
          <w:lang w:val="es-ES_tradnl"/>
        </w:rPr>
        <w:t>telecomunicaciones</w:t>
      </w:r>
      <w:r>
        <w:rPr>
          <w:sz w:val="16"/>
          <w:szCs w:val="16"/>
          <w:vertAlign w:val="superscript"/>
          <w:lang w:val="es-ES_tradnl"/>
        </w:rPr>
        <w:t>8</w:t>
      </w:r>
      <w:r>
        <w:rPr>
          <w:sz w:val="16"/>
          <w:szCs w:val="16"/>
          <w:lang w:val="es-ES_tradnl"/>
        </w:rPr>
        <w:t>.</w:t>
      </w:r>
    </w:p>
    <w:p w14:paraId="4F67A5E3" w14:textId="77777777" w:rsidR="00591D54" w:rsidRDefault="00591D54">
      <w:pPr>
        <w:shd w:val="clear" w:color="auto" w:fill="FFFFFF"/>
        <w:spacing w:before="211" w:line="226" w:lineRule="exact"/>
        <w:jc w:val="both"/>
      </w:pPr>
      <w:r>
        <w:rPr>
          <w:spacing w:val="-4"/>
          <w:sz w:val="18"/>
          <w:szCs w:val="18"/>
          <w:lang w:val="es-ES_tradnl"/>
        </w:rPr>
        <w:t xml:space="preserve">Asimismo, el Reglamento a la Ley Especial de </w:t>
      </w:r>
      <w:r>
        <w:rPr>
          <w:spacing w:val="-8"/>
          <w:sz w:val="18"/>
          <w:szCs w:val="18"/>
          <w:lang w:val="es-ES_tradnl"/>
        </w:rPr>
        <w:t>Telecomunicaciones, en su art</w:t>
      </w:r>
      <w:r>
        <w:rPr>
          <w:rFonts w:cs="Times New Roman"/>
          <w:spacing w:val="-8"/>
          <w:sz w:val="18"/>
          <w:szCs w:val="18"/>
          <w:lang w:val="es-ES_tradnl"/>
        </w:rPr>
        <w:t>í</w:t>
      </w:r>
      <w:r>
        <w:rPr>
          <w:spacing w:val="-8"/>
          <w:sz w:val="18"/>
          <w:szCs w:val="18"/>
          <w:lang w:val="es-ES_tradnl"/>
        </w:rPr>
        <w:t xml:space="preserve">culo 1 dispone: </w:t>
      </w:r>
      <w:r>
        <w:rPr>
          <w:rFonts w:cs="Times New Roman"/>
          <w:spacing w:val="-8"/>
          <w:sz w:val="18"/>
          <w:szCs w:val="18"/>
          <w:lang w:val="es-ES_tradnl"/>
        </w:rPr>
        <w:t>“</w:t>
      </w:r>
      <w:r>
        <w:rPr>
          <w:spacing w:val="-8"/>
          <w:sz w:val="18"/>
          <w:szCs w:val="18"/>
          <w:lang w:val="es-ES_tradnl"/>
        </w:rPr>
        <w:t xml:space="preserve">El presente </w:t>
      </w:r>
      <w:r>
        <w:rPr>
          <w:spacing w:val="-6"/>
          <w:sz w:val="18"/>
          <w:szCs w:val="18"/>
          <w:lang w:val="es-ES_tradnl"/>
        </w:rPr>
        <w:t xml:space="preserve">reglamento tiene como finalidad establecer las normas y procedimientos generales aplicables a las funciones de </w:t>
      </w:r>
      <w:r>
        <w:rPr>
          <w:spacing w:val="-7"/>
          <w:sz w:val="18"/>
          <w:szCs w:val="18"/>
          <w:lang w:val="es-ES_tradnl"/>
        </w:rPr>
        <w:t>planificaci</w:t>
      </w:r>
      <w:r>
        <w:rPr>
          <w:rFonts w:cs="Times New Roman"/>
          <w:spacing w:val="-7"/>
          <w:sz w:val="18"/>
          <w:szCs w:val="18"/>
          <w:lang w:val="es-ES_tradnl"/>
        </w:rPr>
        <w:t>ó</w:t>
      </w:r>
      <w:r>
        <w:rPr>
          <w:spacing w:val="-7"/>
          <w:sz w:val="18"/>
          <w:szCs w:val="18"/>
          <w:lang w:val="es-ES_tradnl"/>
        </w:rPr>
        <w:t>n, regulaci</w:t>
      </w:r>
      <w:r>
        <w:rPr>
          <w:rFonts w:cs="Times New Roman"/>
          <w:spacing w:val="-7"/>
          <w:sz w:val="18"/>
          <w:szCs w:val="18"/>
          <w:lang w:val="es-ES_tradnl"/>
        </w:rPr>
        <w:t>ó</w:t>
      </w:r>
      <w:r>
        <w:rPr>
          <w:spacing w:val="-7"/>
          <w:sz w:val="18"/>
          <w:szCs w:val="18"/>
          <w:lang w:val="es-ES_tradnl"/>
        </w:rPr>
        <w:t>n, gesti</w:t>
      </w:r>
      <w:r>
        <w:rPr>
          <w:rFonts w:cs="Times New Roman"/>
          <w:spacing w:val="-7"/>
          <w:sz w:val="18"/>
          <w:szCs w:val="18"/>
          <w:lang w:val="es-ES_tradnl"/>
        </w:rPr>
        <w:t>ó</w:t>
      </w:r>
      <w:r>
        <w:rPr>
          <w:spacing w:val="-7"/>
          <w:sz w:val="18"/>
          <w:szCs w:val="18"/>
          <w:lang w:val="es-ES_tradnl"/>
        </w:rPr>
        <w:t>n y control de la prestaci</w:t>
      </w:r>
      <w:r>
        <w:rPr>
          <w:rFonts w:cs="Times New Roman"/>
          <w:spacing w:val="-7"/>
          <w:sz w:val="18"/>
          <w:szCs w:val="18"/>
          <w:lang w:val="es-ES_tradnl"/>
        </w:rPr>
        <w:t>ó</w:t>
      </w:r>
      <w:r>
        <w:rPr>
          <w:spacing w:val="-7"/>
          <w:sz w:val="18"/>
          <w:szCs w:val="18"/>
          <w:lang w:val="es-ES_tradnl"/>
        </w:rPr>
        <w:t xml:space="preserve">n </w:t>
      </w:r>
      <w:r>
        <w:rPr>
          <w:spacing w:val="-3"/>
          <w:sz w:val="18"/>
          <w:szCs w:val="18"/>
          <w:lang w:val="es-ES_tradnl"/>
        </w:rPr>
        <w:t>de servicios de telecomunicaciones y la operaci</w:t>
      </w:r>
      <w:r>
        <w:rPr>
          <w:rFonts w:cs="Times New Roman"/>
          <w:spacing w:val="-3"/>
          <w:sz w:val="18"/>
          <w:szCs w:val="18"/>
          <w:lang w:val="es-ES_tradnl"/>
        </w:rPr>
        <w:t>ó</w:t>
      </w:r>
      <w:r>
        <w:rPr>
          <w:spacing w:val="-3"/>
          <w:sz w:val="18"/>
          <w:szCs w:val="18"/>
          <w:lang w:val="es-ES_tradnl"/>
        </w:rPr>
        <w:t xml:space="preserve">n, </w:t>
      </w:r>
      <w:r>
        <w:rPr>
          <w:spacing w:val="-4"/>
          <w:sz w:val="18"/>
          <w:szCs w:val="18"/>
          <w:lang w:val="es-ES_tradnl"/>
        </w:rPr>
        <w:t>instalaci</w:t>
      </w:r>
      <w:r>
        <w:rPr>
          <w:rFonts w:cs="Times New Roman"/>
          <w:spacing w:val="-4"/>
          <w:sz w:val="18"/>
          <w:szCs w:val="18"/>
          <w:lang w:val="es-ES_tradnl"/>
        </w:rPr>
        <w:t>ó</w:t>
      </w:r>
      <w:r>
        <w:rPr>
          <w:spacing w:val="-4"/>
          <w:sz w:val="18"/>
          <w:szCs w:val="18"/>
          <w:lang w:val="es-ES_tradnl"/>
        </w:rPr>
        <w:t>n y explotaci</w:t>
      </w:r>
      <w:r>
        <w:rPr>
          <w:rFonts w:cs="Times New Roman"/>
          <w:spacing w:val="-4"/>
          <w:sz w:val="18"/>
          <w:szCs w:val="18"/>
          <w:lang w:val="es-ES_tradnl"/>
        </w:rPr>
        <w:t>ó</w:t>
      </w:r>
      <w:r>
        <w:rPr>
          <w:spacing w:val="-4"/>
          <w:sz w:val="18"/>
          <w:szCs w:val="18"/>
          <w:lang w:val="es-ES_tradnl"/>
        </w:rPr>
        <w:t>n de toda transmisi</w:t>
      </w:r>
      <w:r>
        <w:rPr>
          <w:rFonts w:cs="Times New Roman"/>
          <w:spacing w:val="-4"/>
          <w:sz w:val="18"/>
          <w:szCs w:val="18"/>
          <w:lang w:val="es-ES_tradnl"/>
        </w:rPr>
        <w:t>ó</w:t>
      </w:r>
      <w:r>
        <w:rPr>
          <w:spacing w:val="-4"/>
          <w:sz w:val="18"/>
          <w:szCs w:val="18"/>
          <w:lang w:val="es-ES_tradnl"/>
        </w:rPr>
        <w:t>n, emisi</w:t>
      </w:r>
      <w:r>
        <w:rPr>
          <w:rFonts w:cs="Times New Roman"/>
          <w:spacing w:val="-4"/>
          <w:sz w:val="18"/>
          <w:szCs w:val="18"/>
          <w:lang w:val="es-ES_tradnl"/>
        </w:rPr>
        <w:t>ó</w:t>
      </w:r>
      <w:r>
        <w:rPr>
          <w:spacing w:val="-4"/>
          <w:sz w:val="18"/>
          <w:szCs w:val="18"/>
          <w:lang w:val="es-ES_tradnl"/>
        </w:rPr>
        <w:t xml:space="preserve">n o </w:t>
      </w:r>
      <w:r>
        <w:rPr>
          <w:spacing w:val="-7"/>
          <w:sz w:val="18"/>
          <w:szCs w:val="18"/>
          <w:lang w:val="es-ES_tradnl"/>
        </w:rPr>
        <w:t>recepci</w:t>
      </w:r>
      <w:r>
        <w:rPr>
          <w:rFonts w:cs="Times New Roman"/>
          <w:spacing w:val="-7"/>
          <w:sz w:val="18"/>
          <w:szCs w:val="18"/>
          <w:lang w:val="es-ES_tradnl"/>
        </w:rPr>
        <w:t>ó</w:t>
      </w:r>
      <w:r>
        <w:rPr>
          <w:spacing w:val="-7"/>
          <w:sz w:val="18"/>
          <w:szCs w:val="18"/>
          <w:lang w:val="es-ES_tradnl"/>
        </w:rPr>
        <w:t>n de signos, se</w:t>
      </w:r>
      <w:r>
        <w:rPr>
          <w:rFonts w:cs="Times New Roman"/>
          <w:spacing w:val="-7"/>
          <w:sz w:val="18"/>
          <w:szCs w:val="18"/>
          <w:lang w:val="es-ES_tradnl"/>
        </w:rPr>
        <w:t>ñ</w:t>
      </w:r>
      <w:r>
        <w:rPr>
          <w:spacing w:val="-7"/>
          <w:sz w:val="18"/>
          <w:szCs w:val="18"/>
          <w:lang w:val="es-ES_tradnl"/>
        </w:rPr>
        <w:t>ales, im</w:t>
      </w:r>
      <w:r>
        <w:rPr>
          <w:rFonts w:cs="Times New Roman"/>
          <w:spacing w:val="-7"/>
          <w:sz w:val="18"/>
          <w:szCs w:val="18"/>
          <w:lang w:val="es-ES_tradnl"/>
        </w:rPr>
        <w:t>á</w:t>
      </w:r>
      <w:r>
        <w:rPr>
          <w:spacing w:val="-7"/>
          <w:sz w:val="18"/>
          <w:szCs w:val="18"/>
          <w:lang w:val="es-ES_tradnl"/>
        </w:rPr>
        <w:t xml:space="preserve">genes, datos y sonidos </w:t>
      </w:r>
      <w:r>
        <w:rPr>
          <w:spacing w:val="-5"/>
          <w:sz w:val="18"/>
          <w:szCs w:val="18"/>
          <w:lang w:val="es-ES_tradnl"/>
        </w:rPr>
        <w:t>por cualquier medio; y el uso del espectro radioel</w:t>
      </w:r>
      <w:r>
        <w:rPr>
          <w:rFonts w:cs="Times New Roman"/>
          <w:spacing w:val="-5"/>
          <w:sz w:val="18"/>
          <w:szCs w:val="18"/>
          <w:lang w:val="es-ES_tradnl"/>
        </w:rPr>
        <w:t>é</w:t>
      </w:r>
      <w:r>
        <w:rPr>
          <w:spacing w:val="-5"/>
          <w:sz w:val="18"/>
          <w:szCs w:val="18"/>
          <w:lang w:val="es-ES_tradnl"/>
        </w:rPr>
        <w:t>ctrico</w:t>
      </w:r>
      <w:r>
        <w:rPr>
          <w:rFonts w:cs="Times New Roman"/>
          <w:spacing w:val="-5"/>
          <w:sz w:val="18"/>
          <w:szCs w:val="18"/>
          <w:lang w:val="es-ES_tradnl"/>
        </w:rPr>
        <w:t>”</w:t>
      </w:r>
      <w:r>
        <w:rPr>
          <w:spacing w:val="-5"/>
          <w:sz w:val="18"/>
          <w:szCs w:val="18"/>
          <w:lang w:val="es-ES_tradnl"/>
        </w:rPr>
        <w:t>,</w:t>
      </w:r>
    </w:p>
    <w:p w14:paraId="4F67A5E4" w14:textId="77777777" w:rsidR="00591D54" w:rsidRDefault="00591D54">
      <w:pPr>
        <w:shd w:val="clear" w:color="auto" w:fill="FFFFFF"/>
        <w:tabs>
          <w:tab w:val="left" w:pos="139"/>
        </w:tabs>
        <w:spacing w:before="394" w:line="182" w:lineRule="exact"/>
        <w:ind w:left="139" w:right="5" w:hanging="139"/>
        <w:jc w:val="both"/>
      </w:pPr>
      <w:r>
        <w:rPr>
          <w:sz w:val="10"/>
          <w:szCs w:val="10"/>
          <w:vertAlign w:val="superscript"/>
          <w:lang w:val="es-ES_tradnl"/>
        </w:rPr>
        <w:t>7</w:t>
      </w:r>
      <w:r>
        <w:rPr>
          <w:sz w:val="18"/>
          <w:szCs w:val="18"/>
          <w:lang w:val="es-ES_tradnl"/>
        </w:rPr>
        <w:tab/>
      </w:r>
      <w:r>
        <w:rPr>
          <w:spacing w:val="-11"/>
          <w:sz w:val="16"/>
          <w:szCs w:val="16"/>
          <w:lang w:val="es-ES_tradnl"/>
        </w:rPr>
        <w:t>Corte</w:t>
      </w:r>
      <w:r>
        <w:rPr>
          <w:spacing w:val="-11"/>
          <w:sz w:val="18"/>
          <w:szCs w:val="18"/>
          <w:lang w:val="es-ES_tradnl"/>
        </w:rPr>
        <w:t xml:space="preserve"> </w:t>
      </w:r>
      <w:r>
        <w:rPr>
          <w:spacing w:val="-11"/>
          <w:sz w:val="16"/>
          <w:szCs w:val="16"/>
          <w:lang w:val="es-ES_tradnl"/>
        </w:rPr>
        <w:t>Constitucional</w:t>
      </w:r>
      <w:r>
        <w:rPr>
          <w:spacing w:val="-11"/>
          <w:sz w:val="18"/>
          <w:szCs w:val="18"/>
          <w:lang w:val="es-ES_tradnl"/>
        </w:rPr>
        <w:t xml:space="preserve"> </w:t>
      </w:r>
      <w:r>
        <w:rPr>
          <w:spacing w:val="-11"/>
          <w:sz w:val="16"/>
          <w:szCs w:val="16"/>
          <w:lang w:val="es-ES_tradnl"/>
        </w:rPr>
        <w:t>del</w:t>
      </w:r>
      <w:r>
        <w:rPr>
          <w:spacing w:val="-11"/>
          <w:sz w:val="18"/>
          <w:szCs w:val="18"/>
          <w:lang w:val="es-ES_tradnl"/>
        </w:rPr>
        <w:t xml:space="preserve"> </w:t>
      </w:r>
      <w:r>
        <w:rPr>
          <w:spacing w:val="-11"/>
          <w:sz w:val="16"/>
          <w:szCs w:val="16"/>
          <w:lang w:val="es-ES_tradnl"/>
        </w:rPr>
        <w:t>Ecuador,</w:t>
      </w:r>
      <w:r>
        <w:rPr>
          <w:spacing w:val="-11"/>
          <w:sz w:val="18"/>
          <w:szCs w:val="18"/>
          <w:lang w:val="es-ES_tradnl"/>
        </w:rPr>
        <w:t xml:space="preserve"> </w:t>
      </w:r>
      <w:r>
        <w:rPr>
          <w:spacing w:val="-11"/>
          <w:sz w:val="16"/>
          <w:szCs w:val="16"/>
          <w:lang w:val="es-ES_tradnl"/>
        </w:rPr>
        <w:t>sentencia</w:t>
      </w:r>
      <w:r>
        <w:rPr>
          <w:spacing w:val="-11"/>
          <w:sz w:val="18"/>
          <w:szCs w:val="18"/>
          <w:lang w:val="es-ES_tradnl"/>
        </w:rPr>
        <w:t xml:space="preserve"> </w:t>
      </w:r>
      <w:r>
        <w:rPr>
          <w:spacing w:val="-11"/>
          <w:sz w:val="16"/>
          <w:szCs w:val="16"/>
          <w:lang w:val="es-ES_tradnl"/>
        </w:rPr>
        <w:t>No.</w:t>
      </w:r>
      <w:r>
        <w:rPr>
          <w:spacing w:val="-11"/>
          <w:sz w:val="18"/>
          <w:szCs w:val="18"/>
          <w:lang w:val="es-ES_tradnl"/>
        </w:rPr>
        <w:t xml:space="preserve"> </w:t>
      </w:r>
      <w:r>
        <w:rPr>
          <w:spacing w:val="-11"/>
          <w:sz w:val="16"/>
          <w:szCs w:val="16"/>
          <w:lang w:val="es-ES_tradnl"/>
        </w:rPr>
        <w:t>008-15-SIN-CC,</w:t>
      </w:r>
      <w:r>
        <w:rPr>
          <w:spacing w:val="-11"/>
          <w:sz w:val="18"/>
          <w:szCs w:val="18"/>
          <w:lang w:val="es-ES_tradnl"/>
        </w:rPr>
        <w:t xml:space="preserve"> </w:t>
      </w:r>
      <w:r>
        <w:rPr>
          <w:spacing w:val="-11"/>
          <w:sz w:val="16"/>
          <w:szCs w:val="16"/>
          <w:lang w:val="es-ES_tradnl"/>
        </w:rPr>
        <w:t>31 </w:t>
      </w:r>
      <w:r>
        <w:rPr>
          <w:sz w:val="16"/>
          <w:szCs w:val="16"/>
          <w:lang w:val="es-ES_tradnl"/>
        </w:rPr>
        <w:t>de marzo de 2015</w:t>
      </w:r>
    </w:p>
    <w:p w14:paraId="4F67A5E5" w14:textId="77777777" w:rsidR="00591D54" w:rsidRDefault="00591D54">
      <w:pPr>
        <w:shd w:val="clear" w:color="auto" w:fill="FFFFFF"/>
        <w:tabs>
          <w:tab w:val="left" w:pos="139"/>
        </w:tabs>
        <w:spacing w:before="149" w:line="178" w:lineRule="exact"/>
        <w:ind w:left="139" w:right="5" w:hanging="139"/>
        <w:jc w:val="both"/>
      </w:pPr>
      <w:r>
        <w:rPr>
          <w:sz w:val="10"/>
          <w:szCs w:val="10"/>
          <w:vertAlign w:val="superscript"/>
          <w:lang w:val="es-ES_tradnl"/>
        </w:rPr>
        <w:t>8</w:t>
      </w:r>
      <w:r>
        <w:rPr>
          <w:sz w:val="18"/>
          <w:szCs w:val="18"/>
          <w:lang w:val="es-ES_tradnl"/>
        </w:rPr>
        <w:tab/>
      </w:r>
      <w:r>
        <w:rPr>
          <w:spacing w:val="-4"/>
          <w:sz w:val="16"/>
          <w:szCs w:val="16"/>
          <w:lang w:val="es-ES_tradnl"/>
        </w:rPr>
        <w:t>Ver:</w:t>
      </w:r>
      <w:r>
        <w:rPr>
          <w:spacing w:val="-4"/>
          <w:sz w:val="18"/>
          <w:szCs w:val="18"/>
          <w:lang w:val="es-ES_tradnl"/>
        </w:rPr>
        <w:t xml:space="preserve"> </w:t>
      </w:r>
      <w:r>
        <w:rPr>
          <w:spacing w:val="-4"/>
          <w:sz w:val="16"/>
          <w:szCs w:val="16"/>
          <w:lang w:val="es-ES_tradnl"/>
        </w:rPr>
        <w:t>tercer</w:t>
      </w:r>
      <w:r>
        <w:rPr>
          <w:spacing w:val="-4"/>
          <w:sz w:val="18"/>
          <w:szCs w:val="18"/>
          <w:lang w:val="es-ES_tradnl"/>
        </w:rPr>
        <w:t xml:space="preserve"> </w:t>
      </w:r>
      <w:r>
        <w:rPr>
          <w:spacing w:val="-4"/>
          <w:sz w:val="16"/>
          <w:szCs w:val="16"/>
          <w:lang w:val="es-ES_tradnl"/>
        </w:rPr>
        <w:t>art</w:t>
      </w:r>
      <w:r>
        <w:rPr>
          <w:rFonts w:cs="Times New Roman"/>
          <w:spacing w:val="-4"/>
          <w:sz w:val="16"/>
          <w:szCs w:val="16"/>
          <w:lang w:val="es-ES_tradnl"/>
        </w:rPr>
        <w:t>í</w:t>
      </w:r>
      <w:r>
        <w:rPr>
          <w:spacing w:val="-4"/>
          <w:sz w:val="16"/>
          <w:szCs w:val="16"/>
          <w:lang w:val="es-ES_tradnl"/>
        </w:rPr>
        <w:t>culo</w:t>
      </w:r>
      <w:r>
        <w:rPr>
          <w:spacing w:val="-4"/>
          <w:sz w:val="18"/>
          <w:szCs w:val="18"/>
          <w:lang w:val="es-ES_tradnl"/>
        </w:rPr>
        <w:t xml:space="preserve"> </w:t>
      </w:r>
      <w:r>
        <w:rPr>
          <w:spacing w:val="-4"/>
          <w:sz w:val="16"/>
          <w:szCs w:val="16"/>
          <w:lang w:val="es-ES_tradnl"/>
        </w:rPr>
        <w:t>innumerado</w:t>
      </w:r>
      <w:r>
        <w:rPr>
          <w:spacing w:val="-4"/>
          <w:sz w:val="18"/>
          <w:szCs w:val="18"/>
          <w:lang w:val="es-ES_tradnl"/>
        </w:rPr>
        <w:t xml:space="preserve"> </w:t>
      </w:r>
      <w:r>
        <w:rPr>
          <w:spacing w:val="-4"/>
          <w:sz w:val="16"/>
          <w:szCs w:val="16"/>
          <w:lang w:val="es-ES_tradnl"/>
        </w:rPr>
        <w:t>despu</w:t>
      </w:r>
      <w:r>
        <w:rPr>
          <w:rFonts w:cs="Times New Roman"/>
          <w:spacing w:val="-4"/>
          <w:sz w:val="16"/>
          <w:szCs w:val="16"/>
          <w:lang w:val="es-ES_tradnl"/>
        </w:rPr>
        <w:t>é</w:t>
      </w:r>
      <w:r>
        <w:rPr>
          <w:spacing w:val="-4"/>
          <w:sz w:val="16"/>
          <w:szCs w:val="16"/>
          <w:lang w:val="es-ES_tradnl"/>
        </w:rPr>
        <w:t>s</w:t>
      </w:r>
      <w:r>
        <w:rPr>
          <w:spacing w:val="-4"/>
          <w:sz w:val="18"/>
          <w:szCs w:val="18"/>
          <w:lang w:val="es-ES_tradnl"/>
        </w:rPr>
        <w:t xml:space="preserve"> </w:t>
      </w:r>
      <w:r>
        <w:rPr>
          <w:spacing w:val="-4"/>
          <w:sz w:val="16"/>
          <w:szCs w:val="16"/>
          <w:lang w:val="es-ES_tradnl"/>
        </w:rPr>
        <w:t>del</w:t>
      </w:r>
      <w:r>
        <w:rPr>
          <w:spacing w:val="-4"/>
          <w:sz w:val="18"/>
          <w:szCs w:val="18"/>
          <w:lang w:val="es-ES_tradnl"/>
        </w:rPr>
        <w:t xml:space="preserve"> </w:t>
      </w:r>
      <w:r>
        <w:rPr>
          <w:spacing w:val="-4"/>
          <w:sz w:val="16"/>
          <w:szCs w:val="16"/>
          <w:lang w:val="es-ES_tradnl"/>
        </w:rPr>
        <w:t>art</w:t>
      </w:r>
      <w:r>
        <w:rPr>
          <w:rFonts w:cs="Times New Roman"/>
          <w:spacing w:val="-4"/>
          <w:sz w:val="16"/>
          <w:szCs w:val="16"/>
          <w:lang w:val="es-ES_tradnl"/>
        </w:rPr>
        <w:t>í</w:t>
      </w:r>
      <w:r>
        <w:rPr>
          <w:spacing w:val="-4"/>
          <w:sz w:val="16"/>
          <w:szCs w:val="16"/>
          <w:lang w:val="es-ES_tradnl"/>
        </w:rPr>
        <w:t>culo</w:t>
      </w:r>
      <w:r>
        <w:rPr>
          <w:spacing w:val="-4"/>
          <w:sz w:val="18"/>
          <w:szCs w:val="18"/>
          <w:lang w:val="es-ES_tradnl"/>
        </w:rPr>
        <w:t xml:space="preserve"> </w:t>
      </w:r>
      <w:r>
        <w:rPr>
          <w:spacing w:val="-4"/>
          <w:sz w:val="16"/>
          <w:szCs w:val="16"/>
          <w:lang w:val="es-ES_tradnl"/>
        </w:rPr>
        <w:t>33</w:t>
      </w:r>
      <w:r>
        <w:rPr>
          <w:spacing w:val="-4"/>
          <w:sz w:val="18"/>
          <w:szCs w:val="18"/>
          <w:lang w:val="es-ES_tradnl"/>
        </w:rPr>
        <w:t xml:space="preserve"> </w:t>
      </w:r>
      <w:r>
        <w:rPr>
          <w:spacing w:val="-4"/>
          <w:sz w:val="16"/>
          <w:szCs w:val="16"/>
          <w:lang w:val="es-ES_tradnl"/>
        </w:rPr>
        <w:t>de</w:t>
      </w:r>
      <w:r>
        <w:rPr>
          <w:spacing w:val="-4"/>
          <w:sz w:val="18"/>
          <w:szCs w:val="18"/>
          <w:lang w:val="es-ES_tradnl"/>
        </w:rPr>
        <w:t xml:space="preserve"> </w:t>
      </w:r>
      <w:r>
        <w:rPr>
          <w:spacing w:val="-4"/>
          <w:sz w:val="16"/>
          <w:szCs w:val="16"/>
          <w:lang w:val="es-ES_tradnl"/>
        </w:rPr>
        <w:t>la </w:t>
      </w:r>
      <w:r>
        <w:rPr>
          <w:spacing w:val="-8"/>
          <w:sz w:val="16"/>
          <w:szCs w:val="16"/>
          <w:lang w:val="es-ES_tradnl"/>
        </w:rPr>
        <w:t>Ley especial de Telecomunicaciones, Cap</w:t>
      </w:r>
      <w:r>
        <w:rPr>
          <w:rFonts w:cs="Times New Roman"/>
          <w:spacing w:val="-8"/>
          <w:sz w:val="16"/>
          <w:szCs w:val="16"/>
          <w:lang w:val="es-ES_tradnl"/>
        </w:rPr>
        <w:t>í</w:t>
      </w:r>
      <w:r>
        <w:rPr>
          <w:spacing w:val="-8"/>
          <w:sz w:val="16"/>
          <w:szCs w:val="16"/>
          <w:lang w:val="es-ES_tradnl"/>
        </w:rPr>
        <w:t>tulo VI del Consejo </w:t>
      </w:r>
      <w:r>
        <w:rPr>
          <w:spacing w:val="-11"/>
          <w:sz w:val="16"/>
          <w:szCs w:val="16"/>
          <w:lang w:val="es-ES_tradnl"/>
        </w:rPr>
        <w:t>Nacional de Telecomunicaciones, de la Secretar</w:t>
      </w:r>
      <w:r>
        <w:rPr>
          <w:rFonts w:cs="Times New Roman"/>
          <w:spacing w:val="-11"/>
          <w:sz w:val="16"/>
          <w:szCs w:val="16"/>
          <w:lang w:val="es-ES_tradnl"/>
        </w:rPr>
        <w:t>í</w:t>
      </w:r>
      <w:r>
        <w:rPr>
          <w:spacing w:val="-11"/>
          <w:sz w:val="16"/>
          <w:szCs w:val="16"/>
          <w:lang w:val="es-ES_tradnl"/>
        </w:rPr>
        <w:t>a Nacional de </w:t>
      </w:r>
      <w:r>
        <w:rPr>
          <w:spacing w:val="-14"/>
          <w:sz w:val="16"/>
          <w:szCs w:val="16"/>
          <w:lang w:val="es-ES_tradnl"/>
        </w:rPr>
        <w:t>Telecomunicaciones y de la Superintendencia de Telecomunicaciones.</w:t>
      </w:r>
    </w:p>
    <w:p w14:paraId="4F67A5E6" w14:textId="77777777" w:rsidR="00591D54" w:rsidRDefault="00591D54">
      <w:pPr>
        <w:shd w:val="clear" w:color="auto" w:fill="FFFFFF"/>
        <w:spacing w:before="14" w:line="221" w:lineRule="exact"/>
        <w:jc w:val="both"/>
      </w:pPr>
      <w:r>
        <w:br w:type="column"/>
      </w:r>
      <w:r>
        <w:rPr>
          <w:spacing w:val="-7"/>
          <w:sz w:val="18"/>
          <w:szCs w:val="18"/>
          <w:lang w:val="es-ES_tradnl"/>
        </w:rPr>
        <w:t>de lo que tambi</w:t>
      </w:r>
      <w:r>
        <w:rPr>
          <w:rFonts w:cs="Times New Roman"/>
          <w:spacing w:val="-7"/>
          <w:sz w:val="18"/>
          <w:szCs w:val="18"/>
          <w:lang w:val="es-ES_tradnl"/>
        </w:rPr>
        <w:t>é</w:t>
      </w:r>
      <w:r>
        <w:rPr>
          <w:spacing w:val="-7"/>
          <w:sz w:val="18"/>
          <w:szCs w:val="18"/>
          <w:lang w:val="es-ES_tradnl"/>
        </w:rPr>
        <w:t>n se concluye que ser</w:t>
      </w:r>
      <w:r>
        <w:rPr>
          <w:rFonts w:cs="Times New Roman"/>
          <w:spacing w:val="-7"/>
          <w:sz w:val="18"/>
          <w:szCs w:val="18"/>
          <w:lang w:val="es-ES_tradnl"/>
        </w:rPr>
        <w:t>á</w:t>
      </w:r>
      <w:r>
        <w:rPr>
          <w:spacing w:val="-7"/>
          <w:sz w:val="18"/>
          <w:szCs w:val="18"/>
          <w:lang w:val="es-ES_tradnl"/>
        </w:rPr>
        <w:t xml:space="preserve"> la administraci</w:t>
      </w:r>
      <w:r>
        <w:rPr>
          <w:rFonts w:cs="Times New Roman"/>
          <w:spacing w:val="-7"/>
          <w:sz w:val="18"/>
          <w:szCs w:val="18"/>
          <w:lang w:val="es-ES_tradnl"/>
        </w:rPr>
        <w:t>ó</w:t>
      </w:r>
      <w:r>
        <w:rPr>
          <w:spacing w:val="-7"/>
          <w:sz w:val="18"/>
          <w:szCs w:val="18"/>
          <w:lang w:val="es-ES_tradnl"/>
        </w:rPr>
        <w:t xml:space="preserve">n </w:t>
      </w:r>
      <w:r>
        <w:rPr>
          <w:spacing w:val="-6"/>
          <w:sz w:val="18"/>
          <w:szCs w:val="18"/>
          <w:lang w:val="es-ES_tradnl"/>
        </w:rPr>
        <w:t>central la que, a trav</w:t>
      </w:r>
      <w:r>
        <w:rPr>
          <w:rFonts w:cs="Times New Roman"/>
          <w:spacing w:val="-6"/>
          <w:sz w:val="18"/>
          <w:szCs w:val="18"/>
          <w:lang w:val="es-ES_tradnl"/>
        </w:rPr>
        <w:t>é</w:t>
      </w:r>
      <w:r>
        <w:rPr>
          <w:spacing w:val="-6"/>
          <w:sz w:val="18"/>
          <w:szCs w:val="18"/>
          <w:lang w:val="es-ES_tradnl"/>
        </w:rPr>
        <w:t>s del CONATEL, realizar</w:t>
      </w:r>
      <w:r>
        <w:rPr>
          <w:rFonts w:cs="Times New Roman"/>
          <w:spacing w:val="-6"/>
          <w:sz w:val="18"/>
          <w:szCs w:val="18"/>
          <w:lang w:val="es-ES_tradnl"/>
        </w:rPr>
        <w:t>á</w:t>
      </w:r>
      <w:r>
        <w:rPr>
          <w:spacing w:val="-6"/>
          <w:sz w:val="18"/>
          <w:szCs w:val="18"/>
          <w:lang w:val="es-ES_tradnl"/>
        </w:rPr>
        <w:t xml:space="preserve"> el control </w:t>
      </w:r>
      <w:r>
        <w:rPr>
          <w:sz w:val="18"/>
          <w:szCs w:val="18"/>
          <w:lang w:val="es-ES_tradnl"/>
        </w:rPr>
        <w:t>y regulaci</w:t>
      </w:r>
      <w:r>
        <w:rPr>
          <w:rFonts w:cs="Times New Roman"/>
          <w:sz w:val="18"/>
          <w:szCs w:val="18"/>
          <w:lang w:val="es-ES_tradnl"/>
        </w:rPr>
        <w:t>ó</w:t>
      </w:r>
      <w:r>
        <w:rPr>
          <w:sz w:val="18"/>
          <w:szCs w:val="18"/>
          <w:lang w:val="es-ES_tradnl"/>
        </w:rPr>
        <w:t>n del espectro radioel</w:t>
      </w:r>
      <w:r>
        <w:rPr>
          <w:rFonts w:cs="Times New Roman"/>
          <w:sz w:val="18"/>
          <w:szCs w:val="18"/>
          <w:lang w:val="es-ES_tradnl"/>
        </w:rPr>
        <w:t>é</w:t>
      </w:r>
      <w:r>
        <w:rPr>
          <w:sz w:val="18"/>
          <w:szCs w:val="18"/>
          <w:lang w:val="es-ES_tradnl"/>
        </w:rPr>
        <w:t>ctrico.</w:t>
      </w:r>
    </w:p>
    <w:p w14:paraId="4F67A5E7" w14:textId="77777777" w:rsidR="00591D54" w:rsidRDefault="00591D54">
      <w:pPr>
        <w:shd w:val="clear" w:color="auto" w:fill="FFFFFF"/>
        <w:spacing w:before="202" w:line="221" w:lineRule="exact"/>
        <w:jc w:val="both"/>
      </w:pPr>
      <w:r>
        <w:rPr>
          <w:spacing w:val="-6"/>
          <w:sz w:val="18"/>
          <w:szCs w:val="18"/>
          <w:lang w:val="es-ES_tradnl"/>
        </w:rPr>
        <w:t>Ahora bien, en este sentido, bajo la concepci</w:t>
      </w:r>
      <w:r>
        <w:rPr>
          <w:rFonts w:cs="Times New Roman"/>
          <w:spacing w:val="-6"/>
          <w:sz w:val="18"/>
          <w:szCs w:val="18"/>
          <w:lang w:val="es-ES_tradnl"/>
        </w:rPr>
        <w:t>ó</w:t>
      </w:r>
      <w:r>
        <w:rPr>
          <w:spacing w:val="-6"/>
          <w:sz w:val="18"/>
          <w:szCs w:val="18"/>
          <w:lang w:val="es-ES_tradnl"/>
        </w:rPr>
        <w:t xml:space="preserve">n clara del </w:t>
      </w:r>
      <w:r>
        <w:rPr>
          <w:spacing w:val="-5"/>
          <w:sz w:val="18"/>
          <w:szCs w:val="18"/>
          <w:lang w:val="es-ES_tradnl"/>
        </w:rPr>
        <w:t>control y regulaci</w:t>
      </w:r>
      <w:r>
        <w:rPr>
          <w:rFonts w:cs="Times New Roman"/>
          <w:spacing w:val="-5"/>
          <w:sz w:val="18"/>
          <w:szCs w:val="18"/>
          <w:lang w:val="es-ES_tradnl"/>
        </w:rPr>
        <w:t>ó</w:t>
      </w:r>
      <w:r>
        <w:rPr>
          <w:spacing w:val="-5"/>
          <w:sz w:val="18"/>
          <w:szCs w:val="18"/>
          <w:lang w:val="es-ES_tradnl"/>
        </w:rPr>
        <w:t>n del espectro radioel</w:t>
      </w:r>
      <w:r>
        <w:rPr>
          <w:rFonts w:cs="Times New Roman"/>
          <w:spacing w:val="-5"/>
          <w:sz w:val="18"/>
          <w:szCs w:val="18"/>
          <w:lang w:val="es-ES_tradnl"/>
        </w:rPr>
        <w:t>é</w:t>
      </w:r>
      <w:r>
        <w:rPr>
          <w:spacing w:val="-5"/>
          <w:sz w:val="18"/>
          <w:szCs w:val="18"/>
          <w:lang w:val="es-ES_tradnl"/>
        </w:rPr>
        <w:t xml:space="preserve">ctrico por parte </w:t>
      </w:r>
      <w:r>
        <w:rPr>
          <w:spacing w:val="-6"/>
          <w:sz w:val="18"/>
          <w:szCs w:val="18"/>
          <w:lang w:val="es-ES_tradnl"/>
        </w:rPr>
        <w:t xml:space="preserve">exclusiva del Estado central, hay que determinar que la </w:t>
      </w:r>
      <w:r>
        <w:rPr>
          <w:spacing w:val="-2"/>
          <w:sz w:val="18"/>
          <w:szCs w:val="18"/>
          <w:lang w:val="es-ES_tradnl"/>
        </w:rPr>
        <w:t xml:space="preserve">misma Ley Especial de Telecomunicaciones establece </w:t>
      </w:r>
      <w:r>
        <w:rPr>
          <w:spacing w:val="-3"/>
          <w:sz w:val="18"/>
          <w:szCs w:val="18"/>
          <w:lang w:val="es-ES_tradnl"/>
        </w:rPr>
        <w:t>el modo en que operan los t</w:t>
      </w:r>
      <w:r>
        <w:rPr>
          <w:rFonts w:cs="Times New Roman"/>
          <w:spacing w:val="-3"/>
          <w:sz w:val="18"/>
          <w:szCs w:val="18"/>
          <w:lang w:val="es-ES_tradnl"/>
        </w:rPr>
        <w:t>í</w:t>
      </w:r>
      <w:r>
        <w:rPr>
          <w:spacing w:val="-3"/>
          <w:sz w:val="18"/>
          <w:szCs w:val="18"/>
          <w:lang w:val="es-ES_tradnl"/>
        </w:rPr>
        <w:t xml:space="preserve">tulos habilitantes para </w:t>
      </w:r>
      <w:r>
        <w:rPr>
          <w:spacing w:val="-8"/>
          <w:sz w:val="18"/>
          <w:szCs w:val="18"/>
          <w:lang w:val="es-ES_tradnl"/>
        </w:rPr>
        <w:t>concesiones y permisos, disponiendo que:</w:t>
      </w:r>
    </w:p>
    <w:p w14:paraId="4F67A5E8" w14:textId="77777777" w:rsidR="00591D54" w:rsidRDefault="00591D54">
      <w:pPr>
        <w:shd w:val="clear" w:color="auto" w:fill="FFFFFF"/>
        <w:spacing w:before="202" w:line="221" w:lineRule="exact"/>
        <w:ind w:left="283"/>
        <w:jc w:val="both"/>
      </w:pPr>
      <w:r>
        <w:rPr>
          <w:spacing w:val="-5"/>
          <w:sz w:val="16"/>
          <w:szCs w:val="16"/>
          <w:lang w:val="es-ES_tradnl"/>
        </w:rPr>
        <w:t>Previa autorizaci</w:t>
      </w:r>
      <w:r>
        <w:rPr>
          <w:rFonts w:cs="Times New Roman"/>
          <w:spacing w:val="-5"/>
          <w:sz w:val="16"/>
          <w:szCs w:val="16"/>
          <w:lang w:val="es-ES_tradnl"/>
        </w:rPr>
        <w:t>ó</w:t>
      </w:r>
      <w:r>
        <w:rPr>
          <w:spacing w:val="-5"/>
          <w:sz w:val="16"/>
          <w:szCs w:val="16"/>
          <w:lang w:val="es-ES_tradnl"/>
        </w:rPr>
        <w:t>n del CONATEL, la Secretar</w:t>
      </w:r>
      <w:r>
        <w:rPr>
          <w:rFonts w:cs="Times New Roman"/>
          <w:spacing w:val="-5"/>
          <w:sz w:val="16"/>
          <w:szCs w:val="16"/>
          <w:lang w:val="es-ES_tradnl"/>
        </w:rPr>
        <w:t>í</w:t>
      </w:r>
      <w:r>
        <w:rPr>
          <w:spacing w:val="-5"/>
          <w:sz w:val="16"/>
          <w:szCs w:val="16"/>
          <w:lang w:val="es-ES_tradnl"/>
        </w:rPr>
        <w:t>a otorgar</w:t>
      </w:r>
      <w:r>
        <w:rPr>
          <w:rFonts w:cs="Times New Roman"/>
          <w:spacing w:val="-5"/>
          <w:sz w:val="16"/>
          <w:szCs w:val="16"/>
          <w:lang w:val="es-ES_tradnl"/>
        </w:rPr>
        <w:t>á</w:t>
      </w:r>
      <w:r>
        <w:rPr>
          <w:spacing w:val="-5"/>
          <w:sz w:val="16"/>
          <w:szCs w:val="16"/>
          <w:lang w:val="es-ES_tradnl"/>
        </w:rPr>
        <w:t xml:space="preserve">, a </w:t>
      </w:r>
      <w:r>
        <w:rPr>
          <w:spacing w:val="-7"/>
          <w:sz w:val="16"/>
          <w:szCs w:val="16"/>
          <w:lang w:val="es-ES_tradnl"/>
        </w:rPr>
        <w:t>personas naturales o jur</w:t>
      </w:r>
      <w:r>
        <w:rPr>
          <w:rFonts w:cs="Times New Roman"/>
          <w:spacing w:val="-7"/>
          <w:sz w:val="16"/>
          <w:szCs w:val="16"/>
          <w:lang w:val="es-ES_tradnl"/>
        </w:rPr>
        <w:t>í</w:t>
      </w:r>
      <w:r>
        <w:rPr>
          <w:spacing w:val="-7"/>
          <w:sz w:val="16"/>
          <w:szCs w:val="16"/>
          <w:lang w:val="es-ES_tradnl"/>
        </w:rPr>
        <w:t>dicas domiciliadas en el Ecuador que tengan capacidad t</w:t>
      </w:r>
      <w:r>
        <w:rPr>
          <w:rFonts w:cs="Times New Roman"/>
          <w:spacing w:val="-7"/>
          <w:sz w:val="16"/>
          <w:szCs w:val="16"/>
          <w:lang w:val="es-ES_tradnl"/>
        </w:rPr>
        <w:t>é</w:t>
      </w:r>
      <w:r>
        <w:rPr>
          <w:spacing w:val="-7"/>
          <w:sz w:val="16"/>
          <w:szCs w:val="16"/>
          <w:lang w:val="es-ES_tradnl"/>
        </w:rPr>
        <w:t>cnica y financiera, t</w:t>
      </w:r>
      <w:r>
        <w:rPr>
          <w:rFonts w:cs="Times New Roman"/>
          <w:spacing w:val="-7"/>
          <w:sz w:val="16"/>
          <w:szCs w:val="16"/>
          <w:lang w:val="es-ES_tradnl"/>
        </w:rPr>
        <w:t>í</w:t>
      </w:r>
      <w:r>
        <w:rPr>
          <w:spacing w:val="-7"/>
          <w:sz w:val="16"/>
          <w:szCs w:val="16"/>
          <w:lang w:val="es-ES_tradnl"/>
        </w:rPr>
        <w:t xml:space="preserve">tulos habilitantes que </w:t>
      </w:r>
      <w:r>
        <w:rPr>
          <w:sz w:val="16"/>
          <w:szCs w:val="16"/>
          <w:lang w:val="es-ES_tradnl"/>
        </w:rPr>
        <w:t>consistir</w:t>
      </w:r>
      <w:r>
        <w:rPr>
          <w:rFonts w:cs="Times New Roman"/>
          <w:sz w:val="16"/>
          <w:szCs w:val="16"/>
          <w:lang w:val="es-ES_tradnl"/>
        </w:rPr>
        <w:t>á</w:t>
      </w:r>
      <w:r>
        <w:rPr>
          <w:sz w:val="16"/>
          <w:szCs w:val="16"/>
          <w:lang w:val="es-ES_tradnl"/>
        </w:rPr>
        <w:t>n en concesiones y permisos.</w:t>
      </w:r>
    </w:p>
    <w:p w14:paraId="4F67A5E9" w14:textId="77777777" w:rsidR="00591D54" w:rsidRDefault="00591D54">
      <w:pPr>
        <w:shd w:val="clear" w:color="auto" w:fill="FFFFFF"/>
        <w:spacing w:before="226"/>
        <w:ind w:left="283"/>
      </w:pPr>
      <w:r>
        <w:rPr>
          <w:spacing w:val="-9"/>
          <w:sz w:val="16"/>
          <w:szCs w:val="16"/>
          <w:lang w:val="es-ES_tradnl"/>
        </w:rPr>
        <w:t>Concesiones para:</w:t>
      </w:r>
    </w:p>
    <w:p w14:paraId="4F67A5EA" w14:textId="77777777" w:rsidR="00591D54" w:rsidRDefault="00591D54" w:rsidP="00251195">
      <w:pPr>
        <w:numPr>
          <w:ilvl w:val="0"/>
          <w:numId w:val="25"/>
        </w:numPr>
        <w:shd w:val="clear" w:color="auto" w:fill="FFFFFF"/>
        <w:tabs>
          <w:tab w:val="left" w:pos="566"/>
        </w:tabs>
        <w:spacing w:before="216" w:line="216" w:lineRule="exact"/>
        <w:ind w:left="566" w:hanging="283"/>
        <w:jc w:val="both"/>
        <w:rPr>
          <w:spacing w:val="-12"/>
          <w:sz w:val="16"/>
          <w:szCs w:val="16"/>
          <w:lang w:val="es-ES_tradnl"/>
        </w:rPr>
      </w:pPr>
      <w:r>
        <w:rPr>
          <w:spacing w:val="-7"/>
          <w:sz w:val="16"/>
          <w:szCs w:val="16"/>
          <w:lang w:val="es-ES_tradnl"/>
        </w:rPr>
        <w:t>Prestaci</w:t>
      </w:r>
      <w:r>
        <w:rPr>
          <w:rFonts w:cs="Times New Roman"/>
          <w:spacing w:val="-7"/>
          <w:sz w:val="16"/>
          <w:szCs w:val="16"/>
          <w:lang w:val="es-ES_tradnl"/>
        </w:rPr>
        <w:t>ó</w:t>
      </w:r>
      <w:r>
        <w:rPr>
          <w:spacing w:val="-7"/>
          <w:sz w:val="16"/>
          <w:szCs w:val="16"/>
          <w:lang w:val="es-ES_tradnl"/>
        </w:rPr>
        <w:t>n</w:t>
      </w:r>
      <w:r>
        <w:rPr>
          <w:spacing w:val="-7"/>
          <w:sz w:val="18"/>
          <w:szCs w:val="18"/>
          <w:lang w:val="es-ES_tradnl"/>
        </w:rPr>
        <w:t xml:space="preserve"> </w:t>
      </w:r>
      <w:r>
        <w:rPr>
          <w:spacing w:val="-7"/>
          <w:sz w:val="16"/>
          <w:szCs w:val="16"/>
          <w:lang w:val="es-ES_tradnl"/>
        </w:rPr>
        <w:t>de</w:t>
      </w:r>
      <w:r>
        <w:rPr>
          <w:spacing w:val="-7"/>
          <w:sz w:val="18"/>
          <w:szCs w:val="18"/>
          <w:lang w:val="es-ES_tradnl"/>
        </w:rPr>
        <w:t xml:space="preserve"> </w:t>
      </w:r>
      <w:r>
        <w:rPr>
          <w:spacing w:val="-7"/>
          <w:sz w:val="16"/>
          <w:szCs w:val="16"/>
          <w:lang w:val="es-ES_tradnl"/>
        </w:rPr>
        <w:t>servicios</w:t>
      </w:r>
      <w:r>
        <w:rPr>
          <w:spacing w:val="-7"/>
          <w:sz w:val="18"/>
          <w:szCs w:val="18"/>
          <w:lang w:val="es-ES_tradnl"/>
        </w:rPr>
        <w:t xml:space="preserve"> </w:t>
      </w:r>
      <w:r>
        <w:rPr>
          <w:spacing w:val="-7"/>
          <w:sz w:val="16"/>
          <w:szCs w:val="16"/>
          <w:lang w:val="es-ES_tradnl"/>
        </w:rPr>
        <w:t>finales,</w:t>
      </w:r>
      <w:r>
        <w:rPr>
          <w:spacing w:val="-7"/>
          <w:sz w:val="18"/>
          <w:szCs w:val="18"/>
          <w:lang w:val="es-ES_tradnl"/>
        </w:rPr>
        <w:t xml:space="preserve"> </w:t>
      </w:r>
      <w:r>
        <w:rPr>
          <w:spacing w:val="-7"/>
          <w:sz w:val="16"/>
          <w:szCs w:val="16"/>
          <w:lang w:val="es-ES_tradnl"/>
        </w:rPr>
        <w:t>las</w:t>
      </w:r>
      <w:r>
        <w:rPr>
          <w:spacing w:val="-7"/>
          <w:sz w:val="18"/>
          <w:szCs w:val="18"/>
          <w:lang w:val="es-ES_tradnl"/>
        </w:rPr>
        <w:t xml:space="preserve"> </w:t>
      </w:r>
      <w:r>
        <w:rPr>
          <w:spacing w:val="-7"/>
          <w:sz w:val="16"/>
          <w:szCs w:val="16"/>
          <w:lang w:val="es-ES_tradnl"/>
        </w:rPr>
        <w:t>cuales</w:t>
      </w:r>
      <w:r>
        <w:rPr>
          <w:spacing w:val="-7"/>
          <w:sz w:val="18"/>
          <w:szCs w:val="18"/>
          <w:lang w:val="es-ES_tradnl"/>
        </w:rPr>
        <w:t xml:space="preserve"> </w:t>
      </w:r>
      <w:r>
        <w:rPr>
          <w:spacing w:val="-7"/>
          <w:sz w:val="16"/>
          <w:szCs w:val="16"/>
          <w:lang w:val="es-ES_tradnl"/>
        </w:rPr>
        <w:t>comprenden</w:t>
      </w:r>
      <w:r>
        <w:rPr>
          <w:spacing w:val="-7"/>
          <w:sz w:val="18"/>
          <w:szCs w:val="18"/>
          <w:lang w:val="es-ES_tradnl"/>
        </w:rPr>
        <w:t xml:space="preserve"> </w:t>
      </w:r>
      <w:r>
        <w:rPr>
          <w:spacing w:val="-7"/>
          <w:sz w:val="16"/>
          <w:szCs w:val="16"/>
          <w:lang w:val="es-ES_tradnl"/>
        </w:rPr>
        <w:t xml:space="preserve">el </w:t>
      </w:r>
      <w:r>
        <w:rPr>
          <w:spacing w:val="-9"/>
          <w:sz w:val="16"/>
          <w:szCs w:val="16"/>
          <w:lang w:val="es-ES_tradnl"/>
        </w:rPr>
        <w:t xml:space="preserve">establecimiento de las redes necesarias para proveer tales </w:t>
      </w:r>
      <w:r>
        <w:rPr>
          <w:sz w:val="16"/>
          <w:szCs w:val="16"/>
          <w:lang w:val="es-ES_tradnl"/>
        </w:rPr>
        <w:t>servicios;</w:t>
      </w:r>
    </w:p>
    <w:p w14:paraId="4F67A5EB" w14:textId="77777777" w:rsidR="00591D54" w:rsidRDefault="00591D54" w:rsidP="00251195">
      <w:pPr>
        <w:numPr>
          <w:ilvl w:val="0"/>
          <w:numId w:val="25"/>
        </w:numPr>
        <w:shd w:val="clear" w:color="auto" w:fill="FFFFFF"/>
        <w:tabs>
          <w:tab w:val="left" w:pos="566"/>
        </w:tabs>
        <w:spacing w:line="216" w:lineRule="exact"/>
        <w:ind w:left="566" w:hanging="283"/>
        <w:jc w:val="both"/>
        <w:rPr>
          <w:spacing w:val="-7"/>
          <w:sz w:val="16"/>
          <w:szCs w:val="16"/>
          <w:lang w:val="es-ES_tradnl"/>
        </w:rPr>
      </w:pPr>
      <w:r>
        <w:rPr>
          <w:spacing w:val="-9"/>
          <w:sz w:val="16"/>
          <w:szCs w:val="16"/>
          <w:lang w:val="es-ES_tradnl"/>
        </w:rPr>
        <w:t>Prestaci</w:t>
      </w:r>
      <w:r>
        <w:rPr>
          <w:rFonts w:cs="Times New Roman"/>
          <w:spacing w:val="-9"/>
          <w:sz w:val="16"/>
          <w:szCs w:val="16"/>
          <w:lang w:val="es-ES_tradnl"/>
        </w:rPr>
        <w:t>ó</w:t>
      </w:r>
      <w:r>
        <w:rPr>
          <w:spacing w:val="-9"/>
          <w:sz w:val="16"/>
          <w:szCs w:val="16"/>
          <w:lang w:val="es-ES_tradnl"/>
        </w:rPr>
        <w:t>n</w:t>
      </w:r>
      <w:r>
        <w:rPr>
          <w:spacing w:val="-9"/>
          <w:sz w:val="18"/>
          <w:szCs w:val="18"/>
          <w:lang w:val="es-ES_tradnl"/>
        </w:rPr>
        <w:t xml:space="preserve"> </w:t>
      </w:r>
      <w:r>
        <w:rPr>
          <w:spacing w:val="-9"/>
          <w:sz w:val="16"/>
          <w:szCs w:val="16"/>
          <w:lang w:val="es-ES_tradnl"/>
        </w:rPr>
        <w:t>de</w:t>
      </w:r>
      <w:r>
        <w:rPr>
          <w:spacing w:val="-9"/>
          <w:sz w:val="18"/>
          <w:szCs w:val="18"/>
          <w:lang w:val="es-ES_tradnl"/>
        </w:rPr>
        <w:t xml:space="preserve"> </w:t>
      </w:r>
      <w:r>
        <w:rPr>
          <w:spacing w:val="-9"/>
          <w:sz w:val="16"/>
          <w:szCs w:val="16"/>
          <w:lang w:val="es-ES_tradnl"/>
        </w:rPr>
        <w:t>servicios</w:t>
      </w:r>
      <w:r>
        <w:rPr>
          <w:spacing w:val="-9"/>
          <w:sz w:val="18"/>
          <w:szCs w:val="18"/>
          <w:lang w:val="es-ES_tradnl"/>
        </w:rPr>
        <w:t xml:space="preserve"> </w:t>
      </w:r>
      <w:r>
        <w:rPr>
          <w:spacing w:val="-9"/>
          <w:sz w:val="16"/>
          <w:szCs w:val="16"/>
          <w:lang w:val="es-ES_tradnl"/>
        </w:rPr>
        <w:t>portadores,</w:t>
      </w:r>
      <w:r>
        <w:rPr>
          <w:spacing w:val="-9"/>
          <w:sz w:val="18"/>
          <w:szCs w:val="18"/>
          <w:lang w:val="es-ES_tradnl"/>
        </w:rPr>
        <w:t xml:space="preserve"> </w:t>
      </w:r>
      <w:r>
        <w:rPr>
          <w:spacing w:val="-9"/>
          <w:sz w:val="16"/>
          <w:szCs w:val="16"/>
          <w:lang w:val="es-ES_tradnl"/>
        </w:rPr>
        <w:t>las</w:t>
      </w:r>
      <w:r>
        <w:rPr>
          <w:spacing w:val="-9"/>
          <w:sz w:val="18"/>
          <w:szCs w:val="18"/>
          <w:lang w:val="es-ES_tradnl"/>
        </w:rPr>
        <w:t xml:space="preserve"> </w:t>
      </w:r>
      <w:r>
        <w:rPr>
          <w:spacing w:val="-9"/>
          <w:sz w:val="16"/>
          <w:szCs w:val="16"/>
          <w:lang w:val="es-ES_tradnl"/>
        </w:rPr>
        <w:t>cuales</w:t>
      </w:r>
      <w:r>
        <w:rPr>
          <w:spacing w:val="-9"/>
          <w:sz w:val="18"/>
          <w:szCs w:val="18"/>
          <w:lang w:val="es-ES_tradnl"/>
        </w:rPr>
        <w:t xml:space="preserve"> </w:t>
      </w:r>
      <w:r>
        <w:rPr>
          <w:spacing w:val="-9"/>
          <w:sz w:val="16"/>
          <w:szCs w:val="16"/>
          <w:lang w:val="es-ES_tradnl"/>
        </w:rPr>
        <w:t xml:space="preserve">comprenden </w:t>
      </w:r>
      <w:r>
        <w:rPr>
          <w:spacing w:val="-7"/>
          <w:sz w:val="16"/>
          <w:szCs w:val="16"/>
          <w:lang w:val="es-ES_tradnl"/>
        </w:rPr>
        <w:t xml:space="preserve">el establecimiento de las redes necesarias para proveer </w:t>
      </w:r>
      <w:r>
        <w:rPr>
          <w:sz w:val="16"/>
          <w:szCs w:val="16"/>
          <w:lang w:val="es-ES_tradnl"/>
        </w:rPr>
        <w:t>tales servicios; y,</w:t>
      </w:r>
    </w:p>
    <w:p w14:paraId="4F67A5EC" w14:textId="77777777" w:rsidR="00591D54" w:rsidRDefault="00591D54" w:rsidP="00251195">
      <w:pPr>
        <w:numPr>
          <w:ilvl w:val="0"/>
          <w:numId w:val="25"/>
        </w:numPr>
        <w:shd w:val="clear" w:color="auto" w:fill="FFFFFF"/>
        <w:tabs>
          <w:tab w:val="left" w:pos="566"/>
        </w:tabs>
        <w:spacing w:line="216" w:lineRule="exact"/>
        <w:ind w:left="283"/>
        <w:rPr>
          <w:spacing w:val="-8"/>
          <w:sz w:val="16"/>
          <w:szCs w:val="16"/>
          <w:lang w:val="es-ES_tradnl"/>
        </w:rPr>
      </w:pPr>
      <w:r>
        <w:rPr>
          <w:spacing w:val="-6"/>
          <w:sz w:val="16"/>
          <w:szCs w:val="16"/>
          <w:lang w:val="es-ES_tradnl"/>
        </w:rPr>
        <w:t>La</w:t>
      </w:r>
      <w:r>
        <w:rPr>
          <w:spacing w:val="-6"/>
          <w:sz w:val="18"/>
          <w:szCs w:val="18"/>
          <w:lang w:val="es-ES_tradnl"/>
        </w:rPr>
        <w:t xml:space="preserve"> </w:t>
      </w:r>
      <w:r>
        <w:rPr>
          <w:spacing w:val="-6"/>
          <w:sz w:val="16"/>
          <w:szCs w:val="16"/>
          <w:lang w:val="es-ES_tradnl"/>
        </w:rPr>
        <w:t>asignaci</w:t>
      </w:r>
      <w:r>
        <w:rPr>
          <w:rFonts w:cs="Times New Roman"/>
          <w:spacing w:val="-6"/>
          <w:sz w:val="16"/>
          <w:szCs w:val="16"/>
          <w:lang w:val="es-ES_tradnl"/>
        </w:rPr>
        <w:t>ó</w:t>
      </w:r>
      <w:r>
        <w:rPr>
          <w:spacing w:val="-6"/>
          <w:sz w:val="16"/>
          <w:szCs w:val="16"/>
          <w:lang w:val="es-ES_tradnl"/>
        </w:rPr>
        <w:t>n</w:t>
      </w:r>
      <w:r>
        <w:rPr>
          <w:spacing w:val="-6"/>
          <w:sz w:val="18"/>
          <w:szCs w:val="18"/>
          <w:lang w:val="es-ES_tradnl"/>
        </w:rPr>
        <w:t xml:space="preserve"> </w:t>
      </w:r>
      <w:r>
        <w:rPr>
          <w:spacing w:val="-6"/>
          <w:sz w:val="16"/>
          <w:szCs w:val="16"/>
          <w:lang w:val="es-ES_tradnl"/>
        </w:rPr>
        <w:t>del</w:t>
      </w:r>
      <w:r>
        <w:rPr>
          <w:spacing w:val="-6"/>
          <w:sz w:val="18"/>
          <w:szCs w:val="18"/>
          <w:lang w:val="es-ES_tradnl"/>
        </w:rPr>
        <w:t xml:space="preserve"> </w:t>
      </w:r>
      <w:r>
        <w:rPr>
          <w:spacing w:val="-6"/>
          <w:sz w:val="16"/>
          <w:szCs w:val="16"/>
          <w:lang w:val="es-ES_tradnl"/>
        </w:rPr>
        <w:t>espectro</w:t>
      </w:r>
      <w:r>
        <w:rPr>
          <w:spacing w:val="-6"/>
          <w:sz w:val="18"/>
          <w:szCs w:val="18"/>
          <w:lang w:val="es-ES_tradnl"/>
        </w:rPr>
        <w:t xml:space="preserve"> </w:t>
      </w:r>
      <w:r>
        <w:rPr>
          <w:spacing w:val="-6"/>
          <w:sz w:val="16"/>
          <w:szCs w:val="16"/>
          <w:lang w:val="es-ES_tradnl"/>
        </w:rPr>
        <w:t>radioel</w:t>
      </w:r>
      <w:r>
        <w:rPr>
          <w:rFonts w:cs="Times New Roman"/>
          <w:spacing w:val="-6"/>
          <w:sz w:val="16"/>
          <w:szCs w:val="16"/>
          <w:lang w:val="es-ES_tradnl"/>
        </w:rPr>
        <w:t>é</w:t>
      </w:r>
      <w:r>
        <w:rPr>
          <w:spacing w:val="-6"/>
          <w:sz w:val="16"/>
          <w:szCs w:val="16"/>
          <w:lang w:val="es-ES_tradnl"/>
        </w:rPr>
        <w:t>ctrico.</w:t>
      </w:r>
    </w:p>
    <w:p w14:paraId="4F67A5ED" w14:textId="77777777" w:rsidR="00591D54" w:rsidRDefault="00591D54">
      <w:pPr>
        <w:shd w:val="clear" w:color="auto" w:fill="FFFFFF"/>
        <w:spacing w:before="226"/>
        <w:ind w:left="283"/>
      </w:pPr>
      <w:r>
        <w:rPr>
          <w:spacing w:val="-9"/>
          <w:sz w:val="16"/>
          <w:szCs w:val="16"/>
          <w:lang w:val="es-ES_tradnl"/>
        </w:rPr>
        <w:t>Permisos para:</w:t>
      </w:r>
    </w:p>
    <w:p w14:paraId="4F67A5EE" w14:textId="77777777" w:rsidR="00591D54" w:rsidRDefault="00591D54" w:rsidP="00251195">
      <w:pPr>
        <w:numPr>
          <w:ilvl w:val="0"/>
          <w:numId w:val="26"/>
        </w:numPr>
        <w:shd w:val="clear" w:color="auto" w:fill="FFFFFF"/>
        <w:tabs>
          <w:tab w:val="left" w:pos="566"/>
        </w:tabs>
        <w:spacing w:before="226"/>
        <w:ind w:left="283"/>
        <w:rPr>
          <w:spacing w:val="-12"/>
          <w:sz w:val="16"/>
          <w:szCs w:val="16"/>
          <w:lang w:val="es-ES_tradnl"/>
        </w:rPr>
      </w:pPr>
      <w:r>
        <w:rPr>
          <w:spacing w:val="-7"/>
          <w:sz w:val="16"/>
          <w:szCs w:val="16"/>
          <w:lang w:val="es-ES_tradnl"/>
        </w:rPr>
        <w:t>Prestaci</w:t>
      </w:r>
      <w:r>
        <w:rPr>
          <w:rFonts w:cs="Times New Roman"/>
          <w:spacing w:val="-7"/>
          <w:sz w:val="16"/>
          <w:szCs w:val="16"/>
          <w:lang w:val="es-ES_tradnl"/>
        </w:rPr>
        <w:t>ó</w:t>
      </w:r>
      <w:r>
        <w:rPr>
          <w:spacing w:val="-7"/>
          <w:sz w:val="16"/>
          <w:szCs w:val="16"/>
          <w:lang w:val="es-ES_tradnl"/>
        </w:rPr>
        <w:t>n</w:t>
      </w:r>
      <w:r>
        <w:rPr>
          <w:spacing w:val="-7"/>
          <w:sz w:val="18"/>
          <w:szCs w:val="18"/>
          <w:lang w:val="es-ES_tradnl"/>
        </w:rPr>
        <w:t xml:space="preserve"> </w:t>
      </w:r>
      <w:r>
        <w:rPr>
          <w:spacing w:val="-7"/>
          <w:sz w:val="16"/>
          <w:szCs w:val="16"/>
          <w:lang w:val="es-ES_tradnl"/>
        </w:rPr>
        <w:t>de</w:t>
      </w:r>
      <w:r>
        <w:rPr>
          <w:spacing w:val="-7"/>
          <w:sz w:val="18"/>
          <w:szCs w:val="18"/>
          <w:lang w:val="es-ES_tradnl"/>
        </w:rPr>
        <w:t xml:space="preserve"> </w:t>
      </w:r>
      <w:r>
        <w:rPr>
          <w:spacing w:val="-7"/>
          <w:sz w:val="16"/>
          <w:szCs w:val="16"/>
          <w:lang w:val="es-ES_tradnl"/>
        </w:rPr>
        <w:t>servicios</w:t>
      </w:r>
      <w:r>
        <w:rPr>
          <w:spacing w:val="-7"/>
          <w:sz w:val="18"/>
          <w:szCs w:val="18"/>
          <w:lang w:val="es-ES_tradnl"/>
        </w:rPr>
        <w:t xml:space="preserve"> </w:t>
      </w:r>
      <w:r>
        <w:rPr>
          <w:spacing w:val="-7"/>
          <w:sz w:val="16"/>
          <w:szCs w:val="16"/>
          <w:lang w:val="es-ES_tradnl"/>
        </w:rPr>
        <w:t>de</w:t>
      </w:r>
      <w:r>
        <w:rPr>
          <w:spacing w:val="-7"/>
          <w:sz w:val="18"/>
          <w:szCs w:val="18"/>
          <w:lang w:val="es-ES_tradnl"/>
        </w:rPr>
        <w:t xml:space="preserve"> </w:t>
      </w:r>
      <w:r>
        <w:rPr>
          <w:spacing w:val="-7"/>
          <w:sz w:val="16"/>
          <w:szCs w:val="16"/>
          <w:lang w:val="es-ES_tradnl"/>
        </w:rPr>
        <w:t>valor</w:t>
      </w:r>
      <w:r>
        <w:rPr>
          <w:spacing w:val="-7"/>
          <w:sz w:val="18"/>
          <w:szCs w:val="18"/>
          <w:lang w:val="es-ES_tradnl"/>
        </w:rPr>
        <w:t xml:space="preserve"> </w:t>
      </w:r>
      <w:r>
        <w:rPr>
          <w:spacing w:val="-7"/>
          <w:sz w:val="16"/>
          <w:szCs w:val="16"/>
          <w:lang w:val="es-ES_tradnl"/>
        </w:rPr>
        <w:t>agregado;</w:t>
      </w:r>
      <w:r>
        <w:rPr>
          <w:spacing w:val="-7"/>
          <w:sz w:val="18"/>
          <w:szCs w:val="18"/>
          <w:lang w:val="es-ES_tradnl"/>
        </w:rPr>
        <w:t xml:space="preserve"> </w:t>
      </w:r>
      <w:r>
        <w:rPr>
          <w:spacing w:val="-7"/>
          <w:sz w:val="16"/>
          <w:szCs w:val="16"/>
          <w:lang w:val="es-ES_tradnl"/>
        </w:rPr>
        <w:t>y,</w:t>
      </w:r>
    </w:p>
    <w:p w14:paraId="4F67A5EF" w14:textId="77777777" w:rsidR="00591D54" w:rsidRDefault="00591D54" w:rsidP="00251195">
      <w:pPr>
        <w:numPr>
          <w:ilvl w:val="0"/>
          <w:numId w:val="26"/>
        </w:numPr>
        <w:shd w:val="clear" w:color="auto" w:fill="FFFFFF"/>
        <w:tabs>
          <w:tab w:val="left" w:pos="566"/>
        </w:tabs>
        <w:spacing w:before="10"/>
        <w:ind w:left="283"/>
        <w:rPr>
          <w:spacing w:val="-7"/>
          <w:sz w:val="16"/>
          <w:szCs w:val="16"/>
          <w:lang w:val="es-ES_tradnl"/>
        </w:rPr>
      </w:pPr>
      <w:r>
        <w:rPr>
          <w:spacing w:val="-7"/>
          <w:sz w:val="16"/>
          <w:szCs w:val="16"/>
          <w:lang w:val="es-ES_tradnl"/>
        </w:rPr>
        <w:t>Instalaci</w:t>
      </w:r>
      <w:r>
        <w:rPr>
          <w:rFonts w:cs="Times New Roman"/>
          <w:spacing w:val="-7"/>
          <w:sz w:val="16"/>
          <w:szCs w:val="16"/>
          <w:lang w:val="es-ES_tradnl"/>
        </w:rPr>
        <w:t>ó</w:t>
      </w:r>
      <w:r>
        <w:rPr>
          <w:spacing w:val="-7"/>
          <w:sz w:val="16"/>
          <w:szCs w:val="16"/>
          <w:lang w:val="es-ES_tradnl"/>
        </w:rPr>
        <w:t>n</w:t>
      </w:r>
      <w:r>
        <w:rPr>
          <w:spacing w:val="-7"/>
          <w:sz w:val="18"/>
          <w:szCs w:val="18"/>
          <w:lang w:val="es-ES_tradnl"/>
        </w:rPr>
        <w:t xml:space="preserve"> </w:t>
      </w:r>
      <w:r>
        <w:rPr>
          <w:spacing w:val="-7"/>
          <w:sz w:val="16"/>
          <w:szCs w:val="16"/>
          <w:lang w:val="es-ES_tradnl"/>
        </w:rPr>
        <w:t>y</w:t>
      </w:r>
      <w:r>
        <w:rPr>
          <w:spacing w:val="-7"/>
          <w:sz w:val="18"/>
          <w:szCs w:val="18"/>
          <w:lang w:val="es-ES_tradnl"/>
        </w:rPr>
        <w:t xml:space="preserve"> </w:t>
      </w:r>
      <w:r>
        <w:rPr>
          <w:spacing w:val="-7"/>
          <w:sz w:val="16"/>
          <w:szCs w:val="16"/>
          <w:lang w:val="es-ES_tradnl"/>
        </w:rPr>
        <w:t>operaci</w:t>
      </w:r>
      <w:r>
        <w:rPr>
          <w:rFonts w:cs="Times New Roman"/>
          <w:spacing w:val="-7"/>
          <w:sz w:val="16"/>
          <w:szCs w:val="16"/>
          <w:lang w:val="es-ES_tradnl"/>
        </w:rPr>
        <w:t>ó</w:t>
      </w:r>
      <w:r>
        <w:rPr>
          <w:spacing w:val="-7"/>
          <w:sz w:val="16"/>
          <w:szCs w:val="16"/>
          <w:lang w:val="es-ES_tradnl"/>
        </w:rPr>
        <w:t>n</w:t>
      </w:r>
      <w:r>
        <w:rPr>
          <w:spacing w:val="-7"/>
          <w:sz w:val="18"/>
          <w:szCs w:val="18"/>
          <w:lang w:val="es-ES_tradnl"/>
        </w:rPr>
        <w:t xml:space="preserve"> </w:t>
      </w:r>
      <w:r>
        <w:rPr>
          <w:spacing w:val="-7"/>
          <w:sz w:val="16"/>
          <w:szCs w:val="16"/>
          <w:lang w:val="es-ES_tradnl"/>
        </w:rPr>
        <w:t>de</w:t>
      </w:r>
      <w:r>
        <w:rPr>
          <w:spacing w:val="-7"/>
          <w:sz w:val="18"/>
          <w:szCs w:val="18"/>
          <w:lang w:val="es-ES_tradnl"/>
        </w:rPr>
        <w:t xml:space="preserve"> </w:t>
      </w:r>
      <w:r>
        <w:rPr>
          <w:spacing w:val="-7"/>
          <w:sz w:val="16"/>
          <w:szCs w:val="16"/>
          <w:lang w:val="es-ES_tradnl"/>
        </w:rPr>
        <w:t>redes</w:t>
      </w:r>
      <w:r>
        <w:rPr>
          <w:spacing w:val="-7"/>
          <w:sz w:val="18"/>
          <w:szCs w:val="18"/>
          <w:lang w:val="es-ES_tradnl"/>
        </w:rPr>
        <w:t xml:space="preserve"> </w:t>
      </w:r>
      <w:r>
        <w:rPr>
          <w:spacing w:val="-7"/>
          <w:sz w:val="16"/>
          <w:szCs w:val="16"/>
          <w:lang w:val="es-ES_tradnl"/>
        </w:rPr>
        <w:t>privadas.</w:t>
      </w:r>
    </w:p>
    <w:p w14:paraId="4F67A5F0" w14:textId="77777777" w:rsidR="00591D54" w:rsidRDefault="00591D54">
      <w:pPr>
        <w:shd w:val="clear" w:color="auto" w:fill="FFFFFF"/>
        <w:spacing w:before="206" w:line="216" w:lineRule="exact"/>
        <w:jc w:val="both"/>
      </w:pPr>
      <w:r>
        <w:rPr>
          <w:spacing w:val="-5"/>
          <w:sz w:val="18"/>
          <w:szCs w:val="18"/>
          <w:lang w:val="es-ES_tradnl"/>
        </w:rPr>
        <w:t>Respecto de lo cual, se puede observar que ser</w:t>
      </w:r>
      <w:r>
        <w:rPr>
          <w:rFonts w:cs="Times New Roman"/>
          <w:spacing w:val="-5"/>
          <w:sz w:val="18"/>
          <w:szCs w:val="18"/>
          <w:lang w:val="es-ES_tradnl"/>
        </w:rPr>
        <w:t>á</w:t>
      </w:r>
      <w:r>
        <w:rPr>
          <w:spacing w:val="-5"/>
          <w:sz w:val="18"/>
          <w:szCs w:val="18"/>
          <w:lang w:val="es-ES_tradnl"/>
        </w:rPr>
        <w:t xml:space="preserve"> el </w:t>
      </w:r>
      <w:r>
        <w:rPr>
          <w:spacing w:val="-8"/>
          <w:sz w:val="18"/>
          <w:szCs w:val="18"/>
          <w:lang w:val="es-ES_tradnl"/>
        </w:rPr>
        <w:t>CONATEL, a trav</w:t>
      </w:r>
      <w:r>
        <w:rPr>
          <w:rFonts w:cs="Times New Roman"/>
          <w:spacing w:val="-8"/>
          <w:sz w:val="18"/>
          <w:szCs w:val="18"/>
          <w:lang w:val="es-ES_tradnl"/>
        </w:rPr>
        <w:t>é</w:t>
      </w:r>
      <w:r>
        <w:rPr>
          <w:spacing w:val="-8"/>
          <w:sz w:val="18"/>
          <w:szCs w:val="18"/>
          <w:lang w:val="es-ES_tradnl"/>
        </w:rPr>
        <w:t>s de la entrega de los t</w:t>
      </w:r>
      <w:r>
        <w:rPr>
          <w:rFonts w:cs="Times New Roman"/>
          <w:spacing w:val="-8"/>
          <w:sz w:val="18"/>
          <w:szCs w:val="18"/>
          <w:lang w:val="es-ES_tradnl"/>
        </w:rPr>
        <w:t>í</w:t>
      </w:r>
      <w:r>
        <w:rPr>
          <w:spacing w:val="-8"/>
          <w:sz w:val="18"/>
          <w:szCs w:val="18"/>
          <w:lang w:val="es-ES_tradnl"/>
        </w:rPr>
        <w:t xml:space="preserve">tulos habilitantes </w:t>
      </w:r>
      <w:r>
        <w:rPr>
          <w:spacing w:val="-9"/>
          <w:sz w:val="18"/>
          <w:szCs w:val="18"/>
          <w:lang w:val="es-ES_tradnl"/>
        </w:rPr>
        <w:t>respecto de los servicios de telecomunicaci</w:t>
      </w:r>
      <w:r>
        <w:rPr>
          <w:rFonts w:cs="Times New Roman"/>
          <w:spacing w:val="-9"/>
          <w:sz w:val="18"/>
          <w:szCs w:val="18"/>
          <w:lang w:val="es-ES_tradnl"/>
        </w:rPr>
        <w:t>ó</w:t>
      </w:r>
      <w:r>
        <w:rPr>
          <w:spacing w:val="-9"/>
          <w:sz w:val="18"/>
          <w:szCs w:val="18"/>
          <w:lang w:val="es-ES_tradnl"/>
        </w:rPr>
        <w:t xml:space="preserve">n, el organismo </w:t>
      </w:r>
      <w:r>
        <w:rPr>
          <w:spacing w:val="-5"/>
          <w:sz w:val="18"/>
          <w:szCs w:val="18"/>
          <w:lang w:val="es-ES_tradnl"/>
        </w:rPr>
        <w:t>p</w:t>
      </w:r>
      <w:r>
        <w:rPr>
          <w:rFonts w:cs="Times New Roman"/>
          <w:spacing w:val="-5"/>
          <w:sz w:val="18"/>
          <w:szCs w:val="18"/>
          <w:lang w:val="es-ES_tradnl"/>
        </w:rPr>
        <w:t>ú</w:t>
      </w:r>
      <w:r>
        <w:rPr>
          <w:spacing w:val="-5"/>
          <w:sz w:val="18"/>
          <w:szCs w:val="18"/>
          <w:lang w:val="es-ES_tradnl"/>
        </w:rPr>
        <w:t>blico que otorgar</w:t>
      </w:r>
      <w:r>
        <w:rPr>
          <w:rFonts w:cs="Times New Roman"/>
          <w:spacing w:val="-5"/>
          <w:sz w:val="18"/>
          <w:szCs w:val="18"/>
          <w:lang w:val="es-ES_tradnl"/>
        </w:rPr>
        <w:t>á</w:t>
      </w:r>
      <w:r>
        <w:rPr>
          <w:spacing w:val="-5"/>
          <w:sz w:val="18"/>
          <w:szCs w:val="18"/>
          <w:lang w:val="es-ES_tradnl"/>
        </w:rPr>
        <w:t>, mediante concesi</w:t>
      </w:r>
      <w:r>
        <w:rPr>
          <w:rFonts w:cs="Times New Roman"/>
          <w:spacing w:val="-5"/>
          <w:sz w:val="18"/>
          <w:szCs w:val="18"/>
          <w:lang w:val="es-ES_tradnl"/>
        </w:rPr>
        <w:t>ó</w:t>
      </w:r>
      <w:r>
        <w:rPr>
          <w:spacing w:val="-5"/>
          <w:sz w:val="18"/>
          <w:szCs w:val="18"/>
          <w:lang w:val="es-ES_tradnl"/>
        </w:rPr>
        <w:t>n, la asignaci</w:t>
      </w:r>
      <w:r>
        <w:rPr>
          <w:rFonts w:cs="Times New Roman"/>
          <w:spacing w:val="-5"/>
          <w:sz w:val="18"/>
          <w:szCs w:val="18"/>
          <w:lang w:val="es-ES_tradnl"/>
        </w:rPr>
        <w:t>ó</w:t>
      </w:r>
      <w:r>
        <w:rPr>
          <w:spacing w:val="-5"/>
          <w:sz w:val="18"/>
          <w:szCs w:val="18"/>
          <w:lang w:val="es-ES_tradnl"/>
        </w:rPr>
        <w:t>n de determinado espectro radioel</w:t>
      </w:r>
      <w:r>
        <w:rPr>
          <w:rFonts w:cs="Times New Roman"/>
          <w:spacing w:val="-5"/>
          <w:sz w:val="18"/>
          <w:szCs w:val="18"/>
          <w:lang w:val="es-ES_tradnl"/>
        </w:rPr>
        <w:t>é</w:t>
      </w:r>
      <w:r>
        <w:rPr>
          <w:spacing w:val="-5"/>
          <w:sz w:val="18"/>
          <w:szCs w:val="18"/>
          <w:lang w:val="es-ES_tradnl"/>
        </w:rPr>
        <w:t>ctrico y tambi</w:t>
      </w:r>
      <w:r>
        <w:rPr>
          <w:rFonts w:cs="Times New Roman"/>
          <w:spacing w:val="-5"/>
          <w:sz w:val="18"/>
          <w:szCs w:val="18"/>
          <w:lang w:val="es-ES_tradnl"/>
        </w:rPr>
        <w:t>é</w:t>
      </w:r>
      <w:r>
        <w:rPr>
          <w:spacing w:val="-5"/>
          <w:sz w:val="18"/>
          <w:szCs w:val="18"/>
          <w:lang w:val="es-ES_tradnl"/>
        </w:rPr>
        <w:t xml:space="preserve">n los </w:t>
      </w:r>
      <w:r>
        <w:rPr>
          <w:spacing w:val="-8"/>
          <w:sz w:val="18"/>
          <w:szCs w:val="18"/>
          <w:lang w:val="es-ES_tradnl"/>
        </w:rPr>
        <w:t>permisos para la instalaci</w:t>
      </w:r>
      <w:r>
        <w:rPr>
          <w:rFonts w:cs="Times New Roman"/>
          <w:spacing w:val="-8"/>
          <w:sz w:val="18"/>
          <w:szCs w:val="18"/>
          <w:lang w:val="es-ES_tradnl"/>
        </w:rPr>
        <w:t>ó</w:t>
      </w:r>
      <w:r>
        <w:rPr>
          <w:spacing w:val="-8"/>
          <w:sz w:val="18"/>
          <w:szCs w:val="18"/>
          <w:lang w:val="es-ES_tradnl"/>
        </w:rPr>
        <w:t>n y operaci</w:t>
      </w:r>
      <w:r>
        <w:rPr>
          <w:rFonts w:cs="Times New Roman"/>
          <w:spacing w:val="-8"/>
          <w:sz w:val="18"/>
          <w:szCs w:val="18"/>
          <w:lang w:val="es-ES_tradnl"/>
        </w:rPr>
        <w:t>ó</w:t>
      </w:r>
      <w:r>
        <w:rPr>
          <w:spacing w:val="-8"/>
          <w:sz w:val="18"/>
          <w:szCs w:val="18"/>
          <w:lang w:val="es-ES_tradnl"/>
        </w:rPr>
        <w:t xml:space="preserve">n de redes privadas </w:t>
      </w:r>
      <w:r>
        <w:rPr>
          <w:spacing w:val="-9"/>
          <w:sz w:val="18"/>
          <w:szCs w:val="18"/>
          <w:lang w:val="es-ES_tradnl"/>
        </w:rPr>
        <w:t xml:space="preserve">para que se lleve a cabo la actividad prevista para el uso de </w:t>
      </w:r>
      <w:r>
        <w:rPr>
          <w:spacing w:val="-6"/>
          <w:sz w:val="18"/>
          <w:szCs w:val="18"/>
          <w:lang w:val="es-ES_tradnl"/>
        </w:rPr>
        <w:t>dicho espectro. Es decir, el CONATEL es el ente p</w:t>
      </w:r>
      <w:r>
        <w:rPr>
          <w:rFonts w:cs="Times New Roman"/>
          <w:spacing w:val="-6"/>
          <w:sz w:val="18"/>
          <w:szCs w:val="18"/>
          <w:lang w:val="es-ES_tradnl"/>
        </w:rPr>
        <w:t>ú</w:t>
      </w:r>
      <w:r>
        <w:rPr>
          <w:spacing w:val="-6"/>
          <w:sz w:val="18"/>
          <w:szCs w:val="18"/>
          <w:lang w:val="es-ES_tradnl"/>
        </w:rPr>
        <w:t xml:space="preserve">blico </w:t>
      </w:r>
      <w:r>
        <w:rPr>
          <w:spacing w:val="-8"/>
          <w:sz w:val="18"/>
          <w:szCs w:val="18"/>
          <w:lang w:val="es-ES_tradnl"/>
        </w:rPr>
        <w:t>llamado a establecer, en representaci</w:t>
      </w:r>
      <w:r>
        <w:rPr>
          <w:rFonts w:cs="Times New Roman"/>
          <w:spacing w:val="-8"/>
          <w:sz w:val="18"/>
          <w:szCs w:val="18"/>
          <w:lang w:val="es-ES_tradnl"/>
        </w:rPr>
        <w:t>ó</w:t>
      </w:r>
      <w:r>
        <w:rPr>
          <w:spacing w:val="-8"/>
          <w:sz w:val="18"/>
          <w:szCs w:val="18"/>
          <w:lang w:val="es-ES_tradnl"/>
        </w:rPr>
        <w:t>n del Estado central, las regulaciones por el uso del espectro radioel</w:t>
      </w:r>
      <w:r>
        <w:rPr>
          <w:rFonts w:cs="Times New Roman"/>
          <w:spacing w:val="-8"/>
          <w:sz w:val="18"/>
          <w:szCs w:val="18"/>
          <w:lang w:val="es-ES_tradnl"/>
        </w:rPr>
        <w:t>é</w:t>
      </w:r>
      <w:r>
        <w:rPr>
          <w:spacing w:val="-8"/>
          <w:sz w:val="18"/>
          <w:szCs w:val="18"/>
          <w:lang w:val="es-ES_tradnl"/>
        </w:rPr>
        <w:t xml:space="preserve">ctrico en la </w:t>
      </w:r>
      <w:r>
        <w:rPr>
          <w:sz w:val="18"/>
          <w:szCs w:val="18"/>
          <w:lang w:val="es-ES_tradnl"/>
        </w:rPr>
        <w:t>actividad de las telecomunicaciones.</w:t>
      </w:r>
    </w:p>
    <w:p w14:paraId="4F67A5F1" w14:textId="77777777" w:rsidR="00591D54" w:rsidRDefault="00591D54">
      <w:pPr>
        <w:shd w:val="clear" w:color="auto" w:fill="FFFFFF"/>
        <w:spacing w:before="202" w:line="221" w:lineRule="exact"/>
        <w:jc w:val="both"/>
      </w:pPr>
      <w:r>
        <w:rPr>
          <w:spacing w:val="-5"/>
          <w:sz w:val="18"/>
          <w:szCs w:val="18"/>
          <w:lang w:val="es-ES_tradnl"/>
        </w:rPr>
        <w:t>Por todo lo expuesto, la Corte Constitucional reitera el criterio de que la competencia para cualquier regulaci</w:t>
      </w:r>
      <w:r>
        <w:rPr>
          <w:rFonts w:cs="Times New Roman"/>
          <w:spacing w:val="-5"/>
          <w:sz w:val="18"/>
          <w:szCs w:val="18"/>
          <w:lang w:val="es-ES_tradnl"/>
        </w:rPr>
        <w:t>ó</w:t>
      </w:r>
      <w:r>
        <w:rPr>
          <w:spacing w:val="-5"/>
          <w:sz w:val="18"/>
          <w:szCs w:val="18"/>
          <w:lang w:val="es-ES_tradnl"/>
        </w:rPr>
        <w:t xml:space="preserve">n </w:t>
      </w:r>
      <w:r>
        <w:rPr>
          <w:spacing w:val="-9"/>
          <w:sz w:val="18"/>
          <w:szCs w:val="18"/>
          <w:lang w:val="es-ES_tradnl"/>
        </w:rPr>
        <w:t>respecto al espectro radioel</w:t>
      </w:r>
      <w:r>
        <w:rPr>
          <w:rFonts w:cs="Times New Roman"/>
          <w:spacing w:val="-9"/>
          <w:sz w:val="18"/>
          <w:szCs w:val="18"/>
          <w:lang w:val="es-ES_tradnl"/>
        </w:rPr>
        <w:t>é</w:t>
      </w:r>
      <w:r>
        <w:rPr>
          <w:spacing w:val="-9"/>
          <w:sz w:val="18"/>
          <w:szCs w:val="18"/>
          <w:lang w:val="es-ES_tradnl"/>
        </w:rPr>
        <w:t xml:space="preserve">ctrico le corresponde al Estado </w:t>
      </w:r>
      <w:r>
        <w:rPr>
          <w:sz w:val="18"/>
          <w:szCs w:val="18"/>
          <w:lang w:val="es-ES_tradnl"/>
        </w:rPr>
        <w:t>central.</w:t>
      </w:r>
    </w:p>
    <w:p w14:paraId="4F67A5F2" w14:textId="77777777" w:rsidR="00591D54" w:rsidRDefault="00591D54">
      <w:pPr>
        <w:shd w:val="clear" w:color="auto" w:fill="FFFFFF"/>
        <w:spacing w:before="197" w:line="221" w:lineRule="exact"/>
        <w:jc w:val="both"/>
      </w:pPr>
      <w:r>
        <w:rPr>
          <w:spacing w:val="-11"/>
          <w:sz w:val="18"/>
          <w:szCs w:val="18"/>
          <w:lang w:val="es-ES_tradnl"/>
        </w:rPr>
        <w:t xml:space="preserve">En tal sentido, respecto del </w:t>
      </w:r>
      <w:r>
        <w:rPr>
          <w:rFonts w:cs="Times New Roman"/>
          <w:spacing w:val="-11"/>
          <w:sz w:val="18"/>
          <w:szCs w:val="18"/>
          <w:lang w:val="es-ES_tradnl"/>
        </w:rPr>
        <w:t>á</w:t>
      </w:r>
      <w:r>
        <w:rPr>
          <w:spacing w:val="-11"/>
          <w:sz w:val="18"/>
          <w:szCs w:val="18"/>
          <w:lang w:val="es-ES_tradnl"/>
        </w:rPr>
        <w:t>mbito del espacio a</w:t>
      </w:r>
      <w:r>
        <w:rPr>
          <w:rFonts w:cs="Times New Roman"/>
          <w:spacing w:val="-11"/>
          <w:sz w:val="18"/>
          <w:szCs w:val="18"/>
          <w:lang w:val="es-ES_tradnl"/>
        </w:rPr>
        <w:t>é</w:t>
      </w:r>
      <w:r>
        <w:rPr>
          <w:spacing w:val="-11"/>
          <w:sz w:val="18"/>
          <w:szCs w:val="18"/>
          <w:lang w:val="es-ES_tradnl"/>
        </w:rPr>
        <w:t xml:space="preserve">reo hay que </w:t>
      </w:r>
      <w:r>
        <w:rPr>
          <w:spacing w:val="-7"/>
          <w:sz w:val="18"/>
          <w:szCs w:val="18"/>
          <w:lang w:val="es-ES_tradnl"/>
        </w:rPr>
        <w:t>se</w:t>
      </w:r>
      <w:r>
        <w:rPr>
          <w:rFonts w:cs="Times New Roman"/>
          <w:spacing w:val="-7"/>
          <w:sz w:val="18"/>
          <w:szCs w:val="18"/>
          <w:lang w:val="es-ES_tradnl"/>
        </w:rPr>
        <w:t>ñ</w:t>
      </w:r>
      <w:r>
        <w:rPr>
          <w:spacing w:val="-7"/>
          <w:sz w:val="18"/>
          <w:szCs w:val="18"/>
          <w:lang w:val="es-ES_tradnl"/>
        </w:rPr>
        <w:t>alar que los Gobiernos Aut</w:t>
      </w:r>
      <w:r>
        <w:rPr>
          <w:rFonts w:cs="Times New Roman"/>
          <w:spacing w:val="-7"/>
          <w:sz w:val="18"/>
          <w:szCs w:val="18"/>
          <w:lang w:val="es-ES_tradnl"/>
        </w:rPr>
        <w:t>ó</w:t>
      </w:r>
      <w:r>
        <w:rPr>
          <w:spacing w:val="-7"/>
          <w:sz w:val="18"/>
          <w:szCs w:val="18"/>
          <w:lang w:val="es-ES_tradnl"/>
        </w:rPr>
        <w:t xml:space="preserve">nomos Descentralizados, </w:t>
      </w:r>
      <w:r>
        <w:rPr>
          <w:spacing w:val="-4"/>
          <w:sz w:val="18"/>
          <w:szCs w:val="18"/>
          <w:lang w:val="es-ES_tradnl"/>
        </w:rPr>
        <w:t>por mandato del art</w:t>
      </w:r>
      <w:r>
        <w:rPr>
          <w:rFonts w:cs="Times New Roman"/>
          <w:spacing w:val="-4"/>
          <w:sz w:val="18"/>
          <w:szCs w:val="18"/>
          <w:lang w:val="es-ES_tradnl"/>
        </w:rPr>
        <w:t>í</w:t>
      </w:r>
      <w:r>
        <w:rPr>
          <w:spacing w:val="-4"/>
          <w:sz w:val="18"/>
          <w:szCs w:val="18"/>
          <w:lang w:val="es-ES_tradnl"/>
        </w:rPr>
        <w:t>culo 262 de la Constituci</w:t>
      </w:r>
      <w:r>
        <w:rPr>
          <w:rFonts w:cs="Times New Roman"/>
          <w:spacing w:val="-4"/>
          <w:sz w:val="18"/>
          <w:szCs w:val="18"/>
          <w:lang w:val="es-ES_tradnl"/>
        </w:rPr>
        <w:t>ó</w:t>
      </w:r>
      <w:r>
        <w:rPr>
          <w:spacing w:val="-4"/>
          <w:sz w:val="18"/>
          <w:szCs w:val="18"/>
          <w:lang w:val="es-ES_tradnl"/>
        </w:rPr>
        <w:t xml:space="preserve">n de la </w:t>
      </w:r>
      <w:r>
        <w:rPr>
          <w:spacing w:val="-8"/>
          <w:sz w:val="18"/>
          <w:szCs w:val="18"/>
          <w:lang w:val="es-ES_tradnl"/>
        </w:rPr>
        <w:t>Rep</w:t>
      </w:r>
      <w:r>
        <w:rPr>
          <w:rFonts w:cs="Times New Roman"/>
          <w:spacing w:val="-8"/>
          <w:sz w:val="18"/>
          <w:szCs w:val="18"/>
          <w:lang w:val="es-ES_tradnl"/>
        </w:rPr>
        <w:t>ú</w:t>
      </w:r>
      <w:r>
        <w:rPr>
          <w:spacing w:val="-8"/>
          <w:sz w:val="18"/>
          <w:szCs w:val="18"/>
          <w:lang w:val="es-ES_tradnl"/>
        </w:rPr>
        <w:t xml:space="preserve">blica, poseen las siguientes competencias exclusivas, </w:t>
      </w:r>
      <w:r>
        <w:rPr>
          <w:spacing w:val="-7"/>
          <w:sz w:val="18"/>
          <w:szCs w:val="18"/>
          <w:lang w:val="es-ES_tradnl"/>
        </w:rPr>
        <w:t xml:space="preserve">sin perjuicio de las otras que determine la ley que regule el </w:t>
      </w:r>
      <w:r>
        <w:rPr>
          <w:sz w:val="18"/>
          <w:szCs w:val="18"/>
          <w:lang w:val="es-ES_tradnl"/>
        </w:rPr>
        <w:t>sistema nacional de competencias:</w:t>
      </w:r>
    </w:p>
    <w:p w14:paraId="4F67A5F3" w14:textId="77777777" w:rsidR="00591D54" w:rsidRDefault="00591D54" w:rsidP="00251195">
      <w:pPr>
        <w:numPr>
          <w:ilvl w:val="0"/>
          <w:numId w:val="27"/>
        </w:numPr>
        <w:shd w:val="clear" w:color="auto" w:fill="FFFFFF"/>
        <w:tabs>
          <w:tab w:val="left" w:pos="566"/>
        </w:tabs>
        <w:spacing w:before="211" w:line="216" w:lineRule="exact"/>
        <w:ind w:left="566" w:hanging="283"/>
        <w:jc w:val="both"/>
        <w:rPr>
          <w:spacing w:val="-10"/>
          <w:sz w:val="16"/>
          <w:szCs w:val="16"/>
          <w:lang w:val="es-ES_tradnl"/>
        </w:rPr>
      </w:pPr>
      <w:r>
        <w:rPr>
          <w:spacing w:val="-1"/>
          <w:sz w:val="16"/>
          <w:szCs w:val="16"/>
          <w:lang w:val="es-ES_tradnl"/>
        </w:rPr>
        <w:t>Planificar</w:t>
      </w:r>
      <w:r>
        <w:rPr>
          <w:spacing w:val="-1"/>
          <w:sz w:val="18"/>
          <w:szCs w:val="18"/>
          <w:lang w:val="es-ES_tradnl"/>
        </w:rPr>
        <w:t xml:space="preserve"> </w:t>
      </w:r>
      <w:r>
        <w:rPr>
          <w:spacing w:val="-1"/>
          <w:sz w:val="16"/>
          <w:szCs w:val="16"/>
          <w:lang w:val="es-ES_tradnl"/>
        </w:rPr>
        <w:t>el</w:t>
      </w:r>
      <w:r>
        <w:rPr>
          <w:spacing w:val="-1"/>
          <w:sz w:val="18"/>
          <w:szCs w:val="18"/>
          <w:lang w:val="es-ES_tradnl"/>
        </w:rPr>
        <w:t xml:space="preserve"> </w:t>
      </w:r>
      <w:r>
        <w:rPr>
          <w:spacing w:val="-1"/>
          <w:sz w:val="16"/>
          <w:szCs w:val="16"/>
          <w:lang w:val="es-ES_tradnl"/>
        </w:rPr>
        <w:t>desarrollo</w:t>
      </w:r>
      <w:r>
        <w:rPr>
          <w:spacing w:val="-1"/>
          <w:sz w:val="18"/>
          <w:szCs w:val="18"/>
          <w:lang w:val="es-ES_tradnl"/>
        </w:rPr>
        <w:t xml:space="preserve"> </w:t>
      </w:r>
      <w:r>
        <w:rPr>
          <w:spacing w:val="-1"/>
          <w:sz w:val="16"/>
          <w:szCs w:val="16"/>
          <w:lang w:val="es-ES_tradnl"/>
        </w:rPr>
        <w:t>regional</w:t>
      </w:r>
      <w:r>
        <w:rPr>
          <w:spacing w:val="-1"/>
          <w:sz w:val="18"/>
          <w:szCs w:val="18"/>
          <w:lang w:val="es-ES_tradnl"/>
        </w:rPr>
        <w:t xml:space="preserve"> </w:t>
      </w:r>
      <w:r>
        <w:rPr>
          <w:spacing w:val="-1"/>
          <w:sz w:val="16"/>
          <w:szCs w:val="16"/>
          <w:lang w:val="es-ES_tradnl"/>
        </w:rPr>
        <w:t>y</w:t>
      </w:r>
      <w:r>
        <w:rPr>
          <w:spacing w:val="-1"/>
          <w:sz w:val="18"/>
          <w:szCs w:val="18"/>
          <w:lang w:val="es-ES_tradnl"/>
        </w:rPr>
        <w:t xml:space="preserve"> </w:t>
      </w:r>
      <w:r>
        <w:rPr>
          <w:spacing w:val="-1"/>
          <w:sz w:val="16"/>
          <w:szCs w:val="16"/>
          <w:lang w:val="es-ES_tradnl"/>
        </w:rPr>
        <w:t>formular</w:t>
      </w:r>
      <w:r>
        <w:rPr>
          <w:spacing w:val="-1"/>
          <w:sz w:val="18"/>
          <w:szCs w:val="18"/>
          <w:lang w:val="es-ES_tradnl"/>
        </w:rPr>
        <w:t xml:space="preserve"> </w:t>
      </w:r>
      <w:r>
        <w:rPr>
          <w:spacing w:val="-1"/>
          <w:sz w:val="16"/>
          <w:szCs w:val="16"/>
          <w:lang w:val="es-ES_tradnl"/>
        </w:rPr>
        <w:t xml:space="preserve">los correspondientes planes de ordenamiento territorial, </w:t>
      </w:r>
      <w:r>
        <w:rPr>
          <w:spacing w:val="-4"/>
          <w:sz w:val="16"/>
          <w:szCs w:val="16"/>
          <w:lang w:val="es-ES_tradnl"/>
        </w:rPr>
        <w:t>de manera articulada con la planificaci</w:t>
      </w:r>
      <w:r>
        <w:rPr>
          <w:rFonts w:cs="Times New Roman"/>
          <w:spacing w:val="-4"/>
          <w:sz w:val="16"/>
          <w:szCs w:val="16"/>
          <w:lang w:val="es-ES_tradnl"/>
        </w:rPr>
        <w:t>ó</w:t>
      </w:r>
      <w:r>
        <w:rPr>
          <w:spacing w:val="-4"/>
          <w:sz w:val="16"/>
          <w:szCs w:val="16"/>
          <w:lang w:val="es-ES_tradnl"/>
        </w:rPr>
        <w:t xml:space="preserve">n nacional, </w:t>
      </w:r>
      <w:r>
        <w:rPr>
          <w:sz w:val="16"/>
          <w:szCs w:val="16"/>
          <w:lang w:val="es-ES_tradnl"/>
        </w:rPr>
        <w:t>provincial, cantonal y parroquial.</w:t>
      </w:r>
    </w:p>
    <w:p w14:paraId="4F67A5F4" w14:textId="77777777" w:rsidR="00591D54" w:rsidRDefault="00591D54" w:rsidP="00251195">
      <w:pPr>
        <w:numPr>
          <w:ilvl w:val="0"/>
          <w:numId w:val="27"/>
        </w:numPr>
        <w:shd w:val="clear" w:color="auto" w:fill="FFFFFF"/>
        <w:tabs>
          <w:tab w:val="left" w:pos="566"/>
        </w:tabs>
        <w:spacing w:line="216" w:lineRule="exact"/>
        <w:ind w:left="566" w:hanging="283"/>
        <w:jc w:val="both"/>
        <w:rPr>
          <w:spacing w:val="-10"/>
          <w:sz w:val="16"/>
          <w:szCs w:val="16"/>
          <w:lang w:val="es-ES_tradnl"/>
        </w:rPr>
      </w:pPr>
      <w:r>
        <w:rPr>
          <w:spacing w:val="-6"/>
          <w:sz w:val="16"/>
          <w:szCs w:val="16"/>
          <w:lang w:val="es-ES_tradnl"/>
        </w:rPr>
        <w:t>Gestionar</w:t>
      </w:r>
      <w:r>
        <w:rPr>
          <w:spacing w:val="-6"/>
          <w:sz w:val="18"/>
          <w:szCs w:val="18"/>
          <w:lang w:val="es-ES_tradnl"/>
        </w:rPr>
        <w:t xml:space="preserve"> </w:t>
      </w:r>
      <w:r>
        <w:rPr>
          <w:spacing w:val="-6"/>
          <w:sz w:val="16"/>
          <w:szCs w:val="16"/>
          <w:lang w:val="es-ES_tradnl"/>
        </w:rPr>
        <w:t>el</w:t>
      </w:r>
      <w:r>
        <w:rPr>
          <w:spacing w:val="-6"/>
          <w:sz w:val="18"/>
          <w:szCs w:val="18"/>
          <w:lang w:val="es-ES_tradnl"/>
        </w:rPr>
        <w:t xml:space="preserve"> </w:t>
      </w:r>
      <w:r>
        <w:rPr>
          <w:spacing w:val="-6"/>
          <w:sz w:val="16"/>
          <w:szCs w:val="16"/>
          <w:lang w:val="es-ES_tradnl"/>
        </w:rPr>
        <w:t>ordenamiento</w:t>
      </w:r>
      <w:r>
        <w:rPr>
          <w:spacing w:val="-6"/>
          <w:sz w:val="18"/>
          <w:szCs w:val="18"/>
          <w:lang w:val="es-ES_tradnl"/>
        </w:rPr>
        <w:t xml:space="preserve"> </w:t>
      </w:r>
      <w:r>
        <w:rPr>
          <w:spacing w:val="-6"/>
          <w:sz w:val="16"/>
          <w:szCs w:val="16"/>
          <w:lang w:val="es-ES_tradnl"/>
        </w:rPr>
        <w:t>de</w:t>
      </w:r>
      <w:r>
        <w:rPr>
          <w:spacing w:val="-6"/>
          <w:sz w:val="18"/>
          <w:szCs w:val="18"/>
          <w:lang w:val="es-ES_tradnl"/>
        </w:rPr>
        <w:t xml:space="preserve"> </w:t>
      </w:r>
      <w:r>
        <w:rPr>
          <w:spacing w:val="-6"/>
          <w:sz w:val="16"/>
          <w:szCs w:val="16"/>
          <w:lang w:val="es-ES_tradnl"/>
        </w:rPr>
        <w:t>cuencas</w:t>
      </w:r>
      <w:r>
        <w:rPr>
          <w:spacing w:val="-6"/>
          <w:sz w:val="18"/>
          <w:szCs w:val="18"/>
          <w:lang w:val="es-ES_tradnl"/>
        </w:rPr>
        <w:t xml:space="preserve"> </w:t>
      </w:r>
      <w:r>
        <w:rPr>
          <w:spacing w:val="-6"/>
          <w:sz w:val="16"/>
          <w:szCs w:val="16"/>
          <w:lang w:val="es-ES_tradnl"/>
        </w:rPr>
        <w:t>hidrogr</w:t>
      </w:r>
      <w:r>
        <w:rPr>
          <w:rFonts w:cs="Times New Roman"/>
          <w:spacing w:val="-6"/>
          <w:sz w:val="16"/>
          <w:szCs w:val="16"/>
          <w:lang w:val="es-ES_tradnl"/>
        </w:rPr>
        <w:t>á</w:t>
      </w:r>
      <w:r>
        <w:rPr>
          <w:spacing w:val="-6"/>
          <w:sz w:val="16"/>
          <w:szCs w:val="16"/>
          <w:lang w:val="es-ES_tradnl"/>
        </w:rPr>
        <w:t>ficas</w:t>
      </w:r>
      <w:r>
        <w:rPr>
          <w:spacing w:val="-6"/>
          <w:sz w:val="18"/>
          <w:szCs w:val="18"/>
          <w:lang w:val="es-ES_tradnl"/>
        </w:rPr>
        <w:t xml:space="preserve"> </w:t>
      </w:r>
      <w:r>
        <w:rPr>
          <w:spacing w:val="-6"/>
          <w:sz w:val="16"/>
          <w:szCs w:val="16"/>
          <w:lang w:val="es-ES_tradnl"/>
        </w:rPr>
        <w:t xml:space="preserve">y </w:t>
      </w:r>
      <w:r>
        <w:rPr>
          <w:spacing w:val="-7"/>
          <w:sz w:val="16"/>
          <w:szCs w:val="16"/>
          <w:lang w:val="es-ES_tradnl"/>
        </w:rPr>
        <w:t>propiciar la creaci</w:t>
      </w:r>
      <w:r>
        <w:rPr>
          <w:rFonts w:cs="Times New Roman"/>
          <w:spacing w:val="-7"/>
          <w:sz w:val="16"/>
          <w:szCs w:val="16"/>
          <w:lang w:val="es-ES_tradnl"/>
        </w:rPr>
        <w:t>ó</w:t>
      </w:r>
      <w:r>
        <w:rPr>
          <w:spacing w:val="-7"/>
          <w:sz w:val="16"/>
          <w:szCs w:val="16"/>
          <w:lang w:val="es-ES_tradnl"/>
        </w:rPr>
        <w:t xml:space="preserve">n de consejos de cuenca, de acuerdo </w:t>
      </w:r>
      <w:r>
        <w:rPr>
          <w:sz w:val="16"/>
          <w:szCs w:val="16"/>
          <w:lang w:val="es-ES_tradnl"/>
        </w:rPr>
        <w:t>con la ley.</w:t>
      </w:r>
    </w:p>
    <w:p w14:paraId="4F67A5F5" w14:textId="77777777" w:rsidR="00591D54" w:rsidRDefault="00591D54" w:rsidP="00251195">
      <w:pPr>
        <w:numPr>
          <w:ilvl w:val="0"/>
          <w:numId w:val="27"/>
        </w:numPr>
        <w:shd w:val="clear" w:color="auto" w:fill="FFFFFF"/>
        <w:tabs>
          <w:tab w:val="left" w:pos="566"/>
        </w:tabs>
        <w:spacing w:line="216" w:lineRule="exact"/>
        <w:ind w:left="566" w:hanging="283"/>
        <w:jc w:val="both"/>
        <w:rPr>
          <w:spacing w:val="-10"/>
          <w:sz w:val="16"/>
          <w:szCs w:val="16"/>
          <w:lang w:val="es-ES_tradnl"/>
        </w:rPr>
        <w:sectPr w:rsidR="00591D54">
          <w:type w:val="continuous"/>
          <w:pgSz w:w="11909" w:h="16834"/>
          <w:pgMar w:top="1356" w:right="1309" w:bottom="360" w:left="1308" w:header="720" w:footer="720" w:gutter="0"/>
          <w:cols w:num="2" w:space="720" w:equalWidth="0">
            <w:col w:w="4305" w:space="682"/>
            <w:col w:w="4305"/>
          </w:cols>
          <w:noEndnote/>
        </w:sectPr>
      </w:pPr>
    </w:p>
    <w:p w14:paraId="4F67A5F6" w14:textId="77777777" w:rsidR="00591D54" w:rsidRDefault="00591D54">
      <w:pPr>
        <w:shd w:val="clear" w:color="auto" w:fill="FFFFFF"/>
        <w:tabs>
          <w:tab w:val="left" w:pos="4814"/>
        </w:tabs>
        <w:spacing w:after="230"/>
        <w:ind w:left="5"/>
      </w:pPr>
      <w:r>
        <w:rPr>
          <w:b/>
          <w:bCs/>
          <w:sz w:val="18"/>
          <w:szCs w:val="18"/>
          <w:lang w:val="es-ES_tradnl"/>
        </w:rPr>
        <w:t xml:space="preserve">34 -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5F7" w14:textId="77777777" w:rsidR="00591D54" w:rsidRDefault="00591D54">
      <w:pPr>
        <w:shd w:val="clear" w:color="auto" w:fill="FFFFFF"/>
        <w:tabs>
          <w:tab w:val="left" w:pos="4814"/>
        </w:tabs>
        <w:spacing w:after="230"/>
        <w:ind w:left="5"/>
        <w:sectPr w:rsidR="00591D54">
          <w:pgSz w:w="11909" w:h="16834"/>
          <w:pgMar w:top="1373" w:right="1309" w:bottom="360" w:left="1308" w:header="720" w:footer="720" w:gutter="0"/>
          <w:cols w:space="60"/>
          <w:noEndnote/>
        </w:sectPr>
      </w:pPr>
    </w:p>
    <w:p w14:paraId="4F67A5F8" w14:textId="77777777" w:rsidR="00591D54" w:rsidRDefault="00591D54" w:rsidP="00251195">
      <w:pPr>
        <w:numPr>
          <w:ilvl w:val="0"/>
          <w:numId w:val="28"/>
        </w:numPr>
        <w:shd w:val="clear" w:color="auto" w:fill="FFFFFF"/>
        <w:tabs>
          <w:tab w:val="left" w:pos="566"/>
        </w:tabs>
        <w:spacing w:line="216" w:lineRule="exact"/>
        <w:ind w:left="566" w:right="5" w:hanging="283"/>
        <w:jc w:val="both"/>
        <w:rPr>
          <w:spacing w:val="-10"/>
          <w:sz w:val="16"/>
          <w:szCs w:val="16"/>
          <w:lang w:val="es-ES_tradnl"/>
        </w:rPr>
      </w:pPr>
      <w:r>
        <w:rPr>
          <w:spacing w:val="-4"/>
          <w:sz w:val="16"/>
          <w:szCs w:val="16"/>
          <w:lang w:val="es-ES_tradnl"/>
        </w:rPr>
        <w:t>Planificar,</w:t>
      </w:r>
      <w:r>
        <w:rPr>
          <w:spacing w:val="-4"/>
          <w:sz w:val="18"/>
          <w:szCs w:val="18"/>
          <w:lang w:val="es-ES_tradnl"/>
        </w:rPr>
        <w:t xml:space="preserve"> </w:t>
      </w:r>
      <w:r>
        <w:rPr>
          <w:spacing w:val="-4"/>
          <w:sz w:val="16"/>
          <w:szCs w:val="16"/>
          <w:lang w:val="es-ES_tradnl"/>
        </w:rPr>
        <w:t>regular</w:t>
      </w:r>
      <w:r>
        <w:rPr>
          <w:spacing w:val="-4"/>
          <w:sz w:val="18"/>
          <w:szCs w:val="18"/>
          <w:lang w:val="es-ES_tradnl"/>
        </w:rPr>
        <w:t xml:space="preserve"> </w:t>
      </w:r>
      <w:r>
        <w:rPr>
          <w:spacing w:val="-4"/>
          <w:sz w:val="16"/>
          <w:szCs w:val="16"/>
          <w:lang w:val="es-ES_tradnl"/>
        </w:rPr>
        <w:t>y</w:t>
      </w:r>
      <w:r>
        <w:rPr>
          <w:spacing w:val="-4"/>
          <w:sz w:val="18"/>
          <w:szCs w:val="18"/>
          <w:lang w:val="es-ES_tradnl"/>
        </w:rPr>
        <w:t xml:space="preserve"> </w:t>
      </w:r>
      <w:r>
        <w:rPr>
          <w:spacing w:val="-4"/>
          <w:sz w:val="16"/>
          <w:szCs w:val="16"/>
          <w:lang w:val="es-ES_tradnl"/>
        </w:rPr>
        <w:t>controlar</w:t>
      </w:r>
      <w:r>
        <w:rPr>
          <w:spacing w:val="-4"/>
          <w:sz w:val="18"/>
          <w:szCs w:val="18"/>
          <w:lang w:val="es-ES_tradnl"/>
        </w:rPr>
        <w:t xml:space="preserve"> </w:t>
      </w:r>
      <w:r>
        <w:rPr>
          <w:spacing w:val="-4"/>
          <w:sz w:val="16"/>
          <w:szCs w:val="16"/>
          <w:lang w:val="es-ES_tradnl"/>
        </w:rPr>
        <w:t>el</w:t>
      </w:r>
      <w:r>
        <w:rPr>
          <w:spacing w:val="-4"/>
          <w:sz w:val="18"/>
          <w:szCs w:val="18"/>
          <w:lang w:val="es-ES_tradnl"/>
        </w:rPr>
        <w:t xml:space="preserve"> </w:t>
      </w:r>
      <w:r>
        <w:rPr>
          <w:spacing w:val="-4"/>
          <w:sz w:val="16"/>
          <w:szCs w:val="16"/>
          <w:lang w:val="es-ES_tradnl"/>
        </w:rPr>
        <w:t>tr</w:t>
      </w:r>
      <w:r>
        <w:rPr>
          <w:rFonts w:cs="Times New Roman"/>
          <w:spacing w:val="-4"/>
          <w:sz w:val="16"/>
          <w:szCs w:val="16"/>
          <w:lang w:val="es-ES_tradnl"/>
        </w:rPr>
        <w:t>á</w:t>
      </w:r>
      <w:r>
        <w:rPr>
          <w:spacing w:val="-4"/>
          <w:sz w:val="16"/>
          <w:szCs w:val="16"/>
          <w:lang w:val="es-ES_tradnl"/>
        </w:rPr>
        <w:t>nsito</w:t>
      </w:r>
      <w:r>
        <w:rPr>
          <w:spacing w:val="-4"/>
          <w:sz w:val="18"/>
          <w:szCs w:val="18"/>
          <w:lang w:val="es-ES_tradnl"/>
        </w:rPr>
        <w:t xml:space="preserve"> </w:t>
      </w:r>
      <w:r>
        <w:rPr>
          <w:spacing w:val="-4"/>
          <w:sz w:val="16"/>
          <w:szCs w:val="16"/>
          <w:lang w:val="es-ES_tradnl"/>
        </w:rPr>
        <w:t>y</w:t>
      </w:r>
      <w:r>
        <w:rPr>
          <w:spacing w:val="-4"/>
          <w:sz w:val="18"/>
          <w:szCs w:val="18"/>
          <w:lang w:val="es-ES_tradnl"/>
        </w:rPr>
        <w:t xml:space="preserve"> </w:t>
      </w:r>
      <w:r>
        <w:rPr>
          <w:spacing w:val="-4"/>
          <w:sz w:val="16"/>
          <w:szCs w:val="16"/>
          <w:lang w:val="es-ES_tradnl"/>
        </w:rPr>
        <w:t>el</w:t>
      </w:r>
      <w:r>
        <w:rPr>
          <w:spacing w:val="-4"/>
          <w:sz w:val="18"/>
          <w:szCs w:val="18"/>
          <w:lang w:val="es-ES_tradnl"/>
        </w:rPr>
        <w:t xml:space="preserve"> </w:t>
      </w:r>
      <w:r>
        <w:rPr>
          <w:spacing w:val="-4"/>
          <w:sz w:val="16"/>
          <w:szCs w:val="16"/>
          <w:lang w:val="es-ES_tradnl"/>
        </w:rPr>
        <w:t xml:space="preserve">transporte regional y el cantonal en tanto no lo asuman las </w:t>
      </w:r>
      <w:r>
        <w:rPr>
          <w:sz w:val="16"/>
          <w:szCs w:val="16"/>
          <w:lang w:val="es-ES_tradnl"/>
        </w:rPr>
        <w:t>municipalidades.</w:t>
      </w:r>
    </w:p>
    <w:p w14:paraId="4F67A5F9" w14:textId="77777777" w:rsidR="00591D54" w:rsidRDefault="00591D54" w:rsidP="00251195">
      <w:pPr>
        <w:numPr>
          <w:ilvl w:val="0"/>
          <w:numId w:val="28"/>
        </w:numPr>
        <w:shd w:val="clear" w:color="auto" w:fill="FFFFFF"/>
        <w:tabs>
          <w:tab w:val="left" w:pos="566"/>
        </w:tabs>
        <w:spacing w:line="216" w:lineRule="exact"/>
        <w:ind w:left="566" w:right="5" w:hanging="283"/>
        <w:jc w:val="both"/>
        <w:rPr>
          <w:spacing w:val="-10"/>
          <w:sz w:val="16"/>
          <w:szCs w:val="16"/>
          <w:lang w:val="es-ES_tradnl"/>
        </w:rPr>
      </w:pPr>
      <w:r>
        <w:rPr>
          <w:spacing w:val="-6"/>
          <w:sz w:val="16"/>
          <w:szCs w:val="16"/>
          <w:lang w:val="es-ES_tradnl"/>
        </w:rPr>
        <w:t>Planificar,</w:t>
      </w:r>
      <w:r>
        <w:rPr>
          <w:spacing w:val="-6"/>
          <w:sz w:val="18"/>
          <w:szCs w:val="18"/>
          <w:lang w:val="es-ES_tradnl"/>
        </w:rPr>
        <w:t xml:space="preserve"> </w:t>
      </w:r>
      <w:r>
        <w:rPr>
          <w:spacing w:val="-6"/>
          <w:sz w:val="16"/>
          <w:szCs w:val="16"/>
          <w:lang w:val="es-ES_tradnl"/>
        </w:rPr>
        <w:t>construir</w:t>
      </w:r>
      <w:r>
        <w:rPr>
          <w:spacing w:val="-6"/>
          <w:sz w:val="18"/>
          <w:szCs w:val="18"/>
          <w:lang w:val="es-ES_tradnl"/>
        </w:rPr>
        <w:t xml:space="preserve"> </w:t>
      </w:r>
      <w:r>
        <w:rPr>
          <w:spacing w:val="-6"/>
          <w:sz w:val="16"/>
          <w:szCs w:val="16"/>
          <w:lang w:val="es-ES_tradnl"/>
        </w:rPr>
        <w:t>y</w:t>
      </w:r>
      <w:r>
        <w:rPr>
          <w:spacing w:val="-6"/>
          <w:sz w:val="18"/>
          <w:szCs w:val="18"/>
          <w:lang w:val="es-ES_tradnl"/>
        </w:rPr>
        <w:t xml:space="preserve"> </w:t>
      </w:r>
      <w:r>
        <w:rPr>
          <w:spacing w:val="-6"/>
          <w:sz w:val="16"/>
          <w:szCs w:val="16"/>
          <w:lang w:val="es-ES_tradnl"/>
        </w:rPr>
        <w:t>mantener</w:t>
      </w:r>
      <w:r>
        <w:rPr>
          <w:spacing w:val="-6"/>
          <w:sz w:val="18"/>
          <w:szCs w:val="18"/>
          <w:lang w:val="es-ES_tradnl"/>
        </w:rPr>
        <w:t xml:space="preserve"> </w:t>
      </w:r>
      <w:r>
        <w:rPr>
          <w:spacing w:val="-6"/>
          <w:sz w:val="16"/>
          <w:szCs w:val="16"/>
          <w:lang w:val="es-ES_tradnl"/>
        </w:rPr>
        <w:t>el</w:t>
      </w:r>
      <w:r>
        <w:rPr>
          <w:spacing w:val="-6"/>
          <w:sz w:val="18"/>
          <w:szCs w:val="18"/>
          <w:lang w:val="es-ES_tradnl"/>
        </w:rPr>
        <w:t xml:space="preserve"> </w:t>
      </w:r>
      <w:r>
        <w:rPr>
          <w:spacing w:val="-6"/>
          <w:sz w:val="16"/>
          <w:szCs w:val="16"/>
          <w:lang w:val="es-ES_tradnl"/>
        </w:rPr>
        <w:t>sistema</w:t>
      </w:r>
      <w:r>
        <w:rPr>
          <w:spacing w:val="-6"/>
          <w:sz w:val="18"/>
          <w:szCs w:val="18"/>
          <w:lang w:val="es-ES_tradnl"/>
        </w:rPr>
        <w:t xml:space="preserve"> </w:t>
      </w:r>
      <w:r>
        <w:rPr>
          <w:spacing w:val="-6"/>
          <w:sz w:val="16"/>
          <w:szCs w:val="16"/>
          <w:lang w:val="es-ES_tradnl"/>
        </w:rPr>
        <w:t>vial</w:t>
      </w:r>
      <w:r>
        <w:rPr>
          <w:spacing w:val="-6"/>
          <w:sz w:val="18"/>
          <w:szCs w:val="18"/>
          <w:lang w:val="es-ES_tradnl"/>
        </w:rPr>
        <w:t xml:space="preserve"> </w:t>
      </w:r>
      <w:r>
        <w:rPr>
          <w:spacing w:val="-6"/>
          <w:sz w:val="16"/>
          <w:szCs w:val="16"/>
          <w:lang w:val="es-ES_tradnl"/>
        </w:rPr>
        <w:t>de</w:t>
      </w:r>
      <w:r>
        <w:rPr>
          <w:spacing w:val="-6"/>
          <w:sz w:val="18"/>
          <w:szCs w:val="18"/>
          <w:lang w:val="es-ES_tradnl"/>
        </w:rPr>
        <w:t xml:space="preserve"> </w:t>
      </w:r>
      <w:r>
        <w:rPr>
          <w:rFonts w:cs="Times New Roman"/>
          <w:spacing w:val="-6"/>
          <w:sz w:val="16"/>
          <w:szCs w:val="16"/>
          <w:lang w:val="es-ES_tradnl"/>
        </w:rPr>
        <w:t>á</w:t>
      </w:r>
      <w:r>
        <w:rPr>
          <w:spacing w:val="-6"/>
          <w:sz w:val="16"/>
          <w:szCs w:val="16"/>
          <w:lang w:val="es-ES_tradnl"/>
        </w:rPr>
        <w:t xml:space="preserve">mbito </w:t>
      </w:r>
      <w:r>
        <w:rPr>
          <w:sz w:val="16"/>
          <w:szCs w:val="16"/>
          <w:lang w:val="es-ES_tradnl"/>
        </w:rPr>
        <w:t>regional.</w:t>
      </w:r>
    </w:p>
    <w:p w14:paraId="4F67A5FA" w14:textId="77777777" w:rsidR="00591D54" w:rsidRDefault="00591D54" w:rsidP="00251195">
      <w:pPr>
        <w:numPr>
          <w:ilvl w:val="0"/>
          <w:numId w:val="28"/>
        </w:numPr>
        <w:shd w:val="clear" w:color="auto" w:fill="FFFFFF"/>
        <w:tabs>
          <w:tab w:val="left" w:pos="566"/>
        </w:tabs>
        <w:spacing w:line="216" w:lineRule="exact"/>
        <w:ind w:left="566" w:right="5" w:hanging="283"/>
        <w:jc w:val="both"/>
        <w:rPr>
          <w:spacing w:val="-10"/>
          <w:sz w:val="16"/>
          <w:szCs w:val="16"/>
          <w:lang w:val="es-ES_tradnl"/>
        </w:rPr>
      </w:pPr>
      <w:r>
        <w:rPr>
          <w:spacing w:val="-5"/>
          <w:sz w:val="16"/>
          <w:szCs w:val="16"/>
          <w:lang w:val="es-ES_tradnl"/>
        </w:rPr>
        <w:t>Otorgar</w:t>
      </w:r>
      <w:r>
        <w:rPr>
          <w:spacing w:val="-5"/>
          <w:sz w:val="18"/>
          <w:szCs w:val="18"/>
          <w:lang w:val="es-ES_tradnl"/>
        </w:rPr>
        <w:t xml:space="preserve"> </w:t>
      </w:r>
      <w:r>
        <w:rPr>
          <w:spacing w:val="-5"/>
          <w:sz w:val="16"/>
          <w:szCs w:val="16"/>
          <w:lang w:val="es-ES_tradnl"/>
        </w:rPr>
        <w:t>personalidad</w:t>
      </w:r>
      <w:r>
        <w:rPr>
          <w:spacing w:val="-5"/>
          <w:sz w:val="18"/>
          <w:szCs w:val="18"/>
          <w:lang w:val="es-ES_tradnl"/>
        </w:rPr>
        <w:t xml:space="preserve"> </w:t>
      </w:r>
      <w:r>
        <w:rPr>
          <w:spacing w:val="-5"/>
          <w:sz w:val="16"/>
          <w:szCs w:val="16"/>
          <w:lang w:val="es-ES_tradnl"/>
        </w:rPr>
        <w:t>jur</w:t>
      </w:r>
      <w:r>
        <w:rPr>
          <w:rFonts w:cs="Times New Roman"/>
          <w:spacing w:val="-5"/>
          <w:sz w:val="16"/>
          <w:szCs w:val="16"/>
          <w:lang w:val="es-ES_tradnl"/>
        </w:rPr>
        <w:t>í</w:t>
      </w:r>
      <w:r>
        <w:rPr>
          <w:spacing w:val="-5"/>
          <w:sz w:val="16"/>
          <w:szCs w:val="16"/>
          <w:lang w:val="es-ES_tradnl"/>
        </w:rPr>
        <w:t>dica,</w:t>
      </w:r>
      <w:r>
        <w:rPr>
          <w:spacing w:val="-5"/>
          <w:sz w:val="18"/>
          <w:szCs w:val="18"/>
          <w:lang w:val="es-ES_tradnl"/>
        </w:rPr>
        <w:t xml:space="preserve"> </w:t>
      </w:r>
      <w:r>
        <w:rPr>
          <w:spacing w:val="-5"/>
          <w:sz w:val="16"/>
          <w:szCs w:val="16"/>
          <w:lang w:val="es-ES_tradnl"/>
        </w:rPr>
        <w:t>registrar</w:t>
      </w:r>
      <w:r>
        <w:rPr>
          <w:spacing w:val="-5"/>
          <w:sz w:val="18"/>
          <w:szCs w:val="18"/>
          <w:lang w:val="es-ES_tradnl"/>
        </w:rPr>
        <w:t xml:space="preserve"> </w:t>
      </w:r>
      <w:r>
        <w:rPr>
          <w:spacing w:val="-5"/>
          <w:sz w:val="16"/>
          <w:szCs w:val="16"/>
          <w:lang w:val="es-ES_tradnl"/>
        </w:rPr>
        <w:t>y</w:t>
      </w:r>
      <w:r>
        <w:rPr>
          <w:spacing w:val="-5"/>
          <w:sz w:val="18"/>
          <w:szCs w:val="18"/>
          <w:lang w:val="es-ES_tradnl"/>
        </w:rPr>
        <w:t xml:space="preserve"> </w:t>
      </w:r>
      <w:r>
        <w:rPr>
          <w:spacing w:val="-5"/>
          <w:sz w:val="16"/>
          <w:szCs w:val="16"/>
          <w:lang w:val="es-ES_tradnl"/>
        </w:rPr>
        <w:t>controlar</w:t>
      </w:r>
      <w:r>
        <w:rPr>
          <w:spacing w:val="-5"/>
          <w:sz w:val="18"/>
          <w:szCs w:val="18"/>
          <w:lang w:val="es-ES_tradnl"/>
        </w:rPr>
        <w:t xml:space="preserve"> </w:t>
      </w:r>
      <w:r>
        <w:rPr>
          <w:spacing w:val="-5"/>
          <w:sz w:val="16"/>
          <w:szCs w:val="16"/>
          <w:lang w:val="es-ES_tradnl"/>
        </w:rPr>
        <w:t xml:space="preserve">las </w:t>
      </w:r>
      <w:r>
        <w:rPr>
          <w:spacing w:val="-7"/>
          <w:sz w:val="16"/>
          <w:szCs w:val="16"/>
          <w:lang w:val="es-ES_tradnl"/>
        </w:rPr>
        <w:t>organizaciones sociales de car</w:t>
      </w:r>
      <w:r>
        <w:rPr>
          <w:rFonts w:cs="Times New Roman"/>
          <w:spacing w:val="-7"/>
          <w:sz w:val="16"/>
          <w:szCs w:val="16"/>
          <w:lang w:val="es-ES_tradnl"/>
        </w:rPr>
        <w:t>á</w:t>
      </w:r>
      <w:r>
        <w:rPr>
          <w:spacing w:val="-7"/>
          <w:sz w:val="16"/>
          <w:szCs w:val="16"/>
          <w:lang w:val="es-ES_tradnl"/>
        </w:rPr>
        <w:t>cter regional.</w:t>
      </w:r>
    </w:p>
    <w:p w14:paraId="4F67A5FB" w14:textId="77777777" w:rsidR="00591D54" w:rsidRDefault="00591D54" w:rsidP="00251195">
      <w:pPr>
        <w:numPr>
          <w:ilvl w:val="0"/>
          <w:numId w:val="28"/>
        </w:numPr>
        <w:shd w:val="clear" w:color="auto" w:fill="FFFFFF"/>
        <w:tabs>
          <w:tab w:val="left" w:pos="566"/>
        </w:tabs>
        <w:spacing w:line="216" w:lineRule="exact"/>
        <w:ind w:left="566" w:right="5" w:hanging="283"/>
        <w:jc w:val="both"/>
        <w:rPr>
          <w:spacing w:val="-10"/>
          <w:sz w:val="16"/>
          <w:szCs w:val="16"/>
          <w:lang w:val="es-ES_tradnl"/>
        </w:rPr>
      </w:pPr>
      <w:r>
        <w:rPr>
          <w:spacing w:val="-7"/>
          <w:sz w:val="16"/>
          <w:szCs w:val="16"/>
          <w:lang w:val="es-ES_tradnl"/>
        </w:rPr>
        <w:t>Determinar</w:t>
      </w:r>
      <w:r>
        <w:rPr>
          <w:spacing w:val="-7"/>
          <w:sz w:val="18"/>
          <w:szCs w:val="18"/>
          <w:lang w:val="es-ES_tradnl"/>
        </w:rPr>
        <w:t xml:space="preserve"> </w:t>
      </w:r>
      <w:r>
        <w:rPr>
          <w:spacing w:val="-7"/>
          <w:sz w:val="16"/>
          <w:szCs w:val="16"/>
          <w:lang w:val="es-ES_tradnl"/>
        </w:rPr>
        <w:t>las</w:t>
      </w:r>
      <w:r>
        <w:rPr>
          <w:spacing w:val="-7"/>
          <w:sz w:val="18"/>
          <w:szCs w:val="18"/>
          <w:lang w:val="es-ES_tradnl"/>
        </w:rPr>
        <w:t xml:space="preserve"> </w:t>
      </w:r>
      <w:r>
        <w:rPr>
          <w:spacing w:val="-7"/>
          <w:sz w:val="16"/>
          <w:szCs w:val="16"/>
          <w:lang w:val="es-ES_tradnl"/>
        </w:rPr>
        <w:t>pol</w:t>
      </w:r>
      <w:r>
        <w:rPr>
          <w:rFonts w:cs="Times New Roman"/>
          <w:spacing w:val="-7"/>
          <w:sz w:val="16"/>
          <w:szCs w:val="16"/>
          <w:lang w:val="es-ES_tradnl"/>
        </w:rPr>
        <w:t>í</w:t>
      </w:r>
      <w:r>
        <w:rPr>
          <w:spacing w:val="-7"/>
          <w:sz w:val="16"/>
          <w:szCs w:val="16"/>
          <w:lang w:val="es-ES_tradnl"/>
        </w:rPr>
        <w:t>ticas</w:t>
      </w:r>
      <w:r>
        <w:rPr>
          <w:spacing w:val="-7"/>
          <w:sz w:val="18"/>
          <w:szCs w:val="18"/>
          <w:lang w:val="es-ES_tradnl"/>
        </w:rPr>
        <w:t xml:space="preserve"> </w:t>
      </w:r>
      <w:r>
        <w:rPr>
          <w:spacing w:val="-7"/>
          <w:sz w:val="16"/>
          <w:szCs w:val="16"/>
          <w:lang w:val="es-ES_tradnl"/>
        </w:rPr>
        <w:t>de</w:t>
      </w:r>
      <w:r>
        <w:rPr>
          <w:spacing w:val="-7"/>
          <w:sz w:val="18"/>
          <w:szCs w:val="18"/>
          <w:lang w:val="es-ES_tradnl"/>
        </w:rPr>
        <w:t xml:space="preserve"> </w:t>
      </w:r>
      <w:r>
        <w:rPr>
          <w:spacing w:val="-7"/>
          <w:sz w:val="16"/>
          <w:szCs w:val="16"/>
          <w:lang w:val="es-ES_tradnl"/>
        </w:rPr>
        <w:t>investigaci</w:t>
      </w:r>
      <w:r>
        <w:rPr>
          <w:rFonts w:cs="Times New Roman"/>
          <w:spacing w:val="-7"/>
          <w:sz w:val="16"/>
          <w:szCs w:val="16"/>
          <w:lang w:val="es-ES_tradnl"/>
        </w:rPr>
        <w:t>ó</w:t>
      </w:r>
      <w:r>
        <w:rPr>
          <w:spacing w:val="-7"/>
          <w:sz w:val="16"/>
          <w:szCs w:val="16"/>
          <w:lang w:val="es-ES_tradnl"/>
        </w:rPr>
        <w:t>n</w:t>
      </w:r>
      <w:r>
        <w:rPr>
          <w:spacing w:val="-7"/>
          <w:sz w:val="18"/>
          <w:szCs w:val="18"/>
          <w:lang w:val="es-ES_tradnl"/>
        </w:rPr>
        <w:t xml:space="preserve"> </w:t>
      </w:r>
      <w:r>
        <w:rPr>
          <w:spacing w:val="-7"/>
          <w:sz w:val="16"/>
          <w:szCs w:val="16"/>
          <w:lang w:val="es-ES_tradnl"/>
        </w:rPr>
        <w:t>e</w:t>
      </w:r>
      <w:r>
        <w:rPr>
          <w:spacing w:val="-7"/>
          <w:sz w:val="18"/>
          <w:szCs w:val="18"/>
          <w:lang w:val="es-ES_tradnl"/>
        </w:rPr>
        <w:t xml:space="preserve"> </w:t>
      </w:r>
      <w:r>
        <w:rPr>
          <w:spacing w:val="-7"/>
          <w:sz w:val="16"/>
          <w:szCs w:val="16"/>
          <w:lang w:val="es-ES_tradnl"/>
        </w:rPr>
        <w:t>innovaci</w:t>
      </w:r>
      <w:r>
        <w:rPr>
          <w:rFonts w:cs="Times New Roman"/>
          <w:spacing w:val="-7"/>
          <w:sz w:val="16"/>
          <w:szCs w:val="16"/>
          <w:lang w:val="es-ES_tradnl"/>
        </w:rPr>
        <w:t>ó</w:t>
      </w:r>
      <w:r>
        <w:rPr>
          <w:spacing w:val="-7"/>
          <w:sz w:val="16"/>
          <w:szCs w:val="16"/>
          <w:lang w:val="es-ES_tradnl"/>
        </w:rPr>
        <w:t>n</w:t>
      </w:r>
      <w:r>
        <w:rPr>
          <w:spacing w:val="-7"/>
          <w:sz w:val="18"/>
          <w:szCs w:val="18"/>
          <w:lang w:val="es-ES_tradnl"/>
        </w:rPr>
        <w:t xml:space="preserve"> </w:t>
      </w:r>
      <w:r>
        <w:rPr>
          <w:spacing w:val="-7"/>
          <w:sz w:val="16"/>
          <w:szCs w:val="16"/>
          <w:lang w:val="es-ES_tradnl"/>
        </w:rPr>
        <w:t xml:space="preserve">del </w:t>
      </w:r>
      <w:r>
        <w:rPr>
          <w:spacing w:val="-6"/>
          <w:sz w:val="16"/>
          <w:szCs w:val="16"/>
          <w:lang w:val="es-ES_tradnl"/>
        </w:rPr>
        <w:t>conocimiento, desarrollo y transferencia de tecnolog</w:t>
      </w:r>
      <w:r>
        <w:rPr>
          <w:rFonts w:cs="Times New Roman"/>
          <w:spacing w:val="-6"/>
          <w:sz w:val="16"/>
          <w:szCs w:val="16"/>
          <w:lang w:val="es-ES_tradnl"/>
        </w:rPr>
        <w:t>í</w:t>
      </w:r>
      <w:r>
        <w:rPr>
          <w:spacing w:val="-6"/>
          <w:sz w:val="16"/>
          <w:szCs w:val="16"/>
          <w:lang w:val="es-ES_tradnl"/>
        </w:rPr>
        <w:t xml:space="preserve">as, necesarias para el desarrollo regional, en el marco de la </w:t>
      </w:r>
      <w:r>
        <w:rPr>
          <w:sz w:val="16"/>
          <w:szCs w:val="16"/>
          <w:lang w:val="es-ES_tradnl"/>
        </w:rPr>
        <w:t>planificaci</w:t>
      </w:r>
      <w:r>
        <w:rPr>
          <w:rFonts w:cs="Times New Roman"/>
          <w:sz w:val="16"/>
          <w:szCs w:val="16"/>
          <w:lang w:val="es-ES_tradnl"/>
        </w:rPr>
        <w:t>ó</w:t>
      </w:r>
      <w:r>
        <w:rPr>
          <w:sz w:val="16"/>
          <w:szCs w:val="16"/>
          <w:lang w:val="es-ES_tradnl"/>
        </w:rPr>
        <w:t>n nacional.</w:t>
      </w:r>
    </w:p>
    <w:p w14:paraId="4F67A5FC" w14:textId="77777777" w:rsidR="00591D54" w:rsidRDefault="00591D54" w:rsidP="00251195">
      <w:pPr>
        <w:numPr>
          <w:ilvl w:val="0"/>
          <w:numId w:val="28"/>
        </w:numPr>
        <w:shd w:val="clear" w:color="auto" w:fill="FFFFFF"/>
        <w:tabs>
          <w:tab w:val="left" w:pos="566"/>
        </w:tabs>
        <w:spacing w:line="216" w:lineRule="exact"/>
        <w:ind w:left="283"/>
        <w:rPr>
          <w:spacing w:val="-10"/>
          <w:sz w:val="16"/>
          <w:szCs w:val="16"/>
          <w:lang w:val="es-ES_tradnl"/>
        </w:rPr>
      </w:pPr>
      <w:r>
        <w:rPr>
          <w:spacing w:val="-7"/>
          <w:sz w:val="16"/>
          <w:szCs w:val="16"/>
          <w:lang w:val="es-ES_tradnl"/>
        </w:rPr>
        <w:t>Fomentar</w:t>
      </w:r>
      <w:r>
        <w:rPr>
          <w:spacing w:val="-7"/>
          <w:sz w:val="18"/>
          <w:szCs w:val="18"/>
          <w:lang w:val="es-ES_tradnl"/>
        </w:rPr>
        <w:t xml:space="preserve"> </w:t>
      </w:r>
      <w:r>
        <w:rPr>
          <w:spacing w:val="-7"/>
          <w:sz w:val="16"/>
          <w:szCs w:val="16"/>
          <w:lang w:val="es-ES_tradnl"/>
        </w:rPr>
        <w:t>las</w:t>
      </w:r>
      <w:r>
        <w:rPr>
          <w:spacing w:val="-7"/>
          <w:sz w:val="18"/>
          <w:szCs w:val="18"/>
          <w:lang w:val="es-ES_tradnl"/>
        </w:rPr>
        <w:t xml:space="preserve"> </w:t>
      </w:r>
      <w:r>
        <w:rPr>
          <w:spacing w:val="-7"/>
          <w:sz w:val="16"/>
          <w:szCs w:val="16"/>
          <w:lang w:val="es-ES_tradnl"/>
        </w:rPr>
        <w:t>actividades</w:t>
      </w:r>
      <w:r>
        <w:rPr>
          <w:spacing w:val="-7"/>
          <w:sz w:val="18"/>
          <w:szCs w:val="18"/>
          <w:lang w:val="es-ES_tradnl"/>
        </w:rPr>
        <w:t xml:space="preserve"> </w:t>
      </w:r>
      <w:r>
        <w:rPr>
          <w:spacing w:val="-7"/>
          <w:sz w:val="16"/>
          <w:szCs w:val="16"/>
          <w:lang w:val="es-ES_tradnl"/>
        </w:rPr>
        <w:t>productivas</w:t>
      </w:r>
      <w:r>
        <w:rPr>
          <w:spacing w:val="-7"/>
          <w:sz w:val="18"/>
          <w:szCs w:val="18"/>
          <w:lang w:val="es-ES_tradnl"/>
        </w:rPr>
        <w:t xml:space="preserve"> </w:t>
      </w:r>
      <w:r>
        <w:rPr>
          <w:spacing w:val="-7"/>
          <w:sz w:val="16"/>
          <w:szCs w:val="16"/>
          <w:lang w:val="es-ES_tradnl"/>
        </w:rPr>
        <w:t>regionales.</w:t>
      </w:r>
    </w:p>
    <w:p w14:paraId="4F67A5FD" w14:textId="77777777" w:rsidR="00591D54" w:rsidRDefault="00591D54" w:rsidP="00251195">
      <w:pPr>
        <w:numPr>
          <w:ilvl w:val="0"/>
          <w:numId w:val="28"/>
        </w:numPr>
        <w:shd w:val="clear" w:color="auto" w:fill="FFFFFF"/>
        <w:tabs>
          <w:tab w:val="left" w:pos="566"/>
        </w:tabs>
        <w:spacing w:line="216" w:lineRule="exact"/>
        <w:ind w:left="283"/>
        <w:rPr>
          <w:spacing w:val="-10"/>
          <w:sz w:val="16"/>
          <w:szCs w:val="16"/>
          <w:lang w:val="es-ES_tradnl"/>
        </w:rPr>
      </w:pPr>
      <w:r>
        <w:rPr>
          <w:spacing w:val="-6"/>
          <w:sz w:val="16"/>
          <w:szCs w:val="16"/>
          <w:lang w:val="es-ES_tradnl"/>
        </w:rPr>
        <w:t>Fomentar</w:t>
      </w:r>
      <w:r>
        <w:rPr>
          <w:spacing w:val="-6"/>
          <w:sz w:val="18"/>
          <w:szCs w:val="18"/>
          <w:lang w:val="es-ES_tradnl"/>
        </w:rPr>
        <w:t xml:space="preserve"> </w:t>
      </w:r>
      <w:r>
        <w:rPr>
          <w:spacing w:val="-6"/>
          <w:sz w:val="16"/>
          <w:szCs w:val="16"/>
          <w:lang w:val="es-ES_tradnl"/>
        </w:rPr>
        <w:t>la</w:t>
      </w:r>
      <w:r>
        <w:rPr>
          <w:spacing w:val="-6"/>
          <w:sz w:val="18"/>
          <w:szCs w:val="18"/>
          <w:lang w:val="es-ES_tradnl"/>
        </w:rPr>
        <w:t xml:space="preserve"> </w:t>
      </w:r>
      <w:r>
        <w:rPr>
          <w:spacing w:val="-6"/>
          <w:sz w:val="16"/>
          <w:szCs w:val="16"/>
          <w:lang w:val="es-ES_tradnl"/>
        </w:rPr>
        <w:t>seguridad</w:t>
      </w:r>
      <w:r>
        <w:rPr>
          <w:spacing w:val="-6"/>
          <w:sz w:val="18"/>
          <w:szCs w:val="18"/>
          <w:lang w:val="es-ES_tradnl"/>
        </w:rPr>
        <w:t xml:space="preserve"> </w:t>
      </w:r>
      <w:r>
        <w:rPr>
          <w:spacing w:val="-6"/>
          <w:sz w:val="16"/>
          <w:szCs w:val="16"/>
          <w:lang w:val="es-ES_tradnl"/>
        </w:rPr>
        <w:t>alimentaria</w:t>
      </w:r>
      <w:r>
        <w:rPr>
          <w:spacing w:val="-6"/>
          <w:sz w:val="18"/>
          <w:szCs w:val="18"/>
          <w:lang w:val="es-ES_tradnl"/>
        </w:rPr>
        <w:t xml:space="preserve"> </w:t>
      </w:r>
      <w:r>
        <w:rPr>
          <w:spacing w:val="-6"/>
          <w:sz w:val="16"/>
          <w:szCs w:val="16"/>
          <w:lang w:val="es-ES_tradnl"/>
        </w:rPr>
        <w:t>regional.</w:t>
      </w:r>
    </w:p>
    <w:p w14:paraId="4F67A5FE" w14:textId="77777777" w:rsidR="00591D54" w:rsidRDefault="00591D54" w:rsidP="00251195">
      <w:pPr>
        <w:numPr>
          <w:ilvl w:val="0"/>
          <w:numId w:val="28"/>
        </w:numPr>
        <w:shd w:val="clear" w:color="auto" w:fill="FFFFFF"/>
        <w:tabs>
          <w:tab w:val="left" w:pos="566"/>
        </w:tabs>
        <w:spacing w:line="216" w:lineRule="exact"/>
        <w:ind w:left="566" w:hanging="283"/>
        <w:jc w:val="both"/>
        <w:rPr>
          <w:spacing w:val="-10"/>
          <w:sz w:val="16"/>
          <w:szCs w:val="16"/>
          <w:lang w:val="es-ES_tradnl"/>
        </w:rPr>
      </w:pPr>
      <w:r>
        <w:rPr>
          <w:sz w:val="16"/>
          <w:szCs w:val="16"/>
          <w:lang w:val="es-ES_tradnl"/>
        </w:rPr>
        <w:t>Gestionar</w:t>
      </w:r>
      <w:r>
        <w:rPr>
          <w:sz w:val="18"/>
          <w:szCs w:val="18"/>
          <w:lang w:val="es-ES_tradnl"/>
        </w:rPr>
        <w:t xml:space="preserve"> </w:t>
      </w:r>
      <w:r>
        <w:rPr>
          <w:sz w:val="16"/>
          <w:szCs w:val="16"/>
          <w:lang w:val="es-ES_tradnl"/>
        </w:rPr>
        <w:t>la</w:t>
      </w:r>
      <w:r>
        <w:rPr>
          <w:sz w:val="18"/>
          <w:szCs w:val="18"/>
          <w:lang w:val="es-ES_tradnl"/>
        </w:rPr>
        <w:t xml:space="preserve"> </w:t>
      </w:r>
      <w:r>
        <w:rPr>
          <w:sz w:val="16"/>
          <w:szCs w:val="16"/>
          <w:lang w:val="es-ES_tradnl"/>
        </w:rPr>
        <w:t>cooperaci</w:t>
      </w:r>
      <w:r>
        <w:rPr>
          <w:rFonts w:cs="Times New Roman"/>
          <w:sz w:val="16"/>
          <w:szCs w:val="16"/>
          <w:lang w:val="es-ES_tradnl"/>
        </w:rPr>
        <w:t>ó</w:t>
      </w:r>
      <w:r>
        <w:rPr>
          <w:sz w:val="16"/>
          <w:szCs w:val="16"/>
          <w:lang w:val="es-ES_tradnl"/>
        </w:rPr>
        <w:t>n</w:t>
      </w:r>
      <w:r>
        <w:rPr>
          <w:sz w:val="18"/>
          <w:szCs w:val="18"/>
          <w:lang w:val="es-ES_tradnl"/>
        </w:rPr>
        <w:t xml:space="preserve"> </w:t>
      </w:r>
      <w:r>
        <w:rPr>
          <w:sz w:val="16"/>
          <w:szCs w:val="16"/>
          <w:lang w:val="es-ES_tradnl"/>
        </w:rPr>
        <w:t>internacional</w:t>
      </w:r>
      <w:r>
        <w:rPr>
          <w:sz w:val="18"/>
          <w:szCs w:val="18"/>
          <w:lang w:val="es-ES_tradnl"/>
        </w:rPr>
        <w:t xml:space="preserve"> </w:t>
      </w:r>
      <w:r>
        <w:rPr>
          <w:sz w:val="16"/>
          <w:szCs w:val="16"/>
          <w:lang w:val="es-ES_tradnl"/>
        </w:rPr>
        <w:t>para</w:t>
      </w:r>
      <w:r>
        <w:rPr>
          <w:sz w:val="18"/>
          <w:szCs w:val="18"/>
          <w:lang w:val="es-ES_tradnl"/>
        </w:rPr>
        <w:t xml:space="preserve"> </w:t>
      </w:r>
      <w:r>
        <w:rPr>
          <w:sz w:val="16"/>
          <w:szCs w:val="16"/>
          <w:lang w:val="es-ES_tradnl"/>
        </w:rPr>
        <w:t>el cumplimiento de sus competencias.</w:t>
      </w:r>
    </w:p>
    <w:p w14:paraId="4F67A5FF" w14:textId="77777777" w:rsidR="00591D54" w:rsidRDefault="00591D54">
      <w:pPr>
        <w:shd w:val="clear" w:color="auto" w:fill="FFFFFF"/>
        <w:spacing w:before="211" w:line="216" w:lineRule="exact"/>
        <w:ind w:left="283"/>
      </w:pPr>
      <w:r>
        <w:rPr>
          <w:spacing w:val="-7"/>
          <w:sz w:val="16"/>
          <w:szCs w:val="16"/>
          <w:lang w:val="es-ES_tradnl"/>
        </w:rPr>
        <w:t xml:space="preserve">En el </w:t>
      </w:r>
      <w:r>
        <w:rPr>
          <w:rFonts w:cs="Times New Roman"/>
          <w:spacing w:val="-7"/>
          <w:sz w:val="16"/>
          <w:szCs w:val="16"/>
          <w:lang w:val="es-ES_tradnl"/>
        </w:rPr>
        <w:t>á</w:t>
      </w:r>
      <w:r>
        <w:rPr>
          <w:spacing w:val="-7"/>
          <w:sz w:val="16"/>
          <w:szCs w:val="16"/>
          <w:lang w:val="es-ES_tradnl"/>
        </w:rPr>
        <w:t xml:space="preserve">mbito de estas competencias exclusivas y en el uso de </w:t>
      </w:r>
      <w:r>
        <w:rPr>
          <w:sz w:val="16"/>
          <w:szCs w:val="16"/>
          <w:lang w:val="es-ES_tradnl"/>
        </w:rPr>
        <w:t>sus facultades, expedir</w:t>
      </w:r>
      <w:r>
        <w:rPr>
          <w:rFonts w:cs="Times New Roman"/>
          <w:sz w:val="16"/>
          <w:szCs w:val="16"/>
          <w:lang w:val="es-ES_tradnl"/>
        </w:rPr>
        <w:t>á</w:t>
      </w:r>
      <w:r>
        <w:rPr>
          <w:sz w:val="16"/>
          <w:szCs w:val="16"/>
          <w:lang w:val="es-ES_tradnl"/>
        </w:rPr>
        <w:t xml:space="preserve"> normas regionales.</w:t>
      </w:r>
    </w:p>
    <w:p w14:paraId="4F67A600" w14:textId="77777777" w:rsidR="00591D54" w:rsidRDefault="00591D54">
      <w:pPr>
        <w:shd w:val="clear" w:color="auto" w:fill="FFFFFF"/>
        <w:spacing w:before="202" w:line="216" w:lineRule="exact"/>
        <w:jc w:val="both"/>
      </w:pPr>
      <w:r>
        <w:rPr>
          <w:spacing w:val="-6"/>
          <w:sz w:val="18"/>
          <w:szCs w:val="18"/>
          <w:lang w:val="es-ES_tradnl"/>
        </w:rPr>
        <w:t xml:space="preserve">Respecto de lo transcrito se entiende que si bien los GAD poseen la facultad de dictar normas regionales en busca </w:t>
      </w:r>
      <w:r>
        <w:rPr>
          <w:spacing w:val="-7"/>
          <w:sz w:val="18"/>
          <w:szCs w:val="18"/>
          <w:lang w:val="es-ES_tradnl"/>
        </w:rPr>
        <w:t>del desarrollo de su circunscripci</w:t>
      </w:r>
      <w:r>
        <w:rPr>
          <w:rFonts w:cs="Times New Roman"/>
          <w:spacing w:val="-7"/>
          <w:sz w:val="18"/>
          <w:szCs w:val="18"/>
          <w:lang w:val="es-ES_tradnl"/>
        </w:rPr>
        <w:t>ó</w:t>
      </w:r>
      <w:r>
        <w:rPr>
          <w:spacing w:val="-7"/>
          <w:sz w:val="18"/>
          <w:szCs w:val="18"/>
          <w:lang w:val="es-ES_tradnl"/>
        </w:rPr>
        <w:t xml:space="preserve">n territorial, estas deben </w:t>
      </w:r>
      <w:r>
        <w:rPr>
          <w:spacing w:val="-5"/>
          <w:sz w:val="18"/>
          <w:szCs w:val="18"/>
          <w:lang w:val="es-ES_tradnl"/>
        </w:rPr>
        <w:t>enmarcarse dentro de lo permitido por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blica, sujet</w:t>
      </w:r>
      <w:r>
        <w:rPr>
          <w:rFonts w:cs="Times New Roman"/>
          <w:spacing w:val="-5"/>
          <w:sz w:val="18"/>
          <w:szCs w:val="18"/>
          <w:lang w:val="es-ES_tradnl"/>
        </w:rPr>
        <w:t>á</w:t>
      </w:r>
      <w:r>
        <w:rPr>
          <w:spacing w:val="-5"/>
          <w:sz w:val="18"/>
          <w:szCs w:val="18"/>
          <w:lang w:val="es-ES_tradnl"/>
        </w:rPr>
        <w:t>ndose al principio establecido en el art</w:t>
      </w:r>
      <w:r>
        <w:rPr>
          <w:rFonts w:cs="Times New Roman"/>
          <w:spacing w:val="-5"/>
          <w:sz w:val="18"/>
          <w:szCs w:val="18"/>
          <w:lang w:val="es-ES_tradnl"/>
        </w:rPr>
        <w:t>í</w:t>
      </w:r>
      <w:r>
        <w:rPr>
          <w:spacing w:val="-5"/>
          <w:sz w:val="18"/>
          <w:szCs w:val="18"/>
          <w:lang w:val="es-ES_tradnl"/>
        </w:rPr>
        <w:t>culo 226 ib</w:t>
      </w:r>
      <w:r>
        <w:rPr>
          <w:rFonts w:cs="Times New Roman"/>
          <w:spacing w:val="-5"/>
          <w:sz w:val="18"/>
          <w:szCs w:val="18"/>
          <w:lang w:val="es-ES_tradnl"/>
        </w:rPr>
        <w:t>í</w:t>
      </w:r>
      <w:r>
        <w:rPr>
          <w:spacing w:val="-5"/>
          <w:sz w:val="18"/>
          <w:szCs w:val="18"/>
          <w:lang w:val="es-ES_tradnl"/>
        </w:rPr>
        <w:t xml:space="preserve">dem, que manifiesta que las Instituciones </w:t>
      </w:r>
      <w:r>
        <w:rPr>
          <w:spacing w:val="-9"/>
          <w:sz w:val="18"/>
          <w:szCs w:val="18"/>
          <w:lang w:val="es-ES_tradnl"/>
        </w:rPr>
        <w:t xml:space="preserve">del Estado, sus organismos, dependencias, las servidoras o </w:t>
      </w:r>
      <w:r>
        <w:rPr>
          <w:spacing w:val="-7"/>
          <w:sz w:val="18"/>
          <w:szCs w:val="18"/>
          <w:lang w:val="es-ES_tradnl"/>
        </w:rPr>
        <w:t>servidores p</w:t>
      </w:r>
      <w:r>
        <w:rPr>
          <w:rFonts w:cs="Times New Roman"/>
          <w:spacing w:val="-7"/>
          <w:sz w:val="18"/>
          <w:szCs w:val="18"/>
          <w:lang w:val="es-ES_tradnl"/>
        </w:rPr>
        <w:t>ú</w:t>
      </w:r>
      <w:r>
        <w:rPr>
          <w:spacing w:val="-7"/>
          <w:sz w:val="18"/>
          <w:szCs w:val="18"/>
          <w:lang w:val="es-ES_tradnl"/>
        </w:rPr>
        <w:t>blicos y las personas que act</w:t>
      </w:r>
      <w:r>
        <w:rPr>
          <w:rFonts w:cs="Times New Roman"/>
          <w:spacing w:val="-7"/>
          <w:sz w:val="18"/>
          <w:szCs w:val="18"/>
          <w:lang w:val="es-ES_tradnl"/>
        </w:rPr>
        <w:t>ú</w:t>
      </w:r>
      <w:r>
        <w:rPr>
          <w:spacing w:val="-7"/>
          <w:sz w:val="18"/>
          <w:szCs w:val="18"/>
          <w:lang w:val="es-ES_tradnl"/>
        </w:rPr>
        <w:t xml:space="preserve">en en virtud de </w:t>
      </w:r>
      <w:r>
        <w:rPr>
          <w:spacing w:val="-8"/>
          <w:sz w:val="18"/>
          <w:szCs w:val="18"/>
          <w:lang w:val="es-ES_tradnl"/>
        </w:rPr>
        <w:t>una potestad estatal ejercer</w:t>
      </w:r>
      <w:r>
        <w:rPr>
          <w:rFonts w:cs="Times New Roman"/>
          <w:spacing w:val="-8"/>
          <w:sz w:val="18"/>
          <w:szCs w:val="18"/>
          <w:lang w:val="es-ES_tradnl"/>
        </w:rPr>
        <w:t>á</w:t>
      </w:r>
      <w:r>
        <w:rPr>
          <w:spacing w:val="-8"/>
          <w:sz w:val="18"/>
          <w:szCs w:val="18"/>
          <w:lang w:val="es-ES_tradnl"/>
        </w:rPr>
        <w:t xml:space="preserve">n solamente las competencias </w:t>
      </w:r>
      <w:r>
        <w:rPr>
          <w:spacing w:val="-1"/>
          <w:sz w:val="18"/>
          <w:szCs w:val="18"/>
          <w:lang w:val="es-ES_tradnl"/>
        </w:rPr>
        <w:t>y facultades que les sean atribuidas en la Constituci</w:t>
      </w:r>
      <w:r>
        <w:rPr>
          <w:rFonts w:cs="Times New Roman"/>
          <w:spacing w:val="-1"/>
          <w:sz w:val="18"/>
          <w:szCs w:val="18"/>
          <w:lang w:val="es-ES_tradnl"/>
        </w:rPr>
        <w:t>ó</w:t>
      </w:r>
      <w:r>
        <w:rPr>
          <w:spacing w:val="-1"/>
          <w:sz w:val="18"/>
          <w:szCs w:val="18"/>
          <w:lang w:val="es-ES_tradnl"/>
        </w:rPr>
        <w:t xml:space="preserve">n </w:t>
      </w:r>
      <w:r>
        <w:rPr>
          <w:spacing w:val="-4"/>
          <w:sz w:val="18"/>
          <w:szCs w:val="18"/>
          <w:lang w:val="es-ES_tradnl"/>
        </w:rPr>
        <w:t>y la ley raz</w:t>
      </w:r>
      <w:r>
        <w:rPr>
          <w:rFonts w:cs="Times New Roman"/>
          <w:spacing w:val="-4"/>
          <w:sz w:val="18"/>
          <w:szCs w:val="18"/>
          <w:lang w:val="es-ES_tradnl"/>
        </w:rPr>
        <w:t>ó</w:t>
      </w:r>
      <w:r>
        <w:rPr>
          <w:spacing w:val="-4"/>
          <w:sz w:val="18"/>
          <w:szCs w:val="18"/>
          <w:lang w:val="es-ES_tradnl"/>
        </w:rPr>
        <w:t xml:space="preserve">n por la cual, no pueden extralimitar sus </w:t>
      </w:r>
      <w:r>
        <w:rPr>
          <w:sz w:val="18"/>
          <w:szCs w:val="18"/>
          <w:lang w:val="es-ES_tradnl"/>
        </w:rPr>
        <w:t xml:space="preserve">atribuciones en el desarrollo de sus funciones, por lo </w:t>
      </w:r>
      <w:r>
        <w:rPr>
          <w:spacing w:val="-9"/>
          <w:sz w:val="18"/>
          <w:szCs w:val="18"/>
          <w:lang w:val="es-ES_tradnl"/>
        </w:rPr>
        <w:t xml:space="preserve">que se llega a establecer que aun cuando se propenda al </w:t>
      </w:r>
      <w:r>
        <w:rPr>
          <w:spacing w:val="-4"/>
          <w:sz w:val="18"/>
          <w:szCs w:val="18"/>
          <w:lang w:val="es-ES_tradnl"/>
        </w:rPr>
        <w:t xml:space="preserve">desarrollo regional por cualquier medio, el ejercicio de </w:t>
      </w:r>
      <w:r>
        <w:rPr>
          <w:spacing w:val="-8"/>
          <w:sz w:val="18"/>
          <w:szCs w:val="18"/>
          <w:lang w:val="es-ES_tradnl"/>
        </w:rPr>
        <w:t>dichas atribuciones debe respetar los l</w:t>
      </w:r>
      <w:r>
        <w:rPr>
          <w:rFonts w:cs="Times New Roman"/>
          <w:spacing w:val="-8"/>
          <w:sz w:val="18"/>
          <w:szCs w:val="18"/>
          <w:lang w:val="es-ES_tradnl"/>
        </w:rPr>
        <w:t>í</w:t>
      </w:r>
      <w:r>
        <w:rPr>
          <w:spacing w:val="-8"/>
          <w:sz w:val="18"/>
          <w:szCs w:val="18"/>
          <w:lang w:val="es-ES_tradnl"/>
        </w:rPr>
        <w:t xml:space="preserve">mites impuestos por </w:t>
      </w:r>
      <w:r>
        <w:rPr>
          <w:sz w:val="18"/>
          <w:szCs w:val="18"/>
          <w:lang w:val="es-ES_tradnl"/>
        </w:rPr>
        <w:t>la Ley Fundamental.</w:t>
      </w:r>
    </w:p>
    <w:p w14:paraId="4F67A601" w14:textId="77777777" w:rsidR="00591D54" w:rsidRDefault="00591D54">
      <w:pPr>
        <w:shd w:val="clear" w:color="auto" w:fill="FFFFFF"/>
        <w:spacing w:before="197" w:line="216" w:lineRule="exact"/>
        <w:jc w:val="both"/>
      </w:pPr>
      <w:r>
        <w:rPr>
          <w:spacing w:val="-6"/>
          <w:sz w:val="18"/>
          <w:szCs w:val="18"/>
          <w:lang w:val="es-ES_tradnl"/>
        </w:rPr>
        <w:t xml:space="preserve">Hay que destacar </w:t>
      </w:r>
      <w:r>
        <w:rPr>
          <w:rFonts w:cs="Times New Roman"/>
          <w:spacing w:val="-6"/>
          <w:sz w:val="18"/>
          <w:szCs w:val="18"/>
          <w:lang w:val="es-ES_tradnl"/>
        </w:rPr>
        <w:t>–</w:t>
      </w:r>
      <w:r>
        <w:rPr>
          <w:spacing w:val="-6"/>
          <w:sz w:val="18"/>
          <w:szCs w:val="18"/>
          <w:lang w:val="es-ES_tradnl"/>
        </w:rPr>
        <w:t>en el caso concreto</w:t>
      </w:r>
      <w:r>
        <w:rPr>
          <w:rFonts w:cs="Times New Roman"/>
          <w:spacing w:val="-6"/>
          <w:sz w:val="18"/>
          <w:szCs w:val="18"/>
          <w:lang w:val="es-ES_tradnl"/>
        </w:rPr>
        <w:t>–</w:t>
      </w:r>
      <w:r>
        <w:rPr>
          <w:spacing w:val="-6"/>
          <w:sz w:val="18"/>
          <w:szCs w:val="18"/>
          <w:lang w:val="es-ES_tradnl"/>
        </w:rPr>
        <w:t xml:space="preserve"> que la ley que regula las actuaciones municipales es el COOTAD y que </w:t>
      </w:r>
      <w:r>
        <w:rPr>
          <w:spacing w:val="-7"/>
          <w:sz w:val="18"/>
          <w:szCs w:val="18"/>
          <w:lang w:val="es-ES_tradnl"/>
        </w:rPr>
        <w:t>las atribuciones que los GAD poseen est</w:t>
      </w:r>
      <w:r>
        <w:rPr>
          <w:rFonts w:cs="Times New Roman"/>
          <w:spacing w:val="-7"/>
          <w:sz w:val="18"/>
          <w:szCs w:val="18"/>
          <w:lang w:val="es-ES_tradnl"/>
        </w:rPr>
        <w:t>á</w:t>
      </w:r>
      <w:r>
        <w:rPr>
          <w:spacing w:val="-7"/>
          <w:sz w:val="18"/>
          <w:szCs w:val="18"/>
          <w:lang w:val="es-ES_tradnl"/>
        </w:rPr>
        <w:t>n desarrolladas en el art</w:t>
      </w:r>
      <w:r>
        <w:rPr>
          <w:rFonts w:cs="Times New Roman"/>
          <w:spacing w:val="-7"/>
          <w:sz w:val="18"/>
          <w:szCs w:val="18"/>
          <w:lang w:val="es-ES_tradnl"/>
        </w:rPr>
        <w:t>í</w:t>
      </w:r>
      <w:r>
        <w:rPr>
          <w:spacing w:val="-7"/>
          <w:sz w:val="18"/>
          <w:szCs w:val="18"/>
          <w:lang w:val="es-ES_tradnl"/>
        </w:rPr>
        <w:t xml:space="preserve">culo 55, que les concede la facultad de ejercer el </w:t>
      </w:r>
      <w:r>
        <w:rPr>
          <w:spacing w:val="-5"/>
          <w:sz w:val="18"/>
          <w:szCs w:val="18"/>
          <w:lang w:val="es-ES_tradnl"/>
        </w:rPr>
        <w:t>control sobre el uso y ocupaci</w:t>
      </w:r>
      <w:r>
        <w:rPr>
          <w:rFonts w:cs="Times New Roman"/>
          <w:spacing w:val="-5"/>
          <w:sz w:val="18"/>
          <w:szCs w:val="18"/>
          <w:lang w:val="es-ES_tradnl"/>
        </w:rPr>
        <w:t>ó</w:t>
      </w:r>
      <w:r>
        <w:rPr>
          <w:spacing w:val="-5"/>
          <w:sz w:val="18"/>
          <w:szCs w:val="18"/>
          <w:lang w:val="es-ES_tradnl"/>
        </w:rPr>
        <w:t>n del suelo en el cant</w:t>
      </w:r>
      <w:r>
        <w:rPr>
          <w:rFonts w:cs="Times New Roman"/>
          <w:spacing w:val="-5"/>
          <w:sz w:val="18"/>
          <w:szCs w:val="18"/>
          <w:lang w:val="es-ES_tradnl"/>
        </w:rPr>
        <w:t>ó</w:t>
      </w:r>
      <w:r>
        <w:rPr>
          <w:spacing w:val="-5"/>
          <w:sz w:val="18"/>
          <w:szCs w:val="18"/>
          <w:lang w:val="es-ES_tradnl"/>
        </w:rPr>
        <w:t xml:space="preserve">n, </w:t>
      </w:r>
      <w:r>
        <w:rPr>
          <w:spacing w:val="-7"/>
          <w:sz w:val="18"/>
          <w:szCs w:val="18"/>
          <w:lang w:val="es-ES_tradnl"/>
        </w:rPr>
        <w:t xml:space="preserve">motivo por el cual la misma norma regula el pago de tasas </w:t>
      </w:r>
      <w:r>
        <w:rPr>
          <w:spacing w:val="-6"/>
          <w:sz w:val="18"/>
          <w:szCs w:val="18"/>
          <w:lang w:val="es-ES_tradnl"/>
        </w:rPr>
        <w:t>y contribuciones, en relaci</w:t>
      </w:r>
      <w:r>
        <w:rPr>
          <w:rFonts w:cs="Times New Roman"/>
          <w:spacing w:val="-6"/>
          <w:sz w:val="18"/>
          <w:szCs w:val="18"/>
          <w:lang w:val="es-ES_tradnl"/>
        </w:rPr>
        <w:t>ó</w:t>
      </w:r>
      <w:r>
        <w:rPr>
          <w:spacing w:val="-6"/>
          <w:sz w:val="18"/>
          <w:szCs w:val="18"/>
          <w:lang w:val="es-ES_tradnl"/>
        </w:rPr>
        <w:t>n a su ocupaci</w:t>
      </w:r>
      <w:r>
        <w:rPr>
          <w:rFonts w:cs="Times New Roman"/>
          <w:spacing w:val="-6"/>
          <w:sz w:val="18"/>
          <w:szCs w:val="18"/>
          <w:lang w:val="es-ES_tradnl"/>
        </w:rPr>
        <w:t>ó</w:t>
      </w:r>
      <w:r>
        <w:rPr>
          <w:spacing w:val="-6"/>
          <w:sz w:val="18"/>
          <w:szCs w:val="18"/>
          <w:lang w:val="es-ES_tradnl"/>
        </w:rPr>
        <w:t>n.</w:t>
      </w:r>
    </w:p>
    <w:p w14:paraId="4F67A602" w14:textId="77777777" w:rsidR="00591D54" w:rsidRDefault="00591D54">
      <w:pPr>
        <w:shd w:val="clear" w:color="auto" w:fill="FFFFFF"/>
        <w:spacing w:before="192" w:line="216" w:lineRule="exact"/>
        <w:jc w:val="both"/>
      </w:pPr>
      <w:r>
        <w:rPr>
          <w:spacing w:val="-7"/>
          <w:sz w:val="18"/>
          <w:szCs w:val="18"/>
          <w:lang w:val="es-ES_tradnl"/>
        </w:rPr>
        <w:t xml:space="preserve">En este sentido, existen tasas dirigidas al uso del espacio </w:t>
      </w:r>
      <w:r>
        <w:rPr>
          <w:spacing w:val="-6"/>
          <w:sz w:val="18"/>
          <w:szCs w:val="18"/>
          <w:lang w:val="es-ES_tradnl"/>
        </w:rPr>
        <w:t>exclusivo controlado por los Municipios, ese es el caso de lo establecido en el art</w:t>
      </w:r>
      <w:r>
        <w:rPr>
          <w:rFonts w:cs="Times New Roman"/>
          <w:spacing w:val="-6"/>
          <w:sz w:val="18"/>
          <w:szCs w:val="18"/>
          <w:lang w:val="es-ES_tradnl"/>
        </w:rPr>
        <w:t>í</w:t>
      </w:r>
      <w:r>
        <w:rPr>
          <w:spacing w:val="-6"/>
          <w:sz w:val="18"/>
          <w:szCs w:val="18"/>
          <w:lang w:val="es-ES_tradnl"/>
        </w:rPr>
        <w:t xml:space="preserve">culo 567 del COOTAD, reformado </w:t>
      </w:r>
      <w:r>
        <w:rPr>
          <w:spacing w:val="-4"/>
          <w:sz w:val="18"/>
          <w:szCs w:val="18"/>
          <w:lang w:val="es-ES_tradnl"/>
        </w:rPr>
        <w:t>por el art</w:t>
      </w:r>
      <w:r>
        <w:rPr>
          <w:rFonts w:cs="Times New Roman"/>
          <w:spacing w:val="-4"/>
          <w:sz w:val="18"/>
          <w:szCs w:val="18"/>
          <w:lang w:val="es-ES_tradnl"/>
        </w:rPr>
        <w:t>í</w:t>
      </w:r>
      <w:r>
        <w:rPr>
          <w:spacing w:val="-4"/>
          <w:sz w:val="18"/>
          <w:szCs w:val="18"/>
          <w:lang w:val="es-ES_tradnl"/>
        </w:rPr>
        <w:t>culo 57 de la Ley Org</w:t>
      </w:r>
      <w:r>
        <w:rPr>
          <w:rFonts w:cs="Times New Roman"/>
          <w:spacing w:val="-4"/>
          <w:sz w:val="18"/>
          <w:szCs w:val="18"/>
          <w:lang w:val="es-ES_tradnl"/>
        </w:rPr>
        <w:t>á</w:t>
      </w:r>
      <w:r>
        <w:rPr>
          <w:spacing w:val="-4"/>
          <w:sz w:val="18"/>
          <w:szCs w:val="18"/>
          <w:lang w:val="es-ES_tradnl"/>
        </w:rPr>
        <w:t xml:space="preserve">nica Reformatoria del COOTAD, misma que establece </w:t>
      </w:r>
      <w:r>
        <w:rPr>
          <w:rFonts w:cs="Times New Roman"/>
          <w:spacing w:val="-4"/>
          <w:sz w:val="18"/>
          <w:szCs w:val="18"/>
          <w:lang w:val="es-ES_tradnl"/>
        </w:rPr>
        <w:t>“</w:t>
      </w:r>
      <w:r>
        <w:rPr>
          <w:spacing w:val="-4"/>
          <w:sz w:val="18"/>
          <w:szCs w:val="18"/>
          <w:lang w:val="es-ES_tradnl"/>
        </w:rPr>
        <w:t>(</w:t>
      </w:r>
      <w:r>
        <w:rPr>
          <w:rFonts w:cs="Times New Roman"/>
          <w:spacing w:val="-4"/>
          <w:sz w:val="18"/>
          <w:szCs w:val="18"/>
          <w:lang w:val="es-ES_tradnl"/>
        </w:rPr>
        <w:t>…</w:t>
      </w:r>
      <w:r>
        <w:rPr>
          <w:spacing w:val="-4"/>
          <w:sz w:val="18"/>
          <w:szCs w:val="18"/>
          <w:lang w:val="es-ES_tradnl"/>
        </w:rPr>
        <w:t xml:space="preserve">) Las empresas </w:t>
      </w:r>
      <w:r>
        <w:rPr>
          <w:spacing w:val="-5"/>
          <w:sz w:val="18"/>
          <w:szCs w:val="18"/>
          <w:lang w:val="es-ES_tradnl"/>
        </w:rPr>
        <w:t>privadas que utilicen u ocupen el espacio p</w:t>
      </w:r>
      <w:r>
        <w:rPr>
          <w:rFonts w:cs="Times New Roman"/>
          <w:spacing w:val="-5"/>
          <w:sz w:val="18"/>
          <w:szCs w:val="18"/>
          <w:lang w:val="es-ES_tradnl"/>
        </w:rPr>
        <w:t>ú</w:t>
      </w:r>
      <w:r>
        <w:rPr>
          <w:spacing w:val="-5"/>
          <w:sz w:val="18"/>
          <w:szCs w:val="18"/>
          <w:lang w:val="es-ES_tradnl"/>
        </w:rPr>
        <w:t>blico o la v</w:t>
      </w:r>
      <w:r>
        <w:rPr>
          <w:rFonts w:cs="Times New Roman"/>
          <w:spacing w:val="-5"/>
          <w:sz w:val="18"/>
          <w:szCs w:val="18"/>
          <w:lang w:val="es-ES_tradnl"/>
        </w:rPr>
        <w:t>í</w:t>
      </w:r>
      <w:r>
        <w:rPr>
          <w:spacing w:val="-5"/>
          <w:sz w:val="18"/>
          <w:szCs w:val="18"/>
          <w:lang w:val="es-ES_tradnl"/>
        </w:rPr>
        <w:t>a p</w:t>
      </w:r>
      <w:r>
        <w:rPr>
          <w:rFonts w:cs="Times New Roman"/>
          <w:spacing w:val="-5"/>
          <w:sz w:val="18"/>
          <w:szCs w:val="18"/>
          <w:lang w:val="es-ES_tradnl"/>
        </w:rPr>
        <w:t>ú</w:t>
      </w:r>
      <w:r>
        <w:rPr>
          <w:spacing w:val="-5"/>
          <w:sz w:val="18"/>
          <w:szCs w:val="18"/>
          <w:lang w:val="es-ES_tradnl"/>
        </w:rPr>
        <w:t>blica y el espacio a</w:t>
      </w:r>
      <w:r>
        <w:rPr>
          <w:rFonts w:cs="Times New Roman"/>
          <w:spacing w:val="-5"/>
          <w:sz w:val="18"/>
          <w:szCs w:val="18"/>
          <w:lang w:val="es-ES_tradnl"/>
        </w:rPr>
        <w:t>é</w:t>
      </w:r>
      <w:r>
        <w:rPr>
          <w:spacing w:val="-5"/>
          <w:sz w:val="18"/>
          <w:szCs w:val="18"/>
          <w:lang w:val="es-ES_tradnl"/>
        </w:rPr>
        <w:t xml:space="preserve">reo estatal, regional, provincial o </w:t>
      </w:r>
      <w:r>
        <w:rPr>
          <w:spacing w:val="-8"/>
          <w:sz w:val="18"/>
          <w:szCs w:val="18"/>
          <w:lang w:val="es-ES_tradnl"/>
        </w:rPr>
        <w:t>municipal, para colocaci</w:t>
      </w:r>
      <w:r>
        <w:rPr>
          <w:rFonts w:cs="Times New Roman"/>
          <w:spacing w:val="-8"/>
          <w:sz w:val="18"/>
          <w:szCs w:val="18"/>
          <w:lang w:val="es-ES_tradnl"/>
        </w:rPr>
        <w:t>ó</w:t>
      </w:r>
      <w:r>
        <w:rPr>
          <w:spacing w:val="-8"/>
          <w:sz w:val="18"/>
          <w:szCs w:val="18"/>
          <w:lang w:val="es-ES_tradnl"/>
        </w:rPr>
        <w:t xml:space="preserve">n de estructuras, postes y tendido </w:t>
      </w:r>
      <w:r>
        <w:rPr>
          <w:spacing w:val="-7"/>
          <w:sz w:val="18"/>
          <w:szCs w:val="18"/>
          <w:lang w:val="es-ES_tradnl"/>
        </w:rPr>
        <w:t>de redes, pagar</w:t>
      </w:r>
      <w:r>
        <w:rPr>
          <w:rFonts w:cs="Times New Roman"/>
          <w:spacing w:val="-7"/>
          <w:sz w:val="18"/>
          <w:szCs w:val="18"/>
          <w:lang w:val="es-ES_tradnl"/>
        </w:rPr>
        <w:t>á</w:t>
      </w:r>
      <w:r>
        <w:rPr>
          <w:spacing w:val="-7"/>
          <w:sz w:val="18"/>
          <w:szCs w:val="18"/>
          <w:lang w:val="es-ES_tradnl"/>
        </w:rPr>
        <w:t>n al gobierno aut</w:t>
      </w:r>
      <w:r>
        <w:rPr>
          <w:rFonts w:cs="Times New Roman"/>
          <w:spacing w:val="-7"/>
          <w:sz w:val="18"/>
          <w:szCs w:val="18"/>
          <w:lang w:val="es-ES_tradnl"/>
        </w:rPr>
        <w:t>ó</w:t>
      </w:r>
      <w:r>
        <w:rPr>
          <w:spacing w:val="-7"/>
          <w:sz w:val="18"/>
          <w:szCs w:val="18"/>
          <w:lang w:val="es-ES_tradnl"/>
        </w:rPr>
        <w:t xml:space="preserve">nomo descentralizado </w:t>
      </w:r>
      <w:r>
        <w:rPr>
          <w:spacing w:val="-5"/>
          <w:sz w:val="18"/>
          <w:szCs w:val="18"/>
          <w:lang w:val="es-ES_tradnl"/>
        </w:rPr>
        <w:t>respectivo la tasa o contraprestaci</w:t>
      </w:r>
      <w:r>
        <w:rPr>
          <w:rFonts w:cs="Times New Roman"/>
          <w:spacing w:val="-5"/>
          <w:sz w:val="18"/>
          <w:szCs w:val="18"/>
          <w:lang w:val="es-ES_tradnl"/>
        </w:rPr>
        <w:t>ó</w:t>
      </w:r>
      <w:r>
        <w:rPr>
          <w:spacing w:val="-5"/>
          <w:sz w:val="18"/>
          <w:szCs w:val="18"/>
          <w:lang w:val="es-ES_tradnl"/>
        </w:rPr>
        <w:t xml:space="preserve">n por dicho uso u </w:t>
      </w:r>
      <w:r>
        <w:rPr>
          <w:sz w:val="18"/>
          <w:szCs w:val="18"/>
          <w:lang w:val="es-ES_tradnl"/>
        </w:rPr>
        <w:t>ocupaci</w:t>
      </w:r>
      <w:r>
        <w:rPr>
          <w:rFonts w:cs="Times New Roman"/>
          <w:sz w:val="18"/>
          <w:szCs w:val="18"/>
          <w:lang w:val="es-ES_tradnl"/>
        </w:rPr>
        <w:t>ó</w:t>
      </w:r>
      <w:r>
        <w:rPr>
          <w:sz w:val="18"/>
          <w:szCs w:val="18"/>
          <w:lang w:val="es-ES_tradnl"/>
        </w:rPr>
        <w:t>n (</w:t>
      </w:r>
      <w:r>
        <w:rPr>
          <w:rFonts w:cs="Times New Roman"/>
          <w:sz w:val="18"/>
          <w:szCs w:val="18"/>
          <w:lang w:val="es-ES_tradnl"/>
        </w:rPr>
        <w:t>…</w:t>
      </w:r>
      <w:r>
        <w:rPr>
          <w:sz w:val="18"/>
          <w:szCs w:val="18"/>
          <w:lang w:val="es-ES_tradnl"/>
        </w:rPr>
        <w:t>)</w:t>
      </w:r>
      <w:r>
        <w:rPr>
          <w:rFonts w:cs="Times New Roman"/>
          <w:sz w:val="18"/>
          <w:szCs w:val="18"/>
          <w:lang w:val="es-ES_tradnl"/>
        </w:rPr>
        <w:t>”</w:t>
      </w:r>
      <w:r>
        <w:rPr>
          <w:sz w:val="18"/>
          <w:szCs w:val="18"/>
          <w:lang w:val="es-ES_tradnl"/>
        </w:rPr>
        <w:t>.</w:t>
      </w:r>
    </w:p>
    <w:p w14:paraId="4F67A603" w14:textId="77777777" w:rsidR="00591D54" w:rsidRDefault="00591D54">
      <w:pPr>
        <w:shd w:val="clear" w:color="auto" w:fill="FFFFFF"/>
        <w:spacing w:before="192" w:line="216" w:lineRule="exact"/>
        <w:jc w:val="both"/>
      </w:pPr>
      <w:r>
        <w:rPr>
          <w:spacing w:val="-4"/>
          <w:sz w:val="18"/>
          <w:szCs w:val="18"/>
          <w:lang w:val="es-ES_tradnl"/>
        </w:rPr>
        <w:t xml:space="preserve">Sin embargo respecto de la norma transcrita, hay que </w:t>
      </w:r>
      <w:r>
        <w:rPr>
          <w:spacing w:val="-9"/>
          <w:sz w:val="18"/>
          <w:szCs w:val="18"/>
          <w:lang w:val="es-ES_tradnl"/>
        </w:rPr>
        <w:t xml:space="preserve">aclarar que si bien establece el pago de una tasa por el uso </w:t>
      </w:r>
      <w:r>
        <w:rPr>
          <w:spacing w:val="-10"/>
          <w:sz w:val="18"/>
          <w:szCs w:val="18"/>
          <w:lang w:val="es-ES_tradnl"/>
        </w:rPr>
        <w:t>del espacio a</w:t>
      </w:r>
      <w:r>
        <w:rPr>
          <w:rFonts w:cs="Times New Roman"/>
          <w:spacing w:val="-10"/>
          <w:sz w:val="18"/>
          <w:szCs w:val="18"/>
          <w:lang w:val="es-ES_tradnl"/>
        </w:rPr>
        <w:t>é</w:t>
      </w:r>
      <w:r>
        <w:rPr>
          <w:spacing w:val="-10"/>
          <w:sz w:val="18"/>
          <w:szCs w:val="18"/>
          <w:lang w:val="es-ES_tradnl"/>
        </w:rPr>
        <w:t>reo municipal, esta versa solo para colocaci</w:t>
      </w:r>
      <w:r>
        <w:rPr>
          <w:rFonts w:cs="Times New Roman"/>
          <w:spacing w:val="-10"/>
          <w:sz w:val="18"/>
          <w:szCs w:val="18"/>
          <w:lang w:val="es-ES_tradnl"/>
        </w:rPr>
        <w:t>ó</w:t>
      </w:r>
      <w:r>
        <w:rPr>
          <w:spacing w:val="-10"/>
          <w:sz w:val="18"/>
          <w:szCs w:val="18"/>
          <w:lang w:val="es-ES_tradnl"/>
        </w:rPr>
        <w:t xml:space="preserve">n de estructuras, postes y tendido de redes; es decir, no opera </w:t>
      </w:r>
      <w:r>
        <w:rPr>
          <w:spacing w:val="-5"/>
          <w:sz w:val="18"/>
          <w:szCs w:val="18"/>
          <w:lang w:val="es-ES_tradnl"/>
        </w:rPr>
        <w:t>para su funcionamiento, hay que aclarar tambi</w:t>
      </w:r>
      <w:r>
        <w:rPr>
          <w:rFonts w:cs="Times New Roman"/>
          <w:spacing w:val="-5"/>
          <w:sz w:val="18"/>
          <w:szCs w:val="18"/>
          <w:lang w:val="es-ES_tradnl"/>
        </w:rPr>
        <w:t>é</w:t>
      </w:r>
      <w:r>
        <w:rPr>
          <w:spacing w:val="-5"/>
          <w:sz w:val="18"/>
          <w:szCs w:val="18"/>
          <w:lang w:val="es-ES_tradnl"/>
        </w:rPr>
        <w:t xml:space="preserve">n que la </w:t>
      </w:r>
      <w:r>
        <w:rPr>
          <w:spacing w:val="-7"/>
          <w:sz w:val="18"/>
          <w:szCs w:val="18"/>
          <w:lang w:val="es-ES_tradnl"/>
        </w:rPr>
        <w:t>tasa debe estar limitada al uso material del espacio en el proceso de colocaci</w:t>
      </w:r>
      <w:r>
        <w:rPr>
          <w:rFonts w:cs="Times New Roman"/>
          <w:spacing w:val="-7"/>
          <w:sz w:val="18"/>
          <w:szCs w:val="18"/>
          <w:lang w:val="es-ES_tradnl"/>
        </w:rPr>
        <w:t>ó</w:t>
      </w:r>
      <w:r>
        <w:rPr>
          <w:spacing w:val="-7"/>
          <w:sz w:val="18"/>
          <w:szCs w:val="18"/>
          <w:lang w:val="es-ES_tradnl"/>
        </w:rPr>
        <w:t>n de estructuras, postes y tendido de</w:t>
      </w:r>
    </w:p>
    <w:p w14:paraId="4F67A604" w14:textId="77777777" w:rsidR="00591D54" w:rsidRDefault="00591D54">
      <w:pPr>
        <w:shd w:val="clear" w:color="auto" w:fill="FFFFFF"/>
        <w:spacing w:before="5" w:line="216" w:lineRule="exact"/>
        <w:jc w:val="both"/>
      </w:pPr>
      <w:r>
        <w:br w:type="column"/>
      </w:r>
      <w:r>
        <w:rPr>
          <w:spacing w:val="-6"/>
          <w:sz w:val="18"/>
          <w:szCs w:val="18"/>
          <w:lang w:val="es-ES_tradnl"/>
        </w:rPr>
        <w:t>redes, pues, en ning</w:t>
      </w:r>
      <w:r>
        <w:rPr>
          <w:rFonts w:cs="Times New Roman"/>
          <w:spacing w:val="-6"/>
          <w:sz w:val="18"/>
          <w:szCs w:val="18"/>
          <w:lang w:val="es-ES_tradnl"/>
        </w:rPr>
        <w:t>ú</w:t>
      </w:r>
      <w:r>
        <w:rPr>
          <w:spacing w:val="-6"/>
          <w:sz w:val="18"/>
          <w:szCs w:val="18"/>
          <w:lang w:val="es-ES_tradnl"/>
        </w:rPr>
        <w:t xml:space="preserve">n momento dicha norma justifica el </w:t>
      </w:r>
      <w:r>
        <w:rPr>
          <w:spacing w:val="-9"/>
          <w:sz w:val="18"/>
          <w:szCs w:val="18"/>
          <w:lang w:val="es-ES_tradnl"/>
        </w:rPr>
        <w:t xml:space="preserve">cobro por el uso de determinado espacio, para efectos de la </w:t>
      </w:r>
      <w:r>
        <w:rPr>
          <w:spacing w:val="-6"/>
          <w:sz w:val="18"/>
          <w:szCs w:val="18"/>
          <w:lang w:val="es-ES_tradnl"/>
        </w:rPr>
        <w:t>operaci</w:t>
      </w:r>
      <w:r>
        <w:rPr>
          <w:rFonts w:cs="Times New Roman"/>
          <w:spacing w:val="-6"/>
          <w:sz w:val="18"/>
          <w:szCs w:val="18"/>
          <w:lang w:val="es-ES_tradnl"/>
        </w:rPr>
        <w:t>ó</w:t>
      </w:r>
      <w:r>
        <w:rPr>
          <w:spacing w:val="-6"/>
          <w:sz w:val="18"/>
          <w:szCs w:val="18"/>
          <w:lang w:val="es-ES_tradnl"/>
        </w:rPr>
        <w:t>n y funcionamiento de las estructuras.</w:t>
      </w:r>
    </w:p>
    <w:p w14:paraId="4F67A605" w14:textId="77777777" w:rsidR="00591D54" w:rsidRDefault="00591D54">
      <w:pPr>
        <w:shd w:val="clear" w:color="auto" w:fill="FFFFFF"/>
        <w:spacing w:before="197" w:line="216" w:lineRule="exact"/>
        <w:jc w:val="both"/>
      </w:pPr>
      <w:r>
        <w:rPr>
          <w:spacing w:val="-4"/>
          <w:sz w:val="18"/>
          <w:szCs w:val="18"/>
          <w:lang w:val="es-ES_tradnl"/>
        </w:rPr>
        <w:t>Adem</w:t>
      </w:r>
      <w:r>
        <w:rPr>
          <w:rFonts w:cs="Times New Roman"/>
          <w:spacing w:val="-4"/>
          <w:sz w:val="18"/>
          <w:szCs w:val="18"/>
          <w:lang w:val="es-ES_tradnl"/>
        </w:rPr>
        <w:t>á</w:t>
      </w:r>
      <w:r>
        <w:rPr>
          <w:spacing w:val="-4"/>
          <w:sz w:val="18"/>
          <w:szCs w:val="18"/>
          <w:lang w:val="es-ES_tradnl"/>
        </w:rPr>
        <w:t>s, el art</w:t>
      </w:r>
      <w:r>
        <w:rPr>
          <w:rFonts w:cs="Times New Roman"/>
          <w:spacing w:val="-4"/>
          <w:sz w:val="18"/>
          <w:szCs w:val="18"/>
          <w:lang w:val="es-ES_tradnl"/>
        </w:rPr>
        <w:t>í</w:t>
      </w:r>
      <w:r>
        <w:rPr>
          <w:spacing w:val="-4"/>
          <w:sz w:val="18"/>
          <w:szCs w:val="18"/>
          <w:lang w:val="es-ES_tradnl"/>
        </w:rPr>
        <w:t>culo 104 de la Ley Org</w:t>
      </w:r>
      <w:r>
        <w:rPr>
          <w:rFonts w:cs="Times New Roman"/>
          <w:spacing w:val="-4"/>
          <w:sz w:val="18"/>
          <w:szCs w:val="18"/>
          <w:lang w:val="es-ES_tradnl"/>
        </w:rPr>
        <w:t>á</w:t>
      </w:r>
      <w:r>
        <w:rPr>
          <w:spacing w:val="-4"/>
          <w:sz w:val="18"/>
          <w:szCs w:val="18"/>
          <w:lang w:val="es-ES_tradnl"/>
        </w:rPr>
        <w:t xml:space="preserve">nica de </w:t>
      </w:r>
      <w:r>
        <w:rPr>
          <w:spacing w:val="-5"/>
          <w:sz w:val="18"/>
          <w:szCs w:val="18"/>
          <w:lang w:val="es-ES_tradnl"/>
        </w:rPr>
        <w:t>Telecomunicaciones, norma espec</w:t>
      </w:r>
      <w:r>
        <w:rPr>
          <w:rFonts w:cs="Times New Roman"/>
          <w:spacing w:val="-5"/>
          <w:sz w:val="18"/>
          <w:szCs w:val="18"/>
          <w:lang w:val="es-ES_tradnl"/>
        </w:rPr>
        <w:t>í</w:t>
      </w:r>
      <w:r>
        <w:rPr>
          <w:spacing w:val="-5"/>
          <w:sz w:val="18"/>
          <w:szCs w:val="18"/>
          <w:lang w:val="es-ES_tradnl"/>
        </w:rPr>
        <w:t>fica que regula y desarrolla el r</w:t>
      </w:r>
      <w:r>
        <w:rPr>
          <w:rFonts w:cs="Times New Roman"/>
          <w:spacing w:val="-5"/>
          <w:sz w:val="18"/>
          <w:szCs w:val="18"/>
          <w:lang w:val="es-ES_tradnl"/>
        </w:rPr>
        <w:t>é</w:t>
      </w:r>
      <w:r>
        <w:rPr>
          <w:spacing w:val="-5"/>
          <w:sz w:val="18"/>
          <w:szCs w:val="18"/>
          <w:lang w:val="es-ES_tradnl"/>
        </w:rPr>
        <w:t>gimen del espectro radioel</w:t>
      </w:r>
      <w:r>
        <w:rPr>
          <w:rFonts w:cs="Times New Roman"/>
          <w:spacing w:val="-5"/>
          <w:sz w:val="18"/>
          <w:szCs w:val="18"/>
          <w:lang w:val="es-ES_tradnl"/>
        </w:rPr>
        <w:t>é</w:t>
      </w:r>
      <w:r>
        <w:rPr>
          <w:spacing w:val="-5"/>
          <w:sz w:val="18"/>
          <w:szCs w:val="18"/>
          <w:lang w:val="es-ES_tradnl"/>
        </w:rPr>
        <w:t xml:space="preserve">ctrico en el </w:t>
      </w:r>
      <w:r>
        <w:rPr>
          <w:spacing w:val="-6"/>
          <w:sz w:val="18"/>
          <w:szCs w:val="18"/>
          <w:lang w:val="es-ES_tradnl"/>
        </w:rPr>
        <w:t xml:space="preserve">Ecuador, publicada en el suplemento del Registro Oficial </w:t>
      </w:r>
      <w:r>
        <w:rPr>
          <w:spacing w:val="-7"/>
          <w:sz w:val="18"/>
          <w:szCs w:val="18"/>
          <w:lang w:val="es-ES_tradnl"/>
        </w:rPr>
        <w:t>N.</w:t>
      </w:r>
      <w:r>
        <w:rPr>
          <w:rFonts w:cs="Times New Roman"/>
          <w:spacing w:val="-7"/>
          <w:sz w:val="18"/>
          <w:szCs w:val="18"/>
          <w:lang w:val="es-ES_tradnl"/>
        </w:rPr>
        <w:t>º</w:t>
      </w:r>
      <w:r>
        <w:rPr>
          <w:spacing w:val="-7"/>
          <w:sz w:val="18"/>
          <w:szCs w:val="18"/>
          <w:lang w:val="es-ES_tradnl"/>
        </w:rPr>
        <w:t xml:space="preserve"> 439 del 18 de febrero de 2015, establece que:</w:t>
      </w:r>
    </w:p>
    <w:p w14:paraId="4F67A606" w14:textId="77777777" w:rsidR="00591D54" w:rsidRDefault="00591D54">
      <w:pPr>
        <w:shd w:val="clear" w:color="auto" w:fill="FFFFFF"/>
        <w:spacing w:before="216"/>
        <w:ind w:left="283"/>
      </w:pPr>
      <w:r>
        <w:rPr>
          <w:spacing w:val="-6"/>
          <w:sz w:val="16"/>
          <w:szCs w:val="16"/>
          <w:lang w:val="es-ES_tradnl"/>
        </w:rPr>
        <w:t>Uso y Ocupaci</w:t>
      </w:r>
      <w:r>
        <w:rPr>
          <w:rFonts w:cs="Times New Roman"/>
          <w:spacing w:val="-6"/>
          <w:sz w:val="16"/>
          <w:szCs w:val="16"/>
          <w:lang w:val="es-ES_tradnl"/>
        </w:rPr>
        <w:t>ó</w:t>
      </w:r>
      <w:r>
        <w:rPr>
          <w:spacing w:val="-6"/>
          <w:sz w:val="16"/>
          <w:szCs w:val="16"/>
          <w:lang w:val="es-ES_tradnl"/>
        </w:rPr>
        <w:t>n de Bienes de Dominio P</w:t>
      </w:r>
      <w:r>
        <w:rPr>
          <w:rFonts w:cs="Times New Roman"/>
          <w:spacing w:val="-6"/>
          <w:sz w:val="16"/>
          <w:szCs w:val="16"/>
          <w:lang w:val="es-ES_tradnl"/>
        </w:rPr>
        <w:t>ú</w:t>
      </w:r>
      <w:r>
        <w:rPr>
          <w:spacing w:val="-6"/>
          <w:sz w:val="16"/>
          <w:szCs w:val="16"/>
          <w:lang w:val="es-ES_tradnl"/>
        </w:rPr>
        <w:t>blico.</w:t>
      </w:r>
    </w:p>
    <w:p w14:paraId="4F67A607" w14:textId="77777777" w:rsidR="00591D54" w:rsidRDefault="00591D54">
      <w:pPr>
        <w:shd w:val="clear" w:color="auto" w:fill="FFFFFF"/>
        <w:spacing w:before="206" w:line="216" w:lineRule="exact"/>
        <w:ind w:left="283"/>
        <w:jc w:val="both"/>
      </w:pPr>
      <w:r>
        <w:rPr>
          <w:spacing w:val="-4"/>
          <w:sz w:val="16"/>
          <w:szCs w:val="16"/>
          <w:lang w:val="es-ES_tradnl"/>
        </w:rPr>
        <w:t>Los gobiernos aut</w:t>
      </w:r>
      <w:r>
        <w:rPr>
          <w:rFonts w:cs="Times New Roman"/>
          <w:spacing w:val="-4"/>
          <w:sz w:val="16"/>
          <w:szCs w:val="16"/>
          <w:lang w:val="es-ES_tradnl"/>
        </w:rPr>
        <w:t>ó</w:t>
      </w:r>
      <w:r>
        <w:rPr>
          <w:spacing w:val="-4"/>
          <w:sz w:val="16"/>
          <w:szCs w:val="16"/>
          <w:lang w:val="es-ES_tradnl"/>
        </w:rPr>
        <w:t xml:space="preserve">nomos descentralizados en todos los </w:t>
      </w:r>
      <w:r>
        <w:rPr>
          <w:spacing w:val="-2"/>
          <w:sz w:val="16"/>
          <w:szCs w:val="16"/>
          <w:lang w:val="es-ES_tradnl"/>
        </w:rPr>
        <w:t>niveles deber</w:t>
      </w:r>
      <w:r>
        <w:rPr>
          <w:rFonts w:cs="Times New Roman"/>
          <w:spacing w:val="-2"/>
          <w:sz w:val="16"/>
          <w:szCs w:val="16"/>
          <w:lang w:val="es-ES_tradnl"/>
        </w:rPr>
        <w:t>á</w:t>
      </w:r>
      <w:r>
        <w:rPr>
          <w:spacing w:val="-2"/>
          <w:sz w:val="16"/>
          <w:szCs w:val="16"/>
          <w:lang w:val="es-ES_tradnl"/>
        </w:rPr>
        <w:t xml:space="preserve">n contemplar las necesidades de uso y </w:t>
      </w:r>
      <w:r>
        <w:rPr>
          <w:spacing w:val="-6"/>
          <w:sz w:val="16"/>
          <w:szCs w:val="16"/>
          <w:lang w:val="es-ES_tradnl"/>
        </w:rPr>
        <w:t>ocupaci</w:t>
      </w:r>
      <w:r>
        <w:rPr>
          <w:rFonts w:cs="Times New Roman"/>
          <w:spacing w:val="-6"/>
          <w:sz w:val="16"/>
          <w:szCs w:val="16"/>
          <w:lang w:val="es-ES_tradnl"/>
        </w:rPr>
        <w:t>ó</w:t>
      </w:r>
      <w:r>
        <w:rPr>
          <w:spacing w:val="-6"/>
          <w:sz w:val="16"/>
          <w:szCs w:val="16"/>
          <w:lang w:val="es-ES_tradnl"/>
        </w:rPr>
        <w:t>n de bienes de dominio p</w:t>
      </w:r>
      <w:r>
        <w:rPr>
          <w:rFonts w:cs="Times New Roman"/>
          <w:spacing w:val="-6"/>
          <w:sz w:val="16"/>
          <w:szCs w:val="16"/>
          <w:lang w:val="es-ES_tradnl"/>
        </w:rPr>
        <w:t>ú</w:t>
      </w:r>
      <w:r>
        <w:rPr>
          <w:spacing w:val="-6"/>
          <w:sz w:val="16"/>
          <w:szCs w:val="16"/>
          <w:lang w:val="es-ES_tradnl"/>
        </w:rPr>
        <w:t>blico que establezca la Agencia de Regulaci</w:t>
      </w:r>
      <w:r>
        <w:rPr>
          <w:rFonts w:cs="Times New Roman"/>
          <w:spacing w:val="-6"/>
          <w:sz w:val="16"/>
          <w:szCs w:val="16"/>
          <w:lang w:val="es-ES_tradnl"/>
        </w:rPr>
        <w:t>ó</w:t>
      </w:r>
      <w:r>
        <w:rPr>
          <w:spacing w:val="-6"/>
          <w:sz w:val="16"/>
          <w:szCs w:val="16"/>
          <w:lang w:val="es-ES_tradnl"/>
        </w:rPr>
        <w:t>n y Control de las Telecomunicaciones y, sin perjuicio de cumplir con las normas t</w:t>
      </w:r>
      <w:r>
        <w:rPr>
          <w:rFonts w:cs="Times New Roman"/>
          <w:spacing w:val="-6"/>
          <w:sz w:val="16"/>
          <w:szCs w:val="16"/>
          <w:lang w:val="es-ES_tradnl"/>
        </w:rPr>
        <w:t>é</w:t>
      </w:r>
      <w:r>
        <w:rPr>
          <w:spacing w:val="-6"/>
          <w:sz w:val="16"/>
          <w:szCs w:val="16"/>
          <w:lang w:val="es-ES_tradnl"/>
        </w:rPr>
        <w:t>cnicas y pol</w:t>
      </w:r>
      <w:r>
        <w:rPr>
          <w:rFonts w:cs="Times New Roman"/>
          <w:spacing w:val="-6"/>
          <w:sz w:val="16"/>
          <w:szCs w:val="16"/>
          <w:lang w:val="es-ES_tradnl"/>
        </w:rPr>
        <w:t>í</w:t>
      </w:r>
      <w:r>
        <w:rPr>
          <w:spacing w:val="-6"/>
          <w:sz w:val="16"/>
          <w:szCs w:val="16"/>
          <w:lang w:val="es-ES_tradnl"/>
        </w:rPr>
        <w:t xml:space="preserve">ticas </w:t>
      </w:r>
      <w:r>
        <w:rPr>
          <w:spacing w:val="-8"/>
          <w:sz w:val="16"/>
          <w:szCs w:val="16"/>
          <w:lang w:val="es-ES_tradnl"/>
        </w:rPr>
        <w:t>nacionales, deber</w:t>
      </w:r>
      <w:r>
        <w:rPr>
          <w:rFonts w:cs="Times New Roman"/>
          <w:spacing w:val="-8"/>
          <w:sz w:val="16"/>
          <w:szCs w:val="16"/>
          <w:lang w:val="es-ES_tradnl"/>
        </w:rPr>
        <w:t>á</w:t>
      </w:r>
      <w:r>
        <w:rPr>
          <w:spacing w:val="-8"/>
          <w:sz w:val="16"/>
          <w:szCs w:val="16"/>
          <w:lang w:val="es-ES_tradnl"/>
        </w:rPr>
        <w:t xml:space="preserve">n coordinar con dicha Agencia las acciones </w:t>
      </w:r>
      <w:r>
        <w:rPr>
          <w:spacing w:val="-5"/>
          <w:sz w:val="16"/>
          <w:szCs w:val="16"/>
          <w:lang w:val="es-ES_tradnl"/>
        </w:rPr>
        <w:t>necesarias para garantizar el tendido e instalaci</w:t>
      </w:r>
      <w:r>
        <w:rPr>
          <w:rFonts w:cs="Times New Roman"/>
          <w:spacing w:val="-5"/>
          <w:sz w:val="16"/>
          <w:szCs w:val="16"/>
          <w:lang w:val="es-ES_tradnl"/>
        </w:rPr>
        <w:t>ó</w:t>
      </w:r>
      <w:r>
        <w:rPr>
          <w:spacing w:val="-5"/>
          <w:sz w:val="16"/>
          <w:szCs w:val="16"/>
          <w:lang w:val="es-ES_tradnl"/>
        </w:rPr>
        <w:t xml:space="preserve">n de redes </w:t>
      </w:r>
      <w:r>
        <w:rPr>
          <w:spacing w:val="-6"/>
          <w:sz w:val="16"/>
          <w:szCs w:val="16"/>
          <w:lang w:val="es-ES_tradnl"/>
        </w:rPr>
        <w:t xml:space="preserve">que soporten servicios de telecomunicaciones en un medio </w:t>
      </w:r>
      <w:r>
        <w:rPr>
          <w:spacing w:val="-5"/>
          <w:sz w:val="16"/>
          <w:szCs w:val="16"/>
          <w:lang w:val="es-ES_tradnl"/>
        </w:rPr>
        <w:t>ambiente sano, libre de contaminaci</w:t>
      </w:r>
      <w:r>
        <w:rPr>
          <w:rFonts w:cs="Times New Roman"/>
          <w:spacing w:val="-5"/>
          <w:sz w:val="16"/>
          <w:szCs w:val="16"/>
          <w:lang w:val="es-ES_tradnl"/>
        </w:rPr>
        <w:t>ó</w:t>
      </w:r>
      <w:r>
        <w:rPr>
          <w:spacing w:val="-5"/>
          <w:sz w:val="16"/>
          <w:szCs w:val="16"/>
          <w:lang w:val="es-ES_tradnl"/>
        </w:rPr>
        <w:t xml:space="preserve">n y protegiendo el </w:t>
      </w:r>
      <w:r>
        <w:rPr>
          <w:sz w:val="16"/>
          <w:szCs w:val="16"/>
          <w:lang w:val="es-ES_tradnl"/>
        </w:rPr>
        <w:t>patrimonio tanto natural como cultural.</w:t>
      </w:r>
    </w:p>
    <w:p w14:paraId="4F67A608" w14:textId="77777777" w:rsidR="00591D54" w:rsidRDefault="00591D54">
      <w:pPr>
        <w:shd w:val="clear" w:color="auto" w:fill="FFFFFF"/>
        <w:spacing w:before="211" w:line="216" w:lineRule="exact"/>
        <w:ind w:left="283"/>
        <w:jc w:val="both"/>
      </w:pPr>
      <w:r>
        <w:rPr>
          <w:spacing w:val="-2"/>
          <w:sz w:val="16"/>
          <w:szCs w:val="16"/>
          <w:lang w:val="es-ES_tradnl"/>
        </w:rPr>
        <w:t xml:space="preserve">En el caso de instalaciones en bienes privados, las tasas </w:t>
      </w:r>
      <w:r>
        <w:rPr>
          <w:spacing w:val="-6"/>
          <w:sz w:val="16"/>
          <w:szCs w:val="16"/>
          <w:lang w:val="es-ES_tradnl"/>
        </w:rPr>
        <w:t>que cobren los gobiernos aut</w:t>
      </w:r>
      <w:r>
        <w:rPr>
          <w:rFonts w:cs="Times New Roman"/>
          <w:spacing w:val="-6"/>
          <w:sz w:val="16"/>
          <w:szCs w:val="16"/>
          <w:lang w:val="es-ES_tradnl"/>
        </w:rPr>
        <w:t>ó</w:t>
      </w:r>
      <w:r>
        <w:rPr>
          <w:spacing w:val="-6"/>
          <w:sz w:val="16"/>
          <w:szCs w:val="16"/>
          <w:lang w:val="es-ES_tradnl"/>
        </w:rPr>
        <w:t xml:space="preserve">nomos descentralizados no </w:t>
      </w:r>
      <w:r>
        <w:rPr>
          <w:spacing w:val="-8"/>
          <w:sz w:val="16"/>
          <w:szCs w:val="16"/>
          <w:lang w:val="es-ES_tradnl"/>
        </w:rPr>
        <w:t>podr</w:t>
      </w:r>
      <w:r>
        <w:rPr>
          <w:rFonts w:cs="Times New Roman"/>
          <w:spacing w:val="-8"/>
          <w:sz w:val="16"/>
          <w:szCs w:val="16"/>
          <w:lang w:val="es-ES_tradnl"/>
        </w:rPr>
        <w:t>á</w:t>
      </w:r>
      <w:r>
        <w:rPr>
          <w:spacing w:val="-8"/>
          <w:sz w:val="16"/>
          <w:szCs w:val="16"/>
          <w:lang w:val="es-ES_tradnl"/>
        </w:rPr>
        <w:t xml:space="preserve">n ser otras que las directamente vinculadas con el costo </w:t>
      </w:r>
      <w:r>
        <w:rPr>
          <w:spacing w:val="-5"/>
          <w:sz w:val="16"/>
          <w:szCs w:val="16"/>
          <w:lang w:val="es-ES_tradnl"/>
        </w:rPr>
        <w:t>justificado del tr</w:t>
      </w:r>
      <w:r>
        <w:rPr>
          <w:rFonts w:cs="Times New Roman"/>
          <w:spacing w:val="-5"/>
          <w:sz w:val="16"/>
          <w:szCs w:val="16"/>
          <w:lang w:val="es-ES_tradnl"/>
        </w:rPr>
        <w:t>á</w:t>
      </w:r>
      <w:r>
        <w:rPr>
          <w:spacing w:val="-5"/>
          <w:sz w:val="16"/>
          <w:szCs w:val="16"/>
          <w:lang w:val="es-ES_tradnl"/>
        </w:rPr>
        <w:t xml:space="preserve">mite de otorgamiento de los permisos de </w:t>
      </w:r>
      <w:r>
        <w:rPr>
          <w:sz w:val="16"/>
          <w:szCs w:val="16"/>
          <w:lang w:val="es-ES_tradnl"/>
        </w:rPr>
        <w:t>instalaci</w:t>
      </w:r>
      <w:r>
        <w:rPr>
          <w:rFonts w:cs="Times New Roman"/>
          <w:sz w:val="16"/>
          <w:szCs w:val="16"/>
          <w:lang w:val="es-ES_tradnl"/>
        </w:rPr>
        <w:t>ó</w:t>
      </w:r>
      <w:r>
        <w:rPr>
          <w:sz w:val="16"/>
          <w:szCs w:val="16"/>
          <w:lang w:val="es-ES_tradnl"/>
        </w:rPr>
        <w:t>n o construcci</w:t>
      </w:r>
      <w:r>
        <w:rPr>
          <w:rFonts w:cs="Times New Roman"/>
          <w:sz w:val="16"/>
          <w:szCs w:val="16"/>
          <w:lang w:val="es-ES_tradnl"/>
        </w:rPr>
        <w:t>ó</w:t>
      </w:r>
      <w:r>
        <w:rPr>
          <w:sz w:val="16"/>
          <w:szCs w:val="16"/>
          <w:lang w:val="es-ES_tradnl"/>
        </w:rPr>
        <w:t>n.</w:t>
      </w:r>
    </w:p>
    <w:p w14:paraId="4F67A609" w14:textId="77777777" w:rsidR="00591D54" w:rsidRDefault="00591D54">
      <w:pPr>
        <w:shd w:val="clear" w:color="auto" w:fill="FFFFFF"/>
        <w:spacing w:before="211" w:line="216" w:lineRule="exact"/>
        <w:ind w:left="283"/>
        <w:jc w:val="both"/>
      </w:pPr>
      <w:r>
        <w:rPr>
          <w:b/>
          <w:bCs/>
          <w:spacing w:val="-9"/>
          <w:sz w:val="16"/>
          <w:szCs w:val="16"/>
          <w:lang w:val="es-ES_tradnl"/>
        </w:rPr>
        <w:t>Los gobiernos aut</w:t>
      </w:r>
      <w:r>
        <w:rPr>
          <w:rFonts w:cs="Times New Roman"/>
          <w:b/>
          <w:bCs/>
          <w:spacing w:val="-9"/>
          <w:sz w:val="16"/>
          <w:szCs w:val="16"/>
          <w:lang w:val="es-ES_tradnl"/>
        </w:rPr>
        <w:t>ó</w:t>
      </w:r>
      <w:r>
        <w:rPr>
          <w:b/>
          <w:bCs/>
          <w:spacing w:val="-9"/>
          <w:sz w:val="16"/>
          <w:szCs w:val="16"/>
          <w:lang w:val="es-ES_tradnl"/>
        </w:rPr>
        <w:t>nomos descentralizados no podr</w:t>
      </w:r>
      <w:r>
        <w:rPr>
          <w:rFonts w:cs="Times New Roman"/>
          <w:b/>
          <w:bCs/>
          <w:spacing w:val="-9"/>
          <w:sz w:val="16"/>
          <w:szCs w:val="16"/>
          <w:lang w:val="es-ES_tradnl"/>
        </w:rPr>
        <w:t>á</w:t>
      </w:r>
      <w:r>
        <w:rPr>
          <w:b/>
          <w:bCs/>
          <w:spacing w:val="-9"/>
          <w:sz w:val="16"/>
          <w:szCs w:val="16"/>
          <w:lang w:val="es-ES_tradnl"/>
        </w:rPr>
        <w:t xml:space="preserve">n </w:t>
      </w:r>
      <w:r>
        <w:rPr>
          <w:b/>
          <w:bCs/>
          <w:spacing w:val="-8"/>
          <w:sz w:val="16"/>
          <w:szCs w:val="16"/>
          <w:lang w:val="es-ES_tradnl"/>
        </w:rPr>
        <w:t>establecer tasas por el uso de espacio a</w:t>
      </w:r>
      <w:r>
        <w:rPr>
          <w:rFonts w:cs="Times New Roman"/>
          <w:b/>
          <w:bCs/>
          <w:spacing w:val="-8"/>
          <w:sz w:val="16"/>
          <w:szCs w:val="16"/>
          <w:lang w:val="es-ES_tradnl"/>
        </w:rPr>
        <w:t>é</w:t>
      </w:r>
      <w:r>
        <w:rPr>
          <w:b/>
          <w:bCs/>
          <w:spacing w:val="-8"/>
          <w:sz w:val="16"/>
          <w:szCs w:val="16"/>
          <w:lang w:val="es-ES_tradnl"/>
        </w:rPr>
        <w:t xml:space="preserve">reo regional, </w:t>
      </w:r>
      <w:r>
        <w:rPr>
          <w:b/>
          <w:bCs/>
          <w:spacing w:val="-4"/>
          <w:sz w:val="16"/>
          <w:szCs w:val="16"/>
          <w:lang w:val="es-ES_tradnl"/>
        </w:rPr>
        <w:t xml:space="preserve">provincial o municipal vinculadas a transmisiones de </w:t>
      </w:r>
      <w:r>
        <w:rPr>
          <w:b/>
          <w:bCs/>
          <w:spacing w:val="-9"/>
          <w:sz w:val="16"/>
          <w:szCs w:val="16"/>
          <w:lang w:val="es-ES_tradnl"/>
        </w:rPr>
        <w:t>redes de radiocomunicaci</w:t>
      </w:r>
      <w:r>
        <w:rPr>
          <w:rFonts w:cs="Times New Roman"/>
          <w:b/>
          <w:bCs/>
          <w:spacing w:val="-9"/>
          <w:sz w:val="16"/>
          <w:szCs w:val="16"/>
          <w:lang w:val="es-ES_tradnl"/>
        </w:rPr>
        <w:t>ó</w:t>
      </w:r>
      <w:r>
        <w:rPr>
          <w:b/>
          <w:bCs/>
          <w:spacing w:val="-9"/>
          <w:sz w:val="16"/>
          <w:szCs w:val="16"/>
          <w:lang w:val="es-ES_tradnl"/>
        </w:rPr>
        <w:t xml:space="preserve">n o frecuencias del espectro </w:t>
      </w:r>
      <w:r>
        <w:rPr>
          <w:b/>
          <w:bCs/>
          <w:sz w:val="16"/>
          <w:szCs w:val="16"/>
          <w:lang w:val="es-ES_tradnl"/>
        </w:rPr>
        <w:t>radioel</w:t>
      </w:r>
      <w:r>
        <w:rPr>
          <w:rFonts w:cs="Times New Roman"/>
          <w:b/>
          <w:bCs/>
          <w:sz w:val="16"/>
          <w:szCs w:val="16"/>
          <w:lang w:val="es-ES_tradnl"/>
        </w:rPr>
        <w:t>é</w:t>
      </w:r>
      <w:r>
        <w:rPr>
          <w:b/>
          <w:bCs/>
          <w:sz w:val="16"/>
          <w:szCs w:val="16"/>
          <w:lang w:val="es-ES_tradnl"/>
        </w:rPr>
        <w:t>ctrico</w:t>
      </w:r>
      <w:r>
        <w:rPr>
          <w:sz w:val="16"/>
          <w:szCs w:val="16"/>
          <w:lang w:val="es-ES_tradnl"/>
        </w:rPr>
        <w:t>. (</w:t>
      </w:r>
      <w:r>
        <w:rPr>
          <w:rFonts w:cs="Times New Roman"/>
          <w:sz w:val="16"/>
          <w:szCs w:val="16"/>
          <w:lang w:val="es-ES_tradnl"/>
        </w:rPr>
        <w:t>É</w:t>
      </w:r>
      <w:r>
        <w:rPr>
          <w:sz w:val="16"/>
          <w:szCs w:val="16"/>
          <w:lang w:val="es-ES_tradnl"/>
        </w:rPr>
        <w:t>nfasis fuera del texto).</w:t>
      </w:r>
    </w:p>
    <w:p w14:paraId="4F67A60A" w14:textId="77777777" w:rsidR="00591D54" w:rsidRDefault="00591D54">
      <w:pPr>
        <w:shd w:val="clear" w:color="auto" w:fill="FFFFFF"/>
        <w:spacing w:before="202" w:line="216" w:lineRule="exact"/>
        <w:jc w:val="both"/>
      </w:pPr>
      <w:r>
        <w:rPr>
          <w:spacing w:val="-6"/>
          <w:sz w:val="18"/>
          <w:szCs w:val="18"/>
          <w:lang w:val="es-ES_tradnl"/>
        </w:rPr>
        <w:t>Al respecto, el art</w:t>
      </w:r>
      <w:r>
        <w:rPr>
          <w:rFonts w:cs="Times New Roman"/>
          <w:spacing w:val="-6"/>
          <w:sz w:val="18"/>
          <w:szCs w:val="18"/>
          <w:lang w:val="es-ES_tradnl"/>
        </w:rPr>
        <w:t>í</w:t>
      </w:r>
      <w:r>
        <w:rPr>
          <w:spacing w:val="-6"/>
          <w:sz w:val="18"/>
          <w:szCs w:val="18"/>
          <w:lang w:val="es-ES_tradnl"/>
        </w:rPr>
        <w:t>culo 425 tercer inciso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 del Ecuador se</w:t>
      </w:r>
      <w:r>
        <w:rPr>
          <w:rFonts w:cs="Times New Roman"/>
          <w:spacing w:val="-6"/>
          <w:sz w:val="18"/>
          <w:szCs w:val="18"/>
          <w:lang w:val="es-ES_tradnl"/>
        </w:rPr>
        <w:t>ñ</w:t>
      </w:r>
      <w:r>
        <w:rPr>
          <w:spacing w:val="-6"/>
          <w:sz w:val="18"/>
          <w:szCs w:val="18"/>
          <w:lang w:val="es-ES_tradnl"/>
        </w:rPr>
        <w:t xml:space="preserve">ala que: </w:t>
      </w:r>
      <w:r>
        <w:rPr>
          <w:rFonts w:cs="Times New Roman"/>
          <w:spacing w:val="-6"/>
          <w:sz w:val="18"/>
          <w:szCs w:val="18"/>
          <w:lang w:val="es-ES_tradnl"/>
        </w:rPr>
        <w:t>“</w:t>
      </w:r>
      <w:r>
        <w:rPr>
          <w:spacing w:val="-6"/>
          <w:sz w:val="18"/>
          <w:szCs w:val="18"/>
          <w:lang w:val="es-ES_tradnl"/>
        </w:rPr>
        <w:t>La jerarqu</w:t>
      </w:r>
      <w:r>
        <w:rPr>
          <w:rFonts w:cs="Times New Roman"/>
          <w:spacing w:val="-6"/>
          <w:sz w:val="18"/>
          <w:szCs w:val="18"/>
          <w:lang w:val="es-ES_tradnl"/>
        </w:rPr>
        <w:t>í</w:t>
      </w:r>
      <w:r>
        <w:rPr>
          <w:spacing w:val="-6"/>
          <w:sz w:val="18"/>
          <w:szCs w:val="18"/>
          <w:lang w:val="es-ES_tradnl"/>
        </w:rPr>
        <w:t xml:space="preserve">a </w:t>
      </w:r>
      <w:r>
        <w:rPr>
          <w:sz w:val="18"/>
          <w:szCs w:val="18"/>
          <w:lang w:val="es-ES_tradnl"/>
        </w:rPr>
        <w:t>normativa considerar</w:t>
      </w:r>
      <w:r>
        <w:rPr>
          <w:rFonts w:cs="Times New Roman"/>
          <w:sz w:val="18"/>
          <w:szCs w:val="18"/>
          <w:lang w:val="es-ES_tradnl"/>
        </w:rPr>
        <w:t>á</w:t>
      </w:r>
      <w:r>
        <w:rPr>
          <w:sz w:val="18"/>
          <w:szCs w:val="18"/>
          <w:lang w:val="es-ES_tradnl"/>
        </w:rPr>
        <w:t xml:space="preserve">, en lo que corresponda, el </w:t>
      </w:r>
      <w:r>
        <w:rPr>
          <w:spacing w:val="-4"/>
          <w:sz w:val="18"/>
          <w:szCs w:val="18"/>
          <w:lang w:val="es-ES_tradnl"/>
        </w:rPr>
        <w:t>principio de competencia</w:t>
      </w:r>
      <w:r>
        <w:rPr>
          <w:rFonts w:cs="Times New Roman"/>
          <w:spacing w:val="-4"/>
          <w:sz w:val="18"/>
          <w:szCs w:val="18"/>
          <w:lang w:val="es-ES_tradnl"/>
        </w:rPr>
        <w:t>”</w:t>
      </w:r>
      <w:r>
        <w:rPr>
          <w:spacing w:val="-4"/>
          <w:sz w:val="18"/>
          <w:szCs w:val="18"/>
          <w:lang w:val="es-ES_tradnl"/>
        </w:rPr>
        <w:t xml:space="preserve">; y respecto a la materia de </w:t>
      </w:r>
      <w:r>
        <w:rPr>
          <w:spacing w:val="-6"/>
          <w:sz w:val="18"/>
          <w:szCs w:val="18"/>
          <w:lang w:val="es-ES_tradnl"/>
        </w:rPr>
        <w:t>comunicaciones y telecomunicaciones, la misma Norma Suprema establece en el art</w:t>
      </w:r>
      <w:r>
        <w:rPr>
          <w:rFonts w:cs="Times New Roman"/>
          <w:spacing w:val="-6"/>
          <w:sz w:val="18"/>
          <w:szCs w:val="18"/>
          <w:lang w:val="es-ES_tradnl"/>
        </w:rPr>
        <w:t>í</w:t>
      </w:r>
      <w:r>
        <w:rPr>
          <w:spacing w:val="-6"/>
          <w:sz w:val="18"/>
          <w:szCs w:val="18"/>
          <w:lang w:val="es-ES_tradnl"/>
        </w:rPr>
        <w:t>culo 261 numeral 10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del Ecuador que: </w:t>
      </w:r>
      <w:r>
        <w:rPr>
          <w:rFonts w:cs="Times New Roman"/>
          <w:spacing w:val="-6"/>
          <w:sz w:val="18"/>
          <w:szCs w:val="18"/>
          <w:lang w:val="es-ES_tradnl"/>
        </w:rPr>
        <w:t>“</w:t>
      </w:r>
      <w:r>
        <w:rPr>
          <w:spacing w:val="-6"/>
          <w:sz w:val="18"/>
          <w:szCs w:val="18"/>
          <w:lang w:val="es-ES_tradnl"/>
        </w:rPr>
        <w:t xml:space="preserve">El Estado </w:t>
      </w:r>
      <w:r>
        <w:rPr>
          <w:spacing w:val="-10"/>
          <w:sz w:val="18"/>
          <w:szCs w:val="18"/>
          <w:lang w:val="es-ES_tradnl"/>
        </w:rPr>
        <w:t>central tendr</w:t>
      </w:r>
      <w:r>
        <w:rPr>
          <w:rFonts w:cs="Times New Roman"/>
          <w:spacing w:val="-10"/>
          <w:sz w:val="18"/>
          <w:szCs w:val="18"/>
          <w:lang w:val="es-ES_tradnl"/>
        </w:rPr>
        <w:t>á</w:t>
      </w:r>
      <w:r>
        <w:rPr>
          <w:spacing w:val="-10"/>
          <w:sz w:val="18"/>
          <w:szCs w:val="18"/>
          <w:lang w:val="es-ES_tradnl"/>
        </w:rPr>
        <w:t xml:space="preserve"> competencias exclusivas sobre:</w:t>
      </w:r>
      <w:r>
        <w:rPr>
          <w:rFonts w:cs="Times New Roman"/>
          <w:spacing w:val="-10"/>
          <w:sz w:val="18"/>
          <w:szCs w:val="18"/>
          <w:lang w:val="es-ES_tradnl"/>
        </w:rPr>
        <w:t>…</w:t>
      </w:r>
      <w:r>
        <w:rPr>
          <w:spacing w:val="-10"/>
          <w:sz w:val="18"/>
          <w:szCs w:val="18"/>
          <w:lang w:val="es-ES_tradnl"/>
        </w:rPr>
        <w:t xml:space="preserve"> El espectro </w:t>
      </w:r>
      <w:r>
        <w:rPr>
          <w:spacing w:val="-5"/>
          <w:sz w:val="18"/>
          <w:szCs w:val="18"/>
          <w:lang w:val="es-ES_tradnl"/>
        </w:rPr>
        <w:t>radioel</w:t>
      </w:r>
      <w:r>
        <w:rPr>
          <w:rFonts w:cs="Times New Roman"/>
          <w:spacing w:val="-5"/>
          <w:sz w:val="18"/>
          <w:szCs w:val="18"/>
          <w:lang w:val="es-ES_tradnl"/>
        </w:rPr>
        <w:t>é</w:t>
      </w:r>
      <w:r>
        <w:rPr>
          <w:spacing w:val="-5"/>
          <w:sz w:val="18"/>
          <w:szCs w:val="18"/>
          <w:lang w:val="es-ES_tradnl"/>
        </w:rPr>
        <w:t>ctrico y el r</w:t>
      </w:r>
      <w:r>
        <w:rPr>
          <w:rFonts w:cs="Times New Roman"/>
          <w:spacing w:val="-5"/>
          <w:sz w:val="18"/>
          <w:szCs w:val="18"/>
          <w:lang w:val="es-ES_tradnl"/>
        </w:rPr>
        <w:t>é</w:t>
      </w:r>
      <w:r>
        <w:rPr>
          <w:spacing w:val="-5"/>
          <w:sz w:val="18"/>
          <w:szCs w:val="18"/>
          <w:lang w:val="es-ES_tradnl"/>
        </w:rPr>
        <w:t xml:space="preserve">gimen general de comunicaciones y </w:t>
      </w:r>
      <w:r>
        <w:rPr>
          <w:spacing w:val="-6"/>
          <w:sz w:val="18"/>
          <w:szCs w:val="18"/>
          <w:lang w:val="es-ES_tradnl"/>
        </w:rPr>
        <w:t>telecomunicaciones; puertos y aeropuertos</w:t>
      </w:r>
      <w:r>
        <w:rPr>
          <w:rFonts w:cs="Times New Roman"/>
          <w:spacing w:val="-6"/>
          <w:sz w:val="18"/>
          <w:szCs w:val="18"/>
          <w:lang w:val="es-ES_tradnl"/>
        </w:rPr>
        <w:t>”</w:t>
      </w:r>
      <w:r>
        <w:rPr>
          <w:spacing w:val="-6"/>
          <w:sz w:val="18"/>
          <w:szCs w:val="18"/>
          <w:lang w:val="es-ES_tradnl"/>
        </w:rPr>
        <w:t>.</w:t>
      </w:r>
    </w:p>
    <w:p w14:paraId="4F67A60B" w14:textId="77777777" w:rsidR="00591D54" w:rsidRDefault="00591D54">
      <w:pPr>
        <w:shd w:val="clear" w:color="auto" w:fill="FFFFFF"/>
        <w:spacing w:before="197" w:line="216" w:lineRule="exact"/>
        <w:jc w:val="both"/>
      </w:pPr>
      <w:r>
        <w:rPr>
          <w:spacing w:val="-5"/>
          <w:sz w:val="18"/>
          <w:szCs w:val="18"/>
          <w:lang w:val="es-ES_tradnl"/>
        </w:rPr>
        <w:t>Bajo este an</w:t>
      </w:r>
      <w:r>
        <w:rPr>
          <w:rFonts w:cs="Times New Roman"/>
          <w:spacing w:val="-5"/>
          <w:sz w:val="18"/>
          <w:szCs w:val="18"/>
          <w:lang w:val="es-ES_tradnl"/>
        </w:rPr>
        <w:t>á</w:t>
      </w:r>
      <w:r>
        <w:rPr>
          <w:spacing w:val="-5"/>
          <w:sz w:val="18"/>
          <w:szCs w:val="18"/>
          <w:lang w:val="es-ES_tradnl"/>
        </w:rPr>
        <w:t>lisis, la Corte Constitucional concluy</w:t>
      </w:r>
      <w:r>
        <w:rPr>
          <w:rFonts w:cs="Times New Roman"/>
          <w:spacing w:val="-5"/>
          <w:sz w:val="18"/>
          <w:szCs w:val="18"/>
          <w:lang w:val="es-ES_tradnl"/>
        </w:rPr>
        <w:t>ó</w:t>
      </w:r>
      <w:r>
        <w:rPr>
          <w:spacing w:val="-5"/>
          <w:sz w:val="18"/>
          <w:szCs w:val="18"/>
          <w:lang w:val="es-ES_tradnl"/>
        </w:rPr>
        <w:t xml:space="preserve"> en la </w:t>
      </w:r>
      <w:r>
        <w:rPr>
          <w:sz w:val="18"/>
          <w:szCs w:val="18"/>
          <w:lang w:val="es-ES_tradnl"/>
        </w:rPr>
        <w:t>sentencia N.</w:t>
      </w:r>
      <w:r>
        <w:rPr>
          <w:rFonts w:cs="Times New Roman"/>
          <w:sz w:val="18"/>
          <w:szCs w:val="18"/>
          <w:lang w:val="es-ES_tradnl"/>
        </w:rPr>
        <w:t>º</w:t>
      </w:r>
      <w:r>
        <w:rPr>
          <w:sz w:val="18"/>
          <w:szCs w:val="18"/>
          <w:lang w:val="es-ES_tradnl"/>
        </w:rPr>
        <w:t xml:space="preserve"> 008-15-SIN-CC que:</w:t>
      </w:r>
    </w:p>
    <w:p w14:paraId="4F67A60C" w14:textId="77777777" w:rsidR="00591D54" w:rsidRDefault="00591D54">
      <w:pPr>
        <w:shd w:val="clear" w:color="auto" w:fill="FFFFFF"/>
        <w:spacing w:before="206" w:line="216" w:lineRule="exact"/>
        <w:ind w:left="283"/>
        <w:jc w:val="both"/>
      </w:pPr>
      <w:r>
        <w:rPr>
          <w:spacing w:val="-8"/>
          <w:sz w:val="16"/>
          <w:szCs w:val="16"/>
          <w:lang w:val="es-ES_tradnl"/>
        </w:rPr>
        <w:t>De esta forma, el cobro de la tasa por el uso del espacio a</w:t>
      </w:r>
      <w:r>
        <w:rPr>
          <w:rFonts w:cs="Times New Roman"/>
          <w:spacing w:val="-8"/>
          <w:sz w:val="16"/>
          <w:szCs w:val="16"/>
          <w:lang w:val="es-ES_tradnl"/>
        </w:rPr>
        <w:t>é</w:t>
      </w:r>
      <w:r>
        <w:rPr>
          <w:spacing w:val="-8"/>
          <w:sz w:val="16"/>
          <w:szCs w:val="16"/>
          <w:lang w:val="es-ES_tradnl"/>
        </w:rPr>
        <w:t xml:space="preserve">reo </w:t>
      </w:r>
      <w:r>
        <w:rPr>
          <w:spacing w:val="-9"/>
          <w:sz w:val="16"/>
          <w:szCs w:val="16"/>
          <w:lang w:val="es-ES_tradnl"/>
        </w:rPr>
        <w:t>en virtud del r</w:t>
      </w:r>
      <w:r>
        <w:rPr>
          <w:rFonts w:cs="Times New Roman"/>
          <w:spacing w:val="-9"/>
          <w:sz w:val="16"/>
          <w:szCs w:val="16"/>
          <w:lang w:val="es-ES_tradnl"/>
        </w:rPr>
        <w:t>é</w:t>
      </w:r>
      <w:r>
        <w:rPr>
          <w:spacing w:val="-9"/>
          <w:sz w:val="16"/>
          <w:szCs w:val="16"/>
          <w:lang w:val="es-ES_tradnl"/>
        </w:rPr>
        <w:t xml:space="preserve">gimen de comunicaciones y telecomunicaciones </w:t>
      </w:r>
      <w:r>
        <w:rPr>
          <w:spacing w:val="-2"/>
          <w:sz w:val="16"/>
          <w:szCs w:val="16"/>
          <w:lang w:val="es-ES_tradnl"/>
        </w:rPr>
        <w:t>es de competencia exclusiva del Estado central, en raz</w:t>
      </w:r>
      <w:r>
        <w:rPr>
          <w:rFonts w:cs="Times New Roman"/>
          <w:spacing w:val="-2"/>
          <w:sz w:val="16"/>
          <w:szCs w:val="16"/>
          <w:lang w:val="es-ES_tradnl"/>
        </w:rPr>
        <w:t>ó</w:t>
      </w:r>
      <w:r>
        <w:rPr>
          <w:spacing w:val="-2"/>
          <w:sz w:val="16"/>
          <w:szCs w:val="16"/>
          <w:lang w:val="es-ES_tradnl"/>
        </w:rPr>
        <w:t xml:space="preserve">n </w:t>
      </w:r>
      <w:r>
        <w:rPr>
          <w:spacing w:val="-7"/>
          <w:sz w:val="16"/>
          <w:szCs w:val="16"/>
          <w:lang w:val="es-ES_tradnl"/>
        </w:rPr>
        <w:t xml:space="preserve">de que la competencia en materia de comunicaciones y </w:t>
      </w:r>
      <w:r>
        <w:rPr>
          <w:spacing w:val="-9"/>
          <w:sz w:val="16"/>
          <w:szCs w:val="16"/>
          <w:lang w:val="es-ES_tradnl"/>
        </w:rPr>
        <w:t>telecomunicaciones est</w:t>
      </w:r>
      <w:r>
        <w:rPr>
          <w:rFonts w:cs="Times New Roman"/>
          <w:spacing w:val="-9"/>
          <w:sz w:val="16"/>
          <w:szCs w:val="16"/>
          <w:lang w:val="es-ES_tradnl"/>
        </w:rPr>
        <w:t>á</w:t>
      </w:r>
      <w:r>
        <w:rPr>
          <w:spacing w:val="-9"/>
          <w:sz w:val="16"/>
          <w:szCs w:val="16"/>
          <w:lang w:val="es-ES_tradnl"/>
        </w:rPr>
        <w:t xml:space="preserve"> otorgada al Estado central de manera </w:t>
      </w:r>
      <w:r>
        <w:rPr>
          <w:spacing w:val="-3"/>
          <w:sz w:val="16"/>
          <w:szCs w:val="16"/>
          <w:lang w:val="es-ES_tradnl"/>
        </w:rPr>
        <w:t>directa por parte de la Constituci</w:t>
      </w:r>
      <w:r>
        <w:rPr>
          <w:rFonts w:cs="Times New Roman"/>
          <w:spacing w:val="-3"/>
          <w:sz w:val="16"/>
          <w:szCs w:val="16"/>
          <w:lang w:val="es-ES_tradnl"/>
        </w:rPr>
        <w:t>ó</w:t>
      </w:r>
      <w:r>
        <w:rPr>
          <w:spacing w:val="-3"/>
          <w:sz w:val="16"/>
          <w:szCs w:val="16"/>
          <w:lang w:val="es-ES_tradnl"/>
        </w:rPr>
        <w:t>n de la Rep</w:t>
      </w:r>
      <w:r>
        <w:rPr>
          <w:rFonts w:cs="Times New Roman"/>
          <w:spacing w:val="-3"/>
          <w:sz w:val="16"/>
          <w:szCs w:val="16"/>
          <w:lang w:val="es-ES_tradnl"/>
        </w:rPr>
        <w:t>ú</w:t>
      </w:r>
      <w:r>
        <w:rPr>
          <w:spacing w:val="-3"/>
          <w:sz w:val="16"/>
          <w:szCs w:val="16"/>
          <w:lang w:val="es-ES_tradnl"/>
        </w:rPr>
        <w:t xml:space="preserve">blica del </w:t>
      </w:r>
      <w:r>
        <w:rPr>
          <w:sz w:val="16"/>
          <w:szCs w:val="16"/>
          <w:lang w:val="es-ES_tradnl"/>
        </w:rPr>
        <w:t>Ecuador.</w:t>
      </w:r>
    </w:p>
    <w:p w14:paraId="4F67A60D" w14:textId="77777777" w:rsidR="00591D54" w:rsidRDefault="00591D54">
      <w:pPr>
        <w:shd w:val="clear" w:color="auto" w:fill="FFFFFF"/>
        <w:spacing w:before="202" w:line="216" w:lineRule="exact"/>
        <w:jc w:val="both"/>
      </w:pPr>
      <w:r>
        <w:rPr>
          <w:spacing w:val="-8"/>
          <w:sz w:val="18"/>
          <w:szCs w:val="18"/>
          <w:lang w:val="es-ES_tradnl"/>
        </w:rPr>
        <w:t xml:space="preserve">Se ha determinado, entonces, que la tasa que cobran los </w:t>
      </w:r>
      <w:r>
        <w:rPr>
          <w:spacing w:val="-4"/>
          <w:sz w:val="18"/>
          <w:szCs w:val="18"/>
          <w:lang w:val="es-ES_tradnl"/>
        </w:rPr>
        <w:t>Municipios, amparados en el art</w:t>
      </w:r>
      <w:r>
        <w:rPr>
          <w:rFonts w:cs="Times New Roman"/>
          <w:spacing w:val="-4"/>
          <w:sz w:val="18"/>
          <w:szCs w:val="18"/>
          <w:lang w:val="es-ES_tradnl"/>
        </w:rPr>
        <w:t>í</w:t>
      </w:r>
      <w:r>
        <w:rPr>
          <w:spacing w:val="-4"/>
          <w:sz w:val="18"/>
          <w:szCs w:val="18"/>
          <w:lang w:val="es-ES_tradnl"/>
        </w:rPr>
        <w:t xml:space="preserve">culo 567 del COOTAD, </w:t>
      </w:r>
      <w:r>
        <w:rPr>
          <w:spacing w:val="-6"/>
          <w:sz w:val="18"/>
          <w:szCs w:val="18"/>
          <w:lang w:val="es-ES_tradnl"/>
        </w:rPr>
        <w:t>se refiere a la utilizaci</w:t>
      </w:r>
      <w:r>
        <w:rPr>
          <w:rFonts w:cs="Times New Roman"/>
          <w:spacing w:val="-6"/>
          <w:sz w:val="18"/>
          <w:szCs w:val="18"/>
          <w:lang w:val="es-ES_tradnl"/>
        </w:rPr>
        <w:t>ó</w:t>
      </w:r>
      <w:r>
        <w:rPr>
          <w:spacing w:val="-6"/>
          <w:sz w:val="18"/>
          <w:szCs w:val="18"/>
          <w:lang w:val="es-ES_tradnl"/>
        </w:rPr>
        <w:t>n del espacio p</w:t>
      </w:r>
      <w:r>
        <w:rPr>
          <w:rFonts w:cs="Times New Roman"/>
          <w:spacing w:val="-6"/>
          <w:sz w:val="18"/>
          <w:szCs w:val="18"/>
          <w:lang w:val="es-ES_tradnl"/>
        </w:rPr>
        <w:t>ú</w:t>
      </w:r>
      <w:r>
        <w:rPr>
          <w:spacing w:val="-6"/>
          <w:sz w:val="18"/>
          <w:szCs w:val="18"/>
          <w:lang w:val="es-ES_tradnl"/>
        </w:rPr>
        <w:t xml:space="preserve">blico municipal en </w:t>
      </w:r>
      <w:r>
        <w:rPr>
          <w:spacing w:val="-9"/>
          <w:sz w:val="18"/>
          <w:szCs w:val="18"/>
          <w:lang w:val="es-ES_tradnl"/>
        </w:rPr>
        <w:t>el proceso de instalaci</w:t>
      </w:r>
      <w:r>
        <w:rPr>
          <w:rFonts w:cs="Times New Roman"/>
          <w:spacing w:val="-9"/>
          <w:sz w:val="18"/>
          <w:szCs w:val="18"/>
          <w:lang w:val="es-ES_tradnl"/>
        </w:rPr>
        <w:t>ó</w:t>
      </w:r>
      <w:r>
        <w:rPr>
          <w:spacing w:val="-9"/>
          <w:sz w:val="18"/>
          <w:szCs w:val="18"/>
          <w:lang w:val="es-ES_tradnl"/>
        </w:rPr>
        <w:t xml:space="preserve">n de medios destinados a prestar un </w:t>
      </w:r>
      <w:r>
        <w:rPr>
          <w:spacing w:val="-7"/>
          <w:sz w:val="18"/>
          <w:szCs w:val="18"/>
          <w:lang w:val="es-ES_tradnl"/>
        </w:rPr>
        <w:t>servicio, m</w:t>
      </w:r>
      <w:r>
        <w:rPr>
          <w:rFonts w:cs="Times New Roman"/>
          <w:spacing w:val="-7"/>
          <w:sz w:val="18"/>
          <w:szCs w:val="18"/>
          <w:lang w:val="es-ES_tradnl"/>
        </w:rPr>
        <w:t>á</w:t>
      </w:r>
      <w:r>
        <w:rPr>
          <w:spacing w:val="-7"/>
          <w:sz w:val="18"/>
          <w:szCs w:val="18"/>
          <w:lang w:val="es-ES_tradnl"/>
        </w:rPr>
        <w:t>s, en ning</w:t>
      </w:r>
      <w:r>
        <w:rPr>
          <w:rFonts w:cs="Times New Roman"/>
          <w:spacing w:val="-7"/>
          <w:sz w:val="18"/>
          <w:szCs w:val="18"/>
          <w:lang w:val="es-ES_tradnl"/>
        </w:rPr>
        <w:t>ú</w:t>
      </w:r>
      <w:r>
        <w:rPr>
          <w:spacing w:val="-7"/>
          <w:sz w:val="18"/>
          <w:szCs w:val="18"/>
          <w:lang w:val="es-ES_tradnl"/>
        </w:rPr>
        <w:t xml:space="preserve">n momento, debe operar respecto </w:t>
      </w:r>
      <w:r>
        <w:rPr>
          <w:spacing w:val="-5"/>
          <w:sz w:val="18"/>
          <w:szCs w:val="18"/>
          <w:lang w:val="es-ES_tradnl"/>
        </w:rPr>
        <w:t>del servicio mismo que prestan, que en el caso concreto,</w:t>
      </w:r>
    </w:p>
    <w:p w14:paraId="4F67A60E" w14:textId="77777777" w:rsidR="00591D54" w:rsidRDefault="00591D54">
      <w:pPr>
        <w:shd w:val="clear" w:color="auto" w:fill="FFFFFF"/>
        <w:spacing w:before="202" w:line="216" w:lineRule="exact"/>
        <w:jc w:val="both"/>
        <w:sectPr w:rsidR="00591D54">
          <w:type w:val="continuous"/>
          <w:pgSz w:w="11909" w:h="16834"/>
          <w:pgMar w:top="1373" w:right="1309" w:bottom="360" w:left="1308" w:header="720" w:footer="720" w:gutter="0"/>
          <w:cols w:num="2" w:space="720" w:equalWidth="0">
            <w:col w:w="4305" w:space="682"/>
            <w:col w:w="4305"/>
          </w:cols>
          <w:noEndnote/>
        </w:sectPr>
      </w:pPr>
    </w:p>
    <w:p w14:paraId="4F67A60F" w14:textId="77777777" w:rsidR="00591D54" w:rsidRDefault="00591D54">
      <w:pPr>
        <w:shd w:val="clear" w:color="auto" w:fill="FFFFFF"/>
        <w:tabs>
          <w:tab w:val="left" w:pos="595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- 35</w:t>
      </w:r>
    </w:p>
    <w:p w14:paraId="4F67A610" w14:textId="77777777" w:rsidR="00591D54" w:rsidRDefault="00591D54">
      <w:pPr>
        <w:shd w:val="clear" w:color="auto" w:fill="FFFFFF"/>
        <w:tabs>
          <w:tab w:val="left" w:pos="5952"/>
        </w:tabs>
        <w:spacing w:after="235"/>
        <w:ind w:left="5"/>
        <w:sectPr w:rsidR="00591D54">
          <w:pgSz w:w="11909" w:h="16834"/>
          <w:pgMar w:top="1371" w:right="1309" w:bottom="360" w:left="1308" w:header="720" w:footer="720" w:gutter="0"/>
          <w:cols w:space="60"/>
          <w:noEndnote/>
        </w:sectPr>
      </w:pPr>
    </w:p>
    <w:p w14:paraId="4F67A611" w14:textId="77777777" w:rsidR="00591D54" w:rsidRDefault="00591D54">
      <w:pPr>
        <w:shd w:val="clear" w:color="auto" w:fill="FFFFFF"/>
        <w:spacing w:line="216" w:lineRule="exact"/>
        <w:jc w:val="both"/>
      </w:pPr>
      <w:r>
        <w:rPr>
          <w:spacing w:val="-6"/>
          <w:sz w:val="18"/>
          <w:szCs w:val="18"/>
          <w:lang w:val="es-ES_tradnl"/>
        </w:rPr>
        <w:t>es el de telecomunicaciones, ya que esta materia est</w:t>
      </w:r>
      <w:r>
        <w:rPr>
          <w:rFonts w:cs="Times New Roman"/>
          <w:spacing w:val="-6"/>
          <w:sz w:val="18"/>
          <w:szCs w:val="18"/>
          <w:lang w:val="es-ES_tradnl"/>
        </w:rPr>
        <w:t xml:space="preserve">á </w:t>
      </w:r>
      <w:r>
        <w:rPr>
          <w:spacing w:val="-3"/>
          <w:sz w:val="18"/>
          <w:szCs w:val="18"/>
          <w:lang w:val="es-ES_tradnl"/>
        </w:rPr>
        <w:t>plenamente normada por el Estado central, a trav</w:t>
      </w:r>
      <w:r>
        <w:rPr>
          <w:rFonts w:cs="Times New Roman"/>
          <w:spacing w:val="-3"/>
          <w:sz w:val="18"/>
          <w:szCs w:val="18"/>
          <w:lang w:val="es-ES_tradnl"/>
        </w:rPr>
        <w:t>é</w:t>
      </w:r>
      <w:r>
        <w:rPr>
          <w:spacing w:val="-3"/>
          <w:sz w:val="18"/>
          <w:szCs w:val="18"/>
          <w:lang w:val="es-ES_tradnl"/>
        </w:rPr>
        <w:t xml:space="preserve">s de </w:t>
      </w:r>
      <w:r>
        <w:rPr>
          <w:spacing w:val="-4"/>
          <w:sz w:val="18"/>
          <w:szCs w:val="18"/>
          <w:lang w:val="es-ES_tradnl"/>
        </w:rPr>
        <w:t xml:space="preserve">la entrega de concesiones, regladas por la Ley Especial </w:t>
      </w:r>
      <w:r>
        <w:rPr>
          <w:spacing w:val="-6"/>
          <w:sz w:val="18"/>
          <w:szCs w:val="18"/>
          <w:lang w:val="es-ES_tradnl"/>
        </w:rPr>
        <w:t>de Telecomunicaciones, su reglamento y adem</w:t>
      </w:r>
      <w:r>
        <w:rPr>
          <w:rFonts w:cs="Times New Roman"/>
          <w:spacing w:val="-6"/>
          <w:sz w:val="18"/>
          <w:szCs w:val="18"/>
          <w:lang w:val="es-ES_tradnl"/>
        </w:rPr>
        <w:t>á</w:t>
      </w:r>
      <w:r>
        <w:rPr>
          <w:spacing w:val="-6"/>
          <w:sz w:val="18"/>
          <w:szCs w:val="18"/>
          <w:lang w:val="es-ES_tradnl"/>
        </w:rPr>
        <w:t xml:space="preserve">s, por el </w:t>
      </w:r>
      <w:r>
        <w:rPr>
          <w:spacing w:val="-5"/>
          <w:sz w:val="18"/>
          <w:szCs w:val="18"/>
          <w:lang w:val="es-ES_tradnl"/>
        </w:rPr>
        <w:t xml:space="preserve">Reglamento de Derechos de Concesiones y Tarifas por </w:t>
      </w:r>
      <w:r>
        <w:rPr>
          <w:sz w:val="18"/>
          <w:szCs w:val="18"/>
          <w:lang w:val="es-ES_tradnl"/>
        </w:rPr>
        <w:t>Uso de Frecuencias.</w:t>
      </w:r>
    </w:p>
    <w:p w14:paraId="4F67A612" w14:textId="77777777" w:rsidR="00591D54" w:rsidRDefault="00591D54">
      <w:pPr>
        <w:shd w:val="clear" w:color="auto" w:fill="FFFFFF"/>
        <w:spacing w:before="197" w:line="216" w:lineRule="exact"/>
        <w:jc w:val="both"/>
      </w:pPr>
      <w:r>
        <w:rPr>
          <w:spacing w:val="-8"/>
          <w:sz w:val="18"/>
          <w:szCs w:val="18"/>
          <w:lang w:val="es-ES_tradnl"/>
        </w:rPr>
        <w:t>De considerarlo as</w:t>
      </w:r>
      <w:r>
        <w:rPr>
          <w:rFonts w:cs="Times New Roman"/>
          <w:spacing w:val="-8"/>
          <w:sz w:val="18"/>
          <w:szCs w:val="18"/>
          <w:lang w:val="es-ES_tradnl"/>
        </w:rPr>
        <w:t>í</w:t>
      </w:r>
      <w:r>
        <w:rPr>
          <w:spacing w:val="-8"/>
          <w:sz w:val="18"/>
          <w:szCs w:val="18"/>
          <w:lang w:val="es-ES_tradnl"/>
        </w:rPr>
        <w:t>, los GAD municipales estar</w:t>
      </w:r>
      <w:r>
        <w:rPr>
          <w:rFonts w:cs="Times New Roman"/>
          <w:spacing w:val="-8"/>
          <w:sz w:val="18"/>
          <w:szCs w:val="18"/>
          <w:lang w:val="es-ES_tradnl"/>
        </w:rPr>
        <w:t>í</w:t>
      </w:r>
      <w:r>
        <w:rPr>
          <w:spacing w:val="-8"/>
          <w:sz w:val="18"/>
          <w:szCs w:val="18"/>
          <w:lang w:val="es-ES_tradnl"/>
        </w:rPr>
        <w:t xml:space="preserve">an creando </w:t>
      </w:r>
      <w:r>
        <w:rPr>
          <w:spacing w:val="-12"/>
          <w:sz w:val="18"/>
          <w:szCs w:val="18"/>
          <w:lang w:val="es-ES_tradnl"/>
        </w:rPr>
        <w:t>una contraprestaci</w:t>
      </w:r>
      <w:r>
        <w:rPr>
          <w:rFonts w:cs="Times New Roman"/>
          <w:spacing w:val="-12"/>
          <w:sz w:val="18"/>
          <w:szCs w:val="18"/>
          <w:lang w:val="es-ES_tradnl"/>
        </w:rPr>
        <w:t>ó</w:t>
      </w:r>
      <w:r>
        <w:rPr>
          <w:spacing w:val="-12"/>
          <w:sz w:val="18"/>
          <w:szCs w:val="18"/>
          <w:lang w:val="es-ES_tradnl"/>
        </w:rPr>
        <w:t xml:space="preserve">n respecto de un </w:t>
      </w:r>
      <w:r>
        <w:rPr>
          <w:rFonts w:cs="Times New Roman"/>
          <w:spacing w:val="-12"/>
          <w:sz w:val="18"/>
          <w:szCs w:val="18"/>
          <w:lang w:val="es-ES_tradnl"/>
        </w:rPr>
        <w:t>á</w:t>
      </w:r>
      <w:r>
        <w:rPr>
          <w:spacing w:val="-12"/>
          <w:sz w:val="18"/>
          <w:szCs w:val="18"/>
          <w:lang w:val="es-ES_tradnl"/>
        </w:rPr>
        <w:t xml:space="preserve">mbito que se encuentra </w:t>
      </w:r>
      <w:r>
        <w:rPr>
          <w:spacing w:val="-3"/>
          <w:sz w:val="18"/>
          <w:szCs w:val="18"/>
          <w:lang w:val="es-ES_tradnl"/>
        </w:rPr>
        <w:t>fuera de su competencia, pues, se estar</w:t>
      </w:r>
      <w:r>
        <w:rPr>
          <w:rFonts w:cs="Times New Roman"/>
          <w:spacing w:val="-3"/>
          <w:sz w:val="18"/>
          <w:szCs w:val="18"/>
          <w:lang w:val="es-ES_tradnl"/>
        </w:rPr>
        <w:t>í</w:t>
      </w:r>
      <w:r>
        <w:rPr>
          <w:spacing w:val="-3"/>
          <w:sz w:val="18"/>
          <w:szCs w:val="18"/>
          <w:lang w:val="es-ES_tradnl"/>
        </w:rPr>
        <w:t xml:space="preserve">a regulando </w:t>
      </w:r>
      <w:r>
        <w:rPr>
          <w:spacing w:val="-7"/>
          <w:sz w:val="18"/>
          <w:szCs w:val="18"/>
          <w:lang w:val="es-ES_tradnl"/>
        </w:rPr>
        <w:t>asuntos atinentes al uso de frecuencia en el espectro radioel</w:t>
      </w:r>
      <w:r>
        <w:rPr>
          <w:rFonts w:cs="Times New Roman"/>
          <w:spacing w:val="-7"/>
          <w:sz w:val="18"/>
          <w:szCs w:val="18"/>
          <w:lang w:val="es-ES_tradnl"/>
        </w:rPr>
        <w:t>é</w:t>
      </w:r>
      <w:r>
        <w:rPr>
          <w:spacing w:val="-7"/>
          <w:sz w:val="18"/>
          <w:szCs w:val="18"/>
          <w:lang w:val="es-ES_tradnl"/>
        </w:rPr>
        <w:t>ctrico y el espacio a</w:t>
      </w:r>
      <w:r>
        <w:rPr>
          <w:rFonts w:cs="Times New Roman"/>
          <w:spacing w:val="-7"/>
          <w:sz w:val="18"/>
          <w:szCs w:val="18"/>
          <w:lang w:val="es-ES_tradnl"/>
        </w:rPr>
        <w:t>é</w:t>
      </w:r>
      <w:r>
        <w:rPr>
          <w:spacing w:val="-7"/>
          <w:sz w:val="18"/>
          <w:szCs w:val="18"/>
          <w:lang w:val="es-ES_tradnl"/>
        </w:rPr>
        <w:t>reo, cuando est</w:t>
      </w:r>
      <w:r>
        <w:rPr>
          <w:rFonts w:cs="Times New Roman"/>
          <w:spacing w:val="-7"/>
          <w:sz w:val="18"/>
          <w:szCs w:val="18"/>
          <w:lang w:val="es-ES_tradnl"/>
        </w:rPr>
        <w:t>é</w:t>
      </w:r>
      <w:r>
        <w:rPr>
          <w:spacing w:val="-7"/>
          <w:sz w:val="18"/>
          <w:szCs w:val="18"/>
          <w:lang w:val="es-ES_tradnl"/>
        </w:rPr>
        <w:t xml:space="preserve">n vinculados </w:t>
      </w:r>
      <w:r>
        <w:rPr>
          <w:spacing w:val="-5"/>
          <w:sz w:val="18"/>
          <w:szCs w:val="18"/>
          <w:lang w:val="es-ES_tradnl"/>
        </w:rPr>
        <w:t>con transmisiones de redes de radiocomunicaci</w:t>
      </w:r>
      <w:r>
        <w:rPr>
          <w:rFonts w:cs="Times New Roman"/>
          <w:spacing w:val="-5"/>
          <w:sz w:val="18"/>
          <w:szCs w:val="18"/>
          <w:lang w:val="es-ES_tradnl"/>
        </w:rPr>
        <w:t>ó</w:t>
      </w:r>
      <w:r>
        <w:rPr>
          <w:spacing w:val="-5"/>
          <w:sz w:val="18"/>
          <w:szCs w:val="18"/>
          <w:lang w:val="es-ES_tradnl"/>
        </w:rPr>
        <w:t xml:space="preserve">n o </w:t>
      </w:r>
      <w:r>
        <w:rPr>
          <w:sz w:val="18"/>
          <w:szCs w:val="18"/>
          <w:lang w:val="es-ES_tradnl"/>
        </w:rPr>
        <w:t>frecuencias del espectro radioel</w:t>
      </w:r>
      <w:r>
        <w:rPr>
          <w:rFonts w:cs="Times New Roman"/>
          <w:sz w:val="18"/>
          <w:szCs w:val="18"/>
          <w:lang w:val="es-ES_tradnl"/>
        </w:rPr>
        <w:t>é</w:t>
      </w:r>
      <w:r>
        <w:rPr>
          <w:sz w:val="18"/>
          <w:szCs w:val="18"/>
          <w:lang w:val="es-ES_tradnl"/>
        </w:rPr>
        <w:t>ctrico.</w:t>
      </w:r>
    </w:p>
    <w:p w14:paraId="4F67A613" w14:textId="77777777" w:rsidR="00591D54" w:rsidRDefault="00591D54">
      <w:pPr>
        <w:shd w:val="clear" w:color="auto" w:fill="FFFFFF"/>
        <w:spacing w:before="197" w:line="216" w:lineRule="exact"/>
        <w:jc w:val="both"/>
      </w:pPr>
      <w:r>
        <w:rPr>
          <w:spacing w:val="-2"/>
          <w:sz w:val="18"/>
          <w:szCs w:val="18"/>
          <w:lang w:val="es-ES_tradnl"/>
        </w:rPr>
        <w:t xml:space="preserve">Ahora bien, del texto de la ordenanza impugnada, se </w:t>
      </w:r>
      <w:r>
        <w:rPr>
          <w:spacing w:val="-8"/>
          <w:sz w:val="18"/>
          <w:szCs w:val="18"/>
          <w:lang w:val="es-ES_tradnl"/>
        </w:rPr>
        <w:t xml:space="preserve">verifica que se llega a establecer que el objeto y </w:t>
      </w:r>
      <w:r>
        <w:rPr>
          <w:rFonts w:cs="Times New Roman"/>
          <w:spacing w:val="-8"/>
          <w:sz w:val="18"/>
          <w:szCs w:val="18"/>
          <w:lang w:val="es-ES_tradnl"/>
        </w:rPr>
        <w:t>á</w:t>
      </w:r>
      <w:r>
        <w:rPr>
          <w:spacing w:val="-8"/>
          <w:sz w:val="18"/>
          <w:szCs w:val="18"/>
          <w:lang w:val="es-ES_tradnl"/>
        </w:rPr>
        <w:t xml:space="preserve">mbito de </w:t>
      </w:r>
      <w:r>
        <w:rPr>
          <w:spacing w:val="-7"/>
          <w:sz w:val="18"/>
          <w:szCs w:val="18"/>
          <w:lang w:val="es-ES_tradnl"/>
        </w:rPr>
        <w:t>aplicaci</w:t>
      </w:r>
      <w:r>
        <w:rPr>
          <w:rFonts w:cs="Times New Roman"/>
          <w:spacing w:val="-7"/>
          <w:sz w:val="18"/>
          <w:szCs w:val="18"/>
          <w:lang w:val="es-ES_tradnl"/>
        </w:rPr>
        <w:t>ó</w:t>
      </w:r>
      <w:r>
        <w:rPr>
          <w:spacing w:val="-7"/>
          <w:sz w:val="18"/>
          <w:szCs w:val="18"/>
          <w:lang w:val="es-ES_tradnl"/>
        </w:rPr>
        <w:t>n es regular, controlar y sancionar la implantaci</w:t>
      </w:r>
      <w:r>
        <w:rPr>
          <w:rFonts w:cs="Times New Roman"/>
          <w:spacing w:val="-7"/>
          <w:sz w:val="18"/>
          <w:szCs w:val="18"/>
          <w:lang w:val="es-ES_tradnl"/>
        </w:rPr>
        <w:t>ó</w:t>
      </w:r>
      <w:r>
        <w:rPr>
          <w:spacing w:val="-7"/>
          <w:sz w:val="18"/>
          <w:szCs w:val="18"/>
          <w:lang w:val="es-ES_tradnl"/>
        </w:rPr>
        <w:t xml:space="preserve">n </w:t>
      </w:r>
      <w:r>
        <w:rPr>
          <w:spacing w:val="-2"/>
          <w:sz w:val="18"/>
          <w:szCs w:val="18"/>
          <w:lang w:val="es-ES_tradnl"/>
        </w:rPr>
        <w:t xml:space="preserve">de estructuras, postes y tendidos de redes, por lo que, </w:t>
      </w:r>
      <w:r>
        <w:rPr>
          <w:sz w:val="18"/>
          <w:szCs w:val="18"/>
          <w:lang w:val="es-ES_tradnl"/>
        </w:rPr>
        <w:t xml:space="preserve">en tal sentido, pretende normar el uso del espacio </w:t>
      </w:r>
      <w:r>
        <w:rPr>
          <w:spacing w:val="-3"/>
          <w:sz w:val="18"/>
          <w:szCs w:val="18"/>
          <w:lang w:val="es-ES_tradnl"/>
        </w:rPr>
        <w:t>p</w:t>
      </w:r>
      <w:r>
        <w:rPr>
          <w:rFonts w:cs="Times New Roman"/>
          <w:spacing w:val="-3"/>
          <w:sz w:val="18"/>
          <w:szCs w:val="18"/>
          <w:lang w:val="es-ES_tradnl"/>
        </w:rPr>
        <w:t>ú</w:t>
      </w:r>
      <w:r>
        <w:rPr>
          <w:spacing w:val="-3"/>
          <w:sz w:val="18"/>
          <w:szCs w:val="18"/>
          <w:lang w:val="es-ES_tradnl"/>
        </w:rPr>
        <w:t>blico municipal en la implantaci</w:t>
      </w:r>
      <w:r>
        <w:rPr>
          <w:rFonts w:cs="Times New Roman"/>
          <w:spacing w:val="-3"/>
          <w:sz w:val="18"/>
          <w:szCs w:val="18"/>
          <w:lang w:val="es-ES_tradnl"/>
        </w:rPr>
        <w:t>ó</w:t>
      </w:r>
      <w:r>
        <w:rPr>
          <w:spacing w:val="-3"/>
          <w:sz w:val="18"/>
          <w:szCs w:val="18"/>
          <w:lang w:val="es-ES_tradnl"/>
        </w:rPr>
        <w:t xml:space="preserve">n de estructuras </w:t>
      </w:r>
      <w:r>
        <w:rPr>
          <w:spacing w:val="-5"/>
          <w:sz w:val="18"/>
          <w:szCs w:val="18"/>
          <w:lang w:val="es-ES_tradnl"/>
        </w:rPr>
        <w:t>met</w:t>
      </w:r>
      <w:r>
        <w:rPr>
          <w:rFonts w:cs="Times New Roman"/>
          <w:spacing w:val="-5"/>
          <w:sz w:val="18"/>
          <w:szCs w:val="18"/>
          <w:lang w:val="es-ES_tradnl"/>
        </w:rPr>
        <w:t>á</w:t>
      </w:r>
      <w:r>
        <w:rPr>
          <w:spacing w:val="-5"/>
          <w:sz w:val="18"/>
          <w:szCs w:val="18"/>
          <w:lang w:val="es-ES_tradnl"/>
        </w:rPr>
        <w:t xml:space="preserve">licas, de antenas para servicio de celulares, radio ayuda, radioaficionados, radio emisoras comerciales, </w:t>
      </w:r>
      <w:r>
        <w:rPr>
          <w:spacing w:val="-6"/>
          <w:sz w:val="18"/>
          <w:szCs w:val="18"/>
          <w:lang w:val="es-ES_tradnl"/>
        </w:rPr>
        <w:t>antenas parab</w:t>
      </w:r>
      <w:r>
        <w:rPr>
          <w:rFonts w:cs="Times New Roman"/>
          <w:spacing w:val="-6"/>
          <w:sz w:val="18"/>
          <w:szCs w:val="18"/>
          <w:lang w:val="es-ES_tradnl"/>
        </w:rPr>
        <w:t>ó</w:t>
      </w:r>
      <w:r>
        <w:rPr>
          <w:spacing w:val="-6"/>
          <w:sz w:val="18"/>
          <w:szCs w:val="18"/>
          <w:lang w:val="es-ES_tradnl"/>
        </w:rPr>
        <w:t xml:space="preserve">licas y postes, en lo atinente a su forma, </w:t>
      </w:r>
      <w:r>
        <w:rPr>
          <w:spacing w:val="-4"/>
          <w:sz w:val="18"/>
          <w:szCs w:val="18"/>
          <w:lang w:val="es-ES_tradnl"/>
        </w:rPr>
        <w:t>condici</w:t>
      </w:r>
      <w:r>
        <w:rPr>
          <w:rFonts w:cs="Times New Roman"/>
          <w:spacing w:val="-4"/>
          <w:sz w:val="18"/>
          <w:szCs w:val="18"/>
          <w:lang w:val="es-ES_tradnl"/>
        </w:rPr>
        <w:t>ó</w:t>
      </w:r>
      <w:r>
        <w:rPr>
          <w:spacing w:val="-4"/>
          <w:sz w:val="18"/>
          <w:szCs w:val="18"/>
          <w:lang w:val="es-ES_tradnl"/>
        </w:rPr>
        <w:t>n y modo de instalaci</w:t>
      </w:r>
      <w:r>
        <w:rPr>
          <w:rFonts w:cs="Times New Roman"/>
          <w:spacing w:val="-4"/>
          <w:sz w:val="18"/>
          <w:szCs w:val="18"/>
          <w:lang w:val="es-ES_tradnl"/>
        </w:rPr>
        <w:t>ó</w:t>
      </w:r>
      <w:r>
        <w:rPr>
          <w:spacing w:val="-4"/>
          <w:sz w:val="18"/>
          <w:szCs w:val="18"/>
          <w:lang w:val="es-ES_tradnl"/>
        </w:rPr>
        <w:t>n, tama</w:t>
      </w:r>
      <w:r>
        <w:rPr>
          <w:rFonts w:cs="Times New Roman"/>
          <w:spacing w:val="-4"/>
          <w:sz w:val="18"/>
          <w:szCs w:val="18"/>
          <w:lang w:val="es-ES_tradnl"/>
        </w:rPr>
        <w:t>ñ</w:t>
      </w:r>
      <w:r>
        <w:rPr>
          <w:spacing w:val="-4"/>
          <w:sz w:val="18"/>
          <w:szCs w:val="18"/>
          <w:lang w:val="es-ES_tradnl"/>
        </w:rPr>
        <w:t>o, as</w:t>
      </w:r>
      <w:r>
        <w:rPr>
          <w:rFonts w:cs="Times New Roman"/>
          <w:spacing w:val="-4"/>
          <w:sz w:val="18"/>
          <w:szCs w:val="18"/>
          <w:lang w:val="es-ES_tradnl"/>
        </w:rPr>
        <w:t>í</w:t>
      </w:r>
      <w:r>
        <w:rPr>
          <w:spacing w:val="-4"/>
          <w:sz w:val="18"/>
          <w:szCs w:val="18"/>
          <w:lang w:val="es-ES_tradnl"/>
        </w:rPr>
        <w:t xml:space="preserve"> como al </w:t>
      </w:r>
      <w:r>
        <w:rPr>
          <w:spacing w:val="-6"/>
          <w:sz w:val="18"/>
          <w:szCs w:val="18"/>
          <w:lang w:val="es-ES_tradnl"/>
        </w:rPr>
        <w:t xml:space="preserve">cumplimiento del pago de impuestos municipales previos, </w:t>
      </w:r>
      <w:r>
        <w:rPr>
          <w:spacing w:val="-3"/>
          <w:sz w:val="18"/>
          <w:szCs w:val="18"/>
          <w:lang w:val="es-ES_tradnl"/>
        </w:rPr>
        <w:t>as</w:t>
      </w:r>
      <w:r>
        <w:rPr>
          <w:rFonts w:cs="Times New Roman"/>
          <w:spacing w:val="-3"/>
          <w:sz w:val="18"/>
          <w:szCs w:val="18"/>
          <w:lang w:val="es-ES_tradnl"/>
        </w:rPr>
        <w:t>í</w:t>
      </w:r>
      <w:r>
        <w:rPr>
          <w:spacing w:val="-3"/>
          <w:sz w:val="18"/>
          <w:szCs w:val="18"/>
          <w:lang w:val="es-ES_tradnl"/>
        </w:rPr>
        <w:t xml:space="preserve"> como tambi</w:t>
      </w:r>
      <w:r>
        <w:rPr>
          <w:rFonts w:cs="Times New Roman"/>
          <w:spacing w:val="-3"/>
          <w:sz w:val="18"/>
          <w:szCs w:val="18"/>
          <w:lang w:val="es-ES_tradnl"/>
        </w:rPr>
        <w:t>é</w:t>
      </w:r>
      <w:r>
        <w:rPr>
          <w:spacing w:val="-3"/>
          <w:sz w:val="18"/>
          <w:szCs w:val="18"/>
          <w:lang w:val="es-ES_tradnl"/>
        </w:rPr>
        <w:t>n la regulaci</w:t>
      </w:r>
      <w:r>
        <w:rPr>
          <w:rFonts w:cs="Times New Roman"/>
          <w:spacing w:val="-3"/>
          <w:sz w:val="18"/>
          <w:szCs w:val="18"/>
          <w:lang w:val="es-ES_tradnl"/>
        </w:rPr>
        <w:t>ó</w:t>
      </w:r>
      <w:r>
        <w:rPr>
          <w:spacing w:val="-3"/>
          <w:sz w:val="18"/>
          <w:szCs w:val="18"/>
          <w:lang w:val="es-ES_tradnl"/>
        </w:rPr>
        <w:t xml:space="preserve">n frente al impacto visual, </w:t>
      </w:r>
      <w:r>
        <w:rPr>
          <w:spacing w:val="-5"/>
          <w:sz w:val="18"/>
          <w:szCs w:val="18"/>
          <w:lang w:val="es-ES_tradnl"/>
        </w:rPr>
        <w:t>al uso de se</w:t>
      </w:r>
      <w:r>
        <w:rPr>
          <w:rFonts w:cs="Times New Roman"/>
          <w:spacing w:val="-5"/>
          <w:sz w:val="18"/>
          <w:szCs w:val="18"/>
          <w:lang w:val="es-ES_tradnl"/>
        </w:rPr>
        <w:t>ñ</w:t>
      </w:r>
      <w:r>
        <w:rPr>
          <w:spacing w:val="-5"/>
          <w:sz w:val="18"/>
          <w:szCs w:val="18"/>
          <w:lang w:val="es-ES_tradnl"/>
        </w:rPr>
        <w:t>alizaci</w:t>
      </w:r>
      <w:r>
        <w:rPr>
          <w:rFonts w:cs="Times New Roman"/>
          <w:spacing w:val="-5"/>
          <w:sz w:val="18"/>
          <w:szCs w:val="18"/>
          <w:lang w:val="es-ES_tradnl"/>
        </w:rPr>
        <w:t>ó</w:t>
      </w:r>
      <w:r>
        <w:rPr>
          <w:spacing w:val="-5"/>
          <w:sz w:val="18"/>
          <w:szCs w:val="18"/>
          <w:lang w:val="es-ES_tradnl"/>
        </w:rPr>
        <w:t xml:space="preserve">n, al cumplimiento de los requisitos </w:t>
      </w:r>
      <w:r>
        <w:rPr>
          <w:spacing w:val="-6"/>
          <w:sz w:val="18"/>
          <w:szCs w:val="18"/>
          <w:lang w:val="es-ES_tradnl"/>
        </w:rPr>
        <w:t xml:space="preserve">ambientales necesarios, al cumplimiento de los permisos </w:t>
      </w:r>
      <w:r>
        <w:rPr>
          <w:spacing w:val="-5"/>
          <w:sz w:val="18"/>
          <w:szCs w:val="18"/>
          <w:lang w:val="es-ES_tradnl"/>
        </w:rPr>
        <w:t>de implantaci</w:t>
      </w:r>
      <w:r>
        <w:rPr>
          <w:rFonts w:cs="Times New Roman"/>
          <w:spacing w:val="-5"/>
          <w:sz w:val="18"/>
          <w:szCs w:val="18"/>
          <w:lang w:val="es-ES_tradnl"/>
        </w:rPr>
        <w:t>ó</w:t>
      </w:r>
      <w:r>
        <w:rPr>
          <w:spacing w:val="-5"/>
          <w:sz w:val="18"/>
          <w:szCs w:val="18"/>
          <w:lang w:val="es-ES_tradnl"/>
        </w:rPr>
        <w:t>n y renovaci</w:t>
      </w:r>
      <w:r>
        <w:rPr>
          <w:rFonts w:cs="Times New Roman"/>
          <w:spacing w:val="-5"/>
          <w:sz w:val="18"/>
          <w:szCs w:val="18"/>
          <w:lang w:val="es-ES_tradnl"/>
        </w:rPr>
        <w:t>ó</w:t>
      </w:r>
      <w:r>
        <w:rPr>
          <w:spacing w:val="-5"/>
          <w:sz w:val="18"/>
          <w:szCs w:val="18"/>
          <w:lang w:val="es-ES_tradnl"/>
        </w:rPr>
        <w:t>n, aspectos cuya regulaci</w:t>
      </w:r>
      <w:r>
        <w:rPr>
          <w:rFonts w:cs="Times New Roman"/>
          <w:spacing w:val="-5"/>
          <w:sz w:val="18"/>
          <w:szCs w:val="18"/>
          <w:lang w:val="es-ES_tradnl"/>
        </w:rPr>
        <w:t>ó</w:t>
      </w:r>
      <w:r>
        <w:rPr>
          <w:spacing w:val="-5"/>
          <w:sz w:val="18"/>
          <w:szCs w:val="18"/>
          <w:lang w:val="es-ES_tradnl"/>
        </w:rPr>
        <w:t xml:space="preserve">n </w:t>
      </w:r>
      <w:r>
        <w:rPr>
          <w:spacing w:val="-3"/>
          <w:sz w:val="18"/>
          <w:szCs w:val="18"/>
          <w:lang w:val="es-ES_tradnl"/>
        </w:rPr>
        <w:t xml:space="preserve">no extralimita las atribuciones de las municipalidades, </w:t>
      </w:r>
      <w:r>
        <w:rPr>
          <w:spacing w:val="-7"/>
          <w:sz w:val="18"/>
          <w:szCs w:val="18"/>
          <w:lang w:val="es-ES_tradnl"/>
        </w:rPr>
        <w:t xml:space="preserve">dado que son propias del </w:t>
      </w:r>
      <w:r>
        <w:rPr>
          <w:rFonts w:cs="Times New Roman"/>
          <w:spacing w:val="-7"/>
          <w:sz w:val="18"/>
          <w:szCs w:val="18"/>
          <w:lang w:val="es-ES_tradnl"/>
        </w:rPr>
        <w:t>á</w:t>
      </w:r>
      <w:r>
        <w:rPr>
          <w:spacing w:val="-7"/>
          <w:sz w:val="18"/>
          <w:szCs w:val="18"/>
          <w:lang w:val="es-ES_tradnl"/>
        </w:rPr>
        <w:t>mbito de sus competencias.</w:t>
      </w:r>
    </w:p>
    <w:p w14:paraId="4F67A614" w14:textId="77777777" w:rsidR="00591D54" w:rsidRDefault="00591D54">
      <w:pPr>
        <w:shd w:val="clear" w:color="auto" w:fill="FFFFFF"/>
        <w:spacing w:before="192" w:line="216" w:lineRule="exact"/>
        <w:jc w:val="both"/>
      </w:pPr>
      <w:r>
        <w:rPr>
          <w:spacing w:val="-8"/>
          <w:sz w:val="18"/>
          <w:szCs w:val="18"/>
          <w:lang w:val="es-ES_tradnl"/>
        </w:rPr>
        <w:t xml:space="preserve">Pero claramente se observa que el fondo de la ordenanza </w:t>
      </w:r>
      <w:r>
        <w:rPr>
          <w:spacing w:val="-6"/>
          <w:sz w:val="18"/>
          <w:szCs w:val="18"/>
          <w:lang w:val="es-ES_tradnl"/>
        </w:rPr>
        <w:t>impugnada es el establecimiento del cobro de tasas, principalmente, por el uso del espacio a</w:t>
      </w:r>
      <w:r>
        <w:rPr>
          <w:rFonts w:cs="Times New Roman"/>
          <w:spacing w:val="-6"/>
          <w:sz w:val="18"/>
          <w:szCs w:val="18"/>
          <w:lang w:val="es-ES_tradnl"/>
        </w:rPr>
        <w:t>é</w:t>
      </w:r>
      <w:r>
        <w:rPr>
          <w:spacing w:val="-6"/>
          <w:sz w:val="18"/>
          <w:szCs w:val="18"/>
          <w:lang w:val="es-ES_tradnl"/>
        </w:rPr>
        <w:t xml:space="preserve">reo, pues dichas </w:t>
      </w:r>
      <w:r>
        <w:rPr>
          <w:spacing w:val="-7"/>
          <w:sz w:val="18"/>
          <w:szCs w:val="18"/>
          <w:lang w:val="es-ES_tradnl"/>
        </w:rPr>
        <w:t>tasas graban, a m</w:t>
      </w:r>
      <w:r>
        <w:rPr>
          <w:rFonts w:cs="Times New Roman"/>
          <w:spacing w:val="-7"/>
          <w:sz w:val="18"/>
          <w:szCs w:val="18"/>
          <w:lang w:val="es-ES_tradnl"/>
        </w:rPr>
        <w:t>á</w:t>
      </w:r>
      <w:r>
        <w:rPr>
          <w:spacing w:val="-7"/>
          <w:sz w:val="18"/>
          <w:szCs w:val="18"/>
          <w:lang w:val="es-ES_tradnl"/>
        </w:rPr>
        <w:t>s de la utilizaci</w:t>
      </w:r>
      <w:r>
        <w:rPr>
          <w:rFonts w:cs="Times New Roman"/>
          <w:spacing w:val="-7"/>
          <w:sz w:val="18"/>
          <w:szCs w:val="18"/>
          <w:lang w:val="es-ES_tradnl"/>
        </w:rPr>
        <w:t>ó</w:t>
      </w:r>
      <w:r>
        <w:rPr>
          <w:spacing w:val="-7"/>
          <w:sz w:val="18"/>
          <w:szCs w:val="18"/>
          <w:lang w:val="es-ES_tradnl"/>
        </w:rPr>
        <w:t xml:space="preserve">n del suelo, el subsuelo </w:t>
      </w:r>
      <w:r>
        <w:rPr>
          <w:sz w:val="18"/>
          <w:szCs w:val="18"/>
          <w:lang w:val="es-ES_tradnl"/>
        </w:rPr>
        <w:t>y el espacio a</w:t>
      </w:r>
      <w:r>
        <w:rPr>
          <w:rFonts w:cs="Times New Roman"/>
          <w:sz w:val="18"/>
          <w:szCs w:val="18"/>
          <w:lang w:val="es-ES_tradnl"/>
        </w:rPr>
        <w:t>é</w:t>
      </w:r>
      <w:r>
        <w:rPr>
          <w:sz w:val="18"/>
          <w:szCs w:val="18"/>
          <w:lang w:val="es-ES_tradnl"/>
        </w:rPr>
        <w:t>reo para su construcci</w:t>
      </w:r>
      <w:r>
        <w:rPr>
          <w:rFonts w:cs="Times New Roman"/>
          <w:sz w:val="18"/>
          <w:szCs w:val="18"/>
          <w:lang w:val="es-ES_tradnl"/>
        </w:rPr>
        <w:t>ó</w:t>
      </w:r>
      <w:r>
        <w:rPr>
          <w:sz w:val="18"/>
          <w:szCs w:val="18"/>
          <w:lang w:val="es-ES_tradnl"/>
        </w:rPr>
        <w:t>n e instalaci</w:t>
      </w:r>
      <w:r>
        <w:rPr>
          <w:rFonts w:cs="Times New Roman"/>
          <w:sz w:val="18"/>
          <w:szCs w:val="18"/>
          <w:lang w:val="es-ES_tradnl"/>
        </w:rPr>
        <w:t>ó</w:t>
      </w:r>
      <w:r>
        <w:rPr>
          <w:sz w:val="18"/>
          <w:szCs w:val="18"/>
          <w:lang w:val="es-ES_tradnl"/>
        </w:rPr>
        <w:t xml:space="preserve">n </w:t>
      </w:r>
      <w:r>
        <w:rPr>
          <w:spacing w:val="-5"/>
          <w:sz w:val="18"/>
          <w:szCs w:val="18"/>
          <w:lang w:val="es-ES_tradnl"/>
        </w:rPr>
        <w:t>a su funcionamiento, debido a que se est</w:t>
      </w:r>
      <w:r>
        <w:rPr>
          <w:rFonts w:cs="Times New Roman"/>
          <w:spacing w:val="-5"/>
          <w:sz w:val="18"/>
          <w:szCs w:val="18"/>
          <w:lang w:val="es-ES_tradnl"/>
        </w:rPr>
        <w:t>á</w:t>
      </w:r>
      <w:r>
        <w:rPr>
          <w:spacing w:val="-5"/>
          <w:sz w:val="18"/>
          <w:szCs w:val="18"/>
          <w:lang w:val="es-ES_tradnl"/>
        </w:rPr>
        <w:t xml:space="preserve"> regulando la </w:t>
      </w:r>
      <w:r>
        <w:rPr>
          <w:sz w:val="18"/>
          <w:szCs w:val="18"/>
          <w:lang w:val="es-ES_tradnl"/>
        </w:rPr>
        <w:t>utilizaci</w:t>
      </w:r>
      <w:r>
        <w:rPr>
          <w:rFonts w:cs="Times New Roman"/>
          <w:sz w:val="18"/>
          <w:szCs w:val="18"/>
          <w:lang w:val="es-ES_tradnl"/>
        </w:rPr>
        <w:t>ó</w:t>
      </w:r>
      <w:r>
        <w:rPr>
          <w:sz w:val="18"/>
          <w:szCs w:val="18"/>
          <w:lang w:val="es-ES_tradnl"/>
        </w:rPr>
        <w:t>n de frecuencias.</w:t>
      </w:r>
    </w:p>
    <w:p w14:paraId="4F67A615" w14:textId="77777777" w:rsidR="00591D54" w:rsidRDefault="00591D54">
      <w:pPr>
        <w:shd w:val="clear" w:color="auto" w:fill="FFFFFF"/>
        <w:spacing w:before="192" w:line="216" w:lineRule="exact"/>
        <w:jc w:val="both"/>
      </w:pPr>
      <w:r>
        <w:rPr>
          <w:spacing w:val="-4"/>
          <w:sz w:val="18"/>
          <w:szCs w:val="18"/>
          <w:lang w:val="es-ES_tradnl"/>
        </w:rPr>
        <w:t>En tal sentido, debe tenerse en cuenta que el COOTAD, a trav</w:t>
      </w:r>
      <w:r>
        <w:rPr>
          <w:rFonts w:cs="Times New Roman"/>
          <w:spacing w:val="-4"/>
          <w:sz w:val="18"/>
          <w:szCs w:val="18"/>
          <w:lang w:val="es-ES_tradnl"/>
        </w:rPr>
        <w:t>é</w:t>
      </w:r>
      <w:r>
        <w:rPr>
          <w:spacing w:val="-4"/>
          <w:sz w:val="18"/>
          <w:szCs w:val="18"/>
          <w:lang w:val="es-ES_tradnl"/>
        </w:rPr>
        <w:t>s de su art</w:t>
      </w:r>
      <w:r>
        <w:rPr>
          <w:rFonts w:cs="Times New Roman"/>
          <w:spacing w:val="-4"/>
          <w:sz w:val="18"/>
          <w:szCs w:val="18"/>
          <w:lang w:val="es-ES_tradnl"/>
        </w:rPr>
        <w:t>í</w:t>
      </w:r>
      <w:r>
        <w:rPr>
          <w:spacing w:val="-4"/>
          <w:sz w:val="18"/>
          <w:szCs w:val="18"/>
          <w:lang w:val="es-ES_tradnl"/>
        </w:rPr>
        <w:t xml:space="preserve">culo 567, lo que permite regular a los </w:t>
      </w:r>
      <w:r>
        <w:rPr>
          <w:spacing w:val="-8"/>
          <w:sz w:val="18"/>
          <w:szCs w:val="18"/>
          <w:lang w:val="es-ES_tradnl"/>
        </w:rPr>
        <w:t>GAD, es el proceso de instalaci</w:t>
      </w:r>
      <w:r>
        <w:rPr>
          <w:rFonts w:cs="Times New Roman"/>
          <w:spacing w:val="-8"/>
          <w:sz w:val="18"/>
          <w:szCs w:val="18"/>
          <w:lang w:val="es-ES_tradnl"/>
        </w:rPr>
        <w:t>ó</w:t>
      </w:r>
      <w:r>
        <w:rPr>
          <w:spacing w:val="-8"/>
          <w:sz w:val="18"/>
          <w:szCs w:val="18"/>
          <w:lang w:val="es-ES_tradnl"/>
        </w:rPr>
        <w:t xml:space="preserve">n de estructuras, respecto </w:t>
      </w:r>
      <w:r>
        <w:rPr>
          <w:spacing w:val="-7"/>
          <w:sz w:val="18"/>
          <w:szCs w:val="18"/>
          <w:lang w:val="es-ES_tradnl"/>
        </w:rPr>
        <w:t>del uso del espacio p</w:t>
      </w:r>
      <w:r>
        <w:rPr>
          <w:rFonts w:cs="Times New Roman"/>
          <w:spacing w:val="-7"/>
          <w:sz w:val="18"/>
          <w:szCs w:val="18"/>
          <w:lang w:val="es-ES_tradnl"/>
        </w:rPr>
        <w:t>ú</w:t>
      </w:r>
      <w:r>
        <w:rPr>
          <w:spacing w:val="-7"/>
          <w:sz w:val="18"/>
          <w:szCs w:val="18"/>
          <w:lang w:val="es-ES_tradnl"/>
        </w:rPr>
        <w:t>blico, mas no la regulaci</w:t>
      </w:r>
      <w:r>
        <w:rPr>
          <w:rFonts w:cs="Times New Roman"/>
          <w:spacing w:val="-7"/>
          <w:sz w:val="18"/>
          <w:szCs w:val="18"/>
          <w:lang w:val="es-ES_tradnl"/>
        </w:rPr>
        <w:t>ó</w:t>
      </w:r>
      <w:r>
        <w:rPr>
          <w:spacing w:val="-7"/>
          <w:sz w:val="18"/>
          <w:szCs w:val="18"/>
          <w:lang w:val="es-ES_tradnl"/>
        </w:rPr>
        <w:t xml:space="preserve">n de tasas </w:t>
      </w:r>
      <w:r>
        <w:rPr>
          <w:spacing w:val="-5"/>
          <w:sz w:val="18"/>
          <w:szCs w:val="18"/>
          <w:lang w:val="es-ES_tradnl"/>
        </w:rPr>
        <w:t xml:space="preserve">por el funcionamiento de dichas estructuras, ya que esto </w:t>
      </w:r>
      <w:r>
        <w:rPr>
          <w:spacing w:val="-8"/>
          <w:sz w:val="18"/>
          <w:szCs w:val="18"/>
          <w:lang w:val="es-ES_tradnl"/>
        </w:rPr>
        <w:t xml:space="preserve">es materia propia del </w:t>
      </w:r>
      <w:r>
        <w:rPr>
          <w:rFonts w:cs="Times New Roman"/>
          <w:spacing w:val="-8"/>
          <w:sz w:val="18"/>
          <w:szCs w:val="18"/>
          <w:lang w:val="es-ES_tradnl"/>
        </w:rPr>
        <w:t>ó</w:t>
      </w:r>
      <w:r>
        <w:rPr>
          <w:spacing w:val="-8"/>
          <w:sz w:val="18"/>
          <w:szCs w:val="18"/>
          <w:lang w:val="es-ES_tradnl"/>
        </w:rPr>
        <w:t xml:space="preserve">rgano competente, que para el caso </w:t>
      </w:r>
      <w:r>
        <w:rPr>
          <w:spacing w:val="-4"/>
          <w:sz w:val="18"/>
          <w:szCs w:val="18"/>
          <w:lang w:val="es-ES_tradnl"/>
        </w:rPr>
        <w:t xml:space="preserve">lo constituye el CONATEL, quien regula el </w:t>
      </w:r>
      <w:r>
        <w:rPr>
          <w:rFonts w:cs="Times New Roman"/>
          <w:spacing w:val="-4"/>
          <w:sz w:val="18"/>
          <w:szCs w:val="18"/>
          <w:lang w:val="es-ES_tradnl"/>
        </w:rPr>
        <w:t>á</w:t>
      </w:r>
      <w:r>
        <w:rPr>
          <w:spacing w:val="-4"/>
          <w:sz w:val="18"/>
          <w:szCs w:val="18"/>
          <w:lang w:val="es-ES_tradnl"/>
        </w:rPr>
        <w:t xml:space="preserve">mbito de las </w:t>
      </w:r>
      <w:r>
        <w:rPr>
          <w:spacing w:val="-7"/>
          <w:sz w:val="18"/>
          <w:szCs w:val="18"/>
          <w:lang w:val="es-ES_tradnl"/>
        </w:rPr>
        <w:t>telecomunicaciones a trav</w:t>
      </w:r>
      <w:r>
        <w:rPr>
          <w:rFonts w:cs="Times New Roman"/>
          <w:spacing w:val="-7"/>
          <w:sz w:val="18"/>
          <w:szCs w:val="18"/>
          <w:lang w:val="es-ES_tradnl"/>
        </w:rPr>
        <w:t>é</w:t>
      </w:r>
      <w:r>
        <w:rPr>
          <w:spacing w:val="-7"/>
          <w:sz w:val="18"/>
          <w:szCs w:val="18"/>
          <w:lang w:val="es-ES_tradnl"/>
        </w:rPr>
        <w:t>s de concesiones y permisos.</w:t>
      </w:r>
    </w:p>
    <w:p w14:paraId="4F67A616" w14:textId="77777777" w:rsidR="00591D54" w:rsidRDefault="00591D54">
      <w:pPr>
        <w:shd w:val="clear" w:color="auto" w:fill="FFFFFF"/>
        <w:spacing w:before="192" w:line="216" w:lineRule="exact"/>
        <w:jc w:val="both"/>
      </w:pPr>
      <w:r>
        <w:rPr>
          <w:sz w:val="18"/>
          <w:szCs w:val="18"/>
          <w:lang w:val="es-ES_tradnl"/>
        </w:rPr>
        <w:t xml:space="preserve">En consecuencia, esta Corte reitera el criterio de que </w:t>
      </w:r>
      <w:r>
        <w:rPr>
          <w:spacing w:val="-2"/>
          <w:sz w:val="18"/>
          <w:szCs w:val="18"/>
          <w:lang w:val="es-ES_tradnl"/>
        </w:rPr>
        <w:t>la competencia para la regulaci</w:t>
      </w:r>
      <w:r>
        <w:rPr>
          <w:rFonts w:cs="Times New Roman"/>
          <w:spacing w:val="-2"/>
          <w:sz w:val="18"/>
          <w:szCs w:val="18"/>
          <w:lang w:val="es-ES_tradnl"/>
        </w:rPr>
        <w:t>ó</w:t>
      </w:r>
      <w:r>
        <w:rPr>
          <w:spacing w:val="-2"/>
          <w:sz w:val="18"/>
          <w:szCs w:val="18"/>
          <w:lang w:val="es-ES_tradnl"/>
        </w:rPr>
        <w:t>n por utilizaci</w:t>
      </w:r>
      <w:r>
        <w:rPr>
          <w:rFonts w:cs="Times New Roman"/>
          <w:spacing w:val="-2"/>
          <w:sz w:val="18"/>
          <w:szCs w:val="18"/>
          <w:lang w:val="es-ES_tradnl"/>
        </w:rPr>
        <w:t>ó</w:t>
      </w:r>
      <w:r>
        <w:rPr>
          <w:spacing w:val="-2"/>
          <w:sz w:val="18"/>
          <w:szCs w:val="18"/>
          <w:lang w:val="es-ES_tradnl"/>
        </w:rPr>
        <w:t xml:space="preserve">n del </w:t>
      </w:r>
      <w:r>
        <w:rPr>
          <w:spacing w:val="-4"/>
          <w:sz w:val="18"/>
          <w:szCs w:val="18"/>
          <w:lang w:val="es-ES_tradnl"/>
        </w:rPr>
        <w:t>espacio a</w:t>
      </w:r>
      <w:r>
        <w:rPr>
          <w:rFonts w:cs="Times New Roman"/>
          <w:spacing w:val="-4"/>
          <w:sz w:val="18"/>
          <w:szCs w:val="18"/>
          <w:lang w:val="es-ES_tradnl"/>
        </w:rPr>
        <w:t>é</w:t>
      </w:r>
      <w:r>
        <w:rPr>
          <w:spacing w:val="-4"/>
          <w:sz w:val="18"/>
          <w:szCs w:val="18"/>
          <w:lang w:val="es-ES_tradnl"/>
        </w:rPr>
        <w:t xml:space="preserve">reo corresponde al Estado central, por lo que </w:t>
      </w:r>
      <w:r>
        <w:rPr>
          <w:spacing w:val="-5"/>
          <w:sz w:val="18"/>
          <w:szCs w:val="18"/>
          <w:lang w:val="es-ES_tradnl"/>
        </w:rPr>
        <w:t>se llega a la conclusi</w:t>
      </w:r>
      <w:r>
        <w:rPr>
          <w:rFonts w:cs="Times New Roman"/>
          <w:spacing w:val="-5"/>
          <w:sz w:val="18"/>
          <w:szCs w:val="18"/>
          <w:lang w:val="es-ES_tradnl"/>
        </w:rPr>
        <w:t>ó</w:t>
      </w:r>
      <w:r>
        <w:rPr>
          <w:spacing w:val="-5"/>
          <w:sz w:val="18"/>
          <w:szCs w:val="18"/>
          <w:lang w:val="es-ES_tradnl"/>
        </w:rPr>
        <w:t xml:space="preserve">n de que en el proceso </w:t>
      </w:r>
      <w:r>
        <w:rPr>
          <w:i/>
          <w:iCs/>
          <w:spacing w:val="-5"/>
          <w:sz w:val="18"/>
          <w:szCs w:val="18"/>
          <w:lang w:val="es-ES_tradnl"/>
        </w:rPr>
        <w:t>sub judice</w:t>
      </w:r>
      <w:r>
        <w:rPr>
          <w:spacing w:val="-5"/>
          <w:sz w:val="18"/>
          <w:szCs w:val="18"/>
          <w:lang w:val="es-ES_tradnl"/>
        </w:rPr>
        <w:t>, la Ordenanza Municipal que se analiza, en el art</w:t>
      </w:r>
      <w:r>
        <w:rPr>
          <w:rFonts w:cs="Times New Roman"/>
          <w:spacing w:val="-5"/>
          <w:sz w:val="18"/>
          <w:szCs w:val="18"/>
          <w:lang w:val="es-ES_tradnl"/>
        </w:rPr>
        <w:t>í</w:t>
      </w:r>
      <w:r>
        <w:rPr>
          <w:spacing w:val="-5"/>
          <w:sz w:val="18"/>
          <w:szCs w:val="18"/>
          <w:lang w:val="es-ES_tradnl"/>
        </w:rPr>
        <w:t>culo 18, contraviene al art</w:t>
      </w:r>
      <w:r>
        <w:rPr>
          <w:rFonts w:cs="Times New Roman"/>
          <w:spacing w:val="-5"/>
          <w:sz w:val="18"/>
          <w:szCs w:val="18"/>
          <w:lang w:val="es-ES_tradnl"/>
        </w:rPr>
        <w:t>í</w:t>
      </w:r>
      <w:r>
        <w:rPr>
          <w:spacing w:val="-5"/>
          <w:sz w:val="18"/>
          <w:szCs w:val="18"/>
          <w:lang w:val="es-ES_tradnl"/>
        </w:rPr>
        <w:t>culo 261 numeral 10 de la Constituci</w:t>
      </w:r>
      <w:r>
        <w:rPr>
          <w:rFonts w:cs="Times New Roman"/>
          <w:spacing w:val="-5"/>
          <w:sz w:val="18"/>
          <w:szCs w:val="18"/>
          <w:lang w:val="es-ES_tradnl"/>
        </w:rPr>
        <w:t>ó</w:t>
      </w:r>
      <w:r>
        <w:rPr>
          <w:spacing w:val="-5"/>
          <w:sz w:val="18"/>
          <w:szCs w:val="18"/>
          <w:lang w:val="es-ES_tradnl"/>
        </w:rPr>
        <w:t xml:space="preserve">n </w:t>
      </w:r>
      <w:r>
        <w:rPr>
          <w:spacing w:val="-8"/>
          <w:sz w:val="18"/>
          <w:szCs w:val="18"/>
          <w:lang w:val="es-ES_tradnl"/>
        </w:rPr>
        <w:t>de la Rep</w:t>
      </w:r>
      <w:r>
        <w:rPr>
          <w:rFonts w:cs="Times New Roman"/>
          <w:spacing w:val="-8"/>
          <w:sz w:val="18"/>
          <w:szCs w:val="18"/>
          <w:lang w:val="es-ES_tradnl"/>
        </w:rPr>
        <w:t>ú</w:t>
      </w:r>
      <w:r>
        <w:rPr>
          <w:spacing w:val="-8"/>
          <w:sz w:val="18"/>
          <w:szCs w:val="18"/>
          <w:lang w:val="es-ES_tradnl"/>
        </w:rPr>
        <w:t xml:space="preserve">blica, por hacerse referencia expresa al </w:t>
      </w:r>
      <w:r>
        <w:rPr>
          <w:rFonts w:cs="Times New Roman"/>
          <w:spacing w:val="-8"/>
          <w:sz w:val="18"/>
          <w:szCs w:val="18"/>
          <w:lang w:val="es-ES_tradnl"/>
        </w:rPr>
        <w:t>“</w:t>
      </w:r>
      <w:r>
        <w:rPr>
          <w:spacing w:val="-8"/>
          <w:sz w:val="18"/>
          <w:szCs w:val="18"/>
          <w:lang w:val="es-ES_tradnl"/>
        </w:rPr>
        <w:t xml:space="preserve">uso del </w:t>
      </w:r>
      <w:r>
        <w:rPr>
          <w:sz w:val="18"/>
          <w:szCs w:val="18"/>
          <w:lang w:val="es-ES_tradnl"/>
        </w:rPr>
        <w:t>espacio a</w:t>
      </w:r>
      <w:r>
        <w:rPr>
          <w:rFonts w:cs="Times New Roman"/>
          <w:sz w:val="18"/>
          <w:szCs w:val="18"/>
          <w:lang w:val="es-ES_tradnl"/>
        </w:rPr>
        <w:t>é</w:t>
      </w:r>
      <w:r>
        <w:rPr>
          <w:sz w:val="18"/>
          <w:szCs w:val="18"/>
          <w:lang w:val="es-ES_tradnl"/>
        </w:rPr>
        <w:t>reo</w:t>
      </w:r>
      <w:r>
        <w:rPr>
          <w:rFonts w:cs="Times New Roman"/>
          <w:sz w:val="18"/>
          <w:szCs w:val="18"/>
          <w:lang w:val="es-ES_tradnl"/>
        </w:rPr>
        <w:t>”</w:t>
      </w:r>
      <w:r>
        <w:rPr>
          <w:sz w:val="18"/>
          <w:szCs w:val="18"/>
          <w:lang w:val="es-ES_tradnl"/>
        </w:rPr>
        <w:t>.</w:t>
      </w:r>
    </w:p>
    <w:p w14:paraId="4F67A617" w14:textId="77777777" w:rsidR="00591D54" w:rsidRDefault="00591D54">
      <w:pPr>
        <w:shd w:val="clear" w:color="auto" w:fill="FFFFFF"/>
        <w:spacing w:before="192" w:line="216" w:lineRule="exact"/>
        <w:jc w:val="both"/>
      </w:pPr>
      <w:r>
        <w:rPr>
          <w:spacing w:val="-5"/>
          <w:sz w:val="18"/>
          <w:szCs w:val="18"/>
          <w:lang w:val="es-ES_tradnl"/>
        </w:rPr>
        <w:t>Por ello, con fundamento en el art</w:t>
      </w:r>
      <w:r>
        <w:rPr>
          <w:rFonts w:cs="Times New Roman"/>
          <w:spacing w:val="-5"/>
          <w:sz w:val="18"/>
          <w:szCs w:val="18"/>
          <w:lang w:val="es-ES_tradnl"/>
        </w:rPr>
        <w:t>í</w:t>
      </w:r>
      <w:r>
        <w:rPr>
          <w:spacing w:val="-5"/>
          <w:sz w:val="18"/>
          <w:szCs w:val="18"/>
          <w:lang w:val="es-ES_tradnl"/>
        </w:rPr>
        <w:t xml:space="preserve">culo 436 numerales 1, </w:t>
      </w:r>
      <w:r>
        <w:rPr>
          <w:spacing w:val="-6"/>
          <w:sz w:val="18"/>
          <w:szCs w:val="18"/>
          <w:lang w:val="es-ES_tradnl"/>
        </w:rPr>
        <w:t>2 y 3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en concordancia </w:t>
      </w:r>
      <w:r>
        <w:rPr>
          <w:spacing w:val="-8"/>
          <w:sz w:val="18"/>
          <w:szCs w:val="18"/>
          <w:lang w:val="es-ES_tradnl"/>
        </w:rPr>
        <w:t>con el art</w:t>
      </w:r>
      <w:r>
        <w:rPr>
          <w:rFonts w:cs="Times New Roman"/>
          <w:spacing w:val="-8"/>
          <w:sz w:val="18"/>
          <w:szCs w:val="18"/>
          <w:lang w:val="es-ES_tradnl"/>
        </w:rPr>
        <w:t>í</w:t>
      </w:r>
      <w:r>
        <w:rPr>
          <w:spacing w:val="-8"/>
          <w:sz w:val="18"/>
          <w:szCs w:val="18"/>
          <w:lang w:val="es-ES_tradnl"/>
        </w:rPr>
        <w:t>culo 76 numerales 4, 5 y 6 de la Ley Org</w:t>
      </w:r>
      <w:r>
        <w:rPr>
          <w:rFonts w:cs="Times New Roman"/>
          <w:spacing w:val="-8"/>
          <w:sz w:val="18"/>
          <w:szCs w:val="18"/>
          <w:lang w:val="es-ES_tradnl"/>
        </w:rPr>
        <w:t>á</w:t>
      </w:r>
      <w:r>
        <w:rPr>
          <w:spacing w:val="-8"/>
          <w:sz w:val="18"/>
          <w:szCs w:val="18"/>
          <w:lang w:val="es-ES_tradnl"/>
        </w:rPr>
        <w:t xml:space="preserve">nica de </w:t>
      </w:r>
      <w:r>
        <w:rPr>
          <w:spacing w:val="-4"/>
          <w:sz w:val="18"/>
          <w:szCs w:val="18"/>
          <w:lang w:val="es-ES_tradnl"/>
        </w:rPr>
        <w:t>Garant</w:t>
      </w:r>
      <w:r>
        <w:rPr>
          <w:rFonts w:cs="Times New Roman"/>
          <w:spacing w:val="-4"/>
          <w:sz w:val="18"/>
          <w:szCs w:val="18"/>
          <w:lang w:val="es-ES_tradnl"/>
        </w:rPr>
        <w:t>í</w:t>
      </w:r>
      <w:r>
        <w:rPr>
          <w:spacing w:val="-4"/>
          <w:sz w:val="18"/>
          <w:szCs w:val="18"/>
          <w:lang w:val="es-ES_tradnl"/>
        </w:rPr>
        <w:t>as Jurisdiccionales y Control Constitucional, esta</w:t>
      </w:r>
    </w:p>
    <w:p w14:paraId="4F67A618" w14:textId="77777777" w:rsidR="00591D54" w:rsidRDefault="00591D54">
      <w:pPr>
        <w:shd w:val="clear" w:color="auto" w:fill="FFFFFF"/>
        <w:spacing w:line="221" w:lineRule="exact"/>
        <w:jc w:val="both"/>
      </w:pPr>
      <w:r>
        <w:br w:type="column"/>
      </w:r>
      <w:r>
        <w:rPr>
          <w:spacing w:val="-5"/>
          <w:sz w:val="18"/>
          <w:szCs w:val="18"/>
          <w:lang w:val="es-ES_tradnl"/>
        </w:rPr>
        <w:t>Corte declara la inconstitucionalidad en el art</w:t>
      </w:r>
      <w:r>
        <w:rPr>
          <w:rFonts w:cs="Times New Roman"/>
          <w:spacing w:val="-5"/>
          <w:sz w:val="18"/>
          <w:szCs w:val="18"/>
          <w:lang w:val="es-ES_tradnl"/>
        </w:rPr>
        <w:t>í</w:t>
      </w:r>
      <w:r>
        <w:rPr>
          <w:spacing w:val="-5"/>
          <w:sz w:val="18"/>
          <w:szCs w:val="18"/>
          <w:lang w:val="es-ES_tradnl"/>
        </w:rPr>
        <w:t xml:space="preserve">culo 18, de </w:t>
      </w:r>
      <w:r>
        <w:rPr>
          <w:spacing w:val="-4"/>
          <w:sz w:val="18"/>
          <w:szCs w:val="18"/>
          <w:lang w:val="es-ES_tradnl"/>
        </w:rPr>
        <w:t>los numerales 2, 3, 4 y 6 as</w:t>
      </w:r>
      <w:r>
        <w:rPr>
          <w:rFonts w:cs="Times New Roman"/>
          <w:spacing w:val="-4"/>
          <w:sz w:val="18"/>
          <w:szCs w:val="18"/>
          <w:lang w:val="es-ES_tradnl"/>
        </w:rPr>
        <w:t>í</w:t>
      </w:r>
      <w:r>
        <w:rPr>
          <w:spacing w:val="-4"/>
          <w:sz w:val="18"/>
          <w:szCs w:val="18"/>
          <w:lang w:val="es-ES_tradnl"/>
        </w:rPr>
        <w:t xml:space="preserve"> como en el art</w:t>
      </w:r>
      <w:r>
        <w:rPr>
          <w:rFonts w:cs="Times New Roman"/>
          <w:spacing w:val="-4"/>
          <w:sz w:val="18"/>
          <w:szCs w:val="18"/>
          <w:lang w:val="es-ES_tradnl"/>
        </w:rPr>
        <w:t>í</w:t>
      </w:r>
      <w:r>
        <w:rPr>
          <w:spacing w:val="-4"/>
          <w:sz w:val="18"/>
          <w:szCs w:val="18"/>
          <w:lang w:val="es-ES_tradnl"/>
        </w:rPr>
        <w:t xml:space="preserve">culo 3 de la </w:t>
      </w:r>
      <w:r>
        <w:rPr>
          <w:sz w:val="18"/>
          <w:szCs w:val="18"/>
          <w:lang w:val="es-ES_tradnl"/>
        </w:rPr>
        <w:t xml:space="preserve">frase </w:t>
      </w:r>
      <w:r>
        <w:rPr>
          <w:rFonts w:cs="Times New Roman"/>
          <w:sz w:val="18"/>
          <w:szCs w:val="18"/>
          <w:lang w:val="es-ES_tradnl"/>
        </w:rPr>
        <w:t>“</w:t>
      </w:r>
      <w:r>
        <w:rPr>
          <w:sz w:val="18"/>
          <w:szCs w:val="18"/>
          <w:lang w:val="es-ES_tradnl"/>
        </w:rPr>
        <w:t>espacio a</w:t>
      </w:r>
      <w:r>
        <w:rPr>
          <w:rFonts w:cs="Times New Roman"/>
          <w:sz w:val="18"/>
          <w:szCs w:val="18"/>
          <w:lang w:val="es-ES_tradnl"/>
        </w:rPr>
        <w:t>é</w:t>
      </w:r>
      <w:r>
        <w:rPr>
          <w:sz w:val="18"/>
          <w:szCs w:val="18"/>
          <w:lang w:val="es-ES_tradnl"/>
        </w:rPr>
        <w:t>reo</w:t>
      </w:r>
      <w:r>
        <w:rPr>
          <w:rFonts w:cs="Times New Roman"/>
          <w:sz w:val="18"/>
          <w:szCs w:val="18"/>
          <w:lang w:val="es-ES_tradnl"/>
        </w:rPr>
        <w:t>”</w:t>
      </w:r>
      <w:r>
        <w:rPr>
          <w:sz w:val="18"/>
          <w:szCs w:val="18"/>
          <w:lang w:val="es-ES_tradnl"/>
        </w:rPr>
        <w:t>.</w:t>
      </w:r>
    </w:p>
    <w:p w14:paraId="4F67A619" w14:textId="77777777" w:rsidR="00591D54" w:rsidRDefault="00591D54">
      <w:pPr>
        <w:shd w:val="clear" w:color="auto" w:fill="FFFFFF"/>
        <w:spacing w:before="206" w:line="221" w:lineRule="exact"/>
        <w:jc w:val="both"/>
      </w:pPr>
      <w:r>
        <w:rPr>
          <w:spacing w:val="-2"/>
          <w:sz w:val="18"/>
          <w:szCs w:val="18"/>
          <w:lang w:val="es-ES_tradnl"/>
        </w:rPr>
        <w:t>A continuaci</w:t>
      </w:r>
      <w:r>
        <w:rPr>
          <w:rFonts w:cs="Times New Roman"/>
          <w:spacing w:val="-2"/>
          <w:sz w:val="18"/>
          <w:szCs w:val="18"/>
          <w:lang w:val="es-ES_tradnl"/>
        </w:rPr>
        <w:t>ó</w:t>
      </w:r>
      <w:r>
        <w:rPr>
          <w:spacing w:val="-2"/>
          <w:sz w:val="18"/>
          <w:szCs w:val="18"/>
          <w:lang w:val="es-ES_tradnl"/>
        </w:rPr>
        <w:t>n, se procede a realizar el an</w:t>
      </w:r>
      <w:r>
        <w:rPr>
          <w:rFonts w:cs="Times New Roman"/>
          <w:spacing w:val="-2"/>
          <w:sz w:val="18"/>
          <w:szCs w:val="18"/>
          <w:lang w:val="es-ES_tradnl"/>
        </w:rPr>
        <w:t>á</w:t>
      </w:r>
      <w:r>
        <w:rPr>
          <w:spacing w:val="-2"/>
          <w:sz w:val="18"/>
          <w:szCs w:val="18"/>
          <w:lang w:val="es-ES_tradnl"/>
        </w:rPr>
        <w:t xml:space="preserve">lisis del </w:t>
      </w:r>
      <w:r>
        <w:rPr>
          <w:spacing w:val="-5"/>
          <w:sz w:val="18"/>
          <w:szCs w:val="18"/>
          <w:lang w:val="es-ES_tradnl"/>
        </w:rPr>
        <w:t>segundo problema jur</w:t>
      </w:r>
      <w:r>
        <w:rPr>
          <w:rFonts w:cs="Times New Roman"/>
          <w:spacing w:val="-5"/>
          <w:sz w:val="18"/>
          <w:szCs w:val="18"/>
          <w:lang w:val="es-ES_tradnl"/>
        </w:rPr>
        <w:t>í</w:t>
      </w:r>
      <w:r>
        <w:rPr>
          <w:spacing w:val="-5"/>
          <w:sz w:val="18"/>
          <w:szCs w:val="18"/>
          <w:lang w:val="es-ES_tradnl"/>
        </w:rPr>
        <w:t>dico para la determinaci</w:t>
      </w:r>
      <w:r>
        <w:rPr>
          <w:rFonts w:cs="Times New Roman"/>
          <w:spacing w:val="-5"/>
          <w:sz w:val="18"/>
          <w:szCs w:val="18"/>
          <w:lang w:val="es-ES_tradnl"/>
        </w:rPr>
        <w:t>ó</w:t>
      </w:r>
      <w:r>
        <w:rPr>
          <w:spacing w:val="-5"/>
          <w:sz w:val="18"/>
          <w:szCs w:val="18"/>
          <w:lang w:val="es-ES_tradnl"/>
        </w:rPr>
        <w:t xml:space="preserve">n de la existencia o no de inconstitucionalidades en las normas </w:t>
      </w:r>
      <w:r>
        <w:rPr>
          <w:sz w:val="18"/>
          <w:szCs w:val="18"/>
          <w:lang w:val="es-ES_tradnl"/>
        </w:rPr>
        <w:t>sujetas de an</w:t>
      </w:r>
      <w:r>
        <w:rPr>
          <w:rFonts w:cs="Times New Roman"/>
          <w:sz w:val="18"/>
          <w:szCs w:val="18"/>
          <w:lang w:val="es-ES_tradnl"/>
        </w:rPr>
        <w:t>á</w:t>
      </w:r>
      <w:r>
        <w:rPr>
          <w:sz w:val="18"/>
          <w:szCs w:val="18"/>
          <w:lang w:val="es-ES_tradnl"/>
        </w:rPr>
        <w:t>lisis.</w:t>
      </w:r>
    </w:p>
    <w:p w14:paraId="4F67A61A" w14:textId="77777777" w:rsidR="00591D54" w:rsidRDefault="00591D54">
      <w:pPr>
        <w:shd w:val="clear" w:color="auto" w:fill="FFFFFF"/>
        <w:spacing w:before="197" w:line="221" w:lineRule="exact"/>
        <w:ind w:left="283" w:hanging="283"/>
        <w:jc w:val="both"/>
      </w:pPr>
      <w:r>
        <w:rPr>
          <w:b/>
          <w:bCs/>
          <w:spacing w:val="-6"/>
          <w:sz w:val="18"/>
          <w:szCs w:val="18"/>
          <w:lang w:val="es-ES_tradnl"/>
        </w:rPr>
        <w:t>2. La ordenanza municipal bajo an</w:t>
      </w:r>
      <w:r>
        <w:rPr>
          <w:rFonts w:cs="Times New Roman"/>
          <w:b/>
          <w:bCs/>
          <w:spacing w:val="-6"/>
          <w:sz w:val="18"/>
          <w:szCs w:val="18"/>
          <w:lang w:val="es-ES_tradnl"/>
        </w:rPr>
        <w:t>á</w:t>
      </w:r>
      <w:r>
        <w:rPr>
          <w:b/>
          <w:bCs/>
          <w:spacing w:val="-6"/>
          <w:sz w:val="18"/>
          <w:szCs w:val="18"/>
          <w:lang w:val="es-ES_tradnl"/>
        </w:rPr>
        <w:t xml:space="preserve">lisis </w:t>
      </w:r>
      <w:r>
        <w:rPr>
          <w:rFonts w:cs="Times New Roman"/>
          <w:b/>
          <w:bCs/>
          <w:spacing w:val="-6"/>
          <w:sz w:val="18"/>
          <w:szCs w:val="18"/>
          <w:lang w:val="es-ES_tradnl"/>
        </w:rPr>
        <w:t>¿</w:t>
      </w:r>
      <w:r>
        <w:rPr>
          <w:b/>
          <w:bCs/>
          <w:spacing w:val="-6"/>
          <w:sz w:val="18"/>
          <w:szCs w:val="18"/>
          <w:lang w:val="es-ES_tradnl"/>
        </w:rPr>
        <w:t xml:space="preserve">contraviene </w:t>
      </w:r>
      <w:r>
        <w:rPr>
          <w:b/>
          <w:bCs/>
          <w:spacing w:val="-4"/>
          <w:sz w:val="18"/>
          <w:szCs w:val="18"/>
          <w:lang w:val="es-ES_tradnl"/>
        </w:rPr>
        <w:t>lo dispuesto en el numeral 10 del art</w:t>
      </w:r>
      <w:r>
        <w:rPr>
          <w:rFonts w:cs="Times New Roman"/>
          <w:b/>
          <w:bCs/>
          <w:spacing w:val="-4"/>
          <w:sz w:val="18"/>
          <w:szCs w:val="18"/>
          <w:lang w:val="es-ES_tradnl"/>
        </w:rPr>
        <w:t>í</w:t>
      </w:r>
      <w:r>
        <w:rPr>
          <w:b/>
          <w:bCs/>
          <w:spacing w:val="-4"/>
          <w:sz w:val="18"/>
          <w:szCs w:val="18"/>
          <w:lang w:val="es-ES_tradnl"/>
        </w:rPr>
        <w:t xml:space="preserve">culo 261 de </w:t>
      </w:r>
      <w:r>
        <w:rPr>
          <w:b/>
          <w:bCs/>
          <w:spacing w:val="-6"/>
          <w:sz w:val="18"/>
          <w:szCs w:val="18"/>
          <w:lang w:val="es-ES_tradnl"/>
        </w:rPr>
        <w:t>la Constituci</w:t>
      </w:r>
      <w:r>
        <w:rPr>
          <w:rFonts w:cs="Times New Roman"/>
          <w:b/>
          <w:bCs/>
          <w:spacing w:val="-6"/>
          <w:sz w:val="18"/>
          <w:szCs w:val="18"/>
          <w:lang w:val="es-ES_tradnl"/>
        </w:rPr>
        <w:t>ó</w:t>
      </w:r>
      <w:r>
        <w:rPr>
          <w:b/>
          <w:bCs/>
          <w:spacing w:val="-6"/>
          <w:sz w:val="18"/>
          <w:szCs w:val="18"/>
          <w:lang w:val="es-ES_tradnl"/>
        </w:rPr>
        <w:t>n respecto a la regulaci</w:t>
      </w:r>
      <w:r>
        <w:rPr>
          <w:rFonts w:cs="Times New Roman"/>
          <w:b/>
          <w:bCs/>
          <w:spacing w:val="-6"/>
          <w:sz w:val="18"/>
          <w:szCs w:val="18"/>
          <w:lang w:val="es-ES_tradnl"/>
        </w:rPr>
        <w:t>ó</w:t>
      </w:r>
      <w:r>
        <w:rPr>
          <w:b/>
          <w:bCs/>
          <w:spacing w:val="-6"/>
          <w:sz w:val="18"/>
          <w:szCs w:val="18"/>
          <w:lang w:val="es-ES_tradnl"/>
        </w:rPr>
        <w:t xml:space="preserve">n de las </w:t>
      </w:r>
      <w:r>
        <w:rPr>
          <w:b/>
          <w:bCs/>
          <w:spacing w:val="-11"/>
          <w:sz w:val="18"/>
          <w:szCs w:val="18"/>
          <w:lang w:val="es-ES_tradnl"/>
        </w:rPr>
        <w:t>comunicaciones y telecomunicaciones?</w:t>
      </w:r>
    </w:p>
    <w:p w14:paraId="4F67A61B" w14:textId="77777777" w:rsidR="00591D54" w:rsidRDefault="00591D54">
      <w:pPr>
        <w:shd w:val="clear" w:color="auto" w:fill="FFFFFF"/>
        <w:spacing w:before="206" w:line="221" w:lineRule="exact"/>
        <w:jc w:val="both"/>
      </w:pPr>
      <w:r>
        <w:rPr>
          <w:spacing w:val="-5"/>
          <w:sz w:val="18"/>
          <w:szCs w:val="18"/>
          <w:lang w:val="es-ES_tradnl"/>
        </w:rPr>
        <w:t>Como en casos an</w:t>
      </w:r>
      <w:r>
        <w:rPr>
          <w:rFonts w:cs="Times New Roman"/>
          <w:spacing w:val="-5"/>
          <w:sz w:val="18"/>
          <w:szCs w:val="18"/>
          <w:lang w:val="es-ES_tradnl"/>
        </w:rPr>
        <w:t>á</w:t>
      </w:r>
      <w:r>
        <w:rPr>
          <w:spacing w:val="-5"/>
          <w:sz w:val="18"/>
          <w:szCs w:val="18"/>
          <w:lang w:val="es-ES_tradnl"/>
        </w:rPr>
        <w:t xml:space="preserve">logos, referentes al tema en estudio, </w:t>
      </w:r>
      <w:r>
        <w:rPr>
          <w:spacing w:val="-6"/>
          <w:sz w:val="18"/>
          <w:szCs w:val="18"/>
          <w:lang w:val="es-ES_tradnl"/>
        </w:rPr>
        <w:t>la Corte Constitucional considera necesario el estudio de este punto con la finalidad de establecer si se observ</w:t>
      </w:r>
      <w:r>
        <w:rPr>
          <w:rFonts w:cs="Times New Roman"/>
          <w:spacing w:val="-6"/>
          <w:sz w:val="18"/>
          <w:szCs w:val="18"/>
          <w:lang w:val="es-ES_tradnl"/>
        </w:rPr>
        <w:t>ó</w:t>
      </w:r>
      <w:r>
        <w:rPr>
          <w:spacing w:val="-6"/>
          <w:sz w:val="18"/>
          <w:szCs w:val="18"/>
          <w:lang w:val="es-ES_tradnl"/>
        </w:rPr>
        <w:t xml:space="preserve"> la </w:t>
      </w:r>
      <w:r>
        <w:rPr>
          <w:spacing w:val="-5"/>
          <w:sz w:val="18"/>
          <w:szCs w:val="18"/>
          <w:lang w:val="es-ES_tradnl"/>
        </w:rPr>
        <w:t>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blica en la determinaci</w:t>
      </w:r>
      <w:r>
        <w:rPr>
          <w:rFonts w:cs="Times New Roman"/>
          <w:spacing w:val="-5"/>
          <w:sz w:val="18"/>
          <w:szCs w:val="18"/>
          <w:lang w:val="es-ES_tradnl"/>
        </w:rPr>
        <w:t>ó</w:t>
      </w:r>
      <w:r>
        <w:rPr>
          <w:spacing w:val="-5"/>
          <w:sz w:val="18"/>
          <w:szCs w:val="18"/>
          <w:lang w:val="es-ES_tradnl"/>
        </w:rPr>
        <w:t xml:space="preserve">n de una </w:t>
      </w:r>
      <w:r>
        <w:rPr>
          <w:spacing w:val="-9"/>
          <w:sz w:val="18"/>
          <w:szCs w:val="18"/>
          <w:lang w:val="es-ES_tradnl"/>
        </w:rPr>
        <w:t xml:space="preserve">tasa por el tendido de cables que se encuentran soterrados, </w:t>
      </w:r>
      <w:r>
        <w:rPr>
          <w:spacing w:val="-5"/>
          <w:sz w:val="18"/>
          <w:szCs w:val="18"/>
          <w:lang w:val="es-ES_tradnl"/>
        </w:rPr>
        <w:t xml:space="preserve">por parte de los GAD municipales, al emitir la ordenanza </w:t>
      </w:r>
      <w:r>
        <w:rPr>
          <w:sz w:val="18"/>
          <w:szCs w:val="18"/>
          <w:lang w:val="es-ES_tradnl"/>
        </w:rPr>
        <w:t>sujeta al an</w:t>
      </w:r>
      <w:r>
        <w:rPr>
          <w:rFonts w:cs="Times New Roman"/>
          <w:sz w:val="18"/>
          <w:szCs w:val="18"/>
          <w:lang w:val="es-ES_tradnl"/>
        </w:rPr>
        <w:t>á</w:t>
      </w:r>
      <w:r>
        <w:rPr>
          <w:sz w:val="18"/>
          <w:szCs w:val="18"/>
          <w:lang w:val="es-ES_tradnl"/>
        </w:rPr>
        <w:t>lisis constitucional.</w:t>
      </w:r>
    </w:p>
    <w:p w14:paraId="4F67A61C" w14:textId="77777777" w:rsidR="00591D54" w:rsidRDefault="00591D54">
      <w:pPr>
        <w:shd w:val="clear" w:color="auto" w:fill="FFFFFF"/>
        <w:spacing w:before="202" w:line="226" w:lineRule="exact"/>
        <w:jc w:val="both"/>
      </w:pPr>
      <w:r>
        <w:rPr>
          <w:spacing w:val="-9"/>
          <w:sz w:val="18"/>
          <w:szCs w:val="18"/>
          <w:lang w:val="es-ES_tradnl"/>
        </w:rPr>
        <w:t>Al respecto, en el numeral 6 del art</w:t>
      </w:r>
      <w:r>
        <w:rPr>
          <w:rFonts w:cs="Times New Roman"/>
          <w:spacing w:val="-9"/>
          <w:sz w:val="18"/>
          <w:szCs w:val="18"/>
          <w:lang w:val="es-ES_tradnl"/>
        </w:rPr>
        <w:t>í</w:t>
      </w:r>
      <w:r>
        <w:rPr>
          <w:spacing w:val="-9"/>
          <w:sz w:val="18"/>
          <w:szCs w:val="18"/>
          <w:lang w:val="es-ES_tradnl"/>
        </w:rPr>
        <w:t xml:space="preserve">culo 18 de la ordenanza </w:t>
      </w:r>
      <w:r>
        <w:rPr>
          <w:spacing w:val="-5"/>
          <w:sz w:val="18"/>
          <w:szCs w:val="18"/>
          <w:lang w:val="es-ES_tradnl"/>
        </w:rPr>
        <w:t>emitida por el GAD municipal de Chone se determina:</w:t>
      </w:r>
    </w:p>
    <w:p w14:paraId="4F67A61D" w14:textId="77777777" w:rsidR="00591D54" w:rsidRDefault="00591D54">
      <w:pPr>
        <w:shd w:val="clear" w:color="auto" w:fill="FFFFFF"/>
        <w:spacing w:before="206" w:line="221" w:lineRule="exact"/>
        <w:ind w:left="283"/>
        <w:jc w:val="both"/>
      </w:pPr>
      <w:r>
        <w:rPr>
          <w:spacing w:val="-9"/>
          <w:sz w:val="16"/>
          <w:szCs w:val="16"/>
          <w:lang w:val="es-ES_tradnl"/>
        </w:rPr>
        <w:t xml:space="preserve">Cables: Los tendidos de redes que pertenezcan a las empresas </w:t>
      </w:r>
      <w:r>
        <w:rPr>
          <w:spacing w:val="-8"/>
          <w:sz w:val="16"/>
          <w:szCs w:val="16"/>
          <w:lang w:val="es-ES_tradnl"/>
        </w:rPr>
        <w:t>privadas estar</w:t>
      </w:r>
      <w:r>
        <w:rPr>
          <w:rFonts w:cs="Times New Roman"/>
          <w:spacing w:val="-8"/>
          <w:sz w:val="16"/>
          <w:szCs w:val="16"/>
          <w:lang w:val="es-ES_tradnl"/>
        </w:rPr>
        <w:t>á</w:t>
      </w:r>
      <w:r>
        <w:rPr>
          <w:spacing w:val="-8"/>
          <w:sz w:val="16"/>
          <w:szCs w:val="16"/>
          <w:lang w:val="es-ES_tradnl"/>
        </w:rPr>
        <w:t xml:space="preserve">n sujetos a una tasa diaria y permanente de un </w:t>
      </w:r>
      <w:r>
        <w:rPr>
          <w:spacing w:val="-6"/>
          <w:sz w:val="16"/>
          <w:szCs w:val="16"/>
          <w:lang w:val="es-ES_tradnl"/>
        </w:rPr>
        <w:t>centavo de d</w:t>
      </w:r>
      <w:r>
        <w:rPr>
          <w:rFonts w:cs="Times New Roman"/>
          <w:spacing w:val="-6"/>
          <w:sz w:val="16"/>
          <w:szCs w:val="16"/>
          <w:lang w:val="es-ES_tradnl"/>
        </w:rPr>
        <w:t>ó</w:t>
      </w:r>
      <w:r>
        <w:rPr>
          <w:spacing w:val="-6"/>
          <w:sz w:val="16"/>
          <w:szCs w:val="16"/>
          <w:lang w:val="es-ES_tradnl"/>
        </w:rPr>
        <w:t>lar de los Estados Unidos de Norteam</w:t>
      </w:r>
      <w:r>
        <w:rPr>
          <w:rFonts w:cs="Times New Roman"/>
          <w:spacing w:val="-6"/>
          <w:sz w:val="16"/>
          <w:szCs w:val="16"/>
          <w:lang w:val="es-ES_tradnl"/>
        </w:rPr>
        <w:t>é</w:t>
      </w:r>
      <w:r>
        <w:rPr>
          <w:spacing w:val="-6"/>
          <w:sz w:val="16"/>
          <w:szCs w:val="16"/>
          <w:lang w:val="es-ES_tradnl"/>
        </w:rPr>
        <w:t xml:space="preserve">rica por </w:t>
      </w:r>
      <w:r>
        <w:rPr>
          <w:spacing w:val="-7"/>
          <w:sz w:val="16"/>
          <w:szCs w:val="16"/>
          <w:lang w:val="es-ES_tradnl"/>
        </w:rPr>
        <w:t>cada metro lineal de cable tendido, por ocupaci</w:t>
      </w:r>
      <w:r>
        <w:rPr>
          <w:rFonts w:cs="Times New Roman"/>
          <w:spacing w:val="-7"/>
          <w:sz w:val="16"/>
          <w:szCs w:val="16"/>
          <w:lang w:val="es-ES_tradnl"/>
        </w:rPr>
        <w:t>ó</w:t>
      </w:r>
      <w:r>
        <w:rPr>
          <w:spacing w:val="-7"/>
          <w:sz w:val="16"/>
          <w:szCs w:val="16"/>
          <w:lang w:val="es-ES_tradnl"/>
        </w:rPr>
        <w:t xml:space="preserve">n del espacio </w:t>
      </w:r>
      <w:r>
        <w:rPr>
          <w:sz w:val="16"/>
          <w:szCs w:val="16"/>
          <w:lang w:val="es-ES_tradnl"/>
        </w:rPr>
        <w:t>a</w:t>
      </w:r>
      <w:r>
        <w:rPr>
          <w:rFonts w:cs="Times New Roman"/>
          <w:sz w:val="16"/>
          <w:szCs w:val="16"/>
          <w:lang w:val="es-ES_tradnl"/>
        </w:rPr>
        <w:t>é</w:t>
      </w:r>
      <w:r>
        <w:rPr>
          <w:sz w:val="16"/>
          <w:szCs w:val="16"/>
          <w:lang w:val="es-ES_tradnl"/>
        </w:rPr>
        <w:t>reo, suelo o subsuelo.</w:t>
      </w:r>
      <w:r>
        <w:rPr>
          <w:rFonts w:cs="Times New Roman"/>
          <w:sz w:val="16"/>
          <w:szCs w:val="16"/>
          <w:lang w:val="es-ES_tradnl"/>
        </w:rPr>
        <w:t>”</w:t>
      </w:r>
    </w:p>
    <w:p w14:paraId="4F67A61E" w14:textId="77777777" w:rsidR="00591D54" w:rsidRDefault="00591D54">
      <w:pPr>
        <w:shd w:val="clear" w:color="auto" w:fill="FFFFFF"/>
        <w:spacing w:before="211" w:line="221" w:lineRule="exact"/>
        <w:jc w:val="both"/>
      </w:pPr>
      <w:r>
        <w:rPr>
          <w:spacing w:val="-6"/>
          <w:sz w:val="18"/>
          <w:szCs w:val="18"/>
          <w:lang w:val="es-ES_tradnl"/>
        </w:rPr>
        <w:t>Conforme se destac</w:t>
      </w:r>
      <w:r>
        <w:rPr>
          <w:rFonts w:cs="Times New Roman"/>
          <w:spacing w:val="-6"/>
          <w:sz w:val="18"/>
          <w:szCs w:val="18"/>
          <w:lang w:val="es-ES_tradnl"/>
        </w:rPr>
        <w:t>ó</w:t>
      </w:r>
      <w:r>
        <w:rPr>
          <w:spacing w:val="-6"/>
          <w:sz w:val="18"/>
          <w:szCs w:val="18"/>
          <w:lang w:val="es-ES_tradnl"/>
        </w:rPr>
        <w:t xml:space="preserve"> en l</w:t>
      </w:r>
      <w:r>
        <w:rPr>
          <w:rFonts w:cs="Times New Roman"/>
          <w:spacing w:val="-6"/>
          <w:sz w:val="18"/>
          <w:szCs w:val="18"/>
          <w:lang w:val="es-ES_tradnl"/>
        </w:rPr>
        <w:t>í</w:t>
      </w:r>
      <w:r>
        <w:rPr>
          <w:spacing w:val="-6"/>
          <w:sz w:val="18"/>
          <w:szCs w:val="18"/>
          <w:lang w:val="es-ES_tradnl"/>
        </w:rPr>
        <w:t>neas anteriores, dentro de las competencias exclusivas del Estado central, seg</w:t>
      </w:r>
      <w:r>
        <w:rPr>
          <w:rFonts w:cs="Times New Roman"/>
          <w:spacing w:val="-6"/>
          <w:sz w:val="18"/>
          <w:szCs w:val="18"/>
          <w:lang w:val="es-ES_tradnl"/>
        </w:rPr>
        <w:t>ú</w:t>
      </w:r>
      <w:r>
        <w:rPr>
          <w:spacing w:val="-6"/>
          <w:sz w:val="18"/>
          <w:szCs w:val="18"/>
          <w:lang w:val="es-ES_tradnl"/>
        </w:rPr>
        <w:t xml:space="preserve">n lo </w:t>
      </w:r>
      <w:r>
        <w:rPr>
          <w:spacing w:val="-3"/>
          <w:sz w:val="18"/>
          <w:szCs w:val="18"/>
          <w:lang w:val="es-ES_tradnl"/>
        </w:rPr>
        <w:t>establece el art</w:t>
      </w:r>
      <w:r>
        <w:rPr>
          <w:rFonts w:cs="Times New Roman"/>
          <w:spacing w:val="-3"/>
          <w:sz w:val="18"/>
          <w:szCs w:val="18"/>
          <w:lang w:val="es-ES_tradnl"/>
        </w:rPr>
        <w:t>í</w:t>
      </w:r>
      <w:r>
        <w:rPr>
          <w:spacing w:val="-3"/>
          <w:sz w:val="18"/>
          <w:szCs w:val="18"/>
          <w:lang w:val="es-ES_tradnl"/>
        </w:rPr>
        <w:t>culo 261 numeral 10 de la Constituci</w:t>
      </w:r>
      <w:r>
        <w:rPr>
          <w:rFonts w:cs="Times New Roman"/>
          <w:spacing w:val="-3"/>
          <w:sz w:val="18"/>
          <w:szCs w:val="18"/>
          <w:lang w:val="es-ES_tradnl"/>
        </w:rPr>
        <w:t>ó</w:t>
      </w:r>
      <w:r>
        <w:rPr>
          <w:spacing w:val="-3"/>
          <w:sz w:val="18"/>
          <w:szCs w:val="18"/>
          <w:lang w:val="es-ES_tradnl"/>
        </w:rPr>
        <w:t xml:space="preserve">n </w:t>
      </w:r>
      <w:r>
        <w:rPr>
          <w:spacing w:val="-6"/>
          <w:sz w:val="18"/>
          <w:szCs w:val="18"/>
          <w:lang w:val="es-ES_tradnl"/>
        </w:rPr>
        <w:t>de la Rep</w:t>
      </w:r>
      <w:r>
        <w:rPr>
          <w:rFonts w:cs="Times New Roman"/>
          <w:spacing w:val="-6"/>
          <w:sz w:val="18"/>
          <w:szCs w:val="18"/>
          <w:lang w:val="es-ES_tradnl"/>
        </w:rPr>
        <w:t>ú</w:t>
      </w:r>
      <w:r>
        <w:rPr>
          <w:spacing w:val="-6"/>
          <w:sz w:val="18"/>
          <w:szCs w:val="18"/>
          <w:lang w:val="es-ES_tradnl"/>
        </w:rPr>
        <w:t>blica se encuentra el r</w:t>
      </w:r>
      <w:r>
        <w:rPr>
          <w:rFonts w:cs="Times New Roman"/>
          <w:spacing w:val="-6"/>
          <w:sz w:val="18"/>
          <w:szCs w:val="18"/>
          <w:lang w:val="es-ES_tradnl"/>
        </w:rPr>
        <w:t>é</w:t>
      </w:r>
      <w:r>
        <w:rPr>
          <w:spacing w:val="-6"/>
          <w:sz w:val="18"/>
          <w:szCs w:val="18"/>
          <w:lang w:val="es-ES_tradnl"/>
        </w:rPr>
        <w:t xml:space="preserve">gimen general de comunicaciones y telecomunicaciones; en aquel sentido, </w:t>
      </w:r>
      <w:r>
        <w:rPr>
          <w:spacing w:val="-7"/>
          <w:sz w:val="18"/>
          <w:szCs w:val="18"/>
          <w:lang w:val="es-ES_tradnl"/>
        </w:rPr>
        <w:t>cualquier tipo de regulaci</w:t>
      </w:r>
      <w:r>
        <w:rPr>
          <w:rFonts w:cs="Times New Roman"/>
          <w:spacing w:val="-7"/>
          <w:sz w:val="18"/>
          <w:szCs w:val="18"/>
          <w:lang w:val="es-ES_tradnl"/>
        </w:rPr>
        <w:t>ó</w:t>
      </w:r>
      <w:r>
        <w:rPr>
          <w:spacing w:val="-7"/>
          <w:sz w:val="18"/>
          <w:szCs w:val="18"/>
          <w:lang w:val="es-ES_tradnl"/>
        </w:rPr>
        <w:t xml:space="preserve">n que se hiciere respecto a esta </w:t>
      </w:r>
      <w:r>
        <w:rPr>
          <w:spacing w:val="-6"/>
          <w:sz w:val="18"/>
          <w:szCs w:val="18"/>
          <w:lang w:val="es-ES_tradnl"/>
        </w:rPr>
        <w:t>tem</w:t>
      </w:r>
      <w:r>
        <w:rPr>
          <w:rFonts w:cs="Times New Roman"/>
          <w:spacing w:val="-6"/>
          <w:sz w:val="18"/>
          <w:szCs w:val="18"/>
          <w:lang w:val="es-ES_tradnl"/>
        </w:rPr>
        <w:t>á</w:t>
      </w:r>
      <w:r>
        <w:rPr>
          <w:spacing w:val="-6"/>
          <w:sz w:val="18"/>
          <w:szCs w:val="18"/>
          <w:lang w:val="es-ES_tradnl"/>
        </w:rPr>
        <w:t xml:space="preserve">tica debe observar el precepto constitucional antes </w:t>
      </w:r>
      <w:r>
        <w:rPr>
          <w:sz w:val="18"/>
          <w:szCs w:val="18"/>
          <w:lang w:val="es-ES_tradnl"/>
        </w:rPr>
        <w:t>se</w:t>
      </w:r>
      <w:r>
        <w:rPr>
          <w:rFonts w:cs="Times New Roman"/>
          <w:sz w:val="18"/>
          <w:szCs w:val="18"/>
          <w:lang w:val="es-ES_tradnl"/>
        </w:rPr>
        <w:t>ñ</w:t>
      </w:r>
      <w:r>
        <w:rPr>
          <w:sz w:val="18"/>
          <w:szCs w:val="18"/>
          <w:lang w:val="es-ES_tradnl"/>
        </w:rPr>
        <w:t>alado.</w:t>
      </w:r>
    </w:p>
    <w:p w14:paraId="4F67A61F" w14:textId="77777777" w:rsidR="00591D54" w:rsidRDefault="00591D54">
      <w:pPr>
        <w:shd w:val="clear" w:color="auto" w:fill="FFFFFF"/>
        <w:spacing w:before="202" w:line="221" w:lineRule="exact"/>
        <w:jc w:val="both"/>
      </w:pPr>
      <w:r>
        <w:rPr>
          <w:spacing w:val="-6"/>
          <w:sz w:val="18"/>
          <w:szCs w:val="18"/>
          <w:lang w:val="es-ES_tradnl"/>
        </w:rPr>
        <w:t>En el caso objeto de an</w:t>
      </w:r>
      <w:r>
        <w:rPr>
          <w:rFonts w:cs="Times New Roman"/>
          <w:spacing w:val="-6"/>
          <w:sz w:val="18"/>
          <w:szCs w:val="18"/>
          <w:lang w:val="es-ES_tradnl"/>
        </w:rPr>
        <w:t>á</w:t>
      </w:r>
      <w:r>
        <w:rPr>
          <w:spacing w:val="-6"/>
          <w:sz w:val="18"/>
          <w:szCs w:val="18"/>
          <w:lang w:val="es-ES_tradnl"/>
        </w:rPr>
        <w:t xml:space="preserve">lisis, se puede establecer que la </w:t>
      </w:r>
      <w:r>
        <w:rPr>
          <w:spacing w:val="-11"/>
          <w:sz w:val="18"/>
          <w:szCs w:val="18"/>
          <w:lang w:val="es-ES_tradnl"/>
        </w:rPr>
        <w:t xml:space="preserve">Ordenanza </w:t>
      </w:r>
      <w:r>
        <w:rPr>
          <w:i/>
          <w:iCs/>
          <w:spacing w:val="-11"/>
          <w:sz w:val="18"/>
          <w:szCs w:val="18"/>
          <w:lang w:val="es-ES_tradnl"/>
        </w:rPr>
        <w:t>in examine</w:t>
      </w:r>
      <w:r>
        <w:rPr>
          <w:spacing w:val="-11"/>
          <w:sz w:val="18"/>
          <w:szCs w:val="18"/>
          <w:lang w:val="es-ES_tradnl"/>
        </w:rPr>
        <w:t xml:space="preserve">, establece una tasa fija y permanente </w:t>
      </w:r>
      <w:r>
        <w:rPr>
          <w:spacing w:val="-6"/>
          <w:sz w:val="18"/>
          <w:szCs w:val="18"/>
          <w:lang w:val="es-ES_tradnl"/>
        </w:rPr>
        <w:t>de $ 0.01 centavos de d</w:t>
      </w:r>
      <w:r>
        <w:rPr>
          <w:rFonts w:cs="Times New Roman"/>
          <w:spacing w:val="-6"/>
          <w:sz w:val="18"/>
          <w:szCs w:val="18"/>
          <w:lang w:val="es-ES_tradnl"/>
        </w:rPr>
        <w:t>ó</w:t>
      </w:r>
      <w:r>
        <w:rPr>
          <w:spacing w:val="-6"/>
          <w:sz w:val="18"/>
          <w:szCs w:val="18"/>
          <w:lang w:val="es-ES_tradnl"/>
        </w:rPr>
        <w:t xml:space="preserve">lar americanos diarios por cada </w:t>
      </w:r>
      <w:r>
        <w:rPr>
          <w:spacing w:val="-5"/>
          <w:sz w:val="18"/>
          <w:szCs w:val="18"/>
          <w:lang w:val="es-ES_tradnl"/>
        </w:rPr>
        <w:t>metro lineal de cable tendido, por ocupaci</w:t>
      </w:r>
      <w:r>
        <w:rPr>
          <w:rFonts w:cs="Times New Roman"/>
          <w:spacing w:val="-5"/>
          <w:sz w:val="18"/>
          <w:szCs w:val="18"/>
          <w:lang w:val="es-ES_tradnl"/>
        </w:rPr>
        <w:t>ó</w:t>
      </w:r>
      <w:r>
        <w:rPr>
          <w:spacing w:val="-5"/>
          <w:sz w:val="18"/>
          <w:szCs w:val="18"/>
          <w:lang w:val="es-ES_tradnl"/>
        </w:rPr>
        <w:t xml:space="preserve">n de espacio </w:t>
      </w:r>
      <w:r>
        <w:rPr>
          <w:spacing w:val="-6"/>
          <w:sz w:val="18"/>
          <w:szCs w:val="18"/>
          <w:lang w:val="es-ES_tradnl"/>
        </w:rPr>
        <w:t>a</w:t>
      </w:r>
      <w:r>
        <w:rPr>
          <w:rFonts w:cs="Times New Roman"/>
          <w:spacing w:val="-6"/>
          <w:sz w:val="18"/>
          <w:szCs w:val="18"/>
          <w:lang w:val="es-ES_tradnl"/>
        </w:rPr>
        <w:t>é</w:t>
      </w:r>
      <w:r>
        <w:rPr>
          <w:spacing w:val="-6"/>
          <w:sz w:val="18"/>
          <w:szCs w:val="18"/>
          <w:lang w:val="es-ES_tradnl"/>
        </w:rPr>
        <w:t>reo, suelo y subsuelo, lo cual implica una regulaci</w:t>
      </w:r>
      <w:r>
        <w:rPr>
          <w:rFonts w:cs="Times New Roman"/>
          <w:spacing w:val="-6"/>
          <w:sz w:val="18"/>
          <w:szCs w:val="18"/>
          <w:lang w:val="es-ES_tradnl"/>
        </w:rPr>
        <w:t>ó</w:t>
      </w:r>
      <w:r>
        <w:rPr>
          <w:spacing w:val="-6"/>
          <w:sz w:val="18"/>
          <w:szCs w:val="18"/>
          <w:lang w:val="es-ES_tradnl"/>
        </w:rPr>
        <w:t xml:space="preserve">n en cuanto a las comunicaciones y telecomunicaciones en el </w:t>
      </w:r>
      <w:r>
        <w:rPr>
          <w:spacing w:val="-5"/>
          <w:sz w:val="18"/>
          <w:szCs w:val="18"/>
          <w:lang w:val="es-ES_tradnl"/>
        </w:rPr>
        <w:t>cant</w:t>
      </w:r>
      <w:r>
        <w:rPr>
          <w:rFonts w:cs="Times New Roman"/>
          <w:spacing w:val="-5"/>
          <w:sz w:val="18"/>
          <w:szCs w:val="18"/>
          <w:lang w:val="es-ES_tradnl"/>
        </w:rPr>
        <w:t>ó</w:t>
      </w:r>
      <w:r>
        <w:rPr>
          <w:spacing w:val="-5"/>
          <w:sz w:val="18"/>
          <w:szCs w:val="18"/>
          <w:lang w:val="es-ES_tradnl"/>
        </w:rPr>
        <w:t>n Chone, as</w:t>
      </w:r>
      <w:r>
        <w:rPr>
          <w:rFonts w:cs="Times New Roman"/>
          <w:spacing w:val="-5"/>
          <w:sz w:val="18"/>
          <w:szCs w:val="18"/>
          <w:lang w:val="es-ES_tradnl"/>
        </w:rPr>
        <w:t>í</w:t>
      </w:r>
      <w:r>
        <w:rPr>
          <w:spacing w:val="-5"/>
          <w:sz w:val="18"/>
          <w:szCs w:val="18"/>
          <w:lang w:val="es-ES_tradnl"/>
        </w:rPr>
        <w:t xml:space="preserve"> como el establecimiento de un tributo </w:t>
      </w:r>
      <w:r>
        <w:rPr>
          <w:spacing w:val="-8"/>
          <w:sz w:val="18"/>
          <w:szCs w:val="18"/>
          <w:lang w:val="es-ES_tradnl"/>
        </w:rPr>
        <w:t>por concepto de la regulaci</w:t>
      </w:r>
      <w:r>
        <w:rPr>
          <w:rFonts w:cs="Times New Roman"/>
          <w:spacing w:val="-8"/>
          <w:sz w:val="18"/>
          <w:szCs w:val="18"/>
          <w:lang w:val="es-ES_tradnl"/>
        </w:rPr>
        <w:t>ó</w:t>
      </w:r>
      <w:r>
        <w:rPr>
          <w:spacing w:val="-8"/>
          <w:sz w:val="18"/>
          <w:szCs w:val="18"/>
          <w:lang w:val="es-ES_tradnl"/>
        </w:rPr>
        <w:t>n de estas actividades a trav</w:t>
      </w:r>
      <w:r>
        <w:rPr>
          <w:rFonts w:cs="Times New Roman"/>
          <w:spacing w:val="-8"/>
          <w:sz w:val="18"/>
          <w:szCs w:val="18"/>
          <w:lang w:val="es-ES_tradnl"/>
        </w:rPr>
        <w:t>é</w:t>
      </w:r>
      <w:r>
        <w:rPr>
          <w:spacing w:val="-8"/>
          <w:sz w:val="18"/>
          <w:szCs w:val="18"/>
          <w:lang w:val="es-ES_tradnl"/>
        </w:rPr>
        <w:t xml:space="preserve">s </w:t>
      </w:r>
      <w:r>
        <w:rPr>
          <w:sz w:val="18"/>
          <w:szCs w:val="18"/>
          <w:lang w:val="es-ES_tradnl"/>
        </w:rPr>
        <w:t>del denominado tendido de cables.</w:t>
      </w:r>
    </w:p>
    <w:p w14:paraId="4F67A620" w14:textId="77777777" w:rsidR="00591D54" w:rsidRDefault="00591D54">
      <w:pPr>
        <w:shd w:val="clear" w:color="auto" w:fill="FFFFFF"/>
        <w:spacing w:before="206" w:line="221" w:lineRule="exact"/>
        <w:jc w:val="both"/>
      </w:pPr>
      <w:r>
        <w:rPr>
          <w:spacing w:val="-4"/>
          <w:sz w:val="18"/>
          <w:szCs w:val="18"/>
          <w:lang w:val="es-ES_tradnl"/>
        </w:rPr>
        <w:t>A trav</w:t>
      </w:r>
      <w:r>
        <w:rPr>
          <w:rFonts w:cs="Times New Roman"/>
          <w:spacing w:val="-4"/>
          <w:sz w:val="18"/>
          <w:szCs w:val="18"/>
          <w:lang w:val="es-ES_tradnl"/>
        </w:rPr>
        <w:t>é</w:t>
      </w:r>
      <w:r>
        <w:rPr>
          <w:spacing w:val="-4"/>
          <w:sz w:val="18"/>
          <w:szCs w:val="18"/>
          <w:lang w:val="es-ES_tradnl"/>
        </w:rPr>
        <w:t>s de una interpretaci</w:t>
      </w:r>
      <w:r>
        <w:rPr>
          <w:rFonts w:cs="Times New Roman"/>
          <w:spacing w:val="-4"/>
          <w:sz w:val="18"/>
          <w:szCs w:val="18"/>
          <w:lang w:val="es-ES_tradnl"/>
        </w:rPr>
        <w:t>ó</w:t>
      </w:r>
      <w:r>
        <w:rPr>
          <w:spacing w:val="-4"/>
          <w:sz w:val="18"/>
          <w:szCs w:val="18"/>
          <w:lang w:val="es-ES_tradnl"/>
        </w:rPr>
        <w:t>n sistem</w:t>
      </w:r>
      <w:r>
        <w:rPr>
          <w:rFonts w:cs="Times New Roman"/>
          <w:spacing w:val="-4"/>
          <w:sz w:val="18"/>
          <w:szCs w:val="18"/>
          <w:lang w:val="es-ES_tradnl"/>
        </w:rPr>
        <w:t>á</w:t>
      </w:r>
      <w:r>
        <w:rPr>
          <w:spacing w:val="-4"/>
          <w:sz w:val="18"/>
          <w:szCs w:val="18"/>
          <w:lang w:val="es-ES_tradnl"/>
        </w:rPr>
        <w:t xml:space="preserve">tica e integral del </w:t>
      </w:r>
      <w:r>
        <w:rPr>
          <w:spacing w:val="-6"/>
          <w:sz w:val="18"/>
          <w:szCs w:val="18"/>
          <w:lang w:val="es-ES_tradnl"/>
        </w:rPr>
        <w:t>texto constitucional y del r</w:t>
      </w:r>
      <w:r>
        <w:rPr>
          <w:rFonts w:cs="Times New Roman"/>
          <w:spacing w:val="-6"/>
          <w:sz w:val="18"/>
          <w:szCs w:val="18"/>
          <w:lang w:val="es-ES_tradnl"/>
        </w:rPr>
        <w:t>é</w:t>
      </w:r>
      <w:r>
        <w:rPr>
          <w:spacing w:val="-6"/>
          <w:sz w:val="18"/>
          <w:szCs w:val="18"/>
          <w:lang w:val="es-ES_tradnl"/>
        </w:rPr>
        <w:t xml:space="preserve">gimen competencial se puede </w:t>
      </w:r>
      <w:r>
        <w:rPr>
          <w:spacing w:val="-1"/>
          <w:sz w:val="18"/>
          <w:szCs w:val="18"/>
          <w:lang w:val="es-ES_tradnl"/>
        </w:rPr>
        <w:t xml:space="preserve">evidenciar que, dentro de las atribuciones exclusivas </w:t>
      </w:r>
      <w:r>
        <w:rPr>
          <w:sz w:val="18"/>
          <w:szCs w:val="18"/>
          <w:lang w:val="es-ES_tradnl"/>
        </w:rPr>
        <w:t>que el constituyente ha entregado al Estado central, se encuentra el r</w:t>
      </w:r>
      <w:r>
        <w:rPr>
          <w:rFonts w:cs="Times New Roman"/>
          <w:sz w:val="18"/>
          <w:szCs w:val="18"/>
          <w:lang w:val="es-ES_tradnl"/>
        </w:rPr>
        <w:t>é</w:t>
      </w:r>
      <w:r>
        <w:rPr>
          <w:sz w:val="18"/>
          <w:szCs w:val="18"/>
          <w:lang w:val="es-ES_tradnl"/>
        </w:rPr>
        <w:t>gimen general de comunicaciones y telecomunicaciones, lo cual denota el esp</w:t>
      </w:r>
      <w:r>
        <w:rPr>
          <w:rFonts w:cs="Times New Roman"/>
          <w:sz w:val="18"/>
          <w:szCs w:val="18"/>
          <w:lang w:val="es-ES_tradnl"/>
        </w:rPr>
        <w:t>í</w:t>
      </w:r>
      <w:r>
        <w:rPr>
          <w:sz w:val="18"/>
          <w:szCs w:val="18"/>
          <w:lang w:val="es-ES_tradnl"/>
        </w:rPr>
        <w:t xml:space="preserve">ritu del </w:t>
      </w:r>
      <w:r>
        <w:rPr>
          <w:spacing w:val="-5"/>
          <w:sz w:val="18"/>
          <w:szCs w:val="18"/>
          <w:lang w:val="es-ES_tradnl"/>
        </w:rPr>
        <w:t>marco competencial que la Constituci</w:t>
      </w:r>
      <w:r>
        <w:rPr>
          <w:rFonts w:cs="Times New Roman"/>
          <w:spacing w:val="-5"/>
          <w:sz w:val="18"/>
          <w:szCs w:val="18"/>
          <w:lang w:val="es-ES_tradnl"/>
        </w:rPr>
        <w:t>ó</w:t>
      </w:r>
      <w:r>
        <w:rPr>
          <w:spacing w:val="-5"/>
          <w:sz w:val="18"/>
          <w:szCs w:val="18"/>
          <w:lang w:val="es-ES_tradnl"/>
        </w:rPr>
        <w:t xml:space="preserve">n establece con </w:t>
      </w:r>
      <w:r>
        <w:rPr>
          <w:spacing w:val="-3"/>
          <w:sz w:val="18"/>
          <w:szCs w:val="18"/>
          <w:lang w:val="es-ES_tradnl"/>
        </w:rPr>
        <w:t>respecto a esta tem</w:t>
      </w:r>
      <w:r>
        <w:rPr>
          <w:rFonts w:cs="Times New Roman"/>
          <w:spacing w:val="-3"/>
          <w:sz w:val="18"/>
          <w:szCs w:val="18"/>
          <w:lang w:val="es-ES_tradnl"/>
        </w:rPr>
        <w:t>á</w:t>
      </w:r>
      <w:r>
        <w:rPr>
          <w:spacing w:val="-3"/>
          <w:sz w:val="18"/>
          <w:szCs w:val="18"/>
          <w:lang w:val="es-ES_tradnl"/>
        </w:rPr>
        <w:t xml:space="preserve">tica de trascendental importancia </w:t>
      </w:r>
      <w:r>
        <w:rPr>
          <w:spacing w:val="-1"/>
          <w:sz w:val="18"/>
          <w:szCs w:val="18"/>
          <w:lang w:val="es-ES_tradnl"/>
        </w:rPr>
        <w:t xml:space="preserve">para el desarrollo de la sociedad ecuatoriana. Esto se </w:t>
      </w:r>
      <w:r>
        <w:rPr>
          <w:spacing w:val="-5"/>
          <w:sz w:val="18"/>
          <w:szCs w:val="18"/>
          <w:lang w:val="es-ES_tradnl"/>
        </w:rPr>
        <w:t>ve afianzado cuando se observa el art</w:t>
      </w:r>
      <w:r>
        <w:rPr>
          <w:rFonts w:cs="Times New Roman"/>
          <w:spacing w:val="-5"/>
          <w:sz w:val="18"/>
          <w:szCs w:val="18"/>
          <w:lang w:val="es-ES_tradnl"/>
        </w:rPr>
        <w:t>í</w:t>
      </w:r>
      <w:r>
        <w:rPr>
          <w:spacing w:val="-5"/>
          <w:sz w:val="18"/>
          <w:szCs w:val="18"/>
          <w:lang w:val="es-ES_tradnl"/>
        </w:rPr>
        <w:t xml:space="preserve">culo 313 de la </w:t>
      </w:r>
      <w:r>
        <w:rPr>
          <w:spacing w:val="-1"/>
          <w:sz w:val="18"/>
          <w:szCs w:val="18"/>
          <w:lang w:val="es-ES_tradnl"/>
        </w:rPr>
        <w:t>Constituci</w:t>
      </w:r>
      <w:r>
        <w:rPr>
          <w:rFonts w:cs="Times New Roman"/>
          <w:spacing w:val="-1"/>
          <w:sz w:val="18"/>
          <w:szCs w:val="18"/>
          <w:lang w:val="es-ES_tradnl"/>
        </w:rPr>
        <w:t>ó</w:t>
      </w:r>
      <w:r>
        <w:rPr>
          <w:spacing w:val="-1"/>
          <w:sz w:val="18"/>
          <w:szCs w:val="18"/>
          <w:lang w:val="es-ES_tradnl"/>
        </w:rPr>
        <w:t>n, por medio del cual, el Estado se reserva</w:t>
      </w:r>
    </w:p>
    <w:p w14:paraId="4F67A621" w14:textId="77777777" w:rsidR="00591D54" w:rsidRDefault="00591D54">
      <w:pPr>
        <w:shd w:val="clear" w:color="auto" w:fill="FFFFFF"/>
        <w:spacing w:before="206" w:line="221" w:lineRule="exact"/>
        <w:jc w:val="both"/>
        <w:sectPr w:rsidR="00591D54">
          <w:type w:val="continuous"/>
          <w:pgSz w:w="11909" w:h="16834"/>
          <w:pgMar w:top="1371" w:right="1309" w:bottom="360" w:left="1308" w:header="720" w:footer="720" w:gutter="0"/>
          <w:cols w:num="2" w:space="720" w:equalWidth="0">
            <w:col w:w="4305" w:space="682"/>
            <w:col w:w="4305"/>
          </w:cols>
          <w:noEndnote/>
        </w:sectPr>
      </w:pPr>
    </w:p>
    <w:p w14:paraId="4F67A622" w14:textId="77777777" w:rsidR="00591D54" w:rsidRDefault="00591D54">
      <w:pPr>
        <w:shd w:val="clear" w:color="auto" w:fill="FFFFFF"/>
        <w:tabs>
          <w:tab w:val="left" w:pos="4814"/>
        </w:tabs>
        <w:spacing w:after="230"/>
        <w:ind w:left="5"/>
      </w:pPr>
      <w:r>
        <w:rPr>
          <w:b/>
          <w:bCs/>
          <w:sz w:val="18"/>
          <w:szCs w:val="18"/>
          <w:lang w:val="es-ES_tradnl"/>
        </w:rPr>
        <w:t xml:space="preserve">36 -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623" w14:textId="77777777" w:rsidR="00591D54" w:rsidRDefault="00591D54">
      <w:pPr>
        <w:shd w:val="clear" w:color="auto" w:fill="FFFFFF"/>
        <w:tabs>
          <w:tab w:val="left" w:pos="4814"/>
        </w:tabs>
        <w:spacing w:after="230"/>
        <w:ind w:left="5"/>
        <w:sectPr w:rsidR="00591D54">
          <w:pgSz w:w="11909" w:h="16834"/>
          <w:pgMar w:top="1359" w:right="1309" w:bottom="360" w:left="1308" w:header="720" w:footer="720" w:gutter="0"/>
          <w:cols w:space="60"/>
          <w:noEndnote/>
        </w:sectPr>
      </w:pPr>
    </w:p>
    <w:p w14:paraId="4F67A624" w14:textId="77777777" w:rsidR="00591D54" w:rsidRDefault="00591D54">
      <w:pPr>
        <w:shd w:val="clear" w:color="auto" w:fill="FFFFFF"/>
        <w:spacing w:before="5" w:line="206" w:lineRule="exact"/>
        <w:jc w:val="both"/>
      </w:pPr>
      <w:r>
        <w:rPr>
          <w:spacing w:val="-4"/>
          <w:sz w:val="18"/>
          <w:szCs w:val="18"/>
          <w:lang w:val="es-ES_tradnl"/>
        </w:rPr>
        <w:t xml:space="preserve">el derecho de administrar, regular, controlar y gestionar </w:t>
      </w:r>
      <w:r>
        <w:rPr>
          <w:spacing w:val="-8"/>
          <w:sz w:val="18"/>
          <w:szCs w:val="18"/>
          <w:lang w:val="es-ES_tradnl"/>
        </w:rPr>
        <w:t>los sectores estrat</w:t>
      </w:r>
      <w:r>
        <w:rPr>
          <w:rFonts w:cs="Times New Roman"/>
          <w:spacing w:val="-8"/>
          <w:sz w:val="18"/>
          <w:szCs w:val="18"/>
          <w:lang w:val="es-ES_tradnl"/>
        </w:rPr>
        <w:t>é</w:t>
      </w:r>
      <w:r>
        <w:rPr>
          <w:spacing w:val="-8"/>
          <w:sz w:val="18"/>
          <w:szCs w:val="18"/>
          <w:lang w:val="es-ES_tradnl"/>
        </w:rPr>
        <w:t xml:space="preserve">gicos, entre los cuales se destaca las </w:t>
      </w:r>
      <w:r>
        <w:rPr>
          <w:sz w:val="18"/>
          <w:szCs w:val="18"/>
          <w:lang w:val="es-ES_tradnl"/>
        </w:rPr>
        <w:t>telecomunicaciones</w:t>
      </w:r>
      <w:r>
        <w:rPr>
          <w:sz w:val="18"/>
          <w:szCs w:val="18"/>
          <w:vertAlign w:val="superscript"/>
          <w:lang w:val="es-ES_tradnl"/>
        </w:rPr>
        <w:t>9</w:t>
      </w:r>
      <w:r>
        <w:rPr>
          <w:sz w:val="18"/>
          <w:szCs w:val="18"/>
          <w:lang w:val="es-ES_tradnl"/>
        </w:rPr>
        <w:t>.</w:t>
      </w:r>
    </w:p>
    <w:p w14:paraId="4F67A625" w14:textId="77777777" w:rsidR="00591D54" w:rsidRDefault="00591D54">
      <w:pPr>
        <w:shd w:val="clear" w:color="auto" w:fill="FFFFFF"/>
        <w:spacing w:before="202" w:line="226" w:lineRule="exact"/>
        <w:jc w:val="both"/>
      </w:pPr>
      <w:r>
        <w:rPr>
          <w:spacing w:val="-7"/>
          <w:sz w:val="18"/>
          <w:szCs w:val="18"/>
          <w:lang w:val="es-ES_tradnl"/>
        </w:rPr>
        <w:t xml:space="preserve">En este sentido, la Corte Constitucional en las sentencias </w:t>
      </w:r>
      <w:r>
        <w:rPr>
          <w:spacing w:val="-5"/>
          <w:sz w:val="18"/>
          <w:szCs w:val="18"/>
          <w:lang w:val="es-ES_tradnl"/>
        </w:rPr>
        <w:t>Nros. 008-15-SIN-CC y 007-15-SIN-CC, concluy</w:t>
      </w:r>
      <w:r>
        <w:rPr>
          <w:rFonts w:cs="Times New Roman"/>
          <w:spacing w:val="-5"/>
          <w:sz w:val="18"/>
          <w:szCs w:val="18"/>
          <w:lang w:val="es-ES_tradnl"/>
        </w:rPr>
        <w:t>ó</w:t>
      </w:r>
      <w:r>
        <w:rPr>
          <w:spacing w:val="-5"/>
          <w:sz w:val="18"/>
          <w:szCs w:val="18"/>
          <w:lang w:val="es-ES_tradnl"/>
        </w:rPr>
        <w:t xml:space="preserve"> que:</w:t>
      </w:r>
    </w:p>
    <w:p w14:paraId="4F67A626" w14:textId="77777777" w:rsidR="00591D54" w:rsidRDefault="00591D54">
      <w:pPr>
        <w:shd w:val="clear" w:color="auto" w:fill="FFFFFF"/>
        <w:spacing w:before="206" w:line="221" w:lineRule="exact"/>
        <w:ind w:left="283" w:right="5"/>
        <w:jc w:val="both"/>
      </w:pPr>
      <w:r>
        <w:rPr>
          <w:spacing w:val="-1"/>
          <w:sz w:val="14"/>
          <w:szCs w:val="14"/>
          <w:lang w:val="es-ES_tradnl"/>
        </w:rPr>
        <w:t xml:space="preserve">El establecimiento de valores a ser cancelados por concepto del </w:t>
      </w:r>
      <w:r>
        <w:rPr>
          <w:sz w:val="14"/>
          <w:szCs w:val="14"/>
          <w:lang w:val="es-ES_tradnl"/>
        </w:rPr>
        <w:t>tendido de cables dentro de un r</w:t>
      </w:r>
      <w:r>
        <w:rPr>
          <w:rFonts w:cs="Times New Roman"/>
          <w:sz w:val="14"/>
          <w:szCs w:val="14"/>
          <w:lang w:val="es-ES_tradnl"/>
        </w:rPr>
        <w:t>é</w:t>
      </w:r>
      <w:r>
        <w:rPr>
          <w:sz w:val="14"/>
          <w:szCs w:val="14"/>
          <w:lang w:val="es-ES_tradnl"/>
        </w:rPr>
        <w:t>gimen que es de competencia exclusiva del Estado central por parte de la municipalidad, implica una inobservancia del r</w:t>
      </w:r>
      <w:r>
        <w:rPr>
          <w:rFonts w:cs="Times New Roman"/>
          <w:sz w:val="14"/>
          <w:szCs w:val="14"/>
          <w:lang w:val="es-ES_tradnl"/>
        </w:rPr>
        <w:t>é</w:t>
      </w:r>
      <w:r>
        <w:rPr>
          <w:sz w:val="14"/>
          <w:szCs w:val="14"/>
          <w:lang w:val="es-ES_tradnl"/>
        </w:rPr>
        <w:t>gimen de competencias establecido en la Constituci</w:t>
      </w:r>
      <w:r>
        <w:rPr>
          <w:rFonts w:cs="Times New Roman"/>
          <w:sz w:val="14"/>
          <w:szCs w:val="14"/>
          <w:lang w:val="es-ES_tradnl"/>
        </w:rPr>
        <w:t>ó</w:t>
      </w:r>
      <w:r>
        <w:rPr>
          <w:sz w:val="14"/>
          <w:szCs w:val="14"/>
          <w:lang w:val="es-ES_tradnl"/>
        </w:rPr>
        <w:t>n de la Rep</w:t>
      </w:r>
      <w:r>
        <w:rPr>
          <w:rFonts w:cs="Times New Roman"/>
          <w:sz w:val="14"/>
          <w:szCs w:val="14"/>
          <w:lang w:val="es-ES_tradnl"/>
        </w:rPr>
        <w:t>ú</w:t>
      </w:r>
      <w:r>
        <w:rPr>
          <w:sz w:val="14"/>
          <w:szCs w:val="14"/>
          <w:lang w:val="es-ES_tradnl"/>
        </w:rPr>
        <w:t>blica, y por tanto deviene en una extralimitaci</w:t>
      </w:r>
      <w:r>
        <w:rPr>
          <w:rFonts w:cs="Times New Roman"/>
          <w:sz w:val="14"/>
          <w:szCs w:val="14"/>
          <w:lang w:val="es-ES_tradnl"/>
        </w:rPr>
        <w:t>ó</w:t>
      </w:r>
      <w:r>
        <w:rPr>
          <w:sz w:val="14"/>
          <w:szCs w:val="14"/>
          <w:lang w:val="es-ES_tradnl"/>
        </w:rPr>
        <w:t>n (</w:t>
      </w:r>
      <w:r>
        <w:rPr>
          <w:rFonts w:cs="Times New Roman"/>
          <w:sz w:val="14"/>
          <w:szCs w:val="14"/>
          <w:lang w:val="es-ES_tradnl"/>
        </w:rPr>
        <w:t>…</w:t>
      </w:r>
      <w:r>
        <w:rPr>
          <w:sz w:val="14"/>
          <w:szCs w:val="14"/>
          <w:lang w:val="es-ES_tradnl"/>
        </w:rPr>
        <w:t>).</w:t>
      </w:r>
    </w:p>
    <w:p w14:paraId="4F67A627" w14:textId="77777777" w:rsidR="00591D54" w:rsidRDefault="00591D54">
      <w:pPr>
        <w:shd w:val="clear" w:color="auto" w:fill="FFFFFF"/>
        <w:spacing w:before="216" w:line="221" w:lineRule="exact"/>
        <w:ind w:left="283" w:right="5"/>
        <w:jc w:val="both"/>
      </w:pPr>
      <w:r>
        <w:rPr>
          <w:sz w:val="14"/>
          <w:szCs w:val="14"/>
          <w:lang w:val="es-ES_tradnl"/>
        </w:rPr>
        <w:t>De esta forma, la regulaci</w:t>
      </w:r>
      <w:r>
        <w:rPr>
          <w:rFonts w:cs="Times New Roman"/>
          <w:sz w:val="14"/>
          <w:szCs w:val="14"/>
          <w:lang w:val="es-ES_tradnl"/>
        </w:rPr>
        <w:t>ó</w:t>
      </w:r>
      <w:r>
        <w:rPr>
          <w:sz w:val="14"/>
          <w:szCs w:val="14"/>
          <w:lang w:val="es-ES_tradnl"/>
        </w:rPr>
        <w:t>n por el establecimiento de una tasa en el uso del subsuelo para el soterramiento de cables que tengan relaci</w:t>
      </w:r>
      <w:r>
        <w:rPr>
          <w:rFonts w:cs="Times New Roman"/>
          <w:sz w:val="14"/>
          <w:szCs w:val="14"/>
          <w:lang w:val="es-ES_tradnl"/>
        </w:rPr>
        <w:t>ó</w:t>
      </w:r>
      <w:r>
        <w:rPr>
          <w:sz w:val="14"/>
          <w:szCs w:val="14"/>
          <w:lang w:val="es-ES_tradnl"/>
        </w:rPr>
        <w:t>n con el r</w:t>
      </w:r>
      <w:r>
        <w:rPr>
          <w:rFonts w:cs="Times New Roman"/>
          <w:sz w:val="14"/>
          <w:szCs w:val="14"/>
          <w:lang w:val="es-ES_tradnl"/>
        </w:rPr>
        <w:t>é</w:t>
      </w:r>
      <w:r>
        <w:rPr>
          <w:sz w:val="14"/>
          <w:szCs w:val="14"/>
          <w:lang w:val="es-ES_tradnl"/>
        </w:rPr>
        <w:t xml:space="preserve">gimen general de comunicaciones y telecomunicaciones, corresponde </w:t>
      </w:r>
      <w:r>
        <w:rPr>
          <w:rFonts w:cs="Times New Roman"/>
          <w:sz w:val="14"/>
          <w:szCs w:val="14"/>
          <w:lang w:val="es-ES_tradnl"/>
        </w:rPr>
        <w:t>ú</w:t>
      </w:r>
      <w:r>
        <w:rPr>
          <w:sz w:val="14"/>
          <w:szCs w:val="14"/>
          <w:lang w:val="es-ES_tradnl"/>
        </w:rPr>
        <w:t>nicamente al Estado central.</w:t>
      </w:r>
    </w:p>
    <w:p w14:paraId="4F67A628" w14:textId="77777777" w:rsidR="00591D54" w:rsidRDefault="00591D54">
      <w:pPr>
        <w:shd w:val="clear" w:color="auto" w:fill="FFFFFF"/>
        <w:spacing w:before="211" w:line="221" w:lineRule="exact"/>
        <w:jc w:val="both"/>
      </w:pPr>
      <w:r>
        <w:rPr>
          <w:spacing w:val="-7"/>
          <w:sz w:val="18"/>
          <w:szCs w:val="18"/>
          <w:lang w:val="es-ES_tradnl"/>
        </w:rPr>
        <w:t>De igual manera, se debe destacar que el art</w:t>
      </w:r>
      <w:r>
        <w:rPr>
          <w:rFonts w:cs="Times New Roman"/>
          <w:spacing w:val="-7"/>
          <w:sz w:val="18"/>
          <w:szCs w:val="18"/>
          <w:lang w:val="es-ES_tradnl"/>
        </w:rPr>
        <w:t>í</w:t>
      </w:r>
      <w:r>
        <w:rPr>
          <w:spacing w:val="-7"/>
          <w:sz w:val="18"/>
          <w:szCs w:val="18"/>
          <w:lang w:val="es-ES_tradnl"/>
        </w:rPr>
        <w:t xml:space="preserve">culo 3 de la </w:t>
      </w:r>
      <w:r>
        <w:rPr>
          <w:spacing w:val="-9"/>
          <w:sz w:val="18"/>
          <w:szCs w:val="18"/>
          <w:lang w:val="es-ES_tradnl"/>
        </w:rPr>
        <w:t xml:space="preserve">ordenanza en estudio, establece las condiciones generales </w:t>
      </w:r>
      <w:r>
        <w:rPr>
          <w:spacing w:val="-6"/>
          <w:sz w:val="18"/>
          <w:szCs w:val="18"/>
          <w:lang w:val="es-ES_tradnl"/>
        </w:rPr>
        <w:t>para la implantaci</w:t>
      </w:r>
      <w:r>
        <w:rPr>
          <w:rFonts w:cs="Times New Roman"/>
          <w:spacing w:val="-6"/>
          <w:sz w:val="18"/>
          <w:szCs w:val="18"/>
          <w:lang w:val="es-ES_tradnl"/>
        </w:rPr>
        <w:t>ó</w:t>
      </w:r>
      <w:r>
        <w:rPr>
          <w:spacing w:val="-6"/>
          <w:sz w:val="18"/>
          <w:szCs w:val="18"/>
          <w:lang w:val="es-ES_tradnl"/>
        </w:rPr>
        <w:t xml:space="preserve">n de estructuras fijas de soportes de </w:t>
      </w:r>
      <w:r>
        <w:rPr>
          <w:sz w:val="18"/>
          <w:szCs w:val="18"/>
          <w:lang w:val="es-ES_tradnl"/>
        </w:rPr>
        <w:t>antenas, se</w:t>
      </w:r>
      <w:r>
        <w:rPr>
          <w:rFonts w:cs="Times New Roman"/>
          <w:sz w:val="18"/>
          <w:szCs w:val="18"/>
          <w:lang w:val="es-ES_tradnl"/>
        </w:rPr>
        <w:t>ñ</w:t>
      </w:r>
      <w:r>
        <w:rPr>
          <w:sz w:val="18"/>
          <w:szCs w:val="18"/>
          <w:lang w:val="es-ES_tradnl"/>
        </w:rPr>
        <w:t>alando:</w:t>
      </w:r>
    </w:p>
    <w:p w14:paraId="4F67A629" w14:textId="77777777" w:rsidR="00591D54" w:rsidRDefault="00591D54">
      <w:pPr>
        <w:shd w:val="clear" w:color="auto" w:fill="FFFFFF"/>
        <w:spacing w:before="206" w:line="221" w:lineRule="exact"/>
        <w:ind w:left="283"/>
        <w:jc w:val="both"/>
      </w:pPr>
      <w:r>
        <w:rPr>
          <w:sz w:val="14"/>
          <w:szCs w:val="14"/>
          <w:lang w:val="es-ES_tradnl"/>
        </w:rPr>
        <w:t>Condiciones generales de implantaci</w:t>
      </w:r>
      <w:r>
        <w:rPr>
          <w:rFonts w:cs="Times New Roman"/>
          <w:sz w:val="14"/>
          <w:szCs w:val="14"/>
          <w:lang w:val="es-ES_tradnl"/>
        </w:rPr>
        <w:t>ó</w:t>
      </w:r>
      <w:r>
        <w:rPr>
          <w:sz w:val="14"/>
          <w:szCs w:val="14"/>
          <w:lang w:val="es-ES_tradnl"/>
        </w:rPr>
        <w:t>n de estructuras fijas de soportes de antenas comerciales.- La implantaci</w:t>
      </w:r>
      <w:r>
        <w:rPr>
          <w:rFonts w:cs="Times New Roman"/>
          <w:sz w:val="14"/>
          <w:szCs w:val="14"/>
          <w:lang w:val="es-ES_tradnl"/>
        </w:rPr>
        <w:t>ó</w:t>
      </w:r>
      <w:r>
        <w:rPr>
          <w:sz w:val="14"/>
          <w:szCs w:val="14"/>
          <w:lang w:val="es-ES_tradnl"/>
        </w:rPr>
        <w:t>n de estructuras fijas de soportes de antenas para la prestaci</w:t>
      </w:r>
      <w:r>
        <w:rPr>
          <w:rFonts w:cs="Times New Roman"/>
          <w:sz w:val="14"/>
          <w:szCs w:val="14"/>
          <w:lang w:val="es-ES_tradnl"/>
        </w:rPr>
        <w:t>ó</w:t>
      </w:r>
      <w:r>
        <w:rPr>
          <w:sz w:val="14"/>
          <w:szCs w:val="14"/>
          <w:lang w:val="es-ES_tradnl"/>
        </w:rPr>
        <w:t>n de servicios comerciales, cumplir</w:t>
      </w:r>
      <w:r>
        <w:rPr>
          <w:rFonts w:cs="Times New Roman"/>
          <w:sz w:val="14"/>
          <w:szCs w:val="14"/>
          <w:lang w:val="es-ES_tradnl"/>
        </w:rPr>
        <w:t>á</w:t>
      </w:r>
      <w:r>
        <w:rPr>
          <w:sz w:val="14"/>
          <w:szCs w:val="14"/>
          <w:lang w:val="es-ES_tradnl"/>
        </w:rPr>
        <w:t xml:space="preserve"> con el servicio de zonificaci</w:t>
      </w:r>
      <w:r>
        <w:rPr>
          <w:rFonts w:cs="Times New Roman"/>
          <w:sz w:val="14"/>
          <w:szCs w:val="14"/>
          <w:lang w:val="es-ES_tradnl"/>
        </w:rPr>
        <w:t>ó</w:t>
      </w:r>
      <w:r>
        <w:rPr>
          <w:sz w:val="14"/>
          <w:szCs w:val="14"/>
          <w:lang w:val="es-ES_tradnl"/>
        </w:rPr>
        <w:t>n, uso y ocupaci</w:t>
      </w:r>
      <w:r>
        <w:rPr>
          <w:rFonts w:cs="Times New Roman"/>
          <w:sz w:val="14"/>
          <w:szCs w:val="14"/>
          <w:lang w:val="es-ES_tradnl"/>
        </w:rPr>
        <w:t>ó</w:t>
      </w:r>
      <w:r>
        <w:rPr>
          <w:sz w:val="14"/>
          <w:szCs w:val="14"/>
          <w:lang w:val="es-ES_tradnl"/>
        </w:rPr>
        <w:t>n del suelo, subsuelo y espacio a</w:t>
      </w:r>
      <w:r>
        <w:rPr>
          <w:rFonts w:cs="Times New Roman"/>
          <w:sz w:val="14"/>
          <w:szCs w:val="14"/>
          <w:lang w:val="es-ES_tradnl"/>
        </w:rPr>
        <w:t>é</w:t>
      </w:r>
      <w:r>
        <w:rPr>
          <w:sz w:val="14"/>
          <w:szCs w:val="14"/>
          <w:lang w:val="es-ES_tradnl"/>
        </w:rPr>
        <w:t>reo y sus relaciones de compatibilidad con la ordenanza que reglamenta el uso del suelo, as</w:t>
      </w:r>
      <w:r>
        <w:rPr>
          <w:rFonts w:cs="Times New Roman"/>
          <w:sz w:val="14"/>
          <w:szCs w:val="14"/>
          <w:lang w:val="es-ES_tradnl"/>
        </w:rPr>
        <w:t>í</w:t>
      </w:r>
      <w:r>
        <w:rPr>
          <w:sz w:val="14"/>
          <w:szCs w:val="14"/>
          <w:lang w:val="es-ES_tradnl"/>
        </w:rPr>
        <w:t xml:space="preserve"> como con las condiciones generales (</w:t>
      </w:r>
      <w:r>
        <w:rPr>
          <w:rFonts w:cs="Times New Roman"/>
          <w:sz w:val="14"/>
          <w:szCs w:val="14"/>
          <w:lang w:val="es-ES_tradnl"/>
        </w:rPr>
        <w:t>…</w:t>
      </w:r>
      <w:r>
        <w:rPr>
          <w:sz w:val="14"/>
          <w:szCs w:val="14"/>
          <w:lang w:val="es-ES_tradnl"/>
        </w:rPr>
        <w:t>).</w:t>
      </w:r>
    </w:p>
    <w:p w14:paraId="4F67A62A" w14:textId="77777777" w:rsidR="00591D54" w:rsidRDefault="00591D54">
      <w:pPr>
        <w:shd w:val="clear" w:color="auto" w:fill="FFFFFF"/>
        <w:spacing w:before="206" w:line="221" w:lineRule="exact"/>
        <w:jc w:val="both"/>
      </w:pPr>
      <w:r>
        <w:rPr>
          <w:spacing w:val="-5"/>
          <w:sz w:val="18"/>
          <w:szCs w:val="18"/>
          <w:lang w:val="es-ES_tradnl"/>
        </w:rPr>
        <w:t xml:space="preserve">Frente a lo cual, se determina que conforme lo establece </w:t>
      </w:r>
      <w:r>
        <w:rPr>
          <w:spacing w:val="-4"/>
          <w:sz w:val="18"/>
          <w:szCs w:val="18"/>
          <w:lang w:val="es-ES_tradnl"/>
        </w:rPr>
        <w:t>el art</w:t>
      </w:r>
      <w:r>
        <w:rPr>
          <w:rFonts w:cs="Times New Roman"/>
          <w:spacing w:val="-4"/>
          <w:sz w:val="18"/>
          <w:szCs w:val="18"/>
          <w:lang w:val="es-ES_tradnl"/>
        </w:rPr>
        <w:t>í</w:t>
      </w:r>
      <w:r>
        <w:rPr>
          <w:spacing w:val="-4"/>
          <w:sz w:val="18"/>
          <w:szCs w:val="18"/>
          <w:lang w:val="es-ES_tradnl"/>
        </w:rPr>
        <w:t>culo 4 de la Constituci</w:t>
      </w:r>
      <w:r>
        <w:rPr>
          <w:rFonts w:cs="Times New Roman"/>
          <w:spacing w:val="-4"/>
          <w:sz w:val="18"/>
          <w:szCs w:val="18"/>
          <w:lang w:val="es-ES_tradnl"/>
        </w:rPr>
        <w:t>ó</w:t>
      </w:r>
      <w:r>
        <w:rPr>
          <w:spacing w:val="-4"/>
          <w:sz w:val="18"/>
          <w:szCs w:val="18"/>
          <w:lang w:val="es-ES_tradnl"/>
        </w:rPr>
        <w:t xml:space="preserve">n, forma parte del territorio </w:t>
      </w:r>
      <w:r>
        <w:rPr>
          <w:spacing w:val="-7"/>
          <w:sz w:val="18"/>
          <w:szCs w:val="18"/>
          <w:lang w:val="es-ES_tradnl"/>
        </w:rPr>
        <w:t xml:space="preserve">inalienable, irreductible e inviolable del Estado ecuatoriano </w:t>
      </w:r>
      <w:r>
        <w:rPr>
          <w:spacing w:val="-9"/>
          <w:sz w:val="18"/>
          <w:szCs w:val="18"/>
          <w:lang w:val="es-ES_tradnl"/>
        </w:rPr>
        <w:t>el denominado subsuelo. En aquel sentido, la ocupaci</w:t>
      </w:r>
      <w:r>
        <w:rPr>
          <w:rFonts w:cs="Times New Roman"/>
          <w:spacing w:val="-9"/>
          <w:sz w:val="18"/>
          <w:szCs w:val="18"/>
          <w:lang w:val="es-ES_tradnl"/>
        </w:rPr>
        <w:t>ó</w:t>
      </w:r>
      <w:r>
        <w:rPr>
          <w:spacing w:val="-9"/>
          <w:sz w:val="18"/>
          <w:szCs w:val="18"/>
          <w:lang w:val="es-ES_tradnl"/>
        </w:rPr>
        <w:t xml:space="preserve">n del </w:t>
      </w:r>
      <w:r>
        <w:rPr>
          <w:spacing w:val="-7"/>
          <w:sz w:val="18"/>
          <w:szCs w:val="18"/>
          <w:lang w:val="es-ES_tradnl"/>
        </w:rPr>
        <w:t>mismo implica una regulaci</w:t>
      </w:r>
      <w:r>
        <w:rPr>
          <w:rFonts w:cs="Times New Roman"/>
          <w:spacing w:val="-7"/>
          <w:sz w:val="18"/>
          <w:szCs w:val="18"/>
          <w:lang w:val="es-ES_tradnl"/>
        </w:rPr>
        <w:t>ó</w:t>
      </w:r>
      <w:r>
        <w:rPr>
          <w:spacing w:val="-7"/>
          <w:sz w:val="18"/>
          <w:szCs w:val="18"/>
          <w:lang w:val="es-ES_tradnl"/>
        </w:rPr>
        <w:t xml:space="preserve">n dentro de las competencias </w:t>
      </w:r>
      <w:r>
        <w:rPr>
          <w:spacing w:val="-9"/>
          <w:sz w:val="18"/>
          <w:szCs w:val="18"/>
          <w:lang w:val="es-ES_tradnl"/>
        </w:rPr>
        <w:t xml:space="preserve">exclusivas del Estado central, el cual no puede ser regulado </w:t>
      </w:r>
      <w:r>
        <w:rPr>
          <w:spacing w:val="-6"/>
          <w:sz w:val="18"/>
          <w:szCs w:val="18"/>
          <w:lang w:val="es-ES_tradnl"/>
        </w:rPr>
        <w:t xml:space="preserve">por parte de las municipalidades, ante lo cual la palabra </w:t>
      </w:r>
      <w:r>
        <w:rPr>
          <w:rFonts w:cs="Times New Roman"/>
          <w:spacing w:val="-6"/>
          <w:sz w:val="18"/>
          <w:szCs w:val="18"/>
          <w:lang w:val="es-ES_tradnl"/>
        </w:rPr>
        <w:t>“</w:t>
      </w:r>
      <w:r>
        <w:rPr>
          <w:spacing w:val="-6"/>
          <w:sz w:val="18"/>
          <w:szCs w:val="18"/>
          <w:lang w:val="es-ES_tradnl"/>
        </w:rPr>
        <w:t>subsuelo</w:t>
      </w:r>
      <w:r>
        <w:rPr>
          <w:rFonts w:cs="Times New Roman"/>
          <w:spacing w:val="-6"/>
          <w:sz w:val="18"/>
          <w:szCs w:val="18"/>
          <w:lang w:val="es-ES_tradnl"/>
        </w:rPr>
        <w:t>”</w:t>
      </w:r>
      <w:r>
        <w:rPr>
          <w:spacing w:val="-6"/>
          <w:sz w:val="18"/>
          <w:szCs w:val="18"/>
          <w:lang w:val="es-ES_tradnl"/>
        </w:rPr>
        <w:t xml:space="preserve"> (</w:t>
      </w:r>
      <w:r>
        <w:rPr>
          <w:rFonts w:cs="Times New Roman"/>
          <w:spacing w:val="-6"/>
          <w:sz w:val="18"/>
          <w:szCs w:val="18"/>
          <w:lang w:val="es-ES_tradnl"/>
        </w:rPr>
        <w:t>…</w:t>
      </w:r>
      <w:r>
        <w:rPr>
          <w:spacing w:val="-6"/>
          <w:sz w:val="18"/>
          <w:szCs w:val="18"/>
          <w:lang w:val="es-ES_tradnl"/>
        </w:rPr>
        <w:t>), contradice el texto constitucional</w:t>
      </w:r>
      <w:r>
        <w:rPr>
          <w:spacing w:val="-6"/>
          <w:sz w:val="18"/>
          <w:szCs w:val="18"/>
          <w:vertAlign w:val="superscript"/>
          <w:lang w:val="es-ES_tradnl"/>
        </w:rPr>
        <w:t>10</w:t>
      </w:r>
      <w:r>
        <w:rPr>
          <w:spacing w:val="-6"/>
          <w:sz w:val="18"/>
          <w:szCs w:val="18"/>
          <w:lang w:val="es-ES_tradnl"/>
        </w:rPr>
        <w:t>.</w:t>
      </w:r>
    </w:p>
    <w:p w14:paraId="4F67A62B" w14:textId="77777777" w:rsidR="00591D54" w:rsidRDefault="00591D54">
      <w:pPr>
        <w:shd w:val="clear" w:color="auto" w:fill="FFFFFF"/>
        <w:spacing w:before="202" w:line="221" w:lineRule="exact"/>
        <w:jc w:val="both"/>
      </w:pPr>
      <w:r>
        <w:rPr>
          <w:spacing w:val="-8"/>
          <w:sz w:val="18"/>
          <w:szCs w:val="18"/>
          <w:lang w:val="es-ES_tradnl"/>
        </w:rPr>
        <w:t xml:space="preserve">Por lo expuesto, esta Corte establece que la competencia </w:t>
      </w:r>
      <w:r>
        <w:rPr>
          <w:sz w:val="18"/>
          <w:szCs w:val="18"/>
          <w:lang w:val="es-ES_tradnl"/>
        </w:rPr>
        <w:t>para la regulaci</w:t>
      </w:r>
      <w:r>
        <w:rPr>
          <w:rFonts w:cs="Times New Roman"/>
          <w:sz w:val="18"/>
          <w:szCs w:val="18"/>
          <w:lang w:val="es-ES_tradnl"/>
        </w:rPr>
        <w:t>ó</w:t>
      </w:r>
      <w:r>
        <w:rPr>
          <w:sz w:val="18"/>
          <w:szCs w:val="18"/>
          <w:lang w:val="es-ES_tradnl"/>
        </w:rPr>
        <w:t>n por utilizaci</w:t>
      </w:r>
      <w:r>
        <w:rPr>
          <w:rFonts w:cs="Times New Roman"/>
          <w:sz w:val="18"/>
          <w:szCs w:val="18"/>
          <w:lang w:val="es-ES_tradnl"/>
        </w:rPr>
        <w:t>ó</w:t>
      </w:r>
      <w:r>
        <w:rPr>
          <w:sz w:val="18"/>
          <w:szCs w:val="18"/>
          <w:lang w:val="es-ES_tradnl"/>
        </w:rPr>
        <w:t xml:space="preserve">n del subsuelo le </w:t>
      </w:r>
      <w:r>
        <w:rPr>
          <w:spacing w:val="-8"/>
          <w:sz w:val="18"/>
          <w:szCs w:val="18"/>
          <w:lang w:val="es-ES_tradnl"/>
        </w:rPr>
        <w:t xml:space="preserve">corresponde exclusivamente al Estado central, por tratarse </w:t>
      </w:r>
      <w:r>
        <w:rPr>
          <w:spacing w:val="-9"/>
          <w:sz w:val="18"/>
          <w:szCs w:val="18"/>
          <w:lang w:val="es-ES_tradnl"/>
        </w:rPr>
        <w:t>de un tema de comunicaci</w:t>
      </w:r>
      <w:r>
        <w:rPr>
          <w:rFonts w:cs="Times New Roman"/>
          <w:spacing w:val="-9"/>
          <w:sz w:val="18"/>
          <w:szCs w:val="18"/>
          <w:lang w:val="es-ES_tradnl"/>
        </w:rPr>
        <w:t>ó</w:t>
      </w:r>
      <w:r>
        <w:rPr>
          <w:spacing w:val="-9"/>
          <w:sz w:val="18"/>
          <w:szCs w:val="18"/>
          <w:lang w:val="es-ES_tradnl"/>
        </w:rPr>
        <w:t>n y telecomunicaci</w:t>
      </w:r>
      <w:r>
        <w:rPr>
          <w:rFonts w:cs="Times New Roman"/>
          <w:spacing w:val="-9"/>
          <w:sz w:val="18"/>
          <w:szCs w:val="18"/>
          <w:lang w:val="es-ES_tradnl"/>
        </w:rPr>
        <w:t>ó</w:t>
      </w:r>
      <w:r>
        <w:rPr>
          <w:spacing w:val="-9"/>
          <w:sz w:val="18"/>
          <w:szCs w:val="18"/>
          <w:lang w:val="es-ES_tradnl"/>
        </w:rPr>
        <w:t xml:space="preserve">n, por lo que </w:t>
      </w:r>
      <w:r>
        <w:rPr>
          <w:spacing w:val="-8"/>
          <w:sz w:val="18"/>
          <w:szCs w:val="18"/>
          <w:lang w:val="es-ES_tradnl"/>
        </w:rPr>
        <w:t>se llega a la conclusi</w:t>
      </w:r>
      <w:r>
        <w:rPr>
          <w:rFonts w:cs="Times New Roman"/>
          <w:spacing w:val="-8"/>
          <w:sz w:val="18"/>
          <w:szCs w:val="18"/>
          <w:lang w:val="es-ES_tradnl"/>
        </w:rPr>
        <w:t>ó</w:t>
      </w:r>
      <w:r>
        <w:rPr>
          <w:spacing w:val="-8"/>
          <w:sz w:val="18"/>
          <w:szCs w:val="18"/>
          <w:lang w:val="es-ES_tradnl"/>
        </w:rPr>
        <w:t xml:space="preserve">n de que en el proceso </w:t>
      </w:r>
      <w:r>
        <w:rPr>
          <w:i/>
          <w:iCs/>
          <w:spacing w:val="-8"/>
          <w:sz w:val="18"/>
          <w:szCs w:val="18"/>
          <w:lang w:val="es-ES_tradnl"/>
        </w:rPr>
        <w:t>sub judice</w:t>
      </w:r>
      <w:r>
        <w:rPr>
          <w:spacing w:val="-8"/>
          <w:sz w:val="18"/>
          <w:szCs w:val="18"/>
          <w:lang w:val="es-ES_tradnl"/>
        </w:rPr>
        <w:t>, la ordenanza municipal que se analiza, contraviene el art</w:t>
      </w:r>
      <w:r>
        <w:rPr>
          <w:rFonts w:cs="Times New Roman"/>
          <w:spacing w:val="-8"/>
          <w:sz w:val="18"/>
          <w:szCs w:val="18"/>
          <w:lang w:val="es-ES_tradnl"/>
        </w:rPr>
        <w:t>í</w:t>
      </w:r>
      <w:r>
        <w:rPr>
          <w:spacing w:val="-8"/>
          <w:sz w:val="18"/>
          <w:szCs w:val="18"/>
          <w:lang w:val="es-ES_tradnl"/>
        </w:rPr>
        <w:t xml:space="preserve">culo </w:t>
      </w:r>
      <w:r>
        <w:rPr>
          <w:spacing w:val="-6"/>
          <w:sz w:val="18"/>
          <w:szCs w:val="18"/>
          <w:lang w:val="es-ES_tradnl"/>
        </w:rPr>
        <w:t>261 numeral 10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w:t>
      </w:r>
    </w:p>
    <w:p w14:paraId="4F67A62C" w14:textId="77777777" w:rsidR="00591D54" w:rsidRDefault="00591D54">
      <w:pPr>
        <w:shd w:val="clear" w:color="auto" w:fill="FFFFFF"/>
        <w:spacing w:before="206" w:line="221" w:lineRule="exact"/>
        <w:jc w:val="both"/>
      </w:pPr>
      <w:r>
        <w:rPr>
          <w:spacing w:val="-5"/>
          <w:sz w:val="18"/>
          <w:szCs w:val="18"/>
          <w:lang w:val="es-ES_tradnl"/>
        </w:rPr>
        <w:t>Por ello, con fundamento en el art</w:t>
      </w:r>
      <w:r>
        <w:rPr>
          <w:rFonts w:cs="Times New Roman"/>
          <w:spacing w:val="-5"/>
          <w:sz w:val="18"/>
          <w:szCs w:val="18"/>
          <w:lang w:val="es-ES_tradnl"/>
        </w:rPr>
        <w:t>í</w:t>
      </w:r>
      <w:r>
        <w:rPr>
          <w:spacing w:val="-5"/>
          <w:sz w:val="18"/>
          <w:szCs w:val="18"/>
          <w:lang w:val="es-ES_tradnl"/>
        </w:rPr>
        <w:t xml:space="preserve">culo 436 numerales 1, </w:t>
      </w:r>
      <w:r>
        <w:rPr>
          <w:spacing w:val="-6"/>
          <w:sz w:val="18"/>
          <w:szCs w:val="18"/>
          <w:lang w:val="es-ES_tradnl"/>
        </w:rPr>
        <w:t>2 y 3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en concordancia </w:t>
      </w:r>
      <w:r>
        <w:rPr>
          <w:spacing w:val="-4"/>
          <w:sz w:val="18"/>
          <w:szCs w:val="18"/>
          <w:lang w:val="es-ES_tradnl"/>
        </w:rPr>
        <w:t>con el art</w:t>
      </w:r>
      <w:r>
        <w:rPr>
          <w:rFonts w:cs="Times New Roman"/>
          <w:spacing w:val="-4"/>
          <w:sz w:val="18"/>
          <w:szCs w:val="18"/>
          <w:lang w:val="es-ES_tradnl"/>
        </w:rPr>
        <w:t>í</w:t>
      </w:r>
      <w:r>
        <w:rPr>
          <w:spacing w:val="-4"/>
          <w:sz w:val="18"/>
          <w:szCs w:val="18"/>
          <w:lang w:val="es-ES_tradnl"/>
        </w:rPr>
        <w:t>culo 76 numerales 4, 5 y 6 de la Ley Org</w:t>
      </w:r>
      <w:r>
        <w:rPr>
          <w:rFonts w:cs="Times New Roman"/>
          <w:spacing w:val="-4"/>
          <w:sz w:val="18"/>
          <w:szCs w:val="18"/>
          <w:lang w:val="es-ES_tradnl"/>
        </w:rPr>
        <w:t>á</w:t>
      </w:r>
      <w:r>
        <w:rPr>
          <w:spacing w:val="-4"/>
          <w:sz w:val="18"/>
          <w:szCs w:val="18"/>
          <w:lang w:val="es-ES_tradnl"/>
        </w:rPr>
        <w:t>nica</w:t>
      </w:r>
    </w:p>
    <w:p w14:paraId="4F67A62D" w14:textId="77777777" w:rsidR="00591D54" w:rsidRDefault="00591D54">
      <w:pPr>
        <w:shd w:val="clear" w:color="auto" w:fill="FFFFFF"/>
        <w:tabs>
          <w:tab w:val="left" w:pos="139"/>
        </w:tabs>
        <w:spacing w:before="394" w:line="178" w:lineRule="exact"/>
        <w:ind w:left="139" w:right="5" w:hanging="139"/>
        <w:jc w:val="both"/>
      </w:pPr>
      <w:r>
        <w:rPr>
          <w:sz w:val="8"/>
          <w:szCs w:val="8"/>
          <w:vertAlign w:val="superscript"/>
          <w:lang w:val="es-ES_tradnl"/>
        </w:rPr>
        <w:t>9</w:t>
      </w:r>
      <w:r>
        <w:rPr>
          <w:sz w:val="18"/>
          <w:szCs w:val="18"/>
          <w:lang w:val="es-ES_tradnl"/>
        </w:rPr>
        <w:tab/>
      </w:r>
      <w:r>
        <w:rPr>
          <w:sz w:val="14"/>
          <w:szCs w:val="14"/>
          <w:lang w:val="es-ES_tradnl"/>
        </w:rPr>
        <w:t>Art</w:t>
      </w:r>
      <w:r>
        <w:rPr>
          <w:rFonts w:cs="Times New Roman"/>
          <w:sz w:val="14"/>
          <w:szCs w:val="14"/>
          <w:lang w:val="es-ES_tradnl"/>
        </w:rPr>
        <w:t>í</w:t>
      </w:r>
      <w:r>
        <w:rPr>
          <w:sz w:val="14"/>
          <w:szCs w:val="14"/>
          <w:lang w:val="es-ES_tradnl"/>
        </w:rPr>
        <w:t>culo</w:t>
      </w:r>
      <w:r>
        <w:rPr>
          <w:sz w:val="18"/>
          <w:szCs w:val="18"/>
          <w:lang w:val="es-ES_tradnl"/>
        </w:rPr>
        <w:t xml:space="preserve"> </w:t>
      </w:r>
      <w:r>
        <w:rPr>
          <w:sz w:val="14"/>
          <w:szCs w:val="14"/>
          <w:lang w:val="es-ES_tradnl"/>
        </w:rPr>
        <w:t>313,</w:t>
      </w:r>
      <w:r>
        <w:rPr>
          <w:sz w:val="18"/>
          <w:szCs w:val="18"/>
          <w:lang w:val="es-ES_tradnl"/>
        </w:rPr>
        <w:t xml:space="preserve"> </w:t>
      </w:r>
      <w:r>
        <w:rPr>
          <w:sz w:val="14"/>
          <w:szCs w:val="14"/>
          <w:lang w:val="es-ES_tradnl"/>
        </w:rPr>
        <w:t>segundo</w:t>
      </w:r>
      <w:r>
        <w:rPr>
          <w:sz w:val="18"/>
          <w:szCs w:val="18"/>
          <w:lang w:val="es-ES_tradnl"/>
        </w:rPr>
        <w:t xml:space="preserve"> </w:t>
      </w:r>
      <w:r>
        <w:rPr>
          <w:sz w:val="14"/>
          <w:szCs w:val="14"/>
          <w:lang w:val="es-ES_tradnl"/>
        </w:rPr>
        <w:t>inciso,</w:t>
      </w:r>
      <w:r>
        <w:rPr>
          <w:sz w:val="18"/>
          <w:szCs w:val="18"/>
          <w:lang w:val="es-ES_tradnl"/>
        </w:rPr>
        <w:t xml:space="preserve"> </w:t>
      </w:r>
      <w:r>
        <w:rPr>
          <w:sz w:val="14"/>
          <w:szCs w:val="14"/>
          <w:lang w:val="es-ES_tradnl"/>
        </w:rPr>
        <w:t>Constituci</w:t>
      </w:r>
      <w:r>
        <w:rPr>
          <w:rFonts w:cs="Times New Roman"/>
          <w:sz w:val="14"/>
          <w:szCs w:val="14"/>
          <w:lang w:val="es-ES_tradnl"/>
        </w:rPr>
        <w:t>ó</w:t>
      </w:r>
      <w:r>
        <w:rPr>
          <w:sz w:val="14"/>
          <w:szCs w:val="14"/>
          <w:lang w:val="es-ES_tradnl"/>
        </w:rPr>
        <w:t>n</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la</w:t>
      </w:r>
      <w:r>
        <w:rPr>
          <w:sz w:val="18"/>
          <w:szCs w:val="18"/>
          <w:lang w:val="es-ES_tradnl"/>
        </w:rPr>
        <w:t xml:space="preserve"> </w:t>
      </w:r>
      <w:r>
        <w:rPr>
          <w:sz w:val="14"/>
          <w:szCs w:val="14"/>
          <w:lang w:val="es-ES_tradnl"/>
        </w:rPr>
        <w:t>Rep</w:t>
      </w:r>
      <w:r>
        <w:rPr>
          <w:rFonts w:cs="Times New Roman"/>
          <w:sz w:val="14"/>
          <w:szCs w:val="14"/>
          <w:lang w:val="es-ES_tradnl"/>
        </w:rPr>
        <w:t>ú</w:t>
      </w:r>
      <w:r>
        <w:rPr>
          <w:sz w:val="14"/>
          <w:szCs w:val="14"/>
          <w:lang w:val="es-ES_tradnl"/>
        </w:rPr>
        <w:t>blica</w:t>
      </w:r>
      <w:r>
        <w:rPr>
          <w:sz w:val="18"/>
          <w:szCs w:val="18"/>
          <w:lang w:val="es-ES_tradnl"/>
        </w:rPr>
        <w:t xml:space="preserve"> </w:t>
      </w:r>
      <w:r>
        <w:rPr>
          <w:sz w:val="14"/>
          <w:szCs w:val="14"/>
          <w:lang w:val="es-ES_tradnl"/>
        </w:rPr>
        <w:t>del </w:t>
      </w:r>
      <w:r>
        <w:rPr>
          <w:spacing w:val="-1"/>
          <w:sz w:val="14"/>
          <w:szCs w:val="14"/>
          <w:lang w:val="es-ES_tradnl"/>
        </w:rPr>
        <w:t>Ecuador: Los sectores estrat</w:t>
      </w:r>
      <w:r>
        <w:rPr>
          <w:rFonts w:cs="Times New Roman"/>
          <w:spacing w:val="-1"/>
          <w:sz w:val="14"/>
          <w:szCs w:val="14"/>
          <w:lang w:val="es-ES_tradnl"/>
        </w:rPr>
        <w:t>é</w:t>
      </w:r>
      <w:r>
        <w:rPr>
          <w:spacing w:val="-1"/>
          <w:sz w:val="14"/>
          <w:szCs w:val="14"/>
          <w:lang w:val="es-ES_tradnl"/>
        </w:rPr>
        <w:t>gicos, de decisi</w:t>
      </w:r>
      <w:r>
        <w:rPr>
          <w:rFonts w:cs="Times New Roman"/>
          <w:spacing w:val="-1"/>
          <w:sz w:val="14"/>
          <w:szCs w:val="14"/>
          <w:lang w:val="es-ES_tradnl"/>
        </w:rPr>
        <w:t>ó</w:t>
      </w:r>
      <w:r>
        <w:rPr>
          <w:spacing w:val="-1"/>
          <w:sz w:val="14"/>
          <w:szCs w:val="14"/>
          <w:lang w:val="es-ES_tradnl"/>
        </w:rPr>
        <w:t>n y control exclusivo </w:t>
      </w:r>
      <w:r>
        <w:rPr>
          <w:spacing w:val="-3"/>
          <w:sz w:val="14"/>
          <w:szCs w:val="14"/>
          <w:lang w:val="es-ES_tradnl"/>
        </w:rPr>
        <w:t>del Estado, son aquellos que por su trascendencia y magnitud tienen decisiva infl uencia econ</w:t>
      </w:r>
      <w:r>
        <w:rPr>
          <w:rFonts w:cs="Times New Roman"/>
          <w:spacing w:val="-3"/>
          <w:sz w:val="14"/>
          <w:szCs w:val="14"/>
          <w:lang w:val="es-ES_tradnl"/>
        </w:rPr>
        <w:t>ó</w:t>
      </w:r>
      <w:r>
        <w:rPr>
          <w:spacing w:val="-3"/>
          <w:sz w:val="14"/>
          <w:szCs w:val="14"/>
          <w:lang w:val="es-ES_tradnl"/>
        </w:rPr>
        <w:t>mica, social, pol</w:t>
      </w:r>
      <w:r>
        <w:rPr>
          <w:rFonts w:cs="Times New Roman"/>
          <w:spacing w:val="-3"/>
          <w:sz w:val="14"/>
          <w:szCs w:val="14"/>
          <w:lang w:val="es-ES_tradnl"/>
        </w:rPr>
        <w:t>í</w:t>
      </w:r>
      <w:r>
        <w:rPr>
          <w:spacing w:val="-3"/>
          <w:sz w:val="14"/>
          <w:szCs w:val="14"/>
          <w:lang w:val="es-ES_tradnl"/>
        </w:rPr>
        <w:t>tica o ambiental, y deber</w:t>
      </w:r>
      <w:r>
        <w:rPr>
          <w:rFonts w:cs="Times New Roman"/>
          <w:spacing w:val="-3"/>
          <w:sz w:val="14"/>
          <w:szCs w:val="14"/>
          <w:lang w:val="es-ES_tradnl"/>
        </w:rPr>
        <w:t>á</w:t>
      </w:r>
      <w:r>
        <w:rPr>
          <w:spacing w:val="-3"/>
          <w:sz w:val="14"/>
          <w:szCs w:val="14"/>
          <w:lang w:val="es-ES_tradnl"/>
        </w:rPr>
        <w:t>n </w:t>
      </w:r>
      <w:r>
        <w:rPr>
          <w:spacing w:val="-2"/>
          <w:sz w:val="14"/>
          <w:szCs w:val="14"/>
          <w:lang w:val="es-ES_tradnl"/>
        </w:rPr>
        <w:t>orientarse al pleno desarrollo de los derechos e inter</w:t>
      </w:r>
      <w:r>
        <w:rPr>
          <w:rFonts w:cs="Times New Roman"/>
          <w:spacing w:val="-2"/>
          <w:sz w:val="14"/>
          <w:szCs w:val="14"/>
          <w:lang w:val="es-ES_tradnl"/>
        </w:rPr>
        <w:t>é</w:t>
      </w:r>
      <w:r>
        <w:rPr>
          <w:spacing w:val="-2"/>
          <w:sz w:val="14"/>
          <w:szCs w:val="14"/>
          <w:lang w:val="es-ES_tradnl"/>
        </w:rPr>
        <w:t>s social.</w:t>
      </w:r>
    </w:p>
    <w:p w14:paraId="4F67A62E" w14:textId="77777777" w:rsidR="00591D54" w:rsidRDefault="00591D54">
      <w:pPr>
        <w:shd w:val="clear" w:color="auto" w:fill="FFFFFF"/>
        <w:tabs>
          <w:tab w:val="left" w:pos="139"/>
        </w:tabs>
        <w:spacing w:before="149" w:line="178" w:lineRule="exact"/>
        <w:ind w:left="139" w:right="5" w:hanging="139"/>
        <w:jc w:val="both"/>
      </w:pPr>
      <w:r>
        <w:rPr>
          <w:spacing w:val="-5"/>
          <w:sz w:val="8"/>
          <w:szCs w:val="8"/>
          <w:vertAlign w:val="superscript"/>
          <w:lang w:val="es-ES_tradnl"/>
        </w:rPr>
        <w:t>10</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No.</w:t>
      </w:r>
      <w:r>
        <w:rPr>
          <w:sz w:val="18"/>
          <w:szCs w:val="18"/>
          <w:lang w:val="es-ES_tradnl"/>
        </w:rPr>
        <w:t xml:space="preserve"> </w:t>
      </w:r>
      <w:r>
        <w:rPr>
          <w:sz w:val="14"/>
          <w:szCs w:val="14"/>
          <w:lang w:val="es-ES_tradnl"/>
        </w:rPr>
        <w:t>008-15-SIN-CC, p</w:t>
      </w:r>
      <w:r>
        <w:rPr>
          <w:rFonts w:cs="Times New Roman"/>
          <w:sz w:val="14"/>
          <w:szCs w:val="14"/>
          <w:lang w:val="es-ES_tradnl"/>
        </w:rPr>
        <w:t>á</w:t>
      </w:r>
      <w:r>
        <w:rPr>
          <w:sz w:val="14"/>
          <w:szCs w:val="14"/>
          <w:lang w:val="es-ES_tradnl"/>
        </w:rPr>
        <w:t>g. 34</w:t>
      </w:r>
    </w:p>
    <w:p w14:paraId="4F67A62F" w14:textId="77777777" w:rsidR="00591D54" w:rsidRDefault="00591D54">
      <w:pPr>
        <w:shd w:val="clear" w:color="auto" w:fill="FFFFFF"/>
        <w:spacing w:line="230" w:lineRule="exact"/>
        <w:jc w:val="both"/>
      </w:pPr>
      <w:r>
        <w:br w:type="column"/>
      </w:r>
      <w:r>
        <w:rPr>
          <w:spacing w:val="-4"/>
          <w:sz w:val="18"/>
          <w:szCs w:val="18"/>
          <w:lang w:val="es-ES_tradnl"/>
        </w:rPr>
        <w:t>de Garant</w:t>
      </w:r>
      <w:r>
        <w:rPr>
          <w:rFonts w:cs="Times New Roman"/>
          <w:spacing w:val="-4"/>
          <w:sz w:val="18"/>
          <w:szCs w:val="18"/>
          <w:lang w:val="es-ES_tradnl"/>
        </w:rPr>
        <w:t>í</w:t>
      </w:r>
      <w:r>
        <w:rPr>
          <w:spacing w:val="-4"/>
          <w:sz w:val="18"/>
          <w:szCs w:val="18"/>
          <w:lang w:val="es-ES_tradnl"/>
        </w:rPr>
        <w:t xml:space="preserve">as Jurisdiccionales y Control Constitucional, esta Corte declara la inconstitucionalidad del numeral 6 </w:t>
      </w:r>
      <w:r>
        <w:rPr>
          <w:spacing w:val="-5"/>
          <w:sz w:val="18"/>
          <w:szCs w:val="18"/>
          <w:lang w:val="es-ES_tradnl"/>
        </w:rPr>
        <w:t>del art</w:t>
      </w:r>
      <w:r>
        <w:rPr>
          <w:rFonts w:cs="Times New Roman"/>
          <w:spacing w:val="-5"/>
          <w:sz w:val="18"/>
          <w:szCs w:val="18"/>
          <w:lang w:val="es-ES_tradnl"/>
        </w:rPr>
        <w:t>í</w:t>
      </w:r>
      <w:r>
        <w:rPr>
          <w:spacing w:val="-5"/>
          <w:sz w:val="18"/>
          <w:szCs w:val="18"/>
          <w:lang w:val="es-ES_tradnl"/>
        </w:rPr>
        <w:t xml:space="preserve">culo 18 y de la palabra </w:t>
      </w:r>
      <w:r>
        <w:rPr>
          <w:rFonts w:cs="Times New Roman"/>
          <w:spacing w:val="-5"/>
          <w:sz w:val="18"/>
          <w:szCs w:val="18"/>
          <w:lang w:val="es-ES_tradnl"/>
        </w:rPr>
        <w:t>“</w:t>
      </w:r>
      <w:r>
        <w:rPr>
          <w:spacing w:val="-5"/>
          <w:sz w:val="18"/>
          <w:szCs w:val="18"/>
          <w:lang w:val="es-ES_tradnl"/>
        </w:rPr>
        <w:t>subsuelo</w:t>
      </w:r>
      <w:r>
        <w:rPr>
          <w:rFonts w:cs="Times New Roman"/>
          <w:spacing w:val="-5"/>
          <w:sz w:val="18"/>
          <w:szCs w:val="18"/>
          <w:lang w:val="es-ES_tradnl"/>
        </w:rPr>
        <w:t>”</w:t>
      </w:r>
      <w:r>
        <w:rPr>
          <w:spacing w:val="-5"/>
          <w:sz w:val="18"/>
          <w:szCs w:val="18"/>
          <w:lang w:val="es-ES_tradnl"/>
        </w:rPr>
        <w:t xml:space="preserve"> en el art</w:t>
      </w:r>
      <w:r>
        <w:rPr>
          <w:rFonts w:cs="Times New Roman"/>
          <w:spacing w:val="-5"/>
          <w:sz w:val="18"/>
          <w:szCs w:val="18"/>
          <w:lang w:val="es-ES_tradnl"/>
        </w:rPr>
        <w:t>í</w:t>
      </w:r>
      <w:r>
        <w:rPr>
          <w:spacing w:val="-5"/>
          <w:sz w:val="18"/>
          <w:szCs w:val="18"/>
          <w:lang w:val="es-ES_tradnl"/>
        </w:rPr>
        <w:t>culo 3.</w:t>
      </w:r>
    </w:p>
    <w:p w14:paraId="4F67A630" w14:textId="77777777" w:rsidR="00591D54" w:rsidRDefault="00591D54">
      <w:pPr>
        <w:shd w:val="clear" w:color="auto" w:fill="FFFFFF"/>
        <w:spacing w:before="216" w:line="230" w:lineRule="exact"/>
        <w:jc w:val="both"/>
      </w:pPr>
      <w:r>
        <w:rPr>
          <w:spacing w:val="-8"/>
          <w:sz w:val="18"/>
          <w:szCs w:val="18"/>
          <w:lang w:val="es-ES_tradnl"/>
        </w:rPr>
        <w:t>Siguiendo con el an</w:t>
      </w:r>
      <w:r>
        <w:rPr>
          <w:rFonts w:cs="Times New Roman"/>
          <w:spacing w:val="-8"/>
          <w:sz w:val="18"/>
          <w:szCs w:val="18"/>
          <w:lang w:val="es-ES_tradnl"/>
        </w:rPr>
        <w:t>á</w:t>
      </w:r>
      <w:r>
        <w:rPr>
          <w:spacing w:val="-8"/>
          <w:sz w:val="18"/>
          <w:szCs w:val="18"/>
          <w:lang w:val="es-ES_tradnl"/>
        </w:rPr>
        <w:t xml:space="preserve">lisis del caso </w:t>
      </w:r>
      <w:r>
        <w:rPr>
          <w:i/>
          <w:iCs/>
          <w:spacing w:val="-8"/>
          <w:sz w:val="18"/>
          <w:szCs w:val="18"/>
          <w:lang w:val="es-ES_tradnl"/>
        </w:rPr>
        <w:t>sub judice</w:t>
      </w:r>
      <w:r>
        <w:rPr>
          <w:spacing w:val="-8"/>
          <w:sz w:val="18"/>
          <w:szCs w:val="18"/>
          <w:lang w:val="es-ES_tradnl"/>
        </w:rPr>
        <w:t xml:space="preserve">, se procede a </w:t>
      </w:r>
      <w:r>
        <w:rPr>
          <w:spacing w:val="-4"/>
          <w:sz w:val="18"/>
          <w:szCs w:val="18"/>
          <w:lang w:val="es-ES_tradnl"/>
        </w:rPr>
        <w:t>resolver el tercer problema jur</w:t>
      </w:r>
      <w:r>
        <w:rPr>
          <w:rFonts w:cs="Times New Roman"/>
          <w:spacing w:val="-4"/>
          <w:sz w:val="18"/>
          <w:szCs w:val="18"/>
          <w:lang w:val="es-ES_tradnl"/>
        </w:rPr>
        <w:t>í</w:t>
      </w:r>
      <w:r>
        <w:rPr>
          <w:spacing w:val="-4"/>
          <w:sz w:val="18"/>
          <w:szCs w:val="18"/>
          <w:lang w:val="es-ES_tradnl"/>
        </w:rPr>
        <w:t>dico planteado:</w:t>
      </w:r>
    </w:p>
    <w:p w14:paraId="4F67A631" w14:textId="77777777" w:rsidR="00591D54" w:rsidRDefault="00591D54">
      <w:pPr>
        <w:shd w:val="clear" w:color="auto" w:fill="FFFFFF"/>
        <w:spacing w:before="216" w:line="230" w:lineRule="exact"/>
        <w:ind w:left="283" w:hanging="283"/>
        <w:jc w:val="both"/>
      </w:pPr>
      <w:r>
        <w:rPr>
          <w:b/>
          <w:bCs/>
          <w:sz w:val="18"/>
          <w:szCs w:val="18"/>
          <w:lang w:val="es-ES_tradnl"/>
        </w:rPr>
        <w:t>3. La Ordenanza bajo an</w:t>
      </w:r>
      <w:r>
        <w:rPr>
          <w:rFonts w:cs="Times New Roman"/>
          <w:b/>
          <w:bCs/>
          <w:sz w:val="18"/>
          <w:szCs w:val="18"/>
          <w:lang w:val="es-ES_tradnl"/>
        </w:rPr>
        <w:t>á</w:t>
      </w:r>
      <w:r>
        <w:rPr>
          <w:b/>
          <w:bCs/>
          <w:sz w:val="18"/>
          <w:szCs w:val="18"/>
          <w:lang w:val="es-ES_tradnl"/>
        </w:rPr>
        <w:t xml:space="preserve">lisis </w:t>
      </w:r>
      <w:r>
        <w:rPr>
          <w:rFonts w:cs="Times New Roman"/>
          <w:b/>
          <w:bCs/>
          <w:sz w:val="18"/>
          <w:szCs w:val="18"/>
          <w:lang w:val="es-ES_tradnl"/>
        </w:rPr>
        <w:t>¿</w:t>
      </w:r>
      <w:r>
        <w:rPr>
          <w:b/>
          <w:bCs/>
          <w:sz w:val="18"/>
          <w:szCs w:val="18"/>
          <w:lang w:val="es-ES_tradnl"/>
        </w:rPr>
        <w:t xml:space="preserve">afecta al principio </w:t>
      </w:r>
      <w:r>
        <w:rPr>
          <w:b/>
          <w:bCs/>
          <w:spacing w:val="-5"/>
          <w:sz w:val="18"/>
          <w:szCs w:val="18"/>
          <w:lang w:val="es-ES_tradnl"/>
        </w:rPr>
        <w:t>de jerarqu</w:t>
      </w:r>
      <w:r>
        <w:rPr>
          <w:rFonts w:cs="Times New Roman"/>
          <w:b/>
          <w:bCs/>
          <w:spacing w:val="-5"/>
          <w:sz w:val="18"/>
          <w:szCs w:val="18"/>
          <w:lang w:val="es-ES_tradnl"/>
        </w:rPr>
        <w:t>í</w:t>
      </w:r>
      <w:r>
        <w:rPr>
          <w:b/>
          <w:bCs/>
          <w:spacing w:val="-5"/>
          <w:sz w:val="18"/>
          <w:szCs w:val="18"/>
          <w:lang w:val="es-ES_tradnl"/>
        </w:rPr>
        <w:t>a establecido en el art</w:t>
      </w:r>
      <w:r>
        <w:rPr>
          <w:rFonts w:cs="Times New Roman"/>
          <w:b/>
          <w:bCs/>
          <w:spacing w:val="-5"/>
          <w:sz w:val="18"/>
          <w:szCs w:val="18"/>
          <w:lang w:val="es-ES_tradnl"/>
        </w:rPr>
        <w:t>í</w:t>
      </w:r>
      <w:r>
        <w:rPr>
          <w:b/>
          <w:bCs/>
          <w:spacing w:val="-5"/>
          <w:sz w:val="18"/>
          <w:szCs w:val="18"/>
          <w:lang w:val="es-ES_tradnl"/>
        </w:rPr>
        <w:t xml:space="preserve">culo 425 de la </w:t>
      </w:r>
      <w:r>
        <w:rPr>
          <w:b/>
          <w:bCs/>
          <w:spacing w:val="-8"/>
          <w:sz w:val="18"/>
          <w:szCs w:val="18"/>
          <w:lang w:val="es-ES_tradnl"/>
        </w:rPr>
        <w:t>Constituci</w:t>
      </w:r>
      <w:r>
        <w:rPr>
          <w:rFonts w:cs="Times New Roman"/>
          <w:b/>
          <w:bCs/>
          <w:spacing w:val="-8"/>
          <w:sz w:val="18"/>
          <w:szCs w:val="18"/>
          <w:lang w:val="es-ES_tradnl"/>
        </w:rPr>
        <w:t>ó</w:t>
      </w:r>
      <w:r>
        <w:rPr>
          <w:b/>
          <w:bCs/>
          <w:spacing w:val="-8"/>
          <w:sz w:val="18"/>
          <w:szCs w:val="18"/>
          <w:lang w:val="es-ES_tradnl"/>
        </w:rPr>
        <w:t xml:space="preserve">n al establecer definiciones dentro del </w:t>
      </w:r>
      <w:r>
        <w:rPr>
          <w:rFonts w:cs="Times New Roman"/>
          <w:b/>
          <w:bCs/>
          <w:spacing w:val="-9"/>
          <w:sz w:val="18"/>
          <w:szCs w:val="18"/>
          <w:lang w:val="es-ES_tradnl"/>
        </w:rPr>
        <w:t>á</w:t>
      </w:r>
      <w:r>
        <w:rPr>
          <w:b/>
          <w:bCs/>
          <w:spacing w:val="-9"/>
          <w:sz w:val="18"/>
          <w:szCs w:val="18"/>
          <w:lang w:val="es-ES_tradnl"/>
        </w:rPr>
        <w:t>mbito de comunicaci</w:t>
      </w:r>
      <w:r>
        <w:rPr>
          <w:rFonts w:cs="Times New Roman"/>
          <w:b/>
          <w:bCs/>
          <w:spacing w:val="-9"/>
          <w:sz w:val="18"/>
          <w:szCs w:val="18"/>
          <w:lang w:val="es-ES_tradnl"/>
        </w:rPr>
        <w:t>ó</w:t>
      </w:r>
      <w:r>
        <w:rPr>
          <w:b/>
          <w:bCs/>
          <w:spacing w:val="-9"/>
          <w:sz w:val="18"/>
          <w:szCs w:val="18"/>
          <w:lang w:val="es-ES_tradnl"/>
        </w:rPr>
        <w:t>n y telecomunicaci</w:t>
      </w:r>
      <w:r>
        <w:rPr>
          <w:rFonts w:cs="Times New Roman"/>
          <w:b/>
          <w:bCs/>
          <w:spacing w:val="-9"/>
          <w:sz w:val="18"/>
          <w:szCs w:val="18"/>
          <w:lang w:val="es-ES_tradnl"/>
        </w:rPr>
        <w:t>ó</w:t>
      </w:r>
      <w:r>
        <w:rPr>
          <w:b/>
          <w:bCs/>
          <w:spacing w:val="-9"/>
          <w:sz w:val="18"/>
          <w:szCs w:val="18"/>
          <w:lang w:val="es-ES_tradnl"/>
        </w:rPr>
        <w:t>n?</w:t>
      </w:r>
    </w:p>
    <w:p w14:paraId="4F67A632" w14:textId="77777777" w:rsidR="00591D54" w:rsidRDefault="00591D54">
      <w:pPr>
        <w:shd w:val="clear" w:color="auto" w:fill="FFFFFF"/>
        <w:spacing w:before="216" w:line="230" w:lineRule="exact"/>
        <w:jc w:val="both"/>
      </w:pPr>
      <w:r>
        <w:rPr>
          <w:spacing w:val="-1"/>
          <w:sz w:val="18"/>
          <w:szCs w:val="18"/>
          <w:lang w:val="es-ES_tradnl"/>
        </w:rPr>
        <w:t>Al respecto, se hace notar que el art</w:t>
      </w:r>
      <w:r>
        <w:rPr>
          <w:rFonts w:cs="Times New Roman"/>
          <w:spacing w:val="-1"/>
          <w:sz w:val="18"/>
          <w:szCs w:val="18"/>
          <w:lang w:val="es-ES_tradnl"/>
        </w:rPr>
        <w:t>í</w:t>
      </w:r>
      <w:r>
        <w:rPr>
          <w:spacing w:val="-1"/>
          <w:sz w:val="18"/>
          <w:szCs w:val="18"/>
          <w:lang w:val="es-ES_tradnl"/>
        </w:rPr>
        <w:t xml:space="preserve">culo 425 tercer </w:t>
      </w:r>
      <w:r>
        <w:rPr>
          <w:spacing w:val="-3"/>
          <w:sz w:val="18"/>
          <w:szCs w:val="18"/>
          <w:lang w:val="es-ES_tradnl"/>
        </w:rPr>
        <w:t>inciso de la Constituci</w:t>
      </w:r>
      <w:r>
        <w:rPr>
          <w:rFonts w:cs="Times New Roman"/>
          <w:spacing w:val="-3"/>
          <w:sz w:val="18"/>
          <w:szCs w:val="18"/>
          <w:lang w:val="es-ES_tradnl"/>
        </w:rPr>
        <w:t>ó</w:t>
      </w:r>
      <w:r>
        <w:rPr>
          <w:spacing w:val="-3"/>
          <w:sz w:val="18"/>
          <w:szCs w:val="18"/>
          <w:lang w:val="es-ES_tradnl"/>
        </w:rPr>
        <w:t>n de la Rep</w:t>
      </w:r>
      <w:r>
        <w:rPr>
          <w:rFonts w:cs="Times New Roman"/>
          <w:spacing w:val="-3"/>
          <w:sz w:val="18"/>
          <w:szCs w:val="18"/>
          <w:lang w:val="es-ES_tradnl"/>
        </w:rPr>
        <w:t>ú</w:t>
      </w:r>
      <w:r>
        <w:rPr>
          <w:spacing w:val="-3"/>
          <w:sz w:val="18"/>
          <w:szCs w:val="18"/>
          <w:lang w:val="es-ES_tradnl"/>
        </w:rPr>
        <w:t>blica del Ecuador se</w:t>
      </w:r>
      <w:r>
        <w:rPr>
          <w:rFonts w:cs="Times New Roman"/>
          <w:spacing w:val="-3"/>
          <w:sz w:val="18"/>
          <w:szCs w:val="18"/>
          <w:lang w:val="es-ES_tradnl"/>
        </w:rPr>
        <w:t>ñ</w:t>
      </w:r>
      <w:r>
        <w:rPr>
          <w:spacing w:val="-3"/>
          <w:sz w:val="18"/>
          <w:szCs w:val="18"/>
          <w:lang w:val="es-ES_tradnl"/>
        </w:rPr>
        <w:t xml:space="preserve">ala que: </w:t>
      </w:r>
      <w:r>
        <w:rPr>
          <w:rFonts w:cs="Times New Roman"/>
          <w:spacing w:val="-3"/>
          <w:sz w:val="18"/>
          <w:szCs w:val="18"/>
          <w:lang w:val="es-ES_tradnl"/>
        </w:rPr>
        <w:t>“</w:t>
      </w:r>
      <w:r>
        <w:rPr>
          <w:spacing w:val="-3"/>
          <w:sz w:val="18"/>
          <w:szCs w:val="18"/>
          <w:lang w:val="es-ES_tradnl"/>
        </w:rPr>
        <w:t>La jerarqu</w:t>
      </w:r>
      <w:r>
        <w:rPr>
          <w:rFonts w:cs="Times New Roman"/>
          <w:spacing w:val="-3"/>
          <w:sz w:val="18"/>
          <w:szCs w:val="18"/>
          <w:lang w:val="es-ES_tradnl"/>
        </w:rPr>
        <w:t>í</w:t>
      </w:r>
      <w:r>
        <w:rPr>
          <w:spacing w:val="-3"/>
          <w:sz w:val="18"/>
          <w:szCs w:val="18"/>
          <w:lang w:val="es-ES_tradnl"/>
        </w:rPr>
        <w:t>a normativa considerar</w:t>
      </w:r>
      <w:r>
        <w:rPr>
          <w:rFonts w:cs="Times New Roman"/>
          <w:spacing w:val="-3"/>
          <w:sz w:val="18"/>
          <w:szCs w:val="18"/>
          <w:lang w:val="es-ES_tradnl"/>
        </w:rPr>
        <w:t>á</w:t>
      </w:r>
      <w:r>
        <w:rPr>
          <w:spacing w:val="-3"/>
          <w:sz w:val="18"/>
          <w:szCs w:val="18"/>
          <w:lang w:val="es-ES_tradnl"/>
        </w:rPr>
        <w:t xml:space="preserve">, en lo </w:t>
      </w:r>
      <w:r>
        <w:rPr>
          <w:spacing w:val="-5"/>
          <w:sz w:val="18"/>
          <w:szCs w:val="18"/>
          <w:lang w:val="es-ES_tradnl"/>
        </w:rPr>
        <w:t>que corresponda, el principio de competencia</w:t>
      </w:r>
      <w:r>
        <w:rPr>
          <w:rFonts w:cs="Times New Roman"/>
          <w:spacing w:val="-5"/>
          <w:sz w:val="18"/>
          <w:szCs w:val="18"/>
          <w:lang w:val="es-ES_tradnl"/>
        </w:rPr>
        <w:t>”</w:t>
      </w:r>
      <w:r>
        <w:rPr>
          <w:spacing w:val="-5"/>
          <w:sz w:val="18"/>
          <w:szCs w:val="18"/>
          <w:lang w:val="es-ES_tradnl"/>
        </w:rPr>
        <w:t xml:space="preserve"> y respecto </w:t>
      </w:r>
      <w:r>
        <w:rPr>
          <w:spacing w:val="-6"/>
          <w:sz w:val="18"/>
          <w:szCs w:val="18"/>
          <w:lang w:val="es-ES_tradnl"/>
        </w:rPr>
        <w:t xml:space="preserve">a la materia de comunicaciones y telecomunicaciones, la </w:t>
      </w:r>
      <w:r>
        <w:rPr>
          <w:spacing w:val="-5"/>
          <w:sz w:val="18"/>
          <w:szCs w:val="18"/>
          <w:lang w:val="es-ES_tradnl"/>
        </w:rPr>
        <w:t>misma Constituci</w:t>
      </w:r>
      <w:r>
        <w:rPr>
          <w:rFonts w:cs="Times New Roman"/>
          <w:spacing w:val="-5"/>
          <w:sz w:val="18"/>
          <w:szCs w:val="18"/>
          <w:lang w:val="es-ES_tradnl"/>
        </w:rPr>
        <w:t>ó</w:t>
      </w:r>
      <w:r>
        <w:rPr>
          <w:spacing w:val="-5"/>
          <w:sz w:val="18"/>
          <w:szCs w:val="18"/>
          <w:lang w:val="es-ES_tradnl"/>
        </w:rPr>
        <w:t>n establece en el art</w:t>
      </w:r>
      <w:r>
        <w:rPr>
          <w:rFonts w:cs="Times New Roman"/>
          <w:spacing w:val="-5"/>
          <w:sz w:val="18"/>
          <w:szCs w:val="18"/>
          <w:lang w:val="es-ES_tradnl"/>
        </w:rPr>
        <w:t>í</w:t>
      </w:r>
      <w:r>
        <w:rPr>
          <w:spacing w:val="-5"/>
          <w:sz w:val="18"/>
          <w:szCs w:val="18"/>
          <w:lang w:val="es-ES_tradnl"/>
        </w:rPr>
        <w:t xml:space="preserve">culo 261 numeral </w:t>
      </w:r>
      <w:r>
        <w:rPr>
          <w:spacing w:val="-7"/>
          <w:sz w:val="18"/>
          <w:szCs w:val="18"/>
          <w:lang w:val="es-ES_tradnl"/>
        </w:rPr>
        <w:t xml:space="preserve">10 que: </w:t>
      </w:r>
      <w:r>
        <w:rPr>
          <w:rFonts w:cs="Times New Roman"/>
          <w:spacing w:val="-7"/>
          <w:sz w:val="18"/>
          <w:szCs w:val="18"/>
          <w:lang w:val="es-ES_tradnl"/>
        </w:rPr>
        <w:t>“</w:t>
      </w:r>
      <w:r>
        <w:rPr>
          <w:spacing w:val="-7"/>
          <w:sz w:val="18"/>
          <w:szCs w:val="18"/>
          <w:lang w:val="es-ES_tradnl"/>
        </w:rPr>
        <w:t>El Estado central tendr</w:t>
      </w:r>
      <w:r>
        <w:rPr>
          <w:rFonts w:cs="Times New Roman"/>
          <w:spacing w:val="-7"/>
          <w:sz w:val="18"/>
          <w:szCs w:val="18"/>
          <w:lang w:val="es-ES_tradnl"/>
        </w:rPr>
        <w:t>á</w:t>
      </w:r>
      <w:r>
        <w:rPr>
          <w:spacing w:val="-7"/>
          <w:sz w:val="18"/>
          <w:szCs w:val="18"/>
          <w:lang w:val="es-ES_tradnl"/>
        </w:rPr>
        <w:t xml:space="preserve"> competencias exclusivas </w:t>
      </w:r>
      <w:r>
        <w:rPr>
          <w:spacing w:val="-6"/>
          <w:sz w:val="18"/>
          <w:szCs w:val="18"/>
          <w:lang w:val="es-ES_tradnl"/>
        </w:rPr>
        <w:t>sobre: (</w:t>
      </w:r>
      <w:r>
        <w:rPr>
          <w:rFonts w:cs="Times New Roman"/>
          <w:spacing w:val="-6"/>
          <w:sz w:val="18"/>
          <w:szCs w:val="18"/>
          <w:lang w:val="es-ES_tradnl"/>
        </w:rPr>
        <w:t>…</w:t>
      </w:r>
      <w:r>
        <w:rPr>
          <w:spacing w:val="-6"/>
          <w:sz w:val="18"/>
          <w:szCs w:val="18"/>
          <w:lang w:val="es-ES_tradnl"/>
        </w:rPr>
        <w:t>) El espectro radioel</w:t>
      </w:r>
      <w:r>
        <w:rPr>
          <w:rFonts w:cs="Times New Roman"/>
          <w:spacing w:val="-6"/>
          <w:sz w:val="18"/>
          <w:szCs w:val="18"/>
          <w:lang w:val="es-ES_tradnl"/>
        </w:rPr>
        <w:t>é</w:t>
      </w:r>
      <w:r>
        <w:rPr>
          <w:spacing w:val="-6"/>
          <w:sz w:val="18"/>
          <w:szCs w:val="18"/>
          <w:lang w:val="es-ES_tradnl"/>
        </w:rPr>
        <w:t>ctrico y el r</w:t>
      </w:r>
      <w:r>
        <w:rPr>
          <w:rFonts w:cs="Times New Roman"/>
          <w:spacing w:val="-6"/>
          <w:sz w:val="18"/>
          <w:szCs w:val="18"/>
          <w:lang w:val="es-ES_tradnl"/>
        </w:rPr>
        <w:t>é</w:t>
      </w:r>
      <w:r>
        <w:rPr>
          <w:spacing w:val="-6"/>
          <w:sz w:val="18"/>
          <w:szCs w:val="18"/>
          <w:lang w:val="es-ES_tradnl"/>
        </w:rPr>
        <w:t xml:space="preserve">gimen general </w:t>
      </w:r>
      <w:r>
        <w:rPr>
          <w:spacing w:val="-5"/>
          <w:sz w:val="18"/>
          <w:szCs w:val="18"/>
          <w:lang w:val="es-ES_tradnl"/>
        </w:rPr>
        <w:t xml:space="preserve">de comunicaciones y telecomunicaciones; puertos y </w:t>
      </w:r>
      <w:r>
        <w:rPr>
          <w:sz w:val="18"/>
          <w:szCs w:val="18"/>
          <w:lang w:val="es-ES_tradnl"/>
        </w:rPr>
        <w:t>aeropuertos</w:t>
      </w:r>
      <w:r>
        <w:rPr>
          <w:rFonts w:cs="Times New Roman"/>
          <w:sz w:val="18"/>
          <w:szCs w:val="18"/>
          <w:lang w:val="es-ES_tradnl"/>
        </w:rPr>
        <w:t>”</w:t>
      </w:r>
      <w:r>
        <w:rPr>
          <w:sz w:val="18"/>
          <w:szCs w:val="18"/>
          <w:lang w:val="es-ES_tradnl"/>
        </w:rPr>
        <w:t>.</w:t>
      </w:r>
    </w:p>
    <w:p w14:paraId="4F67A633" w14:textId="77777777" w:rsidR="00591D54" w:rsidRDefault="00591D54">
      <w:pPr>
        <w:shd w:val="clear" w:color="auto" w:fill="FFFFFF"/>
        <w:spacing w:before="216" w:line="230" w:lineRule="exact"/>
        <w:jc w:val="both"/>
      </w:pPr>
      <w:r>
        <w:rPr>
          <w:spacing w:val="-2"/>
          <w:sz w:val="18"/>
          <w:szCs w:val="18"/>
          <w:lang w:val="es-ES_tradnl"/>
        </w:rPr>
        <w:t xml:space="preserve">La ordenanza municipal materia de estudio, establece </w:t>
      </w:r>
      <w:r>
        <w:rPr>
          <w:spacing w:val="-4"/>
          <w:sz w:val="18"/>
          <w:szCs w:val="18"/>
          <w:lang w:val="es-ES_tradnl"/>
        </w:rPr>
        <w:t>en su art</w:t>
      </w:r>
      <w:r>
        <w:rPr>
          <w:rFonts w:cs="Times New Roman"/>
          <w:spacing w:val="-4"/>
          <w:sz w:val="18"/>
          <w:szCs w:val="18"/>
          <w:lang w:val="es-ES_tradnl"/>
        </w:rPr>
        <w:t>í</w:t>
      </w:r>
      <w:r>
        <w:rPr>
          <w:spacing w:val="-4"/>
          <w:sz w:val="18"/>
          <w:szCs w:val="18"/>
          <w:lang w:val="es-ES_tradnl"/>
        </w:rPr>
        <w:t>culo 2, las definiciones de los t</w:t>
      </w:r>
      <w:r>
        <w:rPr>
          <w:rFonts w:cs="Times New Roman"/>
          <w:spacing w:val="-4"/>
          <w:sz w:val="18"/>
          <w:szCs w:val="18"/>
          <w:lang w:val="es-ES_tradnl"/>
        </w:rPr>
        <w:t>é</w:t>
      </w:r>
      <w:r>
        <w:rPr>
          <w:spacing w:val="-4"/>
          <w:sz w:val="18"/>
          <w:szCs w:val="18"/>
          <w:lang w:val="es-ES_tradnl"/>
        </w:rPr>
        <w:t xml:space="preserve">rminos en ella </w:t>
      </w:r>
      <w:r>
        <w:rPr>
          <w:sz w:val="18"/>
          <w:szCs w:val="18"/>
          <w:lang w:val="es-ES_tradnl"/>
        </w:rPr>
        <w:t>empleados.</w:t>
      </w:r>
    </w:p>
    <w:p w14:paraId="4F67A634" w14:textId="77777777" w:rsidR="00591D54" w:rsidRDefault="00591D54">
      <w:pPr>
        <w:shd w:val="clear" w:color="auto" w:fill="FFFFFF"/>
        <w:spacing w:before="216" w:line="230" w:lineRule="exact"/>
        <w:jc w:val="both"/>
      </w:pPr>
      <w:r>
        <w:rPr>
          <w:spacing w:val="-6"/>
          <w:sz w:val="18"/>
          <w:szCs w:val="18"/>
          <w:lang w:val="es-ES_tradnl"/>
        </w:rPr>
        <w:t xml:space="preserve">Respecto de este tema, la Corte Constitucional en las </w:t>
      </w:r>
      <w:r>
        <w:rPr>
          <w:spacing w:val="-3"/>
          <w:sz w:val="18"/>
          <w:szCs w:val="18"/>
          <w:lang w:val="es-ES_tradnl"/>
        </w:rPr>
        <w:t>sentencias Nros. 008-15-SIN-CC y 007-15-SIN-CC, estableci</w:t>
      </w:r>
      <w:r>
        <w:rPr>
          <w:rFonts w:cs="Times New Roman"/>
          <w:spacing w:val="-3"/>
          <w:sz w:val="18"/>
          <w:szCs w:val="18"/>
          <w:lang w:val="es-ES_tradnl"/>
        </w:rPr>
        <w:t>ó</w:t>
      </w:r>
      <w:r>
        <w:rPr>
          <w:spacing w:val="-3"/>
          <w:sz w:val="18"/>
          <w:szCs w:val="18"/>
          <w:lang w:val="es-ES_tradnl"/>
        </w:rPr>
        <w:t xml:space="preserve"> que: </w:t>
      </w:r>
      <w:r>
        <w:rPr>
          <w:rFonts w:cs="Times New Roman"/>
          <w:spacing w:val="-3"/>
          <w:sz w:val="18"/>
          <w:szCs w:val="18"/>
          <w:lang w:val="es-ES_tradnl"/>
        </w:rPr>
        <w:t>“</w:t>
      </w:r>
      <w:r>
        <w:rPr>
          <w:spacing w:val="-3"/>
          <w:sz w:val="18"/>
          <w:szCs w:val="18"/>
          <w:lang w:val="es-ES_tradnl"/>
        </w:rPr>
        <w:t>acorde a lo establecido en el art</w:t>
      </w:r>
      <w:r>
        <w:rPr>
          <w:rFonts w:cs="Times New Roman"/>
          <w:spacing w:val="-3"/>
          <w:sz w:val="18"/>
          <w:szCs w:val="18"/>
          <w:lang w:val="es-ES_tradnl"/>
        </w:rPr>
        <w:t>í</w:t>
      </w:r>
      <w:r>
        <w:rPr>
          <w:spacing w:val="-3"/>
          <w:sz w:val="18"/>
          <w:szCs w:val="18"/>
          <w:lang w:val="es-ES_tradnl"/>
        </w:rPr>
        <w:t xml:space="preserve">culo 1 </w:t>
      </w:r>
      <w:r>
        <w:rPr>
          <w:spacing w:val="-7"/>
          <w:sz w:val="18"/>
          <w:szCs w:val="18"/>
          <w:lang w:val="es-ES_tradnl"/>
        </w:rPr>
        <w:t>de la Ley Especial de Telecomunicaciones, los t</w:t>
      </w:r>
      <w:r>
        <w:rPr>
          <w:rFonts w:cs="Times New Roman"/>
          <w:spacing w:val="-7"/>
          <w:sz w:val="18"/>
          <w:szCs w:val="18"/>
          <w:lang w:val="es-ES_tradnl"/>
        </w:rPr>
        <w:t>é</w:t>
      </w:r>
      <w:r>
        <w:rPr>
          <w:spacing w:val="-7"/>
          <w:sz w:val="18"/>
          <w:szCs w:val="18"/>
          <w:lang w:val="es-ES_tradnl"/>
        </w:rPr>
        <w:t xml:space="preserve">rminos a </w:t>
      </w:r>
      <w:r>
        <w:rPr>
          <w:spacing w:val="-11"/>
          <w:sz w:val="18"/>
          <w:szCs w:val="18"/>
          <w:lang w:val="es-ES_tradnl"/>
        </w:rPr>
        <w:t>utilizarse, as</w:t>
      </w:r>
      <w:r>
        <w:rPr>
          <w:rFonts w:cs="Times New Roman"/>
          <w:spacing w:val="-11"/>
          <w:sz w:val="18"/>
          <w:szCs w:val="18"/>
          <w:lang w:val="es-ES_tradnl"/>
        </w:rPr>
        <w:t>í</w:t>
      </w:r>
      <w:r>
        <w:rPr>
          <w:spacing w:val="-11"/>
          <w:sz w:val="18"/>
          <w:szCs w:val="18"/>
          <w:lang w:val="es-ES_tradnl"/>
        </w:rPr>
        <w:t xml:space="preserve"> como sus definiciones, ser</w:t>
      </w:r>
      <w:r>
        <w:rPr>
          <w:rFonts w:cs="Times New Roman"/>
          <w:spacing w:val="-11"/>
          <w:sz w:val="18"/>
          <w:szCs w:val="18"/>
          <w:lang w:val="es-ES_tradnl"/>
        </w:rPr>
        <w:t>á</w:t>
      </w:r>
      <w:r>
        <w:rPr>
          <w:spacing w:val="-11"/>
          <w:sz w:val="18"/>
          <w:szCs w:val="18"/>
          <w:lang w:val="es-ES_tradnl"/>
        </w:rPr>
        <w:t xml:space="preserve">n los constantes en </w:t>
      </w:r>
      <w:r>
        <w:rPr>
          <w:spacing w:val="-6"/>
          <w:sz w:val="18"/>
          <w:szCs w:val="18"/>
          <w:lang w:val="es-ES_tradnl"/>
        </w:rPr>
        <w:t xml:space="preserve">la Ley Especial de Telecomunicaciones, y a falta de ellos, </w:t>
      </w:r>
      <w:r>
        <w:rPr>
          <w:spacing w:val="-7"/>
          <w:sz w:val="18"/>
          <w:szCs w:val="18"/>
          <w:lang w:val="es-ES_tradnl"/>
        </w:rPr>
        <w:t>los t</w:t>
      </w:r>
      <w:r>
        <w:rPr>
          <w:rFonts w:cs="Times New Roman"/>
          <w:spacing w:val="-7"/>
          <w:sz w:val="18"/>
          <w:szCs w:val="18"/>
          <w:lang w:val="es-ES_tradnl"/>
        </w:rPr>
        <w:t>é</w:t>
      </w:r>
      <w:r>
        <w:rPr>
          <w:spacing w:val="-7"/>
          <w:sz w:val="18"/>
          <w:szCs w:val="18"/>
          <w:lang w:val="es-ES_tradnl"/>
        </w:rPr>
        <w:t>rminos t</w:t>
      </w:r>
      <w:r>
        <w:rPr>
          <w:rFonts w:cs="Times New Roman"/>
          <w:spacing w:val="-7"/>
          <w:sz w:val="18"/>
          <w:szCs w:val="18"/>
          <w:lang w:val="es-ES_tradnl"/>
        </w:rPr>
        <w:t>é</w:t>
      </w:r>
      <w:r>
        <w:rPr>
          <w:spacing w:val="-7"/>
          <w:sz w:val="18"/>
          <w:szCs w:val="18"/>
          <w:lang w:val="es-ES_tradnl"/>
        </w:rPr>
        <w:t>cnicos de telecomunicaciones no definidos en dicha ley, se utilizar</w:t>
      </w:r>
      <w:r>
        <w:rPr>
          <w:rFonts w:cs="Times New Roman"/>
          <w:spacing w:val="-7"/>
          <w:sz w:val="18"/>
          <w:szCs w:val="18"/>
          <w:lang w:val="es-ES_tradnl"/>
        </w:rPr>
        <w:t>á</w:t>
      </w:r>
      <w:r>
        <w:rPr>
          <w:spacing w:val="-7"/>
          <w:sz w:val="18"/>
          <w:szCs w:val="18"/>
          <w:lang w:val="es-ES_tradnl"/>
        </w:rPr>
        <w:t xml:space="preserve">n los significados establecidos por </w:t>
      </w:r>
      <w:r>
        <w:rPr>
          <w:spacing w:val="-4"/>
          <w:sz w:val="18"/>
          <w:szCs w:val="18"/>
          <w:lang w:val="es-ES_tradnl"/>
        </w:rPr>
        <w:t>la Uni</w:t>
      </w:r>
      <w:r>
        <w:rPr>
          <w:rFonts w:cs="Times New Roman"/>
          <w:spacing w:val="-4"/>
          <w:sz w:val="18"/>
          <w:szCs w:val="18"/>
          <w:lang w:val="es-ES_tradnl"/>
        </w:rPr>
        <w:t>ó</w:t>
      </w:r>
      <w:r>
        <w:rPr>
          <w:spacing w:val="-4"/>
          <w:sz w:val="18"/>
          <w:szCs w:val="18"/>
          <w:lang w:val="es-ES_tradnl"/>
        </w:rPr>
        <w:t xml:space="preserve">n Internacional de Telecomunicaciones, para no </w:t>
      </w:r>
      <w:r>
        <w:rPr>
          <w:sz w:val="18"/>
          <w:szCs w:val="18"/>
          <w:lang w:val="es-ES_tradnl"/>
        </w:rPr>
        <w:t>incurrir en contradicciones (...)</w:t>
      </w:r>
      <w:r>
        <w:rPr>
          <w:rFonts w:cs="Times New Roman"/>
          <w:sz w:val="18"/>
          <w:szCs w:val="18"/>
          <w:lang w:val="es-ES_tradnl"/>
        </w:rPr>
        <w:t>”</w:t>
      </w:r>
      <w:r>
        <w:rPr>
          <w:sz w:val="18"/>
          <w:szCs w:val="18"/>
          <w:lang w:val="es-ES_tradnl"/>
        </w:rPr>
        <w:t>.</w:t>
      </w:r>
    </w:p>
    <w:p w14:paraId="4F67A635" w14:textId="77777777" w:rsidR="00591D54" w:rsidRDefault="00591D54">
      <w:pPr>
        <w:shd w:val="clear" w:color="auto" w:fill="FFFFFF"/>
        <w:spacing w:before="216" w:line="230" w:lineRule="exact"/>
        <w:jc w:val="both"/>
      </w:pPr>
      <w:r>
        <w:rPr>
          <w:spacing w:val="-4"/>
          <w:sz w:val="18"/>
          <w:szCs w:val="18"/>
          <w:lang w:val="es-ES_tradnl"/>
        </w:rPr>
        <w:t>Situaci</w:t>
      </w:r>
      <w:r>
        <w:rPr>
          <w:rFonts w:cs="Times New Roman"/>
          <w:spacing w:val="-4"/>
          <w:sz w:val="18"/>
          <w:szCs w:val="18"/>
          <w:lang w:val="es-ES_tradnl"/>
        </w:rPr>
        <w:t>ó</w:t>
      </w:r>
      <w:r>
        <w:rPr>
          <w:spacing w:val="-4"/>
          <w:sz w:val="18"/>
          <w:szCs w:val="18"/>
          <w:lang w:val="es-ES_tradnl"/>
        </w:rPr>
        <w:t xml:space="preserve">n que deja ver que el GAD municipal de Chone </w:t>
      </w:r>
      <w:r>
        <w:rPr>
          <w:spacing w:val="-1"/>
          <w:sz w:val="18"/>
          <w:szCs w:val="18"/>
          <w:lang w:val="es-ES_tradnl"/>
        </w:rPr>
        <w:t>tambi</w:t>
      </w:r>
      <w:r>
        <w:rPr>
          <w:rFonts w:cs="Times New Roman"/>
          <w:spacing w:val="-1"/>
          <w:sz w:val="18"/>
          <w:szCs w:val="18"/>
          <w:lang w:val="es-ES_tradnl"/>
        </w:rPr>
        <w:t>é</w:t>
      </w:r>
      <w:r>
        <w:rPr>
          <w:spacing w:val="-1"/>
          <w:sz w:val="18"/>
          <w:szCs w:val="18"/>
          <w:lang w:val="es-ES_tradnl"/>
        </w:rPr>
        <w:t xml:space="preserve">n extralimita sus competencias respecto de </w:t>
      </w:r>
      <w:r>
        <w:rPr>
          <w:spacing w:val="-8"/>
          <w:sz w:val="18"/>
          <w:szCs w:val="18"/>
          <w:lang w:val="es-ES_tradnl"/>
        </w:rPr>
        <w:t>establecer nuevas definiciones, acarreando una afectaci</w:t>
      </w:r>
      <w:r>
        <w:rPr>
          <w:rFonts w:cs="Times New Roman"/>
          <w:spacing w:val="-8"/>
          <w:sz w:val="18"/>
          <w:szCs w:val="18"/>
          <w:lang w:val="es-ES_tradnl"/>
        </w:rPr>
        <w:t>ó</w:t>
      </w:r>
      <w:r>
        <w:rPr>
          <w:spacing w:val="-8"/>
          <w:sz w:val="18"/>
          <w:szCs w:val="18"/>
          <w:lang w:val="es-ES_tradnl"/>
        </w:rPr>
        <w:t xml:space="preserve">n </w:t>
      </w:r>
      <w:r>
        <w:rPr>
          <w:sz w:val="18"/>
          <w:szCs w:val="18"/>
          <w:lang w:val="es-ES_tradnl"/>
        </w:rPr>
        <w:t>a normas jer</w:t>
      </w:r>
      <w:r>
        <w:rPr>
          <w:rFonts w:cs="Times New Roman"/>
          <w:sz w:val="18"/>
          <w:szCs w:val="18"/>
          <w:lang w:val="es-ES_tradnl"/>
        </w:rPr>
        <w:t>á</w:t>
      </w:r>
      <w:r>
        <w:rPr>
          <w:sz w:val="18"/>
          <w:szCs w:val="18"/>
          <w:lang w:val="es-ES_tradnl"/>
        </w:rPr>
        <w:t>rquicamente superiores.</w:t>
      </w:r>
    </w:p>
    <w:p w14:paraId="4F67A636" w14:textId="77777777" w:rsidR="00591D54" w:rsidRDefault="00591D54">
      <w:pPr>
        <w:shd w:val="clear" w:color="auto" w:fill="FFFFFF"/>
        <w:spacing w:before="216" w:line="230" w:lineRule="exact"/>
        <w:jc w:val="both"/>
      </w:pPr>
      <w:r>
        <w:rPr>
          <w:spacing w:val="-8"/>
          <w:sz w:val="18"/>
          <w:szCs w:val="18"/>
          <w:lang w:val="es-ES_tradnl"/>
        </w:rPr>
        <w:t>En el caso sujeto de an</w:t>
      </w:r>
      <w:r>
        <w:rPr>
          <w:rFonts w:cs="Times New Roman"/>
          <w:spacing w:val="-8"/>
          <w:sz w:val="18"/>
          <w:szCs w:val="18"/>
          <w:lang w:val="es-ES_tradnl"/>
        </w:rPr>
        <w:t>á</w:t>
      </w:r>
      <w:r>
        <w:rPr>
          <w:spacing w:val="-8"/>
          <w:sz w:val="18"/>
          <w:szCs w:val="18"/>
          <w:lang w:val="es-ES_tradnl"/>
        </w:rPr>
        <w:t>lisis, se determina que el art</w:t>
      </w:r>
      <w:r>
        <w:rPr>
          <w:rFonts w:cs="Times New Roman"/>
          <w:spacing w:val="-8"/>
          <w:sz w:val="18"/>
          <w:szCs w:val="18"/>
          <w:lang w:val="es-ES_tradnl"/>
        </w:rPr>
        <w:t>í</w:t>
      </w:r>
      <w:r>
        <w:rPr>
          <w:spacing w:val="-8"/>
          <w:sz w:val="18"/>
          <w:szCs w:val="18"/>
          <w:lang w:val="es-ES_tradnl"/>
        </w:rPr>
        <w:t xml:space="preserve">culo 2 refiere definiciones en materia de telecomunicaciones, por </w:t>
      </w:r>
      <w:r>
        <w:rPr>
          <w:spacing w:val="-2"/>
          <w:sz w:val="18"/>
          <w:szCs w:val="18"/>
          <w:lang w:val="es-ES_tradnl"/>
        </w:rPr>
        <w:t>lo que contraviene el principio de jerarqu</w:t>
      </w:r>
      <w:r>
        <w:rPr>
          <w:rFonts w:cs="Times New Roman"/>
          <w:spacing w:val="-2"/>
          <w:sz w:val="18"/>
          <w:szCs w:val="18"/>
          <w:lang w:val="es-ES_tradnl"/>
        </w:rPr>
        <w:t>í</w:t>
      </w:r>
      <w:r>
        <w:rPr>
          <w:spacing w:val="-2"/>
          <w:sz w:val="18"/>
          <w:szCs w:val="18"/>
          <w:lang w:val="es-ES_tradnl"/>
        </w:rPr>
        <w:t xml:space="preserve">a establecido </w:t>
      </w:r>
      <w:r>
        <w:rPr>
          <w:spacing w:val="-3"/>
          <w:sz w:val="18"/>
          <w:szCs w:val="18"/>
          <w:lang w:val="es-ES_tradnl"/>
        </w:rPr>
        <w:t>en el art</w:t>
      </w:r>
      <w:r>
        <w:rPr>
          <w:rFonts w:cs="Times New Roman"/>
          <w:spacing w:val="-3"/>
          <w:sz w:val="18"/>
          <w:szCs w:val="18"/>
          <w:lang w:val="es-ES_tradnl"/>
        </w:rPr>
        <w:t>í</w:t>
      </w:r>
      <w:r>
        <w:rPr>
          <w:spacing w:val="-3"/>
          <w:sz w:val="18"/>
          <w:szCs w:val="18"/>
          <w:lang w:val="es-ES_tradnl"/>
        </w:rPr>
        <w:t>culo 425 numeral 10 de la Constituci</w:t>
      </w:r>
      <w:r>
        <w:rPr>
          <w:rFonts w:cs="Times New Roman"/>
          <w:spacing w:val="-3"/>
          <w:sz w:val="18"/>
          <w:szCs w:val="18"/>
          <w:lang w:val="es-ES_tradnl"/>
        </w:rPr>
        <w:t>ó</w:t>
      </w:r>
      <w:r>
        <w:rPr>
          <w:spacing w:val="-3"/>
          <w:sz w:val="18"/>
          <w:szCs w:val="18"/>
          <w:lang w:val="es-ES_tradnl"/>
        </w:rPr>
        <w:t xml:space="preserve">n de la </w:t>
      </w:r>
      <w:r>
        <w:rPr>
          <w:spacing w:val="-4"/>
          <w:sz w:val="18"/>
          <w:szCs w:val="18"/>
          <w:lang w:val="es-ES_tradnl"/>
        </w:rPr>
        <w:t>Rep</w:t>
      </w:r>
      <w:r>
        <w:rPr>
          <w:rFonts w:cs="Times New Roman"/>
          <w:spacing w:val="-4"/>
          <w:sz w:val="18"/>
          <w:szCs w:val="18"/>
          <w:lang w:val="es-ES_tradnl"/>
        </w:rPr>
        <w:t>ú</w:t>
      </w:r>
      <w:r>
        <w:rPr>
          <w:spacing w:val="-4"/>
          <w:sz w:val="18"/>
          <w:szCs w:val="18"/>
          <w:lang w:val="es-ES_tradnl"/>
        </w:rPr>
        <w:t xml:space="preserve">blica, por haber establecido definiciones que le </w:t>
      </w:r>
      <w:r>
        <w:rPr>
          <w:spacing w:val="-6"/>
          <w:sz w:val="18"/>
          <w:szCs w:val="18"/>
          <w:lang w:val="es-ES_tradnl"/>
        </w:rPr>
        <w:t>corresponden jer</w:t>
      </w:r>
      <w:r>
        <w:rPr>
          <w:rFonts w:cs="Times New Roman"/>
          <w:spacing w:val="-6"/>
          <w:sz w:val="18"/>
          <w:szCs w:val="18"/>
          <w:lang w:val="es-ES_tradnl"/>
        </w:rPr>
        <w:t>á</w:t>
      </w:r>
      <w:r>
        <w:rPr>
          <w:spacing w:val="-6"/>
          <w:sz w:val="18"/>
          <w:szCs w:val="18"/>
          <w:lang w:val="es-ES_tradnl"/>
        </w:rPr>
        <w:t>rquicamente a una ley superior.</w:t>
      </w:r>
    </w:p>
    <w:p w14:paraId="4F67A637" w14:textId="77777777" w:rsidR="00591D54" w:rsidRDefault="00591D54">
      <w:pPr>
        <w:shd w:val="clear" w:color="auto" w:fill="FFFFFF"/>
        <w:spacing w:before="216" w:line="230" w:lineRule="exact"/>
        <w:jc w:val="both"/>
      </w:pPr>
      <w:r>
        <w:rPr>
          <w:spacing w:val="-5"/>
          <w:sz w:val="18"/>
          <w:szCs w:val="18"/>
          <w:lang w:val="es-ES_tradnl"/>
        </w:rPr>
        <w:t>Por ello, con fundamento en el art</w:t>
      </w:r>
      <w:r>
        <w:rPr>
          <w:rFonts w:cs="Times New Roman"/>
          <w:spacing w:val="-5"/>
          <w:sz w:val="18"/>
          <w:szCs w:val="18"/>
          <w:lang w:val="es-ES_tradnl"/>
        </w:rPr>
        <w:t>í</w:t>
      </w:r>
      <w:r>
        <w:rPr>
          <w:spacing w:val="-5"/>
          <w:sz w:val="18"/>
          <w:szCs w:val="18"/>
          <w:lang w:val="es-ES_tradnl"/>
        </w:rPr>
        <w:t xml:space="preserve">culo 436 numerales 1, </w:t>
      </w:r>
      <w:r>
        <w:rPr>
          <w:spacing w:val="-6"/>
          <w:sz w:val="18"/>
          <w:szCs w:val="18"/>
          <w:lang w:val="es-ES_tradnl"/>
        </w:rPr>
        <w:t>2 y 3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en concordancia </w:t>
      </w:r>
      <w:r>
        <w:rPr>
          <w:spacing w:val="-8"/>
          <w:sz w:val="18"/>
          <w:szCs w:val="18"/>
          <w:lang w:val="es-ES_tradnl"/>
        </w:rPr>
        <w:t>con el art</w:t>
      </w:r>
      <w:r>
        <w:rPr>
          <w:rFonts w:cs="Times New Roman"/>
          <w:spacing w:val="-8"/>
          <w:sz w:val="18"/>
          <w:szCs w:val="18"/>
          <w:lang w:val="es-ES_tradnl"/>
        </w:rPr>
        <w:t>í</w:t>
      </w:r>
      <w:r>
        <w:rPr>
          <w:spacing w:val="-8"/>
          <w:sz w:val="18"/>
          <w:szCs w:val="18"/>
          <w:lang w:val="es-ES_tradnl"/>
        </w:rPr>
        <w:t>culo 76 numerales 4, 5 y 6 de la Ley Org</w:t>
      </w:r>
      <w:r>
        <w:rPr>
          <w:rFonts w:cs="Times New Roman"/>
          <w:spacing w:val="-8"/>
          <w:sz w:val="18"/>
          <w:szCs w:val="18"/>
          <w:lang w:val="es-ES_tradnl"/>
        </w:rPr>
        <w:t>á</w:t>
      </w:r>
      <w:r>
        <w:rPr>
          <w:spacing w:val="-8"/>
          <w:sz w:val="18"/>
          <w:szCs w:val="18"/>
          <w:lang w:val="es-ES_tradnl"/>
        </w:rPr>
        <w:t xml:space="preserve">nica de </w:t>
      </w:r>
      <w:r>
        <w:rPr>
          <w:spacing w:val="-5"/>
          <w:sz w:val="18"/>
          <w:szCs w:val="18"/>
          <w:lang w:val="es-ES_tradnl"/>
        </w:rPr>
        <w:t>Garant</w:t>
      </w:r>
      <w:r>
        <w:rPr>
          <w:rFonts w:cs="Times New Roman"/>
          <w:spacing w:val="-5"/>
          <w:sz w:val="18"/>
          <w:szCs w:val="18"/>
          <w:lang w:val="es-ES_tradnl"/>
        </w:rPr>
        <w:t>í</w:t>
      </w:r>
      <w:r>
        <w:rPr>
          <w:spacing w:val="-5"/>
          <w:sz w:val="18"/>
          <w:szCs w:val="18"/>
          <w:lang w:val="es-ES_tradnl"/>
        </w:rPr>
        <w:t xml:space="preserve">as Jurisdiccionales y Control Constitucional, esta </w:t>
      </w:r>
      <w:r>
        <w:rPr>
          <w:spacing w:val="-4"/>
          <w:sz w:val="18"/>
          <w:szCs w:val="18"/>
          <w:lang w:val="es-ES_tradnl"/>
        </w:rPr>
        <w:t>Corte declara la inconstitucionalidad del art</w:t>
      </w:r>
      <w:r>
        <w:rPr>
          <w:rFonts w:cs="Times New Roman"/>
          <w:spacing w:val="-4"/>
          <w:sz w:val="18"/>
          <w:szCs w:val="18"/>
          <w:lang w:val="es-ES_tradnl"/>
        </w:rPr>
        <w:t>í</w:t>
      </w:r>
      <w:r>
        <w:rPr>
          <w:spacing w:val="-4"/>
          <w:sz w:val="18"/>
          <w:szCs w:val="18"/>
          <w:lang w:val="es-ES_tradnl"/>
        </w:rPr>
        <w:t xml:space="preserve">culo 2 de la </w:t>
      </w:r>
      <w:r>
        <w:rPr>
          <w:spacing w:val="-5"/>
          <w:sz w:val="18"/>
          <w:szCs w:val="18"/>
          <w:lang w:val="es-ES_tradnl"/>
        </w:rPr>
        <w:t>Ordenanza emitida por el GAD municipal de Chone.</w:t>
      </w:r>
    </w:p>
    <w:p w14:paraId="4F67A638" w14:textId="77777777" w:rsidR="00591D54" w:rsidRDefault="00591D54">
      <w:pPr>
        <w:shd w:val="clear" w:color="auto" w:fill="FFFFFF"/>
        <w:spacing w:before="216" w:line="230" w:lineRule="exact"/>
        <w:jc w:val="both"/>
      </w:pPr>
      <w:r>
        <w:rPr>
          <w:spacing w:val="-1"/>
          <w:sz w:val="18"/>
          <w:szCs w:val="18"/>
          <w:lang w:val="es-ES_tradnl"/>
        </w:rPr>
        <w:t>Siguiendo con el an</w:t>
      </w:r>
      <w:r>
        <w:rPr>
          <w:rFonts w:cs="Times New Roman"/>
          <w:spacing w:val="-1"/>
          <w:sz w:val="18"/>
          <w:szCs w:val="18"/>
          <w:lang w:val="es-ES_tradnl"/>
        </w:rPr>
        <w:t>á</w:t>
      </w:r>
      <w:r>
        <w:rPr>
          <w:spacing w:val="-1"/>
          <w:sz w:val="18"/>
          <w:szCs w:val="18"/>
          <w:lang w:val="es-ES_tradnl"/>
        </w:rPr>
        <w:t xml:space="preserve">lisis planteado, se procede al </w:t>
      </w:r>
      <w:r>
        <w:rPr>
          <w:sz w:val="18"/>
          <w:szCs w:val="18"/>
          <w:lang w:val="es-ES_tradnl"/>
        </w:rPr>
        <w:t>desarrollo del cuarto problema jur</w:t>
      </w:r>
      <w:r>
        <w:rPr>
          <w:rFonts w:cs="Times New Roman"/>
          <w:sz w:val="18"/>
          <w:szCs w:val="18"/>
          <w:lang w:val="es-ES_tradnl"/>
        </w:rPr>
        <w:t>í</w:t>
      </w:r>
      <w:r>
        <w:rPr>
          <w:sz w:val="18"/>
          <w:szCs w:val="18"/>
          <w:lang w:val="es-ES_tradnl"/>
        </w:rPr>
        <w:t>dico:</w:t>
      </w:r>
    </w:p>
    <w:p w14:paraId="4F67A639" w14:textId="77777777" w:rsidR="00591D54" w:rsidRDefault="00591D54">
      <w:pPr>
        <w:shd w:val="clear" w:color="auto" w:fill="FFFFFF"/>
        <w:spacing w:before="216" w:line="230" w:lineRule="exact"/>
        <w:jc w:val="both"/>
        <w:sectPr w:rsidR="00591D54">
          <w:type w:val="continuous"/>
          <w:pgSz w:w="11909" w:h="16834"/>
          <w:pgMar w:top="1359" w:right="1309" w:bottom="360" w:left="1308" w:header="720" w:footer="720" w:gutter="0"/>
          <w:cols w:num="2" w:space="720" w:equalWidth="0">
            <w:col w:w="4305" w:space="682"/>
            <w:col w:w="4305"/>
          </w:cols>
          <w:noEndnote/>
        </w:sectPr>
      </w:pPr>
    </w:p>
    <w:p w14:paraId="4F67A63A" w14:textId="77777777" w:rsidR="00591D54" w:rsidRDefault="00591D54">
      <w:pPr>
        <w:shd w:val="clear" w:color="auto" w:fill="FFFFFF"/>
        <w:tabs>
          <w:tab w:val="left" w:pos="5952"/>
        </w:tabs>
        <w:spacing w:after="226"/>
        <w:ind w:left="14"/>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- 37</w:t>
      </w:r>
    </w:p>
    <w:p w14:paraId="4F67A63B" w14:textId="77777777" w:rsidR="00591D54" w:rsidRDefault="00591D54">
      <w:pPr>
        <w:shd w:val="clear" w:color="auto" w:fill="FFFFFF"/>
        <w:tabs>
          <w:tab w:val="left" w:pos="5952"/>
        </w:tabs>
        <w:spacing w:after="226"/>
        <w:ind w:left="14"/>
        <w:sectPr w:rsidR="00591D54">
          <w:pgSz w:w="11909" w:h="16834"/>
          <w:pgMar w:top="1349" w:right="1304" w:bottom="360" w:left="1308" w:header="720" w:footer="720" w:gutter="0"/>
          <w:cols w:space="60"/>
          <w:noEndnote/>
        </w:sectPr>
      </w:pPr>
    </w:p>
    <w:p w14:paraId="4F67A63C" w14:textId="77777777" w:rsidR="00591D54" w:rsidRDefault="00591D54">
      <w:pPr>
        <w:shd w:val="clear" w:color="auto" w:fill="FFFFFF"/>
        <w:spacing w:line="221" w:lineRule="exact"/>
        <w:ind w:left="283" w:hanging="283"/>
        <w:jc w:val="both"/>
      </w:pPr>
      <w:r>
        <w:rPr>
          <w:b/>
          <w:bCs/>
          <w:spacing w:val="-5"/>
          <w:sz w:val="18"/>
          <w:szCs w:val="18"/>
          <w:lang w:val="es-ES_tradnl"/>
        </w:rPr>
        <w:t>4. La ordenanza bajo an</w:t>
      </w:r>
      <w:r>
        <w:rPr>
          <w:rFonts w:cs="Times New Roman"/>
          <w:b/>
          <w:bCs/>
          <w:spacing w:val="-5"/>
          <w:sz w:val="18"/>
          <w:szCs w:val="18"/>
          <w:lang w:val="es-ES_tradnl"/>
        </w:rPr>
        <w:t>á</w:t>
      </w:r>
      <w:r>
        <w:rPr>
          <w:b/>
          <w:bCs/>
          <w:spacing w:val="-5"/>
          <w:sz w:val="18"/>
          <w:szCs w:val="18"/>
          <w:lang w:val="es-ES_tradnl"/>
        </w:rPr>
        <w:t xml:space="preserve">lisis </w:t>
      </w:r>
      <w:r>
        <w:rPr>
          <w:rFonts w:cs="Times New Roman"/>
          <w:b/>
          <w:bCs/>
          <w:spacing w:val="-5"/>
          <w:sz w:val="18"/>
          <w:szCs w:val="18"/>
          <w:lang w:val="es-ES_tradnl"/>
        </w:rPr>
        <w:t>¿</w:t>
      </w:r>
      <w:r>
        <w:rPr>
          <w:b/>
          <w:bCs/>
          <w:spacing w:val="-5"/>
          <w:sz w:val="18"/>
          <w:szCs w:val="18"/>
          <w:lang w:val="es-ES_tradnl"/>
        </w:rPr>
        <w:t xml:space="preserve">vulnera el principio </w:t>
      </w:r>
      <w:r>
        <w:rPr>
          <w:b/>
          <w:bCs/>
          <w:spacing w:val="-7"/>
          <w:sz w:val="18"/>
          <w:szCs w:val="18"/>
          <w:lang w:val="es-ES_tradnl"/>
        </w:rPr>
        <w:t xml:space="preserve">constitucional tributario de equidad previsto en el </w:t>
      </w:r>
      <w:r>
        <w:rPr>
          <w:b/>
          <w:bCs/>
          <w:sz w:val="18"/>
          <w:szCs w:val="18"/>
          <w:lang w:val="es-ES_tradnl"/>
        </w:rPr>
        <w:t>art</w:t>
      </w:r>
      <w:r>
        <w:rPr>
          <w:rFonts w:cs="Times New Roman"/>
          <w:b/>
          <w:bCs/>
          <w:sz w:val="18"/>
          <w:szCs w:val="18"/>
          <w:lang w:val="es-ES_tradnl"/>
        </w:rPr>
        <w:t>í</w:t>
      </w:r>
      <w:r>
        <w:rPr>
          <w:b/>
          <w:bCs/>
          <w:sz w:val="18"/>
          <w:szCs w:val="18"/>
          <w:lang w:val="es-ES_tradnl"/>
        </w:rPr>
        <w:t>culo 300 de la Constituci</w:t>
      </w:r>
      <w:r>
        <w:rPr>
          <w:rFonts w:cs="Times New Roman"/>
          <w:b/>
          <w:bCs/>
          <w:sz w:val="18"/>
          <w:szCs w:val="18"/>
          <w:lang w:val="es-ES_tradnl"/>
        </w:rPr>
        <w:t>ó</w:t>
      </w:r>
      <w:r>
        <w:rPr>
          <w:b/>
          <w:bCs/>
          <w:sz w:val="18"/>
          <w:szCs w:val="18"/>
          <w:lang w:val="es-ES_tradnl"/>
        </w:rPr>
        <w:t>n?</w:t>
      </w:r>
    </w:p>
    <w:p w14:paraId="4F67A63D" w14:textId="77777777" w:rsidR="00591D54" w:rsidRDefault="00591D54">
      <w:pPr>
        <w:shd w:val="clear" w:color="auto" w:fill="FFFFFF"/>
        <w:spacing w:before="202" w:line="216" w:lineRule="exact"/>
        <w:jc w:val="both"/>
      </w:pPr>
      <w:r>
        <w:rPr>
          <w:sz w:val="18"/>
          <w:szCs w:val="18"/>
          <w:lang w:val="es-ES_tradnl"/>
        </w:rPr>
        <w:t xml:space="preserve">Hay que destacar que la norma impugnada de la </w:t>
      </w:r>
      <w:r>
        <w:rPr>
          <w:spacing w:val="-4"/>
          <w:sz w:val="18"/>
          <w:szCs w:val="18"/>
          <w:lang w:val="es-ES_tradnl"/>
        </w:rPr>
        <w:t>Ordenanza Municipal del cant</w:t>
      </w:r>
      <w:r>
        <w:rPr>
          <w:rFonts w:cs="Times New Roman"/>
          <w:spacing w:val="-4"/>
          <w:sz w:val="18"/>
          <w:szCs w:val="18"/>
          <w:lang w:val="es-ES_tradnl"/>
        </w:rPr>
        <w:t>ó</w:t>
      </w:r>
      <w:r>
        <w:rPr>
          <w:spacing w:val="-4"/>
          <w:sz w:val="18"/>
          <w:szCs w:val="18"/>
          <w:lang w:val="es-ES_tradnl"/>
        </w:rPr>
        <w:t xml:space="preserve">n Chone es la contenida </w:t>
      </w:r>
      <w:r>
        <w:rPr>
          <w:spacing w:val="-5"/>
          <w:sz w:val="18"/>
          <w:szCs w:val="18"/>
          <w:lang w:val="es-ES_tradnl"/>
        </w:rPr>
        <w:t>en el art</w:t>
      </w:r>
      <w:r>
        <w:rPr>
          <w:rFonts w:cs="Times New Roman"/>
          <w:spacing w:val="-5"/>
          <w:sz w:val="18"/>
          <w:szCs w:val="18"/>
          <w:lang w:val="es-ES_tradnl"/>
        </w:rPr>
        <w:t>í</w:t>
      </w:r>
      <w:r>
        <w:rPr>
          <w:spacing w:val="-5"/>
          <w:sz w:val="18"/>
          <w:szCs w:val="18"/>
          <w:lang w:val="es-ES_tradnl"/>
        </w:rPr>
        <w:t xml:space="preserve">culo 18, por lo que al haberse dictaminado la inconstitucionalidad de varios de sus numerales en los </w:t>
      </w:r>
      <w:r>
        <w:rPr>
          <w:spacing w:val="-4"/>
          <w:sz w:val="18"/>
          <w:szCs w:val="18"/>
          <w:lang w:val="es-ES_tradnl"/>
        </w:rPr>
        <w:t>problemas jur</w:t>
      </w:r>
      <w:r>
        <w:rPr>
          <w:rFonts w:cs="Times New Roman"/>
          <w:spacing w:val="-4"/>
          <w:sz w:val="18"/>
          <w:szCs w:val="18"/>
          <w:lang w:val="es-ES_tradnl"/>
        </w:rPr>
        <w:t>í</w:t>
      </w:r>
      <w:r>
        <w:rPr>
          <w:spacing w:val="-4"/>
          <w:sz w:val="18"/>
          <w:szCs w:val="18"/>
          <w:lang w:val="es-ES_tradnl"/>
        </w:rPr>
        <w:t>dicos precedentes, hay que determinar si los numerales 1, 5 y 7 del mencionado art</w:t>
      </w:r>
      <w:r>
        <w:rPr>
          <w:rFonts w:cs="Times New Roman"/>
          <w:spacing w:val="-4"/>
          <w:sz w:val="18"/>
          <w:szCs w:val="18"/>
          <w:lang w:val="es-ES_tradnl"/>
        </w:rPr>
        <w:t>í</w:t>
      </w:r>
      <w:r>
        <w:rPr>
          <w:spacing w:val="-4"/>
          <w:sz w:val="18"/>
          <w:szCs w:val="18"/>
          <w:lang w:val="es-ES_tradnl"/>
        </w:rPr>
        <w:t>culo vulneran el principio de equidad tributaria contenido en el art</w:t>
      </w:r>
      <w:r>
        <w:rPr>
          <w:rFonts w:cs="Times New Roman"/>
          <w:spacing w:val="-4"/>
          <w:sz w:val="18"/>
          <w:szCs w:val="18"/>
          <w:lang w:val="es-ES_tradnl"/>
        </w:rPr>
        <w:t>í</w:t>
      </w:r>
      <w:r>
        <w:rPr>
          <w:spacing w:val="-4"/>
          <w:sz w:val="18"/>
          <w:szCs w:val="18"/>
          <w:lang w:val="es-ES_tradnl"/>
        </w:rPr>
        <w:t xml:space="preserve">culo </w:t>
      </w:r>
      <w:r>
        <w:rPr>
          <w:spacing w:val="-5"/>
          <w:sz w:val="18"/>
          <w:szCs w:val="18"/>
          <w:lang w:val="es-ES_tradnl"/>
        </w:rPr>
        <w:t>300 de la Constituci</w:t>
      </w:r>
      <w:r>
        <w:rPr>
          <w:rFonts w:cs="Times New Roman"/>
          <w:spacing w:val="-5"/>
          <w:sz w:val="18"/>
          <w:szCs w:val="18"/>
          <w:lang w:val="es-ES_tradnl"/>
        </w:rPr>
        <w:t>ó</w:t>
      </w:r>
      <w:r>
        <w:rPr>
          <w:spacing w:val="-5"/>
          <w:sz w:val="18"/>
          <w:szCs w:val="18"/>
          <w:lang w:val="es-ES_tradnl"/>
        </w:rPr>
        <w:t>n, para lo cual se utilizar</w:t>
      </w:r>
      <w:r>
        <w:rPr>
          <w:rFonts w:cs="Times New Roman"/>
          <w:spacing w:val="-5"/>
          <w:sz w:val="18"/>
          <w:szCs w:val="18"/>
          <w:lang w:val="es-ES_tradnl"/>
        </w:rPr>
        <w:t>á</w:t>
      </w:r>
      <w:r>
        <w:rPr>
          <w:spacing w:val="-5"/>
          <w:sz w:val="18"/>
          <w:szCs w:val="18"/>
          <w:lang w:val="es-ES_tradnl"/>
        </w:rPr>
        <w:t xml:space="preserve"> el an</w:t>
      </w:r>
      <w:r>
        <w:rPr>
          <w:rFonts w:cs="Times New Roman"/>
          <w:spacing w:val="-5"/>
          <w:sz w:val="18"/>
          <w:szCs w:val="18"/>
          <w:lang w:val="es-ES_tradnl"/>
        </w:rPr>
        <w:t>á</w:t>
      </w:r>
      <w:r>
        <w:rPr>
          <w:spacing w:val="-5"/>
          <w:sz w:val="18"/>
          <w:szCs w:val="18"/>
          <w:lang w:val="es-ES_tradnl"/>
        </w:rPr>
        <w:t xml:space="preserve">lisis que ha desarrollado la Corte Constitucional dentro de la </w:t>
      </w:r>
      <w:r>
        <w:rPr>
          <w:spacing w:val="-7"/>
          <w:sz w:val="18"/>
          <w:szCs w:val="18"/>
          <w:lang w:val="es-ES_tradnl"/>
        </w:rPr>
        <w:t>sentencia N.</w:t>
      </w:r>
      <w:r>
        <w:rPr>
          <w:rFonts w:cs="Times New Roman"/>
          <w:spacing w:val="-7"/>
          <w:sz w:val="18"/>
          <w:szCs w:val="18"/>
          <w:lang w:val="es-ES_tradnl"/>
        </w:rPr>
        <w:t>º</w:t>
      </w:r>
      <w:r>
        <w:rPr>
          <w:spacing w:val="-7"/>
          <w:sz w:val="18"/>
          <w:szCs w:val="18"/>
          <w:lang w:val="es-ES_tradnl"/>
        </w:rPr>
        <w:t xml:space="preserve"> 0016-15-SIN-CC, indicando adem</w:t>
      </w:r>
      <w:r>
        <w:rPr>
          <w:rFonts w:cs="Times New Roman"/>
          <w:spacing w:val="-7"/>
          <w:sz w:val="18"/>
          <w:szCs w:val="18"/>
          <w:lang w:val="es-ES_tradnl"/>
        </w:rPr>
        <w:t>á</w:t>
      </w:r>
      <w:r>
        <w:rPr>
          <w:spacing w:val="-7"/>
          <w:sz w:val="18"/>
          <w:szCs w:val="18"/>
          <w:lang w:val="es-ES_tradnl"/>
        </w:rPr>
        <w:t xml:space="preserve">s que el </w:t>
      </w:r>
      <w:r>
        <w:rPr>
          <w:spacing w:val="-8"/>
          <w:sz w:val="18"/>
          <w:szCs w:val="18"/>
          <w:lang w:val="es-ES_tradnl"/>
        </w:rPr>
        <w:t>estudio de los numerales 2, 3, 4 y 6 tambi</w:t>
      </w:r>
      <w:r>
        <w:rPr>
          <w:rFonts w:cs="Times New Roman"/>
          <w:spacing w:val="-8"/>
          <w:sz w:val="18"/>
          <w:szCs w:val="18"/>
          <w:lang w:val="es-ES_tradnl"/>
        </w:rPr>
        <w:t>é</w:t>
      </w:r>
      <w:r>
        <w:rPr>
          <w:spacing w:val="-8"/>
          <w:sz w:val="18"/>
          <w:szCs w:val="18"/>
          <w:lang w:val="es-ES_tradnl"/>
        </w:rPr>
        <w:t>n se incluir</w:t>
      </w:r>
      <w:r>
        <w:rPr>
          <w:rFonts w:cs="Times New Roman"/>
          <w:spacing w:val="-8"/>
          <w:sz w:val="18"/>
          <w:szCs w:val="18"/>
          <w:lang w:val="es-ES_tradnl"/>
        </w:rPr>
        <w:t>á</w:t>
      </w:r>
      <w:r>
        <w:rPr>
          <w:spacing w:val="-8"/>
          <w:sz w:val="18"/>
          <w:szCs w:val="18"/>
          <w:lang w:val="es-ES_tradnl"/>
        </w:rPr>
        <w:t xml:space="preserve"> por </w:t>
      </w:r>
      <w:r>
        <w:rPr>
          <w:sz w:val="18"/>
          <w:szCs w:val="18"/>
          <w:lang w:val="es-ES_tradnl"/>
        </w:rPr>
        <w:t>cuestiones de comprensi</w:t>
      </w:r>
      <w:r>
        <w:rPr>
          <w:rFonts w:cs="Times New Roman"/>
          <w:sz w:val="18"/>
          <w:szCs w:val="18"/>
          <w:lang w:val="es-ES_tradnl"/>
        </w:rPr>
        <w:t>ó</w:t>
      </w:r>
      <w:r>
        <w:rPr>
          <w:sz w:val="18"/>
          <w:szCs w:val="18"/>
          <w:lang w:val="es-ES_tradnl"/>
        </w:rPr>
        <w:t>n.</w:t>
      </w:r>
    </w:p>
    <w:p w14:paraId="4F67A63E" w14:textId="77777777" w:rsidR="00591D54" w:rsidRDefault="00591D54">
      <w:pPr>
        <w:shd w:val="clear" w:color="auto" w:fill="FFFFFF"/>
        <w:spacing w:before="197" w:line="216" w:lineRule="exact"/>
        <w:jc w:val="both"/>
      </w:pPr>
      <w:r>
        <w:rPr>
          <w:spacing w:val="-6"/>
          <w:sz w:val="18"/>
          <w:szCs w:val="18"/>
          <w:lang w:val="es-ES_tradnl"/>
        </w:rPr>
        <w:t>Es relevante establecer que a trav</w:t>
      </w:r>
      <w:r>
        <w:rPr>
          <w:rFonts w:cs="Times New Roman"/>
          <w:spacing w:val="-6"/>
          <w:sz w:val="18"/>
          <w:szCs w:val="18"/>
          <w:lang w:val="es-ES_tradnl"/>
        </w:rPr>
        <w:t>é</w:t>
      </w:r>
      <w:r>
        <w:rPr>
          <w:spacing w:val="-6"/>
          <w:sz w:val="18"/>
          <w:szCs w:val="18"/>
          <w:lang w:val="es-ES_tradnl"/>
        </w:rPr>
        <w:t xml:space="preserve">s de los principios </w:t>
      </w:r>
      <w:r>
        <w:rPr>
          <w:spacing w:val="-3"/>
          <w:sz w:val="18"/>
          <w:szCs w:val="18"/>
          <w:lang w:val="es-ES_tradnl"/>
        </w:rPr>
        <w:t>tributarios consagrados en la Constituci</w:t>
      </w:r>
      <w:r>
        <w:rPr>
          <w:rFonts w:cs="Times New Roman"/>
          <w:spacing w:val="-3"/>
          <w:sz w:val="18"/>
          <w:szCs w:val="18"/>
          <w:lang w:val="es-ES_tradnl"/>
        </w:rPr>
        <w:t>ó</w:t>
      </w:r>
      <w:r>
        <w:rPr>
          <w:spacing w:val="-3"/>
          <w:sz w:val="18"/>
          <w:szCs w:val="18"/>
          <w:lang w:val="es-ES_tradnl"/>
        </w:rPr>
        <w:t xml:space="preserve">n, no solo que </w:t>
      </w:r>
      <w:r>
        <w:rPr>
          <w:spacing w:val="-5"/>
          <w:sz w:val="18"/>
          <w:szCs w:val="18"/>
          <w:lang w:val="es-ES_tradnl"/>
        </w:rPr>
        <w:t xml:space="preserve">se limita la potestad tributaria de la que goza el Estado, </w:t>
      </w:r>
      <w:r>
        <w:rPr>
          <w:spacing w:val="-6"/>
          <w:sz w:val="18"/>
          <w:szCs w:val="18"/>
          <w:lang w:val="es-ES_tradnl"/>
        </w:rPr>
        <w:t>sino que tambi</w:t>
      </w:r>
      <w:r>
        <w:rPr>
          <w:rFonts w:cs="Times New Roman"/>
          <w:spacing w:val="-6"/>
          <w:sz w:val="18"/>
          <w:szCs w:val="18"/>
          <w:lang w:val="es-ES_tradnl"/>
        </w:rPr>
        <w:t>é</w:t>
      </w:r>
      <w:r>
        <w:rPr>
          <w:spacing w:val="-6"/>
          <w:sz w:val="18"/>
          <w:szCs w:val="18"/>
          <w:lang w:val="es-ES_tradnl"/>
        </w:rPr>
        <w:t>n, a trav</w:t>
      </w:r>
      <w:r>
        <w:rPr>
          <w:rFonts w:cs="Times New Roman"/>
          <w:spacing w:val="-6"/>
          <w:sz w:val="18"/>
          <w:szCs w:val="18"/>
          <w:lang w:val="es-ES_tradnl"/>
        </w:rPr>
        <w:t>é</w:t>
      </w:r>
      <w:r>
        <w:rPr>
          <w:spacing w:val="-6"/>
          <w:sz w:val="18"/>
          <w:szCs w:val="18"/>
          <w:lang w:val="es-ES_tradnl"/>
        </w:rPr>
        <w:t>s de dicha limitaci</w:t>
      </w:r>
      <w:r>
        <w:rPr>
          <w:rFonts w:cs="Times New Roman"/>
          <w:spacing w:val="-6"/>
          <w:sz w:val="18"/>
          <w:szCs w:val="18"/>
          <w:lang w:val="es-ES_tradnl"/>
        </w:rPr>
        <w:t>ó</w:t>
      </w:r>
      <w:r>
        <w:rPr>
          <w:spacing w:val="-6"/>
          <w:sz w:val="18"/>
          <w:szCs w:val="18"/>
          <w:lang w:val="es-ES_tradnl"/>
        </w:rPr>
        <w:t xml:space="preserve">n, se genera </w:t>
      </w:r>
      <w:r>
        <w:rPr>
          <w:spacing w:val="-8"/>
          <w:sz w:val="18"/>
          <w:szCs w:val="18"/>
          <w:lang w:val="es-ES_tradnl"/>
        </w:rPr>
        <w:t>una contrapartida entre las garant</w:t>
      </w:r>
      <w:r>
        <w:rPr>
          <w:rFonts w:cs="Times New Roman"/>
          <w:spacing w:val="-8"/>
          <w:sz w:val="18"/>
          <w:szCs w:val="18"/>
          <w:lang w:val="es-ES_tradnl"/>
        </w:rPr>
        <w:t>í</w:t>
      </w:r>
      <w:r>
        <w:rPr>
          <w:spacing w:val="-8"/>
          <w:sz w:val="18"/>
          <w:szCs w:val="18"/>
          <w:lang w:val="es-ES_tradnl"/>
        </w:rPr>
        <w:t xml:space="preserve">as del administrado y las </w:t>
      </w:r>
      <w:r>
        <w:rPr>
          <w:spacing w:val="-5"/>
          <w:sz w:val="18"/>
          <w:szCs w:val="18"/>
          <w:lang w:val="es-ES_tradnl"/>
        </w:rPr>
        <w:t xml:space="preserve">actuaciones del Estado. Es por ello, que estos principios </w:t>
      </w:r>
      <w:r>
        <w:rPr>
          <w:spacing w:val="-4"/>
          <w:sz w:val="18"/>
          <w:szCs w:val="18"/>
          <w:lang w:val="es-ES_tradnl"/>
        </w:rPr>
        <w:t>inherentes al r</w:t>
      </w:r>
      <w:r>
        <w:rPr>
          <w:rFonts w:cs="Times New Roman"/>
          <w:spacing w:val="-4"/>
          <w:sz w:val="18"/>
          <w:szCs w:val="18"/>
          <w:lang w:val="es-ES_tradnl"/>
        </w:rPr>
        <w:t>é</w:t>
      </w:r>
      <w:r>
        <w:rPr>
          <w:spacing w:val="-4"/>
          <w:sz w:val="18"/>
          <w:szCs w:val="18"/>
          <w:lang w:val="es-ES_tradnl"/>
        </w:rPr>
        <w:t xml:space="preserve">gimen tributario, a lo que la doctrina ha denominado principios constitucionales tributarios, se </w:t>
      </w:r>
      <w:r>
        <w:rPr>
          <w:spacing w:val="-10"/>
          <w:sz w:val="18"/>
          <w:szCs w:val="18"/>
          <w:lang w:val="es-ES_tradnl"/>
        </w:rPr>
        <w:t>encuentran reconocidos en el art</w:t>
      </w:r>
      <w:r>
        <w:rPr>
          <w:rFonts w:cs="Times New Roman"/>
          <w:spacing w:val="-10"/>
          <w:sz w:val="18"/>
          <w:szCs w:val="18"/>
          <w:lang w:val="es-ES_tradnl"/>
        </w:rPr>
        <w:t>í</w:t>
      </w:r>
      <w:r>
        <w:rPr>
          <w:spacing w:val="-10"/>
          <w:sz w:val="18"/>
          <w:szCs w:val="18"/>
          <w:lang w:val="es-ES_tradnl"/>
        </w:rPr>
        <w:t>culo 300 de la Constituci</w:t>
      </w:r>
      <w:r>
        <w:rPr>
          <w:rFonts w:cs="Times New Roman"/>
          <w:spacing w:val="-10"/>
          <w:sz w:val="18"/>
          <w:szCs w:val="18"/>
          <w:lang w:val="es-ES_tradnl"/>
        </w:rPr>
        <w:t>ó</w:t>
      </w:r>
      <w:r>
        <w:rPr>
          <w:spacing w:val="-10"/>
          <w:sz w:val="18"/>
          <w:szCs w:val="18"/>
          <w:lang w:val="es-ES_tradnl"/>
        </w:rPr>
        <w:t xml:space="preserve">n </w:t>
      </w:r>
      <w:r>
        <w:rPr>
          <w:spacing w:val="-8"/>
          <w:sz w:val="18"/>
          <w:szCs w:val="18"/>
          <w:lang w:val="es-ES_tradnl"/>
        </w:rPr>
        <w:t>de la Rep</w:t>
      </w:r>
      <w:r>
        <w:rPr>
          <w:rFonts w:cs="Times New Roman"/>
          <w:spacing w:val="-8"/>
          <w:sz w:val="18"/>
          <w:szCs w:val="18"/>
          <w:lang w:val="es-ES_tradnl"/>
        </w:rPr>
        <w:t>ú</w:t>
      </w:r>
      <w:r>
        <w:rPr>
          <w:spacing w:val="-8"/>
          <w:sz w:val="18"/>
          <w:szCs w:val="18"/>
          <w:lang w:val="es-ES_tradnl"/>
        </w:rPr>
        <w:t>blica, el cual se</w:t>
      </w:r>
      <w:r>
        <w:rPr>
          <w:rFonts w:cs="Times New Roman"/>
          <w:spacing w:val="-8"/>
          <w:sz w:val="18"/>
          <w:szCs w:val="18"/>
          <w:lang w:val="es-ES_tradnl"/>
        </w:rPr>
        <w:t>ñ</w:t>
      </w:r>
      <w:r>
        <w:rPr>
          <w:spacing w:val="-8"/>
          <w:sz w:val="18"/>
          <w:szCs w:val="18"/>
          <w:lang w:val="es-ES_tradnl"/>
        </w:rPr>
        <w:t>ala de manera expresa:</w:t>
      </w:r>
    </w:p>
    <w:p w14:paraId="4F67A63F" w14:textId="77777777" w:rsidR="00591D54" w:rsidRDefault="00591D54">
      <w:pPr>
        <w:shd w:val="clear" w:color="auto" w:fill="FFFFFF"/>
        <w:spacing w:before="202" w:line="221" w:lineRule="exact"/>
        <w:ind w:left="283" w:right="5"/>
        <w:jc w:val="both"/>
      </w:pPr>
      <w:r>
        <w:rPr>
          <w:sz w:val="14"/>
          <w:szCs w:val="14"/>
          <w:lang w:val="es-ES_tradnl"/>
        </w:rPr>
        <w:t>Art. 300.- El R</w:t>
      </w:r>
      <w:r>
        <w:rPr>
          <w:rFonts w:cs="Times New Roman"/>
          <w:sz w:val="14"/>
          <w:szCs w:val="14"/>
          <w:lang w:val="es-ES_tradnl"/>
        </w:rPr>
        <w:t>é</w:t>
      </w:r>
      <w:r>
        <w:rPr>
          <w:sz w:val="14"/>
          <w:szCs w:val="14"/>
          <w:lang w:val="es-ES_tradnl"/>
        </w:rPr>
        <w:t>gimen Tributario se regir</w:t>
      </w:r>
      <w:r>
        <w:rPr>
          <w:rFonts w:cs="Times New Roman"/>
          <w:sz w:val="14"/>
          <w:szCs w:val="14"/>
          <w:lang w:val="es-ES_tradnl"/>
        </w:rPr>
        <w:t>á</w:t>
      </w:r>
      <w:r>
        <w:rPr>
          <w:sz w:val="14"/>
          <w:szCs w:val="14"/>
          <w:lang w:val="es-ES_tradnl"/>
        </w:rPr>
        <w:t xml:space="preserve"> por los principios de generalidad, progresividad, eficiencia, simplicidad administrativa, irretroactividad, equidad, transparencia y suficiencia recaudatoria. Se priorizar</w:t>
      </w:r>
      <w:r>
        <w:rPr>
          <w:rFonts w:cs="Times New Roman"/>
          <w:sz w:val="14"/>
          <w:szCs w:val="14"/>
          <w:lang w:val="es-ES_tradnl"/>
        </w:rPr>
        <w:t>á</w:t>
      </w:r>
      <w:r>
        <w:rPr>
          <w:sz w:val="14"/>
          <w:szCs w:val="14"/>
          <w:lang w:val="es-ES_tradnl"/>
        </w:rPr>
        <w:t>n los impuestos directos y progresivos.</w:t>
      </w:r>
    </w:p>
    <w:p w14:paraId="4F67A640" w14:textId="77777777" w:rsidR="00591D54" w:rsidRDefault="00591D54">
      <w:pPr>
        <w:shd w:val="clear" w:color="auto" w:fill="FFFFFF"/>
        <w:spacing w:before="206" w:line="221" w:lineRule="exact"/>
        <w:ind w:left="283" w:right="5"/>
        <w:jc w:val="both"/>
      </w:pPr>
      <w:r>
        <w:rPr>
          <w:sz w:val="14"/>
          <w:szCs w:val="14"/>
          <w:lang w:val="es-ES_tradnl"/>
        </w:rPr>
        <w:t>La pol</w:t>
      </w:r>
      <w:r>
        <w:rPr>
          <w:rFonts w:cs="Times New Roman"/>
          <w:sz w:val="14"/>
          <w:szCs w:val="14"/>
          <w:lang w:val="es-ES_tradnl"/>
        </w:rPr>
        <w:t>í</w:t>
      </w:r>
      <w:r>
        <w:rPr>
          <w:sz w:val="14"/>
          <w:szCs w:val="14"/>
          <w:lang w:val="es-ES_tradnl"/>
        </w:rPr>
        <w:t>tica tributaria promover</w:t>
      </w:r>
      <w:r>
        <w:rPr>
          <w:rFonts w:cs="Times New Roman"/>
          <w:sz w:val="14"/>
          <w:szCs w:val="14"/>
          <w:lang w:val="es-ES_tradnl"/>
        </w:rPr>
        <w:t>á</w:t>
      </w:r>
      <w:r>
        <w:rPr>
          <w:sz w:val="14"/>
          <w:szCs w:val="14"/>
          <w:lang w:val="es-ES_tradnl"/>
        </w:rPr>
        <w:t xml:space="preserve"> la redistribuci</w:t>
      </w:r>
      <w:r>
        <w:rPr>
          <w:rFonts w:cs="Times New Roman"/>
          <w:sz w:val="14"/>
          <w:szCs w:val="14"/>
          <w:lang w:val="es-ES_tradnl"/>
        </w:rPr>
        <w:t>ó</w:t>
      </w:r>
      <w:r>
        <w:rPr>
          <w:sz w:val="14"/>
          <w:szCs w:val="14"/>
          <w:lang w:val="es-ES_tradnl"/>
        </w:rPr>
        <w:t>n y estimular</w:t>
      </w:r>
      <w:r>
        <w:rPr>
          <w:rFonts w:cs="Times New Roman"/>
          <w:sz w:val="14"/>
          <w:szCs w:val="14"/>
          <w:lang w:val="es-ES_tradnl"/>
        </w:rPr>
        <w:t xml:space="preserve">á </w:t>
      </w:r>
      <w:r>
        <w:rPr>
          <w:sz w:val="14"/>
          <w:szCs w:val="14"/>
          <w:lang w:val="es-ES_tradnl"/>
        </w:rPr>
        <w:t>el empleo, la producci</w:t>
      </w:r>
      <w:r>
        <w:rPr>
          <w:rFonts w:cs="Times New Roman"/>
          <w:sz w:val="14"/>
          <w:szCs w:val="14"/>
          <w:lang w:val="es-ES_tradnl"/>
        </w:rPr>
        <w:t>ó</w:t>
      </w:r>
      <w:r>
        <w:rPr>
          <w:sz w:val="14"/>
          <w:szCs w:val="14"/>
          <w:lang w:val="es-ES_tradnl"/>
        </w:rPr>
        <w:t>n de bienes y servicios, y conductas ecol</w:t>
      </w:r>
      <w:r>
        <w:rPr>
          <w:rFonts w:cs="Times New Roman"/>
          <w:sz w:val="14"/>
          <w:szCs w:val="14"/>
          <w:lang w:val="es-ES_tradnl"/>
        </w:rPr>
        <w:t>ó</w:t>
      </w:r>
      <w:r>
        <w:rPr>
          <w:sz w:val="14"/>
          <w:szCs w:val="14"/>
          <w:lang w:val="es-ES_tradnl"/>
        </w:rPr>
        <w:t>gicas, sociales y econ</w:t>
      </w:r>
      <w:r>
        <w:rPr>
          <w:rFonts w:cs="Times New Roman"/>
          <w:sz w:val="14"/>
          <w:szCs w:val="14"/>
          <w:lang w:val="es-ES_tradnl"/>
        </w:rPr>
        <w:t>ó</w:t>
      </w:r>
      <w:r>
        <w:rPr>
          <w:sz w:val="14"/>
          <w:szCs w:val="14"/>
          <w:lang w:val="es-ES_tradnl"/>
        </w:rPr>
        <w:t>micas responsables.</w:t>
      </w:r>
    </w:p>
    <w:p w14:paraId="4F67A641" w14:textId="77777777" w:rsidR="00591D54" w:rsidRDefault="00591D54">
      <w:pPr>
        <w:shd w:val="clear" w:color="auto" w:fill="FFFFFF"/>
        <w:spacing w:before="206" w:line="216" w:lineRule="exact"/>
        <w:jc w:val="both"/>
      </w:pPr>
      <w:r>
        <w:rPr>
          <w:spacing w:val="-5"/>
          <w:sz w:val="18"/>
          <w:szCs w:val="18"/>
          <w:lang w:val="es-ES_tradnl"/>
        </w:rPr>
        <w:t xml:space="preserve">Es importante tomar en cuenta la existencia de otros </w:t>
      </w:r>
      <w:r>
        <w:rPr>
          <w:spacing w:val="-7"/>
          <w:sz w:val="18"/>
          <w:szCs w:val="18"/>
          <w:lang w:val="es-ES_tradnl"/>
        </w:rPr>
        <w:t xml:space="preserve">principios tributarios reconocidos en nuestro ordenamiento </w:t>
      </w:r>
      <w:r>
        <w:rPr>
          <w:spacing w:val="-10"/>
          <w:sz w:val="18"/>
          <w:szCs w:val="18"/>
          <w:lang w:val="es-ES_tradnl"/>
        </w:rPr>
        <w:t>jur</w:t>
      </w:r>
      <w:r>
        <w:rPr>
          <w:rFonts w:cs="Times New Roman"/>
          <w:spacing w:val="-10"/>
          <w:sz w:val="18"/>
          <w:szCs w:val="18"/>
          <w:lang w:val="es-ES_tradnl"/>
        </w:rPr>
        <w:t>í</w:t>
      </w:r>
      <w:r>
        <w:rPr>
          <w:spacing w:val="-10"/>
          <w:sz w:val="18"/>
          <w:szCs w:val="18"/>
          <w:lang w:val="es-ES_tradnl"/>
        </w:rPr>
        <w:t>dico</w:t>
      </w:r>
      <w:r>
        <w:rPr>
          <w:spacing w:val="-10"/>
          <w:sz w:val="18"/>
          <w:szCs w:val="18"/>
          <w:vertAlign w:val="superscript"/>
          <w:lang w:val="es-ES_tradnl"/>
        </w:rPr>
        <w:t>11</w:t>
      </w:r>
      <w:r>
        <w:rPr>
          <w:spacing w:val="-10"/>
          <w:sz w:val="18"/>
          <w:szCs w:val="18"/>
          <w:lang w:val="es-ES_tradnl"/>
        </w:rPr>
        <w:t>, as</w:t>
      </w:r>
      <w:r>
        <w:rPr>
          <w:rFonts w:cs="Times New Roman"/>
          <w:spacing w:val="-10"/>
          <w:sz w:val="18"/>
          <w:szCs w:val="18"/>
          <w:lang w:val="es-ES_tradnl"/>
        </w:rPr>
        <w:t>í</w:t>
      </w:r>
      <w:r>
        <w:rPr>
          <w:spacing w:val="-10"/>
          <w:sz w:val="18"/>
          <w:szCs w:val="18"/>
          <w:lang w:val="es-ES_tradnl"/>
        </w:rPr>
        <w:t xml:space="preserve"> como en la propia jurisprudencia y doctrina en </w:t>
      </w:r>
      <w:r>
        <w:rPr>
          <w:spacing w:val="-8"/>
          <w:sz w:val="18"/>
          <w:szCs w:val="18"/>
          <w:lang w:val="es-ES_tradnl"/>
        </w:rPr>
        <w:t>materia fiscal; principios que se encuentran impl</w:t>
      </w:r>
      <w:r>
        <w:rPr>
          <w:rFonts w:cs="Times New Roman"/>
          <w:spacing w:val="-8"/>
          <w:sz w:val="18"/>
          <w:szCs w:val="18"/>
          <w:lang w:val="es-ES_tradnl"/>
        </w:rPr>
        <w:t>í</w:t>
      </w:r>
      <w:r>
        <w:rPr>
          <w:spacing w:val="-8"/>
          <w:sz w:val="18"/>
          <w:szCs w:val="18"/>
          <w:lang w:val="es-ES_tradnl"/>
        </w:rPr>
        <w:t xml:space="preserve">citos en el </w:t>
      </w:r>
      <w:r>
        <w:rPr>
          <w:spacing w:val="-7"/>
          <w:sz w:val="18"/>
          <w:szCs w:val="18"/>
          <w:lang w:val="es-ES_tradnl"/>
        </w:rPr>
        <w:t>r</w:t>
      </w:r>
      <w:r>
        <w:rPr>
          <w:rFonts w:cs="Times New Roman"/>
          <w:spacing w:val="-7"/>
          <w:sz w:val="18"/>
          <w:szCs w:val="18"/>
          <w:lang w:val="es-ES_tradnl"/>
        </w:rPr>
        <w:t>é</w:t>
      </w:r>
      <w:r>
        <w:rPr>
          <w:spacing w:val="-7"/>
          <w:sz w:val="18"/>
          <w:szCs w:val="18"/>
          <w:lang w:val="es-ES_tradnl"/>
        </w:rPr>
        <w:t>gimen tributario sin necesidad de que la Constituci</w:t>
      </w:r>
      <w:r>
        <w:rPr>
          <w:rFonts w:cs="Times New Roman"/>
          <w:spacing w:val="-7"/>
          <w:sz w:val="18"/>
          <w:szCs w:val="18"/>
          <w:lang w:val="es-ES_tradnl"/>
        </w:rPr>
        <w:t>ó</w:t>
      </w:r>
      <w:r>
        <w:rPr>
          <w:spacing w:val="-7"/>
          <w:sz w:val="18"/>
          <w:szCs w:val="18"/>
          <w:lang w:val="es-ES_tradnl"/>
        </w:rPr>
        <w:t xml:space="preserve">n los </w:t>
      </w:r>
      <w:r>
        <w:rPr>
          <w:spacing w:val="-11"/>
          <w:sz w:val="18"/>
          <w:szCs w:val="18"/>
          <w:lang w:val="es-ES_tradnl"/>
        </w:rPr>
        <w:t>se</w:t>
      </w:r>
      <w:r>
        <w:rPr>
          <w:rFonts w:cs="Times New Roman"/>
          <w:spacing w:val="-11"/>
          <w:sz w:val="18"/>
          <w:szCs w:val="18"/>
          <w:lang w:val="es-ES_tradnl"/>
        </w:rPr>
        <w:t>ñ</w:t>
      </w:r>
      <w:r>
        <w:rPr>
          <w:spacing w:val="-11"/>
          <w:sz w:val="18"/>
          <w:szCs w:val="18"/>
          <w:lang w:val="es-ES_tradnl"/>
        </w:rPr>
        <w:t xml:space="preserve">ale y que como tal, deben ser observados y aplicados por </w:t>
      </w:r>
      <w:r>
        <w:rPr>
          <w:spacing w:val="-5"/>
          <w:sz w:val="18"/>
          <w:szCs w:val="18"/>
          <w:lang w:val="es-ES_tradnl"/>
        </w:rPr>
        <w:t xml:space="preserve">la autoridad tributaria en el ejercicio de sus atribuciones. </w:t>
      </w:r>
      <w:r>
        <w:rPr>
          <w:spacing w:val="-7"/>
          <w:sz w:val="18"/>
          <w:szCs w:val="18"/>
          <w:lang w:val="es-ES_tradnl"/>
        </w:rPr>
        <w:t xml:space="preserve">Tal es el caso de principios como el de </w:t>
      </w:r>
      <w:r>
        <w:rPr>
          <w:rFonts w:cs="Times New Roman"/>
          <w:spacing w:val="-7"/>
          <w:sz w:val="18"/>
          <w:szCs w:val="18"/>
          <w:lang w:val="es-ES_tradnl"/>
        </w:rPr>
        <w:t>“</w:t>
      </w:r>
      <w:r>
        <w:rPr>
          <w:spacing w:val="-7"/>
          <w:sz w:val="18"/>
          <w:szCs w:val="18"/>
          <w:lang w:val="es-ES_tradnl"/>
        </w:rPr>
        <w:t>proporcionalidad</w:t>
      </w:r>
      <w:r>
        <w:rPr>
          <w:rFonts w:cs="Times New Roman"/>
          <w:spacing w:val="-7"/>
          <w:sz w:val="18"/>
          <w:szCs w:val="18"/>
          <w:lang w:val="es-ES_tradnl"/>
        </w:rPr>
        <w:t>”</w:t>
      </w:r>
      <w:r>
        <w:rPr>
          <w:spacing w:val="-7"/>
          <w:sz w:val="18"/>
          <w:szCs w:val="18"/>
          <w:lang w:val="es-ES_tradnl"/>
        </w:rPr>
        <w:t xml:space="preserve">, </w:t>
      </w:r>
      <w:r>
        <w:rPr>
          <w:rFonts w:cs="Times New Roman"/>
          <w:spacing w:val="-3"/>
          <w:sz w:val="18"/>
          <w:szCs w:val="18"/>
          <w:lang w:val="es-ES_tradnl"/>
        </w:rPr>
        <w:t>“</w:t>
      </w:r>
      <w:r>
        <w:rPr>
          <w:spacing w:val="-3"/>
          <w:sz w:val="18"/>
          <w:szCs w:val="18"/>
          <w:lang w:val="es-ES_tradnl"/>
        </w:rPr>
        <w:t>capacidad contributiva</w:t>
      </w:r>
      <w:r>
        <w:rPr>
          <w:rFonts w:cs="Times New Roman"/>
          <w:spacing w:val="-3"/>
          <w:sz w:val="18"/>
          <w:szCs w:val="18"/>
          <w:lang w:val="es-ES_tradnl"/>
        </w:rPr>
        <w:t>”</w:t>
      </w:r>
      <w:r>
        <w:rPr>
          <w:spacing w:val="-3"/>
          <w:sz w:val="18"/>
          <w:szCs w:val="18"/>
          <w:lang w:val="es-ES_tradnl"/>
        </w:rPr>
        <w:t xml:space="preserve"> y de </w:t>
      </w:r>
      <w:r>
        <w:rPr>
          <w:rFonts w:cs="Times New Roman"/>
          <w:spacing w:val="-3"/>
          <w:sz w:val="18"/>
          <w:szCs w:val="18"/>
          <w:lang w:val="es-ES_tradnl"/>
        </w:rPr>
        <w:t>“</w:t>
      </w:r>
      <w:r>
        <w:rPr>
          <w:spacing w:val="-3"/>
          <w:sz w:val="18"/>
          <w:szCs w:val="18"/>
          <w:lang w:val="es-ES_tradnl"/>
        </w:rPr>
        <w:t>no confiscatoriedad</w:t>
      </w:r>
      <w:r>
        <w:rPr>
          <w:rFonts w:cs="Times New Roman"/>
          <w:spacing w:val="-3"/>
          <w:sz w:val="18"/>
          <w:szCs w:val="18"/>
          <w:lang w:val="es-ES_tradnl"/>
        </w:rPr>
        <w:t>”</w:t>
      </w:r>
      <w:r>
        <w:rPr>
          <w:spacing w:val="-3"/>
          <w:sz w:val="18"/>
          <w:szCs w:val="18"/>
          <w:lang w:val="es-ES_tradnl"/>
        </w:rPr>
        <w:t xml:space="preserve">, los </w:t>
      </w:r>
      <w:r>
        <w:rPr>
          <w:spacing w:val="-6"/>
          <w:sz w:val="18"/>
          <w:szCs w:val="18"/>
          <w:lang w:val="es-ES_tradnl"/>
        </w:rPr>
        <w:t>cuales, pese a no constar en la Carta Suprema, guardan una estrecha relaci</w:t>
      </w:r>
      <w:r>
        <w:rPr>
          <w:rFonts w:cs="Times New Roman"/>
          <w:spacing w:val="-6"/>
          <w:sz w:val="18"/>
          <w:szCs w:val="18"/>
          <w:lang w:val="es-ES_tradnl"/>
        </w:rPr>
        <w:t>ó</w:t>
      </w:r>
      <w:r>
        <w:rPr>
          <w:spacing w:val="-6"/>
          <w:sz w:val="18"/>
          <w:szCs w:val="18"/>
          <w:lang w:val="es-ES_tradnl"/>
        </w:rPr>
        <w:t xml:space="preserve">n con los principios enunciados en el </w:t>
      </w:r>
      <w:r>
        <w:rPr>
          <w:sz w:val="18"/>
          <w:szCs w:val="18"/>
          <w:lang w:val="es-ES_tradnl"/>
        </w:rPr>
        <w:t>art</w:t>
      </w:r>
      <w:r>
        <w:rPr>
          <w:rFonts w:cs="Times New Roman"/>
          <w:sz w:val="18"/>
          <w:szCs w:val="18"/>
          <w:lang w:val="es-ES_tradnl"/>
        </w:rPr>
        <w:t>í</w:t>
      </w:r>
      <w:r>
        <w:rPr>
          <w:sz w:val="18"/>
          <w:szCs w:val="18"/>
          <w:lang w:val="es-ES_tradnl"/>
        </w:rPr>
        <w:t>culo 300 de la Constituci</w:t>
      </w:r>
      <w:r>
        <w:rPr>
          <w:rFonts w:cs="Times New Roman"/>
          <w:sz w:val="18"/>
          <w:szCs w:val="18"/>
          <w:lang w:val="es-ES_tradnl"/>
        </w:rPr>
        <w:t>ó</w:t>
      </w:r>
      <w:r>
        <w:rPr>
          <w:sz w:val="18"/>
          <w:szCs w:val="18"/>
          <w:lang w:val="es-ES_tradnl"/>
        </w:rPr>
        <w:t>n</w:t>
      </w:r>
      <w:r>
        <w:rPr>
          <w:sz w:val="18"/>
          <w:szCs w:val="18"/>
          <w:vertAlign w:val="superscript"/>
          <w:lang w:val="es-ES_tradnl"/>
        </w:rPr>
        <w:t>12</w:t>
      </w:r>
      <w:r>
        <w:rPr>
          <w:sz w:val="18"/>
          <w:szCs w:val="18"/>
          <w:lang w:val="es-ES_tradnl"/>
        </w:rPr>
        <w:t>.</w:t>
      </w:r>
    </w:p>
    <w:p w14:paraId="4F67A642" w14:textId="77777777" w:rsidR="00591D54" w:rsidRDefault="00591D54">
      <w:pPr>
        <w:shd w:val="clear" w:color="auto" w:fill="FFFFFF"/>
        <w:tabs>
          <w:tab w:val="left" w:pos="139"/>
        </w:tabs>
        <w:spacing w:before="672" w:line="178" w:lineRule="exact"/>
        <w:ind w:left="139" w:right="5" w:hanging="139"/>
        <w:jc w:val="both"/>
      </w:pPr>
      <w:r>
        <w:rPr>
          <w:spacing w:val="-52"/>
          <w:sz w:val="16"/>
          <w:szCs w:val="16"/>
          <w:vertAlign w:val="superscript"/>
          <w:lang w:val="es-ES_tradnl"/>
        </w:rPr>
        <w:t>11</w:t>
      </w:r>
      <w:r>
        <w:rPr>
          <w:sz w:val="18"/>
          <w:szCs w:val="18"/>
          <w:lang w:val="es-ES_tradnl"/>
        </w:rPr>
        <w:tab/>
      </w:r>
      <w:r>
        <w:rPr>
          <w:sz w:val="14"/>
          <w:szCs w:val="14"/>
          <w:lang w:val="es-ES_tradnl"/>
        </w:rPr>
        <w:t>C</w:t>
      </w:r>
      <w:r>
        <w:rPr>
          <w:rFonts w:cs="Times New Roman"/>
          <w:sz w:val="14"/>
          <w:szCs w:val="14"/>
          <w:lang w:val="es-ES_tradnl"/>
        </w:rPr>
        <w:t>ó</w:t>
      </w:r>
      <w:r>
        <w:rPr>
          <w:sz w:val="14"/>
          <w:szCs w:val="14"/>
          <w:lang w:val="es-ES_tradnl"/>
        </w:rPr>
        <w:t>digo</w:t>
      </w:r>
      <w:r>
        <w:rPr>
          <w:sz w:val="18"/>
          <w:szCs w:val="18"/>
          <w:lang w:val="es-ES_tradnl"/>
        </w:rPr>
        <w:t xml:space="preserve"> </w:t>
      </w:r>
      <w:r>
        <w:rPr>
          <w:sz w:val="14"/>
          <w:szCs w:val="14"/>
          <w:lang w:val="es-ES_tradnl"/>
        </w:rPr>
        <w:t>Tributario:</w:t>
      </w:r>
      <w:r>
        <w:rPr>
          <w:sz w:val="18"/>
          <w:szCs w:val="18"/>
          <w:lang w:val="es-ES_tradnl"/>
        </w:rPr>
        <w:t xml:space="preserve"> </w:t>
      </w:r>
      <w:r>
        <w:rPr>
          <w:sz w:val="14"/>
          <w:szCs w:val="14"/>
          <w:lang w:val="es-ES_tradnl"/>
        </w:rPr>
        <w:t>Art.</w:t>
      </w:r>
      <w:r>
        <w:rPr>
          <w:sz w:val="18"/>
          <w:szCs w:val="18"/>
          <w:lang w:val="es-ES_tradnl"/>
        </w:rPr>
        <w:t xml:space="preserve"> </w:t>
      </w:r>
      <w:r>
        <w:rPr>
          <w:sz w:val="14"/>
          <w:szCs w:val="14"/>
          <w:lang w:val="es-ES_tradnl"/>
        </w:rPr>
        <w:t>5.-</w:t>
      </w:r>
      <w:r>
        <w:rPr>
          <w:sz w:val="18"/>
          <w:szCs w:val="18"/>
          <w:lang w:val="es-ES_tradnl"/>
        </w:rPr>
        <w:t xml:space="preserve"> </w:t>
      </w:r>
      <w:r>
        <w:rPr>
          <w:sz w:val="14"/>
          <w:szCs w:val="14"/>
          <w:lang w:val="es-ES_tradnl"/>
        </w:rPr>
        <w:t>Principios</w:t>
      </w:r>
      <w:r>
        <w:rPr>
          <w:sz w:val="18"/>
          <w:szCs w:val="18"/>
          <w:lang w:val="es-ES_tradnl"/>
        </w:rPr>
        <w:t xml:space="preserve"> </w:t>
      </w:r>
      <w:r>
        <w:rPr>
          <w:sz w:val="14"/>
          <w:szCs w:val="14"/>
          <w:lang w:val="es-ES_tradnl"/>
        </w:rPr>
        <w:t>tributarios.-</w:t>
      </w:r>
      <w:r>
        <w:rPr>
          <w:sz w:val="18"/>
          <w:szCs w:val="18"/>
          <w:lang w:val="es-ES_tradnl"/>
        </w:rPr>
        <w:t xml:space="preserve"> </w:t>
      </w:r>
      <w:r>
        <w:rPr>
          <w:sz w:val="14"/>
          <w:szCs w:val="14"/>
          <w:lang w:val="es-ES_tradnl"/>
        </w:rPr>
        <w:t>El</w:t>
      </w:r>
      <w:r>
        <w:rPr>
          <w:sz w:val="18"/>
          <w:szCs w:val="18"/>
          <w:lang w:val="es-ES_tradnl"/>
        </w:rPr>
        <w:t xml:space="preserve"> </w:t>
      </w:r>
      <w:r>
        <w:rPr>
          <w:sz w:val="14"/>
          <w:szCs w:val="14"/>
          <w:lang w:val="es-ES_tradnl"/>
        </w:rPr>
        <w:t>r</w:t>
      </w:r>
      <w:r>
        <w:rPr>
          <w:rFonts w:cs="Times New Roman"/>
          <w:sz w:val="14"/>
          <w:szCs w:val="14"/>
          <w:lang w:val="es-ES_tradnl"/>
        </w:rPr>
        <w:t>é</w:t>
      </w:r>
      <w:r>
        <w:rPr>
          <w:sz w:val="14"/>
          <w:szCs w:val="14"/>
          <w:lang w:val="es-ES_tradnl"/>
        </w:rPr>
        <w:t>gimen tributario se regir</w:t>
      </w:r>
      <w:r>
        <w:rPr>
          <w:rFonts w:cs="Times New Roman"/>
          <w:sz w:val="14"/>
          <w:szCs w:val="14"/>
          <w:lang w:val="es-ES_tradnl"/>
        </w:rPr>
        <w:t>á</w:t>
      </w:r>
      <w:r>
        <w:rPr>
          <w:sz w:val="14"/>
          <w:szCs w:val="14"/>
          <w:lang w:val="es-ES_tradnl"/>
        </w:rPr>
        <w:t xml:space="preserve"> por los principios de legalidad, generalidad, igualdad, proporcionalidad e irretroactividad.</w:t>
      </w:r>
    </w:p>
    <w:p w14:paraId="4F67A643" w14:textId="77777777" w:rsidR="00591D54" w:rsidRDefault="00591D54">
      <w:pPr>
        <w:shd w:val="clear" w:color="auto" w:fill="FFFFFF"/>
        <w:tabs>
          <w:tab w:val="left" w:pos="139"/>
        </w:tabs>
        <w:spacing w:before="154" w:line="178" w:lineRule="exact"/>
        <w:ind w:left="139" w:right="5" w:hanging="139"/>
        <w:jc w:val="both"/>
      </w:pPr>
      <w:r>
        <w:rPr>
          <w:spacing w:val="-5"/>
          <w:sz w:val="8"/>
          <w:szCs w:val="8"/>
          <w:vertAlign w:val="superscript"/>
          <w:lang w:val="es-ES_tradnl"/>
        </w:rPr>
        <w:t>12</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0016-15-SIN-CC:</w:t>
      </w:r>
      <w:r>
        <w:rPr>
          <w:sz w:val="18"/>
          <w:szCs w:val="18"/>
          <w:lang w:val="es-ES_tradnl"/>
        </w:rPr>
        <w:t xml:space="preserve"> </w:t>
      </w:r>
      <w:r>
        <w:rPr>
          <w:sz w:val="14"/>
          <w:szCs w:val="14"/>
          <w:lang w:val="es-ES_tradnl"/>
        </w:rPr>
        <w:t>Precisamente, dicha conexi</w:t>
      </w:r>
      <w:r>
        <w:rPr>
          <w:rFonts w:cs="Times New Roman"/>
          <w:sz w:val="14"/>
          <w:szCs w:val="14"/>
          <w:lang w:val="es-ES_tradnl"/>
        </w:rPr>
        <w:t>ó</w:t>
      </w:r>
      <w:r>
        <w:rPr>
          <w:sz w:val="14"/>
          <w:szCs w:val="14"/>
          <w:lang w:val="es-ES_tradnl"/>
        </w:rPr>
        <w:t>n entre principios tributarios fue reconocida por la Corte Constitucional, para el per</w:t>
      </w:r>
      <w:r>
        <w:rPr>
          <w:rFonts w:cs="Times New Roman"/>
          <w:sz w:val="14"/>
          <w:szCs w:val="14"/>
          <w:lang w:val="es-ES_tradnl"/>
        </w:rPr>
        <w:t>í</w:t>
      </w:r>
      <w:r>
        <w:rPr>
          <w:sz w:val="14"/>
          <w:szCs w:val="14"/>
          <w:lang w:val="es-ES_tradnl"/>
        </w:rPr>
        <w:t>odo de transici</w:t>
      </w:r>
      <w:r>
        <w:rPr>
          <w:rFonts w:cs="Times New Roman"/>
          <w:sz w:val="14"/>
          <w:szCs w:val="14"/>
          <w:lang w:val="es-ES_tradnl"/>
        </w:rPr>
        <w:t>ó</w:t>
      </w:r>
      <w:r>
        <w:rPr>
          <w:sz w:val="14"/>
          <w:szCs w:val="14"/>
          <w:lang w:val="es-ES_tradnl"/>
        </w:rPr>
        <w:t>n, dentro de su sentencia N.</w:t>
      </w:r>
      <w:r>
        <w:rPr>
          <w:rFonts w:cs="Times New Roman"/>
          <w:sz w:val="14"/>
          <w:szCs w:val="14"/>
          <w:lang w:val="es-ES_tradnl"/>
        </w:rPr>
        <w:t>º</w:t>
      </w:r>
      <w:r>
        <w:rPr>
          <w:sz w:val="14"/>
          <w:szCs w:val="14"/>
          <w:lang w:val="es-ES_tradnl"/>
        </w:rPr>
        <w:t xml:space="preserve"> 004-11-SIN-CC, en donde se analiz</w:t>
      </w:r>
      <w:r>
        <w:rPr>
          <w:rFonts w:cs="Times New Roman"/>
          <w:sz w:val="14"/>
          <w:szCs w:val="14"/>
          <w:lang w:val="es-ES_tradnl"/>
        </w:rPr>
        <w:t>ó</w:t>
      </w:r>
      <w:r>
        <w:rPr>
          <w:sz w:val="14"/>
          <w:szCs w:val="14"/>
          <w:lang w:val="es-ES_tradnl"/>
        </w:rPr>
        <w:t xml:space="preserve"> el principio de </w:t>
      </w:r>
      <w:r>
        <w:rPr>
          <w:spacing w:val="-3"/>
          <w:sz w:val="14"/>
          <w:szCs w:val="14"/>
          <w:lang w:val="es-ES_tradnl"/>
        </w:rPr>
        <w:t>capacidad contributiva al momento de sustentar la constitucionalidad de una norma, pese a que el mismo no se encuentra enunciado en la </w:t>
      </w:r>
      <w:r>
        <w:rPr>
          <w:sz w:val="14"/>
          <w:szCs w:val="14"/>
          <w:lang w:val="es-ES_tradnl"/>
        </w:rPr>
        <w:t>norma constitucional.</w:t>
      </w:r>
    </w:p>
    <w:p w14:paraId="4F67A644" w14:textId="77777777" w:rsidR="00591D54" w:rsidRDefault="00591D54">
      <w:pPr>
        <w:shd w:val="clear" w:color="auto" w:fill="FFFFFF"/>
        <w:spacing w:before="10" w:line="216" w:lineRule="exact"/>
        <w:ind w:right="5"/>
        <w:jc w:val="both"/>
      </w:pPr>
      <w:r>
        <w:br w:type="column"/>
      </w:r>
      <w:r>
        <w:rPr>
          <w:spacing w:val="-8"/>
          <w:sz w:val="18"/>
          <w:szCs w:val="18"/>
          <w:lang w:val="es-ES_tradnl"/>
        </w:rPr>
        <w:t>En relaci</w:t>
      </w:r>
      <w:r>
        <w:rPr>
          <w:rFonts w:cs="Times New Roman"/>
          <w:spacing w:val="-8"/>
          <w:sz w:val="18"/>
          <w:szCs w:val="18"/>
          <w:lang w:val="es-ES_tradnl"/>
        </w:rPr>
        <w:t>ó</w:t>
      </w:r>
      <w:r>
        <w:rPr>
          <w:spacing w:val="-8"/>
          <w:sz w:val="18"/>
          <w:szCs w:val="18"/>
          <w:lang w:val="es-ES_tradnl"/>
        </w:rPr>
        <w:t>n a lo antes se</w:t>
      </w:r>
      <w:r>
        <w:rPr>
          <w:rFonts w:cs="Times New Roman"/>
          <w:spacing w:val="-8"/>
          <w:sz w:val="18"/>
          <w:szCs w:val="18"/>
          <w:lang w:val="es-ES_tradnl"/>
        </w:rPr>
        <w:t>ñ</w:t>
      </w:r>
      <w:r>
        <w:rPr>
          <w:spacing w:val="-8"/>
          <w:sz w:val="18"/>
          <w:szCs w:val="18"/>
          <w:lang w:val="es-ES_tradnl"/>
        </w:rPr>
        <w:t xml:space="preserve">alado, en base a los argumentos </w:t>
      </w:r>
      <w:r>
        <w:rPr>
          <w:spacing w:val="-4"/>
          <w:sz w:val="18"/>
          <w:szCs w:val="18"/>
          <w:lang w:val="es-ES_tradnl"/>
        </w:rPr>
        <w:t xml:space="preserve">vertidos por la accionante, corresponde analizar si las </w:t>
      </w:r>
      <w:r>
        <w:rPr>
          <w:spacing w:val="-3"/>
          <w:sz w:val="18"/>
          <w:szCs w:val="18"/>
          <w:lang w:val="es-ES_tradnl"/>
        </w:rPr>
        <w:t>tarifas fijadas dentro del art</w:t>
      </w:r>
      <w:r>
        <w:rPr>
          <w:rFonts w:cs="Times New Roman"/>
          <w:spacing w:val="-3"/>
          <w:sz w:val="18"/>
          <w:szCs w:val="18"/>
          <w:lang w:val="es-ES_tradnl"/>
        </w:rPr>
        <w:t>í</w:t>
      </w:r>
      <w:r>
        <w:rPr>
          <w:spacing w:val="-3"/>
          <w:sz w:val="18"/>
          <w:szCs w:val="18"/>
          <w:lang w:val="es-ES_tradnl"/>
        </w:rPr>
        <w:t xml:space="preserve">culo 18 de la Ordenanza </w:t>
      </w:r>
      <w:r>
        <w:rPr>
          <w:spacing w:val="-8"/>
          <w:sz w:val="18"/>
          <w:szCs w:val="18"/>
          <w:lang w:val="es-ES_tradnl"/>
        </w:rPr>
        <w:t>dictada por el GAD municipal de Chone, espec</w:t>
      </w:r>
      <w:r>
        <w:rPr>
          <w:rFonts w:cs="Times New Roman"/>
          <w:spacing w:val="-8"/>
          <w:sz w:val="18"/>
          <w:szCs w:val="18"/>
          <w:lang w:val="es-ES_tradnl"/>
        </w:rPr>
        <w:t>í</w:t>
      </w:r>
      <w:r>
        <w:rPr>
          <w:spacing w:val="-8"/>
          <w:sz w:val="18"/>
          <w:szCs w:val="18"/>
          <w:lang w:val="es-ES_tradnl"/>
        </w:rPr>
        <w:t>ficamente, en los numerales 1, 5 y 7 materia de an</w:t>
      </w:r>
      <w:r>
        <w:rPr>
          <w:rFonts w:cs="Times New Roman"/>
          <w:spacing w:val="-8"/>
          <w:sz w:val="18"/>
          <w:szCs w:val="18"/>
          <w:lang w:val="es-ES_tradnl"/>
        </w:rPr>
        <w:t>á</w:t>
      </w:r>
      <w:r>
        <w:rPr>
          <w:spacing w:val="-8"/>
          <w:sz w:val="18"/>
          <w:szCs w:val="18"/>
          <w:lang w:val="es-ES_tradnl"/>
        </w:rPr>
        <w:t xml:space="preserve">lisis en el presente </w:t>
      </w:r>
      <w:r>
        <w:rPr>
          <w:spacing w:val="-6"/>
          <w:sz w:val="18"/>
          <w:szCs w:val="18"/>
          <w:lang w:val="es-ES_tradnl"/>
        </w:rPr>
        <w:t>problema jur</w:t>
      </w:r>
      <w:r>
        <w:rPr>
          <w:rFonts w:cs="Times New Roman"/>
          <w:spacing w:val="-6"/>
          <w:sz w:val="18"/>
          <w:szCs w:val="18"/>
          <w:lang w:val="es-ES_tradnl"/>
        </w:rPr>
        <w:t>í</w:t>
      </w:r>
      <w:r>
        <w:rPr>
          <w:spacing w:val="-6"/>
          <w:sz w:val="18"/>
          <w:szCs w:val="18"/>
          <w:lang w:val="es-ES_tradnl"/>
        </w:rPr>
        <w:t>dico, correspondientes al cobro de tasas generadas respecto de la implantaci</w:t>
      </w:r>
      <w:r>
        <w:rPr>
          <w:rFonts w:cs="Times New Roman"/>
          <w:spacing w:val="-6"/>
          <w:sz w:val="18"/>
          <w:szCs w:val="18"/>
          <w:lang w:val="es-ES_tradnl"/>
        </w:rPr>
        <w:t>ó</w:t>
      </w:r>
      <w:r>
        <w:rPr>
          <w:spacing w:val="-6"/>
          <w:sz w:val="18"/>
          <w:szCs w:val="18"/>
          <w:lang w:val="es-ES_tradnl"/>
        </w:rPr>
        <w:t>n e instalaci</w:t>
      </w:r>
      <w:r>
        <w:rPr>
          <w:rFonts w:cs="Times New Roman"/>
          <w:spacing w:val="-6"/>
          <w:sz w:val="18"/>
          <w:szCs w:val="18"/>
          <w:lang w:val="es-ES_tradnl"/>
        </w:rPr>
        <w:t>ó</w:t>
      </w:r>
      <w:r>
        <w:rPr>
          <w:spacing w:val="-6"/>
          <w:sz w:val="18"/>
          <w:szCs w:val="18"/>
          <w:lang w:val="es-ES_tradnl"/>
        </w:rPr>
        <w:t xml:space="preserve">n de </w:t>
      </w:r>
      <w:r>
        <w:rPr>
          <w:spacing w:val="-7"/>
          <w:sz w:val="18"/>
          <w:szCs w:val="18"/>
          <w:lang w:val="es-ES_tradnl"/>
        </w:rPr>
        <w:t>estructuras met</w:t>
      </w:r>
      <w:r>
        <w:rPr>
          <w:rFonts w:cs="Times New Roman"/>
          <w:spacing w:val="-7"/>
          <w:sz w:val="18"/>
          <w:szCs w:val="18"/>
          <w:lang w:val="es-ES_tradnl"/>
        </w:rPr>
        <w:t>á</w:t>
      </w:r>
      <w:r>
        <w:rPr>
          <w:spacing w:val="-7"/>
          <w:sz w:val="18"/>
          <w:szCs w:val="18"/>
          <w:lang w:val="es-ES_tradnl"/>
        </w:rPr>
        <w:t>licas, antenas parab</w:t>
      </w:r>
      <w:r>
        <w:rPr>
          <w:rFonts w:cs="Times New Roman"/>
          <w:spacing w:val="-7"/>
          <w:sz w:val="18"/>
          <w:szCs w:val="18"/>
          <w:lang w:val="es-ES_tradnl"/>
        </w:rPr>
        <w:t>ó</w:t>
      </w:r>
      <w:r>
        <w:rPr>
          <w:spacing w:val="-7"/>
          <w:sz w:val="18"/>
          <w:szCs w:val="18"/>
          <w:lang w:val="es-ES_tradnl"/>
        </w:rPr>
        <w:t xml:space="preserve">licas y postes, son </w:t>
      </w:r>
      <w:r>
        <w:rPr>
          <w:spacing w:val="-3"/>
          <w:sz w:val="18"/>
          <w:szCs w:val="18"/>
          <w:lang w:val="es-ES_tradnl"/>
        </w:rPr>
        <w:t xml:space="preserve">contrarias o no al principio constitucional tributario de </w:t>
      </w:r>
      <w:r>
        <w:rPr>
          <w:sz w:val="18"/>
          <w:szCs w:val="18"/>
          <w:lang w:val="es-ES_tradnl"/>
        </w:rPr>
        <w:t>equidad.</w:t>
      </w:r>
    </w:p>
    <w:p w14:paraId="4F67A645" w14:textId="77777777" w:rsidR="00591D54" w:rsidRDefault="00591D54">
      <w:pPr>
        <w:shd w:val="clear" w:color="auto" w:fill="FFFFFF"/>
        <w:spacing w:before="197" w:line="216" w:lineRule="exact"/>
        <w:ind w:right="5"/>
        <w:jc w:val="both"/>
      </w:pPr>
      <w:r>
        <w:rPr>
          <w:sz w:val="18"/>
          <w:szCs w:val="18"/>
          <w:lang w:val="es-ES_tradnl"/>
        </w:rPr>
        <w:t xml:space="preserve">Para ello, resulta imprescindible partir de un breve </w:t>
      </w:r>
      <w:r>
        <w:rPr>
          <w:spacing w:val="-7"/>
          <w:sz w:val="18"/>
          <w:szCs w:val="18"/>
          <w:lang w:val="es-ES_tradnl"/>
        </w:rPr>
        <w:t>an</w:t>
      </w:r>
      <w:r>
        <w:rPr>
          <w:rFonts w:cs="Times New Roman"/>
          <w:spacing w:val="-7"/>
          <w:sz w:val="18"/>
          <w:szCs w:val="18"/>
          <w:lang w:val="es-ES_tradnl"/>
        </w:rPr>
        <w:t>á</w:t>
      </w:r>
      <w:r>
        <w:rPr>
          <w:spacing w:val="-7"/>
          <w:sz w:val="18"/>
          <w:szCs w:val="18"/>
          <w:lang w:val="es-ES_tradnl"/>
        </w:rPr>
        <w:t>lisis con respecto al tipo de tasa que se est</w:t>
      </w:r>
      <w:r>
        <w:rPr>
          <w:rFonts w:cs="Times New Roman"/>
          <w:spacing w:val="-7"/>
          <w:sz w:val="18"/>
          <w:szCs w:val="18"/>
          <w:lang w:val="es-ES_tradnl"/>
        </w:rPr>
        <w:t>á</w:t>
      </w:r>
      <w:r>
        <w:rPr>
          <w:spacing w:val="-7"/>
          <w:sz w:val="18"/>
          <w:szCs w:val="18"/>
          <w:lang w:val="es-ES_tradnl"/>
        </w:rPr>
        <w:t xml:space="preserve"> aplicando en la referida ordenanza, as</w:t>
      </w:r>
      <w:r>
        <w:rPr>
          <w:rFonts w:cs="Times New Roman"/>
          <w:spacing w:val="-7"/>
          <w:sz w:val="18"/>
          <w:szCs w:val="18"/>
          <w:lang w:val="es-ES_tradnl"/>
        </w:rPr>
        <w:t>í</w:t>
      </w:r>
      <w:r>
        <w:rPr>
          <w:spacing w:val="-7"/>
          <w:sz w:val="18"/>
          <w:szCs w:val="18"/>
          <w:lang w:val="es-ES_tradnl"/>
        </w:rPr>
        <w:t xml:space="preserve"> como las caracter</w:t>
      </w:r>
      <w:r>
        <w:rPr>
          <w:rFonts w:cs="Times New Roman"/>
          <w:spacing w:val="-7"/>
          <w:sz w:val="18"/>
          <w:szCs w:val="18"/>
          <w:lang w:val="es-ES_tradnl"/>
        </w:rPr>
        <w:t>í</w:t>
      </w:r>
      <w:r>
        <w:rPr>
          <w:spacing w:val="-7"/>
          <w:sz w:val="18"/>
          <w:szCs w:val="18"/>
          <w:lang w:val="es-ES_tradnl"/>
        </w:rPr>
        <w:t xml:space="preserve">sticas y </w:t>
      </w:r>
      <w:r>
        <w:rPr>
          <w:spacing w:val="-9"/>
          <w:sz w:val="18"/>
          <w:szCs w:val="18"/>
          <w:lang w:val="es-ES_tradnl"/>
        </w:rPr>
        <w:t xml:space="preserve">elementos que la rodean, previstas tanto en la norma como </w:t>
      </w:r>
      <w:r>
        <w:rPr>
          <w:sz w:val="18"/>
          <w:szCs w:val="18"/>
          <w:lang w:val="es-ES_tradnl"/>
        </w:rPr>
        <w:t>en la doctrina.</w:t>
      </w:r>
    </w:p>
    <w:p w14:paraId="4F67A646" w14:textId="77777777" w:rsidR="00591D54" w:rsidRDefault="00591D54">
      <w:pPr>
        <w:shd w:val="clear" w:color="auto" w:fill="FFFFFF"/>
        <w:spacing w:before="197" w:line="216" w:lineRule="exact"/>
        <w:ind w:right="5"/>
        <w:jc w:val="both"/>
      </w:pPr>
      <w:r>
        <w:rPr>
          <w:spacing w:val="-12"/>
          <w:sz w:val="18"/>
          <w:szCs w:val="18"/>
          <w:lang w:val="es-ES_tradnl"/>
        </w:rPr>
        <w:t xml:space="preserve">En primer lugar, debemos partir del hecho de que una tasa es </w:t>
      </w:r>
      <w:r>
        <w:rPr>
          <w:spacing w:val="-9"/>
          <w:sz w:val="18"/>
          <w:szCs w:val="18"/>
          <w:lang w:val="es-ES_tradnl"/>
        </w:rPr>
        <w:t>por esencia una prestaci</w:t>
      </w:r>
      <w:r>
        <w:rPr>
          <w:rFonts w:cs="Times New Roman"/>
          <w:spacing w:val="-9"/>
          <w:sz w:val="18"/>
          <w:szCs w:val="18"/>
          <w:lang w:val="es-ES_tradnl"/>
        </w:rPr>
        <w:t>ó</w:t>
      </w:r>
      <w:r>
        <w:rPr>
          <w:spacing w:val="-9"/>
          <w:sz w:val="18"/>
          <w:szCs w:val="18"/>
          <w:lang w:val="es-ES_tradnl"/>
        </w:rPr>
        <w:t>n obligatoria en favor del Estado y cuyo origen est</w:t>
      </w:r>
      <w:r>
        <w:rPr>
          <w:rFonts w:cs="Times New Roman"/>
          <w:spacing w:val="-9"/>
          <w:sz w:val="18"/>
          <w:szCs w:val="18"/>
          <w:lang w:val="es-ES_tradnl"/>
        </w:rPr>
        <w:t>á</w:t>
      </w:r>
      <w:r>
        <w:rPr>
          <w:spacing w:val="-9"/>
          <w:sz w:val="18"/>
          <w:szCs w:val="18"/>
          <w:lang w:val="es-ES_tradnl"/>
        </w:rPr>
        <w:t xml:space="preserve"> establecido en un acto normativo, es decir, </w:t>
      </w:r>
      <w:r>
        <w:rPr>
          <w:spacing w:val="-6"/>
          <w:sz w:val="18"/>
          <w:szCs w:val="18"/>
          <w:lang w:val="es-ES_tradnl"/>
        </w:rPr>
        <w:t xml:space="preserve">un tributo. Por ende, al tratarse de un gravamen impuesto </w:t>
      </w:r>
      <w:r>
        <w:rPr>
          <w:spacing w:val="-5"/>
          <w:sz w:val="18"/>
          <w:szCs w:val="18"/>
          <w:lang w:val="es-ES_tradnl"/>
        </w:rPr>
        <w:t>por un gobierno aut</w:t>
      </w:r>
      <w:r>
        <w:rPr>
          <w:rFonts w:cs="Times New Roman"/>
          <w:spacing w:val="-5"/>
          <w:sz w:val="18"/>
          <w:szCs w:val="18"/>
          <w:lang w:val="es-ES_tradnl"/>
        </w:rPr>
        <w:t>ó</w:t>
      </w:r>
      <w:r>
        <w:rPr>
          <w:spacing w:val="-5"/>
          <w:sz w:val="18"/>
          <w:szCs w:val="18"/>
          <w:lang w:val="es-ES_tradnl"/>
        </w:rPr>
        <w:t xml:space="preserve">nomo descentralizado municipal en </w:t>
      </w:r>
      <w:r>
        <w:rPr>
          <w:spacing w:val="-4"/>
          <w:sz w:val="18"/>
          <w:szCs w:val="18"/>
          <w:lang w:val="es-ES_tradnl"/>
        </w:rPr>
        <w:t>uso de su potestad tributaria prevista en la Constituci</w:t>
      </w:r>
      <w:r>
        <w:rPr>
          <w:rFonts w:cs="Times New Roman"/>
          <w:spacing w:val="-4"/>
          <w:sz w:val="18"/>
          <w:szCs w:val="18"/>
          <w:lang w:val="es-ES_tradnl"/>
        </w:rPr>
        <w:t>ó</w:t>
      </w:r>
      <w:r>
        <w:rPr>
          <w:spacing w:val="-4"/>
          <w:sz w:val="18"/>
          <w:szCs w:val="18"/>
          <w:lang w:val="es-ES_tradnl"/>
        </w:rPr>
        <w:t xml:space="preserve">n </w:t>
      </w:r>
      <w:r>
        <w:rPr>
          <w:spacing w:val="-8"/>
          <w:sz w:val="18"/>
          <w:szCs w:val="18"/>
          <w:lang w:val="es-ES_tradnl"/>
        </w:rPr>
        <w:t>de la Rep</w:t>
      </w:r>
      <w:r>
        <w:rPr>
          <w:rFonts w:cs="Times New Roman"/>
          <w:spacing w:val="-8"/>
          <w:sz w:val="18"/>
          <w:szCs w:val="18"/>
          <w:lang w:val="es-ES_tradnl"/>
        </w:rPr>
        <w:t>ú</w:t>
      </w:r>
      <w:r>
        <w:rPr>
          <w:spacing w:val="-8"/>
          <w:sz w:val="18"/>
          <w:szCs w:val="18"/>
          <w:lang w:val="es-ES_tradnl"/>
        </w:rPr>
        <w:t>blica</w:t>
      </w:r>
      <w:r>
        <w:rPr>
          <w:spacing w:val="-8"/>
          <w:sz w:val="18"/>
          <w:szCs w:val="18"/>
          <w:vertAlign w:val="superscript"/>
          <w:lang w:val="es-ES_tradnl"/>
        </w:rPr>
        <w:t>13</w:t>
      </w:r>
      <w:r>
        <w:rPr>
          <w:spacing w:val="-8"/>
          <w:sz w:val="18"/>
          <w:szCs w:val="18"/>
          <w:lang w:val="es-ES_tradnl"/>
        </w:rPr>
        <w:t xml:space="preserve"> y la ley</w:t>
      </w:r>
      <w:r>
        <w:rPr>
          <w:spacing w:val="-8"/>
          <w:sz w:val="18"/>
          <w:szCs w:val="18"/>
          <w:vertAlign w:val="superscript"/>
          <w:lang w:val="es-ES_tradnl"/>
        </w:rPr>
        <w:t>14</w:t>
      </w:r>
      <w:r>
        <w:rPr>
          <w:spacing w:val="-8"/>
          <w:sz w:val="18"/>
          <w:szCs w:val="18"/>
          <w:lang w:val="es-ES_tradnl"/>
        </w:rPr>
        <w:t>, le son plenamente aplicables los principios tributarios se</w:t>
      </w:r>
      <w:r>
        <w:rPr>
          <w:rFonts w:cs="Times New Roman"/>
          <w:spacing w:val="-8"/>
          <w:sz w:val="18"/>
          <w:szCs w:val="18"/>
          <w:lang w:val="es-ES_tradnl"/>
        </w:rPr>
        <w:t>ñ</w:t>
      </w:r>
      <w:r>
        <w:rPr>
          <w:spacing w:val="-8"/>
          <w:sz w:val="18"/>
          <w:szCs w:val="18"/>
          <w:lang w:val="es-ES_tradnl"/>
        </w:rPr>
        <w:t xml:space="preserve">alados en el presente problema </w:t>
      </w:r>
      <w:r>
        <w:rPr>
          <w:sz w:val="18"/>
          <w:szCs w:val="18"/>
          <w:lang w:val="es-ES_tradnl"/>
        </w:rPr>
        <w:t>jur</w:t>
      </w:r>
      <w:r>
        <w:rPr>
          <w:rFonts w:cs="Times New Roman"/>
          <w:sz w:val="18"/>
          <w:szCs w:val="18"/>
          <w:lang w:val="es-ES_tradnl"/>
        </w:rPr>
        <w:t>í</w:t>
      </w:r>
      <w:r>
        <w:rPr>
          <w:sz w:val="18"/>
          <w:szCs w:val="18"/>
          <w:lang w:val="es-ES_tradnl"/>
        </w:rPr>
        <w:t>dico.</w:t>
      </w:r>
    </w:p>
    <w:p w14:paraId="4F67A647" w14:textId="77777777" w:rsidR="00591D54" w:rsidRDefault="00591D54">
      <w:pPr>
        <w:shd w:val="clear" w:color="auto" w:fill="FFFFFF"/>
        <w:spacing w:before="192" w:line="216" w:lineRule="exact"/>
        <w:ind w:right="5"/>
        <w:jc w:val="both"/>
      </w:pPr>
      <w:r>
        <w:rPr>
          <w:spacing w:val="-6"/>
          <w:sz w:val="18"/>
          <w:szCs w:val="18"/>
          <w:lang w:val="es-ES_tradnl"/>
        </w:rPr>
        <w:t>Conforme lo establece el ordenamiento jur</w:t>
      </w:r>
      <w:r>
        <w:rPr>
          <w:rFonts w:cs="Times New Roman"/>
          <w:spacing w:val="-6"/>
          <w:sz w:val="18"/>
          <w:szCs w:val="18"/>
          <w:lang w:val="es-ES_tradnl"/>
        </w:rPr>
        <w:t>í</w:t>
      </w:r>
      <w:r>
        <w:rPr>
          <w:spacing w:val="-6"/>
          <w:sz w:val="18"/>
          <w:szCs w:val="18"/>
          <w:lang w:val="es-ES_tradnl"/>
        </w:rPr>
        <w:t xml:space="preserve">dico y en este </w:t>
      </w:r>
      <w:r>
        <w:rPr>
          <w:spacing w:val="-5"/>
          <w:sz w:val="18"/>
          <w:szCs w:val="18"/>
          <w:lang w:val="es-ES_tradnl"/>
        </w:rPr>
        <w:t>caso en concreto, el C</w:t>
      </w:r>
      <w:r>
        <w:rPr>
          <w:rFonts w:cs="Times New Roman"/>
          <w:spacing w:val="-5"/>
          <w:sz w:val="18"/>
          <w:szCs w:val="18"/>
          <w:lang w:val="es-ES_tradnl"/>
        </w:rPr>
        <w:t>ó</w:t>
      </w:r>
      <w:r>
        <w:rPr>
          <w:spacing w:val="-5"/>
          <w:sz w:val="18"/>
          <w:szCs w:val="18"/>
          <w:lang w:val="es-ES_tradnl"/>
        </w:rPr>
        <w:t>digo Org</w:t>
      </w:r>
      <w:r>
        <w:rPr>
          <w:rFonts w:cs="Times New Roman"/>
          <w:spacing w:val="-5"/>
          <w:sz w:val="18"/>
          <w:szCs w:val="18"/>
          <w:lang w:val="es-ES_tradnl"/>
        </w:rPr>
        <w:t>á</w:t>
      </w:r>
      <w:r>
        <w:rPr>
          <w:spacing w:val="-5"/>
          <w:sz w:val="18"/>
          <w:szCs w:val="18"/>
          <w:lang w:val="es-ES_tradnl"/>
        </w:rPr>
        <w:t>nico de Organizaci</w:t>
      </w:r>
      <w:r>
        <w:rPr>
          <w:rFonts w:cs="Times New Roman"/>
          <w:spacing w:val="-5"/>
          <w:sz w:val="18"/>
          <w:szCs w:val="18"/>
          <w:lang w:val="es-ES_tradnl"/>
        </w:rPr>
        <w:t>ó</w:t>
      </w:r>
      <w:r>
        <w:rPr>
          <w:spacing w:val="-5"/>
          <w:sz w:val="18"/>
          <w:szCs w:val="18"/>
          <w:lang w:val="es-ES_tradnl"/>
        </w:rPr>
        <w:t xml:space="preserve">n </w:t>
      </w:r>
      <w:r>
        <w:rPr>
          <w:spacing w:val="-6"/>
          <w:sz w:val="18"/>
          <w:szCs w:val="18"/>
          <w:lang w:val="es-ES_tradnl"/>
        </w:rPr>
        <w:t>Territorial, Autonom</w:t>
      </w:r>
      <w:r>
        <w:rPr>
          <w:rFonts w:cs="Times New Roman"/>
          <w:spacing w:val="-6"/>
          <w:sz w:val="18"/>
          <w:szCs w:val="18"/>
          <w:lang w:val="es-ES_tradnl"/>
        </w:rPr>
        <w:t>í</w:t>
      </w:r>
      <w:r>
        <w:rPr>
          <w:spacing w:val="-6"/>
          <w:sz w:val="18"/>
          <w:szCs w:val="18"/>
          <w:lang w:val="es-ES_tradnl"/>
        </w:rPr>
        <w:t>a y Descentralizaci</w:t>
      </w:r>
      <w:r>
        <w:rPr>
          <w:rFonts w:cs="Times New Roman"/>
          <w:spacing w:val="-6"/>
          <w:sz w:val="18"/>
          <w:szCs w:val="18"/>
          <w:lang w:val="es-ES_tradnl"/>
        </w:rPr>
        <w:t>ó</w:t>
      </w:r>
      <w:r>
        <w:rPr>
          <w:spacing w:val="-6"/>
          <w:sz w:val="18"/>
          <w:szCs w:val="18"/>
          <w:lang w:val="es-ES_tradnl"/>
        </w:rPr>
        <w:t xml:space="preserve">n (COOTAD), en </w:t>
      </w:r>
      <w:r>
        <w:rPr>
          <w:spacing w:val="-8"/>
          <w:sz w:val="18"/>
          <w:szCs w:val="18"/>
          <w:lang w:val="es-ES_tradnl"/>
        </w:rPr>
        <w:t>funci</w:t>
      </w:r>
      <w:r>
        <w:rPr>
          <w:rFonts w:cs="Times New Roman"/>
          <w:spacing w:val="-8"/>
          <w:sz w:val="18"/>
          <w:szCs w:val="18"/>
          <w:lang w:val="es-ES_tradnl"/>
        </w:rPr>
        <w:t>ó</w:t>
      </w:r>
      <w:r>
        <w:rPr>
          <w:spacing w:val="-8"/>
          <w:sz w:val="18"/>
          <w:szCs w:val="18"/>
          <w:lang w:val="es-ES_tradnl"/>
        </w:rPr>
        <w:t>n del cual los gobiernos aut</w:t>
      </w:r>
      <w:r>
        <w:rPr>
          <w:rFonts w:cs="Times New Roman"/>
          <w:spacing w:val="-8"/>
          <w:sz w:val="18"/>
          <w:szCs w:val="18"/>
          <w:lang w:val="es-ES_tradnl"/>
        </w:rPr>
        <w:t>ó</w:t>
      </w:r>
      <w:r>
        <w:rPr>
          <w:spacing w:val="-8"/>
          <w:sz w:val="18"/>
          <w:szCs w:val="18"/>
          <w:lang w:val="es-ES_tradnl"/>
        </w:rPr>
        <w:t xml:space="preserve">nomos descentralizados </w:t>
      </w:r>
      <w:r>
        <w:rPr>
          <w:spacing w:val="-9"/>
          <w:sz w:val="18"/>
          <w:szCs w:val="18"/>
          <w:lang w:val="es-ES_tradnl"/>
        </w:rPr>
        <w:t xml:space="preserve">municipales gozan de la potestad para crear tasas ante dos </w:t>
      </w:r>
      <w:r>
        <w:rPr>
          <w:spacing w:val="-8"/>
          <w:sz w:val="18"/>
          <w:szCs w:val="18"/>
          <w:lang w:val="es-ES_tradnl"/>
        </w:rPr>
        <w:t xml:space="preserve">supuestos claramente identificables en la norma, lo que se </w:t>
      </w:r>
      <w:r>
        <w:rPr>
          <w:spacing w:val="-7"/>
          <w:sz w:val="18"/>
          <w:szCs w:val="18"/>
          <w:lang w:val="es-ES_tradnl"/>
        </w:rPr>
        <w:t>conoce en t</w:t>
      </w:r>
      <w:r>
        <w:rPr>
          <w:rFonts w:cs="Times New Roman"/>
          <w:spacing w:val="-7"/>
          <w:sz w:val="18"/>
          <w:szCs w:val="18"/>
          <w:lang w:val="es-ES_tradnl"/>
        </w:rPr>
        <w:t>é</w:t>
      </w:r>
      <w:r>
        <w:rPr>
          <w:spacing w:val="-7"/>
          <w:sz w:val="18"/>
          <w:szCs w:val="18"/>
          <w:lang w:val="es-ES_tradnl"/>
        </w:rPr>
        <w:t>rminos tributarios como hecho generador.</w:t>
      </w:r>
    </w:p>
    <w:p w14:paraId="4F67A648" w14:textId="77777777" w:rsidR="00591D54" w:rsidRDefault="00591D54">
      <w:pPr>
        <w:shd w:val="clear" w:color="auto" w:fill="FFFFFF"/>
        <w:spacing w:before="192" w:line="211" w:lineRule="exact"/>
        <w:jc w:val="both"/>
      </w:pPr>
      <w:r>
        <w:rPr>
          <w:spacing w:val="-4"/>
          <w:sz w:val="18"/>
          <w:szCs w:val="18"/>
          <w:lang w:val="es-ES_tradnl"/>
        </w:rPr>
        <w:t>El primero de ellos es en relaci</w:t>
      </w:r>
      <w:r>
        <w:rPr>
          <w:rFonts w:cs="Times New Roman"/>
          <w:spacing w:val="-4"/>
          <w:sz w:val="18"/>
          <w:szCs w:val="18"/>
          <w:lang w:val="es-ES_tradnl"/>
        </w:rPr>
        <w:t>ó</w:t>
      </w:r>
      <w:r>
        <w:rPr>
          <w:spacing w:val="-4"/>
          <w:sz w:val="18"/>
          <w:szCs w:val="18"/>
          <w:lang w:val="es-ES_tradnl"/>
        </w:rPr>
        <w:t>n a la prestaci</w:t>
      </w:r>
      <w:r>
        <w:rPr>
          <w:rFonts w:cs="Times New Roman"/>
          <w:spacing w:val="-4"/>
          <w:sz w:val="18"/>
          <w:szCs w:val="18"/>
          <w:lang w:val="es-ES_tradnl"/>
        </w:rPr>
        <w:t>ó</w:t>
      </w:r>
      <w:r>
        <w:rPr>
          <w:spacing w:val="-4"/>
          <w:sz w:val="18"/>
          <w:szCs w:val="18"/>
          <w:lang w:val="es-ES_tradnl"/>
        </w:rPr>
        <w:t xml:space="preserve">n de un </w:t>
      </w:r>
      <w:r>
        <w:rPr>
          <w:spacing w:val="-9"/>
          <w:sz w:val="18"/>
          <w:szCs w:val="18"/>
          <w:lang w:val="es-ES_tradnl"/>
        </w:rPr>
        <w:t>servicio p</w:t>
      </w:r>
      <w:r>
        <w:rPr>
          <w:rFonts w:cs="Times New Roman"/>
          <w:spacing w:val="-9"/>
          <w:sz w:val="18"/>
          <w:szCs w:val="18"/>
          <w:lang w:val="es-ES_tradnl"/>
        </w:rPr>
        <w:t>ú</w:t>
      </w:r>
      <w:r>
        <w:rPr>
          <w:spacing w:val="-9"/>
          <w:sz w:val="18"/>
          <w:szCs w:val="18"/>
          <w:lang w:val="es-ES_tradnl"/>
        </w:rPr>
        <w:t xml:space="preserve">blico en el marco de las competencias, en donde </w:t>
      </w:r>
      <w:r>
        <w:rPr>
          <w:spacing w:val="-3"/>
          <w:sz w:val="18"/>
          <w:szCs w:val="18"/>
          <w:lang w:val="es-ES_tradnl"/>
        </w:rPr>
        <w:t xml:space="preserve">el Gobierno Municipal exige de los ciudadanos el pago </w:t>
      </w:r>
      <w:r>
        <w:rPr>
          <w:spacing w:val="-5"/>
          <w:sz w:val="18"/>
          <w:szCs w:val="18"/>
          <w:lang w:val="es-ES_tradnl"/>
        </w:rPr>
        <w:t>de un monto econ</w:t>
      </w:r>
      <w:r>
        <w:rPr>
          <w:rFonts w:cs="Times New Roman"/>
          <w:spacing w:val="-5"/>
          <w:sz w:val="18"/>
          <w:szCs w:val="18"/>
          <w:lang w:val="es-ES_tradnl"/>
        </w:rPr>
        <w:t>ó</w:t>
      </w:r>
      <w:r>
        <w:rPr>
          <w:spacing w:val="-5"/>
          <w:sz w:val="18"/>
          <w:szCs w:val="18"/>
          <w:lang w:val="es-ES_tradnl"/>
        </w:rPr>
        <w:t>mico ante el servicio real o potencial que brinde dicho Gobierno, siempre que, se</w:t>
      </w:r>
      <w:r>
        <w:rPr>
          <w:rFonts w:cs="Times New Roman"/>
          <w:spacing w:val="-5"/>
          <w:sz w:val="18"/>
          <w:szCs w:val="18"/>
          <w:lang w:val="es-ES_tradnl"/>
        </w:rPr>
        <w:t>ñ</w:t>
      </w:r>
      <w:r>
        <w:rPr>
          <w:spacing w:val="-5"/>
          <w:sz w:val="18"/>
          <w:szCs w:val="18"/>
          <w:lang w:val="es-ES_tradnl"/>
        </w:rPr>
        <w:t>ala la ley</w:t>
      </w:r>
      <w:r>
        <w:rPr>
          <w:spacing w:val="-5"/>
          <w:sz w:val="18"/>
          <w:szCs w:val="18"/>
          <w:vertAlign w:val="superscript"/>
          <w:lang w:val="es-ES_tradnl"/>
        </w:rPr>
        <w:t>15</w:t>
      </w:r>
      <w:r>
        <w:rPr>
          <w:spacing w:val="-5"/>
          <w:sz w:val="18"/>
          <w:szCs w:val="18"/>
          <w:lang w:val="es-ES_tradnl"/>
        </w:rPr>
        <w:t>,</w:t>
      </w:r>
    </w:p>
    <w:p w14:paraId="4F67A649" w14:textId="77777777" w:rsidR="00591D54" w:rsidRDefault="00591D54">
      <w:pPr>
        <w:shd w:val="clear" w:color="auto" w:fill="FFFFFF"/>
        <w:tabs>
          <w:tab w:val="left" w:pos="144"/>
        </w:tabs>
        <w:spacing w:before="494" w:line="178" w:lineRule="exact"/>
        <w:ind w:left="144" w:right="5" w:hanging="144"/>
        <w:jc w:val="both"/>
      </w:pPr>
      <w:r>
        <w:rPr>
          <w:spacing w:val="-5"/>
          <w:sz w:val="8"/>
          <w:szCs w:val="8"/>
          <w:vertAlign w:val="superscript"/>
          <w:lang w:val="es-ES_tradnl"/>
        </w:rPr>
        <w:t>13</w:t>
      </w:r>
      <w:r>
        <w:rPr>
          <w:sz w:val="18"/>
          <w:szCs w:val="18"/>
          <w:lang w:val="es-ES_tradnl"/>
        </w:rPr>
        <w:tab/>
      </w:r>
      <w:r>
        <w:rPr>
          <w:spacing w:val="-1"/>
          <w:sz w:val="14"/>
          <w:szCs w:val="14"/>
          <w:lang w:val="es-ES_tradnl"/>
        </w:rPr>
        <w:t>Constituci</w:t>
      </w:r>
      <w:r>
        <w:rPr>
          <w:rFonts w:cs="Times New Roman"/>
          <w:spacing w:val="-1"/>
          <w:sz w:val="14"/>
          <w:szCs w:val="14"/>
          <w:lang w:val="es-ES_tradnl"/>
        </w:rPr>
        <w:t>ó</w:t>
      </w:r>
      <w:r>
        <w:rPr>
          <w:spacing w:val="-1"/>
          <w:sz w:val="14"/>
          <w:szCs w:val="14"/>
          <w:lang w:val="es-ES_tradnl"/>
        </w:rPr>
        <w:t>n</w:t>
      </w:r>
      <w:r>
        <w:rPr>
          <w:spacing w:val="-1"/>
          <w:sz w:val="18"/>
          <w:szCs w:val="18"/>
          <w:lang w:val="es-ES_tradnl"/>
        </w:rPr>
        <w:t xml:space="preserve"> </w:t>
      </w:r>
      <w:r>
        <w:rPr>
          <w:spacing w:val="-1"/>
          <w:sz w:val="14"/>
          <w:szCs w:val="14"/>
          <w:lang w:val="es-ES_tradnl"/>
        </w:rPr>
        <w:t>de</w:t>
      </w:r>
      <w:r>
        <w:rPr>
          <w:spacing w:val="-1"/>
          <w:sz w:val="18"/>
          <w:szCs w:val="18"/>
          <w:lang w:val="es-ES_tradnl"/>
        </w:rPr>
        <w:t xml:space="preserve"> </w:t>
      </w:r>
      <w:r>
        <w:rPr>
          <w:spacing w:val="-1"/>
          <w:sz w:val="14"/>
          <w:szCs w:val="14"/>
          <w:lang w:val="es-ES_tradnl"/>
        </w:rPr>
        <w:t>la</w:t>
      </w:r>
      <w:r>
        <w:rPr>
          <w:spacing w:val="-1"/>
          <w:sz w:val="18"/>
          <w:szCs w:val="18"/>
          <w:lang w:val="es-ES_tradnl"/>
        </w:rPr>
        <w:t xml:space="preserve"> </w:t>
      </w:r>
      <w:r>
        <w:rPr>
          <w:spacing w:val="-1"/>
          <w:sz w:val="14"/>
          <w:szCs w:val="14"/>
          <w:lang w:val="es-ES_tradnl"/>
        </w:rPr>
        <w:t>Rep</w:t>
      </w:r>
      <w:r>
        <w:rPr>
          <w:rFonts w:cs="Times New Roman"/>
          <w:spacing w:val="-1"/>
          <w:sz w:val="14"/>
          <w:szCs w:val="14"/>
          <w:lang w:val="es-ES_tradnl"/>
        </w:rPr>
        <w:t>ú</w:t>
      </w:r>
      <w:r>
        <w:rPr>
          <w:spacing w:val="-1"/>
          <w:sz w:val="14"/>
          <w:szCs w:val="14"/>
          <w:lang w:val="es-ES_tradnl"/>
        </w:rPr>
        <w:t>blica:</w:t>
      </w:r>
      <w:r>
        <w:rPr>
          <w:spacing w:val="-1"/>
          <w:sz w:val="18"/>
          <w:szCs w:val="18"/>
          <w:lang w:val="es-ES_tradnl"/>
        </w:rPr>
        <w:t xml:space="preserve"> </w:t>
      </w:r>
      <w:r>
        <w:rPr>
          <w:spacing w:val="-1"/>
          <w:sz w:val="14"/>
          <w:szCs w:val="14"/>
          <w:lang w:val="es-ES_tradnl"/>
        </w:rPr>
        <w:t>Art.</w:t>
      </w:r>
      <w:r>
        <w:rPr>
          <w:spacing w:val="-1"/>
          <w:sz w:val="18"/>
          <w:szCs w:val="18"/>
          <w:lang w:val="es-ES_tradnl"/>
        </w:rPr>
        <w:t xml:space="preserve"> </w:t>
      </w:r>
      <w:r>
        <w:rPr>
          <w:spacing w:val="-1"/>
          <w:sz w:val="14"/>
          <w:szCs w:val="14"/>
          <w:lang w:val="es-ES_tradnl"/>
        </w:rPr>
        <w:t>264.-</w:t>
      </w:r>
      <w:r>
        <w:rPr>
          <w:spacing w:val="-1"/>
          <w:sz w:val="18"/>
          <w:szCs w:val="18"/>
          <w:lang w:val="es-ES_tradnl"/>
        </w:rPr>
        <w:t xml:space="preserve"> </w:t>
      </w:r>
      <w:r>
        <w:rPr>
          <w:spacing w:val="-1"/>
          <w:sz w:val="14"/>
          <w:szCs w:val="14"/>
          <w:lang w:val="es-ES_tradnl"/>
        </w:rPr>
        <w:t>Los</w:t>
      </w:r>
      <w:r>
        <w:rPr>
          <w:spacing w:val="-1"/>
          <w:sz w:val="18"/>
          <w:szCs w:val="18"/>
          <w:lang w:val="es-ES_tradnl"/>
        </w:rPr>
        <w:t xml:space="preserve"> </w:t>
      </w:r>
      <w:r>
        <w:rPr>
          <w:spacing w:val="-1"/>
          <w:sz w:val="14"/>
          <w:szCs w:val="14"/>
          <w:lang w:val="es-ES_tradnl"/>
        </w:rPr>
        <w:t>gobiernos</w:t>
      </w:r>
      <w:r>
        <w:rPr>
          <w:spacing w:val="-1"/>
          <w:sz w:val="18"/>
          <w:szCs w:val="18"/>
          <w:lang w:val="es-ES_tradnl"/>
        </w:rPr>
        <w:t xml:space="preserve"> </w:t>
      </w:r>
      <w:r>
        <w:rPr>
          <w:spacing w:val="-1"/>
          <w:sz w:val="14"/>
          <w:szCs w:val="14"/>
          <w:lang w:val="es-ES_tradnl"/>
        </w:rPr>
        <w:t>municipales </w:t>
      </w:r>
      <w:r>
        <w:rPr>
          <w:spacing w:val="-3"/>
          <w:sz w:val="14"/>
          <w:szCs w:val="14"/>
          <w:lang w:val="es-ES_tradnl"/>
        </w:rPr>
        <w:t>tendr</w:t>
      </w:r>
      <w:r>
        <w:rPr>
          <w:rFonts w:cs="Times New Roman"/>
          <w:spacing w:val="-3"/>
          <w:sz w:val="14"/>
          <w:szCs w:val="14"/>
          <w:lang w:val="es-ES_tradnl"/>
        </w:rPr>
        <w:t>á</w:t>
      </w:r>
      <w:r>
        <w:rPr>
          <w:spacing w:val="-3"/>
          <w:sz w:val="14"/>
          <w:szCs w:val="14"/>
          <w:lang w:val="es-ES_tradnl"/>
        </w:rPr>
        <w:t>n las siguientes competencias exclusivas sin perjuicio de otras </w:t>
      </w:r>
      <w:r>
        <w:rPr>
          <w:sz w:val="14"/>
          <w:szCs w:val="14"/>
          <w:lang w:val="es-ES_tradnl"/>
        </w:rPr>
        <w:t>que determine la ley: (</w:t>
      </w:r>
      <w:r>
        <w:rPr>
          <w:rFonts w:cs="Times New Roman"/>
          <w:sz w:val="14"/>
          <w:szCs w:val="14"/>
          <w:lang w:val="es-ES_tradnl"/>
        </w:rPr>
        <w:t>…</w:t>
      </w:r>
      <w:r>
        <w:rPr>
          <w:sz w:val="14"/>
          <w:szCs w:val="14"/>
          <w:lang w:val="es-ES_tradnl"/>
        </w:rPr>
        <w:t>) 5. Crear, modificar o suprimir mediante </w:t>
      </w:r>
      <w:r>
        <w:rPr>
          <w:spacing w:val="-3"/>
          <w:sz w:val="14"/>
          <w:szCs w:val="14"/>
          <w:lang w:val="es-ES_tradnl"/>
        </w:rPr>
        <w:t>ordenanzas, tasas y contribuciones especiales de mejoras.</w:t>
      </w:r>
    </w:p>
    <w:p w14:paraId="4F67A64A" w14:textId="77777777" w:rsidR="00591D54" w:rsidRDefault="00591D54">
      <w:pPr>
        <w:shd w:val="clear" w:color="auto" w:fill="FFFFFF"/>
        <w:tabs>
          <w:tab w:val="left" w:pos="144"/>
        </w:tabs>
        <w:spacing w:before="154" w:line="178" w:lineRule="exact"/>
        <w:ind w:left="144" w:right="5" w:hanging="144"/>
        <w:jc w:val="both"/>
      </w:pPr>
      <w:r>
        <w:rPr>
          <w:spacing w:val="-5"/>
          <w:sz w:val="8"/>
          <w:szCs w:val="8"/>
          <w:vertAlign w:val="superscript"/>
          <w:lang w:val="es-ES_tradnl"/>
        </w:rPr>
        <w:t>14</w:t>
      </w:r>
      <w:r>
        <w:rPr>
          <w:sz w:val="18"/>
          <w:szCs w:val="18"/>
          <w:lang w:val="es-ES_tradnl"/>
        </w:rPr>
        <w:tab/>
      </w:r>
      <w:r>
        <w:rPr>
          <w:sz w:val="14"/>
          <w:szCs w:val="14"/>
          <w:lang w:val="es-ES_tradnl"/>
        </w:rPr>
        <w:t>C</w:t>
      </w:r>
      <w:r>
        <w:rPr>
          <w:rFonts w:cs="Times New Roman"/>
          <w:sz w:val="14"/>
          <w:szCs w:val="14"/>
          <w:lang w:val="es-ES_tradnl"/>
        </w:rPr>
        <w:t>ó</w:t>
      </w:r>
      <w:r>
        <w:rPr>
          <w:sz w:val="14"/>
          <w:szCs w:val="14"/>
          <w:lang w:val="es-ES_tradnl"/>
        </w:rPr>
        <w:t>digo</w:t>
      </w:r>
      <w:r>
        <w:rPr>
          <w:sz w:val="18"/>
          <w:szCs w:val="18"/>
          <w:lang w:val="es-ES_tradnl"/>
        </w:rPr>
        <w:t xml:space="preserve"> </w:t>
      </w:r>
      <w:r>
        <w:rPr>
          <w:sz w:val="14"/>
          <w:szCs w:val="14"/>
          <w:lang w:val="es-ES_tradnl"/>
        </w:rPr>
        <w:t>Org</w:t>
      </w:r>
      <w:r>
        <w:rPr>
          <w:rFonts w:cs="Times New Roman"/>
          <w:sz w:val="14"/>
          <w:szCs w:val="14"/>
          <w:lang w:val="es-ES_tradnl"/>
        </w:rPr>
        <w:t>á</w:t>
      </w:r>
      <w:r>
        <w:rPr>
          <w:sz w:val="14"/>
          <w:szCs w:val="14"/>
          <w:lang w:val="es-ES_tradnl"/>
        </w:rPr>
        <w:t>nico</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Organizaci</w:t>
      </w:r>
      <w:r>
        <w:rPr>
          <w:rFonts w:cs="Times New Roman"/>
          <w:sz w:val="14"/>
          <w:szCs w:val="14"/>
          <w:lang w:val="es-ES_tradnl"/>
        </w:rPr>
        <w:t>ó</w:t>
      </w:r>
      <w:r>
        <w:rPr>
          <w:sz w:val="14"/>
          <w:szCs w:val="14"/>
          <w:lang w:val="es-ES_tradnl"/>
        </w:rPr>
        <w:t>n</w:t>
      </w:r>
      <w:r>
        <w:rPr>
          <w:sz w:val="18"/>
          <w:szCs w:val="18"/>
          <w:lang w:val="es-ES_tradnl"/>
        </w:rPr>
        <w:t xml:space="preserve"> </w:t>
      </w:r>
      <w:r>
        <w:rPr>
          <w:sz w:val="14"/>
          <w:szCs w:val="14"/>
          <w:lang w:val="es-ES_tradnl"/>
        </w:rPr>
        <w:t>Territorial</w:t>
      </w:r>
      <w:r>
        <w:rPr>
          <w:sz w:val="18"/>
          <w:szCs w:val="18"/>
          <w:lang w:val="es-ES_tradnl"/>
        </w:rPr>
        <w:t xml:space="preserve"> </w:t>
      </w:r>
      <w:r>
        <w:rPr>
          <w:sz w:val="14"/>
          <w:szCs w:val="14"/>
          <w:lang w:val="es-ES_tradnl"/>
        </w:rPr>
        <w:t>Autonom</w:t>
      </w:r>
      <w:r>
        <w:rPr>
          <w:rFonts w:cs="Times New Roman"/>
          <w:sz w:val="14"/>
          <w:szCs w:val="14"/>
          <w:lang w:val="es-ES_tradnl"/>
        </w:rPr>
        <w:t>í</w:t>
      </w:r>
      <w:r>
        <w:rPr>
          <w:sz w:val="14"/>
          <w:szCs w:val="14"/>
          <w:lang w:val="es-ES_tradnl"/>
        </w:rPr>
        <w:t>a</w:t>
      </w:r>
      <w:r>
        <w:rPr>
          <w:sz w:val="18"/>
          <w:szCs w:val="18"/>
          <w:lang w:val="es-ES_tradnl"/>
        </w:rPr>
        <w:t xml:space="preserve"> </w:t>
      </w:r>
      <w:r>
        <w:rPr>
          <w:sz w:val="14"/>
          <w:szCs w:val="14"/>
          <w:lang w:val="es-ES_tradnl"/>
        </w:rPr>
        <w:t>y </w:t>
      </w:r>
      <w:r>
        <w:rPr>
          <w:spacing w:val="-1"/>
          <w:sz w:val="14"/>
          <w:szCs w:val="14"/>
          <w:lang w:val="es-ES_tradnl"/>
        </w:rPr>
        <w:t>Descentralizaci</w:t>
      </w:r>
      <w:r>
        <w:rPr>
          <w:rFonts w:cs="Times New Roman"/>
          <w:spacing w:val="-1"/>
          <w:sz w:val="14"/>
          <w:szCs w:val="14"/>
          <w:lang w:val="es-ES_tradnl"/>
        </w:rPr>
        <w:t>ó</w:t>
      </w:r>
      <w:r>
        <w:rPr>
          <w:spacing w:val="-1"/>
          <w:sz w:val="14"/>
          <w:szCs w:val="14"/>
          <w:lang w:val="es-ES_tradnl"/>
        </w:rPr>
        <w:t>n: Art. 55.- Competencias exclusivas del gobierno aut</w:t>
      </w:r>
      <w:r>
        <w:rPr>
          <w:rFonts w:cs="Times New Roman"/>
          <w:spacing w:val="-1"/>
          <w:sz w:val="14"/>
          <w:szCs w:val="14"/>
          <w:lang w:val="es-ES_tradnl"/>
        </w:rPr>
        <w:t>ó</w:t>
      </w:r>
      <w:r>
        <w:rPr>
          <w:spacing w:val="-1"/>
          <w:sz w:val="14"/>
          <w:szCs w:val="14"/>
          <w:lang w:val="es-ES_tradnl"/>
        </w:rPr>
        <w:t>nomo descentralizado municipal.- Los gobiernos aut</w:t>
      </w:r>
      <w:r>
        <w:rPr>
          <w:rFonts w:cs="Times New Roman"/>
          <w:spacing w:val="-1"/>
          <w:sz w:val="14"/>
          <w:szCs w:val="14"/>
          <w:lang w:val="es-ES_tradnl"/>
        </w:rPr>
        <w:t>ó</w:t>
      </w:r>
      <w:r>
        <w:rPr>
          <w:spacing w:val="-1"/>
          <w:sz w:val="14"/>
          <w:szCs w:val="14"/>
          <w:lang w:val="es-ES_tradnl"/>
        </w:rPr>
        <w:t>nomos </w:t>
      </w:r>
      <w:r>
        <w:rPr>
          <w:spacing w:val="-2"/>
          <w:sz w:val="14"/>
          <w:szCs w:val="14"/>
          <w:lang w:val="es-ES_tradnl"/>
        </w:rPr>
        <w:t>descentralizados municipales tendr</w:t>
      </w:r>
      <w:r>
        <w:rPr>
          <w:rFonts w:cs="Times New Roman"/>
          <w:spacing w:val="-2"/>
          <w:sz w:val="14"/>
          <w:szCs w:val="14"/>
          <w:lang w:val="es-ES_tradnl"/>
        </w:rPr>
        <w:t>á</w:t>
      </w:r>
      <w:r>
        <w:rPr>
          <w:spacing w:val="-2"/>
          <w:sz w:val="14"/>
          <w:szCs w:val="14"/>
          <w:lang w:val="es-ES_tradnl"/>
        </w:rPr>
        <w:t>n las siguientes competencias </w:t>
      </w:r>
      <w:r>
        <w:rPr>
          <w:spacing w:val="-1"/>
          <w:sz w:val="14"/>
          <w:szCs w:val="14"/>
          <w:lang w:val="es-ES_tradnl"/>
        </w:rPr>
        <w:t>exclusivas sin perjuicio de otras que determine la ley; (</w:t>
      </w:r>
      <w:r>
        <w:rPr>
          <w:rFonts w:cs="Times New Roman"/>
          <w:spacing w:val="-1"/>
          <w:sz w:val="14"/>
          <w:szCs w:val="14"/>
          <w:lang w:val="es-ES_tradnl"/>
        </w:rPr>
        <w:t>…</w:t>
      </w:r>
      <w:r>
        <w:rPr>
          <w:spacing w:val="-1"/>
          <w:sz w:val="14"/>
          <w:szCs w:val="14"/>
          <w:lang w:val="es-ES_tradnl"/>
        </w:rPr>
        <w:t>) e) Crear, </w:t>
      </w:r>
      <w:r>
        <w:rPr>
          <w:spacing w:val="-2"/>
          <w:sz w:val="14"/>
          <w:szCs w:val="14"/>
          <w:lang w:val="es-ES_tradnl"/>
        </w:rPr>
        <w:t>modificar, exonerar o suprimir mediante ordenanzas, tasas, tarifas y </w:t>
      </w:r>
      <w:r>
        <w:rPr>
          <w:sz w:val="14"/>
          <w:szCs w:val="14"/>
          <w:lang w:val="es-ES_tradnl"/>
        </w:rPr>
        <w:t>contribuciones especiales de mejoras; (</w:t>
      </w:r>
      <w:r>
        <w:rPr>
          <w:rFonts w:cs="Times New Roman"/>
          <w:sz w:val="14"/>
          <w:szCs w:val="14"/>
          <w:lang w:val="es-ES_tradnl"/>
        </w:rPr>
        <w:t>…</w:t>
      </w:r>
      <w:r>
        <w:rPr>
          <w:sz w:val="14"/>
          <w:szCs w:val="14"/>
          <w:lang w:val="es-ES_tradnl"/>
        </w:rPr>
        <w:t>)</w:t>
      </w:r>
    </w:p>
    <w:p w14:paraId="4F67A64B" w14:textId="77777777" w:rsidR="00591D54" w:rsidRDefault="00591D54">
      <w:pPr>
        <w:shd w:val="clear" w:color="auto" w:fill="FFFFFF"/>
        <w:tabs>
          <w:tab w:val="left" w:pos="144"/>
        </w:tabs>
        <w:spacing w:before="139" w:line="178" w:lineRule="exact"/>
        <w:ind w:left="144" w:right="5" w:hanging="144"/>
        <w:jc w:val="both"/>
      </w:pPr>
      <w:r>
        <w:rPr>
          <w:spacing w:val="-5"/>
          <w:sz w:val="8"/>
          <w:szCs w:val="8"/>
          <w:vertAlign w:val="superscript"/>
          <w:lang w:val="es-ES_tradnl"/>
        </w:rPr>
        <w:t>15</w:t>
      </w:r>
      <w:r>
        <w:rPr>
          <w:sz w:val="18"/>
          <w:szCs w:val="18"/>
          <w:lang w:val="es-ES_tradnl"/>
        </w:rPr>
        <w:tab/>
      </w:r>
      <w:r>
        <w:rPr>
          <w:sz w:val="14"/>
          <w:szCs w:val="14"/>
          <w:lang w:val="es-ES_tradnl"/>
        </w:rPr>
        <w:t>C</w:t>
      </w:r>
      <w:r>
        <w:rPr>
          <w:rFonts w:cs="Times New Roman"/>
          <w:sz w:val="14"/>
          <w:szCs w:val="14"/>
          <w:lang w:val="es-ES_tradnl"/>
        </w:rPr>
        <w:t>ó</w:t>
      </w:r>
      <w:r>
        <w:rPr>
          <w:sz w:val="14"/>
          <w:szCs w:val="14"/>
          <w:lang w:val="es-ES_tradnl"/>
        </w:rPr>
        <w:t>digo</w:t>
      </w:r>
      <w:r>
        <w:rPr>
          <w:sz w:val="18"/>
          <w:szCs w:val="18"/>
          <w:lang w:val="es-ES_tradnl"/>
        </w:rPr>
        <w:t xml:space="preserve"> </w:t>
      </w:r>
      <w:r>
        <w:rPr>
          <w:sz w:val="14"/>
          <w:szCs w:val="14"/>
          <w:lang w:val="es-ES_tradnl"/>
        </w:rPr>
        <w:t>Org</w:t>
      </w:r>
      <w:r>
        <w:rPr>
          <w:rFonts w:cs="Times New Roman"/>
          <w:sz w:val="14"/>
          <w:szCs w:val="14"/>
          <w:lang w:val="es-ES_tradnl"/>
        </w:rPr>
        <w:t>á</w:t>
      </w:r>
      <w:r>
        <w:rPr>
          <w:sz w:val="14"/>
          <w:szCs w:val="14"/>
          <w:lang w:val="es-ES_tradnl"/>
        </w:rPr>
        <w:t>nico</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Organizaci</w:t>
      </w:r>
      <w:r>
        <w:rPr>
          <w:rFonts w:cs="Times New Roman"/>
          <w:sz w:val="14"/>
          <w:szCs w:val="14"/>
          <w:lang w:val="es-ES_tradnl"/>
        </w:rPr>
        <w:t>ó</w:t>
      </w:r>
      <w:r>
        <w:rPr>
          <w:sz w:val="14"/>
          <w:szCs w:val="14"/>
          <w:lang w:val="es-ES_tradnl"/>
        </w:rPr>
        <w:t>n</w:t>
      </w:r>
      <w:r>
        <w:rPr>
          <w:sz w:val="18"/>
          <w:szCs w:val="18"/>
          <w:lang w:val="es-ES_tradnl"/>
        </w:rPr>
        <w:t xml:space="preserve"> </w:t>
      </w:r>
      <w:r>
        <w:rPr>
          <w:sz w:val="14"/>
          <w:szCs w:val="14"/>
          <w:lang w:val="es-ES_tradnl"/>
        </w:rPr>
        <w:t>Territorial</w:t>
      </w:r>
      <w:r>
        <w:rPr>
          <w:sz w:val="18"/>
          <w:szCs w:val="18"/>
          <w:lang w:val="es-ES_tradnl"/>
        </w:rPr>
        <w:t xml:space="preserve"> </w:t>
      </w:r>
      <w:r>
        <w:rPr>
          <w:sz w:val="14"/>
          <w:szCs w:val="14"/>
          <w:lang w:val="es-ES_tradnl"/>
        </w:rPr>
        <w:t>Autonom</w:t>
      </w:r>
      <w:r>
        <w:rPr>
          <w:rFonts w:cs="Times New Roman"/>
          <w:sz w:val="14"/>
          <w:szCs w:val="14"/>
          <w:lang w:val="es-ES_tradnl"/>
        </w:rPr>
        <w:t>í</w:t>
      </w:r>
      <w:r>
        <w:rPr>
          <w:sz w:val="14"/>
          <w:szCs w:val="14"/>
          <w:lang w:val="es-ES_tradnl"/>
        </w:rPr>
        <w:t>a</w:t>
      </w:r>
      <w:r>
        <w:rPr>
          <w:sz w:val="18"/>
          <w:szCs w:val="18"/>
          <w:lang w:val="es-ES_tradnl"/>
        </w:rPr>
        <w:t xml:space="preserve"> </w:t>
      </w:r>
      <w:r>
        <w:rPr>
          <w:sz w:val="14"/>
          <w:szCs w:val="14"/>
          <w:lang w:val="es-ES_tradnl"/>
        </w:rPr>
        <w:t>y Descentralizaci</w:t>
      </w:r>
      <w:r>
        <w:rPr>
          <w:rFonts w:cs="Times New Roman"/>
          <w:sz w:val="14"/>
          <w:szCs w:val="14"/>
          <w:lang w:val="es-ES_tradnl"/>
        </w:rPr>
        <w:t>ó</w:t>
      </w:r>
      <w:r>
        <w:rPr>
          <w:sz w:val="14"/>
          <w:szCs w:val="14"/>
          <w:lang w:val="es-ES_tradnl"/>
        </w:rPr>
        <w:t>n: Art. 566.- Objeto y determinaci</w:t>
      </w:r>
      <w:r>
        <w:rPr>
          <w:rFonts w:cs="Times New Roman"/>
          <w:sz w:val="14"/>
          <w:szCs w:val="14"/>
          <w:lang w:val="es-ES_tradnl"/>
        </w:rPr>
        <w:t>ó</w:t>
      </w:r>
      <w:r>
        <w:rPr>
          <w:sz w:val="14"/>
          <w:szCs w:val="14"/>
          <w:lang w:val="es-ES_tradnl"/>
        </w:rPr>
        <w:t>n de las tasas.- Las municipalidades y distritos metropolitanos podr</w:t>
      </w:r>
      <w:r>
        <w:rPr>
          <w:rFonts w:cs="Times New Roman"/>
          <w:sz w:val="14"/>
          <w:szCs w:val="14"/>
          <w:lang w:val="es-ES_tradnl"/>
        </w:rPr>
        <w:t>á</w:t>
      </w:r>
      <w:r>
        <w:rPr>
          <w:sz w:val="14"/>
          <w:szCs w:val="14"/>
          <w:lang w:val="es-ES_tradnl"/>
        </w:rPr>
        <w:t>n aplicar las tasas retributivas de servicios p</w:t>
      </w:r>
      <w:r>
        <w:rPr>
          <w:rFonts w:cs="Times New Roman"/>
          <w:sz w:val="14"/>
          <w:szCs w:val="14"/>
          <w:lang w:val="es-ES_tradnl"/>
        </w:rPr>
        <w:t>ú</w:t>
      </w:r>
      <w:r>
        <w:rPr>
          <w:sz w:val="14"/>
          <w:szCs w:val="14"/>
          <w:lang w:val="es-ES_tradnl"/>
        </w:rPr>
        <w:t>blicos que se establecen en este C</w:t>
      </w:r>
      <w:r>
        <w:rPr>
          <w:rFonts w:cs="Times New Roman"/>
          <w:sz w:val="14"/>
          <w:szCs w:val="14"/>
          <w:lang w:val="es-ES_tradnl"/>
        </w:rPr>
        <w:t>ó</w:t>
      </w:r>
      <w:r>
        <w:rPr>
          <w:sz w:val="14"/>
          <w:szCs w:val="14"/>
          <w:lang w:val="es-ES_tradnl"/>
        </w:rPr>
        <w:t>digo. Podr</w:t>
      </w:r>
      <w:r>
        <w:rPr>
          <w:rFonts w:cs="Times New Roman"/>
          <w:sz w:val="14"/>
          <w:szCs w:val="14"/>
          <w:lang w:val="es-ES_tradnl"/>
        </w:rPr>
        <w:t>á</w:t>
      </w:r>
      <w:r>
        <w:rPr>
          <w:sz w:val="14"/>
          <w:szCs w:val="14"/>
          <w:lang w:val="es-ES_tradnl"/>
        </w:rPr>
        <w:t>n tambi</w:t>
      </w:r>
      <w:r>
        <w:rPr>
          <w:rFonts w:cs="Times New Roman"/>
          <w:sz w:val="14"/>
          <w:szCs w:val="14"/>
          <w:lang w:val="es-ES_tradnl"/>
        </w:rPr>
        <w:t>é</w:t>
      </w:r>
      <w:r>
        <w:rPr>
          <w:sz w:val="14"/>
          <w:szCs w:val="14"/>
          <w:lang w:val="es-ES_tradnl"/>
        </w:rPr>
        <w:t>n aplicarse tasas sobre otros servicios p</w:t>
      </w:r>
      <w:r>
        <w:rPr>
          <w:rFonts w:cs="Times New Roman"/>
          <w:sz w:val="14"/>
          <w:szCs w:val="14"/>
          <w:lang w:val="es-ES_tradnl"/>
        </w:rPr>
        <w:t>ú</w:t>
      </w:r>
      <w:r>
        <w:rPr>
          <w:sz w:val="14"/>
          <w:szCs w:val="14"/>
          <w:lang w:val="es-ES_tradnl"/>
        </w:rPr>
        <w:t>blicos municipales o metropolitanos siempre que su monto guarde relaci</w:t>
      </w:r>
      <w:r>
        <w:rPr>
          <w:rFonts w:cs="Times New Roman"/>
          <w:sz w:val="14"/>
          <w:szCs w:val="14"/>
          <w:lang w:val="es-ES_tradnl"/>
        </w:rPr>
        <w:t>ó</w:t>
      </w:r>
      <w:r>
        <w:rPr>
          <w:sz w:val="14"/>
          <w:szCs w:val="14"/>
          <w:lang w:val="es-ES_tradnl"/>
        </w:rPr>
        <w:t>n con el costo de producci</w:t>
      </w:r>
      <w:r>
        <w:rPr>
          <w:rFonts w:cs="Times New Roman"/>
          <w:sz w:val="14"/>
          <w:szCs w:val="14"/>
          <w:lang w:val="es-ES_tradnl"/>
        </w:rPr>
        <w:t>ó</w:t>
      </w:r>
      <w:r>
        <w:rPr>
          <w:sz w:val="14"/>
          <w:szCs w:val="14"/>
          <w:lang w:val="es-ES_tradnl"/>
        </w:rPr>
        <w:t>n de dichos servicios. A tal efecto, se entender</w:t>
      </w:r>
      <w:r>
        <w:rPr>
          <w:rFonts w:cs="Times New Roman"/>
          <w:sz w:val="14"/>
          <w:szCs w:val="14"/>
          <w:lang w:val="es-ES_tradnl"/>
        </w:rPr>
        <w:t>á</w:t>
      </w:r>
      <w:r>
        <w:rPr>
          <w:sz w:val="14"/>
          <w:szCs w:val="14"/>
          <w:lang w:val="es-ES_tradnl"/>
        </w:rPr>
        <w:t xml:space="preserve"> por costo de producci</w:t>
      </w:r>
      <w:r>
        <w:rPr>
          <w:rFonts w:cs="Times New Roman"/>
          <w:sz w:val="14"/>
          <w:szCs w:val="14"/>
          <w:lang w:val="es-ES_tradnl"/>
        </w:rPr>
        <w:t>ó</w:t>
      </w:r>
      <w:r>
        <w:rPr>
          <w:sz w:val="14"/>
          <w:szCs w:val="14"/>
          <w:lang w:val="es-ES_tradnl"/>
        </w:rPr>
        <w:t>n el que resulte de aplicar reglas contables de general aceptaci</w:t>
      </w:r>
      <w:r>
        <w:rPr>
          <w:rFonts w:cs="Times New Roman"/>
          <w:sz w:val="14"/>
          <w:szCs w:val="14"/>
          <w:lang w:val="es-ES_tradnl"/>
        </w:rPr>
        <w:t>ó</w:t>
      </w:r>
      <w:r>
        <w:rPr>
          <w:sz w:val="14"/>
          <w:szCs w:val="14"/>
          <w:lang w:val="es-ES_tradnl"/>
        </w:rPr>
        <w:t>n, debiendo desecharse la inclusi</w:t>
      </w:r>
      <w:r>
        <w:rPr>
          <w:rFonts w:cs="Times New Roman"/>
          <w:sz w:val="14"/>
          <w:szCs w:val="14"/>
          <w:lang w:val="es-ES_tradnl"/>
        </w:rPr>
        <w:t>ó</w:t>
      </w:r>
      <w:r>
        <w:rPr>
          <w:sz w:val="14"/>
          <w:szCs w:val="14"/>
          <w:lang w:val="es-ES_tradnl"/>
        </w:rPr>
        <w:t>n de gastos generales de la administraci</w:t>
      </w:r>
      <w:r>
        <w:rPr>
          <w:rFonts w:cs="Times New Roman"/>
          <w:sz w:val="14"/>
          <w:szCs w:val="14"/>
          <w:lang w:val="es-ES_tradnl"/>
        </w:rPr>
        <w:t>ó</w:t>
      </w:r>
      <w:r>
        <w:rPr>
          <w:sz w:val="14"/>
          <w:szCs w:val="14"/>
          <w:lang w:val="es-ES_tradnl"/>
        </w:rPr>
        <w:t>n municipal o metropolitana que no tengan relaci</w:t>
      </w:r>
      <w:r>
        <w:rPr>
          <w:rFonts w:cs="Times New Roman"/>
          <w:sz w:val="14"/>
          <w:szCs w:val="14"/>
          <w:lang w:val="es-ES_tradnl"/>
        </w:rPr>
        <w:t>ó</w:t>
      </w:r>
      <w:r>
        <w:rPr>
          <w:sz w:val="14"/>
          <w:szCs w:val="14"/>
          <w:lang w:val="es-ES_tradnl"/>
        </w:rPr>
        <w:t>n directa y evidente con la prestaci</w:t>
      </w:r>
      <w:r>
        <w:rPr>
          <w:rFonts w:cs="Times New Roman"/>
          <w:sz w:val="14"/>
          <w:szCs w:val="14"/>
          <w:lang w:val="es-ES_tradnl"/>
        </w:rPr>
        <w:t>ó</w:t>
      </w:r>
      <w:r>
        <w:rPr>
          <w:sz w:val="14"/>
          <w:szCs w:val="14"/>
          <w:lang w:val="es-ES_tradnl"/>
        </w:rPr>
        <w:t>n del servicio. (</w:t>
      </w:r>
      <w:r>
        <w:rPr>
          <w:rFonts w:cs="Times New Roman"/>
          <w:sz w:val="14"/>
          <w:szCs w:val="14"/>
          <w:lang w:val="es-ES_tradnl"/>
        </w:rPr>
        <w:t>…</w:t>
      </w:r>
      <w:r>
        <w:rPr>
          <w:sz w:val="14"/>
          <w:szCs w:val="14"/>
          <w:lang w:val="es-ES_tradnl"/>
        </w:rPr>
        <w:t>)</w:t>
      </w:r>
    </w:p>
    <w:p w14:paraId="4F67A64C" w14:textId="77777777" w:rsidR="00591D54" w:rsidRDefault="00591D54">
      <w:pPr>
        <w:shd w:val="clear" w:color="auto" w:fill="FFFFFF"/>
        <w:tabs>
          <w:tab w:val="left" w:pos="144"/>
        </w:tabs>
        <w:spacing w:before="139" w:line="178" w:lineRule="exact"/>
        <w:ind w:left="144" w:right="5" w:hanging="144"/>
        <w:jc w:val="both"/>
        <w:sectPr w:rsidR="00591D54">
          <w:type w:val="continuous"/>
          <w:pgSz w:w="11909" w:h="16834"/>
          <w:pgMar w:top="1349" w:right="1304" w:bottom="360" w:left="1308" w:header="720" w:footer="720" w:gutter="0"/>
          <w:cols w:num="2" w:space="720" w:equalWidth="0">
            <w:col w:w="4305" w:space="682"/>
            <w:col w:w="4310"/>
          </w:cols>
          <w:noEndnote/>
        </w:sectPr>
      </w:pPr>
    </w:p>
    <w:p w14:paraId="4F67A64D" w14:textId="77777777" w:rsidR="00591D54" w:rsidRDefault="00591D54">
      <w:pPr>
        <w:shd w:val="clear" w:color="auto" w:fill="FFFFFF"/>
        <w:tabs>
          <w:tab w:val="left" w:pos="4814"/>
        </w:tabs>
        <w:spacing w:after="235"/>
        <w:ind w:left="5"/>
      </w:pPr>
      <w:r>
        <w:rPr>
          <w:b/>
          <w:bCs/>
          <w:sz w:val="18"/>
          <w:szCs w:val="18"/>
          <w:lang w:val="es-ES_tradnl"/>
        </w:rPr>
        <w:t xml:space="preserve">38 -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64E" w14:textId="77777777" w:rsidR="00591D54" w:rsidRDefault="00591D54">
      <w:pPr>
        <w:shd w:val="clear" w:color="auto" w:fill="FFFFFF"/>
        <w:tabs>
          <w:tab w:val="left" w:pos="4814"/>
        </w:tabs>
        <w:spacing w:after="235"/>
        <w:ind w:left="5"/>
        <w:sectPr w:rsidR="00591D54">
          <w:pgSz w:w="11909" w:h="16834"/>
          <w:pgMar w:top="1368" w:right="1304" w:bottom="360" w:left="1308" w:header="720" w:footer="720" w:gutter="0"/>
          <w:cols w:space="60"/>
          <w:noEndnote/>
        </w:sectPr>
      </w:pPr>
    </w:p>
    <w:p w14:paraId="4F67A64F" w14:textId="77777777" w:rsidR="00591D54" w:rsidRDefault="00591D54">
      <w:pPr>
        <w:shd w:val="clear" w:color="auto" w:fill="FFFFFF"/>
        <w:spacing w:line="216" w:lineRule="exact"/>
        <w:jc w:val="both"/>
      </w:pPr>
      <w:r>
        <w:rPr>
          <w:spacing w:val="-2"/>
          <w:sz w:val="18"/>
          <w:szCs w:val="18"/>
          <w:lang w:val="es-ES_tradnl"/>
        </w:rPr>
        <w:t>el monto o tarifa fijado para cumplir con la obligaci</w:t>
      </w:r>
      <w:r>
        <w:rPr>
          <w:rFonts w:cs="Times New Roman"/>
          <w:spacing w:val="-2"/>
          <w:sz w:val="18"/>
          <w:szCs w:val="18"/>
          <w:lang w:val="es-ES_tradnl"/>
        </w:rPr>
        <w:t>ó</w:t>
      </w:r>
      <w:r>
        <w:rPr>
          <w:spacing w:val="-2"/>
          <w:sz w:val="18"/>
          <w:szCs w:val="18"/>
          <w:lang w:val="es-ES_tradnl"/>
        </w:rPr>
        <w:t xml:space="preserve">n </w:t>
      </w:r>
      <w:r>
        <w:rPr>
          <w:spacing w:val="-4"/>
          <w:sz w:val="18"/>
          <w:szCs w:val="18"/>
          <w:lang w:val="es-ES_tradnl"/>
        </w:rPr>
        <w:t>tributaria guarde relaci</w:t>
      </w:r>
      <w:r>
        <w:rPr>
          <w:rFonts w:cs="Times New Roman"/>
          <w:spacing w:val="-4"/>
          <w:sz w:val="18"/>
          <w:szCs w:val="18"/>
          <w:lang w:val="es-ES_tradnl"/>
        </w:rPr>
        <w:t>ó</w:t>
      </w:r>
      <w:r>
        <w:rPr>
          <w:spacing w:val="-4"/>
          <w:sz w:val="18"/>
          <w:szCs w:val="18"/>
          <w:lang w:val="es-ES_tradnl"/>
        </w:rPr>
        <w:t>n con el costo de producci</w:t>
      </w:r>
      <w:r>
        <w:rPr>
          <w:rFonts w:cs="Times New Roman"/>
          <w:spacing w:val="-4"/>
          <w:sz w:val="18"/>
          <w:szCs w:val="18"/>
          <w:lang w:val="es-ES_tradnl"/>
        </w:rPr>
        <w:t>ó</w:t>
      </w:r>
      <w:r>
        <w:rPr>
          <w:spacing w:val="-4"/>
          <w:sz w:val="18"/>
          <w:szCs w:val="18"/>
          <w:lang w:val="es-ES_tradnl"/>
        </w:rPr>
        <w:t xml:space="preserve">n de </w:t>
      </w:r>
      <w:r>
        <w:rPr>
          <w:spacing w:val="-5"/>
          <w:sz w:val="18"/>
          <w:szCs w:val="18"/>
          <w:lang w:val="es-ES_tradnl"/>
        </w:rPr>
        <w:t>dichos servicios. Esto, bajo la idea de que la prestaci</w:t>
      </w:r>
      <w:r>
        <w:rPr>
          <w:rFonts w:cs="Times New Roman"/>
          <w:spacing w:val="-5"/>
          <w:sz w:val="18"/>
          <w:szCs w:val="18"/>
          <w:lang w:val="es-ES_tradnl"/>
        </w:rPr>
        <w:t>ó</w:t>
      </w:r>
      <w:r>
        <w:rPr>
          <w:spacing w:val="-5"/>
          <w:sz w:val="18"/>
          <w:szCs w:val="18"/>
          <w:lang w:val="es-ES_tradnl"/>
        </w:rPr>
        <w:t xml:space="preserve">n </w:t>
      </w:r>
      <w:r>
        <w:rPr>
          <w:spacing w:val="-1"/>
          <w:sz w:val="18"/>
          <w:szCs w:val="18"/>
          <w:lang w:val="es-ES_tradnl"/>
        </w:rPr>
        <w:t xml:space="preserve">realizada por el contribuyente no tenga como fin el </w:t>
      </w:r>
      <w:r>
        <w:rPr>
          <w:spacing w:val="-7"/>
          <w:sz w:val="18"/>
          <w:szCs w:val="18"/>
          <w:lang w:val="es-ES_tradnl"/>
        </w:rPr>
        <w:t xml:space="preserve">generar ganancias en beneficio de la municipalidad, sino, </w:t>
      </w:r>
      <w:r>
        <w:rPr>
          <w:spacing w:val="-2"/>
          <w:sz w:val="18"/>
          <w:szCs w:val="18"/>
          <w:lang w:val="es-ES_tradnl"/>
        </w:rPr>
        <w:t xml:space="preserve">simplemente, de cubrir el costo exacto que implique </w:t>
      </w:r>
      <w:r>
        <w:rPr>
          <w:sz w:val="18"/>
          <w:szCs w:val="18"/>
          <w:lang w:val="es-ES_tradnl"/>
        </w:rPr>
        <w:t>brindar dicho servicio.</w:t>
      </w:r>
    </w:p>
    <w:p w14:paraId="4F67A650" w14:textId="77777777" w:rsidR="00591D54" w:rsidRDefault="00591D54">
      <w:pPr>
        <w:shd w:val="clear" w:color="auto" w:fill="FFFFFF"/>
        <w:spacing w:before="197" w:line="216" w:lineRule="exact"/>
        <w:jc w:val="both"/>
      </w:pPr>
      <w:r>
        <w:rPr>
          <w:spacing w:val="-9"/>
          <w:sz w:val="18"/>
          <w:szCs w:val="18"/>
          <w:lang w:val="es-ES_tradnl"/>
        </w:rPr>
        <w:t xml:space="preserve">Un segundo hecho generador por el cual un GAD municipal </w:t>
      </w:r>
      <w:r>
        <w:rPr>
          <w:spacing w:val="-10"/>
          <w:sz w:val="18"/>
          <w:szCs w:val="18"/>
          <w:lang w:val="es-ES_tradnl"/>
        </w:rPr>
        <w:t xml:space="preserve">puede obtener ingresos tributarios por medio de una tasa es </w:t>
      </w:r>
      <w:r>
        <w:rPr>
          <w:spacing w:val="-7"/>
          <w:sz w:val="18"/>
          <w:szCs w:val="18"/>
          <w:lang w:val="es-ES_tradnl"/>
        </w:rPr>
        <w:t>precisamente, la utilizaci</w:t>
      </w:r>
      <w:r>
        <w:rPr>
          <w:rFonts w:cs="Times New Roman"/>
          <w:spacing w:val="-7"/>
          <w:sz w:val="18"/>
          <w:szCs w:val="18"/>
          <w:lang w:val="es-ES_tradnl"/>
        </w:rPr>
        <w:t>ó</w:t>
      </w:r>
      <w:r>
        <w:rPr>
          <w:spacing w:val="-7"/>
          <w:sz w:val="18"/>
          <w:szCs w:val="18"/>
          <w:lang w:val="es-ES_tradnl"/>
        </w:rPr>
        <w:t xml:space="preserve">n privativa o el aprovechamiento </w:t>
      </w:r>
      <w:r>
        <w:rPr>
          <w:spacing w:val="-3"/>
          <w:sz w:val="18"/>
          <w:szCs w:val="18"/>
          <w:lang w:val="es-ES_tradnl"/>
        </w:rPr>
        <w:t>especial del dominio p</w:t>
      </w:r>
      <w:r>
        <w:rPr>
          <w:rFonts w:cs="Times New Roman"/>
          <w:spacing w:val="-3"/>
          <w:sz w:val="18"/>
          <w:szCs w:val="18"/>
          <w:lang w:val="es-ES_tradnl"/>
        </w:rPr>
        <w:t>ú</w:t>
      </w:r>
      <w:r>
        <w:rPr>
          <w:spacing w:val="-3"/>
          <w:sz w:val="18"/>
          <w:szCs w:val="18"/>
          <w:lang w:val="es-ES_tradnl"/>
        </w:rPr>
        <w:t>blico. Circunstancia que difiere de figuras jur</w:t>
      </w:r>
      <w:r>
        <w:rPr>
          <w:rFonts w:cs="Times New Roman"/>
          <w:spacing w:val="-3"/>
          <w:sz w:val="18"/>
          <w:szCs w:val="18"/>
          <w:lang w:val="es-ES_tradnl"/>
        </w:rPr>
        <w:t>í</w:t>
      </w:r>
      <w:r>
        <w:rPr>
          <w:spacing w:val="-3"/>
          <w:sz w:val="18"/>
          <w:szCs w:val="18"/>
          <w:lang w:val="es-ES_tradnl"/>
        </w:rPr>
        <w:t xml:space="preserve">dicas como el canon o arrendamiento en </w:t>
      </w:r>
      <w:r>
        <w:rPr>
          <w:spacing w:val="-5"/>
          <w:sz w:val="18"/>
          <w:szCs w:val="18"/>
          <w:lang w:val="es-ES_tradnl"/>
        </w:rPr>
        <w:t>la medida en que estos son aplicables ante la utilizaci</w:t>
      </w:r>
      <w:r>
        <w:rPr>
          <w:rFonts w:cs="Times New Roman"/>
          <w:spacing w:val="-5"/>
          <w:sz w:val="18"/>
          <w:szCs w:val="18"/>
          <w:lang w:val="es-ES_tradnl"/>
        </w:rPr>
        <w:t>ó</w:t>
      </w:r>
      <w:r>
        <w:rPr>
          <w:spacing w:val="-5"/>
          <w:sz w:val="18"/>
          <w:szCs w:val="18"/>
          <w:lang w:val="es-ES_tradnl"/>
        </w:rPr>
        <w:t xml:space="preserve">n </w:t>
      </w:r>
      <w:r>
        <w:rPr>
          <w:sz w:val="18"/>
          <w:szCs w:val="18"/>
          <w:lang w:val="es-ES_tradnl"/>
        </w:rPr>
        <w:t>privativa de un bien p</w:t>
      </w:r>
      <w:r>
        <w:rPr>
          <w:rFonts w:cs="Times New Roman"/>
          <w:sz w:val="18"/>
          <w:szCs w:val="18"/>
          <w:lang w:val="es-ES_tradnl"/>
        </w:rPr>
        <w:t>ú</w:t>
      </w:r>
      <w:r>
        <w:rPr>
          <w:sz w:val="18"/>
          <w:szCs w:val="18"/>
          <w:lang w:val="es-ES_tradnl"/>
        </w:rPr>
        <w:t xml:space="preserve">blico de uso particular o </w:t>
      </w:r>
      <w:r>
        <w:rPr>
          <w:spacing w:val="-8"/>
          <w:sz w:val="18"/>
          <w:szCs w:val="18"/>
          <w:lang w:val="es-ES_tradnl"/>
        </w:rPr>
        <w:t xml:space="preserve">evidentemente, de un bien privado. En este tipo de tasa es </w:t>
      </w:r>
      <w:r>
        <w:rPr>
          <w:spacing w:val="-6"/>
          <w:sz w:val="18"/>
          <w:szCs w:val="18"/>
          <w:lang w:val="es-ES_tradnl"/>
        </w:rPr>
        <w:t>evidente que el GAD municipal no presta ning</w:t>
      </w:r>
      <w:r>
        <w:rPr>
          <w:rFonts w:cs="Times New Roman"/>
          <w:spacing w:val="-6"/>
          <w:sz w:val="18"/>
          <w:szCs w:val="18"/>
          <w:lang w:val="es-ES_tradnl"/>
        </w:rPr>
        <w:t>ú</w:t>
      </w:r>
      <w:r>
        <w:rPr>
          <w:spacing w:val="-6"/>
          <w:sz w:val="18"/>
          <w:szCs w:val="18"/>
          <w:lang w:val="es-ES_tradnl"/>
        </w:rPr>
        <w:t xml:space="preserve">n servicio, sino que autoriza que los particulares hagan uso privativo </w:t>
      </w:r>
      <w:r>
        <w:rPr>
          <w:spacing w:val="-5"/>
          <w:sz w:val="18"/>
          <w:szCs w:val="18"/>
          <w:lang w:val="es-ES_tradnl"/>
        </w:rPr>
        <w:t>y con fines comerciales de un espacio p</w:t>
      </w:r>
      <w:r>
        <w:rPr>
          <w:rFonts w:cs="Times New Roman"/>
          <w:spacing w:val="-5"/>
          <w:sz w:val="18"/>
          <w:szCs w:val="18"/>
          <w:lang w:val="es-ES_tradnl"/>
        </w:rPr>
        <w:t>ú</w:t>
      </w:r>
      <w:r>
        <w:rPr>
          <w:spacing w:val="-5"/>
          <w:sz w:val="18"/>
          <w:szCs w:val="18"/>
          <w:lang w:val="es-ES_tradnl"/>
        </w:rPr>
        <w:t xml:space="preserve">blico de uso </w:t>
      </w:r>
      <w:r>
        <w:rPr>
          <w:spacing w:val="-8"/>
          <w:sz w:val="18"/>
          <w:szCs w:val="18"/>
          <w:lang w:val="es-ES_tradnl"/>
        </w:rPr>
        <w:t>com</w:t>
      </w:r>
      <w:r>
        <w:rPr>
          <w:rFonts w:cs="Times New Roman"/>
          <w:spacing w:val="-8"/>
          <w:sz w:val="18"/>
          <w:szCs w:val="18"/>
          <w:lang w:val="es-ES_tradnl"/>
        </w:rPr>
        <w:t>ú</w:t>
      </w:r>
      <w:r>
        <w:rPr>
          <w:spacing w:val="-8"/>
          <w:sz w:val="18"/>
          <w:szCs w:val="18"/>
          <w:lang w:val="es-ES_tradnl"/>
        </w:rPr>
        <w:t xml:space="preserve">n. Precisamente, el hecho de que un particular ejerza </w:t>
      </w:r>
      <w:r>
        <w:rPr>
          <w:spacing w:val="-7"/>
          <w:sz w:val="18"/>
          <w:szCs w:val="18"/>
          <w:lang w:val="es-ES_tradnl"/>
        </w:rPr>
        <w:t xml:space="preserve">actividades dentro de estos espacios de manera exclusiva </w:t>
      </w:r>
      <w:r>
        <w:rPr>
          <w:spacing w:val="-5"/>
          <w:sz w:val="18"/>
          <w:szCs w:val="18"/>
          <w:lang w:val="es-ES_tradnl"/>
        </w:rPr>
        <w:t xml:space="preserve">y diferencial al resto de personas, elimina el sentido de </w:t>
      </w:r>
      <w:r>
        <w:rPr>
          <w:spacing w:val="-9"/>
          <w:sz w:val="18"/>
          <w:szCs w:val="18"/>
          <w:lang w:val="es-ES_tradnl"/>
        </w:rPr>
        <w:t xml:space="preserve">gratuidad que existe en el uso de estos espacios y lo deriva </w:t>
      </w:r>
      <w:r>
        <w:rPr>
          <w:spacing w:val="-5"/>
          <w:sz w:val="18"/>
          <w:szCs w:val="18"/>
          <w:lang w:val="es-ES_tradnl"/>
        </w:rPr>
        <w:t>en el nacimiento de una obligaci</w:t>
      </w:r>
      <w:r>
        <w:rPr>
          <w:rFonts w:cs="Times New Roman"/>
          <w:spacing w:val="-5"/>
          <w:sz w:val="18"/>
          <w:szCs w:val="18"/>
          <w:lang w:val="es-ES_tradnl"/>
        </w:rPr>
        <w:t>ó</w:t>
      </w:r>
      <w:r>
        <w:rPr>
          <w:spacing w:val="-5"/>
          <w:sz w:val="18"/>
          <w:szCs w:val="18"/>
          <w:lang w:val="es-ES_tradnl"/>
        </w:rPr>
        <w:t>n tributaria.</w:t>
      </w:r>
    </w:p>
    <w:p w14:paraId="4F67A651" w14:textId="77777777" w:rsidR="00591D54" w:rsidRDefault="00591D54">
      <w:pPr>
        <w:shd w:val="clear" w:color="auto" w:fill="FFFFFF"/>
        <w:spacing w:before="197" w:line="216" w:lineRule="exact"/>
        <w:jc w:val="both"/>
      </w:pPr>
      <w:r>
        <w:rPr>
          <w:spacing w:val="-6"/>
          <w:sz w:val="18"/>
          <w:szCs w:val="18"/>
          <w:lang w:val="es-ES_tradnl"/>
        </w:rPr>
        <w:t xml:space="preserve">Ahora bien, este segundo hecho generador para el cobro </w:t>
      </w:r>
      <w:r>
        <w:rPr>
          <w:spacing w:val="-8"/>
          <w:sz w:val="18"/>
          <w:szCs w:val="18"/>
          <w:lang w:val="es-ES_tradnl"/>
        </w:rPr>
        <w:t>de una tasa, ciertamente, ha tenido poca regulaci</w:t>
      </w:r>
      <w:r>
        <w:rPr>
          <w:rFonts w:cs="Times New Roman"/>
          <w:spacing w:val="-8"/>
          <w:sz w:val="18"/>
          <w:szCs w:val="18"/>
          <w:lang w:val="es-ES_tradnl"/>
        </w:rPr>
        <w:t>ó</w:t>
      </w:r>
      <w:r>
        <w:rPr>
          <w:spacing w:val="-8"/>
          <w:sz w:val="18"/>
          <w:szCs w:val="18"/>
          <w:lang w:val="es-ES_tradnl"/>
        </w:rPr>
        <w:t>n dentro de nuestro ordenamiento jur</w:t>
      </w:r>
      <w:r>
        <w:rPr>
          <w:rFonts w:cs="Times New Roman"/>
          <w:spacing w:val="-8"/>
          <w:sz w:val="18"/>
          <w:szCs w:val="18"/>
          <w:lang w:val="es-ES_tradnl"/>
        </w:rPr>
        <w:t>í</w:t>
      </w:r>
      <w:r>
        <w:rPr>
          <w:spacing w:val="-8"/>
          <w:sz w:val="18"/>
          <w:szCs w:val="18"/>
          <w:lang w:val="es-ES_tradnl"/>
        </w:rPr>
        <w:t>dico, especialmente en lo que se refiere a la fijaci</w:t>
      </w:r>
      <w:r>
        <w:rPr>
          <w:rFonts w:cs="Times New Roman"/>
          <w:spacing w:val="-8"/>
          <w:sz w:val="18"/>
          <w:szCs w:val="18"/>
          <w:lang w:val="es-ES_tradnl"/>
        </w:rPr>
        <w:t>ó</w:t>
      </w:r>
      <w:r>
        <w:rPr>
          <w:spacing w:val="-8"/>
          <w:sz w:val="18"/>
          <w:szCs w:val="18"/>
          <w:lang w:val="es-ES_tradnl"/>
        </w:rPr>
        <w:t xml:space="preserve">n de tarifas. No obstante, el COOTAD </w:t>
      </w:r>
      <w:r>
        <w:rPr>
          <w:spacing w:val="-7"/>
          <w:sz w:val="18"/>
          <w:szCs w:val="18"/>
          <w:lang w:val="es-ES_tradnl"/>
        </w:rPr>
        <w:t>reconoce este tipo de tasas en su art</w:t>
      </w:r>
      <w:r>
        <w:rPr>
          <w:rFonts w:cs="Times New Roman"/>
          <w:spacing w:val="-7"/>
          <w:sz w:val="18"/>
          <w:szCs w:val="18"/>
          <w:lang w:val="es-ES_tradnl"/>
        </w:rPr>
        <w:t>í</w:t>
      </w:r>
      <w:r>
        <w:rPr>
          <w:spacing w:val="-7"/>
          <w:sz w:val="18"/>
          <w:szCs w:val="18"/>
          <w:lang w:val="es-ES_tradnl"/>
        </w:rPr>
        <w:t xml:space="preserve">culo 567, mismo que </w:t>
      </w:r>
      <w:r>
        <w:rPr>
          <w:spacing w:val="-5"/>
          <w:sz w:val="18"/>
          <w:szCs w:val="18"/>
          <w:lang w:val="es-ES_tradnl"/>
        </w:rPr>
        <w:t>sirvi</w:t>
      </w:r>
      <w:r>
        <w:rPr>
          <w:rFonts w:cs="Times New Roman"/>
          <w:spacing w:val="-5"/>
          <w:sz w:val="18"/>
          <w:szCs w:val="18"/>
          <w:lang w:val="es-ES_tradnl"/>
        </w:rPr>
        <w:t>ó</w:t>
      </w:r>
      <w:r>
        <w:rPr>
          <w:spacing w:val="-5"/>
          <w:sz w:val="18"/>
          <w:szCs w:val="18"/>
          <w:lang w:val="es-ES_tradnl"/>
        </w:rPr>
        <w:t xml:space="preserve"> de base legal a fin de que el </w:t>
      </w:r>
      <w:r>
        <w:rPr>
          <w:rFonts w:cs="Times New Roman"/>
          <w:spacing w:val="-5"/>
          <w:sz w:val="18"/>
          <w:szCs w:val="18"/>
          <w:lang w:val="es-ES_tradnl"/>
        </w:rPr>
        <w:t>ó</w:t>
      </w:r>
      <w:r>
        <w:rPr>
          <w:spacing w:val="-5"/>
          <w:sz w:val="18"/>
          <w:szCs w:val="18"/>
          <w:lang w:val="es-ES_tradnl"/>
        </w:rPr>
        <w:t>rgano legislativo del Municipio del cant</w:t>
      </w:r>
      <w:r>
        <w:rPr>
          <w:rFonts w:cs="Times New Roman"/>
          <w:spacing w:val="-5"/>
          <w:sz w:val="18"/>
          <w:szCs w:val="18"/>
          <w:lang w:val="es-ES_tradnl"/>
        </w:rPr>
        <w:t>ó</w:t>
      </w:r>
      <w:r>
        <w:rPr>
          <w:spacing w:val="-5"/>
          <w:sz w:val="18"/>
          <w:szCs w:val="18"/>
          <w:lang w:val="es-ES_tradnl"/>
        </w:rPr>
        <w:t xml:space="preserve">n Chone pueda crear la ordenanza </w:t>
      </w:r>
      <w:r>
        <w:rPr>
          <w:sz w:val="18"/>
          <w:szCs w:val="18"/>
          <w:lang w:val="es-ES_tradnl"/>
        </w:rPr>
        <w:t>objeto de an</w:t>
      </w:r>
      <w:r>
        <w:rPr>
          <w:rFonts w:cs="Times New Roman"/>
          <w:sz w:val="18"/>
          <w:szCs w:val="18"/>
          <w:lang w:val="es-ES_tradnl"/>
        </w:rPr>
        <w:t>á</w:t>
      </w:r>
      <w:r>
        <w:rPr>
          <w:sz w:val="18"/>
          <w:szCs w:val="18"/>
          <w:lang w:val="es-ES_tradnl"/>
        </w:rPr>
        <w:t>lisis.</w:t>
      </w:r>
    </w:p>
    <w:p w14:paraId="4F67A652" w14:textId="77777777" w:rsidR="00591D54" w:rsidRDefault="00591D54">
      <w:pPr>
        <w:shd w:val="clear" w:color="auto" w:fill="FFFFFF"/>
        <w:spacing w:before="192" w:line="216" w:lineRule="exact"/>
        <w:jc w:val="both"/>
      </w:pPr>
      <w:r>
        <w:rPr>
          <w:spacing w:val="-4"/>
          <w:sz w:val="18"/>
          <w:szCs w:val="18"/>
          <w:lang w:val="es-ES_tradnl"/>
        </w:rPr>
        <w:t>Adicionalmente, el art</w:t>
      </w:r>
      <w:r>
        <w:rPr>
          <w:rFonts w:cs="Times New Roman"/>
          <w:spacing w:val="-4"/>
          <w:sz w:val="18"/>
          <w:szCs w:val="18"/>
          <w:lang w:val="es-ES_tradnl"/>
        </w:rPr>
        <w:t>í</w:t>
      </w:r>
      <w:r>
        <w:rPr>
          <w:spacing w:val="-4"/>
          <w:sz w:val="18"/>
          <w:szCs w:val="18"/>
          <w:lang w:val="es-ES_tradnl"/>
        </w:rPr>
        <w:t>culo 104 de la Ley Org</w:t>
      </w:r>
      <w:r>
        <w:rPr>
          <w:rFonts w:cs="Times New Roman"/>
          <w:spacing w:val="-4"/>
          <w:sz w:val="18"/>
          <w:szCs w:val="18"/>
          <w:lang w:val="es-ES_tradnl"/>
        </w:rPr>
        <w:t>á</w:t>
      </w:r>
      <w:r>
        <w:rPr>
          <w:spacing w:val="-4"/>
          <w:sz w:val="18"/>
          <w:szCs w:val="18"/>
          <w:lang w:val="es-ES_tradnl"/>
        </w:rPr>
        <w:t xml:space="preserve">nica de </w:t>
      </w:r>
      <w:r>
        <w:rPr>
          <w:spacing w:val="-8"/>
          <w:sz w:val="18"/>
          <w:szCs w:val="18"/>
          <w:lang w:val="es-ES_tradnl"/>
        </w:rPr>
        <w:t>Telecomunicaciones</w:t>
      </w:r>
      <w:r>
        <w:rPr>
          <w:spacing w:val="-8"/>
          <w:sz w:val="18"/>
          <w:szCs w:val="18"/>
          <w:vertAlign w:val="superscript"/>
          <w:lang w:val="es-ES_tradnl"/>
        </w:rPr>
        <w:t>16</w:t>
      </w:r>
      <w:r>
        <w:rPr>
          <w:spacing w:val="-8"/>
          <w:sz w:val="18"/>
          <w:szCs w:val="18"/>
          <w:lang w:val="es-ES_tradnl"/>
        </w:rPr>
        <w:t>, norma espec</w:t>
      </w:r>
      <w:r>
        <w:rPr>
          <w:rFonts w:cs="Times New Roman"/>
          <w:spacing w:val="-8"/>
          <w:sz w:val="18"/>
          <w:szCs w:val="18"/>
          <w:lang w:val="es-ES_tradnl"/>
        </w:rPr>
        <w:t>í</w:t>
      </w:r>
      <w:r>
        <w:rPr>
          <w:spacing w:val="-8"/>
          <w:sz w:val="18"/>
          <w:szCs w:val="18"/>
          <w:lang w:val="es-ES_tradnl"/>
        </w:rPr>
        <w:t xml:space="preserve">fica que regula y </w:t>
      </w:r>
      <w:r>
        <w:rPr>
          <w:spacing w:val="-5"/>
          <w:sz w:val="18"/>
          <w:szCs w:val="18"/>
          <w:lang w:val="es-ES_tradnl"/>
        </w:rPr>
        <w:t>desarrolla el r</w:t>
      </w:r>
      <w:r>
        <w:rPr>
          <w:rFonts w:cs="Times New Roman"/>
          <w:spacing w:val="-5"/>
          <w:sz w:val="18"/>
          <w:szCs w:val="18"/>
          <w:lang w:val="es-ES_tradnl"/>
        </w:rPr>
        <w:t>é</w:t>
      </w:r>
      <w:r>
        <w:rPr>
          <w:spacing w:val="-5"/>
          <w:sz w:val="18"/>
          <w:szCs w:val="18"/>
          <w:lang w:val="es-ES_tradnl"/>
        </w:rPr>
        <w:t>gimen del espectro radioel</w:t>
      </w:r>
      <w:r>
        <w:rPr>
          <w:rFonts w:cs="Times New Roman"/>
          <w:spacing w:val="-5"/>
          <w:sz w:val="18"/>
          <w:szCs w:val="18"/>
          <w:lang w:val="es-ES_tradnl"/>
        </w:rPr>
        <w:t>é</w:t>
      </w:r>
      <w:r>
        <w:rPr>
          <w:spacing w:val="-5"/>
          <w:sz w:val="18"/>
          <w:szCs w:val="18"/>
          <w:lang w:val="es-ES_tradnl"/>
        </w:rPr>
        <w:t xml:space="preserve">ctrico en el </w:t>
      </w:r>
      <w:r>
        <w:rPr>
          <w:spacing w:val="-6"/>
          <w:sz w:val="18"/>
          <w:szCs w:val="18"/>
          <w:lang w:val="es-ES_tradnl"/>
        </w:rPr>
        <w:t>Ecuador, en su intento de establecer un par</w:t>
      </w:r>
      <w:r>
        <w:rPr>
          <w:rFonts w:cs="Times New Roman"/>
          <w:spacing w:val="-6"/>
          <w:sz w:val="18"/>
          <w:szCs w:val="18"/>
          <w:lang w:val="es-ES_tradnl"/>
        </w:rPr>
        <w:t>á</w:t>
      </w:r>
      <w:r>
        <w:rPr>
          <w:spacing w:val="-6"/>
          <w:sz w:val="18"/>
          <w:szCs w:val="18"/>
          <w:lang w:val="es-ES_tradnl"/>
        </w:rPr>
        <w:t xml:space="preserve">metro por el </w:t>
      </w:r>
      <w:r>
        <w:rPr>
          <w:spacing w:val="-7"/>
          <w:sz w:val="18"/>
          <w:szCs w:val="18"/>
          <w:lang w:val="es-ES_tradnl"/>
        </w:rPr>
        <w:t>cual se deber</w:t>
      </w:r>
      <w:r>
        <w:rPr>
          <w:rFonts w:cs="Times New Roman"/>
          <w:spacing w:val="-7"/>
          <w:sz w:val="18"/>
          <w:szCs w:val="18"/>
          <w:lang w:val="es-ES_tradnl"/>
        </w:rPr>
        <w:t>á</w:t>
      </w:r>
      <w:r>
        <w:rPr>
          <w:spacing w:val="-7"/>
          <w:sz w:val="18"/>
          <w:szCs w:val="18"/>
          <w:lang w:val="es-ES_tradnl"/>
        </w:rPr>
        <w:t xml:space="preserve">n fijar las tarifas a ser cobradas dentro del </w:t>
      </w:r>
      <w:r>
        <w:rPr>
          <w:spacing w:val="-8"/>
          <w:sz w:val="18"/>
          <w:szCs w:val="18"/>
          <w:lang w:val="es-ES_tradnl"/>
        </w:rPr>
        <w:t>tributo, establece de manera general en su p</w:t>
      </w:r>
      <w:r>
        <w:rPr>
          <w:rFonts w:cs="Times New Roman"/>
          <w:spacing w:val="-8"/>
          <w:sz w:val="18"/>
          <w:szCs w:val="18"/>
          <w:lang w:val="es-ES_tradnl"/>
        </w:rPr>
        <w:t>á</w:t>
      </w:r>
      <w:r>
        <w:rPr>
          <w:spacing w:val="-8"/>
          <w:sz w:val="18"/>
          <w:szCs w:val="18"/>
          <w:lang w:val="es-ES_tradnl"/>
        </w:rPr>
        <w:t xml:space="preserve">rrafo tercero: </w:t>
      </w:r>
      <w:r>
        <w:rPr>
          <w:rFonts w:cs="Times New Roman"/>
          <w:spacing w:val="-7"/>
          <w:sz w:val="18"/>
          <w:szCs w:val="18"/>
          <w:lang w:val="es-ES_tradnl"/>
        </w:rPr>
        <w:t>“</w:t>
      </w:r>
      <w:r>
        <w:rPr>
          <w:spacing w:val="-7"/>
          <w:sz w:val="18"/>
          <w:szCs w:val="18"/>
          <w:lang w:val="es-ES_tradnl"/>
        </w:rPr>
        <w:t xml:space="preserve">En el caso de instalaciones en bienes privados, las tasas </w:t>
      </w:r>
      <w:r>
        <w:rPr>
          <w:spacing w:val="-3"/>
          <w:sz w:val="18"/>
          <w:szCs w:val="18"/>
          <w:lang w:val="es-ES_tradnl"/>
        </w:rPr>
        <w:t>que cobren los gobiernos aut</w:t>
      </w:r>
      <w:r>
        <w:rPr>
          <w:rFonts w:cs="Times New Roman"/>
          <w:spacing w:val="-3"/>
          <w:sz w:val="18"/>
          <w:szCs w:val="18"/>
          <w:lang w:val="es-ES_tradnl"/>
        </w:rPr>
        <w:t>ó</w:t>
      </w:r>
      <w:r>
        <w:rPr>
          <w:spacing w:val="-3"/>
          <w:sz w:val="18"/>
          <w:szCs w:val="18"/>
          <w:lang w:val="es-ES_tradnl"/>
        </w:rPr>
        <w:t xml:space="preserve">nomos descentralizados </w:t>
      </w:r>
      <w:r>
        <w:rPr>
          <w:spacing w:val="-5"/>
          <w:sz w:val="18"/>
          <w:szCs w:val="18"/>
          <w:lang w:val="es-ES_tradnl"/>
        </w:rPr>
        <w:t>no podr</w:t>
      </w:r>
      <w:r>
        <w:rPr>
          <w:rFonts w:cs="Times New Roman"/>
          <w:spacing w:val="-5"/>
          <w:sz w:val="18"/>
          <w:szCs w:val="18"/>
          <w:lang w:val="es-ES_tradnl"/>
        </w:rPr>
        <w:t>á</w:t>
      </w:r>
      <w:r>
        <w:rPr>
          <w:spacing w:val="-5"/>
          <w:sz w:val="18"/>
          <w:szCs w:val="18"/>
          <w:lang w:val="es-ES_tradnl"/>
        </w:rPr>
        <w:t>n ser otras que las directamente vinculadas con el costo justificado del tr</w:t>
      </w:r>
      <w:r>
        <w:rPr>
          <w:rFonts w:cs="Times New Roman"/>
          <w:spacing w:val="-5"/>
          <w:sz w:val="18"/>
          <w:szCs w:val="18"/>
          <w:lang w:val="es-ES_tradnl"/>
        </w:rPr>
        <w:t>á</w:t>
      </w:r>
      <w:r>
        <w:rPr>
          <w:spacing w:val="-5"/>
          <w:sz w:val="18"/>
          <w:szCs w:val="18"/>
          <w:lang w:val="es-ES_tradnl"/>
        </w:rPr>
        <w:t xml:space="preserve">mite de otorgamiento de los </w:t>
      </w:r>
      <w:r>
        <w:rPr>
          <w:sz w:val="18"/>
          <w:szCs w:val="18"/>
          <w:lang w:val="es-ES_tradnl"/>
        </w:rPr>
        <w:t>permisos de instalaci</w:t>
      </w:r>
      <w:r>
        <w:rPr>
          <w:rFonts w:cs="Times New Roman"/>
          <w:sz w:val="18"/>
          <w:szCs w:val="18"/>
          <w:lang w:val="es-ES_tradnl"/>
        </w:rPr>
        <w:t>ó</w:t>
      </w:r>
      <w:r>
        <w:rPr>
          <w:sz w:val="18"/>
          <w:szCs w:val="18"/>
          <w:lang w:val="es-ES_tradnl"/>
        </w:rPr>
        <w:t>n o construcci</w:t>
      </w:r>
      <w:r>
        <w:rPr>
          <w:rFonts w:cs="Times New Roman"/>
          <w:sz w:val="18"/>
          <w:szCs w:val="18"/>
          <w:lang w:val="es-ES_tradnl"/>
        </w:rPr>
        <w:t>ó</w:t>
      </w:r>
      <w:r>
        <w:rPr>
          <w:sz w:val="18"/>
          <w:szCs w:val="18"/>
          <w:lang w:val="es-ES_tradnl"/>
        </w:rPr>
        <w:t>n</w:t>
      </w:r>
      <w:r>
        <w:rPr>
          <w:rFonts w:cs="Times New Roman"/>
          <w:sz w:val="18"/>
          <w:szCs w:val="18"/>
          <w:lang w:val="es-ES_tradnl"/>
        </w:rPr>
        <w:t>”</w:t>
      </w:r>
      <w:r>
        <w:rPr>
          <w:sz w:val="18"/>
          <w:szCs w:val="18"/>
          <w:lang w:val="es-ES_tradnl"/>
        </w:rPr>
        <w:t>.</w:t>
      </w:r>
    </w:p>
    <w:p w14:paraId="4F67A653" w14:textId="77777777" w:rsidR="00591D54" w:rsidRDefault="00591D54">
      <w:pPr>
        <w:shd w:val="clear" w:color="auto" w:fill="FFFFFF"/>
        <w:spacing w:before="192" w:line="216" w:lineRule="exact"/>
        <w:jc w:val="both"/>
      </w:pPr>
      <w:r>
        <w:rPr>
          <w:spacing w:val="-10"/>
          <w:sz w:val="18"/>
          <w:szCs w:val="18"/>
          <w:lang w:val="es-ES_tradnl"/>
        </w:rPr>
        <w:t xml:space="preserve">Una vez que esta Corte ha expuesto y desarrollado aquellos </w:t>
      </w:r>
      <w:r>
        <w:rPr>
          <w:spacing w:val="-4"/>
          <w:sz w:val="18"/>
          <w:szCs w:val="18"/>
          <w:lang w:val="es-ES_tradnl"/>
        </w:rPr>
        <w:t xml:space="preserve">puntos que conciernen al caso concreto, es pertinente </w:t>
      </w:r>
      <w:r>
        <w:rPr>
          <w:spacing w:val="-7"/>
          <w:sz w:val="18"/>
          <w:szCs w:val="18"/>
          <w:lang w:val="es-ES_tradnl"/>
        </w:rPr>
        <w:t>entrar a un an</w:t>
      </w:r>
      <w:r>
        <w:rPr>
          <w:rFonts w:cs="Times New Roman"/>
          <w:spacing w:val="-7"/>
          <w:sz w:val="18"/>
          <w:szCs w:val="18"/>
          <w:lang w:val="es-ES_tradnl"/>
        </w:rPr>
        <w:t>á</w:t>
      </w:r>
      <w:r>
        <w:rPr>
          <w:spacing w:val="-7"/>
          <w:sz w:val="18"/>
          <w:szCs w:val="18"/>
          <w:lang w:val="es-ES_tradnl"/>
        </w:rPr>
        <w:t xml:space="preserve">lisis constitucional que nos permita dar una respuesta a la interrogante planteada, esto es, si las tarifas </w:t>
      </w:r>
      <w:r>
        <w:rPr>
          <w:spacing w:val="-8"/>
          <w:sz w:val="18"/>
          <w:szCs w:val="18"/>
          <w:lang w:val="es-ES_tradnl"/>
        </w:rPr>
        <w:t xml:space="preserve">a las siete tasas fijadas por la Municipalidad de Chone por </w:t>
      </w:r>
      <w:r>
        <w:rPr>
          <w:spacing w:val="-6"/>
          <w:sz w:val="18"/>
          <w:szCs w:val="18"/>
          <w:lang w:val="es-ES_tradnl"/>
        </w:rPr>
        <w:t>el uso del espacio f</w:t>
      </w:r>
      <w:r>
        <w:rPr>
          <w:rFonts w:cs="Times New Roman"/>
          <w:spacing w:val="-6"/>
          <w:sz w:val="18"/>
          <w:szCs w:val="18"/>
          <w:lang w:val="es-ES_tradnl"/>
        </w:rPr>
        <w:t>í</w:t>
      </w:r>
      <w:r>
        <w:rPr>
          <w:spacing w:val="-6"/>
          <w:sz w:val="18"/>
          <w:szCs w:val="18"/>
          <w:lang w:val="es-ES_tradnl"/>
        </w:rPr>
        <w:t>sico y a</w:t>
      </w:r>
      <w:r>
        <w:rPr>
          <w:rFonts w:cs="Times New Roman"/>
          <w:spacing w:val="-6"/>
          <w:sz w:val="18"/>
          <w:szCs w:val="18"/>
          <w:lang w:val="es-ES_tradnl"/>
        </w:rPr>
        <w:t>é</w:t>
      </w:r>
      <w:r>
        <w:rPr>
          <w:spacing w:val="-6"/>
          <w:sz w:val="18"/>
          <w:szCs w:val="18"/>
          <w:lang w:val="es-ES_tradnl"/>
        </w:rPr>
        <w:t>reo dentro de su jurisdicci</w:t>
      </w:r>
      <w:r>
        <w:rPr>
          <w:rFonts w:cs="Times New Roman"/>
          <w:spacing w:val="-6"/>
          <w:sz w:val="18"/>
          <w:szCs w:val="18"/>
          <w:lang w:val="es-ES_tradnl"/>
        </w:rPr>
        <w:t>ó</w:t>
      </w:r>
      <w:r>
        <w:rPr>
          <w:spacing w:val="-6"/>
          <w:sz w:val="18"/>
          <w:szCs w:val="18"/>
          <w:lang w:val="es-ES_tradnl"/>
        </w:rPr>
        <w:t xml:space="preserve">n </w:t>
      </w:r>
      <w:r>
        <w:rPr>
          <w:spacing w:val="-4"/>
          <w:sz w:val="18"/>
          <w:szCs w:val="18"/>
          <w:lang w:val="es-ES_tradnl"/>
        </w:rPr>
        <w:t>territorial, transgrede el principio tributario de equidad.</w:t>
      </w:r>
    </w:p>
    <w:p w14:paraId="4F67A654" w14:textId="77777777" w:rsidR="00591D54" w:rsidRDefault="00591D54">
      <w:pPr>
        <w:shd w:val="clear" w:color="auto" w:fill="FFFFFF"/>
        <w:spacing w:before="192" w:line="216" w:lineRule="exact"/>
        <w:jc w:val="both"/>
      </w:pPr>
      <w:r>
        <w:rPr>
          <w:spacing w:val="-6"/>
          <w:sz w:val="18"/>
          <w:szCs w:val="18"/>
          <w:lang w:val="es-ES_tradnl"/>
        </w:rPr>
        <w:t>Hay que puntualizar dentro de la presente acci</w:t>
      </w:r>
      <w:r>
        <w:rPr>
          <w:rFonts w:cs="Times New Roman"/>
          <w:spacing w:val="-6"/>
          <w:sz w:val="18"/>
          <w:szCs w:val="18"/>
          <w:lang w:val="es-ES_tradnl"/>
        </w:rPr>
        <w:t>ó</w:t>
      </w:r>
      <w:r>
        <w:rPr>
          <w:spacing w:val="-6"/>
          <w:sz w:val="18"/>
          <w:szCs w:val="18"/>
          <w:lang w:val="es-ES_tradnl"/>
        </w:rPr>
        <w:t>n p</w:t>
      </w:r>
      <w:r>
        <w:rPr>
          <w:rFonts w:cs="Times New Roman"/>
          <w:spacing w:val="-6"/>
          <w:sz w:val="18"/>
          <w:szCs w:val="18"/>
          <w:lang w:val="es-ES_tradnl"/>
        </w:rPr>
        <w:t>ú</w:t>
      </w:r>
      <w:r>
        <w:rPr>
          <w:spacing w:val="-6"/>
          <w:sz w:val="18"/>
          <w:szCs w:val="18"/>
          <w:lang w:val="es-ES_tradnl"/>
        </w:rPr>
        <w:t xml:space="preserve">blica </w:t>
      </w:r>
      <w:r>
        <w:rPr>
          <w:spacing w:val="-4"/>
          <w:sz w:val="18"/>
          <w:szCs w:val="18"/>
          <w:lang w:val="es-ES_tradnl"/>
        </w:rPr>
        <w:t xml:space="preserve">de inconstitucionalidad, que no se pretende desconocer </w:t>
      </w:r>
      <w:r>
        <w:rPr>
          <w:spacing w:val="-3"/>
          <w:sz w:val="18"/>
          <w:szCs w:val="18"/>
          <w:lang w:val="es-ES_tradnl"/>
        </w:rPr>
        <w:t xml:space="preserve">la potestad tributaria con la que cuentan de manera </w:t>
      </w:r>
      <w:r>
        <w:rPr>
          <w:spacing w:val="-6"/>
          <w:sz w:val="18"/>
          <w:szCs w:val="18"/>
          <w:lang w:val="es-ES_tradnl"/>
        </w:rPr>
        <w:t xml:space="preserve">inherente el Estado y en este caso en particular los GAD </w:t>
      </w:r>
      <w:r>
        <w:rPr>
          <w:spacing w:val="-9"/>
          <w:sz w:val="18"/>
          <w:szCs w:val="18"/>
          <w:lang w:val="es-ES_tradnl"/>
        </w:rPr>
        <w:t>municipales, pues ello, ser</w:t>
      </w:r>
      <w:r>
        <w:rPr>
          <w:rFonts w:cs="Times New Roman"/>
          <w:spacing w:val="-9"/>
          <w:sz w:val="18"/>
          <w:szCs w:val="18"/>
          <w:lang w:val="es-ES_tradnl"/>
        </w:rPr>
        <w:t>í</w:t>
      </w:r>
      <w:r>
        <w:rPr>
          <w:spacing w:val="-9"/>
          <w:sz w:val="18"/>
          <w:szCs w:val="18"/>
          <w:lang w:val="es-ES_tradnl"/>
        </w:rPr>
        <w:t xml:space="preserve">a desconocer el propio mandato </w:t>
      </w:r>
      <w:r>
        <w:rPr>
          <w:spacing w:val="-5"/>
          <w:sz w:val="18"/>
          <w:szCs w:val="18"/>
          <w:lang w:val="es-ES_tradnl"/>
        </w:rPr>
        <w:t>constitucional.  No  obstante,  en  base  a  los  conceptos</w:t>
      </w:r>
    </w:p>
    <w:p w14:paraId="4F67A655" w14:textId="77777777" w:rsidR="00591D54" w:rsidRDefault="00591D54">
      <w:pPr>
        <w:shd w:val="clear" w:color="auto" w:fill="FFFFFF"/>
        <w:spacing w:before="475"/>
      </w:pPr>
      <w:r>
        <w:rPr>
          <w:spacing w:val="-4"/>
          <w:sz w:val="14"/>
          <w:szCs w:val="14"/>
          <w:vertAlign w:val="superscript"/>
          <w:lang w:val="es-ES_tradnl"/>
        </w:rPr>
        <w:t>16</w:t>
      </w:r>
      <w:r>
        <w:rPr>
          <w:spacing w:val="-4"/>
          <w:sz w:val="14"/>
          <w:szCs w:val="14"/>
          <w:lang w:val="es-ES_tradnl"/>
        </w:rPr>
        <w:t xml:space="preserve"> </w:t>
      </w:r>
      <w:r>
        <w:rPr>
          <w:spacing w:val="-2"/>
          <w:sz w:val="14"/>
          <w:szCs w:val="14"/>
          <w:lang w:val="es-ES_tradnl"/>
        </w:rPr>
        <w:t>Registro Oficial 439 del 18 de febrero de 2015.</w:t>
      </w:r>
    </w:p>
    <w:p w14:paraId="4F67A656" w14:textId="77777777" w:rsidR="00591D54" w:rsidRDefault="00591D54">
      <w:pPr>
        <w:shd w:val="clear" w:color="auto" w:fill="FFFFFF"/>
        <w:spacing w:line="216" w:lineRule="exact"/>
        <w:ind w:right="5"/>
        <w:jc w:val="both"/>
      </w:pPr>
      <w:r>
        <w:br w:type="column"/>
      </w:r>
      <w:r>
        <w:rPr>
          <w:spacing w:val="-2"/>
          <w:sz w:val="18"/>
          <w:szCs w:val="18"/>
          <w:lang w:val="es-ES_tradnl"/>
        </w:rPr>
        <w:t xml:space="preserve">y principios que se han desarrollado en el problema </w:t>
      </w:r>
      <w:r>
        <w:rPr>
          <w:spacing w:val="-5"/>
          <w:sz w:val="18"/>
          <w:szCs w:val="18"/>
          <w:lang w:val="es-ES_tradnl"/>
        </w:rPr>
        <w:t>jur</w:t>
      </w:r>
      <w:r>
        <w:rPr>
          <w:rFonts w:cs="Times New Roman"/>
          <w:spacing w:val="-5"/>
          <w:sz w:val="18"/>
          <w:szCs w:val="18"/>
          <w:lang w:val="es-ES_tradnl"/>
        </w:rPr>
        <w:t>í</w:t>
      </w:r>
      <w:r>
        <w:rPr>
          <w:spacing w:val="-5"/>
          <w:sz w:val="18"/>
          <w:szCs w:val="18"/>
          <w:lang w:val="es-ES_tradnl"/>
        </w:rPr>
        <w:t xml:space="preserve">dico, se deja en evidencia la posibilidad de que este </w:t>
      </w:r>
      <w:r>
        <w:rPr>
          <w:spacing w:val="-8"/>
          <w:sz w:val="18"/>
          <w:szCs w:val="18"/>
          <w:lang w:val="es-ES_tradnl"/>
        </w:rPr>
        <w:t xml:space="preserve">organismo de justicia constitucional, pueda, de ser el caso, </w:t>
      </w:r>
      <w:r>
        <w:rPr>
          <w:spacing w:val="-4"/>
          <w:sz w:val="18"/>
          <w:szCs w:val="18"/>
          <w:lang w:val="es-ES_tradnl"/>
        </w:rPr>
        <w:t xml:space="preserve">limitar o regular dicha potestad en base a los principios </w:t>
      </w:r>
      <w:r>
        <w:rPr>
          <w:spacing w:val="-7"/>
          <w:sz w:val="18"/>
          <w:szCs w:val="18"/>
          <w:lang w:val="es-ES_tradnl"/>
        </w:rPr>
        <w:t>tributarios reconocidos en 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 xml:space="preserve">blica, </w:t>
      </w:r>
      <w:r>
        <w:rPr>
          <w:spacing w:val="-6"/>
          <w:sz w:val="18"/>
          <w:szCs w:val="18"/>
          <w:lang w:val="es-ES_tradnl"/>
        </w:rPr>
        <w:t>circunstancia que guarda armon</w:t>
      </w:r>
      <w:r>
        <w:rPr>
          <w:rFonts w:cs="Times New Roman"/>
          <w:spacing w:val="-6"/>
          <w:sz w:val="18"/>
          <w:szCs w:val="18"/>
          <w:lang w:val="es-ES_tradnl"/>
        </w:rPr>
        <w:t>í</w:t>
      </w:r>
      <w:r>
        <w:rPr>
          <w:spacing w:val="-6"/>
          <w:sz w:val="18"/>
          <w:szCs w:val="18"/>
          <w:lang w:val="es-ES_tradnl"/>
        </w:rPr>
        <w:t>a con la pretensi</w:t>
      </w:r>
      <w:r>
        <w:rPr>
          <w:rFonts w:cs="Times New Roman"/>
          <w:spacing w:val="-6"/>
          <w:sz w:val="18"/>
          <w:szCs w:val="18"/>
          <w:lang w:val="es-ES_tradnl"/>
        </w:rPr>
        <w:t>ó</w:t>
      </w:r>
      <w:r>
        <w:rPr>
          <w:spacing w:val="-6"/>
          <w:sz w:val="18"/>
          <w:szCs w:val="18"/>
          <w:lang w:val="es-ES_tradnl"/>
        </w:rPr>
        <w:t xml:space="preserve">n del </w:t>
      </w:r>
      <w:r>
        <w:rPr>
          <w:spacing w:val="-9"/>
          <w:sz w:val="18"/>
          <w:szCs w:val="18"/>
          <w:lang w:val="es-ES_tradnl"/>
        </w:rPr>
        <w:t>accionante, quien, a consideraci</w:t>
      </w:r>
      <w:r>
        <w:rPr>
          <w:rFonts w:cs="Times New Roman"/>
          <w:spacing w:val="-9"/>
          <w:sz w:val="18"/>
          <w:szCs w:val="18"/>
          <w:lang w:val="es-ES_tradnl"/>
        </w:rPr>
        <w:t>ó</w:t>
      </w:r>
      <w:r>
        <w:rPr>
          <w:spacing w:val="-9"/>
          <w:sz w:val="18"/>
          <w:szCs w:val="18"/>
          <w:lang w:val="es-ES_tradnl"/>
        </w:rPr>
        <w:t xml:space="preserve">n de esta Corte, no intenta </w:t>
      </w:r>
      <w:r>
        <w:rPr>
          <w:spacing w:val="-6"/>
          <w:sz w:val="18"/>
          <w:szCs w:val="18"/>
          <w:lang w:val="es-ES_tradnl"/>
        </w:rPr>
        <w:t>desconocer la creaci</w:t>
      </w:r>
      <w:r>
        <w:rPr>
          <w:rFonts w:cs="Times New Roman"/>
          <w:spacing w:val="-6"/>
          <w:sz w:val="18"/>
          <w:szCs w:val="18"/>
          <w:lang w:val="es-ES_tradnl"/>
        </w:rPr>
        <w:t>ó</w:t>
      </w:r>
      <w:r>
        <w:rPr>
          <w:spacing w:val="-6"/>
          <w:sz w:val="18"/>
          <w:szCs w:val="18"/>
          <w:lang w:val="es-ES_tradnl"/>
        </w:rPr>
        <w:t xml:space="preserve">n de dichas tasas, sino el elevado </w:t>
      </w:r>
      <w:r>
        <w:rPr>
          <w:sz w:val="18"/>
          <w:szCs w:val="18"/>
          <w:lang w:val="es-ES_tradnl"/>
        </w:rPr>
        <w:t>valor de sus tarifas.</w:t>
      </w:r>
    </w:p>
    <w:p w14:paraId="4F67A657" w14:textId="77777777" w:rsidR="00591D54" w:rsidRDefault="00591D54">
      <w:pPr>
        <w:shd w:val="clear" w:color="auto" w:fill="FFFFFF"/>
        <w:spacing w:before="197" w:line="216" w:lineRule="exact"/>
        <w:ind w:right="5"/>
        <w:jc w:val="both"/>
      </w:pPr>
      <w:r>
        <w:rPr>
          <w:spacing w:val="-3"/>
          <w:sz w:val="18"/>
          <w:szCs w:val="18"/>
          <w:lang w:val="es-ES_tradnl"/>
        </w:rPr>
        <w:t>Dicho esto, se hace notar que la accionante, dentro de su demanda, hace referencia en t</w:t>
      </w:r>
      <w:r>
        <w:rPr>
          <w:rFonts w:cs="Times New Roman"/>
          <w:spacing w:val="-3"/>
          <w:sz w:val="18"/>
          <w:szCs w:val="18"/>
          <w:lang w:val="es-ES_tradnl"/>
        </w:rPr>
        <w:t>é</w:t>
      </w:r>
      <w:r>
        <w:rPr>
          <w:spacing w:val="-3"/>
          <w:sz w:val="18"/>
          <w:szCs w:val="18"/>
          <w:lang w:val="es-ES_tradnl"/>
        </w:rPr>
        <w:t xml:space="preserve">rminos comparativos </w:t>
      </w:r>
      <w:r>
        <w:rPr>
          <w:spacing w:val="-6"/>
          <w:sz w:val="18"/>
          <w:szCs w:val="18"/>
          <w:lang w:val="es-ES_tradnl"/>
        </w:rPr>
        <w:t xml:space="preserve">a las tarifas fijadas en la ordenanza vigente dentro del </w:t>
      </w:r>
      <w:r>
        <w:rPr>
          <w:spacing w:val="-4"/>
          <w:sz w:val="18"/>
          <w:szCs w:val="18"/>
          <w:lang w:val="es-ES_tradnl"/>
        </w:rPr>
        <w:t xml:space="preserve">Distrito Metropolitano de Quito y la ordenanza objeto de </w:t>
      </w:r>
      <w:r>
        <w:rPr>
          <w:spacing w:val="-7"/>
          <w:sz w:val="18"/>
          <w:szCs w:val="18"/>
          <w:lang w:val="es-ES_tradnl"/>
        </w:rPr>
        <w:t>la presente acci</w:t>
      </w:r>
      <w:r>
        <w:rPr>
          <w:rFonts w:cs="Times New Roman"/>
          <w:spacing w:val="-7"/>
          <w:sz w:val="18"/>
          <w:szCs w:val="18"/>
          <w:lang w:val="es-ES_tradnl"/>
        </w:rPr>
        <w:t>ó</w:t>
      </w:r>
      <w:r>
        <w:rPr>
          <w:spacing w:val="-7"/>
          <w:sz w:val="18"/>
          <w:szCs w:val="18"/>
          <w:lang w:val="es-ES_tradnl"/>
        </w:rPr>
        <w:t>n. Ahora bien, es importante se</w:t>
      </w:r>
      <w:r>
        <w:rPr>
          <w:rFonts w:cs="Times New Roman"/>
          <w:spacing w:val="-7"/>
          <w:sz w:val="18"/>
          <w:szCs w:val="18"/>
          <w:lang w:val="es-ES_tradnl"/>
        </w:rPr>
        <w:t>ñ</w:t>
      </w:r>
      <w:r>
        <w:rPr>
          <w:spacing w:val="-7"/>
          <w:sz w:val="18"/>
          <w:szCs w:val="18"/>
          <w:lang w:val="es-ES_tradnl"/>
        </w:rPr>
        <w:t xml:space="preserve">alar que </w:t>
      </w:r>
      <w:r>
        <w:rPr>
          <w:spacing w:val="-5"/>
          <w:sz w:val="18"/>
          <w:szCs w:val="18"/>
          <w:lang w:val="es-ES_tradnl"/>
        </w:rPr>
        <w:t>el presente an</w:t>
      </w:r>
      <w:r>
        <w:rPr>
          <w:rFonts w:cs="Times New Roman"/>
          <w:spacing w:val="-5"/>
          <w:sz w:val="18"/>
          <w:szCs w:val="18"/>
          <w:lang w:val="es-ES_tradnl"/>
        </w:rPr>
        <w:t>á</w:t>
      </w:r>
      <w:r>
        <w:rPr>
          <w:spacing w:val="-5"/>
          <w:sz w:val="18"/>
          <w:szCs w:val="18"/>
          <w:lang w:val="es-ES_tradnl"/>
        </w:rPr>
        <w:t>lisis no tiene otra intenci</w:t>
      </w:r>
      <w:r>
        <w:rPr>
          <w:rFonts w:cs="Times New Roman"/>
          <w:spacing w:val="-5"/>
          <w:sz w:val="18"/>
          <w:szCs w:val="18"/>
          <w:lang w:val="es-ES_tradnl"/>
        </w:rPr>
        <w:t>ó</w:t>
      </w:r>
      <w:r>
        <w:rPr>
          <w:spacing w:val="-5"/>
          <w:sz w:val="18"/>
          <w:szCs w:val="18"/>
          <w:lang w:val="es-ES_tradnl"/>
        </w:rPr>
        <w:t xml:space="preserve">n que comparar </w:t>
      </w:r>
      <w:r>
        <w:rPr>
          <w:spacing w:val="-8"/>
          <w:sz w:val="18"/>
          <w:szCs w:val="18"/>
          <w:lang w:val="es-ES_tradnl"/>
        </w:rPr>
        <w:t>la fijaci</w:t>
      </w:r>
      <w:r>
        <w:rPr>
          <w:rFonts w:cs="Times New Roman"/>
          <w:spacing w:val="-8"/>
          <w:sz w:val="18"/>
          <w:szCs w:val="18"/>
          <w:lang w:val="es-ES_tradnl"/>
        </w:rPr>
        <w:t>ó</w:t>
      </w:r>
      <w:r>
        <w:rPr>
          <w:spacing w:val="-8"/>
          <w:sz w:val="18"/>
          <w:szCs w:val="18"/>
          <w:lang w:val="es-ES_tradnl"/>
        </w:rPr>
        <w:t xml:space="preserve">n de tarifas para el cobro de una misma tasa entre </w:t>
      </w:r>
      <w:r>
        <w:rPr>
          <w:spacing w:val="-10"/>
          <w:sz w:val="18"/>
          <w:szCs w:val="18"/>
          <w:lang w:val="es-ES_tradnl"/>
        </w:rPr>
        <w:t xml:space="preserve">gobiernos seccionales que cuentan con iguales atribuciones </w:t>
      </w:r>
      <w:r>
        <w:rPr>
          <w:spacing w:val="-5"/>
          <w:sz w:val="18"/>
          <w:szCs w:val="18"/>
          <w:lang w:val="es-ES_tradnl"/>
        </w:rPr>
        <w:t xml:space="preserve">de </w:t>
      </w:r>
      <w:r>
        <w:rPr>
          <w:rFonts w:cs="Times New Roman"/>
          <w:spacing w:val="-5"/>
          <w:sz w:val="18"/>
          <w:szCs w:val="18"/>
          <w:lang w:val="es-ES_tradnl"/>
        </w:rPr>
        <w:t>í</w:t>
      </w:r>
      <w:r>
        <w:rPr>
          <w:spacing w:val="-5"/>
          <w:sz w:val="18"/>
          <w:szCs w:val="18"/>
          <w:lang w:val="es-ES_tradnl"/>
        </w:rPr>
        <w:t xml:space="preserve">ndole tributario, siendo claro que dentro de nuestro </w:t>
      </w:r>
      <w:r>
        <w:rPr>
          <w:spacing w:val="-4"/>
          <w:sz w:val="18"/>
          <w:szCs w:val="18"/>
          <w:lang w:val="es-ES_tradnl"/>
        </w:rPr>
        <w:t>ordenamiento jur</w:t>
      </w:r>
      <w:r>
        <w:rPr>
          <w:rFonts w:cs="Times New Roman"/>
          <w:spacing w:val="-4"/>
          <w:sz w:val="18"/>
          <w:szCs w:val="18"/>
          <w:lang w:val="es-ES_tradnl"/>
        </w:rPr>
        <w:t>í</w:t>
      </w:r>
      <w:r>
        <w:rPr>
          <w:spacing w:val="-4"/>
          <w:sz w:val="18"/>
          <w:szCs w:val="18"/>
          <w:lang w:val="es-ES_tradnl"/>
        </w:rPr>
        <w:t>dico no existe una regulaci</w:t>
      </w:r>
      <w:r>
        <w:rPr>
          <w:rFonts w:cs="Times New Roman"/>
          <w:spacing w:val="-4"/>
          <w:sz w:val="18"/>
          <w:szCs w:val="18"/>
          <w:lang w:val="es-ES_tradnl"/>
        </w:rPr>
        <w:t>ó</w:t>
      </w:r>
      <w:r>
        <w:rPr>
          <w:spacing w:val="-4"/>
          <w:sz w:val="18"/>
          <w:szCs w:val="18"/>
          <w:lang w:val="es-ES_tradnl"/>
        </w:rPr>
        <w:t xml:space="preserve">n clara y </w:t>
      </w:r>
      <w:r>
        <w:rPr>
          <w:spacing w:val="-6"/>
          <w:sz w:val="18"/>
          <w:szCs w:val="18"/>
          <w:lang w:val="es-ES_tradnl"/>
        </w:rPr>
        <w:t>expresa que disponga a las municipalidades par</w:t>
      </w:r>
      <w:r>
        <w:rPr>
          <w:rFonts w:cs="Times New Roman"/>
          <w:spacing w:val="-6"/>
          <w:sz w:val="18"/>
          <w:szCs w:val="18"/>
          <w:lang w:val="es-ES_tradnl"/>
        </w:rPr>
        <w:t>á</w:t>
      </w:r>
      <w:r>
        <w:rPr>
          <w:spacing w:val="-6"/>
          <w:sz w:val="18"/>
          <w:szCs w:val="18"/>
          <w:lang w:val="es-ES_tradnl"/>
        </w:rPr>
        <w:t xml:space="preserve">metros </w:t>
      </w:r>
      <w:r>
        <w:rPr>
          <w:spacing w:val="-10"/>
          <w:sz w:val="18"/>
          <w:szCs w:val="18"/>
          <w:lang w:val="es-ES_tradnl"/>
        </w:rPr>
        <w:t>por los cuales deba fijar las tarifas en tasa por ocupaci</w:t>
      </w:r>
      <w:r>
        <w:rPr>
          <w:rFonts w:cs="Times New Roman"/>
          <w:spacing w:val="-10"/>
          <w:sz w:val="18"/>
          <w:szCs w:val="18"/>
          <w:lang w:val="es-ES_tradnl"/>
        </w:rPr>
        <w:t>ó</w:t>
      </w:r>
      <w:r>
        <w:rPr>
          <w:spacing w:val="-10"/>
          <w:sz w:val="18"/>
          <w:szCs w:val="18"/>
          <w:lang w:val="es-ES_tradnl"/>
        </w:rPr>
        <w:t xml:space="preserve">n de </w:t>
      </w:r>
      <w:r>
        <w:rPr>
          <w:spacing w:val="-5"/>
          <w:sz w:val="18"/>
          <w:szCs w:val="18"/>
          <w:lang w:val="es-ES_tradnl"/>
        </w:rPr>
        <w:t>espacio p</w:t>
      </w:r>
      <w:r>
        <w:rPr>
          <w:rFonts w:cs="Times New Roman"/>
          <w:spacing w:val="-5"/>
          <w:sz w:val="18"/>
          <w:szCs w:val="18"/>
          <w:lang w:val="es-ES_tradnl"/>
        </w:rPr>
        <w:t>ú</w:t>
      </w:r>
      <w:r>
        <w:rPr>
          <w:spacing w:val="-5"/>
          <w:sz w:val="18"/>
          <w:szCs w:val="18"/>
          <w:lang w:val="es-ES_tradnl"/>
        </w:rPr>
        <w:t>blico, m</w:t>
      </w:r>
      <w:r>
        <w:rPr>
          <w:rFonts w:cs="Times New Roman"/>
          <w:spacing w:val="-5"/>
          <w:sz w:val="18"/>
          <w:szCs w:val="18"/>
          <w:lang w:val="es-ES_tradnl"/>
        </w:rPr>
        <w:t>á</w:t>
      </w:r>
      <w:r>
        <w:rPr>
          <w:spacing w:val="-5"/>
          <w:sz w:val="18"/>
          <w:szCs w:val="18"/>
          <w:lang w:val="es-ES_tradnl"/>
        </w:rPr>
        <w:t>s all</w:t>
      </w:r>
      <w:r>
        <w:rPr>
          <w:rFonts w:cs="Times New Roman"/>
          <w:spacing w:val="-5"/>
          <w:sz w:val="18"/>
          <w:szCs w:val="18"/>
          <w:lang w:val="es-ES_tradnl"/>
        </w:rPr>
        <w:t>á</w:t>
      </w:r>
      <w:r>
        <w:rPr>
          <w:spacing w:val="-5"/>
          <w:sz w:val="18"/>
          <w:szCs w:val="18"/>
          <w:lang w:val="es-ES_tradnl"/>
        </w:rPr>
        <w:t xml:space="preserve"> de lo previsto en el art</w:t>
      </w:r>
      <w:r>
        <w:rPr>
          <w:rFonts w:cs="Times New Roman"/>
          <w:spacing w:val="-5"/>
          <w:sz w:val="18"/>
          <w:szCs w:val="18"/>
          <w:lang w:val="es-ES_tradnl"/>
        </w:rPr>
        <w:t>í</w:t>
      </w:r>
      <w:r>
        <w:rPr>
          <w:spacing w:val="-5"/>
          <w:sz w:val="18"/>
          <w:szCs w:val="18"/>
          <w:lang w:val="es-ES_tradnl"/>
        </w:rPr>
        <w:t xml:space="preserve">culo 104 </w:t>
      </w:r>
      <w:r>
        <w:rPr>
          <w:spacing w:val="-7"/>
          <w:sz w:val="18"/>
          <w:szCs w:val="18"/>
          <w:lang w:val="es-ES_tradnl"/>
        </w:rPr>
        <w:t>de la Ley Org</w:t>
      </w:r>
      <w:r>
        <w:rPr>
          <w:rFonts w:cs="Times New Roman"/>
          <w:spacing w:val="-7"/>
          <w:sz w:val="18"/>
          <w:szCs w:val="18"/>
          <w:lang w:val="es-ES_tradnl"/>
        </w:rPr>
        <w:t>á</w:t>
      </w:r>
      <w:r>
        <w:rPr>
          <w:spacing w:val="-7"/>
          <w:sz w:val="18"/>
          <w:szCs w:val="18"/>
          <w:lang w:val="es-ES_tradnl"/>
        </w:rPr>
        <w:t xml:space="preserve">nica de Telecomunicaciones, conforme se </w:t>
      </w:r>
      <w:r>
        <w:rPr>
          <w:sz w:val="18"/>
          <w:szCs w:val="18"/>
          <w:lang w:val="es-ES_tradnl"/>
        </w:rPr>
        <w:t>se</w:t>
      </w:r>
      <w:r>
        <w:rPr>
          <w:rFonts w:cs="Times New Roman"/>
          <w:sz w:val="18"/>
          <w:szCs w:val="18"/>
          <w:lang w:val="es-ES_tradnl"/>
        </w:rPr>
        <w:t>ñ</w:t>
      </w:r>
      <w:r>
        <w:rPr>
          <w:sz w:val="18"/>
          <w:szCs w:val="18"/>
          <w:lang w:val="es-ES_tradnl"/>
        </w:rPr>
        <w:t>al</w:t>
      </w:r>
      <w:r>
        <w:rPr>
          <w:rFonts w:cs="Times New Roman"/>
          <w:sz w:val="18"/>
          <w:szCs w:val="18"/>
          <w:lang w:val="es-ES_tradnl"/>
        </w:rPr>
        <w:t>ó</w:t>
      </w:r>
      <w:r>
        <w:rPr>
          <w:sz w:val="18"/>
          <w:szCs w:val="18"/>
          <w:lang w:val="es-ES_tradnl"/>
        </w:rPr>
        <w:t xml:space="preserve"> previamente.</w:t>
      </w:r>
    </w:p>
    <w:p w14:paraId="4F67A658" w14:textId="77777777" w:rsidR="00591D54" w:rsidRDefault="00591D54">
      <w:pPr>
        <w:shd w:val="clear" w:color="auto" w:fill="FFFFFF"/>
        <w:spacing w:before="197" w:line="216" w:lineRule="exact"/>
        <w:ind w:right="5"/>
        <w:jc w:val="both"/>
      </w:pPr>
      <w:r>
        <w:rPr>
          <w:spacing w:val="-6"/>
          <w:sz w:val="18"/>
          <w:szCs w:val="18"/>
          <w:lang w:val="es-ES_tradnl"/>
        </w:rPr>
        <w:t>En funci</w:t>
      </w:r>
      <w:r>
        <w:rPr>
          <w:rFonts w:cs="Times New Roman"/>
          <w:spacing w:val="-6"/>
          <w:sz w:val="18"/>
          <w:szCs w:val="18"/>
          <w:lang w:val="es-ES_tradnl"/>
        </w:rPr>
        <w:t>ó</w:t>
      </w:r>
      <w:r>
        <w:rPr>
          <w:spacing w:val="-6"/>
          <w:sz w:val="18"/>
          <w:szCs w:val="18"/>
          <w:lang w:val="es-ES_tradnl"/>
        </w:rPr>
        <w:t>n de lo cual, por la necesidad de ejemplificar los costos de las tarifas establecidas en el art</w:t>
      </w:r>
      <w:r>
        <w:rPr>
          <w:rFonts w:cs="Times New Roman"/>
          <w:spacing w:val="-6"/>
          <w:sz w:val="18"/>
          <w:szCs w:val="18"/>
          <w:lang w:val="es-ES_tradnl"/>
        </w:rPr>
        <w:t>í</w:t>
      </w:r>
      <w:r>
        <w:rPr>
          <w:spacing w:val="-6"/>
          <w:sz w:val="18"/>
          <w:szCs w:val="18"/>
          <w:lang w:val="es-ES_tradnl"/>
        </w:rPr>
        <w:t xml:space="preserve">culo 18 de la </w:t>
      </w:r>
      <w:r>
        <w:rPr>
          <w:spacing w:val="-10"/>
          <w:sz w:val="18"/>
          <w:szCs w:val="18"/>
          <w:lang w:val="es-ES_tradnl"/>
        </w:rPr>
        <w:t>ordenanza impugnada, se proceder</w:t>
      </w:r>
      <w:r>
        <w:rPr>
          <w:rFonts w:cs="Times New Roman"/>
          <w:spacing w:val="-10"/>
          <w:sz w:val="18"/>
          <w:szCs w:val="18"/>
          <w:lang w:val="es-ES_tradnl"/>
        </w:rPr>
        <w:t>á</w:t>
      </w:r>
      <w:r>
        <w:rPr>
          <w:spacing w:val="-10"/>
          <w:sz w:val="18"/>
          <w:szCs w:val="18"/>
          <w:lang w:val="es-ES_tradnl"/>
        </w:rPr>
        <w:t xml:space="preserve"> a realizar el an</w:t>
      </w:r>
      <w:r>
        <w:rPr>
          <w:rFonts w:cs="Times New Roman"/>
          <w:spacing w:val="-10"/>
          <w:sz w:val="18"/>
          <w:szCs w:val="18"/>
          <w:lang w:val="es-ES_tradnl"/>
        </w:rPr>
        <w:t>á</w:t>
      </w:r>
      <w:r>
        <w:rPr>
          <w:spacing w:val="-10"/>
          <w:sz w:val="18"/>
          <w:szCs w:val="18"/>
          <w:lang w:val="es-ES_tradnl"/>
        </w:rPr>
        <w:t xml:space="preserve">lisis de todas las tasas fijadas, sin perjuicio de que algunas han sido </w:t>
      </w:r>
      <w:r>
        <w:rPr>
          <w:spacing w:val="-7"/>
          <w:sz w:val="18"/>
          <w:szCs w:val="18"/>
          <w:lang w:val="es-ES_tradnl"/>
        </w:rPr>
        <w:t xml:space="preserve">ya declaradas inconstitucionales dentro de los problemas </w:t>
      </w:r>
      <w:r>
        <w:rPr>
          <w:sz w:val="18"/>
          <w:szCs w:val="18"/>
          <w:lang w:val="es-ES_tradnl"/>
        </w:rPr>
        <w:t>jur</w:t>
      </w:r>
      <w:r>
        <w:rPr>
          <w:rFonts w:cs="Times New Roman"/>
          <w:sz w:val="18"/>
          <w:szCs w:val="18"/>
          <w:lang w:val="es-ES_tradnl"/>
        </w:rPr>
        <w:t>í</w:t>
      </w:r>
      <w:r>
        <w:rPr>
          <w:sz w:val="18"/>
          <w:szCs w:val="18"/>
          <w:lang w:val="es-ES_tradnl"/>
        </w:rPr>
        <w:t>dicos precedentes.</w:t>
      </w:r>
    </w:p>
    <w:p w14:paraId="4F67A659" w14:textId="77777777" w:rsidR="00591D54" w:rsidRDefault="00591D54">
      <w:pPr>
        <w:shd w:val="clear" w:color="auto" w:fill="FFFFFF"/>
        <w:spacing w:before="192" w:line="216" w:lineRule="exact"/>
        <w:jc w:val="both"/>
      </w:pPr>
      <w:r>
        <w:rPr>
          <w:spacing w:val="-8"/>
          <w:sz w:val="18"/>
          <w:szCs w:val="18"/>
          <w:lang w:val="es-ES_tradnl"/>
        </w:rPr>
        <w:t>As</w:t>
      </w:r>
      <w:r>
        <w:rPr>
          <w:rFonts w:cs="Times New Roman"/>
          <w:spacing w:val="-8"/>
          <w:sz w:val="18"/>
          <w:szCs w:val="18"/>
          <w:lang w:val="es-ES_tradnl"/>
        </w:rPr>
        <w:t>í</w:t>
      </w:r>
      <w:r>
        <w:rPr>
          <w:spacing w:val="-8"/>
          <w:sz w:val="18"/>
          <w:szCs w:val="18"/>
          <w:lang w:val="es-ES_tradnl"/>
        </w:rPr>
        <w:t xml:space="preserve">, la </w:t>
      </w:r>
      <w:r>
        <w:rPr>
          <w:rFonts w:cs="Times New Roman"/>
          <w:spacing w:val="-8"/>
          <w:sz w:val="18"/>
          <w:szCs w:val="18"/>
          <w:lang w:val="es-ES_tradnl"/>
        </w:rPr>
        <w:t>“</w:t>
      </w:r>
      <w:r>
        <w:rPr>
          <w:spacing w:val="-8"/>
          <w:sz w:val="18"/>
          <w:szCs w:val="18"/>
          <w:lang w:val="es-ES_tradnl"/>
        </w:rPr>
        <w:t>Ordenanza Metropolitana que establece el r</w:t>
      </w:r>
      <w:r>
        <w:rPr>
          <w:rFonts w:cs="Times New Roman"/>
          <w:spacing w:val="-8"/>
          <w:sz w:val="18"/>
          <w:szCs w:val="18"/>
          <w:lang w:val="es-ES_tradnl"/>
        </w:rPr>
        <w:t>é</w:t>
      </w:r>
      <w:r>
        <w:rPr>
          <w:spacing w:val="-8"/>
          <w:sz w:val="18"/>
          <w:szCs w:val="18"/>
          <w:lang w:val="es-ES_tradnl"/>
        </w:rPr>
        <w:t xml:space="preserve">gimen </w:t>
      </w:r>
      <w:r>
        <w:rPr>
          <w:spacing w:val="-3"/>
          <w:sz w:val="18"/>
          <w:szCs w:val="18"/>
          <w:lang w:val="es-ES_tradnl"/>
        </w:rPr>
        <w:t>administrativo y aplicaci</w:t>
      </w:r>
      <w:r>
        <w:rPr>
          <w:rFonts w:cs="Times New Roman"/>
          <w:spacing w:val="-3"/>
          <w:sz w:val="18"/>
          <w:szCs w:val="18"/>
          <w:lang w:val="es-ES_tradnl"/>
        </w:rPr>
        <w:t>ó</w:t>
      </w:r>
      <w:r>
        <w:rPr>
          <w:spacing w:val="-3"/>
          <w:sz w:val="18"/>
          <w:szCs w:val="18"/>
          <w:lang w:val="es-ES_tradnl"/>
        </w:rPr>
        <w:t xml:space="preserve">n de la licencia metropolitana </w:t>
      </w:r>
      <w:r>
        <w:rPr>
          <w:spacing w:val="-6"/>
          <w:sz w:val="18"/>
          <w:szCs w:val="18"/>
          <w:lang w:val="es-ES_tradnl"/>
        </w:rPr>
        <w:t>urban</w:t>
      </w:r>
      <w:r>
        <w:rPr>
          <w:rFonts w:cs="Times New Roman"/>
          <w:spacing w:val="-6"/>
          <w:sz w:val="18"/>
          <w:szCs w:val="18"/>
          <w:lang w:val="es-ES_tradnl"/>
        </w:rPr>
        <w:t>í</w:t>
      </w:r>
      <w:r>
        <w:rPr>
          <w:spacing w:val="-6"/>
          <w:sz w:val="18"/>
          <w:szCs w:val="18"/>
          <w:lang w:val="es-ES_tradnl"/>
        </w:rPr>
        <w:t>stica de utilizaci</w:t>
      </w:r>
      <w:r>
        <w:rPr>
          <w:rFonts w:cs="Times New Roman"/>
          <w:spacing w:val="-6"/>
          <w:sz w:val="18"/>
          <w:szCs w:val="18"/>
          <w:lang w:val="es-ES_tradnl"/>
        </w:rPr>
        <w:t>ó</w:t>
      </w:r>
      <w:r>
        <w:rPr>
          <w:spacing w:val="-6"/>
          <w:sz w:val="18"/>
          <w:szCs w:val="18"/>
          <w:lang w:val="es-ES_tradnl"/>
        </w:rPr>
        <w:t xml:space="preserve">n o aprovechamiento del espacio </w:t>
      </w:r>
      <w:r>
        <w:rPr>
          <w:spacing w:val="-9"/>
          <w:sz w:val="18"/>
          <w:szCs w:val="18"/>
          <w:lang w:val="es-ES_tradnl"/>
        </w:rPr>
        <w:t>p</w:t>
      </w:r>
      <w:r>
        <w:rPr>
          <w:rFonts w:cs="Times New Roman"/>
          <w:spacing w:val="-9"/>
          <w:sz w:val="18"/>
          <w:szCs w:val="18"/>
          <w:lang w:val="es-ES_tradnl"/>
        </w:rPr>
        <w:t>ú</w:t>
      </w:r>
      <w:r>
        <w:rPr>
          <w:spacing w:val="-9"/>
          <w:sz w:val="18"/>
          <w:szCs w:val="18"/>
          <w:lang w:val="es-ES_tradnl"/>
        </w:rPr>
        <w:t>blico para la instalaci</w:t>
      </w:r>
      <w:r>
        <w:rPr>
          <w:rFonts w:cs="Times New Roman"/>
          <w:spacing w:val="-9"/>
          <w:sz w:val="18"/>
          <w:szCs w:val="18"/>
          <w:lang w:val="es-ES_tradnl"/>
        </w:rPr>
        <w:t>ó</w:t>
      </w:r>
      <w:r>
        <w:rPr>
          <w:spacing w:val="-9"/>
          <w:sz w:val="18"/>
          <w:szCs w:val="18"/>
          <w:lang w:val="es-ES_tradnl"/>
        </w:rPr>
        <w:t>n de redes de servicio</w:t>
      </w:r>
      <w:r>
        <w:rPr>
          <w:rFonts w:cs="Times New Roman"/>
          <w:spacing w:val="-9"/>
          <w:sz w:val="18"/>
          <w:szCs w:val="18"/>
          <w:lang w:val="es-ES_tradnl"/>
        </w:rPr>
        <w:t>–</w:t>
      </w:r>
      <w:r>
        <w:rPr>
          <w:spacing w:val="-9"/>
          <w:sz w:val="18"/>
          <w:szCs w:val="18"/>
          <w:lang w:val="es-ES_tradnl"/>
        </w:rPr>
        <w:t>LMU 40</w:t>
      </w:r>
      <w:r>
        <w:rPr>
          <w:rFonts w:cs="Times New Roman"/>
          <w:spacing w:val="-9"/>
          <w:sz w:val="18"/>
          <w:szCs w:val="18"/>
          <w:lang w:val="es-ES_tradnl"/>
        </w:rPr>
        <w:t>”</w:t>
      </w:r>
      <w:r>
        <w:rPr>
          <w:spacing w:val="-9"/>
          <w:sz w:val="18"/>
          <w:szCs w:val="18"/>
          <w:vertAlign w:val="superscript"/>
          <w:lang w:val="es-ES_tradnl"/>
        </w:rPr>
        <w:t>17</w:t>
      </w:r>
      <w:r>
        <w:rPr>
          <w:spacing w:val="-9"/>
          <w:sz w:val="18"/>
          <w:szCs w:val="18"/>
          <w:lang w:val="es-ES_tradnl"/>
        </w:rPr>
        <w:t xml:space="preserve">, </w:t>
      </w:r>
      <w:r>
        <w:rPr>
          <w:spacing w:val="-8"/>
          <w:sz w:val="18"/>
          <w:szCs w:val="18"/>
          <w:lang w:val="es-ES_tradnl"/>
        </w:rPr>
        <w:t>establece dentro de su Cap</w:t>
      </w:r>
      <w:r>
        <w:rPr>
          <w:rFonts w:cs="Times New Roman"/>
          <w:spacing w:val="-8"/>
          <w:sz w:val="18"/>
          <w:szCs w:val="18"/>
          <w:lang w:val="es-ES_tradnl"/>
        </w:rPr>
        <w:t>í</w:t>
      </w:r>
      <w:r>
        <w:rPr>
          <w:spacing w:val="-8"/>
          <w:sz w:val="18"/>
          <w:szCs w:val="18"/>
          <w:lang w:val="es-ES_tradnl"/>
        </w:rPr>
        <w:t>tulo VII, las tasas de utilizaci</w:t>
      </w:r>
      <w:r>
        <w:rPr>
          <w:rFonts w:cs="Times New Roman"/>
          <w:spacing w:val="-8"/>
          <w:sz w:val="18"/>
          <w:szCs w:val="18"/>
          <w:lang w:val="es-ES_tradnl"/>
        </w:rPr>
        <w:t>ó</w:t>
      </w:r>
      <w:r>
        <w:rPr>
          <w:spacing w:val="-8"/>
          <w:sz w:val="18"/>
          <w:szCs w:val="18"/>
          <w:lang w:val="es-ES_tradnl"/>
        </w:rPr>
        <w:t xml:space="preserve">n </w:t>
      </w:r>
      <w:r>
        <w:rPr>
          <w:spacing w:val="-5"/>
          <w:sz w:val="18"/>
          <w:szCs w:val="18"/>
          <w:lang w:val="es-ES_tradnl"/>
        </w:rPr>
        <w:t>privativa o aprovechamiento del espacio p</w:t>
      </w:r>
      <w:r>
        <w:rPr>
          <w:rFonts w:cs="Times New Roman"/>
          <w:spacing w:val="-5"/>
          <w:sz w:val="18"/>
          <w:szCs w:val="18"/>
          <w:lang w:val="es-ES_tradnl"/>
        </w:rPr>
        <w:t>ú</w:t>
      </w:r>
      <w:r>
        <w:rPr>
          <w:spacing w:val="-5"/>
          <w:sz w:val="18"/>
          <w:szCs w:val="18"/>
          <w:lang w:val="es-ES_tradnl"/>
        </w:rPr>
        <w:t xml:space="preserve">blico para la </w:t>
      </w:r>
      <w:r>
        <w:rPr>
          <w:spacing w:val="-7"/>
          <w:sz w:val="18"/>
          <w:szCs w:val="18"/>
          <w:lang w:val="es-ES_tradnl"/>
        </w:rPr>
        <w:t>instalaci</w:t>
      </w:r>
      <w:r>
        <w:rPr>
          <w:rFonts w:cs="Times New Roman"/>
          <w:spacing w:val="-7"/>
          <w:sz w:val="18"/>
          <w:szCs w:val="18"/>
          <w:lang w:val="es-ES_tradnl"/>
        </w:rPr>
        <w:t>ó</w:t>
      </w:r>
      <w:r>
        <w:rPr>
          <w:spacing w:val="-7"/>
          <w:sz w:val="18"/>
          <w:szCs w:val="18"/>
          <w:lang w:val="es-ES_tradnl"/>
        </w:rPr>
        <w:t xml:space="preserve">n de redes de servicio en el Distrito Metropolitano </w:t>
      </w:r>
      <w:r>
        <w:rPr>
          <w:spacing w:val="-8"/>
          <w:sz w:val="18"/>
          <w:szCs w:val="18"/>
          <w:lang w:val="es-ES_tradnl"/>
        </w:rPr>
        <w:t>de Quito, en donde, por ocupaci</w:t>
      </w:r>
      <w:r>
        <w:rPr>
          <w:rFonts w:cs="Times New Roman"/>
          <w:spacing w:val="-8"/>
          <w:sz w:val="18"/>
          <w:szCs w:val="18"/>
          <w:lang w:val="es-ES_tradnl"/>
        </w:rPr>
        <w:t>ó</w:t>
      </w:r>
      <w:r>
        <w:rPr>
          <w:spacing w:val="-8"/>
          <w:sz w:val="18"/>
          <w:szCs w:val="18"/>
          <w:lang w:val="es-ES_tradnl"/>
        </w:rPr>
        <w:t>n de espacio a</w:t>
      </w:r>
      <w:r>
        <w:rPr>
          <w:rFonts w:cs="Times New Roman"/>
          <w:spacing w:val="-8"/>
          <w:sz w:val="18"/>
          <w:szCs w:val="18"/>
          <w:lang w:val="es-ES_tradnl"/>
        </w:rPr>
        <w:t>é</w:t>
      </w:r>
      <w:r>
        <w:rPr>
          <w:spacing w:val="-8"/>
          <w:sz w:val="18"/>
          <w:szCs w:val="18"/>
          <w:lang w:val="es-ES_tradnl"/>
        </w:rPr>
        <w:t xml:space="preserve">reo, suelo </w:t>
      </w:r>
      <w:r>
        <w:rPr>
          <w:spacing w:val="-7"/>
          <w:sz w:val="18"/>
          <w:szCs w:val="18"/>
          <w:lang w:val="es-ES_tradnl"/>
        </w:rPr>
        <w:t>o subsuelo, la ordenanza metropolitana fija una tarifa que var</w:t>
      </w:r>
      <w:r>
        <w:rPr>
          <w:rFonts w:cs="Times New Roman"/>
          <w:spacing w:val="-7"/>
          <w:sz w:val="18"/>
          <w:szCs w:val="18"/>
          <w:lang w:val="es-ES_tradnl"/>
        </w:rPr>
        <w:t>í</w:t>
      </w:r>
      <w:r>
        <w:rPr>
          <w:spacing w:val="-7"/>
          <w:sz w:val="18"/>
          <w:szCs w:val="18"/>
          <w:lang w:val="es-ES_tradnl"/>
        </w:rPr>
        <w:t xml:space="preserve">a entre los $ 0.08 y 0.35 USD anuales, por cada metro </w:t>
      </w:r>
      <w:r>
        <w:rPr>
          <w:spacing w:val="-8"/>
          <w:sz w:val="18"/>
          <w:szCs w:val="18"/>
          <w:lang w:val="es-ES_tradnl"/>
        </w:rPr>
        <w:t xml:space="preserve">lineal de cable, dependiendo de la zona territorial en que se </w:t>
      </w:r>
      <w:r>
        <w:rPr>
          <w:sz w:val="18"/>
          <w:szCs w:val="18"/>
          <w:lang w:val="es-ES_tradnl"/>
        </w:rPr>
        <w:t>ubique dicho material.</w:t>
      </w:r>
    </w:p>
    <w:p w14:paraId="4F67A65A" w14:textId="77777777" w:rsidR="00591D54" w:rsidRDefault="00591D54">
      <w:pPr>
        <w:shd w:val="clear" w:color="auto" w:fill="FFFFFF"/>
        <w:spacing w:before="192" w:line="216" w:lineRule="exact"/>
        <w:ind w:right="5"/>
        <w:jc w:val="both"/>
      </w:pPr>
      <w:r>
        <w:rPr>
          <w:spacing w:val="-11"/>
          <w:sz w:val="18"/>
          <w:szCs w:val="18"/>
          <w:lang w:val="es-ES_tradnl"/>
        </w:rPr>
        <w:t>Por otro lado, seg</w:t>
      </w:r>
      <w:r>
        <w:rPr>
          <w:rFonts w:cs="Times New Roman"/>
          <w:spacing w:val="-11"/>
          <w:sz w:val="18"/>
          <w:szCs w:val="18"/>
          <w:lang w:val="es-ES_tradnl"/>
        </w:rPr>
        <w:t>ú</w:t>
      </w:r>
      <w:r>
        <w:rPr>
          <w:spacing w:val="-11"/>
          <w:sz w:val="18"/>
          <w:szCs w:val="18"/>
          <w:lang w:val="es-ES_tradnl"/>
        </w:rPr>
        <w:t>n se establece en el numeral 6 del art</w:t>
      </w:r>
      <w:r>
        <w:rPr>
          <w:rFonts w:cs="Times New Roman"/>
          <w:spacing w:val="-11"/>
          <w:sz w:val="18"/>
          <w:szCs w:val="18"/>
          <w:lang w:val="es-ES_tradnl"/>
        </w:rPr>
        <w:t>í</w:t>
      </w:r>
      <w:r>
        <w:rPr>
          <w:spacing w:val="-11"/>
          <w:sz w:val="18"/>
          <w:szCs w:val="18"/>
          <w:lang w:val="es-ES_tradnl"/>
        </w:rPr>
        <w:t xml:space="preserve">culo </w:t>
      </w:r>
      <w:r>
        <w:rPr>
          <w:spacing w:val="-8"/>
          <w:sz w:val="18"/>
          <w:szCs w:val="18"/>
          <w:lang w:val="es-ES_tradnl"/>
        </w:rPr>
        <w:t>18 de la Ordenanza del cant</w:t>
      </w:r>
      <w:r>
        <w:rPr>
          <w:rFonts w:cs="Times New Roman"/>
          <w:spacing w:val="-8"/>
          <w:sz w:val="18"/>
          <w:szCs w:val="18"/>
          <w:lang w:val="es-ES_tradnl"/>
        </w:rPr>
        <w:t>ó</w:t>
      </w:r>
      <w:r>
        <w:rPr>
          <w:spacing w:val="-8"/>
          <w:sz w:val="18"/>
          <w:szCs w:val="18"/>
          <w:lang w:val="es-ES_tradnl"/>
        </w:rPr>
        <w:t xml:space="preserve">n Chone, las empresas que </w:t>
      </w:r>
      <w:r>
        <w:rPr>
          <w:spacing w:val="-7"/>
          <w:sz w:val="18"/>
          <w:szCs w:val="18"/>
          <w:lang w:val="es-ES_tradnl"/>
        </w:rPr>
        <w:t xml:space="preserve">ubiquen dicho cableado deben pagar diariamente un valor </w:t>
      </w:r>
      <w:r>
        <w:rPr>
          <w:spacing w:val="-6"/>
          <w:sz w:val="18"/>
          <w:szCs w:val="18"/>
          <w:lang w:val="es-ES_tradnl"/>
        </w:rPr>
        <w:t xml:space="preserve">de $ 0.01 USD por cada metro lineal de cable tendido, es </w:t>
      </w:r>
      <w:r>
        <w:rPr>
          <w:spacing w:val="-5"/>
          <w:sz w:val="18"/>
          <w:szCs w:val="18"/>
          <w:lang w:val="es-ES_tradnl"/>
        </w:rPr>
        <w:t xml:space="preserve">decir, un valor anual de $ 3.65 USD por cada metro de </w:t>
      </w:r>
      <w:r>
        <w:rPr>
          <w:spacing w:val="-7"/>
          <w:sz w:val="18"/>
          <w:szCs w:val="18"/>
          <w:lang w:val="es-ES_tradnl"/>
        </w:rPr>
        <w:t>cable; por lo tanto, en t</w:t>
      </w:r>
      <w:r>
        <w:rPr>
          <w:rFonts w:cs="Times New Roman"/>
          <w:spacing w:val="-7"/>
          <w:sz w:val="18"/>
          <w:szCs w:val="18"/>
          <w:lang w:val="es-ES_tradnl"/>
        </w:rPr>
        <w:t>é</w:t>
      </w:r>
      <w:r>
        <w:rPr>
          <w:spacing w:val="-7"/>
          <w:sz w:val="18"/>
          <w:szCs w:val="18"/>
          <w:lang w:val="es-ES_tradnl"/>
        </w:rPr>
        <w:t>rminos comparativos, conforme lo se</w:t>
      </w:r>
      <w:r>
        <w:rPr>
          <w:rFonts w:cs="Times New Roman"/>
          <w:spacing w:val="-7"/>
          <w:sz w:val="18"/>
          <w:szCs w:val="18"/>
          <w:lang w:val="es-ES_tradnl"/>
        </w:rPr>
        <w:t>ñ</w:t>
      </w:r>
      <w:r>
        <w:rPr>
          <w:spacing w:val="-7"/>
          <w:sz w:val="18"/>
          <w:szCs w:val="18"/>
          <w:lang w:val="es-ES_tradnl"/>
        </w:rPr>
        <w:t xml:space="preserve">ala la accionante, esta </w:t>
      </w:r>
      <w:r>
        <w:rPr>
          <w:rFonts w:cs="Times New Roman"/>
          <w:spacing w:val="-7"/>
          <w:sz w:val="18"/>
          <w:szCs w:val="18"/>
          <w:lang w:val="es-ES_tradnl"/>
        </w:rPr>
        <w:t>ú</w:t>
      </w:r>
      <w:r>
        <w:rPr>
          <w:spacing w:val="-7"/>
          <w:sz w:val="18"/>
          <w:szCs w:val="18"/>
          <w:lang w:val="es-ES_tradnl"/>
        </w:rPr>
        <w:t>ltima tarifa es diez veces m</w:t>
      </w:r>
      <w:r>
        <w:rPr>
          <w:rFonts w:cs="Times New Roman"/>
          <w:spacing w:val="-7"/>
          <w:sz w:val="18"/>
          <w:szCs w:val="18"/>
          <w:lang w:val="es-ES_tradnl"/>
        </w:rPr>
        <w:t>á</w:t>
      </w:r>
      <w:r>
        <w:rPr>
          <w:spacing w:val="-7"/>
          <w:sz w:val="18"/>
          <w:szCs w:val="18"/>
          <w:lang w:val="es-ES_tradnl"/>
        </w:rPr>
        <w:t xml:space="preserve">s </w:t>
      </w:r>
      <w:r>
        <w:rPr>
          <w:spacing w:val="-5"/>
          <w:sz w:val="18"/>
          <w:szCs w:val="18"/>
          <w:lang w:val="es-ES_tradnl"/>
        </w:rPr>
        <w:t xml:space="preserve">alta que la tarifa mayor ($ 0.35 USD) fijada por el Distrito </w:t>
      </w:r>
      <w:r>
        <w:rPr>
          <w:sz w:val="18"/>
          <w:szCs w:val="18"/>
          <w:lang w:val="es-ES_tradnl"/>
        </w:rPr>
        <w:t>Metropolitano de Quito.</w:t>
      </w:r>
    </w:p>
    <w:p w14:paraId="4F67A65B" w14:textId="77777777" w:rsidR="00591D54" w:rsidRDefault="00591D54">
      <w:pPr>
        <w:shd w:val="clear" w:color="auto" w:fill="FFFFFF"/>
        <w:spacing w:before="192" w:line="216" w:lineRule="exact"/>
        <w:ind w:right="5"/>
        <w:jc w:val="both"/>
      </w:pPr>
      <w:r>
        <w:rPr>
          <w:sz w:val="18"/>
          <w:szCs w:val="18"/>
          <w:lang w:val="es-ES_tradnl"/>
        </w:rPr>
        <w:t>Continuando con el an</w:t>
      </w:r>
      <w:r>
        <w:rPr>
          <w:rFonts w:cs="Times New Roman"/>
          <w:sz w:val="18"/>
          <w:szCs w:val="18"/>
          <w:lang w:val="es-ES_tradnl"/>
        </w:rPr>
        <w:t>á</w:t>
      </w:r>
      <w:r>
        <w:rPr>
          <w:sz w:val="18"/>
          <w:szCs w:val="18"/>
          <w:lang w:val="es-ES_tradnl"/>
        </w:rPr>
        <w:t>lisis del art</w:t>
      </w:r>
      <w:r>
        <w:rPr>
          <w:rFonts w:cs="Times New Roman"/>
          <w:sz w:val="18"/>
          <w:szCs w:val="18"/>
          <w:lang w:val="es-ES_tradnl"/>
        </w:rPr>
        <w:t>í</w:t>
      </w:r>
      <w:r>
        <w:rPr>
          <w:sz w:val="18"/>
          <w:szCs w:val="18"/>
          <w:lang w:val="es-ES_tradnl"/>
        </w:rPr>
        <w:t xml:space="preserve">culo 18 de la </w:t>
      </w:r>
      <w:r>
        <w:rPr>
          <w:spacing w:val="-6"/>
          <w:sz w:val="18"/>
          <w:szCs w:val="18"/>
          <w:lang w:val="es-ES_tradnl"/>
        </w:rPr>
        <w:t>Ordenanza, se puede observar de igual forma que en el resto de ocupaciones de espacios p</w:t>
      </w:r>
      <w:r>
        <w:rPr>
          <w:rFonts w:cs="Times New Roman"/>
          <w:spacing w:val="-6"/>
          <w:sz w:val="18"/>
          <w:szCs w:val="18"/>
          <w:lang w:val="es-ES_tradnl"/>
        </w:rPr>
        <w:t>ú</w:t>
      </w:r>
      <w:r>
        <w:rPr>
          <w:spacing w:val="-6"/>
          <w:sz w:val="18"/>
          <w:szCs w:val="18"/>
          <w:lang w:val="es-ES_tradnl"/>
        </w:rPr>
        <w:t xml:space="preserve">blicos por los cuales </w:t>
      </w:r>
      <w:r>
        <w:rPr>
          <w:spacing w:val="-8"/>
          <w:sz w:val="18"/>
          <w:szCs w:val="18"/>
          <w:lang w:val="es-ES_tradnl"/>
        </w:rPr>
        <w:t>se cobra el tributo se establece una tarifa diaria y no anual.</w:t>
      </w:r>
    </w:p>
    <w:p w14:paraId="4F67A65C" w14:textId="77777777" w:rsidR="00591D54" w:rsidRDefault="00591D54">
      <w:pPr>
        <w:shd w:val="clear" w:color="auto" w:fill="FFFFFF"/>
        <w:spacing w:before="475"/>
      </w:pPr>
      <w:r>
        <w:rPr>
          <w:spacing w:val="-4"/>
          <w:sz w:val="14"/>
          <w:szCs w:val="14"/>
          <w:vertAlign w:val="superscript"/>
          <w:lang w:val="es-ES_tradnl"/>
        </w:rPr>
        <w:t>17</w:t>
      </w:r>
      <w:r>
        <w:rPr>
          <w:spacing w:val="-4"/>
          <w:sz w:val="14"/>
          <w:szCs w:val="14"/>
          <w:lang w:val="es-ES_tradnl"/>
        </w:rPr>
        <w:t xml:space="preserve"> </w:t>
      </w:r>
      <w:r>
        <w:rPr>
          <w:spacing w:val="-1"/>
          <w:sz w:val="14"/>
          <w:szCs w:val="14"/>
          <w:lang w:val="es-ES_tradnl"/>
        </w:rPr>
        <w:t>Registro Oficial, edici</w:t>
      </w:r>
      <w:r>
        <w:rPr>
          <w:rFonts w:cs="Times New Roman"/>
          <w:spacing w:val="-1"/>
          <w:sz w:val="14"/>
          <w:szCs w:val="14"/>
          <w:lang w:val="es-ES_tradnl"/>
        </w:rPr>
        <w:t>ó</w:t>
      </w:r>
      <w:r>
        <w:rPr>
          <w:spacing w:val="-1"/>
          <w:sz w:val="14"/>
          <w:szCs w:val="14"/>
          <w:lang w:val="es-ES_tradnl"/>
        </w:rPr>
        <w:t>n especial N.</w:t>
      </w:r>
      <w:r>
        <w:rPr>
          <w:rFonts w:cs="Times New Roman"/>
          <w:spacing w:val="-1"/>
          <w:sz w:val="14"/>
          <w:szCs w:val="14"/>
          <w:lang w:val="es-ES_tradnl"/>
        </w:rPr>
        <w:t>º</w:t>
      </w:r>
      <w:r>
        <w:rPr>
          <w:spacing w:val="-1"/>
          <w:sz w:val="14"/>
          <w:szCs w:val="14"/>
          <w:lang w:val="es-ES_tradnl"/>
        </w:rPr>
        <w:t xml:space="preserve"> 132 del 14 de abril de 2011.</w:t>
      </w:r>
    </w:p>
    <w:p w14:paraId="4F67A65D" w14:textId="77777777" w:rsidR="00591D54" w:rsidRDefault="00591D54">
      <w:pPr>
        <w:shd w:val="clear" w:color="auto" w:fill="FFFFFF"/>
        <w:spacing w:before="475"/>
        <w:sectPr w:rsidR="00591D54">
          <w:type w:val="continuous"/>
          <w:pgSz w:w="11909" w:h="16834"/>
          <w:pgMar w:top="1368" w:right="1304" w:bottom="360" w:left="1308" w:header="720" w:footer="720" w:gutter="0"/>
          <w:cols w:num="2" w:space="720" w:equalWidth="0">
            <w:col w:w="4305" w:space="682"/>
            <w:col w:w="4310"/>
          </w:cols>
          <w:noEndnote/>
        </w:sectPr>
      </w:pPr>
    </w:p>
    <w:p w14:paraId="4F67A65E" w14:textId="77777777" w:rsidR="00591D54" w:rsidRDefault="00591D54">
      <w:pPr>
        <w:shd w:val="clear" w:color="auto" w:fill="FFFFFF"/>
        <w:tabs>
          <w:tab w:val="left" w:pos="595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- 39</w:t>
      </w:r>
    </w:p>
    <w:p w14:paraId="4F67A65F" w14:textId="77777777" w:rsidR="00591D54" w:rsidRDefault="00591D54">
      <w:pPr>
        <w:shd w:val="clear" w:color="auto" w:fill="FFFFFF"/>
        <w:tabs>
          <w:tab w:val="left" w:pos="5952"/>
        </w:tabs>
        <w:spacing w:after="230"/>
        <w:ind w:left="5"/>
        <w:sectPr w:rsidR="00591D54">
          <w:pgSz w:w="11909" w:h="16834"/>
          <w:pgMar w:top="1359" w:right="1299" w:bottom="360" w:left="1308" w:header="720" w:footer="720" w:gutter="0"/>
          <w:cols w:space="60"/>
          <w:noEndnote/>
        </w:sectPr>
      </w:pPr>
    </w:p>
    <w:p w14:paraId="4F67A660" w14:textId="77777777" w:rsidR="00591D54" w:rsidRDefault="00591D54">
      <w:pPr>
        <w:shd w:val="clear" w:color="auto" w:fill="FFFFFF"/>
        <w:spacing w:line="216" w:lineRule="exact"/>
        <w:jc w:val="both"/>
      </w:pPr>
      <w:r>
        <w:rPr>
          <w:spacing w:val="-7"/>
          <w:sz w:val="18"/>
          <w:szCs w:val="18"/>
          <w:lang w:val="es-ES_tradnl"/>
        </w:rPr>
        <w:t>Es as</w:t>
      </w:r>
      <w:r>
        <w:rPr>
          <w:rFonts w:cs="Times New Roman"/>
          <w:spacing w:val="-7"/>
          <w:sz w:val="18"/>
          <w:szCs w:val="18"/>
          <w:lang w:val="es-ES_tradnl"/>
        </w:rPr>
        <w:t>í</w:t>
      </w:r>
      <w:r>
        <w:rPr>
          <w:spacing w:val="-7"/>
          <w:sz w:val="18"/>
          <w:szCs w:val="18"/>
          <w:lang w:val="es-ES_tradnl"/>
        </w:rPr>
        <w:t xml:space="preserve"> que: </w:t>
      </w:r>
      <w:r>
        <w:rPr>
          <w:b/>
          <w:bCs/>
          <w:spacing w:val="-7"/>
          <w:sz w:val="18"/>
          <w:szCs w:val="18"/>
          <w:lang w:val="es-ES_tradnl"/>
        </w:rPr>
        <w:t xml:space="preserve">1) </w:t>
      </w:r>
      <w:r>
        <w:rPr>
          <w:spacing w:val="-7"/>
          <w:sz w:val="18"/>
          <w:szCs w:val="18"/>
          <w:lang w:val="es-ES_tradnl"/>
        </w:rPr>
        <w:t>En el caso de estructuras met</w:t>
      </w:r>
      <w:r>
        <w:rPr>
          <w:rFonts w:cs="Times New Roman"/>
          <w:spacing w:val="-7"/>
          <w:sz w:val="18"/>
          <w:szCs w:val="18"/>
          <w:lang w:val="es-ES_tradnl"/>
        </w:rPr>
        <w:t>á</w:t>
      </w:r>
      <w:r>
        <w:rPr>
          <w:spacing w:val="-7"/>
          <w:sz w:val="18"/>
          <w:szCs w:val="18"/>
          <w:lang w:val="es-ES_tradnl"/>
        </w:rPr>
        <w:t xml:space="preserve">licas para el </w:t>
      </w:r>
      <w:r>
        <w:rPr>
          <w:spacing w:val="-6"/>
          <w:sz w:val="18"/>
          <w:szCs w:val="18"/>
          <w:lang w:val="es-ES_tradnl"/>
        </w:rPr>
        <w:t>uso de comunicaci</w:t>
      </w:r>
      <w:r>
        <w:rPr>
          <w:rFonts w:cs="Times New Roman"/>
          <w:spacing w:val="-6"/>
          <w:sz w:val="18"/>
          <w:szCs w:val="18"/>
          <w:lang w:val="es-ES_tradnl"/>
        </w:rPr>
        <w:t>ó</w:t>
      </w:r>
      <w:r>
        <w:rPr>
          <w:spacing w:val="-6"/>
          <w:sz w:val="18"/>
          <w:szCs w:val="18"/>
          <w:lang w:val="es-ES_tradnl"/>
        </w:rPr>
        <w:t>n a celulares o canales de televisi</w:t>
      </w:r>
      <w:r>
        <w:rPr>
          <w:rFonts w:cs="Times New Roman"/>
          <w:spacing w:val="-6"/>
          <w:sz w:val="18"/>
          <w:szCs w:val="18"/>
          <w:lang w:val="es-ES_tradnl"/>
        </w:rPr>
        <w:t>ó</w:t>
      </w:r>
      <w:r>
        <w:rPr>
          <w:spacing w:val="-6"/>
          <w:sz w:val="18"/>
          <w:szCs w:val="18"/>
          <w:lang w:val="es-ES_tradnl"/>
        </w:rPr>
        <w:t>n, las contribuyentes deber</w:t>
      </w:r>
      <w:r>
        <w:rPr>
          <w:rFonts w:cs="Times New Roman"/>
          <w:spacing w:val="-6"/>
          <w:sz w:val="18"/>
          <w:szCs w:val="18"/>
          <w:lang w:val="es-ES_tradnl"/>
        </w:rPr>
        <w:t>á</w:t>
      </w:r>
      <w:r>
        <w:rPr>
          <w:spacing w:val="-6"/>
          <w:sz w:val="18"/>
          <w:szCs w:val="18"/>
          <w:lang w:val="es-ES_tradnl"/>
        </w:rPr>
        <w:t xml:space="preserve">n pagar diariamente el 20% de </w:t>
      </w:r>
      <w:r>
        <w:rPr>
          <w:spacing w:val="-8"/>
          <w:sz w:val="18"/>
          <w:szCs w:val="18"/>
          <w:lang w:val="es-ES_tradnl"/>
        </w:rPr>
        <w:t>una remuneraci</w:t>
      </w:r>
      <w:r>
        <w:rPr>
          <w:rFonts w:cs="Times New Roman"/>
          <w:spacing w:val="-8"/>
          <w:sz w:val="18"/>
          <w:szCs w:val="18"/>
          <w:lang w:val="es-ES_tradnl"/>
        </w:rPr>
        <w:t>ó</w:t>
      </w:r>
      <w:r>
        <w:rPr>
          <w:spacing w:val="-8"/>
          <w:sz w:val="18"/>
          <w:szCs w:val="18"/>
          <w:lang w:val="es-ES_tradnl"/>
        </w:rPr>
        <w:t>n b</w:t>
      </w:r>
      <w:r>
        <w:rPr>
          <w:rFonts w:cs="Times New Roman"/>
          <w:spacing w:val="-8"/>
          <w:sz w:val="18"/>
          <w:szCs w:val="18"/>
          <w:lang w:val="es-ES_tradnl"/>
        </w:rPr>
        <w:t>á</w:t>
      </w:r>
      <w:r>
        <w:rPr>
          <w:spacing w:val="-8"/>
          <w:sz w:val="18"/>
          <w:szCs w:val="18"/>
          <w:lang w:val="es-ES_tradnl"/>
        </w:rPr>
        <w:t xml:space="preserve">sica unificada (RBU), es decir, $ 70.8 </w:t>
      </w:r>
      <w:r>
        <w:rPr>
          <w:spacing w:val="-6"/>
          <w:sz w:val="18"/>
          <w:szCs w:val="18"/>
          <w:lang w:val="es-ES_tradnl"/>
        </w:rPr>
        <w:t xml:space="preserve">USD diarios, si tomamos en cuenta la RBU fijada para el </w:t>
      </w:r>
      <w:r>
        <w:rPr>
          <w:spacing w:val="-10"/>
          <w:sz w:val="18"/>
          <w:szCs w:val="18"/>
          <w:lang w:val="es-ES_tradnl"/>
        </w:rPr>
        <w:t>a</w:t>
      </w:r>
      <w:r>
        <w:rPr>
          <w:rFonts w:cs="Times New Roman"/>
          <w:spacing w:val="-10"/>
          <w:sz w:val="18"/>
          <w:szCs w:val="18"/>
          <w:lang w:val="es-ES_tradnl"/>
        </w:rPr>
        <w:t>ñ</w:t>
      </w:r>
      <w:r>
        <w:rPr>
          <w:spacing w:val="-10"/>
          <w:sz w:val="18"/>
          <w:szCs w:val="18"/>
          <w:lang w:val="es-ES_tradnl"/>
        </w:rPr>
        <w:t>o 2015</w:t>
      </w:r>
      <w:r>
        <w:rPr>
          <w:spacing w:val="-10"/>
          <w:sz w:val="18"/>
          <w:szCs w:val="18"/>
          <w:vertAlign w:val="superscript"/>
          <w:lang w:val="es-ES_tradnl"/>
        </w:rPr>
        <w:t>18</w:t>
      </w:r>
      <w:r>
        <w:rPr>
          <w:spacing w:val="-10"/>
          <w:sz w:val="18"/>
          <w:szCs w:val="18"/>
          <w:lang w:val="es-ES_tradnl"/>
        </w:rPr>
        <w:t xml:space="preserve">. </w:t>
      </w:r>
      <w:r>
        <w:rPr>
          <w:b/>
          <w:bCs/>
          <w:spacing w:val="-10"/>
          <w:sz w:val="18"/>
          <w:szCs w:val="18"/>
          <w:lang w:val="es-ES_tradnl"/>
        </w:rPr>
        <w:t xml:space="preserve">2) </w:t>
      </w:r>
      <w:r>
        <w:rPr>
          <w:spacing w:val="-10"/>
          <w:sz w:val="18"/>
          <w:szCs w:val="18"/>
          <w:lang w:val="es-ES_tradnl"/>
        </w:rPr>
        <w:t xml:space="preserve">Igual circunstancia acontece con las antenas </w:t>
      </w:r>
      <w:r>
        <w:rPr>
          <w:spacing w:val="-4"/>
          <w:sz w:val="18"/>
          <w:szCs w:val="18"/>
          <w:lang w:val="es-ES_tradnl"/>
        </w:rPr>
        <w:t xml:space="preserve">para servicios celulares, cuya tarifa diaria es del 20% de </w:t>
      </w:r>
      <w:r>
        <w:rPr>
          <w:spacing w:val="-2"/>
          <w:sz w:val="18"/>
          <w:szCs w:val="18"/>
          <w:lang w:val="es-ES_tradnl"/>
        </w:rPr>
        <w:t xml:space="preserve">la RBU. </w:t>
      </w:r>
      <w:r>
        <w:rPr>
          <w:b/>
          <w:bCs/>
          <w:spacing w:val="-2"/>
          <w:sz w:val="18"/>
          <w:szCs w:val="18"/>
          <w:lang w:val="es-ES_tradnl"/>
        </w:rPr>
        <w:t xml:space="preserve">3) </w:t>
      </w:r>
      <w:r>
        <w:rPr>
          <w:spacing w:val="-2"/>
          <w:sz w:val="18"/>
          <w:szCs w:val="18"/>
          <w:lang w:val="es-ES_tradnl"/>
        </w:rPr>
        <w:t xml:space="preserve">En el caso de las antenas para radio ayuda </w:t>
      </w:r>
      <w:r>
        <w:rPr>
          <w:spacing w:val="-4"/>
          <w:sz w:val="18"/>
          <w:szCs w:val="18"/>
          <w:lang w:val="es-ES_tradnl"/>
        </w:rPr>
        <w:t xml:space="preserve">y radioaficionado la tarifa es de $ 0.10 USD diarios por </w:t>
      </w:r>
      <w:r>
        <w:rPr>
          <w:spacing w:val="-9"/>
          <w:sz w:val="18"/>
          <w:szCs w:val="18"/>
          <w:lang w:val="es-ES_tradnl"/>
        </w:rPr>
        <w:t>concepto de uso de espacio a</w:t>
      </w:r>
      <w:r>
        <w:rPr>
          <w:rFonts w:cs="Times New Roman"/>
          <w:spacing w:val="-9"/>
          <w:sz w:val="18"/>
          <w:szCs w:val="18"/>
          <w:lang w:val="es-ES_tradnl"/>
        </w:rPr>
        <w:t>é</w:t>
      </w:r>
      <w:r>
        <w:rPr>
          <w:spacing w:val="-9"/>
          <w:sz w:val="18"/>
          <w:szCs w:val="18"/>
          <w:lang w:val="es-ES_tradnl"/>
        </w:rPr>
        <w:t xml:space="preserve">reo. </w:t>
      </w:r>
      <w:r>
        <w:rPr>
          <w:b/>
          <w:bCs/>
          <w:spacing w:val="-9"/>
          <w:sz w:val="18"/>
          <w:szCs w:val="18"/>
          <w:lang w:val="es-ES_tradnl"/>
        </w:rPr>
        <w:t xml:space="preserve">4) </w:t>
      </w:r>
      <w:r>
        <w:rPr>
          <w:spacing w:val="-9"/>
          <w:sz w:val="18"/>
          <w:szCs w:val="18"/>
          <w:lang w:val="es-ES_tradnl"/>
        </w:rPr>
        <w:t>En el caso del uso de espacio a</w:t>
      </w:r>
      <w:r>
        <w:rPr>
          <w:rFonts w:cs="Times New Roman"/>
          <w:spacing w:val="-9"/>
          <w:sz w:val="18"/>
          <w:szCs w:val="18"/>
          <w:lang w:val="es-ES_tradnl"/>
        </w:rPr>
        <w:t>é</w:t>
      </w:r>
      <w:r>
        <w:rPr>
          <w:spacing w:val="-9"/>
          <w:sz w:val="18"/>
          <w:szCs w:val="18"/>
          <w:lang w:val="es-ES_tradnl"/>
        </w:rPr>
        <w:t>reo a trav</w:t>
      </w:r>
      <w:r>
        <w:rPr>
          <w:rFonts w:cs="Times New Roman"/>
          <w:spacing w:val="-9"/>
          <w:sz w:val="18"/>
          <w:szCs w:val="18"/>
          <w:lang w:val="es-ES_tradnl"/>
        </w:rPr>
        <w:t>é</w:t>
      </w:r>
      <w:r>
        <w:rPr>
          <w:spacing w:val="-9"/>
          <w:sz w:val="18"/>
          <w:szCs w:val="18"/>
          <w:lang w:val="es-ES_tradnl"/>
        </w:rPr>
        <w:t xml:space="preserve">s de las antenas para radio emisoras </w:t>
      </w:r>
      <w:r>
        <w:rPr>
          <w:spacing w:val="-4"/>
          <w:sz w:val="18"/>
          <w:szCs w:val="18"/>
          <w:lang w:val="es-ES_tradnl"/>
        </w:rPr>
        <w:t xml:space="preserve">comerciales, la tarifa asciende a $ 1.50 USD diarios. </w:t>
      </w:r>
      <w:r>
        <w:rPr>
          <w:b/>
          <w:bCs/>
          <w:spacing w:val="-4"/>
          <w:sz w:val="18"/>
          <w:szCs w:val="18"/>
          <w:lang w:val="es-ES_tradnl"/>
        </w:rPr>
        <w:t xml:space="preserve">5) </w:t>
      </w:r>
      <w:r>
        <w:rPr>
          <w:spacing w:val="-7"/>
          <w:sz w:val="18"/>
          <w:szCs w:val="18"/>
          <w:lang w:val="es-ES_tradnl"/>
        </w:rPr>
        <w:t>Para las antenas parab</w:t>
      </w:r>
      <w:r>
        <w:rPr>
          <w:rFonts w:cs="Times New Roman"/>
          <w:spacing w:val="-7"/>
          <w:sz w:val="18"/>
          <w:szCs w:val="18"/>
          <w:lang w:val="es-ES_tradnl"/>
        </w:rPr>
        <w:t>ó</w:t>
      </w:r>
      <w:r>
        <w:rPr>
          <w:spacing w:val="-7"/>
          <w:sz w:val="18"/>
          <w:szCs w:val="18"/>
          <w:lang w:val="es-ES_tradnl"/>
        </w:rPr>
        <w:t>licas para recepci</w:t>
      </w:r>
      <w:r>
        <w:rPr>
          <w:rFonts w:cs="Times New Roman"/>
          <w:spacing w:val="-7"/>
          <w:sz w:val="18"/>
          <w:szCs w:val="18"/>
          <w:lang w:val="es-ES_tradnl"/>
        </w:rPr>
        <w:t>ó</w:t>
      </w:r>
      <w:r>
        <w:rPr>
          <w:spacing w:val="-7"/>
          <w:sz w:val="18"/>
          <w:szCs w:val="18"/>
          <w:lang w:val="es-ES_tradnl"/>
        </w:rPr>
        <w:t>n de se</w:t>
      </w:r>
      <w:r>
        <w:rPr>
          <w:rFonts w:cs="Times New Roman"/>
          <w:spacing w:val="-7"/>
          <w:sz w:val="18"/>
          <w:szCs w:val="18"/>
          <w:lang w:val="es-ES_tradnl"/>
        </w:rPr>
        <w:t>ñ</w:t>
      </w:r>
      <w:r>
        <w:rPr>
          <w:spacing w:val="-7"/>
          <w:sz w:val="18"/>
          <w:szCs w:val="18"/>
          <w:lang w:val="es-ES_tradnl"/>
        </w:rPr>
        <w:t>al comercial de televisi</w:t>
      </w:r>
      <w:r>
        <w:rPr>
          <w:rFonts w:cs="Times New Roman"/>
          <w:spacing w:val="-7"/>
          <w:sz w:val="18"/>
          <w:szCs w:val="18"/>
          <w:lang w:val="es-ES_tradnl"/>
        </w:rPr>
        <w:t>ó</w:t>
      </w:r>
      <w:r>
        <w:rPr>
          <w:spacing w:val="-7"/>
          <w:sz w:val="18"/>
          <w:szCs w:val="18"/>
          <w:lang w:val="es-ES_tradnl"/>
        </w:rPr>
        <w:t xml:space="preserve">n satelital, la tarifa diaria es de $ 0.03 </w:t>
      </w:r>
      <w:r>
        <w:rPr>
          <w:spacing w:val="-6"/>
          <w:sz w:val="18"/>
          <w:szCs w:val="18"/>
          <w:lang w:val="es-ES_tradnl"/>
        </w:rPr>
        <w:t xml:space="preserve">USD diario; </w:t>
      </w:r>
      <w:r>
        <w:rPr>
          <w:b/>
          <w:bCs/>
          <w:spacing w:val="-6"/>
          <w:sz w:val="18"/>
          <w:szCs w:val="18"/>
          <w:lang w:val="es-ES_tradnl"/>
        </w:rPr>
        <w:t xml:space="preserve">6) </w:t>
      </w:r>
      <w:r>
        <w:rPr>
          <w:spacing w:val="-6"/>
          <w:sz w:val="18"/>
          <w:szCs w:val="18"/>
          <w:lang w:val="es-ES_tradnl"/>
        </w:rPr>
        <w:t xml:space="preserve">Para los tendidos de redes la tarifa es de $ </w:t>
      </w:r>
      <w:r>
        <w:rPr>
          <w:spacing w:val="-3"/>
          <w:sz w:val="18"/>
          <w:szCs w:val="18"/>
          <w:lang w:val="es-ES_tradnl"/>
        </w:rPr>
        <w:t xml:space="preserve">0.01 USD diario, por cada metro lineal de cable tendido </w:t>
      </w:r>
      <w:r>
        <w:rPr>
          <w:spacing w:val="-6"/>
          <w:sz w:val="18"/>
          <w:szCs w:val="18"/>
          <w:lang w:val="es-ES_tradnl"/>
        </w:rPr>
        <w:t xml:space="preserve">y finalmente, </w:t>
      </w:r>
      <w:r>
        <w:rPr>
          <w:b/>
          <w:bCs/>
          <w:spacing w:val="-6"/>
          <w:sz w:val="18"/>
          <w:szCs w:val="18"/>
          <w:lang w:val="es-ES_tradnl"/>
        </w:rPr>
        <w:t xml:space="preserve">7) </w:t>
      </w:r>
      <w:r>
        <w:rPr>
          <w:spacing w:val="-6"/>
          <w:sz w:val="18"/>
          <w:szCs w:val="18"/>
          <w:lang w:val="es-ES_tradnl"/>
        </w:rPr>
        <w:t>Por ocupaci</w:t>
      </w:r>
      <w:r>
        <w:rPr>
          <w:rFonts w:cs="Times New Roman"/>
          <w:spacing w:val="-6"/>
          <w:sz w:val="18"/>
          <w:szCs w:val="18"/>
          <w:lang w:val="es-ES_tradnl"/>
        </w:rPr>
        <w:t>ó</w:t>
      </w:r>
      <w:r>
        <w:rPr>
          <w:spacing w:val="-6"/>
          <w:sz w:val="18"/>
          <w:szCs w:val="18"/>
          <w:lang w:val="es-ES_tradnl"/>
        </w:rPr>
        <w:t>n de espacio p</w:t>
      </w:r>
      <w:r>
        <w:rPr>
          <w:rFonts w:cs="Times New Roman"/>
          <w:spacing w:val="-6"/>
          <w:sz w:val="18"/>
          <w:szCs w:val="18"/>
          <w:lang w:val="es-ES_tradnl"/>
        </w:rPr>
        <w:t>ú</w:t>
      </w:r>
      <w:r>
        <w:rPr>
          <w:spacing w:val="-6"/>
          <w:sz w:val="18"/>
          <w:szCs w:val="18"/>
          <w:lang w:val="es-ES_tradnl"/>
        </w:rPr>
        <w:t xml:space="preserve">blico que se </w:t>
      </w:r>
      <w:r>
        <w:rPr>
          <w:spacing w:val="-5"/>
          <w:sz w:val="18"/>
          <w:szCs w:val="18"/>
          <w:lang w:val="es-ES_tradnl"/>
        </w:rPr>
        <w:t>produce con la colocaci</w:t>
      </w:r>
      <w:r>
        <w:rPr>
          <w:rFonts w:cs="Times New Roman"/>
          <w:spacing w:val="-5"/>
          <w:sz w:val="18"/>
          <w:szCs w:val="18"/>
          <w:lang w:val="es-ES_tradnl"/>
        </w:rPr>
        <w:t>ó</w:t>
      </w:r>
      <w:r>
        <w:rPr>
          <w:spacing w:val="-5"/>
          <w:sz w:val="18"/>
          <w:szCs w:val="18"/>
          <w:lang w:val="es-ES_tradnl"/>
        </w:rPr>
        <w:t xml:space="preserve">n de un poste, el contribuyente </w:t>
      </w:r>
      <w:r>
        <w:rPr>
          <w:spacing w:val="-7"/>
          <w:sz w:val="18"/>
          <w:szCs w:val="18"/>
          <w:lang w:val="es-ES_tradnl"/>
        </w:rPr>
        <w:t>debe pagar la tarifa diaria y permanente de $ 0.25 USD.</w:t>
      </w:r>
    </w:p>
    <w:p w14:paraId="4F67A661" w14:textId="77777777" w:rsidR="00591D54" w:rsidRDefault="00591D54">
      <w:pPr>
        <w:shd w:val="clear" w:color="auto" w:fill="FFFFFF"/>
        <w:spacing w:before="197" w:line="216" w:lineRule="exact"/>
        <w:jc w:val="both"/>
      </w:pPr>
      <w:r>
        <w:rPr>
          <w:spacing w:val="-5"/>
          <w:sz w:val="18"/>
          <w:szCs w:val="18"/>
          <w:lang w:val="es-ES_tradnl"/>
        </w:rPr>
        <w:t xml:space="preserve">Ahora bien, con la finalidad de interpretar estas cifras en </w:t>
      </w:r>
      <w:r>
        <w:rPr>
          <w:spacing w:val="-6"/>
          <w:sz w:val="18"/>
          <w:szCs w:val="18"/>
          <w:lang w:val="es-ES_tradnl"/>
        </w:rPr>
        <w:t>relaci</w:t>
      </w:r>
      <w:r>
        <w:rPr>
          <w:rFonts w:cs="Times New Roman"/>
          <w:spacing w:val="-6"/>
          <w:sz w:val="18"/>
          <w:szCs w:val="18"/>
          <w:lang w:val="es-ES_tradnl"/>
        </w:rPr>
        <w:t>ó</w:t>
      </w:r>
      <w:r>
        <w:rPr>
          <w:spacing w:val="-6"/>
          <w:sz w:val="18"/>
          <w:szCs w:val="18"/>
          <w:lang w:val="es-ES_tradnl"/>
        </w:rPr>
        <w:t>n al impacto econ</w:t>
      </w:r>
      <w:r>
        <w:rPr>
          <w:rFonts w:cs="Times New Roman"/>
          <w:spacing w:val="-6"/>
          <w:sz w:val="18"/>
          <w:szCs w:val="18"/>
          <w:lang w:val="es-ES_tradnl"/>
        </w:rPr>
        <w:t>ó</w:t>
      </w:r>
      <w:r>
        <w:rPr>
          <w:spacing w:val="-6"/>
          <w:sz w:val="18"/>
          <w:szCs w:val="18"/>
          <w:lang w:val="es-ES_tradnl"/>
        </w:rPr>
        <w:t xml:space="preserve">mico que puede generar en el contribuyente, la Corte considera necesario incluir dentro </w:t>
      </w:r>
      <w:r>
        <w:rPr>
          <w:spacing w:val="-4"/>
          <w:sz w:val="18"/>
          <w:szCs w:val="18"/>
          <w:lang w:val="es-ES_tradnl"/>
        </w:rPr>
        <w:t>del presente an</w:t>
      </w:r>
      <w:r>
        <w:rPr>
          <w:rFonts w:cs="Times New Roman"/>
          <w:spacing w:val="-4"/>
          <w:sz w:val="18"/>
          <w:szCs w:val="18"/>
          <w:lang w:val="es-ES_tradnl"/>
        </w:rPr>
        <w:t>á</w:t>
      </w:r>
      <w:r>
        <w:rPr>
          <w:spacing w:val="-4"/>
          <w:sz w:val="18"/>
          <w:szCs w:val="18"/>
          <w:lang w:val="es-ES_tradnl"/>
        </w:rPr>
        <w:t>lisis el informe t</w:t>
      </w:r>
      <w:r>
        <w:rPr>
          <w:rFonts w:cs="Times New Roman"/>
          <w:spacing w:val="-4"/>
          <w:sz w:val="18"/>
          <w:szCs w:val="18"/>
          <w:lang w:val="es-ES_tradnl"/>
        </w:rPr>
        <w:t>é</w:t>
      </w:r>
      <w:r>
        <w:rPr>
          <w:spacing w:val="-4"/>
          <w:sz w:val="18"/>
          <w:szCs w:val="18"/>
          <w:lang w:val="es-ES_tradnl"/>
        </w:rPr>
        <w:t xml:space="preserve">cnico mencionado por </w:t>
      </w:r>
      <w:r>
        <w:rPr>
          <w:spacing w:val="-6"/>
          <w:sz w:val="18"/>
          <w:szCs w:val="18"/>
          <w:lang w:val="es-ES_tradnl"/>
        </w:rPr>
        <w:t xml:space="preserve">la accionante y que ha sido considerado por esta Corte </w:t>
      </w:r>
      <w:r>
        <w:rPr>
          <w:spacing w:val="-8"/>
          <w:sz w:val="18"/>
          <w:szCs w:val="18"/>
          <w:lang w:val="es-ES_tradnl"/>
        </w:rPr>
        <w:t>Constitucional para resolver casos an</w:t>
      </w:r>
      <w:r>
        <w:rPr>
          <w:rFonts w:cs="Times New Roman"/>
          <w:spacing w:val="-8"/>
          <w:sz w:val="18"/>
          <w:szCs w:val="18"/>
          <w:lang w:val="es-ES_tradnl"/>
        </w:rPr>
        <w:t>á</w:t>
      </w:r>
      <w:r>
        <w:rPr>
          <w:spacing w:val="-8"/>
          <w:sz w:val="18"/>
          <w:szCs w:val="18"/>
          <w:lang w:val="es-ES_tradnl"/>
        </w:rPr>
        <w:t>logos</w:t>
      </w:r>
      <w:r>
        <w:rPr>
          <w:spacing w:val="-8"/>
          <w:sz w:val="18"/>
          <w:szCs w:val="18"/>
          <w:vertAlign w:val="superscript"/>
          <w:lang w:val="es-ES_tradnl"/>
        </w:rPr>
        <w:t>19</w:t>
      </w:r>
      <w:r>
        <w:rPr>
          <w:spacing w:val="-8"/>
          <w:sz w:val="18"/>
          <w:szCs w:val="18"/>
          <w:lang w:val="es-ES_tradnl"/>
        </w:rPr>
        <w:t xml:space="preserve">, elaborado </w:t>
      </w:r>
      <w:r>
        <w:rPr>
          <w:spacing w:val="-2"/>
          <w:sz w:val="18"/>
          <w:szCs w:val="18"/>
          <w:lang w:val="es-ES_tradnl"/>
        </w:rPr>
        <w:t>por la Escuela Superior Polit</w:t>
      </w:r>
      <w:r>
        <w:rPr>
          <w:rFonts w:cs="Times New Roman"/>
          <w:spacing w:val="-2"/>
          <w:sz w:val="18"/>
          <w:szCs w:val="18"/>
          <w:lang w:val="es-ES_tradnl"/>
        </w:rPr>
        <w:t>é</w:t>
      </w:r>
      <w:r>
        <w:rPr>
          <w:spacing w:val="-2"/>
          <w:sz w:val="18"/>
          <w:szCs w:val="18"/>
          <w:lang w:val="es-ES_tradnl"/>
        </w:rPr>
        <w:t xml:space="preserve">cnica del Litoral, bajo el </w:t>
      </w:r>
      <w:r>
        <w:rPr>
          <w:sz w:val="18"/>
          <w:szCs w:val="18"/>
          <w:lang w:val="es-ES_tradnl"/>
        </w:rPr>
        <w:t>t</w:t>
      </w:r>
      <w:r>
        <w:rPr>
          <w:rFonts w:cs="Times New Roman"/>
          <w:sz w:val="18"/>
          <w:szCs w:val="18"/>
          <w:lang w:val="es-ES_tradnl"/>
        </w:rPr>
        <w:t>í</w:t>
      </w:r>
      <w:r>
        <w:rPr>
          <w:sz w:val="18"/>
          <w:szCs w:val="18"/>
          <w:lang w:val="es-ES_tradnl"/>
        </w:rPr>
        <w:t xml:space="preserve">tulo de </w:t>
      </w:r>
      <w:r>
        <w:rPr>
          <w:rFonts w:cs="Times New Roman"/>
          <w:sz w:val="18"/>
          <w:szCs w:val="18"/>
          <w:lang w:val="es-ES_tradnl"/>
        </w:rPr>
        <w:t>“</w:t>
      </w:r>
      <w:r>
        <w:rPr>
          <w:sz w:val="18"/>
          <w:szCs w:val="18"/>
          <w:lang w:val="es-ES_tradnl"/>
        </w:rPr>
        <w:t>An</w:t>
      </w:r>
      <w:r>
        <w:rPr>
          <w:rFonts w:cs="Times New Roman"/>
          <w:sz w:val="18"/>
          <w:szCs w:val="18"/>
          <w:lang w:val="es-ES_tradnl"/>
        </w:rPr>
        <w:t>á</w:t>
      </w:r>
      <w:r>
        <w:rPr>
          <w:sz w:val="18"/>
          <w:szCs w:val="18"/>
          <w:lang w:val="es-ES_tradnl"/>
        </w:rPr>
        <w:t xml:space="preserve">lisis de impuestos y tasas municipales </w:t>
      </w:r>
      <w:r>
        <w:rPr>
          <w:spacing w:val="-4"/>
          <w:sz w:val="18"/>
          <w:szCs w:val="18"/>
          <w:lang w:val="es-ES_tradnl"/>
        </w:rPr>
        <w:t>por derecho de v</w:t>
      </w:r>
      <w:r>
        <w:rPr>
          <w:rFonts w:cs="Times New Roman"/>
          <w:spacing w:val="-4"/>
          <w:sz w:val="18"/>
          <w:szCs w:val="18"/>
          <w:lang w:val="es-ES_tradnl"/>
        </w:rPr>
        <w:t>í</w:t>
      </w:r>
      <w:r>
        <w:rPr>
          <w:spacing w:val="-4"/>
          <w:sz w:val="18"/>
          <w:szCs w:val="18"/>
          <w:lang w:val="es-ES_tradnl"/>
        </w:rPr>
        <w:t xml:space="preserve">a para infraestructura de internet para </w:t>
      </w:r>
      <w:r>
        <w:rPr>
          <w:spacing w:val="-7"/>
          <w:sz w:val="18"/>
          <w:szCs w:val="18"/>
          <w:lang w:val="es-ES_tradnl"/>
        </w:rPr>
        <w:t>ser considerada dentro de la nueva Ley Org</w:t>
      </w:r>
      <w:r>
        <w:rPr>
          <w:rFonts w:cs="Times New Roman"/>
          <w:spacing w:val="-7"/>
          <w:sz w:val="18"/>
          <w:szCs w:val="18"/>
          <w:lang w:val="es-ES_tradnl"/>
        </w:rPr>
        <w:t>á</w:t>
      </w:r>
      <w:r>
        <w:rPr>
          <w:spacing w:val="-7"/>
          <w:sz w:val="18"/>
          <w:szCs w:val="18"/>
          <w:lang w:val="es-ES_tradnl"/>
        </w:rPr>
        <w:t xml:space="preserve">nica de </w:t>
      </w:r>
      <w:r>
        <w:rPr>
          <w:spacing w:val="-6"/>
          <w:sz w:val="18"/>
          <w:szCs w:val="18"/>
          <w:lang w:val="es-ES_tradnl"/>
        </w:rPr>
        <w:t>Telecomunicaciones del Ecuador</w:t>
      </w:r>
      <w:r>
        <w:rPr>
          <w:rFonts w:cs="Times New Roman"/>
          <w:spacing w:val="-6"/>
          <w:sz w:val="18"/>
          <w:szCs w:val="18"/>
          <w:lang w:val="es-ES_tradnl"/>
        </w:rPr>
        <w:t>”</w:t>
      </w:r>
      <w:r>
        <w:rPr>
          <w:spacing w:val="-6"/>
          <w:sz w:val="18"/>
          <w:szCs w:val="18"/>
          <w:lang w:val="es-ES_tradnl"/>
        </w:rPr>
        <w:t xml:space="preserve">, el cual, ciertamente, </w:t>
      </w:r>
      <w:r>
        <w:rPr>
          <w:spacing w:val="-9"/>
          <w:sz w:val="18"/>
          <w:szCs w:val="18"/>
          <w:lang w:val="es-ES_tradnl"/>
        </w:rPr>
        <w:t xml:space="preserve">puede orientar a este organismo a identificar si, conforme lo </w:t>
      </w:r>
      <w:r>
        <w:rPr>
          <w:spacing w:val="-7"/>
          <w:sz w:val="18"/>
          <w:szCs w:val="18"/>
          <w:lang w:val="es-ES_tradnl"/>
        </w:rPr>
        <w:t>denuncia la accionante, las tarifas fijadas en el art</w:t>
      </w:r>
      <w:r>
        <w:rPr>
          <w:rFonts w:cs="Times New Roman"/>
          <w:spacing w:val="-7"/>
          <w:sz w:val="18"/>
          <w:szCs w:val="18"/>
          <w:lang w:val="es-ES_tradnl"/>
        </w:rPr>
        <w:t>í</w:t>
      </w:r>
      <w:r>
        <w:rPr>
          <w:spacing w:val="-7"/>
          <w:sz w:val="18"/>
          <w:szCs w:val="18"/>
          <w:lang w:val="es-ES_tradnl"/>
        </w:rPr>
        <w:t xml:space="preserve">culo 18 </w:t>
      </w:r>
      <w:r>
        <w:rPr>
          <w:spacing w:val="-8"/>
          <w:sz w:val="18"/>
          <w:szCs w:val="18"/>
          <w:lang w:val="es-ES_tradnl"/>
        </w:rPr>
        <w:t xml:space="preserve">de la Ordenanza alcanzan valores desproporcionados a la </w:t>
      </w:r>
      <w:r>
        <w:rPr>
          <w:spacing w:val="-10"/>
          <w:sz w:val="18"/>
          <w:szCs w:val="18"/>
          <w:lang w:val="es-ES_tradnl"/>
        </w:rPr>
        <w:t xml:space="preserve">capacidad contributiva de una empresa dedicada al negocio </w:t>
      </w:r>
      <w:r>
        <w:rPr>
          <w:spacing w:val="-6"/>
          <w:sz w:val="18"/>
          <w:szCs w:val="18"/>
          <w:lang w:val="es-ES_tradnl"/>
        </w:rPr>
        <w:t xml:space="preserve">de telecomunicaciones, afectando, significativamente, la </w:t>
      </w:r>
      <w:r>
        <w:rPr>
          <w:spacing w:val="-5"/>
          <w:sz w:val="18"/>
          <w:szCs w:val="18"/>
          <w:lang w:val="es-ES_tradnl"/>
        </w:rPr>
        <w:t>renta o patrimonio de los contribuyentes e inobservando los principios tributarios previamente definidos.</w:t>
      </w:r>
    </w:p>
    <w:p w14:paraId="4F67A662" w14:textId="77777777" w:rsidR="00591D54" w:rsidRDefault="00591D54">
      <w:pPr>
        <w:shd w:val="clear" w:color="auto" w:fill="FFFFFF"/>
        <w:spacing w:before="197" w:line="216" w:lineRule="exact"/>
        <w:jc w:val="both"/>
      </w:pPr>
      <w:r>
        <w:rPr>
          <w:spacing w:val="-7"/>
          <w:sz w:val="18"/>
          <w:szCs w:val="18"/>
          <w:lang w:val="es-ES_tradnl"/>
        </w:rPr>
        <w:t>En dicho informe se realiza un primer an</w:t>
      </w:r>
      <w:r>
        <w:rPr>
          <w:rFonts w:cs="Times New Roman"/>
          <w:spacing w:val="-7"/>
          <w:sz w:val="18"/>
          <w:szCs w:val="18"/>
          <w:lang w:val="es-ES_tradnl"/>
        </w:rPr>
        <w:t>á</w:t>
      </w:r>
      <w:r>
        <w:rPr>
          <w:spacing w:val="-7"/>
          <w:sz w:val="18"/>
          <w:szCs w:val="18"/>
          <w:lang w:val="es-ES_tradnl"/>
        </w:rPr>
        <w:t xml:space="preserve">lisis comparativo </w:t>
      </w:r>
      <w:r>
        <w:rPr>
          <w:spacing w:val="-8"/>
          <w:sz w:val="18"/>
          <w:szCs w:val="18"/>
          <w:lang w:val="es-ES_tradnl"/>
        </w:rPr>
        <w:t xml:space="preserve">entre las tasas que se cobran por igual concepto en varios </w:t>
      </w:r>
      <w:r>
        <w:rPr>
          <w:spacing w:val="-4"/>
          <w:sz w:val="18"/>
          <w:szCs w:val="18"/>
          <w:lang w:val="es-ES_tradnl"/>
        </w:rPr>
        <w:t>pa</w:t>
      </w:r>
      <w:r>
        <w:rPr>
          <w:rFonts w:cs="Times New Roman"/>
          <w:spacing w:val="-4"/>
          <w:sz w:val="18"/>
          <w:szCs w:val="18"/>
          <w:lang w:val="es-ES_tradnl"/>
        </w:rPr>
        <w:t>í</w:t>
      </w:r>
      <w:r>
        <w:rPr>
          <w:spacing w:val="-4"/>
          <w:sz w:val="18"/>
          <w:szCs w:val="18"/>
          <w:lang w:val="es-ES_tradnl"/>
        </w:rPr>
        <w:t xml:space="preserve">ses y dentro de ellos municipios en el continente </w:t>
      </w:r>
      <w:r>
        <w:rPr>
          <w:spacing w:val="-7"/>
          <w:sz w:val="18"/>
          <w:szCs w:val="18"/>
          <w:lang w:val="es-ES_tradnl"/>
        </w:rPr>
        <w:t>americano, dando como conclusi</w:t>
      </w:r>
      <w:r>
        <w:rPr>
          <w:rFonts w:cs="Times New Roman"/>
          <w:spacing w:val="-7"/>
          <w:sz w:val="18"/>
          <w:szCs w:val="18"/>
          <w:lang w:val="es-ES_tradnl"/>
        </w:rPr>
        <w:t>ó</w:t>
      </w:r>
      <w:r>
        <w:rPr>
          <w:spacing w:val="-7"/>
          <w:sz w:val="18"/>
          <w:szCs w:val="18"/>
          <w:lang w:val="es-ES_tradnl"/>
        </w:rPr>
        <w:t xml:space="preserve">n que la carga tributaria </w:t>
      </w:r>
      <w:r>
        <w:rPr>
          <w:spacing w:val="-6"/>
          <w:sz w:val="18"/>
          <w:szCs w:val="18"/>
          <w:lang w:val="es-ES_tradnl"/>
        </w:rPr>
        <w:t xml:space="preserve">en el pago de tasas municipales por </w:t>
      </w:r>
      <w:r>
        <w:rPr>
          <w:rFonts w:cs="Times New Roman"/>
          <w:spacing w:val="-6"/>
          <w:sz w:val="18"/>
          <w:szCs w:val="18"/>
          <w:lang w:val="es-ES_tradnl"/>
        </w:rPr>
        <w:t>“</w:t>
      </w:r>
      <w:r>
        <w:rPr>
          <w:spacing w:val="-6"/>
          <w:sz w:val="18"/>
          <w:szCs w:val="18"/>
          <w:lang w:val="es-ES_tradnl"/>
        </w:rPr>
        <w:t>derecho de v</w:t>
      </w:r>
      <w:r>
        <w:rPr>
          <w:rFonts w:cs="Times New Roman"/>
          <w:spacing w:val="-6"/>
          <w:sz w:val="18"/>
          <w:szCs w:val="18"/>
          <w:lang w:val="es-ES_tradnl"/>
        </w:rPr>
        <w:t>í</w:t>
      </w:r>
      <w:r>
        <w:rPr>
          <w:spacing w:val="-6"/>
          <w:sz w:val="18"/>
          <w:szCs w:val="18"/>
          <w:lang w:val="es-ES_tradnl"/>
        </w:rPr>
        <w:t>a</w:t>
      </w:r>
      <w:r>
        <w:rPr>
          <w:rFonts w:cs="Times New Roman"/>
          <w:spacing w:val="-6"/>
          <w:sz w:val="18"/>
          <w:szCs w:val="18"/>
          <w:lang w:val="es-ES_tradnl"/>
        </w:rPr>
        <w:t>”</w:t>
      </w:r>
      <w:r>
        <w:rPr>
          <w:spacing w:val="-6"/>
          <w:sz w:val="18"/>
          <w:szCs w:val="18"/>
          <w:lang w:val="es-ES_tradnl"/>
        </w:rPr>
        <w:t xml:space="preserve">, es </w:t>
      </w:r>
      <w:r>
        <w:rPr>
          <w:spacing w:val="-3"/>
          <w:sz w:val="18"/>
          <w:szCs w:val="18"/>
          <w:lang w:val="es-ES_tradnl"/>
        </w:rPr>
        <w:t>decir, ocupaci</w:t>
      </w:r>
      <w:r>
        <w:rPr>
          <w:rFonts w:cs="Times New Roman"/>
          <w:spacing w:val="-3"/>
          <w:sz w:val="18"/>
          <w:szCs w:val="18"/>
          <w:lang w:val="es-ES_tradnl"/>
        </w:rPr>
        <w:t>ó</w:t>
      </w:r>
      <w:r>
        <w:rPr>
          <w:spacing w:val="-3"/>
          <w:sz w:val="18"/>
          <w:szCs w:val="18"/>
          <w:lang w:val="es-ES_tradnl"/>
        </w:rPr>
        <w:t>n de espacio p</w:t>
      </w:r>
      <w:r>
        <w:rPr>
          <w:rFonts w:cs="Times New Roman"/>
          <w:spacing w:val="-3"/>
          <w:sz w:val="18"/>
          <w:szCs w:val="18"/>
          <w:lang w:val="es-ES_tradnl"/>
        </w:rPr>
        <w:t>ú</w:t>
      </w:r>
      <w:r>
        <w:rPr>
          <w:spacing w:val="-3"/>
          <w:sz w:val="18"/>
          <w:szCs w:val="18"/>
          <w:lang w:val="es-ES_tradnl"/>
        </w:rPr>
        <w:t xml:space="preserve">blico con infraestructura </w:t>
      </w:r>
      <w:r>
        <w:rPr>
          <w:spacing w:val="-4"/>
          <w:sz w:val="18"/>
          <w:szCs w:val="18"/>
          <w:lang w:val="es-ES_tradnl"/>
        </w:rPr>
        <w:t>de internet, fl uct</w:t>
      </w:r>
      <w:r>
        <w:rPr>
          <w:rFonts w:cs="Times New Roman"/>
          <w:spacing w:val="-4"/>
          <w:sz w:val="18"/>
          <w:szCs w:val="18"/>
          <w:lang w:val="es-ES_tradnl"/>
        </w:rPr>
        <w:t>ú</w:t>
      </w:r>
      <w:r>
        <w:rPr>
          <w:spacing w:val="-4"/>
          <w:sz w:val="18"/>
          <w:szCs w:val="18"/>
          <w:lang w:val="es-ES_tradnl"/>
        </w:rPr>
        <w:t xml:space="preserve">a entre el 2.2% hasta el 10% de la </w:t>
      </w:r>
      <w:r>
        <w:rPr>
          <w:spacing w:val="-8"/>
          <w:sz w:val="18"/>
          <w:szCs w:val="18"/>
          <w:lang w:val="es-ES_tradnl"/>
        </w:rPr>
        <w:t>facturaci</w:t>
      </w:r>
      <w:r>
        <w:rPr>
          <w:rFonts w:cs="Times New Roman"/>
          <w:spacing w:val="-8"/>
          <w:sz w:val="18"/>
          <w:szCs w:val="18"/>
          <w:lang w:val="es-ES_tradnl"/>
        </w:rPr>
        <w:t>ó</w:t>
      </w:r>
      <w:r>
        <w:rPr>
          <w:spacing w:val="-8"/>
          <w:sz w:val="18"/>
          <w:szCs w:val="18"/>
          <w:lang w:val="es-ES_tradnl"/>
        </w:rPr>
        <w:t xml:space="preserve">n anual de las empresas de telecomunicaciones, </w:t>
      </w:r>
      <w:r>
        <w:rPr>
          <w:spacing w:val="-7"/>
          <w:sz w:val="18"/>
          <w:szCs w:val="18"/>
          <w:lang w:val="es-ES_tradnl"/>
        </w:rPr>
        <w:t>lo cual es considerado como una carga tolerable.</w:t>
      </w:r>
    </w:p>
    <w:p w14:paraId="4F67A663" w14:textId="77777777" w:rsidR="00591D54" w:rsidRDefault="00591D54">
      <w:pPr>
        <w:shd w:val="clear" w:color="auto" w:fill="FFFFFF"/>
        <w:spacing w:before="192" w:line="216" w:lineRule="exact"/>
        <w:jc w:val="both"/>
      </w:pPr>
      <w:r>
        <w:rPr>
          <w:spacing w:val="-5"/>
          <w:sz w:val="18"/>
          <w:szCs w:val="18"/>
          <w:lang w:val="es-ES_tradnl"/>
        </w:rPr>
        <w:t>Por otro lado, en un segundo an</w:t>
      </w:r>
      <w:r>
        <w:rPr>
          <w:rFonts w:cs="Times New Roman"/>
          <w:spacing w:val="-5"/>
          <w:sz w:val="18"/>
          <w:szCs w:val="18"/>
          <w:lang w:val="es-ES_tradnl"/>
        </w:rPr>
        <w:t>á</w:t>
      </w:r>
      <w:r>
        <w:rPr>
          <w:spacing w:val="-5"/>
          <w:sz w:val="18"/>
          <w:szCs w:val="18"/>
          <w:lang w:val="es-ES_tradnl"/>
        </w:rPr>
        <w:t xml:space="preserve">lisis donde se hace </w:t>
      </w:r>
      <w:r>
        <w:rPr>
          <w:spacing w:val="-7"/>
          <w:sz w:val="18"/>
          <w:szCs w:val="18"/>
          <w:lang w:val="es-ES_tradnl"/>
        </w:rPr>
        <w:t>referencia a varias ordenanzas bajo la denominaci</w:t>
      </w:r>
      <w:r>
        <w:rPr>
          <w:rFonts w:cs="Times New Roman"/>
          <w:spacing w:val="-7"/>
          <w:sz w:val="18"/>
          <w:szCs w:val="18"/>
          <w:lang w:val="es-ES_tradnl"/>
        </w:rPr>
        <w:t>ó</w:t>
      </w:r>
      <w:r>
        <w:rPr>
          <w:spacing w:val="-7"/>
          <w:sz w:val="18"/>
          <w:szCs w:val="18"/>
          <w:lang w:val="es-ES_tradnl"/>
        </w:rPr>
        <w:t xml:space="preserve">n de </w:t>
      </w:r>
      <w:r>
        <w:rPr>
          <w:rFonts w:cs="Times New Roman"/>
          <w:spacing w:val="-8"/>
          <w:sz w:val="18"/>
          <w:szCs w:val="18"/>
          <w:lang w:val="es-ES_tradnl"/>
        </w:rPr>
        <w:t>“</w:t>
      </w:r>
      <w:r>
        <w:rPr>
          <w:spacing w:val="-8"/>
          <w:sz w:val="18"/>
          <w:szCs w:val="18"/>
          <w:lang w:val="es-ES_tradnl"/>
        </w:rPr>
        <w:t>Facturaci</w:t>
      </w:r>
      <w:r>
        <w:rPr>
          <w:rFonts w:cs="Times New Roman"/>
          <w:spacing w:val="-8"/>
          <w:sz w:val="18"/>
          <w:szCs w:val="18"/>
          <w:lang w:val="es-ES_tradnl"/>
        </w:rPr>
        <w:t>ó</w:t>
      </w:r>
      <w:r>
        <w:rPr>
          <w:spacing w:val="-8"/>
          <w:sz w:val="18"/>
          <w:szCs w:val="18"/>
          <w:lang w:val="es-ES_tradnl"/>
        </w:rPr>
        <w:t>n de operadoras Vs. Tasas Gubernamentales</w:t>
      </w:r>
      <w:r>
        <w:rPr>
          <w:rFonts w:cs="Times New Roman"/>
          <w:spacing w:val="-8"/>
          <w:sz w:val="18"/>
          <w:szCs w:val="18"/>
          <w:lang w:val="es-ES_tradnl"/>
        </w:rPr>
        <w:t xml:space="preserve">” </w:t>
      </w:r>
      <w:r>
        <w:rPr>
          <w:spacing w:val="-6"/>
          <w:sz w:val="18"/>
          <w:szCs w:val="18"/>
          <w:lang w:val="es-ES_tradnl"/>
        </w:rPr>
        <w:t>que en el Ecuador han sido denunciadas por su cobro elevado, se evidencia la marcada diferencia econ</w:t>
      </w:r>
      <w:r>
        <w:rPr>
          <w:rFonts w:cs="Times New Roman"/>
          <w:spacing w:val="-6"/>
          <w:sz w:val="18"/>
          <w:szCs w:val="18"/>
          <w:lang w:val="es-ES_tradnl"/>
        </w:rPr>
        <w:t>ó</w:t>
      </w:r>
      <w:r>
        <w:rPr>
          <w:spacing w:val="-6"/>
          <w:sz w:val="18"/>
          <w:szCs w:val="18"/>
          <w:lang w:val="es-ES_tradnl"/>
        </w:rPr>
        <w:t xml:space="preserve">mica </w:t>
      </w:r>
      <w:r>
        <w:rPr>
          <w:spacing w:val="-7"/>
          <w:sz w:val="18"/>
          <w:szCs w:val="18"/>
          <w:lang w:val="es-ES_tradnl"/>
        </w:rPr>
        <w:t>entre el costo por tasas municipales y la facturaci</w:t>
      </w:r>
      <w:r>
        <w:rPr>
          <w:rFonts w:cs="Times New Roman"/>
          <w:spacing w:val="-7"/>
          <w:sz w:val="18"/>
          <w:szCs w:val="18"/>
          <w:lang w:val="es-ES_tradnl"/>
        </w:rPr>
        <w:t>ó</w:t>
      </w:r>
      <w:r>
        <w:rPr>
          <w:spacing w:val="-7"/>
          <w:sz w:val="18"/>
          <w:szCs w:val="18"/>
          <w:lang w:val="es-ES_tradnl"/>
        </w:rPr>
        <w:t xml:space="preserve">n anual que realiza la empresa por abonado fijo, arrojando como </w:t>
      </w:r>
      <w:r>
        <w:rPr>
          <w:sz w:val="18"/>
          <w:szCs w:val="18"/>
          <w:lang w:val="es-ES_tradnl"/>
        </w:rPr>
        <w:t>resultado las siguientes cifras:</w:t>
      </w:r>
    </w:p>
    <w:p w14:paraId="4F67A664" w14:textId="77777777" w:rsidR="00591D54" w:rsidRDefault="00591D54">
      <w:pPr>
        <w:shd w:val="clear" w:color="auto" w:fill="FFFFFF"/>
        <w:tabs>
          <w:tab w:val="left" w:pos="139"/>
        </w:tabs>
        <w:spacing w:before="413" w:line="182" w:lineRule="exact"/>
        <w:ind w:left="139" w:hanging="139"/>
      </w:pPr>
      <w:r>
        <w:rPr>
          <w:spacing w:val="-5"/>
          <w:sz w:val="8"/>
          <w:szCs w:val="8"/>
          <w:vertAlign w:val="superscript"/>
          <w:lang w:val="es-ES_tradnl"/>
        </w:rPr>
        <w:t>18</w:t>
      </w:r>
      <w:r>
        <w:rPr>
          <w:sz w:val="18"/>
          <w:szCs w:val="18"/>
          <w:lang w:val="es-ES_tradnl"/>
        </w:rPr>
        <w:tab/>
      </w:r>
      <w:r>
        <w:rPr>
          <w:sz w:val="14"/>
          <w:szCs w:val="14"/>
          <w:lang w:val="es-ES_tradnl"/>
        </w:rPr>
        <w:t>Acuerdo</w:t>
      </w:r>
      <w:r>
        <w:rPr>
          <w:sz w:val="18"/>
          <w:szCs w:val="18"/>
          <w:lang w:val="es-ES_tradnl"/>
        </w:rPr>
        <w:t xml:space="preserve">  </w:t>
      </w:r>
      <w:r>
        <w:rPr>
          <w:sz w:val="14"/>
          <w:szCs w:val="14"/>
          <w:lang w:val="es-ES_tradnl"/>
        </w:rPr>
        <w:t>Ministerial</w:t>
      </w:r>
      <w:r>
        <w:rPr>
          <w:sz w:val="18"/>
          <w:szCs w:val="18"/>
          <w:lang w:val="es-ES_tradnl"/>
        </w:rPr>
        <w:t xml:space="preserve">  </w:t>
      </w:r>
      <w:r>
        <w:rPr>
          <w:sz w:val="14"/>
          <w:szCs w:val="14"/>
          <w:lang w:val="es-ES_tradnl"/>
        </w:rPr>
        <w:t>N.</w:t>
      </w:r>
      <w:r>
        <w:rPr>
          <w:rFonts w:cs="Times New Roman"/>
          <w:sz w:val="14"/>
          <w:szCs w:val="14"/>
          <w:lang w:val="es-ES_tradnl"/>
        </w:rPr>
        <w:t>º</w:t>
      </w:r>
      <w:r>
        <w:rPr>
          <w:sz w:val="18"/>
          <w:szCs w:val="18"/>
          <w:lang w:val="es-ES_tradnl"/>
        </w:rPr>
        <w:t xml:space="preserve">   </w:t>
      </w:r>
      <w:r>
        <w:rPr>
          <w:sz w:val="14"/>
          <w:szCs w:val="14"/>
          <w:lang w:val="es-ES_tradnl"/>
        </w:rPr>
        <w:t>0256</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30</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diciembre</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2014, </w:t>
      </w:r>
      <w:r>
        <w:rPr>
          <w:spacing w:val="-2"/>
          <w:sz w:val="14"/>
          <w:szCs w:val="14"/>
          <w:lang w:val="es-ES_tradnl"/>
        </w:rPr>
        <w:t>suplemento del Registro Oficial N.</w:t>
      </w:r>
      <w:r>
        <w:rPr>
          <w:rFonts w:cs="Times New Roman"/>
          <w:spacing w:val="-2"/>
          <w:sz w:val="14"/>
          <w:szCs w:val="14"/>
          <w:lang w:val="es-ES_tradnl"/>
        </w:rPr>
        <w:t>º</w:t>
      </w:r>
      <w:r>
        <w:rPr>
          <w:spacing w:val="-2"/>
          <w:sz w:val="14"/>
          <w:szCs w:val="14"/>
          <w:lang w:val="es-ES_tradnl"/>
        </w:rPr>
        <w:t xml:space="preserve"> 256 del 02 de febrero de 2015.</w:t>
      </w:r>
    </w:p>
    <w:p w14:paraId="4F67A665" w14:textId="77777777" w:rsidR="00591D54" w:rsidRDefault="00591D54">
      <w:pPr>
        <w:shd w:val="clear" w:color="auto" w:fill="FFFFFF"/>
        <w:tabs>
          <w:tab w:val="left" w:pos="139"/>
        </w:tabs>
        <w:spacing w:before="149" w:line="178" w:lineRule="exact"/>
        <w:ind w:left="139" w:hanging="139"/>
      </w:pPr>
      <w:r>
        <w:rPr>
          <w:spacing w:val="-5"/>
          <w:sz w:val="8"/>
          <w:szCs w:val="8"/>
          <w:vertAlign w:val="superscript"/>
          <w:lang w:val="es-ES_tradnl"/>
        </w:rPr>
        <w:t>19</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º</w:t>
      </w:r>
      <w:r>
        <w:rPr>
          <w:sz w:val="18"/>
          <w:szCs w:val="18"/>
          <w:lang w:val="es-ES_tradnl"/>
        </w:rPr>
        <w:t xml:space="preserve"> </w:t>
      </w:r>
      <w:r>
        <w:rPr>
          <w:sz w:val="14"/>
          <w:szCs w:val="14"/>
          <w:lang w:val="es-ES_tradnl"/>
        </w:rPr>
        <w:t>016-15-SIN-CC, caso N.</w:t>
      </w:r>
      <w:r>
        <w:rPr>
          <w:rFonts w:cs="Times New Roman"/>
          <w:sz w:val="14"/>
          <w:szCs w:val="14"/>
          <w:lang w:val="es-ES_tradnl"/>
        </w:rPr>
        <w:t>º</w:t>
      </w:r>
      <w:r>
        <w:rPr>
          <w:sz w:val="14"/>
          <w:szCs w:val="14"/>
          <w:lang w:val="es-ES_tradnl"/>
        </w:rPr>
        <w:t xml:space="preserve"> 0055-14-IN</w:t>
      </w:r>
    </w:p>
    <w:p w14:paraId="4F67A666" w14:textId="77777777" w:rsidR="00591D54" w:rsidRDefault="00591D54">
      <w:pPr>
        <w:spacing w:after="86" w:line="1" w:lineRule="exact"/>
        <w:rPr>
          <w:rFonts w:cs="Times New Roman"/>
          <w:sz w:val="2"/>
          <w:szCs w:val="2"/>
        </w:rPr>
      </w:pPr>
      <w:r>
        <w:rPr>
          <w:rFonts w:cs="Times New Roman"/>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1051"/>
        <w:gridCol w:w="1032"/>
        <w:gridCol w:w="989"/>
        <w:gridCol w:w="1229"/>
      </w:tblGrid>
      <w:tr w:rsidR="00591D54" w14:paraId="4F67A676" w14:textId="77777777">
        <w:trPr>
          <w:trHeight w:hRule="exact" w:val="1579"/>
        </w:trPr>
        <w:tc>
          <w:tcPr>
            <w:tcW w:w="1051" w:type="dxa"/>
            <w:tcBorders>
              <w:top w:val="single" w:sz="6" w:space="0" w:color="auto"/>
              <w:left w:val="single" w:sz="6" w:space="0" w:color="auto"/>
              <w:bottom w:val="single" w:sz="6" w:space="0" w:color="auto"/>
              <w:right w:val="single" w:sz="6" w:space="0" w:color="auto"/>
            </w:tcBorders>
            <w:shd w:val="clear" w:color="auto" w:fill="FFFFFF"/>
          </w:tcPr>
          <w:p w14:paraId="4F67A667" w14:textId="77777777" w:rsidR="00591D54" w:rsidRDefault="00591D54">
            <w:pPr>
              <w:shd w:val="clear" w:color="auto" w:fill="FFFFFF"/>
              <w:spacing w:line="206" w:lineRule="exact"/>
              <w:jc w:val="center"/>
            </w:pPr>
            <w:r>
              <w:rPr>
                <w:spacing w:val="-11"/>
                <w:sz w:val="18"/>
                <w:szCs w:val="18"/>
                <w:lang w:val="es-ES_tradnl"/>
              </w:rPr>
              <w:t>Facturaci</w:t>
            </w:r>
            <w:r>
              <w:rPr>
                <w:rFonts w:cs="Times New Roman"/>
                <w:spacing w:val="-11"/>
                <w:sz w:val="18"/>
                <w:szCs w:val="18"/>
                <w:lang w:val="es-ES_tradnl"/>
              </w:rPr>
              <w:t>ó</w:t>
            </w:r>
            <w:r>
              <w:rPr>
                <w:spacing w:val="-11"/>
                <w:sz w:val="18"/>
                <w:szCs w:val="18"/>
                <w:lang w:val="es-ES_tradnl"/>
              </w:rPr>
              <w:t>n</w:t>
            </w:r>
          </w:p>
          <w:p w14:paraId="4F67A668" w14:textId="77777777" w:rsidR="00591D54" w:rsidRDefault="00591D54">
            <w:pPr>
              <w:shd w:val="clear" w:color="auto" w:fill="FFFFFF"/>
              <w:spacing w:line="206" w:lineRule="exact"/>
              <w:ind w:right="5"/>
              <w:jc w:val="center"/>
            </w:pPr>
            <w:r>
              <w:rPr>
                <w:spacing w:val="-11"/>
                <w:sz w:val="18"/>
                <w:szCs w:val="18"/>
                <w:lang w:val="es-ES_tradnl"/>
              </w:rPr>
              <w:t xml:space="preserve">anual por </w:t>
            </w:r>
            <w:r>
              <w:rPr>
                <w:spacing w:val="-14"/>
                <w:sz w:val="18"/>
                <w:szCs w:val="18"/>
                <w:lang w:val="es-ES_tradnl"/>
              </w:rPr>
              <w:t>abonado fijo</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14:paraId="4F67A669" w14:textId="77777777" w:rsidR="00591D54" w:rsidRDefault="00591D54">
            <w:pPr>
              <w:shd w:val="clear" w:color="auto" w:fill="FFFFFF"/>
              <w:spacing w:line="206" w:lineRule="exact"/>
              <w:jc w:val="center"/>
            </w:pPr>
            <w:r>
              <w:rPr>
                <w:spacing w:val="-4"/>
                <w:sz w:val="18"/>
                <w:szCs w:val="18"/>
                <w:lang w:val="es-ES_tradnl"/>
              </w:rPr>
              <w:t>Utilidad</w:t>
            </w:r>
          </w:p>
          <w:p w14:paraId="4F67A66A" w14:textId="77777777" w:rsidR="00591D54" w:rsidRDefault="00591D54">
            <w:pPr>
              <w:shd w:val="clear" w:color="auto" w:fill="FFFFFF"/>
              <w:spacing w:line="206" w:lineRule="exact"/>
              <w:jc w:val="center"/>
            </w:pPr>
            <w:r>
              <w:rPr>
                <w:spacing w:val="-11"/>
                <w:sz w:val="18"/>
                <w:szCs w:val="18"/>
                <w:lang w:val="es-ES_tradnl"/>
              </w:rPr>
              <w:t>anual por</w:t>
            </w:r>
          </w:p>
          <w:p w14:paraId="4F67A66B" w14:textId="77777777" w:rsidR="00591D54" w:rsidRDefault="00591D54">
            <w:pPr>
              <w:shd w:val="clear" w:color="auto" w:fill="FFFFFF"/>
              <w:spacing w:line="206" w:lineRule="exact"/>
              <w:jc w:val="center"/>
            </w:pPr>
            <w:r>
              <w:rPr>
                <w:spacing w:val="-14"/>
                <w:sz w:val="18"/>
                <w:szCs w:val="18"/>
                <w:lang w:val="es-ES_tradnl"/>
              </w:rPr>
              <w:t>abonado fijo</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4F67A66C" w14:textId="77777777" w:rsidR="00591D54" w:rsidRDefault="00591D54">
            <w:pPr>
              <w:shd w:val="clear" w:color="auto" w:fill="FFFFFF"/>
              <w:spacing w:line="206" w:lineRule="exact"/>
              <w:jc w:val="center"/>
            </w:pPr>
            <w:r>
              <w:rPr>
                <w:sz w:val="18"/>
                <w:szCs w:val="18"/>
                <w:lang w:val="es-ES_tradnl"/>
              </w:rPr>
              <w:t>Pago</w:t>
            </w:r>
          </w:p>
          <w:p w14:paraId="4F67A66D" w14:textId="77777777" w:rsidR="00591D54" w:rsidRDefault="00591D54">
            <w:pPr>
              <w:shd w:val="clear" w:color="auto" w:fill="FFFFFF"/>
              <w:spacing w:line="206" w:lineRule="exact"/>
              <w:jc w:val="center"/>
            </w:pPr>
            <w:r>
              <w:rPr>
                <w:spacing w:val="-10"/>
                <w:sz w:val="18"/>
                <w:szCs w:val="18"/>
                <w:lang w:val="es-ES_tradnl"/>
              </w:rPr>
              <w:t>FODETEL</w:t>
            </w:r>
          </w:p>
          <w:p w14:paraId="4F67A66E" w14:textId="77777777" w:rsidR="00591D54" w:rsidRDefault="00591D54">
            <w:pPr>
              <w:shd w:val="clear" w:color="auto" w:fill="FFFFFF"/>
              <w:spacing w:line="206" w:lineRule="exact"/>
              <w:jc w:val="center"/>
            </w:pPr>
            <w:r>
              <w:rPr>
                <w:spacing w:val="-11"/>
                <w:sz w:val="18"/>
                <w:szCs w:val="18"/>
                <w:lang w:val="es-ES_tradnl"/>
              </w:rPr>
              <w:t>anual por</w:t>
            </w:r>
          </w:p>
          <w:p w14:paraId="4F67A66F" w14:textId="77777777" w:rsidR="00591D54" w:rsidRDefault="00591D54">
            <w:pPr>
              <w:shd w:val="clear" w:color="auto" w:fill="FFFFFF"/>
              <w:spacing w:line="206" w:lineRule="exact"/>
              <w:jc w:val="center"/>
            </w:pPr>
            <w:r>
              <w:rPr>
                <w:spacing w:val="-16"/>
                <w:sz w:val="18"/>
                <w:szCs w:val="18"/>
                <w:lang w:val="es-ES_tradnl"/>
              </w:rPr>
              <w:t>abonado</w:t>
            </w:r>
          </w:p>
          <w:p w14:paraId="4F67A670" w14:textId="77777777" w:rsidR="00591D54" w:rsidRDefault="00591D54">
            <w:pPr>
              <w:shd w:val="clear" w:color="auto" w:fill="FFFFFF"/>
              <w:spacing w:line="206" w:lineRule="exact"/>
              <w:jc w:val="center"/>
            </w:pPr>
            <w:r>
              <w:rPr>
                <w:sz w:val="18"/>
                <w:szCs w:val="18"/>
                <w:lang w:val="es-ES_tradnl"/>
              </w:rPr>
              <w:t>fijo</w:t>
            </w:r>
          </w:p>
          <w:p w14:paraId="4F67A671" w14:textId="77777777" w:rsidR="00591D54" w:rsidRDefault="00591D54">
            <w:pPr>
              <w:shd w:val="clear" w:color="auto" w:fill="FFFFFF"/>
              <w:spacing w:line="206" w:lineRule="exact"/>
              <w:jc w:val="center"/>
            </w:pPr>
            <w:r>
              <w:rPr>
                <w:spacing w:val="-10"/>
                <w:sz w:val="18"/>
                <w:szCs w:val="18"/>
                <w:lang w:val="es-ES_tradnl"/>
              </w:rPr>
              <w:t>(impuesto</w:t>
            </w:r>
          </w:p>
          <w:p w14:paraId="4F67A672" w14:textId="77777777" w:rsidR="00591D54" w:rsidRDefault="00591D54">
            <w:pPr>
              <w:shd w:val="clear" w:color="auto" w:fill="FFFFFF"/>
              <w:spacing w:line="206" w:lineRule="exact"/>
              <w:jc w:val="center"/>
            </w:pPr>
            <w:r>
              <w:rPr>
                <w:spacing w:val="-11"/>
                <w:sz w:val="18"/>
                <w:szCs w:val="18"/>
                <w:lang w:val="es-ES_tradnl"/>
              </w:rPr>
              <w:t>estatal)</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14:paraId="4F67A673" w14:textId="77777777" w:rsidR="00591D54" w:rsidRDefault="00591D54">
            <w:pPr>
              <w:shd w:val="clear" w:color="auto" w:fill="FFFFFF"/>
              <w:spacing w:line="206" w:lineRule="exact"/>
              <w:jc w:val="center"/>
            </w:pPr>
            <w:r>
              <w:rPr>
                <w:spacing w:val="-12"/>
                <w:sz w:val="18"/>
                <w:szCs w:val="18"/>
                <w:lang w:val="es-ES_tradnl"/>
              </w:rPr>
              <w:t>Tasa municipal</w:t>
            </w:r>
          </w:p>
          <w:p w14:paraId="4F67A674" w14:textId="77777777" w:rsidR="00591D54" w:rsidRDefault="00591D54">
            <w:pPr>
              <w:shd w:val="clear" w:color="auto" w:fill="FFFFFF"/>
              <w:spacing w:line="206" w:lineRule="exact"/>
              <w:jc w:val="center"/>
            </w:pPr>
            <w:r>
              <w:rPr>
                <w:sz w:val="18"/>
                <w:szCs w:val="18"/>
                <w:lang w:val="es-ES_tradnl"/>
              </w:rPr>
              <w:t>anual por</w:t>
            </w:r>
          </w:p>
          <w:p w14:paraId="4F67A675" w14:textId="77777777" w:rsidR="00591D54" w:rsidRDefault="00591D54">
            <w:pPr>
              <w:shd w:val="clear" w:color="auto" w:fill="FFFFFF"/>
              <w:spacing w:line="206" w:lineRule="exact"/>
              <w:jc w:val="center"/>
            </w:pPr>
            <w:r>
              <w:rPr>
                <w:spacing w:val="-13"/>
                <w:sz w:val="18"/>
                <w:szCs w:val="18"/>
                <w:lang w:val="es-ES_tradnl"/>
              </w:rPr>
              <w:t>abonado fijo</w:t>
            </w:r>
          </w:p>
        </w:tc>
      </w:tr>
      <w:tr w:rsidR="00591D54" w14:paraId="4F67A67B" w14:textId="77777777">
        <w:trPr>
          <w:trHeight w:hRule="exact" w:val="312"/>
        </w:trPr>
        <w:tc>
          <w:tcPr>
            <w:tcW w:w="1051" w:type="dxa"/>
            <w:tcBorders>
              <w:top w:val="single" w:sz="6" w:space="0" w:color="auto"/>
              <w:left w:val="single" w:sz="6" w:space="0" w:color="auto"/>
              <w:bottom w:val="single" w:sz="6" w:space="0" w:color="auto"/>
              <w:right w:val="single" w:sz="6" w:space="0" w:color="auto"/>
            </w:tcBorders>
            <w:shd w:val="clear" w:color="auto" w:fill="FFFFFF"/>
          </w:tcPr>
          <w:p w14:paraId="4F67A677" w14:textId="77777777" w:rsidR="00591D54" w:rsidRDefault="00591D54">
            <w:pPr>
              <w:shd w:val="clear" w:color="auto" w:fill="FFFFFF"/>
              <w:jc w:val="center"/>
            </w:pPr>
            <w:r>
              <w:rPr>
                <w:b/>
                <w:bCs/>
                <w:spacing w:val="-13"/>
                <w:sz w:val="18"/>
                <w:szCs w:val="18"/>
                <w:lang w:val="es-ES_tradnl"/>
              </w:rPr>
              <w:t>$ 407.04 US</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14:paraId="4F67A678" w14:textId="77777777" w:rsidR="00591D54" w:rsidRDefault="00591D54">
            <w:pPr>
              <w:shd w:val="clear" w:color="auto" w:fill="FFFFFF"/>
              <w:jc w:val="center"/>
            </w:pPr>
            <w:r>
              <w:rPr>
                <w:b/>
                <w:bCs/>
                <w:spacing w:val="-12"/>
                <w:sz w:val="18"/>
                <w:szCs w:val="18"/>
                <w:lang w:val="es-ES_tradnl"/>
              </w:rPr>
              <w:t>$ 28.98 US</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4F67A679" w14:textId="77777777" w:rsidR="00591D54" w:rsidRDefault="00591D54">
            <w:pPr>
              <w:shd w:val="clear" w:color="auto" w:fill="FFFFFF"/>
            </w:pPr>
            <w:r>
              <w:rPr>
                <w:b/>
                <w:bCs/>
                <w:spacing w:val="-12"/>
                <w:sz w:val="18"/>
                <w:szCs w:val="18"/>
                <w:lang w:val="es-ES_tradnl"/>
              </w:rPr>
              <w:t>$ 0.40 US</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14:paraId="4F67A67A" w14:textId="77777777" w:rsidR="00591D54" w:rsidRDefault="00591D54">
            <w:pPr>
              <w:shd w:val="clear" w:color="auto" w:fill="FFFFFF"/>
              <w:jc w:val="center"/>
            </w:pPr>
            <w:r>
              <w:rPr>
                <w:b/>
                <w:bCs/>
                <w:spacing w:val="-12"/>
                <w:sz w:val="18"/>
                <w:szCs w:val="18"/>
                <w:lang w:val="es-ES_tradnl"/>
              </w:rPr>
              <w:t>$ 1,460.00 US</w:t>
            </w:r>
          </w:p>
        </w:tc>
      </w:tr>
    </w:tbl>
    <w:p w14:paraId="4F67A67C" w14:textId="77777777" w:rsidR="00591D54" w:rsidRDefault="00591D54">
      <w:pPr>
        <w:shd w:val="clear" w:color="auto" w:fill="FFFFFF"/>
        <w:spacing w:before="216" w:line="226" w:lineRule="exact"/>
        <w:ind w:right="10"/>
        <w:jc w:val="both"/>
      </w:pPr>
      <w:r>
        <w:rPr>
          <w:spacing w:val="-7"/>
          <w:sz w:val="18"/>
          <w:szCs w:val="18"/>
          <w:lang w:val="es-ES_tradnl"/>
        </w:rPr>
        <w:t>Luego de este an</w:t>
      </w:r>
      <w:r>
        <w:rPr>
          <w:rFonts w:cs="Times New Roman"/>
          <w:spacing w:val="-7"/>
          <w:sz w:val="18"/>
          <w:szCs w:val="18"/>
          <w:lang w:val="es-ES_tradnl"/>
        </w:rPr>
        <w:t>á</w:t>
      </w:r>
      <w:r>
        <w:rPr>
          <w:spacing w:val="-7"/>
          <w:sz w:val="18"/>
          <w:szCs w:val="18"/>
          <w:lang w:val="es-ES_tradnl"/>
        </w:rPr>
        <w:t>lisis, la Escuela Superior Polit</w:t>
      </w:r>
      <w:r>
        <w:rPr>
          <w:rFonts w:cs="Times New Roman"/>
          <w:spacing w:val="-7"/>
          <w:sz w:val="18"/>
          <w:szCs w:val="18"/>
          <w:lang w:val="es-ES_tradnl"/>
        </w:rPr>
        <w:t>é</w:t>
      </w:r>
      <w:r>
        <w:rPr>
          <w:spacing w:val="-7"/>
          <w:sz w:val="18"/>
          <w:szCs w:val="18"/>
          <w:lang w:val="es-ES_tradnl"/>
        </w:rPr>
        <w:t xml:space="preserve">cnica del </w:t>
      </w:r>
      <w:r>
        <w:rPr>
          <w:sz w:val="18"/>
          <w:szCs w:val="18"/>
          <w:lang w:val="es-ES_tradnl"/>
        </w:rPr>
        <w:t>Litoral concluye:</w:t>
      </w:r>
    </w:p>
    <w:p w14:paraId="4F67A67D" w14:textId="77777777" w:rsidR="00591D54" w:rsidRDefault="00591D54">
      <w:pPr>
        <w:shd w:val="clear" w:color="auto" w:fill="FFFFFF"/>
        <w:spacing w:before="211" w:line="221" w:lineRule="exact"/>
        <w:ind w:left="283" w:right="10"/>
        <w:jc w:val="both"/>
      </w:pPr>
      <w:r>
        <w:rPr>
          <w:sz w:val="14"/>
          <w:szCs w:val="14"/>
          <w:lang w:val="es-ES_tradnl"/>
        </w:rPr>
        <w:t>Es evidente que las tasas/impuestos municipales por derecho de v</w:t>
      </w:r>
      <w:r>
        <w:rPr>
          <w:rFonts w:cs="Times New Roman"/>
          <w:sz w:val="14"/>
          <w:szCs w:val="14"/>
          <w:lang w:val="es-ES_tradnl"/>
        </w:rPr>
        <w:t>í</w:t>
      </w:r>
      <w:r>
        <w:rPr>
          <w:sz w:val="14"/>
          <w:szCs w:val="14"/>
          <w:lang w:val="es-ES_tradnl"/>
        </w:rPr>
        <w:t>a por usuario, que est</w:t>
      </w:r>
      <w:r>
        <w:rPr>
          <w:rFonts w:cs="Times New Roman"/>
          <w:sz w:val="14"/>
          <w:szCs w:val="14"/>
          <w:lang w:val="es-ES_tradnl"/>
        </w:rPr>
        <w:t>á</w:t>
      </w:r>
      <w:r>
        <w:rPr>
          <w:sz w:val="14"/>
          <w:szCs w:val="14"/>
          <w:lang w:val="es-ES_tradnl"/>
        </w:rPr>
        <w:t>n imponiendo algunos municipios del pa</w:t>
      </w:r>
      <w:r>
        <w:rPr>
          <w:rFonts w:cs="Times New Roman"/>
          <w:sz w:val="14"/>
          <w:szCs w:val="14"/>
          <w:lang w:val="es-ES_tradnl"/>
        </w:rPr>
        <w:t>í</w:t>
      </w:r>
      <w:r>
        <w:rPr>
          <w:sz w:val="14"/>
          <w:szCs w:val="14"/>
          <w:lang w:val="es-ES_tradnl"/>
        </w:rPr>
        <w:t>s a algunas operadoras de telecomunicaciones, exceden considerablemente al valor recaudado por el servicio de internet por usuario del pa</w:t>
      </w:r>
      <w:r>
        <w:rPr>
          <w:rFonts w:cs="Times New Roman"/>
          <w:sz w:val="14"/>
          <w:szCs w:val="14"/>
          <w:lang w:val="es-ES_tradnl"/>
        </w:rPr>
        <w:t>í</w:t>
      </w:r>
      <w:r>
        <w:rPr>
          <w:sz w:val="14"/>
          <w:szCs w:val="14"/>
          <w:lang w:val="es-ES_tradnl"/>
        </w:rPr>
        <w:t>s, y puede llegar a ser, de forma injustificada e il</w:t>
      </w:r>
      <w:r>
        <w:rPr>
          <w:rFonts w:cs="Times New Roman"/>
          <w:sz w:val="14"/>
          <w:szCs w:val="14"/>
          <w:lang w:val="es-ES_tradnl"/>
        </w:rPr>
        <w:t>ó</w:t>
      </w:r>
      <w:r>
        <w:rPr>
          <w:sz w:val="14"/>
          <w:szCs w:val="14"/>
          <w:lang w:val="es-ES_tradnl"/>
        </w:rPr>
        <w:t>gica, 50 veces mayores que las utilidades que han venido percibiendo las empresas proveedoras del servicio (</w:t>
      </w:r>
      <w:r>
        <w:rPr>
          <w:rFonts w:cs="Times New Roman"/>
          <w:sz w:val="14"/>
          <w:szCs w:val="14"/>
          <w:lang w:val="es-ES_tradnl"/>
        </w:rPr>
        <w:t>…</w:t>
      </w:r>
      <w:r>
        <w:rPr>
          <w:sz w:val="14"/>
          <w:szCs w:val="14"/>
          <w:lang w:val="es-ES_tradnl"/>
        </w:rPr>
        <w:t>). Por lo que se recomienda un porcentaje de entre el 0% y el 2% de la facturaci</w:t>
      </w:r>
      <w:r>
        <w:rPr>
          <w:rFonts w:cs="Times New Roman"/>
          <w:sz w:val="14"/>
          <w:szCs w:val="14"/>
          <w:lang w:val="es-ES_tradnl"/>
        </w:rPr>
        <w:t>ó</w:t>
      </w:r>
      <w:r>
        <w:rPr>
          <w:sz w:val="14"/>
          <w:szCs w:val="14"/>
          <w:lang w:val="es-ES_tradnl"/>
        </w:rPr>
        <w:t>n como impuesto municipal aplicado al derecho de v</w:t>
      </w:r>
      <w:r>
        <w:rPr>
          <w:rFonts w:cs="Times New Roman"/>
          <w:sz w:val="14"/>
          <w:szCs w:val="14"/>
          <w:lang w:val="es-ES_tradnl"/>
        </w:rPr>
        <w:t>í</w:t>
      </w:r>
      <w:r>
        <w:rPr>
          <w:sz w:val="14"/>
          <w:szCs w:val="14"/>
          <w:lang w:val="es-ES_tradnl"/>
        </w:rPr>
        <w:t>a, de tal forma que las operadoras de servicios de telecomunicaciones puedan seguir operando.</w:t>
      </w:r>
    </w:p>
    <w:p w14:paraId="4F67A67E" w14:textId="77777777" w:rsidR="00591D54" w:rsidRDefault="00591D54">
      <w:pPr>
        <w:shd w:val="clear" w:color="auto" w:fill="FFFFFF"/>
        <w:spacing w:before="211" w:line="221" w:lineRule="exact"/>
        <w:ind w:right="10"/>
        <w:jc w:val="both"/>
      </w:pPr>
      <w:r>
        <w:rPr>
          <w:spacing w:val="-3"/>
          <w:sz w:val="18"/>
          <w:szCs w:val="18"/>
          <w:lang w:val="es-ES_tradnl"/>
        </w:rPr>
        <w:t>En virtud de lo analizado, esta Corte observa que efectivamente las tarifas fijadas dentro del art</w:t>
      </w:r>
      <w:r>
        <w:rPr>
          <w:rFonts w:cs="Times New Roman"/>
          <w:spacing w:val="-3"/>
          <w:sz w:val="18"/>
          <w:szCs w:val="18"/>
          <w:lang w:val="es-ES_tradnl"/>
        </w:rPr>
        <w:t>í</w:t>
      </w:r>
      <w:r>
        <w:rPr>
          <w:spacing w:val="-3"/>
          <w:sz w:val="18"/>
          <w:szCs w:val="18"/>
          <w:lang w:val="es-ES_tradnl"/>
        </w:rPr>
        <w:t xml:space="preserve">culo </w:t>
      </w:r>
      <w:r>
        <w:rPr>
          <w:spacing w:val="-7"/>
          <w:sz w:val="18"/>
          <w:szCs w:val="18"/>
          <w:lang w:val="es-ES_tradnl"/>
        </w:rPr>
        <w:t xml:space="preserve">impugnado alcanzan valores excesivos que afectan de </w:t>
      </w:r>
      <w:r>
        <w:rPr>
          <w:spacing w:val="-10"/>
          <w:sz w:val="18"/>
          <w:szCs w:val="18"/>
          <w:lang w:val="es-ES_tradnl"/>
        </w:rPr>
        <w:t>manera considerable la econom</w:t>
      </w:r>
      <w:r>
        <w:rPr>
          <w:rFonts w:cs="Times New Roman"/>
          <w:spacing w:val="-10"/>
          <w:sz w:val="18"/>
          <w:szCs w:val="18"/>
          <w:lang w:val="es-ES_tradnl"/>
        </w:rPr>
        <w:t>í</w:t>
      </w:r>
      <w:r>
        <w:rPr>
          <w:spacing w:val="-10"/>
          <w:sz w:val="18"/>
          <w:szCs w:val="18"/>
          <w:lang w:val="es-ES_tradnl"/>
        </w:rPr>
        <w:t xml:space="preserve">a de las empresas privadas </w:t>
      </w:r>
      <w:r>
        <w:rPr>
          <w:spacing w:val="-3"/>
          <w:sz w:val="18"/>
          <w:szCs w:val="18"/>
          <w:lang w:val="es-ES_tradnl"/>
        </w:rPr>
        <w:t>que, bajo el af</w:t>
      </w:r>
      <w:r>
        <w:rPr>
          <w:rFonts w:cs="Times New Roman"/>
          <w:spacing w:val="-3"/>
          <w:sz w:val="18"/>
          <w:szCs w:val="18"/>
          <w:lang w:val="es-ES_tradnl"/>
        </w:rPr>
        <w:t>á</w:t>
      </w:r>
      <w:r>
        <w:rPr>
          <w:spacing w:val="-3"/>
          <w:sz w:val="18"/>
          <w:szCs w:val="18"/>
          <w:lang w:val="es-ES_tradnl"/>
        </w:rPr>
        <w:t xml:space="preserve">n de brindar el servicio comercial por el </w:t>
      </w:r>
      <w:r>
        <w:rPr>
          <w:spacing w:val="-7"/>
          <w:sz w:val="18"/>
          <w:szCs w:val="18"/>
          <w:lang w:val="es-ES_tradnl"/>
        </w:rPr>
        <w:t>que fueron constituidas, se ven en la necesidad de hacer uso del espacio p</w:t>
      </w:r>
      <w:r>
        <w:rPr>
          <w:rFonts w:cs="Times New Roman"/>
          <w:spacing w:val="-7"/>
          <w:sz w:val="18"/>
          <w:szCs w:val="18"/>
          <w:lang w:val="es-ES_tradnl"/>
        </w:rPr>
        <w:t>ú</w:t>
      </w:r>
      <w:r>
        <w:rPr>
          <w:spacing w:val="-7"/>
          <w:sz w:val="18"/>
          <w:szCs w:val="18"/>
          <w:lang w:val="es-ES_tradnl"/>
        </w:rPr>
        <w:t xml:space="preserve">blico, activando el hecho generador de </w:t>
      </w:r>
      <w:r>
        <w:rPr>
          <w:spacing w:val="-10"/>
          <w:sz w:val="18"/>
          <w:szCs w:val="18"/>
          <w:lang w:val="es-ES_tradnl"/>
        </w:rPr>
        <w:t xml:space="preserve">las tasas reguladas en la ordenanza objeto de denuncia y en </w:t>
      </w:r>
      <w:r>
        <w:rPr>
          <w:spacing w:val="-7"/>
          <w:sz w:val="18"/>
          <w:szCs w:val="18"/>
          <w:lang w:val="es-ES_tradnl"/>
        </w:rPr>
        <w:t xml:space="preserve">consecuencia, de cumplir con el pago obligatorio de dicho </w:t>
      </w:r>
      <w:r>
        <w:rPr>
          <w:sz w:val="18"/>
          <w:szCs w:val="18"/>
          <w:lang w:val="es-ES_tradnl"/>
        </w:rPr>
        <w:t>tributo.</w:t>
      </w:r>
    </w:p>
    <w:p w14:paraId="4F67A67F" w14:textId="77777777" w:rsidR="00591D54" w:rsidRDefault="00591D54">
      <w:pPr>
        <w:shd w:val="clear" w:color="auto" w:fill="FFFFFF"/>
        <w:spacing w:before="206" w:line="221" w:lineRule="exact"/>
        <w:ind w:right="10"/>
        <w:jc w:val="both"/>
      </w:pPr>
      <w:r>
        <w:rPr>
          <w:spacing w:val="-7"/>
          <w:sz w:val="18"/>
          <w:szCs w:val="18"/>
          <w:lang w:val="es-ES_tradnl"/>
        </w:rPr>
        <w:t xml:space="preserve">Partiendo de esta realidad, es evidente que las tasas por </w:t>
      </w:r>
      <w:r>
        <w:rPr>
          <w:spacing w:val="-1"/>
          <w:sz w:val="18"/>
          <w:szCs w:val="18"/>
          <w:lang w:val="es-ES_tradnl"/>
        </w:rPr>
        <w:t>ocupaci</w:t>
      </w:r>
      <w:r>
        <w:rPr>
          <w:rFonts w:cs="Times New Roman"/>
          <w:spacing w:val="-1"/>
          <w:sz w:val="18"/>
          <w:szCs w:val="18"/>
          <w:lang w:val="es-ES_tradnl"/>
        </w:rPr>
        <w:t>ó</w:t>
      </w:r>
      <w:r>
        <w:rPr>
          <w:spacing w:val="-1"/>
          <w:sz w:val="18"/>
          <w:szCs w:val="18"/>
          <w:lang w:val="es-ES_tradnl"/>
        </w:rPr>
        <w:t>n de espacio p</w:t>
      </w:r>
      <w:r>
        <w:rPr>
          <w:rFonts w:cs="Times New Roman"/>
          <w:spacing w:val="-1"/>
          <w:sz w:val="18"/>
          <w:szCs w:val="18"/>
          <w:lang w:val="es-ES_tradnl"/>
        </w:rPr>
        <w:t>ú</w:t>
      </w:r>
      <w:r>
        <w:rPr>
          <w:spacing w:val="-1"/>
          <w:sz w:val="18"/>
          <w:szCs w:val="18"/>
          <w:lang w:val="es-ES_tradnl"/>
        </w:rPr>
        <w:t>blico, previstas en el art</w:t>
      </w:r>
      <w:r>
        <w:rPr>
          <w:rFonts w:cs="Times New Roman"/>
          <w:spacing w:val="-1"/>
          <w:sz w:val="18"/>
          <w:szCs w:val="18"/>
          <w:lang w:val="es-ES_tradnl"/>
        </w:rPr>
        <w:t>í</w:t>
      </w:r>
      <w:r>
        <w:rPr>
          <w:spacing w:val="-1"/>
          <w:sz w:val="18"/>
          <w:szCs w:val="18"/>
          <w:lang w:val="es-ES_tradnl"/>
        </w:rPr>
        <w:t xml:space="preserve">culo </w:t>
      </w:r>
      <w:r>
        <w:rPr>
          <w:spacing w:val="-2"/>
          <w:sz w:val="18"/>
          <w:szCs w:val="18"/>
          <w:lang w:val="es-ES_tradnl"/>
        </w:rPr>
        <w:t>18 de la Ordenanza que regula la implantaci</w:t>
      </w:r>
      <w:r>
        <w:rPr>
          <w:rFonts w:cs="Times New Roman"/>
          <w:spacing w:val="-2"/>
          <w:sz w:val="18"/>
          <w:szCs w:val="18"/>
          <w:lang w:val="es-ES_tradnl"/>
        </w:rPr>
        <w:t>ó</w:t>
      </w:r>
      <w:r>
        <w:rPr>
          <w:spacing w:val="-2"/>
          <w:sz w:val="18"/>
          <w:szCs w:val="18"/>
          <w:lang w:val="es-ES_tradnl"/>
        </w:rPr>
        <w:t xml:space="preserve">n de </w:t>
      </w:r>
      <w:r>
        <w:rPr>
          <w:spacing w:val="-10"/>
          <w:sz w:val="18"/>
          <w:szCs w:val="18"/>
          <w:lang w:val="es-ES_tradnl"/>
        </w:rPr>
        <w:t>estructuras, postes y tendidos de redes y la fijaci</w:t>
      </w:r>
      <w:r>
        <w:rPr>
          <w:rFonts w:cs="Times New Roman"/>
          <w:spacing w:val="-10"/>
          <w:sz w:val="18"/>
          <w:szCs w:val="18"/>
          <w:lang w:val="es-ES_tradnl"/>
        </w:rPr>
        <w:t>ó</w:t>
      </w:r>
      <w:r>
        <w:rPr>
          <w:spacing w:val="-10"/>
          <w:sz w:val="18"/>
          <w:szCs w:val="18"/>
          <w:lang w:val="es-ES_tradnl"/>
        </w:rPr>
        <w:t xml:space="preserve">n de tasas </w:t>
      </w:r>
      <w:r>
        <w:rPr>
          <w:spacing w:val="-8"/>
          <w:sz w:val="18"/>
          <w:szCs w:val="18"/>
          <w:lang w:val="es-ES_tradnl"/>
        </w:rPr>
        <w:t>correspondientes por la utilizaci</w:t>
      </w:r>
      <w:r>
        <w:rPr>
          <w:rFonts w:cs="Times New Roman"/>
          <w:spacing w:val="-8"/>
          <w:sz w:val="18"/>
          <w:szCs w:val="18"/>
          <w:lang w:val="es-ES_tradnl"/>
        </w:rPr>
        <w:t>ó</w:t>
      </w:r>
      <w:r>
        <w:rPr>
          <w:spacing w:val="-8"/>
          <w:sz w:val="18"/>
          <w:szCs w:val="18"/>
          <w:lang w:val="es-ES_tradnl"/>
        </w:rPr>
        <w:t>n u ocupaci</w:t>
      </w:r>
      <w:r>
        <w:rPr>
          <w:rFonts w:cs="Times New Roman"/>
          <w:spacing w:val="-8"/>
          <w:sz w:val="18"/>
          <w:szCs w:val="18"/>
          <w:lang w:val="es-ES_tradnl"/>
        </w:rPr>
        <w:t>ó</w:t>
      </w:r>
      <w:r>
        <w:rPr>
          <w:spacing w:val="-8"/>
          <w:sz w:val="18"/>
          <w:szCs w:val="18"/>
          <w:lang w:val="es-ES_tradnl"/>
        </w:rPr>
        <w:t>n del espacio a</w:t>
      </w:r>
      <w:r>
        <w:rPr>
          <w:rFonts w:cs="Times New Roman"/>
          <w:spacing w:val="-8"/>
          <w:sz w:val="18"/>
          <w:szCs w:val="18"/>
          <w:lang w:val="es-ES_tradnl"/>
        </w:rPr>
        <w:t>é</w:t>
      </w:r>
      <w:r>
        <w:rPr>
          <w:spacing w:val="-8"/>
          <w:sz w:val="18"/>
          <w:szCs w:val="18"/>
          <w:lang w:val="es-ES_tradnl"/>
        </w:rPr>
        <w:t xml:space="preserve">reo municipal suelo y subsuelo, atenta contra el principio </w:t>
      </w:r>
      <w:r>
        <w:rPr>
          <w:spacing w:val="-5"/>
          <w:sz w:val="18"/>
          <w:szCs w:val="18"/>
          <w:lang w:val="es-ES_tradnl"/>
        </w:rPr>
        <w:t xml:space="preserve">de no confiscatoriedad, en la medida en que el pago de </w:t>
      </w:r>
      <w:r>
        <w:rPr>
          <w:spacing w:val="-6"/>
          <w:sz w:val="18"/>
          <w:szCs w:val="18"/>
          <w:lang w:val="es-ES_tradnl"/>
        </w:rPr>
        <w:t>sus tarifas originan de forma evidente una afectaci</w:t>
      </w:r>
      <w:r>
        <w:rPr>
          <w:rFonts w:cs="Times New Roman"/>
          <w:spacing w:val="-6"/>
          <w:sz w:val="18"/>
          <w:szCs w:val="18"/>
          <w:lang w:val="es-ES_tradnl"/>
        </w:rPr>
        <w:t>ó</w:t>
      </w:r>
      <w:r>
        <w:rPr>
          <w:spacing w:val="-6"/>
          <w:sz w:val="18"/>
          <w:szCs w:val="18"/>
          <w:lang w:val="es-ES_tradnl"/>
        </w:rPr>
        <w:t xml:space="preserve">n a la </w:t>
      </w:r>
      <w:r>
        <w:rPr>
          <w:spacing w:val="-7"/>
          <w:sz w:val="18"/>
          <w:szCs w:val="18"/>
          <w:lang w:val="es-ES_tradnl"/>
        </w:rPr>
        <w:t xml:space="preserve">renta o patrimonio del contribuyente, la cual sobrepasa los </w:t>
      </w:r>
      <w:r>
        <w:rPr>
          <w:spacing w:val="-5"/>
          <w:sz w:val="18"/>
          <w:szCs w:val="18"/>
          <w:lang w:val="es-ES_tradnl"/>
        </w:rPr>
        <w:t xml:space="preserve">niveles de carga tributaria que todo contribuyente debe </w:t>
      </w:r>
      <w:r>
        <w:rPr>
          <w:sz w:val="18"/>
          <w:szCs w:val="18"/>
          <w:lang w:val="es-ES_tradnl"/>
        </w:rPr>
        <w:t>asumir en el pago de sus obligaciones.</w:t>
      </w:r>
    </w:p>
    <w:p w14:paraId="4F67A680" w14:textId="77777777" w:rsidR="00591D54" w:rsidRDefault="00591D54">
      <w:pPr>
        <w:shd w:val="clear" w:color="auto" w:fill="FFFFFF"/>
        <w:spacing w:before="202" w:line="221" w:lineRule="exact"/>
        <w:ind w:right="10"/>
        <w:jc w:val="both"/>
      </w:pPr>
      <w:r>
        <w:rPr>
          <w:spacing w:val="-11"/>
          <w:sz w:val="18"/>
          <w:szCs w:val="18"/>
          <w:lang w:val="es-ES_tradnl"/>
        </w:rPr>
        <w:t xml:space="preserve">De tal manera que no solo se ve comprometida su capacidad </w:t>
      </w:r>
      <w:r>
        <w:rPr>
          <w:spacing w:val="-5"/>
          <w:sz w:val="18"/>
          <w:szCs w:val="18"/>
          <w:lang w:val="es-ES_tradnl"/>
        </w:rPr>
        <w:t>de ahorro, sino tambi</w:t>
      </w:r>
      <w:r>
        <w:rPr>
          <w:rFonts w:cs="Times New Roman"/>
          <w:spacing w:val="-5"/>
          <w:sz w:val="18"/>
          <w:szCs w:val="18"/>
          <w:lang w:val="es-ES_tradnl"/>
        </w:rPr>
        <w:t>é</w:t>
      </w:r>
      <w:r>
        <w:rPr>
          <w:spacing w:val="-5"/>
          <w:sz w:val="18"/>
          <w:szCs w:val="18"/>
          <w:lang w:val="es-ES_tradnl"/>
        </w:rPr>
        <w:t xml:space="preserve">n la propia posibilidad de obtener </w:t>
      </w:r>
      <w:r>
        <w:rPr>
          <w:spacing w:val="-6"/>
          <w:sz w:val="18"/>
          <w:szCs w:val="18"/>
          <w:lang w:val="es-ES_tradnl"/>
        </w:rPr>
        <w:t>una renta como resultado de la actividad econ</w:t>
      </w:r>
      <w:r>
        <w:rPr>
          <w:rFonts w:cs="Times New Roman"/>
          <w:spacing w:val="-6"/>
          <w:sz w:val="18"/>
          <w:szCs w:val="18"/>
          <w:lang w:val="es-ES_tradnl"/>
        </w:rPr>
        <w:t>ó</w:t>
      </w:r>
      <w:r>
        <w:rPr>
          <w:spacing w:val="-6"/>
          <w:sz w:val="18"/>
          <w:szCs w:val="18"/>
          <w:lang w:val="es-ES_tradnl"/>
        </w:rPr>
        <w:t xml:space="preserve">mica que </w:t>
      </w:r>
      <w:r>
        <w:rPr>
          <w:spacing w:val="-7"/>
          <w:sz w:val="18"/>
          <w:szCs w:val="18"/>
          <w:lang w:val="es-ES_tradnl"/>
        </w:rPr>
        <w:t>realiza, circunstancias que denotan una confiscaci</w:t>
      </w:r>
      <w:r>
        <w:rPr>
          <w:rFonts w:cs="Times New Roman"/>
          <w:spacing w:val="-7"/>
          <w:sz w:val="18"/>
          <w:szCs w:val="18"/>
          <w:lang w:val="es-ES_tradnl"/>
        </w:rPr>
        <w:t>ó</w:t>
      </w:r>
      <w:r>
        <w:rPr>
          <w:spacing w:val="-7"/>
          <w:sz w:val="18"/>
          <w:szCs w:val="18"/>
          <w:lang w:val="es-ES_tradnl"/>
        </w:rPr>
        <w:t xml:space="preserve">n a la </w:t>
      </w:r>
      <w:r>
        <w:rPr>
          <w:spacing w:val="-5"/>
          <w:sz w:val="18"/>
          <w:szCs w:val="18"/>
          <w:lang w:val="es-ES_tradnl"/>
        </w:rPr>
        <w:t>propiedad, seg</w:t>
      </w:r>
      <w:r>
        <w:rPr>
          <w:rFonts w:cs="Times New Roman"/>
          <w:spacing w:val="-5"/>
          <w:sz w:val="18"/>
          <w:szCs w:val="18"/>
          <w:lang w:val="es-ES_tradnl"/>
        </w:rPr>
        <w:t>ú</w:t>
      </w:r>
      <w:r>
        <w:rPr>
          <w:spacing w:val="-5"/>
          <w:sz w:val="18"/>
          <w:szCs w:val="18"/>
          <w:lang w:val="es-ES_tradnl"/>
        </w:rPr>
        <w:t xml:space="preserve">n lo califica la doctrina, particular que ha </w:t>
      </w:r>
      <w:r>
        <w:rPr>
          <w:spacing w:val="-8"/>
          <w:sz w:val="18"/>
          <w:szCs w:val="18"/>
          <w:lang w:val="es-ES_tradnl"/>
        </w:rPr>
        <w:t xml:space="preserve">sido inobservado por el ente municipal en el ejercicio de su </w:t>
      </w:r>
      <w:r>
        <w:rPr>
          <w:sz w:val="18"/>
          <w:szCs w:val="18"/>
          <w:lang w:val="es-ES_tradnl"/>
        </w:rPr>
        <w:t>potestad tributaria.</w:t>
      </w:r>
    </w:p>
    <w:p w14:paraId="4F67A681" w14:textId="77777777" w:rsidR="00591D54" w:rsidRDefault="00591D54">
      <w:pPr>
        <w:shd w:val="clear" w:color="auto" w:fill="FFFFFF"/>
        <w:spacing w:before="202" w:line="226" w:lineRule="exact"/>
        <w:ind w:right="10"/>
        <w:jc w:val="both"/>
      </w:pPr>
      <w:r>
        <w:rPr>
          <w:spacing w:val="-9"/>
          <w:sz w:val="18"/>
          <w:szCs w:val="18"/>
          <w:lang w:val="es-ES_tradnl"/>
        </w:rPr>
        <w:t xml:space="preserve">De igual forma, esta Corte considera que las tasas previstas </w:t>
      </w:r>
      <w:r>
        <w:rPr>
          <w:spacing w:val="-5"/>
          <w:sz w:val="18"/>
          <w:szCs w:val="18"/>
          <w:lang w:val="es-ES_tradnl"/>
        </w:rPr>
        <w:t xml:space="preserve">en la norma cuya inconstitucionalidad ha sido alegada, </w:t>
      </w:r>
      <w:r>
        <w:rPr>
          <w:sz w:val="18"/>
          <w:szCs w:val="18"/>
          <w:lang w:val="es-ES_tradnl"/>
        </w:rPr>
        <w:t xml:space="preserve">transgrede el principio tributario de proporcionalidad, </w:t>
      </w:r>
      <w:r>
        <w:rPr>
          <w:spacing w:val="-7"/>
          <w:sz w:val="18"/>
          <w:szCs w:val="18"/>
          <w:lang w:val="es-ES_tradnl"/>
        </w:rPr>
        <w:t xml:space="preserve">en la medida que inobservan al concepto de capacidad </w:t>
      </w:r>
      <w:r>
        <w:rPr>
          <w:sz w:val="18"/>
          <w:szCs w:val="18"/>
          <w:lang w:val="es-ES_tradnl"/>
        </w:rPr>
        <w:t>tributaria como el elemento determinante a la hora de</w:t>
      </w:r>
    </w:p>
    <w:p w14:paraId="4F67A682" w14:textId="77777777" w:rsidR="00591D54" w:rsidRDefault="00591D54">
      <w:pPr>
        <w:shd w:val="clear" w:color="auto" w:fill="FFFFFF"/>
        <w:spacing w:before="202" w:line="226" w:lineRule="exact"/>
        <w:ind w:right="10"/>
        <w:jc w:val="both"/>
        <w:sectPr w:rsidR="00591D54">
          <w:type w:val="continuous"/>
          <w:pgSz w:w="11909" w:h="16834"/>
          <w:pgMar w:top="1359" w:right="1299" w:bottom="360" w:left="1308" w:header="720" w:footer="720" w:gutter="0"/>
          <w:cols w:num="2" w:space="720" w:equalWidth="0">
            <w:col w:w="4305" w:space="682"/>
            <w:col w:w="4315"/>
          </w:cols>
          <w:noEndnote/>
        </w:sectPr>
      </w:pPr>
    </w:p>
    <w:p w14:paraId="4F67A683" w14:textId="77777777" w:rsidR="00591D54" w:rsidRDefault="00591D54">
      <w:pPr>
        <w:shd w:val="clear" w:color="auto" w:fill="FFFFFF"/>
        <w:tabs>
          <w:tab w:val="left" w:pos="4814"/>
        </w:tabs>
        <w:spacing w:after="235"/>
        <w:ind w:left="5"/>
      </w:pPr>
      <w:r>
        <w:rPr>
          <w:b/>
          <w:bCs/>
          <w:sz w:val="18"/>
          <w:szCs w:val="18"/>
          <w:lang w:val="es-ES_tradnl"/>
        </w:rPr>
        <w:t xml:space="preserve">40 -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684" w14:textId="77777777" w:rsidR="00591D54" w:rsidRDefault="00591D54">
      <w:pPr>
        <w:shd w:val="clear" w:color="auto" w:fill="FFFFFF"/>
        <w:tabs>
          <w:tab w:val="left" w:pos="4814"/>
        </w:tabs>
        <w:spacing w:after="235"/>
        <w:ind w:left="5"/>
        <w:sectPr w:rsidR="00591D54">
          <w:pgSz w:w="11909" w:h="16834"/>
          <w:pgMar w:top="1354" w:right="1304" w:bottom="360" w:left="1308" w:header="720" w:footer="720" w:gutter="0"/>
          <w:cols w:space="60"/>
          <w:noEndnote/>
        </w:sectPr>
      </w:pPr>
    </w:p>
    <w:p w14:paraId="4F67A685" w14:textId="77777777" w:rsidR="00591D54" w:rsidRDefault="00591D54">
      <w:pPr>
        <w:shd w:val="clear" w:color="auto" w:fill="FFFFFF"/>
        <w:spacing w:line="221" w:lineRule="exact"/>
        <w:jc w:val="both"/>
      </w:pPr>
      <w:r>
        <w:rPr>
          <w:spacing w:val="-6"/>
          <w:sz w:val="18"/>
          <w:szCs w:val="18"/>
          <w:lang w:val="es-ES_tradnl"/>
        </w:rPr>
        <w:t>fijar los montos que deber</w:t>
      </w:r>
      <w:r>
        <w:rPr>
          <w:rFonts w:cs="Times New Roman"/>
          <w:spacing w:val="-6"/>
          <w:sz w:val="18"/>
          <w:szCs w:val="18"/>
          <w:lang w:val="es-ES_tradnl"/>
        </w:rPr>
        <w:t>á</w:t>
      </w:r>
      <w:r>
        <w:rPr>
          <w:spacing w:val="-6"/>
          <w:sz w:val="18"/>
          <w:szCs w:val="18"/>
          <w:lang w:val="es-ES_tradnl"/>
        </w:rPr>
        <w:t xml:space="preserve"> asumir el sujeto pasivo en la </w:t>
      </w:r>
      <w:r>
        <w:rPr>
          <w:spacing w:val="-7"/>
          <w:sz w:val="18"/>
          <w:szCs w:val="18"/>
          <w:lang w:val="es-ES_tradnl"/>
        </w:rPr>
        <w:t>obligaci</w:t>
      </w:r>
      <w:r>
        <w:rPr>
          <w:rFonts w:cs="Times New Roman"/>
          <w:spacing w:val="-7"/>
          <w:sz w:val="18"/>
          <w:szCs w:val="18"/>
          <w:lang w:val="es-ES_tradnl"/>
        </w:rPr>
        <w:t>ó</w:t>
      </w:r>
      <w:r>
        <w:rPr>
          <w:spacing w:val="-7"/>
          <w:sz w:val="18"/>
          <w:szCs w:val="18"/>
          <w:lang w:val="es-ES_tradnl"/>
        </w:rPr>
        <w:t xml:space="preserve">n tributaria, pues recordemos que dicho concepto </w:t>
      </w:r>
      <w:r>
        <w:rPr>
          <w:spacing w:val="-6"/>
          <w:sz w:val="18"/>
          <w:szCs w:val="18"/>
          <w:lang w:val="es-ES_tradnl"/>
        </w:rPr>
        <w:t xml:space="preserve">representa la aptitud de cada contribuyente para soportar </w:t>
      </w:r>
      <w:r>
        <w:rPr>
          <w:spacing w:val="-5"/>
          <w:sz w:val="18"/>
          <w:szCs w:val="18"/>
          <w:lang w:val="es-ES_tradnl"/>
        </w:rPr>
        <w:t>las cargas fiscales en mayor o menor medida, es decir, que un sujeto aporte hacia el Estado en proporci</w:t>
      </w:r>
      <w:r>
        <w:rPr>
          <w:rFonts w:cs="Times New Roman"/>
          <w:spacing w:val="-5"/>
          <w:sz w:val="18"/>
          <w:szCs w:val="18"/>
          <w:lang w:val="es-ES_tradnl"/>
        </w:rPr>
        <w:t>ó</w:t>
      </w:r>
      <w:r>
        <w:rPr>
          <w:spacing w:val="-5"/>
          <w:sz w:val="18"/>
          <w:szCs w:val="18"/>
          <w:lang w:val="es-ES_tradnl"/>
        </w:rPr>
        <w:t xml:space="preserve">n a sus </w:t>
      </w:r>
      <w:r>
        <w:rPr>
          <w:sz w:val="18"/>
          <w:szCs w:val="18"/>
          <w:lang w:val="es-ES_tradnl"/>
        </w:rPr>
        <w:t>ingresos y rentas.</w:t>
      </w:r>
    </w:p>
    <w:p w14:paraId="4F67A686" w14:textId="77777777" w:rsidR="00591D54" w:rsidRDefault="00591D54">
      <w:pPr>
        <w:shd w:val="clear" w:color="auto" w:fill="FFFFFF"/>
        <w:spacing w:before="206" w:line="221" w:lineRule="exact"/>
        <w:jc w:val="both"/>
      </w:pPr>
      <w:r>
        <w:rPr>
          <w:sz w:val="18"/>
          <w:szCs w:val="18"/>
          <w:lang w:val="es-ES_tradnl"/>
        </w:rPr>
        <w:t xml:space="preserve">En igual medida, la inobservancia al principio de capacidad contributiva dentro de los tributos </w:t>
      </w:r>
      <w:r>
        <w:rPr>
          <w:spacing w:val="-4"/>
          <w:sz w:val="18"/>
          <w:szCs w:val="18"/>
          <w:lang w:val="es-ES_tradnl"/>
        </w:rPr>
        <w:t xml:space="preserve">analizados transgrede a su vez, el principio tributario de </w:t>
      </w:r>
      <w:r>
        <w:rPr>
          <w:spacing w:val="-6"/>
          <w:sz w:val="18"/>
          <w:szCs w:val="18"/>
          <w:lang w:val="es-ES_tradnl"/>
        </w:rPr>
        <w:t xml:space="preserve">razonabilidad, considerando que este </w:t>
      </w:r>
      <w:r>
        <w:rPr>
          <w:rFonts w:cs="Times New Roman"/>
          <w:spacing w:val="-6"/>
          <w:sz w:val="18"/>
          <w:szCs w:val="18"/>
          <w:lang w:val="es-ES_tradnl"/>
        </w:rPr>
        <w:t>ú</w:t>
      </w:r>
      <w:r>
        <w:rPr>
          <w:spacing w:val="-6"/>
          <w:sz w:val="18"/>
          <w:szCs w:val="18"/>
          <w:lang w:val="es-ES_tradnl"/>
        </w:rPr>
        <w:t xml:space="preserve">ltimo promueve la </w:t>
      </w:r>
      <w:r>
        <w:rPr>
          <w:spacing w:val="-5"/>
          <w:sz w:val="18"/>
          <w:szCs w:val="18"/>
          <w:lang w:val="es-ES_tradnl"/>
        </w:rPr>
        <w:t>idea de que exista una justicia dentro de toda imposici</w:t>
      </w:r>
      <w:r>
        <w:rPr>
          <w:rFonts w:cs="Times New Roman"/>
          <w:spacing w:val="-5"/>
          <w:sz w:val="18"/>
          <w:szCs w:val="18"/>
          <w:lang w:val="es-ES_tradnl"/>
        </w:rPr>
        <w:t>ó</w:t>
      </w:r>
      <w:r>
        <w:rPr>
          <w:spacing w:val="-5"/>
          <w:sz w:val="18"/>
          <w:szCs w:val="18"/>
          <w:lang w:val="es-ES_tradnl"/>
        </w:rPr>
        <w:t xml:space="preserve">n </w:t>
      </w:r>
      <w:r>
        <w:rPr>
          <w:spacing w:val="-8"/>
          <w:sz w:val="18"/>
          <w:szCs w:val="18"/>
          <w:lang w:val="es-ES_tradnl"/>
        </w:rPr>
        <w:t xml:space="preserve">fiscal, lo cual, se puede alcanzar bajo el ideal de que cada </w:t>
      </w:r>
      <w:r>
        <w:rPr>
          <w:spacing w:val="-7"/>
          <w:sz w:val="18"/>
          <w:szCs w:val="18"/>
          <w:lang w:val="es-ES_tradnl"/>
        </w:rPr>
        <w:t>sujeto responda seg</w:t>
      </w:r>
      <w:r>
        <w:rPr>
          <w:rFonts w:cs="Times New Roman"/>
          <w:spacing w:val="-7"/>
          <w:sz w:val="18"/>
          <w:szCs w:val="18"/>
          <w:lang w:val="es-ES_tradnl"/>
        </w:rPr>
        <w:t>ú</w:t>
      </w:r>
      <w:r>
        <w:rPr>
          <w:spacing w:val="-7"/>
          <w:sz w:val="18"/>
          <w:szCs w:val="18"/>
          <w:lang w:val="es-ES_tradnl"/>
        </w:rPr>
        <w:t xml:space="preserve">n su aptitud de pago. Caso contrario, </w:t>
      </w:r>
      <w:r>
        <w:rPr>
          <w:spacing w:val="-6"/>
          <w:sz w:val="18"/>
          <w:szCs w:val="18"/>
          <w:lang w:val="es-ES_tradnl"/>
        </w:rPr>
        <w:t xml:space="preserve">de cobrarse tributos cuyos valores sobrepasen dicha </w:t>
      </w:r>
      <w:r>
        <w:rPr>
          <w:spacing w:val="-5"/>
          <w:sz w:val="18"/>
          <w:szCs w:val="18"/>
          <w:lang w:val="es-ES_tradnl"/>
        </w:rPr>
        <w:t>capacidad, el tributo carecer</w:t>
      </w:r>
      <w:r>
        <w:rPr>
          <w:rFonts w:cs="Times New Roman"/>
          <w:spacing w:val="-5"/>
          <w:sz w:val="18"/>
          <w:szCs w:val="18"/>
          <w:lang w:val="es-ES_tradnl"/>
        </w:rPr>
        <w:t>á</w:t>
      </w:r>
      <w:r>
        <w:rPr>
          <w:spacing w:val="-5"/>
          <w:sz w:val="18"/>
          <w:szCs w:val="18"/>
          <w:lang w:val="es-ES_tradnl"/>
        </w:rPr>
        <w:t xml:space="preserve"> de razonabilidad.</w:t>
      </w:r>
    </w:p>
    <w:p w14:paraId="4F67A687" w14:textId="77777777" w:rsidR="00591D54" w:rsidRDefault="00591D54">
      <w:pPr>
        <w:shd w:val="clear" w:color="auto" w:fill="FFFFFF"/>
        <w:spacing w:before="206" w:line="221" w:lineRule="exact"/>
        <w:jc w:val="both"/>
      </w:pPr>
      <w:r>
        <w:rPr>
          <w:spacing w:val="-8"/>
          <w:sz w:val="18"/>
          <w:szCs w:val="18"/>
          <w:lang w:val="es-ES_tradnl"/>
        </w:rPr>
        <w:t xml:space="preserve">Finalmente, se debe indicar que las tasas normadas en el </w:t>
      </w:r>
      <w:r>
        <w:rPr>
          <w:spacing w:val="-5"/>
          <w:sz w:val="18"/>
          <w:szCs w:val="18"/>
          <w:lang w:val="es-ES_tradnl"/>
        </w:rPr>
        <w:t>art</w:t>
      </w:r>
      <w:r>
        <w:rPr>
          <w:rFonts w:cs="Times New Roman"/>
          <w:spacing w:val="-5"/>
          <w:sz w:val="18"/>
          <w:szCs w:val="18"/>
          <w:lang w:val="es-ES_tradnl"/>
        </w:rPr>
        <w:t>í</w:t>
      </w:r>
      <w:r>
        <w:rPr>
          <w:spacing w:val="-5"/>
          <w:sz w:val="18"/>
          <w:szCs w:val="18"/>
          <w:lang w:val="es-ES_tradnl"/>
        </w:rPr>
        <w:t>culo 18 de la Ordenanza que regula la instalaci</w:t>
      </w:r>
      <w:r>
        <w:rPr>
          <w:rFonts w:cs="Times New Roman"/>
          <w:spacing w:val="-5"/>
          <w:sz w:val="18"/>
          <w:szCs w:val="18"/>
          <w:lang w:val="es-ES_tradnl"/>
        </w:rPr>
        <w:t>ó</w:t>
      </w:r>
      <w:r>
        <w:rPr>
          <w:spacing w:val="-5"/>
          <w:sz w:val="18"/>
          <w:szCs w:val="18"/>
          <w:lang w:val="es-ES_tradnl"/>
        </w:rPr>
        <w:t xml:space="preserve">n de </w:t>
      </w:r>
      <w:r>
        <w:rPr>
          <w:spacing w:val="-6"/>
          <w:sz w:val="18"/>
          <w:szCs w:val="18"/>
          <w:lang w:val="es-ES_tradnl"/>
        </w:rPr>
        <w:t>postes en el cant</w:t>
      </w:r>
      <w:r>
        <w:rPr>
          <w:rFonts w:cs="Times New Roman"/>
          <w:spacing w:val="-6"/>
          <w:sz w:val="18"/>
          <w:szCs w:val="18"/>
          <w:lang w:val="es-ES_tradnl"/>
        </w:rPr>
        <w:t>ó</w:t>
      </w:r>
      <w:r>
        <w:rPr>
          <w:spacing w:val="-6"/>
          <w:sz w:val="18"/>
          <w:szCs w:val="18"/>
          <w:lang w:val="es-ES_tradnl"/>
        </w:rPr>
        <w:t>n Chone, transgrede de igual forma el principio constitucional tributario de equidad, en la medida en que dicha imposici</w:t>
      </w:r>
      <w:r>
        <w:rPr>
          <w:rFonts w:cs="Times New Roman"/>
          <w:spacing w:val="-6"/>
          <w:sz w:val="18"/>
          <w:szCs w:val="18"/>
          <w:lang w:val="es-ES_tradnl"/>
        </w:rPr>
        <w:t>ó</w:t>
      </w:r>
      <w:r>
        <w:rPr>
          <w:spacing w:val="-6"/>
          <w:sz w:val="18"/>
          <w:szCs w:val="18"/>
          <w:lang w:val="es-ES_tradnl"/>
        </w:rPr>
        <w:t xml:space="preserve">n confiscatoria, desproporcionada </w:t>
      </w:r>
      <w:r>
        <w:rPr>
          <w:spacing w:val="-4"/>
          <w:sz w:val="18"/>
          <w:szCs w:val="18"/>
          <w:lang w:val="es-ES_tradnl"/>
        </w:rPr>
        <w:t xml:space="preserve">e irracional, desmantela dentro del sistema tributario el sentido de justicia e igualdad que debe primar entre el </w:t>
      </w:r>
      <w:r>
        <w:rPr>
          <w:spacing w:val="-6"/>
          <w:sz w:val="18"/>
          <w:szCs w:val="18"/>
          <w:lang w:val="es-ES_tradnl"/>
        </w:rPr>
        <w:t xml:space="preserve">poder tributario y los contribuyentes, conforme lo enuncia </w:t>
      </w:r>
      <w:r>
        <w:rPr>
          <w:spacing w:val="-4"/>
          <w:sz w:val="18"/>
          <w:szCs w:val="18"/>
          <w:lang w:val="es-ES_tradnl"/>
        </w:rPr>
        <w:t>el art</w:t>
      </w:r>
      <w:r>
        <w:rPr>
          <w:rFonts w:cs="Times New Roman"/>
          <w:spacing w:val="-4"/>
          <w:sz w:val="18"/>
          <w:szCs w:val="18"/>
          <w:lang w:val="es-ES_tradnl"/>
        </w:rPr>
        <w:t>í</w:t>
      </w:r>
      <w:r>
        <w:rPr>
          <w:spacing w:val="-4"/>
          <w:sz w:val="18"/>
          <w:szCs w:val="18"/>
          <w:lang w:val="es-ES_tradnl"/>
        </w:rPr>
        <w:t>culo 300 de la Constituci</w:t>
      </w:r>
      <w:r>
        <w:rPr>
          <w:rFonts w:cs="Times New Roman"/>
          <w:spacing w:val="-4"/>
          <w:sz w:val="18"/>
          <w:szCs w:val="18"/>
          <w:lang w:val="es-ES_tradnl"/>
        </w:rPr>
        <w:t>ó</w:t>
      </w:r>
      <w:r>
        <w:rPr>
          <w:spacing w:val="-4"/>
          <w:sz w:val="18"/>
          <w:szCs w:val="18"/>
          <w:lang w:val="es-ES_tradnl"/>
        </w:rPr>
        <w:t>n de la Rep</w:t>
      </w:r>
      <w:r>
        <w:rPr>
          <w:rFonts w:cs="Times New Roman"/>
          <w:spacing w:val="-4"/>
          <w:sz w:val="18"/>
          <w:szCs w:val="18"/>
          <w:lang w:val="es-ES_tradnl"/>
        </w:rPr>
        <w:t>ú</w:t>
      </w:r>
      <w:r>
        <w:rPr>
          <w:spacing w:val="-4"/>
          <w:sz w:val="18"/>
          <w:szCs w:val="18"/>
          <w:lang w:val="es-ES_tradnl"/>
        </w:rPr>
        <w:t>blica.</w:t>
      </w:r>
    </w:p>
    <w:p w14:paraId="4F67A688" w14:textId="77777777" w:rsidR="00591D54" w:rsidRDefault="00591D54">
      <w:pPr>
        <w:shd w:val="clear" w:color="auto" w:fill="FFFFFF"/>
        <w:spacing w:before="202" w:line="226" w:lineRule="exact"/>
        <w:jc w:val="both"/>
      </w:pPr>
      <w:r>
        <w:rPr>
          <w:spacing w:val="-10"/>
          <w:sz w:val="18"/>
          <w:szCs w:val="18"/>
          <w:lang w:val="es-ES_tradnl"/>
        </w:rPr>
        <w:t>En el caso sujeto de an</w:t>
      </w:r>
      <w:r>
        <w:rPr>
          <w:rFonts w:cs="Times New Roman"/>
          <w:spacing w:val="-10"/>
          <w:sz w:val="18"/>
          <w:szCs w:val="18"/>
          <w:lang w:val="es-ES_tradnl"/>
        </w:rPr>
        <w:t>á</w:t>
      </w:r>
      <w:r>
        <w:rPr>
          <w:spacing w:val="-10"/>
          <w:sz w:val="18"/>
          <w:szCs w:val="18"/>
          <w:lang w:val="es-ES_tradnl"/>
        </w:rPr>
        <w:t>lisis se determina que el art</w:t>
      </w:r>
      <w:r>
        <w:rPr>
          <w:rFonts w:cs="Times New Roman"/>
          <w:spacing w:val="-10"/>
          <w:sz w:val="18"/>
          <w:szCs w:val="18"/>
          <w:lang w:val="es-ES_tradnl"/>
        </w:rPr>
        <w:t>í</w:t>
      </w:r>
      <w:r>
        <w:rPr>
          <w:spacing w:val="-10"/>
          <w:sz w:val="18"/>
          <w:szCs w:val="18"/>
          <w:lang w:val="es-ES_tradnl"/>
        </w:rPr>
        <w:t xml:space="preserve">culo 18, </w:t>
      </w:r>
      <w:r>
        <w:rPr>
          <w:spacing w:val="-4"/>
          <w:sz w:val="18"/>
          <w:szCs w:val="18"/>
          <w:lang w:val="es-ES_tradnl"/>
        </w:rPr>
        <w:t>contraviene el principio de equidad tributaria establecido en el art</w:t>
      </w:r>
      <w:r>
        <w:rPr>
          <w:rFonts w:cs="Times New Roman"/>
          <w:spacing w:val="-4"/>
          <w:sz w:val="18"/>
          <w:szCs w:val="18"/>
          <w:lang w:val="es-ES_tradnl"/>
        </w:rPr>
        <w:t>í</w:t>
      </w:r>
      <w:r>
        <w:rPr>
          <w:spacing w:val="-4"/>
          <w:sz w:val="18"/>
          <w:szCs w:val="18"/>
          <w:lang w:val="es-ES_tradnl"/>
        </w:rPr>
        <w:t>culo 300 de la Constituci</w:t>
      </w:r>
      <w:r>
        <w:rPr>
          <w:rFonts w:cs="Times New Roman"/>
          <w:spacing w:val="-4"/>
          <w:sz w:val="18"/>
          <w:szCs w:val="18"/>
          <w:lang w:val="es-ES_tradnl"/>
        </w:rPr>
        <w:t>ó</w:t>
      </w:r>
      <w:r>
        <w:rPr>
          <w:spacing w:val="-4"/>
          <w:sz w:val="18"/>
          <w:szCs w:val="18"/>
          <w:lang w:val="es-ES_tradnl"/>
        </w:rPr>
        <w:t>n de la Rep</w:t>
      </w:r>
      <w:r>
        <w:rPr>
          <w:rFonts w:cs="Times New Roman"/>
          <w:spacing w:val="-4"/>
          <w:sz w:val="18"/>
          <w:szCs w:val="18"/>
          <w:lang w:val="es-ES_tradnl"/>
        </w:rPr>
        <w:t>ú</w:t>
      </w:r>
      <w:r>
        <w:rPr>
          <w:spacing w:val="-4"/>
          <w:sz w:val="18"/>
          <w:szCs w:val="18"/>
          <w:lang w:val="es-ES_tradnl"/>
        </w:rPr>
        <w:t>blica.</w:t>
      </w:r>
    </w:p>
    <w:p w14:paraId="4F67A689" w14:textId="77777777" w:rsidR="00591D54" w:rsidRDefault="00591D54">
      <w:pPr>
        <w:shd w:val="clear" w:color="auto" w:fill="FFFFFF"/>
        <w:spacing w:before="202" w:line="221" w:lineRule="exact"/>
        <w:jc w:val="both"/>
      </w:pPr>
      <w:r>
        <w:rPr>
          <w:spacing w:val="-5"/>
          <w:sz w:val="18"/>
          <w:szCs w:val="18"/>
          <w:lang w:val="es-ES_tradnl"/>
        </w:rPr>
        <w:t>Por ello, con fundamento en el art</w:t>
      </w:r>
      <w:r>
        <w:rPr>
          <w:rFonts w:cs="Times New Roman"/>
          <w:spacing w:val="-5"/>
          <w:sz w:val="18"/>
          <w:szCs w:val="18"/>
          <w:lang w:val="es-ES_tradnl"/>
        </w:rPr>
        <w:t>í</w:t>
      </w:r>
      <w:r>
        <w:rPr>
          <w:spacing w:val="-5"/>
          <w:sz w:val="18"/>
          <w:szCs w:val="18"/>
          <w:lang w:val="es-ES_tradnl"/>
        </w:rPr>
        <w:t xml:space="preserve">culo 436 numerales 1, </w:t>
      </w:r>
      <w:r>
        <w:rPr>
          <w:spacing w:val="-6"/>
          <w:sz w:val="18"/>
          <w:szCs w:val="18"/>
          <w:lang w:val="es-ES_tradnl"/>
        </w:rPr>
        <w:t>2 y 3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en concordancia </w:t>
      </w:r>
      <w:r>
        <w:rPr>
          <w:spacing w:val="-8"/>
          <w:sz w:val="18"/>
          <w:szCs w:val="18"/>
          <w:lang w:val="es-ES_tradnl"/>
        </w:rPr>
        <w:t>con el art</w:t>
      </w:r>
      <w:r>
        <w:rPr>
          <w:rFonts w:cs="Times New Roman"/>
          <w:spacing w:val="-8"/>
          <w:sz w:val="18"/>
          <w:szCs w:val="18"/>
          <w:lang w:val="es-ES_tradnl"/>
        </w:rPr>
        <w:t>í</w:t>
      </w:r>
      <w:r>
        <w:rPr>
          <w:spacing w:val="-8"/>
          <w:sz w:val="18"/>
          <w:szCs w:val="18"/>
          <w:lang w:val="es-ES_tradnl"/>
        </w:rPr>
        <w:t>culo 76 numerales 4, 5 y 6 de la Ley Org</w:t>
      </w:r>
      <w:r>
        <w:rPr>
          <w:rFonts w:cs="Times New Roman"/>
          <w:spacing w:val="-8"/>
          <w:sz w:val="18"/>
          <w:szCs w:val="18"/>
          <w:lang w:val="es-ES_tradnl"/>
        </w:rPr>
        <w:t>á</w:t>
      </w:r>
      <w:r>
        <w:rPr>
          <w:spacing w:val="-8"/>
          <w:sz w:val="18"/>
          <w:szCs w:val="18"/>
          <w:lang w:val="es-ES_tradnl"/>
        </w:rPr>
        <w:t xml:space="preserve">nica de </w:t>
      </w:r>
      <w:r>
        <w:rPr>
          <w:spacing w:val="-5"/>
          <w:sz w:val="18"/>
          <w:szCs w:val="18"/>
          <w:lang w:val="es-ES_tradnl"/>
        </w:rPr>
        <w:t>Garant</w:t>
      </w:r>
      <w:r>
        <w:rPr>
          <w:rFonts w:cs="Times New Roman"/>
          <w:spacing w:val="-5"/>
          <w:sz w:val="18"/>
          <w:szCs w:val="18"/>
          <w:lang w:val="es-ES_tradnl"/>
        </w:rPr>
        <w:t>í</w:t>
      </w:r>
      <w:r>
        <w:rPr>
          <w:spacing w:val="-5"/>
          <w:sz w:val="18"/>
          <w:szCs w:val="18"/>
          <w:lang w:val="es-ES_tradnl"/>
        </w:rPr>
        <w:t xml:space="preserve">as Jurisdiccionales y Control Constitucional, esta </w:t>
      </w:r>
      <w:r>
        <w:rPr>
          <w:spacing w:val="-4"/>
          <w:sz w:val="18"/>
          <w:szCs w:val="18"/>
          <w:lang w:val="es-ES_tradnl"/>
        </w:rPr>
        <w:t xml:space="preserve">Corte se declara la inconstitucionalidad del primer inciso </w:t>
      </w:r>
      <w:r>
        <w:rPr>
          <w:spacing w:val="-5"/>
          <w:sz w:val="18"/>
          <w:szCs w:val="18"/>
          <w:lang w:val="es-ES_tradnl"/>
        </w:rPr>
        <w:t>y los numerales 1, 5 y 7 del art</w:t>
      </w:r>
      <w:r>
        <w:rPr>
          <w:rFonts w:cs="Times New Roman"/>
          <w:spacing w:val="-5"/>
          <w:sz w:val="18"/>
          <w:szCs w:val="18"/>
          <w:lang w:val="es-ES_tradnl"/>
        </w:rPr>
        <w:t>í</w:t>
      </w:r>
      <w:r>
        <w:rPr>
          <w:spacing w:val="-5"/>
          <w:sz w:val="18"/>
          <w:szCs w:val="18"/>
          <w:lang w:val="es-ES_tradnl"/>
        </w:rPr>
        <w:t xml:space="preserve">culo 18 de la Ordenanza </w:t>
      </w:r>
      <w:r>
        <w:rPr>
          <w:spacing w:val="-4"/>
          <w:sz w:val="18"/>
          <w:szCs w:val="18"/>
          <w:lang w:val="es-ES_tradnl"/>
        </w:rPr>
        <w:t>emitida por el GAD municipal de Chone.</w:t>
      </w:r>
    </w:p>
    <w:p w14:paraId="4F67A68A" w14:textId="77777777" w:rsidR="00591D54" w:rsidRDefault="00591D54">
      <w:pPr>
        <w:shd w:val="clear" w:color="auto" w:fill="FFFFFF"/>
        <w:spacing w:before="197"/>
        <w:ind w:right="5"/>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A68B" w14:textId="77777777" w:rsidR="00591D54" w:rsidRDefault="00591D54">
      <w:pPr>
        <w:shd w:val="clear" w:color="auto" w:fill="FFFFFF"/>
        <w:spacing w:before="206" w:line="221" w:lineRule="exact"/>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4"/>
          <w:sz w:val="18"/>
          <w:szCs w:val="18"/>
          <w:lang w:val="es-ES_tradnl"/>
        </w:rPr>
        <w:t>constitucional y por mandato de la Constituci</w:t>
      </w:r>
      <w:r>
        <w:rPr>
          <w:rFonts w:cs="Times New Roman"/>
          <w:spacing w:val="-4"/>
          <w:sz w:val="18"/>
          <w:szCs w:val="18"/>
          <w:lang w:val="es-ES_tradnl"/>
        </w:rPr>
        <w:t>ó</w:t>
      </w:r>
      <w:r>
        <w:rPr>
          <w:spacing w:val="-4"/>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 xml:space="preserve">blica del Ecuador, el Pleno de la Corte Constitucional </w:t>
      </w:r>
      <w:r>
        <w:rPr>
          <w:sz w:val="18"/>
          <w:szCs w:val="18"/>
          <w:lang w:val="es-ES_tradnl"/>
        </w:rPr>
        <w:t>emite la siguiente:</w:t>
      </w:r>
    </w:p>
    <w:p w14:paraId="4F67A68C" w14:textId="77777777" w:rsidR="00591D54" w:rsidRDefault="00591D54">
      <w:pPr>
        <w:shd w:val="clear" w:color="auto" w:fill="FFFFFF"/>
        <w:spacing w:before="197"/>
        <w:ind w:left="10"/>
        <w:jc w:val="center"/>
      </w:pPr>
      <w:r>
        <w:rPr>
          <w:b/>
          <w:bCs/>
          <w:sz w:val="18"/>
          <w:szCs w:val="18"/>
          <w:lang w:val="es-ES_tradnl"/>
        </w:rPr>
        <w:t>SENTENCIA</w:t>
      </w:r>
    </w:p>
    <w:p w14:paraId="4F67A68D" w14:textId="77777777" w:rsidR="00591D54" w:rsidRDefault="00591D54">
      <w:pPr>
        <w:shd w:val="clear" w:color="auto" w:fill="FFFFFF"/>
        <w:spacing w:before="206" w:line="221" w:lineRule="exact"/>
        <w:ind w:left="566" w:hanging="283"/>
        <w:jc w:val="both"/>
      </w:pPr>
      <w:r>
        <w:rPr>
          <w:spacing w:val="-2"/>
          <w:sz w:val="18"/>
          <w:szCs w:val="18"/>
          <w:lang w:val="es-ES_tradnl"/>
        </w:rPr>
        <w:t>1. Aceptar la acci</w:t>
      </w:r>
      <w:r>
        <w:rPr>
          <w:rFonts w:cs="Times New Roman"/>
          <w:spacing w:val="-2"/>
          <w:sz w:val="18"/>
          <w:szCs w:val="18"/>
          <w:lang w:val="es-ES_tradnl"/>
        </w:rPr>
        <w:t>ó</w:t>
      </w:r>
      <w:r>
        <w:rPr>
          <w:spacing w:val="-2"/>
          <w:sz w:val="18"/>
          <w:szCs w:val="18"/>
          <w:lang w:val="es-ES_tradnl"/>
        </w:rPr>
        <w:t>n p</w:t>
      </w:r>
      <w:r>
        <w:rPr>
          <w:rFonts w:cs="Times New Roman"/>
          <w:spacing w:val="-2"/>
          <w:sz w:val="18"/>
          <w:szCs w:val="18"/>
          <w:lang w:val="es-ES_tradnl"/>
        </w:rPr>
        <w:t>ú</w:t>
      </w:r>
      <w:r>
        <w:rPr>
          <w:spacing w:val="-2"/>
          <w:sz w:val="18"/>
          <w:szCs w:val="18"/>
          <w:lang w:val="es-ES_tradnl"/>
        </w:rPr>
        <w:t xml:space="preserve">blica de inconstitucionalidad </w:t>
      </w:r>
      <w:r>
        <w:rPr>
          <w:spacing w:val="-6"/>
          <w:sz w:val="18"/>
          <w:szCs w:val="18"/>
          <w:lang w:val="es-ES_tradnl"/>
        </w:rPr>
        <w:t xml:space="preserve">y en consecuencia declarar la inconstitucionalidad </w:t>
      </w:r>
      <w:r>
        <w:rPr>
          <w:spacing w:val="-2"/>
          <w:sz w:val="18"/>
          <w:szCs w:val="18"/>
          <w:lang w:val="es-ES_tradnl"/>
        </w:rPr>
        <w:t>de los art</w:t>
      </w:r>
      <w:r>
        <w:rPr>
          <w:rFonts w:cs="Times New Roman"/>
          <w:spacing w:val="-2"/>
          <w:sz w:val="18"/>
          <w:szCs w:val="18"/>
          <w:lang w:val="es-ES_tradnl"/>
        </w:rPr>
        <w:t>í</w:t>
      </w:r>
      <w:r>
        <w:rPr>
          <w:spacing w:val="-2"/>
          <w:sz w:val="18"/>
          <w:szCs w:val="18"/>
          <w:lang w:val="es-ES_tradnl"/>
        </w:rPr>
        <w:t xml:space="preserve">culos 2 y 18 de la ordenanza emitida </w:t>
      </w:r>
      <w:r>
        <w:rPr>
          <w:spacing w:val="-4"/>
          <w:sz w:val="18"/>
          <w:szCs w:val="18"/>
          <w:lang w:val="es-ES_tradnl"/>
        </w:rPr>
        <w:t xml:space="preserve">por el GAD municipal de Chone, publicada en el </w:t>
      </w:r>
      <w:r>
        <w:rPr>
          <w:spacing w:val="-2"/>
          <w:sz w:val="18"/>
          <w:szCs w:val="18"/>
          <w:lang w:val="es-ES_tradnl"/>
        </w:rPr>
        <w:t>suplemento del Registro Oficial N.</w:t>
      </w:r>
      <w:r>
        <w:rPr>
          <w:rFonts w:cs="Times New Roman"/>
          <w:spacing w:val="-2"/>
          <w:sz w:val="18"/>
          <w:szCs w:val="18"/>
          <w:lang w:val="es-ES_tradnl"/>
        </w:rPr>
        <w:t>º</w:t>
      </w:r>
      <w:r>
        <w:rPr>
          <w:spacing w:val="-2"/>
          <w:sz w:val="18"/>
          <w:szCs w:val="18"/>
          <w:lang w:val="es-ES_tradnl"/>
        </w:rPr>
        <w:t xml:space="preserve"> 277 del 27 </w:t>
      </w:r>
      <w:r>
        <w:rPr>
          <w:spacing w:val="-1"/>
          <w:sz w:val="18"/>
          <w:szCs w:val="18"/>
          <w:lang w:val="es-ES_tradnl"/>
        </w:rPr>
        <w:t xml:space="preserve">de junio de 2014; de las frases </w:t>
      </w:r>
      <w:r>
        <w:rPr>
          <w:rFonts w:cs="Times New Roman"/>
          <w:spacing w:val="-1"/>
          <w:sz w:val="18"/>
          <w:szCs w:val="18"/>
          <w:lang w:val="es-ES_tradnl"/>
        </w:rPr>
        <w:t>“</w:t>
      </w:r>
      <w:r>
        <w:rPr>
          <w:spacing w:val="-1"/>
          <w:sz w:val="18"/>
          <w:szCs w:val="18"/>
          <w:lang w:val="es-ES_tradnl"/>
        </w:rPr>
        <w:t>espacio a</w:t>
      </w:r>
      <w:r>
        <w:rPr>
          <w:rFonts w:cs="Times New Roman"/>
          <w:spacing w:val="-1"/>
          <w:sz w:val="18"/>
          <w:szCs w:val="18"/>
          <w:lang w:val="es-ES_tradnl"/>
        </w:rPr>
        <w:t>é</w:t>
      </w:r>
      <w:r>
        <w:rPr>
          <w:spacing w:val="-1"/>
          <w:sz w:val="18"/>
          <w:szCs w:val="18"/>
          <w:lang w:val="es-ES_tradnl"/>
        </w:rPr>
        <w:t>reo</w:t>
      </w:r>
      <w:r>
        <w:rPr>
          <w:rFonts w:cs="Times New Roman"/>
          <w:spacing w:val="-1"/>
          <w:sz w:val="18"/>
          <w:szCs w:val="18"/>
          <w:lang w:val="es-ES_tradnl"/>
        </w:rPr>
        <w:t xml:space="preserve">” </w:t>
      </w:r>
      <w:r>
        <w:rPr>
          <w:spacing w:val="-3"/>
          <w:sz w:val="18"/>
          <w:szCs w:val="18"/>
          <w:lang w:val="es-ES_tradnl"/>
        </w:rPr>
        <w:t xml:space="preserve">y </w:t>
      </w:r>
      <w:r>
        <w:rPr>
          <w:rFonts w:cs="Times New Roman"/>
          <w:spacing w:val="-3"/>
          <w:sz w:val="18"/>
          <w:szCs w:val="18"/>
          <w:lang w:val="es-ES_tradnl"/>
        </w:rPr>
        <w:t>“</w:t>
      </w:r>
      <w:r>
        <w:rPr>
          <w:spacing w:val="-3"/>
          <w:sz w:val="18"/>
          <w:szCs w:val="18"/>
          <w:lang w:val="es-ES_tradnl"/>
        </w:rPr>
        <w:t>subsuelo</w:t>
      </w:r>
      <w:r>
        <w:rPr>
          <w:rFonts w:cs="Times New Roman"/>
          <w:spacing w:val="-3"/>
          <w:sz w:val="18"/>
          <w:szCs w:val="18"/>
          <w:lang w:val="es-ES_tradnl"/>
        </w:rPr>
        <w:t>”</w:t>
      </w:r>
      <w:r>
        <w:rPr>
          <w:spacing w:val="-3"/>
          <w:sz w:val="18"/>
          <w:szCs w:val="18"/>
          <w:lang w:val="es-ES_tradnl"/>
        </w:rPr>
        <w:t xml:space="preserve"> en el art</w:t>
      </w:r>
      <w:r>
        <w:rPr>
          <w:rFonts w:cs="Times New Roman"/>
          <w:spacing w:val="-3"/>
          <w:sz w:val="18"/>
          <w:szCs w:val="18"/>
          <w:lang w:val="es-ES_tradnl"/>
        </w:rPr>
        <w:t>í</w:t>
      </w:r>
      <w:r>
        <w:rPr>
          <w:spacing w:val="-3"/>
          <w:sz w:val="18"/>
          <w:szCs w:val="18"/>
          <w:lang w:val="es-ES_tradnl"/>
        </w:rPr>
        <w:t xml:space="preserve">culo 1, y de las frases </w:t>
      </w:r>
      <w:r>
        <w:rPr>
          <w:rFonts w:cs="Times New Roman"/>
          <w:spacing w:val="-3"/>
          <w:sz w:val="18"/>
          <w:szCs w:val="18"/>
          <w:lang w:val="es-ES_tradnl"/>
        </w:rPr>
        <w:t>“</w:t>
      </w:r>
      <w:r>
        <w:rPr>
          <w:spacing w:val="-3"/>
          <w:sz w:val="18"/>
          <w:szCs w:val="18"/>
          <w:lang w:val="es-ES_tradnl"/>
        </w:rPr>
        <w:t>subsuelo</w:t>
      </w:r>
      <w:r>
        <w:rPr>
          <w:rFonts w:cs="Times New Roman"/>
          <w:spacing w:val="-3"/>
          <w:sz w:val="18"/>
          <w:szCs w:val="18"/>
          <w:lang w:val="es-ES_tradnl"/>
        </w:rPr>
        <w:t>”</w:t>
      </w:r>
      <w:r>
        <w:rPr>
          <w:spacing w:val="-3"/>
          <w:sz w:val="18"/>
          <w:szCs w:val="18"/>
          <w:lang w:val="es-ES_tradnl"/>
        </w:rPr>
        <w:t xml:space="preserve"> y </w:t>
      </w:r>
      <w:r>
        <w:rPr>
          <w:rFonts w:cs="Times New Roman"/>
          <w:spacing w:val="-3"/>
          <w:sz w:val="18"/>
          <w:szCs w:val="18"/>
          <w:lang w:val="es-ES_tradnl"/>
        </w:rPr>
        <w:t>“</w:t>
      </w:r>
      <w:r>
        <w:rPr>
          <w:spacing w:val="-3"/>
          <w:sz w:val="18"/>
          <w:szCs w:val="18"/>
          <w:lang w:val="es-ES_tradnl"/>
        </w:rPr>
        <w:t>espacio a</w:t>
      </w:r>
      <w:r>
        <w:rPr>
          <w:rFonts w:cs="Times New Roman"/>
          <w:spacing w:val="-3"/>
          <w:sz w:val="18"/>
          <w:szCs w:val="18"/>
          <w:lang w:val="es-ES_tradnl"/>
        </w:rPr>
        <w:t>é</w:t>
      </w:r>
      <w:r>
        <w:rPr>
          <w:spacing w:val="-3"/>
          <w:sz w:val="18"/>
          <w:szCs w:val="18"/>
          <w:lang w:val="es-ES_tradnl"/>
        </w:rPr>
        <w:t>reo</w:t>
      </w:r>
      <w:r>
        <w:rPr>
          <w:rFonts w:cs="Times New Roman"/>
          <w:spacing w:val="-3"/>
          <w:sz w:val="18"/>
          <w:szCs w:val="18"/>
          <w:lang w:val="es-ES_tradnl"/>
        </w:rPr>
        <w:t>”</w:t>
      </w:r>
      <w:r>
        <w:rPr>
          <w:spacing w:val="-3"/>
          <w:sz w:val="18"/>
          <w:szCs w:val="18"/>
          <w:lang w:val="es-ES_tradnl"/>
        </w:rPr>
        <w:t xml:space="preserve"> en el primer inciso del art</w:t>
      </w:r>
      <w:r>
        <w:rPr>
          <w:rFonts w:cs="Times New Roman"/>
          <w:spacing w:val="-3"/>
          <w:sz w:val="18"/>
          <w:szCs w:val="18"/>
          <w:lang w:val="es-ES_tradnl"/>
        </w:rPr>
        <w:t>í</w:t>
      </w:r>
      <w:r>
        <w:rPr>
          <w:spacing w:val="-3"/>
          <w:sz w:val="18"/>
          <w:szCs w:val="18"/>
          <w:lang w:val="es-ES_tradnl"/>
        </w:rPr>
        <w:t>culo 3; por tanto, los referidos art</w:t>
      </w:r>
      <w:r>
        <w:rPr>
          <w:rFonts w:cs="Times New Roman"/>
          <w:spacing w:val="-3"/>
          <w:sz w:val="18"/>
          <w:szCs w:val="18"/>
          <w:lang w:val="es-ES_tradnl"/>
        </w:rPr>
        <w:t>í</w:t>
      </w:r>
      <w:r>
        <w:rPr>
          <w:spacing w:val="-3"/>
          <w:sz w:val="18"/>
          <w:szCs w:val="18"/>
          <w:lang w:val="es-ES_tradnl"/>
        </w:rPr>
        <w:t xml:space="preserve">culos </w:t>
      </w:r>
      <w:r>
        <w:rPr>
          <w:sz w:val="18"/>
          <w:szCs w:val="18"/>
          <w:lang w:val="es-ES_tradnl"/>
        </w:rPr>
        <w:t>constar</w:t>
      </w:r>
      <w:r>
        <w:rPr>
          <w:rFonts w:cs="Times New Roman"/>
          <w:sz w:val="18"/>
          <w:szCs w:val="18"/>
          <w:lang w:val="es-ES_tradnl"/>
        </w:rPr>
        <w:t>á</w:t>
      </w:r>
      <w:r>
        <w:rPr>
          <w:sz w:val="18"/>
          <w:szCs w:val="18"/>
          <w:lang w:val="es-ES_tradnl"/>
        </w:rPr>
        <w:t>n de la siguiente manera:</w:t>
      </w:r>
    </w:p>
    <w:p w14:paraId="4F67A68E" w14:textId="77777777" w:rsidR="00591D54" w:rsidRDefault="00591D54">
      <w:pPr>
        <w:shd w:val="clear" w:color="auto" w:fill="FFFFFF"/>
        <w:spacing w:before="202" w:line="226" w:lineRule="exact"/>
        <w:ind w:left="566"/>
      </w:pPr>
      <w:r>
        <w:rPr>
          <w:sz w:val="18"/>
          <w:szCs w:val="18"/>
          <w:lang w:val="es-ES_tradnl"/>
        </w:rPr>
        <w:t xml:space="preserve">Art. 1. Objeto y </w:t>
      </w:r>
      <w:r>
        <w:rPr>
          <w:rFonts w:cs="Times New Roman"/>
          <w:sz w:val="18"/>
          <w:szCs w:val="18"/>
          <w:lang w:val="es-ES_tradnl"/>
        </w:rPr>
        <w:t>Á</w:t>
      </w:r>
      <w:r>
        <w:rPr>
          <w:sz w:val="18"/>
          <w:szCs w:val="18"/>
          <w:lang w:val="es-ES_tradnl"/>
        </w:rPr>
        <w:t>mbito de Aplicaci</w:t>
      </w:r>
      <w:r>
        <w:rPr>
          <w:rFonts w:cs="Times New Roman"/>
          <w:sz w:val="18"/>
          <w:szCs w:val="18"/>
          <w:lang w:val="es-ES_tradnl"/>
        </w:rPr>
        <w:t>ó</w:t>
      </w:r>
      <w:r>
        <w:rPr>
          <w:sz w:val="18"/>
          <w:szCs w:val="18"/>
          <w:lang w:val="es-ES_tradnl"/>
        </w:rPr>
        <w:t>n.- Esta ordenanza tiene por objeto regular, controlar y</w:t>
      </w:r>
    </w:p>
    <w:p w14:paraId="4F67A68F" w14:textId="77777777" w:rsidR="00591D54" w:rsidRDefault="00591D54">
      <w:pPr>
        <w:shd w:val="clear" w:color="auto" w:fill="FFFFFF"/>
        <w:spacing w:line="216" w:lineRule="exact"/>
        <w:ind w:left="283"/>
        <w:jc w:val="both"/>
      </w:pPr>
      <w:r>
        <w:br w:type="column"/>
      </w:r>
      <w:r>
        <w:rPr>
          <w:spacing w:val="-2"/>
          <w:sz w:val="18"/>
          <w:szCs w:val="18"/>
          <w:lang w:val="es-ES_tradnl"/>
        </w:rPr>
        <w:t>sancionar por la implantaci</w:t>
      </w:r>
      <w:r>
        <w:rPr>
          <w:rFonts w:cs="Times New Roman"/>
          <w:spacing w:val="-2"/>
          <w:sz w:val="18"/>
          <w:szCs w:val="18"/>
          <w:lang w:val="es-ES_tradnl"/>
        </w:rPr>
        <w:t>ó</w:t>
      </w:r>
      <w:r>
        <w:rPr>
          <w:spacing w:val="-2"/>
          <w:sz w:val="18"/>
          <w:szCs w:val="18"/>
          <w:lang w:val="es-ES_tradnl"/>
        </w:rPr>
        <w:t xml:space="preserve">n de estructuras, </w:t>
      </w:r>
      <w:r>
        <w:rPr>
          <w:spacing w:val="-7"/>
          <w:sz w:val="18"/>
          <w:szCs w:val="18"/>
          <w:lang w:val="es-ES_tradnl"/>
        </w:rPr>
        <w:t>postes, y tendidos de redes; adem</w:t>
      </w:r>
      <w:r>
        <w:rPr>
          <w:rFonts w:cs="Times New Roman"/>
          <w:spacing w:val="-7"/>
          <w:sz w:val="18"/>
          <w:szCs w:val="18"/>
          <w:lang w:val="es-ES_tradnl"/>
        </w:rPr>
        <w:t>á</w:t>
      </w:r>
      <w:r>
        <w:rPr>
          <w:spacing w:val="-7"/>
          <w:sz w:val="18"/>
          <w:szCs w:val="18"/>
          <w:lang w:val="es-ES_tradnl"/>
        </w:rPr>
        <w:t>s de la fijaci</w:t>
      </w:r>
      <w:r>
        <w:rPr>
          <w:rFonts w:cs="Times New Roman"/>
          <w:spacing w:val="-7"/>
          <w:sz w:val="18"/>
          <w:szCs w:val="18"/>
          <w:lang w:val="es-ES_tradnl"/>
        </w:rPr>
        <w:t>ó</w:t>
      </w:r>
      <w:r>
        <w:rPr>
          <w:spacing w:val="-7"/>
          <w:sz w:val="18"/>
          <w:szCs w:val="18"/>
          <w:lang w:val="es-ES_tradnl"/>
        </w:rPr>
        <w:t xml:space="preserve">n </w:t>
      </w:r>
      <w:r>
        <w:rPr>
          <w:spacing w:val="-1"/>
          <w:sz w:val="18"/>
          <w:szCs w:val="18"/>
          <w:lang w:val="es-ES_tradnl"/>
        </w:rPr>
        <w:t>de las tasas correspondientes por la utilizaci</w:t>
      </w:r>
      <w:r>
        <w:rPr>
          <w:rFonts w:cs="Times New Roman"/>
          <w:spacing w:val="-1"/>
          <w:sz w:val="18"/>
          <w:szCs w:val="18"/>
          <w:lang w:val="es-ES_tradnl"/>
        </w:rPr>
        <w:t>ó</w:t>
      </w:r>
      <w:r>
        <w:rPr>
          <w:spacing w:val="-1"/>
          <w:sz w:val="18"/>
          <w:szCs w:val="18"/>
          <w:lang w:val="es-ES_tradnl"/>
        </w:rPr>
        <w:t xml:space="preserve">n </w:t>
      </w:r>
      <w:r>
        <w:rPr>
          <w:spacing w:val="-4"/>
          <w:sz w:val="18"/>
          <w:szCs w:val="18"/>
          <w:lang w:val="es-ES_tradnl"/>
        </w:rPr>
        <w:t>u ocupaci</w:t>
      </w:r>
      <w:r>
        <w:rPr>
          <w:rFonts w:cs="Times New Roman"/>
          <w:spacing w:val="-4"/>
          <w:sz w:val="18"/>
          <w:szCs w:val="18"/>
          <w:lang w:val="es-ES_tradnl"/>
        </w:rPr>
        <w:t>ó</w:t>
      </w:r>
      <w:r>
        <w:rPr>
          <w:spacing w:val="-4"/>
          <w:sz w:val="18"/>
          <w:szCs w:val="18"/>
          <w:lang w:val="es-ES_tradnl"/>
        </w:rPr>
        <w:t>n del suelo en el Cant</w:t>
      </w:r>
      <w:r>
        <w:rPr>
          <w:rFonts w:cs="Times New Roman"/>
          <w:spacing w:val="-4"/>
          <w:sz w:val="18"/>
          <w:szCs w:val="18"/>
          <w:lang w:val="es-ES_tradnl"/>
        </w:rPr>
        <w:t>ó</w:t>
      </w:r>
      <w:r>
        <w:rPr>
          <w:spacing w:val="-4"/>
          <w:sz w:val="18"/>
          <w:szCs w:val="18"/>
          <w:lang w:val="es-ES_tradnl"/>
        </w:rPr>
        <w:t xml:space="preserve">n Chone, a fin </w:t>
      </w:r>
      <w:r>
        <w:rPr>
          <w:spacing w:val="-1"/>
          <w:sz w:val="18"/>
          <w:szCs w:val="18"/>
          <w:lang w:val="es-ES_tradnl"/>
        </w:rPr>
        <w:t>de cumplir con las condiciones de zonificaci</w:t>
      </w:r>
      <w:r>
        <w:rPr>
          <w:rFonts w:cs="Times New Roman"/>
          <w:spacing w:val="-1"/>
          <w:sz w:val="18"/>
          <w:szCs w:val="18"/>
          <w:lang w:val="es-ES_tradnl"/>
        </w:rPr>
        <w:t>ó</w:t>
      </w:r>
      <w:r>
        <w:rPr>
          <w:spacing w:val="-1"/>
          <w:sz w:val="18"/>
          <w:szCs w:val="18"/>
          <w:lang w:val="es-ES_tradnl"/>
        </w:rPr>
        <w:t xml:space="preserve">n </w:t>
      </w:r>
      <w:r>
        <w:rPr>
          <w:spacing w:val="-5"/>
          <w:sz w:val="18"/>
          <w:szCs w:val="18"/>
          <w:lang w:val="es-ES_tradnl"/>
        </w:rPr>
        <w:t>y reducci</w:t>
      </w:r>
      <w:r>
        <w:rPr>
          <w:rFonts w:cs="Times New Roman"/>
          <w:spacing w:val="-5"/>
          <w:sz w:val="18"/>
          <w:szCs w:val="18"/>
          <w:lang w:val="es-ES_tradnl"/>
        </w:rPr>
        <w:t>ó</w:t>
      </w:r>
      <w:r>
        <w:rPr>
          <w:spacing w:val="-5"/>
          <w:sz w:val="18"/>
          <w:szCs w:val="18"/>
          <w:lang w:val="es-ES_tradnl"/>
        </w:rPr>
        <w:t xml:space="preserve">n del impacto ambiental, sujetos a las </w:t>
      </w:r>
      <w:r>
        <w:rPr>
          <w:spacing w:val="-9"/>
          <w:sz w:val="18"/>
          <w:szCs w:val="18"/>
          <w:lang w:val="es-ES_tradnl"/>
        </w:rPr>
        <w:t>determinaciones de las leyes, ordenanzas y dem</w:t>
      </w:r>
      <w:r>
        <w:rPr>
          <w:rFonts w:cs="Times New Roman"/>
          <w:spacing w:val="-9"/>
          <w:sz w:val="18"/>
          <w:szCs w:val="18"/>
          <w:lang w:val="es-ES_tradnl"/>
        </w:rPr>
        <w:t>á</w:t>
      </w:r>
      <w:r>
        <w:rPr>
          <w:spacing w:val="-9"/>
          <w:sz w:val="18"/>
          <w:szCs w:val="18"/>
          <w:lang w:val="es-ES_tradnl"/>
        </w:rPr>
        <w:t xml:space="preserve">s </w:t>
      </w:r>
      <w:r>
        <w:rPr>
          <w:sz w:val="18"/>
          <w:szCs w:val="18"/>
          <w:lang w:val="es-ES_tradnl"/>
        </w:rPr>
        <w:t>normativas vigentes.</w:t>
      </w:r>
    </w:p>
    <w:p w14:paraId="4F67A690" w14:textId="77777777" w:rsidR="00591D54" w:rsidRDefault="00591D54">
      <w:pPr>
        <w:shd w:val="clear" w:color="auto" w:fill="FFFFFF"/>
        <w:spacing w:before="197" w:line="221" w:lineRule="exact"/>
        <w:ind w:left="283" w:right="5"/>
        <w:jc w:val="both"/>
      </w:pPr>
      <w:r>
        <w:rPr>
          <w:spacing w:val="-2"/>
          <w:sz w:val="18"/>
          <w:szCs w:val="18"/>
          <w:lang w:val="es-ES_tradnl"/>
        </w:rPr>
        <w:t>Art. 3. Condiciones Generales de Implantaci</w:t>
      </w:r>
      <w:r>
        <w:rPr>
          <w:rFonts w:cs="Times New Roman"/>
          <w:spacing w:val="-2"/>
          <w:sz w:val="18"/>
          <w:szCs w:val="18"/>
          <w:lang w:val="es-ES_tradnl"/>
        </w:rPr>
        <w:t>ó</w:t>
      </w:r>
      <w:r>
        <w:rPr>
          <w:spacing w:val="-2"/>
          <w:sz w:val="18"/>
          <w:szCs w:val="18"/>
          <w:lang w:val="es-ES_tradnl"/>
        </w:rPr>
        <w:t xml:space="preserve">n </w:t>
      </w:r>
      <w:r>
        <w:rPr>
          <w:spacing w:val="-6"/>
          <w:sz w:val="18"/>
          <w:szCs w:val="18"/>
          <w:lang w:val="es-ES_tradnl"/>
        </w:rPr>
        <w:t xml:space="preserve">de Estructuras Fijas de Soportes de Antenas </w:t>
      </w:r>
      <w:r>
        <w:rPr>
          <w:sz w:val="18"/>
          <w:szCs w:val="18"/>
          <w:lang w:val="es-ES_tradnl"/>
        </w:rPr>
        <w:t>comerciales.</w:t>
      </w:r>
    </w:p>
    <w:p w14:paraId="4F67A691" w14:textId="77777777" w:rsidR="00591D54" w:rsidRDefault="00591D54">
      <w:pPr>
        <w:shd w:val="clear" w:color="auto" w:fill="FFFFFF"/>
        <w:spacing w:before="197" w:line="221" w:lineRule="exact"/>
        <w:ind w:left="283"/>
        <w:jc w:val="both"/>
      </w:pPr>
      <w:r>
        <w:rPr>
          <w:spacing w:val="-8"/>
          <w:sz w:val="18"/>
          <w:szCs w:val="18"/>
          <w:lang w:val="es-ES_tradnl"/>
        </w:rPr>
        <w:t>La implantaci</w:t>
      </w:r>
      <w:r>
        <w:rPr>
          <w:rFonts w:cs="Times New Roman"/>
          <w:spacing w:val="-8"/>
          <w:sz w:val="18"/>
          <w:szCs w:val="18"/>
          <w:lang w:val="es-ES_tradnl"/>
        </w:rPr>
        <w:t>ó</w:t>
      </w:r>
      <w:r>
        <w:rPr>
          <w:spacing w:val="-8"/>
          <w:sz w:val="18"/>
          <w:szCs w:val="18"/>
          <w:lang w:val="es-ES_tradnl"/>
        </w:rPr>
        <w:t xml:space="preserve">n de estructuras fijas de soportes de </w:t>
      </w:r>
      <w:r>
        <w:rPr>
          <w:spacing w:val="-10"/>
          <w:sz w:val="18"/>
          <w:szCs w:val="18"/>
          <w:lang w:val="es-ES_tradnl"/>
        </w:rPr>
        <w:t>antenas para la prestaci</w:t>
      </w:r>
      <w:r>
        <w:rPr>
          <w:rFonts w:cs="Times New Roman"/>
          <w:spacing w:val="-10"/>
          <w:sz w:val="18"/>
          <w:szCs w:val="18"/>
          <w:lang w:val="es-ES_tradnl"/>
        </w:rPr>
        <w:t>ó</w:t>
      </w:r>
      <w:r>
        <w:rPr>
          <w:spacing w:val="-10"/>
          <w:sz w:val="18"/>
          <w:szCs w:val="18"/>
          <w:lang w:val="es-ES_tradnl"/>
        </w:rPr>
        <w:t xml:space="preserve">n de servicios comerciales, </w:t>
      </w:r>
      <w:r>
        <w:rPr>
          <w:sz w:val="18"/>
          <w:szCs w:val="18"/>
          <w:lang w:val="es-ES_tradnl"/>
        </w:rPr>
        <w:t>cumplir</w:t>
      </w:r>
      <w:r>
        <w:rPr>
          <w:rFonts w:cs="Times New Roman"/>
          <w:sz w:val="18"/>
          <w:szCs w:val="18"/>
          <w:lang w:val="es-ES_tradnl"/>
        </w:rPr>
        <w:t>á</w:t>
      </w:r>
      <w:r>
        <w:rPr>
          <w:sz w:val="18"/>
          <w:szCs w:val="18"/>
          <w:lang w:val="es-ES_tradnl"/>
        </w:rPr>
        <w:t xml:space="preserve"> con el servicio de zonificaci</w:t>
      </w:r>
      <w:r>
        <w:rPr>
          <w:rFonts w:cs="Times New Roman"/>
          <w:sz w:val="18"/>
          <w:szCs w:val="18"/>
          <w:lang w:val="es-ES_tradnl"/>
        </w:rPr>
        <w:t>ó</w:t>
      </w:r>
      <w:r>
        <w:rPr>
          <w:sz w:val="18"/>
          <w:szCs w:val="18"/>
          <w:lang w:val="es-ES_tradnl"/>
        </w:rPr>
        <w:t xml:space="preserve">n, uso </w:t>
      </w:r>
      <w:r>
        <w:rPr>
          <w:spacing w:val="-3"/>
          <w:sz w:val="18"/>
          <w:szCs w:val="18"/>
          <w:lang w:val="es-ES_tradnl"/>
        </w:rPr>
        <w:t>y ocupaci</w:t>
      </w:r>
      <w:r>
        <w:rPr>
          <w:rFonts w:cs="Times New Roman"/>
          <w:spacing w:val="-3"/>
          <w:sz w:val="18"/>
          <w:szCs w:val="18"/>
          <w:lang w:val="es-ES_tradnl"/>
        </w:rPr>
        <w:t>ó</w:t>
      </w:r>
      <w:r>
        <w:rPr>
          <w:spacing w:val="-3"/>
          <w:sz w:val="18"/>
          <w:szCs w:val="18"/>
          <w:lang w:val="es-ES_tradnl"/>
        </w:rPr>
        <w:t xml:space="preserve">n del suelo y sus relaciones de </w:t>
      </w:r>
      <w:r>
        <w:rPr>
          <w:spacing w:val="-4"/>
          <w:sz w:val="18"/>
          <w:szCs w:val="18"/>
          <w:lang w:val="es-ES_tradnl"/>
        </w:rPr>
        <w:t xml:space="preserve">compatibilidad con la ordenanza que reglamenta </w:t>
      </w:r>
      <w:r>
        <w:rPr>
          <w:spacing w:val="-6"/>
          <w:sz w:val="18"/>
          <w:szCs w:val="18"/>
          <w:lang w:val="es-ES_tradnl"/>
        </w:rPr>
        <w:t>el uso del suelo, as</w:t>
      </w:r>
      <w:r>
        <w:rPr>
          <w:rFonts w:cs="Times New Roman"/>
          <w:spacing w:val="-6"/>
          <w:sz w:val="18"/>
          <w:szCs w:val="18"/>
          <w:lang w:val="es-ES_tradnl"/>
        </w:rPr>
        <w:t>í</w:t>
      </w:r>
      <w:r>
        <w:rPr>
          <w:spacing w:val="-6"/>
          <w:sz w:val="18"/>
          <w:szCs w:val="18"/>
          <w:lang w:val="es-ES_tradnl"/>
        </w:rPr>
        <w:t xml:space="preserve"> como con las condiciones </w:t>
      </w:r>
      <w:r>
        <w:rPr>
          <w:sz w:val="18"/>
          <w:szCs w:val="18"/>
          <w:lang w:val="es-ES_tradnl"/>
        </w:rPr>
        <w:t>generales.</w:t>
      </w:r>
    </w:p>
    <w:p w14:paraId="4F67A692" w14:textId="77777777" w:rsidR="00591D54" w:rsidRDefault="00591D54">
      <w:pPr>
        <w:shd w:val="clear" w:color="auto" w:fill="FFFFFF"/>
        <w:spacing w:before="202" w:line="221" w:lineRule="exact"/>
        <w:ind w:left="283" w:right="5"/>
        <w:jc w:val="both"/>
      </w:pPr>
      <w:r>
        <w:rPr>
          <w:spacing w:val="-2"/>
          <w:sz w:val="18"/>
          <w:szCs w:val="18"/>
          <w:lang w:val="es-ES_tradnl"/>
        </w:rPr>
        <w:t>Deber</w:t>
      </w:r>
      <w:r>
        <w:rPr>
          <w:rFonts w:cs="Times New Roman"/>
          <w:spacing w:val="-2"/>
          <w:sz w:val="18"/>
          <w:szCs w:val="18"/>
          <w:lang w:val="es-ES_tradnl"/>
        </w:rPr>
        <w:t>á</w:t>
      </w:r>
      <w:r>
        <w:rPr>
          <w:spacing w:val="-2"/>
          <w:sz w:val="18"/>
          <w:szCs w:val="18"/>
          <w:lang w:val="es-ES_tradnl"/>
        </w:rPr>
        <w:t xml:space="preserve">n integrarse al entorno circundante, </w:t>
      </w:r>
      <w:r>
        <w:rPr>
          <w:sz w:val="18"/>
          <w:szCs w:val="18"/>
          <w:lang w:val="es-ES_tradnl"/>
        </w:rPr>
        <w:t>adoptando las medidas de proporci</w:t>
      </w:r>
      <w:r>
        <w:rPr>
          <w:rFonts w:cs="Times New Roman"/>
          <w:sz w:val="18"/>
          <w:szCs w:val="18"/>
          <w:lang w:val="es-ES_tradnl"/>
        </w:rPr>
        <w:t>ó</w:t>
      </w:r>
      <w:r>
        <w:rPr>
          <w:sz w:val="18"/>
          <w:szCs w:val="18"/>
          <w:lang w:val="es-ES_tradnl"/>
        </w:rPr>
        <w:t>n y mimetizaci</w:t>
      </w:r>
      <w:r>
        <w:rPr>
          <w:rFonts w:cs="Times New Roman"/>
          <w:sz w:val="18"/>
          <w:szCs w:val="18"/>
          <w:lang w:val="es-ES_tradnl"/>
        </w:rPr>
        <w:t>ó</w:t>
      </w:r>
      <w:r>
        <w:rPr>
          <w:sz w:val="18"/>
          <w:szCs w:val="18"/>
          <w:lang w:val="es-ES_tradnl"/>
        </w:rPr>
        <w:t>n necesarias.</w:t>
      </w:r>
    </w:p>
    <w:p w14:paraId="4F67A693" w14:textId="77777777" w:rsidR="00591D54" w:rsidRDefault="00591D54">
      <w:pPr>
        <w:shd w:val="clear" w:color="auto" w:fill="FFFFFF"/>
        <w:spacing w:before="202" w:line="221" w:lineRule="exact"/>
        <w:ind w:left="283"/>
        <w:jc w:val="both"/>
      </w:pPr>
      <w:r>
        <w:rPr>
          <w:spacing w:val="-6"/>
          <w:sz w:val="18"/>
          <w:szCs w:val="18"/>
          <w:lang w:val="es-ES_tradnl"/>
        </w:rPr>
        <w:t>En el momento en el que el cant</w:t>
      </w:r>
      <w:r>
        <w:rPr>
          <w:rFonts w:cs="Times New Roman"/>
          <w:spacing w:val="-6"/>
          <w:sz w:val="18"/>
          <w:szCs w:val="18"/>
          <w:lang w:val="es-ES_tradnl"/>
        </w:rPr>
        <w:t>ó</w:t>
      </w:r>
      <w:r>
        <w:rPr>
          <w:spacing w:val="-6"/>
          <w:sz w:val="18"/>
          <w:szCs w:val="18"/>
          <w:lang w:val="es-ES_tradnl"/>
        </w:rPr>
        <w:t xml:space="preserve">n Chone cuente con aeropuerto, conforme la normativa vigente, el </w:t>
      </w:r>
      <w:r>
        <w:rPr>
          <w:spacing w:val="-7"/>
          <w:sz w:val="18"/>
          <w:szCs w:val="18"/>
          <w:lang w:val="es-ES_tradnl"/>
        </w:rPr>
        <w:t>prestador del servicio comercial deber</w:t>
      </w:r>
      <w:r>
        <w:rPr>
          <w:rFonts w:cs="Times New Roman"/>
          <w:spacing w:val="-7"/>
          <w:sz w:val="18"/>
          <w:szCs w:val="18"/>
          <w:lang w:val="es-ES_tradnl"/>
        </w:rPr>
        <w:t>á</w:t>
      </w:r>
      <w:r>
        <w:rPr>
          <w:spacing w:val="-7"/>
          <w:sz w:val="18"/>
          <w:szCs w:val="18"/>
          <w:lang w:val="es-ES_tradnl"/>
        </w:rPr>
        <w:t xml:space="preserve"> contar con </w:t>
      </w:r>
      <w:r>
        <w:rPr>
          <w:spacing w:val="-3"/>
          <w:sz w:val="18"/>
          <w:szCs w:val="18"/>
          <w:lang w:val="es-ES_tradnl"/>
        </w:rPr>
        <w:t>la autorizaci</w:t>
      </w:r>
      <w:r>
        <w:rPr>
          <w:rFonts w:cs="Times New Roman"/>
          <w:spacing w:val="-3"/>
          <w:sz w:val="18"/>
          <w:szCs w:val="18"/>
          <w:lang w:val="es-ES_tradnl"/>
        </w:rPr>
        <w:t>ó</w:t>
      </w:r>
      <w:r>
        <w:rPr>
          <w:spacing w:val="-3"/>
          <w:sz w:val="18"/>
          <w:szCs w:val="18"/>
          <w:lang w:val="es-ES_tradnl"/>
        </w:rPr>
        <w:t>n emitida por la Direcci</w:t>
      </w:r>
      <w:r>
        <w:rPr>
          <w:rFonts w:cs="Times New Roman"/>
          <w:spacing w:val="-3"/>
          <w:sz w:val="18"/>
          <w:szCs w:val="18"/>
          <w:lang w:val="es-ES_tradnl"/>
        </w:rPr>
        <w:t>ó</w:t>
      </w:r>
      <w:r>
        <w:rPr>
          <w:spacing w:val="-3"/>
          <w:sz w:val="18"/>
          <w:szCs w:val="18"/>
          <w:lang w:val="es-ES_tradnl"/>
        </w:rPr>
        <w:t xml:space="preserve">n General </w:t>
      </w:r>
      <w:r>
        <w:rPr>
          <w:sz w:val="18"/>
          <w:szCs w:val="18"/>
          <w:lang w:val="es-ES_tradnl"/>
        </w:rPr>
        <w:t>de Aviaci</w:t>
      </w:r>
      <w:r>
        <w:rPr>
          <w:rFonts w:cs="Times New Roman"/>
          <w:sz w:val="18"/>
          <w:szCs w:val="18"/>
          <w:lang w:val="es-ES_tradnl"/>
        </w:rPr>
        <w:t>ó</w:t>
      </w:r>
      <w:r>
        <w:rPr>
          <w:sz w:val="18"/>
          <w:szCs w:val="18"/>
          <w:lang w:val="es-ES_tradnl"/>
        </w:rPr>
        <w:t>n Civil.</w:t>
      </w:r>
    </w:p>
    <w:p w14:paraId="4F67A694" w14:textId="77777777" w:rsidR="00591D54" w:rsidRDefault="00591D54">
      <w:pPr>
        <w:shd w:val="clear" w:color="auto" w:fill="FFFFFF"/>
        <w:spacing w:before="197" w:line="221" w:lineRule="exact"/>
        <w:ind w:left="283" w:right="5"/>
        <w:jc w:val="both"/>
      </w:pPr>
      <w:r>
        <w:rPr>
          <w:spacing w:val="-5"/>
          <w:sz w:val="18"/>
          <w:szCs w:val="18"/>
          <w:lang w:val="es-ES_tradnl"/>
        </w:rPr>
        <w:t>Para la implantaci</w:t>
      </w:r>
      <w:r>
        <w:rPr>
          <w:rFonts w:cs="Times New Roman"/>
          <w:spacing w:val="-5"/>
          <w:sz w:val="18"/>
          <w:szCs w:val="18"/>
          <w:lang w:val="es-ES_tradnl"/>
        </w:rPr>
        <w:t>ó</w:t>
      </w:r>
      <w:r>
        <w:rPr>
          <w:spacing w:val="-5"/>
          <w:sz w:val="18"/>
          <w:szCs w:val="18"/>
          <w:lang w:val="es-ES_tradnl"/>
        </w:rPr>
        <w:t xml:space="preserve">n dentro del Sistema Nacional </w:t>
      </w:r>
      <w:r>
        <w:rPr>
          <w:spacing w:val="-8"/>
          <w:sz w:val="18"/>
          <w:szCs w:val="18"/>
          <w:lang w:val="es-ES_tradnl"/>
        </w:rPr>
        <w:t xml:space="preserve">de </w:t>
      </w:r>
      <w:r>
        <w:rPr>
          <w:rFonts w:cs="Times New Roman"/>
          <w:spacing w:val="-8"/>
          <w:sz w:val="18"/>
          <w:szCs w:val="18"/>
          <w:lang w:val="es-ES_tradnl"/>
        </w:rPr>
        <w:t>Á</w:t>
      </w:r>
      <w:r>
        <w:rPr>
          <w:spacing w:val="-8"/>
          <w:sz w:val="18"/>
          <w:szCs w:val="18"/>
          <w:lang w:val="es-ES_tradnl"/>
        </w:rPr>
        <w:t xml:space="preserve">reas Protegidas (SNAP), Bosques Protectores </w:t>
      </w:r>
      <w:r>
        <w:rPr>
          <w:sz w:val="18"/>
          <w:szCs w:val="18"/>
          <w:lang w:val="es-ES_tradnl"/>
        </w:rPr>
        <w:t>(BP) o Patrimonios Forestal del Estado (PFE), el prestador de servicio deber</w:t>
      </w:r>
      <w:r>
        <w:rPr>
          <w:rFonts w:cs="Times New Roman"/>
          <w:sz w:val="18"/>
          <w:szCs w:val="18"/>
          <w:lang w:val="es-ES_tradnl"/>
        </w:rPr>
        <w:t>á</w:t>
      </w:r>
      <w:r>
        <w:rPr>
          <w:sz w:val="18"/>
          <w:szCs w:val="18"/>
          <w:lang w:val="es-ES_tradnl"/>
        </w:rPr>
        <w:t xml:space="preserve"> contar con </w:t>
      </w:r>
      <w:r>
        <w:rPr>
          <w:spacing w:val="-2"/>
          <w:sz w:val="18"/>
          <w:szCs w:val="18"/>
          <w:lang w:val="es-ES_tradnl"/>
        </w:rPr>
        <w:t xml:space="preserve">el pronunciamiento favorable emitido por el </w:t>
      </w:r>
      <w:r>
        <w:rPr>
          <w:sz w:val="18"/>
          <w:szCs w:val="18"/>
          <w:lang w:val="es-ES_tradnl"/>
        </w:rPr>
        <w:t>Ministerio del Ambiente;</w:t>
      </w:r>
    </w:p>
    <w:p w14:paraId="4F67A695" w14:textId="77777777" w:rsidR="00591D54" w:rsidRDefault="00591D54">
      <w:pPr>
        <w:shd w:val="clear" w:color="auto" w:fill="FFFFFF"/>
        <w:spacing w:before="197" w:line="221" w:lineRule="exact"/>
        <w:ind w:left="283" w:right="5"/>
        <w:jc w:val="both"/>
      </w:pPr>
      <w:r>
        <w:rPr>
          <w:spacing w:val="-4"/>
          <w:sz w:val="18"/>
          <w:szCs w:val="18"/>
          <w:lang w:val="es-ES_tradnl"/>
        </w:rPr>
        <w:t>Se proh</w:t>
      </w:r>
      <w:r>
        <w:rPr>
          <w:rFonts w:cs="Times New Roman"/>
          <w:spacing w:val="-4"/>
          <w:sz w:val="18"/>
          <w:szCs w:val="18"/>
          <w:lang w:val="es-ES_tradnl"/>
        </w:rPr>
        <w:t>í</w:t>
      </w:r>
      <w:r>
        <w:rPr>
          <w:spacing w:val="-4"/>
          <w:sz w:val="18"/>
          <w:szCs w:val="18"/>
          <w:lang w:val="es-ES_tradnl"/>
        </w:rPr>
        <w:t>be su implantaci</w:t>
      </w:r>
      <w:r>
        <w:rPr>
          <w:rFonts w:cs="Times New Roman"/>
          <w:spacing w:val="-4"/>
          <w:sz w:val="18"/>
          <w:szCs w:val="18"/>
          <w:lang w:val="es-ES_tradnl"/>
        </w:rPr>
        <w:t>ó</w:t>
      </w:r>
      <w:r>
        <w:rPr>
          <w:spacing w:val="-4"/>
          <w:sz w:val="18"/>
          <w:szCs w:val="18"/>
          <w:lang w:val="es-ES_tradnl"/>
        </w:rPr>
        <w:t xml:space="preserve">n en los monumentos </w:t>
      </w:r>
      <w:r>
        <w:rPr>
          <w:spacing w:val="-2"/>
          <w:sz w:val="18"/>
          <w:szCs w:val="18"/>
          <w:lang w:val="es-ES_tradnl"/>
        </w:rPr>
        <w:t>hist</w:t>
      </w:r>
      <w:r>
        <w:rPr>
          <w:rFonts w:cs="Times New Roman"/>
          <w:spacing w:val="-2"/>
          <w:sz w:val="18"/>
          <w:szCs w:val="18"/>
          <w:lang w:val="es-ES_tradnl"/>
        </w:rPr>
        <w:t>ó</w:t>
      </w:r>
      <w:r>
        <w:rPr>
          <w:spacing w:val="-2"/>
          <w:sz w:val="18"/>
          <w:szCs w:val="18"/>
          <w:lang w:val="es-ES_tradnl"/>
        </w:rPr>
        <w:t xml:space="preserve">ricos y en los bienes que pertenece al </w:t>
      </w:r>
      <w:r>
        <w:rPr>
          <w:sz w:val="18"/>
          <w:szCs w:val="18"/>
          <w:lang w:val="es-ES_tradnl"/>
        </w:rPr>
        <w:t xml:space="preserve">Patrimonio Nacional; en </w:t>
      </w:r>
      <w:r>
        <w:rPr>
          <w:rFonts w:cs="Times New Roman"/>
          <w:sz w:val="18"/>
          <w:szCs w:val="18"/>
          <w:lang w:val="es-ES_tradnl"/>
        </w:rPr>
        <w:t>Á</w:t>
      </w:r>
      <w:r>
        <w:rPr>
          <w:sz w:val="18"/>
          <w:szCs w:val="18"/>
          <w:lang w:val="es-ES_tradnl"/>
        </w:rPr>
        <w:t xml:space="preserve">reas y Centros </w:t>
      </w:r>
      <w:r>
        <w:rPr>
          <w:spacing w:val="-4"/>
          <w:sz w:val="18"/>
          <w:szCs w:val="18"/>
          <w:lang w:val="es-ES_tradnl"/>
        </w:rPr>
        <w:t>Hist</w:t>
      </w:r>
      <w:r>
        <w:rPr>
          <w:rFonts w:cs="Times New Roman"/>
          <w:spacing w:val="-4"/>
          <w:sz w:val="18"/>
          <w:szCs w:val="18"/>
          <w:lang w:val="es-ES_tradnl"/>
        </w:rPr>
        <w:t>ó</w:t>
      </w:r>
      <w:r>
        <w:rPr>
          <w:spacing w:val="-4"/>
          <w:sz w:val="18"/>
          <w:szCs w:val="18"/>
          <w:lang w:val="es-ES_tradnl"/>
        </w:rPr>
        <w:t>ricos legalmente reconocidos, solo podr</w:t>
      </w:r>
      <w:r>
        <w:rPr>
          <w:rFonts w:cs="Times New Roman"/>
          <w:spacing w:val="-4"/>
          <w:sz w:val="18"/>
          <w:szCs w:val="18"/>
          <w:lang w:val="es-ES_tradnl"/>
        </w:rPr>
        <w:t>á</w:t>
      </w:r>
      <w:r>
        <w:rPr>
          <w:spacing w:val="-4"/>
          <w:sz w:val="18"/>
          <w:szCs w:val="18"/>
          <w:lang w:val="es-ES_tradnl"/>
        </w:rPr>
        <w:t xml:space="preserve">n </w:t>
      </w:r>
      <w:r>
        <w:rPr>
          <w:spacing w:val="-3"/>
          <w:sz w:val="18"/>
          <w:szCs w:val="18"/>
          <w:lang w:val="es-ES_tradnl"/>
        </w:rPr>
        <w:t xml:space="preserve">efectuarse implantaciones, previo, informes </w:t>
      </w:r>
      <w:r>
        <w:rPr>
          <w:spacing w:val="-4"/>
          <w:sz w:val="18"/>
          <w:szCs w:val="18"/>
          <w:lang w:val="es-ES_tradnl"/>
        </w:rPr>
        <w:t xml:space="preserve">favorables de la Unidad Administrativa Municipal </w:t>
      </w:r>
      <w:r>
        <w:rPr>
          <w:spacing w:val="-5"/>
          <w:sz w:val="18"/>
          <w:szCs w:val="18"/>
          <w:lang w:val="es-ES_tradnl"/>
        </w:rPr>
        <w:t>correspondiente y, se proh</w:t>
      </w:r>
      <w:r>
        <w:rPr>
          <w:rFonts w:cs="Times New Roman"/>
          <w:spacing w:val="-5"/>
          <w:sz w:val="18"/>
          <w:szCs w:val="18"/>
          <w:lang w:val="es-ES_tradnl"/>
        </w:rPr>
        <w:t>í</w:t>
      </w:r>
      <w:r>
        <w:rPr>
          <w:spacing w:val="-5"/>
          <w:sz w:val="18"/>
          <w:szCs w:val="18"/>
          <w:lang w:val="es-ES_tradnl"/>
        </w:rPr>
        <w:t>be la implantaci</w:t>
      </w:r>
      <w:r>
        <w:rPr>
          <w:rFonts w:cs="Times New Roman"/>
          <w:spacing w:val="-5"/>
          <w:sz w:val="18"/>
          <w:szCs w:val="18"/>
          <w:lang w:val="es-ES_tradnl"/>
        </w:rPr>
        <w:t>ó</w:t>
      </w:r>
      <w:r>
        <w:rPr>
          <w:spacing w:val="-5"/>
          <w:sz w:val="18"/>
          <w:szCs w:val="18"/>
          <w:lang w:val="es-ES_tradnl"/>
        </w:rPr>
        <w:t xml:space="preserve">n en </w:t>
      </w:r>
      <w:r>
        <w:rPr>
          <w:rFonts w:cs="Times New Roman"/>
          <w:sz w:val="18"/>
          <w:szCs w:val="18"/>
          <w:lang w:val="es-ES_tradnl"/>
        </w:rPr>
        <w:t>á</w:t>
      </w:r>
      <w:r>
        <w:rPr>
          <w:sz w:val="18"/>
          <w:szCs w:val="18"/>
          <w:lang w:val="es-ES_tradnl"/>
        </w:rPr>
        <w:t>reas arqueol</w:t>
      </w:r>
      <w:r>
        <w:rPr>
          <w:rFonts w:cs="Times New Roman"/>
          <w:sz w:val="18"/>
          <w:szCs w:val="18"/>
          <w:lang w:val="es-ES_tradnl"/>
        </w:rPr>
        <w:t>ó</w:t>
      </w:r>
      <w:r>
        <w:rPr>
          <w:sz w:val="18"/>
          <w:szCs w:val="18"/>
          <w:lang w:val="es-ES_tradnl"/>
        </w:rPr>
        <w:t>gicas no edificadas.</w:t>
      </w:r>
    </w:p>
    <w:p w14:paraId="4F67A696" w14:textId="77777777" w:rsidR="00591D54" w:rsidRDefault="00591D54">
      <w:pPr>
        <w:shd w:val="clear" w:color="auto" w:fill="FFFFFF"/>
        <w:spacing w:before="202" w:line="221" w:lineRule="exact"/>
        <w:ind w:left="283" w:hanging="283"/>
        <w:jc w:val="both"/>
      </w:pPr>
      <w:r>
        <w:rPr>
          <w:sz w:val="18"/>
          <w:szCs w:val="18"/>
          <w:lang w:val="es-ES_tradnl"/>
        </w:rPr>
        <w:t>2. Se conmina al Gobierno Aut</w:t>
      </w:r>
      <w:r>
        <w:rPr>
          <w:rFonts w:cs="Times New Roman"/>
          <w:sz w:val="18"/>
          <w:szCs w:val="18"/>
          <w:lang w:val="es-ES_tradnl"/>
        </w:rPr>
        <w:t>ó</w:t>
      </w:r>
      <w:r>
        <w:rPr>
          <w:sz w:val="18"/>
          <w:szCs w:val="18"/>
          <w:lang w:val="es-ES_tradnl"/>
        </w:rPr>
        <w:t>nomo Descentralizado Municipal del cant</w:t>
      </w:r>
      <w:r>
        <w:rPr>
          <w:rFonts w:cs="Times New Roman"/>
          <w:sz w:val="18"/>
          <w:szCs w:val="18"/>
          <w:lang w:val="es-ES_tradnl"/>
        </w:rPr>
        <w:t>ó</w:t>
      </w:r>
      <w:r>
        <w:rPr>
          <w:sz w:val="18"/>
          <w:szCs w:val="18"/>
          <w:lang w:val="es-ES_tradnl"/>
        </w:rPr>
        <w:t xml:space="preserve">n Chone </w:t>
      </w:r>
      <w:r>
        <w:rPr>
          <w:spacing w:val="-2"/>
          <w:sz w:val="18"/>
          <w:szCs w:val="18"/>
          <w:lang w:val="es-ES_tradnl"/>
        </w:rPr>
        <w:t xml:space="preserve">a que, en el marco de sus competencias </w:t>
      </w:r>
      <w:r>
        <w:rPr>
          <w:spacing w:val="-4"/>
          <w:sz w:val="18"/>
          <w:szCs w:val="18"/>
          <w:lang w:val="es-ES_tradnl"/>
        </w:rPr>
        <w:t xml:space="preserve">constitucionales y dentro de un plazo razonable, </w:t>
      </w:r>
      <w:r>
        <w:rPr>
          <w:spacing w:val="-5"/>
          <w:sz w:val="18"/>
          <w:szCs w:val="18"/>
          <w:lang w:val="es-ES_tradnl"/>
        </w:rPr>
        <w:t xml:space="preserve">adecue las tarifas por el cobro de tasas en la </w:t>
      </w:r>
      <w:r>
        <w:rPr>
          <w:spacing w:val="-3"/>
          <w:sz w:val="18"/>
          <w:szCs w:val="18"/>
          <w:lang w:val="es-ES_tradnl"/>
        </w:rPr>
        <w:t>ocupaci</w:t>
      </w:r>
      <w:r>
        <w:rPr>
          <w:rFonts w:cs="Times New Roman"/>
          <w:spacing w:val="-3"/>
          <w:sz w:val="18"/>
          <w:szCs w:val="18"/>
          <w:lang w:val="es-ES_tradnl"/>
        </w:rPr>
        <w:t>ó</w:t>
      </w:r>
      <w:r>
        <w:rPr>
          <w:spacing w:val="-3"/>
          <w:sz w:val="18"/>
          <w:szCs w:val="18"/>
          <w:lang w:val="es-ES_tradnl"/>
        </w:rPr>
        <w:t>n de espacio p</w:t>
      </w:r>
      <w:r>
        <w:rPr>
          <w:rFonts w:cs="Times New Roman"/>
          <w:spacing w:val="-3"/>
          <w:sz w:val="18"/>
          <w:szCs w:val="18"/>
          <w:lang w:val="es-ES_tradnl"/>
        </w:rPr>
        <w:t>ú</w:t>
      </w:r>
      <w:r>
        <w:rPr>
          <w:spacing w:val="-3"/>
          <w:sz w:val="18"/>
          <w:szCs w:val="18"/>
          <w:lang w:val="es-ES_tradnl"/>
        </w:rPr>
        <w:t xml:space="preserve">blico a los principios </w:t>
      </w:r>
      <w:r>
        <w:rPr>
          <w:spacing w:val="-5"/>
          <w:sz w:val="18"/>
          <w:szCs w:val="18"/>
          <w:lang w:val="es-ES_tradnl"/>
        </w:rPr>
        <w:t>constitucionales tributarios previstos en el art</w:t>
      </w:r>
      <w:r>
        <w:rPr>
          <w:rFonts w:cs="Times New Roman"/>
          <w:spacing w:val="-5"/>
          <w:sz w:val="18"/>
          <w:szCs w:val="18"/>
          <w:lang w:val="es-ES_tradnl"/>
        </w:rPr>
        <w:t>í</w:t>
      </w:r>
      <w:r>
        <w:rPr>
          <w:spacing w:val="-5"/>
          <w:sz w:val="18"/>
          <w:szCs w:val="18"/>
          <w:lang w:val="es-ES_tradnl"/>
        </w:rPr>
        <w:t>culo 300 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blica, tomando en consideraci</w:t>
      </w:r>
      <w:r>
        <w:rPr>
          <w:rFonts w:cs="Times New Roman"/>
          <w:spacing w:val="-5"/>
          <w:sz w:val="18"/>
          <w:szCs w:val="18"/>
          <w:lang w:val="es-ES_tradnl"/>
        </w:rPr>
        <w:t>ó</w:t>
      </w:r>
      <w:r>
        <w:rPr>
          <w:spacing w:val="-5"/>
          <w:sz w:val="18"/>
          <w:szCs w:val="18"/>
          <w:lang w:val="es-ES_tradnl"/>
        </w:rPr>
        <w:t xml:space="preserve">n, asimismo, las declaratorias de </w:t>
      </w:r>
      <w:r>
        <w:rPr>
          <w:spacing w:val="-4"/>
          <w:sz w:val="18"/>
          <w:szCs w:val="18"/>
          <w:lang w:val="es-ES_tradnl"/>
        </w:rPr>
        <w:t>inconstitucionalidad establecidas dentro de las sentencias Nros. 007-15-SIN-CC y 008-15-SIN-</w:t>
      </w:r>
      <w:r>
        <w:rPr>
          <w:spacing w:val="-5"/>
          <w:sz w:val="18"/>
          <w:szCs w:val="18"/>
          <w:lang w:val="es-ES_tradnl"/>
        </w:rPr>
        <w:t>CC, dictadas por la Corte Constitucional, el 31 de marzo de 2015 y las sentencias N.</w:t>
      </w:r>
      <w:r>
        <w:rPr>
          <w:rFonts w:cs="Times New Roman"/>
          <w:spacing w:val="-5"/>
          <w:sz w:val="18"/>
          <w:szCs w:val="18"/>
          <w:lang w:val="es-ES_tradnl"/>
        </w:rPr>
        <w:t>º</w:t>
      </w:r>
      <w:r>
        <w:rPr>
          <w:spacing w:val="-5"/>
          <w:sz w:val="18"/>
          <w:szCs w:val="18"/>
          <w:lang w:val="es-ES_tradnl"/>
        </w:rPr>
        <w:t xml:space="preserve"> 025-15-SIN-</w:t>
      </w:r>
      <w:r>
        <w:rPr>
          <w:spacing w:val="-3"/>
          <w:sz w:val="18"/>
          <w:szCs w:val="18"/>
          <w:lang w:val="es-ES_tradnl"/>
        </w:rPr>
        <w:t xml:space="preserve">CC, 026-15-SIN-CC y 027-15-SIN-CC dictadas </w:t>
      </w:r>
      <w:r>
        <w:rPr>
          <w:spacing w:val="-6"/>
          <w:sz w:val="18"/>
          <w:szCs w:val="18"/>
          <w:lang w:val="es-ES_tradnl"/>
        </w:rPr>
        <w:t>por la Corte Constitucional, el 22 de julio de 2015.</w:t>
      </w:r>
    </w:p>
    <w:p w14:paraId="4F67A697" w14:textId="77777777" w:rsidR="00591D54" w:rsidRDefault="00591D54">
      <w:pPr>
        <w:shd w:val="clear" w:color="auto" w:fill="FFFFFF"/>
        <w:spacing w:before="202" w:line="221" w:lineRule="exact"/>
        <w:ind w:left="283" w:hanging="283"/>
        <w:jc w:val="both"/>
        <w:sectPr w:rsidR="00591D54">
          <w:type w:val="continuous"/>
          <w:pgSz w:w="11909" w:h="16834"/>
          <w:pgMar w:top="1354" w:right="1304" w:bottom="360" w:left="1308" w:header="720" w:footer="720" w:gutter="0"/>
          <w:cols w:num="2" w:space="720" w:equalWidth="0">
            <w:col w:w="4305" w:space="965"/>
            <w:col w:w="4027"/>
          </w:cols>
          <w:noEndnote/>
        </w:sectPr>
      </w:pPr>
    </w:p>
    <w:p w14:paraId="4F67A698" w14:textId="77777777" w:rsidR="00591D54" w:rsidRDefault="00591D54">
      <w:pPr>
        <w:shd w:val="clear" w:color="auto" w:fill="FFFFFF"/>
        <w:tabs>
          <w:tab w:val="left" w:pos="5952"/>
        </w:tabs>
        <w:spacing w:after="72"/>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- 41</w:t>
      </w:r>
    </w:p>
    <w:p w14:paraId="4F67A699" w14:textId="77777777" w:rsidR="00591D54" w:rsidRDefault="00591D54">
      <w:pPr>
        <w:shd w:val="clear" w:color="auto" w:fill="FFFFFF"/>
        <w:tabs>
          <w:tab w:val="left" w:pos="5952"/>
        </w:tabs>
        <w:spacing w:after="72"/>
        <w:ind w:left="5"/>
        <w:sectPr w:rsidR="00591D54">
          <w:pgSz w:w="11909" w:h="16834"/>
          <w:pgMar w:top="1368" w:right="1304" w:bottom="360" w:left="1308" w:header="720" w:footer="720" w:gutter="0"/>
          <w:cols w:space="60"/>
          <w:noEndnote/>
        </w:sectPr>
      </w:pPr>
    </w:p>
    <w:p w14:paraId="4F67A69A" w14:textId="77777777" w:rsidR="00591D54" w:rsidRDefault="00591D54">
      <w:pPr>
        <w:shd w:val="clear" w:color="auto" w:fill="FFFFFF"/>
        <w:spacing w:line="427" w:lineRule="exact"/>
        <w:ind w:left="283"/>
      </w:pPr>
      <w:r>
        <w:rPr>
          <w:spacing w:val="-5"/>
          <w:sz w:val="18"/>
          <w:szCs w:val="18"/>
          <w:lang w:val="es-ES_tradnl"/>
        </w:rPr>
        <w:t>3.   Notif</w:t>
      </w:r>
      <w:r>
        <w:rPr>
          <w:rFonts w:cs="Times New Roman"/>
          <w:spacing w:val="-5"/>
          <w:sz w:val="18"/>
          <w:szCs w:val="18"/>
          <w:lang w:val="es-ES_tradnl"/>
        </w:rPr>
        <w:t>í</w:t>
      </w:r>
      <w:r>
        <w:rPr>
          <w:spacing w:val="-5"/>
          <w:sz w:val="18"/>
          <w:szCs w:val="18"/>
          <w:lang w:val="es-ES_tradnl"/>
        </w:rPr>
        <w:t>quese, publ</w:t>
      </w:r>
      <w:r>
        <w:rPr>
          <w:rFonts w:cs="Times New Roman"/>
          <w:spacing w:val="-5"/>
          <w:sz w:val="18"/>
          <w:szCs w:val="18"/>
          <w:lang w:val="es-ES_tradnl"/>
        </w:rPr>
        <w:t>í</w:t>
      </w:r>
      <w:r>
        <w:rPr>
          <w:spacing w:val="-5"/>
          <w:sz w:val="18"/>
          <w:szCs w:val="18"/>
          <w:lang w:val="es-ES_tradnl"/>
        </w:rPr>
        <w:t>quese y c</w:t>
      </w:r>
      <w:r>
        <w:rPr>
          <w:rFonts w:cs="Times New Roman"/>
          <w:spacing w:val="-5"/>
          <w:sz w:val="18"/>
          <w:szCs w:val="18"/>
          <w:lang w:val="es-ES_tradnl"/>
        </w:rPr>
        <w:t>ú</w:t>
      </w:r>
      <w:r>
        <w:rPr>
          <w:spacing w:val="-5"/>
          <w:sz w:val="18"/>
          <w:szCs w:val="18"/>
          <w:lang w:val="es-ES_tradnl"/>
        </w:rPr>
        <w:t>mplase.</w:t>
      </w:r>
    </w:p>
    <w:p w14:paraId="4F67A69B" w14:textId="77777777" w:rsidR="00591D54" w:rsidRDefault="00591D54">
      <w:pPr>
        <w:shd w:val="clear" w:color="auto" w:fill="FFFFFF"/>
        <w:spacing w:line="427" w:lineRule="exact"/>
      </w:pPr>
      <w:r>
        <w:rPr>
          <w:spacing w:val="-5"/>
          <w:sz w:val="18"/>
          <w:szCs w:val="18"/>
          <w:lang w:val="es-ES_tradnl"/>
        </w:rPr>
        <w:t xml:space="preserve">f.) Wendy Molina Andrade, </w:t>
      </w:r>
      <w:r>
        <w:rPr>
          <w:b/>
          <w:bCs/>
          <w:spacing w:val="-5"/>
          <w:sz w:val="18"/>
          <w:szCs w:val="18"/>
          <w:lang w:val="es-ES_tradnl"/>
        </w:rPr>
        <w:t>PRESIDENTA (e).</w:t>
      </w:r>
    </w:p>
    <w:p w14:paraId="4F67A69C" w14:textId="77777777" w:rsidR="00591D54" w:rsidRDefault="00591D54">
      <w:pPr>
        <w:shd w:val="clear" w:color="auto" w:fill="FFFFFF"/>
        <w:spacing w:line="427" w:lineRule="exact"/>
      </w:pPr>
      <w:r>
        <w:rPr>
          <w:spacing w:val="-4"/>
          <w:sz w:val="18"/>
          <w:szCs w:val="18"/>
          <w:lang w:val="es-ES_tradnl"/>
        </w:rPr>
        <w:t xml:space="preserve">f.) Jaime Pozo Chamorro, </w:t>
      </w:r>
      <w:r>
        <w:rPr>
          <w:b/>
          <w:bCs/>
          <w:spacing w:val="-4"/>
          <w:sz w:val="18"/>
          <w:szCs w:val="18"/>
          <w:lang w:val="es-ES_tradnl"/>
        </w:rPr>
        <w:t>SECRETARIO GENERAL.</w:t>
      </w:r>
    </w:p>
    <w:p w14:paraId="4F67A69D" w14:textId="77777777" w:rsidR="00591D54" w:rsidRDefault="00591D54">
      <w:pPr>
        <w:shd w:val="clear" w:color="auto" w:fill="FFFFFF"/>
        <w:spacing w:before="154" w:line="211" w:lineRule="exact"/>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aprobada por el Pleno de la Corte Constitucional, con cinco </w:t>
      </w:r>
      <w:r>
        <w:rPr>
          <w:spacing w:val="-5"/>
          <w:sz w:val="18"/>
          <w:szCs w:val="18"/>
          <w:lang w:val="es-ES_tradnl"/>
        </w:rPr>
        <w:t>votos a favor, de las juezas y jueces Antonio Gagliardo Loor, Marcelo Jaramillo Villa, Alfredo Ruiz Guzm</w:t>
      </w:r>
      <w:r>
        <w:rPr>
          <w:rFonts w:cs="Times New Roman"/>
          <w:spacing w:val="-5"/>
          <w:sz w:val="18"/>
          <w:szCs w:val="18"/>
          <w:lang w:val="es-ES_tradnl"/>
        </w:rPr>
        <w:t>á</w:t>
      </w:r>
      <w:r>
        <w:rPr>
          <w:spacing w:val="-5"/>
          <w:sz w:val="18"/>
          <w:szCs w:val="18"/>
          <w:lang w:val="es-ES_tradnl"/>
        </w:rPr>
        <w:t xml:space="preserve">n, Ruth </w:t>
      </w:r>
      <w:r>
        <w:rPr>
          <w:spacing w:val="-6"/>
          <w:sz w:val="18"/>
          <w:szCs w:val="18"/>
          <w:lang w:val="es-ES_tradnl"/>
        </w:rPr>
        <w:t>Seni Pinoargote y Wendy Molina Andrade, sin contar con la presencia de los jueces Mar</w:t>
      </w:r>
      <w:r>
        <w:rPr>
          <w:rFonts w:cs="Times New Roman"/>
          <w:spacing w:val="-6"/>
          <w:sz w:val="18"/>
          <w:szCs w:val="18"/>
          <w:lang w:val="es-ES_tradnl"/>
        </w:rPr>
        <w:t>í</w:t>
      </w:r>
      <w:r>
        <w:rPr>
          <w:spacing w:val="-6"/>
          <w:sz w:val="18"/>
          <w:szCs w:val="18"/>
          <w:lang w:val="es-ES_tradnl"/>
        </w:rPr>
        <w:t xml:space="preserve">a del Carmen Maldonado </w:t>
      </w:r>
      <w:r>
        <w:rPr>
          <w:spacing w:val="-5"/>
          <w:sz w:val="18"/>
          <w:szCs w:val="18"/>
          <w:lang w:val="es-ES_tradnl"/>
        </w:rPr>
        <w:t>S</w:t>
      </w:r>
      <w:r>
        <w:rPr>
          <w:rFonts w:cs="Times New Roman"/>
          <w:spacing w:val="-5"/>
          <w:sz w:val="18"/>
          <w:szCs w:val="18"/>
          <w:lang w:val="es-ES_tradnl"/>
        </w:rPr>
        <w:t>á</w:t>
      </w:r>
      <w:r>
        <w:rPr>
          <w:spacing w:val="-5"/>
          <w:sz w:val="18"/>
          <w:szCs w:val="18"/>
          <w:lang w:val="es-ES_tradnl"/>
        </w:rPr>
        <w:t>nchez, Tatiana Orde</w:t>
      </w:r>
      <w:r>
        <w:rPr>
          <w:rFonts w:cs="Times New Roman"/>
          <w:spacing w:val="-5"/>
          <w:sz w:val="18"/>
          <w:szCs w:val="18"/>
          <w:lang w:val="es-ES_tradnl"/>
        </w:rPr>
        <w:t>ñ</w:t>
      </w:r>
      <w:r>
        <w:rPr>
          <w:spacing w:val="-5"/>
          <w:sz w:val="18"/>
          <w:szCs w:val="18"/>
          <w:lang w:val="es-ES_tradnl"/>
        </w:rPr>
        <w:t xml:space="preserve">ana Sierra, Manuel Viteri Olvera </w:t>
      </w:r>
      <w:r>
        <w:rPr>
          <w:spacing w:val="-6"/>
          <w:sz w:val="18"/>
          <w:szCs w:val="18"/>
          <w:lang w:val="es-ES_tradnl"/>
        </w:rPr>
        <w:t>y Patricio Pazmi</w:t>
      </w:r>
      <w:r>
        <w:rPr>
          <w:rFonts w:cs="Times New Roman"/>
          <w:spacing w:val="-6"/>
          <w:sz w:val="18"/>
          <w:szCs w:val="18"/>
          <w:lang w:val="es-ES_tradnl"/>
        </w:rPr>
        <w:t>ñ</w:t>
      </w:r>
      <w:r>
        <w:rPr>
          <w:spacing w:val="-6"/>
          <w:sz w:val="18"/>
          <w:szCs w:val="18"/>
          <w:lang w:val="es-ES_tradnl"/>
        </w:rPr>
        <w:t>o Freire, en sesi</w:t>
      </w:r>
      <w:r>
        <w:rPr>
          <w:rFonts w:cs="Times New Roman"/>
          <w:spacing w:val="-6"/>
          <w:sz w:val="18"/>
          <w:szCs w:val="18"/>
          <w:lang w:val="es-ES_tradnl"/>
        </w:rPr>
        <w:t>ó</w:t>
      </w:r>
      <w:r>
        <w:rPr>
          <w:spacing w:val="-6"/>
          <w:sz w:val="18"/>
          <w:szCs w:val="18"/>
          <w:lang w:val="es-ES_tradnl"/>
        </w:rPr>
        <w:t xml:space="preserve">n de 05 de agosto del </w:t>
      </w:r>
      <w:r>
        <w:rPr>
          <w:sz w:val="18"/>
          <w:szCs w:val="18"/>
          <w:lang w:val="es-ES_tradnl"/>
        </w:rPr>
        <w:t>2015. Lo certifico.</w:t>
      </w:r>
    </w:p>
    <w:p w14:paraId="4F67A69E" w14:textId="77777777" w:rsidR="00591D54" w:rsidRDefault="00591D54">
      <w:pPr>
        <w:shd w:val="clear" w:color="auto" w:fill="FFFFFF"/>
        <w:spacing w:before="187"/>
      </w:pPr>
      <w:r>
        <w:rPr>
          <w:spacing w:val="-4"/>
          <w:sz w:val="18"/>
          <w:szCs w:val="18"/>
          <w:lang w:val="es-ES_tradnl"/>
        </w:rPr>
        <w:t xml:space="preserve">f.) Jaime Pozo Chamorro, </w:t>
      </w:r>
      <w:r>
        <w:rPr>
          <w:b/>
          <w:bCs/>
          <w:spacing w:val="-4"/>
          <w:sz w:val="18"/>
          <w:szCs w:val="18"/>
          <w:lang w:val="es-ES_tradnl"/>
        </w:rPr>
        <w:t>SECRETARIO GENERAL.</w:t>
      </w:r>
    </w:p>
    <w:p w14:paraId="4F67A69F" w14:textId="77777777" w:rsidR="00591D54" w:rsidRDefault="00591D54">
      <w:pPr>
        <w:shd w:val="clear" w:color="auto" w:fill="FFFFFF"/>
        <w:spacing w:before="187" w:line="211"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A6A0" w14:textId="77777777" w:rsidR="00591D54" w:rsidRDefault="00591D54">
      <w:pPr>
        <w:shd w:val="clear" w:color="auto" w:fill="FFFFFF"/>
        <w:spacing w:before="187"/>
      </w:pPr>
      <w:r>
        <w:rPr>
          <w:b/>
          <w:bCs/>
          <w:spacing w:val="-4"/>
          <w:sz w:val="18"/>
          <w:szCs w:val="18"/>
          <w:u w:val="single"/>
          <w:lang w:val="es-ES_tradnl"/>
        </w:rPr>
        <w:t>CASO Nro. 0018-15-IN</w:t>
      </w:r>
    </w:p>
    <w:p w14:paraId="4F67A6A1" w14:textId="77777777" w:rsidR="00591D54" w:rsidRDefault="00591D54">
      <w:pPr>
        <w:shd w:val="clear" w:color="auto" w:fill="FFFFFF"/>
        <w:spacing w:before="187" w:line="211" w:lineRule="exact"/>
        <w:jc w:val="both"/>
      </w:pPr>
      <w:r>
        <w:rPr>
          <w:b/>
          <w:bCs/>
          <w:spacing w:val="-4"/>
          <w:sz w:val="18"/>
          <w:szCs w:val="18"/>
          <w:lang w:val="es-ES_tradnl"/>
        </w:rPr>
        <w:t>RAZ</w:t>
      </w:r>
      <w:r>
        <w:rPr>
          <w:rFonts w:cs="Times New Roman"/>
          <w:b/>
          <w:bCs/>
          <w:spacing w:val="-4"/>
          <w:sz w:val="18"/>
          <w:szCs w:val="18"/>
          <w:lang w:val="es-ES_tradnl"/>
        </w:rPr>
        <w:t>Ó</w:t>
      </w:r>
      <w:r>
        <w:rPr>
          <w:b/>
          <w:bCs/>
          <w:spacing w:val="-4"/>
          <w:sz w:val="18"/>
          <w:szCs w:val="18"/>
          <w:lang w:val="es-ES_tradnl"/>
        </w:rPr>
        <w:t xml:space="preserve">N.- </w:t>
      </w:r>
      <w:r>
        <w:rPr>
          <w:spacing w:val="-4"/>
          <w:sz w:val="18"/>
          <w:szCs w:val="18"/>
          <w:lang w:val="es-ES_tradnl"/>
        </w:rPr>
        <w:t xml:space="preserve">Siento por tal, que la Jueza Wendy Molina </w:t>
      </w:r>
      <w:r>
        <w:rPr>
          <w:spacing w:val="-9"/>
          <w:sz w:val="18"/>
          <w:szCs w:val="18"/>
          <w:lang w:val="es-ES_tradnl"/>
        </w:rPr>
        <w:t>Andrade, suscribi</w:t>
      </w:r>
      <w:r>
        <w:rPr>
          <w:rFonts w:cs="Times New Roman"/>
          <w:spacing w:val="-9"/>
          <w:sz w:val="18"/>
          <w:szCs w:val="18"/>
          <w:lang w:val="es-ES_tradnl"/>
        </w:rPr>
        <w:t>ó</w:t>
      </w:r>
      <w:r>
        <w:rPr>
          <w:spacing w:val="-9"/>
          <w:sz w:val="18"/>
          <w:szCs w:val="18"/>
          <w:lang w:val="es-ES_tradnl"/>
        </w:rPr>
        <w:t xml:space="preserve"> la presente sentencia el d</w:t>
      </w:r>
      <w:r>
        <w:rPr>
          <w:rFonts w:cs="Times New Roman"/>
          <w:spacing w:val="-9"/>
          <w:sz w:val="18"/>
          <w:szCs w:val="18"/>
          <w:lang w:val="es-ES_tradnl"/>
        </w:rPr>
        <w:t>í</w:t>
      </w:r>
      <w:r>
        <w:rPr>
          <w:spacing w:val="-9"/>
          <w:sz w:val="18"/>
          <w:szCs w:val="18"/>
          <w:lang w:val="es-ES_tradnl"/>
        </w:rPr>
        <w:t xml:space="preserve">a miercoles 02 </w:t>
      </w:r>
      <w:r>
        <w:rPr>
          <w:spacing w:val="-8"/>
          <w:sz w:val="18"/>
          <w:szCs w:val="18"/>
          <w:lang w:val="es-ES_tradnl"/>
        </w:rPr>
        <w:t xml:space="preserve">de septiembre del 2015, en calidad de presidenta (e) de la </w:t>
      </w:r>
      <w:r>
        <w:rPr>
          <w:spacing w:val="-7"/>
          <w:sz w:val="18"/>
          <w:szCs w:val="18"/>
          <w:lang w:val="es-ES_tradnl"/>
        </w:rPr>
        <w:t>Corte Constitucional, al momento de expedirse la misma.-</w:t>
      </w:r>
      <w:r>
        <w:rPr>
          <w:sz w:val="18"/>
          <w:szCs w:val="18"/>
          <w:lang w:val="es-ES_tradnl"/>
        </w:rPr>
        <w:t>Lo certifico.</w:t>
      </w:r>
    </w:p>
    <w:p w14:paraId="4F67A6A2" w14:textId="77777777" w:rsidR="00591D54" w:rsidRDefault="00591D54">
      <w:pPr>
        <w:shd w:val="clear" w:color="auto" w:fill="FFFFFF"/>
        <w:spacing w:before="187"/>
      </w:pPr>
      <w:r>
        <w:rPr>
          <w:spacing w:val="-7"/>
          <w:sz w:val="18"/>
          <w:szCs w:val="18"/>
          <w:lang w:val="es-ES_tradnl"/>
        </w:rPr>
        <w:t xml:space="preserve">f.) Jaime Pozo Chamorro, </w:t>
      </w:r>
      <w:r>
        <w:rPr>
          <w:b/>
          <w:bCs/>
          <w:spacing w:val="-7"/>
          <w:sz w:val="18"/>
          <w:szCs w:val="18"/>
          <w:lang w:val="es-ES_tradnl"/>
        </w:rPr>
        <w:t>Secretario General.</w:t>
      </w:r>
    </w:p>
    <w:p w14:paraId="4F67A6A3" w14:textId="77777777" w:rsidR="00591D54" w:rsidRDefault="00591D54">
      <w:pPr>
        <w:shd w:val="clear" w:color="auto" w:fill="FFFFFF"/>
        <w:spacing w:before="187" w:line="211"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A6A4" w14:textId="77777777" w:rsidR="00591D54" w:rsidRDefault="00591D54">
      <w:pPr>
        <w:shd w:val="clear" w:color="auto" w:fill="FFFFFF"/>
        <w:spacing w:before="1013" w:line="446" w:lineRule="exact"/>
      </w:pPr>
      <w:r>
        <w:rPr>
          <w:spacing w:val="-5"/>
          <w:sz w:val="18"/>
          <w:szCs w:val="18"/>
          <w:lang w:val="es-ES_tradnl"/>
        </w:rPr>
        <w:t>Quito, D. M., 26 de agosto del 2015</w:t>
      </w:r>
    </w:p>
    <w:p w14:paraId="4F67A6A5" w14:textId="77777777" w:rsidR="00591D54" w:rsidRDefault="00591D54">
      <w:pPr>
        <w:shd w:val="clear" w:color="auto" w:fill="FFFFFF"/>
        <w:spacing w:line="446" w:lineRule="exact"/>
        <w:ind w:left="840"/>
      </w:pPr>
      <w:r>
        <w:rPr>
          <w:b/>
          <w:bCs/>
          <w:sz w:val="18"/>
          <w:szCs w:val="18"/>
          <w:u w:val="single"/>
          <w:lang w:val="es-ES_tradnl"/>
        </w:rPr>
        <w:t>SENTENCIA N.</w:t>
      </w:r>
      <w:r>
        <w:rPr>
          <w:rFonts w:cs="Times New Roman"/>
          <w:b/>
          <w:bCs/>
          <w:sz w:val="18"/>
          <w:szCs w:val="18"/>
          <w:u w:val="single"/>
          <w:lang w:val="es-ES_tradnl"/>
        </w:rPr>
        <w:t>º</w:t>
      </w:r>
      <w:r>
        <w:rPr>
          <w:b/>
          <w:bCs/>
          <w:sz w:val="18"/>
          <w:szCs w:val="18"/>
          <w:u w:val="single"/>
          <w:lang w:val="es-ES_tradnl"/>
        </w:rPr>
        <w:t xml:space="preserve"> 034-15-SIN-CC</w:t>
      </w:r>
    </w:p>
    <w:p w14:paraId="4F67A6A6" w14:textId="77777777" w:rsidR="00591D54" w:rsidRDefault="00591D54">
      <w:pPr>
        <w:shd w:val="clear" w:color="auto" w:fill="FFFFFF"/>
        <w:spacing w:line="446" w:lineRule="exact"/>
        <w:ind w:left="1286"/>
      </w:pPr>
      <w:r>
        <w:rPr>
          <w:b/>
          <w:bCs/>
          <w:spacing w:val="-2"/>
          <w:sz w:val="18"/>
          <w:szCs w:val="18"/>
          <w:u w:val="single"/>
          <w:lang w:val="es-ES_tradnl"/>
        </w:rPr>
        <w:t>CASO N.</w:t>
      </w:r>
      <w:r>
        <w:rPr>
          <w:rFonts w:cs="Times New Roman"/>
          <w:b/>
          <w:bCs/>
          <w:spacing w:val="-2"/>
          <w:sz w:val="18"/>
          <w:szCs w:val="18"/>
          <w:u w:val="single"/>
          <w:lang w:val="es-ES_tradnl"/>
        </w:rPr>
        <w:t>º</w:t>
      </w:r>
      <w:r>
        <w:rPr>
          <w:b/>
          <w:bCs/>
          <w:spacing w:val="-2"/>
          <w:sz w:val="18"/>
          <w:szCs w:val="18"/>
          <w:u w:val="single"/>
          <w:lang w:val="es-ES_tradnl"/>
        </w:rPr>
        <w:t xml:space="preserve"> 0015-12-IN</w:t>
      </w:r>
    </w:p>
    <w:p w14:paraId="4F67A6A7" w14:textId="77777777" w:rsidR="00591D54" w:rsidRDefault="00591D54">
      <w:pPr>
        <w:shd w:val="clear" w:color="auto" w:fill="FFFFFF"/>
        <w:spacing w:line="446" w:lineRule="exact"/>
        <w:ind w:left="264"/>
      </w:pPr>
      <w:r>
        <w:rPr>
          <w:b/>
          <w:bCs/>
          <w:sz w:val="18"/>
          <w:szCs w:val="18"/>
          <w:lang w:val="es-ES_tradnl"/>
        </w:rPr>
        <w:t>CORTE CONSTITUCIONAL DEL ECUADOR</w:t>
      </w:r>
    </w:p>
    <w:p w14:paraId="4F67A6A8" w14:textId="77777777" w:rsidR="00591D54" w:rsidRDefault="00591D54">
      <w:pPr>
        <w:shd w:val="clear" w:color="auto" w:fill="FFFFFF"/>
        <w:spacing w:line="446" w:lineRule="exact"/>
        <w:ind w:left="1325"/>
      </w:pPr>
      <w:r>
        <w:rPr>
          <w:b/>
          <w:bCs/>
          <w:sz w:val="18"/>
          <w:szCs w:val="18"/>
          <w:lang w:val="es-ES_tradnl"/>
        </w:rPr>
        <w:t>I. ANTECEDENTES</w:t>
      </w:r>
    </w:p>
    <w:p w14:paraId="4F67A6A9" w14:textId="77777777" w:rsidR="00591D54" w:rsidRDefault="00591D54">
      <w:pPr>
        <w:shd w:val="clear" w:color="auto" w:fill="FFFFFF"/>
        <w:spacing w:line="446" w:lineRule="exact"/>
      </w:pPr>
      <w:r>
        <w:rPr>
          <w:b/>
          <w:bCs/>
          <w:spacing w:val="-8"/>
          <w:sz w:val="18"/>
          <w:szCs w:val="18"/>
          <w:lang w:val="es-ES_tradnl"/>
        </w:rPr>
        <w:t>Resumen de admisibilidad</w:t>
      </w:r>
    </w:p>
    <w:p w14:paraId="4F67A6AA" w14:textId="77777777" w:rsidR="00591D54" w:rsidRDefault="00591D54">
      <w:pPr>
        <w:shd w:val="clear" w:color="auto" w:fill="FFFFFF"/>
        <w:spacing w:before="173" w:line="230" w:lineRule="exact"/>
        <w:jc w:val="both"/>
      </w:pPr>
      <w:r>
        <w:rPr>
          <w:spacing w:val="-3"/>
          <w:sz w:val="18"/>
          <w:szCs w:val="18"/>
          <w:lang w:val="es-ES_tradnl"/>
        </w:rPr>
        <w:t>La presente acci</w:t>
      </w:r>
      <w:r>
        <w:rPr>
          <w:rFonts w:cs="Times New Roman"/>
          <w:spacing w:val="-3"/>
          <w:sz w:val="18"/>
          <w:szCs w:val="18"/>
          <w:lang w:val="es-ES_tradnl"/>
        </w:rPr>
        <w:t>ó</w:t>
      </w:r>
      <w:r>
        <w:rPr>
          <w:spacing w:val="-3"/>
          <w:sz w:val="18"/>
          <w:szCs w:val="18"/>
          <w:lang w:val="es-ES_tradnl"/>
        </w:rPr>
        <w:t>n p</w:t>
      </w:r>
      <w:r>
        <w:rPr>
          <w:rFonts w:cs="Times New Roman"/>
          <w:spacing w:val="-3"/>
          <w:sz w:val="18"/>
          <w:szCs w:val="18"/>
          <w:lang w:val="es-ES_tradnl"/>
        </w:rPr>
        <w:t>ú</w:t>
      </w:r>
      <w:r>
        <w:rPr>
          <w:spacing w:val="-3"/>
          <w:sz w:val="18"/>
          <w:szCs w:val="18"/>
          <w:lang w:val="es-ES_tradnl"/>
        </w:rPr>
        <w:t xml:space="preserve">blica de inconstitucionalidad fue </w:t>
      </w:r>
      <w:r>
        <w:rPr>
          <w:spacing w:val="-5"/>
          <w:sz w:val="18"/>
          <w:szCs w:val="18"/>
          <w:lang w:val="es-ES_tradnl"/>
        </w:rPr>
        <w:t xml:space="preserve">propuesta ante la Corte Constitucional, por el ciudadano </w:t>
      </w:r>
      <w:r>
        <w:rPr>
          <w:spacing w:val="-4"/>
          <w:sz w:val="18"/>
          <w:szCs w:val="18"/>
          <w:lang w:val="es-ES_tradnl"/>
        </w:rPr>
        <w:t>Oscar Ra</w:t>
      </w:r>
      <w:r>
        <w:rPr>
          <w:rFonts w:cs="Times New Roman"/>
          <w:spacing w:val="-4"/>
          <w:sz w:val="18"/>
          <w:szCs w:val="18"/>
          <w:lang w:val="es-ES_tradnl"/>
        </w:rPr>
        <w:t>ú</w:t>
      </w:r>
      <w:r>
        <w:rPr>
          <w:spacing w:val="-4"/>
          <w:sz w:val="18"/>
          <w:szCs w:val="18"/>
          <w:lang w:val="es-ES_tradnl"/>
        </w:rPr>
        <w:t xml:space="preserve">l del Monserrat D`Ortignacq Salazar, el 7 de </w:t>
      </w:r>
      <w:r>
        <w:rPr>
          <w:spacing w:val="-5"/>
          <w:sz w:val="18"/>
          <w:szCs w:val="18"/>
          <w:lang w:val="es-ES_tradnl"/>
        </w:rPr>
        <w:t>febrero de 2012, acci</w:t>
      </w:r>
      <w:r>
        <w:rPr>
          <w:rFonts w:cs="Times New Roman"/>
          <w:spacing w:val="-5"/>
          <w:sz w:val="18"/>
          <w:szCs w:val="18"/>
          <w:lang w:val="es-ES_tradnl"/>
        </w:rPr>
        <w:t>ó</w:t>
      </w:r>
      <w:r>
        <w:rPr>
          <w:spacing w:val="-5"/>
          <w:sz w:val="18"/>
          <w:szCs w:val="18"/>
          <w:lang w:val="es-ES_tradnl"/>
        </w:rPr>
        <w:t xml:space="preserve">n por medio de la cual solicita que se declare la inconstitucionalidad de la </w:t>
      </w:r>
      <w:r>
        <w:rPr>
          <w:rFonts w:cs="Times New Roman"/>
          <w:spacing w:val="-5"/>
          <w:sz w:val="18"/>
          <w:szCs w:val="18"/>
          <w:lang w:val="es-ES_tradnl"/>
        </w:rPr>
        <w:t>“</w:t>
      </w:r>
      <w:r>
        <w:rPr>
          <w:spacing w:val="-5"/>
          <w:sz w:val="18"/>
          <w:szCs w:val="18"/>
          <w:lang w:val="es-ES_tradnl"/>
        </w:rPr>
        <w:t xml:space="preserve">Ordenanza del </w:t>
      </w:r>
      <w:r>
        <w:rPr>
          <w:spacing w:val="-7"/>
          <w:sz w:val="18"/>
          <w:szCs w:val="18"/>
          <w:lang w:val="es-ES_tradnl"/>
        </w:rPr>
        <w:t>Sistema de Gesti</w:t>
      </w:r>
      <w:r>
        <w:rPr>
          <w:rFonts w:cs="Times New Roman"/>
          <w:spacing w:val="-7"/>
          <w:sz w:val="18"/>
          <w:szCs w:val="18"/>
          <w:lang w:val="es-ES_tradnl"/>
        </w:rPr>
        <w:t>ó</w:t>
      </w:r>
      <w:r>
        <w:rPr>
          <w:spacing w:val="-7"/>
          <w:sz w:val="18"/>
          <w:szCs w:val="18"/>
          <w:lang w:val="es-ES_tradnl"/>
        </w:rPr>
        <w:t>n y Participaci</w:t>
      </w:r>
      <w:r>
        <w:rPr>
          <w:rFonts w:cs="Times New Roman"/>
          <w:spacing w:val="-7"/>
          <w:sz w:val="18"/>
          <w:szCs w:val="18"/>
          <w:lang w:val="es-ES_tradnl"/>
        </w:rPr>
        <w:t>ó</w:t>
      </w:r>
      <w:r>
        <w:rPr>
          <w:spacing w:val="-7"/>
          <w:sz w:val="18"/>
          <w:szCs w:val="18"/>
          <w:lang w:val="es-ES_tradnl"/>
        </w:rPr>
        <w:t>n Ciudadana del Cant</w:t>
      </w:r>
      <w:r>
        <w:rPr>
          <w:rFonts w:cs="Times New Roman"/>
          <w:spacing w:val="-7"/>
          <w:sz w:val="18"/>
          <w:szCs w:val="18"/>
          <w:lang w:val="es-ES_tradnl"/>
        </w:rPr>
        <w:t>ó</w:t>
      </w:r>
      <w:r>
        <w:rPr>
          <w:spacing w:val="-7"/>
          <w:sz w:val="18"/>
          <w:szCs w:val="18"/>
          <w:lang w:val="es-ES_tradnl"/>
        </w:rPr>
        <w:t xml:space="preserve">n </w:t>
      </w:r>
      <w:r>
        <w:rPr>
          <w:spacing w:val="-5"/>
          <w:sz w:val="18"/>
          <w:szCs w:val="18"/>
          <w:lang w:val="es-ES_tradnl"/>
        </w:rPr>
        <w:t>Rumi</w:t>
      </w:r>
      <w:r>
        <w:rPr>
          <w:rFonts w:cs="Times New Roman"/>
          <w:spacing w:val="-5"/>
          <w:sz w:val="18"/>
          <w:szCs w:val="18"/>
          <w:lang w:val="es-ES_tradnl"/>
        </w:rPr>
        <w:t>ñ</w:t>
      </w:r>
      <w:r>
        <w:rPr>
          <w:spacing w:val="-5"/>
          <w:sz w:val="18"/>
          <w:szCs w:val="18"/>
          <w:lang w:val="es-ES_tradnl"/>
        </w:rPr>
        <w:t>ahui</w:t>
      </w:r>
      <w:r>
        <w:rPr>
          <w:rFonts w:cs="Times New Roman"/>
          <w:spacing w:val="-5"/>
          <w:sz w:val="18"/>
          <w:szCs w:val="18"/>
          <w:lang w:val="es-ES_tradnl"/>
        </w:rPr>
        <w:t>”</w:t>
      </w:r>
      <w:r>
        <w:rPr>
          <w:spacing w:val="-5"/>
          <w:sz w:val="18"/>
          <w:szCs w:val="18"/>
          <w:lang w:val="es-ES_tradnl"/>
        </w:rPr>
        <w:t xml:space="preserve"> (Sangolqu</w:t>
      </w:r>
      <w:r>
        <w:rPr>
          <w:rFonts w:cs="Times New Roman"/>
          <w:spacing w:val="-5"/>
          <w:sz w:val="18"/>
          <w:szCs w:val="18"/>
          <w:lang w:val="es-ES_tradnl"/>
        </w:rPr>
        <w:t>í</w:t>
      </w:r>
      <w:r>
        <w:rPr>
          <w:spacing w:val="-5"/>
          <w:sz w:val="18"/>
          <w:szCs w:val="18"/>
          <w:lang w:val="es-ES_tradnl"/>
        </w:rPr>
        <w:t xml:space="preserve">), publicada en el Registro Oficial </w:t>
      </w:r>
      <w:r>
        <w:rPr>
          <w:sz w:val="18"/>
          <w:szCs w:val="18"/>
          <w:lang w:val="es-ES_tradnl"/>
        </w:rPr>
        <w:t>N.</w:t>
      </w:r>
      <w:r>
        <w:rPr>
          <w:rFonts w:cs="Times New Roman"/>
          <w:sz w:val="18"/>
          <w:szCs w:val="18"/>
          <w:lang w:val="es-ES_tradnl"/>
        </w:rPr>
        <w:t>º</w:t>
      </w:r>
      <w:r>
        <w:rPr>
          <w:sz w:val="18"/>
          <w:szCs w:val="18"/>
          <w:lang w:val="es-ES_tradnl"/>
        </w:rPr>
        <w:t xml:space="preserve"> 507 del 5 de agosto de 2011.</w:t>
      </w:r>
    </w:p>
    <w:p w14:paraId="4F67A6AB" w14:textId="77777777" w:rsidR="00591D54" w:rsidRDefault="00591D54">
      <w:pPr>
        <w:shd w:val="clear" w:color="auto" w:fill="FFFFFF"/>
        <w:spacing w:before="163" w:line="216" w:lineRule="exact"/>
        <w:ind w:right="5"/>
        <w:jc w:val="both"/>
      </w:pPr>
      <w:r>
        <w:br w:type="column"/>
      </w:r>
      <w:r>
        <w:rPr>
          <w:spacing w:val="-3"/>
          <w:sz w:val="18"/>
          <w:szCs w:val="18"/>
          <w:lang w:val="es-ES_tradnl"/>
        </w:rPr>
        <w:t xml:space="preserve">De conformidad con lo dispuesto en el tercer inciso del </w:t>
      </w:r>
      <w:r>
        <w:rPr>
          <w:spacing w:val="-5"/>
          <w:sz w:val="18"/>
          <w:szCs w:val="18"/>
          <w:lang w:val="es-ES_tradnl"/>
        </w:rPr>
        <w:t>cuarto art</w:t>
      </w:r>
      <w:r>
        <w:rPr>
          <w:rFonts w:cs="Times New Roman"/>
          <w:spacing w:val="-5"/>
          <w:sz w:val="18"/>
          <w:szCs w:val="18"/>
          <w:lang w:val="es-ES_tradnl"/>
        </w:rPr>
        <w:t>í</w:t>
      </w:r>
      <w:r>
        <w:rPr>
          <w:spacing w:val="-5"/>
          <w:sz w:val="18"/>
          <w:szCs w:val="18"/>
          <w:lang w:val="es-ES_tradnl"/>
        </w:rPr>
        <w:t>culo innumerado agregado a continuaci</w:t>
      </w:r>
      <w:r>
        <w:rPr>
          <w:rFonts w:cs="Times New Roman"/>
          <w:spacing w:val="-5"/>
          <w:sz w:val="18"/>
          <w:szCs w:val="18"/>
          <w:lang w:val="es-ES_tradnl"/>
        </w:rPr>
        <w:t>ó</w:t>
      </w:r>
      <w:r>
        <w:rPr>
          <w:spacing w:val="-5"/>
          <w:sz w:val="18"/>
          <w:szCs w:val="18"/>
          <w:lang w:val="es-ES_tradnl"/>
        </w:rPr>
        <w:t xml:space="preserve">n del </w:t>
      </w:r>
      <w:r>
        <w:rPr>
          <w:spacing w:val="-6"/>
          <w:sz w:val="18"/>
          <w:szCs w:val="18"/>
          <w:lang w:val="es-ES_tradnl"/>
        </w:rPr>
        <w:t>art</w:t>
      </w:r>
      <w:r>
        <w:rPr>
          <w:rFonts w:cs="Times New Roman"/>
          <w:spacing w:val="-6"/>
          <w:sz w:val="18"/>
          <w:szCs w:val="18"/>
          <w:lang w:val="es-ES_tradnl"/>
        </w:rPr>
        <w:t>í</w:t>
      </w:r>
      <w:r>
        <w:rPr>
          <w:spacing w:val="-6"/>
          <w:sz w:val="18"/>
          <w:szCs w:val="18"/>
          <w:lang w:val="es-ES_tradnl"/>
        </w:rPr>
        <w:t>culo 8 del Reglamento de Sustanciaci</w:t>
      </w:r>
      <w:r>
        <w:rPr>
          <w:rFonts w:cs="Times New Roman"/>
          <w:spacing w:val="-6"/>
          <w:sz w:val="18"/>
          <w:szCs w:val="18"/>
          <w:lang w:val="es-ES_tradnl"/>
        </w:rPr>
        <w:t>ó</w:t>
      </w:r>
      <w:r>
        <w:rPr>
          <w:spacing w:val="-6"/>
          <w:sz w:val="18"/>
          <w:szCs w:val="18"/>
          <w:lang w:val="es-ES_tradnl"/>
        </w:rPr>
        <w:t xml:space="preserve">n de Procesos </w:t>
      </w:r>
      <w:r>
        <w:rPr>
          <w:spacing w:val="-1"/>
          <w:sz w:val="18"/>
          <w:szCs w:val="18"/>
          <w:lang w:val="es-ES_tradnl"/>
        </w:rPr>
        <w:t xml:space="preserve">de Competencia de la Corte Constitucional, publicado </w:t>
      </w:r>
      <w:r>
        <w:rPr>
          <w:spacing w:val="-4"/>
          <w:sz w:val="18"/>
          <w:szCs w:val="18"/>
          <w:lang w:val="es-ES_tradnl"/>
        </w:rPr>
        <w:t>en el suplemento del Registro Oficial N.</w:t>
      </w:r>
      <w:r>
        <w:rPr>
          <w:rFonts w:cs="Times New Roman"/>
          <w:spacing w:val="-4"/>
          <w:sz w:val="18"/>
          <w:szCs w:val="18"/>
          <w:lang w:val="es-ES_tradnl"/>
        </w:rPr>
        <w:t>º</w:t>
      </w:r>
      <w:r>
        <w:rPr>
          <w:spacing w:val="-4"/>
          <w:sz w:val="18"/>
          <w:szCs w:val="18"/>
          <w:lang w:val="es-ES_tradnl"/>
        </w:rPr>
        <w:t xml:space="preserve"> 587 del 30 de </w:t>
      </w:r>
      <w:r>
        <w:rPr>
          <w:spacing w:val="-5"/>
          <w:sz w:val="18"/>
          <w:szCs w:val="18"/>
          <w:lang w:val="es-ES_tradnl"/>
        </w:rPr>
        <w:t xml:space="preserve">noviembre de 2011, el secretario general de la Corte </w:t>
      </w:r>
      <w:r>
        <w:rPr>
          <w:spacing w:val="-4"/>
          <w:sz w:val="18"/>
          <w:szCs w:val="18"/>
          <w:lang w:val="es-ES_tradnl"/>
        </w:rPr>
        <w:t>Constitucional, para el per</w:t>
      </w:r>
      <w:r>
        <w:rPr>
          <w:rFonts w:cs="Times New Roman"/>
          <w:spacing w:val="-4"/>
          <w:sz w:val="18"/>
          <w:szCs w:val="18"/>
          <w:lang w:val="es-ES_tradnl"/>
        </w:rPr>
        <w:t>í</w:t>
      </w:r>
      <w:r>
        <w:rPr>
          <w:spacing w:val="-4"/>
          <w:sz w:val="18"/>
          <w:szCs w:val="18"/>
          <w:lang w:val="es-ES_tradnl"/>
        </w:rPr>
        <w:t>odo de transici</w:t>
      </w:r>
      <w:r>
        <w:rPr>
          <w:rFonts w:cs="Times New Roman"/>
          <w:spacing w:val="-4"/>
          <w:sz w:val="18"/>
          <w:szCs w:val="18"/>
          <w:lang w:val="es-ES_tradnl"/>
        </w:rPr>
        <w:t>ó</w:t>
      </w:r>
      <w:r>
        <w:rPr>
          <w:spacing w:val="-4"/>
          <w:sz w:val="18"/>
          <w:szCs w:val="18"/>
          <w:lang w:val="es-ES_tradnl"/>
        </w:rPr>
        <w:t>n, manifest</w:t>
      </w:r>
      <w:r>
        <w:rPr>
          <w:rFonts w:cs="Times New Roman"/>
          <w:spacing w:val="-4"/>
          <w:sz w:val="18"/>
          <w:szCs w:val="18"/>
          <w:lang w:val="es-ES_tradnl"/>
        </w:rPr>
        <w:t xml:space="preserve">ó </w:t>
      </w:r>
      <w:r>
        <w:rPr>
          <w:spacing w:val="-6"/>
          <w:sz w:val="18"/>
          <w:szCs w:val="18"/>
          <w:lang w:val="es-ES_tradnl"/>
        </w:rPr>
        <w:t>que no se ha presentado otra demanda con identidad de objeto y acci</w:t>
      </w:r>
      <w:r>
        <w:rPr>
          <w:rFonts w:cs="Times New Roman"/>
          <w:spacing w:val="-6"/>
          <w:sz w:val="18"/>
          <w:szCs w:val="18"/>
          <w:lang w:val="es-ES_tradnl"/>
        </w:rPr>
        <w:t>ó</w:t>
      </w:r>
      <w:r>
        <w:rPr>
          <w:spacing w:val="-6"/>
          <w:sz w:val="18"/>
          <w:szCs w:val="18"/>
          <w:lang w:val="es-ES_tradnl"/>
        </w:rPr>
        <w:t>n, como se advierte de la certificaci</w:t>
      </w:r>
      <w:r>
        <w:rPr>
          <w:rFonts w:cs="Times New Roman"/>
          <w:spacing w:val="-6"/>
          <w:sz w:val="18"/>
          <w:szCs w:val="18"/>
          <w:lang w:val="es-ES_tradnl"/>
        </w:rPr>
        <w:t>ó</w:t>
      </w:r>
      <w:r>
        <w:rPr>
          <w:spacing w:val="-6"/>
          <w:sz w:val="18"/>
          <w:szCs w:val="18"/>
          <w:lang w:val="es-ES_tradnl"/>
        </w:rPr>
        <w:t>n del 7 de febrero de 2012, que obra a fojas 11 del proceso.</w:t>
      </w:r>
    </w:p>
    <w:p w14:paraId="4F67A6AC" w14:textId="77777777" w:rsidR="00591D54" w:rsidRDefault="00591D54">
      <w:pPr>
        <w:shd w:val="clear" w:color="auto" w:fill="FFFFFF"/>
        <w:spacing w:before="197" w:line="216" w:lineRule="exact"/>
        <w:ind w:right="5"/>
        <w:jc w:val="both"/>
      </w:pPr>
      <w:r>
        <w:rPr>
          <w:sz w:val="18"/>
          <w:szCs w:val="18"/>
          <w:lang w:val="es-ES_tradnl"/>
        </w:rPr>
        <w:t>La Sala de Admisi</w:t>
      </w:r>
      <w:r>
        <w:rPr>
          <w:rFonts w:cs="Times New Roman"/>
          <w:sz w:val="18"/>
          <w:szCs w:val="18"/>
          <w:lang w:val="es-ES_tradnl"/>
        </w:rPr>
        <w:t>ó</w:t>
      </w:r>
      <w:r>
        <w:rPr>
          <w:sz w:val="18"/>
          <w:szCs w:val="18"/>
          <w:lang w:val="es-ES_tradnl"/>
        </w:rPr>
        <w:t xml:space="preserve">n de la Corte Constitucional, para </w:t>
      </w:r>
      <w:r>
        <w:rPr>
          <w:spacing w:val="-4"/>
          <w:sz w:val="18"/>
          <w:szCs w:val="18"/>
          <w:lang w:val="es-ES_tradnl"/>
        </w:rPr>
        <w:t>el per</w:t>
      </w:r>
      <w:r>
        <w:rPr>
          <w:rFonts w:cs="Times New Roman"/>
          <w:spacing w:val="-4"/>
          <w:sz w:val="18"/>
          <w:szCs w:val="18"/>
          <w:lang w:val="es-ES_tradnl"/>
        </w:rPr>
        <w:t>í</w:t>
      </w:r>
      <w:r>
        <w:rPr>
          <w:spacing w:val="-4"/>
          <w:sz w:val="18"/>
          <w:szCs w:val="18"/>
          <w:lang w:val="es-ES_tradnl"/>
        </w:rPr>
        <w:t>odo de transici</w:t>
      </w:r>
      <w:r>
        <w:rPr>
          <w:rFonts w:cs="Times New Roman"/>
          <w:spacing w:val="-4"/>
          <w:sz w:val="18"/>
          <w:szCs w:val="18"/>
          <w:lang w:val="es-ES_tradnl"/>
        </w:rPr>
        <w:t>ó</w:t>
      </w:r>
      <w:r>
        <w:rPr>
          <w:spacing w:val="-4"/>
          <w:sz w:val="18"/>
          <w:szCs w:val="18"/>
          <w:lang w:val="es-ES_tradnl"/>
        </w:rPr>
        <w:t xml:space="preserve">n, integrada por los jueces </w:t>
      </w:r>
      <w:r>
        <w:rPr>
          <w:spacing w:val="-2"/>
          <w:sz w:val="18"/>
          <w:szCs w:val="18"/>
          <w:lang w:val="es-ES_tradnl"/>
        </w:rPr>
        <w:t>constitucionales Ruth Seni Pinoargote, Edgar Z</w:t>
      </w:r>
      <w:r>
        <w:rPr>
          <w:rFonts w:cs="Times New Roman"/>
          <w:spacing w:val="-2"/>
          <w:sz w:val="18"/>
          <w:szCs w:val="18"/>
          <w:lang w:val="es-ES_tradnl"/>
        </w:rPr>
        <w:t>á</w:t>
      </w:r>
      <w:r>
        <w:rPr>
          <w:spacing w:val="-2"/>
          <w:sz w:val="18"/>
          <w:szCs w:val="18"/>
          <w:lang w:val="es-ES_tradnl"/>
        </w:rPr>
        <w:t xml:space="preserve">rate </w:t>
      </w:r>
      <w:r>
        <w:rPr>
          <w:spacing w:val="-3"/>
          <w:sz w:val="18"/>
          <w:szCs w:val="18"/>
          <w:lang w:val="es-ES_tradnl"/>
        </w:rPr>
        <w:t>Z</w:t>
      </w:r>
      <w:r>
        <w:rPr>
          <w:rFonts w:cs="Times New Roman"/>
          <w:spacing w:val="-3"/>
          <w:sz w:val="18"/>
          <w:szCs w:val="18"/>
          <w:lang w:val="es-ES_tradnl"/>
        </w:rPr>
        <w:t>á</w:t>
      </w:r>
      <w:r>
        <w:rPr>
          <w:spacing w:val="-3"/>
          <w:sz w:val="18"/>
          <w:szCs w:val="18"/>
          <w:lang w:val="es-ES_tradnl"/>
        </w:rPr>
        <w:t xml:space="preserve">rate y Hernando Morales Vinueza, mediante auto del </w:t>
      </w:r>
      <w:r>
        <w:rPr>
          <w:spacing w:val="-6"/>
          <w:sz w:val="18"/>
          <w:szCs w:val="18"/>
          <w:lang w:val="es-ES_tradnl"/>
        </w:rPr>
        <w:t>7 de junio de 2012 a las 13h29, dispuso que el legitimado activo, en el t</w:t>
      </w:r>
      <w:r>
        <w:rPr>
          <w:rFonts w:cs="Times New Roman"/>
          <w:spacing w:val="-6"/>
          <w:sz w:val="18"/>
          <w:szCs w:val="18"/>
          <w:lang w:val="es-ES_tradnl"/>
        </w:rPr>
        <w:t>é</w:t>
      </w:r>
      <w:r>
        <w:rPr>
          <w:spacing w:val="-6"/>
          <w:sz w:val="18"/>
          <w:szCs w:val="18"/>
          <w:lang w:val="es-ES_tradnl"/>
        </w:rPr>
        <w:t>rmino de cinco d</w:t>
      </w:r>
      <w:r>
        <w:rPr>
          <w:rFonts w:cs="Times New Roman"/>
          <w:spacing w:val="-6"/>
          <w:sz w:val="18"/>
          <w:szCs w:val="18"/>
          <w:lang w:val="es-ES_tradnl"/>
        </w:rPr>
        <w:t>í</w:t>
      </w:r>
      <w:r>
        <w:rPr>
          <w:spacing w:val="-6"/>
          <w:sz w:val="18"/>
          <w:szCs w:val="18"/>
          <w:lang w:val="es-ES_tradnl"/>
        </w:rPr>
        <w:t xml:space="preserve">as, complete su demanda </w:t>
      </w:r>
      <w:r>
        <w:rPr>
          <w:spacing w:val="-7"/>
          <w:sz w:val="18"/>
          <w:szCs w:val="18"/>
          <w:lang w:val="es-ES_tradnl"/>
        </w:rPr>
        <w:t>de acuerdo a lo establecido en el art</w:t>
      </w:r>
      <w:r>
        <w:rPr>
          <w:rFonts w:cs="Times New Roman"/>
          <w:spacing w:val="-7"/>
          <w:sz w:val="18"/>
          <w:szCs w:val="18"/>
          <w:lang w:val="es-ES_tradnl"/>
        </w:rPr>
        <w:t>í</w:t>
      </w:r>
      <w:r>
        <w:rPr>
          <w:spacing w:val="-7"/>
          <w:sz w:val="18"/>
          <w:szCs w:val="18"/>
          <w:lang w:val="es-ES_tradnl"/>
        </w:rPr>
        <w:t xml:space="preserve">culo 79, numerales 1, </w:t>
      </w:r>
      <w:r>
        <w:rPr>
          <w:spacing w:val="-5"/>
          <w:sz w:val="18"/>
          <w:szCs w:val="18"/>
          <w:lang w:val="es-ES_tradnl"/>
        </w:rPr>
        <w:t>2, 7 y 8 de la Ley Org</w:t>
      </w:r>
      <w:r>
        <w:rPr>
          <w:rFonts w:cs="Times New Roman"/>
          <w:spacing w:val="-5"/>
          <w:sz w:val="18"/>
          <w:szCs w:val="18"/>
          <w:lang w:val="es-ES_tradnl"/>
        </w:rPr>
        <w:t>á</w:t>
      </w:r>
      <w:r>
        <w:rPr>
          <w:spacing w:val="-5"/>
          <w:sz w:val="18"/>
          <w:szCs w:val="18"/>
          <w:lang w:val="es-ES_tradnl"/>
        </w:rPr>
        <w:t>nica de Garant</w:t>
      </w:r>
      <w:r>
        <w:rPr>
          <w:rFonts w:cs="Times New Roman"/>
          <w:spacing w:val="-5"/>
          <w:sz w:val="18"/>
          <w:szCs w:val="18"/>
          <w:lang w:val="es-ES_tradnl"/>
        </w:rPr>
        <w:t>í</w:t>
      </w:r>
      <w:r>
        <w:rPr>
          <w:spacing w:val="-5"/>
          <w:sz w:val="18"/>
          <w:szCs w:val="18"/>
          <w:lang w:val="es-ES_tradnl"/>
        </w:rPr>
        <w:t xml:space="preserve">as Jurisdiccionales </w:t>
      </w:r>
      <w:r>
        <w:rPr>
          <w:sz w:val="18"/>
          <w:szCs w:val="18"/>
          <w:lang w:val="es-ES_tradnl"/>
        </w:rPr>
        <w:t>y Control Constitucional.</w:t>
      </w:r>
    </w:p>
    <w:p w14:paraId="4F67A6AD" w14:textId="77777777" w:rsidR="00591D54" w:rsidRDefault="00591D54">
      <w:pPr>
        <w:shd w:val="clear" w:color="auto" w:fill="FFFFFF"/>
        <w:spacing w:before="197" w:line="216" w:lineRule="exact"/>
        <w:ind w:right="5"/>
        <w:jc w:val="both"/>
      </w:pPr>
      <w:r>
        <w:rPr>
          <w:spacing w:val="-4"/>
          <w:sz w:val="18"/>
          <w:szCs w:val="18"/>
          <w:lang w:val="es-ES_tradnl"/>
        </w:rPr>
        <w:t xml:space="preserve">Mediante escrito presentado el 12 de julio de 2012, el </w:t>
      </w:r>
      <w:r>
        <w:rPr>
          <w:spacing w:val="-6"/>
          <w:sz w:val="18"/>
          <w:szCs w:val="18"/>
          <w:lang w:val="es-ES_tradnl"/>
        </w:rPr>
        <w:t>legitimado activo complet</w:t>
      </w:r>
      <w:r>
        <w:rPr>
          <w:rFonts w:cs="Times New Roman"/>
          <w:spacing w:val="-6"/>
          <w:sz w:val="18"/>
          <w:szCs w:val="18"/>
          <w:lang w:val="es-ES_tradnl"/>
        </w:rPr>
        <w:t>ó</w:t>
      </w:r>
      <w:r>
        <w:rPr>
          <w:spacing w:val="-6"/>
          <w:sz w:val="18"/>
          <w:szCs w:val="18"/>
          <w:lang w:val="es-ES_tradnl"/>
        </w:rPr>
        <w:t xml:space="preserve"> su demanda con los requisitos requeridos; sin embargo, la Sala de Admisi</w:t>
      </w:r>
      <w:r>
        <w:rPr>
          <w:rFonts w:cs="Times New Roman"/>
          <w:spacing w:val="-6"/>
          <w:sz w:val="18"/>
          <w:szCs w:val="18"/>
          <w:lang w:val="es-ES_tradnl"/>
        </w:rPr>
        <w:t>ó</w:t>
      </w:r>
      <w:r>
        <w:rPr>
          <w:spacing w:val="-6"/>
          <w:sz w:val="18"/>
          <w:szCs w:val="18"/>
          <w:lang w:val="es-ES_tradnl"/>
        </w:rPr>
        <w:t xml:space="preserve">n de la Corte </w:t>
      </w:r>
      <w:r>
        <w:rPr>
          <w:spacing w:val="-3"/>
          <w:sz w:val="18"/>
          <w:szCs w:val="18"/>
          <w:lang w:val="es-ES_tradnl"/>
        </w:rPr>
        <w:t>Constitucional, para el per</w:t>
      </w:r>
      <w:r>
        <w:rPr>
          <w:rFonts w:cs="Times New Roman"/>
          <w:spacing w:val="-3"/>
          <w:sz w:val="18"/>
          <w:szCs w:val="18"/>
          <w:lang w:val="es-ES_tradnl"/>
        </w:rPr>
        <w:t>í</w:t>
      </w:r>
      <w:r>
        <w:rPr>
          <w:spacing w:val="-3"/>
          <w:sz w:val="18"/>
          <w:szCs w:val="18"/>
          <w:lang w:val="es-ES_tradnl"/>
        </w:rPr>
        <w:t>odo de transici</w:t>
      </w:r>
      <w:r>
        <w:rPr>
          <w:rFonts w:cs="Times New Roman"/>
          <w:spacing w:val="-3"/>
          <w:sz w:val="18"/>
          <w:szCs w:val="18"/>
          <w:lang w:val="es-ES_tradnl"/>
        </w:rPr>
        <w:t>ó</w:t>
      </w:r>
      <w:r>
        <w:rPr>
          <w:spacing w:val="-3"/>
          <w:sz w:val="18"/>
          <w:szCs w:val="18"/>
          <w:lang w:val="es-ES_tradnl"/>
        </w:rPr>
        <w:t xml:space="preserve">n, integrada </w:t>
      </w:r>
      <w:r>
        <w:rPr>
          <w:spacing w:val="-4"/>
          <w:sz w:val="18"/>
          <w:szCs w:val="18"/>
          <w:lang w:val="es-ES_tradnl"/>
        </w:rPr>
        <w:t xml:space="preserve">por los jueces Nina Pacari Vega, Manuel Viteri Olvera y </w:t>
      </w:r>
      <w:r>
        <w:rPr>
          <w:spacing w:val="-5"/>
          <w:sz w:val="18"/>
          <w:szCs w:val="18"/>
          <w:lang w:val="es-ES_tradnl"/>
        </w:rPr>
        <w:t>Alfonso Luz Y</w:t>
      </w:r>
      <w:r>
        <w:rPr>
          <w:rFonts w:cs="Times New Roman"/>
          <w:spacing w:val="-5"/>
          <w:sz w:val="18"/>
          <w:szCs w:val="18"/>
          <w:lang w:val="es-ES_tradnl"/>
        </w:rPr>
        <w:t>ú</w:t>
      </w:r>
      <w:r>
        <w:rPr>
          <w:spacing w:val="-5"/>
          <w:sz w:val="18"/>
          <w:szCs w:val="18"/>
          <w:lang w:val="es-ES_tradnl"/>
        </w:rPr>
        <w:t xml:space="preserve">nes, mediante auto de 12 de septiembre </w:t>
      </w:r>
      <w:r>
        <w:rPr>
          <w:spacing w:val="-6"/>
          <w:sz w:val="18"/>
          <w:szCs w:val="18"/>
          <w:lang w:val="es-ES_tradnl"/>
        </w:rPr>
        <w:t>del 2012 a las 10h01, rechaz</w:t>
      </w:r>
      <w:r>
        <w:rPr>
          <w:rFonts w:cs="Times New Roman"/>
          <w:spacing w:val="-6"/>
          <w:sz w:val="18"/>
          <w:szCs w:val="18"/>
          <w:lang w:val="es-ES_tradnl"/>
        </w:rPr>
        <w:t>ó</w:t>
      </w:r>
      <w:r>
        <w:rPr>
          <w:spacing w:val="-6"/>
          <w:sz w:val="18"/>
          <w:szCs w:val="18"/>
          <w:lang w:val="es-ES_tradnl"/>
        </w:rPr>
        <w:t xml:space="preserve"> la acci</w:t>
      </w:r>
      <w:r>
        <w:rPr>
          <w:rFonts w:cs="Times New Roman"/>
          <w:spacing w:val="-6"/>
          <w:sz w:val="18"/>
          <w:szCs w:val="18"/>
          <w:lang w:val="es-ES_tradnl"/>
        </w:rPr>
        <w:t>ó</w:t>
      </w:r>
      <w:r>
        <w:rPr>
          <w:spacing w:val="-6"/>
          <w:sz w:val="18"/>
          <w:szCs w:val="18"/>
          <w:lang w:val="es-ES_tradnl"/>
        </w:rPr>
        <w:t xml:space="preserve">n, al estimar que el </w:t>
      </w:r>
      <w:r>
        <w:rPr>
          <w:spacing w:val="-8"/>
          <w:sz w:val="18"/>
          <w:szCs w:val="18"/>
          <w:lang w:val="es-ES_tradnl"/>
        </w:rPr>
        <w:t>accionante complet</w:t>
      </w:r>
      <w:r>
        <w:rPr>
          <w:rFonts w:cs="Times New Roman"/>
          <w:spacing w:val="-8"/>
          <w:sz w:val="18"/>
          <w:szCs w:val="18"/>
          <w:lang w:val="es-ES_tradnl"/>
        </w:rPr>
        <w:t>ó</w:t>
      </w:r>
      <w:r>
        <w:rPr>
          <w:spacing w:val="-8"/>
          <w:sz w:val="18"/>
          <w:szCs w:val="18"/>
          <w:lang w:val="es-ES_tradnl"/>
        </w:rPr>
        <w:t xml:space="preserve"> su demanda en forma extempor</w:t>
      </w:r>
      <w:r>
        <w:rPr>
          <w:rFonts w:cs="Times New Roman"/>
          <w:spacing w:val="-8"/>
          <w:sz w:val="18"/>
          <w:szCs w:val="18"/>
          <w:lang w:val="es-ES_tradnl"/>
        </w:rPr>
        <w:t>á</w:t>
      </w:r>
      <w:r>
        <w:rPr>
          <w:spacing w:val="-8"/>
          <w:sz w:val="18"/>
          <w:szCs w:val="18"/>
          <w:lang w:val="es-ES_tradnl"/>
        </w:rPr>
        <w:t>nea.</w:t>
      </w:r>
    </w:p>
    <w:p w14:paraId="4F67A6AE" w14:textId="77777777" w:rsidR="00591D54" w:rsidRDefault="00591D54">
      <w:pPr>
        <w:shd w:val="clear" w:color="auto" w:fill="FFFFFF"/>
        <w:spacing w:before="197" w:line="216" w:lineRule="exact"/>
        <w:ind w:right="5"/>
        <w:jc w:val="both"/>
      </w:pPr>
      <w:r>
        <w:rPr>
          <w:spacing w:val="-6"/>
          <w:sz w:val="18"/>
          <w:szCs w:val="18"/>
          <w:lang w:val="es-ES_tradnl"/>
        </w:rPr>
        <w:t xml:space="preserve">El 6 de noviembre de 2012, ante el Pleno de la Asamblea </w:t>
      </w:r>
      <w:r>
        <w:rPr>
          <w:sz w:val="18"/>
          <w:szCs w:val="18"/>
          <w:lang w:val="es-ES_tradnl"/>
        </w:rPr>
        <w:t xml:space="preserve">Nacional, se posesionaron los jueces de la primera </w:t>
      </w:r>
      <w:r>
        <w:rPr>
          <w:spacing w:val="-3"/>
          <w:sz w:val="18"/>
          <w:szCs w:val="18"/>
          <w:lang w:val="es-ES_tradnl"/>
        </w:rPr>
        <w:t xml:space="preserve">Corte Constitucional, integrada de conformidad con lo </w:t>
      </w:r>
      <w:r>
        <w:rPr>
          <w:spacing w:val="-6"/>
          <w:sz w:val="18"/>
          <w:szCs w:val="18"/>
          <w:lang w:val="es-ES_tradnl"/>
        </w:rPr>
        <w:t>dispuesto en los art</w:t>
      </w:r>
      <w:r>
        <w:rPr>
          <w:rFonts w:cs="Times New Roman"/>
          <w:spacing w:val="-6"/>
          <w:sz w:val="18"/>
          <w:szCs w:val="18"/>
          <w:lang w:val="es-ES_tradnl"/>
        </w:rPr>
        <w:t>í</w:t>
      </w:r>
      <w:r>
        <w:rPr>
          <w:spacing w:val="-6"/>
          <w:sz w:val="18"/>
          <w:szCs w:val="18"/>
          <w:lang w:val="es-ES_tradnl"/>
        </w:rPr>
        <w:t>culos 432 y 434 de la Constituci</w:t>
      </w:r>
      <w:r>
        <w:rPr>
          <w:rFonts w:cs="Times New Roman"/>
          <w:spacing w:val="-6"/>
          <w:sz w:val="18"/>
          <w:szCs w:val="18"/>
          <w:lang w:val="es-ES_tradnl"/>
        </w:rPr>
        <w:t>ó</w:t>
      </w:r>
      <w:r>
        <w:rPr>
          <w:spacing w:val="-6"/>
          <w:sz w:val="18"/>
          <w:szCs w:val="18"/>
          <w:lang w:val="es-ES_tradnl"/>
        </w:rPr>
        <w:t xml:space="preserve">n de </w:t>
      </w:r>
      <w:r>
        <w:rPr>
          <w:sz w:val="18"/>
          <w:szCs w:val="18"/>
          <w:lang w:val="es-ES_tradnl"/>
        </w:rPr>
        <w:t>la Rep</w:t>
      </w:r>
      <w:r>
        <w:rPr>
          <w:rFonts w:cs="Times New Roman"/>
          <w:sz w:val="18"/>
          <w:szCs w:val="18"/>
          <w:lang w:val="es-ES_tradnl"/>
        </w:rPr>
        <w:t>ú</w:t>
      </w:r>
      <w:r>
        <w:rPr>
          <w:sz w:val="18"/>
          <w:szCs w:val="18"/>
          <w:lang w:val="es-ES_tradnl"/>
        </w:rPr>
        <w:t>blica.</w:t>
      </w:r>
    </w:p>
    <w:p w14:paraId="4F67A6AF" w14:textId="77777777" w:rsidR="00591D54" w:rsidRDefault="00591D54">
      <w:pPr>
        <w:shd w:val="clear" w:color="auto" w:fill="FFFFFF"/>
        <w:spacing w:before="192" w:line="216" w:lineRule="exact"/>
        <w:ind w:right="5"/>
        <w:jc w:val="both"/>
      </w:pPr>
      <w:r>
        <w:rPr>
          <w:spacing w:val="-5"/>
          <w:sz w:val="18"/>
          <w:szCs w:val="18"/>
          <w:lang w:val="es-ES_tradnl"/>
        </w:rPr>
        <w:t xml:space="preserve">Mediante auto del 10 de octubre de 2013 a las 09h19, la </w:t>
      </w:r>
      <w:r>
        <w:rPr>
          <w:spacing w:val="-7"/>
          <w:sz w:val="18"/>
          <w:szCs w:val="18"/>
          <w:lang w:val="es-ES_tradnl"/>
        </w:rPr>
        <w:t>Sala de Admisi</w:t>
      </w:r>
      <w:r>
        <w:rPr>
          <w:rFonts w:cs="Times New Roman"/>
          <w:spacing w:val="-7"/>
          <w:sz w:val="18"/>
          <w:szCs w:val="18"/>
          <w:lang w:val="es-ES_tradnl"/>
        </w:rPr>
        <w:t>ó</w:t>
      </w:r>
      <w:r>
        <w:rPr>
          <w:spacing w:val="-7"/>
          <w:sz w:val="18"/>
          <w:szCs w:val="18"/>
          <w:lang w:val="es-ES_tradnl"/>
        </w:rPr>
        <w:t>n de la Corte Constitucional, integrada por los jueces Mar</w:t>
      </w:r>
      <w:r>
        <w:rPr>
          <w:rFonts w:cs="Times New Roman"/>
          <w:spacing w:val="-7"/>
          <w:sz w:val="18"/>
          <w:szCs w:val="18"/>
          <w:lang w:val="es-ES_tradnl"/>
        </w:rPr>
        <w:t>í</w:t>
      </w:r>
      <w:r>
        <w:rPr>
          <w:spacing w:val="-7"/>
          <w:sz w:val="18"/>
          <w:szCs w:val="18"/>
          <w:lang w:val="es-ES_tradnl"/>
        </w:rPr>
        <w:t>a del Carmen Maldonado S</w:t>
      </w:r>
      <w:r>
        <w:rPr>
          <w:rFonts w:cs="Times New Roman"/>
          <w:spacing w:val="-7"/>
          <w:sz w:val="18"/>
          <w:szCs w:val="18"/>
          <w:lang w:val="es-ES_tradnl"/>
        </w:rPr>
        <w:t>á</w:t>
      </w:r>
      <w:r>
        <w:rPr>
          <w:spacing w:val="-7"/>
          <w:sz w:val="18"/>
          <w:szCs w:val="18"/>
          <w:lang w:val="es-ES_tradnl"/>
        </w:rPr>
        <w:t xml:space="preserve">nchez, Wendy </w:t>
      </w:r>
      <w:r>
        <w:rPr>
          <w:spacing w:val="-3"/>
          <w:sz w:val="18"/>
          <w:szCs w:val="18"/>
          <w:lang w:val="es-ES_tradnl"/>
        </w:rPr>
        <w:t>Molina Andrade y Alfredo Ruiz Guzm</w:t>
      </w:r>
      <w:r>
        <w:rPr>
          <w:rFonts w:cs="Times New Roman"/>
          <w:spacing w:val="-3"/>
          <w:sz w:val="18"/>
          <w:szCs w:val="18"/>
          <w:lang w:val="es-ES_tradnl"/>
        </w:rPr>
        <w:t>á</w:t>
      </w:r>
      <w:r>
        <w:rPr>
          <w:spacing w:val="-3"/>
          <w:sz w:val="18"/>
          <w:szCs w:val="18"/>
          <w:lang w:val="es-ES_tradnl"/>
        </w:rPr>
        <w:t>n, revoc</w:t>
      </w:r>
      <w:r>
        <w:rPr>
          <w:rFonts w:cs="Times New Roman"/>
          <w:spacing w:val="-3"/>
          <w:sz w:val="18"/>
          <w:szCs w:val="18"/>
          <w:lang w:val="es-ES_tradnl"/>
        </w:rPr>
        <w:t>ó</w:t>
      </w:r>
      <w:r>
        <w:rPr>
          <w:spacing w:val="-3"/>
          <w:sz w:val="18"/>
          <w:szCs w:val="18"/>
          <w:lang w:val="es-ES_tradnl"/>
        </w:rPr>
        <w:t xml:space="preserve"> el auto </w:t>
      </w:r>
      <w:r>
        <w:rPr>
          <w:spacing w:val="-10"/>
          <w:sz w:val="18"/>
          <w:szCs w:val="18"/>
          <w:lang w:val="es-ES_tradnl"/>
        </w:rPr>
        <w:t>del 12 de septiembre de 2012 y admiti</w:t>
      </w:r>
      <w:r>
        <w:rPr>
          <w:rFonts w:cs="Times New Roman"/>
          <w:spacing w:val="-10"/>
          <w:sz w:val="18"/>
          <w:szCs w:val="18"/>
          <w:lang w:val="es-ES_tradnl"/>
        </w:rPr>
        <w:t>ó</w:t>
      </w:r>
      <w:r>
        <w:rPr>
          <w:spacing w:val="-10"/>
          <w:sz w:val="18"/>
          <w:szCs w:val="18"/>
          <w:lang w:val="es-ES_tradnl"/>
        </w:rPr>
        <w:t xml:space="preserve"> a tr</w:t>
      </w:r>
      <w:r>
        <w:rPr>
          <w:rFonts w:cs="Times New Roman"/>
          <w:spacing w:val="-10"/>
          <w:sz w:val="18"/>
          <w:szCs w:val="18"/>
          <w:lang w:val="es-ES_tradnl"/>
        </w:rPr>
        <w:t>á</w:t>
      </w:r>
      <w:r>
        <w:rPr>
          <w:spacing w:val="-10"/>
          <w:sz w:val="18"/>
          <w:szCs w:val="18"/>
          <w:lang w:val="es-ES_tradnl"/>
        </w:rPr>
        <w:t xml:space="preserve">mite la presente </w:t>
      </w:r>
      <w:r>
        <w:rPr>
          <w:spacing w:val="-7"/>
          <w:sz w:val="18"/>
          <w:szCs w:val="18"/>
          <w:lang w:val="es-ES_tradnl"/>
        </w:rPr>
        <w:t>acci</w:t>
      </w:r>
      <w:r>
        <w:rPr>
          <w:rFonts w:cs="Times New Roman"/>
          <w:spacing w:val="-7"/>
          <w:sz w:val="18"/>
          <w:szCs w:val="18"/>
          <w:lang w:val="es-ES_tradnl"/>
        </w:rPr>
        <w:t>ó</w:t>
      </w:r>
      <w:r>
        <w:rPr>
          <w:spacing w:val="-7"/>
          <w:sz w:val="18"/>
          <w:szCs w:val="18"/>
          <w:lang w:val="es-ES_tradnl"/>
        </w:rPr>
        <w:t xml:space="preserve">n constitucional, al constatar que el escrito por el cual </w:t>
      </w:r>
      <w:r>
        <w:rPr>
          <w:spacing w:val="-8"/>
          <w:sz w:val="18"/>
          <w:szCs w:val="18"/>
          <w:lang w:val="es-ES_tradnl"/>
        </w:rPr>
        <w:t>el accionante complet</w:t>
      </w:r>
      <w:r>
        <w:rPr>
          <w:rFonts w:cs="Times New Roman"/>
          <w:spacing w:val="-8"/>
          <w:sz w:val="18"/>
          <w:szCs w:val="18"/>
          <w:lang w:val="es-ES_tradnl"/>
        </w:rPr>
        <w:t>ó</w:t>
      </w:r>
      <w:r>
        <w:rPr>
          <w:spacing w:val="-8"/>
          <w:sz w:val="18"/>
          <w:szCs w:val="18"/>
          <w:lang w:val="es-ES_tradnl"/>
        </w:rPr>
        <w:t xml:space="preserve"> su demanda fue presentado dentro </w:t>
      </w:r>
      <w:r>
        <w:rPr>
          <w:spacing w:val="-7"/>
          <w:sz w:val="18"/>
          <w:szCs w:val="18"/>
          <w:lang w:val="es-ES_tradnl"/>
        </w:rPr>
        <w:t>del t</w:t>
      </w:r>
      <w:r>
        <w:rPr>
          <w:rFonts w:cs="Times New Roman"/>
          <w:spacing w:val="-7"/>
          <w:sz w:val="18"/>
          <w:szCs w:val="18"/>
          <w:lang w:val="es-ES_tradnl"/>
        </w:rPr>
        <w:t>é</w:t>
      </w:r>
      <w:r>
        <w:rPr>
          <w:spacing w:val="-7"/>
          <w:sz w:val="18"/>
          <w:szCs w:val="18"/>
          <w:lang w:val="es-ES_tradnl"/>
        </w:rPr>
        <w:t xml:space="preserve">rmino concedido, y dispuso notificar con la demanda </w:t>
      </w:r>
      <w:r>
        <w:rPr>
          <w:spacing w:val="-3"/>
          <w:sz w:val="18"/>
          <w:szCs w:val="18"/>
          <w:lang w:val="es-ES_tradnl"/>
        </w:rPr>
        <w:t>al Gobierno Aut</w:t>
      </w:r>
      <w:r>
        <w:rPr>
          <w:rFonts w:cs="Times New Roman"/>
          <w:spacing w:val="-3"/>
          <w:sz w:val="18"/>
          <w:szCs w:val="18"/>
          <w:lang w:val="es-ES_tradnl"/>
        </w:rPr>
        <w:t>ó</w:t>
      </w:r>
      <w:r>
        <w:rPr>
          <w:spacing w:val="-3"/>
          <w:sz w:val="18"/>
          <w:szCs w:val="18"/>
          <w:lang w:val="es-ES_tradnl"/>
        </w:rPr>
        <w:t>nomo Descentralizado del cant</w:t>
      </w:r>
      <w:r>
        <w:rPr>
          <w:rFonts w:cs="Times New Roman"/>
          <w:spacing w:val="-3"/>
          <w:sz w:val="18"/>
          <w:szCs w:val="18"/>
          <w:lang w:val="es-ES_tradnl"/>
        </w:rPr>
        <w:t>ó</w:t>
      </w:r>
      <w:r>
        <w:rPr>
          <w:spacing w:val="-3"/>
          <w:sz w:val="18"/>
          <w:szCs w:val="18"/>
          <w:lang w:val="es-ES_tradnl"/>
        </w:rPr>
        <w:t>n Rumi</w:t>
      </w:r>
      <w:r>
        <w:rPr>
          <w:rFonts w:cs="Times New Roman"/>
          <w:spacing w:val="-3"/>
          <w:sz w:val="18"/>
          <w:szCs w:val="18"/>
          <w:lang w:val="es-ES_tradnl"/>
        </w:rPr>
        <w:t>ñ</w:t>
      </w:r>
      <w:r>
        <w:rPr>
          <w:spacing w:val="-3"/>
          <w:sz w:val="18"/>
          <w:szCs w:val="18"/>
          <w:lang w:val="es-ES_tradnl"/>
        </w:rPr>
        <w:t>ahui, as</w:t>
      </w:r>
      <w:r>
        <w:rPr>
          <w:rFonts w:cs="Times New Roman"/>
          <w:spacing w:val="-3"/>
          <w:sz w:val="18"/>
          <w:szCs w:val="18"/>
          <w:lang w:val="es-ES_tradnl"/>
        </w:rPr>
        <w:t>í</w:t>
      </w:r>
      <w:r>
        <w:rPr>
          <w:spacing w:val="-3"/>
          <w:sz w:val="18"/>
          <w:szCs w:val="18"/>
          <w:lang w:val="es-ES_tradnl"/>
        </w:rPr>
        <w:t xml:space="preserve"> como al procurador general del Estado, </w:t>
      </w:r>
      <w:r>
        <w:rPr>
          <w:spacing w:val="-2"/>
          <w:sz w:val="18"/>
          <w:szCs w:val="18"/>
          <w:lang w:val="es-ES_tradnl"/>
        </w:rPr>
        <w:t xml:space="preserve">a fin de que defienda o impugne la constitucionalidad </w:t>
      </w:r>
      <w:r>
        <w:rPr>
          <w:spacing w:val="-8"/>
          <w:sz w:val="18"/>
          <w:szCs w:val="18"/>
          <w:lang w:val="es-ES_tradnl"/>
        </w:rPr>
        <w:t>de las normas demandadas; adem</w:t>
      </w:r>
      <w:r>
        <w:rPr>
          <w:rFonts w:cs="Times New Roman"/>
          <w:spacing w:val="-8"/>
          <w:sz w:val="18"/>
          <w:szCs w:val="18"/>
          <w:lang w:val="es-ES_tradnl"/>
        </w:rPr>
        <w:t>á</w:t>
      </w:r>
      <w:r>
        <w:rPr>
          <w:spacing w:val="-8"/>
          <w:sz w:val="18"/>
          <w:szCs w:val="18"/>
          <w:lang w:val="es-ES_tradnl"/>
        </w:rPr>
        <w:t xml:space="preserve">s, dispuso requerir al </w:t>
      </w:r>
      <w:r>
        <w:rPr>
          <w:spacing w:val="-7"/>
          <w:sz w:val="18"/>
          <w:szCs w:val="18"/>
          <w:lang w:val="es-ES_tradnl"/>
        </w:rPr>
        <w:t>secretario del referido gobierno aut</w:t>
      </w:r>
      <w:r>
        <w:rPr>
          <w:rFonts w:cs="Times New Roman"/>
          <w:spacing w:val="-7"/>
          <w:sz w:val="18"/>
          <w:szCs w:val="18"/>
          <w:lang w:val="es-ES_tradnl"/>
        </w:rPr>
        <w:t>ó</w:t>
      </w:r>
      <w:r>
        <w:rPr>
          <w:spacing w:val="-7"/>
          <w:sz w:val="18"/>
          <w:szCs w:val="18"/>
          <w:lang w:val="es-ES_tradnl"/>
        </w:rPr>
        <w:t xml:space="preserve">nomo descentralizado </w:t>
      </w:r>
      <w:r>
        <w:rPr>
          <w:spacing w:val="-1"/>
          <w:sz w:val="18"/>
          <w:szCs w:val="18"/>
          <w:lang w:val="es-ES_tradnl"/>
        </w:rPr>
        <w:t xml:space="preserve">para que remita a la Corte Constitucional los informes </w:t>
      </w:r>
      <w:r>
        <w:rPr>
          <w:spacing w:val="-4"/>
          <w:sz w:val="18"/>
          <w:szCs w:val="18"/>
          <w:lang w:val="es-ES_tradnl"/>
        </w:rPr>
        <w:t>y documentos que dieron origen a la norma impugnada, y poner en conocimiento del p</w:t>
      </w:r>
      <w:r>
        <w:rPr>
          <w:rFonts w:cs="Times New Roman"/>
          <w:spacing w:val="-4"/>
          <w:sz w:val="18"/>
          <w:szCs w:val="18"/>
          <w:lang w:val="es-ES_tradnl"/>
        </w:rPr>
        <w:t>ú</w:t>
      </w:r>
      <w:r>
        <w:rPr>
          <w:spacing w:val="-4"/>
          <w:sz w:val="18"/>
          <w:szCs w:val="18"/>
          <w:lang w:val="es-ES_tradnl"/>
        </w:rPr>
        <w:t xml:space="preserve">blico la existencia del </w:t>
      </w:r>
      <w:r>
        <w:rPr>
          <w:spacing w:val="-9"/>
          <w:sz w:val="18"/>
          <w:szCs w:val="18"/>
          <w:lang w:val="es-ES_tradnl"/>
        </w:rPr>
        <w:t>proceso, a trav</w:t>
      </w:r>
      <w:r>
        <w:rPr>
          <w:rFonts w:cs="Times New Roman"/>
          <w:spacing w:val="-9"/>
          <w:sz w:val="18"/>
          <w:szCs w:val="18"/>
          <w:lang w:val="es-ES_tradnl"/>
        </w:rPr>
        <w:t>é</w:t>
      </w:r>
      <w:r>
        <w:rPr>
          <w:spacing w:val="-9"/>
          <w:sz w:val="18"/>
          <w:szCs w:val="18"/>
          <w:lang w:val="es-ES_tradnl"/>
        </w:rPr>
        <w:t>s de la publicaci</w:t>
      </w:r>
      <w:r>
        <w:rPr>
          <w:rFonts w:cs="Times New Roman"/>
          <w:spacing w:val="-9"/>
          <w:sz w:val="18"/>
          <w:szCs w:val="18"/>
          <w:lang w:val="es-ES_tradnl"/>
        </w:rPr>
        <w:t>ó</w:t>
      </w:r>
      <w:r>
        <w:rPr>
          <w:spacing w:val="-9"/>
          <w:sz w:val="18"/>
          <w:szCs w:val="18"/>
          <w:lang w:val="es-ES_tradnl"/>
        </w:rPr>
        <w:t xml:space="preserve">n de un resumen completo </w:t>
      </w:r>
      <w:r>
        <w:rPr>
          <w:spacing w:val="-4"/>
          <w:sz w:val="18"/>
          <w:szCs w:val="18"/>
          <w:lang w:val="es-ES_tradnl"/>
        </w:rPr>
        <w:t>y fidedigno de la demanda en el Registro Oficial y en el portal electr</w:t>
      </w:r>
      <w:r>
        <w:rPr>
          <w:rFonts w:cs="Times New Roman"/>
          <w:spacing w:val="-4"/>
          <w:sz w:val="18"/>
          <w:szCs w:val="18"/>
          <w:lang w:val="es-ES_tradnl"/>
        </w:rPr>
        <w:t>ó</w:t>
      </w:r>
      <w:r>
        <w:rPr>
          <w:spacing w:val="-4"/>
          <w:sz w:val="18"/>
          <w:szCs w:val="18"/>
          <w:lang w:val="es-ES_tradnl"/>
        </w:rPr>
        <w:t>nico de la Corte Constitucional.</w:t>
      </w:r>
    </w:p>
    <w:p w14:paraId="4F67A6B0" w14:textId="77777777" w:rsidR="00591D54" w:rsidRDefault="00591D54">
      <w:pPr>
        <w:shd w:val="clear" w:color="auto" w:fill="FFFFFF"/>
        <w:spacing w:before="192" w:line="216" w:lineRule="exact"/>
        <w:jc w:val="both"/>
      </w:pPr>
      <w:r>
        <w:rPr>
          <w:spacing w:val="-5"/>
          <w:sz w:val="18"/>
          <w:szCs w:val="18"/>
          <w:lang w:val="es-ES_tradnl"/>
        </w:rPr>
        <w:t>En virtud del sorteo de causas, realizado por el Pleno de la Corte Constitucional, en sesi</w:t>
      </w:r>
      <w:r>
        <w:rPr>
          <w:rFonts w:cs="Times New Roman"/>
          <w:spacing w:val="-5"/>
          <w:sz w:val="18"/>
          <w:szCs w:val="18"/>
          <w:lang w:val="es-ES_tradnl"/>
        </w:rPr>
        <w:t>ó</w:t>
      </w:r>
      <w:r>
        <w:rPr>
          <w:spacing w:val="-5"/>
          <w:sz w:val="18"/>
          <w:szCs w:val="18"/>
          <w:lang w:val="es-ES_tradnl"/>
        </w:rPr>
        <w:t xml:space="preserve">n extraordinaria del 5 de </w:t>
      </w:r>
      <w:r>
        <w:rPr>
          <w:spacing w:val="-7"/>
          <w:sz w:val="18"/>
          <w:szCs w:val="18"/>
          <w:lang w:val="es-ES_tradnl"/>
        </w:rPr>
        <w:t>noviembre de 2013, de conformidad con el art</w:t>
      </w:r>
      <w:r>
        <w:rPr>
          <w:rFonts w:cs="Times New Roman"/>
          <w:spacing w:val="-7"/>
          <w:sz w:val="18"/>
          <w:szCs w:val="18"/>
          <w:lang w:val="es-ES_tradnl"/>
        </w:rPr>
        <w:t>í</w:t>
      </w:r>
      <w:r>
        <w:rPr>
          <w:spacing w:val="-7"/>
          <w:sz w:val="18"/>
          <w:szCs w:val="18"/>
          <w:lang w:val="es-ES_tradnl"/>
        </w:rPr>
        <w:t xml:space="preserve">culo 195 de </w:t>
      </w:r>
      <w:r>
        <w:rPr>
          <w:spacing w:val="-4"/>
          <w:sz w:val="18"/>
          <w:szCs w:val="18"/>
          <w:lang w:val="es-ES_tradnl"/>
        </w:rPr>
        <w:t>la Ley Org</w:t>
      </w:r>
      <w:r>
        <w:rPr>
          <w:rFonts w:cs="Times New Roman"/>
          <w:spacing w:val="-4"/>
          <w:sz w:val="18"/>
          <w:szCs w:val="18"/>
          <w:lang w:val="es-ES_tradnl"/>
        </w:rPr>
        <w:t>á</w:t>
      </w:r>
      <w:r>
        <w:rPr>
          <w:spacing w:val="-4"/>
          <w:sz w:val="18"/>
          <w:szCs w:val="18"/>
          <w:lang w:val="es-ES_tradnl"/>
        </w:rPr>
        <w:t>nica de Garant</w:t>
      </w:r>
      <w:r>
        <w:rPr>
          <w:rFonts w:cs="Times New Roman"/>
          <w:spacing w:val="-4"/>
          <w:sz w:val="18"/>
          <w:szCs w:val="18"/>
          <w:lang w:val="es-ES_tradnl"/>
        </w:rPr>
        <w:t>í</w:t>
      </w:r>
      <w:r>
        <w:rPr>
          <w:spacing w:val="-4"/>
          <w:sz w:val="18"/>
          <w:szCs w:val="18"/>
          <w:lang w:val="es-ES_tradnl"/>
        </w:rPr>
        <w:t xml:space="preserve">as Jurisdiccionales y Control </w:t>
      </w:r>
      <w:r>
        <w:rPr>
          <w:sz w:val="18"/>
          <w:szCs w:val="18"/>
          <w:lang w:val="es-ES_tradnl"/>
        </w:rPr>
        <w:t>Constitucional, correspondi</w:t>
      </w:r>
      <w:r>
        <w:rPr>
          <w:rFonts w:cs="Times New Roman"/>
          <w:sz w:val="18"/>
          <w:szCs w:val="18"/>
          <w:lang w:val="es-ES_tradnl"/>
        </w:rPr>
        <w:t>ó</w:t>
      </w:r>
      <w:r>
        <w:rPr>
          <w:sz w:val="18"/>
          <w:szCs w:val="18"/>
          <w:lang w:val="es-ES_tradnl"/>
        </w:rPr>
        <w:t xml:space="preserve"> al juez constitucional </w:t>
      </w:r>
      <w:r>
        <w:rPr>
          <w:spacing w:val="-5"/>
          <w:sz w:val="18"/>
          <w:szCs w:val="18"/>
          <w:lang w:val="es-ES_tradnl"/>
        </w:rPr>
        <w:t xml:space="preserve">Manuel Viteri Olvera, actuar como juez sustanciador del </w:t>
      </w:r>
      <w:r>
        <w:rPr>
          <w:spacing w:val="-4"/>
          <w:sz w:val="18"/>
          <w:szCs w:val="18"/>
          <w:lang w:val="es-ES_tradnl"/>
        </w:rPr>
        <w:t>presente caso, quien mediante auto del 17 de diciembre</w:t>
      </w:r>
    </w:p>
    <w:p w14:paraId="4F67A6B1" w14:textId="77777777" w:rsidR="00591D54" w:rsidRDefault="00591D54">
      <w:pPr>
        <w:shd w:val="clear" w:color="auto" w:fill="FFFFFF"/>
        <w:spacing w:before="192" w:line="216" w:lineRule="exact"/>
        <w:jc w:val="both"/>
        <w:sectPr w:rsidR="00591D54">
          <w:type w:val="continuous"/>
          <w:pgSz w:w="11909" w:h="16834"/>
          <w:pgMar w:top="1368" w:right="1304" w:bottom="360" w:left="1308" w:header="720" w:footer="720" w:gutter="0"/>
          <w:cols w:num="2" w:space="720" w:equalWidth="0">
            <w:col w:w="4305" w:space="682"/>
            <w:col w:w="4310"/>
          </w:cols>
          <w:noEndnote/>
        </w:sectPr>
      </w:pPr>
    </w:p>
    <w:p w14:paraId="4F67A6B2" w14:textId="77777777" w:rsidR="00591D54" w:rsidRDefault="00591D54">
      <w:pPr>
        <w:shd w:val="clear" w:color="auto" w:fill="FFFFFF"/>
        <w:tabs>
          <w:tab w:val="left" w:pos="4814"/>
        </w:tabs>
        <w:spacing w:after="235"/>
        <w:ind w:left="5"/>
      </w:pPr>
      <w:r>
        <w:rPr>
          <w:b/>
          <w:bCs/>
          <w:sz w:val="18"/>
          <w:szCs w:val="18"/>
          <w:lang w:val="es-ES_tradnl"/>
        </w:rPr>
        <w:t xml:space="preserve">42 -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6B3" w14:textId="77777777" w:rsidR="00591D54" w:rsidRDefault="00591D54">
      <w:pPr>
        <w:shd w:val="clear" w:color="auto" w:fill="FFFFFF"/>
        <w:tabs>
          <w:tab w:val="left" w:pos="4814"/>
        </w:tabs>
        <w:spacing w:after="235"/>
        <w:ind w:left="5"/>
        <w:sectPr w:rsidR="00591D54">
          <w:pgSz w:w="11909" w:h="16834"/>
          <w:pgMar w:top="1368" w:right="1309" w:bottom="360" w:left="1308" w:header="720" w:footer="720" w:gutter="0"/>
          <w:cols w:space="60"/>
          <w:noEndnote/>
        </w:sectPr>
      </w:pPr>
    </w:p>
    <w:p w14:paraId="4F67A6B4" w14:textId="77777777" w:rsidR="00591D54" w:rsidRDefault="00591D54">
      <w:pPr>
        <w:shd w:val="clear" w:color="auto" w:fill="FFFFFF"/>
        <w:spacing w:line="216" w:lineRule="exact"/>
        <w:jc w:val="both"/>
      </w:pPr>
      <w:r>
        <w:rPr>
          <w:spacing w:val="-6"/>
          <w:sz w:val="18"/>
          <w:szCs w:val="18"/>
          <w:lang w:val="es-ES_tradnl"/>
        </w:rPr>
        <w:t>de 2013 a las 09h40, avoc</w:t>
      </w:r>
      <w:r>
        <w:rPr>
          <w:rFonts w:cs="Times New Roman"/>
          <w:spacing w:val="-6"/>
          <w:sz w:val="18"/>
          <w:szCs w:val="18"/>
          <w:lang w:val="es-ES_tradnl"/>
        </w:rPr>
        <w:t>ó</w:t>
      </w:r>
      <w:r>
        <w:rPr>
          <w:spacing w:val="-6"/>
          <w:sz w:val="18"/>
          <w:szCs w:val="18"/>
          <w:lang w:val="es-ES_tradnl"/>
        </w:rPr>
        <w:t xml:space="preserve"> conocimiento de la causa y </w:t>
      </w:r>
      <w:r>
        <w:rPr>
          <w:spacing w:val="-2"/>
          <w:sz w:val="18"/>
          <w:szCs w:val="18"/>
          <w:lang w:val="es-ES_tradnl"/>
        </w:rPr>
        <w:t>dispuso notificar al Gobierno Aut</w:t>
      </w:r>
      <w:r>
        <w:rPr>
          <w:rFonts w:cs="Times New Roman"/>
          <w:spacing w:val="-2"/>
          <w:sz w:val="18"/>
          <w:szCs w:val="18"/>
          <w:lang w:val="es-ES_tradnl"/>
        </w:rPr>
        <w:t>ó</w:t>
      </w:r>
      <w:r>
        <w:rPr>
          <w:spacing w:val="-2"/>
          <w:sz w:val="18"/>
          <w:szCs w:val="18"/>
          <w:lang w:val="es-ES_tradnl"/>
        </w:rPr>
        <w:t xml:space="preserve">nomo Municipal del </w:t>
      </w:r>
      <w:r>
        <w:rPr>
          <w:spacing w:val="-6"/>
          <w:sz w:val="18"/>
          <w:szCs w:val="18"/>
          <w:lang w:val="es-ES_tradnl"/>
        </w:rPr>
        <w:t>cant</w:t>
      </w:r>
      <w:r>
        <w:rPr>
          <w:rFonts w:cs="Times New Roman"/>
          <w:spacing w:val="-6"/>
          <w:sz w:val="18"/>
          <w:szCs w:val="18"/>
          <w:lang w:val="es-ES_tradnl"/>
        </w:rPr>
        <w:t>ó</w:t>
      </w:r>
      <w:r>
        <w:rPr>
          <w:spacing w:val="-6"/>
          <w:sz w:val="18"/>
          <w:szCs w:val="18"/>
          <w:lang w:val="es-ES_tradnl"/>
        </w:rPr>
        <w:t>n Rumi</w:t>
      </w:r>
      <w:r>
        <w:rPr>
          <w:rFonts w:cs="Times New Roman"/>
          <w:spacing w:val="-6"/>
          <w:sz w:val="18"/>
          <w:szCs w:val="18"/>
          <w:lang w:val="es-ES_tradnl"/>
        </w:rPr>
        <w:t>ñ</w:t>
      </w:r>
      <w:r>
        <w:rPr>
          <w:spacing w:val="-6"/>
          <w:sz w:val="18"/>
          <w:szCs w:val="18"/>
          <w:lang w:val="es-ES_tradnl"/>
        </w:rPr>
        <w:t>ahui para que conteste la misma, as</w:t>
      </w:r>
      <w:r>
        <w:rPr>
          <w:rFonts w:cs="Times New Roman"/>
          <w:spacing w:val="-6"/>
          <w:sz w:val="18"/>
          <w:szCs w:val="18"/>
          <w:lang w:val="es-ES_tradnl"/>
        </w:rPr>
        <w:t>í</w:t>
      </w:r>
      <w:r>
        <w:rPr>
          <w:spacing w:val="-6"/>
          <w:sz w:val="18"/>
          <w:szCs w:val="18"/>
          <w:lang w:val="es-ES_tradnl"/>
        </w:rPr>
        <w:t xml:space="preserve"> como al procurador general del Estado, para que intervenga </w:t>
      </w:r>
      <w:r>
        <w:rPr>
          <w:spacing w:val="-5"/>
          <w:sz w:val="18"/>
          <w:szCs w:val="18"/>
          <w:lang w:val="es-ES_tradnl"/>
        </w:rPr>
        <w:t xml:space="preserve">defendiendo o impugnando la constitucionalidad de las </w:t>
      </w:r>
      <w:r>
        <w:rPr>
          <w:spacing w:val="-3"/>
          <w:sz w:val="18"/>
          <w:szCs w:val="18"/>
          <w:lang w:val="es-ES_tradnl"/>
        </w:rPr>
        <w:t xml:space="preserve">normas impugnadas, y al secretario del municipio del </w:t>
      </w:r>
      <w:r>
        <w:rPr>
          <w:spacing w:val="-4"/>
          <w:sz w:val="18"/>
          <w:szCs w:val="18"/>
          <w:lang w:val="es-ES_tradnl"/>
        </w:rPr>
        <w:t>cant</w:t>
      </w:r>
      <w:r>
        <w:rPr>
          <w:rFonts w:cs="Times New Roman"/>
          <w:spacing w:val="-4"/>
          <w:sz w:val="18"/>
          <w:szCs w:val="18"/>
          <w:lang w:val="es-ES_tradnl"/>
        </w:rPr>
        <w:t>ó</w:t>
      </w:r>
      <w:r>
        <w:rPr>
          <w:spacing w:val="-4"/>
          <w:sz w:val="18"/>
          <w:szCs w:val="18"/>
          <w:lang w:val="es-ES_tradnl"/>
        </w:rPr>
        <w:t>n Rumi</w:t>
      </w:r>
      <w:r>
        <w:rPr>
          <w:rFonts w:cs="Times New Roman"/>
          <w:spacing w:val="-4"/>
          <w:sz w:val="18"/>
          <w:szCs w:val="18"/>
          <w:lang w:val="es-ES_tradnl"/>
        </w:rPr>
        <w:t>ñ</w:t>
      </w:r>
      <w:r>
        <w:rPr>
          <w:spacing w:val="-4"/>
          <w:sz w:val="18"/>
          <w:szCs w:val="18"/>
          <w:lang w:val="es-ES_tradnl"/>
        </w:rPr>
        <w:t xml:space="preserve">ahui, requiriendo que remita a la Corte los </w:t>
      </w:r>
      <w:r>
        <w:rPr>
          <w:spacing w:val="-5"/>
          <w:sz w:val="18"/>
          <w:szCs w:val="18"/>
          <w:lang w:val="es-ES_tradnl"/>
        </w:rPr>
        <w:t xml:space="preserve">documentos e informes que dieron origen a las normas </w:t>
      </w:r>
      <w:r>
        <w:rPr>
          <w:spacing w:val="-6"/>
          <w:sz w:val="18"/>
          <w:szCs w:val="18"/>
          <w:lang w:val="es-ES_tradnl"/>
        </w:rPr>
        <w:t>materia de la presente acci</w:t>
      </w:r>
      <w:r>
        <w:rPr>
          <w:rFonts w:cs="Times New Roman"/>
          <w:spacing w:val="-6"/>
          <w:sz w:val="18"/>
          <w:szCs w:val="18"/>
          <w:lang w:val="es-ES_tradnl"/>
        </w:rPr>
        <w:t>ó</w:t>
      </w:r>
      <w:r>
        <w:rPr>
          <w:spacing w:val="-6"/>
          <w:sz w:val="18"/>
          <w:szCs w:val="18"/>
          <w:lang w:val="es-ES_tradnl"/>
        </w:rPr>
        <w:t>n constitucional.</w:t>
      </w:r>
    </w:p>
    <w:p w14:paraId="4F67A6B5" w14:textId="77777777" w:rsidR="00591D54" w:rsidRDefault="00591D54">
      <w:pPr>
        <w:shd w:val="clear" w:color="auto" w:fill="FFFFFF"/>
        <w:spacing w:before="192"/>
      </w:pPr>
      <w:r>
        <w:rPr>
          <w:b/>
          <w:bCs/>
          <w:spacing w:val="-7"/>
          <w:sz w:val="18"/>
          <w:szCs w:val="18"/>
          <w:lang w:val="es-ES_tradnl"/>
        </w:rPr>
        <w:t>Detalle de la acci</w:t>
      </w:r>
      <w:r>
        <w:rPr>
          <w:rFonts w:cs="Times New Roman"/>
          <w:b/>
          <w:bCs/>
          <w:spacing w:val="-7"/>
          <w:sz w:val="18"/>
          <w:szCs w:val="18"/>
          <w:lang w:val="es-ES_tradnl"/>
        </w:rPr>
        <w:t>ó</w:t>
      </w:r>
      <w:r>
        <w:rPr>
          <w:b/>
          <w:bCs/>
          <w:spacing w:val="-7"/>
          <w:sz w:val="18"/>
          <w:szCs w:val="18"/>
          <w:lang w:val="es-ES_tradnl"/>
        </w:rPr>
        <w:t>n propuesta</w:t>
      </w:r>
    </w:p>
    <w:p w14:paraId="4F67A6B6" w14:textId="77777777" w:rsidR="00591D54" w:rsidRDefault="00591D54">
      <w:pPr>
        <w:shd w:val="clear" w:color="auto" w:fill="FFFFFF"/>
        <w:spacing w:before="197" w:line="216" w:lineRule="exact"/>
        <w:jc w:val="both"/>
      </w:pPr>
      <w:r>
        <w:rPr>
          <w:spacing w:val="-4"/>
          <w:sz w:val="18"/>
          <w:szCs w:val="18"/>
          <w:lang w:val="es-ES_tradnl"/>
        </w:rPr>
        <w:t>El accionante, en lo principal, manifiesta que el C</w:t>
      </w:r>
      <w:r>
        <w:rPr>
          <w:rFonts w:cs="Times New Roman"/>
          <w:spacing w:val="-4"/>
          <w:sz w:val="18"/>
          <w:szCs w:val="18"/>
          <w:lang w:val="es-ES_tradnl"/>
        </w:rPr>
        <w:t>ó</w:t>
      </w:r>
      <w:r>
        <w:rPr>
          <w:spacing w:val="-4"/>
          <w:sz w:val="18"/>
          <w:szCs w:val="18"/>
          <w:lang w:val="es-ES_tradnl"/>
        </w:rPr>
        <w:t xml:space="preserve">digo </w:t>
      </w:r>
      <w:r>
        <w:rPr>
          <w:spacing w:val="-3"/>
          <w:sz w:val="18"/>
          <w:szCs w:val="18"/>
          <w:lang w:val="es-ES_tradnl"/>
        </w:rPr>
        <w:t>Org</w:t>
      </w:r>
      <w:r>
        <w:rPr>
          <w:rFonts w:cs="Times New Roman"/>
          <w:spacing w:val="-3"/>
          <w:sz w:val="18"/>
          <w:szCs w:val="18"/>
          <w:lang w:val="es-ES_tradnl"/>
        </w:rPr>
        <w:t>á</w:t>
      </w:r>
      <w:r>
        <w:rPr>
          <w:spacing w:val="-3"/>
          <w:sz w:val="18"/>
          <w:szCs w:val="18"/>
          <w:lang w:val="es-ES_tradnl"/>
        </w:rPr>
        <w:t>nico de Organizaci</w:t>
      </w:r>
      <w:r>
        <w:rPr>
          <w:rFonts w:cs="Times New Roman"/>
          <w:spacing w:val="-3"/>
          <w:sz w:val="18"/>
          <w:szCs w:val="18"/>
          <w:lang w:val="es-ES_tradnl"/>
        </w:rPr>
        <w:t>ó</w:t>
      </w:r>
      <w:r>
        <w:rPr>
          <w:spacing w:val="-3"/>
          <w:sz w:val="18"/>
          <w:szCs w:val="18"/>
          <w:lang w:val="es-ES_tradnl"/>
        </w:rPr>
        <w:t>n Territorial, Autonom</w:t>
      </w:r>
      <w:r>
        <w:rPr>
          <w:rFonts w:cs="Times New Roman"/>
          <w:spacing w:val="-3"/>
          <w:sz w:val="18"/>
          <w:szCs w:val="18"/>
          <w:lang w:val="es-ES_tradnl"/>
        </w:rPr>
        <w:t>í</w:t>
      </w:r>
      <w:r>
        <w:rPr>
          <w:spacing w:val="-3"/>
          <w:sz w:val="18"/>
          <w:szCs w:val="18"/>
          <w:lang w:val="es-ES_tradnl"/>
        </w:rPr>
        <w:t xml:space="preserve">a y </w:t>
      </w:r>
      <w:r>
        <w:rPr>
          <w:sz w:val="18"/>
          <w:szCs w:val="18"/>
          <w:lang w:val="es-ES_tradnl"/>
        </w:rPr>
        <w:t>Descentralizaci</w:t>
      </w:r>
      <w:r>
        <w:rPr>
          <w:rFonts w:cs="Times New Roman"/>
          <w:sz w:val="18"/>
          <w:szCs w:val="18"/>
          <w:lang w:val="es-ES_tradnl"/>
        </w:rPr>
        <w:t>ó</w:t>
      </w:r>
      <w:r>
        <w:rPr>
          <w:sz w:val="18"/>
          <w:szCs w:val="18"/>
          <w:lang w:val="es-ES_tradnl"/>
        </w:rPr>
        <w:t xml:space="preserve">n (COOTAD), fue publicado en el </w:t>
      </w:r>
      <w:r>
        <w:rPr>
          <w:spacing w:val="-4"/>
          <w:sz w:val="18"/>
          <w:szCs w:val="18"/>
          <w:lang w:val="es-ES_tradnl"/>
        </w:rPr>
        <w:t>Registro Oficial N.</w:t>
      </w:r>
      <w:r>
        <w:rPr>
          <w:rFonts w:cs="Times New Roman"/>
          <w:spacing w:val="-4"/>
          <w:sz w:val="18"/>
          <w:szCs w:val="18"/>
          <w:lang w:val="es-ES_tradnl"/>
        </w:rPr>
        <w:t>º</w:t>
      </w:r>
      <w:r>
        <w:rPr>
          <w:spacing w:val="-4"/>
          <w:sz w:val="18"/>
          <w:szCs w:val="18"/>
          <w:lang w:val="es-ES_tradnl"/>
        </w:rPr>
        <w:t xml:space="preserve"> 303 del 19 de octubre de 2010; que </w:t>
      </w:r>
      <w:r>
        <w:rPr>
          <w:spacing w:val="-6"/>
          <w:sz w:val="18"/>
          <w:szCs w:val="18"/>
          <w:lang w:val="es-ES_tradnl"/>
        </w:rPr>
        <w:t>el presidente de la Comisi</w:t>
      </w:r>
      <w:r>
        <w:rPr>
          <w:rFonts w:cs="Times New Roman"/>
          <w:spacing w:val="-6"/>
          <w:sz w:val="18"/>
          <w:szCs w:val="18"/>
          <w:lang w:val="es-ES_tradnl"/>
        </w:rPr>
        <w:t>ó</w:t>
      </w:r>
      <w:r>
        <w:rPr>
          <w:spacing w:val="-6"/>
          <w:sz w:val="18"/>
          <w:szCs w:val="18"/>
          <w:lang w:val="es-ES_tradnl"/>
        </w:rPr>
        <w:t>n de Legislaci</w:t>
      </w:r>
      <w:r>
        <w:rPr>
          <w:rFonts w:cs="Times New Roman"/>
          <w:spacing w:val="-6"/>
          <w:sz w:val="18"/>
          <w:szCs w:val="18"/>
          <w:lang w:val="es-ES_tradnl"/>
        </w:rPr>
        <w:t>ó</w:t>
      </w:r>
      <w:r>
        <w:rPr>
          <w:spacing w:val="-6"/>
          <w:sz w:val="18"/>
          <w:szCs w:val="18"/>
          <w:lang w:val="es-ES_tradnl"/>
        </w:rPr>
        <w:t xml:space="preserve">n del Municipio </w:t>
      </w:r>
      <w:r>
        <w:rPr>
          <w:sz w:val="18"/>
          <w:szCs w:val="18"/>
          <w:lang w:val="es-ES_tradnl"/>
        </w:rPr>
        <w:t>de Rumi</w:t>
      </w:r>
      <w:r>
        <w:rPr>
          <w:rFonts w:cs="Times New Roman"/>
          <w:sz w:val="18"/>
          <w:szCs w:val="18"/>
          <w:lang w:val="es-ES_tradnl"/>
        </w:rPr>
        <w:t>ñ</w:t>
      </w:r>
      <w:r>
        <w:rPr>
          <w:sz w:val="18"/>
          <w:szCs w:val="18"/>
          <w:lang w:val="es-ES_tradnl"/>
        </w:rPr>
        <w:t>ahui present</w:t>
      </w:r>
      <w:r>
        <w:rPr>
          <w:rFonts w:cs="Times New Roman"/>
          <w:sz w:val="18"/>
          <w:szCs w:val="18"/>
          <w:lang w:val="es-ES_tradnl"/>
        </w:rPr>
        <w:t>ó</w:t>
      </w:r>
      <w:r>
        <w:rPr>
          <w:sz w:val="18"/>
          <w:szCs w:val="18"/>
          <w:lang w:val="es-ES_tradnl"/>
        </w:rPr>
        <w:t xml:space="preserve"> al alcalde un proyecto de </w:t>
      </w:r>
      <w:r>
        <w:rPr>
          <w:spacing w:val="-6"/>
          <w:sz w:val="18"/>
          <w:szCs w:val="18"/>
          <w:lang w:val="es-ES_tradnl"/>
        </w:rPr>
        <w:t>ordenanza que regule la participaci</w:t>
      </w:r>
      <w:r>
        <w:rPr>
          <w:rFonts w:cs="Times New Roman"/>
          <w:spacing w:val="-6"/>
          <w:sz w:val="18"/>
          <w:szCs w:val="18"/>
          <w:lang w:val="es-ES_tradnl"/>
        </w:rPr>
        <w:t>ó</w:t>
      </w:r>
      <w:r>
        <w:rPr>
          <w:spacing w:val="-6"/>
          <w:sz w:val="18"/>
          <w:szCs w:val="18"/>
          <w:lang w:val="es-ES_tradnl"/>
        </w:rPr>
        <w:t xml:space="preserve">n ciudadana en dicho </w:t>
      </w:r>
      <w:r>
        <w:rPr>
          <w:spacing w:val="-5"/>
          <w:sz w:val="18"/>
          <w:szCs w:val="18"/>
          <w:lang w:val="es-ES_tradnl"/>
        </w:rPr>
        <w:t>cant</w:t>
      </w:r>
      <w:r>
        <w:rPr>
          <w:rFonts w:cs="Times New Roman"/>
          <w:spacing w:val="-5"/>
          <w:sz w:val="18"/>
          <w:szCs w:val="18"/>
          <w:lang w:val="es-ES_tradnl"/>
        </w:rPr>
        <w:t>ó</w:t>
      </w:r>
      <w:r>
        <w:rPr>
          <w:spacing w:val="-5"/>
          <w:sz w:val="18"/>
          <w:szCs w:val="18"/>
          <w:lang w:val="es-ES_tradnl"/>
        </w:rPr>
        <w:t>n (Sangolqu</w:t>
      </w:r>
      <w:r>
        <w:rPr>
          <w:rFonts w:cs="Times New Roman"/>
          <w:spacing w:val="-5"/>
          <w:sz w:val="18"/>
          <w:szCs w:val="18"/>
          <w:lang w:val="es-ES_tradnl"/>
        </w:rPr>
        <w:t>í</w:t>
      </w:r>
      <w:r>
        <w:rPr>
          <w:spacing w:val="-5"/>
          <w:sz w:val="18"/>
          <w:szCs w:val="18"/>
          <w:lang w:val="es-ES_tradnl"/>
        </w:rPr>
        <w:t xml:space="preserve">); posteriormente, fue presentado otro </w:t>
      </w:r>
      <w:r>
        <w:rPr>
          <w:spacing w:val="-8"/>
          <w:sz w:val="18"/>
          <w:szCs w:val="18"/>
          <w:lang w:val="es-ES_tradnl"/>
        </w:rPr>
        <w:t xml:space="preserve">proyecto de ordenanza por parte de varios funcionarios del </w:t>
      </w:r>
      <w:r>
        <w:rPr>
          <w:spacing w:val="-4"/>
          <w:sz w:val="18"/>
          <w:szCs w:val="18"/>
          <w:lang w:val="es-ES_tradnl"/>
        </w:rPr>
        <w:t xml:space="preserve">Municipio, y finalmente otro proyecto de ordenanza, por </w:t>
      </w:r>
      <w:r>
        <w:rPr>
          <w:spacing w:val="-6"/>
          <w:sz w:val="18"/>
          <w:szCs w:val="18"/>
          <w:lang w:val="es-ES_tradnl"/>
        </w:rPr>
        <w:t>parte del nuevo presidente de la Comisi</w:t>
      </w:r>
      <w:r>
        <w:rPr>
          <w:rFonts w:cs="Times New Roman"/>
          <w:spacing w:val="-6"/>
          <w:sz w:val="18"/>
          <w:szCs w:val="18"/>
          <w:lang w:val="es-ES_tradnl"/>
        </w:rPr>
        <w:t>ó</w:t>
      </w:r>
      <w:r>
        <w:rPr>
          <w:spacing w:val="-6"/>
          <w:sz w:val="18"/>
          <w:szCs w:val="18"/>
          <w:lang w:val="es-ES_tradnl"/>
        </w:rPr>
        <w:t>n de Legislaci</w:t>
      </w:r>
      <w:r>
        <w:rPr>
          <w:rFonts w:cs="Times New Roman"/>
          <w:spacing w:val="-6"/>
          <w:sz w:val="18"/>
          <w:szCs w:val="18"/>
          <w:lang w:val="es-ES_tradnl"/>
        </w:rPr>
        <w:t>ó</w:t>
      </w:r>
      <w:r>
        <w:rPr>
          <w:spacing w:val="-6"/>
          <w:sz w:val="18"/>
          <w:szCs w:val="18"/>
          <w:lang w:val="es-ES_tradnl"/>
        </w:rPr>
        <w:t xml:space="preserve">n </w:t>
      </w:r>
      <w:r>
        <w:rPr>
          <w:sz w:val="18"/>
          <w:szCs w:val="18"/>
          <w:lang w:val="es-ES_tradnl"/>
        </w:rPr>
        <w:t>del Municipio del cant</w:t>
      </w:r>
      <w:r>
        <w:rPr>
          <w:rFonts w:cs="Times New Roman"/>
          <w:sz w:val="18"/>
          <w:szCs w:val="18"/>
          <w:lang w:val="es-ES_tradnl"/>
        </w:rPr>
        <w:t>ó</w:t>
      </w:r>
      <w:r>
        <w:rPr>
          <w:sz w:val="18"/>
          <w:szCs w:val="18"/>
          <w:lang w:val="es-ES_tradnl"/>
        </w:rPr>
        <w:t>n Rumi</w:t>
      </w:r>
      <w:r>
        <w:rPr>
          <w:rFonts w:cs="Times New Roman"/>
          <w:sz w:val="18"/>
          <w:szCs w:val="18"/>
          <w:lang w:val="es-ES_tradnl"/>
        </w:rPr>
        <w:t>ñ</w:t>
      </w:r>
      <w:r>
        <w:rPr>
          <w:sz w:val="18"/>
          <w:szCs w:val="18"/>
          <w:lang w:val="es-ES_tradnl"/>
        </w:rPr>
        <w:t xml:space="preserve">ahui. Que la directiva </w:t>
      </w:r>
      <w:r>
        <w:rPr>
          <w:spacing w:val="-6"/>
          <w:sz w:val="18"/>
          <w:szCs w:val="18"/>
          <w:lang w:val="es-ES_tradnl"/>
        </w:rPr>
        <w:t>del comit</w:t>
      </w:r>
      <w:r>
        <w:rPr>
          <w:rFonts w:cs="Times New Roman"/>
          <w:spacing w:val="-6"/>
          <w:sz w:val="18"/>
          <w:szCs w:val="18"/>
          <w:lang w:val="es-ES_tradnl"/>
        </w:rPr>
        <w:t>é</w:t>
      </w:r>
      <w:r>
        <w:rPr>
          <w:spacing w:val="-6"/>
          <w:sz w:val="18"/>
          <w:szCs w:val="18"/>
          <w:lang w:val="es-ES_tradnl"/>
        </w:rPr>
        <w:t xml:space="preserve"> barrial Santa Rosa de Sangolqu</w:t>
      </w:r>
      <w:r>
        <w:rPr>
          <w:rFonts w:cs="Times New Roman"/>
          <w:spacing w:val="-6"/>
          <w:sz w:val="18"/>
          <w:szCs w:val="18"/>
          <w:lang w:val="es-ES_tradnl"/>
        </w:rPr>
        <w:t>í</w:t>
      </w:r>
      <w:r>
        <w:rPr>
          <w:spacing w:val="-6"/>
          <w:sz w:val="18"/>
          <w:szCs w:val="18"/>
          <w:lang w:val="es-ES_tradnl"/>
        </w:rPr>
        <w:t xml:space="preserve"> expuso la </w:t>
      </w:r>
      <w:r>
        <w:rPr>
          <w:spacing w:val="-2"/>
          <w:sz w:val="18"/>
          <w:szCs w:val="18"/>
          <w:lang w:val="es-ES_tradnl"/>
        </w:rPr>
        <w:t xml:space="preserve">necesidad de contar con una ordenanza que garantice </w:t>
      </w:r>
      <w:r>
        <w:rPr>
          <w:spacing w:val="-4"/>
          <w:sz w:val="18"/>
          <w:szCs w:val="18"/>
          <w:lang w:val="es-ES_tradnl"/>
        </w:rPr>
        <w:t>la participaci</w:t>
      </w:r>
      <w:r>
        <w:rPr>
          <w:rFonts w:cs="Times New Roman"/>
          <w:spacing w:val="-4"/>
          <w:sz w:val="18"/>
          <w:szCs w:val="18"/>
          <w:lang w:val="es-ES_tradnl"/>
        </w:rPr>
        <w:t>ó</w:t>
      </w:r>
      <w:r>
        <w:rPr>
          <w:spacing w:val="-4"/>
          <w:sz w:val="18"/>
          <w:szCs w:val="18"/>
          <w:lang w:val="es-ES_tradnl"/>
        </w:rPr>
        <w:t>n ciudadana, por lo cual se expidi</w:t>
      </w:r>
      <w:r>
        <w:rPr>
          <w:rFonts w:cs="Times New Roman"/>
          <w:spacing w:val="-4"/>
          <w:sz w:val="18"/>
          <w:szCs w:val="18"/>
          <w:lang w:val="es-ES_tradnl"/>
        </w:rPr>
        <w:t>ó</w:t>
      </w:r>
      <w:r>
        <w:rPr>
          <w:spacing w:val="-4"/>
          <w:sz w:val="18"/>
          <w:szCs w:val="18"/>
          <w:lang w:val="es-ES_tradnl"/>
        </w:rPr>
        <w:t xml:space="preserve"> la </w:t>
      </w:r>
      <w:r>
        <w:rPr>
          <w:rFonts w:cs="Times New Roman"/>
          <w:spacing w:val="-3"/>
          <w:sz w:val="18"/>
          <w:szCs w:val="18"/>
          <w:lang w:val="es-ES_tradnl"/>
        </w:rPr>
        <w:t>“</w:t>
      </w:r>
      <w:r>
        <w:rPr>
          <w:spacing w:val="-3"/>
          <w:sz w:val="18"/>
          <w:szCs w:val="18"/>
          <w:lang w:val="es-ES_tradnl"/>
        </w:rPr>
        <w:t>Ordenanza del Sistema de Gesti</w:t>
      </w:r>
      <w:r>
        <w:rPr>
          <w:rFonts w:cs="Times New Roman"/>
          <w:spacing w:val="-3"/>
          <w:sz w:val="18"/>
          <w:szCs w:val="18"/>
          <w:lang w:val="es-ES_tradnl"/>
        </w:rPr>
        <w:t>ó</w:t>
      </w:r>
      <w:r>
        <w:rPr>
          <w:spacing w:val="-3"/>
          <w:sz w:val="18"/>
          <w:szCs w:val="18"/>
          <w:lang w:val="es-ES_tradnl"/>
        </w:rPr>
        <w:t>n y Participaci</w:t>
      </w:r>
      <w:r>
        <w:rPr>
          <w:rFonts w:cs="Times New Roman"/>
          <w:spacing w:val="-3"/>
          <w:sz w:val="18"/>
          <w:szCs w:val="18"/>
          <w:lang w:val="es-ES_tradnl"/>
        </w:rPr>
        <w:t>ó</w:t>
      </w:r>
      <w:r>
        <w:rPr>
          <w:spacing w:val="-3"/>
          <w:sz w:val="18"/>
          <w:szCs w:val="18"/>
          <w:lang w:val="es-ES_tradnl"/>
        </w:rPr>
        <w:t xml:space="preserve">n </w:t>
      </w:r>
      <w:r>
        <w:rPr>
          <w:sz w:val="18"/>
          <w:szCs w:val="18"/>
          <w:lang w:val="es-ES_tradnl"/>
        </w:rPr>
        <w:t>Ciudadana del Cant</w:t>
      </w:r>
      <w:r>
        <w:rPr>
          <w:rFonts w:cs="Times New Roman"/>
          <w:sz w:val="18"/>
          <w:szCs w:val="18"/>
          <w:lang w:val="es-ES_tradnl"/>
        </w:rPr>
        <w:t>ó</w:t>
      </w:r>
      <w:r>
        <w:rPr>
          <w:sz w:val="18"/>
          <w:szCs w:val="18"/>
          <w:lang w:val="es-ES_tradnl"/>
        </w:rPr>
        <w:t>n Rumi</w:t>
      </w:r>
      <w:r>
        <w:rPr>
          <w:rFonts w:cs="Times New Roman"/>
          <w:sz w:val="18"/>
          <w:szCs w:val="18"/>
          <w:lang w:val="es-ES_tradnl"/>
        </w:rPr>
        <w:t>ñ</w:t>
      </w:r>
      <w:r>
        <w:rPr>
          <w:sz w:val="18"/>
          <w:szCs w:val="18"/>
          <w:lang w:val="es-ES_tradnl"/>
        </w:rPr>
        <w:t>ahui</w:t>
      </w:r>
      <w:r>
        <w:rPr>
          <w:rFonts w:cs="Times New Roman"/>
          <w:sz w:val="18"/>
          <w:szCs w:val="18"/>
          <w:lang w:val="es-ES_tradnl"/>
        </w:rPr>
        <w:t>”</w:t>
      </w:r>
      <w:r>
        <w:rPr>
          <w:sz w:val="18"/>
          <w:szCs w:val="18"/>
          <w:lang w:val="es-ES_tradnl"/>
        </w:rPr>
        <w:t>.</w:t>
      </w:r>
    </w:p>
    <w:p w14:paraId="4F67A6B7" w14:textId="77777777" w:rsidR="00591D54" w:rsidRDefault="00591D54">
      <w:pPr>
        <w:shd w:val="clear" w:color="auto" w:fill="FFFFFF"/>
        <w:spacing w:before="192" w:line="216" w:lineRule="exact"/>
        <w:jc w:val="both"/>
      </w:pPr>
      <w:r>
        <w:rPr>
          <w:spacing w:val="-2"/>
          <w:sz w:val="18"/>
          <w:szCs w:val="18"/>
          <w:lang w:val="es-ES_tradnl"/>
        </w:rPr>
        <w:t>Que la disposici</w:t>
      </w:r>
      <w:r>
        <w:rPr>
          <w:rFonts w:cs="Times New Roman"/>
          <w:spacing w:val="-2"/>
          <w:sz w:val="18"/>
          <w:szCs w:val="18"/>
          <w:lang w:val="es-ES_tradnl"/>
        </w:rPr>
        <w:t>ó</w:t>
      </w:r>
      <w:r>
        <w:rPr>
          <w:spacing w:val="-2"/>
          <w:sz w:val="18"/>
          <w:szCs w:val="18"/>
          <w:lang w:val="es-ES_tradnl"/>
        </w:rPr>
        <w:t xml:space="preserve">n transitoria tercera de la referida </w:t>
      </w:r>
      <w:r>
        <w:rPr>
          <w:spacing w:val="-8"/>
          <w:sz w:val="18"/>
          <w:szCs w:val="18"/>
          <w:lang w:val="es-ES_tradnl"/>
        </w:rPr>
        <w:t>ordenanza se</w:t>
      </w:r>
      <w:r>
        <w:rPr>
          <w:rFonts w:cs="Times New Roman"/>
          <w:spacing w:val="-8"/>
          <w:sz w:val="18"/>
          <w:szCs w:val="18"/>
          <w:lang w:val="es-ES_tradnl"/>
        </w:rPr>
        <w:t>ñ</w:t>
      </w:r>
      <w:r>
        <w:rPr>
          <w:spacing w:val="-8"/>
          <w:sz w:val="18"/>
          <w:szCs w:val="18"/>
          <w:lang w:val="es-ES_tradnl"/>
        </w:rPr>
        <w:t xml:space="preserve">ala: </w:t>
      </w:r>
      <w:r>
        <w:rPr>
          <w:rFonts w:cs="Times New Roman"/>
          <w:spacing w:val="-8"/>
          <w:sz w:val="18"/>
          <w:szCs w:val="18"/>
          <w:lang w:val="es-ES_tradnl"/>
        </w:rPr>
        <w:t>“</w:t>
      </w:r>
      <w:r>
        <w:rPr>
          <w:spacing w:val="-8"/>
          <w:sz w:val="18"/>
          <w:szCs w:val="18"/>
          <w:lang w:val="es-ES_tradnl"/>
        </w:rPr>
        <w:t xml:space="preserve">Por esta vez, la Asamblea Cantonal de </w:t>
      </w:r>
      <w:r>
        <w:rPr>
          <w:spacing w:val="-6"/>
          <w:sz w:val="18"/>
          <w:szCs w:val="18"/>
          <w:lang w:val="es-ES_tradnl"/>
        </w:rPr>
        <w:t>Gesti</w:t>
      </w:r>
      <w:r>
        <w:rPr>
          <w:rFonts w:cs="Times New Roman"/>
          <w:spacing w:val="-6"/>
          <w:sz w:val="18"/>
          <w:szCs w:val="18"/>
          <w:lang w:val="es-ES_tradnl"/>
        </w:rPr>
        <w:t>ó</w:t>
      </w:r>
      <w:r>
        <w:rPr>
          <w:spacing w:val="-6"/>
          <w:sz w:val="18"/>
          <w:szCs w:val="18"/>
          <w:lang w:val="es-ES_tradnl"/>
        </w:rPr>
        <w:t>n y Participaci</w:t>
      </w:r>
      <w:r>
        <w:rPr>
          <w:rFonts w:cs="Times New Roman"/>
          <w:spacing w:val="-6"/>
          <w:sz w:val="18"/>
          <w:szCs w:val="18"/>
          <w:lang w:val="es-ES_tradnl"/>
        </w:rPr>
        <w:t>ó</w:t>
      </w:r>
      <w:r>
        <w:rPr>
          <w:spacing w:val="-6"/>
          <w:sz w:val="18"/>
          <w:szCs w:val="18"/>
          <w:lang w:val="es-ES_tradnl"/>
        </w:rPr>
        <w:t>n Ciudadana ser</w:t>
      </w:r>
      <w:r>
        <w:rPr>
          <w:rFonts w:cs="Times New Roman"/>
          <w:spacing w:val="-6"/>
          <w:sz w:val="18"/>
          <w:szCs w:val="18"/>
          <w:lang w:val="es-ES_tradnl"/>
        </w:rPr>
        <w:t>á</w:t>
      </w:r>
      <w:r>
        <w:rPr>
          <w:spacing w:val="-6"/>
          <w:sz w:val="18"/>
          <w:szCs w:val="18"/>
          <w:lang w:val="es-ES_tradnl"/>
        </w:rPr>
        <w:t xml:space="preserve"> constituida desde </w:t>
      </w:r>
      <w:r>
        <w:rPr>
          <w:spacing w:val="-8"/>
          <w:sz w:val="18"/>
          <w:szCs w:val="18"/>
          <w:lang w:val="es-ES_tradnl"/>
        </w:rPr>
        <w:t>las asambleas parroquiales y no desde las asambleas de bases territoriales. De igual manera los grupos de atenci</w:t>
      </w:r>
      <w:r>
        <w:rPr>
          <w:rFonts w:cs="Times New Roman"/>
          <w:spacing w:val="-8"/>
          <w:sz w:val="18"/>
          <w:szCs w:val="18"/>
          <w:lang w:val="es-ES_tradnl"/>
        </w:rPr>
        <w:t>ó</w:t>
      </w:r>
      <w:r>
        <w:rPr>
          <w:spacing w:val="-8"/>
          <w:sz w:val="18"/>
          <w:szCs w:val="18"/>
          <w:lang w:val="es-ES_tradnl"/>
        </w:rPr>
        <w:t xml:space="preserve">n </w:t>
      </w:r>
      <w:r>
        <w:rPr>
          <w:spacing w:val="-4"/>
          <w:sz w:val="18"/>
          <w:szCs w:val="18"/>
          <w:lang w:val="es-ES_tradnl"/>
        </w:rPr>
        <w:t>prioritaria nombrar</w:t>
      </w:r>
      <w:r>
        <w:rPr>
          <w:rFonts w:cs="Times New Roman"/>
          <w:spacing w:val="-4"/>
          <w:sz w:val="18"/>
          <w:szCs w:val="18"/>
          <w:lang w:val="es-ES_tradnl"/>
        </w:rPr>
        <w:t>á</w:t>
      </w:r>
      <w:r>
        <w:rPr>
          <w:spacing w:val="-4"/>
          <w:sz w:val="18"/>
          <w:szCs w:val="18"/>
          <w:lang w:val="es-ES_tradnl"/>
        </w:rPr>
        <w:t xml:space="preserve">n sus delegaciones y demandas a </w:t>
      </w:r>
      <w:r>
        <w:rPr>
          <w:spacing w:val="-6"/>
          <w:sz w:val="18"/>
          <w:szCs w:val="18"/>
          <w:lang w:val="es-ES_tradnl"/>
        </w:rPr>
        <w:t>partir de talleres y no de asambleas cantonales</w:t>
      </w:r>
      <w:r>
        <w:rPr>
          <w:rFonts w:cs="Times New Roman"/>
          <w:spacing w:val="-6"/>
          <w:sz w:val="18"/>
          <w:szCs w:val="18"/>
          <w:lang w:val="es-ES_tradnl"/>
        </w:rPr>
        <w:t>”</w:t>
      </w:r>
      <w:r>
        <w:rPr>
          <w:spacing w:val="-6"/>
          <w:sz w:val="18"/>
          <w:szCs w:val="18"/>
          <w:lang w:val="es-ES_tradnl"/>
        </w:rPr>
        <w:t>.</w:t>
      </w:r>
    </w:p>
    <w:p w14:paraId="4F67A6B8" w14:textId="77777777" w:rsidR="00591D54" w:rsidRDefault="00591D54">
      <w:pPr>
        <w:shd w:val="clear" w:color="auto" w:fill="FFFFFF"/>
        <w:spacing w:before="192" w:line="216" w:lineRule="exact"/>
        <w:jc w:val="both"/>
      </w:pPr>
      <w:r>
        <w:rPr>
          <w:spacing w:val="-5"/>
          <w:sz w:val="18"/>
          <w:szCs w:val="18"/>
          <w:lang w:val="es-ES_tradnl"/>
        </w:rPr>
        <w:t>Que el alcalde mal puede, mediante una disposici</w:t>
      </w:r>
      <w:r>
        <w:rPr>
          <w:rFonts w:cs="Times New Roman"/>
          <w:spacing w:val="-5"/>
          <w:sz w:val="18"/>
          <w:szCs w:val="18"/>
          <w:lang w:val="es-ES_tradnl"/>
        </w:rPr>
        <w:t>ó</w:t>
      </w:r>
      <w:r>
        <w:rPr>
          <w:spacing w:val="-5"/>
          <w:sz w:val="18"/>
          <w:szCs w:val="18"/>
          <w:lang w:val="es-ES_tradnl"/>
        </w:rPr>
        <w:t xml:space="preserve">n </w:t>
      </w:r>
      <w:r>
        <w:rPr>
          <w:spacing w:val="-4"/>
          <w:sz w:val="18"/>
          <w:szCs w:val="18"/>
          <w:lang w:val="es-ES_tradnl"/>
        </w:rPr>
        <w:t>transitoria, reformar o anular el cumplimiento de algunas leyes que regulan lo relacionado con la realizaci</w:t>
      </w:r>
      <w:r>
        <w:rPr>
          <w:rFonts w:cs="Times New Roman"/>
          <w:spacing w:val="-4"/>
          <w:sz w:val="18"/>
          <w:szCs w:val="18"/>
          <w:lang w:val="es-ES_tradnl"/>
        </w:rPr>
        <w:t>ó</w:t>
      </w:r>
      <w:r>
        <w:rPr>
          <w:spacing w:val="-4"/>
          <w:sz w:val="18"/>
          <w:szCs w:val="18"/>
          <w:lang w:val="es-ES_tradnl"/>
        </w:rPr>
        <w:t xml:space="preserve">n de </w:t>
      </w:r>
      <w:r>
        <w:rPr>
          <w:spacing w:val="-10"/>
          <w:sz w:val="18"/>
          <w:szCs w:val="18"/>
          <w:lang w:val="es-ES_tradnl"/>
        </w:rPr>
        <w:t>asambleas ciudadanas locales, como el C</w:t>
      </w:r>
      <w:r>
        <w:rPr>
          <w:rFonts w:cs="Times New Roman"/>
          <w:spacing w:val="-10"/>
          <w:sz w:val="18"/>
          <w:szCs w:val="18"/>
          <w:lang w:val="es-ES_tradnl"/>
        </w:rPr>
        <w:t>ó</w:t>
      </w:r>
      <w:r>
        <w:rPr>
          <w:spacing w:val="-10"/>
          <w:sz w:val="18"/>
          <w:szCs w:val="18"/>
          <w:lang w:val="es-ES_tradnl"/>
        </w:rPr>
        <w:t>digo Org</w:t>
      </w:r>
      <w:r>
        <w:rPr>
          <w:rFonts w:cs="Times New Roman"/>
          <w:spacing w:val="-10"/>
          <w:sz w:val="18"/>
          <w:szCs w:val="18"/>
          <w:lang w:val="es-ES_tradnl"/>
        </w:rPr>
        <w:t>á</w:t>
      </w:r>
      <w:r>
        <w:rPr>
          <w:spacing w:val="-10"/>
          <w:sz w:val="18"/>
          <w:szCs w:val="18"/>
          <w:lang w:val="es-ES_tradnl"/>
        </w:rPr>
        <w:t xml:space="preserve">nico de </w:t>
      </w:r>
      <w:r>
        <w:rPr>
          <w:spacing w:val="-4"/>
          <w:sz w:val="18"/>
          <w:szCs w:val="18"/>
          <w:lang w:val="es-ES_tradnl"/>
        </w:rPr>
        <w:t>Organizaci</w:t>
      </w:r>
      <w:r>
        <w:rPr>
          <w:rFonts w:cs="Times New Roman"/>
          <w:spacing w:val="-4"/>
          <w:sz w:val="18"/>
          <w:szCs w:val="18"/>
          <w:lang w:val="es-ES_tradnl"/>
        </w:rPr>
        <w:t>ó</w:t>
      </w:r>
      <w:r>
        <w:rPr>
          <w:spacing w:val="-4"/>
          <w:sz w:val="18"/>
          <w:szCs w:val="18"/>
          <w:lang w:val="es-ES_tradnl"/>
        </w:rPr>
        <w:t>n Territorial, Autonom</w:t>
      </w:r>
      <w:r>
        <w:rPr>
          <w:rFonts w:cs="Times New Roman"/>
          <w:spacing w:val="-4"/>
          <w:sz w:val="18"/>
          <w:szCs w:val="18"/>
          <w:lang w:val="es-ES_tradnl"/>
        </w:rPr>
        <w:t>í</w:t>
      </w:r>
      <w:r>
        <w:rPr>
          <w:spacing w:val="-4"/>
          <w:sz w:val="18"/>
          <w:szCs w:val="18"/>
          <w:lang w:val="es-ES_tradnl"/>
        </w:rPr>
        <w:t>a y Descentralizaci</w:t>
      </w:r>
      <w:r>
        <w:rPr>
          <w:rFonts w:cs="Times New Roman"/>
          <w:spacing w:val="-4"/>
          <w:sz w:val="18"/>
          <w:szCs w:val="18"/>
          <w:lang w:val="es-ES_tradnl"/>
        </w:rPr>
        <w:t>ó</w:t>
      </w:r>
      <w:r>
        <w:rPr>
          <w:spacing w:val="-4"/>
          <w:sz w:val="18"/>
          <w:szCs w:val="18"/>
          <w:lang w:val="es-ES_tradnl"/>
        </w:rPr>
        <w:t xml:space="preserve">n </w:t>
      </w:r>
      <w:r>
        <w:rPr>
          <w:sz w:val="18"/>
          <w:szCs w:val="18"/>
          <w:lang w:val="es-ES_tradnl"/>
        </w:rPr>
        <w:t>(COOTAD) y la Ley Org</w:t>
      </w:r>
      <w:r>
        <w:rPr>
          <w:rFonts w:cs="Times New Roman"/>
          <w:sz w:val="18"/>
          <w:szCs w:val="18"/>
          <w:lang w:val="es-ES_tradnl"/>
        </w:rPr>
        <w:t>á</w:t>
      </w:r>
      <w:r>
        <w:rPr>
          <w:sz w:val="18"/>
          <w:szCs w:val="18"/>
          <w:lang w:val="es-ES_tradnl"/>
        </w:rPr>
        <w:t>nica de Participaci</w:t>
      </w:r>
      <w:r>
        <w:rPr>
          <w:rFonts w:cs="Times New Roman"/>
          <w:sz w:val="18"/>
          <w:szCs w:val="18"/>
          <w:lang w:val="es-ES_tradnl"/>
        </w:rPr>
        <w:t>ó</w:t>
      </w:r>
      <w:r>
        <w:rPr>
          <w:sz w:val="18"/>
          <w:szCs w:val="18"/>
          <w:lang w:val="es-ES_tradnl"/>
        </w:rPr>
        <w:t xml:space="preserve">n </w:t>
      </w:r>
      <w:r>
        <w:rPr>
          <w:spacing w:val="-6"/>
          <w:sz w:val="18"/>
          <w:szCs w:val="18"/>
          <w:lang w:val="es-ES_tradnl"/>
        </w:rPr>
        <w:t>Ciudadana, pues debi</w:t>
      </w:r>
      <w:r>
        <w:rPr>
          <w:rFonts w:cs="Times New Roman"/>
          <w:spacing w:val="-6"/>
          <w:sz w:val="18"/>
          <w:szCs w:val="18"/>
          <w:lang w:val="es-ES_tradnl"/>
        </w:rPr>
        <w:t>ó</w:t>
      </w:r>
      <w:r>
        <w:rPr>
          <w:spacing w:val="-6"/>
          <w:sz w:val="18"/>
          <w:szCs w:val="18"/>
          <w:lang w:val="es-ES_tradnl"/>
        </w:rPr>
        <w:t xml:space="preserve"> convocar, a trav</w:t>
      </w:r>
      <w:r>
        <w:rPr>
          <w:rFonts w:cs="Times New Roman"/>
          <w:spacing w:val="-6"/>
          <w:sz w:val="18"/>
          <w:szCs w:val="18"/>
          <w:lang w:val="es-ES_tradnl"/>
        </w:rPr>
        <w:t>é</w:t>
      </w:r>
      <w:r>
        <w:rPr>
          <w:spacing w:val="-6"/>
          <w:sz w:val="18"/>
          <w:szCs w:val="18"/>
          <w:lang w:val="es-ES_tradnl"/>
        </w:rPr>
        <w:t>s de los medios de comunicaci</w:t>
      </w:r>
      <w:r>
        <w:rPr>
          <w:rFonts w:cs="Times New Roman"/>
          <w:spacing w:val="-6"/>
          <w:sz w:val="18"/>
          <w:szCs w:val="18"/>
          <w:lang w:val="es-ES_tradnl"/>
        </w:rPr>
        <w:t>ó</w:t>
      </w:r>
      <w:r>
        <w:rPr>
          <w:spacing w:val="-6"/>
          <w:sz w:val="18"/>
          <w:szCs w:val="18"/>
          <w:lang w:val="es-ES_tradnl"/>
        </w:rPr>
        <w:t xml:space="preserve">n (prensa) a asambleas territoriales, a las </w:t>
      </w:r>
      <w:r>
        <w:rPr>
          <w:spacing w:val="-9"/>
          <w:sz w:val="18"/>
          <w:szCs w:val="18"/>
          <w:lang w:val="es-ES_tradnl"/>
        </w:rPr>
        <w:t>unidades b</w:t>
      </w:r>
      <w:r>
        <w:rPr>
          <w:rFonts w:cs="Times New Roman"/>
          <w:spacing w:val="-9"/>
          <w:sz w:val="18"/>
          <w:szCs w:val="18"/>
          <w:lang w:val="es-ES_tradnl"/>
        </w:rPr>
        <w:t>á</w:t>
      </w:r>
      <w:r>
        <w:rPr>
          <w:spacing w:val="-9"/>
          <w:sz w:val="18"/>
          <w:szCs w:val="18"/>
          <w:lang w:val="es-ES_tradnl"/>
        </w:rPr>
        <w:t>sicas de participaci</w:t>
      </w:r>
      <w:r>
        <w:rPr>
          <w:rFonts w:cs="Times New Roman"/>
          <w:spacing w:val="-9"/>
          <w:sz w:val="18"/>
          <w:szCs w:val="18"/>
          <w:lang w:val="es-ES_tradnl"/>
        </w:rPr>
        <w:t>ó</w:t>
      </w:r>
      <w:r>
        <w:rPr>
          <w:spacing w:val="-9"/>
          <w:sz w:val="18"/>
          <w:szCs w:val="18"/>
          <w:lang w:val="es-ES_tradnl"/>
        </w:rPr>
        <w:t>n ciudadana del cant</w:t>
      </w:r>
      <w:r>
        <w:rPr>
          <w:rFonts w:cs="Times New Roman"/>
          <w:spacing w:val="-9"/>
          <w:sz w:val="18"/>
          <w:szCs w:val="18"/>
          <w:lang w:val="es-ES_tradnl"/>
        </w:rPr>
        <w:t>ó</w:t>
      </w:r>
      <w:r>
        <w:rPr>
          <w:spacing w:val="-9"/>
          <w:sz w:val="18"/>
          <w:szCs w:val="18"/>
          <w:lang w:val="es-ES_tradnl"/>
        </w:rPr>
        <w:t xml:space="preserve">n y a </w:t>
      </w:r>
      <w:r>
        <w:rPr>
          <w:spacing w:val="-6"/>
          <w:sz w:val="18"/>
          <w:szCs w:val="18"/>
          <w:lang w:val="es-ES_tradnl"/>
        </w:rPr>
        <w:t>los grupos de atenci</w:t>
      </w:r>
      <w:r>
        <w:rPr>
          <w:rFonts w:cs="Times New Roman"/>
          <w:spacing w:val="-6"/>
          <w:sz w:val="18"/>
          <w:szCs w:val="18"/>
          <w:lang w:val="es-ES_tradnl"/>
        </w:rPr>
        <w:t>ó</w:t>
      </w:r>
      <w:r>
        <w:rPr>
          <w:spacing w:val="-6"/>
          <w:sz w:val="18"/>
          <w:szCs w:val="18"/>
          <w:lang w:val="es-ES_tradnl"/>
        </w:rPr>
        <w:t xml:space="preserve">n prioritaria legalmente constituidas, </w:t>
      </w:r>
      <w:r>
        <w:rPr>
          <w:spacing w:val="-7"/>
          <w:sz w:val="18"/>
          <w:szCs w:val="18"/>
          <w:lang w:val="es-ES_tradnl"/>
        </w:rPr>
        <w:t xml:space="preserve">y no mediante invitaciones personales a pocas personas, </w:t>
      </w:r>
      <w:r>
        <w:rPr>
          <w:rFonts w:cs="Times New Roman"/>
          <w:spacing w:val="-3"/>
          <w:sz w:val="18"/>
          <w:szCs w:val="18"/>
          <w:lang w:val="es-ES_tradnl"/>
        </w:rPr>
        <w:t>“</w:t>
      </w:r>
      <w:r>
        <w:rPr>
          <w:spacing w:val="-3"/>
          <w:sz w:val="18"/>
          <w:szCs w:val="18"/>
          <w:lang w:val="es-ES_tradnl"/>
        </w:rPr>
        <w:t>sin ning</w:t>
      </w:r>
      <w:r>
        <w:rPr>
          <w:rFonts w:cs="Times New Roman"/>
          <w:spacing w:val="-3"/>
          <w:sz w:val="18"/>
          <w:szCs w:val="18"/>
          <w:lang w:val="es-ES_tradnl"/>
        </w:rPr>
        <w:t>ú</w:t>
      </w:r>
      <w:r>
        <w:rPr>
          <w:spacing w:val="-3"/>
          <w:sz w:val="18"/>
          <w:szCs w:val="18"/>
          <w:lang w:val="es-ES_tradnl"/>
        </w:rPr>
        <w:t>n criterio democr</w:t>
      </w:r>
      <w:r>
        <w:rPr>
          <w:rFonts w:cs="Times New Roman"/>
          <w:spacing w:val="-3"/>
          <w:sz w:val="18"/>
          <w:szCs w:val="18"/>
          <w:lang w:val="es-ES_tradnl"/>
        </w:rPr>
        <w:t>á</w:t>
      </w:r>
      <w:r>
        <w:rPr>
          <w:spacing w:val="-3"/>
          <w:sz w:val="18"/>
          <w:szCs w:val="18"/>
          <w:lang w:val="es-ES_tradnl"/>
        </w:rPr>
        <w:t xml:space="preserve">tico como se ha venido </w:t>
      </w:r>
      <w:r>
        <w:rPr>
          <w:sz w:val="18"/>
          <w:szCs w:val="18"/>
          <w:lang w:val="es-ES_tradnl"/>
        </w:rPr>
        <w:t>realizando</w:t>
      </w:r>
      <w:r>
        <w:rPr>
          <w:rFonts w:cs="Times New Roman"/>
          <w:sz w:val="18"/>
          <w:szCs w:val="18"/>
          <w:lang w:val="es-ES_tradnl"/>
        </w:rPr>
        <w:t>”</w:t>
      </w:r>
      <w:r>
        <w:rPr>
          <w:sz w:val="18"/>
          <w:szCs w:val="18"/>
          <w:lang w:val="es-ES_tradnl"/>
        </w:rPr>
        <w:t>.</w:t>
      </w:r>
    </w:p>
    <w:p w14:paraId="4F67A6B9" w14:textId="77777777" w:rsidR="00591D54" w:rsidRDefault="00591D54">
      <w:pPr>
        <w:shd w:val="clear" w:color="auto" w:fill="FFFFFF"/>
        <w:spacing w:before="192" w:line="216" w:lineRule="exact"/>
        <w:jc w:val="both"/>
      </w:pPr>
      <w:r>
        <w:rPr>
          <w:spacing w:val="-2"/>
          <w:sz w:val="18"/>
          <w:szCs w:val="18"/>
          <w:lang w:val="es-ES_tradnl"/>
        </w:rPr>
        <w:t xml:space="preserve">Que la ordenanza contiene limitaciones que el alcalde </w:t>
      </w:r>
      <w:r>
        <w:rPr>
          <w:sz w:val="18"/>
          <w:szCs w:val="18"/>
          <w:lang w:val="es-ES_tradnl"/>
        </w:rPr>
        <w:t>de Rumi</w:t>
      </w:r>
      <w:r>
        <w:rPr>
          <w:rFonts w:cs="Times New Roman"/>
          <w:sz w:val="18"/>
          <w:szCs w:val="18"/>
          <w:lang w:val="es-ES_tradnl"/>
        </w:rPr>
        <w:t>ñ</w:t>
      </w:r>
      <w:r>
        <w:rPr>
          <w:sz w:val="18"/>
          <w:szCs w:val="18"/>
          <w:lang w:val="es-ES_tradnl"/>
        </w:rPr>
        <w:t>ahui pretende imponer a la ciudadan</w:t>
      </w:r>
      <w:r>
        <w:rPr>
          <w:rFonts w:cs="Times New Roman"/>
          <w:sz w:val="18"/>
          <w:szCs w:val="18"/>
          <w:lang w:val="es-ES_tradnl"/>
        </w:rPr>
        <w:t>í</w:t>
      </w:r>
      <w:r>
        <w:rPr>
          <w:sz w:val="18"/>
          <w:szCs w:val="18"/>
          <w:lang w:val="es-ES_tradnl"/>
        </w:rPr>
        <w:t xml:space="preserve">a en </w:t>
      </w:r>
      <w:r>
        <w:rPr>
          <w:spacing w:val="-3"/>
          <w:sz w:val="18"/>
          <w:szCs w:val="18"/>
          <w:lang w:val="es-ES_tradnl"/>
        </w:rPr>
        <w:t>su participaci</w:t>
      </w:r>
      <w:r>
        <w:rPr>
          <w:rFonts w:cs="Times New Roman"/>
          <w:spacing w:val="-3"/>
          <w:sz w:val="18"/>
          <w:szCs w:val="18"/>
          <w:lang w:val="es-ES_tradnl"/>
        </w:rPr>
        <w:t>ó</w:t>
      </w:r>
      <w:r>
        <w:rPr>
          <w:spacing w:val="-3"/>
          <w:sz w:val="18"/>
          <w:szCs w:val="18"/>
          <w:lang w:val="es-ES_tradnl"/>
        </w:rPr>
        <w:t>n y acceso a la gesti</w:t>
      </w:r>
      <w:r>
        <w:rPr>
          <w:rFonts w:cs="Times New Roman"/>
          <w:spacing w:val="-3"/>
          <w:sz w:val="18"/>
          <w:szCs w:val="18"/>
          <w:lang w:val="es-ES_tradnl"/>
        </w:rPr>
        <w:t>ó</w:t>
      </w:r>
      <w:r>
        <w:rPr>
          <w:spacing w:val="-3"/>
          <w:sz w:val="18"/>
          <w:szCs w:val="18"/>
          <w:lang w:val="es-ES_tradnl"/>
        </w:rPr>
        <w:t xml:space="preserve">n y control del </w:t>
      </w:r>
      <w:r>
        <w:rPr>
          <w:spacing w:val="-6"/>
          <w:sz w:val="18"/>
          <w:szCs w:val="18"/>
          <w:lang w:val="es-ES_tradnl"/>
        </w:rPr>
        <w:t>presupuesto del cant</w:t>
      </w:r>
      <w:r>
        <w:rPr>
          <w:rFonts w:cs="Times New Roman"/>
          <w:spacing w:val="-6"/>
          <w:sz w:val="18"/>
          <w:szCs w:val="18"/>
          <w:lang w:val="es-ES_tradnl"/>
        </w:rPr>
        <w:t>ó</w:t>
      </w:r>
      <w:r>
        <w:rPr>
          <w:spacing w:val="-6"/>
          <w:sz w:val="18"/>
          <w:szCs w:val="18"/>
          <w:lang w:val="es-ES_tradnl"/>
        </w:rPr>
        <w:t xml:space="preserve">n, contraviniendo lo dispuesto en el </w:t>
      </w:r>
      <w:r>
        <w:rPr>
          <w:spacing w:val="-8"/>
          <w:sz w:val="18"/>
          <w:szCs w:val="18"/>
          <w:lang w:val="es-ES_tradnl"/>
        </w:rPr>
        <w:t>art</w:t>
      </w:r>
      <w:r>
        <w:rPr>
          <w:rFonts w:cs="Times New Roman"/>
          <w:spacing w:val="-8"/>
          <w:sz w:val="18"/>
          <w:szCs w:val="18"/>
          <w:lang w:val="es-ES_tradnl"/>
        </w:rPr>
        <w:t>í</w:t>
      </w:r>
      <w:r>
        <w:rPr>
          <w:spacing w:val="-8"/>
          <w:sz w:val="18"/>
          <w:szCs w:val="18"/>
          <w:lang w:val="es-ES_tradnl"/>
        </w:rPr>
        <w:t>culo 67 de la Ley Org</w:t>
      </w:r>
      <w:r>
        <w:rPr>
          <w:rFonts w:cs="Times New Roman"/>
          <w:spacing w:val="-8"/>
          <w:sz w:val="18"/>
          <w:szCs w:val="18"/>
          <w:lang w:val="es-ES_tradnl"/>
        </w:rPr>
        <w:t>á</w:t>
      </w:r>
      <w:r>
        <w:rPr>
          <w:spacing w:val="-8"/>
          <w:sz w:val="18"/>
          <w:szCs w:val="18"/>
          <w:lang w:val="es-ES_tradnl"/>
        </w:rPr>
        <w:t>nica de Participaci</w:t>
      </w:r>
      <w:r>
        <w:rPr>
          <w:rFonts w:cs="Times New Roman"/>
          <w:spacing w:val="-8"/>
          <w:sz w:val="18"/>
          <w:szCs w:val="18"/>
          <w:lang w:val="es-ES_tradnl"/>
        </w:rPr>
        <w:t>ó</w:t>
      </w:r>
      <w:r>
        <w:rPr>
          <w:spacing w:val="-8"/>
          <w:sz w:val="18"/>
          <w:szCs w:val="18"/>
          <w:lang w:val="es-ES_tradnl"/>
        </w:rPr>
        <w:t xml:space="preserve">n Ciudadana, </w:t>
      </w:r>
      <w:r>
        <w:rPr>
          <w:spacing w:val="-7"/>
          <w:sz w:val="18"/>
          <w:szCs w:val="18"/>
          <w:lang w:val="es-ES_tradnl"/>
        </w:rPr>
        <w:t xml:space="preserve">que establece que la toma de decisiones respecto de los </w:t>
      </w:r>
      <w:r>
        <w:rPr>
          <w:spacing w:val="-8"/>
          <w:sz w:val="18"/>
          <w:szCs w:val="18"/>
          <w:lang w:val="es-ES_tradnl"/>
        </w:rPr>
        <w:t>presupuestos estatales se la hace en reuniones con las autoridades electas y designadas; adem</w:t>
      </w:r>
      <w:r>
        <w:rPr>
          <w:rFonts w:cs="Times New Roman"/>
          <w:spacing w:val="-8"/>
          <w:sz w:val="18"/>
          <w:szCs w:val="18"/>
          <w:lang w:val="es-ES_tradnl"/>
        </w:rPr>
        <w:t>á</w:t>
      </w:r>
      <w:r>
        <w:rPr>
          <w:spacing w:val="-8"/>
          <w:sz w:val="18"/>
          <w:szCs w:val="18"/>
          <w:lang w:val="es-ES_tradnl"/>
        </w:rPr>
        <w:t xml:space="preserve">s, contraviene lo dispuesto en el COOTAD, que dispone que el presupuesto </w:t>
      </w:r>
      <w:r>
        <w:rPr>
          <w:spacing w:val="-7"/>
          <w:sz w:val="18"/>
          <w:szCs w:val="18"/>
          <w:lang w:val="es-ES_tradnl"/>
        </w:rPr>
        <w:t>de los gobiernos aut</w:t>
      </w:r>
      <w:r>
        <w:rPr>
          <w:rFonts w:cs="Times New Roman"/>
          <w:spacing w:val="-7"/>
          <w:sz w:val="18"/>
          <w:szCs w:val="18"/>
          <w:lang w:val="es-ES_tradnl"/>
        </w:rPr>
        <w:t>ó</w:t>
      </w:r>
      <w:r>
        <w:rPr>
          <w:spacing w:val="-7"/>
          <w:sz w:val="18"/>
          <w:szCs w:val="18"/>
          <w:lang w:val="es-ES_tradnl"/>
        </w:rPr>
        <w:t>nomos descentralizados deber</w:t>
      </w:r>
      <w:r>
        <w:rPr>
          <w:rFonts w:cs="Times New Roman"/>
          <w:spacing w:val="-7"/>
          <w:sz w:val="18"/>
          <w:szCs w:val="18"/>
          <w:lang w:val="es-ES_tradnl"/>
        </w:rPr>
        <w:t>á</w:t>
      </w:r>
      <w:r>
        <w:rPr>
          <w:spacing w:val="-7"/>
          <w:sz w:val="18"/>
          <w:szCs w:val="18"/>
          <w:lang w:val="es-ES_tradnl"/>
        </w:rPr>
        <w:t xml:space="preserve"> ser </w:t>
      </w:r>
      <w:r>
        <w:rPr>
          <w:sz w:val="18"/>
          <w:szCs w:val="18"/>
          <w:lang w:val="es-ES_tradnl"/>
        </w:rPr>
        <w:t>elaborado participativamente.</w:t>
      </w:r>
    </w:p>
    <w:p w14:paraId="4F67A6BA" w14:textId="77777777" w:rsidR="00591D54" w:rsidRDefault="00591D54">
      <w:pPr>
        <w:shd w:val="clear" w:color="auto" w:fill="FFFFFF"/>
        <w:spacing w:line="216" w:lineRule="exact"/>
        <w:jc w:val="both"/>
      </w:pPr>
      <w:r>
        <w:br w:type="column"/>
      </w:r>
      <w:r>
        <w:rPr>
          <w:spacing w:val="-5"/>
          <w:sz w:val="18"/>
          <w:szCs w:val="18"/>
          <w:lang w:val="es-ES_tradnl"/>
        </w:rPr>
        <w:t xml:space="preserve">Que el presupuesto participativo consiste en un debate </w:t>
      </w:r>
      <w:r>
        <w:rPr>
          <w:spacing w:val="-4"/>
          <w:sz w:val="18"/>
          <w:szCs w:val="18"/>
          <w:lang w:val="es-ES_tradnl"/>
        </w:rPr>
        <w:t>p</w:t>
      </w:r>
      <w:r>
        <w:rPr>
          <w:rFonts w:cs="Times New Roman"/>
          <w:spacing w:val="-4"/>
          <w:sz w:val="18"/>
          <w:szCs w:val="18"/>
          <w:lang w:val="es-ES_tradnl"/>
        </w:rPr>
        <w:t>ú</w:t>
      </w:r>
      <w:r>
        <w:rPr>
          <w:spacing w:val="-4"/>
          <w:sz w:val="18"/>
          <w:szCs w:val="18"/>
          <w:lang w:val="es-ES_tradnl"/>
        </w:rPr>
        <w:t>blico sobre el uso de los recursos de inversi</w:t>
      </w:r>
      <w:r>
        <w:rPr>
          <w:rFonts w:cs="Times New Roman"/>
          <w:spacing w:val="-4"/>
          <w:sz w:val="18"/>
          <w:szCs w:val="18"/>
          <w:lang w:val="es-ES_tradnl"/>
        </w:rPr>
        <w:t>ó</w:t>
      </w:r>
      <w:r>
        <w:rPr>
          <w:spacing w:val="-4"/>
          <w:sz w:val="18"/>
          <w:szCs w:val="18"/>
          <w:lang w:val="es-ES_tradnl"/>
        </w:rPr>
        <w:t xml:space="preserve">n del </w:t>
      </w:r>
      <w:r>
        <w:rPr>
          <w:spacing w:val="-6"/>
          <w:sz w:val="18"/>
          <w:szCs w:val="18"/>
          <w:lang w:val="es-ES_tradnl"/>
        </w:rPr>
        <w:t>gobierno aut</w:t>
      </w:r>
      <w:r>
        <w:rPr>
          <w:rFonts w:cs="Times New Roman"/>
          <w:spacing w:val="-6"/>
          <w:sz w:val="18"/>
          <w:szCs w:val="18"/>
          <w:lang w:val="es-ES_tradnl"/>
        </w:rPr>
        <w:t>ó</w:t>
      </w:r>
      <w:r>
        <w:rPr>
          <w:spacing w:val="-6"/>
          <w:sz w:val="18"/>
          <w:szCs w:val="18"/>
          <w:lang w:val="es-ES_tradnl"/>
        </w:rPr>
        <w:t>nomo descentralizado, orientado a lograr la justicia redistributiva en la asignaci</w:t>
      </w:r>
      <w:r>
        <w:rPr>
          <w:rFonts w:cs="Times New Roman"/>
          <w:spacing w:val="-6"/>
          <w:sz w:val="18"/>
          <w:szCs w:val="18"/>
          <w:lang w:val="es-ES_tradnl"/>
        </w:rPr>
        <w:t>ó</w:t>
      </w:r>
      <w:r>
        <w:rPr>
          <w:spacing w:val="-6"/>
          <w:sz w:val="18"/>
          <w:szCs w:val="18"/>
          <w:lang w:val="es-ES_tradnl"/>
        </w:rPr>
        <w:t>n de dichos recursos.</w:t>
      </w:r>
    </w:p>
    <w:p w14:paraId="4F67A6BB" w14:textId="77777777" w:rsidR="00591D54" w:rsidRDefault="00591D54">
      <w:pPr>
        <w:shd w:val="clear" w:color="auto" w:fill="FFFFFF"/>
        <w:spacing w:before="197" w:line="216" w:lineRule="exact"/>
        <w:jc w:val="both"/>
      </w:pPr>
      <w:r>
        <w:rPr>
          <w:spacing w:val="-4"/>
          <w:sz w:val="18"/>
          <w:szCs w:val="18"/>
          <w:lang w:val="es-ES_tradnl"/>
        </w:rPr>
        <w:t>Que la ordenanza objeto de impugnaci</w:t>
      </w:r>
      <w:r>
        <w:rPr>
          <w:rFonts w:cs="Times New Roman"/>
          <w:spacing w:val="-4"/>
          <w:sz w:val="18"/>
          <w:szCs w:val="18"/>
          <w:lang w:val="es-ES_tradnl"/>
        </w:rPr>
        <w:t>ó</w:t>
      </w:r>
      <w:r>
        <w:rPr>
          <w:spacing w:val="-4"/>
          <w:sz w:val="18"/>
          <w:szCs w:val="18"/>
          <w:lang w:val="es-ES_tradnl"/>
        </w:rPr>
        <w:t>n incumple lo dispuesto en la ley, en relaci</w:t>
      </w:r>
      <w:r>
        <w:rPr>
          <w:rFonts w:cs="Times New Roman"/>
          <w:spacing w:val="-4"/>
          <w:sz w:val="18"/>
          <w:szCs w:val="18"/>
          <w:lang w:val="es-ES_tradnl"/>
        </w:rPr>
        <w:t>ó</w:t>
      </w:r>
      <w:r>
        <w:rPr>
          <w:spacing w:val="-4"/>
          <w:sz w:val="18"/>
          <w:szCs w:val="18"/>
          <w:lang w:val="es-ES_tradnl"/>
        </w:rPr>
        <w:t>n con los plazos para la elaboraci</w:t>
      </w:r>
      <w:r>
        <w:rPr>
          <w:rFonts w:cs="Times New Roman"/>
          <w:spacing w:val="-4"/>
          <w:sz w:val="18"/>
          <w:szCs w:val="18"/>
          <w:lang w:val="es-ES_tradnl"/>
        </w:rPr>
        <w:t>ó</w:t>
      </w:r>
      <w:r>
        <w:rPr>
          <w:spacing w:val="-4"/>
          <w:sz w:val="18"/>
          <w:szCs w:val="18"/>
          <w:lang w:val="es-ES_tradnl"/>
        </w:rPr>
        <w:t>n y aprobaci</w:t>
      </w:r>
      <w:r>
        <w:rPr>
          <w:rFonts w:cs="Times New Roman"/>
          <w:spacing w:val="-4"/>
          <w:sz w:val="18"/>
          <w:szCs w:val="18"/>
          <w:lang w:val="es-ES_tradnl"/>
        </w:rPr>
        <w:t>ó</w:t>
      </w:r>
      <w:r>
        <w:rPr>
          <w:spacing w:val="-4"/>
          <w:sz w:val="18"/>
          <w:szCs w:val="18"/>
          <w:lang w:val="es-ES_tradnl"/>
        </w:rPr>
        <w:t xml:space="preserve">n del presupuesto, y limita la </w:t>
      </w:r>
      <w:r>
        <w:rPr>
          <w:spacing w:val="-6"/>
          <w:sz w:val="18"/>
          <w:szCs w:val="18"/>
          <w:lang w:val="es-ES_tradnl"/>
        </w:rPr>
        <w:t>participaci</w:t>
      </w:r>
      <w:r>
        <w:rPr>
          <w:rFonts w:cs="Times New Roman"/>
          <w:spacing w:val="-6"/>
          <w:sz w:val="18"/>
          <w:szCs w:val="18"/>
          <w:lang w:val="es-ES_tradnl"/>
        </w:rPr>
        <w:t>ó</w:t>
      </w:r>
      <w:r>
        <w:rPr>
          <w:spacing w:val="-6"/>
          <w:sz w:val="18"/>
          <w:szCs w:val="18"/>
          <w:lang w:val="es-ES_tradnl"/>
        </w:rPr>
        <w:t>n de la ciudadan</w:t>
      </w:r>
      <w:r>
        <w:rPr>
          <w:rFonts w:cs="Times New Roman"/>
          <w:spacing w:val="-6"/>
          <w:sz w:val="18"/>
          <w:szCs w:val="18"/>
          <w:lang w:val="es-ES_tradnl"/>
        </w:rPr>
        <w:t>í</w:t>
      </w:r>
      <w:r>
        <w:rPr>
          <w:spacing w:val="-6"/>
          <w:sz w:val="18"/>
          <w:szCs w:val="18"/>
          <w:lang w:val="es-ES_tradnl"/>
        </w:rPr>
        <w:t xml:space="preserve">a para conocer hasta el 30% </w:t>
      </w:r>
      <w:r>
        <w:rPr>
          <w:spacing w:val="-7"/>
          <w:sz w:val="18"/>
          <w:szCs w:val="18"/>
          <w:lang w:val="es-ES_tradnl"/>
        </w:rPr>
        <w:t>de la inversi</w:t>
      </w:r>
      <w:r>
        <w:rPr>
          <w:rFonts w:cs="Times New Roman"/>
          <w:spacing w:val="-7"/>
          <w:sz w:val="18"/>
          <w:szCs w:val="18"/>
          <w:lang w:val="es-ES_tradnl"/>
        </w:rPr>
        <w:t>ó</w:t>
      </w:r>
      <w:r>
        <w:rPr>
          <w:spacing w:val="-7"/>
          <w:sz w:val="18"/>
          <w:szCs w:val="18"/>
          <w:lang w:val="es-ES_tradnl"/>
        </w:rPr>
        <w:t xml:space="preserve">n presupuestaria, cuando la ley no establece </w:t>
      </w:r>
      <w:r>
        <w:rPr>
          <w:spacing w:val="-5"/>
          <w:sz w:val="18"/>
          <w:szCs w:val="18"/>
          <w:lang w:val="es-ES_tradnl"/>
        </w:rPr>
        <w:t>l</w:t>
      </w:r>
      <w:r>
        <w:rPr>
          <w:rFonts w:cs="Times New Roman"/>
          <w:spacing w:val="-5"/>
          <w:sz w:val="18"/>
          <w:szCs w:val="18"/>
          <w:lang w:val="es-ES_tradnl"/>
        </w:rPr>
        <w:t>í</w:t>
      </w:r>
      <w:r>
        <w:rPr>
          <w:spacing w:val="-5"/>
          <w:sz w:val="18"/>
          <w:szCs w:val="18"/>
          <w:lang w:val="es-ES_tradnl"/>
        </w:rPr>
        <w:t>mites en cuanto a los montos de inversi</w:t>
      </w:r>
      <w:r>
        <w:rPr>
          <w:rFonts w:cs="Times New Roman"/>
          <w:spacing w:val="-5"/>
          <w:sz w:val="18"/>
          <w:szCs w:val="18"/>
          <w:lang w:val="es-ES_tradnl"/>
        </w:rPr>
        <w:t>ó</w:t>
      </w:r>
      <w:r>
        <w:rPr>
          <w:spacing w:val="-5"/>
          <w:sz w:val="18"/>
          <w:szCs w:val="18"/>
          <w:lang w:val="es-ES_tradnl"/>
        </w:rPr>
        <w:t xml:space="preserve">n por parte de </w:t>
      </w:r>
      <w:r>
        <w:rPr>
          <w:spacing w:val="-7"/>
          <w:sz w:val="18"/>
          <w:szCs w:val="18"/>
          <w:lang w:val="es-ES_tradnl"/>
        </w:rPr>
        <w:t>los gobiernos aut</w:t>
      </w:r>
      <w:r>
        <w:rPr>
          <w:rFonts w:cs="Times New Roman"/>
          <w:spacing w:val="-7"/>
          <w:sz w:val="18"/>
          <w:szCs w:val="18"/>
          <w:lang w:val="es-ES_tradnl"/>
        </w:rPr>
        <w:t>ó</w:t>
      </w:r>
      <w:r>
        <w:rPr>
          <w:spacing w:val="-7"/>
          <w:sz w:val="18"/>
          <w:szCs w:val="18"/>
          <w:lang w:val="es-ES_tradnl"/>
        </w:rPr>
        <w:t>nomos descentralizados.</w:t>
      </w:r>
    </w:p>
    <w:p w14:paraId="4F67A6BC" w14:textId="77777777" w:rsidR="00591D54" w:rsidRDefault="00591D54">
      <w:pPr>
        <w:shd w:val="clear" w:color="auto" w:fill="FFFFFF"/>
        <w:spacing w:before="202" w:line="221" w:lineRule="exact"/>
        <w:jc w:val="both"/>
      </w:pPr>
      <w:r>
        <w:rPr>
          <w:spacing w:val="-4"/>
          <w:sz w:val="18"/>
          <w:szCs w:val="18"/>
          <w:lang w:val="es-ES_tradnl"/>
        </w:rPr>
        <w:t>Que en el organigrama del sistema de participaci</w:t>
      </w:r>
      <w:r>
        <w:rPr>
          <w:rFonts w:cs="Times New Roman"/>
          <w:spacing w:val="-4"/>
          <w:sz w:val="18"/>
          <w:szCs w:val="18"/>
          <w:lang w:val="es-ES_tradnl"/>
        </w:rPr>
        <w:t>ó</w:t>
      </w:r>
      <w:r>
        <w:rPr>
          <w:spacing w:val="-4"/>
          <w:sz w:val="18"/>
          <w:szCs w:val="18"/>
          <w:lang w:val="es-ES_tradnl"/>
        </w:rPr>
        <w:t xml:space="preserve">n </w:t>
      </w:r>
      <w:r>
        <w:rPr>
          <w:sz w:val="18"/>
          <w:szCs w:val="18"/>
          <w:lang w:val="es-ES_tradnl"/>
        </w:rPr>
        <w:t>ciudadana del cant</w:t>
      </w:r>
      <w:r>
        <w:rPr>
          <w:rFonts w:cs="Times New Roman"/>
          <w:sz w:val="18"/>
          <w:szCs w:val="18"/>
          <w:lang w:val="es-ES_tradnl"/>
        </w:rPr>
        <w:t>ó</w:t>
      </w:r>
      <w:r>
        <w:rPr>
          <w:sz w:val="18"/>
          <w:szCs w:val="18"/>
          <w:lang w:val="es-ES_tradnl"/>
        </w:rPr>
        <w:t>n Rumi</w:t>
      </w:r>
      <w:r>
        <w:rPr>
          <w:rFonts w:cs="Times New Roman"/>
          <w:sz w:val="18"/>
          <w:szCs w:val="18"/>
          <w:lang w:val="es-ES_tradnl"/>
        </w:rPr>
        <w:t>ñ</w:t>
      </w:r>
      <w:r>
        <w:rPr>
          <w:sz w:val="18"/>
          <w:szCs w:val="18"/>
          <w:lang w:val="es-ES_tradnl"/>
        </w:rPr>
        <w:t xml:space="preserve">ahui se excluye la </w:t>
      </w:r>
      <w:r>
        <w:rPr>
          <w:spacing w:val="-4"/>
          <w:sz w:val="18"/>
          <w:szCs w:val="18"/>
          <w:lang w:val="es-ES_tradnl"/>
        </w:rPr>
        <w:t>participaci</w:t>
      </w:r>
      <w:r>
        <w:rPr>
          <w:rFonts w:cs="Times New Roman"/>
          <w:spacing w:val="-4"/>
          <w:sz w:val="18"/>
          <w:szCs w:val="18"/>
          <w:lang w:val="es-ES_tradnl"/>
        </w:rPr>
        <w:t>ó</w:t>
      </w:r>
      <w:r>
        <w:rPr>
          <w:spacing w:val="-4"/>
          <w:sz w:val="18"/>
          <w:szCs w:val="18"/>
          <w:lang w:val="es-ES_tradnl"/>
        </w:rPr>
        <w:t xml:space="preserve">n de los barrios, parroquias y comunas, en </w:t>
      </w:r>
      <w:r>
        <w:rPr>
          <w:spacing w:val="-8"/>
          <w:sz w:val="18"/>
          <w:szCs w:val="18"/>
          <w:lang w:val="es-ES_tradnl"/>
        </w:rPr>
        <w:t>contravenci</w:t>
      </w:r>
      <w:r>
        <w:rPr>
          <w:rFonts w:cs="Times New Roman"/>
          <w:spacing w:val="-8"/>
          <w:sz w:val="18"/>
          <w:szCs w:val="18"/>
          <w:lang w:val="es-ES_tradnl"/>
        </w:rPr>
        <w:t>ó</w:t>
      </w:r>
      <w:r>
        <w:rPr>
          <w:spacing w:val="-8"/>
          <w:sz w:val="18"/>
          <w:szCs w:val="18"/>
          <w:lang w:val="es-ES_tradnl"/>
        </w:rPr>
        <w:t>n del art</w:t>
      </w:r>
      <w:r>
        <w:rPr>
          <w:rFonts w:cs="Times New Roman"/>
          <w:spacing w:val="-8"/>
          <w:sz w:val="18"/>
          <w:szCs w:val="18"/>
          <w:lang w:val="es-ES_tradnl"/>
        </w:rPr>
        <w:t>í</w:t>
      </w:r>
      <w:r>
        <w:rPr>
          <w:spacing w:val="-8"/>
          <w:sz w:val="18"/>
          <w:szCs w:val="18"/>
          <w:lang w:val="es-ES_tradnl"/>
        </w:rPr>
        <w:t xml:space="preserve">culo 306 del COOTAD, que reconoce </w:t>
      </w:r>
      <w:r>
        <w:rPr>
          <w:spacing w:val="-7"/>
          <w:sz w:val="18"/>
          <w:szCs w:val="18"/>
          <w:lang w:val="es-ES_tradnl"/>
        </w:rPr>
        <w:t>a los barrios y parroquias urbanas como unidades b</w:t>
      </w:r>
      <w:r>
        <w:rPr>
          <w:rFonts w:cs="Times New Roman"/>
          <w:spacing w:val="-7"/>
          <w:sz w:val="18"/>
          <w:szCs w:val="18"/>
          <w:lang w:val="es-ES_tradnl"/>
        </w:rPr>
        <w:t>á</w:t>
      </w:r>
      <w:r>
        <w:rPr>
          <w:spacing w:val="-7"/>
          <w:sz w:val="18"/>
          <w:szCs w:val="18"/>
          <w:lang w:val="es-ES_tradnl"/>
        </w:rPr>
        <w:t xml:space="preserve">sicas </w:t>
      </w:r>
      <w:r>
        <w:rPr>
          <w:sz w:val="18"/>
          <w:szCs w:val="18"/>
          <w:lang w:val="es-ES_tradnl"/>
        </w:rPr>
        <w:t>de participaci</w:t>
      </w:r>
      <w:r>
        <w:rPr>
          <w:rFonts w:cs="Times New Roman"/>
          <w:sz w:val="18"/>
          <w:szCs w:val="18"/>
          <w:lang w:val="es-ES_tradnl"/>
        </w:rPr>
        <w:t>ó</w:t>
      </w:r>
      <w:r>
        <w:rPr>
          <w:sz w:val="18"/>
          <w:szCs w:val="18"/>
          <w:lang w:val="es-ES_tradnl"/>
        </w:rPr>
        <w:t>n ciudadana.</w:t>
      </w:r>
    </w:p>
    <w:p w14:paraId="4F67A6BD" w14:textId="77777777" w:rsidR="00591D54" w:rsidRDefault="00591D54">
      <w:pPr>
        <w:shd w:val="clear" w:color="auto" w:fill="FFFFFF"/>
        <w:spacing w:before="202" w:line="216" w:lineRule="exact"/>
        <w:jc w:val="both"/>
      </w:pPr>
      <w:r>
        <w:rPr>
          <w:spacing w:val="-4"/>
          <w:sz w:val="18"/>
          <w:szCs w:val="18"/>
          <w:lang w:val="es-ES_tradnl"/>
        </w:rPr>
        <w:t>Que la ordenanza, para la elaboraci</w:t>
      </w:r>
      <w:r>
        <w:rPr>
          <w:rFonts w:cs="Times New Roman"/>
          <w:spacing w:val="-4"/>
          <w:sz w:val="18"/>
          <w:szCs w:val="18"/>
          <w:lang w:val="es-ES_tradnl"/>
        </w:rPr>
        <w:t>ó</w:t>
      </w:r>
      <w:r>
        <w:rPr>
          <w:spacing w:val="-4"/>
          <w:sz w:val="18"/>
          <w:szCs w:val="18"/>
          <w:lang w:val="es-ES_tradnl"/>
        </w:rPr>
        <w:t xml:space="preserve">n del presupuesto </w:t>
      </w:r>
      <w:r>
        <w:rPr>
          <w:spacing w:val="-5"/>
          <w:sz w:val="18"/>
          <w:szCs w:val="18"/>
          <w:lang w:val="es-ES_tradnl"/>
        </w:rPr>
        <w:t>del gobierno aut</w:t>
      </w:r>
      <w:r>
        <w:rPr>
          <w:rFonts w:cs="Times New Roman"/>
          <w:spacing w:val="-5"/>
          <w:sz w:val="18"/>
          <w:szCs w:val="18"/>
          <w:lang w:val="es-ES_tradnl"/>
        </w:rPr>
        <w:t>ó</w:t>
      </w:r>
      <w:r>
        <w:rPr>
          <w:spacing w:val="-5"/>
          <w:sz w:val="18"/>
          <w:szCs w:val="18"/>
          <w:lang w:val="es-ES_tradnl"/>
        </w:rPr>
        <w:t>nomo descentralizado de Rumi</w:t>
      </w:r>
      <w:r>
        <w:rPr>
          <w:rFonts w:cs="Times New Roman"/>
          <w:spacing w:val="-5"/>
          <w:sz w:val="18"/>
          <w:szCs w:val="18"/>
          <w:lang w:val="es-ES_tradnl"/>
        </w:rPr>
        <w:t>ñ</w:t>
      </w:r>
      <w:r>
        <w:rPr>
          <w:spacing w:val="-5"/>
          <w:sz w:val="18"/>
          <w:szCs w:val="18"/>
          <w:lang w:val="es-ES_tradnl"/>
        </w:rPr>
        <w:t>ahui, promueve la participaci</w:t>
      </w:r>
      <w:r>
        <w:rPr>
          <w:rFonts w:cs="Times New Roman"/>
          <w:spacing w:val="-5"/>
          <w:sz w:val="18"/>
          <w:szCs w:val="18"/>
          <w:lang w:val="es-ES_tradnl"/>
        </w:rPr>
        <w:t>ó</w:t>
      </w:r>
      <w:r>
        <w:rPr>
          <w:spacing w:val="-5"/>
          <w:sz w:val="18"/>
          <w:szCs w:val="18"/>
          <w:lang w:val="es-ES_tradnl"/>
        </w:rPr>
        <w:t>n e incorporaci</w:t>
      </w:r>
      <w:r>
        <w:rPr>
          <w:rFonts w:cs="Times New Roman"/>
          <w:spacing w:val="-5"/>
          <w:sz w:val="18"/>
          <w:szCs w:val="18"/>
          <w:lang w:val="es-ES_tradnl"/>
        </w:rPr>
        <w:t>ó</w:t>
      </w:r>
      <w:r>
        <w:rPr>
          <w:spacing w:val="-5"/>
          <w:sz w:val="18"/>
          <w:szCs w:val="18"/>
          <w:lang w:val="es-ES_tradnl"/>
        </w:rPr>
        <w:t>n de delegados ind</w:t>
      </w:r>
      <w:r>
        <w:rPr>
          <w:rFonts w:cs="Times New Roman"/>
          <w:spacing w:val="-5"/>
          <w:sz w:val="18"/>
          <w:szCs w:val="18"/>
          <w:lang w:val="es-ES_tradnl"/>
        </w:rPr>
        <w:t>í</w:t>
      </w:r>
      <w:r>
        <w:rPr>
          <w:spacing w:val="-5"/>
          <w:sz w:val="18"/>
          <w:szCs w:val="18"/>
          <w:lang w:val="es-ES_tradnl"/>
        </w:rPr>
        <w:t xml:space="preserve">genas y afrodescendientes a la Asamblea Cantonal, </w:t>
      </w:r>
      <w:r>
        <w:rPr>
          <w:spacing w:val="-1"/>
          <w:sz w:val="18"/>
          <w:szCs w:val="18"/>
          <w:lang w:val="es-ES_tradnl"/>
        </w:rPr>
        <w:t xml:space="preserve">con lo cual, afirma, </w:t>
      </w:r>
      <w:r>
        <w:rPr>
          <w:rFonts w:cs="Times New Roman"/>
          <w:spacing w:val="-1"/>
          <w:sz w:val="18"/>
          <w:szCs w:val="18"/>
          <w:lang w:val="es-ES_tradnl"/>
        </w:rPr>
        <w:t>“</w:t>
      </w:r>
      <w:r>
        <w:rPr>
          <w:spacing w:val="-1"/>
          <w:sz w:val="18"/>
          <w:szCs w:val="18"/>
          <w:lang w:val="es-ES_tradnl"/>
        </w:rPr>
        <w:t xml:space="preserve">sutilmente se fomenta el racismo </w:t>
      </w:r>
      <w:r>
        <w:rPr>
          <w:sz w:val="18"/>
          <w:szCs w:val="18"/>
          <w:lang w:val="es-ES_tradnl"/>
        </w:rPr>
        <w:t>y la segregaci</w:t>
      </w:r>
      <w:r>
        <w:rPr>
          <w:rFonts w:cs="Times New Roman"/>
          <w:sz w:val="18"/>
          <w:szCs w:val="18"/>
          <w:lang w:val="es-ES_tradnl"/>
        </w:rPr>
        <w:t>ó</w:t>
      </w:r>
      <w:r>
        <w:rPr>
          <w:sz w:val="18"/>
          <w:szCs w:val="18"/>
          <w:lang w:val="es-ES_tradnl"/>
        </w:rPr>
        <w:t>n, simulando que se los combate</w:t>
      </w:r>
      <w:r>
        <w:rPr>
          <w:rFonts w:cs="Times New Roman"/>
          <w:sz w:val="18"/>
          <w:szCs w:val="18"/>
          <w:lang w:val="es-ES_tradnl"/>
        </w:rPr>
        <w:t>”</w:t>
      </w:r>
      <w:r>
        <w:rPr>
          <w:sz w:val="18"/>
          <w:szCs w:val="18"/>
          <w:lang w:val="es-ES_tradnl"/>
        </w:rPr>
        <w:t xml:space="preserve">, </w:t>
      </w:r>
      <w:r>
        <w:rPr>
          <w:spacing w:val="-5"/>
          <w:sz w:val="18"/>
          <w:szCs w:val="18"/>
          <w:lang w:val="es-ES_tradnl"/>
        </w:rPr>
        <w:t xml:space="preserve">pues </w:t>
      </w:r>
      <w:r>
        <w:rPr>
          <w:rFonts w:cs="Times New Roman"/>
          <w:spacing w:val="-5"/>
          <w:sz w:val="18"/>
          <w:szCs w:val="18"/>
          <w:lang w:val="es-ES_tradnl"/>
        </w:rPr>
        <w:t>“</w:t>
      </w:r>
      <w:r>
        <w:rPr>
          <w:spacing w:val="-5"/>
          <w:sz w:val="18"/>
          <w:szCs w:val="18"/>
          <w:lang w:val="es-ES_tradnl"/>
        </w:rPr>
        <w:t>se les exige se auto confiesen como ind</w:t>
      </w:r>
      <w:r>
        <w:rPr>
          <w:rFonts w:cs="Times New Roman"/>
          <w:spacing w:val="-5"/>
          <w:sz w:val="18"/>
          <w:szCs w:val="18"/>
          <w:lang w:val="es-ES_tradnl"/>
        </w:rPr>
        <w:t>í</w:t>
      </w:r>
      <w:r>
        <w:rPr>
          <w:spacing w:val="-5"/>
          <w:sz w:val="18"/>
          <w:szCs w:val="18"/>
          <w:lang w:val="es-ES_tradnl"/>
        </w:rPr>
        <w:t xml:space="preserve">genas o </w:t>
      </w:r>
      <w:r>
        <w:rPr>
          <w:spacing w:val="-6"/>
          <w:sz w:val="18"/>
          <w:szCs w:val="18"/>
          <w:lang w:val="es-ES_tradnl"/>
        </w:rPr>
        <w:t>afrodescendientes para poder participar en la vida pol</w:t>
      </w:r>
      <w:r>
        <w:rPr>
          <w:rFonts w:cs="Times New Roman"/>
          <w:spacing w:val="-6"/>
          <w:sz w:val="18"/>
          <w:szCs w:val="18"/>
          <w:lang w:val="es-ES_tradnl"/>
        </w:rPr>
        <w:t>í</w:t>
      </w:r>
      <w:r>
        <w:rPr>
          <w:spacing w:val="-6"/>
          <w:sz w:val="18"/>
          <w:szCs w:val="18"/>
          <w:lang w:val="es-ES_tradnl"/>
        </w:rPr>
        <w:t xml:space="preserve">tica </w:t>
      </w:r>
      <w:r>
        <w:rPr>
          <w:sz w:val="18"/>
          <w:szCs w:val="18"/>
          <w:lang w:val="es-ES_tradnl"/>
        </w:rPr>
        <w:t>del cant</w:t>
      </w:r>
      <w:r>
        <w:rPr>
          <w:rFonts w:cs="Times New Roman"/>
          <w:sz w:val="18"/>
          <w:szCs w:val="18"/>
          <w:lang w:val="es-ES_tradnl"/>
        </w:rPr>
        <w:t>ó</w:t>
      </w:r>
      <w:r>
        <w:rPr>
          <w:sz w:val="18"/>
          <w:szCs w:val="18"/>
          <w:lang w:val="es-ES_tradnl"/>
        </w:rPr>
        <w:t>n</w:t>
      </w:r>
      <w:r>
        <w:rPr>
          <w:rFonts w:cs="Times New Roman"/>
          <w:sz w:val="18"/>
          <w:szCs w:val="18"/>
          <w:lang w:val="es-ES_tradnl"/>
        </w:rPr>
        <w:t>”</w:t>
      </w:r>
      <w:r>
        <w:rPr>
          <w:sz w:val="18"/>
          <w:szCs w:val="18"/>
          <w:lang w:val="es-ES_tradnl"/>
        </w:rPr>
        <w:t>.</w:t>
      </w:r>
    </w:p>
    <w:p w14:paraId="4F67A6BE" w14:textId="77777777" w:rsidR="00591D54" w:rsidRDefault="00591D54">
      <w:pPr>
        <w:shd w:val="clear" w:color="auto" w:fill="FFFFFF"/>
        <w:spacing w:before="202" w:line="216" w:lineRule="exact"/>
        <w:jc w:val="both"/>
      </w:pPr>
      <w:r>
        <w:rPr>
          <w:spacing w:val="-6"/>
          <w:sz w:val="18"/>
          <w:szCs w:val="18"/>
          <w:lang w:val="es-ES_tradnl"/>
        </w:rPr>
        <w:t>Que la Ordenanza del Sistema de Gesti</w:t>
      </w:r>
      <w:r>
        <w:rPr>
          <w:rFonts w:cs="Times New Roman"/>
          <w:spacing w:val="-6"/>
          <w:sz w:val="18"/>
          <w:szCs w:val="18"/>
          <w:lang w:val="es-ES_tradnl"/>
        </w:rPr>
        <w:t>ó</w:t>
      </w:r>
      <w:r>
        <w:rPr>
          <w:spacing w:val="-6"/>
          <w:sz w:val="18"/>
          <w:szCs w:val="18"/>
          <w:lang w:val="es-ES_tradnl"/>
        </w:rPr>
        <w:t>n y Participaci</w:t>
      </w:r>
      <w:r>
        <w:rPr>
          <w:rFonts w:cs="Times New Roman"/>
          <w:spacing w:val="-6"/>
          <w:sz w:val="18"/>
          <w:szCs w:val="18"/>
          <w:lang w:val="es-ES_tradnl"/>
        </w:rPr>
        <w:t>ó</w:t>
      </w:r>
      <w:r>
        <w:rPr>
          <w:spacing w:val="-6"/>
          <w:sz w:val="18"/>
          <w:szCs w:val="18"/>
          <w:lang w:val="es-ES_tradnl"/>
        </w:rPr>
        <w:t>n Ciudadana del Cant</w:t>
      </w:r>
      <w:r>
        <w:rPr>
          <w:rFonts w:cs="Times New Roman"/>
          <w:spacing w:val="-6"/>
          <w:sz w:val="18"/>
          <w:szCs w:val="18"/>
          <w:lang w:val="es-ES_tradnl"/>
        </w:rPr>
        <w:t>ó</w:t>
      </w:r>
      <w:r>
        <w:rPr>
          <w:spacing w:val="-6"/>
          <w:sz w:val="18"/>
          <w:szCs w:val="18"/>
          <w:lang w:val="es-ES_tradnl"/>
        </w:rPr>
        <w:t>n Rumi</w:t>
      </w:r>
      <w:r>
        <w:rPr>
          <w:rFonts w:cs="Times New Roman"/>
          <w:spacing w:val="-6"/>
          <w:sz w:val="18"/>
          <w:szCs w:val="18"/>
          <w:lang w:val="es-ES_tradnl"/>
        </w:rPr>
        <w:t>ñ</w:t>
      </w:r>
      <w:r>
        <w:rPr>
          <w:spacing w:val="-6"/>
          <w:sz w:val="18"/>
          <w:szCs w:val="18"/>
          <w:lang w:val="es-ES_tradnl"/>
        </w:rPr>
        <w:t xml:space="preserve">ahui contraviene lo previsto </w:t>
      </w:r>
      <w:r>
        <w:rPr>
          <w:spacing w:val="-3"/>
          <w:sz w:val="18"/>
          <w:szCs w:val="18"/>
          <w:lang w:val="es-ES_tradnl"/>
        </w:rPr>
        <w:t>en el art</w:t>
      </w:r>
      <w:r>
        <w:rPr>
          <w:rFonts w:cs="Times New Roman"/>
          <w:spacing w:val="-3"/>
          <w:sz w:val="18"/>
          <w:szCs w:val="18"/>
          <w:lang w:val="es-ES_tradnl"/>
        </w:rPr>
        <w:t>í</w:t>
      </w:r>
      <w:r>
        <w:rPr>
          <w:spacing w:val="-3"/>
          <w:sz w:val="18"/>
          <w:szCs w:val="18"/>
          <w:lang w:val="es-ES_tradnl"/>
        </w:rPr>
        <w:t>culo 88 de la Ley Org</w:t>
      </w:r>
      <w:r>
        <w:rPr>
          <w:rFonts w:cs="Times New Roman"/>
          <w:spacing w:val="-3"/>
          <w:sz w:val="18"/>
          <w:szCs w:val="18"/>
          <w:lang w:val="es-ES_tradnl"/>
        </w:rPr>
        <w:t>á</w:t>
      </w:r>
      <w:r>
        <w:rPr>
          <w:spacing w:val="-3"/>
          <w:sz w:val="18"/>
          <w:szCs w:val="18"/>
          <w:lang w:val="es-ES_tradnl"/>
        </w:rPr>
        <w:t>nica de Participaci</w:t>
      </w:r>
      <w:r>
        <w:rPr>
          <w:rFonts w:cs="Times New Roman"/>
          <w:spacing w:val="-3"/>
          <w:sz w:val="18"/>
          <w:szCs w:val="18"/>
          <w:lang w:val="es-ES_tradnl"/>
        </w:rPr>
        <w:t>ó</w:t>
      </w:r>
      <w:r>
        <w:rPr>
          <w:spacing w:val="-3"/>
          <w:sz w:val="18"/>
          <w:szCs w:val="18"/>
          <w:lang w:val="es-ES_tradnl"/>
        </w:rPr>
        <w:t xml:space="preserve">n </w:t>
      </w:r>
      <w:r>
        <w:rPr>
          <w:spacing w:val="-7"/>
          <w:sz w:val="18"/>
          <w:szCs w:val="18"/>
          <w:lang w:val="es-ES_tradnl"/>
        </w:rPr>
        <w:t>Ciudadana respecto del proceso de rendici</w:t>
      </w:r>
      <w:r>
        <w:rPr>
          <w:rFonts w:cs="Times New Roman"/>
          <w:spacing w:val="-7"/>
          <w:sz w:val="18"/>
          <w:szCs w:val="18"/>
          <w:lang w:val="es-ES_tradnl"/>
        </w:rPr>
        <w:t>ó</w:t>
      </w:r>
      <w:r>
        <w:rPr>
          <w:spacing w:val="-7"/>
          <w:sz w:val="18"/>
          <w:szCs w:val="18"/>
          <w:lang w:val="es-ES_tradnl"/>
        </w:rPr>
        <w:t xml:space="preserve">n de cuentas, </w:t>
      </w:r>
      <w:r>
        <w:rPr>
          <w:spacing w:val="-5"/>
          <w:sz w:val="18"/>
          <w:szCs w:val="18"/>
          <w:lang w:val="es-ES_tradnl"/>
        </w:rPr>
        <w:t>pues la tercera disposici</w:t>
      </w:r>
      <w:r>
        <w:rPr>
          <w:rFonts w:cs="Times New Roman"/>
          <w:spacing w:val="-5"/>
          <w:sz w:val="18"/>
          <w:szCs w:val="18"/>
          <w:lang w:val="es-ES_tradnl"/>
        </w:rPr>
        <w:t>ó</w:t>
      </w:r>
      <w:r>
        <w:rPr>
          <w:spacing w:val="-5"/>
          <w:sz w:val="18"/>
          <w:szCs w:val="18"/>
          <w:lang w:val="es-ES_tradnl"/>
        </w:rPr>
        <w:t xml:space="preserve">n transitoria establece que el </w:t>
      </w:r>
      <w:r>
        <w:rPr>
          <w:spacing w:val="-7"/>
          <w:sz w:val="18"/>
          <w:szCs w:val="18"/>
          <w:lang w:val="es-ES_tradnl"/>
        </w:rPr>
        <w:t>mismo se aplicar</w:t>
      </w:r>
      <w:r>
        <w:rPr>
          <w:rFonts w:cs="Times New Roman"/>
          <w:spacing w:val="-7"/>
          <w:sz w:val="18"/>
          <w:szCs w:val="18"/>
          <w:lang w:val="es-ES_tradnl"/>
        </w:rPr>
        <w:t>á</w:t>
      </w:r>
      <w:r>
        <w:rPr>
          <w:spacing w:val="-7"/>
          <w:sz w:val="18"/>
          <w:szCs w:val="18"/>
          <w:lang w:val="es-ES_tradnl"/>
        </w:rPr>
        <w:t xml:space="preserve"> a partir del a</w:t>
      </w:r>
      <w:r>
        <w:rPr>
          <w:rFonts w:cs="Times New Roman"/>
          <w:spacing w:val="-7"/>
          <w:sz w:val="18"/>
          <w:szCs w:val="18"/>
          <w:lang w:val="es-ES_tradnl"/>
        </w:rPr>
        <w:t>ñ</w:t>
      </w:r>
      <w:r>
        <w:rPr>
          <w:spacing w:val="-7"/>
          <w:sz w:val="18"/>
          <w:szCs w:val="18"/>
          <w:lang w:val="es-ES_tradnl"/>
        </w:rPr>
        <w:t xml:space="preserve">o 2012, y que hasta tanto, </w:t>
      </w:r>
      <w:r>
        <w:rPr>
          <w:spacing w:val="-3"/>
          <w:sz w:val="18"/>
          <w:szCs w:val="18"/>
          <w:lang w:val="es-ES_tradnl"/>
        </w:rPr>
        <w:t>en relaci</w:t>
      </w:r>
      <w:r>
        <w:rPr>
          <w:rFonts w:cs="Times New Roman"/>
          <w:spacing w:val="-3"/>
          <w:sz w:val="18"/>
          <w:szCs w:val="18"/>
          <w:lang w:val="es-ES_tradnl"/>
        </w:rPr>
        <w:t>ó</w:t>
      </w:r>
      <w:r>
        <w:rPr>
          <w:spacing w:val="-3"/>
          <w:sz w:val="18"/>
          <w:szCs w:val="18"/>
          <w:lang w:val="es-ES_tradnl"/>
        </w:rPr>
        <w:t>n al a</w:t>
      </w:r>
      <w:r>
        <w:rPr>
          <w:rFonts w:cs="Times New Roman"/>
          <w:spacing w:val="-3"/>
          <w:sz w:val="18"/>
          <w:szCs w:val="18"/>
          <w:lang w:val="es-ES_tradnl"/>
        </w:rPr>
        <w:t>ñ</w:t>
      </w:r>
      <w:r>
        <w:rPr>
          <w:spacing w:val="-3"/>
          <w:sz w:val="18"/>
          <w:szCs w:val="18"/>
          <w:lang w:val="es-ES_tradnl"/>
        </w:rPr>
        <w:t>o 2011, se realizar</w:t>
      </w:r>
      <w:r>
        <w:rPr>
          <w:rFonts w:cs="Times New Roman"/>
          <w:spacing w:val="-3"/>
          <w:sz w:val="18"/>
          <w:szCs w:val="18"/>
          <w:lang w:val="es-ES_tradnl"/>
        </w:rPr>
        <w:t>á</w:t>
      </w:r>
      <w:r>
        <w:rPr>
          <w:spacing w:val="-3"/>
          <w:sz w:val="18"/>
          <w:szCs w:val="18"/>
          <w:lang w:val="es-ES_tradnl"/>
        </w:rPr>
        <w:t xml:space="preserve"> por </w:t>
      </w:r>
      <w:r>
        <w:rPr>
          <w:rFonts w:cs="Times New Roman"/>
          <w:spacing w:val="-3"/>
          <w:sz w:val="18"/>
          <w:szCs w:val="18"/>
          <w:lang w:val="es-ES_tradnl"/>
        </w:rPr>
        <w:t>ú</w:t>
      </w:r>
      <w:r>
        <w:rPr>
          <w:spacing w:val="-3"/>
          <w:sz w:val="18"/>
          <w:szCs w:val="18"/>
          <w:lang w:val="es-ES_tradnl"/>
        </w:rPr>
        <w:t xml:space="preserve">ltima vez el </w:t>
      </w:r>
      <w:r>
        <w:rPr>
          <w:spacing w:val="-4"/>
          <w:sz w:val="18"/>
          <w:szCs w:val="18"/>
          <w:lang w:val="es-ES_tradnl"/>
        </w:rPr>
        <w:t xml:space="preserve">informe de labores por parte del Gobierno Municipal del </w:t>
      </w:r>
      <w:r>
        <w:rPr>
          <w:sz w:val="18"/>
          <w:szCs w:val="18"/>
          <w:lang w:val="es-ES_tradnl"/>
        </w:rPr>
        <w:t>Cant</w:t>
      </w:r>
      <w:r>
        <w:rPr>
          <w:rFonts w:cs="Times New Roman"/>
          <w:sz w:val="18"/>
          <w:szCs w:val="18"/>
          <w:lang w:val="es-ES_tradnl"/>
        </w:rPr>
        <w:t>ó</w:t>
      </w:r>
      <w:r>
        <w:rPr>
          <w:sz w:val="18"/>
          <w:szCs w:val="18"/>
          <w:lang w:val="es-ES_tradnl"/>
        </w:rPr>
        <w:t>n Rumi</w:t>
      </w:r>
      <w:r>
        <w:rPr>
          <w:rFonts w:cs="Times New Roman"/>
          <w:sz w:val="18"/>
          <w:szCs w:val="18"/>
          <w:lang w:val="es-ES_tradnl"/>
        </w:rPr>
        <w:t>ñ</w:t>
      </w:r>
      <w:r>
        <w:rPr>
          <w:sz w:val="18"/>
          <w:szCs w:val="18"/>
          <w:lang w:val="es-ES_tradnl"/>
        </w:rPr>
        <w:t>ahui (Sangolqu</w:t>
      </w:r>
      <w:r>
        <w:rPr>
          <w:rFonts w:cs="Times New Roman"/>
          <w:sz w:val="18"/>
          <w:szCs w:val="18"/>
          <w:lang w:val="es-ES_tradnl"/>
        </w:rPr>
        <w:t>í</w:t>
      </w:r>
      <w:r>
        <w:rPr>
          <w:sz w:val="18"/>
          <w:szCs w:val="18"/>
          <w:lang w:val="es-ES_tradnl"/>
        </w:rPr>
        <w:t>).</w:t>
      </w:r>
    </w:p>
    <w:p w14:paraId="4F67A6BF" w14:textId="77777777" w:rsidR="00591D54" w:rsidRDefault="00591D54">
      <w:pPr>
        <w:shd w:val="clear" w:color="auto" w:fill="FFFFFF"/>
        <w:spacing w:before="197" w:line="216" w:lineRule="exact"/>
        <w:jc w:val="both"/>
      </w:pPr>
      <w:r>
        <w:rPr>
          <w:spacing w:val="-3"/>
          <w:sz w:val="18"/>
          <w:szCs w:val="18"/>
          <w:lang w:val="es-ES_tradnl"/>
        </w:rPr>
        <w:t>Que el COOTAD y la Ley Org</w:t>
      </w:r>
      <w:r>
        <w:rPr>
          <w:rFonts w:cs="Times New Roman"/>
          <w:spacing w:val="-3"/>
          <w:sz w:val="18"/>
          <w:szCs w:val="18"/>
          <w:lang w:val="es-ES_tradnl"/>
        </w:rPr>
        <w:t>á</w:t>
      </w:r>
      <w:r>
        <w:rPr>
          <w:spacing w:val="-3"/>
          <w:sz w:val="18"/>
          <w:szCs w:val="18"/>
          <w:lang w:val="es-ES_tradnl"/>
        </w:rPr>
        <w:t>nica de Participaci</w:t>
      </w:r>
      <w:r>
        <w:rPr>
          <w:rFonts w:cs="Times New Roman"/>
          <w:spacing w:val="-3"/>
          <w:sz w:val="18"/>
          <w:szCs w:val="18"/>
          <w:lang w:val="es-ES_tradnl"/>
        </w:rPr>
        <w:t>ó</w:t>
      </w:r>
      <w:r>
        <w:rPr>
          <w:spacing w:val="-3"/>
          <w:sz w:val="18"/>
          <w:szCs w:val="18"/>
          <w:lang w:val="es-ES_tradnl"/>
        </w:rPr>
        <w:t xml:space="preserve">n </w:t>
      </w:r>
      <w:r>
        <w:rPr>
          <w:sz w:val="18"/>
          <w:szCs w:val="18"/>
          <w:lang w:val="es-ES_tradnl"/>
        </w:rPr>
        <w:t xml:space="preserve">Ciudadana establecen que en las sesiones de los </w:t>
      </w:r>
      <w:r>
        <w:rPr>
          <w:spacing w:val="-5"/>
          <w:sz w:val="18"/>
          <w:szCs w:val="18"/>
          <w:lang w:val="es-ES_tradnl"/>
        </w:rPr>
        <w:t>gobiernos aut</w:t>
      </w:r>
      <w:r>
        <w:rPr>
          <w:rFonts w:cs="Times New Roman"/>
          <w:spacing w:val="-5"/>
          <w:sz w:val="18"/>
          <w:szCs w:val="18"/>
          <w:lang w:val="es-ES_tradnl"/>
        </w:rPr>
        <w:t>ó</w:t>
      </w:r>
      <w:r>
        <w:rPr>
          <w:spacing w:val="-5"/>
          <w:sz w:val="18"/>
          <w:szCs w:val="18"/>
          <w:lang w:val="es-ES_tradnl"/>
        </w:rPr>
        <w:t>nomos descentralizados, habr</w:t>
      </w:r>
      <w:r>
        <w:rPr>
          <w:rFonts w:cs="Times New Roman"/>
          <w:spacing w:val="-5"/>
          <w:sz w:val="18"/>
          <w:szCs w:val="18"/>
          <w:lang w:val="es-ES_tradnl"/>
        </w:rPr>
        <w:t>á</w:t>
      </w:r>
      <w:r>
        <w:rPr>
          <w:spacing w:val="-5"/>
          <w:sz w:val="18"/>
          <w:szCs w:val="18"/>
          <w:lang w:val="es-ES_tradnl"/>
        </w:rPr>
        <w:t xml:space="preserve"> una silla </w:t>
      </w:r>
      <w:r>
        <w:rPr>
          <w:spacing w:val="-8"/>
          <w:sz w:val="18"/>
          <w:szCs w:val="18"/>
          <w:lang w:val="es-ES_tradnl"/>
        </w:rPr>
        <w:t>vac</w:t>
      </w:r>
      <w:r>
        <w:rPr>
          <w:rFonts w:cs="Times New Roman"/>
          <w:spacing w:val="-8"/>
          <w:sz w:val="18"/>
          <w:szCs w:val="18"/>
          <w:lang w:val="es-ES_tradnl"/>
        </w:rPr>
        <w:t>í</w:t>
      </w:r>
      <w:r>
        <w:rPr>
          <w:spacing w:val="-8"/>
          <w:sz w:val="18"/>
          <w:szCs w:val="18"/>
          <w:lang w:val="es-ES_tradnl"/>
        </w:rPr>
        <w:t>a, que ser</w:t>
      </w:r>
      <w:r>
        <w:rPr>
          <w:rFonts w:cs="Times New Roman"/>
          <w:spacing w:val="-8"/>
          <w:sz w:val="18"/>
          <w:szCs w:val="18"/>
          <w:lang w:val="es-ES_tradnl"/>
        </w:rPr>
        <w:t>á</w:t>
      </w:r>
      <w:r>
        <w:rPr>
          <w:spacing w:val="-8"/>
          <w:sz w:val="18"/>
          <w:szCs w:val="18"/>
          <w:lang w:val="es-ES_tradnl"/>
        </w:rPr>
        <w:t xml:space="preserve"> ocupada por una o un representante de la </w:t>
      </w:r>
      <w:r>
        <w:rPr>
          <w:spacing w:val="-4"/>
          <w:sz w:val="18"/>
          <w:szCs w:val="18"/>
          <w:lang w:val="es-ES_tradnl"/>
        </w:rPr>
        <w:t>ciudadan</w:t>
      </w:r>
      <w:r>
        <w:rPr>
          <w:rFonts w:cs="Times New Roman"/>
          <w:spacing w:val="-4"/>
          <w:sz w:val="18"/>
          <w:szCs w:val="18"/>
          <w:lang w:val="es-ES_tradnl"/>
        </w:rPr>
        <w:t>í</w:t>
      </w:r>
      <w:r>
        <w:rPr>
          <w:spacing w:val="-4"/>
          <w:sz w:val="18"/>
          <w:szCs w:val="18"/>
          <w:lang w:val="es-ES_tradnl"/>
        </w:rPr>
        <w:t>a, en funci</w:t>
      </w:r>
      <w:r>
        <w:rPr>
          <w:rFonts w:cs="Times New Roman"/>
          <w:spacing w:val="-4"/>
          <w:sz w:val="18"/>
          <w:szCs w:val="18"/>
          <w:lang w:val="es-ES_tradnl"/>
        </w:rPr>
        <w:t>ó</w:t>
      </w:r>
      <w:r>
        <w:rPr>
          <w:spacing w:val="-4"/>
          <w:sz w:val="18"/>
          <w:szCs w:val="18"/>
          <w:lang w:val="es-ES_tradnl"/>
        </w:rPr>
        <w:t xml:space="preserve">n de los temas a ser tratados, pero </w:t>
      </w:r>
      <w:r>
        <w:rPr>
          <w:spacing w:val="-7"/>
          <w:sz w:val="18"/>
          <w:szCs w:val="18"/>
          <w:lang w:val="es-ES_tradnl"/>
        </w:rPr>
        <w:t>la Ordenanza del Sistema de Participaci</w:t>
      </w:r>
      <w:r>
        <w:rPr>
          <w:rFonts w:cs="Times New Roman"/>
          <w:spacing w:val="-7"/>
          <w:sz w:val="18"/>
          <w:szCs w:val="18"/>
          <w:lang w:val="es-ES_tradnl"/>
        </w:rPr>
        <w:t>ó</w:t>
      </w:r>
      <w:r>
        <w:rPr>
          <w:spacing w:val="-7"/>
          <w:sz w:val="18"/>
          <w:szCs w:val="18"/>
          <w:lang w:val="es-ES_tradnl"/>
        </w:rPr>
        <w:t>n Ciudadana del cant</w:t>
      </w:r>
      <w:r>
        <w:rPr>
          <w:rFonts w:cs="Times New Roman"/>
          <w:spacing w:val="-7"/>
          <w:sz w:val="18"/>
          <w:szCs w:val="18"/>
          <w:lang w:val="es-ES_tradnl"/>
        </w:rPr>
        <w:t>ó</w:t>
      </w:r>
      <w:r>
        <w:rPr>
          <w:spacing w:val="-7"/>
          <w:sz w:val="18"/>
          <w:szCs w:val="18"/>
          <w:lang w:val="es-ES_tradnl"/>
        </w:rPr>
        <w:t>n Rumi</w:t>
      </w:r>
      <w:r>
        <w:rPr>
          <w:rFonts w:cs="Times New Roman"/>
          <w:spacing w:val="-7"/>
          <w:sz w:val="18"/>
          <w:szCs w:val="18"/>
          <w:lang w:val="es-ES_tradnl"/>
        </w:rPr>
        <w:t>ñ</w:t>
      </w:r>
      <w:r>
        <w:rPr>
          <w:spacing w:val="-7"/>
          <w:sz w:val="18"/>
          <w:szCs w:val="18"/>
          <w:lang w:val="es-ES_tradnl"/>
        </w:rPr>
        <w:t>ahui, en su art</w:t>
      </w:r>
      <w:r>
        <w:rPr>
          <w:rFonts w:cs="Times New Roman"/>
          <w:spacing w:val="-7"/>
          <w:sz w:val="18"/>
          <w:szCs w:val="18"/>
          <w:lang w:val="es-ES_tradnl"/>
        </w:rPr>
        <w:t>í</w:t>
      </w:r>
      <w:r>
        <w:rPr>
          <w:spacing w:val="-7"/>
          <w:sz w:val="18"/>
          <w:szCs w:val="18"/>
          <w:lang w:val="es-ES_tradnl"/>
        </w:rPr>
        <w:t>culo 23, incorpora una nueva figura, al establecer que la Asamblea Cantonal tendr</w:t>
      </w:r>
      <w:r>
        <w:rPr>
          <w:rFonts w:cs="Times New Roman"/>
          <w:spacing w:val="-7"/>
          <w:sz w:val="18"/>
          <w:szCs w:val="18"/>
          <w:lang w:val="es-ES_tradnl"/>
        </w:rPr>
        <w:t>á</w:t>
      </w:r>
      <w:r>
        <w:rPr>
          <w:spacing w:val="-7"/>
          <w:sz w:val="18"/>
          <w:szCs w:val="18"/>
          <w:lang w:val="es-ES_tradnl"/>
        </w:rPr>
        <w:t xml:space="preserve"> un </w:t>
      </w:r>
      <w:r>
        <w:rPr>
          <w:spacing w:val="-8"/>
          <w:sz w:val="18"/>
          <w:szCs w:val="18"/>
          <w:lang w:val="es-ES_tradnl"/>
        </w:rPr>
        <w:t>delegado acreditado, que se sujetar</w:t>
      </w:r>
      <w:r>
        <w:rPr>
          <w:rFonts w:cs="Times New Roman"/>
          <w:spacing w:val="-8"/>
          <w:sz w:val="18"/>
          <w:szCs w:val="18"/>
          <w:lang w:val="es-ES_tradnl"/>
        </w:rPr>
        <w:t>á</w:t>
      </w:r>
      <w:r>
        <w:rPr>
          <w:spacing w:val="-8"/>
          <w:sz w:val="18"/>
          <w:szCs w:val="18"/>
          <w:lang w:val="es-ES_tradnl"/>
        </w:rPr>
        <w:t xml:space="preserve"> a sus disposiciones y </w:t>
      </w:r>
      <w:r>
        <w:rPr>
          <w:spacing w:val="-7"/>
          <w:sz w:val="18"/>
          <w:szCs w:val="18"/>
          <w:lang w:val="es-ES_tradnl"/>
        </w:rPr>
        <w:t>por consiguiente, su voto ser</w:t>
      </w:r>
      <w:r>
        <w:rPr>
          <w:rFonts w:cs="Times New Roman"/>
          <w:spacing w:val="-7"/>
          <w:sz w:val="18"/>
          <w:szCs w:val="18"/>
          <w:lang w:val="es-ES_tradnl"/>
        </w:rPr>
        <w:t>á</w:t>
      </w:r>
      <w:r>
        <w:rPr>
          <w:spacing w:val="-7"/>
          <w:sz w:val="18"/>
          <w:szCs w:val="18"/>
          <w:lang w:val="es-ES_tradnl"/>
        </w:rPr>
        <w:t xml:space="preserve"> previamente consensuado </w:t>
      </w:r>
      <w:r>
        <w:rPr>
          <w:spacing w:val="-6"/>
          <w:sz w:val="18"/>
          <w:szCs w:val="18"/>
          <w:lang w:val="es-ES_tradnl"/>
        </w:rPr>
        <w:t>con la asamblea o el cant</w:t>
      </w:r>
      <w:r>
        <w:rPr>
          <w:rFonts w:cs="Times New Roman"/>
          <w:spacing w:val="-6"/>
          <w:sz w:val="18"/>
          <w:szCs w:val="18"/>
          <w:lang w:val="es-ES_tradnl"/>
        </w:rPr>
        <w:t>ó</w:t>
      </w:r>
      <w:r>
        <w:rPr>
          <w:spacing w:val="-6"/>
          <w:sz w:val="18"/>
          <w:szCs w:val="18"/>
          <w:lang w:val="es-ES_tradnl"/>
        </w:rPr>
        <w:t xml:space="preserve">n, con lo que, afirma, se crea </w:t>
      </w:r>
      <w:r>
        <w:rPr>
          <w:spacing w:val="-10"/>
          <w:sz w:val="18"/>
          <w:szCs w:val="18"/>
          <w:lang w:val="es-ES_tradnl"/>
        </w:rPr>
        <w:t>una ambig</w:t>
      </w:r>
      <w:r>
        <w:rPr>
          <w:rFonts w:cs="Times New Roman"/>
          <w:spacing w:val="-10"/>
          <w:sz w:val="18"/>
          <w:szCs w:val="18"/>
          <w:lang w:val="es-ES_tradnl"/>
        </w:rPr>
        <w:t>ü</w:t>
      </w:r>
      <w:r>
        <w:rPr>
          <w:spacing w:val="-10"/>
          <w:sz w:val="18"/>
          <w:szCs w:val="18"/>
          <w:lang w:val="es-ES_tradnl"/>
        </w:rPr>
        <w:t xml:space="preserve">edad respecto de quien debe ser el ciudadano o </w:t>
      </w:r>
      <w:r>
        <w:rPr>
          <w:sz w:val="18"/>
          <w:szCs w:val="18"/>
          <w:lang w:val="es-ES_tradnl"/>
        </w:rPr>
        <w:t>ciudadana que ocupe la silla vac</w:t>
      </w:r>
      <w:r>
        <w:rPr>
          <w:rFonts w:cs="Times New Roman"/>
          <w:sz w:val="18"/>
          <w:szCs w:val="18"/>
          <w:lang w:val="es-ES_tradnl"/>
        </w:rPr>
        <w:t>í</w:t>
      </w:r>
      <w:r>
        <w:rPr>
          <w:sz w:val="18"/>
          <w:szCs w:val="18"/>
          <w:lang w:val="es-ES_tradnl"/>
        </w:rPr>
        <w:t>a.</w:t>
      </w:r>
    </w:p>
    <w:p w14:paraId="4F67A6C0" w14:textId="77777777" w:rsidR="00591D54" w:rsidRDefault="00591D54">
      <w:pPr>
        <w:shd w:val="clear" w:color="auto" w:fill="FFFFFF"/>
        <w:spacing w:before="197"/>
      </w:pPr>
      <w:r>
        <w:rPr>
          <w:b/>
          <w:bCs/>
          <w:spacing w:val="-9"/>
          <w:sz w:val="18"/>
          <w:szCs w:val="18"/>
          <w:lang w:val="es-ES_tradnl"/>
        </w:rPr>
        <w:t>Pretensi</w:t>
      </w:r>
      <w:r>
        <w:rPr>
          <w:rFonts w:cs="Times New Roman"/>
          <w:b/>
          <w:bCs/>
          <w:spacing w:val="-9"/>
          <w:sz w:val="18"/>
          <w:szCs w:val="18"/>
          <w:lang w:val="es-ES_tradnl"/>
        </w:rPr>
        <w:t>ó</w:t>
      </w:r>
      <w:r>
        <w:rPr>
          <w:b/>
          <w:bCs/>
          <w:spacing w:val="-9"/>
          <w:sz w:val="18"/>
          <w:szCs w:val="18"/>
          <w:lang w:val="es-ES_tradnl"/>
        </w:rPr>
        <w:t>n concreta</w:t>
      </w:r>
    </w:p>
    <w:p w14:paraId="4F67A6C1" w14:textId="77777777" w:rsidR="00591D54" w:rsidRDefault="00591D54">
      <w:pPr>
        <w:shd w:val="clear" w:color="auto" w:fill="FFFFFF"/>
        <w:spacing w:before="197" w:line="216" w:lineRule="exact"/>
        <w:jc w:val="both"/>
      </w:pPr>
      <w:r>
        <w:rPr>
          <w:spacing w:val="-2"/>
          <w:sz w:val="18"/>
          <w:szCs w:val="18"/>
          <w:lang w:val="es-ES_tradnl"/>
        </w:rPr>
        <w:t xml:space="preserve">El accionante solicita que </w:t>
      </w:r>
      <w:r>
        <w:rPr>
          <w:rFonts w:cs="Times New Roman"/>
          <w:spacing w:val="-2"/>
          <w:sz w:val="18"/>
          <w:szCs w:val="18"/>
          <w:lang w:val="es-ES_tradnl"/>
        </w:rPr>
        <w:t>“</w:t>
      </w:r>
      <w:r>
        <w:rPr>
          <w:spacing w:val="-2"/>
          <w:sz w:val="18"/>
          <w:szCs w:val="18"/>
          <w:lang w:val="es-ES_tradnl"/>
        </w:rPr>
        <w:t xml:space="preserve">se analice y se compruebe </w:t>
      </w:r>
      <w:r>
        <w:rPr>
          <w:spacing w:val="-5"/>
          <w:sz w:val="18"/>
          <w:szCs w:val="18"/>
          <w:lang w:val="es-ES_tradnl"/>
        </w:rPr>
        <w:t>los errores constitucionales e ilegalidades que se han cometido en la redacci</w:t>
      </w:r>
      <w:r>
        <w:rPr>
          <w:rFonts w:cs="Times New Roman"/>
          <w:spacing w:val="-5"/>
          <w:sz w:val="18"/>
          <w:szCs w:val="18"/>
          <w:lang w:val="es-ES_tradnl"/>
        </w:rPr>
        <w:t>ó</w:t>
      </w:r>
      <w:r>
        <w:rPr>
          <w:spacing w:val="-5"/>
          <w:sz w:val="18"/>
          <w:szCs w:val="18"/>
          <w:lang w:val="es-ES_tradnl"/>
        </w:rPr>
        <w:t>n y expedici</w:t>
      </w:r>
      <w:r>
        <w:rPr>
          <w:rFonts w:cs="Times New Roman"/>
          <w:spacing w:val="-5"/>
          <w:sz w:val="18"/>
          <w:szCs w:val="18"/>
          <w:lang w:val="es-ES_tradnl"/>
        </w:rPr>
        <w:t>ó</w:t>
      </w:r>
      <w:r>
        <w:rPr>
          <w:spacing w:val="-5"/>
          <w:sz w:val="18"/>
          <w:szCs w:val="18"/>
          <w:lang w:val="es-ES_tradnl"/>
        </w:rPr>
        <w:t xml:space="preserve">n de la Ordenanza </w:t>
      </w:r>
      <w:r>
        <w:rPr>
          <w:spacing w:val="-4"/>
          <w:sz w:val="18"/>
          <w:szCs w:val="18"/>
          <w:lang w:val="es-ES_tradnl"/>
        </w:rPr>
        <w:t>del Sistema de Gesti</w:t>
      </w:r>
      <w:r>
        <w:rPr>
          <w:rFonts w:cs="Times New Roman"/>
          <w:spacing w:val="-4"/>
          <w:sz w:val="18"/>
          <w:szCs w:val="18"/>
          <w:lang w:val="es-ES_tradnl"/>
        </w:rPr>
        <w:t>ó</w:t>
      </w:r>
      <w:r>
        <w:rPr>
          <w:spacing w:val="-4"/>
          <w:sz w:val="18"/>
          <w:szCs w:val="18"/>
          <w:lang w:val="es-ES_tradnl"/>
        </w:rPr>
        <w:t>n y Participaci</w:t>
      </w:r>
      <w:r>
        <w:rPr>
          <w:rFonts w:cs="Times New Roman"/>
          <w:spacing w:val="-4"/>
          <w:sz w:val="18"/>
          <w:szCs w:val="18"/>
          <w:lang w:val="es-ES_tradnl"/>
        </w:rPr>
        <w:t>ó</w:t>
      </w:r>
      <w:r>
        <w:rPr>
          <w:spacing w:val="-4"/>
          <w:sz w:val="18"/>
          <w:szCs w:val="18"/>
          <w:lang w:val="es-ES_tradnl"/>
        </w:rPr>
        <w:t xml:space="preserve">n Ciudadana del </w:t>
      </w:r>
      <w:r>
        <w:rPr>
          <w:spacing w:val="-3"/>
          <w:sz w:val="18"/>
          <w:szCs w:val="18"/>
          <w:lang w:val="es-ES_tradnl"/>
        </w:rPr>
        <w:t>cant</w:t>
      </w:r>
      <w:r>
        <w:rPr>
          <w:rFonts w:cs="Times New Roman"/>
          <w:spacing w:val="-3"/>
          <w:sz w:val="18"/>
          <w:szCs w:val="18"/>
          <w:lang w:val="es-ES_tradnl"/>
        </w:rPr>
        <w:t>ó</w:t>
      </w:r>
      <w:r>
        <w:rPr>
          <w:spacing w:val="-3"/>
          <w:sz w:val="18"/>
          <w:szCs w:val="18"/>
          <w:lang w:val="es-ES_tradnl"/>
        </w:rPr>
        <w:t>n Rumi</w:t>
      </w:r>
      <w:r>
        <w:rPr>
          <w:rFonts w:cs="Times New Roman"/>
          <w:spacing w:val="-3"/>
          <w:sz w:val="18"/>
          <w:szCs w:val="18"/>
          <w:lang w:val="es-ES_tradnl"/>
        </w:rPr>
        <w:t>ñ</w:t>
      </w:r>
      <w:r>
        <w:rPr>
          <w:spacing w:val="-3"/>
          <w:sz w:val="18"/>
          <w:szCs w:val="18"/>
          <w:lang w:val="es-ES_tradnl"/>
        </w:rPr>
        <w:t>ahui</w:t>
      </w:r>
      <w:r>
        <w:rPr>
          <w:rFonts w:cs="Times New Roman"/>
          <w:spacing w:val="-3"/>
          <w:sz w:val="18"/>
          <w:szCs w:val="18"/>
          <w:lang w:val="es-ES_tradnl"/>
        </w:rPr>
        <w:t>”</w:t>
      </w:r>
      <w:r>
        <w:rPr>
          <w:spacing w:val="-3"/>
          <w:sz w:val="18"/>
          <w:szCs w:val="18"/>
          <w:lang w:val="es-ES_tradnl"/>
        </w:rPr>
        <w:t>, publicada en el Registro Oficial N.</w:t>
      </w:r>
      <w:r>
        <w:rPr>
          <w:rFonts w:cs="Times New Roman"/>
          <w:spacing w:val="-3"/>
          <w:sz w:val="18"/>
          <w:szCs w:val="18"/>
          <w:lang w:val="es-ES_tradnl"/>
        </w:rPr>
        <w:t xml:space="preserve">º </w:t>
      </w:r>
      <w:r>
        <w:rPr>
          <w:sz w:val="18"/>
          <w:szCs w:val="18"/>
          <w:lang w:val="es-ES_tradnl"/>
        </w:rPr>
        <w:t>507 del 5 de agosto de 2011.</w:t>
      </w:r>
    </w:p>
    <w:p w14:paraId="4F67A6C2" w14:textId="77777777" w:rsidR="00591D54" w:rsidRDefault="00591D54">
      <w:pPr>
        <w:shd w:val="clear" w:color="auto" w:fill="FFFFFF"/>
        <w:spacing w:before="197" w:line="216" w:lineRule="exact"/>
        <w:jc w:val="both"/>
        <w:sectPr w:rsidR="00591D54">
          <w:type w:val="continuous"/>
          <w:pgSz w:w="11909" w:h="16834"/>
          <w:pgMar w:top="1368" w:right="1309" w:bottom="360" w:left="1308" w:header="720" w:footer="720" w:gutter="0"/>
          <w:cols w:num="2" w:space="720" w:equalWidth="0">
            <w:col w:w="4305" w:space="682"/>
            <w:col w:w="4305"/>
          </w:cols>
          <w:noEndnote/>
        </w:sectPr>
      </w:pPr>
    </w:p>
    <w:p w14:paraId="4F67A6C3" w14:textId="77777777" w:rsidR="00591D54" w:rsidRDefault="00591D54">
      <w:pPr>
        <w:shd w:val="clear" w:color="auto" w:fill="FFFFFF"/>
        <w:tabs>
          <w:tab w:val="left" w:pos="5952"/>
        </w:tabs>
        <w:spacing w:after="221"/>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- 43</w:t>
      </w:r>
    </w:p>
    <w:p w14:paraId="4F67A6C4" w14:textId="77777777" w:rsidR="00591D54" w:rsidRDefault="00591D54">
      <w:pPr>
        <w:shd w:val="clear" w:color="auto" w:fill="FFFFFF"/>
        <w:tabs>
          <w:tab w:val="left" w:pos="5952"/>
        </w:tabs>
        <w:spacing w:after="221"/>
        <w:ind w:left="5"/>
        <w:sectPr w:rsidR="00591D54">
          <w:pgSz w:w="11909" w:h="16834"/>
          <w:pgMar w:top="1368" w:right="1299" w:bottom="360" w:left="1308" w:header="720" w:footer="720" w:gutter="0"/>
          <w:cols w:space="60"/>
          <w:noEndnote/>
        </w:sectPr>
      </w:pPr>
    </w:p>
    <w:p w14:paraId="4F67A6C5" w14:textId="77777777" w:rsidR="00591D54" w:rsidRDefault="00591D54">
      <w:pPr>
        <w:shd w:val="clear" w:color="auto" w:fill="FFFFFF"/>
        <w:spacing w:before="5"/>
      </w:pPr>
      <w:r>
        <w:rPr>
          <w:b/>
          <w:bCs/>
          <w:spacing w:val="-10"/>
          <w:sz w:val="18"/>
          <w:szCs w:val="18"/>
          <w:lang w:val="es-ES_tradnl"/>
        </w:rPr>
        <w:t>Texto de las normas cuya inconstitucionalidad se acusa</w:t>
      </w:r>
    </w:p>
    <w:p w14:paraId="4F67A6C6" w14:textId="77777777" w:rsidR="00591D54" w:rsidRDefault="00591D54">
      <w:pPr>
        <w:shd w:val="clear" w:color="auto" w:fill="FFFFFF"/>
        <w:spacing w:before="202" w:line="221" w:lineRule="exact"/>
        <w:ind w:right="5"/>
        <w:jc w:val="both"/>
      </w:pPr>
      <w:r>
        <w:rPr>
          <w:spacing w:val="-6"/>
          <w:sz w:val="18"/>
          <w:szCs w:val="18"/>
          <w:lang w:val="es-ES_tradnl"/>
        </w:rPr>
        <w:t>El legitimado activo no se</w:t>
      </w:r>
      <w:r>
        <w:rPr>
          <w:rFonts w:cs="Times New Roman"/>
          <w:spacing w:val="-6"/>
          <w:sz w:val="18"/>
          <w:szCs w:val="18"/>
          <w:lang w:val="es-ES_tradnl"/>
        </w:rPr>
        <w:t>ñ</w:t>
      </w:r>
      <w:r>
        <w:rPr>
          <w:spacing w:val="-6"/>
          <w:sz w:val="18"/>
          <w:szCs w:val="18"/>
          <w:lang w:val="es-ES_tradnl"/>
        </w:rPr>
        <w:t>ala de manera expresa cu</w:t>
      </w:r>
      <w:r>
        <w:rPr>
          <w:rFonts w:cs="Times New Roman"/>
          <w:spacing w:val="-6"/>
          <w:sz w:val="18"/>
          <w:szCs w:val="18"/>
          <w:lang w:val="es-ES_tradnl"/>
        </w:rPr>
        <w:t>á</w:t>
      </w:r>
      <w:r>
        <w:rPr>
          <w:spacing w:val="-6"/>
          <w:sz w:val="18"/>
          <w:szCs w:val="18"/>
          <w:lang w:val="es-ES_tradnl"/>
        </w:rPr>
        <w:t xml:space="preserve">les </w:t>
      </w:r>
      <w:r>
        <w:rPr>
          <w:spacing w:val="-9"/>
          <w:sz w:val="18"/>
          <w:szCs w:val="18"/>
          <w:lang w:val="es-ES_tradnl"/>
        </w:rPr>
        <w:t xml:space="preserve">son las normas contenidas en la Ordenanza del Sistema de </w:t>
      </w:r>
      <w:r>
        <w:rPr>
          <w:spacing w:val="-5"/>
          <w:sz w:val="18"/>
          <w:szCs w:val="18"/>
          <w:lang w:val="es-ES_tradnl"/>
        </w:rPr>
        <w:t>Gesti</w:t>
      </w:r>
      <w:r>
        <w:rPr>
          <w:rFonts w:cs="Times New Roman"/>
          <w:spacing w:val="-5"/>
          <w:sz w:val="18"/>
          <w:szCs w:val="18"/>
          <w:lang w:val="es-ES_tradnl"/>
        </w:rPr>
        <w:t>ó</w:t>
      </w:r>
      <w:r>
        <w:rPr>
          <w:spacing w:val="-5"/>
          <w:sz w:val="18"/>
          <w:szCs w:val="18"/>
          <w:lang w:val="es-ES_tradnl"/>
        </w:rPr>
        <w:t>n y Participaci</w:t>
      </w:r>
      <w:r>
        <w:rPr>
          <w:rFonts w:cs="Times New Roman"/>
          <w:spacing w:val="-5"/>
          <w:sz w:val="18"/>
          <w:szCs w:val="18"/>
          <w:lang w:val="es-ES_tradnl"/>
        </w:rPr>
        <w:t>ó</w:t>
      </w:r>
      <w:r>
        <w:rPr>
          <w:spacing w:val="-5"/>
          <w:sz w:val="18"/>
          <w:szCs w:val="18"/>
          <w:lang w:val="es-ES_tradnl"/>
        </w:rPr>
        <w:t>n Ciudadana del cant</w:t>
      </w:r>
      <w:r>
        <w:rPr>
          <w:rFonts w:cs="Times New Roman"/>
          <w:spacing w:val="-5"/>
          <w:sz w:val="18"/>
          <w:szCs w:val="18"/>
          <w:lang w:val="es-ES_tradnl"/>
        </w:rPr>
        <w:t>ó</w:t>
      </w:r>
      <w:r>
        <w:rPr>
          <w:spacing w:val="-5"/>
          <w:sz w:val="18"/>
          <w:szCs w:val="18"/>
          <w:lang w:val="es-ES_tradnl"/>
        </w:rPr>
        <w:t>n Rumi</w:t>
      </w:r>
      <w:r>
        <w:rPr>
          <w:rFonts w:cs="Times New Roman"/>
          <w:spacing w:val="-5"/>
          <w:sz w:val="18"/>
          <w:szCs w:val="18"/>
          <w:lang w:val="es-ES_tradnl"/>
        </w:rPr>
        <w:t>ñ</w:t>
      </w:r>
      <w:r>
        <w:rPr>
          <w:spacing w:val="-5"/>
          <w:sz w:val="18"/>
          <w:szCs w:val="18"/>
          <w:lang w:val="es-ES_tradnl"/>
        </w:rPr>
        <w:t xml:space="preserve">ahui a las cuales imputa inconstitucionalidad; sin embargo, de </w:t>
      </w:r>
      <w:r>
        <w:rPr>
          <w:spacing w:val="-8"/>
          <w:sz w:val="18"/>
          <w:szCs w:val="18"/>
          <w:lang w:val="es-ES_tradnl"/>
        </w:rPr>
        <w:t xml:space="preserve">la lectura del libelo de demanda se infiere, por la referencia </w:t>
      </w:r>
      <w:r>
        <w:rPr>
          <w:spacing w:val="-6"/>
          <w:sz w:val="18"/>
          <w:szCs w:val="18"/>
          <w:lang w:val="es-ES_tradnl"/>
        </w:rPr>
        <w:t xml:space="preserve">que hace a ellas, que impugna las siguientes normas de </w:t>
      </w:r>
      <w:r>
        <w:rPr>
          <w:sz w:val="18"/>
          <w:szCs w:val="18"/>
          <w:lang w:val="es-ES_tradnl"/>
        </w:rPr>
        <w:t>dicha ordenanza:</w:t>
      </w:r>
    </w:p>
    <w:p w14:paraId="4F67A6C7" w14:textId="77777777" w:rsidR="00591D54" w:rsidRDefault="00591D54">
      <w:pPr>
        <w:shd w:val="clear" w:color="auto" w:fill="FFFFFF"/>
        <w:tabs>
          <w:tab w:val="left" w:pos="566"/>
        </w:tabs>
        <w:spacing w:before="202" w:line="221" w:lineRule="exact"/>
        <w:ind w:left="566" w:hanging="283"/>
        <w:jc w:val="both"/>
      </w:pPr>
      <w:r>
        <w:rPr>
          <w:spacing w:val="-7"/>
          <w:sz w:val="16"/>
          <w:szCs w:val="16"/>
          <w:lang w:val="es-ES_tradnl"/>
        </w:rPr>
        <w:t>1)</w:t>
      </w:r>
      <w:r>
        <w:rPr>
          <w:sz w:val="18"/>
          <w:szCs w:val="18"/>
          <w:lang w:val="es-ES_tradnl"/>
        </w:rPr>
        <w:tab/>
      </w:r>
      <w:r>
        <w:rPr>
          <w:b/>
          <w:bCs/>
          <w:sz w:val="16"/>
          <w:szCs w:val="16"/>
          <w:lang w:val="es-ES_tradnl"/>
        </w:rPr>
        <w:t>Art.</w:t>
      </w:r>
      <w:r>
        <w:rPr>
          <w:b/>
          <w:bCs/>
          <w:sz w:val="18"/>
          <w:szCs w:val="18"/>
          <w:lang w:val="es-ES_tradnl"/>
        </w:rPr>
        <w:t xml:space="preserve"> </w:t>
      </w:r>
      <w:r>
        <w:rPr>
          <w:b/>
          <w:bCs/>
          <w:sz w:val="16"/>
          <w:szCs w:val="16"/>
          <w:lang w:val="es-ES_tradnl"/>
        </w:rPr>
        <w:t>7.-</w:t>
      </w:r>
      <w:r>
        <w:rPr>
          <w:b/>
          <w:bCs/>
          <w:sz w:val="18"/>
          <w:szCs w:val="18"/>
          <w:lang w:val="es-ES_tradnl"/>
        </w:rPr>
        <w:t xml:space="preserve"> </w:t>
      </w:r>
      <w:r>
        <w:rPr>
          <w:b/>
          <w:bCs/>
          <w:sz w:val="16"/>
          <w:szCs w:val="16"/>
          <w:lang w:val="es-ES_tradnl"/>
        </w:rPr>
        <w:t>ASAMBLEA</w:t>
      </w:r>
      <w:r>
        <w:rPr>
          <w:b/>
          <w:bCs/>
          <w:sz w:val="18"/>
          <w:szCs w:val="18"/>
          <w:lang w:val="es-ES_tradnl"/>
        </w:rPr>
        <w:t xml:space="preserve"> </w:t>
      </w:r>
      <w:r>
        <w:rPr>
          <w:b/>
          <w:bCs/>
          <w:sz w:val="16"/>
          <w:szCs w:val="16"/>
          <w:lang w:val="es-ES_tradnl"/>
        </w:rPr>
        <w:t>CANTONAL</w:t>
      </w:r>
      <w:r>
        <w:rPr>
          <w:b/>
          <w:bCs/>
          <w:sz w:val="18"/>
          <w:szCs w:val="18"/>
          <w:lang w:val="es-ES_tradnl"/>
        </w:rPr>
        <w:t xml:space="preserve"> </w:t>
      </w:r>
      <w:r>
        <w:rPr>
          <w:b/>
          <w:bCs/>
          <w:sz w:val="16"/>
          <w:szCs w:val="16"/>
          <w:lang w:val="es-ES_tradnl"/>
        </w:rPr>
        <w:t>DE</w:t>
      </w:r>
      <w:r>
        <w:rPr>
          <w:b/>
          <w:bCs/>
          <w:sz w:val="18"/>
          <w:szCs w:val="18"/>
          <w:lang w:val="es-ES_tradnl"/>
        </w:rPr>
        <w:t xml:space="preserve"> </w:t>
      </w:r>
      <w:r>
        <w:rPr>
          <w:b/>
          <w:bCs/>
          <w:sz w:val="16"/>
          <w:szCs w:val="16"/>
          <w:lang w:val="es-ES_tradnl"/>
        </w:rPr>
        <w:t>GESTI</w:t>
      </w:r>
      <w:r>
        <w:rPr>
          <w:rFonts w:cs="Times New Roman"/>
          <w:b/>
          <w:bCs/>
          <w:sz w:val="16"/>
          <w:szCs w:val="16"/>
          <w:lang w:val="es-ES_tradnl"/>
        </w:rPr>
        <w:t>Ó</w:t>
      </w:r>
      <w:r>
        <w:rPr>
          <w:b/>
          <w:bCs/>
          <w:sz w:val="16"/>
          <w:szCs w:val="16"/>
          <w:lang w:val="es-ES_tradnl"/>
        </w:rPr>
        <w:t>N</w:t>
      </w:r>
      <w:r>
        <w:rPr>
          <w:b/>
          <w:bCs/>
          <w:sz w:val="18"/>
          <w:szCs w:val="18"/>
          <w:lang w:val="es-ES_tradnl"/>
        </w:rPr>
        <w:t xml:space="preserve"> </w:t>
      </w:r>
      <w:r>
        <w:rPr>
          <w:b/>
          <w:bCs/>
          <w:sz w:val="16"/>
          <w:szCs w:val="16"/>
          <w:lang w:val="es-ES_tradnl"/>
        </w:rPr>
        <w:t>Y PARTICIAPCI</w:t>
      </w:r>
      <w:r>
        <w:rPr>
          <w:rFonts w:cs="Times New Roman"/>
          <w:b/>
          <w:bCs/>
          <w:sz w:val="16"/>
          <w:szCs w:val="16"/>
          <w:lang w:val="es-ES_tradnl"/>
        </w:rPr>
        <w:t>Ó</w:t>
      </w:r>
      <w:r>
        <w:rPr>
          <w:b/>
          <w:bCs/>
          <w:sz w:val="16"/>
          <w:szCs w:val="16"/>
          <w:lang w:val="es-ES_tradnl"/>
        </w:rPr>
        <w:t>N CIUDADANA DE RUMI</w:t>
      </w:r>
      <w:r>
        <w:rPr>
          <w:rFonts w:cs="Times New Roman"/>
          <w:b/>
          <w:bCs/>
          <w:sz w:val="16"/>
          <w:szCs w:val="16"/>
          <w:lang w:val="es-ES_tradnl"/>
        </w:rPr>
        <w:t>Ñ</w:t>
      </w:r>
      <w:r>
        <w:rPr>
          <w:b/>
          <w:bCs/>
          <w:sz w:val="16"/>
          <w:szCs w:val="16"/>
          <w:lang w:val="es-ES_tradnl"/>
        </w:rPr>
        <w:t>AHUI.-</w:t>
      </w:r>
    </w:p>
    <w:p w14:paraId="4F67A6C8" w14:textId="77777777" w:rsidR="00591D54" w:rsidRDefault="00591D54">
      <w:pPr>
        <w:shd w:val="clear" w:color="auto" w:fill="FFFFFF"/>
        <w:spacing w:line="221" w:lineRule="exact"/>
        <w:ind w:left="566" w:right="10"/>
        <w:jc w:val="both"/>
      </w:pPr>
      <w:r>
        <w:rPr>
          <w:spacing w:val="-3"/>
          <w:sz w:val="16"/>
          <w:szCs w:val="16"/>
          <w:lang w:val="es-ES_tradnl"/>
        </w:rPr>
        <w:t>La Asamblea Cantonal de Gesti</w:t>
      </w:r>
      <w:r>
        <w:rPr>
          <w:rFonts w:cs="Times New Roman"/>
          <w:spacing w:val="-3"/>
          <w:sz w:val="16"/>
          <w:szCs w:val="16"/>
          <w:lang w:val="es-ES_tradnl"/>
        </w:rPr>
        <w:t>ó</w:t>
      </w:r>
      <w:r>
        <w:rPr>
          <w:spacing w:val="-3"/>
          <w:sz w:val="16"/>
          <w:szCs w:val="16"/>
          <w:lang w:val="es-ES_tradnl"/>
        </w:rPr>
        <w:t>n y Participaci</w:t>
      </w:r>
      <w:r>
        <w:rPr>
          <w:rFonts w:cs="Times New Roman"/>
          <w:spacing w:val="-3"/>
          <w:sz w:val="16"/>
          <w:szCs w:val="16"/>
          <w:lang w:val="es-ES_tradnl"/>
        </w:rPr>
        <w:t>ó</w:t>
      </w:r>
      <w:r>
        <w:rPr>
          <w:spacing w:val="-3"/>
          <w:sz w:val="16"/>
          <w:szCs w:val="16"/>
          <w:lang w:val="es-ES_tradnl"/>
        </w:rPr>
        <w:t xml:space="preserve">n </w:t>
      </w:r>
      <w:r>
        <w:rPr>
          <w:spacing w:val="-6"/>
          <w:sz w:val="16"/>
          <w:szCs w:val="16"/>
          <w:lang w:val="es-ES_tradnl"/>
        </w:rPr>
        <w:t>Ciudadana de Rumi</w:t>
      </w:r>
      <w:r>
        <w:rPr>
          <w:rFonts w:cs="Times New Roman"/>
          <w:spacing w:val="-6"/>
          <w:sz w:val="16"/>
          <w:szCs w:val="16"/>
          <w:lang w:val="es-ES_tradnl"/>
        </w:rPr>
        <w:t>ñ</w:t>
      </w:r>
      <w:r>
        <w:rPr>
          <w:spacing w:val="-6"/>
          <w:sz w:val="16"/>
          <w:szCs w:val="16"/>
          <w:lang w:val="es-ES_tradnl"/>
        </w:rPr>
        <w:t>ahui es la m</w:t>
      </w:r>
      <w:r>
        <w:rPr>
          <w:rFonts w:cs="Times New Roman"/>
          <w:spacing w:val="-6"/>
          <w:sz w:val="16"/>
          <w:szCs w:val="16"/>
          <w:lang w:val="es-ES_tradnl"/>
        </w:rPr>
        <w:t>á</w:t>
      </w:r>
      <w:r>
        <w:rPr>
          <w:spacing w:val="-6"/>
          <w:sz w:val="16"/>
          <w:szCs w:val="16"/>
          <w:lang w:val="es-ES_tradnl"/>
        </w:rPr>
        <w:t>xima instancia de participaci</w:t>
      </w:r>
      <w:r>
        <w:rPr>
          <w:rFonts w:cs="Times New Roman"/>
          <w:spacing w:val="-6"/>
          <w:sz w:val="16"/>
          <w:szCs w:val="16"/>
          <w:lang w:val="es-ES_tradnl"/>
        </w:rPr>
        <w:t>ó</w:t>
      </w:r>
      <w:r>
        <w:rPr>
          <w:spacing w:val="-6"/>
          <w:sz w:val="16"/>
          <w:szCs w:val="16"/>
          <w:lang w:val="es-ES_tradnl"/>
        </w:rPr>
        <w:t>n ciudadana del cant</w:t>
      </w:r>
      <w:r>
        <w:rPr>
          <w:rFonts w:cs="Times New Roman"/>
          <w:spacing w:val="-6"/>
          <w:sz w:val="16"/>
          <w:szCs w:val="16"/>
          <w:lang w:val="es-ES_tradnl"/>
        </w:rPr>
        <w:t>ó</w:t>
      </w:r>
      <w:r>
        <w:rPr>
          <w:spacing w:val="-6"/>
          <w:sz w:val="16"/>
          <w:szCs w:val="16"/>
          <w:lang w:val="es-ES_tradnl"/>
        </w:rPr>
        <w:t>n Rumi</w:t>
      </w:r>
      <w:r>
        <w:rPr>
          <w:rFonts w:cs="Times New Roman"/>
          <w:spacing w:val="-6"/>
          <w:sz w:val="16"/>
          <w:szCs w:val="16"/>
          <w:lang w:val="es-ES_tradnl"/>
        </w:rPr>
        <w:t>ñ</w:t>
      </w:r>
      <w:r>
        <w:rPr>
          <w:spacing w:val="-6"/>
          <w:sz w:val="16"/>
          <w:szCs w:val="16"/>
          <w:lang w:val="es-ES_tradnl"/>
        </w:rPr>
        <w:t>ahui, recoger</w:t>
      </w:r>
      <w:r>
        <w:rPr>
          <w:rFonts w:cs="Times New Roman"/>
          <w:spacing w:val="-6"/>
          <w:sz w:val="16"/>
          <w:szCs w:val="16"/>
          <w:lang w:val="es-ES_tradnl"/>
        </w:rPr>
        <w:t xml:space="preserve">á </w:t>
      </w:r>
      <w:r>
        <w:rPr>
          <w:spacing w:val="-7"/>
          <w:sz w:val="16"/>
          <w:szCs w:val="16"/>
          <w:lang w:val="es-ES_tradnl"/>
        </w:rPr>
        <w:t xml:space="preserve">las deliberaciones y aportes de la sociedad, propendiendo </w:t>
      </w:r>
      <w:r>
        <w:rPr>
          <w:spacing w:val="-6"/>
          <w:sz w:val="16"/>
          <w:szCs w:val="16"/>
          <w:lang w:val="es-ES_tradnl"/>
        </w:rPr>
        <w:t>a trabajar sobre acuerdos en planificaci</w:t>
      </w:r>
      <w:r>
        <w:rPr>
          <w:rFonts w:cs="Times New Roman"/>
          <w:spacing w:val="-6"/>
          <w:sz w:val="16"/>
          <w:szCs w:val="16"/>
          <w:lang w:val="es-ES_tradnl"/>
        </w:rPr>
        <w:t>ó</w:t>
      </w:r>
      <w:r>
        <w:rPr>
          <w:spacing w:val="-6"/>
          <w:sz w:val="16"/>
          <w:szCs w:val="16"/>
          <w:lang w:val="es-ES_tradnl"/>
        </w:rPr>
        <w:t xml:space="preserve">n para la </w:t>
      </w:r>
      <w:r>
        <w:rPr>
          <w:spacing w:val="-8"/>
          <w:sz w:val="16"/>
          <w:szCs w:val="16"/>
          <w:lang w:val="es-ES_tradnl"/>
        </w:rPr>
        <w:t>presupuestaci</w:t>
      </w:r>
      <w:r>
        <w:rPr>
          <w:rFonts w:cs="Times New Roman"/>
          <w:spacing w:val="-8"/>
          <w:sz w:val="16"/>
          <w:szCs w:val="16"/>
          <w:lang w:val="es-ES_tradnl"/>
        </w:rPr>
        <w:t>ó</w:t>
      </w:r>
      <w:r>
        <w:rPr>
          <w:spacing w:val="-8"/>
          <w:sz w:val="16"/>
          <w:szCs w:val="16"/>
          <w:lang w:val="es-ES_tradnl"/>
        </w:rPr>
        <w:t xml:space="preserve">n participativa desde las bases territoriales, </w:t>
      </w:r>
      <w:r>
        <w:rPr>
          <w:spacing w:val="-7"/>
          <w:sz w:val="16"/>
          <w:szCs w:val="16"/>
          <w:lang w:val="es-ES_tradnl"/>
        </w:rPr>
        <w:t>y de los sectores de atenci</w:t>
      </w:r>
      <w:r>
        <w:rPr>
          <w:rFonts w:cs="Times New Roman"/>
          <w:spacing w:val="-7"/>
          <w:sz w:val="16"/>
          <w:szCs w:val="16"/>
          <w:lang w:val="es-ES_tradnl"/>
        </w:rPr>
        <w:t>ó</w:t>
      </w:r>
      <w:r>
        <w:rPr>
          <w:spacing w:val="-7"/>
          <w:sz w:val="16"/>
          <w:szCs w:val="16"/>
          <w:lang w:val="es-ES_tradnl"/>
        </w:rPr>
        <w:t>n prioritaria. Est</w:t>
      </w:r>
      <w:r>
        <w:rPr>
          <w:rFonts w:cs="Times New Roman"/>
          <w:spacing w:val="-7"/>
          <w:sz w:val="16"/>
          <w:szCs w:val="16"/>
          <w:lang w:val="es-ES_tradnl"/>
        </w:rPr>
        <w:t>á</w:t>
      </w:r>
      <w:r>
        <w:rPr>
          <w:spacing w:val="-7"/>
          <w:sz w:val="16"/>
          <w:szCs w:val="16"/>
          <w:lang w:val="es-ES_tradnl"/>
        </w:rPr>
        <w:t xml:space="preserve"> conformada </w:t>
      </w:r>
      <w:r>
        <w:rPr>
          <w:spacing w:val="-8"/>
          <w:sz w:val="16"/>
          <w:szCs w:val="16"/>
          <w:lang w:val="es-ES_tradnl"/>
        </w:rPr>
        <w:t>por Asamble</w:t>
      </w:r>
      <w:r>
        <w:rPr>
          <w:rFonts w:cs="Times New Roman"/>
          <w:spacing w:val="-8"/>
          <w:sz w:val="16"/>
          <w:szCs w:val="16"/>
          <w:lang w:val="es-ES_tradnl"/>
        </w:rPr>
        <w:t>í</w:t>
      </w:r>
      <w:r>
        <w:rPr>
          <w:spacing w:val="-8"/>
          <w:sz w:val="16"/>
          <w:szCs w:val="16"/>
          <w:lang w:val="es-ES_tradnl"/>
        </w:rPr>
        <w:t xml:space="preserve">stas acreditados de las Asambleas de base </w:t>
      </w:r>
      <w:r>
        <w:rPr>
          <w:spacing w:val="-7"/>
          <w:sz w:val="16"/>
          <w:szCs w:val="16"/>
          <w:lang w:val="es-ES_tradnl"/>
        </w:rPr>
        <w:t>territorial y tem</w:t>
      </w:r>
      <w:r>
        <w:rPr>
          <w:rFonts w:cs="Times New Roman"/>
          <w:spacing w:val="-7"/>
          <w:sz w:val="16"/>
          <w:szCs w:val="16"/>
          <w:lang w:val="es-ES_tradnl"/>
        </w:rPr>
        <w:t>á</w:t>
      </w:r>
      <w:r>
        <w:rPr>
          <w:spacing w:val="-7"/>
          <w:sz w:val="16"/>
          <w:szCs w:val="16"/>
          <w:lang w:val="es-ES_tradnl"/>
        </w:rPr>
        <w:t xml:space="preserve">ticas urbanas y rurales; de las Asambleas </w:t>
      </w:r>
      <w:r>
        <w:rPr>
          <w:spacing w:val="-3"/>
          <w:sz w:val="16"/>
          <w:szCs w:val="16"/>
          <w:lang w:val="es-ES_tradnl"/>
        </w:rPr>
        <w:t>de los Grupos de Atenci</w:t>
      </w:r>
      <w:r>
        <w:rPr>
          <w:rFonts w:cs="Times New Roman"/>
          <w:spacing w:val="-3"/>
          <w:sz w:val="16"/>
          <w:szCs w:val="16"/>
          <w:lang w:val="es-ES_tradnl"/>
        </w:rPr>
        <w:t>ó</w:t>
      </w:r>
      <w:r>
        <w:rPr>
          <w:spacing w:val="-3"/>
          <w:sz w:val="16"/>
          <w:szCs w:val="16"/>
          <w:lang w:val="es-ES_tradnl"/>
        </w:rPr>
        <w:t>n Prioritaria: ni</w:t>
      </w:r>
      <w:r>
        <w:rPr>
          <w:rFonts w:cs="Times New Roman"/>
          <w:spacing w:val="-3"/>
          <w:sz w:val="16"/>
          <w:szCs w:val="16"/>
          <w:lang w:val="es-ES_tradnl"/>
        </w:rPr>
        <w:t>ñ</w:t>
      </w:r>
      <w:r>
        <w:rPr>
          <w:spacing w:val="-3"/>
          <w:sz w:val="16"/>
          <w:szCs w:val="16"/>
          <w:lang w:val="es-ES_tradnl"/>
        </w:rPr>
        <w:t xml:space="preserve">as (os), </w:t>
      </w:r>
      <w:r>
        <w:rPr>
          <w:spacing w:val="-10"/>
          <w:sz w:val="16"/>
          <w:szCs w:val="16"/>
          <w:lang w:val="es-ES_tradnl"/>
        </w:rPr>
        <w:t>adolescentes, j</w:t>
      </w:r>
      <w:r>
        <w:rPr>
          <w:rFonts w:cs="Times New Roman"/>
          <w:spacing w:val="-10"/>
          <w:sz w:val="16"/>
          <w:szCs w:val="16"/>
          <w:lang w:val="es-ES_tradnl"/>
        </w:rPr>
        <w:t>ó</w:t>
      </w:r>
      <w:r>
        <w:rPr>
          <w:spacing w:val="-10"/>
          <w:sz w:val="16"/>
          <w:szCs w:val="16"/>
          <w:lang w:val="es-ES_tradnl"/>
        </w:rPr>
        <w:t xml:space="preserve">venes, mujeres, personas con discapacidad y adultos mayores; delegados de los organismos gremiales, </w:t>
      </w:r>
      <w:r>
        <w:rPr>
          <w:spacing w:val="-9"/>
          <w:sz w:val="16"/>
          <w:szCs w:val="16"/>
          <w:lang w:val="es-ES_tradnl"/>
        </w:rPr>
        <w:t>y de organizaciones sociales; ind</w:t>
      </w:r>
      <w:r>
        <w:rPr>
          <w:rFonts w:cs="Times New Roman"/>
          <w:spacing w:val="-9"/>
          <w:sz w:val="16"/>
          <w:szCs w:val="16"/>
          <w:lang w:val="es-ES_tradnl"/>
        </w:rPr>
        <w:t>í</w:t>
      </w:r>
      <w:r>
        <w:rPr>
          <w:spacing w:val="-9"/>
          <w:sz w:val="16"/>
          <w:szCs w:val="16"/>
          <w:lang w:val="es-ES_tradnl"/>
        </w:rPr>
        <w:t xml:space="preserve">genas, afrodescendientes </w:t>
      </w:r>
      <w:r>
        <w:rPr>
          <w:spacing w:val="-7"/>
          <w:sz w:val="16"/>
          <w:szCs w:val="16"/>
          <w:lang w:val="es-ES_tradnl"/>
        </w:rPr>
        <w:t xml:space="preserve">de nivel cantonal; el Alcalde o Alcaldesa, Concejalas (es) </w:t>
      </w:r>
      <w:r>
        <w:rPr>
          <w:spacing w:val="-5"/>
          <w:sz w:val="16"/>
          <w:szCs w:val="16"/>
          <w:lang w:val="es-ES_tradnl"/>
        </w:rPr>
        <w:t>del Gobierno Aut</w:t>
      </w:r>
      <w:r>
        <w:rPr>
          <w:rFonts w:cs="Times New Roman"/>
          <w:spacing w:val="-5"/>
          <w:sz w:val="16"/>
          <w:szCs w:val="16"/>
          <w:lang w:val="es-ES_tradnl"/>
        </w:rPr>
        <w:t>ó</w:t>
      </w:r>
      <w:r>
        <w:rPr>
          <w:spacing w:val="-5"/>
          <w:sz w:val="16"/>
          <w:szCs w:val="16"/>
          <w:lang w:val="es-ES_tradnl"/>
        </w:rPr>
        <w:t xml:space="preserve">nomo Descentralizado Municipal de </w:t>
      </w:r>
      <w:r>
        <w:rPr>
          <w:spacing w:val="-7"/>
          <w:sz w:val="16"/>
          <w:szCs w:val="16"/>
          <w:lang w:val="es-ES_tradnl"/>
        </w:rPr>
        <w:t>Rumi</w:t>
      </w:r>
      <w:r>
        <w:rPr>
          <w:rFonts w:cs="Times New Roman"/>
          <w:spacing w:val="-7"/>
          <w:sz w:val="16"/>
          <w:szCs w:val="16"/>
          <w:lang w:val="es-ES_tradnl"/>
        </w:rPr>
        <w:t>ñ</w:t>
      </w:r>
      <w:r>
        <w:rPr>
          <w:spacing w:val="-7"/>
          <w:sz w:val="16"/>
          <w:szCs w:val="16"/>
          <w:lang w:val="es-ES_tradnl"/>
        </w:rPr>
        <w:t>ahui y representantes del r</w:t>
      </w:r>
      <w:r>
        <w:rPr>
          <w:rFonts w:cs="Times New Roman"/>
          <w:spacing w:val="-7"/>
          <w:sz w:val="16"/>
          <w:szCs w:val="16"/>
          <w:lang w:val="es-ES_tradnl"/>
        </w:rPr>
        <w:t>é</w:t>
      </w:r>
      <w:r>
        <w:rPr>
          <w:spacing w:val="-7"/>
          <w:sz w:val="16"/>
          <w:szCs w:val="16"/>
          <w:lang w:val="es-ES_tradnl"/>
        </w:rPr>
        <w:t>gimen dependiente.</w:t>
      </w:r>
    </w:p>
    <w:p w14:paraId="4F67A6C9" w14:textId="77777777" w:rsidR="00591D54" w:rsidRDefault="00591D54">
      <w:pPr>
        <w:shd w:val="clear" w:color="auto" w:fill="FFFFFF"/>
        <w:tabs>
          <w:tab w:val="left" w:pos="566"/>
        </w:tabs>
        <w:spacing w:before="211" w:line="221" w:lineRule="exact"/>
        <w:ind w:left="566" w:hanging="283"/>
        <w:jc w:val="both"/>
      </w:pPr>
      <w:r>
        <w:rPr>
          <w:spacing w:val="-7"/>
          <w:sz w:val="16"/>
          <w:szCs w:val="16"/>
          <w:lang w:val="es-ES_tradnl"/>
        </w:rPr>
        <w:t>2)</w:t>
      </w:r>
      <w:r>
        <w:rPr>
          <w:sz w:val="18"/>
          <w:szCs w:val="18"/>
          <w:lang w:val="es-ES_tradnl"/>
        </w:rPr>
        <w:tab/>
      </w:r>
      <w:r>
        <w:rPr>
          <w:b/>
          <w:bCs/>
          <w:sz w:val="16"/>
          <w:szCs w:val="16"/>
          <w:lang w:val="es-ES_tradnl"/>
        </w:rPr>
        <w:t>Art.</w:t>
      </w:r>
      <w:r>
        <w:rPr>
          <w:b/>
          <w:bCs/>
          <w:sz w:val="18"/>
          <w:szCs w:val="18"/>
          <w:lang w:val="es-ES_tradnl"/>
        </w:rPr>
        <w:t xml:space="preserve"> </w:t>
      </w:r>
      <w:r>
        <w:rPr>
          <w:b/>
          <w:bCs/>
          <w:sz w:val="16"/>
          <w:szCs w:val="16"/>
          <w:lang w:val="es-ES_tradnl"/>
        </w:rPr>
        <w:t>9.-</w:t>
      </w:r>
      <w:r>
        <w:rPr>
          <w:b/>
          <w:bCs/>
          <w:sz w:val="18"/>
          <w:szCs w:val="18"/>
          <w:lang w:val="es-ES_tradnl"/>
        </w:rPr>
        <w:t xml:space="preserve"> </w:t>
      </w:r>
      <w:r>
        <w:rPr>
          <w:b/>
          <w:bCs/>
          <w:sz w:val="16"/>
          <w:szCs w:val="16"/>
          <w:lang w:val="es-ES_tradnl"/>
        </w:rPr>
        <w:t>EL</w:t>
      </w:r>
      <w:r>
        <w:rPr>
          <w:b/>
          <w:bCs/>
          <w:sz w:val="18"/>
          <w:szCs w:val="18"/>
          <w:lang w:val="es-ES_tradnl"/>
        </w:rPr>
        <w:t xml:space="preserve"> </w:t>
      </w:r>
      <w:r>
        <w:rPr>
          <w:b/>
          <w:bCs/>
          <w:sz w:val="16"/>
          <w:szCs w:val="16"/>
          <w:lang w:val="es-ES_tradnl"/>
        </w:rPr>
        <w:t>COMIT</w:t>
      </w:r>
      <w:r>
        <w:rPr>
          <w:rFonts w:cs="Times New Roman"/>
          <w:b/>
          <w:bCs/>
          <w:sz w:val="16"/>
          <w:szCs w:val="16"/>
          <w:lang w:val="es-ES_tradnl"/>
        </w:rPr>
        <w:t>É</w:t>
      </w:r>
      <w:r>
        <w:rPr>
          <w:b/>
          <w:bCs/>
          <w:sz w:val="18"/>
          <w:szCs w:val="18"/>
          <w:lang w:val="es-ES_tradnl"/>
        </w:rPr>
        <w:t xml:space="preserve"> </w:t>
      </w:r>
      <w:r>
        <w:rPr>
          <w:b/>
          <w:bCs/>
          <w:sz w:val="16"/>
          <w:szCs w:val="16"/>
          <w:lang w:val="es-ES_tradnl"/>
        </w:rPr>
        <w:t>DE</w:t>
      </w:r>
      <w:r>
        <w:rPr>
          <w:b/>
          <w:bCs/>
          <w:sz w:val="18"/>
          <w:szCs w:val="18"/>
          <w:lang w:val="es-ES_tradnl"/>
        </w:rPr>
        <w:t xml:space="preserve"> </w:t>
      </w:r>
      <w:r>
        <w:rPr>
          <w:b/>
          <w:bCs/>
          <w:sz w:val="16"/>
          <w:szCs w:val="16"/>
          <w:lang w:val="es-ES_tradnl"/>
        </w:rPr>
        <w:t>GESTI</w:t>
      </w:r>
      <w:r>
        <w:rPr>
          <w:rFonts w:cs="Times New Roman"/>
          <w:b/>
          <w:bCs/>
          <w:sz w:val="16"/>
          <w:szCs w:val="16"/>
          <w:lang w:val="es-ES_tradnl"/>
        </w:rPr>
        <w:t>Ó</w:t>
      </w:r>
      <w:r>
        <w:rPr>
          <w:b/>
          <w:bCs/>
          <w:sz w:val="16"/>
          <w:szCs w:val="16"/>
          <w:lang w:val="es-ES_tradnl"/>
        </w:rPr>
        <w:t>N</w:t>
      </w:r>
      <w:r>
        <w:rPr>
          <w:b/>
          <w:bCs/>
          <w:sz w:val="18"/>
          <w:szCs w:val="18"/>
          <w:lang w:val="es-ES_tradnl"/>
        </w:rPr>
        <w:t xml:space="preserve"> </w:t>
      </w:r>
      <w:r>
        <w:rPr>
          <w:b/>
          <w:bCs/>
          <w:sz w:val="16"/>
          <w:szCs w:val="16"/>
          <w:lang w:val="es-ES_tradnl"/>
        </w:rPr>
        <w:t>Y </w:t>
      </w:r>
      <w:r>
        <w:rPr>
          <w:b/>
          <w:bCs/>
          <w:spacing w:val="-2"/>
          <w:sz w:val="16"/>
          <w:szCs w:val="16"/>
          <w:lang w:val="es-ES_tradnl"/>
        </w:rPr>
        <w:t>PARTICIPACI</w:t>
      </w:r>
      <w:r>
        <w:rPr>
          <w:rFonts w:cs="Times New Roman"/>
          <w:b/>
          <w:bCs/>
          <w:spacing w:val="-2"/>
          <w:sz w:val="16"/>
          <w:szCs w:val="16"/>
          <w:lang w:val="es-ES_tradnl"/>
        </w:rPr>
        <w:t>Ó</w:t>
      </w:r>
      <w:r>
        <w:rPr>
          <w:b/>
          <w:bCs/>
          <w:spacing w:val="-2"/>
          <w:sz w:val="16"/>
          <w:szCs w:val="16"/>
          <w:lang w:val="es-ES_tradnl"/>
        </w:rPr>
        <w:t xml:space="preserve">N CIUDADANA.- </w:t>
      </w:r>
      <w:r>
        <w:rPr>
          <w:spacing w:val="-2"/>
          <w:sz w:val="16"/>
          <w:szCs w:val="16"/>
          <w:lang w:val="es-ES_tradnl"/>
        </w:rPr>
        <w:t>El Comit</w:t>
      </w:r>
      <w:r>
        <w:rPr>
          <w:rFonts w:cs="Times New Roman"/>
          <w:spacing w:val="-2"/>
          <w:sz w:val="16"/>
          <w:szCs w:val="16"/>
          <w:lang w:val="es-ES_tradnl"/>
        </w:rPr>
        <w:t>é</w:t>
      </w:r>
      <w:r>
        <w:rPr>
          <w:spacing w:val="-2"/>
          <w:sz w:val="16"/>
          <w:szCs w:val="16"/>
          <w:lang w:val="es-ES_tradnl"/>
        </w:rPr>
        <w:t xml:space="preserve"> Cantonal </w:t>
      </w:r>
      <w:r>
        <w:rPr>
          <w:spacing w:val="-7"/>
          <w:sz w:val="16"/>
          <w:szCs w:val="16"/>
          <w:lang w:val="es-ES_tradnl"/>
        </w:rPr>
        <w:t>de Gesti</w:t>
      </w:r>
      <w:r>
        <w:rPr>
          <w:rFonts w:cs="Times New Roman"/>
          <w:spacing w:val="-7"/>
          <w:sz w:val="16"/>
          <w:szCs w:val="16"/>
          <w:lang w:val="es-ES_tradnl"/>
        </w:rPr>
        <w:t>ó</w:t>
      </w:r>
      <w:r>
        <w:rPr>
          <w:spacing w:val="-7"/>
          <w:sz w:val="16"/>
          <w:szCs w:val="16"/>
          <w:lang w:val="es-ES_tradnl"/>
        </w:rPr>
        <w:t>n y Participaci</w:t>
      </w:r>
      <w:r>
        <w:rPr>
          <w:rFonts w:cs="Times New Roman"/>
          <w:spacing w:val="-7"/>
          <w:sz w:val="16"/>
          <w:szCs w:val="16"/>
          <w:lang w:val="es-ES_tradnl"/>
        </w:rPr>
        <w:t>ó</w:t>
      </w:r>
      <w:r>
        <w:rPr>
          <w:spacing w:val="-7"/>
          <w:sz w:val="16"/>
          <w:szCs w:val="16"/>
          <w:lang w:val="es-ES_tradnl"/>
        </w:rPr>
        <w:t>n Ciudadana estar</w:t>
      </w:r>
      <w:r>
        <w:rPr>
          <w:rFonts w:cs="Times New Roman"/>
          <w:spacing w:val="-7"/>
          <w:sz w:val="16"/>
          <w:szCs w:val="16"/>
          <w:lang w:val="es-ES_tradnl"/>
        </w:rPr>
        <w:t>á</w:t>
      </w:r>
      <w:r>
        <w:rPr>
          <w:spacing w:val="-7"/>
          <w:sz w:val="16"/>
          <w:szCs w:val="16"/>
          <w:lang w:val="es-ES_tradnl"/>
        </w:rPr>
        <w:t xml:space="preserve"> conformado </w:t>
      </w:r>
      <w:r>
        <w:rPr>
          <w:sz w:val="16"/>
          <w:szCs w:val="16"/>
          <w:lang w:val="es-ES_tradnl"/>
        </w:rPr>
        <w:t>de la siguiente manera:</w:t>
      </w:r>
    </w:p>
    <w:p w14:paraId="4F67A6CA" w14:textId="77777777" w:rsidR="00591D54" w:rsidRDefault="00591D54" w:rsidP="00251195">
      <w:pPr>
        <w:numPr>
          <w:ilvl w:val="0"/>
          <w:numId w:val="29"/>
        </w:numPr>
        <w:shd w:val="clear" w:color="auto" w:fill="FFFFFF"/>
        <w:tabs>
          <w:tab w:val="left" w:pos="451"/>
        </w:tabs>
        <w:spacing w:before="206" w:line="221" w:lineRule="exact"/>
        <w:ind w:left="283" w:right="10"/>
        <w:jc w:val="both"/>
        <w:rPr>
          <w:spacing w:val="-12"/>
          <w:sz w:val="16"/>
          <w:szCs w:val="16"/>
          <w:lang w:val="es-ES_tradnl"/>
        </w:rPr>
      </w:pPr>
      <w:r>
        <w:rPr>
          <w:spacing w:val="-7"/>
          <w:sz w:val="16"/>
          <w:szCs w:val="16"/>
          <w:lang w:val="es-ES_tradnl"/>
        </w:rPr>
        <w:t>Un</w:t>
      </w:r>
      <w:r>
        <w:rPr>
          <w:spacing w:val="-7"/>
          <w:sz w:val="18"/>
          <w:szCs w:val="18"/>
          <w:lang w:val="es-ES_tradnl"/>
        </w:rPr>
        <w:t xml:space="preserve"> </w:t>
      </w:r>
      <w:r>
        <w:rPr>
          <w:spacing w:val="-7"/>
          <w:sz w:val="16"/>
          <w:szCs w:val="16"/>
          <w:lang w:val="es-ES_tradnl"/>
        </w:rPr>
        <w:t>(a)</w:t>
      </w:r>
      <w:r>
        <w:rPr>
          <w:spacing w:val="-7"/>
          <w:sz w:val="18"/>
          <w:szCs w:val="18"/>
          <w:lang w:val="es-ES_tradnl"/>
        </w:rPr>
        <w:t xml:space="preserve"> </w:t>
      </w:r>
      <w:r>
        <w:rPr>
          <w:spacing w:val="-7"/>
          <w:sz w:val="16"/>
          <w:szCs w:val="16"/>
          <w:lang w:val="es-ES_tradnl"/>
        </w:rPr>
        <w:t>delegado</w:t>
      </w:r>
      <w:r>
        <w:rPr>
          <w:spacing w:val="-7"/>
          <w:sz w:val="18"/>
          <w:szCs w:val="18"/>
          <w:lang w:val="es-ES_tradnl"/>
        </w:rPr>
        <w:t xml:space="preserve"> </w:t>
      </w:r>
      <w:r>
        <w:rPr>
          <w:spacing w:val="-7"/>
          <w:sz w:val="16"/>
          <w:szCs w:val="16"/>
          <w:lang w:val="es-ES_tradnl"/>
        </w:rPr>
        <w:t>(a)</w:t>
      </w:r>
      <w:r>
        <w:rPr>
          <w:spacing w:val="-7"/>
          <w:sz w:val="18"/>
          <w:szCs w:val="18"/>
          <w:lang w:val="es-ES_tradnl"/>
        </w:rPr>
        <w:t xml:space="preserve"> </w:t>
      </w:r>
      <w:r>
        <w:rPr>
          <w:spacing w:val="-7"/>
          <w:sz w:val="16"/>
          <w:szCs w:val="16"/>
          <w:lang w:val="es-ES_tradnl"/>
        </w:rPr>
        <w:t>por</w:t>
      </w:r>
      <w:r>
        <w:rPr>
          <w:spacing w:val="-7"/>
          <w:sz w:val="18"/>
          <w:szCs w:val="18"/>
          <w:lang w:val="es-ES_tradnl"/>
        </w:rPr>
        <w:t xml:space="preserve"> </w:t>
      </w:r>
      <w:r>
        <w:rPr>
          <w:spacing w:val="-7"/>
          <w:sz w:val="16"/>
          <w:szCs w:val="16"/>
          <w:lang w:val="es-ES_tradnl"/>
        </w:rPr>
        <w:t>cada</w:t>
      </w:r>
      <w:r>
        <w:rPr>
          <w:spacing w:val="-7"/>
          <w:sz w:val="18"/>
          <w:szCs w:val="18"/>
          <w:lang w:val="es-ES_tradnl"/>
        </w:rPr>
        <w:t xml:space="preserve"> </w:t>
      </w:r>
      <w:r>
        <w:rPr>
          <w:spacing w:val="-7"/>
          <w:sz w:val="16"/>
          <w:szCs w:val="16"/>
          <w:lang w:val="es-ES_tradnl"/>
        </w:rPr>
        <w:t>eje</w:t>
      </w:r>
      <w:r>
        <w:rPr>
          <w:spacing w:val="-7"/>
          <w:sz w:val="18"/>
          <w:szCs w:val="18"/>
          <w:lang w:val="es-ES_tradnl"/>
        </w:rPr>
        <w:t xml:space="preserve"> </w:t>
      </w:r>
      <w:r>
        <w:rPr>
          <w:spacing w:val="-7"/>
          <w:sz w:val="16"/>
          <w:szCs w:val="16"/>
          <w:lang w:val="es-ES_tradnl"/>
        </w:rPr>
        <w:t>tem</w:t>
      </w:r>
      <w:r>
        <w:rPr>
          <w:rFonts w:cs="Times New Roman"/>
          <w:spacing w:val="-7"/>
          <w:sz w:val="16"/>
          <w:szCs w:val="16"/>
          <w:lang w:val="es-ES_tradnl"/>
        </w:rPr>
        <w:t>á</w:t>
      </w:r>
      <w:r>
        <w:rPr>
          <w:spacing w:val="-7"/>
          <w:sz w:val="16"/>
          <w:szCs w:val="16"/>
          <w:lang w:val="es-ES_tradnl"/>
        </w:rPr>
        <w:t>tico</w:t>
      </w:r>
      <w:r>
        <w:rPr>
          <w:spacing w:val="-7"/>
          <w:sz w:val="18"/>
          <w:szCs w:val="18"/>
          <w:lang w:val="es-ES_tradnl"/>
        </w:rPr>
        <w:t xml:space="preserve"> </w:t>
      </w:r>
      <w:r>
        <w:rPr>
          <w:spacing w:val="-7"/>
          <w:sz w:val="16"/>
          <w:szCs w:val="16"/>
          <w:lang w:val="es-ES_tradnl"/>
        </w:rPr>
        <w:t>de</w:t>
      </w:r>
      <w:r>
        <w:rPr>
          <w:spacing w:val="-7"/>
          <w:sz w:val="18"/>
          <w:szCs w:val="18"/>
          <w:lang w:val="es-ES_tradnl"/>
        </w:rPr>
        <w:t xml:space="preserve"> </w:t>
      </w:r>
      <w:r>
        <w:rPr>
          <w:spacing w:val="-7"/>
          <w:sz w:val="16"/>
          <w:szCs w:val="16"/>
          <w:lang w:val="es-ES_tradnl"/>
        </w:rPr>
        <w:t>la</w:t>
      </w:r>
      <w:r>
        <w:rPr>
          <w:spacing w:val="-7"/>
          <w:sz w:val="18"/>
          <w:szCs w:val="18"/>
          <w:lang w:val="es-ES_tradnl"/>
        </w:rPr>
        <w:t xml:space="preserve"> </w:t>
      </w:r>
      <w:r>
        <w:rPr>
          <w:spacing w:val="-7"/>
          <w:sz w:val="16"/>
          <w:szCs w:val="16"/>
          <w:lang w:val="es-ES_tradnl"/>
        </w:rPr>
        <w:t xml:space="preserve">Asamblea </w:t>
      </w:r>
      <w:r>
        <w:rPr>
          <w:sz w:val="16"/>
          <w:szCs w:val="16"/>
          <w:lang w:val="es-ES_tradnl"/>
        </w:rPr>
        <w:t>Cantonal;</w:t>
      </w:r>
    </w:p>
    <w:p w14:paraId="4F67A6CB" w14:textId="77777777" w:rsidR="00591D54" w:rsidRDefault="00591D54" w:rsidP="00251195">
      <w:pPr>
        <w:numPr>
          <w:ilvl w:val="0"/>
          <w:numId w:val="29"/>
        </w:numPr>
        <w:shd w:val="clear" w:color="auto" w:fill="FFFFFF"/>
        <w:tabs>
          <w:tab w:val="left" w:pos="451"/>
        </w:tabs>
        <w:spacing w:line="221" w:lineRule="exact"/>
        <w:ind w:left="283" w:right="10"/>
        <w:jc w:val="both"/>
        <w:rPr>
          <w:spacing w:val="-7"/>
          <w:sz w:val="16"/>
          <w:szCs w:val="16"/>
          <w:lang w:val="es-ES_tradnl"/>
        </w:rPr>
      </w:pPr>
      <w:r>
        <w:rPr>
          <w:spacing w:val="-9"/>
          <w:sz w:val="16"/>
          <w:szCs w:val="16"/>
          <w:lang w:val="es-ES_tradnl"/>
        </w:rPr>
        <w:t>Un</w:t>
      </w:r>
      <w:r>
        <w:rPr>
          <w:spacing w:val="-9"/>
          <w:sz w:val="18"/>
          <w:szCs w:val="18"/>
          <w:lang w:val="es-ES_tradnl"/>
        </w:rPr>
        <w:t xml:space="preserve"> </w:t>
      </w:r>
      <w:r>
        <w:rPr>
          <w:spacing w:val="-9"/>
          <w:sz w:val="16"/>
          <w:szCs w:val="16"/>
          <w:lang w:val="es-ES_tradnl"/>
        </w:rPr>
        <w:t>(a)</w:t>
      </w:r>
      <w:r>
        <w:rPr>
          <w:spacing w:val="-9"/>
          <w:sz w:val="18"/>
          <w:szCs w:val="18"/>
          <w:lang w:val="es-ES_tradnl"/>
        </w:rPr>
        <w:t xml:space="preserve"> </w:t>
      </w:r>
      <w:r>
        <w:rPr>
          <w:spacing w:val="-9"/>
          <w:sz w:val="16"/>
          <w:szCs w:val="16"/>
          <w:lang w:val="es-ES_tradnl"/>
        </w:rPr>
        <w:t>delegado</w:t>
      </w:r>
      <w:r>
        <w:rPr>
          <w:spacing w:val="-9"/>
          <w:sz w:val="18"/>
          <w:szCs w:val="18"/>
          <w:lang w:val="es-ES_tradnl"/>
        </w:rPr>
        <w:t xml:space="preserve"> </w:t>
      </w:r>
      <w:r>
        <w:rPr>
          <w:spacing w:val="-9"/>
          <w:sz w:val="16"/>
          <w:szCs w:val="16"/>
          <w:lang w:val="es-ES_tradnl"/>
        </w:rPr>
        <w:t>(a)</w:t>
      </w:r>
      <w:r>
        <w:rPr>
          <w:spacing w:val="-9"/>
          <w:sz w:val="18"/>
          <w:szCs w:val="18"/>
          <w:lang w:val="es-ES_tradnl"/>
        </w:rPr>
        <w:t xml:space="preserve"> </w:t>
      </w:r>
      <w:r>
        <w:rPr>
          <w:spacing w:val="-9"/>
          <w:sz w:val="16"/>
          <w:szCs w:val="16"/>
          <w:lang w:val="es-ES_tradnl"/>
        </w:rPr>
        <w:t>por</w:t>
      </w:r>
      <w:r>
        <w:rPr>
          <w:spacing w:val="-9"/>
          <w:sz w:val="18"/>
          <w:szCs w:val="18"/>
          <w:lang w:val="es-ES_tradnl"/>
        </w:rPr>
        <w:t xml:space="preserve"> </w:t>
      </w:r>
      <w:r>
        <w:rPr>
          <w:spacing w:val="-9"/>
          <w:sz w:val="16"/>
          <w:szCs w:val="16"/>
          <w:lang w:val="es-ES_tradnl"/>
        </w:rPr>
        <w:t>cada</w:t>
      </w:r>
      <w:r>
        <w:rPr>
          <w:spacing w:val="-9"/>
          <w:sz w:val="18"/>
          <w:szCs w:val="18"/>
          <w:lang w:val="es-ES_tradnl"/>
        </w:rPr>
        <w:t xml:space="preserve"> </w:t>
      </w:r>
      <w:r>
        <w:rPr>
          <w:spacing w:val="-9"/>
          <w:sz w:val="16"/>
          <w:szCs w:val="16"/>
          <w:lang w:val="es-ES_tradnl"/>
        </w:rPr>
        <w:t>eje</w:t>
      </w:r>
      <w:r>
        <w:rPr>
          <w:spacing w:val="-9"/>
          <w:sz w:val="18"/>
          <w:szCs w:val="18"/>
          <w:lang w:val="es-ES_tradnl"/>
        </w:rPr>
        <w:t xml:space="preserve"> </w:t>
      </w:r>
      <w:r>
        <w:rPr>
          <w:spacing w:val="-9"/>
          <w:sz w:val="16"/>
          <w:szCs w:val="16"/>
          <w:lang w:val="es-ES_tradnl"/>
        </w:rPr>
        <w:t>tem</w:t>
      </w:r>
      <w:r>
        <w:rPr>
          <w:rFonts w:cs="Times New Roman"/>
          <w:spacing w:val="-9"/>
          <w:sz w:val="16"/>
          <w:szCs w:val="16"/>
          <w:lang w:val="es-ES_tradnl"/>
        </w:rPr>
        <w:t>á</w:t>
      </w:r>
      <w:r>
        <w:rPr>
          <w:spacing w:val="-9"/>
          <w:sz w:val="16"/>
          <w:szCs w:val="16"/>
          <w:lang w:val="es-ES_tradnl"/>
        </w:rPr>
        <w:t>tico</w:t>
      </w:r>
      <w:r>
        <w:rPr>
          <w:spacing w:val="-9"/>
          <w:sz w:val="18"/>
          <w:szCs w:val="18"/>
          <w:lang w:val="es-ES_tradnl"/>
        </w:rPr>
        <w:t xml:space="preserve"> </w:t>
      </w:r>
      <w:r>
        <w:rPr>
          <w:spacing w:val="-9"/>
          <w:sz w:val="16"/>
          <w:szCs w:val="16"/>
          <w:lang w:val="es-ES_tradnl"/>
        </w:rPr>
        <w:t>de</w:t>
      </w:r>
      <w:r>
        <w:rPr>
          <w:spacing w:val="-9"/>
          <w:sz w:val="18"/>
          <w:szCs w:val="18"/>
          <w:lang w:val="es-ES_tradnl"/>
        </w:rPr>
        <w:t xml:space="preserve"> </w:t>
      </w:r>
      <w:r>
        <w:rPr>
          <w:spacing w:val="-9"/>
          <w:sz w:val="16"/>
          <w:szCs w:val="16"/>
          <w:lang w:val="es-ES_tradnl"/>
        </w:rPr>
        <w:t>cada</w:t>
      </w:r>
      <w:r>
        <w:rPr>
          <w:spacing w:val="-9"/>
          <w:sz w:val="18"/>
          <w:szCs w:val="18"/>
          <w:lang w:val="es-ES_tradnl"/>
        </w:rPr>
        <w:t xml:space="preserve"> </w:t>
      </w:r>
      <w:r>
        <w:rPr>
          <w:spacing w:val="-9"/>
          <w:sz w:val="16"/>
          <w:szCs w:val="16"/>
          <w:lang w:val="es-ES_tradnl"/>
        </w:rPr>
        <w:t>una</w:t>
      </w:r>
      <w:r>
        <w:rPr>
          <w:spacing w:val="-9"/>
          <w:sz w:val="18"/>
          <w:szCs w:val="18"/>
          <w:lang w:val="es-ES_tradnl"/>
        </w:rPr>
        <w:t xml:space="preserve"> </w:t>
      </w:r>
      <w:r>
        <w:rPr>
          <w:spacing w:val="-9"/>
          <w:sz w:val="16"/>
          <w:szCs w:val="16"/>
          <w:lang w:val="es-ES_tradnl"/>
        </w:rPr>
        <w:t>de</w:t>
      </w:r>
      <w:r>
        <w:rPr>
          <w:spacing w:val="-9"/>
          <w:sz w:val="18"/>
          <w:szCs w:val="18"/>
          <w:lang w:val="es-ES_tradnl"/>
        </w:rPr>
        <w:t xml:space="preserve"> </w:t>
      </w:r>
      <w:r>
        <w:rPr>
          <w:spacing w:val="-9"/>
          <w:sz w:val="16"/>
          <w:szCs w:val="16"/>
          <w:lang w:val="es-ES_tradnl"/>
        </w:rPr>
        <w:t xml:space="preserve">las </w:t>
      </w:r>
      <w:r>
        <w:rPr>
          <w:spacing w:val="-6"/>
          <w:sz w:val="16"/>
          <w:szCs w:val="16"/>
          <w:lang w:val="es-ES_tradnl"/>
        </w:rPr>
        <w:t>Asambleas de los Grupos de atenci</w:t>
      </w:r>
      <w:r>
        <w:rPr>
          <w:rFonts w:cs="Times New Roman"/>
          <w:spacing w:val="-6"/>
          <w:sz w:val="16"/>
          <w:szCs w:val="16"/>
          <w:lang w:val="es-ES_tradnl"/>
        </w:rPr>
        <w:t>ó</w:t>
      </w:r>
      <w:r>
        <w:rPr>
          <w:spacing w:val="-6"/>
          <w:sz w:val="16"/>
          <w:szCs w:val="16"/>
          <w:lang w:val="es-ES_tradnl"/>
        </w:rPr>
        <w:t>n prioritaria;</w:t>
      </w:r>
    </w:p>
    <w:p w14:paraId="4F67A6CC" w14:textId="77777777" w:rsidR="00591D54" w:rsidRDefault="00591D54">
      <w:pPr>
        <w:shd w:val="clear" w:color="auto" w:fill="FFFFFF"/>
        <w:tabs>
          <w:tab w:val="left" w:pos="538"/>
        </w:tabs>
        <w:spacing w:line="221" w:lineRule="exact"/>
        <w:ind w:left="283" w:right="10"/>
        <w:jc w:val="both"/>
      </w:pPr>
      <w:r>
        <w:rPr>
          <w:spacing w:val="-8"/>
          <w:sz w:val="16"/>
          <w:szCs w:val="16"/>
          <w:lang w:val="es-ES_tradnl"/>
        </w:rPr>
        <w:t>c)</w:t>
      </w:r>
      <w:r>
        <w:rPr>
          <w:sz w:val="18"/>
          <w:szCs w:val="18"/>
          <w:lang w:val="es-ES_tradnl"/>
        </w:rPr>
        <w:tab/>
      </w:r>
      <w:r>
        <w:rPr>
          <w:spacing w:val="-2"/>
          <w:sz w:val="16"/>
          <w:szCs w:val="16"/>
          <w:lang w:val="es-ES_tradnl"/>
        </w:rPr>
        <w:t>Un</w:t>
      </w:r>
      <w:r>
        <w:rPr>
          <w:spacing w:val="-2"/>
          <w:sz w:val="18"/>
          <w:szCs w:val="18"/>
          <w:lang w:val="es-ES_tradnl"/>
        </w:rPr>
        <w:t xml:space="preserve"> </w:t>
      </w:r>
      <w:r>
        <w:rPr>
          <w:spacing w:val="-2"/>
          <w:sz w:val="16"/>
          <w:szCs w:val="16"/>
          <w:lang w:val="es-ES_tradnl"/>
        </w:rPr>
        <w:t>(a)</w:t>
      </w:r>
      <w:r>
        <w:rPr>
          <w:spacing w:val="-2"/>
          <w:sz w:val="18"/>
          <w:szCs w:val="18"/>
          <w:lang w:val="es-ES_tradnl"/>
        </w:rPr>
        <w:t xml:space="preserve"> </w:t>
      </w:r>
      <w:r>
        <w:rPr>
          <w:spacing w:val="-2"/>
          <w:sz w:val="16"/>
          <w:szCs w:val="16"/>
          <w:lang w:val="es-ES_tradnl"/>
        </w:rPr>
        <w:t>delegado</w:t>
      </w:r>
      <w:r>
        <w:rPr>
          <w:spacing w:val="-2"/>
          <w:sz w:val="18"/>
          <w:szCs w:val="18"/>
          <w:lang w:val="es-ES_tradnl"/>
        </w:rPr>
        <w:t xml:space="preserve"> </w:t>
      </w:r>
      <w:r>
        <w:rPr>
          <w:spacing w:val="-2"/>
          <w:sz w:val="16"/>
          <w:szCs w:val="16"/>
          <w:lang w:val="es-ES_tradnl"/>
        </w:rPr>
        <w:t>(a)</w:t>
      </w:r>
      <w:r>
        <w:rPr>
          <w:spacing w:val="-2"/>
          <w:sz w:val="18"/>
          <w:szCs w:val="18"/>
          <w:lang w:val="es-ES_tradnl"/>
        </w:rPr>
        <w:t xml:space="preserve"> </w:t>
      </w:r>
      <w:r>
        <w:rPr>
          <w:spacing w:val="-2"/>
          <w:sz w:val="16"/>
          <w:szCs w:val="16"/>
          <w:lang w:val="es-ES_tradnl"/>
        </w:rPr>
        <w:t>nombrado</w:t>
      </w:r>
      <w:r>
        <w:rPr>
          <w:spacing w:val="-2"/>
          <w:sz w:val="18"/>
          <w:szCs w:val="18"/>
          <w:lang w:val="es-ES_tradnl"/>
        </w:rPr>
        <w:t xml:space="preserve"> </w:t>
      </w:r>
      <w:r>
        <w:rPr>
          <w:spacing w:val="-2"/>
          <w:sz w:val="16"/>
          <w:szCs w:val="16"/>
          <w:lang w:val="es-ES_tradnl"/>
        </w:rPr>
        <w:t>(a)</w:t>
      </w:r>
      <w:r>
        <w:rPr>
          <w:spacing w:val="-2"/>
          <w:sz w:val="18"/>
          <w:szCs w:val="18"/>
          <w:lang w:val="es-ES_tradnl"/>
        </w:rPr>
        <w:t xml:space="preserve"> </w:t>
      </w:r>
      <w:r>
        <w:rPr>
          <w:spacing w:val="-2"/>
          <w:sz w:val="16"/>
          <w:szCs w:val="16"/>
          <w:lang w:val="es-ES_tradnl"/>
        </w:rPr>
        <w:t>por</w:t>
      </w:r>
      <w:r>
        <w:rPr>
          <w:spacing w:val="-2"/>
          <w:sz w:val="18"/>
          <w:szCs w:val="18"/>
          <w:lang w:val="es-ES_tradnl"/>
        </w:rPr>
        <w:t xml:space="preserve"> </w:t>
      </w:r>
      <w:r>
        <w:rPr>
          <w:spacing w:val="-2"/>
          <w:sz w:val="16"/>
          <w:szCs w:val="16"/>
          <w:lang w:val="es-ES_tradnl"/>
        </w:rPr>
        <w:t>todas</w:t>
      </w:r>
      <w:r>
        <w:rPr>
          <w:spacing w:val="-2"/>
          <w:sz w:val="18"/>
          <w:szCs w:val="18"/>
          <w:lang w:val="es-ES_tradnl"/>
        </w:rPr>
        <w:t xml:space="preserve"> </w:t>
      </w:r>
      <w:r>
        <w:rPr>
          <w:spacing w:val="-2"/>
          <w:sz w:val="16"/>
          <w:szCs w:val="16"/>
          <w:lang w:val="es-ES_tradnl"/>
        </w:rPr>
        <w:t>las </w:t>
      </w:r>
      <w:r>
        <w:rPr>
          <w:sz w:val="16"/>
          <w:szCs w:val="16"/>
          <w:lang w:val="es-ES_tradnl"/>
        </w:rPr>
        <w:t>organizaciones gremiales;</w:t>
      </w:r>
    </w:p>
    <w:p w14:paraId="4F67A6CD" w14:textId="77777777" w:rsidR="00591D54" w:rsidRDefault="00591D54">
      <w:pPr>
        <w:shd w:val="clear" w:color="auto" w:fill="FFFFFF"/>
        <w:tabs>
          <w:tab w:val="left" w:pos="480"/>
        </w:tabs>
        <w:spacing w:line="221" w:lineRule="exact"/>
        <w:ind w:left="283" w:right="10"/>
        <w:jc w:val="both"/>
      </w:pPr>
      <w:r>
        <w:rPr>
          <w:spacing w:val="-7"/>
          <w:sz w:val="16"/>
          <w:szCs w:val="16"/>
          <w:lang w:val="es-ES_tradnl"/>
        </w:rPr>
        <w:t>d)</w:t>
      </w:r>
      <w:r>
        <w:rPr>
          <w:sz w:val="18"/>
          <w:szCs w:val="18"/>
          <w:lang w:val="es-ES_tradnl"/>
        </w:rPr>
        <w:tab/>
      </w:r>
      <w:r>
        <w:rPr>
          <w:spacing w:val="-6"/>
          <w:sz w:val="16"/>
          <w:szCs w:val="16"/>
          <w:lang w:val="es-ES_tradnl"/>
        </w:rPr>
        <w:t>Un</w:t>
      </w:r>
      <w:r>
        <w:rPr>
          <w:spacing w:val="-6"/>
          <w:sz w:val="18"/>
          <w:szCs w:val="18"/>
          <w:lang w:val="es-ES_tradnl"/>
        </w:rPr>
        <w:t xml:space="preserve"> </w:t>
      </w:r>
      <w:r>
        <w:rPr>
          <w:spacing w:val="-6"/>
          <w:sz w:val="16"/>
          <w:szCs w:val="16"/>
          <w:lang w:val="es-ES_tradnl"/>
        </w:rPr>
        <w:t>(a)</w:t>
      </w:r>
      <w:r>
        <w:rPr>
          <w:spacing w:val="-6"/>
          <w:sz w:val="18"/>
          <w:szCs w:val="18"/>
          <w:lang w:val="es-ES_tradnl"/>
        </w:rPr>
        <w:t xml:space="preserve"> </w:t>
      </w:r>
      <w:r>
        <w:rPr>
          <w:spacing w:val="-6"/>
          <w:sz w:val="16"/>
          <w:szCs w:val="16"/>
          <w:lang w:val="es-ES_tradnl"/>
        </w:rPr>
        <w:t>delegado</w:t>
      </w:r>
      <w:r>
        <w:rPr>
          <w:spacing w:val="-6"/>
          <w:sz w:val="18"/>
          <w:szCs w:val="18"/>
          <w:lang w:val="es-ES_tradnl"/>
        </w:rPr>
        <w:t xml:space="preserve"> </w:t>
      </w:r>
      <w:r>
        <w:rPr>
          <w:spacing w:val="-6"/>
          <w:sz w:val="16"/>
          <w:szCs w:val="16"/>
          <w:lang w:val="es-ES_tradnl"/>
        </w:rPr>
        <w:t>(a)</w:t>
      </w:r>
      <w:r>
        <w:rPr>
          <w:spacing w:val="-6"/>
          <w:sz w:val="18"/>
          <w:szCs w:val="18"/>
          <w:lang w:val="es-ES_tradnl"/>
        </w:rPr>
        <w:t xml:space="preserve"> </w:t>
      </w:r>
      <w:r>
        <w:rPr>
          <w:spacing w:val="-6"/>
          <w:sz w:val="16"/>
          <w:szCs w:val="16"/>
          <w:lang w:val="es-ES_tradnl"/>
        </w:rPr>
        <w:t>nombrado</w:t>
      </w:r>
      <w:r>
        <w:rPr>
          <w:spacing w:val="-6"/>
          <w:sz w:val="18"/>
          <w:szCs w:val="18"/>
          <w:lang w:val="es-ES_tradnl"/>
        </w:rPr>
        <w:t xml:space="preserve"> </w:t>
      </w:r>
      <w:r>
        <w:rPr>
          <w:spacing w:val="-6"/>
          <w:sz w:val="16"/>
          <w:szCs w:val="16"/>
          <w:lang w:val="es-ES_tradnl"/>
        </w:rPr>
        <w:t>(a)</w:t>
      </w:r>
      <w:r>
        <w:rPr>
          <w:spacing w:val="-6"/>
          <w:sz w:val="18"/>
          <w:szCs w:val="18"/>
          <w:lang w:val="es-ES_tradnl"/>
        </w:rPr>
        <w:t xml:space="preserve"> </w:t>
      </w:r>
      <w:r>
        <w:rPr>
          <w:spacing w:val="-6"/>
          <w:sz w:val="16"/>
          <w:szCs w:val="16"/>
          <w:lang w:val="es-ES_tradnl"/>
        </w:rPr>
        <w:t>por</w:t>
      </w:r>
      <w:r>
        <w:rPr>
          <w:spacing w:val="-6"/>
          <w:sz w:val="18"/>
          <w:szCs w:val="18"/>
          <w:lang w:val="es-ES_tradnl"/>
        </w:rPr>
        <w:t xml:space="preserve"> </w:t>
      </w:r>
      <w:r>
        <w:rPr>
          <w:spacing w:val="-6"/>
          <w:sz w:val="16"/>
          <w:szCs w:val="16"/>
          <w:lang w:val="es-ES_tradnl"/>
        </w:rPr>
        <w:t>las</w:t>
      </w:r>
      <w:r>
        <w:rPr>
          <w:spacing w:val="-6"/>
          <w:sz w:val="18"/>
          <w:szCs w:val="18"/>
          <w:lang w:val="es-ES_tradnl"/>
        </w:rPr>
        <w:t xml:space="preserve"> </w:t>
      </w:r>
      <w:r>
        <w:rPr>
          <w:spacing w:val="-6"/>
          <w:sz w:val="16"/>
          <w:szCs w:val="16"/>
          <w:lang w:val="es-ES_tradnl"/>
        </w:rPr>
        <w:t>organizaciones </w:t>
      </w:r>
      <w:r>
        <w:rPr>
          <w:spacing w:val="-8"/>
          <w:sz w:val="16"/>
          <w:szCs w:val="16"/>
          <w:lang w:val="es-ES_tradnl"/>
        </w:rPr>
        <w:t>sociales, ind</w:t>
      </w:r>
      <w:r>
        <w:rPr>
          <w:rFonts w:cs="Times New Roman"/>
          <w:spacing w:val="-8"/>
          <w:sz w:val="16"/>
          <w:szCs w:val="16"/>
          <w:lang w:val="es-ES_tradnl"/>
        </w:rPr>
        <w:t>í</w:t>
      </w:r>
      <w:r>
        <w:rPr>
          <w:spacing w:val="-8"/>
          <w:sz w:val="16"/>
          <w:szCs w:val="16"/>
          <w:lang w:val="es-ES_tradnl"/>
        </w:rPr>
        <w:t>genas o afrodescendientes de car</w:t>
      </w:r>
      <w:r>
        <w:rPr>
          <w:rFonts w:cs="Times New Roman"/>
          <w:spacing w:val="-8"/>
          <w:sz w:val="16"/>
          <w:szCs w:val="16"/>
          <w:lang w:val="es-ES_tradnl"/>
        </w:rPr>
        <w:t>á</w:t>
      </w:r>
      <w:r>
        <w:rPr>
          <w:spacing w:val="-8"/>
          <w:sz w:val="16"/>
          <w:szCs w:val="16"/>
          <w:lang w:val="es-ES_tradnl"/>
        </w:rPr>
        <w:t>cter cantonal.</w:t>
      </w:r>
    </w:p>
    <w:p w14:paraId="4F67A6CE" w14:textId="77777777" w:rsidR="00591D54" w:rsidRDefault="00591D54">
      <w:pPr>
        <w:shd w:val="clear" w:color="auto" w:fill="FFFFFF"/>
        <w:spacing w:before="211" w:line="221" w:lineRule="exact"/>
        <w:ind w:left="283" w:right="10"/>
        <w:jc w:val="both"/>
      </w:pPr>
      <w:r>
        <w:rPr>
          <w:spacing w:val="-11"/>
          <w:sz w:val="16"/>
          <w:szCs w:val="16"/>
          <w:lang w:val="es-ES_tradnl"/>
        </w:rPr>
        <w:t>En este organismo siempre se demandar</w:t>
      </w:r>
      <w:r>
        <w:rPr>
          <w:rFonts w:cs="Times New Roman"/>
          <w:spacing w:val="-11"/>
          <w:sz w:val="16"/>
          <w:szCs w:val="16"/>
          <w:lang w:val="es-ES_tradnl"/>
        </w:rPr>
        <w:t>á</w:t>
      </w:r>
      <w:r>
        <w:rPr>
          <w:spacing w:val="-11"/>
          <w:sz w:val="16"/>
          <w:szCs w:val="16"/>
          <w:lang w:val="es-ES_tradnl"/>
        </w:rPr>
        <w:t xml:space="preserve"> la equidad de g</w:t>
      </w:r>
      <w:r>
        <w:rPr>
          <w:rFonts w:cs="Times New Roman"/>
          <w:spacing w:val="-11"/>
          <w:sz w:val="16"/>
          <w:szCs w:val="16"/>
          <w:lang w:val="es-ES_tradnl"/>
        </w:rPr>
        <w:t>é</w:t>
      </w:r>
      <w:r>
        <w:rPr>
          <w:spacing w:val="-11"/>
          <w:sz w:val="16"/>
          <w:szCs w:val="16"/>
          <w:lang w:val="es-ES_tradnl"/>
        </w:rPr>
        <w:t xml:space="preserve">nero, </w:t>
      </w:r>
      <w:r>
        <w:rPr>
          <w:spacing w:val="-7"/>
          <w:sz w:val="16"/>
          <w:szCs w:val="16"/>
          <w:lang w:val="es-ES_tradnl"/>
        </w:rPr>
        <w:t>generaci</w:t>
      </w:r>
      <w:r>
        <w:rPr>
          <w:rFonts w:cs="Times New Roman"/>
          <w:spacing w:val="-7"/>
          <w:sz w:val="16"/>
          <w:szCs w:val="16"/>
          <w:lang w:val="es-ES_tradnl"/>
        </w:rPr>
        <w:t>ó</w:t>
      </w:r>
      <w:r>
        <w:rPr>
          <w:spacing w:val="-7"/>
          <w:sz w:val="16"/>
          <w:szCs w:val="16"/>
          <w:lang w:val="es-ES_tradnl"/>
        </w:rPr>
        <w:t>n y la alternabilidad de sus integrantes.</w:t>
      </w:r>
    </w:p>
    <w:p w14:paraId="4F67A6CF" w14:textId="77777777" w:rsidR="00591D54" w:rsidRDefault="00591D54">
      <w:pPr>
        <w:shd w:val="clear" w:color="auto" w:fill="FFFFFF"/>
        <w:spacing w:before="211" w:line="221" w:lineRule="exact"/>
        <w:ind w:left="283" w:right="10"/>
        <w:jc w:val="both"/>
      </w:pPr>
      <w:r>
        <w:rPr>
          <w:spacing w:val="-4"/>
          <w:sz w:val="16"/>
          <w:szCs w:val="16"/>
          <w:lang w:val="es-ES_tradnl"/>
        </w:rPr>
        <w:t>El Comit</w:t>
      </w:r>
      <w:r>
        <w:rPr>
          <w:rFonts w:cs="Times New Roman"/>
          <w:spacing w:val="-4"/>
          <w:sz w:val="16"/>
          <w:szCs w:val="16"/>
          <w:lang w:val="es-ES_tradnl"/>
        </w:rPr>
        <w:t>é</w:t>
      </w:r>
      <w:r>
        <w:rPr>
          <w:spacing w:val="-4"/>
          <w:sz w:val="16"/>
          <w:szCs w:val="16"/>
          <w:lang w:val="es-ES_tradnl"/>
        </w:rPr>
        <w:t xml:space="preserve"> tendr</w:t>
      </w:r>
      <w:r>
        <w:rPr>
          <w:rFonts w:cs="Times New Roman"/>
          <w:spacing w:val="-4"/>
          <w:sz w:val="16"/>
          <w:szCs w:val="16"/>
          <w:lang w:val="es-ES_tradnl"/>
        </w:rPr>
        <w:t>á</w:t>
      </w:r>
      <w:r>
        <w:rPr>
          <w:spacing w:val="-4"/>
          <w:sz w:val="16"/>
          <w:szCs w:val="16"/>
          <w:lang w:val="es-ES_tradnl"/>
        </w:rPr>
        <w:t xml:space="preserve"> para su funcionamiento un Directorio </w:t>
      </w:r>
      <w:r>
        <w:rPr>
          <w:spacing w:val="-6"/>
          <w:sz w:val="16"/>
          <w:szCs w:val="16"/>
          <w:lang w:val="es-ES_tradnl"/>
        </w:rPr>
        <w:t xml:space="preserve">conformado por el o la Coordinador (a) General y los (as) </w:t>
      </w:r>
      <w:r>
        <w:rPr>
          <w:spacing w:val="-7"/>
          <w:sz w:val="16"/>
          <w:szCs w:val="16"/>
          <w:lang w:val="es-ES_tradnl"/>
        </w:rPr>
        <w:t>delegados (as) de cada eje tem</w:t>
      </w:r>
      <w:r>
        <w:rPr>
          <w:rFonts w:cs="Times New Roman"/>
          <w:spacing w:val="-7"/>
          <w:sz w:val="16"/>
          <w:szCs w:val="16"/>
          <w:lang w:val="es-ES_tradnl"/>
        </w:rPr>
        <w:t>á</w:t>
      </w:r>
      <w:r>
        <w:rPr>
          <w:spacing w:val="-7"/>
          <w:sz w:val="16"/>
          <w:szCs w:val="16"/>
          <w:lang w:val="es-ES_tradnl"/>
        </w:rPr>
        <w:t xml:space="preserve">tico cantonal, en calidad de </w:t>
      </w:r>
      <w:r>
        <w:rPr>
          <w:spacing w:val="-6"/>
          <w:sz w:val="16"/>
          <w:szCs w:val="16"/>
          <w:lang w:val="es-ES_tradnl"/>
        </w:rPr>
        <w:t>vocales y tendr</w:t>
      </w:r>
      <w:r>
        <w:rPr>
          <w:rFonts w:cs="Times New Roman"/>
          <w:spacing w:val="-6"/>
          <w:sz w:val="16"/>
          <w:szCs w:val="16"/>
          <w:lang w:val="es-ES_tradnl"/>
        </w:rPr>
        <w:t>á</w:t>
      </w:r>
      <w:r>
        <w:rPr>
          <w:spacing w:val="-6"/>
          <w:sz w:val="16"/>
          <w:szCs w:val="16"/>
          <w:lang w:val="es-ES_tradnl"/>
        </w:rPr>
        <w:t>n una duraci</w:t>
      </w:r>
      <w:r>
        <w:rPr>
          <w:rFonts w:cs="Times New Roman"/>
          <w:spacing w:val="-6"/>
          <w:sz w:val="16"/>
          <w:szCs w:val="16"/>
          <w:lang w:val="es-ES_tradnl"/>
        </w:rPr>
        <w:t>ó</w:t>
      </w:r>
      <w:r>
        <w:rPr>
          <w:spacing w:val="-6"/>
          <w:sz w:val="16"/>
          <w:szCs w:val="16"/>
          <w:lang w:val="es-ES_tradnl"/>
        </w:rPr>
        <w:t>n de dos a</w:t>
      </w:r>
      <w:r>
        <w:rPr>
          <w:rFonts w:cs="Times New Roman"/>
          <w:spacing w:val="-6"/>
          <w:sz w:val="16"/>
          <w:szCs w:val="16"/>
          <w:lang w:val="es-ES_tradnl"/>
        </w:rPr>
        <w:t>ñ</w:t>
      </w:r>
      <w:r>
        <w:rPr>
          <w:spacing w:val="-6"/>
          <w:sz w:val="16"/>
          <w:szCs w:val="16"/>
          <w:lang w:val="es-ES_tradnl"/>
        </w:rPr>
        <w:t>os, podr</w:t>
      </w:r>
      <w:r>
        <w:rPr>
          <w:rFonts w:cs="Times New Roman"/>
          <w:spacing w:val="-6"/>
          <w:sz w:val="16"/>
          <w:szCs w:val="16"/>
          <w:lang w:val="es-ES_tradnl"/>
        </w:rPr>
        <w:t>á</w:t>
      </w:r>
      <w:r>
        <w:rPr>
          <w:spacing w:val="-6"/>
          <w:sz w:val="16"/>
          <w:szCs w:val="16"/>
          <w:lang w:val="es-ES_tradnl"/>
        </w:rPr>
        <w:t xml:space="preserve">n ser </w:t>
      </w:r>
      <w:r>
        <w:rPr>
          <w:spacing w:val="-7"/>
          <w:sz w:val="16"/>
          <w:szCs w:val="16"/>
          <w:lang w:val="es-ES_tradnl"/>
        </w:rPr>
        <w:t>reelegidos por una sola vez. En la Asamblea de Planificaci</w:t>
      </w:r>
      <w:r>
        <w:rPr>
          <w:rFonts w:cs="Times New Roman"/>
          <w:spacing w:val="-7"/>
          <w:sz w:val="16"/>
          <w:szCs w:val="16"/>
          <w:lang w:val="es-ES_tradnl"/>
        </w:rPr>
        <w:t>ó</w:t>
      </w:r>
      <w:r>
        <w:rPr>
          <w:spacing w:val="-7"/>
          <w:sz w:val="16"/>
          <w:szCs w:val="16"/>
          <w:lang w:val="es-ES_tradnl"/>
        </w:rPr>
        <w:t xml:space="preserve">n </w:t>
      </w:r>
      <w:r>
        <w:rPr>
          <w:spacing w:val="-4"/>
          <w:sz w:val="16"/>
          <w:szCs w:val="16"/>
          <w:lang w:val="es-ES_tradnl"/>
        </w:rPr>
        <w:t>para la presupuestaci</w:t>
      </w:r>
      <w:r>
        <w:rPr>
          <w:rFonts w:cs="Times New Roman"/>
          <w:spacing w:val="-4"/>
          <w:sz w:val="16"/>
          <w:szCs w:val="16"/>
          <w:lang w:val="es-ES_tradnl"/>
        </w:rPr>
        <w:t>ó</w:t>
      </w:r>
      <w:r>
        <w:rPr>
          <w:spacing w:val="-4"/>
          <w:sz w:val="16"/>
          <w:szCs w:val="16"/>
          <w:lang w:val="es-ES_tradnl"/>
        </w:rPr>
        <w:t>n Participativa se renovar</w:t>
      </w:r>
      <w:r>
        <w:rPr>
          <w:rFonts w:cs="Times New Roman"/>
          <w:spacing w:val="-4"/>
          <w:sz w:val="16"/>
          <w:szCs w:val="16"/>
          <w:lang w:val="es-ES_tradnl"/>
        </w:rPr>
        <w:t>á</w:t>
      </w:r>
      <w:r>
        <w:rPr>
          <w:spacing w:val="-4"/>
          <w:sz w:val="16"/>
          <w:szCs w:val="16"/>
          <w:lang w:val="es-ES_tradnl"/>
        </w:rPr>
        <w:t xml:space="preserve"> a los </w:t>
      </w:r>
      <w:r>
        <w:rPr>
          <w:spacing w:val="-7"/>
          <w:sz w:val="16"/>
          <w:szCs w:val="16"/>
          <w:lang w:val="es-ES_tradnl"/>
        </w:rPr>
        <w:t>miembros del Directorio del Comit</w:t>
      </w:r>
      <w:r>
        <w:rPr>
          <w:rFonts w:cs="Times New Roman"/>
          <w:spacing w:val="-7"/>
          <w:sz w:val="16"/>
          <w:szCs w:val="16"/>
          <w:lang w:val="es-ES_tradnl"/>
        </w:rPr>
        <w:t>é</w:t>
      </w:r>
      <w:r>
        <w:rPr>
          <w:spacing w:val="-7"/>
          <w:sz w:val="16"/>
          <w:szCs w:val="16"/>
          <w:lang w:val="es-ES_tradnl"/>
        </w:rPr>
        <w:t xml:space="preserve"> de Gesti</w:t>
      </w:r>
      <w:r>
        <w:rPr>
          <w:rFonts w:cs="Times New Roman"/>
          <w:spacing w:val="-7"/>
          <w:sz w:val="16"/>
          <w:szCs w:val="16"/>
          <w:lang w:val="es-ES_tradnl"/>
        </w:rPr>
        <w:t>ó</w:t>
      </w:r>
      <w:r>
        <w:rPr>
          <w:spacing w:val="-7"/>
          <w:sz w:val="16"/>
          <w:szCs w:val="16"/>
          <w:lang w:val="es-ES_tradnl"/>
        </w:rPr>
        <w:t>n y Participaci</w:t>
      </w:r>
      <w:r>
        <w:rPr>
          <w:rFonts w:cs="Times New Roman"/>
          <w:spacing w:val="-7"/>
          <w:sz w:val="16"/>
          <w:szCs w:val="16"/>
          <w:lang w:val="es-ES_tradnl"/>
        </w:rPr>
        <w:t>ó</w:t>
      </w:r>
      <w:r>
        <w:rPr>
          <w:spacing w:val="-7"/>
          <w:sz w:val="16"/>
          <w:szCs w:val="16"/>
          <w:lang w:val="es-ES_tradnl"/>
        </w:rPr>
        <w:t xml:space="preserve">n </w:t>
      </w:r>
      <w:r>
        <w:rPr>
          <w:sz w:val="16"/>
          <w:szCs w:val="16"/>
          <w:lang w:val="es-ES_tradnl"/>
        </w:rPr>
        <w:t>Ciudadana.</w:t>
      </w:r>
    </w:p>
    <w:p w14:paraId="4F67A6D0" w14:textId="77777777" w:rsidR="00591D54" w:rsidRDefault="00591D54">
      <w:pPr>
        <w:shd w:val="clear" w:color="auto" w:fill="FFFFFF"/>
        <w:tabs>
          <w:tab w:val="left" w:pos="566"/>
        </w:tabs>
        <w:spacing w:before="206" w:line="221" w:lineRule="exact"/>
        <w:ind w:left="566" w:right="10" w:hanging="283"/>
        <w:jc w:val="both"/>
      </w:pPr>
      <w:r>
        <w:rPr>
          <w:spacing w:val="-7"/>
          <w:sz w:val="16"/>
          <w:szCs w:val="16"/>
          <w:lang w:val="es-ES_tradnl"/>
        </w:rPr>
        <w:t>3)</w:t>
      </w:r>
      <w:r>
        <w:rPr>
          <w:sz w:val="18"/>
          <w:szCs w:val="18"/>
          <w:lang w:val="es-ES_tradnl"/>
        </w:rPr>
        <w:tab/>
      </w:r>
      <w:r>
        <w:rPr>
          <w:b/>
          <w:bCs/>
          <w:spacing w:val="-3"/>
          <w:sz w:val="16"/>
          <w:szCs w:val="16"/>
          <w:lang w:val="es-ES_tradnl"/>
        </w:rPr>
        <w:t>Art.</w:t>
      </w:r>
      <w:r>
        <w:rPr>
          <w:b/>
          <w:bCs/>
          <w:spacing w:val="-3"/>
          <w:sz w:val="18"/>
          <w:szCs w:val="18"/>
          <w:lang w:val="es-ES_tradnl"/>
        </w:rPr>
        <w:t xml:space="preserve"> </w:t>
      </w:r>
      <w:r>
        <w:rPr>
          <w:b/>
          <w:bCs/>
          <w:spacing w:val="-3"/>
          <w:sz w:val="16"/>
          <w:szCs w:val="16"/>
          <w:lang w:val="es-ES_tradnl"/>
        </w:rPr>
        <w:t>12.-</w:t>
      </w:r>
      <w:r>
        <w:rPr>
          <w:b/>
          <w:bCs/>
          <w:spacing w:val="-3"/>
          <w:sz w:val="18"/>
          <w:szCs w:val="18"/>
          <w:lang w:val="es-ES_tradnl"/>
        </w:rPr>
        <w:t xml:space="preserve"> </w:t>
      </w:r>
      <w:r>
        <w:rPr>
          <w:b/>
          <w:bCs/>
          <w:spacing w:val="-3"/>
          <w:sz w:val="16"/>
          <w:szCs w:val="16"/>
          <w:lang w:val="es-ES_tradnl"/>
        </w:rPr>
        <w:t>DEL</w:t>
      </w:r>
      <w:r>
        <w:rPr>
          <w:b/>
          <w:bCs/>
          <w:spacing w:val="-3"/>
          <w:sz w:val="18"/>
          <w:szCs w:val="18"/>
          <w:lang w:val="es-ES_tradnl"/>
        </w:rPr>
        <w:t xml:space="preserve"> </w:t>
      </w:r>
      <w:r>
        <w:rPr>
          <w:b/>
          <w:bCs/>
          <w:spacing w:val="-3"/>
          <w:sz w:val="16"/>
          <w:szCs w:val="16"/>
          <w:lang w:val="es-ES_tradnl"/>
        </w:rPr>
        <w:t>PRESUPUESTO</w:t>
      </w:r>
      <w:r>
        <w:rPr>
          <w:b/>
          <w:bCs/>
          <w:spacing w:val="-3"/>
          <w:sz w:val="18"/>
          <w:szCs w:val="18"/>
          <w:lang w:val="es-ES_tradnl"/>
        </w:rPr>
        <w:t xml:space="preserve"> </w:t>
      </w:r>
      <w:r>
        <w:rPr>
          <w:b/>
          <w:bCs/>
          <w:spacing w:val="-3"/>
          <w:sz w:val="16"/>
          <w:szCs w:val="16"/>
          <w:lang w:val="es-ES_tradnl"/>
        </w:rPr>
        <w:t>PARTICIPATIVO.-</w:t>
      </w:r>
      <w:r>
        <w:rPr>
          <w:b/>
          <w:bCs/>
          <w:spacing w:val="-3"/>
          <w:sz w:val="18"/>
          <w:szCs w:val="18"/>
          <w:lang w:val="es-ES_tradnl"/>
        </w:rPr>
        <w:t xml:space="preserve"> </w:t>
      </w:r>
      <w:r>
        <w:rPr>
          <w:spacing w:val="-3"/>
          <w:sz w:val="16"/>
          <w:szCs w:val="16"/>
          <w:lang w:val="es-ES_tradnl"/>
        </w:rPr>
        <w:t>Se </w:t>
      </w:r>
      <w:r>
        <w:rPr>
          <w:spacing w:val="-7"/>
          <w:sz w:val="16"/>
          <w:szCs w:val="16"/>
          <w:lang w:val="es-ES_tradnl"/>
        </w:rPr>
        <w:t>denomina Presupuesto Participativo al proceso mediante </w:t>
      </w:r>
      <w:r>
        <w:rPr>
          <w:spacing w:val="-6"/>
          <w:sz w:val="16"/>
          <w:szCs w:val="16"/>
          <w:lang w:val="es-ES_tradnl"/>
        </w:rPr>
        <w:t>el cual las y los ciudadanos, a trav</w:t>
      </w:r>
      <w:r>
        <w:rPr>
          <w:rFonts w:cs="Times New Roman"/>
          <w:spacing w:val="-6"/>
          <w:sz w:val="16"/>
          <w:szCs w:val="16"/>
          <w:lang w:val="es-ES_tradnl"/>
        </w:rPr>
        <w:t>é</w:t>
      </w:r>
      <w:r>
        <w:rPr>
          <w:spacing w:val="-6"/>
          <w:sz w:val="16"/>
          <w:szCs w:val="16"/>
          <w:lang w:val="es-ES_tradnl"/>
        </w:rPr>
        <w:t>s de la Asamblea Cantonal, contribuyen en la toma de decisiones respecto </w:t>
      </w:r>
      <w:r>
        <w:rPr>
          <w:spacing w:val="-9"/>
          <w:sz w:val="16"/>
          <w:szCs w:val="16"/>
          <w:lang w:val="es-ES_tradnl"/>
        </w:rPr>
        <w:t>al presupuesto de inversi</w:t>
      </w:r>
      <w:r>
        <w:rPr>
          <w:rFonts w:cs="Times New Roman"/>
          <w:spacing w:val="-9"/>
          <w:sz w:val="16"/>
          <w:szCs w:val="16"/>
          <w:lang w:val="es-ES_tradnl"/>
        </w:rPr>
        <w:t>ó</w:t>
      </w:r>
      <w:r>
        <w:rPr>
          <w:spacing w:val="-9"/>
          <w:sz w:val="16"/>
          <w:szCs w:val="16"/>
          <w:lang w:val="es-ES_tradnl"/>
        </w:rPr>
        <w:t>n mediante reuniones en las que </w:t>
      </w:r>
      <w:r>
        <w:rPr>
          <w:spacing w:val="-7"/>
          <w:sz w:val="16"/>
          <w:szCs w:val="16"/>
          <w:lang w:val="es-ES_tradnl"/>
        </w:rPr>
        <w:t>deliberan abiertamente con las autoridades y funcionarios </w:t>
      </w:r>
      <w:r>
        <w:rPr>
          <w:sz w:val="16"/>
          <w:szCs w:val="16"/>
          <w:lang w:val="es-ES_tradnl"/>
        </w:rPr>
        <w:t>municipales.</w:t>
      </w:r>
    </w:p>
    <w:p w14:paraId="4F67A6D1" w14:textId="77777777" w:rsidR="00591D54" w:rsidRDefault="00591D54">
      <w:pPr>
        <w:shd w:val="clear" w:color="auto" w:fill="FFFFFF"/>
        <w:spacing w:line="226" w:lineRule="exact"/>
        <w:ind w:right="10"/>
        <w:jc w:val="both"/>
      </w:pPr>
      <w:r>
        <w:br w:type="column"/>
      </w:r>
      <w:r>
        <w:rPr>
          <w:sz w:val="16"/>
          <w:szCs w:val="16"/>
          <w:lang w:val="es-ES_tradnl"/>
        </w:rPr>
        <w:t>El Presupuesto Participativo ser</w:t>
      </w:r>
      <w:r>
        <w:rPr>
          <w:rFonts w:cs="Times New Roman"/>
          <w:sz w:val="16"/>
          <w:szCs w:val="16"/>
          <w:lang w:val="es-ES_tradnl"/>
        </w:rPr>
        <w:t>á</w:t>
      </w:r>
      <w:r>
        <w:rPr>
          <w:sz w:val="16"/>
          <w:szCs w:val="16"/>
          <w:lang w:val="es-ES_tradnl"/>
        </w:rPr>
        <w:t xml:space="preserve"> por lo menos del 30 </w:t>
      </w:r>
      <w:r>
        <w:rPr>
          <w:spacing w:val="-5"/>
          <w:sz w:val="16"/>
          <w:szCs w:val="16"/>
          <w:lang w:val="es-ES_tradnl"/>
        </w:rPr>
        <w:t>% del presupuesto de inversi</w:t>
      </w:r>
      <w:r>
        <w:rPr>
          <w:rFonts w:cs="Times New Roman"/>
          <w:spacing w:val="-5"/>
          <w:sz w:val="16"/>
          <w:szCs w:val="16"/>
          <w:lang w:val="es-ES_tradnl"/>
        </w:rPr>
        <w:t>ó</w:t>
      </w:r>
      <w:r>
        <w:rPr>
          <w:spacing w:val="-5"/>
          <w:sz w:val="16"/>
          <w:szCs w:val="16"/>
          <w:lang w:val="es-ES_tradnl"/>
        </w:rPr>
        <w:t>n del Gobierno Aut</w:t>
      </w:r>
      <w:r>
        <w:rPr>
          <w:rFonts w:cs="Times New Roman"/>
          <w:spacing w:val="-5"/>
          <w:sz w:val="16"/>
          <w:szCs w:val="16"/>
          <w:lang w:val="es-ES_tradnl"/>
        </w:rPr>
        <w:t>ó</w:t>
      </w:r>
      <w:r>
        <w:rPr>
          <w:spacing w:val="-5"/>
          <w:sz w:val="16"/>
          <w:szCs w:val="16"/>
          <w:lang w:val="es-ES_tradnl"/>
        </w:rPr>
        <w:t xml:space="preserve">nomo </w:t>
      </w:r>
      <w:r>
        <w:rPr>
          <w:sz w:val="16"/>
          <w:szCs w:val="16"/>
          <w:lang w:val="es-ES_tradnl"/>
        </w:rPr>
        <w:t>Descentralizado Municipal de Rumi</w:t>
      </w:r>
      <w:r>
        <w:rPr>
          <w:rFonts w:cs="Times New Roman"/>
          <w:sz w:val="16"/>
          <w:szCs w:val="16"/>
          <w:lang w:val="es-ES_tradnl"/>
        </w:rPr>
        <w:t>ñ</w:t>
      </w:r>
      <w:r>
        <w:rPr>
          <w:sz w:val="16"/>
          <w:szCs w:val="16"/>
          <w:lang w:val="es-ES_tradnl"/>
        </w:rPr>
        <w:t>ahui.</w:t>
      </w:r>
    </w:p>
    <w:p w14:paraId="4F67A6D2" w14:textId="77777777" w:rsidR="00591D54" w:rsidRDefault="00591D54" w:rsidP="00251195">
      <w:pPr>
        <w:numPr>
          <w:ilvl w:val="0"/>
          <w:numId w:val="30"/>
        </w:numPr>
        <w:shd w:val="clear" w:color="auto" w:fill="FFFFFF"/>
        <w:tabs>
          <w:tab w:val="left" w:pos="283"/>
        </w:tabs>
        <w:spacing w:before="211" w:line="221" w:lineRule="exact"/>
        <w:ind w:left="283" w:right="10" w:hanging="283"/>
        <w:jc w:val="both"/>
        <w:rPr>
          <w:spacing w:val="-7"/>
          <w:sz w:val="16"/>
          <w:szCs w:val="16"/>
          <w:lang w:val="es-ES_tradnl"/>
        </w:rPr>
      </w:pPr>
      <w:r>
        <w:rPr>
          <w:b/>
          <w:bCs/>
          <w:spacing w:val="-2"/>
          <w:sz w:val="16"/>
          <w:szCs w:val="16"/>
          <w:lang w:val="es-ES_tradnl"/>
        </w:rPr>
        <w:t>Art.</w:t>
      </w:r>
      <w:r>
        <w:rPr>
          <w:b/>
          <w:bCs/>
          <w:spacing w:val="-2"/>
          <w:sz w:val="18"/>
          <w:szCs w:val="18"/>
          <w:lang w:val="es-ES_tradnl"/>
        </w:rPr>
        <w:t xml:space="preserve"> </w:t>
      </w:r>
      <w:r>
        <w:rPr>
          <w:b/>
          <w:bCs/>
          <w:spacing w:val="-2"/>
          <w:sz w:val="16"/>
          <w:szCs w:val="16"/>
          <w:lang w:val="es-ES_tradnl"/>
        </w:rPr>
        <w:t>13.-</w:t>
      </w:r>
      <w:r>
        <w:rPr>
          <w:b/>
          <w:bCs/>
          <w:spacing w:val="-2"/>
          <w:sz w:val="18"/>
          <w:szCs w:val="18"/>
          <w:lang w:val="es-ES_tradnl"/>
        </w:rPr>
        <w:t xml:space="preserve"> </w:t>
      </w:r>
      <w:r>
        <w:rPr>
          <w:b/>
          <w:bCs/>
          <w:spacing w:val="-2"/>
          <w:sz w:val="16"/>
          <w:szCs w:val="16"/>
          <w:lang w:val="es-ES_tradnl"/>
        </w:rPr>
        <w:t>CARACTER</w:t>
      </w:r>
      <w:r>
        <w:rPr>
          <w:rFonts w:cs="Times New Roman"/>
          <w:b/>
          <w:bCs/>
          <w:spacing w:val="-2"/>
          <w:sz w:val="16"/>
          <w:szCs w:val="16"/>
          <w:lang w:val="es-ES_tradnl"/>
        </w:rPr>
        <w:t>Í</w:t>
      </w:r>
      <w:r>
        <w:rPr>
          <w:b/>
          <w:bCs/>
          <w:spacing w:val="-2"/>
          <w:sz w:val="16"/>
          <w:szCs w:val="16"/>
          <w:lang w:val="es-ES_tradnl"/>
        </w:rPr>
        <w:t>STICAS</w:t>
      </w:r>
      <w:r>
        <w:rPr>
          <w:b/>
          <w:bCs/>
          <w:spacing w:val="-2"/>
          <w:sz w:val="18"/>
          <w:szCs w:val="18"/>
          <w:lang w:val="es-ES_tradnl"/>
        </w:rPr>
        <w:t xml:space="preserve"> </w:t>
      </w:r>
      <w:r>
        <w:rPr>
          <w:b/>
          <w:bCs/>
          <w:spacing w:val="-2"/>
          <w:sz w:val="16"/>
          <w:szCs w:val="16"/>
          <w:lang w:val="es-ES_tradnl"/>
        </w:rPr>
        <w:t>DEL</w:t>
      </w:r>
      <w:r>
        <w:rPr>
          <w:b/>
          <w:bCs/>
          <w:spacing w:val="-2"/>
          <w:sz w:val="18"/>
          <w:szCs w:val="18"/>
          <w:lang w:val="es-ES_tradnl"/>
        </w:rPr>
        <w:t xml:space="preserve"> </w:t>
      </w:r>
      <w:r>
        <w:rPr>
          <w:b/>
          <w:bCs/>
          <w:spacing w:val="-2"/>
          <w:sz w:val="16"/>
          <w:szCs w:val="16"/>
          <w:lang w:val="es-ES_tradnl"/>
        </w:rPr>
        <w:t xml:space="preserve">PRESUPUESTO </w:t>
      </w:r>
      <w:r>
        <w:rPr>
          <w:b/>
          <w:bCs/>
          <w:spacing w:val="-3"/>
          <w:sz w:val="16"/>
          <w:szCs w:val="16"/>
          <w:lang w:val="es-ES_tradnl"/>
        </w:rPr>
        <w:t xml:space="preserve">PARTICIPATIVO.- </w:t>
      </w:r>
      <w:r>
        <w:rPr>
          <w:spacing w:val="-3"/>
          <w:sz w:val="16"/>
          <w:szCs w:val="16"/>
          <w:lang w:val="es-ES_tradnl"/>
        </w:rPr>
        <w:t xml:space="preserve">El Presupuesto Participativo es un </w:t>
      </w:r>
      <w:r>
        <w:rPr>
          <w:spacing w:val="-6"/>
          <w:sz w:val="16"/>
          <w:szCs w:val="16"/>
          <w:lang w:val="es-ES_tradnl"/>
        </w:rPr>
        <w:t>debate p</w:t>
      </w:r>
      <w:r>
        <w:rPr>
          <w:rFonts w:cs="Times New Roman"/>
          <w:spacing w:val="-6"/>
          <w:sz w:val="16"/>
          <w:szCs w:val="16"/>
          <w:lang w:val="es-ES_tradnl"/>
        </w:rPr>
        <w:t>ú</w:t>
      </w:r>
      <w:r>
        <w:rPr>
          <w:spacing w:val="-6"/>
          <w:sz w:val="16"/>
          <w:szCs w:val="16"/>
          <w:lang w:val="es-ES_tradnl"/>
        </w:rPr>
        <w:t>blico sobre el uso de los recursos de inversi</w:t>
      </w:r>
      <w:r>
        <w:rPr>
          <w:rFonts w:cs="Times New Roman"/>
          <w:spacing w:val="-6"/>
          <w:sz w:val="16"/>
          <w:szCs w:val="16"/>
          <w:lang w:val="es-ES_tradnl"/>
        </w:rPr>
        <w:t>ó</w:t>
      </w:r>
      <w:r>
        <w:rPr>
          <w:spacing w:val="-6"/>
          <w:sz w:val="16"/>
          <w:szCs w:val="16"/>
          <w:lang w:val="es-ES_tradnl"/>
        </w:rPr>
        <w:t>n del Gobierno Aut</w:t>
      </w:r>
      <w:r>
        <w:rPr>
          <w:rFonts w:cs="Times New Roman"/>
          <w:spacing w:val="-6"/>
          <w:sz w:val="16"/>
          <w:szCs w:val="16"/>
          <w:lang w:val="es-ES_tradnl"/>
        </w:rPr>
        <w:t>ó</w:t>
      </w:r>
      <w:r>
        <w:rPr>
          <w:spacing w:val="-6"/>
          <w:sz w:val="16"/>
          <w:szCs w:val="16"/>
          <w:lang w:val="es-ES_tradnl"/>
        </w:rPr>
        <w:t>nomo Descentralizado, otorga facultad para definir las orientaciones de las inversiones p</w:t>
      </w:r>
      <w:r>
        <w:rPr>
          <w:rFonts w:cs="Times New Roman"/>
          <w:spacing w:val="-6"/>
          <w:sz w:val="16"/>
          <w:szCs w:val="16"/>
          <w:lang w:val="es-ES_tradnl"/>
        </w:rPr>
        <w:t>ú</w:t>
      </w:r>
      <w:r>
        <w:rPr>
          <w:spacing w:val="-6"/>
          <w:sz w:val="16"/>
          <w:szCs w:val="16"/>
          <w:lang w:val="es-ES_tradnl"/>
        </w:rPr>
        <w:t>blicas hacia el logro de la justicia redistributiva en la asignaci</w:t>
      </w:r>
      <w:r>
        <w:rPr>
          <w:rFonts w:cs="Times New Roman"/>
          <w:spacing w:val="-6"/>
          <w:sz w:val="16"/>
          <w:szCs w:val="16"/>
          <w:lang w:val="es-ES_tradnl"/>
        </w:rPr>
        <w:t>ó</w:t>
      </w:r>
      <w:r>
        <w:rPr>
          <w:spacing w:val="-6"/>
          <w:sz w:val="16"/>
          <w:szCs w:val="16"/>
          <w:lang w:val="es-ES_tradnl"/>
        </w:rPr>
        <w:t xml:space="preserve">n </w:t>
      </w:r>
      <w:r>
        <w:rPr>
          <w:sz w:val="16"/>
          <w:szCs w:val="16"/>
          <w:lang w:val="es-ES_tradnl"/>
        </w:rPr>
        <w:t>de los recursos de inversi</w:t>
      </w:r>
      <w:r>
        <w:rPr>
          <w:rFonts w:cs="Times New Roman"/>
          <w:sz w:val="16"/>
          <w:szCs w:val="16"/>
          <w:lang w:val="es-ES_tradnl"/>
        </w:rPr>
        <w:t>ó</w:t>
      </w:r>
      <w:r>
        <w:rPr>
          <w:sz w:val="16"/>
          <w:szCs w:val="16"/>
          <w:lang w:val="es-ES_tradnl"/>
        </w:rPr>
        <w:t>n.</w:t>
      </w:r>
    </w:p>
    <w:p w14:paraId="4F67A6D3" w14:textId="77777777" w:rsidR="00591D54" w:rsidRDefault="00591D54" w:rsidP="00251195">
      <w:pPr>
        <w:numPr>
          <w:ilvl w:val="0"/>
          <w:numId w:val="30"/>
        </w:numPr>
        <w:shd w:val="clear" w:color="auto" w:fill="FFFFFF"/>
        <w:tabs>
          <w:tab w:val="left" w:pos="283"/>
        </w:tabs>
        <w:spacing w:before="211" w:line="221" w:lineRule="exact"/>
        <w:ind w:left="283" w:hanging="283"/>
        <w:jc w:val="both"/>
        <w:rPr>
          <w:spacing w:val="-7"/>
          <w:sz w:val="16"/>
          <w:szCs w:val="16"/>
          <w:lang w:val="es-ES_tradnl"/>
        </w:rPr>
      </w:pPr>
      <w:r>
        <w:rPr>
          <w:b/>
          <w:bCs/>
          <w:sz w:val="16"/>
          <w:szCs w:val="16"/>
          <w:lang w:val="es-ES_tradnl"/>
        </w:rPr>
        <w:t>Art.</w:t>
      </w:r>
      <w:r>
        <w:rPr>
          <w:b/>
          <w:bCs/>
          <w:sz w:val="18"/>
          <w:szCs w:val="18"/>
          <w:lang w:val="es-ES_tradnl"/>
        </w:rPr>
        <w:t xml:space="preserve"> </w:t>
      </w:r>
      <w:r>
        <w:rPr>
          <w:b/>
          <w:bCs/>
          <w:sz w:val="16"/>
          <w:szCs w:val="16"/>
          <w:lang w:val="es-ES_tradnl"/>
        </w:rPr>
        <w:t>14.-</w:t>
      </w:r>
      <w:r>
        <w:rPr>
          <w:b/>
          <w:bCs/>
          <w:sz w:val="18"/>
          <w:szCs w:val="18"/>
          <w:lang w:val="es-ES_tradnl"/>
        </w:rPr>
        <w:t xml:space="preserve"> </w:t>
      </w:r>
      <w:r>
        <w:rPr>
          <w:b/>
          <w:bCs/>
          <w:sz w:val="16"/>
          <w:szCs w:val="16"/>
          <w:lang w:val="es-ES_tradnl"/>
        </w:rPr>
        <w:t>DEL</w:t>
      </w:r>
      <w:r>
        <w:rPr>
          <w:b/>
          <w:bCs/>
          <w:sz w:val="18"/>
          <w:szCs w:val="18"/>
          <w:lang w:val="es-ES_tradnl"/>
        </w:rPr>
        <w:t xml:space="preserve"> </w:t>
      </w:r>
      <w:r>
        <w:rPr>
          <w:b/>
          <w:bCs/>
          <w:sz w:val="16"/>
          <w:szCs w:val="16"/>
          <w:lang w:val="es-ES_tradnl"/>
        </w:rPr>
        <w:t>PROCEDIMIENTO</w:t>
      </w:r>
      <w:r>
        <w:rPr>
          <w:b/>
          <w:bCs/>
          <w:sz w:val="18"/>
          <w:szCs w:val="18"/>
          <w:lang w:val="es-ES_tradnl"/>
        </w:rPr>
        <w:t xml:space="preserve"> </w:t>
      </w:r>
      <w:r>
        <w:rPr>
          <w:b/>
          <w:bCs/>
          <w:sz w:val="16"/>
          <w:szCs w:val="16"/>
          <w:lang w:val="es-ES_tradnl"/>
        </w:rPr>
        <w:t>PARA</w:t>
      </w:r>
      <w:r>
        <w:rPr>
          <w:b/>
          <w:bCs/>
          <w:sz w:val="18"/>
          <w:szCs w:val="18"/>
          <w:lang w:val="es-ES_tradnl"/>
        </w:rPr>
        <w:t xml:space="preserve"> </w:t>
      </w:r>
      <w:r>
        <w:rPr>
          <w:b/>
          <w:bCs/>
          <w:sz w:val="16"/>
          <w:szCs w:val="16"/>
          <w:lang w:val="es-ES_tradnl"/>
        </w:rPr>
        <w:t xml:space="preserve">EL </w:t>
      </w:r>
      <w:r>
        <w:rPr>
          <w:b/>
          <w:bCs/>
          <w:spacing w:val="-2"/>
          <w:sz w:val="16"/>
          <w:szCs w:val="16"/>
          <w:lang w:val="es-ES_tradnl"/>
        </w:rPr>
        <w:t xml:space="preserve">PRESUPUESTO PARTICIPATIVO.- </w:t>
      </w:r>
      <w:r>
        <w:rPr>
          <w:spacing w:val="-2"/>
          <w:sz w:val="16"/>
          <w:szCs w:val="16"/>
          <w:lang w:val="es-ES_tradnl"/>
        </w:rPr>
        <w:t>La discusi</w:t>
      </w:r>
      <w:r>
        <w:rPr>
          <w:rFonts w:cs="Times New Roman"/>
          <w:spacing w:val="-2"/>
          <w:sz w:val="16"/>
          <w:szCs w:val="16"/>
          <w:lang w:val="es-ES_tradnl"/>
        </w:rPr>
        <w:t>ó</w:t>
      </w:r>
      <w:r>
        <w:rPr>
          <w:spacing w:val="-2"/>
          <w:sz w:val="16"/>
          <w:szCs w:val="16"/>
          <w:lang w:val="es-ES_tradnl"/>
        </w:rPr>
        <w:t xml:space="preserve">n del </w:t>
      </w:r>
      <w:r>
        <w:rPr>
          <w:spacing w:val="-6"/>
          <w:sz w:val="16"/>
          <w:szCs w:val="16"/>
          <w:lang w:val="es-ES_tradnl"/>
        </w:rPr>
        <w:t>presupuesto participativo se realizar</w:t>
      </w:r>
      <w:r>
        <w:rPr>
          <w:rFonts w:cs="Times New Roman"/>
          <w:spacing w:val="-6"/>
          <w:sz w:val="16"/>
          <w:szCs w:val="16"/>
          <w:lang w:val="es-ES_tradnl"/>
        </w:rPr>
        <w:t>á</w:t>
      </w:r>
      <w:r>
        <w:rPr>
          <w:spacing w:val="-6"/>
          <w:sz w:val="16"/>
          <w:szCs w:val="16"/>
          <w:lang w:val="es-ES_tradnl"/>
        </w:rPr>
        <w:t xml:space="preserve"> desde y con las </w:t>
      </w:r>
      <w:r>
        <w:rPr>
          <w:spacing w:val="-8"/>
          <w:sz w:val="16"/>
          <w:szCs w:val="16"/>
          <w:lang w:val="es-ES_tradnl"/>
        </w:rPr>
        <w:t>asambleas de base territoriales tem</w:t>
      </w:r>
      <w:r>
        <w:rPr>
          <w:rFonts w:cs="Times New Roman"/>
          <w:spacing w:val="-8"/>
          <w:sz w:val="16"/>
          <w:szCs w:val="16"/>
          <w:lang w:val="es-ES_tradnl"/>
        </w:rPr>
        <w:t>á</w:t>
      </w:r>
      <w:r>
        <w:rPr>
          <w:spacing w:val="-8"/>
          <w:sz w:val="16"/>
          <w:szCs w:val="16"/>
          <w:lang w:val="es-ES_tradnl"/>
        </w:rPr>
        <w:t xml:space="preserve">ticas y de los Grupos </w:t>
      </w:r>
      <w:r>
        <w:rPr>
          <w:spacing w:val="-9"/>
          <w:sz w:val="16"/>
          <w:szCs w:val="16"/>
          <w:lang w:val="es-ES_tradnl"/>
        </w:rPr>
        <w:t>de Atenci</w:t>
      </w:r>
      <w:r>
        <w:rPr>
          <w:rFonts w:cs="Times New Roman"/>
          <w:spacing w:val="-9"/>
          <w:sz w:val="16"/>
          <w:szCs w:val="16"/>
          <w:lang w:val="es-ES_tradnl"/>
        </w:rPr>
        <w:t>ó</w:t>
      </w:r>
      <w:r>
        <w:rPr>
          <w:spacing w:val="-9"/>
          <w:sz w:val="16"/>
          <w:szCs w:val="16"/>
          <w:lang w:val="es-ES_tradnl"/>
        </w:rPr>
        <w:t xml:space="preserve">n Prioritaria que se establecen en el Subsistema </w:t>
      </w:r>
      <w:r>
        <w:rPr>
          <w:spacing w:val="-6"/>
          <w:sz w:val="16"/>
          <w:szCs w:val="16"/>
          <w:lang w:val="es-ES_tradnl"/>
        </w:rPr>
        <w:t>de Participaci</w:t>
      </w:r>
      <w:r>
        <w:rPr>
          <w:rFonts w:cs="Times New Roman"/>
          <w:spacing w:val="-6"/>
          <w:sz w:val="16"/>
          <w:szCs w:val="16"/>
          <w:lang w:val="es-ES_tradnl"/>
        </w:rPr>
        <w:t>ó</w:t>
      </w:r>
      <w:r>
        <w:rPr>
          <w:spacing w:val="-6"/>
          <w:sz w:val="16"/>
          <w:szCs w:val="16"/>
          <w:lang w:val="es-ES_tradnl"/>
        </w:rPr>
        <w:t xml:space="preserve">n Ciudadana hasta el mes de septiembre </w:t>
      </w:r>
      <w:r>
        <w:rPr>
          <w:spacing w:val="-2"/>
          <w:sz w:val="16"/>
          <w:szCs w:val="16"/>
          <w:lang w:val="es-ES_tradnl"/>
        </w:rPr>
        <w:t>de cada a</w:t>
      </w:r>
      <w:r>
        <w:rPr>
          <w:rFonts w:cs="Times New Roman"/>
          <w:spacing w:val="-2"/>
          <w:sz w:val="16"/>
          <w:szCs w:val="16"/>
          <w:lang w:val="es-ES_tradnl"/>
        </w:rPr>
        <w:t>ñ</w:t>
      </w:r>
      <w:r>
        <w:rPr>
          <w:spacing w:val="-2"/>
          <w:sz w:val="16"/>
          <w:szCs w:val="16"/>
          <w:lang w:val="es-ES_tradnl"/>
        </w:rPr>
        <w:t xml:space="preserve">o, de conformidad con las prioridades </w:t>
      </w:r>
      <w:r>
        <w:rPr>
          <w:spacing w:val="-7"/>
          <w:sz w:val="16"/>
          <w:szCs w:val="16"/>
          <w:lang w:val="es-ES_tradnl"/>
        </w:rPr>
        <w:t xml:space="preserve">establecidas en el plan operativo anual, plan de desarrollo </w:t>
      </w:r>
      <w:r>
        <w:rPr>
          <w:sz w:val="16"/>
          <w:szCs w:val="16"/>
          <w:lang w:val="es-ES_tradnl"/>
        </w:rPr>
        <w:t>y ordenamiento territorial.</w:t>
      </w:r>
    </w:p>
    <w:p w14:paraId="4F67A6D4" w14:textId="77777777" w:rsidR="00591D54" w:rsidRDefault="00591D54">
      <w:pPr>
        <w:shd w:val="clear" w:color="auto" w:fill="FFFFFF"/>
        <w:spacing w:before="216" w:line="221" w:lineRule="exact"/>
        <w:ind w:left="283" w:right="10"/>
        <w:jc w:val="both"/>
      </w:pPr>
      <w:r>
        <w:rPr>
          <w:spacing w:val="-7"/>
          <w:sz w:val="16"/>
          <w:szCs w:val="16"/>
          <w:lang w:val="es-ES_tradnl"/>
        </w:rPr>
        <w:t>Las asambleas de base ser</w:t>
      </w:r>
      <w:r>
        <w:rPr>
          <w:rFonts w:cs="Times New Roman"/>
          <w:spacing w:val="-7"/>
          <w:sz w:val="16"/>
          <w:szCs w:val="16"/>
          <w:lang w:val="es-ES_tradnl"/>
        </w:rPr>
        <w:t>á</w:t>
      </w:r>
      <w:r>
        <w:rPr>
          <w:spacing w:val="-7"/>
          <w:sz w:val="16"/>
          <w:szCs w:val="16"/>
          <w:lang w:val="es-ES_tradnl"/>
        </w:rPr>
        <w:t xml:space="preserve">n convocadas para priorizar </w:t>
      </w:r>
      <w:r>
        <w:rPr>
          <w:spacing w:val="-8"/>
          <w:sz w:val="16"/>
          <w:szCs w:val="16"/>
          <w:lang w:val="es-ES_tradnl"/>
        </w:rPr>
        <w:t>las demandas y nominar los delegados acreditados a la Asamblea Cantonal de Gesti</w:t>
      </w:r>
      <w:r>
        <w:rPr>
          <w:rFonts w:cs="Times New Roman"/>
          <w:spacing w:val="-8"/>
          <w:sz w:val="16"/>
          <w:szCs w:val="16"/>
          <w:lang w:val="es-ES_tradnl"/>
        </w:rPr>
        <w:t>ó</w:t>
      </w:r>
      <w:r>
        <w:rPr>
          <w:spacing w:val="-8"/>
          <w:sz w:val="16"/>
          <w:szCs w:val="16"/>
          <w:lang w:val="es-ES_tradnl"/>
        </w:rPr>
        <w:t>n y Participaci</w:t>
      </w:r>
      <w:r>
        <w:rPr>
          <w:rFonts w:cs="Times New Roman"/>
          <w:spacing w:val="-8"/>
          <w:sz w:val="16"/>
          <w:szCs w:val="16"/>
          <w:lang w:val="es-ES_tradnl"/>
        </w:rPr>
        <w:t>ó</w:t>
      </w:r>
      <w:r>
        <w:rPr>
          <w:spacing w:val="-8"/>
          <w:sz w:val="16"/>
          <w:szCs w:val="16"/>
          <w:lang w:val="es-ES_tradnl"/>
        </w:rPr>
        <w:t xml:space="preserve">n Ciudadana </w:t>
      </w:r>
      <w:r>
        <w:rPr>
          <w:sz w:val="16"/>
          <w:szCs w:val="16"/>
          <w:lang w:val="es-ES_tradnl"/>
        </w:rPr>
        <w:t>de Rumi</w:t>
      </w:r>
      <w:r>
        <w:rPr>
          <w:rFonts w:cs="Times New Roman"/>
          <w:sz w:val="16"/>
          <w:szCs w:val="16"/>
          <w:lang w:val="es-ES_tradnl"/>
        </w:rPr>
        <w:t>ñ</w:t>
      </w:r>
      <w:r>
        <w:rPr>
          <w:sz w:val="16"/>
          <w:szCs w:val="16"/>
          <w:lang w:val="es-ES_tradnl"/>
        </w:rPr>
        <w:t>ahui.</w:t>
      </w:r>
    </w:p>
    <w:p w14:paraId="4F67A6D5" w14:textId="77777777" w:rsidR="00591D54" w:rsidRDefault="00591D54">
      <w:pPr>
        <w:shd w:val="clear" w:color="auto" w:fill="FFFFFF"/>
        <w:spacing w:before="216" w:line="221" w:lineRule="exact"/>
        <w:ind w:left="283" w:right="10"/>
        <w:jc w:val="both"/>
      </w:pPr>
      <w:r>
        <w:rPr>
          <w:spacing w:val="-6"/>
          <w:sz w:val="16"/>
          <w:szCs w:val="16"/>
          <w:lang w:val="es-ES_tradnl"/>
        </w:rPr>
        <w:t>Las asambleas territoriales y de los grupos de atenci</w:t>
      </w:r>
      <w:r>
        <w:rPr>
          <w:rFonts w:cs="Times New Roman"/>
          <w:spacing w:val="-6"/>
          <w:sz w:val="16"/>
          <w:szCs w:val="16"/>
          <w:lang w:val="es-ES_tradnl"/>
        </w:rPr>
        <w:t>ó</w:t>
      </w:r>
      <w:r>
        <w:rPr>
          <w:spacing w:val="-6"/>
          <w:sz w:val="16"/>
          <w:szCs w:val="16"/>
          <w:lang w:val="es-ES_tradnl"/>
        </w:rPr>
        <w:t xml:space="preserve">n </w:t>
      </w:r>
      <w:r>
        <w:rPr>
          <w:spacing w:val="-7"/>
          <w:sz w:val="16"/>
          <w:szCs w:val="16"/>
          <w:lang w:val="es-ES_tradnl"/>
        </w:rPr>
        <w:t>prioritaria ser</w:t>
      </w:r>
      <w:r>
        <w:rPr>
          <w:rFonts w:cs="Times New Roman"/>
          <w:spacing w:val="-7"/>
          <w:sz w:val="16"/>
          <w:szCs w:val="16"/>
          <w:lang w:val="es-ES_tradnl"/>
        </w:rPr>
        <w:t>á</w:t>
      </w:r>
      <w:r>
        <w:rPr>
          <w:spacing w:val="-7"/>
          <w:sz w:val="16"/>
          <w:szCs w:val="16"/>
          <w:lang w:val="es-ES_tradnl"/>
        </w:rPr>
        <w:t>n tem</w:t>
      </w:r>
      <w:r>
        <w:rPr>
          <w:rFonts w:cs="Times New Roman"/>
          <w:spacing w:val="-7"/>
          <w:sz w:val="16"/>
          <w:szCs w:val="16"/>
          <w:lang w:val="es-ES_tradnl"/>
        </w:rPr>
        <w:t>á</w:t>
      </w:r>
      <w:r>
        <w:rPr>
          <w:spacing w:val="-7"/>
          <w:sz w:val="16"/>
          <w:szCs w:val="16"/>
          <w:lang w:val="es-ES_tradnl"/>
        </w:rPr>
        <w:t>ticas, y su refl exi</w:t>
      </w:r>
      <w:r>
        <w:rPr>
          <w:rFonts w:cs="Times New Roman"/>
          <w:spacing w:val="-7"/>
          <w:sz w:val="16"/>
          <w:szCs w:val="16"/>
          <w:lang w:val="es-ES_tradnl"/>
        </w:rPr>
        <w:t>ó</w:t>
      </w:r>
      <w:r>
        <w:rPr>
          <w:spacing w:val="-7"/>
          <w:sz w:val="16"/>
          <w:szCs w:val="16"/>
          <w:lang w:val="es-ES_tradnl"/>
        </w:rPr>
        <w:t>n girar</w:t>
      </w:r>
      <w:r>
        <w:rPr>
          <w:rFonts w:cs="Times New Roman"/>
          <w:spacing w:val="-7"/>
          <w:sz w:val="16"/>
          <w:szCs w:val="16"/>
          <w:lang w:val="es-ES_tradnl"/>
        </w:rPr>
        <w:t>á</w:t>
      </w:r>
      <w:r>
        <w:rPr>
          <w:spacing w:val="-7"/>
          <w:sz w:val="16"/>
          <w:szCs w:val="16"/>
          <w:lang w:val="es-ES_tradnl"/>
        </w:rPr>
        <w:t xml:space="preserve"> en torno a </w:t>
      </w:r>
      <w:r>
        <w:rPr>
          <w:sz w:val="16"/>
          <w:szCs w:val="16"/>
          <w:lang w:val="es-ES_tradnl"/>
        </w:rPr>
        <w:t>los siguientes ejes:</w:t>
      </w:r>
    </w:p>
    <w:p w14:paraId="4F67A6D6" w14:textId="77777777" w:rsidR="00591D54" w:rsidRDefault="00591D54" w:rsidP="00251195">
      <w:pPr>
        <w:numPr>
          <w:ilvl w:val="0"/>
          <w:numId w:val="31"/>
        </w:numPr>
        <w:shd w:val="clear" w:color="auto" w:fill="FFFFFF"/>
        <w:tabs>
          <w:tab w:val="left" w:pos="437"/>
        </w:tabs>
        <w:spacing w:before="206" w:line="226" w:lineRule="exact"/>
        <w:ind w:left="283"/>
        <w:rPr>
          <w:spacing w:val="-8"/>
          <w:sz w:val="16"/>
          <w:szCs w:val="16"/>
          <w:lang w:val="es-ES_tradnl"/>
        </w:rPr>
      </w:pPr>
      <w:r>
        <w:rPr>
          <w:spacing w:val="-6"/>
          <w:sz w:val="16"/>
          <w:szCs w:val="16"/>
          <w:lang w:val="es-ES_tradnl"/>
        </w:rPr>
        <w:t>Actividades</w:t>
      </w:r>
      <w:r>
        <w:rPr>
          <w:spacing w:val="-6"/>
          <w:sz w:val="18"/>
          <w:szCs w:val="18"/>
          <w:lang w:val="es-ES_tradnl"/>
        </w:rPr>
        <w:t xml:space="preserve"> </w:t>
      </w:r>
      <w:r>
        <w:rPr>
          <w:spacing w:val="-6"/>
          <w:sz w:val="16"/>
          <w:szCs w:val="16"/>
          <w:lang w:val="es-ES_tradnl"/>
        </w:rPr>
        <w:t>Econ</w:t>
      </w:r>
      <w:r>
        <w:rPr>
          <w:rFonts w:cs="Times New Roman"/>
          <w:spacing w:val="-6"/>
          <w:sz w:val="16"/>
          <w:szCs w:val="16"/>
          <w:lang w:val="es-ES_tradnl"/>
        </w:rPr>
        <w:t>ó</w:t>
      </w:r>
      <w:r>
        <w:rPr>
          <w:spacing w:val="-6"/>
          <w:sz w:val="16"/>
          <w:szCs w:val="16"/>
          <w:lang w:val="es-ES_tradnl"/>
        </w:rPr>
        <w:t>micas;</w:t>
      </w:r>
    </w:p>
    <w:p w14:paraId="4F67A6D7" w14:textId="77777777" w:rsidR="00591D54" w:rsidRDefault="00591D54" w:rsidP="00251195">
      <w:pPr>
        <w:numPr>
          <w:ilvl w:val="0"/>
          <w:numId w:val="31"/>
        </w:numPr>
        <w:shd w:val="clear" w:color="auto" w:fill="FFFFFF"/>
        <w:tabs>
          <w:tab w:val="left" w:pos="437"/>
        </w:tabs>
        <w:spacing w:line="226" w:lineRule="exact"/>
        <w:ind w:left="283"/>
        <w:rPr>
          <w:spacing w:val="-8"/>
          <w:sz w:val="16"/>
          <w:szCs w:val="16"/>
          <w:lang w:val="es-ES_tradnl"/>
        </w:rPr>
      </w:pPr>
      <w:r>
        <w:rPr>
          <w:spacing w:val="-6"/>
          <w:sz w:val="16"/>
          <w:szCs w:val="16"/>
          <w:lang w:val="es-ES_tradnl"/>
        </w:rPr>
        <w:t>Salud,</w:t>
      </w:r>
      <w:r>
        <w:rPr>
          <w:spacing w:val="-6"/>
          <w:sz w:val="18"/>
          <w:szCs w:val="18"/>
          <w:lang w:val="es-ES_tradnl"/>
        </w:rPr>
        <w:t xml:space="preserve"> </w:t>
      </w:r>
      <w:r>
        <w:rPr>
          <w:spacing w:val="-6"/>
          <w:sz w:val="16"/>
          <w:szCs w:val="16"/>
          <w:lang w:val="es-ES_tradnl"/>
        </w:rPr>
        <w:t>Ambiente</w:t>
      </w:r>
      <w:r>
        <w:rPr>
          <w:spacing w:val="-6"/>
          <w:sz w:val="18"/>
          <w:szCs w:val="18"/>
          <w:lang w:val="es-ES_tradnl"/>
        </w:rPr>
        <w:t xml:space="preserve"> </w:t>
      </w:r>
      <w:r>
        <w:rPr>
          <w:spacing w:val="-6"/>
          <w:sz w:val="16"/>
          <w:szCs w:val="16"/>
          <w:lang w:val="es-ES_tradnl"/>
        </w:rPr>
        <w:t>y</w:t>
      </w:r>
      <w:r>
        <w:rPr>
          <w:spacing w:val="-6"/>
          <w:sz w:val="18"/>
          <w:szCs w:val="18"/>
          <w:lang w:val="es-ES_tradnl"/>
        </w:rPr>
        <w:t xml:space="preserve"> </w:t>
      </w:r>
      <w:r>
        <w:rPr>
          <w:spacing w:val="-6"/>
          <w:sz w:val="16"/>
          <w:szCs w:val="16"/>
          <w:lang w:val="es-ES_tradnl"/>
        </w:rPr>
        <w:t>Recreaci</w:t>
      </w:r>
      <w:r>
        <w:rPr>
          <w:rFonts w:cs="Times New Roman"/>
          <w:spacing w:val="-6"/>
          <w:sz w:val="16"/>
          <w:szCs w:val="16"/>
          <w:lang w:val="es-ES_tradnl"/>
        </w:rPr>
        <w:t>ó</w:t>
      </w:r>
      <w:r>
        <w:rPr>
          <w:spacing w:val="-6"/>
          <w:sz w:val="16"/>
          <w:szCs w:val="16"/>
          <w:lang w:val="es-ES_tradnl"/>
        </w:rPr>
        <w:t>n;</w:t>
      </w:r>
    </w:p>
    <w:p w14:paraId="4F67A6D8" w14:textId="77777777" w:rsidR="00591D54" w:rsidRDefault="00591D54" w:rsidP="00251195">
      <w:pPr>
        <w:numPr>
          <w:ilvl w:val="0"/>
          <w:numId w:val="31"/>
        </w:numPr>
        <w:shd w:val="clear" w:color="auto" w:fill="FFFFFF"/>
        <w:tabs>
          <w:tab w:val="left" w:pos="437"/>
        </w:tabs>
        <w:spacing w:line="226" w:lineRule="exact"/>
        <w:ind w:left="283"/>
        <w:rPr>
          <w:spacing w:val="-8"/>
          <w:sz w:val="16"/>
          <w:szCs w:val="16"/>
          <w:lang w:val="es-ES_tradnl"/>
        </w:rPr>
      </w:pPr>
      <w:r>
        <w:rPr>
          <w:spacing w:val="-6"/>
          <w:sz w:val="16"/>
          <w:szCs w:val="16"/>
          <w:lang w:val="es-ES_tradnl"/>
        </w:rPr>
        <w:t>Educaci</w:t>
      </w:r>
      <w:r>
        <w:rPr>
          <w:rFonts w:cs="Times New Roman"/>
          <w:spacing w:val="-6"/>
          <w:sz w:val="16"/>
          <w:szCs w:val="16"/>
          <w:lang w:val="es-ES_tradnl"/>
        </w:rPr>
        <w:t>ó</w:t>
      </w:r>
      <w:r>
        <w:rPr>
          <w:spacing w:val="-6"/>
          <w:sz w:val="16"/>
          <w:szCs w:val="16"/>
          <w:lang w:val="es-ES_tradnl"/>
        </w:rPr>
        <w:t>n,</w:t>
      </w:r>
      <w:r>
        <w:rPr>
          <w:spacing w:val="-6"/>
          <w:sz w:val="18"/>
          <w:szCs w:val="18"/>
          <w:lang w:val="es-ES_tradnl"/>
        </w:rPr>
        <w:t xml:space="preserve"> </w:t>
      </w:r>
      <w:r>
        <w:rPr>
          <w:spacing w:val="-6"/>
          <w:sz w:val="16"/>
          <w:szCs w:val="16"/>
          <w:lang w:val="es-ES_tradnl"/>
        </w:rPr>
        <w:t>Cultura</w:t>
      </w:r>
      <w:r>
        <w:rPr>
          <w:spacing w:val="-6"/>
          <w:sz w:val="18"/>
          <w:szCs w:val="18"/>
          <w:lang w:val="es-ES_tradnl"/>
        </w:rPr>
        <w:t xml:space="preserve"> </w:t>
      </w:r>
      <w:r>
        <w:rPr>
          <w:spacing w:val="-6"/>
          <w:sz w:val="16"/>
          <w:szCs w:val="16"/>
          <w:lang w:val="es-ES_tradnl"/>
        </w:rPr>
        <w:t>e</w:t>
      </w:r>
      <w:r>
        <w:rPr>
          <w:spacing w:val="-6"/>
          <w:sz w:val="18"/>
          <w:szCs w:val="18"/>
          <w:lang w:val="es-ES_tradnl"/>
        </w:rPr>
        <w:t xml:space="preserve"> </w:t>
      </w:r>
      <w:r>
        <w:rPr>
          <w:spacing w:val="-6"/>
          <w:sz w:val="16"/>
          <w:szCs w:val="16"/>
          <w:lang w:val="es-ES_tradnl"/>
        </w:rPr>
        <w:t>Identidad;</w:t>
      </w:r>
    </w:p>
    <w:p w14:paraId="4F67A6D9" w14:textId="77777777" w:rsidR="00591D54" w:rsidRDefault="00591D54" w:rsidP="00251195">
      <w:pPr>
        <w:numPr>
          <w:ilvl w:val="0"/>
          <w:numId w:val="31"/>
        </w:numPr>
        <w:shd w:val="clear" w:color="auto" w:fill="FFFFFF"/>
        <w:tabs>
          <w:tab w:val="left" w:pos="437"/>
        </w:tabs>
        <w:spacing w:line="226" w:lineRule="exact"/>
        <w:ind w:left="283"/>
        <w:rPr>
          <w:spacing w:val="-8"/>
          <w:sz w:val="16"/>
          <w:szCs w:val="16"/>
          <w:lang w:val="es-ES_tradnl"/>
        </w:rPr>
      </w:pPr>
      <w:r>
        <w:rPr>
          <w:spacing w:val="-6"/>
          <w:sz w:val="16"/>
          <w:szCs w:val="16"/>
          <w:lang w:val="es-ES_tradnl"/>
        </w:rPr>
        <w:t>Gesti</w:t>
      </w:r>
      <w:r>
        <w:rPr>
          <w:rFonts w:cs="Times New Roman"/>
          <w:spacing w:val="-6"/>
          <w:sz w:val="16"/>
          <w:szCs w:val="16"/>
          <w:lang w:val="es-ES_tradnl"/>
        </w:rPr>
        <w:t>ó</w:t>
      </w:r>
      <w:r>
        <w:rPr>
          <w:spacing w:val="-6"/>
          <w:sz w:val="16"/>
          <w:szCs w:val="16"/>
          <w:lang w:val="es-ES_tradnl"/>
        </w:rPr>
        <w:t>n,</w:t>
      </w:r>
      <w:r>
        <w:rPr>
          <w:spacing w:val="-6"/>
          <w:sz w:val="18"/>
          <w:szCs w:val="18"/>
          <w:lang w:val="es-ES_tradnl"/>
        </w:rPr>
        <w:t xml:space="preserve"> </w:t>
      </w:r>
      <w:r>
        <w:rPr>
          <w:spacing w:val="-6"/>
          <w:sz w:val="16"/>
          <w:szCs w:val="16"/>
          <w:lang w:val="es-ES_tradnl"/>
        </w:rPr>
        <w:t>Participaci</w:t>
      </w:r>
      <w:r>
        <w:rPr>
          <w:rFonts w:cs="Times New Roman"/>
          <w:spacing w:val="-6"/>
          <w:sz w:val="16"/>
          <w:szCs w:val="16"/>
          <w:lang w:val="es-ES_tradnl"/>
        </w:rPr>
        <w:t>ó</w:t>
      </w:r>
      <w:r>
        <w:rPr>
          <w:spacing w:val="-6"/>
          <w:sz w:val="16"/>
          <w:szCs w:val="16"/>
          <w:lang w:val="es-ES_tradnl"/>
        </w:rPr>
        <w:t>n</w:t>
      </w:r>
      <w:r>
        <w:rPr>
          <w:spacing w:val="-6"/>
          <w:sz w:val="18"/>
          <w:szCs w:val="18"/>
          <w:lang w:val="es-ES_tradnl"/>
        </w:rPr>
        <w:t xml:space="preserve"> </w:t>
      </w:r>
      <w:r>
        <w:rPr>
          <w:spacing w:val="-6"/>
          <w:sz w:val="16"/>
          <w:szCs w:val="16"/>
          <w:lang w:val="es-ES_tradnl"/>
        </w:rPr>
        <w:t>y</w:t>
      </w:r>
      <w:r>
        <w:rPr>
          <w:spacing w:val="-6"/>
          <w:sz w:val="18"/>
          <w:szCs w:val="18"/>
          <w:lang w:val="es-ES_tradnl"/>
        </w:rPr>
        <w:t xml:space="preserve"> </w:t>
      </w:r>
      <w:r>
        <w:rPr>
          <w:spacing w:val="-6"/>
          <w:sz w:val="16"/>
          <w:szCs w:val="16"/>
          <w:lang w:val="es-ES_tradnl"/>
        </w:rPr>
        <w:t>Seguridad.</w:t>
      </w:r>
    </w:p>
    <w:p w14:paraId="4F67A6DA" w14:textId="77777777" w:rsidR="00591D54" w:rsidRDefault="00591D54">
      <w:pPr>
        <w:shd w:val="clear" w:color="auto" w:fill="FFFFFF"/>
        <w:spacing w:before="206" w:line="226" w:lineRule="exact"/>
        <w:ind w:left="283" w:right="10"/>
        <w:jc w:val="both"/>
      </w:pPr>
      <w:r>
        <w:rPr>
          <w:spacing w:val="-4"/>
          <w:sz w:val="16"/>
          <w:szCs w:val="16"/>
          <w:lang w:val="es-ES_tradnl"/>
        </w:rPr>
        <w:t>El seguimiento de la ejecuci</w:t>
      </w:r>
      <w:r>
        <w:rPr>
          <w:rFonts w:cs="Times New Roman"/>
          <w:spacing w:val="-4"/>
          <w:sz w:val="16"/>
          <w:szCs w:val="16"/>
          <w:lang w:val="es-ES_tradnl"/>
        </w:rPr>
        <w:t>ó</w:t>
      </w:r>
      <w:r>
        <w:rPr>
          <w:spacing w:val="-4"/>
          <w:sz w:val="16"/>
          <w:szCs w:val="16"/>
          <w:lang w:val="es-ES_tradnl"/>
        </w:rPr>
        <w:t>n presupuestaria realizar</w:t>
      </w:r>
      <w:r>
        <w:rPr>
          <w:rFonts w:cs="Times New Roman"/>
          <w:spacing w:val="-4"/>
          <w:sz w:val="16"/>
          <w:szCs w:val="16"/>
          <w:lang w:val="es-ES_tradnl"/>
        </w:rPr>
        <w:t xml:space="preserve">á </w:t>
      </w:r>
      <w:r>
        <w:rPr>
          <w:spacing w:val="-2"/>
          <w:sz w:val="16"/>
          <w:szCs w:val="16"/>
          <w:lang w:val="es-ES_tradnl"/>
        </w:rPr>
        <w:t>la Asamblea Cantonal de Gesti</w:t>
      </w:r>
      <w:r>
        <w:rPr>
          <w:rFonts w:cs="Times New Roman"/>
          <w:spacing w:val="-2"/>
          <w:sz w:val="16"/>
          <w:szCs w:val="16"/>
          <w:lang w:val="es-ES_tradnl"/>
        </w:rPr>
        <w:t>ó</w:t>
      </w:r>
      <w:r>
        <w:rPr>
          <w:spacing w:val="-2"/>
          <w:sz w:val="16"/>
          <w:szCs w:val="16"/>
          <w:lang w:val="es-ES_tradnl"/>
        </w:rPr>
        <w:t>n y Participaci</w:t>
      </w:r>
      <w:r>
        <w:rPr>
          <w:rFonts w:cs="Times New Roman"/>
          <w:spacing w:val="-2"/>
          <w:sz w:val="16"/>
          <w:szCs w:val="16"/>
          <w:lang w:val="es-ES_tradnl"/>
        </w:rPr>
        <w:t>ó</w:t>
      </w:r>
      <w:r>
        <w:rPr>
          <w:spacing w:val="-2"/>
          <w:sz w:val="16"/>
          <w:szCs w:val="16"/>
          <w:lang w:val="es-ES_tradnl"/>
        </w:rPr>
        <w:t xml:space="preserve">n </w:t>
      </w:r>
      <w:r>
        <w:rPr>
          <w:spacing w:val="-7"/>
          <w:sz w:val="16"/>
          <w:szCs w:val="16"/>
          <w:lang w:val="es-ES_tradnl"/>
        </w:rPr>
        <w:t>Ciudadana de Rumi</w:t>
      </w:r>
      <w:r>
        <w:rPr>
          <w:rFonts w:cs="Times New Roman"/>
          <w:spacing w:val="-7"/>
          <w:sz w:val="16"/>
          <w:szCs w:val="16"/>
          <w:lang w:val="es-ES_tradnl"/>
        </w:rPr>
        <w:t>ñ</w:t>
      </w:r>
      <w:r>
        <w:rPr>
          <w:spacing w:val="-7"/>
          <w:sz w:val="16"/>
          <w:szCs w:val="16"/>
          <w:lang w:val="es-ES_tradnl"/>
        </w:rPr>
        <w:t>ahui a trav</w:t>
      </w:r>
      <w:r>
        <w:rPr>
          <w:rFonts w:cs="Times New Roman"/>
          <w:spacing w:val="-7"/>
          <w:sz w:val="16"/>
          <w:szCs w:val="16"/>
          <w:lang w:val="es-ES_tradnl"/>
        </w:rPr>
        <w:t>é</w:t>
      </w:r>
      <w:r>
        <w:rPr>
          <w:spacing w:val="-7"/>
          <w:sz w:val="16"/>
          <w:szCs w:val="16"/>
          <w:lang w:val="es-ES_tradnl"/>
        </w:rPr>
        <w:t>s del Comit</w:t>
      </w:r>
      <w:r>
        <w:rPr>
          <w:rFonts w:cs="Times New Roman"/>
          <w:spacing w:val="-7"/>
          <w:sz w:val="16"/>
          <w:szCs w:val="16"/>
          <w:lang w:val="es-ES_tradnl"/>
        </w:rPr>
        <w:t>é</w:t>
      </w:r>
      <w:r>
        <w:rPr>
          <w:spacing w:val="-7"/>
          <w:sz w:val="16"/>
          <w:szCs w:val="16"/>
          <w:lang w:val="es-ES_tradnl"/>
        </w:rPr>
        <w:t xml:space="preserve"> de Gesti</w:t>
      </w:r>
      <w:r>
        <w:rPr>
          <w:rFonts w:cs="Times New Roman"/>
          <w:spacing w:val="-7"/>
          <w:sz w:val="16"/>
          <w:szCs w:val="16"/>
          <w:lang w:val="es-ES_tradnl"/>
        </w:rPr>
        <w:t>ó</w:t>
      </w:r>
      <w:r>
        <w:rPr>
          <w:spacing w:val="-7"/>
          <w:sz w:val="16"/>
          <w:szCs w:val="16"/>
          <w:lang w:val="es-ES_tradnl"/>
        </w:rPr>
        <w:t xml:space="preserve">n </w:t>
      </w:r>
      <w:r>
        <w:rPr>
          <w:spacing w:val="-4"/>
          <w:sz w:val="16"/>
          <w:szCs w:val="16"/>
          <w:lang w:val="es-ES_tradnl"/>
        </w:rPr>
        <w:t>y Participaci</w:t>
      </w:r>
      <w:r>
        <w:rPr>
          <w:rFonts w:cs="Times New Roman"/>
          <w:spacing w:val="-4"/>
          <w:sz w:val="16"/>
          <w:szCs w:val="16"/>
          <w:lang w:val="es-ES_tradnl"/>
        </w:rPr>
        <w:t>ó</w:t>
      </w:r>
      <w:r>
        <w:rPr>
          <w:spacing w:val="-4"/>
          <w:sz w:val="16"/>
          <w:szCs w:val="16"/>
          <w:lang w:val="es-ES_tradnl"/>
        </w:rPr>
        <w:t xml:space="preserve">n Ciudadana durante todo el ejercicio del </w:t>
      </w:r>
      <w:r>
        <w:rPr>
          <w:sz w:val="16"/>
          <w:szCs w:val="16"/>
          <w:lang w:val="es-ES_tradnl"/>
        </w:rPr>
        <w:t>a</w:t>
      </w:r>
      <w:r>
        <w:rPr>
          <w:rFonts w:cs="Times New Roman"/>
          <w:sz w:val="16"/>
          <w:szCs w:val="16"/>
          <w:lang w:val="es-ES_tradnl"/>
        </w:rPr>
        <w:t>ñ</w:t>
      </w:r>
      <w:r>
        <w:rPr>
          <w:sz w:val="16"/>
          <w:szCs w:val="16"/>
          <w:lang w:val="es-ES_tradnl"/>
        </w:rPr>
        <w:t>o fiscal.</w:t>
      </w:r>
    </w:p>
    <w:p w14:paraId="4F67A6DB" w14:textId="77777777" w:rsidR="00591D54" w:rsidRDefault="00591D54">
      <w:pPr>
        <w:shd w:val="clear" w:color="auto" w:fill="FFFFFF"/>
        <w:spacing w:before="206" w:line="226" w:lineRule="exact"/>
        <w:ind w:left="283" w:right="10"/>
        <w:jc w:val="both"/>
      </w:pPr>
      <w:r>
        <w:rPr>
          <w:spacing w:val="-5"/>
          <w:sz w:val="16"/>
          <w:szCs w:val="16"/>
          <w:lang w:val="es-ES_tradnl"/>
        </w:rPr>
        <w:t>La asignaci</w:t>
      </w:r>
      <w:r>
        <w:rPr>
          <w:rFonts w:cs="Times New Roman"/>
          <w:spacing w:val="-5"/>
          <w:sz w:val="16"/>
          <w:szCs w:val="16"/>
          <w:lang w:val="es-ES_tradnl"/>
        </w:rPr>
        <w:t>ó</w:t>
      </w:r>
      <w:r>
        <w:rPr>
          <w:spacing w:val="-5"/>
          <w:sz w:val="16"/>
          <w:szCs w:val="16"/>
          <w:lang w:val="es-ES_tradnl"/>
        </w:rPr>
        <w:t>n de los recursos las realizar</w:t>
      </w:r>
      <w:r>
        <w:rPr>
          <w:rFonts w:cs="Times New Roman"/>
          <w:spacing w:val="-5"/>
          <w:sz w:val="16"/>
          <w:szCs w:val="16"/>
          <w:lang w:val="es-ES_tradnl"/>
        </w:rPr>
        <w:t>á</w:t>
      </w:r>
      <w:r>
        <w:rPr>
          <w:spacing w:val="-5"/>
          <w:sz w:val="16"/>
          <w:szCs w:val="16"/>
          <w:lang w:val="es-ES_tradnl"/>
        </w:rPr>
        <w:t xml:space="preserve"> el Ejecutivo, </w:t>
      </w:r>
      <w:r>
        <w:rPr>
          <w:spacing w:val="-6"/>
          <w:sz w:val="16"/>
          <w:szCs w:val="16"/>
          <w:lang w:val="es-ES_tradnl"/>
        </w:rPr>
        <w:t xml:space="preserve">conforme a las prioridades de los planes de desarrollo </w:t>
      </w:r>
      <w:r>
        <w:rPr>
          <w:spacing w:val="-5"/>
          <w:sz w:val="16"/>
          <w:szCs w:val="16"/>
          <w:lang w:val="es-ES_tradnl"/>
        </w:rPr>
        <w:t xml:space="preserve">municipal y las resoluciones aprobadas en la Asamblea </w:t>
      </w:r>
      <w:r>
        <w:rPr>
          <w:spacing w:val="-6"/>
          <w:sz w:val="16"/>
          <w:szCs w:val="16"/>
          <w:lang w:val="es-ES_tradnl"/>
        </w:rPr>
        <w:t>de Presupuestaci</w:t>
      </w:r>
      <w:r>
        <w:rPr>
          <w:rFonts w:cs="Times New Roman"/>
          <w:spacing w:val="-6"/>
          <w:sz w:val="16"/>
          <w:szCs w:val="16"/>
          <w:lang w:val="es-ES_tradnl"/>
        </w:rPr>
        <w:t>ó</w:t>
      </w:r>
      <w:r>
        <w:rPr>
          <w:spacing w:val="-6"/>
          <w:sz w:val="16"/>
          <w:szCs w:val="16"/>
          <w:lang w:val="es-ES_tradnl"/>
        </w:rPr>
        <w:t>n Participativa, propiciando la equidad territorial bas</w:t>
      </w:r>
      <w:r>
        <w:rPr>
          <w:rFonts w:cs="Times New Roman"/>
          <w:spacing w:val="-6"/>
          <w:sz w:val="16"/>
          <w:szCs w:val="16"/>
          <w:lang w:val="es-ES_tradnl"/>
        </w:rPr>
        <w:t>á</w:t>
      </w:r>
      <w:r>
        <w:rPr>
          <w:spacing w:val="-6"/>
          <w:sz w:val="16"/>
          <w:szCs w:val="16"/>
          <w:lang w:val="es-ES_tradnl"/>
        </w:rPr>
        <w:t>ndose en la disponibilidad financiera.</w:t>
      </w:r>
    </w:p>
    <w:p w14:paraId="4F67A6DC" w14:textId="77777777" w:rsidR="00591D54" w:rsidRDefault="00591D54">
      <w:pPr>
        <w:shd w:val="clear" w:color="auto" w:fill="FFFFFF"/>
        <w:tabs>
          <w:tab w:val="left" w:pos="283"/>
        </w:tabs>
        <w:spacing w:before="216" w:line="221" w:lineRule="exact"/>
        <w:ind w:left="283" w:right="10" w:hanging="283"/>
        <w:jc w:val="both"/>
      </w:pPr>
      <w:r>
        <w:rPr>
          <w:spacing w:val="-7"/>
          <w:sz w:val="16"/>
          <w:szCs w:val="16"/>
          <w:lang w:val="es-ES_tradnl"/>
        </w:rPr>
        <w:t>6)</w:t>
      </w:r>
      <w:r>
        <w:rPr>
          <w:sz w:val="18"/>
          <w:szCs w:val="18"/>
          <w:lang w:val="es-ES_tradnl"/>
        </w:rPr>
        <w:tab/>
      </w:r>
      <w:r>
        <w:rPr>
          <w:b/>
          <w:bCs/>
          <w:sz w:val="16"/>
          <w:szCs w:val="16"/>
          <w:lang w:val="es-ES_tradnl"/>
        </w:rPr>
        <w:t>Art.</w:t>
      </w:r>
      <w:r>
        <w:rPr>
          <w:b/>
          <w:bCs/>
          <w:sz w:val="18"/>
          <w:szCs w:val="18"/>
          <w:lang w:val="es-ES_tradnl"/>
        </w:rPr>
        <w:t xml:space="preserve"> </w:t>
      </w:r>
      <w:r>
        <w:rPr>
          <w:b/>
          <w:bCs/>
          <w:sz w:val="16"/>
          <w:szCs w:val="16"/>
          <w:lang w:val="es-ES_tradnl"/>
        </w:rPr>
        <w:t>15.-</w:t>
      </w:r>
      <w:r>
        <w:rPr>
          <w:b/>
          <w:bCs/>
          <w:sz w:val="18"/>
          <w:szCs w:val="18"/>
          <w:lang w:val="es-ES_tradnl"/>
        </w:rPr>
        <w:t xml:space="preserve"> </w:t>
      </w:r>
      <w:r>
        <w:rPr>
          <w:b/>
          <w:bCs/>
          <w:sz w:val="16"/>
          <w:szCs w:val="16"/>
          <w:lang w:val="es-ES_tradnl"/>
        </w:rPr>
        <w:t>OBLIGATORIEDAD</w:t>
      </w:r>
      <w:r>
        <w:rPr>
          <w:b/>
          <w:bCs/>
          <w:sz w:val="18"/>
          <w:szCs w:val="18"/>
          <w:lang w:val="es-ES_tradnl"/>
        </w:rPr>
        <w:t xml:space="preserve"> </w:t>
      </w:r>
      <w:r>
        <w:rPr>
          <w:b/>
          <w:bCs/>
          <w:sz w:val="16"/>
          <w:szCs w:val="16"/>
          <w:lang w:val="es-ES_tradnl"/>
        </w:rPr>
        <w:t>DEL</w:t>
      </w:r>
      <w:r>
        <w:rPr>
          <w:b/>
          <w:bCs/>
          <w:sz w:val="18"/>
          <w:szCs w:val="18"/>
          <w:lang w:val="es-ES_tradnl"/>
        </w:rPr>
        <w:t xml:space="preserve"> </w:t>
      </w:r>
      <w:r>
        <w:rPr>
          <w:b/>
          <w:bCs/>
          <w:sz w:val="16"/>
          <w:szCs w:val="16"/>
          <w:lang w:val="es-ES_tradnl"/>
        </w:rPr>
        <w:t xml:space="preserve">PRESUPUESTO PARTICIPATIVO.- </w:t>
      </w:r>
      <w:r>
        <w:rPr>
          <w:sz w:val="16"/>
          <w:szCs w:val="16"/>
          <w:lang w:val="es-ES_tradnl"/>
        </w:rPr>
        <w:t>Es deber del Ejecutivo del </w:t>
      </w:r>
      <w:r>
        <w:rPr>
          <w:spacing w:val="-4"/>
          <w:sz w:val="16"/>
          <w:szCs w:val="16"/>
          <w:lang w:val="es-ES_tradnl"/>
        </w:rPr>
        <w:t>Gobierno Aut</w:t>
      </w:r>
      <w:r>
        <w:rPr>
          <w:rFonts w:cs="Times New Roman"/>
          <w:spacing w:val="-4"/>
          <w:sz w:val="16"/>
          <w:szCs w:val="16"/>
          <w:lang w:val="es-ES_tradnl"/>
        </w:rPr>
        <w:t>ó</w:t>
      </w:r>
      <w:r>
        <w:rPr>
          <w:spacing w:val="-4"/>
          <w:sz w:val="16"/>
          <w:szCs w:val="16"/>
          <w:lang w:val="es-ES_tradnl"/>
        </w:rPr>
        <w:t>nomo Descentralizado Municipal de Rumi</w:t>
      </w:r>
      <w:r>
        <w:rPr>
          <w:rFonts w:cs="Times New Roman"/>
          <w:spacing w:val="-4"/>
          <w:sz w:val="16"/>
          <w:szCs w:val="16"/>
          <w:lang w:val="es-ES_tradnl"/>
        </w:rPr>
        <w:t>ñ</w:t>
      </w:r>
      <w:r>
        <w:rPr>
          <w:spacing w:val="-4"/>
          <w:sz w:val="16"/>
          <w:szCs w:val="16"/>
          <w:lang w:val="es-ES_tradnl"/>
        </w:rPr>
        <w:t>ahui formular el presupuesto participativo anual. </w:t>
      </w:r>
      <w:r>
        <w:rPr>
          <w:spacing w:val="-6"/>
          <w:sz w:val="16"/>
          <w:szCs w:val="16"/>
          <w:lang w:val="es-ES_tradnl"/>
        </w:rPr>
        <w:t>El anteproyecto de presupuesto ser</w:t>
      </w:r>
      <w:r>
        <w:rPr>
          <w:rFonts w:cs="Times New Roman"/>
          <w:spacing w:val="-6"/>
          <w:sz w:val="16"/>
          <w:szCs w:val="16"/>
          <w:lang w:val="es-ES_tradnl"/>
        </w:rPr>
        <w:t>á</w:t>
      </w:r>
      <w:r>
        <w:rPr>
          <w:spacing w:val="-6"/>
          <w:sz w:val="16"/>
          <w:szCs w:val="16"/>
          <w:lang w:val="es-ES_tradnl"/>
        </w:rPr>
        <w:t xml:space="preserve"> conocido por la </w:t>
      </w:r>
      <w:r>
        <w:rPr>
          <w:spacing w:val="-8"/>
          <w:sz w:val="16"/>
          <w:szCs w:val="16"/>
          <w:lang w:val="es-ES_tradnl"/>
        </w:rPr>
        <w:t>Asamblea Cantonal de Gesti</w:t>
      </w:r>
      <w:r>
        <w:rPr>
          <w:rFonts w:cs="Times New Roman"/>
          <w:spacing w:val="-8"/>
          <w:sz w:val="16"/>
          <w:szCs w:val="16"/>
          <w:lang w:val="es-ES_tradnl"/>
        </w:rPr>
        <w:t>ó</w:t>
      </w:r>
      <w:r>
        <w:rPr>
          <w:spacing w:val="-8"/>
          <w:sz w:val="16"/>
          <w:szCs w:val="16"/>
          <w:lang w:val="es-ES_tradnl"/>
        </w:rPr>
        <w:t>n y Participaci</w:t>
      </w:r>
      <w:r>
        <w:rPr>
          <w:rFonts w:cs="Times New Roman"/>
          <w:spacing w:val="-8"/>
          <w:sz w:val="16"/>
          <w:szCs w:val="16"/>
          <w:lang w:val="es-ES_tradnl"/>
        </w:rPr>
        <w:t>ó</w:t>
      </w:r>
      <w:r>
        <w:rPr>
          <w:spacing w:val="-8"/>
          <w:sz w:val="16"/>
          <w:szCs w:val="16"/>
          <w:lang w:val="es-ES_tradnl"/>
        </w:rPr>
        <w:t>n Ciudadana </w:t>
      </w:r>
      <w:r>
        <w:rPr>
          <w:spacing w:val="-6"/>
          <w:sz w:val="16"/>
          <w:szCs w:val="16"/>
          <w:lang w:val="es-ES_tradnl"/>
        </w:rPr>
        <w:t>de Rumi</w:t>
      </w:r>
      <w:r>
        <w:rPr>
          <w:rFonts w:cs="Times New Roman"/>
          <w:spacing w:val="-6"/>
          <w:sz w:val="16"/>
          <w:szCs w:val="16"/>
          <w:lang w:val="es-ES_tradnl"/>
        </w:rPr>
        <w:t>ñ</w:t>
      </w:r>
      <w:r>
        <w:rPr>
          <w:spacing w:val="-6"/>
          <w:sz w:val="16"/>
          <w:szCs w:val="16"/>
          <w:lang w:val="es-ES_tradnl"/>
        </w:rPr>
        <w:t>ahui hasta el 20 de octubre, para que emita </w:t>
      </w:r>
      <w:r>
        <w:rPr>
          <w:spacing w:val="-5"/>
          <w:sz w:val="16"/>
          <w:szCs w:val="16"/>
          <w:lang w:val="es-ES_tradnl"/>
        </w:rPr>
        <w:t>mediante resoluci</w:t>
      </w:r>
      <w:r>
        <w:rPr>
          <w:rFonts w:cs="Times New Roman"/>
          <w:spacing w:val="-5"/>
          <w:sz w:val="16"/>
          <w:szCs w:val="16"/>
          <w:lang w:val="es-ES_tradnl"/>
        </w:rPr>
        <w:t>ó</w:t>
      </w:r>
      <w:r>
        <w:rPr>
          <w:spacing w:val="-5"/>
          <w:sz w:val="16"/>
          <w:szCs w:val="16"/>
          <w:lang w:val="es-ES_tradnl"/>
        </w:rPr>
        <w:t>n su conformidad con las prioridades </w:t>
      </w:r>
      <w:r>
        <w:rPr>
          <w:spacing w:val="-3"/>
          <w:sz w:val="16"/>
          <w:szCs w:val="16"/>
          <w:lang w:val="es-ES_tradnl"/>
        </w:rPr>
        <w:t>de inversi</w:t>
      </w:r>
      <w:r>
        <w:rPr>
          <w:rFonts w:cs="Times New Roman"/>
          <w:spacing w:val="-3"/>
          <w:sz w:val="16"/>
          <w:szCs w:val="16"/>
          <w:lang w:val="es-ES_tradnl"/>
        </w:rPr>
        <w:t>ó</w:t>
      </w:r>
      <w:r>
        <w:rPr>
          <w:spacing w:val="-3"/>
          <w:sz w:val="16"/>
          <w:szCs w:val="16"/>
          <w:lang w:val="es-ES_tradnl"/>
        </w:rPr>
        <w:t>n definidas en dicho instrumento. Esta </w:t>
      </w:r>
      <w:r>
        <w:rPr>
          <w:spacing w:val="-9"/>
          <w:sz w:val="16"/>
          <w:szCs w:val="16"/>
          <w:lang w:val="es-ES_tradnl"/>
        </w:rPr>
        <w:t>resoluci</w:t>
      </w:r>
      <w:r>
        <w:rPr>
          <w:rFonts w:cs="Times New Roman"/>
          <w:spacing w:val="-9"/>
          <w:sz w:val="16"/>
          <w:szCs w:val="16"/>
          <w:lang w:val="es-ES_tradnl"/>
        </w:rPr>
        <w:t>ó</w:t>
      </w:r>
      <w:r>
        <w:rPr>
          <w:spacing w:val="-9"/>
          <w:sz w:val="16"/>
          <w:szCs w:val="16"/>
          <w:lang w:val="es-ES_tradnl"/>
        </w:rPr>
        <w:t>n se adjuntar</w:t>
      </w:r>
      <w:r>
        <w:rPr>
          <w:rFonts w:cs="Times New Roman"/>
          <w:spacing w:val="-9"/>
          <w:sz w:val="16"/>
          <w:szCs w:val="16"/>
          <w:lang w:val="es-ES_tradnl"/>
        </w:rPr>
        <w:t>á</w:t>
      </w:r>
      <w:r>
        <w:rPr>
          <w:spacing w:val="-9"/>
          <w:sz w:val="16"/>
          <w:szCs w:val="16"/>
          <w:lang w:val="es-ES_tradnl"/>
        </w:rPr>
        <w:t xml:space="preserve"> a la documentaci</w:t>
      </w:r>
      <w:r>
        <w:rPr>
          <w:rFonts w:cs="Times New Roman"/>
          <w:spacing w:val="-9"/>
          <w:sz w:val="16"/>
          <w:szCs w:val="16"/>
          <w:lang w:val="es-ES_tradnl"/>
        </w:rPr>
        <w:t>ó</w:t>
      </w:r>
      <w:r>
        <w:rPr>
          <w:spacing w:val="-9"/>
          <w:sz w:val="16"/>
          <w:szCs w:val="16"/>
          <w:lang w:val="es-ES_tradnl"/>
        </w:rPr>
        <w:t>n que se remitir</w:t>
      </w:r>
      <w:r>
        <w:rPr>
          <w:rFonts w:cs="Times New Roman"/>
          <w:spacing w:val="-9"/>
          <w:sz w:val="16"/>
          <w:szCs w:val="16"/>
          <w:lang w:val="es-ES_tradnl"/>
        </w:rPr>
        <w:t>á </w:t>
      </w:r>
      <w:r>
        <w:rPr>
          <w:sz w:val="16"/>
          <w:szCs w:val="16"/>
          <w:lang w:val="es-ES_tradnl"/>
        </w:rPr>
        <w:t>conjuntamente con el anteproyecto de presupuesto </w:t>
      </w:r>
      <w:r>
        <w:rPr>
          <w:spacing w:val="-5"/>
          <w:sz w:val="16"/>
          <w:szCs w:val="16"/>
          <w:lang w:val="es-ES_tradnl"/>
        </w:rPr>
        <w:t>al Concejo del Gobierno Aut</w:t>
      </w:r>
      <w:r>
        <w:rPr>
          <w:rFonts w:cs="Times New Roman"/>
          <w:spacing w:val="-5"/>
          <w:sz w:val="16"/>
          <w:szCs w:val="16"/>
          <w:lang w:val="es-ES_tradnl"/>
        </w:rPr>
        <w:t>ó</w:t>
      </w:r>
      <w:r>
        <w:rPr>
          <w:spacing w:val="-5"/>
          <w:sz w:val="16"/>
          <w:szCs w:val="16"/>
          <w:lang w:val="es-ES_tradnl"/>
        </w:rPr>
        <w:t>nomo Descentralizado </w:t>
      </w:r>
      <w:r>
        <w:rPr>
          <w:sz w:val="16"/>
          <w:szCs w:val="16"/>
          <w:lang w:val="es-ES_tradnl"/>
        </w:rPr>
        <w:t>Municipal de Rumi</w:t>
      </w:r>
      <w:r>
        <w:rPr>
          <w:rFonts w:cs="Times New Roman"/>
          <w:sz w:val="16"/>
          <w:szCs w:val="16"/>
          <w:lang w:val="es-ES_tradnl"/>
        </w:rPr>
        <w:t>ñ</w:t>
      </w:r>
      <w:r>
        <w:rPr>
          <w:sz w:val="16"/>
          <w:szCs w:val="16"/>
          <w:lang w:val="es-ES_tradnl"/>
        </w:rPr>
        <w:t>ahui.</w:t>
      </w:r>
    </w:p>
    <w:p w14:paraId="4F67A6DD" w14:textId="77777777" w:rsidR="00591D54" w:rsidRDefault="00591D54">
      <w:pPr>
        <w:shd w:val="clear" w:color="auto" w:fill="FFFFFF"/>
        <w:tabs>
          <w:tab w:val="left" w:pos="283"/>
        </w:tabs>
        <w:spacing w:before="216" w:line="221" w:lineRule="exact"/>
        <w:ind w:left="283" w:right="10" w:hanging="283"/>
        <w:jc w:val="both"/>
        <w:sectPr w:rsidR="00591D54" w:rsidSect="00171846">
          <w:type w:val="continuous"/>
          <w:pgSz w:w="11909" w:h="16834"/>
          <w:pgMar w:top="1368" w:right="1299" w:bottom="360" w:left="1308" w:header="720" w:footer="720" w:gutter="0"/>
          <w:cols w:num="2" w:space="720" w:equalWidth="0">
            <w:col w:w="4646" w:space="624"/>
            <w:col w:w="4032"/>
          </w:cols>
          <w:noEndnote/>
        </w:sectPr>
      </w:pPr>
    </w:p>
    <w:p w14:paraId="4F67A6DE" w14:textId="77777777" w:rsidR="00591D54" w:rsidRDefault="00591D54">
      <w:pPr>
        <w:shd w:val="clear" w:color="auto" w:fill="FFFFFF"/>
        <w:tabs>
          <w:tab w:val="left" w:pos="4814"/>
        </w:tabs>
        <w:spacing w:after="230"/>
        <w:ind w:left="5"/>
      </w:pPr>
      <w:r>
        <w:rPr>
          <w:b/>
          <w:bCs/>
          <w:sz w:val="18"/>
          <w:szCs w:val="18"/>
          <w:lang w:val="es-ES_tradnl"/>
        </w:rPr>
        <w:t xml:space="preserve">44 -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6DF" w14:textId="77777777" w:rsidR="00591D54" w:rsidRDefault="00591D54">
      <w:pPr>
        <w:shd w:val="clear" w:color="auto" w:fill="FFFFFF"/>
        <w:tabs>
          <w:tab w:val="left" w:pos="4814"/>
        </w:tabs>
        <w:spacing w:after="230"/>
        <w:ind w:left="5"/>
        <w:sectPr w:rsidR="00591D54">
          <w:pgSz w:w="11909" w:h="16834"/>
          <w:pgMar w:top="1368" w:right="1309" w:bottom="360" w:left="1308" w:header="720" w:footer="720" w:gutter="0"/>
          <w:cols w:space="60"/>
          <w:noEndnote/>
        </w:sectPr>
      </w:pPr>
    </w:p>
    <w:p w14:paraId="4F67A6E0" w14:textId="77777777" w:rsidR="00591D54" w:rsidRDefault="00591D54" w:rsidP="00251195">
      <w:pPr>
        <w:numPr>
          <w:ilvl w:val="0"/>
          <w:numId w:val="32"/>
        </w:numPr>
        <w:shd w:val="clear" w:color="auto" w:fill="FFFFFF"/>
        <w:tabs>
          <w:tab w:val="left" w:pos="566"/>
        </w:tabs>
        <w:spacing w:line="216" w:lineRule="exact"/>
        <w:ind w:left="566" w:hanging="283"/>
        <w:jc w:val="both"/>
        <w:rPr>
          <w:spacing w:val="-7"/>
          <w:sz w:val="16"/>
          <w:szCs w:val="16"/>
          <w:lang w:val="es-ES_tradnl"/>
        </w:rPr>
      </w:pPr>
      <w:r>
        <w:rPr>
          <w:b/>
          <w:bCs/>
          <w:sz w:val="16"/>
          <w:szCs w:val="16"/>
          <w:lang w:val="es-ES_tradnl"/>
        </w:rPr>
        <w:t>Art.</w:t>
      </w:r>
      <w:r>
        <w:rPr>
          <w:b/>
          <w:bCs/>
          <w:sz w:val="18"/>
          <w:szCs w:val="18"/>
          <w:lang w:val="es-ES_tradnl"/>
        </w:rPr>
        <w:t xml:space="preserve"> </w:t>
      </w:r>
      <w:r>
        <w:rPr>
          <w:b/>
          <w:bCs/>
          <w:sz w:val="16"/>
          <w:szCs w:val="16"/>
          <w:lang w:val="es-ES_tradnl"/>
        </w:rPr>
        <w:t>16.-</w:t>
      </w:r>
      <w:r>
        <w:rPr>
          <w:b/>
          <w:bCs/>
          <w:sz w:val="18"/>
          <w:szCs w:val="18"/>
          <w:lang w:val="es-ES_tradnl"/>
        </w:rPr>
        <w:t xml:space="preserve"> </w:t>
      </w:r>
      <w:r>
        <w:rPr>
          <w:b/>
          <w:bCs/>
          <w:sz w:val="16"/>
          <w:szCs w:val="16"/>
          <w:lang w:val="es-ES_tradnl"/>
        </w:rPr>
        <w:t>PROCEDIMIENTO</w:t>
      </w:r>
      <w:r>
        <w:rPr>
          <w:b/>
          <w:bCs/>
          <w:sz w:val="18"/>
          <w:szCs w:val="18"/>
          <w:lang w:val="es-ES_tradnl"/>
        </w:rPr>
        <w:t xml:space="preserve"> </w:t>
      </w:r>
      <w:r>
        <w:rPr>
          <w:b/>
          <w:bCs/>
          <w:sz w:val="16"/>
          <w:szCs w:val="16"/>
          <w:lang w:val="es-ES_tradnl"/>
        </w:rPr>
        <w:t>Y</w:t>
      </w:r>
      <w:r>
        <w:rPr>
          <w:b/>
          <w:bCs/>
          <w:sz w:val="18"/>
          <w:szCs w:val="18"/>
          <w:lang w:val="es-ES_tradnl"/>
        </w:rPr>
        <w:t xml:space="preserve"> </w:t>
      </w:r>
      <w:r>
        <w:rPr>
          <w:b/>
          <w:bCs/>
          <w:sz w:val="16"/>
          <w:szCs w:val="16"/>
          <w:lang w:val="es-ES_tradnl"/>
        </w:rPr>
        <w:t>METODOLOG</w:t>
      </w:r>
      <w:r>
        <w:rPr>
          <w:rFonts w:cs="Times New Roman"/>
          <w:b/>
          <w:bCs/>
          <w:sz w:val="16"/>
          <w:szCs w:val="16"/>
          <w:lang w:val="es-ES_tradnl"/>
        </w:rPr>
        <w:t>Í</w:t>
      </w:r>
      <w:r>
        <w:rPr>
          <w:b/>
          <w:bCs/>
          <w:sz w:val="16"/>
          <w:szCs w:val="16"/>
          <w:lang w:val="es-ES_tradnl"/>
        </w:rPr>
        <w:t>A.-</w:t>
      </w:r>
      <w:r>
        <w:rPr>
          <w:spacing w:val="-5"/>
          <w:sz w:val="16"/>
          <w:szCs w:val="16"/>
          <w:lang w:val="es-ES_tradnl"/>
        </w:rPr>
        <w:t>El ejercicio de presupuestaci</w:t>
      </w:r>
      <w:r>
        <w:rPr>
          <w:rFonts w:cs="Times New Roman"/>
          <w:spacing w:val="-5"/>
          <w:sz w:val="16"/>
          <w:szCs w:val="16"/>
          <w:lang w:val="es-ES_tradnl"/>
        </w:rPr>
        <w:t>ó</w:t>
      </w:r>
      <w:r>
        <w:rPr>
          <w:spacing w:val="-5"/>
          <w:sz w:val="16"/>
          <w:szCs w:val="16"/>
          <w:lang w:val="es-ES_tradnl"/>
        </w:rPr>
        <w:t>n participativa tendr</w:t>
      </w:r>
      <w:r>
        <w:rPr>
          <w:rFonts w:cs="Times New Roman"/>
          <w:spacing w:val="-5"/>
          <w:sz w:val="16"/>
          <w:szCs w:val="16"/>
          <w:lang w:val="es-ES_tradnl"/>
        </w:rPr>
        <w:t>á</w:t>
      </w:r>
      <w:r>
        <w:rPr>
          <w:spacing w:val="-5"/>
          <w:sz w:val="16"/>
          <w:szCs w:val="16"/>
          <w:lang w:val="es-ES_tradnl"/>
        </w:rPr>
        <w:t xml:space="preserve"> un </w:t>
      </w:r>
      <w:r>
        <w:rPr>
          <w:spacing w:val="-3"/>
          <w:sz w:val="16"/>
          <w:szCs w:val="16"/>
          <w:lang w:val="es-ES_tradnl"/>
        </w:rPr>
        <w:t>procedimiento, metodolog</w:t>
      </w:r>
      <w:r>
        <w:rPr>
          <w:rFonts w:cs="Times New Roman"/>
          <w:spacing w:val="-3"/>
          <w:sz w:val="16"/>
          <w:szCs w:val="16"/>
          <w:lang w:val="es-ES_tradnl"/>
        </w:rPr>
        <w:t>í</w:t>
      </w:r>
      <w:r>
        <w:rPr>
          <w:spacing w:val="-3"/>
          <w:sz w:val="16"/>
          <w:szCs w:val="16"/>
          <w:lang w:val="es-ES_tradnl"/>
        </w:rPr>
        <w:t>a y criterios de calificaci</w:t>
      </w:r>
      <w:r>
        <w:rPr>
          <w:rFonts w:cs="Times New Roman"/>
          <w:spacing w:val="-3"/>
          <w:sz w:val="16"/>
          <w:szCs w:val="16"/>
          <w:lang w:val="es-ES_tradnl"/>
        </w:rPr>
        <w:t>ó</w:t>
      </w:r>
      <w:r>
        <w:rPr>
          <w:spacing w:val="-3"/>
          <w:sz w:val="16"/>
          <w:szCs w:val="16"/>
          <w:lang w:val="es-ES_tradnl"/>
        </w:rPr>
        <w:t xml:space="preserve">n </w:t>
      </w:r>
      <w:r>
        <w:rPr>
          <w:spacing w:val="-9"/>
          <w:sz w:val="16"/>
          <w:szCs w:val="16"/>
          <w:lang w:val="es-ES_tradnl"/>
        </w:rPr>
        <w:t>para su priorizaci</w:t>
      </w:r>
      <w:r>
        <w:rPr>
          <w:rFonts w:cs="Times New Roman"/>
          <w:spacing w:val="-9"/>
          <w:sz w:val="16"/>
          <w:szCs w:val="16"/>
          <w:lang w:val="es-ES_tradnl"/>
        </w:rPr>
        <w:t>ó</w:t>
      </w:r>
      <w:r>
        <w:rPr>
          <w:spacing w:val="-9"/>
          <w:sz w:val="16"/>
          <w:szCs w:val="16"/>
          <w:lang w:val="es-ES_tradnl"/>
        </w:rPr>
        <w:t>n, que estar</w:t>
      </w:r>
      <w:r>
        <w:rPr>
          <w:rFonts w:cs="Times New Roman"/>
          <w:spacing w:val="-9"/>
          <w:sz w:val="16"/>
          <w:szCs w:val="16"/>
          <w:lang w:val="es-ES_tradnl"/>
        </w:rPr>
        <w:t>á</w:t>
      </w:r>
      <w:r>
        <w:rPr>
          <w:spacing w:val="-9"/>
          <w:sz w:val="16"/>
          <w:szCs w:val="16"/>
          <w:lang w:val="es-ES_tradnl"/>
        </w:rPr>
        <w:t>n sujetos a su Reglamento.</w:t>
      </w:r>
    </w:p>
    <w:p w14:paraId="4F67A6E1" w14:textId="77777777" w:rsidR="00591D54" w:rsidRDefault="00591D54" w:rsidP="00251195">
      <w:pPr>
        <w:numPr>
          <w:ilvl w:val="0"/>
          <w:numId w:val="32"/>
        </w:numPr>
        <w:shd w:val="clear" w:color="auto" w:fill="FFFFFF"/>
        <w:tabs>
          <w:tab w:val="left" w:pos="566"/>
        </w:tabs>
        <w:spacing w:before="211" w:line="216" w:lineRule="exact"/>
        <w:ind w:left="566" w:right="5" w:hanging="283"/>
        <w:jc w:val="both"/>
        <w:rPr>
          <w:spacing w:val="-7"/>
          <w:sz w:val="16"/>
          <w:szCs w:val="16"/>
          <w:lang w:val="es-ES_tradnl"/>
        </w:rPr>
      </w:pPr>
      <w:r>
        <w:rPr>
          <w:b/>
          <w:bCs/>
          <w:spacing w:val="-2"/>
          <w:sz w:val="16"/>
          <w:szCs w:val="16"/>
          <w:lang w:val="es-ES_tradnl"/>
        </w:rPr>
        <w:t>Art.</w:t>
      </w:r>
      <w:r>
        <w:rPr>
          <w:b/>
          <w:bCs/>
          <w:spacing w:val="-2"/>
          <w:sz w:val="18"/>
          <w:szCs w:val="18"/>
          <w:lang w:val="es-ES_tradnl"/>
        </w:rPr>
        <w:t xml:space="preserve"> </w:t>
      </w:r>
      <w:r>
        <w:rPr>
          <w:b/>
          <w:bCs/>
          <w:spacing w:val="-2"/>
          <w:sz w:val="16"/>
          <w:szCs w:val="16"/>
          <w:lang w:val="es-ES_tradnl"/>
        </w:rPr>
        <w:t>27.-</w:t>
      </w:r>
      <w:r>
        <w:rPr>
          <w:b/>
          <w:bCs/>
          <w:spacing w:val="-2"/>
          <w:sz w:val="18"/>
          <w:szCs w:val="18"/>
          <w:lang w:val="es-ES_tradnl"/>
        </w:rPr>
        <w:t xml:space="preserve"> </w:t>
      </w:r>
      <w:r>
        <w:rPr>
          <w:b/>
          <w:bCs/>
          <w:spacing w:val="-2"/>
          <w:sz w:val="16"/>
          <w:szCs w:val="16"/>
          <w:lang w:val="es-ES_tradnl"/>
        </w:rPr>
        <w:t>DE</w:t>
      </w:r>
      <w:r>
        <w:rPr>
          <w:b/>
          <w:bCs/>
          <w:spacing w:val="-2"/>
          <w:sz w:val="18"/>
          <w:szCs w:val="18"/>
          <w:lang w:val="es-ES_tradnl"/>
        </w:rPr>
        <w:t xml:space="preserve"> </w:t>
      </w:r>
      <w:r>
        <w:rPr>
          <w:b/>
          <w:bCs/>
          <w:spacing w:val="-2"/>
          <w:sz w:val="16"/>
          <w:szCs w:val="16"/>
          <w:lang w:val="es-ES_tradnl"/>
        </w:rPr>
        <w:t>LA</w:t>
      </w:r>
      <w:r>
        <w:rPr>
          <w:b/>
          <w:bCs/>
          <w:spacing w:val="-2"/>
          <w:sz w:val="18"/>
          <w:szCs w:val="18"/>
          <w:lang w:val="es-ES_tradnl"/>
        </w:rPr>
        <w:t xml:space="preserve"> </w:t>
      </w:r>
      <w:r>
        <w:rPr>
          <w:b/>
          <w:bCs/>
          <w:spacing w:val="-2"/>
          <w:sz w:val="16"/>
          <w:szCs w:val="16"/>
          <w:lang w:val="es-ES_tradnl"/>
        </w:rPr>
        <w:t>SILLA</w:t>
      </w:r>
      <w:r>
        <w:rPr>
          <w:b/>
          <w:bCs/>
          <w:spacing w:val="-2"/>
          <w:sz w:val="18"/>
          <w:szCs w:val="18"/>
          <w:lang w:val="es-ES_tradnl"/>
        </w:rPr>
        <w:t xml:space="preserve"> </w:t>
      </w:r>
      <w:r>
        <w:rPr>
          <w:b/>
          <w:bCs/>
          <w:spacing w:val="-2"/>
          <w:sz w:val="16"/>
          <w:szCs w:val="16"/>
          <w:lang w:val="es-ES_tradnl"/>
        </w:rPr>
        <w:t>VAC</w:t>
      </w:r>
      <w:r>
        <w:rPr>
          <w:rFonts w:cs="Times New Roman"/>
          <w:b/>
          <w:bCs/>
          <w:spacing w:val="-2"/>
          <w:sz w:val="16"/>
          <w:szCs w:val="16"/>
          <w:lang w:val="es-ES_tradnl"/>
        </w:rPr>
        <w:t>Í</w:t>
      </w:r>
      <w:r>
        <w:rPr>
          <w:b/>
          <w:bCs/>
          <w:spacing w:val="-2"/>
          <w:sz w:val="16"/>
          <w:szCs w:val="16"/>
          <w:lang w:val="es-ES_tradnl"/>
        </w:rPr>
        <w:t>A.-</w:t>
      </w:r>
      <w:r>
        <w:rPr>
          <w:b/>
          <w:bCs/>
          <w:spacing w:val="-2"/>
          <w:sz w:val="18"/>
          <w:szCs w:val="18"/>
          <w:lang w:val="es-ES_tradnl"/>
        </w:rPr>
        <w:t xml:space="preserve"> </w:t>
      </w:r>
      <w:r>
        <w:rPr>
          <w:spacing w:val="-2"/>
          <w:sz w:val="16"/>
          <w:szCs w:val="16"/>
          <w:lang w:val="es-ES_tradnl"/>
        </w:rPr>
        <w:t>Las</w:t>
      </w:r>
      <w:r>
        <w:rPr>
          <w:spacing w:val="-2"/>
          <w:sz w:val="18"/>
          <w:szCs w:val="18"/>
          <w:lang w:val="es-ES_tradnl"/>
        </w:rPr>
        <w:t xml:space="preserve"> </w:t>
      </w:r>
      <w:r>
        <w:rPr>
          <w:spacing w:val="-2"/>
          <w:sz w:val="16"/>
          <w:szCs w:val="16"/>
          <w:lang w:val="es-ES_tradnl"/>
        </w:rPr>
        <w:t>sesiones</w:t>
      </w:r>
      <w:r>
        <w:rPr>
          <w:spacing w:val="-2"/>
          <w:sz w:val="18"/>
          <w:szCs w:val="18"/>
          <w:lang w:val="es-ES_tradnl"/>
        </w:rPr>
        <w:t xml:space="preserve"> </w:t>
      </w:r>
      <w:r>
        <w:rPr>
          <w:spacing w:val="-2"/>
          <w:sz w:val="16"/>
          <w:szCs w:val="16"/>
          <w:lang w:val="es-ES_tradnl"/>
        </w:rPr>
        <w:t xml:space="preserve">del </w:t>
      </w:r>
      <w:r>
        <w:rPr>
          <w:spacing w:val="-6"/>
          <w:sz w:val="16"/>
          <w:szCs w:val="16"/>
          <w:lang w:val="es-ES_tradnl"/>
        </w:rPr>
        <w:t>Concejo Municipal son p</w:t>
      </w:r>
      <w:r>
        <w:rPr>
          <w:rFonts w:cs="Times New Roman"/>
          <w:spacing w:val="-6"/>
          <w:sz w:val="16"/>
          <w:szCs w:val="16"/>
          <w:lang w:val="es-ES_tradnl"/>
        </w:rPr>
        <w:t>ú</w:t>
      </w:r>
      <w:r>
        <w:rPr>
          <w:spacing w:val="-6"/>
          <w:sz w:val="16"/>
          <w:szCs w:val="16"/>
          <w:lang w:val="es-ES_tradnl"/>
        </w:rPr>
        <w:t>blicas y en ellas habr</w:t>
      </w:r>
      <w:r>
        <w:rPr>
          <w:rFonts w:cs="Times New Roman"/>
          <w:spacing w:val="-6"/>
          <w:sz w:val="16"/>
          <w:szCs w:val="16"/>
          <w:lang w:val="es-ES_tradnl"/>
        </w:rPr>
        <w:t>á</w:t>
      </w:r>
      <w:r>
        <w:rPr>
          <w:spacing w:val="-6"/>
          <w:sz w:val="16"/>
          <w:szCs w:val="16"/>
          <w:lang w:val="es-ES_tradnl"/>
        </w:rPr>
        <w:t xml:space="preserve"> una silla </w:t>
      </w:r>
      <w:r>
        <w:rPr>
          <w:spacing w:val="-8"/>
          <w:sz w:val="16"/>
          <w:szCs w:val="16"/>
          <w:lang w:val="es-ES_tradnl"/>
        </w:rPr>
        <w:t>vac</w:t>
      </w:r>
      <w:r>
        <w:rPr>
          <w:rFonts w:cs="Times New Roman"/>
          <w:spacing w:val="-8"/>
          <w:sz w:val="16"/>
          <w:szCs w:val="16"/>
          <w:lang w:val="es-ES_tradnl"/>
        </w:rPr>
        <w:t>í</w:t>
      </w:r>
      <w:r>
        <w:rPr>
          <w:spacing w:val="-8"/>
          <w:sz w:val="16"/>
          <w:szCs w:val="16"/>
          <w:lang w:val="es-ES_tradnl"/>
        </w:rPr>
        <w:t>a que ser</w:t>
      </w:r>
      <w:r>
        <w:rPr>
          <w:rFonts w:cs="Times New Roman"/>
          <w:spacing w:val="-8"/>
          <w:sz w:val="16"/>
          <w:szCs w:val="16"/>
          <w:lang w:val="es-ES_tradnl"/>
        </w:rPr>
        <w:t>á</w:t>
      </w:r>
      <w:r>
        <w:rPr>
          <w:spacing w:val="-8"/>
          <w:sz w:val="16"/>
          <w:szCs w:val="16"/>
          <w:lang w:val="es-ES_tradnl"/>
        </w:rPr>
        <w:t xml:space="preserve"> ocupada por una o un representante de la </w:t>
      </w:r>
      <w:r>
        <w:rPr>
          <w:spacing w:val="-6"/>
          <w:sz w:val="16"/>
          <w:szCs w:val="16"/>
          <w:lang w:val="es-ES_tradnl"/>
        </w:rPr>
        <w:t>ciudadan</w:t>
      </w:r>
      <w:r>
        <w:rPr>
          <w:rFonts w:cs="Times New Roman"/>
          <w:spacing w:val="-6"/>
          <w:sz w:val="16"/>
          <w:szCs w:val="16"/>
          <w:lang w:val="es-ES_tradnl"/>
        </w:rPr>
        <w:t>í</w:t>
      </w:r>
      <w:r>
        <w:rPr>
          <w:spacing w:val="-6"/>
          <w:sz w:val="16"/>
          <w:szCs w:val="16"/>
          <w:lang w:val="es-ES_tradnl"/>
        </w:rPr>
        <w:t>a, en funci</w:t>
      </w:r>
      <w:r>
        <w:rPr>
          <w:rFonts w:cs="Times New Roman"/>
          <w:spacing w:val="-6"/>
          <w:sz w:val="16"/>
          <w:szCs w:val="16"/>
          <w:lang w:val="es-ES_tradnl"/>
        </w:rPr>
        <w:t>ó</w:t>
      </w:r>
      <w:r>
        <w:rPr>
          <w:spacing w:val="-6"/>
          <w:sz w:val="16"/>
          <w:szCs w:val="16"/>
          <w:lang w:val="es-ES_tradnl"/>
        </w:rPr>
        <w:t xml:space="preserve">n de los temas que se van a tratar, </w:t>
      </w:r>
      <w:r>
        <w:rPr>
          <w:spacing w:val="-4"/>
          <w:sz w:val="16"/>
          <w:szCs w:val="16"/>
          <w:lang w:val="es-ES_tradnl"/>
        </w:rPr>
        <w:t>con el prop</w:t>
      </w:r>
      <w:r>
        <w:rPr>
          <w:rFonts w:cs="Times New Roman"/>
          <w:spacing w:val="-4"/>
          <w:sz w:val="16"/>
          <w:szCs w:val="16"/>
          <w:lang w:val="es-ES_tradnl"/>
        </w:rPr>
        <w:t>ó</w:t>
      </w:r>
      <w:r>
        <w:rPr>
          <w:spacing w:val="-4"/>
          <w:sz w:val="16"/>
          <w:szCs w:val="16"/>
          <w:lang w:val="es-ES_tradnl"/>
        </w:rPr>
        <w:t xml:space="preserve">sito de participar en el debate y en la toma </w:t>
      </w:r>
      <w:r>
        <w:rPr>
          <w:spacing w:val="-8"/>
          <w:sz w:val="16"/>
          <w:szCs w:val="16"/>
          <w:lang w:val="es-ES_tradnl"/>
        </w:rPr>
        <w:t>de decisiones. La convocatoria a las sesiones se publicar</w:t>
      </w:r>
      <w:r>
        <w:rPr>
          <w:rFonts w:cs="Times New Roman"/>
          <w:spacing w:val="-8"/>
          <w:sz w:val="16"/>
          <w:szCs w:val="16"/>
          <w:lang w:val="es-ES_tradnl"/>
        </w:rPr>
        <w:t xml:space="preserve">á </w:t>
      </w:r>
      <w:r>
        <w:rPr>
          <w:spacing w:val="-7"/>
          <w:sz w:val="16"/>
          <w:szCs w:val="16"/>
          <w:lang w:val="es-ES_tradnl"/>
        </w:rPr>
        <w:t>con la debida anticipaci</w:t>
      </w:r>
      <w:r>
        <w:rPr>
          <w:rFonts w:cs="Times New Roman"/>
          <w:spacing w:val="-7"/>
          <w:sz w:val="16"/>
          <w:szCs w:val="16"/>
          <w:lang w:val="es-ES_tradnl"/>
        </w:rPr>
        <w:t>ó</w:t>
      </w:r>
      <w:r>
        <w:rPr>
          <w:spacing w:val="-7"/>
          <w:sz w:val="16"/>
          <w:szCs w:val="16"/>
          <w:lang w:val="es-ES_tradnl"/>
        </w:rPr>
        <w:t>n. El, la las, o los representantes se acreditar</w:t>
      </w:r>
      <w:r>
        <w:rPr>
          <w:rFonts w:cs="Times New Roman"/>
          <w:spacing w:val="-7"/>
          <w:sz w:val="16"/>
          <w:szCs w:val="16"/>
          <w:lang w:val="es-ES_tradnl"/>
        </w:rPr>
        <w:t>á</w:t>
      </w:r>
      <w:r>
        <w:rPr>
          <w:spacing w:val="-7"/>
          <w:sz w:val="16"/>
          <w:szCs w:val="16"/>
          <w:lang w:val="es-ES_tradnl"/>
        </w:rPr>
        <w:t>n ante la Secretar</w:t>
      </w:r>
      <w:r>
        <w:rPr>
          <w:rFonts w:cs="Times New Roman"/>
          <w:spacing w:val="-7"/>
          <w:sz w:val="16"/>
          <w:szCs w:val="16"/>
          <w:lang w:val="es-ES_tradnl"/>
        </w:rPr>
        <w:t>í</w:t>
      </w:r>
      <w:r>
        <w:rPr>
          <w:spacing w:val="-7"/>
          <w:sz w:val="16"/>
          <w:szCs w:val="16"/>
          <w:lang w:val="es-ES_tradnl"/>
        </w:rPr>
        <w:t xml:space="preserve">a General del Concejo </w:t>
      </w:r>
      <w:r>
        <w:rPr>
          <w:spacing w:val="-4"/>
          <w:sz w:val="16"/>
          <w:szCs w:val="16"/>
          <w:lang w:val="es-ES_tradnl"/>
        </w:rPr>
        <w:t>Municipal; su participaci</w:t>
      </w:r>
      <w:r>
        <w:rPr>
          <w:rFonts w:cs="Times New Roman"/>
          <w:spacing w:val="-4"/>
          <w:sz w:val="16"/>
          <w:szCs w:val="16"/>
          <w:lang w:val="es-ES_tradnl"/>
        </w:rPr>
        <w:t>ó</w:t>
      </w:r>
      <w:r>
        <w:rPr>
          <w:spacing w:val="-4"/>
          <w:sz w:val="16"/>
          <w:szCs w:val="16"/>
          <w:lang w:val="es-ES_tradnl"/>
        </w:rPr>
        <w:t>n se sujetar</w:t>
      </w:r>
      <w:r>
        <w:rPr>
          <w:rFonts w:cs="Times New Roman"/>
          <w:spacing w:val="-4"/>
          <w:sz w:val="16"/>
          <w:szCs w:val="16"/>
          <w:lang w:val="es-ES_tradnl"/>
        </w:rPr>
        <w:t>á</w:t>
      </w:r>
      <w:r>
        <w:rPr>
          <w:spacing w:val="-4"/>
          <w:sz w:val="16"/>
          <w:szCs w:val="16"/>
          <w:lang w:val="es-ES_tradnl"/>
        </w:rPr>
        <w:t xml:space="preserve"> a lo establecido en el art</w:t>
      </w:r>
      <w:r>
        <w:rPr>
          <w:rFonts w:cs="Times New Roman"/>
          <w:spacing w:val="-4"/>
          <w:sz w:val="16"/>
          <w:szCs w:val="16"/>
          <w:lang w:val="es-ES_tradnl"/>
        </w:rPr>
        <w:t>í</w:t>
      </w:r>
      <w:r>
        <w:rPr>
          <w:spacing w:val="-4"/>
          <w:sz w:val="16"/>
          <w:szCs w:val="16"/>
          <w:lang w:val="es-ES_tradnl"/>
        </w:rPr>
        <w:t>culo 77 de la Ley Org</w:t>
      </w:r>
      <w:r>
        <w:rPr>
          <w:rFonts w:cs="Times New Roman"/>
          <w:spacing w:val="-4"/>
          <w:sz w:val="16"/>
          <w:szCs w:val="16"/>
          <w:lang w:val="es-ES_tradnl"/>
        </w:rPr>
        <w:t>á</w:t>
      </w:r>
      <w:r>
        <w:rPr>
          <w:spacing w:val="-4"/>
          <w:sz w:val="16"/>
          <w:szCs w:val="16"/>
          <w:lang w:val="es-ES_tradnl"/>
        </w:rPr>
        <w:t>nica de Participaci</w:t>
      </w:r>
      <w:r>
        <w:rPr>
          <w:rFonts w:cs="Times New Roman"/>
          <w:spacing w:val="-4"/>
          <w:sz w:val="16"/>
          <w:szCs w:val="16"/>
          <w:lang w:val="es-ES_tradnl"/>
        </w:rPr>
        <w:t>ó</w:t>
      </w:r>
      <w:r>
        <w:rPr>
          <w:spacing w:val="-4"/>
          <w:sz w:val="16"/>
          <w:szCs w:val="16"/>
          <w:lang w:val="es-ES_tradnl"/>
        </w:rPr>
        <w:t xml:space="preserve">n </w:t>
      </w:r>
      <w:r>
        <w:rPr>
          <w:spacing w:val="-8"/>
          <w:sz w:val="16"/>
          <w:szCs w:val="16"/>
          <w:lang w:val="es-ES_tradnl"/>
        </w:rPr>
        <w:t xml:space="preserve">Ciudadana, por esta Ordenanza y el Reglamento que se </w:t>
      </w:r>
      <w:r>
        <w:rPr>
          <w:sz w:val="16"/>
          <w:szCs w:val="16"/>
          <w:lang w:val="es-ES_tradnl"/>
        </w:rPr>
        <w:t>publique para su aplicaci</w:t>
      </w:r>
      <w:r>
        <w:rPr>
          <w:rFonts w:cs="Times New Roman"/>
          <w:sz w:val="16"/>
          <w:szCs w:val="16"/>
          <w:lang w:val="es-ES_tradnl"/>
        </w:rPr>
        <w:t>ó</w:t>
      </w:r>
      <w:r>
        <w:rPr>
          <w:sz w:val="16"/>
          <w:szCs w:val="16"/>
          <w:lang w:val="es-ES_tradnl"/>
        </w:rPr>
        <w:t>n.</w:t>
      </w:r>
    </w:p>
    <w:p w14:paraId="4F67A6E2" w14:textId="77777777" w:rsidR="00591D54" w:rsidRDefault="00591D54">
      <w:pPr>
        <w:shd w:val="clear" w:color="auto" w:fill="FFFFFF"/>
        <w:spacing w:before="206" w:line="216" w:lineRule="exact"/>
        <w:ind w:left="566" w:right="5"/>
        <w:jc w:val="both"/>
      </w:pPr>
      <w:r>
        <w:rPr>
          <w:spacing w:val="-3"/>
          <w:sz w:val="16"/>
          <w:szCs w:val="16"/>
          <w:lang w:val="es-ES_tradnl"/>
        </w:rPr>
        <w:t>La Asamblea Cantonal de Gesti</w:t>
      </w:r>
      <w:r>
        <w:rPr>
          <w:rFonts w:cs="Times New Roman"/>
          <w:spacing w:val="-3"/>
          <w:sz w:val="16"/>
          <w:szCs w:val="16"/>
          <w:lang w:val="es-ES_tradnl"/>
        </w:rPr>
        <w:t>ó</w:t>
      </w:r>
      <w:r>
        <w:rPr>
          <w:spacing w:val="-3"/>
          <w:sz w:val="16"/>
          <w:szCs w:val="16"/>
          <w:lang w:val="es-ES_tradnl"/>
        </w:rPr>
        <w:t>n y Participaci</w:t>
      </w:r>
      <w:r>
        <w:rPr>
          <w:rFonts w:cs="Times New Roman"/>
          <w:spacing w:val="-3"/>
          <w:sz w:val="16"/>
          <w:szCs w:val="16"/>
          <w:lang w:val="es-ES_tradnl"/>
        </w:rPr>
        <w:t>ó</w:t>
      </w:r>
      <w:r>
        <w:rPr>
          <w:spacing w:val="-3"/>
          <w:sz w:val="16"/>
          <w:szCs w:val="16"/>
          <w:lang w:val="es-ES_tradnl"/>
        </w:rPr>
        <w:t xml:space="preserve">n </w:t>
      </w:r>
      <w:r>
        <w:rPr>
          <w:spacing w:val="-8"/>
          <w:sz w:val="16"/>
          <w:szCs w:val="16"/>
          <w:lang w:val="es-ES_tradnl"/>
        </w:rPr>
        <w:t>Ciudadana de Rumi</w:t>
      </w:r>
      <w:r>
        <w:rPr>
          <w:rFonts w:cs="Times New Roman"/>
          <w:spacing w:val="-8"/>
          <w:sz w:val="16"/>
          <w:szCs w:val="16"/>
          <w:lang w:val="es-ES_tradnl"/>
        </w:rPr>
        <w:t>ñ</w:t>
      </w:r>
      <w:r>
        <w:rPr>
          <w:spacing w:val="-8"/>
          <w:sz w:val="16"/>
          <w:szCs w:val="16"/>
          <w:lang w:val="es-ES_tradnl"/>
        </w:rPr>
        <w:t>ahui, a trav</w:t>
      </w:r>
      <w:r>
        <w:rPr>
          <w:rFonts w:cs="Times New Roman"/>
          <w:spacing w:val="-8"/>
          <w:sz w:val="16"/>
          <w:szCs w:val="16"/>
          <w:lang w:val="es-ES_tradnl"/>
        </w:rPr>
        <w:t>é</w:t>
      </w:r>
      <w:r>
        <w:rPr>
          <w:spacing w:val="-8"/>
          <w:sz w:val="16"/>
          <w:szCs w:val="16"/>
          <w:lang w:val="es-ES_tradnl"/>
        </w:rPr>
        <w:t>s del Comit</w:t>
      </w:r>
      <w:r>
        <w:rPr>
          <w:rFonts w:cs="Times New Roman"/>
          <w:spacing w:val="-8"/>
          <w:sz w:val="16"/>
          <w:szCs w:val="16"/>
          <w:lang w:val="es-ES_tradnl"/>
        </w:rPr>
        <w:t>é</w:t>
      </w:r>
      <w:r>
        <w:rPr>
          <w:spacing w:val="-8"/>
          <w:sz w:val="16"/>
          <w:szCs w:val="16"/>
          <w:lang w:val="es-ES_tradnl"/>
        </w:rPr>
        <w:t xml:space="preserve"> de Gesti</w:t>
      </w:r>
      <w:r>
        <w:rPr>
          <w:rFonts w:cs="Times New Roman"/>
          <w:spacing w:val="-8"/>
          <w:sz w:val="16"/>
          <w:szCs w:val="16"/>
          <w:lang w:val="es-ES_tradnl"/>
        </w:rPr>
        <w:t>ó</w:t>
      </w:r>
      <w:r>
        <w:rPr>
          <w:spacing w:val="-8"/>
          <w:sz w:val="16"/>
          <w:szCs w:val="16"/>
          <w:lang w:val="es-ES_tradnl"/>
        </w:rPr>
        <w:t xml:space="preserve">n, </w:t>
      </w:r>
      <w:r>
        <w:rPr>
          <w:spacing w:val="-3"/>
          <w:sz w:val="16"/>
          <w:szCs w:val="16"/>
          <w:lang w:val="es-ES_tradnl"/>
        </w:rPr>
        <w:t>tendr</w:t>
      </w:r>
      <w:r>
        <w:rPr>
          <w:rFonts w:cs="Times New Roman"/>
          <w:spacing w:val="-3"/>
          <w:sz w:val="16"/>
          <w:szCs w:val="16"/>
          <w:lang w:val="es-ES_tradnl"/>
        </w:rPr>
        <w:t>á</w:t>
      </w:r>
      <w:r>
        <w:rPr>
          <w:spacing w:val="-3"/>
          <w:sz w:val="16"/>
          <w:szCs w:val="16"/>
          <w:lang w:val="es-ES_tradnl"/>
        </w:rPr>
        <w:t xml:space="preserve"> su delegado acreditado, que provendr</w:t>
      </w:r>
      <w:r>
        <w:rPr>
          <w:rFonts w:cs="Times New Roman"/>
          <w:spacing w:val="-3"/>
          <w:sz w:val="16"/>
          <w:szCs w:val="16"/>
          <w:lang w:val="es-ES_tradnl"/>
        </w:rPr>
        <w:t>á</w:t>
      </w:r>
      <w:r>
        <w:rPr>
          <w:spacing w:val="-3"/>
          <w:sz w:val="16"/>
          <w:szCs w:val="16"/>
          <w:lang w:val="es-ES_tradnl"/>
        </w:rPr>
        <w:t xml:space="preserve"> de los </w:t>
      </w:r>
      <w:r>
        <w:rPr>
          <w:spacing w:val="-6"/>
          <w:sz w:val="16"/>
          <w:szCs w:val="16"/>
          <w:lang w:val="es-ES_tradnl"/>
        </w:rPr>
        <w:t>ejes tem</w:t>
      </w:r>
      <w:r>
        <w:rPr>
          <w:rFonts w:cs="Times New Roman"/>
          <w:spacing w:val="-6"/>
          <w:sz w:val="16"/>
          <w:szCs w:val="16"/>
          <w:lang w:val="es-ES_tradnl"/>
        </w:rPr>
        <w:t>á</w:t>
      </w:r>
      <w:r>
        <w:rPr>
          <w:spacing w:val="-6"/>
          <w:sz w:val="16"/>
          <w:szCs w:val="16"/>
          <w:lang w:val="es-ES_tradnl"/>
        </w:rPr>
        <w:t>ticos y por consiguiente vocal del Comit</w:t>
      </w:r>
      <w:r>
        <w:rPr>
          <w:rFonts w:cs="Times New Roman"/>
          <w:spacing w:val="-6"/>
          <w:sz w:val="16"/>
          <w:szCs w:val="16"/>
          <w:lang w:val="es-ES_tradnl"/>
        </w:rPr>
        <w:t>é</w:t>
      </w:r>
      <w:r>
        <w:rPr>
          <w:spacing w:val="-6"/>
          <w:sz w:val="16"/>
          <w:szCs w:val="16"/>
          <w:lang w:val="es-ES_tradnl"/>
        </w:rPr>
        <w:t xml:space="preserve"> de Gesti</w:t>
      </w:r>
      <w:r>
        <w:rPr>
          <w:rFonts w:cs="Times New Roman"/>
          <w:spacing w:val="-6"/>
          <w:sz w:val="16"/>
          <w:szCs w:val="16"/>
          <w:lang w:val="es-ES_tradnl"/>
        </w:rPr>
        <w:t>ó</w:t>
      </w:r>
      <w:r>
        <w:rPr>
          <w:spacing w:val="-6"/>
          <w:sz w:val="16"/>
          <w:szCs w:val="16"/>
          <w:lang w:val="es-ES_tradnl"/>
        </w:rPr>
        <w:t>n y Participaci</w:t>
      </w:r>
      <w:r>
        <w:rPr>
          <w:rFonts w:cs="Times New Roman"/>
          <w:spacing w:val="-6"/>
          <w:sz w:val="16"/>
          <w:szCs w:val="16"/>
          <w:lang w:val="es-ES_tradnl"/>
        </w:rPr>
        <w:t>ó</w:t>
      </w:r>
      <w:r>
        <w:rPr>
          <w:spacing w:val="-6"/>
          <w:sz w:val="16"/>
          <w:szCs w:val="16"/>
          <w:lang w:val="es-ES_tradnl"/>
        </w:rPr>
        <w:t xml:space="preserve">n Ciudadana, delegado (a) que se </w:t>
      </w:r>
      <w:r>
        <w:rPr>
          <w:spacing w:val="-3"/>
          <w:sz w:val="16"/>
          <w:szCs w:val="16"/>
          <w:lang w:val="es-ES_tradnl"/>
        </w:rPr>
        <w:t>sujetar</w:t>
      </w:r>
      <w:r>
        <w:rPr>
          <w:rFonts w:cs="Times New Roman"/>
          <w:spacing w:val="-3"/>
          <w:sz w:val="16"/>
          <w:szCs w:val="16"/>
          <w:lang w:val="es-ES_tradnl"/>
        </w:rPr>
        <w:t>á</w:t>
      </w:r>
      <w:r>
        <w:rPr>
          <w:spacing w:val="-3"/>
          <w:sz w:val="16"/>
          <w:szCs w:val="16"/>
          <w:lang w:val="es-ES_tradnl"/>
        </w:rPr>
        <w:t xml:space="preserve"> a las disposiciones de la Asamblea, el Comit</w:t>
      </w:r>
      <w:r>
        <w:rPr>
          <w:rFonts w:cs="Times New Roman"/>
          <w:spacing w:val="-3"/>
          <w:sz w:val="16"/>
          <w:szCs w:val="16"/>
          <w:lang w:val="es-ES_tradnl"/>
        </w:rPr>
        <w:t xml:space="preserve">é </w:t>
      </w:r>
      <w:r>
        <w:rPr>
          <w:spacing w:val="-6"/>
          <w:sz w:val="16"/>
          <w:szCs w:val="16"/>
          <w:lang w:val="es-ES_tradnl"/>
        </w:rPr>
        <w:t>y el Reglamento. Por consiguiente, su voto deber</w:t>
      </w:r>
      <w:r>
        <w:rPr>
          <w:rFonts w:cs="Times New Roman"/>
          <w:spacing w:val="-6"/>
          <w:sz w:val="16"/>
          <w:szCs w:val="16"/>
          <w:lang w:val="es-ES_tradnl"/>
        </w:rPr>
        <w:t>á</w:t>
      </w:r>
      <w:r>
        <w:rPr>
          <w:spacing w:val="-6"/>
          <w:sz w:val="16"/>
          <w:szCs w:val="16"/>
          <w:lang w:val="es-ES_tradnl"/>
        </w:rPr>
        <w:t xml:space="preserve"> ser </w:t>
      </w:r>
      <w:r>
        <w:rPr>
          <w:spacing w:val="-8"/>
          <w:sz w:val="16"/>
          <w:szCs w:val="16"/>
          <w:lang w:val="es-ES_tradnl"/>
        </w:rPr>
        <w:t>previamente consensuado con la Asamblea o el Comit</w:t>
      </w:r>
      <w:r>
        <w:rPr>
          <w:rFonts w:cs="Times New Roman"/>
          <w:spacing w:val="-8"/>
          <w:sz w:val="16"/>
          <w:szCs w:val="16"/>
          <w:lang w:val="es-ES_tradnl"/>
        </w:rPr>
        <w:t>é</w:t>
      </w:r>
      <w:r>
        <w:rPr>
          <w:spacing w:val="-8"/>
          <w:sz w:val="16"/>
          <w:szCs w:val="16"/>
          <w:lang w:val="es-ES_tradnl"/>
        </w:rPr>
        <w:t>.</w:t>
      </w:r>
    </w:p>
    <w:p w14:paraId="4F67A6E3" w14:textId="77777777" w:rsidR="00591D54" w:rsidRDefault="00591D54">
      <w:pPr>
        <w:shd w:val="clear" w:color="auto" w:fill="FFFFFF"/>
        <w:tabs>
          <w:tab w:val="left" w:pos="566"/>
        </w:tabs>
        <w:spacing w:before="206" w:line="216" w:lineRule="exact"/>
        <w:ind w:left="566" w:right="5" w:hanging="283"/>
        <w:jc w:val="both"/>
      </w:pPr>
      <w:r>
        <w:rPr>
          <w:spacing w:val="-7"/>
          <w:sz w:val="16"/>
          <w:szCs w:val="16"/>
          <w:lang w:val="es-ES_tradnl"/>
        </w:rPr>
        <w:t>9)</w:t>
      </w:r>
      <w:r>
        <w:rPr>
          <w:sz w:val="18"/>
          <w:szCs w:val="18"/>
          <w:lang w:val="es-ES_tradnl"/>
        </w:rPr>
        <w:tab/>
      </w:r>
      <w:r>
        <w:rPr>
          <w:b/>
          <w:bCs/>
          <w:spacing w:val="-1"/>
          <w:sz w:val="16"/>
          <w:szCs w:val="16"/>
          <w:lang w:val="es-ES_tradnl"/>
        </w:rPr>
        <w:t>DISPOSICI</w:t>
      </w:r>
      <w:r>
        <w:rPr>
          <w:rFonts w:cs="Times New Roman"/>
          <w:b/>
          <w:bCs/>
          <w:spacing w:val="-1"/>
          <w:sz w:val="16"/>
          <w:szCs w:val="16"/>
          <w:lang w:val="es-ES_tradnl"/>
        </w:rPr>
        <w:t>Ó</w:t>
      </w:r>
      <w:r>
        <w:rPr>
          <w:b/>
          <w:bCs/>
          <w:spacing w:val="-1"/>
          <w:sz w:val="16"/>
          <w:szCs w:val="16"/>
          <w:lang w:val="es-ES_tradnl"/>
        </w:rPr>
        <w:t>N</w:t>
      </w:r>
      <w:r>
        <w:rPr>
          <w:b/>
          <w:bCs/>
          <w:spacing w:val="-1"/>
          <w:sz w:val="18"/>
          <w:szCs w:val="18"/>
          <w:lang w:val="es-ES_tradnl"/>
        </w:rPr>
        <w:t xml:space="preserve"> </w:t>
      </w:r>
      <w:r>
        <w:rPr>
          <w:b/>
          <w:bCs/>
          <w:spacing w:val="-1"/>
          <w:sz w:val="16"/>
          <w:szCs w:val="16"/>
          <w:lang w:val="es-ES_tradnl"/>
        </w:rPr>
        <w:t>TRANSITORIA</w:t>
      </w:r>
      <w:r>
        <w:rPr>
          <w:b/>
          <w:bCs/>
          <w:spacing w:val="-1"/>
          <w:sz w:val="18"/>
          <w:szCs w:val="18"/>
          <w:lang w:val="es-ES_tradnl"/>
        </w:rPr>
        <w:t xml:space="preserve"> </w:t>
      </w:r>
      <w:r>
        <w:rPr>
          <w:b/>
          <w:bCs/>
          <w:spacing w:val="-1"/>
          <w:sz w:val="16"/>
          <w:szCs w:val="16"/>
          <w:lang w:val="es-ES_tradnl"/>
        </w:rPr>
        <w:t>TERCERA.-</w:t>
      </w:r>
      <w:r>
        <w:rPr>
          <w:b/>
          <w:bCs/>
          <w:spacing w:val="-1"/>
          <w:sz w:val="18"/>
          <w:szCs w:val="18"/>
          <w:lang w:val="es-ES_tradnl"/>
        </w:rPr>
        <w:t xml:space="preserve"> </w:t>
      </w:r>
      <w:r>
        <w:rPr>
          <w:spacing w:val="-1"/>
          <w:sz w:val="16"/>
          <w:szCs w:val="16"/>
          <w:lang w:val="es-ES_tradnl"/>
        </w:rPr>
        <w:t>Por</w:t>
      </w:r>
      <w:r>
        <w:rPr>
          <w:spacing w:val="-1"/>
          <w:sz w:val="18"/>
          <w:szCs w:val="18"/>
          <w:lang w:val="es-ES_tradnl"/>
        </w:rPr>
        <w:t xml:space="preserve"> </w:t>
      </w:r>
      <w:r>
        <w:rPr>
          <w:spacing w:val="-1"/>
          <w:sz w:val="16"/>
          <w:szCs w:val="16"/>
          <w:lang w:val="es-ES_tradnl"/>
        </w:rPr>
        <w:t>esta </w:t>
      </w:r>
      <w:r>
        <w:rPr>
          <w:spacing w:val="-6"/>
          <w:sz w:val="16"/>
          <w:szCs w:val="16"/>
          <w:lang w:val="es-ES_tradnl"/>
        </w:rPr>
        <w:t>vez, la Asamblea Cantonal de Gesti</w:t>
      </w:r>
      <w:r>
        <w:rPr>
          <w:rFonts w:cs="Times New Roman"/>
          <w:spacing w:val="-6"/>
          <w:sz w:val="16"/>
          <w:szCs w:val="16"/>
          <w:lang w:val="es-ES_tradnl"/>
        </w:rPr>
        <w:t>ó</w:t>
      </w:r>
      <w:r>
        <w:rPr>
          <w:spacing w:val="-6"/>
          <w:sz w:val="16"/>
          <w:szCs w:val="16"/>
          <w:lang w:val="es-ES_tradnl"/>
        </w:rPr>
        <w:t>n y Participaci</w:t>
      </w:r>
      <w:r>
        <w:rPr>
          <w:rFonts w:cs="Times New Roman"/>
          <w:spacing w:val="-6"/>
          <w:sz w:val="16"/>
          <w:szCs w:val="16"/>
          <w:lang w:val="es-ES_tradnl"/>
        </w:rPr>
        <w:t>ó</w:t>
      </w:r>
      <w:r>
        <w:rPr>
          <w:spacing w:val="-6"/>
          <w:sz w:val="16"/>
          <w:szCs w:val="16"/>
          <w:lang w:val="es-ES_tradnl"/>
        </w:rPr>
        <w:t>n </w:t>
      </w:r>
      <w:r>
        <w:rPr>
          <w:spacing w:val="-3"/>
          <w:sz w:val="16"/>
          <w:szCs w:val="16"/>
          <w:lang w:val="es-ES_tradnl"/>
        </w:rPr>
        <w:t>Ciudadana ser</w:t>
      </w:r>
      <w:r>
        <w:rPr>
          <w:rFonts w:cs="Times New Roman"/>
          <w:spacing w:val="-3"/>
          <w:sz w:val="16"/>
          <w:szCs w:val="16"/>
          <w:lang w:val="es-ES_tradnl"/>
        </w:rPr>
        <w:t>á</w:t>
      </w:r>
      <w:r>
        <w:rPr>
          <w:spacing w:val="-3"/>
          <w:sz w:val="16"/>
          <w:szCs w:val="16"/>
          <w:lang w:val="es-ES_tradnl"/>
        </w:rPr>
        <w:t xml:space="preserve"> construida desde las asambleas </w:t>
      </w:r>
      <w:r>
        <w:rPr>
          <w:spacing w:val="-10"/>
          <w:sz w:val="16"/>
          <w:szCs w:val="16"/>
          <w:lang w:val="es-ES_tradnl"/>
        </w:rPr>
        <w:t>parroquiales y no desde las asambleas de base territoriales. </w:t>
      </w:r>
      <w:r>
        <w:rPr>
          <w:spacing w:val="-4"/>
          <w:sz w:val="16"/>
          <w:szCs w:val="16"/>
          <w:lang w:val="es-ES_tradnl"/>
        </w:rPr>
        <w:t>De igual manera los Grupos de Atenci</w:t>
      </w:r>
      <w:r>
        <w:rPr>
          <w:rFonts w:cs="Times New Roman"/>
          <w:spacing w:val="-4"/>
          <w:sz w:val="16"/>
          <w:szCs w:val="16"/>
          <w:lang w:val="es-ES_tradnl"/>
        </w:rPr>
        <w:t>ó</w:t>
      </w:r>
      <w:r>
        <w:rPr>
          <w:spacing w:val="-4"/>
          <w:sz w:val="16"/>
          <w:szCs w:val="16"/>
          <w:lang w:val="es-ES_tradnl"/>
        </w:rPr>
        <w:t>n Prioritaria </w:t>
      </w:r>
      <w:r>
        <w:rPr>
          <w:spacing w:val="-5"/>
          <w:sz w:val="16"/>
          <w:szCs w:val="16"/>
          <w:lang w:val="es-ES_tradnl"/>
        </w:rPr>
        <w:t>nombrar</w:t>
      </w:r>
      <w:r>
        <w:rPr>
          <w:rFonts w:cs="Times New Roman"/>
          <w:spacing w:val="-5"/>
          <w:sz w:val="16"/>
          <w:szCs w:val="16"/>
          <w:lang w:val="es-ES_tradnl"/>
        </w:rPr>
        <w:t>á</w:t>
      </w:r>
      <w:r>
        <w:rPr>
          <w:spacing w:val="-5"/>
          <w:sz w:val="16"/>
          <w:szCs w:val="16"/>
          <w:lang w:val="es-ES_tradnl"/>
        </w:rPr>
        <w:t>n sus delegaciones y demandas a partir de </w:t>
      </w:r>
      <w:r>
        <w:rPr>
          <w:sz w:val="16"/>
          <w:szCs w:val="16"/>
          <w:lang w:val="es-ES_tradnl"/>
        </w:rPr>
        <w:t>talleres y no de asambleas cantonales.</w:t>
      </w:r>
    </w:p>
    <w:p w14:paraId="4F67A6E4" w14:textId="77777777" w:rsidR="00591D54" w:rsidRDefault="00591D54">
      <w:pPr>
        <w:shd w:val="clear" w:color="auto" w:fill="FFFFFF"/>
        <w:spacing w:before="206" w:line="216" w:lineRule="exact"/>
        <w:ind w:left="566" w:right="5"/>
        <w:jc w:val="both"/>
      </w:pPr>
      <w:r>
        <w:rPr>
          <w:spacing w:val="-6"/>
          <w:sz w:val="16"/>
          <w:szCs w:val="16"/>
          <w:lang w:val="es-ES_tradnl"/>
        </w:rPr>
        <w:t>La rendici</w:t>
      </w:r>
      <w:r>
        <w:rPr>
          <w:rFonts w:cs="Times New Roman"/>
          <w:spacing w:val="-6"/>
          <w:sz w:val="16"/>
          <w:szCs w:val="16"/>
          <w:lang w:val="es-ES_tradnl"/>
        </w:rPr>
        <w:t>ó</w:t>
      </w:r>
      <w:r>
        <w:rPr>
          <w:spacing w:val="-6"/>
          <w:sz w:val="16"/>
          <w:szCs w:val="16"/>
          <w:lang w:val="es-ES_tradnl"/>
        </w:rPr>
        <w:t>n de Cuentas ser</w:t>
      </w:r>
      <w:r>
        <w:rPr>
          <w:rFonts w:cs="Times New Roman"/>
          <w:spacing w:val="-6"/>
          <w:sz w:val="16"/>
          <w:szCs w:val="16"/>
          <w:lang w:val="es-ES_tradnl"/>
        </w:rPr>
        <w:t>á</w:t>
      </w:r>
      <w:r>
        <w:rPr>
          <w:spacing w:val="-6"/>
          <w:sz w:val="16"/>
          <w:szCs w:val="16"/>
          <w:lang w:val="es-ES_tradnl"/>
        </w:rPr>
        <w:t xml:space="preserve"> puesta en vigencia a partir </w:t>
      </w:r>
      <w:r>
        <w:rPr>
          <w:spacing w:val="-7"/>
          <w:sz w:val="16"/>
          <w:szCs w:val="16"/>
          <w:lang w:val="es-ES_tradnl"/>
        </w:rPr>
        <w:t>del a</w:t>
      </w:r>
      <w:r>
        <w:rPr>
          <w:rFonts w:cs="Times New Roman"/>
          <w:spacing w:val="-7"/>
          <w:sz w:val="16"/>
          <w:szCs w:val="16"/>
          <w:lang w:val="es-ES_tradnl"/>
        </w:rPr>
        <w:t>ñ</w:t>
      </w:r>
      <w:r>
        <w:rPr>
          <w:spacing w:val="-7"/>
          <w:sz w:val="16"/>
          <w:szCs w:val="16"/>
          <w:lang w:val="es-ES_tradnl"/>
        </w:rPr>
        <w:t>o 2012, ya que este subsistema para su aplicaci</w:t>
      </w:r>
      <w:r>
        <w:rPr>
          <w:rFonts w:cs="Times New Roman"/>
          <w:spacing w:val="-7"/>
          <w:sz w:val="16"/>
          <w:szCs w:val="16"/>
          <w:lang w:val="es-ES_tradnl"/>
        </w:rPr>
        <w:t>ó</w:t>
      </w:r>
      <w:r>
        <w:rPr>
          <w:spacing w:val="-7"/>
          <w:sz w:val="16"/>
          <w:szCs w:val="16"/>
          <w:lang w:val="es-ES_tradnl"/>
        </w:rPr>
        <w:t xml:space="preserve">n </w:t>
      </w:r>
      <w:r>
        <w:rPr>
          <w:spacing w:val="-6"/>
          <w:sz w:val="16"/>
          <w:szCs w:val="16"/>
          <w:lang w:val="es-ES_tradnl"/>
        </w:rPr>
        <w:t>requiere poner en ejecuci</w:t>
      </w:r>
      <w:r>
        <w:rPr>
          <w:rFonts w:cs="Times New Roman"/>
          <w:spacing w:val="-6"/>
          <w:sz w:val="16"/>
          <w:szCs w:val="16"/>
          <w:lang w:val="es-ES_tradnl"/>
        </w:rPr>
        <w:t>ó</w:t>
      </w:r>
      <w:r>
        <w:rPr>
          <w:spacing w:val="-6"/>
          <w:sz w:val="16"/>
          <w:szCs w:val="16"/>
          <w:lang w:val="es-ES_tradnl"/>
        </w:rPr>
        <w:t>n el modelo de gesti</w:t>
      </w:r>
      <w:r>
        <w:rPr>
          <w:rFonts w:cs="Times New Roman"/>
          <w:spacing w:val="-6"/>
          <w:sz w:val="16"/>
          <w:szCs w:val="16"/>
          <w:lang w:val="es-ES_tradnl"/>
        </w:rPr>
        <w:t>ó</w:t>
      </w:r>
      <w:r>
        <w:rPr>
          <w:spacing w:val="-6"/>
          <w:sz w:val="16"/>
          <w:szCs w:val="16"/>
          <w:lang w:val="es-ES_tradnl"/>
        </w:rPr>
        <w:t>n y participaci</w:t>
      </w:r>
      <w:r>
        <w:rPr>
          <w:rFonts w:cs="Times New Roman"/>
          <w:spacing w:val="-6"/>
          <w:sz w:val="16"/>
          <w:szCs w:val="16"/>
          <w:lang w:val="es-ES_tradnl"/>
        </w:rPr>
        <w:t>ó</w:t>
      </w:r>
      <w:r>
        <w:rPr>
          <w:spacing w:val="-6"/>
          <w:sz w:val="16"/>
          <w:szCs w:val="16"/>
          <w:lang w:val="es-ES_tradnl"/>
        </w:rPr>
        <w:t>n ciudadana con fines de Presupuestaci</w:t>
      </w:r>
      <w:r>
        <w:rPr>
          <w:rFonts w:cs="Times New Roman"/>
          <w:spacing w:val="-6"/>
          <w:sz w:val="16"/>
          <w:szCs w:val="16"/>
          <w:lang w:val="es-ES_tradnl"/>
        </w:rPr>
        <w:t>ó</w:t>
      </w:r>
      <w:r>
        <w:rPr>
          <w:spacing w:val="-6"/>
          <w:sz w:val="16"/>
          <w:szCs w:val="16"/>
          <w:lang w:val="es-ES_tradnl"/>
        </w:rPr>
        <w:t xml:space="preserve">n </w:t>
      </w:r>
      <w:r>
        <w:rPr>
          <w:spacing w:val="-5"/>
          <w:sz w:val="16"/>
          <w:szCs w:val="16"/>
          <w:lang w:val="es-ES_tradnl"/>
        </w:rPr>
        <w:t>Participativa, mientras tanto el a</w:t>
      </w:r>
      <w:r>
        <w:rPr>
          <w:rFonts w:cs="Times New Roman"/>
          <w:spacing w:val="-5"/>
          <w:sz w:val="16"/>
          <w:szCs w:val="16"/>
          <w:lang w:val="es-ES_tradnl"/>
        </w:rPr>
        <w:t>ñ</w:t>
      </w:r>
      <w:r>
        <w:rPr>
          <w:spacing w:val="-5"/>
          <w:sz w:val="16"/>
          <w:szCs w:val="16"/>
          <w:lang w:val="es-ES_tradnl"/>
        </w:rPr>
        <w:t>o 2011 se seguir</w:t>
      </w:r>
      <w:r>
        <w:rPr>
          <w:rFonts w:cs="Times New Roman"/>
          <w:spacing w:val="-5"/>
          <w:sz w:val="16"/>
          <w:szCs w:val="16"/>
          <w:lang w:val="es-ES_tradnl"/>
        </w:rPr>
        <w:t xml:space="preserve">á </w:t>
      </w:r>
      <w:r>
        <w:rPr>
          <w:spacing w:val="-3"/>
          <w:sz w:val="16"/>
          <w:szCs w:val="16"/>
          <w:lang w:val="es-ES_tradnl"/>
        </w:rPr>
        <w:t xml:space="preserve">realizando y por </w:t>
      </w:r>
      <w:r>
        <w:rPr>
          <w:rFonts w:cs="Times New Roman"/>
          <w:spacing w:val="-3"/>
          <w:sz w:val="16"/>
          <w:szCs w:val="16"/>
          <w:lang w:val="es-ES_tradnl"/>
        </w:rPr>
        <w:t>ú</w:t>
      </w:r>
      <w:r>
        <w:rPr>
          <w:spacing w:val="-3"/>
          <w:sz w:val="16"/>
          <w:szCs w:val="16"/>
          <w:lang w:val="es-ES_tradnl"/>
        </w:rPr>
        <w:t xml:space="preserve">ltima vez el respectivo informe de </w:t>
      </w:r>
      <w:r>
        <w:rPr>
          <w:sz w:val="16"/>
          <w:szCs w:val="16"/>
          <w:lang w:val="es-ES_tradnl"/>
        </w:rPr>
        <w:t>labores.</w:t>
      </w:r>
    </w:p>
    <w:p w14:paraId="4F67A6E5" w14:textId="77777777" w:rsidR="00591D54" w:rsidRDefault="00591D54">
      <w:pPr>
        <w:shd w:val="clear" w:color="auto" w:fill="FFFFFF"/>
        <w:spacing w:before="202"/>
      </w:pPr>
      <w:r>
        <w:rPr>
          <w:b/>
          <w:bCs/>
          <w:spacing w:val="-8"/>
          <w:sz w:val="18"/>
          <w:szCs w:val="18"/>
          <w:lang w:val="es-ES_tradnl"/>
        </w:rPr>
        <w:t>Contestaci</w:t>
      </w:r>
      <w:r>
        <w:rPr>
          <w:rFonts w:cs="Times New Roman"/>
          <w:b/>
          <w:bCs/>
          <w:spacing w:val="-8"/>
          <w:sz w:val="18"/>
          <w:szCs w:val="18"/>
          <w:lang w:val="es-ES_tradnl"/>
        </w:rPr>
        <w:t>ó</w:t>
      </w:r>
      <w:r>
        <w:rPr>
          <w:b/>
          <w:bCs/>
          <w:spacing w:val="-8"/>
          <w:sz w:val="18"/>
          <w:szCs w:val="18"/>
          <w:lang w:val="es-ES_tradnl"/>
        </w:rPr>
        <w:t>n a la demanda</w:t>
      </w:r>
    </w:p>
    <w:p w14:paraId="4F67A6E6" w14:textId="77777777" w:rsidR="00591D54" w:rsidRDefault="00591D54">
      <w:pPr>
        <w:shd w:val="clear" w:color="auto" w:fill="FFFFFF"/>
        <w:spacing w:before="192" w:line="216" w:lineRule="exact"/>
        <w:jc w:val="both"/>
      </w:pPr>
      <w:r>
        <w:rPr>
          <w:b/>
          <w:bCs/>
          <w:spacing w:val="-4"/>
          <w:sz w:val="18"/>
          <w:szCs w:val="18"/>
          <w:lang w:val="es-ES_tradnl"/>
        </w:rPr>
        <w:t>Alcalde y procuradora s</w:t>
      </w:r>
      <w:r>
        <w:rPr>
          <w:rFonts w:cs="Times New Roman"/>
          <w:b/>
          <w:bCs/>
          <w:spacing w:val="-4"/>
          <w:sz w:val="18"/>
          <w:szCs w:val="18"/>
          <w:lang w:val="es-ES_tradnl"/>
        </w:rPr>
        <w:t>í</w:t>
      </w:r>
      <w:r>
        <w:rPr>
          <w:b/>
          <w:bCs/>
          <w:spacing w:val="-4"/>
          <w:sz w:val="18"/>
          <w:szCs w:val="18"/>
          <w:lang w:val="es-ES_tradnl"/>
        </w:rPr>
        <w:t xml:space="preserve">ndica del Municipio de </w:t>
      </w:r>
      <w:r>
        <w:rPr>
          <w:b/>
          <w:bCs/>
          <w:sz w:val="18"/>
          <w:szCs w:val="18"/>
          <w:lang w:val="es-ES_tradnl"/>
        </w:rPr>
        <w:t>Rumi</w:t>
      </w:r>
      <w:r>
        <w:rPr>
          <w:rFonts w:cs="Times New Roman"/>
          <w:b/>
          <w:bCs/>
          <w:sz w:val="18"/>
          <w:szCs w:val="18"/>
          <w:lang w:val="es-ES_tradnl"/>
        </w:rPr>
        <w:t>ñ</w:t>
      </w:r>
      <w:r>
        <w:rPr>
          <w:b/>
          <w:bCs/>
          <w:sz w:val="18"/>
          <w:szCs w:val="18"/>
          <w:lang w:val="es-ES_tradnl"/>
        </w:rPr>
        <w:t>ahui (Sangolqu</w:t>
      </w:r>
      <w:r>
        <w:rPr>
          <w:rFonts w:cs="Times New Roman"/>
          <w:b/>
          <w:bCs/>
          <w:sz w:val="18"/>
          <w:szCs w:val="18"/>
          <w:lang w:val="es-ES_tradnl"/>
        </w:rPr>
        <w:t>í</w:t>
      </w:r>
      <w:r>
        <w:rPr>
          <w:b/>
          <w:bCs/>
          <w:sz w:val="18"/>
          <w:szCs w:val="18"/>
          <w:lang w:val="es-ES_tradnl"/>
        </w:rPr>
        <w:t>)</w:t>
      </w:r>
    </w:p>
    <w:p w14:paraId="4F67A6E7" w14:textId="77777777" w:rsidR="00591D54" w:rsidRDefault="00591D54">
      <w:pPr>
        <w:shd w:val="clear" w:color="auto" w:fill="FFFFFF"/>
        <w:spacing w:before="197" w:line="216" w:lineRule="exact"/>
        <w:jc w:val="both"/>
      </w:pPr>
      <w:r>
        <w:rPr>
          <w:spacing w:val="-6"/>
          <w:sz w:val="18"/>
          <w:szCs w:val="18"/>
          <w:lang w:val="es-ES_tradnl"/>
        </w:rPr>
        <w:t xml:space="preserve">Mediante escrito que obra de fojas 94 a 101 comparecen </w:t>
      </w:r>
      <w:r>
        <w:rPr>
          <w:sz w:val="18"/>
          <w:szCs w:val="18"/>
          <w:lang w:val="es-ES_tradnl"/>
        </w:rPr>
        <w:t>los se</w:t>
      </w:r>
      <w:r>
        <w:rPr>
          <w:rFonts w:cs="Times New Roman"/>
          <w:sz w:val="18"/>
          <w:szCs w:val="18"/>
          <w:lang w:val="es-ES_tradnl"/>
        </w:rPr>
        <w:t>ñ</w:t>
      </w:r>
      <w:r>
        <w:rPr>
          <w:sz w:val="18"/>
          <w:szCs w:val="18"/>
          <w:lang w:val="es-ES_tradnl"/>
        </w:rPr>
        <w:t>ores: Ing. H</w:t>
      </w:r>
      <w:r>
        <w:rPr>
          <w:rFonts w:cs="Times New Roman"/>
          <w:sz w:val="18"/>
          <w:szCs w:val="18"/>
          <w:lang w:val="es-ES_tradnl"/>
        </w:rPr>
        <w:t>é</w:t>
      </w:r>
      <w:r>
        <w:rPr>
          <w:sz w:val="18"/>
          <w:szCs w:val="18"/>
          <w:lang w:val="es-ES_tradnl"/>
        </w:rPr>
        <w:t>ctor Sa</w:t>
      </w:r>
      <w:r>
        <w:rPr>
          <w:rFonts w:cs="Times New Roman"/>
          <w:sz w:val="18"/>
          <w:szCs w:val="18"/>
          <w:lang w:val="es-ES_tradnl"/>
        </w:rPr>
        <w:t>ú</w:t>
      </w:r>
      <w:r>
        <w:rPr>
          <w:sz w:val="18"/>
          <w:szCs w:val="18"/>
          <w:lang w:val="es-ES_tradnl"/>
        </w:rPr>
        <w:t>l J</w:t>
      </w:r>
      <w:r>
        <w:rPr>
          <w:rFonts w:cs="Times New Roman"/>
          <w:sz w:val="18"/>
          <w:szCs w:val="18"/>
          <w:lang w:val="es-ES_tradnl"/>
        </w:rPr>
        <w:t>á</w:t>
      </w:r>
      <w:r>
        <w:rPr>
          <w:sz w:val="18"/>
          <w:szCs w:val="18"/>
          <w:lang w:val="es-ES_tradnl"/>
        </w:rPr>
        <w:t>come Mantilla y Ab. Sof</w:t>
      </w:r>
      <w:r>
        <w:rPr>
          <w:rFonts w:cs="Times New Roman"/>
          <w:sz w:val="18"/>
          <w:szCs w:val="18"/>
          <w:lang w:val="es-ES_tradnl"/>
        </w:rPr>
        <w:t>í</w:t>
      </w:r>
      <w:r>
        <w:rPr>
          <w:sz w:val="18"/>
          <w:szCs w:val="18"/>
          <w:lang w:val="es-ES_tradnl"/>
        </w:rPr>
        <w:t>a Katalina Camacho O</w:t>
      </w:r>
      <w:r>
        <w:rPr>
          <w:rFonts w:cs="Times New Roman"/>
          <w:sz w:val="18"/>
          <w:szCs w:val="18"/>
          <w:lang w:val="es-ES_tradnl"/>
        </w:rPr>
        <w:t>ñ</w:t>
      </w:r>
      <w:r>
        <w:rPr>
          <w:sz w:val="18"/>
          <w:szCs w:val="18"/>
          <w:lang w:val="es-ES_tradnl"/>
        </w:rPr>
        <w:t xml:space="preserve">a, en sus calidades de </w:t>
      </w:r>
      <w:r>
        <w:rPr>
          <w:spacing w:val="-4"/>
          <w:sz w:val="18"/>
          <w:szCs w:val="18"/>
          <w:lang w:val="es-ES_tradnl"/>
        </w:rPr>
        <w:t>alcalde y procuradora s</w:t>
      </w:r>
      <w:r>
        <w:rPr>
          <w:rFonts w:cs="Times New Roman"/>
          <w:spacing w:val="-4"/>
          <w:sz w:val="18"/>
          <w:szCs w:val="18"/>
          <w:lang w:val="es-ES_tradnl"/>
        </w:rPr>
        <w:t>í</w:t>
      </w:r>
      <w:r>
        <w:rPr>
          <w:spacing w:val="-4"/>
          <w:sz w:val="18"/>
          <w:szCs w:val="18"/>
          <w:lang w:val="es-ES_tradnl"/>
        </w:rPr>
        <w:t>ndica del Gobierno Aut</w:t>
      </w:r>
      <w:r>
        <w:rPr>
          <w:rFonts w:cs="Times New Roman"/>
          <w:spacing w:val="-4"/>
          <w:sz w:val="18"/>
          <w:szCs w:val="18"/>
          <w:lang w:val="es-ES_tradnl"/>
        </w:rPr>
        <w:t>ó</w:t>
      </w:r>
      <w:r>
        <w:rPr>
          <w:spacing w:val="-4"/>
          <w:sz w:val="18"/>
          <w:szCs w:val="18"/>
          <w:lang w:val="es-ES_tradnl"/>
        </w:rPr>
        <w:t xml:space="preserve">nomo </w:t>
      </w:r>
      <w:r>
        <w:rPr>
          <w:spacing w:val="-3"/>
          <w:sz w:val="18"/>
          <w:szCs w:val="18"/>
          <w:lang w:val="es-ES_tradnl"/>
        </w:rPr>
        <w:t>Descentralizado Municipal de Rumi</w:t>
      </w:r>
      <w:r>
        <w:rPr>
          <w:rFonts w:cs="Times New Roman"/>
          <w:spacing w:val="-3"/>
          <w:sz w:val="18"/>
          <w:szCs w:val="18"/>
          <w:lang w:val="es-ES_tradnl"/>
        </w:rPr>
        <w:t>ñ</w:t>
      </w:r>
      <w:r>
        <w:rPr>
          <w:spacing w:val="-3"/>
          <w:sz w:val="18"/>
          <w:szCs w:val="18"/>
          <w:lang w:val="es-ES_tradnl"/>
        </w:rPr>
        <w:t>ahui (Sangolqu</w:t>
      </w:r>
      <w:r>
        <w:rPr>
          <w:rFonts w:cs="Times New Roman"/>
          <w:spacing w:val="-3"/>
          <w:sz w:val="18"/>
          <w:szCs w:val="18"/>
          <w:lang w:val="es-ES_tradnl"/>
        </w:rPr>
        <w:t>í</w:t>
      </w:r>
      <w:r>
        <w:rPr>
          <w:spacing w:val="-3"/>
          <w:sz w:val="18"/>
          <w:szCs w:val="18"/>
          <w:lang w:val="es-ES_tradnl"/>
        </w:rPr>
        <w:t xml:space="preserve">), </w:t>
      </w:r>
      <w:r>
        <w:rPr>
          <w:spacing w:val="-1"/>
          <w:sz w:val="18"/>
          <w:szCs w:val="18"/>
          <w:lang w:val="es-ES_tradnl"/>
        </w:rPr>
        <w:t xml:space="preserve">respectivamente, quienes en lo principal manifiestan </w:t>
      </w:r>
      <w:r>
        <w:rPr>
          <w:sz w:val="18"/>
          <w:szCs w:val="18"/>
          <w:lang w:val="es-ES_tradnl"/>
        </w:rPr>
        <w:t>que la demanda no cumple los requisitos del art</w:t>
      </w:r>
      <w:r>
        <w:rPr>
          <w:rFonts w:cs="Times New Roman"/>
          <w:sz w:val="18"/>
          <w:szCs w:val="18"/>
          <w:lang w:val="es-ES_tradnl"/>
        </w:rPr>
        <w:t>í</w:t>
      </w:r>
      <w:r>
        <w:rPr>
          <w:sz w:val="18"/>
          <w:szCs w:val="18"/>
          <w:lang w:val="es-ES_tradnl"/>
        </w:rPr>
        <w:t xml:space="preserve">culo </w:t>
      </w:r>
      <w:r>
        <w:rPr>
          <w:spacing w:val="-3"/>
          <w:sz w:val="18"/>
          <w:szCs w:val="18"/>
          <w:lang w:val="es-ES_tradnl"/>
        </w:rPr>
        <w:t>79 numeral 4, e inobserva lo previsto en el art</w:t>
      </w:r>
      <w:r>
        <w:rPr>
          <w:rFonts w:cs="Times New Roman"/>
          <w:spacing w:val="-3"/>
          <w:sz w:val="18"/>
          <w:szCs w:val="18"/>
          <w:lang w:val="es-ES_tradnl"/>
        </w:rPr>
        <w:t>í</w:t>
      </w:r>
      <w:r>
        <w:rPr>
          <w:spacing w:val="-3"/>
          <w:sz w:val="18"/>
          <w:szCs w:val="18"/>
          <w:lang w:val="es-ES_tradnl"/>
        </w:rPr>
        <w:t xml:space="preserve">culo 78 </w:t>
      </w:r>
      <w:r>
        <w:rPr>
          <w:spacing w:val="-6"/>
          <w:sz w:val="18"/>
          <w:szCs w:val="18"/>
          <w:lang w:val="es-ES_tradnl"/>
        </w:rPr>
        <w:t xml:space="preserve">numeral 5 literales </w:t>
      </w:r>
      <w:r>
        <w:rPr>
          <w:b/>
          <w:bCs/>
          <w:spacing w:val="-6"/>
          <w:sz w:val="18"/>
          <w:szCs w:val="18"/>
          <w:lang w:val="es-ES_tradnl"/>
        </w:rPr>
        <w:t xml:space="preserve">a </w:t>
      </w:r>
      <w:r>
        <w:rPr>
          <w:spacing w:val="-6"/>
          <w:sz w:val="18"/>
          <w:szCs w:val="18"/>
          <w:lang w:val="es-ES_tradnl"/>
        </w:rPr>
        <w:t xml:space="preserve">y </w:t>
      </w:r>
      <w:r>
        <w:rPr>
          <w:b/>
          <w:bCs/>
          <w:spacing w:val="-6"/>
          <w:sz w:val="18"/>
          <w:szCs w:val="18"/>
          <w:lang w:val="es-ES_tradnl"/>
        </w:rPr>
        <w:t xml:space="preserve">b </w:t>
      </w:r>
      <w:r>
        <w:rPr>
          <w:spacing w:val="-6"/>
          <w:sz w:val="18"/>
          <w:szCs w:val="18"/>
          <w:lang w:val="es-ES_tradnl"/>
        </w:rPr>
        <w:t>de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w:t>
      </w:r>
      <w:r>
        <w:rPr>
          <w:spacing w:val="-3"/>
          <w:sz w:val="18"/>
          <w:szCs w:val="18"/>
          <w:lang w:val="es-ES_tradnl"/>
        </w:rPr>
        <w:t xml:space="preserve">Jurisdiccionales y Control Constitucional, pues se limita </w:t>
      </w:r>
      <w:r>
        <w:rPr>
          <w:spacing w:val="-4"/>
          <w:sz w:val="18"/>
          <w:szCs w:val="18"/>
          <w:lang w:val="es-ES_tradnl"/>
        </w:rPr>
        <w:t>a transcribir art</w:t>
      </w:r>
      <w:r>
        <w:rPr>
          <w:rFonts w:cs="Times New Roman"/>
          <w:spacing w:val="-4"/>
          <w:sz w:val="18"/>
          <w:szCs w:val="18"/>
          <w:lang w:val="es-ES_tradnl"/>
        </w:rPr>
        <w:t>í</w:t>
      </w:r>
      <w:r>
        <w:rPr>
          <w:spacing w:val="-4"/>
          <w:sz w:val="18"/>
          <w:szCs w:val="18"/>
          <w:lang w:val="es-ES_tradnl"/>
        </w:rPr>
        <w:t>culos de la Constituci</w:t>
      </w:r>
      <w:r>
        <w:rPr>
          <w:rFonts w:cs="Times New Roman"/>
          <w:spacing w:val="-4"/>
          <w:sz w:val="18"/>
          <w:szCs w:val="18"/>
          <w:lang w:val="es-ES_tradnl"/>
        </w:rPr>
        <w:t>ó</w:t>
      </w:r>
      <w:r>
        <w:rPr>
          <w:spacing w:val="-4"/>
          <w:sz w:val="18"/>
          <w:szCs w:val="18"/>
          <w:lang w:val="es-ES_tradnl"/>
        </w:rPr>
        <w:t>n, la Ley Org</w:t>
      </w:r>
      <w:r>
        <w:rPr>
          <w:rFonts w:cs="Times New Roman"/>
          <w:spacing w:val="-4"/>
          <w:sz w:val="18"/>
          <w:szCs w:val="18"/>
          <w:lang w:val="es-ES_tradnl"/>
        </w:rPr>
        <w:t>á</w:t>
      </w:r>
      <w:r>
        <w:rPr>
          <w:spacing w:val="-4"/>
          <w:sz w:val="18"/>
          <w:szCs w:val="18"/>
          <w:lang w:val="es-ES_tradnl"/>
        </w:rPr>
        <w:t>nica de Participaci</w:t>
      </w:r>
      <w:r>
        <w:rPr>
          <w:rFonts w:cs="Times New Roman"/>
          <w:spacing w:val="-4"/>
          <w:sz w:val="18"/>
          <w:szCs w:val="18"/>
          <w:lang w:val="es-ES_tradnl"/>
        </w:rPr>
        <w:t>ó</w:t>
      </w:r>
      <w:r>
        <w:rPr>
          <w:spacing w:val="-4"/>
          <w:sz w:val="18"/>
          <w:szCs w:val="18"/>
          <w:lang w:val="es-ES_tradnl"/>
        </w:rPr>
        <w:t>n Ciudadana y el C</w:t>
      </w:r>
      <w:r>
        <w:rPr>
          <w:rFonts w:cs="Times New Roman"/>
          <w:spacing w:val="-4"/>
          <w:sz w:val="18"/>
          <w:szCs w:val="18"/>
          <w:lang w:val="es-ES_tradnl"/>
        </w:rPr>
        <w:t>ó</w:t>
      </w:r>
      <w:r>
        <w:rPr>
          <w:spacing w:val="-4"/>
          <w:sz w:val="18"/>
          <w:szCs w:val="18"/>
          <w:lang w:val="es-ES_tradnl"/>
        </w:rPr>
        <w:t>digo Org</w:t>
      </w:r>
      <w:r>
        <w:rPr>
          <w:rFonts w:cs="Times New Roman"/>
          <w:spacing w:val="-4"/>
          <w:sz w:val="18"/>
          <w:szCs w:val="18"/>
          <w:lang w:val="es-ES_tradnl"/>
        </w:rPr>
        <w:t>á</w:t>
      </w:r>
      <w:r>
        <w:rPr>
          <w:spacing w:val="-4"/>
          <w:sz w:val="18"/>
          <w:szCs w:val="18"/>
          <w:lang w:val="es-ES_tradnl"/>
        </w:rPr>
        <w:t>nico de Organizaci</w:t>
      </w:r>
      <w:r>
        <w:rPr>
          <w:rFonts w:cs="Times New Roman"/>
          <w:spacing w:val="-4"/>
          <w:sz w:val="18"/>
          <w:szCs w:val="18"/>
          <w:lang w:val="es-ES_tradnl"/>
        </w:rPr>
        <w:t>ó</w:t>
      </w:r>
      <w:r>
        <w:rPr>
          <w:spacing w:val="-4"/>
          <w:sz w:val="18"/>
          <w:szCs w:val="18"/>
          <w:lang w:val="es-ES_tradnl"/>
        </w:rPr>
        <w:t>n Territorial, Autonom</w:t>
      </w:r>
      <w:r>
        <w:rPr>
          <w:rFonts w:cs="Times New Roman"/>
          <w:spacing w:val="-4"/>
          <w:sz w:val="18"/>
          <w:szCs w:val="18"/>
          <w:lang w:val="es-ES_tradnl"/>
        </w:rPr>
        <w:t>í</w:t>
      </w:r>
      <w:r>
        <w:rPr>
          <w:spacing w:val="-4"/>
          <w:sz w:val="18"/>
          <w:szCs w:val="18"/>
          <w:lang w:val="es-ES_tradnl"/>
        </w:rPr>
        <w:t>a y Descentralizaci</w:t>
      </w:r>
      <w:r>
        <w:rPr>
          <w:rFonts w:cs="Times New Roman"/>
          <w:spacing w:val="-4"/>
          <w:sz w:val="18"/>
          <w:szCs w:val="18"/>
          <w:lang w:val="es-ES_tradnl"/>
        </w:rPr>
        <w:t>ó</w:t>
      </w:r>
      <w:r>
        <w:rPr>
          <w:spacing w:val="-4"/>
          <w:sz w:val="18"/>
          <w:szCs w:val="18"/>
          <w:lang w:val="es-ES_tradnl"/>
        </w:rPr>
        <w:t xml:space="preserve">n </w:t>
      </w:r>
      <w:r>
        <w:rPr>
          <w:spacing w:val="-5"/>
          <w:sz w:val="18"/>
          <w:szCs w:val="18"/>
          <w:lang w:val="es-ES_tradnl"/>
        </w:rPr>
        <w:t>(COOTAD), sin especificar cu</w:t>
      </w:r>
      <w:r>
        <w:rPr>
          <w:rFonts w:cs="Times New Roman"/>
          <w:spacing w:val="-5"/>
          <w:sz w:val="18"/>
          <w:szCs w:val="18"/>
          <w:lang w:val="es-ES_tradnl"/>
        </w:rPr>
        <w:t>á</w:t>
      </w:r>
      <w:r>
        <w:rPr>
          <w:spacing w:val="-5"/>
          <w:sz w:val="18"/>
          <w:szCs w:val="18"/>
          <w:lang w:val="es-ES_tradnl"/>
        </w:rPr>
        <w:t xml:space="preserve">l es la norma que acusa </w:t>
      </w:r>
      <w:r>
        <w:rPr>
          <w:spacing w:val="-6"/>
          <w:sz w:val="18"/>
          <w:szCs w:val="18"/>
          <w:lang w:val="es-ES_tradnl"/>
        </w:rPr>
        <w:t>como inconstitucional, ni se</w:t>
      </w:r>
      <w:r>
        <w:rPr>
          <w:rFonts w:cs="Times New Roman"/>
          <w:spacing w:val="-6"/>
          <w:sz w:val="18"/>
          <w:szCs w:val="18"/>
          <w:lang w:val="es-ES_tradnl"/>
        </w:rPr>
        <w:t>ñ</w:t>
      </w:r>
      <w:r>
        <w:rPr>
          <w:spacing w:val="-6"/>
          <w:sz w:val="18"/>
          <w:szCs w:val="18"/>
          <w:lang w:val="es-ES_tradnl"/>
        </w:rPr>
        <w:t>ala qu</w:t>
      </w:r>
      <w:r>
        <w:rPr>
          <w:rFonts w:cs="Times New Roman"/>
          <w:spacing w:val="-6"/>
          <w:sz w:val="18"/>
          <w:szCs w:val="18"/>
          <w:lang w:val="es-ES_tradnl"/>
        </w:rPr>
        <w:t>é</w:t>
      </w:r>
      <w:r>
        <w:rPr>
          <w:spacing w:val="-6"/>
          <w:sz w:val="18"/>
          <w:szCs w:val="18"/>
          <w:lang w:val="es-ES_tradnl"/>
        </w:rPr>
        <w:t xml:space="preserve"> norma constitucional</w:t>
      </w:r>
    </w:p>
    <w:p w14:paraId="4F67A6E8" w14:textId="77777777" w:rsidR="00591D54" w:rsidRDefault="00591D54">
      <w:pPr>
        <w:shd w:val="clear" w:color="auto" w:fill="FFFFFF"/>
        <w:spacing w:before="5" w:line="216" w:lineRule="exact"/>
        <w:jc w:val="both"/>
      </w:pPr>
      <w:r>
        <w:br w:type="column"/>
      </w:r>
      <w:r>
        <w:rPr>
          <w:spacing w:val="-5"/>
          <w:sz w:val="18"/>
          <w:szCs w:val="18"/>
          <w:lang w:val="es-ES_tradnl"/>
        </w:rPr>
        <w:t xml:space="preserve">es la supuestamente infringida por la Ordenanza que </w:t>
      </w:r>
      <w:r>
        <w:rPr>
          <w:spacing w:val="-2"/>
          <w:sz w:val="18"/>
          <w:szCs w:val="18"/>
          <w:lang w:val="es-ES_tradnl"/>
        </w:rPr>
        <w:t xml:space="preserve">impugna, y por el contrario, imputa a dicho cuerpo </w:t>
      </w:r>
      <w:r>
        <w:rPr>
          <w:spacing w:val="-4"/>
          <w:sz w:val="18"/>
          <w:szCs w:val="18"/>
          <w:lang w:val="es-ES_tradnl"/>
        </w:rPr>
        <w:t>normativo la presunta contradicci</w:t>
      </w:r>
      <w:r>
        <w:rPr>
          <w:rFonts w:cs="Times New Roman"/>
          <w:spacing w:val="-4"/>
          <w:sz w:val="18"/>
          <w:szCs w:val="18"/>
          <w:lang w:val="es-ES_tradnl"/>
        </w:rPr>
        <w:t>ó</w:t>
      </w:r>
      <w:r>
        <w:rPr>
          <w:spacing w:val="-4"/>
          <w:sz w:val="18"/>
          <w:szCs w:val="18"/>
          <w:lang w:val="es-ES_tradnl"/>
        </w:rPr>
        <w:t xml:space="preserve">n con varias leyes, de </w:t>
      </w:r>
      <w:r>
        <w:rPr>
          <w:spacing w:val="-9"/>
          <w:sz w:val="18"/>
          <w:szCs w:val="18"/>
          <w:lang w:val="es-ES_tradnl"/>
        </w:rPr>
        <w:t>lo cual se infiere que la presente acci</w:t>
      </w:r>
      <w:r>
        <w:rPr>
          <w:rFonts w:cs="Times New Roman"/>
          <w:spacing w:val="-9"/>
          <w:sz w:val="18"/>
          <w:szCs w:val="18"/>
          <w:lang w:val="es-ES_tradnl"/>
        </w:rPr>
        <w:t>ó</w:t>
      </w:r>
      <w:r>
        <w:rPr>
          <w:spacing w:val="-9"/>
          <w:sz w:val="18"/>
          <w:szCs w:val="18"/>
          <w:lang w:val="es-ES_tradnl"/>
        </w:rPr>
        <w:t xml:space="preserve">n trata sobre asuntos </w:t>
      </w:r>
      <w:r>
        <w:rPr>
          <w:sz w:val="18"/>
          <w:szCs w:val="18"/>
          <w:lang w:val="es-ES_tradnl"/>
        </w:rPr>
        <w:t>de mera legalidad.</w:t>
      </w:r>
    </w:p>
    <w:p w14:paraId="4F67A6E9" w14:textId="77777777" w:rsidR="00591D54" w:rsidRDefault="00591D54">
      <w:pPr>
        <w:shd w:val="clear" w:color="auto" w:fill="FFFFFF"/>
        <w:spacing w:before="197" w:line="216" w:lineRule="exact"/>
        <w:jc w:val="both"/>
      </w:pPr>
      <w:r>
        <w:rPr>
          <w:spacing w:val="-6"/>
          <w:sz w:val="18"/>
          <w:szCs w:val="18"/>
          <w:lang w:val="es-ES_tradnl"/>
        </w:rPr>
        <w:t>Que la Ordenanza del Sistema de Gesti</w:t>
      </w:r>
      <w:r>
        <w:rPr>
          <w:rFonts w:cs="Times New Roman"/>
          <w:spacing w:val="-6"/>
          <w:sz w:val="18"/>
          <w:szCs w:val="18"/>
          <w:lang w:val="es-ES_tradnl"/>
        </w:rPr>
        <w:t>ó</w:t>
      </w:r>
      <w:r>
        <w:rPr>
          <w:spacing w:val="-6"/>
          <w:sz w:val="18"/>
          <w:szCs w:val="18"/>
          <w:lang w:val="es-ES_tradnl"/>
        </w:rPr>
        <w:t>n y Participaci</w:t>
      </w:r>
      <w:r>
        <w:rPr>
          <w:rFonts w:cs="Times New Roman"/>
          <w:spacing w:val="-6"/>
          <w:sz w:val="18"/>
          <w:szCs w:val="18"/>
          <w:lang w:val="es-ES_tradnl"/>
        </w:rPr>
        <w:t>ó</w:t>
      </w:r>
      <w:r>
        <w:rPr>
          <w:spacing w:val="-6"/>
          <w:sz w:val="18"/>
          <w:szCs w:val="18"/>
          <w:lang w:val="es-ES_tradnl"/>
        </w:rPr>
        <w:t xml:space="preserve">n </w:t>
      </w:r>
      <w:r>
        <w:rPr>
          <w:spacing w:val="-5"/>
          <w:sz w:val="18"/>
          <w:szCs w:val="18"/>
          <w:lang w:val="es-ES_tradnl"/>
        </w:rPr>
        <w:t>Ciudadana del cant</w:t>
      </w:r>
      <w:r>
        <w:rPr>
          <w:rFonts w:cs="Times New Roman"/>
          <w:spacing w:val="-5"/>
          <w:sz w:val="18"/>
          <w:szCs w:val="18"/>
          <w:lang w:val="es-ES_tradnl"/>
        </w:rPr>
        <w:t>ó</w:t>
      </w:r>
      <w:r>
        <w:rPr>
          <w:spacing w:val="-5"/>
          <w:sz w:val="18"/>
          <w:szCs w:val="18"/>
          <w:lang w:val="es-ES_tradnl"/>
        </w:rPr>
        <w:t>n Rumi</w:t>
      </w:r>
      <w:r>
        <w:rPr>
          <w:rFonts w:cs="Times New Roman"/>
          <w:spacing w:val="-5"/>
          <w:sz w:val="18"/>
          <w:szCs w:val="18"/>
          <w:lang w:val="es-ES_tradnl"/>
        </w:rPr>
        <w:t>ñ</w:t>
      </w:r>
      <w:r>
        <w:rPr>
          <w:spacing w:val="-5"/>
          <w:sz w:val="18"/>
          <w:szCs w:val="18"/>
          <w:lang w:val="es-ES_tradnl"/>
        </w:rPr>
        <w:t xml:space="preserve">ahui no transgrede el </w:t>
      </w:r>
      <w:r>
        <w:rPr>
          <w:spacing w:val="-6"/>
          <w:sz w:val="18"/>
          <w:szCs w:val="18"/>
          <w:lang w:val="es-ES_tradnl"/>
        </w:rPr>
        <w:t>ordenamiento jur</w:t>
      </w:r>
      <w:r>
        <w:rPr>
          <w:rFonts w:cs="Times New Roman"/>
          <w:spacing w:val="-6"/>
          <w:sz w:val="18"/>
          <w:szCs w:val="18"/>
          <w:lang w:val="es-ES_tradnl"/>
        </w:rPr>
        <w:t>í</w:t>
      </w:r>
      <w:r>
        <w:rPr>
          <w:spacing w:val="-6"/>
          <w:sz w:val="18"/>
          <w:szCs w:val="18"/>
          <w:lang w:val="es-ES_tradnl"/>
        </w:rPr>
        <w:t xml:space="preserve">dico ni infringe normas constitucionales, </w:t>
      </w:r>
      <w:r>
        <w:rPr>
          <w:spacing w:val="-5"/>
          <w:sz w:val="18"/>
          <w:szCs w:val="18"/>
          <w:lang w:val="es-ES_tradnl"/>
        </w:rPr>
        <w:t xml:space="preserve">pues dicha ordenanza fue discutida y aprobada por el Concejo Municipal en dos debates, como ordena la ley </w:t>
      </w:r>
      <w:r>
        <w:rPr>
          <w:sz w:val="18"/>
          <w:szCs w:val="18"/>
          <w:lang w:val="es-ES_tradnl"/>
        </w:rPr>
        <w:t>(COOTAD).</w:t>
      </w:r>
    </w:p>
    <w:p w14:paraId="4F67A6EA" w14:textId="77777777" w:rsidR="00591D54" w:rsidRDefault="00591D54">
      <w:pPr>
        <w:shd w:val="clear" w:color="auto" w:fill="FFFFFF"/>
        <w:spacing w:before="197" w:line="216" w:lineRule="exact"/>
        <w:jc w:val="both"/>
      </w:pPr>
      <w:r>
        <w:rPr>
          <w:sz w:val="18"/>
          <w:szCs w:val="18"/>
          <w:lang w:val="es-ES_tradnl"/>
        </w:rPr>
        <w:t>Que con relaci</w:t>
      </w:r>
      <w:r>
        <w:rPr>
          <w:rFonts w:cs="Times New Roman"/>
          <w:sz w:val="18"/>
          <w:szCs w:val="18"/>
          <w:lang w:val="es-ES_tradnl"/>
        </w:rPr>
        <w:t>ó</w:t>
      </w:r>
      <w:r>
        <w:rPr>
          <w:sz w:val="18"/>
          <w:szCs w:val="18"/>
          <w:lang w:val="es-ES_tradnl"/>
        </w:rPr>
        <w:t>n a la Asamblea Cantonal de Gesti</w:t>
      </w:r>
      <w:r>
        <w:rPr>
          <w:rFonts w:cs="Times New Roman"/>
          <w:sz w:val="18"/>
          <w:szCs w:val="18"/>
          <w:lang w:val="es-ES_tradnl"/>
        </w:rPr>
        <w:t>ó</w:t>
      </w:r>
      <w:r>
        <w:rPr>
          <w:sz w:val="18"/>
          <w:szCs w:val="18"/>
          <w:lang w:val="es-ES_tradnl"/>
        </w:rPr>
        <w:t xml:space="preserve">n </w:t>
      </w:r>
      <w:r>
        <w:rPr>
          <w:spacing w:val="-5"/>
          <w:sz w:val="18"/>
          <w:szCs w:val="18"/>
          <w:lang w:val="es-ES_tradnl"/>
        </w:rPr>
        <w:t>y Participaci</w:t>
      </w:r>
      <w:r>
        <w:rPr>
          <w:rFonts w:cs="Times New Roman"/>
          <w:spacing w:val="-5"/>
          <w:sz w:val="18"/>
          <w:szCs w:val="18"/>
          <w:lang w:val="es-ES_tradnl"/>
        </w:rPr>
        <w:t>ó</w:t>
      </w:r>
      <w:r>
        <w:rPr>
          <w:spacing w:val="-5"/>
          <w:sz w:val="18"/>
          <w:szCs w:val="18"/>
          <w:lang w:val="es-ES_tradnl"/>
        </w:rPr>
        <w:t>n Ciudadana del a</w:t>
      </w:r>
      <w:r>
        <w:rPr>
          <w:rFonts w:cs="Times New Roman"/>
          <w:spacing w:val="-5"/>
          <w:sz w:val="18"/>
          <w:szCs w:val="18"/>
          <w:lang w:val="es-ES_tradnl"/>
        </w:rPr>
        <w:t>ñ</w:t>
      </w:r>
      <w:r>
        <w:rPr>
          <w:spacing w:val="-5"/>
          <w:sz w:val="18"/>
          <w:szCs w:val="18"/>
          <w:lang w:val="es-ES_tradnl"/>
        </w:rPr>
        <w:t xml:space="preserve">o 2011, la misma se </w:t>
      </w:r>
      <w:r>
        <w:rPr>
          <w:spacing w:val="-3"/>
          <w:sz w:val="18"/>
          <w:szCs w:val="18"/>
          <w:lang w:val="es-ES_tradnl"/>
        </w:rPr>
        <w:t>construy</w:t>
      </w:r>
      <w:r>
        <w:rPr>
          <w:rFonts w:cs="Times New Roman"/>
          <w:spacing w:val="-3"/>
          <w:sz w:val="18"/>
          <w:szCs w:val="18"/>
          <w:lang w:val="es-ES_tradnl"/>
        </w:rPr>
        <w:t>ó</w:t>
      </w:r>
      <w:r>
        <w:rPr>
          <w:spacing w:val="-3"/>
          <w:sz w:val="18"/>
          <w:szCs w:val="18"/>
          <w:lang w:val="es-ES_tradnl"/>
        </w:rPr>
        <w:t xml:space="preserve"> de conformidad con la Constituci</w:t>
      </w:r>
      <w:r>
        <w:rPr>
          <w:rFonts w:cs="Times New Roman"/>
          <w:spacing w:val="-3"/>
          <w:sz w:val="18"/>
          <w:szCs w:val="18"/>
          <w:lang w:val="es-ES_tradnl"/>
        </w:rPr>
        <w:t>ó</w:t>
      </w:r>
      <w:r>
        <w:rPr>
          <w:spacing w:val="-3"/>
          <w:sz w:val="18"/>
          <w:szCs w:val="18"/>
          <w:lang w:val="es-ES_tradnl"/>
        </w:rPr>
        <w:t xml:space="preserve">n, la Ley </w:t>
      </w:r>
      <w:r>
        <w:rPr>
          <w:sz w:val="18"/>
          <w:szCs w:val="18"/>
          <w:lang w:val="es-ES_tradnl"/>
        </w:rPr>
        <w:t>Org</w:t>
      </w:r>
      <w:r>
        <w:rPr>
          <w:rFonts w:cs="Times New Roman"/>
          <w:sz w:val="18"/>
          <w:szCs w:val="18"/>
          <w:lang w:val="es-ES_tradnl"/>
        </w:rPr>
        <w:t>á</w:t>
      </w:r>
      <w:r>
        <w:rPr>
          <w:sz w:val="18"/>
          <w:szCs w:val="18"/>
          <w:lang w:val="es-ES_tradnl"/>
        </w:rPr>
        <w:t>nica de Participaci</w:t>
      </w:r>
      <w:r>
        <w:rPr>
          <w:rFonts w:cs="Times New Roman"/>
          <w:sz w:val="18"/>
          <w:szCs w:val="18"/>
          <w:lang w:val="es-ES_tradnl"/>
        </w:rPr>
        <w:t>ó</w:t>
      </w:r>
      <w:r>
        <w:rPr>
          <w:sz w:val="18"/>
          <w:szCs w:val="18"/>
          <w:lang w:val="es-ES_tradnl"/>
        </w:rPr>
        <w:t xml:space="preserve">n Ciudadana y el COOTAD, </w:t>
      </w:r>
      <w:r>
        <w:rPr>
          <w:spacing w:val="-6"/>
          <w:sz w:val="18"/>
          <w:szCs w:val="18"/>
          <w:lang w:val="es-ES_tradnl"/>
        </w:rPr>
        <w:t xml:space="preserve">es decir, con delegados de los barrios y comunidades </w:t>
      </w:r>
      <w:r>
        <w:rPr>
          <w:spacing w:val="-1"/>
          <w:sz w:val="18"/>
          <w:szCs w:val="18"/>
          <w:lang w:val="es-ES_tradnl"/>
        </w:rPr>
        <w:t>parroquiales y los sectores de atenci</w:t>
      </w:r>
      <w:r>
        <w:rPr>
          <w:rFonts w:cs="Times New Roman"/>
          <w:spacing w:val="-1"/>
          <w:sz w:val="18"/>
          <w:szCs w:val="18"/>
          <w:lang w:val="es-ES_tradnl"/>
        </w:rPr>
        <w:t>ó</w:t>
      </w:r>
      <w:r>
        <w:rPr>
          <w:spacing w:val="-1"/>
          <w:sz w:val="18"/>
          <w:szCs w:val="18"/>
          <w:lang w:val="es-ES_tradnl"/>
        </w:rPr>
        <w:t xml:space="preserve">n prioritaria; </w:t>
      </w:r>
      <w:r>
        <w:rPr>
          <w:spacing w:val="-6"/>
          <w:sz w:val="18"/>
          <w:szCs w:val="18"/>
          <w:lang w:val="es-ES_tradnl"/>
        </w:rPr>
        <w:t xml:space="preserve">asimismo, se efectuaron asambleas territoriales de las </w:t>
      </w:r>
      <w:r>
        <w:rPr>
          <w:spacing w:val="-8"/>
          <w:sz w:val="18"/>
          <w:szCs w:val="18"/>
          <w:lang w:val="es-ES_tradnl"/>
        </w:rPr>
        <w:t>parroquias urbanas Sangolqu</w:t>
      </w:r>
      <w:r>
        <w:rPr>
          <w:rFonts w:cs="Times New Roman"/>
          <w:spacing w:val="-8"/>
          <w:sz w:val="18"/>
          <w:szCs w:val="18"/>
          <w:lang w:val="es-ES_tradnl"/>
        </w:rPr>
        <w:t>í</w:t>
      </w:r>
      <w:r>
        <w:rPr>
          <w:spacing w:val="-8"/>
          <w:sz w:val="18"/>
          <w:szCs w:val="18"/>
          <w:lang w:val="es-ES_tradnl"/>
        </w:rPr>
        <w:t xml:space="preserve">, San Rafael y San Pedro de </w:t>
      </w:r>
      <w:r>
        <w:rPr>
          <w:spacing w:val="-6"/>
          <w:sz w:val="18"/>
          <w:szCs w:val="18"/>
          <w:lang w:val="es-ES_tradnl"/>
        </w:rPr>
        <w:t>Taboada, y talleres con los grupos de atenci</w:t>
      </w:r>
      <w:r>
        <w:rPr>
          <w:rFonts w:cs="Times New Roman"/>
          <w:spacing w:val="-6"/>
          <w:sz w:val="18"/>
          <w:szCs w:val="18"/>
          <w:lang w:val="es-ES_tradnl"/>
        </w:rPr>
        <w:t>ó</w:t>
      </w:r>
      <w:r>
        <w:rPr>
          <w:spacing w:val="-6"/>
          <w:sz w:val="18"/>
          <w:szCs w:val="18"/>
          <w:lang w:val="es-ES_tradnl"/>
        </w:rPr>
        <w:t xml:space="preserve">n prioritaria, </w:t>
      </w:r>
      <w:r>
        <w:rPr>
          <w:spacing w:val="-4"/>
          <w:sz w:val="18"/>
          <w:szCs w:val="18"/>
          <w:lang w:val="es-ES_tradnl"/>
        </w:rPr>
        <w:t>en las cuales se recopil</w:t>
      </w:r>
      <w:r>
        <w:rPr>
          <w:rFonts w:cs="Times New Roman"/>
          <w:spacing w:val="-4"/>
          <w:sz w:val="18"/>
          <w:szCs w:val="18"/>
          <w:lang w:val="es-ES_tradnl"/>
        </w:rPr>
        <w:t>ó</w:t>
      </w:r>
      <w:r>
        <w:rPr>
          <w:spacing w:val="-4"/>
          <w:sz w:val="18"/>
          <w:szCs w:val="18"/>
          <w:lang w:val="es-ES_tradnl"/>
        </w:rPr>
        <w:t xml:space="preserve"> sus propuestas y se nombr</w:t>
      </w:r>
      <w:r>
        <w:rPr>
          <w:rFonts w:cs="Times New Roman"/>
          <w:spacing w:val="-4"/>
          <w:sz w:val="18"/>
          <w:szCs w:val="18"/>
          <w:lang w:val="es-ES_tradnl"/>
        </w:rPr>
        <w:t>ó</w:t>
      </w:r>
      <w:r>
        <w:rPr>
          <w:spacing w:val="-4"/>
          <w:sz w:val="18"/>
          <w:szCs w:val="18"/>
          <w:lang w:val="es-ES_tradnl"/>
        </w:rPr>
        <w:t xml:space="preserve"> a </w:t>
      </w:r>
      <w:r>
        <w:rPr>
          <w:spacing w:val="-5"/>
          <w:sz w:val="18"/>
          <w:szCs w:val="18"/>
          <w:lang w:val="es-ES_tradnl"/>
        </w:rPr>
        <w:t xml:space="preserve">los delegados y delegadas a la Asamblea Cantonal para </w:t>
      </w:r>
      <w:r>
        <w:rPr>
          <w:spacing w:val="-4"/>
          <w:sz w:val="18"/>
          <w:szCs w:val="18"/>
          <w:lang w:val="es-ES_tradnl"/>
        </w:rPr>
        <w:t xml:space="preserve">el ejercicio del presupuesto participativo. Para el efecto, </w:t>
      </w:r>
      <w:r>
        <w:rPr>
          <w:spacing w:val="-3"/>
          <w:sz w:val="18"/>
          <w:szCs w:val="18"/>
          <w:lang w:val="es-ES_tradnl"/>
        </w:rPr>
        <w:t>el Municipio de Rumi</w:t>
      </w:r>
      <w:r>
        <w:rPr>
          <w:rFonts w:cs="Times New Roman"/>
          <w:spacing w:val="-3"/>
          <w:sz w:val="18"/>
          <w:szCs w:val="18"/>
          <w:lang w:val="es-ES_tradnl"/>
        </w:rPr>
        <w:t>ñ</w:t>
      </w:r>
      <w:r>
        <w:rPr>
          <w:spacing w:val="-3"/>
          <w:sz w:val="18"/>
          <w:szCs w:val="18"/>
          <w:lang w:val="es-ES_tradnl"/>
        </w:rPr>
        <w:t>ahui despleg</w:t>
      </w:r>
      <w:r>
        <w:rPr>
          <w:rFonts w:cs="Times New Roman"/>
          <w:spacing w:val="-3"/>
          <w:sz w:val="18"/>
          <w:szCs w:val="18"/>
          <w:lang w:val="es-ES_tradnl"/>
        </w:rPr>
        <w:t>ó</w:t>
      </w:r>
      <w:r>
        <w:rPr>
          <w:spacing w:val="-3"/>
          <w:sz w:val="18"/>
          <w:szCs w:val="18"/>
          <w:lang w:val="es-ES_tradnl"/>
        </w:rPr>
        <w:t xml:space="preserve"> varias formas de </w:t>
      </w:r>
      <w:r>
        <w:rPr>
          <w:spacing w:val="-7"/>
          <w:sz w:val="18"/>
          <w:szCs w:val="18"/>
          <w:lang w:val="es-ES_tradnl"/>
        </w:rPr>
        <w:t xml:space="preserve">convocatoria, como las siguientes: mapeo de actores con </w:t>
      </w:r>
      <w:r>
        <w:rPr>
          <w:spacing w:val="-4"/>
          <w:sz w:val="18"/>
          <w:szCs w:val="18"/>
          <w:lang w:val="es-ES_tradnl"/>
        </w:rPr>
        <w:t>an</w:t>
      </w:r>
      <w:r>
        <w:rPr>
          <w:rFonts w:cs="Times New Roman"/>
          <w:spacing w:val="-4"/>
          <w:sz w:val="18"/>
          <w:szCs w:val="18"/>
          <w:lang w:val="es-ES_tradnl"/>
        </w:rPr>
        <w:t>á</w:t>
      </w:r>
      <w:r>
        <w:rPr>
          <w:spacing w:val="-4"/>
          <w:sz w:val="18"/>
          <w:szCs w:val="18"/>
          <w:lang w:val="es-ES_tradnl"/>
        </w:rPr>
        <w:t>lisis territorial (identificaci</w:t>
      </w:r>
      <w:r>
        <w:rPr>
          <w:rFonts w:cs="Times New Roman"/>
          <w:spacing w:val="-4"/>
          <w:sz w:val="18"/>
          <w:szCs w:val="18"/>
          <w:lang w:val="es-ES_tradnl"/>
        </w:rPr>
        <w:t>ó</w:t>
      </w:r>
      <w:r>
        <w:rPr>
          <w:spacing w:val="-4"/>
          <w:sz w:val="18"/>
          <w:szCs w:val="18"/>
          <w:lang w:val="es-ES_tradnl"/>
        </w:rPr>
        <w:t xml:space="preserve">n de barrios existentes en </w:t>
      </w:r>
      <w:r>
        <w:rPr>
          <w:spacing w:val="-8"/>
          <w:sz w:val="18"/>
          <w:szCs w:val="18"/>
          <w:lang w:val="es-ES_tradnl"/>
        </w:rPr>
        <w:t>las parroquias); identificaci</w:t>
      </w:r>
      <w:r>
        <w:rPr>
          <w:rFonts w:cs="Times New Roman"/>
          <w:spacing w:val="-8"/>
          <w:sz w:val="18"/>
          <w:szCs w:val="18"/>
          <w:lang w:val="es-ES_tradnl"/>
        </w:rPr>
        <w:t>ó</w:t>
      </w:r>
      <w:r>
        <w:rPr>
          <w:spacing w:val="-8"/>
          <w:sz w:val="18"/>
          <w:szCs w:val="18"/>
          <w:lang w:val="es-ES_tradnl"/>
        </w:rPr>
        <w:t xml:space="preserve">n de actores claves (identificar </w:t>
      </w:r>
      <w:r>
        <w:rPr>
          <w:spacing w:val="-3"/>
          <w:sz w:val="18"/>
          <w:szCs w:val="18"/>
          <w:lang w:val="es-ES_tradnl"/>
        </w:rPr>
        <w:t>a los dirigentes para socializar la informaci</w:t>
      </w:r>
      <w:r>
        <w:rPr>
          <w:rFonts w:cs="Times New Roman"/>
          <w:spacing w:val="-3"/>
          <w:sz w:val="18"/>
          <w:szCs w:val="18"/>
          <w:lang w:val="es-ES_tradnl"/>
        </w:rPr>
        <w:t>ó</w:t>
      </w:r>
      <w:r>
        <w:rPr>
          <w:spacing w:val="-3"/>
          <w:sz w:val="18"/>
          <w:szCs w:val="18"/>
          <w:lang w:val="es-ES_tradnl"/>
        </w:rPr>
        <w:t>n); difusi</w:t>
      </w:r>
      <w:r>
        <w:rPr>
          <w:rFonts w:cs="Times New Roman"/>
          <w:spacing w:val="-3"/>
          <w:sz w:val="18"/>
          <w:szCs w:val="18"/>
          <w:lang w:val="es-ES_tradnl"/>
        </w:rPr>
        <w:t>ó</w:t>
      </w:r>
      <w:r>
        <w:rPr>
          <w:spacing w:val="-3"/>
          <w:sz w:val="18"/>
          <w:szCs w:val="18"/>
          <w:lang w:val="es-ES_tradnl"/>
        </w:rPr>
        <w:t xml:space="preserve">n </w:t>
      </w:r>
      <w:r>
        <w:rPr>
          <w:spacing w:val="-8"/>
          <w:sz w:val="18"/>
          <w:szCs w:val="18"/>
          <w:lang w:val="es-ES_tradnl"/>
        </w:rPr>
        <w:t xml:space="preserve">de las asambleas ciudadanas (perifoneo en las parroquias, </w:t>
      </w:r>
      <w:r>
        <w:rPr>
          <w:spacing w:val="-2"/>
          <w:sz w:val="18"/>
          <w:szCs w:val="18"/>
          <w:lang w:val="es-ES_tradnl"/>
        </w:rPr>
        <w:t>invitaci</w:t>
      </w:r>
      <w:r>
        <w:rPr>
          <w:rFonts w:cs="Times New Roman"/>
          <w:spacing w:val="-2"/>
          <w:sz w:val="18"/>
          <w:szCs w:val="18"/>
          <w:lang w:val="es-ES_tradnl"/>
        </w:rPr>
        <w:t>ó</w:t>
      </w:r>
      <w:r>
        <w:rPr>
          <w:spacing w:val="-2"/>
          <w:sz w:val="18"/>
          <w:szCs w:val="18"/>
          <w:lang w:val="es-ES_tradnl"/>
        </w:rPr>
        <w:t>n por la emisora de radio local, invitaci</w:t>
      </w:r>
      <w:r>
        <w:rPr>
          <w:rFonts w:cs="Times New Roman"/>
          <w:spacing w:val="-2"/>
          <w:sz w:val="18"/>
          <w:szCs w:val="18"/>
          <w:lang w:val="es-ES_tradnl"/>
        </w:rPr>
        <w:t>ó</w:t>
      </w:r>
      <w:r>
        <w:rPr>
          <w:spacing w:val="-2"/>
          <w:sz w:val="18"/>
          <w:szCs w:val="18"/>
          <w:lang w:val="es-ES_tradnl"/>
        </w:rPr>
        <w:t xml:space="preserve">n por </w:t>
      </w:r>
      <w:r>
        <w:rPr>
          <w:spacing w:val="-4"/>
          <w:sz w:val="18"/>
          <w:szCs w:val="18"/>
          <w:lang w:val="es-ES_tradnl"/>
        </w:rPr>
        <w:t>medio de las directivas barriales, entrega de tr</w:t>
      </w:r>
      <w:r>
        <w:rPr>
          <w:rFonts w:cs="Times New Roman"/>
          <w:spacing w:val="-4"/>
          <w:sz w:val="18"/>
          <w:szCs w:val="18"/>
          <w:lang w:val="es-ES_tradnl"/>
        </w:rPr>
        <w:t>í</w:t>
      </w:r>
      <w:r>
        <w:rPr>
          <w:spacing w:val="-4"/>
          <w:sz w:val="18"/>
          <w:szCs w:val="18"/>
          <w:lang w:val="es-ES_tradnl"/>
        </w:rPr>
        <w:t xml:space="preserve">pticos </w:t>
      </w:r>
      <w:r>
        <w:rPr>
          <w:sz w:val="18"/>
          <w:szCs w:val="18"/>
          <w:lang w:val="es-ES_tradnl"/>
        </w:rPr>
        <w:t>informativos, etc.).</w:t>
      </w:r>
    </w:p>
    <w:p w14:paraId="4F67A6EB" w14:textId="77777777" w:rsidR="00591D54" w:rsidRDefault="00591D54">
      <w:pPr>
        <w:shd w:val="clear" w:color="auto" w:fill="FFFFFF"/>
        <w:spacing w:before="192" w:line="216" w:lineRule="exact"/>
        <w:jc w:val="both"/>
      </w:pPr>
      <w:r>
        <w:rPr>
          <w:spacing w:val="-6"/>
          <w:sz w:val="18"/>
          <w:szCs w:val="18"/>
          <w:lang w:val="es-ES_tradnl"/>
        </w:rPr>
        <w:t>Que por tres a</w:t>
      </w:r>
      <w:r>
        <w:rPr>
          <w:rFonts w:cs="Times New Roman"/>
          <w:spacing w:val="-6"/>
          <w:sz w:val="18"/>
          <w:szCs w:val="18"/>
          <w:lang w:val="es-ES_tradnl"/>
        </w:rPr>
        <w:t>ñ</w:t>
      </w:r>
      <w:r>
        <w:rPr>
          <w:spacing w:val="-6"/>
          <w:sz w:val="18"/>
          <w:szCs w:val="18"/>
          <w:lang w:val="es-ES_tradnl"/>
        </w:rPr>
        <w:t>os consecutivos la ciudadan</w:t>
      </w:r>
      <w:r>
        <w:rPr>
          <w:rFonts w:cs="Times New Roman"/>
          <w:spacing w:val="-6"/>
          <w:sz w:val="18"/>
          <w:szCs w:val="18"/>
          <w:lang w:val="es-ES_tradnl"/>
        </w:rPr>
        <w:t>í</w:t>
      </w:r>
      <w:r>
        <w:rPr>
          <w:spacing w:val="-6"/>
          <w:sz w:val="18"/>
          <w:szCs w:val="18"/>
          <w:lang w:val="es-ES_tradnl"/>
        </w:rPr>
        <w:t>a del cant</w:t>
      </w:r>
      <w:r>
        <w:rPr>
          <w:rFonts w:cs="Times New Roman"/>
          <w:spacing w:val="-6"/>
          <w:sz w:val="18"/>
          <w:szCs w:val="18"/>
          <w:lang w:val="es-ES_tradnl"/>
        </w:rPr>
        <w:t>ó</w:t>
      </w:r>
      <w:r>
        <w:rPr>
          <w:spacing w:val="-6"/>
          <w:sz w:val="18"/>
          <w:szCs w:val="18"/>
          <w:lang w:val="es-ES_tradnl"/>
        </w:rPr>
        <w:t>n Rumi</w:t>
      </w:r>
      <w:r>
        <w:rPr>
          <w:rFonts w:cs="Times New Roman"/>
          <w:spacing w:val="-6"/>
          <w:sz w:val="18"/>
          <w:szCs w:val="18"/>
          <w:lang w:val="es-ES_tradnl"/>
        </w:rPr>
        <w:t>ñ</w:t>
      </w:r>
      <w:r>
        <w:rPr>
          <w:spacing w:val="-6"/>
          <w:sz w:val="18"/>
          <w:szCs w:val="18"/>
          <w:lang w:val="es-ES_tradnl"/>
        </w:rPr>
        <w:t xml:space="preserve">ahui ha tenido la posibilidad de debatir, consensuar </w:t>
      </w:r>
      <w:r>
        <w:rPr>
          <w:spacing w:val="-4"/>
          <w:sz w:val="18"/>
          <w:szCs w:val="18"/>
          <w:lang w:val="es-ES_tradnl"/>
        </w:rPr>
        <w:t>y aprobar propuestas prioritarias de inversi</w:t>
      </w:r>
      <w:r>
        <w:rPr>
          <w:rFonts w:cs="Times New Roman"/>
          <w:spacing w:val="-4"/>
          <w:sz w:val="18"/>
          <w:szCs w:val="18"/>
          <w:lang w:val="es-ES_tradnl"/>
        </w:rPr>
        <w:t>ó</w:t>
      </w:r>
      <w:r>
        <w:rPr>
          <w:spacing w:val="-4"/>
          <w:sz w:val="18"/>
          <w:szCs w:val="18"/>
          <w:lang w:val="es-ES_tradnl"/>
        </w:rPr>
        <w:t>n para la formaci</w:t>
      </w:r>
      <w:r>
        <w:rPr>
          <w:rFonts w:cs="Times New Roman"/>
          <w:spacing w:val="-4"/>
          <w:sz w:val="18"/>
          <w:szCs w:val="18"/>
          <w:lang w:val="es-ES_tradnl"/>
        </w:rPr>
        <w:t>ó</w:t>
      </w:r>
      <w:r>
        <w:rPr>
          <w:spacing w:val="-4"/>
          <w:sz w:val="18"/>
          <w:szCs w:val="18"/>
          <w:lang w:val="es-ES_tradnl"/>
        </w:rPr>
        <w:t xml:space="preserve">n del presupuesto participativo, mediante la </w:t>
      </w:r>
      <w:r>
        <w:rPr>
          <w:spacing w:val="-2"/>
          <w:sz w:val="18"/>
          <w:szCs w:val="18"/>
          <w:lang w:val="es-ES_tradnl"/>
        </w:rPr>
        <w:t>realizaci</w:t>
      </w:r>
      <w:r>
        <w:rPr>
          <w:rFonts w:cs="Times New Roman"/>
          <w:spacing w:val="-2"/>
          <w:sz w:val="18"/>
          <w:szCs w:val="18"/>
          <w:lang w:val="es-ES_tradnl"/>
        </w:rPr>
        <w:t>ó</w:t>
      </w:r>
      <w:r>
        <w:rPr>
          <w:spacing w:val="-2"/>
          <w:sz w:val="18"/>
          <w:szCs w:val="18"/>
          <w:lang w:val="es-ES_tradnl"/>
        </w:rPr>
        <w:t xml:space="preserve">n de asambleas de base territorial y de los </w:t>
      </w:r>
      <w:r>
        <w:rPr>
          <w:sz w:val="18"/>
          <w:szCs w:val="18"/>
          <w:lang w:val="es-ES_tradnl"/>
        </w:rPr>
        <w:t>grupos de atenci</w:t>
      </w:r>
      <w:r>
        <w:rPr>
          <w:rFonts w:cs="Times New Roman"/>
          <w:sz w:val="18"/>
          <w:szCs w:val="18"/>
          <w:lang w:val="es-ES_tradnl"/>
        </w:rPr>
        <w:t>ó</w:t>
      </w:r>
      <w:r>
        <w:rPr>
          <w:sz w:val="18"/>
          <w:szCs w:val="18"/>
          <w:lang w:val="es-ES_tradnl"/>
        </w:rPr>
        <w:t xml:space="preserve">n prioritaria, consiguiendo por esa </w:t>
      </w:r>
      <w:r>
        <w:rPr>
          <w:spacing w:val="-6"/>
          <w:sz w:val="18"/>
          <w:szCs w:val="18"/>
          <w:lang w:val="es-ES_tradnl"/>
        </w:rPr>
        <w:t>v</w:t>
      </w:r>
      <w:r>
        <w:rPr>
          <w:rFonts w:cs="Times New Roman"/>
          <w:spacing w:val="-6"/>
          <w:sz w:val="18"/>
          <w:szCs w:val="18"/>
          <w:lang w:val="es-ES_tradnl"/>
        </w:rPr>
        <w:t>í</w:t>
      </w:r>
      <w:r>
        <w:rPr>
          <w:spacing w:val="-6"/>
          <w:sz w:val="18"/>
          <w:szCs w:val="18"/>
          <w:lang w:val="es-ES_tradnl"/>
        </w:rPr>
        <w:t>a la ejecuci</w:t>
      </w:r>
      <w:r>
        <w:rPr>
          <w:rFonts w:cs="Times New Roman"/>
          <w:spacing w:val="-6"/>
          <w:sz w:val="18"/>
          <w:szCs w:val="18"/>
          <w:lang w:val="es-ES_tradnl"/>
        </w:rPr>
        <w:t>ó</w:t>
      </w:r>
      <w:r>
        <w:rPr>
          <w:spacing w:val="-6"/>
          <w:sz w:val="18"/>
          <w:szCs w:val="18"/>
          <w:lang w:val="es-ES_tradnl"/>
        </w:rPr>
        <w:t xml:space="preserve">n de las obras que han sido demandadas, precisamente en las asambleas, incidiendo de manera </w:t>
      </w:r>
      <w:r>
        <w:rPr>
          <w:spacing w:val="-5"/>
          <w:sz w:val="18"/>
          <w:szCs w:val="18"/>
          <w:lang w:val="es-ES_tradnl"/>
        </w:rPr>
        <w:t>directa en el tratamiento de las pol</w:t>
      </w:r>
      <w:r>
        <w:rPr>
          <w:rFonts w:cs="Times New Roman"/>
          <w:spacing w:val="-5"/>
          <w:sz w:val="18"/>
          <w:szCs w:val="18"/>
          <w:lang w:val="es-ES_tradnl"/>
        </w:rPr>
        <w:t>í</w:t>
      </w:r>
      <w:r>
        <w:rPr>
          <w:spacing w:val="-5"/>
          <w:sz w:val="18"/>
          <w:szCs w:val="18"/>
          <w:lang w:val="es-ES_tradnl"/>
        </w:rPr>
        <w:t>ticas p</w:t>
      </w:r>
      <w:r>
        <w:rPr>
          <w:rFonts w:cs="Times New Roman"/>
          <w:spacing w:val="-5"/>
          <w:sz w:val="18"/>
          <w:szCs w:val="18"/>
          <w:lang w:val="es-ES_tradnl"/>
        </w:rPr>
        <w:t>ú</w:t>
      </w:r>
      <w:r>
        <w:rPr>
          <w:spacing w:val="-5"/>
          <w:sz w:val="18"/>
          <w:szCs w:val="18"/>
          <w:lang w:val="es-ES_tradnl"/>
        </w:rPr>
        <w:t>blicas.</w:t>
      </w:r>
    </w:p>
    <w:p w14:paraId="4F67A6EC" w14:textId="77777777" w:rsidR="00591D54" w:rsidRDefault="00591D54">
      <w:pPr>
        <w:shd w:val="clear" w:color="auto" w:fill="FFFFFF"/>
        <w:spacing w:before="192" w:line="216" w:lineRule="exact"/>
        <w:jc w:val="both"/>
      </w:pPr>
      <w:r>
        <w:rPr>
          <w:spacing w:val="-2"/>
          <w:sz w:val="18"/>
          <w:szCs w:val="18"/>
          <w:lang w:val="es-ES_tradnl"/>
        </w:rPr>
        <w:t>Que en relaci</w:t>
      </w:r>
      <w:r>
        <w:rPr>
          <w:rFonts w:cs="Times New Roman"/>
          <w:spacing w:val="-2"/>
          <w:sz w:val="18"/>
          <w:szCs w:val="18"/>
          <w:lang w:val="es-ES_tradnl"/>
        </w:rPr>
        <w:t>ó</w:t>
      </w:r>
      <w:r>
        <w:rPr>
          <w:spacing w:val="-2"/>
          <w:sz w:val="18"/>
          <w:szCs w:val="18"/>
          <w:lang w:val="es-ES_tradnl"/>
        </w:rPr>
        <w:t xml:space="preserve">n al cumplimiento de los plazos para la </w:t>
      </w:r>
      <w:r>
        <w:rPr>
          <w:spacing w:val="-1"/>
          <w:sz w:val="18"/>
          <w:szCs w:val="18"/>
          <w:lang w:val="es-ES_tradnl"/>
        </w:rPr>
        <w:t>definici</w:t>
      </w:r>
      <w:r>
        <w:rPr>
          <w:rFonts w:cs="Times New Roman"/>
          <w:spacing w:val="-1"/>
          <w:sz w:val="18"/>
          <w:szCs w:val="18"/>
          <w:lang w:val="es-ES_tradnl"/>
        </w:rPr>
        <w:t>ó</w:t>
      </w:r>
      <w:r>
        <w:rPr>
          <w:spacing w:val="-1"/>
          <w:sz w:val="18"/>
          <w:szCs w:val="18"/>
          <w:lang w:val="es-ES_tradnl"/>
        </w:rPr>
        <w:t>n y aprobaci</w:t>
      </w:r>
      <w:r>
        <w:rPr>
          <w:rFonts w:cs="Times New Roman"/>
          <w:spacing w:val="-1"/>
          <w:sz w:val="18"/>
          <w:szCs w:val="18"/>
          <w:lang w:val="es-ES_tradnl"/>
        </w:rPr>
        <w:t>ó</w:t>
      </w:r>
      <w:r>
        <w:rPr>
          <w:spacing w:val="-1"/>
          <w:sz w:val="18"/>
          <w:szCs w:val="18"/>
          <w:lang w:val="es-ES_tradnl"/>
        </w:rPr>
        <w:t xml:space="preserve">n del presupuesto participativo, </w:t>
      </w:r>
      <w:r>
        <w:rPr>
          <w:spacing w:val="-5"/>
          <w:sz w:val="18"/>
          <w:szCs w:val="18"/>
          <w:lang w:val="es-ES_tradnl"/>
        </w:rPr>
        <w:t>la Ordenanza del Sistema de Gesti</w:t>
      </w:r>
      <w:r>
        <w:rPr>
          <w:rFonts w:cs="Times New Roman"/>
          <w:spacing w:val="-5"/>
          <w:sz w:val="18"/>
          <w:szCs w:val="18"/>
          <w:lang w:val="es-ES_tradnl"/>
        </w:rPr>
        <w:t>ó</w:t>
      </w:r>
      <w:r>
        <w:rPr>
          <w:spacing w:val="-5"/>
          <w:sz w:val="18"/>
          <w:szCs w:val="18"/>
          <w:lang w:val="es-ES_tradnl"/>
        </w:rPr>
        <w:t>n y Participaci</w:t>
      </w:r>
      <w:r>
        <w:rPr>
          <w:rFonts w:cs="Times New Roman"/>
          <w:spacing w:val="-5"/>
          <w:sz w:val="18"/>
          <w:szCs w:val="18"/>
          <w:lang w:val="es-ES_tradnl"/>
        </w:rPr>
        <w:t>ó</w:t>
      </w:r>
      <w:r>
        <w:rPr>
          <w:spacing w:val="-5"/>
          <w:sz w:val="18"/>
          <w:szCs w:val="18"/>
          <w:lang w:val="es-ES_tradnl"/>
        </w:rPr>
        <w:t xml:space="preserve">n </w:t>
      </w:r>
      <w:r>
        <w:rPr>
          <w:spacing w:val="-7"/>
          <w:sz w:val="18"/>
          <w:szCs w:val="18"/>
          <w:lang w:val="es-ES_tradnl"/>
        </w:rPr>
        <w:t>Ciudadana del cant</w:t>
      </w:r>
      <w:r>
        <w:rPr>
          <w:rFonts w:cs="Times New Roman"/>
          <w:spacing w:val="-7"/>
          <w:sz w:val="18"/>
          <w:szCs w:val="18"/>
          <w:lang w:val="es-ES_tradnl"/>
        </w:rPr>
        <w:t>ó</w:t>
      </w:r>
      <w:r>
        <w:rPr>
          <w:spacing w:val="-7"/>
          <w:sz w:val="18"/>
          <w:szCs w:val="18"/>
          <w:lang w:val="es-ES_tradnl"/>
        </w:rPr>
        <w:t>n Rumi</w:t>
      </w:r>
      <w:r>
        <w:rPr>
          <w:rFonts w:cs="Times New Roman"/>
          <w:spacing w:val="-7"/>
          <w:sz w:val="18"/>
          <w:szCs w:val="18"/>
          <w:lang w:val="es-ES_tradnl"/>
        </w:rPr>
        <w:t>ñ</w:t>
      </w:r>
      <w:r>
        <w:rPr>
          <w:spacing w:val="-7"/>
          <w:sz w:val="18"/>
          <w:szCs w:val="18"/>
          <w:lang w:val="es-ES_tradnl"/>
        </w:rPr>
        <w:t xml:space="preserve">ahui da estricto cumplimiento </w:t>
      </w:r>
      <w:r>
        <w:rPr>
          <w:spacing w:val="-2"/>
          <w:sz w:val="18"/>
          <w:szCs w:val="18"/>
          <w:lang w:val="es-ES_tradnl"/>
        </w:rPr>
        <w:t>a lo previsto en la Constituci</w:t>
      </w:r>
      <w:r>
        <w:rPr>
          <w:rFonts w:cs="Times New Roman"/>
          <w:spacing w:val="-2"/>
          <w:sz w:val="18"/>
          <w:szCs w:val="18"/>
          <w:lang w:val="es-ES_tradnl"/>
        </w:rPr>
        <w:t>ó</w:t>
      </w:r>
      <w:r>
        <w:rPr>
          <w:spacing w:val="-2"/>
          <w:sz w:val="18"/>
          <w:szCs w:val="18"/>
          <w:lang w:val="es-ES_tradnl"/>
        </w:rPr>
        <w:t>n, as</w:t>
      </w:r>
      <w:r>
        <w:rPr>
          <w:rFonts w:cs="Times New Roman"/>
          <w:spacing w:val="-2"/>
          <w:sz w:val="18"/>
          <w:szCs w:val="18"/>
          <w:lang w:val="es-ES_tradnl"/>
        </w:rPr>
        <w:t>í</w:t>
      </w:r>
      <w:r>
        <w:rPr>
          <w:spacing w:val="-2"/>
          <w:sz w:val="18"/>
          <w:szCs w:val="18"/>
          <w:lang w:val="es-ES_tradnl"/>
        </w:rPr>
        <w:t xml:space="preserve"> como en la Ley </w:t>
      </w:r>
      <w:r>
        <w:rPr>
          <w:spacing w:val="-4"/>
          <w:sz w:val="18"/>
          <w:szCs w:val="18"/>
          <w:lang w:val="es-ES_tradnl"/>
        </w:rPr>
        <w:t>Org</w:t>
      </w:r>
      <w:r>
        <w:rPr>
          <w:rFonts w:cs="Times New Roman"/>
          <w:spacing w:val="-4"/>
          <w:sz w:val="18"/>
          <w:szCs w:val="18"/>
          <w:lang w:val="es-ES_tradnl"/>
        </w:rPr>
        <w:t>á</w:t>
      </w:r>
      <w:r>
        <w:rPr>
          <w:spacing w:val="-4"/>
          <w:sz w:val="18"/>
          <w:szCs w:val="18"/>
          <w:lang w:val="es-ES_tradnl"/>
        </w:rPr>
        <w:t>nica de Participaci</w:t>
      </w:r>
      <w:r>
        <w:rPr>
          <w:rFonts w:cs="Times New Roman"/>
          <w:spacing w:val="-4"/>
          <w:sz w:val="18"/>
          <w:szCs w:val="18"/>
          <w:lang w:val="es-ES_tradnl"/>
        </w:rPr>
        <w:t>ó</w:t>
      </w:r>
      <w:r>
        <w:rPr>
          <w:spacing w:val="-4"/>
          <w:sz w:val="18"/>
          <w:szCs w:val="18"/>
          <w:lang w:val="es-ES_tradnl"/>
        </w:rPr>
        <w:t>n Ciudadana, Ley Org</w:t>
      </w:r>
      <w:r>
        <w:rPr>
          <w:rFonts w:cs="Times New Roman"/>
          <w:spacing w:val="-4"/>
          <w:sz w:val="18"/>
          <w:szCs w:val="18"/>
          <w:lang w:val="es-ES_tradnl"/>
        </w:rPr>
        <w:t>á</w:t>
      </w:r>
      <w:r>
        <w:rPr>
          <w:spacing w:val="-4"/>
          <w:sz w:val="18"/>
          <w:szCs w:val="18"/>
          <w:lang w:val="es-ES_tradnl"/>
        </w:rPr>
        <w:t xml:space="preserve">nica de </w:t>
      </w:r>
      <w:r>
        <w:rPr>
          <w:spacing w:val="-3"/>
          <w:sz w:val="18"/>
          <w:szCs w:val="18"/>
          <w:lang w:val="es-ES_tradnl"/>
        </w:rPr>
        <w:t>Planificaci</w:t>
      </w:r>
      <w:r>
        <w:rPr>
          <w:rFonts w:cs="Times New Roman"/>
          <w:spacing w:val="-3"/>
          <w:sz w:val="18"/>
          <w:szCs w:val="18"/>
          <w:lang w:val="es-ES_tradnl"/>
        </w:rPr>
        <w:t>ó</w:t>
      </w:r>
      <w:r>
        <w:rPr>
          <w:spacing w:val="-3"/>
          <w:sz w:val="18"/>
          <w:szCs w:val="18"/>
          <w:lang w:val="es-ES_tradnl"/>
        </w:rPr>
        <w:t>n de las Finanzas P</w:t>
      </w:r>
      <w:r>
        <w:rPr>
          <w:rFonts w:cs="Times New Roman"/>
          <w:spacing w:val="-3"/>
          <w:sz w:val="18"/>
          <w:szCs w:val="18"/>
          <w:lang w:val="es-ES_tradnl"/>
        </w:rPr>
        <w:t>ú</w:t>
      </w:r>
      <w:r>
        <w:rPr>
          <w:spacing w:val="-3"/>
          <w:sz w:val="18"/>
          <w:szCs w:val="18"/>
          <w:lang w:val="es-ES_tradnl"/>
        </w:rPr>
        <w:t xml:space="preserve">blicas y el COOTAD, </w:t>
      </w:r>
      <w:r>
        <w:rPr>
          <w:spacing w:val="-7"/>
          <w:sz w:val="18"/>
          <w:szCs w:val="18"/>
          <w:lang w:val="es-ES_tradnl"/>
        </w:rPr>
        <w:t>para la aprobaci</w:t>
      </w:r>
      <w:r>
        <w:rPr>
          <w:rFonts w:cs="Times New Roman"/>
          <w:spacing w:val="-7"/>
          <w:sz w:val="18"/>
          <w:szCs w:val="18"/>
          <w:lang w:val="es-ES_tradnl"/>
        </w:rPr>
        <w:t>ó</w:t>
      </w:r>
      <w:r>
        <w:rPr>
          <w:spacing w:val="-7"/>
          <w:sz w:val="18"/>
          <w:szCs w:val="18"/>
          <w:lang w:val="es-ES_tradnl"/>
        </w:rPr>
        <w:t xml:space="preserve">n de los presupuestos de las entidades </w:t>
      </w:r>
      <w:r>
        <w:rPr>
          <w:spacing w:val="-3"/>
          <w:sz w:val="18"/>
          <w:szCs w:val="18"/>
          <w:lang w:val="es-ES_tradnl"/>
        </w:rPr>
        <w:t>p</w:t>
      </w:r>
      <w:r>
        <w:rPr>
          <w:rFonts w:cs="Times New Roman"/>
          <w:spacing w:val="-3"/>
          <w:sz w:val="18"/>
          <w:szCs w:val="18"/>
          <w:lang w:val="es-ES_tradnl"/>
        </w:rPr>
        <w:t>ú</w:t>
      </w:r>
      <w:r>
        <w:rPr>
          <w:spacing w:val="-3"/>
          <w:sz w:val="18"/>
          <w:szCs w:val="18"/>
          <w:lang w:val="es-ES_tradnl"/>
        </w:rPr>
        <w:t>blicas Para el efecto, se efect</w:t>
      </w:r>
      <w:r>
        <w:rPr>
          <w:rFonts w:cs="Times New Roman"/>
          <w:spacing w:val="-3"/>
          <w:sz w:val="18"/>
          <w:szCs w:val="18"/>
          <w:lang w:val="es-ES_tradnl"/>
        </w:rPr>
        <w:t>ú</w:t>
      </w:r>
      <w:r>
        <w:rPr>
          <w:spacing w:val="-3"/>
          <w:sz w:val="18"/>
          <w:szCs w:val="18"/>
          <w:lang w:val="es-ES_tradnl"/>
        </w:rPr>
        <w:t xml:space="preserve">an las respectivas </w:t>
      </w:r>
      <w:r>
        <w:rPr>
          <w:spacing w:val="-10"/>
          <w:sz w:val="18"/>
          <w:szCs w:val="18"/>
          <w:lang w:val="es-ES_tradnl"/>
        </w:rPr>
        <w:t>asambleas participativas hasta el 15 de agosto de cada a</w:t>
      </w:r>
      <w:r>
        <w:rPr>
          <w:rFonts w:cs="Times New Roman"/>
          <w:spacing w:val="-10"/>
          <w:sz w:val="18"/>
          <w:szCs w:val="18"/>
          <w:lang w:val="es-ES_tradnl"/>
        </w:rPr>
        <w:t>ñ</w:t>
      </w:r>
      <w:r>
        <w:rPr>
          <w:spacing w:val="-10"/>
          <w:sz w:val="18"/>
          <w:szCs w:val="18"/>
          <w:lang w:val="es-ES_tradnl"/>
        </w:rPr>
        <w:t xml:space="preserve">o, </w:t>
      </w:r>
      <w:r>
        <w:rPr>
          <w:spacing w:val="-6"/>
          <w:sz w:val="18"/>
          <w:szCs w:val="18"/>
          <w:lang w:val="es-ES_tradnl"/>
        </w:rPr>
        <w:t xml:space="preserve">teniendo la Asamblea Cantonal el tiempo necesario para </w:t>
      </w:r>
      <w:r>
        <w:rPr>
          <w:spacing w:val="-7"/>
          <w:sz w:val="18"/>
          <w:szCs w:val="18"/>
          <w:lang w:val="es-ES_tradnl"/>
        </w:rPr>
        <w:t xml:space="preserve">discutir y tomar las decisiones pertinentes hasta el mes de </w:t>
      </w:r>
      <w:r>
        <w:rPr>
          <w:spacing w:val="-8"/>
          <w:sz w:val="18"/>
          <w:szCs w:val="18"/>
          <w:lang w:val="es-ES_tradnl"/>
        </w:rPr>
        <w:t xml:space="preserve">septiembre; por tanto, los plazos previstos en la ordenanza </w:t>
      </w:r>
      <w:r>
        <w:rPr>
          <w:spacing w:val="-6"/>
          <w:sz w:val="18"/>
          <w:szCs w:val="18"/>
          <w:lang w:val="es-ES_tradnl"/>
        </w:rPr>
        <w:t>no se hallan en contradicci</w:t>
      </w:r>
      <w:r>
        <w:rPr>
          <w:rFonts w:cs="Times New Roman"/>
          <w:spacing w:val="-6"/>
          <w:sz w:val="18"/>
          <w:szCs w:val="18"/>
          <w:lang w:val="es-ES_tradnl"/>
        </w:rPr>
        <w:t>ó</w:t>
      </w:r>
      <w:r>
        <w:rPr>
          <w:spacing w:val="-6"/>
          <w:sz w:val="18"/>
          <w:szCs w:val="18"/>
          <w:lang w:val="es-ES_tradnl"/>
        </w:rPr>
        <w:t xml:space="preserve">n con la Carta Suprema de la </w:t>
      </w:r>
      <w:r>
        <w:rPr>
          <w:sz w:val="18"/>
          <w:szCs w:val="18"/>
          <w:lang w:val="es-ES_tradnl"/>
        </w:rPr>
        <w:t>Rep</w:t>
      </w:r>
      <w:r>
        <w:rPr>
          <w:rFonts w:cs="Times New Roman"/>
          <w:sz w:val="18"/>
          <w:szCs w:val="18"/>
          <w:lang w:val="es-ES_tradnl"/>
        </w:rPr>
        <w:t>ú</w:t>
      </w:r>
      <w:r>
        <w:rPr>
          <w:sz w:val="18"/>
          <w:szCs w:val="18"/>
          <w:lang w:val="es-ES_tradnl"/>
        </w:rPr>
        <w:t>blica ni la ley.</w:t>
      </w:r>
    </w:p>
    <w:p w14:paraId="4F67A6ED" w14:textId="77777777" w:rsidR="00591D54" w:rsidRDefault="00591D54">
      <w:pPr>
        <w:shd w:val="clear" w:color="auto" w:fill="FFFFFF"/>
        <w:spacing w:before="192" w:line="216" w:lineRule="exact"/>
        <w:jc w:val="both"/>
      </w:pPr>
      <w:r>
        <w:rPr>
          <w:sz w:val="18"/>
          <w:szCs w:val="18"/>
          <w:lang w:val="es-ES_tradnl"/>
        </w:rPr>
        <w:t>Que no existe la supuesta exclusi</w:t>
      </w:r>
      <w:r>
        <w:rPr>
          <w:rFonts w:cs="Times New Roman"/>
          <w:sz w:val="18"/>
          <w:szCs w:val="18"/>
          <w:lang w:val="es-ES_tradnl"/>
        </w:rPr>
        <w:t>ó</w:t>
      </w:r>
      <w:r>
        <w:rPr>
          <w:sz w:val="18"/>
          <w:szCs w:val="18"/>
          <w:lang w:val="es-ES_tradnl"/>
        </w:rPr>
        <w:t xml:space="preserve">n de barrios y </w:t>
      </w:r>
      <w:r>
        <w:rPr>
          <w:spacing w:val="-8"/>
          <w:sz w:val="18"/>
          <w:szCs w:val="18"/>
          <w:lang w:val="es-ES_tradnl"/>
        </w:rPr>
        <w:t>parroquias en la elaboraci</w:t>
      </w:r>
      <w:r>
        <w:rPr>
          <w:rFonts w:cs="Times New Roman"/>
          <w:spacing w:val="-8"/>
          <w:sz w:val="18"/>
          <w:szCs w:val="18"/>
          <w:lang w:val="es-ES_tradnl"/>
        </w:rPr>
        <w:t>ó</w:t>
      </w:r>
      <w:r>
        <w:rPr>
          <w:spacing w:val="-8"/>
          <w:sz w:val="18"/>
          <w:szCs w:val="18"/>
          <w:lang w:val="es-ES_tradnl"/>
        </w:rPr>
        <w:t>n y aprobaci</w:t>
      </w:r>
      <w:r>
        <w:rPr>
          <w:rFonts w:cs="Times New Roman"/>
          <w:spacing w:val="-8"/>
          <w:sz w:val="18"/>
          <w:szCs w:val="18"/>
          <w:lang w:val="es-ES_tradnl"/>
        </w:rPr>
        <w:t>ó</w:t>
      </w:r>
      <w:r>
        <w:rPr>
          <w:spacing w:val="-8"/>
          <w:sz w:val="18"/>
          <w:szCs w:val="18"/>
          <w:lang w:val="es-ES_tradnl"/>
        </w:rPr>
        <w:t>n del presupuesto</w:t>
      </w:r>
    </w:p>
    <w:p w14:paraId="4F67A6EE" w14:textId="77777777" w:rsidR="00591D54" w:rsidRDefault="00591D54">
      <w:pPr>
        <w:shd w:val="clear" w:color="auto" w:fill="FFFFFF"/>
        <w:spacing w:before="192" w:line="216" w:lineRule="exact"/>
        <w:jc w:val="both"/>
        <w:sectPr w:rsidR="00591D54">
          <w:type w:val="continuous"/>
          <w:pgSz w:w="11909" w:h="16834"/>
          <w:pgMar w:top="1368" w:right="1309" w:bottom="360" w:left="1308" w:header="720" w:footer="720" w:gutter="0"/>
          <w:cols w:num="2" w:space="720" w:equalWidth="0">
            <w:col w:w="4305" w:space="682"/>
            <w:col w:w="4305"/>
          </w:cols>
          <w:noEndnote/>
        </w:sectPr>
      </w:pPr>
    </w:p>
    <w:p w14:paraId="4F67A6EF" w14:textId="77777777" w:rsidR="00591D54" w:rsidRDefault="00591D54">
      <w:pPr>
        <w:shd w:val="clear" w:color="auto" w:fill="FFFFFF"/>
        <w:tabs>
          <w:tab w:val="left" w:pos="595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- 45</w:t>
      </w:r>
    </w:p>
    <w:p w14:paraId="4F67A6F0" w14:textId="77777777" w:rsidR="00591D54" w:rsidRDefault="00591D54">
      <w:pPr>
        <w:shd w:val="clear" w:color="auto" w:fill="FFFFFF"/>
        <w:tabs>
          <w:tab w:val="left" w:pos="5952"/>
        </w:tabs>
        <w:spacing w:after="235"/>
        <w:ind w:left="5"/>
        <w:sectPr w:rsidR="00591D54">
          <w:pgSz w:w="11909" w:h="16834"/>
          <w:pgMar w:top="1366" w:right="1309" w:bottom="360" w:left="1308" w:header="720" w:footer="720" w:gutter="0"/>
          <w:cols w:space="60"/>
          <w:noEndnote/>
        </w:sectPr>
      </w:pPr>
    </w:p>
    <w:p w14:paraId="4F67A6F1" w14:textId="77777777" w:rsidR="00591D54" w:rsidRDefault="00591D54">
      <w:pPr>
        <w:shd w:val="clear" w:color="auto" w:fill="FFFFFF"/>
        <w:spacing w:line="216" w:lineRule="exact"/>
        <w:jc w:val="both"/>
      </w:pPr>
      <w:r>
        <w:rPr>
          <w:spacing w:val="-4"/>
          <w:sz w:val="18"/>
          <w:szCs w:val="18"/>
          <w:lang w:val="es-ES_tradnl"/>
        </w:rPr>
        <w:t xml:space="preserve">participativo; se advierte </w:t>
      </w:r>
      <w:r>
        <w:rPr>
          <w:rFonts w:cs="Times New Roman"/>
          <w:spacing w:val="-4"/>
          <w:sz w:val="18"/>
          <w:szCs w:val="18"/>
          <w:lang w:val="es-ES_tradnl"/>
        </w:rPr>
        <w:t>–</w:t>
      </w:r>
      <w:r>
        <w:rPr>
          <w:spacing w:val="-4"/>
          <w:sz w:val="18"/>
          <w:szCs w:val="18"/>
          <w:lang w:val="es-ES_tradnl"/>
        </w:rPr>
        <w:t>afirma</w:t>
      </w:r>
      <w:r>
        <w:rPr>
          <w:rFonts w:cs="Times New Roman"/>
          <w:spacing w:val="-4"/>
          <w:sz w:val="18"/>
          <w:szCs w:val="18"/>
          <w:lang w:val="es-ES_tradnl"/>
        </w:rPr>
        <w:t>–</w:t>
      </w:r>
      <w:r>
        <w:rPr>
          <w:spacing w:val="-4"/>
          <w:sz w:val="18"/>
          <w:szCs w:val="18"/>
          <w:lang w:val="es-ES_tradnl"/>
        </w:rPr>
        <w:t xml:space="preserve"> que el accionante no </w:t>
      </w:r>
      <w:r>
        <w:rPr>
          <w:spacing w:val="-5"/>
          <w:sz w:val="18"/>
          <w:szCs w:val="18"/>
          <w:lang w:val="es-ES_tradnl"/>
        </w:rPr>
        <w:t>ha participado directamente en ninguna asamblea de participaci</w:t>
      </w:r>
      <w:r>
        <w:rPr>
          <w:rFonts w:cs="Times New Roman"/>
          <w:spacing w:val="-5"/>
          <w:sz w:val="18"/>
          <w:szCs w:val="18"/>
          <w:lang w:val="es-ES_tradnl"/>
        </w:rPr>
        <w:t>ó</w:t>
      </w:r>
      <w:r>
        <w:rPr>
          <w:spacing w:val="-5"/>
          <w:sz w:val="18"/>
          <w:szCs w:val="18"/>
          <w:lang w:val="es-ES_tradnl"/>
        </w:rPr>
        <w:t xml:space="preserve">n ciudadana, pues estas se conforman con </w:t>
      </w:r>
      <w:r>
        <w:rPr>
          <w:spacing w:val="-4"/>
          <w:sz w:val="18"/>
          <w:szCs w:val="18"/>
          <w:lang w:val="es-ES_tradnl"/>
        </w:rPr>
        <w:t xml:space="preserve">delegados acreditados de cada uno de los barrios, los </w:t>
      </w:r>
      <w:r>
        <w:rPr>
          <w:spacing w:val="-10"/>
          <w:sz w:val="18"/>
          <w:szCs w:val="18"/>
          <w:lang w:val="es-ES_tradnl"/>
        </w:rPr>
        <w:t xml:space="preserve">cuales son elegidos en sus respectivas asambleas barriales, </w:t>
      </w:r>
      <w:r>
        <w:rPr>
          <w:spacing w:val="-8"/>
          <w:sz w:val="18"/>
          <w:szCs w:val="18"/>
          <w:lang w:val="es-ES_tradnl"/>
        </w:rPr>
        <w:t xml:space="preserve">y que junto a los delegados provenientes de las asambleas </w:t>
      </w:r>
      <w:r>
        <w:rPr>
          <w:spacing w:val="-5"/>
          <w:sz w:val="18"/>
          <w:szCs w:val="18"/>
          <w:lang w:val="es-ES_tradnl"/>
        </w:rPr>
        <w:t xml:space="preserve">de base territorial urbanas y rurales, de los grupos de </w:t>
      </w:r>
      <w:r>
        <w:rPr>
          <w:spacing w:val="-1"/>
          <w:sz w:val="18"/>
          <w:szCs w:val="18"/>
          <w:lang w:val="es-ES_tradnl"/>
        </w:rPr>
        <w:t>atenci</w:t>
      </w:r>
      <w:r>
        <w:rPr>
          <w:rFonts w:cs="Times New Roman"/>
          <w:spacing w:val="-1"/>
          <w:sz w:val="18"/>
          <w:szCs w:val="18"/>
          <w:lang w:val="es-ES_tradnl"/>
        </w:rPr>
        <w:t>ó</w:t>
      </w:r>
      <w:r>
        <w:rPr>
          <w:spacing w:val="-1"/>
          <w:sz w:val="18"/>
          <w:szCs w:val="18"/>
          <w:lang w:val="es-ES_tradnl"/>
        </w:rPr>
        <w:t xml:space="preserve">n prioritaria, de los organismos gremiales y de </w:t>
      </w:r>
      <w:r>
        <w:rPr>
          <w:spacing w:val="-6"/>
          <w:sz w:val="18"/>
          <w:szCs w:val="18"/>
          <w:lang w:val="es-ES_tradnl"/>
        </w:rPr>
        <w:t>los grupos sociales de ind</w:t>
      </w:r>
      <w:r>
        <w:rPr>
          <w:rFonts w:cs="Times New Roman"/>
          <w:spacing w:val="-6"/>
          <w:sz w:val="18"/>
          <w:szCs w:val="18"/>
          <w:lang w:val="es-ES_tradnl"/>
        </w:rPr>
        <w:t>í</w:t>
      </w:r>
      <w:r>
        <w:rPr>
          <w:spacing w:val="-6"/>
          <w:sz w:val="18"/>
          <w:szCs w:val="18"/>
          <w:lang w:val="es-ES_tradnl"/>
        </w:rPr>
        <w:t xml:space="preserve">genas y afrodescendientes, </w:t>
      </w:r>
      <w:r>
        <w:rPr>
          <w:spacing w:val="-5"/>
          <w:sz w:val="18"/>
          <w:szCs w:val="18"/>
          <w:lang w:val="es-ES_tradnl"/>
        </w:rPr>
        <w:t xml:space="preserve">conforman la Asamblea Cantonal, en la cual intervienen </w:t>
      </w:r>
      <w:r>
        <w:rPr>
          <w:spacing w:val="-7"/>
          <w:sz w:val="18"/>
          <w:szCs w:val="18"/>
          <w:lang w:val="es-ES_tradnl"/>
        </w:rPr>
        <w:t>adem</w:t>
      </w:r>
      <w:r>
        <w:rPr>
          <w:rFonts w:cs="Times New Roman"/>
          <w:spacing w:val="-7"/>
          <w:sz w:val="18"/>
          <w:szCs w:val="18"/>
          <w:lang w:val="es-ES_tradnl"/>
        </w:rPr>
        <w:t>á</w:t>
      </w:r>
      <w:r>
        <w:rPr>
          <w:spacing w:val="-7"/>
          <w:sz w:val="18"/>
          <w:szCs w:val="18"/>
          <w:lang w:val="es-ES_tradnl"/>
        </w:rPr>
        <w:t xml:space="preserve">s, y como fraternos, las y los ciudadanos que libre y </w:t>
      </w:r>
      <w:r>
        <w:rPr>
          <w:sz w:val="18"/>
          <w:szCs w:val="18"/>
          <w:lang w:val="es-ES_tradnl"/>
        </w:rPr>
        <w:t>voluntariamente desean participar.</w:t>
      </w:r>
    </w:p>
    <w:p w14:paraId="4F67A6F2" w14:textId="77777777" w:rsidR="00591D54" w:rsidRDefault="00591D54">
      <w:pPr>
        <w:shd w:val="clear" w:color="auto" w:fill="FFFFFF"/>
        <w:spacing w:before="197" w:line="216" w:lineRule="exact"/>
        <w:jc w:val="both"/>
      </w:pPr>
      <w:r>
        <w:rPr>
          <w:spacing w:val="-8"/>
          <w:sz w:val="18"/>
          <w:szCs w:val="18"/>
          <w:lang w:val="es-ES_tradnl"/>
        </w:rPr>
        <w:t>Que en relaci</w:t>
      </w:r>
      <w:r>
        <w:rPr>
          <w:rFonts w:cs="Times New Roman"/>
          <w:spacing w:val="-8"/>
          <w:sz w:val="18"/>
          <w:szCs w:val="18"/>
          <w:lang w:val="es-ES_tradnl"/>
        </w:rPr>
        <w:t>ó</w:t>
      </w:r>
      <w:r>
        <w:rPr>
          <w:spacing w:val="-8"/>
          <w:sz w:val="18"/>
          <w:szCs w:val="18"/>
          <w:lang w:val="es-ES_tradnl"/>
        </w:rPr>
        <w:t>n a que no se toma en cuenta la p</w:t>
      </w:r>
      <w:r>
        <w:rPr>
          <w:rFonts w:cs="Times New Roman"/>
          <w:spacing w:val="-8"/>
          <w:sz w:val="18"/>
          <w:szCs w:val="18"/>
          <w:lang w:val="es-ES_tradnl"/>
        </w:rPr>
        <w:t>á</w:t>
      </w:r>
      <w:r>
        <w:rPr>
          <w:spacing w:val="-8"/>
          <w:sz w:val="18"/>
          <w:szCs w:val="18"/>
          <w:lang w:val="es-ES_tradnl"/>
        </w:rPr>
        <w:t xml:space="preserve">gina web </w:t>
      </w:r>
      <w:r>
        <w:rPr>
          <w:spacing w:val="-5"/>
          <w:sz w:val="18"/>
          <w:szCs w:val="18"/>
          <w:lang w:val="es-ES_tradnl"/>
        </w:rPr>
        <w:t>del Municipio de Rumi</w:t>
      </w:r>
      <w:r>
        <w:rPr>
          <w:rFonts w:cs="Times New Roman"/>
          <w:spacing w:val="-5"/>
          <w:sz w:val="18"/>
          <w:szCs w:val="18"/>
          <w:lang w:val="es-ES_tradnl"/>
        </w:rPr>
        <w:t>ñ</w:t>
      </w:r>
      <w:r>
        <w:rPr>
          <w:spacing w:val="-5"/>
          <w:sz w:val="18"/>
          <w:szCs w:val="18"/>
          <w:lang w:val="es-ES_tradnl"/>
        </w:rPr>
        <w:t>ahui para el proceso de rendici</w:t>
      </w:r>
      <w:r>
        <w:rPr>
          <w:rFonts w:cs="Times New Roman"/>
          <w:spacing w:val="-5"/>
          <w:sz w:val="18"/>
          <w:szCs w:val="18"/>
          <w:lang w:val="es-ES_tradnl"/>
        </w:rPr>
        <w:t>ó</w:t>
      </w:r>
      <w:r>
        <w:rPr>
          <w:spacing w:val="-5"/>
          <w:sz w:val="18"/>
          <w:szCs w:val="18"/>
          <w:lang w:val="es-ES_tradnl"/>
        </w:rPr>
        <w:t xml:space="preserve">n </w:t>
      </w:r>
      <w:r>
        <w:rPr>
          <w:spacing w:val="-8"/>
          <w:sz w:val="18"/>
          <w:szCs w:val="18"/>
          <w:lang w:val="es-ES_tradnl"/>
        </w:rPr>
        <w:t xml:space="preserve">de cuentas, parece que el accionante desconoce que la </w:t>
      </w:r>
      <w:r>
        <w:rPr>
          <w:spacing w:val="-5"/>
          <w:sz w:val="18"/>
          <w:szCs w:val="18"/>
          <w:lang w:val="es-ES_tradnl"/>
        </w:rPr>
        <w:t>entidad municipal tiene la p</w:t>
      </w:r>
      <w:r>
        <w:rPr>
          <w:rFonts w:cs="Times New Roman"/>
          <w:spacing w:val="-5"/>
          <w:sz w:val="18"/>
          <w:szCs w:val="18"/>
          <w:lang w:val="es-ES_tradnl"/>
        </w:rPr>
        <w:t>á</w:t>
      </w:r>
      <w:r>
        <w:rPr>
          <w:spacing w:val="-5"/>
          <w:sz w:val="18"/>
          <w:szCs w:val="18"/>
          <w:lang w:val="es-ES_tradnl"/>
        </w:rPr>
        <w:t xml:space="preserve">gina web </w:t>
      </w:r>
      <w:hyperlink r:id="rId10" w:history="1">
        <w:r>
          <w:rPr>
            <w:b/>
            <w:bCs/>
            <w:spacing w:val="-5"/>
            <w:sz w:val="18"/>
            <w:szCs w:val="18"/>
            <w:u w:val="single"/>
            <w:lang w:val="es-ES_tradnl"/>
          </w:rPr>
          <w:t>www.ruminahui</w:t>
        </w:r>
      </w:hyperlink>
      <w:r>
        <w:rPr>
          <w:b/>
          <w:bCs/>
          <w:spacing w:val="-5"/>
          <w:sz w:val="18"/>
          <w:szCs w:val="18"/>
          <w:lang w:val="es-ES_tradnl"/>
        </w:rPr>
        <w:t xml:space="preserve">. </w:t>
      </w:r>
      <w:r>
        <w:rPr>
          <w:b/>
          <w:bCs/>
          <w:spacing w:val="-8"/>
          <w:sz w:val="18"/>
          <w:szCs w:val="18"/>
          <w:lang w:val="es-ES_tradnl"/>
        </w:rPr>
        <w:t>gob.ec</w:t>
      </w:r>
      <w:r>
        <w:rPr>
          <w:spacing w:val="-8"/>
          <w:sz w:val="18"/>
          <w:szCs w:val="18"/>
          <w:lang w:val="es-ES_tradnl"/>
        </w:rPr>
        <w:t>, en la cual se publican los informes de rendici</w:t>
      </w:r>
      <w:r>
        <w:rPr>
          <w:rFonts w:cs="Times New Roman"/>
          <w:spacing w:val="-8"/>
          <w:sz w:val="18"/>
          <w:szCs w:val="18"/>
          <w:lang w:val="es-ES_tradnl"/>
        </w:rPr>
        <w:t>ó</w:t>
      </w:r>
      <w:r>
        <w:rPr>
          <w:spacing w:val="-8"/>
          <w:sz w:val="18"/>
          <w:szCs w:val="18"/>
          <w:lang w:val="es-ES_tradnl"/>
        </w:rPr>
        <w:t xml:space="preserve">n de </w:t>
      </w:r>
      <w:r>
        <w:rPr>
          <w:spacing w:val="-6"/>
          <w:sz w:val="18"/>
          <w:szCs w:val="18"/>
          <w:lang w:val="es-ES_tradnl"/>
        </w:rPr>
        <w:t>cuentas de cada a</w:t>
      </w:r>
      <w:r>
        <w:rPr>
          <w:rFonts w:cs="Times New Roman"/>
          <w:spacing w:val="-6"/>
          <w:sz w:val="18"/>
          <w:szCs w:val="18"/>
          <w:lang w:val="es-ES_tradnl"/>
        </w:rPr>
        <w:t>ñ</w:t>
      </w:r>
      <w:r>
        <w:rPr>
          <w:spacing w:val="-6"/>
          <w:sz w:val="18"/>
          <w:szCs w:val="18"/>
          <w:lang w:val="es-ES_tradnl"/>
        </w:rPr>
        <w:t>o, as</w:t>
      </w:r>
      <w:r>
        <w:rPr>
          <w:rFonts w:cs="Times New Roman"/>
          <w:spacing w:val="-6"/>
          <w:sz w:val="18"/>
          <w:szCs w:val="18"/>
          <w:lang w:val="es-ES_tradnl"/>
        </w:rPr>
        <w:t>í</w:t>
      </w:r>
      <w:r>
        <w:rPr>
          <w:spacing w:val="-6"/>
          <w:sz w:val="18"/>
          <w:szCs w:val="18"/>
          <w:lang w:val="es-ES_tradnl"/>
        </w:rPr>
        <w:t xml:space="preserve"> como informes de participaci</w:t>
      </w:r>
      <w:r>
        <w:rPr>
          <w:rFonts w:cs="Times New Roman"/>
          <w:spacing w:val="-6"/>
          <w:sz w:val="18"/>
          <w:szCs w:val="18"/>
          <w:lang w:val="es-ES_tradnl"/>
        </w:rPr>
        <w:t>ó</w:t>
      </w:r>
      <w:r>
        <w:rPr>
          <w:spacing w:val="-6"/>
          <w:sz w:val="18"/>
          <w:szCs w:val="18"/>
          <w:lang w:val="es-ES_tradnl"/>
        </w:rPr>
        <w:t xml:space="preserve">n </w:t>
      </w:r>
      <w:r>
        <w:rPr>
          <w:spacing w:val="-3"/>
          <w:sz w:val="18"/>
          <w:szCs w:val="18"/>
          <w:lang w:val="es-ES_tradnl"/>
        </w:rPr>
        <w:t>ciudadana e informes de gesti</w:t>
      </w:r>
      <w:r>
        <w:rPr>
          <w:rFonts w:cs="Times New Roman"/>
          <w:spacing w:val="-3"/>
          <w:sz w:val="18"/>
          <w:szCs w:val="18"/>
          <w:lang w:val="es-ES_tradnl"/>
        </w:rPr>
        <w:t>ó</w:t>
      </w:r>
      <w:r>
        <w:rPr>
          <w:spacing w:val="-3"/>
          <w:sz w:val="18"/>
          <w:szCs w:val="18"/>
          <w:lang w:val="es-ES_tradnl"/>
        </w:rPr>
        <w:t xml:space="preserve">n del presupuesto </w:t>
      </w:r>
      <w:r>
        <w:rPr>
          <w:sz w:val="18"/>
          <w:szCs w:val="18"/>
          <w:lang w:val="es-ES_tradnl"/>
        </w:rPr>
        <w:t>participativo.</w:t>
      </w:r>
    </w:p>
    <w:p w14:paraId="4F67A6F3" w14:textId="77777777" w:rsidR="00591D54" w:rsidRDefault="00591D54">
      <w:pPr>
        <w:shd w:val="clear" w:color="auto" w:fill="FFFFFF"/>
        <w:spacing w:before="197" w:line="216" w:lineRule="exact"/>
        <w:jc w:val="both"/>
      </w:pPr>
      <w:r>
        <w:rPr>
          <w:spacing w:val="-7"/>
          <w:sz w:val="18"/>
          <w:szCs w:val="18"/>
          <w:lang w:val="es-ES_tradnl"/>
        </w:rPr>
        <w:t xml:space="preserve">Que no se transgrede la norma constitucional respecto de </w:t>
      </w:r>
      <w:r>
        <w:rPr>
          <w:spacing w:val="-3"/>
          <w:sz w:val="18"/>
          <w:szCs w:val="18"/>
          <w:lang w:val="es-ES_tradnl"/>
        </w:rPr>
        <w:t>la silla vac</w:t>
      </w:r>
      <w:r>
        <w:rPr>
          <w:rFonts w:cs="Times New Roman"/>
          <w:spacing w:val="-3"/>
          <w:sz w:val="18"/>
          <w:szCs w:val="18"/>
          <w:lang w:val="es-ES_tradnl"/>
        </w:rPr>
        <w:t>í</w:t>
      </w:r>
      <w:r>
        <w:rPr>
          <w:spacing w:val="-3"/>
          <w:sz w:val="18"/>
          <w:szCs w:val="18"/>
          <w:lang w:val="es-ES_tradnl"/>
        </w:rPr>
        <w:t xml:space="preserve">a, pues como toda ley u ordenanza requiere </w:t>
      </w:r>
      <w:r>
        <w:rPr>
          <w:spacing w:val="-4"/>
          <w:sz w:val="18"/>
          <w:szCs w:val="18"/>
          <w:lang w:val="es-ES_tradnl"/>
        </w:rPr>
        <w:t>la expedici</w:t>
      </w:r>
      <w:r>
        <w:rPr>
          <w:rFonts w:cs="Times New Roman"/>
          <w:spacing w:val="-4"/>
          <w:sz w:val="18"/>
          <w:szCs w:val="18"/>
          <w:lang w:val="es-ES_tradnl"/>
        </w:rPr>
        <w:t>ó</w:t>
      </w:r>
      <w:r>
        <w:rPr>
          <w:spacing w:val="-4"/>
          <w:sz w:val="18"/>
          <w:szCs w:val="18"/>
          <w:lang w:val="es-ES_tradnl"/>
        </w:rPr>
        <w:t>n de un reglamento para su aplicaci</w:t>
      </w:r>
      <w:r>
        <w:rPr>
          <w:rFonts w:cs="Times New Roman"/>
          <w:spacing w:val="-4"/>
          <w:sz w:val="18"/>
          <w:szCs w:val="18"/>
          <w:lang w:val="es-ES_tradnl"/>
        </w:rPr>
        <w:t>ó</w:t>
      </w:r>
      <w:r>
        <w:rPr>
          <w:spacing w:val="-4"/>
          <w:sz w:val="18"/>
          <w:szCs w:val="18"/>
          <w:lang w:val="es-ES_tradnl"/>
        </w:rPr>
        <w:t xml:space="preserve">n, y es </w:t>
      </w:r>
      <w:r>
        <w:rPr>
          <w:spacing w:val="-5"/>
          <w:sz w:val="18"/>
          <w:szCs w:val="18"/>
          <w:lang w:val="es-ES_tradnl"/>
        </w:rPr>
        <w:t xml:space="preserve">precisamente eso lo que se pretende al haberse remitido </w:t>
      </w:r>
      <w:r>
        <w:rPr>
          <w:spacing w:val="-3"/>
          <w:sz w:val="18"/>
          <w:szCs w:val="18"/>
          <w:lang w:val="es-ES_tradnl"/>
        </w:rPr>
        <w:t>al Consejo de Participaci</w:t>
      </w:r>
      <w:r>
        <w:rPr>
          <w:rFonts w:cs="Times New Roman"/>
          <w:spacing w:val="-3"/>
          <w:sz w:val="18"/>
          <w:szCs w:val="18"/>
          <w:lang w:val="es-ES_tradnl"/>
        </w:rPr>
        <w:t>ó</w:t>
      </w:r>
      <w:r>
        <w:rPr>
          <w:spacing w:val="-3"/>
          <w:sz w:val="18"/>
          <w:szCs w:val="18"/>
          <w:lang w:val="es-ES_tradnl"/>
        </w:rPr>
        <w:t xml:space="preserve">n Ciudadana y Control Social </w:t>
      </w:r>
      <w:r>
        <w:rPr>
          <w:spacing w:val="-7"/>
          <w:sz w:val="18"/>
          <w:szCs w:val="18"/>
          <w:lang w:val="es-ES_tradnl"/>
        </w:rPr>
        <w:t>el proyecto de Reglamento del Subsistema de Silla Vac</w:t>
      </w:r>
      <w:r>
        <w:rPr>
          <w:rFonts w:cs="Times New Roman"/>
          <w:spacing w:val="-7"/>
          <w:sz w:val="18"/>
          <w:szCs w:val="18"/>
          <w:lang w:val="es-ES_tradnl"/>
        </w:rPr>
        <w:t>í</w:t>
      </w:r>
      <w:r>
        <w:rPr>
          <w:spacing w:val="-7"/>
          <w:sz w:val="18"/>
          <w:szCs w:val="18"/>
          <w:lang w:val="es-ES_tradnl"/>
        </w:rPr>
        <w:t xml:space="preserve">a, </w:t>
      </w:r>
      <w:r>
        <w:rPr>
          <w:spacing w:val="-4"/>
          <w:sz w:val="18"/>
          <w:szCs w:val="18"/>
          <w:lang w:val="es-ES_tradnl"/>
        </w:rPr>
        <w:t>a fin de que el mismo pueda ser perfeccionado, lo que evidencia buena fe por parte del Gobierno Aut</w:t>
      </w:r>
      <w:r>
        <w:rPr>
          <w:rFonts w:cs="Times New Roman"/>
          <w:spacing w:val="-4"/>
          <w:sz w:val="18"/>
          <w:szCs w:val="18"/>
          <w:lang w:val="es-ES_tradnl"/>
        </w:rPr>
        <w:t>ó</w:t>
      </w:r>
      <w:r>
        <w:rPr>
          <w:spacing w:val="-4"/>
          <w:sz w:val="18"/>
          <w:szCs w:val="18"/>
          <w:lang w:val="es-ES_tradnl"/>
        </w:rPr>
        <w:t>nomo Descentralizado Municipal de Rumi</w:t>
      </w:r>
      <w:r>
        <w:rPr>
          <w:rFonts w:cs="Times New Roman"/>
          <w:spacing w:val="-4"/>
          <w:sz w:val="18"/>
          <w:szCs w:val="18"/>
          <w:lang w:val="es-ES_tradnl"/>
        </w:rPr>
        <w:t>ñ</w:t>
      </w:r>
      <w:r>
        <w:rPr>
          <w:spacing w:val="-4"/>
          <w:sz w:val="18"/>
          <w:szCs w:val="18"/>
          <w:lang w:val="es-ES_tradnl"/>
        </w:rPr>
        <w:t>ahui.</w:t>
      </w:r>
    </w:p>
    <w:p w14:paraId="4F67A6F4" w14:textId="77777777" w:rsidR="00591D54" w:rsidRDefault="00591D54">
      <w:pPr>
        <w:shd w:val="clear" w:color="auto" w:fill="FFFFFF"/>
        <w:spacing w:before="192" w:line="216" w:lineRule="exact"/>
        <w:jc w:val="both"/>
      </w:pPr>
      <w:r>
        <w:rPr>
          <w:spacing w:val="-8"/>
          <w:sz w:val="18"/>
          <w:szCs w:val="18"/>
          <w:lang w:val="es-ES_tradnl"/>
        </w:rPr>
        <w:t>Que la imputaci</w:t>
      </w:r>
      <w:r>
        <w:rPr>
          <w:rFonts w:cs="Times New Roman"/>
          <w:spacing w:val="-8"/>
          <w:sz w:val="18"/>
          <w:szCs w:val="18"/>
          <w:lang w:val="es-ES_tradnl"/>
        </w:rPr>
        <w:t>ó</w:t>
      </w:r>
      <w:r>
        <w:rPr>
          <w:spacing w:val="-8"/>
          <w:sz w:val="18"/>
          <w:szCs w:val="18"/>
          <w:lang w:val="es-ES_tradnl"/>
        </w:rPr>
        <w:t xml:space="preserve">n que se hace respecto que la Ordenanza </w:t>
      </w:r>
      <w:r>
        <w:rPr>
          <w:spacing w:val="-4"/>
          <w:sz w:val="18"/>
          <w:szCs w:val="18"/>
          <w:lang w:val="es-ES_tradnl"/>
        </w:rPr>
        <w:t>del Sistema de Gesti</w:t>
      </w:r>
      <w:r>
        <w:rPr>
          <w:rFonts w:cs="Times New Roman"/>
          <w:spacing w:val="-4"/>
          <w:sz w:val="18"/>
          <w:szCs w:val="18"/>
          <w:lang w:val="es-ES_tradnl"/>
        </w:rPr>
        <w:t>ó</w:t>
      </w:r>
      <w:r>
        <w:rPr>
          <w:spacing w:val="-4"/>
          <w:sz w:val="18"/>
          <w:szCs w:val="18"/>
          <w:lang w:val="es-ES_tradnl"/>
        </w:rPr>
        <w:t>n y Participaci</w:t>
      </w:r>
      <w:r>
        <w:rPr>
          <w:rFonts w:cs="Times New Roman"/>
          <w:spacing w:val="-4"/>
          <w:sz w:val="18"/>
          <w:szCs w:val="18"/>
          <w:lang w:val="es-ES_tradnl"/>
        </w:rPr>
        <w:t>ó</w:t>
      </w:r>
      <w:r>
        <w:rPr>
          <w:spacing w:val="-4"/>
          <w:sz w:val="18"/>
          <w:szCs w:val="18"/>
          <w:lang w:val="es-ES_tradnl"/>
        </w:rPr>
        <w:t xml:space="preserve">n Ciudadana del </w:t>
      </w:r>
      <w:r>
        <w:rPr>
          <w:spacing w:val="-8"/>
          <w:sz w:val="18"/>
          <w:szCs w:val="18"/>
          <w:lang w:val="es-ES_tradnl"/>
        </w:rPr>
        <w:t>cant</w:t>
      </w:r>
      <w:r>
        <w:rPr>
          <w:rFonts w:cs="Times New Roman"/>
          <w:spacing w:val="-8"/>
          <w:sz w:val="18"/>
          <w:szCs w:val="18"/>
          <w:lang w:val="es-ES_tradnl"/>
        </w:rPr>
        <w:t>ó</w:t>
      </w:r>
      <w:r>
        <w:rPr>
          <w:spacing w:val="-8"/>
          <w:sz w:val="18"/>
          <w:szCs w:val="18"/>
          <w:lang w:val="es-ES_tradnl"/>
        </w:rPr>
        <w:t>n Sangolqu</w:t>
      </w:r>
      <w:r>
        <w:rPr>
          <w:rFonts w:cs="Times New Roman"/>
          <w:spacing w:val="-8"/>
          <w:sz w:val="18"/>
          <w:szCs w:val="18"/>
          <w:lang w:val="es-ES_tradnl"/>
        </w:rPr>
        <w:t>í</w:t>
      </w:r>
      <w:r>
        <w:rPr>
          <w:spacing w:val="-8"/>
          <w:sz w:val="18"/>
          <w:szCs w:val="18"/>
          <w:lang w:val="es-ES_tradnl"/>
        </w:rPr>
        <w:t xml:space="preserve"> es inconstitucional, es infundada, pues la </w:t>
      </w:r>
      <w:r>
        <w:rPr>
          <w:spacing w:val="-5"/>
          <w:sz w:val="18"/>
          <w:szCs w:val="18"/>
          <w:lang w:val="es-ES_tradnl"/>
        </w:rPr>
        <w:t xml:space="preserve">misma no adolece de inconstitucionalidad ni por la forma </w:t>
      </w:r>
      <w:r>
        <w:rPr>
          <w:spacing w:val="-3"/>
          <w:sz w:val="18"/>
          <w:szCs w:val="18"/>
          <w:lang w:val="es-ES_tradnl"/>
        </w:rPr>
        <w:t>ni por el fondo; adem</w:t>
      </w:r>
      <w:r>
        <w:rPr>
          <w:rFonts w:cs="Times New Roman"/>
          <w:spacing w:val="-3"/>
          <w:sz w:val="18"/>
          <w:szCs w:val="18"/>
          <w:lang w:val="es-ES_tradnl"/>
        </w:rPr>
        <w:t>á</w:t>
      </w:r>
      <w:r>
        <w:rPr>
          <w:spacing w:val="-3"/>
          <w:sz w:val="18"/>
          <w:szCs w:val="18"/>
          <w:lang w:val="es-ES_tradnl"/>
        </w:rPr>
        <w:t xml:space="preserve">s, el legitimado activo se limita a </w:t>
      </w:r>
      <w:r>
        <w:rPr>
          <w:spacing w:val="-4"/>
          <w:sz w:val="18"/>
          <w:szCs w:val="18"/>
          <w:lang w:val="es-ES_tradnl"/>
        </w:rPr>
        <w:t>atribuir una supuesta violaci</w:t>
      </w:r>
      <w:r>
        <w:rPr>
          <w:rFonts w:cs="Times New Roman"/>
          <w:spacing w:val="-4"/>
          <w:sz w:val="18"/>
          <w:szCs w:val="18"/>
          <w:lang w:val="es-ES_tradnl"/>
        </w:rPr>
        <w:t>ó</w:t>
      </w:r>
      <w:r>
        <w:rPr>
          <w:spacing w:val="-4"/>
          <w:sz w:val="18"/>
          <w:szCs w:val="18"/>
          <w:lang w:val="es-ES_tradnl"/>
        </w:rPr>
        <w:t xml:space="preserve">n de normas al alcalde del </w:t>
      </w:r>
      <w:r>
        <w:rPr>
          <w:spacing w:val="-7"/>
          <w:sz w:val="18"/>
          <w:szCs w:val="18"/>
          <w:lang w:val="es-ES_tradnl"/>
        </w:rPr>
        <w:t>cant</w:t>
      </w:r>
      <w:r>
        <w:rPr>
          <w:rFonts w:cs="Times New Roman"/>
          <w:spacing w:val="-7"/>
          <w:sz w:val="18"/>
          <w:szCs w:val="18"/>
          <w:lang w:val="es-ES_tradnl"/>
        </w:rPr>
        <w:t>ó</w:t>
      </w:r>
      <w:r>
        <w:rPr>
          <w:spacing w:val="-7"/>
          <w:sz w:val="18"/>
          <w:szCs w:val="18"/>
          <w:lang w:val="es-ES_tradnl"/>
        </w:rPr>
        <w:t>n Rumi</w:t>
      </w:r>
      <w:r>
        <w:rPr>
          <w:rFonts w:cs="Times New Roman"/>
          <w:spacing w:val="-7"/>
          <w:sz w:val="18"/>
          <w:szCs w:val="18"/>
          <w:lang w:val="es-ES_tradnl"/>
        </w:rPr>
        <w:t>ñ</w:t>
      </w:r>
      <w:r>
        <w:rPr>
          <w:spacing w:val="-7"/>
          <w:sz w:val="18"/>
          <w:szCs w:val="18"/>
          <w:lang w:val="es-ES_tradnl"/>
        </w:rPr>
        <w:t xml:space="preserve">ahui, cuando la ordenanza fue expedida por </w:t>
      </w:r>
      <w:r>
        <w:rPr>
          <w:spacing w:val="-5"/>
          <w:sz w:val="18"/>
          <w:szCs w:val="18"/>
          <w:lang w:val="es-ES_tradnl"/>
        </w:rPr>
        <w:t xml:space="preserve">el Concejo Municipal y no de manera personal por parte </w:t>
      </w:r>
      <w:r>
        <w:rPr>
          <w:spacing w:val="-4"/>
          <w:sz w:val="18"/>
          <w:szCs w:val="18"/>
          <w:lang w:val="es-ES_tradnl"/>
        </w:rPr>
        <w:t xml:space="preserve">de la autoridad municipal, y en virtud de ello solicita que </w:t>
      </w:r>
      <w:r>
        <w:rPr>
          <w:spacing w:val="-7"/>
          <w:sz w:val="18"/>
          <w:szCs w:val="18"/>
          <w:lang w:val="es-ES_tradnl"/>
        </w:rPr>
        <w:t xml:space="preserve">se rechace, por improcedente, la presente demanda de </w:t>
      </w:r>
      <w:r>
        <w:rPr>
          <w:sz w:val="18"/>
          <w:szCs w:val="18"/>
          <w:lang w:val="es-ES_tradnl"/>
        </w:rPr>
        <w:t>inconstitucionalidad.</w:t>
      </w:r>
    </w:p>
    <w:p w14:paraId="4F67A6F5" w14:textId="77777777" w:rsidR="00591D54" w:rsidRDefault="00591D54">
      <w:pPr>
        <w:shd w:val="clear" w:color="auto" w:fill="FFFFFF"/>
        <w:spacing w:before="192"/>
      </w:pPr>
      <w:r>
        <w:rPr>
          <w:b/>
          <w:bCs/>
          <w:spacing w:val="-5"/>
          <w:sz w:val="18"/>
          <w:szCs w:val="18"/>
          <w:lang w:val="es-ES_tradnl"/>
        </w:rPr>
        <w:t>Procuradur</w:t>
      </w:r>
      <w:r>
        <w:rPr>
          <w:rFonts w:cs="Times New Roman"/>
          <w:b/>
          <w:bCs/>
          <w:spacing w:val="-5"/>
          <w:sz w:val="18"/>
          <w:szCs w:val="18"/>
          <w:lang w:val="es-ES_tradnl"/>
        </w:rPr>
        <w:t>í</w:t>
      </w:r>
      <w:r>
        <w:rPr>
          <w:b/>
          <w:bCs/>
          <w:spacing w:val="-5"/>
          <w:sz w:val="18"/>
          <w:szCs w:val="18"/>
          <w:lang w:val="es-ES_tradnl"/>
        </w:rPr>
        <w:t>a General del Estado</w:t>
      </w:r>
    </w:p>
    <w:p w14:paraId="4F67A6F6" w14:textId="77777777" w:rsidR="00591D54" w:rsidRDefault="00591D54">
      <w:pPr>
        <w:shd w:val="clear" w:color="auto" w:fill="FFFFFF"/>
        <w:spacing w:before="192" w:line="216" w:lineRule="exact"/>
        <w:jc w:val="both"/>
      </w:pPr>
      <w:r>
        <w:rPr>
          <w:spacing w:val="-4"/>
          <w:sz w:val="18"/>
          <w:szCs w:val="18"/>
          <w:lang w:val="es-ES_tradnl"/>
        </w:rPr>
        <w:t xml:space="preserve">El Ab. Marcos Arteaga Valenzuela, director nacional de </w:t>
      </w:r>
      <w:r>
        <w:rPr>
          <w:spacing w:val="-6"/>
          <w:sz w:val="18"/>
          <w:szCs w:val="18"/>
          <w:lang w:val="es-ES_tradnl"/>
        </w:rPr>
        <w:t xml:space="preserve">Patrocinio y delegado del procurador general del Estado, </w:t>
      </w:r>
      <w:r>
        <w:rPr>
          <w:spacing w:val="-7"/>
          <w:sz w:val="18"/>
          <w:szCs w:val="18"/>
          <w:lang w:val="es-ES_tradnl"/>
        </w:rPr>
        <w:t xml:space="preserve">mediante escrito que obra de fojas 109 a 114, expuso que </w:t>
      </w:r>
      <w:r>
        <w:rPr>
          <w:spacing w:val="-3"/>
          <w:sz w:val="18"/>
          <w:szCs w:val="18"/>
          <w:lang w:val="es-ES_tradnl"/>
        </w:rPr>
        <w:t xml:space="preserve">si bien los actos normativos de los </w:t>
      </w:r>
      <w:r>
        <w:rPr>
          <w:rFonts w:cs="Times New Roman"/>
          <w:spacing w:val="-3"/>
          <w:sz w:val="18"/>
          <w:szCs w:val="18"/>
          <w:lang w:val="es-ES_tradnl"/>
        </w:rPr>
        <w:t>ó</w:t>
      </w:r>
      <w:r>
        <w:rPr>
          <w:spacing w:val="-3"/>
          <w:sz w:val="18"/>
          <w:szCs w:val="18"/>
          <w:lang w:val="es-ES_tradnl"/>
        </w:rPr>
        <w:t xml:space="preserve">rganos legislativos </w:t>
      </w:r>
      <w:r>
        <w:rPr>
          <w:spacing w:val="-8"/>
          <w:sz w:val="18"/>
          <w:szCs w:val="18"/>
          <w:lang w:val="es-ES_tradnl"/>
        </w:rPr>
        <w:t>de los gobiernos aut</w:t>
      </w:r>
      <w:r>
        <w:rPr>
          <w:rFonts w:cs="Times New Roman"/>
          <w:spacing w:val="-8"/>
          <w:sz w:val="18"/>
          <w:szCs w:val="18"/>
          <w:lang w:val="es-ES_tradnl"/>
        </w:rPr>
        <w:t>ó</w:t>
      </w:r>
      <w:r>
        <w:rPr>
          <w:spacing w:val="-8"/>
          <w:sz w:val="18"/>
          <w:szCs w:val="18"/>
          <w:lang w:val="es-ES_tradnl"/>
        </w:rPr>
        <w:t xml:space="preserve">nomos descentralizados pueden ser </w:t>
      </w:r>
      <w:r>
        <w:rPr>
          <w:spacing w:val="-5"/>
          <w:sz w:val="18"/>
          <w:szCs w:val="18"/>
          <w:lang w:val="es-ES_tradnl"/>
        </w:rPr>
        <w:t xml:space="preserve">impugnados ante la Corte Constitucional, la presente </w:t>
      </w:r>
      <w:r>
        <w:rPr>
          <w:spacing w:val="-7"/>
          <w:sz w:val="18"/>
          <w:szCs w:val="18"/>
          <w:lang w:val="es-ES_tradnl"/>
        </w:rPr>
        <w:t xml:space="preserve">demanda </w:t>
      </w:r>
      <w:r>
        <w:rPr>
          <w:rFonts w:cs="Times New Roman"/>
          <w:spacing w:val="-7"/>
          <w:sz w:val="18"/>
          <w:szCs w:val="18"/>
          <w:lang w:val="es-ES_tradnl"/>
        </w:rPr>
        <w:t>“</w:t>
      </w:r>
      <w:r>
        <w:rPr>
          <w:spacing w:val="-7"/>
          <w:sz w:val="18"/>
          <w:szCs w:val="18"/>
          <w:lang w:val="es-ES_tradnl"/>
        </w:rPr>
        <w:t>adolece de argumentos v</w:t>
      </w:r>
      <w:r>
        <w:rPr>
          <w:rFonts w:cs="Times New Roman"/>
          <w:spacing w:val="-7"/>
          <w:sz w:val="18"/>
          <w:szCs w:val="18"/>
          <w:lang w:val="es-ES_tradnl"/>
        </w:rPr>
        <w:t>á</w:t>
      </w:r>
      <w:r>
        <w:rPr>
          <w:spacing w:val="-7"/>
          <w:sz w:val="18"/>
          <w:szCs w:val="18"/>
          <w:lang w:val="es-ES_tradnl"/>
        </w:rPr>
        <w:t xml:space="preserve">lidos y contundentes </w:t>
      </w:r>
      <w:r>
        <w:rPr>
          <w:spacing w:val="-6"/>
          <w:sz w:val="18"/>
          <w:szCs w:val="18"/>
          <w:lang w:val="es-ES_tradnl"/>
        </w:rPr>
        <w:t>que permitan evidenciar que existe violaci</w:t>
      </w:r>
      <w:r>
        <w:rPr>
          <w:rFonts w:cs="Times New Roman"/>
          <w:spacing w:val="-6"/>
          <w:sz w:val="18"/>
          <w:szCs w:val="18"/>
          <w:lang w:val="es-ES_tradnl"/>
        </w:rPr>
        <w:t>ó</w:t>
      </w:r>
      <w:r>
        <w:rPr>
          <w:spacing w:val="-6"/>
          <w:sz w:val="18"/>
          <w:szCs w:val="18"/>
          <w:lang w:val="es-ES_tradnl"/>
        </w:rPr>
        <w:t xml:space="preserve">n de derechos </w:t>
      </w:r>
      <w:r>
        <w:rPr>
          <w:spacing w:val="-8"/>
          <w:sz w:val="18"/>
          <w:szCs w:val="18"/>
          <w:lang w:val="es-ES_tradnl"/>
        </w:rPr>
        <w:t>constitucionales</w:t>
      </w:r>
      <w:r>
        <w:rPr>
          <w:rFonts w:cs="Times New Roman"/>
          <w:spacing w:val="-8"/>
          <w:sz w:val="18"/>
          <w:szCs w:val="18"/>
          <w:lang w:val="es-ES_tradnl"/>
        </w:rPr>
        <w:t>”</w:t>
      </w:r>
      <w:r>
        <w:rPr>
          <w:spacing w:val="-8"/>
          <w:sz w:val="18"/>
          <w:szCs w:val="18"/>
          <w:lang w:val="es-ES_tradnl"/>
        </w:rPr>
        <w:t>, pues el accionante basa el an</w:t>
      </w:r>
      <w:r>
        <w:rPr>
          <w:rFonts w:cs="Times New Roman"/>
          <w:spacing w:val="-8"/>
          <w:sz w:val="18"/>
          <w:szCs w:val="18"/>
          <w:lang w:val="es-ES_tradnl"/>
        </w:rPr>
        <w:t>á</w:t>
      </w:r>
      <w:r>
        <w:rPr>
          <w:spacing w:val="-8"/>
          <w:sz w:val="18"/>
          <w:szCs w:val="18"/>
          <w:lang w:val="es-ES_tradnl"/>
        </w:rPr>
        <w:t xml:space="preserve">lisis de su </w:t>
      </w:r>
      <w:r>
        <w:rPr>
          <w:spacing w:val="-7"/>
          <w:sz w:val="18"/>
          <w:szCs w:val="18"/>
          <w:lang w:val="es-ES_tradnl"/>
        </w:rPr>
        <w:t xml:space="preserve">cuestionamiento en la ordenanza impugnada, </w:t>
      </w:r>
      <w:r>
        <w:rPr>
          <w:rFonts w:cs="Times New Roman"/>
          <w:spacing w:val="-7"/>
          <w:sz w:val="18"/>
          <w:szCs w:val="18"/>
          <w:lang w:val="es-ES_tradnl"/>
        </w:rPr>
        <w:t>ú</w:t>
      </w:r>
      <w:r>
        <w:rPr>
          <w:spacing w:val="-7"/>
          <w:sz w:val="18"/>
          <w:szCs w:val="18"/>
          <w:lang w:val="es-ES_tradnl"/>
        </w:rPr>
        <w:t xml:space="preserve">nicamente </w:t>
      </w:r>
      <w:r>
        <w:rPr>
          <w:spacing w:val="-4"/>
          <w:sz w:val="18"/>
          <w:szCs w:val="18"/>
          <w:lang w:val="es-ES_tradnl"/>
        </w:rPr>
        <w:t>haciendo un cotejamiento con el C</w:t>
      </w:r>
      <w:r>
        <w:rPr>
          <w:rFonts w:cs="Times New Roman"/>
          <w:spacing w:val="-4"/>
          <w:sz w:val="18"/>
          <w:szCs w:val="18"/>
          <w:lang w:val="es-ES_tradnl"/>
        </w:rPr>
        <w:t>ó</w:t>
      </w:r>
      <w:r>
        <w:rPr>
          <w:spacing w:val="-4"/>
          <w:sz w:val="18"/>
          <w:szCs w:val="18"/>
          <w:lang w:val="es-ES_tradnl"/>
        </w:rPr>
        <w:t>digo Org</w:t>
      </w:r>
      <w:r>
        <w:rPr>
          <w:rFonts w:cs="Times New Roman"/>
          <w:spacing w:val="-4"/>
          <w:sz w:val="18"/>
          <w:szCs w:val="18"/>
          <w:lang w:val="es-ES_tradnl"/>
        </w:rPr>
        <w:t>á</w:t>
      </w:r>
      <w:r>
        <w:rPr>
          <w:spacing w:val="-4"/>
          <w:sz w:val="18"/>
          <w:szCs w:val="18"/>
          <w:lang w:val="es-ES_tradnl"/>
        </w:rPr>
        <w:t>nico de Organizaci</w:t>
      </w:r>
      <w:r>
        <w:rPr>
          <w:rFonts w:cs="Times New Roman"/>
          <w:spacing w:val="-4"/>
          <w:sz w:val="18"/>
          <w:szCs w:val="18"/>
          <w:lang w:val="es-ES_tradnl"/>
        </w:rPr>
        <w:t>ó</w:t>
      </w:r>
      <w:r>
        <w:rPr>
          <w:spacing w:val="-4"/>
          <w:sz w:val="18"/>
          <w:szCs w:val="18"/>
          <w:lang w:val="es-ES_tradnl"/>
        </w:rPr>
        <w:t>n Territorial, Autonom</w:t>
      </w:r>
      <w:r>
        <w:rPr>
          <w:rFonts w:cs="Times New Roman"/>
          <w:spacing w:val="-4"/>
          <w:sz w:val="18"/>
          <w:szCs w:val="18"/>
          <w:lang w:val="es-ES_tradnl"/>
        </w:rPr>
        <w:t>í</w:t>
      </w:r>
      <w:r>
        <w:rPr>
          <w:spacing w:val="-4"/>
          <w:sz w:val="18"/>
          <w:szCs w:val="18"/>
          <w:lang w:val="es-ES_tradnl"/>
        </w:rPr>
        <w:t>a y Descentralizaci</w:t>
      </w:r>
      <w:r>
        <w:rPr>
          <w:rFonts w:cs="Times New Roman"/>
          <w:spacing w:val="-4"/>
          <w:sz w:val="18"/>
          <w:szCs w:val="18"/>
          <w:lang w:val="es-ES_tradnl"/>
        </w:rPr>
        <w:t>ó</w:t>
      </w:r>
      <w:r>
        <w:rPr>
          <w:spacing w:val="-4"/>
          <w:sz w:val="18"/>
          <w:szCs w:val="18"/>
          <w:lang w:val="es-ES_tradnl"/>
        </w:rPr>
        <w:t xml:space="preserve">n </w:t>
      </w:r>
      <w:r>
        <w:rPr>
          <w:spacing w:val="-7"/>
          <w:sz w:val="18"/>
          <w:szCs w:val="18"/>
          <w:lang w:val="es-ES_tradnl"/>
        </w:rPr>
        <w:t>(COOTAD) y la Ley Org</w:t>
      </w:r>
      <w:r>
        <w:rPr>
          <w:rFonts w:cs="Times New Roman"/>
          <w:spacing w:val="-7"/>
          <w:sz w:val="18"/>
          <w:szCs w:val="18"/>
          <w:lang w:val="es-ES_tradnl"/>
        </w:rPr>
        <w:t>á</w:t>
      </w:r>
      <w:r>
        <w:rPr>
          <w:spacing w:val="-7"/>
          <w:sz w:val="18"/>
          <w:szCs w:val="18"/>
          <w:lang w:val="es-ES_tradnl"/>
        </w:rPr>
        <w:t>nica de Participaci</w:t>
      </w:r>
      <w:r>
        <w:rPr>
          <w:rFonts w:cs="Times New Roman"/>
          <w:spacing w:val="-7"/>
          <w:sz w:val="18"/>
          <w:szCs w:val="18"/>
          <w:lang w:val="es-ES_tradnl"/>
        </w:rPr>
        <w:t>ó</w:t>
      </w:r>
      <w:r>
        <w:rPr>
          <w:spacing w:val="-7"/>
          <w:sz w:val="18"/>
          <w:szCs w:val="18"/>
          <w:lang w:val="es-ES_tradnl"/>
        </w:rPr>
        <w:t xml:space="preserve">n Ciudadana, </w:t>
      </w:r>
      <w:r>
        <w:rPr>
          <w:spacing w:val="-3"/>
          <w:sz w:val="18"/>
          <w:szCs w:val="18"/>
          <w:lang w:val="es-ES_tradnl"/>
        </w:rPr>
        <w:t>sin invocar un solo art</w:t>
      </w:r>
      <w:r>
        <w:rPr>
          <w:rFonts w:cs="Times New Roman"/>
          <w:spacing w:val="-3"/>
          <w:sz w:val="18"/>
          <w:szCs w:val="18"/>
          <w:lang w:val="es-ES_tradnl"/>
        </w:rPr>
        <w:t>í</w:t>
      </w:r>
      <w:r>
        <w:rPr>
          <w:spacing w:val="-3"/>
          <w:sz w:val="18"/>
          <w:szCs w:val="18"/>
          <w:lang w:val="es-ES_tradnl"/>
        </w:rPr>
        <w:t>culo contenido en la Constituci</w:t>
      </w:r>
      <w:r>
        <w:rPr>
          <w:rFonts w:cs="Times New Roman"/>
          <w:spacing w:val="-3"/>
          <w:sz w:val="18"/>
          <w:szCs w:val="18"/>
          <w:lang w:val="es-ES_tradnl"/>
        </w:rPr>
        <w:t>ó</w:t>
      </w:r>
      <w:r>
        <w:rPr>
          <w:spacing w:val="-3"/>
          <w:sz w:val="18"/>
          <w:szCs w:val="18"/>
          <w:lang w:val="es-ES_tradnl"/>
        </w:rPr>
        <w:t xml:space="preserve">n </w:t>
      </w:r>
      <w:r>
        <w:rPr>
          <w:spacing w:val="-4"/>
          <w:sz w:val="18"/>
          <w:szCs w:val="18"/>
          <w:lang w:val="es-ES_tradnl"/>
        </w:rPr>
        <w:t>de la Rep</w:t>
      </w:r>
      <w:r>
        <w:rPr>
          <w:rFonts w:cs="Times New Roman"/>
          <w:spacing w:val="-4"/>
          <w:sz w:val="18"/>
          <w:szCs w:val="18"/>
          <w:lang w:val="es-ES_tradnl"/>
        </w:rPr>
        <w:t>ú</w:t>
      </w:r>
      <w:r>
        <w:rPr>
          <w:spacing w:val="-4"/>
          <w:sz w:val="18"/>
          <w:szCs w:val="18"/>
          <w:lang w:val="es-ES_tradnl"/>
        </w:rPr>
        <w:t xml:space="preserve">blica, supuestamente transgredido por la </w:t>
      </w:r>
      <w:r>
        <w:rPr>
          <w:spacing w:val="-6"/>
          <w:sz w:val="18"/>
          <w:szCs w:val="18"/>
          <w:lang w:val="es-ES_tradnl"/>
        </w:rPr>
        <w:t xml:space="preserve">Ordenanza municipal impugnada, es decir, la presente </w:t>
      </w:r>
      <w:r>
        <w:rPr>
          <w:sz w:val="18"/>
          <w:szCs w:val="18"/>
          <w:lang w:val="es-ES_tradnl"/>
        </w:rPr>
        <w:t>acci</w:t>
      </w:r>
      <w:r>
        <w:rPr>
          <w:rFonts w:cs="Times New Roman"/>
          <w:sz w:val="18"/>
          <w:szCs w:val="18"/>
          <w:lang w:val="es-ES_tradnl"/>
        </w:rPr>
        <w:t>ó</w:t>
      </w:r>
      <w:r>
        <w:rPr>
          <w:sz w:val="18"/>
          <w:szCs w:val="18"/>
          <w:lang w:val="es-ES_tradnl"/>
        </w:rPr>
        <w:t>n se fundamenta en un tema de mera legalidad,</w:t>
      </w:r>
    </w:p>
    <w:p w14:paraId="4F67A6F7" w14:textId="77777777" w:rsidR="00591D54" w:rsidRDefault="00591D54">
      <w:pPr>
        <w:shd w:val="clear" w:color="auto" w:fill="FFFFFF"/>
        <w:spacing w:line="216" w:lineRule="exact"/>
        <w:jc w:val="both"/>
      </w:pPr>
      <w:r>
        <w:br w:type="column"/>
      </w:r>
      <w:r>
        <w:rPr>
          <w:spacing w:val="-7"/>
          <w:sz w:val="18"/>
          <w:szCs w:val="18"/>
          <w:lang w:val="es-ES_tradnl"/>
        </w:rPr>
        <w:t xml:space="preserve">como afirma el legitimado activo en su libelo de demanda, </w:t>
      </w:r>
      <w:r>
        <w:rPr>
          <w:spacing w:val="-3"/>
          <w:sz w:val="18"/>
          <w:szCs w:val="18"/>
          <w:lang w:val="es-ES_tradnl"/>
        </w:rPr>
        <w:t xml:space="preserve">pretendiendo que la Corte Constitucional </w:t>
      </w:r>
      <w:r>
        <w:rPr>
          <w:rFonts w:cs="Times New Roman"/>
          <w:spacing w:val="-3"/>
          <w:sz w:val="18"/>
          <w:szCs w:val="18"/>
          <w:lang w:val="es-ES_tradnl"/>
        </w:rPr>
        <w:t>“</w:t>
      </w:r>
      <w:r>
        <w:rPr>
          <w:spacing w:val="-3"/>
          <w:sz w:val="18"/>
          <w:szCs w:val="18"/>
          <w:lang w:val="es-ES_tradnl"/>
        </w:rPr>
        <w:t xml:space="preserve">analice y </w:t>
      </w:r>
      <w:r>
        <w:rPr>
          <w:spacing w:val="-6"/>
          <w:sz w:val="18"/>
          <w:szCs w:val="18"/>
          <w:lang w:val="es-ES_tradnl"/>
        </w:rPr>
        <w:t>compruebe las ilegalidades que se han cometido en la redacci</w:t>
      </w:r>
      <w:r>
        <w:rPr>
          <w:rFonts w:cs="Times New Roman"/>
          <w:spacing w:val="-6"/>
          <w:sz w:val="18"/>
          <w:szCs w:val="18"/>
          <w:lang w:val="es-ES_tradnl"/>
        </w:rPr>
        <w:t>ó</w:t>
      </w:r>
      <w:r>
        <w:rPr>
          <w:spacing w:val="-6"/>
          <w:sz w:val="18"/>
          <w:szCs w:val="18"/>
          <w:lang w:val="es-ES_tradnl"/>
        </w:rPr>
        <w:t>n y expedici</w:t>
      </w:r>
      <w:r>
        <w:rPr>
          <w:rFonts w:cs="Times New Roman"/>
          <w:spacing w:val="-6"/>
          <w:sz w:val="18"/>
          <w:szCs w:val="18"/>
          <w:lang w:val="es-ES_tradnl"/>
        </w:rPr>
        <w:t>ó</w:t>
      </w:r>
      <w:r>
        <w:rPr>
          <w:spacing w:val="-6"/>
          <w:sz w:val="18"/>
          <w:szCs w:val="18"/>
          <w:lang w:val="es-ES_tradnl"/>
        </w:rPr>
        <w:t>n de la Ordenanza</w:t>
      </w:r>
      <w:r>
        <w:rPr>
          <w:rFonts w:cs="Times New Roman"/>
          <w:spacing w:val="-6"/>
          <w:sz w:val="18"/>
          <w:szCs w:val="18"/>
          <w:lang w:val="es-ES_tradnl"/>
        </w:rPr>
        <w:t>”</w:t>
      </w:r>
      <w:r>
        <w:rPr>
          <w:spacing w:val="-6"/>
          <w:sz w:val="18"/>
          <w:szCs w:val="18"/>
          <w:lang w:val="es-ES_tradnl"/>
        </w:rPr>
        <w:t xml:space="preserve">, desatendiendo </w:t>
      </w:r>
      <w:r>
        <w:rPr>
          <w:spacing w:val="-5"/>
          <w:sz w:val="18"/>
          <w:szCs w:val="18"/>
          <w:lang w:val="es-ES_tradnl"/>
        </w:rPr>
        <w:t>el deber que le corresponde al m</w:t>
      </w:r>
      <w:r>
        <w:rPr>
          <w:rFonts w:cs="Times New Roman"/>
          <w:spacing w:val="-5"/>
          <w:sz w:val="18"/>
          <w:szCs w:val="18"/>
          <w:lang w:val="es-ES_tradnl"/>
        </w:rPr>
        <w:t>á</w:t>
      </w:r>
      <w:r>
        <w:rPr>
          <w:spacing w:val="-5"/>
          <w:sz w:val="18"/>
          <w:szCs w:val="18"/>
          <w:lang w:val="es-ES_tradnl"/>
        </w:rPr>
        <w:t xml:space="preserve">ximo </w:t>
      </w:r>
      <w:r>
        <w:rPr>
          <w:rFonts w:cs="Times New Roman"/>
          <w:spacing w:val="-5"/>
          <w:sz w:val="18"/>
          <w:szCs w:val="18"/>
          <w:lang w:val="es-ES_tradnl"/>
        </w:rPr>
        <w:t>ó</w:t>
      </w:r>
      <w:r>
        <w:rPr>
          <w:spacing w:val="-5"/>
          <w:sz w:val="18"/>
          <w:szCs w:val="18"/>
          <w:lang w:val="es-ES_tradnl"/>
        </w:rPr>
        <w:t xml:space="preserve">rgano de </w:t>
      </w:r>
      <w:r>
        <w:rPr>
          <w:spacing w:val="-3"/>
          <w:sz w:val="18"/>
          <w:szCs w:val="18"/>
          <w:lang w:val="es-ES_tradnl"/>
        </w:rPr>
        <w:t>administraci</w:t>
      </w:r>
      <w:r>
        <w:rPr>
          <w:rFonts w:cs="Times New Roman"/>
          <w:spacing w:val="-3"/>
          <w:sz w:val="18"/>
          <w:szCs w:val="18"/>
          <w:lang w:val="es-ES_tradnl"/>
        </w:rPr>
        <w:t>ó</w:t>
      </w:r>
      <w:r>
        <w:rPr>
          <w:spacing w:val="-3"/>
          <w:sz w:val="18"/>
          <w:szCs w:val="18"/>
          <w:lang w:val="es-ES_tradnl"/>
        </w:rPr>
        <w:t>n de justicia constitucional.</w:t>
      </w:r>
    </w:p>
    <w:p w14:paraId="4F67A6F8" w14:textId="77777777" w:rsidR="00591D54" w:rsidRDefault="00591D54">
      <w:pPr>
        <w:shd w:val="clear" w:color="auto" w:fill="FFFFFF"/>
        <w:spacing w:before="197" w:line="216" w:lineRule="exact"/>
        <w:jc w:val="both"/>
      </w:pPr>
      <w:r>
        <w:rPr>
          <w:sz w:val="18"/>
          <w:szCs w:val="18"/>
          <w:lang w:val="es-ES_tradnl"/>
        </w:rPr>
        <w:t xml:space="preserve">Que el accionante incursiona en el tema legal </w:t>
      </w:r>
      <w:r>
        <w:rPr>
          <w:spacing w:val="-6"/>
          <w:sz w:val="18"/>
          <w:szCs w:val="18"/>
          <w:lang w:val="es-ES_tradnl"/>
        </w:rPr>
        <w:t>presupuestario, sin se</w:t>
      </w:r>
      <w:r>
        <w:rPr>
          <w:rFonts w:cs="Times New Roman"/>
          <w:spacing w:val="-6"/>
          <w:sz w:val="18"/>
          <w:szCs w:val="18"/>
          <w:lang w:val="es-ES_tradnl"/>
        </w:rPr>
        <w:t>ñ</w:t>
      </w:r>
      <w:r>
        <w:rPr>
          <w:spacing w:val="-6"/>
          <w:sz w:val="18"/>
          <w:szCs w:val="18"/>
          <w:lang w:val="es-ES_tradnl"/>
        </w:rPr>
        <w:t>alar qu</w:t>
      </w:r>
      <w:r>
        <w:rPr>
          <w:rFonts w:cs="Times New Roman"/>
          <w:spacing w:val="-6"/>
          <w:sz w:val="18"/>
          <w:szCs w:val="18"/>
          <w:lang w:val="es-ES_tradnl"/>
        </w:rPr>
        <w:t>é</w:t>
      </w:r>
      <w:r>
        <w:rPr>
          <w:spacing w:val="-6"/>
          <w:sz w:val="18"/>
          <w:szCs w:val="18"/>
          <w:lang w:val="es-ES_tradnl"/>
        </w:rPr>
        <w:t xml:space="preserve"> disposici</w:t>
      </w:r>
      <w:r>
        <w:rPr>
          <w:rFonts w:cs="Times New Roman"/>
          <w:spacing w:val="-6"/>
          <w:sz w:val="18"/>
          <w:szCs w:val="18"/>
          <w:lang w:val="es-ES_tradnl"/>
        </w:rPr>
        <w:t>ó</w:t>
      </w:r>
      <w:r>
        <w:rPr>
          <w:spacing w:val="-6"/>
          <w:sz w:val="18"/>
          <w:szCs w:val="18"/>
          <w:lang w:val="es-ES_tradnl"/>
        </w:rPr>
        <w:t xml:space="preserve">n constitucional </w:t>
      </w:r>
      <w:r>
        <w:rPr>
          <w:spacing w:val="-4"/>
          <w:sz w:val="18"/>
          <w:szCs w:val="18"/>
          <w:lang w:val="es-ES_tradnl"/>
        </w:rPr>
        <w:t xml:space="preserve">ha sido supuestamente infringida, y sin aportar ninguna </w:t>
      </w:r>
      <w:r>
        <w:rPr>
          <w:spacing w:val="-7"/>
          <w:sz w:val="18"/>
          <w:szCs w:val="18"/>
          <w:lang w:val="es-ES_tradnl"/>
        </w:rPr>
        <w:t>prueba sobre esta presunta transgresi</w:t>
      </w:r>
      <w:r>
        <w:rPr>
          <w:rFonts w:cs="Times New Roman"/>
          <w:spacing w:val="-7"/>
          <w:sz w:val="18"/>
          <w:szCs w:val="18"/>
          <w:lang w:val="es-ES_tradnl"/>
        </w:rPr>
        <w:t>ó</w:t>
      </w:r>
      <w:r>
        <w:rPr>
          <w:spacing w:val="-7"/>
          <w:sz w:val="18"/>
          <w:szCs w:val="18"/>
          <w:lang w:val="es-ES_tradnl"/>
        </w:rPr>
        <w:t xml:space="preserve">n; que hace una </w:t>
      </w:r>
      <w:r>
        <w:rPr>
          <w:spacing w:val="-10"/>
          <w:sz w:val="18"/>
          <w:szCs w:val="18"/>
          <w:lang w:val="es-ES_tradnl"/>
        </w:rPr>
        <w:t>extensa transcripci</w:t>
      </w:r>
      <w:r>
        <w:rPr>
          <w:rFonts w:cs="Times New Roman"/>
          <w:spacing w:val="-10"/>
          <w:sz w:val="18"/>
          <w:szCs w:val="18"/>
          <w:lang w:val="es-ES_tradnl"/>
        </w:rPr>
        <w:t>ó</w:t>
      </w:r>
      <w:r>
        <w:rPr>
          <w:spacing w:val="-10"/>
          <w:sz w:val="18"/>
          <w:szCs w:val="18"/>
          <w:lang w:val="es-ES_tradnl"/>
        </w:rPr>
        <w:t xml:space="preserve">n de normas legales que en nada aporta </w:t>
      </w:r>
      <w:r>
        <w:rPr>
          <w:spacing w:val="-7"/>
          <w:sz w:val="18"/>
          <w:szCs w:val="18"/>
          <w:lang w:val="es-ES_tradnl"/>
        </w:rPr>
        <w:t>a un an</w:t>
      </w:r>
      <w:r>
        <w:rPr>
          <w:rFonts w:cs="Times New Roman"/>
          <w:spacing w:val="-7"/>
          <w:sz w:val="18"/>
          <w:szCs w:val="18"/>
          <w:lang w:val="es-ES_tradnl"/>
        </w:rPr>
        <w:t>á</w:t>
      </w:r>
      <w:r>
        <w:rPr>
          <w:spacing w:val="-7"/>
          <w:sz w:val="18"/>
          <w:szCs w:val="18"/>
          <w:lang w:val="es-ES_tradnl"/>
        </w:rPr>
        <w:t xml:space="preserve">lisis serio de constitucionalidad, desnaturalizando </w:t>
      </w:r>
      <w:r>
        <w:rPr>
          <w:spacing w:val="-5"/>
          <w:sz w:val="18"/>
          <w:szCs w:val="18"/>
          <w:lang w:val="es-ES_tradnl"/>
        </w:rPr>
        <w:t>la esencia de la acci</w:t>
      </w:r>
      <w:r>
        <w:rPr>
          <w:rFonts w:cs="Times New Roman"/>
          <w:spacing w:val="-5"/>
          <w:sz w:val="18"/>
          <w:szCs w:val="18"/>
          <w:lang w:val="es-ES_tradnl"/>
        </w:rPr>
        <w:t>ó</w:t>
      </w:r>
      <w:r>
        <w:rPr>
          <w:spacing w:val="-5"/>
          <w:sz w:val="18"/>
          <w:szCs w:val="18"/>
          <w:lang w:val="es-ES_tradnl"/>
        </w:rPr>
        <w:t>n de inconstitucionalidad.</w:t>
      </w:r>
    </w:p>
    <w:p w14:paraId="4F67A6F9" w14:textId="77777777" w:rsidR="00591D54" w:rsidRDefault="00591D54">
      <w:pPr>
        <w:shd w:val="clear" w:color="auto" w:fill="FFFFFF"/>
        <w:spacing w:before="197" w:line="216" w:lineRule="exact"/>
        <w:jc w:val="both"/>
      </w:pPr>
      <w:r>
        <w:rPr>
          <w:sz w:val="18"/>
          <w:szCs w:val="18"/>
          <w:lang w:val="es-ES_tradnl"/>
        </w:rPr>
        <w:t xml:space="preserve">Que al contrario de lo manifestado por el accionante, </w:t>
      </w:r>
      <w:r>
        <w:rPr>
          <w:spacing w:val="-3"/>
          <w:sz w:val="18"/>
          <w:szCs w:val="18"/>
          <w:lang w:val="es-ES_tradnl"/>
        </w:rPr>
        <w:t>la Ordenanza expedida por el Municipio de Rumi</w:t>
      </w:r>
      <w:r>
        <w:rPr>
          <w:rFonts w:cs="Times New Roman"/>
          <w:spacing w:val="-3"/>
          <w:sz w:val="18"/>
          <w:szCs w:val="18"/>
          <w:lang w:val="es-ES_tradnl"/>
        </w:rPr>
        <w:t>ñ</w:t>
      </w:r>
      <w:r>
        <w:rPr>
          <w:spacing w:val="-3"/>
          <w:sz w:val="18"/>
          <w:szCs w:val="18"/>
          <w:lang w:val="es-ES_tradnl"/>
        </w:rPr>
        <w:t xml:space="preserve">ahui </w:t>
      </w:r>
      <w:r>
        <w:rPr>
          <w:spacing w:val="-5"/>
          <w:sz w:val="18"/>
          <w:szCs w:val="18"/>
          <w:lang w:val="es-ES_tradnl"/>
        </w:rPr>
        <w:t>garantiza la participaci</w:t>
      </w:r>
      <w:r>
        <w:rPr>
          <w:rFonts w:cs="Times New Roman"/>
          <w:spacing w:val="-5"/>
          <w:sz w:val="18"/>
          <w:szCs w:val="18"/>
          <w:lang w:val="es-ES_tradnl"/>
        </w:rPr>
        <w:t>ó</w:t>
      </w:r>
      <w:r>
        <w:rPr>
          <w:spacing w:val="-5"/>
          <w:sz w:val="18"/>
          <w:szCs w:val="18"/>
          <w:lang w:val="es-ES_tradnl"/>
        </w:rPr>
        <w:t>n de organizaciones sociales, ind</w:t>
      </w:r>
      <w:r>
        <w:rPr>
          <w:rFonts w:cs="Times New Roman"/>
          <w:spacing w:val="-5"/>
          <w:sz w:val="18"/>
          <w:szCs w:val="18"/>
          <w:lang w:val="es-ES_tradnl"/>
        </w:rPr>
        <w:t>í</w:t>
      </w:r>
      <w:r>
        <w:rPr>
          <w:spacing w:val="-5"/>
          <w:sz w:val="18"/>
          <w:szCs w:val="18"/>
          <w:lang w:val="es-ES_tradnl"/>
        </w:rPr>
        <w:t xml:space="preserve">genas y afrodescendientes, por lo cual se cumple lo </w:t>
      </w:r>
      <w:r>
        <w:rPr>
          <w:spacing w:val="-7"/>
          <w:sz w:val="18"/>
          <w:szCs w:val="18"/>
          <w:lang w:val="es-ES_tradnl"/>
        </w:rPr>
        <w:t>preceptuado en los art</w:t>
      </w:r>
      <w:r>
        <w:rPr>
          <w:rFonts w:cs="Times New Roman"/>
          <w:spacing w:val="-7"/>
          <w:sz w:val="18"/>
          <w:szCs w:val="18"/>
          <w:lang w:val="es-ES_tradnl"/>
        </w:rPr>
        <w:t>í</w:t>
      </w:r>
      <w:r>
        <w:rPr>
          <w:spacing w:val="-7"/>
          <w:sz w:val="18"/>
          <w:szCs w:val="18"/>
          <w:lang w:val="es-ES_tradnl"/>
        </w:rPr>
        <w:t xml:space="preserve">culos 56 al 60 de la Carta Suprema </w:t>
      </w:r>
      <w:r>
        <w:rPr>
          <w:spacing w:val="-4"/>
          <w:sz w:val="18"/>
          <w:szCs w:val="18"/>
          <w:lang w:val="es-ES_tradnl"/>
        </w:rPr>
        <w:t>de la Rep</w:t>
      </w:r>
      <w:r>
        <w:rPr>
          <w:rFonts w:cs="Times New Roman"/>
          <w:spacing w:val="-4"/>
          <w:sz w:val="18"/>
          <w:szCs w:val="18"/>
          <w:lang w:val="es-ES_tradnl"/>
        </w:rPr>
        <w:t>ú</w:t>
      </w:r>
      <w:r>
        <w:rPr>
          <w:spacing w:val="-4"/>
          <w:sz w:val="18"/>
          <w:szCs w:val="18"/>
          <w:lang w:val="es-ES_tradnl"/>
        </w:rPr>
        <w:t xml:space="preserve">blica y se erige como un cuerpo normativo </w:t>
      </w:r>
      <w:r>
        <w:rPr>
          <w:sz w:val="18"/>
          <w:szCs w:val="18"/>
          <w:lang w:val="es-ES_tradnl"/>
        </w:rPr>
        <w:t>democr</w:t>
      </w:r>
      <w:r>
        <w:rPr>
          <w:rFonts w:cs="Times New Roman"/>
          <w:sz w:val="18"/>
          <w:szCs w:val="18"/>
          <w:lang w:val="es-ES_tradnl"/>
        </w:rPr>
        <w:t>á</w:t>
      </w:r>
      <w:r>
        <w:rPr>
          <w:sz w:val="18"/>
          <w:szCs w:val="18"/>
          <w:lang w:val="es-ES_tradnl"/>
        </w:rPr>
        <w:t>tico y participativo.</w:t>
      </w:r>
    </w:p>
    <w:p w14:paraId="4F67A6FA" w14:textId="77777777" w:rsidR="00591D54" w:rsidRDefault="00591D54">
      <w:pPr>
        <w:shd w:val="clear" w:color="auto" w:fill="FFFFFF"/>
        <w:spacing w:before="197" w:line="216" w:lineRule="exact"/>
        <w:jc w:val="both"/>
      </w:pPr>
      <w:r>
        <w:rPr>
          <w:spacing w:val="-4"/>
          <w:sz w:val="18"/>
          <w:szCs w:val="18"/>
          <w:lang w:val="es-ES_tradnl"/>
        </w:rPr>
        <w:t xml:space="preserve">Que de la lectura de la demanda se advierte que si bien </w:t>
      </w:r>
      <w:r>
        <w:rPr>
          <w:spacing w:val="-5"/>
          <w:sz w:val="18"/>
          <w:szCs w:val="18"/>
          <w:lang w:val="es-ES_tradnl"/>
        </w:rPr>
        <w:t xml:space="preserve">el legitimado activo hace una extensa cita de las normas </w:t>
      </w:r>
      <w:r>
        <w:rPr>
          <w:spacing w:val="-7"/>
          <w:sz w:val="18"/>
          <w:szCs w:val="18"/>
          <w:lang w:val="es-ES_tradnl"/>
        </w:rPr>
        <w:t xml:space="preserve">de la ordenanza, en realidad cuestiona o impugna solo los </w:t>
      </w:r>
      <w:r>
        <w:rPr>
          <w:spacing w:val="-4"/>
          <w:sz w:val="18"/>
          <w:szCs w:val="18"/>
          <w:lang w:val="es-ES_tradnl"/>
        </w:rPr>
        <w:t>art</w:t>
      </w:r>
      <w:r>
        <w:rPr>
          <w:rFonts w:cs="Times New Roman"/>
          <w:spacing w:val="-4"/>
          <w:sz w:val="18"/>
          <w:szCs w:val="18"/>
          <w:lang w:val="es-ES_tradnl"/>
        </w:rPr>
        <w:t>í</w:t>
      </w:r>
      <w:r>
        <w:rPr>
          <w:spacing w:val="-4"/>
          <w:sz w:val="18"/>
          <w:szCs w:val="18"/>
          <w:lang w:val="es-ES_tradnl"/>
        </w:rPr>
        <w:t xml:space="preserve">culos 7 y 9, por lo cual resulta absurdo e inadmisible </w:t>
      </w:r>
      <w:r>
        <w:rPr>
          <w:spacing w:val="-7"/>
          <w:sz w:val="18"/>
          <w:szCs w:val="18"/>
          <w:lang w:val="es-ES_tradnl"/>
        </w:rPr>
        <w:t xml:space="preserve">pretender que se declare la inconstitucionalidad de todo el </w:t>
      </w:r>
      <w:r>
        <w:rPr>
          <w:sz w:val="18"/>
          <w:szCs w:val="18"/>
          <w:lang w:val="es-ES_tradnl"/>
        </w:rPr>
        <w:t>referido cuerpo normativo municipal.</w:t>
      </w:r>
    </w:p>
    <w:p w14:paraId="4F67A6FB" w14:textId="77777777" w:rsidR="00591D54" w:rsidRDefault="00591D54">
      <w:pPr>
        <w:shd w:val="clear" w:color="auto" w:fill="FFFFFF"/>
        <w:spacing w:before="192" w:line="216" w:lineRule="exact"/>
        <w:jc w:val="both"/>
      </w:pPr>
      <w:r>
        <w:rPr>
          <w:spacing w:val="-6"/>
          <w:sz w:val="18"/>
          <w:szCs w:val="18"/>
          <w:lang w:val="es-ES_tradnl"/>
        </w:rPr>
        <w:t>Que la demanda no cumple los requisitos previstos en el art</w:t>
      </w:r>
      <w:r>
        <w:rPr>
          <w:rFonts w:cs="Times New Roman"/>
          <w:spacing w:val="-6"/>
          <w:sz w:val="18"/>
          <w:szCs w:val="18"/>
          <w:lang w:val="es-ES_tradnl"/>
        </w:rPr>
        <w:t>í</w:t>
      </w:r>
      <w:r>
        <w:rPr>
          <w:spacing w:val="-6"/>
          <w:sz w:val="18"/>
          <w:szCs w:val="18"/>
          <w:lang w:val="es-ES_tradnl"/>
        </w:rPr>
        <w:t xml:space="preserve">culo 79 numeral 5 literales </w:t>
      </w:r>
      <w:r>
        <w:rPr>
          <w:b/>
          <w:bCs/>
          <w:spacing w:val="-6"/>
          <w:sz w:val="18"/>
          <w:szCs w:val="18"/>
          <w:lang w:val="es-ES_tradnl"/>
        </w:rPr>
        <w:t xml:space="preserve">a </w:t>
      </w:r>
      <w:r>
        <w:rPr>
          <w:spacing w:val="-6"/>
          <w:sz w:val="18"/>
          <w:szCs w:val="18"/>
          <w:lang w:val="es-ES_tradnl"/>
        </w:rPr>
        <w:t xml:space="preserve">y </w:t>
      </w:r>
      <w:r>
        <w:rPr>
          <w:b/>
          <w:bCs/>
          <w:spacing w:val="-6"/>
          <w:sz w:val="18"/>
          <w:szCs w:val="18"/>
          <w:lang w:val="es-ES_tradnl"/>
        </w:rPr>
        <w:t xml:space="preserve">b </w:t>
      </w:r>
      <w:r>
        <w:rPr>
          <w:spacing w:val="-6"/>
          <w:sz w:val="18"/>
          <w:szCs w:val="18"/>
          <w:lang w:val="es-ES_tradnl"/>
        </w:rPr>
        <w:t>de la Ley Org</w:t>
      </w:r>
      <w:r>
        <w:rPr>
          <w:rFonts w:cs="Times New Roman"/>
          <w:spacing w:val="-6"/>
          <w:sz w:val="18"/>
          <w:szCs w:val="18"/>
          <w:lang w:val="es-ES_tradnl"/>
        </w:rPr>
        <w:t>á</w:t>
      </w:r>
      <w:r>
        <w:rPr>
          <w:spacing w:val="-6"/>
          <w:sz w:val="18"/>
          <w:szCs w:val="18"/>
          <w:lang w:val="es-ES_tradnl"/>
        </w:rPr>
        <w:t xml:space="preserve">nica de </w:t>
      </w:r>
      <w:r>
        <w:rPr>
          <w:spacing w:val="-3"/>
          <w:sz w:val="18"/>
          <w:szCs w:val="18"/>
          <w:lang w:val="es-ES_tradnl"/>
        </w:rPr>
        <w:t>Garant</w:t>
      </w:r>
      <w:r>
        <w:rPr>
          <w:rFonts w:cs="Times New Roman"/>
          <w:spacing w:val="-3"/>
          <w:sz w:val="18"/>
          <w:szCs w:val="18"/>
          <w:lang w:val="es-ES_tradnl"/>
        </w:rPr>
        <w:t>í</w:t>
      </w:r>
      <w:r>
        <w:rPr>
          <w:spacing w:val="-3"/>
          <w:sz w:val="18"/>
          <w:szCs w:val="18"/>
          <w:lang w:val="es-ES_tradnl"/>
        </w:rPr>
        <w:t xml:space="preserve">as Jurisdiccionales y Control Constitucional, por </w:t>
      </w:r>
      <w:r>
        <w:rPr>
          <w:spacing w:val="-4"/>
          <w:sz w:val="18"/>
          <w:szCs w:val="18"/>
          <w:lang w:val="es-ES_tradnl"/>
        </w:rPr>
        <w:t>lo cual ni siquiera debi</w:t>
      </w:r>
      <w:r>
        <w:rPr>
          <w:rFonts w:cs="Times New Roman"/>
          <w:spacing w:val="-4"/>
          <w:sz w:val="18"/>
          <w:szCs w:val="18"/>
          <w:lang w:val="es-ES_tradnl"/>
        </w:rPr>
        <w:t>ó</w:t>
      </w:r>
      <w:r>
        <w:rPr>
          <w:spacing w:val="-4"/>
          <w:sz w:val="18"/>
          <w:szCs w:val="18"/>
          <w:lang w:val="es-ES_tradnl"/>
        </w:rPr>
        <w:t xml:space="preserve"> ser admitida a tr</w:t>
      </w:r>
      <w:r>
        <w:rPr>
          <w:rFonts w:cs="Times New Roman"/>
          <w:spacing w:val="-4"/>
          <w:sz w:val="18"/>
          <w:szCs w:val="18"/>
          <w:lang w:val="es-ES_tradnl"/>
        </w:rPr>
        <w:t>á</w:t>
      </w:r>
      <w:r>
        <w:rPr>
          <w:spacing w:val="-4"/>
          <w:sz w:val="18"/>
          <w:szCs w:val="18"/>
          <w:lang w:val="es-ES_tradnl"/>
        </w:rPr>
        <w:t>mite.</w:t>
      </w:r>
    </w:p>
    <w:p w14:paraId="4F67A6FC" w14:textId="77777777" w:rsidR="00591D54" w:rsidRDefault="00591D54">
      <w:pPr>
        <w:shd w:val="clear" w:color="auto" w:fill="FFFFFF"/>
        <w:spacing w:before="192" w:line="216" w:lineRule="exact"/>
        <w:jc w:val="both"/>
      </w:pPr>
      <w:r>
        <w:rPr>
          <w:spacing w:val="-8"/>
          <w:sz w:val="18"/>
          <w:szCs w:val="18"/>
          <w:lang w:val="es-ES_tradnl"/>
        </w:rPr>
        <w:t>Que la Corte Constitucional no est</w:t>
      </w:r>
      <w:r>
        <w:rPr>
          <w:rFonts w:cs="Times New Roman"/>
          <w:spacing w:val="-8"/>
          <w:sz w:val="18"/>
          <w:szCs w:val="18"/>
          <w:lang w:val="es-ES_tradnl"/>
        </w:rPr>
        <w:t>á</w:t>
      </w:r>
      <w:r>
        <w:rPr>
          <w:spacing w:val="-8"/>
          <w:sz w:val="18"/>
          <w:szCs w:val="18"/>
          <w:lang w:val="es-ES_tradnl"/>
        </w:rPr>
        <w:t xml:space="preserve"> facultada para resolver </w:t>
      </w:r>
      <w:r>
        <w:rPr>
          <w:spacing w:val="-5"/>
          <w:sz w:val="18"/>
          <w:szCs w:val="18"/>
          <w:lang w:val="es-ES_tradnl"/>
        </w:rPr>
        <w:t>asuntos inherentes al control de legalidad, como lo ha manifestado en la sentencia N.</w:t>
      </w:r>
      <w:r>
        <w:rPr>
          <w:rFonts w:cs="Times New Roman"/>
          <w:spacing w:val="-5"/>
          <w:sz w:val="18"/>
          <w:szCs w:val="18"/>
          <w:lang w:val="es-ES_tradnl"/>
        </w:rPr>
        <w:t>º</w:t>
      </w:r>
      <w:r>
        <w:rPr>
          <w:spacing w:val="-5"/>
          <w:sz w:val="18"/>
          <w:szCs w:val="18"/>
          <w:lang w:val="es-ES_tradnl"/>
        </w:rPr>
        <w:t xml:space="preserve"> 003-13-SIN-CC, dentro </w:t>
      </w:r>
      <w:r>
        <w:rPr>
          <w:spacing w:val="-7"/>
          <w:sz w:val="18"/>
          <w:szCs w:val="18"/>
          <w:lang w:val="es-ES_tradnl"/>
        </w:rPr>
        <w:t>del caso N.</w:t>
      </w:r>
      <w:r>
        <w:rPr>
          <w:rFonts w:cs="Times New Roman"/>
          <w:spacing w:val="-7"/>
          <w:sz w:val="18"/>
          <w:szCs w:val="18"/>
          <w:lang w:val="es-ES_tradnl"/>
        </w:rPr>
        <w:t>º</w:t>
      </w:r>
      <w:r>
        <w:rPr>
          <w:spacing w:val="-7"/>
          <w:sz w:val="18"/>
          <w:szCs w:val="18"/>
          <w:lang w:val="es-ES_tradnl"/>
        </w:rPr>
        <w:t xml:space="preserve"> 0042-11-IN, acumulado a los casos N.</w:t>
      </w:r>
      <w:r>
        <w:rPr>
          <w:rFonts w:cs="Times New Roman"/>
          <w:spacing w:val="-7"/>
          <w:sz w:val="18"/>
          <w:szCs w:val="18"/>
          <w:lang w:val="es-ES_tradnl"/>
        </w:rPr>
        <w:t>º</w:t>
      </w:r>
      <w:r>
        <w:rPr>
          <w:spacing w:val="-7"/>
          <w:sz w:val="18"/>
          <w:szCs w:val="18"/>
          <w:lang w:val="es-ES_tradnl"/>
        </w:rPr>
        <w:t xml:space="preserve"> 0043-</w:t>
      </w:r>
      <w:r>
        <w:rPr>
          <w:spacing w:val="-4"/>
          <w:sz w:val="18"/>
          <w:szCs w:val="18"/>
          <w:lang w:val="es-ES_tradnl"/>
        </w:rPr>
        <w:t>11-IN y 0045-11-IN, cuya parte pertinente dispone:</w:t>
      </w:r>
    </w:p>
    <w:p w14:paraId="4F67A6FD" w14:textId="77777777" w:rsidR="00591D54" w:rsidRDefault="00591D54">
      <w:pPr>
        <w:shd w:val="clear" w:color="auto" w:fill="FFFFFF"/>
        <w:spacing w:before="202" w:line="216" w:lineRule="exact"/>
        <w:ind w:left="283"/>
        <w:jc w:val="both"/>
      </w:pPr>
      <w:r>
        <w:rPr>
          <w:spacing w:val="-4"/>
          <w:sz w:val="16"/>
          <w:szCs w:val="16"/>
          <w:lang w:val="es-ES_tradnl"/>
        </w:rPr>
        <w:t>Por consiguiente, la presunta vulneraci</w:t>
      </w:r>
      <w:r>
        <w:rPr>
          <w:rFonts w:cs="Times New Roman"/>
          <w:spacing w:val="-4"/>
          <w:sz w:val="16"/>
          <w:szCs w:val="16"/>
          <w:lang w:val="es-ES_tradnl"/>
        </w:rPr>
        <w:t>ó</w:t>
      </w:r>
      <w:r>
        <w:rPr>
          <w:spacing w:val="-4"/>
          <w:sz w:val="16"/>
          <w:szCs w:val="16"/>
          <w:lang w:val="es-ES_tradnl"/>
        </w:rPr>
        <w:t xml:space="preserve">n al principio de </w:t>
      </w:r>
      <w:r>
        <w:rPr>
          <w:spacing w:val="-2"/>
          <w:sz w:val="16"/>
          <w:szCs w:val="16"/>
          <w:lang w:val="es-ES_tradnl"/>
        </w:rPr>
        <w:t>jerarqu</w:t>
      </w:r>
      <w:r>
        <w:rPr>
          <w:rFonts w:cs="Times New Roman"/>
          <w:spacing w:val="-2"/>
          <w:sz w:val="16"/>
          <w:szCs w:val="16"/>
          <w:lang w:val="es-ES_tradnl"/>
        </w:rPr>
        <w:t>í</w:t>
      </w:r>
      <w:r>
        <w:rPr>
          <w:spacing w:val="-2"/>
          <w:sz w:val="16"/>
          <w:szCs w:val="16"/>
          <w:lang w:val="es-ES_tradnl"/>
        </w:rPr>
        <w:t>a normativa, sustentado en un confl icto decreto-</w:t>
      </w:r>
      <w:r>
        <w:rPr>
          <w:spacing w:val="-3"/>
          <w:sz w:val="16"/>
          <w:szCs w:val="16"/>
          <w:lang w:val="es-ES_tradnl"/>
        </w:rPr>
        <w:t xml:space="preserve">ley, no es materia de relevancia constitucional, sino de </w:t>
      </w:r>
      <w:r>
        <w:rPr>
          <w:spacing w:val="-6"/>
          <w:sz w:val="16"/>
          <w:szCs w:val="16"/>
          <w:lang w:val="es-ES_tradnl"/>
        </w:rPr>
        <w:t xml:space="preserve">legalidad; en tal virtud, no es un asunto de competencia de la justicia constitucional. Por otro lado, se debe precisar que el </w:t>
      </w:r>
      <w:r>
        <w:rPr>
          <w:spacing w:val="-7"/>
          <w:sz w:val="16"/>
          <w:szCs w:val="16"/>
          <w:lang w:val="es-ES_tradnl"/>
        </w:rPr>
        <w:t>ordenamiento jur</w:t>
      </w:r>
      <w:r>
        <w:rPr>
          <w:rFonts w:cs="Times New Roman"/>
          <w:spacing w:val="-7"/>
          <w:sz w:val="16"/>
          <w:szCs w:val="16"/>
          <w:lang w:val="es-ES_tradnl"/>
        </w:rPr>
        <w:t>í</w:t>
      </w:r>
      <w:r>
        <w:rPr>
          <w:spacing w:val="-7"/>
          <w:sz w:val="16"/>
          <w:szCs w:val="16"/>
          <w:lang w:val="es-ES_tradnl"/>
        </w:rPr>
        <w:t xml:space="preserve">dico contempla mecanismos jurisdiccionales </w:t>
      </w:r>
      <w:r>
        <w:rPr>
          <w:spacing w:val="-8"/>
          <w:sz w:val="16"/>
          <w:szCs w:val="16"/>
          <w:lang w:val="es-ES_tradnl"/>
        </w:rPr>
        <w:t>de protecci</w:t>
      </w:r>
      <w:r>
        <w:rPr>
          <w:rFonts w:cs="Times New Roman"/>
          <w:spacing w:val="-8"/>
          <w:sz w:val="16"/>
          <w:szCs w:val="16"/>
          <w:lang w:val="es-ES_tradnl"/>
        </w:rPr>
        <w:t>ó</w:t>
      </w:r>
      <w:r>
        <w:rPr>
          <w:spacing w:val="-8"/>
          <w:sz w:val="16"/>
          <w:szCs w:val="16"/>
          <w:lang w:val="es-ES_tradnl"/>
        </w:rPr>
        <w:t xml:space="preserve">n pertinentes para la tutela de los derechos de las </w:t>
      </w:r>
      <w:r>
        <w:rPr>
          <w:spacing w:val="-11"/>
          <w:sz w:val="16"/>
          <w:szCs w:val="16"/>
          <w:lang w:val="es-ES_tradnl"/>
        </w:rPr>
        <w:t xml:space="preserve">personas que puedan ser objeto de lesiones como consecuencia </w:t>
      </w:r>
      <w:r>
        <w:rPr>
          <w:spacing w:val="-4"/>
          <w:sz w:val="16"/>
          <w:szCs w:val="16"/>
          <w:lang w:val="es-ES_tradnl"/>
        </w:rPr>
        <w:t xml:space="preserve">de una antinomia normativa de rango infraconstitucional. </w:t>
      </w:r>
      <w:r>
        <w:rPr>
          <w:spacing w:val="-8"/>
          <w:sz w:val="16"/>
          <w:szCs w:val="16"/>
          <w:lang w:val="es-ES_tradnl"/>
        </w:rPr>
        <w:t xml:space="preserve">Sostener lo contrario y permitir que la justicia constitucional, en </w:t>
      </w:r>
      <w:r>
        <w:rPr>
          <w:spacing w:val="-9"/>
          <w:sz w:val="16"/>
          <w:szCs w:val="16"/>
          <w:lang w:val="es-ES_tradnl"/>
        </w:rPr>
        <w:t>este caso, la Corte, incursione en esas competencias lesionar</w:t>
      </w:r>
      <w:r>
        <w:rPr>
          <w:rFonts w:cs="Times New Roman"/>
          <w:spacing w:val="-9"/>
          <w:sz w:val="16"/>
          <w:szCs w:val="16"/>
          <w:lang w:val="es-ES_tradnl"/>
        </w:rPr>
        <w:t>í</w:t>
      </w:r>
      <w:r>
        <w:rPr>
          <w:spacing w:val="-9"/>
          <w:sz w:val="16"/>
          <w:szCs w:val="16"/>
          <w:lang w:val="es-ES_tradnl"/>
        </w:rPr>
        <w:t xml:space="preserve">a </w:t>
      </w:r>
      <w:r>
        <w:rPr>
          <w:spacing w:val="-3"/>
          <w:sz w:val="16"/>
          <w:szCs w:val="16"/>
          <w:lang w:val="es-ES_tradnl"/>
        </w:rPr>
        <w:t>el principio de interpretaci</w:t>
      </w:r>
      <w:r>
        <w:rPr>
          <w:rFonts w:cs="Times New Roman"/>
          <w:spacing w:val="-3"/>
          <w:sz w:val="16"/>
          <w:szCs w:val="16"/>
          <w:lang w:val="es-ES_tradnl"/>
        </w:rPr>
        <w:t>ó</w:t>
      </w:r>
      <w:r>
        <w:rPr>
          <w:spacing w:val="-3"/>
          <w:sz w:val="16"/>
          <w:szCs w:val="16"/>
          <w:lang w:val="es-ES_tradnl"/>
        </w:rPr>
        <w:t>n integral de la Constituci</w:t>
      </w:r>
      <w:r>
        <w:rPr>
          <w:rFonts w:cs="Times New Roman"/>
          <w:spacing w:val="-3"/>
          <w:sz w:val="16"/>
          <w:szCs w:val="16"/>
          <w:lang w:val="es-ES_tradnl"/>
        </w:rPr>
        <w:t>ó</w:t>
      </w:r>
      <w:r>
        <w:rPr>
          <w:spacing w:val="-3"/>
          <w:sz w:val="16"/>
          <w:szCs w:val="16"/>
          <w:lang w:val="es-ES_tradnl"/>
        </w:rPr>
        <w:t xml:space="preserve">n y </w:t>
      </w:r>
      <w:r>
        <w:rPr>
          <w:spacing w:val="-7"/>
          <w:sz w:val="16"/>
          <w:szCs w:val="16"/>
          <w:lang w:val="es-ES_tradnl"/>
        </w:rPr>
        <w:t>generar</w:t>
      </w:r>
      <w:r>
        <w:rPr>
          <w:rFonts w:cs="Times New Roman"/>
          <w:spacing w:val="-7"/>
          <w:sz w:val="16"/>
          <w:szCs w:val="16"/>
          <w:lang w:val="es-ES_tradnl"/>
        </w:rPr>
        <w:t>í</w:t>
      </w:r>
      <w:r>
        <w:rPr>
          <w:spacing w:val="-7"/>
          <w:sz w:val="16"/>
          <w:szCs w:val="16"/>
          <w:lang w:val="es-ES_tradnl"/>
        </w:rPr>
        <w:t xml:space="preserve">a como resultado que la justicia constitucional termine </w:t>
      </w:r>
      <w:r>
        <w:rPr>
          <w:sz w:val="16"/>
          <w:szCs w:val="16"/>
          <w:lang w:val="es-ES_tradnl"/>
        </w:rPr>
        <w:t>por absorber a la justicia ordinaria.</w:t>
      </w:r>
    </w:p>
    <w:p w14:paraId="4F67A6FE" w14:textId="77777777" w:rsidR="00591D54" w:rsidRDefault="00591D54">
      <w:pPr>
        <w:shd w:val="clear" w:color="auto" w:fill="FFFFFF"/>
        <w:spacing w:before="202" w:line="216" w:lineRule="exact"/>
        <w:jc w:val="both"/>
      </w:pPr>
      <w:r>
        <w:rPr>
          <w:spacing w:val="-3"/>
          <w:sz w:val="18"/>
          <w:szCs w:val="18"/>
          <w:lang w:val="es-ES_tradnl"/>
        </w:rPr>
        <w:t xml:space="preserve">Que las normas contenidas en la ordenanza que se </w:t>
      </w:r>
      <w:r>
        <w:rPr>
          <w:spacing w:val="-5"/>
          <w:sz w:val="18"/>
          <w:szCs w:val="18"/>
          <w:lang w:val="es-ES_tradnl"/>
        </w:rPr>
        <w:t xml:space="preserve">impugna gozan del respaldo de varios principios y reglas </w:t>
      </w:r>
      <w:r>
        <w:rPr>
          <w:spacing w:val="-6"/>
          <w:sz w:val="18"/>
          <w:szCs w:val="18"/>
          <w:lang w:val="es-ES_tradnl"/>
        </w:rPr>
        <w:t xml:space="preserve">inherentes al control abstracto de constitucionalidad, tales </w:t>
      </w:r>
      <w:r>
        <w:rPr>
          <w:spacing w:val="-4"/>
          <w:sz w:val="18"/>
          <w:szCs w:val="18"/>
          <w:lang w:val="es-ES_tradnl"/>
        </w:rPr>
        <w:t>como la presunci</w:t>
      </w:r>
      <w:r>
        <w:rPr>
          <w:rFonts w:cs="Times New Roman"/>
          <w:spacing w:val="-4"/>
          <w:sz w:val="18"/>
          <w:szCs w:val="18"/>
          <w:lang w:val="es-ES_tradnl"/>
        </w:rPr>
        <w:t>ó</w:t>
      </w:r>
      <w:r>
        <w:rPr>
          <w:spacing w:val="-4"/>
          <w:sz w:val="18"/>
          <w:szCs w:val="18"/>
          <w:lang w:val="es-ES_tradnl"/>
        </w:rPr>
        <w:t xml:space="preserve">n de su constitucionalidad y el </w:t>
      </w:r>
      <w:r>
        <w:rPr>
          <w:i/>
          <w:iCs/>
          <w:spacing w:val="-4"/>
          <w:sz w:val="18"/>
          <w:szCs w:val="18"/>
          <w:lang w:val="es-ES_tradnl"/>
        </w:rPr>
        <w:t xml:space="preserve">indubio </w:t>
      </w:r>
      <w:r>
        <w:rPr>
          <w:i/>
          <w:iCs/>
          <w:spacing w:val="-6"/>
          <w:sz w:val="18"/>
          <w:szCs w:val="18"/>
          <w:lang w:val="es-ES_tradnl"/>
        </w:rPr>
        <w:t>pro legislatore</w:t>
      </w:r>
      <w:r>
        <w:rPr>
          <w:spacing w:val="-6"/>
          <w:sz w:val="18"/>
          <w:szCs w:val="18"/>
          <w:lang w:val="es-ES_tradnl"/>
        </w:rPr>
        <w:t xml:space="preserve">, pues no se ha probado que la ordenanza </w:t>
      </w:r>
      <w:r>
        <w:rPr>
          <w:spacing w:val="-4"/>
          <w:sz w:val="18"/>
          <w:szCs w:val="18"/>
          <w:lang w:val="es-ES_tradnl"/>
        </w:rPr>
        <w:t xml:space="preserve">vulnere derechos constitucionales; por tanto, el examen </w:t>
      </w:r>
      <w:r>
        <w:rPr>
          <w:spacing w:val="-8"/>
          <w:sz w:val="18"/>
          <w:szCs w:val="18"/>
          <w:lang w:val="es-ES_tradnl"/>
        </w:rPr>
        <w:t>de  constitucionalidad   debe   orientarse   a   preservar   su</w:t>
      </w:r>
    </w:p>
    <w:p w14:paraId="4F67A6FF" w14:textId="77777777" w:rsidR="00591D54" w:rsidRDefault="00591D54">
      <w:pPr>
        <w:shd w:val="clear" w:color="auto" w:fill="FFFFFF"/>
        <w:spacing w:before="202" w:line="216" w:lineRule="exact"/>
        <w:jc w:val="both"/>
        <w:sectPr w:rsidR="00591D54">
          <w:type w:val="continuous"/>
          <w:pgSz w:w="11909" w:h="16834"/>
          <w:pgMar w:top="1366" w:right="1309" w:bottom="360" w:left="1308" w:header="720" w:footer="720" w:gutter="0"/>
          <w:cols w:num="2" w:space="720" w:equalWidth="0">
            <w:col w:w="4305" w:space="682"/>
            <w:col w:w="4305"/>
          </w:cols>
          <w:noEndnote/>
        </w:sectPr>
      </w:pPr>
    </w:p>
    <w:p w14:paraId="4F67A700" w14:textId="77777777" w:rsidR="00591D54" w:rsidRDefault="00591D54">
      <w:pPr>
        <w:shd w:val="clear" w:color="auto" w:fill="FFFFFF"/>
        <w:tabs>
          <w:tab w:val="left" w:pos="4814"/>
        </w:tabs>
        <w:spacing w:after="235"/>
        <w:ind w:left="5"/>
      </w:pPr>
      <w:r>
        <w:rPr>
          <w:b/>
          <w:bCs/>
          <w:sz w:val="18"/>
          <w:szCs w:val="18"/>
          <w:lang w:val="es-ES_tradnl"/>
        </w:rPr>
        <w:t xml:space="preserve">46 -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701" w14:textId="77777777" w:rsidR="00591D54" w:rsidRDefault="00591D54">
      <w:pPr>
        <w:shd w:val="clear" w:color="auto" w:fill="FFFFFF"/>
        <w:tabs>
          <w:tab w:val="left" w:pos="4814"/>
        </w:tabs>
        <w:spacing w:after="235"/>
        <w:ind w:left="5"/>
        <w:sectPr w:rsidR="00591D54">
          <w:pgSz w:w="11909" w:h="16834"/>
          <w:pgMar w:top="1359" w:right="1309" w:bottom="360" w:left="1308" w:header="720" w:footer="720" w:gutter="0"/>
          <w:cols w:space="60"/>
          <w:noEndnote/>
        </w:sectPr>
      </w:pPr>
    </w:p>
    <w:p w14:paraId="4F67A702" w14:textId="77777777" w:rsidR="00591D54" w:rsidRDefault="00591D54">
      <w:pPr>
        <w:shd w:val="clear" w:color="auto" w:fill="FFFFFF"/>
        <w:spacing w:line="216" w:lineRule="exact"/>
        <w:jc w:val="both"/>
      </w:pPr>
      <w:r>
        <w:rPr>
          <w:spacing w:val="-6"/>
          <w:sz w:val="18"/>
          <w:szCs w:val="18"/>
          <w:lang w:val="es-ES_tradnl"/>
        </w:rPr>
        <w:t>permanencia en el ordenamiento jur</w:t>
      </w:r>
      <w:r>
        <w:rPr>
          <w:rFonts w:cs="Times New Roman"/>
          <w:spacing w:val="-6"/>
          <w:sz w:val="18"/>
          <w:szCs w:val="18"/>
          <w:lang w:val="es-ES_tradnl"/>
        </w:rPr>
        <w:t>í</w:t>
      </w:r>
      <w:r>
        <w:rPr>
          <w:spacing w:val="-6"/>
          <w:sz w:val="18"/>
          <w:szCs w:val="18"/>
          <w:lang w:val="es-ES_tradnl"/>
        </w:rPr>
        <w:t>dico interno, pues la declaratoria de inconstitucionalidad de una norma jur</w:t>
      </w:r>
      <w:r>
        <w:rPr>
          <w:rFonts w:cs="Times New Roman"/>
          <w:spacing w:val="-6"/>
          <w:sz w:val="18"/>
          <w:szCs w:val="18"/>
          <w:lang w:val="es-ES_tradnl"/>
        </w:rPr>
        <w:t>í</w:t>
      </w:r>
      <w:r>
        <w:rPr>
          <w:spacing w:val="-6"/>
          <w:sz w:val="18"/>
          <w:szCs w:val="18"/>
          <w:lang w:val="es-ES_tradnl"/>
        </w:rPr>
        <w:t xml:space="preserve">dica </w:t>
      </w:r>
      <w:r>
        <w:rPr>
          <w:sz w:val="18"/>
          <w:szCs w:val="18"/>
          <w:lang w:val="es-ES_tradnl"/>
        </w:rPr>
        <w:t>se har</w:t>
      </w:r>
      <w:r>
        <w:rPr>
          <w:rFonts w:cs="Times New Roman"/>
          <w:sz w:val="18"/>
          <w:szCs w:val="18"/>
          <w:lang w:val="es-ES_tradnl"/>
        </w:rPr>
        <w:t>á</w:t>
      </w:r>
      <w:r>
        <w:rPr>
          <w:sz w:val="18"/>
          <w:szCs w:val="18"/>
          <w:lang w:val="es-ES_tradnl"/>
        </w:rPr>
        <w:t xml:space="preserve"> como </w:t>
      </w:r>
      <w:r>
        <w:rPr>
          <w:rFonts w:cs="Times New Roman"/>
          <w:sz w:val="18"/>
          <w:szCs w:val="18"/>
          <w:lang w:val="es-ES_tradnl"/>
        </w:rPr>
        <w:t>ú</w:t>
      </w:r>
      <w:r>
        <w:rPr>
          <w:sz w:val="18"/>
          <w:szCs w:val="18"/>
          <w:lang w:val="es-ES_tradnl"/>
        </w:rPr>
        <w:t>ltimo recurso.</w:t>
      </w:r>
    </w:p>
    <w:p w14:paraId="4F67A703" w14:textId="77777777" w:rsidR="00591D54" w:rsidRDefault="00591D54">
      <w:pPr>
        <w:shd w:val="clear" w:color="auto" w:fill="FFFFFF"/>
        <w:spacing w:before="197" w:line="216" w:lineRule="exact"/>
        <w:jc w:val="both"/>
      </w:pPr>
      <w:r>
        <w:rPr>
          <w:spacing w:val="-4"/>
          <w:sz w:val="18"/>
          <w:szCs w:val="18"/>
          <w:lang w:val="es-ES_tradnl"/>
        </w:rPr>
        <w:t xml:space="preserve">En virtud de lo manifestado, solicita que se rechace la </w:t>
      </w:r>
      <w:r>
        <w:rPr>
          <w:sz w:val="18"/>
          <w:szCs w:val="18"/>
          <w:lang w:val="es-ES_tradnl"/>
        </w:rPr>
        <w:t>presente acci</w:t>
      </w:r>
      <w:r>
        <w:rPr>
          <w:rFonts w:cs="Times New Roman"/>
          <w:sz w:val="18"/>
          <w:szCs w:val="18"/>
          <w:lang w:val="es-ES_tradnl"/>
        </w:rPr>
        <w:t>ó</w:t>
      </w:r>
      <w:r>
        <w:rPr>
          <w:sz w:val="18"/>
          <w:szCs w:val="18"/>
          <w:lang w:val="es-ES_tradnl"/>
        </w:rPr>
        <w:t>n de inconstitucionalidad.</w:t>
      </w:r>
    </w:p>
    <w:p w14:paraId="4F67A704" w14:textId="77777777" w:rsidR="00591D54" w:rsidRDefault="00591D54">
      <w:pPr>
        <w:shd w:val="clear" w:color="auto" w:fill="FFFFFF"/>
        <w:spacing w:before="192" w:line="216" w:lineRule="exact"/>
        <w:ind w:left="662" w:hanging="360"/>
      </w:pPr>
      <w:r>
        <w:rPr>
          <w:b/>
          <w:bCs/>
          <w:sz w:val="18"/>
          <w:szCs w:val="18"/>
          <w:lang w:val="es-ES_tradnl"/>
        </w:rPr>
        <w:t>II. CONSIDERACIONES Y FUNDAMENTOS DE LA CORTE CONSTITUCIONAL</w:t>
      </w:r>
    </w:p>
    <w:p w14:paraId="4F67A705" w14:textId="77777777" w:rsidR="00591D54" w:rsidRDefault="00591D54">
      <w:pPr>
        <w:shd w:val="clear" w:color="auto" w:fill="FFFFFF"/>
        <w:spacing w:before="192" w:line="216" w:lineRule="exact"/>
        <w:jc w:val="both"/>
      </w:pPr>
      <w:r>
        <w:rPr>
          <w:b/>
          <w:bCs/>
          <w:spacing w:val="-6"/>
          <w:sz w:val="18"/>
          <w:szCs w:val="18"/>
          <w:lang w:val="es-ES_tradnl"/>
        </w:rPr>
        <w:t xml:space="preserve">Competencia de la Corte Constitucional y validez del </w:t>
      </w:r>
      <w:r>
        <w:rPr>
          <w:b/>
          <w:bCs/>
          <w:sz w:val="18"/>
          <w:szCs w:val="18"/>
          <w:lang w:val="es-ES_tradnl"/>
        </w:rPr>
        <w:t>proceso</w:t>
      </w:r>
    </w:p>
    <w:p w14:paraId="4F67A706" w14:textId="77777777" w:rsidR="00591D54" w:rsidRDefault="00591D54">
      <w:pPr>
        <w:shd w:val="clear" w:color="auto" w:fill="FFFFFF"/>
        <w:spacing w:before="192" w:line="216" w:lineRule="exact"/>
        <w:jc w:val="both"/>
      </w:pPr>
      <w:r>
        <w:rPr>
          <w:spacing w:val="-5"/>
          <w:sz w:val="18"/>
          <w:szCs w:val="18"/>
          <w:lang w:val="es-ES_tradnl"/>
        </w:rPr>
        <w:t xml:space="preserve">La Corte Constitucional es competente para conocer y </w:t>
      </w:r>
      <w:r>
        <w:rPr>
          <w:spacing w:val="-7"/>
          <w:sz w:val="18"/>
          <w:szCs w:val="18"/>
          <w:lang w:val="es-ES_tradnl"/>
        </w:rPr>
        <w:t>resolver la presente causa, de conformidad con lo previsto en los art</w:t>
      </w:r>
      <w:r>
        <w:rPr>
          <w:rFonts w:cs="Times New Roman"/>
          <w:spacing w:val="-7"/>
          <w:sz w:val="18"/>
          <w:szCs w:val="18"/>
          <w:lang w:val="es-ES_tradnl"/>
        </w:rPr>
        <w:t>í</w:t>
      </w:r>
      <w:r>
        <w:rPr>
          <w:spacing w:val="-7"/>
          <w:sz w:val="18"/>
          <w:szCs w:val="18"/>
          <w:lang w:val="es-ES_tradnl"/>
        </w:rPr>
        <w:t>culos 429 y 436 numeral 2 de 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blica, en concordancia con el art</w:t>
      </w:r>
      <w:r>
        <w:rPr>
          <w:rFonts w:cs="Times New Roman"/>
          <w:spacing w:val="-7"/>
          <w:sz w:val="18"/>
          <w:szCs w:val="18"/>
          <w:lang w:val="es-ES_tradnl"/>
        </w:rPr>
        <w:t>í</w:t>
      </w:r>
      <w:r>
        <w:rPr>
          <w:spacing w:val="-7"/>
          <w:sz w:val="18"/>
          <w:szCs w:val="18"/>
          <w:lang w:val="es-ES_tradnl"/>
        </w:rPr>
        <w:t xml:space="preserve">culo 75 numeral 1 </w:t>
      </w:r>
      <w:r>
        <w:rPr>
          <w:spacing w:val="-5"/>
          <w:sz w:val="18"/>
          <w:szCs w:val="18"/>
          <w:lang w:val="es-ES_tradnl"/>
        </w:rPr>
        <w:t xml:space="preserve">literal </w:t>
      </w:r>
      <w:r>
        <w:rPr>
          <w:b/>
          <w:bCs/>
          <w:spacing w:val="-5"/>
          <w:sz w:val="18"/>
          <w:szCs w:val="18"/>
          <w:lang w:val="es-ES_tradnl"/>
        </w:rPr>
        <w:t xml:space="preserve">d </w:t>
      </w:r>
      <w:r>
        <w:rPr>
          <w:spacing w:val="-5"/>
          <w:sz w:val="18"/>
          <w:szCs w:val="18"/>
          <w:lang w:val="es-ES_tradnl"/>
        </w:rPr>
        <w:t>de la Ley Org</w:t>
      </w:r>
      <w:r>
        <w:rPr>
          <w:rFonts w:cs="Times New Roman"/>
          <w:spacing w:val="-5"/>
          <w:sz w:val="18"/>
          <w:szCs w:val="18"/>
          <w:lang w:val="es-ES_tradnl"/>
        </w:rPr>
        <w:t>á</w:t>
      </w:r>
      <w:r>
        <w:rPr>
          <w:spacing w:val="-5"/>
          <w:sz w:val="18"/>
          <w:szCs w:val="18"/>
          <w:lang w:val="es-ES_tradnl"/>
        </w:rPr>
        <w:t>nica de Garant</w:t>
      </w:r>
      <w:r>
        <w:rPr>
          <w:rFonts w:cs="Times New Roman"/>
          <w:spacing w:val="-5"/>
          <w:sz w:val="18"/>
          <w:szCs w:val="18"/>
          <w:lang w:val="es-ES_tradnl"/>
        </w:rPr>
        <w:t>í</w:t>
      </w:r>
      <w:r>
        <w:rPr>
          <w:spacing w:val="-5"/>
          <w:sz w:val="18"/>
          <w:szCs w:val="18"/>
          <w:lang w:val="es-ES_tradnl"/>
        </w:rPr>
        <w:t xml:space="preserve">as Jurisdiccionales </w:t>
      </w:r>
      <w:r>
        <w:rPr>
          <w:sz w:val="18"/>
          <w:szCs w:val="18"/>
          <w:lang w:val="es-ES_tradnl"/>
        </w:rPr>
        <w:t>y Control Constitucional, y art</w:t>
      </w:r>
      <w:r>
        <w:rPr>
          <w:rFonts w:cs="Times New Roman"/>
          <w:sz w:val="18"/>
          <w:szCs w:val="18"/>
          <w:lang w:val="es-ES_tradnl"/>
        </w:rPr>
        <w:t>í</w:t>
      </w:r>
      <w:r>
        <w:rPr>
          <w:sz w:val="18"/>
          <w:szCs w:val="18"/>
          <w:lang w:val="es-ES_tradnl"/>
        </w:rPr>
        <w:t xml:space="preserve">culo 3 numeral 2 literal </w:t>
      </w:r>
      <w:r>
        <w:rPr>
          <w:b/>
          <w:bCs/>
          <w:spacing w:val="-6"/>
          <w:sz w:val="18"/>
          <w:szCs w:val="18"/>
          <w:lang w:val="es-ES_tradnl"/>
        </w:rPr>
        <w:t xml:space="preserve">d </w:t>
      </w:r>
      <w:r>
        <w:rPr>
          <w:spacing w:val="-6"/>
          <w:sz w:val="18"/>
          <w:szCs w:val="18"/>
          <w:lang w:val="es-ES_tradnl"/>
        </w:rPr>
        <w:t>del Reglamento de Sustanciaci</w:t>
      </w:r>
      <w:r>
        <w:rPr>
          <w:rFonts w:cs="Times New Roman"/>
          <w:spacing w:val="-6"/>
          <w:sz w:val="18"/>
          <w:szCs w:val="18"/>
          <w:lang w:val="es-ES_tradnl"/>
        </w:rPr>
        <w:t>ó</w:t>
      </w:r>
      <w:r>
        <w:rPr>
          <w:spacing w:val="-6"/>
          <w:sz w:val="18"/>
          <w:szCs w:val="18"/>
          <w:lang w:val="es-ES_tradnl"/>
        </w:rPr>
        <w:t xml:space="preserve">n de Procesos de </w:t>
      </w:r>
      <w:r>
        <w:rPr>
          <w:sz w:val="18"/>
          <w:szCs w:val="18"/>
          <w:lang w:val="es-ES_tradnl"/>
        </w:rPr>
        <w:t>Competencia de la Corte Constitucional.</w:t>
      </w:r>
    </w:p>
    <w:p w14:paraId="4F67A707" w14:textId="77777777" w:rsidR="00591D54" w:rsidRDefault="00591D54">
      <w:pPr>
        <w:shd w:val="clear" w:color="auto" w:fill="FFFFFF"/>
        <w:spacing w:before="192" w:line="216" w:lineRule="exact"/>
        <w:jc w:val="both"/>
      </w:pPr>
      <w:r>
        <w:rPr>
          <w:spacing w:val="-5"/>
          <w:sz w:val="18"/>
          <w:szCs w:val="18"/>
          <w:lang w:val="es-ES_tradnl"/>
        </w:rPr>
        <w:t xml:space="preserve">El proceso ha sido sustanciado conforme las normas </w:t>
      </w:r>
      <w:r>
        <w:rPr>
          <w:spacing w:val="-6"/>
          <w:sz w:val="18"/>
          <w:szCs w:val="18"/>
          <w:lang w:val="es-ES_tradnl"/>
        </w:rPr>
        <w:t xml:space="preserve">constitucionales y legales pertinentes, sin que se advierta </w:t>
      </w:r>
      <w:r>
        <w:rPr>
          <w:spacing w:val="-8"/>
          <w:sz w:val="18"/>
          <w:szCs w:val="18"/>
          <w:lang w:val="es-ES_tradnl"/>
        </w:rPr>
        <w:t>omisi</w:t>
      </w:r>
      <w:r>
        <w:rPr>
          <w:rFonts w:cs="Times New Roman"/>
          <w:spacing w:val="-8"/>
          <w:sz w:val="18"/>
          <w:szCs w:val="18"/>
          <w:lang w:val="es-ES_tradnl"/>
        </w:rPr>
        <w:t>ó</w:t>
      </w:r>
      <w:r>
        <w:rPr>
          <w:spacing w:val="-8"/>
          <w:sz w:val="18"/>
          <w:szCs w:val="18"/>
          <w:lang w:val="es-ES_tradnl"/>
        </w:rPr>
        <w:t>n que pueda infl uir en la decisi</w:t>
      </w:r>
      <w:r>
        <w:rPr>
          <w:rFonts w:cs="Times New Roman"/>
          <w:spacing w:val="-8"/>
          <w:sz w:val="18"/>
          <w:szCs w:val="18"/>
          <w:lang w:val="es-ES_tradnl"/>
        </w:rPr>
        <w:t>ó</w:t>
      </w:r>
      <w:r>
        <w:rPr>
          <w:spacing w:val="-8"/>
          <w:sz w:val="18"/>
          <w:szCs w:val="18"/>
          <w:lang w:val="es-ES_tradnl"/>
        </w:rPr>
        <w:t xml:space="preserve">n de la causa, por lo </w:t>
      </w:r>
      <w:r>
        <w:rPr>
          <w:sz w:val="18"/>
          <w:szCs w:val="18"/>
          <w:lang w:val="es-ES_tradnl"/>
        </w:rPr>
        <w:t>que se declara su validez.</w:t>
      </w:r>
    </w:p>
    <w:p w14:paraId="4F67A708" w14:textId="77777777" w:rsidR="00591D54" w:rsidRDefault="00591D54">
      <w:pPr>
        <w:shd w:val="clear" w:color="auto" w:fill="FFFFFF"/>
        <w:spacing w:before="187"/>
      </w:pPr>
      <w:r>
        <w:rPr>
          <w:b/>
          <w:bCs/>
          <w:spacing w:val="-9"/>
          <w:sz w:val="18"/>
          <w:szCs w:val="18"/>
          <w:lang w:val="es-ES_tradnl"/>
        </w:rPr>
        <w:t>Naturaleza jur</w:t>
      </w:r>
      <w:r>
        <w:rPr>
          <w:rFonts w:cs="Times New Roman"/>
          <w:b/>
          <w:bCs/>
          <w:spacing w:val="-9"/>
          <w:sz w:val="18"/>
          <w:szCs w:val="18"/>
          <w:lang w:val="es-ES_tradnl"/>
        </w:rPr>
        <w:t>í</w:t>
      </w:r>
      <w:r>
        <w:rPr>
          <w:b/>
          <w:bCs/>
          <w:spacing w:val="-9"/>
          <w:sz w:val="18"/>
          <w:szCs w:val="18"/>
          <w:lang w:val="es-ES_tradnl"/>
        </w:rPr>
        <w:t>dica de la acci</w:t>
      </w:r>
      <w:r>
        <w:rPr>
          <w:rFonts w:cs="Times New Roman"/>
          <w:b/>
          <w:bCs/>
          <w:spacing w:val="-9"/>
          <w:sz w:val="18"/>
          <w:szCs w:val="18"/>
          <w:lang w:val="es-ES_tradnl"/>
        </w:rPr>
        <w:t>ó</w:t>
      </w:r>
      <w:r>
        <w:rPr>
          <w:b/>
          <w:bCs/>
          <w:spacing w:val="-9"/>
          <w:sz w:val="18"/>
          <w:szCs w:val="18"/>
          <w:lang w:val="es-ES_tradnl"/>
        </w:rPr>
        <w:t>n de inconstitucionalidad</w:t>
      </w:r>
    </w:p>
    <w:p w14:paraId="4F67A709" w14:textId="77777777" w:rsidR="00591D54" w:rsidRDefault="00591D54">
      <w:pPr>
        <w:shd w:val="clear" w:color="auto" w:fill="FFFFFF"/>
        <w:spacing w:before="197" w:line="216" w:lineRule="exact"/>
        <w:jc w:val="both"/>
      </w:pPr>
      <w:r>
        <w:rPr>
          <w:spacing w:val="-3"/>
          <w:sz w:val="18"/>
          <w:szCs w:val="18"/>
          <w:lang w:val="es-ES_tradnl"/>
        </w:rPr>
        <w:t>La Constituci</w:t>
      </w:r>
      <w:r>
        <w:rPr>
          <w:rFonts w:cs="Times New Roman"/>
          <w:spacing w:val="-3"/>
          <w:sz w:val="18"/>
          <w:szCs w:val="18"/>
          <w:lang w:val="es-ES_tradnl"/>
        </w:rPr>
        <w:t>ó</w:t>
      </w:r>
      <w:r>
        <w:rPr>
          <w:spacing w:val="-3"/>
          <w:sz w:val="18"/>
          <w:szCs w:val="18"/>
          <w:lang w:val="es-ES_tradnl"/>
        </w:rPr>
        <w:t>n contiene en s</w:t>
      </w:r>
      <w:r>
        <w:rPr>
          <w:rFonts w:cs="Times New Roman"/>
          <w:spacing w:val="-3"/>
          <w:sz w:val="18"/>
          <w:szCs w:val="18"/>
          <w:lang w:val="es-ES_tradnl"/>
        </w:rPr>
        <w:t>í</w:t>
      </w:r>
      <w:r>
        <w:rPr>
          <w:spacing w:val="-3"/>
          <w:sz w:val="18"/>
          <w:szCs w:val="18"/>
          <w:lang w:val="es-ES_tradnl"/>
        </w:rPr>
        <w:t xml:space="preserve"> un c</w:t>
      </w:r>
      <w:r>
        <w:rPr>
          <w:rFonts w:cs="Times New Roman"/>
          <w:spacing w:val="-3"/>
          <w:sz w:val="18"/>
          <w:szCs w:val="18"/>
          <w:lang w:val="es-ES_tradnl"/>
        </w:rPr>
        <w:t>ú</w:t>
      </w:r>
      <w:r>
        <w:rPr>
          <w:spacing w:val="-3"/>
          <w:sz w:val="18"/>
          <w:szCs w:val="18"/>
          <w:lang w:val="es-ES_tradnl"/>
        </w:rPr>
        <w:t xml:space="preserve">mulo de normas </w:t>
      </w:r>
      <w:r>
        <w:rPr>
          <w:spacing w:val="-4"/>
          <w:sz w:val="18"/>
          <w:szCs w:val="18"/>
          <w:lang w:val="es-ES_tradnl"/>
        </w:rPr>
        <w:t xml:space="preserve">fundamentales, cuya finalidad es brindar validez al </w:t>
      </w:r>
      <w:r>
        <w:rPr>
          <w:spacing w:val="-5"/>
          <w:sz w:val="18"/>
          <w:szCs w:val="18"/>
          <w:lang w:val="es-ES_tradnl"/>
        </w:rPr>
        <w:t>ordenamiento jur</w:t>
      </w:r>
      <w:r>
        <w:rPr>
          <w:rFonts w:cs="Times New Roman"/>
          <w:spacing w:val="-5"/>
          <w:sz w:val="18"/>
          <w:szCs w:val="18"/>
          <w:lang w:val="es-ES_tradnl"/>
        </w:rPr>
        <w:t>í</w:t>
      </w:r>
      <w:r>
        <w:rPr>
          <w:spacing w:val="-5"/>
          <w:sz w:val="18"/>
          <w:szCs w:val="18"/>
          <w:lang w:val="es-ES_tradnl"/>
        </w:rPr>
        <w:t xml:space="preserve">dico que rige al Estado; es, sin duda, la </w:t>
      </w:r>
      <w:r>
        <w:rPr>
          <w:spacing w:val="-4"/>
          <w:sz w:val="18"/>
          <w:szCs w:val="18"/>
          <w:lang w:val="es-ES_tradnl"/>
        </w:rPr>
        <w:t xml:space="preserve">fuente principal del ordenamiento, pues no solo tiene la </w:t>
      </w:r>
      <w:r>
        <w:rPr>
          <w:spacing w:val="-6"/>
          <w:sz w:val="18"/>
          <w:szCs w:val="18"/>
          <w:lang w:val="es-ES_tradnl"/>
        </w:rPr>
        <w:t xml:space="preserve">tarea de crear </w:t>
      </w:r>
      <w:r>
        <w:rPr>
          <w:rFonts w:cs="Times New Roman"/>
          <w:spacing w:val="-6"/>
          <w:sz w:val="18"/>
          <w:szCs w:val="18"/>
          <w:lang w:val="es-ES_tradnl"/>
        </w:rPr>
        <w:t>ó</w:t>
      </w:r>
      <w:r>
        <w:rPr>
          <w:spacing w:val="-6"/>
          <w:sz w:val="18"/>
          <w:szCs w:val="18"/>
          <w:lang w:val="es-ES_tradnl"/>
        </w:rPr>
        <w:t xml:space="preserve">rganos, o de determinar procedimientos </w:t>
      </w:r>
      <w:r>
        <w:rPr>
          <w:spacing w:val="-7"/>
          <w:sz w:val="18"/>
          <w:szCs w:val="18"/>
          <w:lang w:val="es-ES_tradnl"/>
        </w:rPr>
        <w:t>espec</w:t>
      </w:r>
      <w:r>
        <w:rPr>
          <w:rFonts w:cs="Times New Roman"/>
          <w:spacing w:val="-7"/>
          <w:sz w:val="18"/>
          <w:szCs w:val="18"/>
          <w:lang w:val="es-ES_tradnl"/>
        </w:rPr>
        <w:t>í</w:t>
      </w:r>
      <w:r>
        <w:rPr>
          <w:spacing w:val="-7"/>
          <w:sz w:val="18"/>
          <w:szCs w:val="18"/>
          <w:lang w:val="es-ES_tradnl"/>
        </w:rPr>
        <w:t>ficos, o de otorgar competencias, sino que tambi</w:t>
      </w:r>
      <w:r>
        <w:rPr>
          <w:rFonts w:cs="Times New Roman"/>
          <w:spacing w:val="-7"/>
          <w:sz w:val="18"/>
          <w:szCs w:val="18"/>
          <w:lang w:val="es-ES_tradnl"/>
        </w:rPr>
        <w:t>é</w:t>
      </w:r>
      <w:r>
        <w:rPr>
          <w:spacing w:val="-7"/>
          <w:sz w:val="18"/>
          <w:szCs w:val="18"/>
          <w:lang w:val="es-ES_tradnl"/>
        </w:rPr>
        <w:t xml:space="preserve">n </w:t>
      </w:r>
      <w:r>
        <w:rPr>
          <w:spacing w:val="-5"/>
          <w:sz w:val="18"/>
          <w:szCs w:val="18"/>
          <w:lang w:val="es-ES_tradnl"/>
        </w:rPr>
        <w:t>coloca l</w:t>
      </w:r>
      <w:r>
        <w:rPr>
          <w:rFonts w:cs="Times New Roman"/>
          <w:spacing w:val="-5"/>
          <w:sz w:val="18"/>
          <w:szCs w:val="18"/>
          <w:lang w:val="es-ES_tradnl"/>
        </w:rPr>
        <w:t>í</w:t>
      </w:r>
      <w:r>
        <w:rPr>
          <w:spacing w:val="-5"/>
          <w:sz w:val="18"/>
          <w:szCs w:val="18"/>
          <w:lang w:val="es-ES_tradnl"/>
        </w:rPr>
        <w:t xml:space="preserve">mites o fondos materiales, e impone contenidos </w:t>
      </w:r>
      <w:r>
        <w:rPr>
          <w:spacing w:val="-3"/>
          <w:sz w:val="18"/>
          <w:szCs w:val="18"/>
          <w:lang w:val="es-ES_tradnl"/>
        </w:rPr>
        <w:t>obligados en la producci</w:t>
      </w:r>
      <w:r>
        <w:rPr>
          <w:rFonts w:cs="Times New Roman"/>
          <w:spacing w:val="-3"/>
          <w:sz w:val="18"/>
          <w:szCs w:val="18"/>
          <w:lang w:val="es-ES_tradnl"/>
        </w:rPr>
        <w:t>ó</w:t>
      </w:r>
      <w:r>
        <w:rPr>
          <w:spacing w:val="-3"/>
          <w:sz w:val="18"/>
          <w:szCs w:val="18"/>
          <w:lang w:val="es-ES_tradnl"/>
        </w:rPr>
        <w:t>n jur</w:t>
      </w:r>
      <w:r>
        <w:rPr>
          <w:rFonts w:cs="Times New Roman"/>
          <w:spacing w:val="-3"/>
          <w:sz w:val="18"/>
          <w:szCs w:val="18"/>
          <w:lang w:val="es-ES_tradnl"/>
        </w:rPr>
        <w:t>í</w:t>
      </w:r>
      <w:r>
        <w:rPr>
          <w:spacing w:val="-3"/>
          <w:sz w:val="18"/>
          <w:szCs w:val="18"/>
          <w:lang w:val="es-ES_tradnl"/>
        </w:rPr>
        <w:t xml:space="preserve">dica de los poderes </w:t>
      </w:r>
      <w:r>
        <w:rPr>
          <w:sz w:val="18"/>
          <w:szCs w:val="18"/>
          <w:lang w:val="es-ES_tradnl"/>
        </w:rPr>
        <w:t>constituidos.</w:t>
      </w:r>
    </w:p>
    <w:p w14:paraId="4F67A70A" w14:textId="77777777" w:rsidR="00591D54" w:rsidRDefault="00591D54">
      <w:pPr>
        <w:shd w:val="clear" w:color="auto" w:fill="FFFFFF"/>
        <w:spacing w:before="197" w:line="216" w:lineRule="exact"/>
        <w:jc w:val="both"/>
      </w:pPr>
      <w:r>
        <w:rPr>
          <w:spacing w:val="-4"/>
          <w:sz w:val="18"/>
          <w:szCs w:val="18"/>
          <w:lang w:val="es-ES_tradnl"/>
        </w:rPr>
        <w:t>Sin embargo, a pesar de que la Constituci</w:t>
      </w:r>
      <w:r>
        <w:rPr>
          <w:rFonts w:cs="Times New Roman"/>
          <w:spacing w:val="-4"/>
          <w:sz w:val="18"/>
          <w:szCs w:val="18"/>
          <w:lang w:val="es-ES_tradnl"/>
        </w:rPr>
        <w:t>ó</w:t>
      </w:r>
      <w:r>
        <w:rPr>
          <w:spacing w:val="-4"/>
          <w:sz w:val="18"/>
          <w:szCs w:val="18"/>
          <w:lang w:val="es-ES_tradnl"/>
        </w:rPr>
        <w:t xml:space="preserve">n, en su </w:t>
      </w:r>
      <w:r>
        <w:rPr>
          <w:sz w:val="18"/>
          <w:szCs w:val="18"/>
          <w:lang w:val="es-ES_tradnl"/>
        </w:rPr>
        <w:t>concepci</w:t>
      </w:r>
      <w:r>
        <w:rPr>
          <w:rFonts w:cs="Times New Roman"/>
          <w:sz w:val="18"/>
          <w:szCs w:val="18"/>
          <w:lang w:val="es-ES_tradnl"/>
        </w:rPr>
        <w:t>ó</w:t>
      </w:r>
      <w:r>
        <w:rPr>
          <w:sz w:val="18"/>
          <w:szCs w:val="18"/>
          <w:lang w:val="es-ES_tradnl"/>
        </w:rPr>
        <w:t>n material, parecer</w:t>
      </w:r>
      <w:r>
        <w:rPr>
          <w:rFonts w:cs="Times New Roman"/>
          <w:sz w:val="18"/>
          <w:szCs w:val="18"/>
          <w:lang w:val="es-ES_tradnl"/>
        </w:rPr>
        <w:t>í</w:t>
      </w:r>
      <w:r>
        <w:rPr>
          <w:sz w:val="18"/>
          <w:szCs w:val="18"/>
          <w:lang w:val="es-ES_tradnl"/>
        </w:rPr>
        <w:t xml:space="preserve">a contener normas </w:t>
      </w:r>
      <w:r>
        <w:rPr>
          <w:spacing w:val="-6"/>
          <w:sz w:val="18"/>
          <w:szCs w:val="18"/>
          <w:lang w:val="es-ES_tradnl"/>
        </w:rPr>
        <w:t>similares a las incluidas en otras fuentes del Derecho, es necesario establecer que es el principio de supremac</w:t>
      </w:r>
      <w:r>
        <w:rPr>
          <w:rFonts w:cs="Times New Roman"/>
          <w:spacing w:val="-6"/>
          <w:sz w:val="18"/>
          <w:szCs w:val="18"/>
          <w:lang w:val="es-ES_tradnl"/>
        </w:rPr>
        <w:t>í</w:t>
      </w:r>
      <w:r>
        <w:rPr>
          <w:spacing w:val="-6"/>
          <w:sz w:val="18"/>
          <w:szCs w:val="18"/>
          <w:lang w:val="es-ES_tradnl"/>
        </w:rPr>
        <w:t xml:space="preserve">a constitucional el que le da relevancia y obliga a todas las </w:t>
      </w:r>
      <w:r>
        <w:rPr>
          <w:spacing w:val="-4"/>
          <w:sz w:val="18"/>
          <w:szCs w:val="18"/>
          <w:lang w:val="es-ES_tradnl"/>
        </w:rPr>
        <w:t>normas del ordenamiento jur</w:t>
      </w:r>
      <w:r>
        <w:rPr>
          <w:rFonts w:cs="Times New Roman"/>
          <w:spacing w:val="-4"/>
          <w:sz w:val="18"/>
          <w:szCs w:val="18"/>
          <w:lang w:val="es-ES_tradnl"/>
        </w:rPr>
        <w:t>í</w:t>
      </w:r>
      <w:r>
        <w:rPr>
          <w:spacing w:val="-4"/>
          <w:sz w:val="18"/>
          <w:szCs w:val="18"/>
          <w:lang w:val="es-ES_tradnl"/>
        </w:rPr>
        <w:t xml:space="preserve">dico a ubicarse por debajo </w:t>
      </w:r>
      <w:r>
        <w:rPr>
          <w:spacing w:val="-7"/>
          <w:sz w:val="18"/>
          <w:szCs w:val="18"/>
          <w:lang w:val="es-ES_tradnl"/>
        </w:rPr>
        <w:t>o jer</w:t>
      </w:r>
      <w:r>
        <w:rPr>
          <w:rFonts w:cs="Times New Roman"/>
          <w:spacing w:val="-7"/>
          <w:sz w:val="18"/>
          <w:szCs w:val="18"/>
          <w:lang w:val="es-ES_tradnl"/>
        </w:rPr>
        <w:t>á</w:t>
      </w:r>
      <w:r>
        <w:rPr>
          <w:spacing w:val="-7"/>
          <w:sz w:val="18"/>
          <w:szCs w:val="18"/>
          <w:lang w:val="es-ES_tradnl"/>
        </w:rPr>
        <w:t xml:space="preserve">rquicamente subordinadas a la Carta Magna, y que tales normas puedan ser invalidadas en caso de que se </w:t>
      </w:r>
      <w:r>
        <w:rPr>
          <w:spacing w:val="-4"/>
          <w:sz w:val="18"/>
          <w:szCs w:val="18"/>
          <w:lang w:val="es-ES_tradnl"/>
        </w:rPr>
        <w:t>encuentren en contraposici</w:t>
      </w:r>
      <w:r>
        <w:rPr>
          <w:rFonts w:cs="Times New Roman"/>
          <w:spacing w:val="-4"/>
          <w:sz w:val="18"/>
          <w:szCs w:val="18"/>
          <w:lang w:val="es-ES_tradnl"/>
        </w:rPr>
        <w:t>ó</w:t>
      </w:r>
      <w:r>
        <w:rPr>
          <w:spacing w:val="-4"/>
          <w:sz w:val="18"/>
          <w:szCs w:val="18"/>
          <w:lang w:val="es-ES_tradnl"/>
        </w:rPr>
        <w:t>n o franca alteraci</w:t>
      </w:r>
      <w:r>
        <w:rPr>
          <w:rFonts w:cs="Times New Roman"/>
          <w:spacing w:val="-4"/>
          <w:sz w:val="18"/>
          <w:szCs w:val="18"/>
          <w:lang w:val="es-ES_tradnl"/>
        </w:rPr>
        <w:t>ó</w:t>
      </w:r>
      <w:r>
        <w:rPr>
          <w:spacing w:val="-4"/>
          <w:sz w:val="18"/>
          <w:szCs w:val="18"/>
          <w:lang w:val="es-ES_tradnl"/>
        </w:rPr>
        <w:t xml:space="preserve">n de la </w:t>
      </w:r>
      <w:r>
        <w:rPr>
          <w:sz w:val="18"/>
          <w:szCs w:val="18"/>
          <w:lang w:val="es-ES_tradnl"/>
        </w:rPr>
        <w:t>norma suprema del Estado</w:t>
      </w:r>
    </w:p>
    <w:p w14:paraId="4F67A70B" w14:textId="77777777" w:rsidR="00591D54" w:rsidRDefault="00591D54">
      <w:pPr>
        <w:shd w:val="clear" w:color="auto" w:fill="FFFFFF"/>
        <w:spacing w:before="197" w:line="216" w:lineRule="exact"/>
        <w:jc w:val="both"/>
      </w:pPr>
      <w:r>
        <w:rPr>
          <w:spacing w:val="-3"/>
          <w:sz w:val="18"/>
          <w:szCs w:val="18"/>
          <w:lang w:val="es-ES_tradnl"/>
        </w:rPr>
        <w:t xml:space="preserve">Ricardo Guastini ha manifestado que, sin duda, la ley </w:t>
      </w:r>
      <w:r>
        <w:rPr>
          <w:spacing w:val="-5"/>
          <w:sz w:val="18"/>
          <w:szCs w:val="18"/>
          <w:lang w:val="es-ES_tradnl"/>
        </w:rPr>
        <w:t xml:space="preserve">juega un papel importante dentro de las Constituciones; </w:t>
      </w:r>
      <w:r>
        <w:rPr>
          <w:spacing w:val="-8"/>
          <w:sz w:val="18"/>
          <w:szCs w:val="18"/>
          <w:lang w:val="es-ES_tradnl"/>
        </w:rPr>
        <w:t>sin embargo, una ley o norma legal es inv</w:t>
      </w:r>
      <w:r>
        <w:rPr>
          <w:rFonts w:cs="Times New Roman"/>
          <w:spacing w:val="-8"/>
          <w:sz w:val="18"/>
          <w:szCs w:val="18"/>
          <w:lang w:val="es-ES_tradnl"/>
        </w:rPr>
        <w:t>á</w:t>
      </w:r>
      <w:r>
        <w:rPr>
          <w:spacing w:val="-8"/>
          <w:sz w:val="18"/>
          <w:szCs w:val="18"/>
          <w:lang w:val="es-ES_tradnl"/>
        </w:rPr>
        <w:t xml:space="preserve">lida por razones </w:t>
      </w:r>
      <w:r>
        <w:rPr>
          <w:spacing w:val="-5"/>
          <w:sz w:val="18"/>
          <w:szCs w:val="18"/>
          <w:lang w:val="es-ES_tradnl"/>
        </w:rPr>
        <w:t>sustanciales cuando viola una prohibici</w:t>
      </w:r>
      <w:r>
        <w:rPr>
          <w:rFonts w:cs="Times New Roman"/>
          <w:spacing w:val="-5"/>
          <w:sz w:val="18"/>
          <w:szCs w:val="18"/>
          <w:lang w:val="es-ES_tradnl"/>
        </w:rPr>
        <w:t>ó</w:t>
      </w:r>
      <w:r>
        <w:rPr>
          <w:spacing w:val="-5"/>
          <w:sz w:val="18"/>
          <w:szCs w:val="18"/>
          <w:lang w:val="es-ES_tradnl"/>
        </w:rPr>
        <w:t>n constitucional,</w:t>
      </w:r>
    </w:p>
    <w:p w14:paraId="4F67A70C" w14:textId="77777777" w:rsidR="00591D54" w:rsidRDefault="00591D54">
      <w:pPr>
        <w:shd w:val="clear" w:color="auto" w:fill="FFFFFF"/>
        <w:tabs>
          <w:tab w:val="left" w:pos="178"/>
        </w:tabs>
        <w:spacing w:line="197" w:lineRule="exact"/>
        <w:jc w:val="both"/>
      </w:pPr>
      <w:r>
        <w:rPr>
          <w:sz w:val="18"/>
          <w:szCs w:val="18"/>
          <w:lang w:val="es-ES_tradnl"/>
        </w:rPr>
        <w:t>0</w:t>
      </w:r>
      <w:r>
        <w:rPr>
          <w:sz w:val="18"/>
          <w:szCs w:val="18"/>
          <w:lang w:val="es-ES_tradnl"/>
        </w:rPr>
        <w:tab/>
      </w:r>
      <w:r>
        <w:rPr>
          <w:spacing w:val="-7"/>
          <w:sz w:val="18"/>
          <w:szCs w:val="18"/>
          <w:lang w:val="es-ES_tradnl"/>
        </w:rPr>
        <w:t>sea, cuando dispone para un supuesto de hecho una </w:t>
      </w:r>
      <w:r>
        <w:rPr>
          <w:spacing w:val="-6"/>
          <w:sz w:val="18"/>
          <w:szCs w:val="18"/>
          <w:lang w:val="es-ES_tradnl"/>
        </w:rPr>
        <w:t>determinada consecuencia jur</w:t>
      </w:r>
      <w:r>
        <w:rPr>
          <w:rFonts w:cs="Times New Roman"/>
          <w:spacing w:val="-6"/>
          <w:sz w:val="18"/>
          <w:szCs w:val="18"/>
          <w:lang w:val="es-ES_tradnl"/>
        </w:rPr>
        <w:t>í</w:t>
      </w:r>
      <w:r>
        <w:rPr>
          <w:spacing w:val="-6"/>
          <w:sz w:val="18"/>
          <w:szCs w:val="18"/>
          <w:lang w:val="es-ES_tradnl"/>
        </w:rPr>
        <w:t>dica que le est</w:t>
      </w:r>
      <w:r>
        <w:rPr>
          <w:rFonts w:cs="Times New Roman"/>
          <w:spacing w:val="-6"/>
          <w:sz w:val="18"/>
          <w:szCs w:val="18"/>
          <w:lang w:val="es-ES_tradnl"/>
        </w:rPr>
        <w:t>á</w:t>
      </w:r>
      <w:r>
        <w:rPr>
          <w:spacing w:val="-6"/>
          <w:sz w:val="18"/>
          <w:szCs w:val="18"/>
          <w:lang w:val="es-ES_tradnl"/>
        </w:rPr>
        <w:t xml:space="preserve"> prohibido </w:t>
      </w:r>
      <w:r>
        <w:rPr>
          <w:sz w:val="18"/>
          <w:szCs w:val="18"/>
          <w:lang w:val="es-ES_tradnl"/>
        </w:rPr>
        <w:t>disponer</w:t>
      </w:r>
      <w:r>
        <w:rPr>
          <w:sz w:val="18"/>
          <w:szCs w:val="18"/>
          <w:vertAlign w:val="superscript"/>
          <w:lang w:val="es-ES_tradnl"/>
        </w:rPr>
        <w:t>1</w:t>
      </w:r>
      <w:r>
        <w:rPr>
          <w:sz w:val="18"/>
          <w:szCs w:val="18"/>
          <w:lang w:val="es-ES_tradnl"/>
        </w:rPr>
        <w:t>.</w:t>
      </w:r>
    </w:p>
    <w:p w14:paraId="4F67A70D" w14:textId="77777777" w:rsidR="00591D54" w:rsidRDefault="00591D54">
      <w:pPr>
        <w:shd w:val="clear" w:color="auto" w:fill="FFFFFF"/>
        <w:tabs>
          <w:tab w:val="left" w:pos="139"/>
        </w:tabs>
        <w:spacing w:before="768" w:line="178" w:lineRule="exact"/>
        <w:ind w:left="139" w:right="5" w:hanging="139"/>
        <w:jc w:val="both"/>
      </w:pPr>
      <w:r>
        <w:rPr>
          <w:sz w:val="14"/>
          <w:szCs w:val="14"/>
          <w:vertAlign w:val="superscript"/>
          <w:lang w:val="es-ES_tradnl"/>
        </w:rPr>
        <w:t>1</w:t>
      </w:r>
      <w:r>
        <w:rPr>
          <w:sz w:val="18"/>
          <w:szCs w:val="18"/>
          <w:lang w:val="es-ES_tradnl"/>
        </w:rPr>
        <w:tab/>
      </w:r>
      <w:r>
        <w:rPr>
          <w:sz w:val="14"/>
          <w:szCs w:val="14"/>
          <w:lang w:val="es-ES_tradnl"/>
        </w:rPr>
        <w:t>GUASTINI</w:t>
      </w:r>
      <w:r>
        <w:rPr>
          <w:sz w:val="18"/>
          <w:szCs w:val="18"/>
          <w:lang w:val="es-ES_tradnl"/>
        </w:rPr>
        <w:t xml:space="preserve"> </w:t>
      </w:r>
      <w:r>
        <w:rPr>
          <w:sz w:val="14"/>
          <w:szCs w:val="14"/>
          <w:lang w:val="es-ES_tradnl"/>
        </w:rPr>
        <w:t>Ricardo;</w:t>
      </w:r>
      <w:r>
        <w:rPr>
          <w:sz w:val="18"/>
          <w:szCs w:val="18"/>
          <w:lang w:val="es-ES_tradnl"/>
        </w:rPr>
        <w:t xml:space="preserve"> </w:t>
      </w:r>
      <w:r>
        <w:rPr>
          <w:rFonts w:cs="Times New Roman"/>
          <w:sz w:val="14"/>
          <w:szCs w:val="14"/>
          <w:lang w:val="es-ES_tradnl"/>
        </w:rPr>
        <w:t>“</w:t>
      </w:r>
      <w:r>
        <w:rPr>
          <w:sz w:val="14"/>
          <w:szCs w:val="14"/>
          <w:lang w:val="es-ES_tradnl"/>
        </w:rPr>
        <w:t>La</w:t>
      </w:r>
      <w:r>
        <w:rPr>
          <w:sz w:val="18"/>
          <w:szCs w:val="18"/>
          <w:lang w:val="es-ES_tradnl"/>
        </w:rPr>
        <w:t xml:space="preserve"> </w:t>
      </w:r>
      <w:r>
        <w:rPr>
          <w:sz w:val="14"/>
          <w:szCs w:val="14"/>
          <w:lang w:val="es-ES_tradnl"/>
        </w:rPr>
        <w:t>Constituci</w:t>
      </w:r>
      <w:r>
        <w:rPr>
          <w:rFonts w:cs="Times New Roman"/>
          <w:sz w:val="14"/>
          <w:szCs w:val="14"/>
          <w:lang w:val="es-ES_tradnl"/>
        </w:rPr>
        <w:t>ó</w:t>
      </w:r>
      <w:r>
        <w:rPr>
          <w:sz w:val="14"/>
          <w:szCs w:val="14"/>
          <w:lang w:val="es-ES_tradnl"/>
        </w:rPr>
        <w:t>n</w:t>
      </w:r>
      <w:r>
        <w:rPr>
          <w:sz w:val="18"/>
          <w:szCs w:val="18"/>
          <w:lang w:val="es-ES_tradnl"/>
        </w:rPr>
        <w:t xml:space="preserve"> </w:t>
      </w:r>
      <w:r>
        <w:rPr>
          <w:sz w:val="14"/>
          <w:szCs w:val="14"/>
          <w:lang w:val="es-ES_tradnl"/>
        </w:rPr>
        <w:t>como</w:t>
      </w:r>
      <w:r>
        <w:rPr>
          <w:sz w:val="18"/>
          <w:szCs w:val="18"/>
          <w:lang w:val="es-ES_tradnl"/>
        </w:rPr>
        <w:t xml:space="preserve"> </w:t>
      </w:r>
      <w:r>
        <w:rPr>
          <w:sz w:val="14"/>
          <w:szCs w:val="14"/>
          <w:lang w:val="es-ES_tradnl"/>
        </w:rPr>
        <w:t>l</w:t>
      </w:r>
      <w:r>
        <w:rPr>
          <w:rFonts w:cs="Times New Roman"/>
          <w:sz w:val="14"/>
          <w:szCs w:val="14"/>
          <w:lang w:val="es-ES_tradnl"/>
        </w:rPr>
        <w:t>í</w:t>
      </w:r>
      <w:r>
        <w:rPr>
          <w:sz w:val="14"/>
          <w:szCs w:val="14"/>
          <w:lang w:val="es-ES_tradnl"/>
        </w:rPr>
        <w:t>mite</w:t>
      </w:r>
      <w:r>
        <w:rPr>
          <w:sz w:val="18"/>
          <w:szCs w:val="18"/>
          <w:lang w:val="es-ES_tradnl"/>
        </w:rPr>
        <w:t xml:space="preserve"> </w:t>
      </w:r>
      <w:r>
        <w:rPr>
          <w:sz w:val="14"/>
          <w:szCs w:val="14"/>
          <w:lang w:val="es-ES_tradnl"/>
        </w:rPr>
        <w:t>ala</w:t>
      </w:r>
      <w:r>
        <w:rPr>
          <w:sz w:val="18"/>
          <w:szCs w:val="18"/>
          <w:lang w:val="es-ES_tradnl"/>
        </w:rPr>
        <w:t xml:space="preserve"> </w:t>
      </w:r>
      <w:r>
        <w:rPr>
          <w:sz w:val="14"/>
          <w:szCs w:val="14"/>
          <w:lang w:val="es-ES_tradnl"/>
        </w:rPr>
        <w:t>legislaci</w:t>
      </w:r>
      <w:r>
        <w:rPr>
          <w:rFonts w:cs="Times New Roman"/>
          <w:sz w:val="14"/>
          <w:szCs w:val="14"/>
          <w:lang w:val="es-ES_tradnl"/>
        </w:rPr>
        <w:t>ó</w:t>
      </w:r>
      <w:r>
        <w:rPr>
          <w:sz w:val="14"/>
          <w:szCs w:val="14"/>
          <w:lang w:val="es-ES_tradnl"/>
        </w:rPr>
        <w:t>n</w:t>
      </w:r>
      <w:r>
        <w:rPr>
          <w:rFonts w:cs="Times New Roman"/>
          <w:sz w:val="14"/>
          <w:szCs w:val="14"/>
          <w:lang w:val="es-ES_tradnl"/>
        </w:rPr>
        <w:t>”</w:t>
      </w:r>
      <w:r>
        <w:rPr>
          <w:sz w:val="14"/>
          <w:szCs w:val="14"/>
          <w:lang w:val="es-ES_tradnl"/>
        </w:rPr>
        <w:t xml:space="preserve">; citado por Carbonell Miguel en </w:t>
      </w:r>
      <w:r>
        <w:rPr>
          <w:rFonts w:cs="Times New Roman"/>
          <w:sz w:val="14"/>
          <w:szCs w:val="14"/>
          <w:lang w:val="es-ES_tradnl"/>
        </w:rPr>
        <w:t>“</w:t>
      </w:r>
      <w:r>
        <w:rPr>
          <w:sz w:val="14"/>
          <w:szCs w:val="14"/>
          <w:lang w:val="es-ES_tradnl"/>
        </w:rPr>
        <w:t>Teor</w:t>
      </w:r>
      <w:r>
        <w:rPr>
          <w:rFonts w:cs="Times New Roman"/>
          <w:sz w:val="14"/>
          <w:szCs w:val="14"/>
          <w:lang w:val="es-ES_tradnl"/>
        </w:rPr>
        <w:t>í</w:t>
      </w:r>
      <w:r>
        <w:rPr>
          <w:sz w:val="14"/>
          <w:szCs w:val="14"/>
          <w:lang w:val="es-ES_tradnl"/>
        </w:rPr>
        <w:t>a de la Constituci</w:t>
      </w:r>
      <w:r>
        <w:rPr>
          <w:rFonts w:cs="Times New Roman"/>
          <w:sz w:val="14"/>
          <w:szCs w:val="14"/>
          <w:lang w:val="es-ES_tradnl"/>
        </w:rPr>
        <w:t>ó</w:t>
      </w:r>
      <w:r>
        <w:rPr>
          <w:sz w:val="14"/>
          <w:szCs w:val="14"/>
          <w:lang w:val="es-ES_tradnl"/>
        </w:rPr>
        <w:t>n</w:t>
      </w:r>
      <w:r>
        <w:rPr>
          <w:rFonts w:cs="Times New Roman"/>
          <w:sz w:val="14"/>
          <w:szCs w:val="14"/>
          <w:lang w:val="es-ES_tradnl"/>
        </w:rPr>
        <w:t>”</w:t>
      </w:r>
      <w:r>
        <w:rPr>
          <w:sz w:val="14"/>
          <w:szCs w:val="14"/>
          <w:lang w:val="es-ES_tradnl"/>
        </w:rPr>
        <w:t xml:space="preserve"> </w:t>
      </w:r>
      <w:r>
        <w:rPr>
          <w:rFonts w:cs="Times New Roman"/>
          <w:sz w:val="14"/>
          <w:szCs w:val="14"/>
          <w:lang w:val="es-ES_tradnl"/>
        </w:rPr>
        <w:t>– </w:t>
      </w:r>
      <w:r>
        <w:rPr>
          <w:spacing w:val="-1"/>
          <w:sz w:val="14"/>
          <w:szCs w:val="14"/>
          <w:lang w:val="es-ES_tradnl"/>
        </w:rPr>
        <w:t>Universidad Nacional Aut</w:t>
      </w:r>
      <w:r>
        <w:rPr>
          <w:rFonts w:cs="Times New Roman"/>
          <w:spacing w:val="-1"/>
          <w:sz w:val="14"/>
          <w:szCs w:val="14"/>
          <w:lang w:val="es-ES_tradnl"/>
        </w:rPr>
        <w:t>ó</w:t>
      </w:r>
      <w:r>
        <w:rPr>
          <w:spacing w:val="-1"/>
          <w:sz w:val="14"/>
          <w:szCs w:val="14"/>
          <w:lang w:val="es-ES_tradnl"/>
        </w:rPr>
        <w:t>noma de M</w:t>
      </w:r>
      <w:r>
        <w:rPr>
          <w:rFonts w:cs="Times New Roman"/>
          <w:spacing w:val="-1"/>
          <w:sz w:val="14"/>
          <w:szCs w:val="14"/>
          <w:lang w:val="es-ES_tradnl"/>
        </w:rPr>
        <w:t>é</w:t>
      </w:r>
      <w:r>
        <w:rPr>
          <w:spacing w:val="-1"/>
          <w:sz w:val="14"/>
          <w:szCs w:val="14"/>
          <w:lang w:val="es-ES_tradnl"/>
        </w:rPr>
        <w:t xml:space="preserve">xico </w:t>
      </w:r>
      <w:r>
        <w:rPr>
          <w:rFonts w:cs="Times New Roman"/>
          <w:spacing w:val="-1"/>
          <w:sz w:val="14"/>
          <w:szCs w:val="14"/>
          <w:lang w:val="es-ES_tradnl"/>
        </w:rPr>
        <w:t>–</w:t>
      </w:r>
      <w:r>
        <w:rPr>
          <w:spacing w:val="-1"/>
          <w:sz w:val="14"/>
          <w:szCs w:val="14"/>
          <w:lang w:val="es-ES_tradnl"/>
        </w:rPr>
        <w:t xml:space="preserve"> a</w:t>
      </w:r>
      <w:r>
        <w:rPr>
          <w:rFonts w:cs="Times New Roman"/>
          <w:spacing w:val="-1"/>
          <w:sz w:val="14"/>
          <w:szCs w:val="14"/>
          <w:lang w:val="es-ES_tradnl"/>
        </w:rPr>
        <w:t>ñ</w:t>
      </w:r>
      <w:r>
        <w:rPr>
          <w:spacing w:val="-1"/>
          <w:sz w:val="14"/>
          <w:szCs w:val="14"/>
          <w:lang w:val="es-ES_tradnl"/>
        </w:rPr>
        <w:t xml:space="preserve">o 2000 </w:t>
      </w:r>
      <w:r>
        <w:rPr>
          <w:rFonts w:cs="Times New Roman"/>
          <w:spacing w:val="-1"/>
          <w:sz w:val="14"/>
          <w:szCs w:val="14"/>
          <w:lang w:val="es-ES_tradnl"/>
        </w:rPr>
        <w:t>–</w:t>
      </w:r>
      <w:r>
        <w:rPr>
          <w:spacing w:val="-1"/>
          <w:sz w:val="14"/>
          <w:szCs w:val="14"/>
          <w:lang w:val="es-ES_tradnl"/>
        </w:rPr>
        <w:t xml:space="preserve"> p</w:t>
      </w:r>
      <w:r>
        <w:rPr>
          <w:rFonts w:cs="Times New Roman"/>
          <w:spacing w:val="-1"/>
          <w:sz w:val="14"/>
          <w:szCs w:val="14"/>
          <w:lang w:val="es-ES_tradnl"/>
        </w:rPr>
        <w:t>á</w:t>
      </w:r>
      <w:r>
        <w:rPr>
          <w:spacing w:val="-1"/>
          <w:sz w:val="14"/>
          <w:szCs w:val="14"/>
          <w:lang w:val="es-ES_tradnl"/>
        </w:rPr>
        <w:t>g. 238</w:t>
      </w:r>
    </w:p>
    <w:p w14:paraId="4F67A70E" w14:textId="77777777" w:rsidR="00591D54" w:rsidRDefault="00591D54">
      <w:pPr>
        <w:shd w:val="clear" w:color="auto" w:fill="FFFFFF"/>
        <w:spacing w:line="216" w:lineRule="exact"/>
        <w:jc w:val="both"/>
      </w:pPr>
      <w:r>
        <w:br w:type="column"/>
      </w:r>
      <w:r>
        <w:rPr>
          <w:spacing w:val="-2"/>
          <w:sz w:val="18"/>
          <w:szCs w:val="18"/>
          <w:lang w:val="es-ES_tradnl"/>
        </w:rPr>
        <w:t xml:space="preserve">En el Ecuador, la demanda de inconstitucionalidad </w:t>
      </w:r>
      <w:r>
        <w:rPr>
          <w:spacing w:val="-4"/>
          <w:sz w:val="18"/>
          <w:szCs w:val="18"/>
          <w:lang w:val="es-ES_tradnl"/>
        </w:rPr>
        <w:t>constituye una acci</w:t>
      </w:r>
      <w:r>
        <w:rPr>
          <w:rFonts w:cs="Times New Roman"/>
          <w:spacing w:val="-4"/>
          <w:sz w:val="18"/>
          <w:szCs w:val="18"/>
          <w:lang w:val="es-ES_tradnl"/>
        </w:rPr>
        <w:t>ó</w:t>
      </w:r>
      <w:r>
        <w:rPr>
          <w:spacing w:val="-4"/>
          <w:sz w:val="18"/>
          <w:szCs w:val="18"/>
          <w:lang w:val="es-ES_tradnl"/>
        </w:rPr>
        <w:t xml:space="preserve">n que busca hacer valer el principio </w:t>
      </w:r>
      <w:r>
        <w:rPr>
          <w:spacing w:val="-6"/>
          <w:sz w:val="18"/>
          <w:szCs w:val="18"/>
          <w:lang w:val="es-ES_tradnl"/>
        </w:rPr>
        <w:t>de supremac</w:t>
      </w:r>
      <w:r>
        <w:rPr>
          <w:rFonts w:cs="Times New Roman"/>
          <w:spacing w:val="-6"/>
          <w:sz w:val="18"/>
          <w:szCs w:val="18"/>
          <w:lang w:val="es-ES_tradnl"/>
        </w:rPr>
        <w:t>í</w:t>
      </w:r>
      <w:r>
        <w:rPr>
          <w:spacing w:val="-6"/>
          <w:sz w:val="18"/>
          <w:szCs w:val="18"/>
          <w:lang w:val="es-ES_tradnl"/>
        </w:rPr>
        <w:t>a de la Constituci</w:t>
      </w:r>
      <w:r>
        <w:rPr>
          <w:rFonts w:cs="Times New Roman"/>
          <w:spacing w:val="-6"/>
          <w:sz w:val="18"/>
          <w:szCs w:val="18"/>
          <w:lang w:val="es-ES_tradnl"/>
        </w:rPr>
        <w:t>ó</w:t>
      </w:r>
      <w:r>
        <w:rPr>
          <w:spacing w:val="-6"/>
          <w:sz w:val="18"/>
          <w:szCs w:val="18"/>
          <w:lang w:val="es-ES_tradnl"/>
        </w:rPr>
        <w:t xml:space="preserve">n. La inconstitucionalidad </w:t>
      </w:r>
      <w:r>
        <w:rPr>
          <w:sz w:val="18"/>
          <w:szCs w:val="18"/>
          <w:lang w:val="es-ES_tradnl"/>
        </w:rPr>
        <w:t>es el quebrantamiento del esp</w:t>
      </w:r>
      <w:r>
        <w:rPr>
          <w:rFonts w:cs="Times New Roman"/>
          <w:sz w:val="18"/>
          <w:szCs w:val="18"/>
          <w:lang w:val="es-ES_tradnl"/>
        </w:rPr>
        <w:t>í</w:t>
      </w:r>
      <w:r>
        <w:rPr>
          <w:sz w:val="18"/>
          <w:szCs w:val="18"/>
          <w:lang w:val="es-ES_tradnl"/>
        </w:rPr>
        <w:t>ritu de la Constituci</w:t>
      </w:r>
      <w:r>
        <w:rPr>
          <w:rFonts w:cs="Times New Roman"/>
          <w:sz w:val="18"/>
          <w:szCs w:val="18"/>
          <w:lang w:val="es-ES_tradnl"/>
        </w:rPr>
        <w:t>ó</w:t>
      </w:r>
      <w:r>
        <w:rPr>
          <w:sz w:val="18"/>
          <w:szCs w:val="18"/>
          <w:lang w:val="es-ES_tradnl"/>
        </w:rPr>
        <w:t xml:space="preserve">n por leyes expedidas por el </w:t>
      </w:r>
      <w:r>
        <w:rPr>
          <w:rFonts w:cs="Times New Roman"/>
          <w:sz w:val="18"/>
          <w:szCs w:val="18"/>
          <w:lang w:val="es-ES_tradnl"/>
        </w:rPr>
        <w:t>ó</w:t>
      </w:r>
      <w:r>
        <w:rPr>
          <w:sz w:val="18"/>
          <w:szCs w:val="18"/>
          <w:lang w:val="es-ES_tradnl"/>
        </w:rPr>
        <w:t xml:space="preserve">rgano legislativo, normas </w:t>
      </w:r>
      <w:r>
        <w:rPr>
          <w:spacing w:val="-4"/>
          <w:sz w:val="18"/>
          <w:szCs w:val="18"/>
          <w:lang w:val="es-ES_tradnl"/>
        </w:rPr>
        <w:t xml:space="preserve">o actos expedidos por el Ejecutivo o por cualquier otra </w:t>
      </w:r>
      <w:r>
        <w:rPr>
          <w:spacing w:val="-2"/>
          <w:sz w:val="18"/>
          <w:szCs w:val="18"/>
          <w:lang w:val="es-ES_tradnl"/>
        </w:rPr>
        <w:t>autoridad o instituci</w:t>
      </w:r>
      <w:r>
        <w:rPr>
          <w:rFonts w:cs="Times New Roman"/>
          <w:spacing w:val="-2"/>
          <w:sz w:val="18"/>
          <w:szCs w:val="18"/>
          <w:lang w:val="es-ES_tradnl"/>
        </w:rPr>
        <w:t>ó</w:t>
      </w:r>
      <w:r>
        <w:rPr>
          <w:spacing w:val="-2"/>
          <w:sz w:val="18"/>
          <w:szCs w:val="18"/>
          <w:lang w:val="es-ES_tradnl"/>
        </w:rPr>
        <w:t>n p</w:t>
      </w:r>
      <w:r>
        <w:rPr>
          <w:rFonts w:cs="Times New Roman"/>
          <w:spacing w:val="-2"/>
          <w:sz w:val="18"/>
          <w:szCs w:val="18"/>
          <w:lang w:val="es-ES_tradnl"/>
        </w:rPr>
        <w:t>ú</w:t>
      </w:r>
      <w:r>
        <w:rPr>
          <w:spacing w:val="-2"/>
          <w:sz w:val="18"/>
          <w:szCs w:val="18"/>
          <w:lang w:val="es-ES_tradnl"/>
        </w:rPr>
        <w:t xml:space="preserve">blica con facultad normativa, </w:t>
      </w:r>
      <w:r>
        <w:rPr>
          <w:spacing w:val="-7"/>
          <w:sz w:val="18"/>
          <w:szCs w:val="18"/>
          <w:lang w:val="es-ES_tradnl"/>
        </w:rPr>
        <w:t>pues partiendo del principio de supremac</w:t>
      </w:r>
      <w:r>
        <w:rPr>
          <w:rFonts w:cs="Times New Roman"/>
          <w:spacing w:val="-7"/>
          <w:sz w:val="18"/>
          <w:szCs w:val="18"/>
          <w:lang w:val="es-ES_tradnl"/>
        </w:rPr>
        <w:t>í</w:t>
      </w:r>
      <w:r>
        <w:rPr>
          <w:spacing w:val="-7"/>
          <w:sz w:val="18"/>
          <w:szCs w:val="18"/>
          <w:lang w:val="es-ES_tradnl"/>
        </w:rPr>
        <w:t xml:space="preserve">a constitucional, </w:t>
      </w:r>
      <w:r>
        <w:rPr>
          <w:spacing w:val="-8"/>
          <w:sz w:val="18"/>
          <w:szCs w:val="18"/>
          <w:lang w:val="es-ES_tradnl"/>
        </w:rPr>
        <w:t xml:space="preserve">todos los actos, leyes, ordenanzas, decretos, resoluciones, </w:t>
      </w:r>
      <w:r>
        <w:rPr>
          <w:spacing w:val="-7"/>
          <w:sz w:val="18"/>
          <w:szCs w:val="18"/>
          <w:lang w:val="es-ES_tradnl"/>
        </w:rPr>
        <w:t xml:space="preserve">etc., que se aparten de la norma suprema del Estado, se </w:t>
      </w:r>
      <w:r>
        <w:rPr>
          <w:sz w:val="18"/>
          <w:szCs w:val="18"/>
          <w:lang w:val="es-ES_tradnl"/>
        </w:rPr>
        <w:t>reputan como inconstitucionales.</w:t>
      </w:r>
    </w:p>
    <w:p w14:paraId="4F67A70F" w14:textId="77777777" w:rsidR="00591D54" w:rsidRDefault="00591D54">
      <w:pPr>
        <w:shd w:val="clear" w:color="auto" w:fill="FFFFFF"/>
        <w:spacing w:before="197" w:line="216" w:lineRule="exact"/>
        <w:jc w:val="both"/>
      </w:pPr>
      <w:r>
        <w:rPr>
          <w:spacing w:val="-9"/>
          <w:sz w:val="18"/>
          <w:szCs w:val="18"/>
          <w:lang w:val="es-ES_tradnl"/>
        </w:rPr>
        <w:t>Por su parte, el art</w:t>
      </w:r>
      <w:r>
        <w:rPr>
          <w:rFonts w:cs="Times New Roman"/>
          <w:spacing w:val="-9"/>
          <w:sz w:val="18"/>
          <w:szCs w:val="18"/>
          <w:lang w:val="es-ES_tradnl"/>
        </w:rPr>
        <w:t>í</w:t>
      </w:r>
      <w:r>
        <w:rPr>
          <w:spacing w:val="-9"/>
          <w:sz w:val="18"/>
          <w:szCs w:val="18"/>
          <w:lang w:val="es-ES_tradnl"/>
        </w:rPr>
        <w:t>culo 74 de la Ley Org</w:t>
      </w:r>
      <w:r>
        <w:rPr>
          <w:rFonts w:cs="Times New Roman"/>
          <w:spacing w:val="-9"/>
          <w:sz w:val="18"/>
          <w:szCs w:val="18"/>
          <w:lang w:val="es-ES_tradnl"/>
        </w:rPr>
        <w:t>á</w:t>
      </w:r>
      <w:r>
        <w:rPr>
          <w:spacing w:val="-9"/>
          <w:sz w:val="18"/>
          <w:szCs w:val="18"/>
          <w:lang w:val="es-ES_tradnl"/>
        </w:rPr>
        <w:t>nica de Garant</w:t>
      </w:r>
      <w:r>
        <w:rPr>
          <w:rFonts w:cs="Times New Roman"/>
          <w:spacing w:val="-9"/>
          <w:sz w:val="18"/>
          <w:szCs w:val="18"/>
          <w:lang w:val="es-ES_tradnl"/>
        </w:rPr>
        <w:t>í</w:t>
      </w:r>
      <w:r>
        <w:rPr>
          <w:spacing w:val="-9"/>
          <w:sz w:val="18"/>
          <w:szCs w:val="18"/>
          <w:lang w:val="es-ES_tradnl"/>
        </w:rPr>
        <w:t xml:space="preserve">as </w:t>
      </w:r>
      <w:r>
        <w:rPr>
          <w:sz w:val="18"/>
          <w:szCs w:val="18"/>
          <w:lang w:val="es-ES_tradnl"/>
        </w:rPr>
        <w:t xml:space="preserve">Jurisdiccionales y Control Constitucional determina la </w:t>
      </w:r>
      <w:r>
        <w:rPr>
          <w:spacing w:val="-3"/>
          <w:sz w:val="18"/>
          <w:szCs w:val="18"/>
          <w:lang w:val="es-ES_tradnl"/>
        </w:rPr>
        <w:t xml:space="preserve">finalidad del control abstracto de constitucionalidad, el </w:t>
      </w:r>
      <w:r>
        <w:rPr>
          <w:spacing w:val="-6"/>
          <w:sz w:val="18"/>
          <w:szCs w:val="18"/>
          <w:lang w:val="es-ES_tradnl"/>
        </w:rPr>
        <w:t xml:space="preserve">cual responde a garantizar la unidad y coherencia del </w:t>
      </w:r>
      <w:r>
        <w:rPr>
          <w:spacing w:val="-3"/>
          <w:sz w:val="18"/>
          <w:szCs w:val="18"/>
          <w:lang w:val="es-ES_tradnl"/>
        </w:rPr>
        <w:t>ordenamiento jur</w:t>
      </w:r>
      <w:r>
        <w:rPr>
          <w:rFonts w:cs="Times New Roman"/>
          <w:spacing w:val="-3"/>
          <w:sz w:val="18"/>
          <w:szCs w:val="18"/>
          <w:lang w:val="es-ES_tradnl"/>
        </w:rPr>
        <w:t>í</w:t>
      </w:r>
      <w:r>
        <w:rPr>
          <w:spacing w:val="-3"/>
          <w:sz w:val="18"/>
          <w:szCs w:val="18"/>
          <w:lang w:val="es-ES_tradnl"/>
        </w:rPr>
        <w:t>dico, por medio de la identificaci</w:t>
      </w:r>
      <w:r>
        <w:rPr>
          <w:rFonts w:cs="Times New Roman"/>
          <w:spacing w:val="-3"/>
          <w:sz w:val="18"/>
          <w:szCs w:val="18"/>
          <w:lang w:val="es-ES_tradnl"/>
        </w:rPr>
        <w:t>ó</w:t>
      </w:r>
      <w:r>
        <w:rPr>
          <w:spacing w:val="-3"/>
          <w:sz w:val="18"/>
          <w:szCs w:val="18"/>
          <w:lang w:val="es-ES_tradnl"/>
        </w:rPr>
        <w:t>n y eliminaci</w:t>
      </w:r>
      <w:r>
        <w:rPr>
          <w:rFonts w:cs="Times New Roman"/>
          <w:spacing w:val="-3"/>
          <w:sz w:val="18"/>
          <w:szCs w:val="18"/>
          <w:lang w:val="es-ES_tradnl"/>
        </w:rPr>
        <w:t>ó</w:t>
      </w:r>
      <w:r>
        <w:rPr>
          <w:spacing w:val="-3"/>
          <w:sz w:val="18"/>
          <w:szCs w:val="18"/>
          <w:lang w:val="es-ES_tradnl"/>
        </w:rPr>
        <w:t xml:space="preserve">n de las incompatibilidades normativas que </w:t>
      </w:r>
      <w:r>
        <w:rPr>
          <w:spacing w:val="-8"/>
          <w:sz w:val="18"/>
          <w:szCs w:val="18"/>
          <w:lang w:val="es-ES_tradnl"/>
        </w:rPr>
        <w:t xml:space="preserve">puedan generarse, por razones de fondo o de forma, entre </w:t>
      </w:r>
      <w:r>
        <w:rPr>
          <w:spacing w:val="-6"/>
          <w:sz w:val="18"/>
          <w:szCs w:val="18"/>
          <w:lang w:val="es-ES_tradnl"/>
        </w:rPr>
        <w:t>las normas constitucionales y las dem</w:t>
      </w:r>
      <w:r>
        <w:rPr>
          <w:rFonts w:cs="Times New Roman"/>
          <w:spacing w:val="-6"/>
          <w:sz w:val="18"/>
          <w:szCs w:val="18"/>
          <w:lang w:val="es-ES_tradnl"/>
        </w:rPr>
        <w:t>á</w:t>
      </w:r>
      <w:r>
        <w:rPr>
          <w:spacing w:val="-6"/>
          <w:sz w:val="18"/>
          <w:szCs w:val="18"/>
          <w:lang w:val="es-ES_tradnl"/>
        </w:rPr>
        <w:t xml:space="preserve">s que integran el </w:t>
      </w:r>
      <w:r>
        <w:rPr>
          <w:spacing w:val="-5"/>
          <w:sz w:val="18"/>
          <w:szCs w:val="18"/>
          <w:lang w:val="es-ES_tradnl"/>
        </w:rPr>
        <w:t>sistema jur</w:t>
      </w:r>
      <w:r>
        <w:rPr>
          <w:rFonts w:cs="Times New Roman"/>
          <w:spacing w:val="-5"/>
          <w:sz w:val="18"/>
          <w:szCs w:val="18"/>
          <w:lang w:val="es-ES_tradnl"/>
        </w:rPr>
        <w:t>í</w:t>
      </w:r>
      <w:r>
        <w:rPr>
          <w:spacing w:val="-5"/>
          <w:sz w:val="18"/>
          <w:szCs w:val="18"/>
          <w:lang w:val="es-ES_tradnl"/>
        </w:rPr>
        <w:t xml:space="preserve">dico del Ecuador. Al respeto, es necesario </w:t>
      </w:r>
      <w:r>
        <w:rPr>
          <w:sz w:val="18"/>
          <w:szCs w:val="18"/>
          <w:lang w:val="es-ES_tradnl"/>
        </w:rPr>
        <w:t xml:space="preserve">precisar que la declaratoria de inconstitucionalidad </w:t>
      </w:r>
      <w:r>
        <w:rPr>
          <w:spacing w:val="-5"/>
          <w:sz w:val="18"/>
          <w:szCs w:val="18"/>
          <w:lang w:val="es-ES_tradnl"/>
        </w:rPr>
        <w:t xml:space="preserve">por vicios de forma se da cuando los actos normativos </w:t>
      </w:r>
      <w:r>
        <w:rPr>
          <w:spacing w:val="-3"/>
          <w:sz w:val="18"/>
          <w:szCs w:val="18"/>
          <w:lang w:val="es-ES_tradnl"/>
        </w:rPr>
        <w:t xml:space="preserve">impugnados no han sido dictados o expedidos de </w:t>
      </w:r>
      <w:r>
        <w:rPr>
          <w:spacing w:val="-4"/>
          <w:sz w:val="18"/>
          <w:szCs w:val="18"/>
          <w:lang w:val="es-ES_tradnl"/>
        </w:rPr>
        <w:t>conformidad con el procedimiento de formaci</w:t>
      </w:r>
      <w:r>
        <w:rPr>
          <w:rFonts w:cs="Times New Roman"/>
          <w:spacing w:val="-4"/>
          <w:sz w:val="18"/>
          <w:szCs w:val="18"/>
          <w:lang w:val="es-ES_tradnl"/>
        </w:rPr>
        <w:t>ó</w:t>
      </w:r>
      <w:r>
        <w:rPr>
          <w:spacing w:val="-4"/>
          <w:sz w:val="18"/>
          <w:szCs w:val="18"/>
          <w:lang w:val="es-ES_tradnl"/>
        </w:rPr>
        <w:t xml:space="preserve">n previsto </w:t>
      </w:r>
      <w:r>
        <w:rPr>
          <w:spacing w:val="-6"/>
          <w:sz w:val="18"/>
          <w:szCs w:val="18"/>
          <w:lang w:val="es-ES_tradnl"/>
        </w:rPr>
        <w:t>en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en tanto que los vicios </w:t>
      </w:r>
      <w:r>
        <w:rPr>
          <w:spacing w:val="-7"/>
          <w:sz w:val="18"/>
          <w:szCs w:val="18"/>
          <w:lang w:val="es-ES_tradnl"/>
        </w:rPr>
        <w:t>de fondo se presentan cuando el acto normativo objeto de impugnaci</w:t>
      </w:r>
      <w:r>
        <w:rPr>
          <w:rFonts w:cs="Times New Roman"/>
          <w:spacing w:val="-7"/>
          <w:sz w:val="18"/>
          <w:szCs w:val="18"/>
          <w:lang w:val="es-ES_tradnl"/>
        </w:rPr>
        <w:t>ó</w:t>
      </w:r>
      <w:r>
        <w:rPr>
          <w:spacing w:val="-7"/>
          <w:sz w:val="18"/>
          <w:szCs w:val="18"/>
          <w:lang w:val="es-ES_tradnl"/>
        </w:rPr>
        <w:t xml:space="preserve">n contradice el contenido de la Carta Suprema </w:t>
      </w:r>
      <w:r>
        <w:rPr>
          <w:sz w:val="18"/>
          <w:szCs w:val="18"/>
          <w:lang w:val="es-ES_tradnl"/>
        </w:rPr>
        <w:t>de la Rep</w:t>
      </w:r>
      <w:r>
        <w:rPr>
          <w:rFonts w:cs="Times New Roman"/>
          <w:sz w:val="18"/>
          <w:szCs w:val="18"/>
          <w:lang w:val="es-ES_tradnl"/>
        </w:rPr>
        <w:t>ú</w:t>
      </w:r>
      <w:r>
        <w:rPr>
          <w:sz w:val="18"/>
          <w:szCs w:val="18"/>
          <w:lang w:val="es-ES_tradnl"/>
        </w:rPr>
        <w:t>blica.</w:t>
      </w:r>
    </w:p>
    <w:p w14:paraId="4F67A710" w14:textId="77777777" w:rsidR="00591D54" w:rsidRDefault="00591D54">
      <w:pPr>
        <w:shd w:val="clear" w:color="auto" w:fill="FFFFFF"/>
        <w:spacing w:before="192" w:line="216" w:lineRule="exact"/>
        <w:jc w:val="both"/>
      </w:pPr>
      <w:r>
        <w:rPr>
          <w:b/>
          <w:bCs/>
          <w:spacing w:val="-5"/>
          <w:sz w:val="18"/>
          <w:szCs w:val="18"/>
          <w:lang w:val="es-ES_tradnl"/>
        </w:rPr>
        <w:t>An</w:t>
      </w:r>
      <w:r>
        <w:rPr>
          <w:rFonts w:cs="Times New Roman"/>
          <w:b/>
          <w:bCs/>
          <w:spacing w:val="-5"/>
          <w:sz w:val="18"/>
          <w:szCs w:val="18"/>
          <w:lang w:val="es-ES_tradnl"/>
        </w:rPr>
        <w:t>á</w:t>
      </w:r>
      <w:r>
        <w:rPr>
          <w:b/>
          <w:bCs/>
          <w:spacing w:val="-5"/>
          <w:sz w:val="18"/>
          <w:szCs w:val="18"/>
          <w:lang w:val="es-ES_tradnl"/>
        </w:rPr>
        <w:t xml:space="preserve">lisis de constitucionalidad, por la forma, de las </w:t>
      </w:r>
      <w:r>
        <w:rPr>
          <w:b/>
          <w:bCs/>
          <w:sz w:val="18"/>
          <w:szCs w:val="18"/>
          <w:lang w:val="es-ES_tradnl"/>
        </w:rPr>
        <w:t>normas jur</w:t>
      </w:r>
      <w:r>
        <w:rPr>
          <w:rFonts w:cs="Times New Roman"/>
          <w:b/>
          <w:bCs/>
          <w:sz w:val="18"/>
          <w:szCs w:val="18"/>
          <w:lang w:val="es-ES_tradnl"/>
        </w:rPr>
        <w:t>í</w:t>
      </w:r>
      <w:r>
        <w:rPr>
          <w:b/>
          <w:bCs/>
          <w:sz w:val="18"/>
          <w:szCs w:val="18"/>
          <w:lang w:val="es-ES_tradnl"/>
        </w:rPr>
        <w:t>dicas impugnadas</w:t>
      </w:r>
    </w:p>
    <w:p w14:paraId="4F67A711" w14:textId="77777777" w:rsidR="00591D54" w:rsidRDefault="00591D54">
      <w:pPr>
        <w:shd w:val="clear" w:color="auto" w:fill="FFFFFF"/>
        <w:spacing w:before="192" w:line="216" w:lineRule="exact"/>
        <w:jc w:val="both"/>
      </w:pPr>
      <w:r>
        <w:rPr>
          <w:spacing w:val="-6"/>
          <w:sz w:val="18"/>
          <w:szCs w:val="18"/>
          <w:lang w:val="es-ES_tradnl"/>
        </w:rPr>
        <w:t xml:space="preserve">Si bien el demandante no ha imputado vicios de forma en </w:t>
      </w:r>
      <w:r>
        <w:rPr>
          <w:spacing w:val="-5"/>
          <w:sz w:val="18"/>
          <w:szCs w:val="18"/>
          <w:lang w:val="es-ES_tradnl"/>
        </w:rPr>
        <w:t>la expedici</w:t>
      </w:r>
      <w:r>
        <w:rPr>
          <w:rFonts w:cs="Times New Roman"/>
          <w:spacing w:val="-5"/>
          <w:sz w:val="18"/>
          <w:szCs w:val="18"/>
          <w:lang w:val="es-ES_tradnl"/>
        </w:rPr>
        <w:t>ó</w:t>
      </w:r>
      <w:r>
        <w:rPr>
          <w:spacing w:val="-5"/>
          <w:sz w:val="18"/>
          <w:szCs w:val="18"/>
          <w:lang w:val="es-ES_tradnl"/>
        </w:rPr>
        <w:t>n de la Ordenanza del Sistema de Gesti</w:t>
      </w:r>
      <w:r>
        <w:rPr>
          <w:rFonts w:cs="Times New Roman"/>
          <w:spacing w:val="-5"/>
          <w:sz w:val="18"/>
          <w:szCs w:val="18"/>
          <w:lang w:val="es-ES_tradnl"/>
        </w:rPr>
        <w:t>ó</w:t>
      </w:r>
      <w:r>
        <w:rPr>
          <w:spacing w:val="-5"/>
          <w:sz w:val="18"/>
          <w:szCs w:val="18"/>
          <w:lang w:val="es-ES_tradnl"/>
        </w:rPr>
        <w:t>n y Participaci</w:t>
      </w:r>
      <w:r>
        <w:rPr>
          <w:rFonts w:cs="Times New Roman"/>
          <w:spacing w:val="-5"/>
          <w:sz w:val="18"/>
          <w:szCs w:val="18"/>
          <w:lang w:val="es-ES_tradnl"/>
        </w:rPr>
        <w:t>ó</w:t>
      </w:r>
      <w:r>
        <w:rPr>
          <w:spacing w:val="-5"/>
          <w:sz w:val="18"/>
          <w:szCs w:val="18"/>
          <w:lang w:val="es-ES_tradnl"/>
        </w:rPr>
        <w:t>n Ciudadana del cant</w:t>
      </w:r>
      <w:r>
        <w:rPr>
          <w:rFonts w:cs="Times New Roman"/>
          <w:spacing w:val="-5"/>
          <w:sz w:val="18"/>
          <w:szCs w:val="18"/>
          <w:lang w:val="es-ES_tradnl"/>
        </w:rPr>
        <w:t>ó</w:t>
      </w:r>
      <w:r>
        <w:rPr>
          <w:spacing w:val="-5"/>
          <w:sz w:val="18"/>
          <w:szCs w:val="18"/>
          <w:lang w:val="es-ES_tradnl"/>
        </w:rPr>
        <w:t>n Rumi</w:t>
      </w:r>
      <w:r>
        <w:rPr>
          <w:rFonts w:cs="Times New Roman"/>
          <w:spacing w:val="-5"/>
          <w:sz w:val="18"/>
          <w:szCs w:val="18"/>
          <w:lang w:val="es-ES_tradnl"/>
        </w:rPr>
        <w:t>ñ</w:t>
      </w:r>
      <w:r>
        <w:rPr>
          <w:spacing w:val="-5"/>
          <w:sz w:val="18"/>
          <w:szCs w:val="18"/>
          <w:lang w:val="es-ES_tradnl"/>
        </w:rPr>
        <w:t xml:space="preserve">ahui, pues se </w:t>
      </w:r>
      <w:r>
        <w:rPr>
          <w:spacing w:val="-2"/>
          <w:sz w:val="18"/>
          <w:szCs w:val="18"/>
          <w:lang w:val="es-ES_tradnl"/>
        </w:rPr>
        <w:t xml:space="preserve">limita a solicitar se analice </w:t>
      </w:r>
      <w:r>
        <w:rPr>
          <w:rFonts w:cs="Times New Roman"/>
          <w:spacing w:val="-2"/>
          <w:sz w:val="18"/>
          <w:szCs w:val="18"/>
          <w:lang w:val="es-ES_tradnl"/>
        </w:rPr>
        <w:t>“</w:t>
      </w:r>
      <w:r>
        <w:rPr>
          <w:spacing w:val="-2"/>
          <w:sz w:val="18"/>
          <w:szCs w:val="18"/>
          <w:lang w:val="es-ES_tradnl"/>
        </w:rPr>
        <w:t xml:space="preserve">los errores constitucionales </w:t>
      </w:r>
      <w:r>
        <w:rPr>
          <w:spacing w:val="-4"/>
          <w:sz w:val="18"/>
          <w:szCs w:val="18"/>
          <w:lang w:val="es-ES_tradnl"/>
        </w:rPr>
        <w:t>e ilegalidades que se han cometido en la redacci</w:t>
      </w:r>
      <w:r>
        <w:rPr>
          <w:rFonts w:cs="Times New Roman"/>
          <w:spacing w:val="-4"/>
          <w:sz w:val="18"/>
          <w:szCs w:val="18"/>
          <w:lang w:val="es-ES_tradnl"/>
        </w:rPr>
        <w:t>ó</w:t>
      </w:r>
      <w:r>
        <w:rPr>
          <w:spacing w:val="-4"/>
          <w:sz w:val="18"/>
          <w:szCs w:val="18"/>
          <w:lang w:val="es-ES_tradnl"/>
        </w:rPr>
        <w:t>n y expedici</w:t>
      </w:r>
      <w:r>
        <w:rPr>
          <w:rFonts w:cs="Times New Roman"/>
          <w:spacing w:val="-4"/>
          <w:sz w:val="18"/>
          <w:szCs w:val="18"/>
          <w:lang w:val="es-ES_tradnl"/>
        </w:rPr>
        <w:t>ó</w:t>
      </w:r>
      <w:r>
        <w:rPr>
          <w:spacing w:val="-4"/>
          <w:sz w:val="18"/>
          <w:szCs w:val="18"/>
          <w:lang w:val="es-ES_tradnl"/>
        </w:rPr>
        <w:t>n</w:t>
      </w:r>
      <w:r>
        <w:rPr>
          <w:rFonts w:cs="Times New Roman"/>
          <w:spacing w:val="-4"/>
          <w:sz w:val="18"/>
          <w:szCs w:val="18"/>
          <w:lang w:val="es-ES_tradnl"/>
        </w:rPr>
        <w:t>”</w:t>
      </w:r>
      <w:r>
        <w:rPr>
          <w:spacing w:val="-4"/>
          <w:sz w:val="18"/>
          <w:szCs w:val="18"/>
          <w:lang w:val="es-ES_tradnl"/>
        </w:rPr>
        <w:t xml:space="preserve"> de dicho cuerpo normativo, es necesario </w:t>
      </w:r>
      <w:r>
        <w:rPr>
          <w:spacing w:val="-6"/>
          <w:sz w:val="18"/>
          <w:szCs w:val="18"/>
          <w:lang w:val="es-ES_tradnl"/>
        </w:rPr>
        <w:t xml:space="preserve">determinar si la ordenanza impugnada fue expedida por </w:t>
      </w:r>
      <w:r>
        <w:rPr>
          <w:rFonts w:cs="Times New Roman"/>
          <w:spacing w:val="-5"/>
          <w:sz w:val="18"/>
          <w:szCs w:val="18"/>
          <w:lang w:val="es-ES_tradnl"/>
        </w:rPr>
        <w:t>ó</w:t>
      </w:r>
      <w:r>
        <w:rPr>
          <w:spacing w:val="-5"/>
          <w:sz w:val="18"/>
          <w:szCs w:val="18"/>
          <w:lang w:val="es-ES_tradnl"/>
        </w:rPr>
        <w:t xml:space="preserve">rgano o autoridad competente, y de conformidad con el </w:t>
      </w:r>
      <w:r>
        <w:rPr>
          <w:sz w:val="18"/>
          <w:szCs w:val="18"/>
          <w:lang w:val="es-ES_tradnl"/>
        </w:rPr>
        <w:t>proceso de formaci</w:t>
      </w:r>
      <w:r>
        <w:rPr>
          <w:rFonts w:cs="Times New Roman"/>
          <w:sz w:val="18"/>
          <w:szCs w:val="18"/>
          <w:lang w:val="es-ES_tradnl"/>
        </w:rPr>
        <w:t>ó</w:t>
      </w:r>
      <w:r>
        <w:rPr>
          <w:sz w:val="18"/>
          <w:szCs w:val="18"/>
          <w:lang w:val="es-ES_tradnl"/>
        </w:rPr>
        <w:t>n pertinente.</w:t>
      </w:r>
    </w:p>
    <w:p w14:paraId="4F67A712" w14:textId="77777777" w:rsidR="00591D54" w:rsidRDefault="00591D54">
      <w:pPr>
        <w:shd w:val="clear" w:color="auto" w:fill="FFFFFF"/>
        <w:spacing w:before="192" w:line="216" w:lineRule="exact"/>
        <w:jc w:val="both"/>
      </w:pPr>
      <w:r>
        <w:rPr>
          <w:spacing w:val="-1"/>
          <w:sz w:val="18"/>
          <w:szCs w:val="18"/>
          <w:lang w:val="es-ES_tradnl"/>
        </w:rPr>
        <w:t>La Constituci</w:t>
      </w:r>
      <w:r>
        <w:rPr>
          <w:rFonts w:cs="Times New Roman"/>
          <w:spacing w:val="-1"/>
          <w:sz w:val="18"/>
          <w:szCs w:val="18"/>
          <w:lang w:val="es-ES_tradnl"/>
        </w:rPr>
        <w:t>ó</w:t>
      </w:r>
      <w:r>
        <w:rPr>
          <w:spacing w:val="-1"/>
          <w:sz w:val="18"/>
          <w:szCs w:val="18"/>
          <w:lang w:val="es-ES_tradnl"/>
        </w:rPr>
        <w:t>n de la Rep</w:t>
      </w:r>
      <w:r>
        <w:rPr>
          <w:rFonts w:cs="Times New Roman"/>
          <w:spacing w:val="-1"/>
          <w:sz w:val="18"/>
          <w:szCs w:val="18"/>
          <w:lang w:val="es-ES_tradnl"/>
        </w:rPr>
        <w:t>ú</w:t>
      </w:r>
      <w:r>
        <w:rPr>
          <w:spacing w:val="-1"/>
          <w:sz w:val="18"/>
          <w:szCs w:val="18"/>
          <w:lang w:val="es-ES_tradnl"/>
        </w:rPr>
        <w:t>blica, en su art</w:t>
      </w:r>
      <w:r>
        <w:rPr>
          <w:rFonts w:cs="Times New Roman"/>
          <w:spacing w:val="-1"/>
          <w:sz w:val="18"/>
          <w:szCs w:val="18"/>
          <w:lang w:val="es-ES_tradnl"/>
        </w:rPr>
        <w:t>í</w:t>
      </w:r>
      <w:r>
        <w:rPr>
          <w:spacing w:val="-1"/>
          <w:sz w:val="18"/>
          <w:szCs w:val="18"/>
          <w:lang w:val="es-ES_tradnl"/>
        </w:rPr>
        <w:t xml:space="preserve">culo 240, </w:t>
      </w:r>
      <w:r>
        <w:rPr>
          <w:spacing w:val="-7"/>
          <w:sz w:val="18"/>
          <w:szCs w:val="18"/>
          <w:lang w:val="es-ES_tradnl"/>
        </w:rPr>
        <w:t>otorga a los gobiernos aut</w:t>
      </w:r>
      <w:r>
        <w:rPr>
          <w:rFonts w:cs="Times New Roman"/>
          <w:spacing w:val="-7"/>
          <w:sz w:val="18"/>
          <w:szCs w:val="18"/>
          <w:lang w:val="es-ES_tradnl"/>
        </w:rPr>
        <w:t>ó</w:t>
      </w:r>
      <w:r>
        <w:rPr>
          <w:spacing w:val="-7"/>
          <w:sz w:val="18"/>
          <w:szCs w:val="18"/>
          <w:lang w:val="es-ES_tradnl"/>
        </w:rPr>
        <w:t xml:space="preserve">nomos descentralizados (entre </w:t>
      </w:r>
      <w:r>
        <w:rPr>
          <w:spacing w:val="-5"/>
          <w:sz w:val="18"/>
          <w:szCs w:val="18"/>
          <w:lang w:val="es-ES_tradnl"/>
        </w:rPr>
        <w:t xml:space="preserve">ellos los Gobiernos Municipales) facultad legislativa en el </w:t>
      </w:r>
      <w:r>
        <w:rPr>
          <w:rFonts w:cs="Times New Roman"/>
          <w:spacing w:val="-5"/>
          <w:sz w:val="18"/>
          <w:szCs w:val="18"/>
          <w:lang w:val="es-ES_tradnl"/>
        </w:rPr>
        <w:t>á</w:t>
      </w:r>
      <w:r>
        <w:rPr>
          <w:spacing w:val="-5"/>
          <w:sz w:val="18"/>
          <w:szCs w:val="18"/>
          <w:lang w:val="es-ES_tradnl"/>
        </w:rPr>
        <w:t xml:space="preserve">mbito de sus competencias y jurisdicciones territoriales. </w:t>
      </w:r>
      <w:r>
        <w:rPr>
          <w:spacing w:val="-6"/>
          <w:sz w:val="18"/>
          <w:szCs w:val="18"/>
          <w:lang w:val="es-ES_tradnl"/>
        </w:rPr>
        <w:t>Concordante con esta norma constitucional, el art</w:t>
      </w:r>
      <w:r>
        <w:rPr>
          <w:rFonts w:cs="Times New Roman"/>
          <w:spacing w:val="-6"/>
          <w:sz w:val="18"/>
          <w:szCs w:val="18"/>
          <w:lang w:val="es-ES_tradnl"/>
        </w:rPr>
        <w:t>í</w:t>
      </w:r>
      <w:r>
        <w:rPr>
          <w:spacing w:val="-6"/>
          <w:sz w:val="18"/>
          <w:szCs w:val="18"/>
          <w:lang w:val="es-ES_tradnl"/>
        </w:rPr>
        <w:t xml:space="preserve">culo 57 </w:t>
      </w:r>
      <w:r>
        <w:rPr>
          <w:spacing w:val="-4"/>
          <w:sz w:val="18"/>
          <w:szCs w:val="18"/>
          <w:lang w:val="es-ES_tradnl"/>
        </w:rPr>
        <w:t xml:space="preserve">literal </w:t>
      </w:r>
      <w:r>
        <w:rPr>
          <w:b/>
          <w:bCs/>
          <w:spacing w:val="-4"/>
          <w:sz w:val="18"/>
          <w:szCs w:val="18"/>
          <w:lang w:val="es-ES_tradnl"/>
        </w:rPr>
        <w:t xml:space="preserve">a </w:t>
      </w:r>
      <w:r>
        <w:rPr>
          <w:spacing w:val="-4"/>
          <w:sz w:val="18"/>
          <w:szCs w:val="18"/>
          <w:lang w:val="es-ES_tradnl"/>
        </w:rPr>
        <w:t>del C</w:t>
      </w:r>
      <w:r>
        <w:rPr>
          <w:rFonts w:cs="Times New Roman"/>
          <w:spacing w:val="-4"/>
          <w:sz w:val="18"/>
          <w:szCs w:val="18"/>
          <w:lang w:val="es-ES_tradnl"/>
        </w:rPr>
        <w:t>ó</w:t>
      </w:r>
      <w:r>
        <w:rPr>
          <w:spacing w:val="-4"/>
          <w:sz w:val="18"/>
          <w:szCs w:val="18"/>
          <w:lang w:val="es-ES_tradnl"/>
        </w:rPr>
        <w:t>digo Org</w:t>
      </w:r>
      <w:r>
        <w:rPr>
          <w:rFonts w:cs="Times New Roman"/>
          <w:spacing w:val="-4"/>
          <w:sz w:val="18"/>
          <w:szCs w:val="18"/>
          <w:lang w:val="es-ES_tradnl"/>
        </w:rPr>
        <w:t>á</w:t>
      </w:r>
      <w:r>
        <w:rPr>
          <w:spacing w:val="-4"/>
          <w:sz w:val="18"/>
          <w:szCs w:val="18"/>
          <w:lang w:val="es-ES_tradnl"/>
        </w:rPr>
        <w:t>nico de Organizaci</w:t>
      </w:r>
      <w:r>
        <w:rPr>
          <w:rFonts w:cs="Times New Roman"/>
          <w:spacing w:val="-4"/>
          <w:sz w:val="18"/>
          <w:szCs w:val="18"/>
          <w:lang w:val="es-ES_tradnl"/>
        </w:rPr>
        <w:t>ó</w:t>
      </w:r>
      <w:r>
        <w:rPr>
          <w:spacing w:val="-4"/>
          <w:sz w:val="18"/>
          <w:szCs w:val="18"/>
          <w:lang w:val="es-ES_tradnl"/>
        </w:rPr>
        <w:t xml:space="preserve">n Territorial, </w:t>
      </w:r>
      <w:r>
        <w:rPr>
          <w:spacing w:val="-2"/>
          <w:sz w:val="18"/>
          <w:szCs w:val="18"/>
          <w:lang w:val="es-ES_tradnl"/>
        </w:rPr>
        <w:t>Autonom</w:t>
      </w:r>
      <w:r>
        <w:rPr>
          <w:rFonts w:cs="Times New Roman"/>
          <w:spacing w:val="-2"/>
          <w:sz w:val="18"/>
          <w:szCs w:val="18"/>
          <w:lang w:val="es-ES_tradnl"/>
        </w:rPr>
        <w:t>í</w:t>
      </w:r>
      <w:r>
        <w:rPr>
          <w:spacing w:val="-2"/>
          <w:sz w:val="18"/>
          <w:szCs w:val="18"/>
          <w:lang w:val="es-ES_tradnl"/>
        </w:rPr>
        <w:t>a y Descentralizaci</w:t>
      </w:r>
      <w:r>
        <w:rPr>
          <w:rFonts w:cs="Times New Roman"/>
          <w:spacing w:val="-2"/>
          <w:sz w:val="18"/>
          <w:szCs w:val="18"/>
          <w:lang w:val="es-ES_tradnl"/>
        </w:rPr>
        <w:t>ó</w:t>
      </w:r>
      <w:r>
        <w:rPr>
          <w:spacing w:val="-2"/>
          <w:sz w:val="18"/>
          <w:szCs w:val="18"/>
          <w:lang w:val="es-ES_tradnl"/>
        </w:rPr>
        <w:t xml:space="preserve">n (COOTAD) reconoce </w:t>
      </w:r>
      <w:r>
        <w:rPr>
          <w:spacing w:val="-5"/>
          <w:sz w:val="18"/>
          <w:szCs w:val="18"/>
          <w:lang w:val="es-ES_tradnl"/>
        </w:rPr>
        <w:t>como atribuci</w:t>
      </w:r>
      <w:r>
        <w:rPr>
          <w:rFonts w:cs="Times New Roman"/>
          <w:spacing w:val="-5"/>
          <w:sz w:val="18"/>
          <w:szCs w:val="18"/>
          <w:lang w:val="es-ES_tradnl"/>
        </w:rPr>
        <w:t>ó</w:t>
      </w:r>
      <w:r>
        <w:rPr>
          <w:spacing w:val="-5"/>
          <w:sz w:val="18"/>
          <w:szCs w:val="18"/>
          <w:lang w:val="es-ES_tradnl"/>
        </w:rPr>
        <w:t xml:space="preserve">n de los concejos municipales, el ejercicio </w:t>
      </w:r>
      <w:r>
        <w:rPr>
          <w:spacing w:val="-9"/>
          <w:sz w:val="18"/>
          <w:szCs w:val="18"/>
          <w:lang w:val="es-ES_tradnl"/>
        </w:rPr>
        <w:t xml:space="preserve">de la facultad normativa en las materias de competencia del </w:t>
      </w:r>
      <w:r>
        <w:rPr>
          <w:spacing w:val="-5"/>
          <w:sz w:val="18"/>
          <w:szCs w:val="18"/>
          <w:lang w:val="es-ES_tradnl"/>
        </w:rPr>
        <w:t>gobierno aut</w:t>
      </w:r>
      <w:r>
        <w:rPr>
          <w:rFonts w:cs="Times New Roman"/>
          <w:spacing w:val="-5"/>
          <w:sz w:val="18"/>
          <w:szCs w:val="18"/>
          <w:lang w:val="es-ES_tradnl"/>
        </w:rPr>
        <w:t>ó</w:t>
      </w:r>
      <w:r>
        <w:rPr>
          <w:spacing w:val="-5"/>
          <w:sz w:val="18"/>
          <w:szCs w:val="18"/>
          <w:lang w:val="es-ES_tradnl"/>
        </w:rPr>
        <w:t xml:space="preserve">nomo descentralizado municipal, mediante </w:t>
      </w:r>
      <w:r>
        <w:rPr>
          <w:spacing w:val="-7"/>
          <w:sz w:val="18"/>
          <w:szCs w:val="18"/>
          <w:lang w:val="es-ES_tradnl"/>
        </w:rPr>
        <w:t>la expedici</w:t>
      </w:r>
      <w:r>
        <w:rPr>
          <w:rFonts w:cs="Times New Roman"/>
          <w:spacing w:val="-7"/>
          <w:sz w:val="18"/>
          <w:szCs w:val="18"/>
          <w:lang w:val="es-ES_tradnl"/>
        </w:rPr>
        <w:t>ó</w:t>
      </w:r>
      <w:r>
        <w:rPr>
          <w:spacing w:val="-7"/>
          <w:sz w:val="18"/>
          <w:szCs w:val="18"/>
          <w:lang w:val="es-ES_tradnl"/>
        </w:rPr>
        <w:t xml:space="preserve">n de ordenanzas cantonales, acuerdos y </w:t>
      </w:r>
      <w:r>
        <w:rPr>
          <w:sz w:val="18"/>
          <w:szCs w:val="18"/>
          <w:lang w:val="es-ES_tradnl"/>
        </w:rPr>
        <w:t>resoluciones.</w:t>
      </w:r>
    </w:p>
    <w:p w14:paraId="4F67A713" w14:textId="77777777" w:rsidR="00591D54" w:rsidRDefault="00591D54">
      <w:pPr>
        <w:shd w:val="clear" w:color="auto" w:fill="FFFFFF"/>
        <w:spacing w:before="192" w:line="216" w:lineRule="exact"/>
        <w:jc w:val="both"/>
      </w:pPr>
      <w:r>
        <w:rPr>
          <w:spacing w:val="-4"/>
          <w:sz w:val="18"/>
          <w:szCs w:val="18"/>
          <w:lang w:val="es-ES_tradnl"/>
        </w:rPr>
        <w:t>Si bien la Constituci</w:t>
      </w:r>
      <w:r>
        <w:rPr>
          <w:rFonts w:cs="Times New Roman"/>
          <w:spacing w:val="-4"/>
          <w:sz w:val="18"/>
          <w:szCs w:val="18"/>
          <w:lang w:val="es-ES_tradnl"/>
        </w:rPr>
        <w:t>ó</w:t>
      </w:r>
      <w:r>
        <w:rPr>
          <w:spacing w:val="-4"/>
          <w:sz w:val="18"/>
          <w:szCs w:val="18"/>
          <w:lang w:val="es-ES_tradnl"/>
        </w:rPr>
        <w:t>n de la Rep</w:t>
      </w:r>
      <w:r>
        <w:rPr>
          <w:rFonts w:cs="Times New Roman"/>
          <w:spacing w:val="-4"/>
          <w:sz w:val="18"/>
          <w:szCs w:val="18"/>
          <w:lang w:val="es-ES_tradnl"/>
        </w:rPr>
        <w:t>ú</w:t>
      </w:r>
      <w:r>
        <w:rPr>
          <w:spacing w:val="-4"/>
          <w:sz w:val="18"/>
          <w:szCs w:val="18"/>
          <w:lang w:val="es-ES_tradnl"/>
        </w:rPr>
        <w:t xml:space="preserve">blica no establece el </w:t>
      </w:r>
      <w:r>
        <w:rPr>
          <w:spacing w:val="-10"/>
          <w:sz w:val="18"/>
          <w:szCs w:val="18"/>
          <w:lang w:val="es-ES_tradnl"/>
        </w:rPr>
        <w:t>procedimiento de formaci</w:t>
      </w:r>
      <w:r>
        <w:rPr>
          <w:rFonts w:cs="Times New Roman"/>
          <w:spacing w:val="-10"/>
          <w:sz w:val="18"/>
          <w:szCs w:val="18"/>
          <w:lang w:val="es-ES_tradnl"/>
        </w:rPr>
        <w:t>ó</w:t>
      </w:r>
      <w:r>
        <w:rPr>
          <w:spacing w:val="-10"/>
          <w:sz w:val="18"/>
          <w:szCs w:val="18"/>
          <w:lang w:val="es-ES_tradnl"/>
        </w:rPr>
        <w:t>n y expedici</w:t>
      </w:r>
      <w:r>
        <w:rPr>
          <w:rFonts w:cs="Times New Roman"/>
          <w:spacing w:val="-10"/>
          <w:sz w:val="18"/>
          <w:szCs w:val="18"/>
          <w:lang w:val="es-ES_tradnl"/>
        </w:rPr>
        <w:t>ó</w:t>
      </w:r>
      <w:r>
        <w:rPr>
          <w:spacing w:val="-10"/>
          <w:sz w:val="18"/>
          <w:szCs w:val="18"/>
          <w:lang w:val="es-ES_tradnl"/>
        </w:rPr>
        <w:t xml:space="preserve">n de las ordenanzas </w:t>
      </w:r>
      <w:r>
        <w:rPr>
          <w:spacing w:val="-7"/>
          <w:sz w:val="18"/>
          <w:szCs w:val="18"/>
          <w:lang w:val="es-ES_tradnl"/>
        </w:rPr>
        <w:t>de los gobiernos aut</w:t>
      </w:r>
      <w:r>
        <w:rPr>
          <w:rFonts w:cs="Times New Roman"/>
          <w:spacing w:val="-7"/>
          <w:sz w:val="18"/>
          <w:szCs w:val="18"/>
          <w:lang w:val="es-ES_tradnl"/>
        </w:rPr>
        <w:t>ó</w:t>
      </w:r>
      <w:r>
        <w:rPr>
          <w:spacing w:val="-7"/>
          <w:sz w:val="18"/>
          <w:szCs w:val="18"/>
          <w:lang w:val="es-ES_tradnl"/>
        </w:rPr>
        <w:t xml:space="preserve">nomos descentralizados, en el caso </w:t>
      </w:r>
      <w:r>
        <w:rPr>
          <w:spacing w:val="-5"/>
          <w:sz w:val="18"/>
          <w:szCs w:val="18"/>
          <w:lang w:val="es-ES_tradnl"/>
        </w:rPr>
        <w:t>de la Ordenanza del Sistema de Gesti</w:t>
      </w:r>
      <w:r>
        <w:rPr>
          <w:rFonts w:cs="Times New Roman"/>
          <w:spacing w:val="-5"/>
          <w:sz w:val="18"/>
          <w:szCs w:val="18"/>
          <w:lang w:val="es-ES_tradnl"/>
        </w:rPr>
        <w:t>ó</w:t>
      </w:r>
      <w:r>
        <w:rPr>
          <w:spacing w:val="-5"/>
          <w:sz w:val="18"/>
          <w:szCs w:val="18"/>
          <w:lang w:val="es-ES_tradnl"/>
        </w:rPr>
        <w:t>n y Participaci</w:t>
      </w:r>
      <w:r>
        <w:rPr>
          <w:rFonts w:cs="Times New Roman"/>
          <w:spacing w:val="-5"/>
          <w:sz w:val="18"/>
          <w:szCs w:val="18"/>
          <w:lang w:val="es-ES_tradnl"/>
        </w:rPr>
        <w:t>ó</w:t>
      </w:r>
      <w:r>
        <w:rPr>
          <w:spacing w:val="-5"/>
          <w:sz w:val="18"/>
          <w:szCs w:val="18"/>
          <w:lang w:val="es-ES_tradnl"/>
        </w:rPr>
        <w:t xml:space="preserve">n </w:t>
      </w:r>
      <w:r>
        <w:rPr>
          <w:spacing w:val="-7"/>
          <w:sz w:val="18"/>
          <w:szCs w:val="18"/>
          <w:lang w:val="es-ES_tradnl"/>
        </w:rPr>
        <w:t>Ciudadana del Cant</w:t>
      </w:r>
      <w:r>
        <w:rPr>
          <w:rFonts w:cs="Times New Roman"/>
          <w:spacing w:val="-7"/>
          <w:sz w:val="18"/>
          <w:szCs w:val="18"/>
          <w:lang w:val="es-ES_tradnl"/>
        </w:rPr>
        <w:t>ó</w:t>
      </w:r>
      <w:r>
        <w:rPr>
          <w:spacing w:val="-7"/>
          <w:sz w:val="18"/>
          <w:szCs w:val="18"/>
          <w:lang w:val="es-ES_tradnl"/>
        </w:rPr>
        <w:t>n Rumi</w:t>
      </w:r>
      <w:r>
        <w:rPr>
          <w:rFonts w:cs="Times New Roman"/>
          <w:spacing w:val="-7"/>
          <w:sz w:val="18"/>
          <w:szCs w:val="18"/>
          <w:lang w:val="es-ES_tradnl"/>
        </w:rPr>
        <w:t>ñ</w:t>
      </w:r>
      <w:r>
        <w:rPr>
          <w:spacing w:val="-7"/>
          <w:sz w:val="18"/>
          <w:szCs w:val="18"/>
          <w:lang w:val="es-ES_tradnl"/>
        </w:rPr>
        <w:t>ahui se advierte que para su expedici</w:t>
      </w:r>
      <w:r>
        <w:rPr>
          <w:rFonts w:cs="Times New Roman"/>
          <w:spacing w:val="-7"/>
          <w:sz w:val="18"/>
          <w:szCs w:val="18"/>
          <w:lang w:val="es-ES_tradnl"/>
        </w:rPr>
        <w:t>ó</w:t>
      </w:r>
      <w:r>
        <w:rPr>
          <w:spacing w:val="-7"/>
          <w:sz w:val="18"/>
          <w:szCs w:val="18"/>
          <w:lang w:val="es-ES_tradnl"/>
        </w:rPr>
        <w:t>n se ha observado lo dispuesto en el art</w:t>
      </w:r>
      <w:r>
        <w:rPr>
          <w:rFonts w:cs="Times New Roman"/>
          <w:spacing w:val="-7"/>
          <w:sz w:val="18"/>
          <w:szCs w:val="18"/>
          <w:lang w:val="es-ES_tradnl"/>
        </w:rPr>
        <w:t>í</w:t>
      </w:r>
      <w:r>
        <w:rPr>
          <w:spacing w:val="-7"/>
          <w:sz w:val="18"/>
          <w:szCs w:val="18"/>
          <w:lang w:val="es-ES_tradnl"/>
        </w:rPr>
        <w:t>culo 322 del COOTAD, en lo referente a los procesos de debates y</w:t>
      </w:r>
    </w:p>
    <w:p w14:paraId="4F67A714" w14:textId="77777777" w:rsidR="00591D54" w:rsidRDefault="00591D54">
      <w:pPr>
        <w:shd w:val="clear" w:color="auto" w:fill="FFFFFF"/>
        <w:spacing w:before="192" w:line="216" w:lineRule="exact"/>
        <w:jc w:val="both"/>
        <w:sectPr w:rsidR="00591D54">
          <w:type w:val="continuous"/>
          <w:pgSz w:w="11909" w:h="16834"/>
          <w:pgMar w:top="1359" w:right="1309" w:bottom="360" w:left="1308" w:header="720" w:footer="720" w:gutter="0"/>
          <w:cols w:num="2" w:space="720" w:equalWidth="0">
            <w:col w:w="4305" w:space="682"/>
            <w:col w:w="4305"/>
          </w:cols>
          <w:noEndnote/>
        </w:sectPr>
      </w:pPr>
    </w:p>
    <w:p w14:paraId="4F67A715" w14:textId="77777777" w:rsidR="00591D54" w:rsidRDefault="00591D54">
      <w:pPr>
        <w:shd w:val="clear" w:color="auto" w:fill="FFFFFF"/>
        <w:tabs>
          <w:tab w:val="left" w:pos="595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- 47</w:t>
      </w:r>
    </w:p>
    <w:p w14:paraId="4F67A716" w14:textId="77777777" w:rsidR="00591D54" w:rsidRDefault="00591D54">
      <w:pPr>
        <w:shd w:val="clear" w:color="auto" w:fill="FFFFFF"/>
        <w:tabs>
          <w:tab w:val="left" w:pos="5952"/>
        </w:tabs>
        <w:spacing w:after="230"/>
        <w:ind w:left="5"/>
        <w:sectPr w:rsidR="00591D54">
          <w:pgSz w:w="11909" w:h="16834"/>
          <w:pgMar w:top="1371" w:right="1309" w:bottom="360" w:left="1308" w:header="720" w:footer="720" w:gutter="0"/>
          <w:cols w:space="60"/>
          <w:noEndnote/>
        </w:sectPr>
      </w:pPr>
    </w:p>
    <w:p w14:paraId="4F67A717" w14:textId="77777777" w:rsidR="00591D54" w:rsidRDefault="00591D54">
      <w:pPr>
        <w:shd w:val="clear" w:color="auto" w:fill="FFFFFF"/>
        <w:spacing w:before="5" w:line="216" w:lineRule="exact"/>
        <w:jc w:val="both"/>
      </w:pPr>
      <w:r>
        <w:rPr>
          <w:spacing w:val="-7"/>
          <w:sz w:val="18"/>
          <w:szCs w:val="18"/>
          <w:lang w:val="es-ES_tradnl"/>
        </w:rPr>
        <w:t>la correspondiente sanci</w:t>
      </w:r>
      <w:r>
        <w:rPr>
          <w:rFonts w:cs="Times New Roman"/>
          <w:spacing w:val="-7"/>
          <w:sz w:val="18"/>
          <w:szCs w:val="18"/>
          <w:lang w:val="es-ES_tradnl"/>
        </w:rPr>
        <w:t>ó</w:t>
      </w:r>
      <w:r>
        <w:rPr>
          <w:spacing w:val="-7"/>
          <w:sz w:val="18"/>
          <w:szCs w:val="18"/>
          <w:lang w:val="es-ES_tradnl"/>
        </w:rPr>
        <w:t xml:space="preserve">n, conforme se hace constar en </w:t>
      </w:r>
      <w:r>
        <w:rPr>
          <w:spacing w:val="-6"/>
          <w:sz w:val="18"/>
          <w:szCs w:val="18"/>
          <w:lang w:val="es-ES_tradnl"/>
        </w:rPr>
        <w:t xml:space="preserve">las certificaciones expedidas por el secretario del referido </w:t>
      </w:r>
      <w:r>
        <w:rPr>
          <w:spacing w:val="-5"/>
          <w:sz w:val="18"/>
          <w:szCs w:val="18"/>
          <w:lang w:val="es-ES_tradnl"/>
        </w:rPr>
        <w:t>gobierno municipal, que obran a fojas 82 del proceso.</w:t>
      </w:r>
    </w:p>
    <w:p w14:paraId="4F67A718" w14:textId="77777777" w:rsidR="00591D54" w:rsidRDefault="00591D54">
      <w:pPr>
        <w:shd w:val="clear" w:color="auto" w:fill="FFFFFF"/>
        <w:spacing w:before="197" w:line="221" w:lineRule="exact"/>
        <w:jc w:val="both"/>
      </w:pPr>
      <w:r>
        <w:rPr>
          <w:spacing w:val="-5"/>
          <w:sz w:val="18"/>
          <w:szCs w:val="18"/>
          <w:lang w:val="es-ES_tradnl"/>
        </w:rPr>
        <w:t xml:space="preserve">Por tanto, no existe inconstitucionalidad, por la forma, de </w:t>
      </w:r>
      <w:r>
        <w:rPr>
          <w:spacing w:val="-7"/>
          <w:sz w:val="18"/>
          <w:szCs w:val="18"/>
          <w:lang w:val="es-ES_tradnl"/>
        </w:rPr>
        <w:t>la Ordenanza objeto de la presente acci</w:t>
      </w:r>
      <w:r>
        <w:rPr>
          <w:rFonts w:cs="Times New Roman"/>
          <w:spacing w:val="-7"/>
          <w:sz w:val="18"/>
          <w:szCs w:val="18"/>
          <w:lang w:val="es-ES_tradnl"/>
        </w:rPr>
        <w:t>ó</w:t>
      </w:r>
      <w:r>
        <w:rPr>
          <w:spacing w:val="-7"/>
          <w:sz w:val="18"/>
          <w:szCs w:val="18"/>
          <w:lang w:val="es-ES_tradnl"/>
        </w:rPr>
        <w:t>n constitucional.</w:t>
      </w:r>
    </w:p>
    <w:p w14:paraId="4F67A719" w14:textId="77777777" w:rsidR="00591D54" w:rsidRDefault="00591D54">
      <w:pPr>
        <w:shd w:val="clear" w:color="auto" w:fill="FFFFFF"/>
        <w:spacing w:before="197" w:line="221" w:lineRule="exact"/>
        <w:jc w:val="both"/>
      </w:pPr>
      <w:r>
        <w:rPr>
          <w:b/>
          <w:bCs/>
          <w:spacing w:val="-7"/>
          <w:sz w:val="18"/>
          <w:szCs w:val="18"/>
          <w:lang w:val="es-ES_tradnl"/>
        </w:rPr>
        <w:t>An</w:t>
      </w:r>
      <w:r>
        <w:rPr>
          <w:rFonts w:cs="Times New Roman"/>
          <w:b/>
          <w:bCs/>
          <w:spacing w:val="-7"/>
          <w:sz w:val="18"/>
          <w:szCs w:val="18"/>
          <w:lang w:val="es-ES_tradnl"/>
        </w:rPr>
        <w:t>á</w:t>
      </w:r>
      <w:r>
        <w:rPr>
          <w:b/>
          <w:bCs/>
          <w:spacing w:val="-7"/>
          <w:sz w:val="18"/>
          <w:szCs w:val="18"/>
          <w:lang w:val="es-ES_tradnl"/>
        </w:rPr>
        <w:t xml:space="preserve">lisis material de constitucionalidad de las normas </w:t>
      </w:r>
      <w:r>
        <w:rPr>
          <w:b/>
          <w:bCs/>
          <w:sz w:val="18"/>
          <w:szCs w:val="18"/>
          <w:lang w:val="es-ES_tradnl"/>
        </w:rPr>
        <w:t>jur</w:t>
      </w:r>
      <w:r>
        <w:rPr>
          <w:rFonts w:cs="Times New Roman"/>
          <w:b/>
          <w:bCs/>
          <w:sz w:val="18"/>
          <w:szCs w:val="18"/>
          <w:lang w:val="es-ES_tradnl"/>
        </w:rPr>
        <w:t>í</w:t>
      </w:r>
      <w:r>
        <w:rPr>
          <w:b/>
          <w:bCs/>
          <w:sz w:val="18"/>
          <w:szCs w:val="18"/>
          <w:lang w:val="es-ES_tradnl"/>
        </w:rPr>
        <w:t>dicas impugnadas</w:t>
      </w:r>
    </w:p>
    <w:p w14:paraId="4F67A71A" w14:textId="77777777" w:rsidR="00591D54" w:rsidRDefault="00591D54">
      <w:pPr>
        <w:shd w:val="clear" w:color="auto" w:fill="FFFFFF"/>
        <w:spacing w:before="197" w:line="216" w:lineRule="exact"/>
        <w:jc w:val="both"/>
      </w:pPr>
      <w:r>
        <w:rPr>
          <w:spacing w:val="-7"/>
          <w:sz w:val="18"/>
          <w:szCs w:val="18"/>
          <w:lang w:val="es-ES_tradnl"/>
        </w:rPr>
        <w:t xml:space="preserve">El examen de constitucionalidad material </w:t>
      </w:r>
      <w:r>
        <w:rPr>
          <w:rFonts w:cs="Times New Roman"/>
          <w:spacing w:val="-7"/>
          <w:sz w:val="18"/>
          <w:szCs w:val="18"/>
          <w:lang w:val="es-ES_tradnl"/>
        </w:rPr>
        <w:t>–</w:t>
      </w:r>
      <w:r>
        <w:rPr>
          <w:spacing w:val="-7"/>
          <w:sz w:val="18"/>
          <w:szCs w:val="18"/>
          <w:lang w:val="es-ES_tradnl"/>
        </w:rPr>
        <w:t>o por el fondo</w:t>
      </w:r>
      <w:r>
        <w:rPr>
          <w:rFonts w:cs="Times New Roman"/>
          <w:spacing w:val="-7"/>
          <w:sz w:val="18"/>
          <w:szCs w:val="18"/>
          <w:lang w:val="es-ES_tradnl"/>
        </w:rPr>
        <w:t xml:space="preserve">– </w:t>
      </w:r>
      <w:r>
        <w:rPr>
          <w:spacing w:val="-8"/>
          <w:sz w:val="18"/>
          <w:szCs w:val="18"/>
          <w:lang w:val="es-ES_tradnl"/>
        </w:rPr>
        <w:t>implica la verificaci</w:t>
      </w:r>
      <w:r>
        <w:rPr>
          <w:rFonts w:cs="Times New Roman"/>
          <w:spacing w:val="-8"/>
          <w:sz w:val="18"/>
          <w:szCs w:val="18"/>
          <w:lang w:val="es-ES_tradnl"/>
        </w:rPr>
        <w:t>ó</w:t>
      </w:r>
      <w:r>
        <w:rPr>
          <w:spacing w:val="-8"/>
          <w:sz w:val="18"/>
          <w:szCs w:val="18"/>
          <w:lang w:val="es-ES_tradnl"/>
        </w:rPr>
        <w:t xml:space="preserve">n, por parte de la Corte Constitucional, </w:t>
      </w:r>
      <w:r>
        <w:rPr>
          <w:spacing w:val="-4"/>
          <w:sz w:val="18"/>
          <w:szCs w:val="18"/>
          <w:lang w:val="es-ES_tradnl"/>
        </w:rPr>
        <w:t>respecto de si el contenido de las normas jur</w:t>
      </w:r>
      <w:r>
        <w:rPr>
          <w:rFonts w:cs="Times New Roman"/>
          <w:spacing w:val="-4"/>
          <w:sz w:val="18"/>
          <w:szCs w:val="18"/>
          <w:lang w:val="es-ES_tradnl"/>
        </w:rPr>
        <w:t>í</w:t>
      </w:r>
      <w:r>
        <w:rPr>
          <w:spacing w:val="-4"/>
          <w:sz w:val="18"/>
          <w:szCs w:val="18"/>
          <w:lang w:val="es-ES_tradnl"/>
        </w:rPr>
        <w:t xml:space="preserve">dicas </w:t>
      </w:r>
      <w:r>
        <w:rPr>
          <w:spacing w:val="-9"/>
          <w:sz w:val="18"/>
          <w:szCs w:val="18"/>
          <w:lang w:val="es-ES_tradnl"/>
        </w:rPr>
        <w:t>impugnadas en la presente acci</w:t>
      </w:r>
      <w:r>
        <w:rPr>
          <w:rFonts w:cs="Times New Roman"/>
          <w:spacing w:val="-9"/>
          <w:sz w:val="18"/>
          <w:szCs w:val="18"/>
          <w:lang w:val="es-ES_tradnl"/>
        </w:rPr>
        <w:t>ó</w:t>
      </w:r>
      <w:r>
        <w:rPr>
          <w:spacing w:val="-9"/>
          <w:sz w:val="18"/>
          <w:szCs w:val="18"/>
          <w:lang w:val="es-ES_tradnl"/>
        </w:rPr>
        <w:t>n se halla en contradicci</w:t>
      </w:r>
      <w:r>
        <w:rPr>
          <w:rFonts w:cs="Times New Roman"/>
          <w:spacing w:val="-9"/>
          <w:sz w:val="18"/>
          <w:szCs w:val="18"/>
          <w:lang w:val="es-ES_tradnl"/>
        </w:rPr>
        <w:t>ó</w:t>
      </w:r>
      <w:r>
        <w:rPr>
          <w:spacing w:val="-9"/>
          <w:sz w:val="18"/>
          <w:szCs w:val="18"/>
          <w:lang w:val="es-ES_tradnl"/>
        </w:rPr>
        <w:t xml:space="preserve">n </w:t>
      </w:r>
      <w:r>
        <w:rPr>
          <w:spacing w:val="-5"/>
          <w:sz w:val="18"/>
          <w:szCs w:val="18"/>
          <w:lang w:val="es-ES_tradnl"/>
        </w:rPr>
        <w:t>con las disposiciones previstas en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 xml:space="preserve">blica, a fin de garantizar la vigencia del principio de </w:t>
      </w:r>
      <w:r>
        <w:rPr>
          <w:spacing w:val="-7"/>
          <w:sz w:val="18"/>
          <w:szCs w:val="18"/>
          <w:lang w:val="es-ES_tradnl"/>
        </w:rPr>
        <w:t>supremac</w:t>
      </w:r>
      <w:r>
        <w:rPr>
          <w:rFonts w:cs="Times New Roman"/>
          <w:spacing w:val="-7"/>
          <w:sz w:val="18"/>
          <w:szCs w:val="18"/>
          <w:lang w:val="es-ES_tradnl"/>
        </w:rPr>
        <w:t>í</w:t>
      </w:r>
      <w:r>
        <w:rPr>
          <w:spacing w:val="-7"/>
          <w:sz w:val="18"/>
          <w:szCs w:val="18"/>
          <w:lang w:val="es-ES_tradnl"/>
        </w:rPr>
        <w:t xml:space="preserve">a constitucional, en virtud del cual, se establece </w:t>
      </w:r>
      <w:r>
        <w:rPr>
          <w:spacing w:val="-9"/>
          <w:sz w:val="18"/>
          <w:szCs w:val="18"/>
          <w:lang w:val="es-ES_tradnl"/>
        </w:rPr>
        <w:t>que la Constituci</w:t>
      </w:r>
      <w:r>
        <w:rPr>
          <w:rFonts w:cs="Times New Roman"/>
          <w:spacing w:val="-9"/>
          <w:sz w:val="18"/>
          <w:szCs w:val="18"/>
          <w:lang w:val="es-ES_tradnl"/>
        </w:rPr>
        <w:t>ó</w:t>
      </w:r>
      <w:r>
        <w:rPr>
          <w:spacing w:val="-9"/>
          <w:sz w:val="18"/>
          <w:szCs w:val="18"/>
          <w:lang w:val="es-ES_tradnl"/>
        </w:rPr>
        <w:t xml:space="preserve">n es la norma suprema y prevalece sobre </w:t>
      </w:r>
      <w:r>
        <w:rPr>
          <w:spacing w:val="-4"/>
          <w:sz w:val="18"/>
          <w:szCs w:val="18"/>
          <w:lang w:val="es-ES_tradnl"/>
        </w:rPr>
        <w:t>cualquier otra del ordenamiento jur</w:t>
      </w:r>
      <w:r>
        <w:rPr>
          <w:rFonts w:cs="Times New Roman"/>
          <w:spacing w:val="-4"/>
          <w:sz w:val="18"/>
          <w:szCs w:val="18"/>
          <w:lang w:val="es-ES_tradnl"/>
        </w:rPr>
        <w:t>í</w:t>
      </w:r>
      <w:r>
        <w:rPr>
          <w:spacing w:val="-4"/>
          <w:sz w:val="18"/>
          <w:szCs w:val="18"/>
          <w:lang w:val="es-ES_tradnl"/>
        </w:rPr>
        <w:t xml:space="preserve">dico, conforme lo </w:t>
      </w:r>
      <w:r>
        <w:rPr>
          <w:spacing w:val="-5"/>
          <w:sz w:val="18"/>
          <w:szCs w:val="18"/>
          <w:lang w:val="es-ES_tradnl"/>
        </w:rPr>
        <w:t>se</w:t>
      </w:r>
      <w:r>
        <w:rPr>
          <w:rFonts w:cs="Times New Roman"/>
          <w:spacing w:val="-5"/>
          <w:sz w:val="18"/>
          <w:szCs w:val="18"/>
          <w:lang w:val="es-ES_tradnl"/>
        </w:rPr>
        <w:t>ñ</w:t>
      </w:r>
      <w:r>
        <w:rPr>
          <w:spacing w:val="-5"/>
          <w:sz w:val="18"/>
          <w:szCs w:val="18"/>
          <w:lang w:val="es-ES_tradnl"/>
        </w:rPr>
        <w:t>alado en el art</w:t>
      </w:r>
      <w:r>
        <w:rPr>
          <w:rFonts w:cs="Times New Roman"/>
          <w:spacing w:val="-5"/>
          <w:sz w:val="18"/>
          <w:szCs w:val="18"/>
          <w:lang w:val="es-ES_tradnl"/>
        </w:rPr>
        <w:t>í</w:t>
      </w:r>
      <w:r>
        <w:rPr>
          <w:spacing w:val="-5"/>
          <w:sz w:val="18"/>
          <w:szCs w:val="18"/>
          <w:lang w:val="es-ES_tradnl"/>
        </w:rPr>
        <w:t xml:space="preserve">culo 424 del texto constitucional, pues </w:t>
      </w:r>
      <w:r>
        <w:rPr>
          <w:spacing w:val="-4"/>
          <w:sz w:val="18"/>
          <w:szCs w:val="18"/>
          <w:lang w:val="es-ES_tradnl"/>
        </w:rPr>
        <w:t>si las normas y los actos del poder p</w:t>
      </w:r>
      <w:r>
        <w:rPr>
          <w:rFonts w:cs="Times New Roman"/>
          <w:spacing w:val="-4"/>
          <w:sz w:val="18"/>
          <w:szCs w:val="18"/>
          <w:lang w:val="es-ES_tradnl"/>
        </w:rPr>
        <w:t>ú</w:t>
      </w:r>
      <w:r>
        <w:rPr>
          <w:spacing w:val="-4"/>
          <w:sz w:val="18"/>
          <w:szCs w:val="18"/>
          <w:lang w:val="es-ES_tradnl"/>
        </w:rPr>
        <w:t xml:space="preserve">blico no guardan conformidad con las disposiciones constitucionales, </w:t>
      </w:r>
      <w:r>
        <w:rPr>
          <w:rFonts w:cs="Times New Roman"/>
          <w:sz w:val="18"/>
          <w:szCs w:val="18"/>
          <w:lang w:val="es-ES_tradnl"/>
        </w:rPr>
        <w:t>“</w:t>
      </w:r>
      <w:r>
        <w:rPr>
          <w:sz w:val="18"/>
          <w:szCs w:val="18"/>
          <w:lang w:val="es-ES_tradnl"/>
        </w:rPr>
        <w:t>carecer</w:t>
      </w:r>
      <w:r>
        <w:rPr>
          <w:rFonts w:cs="Times New Roman"/>
          <w:sz w:val="18"/>
          <w:szCs w:val="18"/>
          <w:lang w:val="es-ES_tradnl"/>
        </w:rPr>
        <w:t>á</w:t>
      </w:r>
      <w:r>
        <w:rPr>
          <w:sz w:val="18"/>
          <w:szCs w:val="18"/>
          <w:lang w:val="es-ES_tradnl"/>
        </w:rPr>
        <w:t>n de eficacia jur</w:t>
      </w:r>
      <w:r>
        <w:rPr>
          <w:rFonts w:cs="Times New Roman"/>
          <w:sz w:val="18"/>
          <w:szCs w:val="18"/>
          <w:lang w:val="es-ES_tradnl"/>
        </w:rPr>
        <w:t>í</w:t>
      </w:r>
      <w:r>
        <w:rPr>
          <w:sz w:val="18"/>
          <w:szCs w:val="18"/>
          <w:lang w:val="es-ES_tradnl"/>
        </w:rPr>
        <w:t>dica</w:t>
      </w:r>
      <w:r>
        <w:rPr>
          <w:rFonts w:cs="Times New Roman"/>
          <w:sz w:val="18"/>
          <w:szCs w:val="18"/>
          <w:lang w:val="es-ES_tradnl"/>
        </w:rPr>
        <w:t>”</w:t>
      </w:r>
      <w:r>
        <w:rPr>
          <w:sz w:val="18"/>
          <w:szCs w:val="18"/>
          <w:lang w:val="es-ES_tradnl"/>
        </w:rPr>
        <w:t>.</w:t>
      </w:r>
    </w:p>
    <w:p w14:paraId="4F67A71B" w14:textId="77777777" w:rsidR="00591D54" w:rsidRDefault="00591D54">
      <w:pPr>
        <w:shd w:val="clear" w:color="auto" w:fill="FFFFFF"/>
        <w:spacing w:before="202" w:line="216" w:lineRule="exact"/>
        <w:jc w:val="both"/>
      </w:pPr>
      <w:r>
        <w:rPr>
          <w:spacing w:val="-7"/>
          <w:sz w:val="18"/>
          <w:szCs w:val="18"/>
          <w:lang w:val="es-ES_tradnl"/>
        </w:rPr>
        <w:t>Este principio (de supremac</w:t>
      </w:r>
      <w:r>
        <w:rPr>
          <w:rFonts w:cs="Times New Roman"/>
          <w:spacing w:val="-7"/>
          <w:sz w:val="18"/>
          <w:szCs w:val="18"/>
          <w:lang w:val="es-ES_tradnl"/>
        </w:rPr>
        <w:t>í</w:t>
      </w:r>
      <w:r>
        <w:rPr>
          <w:spacing w:val="-7"/>
          <w:sz w:val="18"/>
          <w:szCs w:val="18"/>
          <w:lang w:val="es-ES_tradnl"/>
        </w:rPr>
        <w:t xml:space="preserve">a constitucional) se desarrolla </w:t>
      </w:r>
      <w:r>
        <w:rPr>
          <w:spacing w:val="-3"/>
          <w:sz w:val="18"/>
          <w:szCs w:val="18"/>
          <w:lang w:val="es-ES_tradnl"/>
        </w:rPr>
        <w:t>y precisa en los art</w:t>
      </w:r>
      <w:r>
        <w:rPr>
          <w:rFonts w:cs="Times New Roman"/>
          <w:spacing w:val="-3"/>
          <w:sz w:val="18"/>
          <w:szCs w:val="18"/>
          <w:lang w:val="es-ES_tradnl"/>
        </w:rPr>
        <w:t>í</w:t>
      </w:r>
      <w:r>
        <w:rPr>
          <w:spacing w:val="-3"/>
          <w:sz w:val="18"/>
          <w:szCs w:val="18"/>
          <w:lang w:val="es-ES_tradnl"/>
        </w:rPr>
        <w:t>culos siguientes; as</w:t>
      </w:r>
      <w:r>
        <w:rPr>
          <w:rFonts w:cs="Times New Roman"/>
          <w:spacing w:val="-3"/>
          <w:sz w:val="18"/>
          <w:szCs w:val="18"/>
          <w:lang w:val="es-ES_tradnl"/>
        </w:rPr>
        <w:t>í</w:t>
      </w:r>
      <w:r>
        <w:rPr>
          <w:spacing w:val="-3"/>
          <w:sz w:val="18"/>
          <w:szCs w:val="18"/>
          <w:lang w:val="es-ES_tradnl"/>
        </w:rPr>
        <w:t>, el art</w:t>
      </w:r>
      <w:r>
        <w:rPr>
          <w:rFonts w:cs="Times New Roman"/>
          <w:spacing w:val="-3"/>
          <w:sz w:val="18"/>
          <w:szCs w:val="18"/>
          <w:lang w:val="es-ES_tradnl"/>
        </w:rPr>
        <w:t>í</w:t>
      </w:r>
      <w:r>
        <w:rPr>
          <w:spacing w:val="-3"/>
          <w:sz w:val="18"/>
          <w:szCs w:val="18"/>
          <w:lang w:val="es-ES_tradnl"/>
        </w:rPr>
        <w:t xml:space="preserve">culo 425 </w:t>
      </w:r>
      <w:r>
        <w:rPr>
          <w:spacing w:val="-5"/>
          <w:sz w:val="18"/>
          <w:szCs w:val="18"/>
          <w:lang w:val="es-ES_tradnl"/>
        </w:rPr>
        <w:t>de la Carta Magna, como primera en el orden jer</w:t>
      </w:r>
      <w:r>
        <w:rPr>
          <w:rFonts w:cs="Times New Roman"/>
          <w:spacing w:val="-5"/>
          <w:sz w:val="18"/>
          <w:szCs w:val="18"/>
          <w:lang w:val="es-ES_tradnl"/>
        </w:rPr>
        <w:t>á</w:t>
      </w:r>
      <w:r>
        <w:rPr>
          <w:spacing w:val="-5"/>
          <w:sz w:val="18"/>
          <w:szCs w:val="18"/>
          <w:lang w:val="es-ES_tradnl"/>
        </w:rPr>
        <w:t xml:space="preserve">rquico </w:t>
      </w:r>
      <w:r>
        <w:rPr>
          <w:spacing w:val="-4"/>
          <w:sz w:val="18"/>
          <w:szCs w:val="18"/>
          <w:lang w:val="es-ES_tradnl"/>
        </w:rPr>
        <w:t>de aplicaci</w:t>
      </w:r>
      <w:r>
        <w:rPr>
          <w:rFonts w:cs="Times New Roman"/>
          <w:spacing w:val="-4"/>
          <w:sz w:val="18"/>
          <w:szCs w:val="18"/>
          <w:lang w:val="es-ES_tradnl"/>
        </w:rPr>
        <w:t>ó</w:t>
      </w:r>
      <w:r>
        <w:rPr>
          <w:spacing w:val="-4"/>
          <w:sz w:val="18"/>
          <w:szCs w:val="18"/>
          <w:lang w:val="es-ES_tradnl"/>
        </w:rPr>
        <w:t>n de las normas jur</w:t>
      </w:r>
      <w:r>
        <w:rPr>
          <w:rFonts w:cs="Times New Roman"/>
          <w:spacing w:val="-4"/>
          <w:sz w:val="18"/>
          <w:szCs w:val="18"/>
          <w:lang w:val="es-ES_tradnl"/>
        </w:rPr>
        <w:t>í</w:t>
      </w:r>
      <w:r>
        <w:rPr>
          <w:spacing w:val="-4"/>
          <w:sz w:val="18"/>
          <w:szCs w:val="18"/>
          <w:lang w:val="es-ES_tradnl"/>
        </w:rPr>
        <w:t xml:space="preserve">dicas, y por su parte, el </w:t>
      </w:r>
      <w:r>
        <w:rPr>
          <w:spacing w:val="-6"/>
          <w:sz w:val="18"/>
          <w:szCs w:val="18"/>
          <w:lang w:val="es-ES_tradnl"/>
        </w:rPr>
        <w:t>art</w:t>
      </w:r>
      <w:r>
        <w:rPr>
          <w:rFonts w:cs="Times New Roman"/>
          <w:spacing w:val="-6"/>
          <w:sz w:val="18"/>
          <w:szCs w:val="18"/>
          <w:lang w:val="es-ES_tradnl"/>
        </w:rPr>
        <w:t>í</w:t>
      </w:r>
      <w:r>
        <w:rPr>
          <w:spacing w:val="-6"/>
          <w:sz w:val="18"/>
          <w:szCs w:val="18"/>
          <w:lang w:val="es-ES_tradnl"/>
        </w:rPr>
        <w:t>culo 426 ib</w:t>
      </w:r>
      <w:r>
        <w:rPr>
          <w:rFonts w:cs="Times New Roman"/>
          <w:spacing w:val="-6"/>
          <w:sz w:val="18"/>
          <w:szCs w:val="18"/>
          <w:lang w:val="es-ES_tradnl"/>
        </w:rPr>
        <w:t>í</w:t>
      </w:r>
      <w:r>
        <w:rPr>
          <w:spacing w:val="-6"/>
          <w:sz w:val="18"/>
          <w:szCs w:val="18"/>
          <w:lang w:val="es-ES_tradnl"/>
        </w:rPr>
        <w:t>dem dispone el sometimiento de todas las personas, autoridades e instituciones a la Constituci</w:t>
      </w:r>
      <w:r>
        <w:rPr>
          <w:rFonts w:cs="Times New Roman"/>
          <w:spacing w:val="-6"/>
          <w:sz w:val="18"/>
          <w:szCs w:val="18"/>
          <w:lang w:val="es-ES_tradnl"/>
        </w:rPr>
        <w:t>ó</w:t>
      </w:r>
      <w:r>
        <w:rPr>
          <w:spacing w:val="-6"/>
          <w:sz w:val="18"/>
          <w:szCs w:val="18"/>
          <w:lang w:val="es-ES_tradnl"/>
        </w:rPr>
        <w:t>n.</w:t>
      </w:r>
    </w:p>
    <w:p w14:paraId="4F67A71C" w14:textId="77777777" w:rsidR="00591D54" w:rsidRDefault="00591D54">
      <w:pPr>
        <w:shd w:val="clear" w:color="auto" w:fill="FFFFFF"/>
        <w:spacing w:before="202" w:line="221" w:lineRule="exact"/>
        <w:jc w:val="both"/>
      </w:pPr>
      <w:r>
        <w:rPr>
          <w:spacing w:val="-6"/>
          <w:sz w:val="18"/>
          <w:szCs w:val="18"/>
          <w:lang w:val="es-ES_tradnl"/>
        </w:rPr>
        <w:t>Por ello, la Corte Constitucional analizar</w:t>
      </w:r>
      <w:r>
        <w:rPr>
          <w:rFonts w:cs="Times New Roman"/>
          <w:spacing w:val="-6"/>
          <w:sz w:val="18"/>
          <w:szCs w:val="18"/>
          <w:lang w:val="es-ES_tradnl"/>
        </w:rPr>
        <w:t>á</w:t>
      </w:r>
      <w:r>
        <w:rPr>
          <w:spacing w:val="-6"/>
          <w:sz w:val="18"/>
          <w:szCs w:val="18"/>
          <w:lang w:val="es-ES_tradnl"/>
        </w:rPr>
        <w:t xml:space="preserve"> el contenido de </w:t>
      </w:r>
      <w:r>
        <w:rPr>
          <w:spacing w:val="-5"/>
          <w:sz w:val="18"/>
          <w:szCs w:val="18"/>
          <w:lang w:val="es-ES_tradnl"/>
        </w:rPr>
        <w:t>cada una de las normas objeto de impugnaci</w:t>
      </w:r>
      <w:r>
        <w:rPr>
          <w:rFonts w:cs="Times New Roman"/>
          <w:spacing w:val="-5"/>
          <w:sz w:val="18"/>
          <w:szCs w:val="18"/>
          <w:lang w:val="es-ES_tradnl"/>
        </w:rPr>
        <w:t>ó</w:t>
      </w:r>
      <w:r>
        <w:rPr>
          <w:spacing w:val="-5"/>
          <w:sz w:val="18"/>
          <w:szCs w:val="18"/>
          <w:lang w:val="es-ES_tradnl"/>
        </w:rPr>
        <w:t xml:space="preserve">n, a fin de </w:t>
      </w:r>
      <w:r>
        <w:rPr>
          <w:spacing w:val="-3"/>
          <w:sz w:val="18"/>
          <w:szCs w:val="18"/>
          <w:lang w:val="es-ES_tradnl"/>
        </w:rPr>
        <w:t xml:space="preserve">determinar si incurren en vicios de inconstitucionalidad </w:t>
      </w:r>
      <w:r>
        <w:rPr>
          <w:spacing w:val="-5"/>
          <w:sz w:val="18"/>
          <w:szCs w:val="18"/>
          <w:lang w:val="es-ES_tradnl"/>
        </w:rPr>
        <w:t>por el fondo, an</w:t>
      </w:r>
      <w:r>
        <w:rPr>
          <w:rFonts w:cs="Times New Roman"/>
          <w:spacing w:val="-5"/>
          <w:sz w:val="18"/>
          <w:szCs w:val="18"/>
          <w:lang w:val="es-ES_tradnl"/>
        </w:rPr>
        <w:t>á</w:t>
      </w:r>
      <w:r>
        <w:rPr>
          <w:spacing w:val="-5"/>
          <w:sz w:val="18"/>
          <w:szCs w:val="18"/>
          <w:lang w:val="es-ES_tradnl"/>
        </w:rPr>
        <w:t>lisis que se efect</w:t>
      </w:r>
      <w:r>
        <w:rPr>
          <w:rFonts w:cs="Times New Roman"/>
          <w:spacing w:val="-5"/>
          <w:sz w:val="18"/>
          <w:szCs w:val="18"/>
          <w:lang w:val="es-ES_tradnl"/>
        </w:rPr>
        <w:t>ú</w:t>
      </w:r>
      <w:r>
        <w:rPr>
          <w:spacing w:val="-5"/>
          <w:sz w:val="18"/>
          <w:szCs w:val="18"/>
          <w:lang w:val="es-ES_tradnl"/>
        </w:rPr>
        <w:t xml:space="preserve">a en los siguientes </w:t>
      </w:r>
      <w:r>
        <w:rPr>
          <w:sz w:val="18"/>
          <w:szCs w:val="18"/>
          <w:lang w:val="es-ES_tradnl"/>
        </w:rPr>
        <w:t>t</w:t>
      </w:r>
      <w:r>
        <w:rPr>
          <w:rFonts w:cs="Times New Roman"/>
          <w:sz w:val="18"/>
          <w:szCs w:val="18"/>
          <w:lang w:val="es-ES_tradnl"/>
        </w:rPr>
        <w:t>é</w:t>
      </w:r>
      <w:r>
        <w:rPr>
          <w:sz w:val="18"/>
          <w:szCs w:val="18"/>
          <w:lang w:val="es-ES_tradnl"/>
        </w:rPr>
        <w:t>rminos:</w:t>
      </w:r>
    </w:p>
    <w:p w14:paraId="4F67A71D" w14:textId="77777777" w:rsidR="00591D54" w:rsidRDefault="00591D54">
      <w:pPr>
        <w:shd w:val="clear" w:color="auto" w:fill="FFFFFF"/>
        <w:spacing w:before="202" w:line="221" w:lineRule="exact"/>
        <w:jc w:val="both"/>
      </w:pPr>
      <w:r>
        <w:rPr>
          <w:spacing w:val="-3"/>
          <w:sz w:val="18"/>
          <w:szCs w:val="18"/>
          <w:lang w:val="es-ES_tradnl"/>
        </w:rPr>
        <w:t>En relaci</w:t>
      </w:r>
      <w:r>
        <w:rPr>
          <w:rFonts w:cs="Times New Roman"/>
          <w:spacing w:val="-3"/>
          <w:sz w:val="18"/>
          <w:szCs w:val="18"/>
          <w:lang w:val="es-ES_tradnl"/>
        </w:rPr>
        <w:t>ó</w:t>
      </w:r>
      <w:r>
        <w:rPr>
          <w:spacing w:val="-3"/>
          <w:sz w:val="18"/>
          <w:szCs w:val="18"/>
          <w:lang w:val="es-ES_tradnl"/>
        </w:rPr>
        <w:t>n al art</w:t>
      </w:r>
      <w:r>
        <w:rPr>
          <w:rFonts w:cs="Times New Roman"/>
          <w:spacing w:val="-3"/>
          <w:sz w:val="18"/>
          <w:szCs w:val="18"/>
          <w:lang w:val="es-ES_tradnl"/>
        </w:rPr>
        <w:t>í</w:t>
      </w:r>
      <w:r>
        <w:rPr>
          <w:spacing w:val="-3"/>
          <w:sz w:val="18"/>
          <w:szCs w:val="18"/>
          <w:lang w:val="es-ES_tradnl"/>
        </w:rPr>
        <w:t xml:space="preserve">culo 7 de la Ordenanza, dicha norma </w:t>
      </w:r>
      <w:r>
        <w:rPr>
          <w:spacing w:val="-6"/>
          <w:sz w:val="18"/>
          <w:szCs w:val="18"/>
          <w:lang w:val="es-ES_tradnl"/>
        </w:rPr>
        <w:t>instituye la Asamblea Cantonal de Gesti</w:t>
      </w:r>
      <w:r>
        <w:rPr>
          <w:rFonts w:cs="Times New Roman"/>
          <w:spacing w:val="-6"/>
          <w:sz w:val="18"/>
          <w:szCs w:val="18"/>
          <w:lang w:val="es-ES_tradnl"/>
        </w:rPr>
        <w:t>ó</w:t>
      </w:r>
      <w:r>
        <w:rPr>
          <w:spacing w:val="-6"/>
          <w:sz w:val="18"/>
          <w:szCs w:val="18"/>
          <w:lang w:val="es-ES_tradnl"/>
        </w:rPr>
        <w:t>n y Participaci</w:t>
      </w:r>
      <w:r>
        <w:rPr>
          <w:rFonts w:cs="Times New Roman"/>
          <w:spacing w:val="-6"/>
          <w:sz w:val="18"/>
          <w:szCs w:val="18"/>
          <w:lang w:val="es-ES_tradnl"/>
        </w:rPr>
        <w:t>ó</w:t>
      </w:r>
      <w:r>
        <w:rPr>
          <w:spacing w:val="-6"/>
          <w:sz w:val="18"/>
          <w:szCs w:val="18"/>
          <w:lang w:val="es-ES_tradnl"/>
        </w:rPr>
        <w:t xml:space="preserve">n </w:t>
      </w:r>
      <w:r>
        <w:rPr>
          <w:spacing w:val="-4"/>
          <w:sz w:val="18"/>
          <w:szCs w:val="18"/>
          <w:lang w:val="es-ES_tradnl"/>
        </w:rPr>
        <w:t>Ciudadana de Rumi</w:t>
      </w:r>
      <w:r>
        <w:rPr>
          <w:rFonts w:cs="Times New Roman"/>
          <w:spacing w:val="-4"/>
          <w:sz w:val="18"/>
          <w:szCs w:val="18"/>
          <w:lang w:val="es-ES_tradnl"/>
        </w:rPr>
        <w:t>ñ</w:t>
      </w:r>
      <w:r>
        <w:rPr>
          <w:spacing w:val="-4"/>
          <w:sz w:val="18"/>
          <w:szCs w:val="18"/>
          <w:lang w:val="es-ES_tradnl"/>
        </w:rPr>
        <w:t>ahui, como m</w:t>
      </w:r>
      <w:r>
        <w:rPr>
          <w:rFonts w:cs="Times New Roman"/>
          <w:spacing w:val="-4"/>
          <w:sz w:val="18"/>
          <w:szCs w:val="18"/>
          <w:lang w:val="es-ES_tradnl"/>
        </w:rPr>
        <w:t>á</w:t>
      </w:r>
      <w:r>
        <w:rPr>
          <w:spacing w:val="-4"/>
          <w:sz w:val="18"/>
          <w:szCs w:val="18"/>
          <w:lang w:val="es-ES_tradnl"/>
        </w:rPr>
        <w:t xml:space="preserve">xima instancia de </w:t>
      </w:r>
      <w:r>
        <w:rPr>
          <w:spacing w:val="-5"/>
          <w:sz w:val="18"/>
          <w:szCs w:val="18"/>
          <w:lang w:val="es-ES_tradnl"/>
        </w:rPr>
        <w:t>participaci</w:t>
      </w:r>
      <w:r>
        <w:rPr>
          <w:rFonts w:cs="Times New Roman"/>
          <w:spacing w:val="-5"/>
          <w:sz w:val="18"/>
          <w:szCs w:val="18"/>
          <w:lang w:val="es-ES_tradnl"/>
        </w:rPr>
        <w:t>ó</w:t>
      </w:r>
      <w:r>
        <w:rPr>
          <w:spacing w:val="-5"/>
          <w:sz w:val="18"/>
          <w:szCs w:val="18"/>
          <w:lang w:val="es-ES_tradnl"/>
        </w:rPr>
        <w:t>n ciudadana de dicho cant</w:t>
      </w:r>
      <w:r>
        <w:rPr>
          <w:rFonts w:cs="Times New Roman"/>
          <w:spacing w:val="-5"/>
          <w:sz w:val="18"/>
          <w:szCs w:val="18"/>
          <w:lang w:val="es-ES_tradnl"/>
        </w:rPr>
        <w:t>ó</w:t>
      </w:r>
      <w:r>
        <w:rPr>
          <w:spacing w:val="-5"/>
          <w:sz w:val="18"/>
          <w:szCs w:val="18"/>
          <w:lang w:val="es-ES_tradnl"/>
        </w:rPr>
        <w:t>n, hecho que es cuestionado por el legitimado activo, por la supuesta exclusi</w:t>
      </w:r>
      <w:r>
        <w:rPr>
          <w:rFonts w:cs="Times New Roman"/>
          <w:spacing w:val="-5"/>
          <w:sz w:val="18"/>
          <w:szCs w:val="18"/>
          <w:lang w:val="es-ES_tradnl"/>
        </w:rPr>
        <w:t>ó</w:t>
      </w:r>
      <w:r>
        <w:rPr>
          <w:spacing w:val="-5"/>
          <w:sz w:val="18"/>
          <w:szCs w:val="18"/>
          <w:lang w:val="es-ES_tradnl"/>
        </w:rPr>
        <w:t>n de los barrios en su conformaci</w:t>
      </w:r>
      <w:r>
        <w:rPr>
          <w:rFonts w:cs="Times New Roman"/>
          <w:spacing w:val="-5"/>
          <w:sz w:val="18"/>
          <w:szCs w:val="18"/>
          <w:lang w:val="es-ES_tradnl"/>
        </w:rPr>
        <w:t>ó</w:t>
      </w:r>
      <w:r>
        <w:rPr>
          <w:spacing w:val="-5"/>
          <w:sz w:val="18"/>
          <w:szCs w:val="18"/>
          <w:lang w:val="es-ES_tradnl"/>
        </w:rPr>
        <w:t>n.</w:t>
      </w:r>
    </w:p>
    <w:p w14:paraId="4F67A71E" w14:textId="77777777" w:rsidR="00591D54" w:rsidRDefault="00591D54">
      <w:pPr>
        <w:shd w:val="clear" w:color="auto" w:fill="FFFFFF"/>
        <w:spacing w:before="202" w:line="216" w:lineRule="exact"/>
        <w:jc w:val="both"/>
      </w:pPr>
      <w:r>
        <w:rPr>
          <w:spacing w:val="-4"/>
          <w:sz w:val="18"/>
          <w:szCs w:val="18"/>
          <w:lang w:val="es-ES_tradnl"/>
        </w:rPr>
        <w:t>La norma impugnada se</w:t>
      </w:r>
      <w:r>
        <w:rPr>
          <w:rFonts w:cs="Times New Roman"/>
          <w:spacing w:val="-4"/>
          <w:sz w:val="18"/>
          <w:szCs w:val="18"/>
          <w:lang w:val="es-ES_tradnl"/>
        </w:rPr>
        <w:t>ñ</w:t>
      </w:r>
      <w:r>
        <w:rPr>
          <w:spacing w:val="-4"/>
          <w:sz w:val="18"/>
          <w:szCs w:val="18"/>
          <w:lang w:val="es-ES_tradnl"/>
        </w:rPr>
        <w:t xml:space="preserve">ala que la Asamblea Cantonal </w:t>
      </w:r>
      <w:r>
        <w:rPr>
          <w:sz w:val="18"/>
          <w:szCs w:val="18"/>
          <w:lang w:val="es-ES_tradnl"/>
        </w:rPr>
        <w:t>de Gesti</w:t>
      </w:r>
      <w:r>
        <w:rPr>
          <w:rFonts w:cs="Times New Roman"/>
          <w:sz w:val="18"/>
          <w:szCs w:val="18"/>
          <w:lang w:val="es-ES_tradnl"/>
        </w:rPr>
        <w:t>ó</w:t>
      </w:r>
      <w:r>
        <w:rPr>
          <w:sz w:val="18"/>
          <w:szCs w:val="18"/>
          <w:lang w:val="es-ES_tradnl"/>
        </w:rPr>
        <w:t>n y Participaci</w:t>
      </w:r>
      <w:r>
        <w:rPr>
          <w:rFonts w:cs="Times New Roman"/>
          <w:sz w:val="18"/>
          <w:szCs w:val="18"/>
          <w:lang w:val="es-ES_tradnl"/>
        </w:rPr>
        <w:t>ó</w:t>
      </w:r>
      <w:r>
        <w:rPr>
          <w:sz w:val="18"/>
          <w:szCs w:val="18"/>
          <w:lang w:val="es-ES_tradnl"/>
        </w:rPr>
        <w:t>n Ciudadana de Rumi</w:t>
      </w:r>
      <w:r>
        <w:rPr>
          <w:rFonts w:cs="Times New Roman"/>
          <w:sz w:val="18"/>
          <w:szCs w:val="18"/>
          <w:lang w:val="es-ES_tradnl"/>
        </w:rPr>
        <w:t>ñ</w:t>
      </w:r>
      <w:r>
        <w:rPr>
          <w:sz w:val="18"/>
          <w:szCs w:val="18"/>
          <w:lang w:val="es-ES_tradnl"/>
        </w:rPr>
        <w:t xml:space="preserve">ahui </w:t>
      </w:r>
      <w:r>
        <w:rPr>
          <w:spacing w:val="-5"/>
          <w:sz w:val="18"/>
          <w:szCs w:val="18"/>
          <w:lang w:val="es-ES_tradnl"/>
        </w:rPr>
        <w:t>se conforma, entre otros, por las y los asamble</w:t>
      </w:r>
      <w:r>
        <w:rPr>
          <w:rFonts w:cs="Times New Roman"/>
          <w:spacing w:val="-5"/>
          <w:sz w:val="18"/>
          <w:szCs w:val="18"/>
          <w:lang w:val="es-ES_tradnl"/>
        </w:rPr>
        <w:t>í</w:t>
      </w:r>
      <w:r>
        <w:rPr>
          <w:spacing w:val="-5"/>
          <w:sz w:val="18"/>
          <w:szCs w:val="18"/>
          <w:lang w:val="es-ES_tradnl"/>
        </w:rPr>
        <w:t xml:space="preserve">stas </w:t>
      </w:r>
      <w:r>
        <w:rPr>
          <w:spacing w:val="-8"/>
          <w:sz w:val="18"/>
          <w:szCs w:val="18"/>
          <w:lang w:val="es-ES_tradnl"/>
        </w:rPr>
        <w:t>acreditados de las asambleas de base territorial y tem</w:t>
      </w:r>
      <w:r>
        <w:rPr>
          <w:rFonts w:cs="Times New Roman"/>
          <w:spacing w:val="-8"/>
          <w:sz w:val="18"/>
          <w:szCs w:val="18"/>
          <w:lang w:val="es-ES_tradnl"/>
        </w:rPr>
        <w:t>á</w:t>
      </w:r>
      <w:r>
        <w:rPr>
          <w:spacing w:val="-8"/>
          <w:sz w:val="18"/>
          <w:szCs w:val="18"/>
          <w:lang w:val="es-ES_tradnl"/>
        </w:rPr>
        <w:t xml:space="preserve">tica </w:t>
      </w:r>
      <w:r>
        <w:rPr>
          <w:spacing w:val="-3"/>
          <w:sz w:val="18"/>
          <w:szCs w:val="18"/>
          <w:lang w:val="es-ES_tradnl"/>
        </w:rPr>
        <w:t>urbanas y rurales, lo que exige la participaci</w:t>
      </w:r>
      <w:r>
        <w:rPr>
          <w:rFonts w:cs="Times New Roman"/>
          <w:spacing w:val="-3"/>
          <w:sz w:val="18"/>
          <w:szCs w:val="18"/>
          <w:lang w:val="es-ES_tradnl"/>
        </w:rPr>
        <w:t>ó</w:t>
      </w:r>
      <w:r>
        <w:rPr>
          <w:spacing w:val="-3"/>
          <w:sz w:val="18"/>
          <w:szCs w:val="18"/>
          <w:lang w:val="es-ES_tradnl"/>
        </w:rPr>
        <w:t xml:space="preserve">n de las y </w:t>
      </w:r>
      <w:r>
        <w:rPr>
          <w:spacing w:val="-7"/>
          <w:sz w:val="18"/>
          <w:szCs w:val="18"/>
          <w:lang w:val="es-ES_tradnl"/>
        </w:rPr>
        <w:t xml:space="preserve">los ciudadanos organizados en los barrios, comunidades, </w:t>
      </w:r>
      <w:r>
        <w:rPr>
          <w:spacing w:val="-6"/>
          <w:sz w:val="18"/>
          <w:szCs w:val="18"/>
          <w:lang w:val="es-ES_tradnl"/>
        </w:rPr>
        <w:t>comunas, recintos, y cualquier otra forma de participaci</w:t>
      </w:r>
      <w:r>
        <w:rPr>
          <w:rFonts w:cs="Times New Roman"/>
          <w:spacing w:val="-6"/>
          <w:sz w:val="18"/>
          <w:szCs w:val="18"/>
          <w:lang w:val="es-ES_tradnl"/>
        </w:rPr>
        <w:t>ó</w:t>
      </w:r>
      <w:r>
        <w:rPr>
          <w:spacing w:val="-6"/>
          <w:sz w:val="18"/>
          <w:szCs w:val="18"/>
          <w:lang w:val="es-ES_tradnl"/>
        </w:rPr>
        <w:t xml:space="preserve">n </w:t>
      </w:r>
      <w:r>
        <w:rPr>
          <w:spacing w:val="-5"/>
          <w:sz w:val="18"/>
          <w:szCs w:val="18"/>
          <w:lang w:val="es-ES_tradnl"/>
        </w:rPr>
        <w:t>ciudadana, en los t</w:t>
      </w:r>
      <w:r>
        <w:rPr>
          <w:rFonts w:cs="Times New Roman"/>
          <w:spacing w:val="-5"/>
          <w:sz w:val="18"/>
          <w:szCs w:val="18"/>
          <w:lang w:val="es-ES_tradnl"/>
        </w:rPr>
        <w:t>é</w:t>
      </w:r>
      <w:r>
        <w:rPr>
          <w:spacing w:val="-5"/>
          <w:sz w:val="18"/>
          <w:szCs w:val="18"/>
          <w:lang w:val="es-ES_tradnl"/>
        </w:rPr>
        <w:t>rminos que prev</w:t>
      </w:r>
      <w:r>
        <w:rPr>
          <w:rFonts w:cs="Times New Roman"/>
          <w:spacing w:val="-5"/>
          <w:sz w:val="18"/>
          <w:szCs w:val="18"/>
          <w:lang w:val="es-ES_tradnl"/>
        </w:rPr>
        <w:t>é</w:t>
      </w:r>
      <w:r>
        <w:rPr>
          <w:spacing w:val="-5"/>
          <w:sz w:val="18"/>
          <w:szCs w:val="18"/>
          <w:lang w:val="es-ES_tradnl"/>
        </w:rPr>
        <w:t xml:space="preserve"> el art</w:t>
      </w:r>
      <w:r>
        <w:rPr>
          <w:rFonts w:cs="Times New Roman"/>
          <w:spacing w:val="-5"/>
          <w:sz w:val="18"/>
          <w:szCs w:val="18"/>
          <w:lang w:val="es-ES_tradnl"/>
        </w:rPr>
        <w:t>í</w:t>
      </w:r>
      <w:r>
        <w:rPr>
          <w:spacing w:val="-5"/>
          <w:sz w:val="18"/>
          <w:szCs w:val="18"/>
          <w:lang w:val="es-ES_tradnl"/>
        </w:rPr>
        <w:t xml:space="preserve">culo 302 del </w:t>
      </w:r>
      <w:r>
        <w:rPr>
          <w:sz w:val="18"/>
          <w:szCs w:val="18"/>
          <w:lang w:val="es-ES_tradnl"/>
        </w:rPr>
        <w:t>COOTAD.</w:t>
      </w:r>
    </w:p>
    <w:p w14:paraId="4F67A71F" w14:textId="77777777" w:rsidR="00591D54" w:rsidRDefault="00591D54">
      <w:pPr>
        <w:shd w:val="clear" w:color="auto" w:fill="FFFFFF"/>
        <w:spacing w:before="202" w:line="216" w:lineRule="exact"/>
        <w:jc w:val="both"/>
      </w:pPr>
      <w:r>
        <w:rPr>
          <w:spacing w:val="-5"/>
          <w:sz w:val="18"/>
          <w:szCs w:val="18"/>
          <w:lang w:val="es-ES_tradnl"/>
        </w:rPr>
        <w:t xml:space="preserve">Por tanto, deviene en improcedente el cargo de </w:t>
      </w:r>
      <w:r>
        <w:rPr>
          <w:spacing w:val="-7"/>
          <w:sz w:val="18"/>
          <w:szCs w:val="18"/>
          <w:lang w:val="es-ES_tradnl"/>
        </w:rPr>
        <w:t>inconstitucionalidad que formula el accionante, m</w:t>
      </w:r>
      <w:r>
        <w:rPr>
          <w:rFonts w:cs="Times New Roman"/>
          <w:spacing w:val="-7"/>
          <w:sz w:val="18"/>
          <w:szCs w:val="18"/>
          <w:lang w:val="es-ES_tradnl"/>
        </w:rPr>
        <w:t>á</w:t>
      </w:r>
      <w:r>
        <w:rPr>
          <w:spacing w:val="-7"/>
          <w:sz w:val="18"/>
          <w:szCs w:val="18"/>
          <w:lang w:val="es-ES_tradnl"/>
        </w:rPr>
        <w:t>s a</w:t>
      </w:r>
      <w:r>
        <w:rPr>
          <w:rFonts w:cs="Times New Roman"/>
          <w:spacing w:val="-7"/>
          <w:sz w:val="18"/>
          <w:szCs w:val="18"/>
          <w:lang w:val="es-ES_tradnl"/>
        </w:rPr>
        <w:t>ú</w:t>
      </w:r>
      <w:r>
        <w:rPr>
          <w:spacing w:val="-7"/>
          <w:sz w:val="18"/>
          <w:szCs w:val="18"/>
          <w:lang w:val="es-ES_tradnl"/>
        </w:rPr>
        <w:t>n si en su libelo no identifica qu</w:t>
      </w:r>
      <w:r>
        <w:rPr>
          <w:rFonts w:cs="Times New Roman"/>
          <w:spacing w:val="-7"/>
          <w:sz w:val="18"/>
          <w:szCs w:val="18"/>
          <w:lang w:val="es-ES_tradnl"/>
        </w:rPr>
        <w:t>é</w:t>
      </w:r>
      <w:r>
        <w:rPr>
          <w:spacing w:val="-7"/>
          <w:sz w:val="18"/>
          <w:szCs w:val="18"/>
          <w:lang w:val="es-ES_tradnl"/>
        </w:rPr>
        <w:t xml:space="preserve"> norma constitucional ha sido </w:t>
      </w:r>
      <w:r>
        <w:rPr>
          <w:spacing w:val="-4"/>
          <w:sz w:val="18"/>
          <w:szCs w:val="18"/>
          <w:lang w:val="es-ES_tradnl"/>
        </w:rPr>
        <w:t xml:space="preserve">presuntamente transgredida, y por el contrario, imputa a </w:t>
      </w:r>
      <w:r>
        <w:rPr>
          <w:spacing w:val="-7"/>
          <w:sz w:val="18"/>
          <w:szCs w:val="18"/>
          <w:lang w:val="es-ES_tradnl"/>
        </w:rPr>
        <w:t>la norma cuestionada la presunta contradicci</w:t>
      </w:r>
      <w:r>
        <w:rPr>
          <w:rFonts w:cs="Times New Roman"/>
          <w:spacing w:val="-7"/>
          <w:sz w:val="18"/>
          <w:szCs w:val="18"/>
          <w:lang w:val="es-ES_tradnl"/>
        </w:rPr>
        <w:t>ó</w:t>
      </w:r>
      <w:r>
        <w:rPr>
          <w:spacing w:val="-7"/>
          <w:sz w:val="18"/>
          <w:szCs w:val="18"/>
          <w:lang w:val="es-ES_tradnl"/>
        </w:rPr>
        <w:t xml:space="preserve">n con varias </w:t>
      </w:r>
      <w:r>
        <w:rPr>
          <w:spacing w:val="-4"/>
          <w:sz w:val="18"/>
          <w:szCs w:val="18"/>
          <w:lang w:val="es-ES_tradnl"/>
        </w:rPr>
        <w:t>disposiciones legales (Ley Org</w:t>
      </w:r>
      <w:r>
        <w:rPr>
          <w:rFonts w:cs="Times New Roman"/>
          <w:spacing w:val="-4"/>
          <w:sz w:val="18"/>
          <w:szCs w:val="18"/>
          <w:lang w:val="es-ES_tradnl"/>
        </w:rPr>
        <w:t>á</w:t>
      </w:r>
      <w:r>
        <w:rPr>
          <w:spacing w:val="-4"/>
          <w:sz w:val="18"/>
          <w:szCs w:val="18"/>
          <w:lang w:val="es-ES_tradnl"/>
        </w:rPr>
        <w:t>nica de Participaci</w:t>
      </w:r>
      <w:r>
        <w:rPr>
          <w:rFonts w:cs="Times New Roman"/>
          <w:spacing w:val="-4"/>
          <w:sz w:val="18"/>
          <w:szCs w:val="18"/>
          <w:lang w:val="es-ES_tradnl"/>
        </w:rPr>
        <w:t>ó</w:t>
      </w:r>
      <w:r>
        <w:rPr>
          <w:spacing w:val="-4"/>
          <w:sz w:val="18"/>
          <w:szCs w:val="18"/>
          <w:lang w:val="es-ES_tradnl"/>
        </w:rPr>
        <w:t xml:space="preserve">n </w:t>
      </w:r>
      <w:r>
        <w:rPr>
          <w:spacing w:val="-7"/>
          <w:sz w:val="18"/>
          <w:szCs w:val="18"/>
          <w:lang w:val="es-ES_tradnl"/>
        </w:rPr>
        <w:t>Ciudadana y C</w:t>
      </w:r>
      <w:r>
        <w:rPr>
          <w:rFonts w:cs="Times New Roman"/>
          <w:spacing w:val="-7"/>
          <w:sz w:val="18"/>
          <w:szCs w:val="18"/>
          <w:lang w:val="es-ES_tradnl"/>
        </w:rPr>
        <w:t>ó</w:t>
      </w:r>
      <w:r>
        <w:rPr>
          <w:spacing w:val="-7"/>
          <w:sz w:val="18"/>
          <w:szCs w:val="18"/>
          <w:lang w:val="es-ES_tradnl"/>
        </w:rPr>
        <w:t>digo Org</w:t>
      </w:r>
      <w:r>
        <w:rPr>
          <w:rFonts w:cs="Times New Roman"/>
          <w:spacing w:val="-7"/>
          <w:sz w:val="18"/>
          <w:szCs w:val="18"/>
          <w:lang w:val="es-ES_tradnl"/>
        </w:rPr>
        <w:t>á</w:t>
      </w:r>
      <w:r>
        <w:rPr>
          <w:spacing w:val="-7"/>
          <w:sz w:val="18"/>
          <w:szCs w:val="18"/>
          <w:lang w:val="es-ES_tradnl"/>
        </w:rPr>
        <w:t>nico de Organizaci</w:t>
      </w:r>
      <w:r>
        <w:rPr>
          <w:rFonts w:cs="Times New Roman"/>
          <w:spacing w:val="-7"/>
          <w:sz w:val="18"/>
          <w:szCs w:val="18"/>
          <w:lang w:val="es-ES_tradnl"/>
        </w:rPr>
        <w:t>ó</w:t>
      </w:r>
      <w:r>
        <w:rPr>
          <w:spacing w:val="-7"/>
          <w:sz w:val="18"/>
          <w:szCs w:val="18"/>
          <w:lang w:val="es-ES_tradnl"/>
        </w:rPr>
        <w:t xml:space="preserve">n Territorial, </w:t>
      </w:r>
      <w:r>
        <w:rPr>
          <w:spacing w:val="-5"/>
          <w:sz w:val="18"/>
          <w:szCs w:val="18"/>
          <w:lang w:val="es-ES_tradnl"/>
        </w:rPr>
        <w:t>Autonom</w:t>
      </w:r>
      <w:r>
        <w:rPr>
          <w:rFonts w:cs="Times New Roman"/>
          <w:spacing w:val="-5"/>
          <w:sz w:val="18"/>
          <w:szCs w:val="18"/>
          <w:lang w:val="es-ES_tradnl"/>
        </w:rPr>
        <w:t>í</w:t>
      </w:r>
      <w:r>
        <w:rPr>
          <w:spacing w:val="-5"/>
          <w:sz w:val="18"/>
          <w:szCs w:val="18"/>
          <w:lang w:val="es-ES_tradnl"/>
        </w:rPr>
        <w:t>a y Descentralizaci</w:t>
      </w:r>
      <w:r>
        <w:rPr>
          <w:rFonts w:cs="Times New Roman"/>
          <w:spacing w:val="-5"/>
          <w:sz w:val="18"/>
          <w:szCs w:val="18"/>
          <w:lang w:val="es-ES_tradnl"/>
        </w:rPr>
        <w:t>ó</w:t>
      </w:r>
      <w:r>
        <w:rPr>
          <w:spacing w:val="-5"/>
          <w:sz w:val="18"/>
          <w:szCs w:val="18"/>
          <w:lang w:val="es-ES_tradnl"/>
        </w:rPr>
        <w:t>n), supuesto que no puede</w:t>
      </w:r>
    </w:p>
    <w:p w14:paraId="4F67A720" w14:textId="77777777" w:rsidR="00591D54" w:rsidRDefault="00591D54">
      <w:pPr>
        <w:shd w:val="clear" w:color="auto" w:fill="FFFFFF"/>
        <w:spacing w:line="221" w:lineRule="exact"/>
        <w:jc w:val="both"/>
      </w:pPr>
      <w:r>
        <w:br w:type="column"/>
      </w:r>
      <w:r>
        <w:rPr>
          <w:spacing w:val="-4"/>
          <w:sz w:val="18"/>
          <w:szCs w:val="18"/>
          <w:lang w:val="es-ES_tradnl"/>
        </w:rPr>
        <w:t xml:space="preserve">ser materia de pronunciamiento por parte de la Corte </w:t>
      </w:r>
      <w:r>
        <w:rPr>
          <w:spacing w:val="-3"/>
          <w:sz w:val="18"/>
          <w:szCs w:val="18"/>
          <w:lang w:val="es-ES_tradnl"/>
        </w:rPr>
        <w:t>Constitucional, pues no es ese el objeto de la acci</w:t>
      </w:r>
      <w:r>
        <w:rPr>
          <w:rFonts w:cs="Times New Roman"/>
          <w:spacing w:val="-3"/>
          <w:sz w:val="18"/>
          <w:szCs w:val="18"/>
          <w:lang w:val="es-ES_tradnl"/>
        </w:rPr>
        <w:t>ó</w:t>
      </w:r>
      <w:r>
        <w:rPr>
          <w:spacing w:val="-3"/>
          <w:sz w:val="18"/>
          <w:szCs w:val="18"/>
          <w:lang w:val="es-ES_tradnl"/>
        </w:rPr>
        <w:t xml:space="preserve">n </w:t>
      </w:r>
      <w:r>
        <w:rPr>
          <w:sz w:val="18"/>
          <w:szCs w:val="18"/>
          <w:lang w:val="es-ES_tradnl"/>
        </w:rPr>
        <w:t>p</w:t>
      </w:r>
      <w:r>
        <w:rPr>
          <w:rFonts w:cs="Times New Roman"/>
          <w:sz w:val="18"/>
          <w:szCs w:val="18"/>
          <w:lang w:val="es-ES_tradnl"/>
        </w:rPr>
        <w:t>ú</w:t>
      </w:r>
      <w:r>
        <w:rPr>
          <w:sz w:val="18"/>
          <w:szCs w:val="18"/>
          <w:lang w:val="es-ES_tradnl"/>
        </w:rPr>
        <w:t>blica de inconstitucionalidad.</w:t>
      </w:r>
    </w:p>
    <w:p w14:paraId="4F67A721" w14:textId="77777777" w:rsidR="00591D54" w:rsidRDefault="00591D54">
      <w:pPr>
        <w:shd w:val="clear" w:color="auto" w:fill="FFFFFF"/>
        <w:spacing w:before="202" w:line="216" w:lineRule="exact"/>
        <w:jc w:val="both"/>
      </w:pPr>
      <w:r>
        <w:rPr>
          <w:spacing w:val="-4"/>
          <w:sz w:val="18"/>
          <w:szCs w:val="18"/>
          <w:lang w:val="es-ES_tradnl"/>
        </w:rPr>
        <w:t>En relaci</w:t>
      </w:r>
      <w:r>
        <w:rPr>
          <w:rFonts w:cs="Times New Roman"/>
          <w:spacing w:val="-4"/>
          <w:sz w:val="18"/>
          <w:szCs w:val="18"/>
          <w:lang w:val="es-ES_tradnl"/>
        </w:rPr>
        <w:t>ó</w:t>
      </w:r>
      <w:r>
        <w:rPr>
          <w:spacing w:val="-4"/>
          <w:sz w:val="18"/>
          <w:szCs w:val="18"/>
          <w:lang w:val="es-ES_tradnl"/>
        </w:rPr>
        <w:t>n al art</w:t>
      </w:r>
      <w:r>
        <w:rPr>
          <w:rFonts w:cs="Times New Roman"/>
          <w:spacing w:val="-4"/>
          <w:sz w:val="18"/>
          <w:szCs w:val="18"/>
          <w:lang w:val="es-ES_tradnl"/>
        </w:rPr>
        <w:t>í</w:t>
      </w:r>
      <w:r>
        <w:rPr>
          <w:spacing w:val="-4"/>
          <w:sz w:val="18"/>
          <w:szCs w:val="18"/>
          <w:lang w:val="es-ES_tradnl"/>
        </w:rPr>
        <w:t xml:space="preserve">culo 9 de la ordenanza impugnada, la </w:t>
      </w:r>
      <w:r>
        <w:rPr>
          <w:spacing w:val="-6"/>
          <w:sz w:val="18"/>
          <w:szCs w:val="18"/>
          <w:lang w:val="es-ES_tradnl"/>
        </w:rPr>
        <w:t>norma establece la conformaci</w:t>
      </w:r>
      <w:r>
        <w:rPr>
          <w:rFonts w:cs="Times New Roman"/>
          <w:spacing w:val="-6"/>
          <w:sz w:val="18"/>
          <w:szCs w:val="18"/>
          <w:lang w:val="es-ES_tradnl"/>
        </w:rPr>
        <w:t>ó</w:t>
      </w:r>
      <w:r>
        <w:rPr>
          <w:spacing w:val="-6"/>
          <w:sz w:val="18"/>
          <w:szCs w:val="18"/>
          <w:lang w:val="es-ES_tradnl"/>
        </w:rPr>
        <w:t>n de un Comit</w:t>
      </w:r>
      <w:r>
        <w:rPr>
          <w:rFonts w:cs="Times New Roman"/>
          <w:spacing w:val="-6"/>
          <w:sz w:val="18"/>
          <w:szCs w:val="18"/>
          <w:lang w:val="es-ES_tradnl"/>
        </w:rPr>
        <w:t>é</w:t>
      </w:r>
      <w:r>
        <w:rPr>
          <w:spacing w:val="-6"/>
          <w:sz w:val="18"/>
          <w:szCs w:val="18"/>
          <w:lang w:val="es-ES_tradnl"/>
        </w:rPr>
        <w:t xml:space="preserve"> Cantonal </w:t>
      </w:r>
      <w:r>
        <w:rPr>
          <w:spacing w:val="-4"/>
          <w:sz w:val="18"/>
          <w:szCs w:val="18"/>
          <w:lang w:val="es-ES_tradnl"/>
        </w:rPr>
        <w:t>de Gesti</w:t>
      </w:r>
      <w:r>
        <w:rPr>
          <w:rFonts w:cs="Times New Roman"/>
          <w:spacing w:val="-4"/>
          <w:sz w:val="18"/>
          <w:szCs w:val="18"/>
          <w:lang w:val="es-ES_tradnl"/>
        </w:rPr>
        <w:t>ó</w:t>
      </w:r>
      <w:r>
        <w:rPr>
          <w:spacing w:val="-4"/>
          <w:sz w:val="18"/>
          <w:szCs w:val="18"/>
          <w:lang w:val="es-ES_tradnl"/>
        </w:rPr>
        <w:t>n y Participaci</w:t>
      </w:r>
      <w:r>
        <w:rPr>
          <w:rFonts w:cs="Times New Roman"/>
          <w:spacing w:val="-4"/>
          <w:sz w:val="18"/>
          <w:szCs w:val="18"/>
          <w:lang w:val="es-ES_tradnl"/>
        </w:rPr>
        <w:t>ó</w:t>
      </w:r>
      <w:r>
        <w:rPr>
          <w:spacing w:val="-4"/>
          <w:sz w:val="18"/>
          <w:szCs w:val="18"/>
          <w:lang w:val="es-ES_tradnl"/>
        </w:rPr>
        <w:t xml:space="preserve">n Ciudadana, integrada por </w:t>
      </w:r>
      <w:r>
        <w:rPr>
          <w:spacing w:val="-7"/>
          <w:sz w:val="18"/>
          <w:szCs w:val="18"/>
          <w:lang w:val="es-ES_tradnl"/>
        </w:rPr>
        <w:t xml:space="preserve">delegados y/o delegados de, entre otros sectores, de las </w:t>
      </w:r>
      <w:r>
        <w:rPr>
          <w:spacing w:val="-8"/>
          <w:sz w:val="18"/>
          <w:szCs w:val="18"/>
          <w:lang w:val="es-ES_tradnl"/>
        </w:rPr>
        <w:t>organizaciones ind</w:t>
      </w:r>
      <w:r>
        <w:rPr>
          <w:rFonts w:cs="Times New Roman"/>
          <w:spacing w:val="-8"/>
          <w:sz w:val="18"/>
          <w:szCs w:val="18"/>
          <w:lang w:val="es-ES_tradnl"/>
        </w:rPr>
        <w:t>í</w:t>
      </w:r>
      <w:r>
        <w:rPr>
          <w:spacing w:val="-8"/>
          <w:sz w:val="18"/>
          <w:szCs w:val="18"/>
          <w:lang w:val="es-ES_tradnl"/>
        </w:rPr>
        <w:t>genas o afrodescendientes de car</w:t>
      </w:r>
      <w:r>
        <w:rPr>
          <w:rFonts w:cs="Times New Roman"/>
          <w:spacing w:val="-8"/>
          <w:sz w:val="18"/>
          <w:szCs w:val="18"/>
          <w:lang w:val="es-ES_tradnl"/>
        </w:rPr>
        <w:t>á</w:t>
      </w:r>
      <w:r>
        <w:rPr>
          <w:spacing w:val="-8"/>
          <w:sz w:val="18"/>
          <w:szCs w:val="18"/>
          <w:lang w:val="es-ES_tradnl"/>
        </w:rPr>
        <w:t xml:space="preserve">cter </w:t>
      </w:r>
      <w:r>
        <w:rPr>
          <w:spacing w:val="-2"/>
          <w:sz w:val="18"/>
          <w:szCs w:val="18"/>
          <w:lang w:val="es-ES_tradnl"/>
        </w:rPr>
        <w:t xml:space="preserve">cantonal. A decir del accionante, con dicha norma </w:t>
      </w:r>
      <w:r>
        <w:rPr>
          <w:rFonts w:cs="Times New Roman"/>
          <w:spacing w:val="-4"/>
          <w:sz w:val="18"/>
          <w:szCs w:val="18"/>
          <w:lang w:val="es-ES_tradnl"/>
        </w:rPr>
        <w:t>“</w:t>
      </w:r>
      <w:r>
        <w:rPr>
          <w:spacing w:val="-4"/>
          <w:sz w:val="18"/>
          <w:szCs w:val="18"/>
          <w:lang w:val="es-ES_tradnl"/>
        </w:rPr>
        <w:t>sutilmente se fomenta el racismo y la segregaci</w:t>
      </w:r>
      <w:r>
        <w:rPr>
          <w:rFonts w:cs="Times New Roman"/>
          <w:spacing w:val="-4"/>
          <w:sz w:val="18"/>
          <w:szCs w:val="18"/>
          <w:lang w:val="es-ES_tradnl"/>
        </w:rPr>
        <w:t>ó</w:t>
      </w:r>
      <w:r>
        <w:rPr>
          <w:spacing w:val="-4"/>
          <w:sz w:val="18"/>
          <w:szCs w:val="18"/>
          <w:lang w:val="es-ES_tradnl"/>
        </w:rPr>
        <w:t>n</w:t>
      </w:r>
      <w:r>
        <w:rPr>
          <w:rFonts w:cs="Times New Roman"/>
          <w:spacing w:val="-4"/>
          <w:sz w:val="18"/>
          <w:szCs w:val="18"/>
          <w:lang w:val="es-ES_tradnl"/>
        </w:rPr>
        <w:t>”</w:t>
      </w:r>
      <w:r>
        <w:rPr>
          <w:spacing w:val="-4"/>
          <w:sz w:val="18"/>
          <w:szCs w:val="18"/>
          <w:lang w:val="es-ES_tradnl"/>
        </w:rPr>
        <w:t>, sin precisar de qu</w:t>
      </w:r>
      <w:r>
        <w:rPr>
          <w:rFonts w:cs="Times New Roman"/>
          <w:spacing w:val="-4"/>
          <w:sz w:val="18"/>
          <w:szCs w:val="18"/>
          <w:lang w:val="es-ES_tradnl"/>
        </w:rPr>
        <w:t>é</w:t>
      </w:r>
      <w:r>
        <w:rPr>
          <w:spacing w:val="-4"/>
          <w:sz w:val="18"/>
          <w:szCs w:val="18"/>
          <w:lang w:val="es-ES_tradnl"/>
        </w:rPr>
        <w:t xml:space="preserve"> forma se verifica tal afirmaci</w:t>
      </w:r>
      <w:r>
        <w:rPr>
          <w:rFonts w:cs="Times New Roman"/>
          <w:spacing w:val="-4"/>
          <w:sz w:val="18"/>
          <w:szCs w:val="18"/>
          <w:lang w:val="es-ES_tradnl"/>
        </w:rPr>
        <w:t>ó</w:t>
      </w:r>
      <w:r>
        <w:rPr>
          <w:spacing w:val="-4"/>
          <w:sz w:val="18"/>
          <w:szCs w:val="18"/>
          <w:lang w:val="es-ES_tradnl"/>
        </w:rPr>
        <w:t xml:space="preserve">n, pues la </w:t>
      </w:r>
      <w:r>
        <w:rPr>
          <w:spacing w:val="-1"/>
          <w:sz w:val="18"/>
          <w:szCs w:val="18"/>
          <w:lang w:val="es-ES_tradnl"/>
        </w:rPr>
        <w:t>incorporaci</w:t>
      </w:r>
      <w:r>
        <w:rPr>
          <w:rFonts w:cs="Times New Roman"/>
          <w:spacing w:val="-1"/>
          <w:sz w:val="18"/>
          <w:szCs w:val="18"/>
          <w:lang w:val="es-ES_tradnl"/>
        </w:rPr>
        <w:t>ó</w:t>
      </w:r>
      <w:r>
        <w:rPr>
          <w:spacing w:val="-1"/>
          <w:sz w:val="18"/>
          <w:szCs w:val="18"/>
          <w:lang w:val="es-ES_tradnl"/>
        </w:rPr>
        <w:t xml:space="preserve">n de esos colectivos sociales, al contrario </w:t>
      </w:r>
      <w:r>
        <w:rPr>
          <w:spacing w:val="-5"/>
          <w:sz w:val="18"/>
          <w:szCs w:val="18"/>
          <w:lang w:val="es-ES_tradnl"/>
        </w:rPr>
        <w:t xml:space="preserve">de lo manifestado por el accionante, garantiza su plena </w:t>
      </w:r>
      <w:r>
        <w:rPr>
          <w:spacing w:val="-4"/>
          <w:sz w:val="18"/>
          <w:szCs w:val="18"/>
          <w:lang w:val="es-ES_tradnl"/>
        </w:rPr>
        <w:t>participaci</w:t>
      </w:r>
      <w:r>
        <w:rPr>
          <w:rFonts w:cs="Times New Roman"/>
          <w:spacing w:val="-4"/>
          <w:sz w:val="18"/>
          <w:szCs w:val="18"/>
          <w:lang w:val="es-ES_tradnl"/>
        </w:rPr>
        <w:t>ó</w:t>
      </w:r>
      <w:r>
        <w:rPr>
          <w:spacing w:val="-4"/>
          <w:sz w:val="18"/>
          <w:szCs w:val="18"/>
          <w:lang w:val="es-ES_tradnl"/>
        </w:rPr>
        <w:t xml:space="preserve">n en la toma de decisiones, no solo en lo </w:t>
      </w:r>
      <w:r>
        <w:rPr>
          <w:spacing w:val="-10"/>
          <w:sz w:val="18"/>
          <w:szCs w:val="18"/>
          <w:lang w:val="es-ES_tradnl"/>
        </w:rPr>
        <w:t>concerniente a sus derechos, sino adem</w:t>
      </w:r>
      <w:r>
        <w:rPr>
          <w:rFonts w:cs="Times New Roman"/>
          <w:spacing w:val="-10"/>
          <w:sz w:val="18"/>
          <w:szCs w:val="18"/>
          <w:lang w:val="es-ES_tradnl"/>
        </w:rPr>
        <w:t>á</w:t>
      </w:r>
      <w:r>
        <w:rPr>
          <w:spacing w:val="-10"/>
          <w:sz w:val="18"/>
          <w:szCs w:val="18"/>
          <w:lang w:val="es-ES_tradnl"/>
        </w:rPr>
        <w:t>s en la elaboraci</w:t>
      </w:r>
      <w:r>
        <w:rPr>
          <w:rFonts w:cs="Times New Roman"/>
          <w:spacing w:val="-10"/>
          <w:sz w:val="18"/>
          <w:szCs w:val="18"/>
          <w:lang w:val="es-ES_tradnl"/>
        </w:rPr>
        <w:t>ó</w:t>
      </w:r>
      <w:r>
        <w:rPr>
          <w:spacing w:val="-10"/>
          <w:sz w:val="18"/>
          <w:szCs w:val="18"/>
          <w:lang w:val="es-ES_tradnl"/>
        </w:rPr>
        <w:t xml:space="preserve">n </w:t>
      </w:r>
      <w:r>
        <w:rPr>
          <w:spacing w:val="-6"/>
          <w:sz w:val="18"/>
          <w:szCs w:val="18"/>
          <w:lang w:val="es-ES_tradnl"/>
        </w:rPr>
        <w:t>de las pol</w:t>
      </w:r>
      <w:r>
        <w:rPr>
          <w:rFonts w:cs="Times New Roman"/>
          <w:spacing w:val="-6"/>
          <w:sz w:val="18"/>
          <w:szCs w:val="18"/>
          <w:lang w:val="es-ES_tradnl"/>
        </w:rPr>
        <w:t>í</w:t>
      </w:r>
      <w:r>
        <w:rPr>
          <w:spacing w:val="-6"/>
          <w:sz w:val="18"/>
          <w:szCs w:val="18"/>
          <w:lang w:val="es-ES_tradnl"/>
        </w:rPr>
        <w:t>ticas p</w:t>
      </w:r>
      <w:r>
        <w:rPr>
          <w:rFonts w:cs="Times New Roman"/>
          <w:spacing w:val="-6"/>
          <w:sz w:val="18"/>
          <w:szCs w:val="18"/>
          <w:lang w:val="es-ES_tradnl"/>
        </w:rPr>
        <w:t>ú</w:t>
      </w:r>
      <w:r>
        <w:rPr>
          <w:spacing w:val="-6"/>
          <w:sz w:val="18"/>
          <w:szCs w:val="18"/>
          <w:lang w:val="es-ES_tradnl"/>
        </w:rPr>
        <w:t>blicas y m</w:t>
      </w:r>
      <w:r>
        <w:rPr>
          <w:rFonts w:cs="Times New Roman"/>
          <w:spacing w:val="-6"/>
          <w:sz w:val="18"/>
          <w:szCs w:val="18"/>
          <w:lang w:val="es-ES_tradnl"/>
        </w:rPr>
        <w:t>á</w:t>
      </w:r>
      <w:r>
        <w:rPr>
          <w:spacing w:val="-6"/>
          <w:sz w:val="18"/>
          <w:szCs w:val="18"/>
          <w:lang w:val="es-ES_tradnl"/>
        </w:rPr>
        <w:t>s actos a ser aplicados en el respectivo gobierno aut</w:t>
      </w:r>
      <w:r>
        <w:rPr>
          <w:rFonts w:cs="Times New Roman"/>
          <w:spacing w:val="-6"/>
          <w:sz w:val="18"/>
          <w:szCs w:val="18"/>
          <w:lang w:val="es-ES_tradnl"/>
        </w:rPr>
        <w:t>ó</w:t>
      </w:r>
      <w:r>
        <w:rPr>
          <w:spacing w:val="-6"/>
          <w:sz w:val="18"/>
          <w:szCs w:val="18"/>
          <w:lang w:val="es-ES_tradnl"/>
        </w:rPr>
        <w:t>nomo descentralizado.</w:t>
      </w:r>
    </w:p>
    <w:p w14:paraId="4F67A722" w14:textId="77777777" w:rsidR="00591D54" w:rsidRDefault="00591D54">
      <w:pPr>
        <w:shd w:val="clear" w:color="auto" w:fill="FFFFFF"/>
        <w:spacing w:before="197" w:line="216" w:lineRule="exact"/>
        <w:jc w:val="both"/>
      </w:pPr>
      <w:r>
        <w:rPr>
          <w:spacing w:val="-5"/>
          <w:sz w:val="18"/>
          <w:szCs w:val="18"/>
          <w:lang w:val="es-ES_tradnl"/>
        </w:rPr>
        <w:t>El demandante imputa adem</w:t>
      </w:r>
      <w:r>
        <w:rPr>
          <w:rFonts w:cs="Times New Roman"/>
          <w:spacing w:val="-5"/>
          <w:sz w:val="18"/>
          <w:szCs w:val="18"/>
          <w:lang w:val="es-ES_tradnl"/>
        </w:rPr>
        <w:t>á</w:t>
      </w:r>
      <w:r>
        <w:rPr>
          <w:spacing w:val="-5"/>
          <w:sz w:val="18"/>
          <w:szCs w:val="18"/>
          <w:lang w:val="es-ES_tradnl"/>
        </w:rPr>
        <w:t xml:space="preserve">s a la norma contenida en </w:t>
      </w:r>
      <w:r>
        <w:rPr>
          <w:spacing w:val="-2"/>
          <w:sz w:val="18"/>
          <w:szCs w:val="18"/>
          <w:lang w:val="es-ES_tradnl"/>
        </w:rPr>
        <w:t>el art</w:t>
      </w:r>
      <w:r>
        <w:rPr>
          <w:rFonts w:cs="Times New Roman"/>
          <w:spacing w:val="-2"/>
          <w:sz w:val="18"/>
          <w:szCs w:val="18"/>
          <w:lang w:val="es-ES_tradnl"/>
        </w:rPr>
        <w:t>í</w:t>
      </w:r>
      <w:r>
        <w:rPr>
          <w:spacing w:val="-2"/>
          <w:sz w:val="18"/>
          <w:szCs w:val="18"/>
          <w:lang w:val="es-ES_tradnl"/>
        </w:rPr>
        <w:t>culo 9 de la ordenanza, la supuesta transgresi</w:t>
      </w:r>
      <w:r>
        <w:rPr>
          <w:rFonts w:cs="Times New Roman"/>
          <w:spacing w:val="-2"/>
          <w:sz w:val="18"/>
          <w:szCs w:val="18"/>
          <w:lang w:val="es-ES_tradnl"/>
        </w:rPr>
        <w:t>ó</w:t>
      </w:r>
      <w:r>
        <w:rPr>
          <w:spacing w:val="-2"/>
          <w:sz w:val="18"/>
          <w:szCs w:val="18"/>
          <w:lang w:val="es-ES_tradnl"/>
        </w:rPr>
        <w:t xml:space="preserve">n de preceptos legales, cuando afirma: </w:t>
      </w:r>
      <w:r>
        <w:rPr>
          <w:rFonts w:cs="Times New Roman"/>
          <w:spacing w:val="-2"/>
          <w:sz w:val="18"/>
          <w:szCs w:val="18"/>
          <w:lang w:val="es-ES_tradnl"/>
        </w:rPr>
        <w:t>“</w:t>
      </w:r>
      <w:r>
        <w:rPr>
          <w:spacing w:val="-2"/>
          <w:sz w:val="18"/>
          <w:szCs w:val="18"/>
          <w:lang w:val="es-ES_tradnl"/>
        </w:rPr>
        <w:t xml:space="preserve">La Ley de </w:t>
      </w:r>
      <w:r>
        <w:rPr>
          <w:spacing w:val="-1"/>
          <w:sz w:val="18"/>
          <w:szCs w:val="18"/>
          <w:lang w:val="es-ES_tradnl"/>
        </w:rPr>
        <w:t>Participaci</w:t>
      </w:r>
      <w:r>
        <w:rPr>
          <w:rFonts w:cs="Times New Roman"/>
          <w:spacing w:val="-1"/>
          <w:sz w:val="18"/>
          <w:szCs w:val="18"/>
          <w:lang w:val="es-ES_tradnl"/>
        </w:rPr>
        <w:t>ó</w:t>
      </w:r>
      <w:r>
        <w:rPr>
          <w:spacing w:val="-1"/>
          <w:sz w:val="18"/>
          <w:szCs w:val="18"/>
          <w:lang w:val="es-ES_tradnl"/>
        </w:rPr>
        <w:t>n Ciudadana establece en sus art</w:t>
      </w:r>
      <w:r>
        <w:rPr>
          <w:rFonts w:cs="Times New Roman"/>
          <w:spacing w:val="-1"/>
          <w:sz w:val="18"/>
          <w:szCs w:val="18"/>
          <w:lang w:val="es-ES_tradnl"/>
        </w:rPr>
        <w:t>í</w:t>
      </w:r>
      <w:r>
        <w:rPr>
          <w:spacing w:val="-1"/>
          <w:sz w:val="18"/>
          <w:szCs w:val="18"/>
          <w:lang w:val="es-ES_tradnl"/>
        </w:rPr>
        <w:t>culos 57 y 58 la participaci</w:t>
      </w:r>
      <w:r>
        <w:rPr>
          <w:rFonts w:cs="Times New Roman"/>
          <w:spacing w:val="-1"/>
          <w:sz w:val="18"/>
          <w:szCs w:val="18"/>
          <w:lang w:val="es-ES_tradnl"/>
        </w:rPr>
        <w:t>ó</w:t>
      </w:r>
      <w:r>
        <w:rPr>
          <w:spacing w:val="-1"/>
          <w:sz w:val="18"/>
          <w:szCs w:val="18"/>
          <w:lang w:val="es-ES_tradnl"/>
        </w:rPr>
        <w:t xml:space="preserve">n de organizaciones sociales y no </w:t>
      </w:r>
      <w:r>
        <w:rPr>
          <w:sz w:val="18"/>
          <w:szCs w:val="18"/>
          <w:lang w:val="es-ES_tradnl"/>
        </w:rPr>
        <w:t>hace distinci</w:t>
      </w:r>
      <w:r>
        <w:rPr>
          <w:rFonts w:cs="Times New Roman"/>
          <w:sz w:val="18"/>
          <w:szCs w:val="18"/>
          <w:lang w:val="es-ES_tradnl"/>
        </w:rPr>
        <w:t>ó</w:t>
      </w:r>
      <w:r>
        <w:rPr>
          <w:sz w:val="18"/>
          <w:szCs w:val="18"/>
          <w:lang w:val="es-ES_tradnl"/>
        </w:rPr>
        <w:t>n con los gremios, lo que s</w:t>
      </w:r>
      <w:r>
        <w:rPr>
          <w:rFonts w:cs="Times New Roman"/>
          <w:sz w:val="18"/>
          <w:szCs w:val="18"/>
          <w:lang w:val="es-ES_tradnl"/>
        </w:rPr>
        <w:t>í</w:t>
      </w:r>
      <w:r>
        <w:rPr>
          <w:sz w:val="18"/>
          <w:szCs w:val="18"/>
          <w:lang w:val="es-ES_tradnl"/>
        </w:rPr>
        <w:t xml:space="preserve"> lo efect</w:t>
      </w:r>
      <w:r>
        <w:rPr>
          <w:rFonts w:cs="Times New Roman"/>
          <w:sz w:val="18"/>
          <w:szCs w:val="18"/>
          <w:lang w:val="es-ES_tradnl"/>
        </w:rPr>
        <w:t>ú</w:t>
      </w:r>
      <w:r>
        <w:rPr>
          <w:sz w:val="18"/>
          <w:szCs w:val="18"/>
          <w:lang w:val="es-ES_tradnl"/>
        </w:rPr>
        <w:t xml:space="preserve">a </w:t>
      </w:r>
      <w:r>
        <w:rPr>
          <w:spacing w:val="-5"/>
          <w:sz w:val="18"/>
          <w:szCs w:val="18"/>
          <w:lang w:val="es-ES_tradnl"/>
        </w:rPr>
        <w:t>la ordenanza</w:t>
      </w:r>
      <w:r>
        <w:rPr>
          <w:rFonts w:cs="Times New Roman"/>
          <w:spacing w:val="-5"/>
          <w:sz w:val="18"/>
          <w:szCs w:val="18"/>
          <w:lang w:val="es-ES_tradnl"/>
        </w:rPr>
        <w:t>”</w:t>
      </w:r>
      <w:r>
        <w:rPr>
          <w:spacing w:val="-5"/>
          <w:sz w:val="18"/>
          <w:szCs w:val="18"/>
          <w:lang w:val="es-ES_tradnl"/>
        </w:rPr>
        <w:t>, evidenciando una vez m</w:t>
      </w:r>
      <w:r>
        <w:rPr>
          <w:rFonts w:cs="Times New Roman"/>
          <w:spacing w:val="-5"/>
          <w:sz w:val="18"/>
          <w:szCs w:val="18"/>
          <w:lang w:val="es-ES_tradnl"/>
        </w:rPr>
        <w:t>á</w:t>
      </w:r>
      <w:r>
        <w:rPr>
          <w:spacing w:val="-5"/>
          <w:sz w:val="18"/>
          <w:szCs w:val="18"/>
          <w:lang w:val="es-ES_tradnl"/>
        </w:rPr>
        <w:t>s que lo que cuestiona de la ordenanza es su presunta contradicci</w:t>
      </w:r>
      <w:r>
        <w:rPr>
          <w:rFonts w:cs="Times New Roman"/>
          <w:spacing w:val="-5"/>
          <w:sz w:val="18"/>
          <w:szCs w:val="18"/>
          <w:lang w:val="es-ES_tradnl"/>
        </w:rPr>
        <w:t>ó</w:t>
      </w:r>
      <w:r>
        <w:rPr>
          <w:spacing w:val="-5"/>
          <w:sz w:val="18"/>
          <w:szCs w:val="18"/>
          <w:lang w:val="es-ES_tradnl"/>
        </w:rPr>
        <w:t xml:space="preserve">n </w:t>
      </w:r>
      <w:r>
        <w:rPr>
          <w:spacing w:val="-4"/>
          <w:sz w:val="18"/>
          <w:szCs w:val="18"/>
          <w:lang w:val="es-ES_tradnl"/>
        </w:rPr>
        <w:t xml:space="preserve">con normas de rango infraconstitucional, supuesto para </w:t>
      </w:r>
      <w:r>
        <w:rPr>
          <w:spacing w:val="-5"/>
          <w:sz w:val="18"/>
          <w:szCs w:val="18"/>
          <w:lang w:val="es-ES_tradnl"/>
        </w:rPr>
        <w:t xml:space="preserve">el cual no se halla facultada la Corte Constitucional para </w:t>
      </w:r>
      <w:r>
        <w:rPr>
          <w:sz w:val="18"/>
          <w:szCs w:val="18"/>
          <w:lang w:val="es-ES_tradnl"/>
        </w:rPr>
        <w:t>emitir ning</w:t>
      </w:r>
      <w:r>
        <w:rPr>
          <w:rFonts w:cs="Times New Roman"/>
          <w:sz w:val="18"/>
          <w:szCs w:val="18"/>
          <w:lang w:val="es-ES_tradnl"/>
        </w:rPr>
        <w:t>ú</w:t>
      </w:r>
      <w:r>
        <w:rPr>
          <w:sz w:val="18"/>
          <w:szCs w:val="18"/>
          <w:lang w:val="es-ES_tradnl"/>
        </w:rPr>
        <w:t>n pronunciamiento.</w:t>
      </w:r>
    </w:p>
    <w:p w14:paraId="4F67A723" w14:textId="77777777" w:rsidR="00591D54" w:rsidRDefault="00591D54">
      <w:pPr>
        <w:shd w:val="clear" w:color="auto" w:fill="FFFFFF"/>
        <w:spacing w:before="197" w:line="216" w:lineRule="exact"/>
        <w:jc w:val="both"/>
      </w:pPr>
      <w:r>
        <w:rPr>
          <w:spacing w:val="-3"/>
          <w:sz w:val="18"/>
          <w:szCs w:val="18"/>
          <w:lang w:val="es-ES_tradnl"/>
        </w:rPr>
        <w:t>En relaci</w:t>
      </w:r>
      <w:r>
        <w:rPr>
          <w:rFonts w:cs="Times New Roman"/>
          <w:spacing w:val="-3"/>
          <w:sz w:val="18"/>
          <w:szCs w:val="18"/>
          <w:lang w:val="es-ES_tradnl"/>
        </w:rPr>
        <w:t>ó</w:t>
      </w:r>
      <w:r>
        <w:rPr>
          <w:spacing w:val="-3"/>
          <w:sz w:val="18"/>
          <w:szCs w:val="18"/>
          <w:lang w:val="es-ES_tradnl"/>
        </w:rPr>
        <w:t xml:space="preserve">n al presupuesto participativo, que se halla </w:t>
      </w:r>
      <w:r>
        <w:rPr>
          <w:spacing w:val="-1"/>
          <w:sz w:val="18"/>
          <w:szCs w:val="18"/>
          <w:lang w:val="es-ES_tradnl"/>
        </w:rPr>
        <w:t>regulado en los art</w:t>
      </w:r>
      <w:r>
        <w:rPr>
          <w:rFonts w:cs="Times New Roman"/>
          <w:spacing w:val="-1"/>
          <w:sz w:val="18"/>
          <w:szCs w:val="18"/>
          <w:lang w:val="es-ES_tradnl"/>
        </w:rPr>
        <w:t>í</w:t>
      </w:r>
      <w:r>
        <w:rPr>
          <w:spacing w:val="-1"/>
          <w:sz w:val="18"/>
          <w:szCs w:val="18"/>
          <w:lang w:val="es-ES_tradnl"/>
        </w:rPr>
        <w:t xml:space="preserve">culos 12, 13, 14, 15 y 16 de la </w:t>
      </w:r>
      <w:r>
        <w:rPr>
          <w:spacing w:val="-9"/>
          <w:sz w:val="18"/>
          <w:szCs w:val="18"/>
          <w:lang w:val="es-ES_tradnl"/>
        </w:rPr>
        <w:t xml:space="preserve">Ordenanza que se impugna, el mismo se elabora mediante </w:t>
      </w:r>
      <w:r>
        <w:rPr>
          <w:spacing w:val="-2"/>
          <w:sz w:val="18"/>
          <w:szCs w:val="18"/>
          <w:lang w:val="es-ES_tradnl"/>
        </w:rPr>
        <w:t>debate p</w:t>
      </w:r>
      <w:r>
        <w:rPr>
          <w:rFonts w:cs="Times New Roman"/>
          <w:spacing w:val="-2"/>
          <w:sz w:val="18"/>
          <w:szCs w:val="18"/>
          <w:lang w:val="es-ES_tradnl"/>
        </w:rPr>
        <w:t>ú</w:t>
      </w:r>
      <w:r>
        <w:rPr>
          <w:spacing w:val="-2"/>
          <w:sz w:val="18"/>
          <w:szCs w:val="18"/>
          <w:lang w:val="es-ES_tradnl"/>
        </w:rPr>
        <w:t xml:space="preserve">blico de las y los ciudadanos delegados </w:t>
      </w:r>
      <w:r>
        <w:rPr>
          <w:spacing w:val="-3"/>
          <w:sz w:val="18"/>
          <w:szCs w:val="18"/>
          <w:lang w:val="es-ES_tradnl"/>
        </w:rPr>
        <w:t xml:space="preserve">acreditados de los diversos grupos y organizaciones </w:t>
      </w:r>
      <w:r>
        <w:rPr>
          <w:spacing w:val="-4"/>
          <w:sz w:val="18"/>
          <w:szCs w:val="18"/>
          <w:lang w:val="es-ES_tradnl"/>
        </w:rPr>
        <w:t xml:space="preserve">sociales y gremiales reunidos en la Asamblea Cantonal </w:t>
      </w:r>
      <w:r>
        <w:rPr>
          <w:spacing w:val="-6"/>
          <w:sz w:val="18"/>
          <w:szCs w:val="18"/>
          <w:lang w:val="es-ES_tradnl"/>
        </w:rPr>
        <w:t>de Rumi</w:t>
      </w:r>
      <w:r>
        <w:rPr>
          <w:rFonts w:cs="Times New Roman"/>
          <w:spacing w:val="-6"/>
          <w:sz w:val="18"/>
          <w:szCs w:val="18"/>
          <w:lang w:val="es-ES_tradnl"/>
        </w:rPr>
        <w:t>ñ</w:t>
      </w:r>
      <w:r>
        <w:rPr>
          <w:spacing w:val="-6"/>
          <w:sz w:val="18"/>
          <w:szCs w:val="18"/>
          <w:lang w:val="es-ES_tradnl"/>
        </w:rPr>
        <w:t>ahui (Sangolqu</w:t>
      </w:r>
      <w:r>
        <w:rPr>
          <w:rFonts w:cs="Times New Roman"/>
          <w:spacing w:val="-6"/>
          <w:sz w:val="18"/>
          <w:szCs w:val="18"/>
          <w:lang w:val="es-ES_tradnl"/>
        </w:rPr>
        <w:t>í</w:t>
      </w:r>
      <w:r>
        <w:rPr>
          <w:spacing w:val="-6"/>
          <w:sz w:val="18"/>
          <w:szCs w:val="18"/>
          <w:lang w:val="es-ES_tradnl"/>
        </w:rPr>
        <w:t xml:space="preserve">), en la cual se delibera sobre el </w:t>
      </w:r>
      <w:r>
        <w:rPr>
          <w:spacing w:val="-5"/>
          <w:sz w:val="18"/>
          <w:szCs w:val="18"/>
          <w:lang w:val="es-ES_tradnl"/>
        </w:rPr>
        <w:t>uso de los recursos de inversi</w:t>
      </w:r>
      <w:r>
        <w:rPr>
          <w:rFonts w:cs="Times New Roman"/>
          <w:spacing w:val="-5"/>
          <w:sz w:val="18"/>
          <w:szCs w:val="18"/>
          <w:lang w:val="es-ES_tradnl"/>
        </w:rPr>
        <w:t>ó</w:t>
      </w:r>
      <w:r>
        <w:rPr>
          <w:spacing w:val="-5"/>
          <w:sz w:val="18"/>
          <w:szCs w:val="18"/>
          <w:lang w:val="es-ES_tradnl"/>
        </w:rPr>
        <w:t>n del gobierno aut</w:t>
      </w:r>
      <w:r>
        <w:rPr>
          <w:rFonts w:cs="Times New Roman"/>
          <w:spacing w:val="-5"/>
          <w:sz w:val="18"/>
          <w:szCs w:val="18"/>
          <w:lang w:val="es-ES_tradnl"/>
        </w:rPr>
        <w:t>ó</w:t>
      </w:r>
      <w:r>
        <w:rPr>
          <w:spacing w:val="-5"/>
          <w:sz w:val="18"/>
          <w:szCs w:val="18"/>
          <w:lang w:val="es-ES_tradnl"/>
        </w:rPr>
        <w:t xml:space="preserve">nomo </w:t>
      </w:r>
      <w:r>
        <w:rPr>
          <w:sz w:val="18"/>
          <w:szCs w:val="18"/>
          <w:lang w:val="es-ES_tradnl"/>
        </w:rPr>
        <w:t>descentralizado de dicho cant</w:t>
      </w:r>
      <w:r>
        <w:rPr>
          <w:rFonts w:cs="Times New Roman"/>
          <w:sz w:val="18"/>
          <w:szCs w:val="18"/>
          <w:lang w:val="es-ES_tradnl"/>
        </w:rPr>
        <w:t>ó</w:t>
      </w:r>
      <w:r>
        <w:rPr>
          <w:sz w:val="18"/>
          <w:szCs w:val="18"/>
          <w:lang w:val="es-ES_tradnl"/>
        </w:rPr>
        <w:t>n</w:t>
      </w:r>
    </w:p>
    <w:p w14:paraId="4F67A724" w14:textId="77777777" w:rsidR="00591D54" w:rsidRDefault="00591D54">
      <w:pPr>
        <w:shd w:val="clear" w:color="auto" w:fill="FFFFFF"/>
        <w:spacing w:before="197" w:line="221" w:lineRule="exact"/>
        <w:jc w:val="both"/>
      </w:pPr>
      <w:r>
        <w:rPr>
          <w:spacing w:val="-5"/>
          <w:sz w:val="18"/>
          <w:szCs w:val="18"/>
          <w:lang w:val="es-ES_tradnl"/>
        </w:rPr>
        <w:t xml:space="preserve">La ordenanza establece que el presupuesto participativo </w:t>
      </w:r>
      <w:r>
        <w:rPr>
          <w:spacing w:val="-3"/>
          <w:sz w:val="18"/>
          <w:szCs w:val="18"/>
          <w:lang w:val="es-ES_tradnl"/>
        </w:rPr>
        <w:t>se elaborar</w:t>
      </w:r>
      <w:r>
        <w:rPr>
          <w:rFonts w:cs="Times New Roman"/>
          <w:spacing w:val="-3"/>
          <w:sz w:val="18"/>
          <w:szCs w:val="18"/>
          <w:lang w:val="es-ES_tradnl"/>
        </w:rPr>
        <w:t>á</w:t>
      </w:r>
      <w:r>
        <w:rPr>
          <w:spacing w:val="-3"/>
          <w:sz w:val="18"/>
          <w:szCs w:val="18"/>
          <w:lang w:val="es-ES_tradnl"/>
        </w:rPr>
        <w:t xml:space="preserve"> teniendo en cuenta los siguientes ejes </w:t>
      </w:r>
      <w:r>
        <w:rPr>
          <w:spacing w:val="-8"/>
          <w:sz w:val="18"/>
          <w:szCs w:val="18"/>
          <w:lang w:val="es-ES_tradnl"/>
        </w:rPr>
        <w:t>tem</w:t>
      </w:r>
      <w:r>
        <w:rPr>
          <w:rFonts w:cs="Times New Roman"/>
          <w:spacing w:val="-8"/>
          <w:sz w:val="18"/>
          <w:szCs w:val="18"/>
          <w:lang w:val="es-ES_tradnl"/>
        </w:rPr>
        <w:t>á</w:t>
      </w:r>
      <w:r>
        <w:rPr>
          <w:spacing w:val="-8"/>
          <w:sz w:val="18"/>
          <w:szCs w:val="18"/>
          <w:lang w:val="es-ES_tradnl"/>
        </w:rPr>
        <w:t>ticos: a) actividades econ</w:t>
      </w:r>
      <w:r>
        <w:rPr>
          <w:rFonts w:cs="Times New Roman"/>
          <w:spacing w:val="-8"/>
          <w:sz w:val="18"/>
          <w:szCs w:val="18"/>
          <w:lang w:val="es-ES_tradnl"/>
        </w:rPr>
        <w:t>ó</w:t>
      </w:r>
      <w:r>
        <w:rPr>
          <w:spacing w:val="-8"/>
          <w:sz w:val="18"/>
          <w:szCs w:val="18"/>
          <w:lang w:val="es-ES_tradnl"/>
        </w:rPr>
        <w:t xml:space="preserve">micas; b) salud, ambiente y </w:t>
      </w:r>
      <w:r>
        <w:rPr>
          <w:spacing w:val="-6"/>
          <w:sz w:val="18"/>
          <w:szCs w:val="18"/>
          <w:lang w:val="es-ES_tradnl"/>
        </w:rPr>
        <w:t>recreaci</w:t>
      </w:r>
      <w:r>
        <w:rPr>
          <w:rFonts w:cs="Times New Roman"/>
          <w:spacing w:val="-6"/>
          <w:sz w:val="18"/>
          <w:szCs w:val="18"/>
          <w:lang w:val="es-ES_tradnl"/>
        </w:rPr>
        <w:t>ó</w:t>
      </w:r>
      <w:r>
        <w:rPr>
          <w:spacing w:val="-6"/>
          <w:sz w:val="18"/>
          <w:szCs w:val="18"/>
          <w:lang w:val="es-ES_tradnl"/>
        </w:rPr>
        <w:t>n; c) educaci</w:t>
      </w:r>
      <w:r>
        <w:rPr>
          <w:rFonts w:cs="Times New Roman"/>
          <w:spacing w:val="-6"/>
          <w:sz w:val="18"/>
          <w:szCs w:val="18"/>
          <w:lang w:val="es-ES_tradnl"/>
        </w:rPr>
        <w:t>ó</w:t>
      </w:r>
      <w:r>
        <w:rPr>
          <w:spacing w:val="-6"/>
          <w:sz w:val="18"/>
          <w:szCs w:val="18"/>
          <w:lang w:val="es-ES_tradnl"/>
        </w:rPr>
        <w:t>n cultura e identidad; y, d) gesti</w:t>
      </w:r>
      <w:r>
        <w:rPr>
          <w:rFonts w:cs="Times New Roman"/>
          <w:spacing w:val="-6"/>
          <w:sz w:val="18"/>
          <w:szCs w:val="18"/>
          <w:lang w:val="es-ES_tradnl"/>
        </w:rPr>
        <w:t>ó</w:t>
      </w:r>
      <w:r>
        <w:rPr>
          <w:spacing w:val="-6"/>
          <w:sz w:val="18"/>
          <w:szCs w:val="18"/>
          <w:lang w:val="es-ES_tradnl"/>
        </w:rPr>
        <w:t xml:space="preserve">n, </w:t>
      </w:r>
      <w:r>
        <w:rPr>
          <w:sz w:val="18"/>
          <w:szCs w:val="18"/>
          <w:lang w:val="es-ES_tradnl"/>
        </w:rPr>
        <w:t>participaci</w:t>
      </w:r>
      <w:r>
        <w:rPr>
          <w:rFonts w:cs="Times New Roman"/>
          <w:sz w:val="18"/>
          <w:szCs w:val="18"/>
          <w:lang w:val="es-ES_tradnl"/>
        </w:rPr>
        <w:t>ó</w:t>
      </w:r>
      <w:r>
        <w:rPr>
          <w:sz w:val="18"/>
          <w:szCs w:val="18"/>
          <w:lang w:val="es-ES_tradnl"/>
        </w:rPr>
        <w:t>n y seguridad.</w:t>
      </w:r>
    </w:p>
    <w:p w14:paraId="4F67A725" w14:textId="77777777" w:rsidR="00591D54" w:rsidRDefault="00591D54">
      <w:pPr>
        <w:shd w:val="clear" w:color="auto" w:fill="FFFFFF"/>
        <w:spacing w:before="197" w:line="216" w:lineRule="exact"/>
        <w:jc w:val="both"/>
      </w:pPr>
      <w:r>
        <w:rPr>
          <w:spacing w:val="-10"/>
          <w:sz w:val="18"/>
          <w:szCs w:val="18"/>
          <w:lang w:val="es-ES_tradnl"/>
        </w:rPr>
        <w:t xml:space="preserve">Asimismo, las normas contenidas en la ordenanza establece </w:t>
      </w:r>
      <w:r>
        <w:rPr>
          <w:spacing w:val="-4"/>
          <w:sz w:val="18"/>
          <w:szCs w:val="18"/>
          <w:lang w:val="es-ES_tradnl"/>
        </w:rPr>
        <w:t>plazos para la elaboraci</w:t>
      </w:r>
      <w:r>
        <w:rPr>
          <w:rFonts w:cs="Times New Roman"/>
          <w:spacing w:val="-4"/>
          <w:sz w:val="18"/>
          <w:szCs w:val="18"/>
          <w:lang w:val="es-ES_tradnl"/>
        </w:rPr>
        <w:t>ó</w:t>
      </w:r>
      <w:r>
        <w:rPr>
          <w:spacing w:val="-4"/>
          <w:sz w:val="18"/>
          <w:szCs w:val="18"/>
          <w:lang w:val="es-ES_tradnl"/>
        </w:rPr>
        <w:t xml:space="preserve">n del presupuesto participativo, </w:t>
      </w:r>
      <w:r>
        <w:rPr>
          <w:spacing w:val="-7"/>
          <w:sz w:val="18"/>
          <w:szCs w:val="18"/>
          <w:lang w:val="es-ES_tradnl"/>
        </w:rPr>
        <w:t>fijando como fecha l</w:t>
      </w:r>
      <w:r>
        <w:rPr>
          <w:rFonts w:cs="Times New Roman"/>
          <w:spacing w:val="-7"/>
          <w:sz w:val="18"/>
          <w:szCs w:val="18"/>
          <w:lang w:val="es-ES_tradnl"/>
        </w:rPr>
        <w:t>í</w:t>
      </w:r>
      <w:r>
        <w:rPr>
          <w:spacing w:val="-7"/>
          <w:sz w:val="18"/>
          <w:szCs w:val="18"/>
          <w:lang w:val="es-ES_tradnl"/>
        </w:rPr>
        <w:t xml:space="preserve">mite hasta el 20 de octubre para que </w:t>
      </w:r>
      <w:r>
        <w:rPr>
          <w:spacing w:val="-8"/>
          <w:sz w:val="18"/>
          <w:szCs w:val="18"/>
          <w:lang w:val="es-ES_tradnl"/>
        </w:rPr>
        <w:t xml:space="preserve">el anteproyecto sea conocido por la Asamblea Cantonal de </w:t>
      </w:r>
      <w:r>
        <w:rPr>
          <w:spacing w:val="-7"/>
          <w:sz w:val="18"/>
          <w:szCs w:val="18"/>
          <w:lang w:val="es-ES_tradnl"/>
        </w:rPr>
        <w:t>Gesti</w:t>
      </w:r>
      <w:r>
        <w:rPr>
          <w:rFonts w:cs="Times New Roman"/>
          <w:spacing w:val="-7"/>
          <w:sz w:val="18"/>
          <w:szCs w:val="18"/>
          <w:lang w:val="es-ES_tradnl"/>
        </w:rPr>
        <w:t>ó</w:t>
      </w:r>
      <w:r>
        <w:rPr>
          <w:spacing w:val="-7"/>
          <w:sz w:val="18"/>
          <w:szCs w:val="18"/>
          <w:lang w:val="es-ES_tradnl"/>
        </w:rPr>
        <w:t>n y Participaci</w:t>
      </w:r>
      <w:r>
        <w:rPr>
          <w:rFonts w:cs="Times New Roman"/>
          <w:spacing w:val="-7"/>
          <w:sz w:val="18"/>
          <w:szCs w:val="18"/>
          <w:lang w:val="es-ES_tradnl"/>
        </w:rPr>
        <w:t>ó</w:t>
      </w:r>
      <w:r>
        <w:rPr>
          <w:spacing w:val="-7"/>
          <w:sz w:val="18"/>
          <w:szCs w:val="18"/>
          <w:lang w:val="es-ES_tradnl"/>
        </w:rPr>
        <w:t>n Ciudadana de Rumi</w:t>
      </w:r>
      <w:r>
        <w:rPr>
          <w:rFonts w:cs="Times New Roman"/>
          <w:spacing w:val="-7"/>
          <w:sz w:val="18"/>
          <w:szCs w:val="18"/>
          <w:lang w:val="es-ES_tradnl"/>
        </w:rPr>
        <w:t>ñ</w:t>
      </w:r>
      <w:r>
        <w:rPr>
          <w:spacing w:val="-7"/>
          <w:sz w:val="18"/>
          <w:szCs w:val="18"/>
          <w:lang w:val="es-ES_tradnl"/>
        </w:rPr>
        <w:t xml:space="preserve">ahui, a fin de </w:t>
      </w:r>
      <w:r>
        <w:rPr>
          <w:spacing w:val="-9"/>
          <w:sz w:val="18"/>
          <w:szCs w:val="18"/>
          <w:lang w:val="es-ES_tradnl"/>
        </w:rPr>
        <w:t xml:space="preserve">que esta resuelva sobre su conformidad con las prioridades </w:t>
      </w:r>
      <w:r>
        <w:rPr>
          <w:spacing w:val="-3"/>
          <w:sz w:val="18"/>
          <w:szCs w:val="18"/>
          <w:lang w:val="es-ES_tradnl"/>
        </w:rPr>
        <w:t>de inversi</w:t>
      </w:r>
      <w:r>
        <w:rPr>
          <w:rFonts w:cs="Times New Roman"/>
          <w:spacing w:val="-3"/>
          <w:sz w:val="18"/>
          <w:szCs w:val="18"/>
          <w:lang w:val="es-ES_tradnl"/>
        </w:rPr>
        <w:t>ó</w:t>
      </w:r>
      <w:r>
        <w:rPr>
          <w:spacing w:val="-3"/>
          <w:sz w:val="18"/>
          <w:szCs w:val="18"/>
          <w:lang w:val="es-ES_tradnl"/>
        </w:rPr>
        <w:t xml:space="preserve">n definidas en el anteproyecto, y con dicha </w:t>
      </w:r>
      <w:r>
        <w:rPr>
          <w:spacing w:val="-6"/>
          <w:sz w:val="18"/>
          <w:szCs w:val="18"/>
          <w:lang w:val="es-ES_tradnl"/>
        </w:rPr>
        <w:t>resoluci</w:t>
      </w:r>
      <w:r>
        <w:rPr>
          <w:rFonts w:cs="Times New Roman"/>
          <w:spacing w:val="-6"/>
          <w:sz w:val="18"/>
          <w:szCs w:val="18"/>
          <w:lang w:val="es-ES_tradnl"/>
        </w:rPr>
        <w:t>ó</w:t>
      </w:r>
      <w:r>
        <w:rPr>
          <w:spacing w:val="-6"/>
          <w:sz w:val="18"/>
          <w:szCs w:val="18"/>
          <w:lang w:val="es-ES_tradnl"/>
        </w:rPr>
        <w:t xml:space="preserve">n se lo remita al Pleno del Concejo del Gobierno </w:t>
      </w:r>
      <w:r>
        <w:rPr>
          <w:spacing w:val="-5"/>
          <w:sz w:val="18"/>
          <w:szCs w:val="18"/>
          <w:lang w:val="es-ES_tradnl"/>
        </w:rPr>
        <w:t>Aut</w:t>
      </w:r>
      <w:r>
        <w:rPr>
          <w:rFonts w:cs="Times New Roman"/>
          <w:spacing w:val="-5"/>
          <w:sz w:val="18"/>
          <w:szCs w:val="18"/>
          <w:lang w:val="es-ES_tradnl"/>
        </w:rPr>
        <w:t>ó</w:t>
      </w:r>
      <w:r>
        <w:rPr>
          <w:spacing w:val="-5"/>
          <w:sz w:val="18"/>
          <w:szCs w:val="18"/>
          <w:lang w:val="es-ES_tradnl"/>
        </w:rPr>
        <w:t>nomo Descentralizado del Cant</w:t>
      </w:r>
      <w:r>
        <w:rPr>
          <w:rFonts w:cs="Times New Roman"/>
          <w:spacing w:val="-5"/>
          <w:sz w:val="18"/>
          <w:szCs w:val="18"/>
          <w:lang w:val="es-ES_tradnl"/>
        </w:rPr>
        <w:t>ó</w:t>
      </w:r>
      <w:r>
        <w:rPr>
          <w:spacing w:val="-5"/>
          <w:sz w:val="18"/>
          <w:szCs w:val="18"/>
          <w:lang w:val="es-ES_tradnl"/>
        </w:rPr>
        <w:t>n Rumi</w:t>
      </w:r>
      <w:r>
        <w:rPr>
          <w:rFonts w:cs="Times New Roman"/>
          <w:spacing w:val="-5"/>
          <w:sz w:val="18"/>
          <w:szCs w:val="18"/>
          <w:lang w:val="es-ES_tradnl"/>
        </w:rPr>
        <w:t>ñ</w:t>
      </w:r>
      <w:r>
        <w:rPr>
          <w:spacing w:val="-5"/>
          <w:sz w:val="18"/>
          <w:szCs w:val="18"/>
          <w:lang w:val="es-ES_tradnl"/>
        </w:rPr>
        <w:t>ahui.</w:t>
      </w:r>
    </w:p>
    <w:p w14:paraId="4F67A726" w14:textId="77777777" w:rsidR="00591D54" w:rsidRDefault="00591D54">
      <w:pPr>
        <w:shd w:val="clear" w:color="auto" w:fill="FFFFFF"/>
        <w:spacing w:before="202" w:line="216" w:lineRule="exact"/>
        <w:jc w:val="both"/>
      </w:pPr>
      <w:r>
        <w:rPr>
          <w:spacing w:val="-6"/>
          <w:sz w:val="18"/>
          <w:szCs w:val="18"/>
          <w:lang w:val="es-ES_tradnl"/>
        </w:rPr>
        <w:t>Finalmente, se establece que la elaboraci</w:t>
      </w:r>
      <w:r>
        <w:rPr>
          <w:rFonts w:cs="Times New Roman"/>
          <w:spacing w:val="-6"/>
          <w:sz w:val="18"/>
          <w:szCs w:val="18"/>
          <w:lang w:val="es-ES_tradnl"/>
        </w:rPr>
        <w:t>ó</w:t>
      </w:r>
      <w:r>
        <w:rPr>
          <w:spacing w:val="-6"/>
          <w:sz w:val="18"/>
          <w:szCs w:val="18"/>
          <w:lang w:val="es-ES_tradnl"/>
        </w:rPr>
        <w:t>n y aprobaci</w:t>
      </w:r>
      <w:r>
        <w:rPr>
          <w:rFonts w:cs="Times New Roman"/>
          <w:spacing w:val="-6"/>
          <w:sz w:val="18"/>
          <w:szCs w:val="18"/>
          <w:lang w:val="es-ES_tradnl"/>
        </w:rPr>
        <w:t>ó</w:t>
      </w:r>
      <w:r>
        <w:rPr>
          <w:spacing w:val="-6"/>
          <w:sz w:val="18"/>
          <w:szCs w:val="18"/>
          <w:lang w:val="es-ES_tradnl"/>
        </w:rPr>
        <w:t xml:space="preserve">n </w:t>
      </w:r>
      <w:r>
        <w:rPr>
          <w:spacing w:val="-4"/>
          <w:sz w:val="18"/>
          <w:szCs w:val="18"/>
          <w:lang w:val="es-ES_tradnl"/>
        </w:rPr>
        <w:t>del presupuesto participativo tendr</w:t>
      </w:r>
      <w:r>
        <w:rPr>
          <w:rFonts w:cs="Times New Roman"/>
          <w:spacing w:val="-4"/>
          <w:sz w:val="18"/>
          <w:szCs w:val="18"/>
          <w:lang w:val="es-ES_tradnl"/>
        </w:rPr>
        <w:t>á</w:t>
      </w:r>
      <w:r>
        <w:rPr>
          <w:spacing w:val="-4"/>
          <w:sz w:val="18"/>
          <w:szCs w:val="18"/>
          <w:lang w:val="es-ES_tradnl"/>
        </w:rPr>
        <w:t xml:space="preserve"> un procedimiento, </w:t>
      </w:r>
      <w:r>
        <w:rPr>
          <w:spacing w:val="-6"/>
          <w:sz w:val="18"/>
          <w:szCs w:val="18"/>
          <w:lang w:val="es-ES_tradnl"/>
        </w:rPr>
        <w:t>metodolog</w:t>
      </w:r>
      <w:r>
        <w:rPr>
          <w:rFonts w:cs="Times New Roman"/>
          <w:spacing w:val="-6"/>
          <w:sz w:val="18"/>
          <w:szCs w:val="18"/>
          <w:lang w:val="es-ES_tradnl"/>
        </w:rPr>
        <w:t>í</w:t>
      </w:r>
      <w:r>
        <w:rPr>
          <w:spacing w:val="-6"/>
          <w:sz w:val="18"/>
          <w:szCs w:val="18"/>
          <w:lang w:val="es-ES_tradnl"/>
        </w:rPr>
        <w:t>a y criterios de calificaci</w:t>
      </w:r>
      <w:r>
        <w:rPr>
          <w:rFonts w:cs="Times New Roman"/>
          <w:spacing w:val="-6"/>
          <w:sz w:val="18"/>
          <w:szCs w:val="18"/>
          <w:lang w:val="es-ES_tradnl"/>
        </w:rPr>
        <w:t>ó</w:t>
      </w:r>
      <w:r>
        <w:rPr>
          <w:spacing w:val="-6"/>
          <w:sz w:val="18"/>
          <w:szCs w:val="18"/>
          <w:lang w:val="es-ES_tradnl"/>
        </w:rPr>
        <w:t>n para la priorizaci</w:t>
      </w:r>
      <w:r>
        <w:rPr>
          <w:rFonts w:cs="Times New Roman"/>
          <w:spacing w:val="-6"/>
          <w:sz w:val="18"/>
          <w:szCs w:val="18"/>
          <w:lang w:val="es-ES_tradnl"/>
        </w:rPr>
        <w:t>ó</w:t>
      </w:r>
      <w:r>
        <w:rPr>
          <w:spacing w:val="-6"/>
          <w:sz w:val="18"/>
          <w:szCs w:val="18"/>
          <w:lang w:val="es-ES_tradnl"/>
        </w:rPr>
        <w:t>n del uso de los recursos de inversi</w:t>
      </w:r>
      <w:r>
        <w:rPr>
          <w:rFonts w:cs="Times New Roman"/>
          <w:spacing w:val="-6"/>
          <w:sz w:val="18"/>
          <w:szCs w:val="18"/>
          <w:lang w:val="es-ES_tradnl"/>
        </w:rPr>
        <w:t>ó</w:t>
      </w:r>
      <w:r>
        <w:rPr>
          <w:spacing w:val="-6"/>
          <w:sz w:val="18"/>
          <w:szCs w:val="18"/>
          <w:lang w:val="es-ES_tradnl"/>
        </w:rPr>
        <w:t>n, que ser</w:t>
      </w:r>
      <w:r>
        <w:rPr>
          <w:rFonts w:cs="Times New Roman"/>
          <w:spacing w:val="-6"/>
          <w:sz w:val="18"/>
          <w:szCs w:val="18"/>
          <w:lang w:val="es-ES_tradnl"/>
        </w:rPr>
        <w:t>á</w:t>
      </w:r>
      <w:r>
        <w:rPr>
          <w:spacing w:val="-6"/>
          <w:sz w:val="18"/>
          <w:szCs w:val="18"/>
          <w:lang w:val="es-ES_tradnl"/>
        </w:rPr>
        <w:t xml:space="preserve">n definidos </w:t>
      </w:r>
      <w:r>
        <w:rPr>
          <w:sz w:val="18"/>
          <w:szCs w:val="18"/>
          <w:lang w:val="es-ES_tradnl"/>
        </w:rPr>
        <w:t>en un reglamento.</w:t>
      </w:r>
    </w:p>
    <w:p w14:paraId="4F67A727" w14:textId="77777777" w:rsidR="00591D54" w:rsidRDefault="00591D54">
      <w:pPr>
        <w:shd w:val="clear" w:color="auto" w:fill="FFFFFF"/>
        <w:spacing w:before="202" w:line="216" w:lineRule="exact"/>
        <w:jc w:val="both"/>
        <w:sectPr w:rsidR="00591D54">
          <w:type w:val="continuous"/>
          <w:pgSz w:w="11909" w:h="16834"/>
          <w:pgMar w:top="1371" w:right="1309" w:bottom="360" w:left="1308" w:header="720" w:footer="720" w:gutter="0"/>
          <w:cols w:num="2" w:space="720" w:equalWidth="0">
            <w:col w:w="4305" w:space="682"/>
            <w:col w:w="4305"/>
          </w:cols>
          <w:noEndnote/>
        </w:sectPr>
      </w:pPr>
    </w:p>
    <w:p w14:paraId="4F67A728" w14:textId="77777777" w:rsidR="00591D54" w:rsidRDefault="00591D54">
      <w:pPr>
        <w:shd w:val="clear" w:color="auto" w:fill="FFFFFF"/>
        <w:tabs>
          <w:tab w:val="left" w:pos="4814"/>
        </w:tabs>
        <w:spacing w:after="230"/>
        <w:ind w:left="5"/>
      </w:pPr>
      <w:r>
        <w:rPr>
          <w:b/>
          <w:bCs/>
          <w:sz w:val="18"/>
          <w:szCs w:val="18"/>
          <w:lang w:val="es-ES_tradnl"/>
        </w:rPr>
        <w:t xml:space="preserve">48 -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729" w14:textId="77777777" w:rsidR="00591D54" w:rsidRDefault="00591D54">
      <w:pPr>
        <w:shd w:val="clear" w:color="auto" w:fill="FFFFFF"/>
        <w:tabs>
          <w:tab w:val="left" w:pos="4814"/>
        </w:tabs>
        <w:spacing w:after="230"/>
        <w:ind w:left="5"/>
        <w:sectPr w:rsidR="00591D54">
          <w:pgSz w:w="11909" w:h="16834"/>
          <w:pgMar w:top="1371" w:right="1309" w:bottom="360" w:left="1308" w:header="720" w:footer="720" w:gutter="0"/>
          <w:cols w:space="60"/>
          <w:noEndnote/>
        </w:sectPr>
      </w:pPr>
    </w:p>
    <w:p w14:paraId="4F67A72A" w14:textId="77777777" w:rsidR="00591D54" w:rsidRDefault="00591D54">
      <w:pPr>
        <w:shd w:val="clear" w:color="auto" w:fill="FFFFFF"/>
        <w:spacing w:before="5" w:line="221" w:lineRule="exact"/>
        <w:jc w:val="both"/>
      </w:pPr>
      <w:r>
        <w:rPr>
          <w:spacing w:val="-6"/>
          <w:sz w:val="18"/>
          <w:szCs w:val="18"/>
          <w:lang w:val="es-ES_tradnl"/>
        </w:rPr>
        <w:t xml:space="preserve">De lo expuesto, no se advierte en ninguna de las normas </w:t>
      </w:r>
      <w:r>
        <w:rPr>
          <w:sz w:val="18"/>
          <w:szCs w:val="18"/>
          <w:lang w:val="es-ES_tradnl"/>
        </w:rPr>
        <w:t>de la ordenanza municipal del cant</w:t>
      </w:r>
      <w:r>
        <w:rPr>
          <w:rFonts w:cs="Times New Roman"/>
          <w:sz w:val="18"/>
          <w:szCs w:val="18"/>
          <w:lang w:val="es-ES_tradnl"/>
        </w:rPr>
        <w:t>ó</w:t>
      </w:r>
      <w:r>
        <w:rPr>
          <w:sz w:val="18"/>
          <w:szCs w:val="18"/>
          <w:lang w:val="es-ES_tradnl"/>
        </w:rPr>
        <w:t>n Rumi</w:t>
      </w:r>
      <w:r>
        <w:rPr>
          <w:rFonts w:cs="Times New Roman"/>
          <w:sz w:val="18"/>
          <w:szCs w:val="18"/>
          <w:lang w:val="es-ES_tradnl"/>
        </w:rPr>
        <w:t>ñ</w:t>
      </w:r>
      <w:r>
        <w:rPr>
          <w:sz w:val="18"/>
          <w:szCs w:val="18"/>
          <w:lang w:val="es-ES_tradnl"/>
        </w:rPr>
        <w:t xml:space="preserve">ahui, </w:t>
      </w:r>
      <w:r>
        <w:rPr>
          <w:spacing w:val="-4"/>
          <w:sz w:val="18"/>
          <w:szCs w:val="18"/>
          <w:lang w:val="es-ES_tradnl"/>
        </w:rPr>
        <w:t>la transgresi</w:t>
      </w:r>
      <w:r>
        <w:rPr>
          <w:rFonts w:cs="Times New Roman"/>
          <w:spacing w:val="-4"/>
          <w:sz w:val="18"/>
          <w:szCs w:val="18"/>
          <w:lang w:val="es-ES_tradnl"/>
        </w:rPr>
        <w:t>ó</w:t>
      </w:r>
      <w:r>
        <w:rPr>
          <w:spacing w:val="-4"/>
          <w:sz w:val="18"/>
          <w:szCs w:val="18"/>
          <w:lang w:val="es-ES_tradnl"/>
        </w:rPr>
        <w:t xml:space="preserve">n de preceptos constitucionales; por el </w:t>
      </w:r>
      <w:r>
        <w:rPr>
          <w:spacing w:val="-5"/>
          <w:sz w:val="18"/>
          <w:szCs w:val="18"/>
          <w:lang w:val="es-ES_tradnl"/>
        </w:rPr>
        <w:t xml:space="preserve">contrario, el legitimado activo aduce que las normas </w:t>
      </w:r>
      <w:r>
        <w:rPr>
          <w:spacing w:val="-7"/>
          <w:sz w:val="18"/>
          <w:szCs w:val="18"/>
          <w:lang w:val="es-ES_tradnl"/>
        </w:rPr>
        <w:t>impugnadas incumplen disposiciones legales, para lo cual invoca, espec</w:t>
      </w:r>
      <w:r>
        <w:rPr>
          <w:rFonts w:cs="Times New Roman"/>
          <w:spacing w:val="-7"/>
          <w:sz w:val="18"/>
          <w:szCs w:val="18"/>
          <w:lang w:val="es-ES_tradnl"/>
        </w:rPr>
        <w:t>í</w:t>
      </w:r>
      <w:r>
        <w:rPr>
          <w:spacing w:val="-7"/>
          <w:sz w:val="18"/>
          <w:szCs w:val="18"/>
          <w:lang w:val="es-ES_tradnl"/>
        </w:rPr>
        <w:t>ficamente, los art</w:t>
      </w:r>
      <w:r>
        <w:rPr>
          <w:rFonts w:cs="Times New Roman"/>
          <w:spacing w:val="-7"/>
          <w:sz w:val="18"/>
          <w:szCs w:val="18"/>
          <w:lang w:val="es-ES_tradnl"/>
        </w:rPr>
        <w:t>í</w:t>
      </w:r>
      <w:r>
        <w:rPr>
          <w:spacing w:val="-7"/>
          <w:sz w:val="18"/>
          <w:szCs w:val="18"/>
          <w:lang w:val="es-ES_tradnl"/>
        </w:rPr>
        <w:t xml:space="preserve">culos 238 y 239 de la Ley </w:t>
      </w:r>
      <w:r>
        <w:rPr>
          <w:sz w:val="18"/>
          <w:szCs w:val="18"/>
          <w:lang w:val="es-ES_tradnl"/>
        </w:rPr>
        <w:t>Org</w:t>
      </w:r>
      <w:r>
        <w:rPr>
          <w:rFonts w:cs="Times New Roman"/>
          <w:sz w:val="18"/>
          <w:szCs w:val="18"/>
          <w:lang w:val="es-ES_tradnl"/>
        </w:rPr>
        <w:t>á</w:t>
      </w:r>
      <w:r>
        <w:rPr>
          <w:sz w:val="18"/>
          <w:szCs w:val="18"/>
          <w:lang w:val="es-ES_tradnl"/>
        </w:rPr>
        <w:t>nica de Participaci</w:t>
      </w:r>
      <w:r>
        <w:rPr>
          <w:rFonts w:cs="Times New Roman"/>
          <w:sz w:val="18"/>
          <w:szCs w:val="18"/>
          <w:lang w:val="es-ES_tradnl"/>
        </w:rPr>
        <w:t>ó</w:t>
      </w:r>
      <w:r>
        <w:rPr>
          <w:sz w:val="18"/>
          <w:szCs w:val="18"/>
          <w:lang w:val="es-ES_tradnl"/>
        </w:rPr>
        <w:t>n Ciudadana.</w:t>
      </w:r>
    </w:p>
    <w:p w14:paraId="4F67A72B" w14:textId="77777777" w:rsidR="00591D54" w:rsidRDefault="00591D54">
      <w:pPr>
        <w:shd w:val="clear" w:color="auto" w:fill="FFFFFF"/>
        <w:spacing w:before="202" w:line="221" w:lineRule="exact"/>
        <w:jc w:val="both"/>
      </w:pPr>
      <w:r>
        <w:rPr>
          <w:spacing w:val="-4"/>
          <w:sz w:val="18"/>
          <w:szCs w:val="18"/>
          <w:lang w:val="es-ES_tradnl"/>
        </w:rPr>
        <w:t xml:space="preserve">Nuevamente, el legitimado activo fundamenta su </w:t>
      </w:r>
      <w:r>
        <w:rPr>
          <w:sz w:val="18"/>
          <w:szCs w:val="18"/>
          <w:lang w:val="es-ES_tradnl"/>
        </w:rPr>
        <w:t>cuestionamiento en la presunta contradicci</w:t>
      </w:r>
      <w:r>
        <w:rPr>
          <w:rFonts w:cs="Times New Roman"/>
          <w:sz w:val="18"/>
          <w:szCs w:val="18"/>
          <w:lang w:val="es-ES_tradnl"/>
        </w:rPr>
        <w:t>ó</w:t>
      </w:r>
      <w:r>
        <w:rPr>
          <w:sz w:val="18"/>
          <w:szCs w:val="18"/>
          <w:lang w:val="es-ES_tradnl"/>
        </w:rPr>
        <w:t xml:space="preserve">n entre </w:t>
      </w:r>
      <w:r>
        <w:rPr>
          <w:spacing w:val="-7"/>
          <w:sz w:val="18"/>
          <w:szCs w:val="18"/>
          <w:lang w:val="es-ES_tradnl"/>
        </w:rPr>
        <w:t xml:space="preserve">las normas contenidas en la ordenanza que impugna y </w:t>
      </w:r>
      <w:r>
        <w:rPr>
          <w:spacing w:val="-8"/>
          <w:sz w:val="18"/>
          <w:szCs w:val="18"/>
          <w:lang w:val="es-ES_tradnl"/>
        </w:rPr>
        <w:t xml:space="preserve">disposiciones legales, asunto que no constituye materia de </w:t>
      </w:r>
      <w:r>
        <w:rPr>
          <w:spacing w:val="-3"/>
          <w:sz w:val="18"/>
          <w:szCs w:val="18"/>
          <w:lang w:val="es-ES_tradnl"/>
        </w:rPr>
        <w:t xml:space="preserve">control abstracto de constitucionalidad, y que por tanto, </w:t>
      </w:r>
      <w:r>
        <w:rPr>
          <w:spacing w:val="-8"/>
          <w:sz w:val="18"/>
          <w:szCs w:val="18"/>
          <w:lang w:val="es-ES_tradnl"/>
        </w:rPr>
        <w:t xml:space="preserve">no amerita pronunciamiento por parte de esta Magistratura </w:t>
      </w:r>
      <w:r>
        <w:rPr>
          <w:sz w:val="18"/>
          <w:szCs w:val="18"/>
          <w:lang w:val="es-ES_tradnl"/>
        </w:rPr>
        <w:t>constitucional.</w:t>
      </w:r>
    </w:p>
    <w:p w14:paraId="4F67A72C" w14:textId="77777777" w:rsidR="00591D54" w:rsidRDefault="00591D54">
      <w:pPr>
        <w:shd w:val="clear" w:color="auto" w:fill="FFFFFF"/>
        <w:spacing w:before="206" w:line="221" w:lineRule="exact"/>
        <w:jc w:val="both"/>
      </w:pPr>
      <w:r>
        <w:rPr>
          <w:spacing w:val="-3"/>
          <w:sz w:val="18"/>
          <w:szCs w:val="18"/>
          <w:lang w:val="es-ES_tradnl"/>
        </w:rPr>
        <w:t>El art</w:t>
      </w:r>
      <w:r>
        <w:rPr>
          <w:rFonts w:cs="Times New Roman"/>
          <w:spacing w:val="-3"/>
          <w:sz w:val="18"/>
          <w:szCs w:val="18"/>
          <w:lang w:val="es-ES_tradnl"/>
        </w:rPr>
        <w:t>í</w:t>
      </w:r>
      <w:r>
        <w:rPr>
          <w:spacing w:val="-3"/>
          <w:sz w:val="18"/>
          <w:szCs w:val="18"/>
          <w:lang w:val="es-ES_tradnl"/>
        </w:rPr>
        <w:t xml:space="preserve">culo 27 de la Ordenanza instituye la </w:t>
      </w:r>
      <w:r>
        <w:rPr>
          <w:rFonts w:cs="Times New Roman"/>
          <w:spacing w:val="-3"/>
          <w:sz w:val="18"/>
          <w:szCs w:val="18"/>
          <w:lang w:val="es-ES_tradnl"/>
        </w:rPr>
        <w:t>“</w:t>
      </w:r>
      <w:r>
        <w:rPr>
          <w:spacing w:val="-3"/>
          <w:sz w:val="18"/>
          <w:szCs w:val="18"/>
          <w:lang w:val="es-ES_tradnl"/>
        </w:rPr>
        <w:t>silla vac</w:t>
      </w:r>
      <w:r>
        <w:rPr>
          <w:rFonts w:cs="Times New Roman"/>
          <w:spacing w:val="-3"/>
          <w:sz w:val="18"/>
          <w:szCs w:val="18"/>
          <w:lang w:val="es-ES_tradnl"/>
        </w:rPr>
        <w:t>í</w:t>
      </w:r>
      <w:r>
        <w:rPr>
          <w:spacing w:val="-3"/>
          <w:sz w:val="18"/>
          <w:szCs w:val="18"/>
          <w:lang w:val="es-ES_tradnl"/>
        </w:rPr>
        <w:t>a</w:t>
      </w:r>
      <w:r>
        <w:rPr>
          <w:rFonts w:cs="Times New Roman"/>
          <w:spacing w:val="-3"/>
          <w:sz w:val="18"/>
          <w:szCs w:val="18"/>
          <w:lang w:val="es-ES_tradnl"/>
        </w:rPr>
        <w:t>”</w:t>
      </w:r>
      <w:r>
        <w:rPr>
          <w:spacing w:val="-3"/>
          <w:sz w:val="18"/>
          <w:szCs w:val="18"/>
          <w:lang w:val="es-ES_tradnl"/>
        </w:rPr>
        <w:t xml:space="preserve">, </w:t>
      </w:r>
      <w:r>
        <w:rPr>
          <w:spacing w:val="-5"/>
          <w:sz w:val="18"/>
          <w:szCs w:val="18"/>
          <w:lang w:val="es-ES_tradnl"/>
        </w:rPr>
        <w:t>que ser</w:t>
      </w:r>
      <w:r>
        <w:rPr>
          <w:rFonts w:cs="Times New Roman"/>
          <w:spacing w:val="-5"/>
          <w:sz w:val="18"/>
          <w:szCs w:val="18"/>
          <w:lang w:val="es-ES_tradnl"/>
        </w:rPr>
        <w:t>á</w:t>
      </w:r>
      <w:r>
        <w:rPr>
          <w:spacing w:val="-5"/>
          <w:sz w:val="18"/>
          <w:szCs w:val="18"/>
          <w:lang w:val="es-ES_tradnl"/>
        </w:rPr>
        <w:t xml:space="preserve"> ocupada por una o un representante de la </w:t>
      </w:r>
      <w:r>
        <w:rPr>
          <w:spacing w:val="-7"/>
          <w:sz w:val="18"/>
          <w:szCs w:val="18"/>
          <w:lang w:val="es-ES_tradnl"/>
        </w:rPr>
        <w:t>ciudadan</w:t>
      </w:r>
      <w:r>
        <w:rPr>
          <w:rFonts w:cs="Times New Roman"/>
          <w:spacing w:val="-7"/>
          <w:sz w:val="18"/>
          <w:szCs w:val="18"/>
          <w:lang w:val="es-ES_tradnl"/>
        </w:rPr>
        <w:t>í</w:t>
      </w:r>
      <w:r>
        <w:rPr>
          <w:spacing w:val="-7"/>
          <w:sz w:val="18"/>
          <w:szCs w:val="18"/>
          <w:lang w:val="es-ES_tradnl"/>
        </w:rPr>
        <w:t>a, en funci</w:t>
      </w:r>
      <w:r>
        <w:rPr>
          <w:rFonts w:cs="Times New Roman"/>
          <w:spacing w:val="-7"/>
          <w:sz w:val="18"/>
          <w:szCs w:val="18"/>
          <w:lang w:val="es-ES_tradnl"/>
        </w:rPr>
        <w:t>ó</w:t>
      </w:r>
      <w:r>
        <w:rPr>
          <w:spacing w:val="-7"/>
          <w:sz w:val="18"/>
          <w:szCs w:val="18"/>
          <w:lang w:val="es-ES_tradnl"/>
        </w:rPr>
        <w:t xml:space="preserve">n de los temas a ser tratados en las </w:t>
      </w:r>
      <w:r>
        <w:rPr>
          <w:spacing w:val="-4"/>
          <w:sz w:val="18"/>
          <w:szCs w:val="18"/>
          <w:lang w:val="es-ES_tradnl"/>
        </w:rPr>
        <w:t>sesiones del Concejo Municipal de Rumi</w:t>
      </w:r>
      <w:r>
        <w:rPr>
          <w:rFonts w:cs="Times New Roman"/>
          <w:spacing w:val="-4"/>
          <w:sz w:val="18"/>
          <w:szCs w:val="18"/>
          <w:lang w:val="es-ES_tradnl"/>
        </w:rPr>
        <w:t>ñ</w:t>
      </w:r>
      <w:r>
        <w:rPr>
          <w:spacing w:val="-4"/>
          <w:sz w:val="18"/>
          <w:szCs w:val="18"/>
          <w:lang w:val="es-ES_tradnl"/>
        </w:rPr>
        <w:t xml:space="preserve">ahui, quien </w:t>
      </w:r>
      <w:r>
        <w:rPr>
          <w:spacing w:val="-3"/>
          <w:sz w:val="18"/>
          <w:szCs w:val="18"/>
          <w:lang w:val="es-ES_tradnl"/>
        </w:rPr>
        <w:t>participar</w:t>
      </w:r>
      <w:r>
        <w:rPr>
          <w:rFonts w:cs="Times New Roman"/>
          <w:spacing w:val="-3"/>
          <w:sz w:val="18"/>
          <w:szCs w:val="18"/>
          <w:lang w:val="es-ES_tradnl"/>
        </w:rPr>
        <w:t>á</w:t>
      </w:r>
      <w:r>
        <w:rPr>
          <w:spacing w:val="-3"/>
          <w:sz w:val="18"/>
          <w:szCs w:val="18"/>
          <w:lang w:val="es-ES_tradnl"/>
        </w:rPr>
        <w:t xml:space="preserve"> en las deliberaciones y toma de decisiones </w:t>
      </w:r>
      <w:r>
        <w:rPr>
          <w:spacing w:val="-5"/>
          <w:sz w:val="18"/>
          <w:szCs w:val="18"/>
          <w:lang w:val="es-ES_tradnl"/>
        </w:rPr>
        <w:t>con voz y voto. El establecimiento de la silla vac</w:t>
      </w:r>
      <w:r>
        <w:rPr>
          <w:rFonts w:cs="Times New Roman"/>
          <w:spacing w:val="-5"/>
          <w:sz w:val="18"/>
          <w:szCs w:val="18"/>
          <w:lang w:val="es-ES_tradnl"/>
        </w:rPr>
        <w:t>í</w:t>
      </w:r>
      <w:r>
        <w:rPr>
          <w:spacing w:val="-5"/>
          <w:sz w:val="18"/>
          <w:szCs w:val="18"/>
          <w:lang w:val="es-ES_tradnl"/>
        </w:rPr>
        <w:t>a en las sesiones del gobierno aut</w:t>
      </w:r>
      <w:r>
        <w:rPr>
          <w:rFonts w:cs="Times New Roman"/>
          <w:spacing w:val="-5"/>
          <w:sz w:val="18"/>
          <w:szCs w:val="18"/>
          <w:lang w:val="es-ES_tradnl"/>
        </w:rPr>
        <w:t>ó</w:t>
      </w:r>
      <w:r>
        <w:rPr>
          <w:spacing w:val="-5"/>
          <w:sz w:val="18"/>
          <w:szCs w:val="18"/>
          <w:lang w:val="es-ES_tradnl"/>
        </w:rPr>
        <w:t xml:space="preserve">nomo descentralizado no se </w:t>
      </w:r>
      <w:r>
        <w:rPr>
          <w:spacing w:val="-4"/>
          <w:sz w:val="18"/>
          <w:szCs w:val="18"/>
          <w:lang w:val="es-ES_tradnl"/>
        </w:rPr>
        <w:t>halla en contradicci</w:t>
      </w:r>
      <w:r>
        <w:rPr>
          <w:rFonts w:cs="Times New Roman"/>
          <w:spacing w:val="-4"/>
          <w:sz w:val="18"/>
          <w:szCs w:val="18"/>
          <w:lang w:val="es-ES_tradnl"/>
        </w:rPr>
        <w:t>ó</w:t>
      </w:r>
      <w:r>
        <w:rPr>
          <w:spacing w:val="-4"/>
          <w:sz w:val="18"/>
          <w:szCs w:val="18"/>
          <w:lang w:val="es-ES_tradnl"/>
        </w:rPr>
        <w:t xml:space="preserve">n con el texto constitucional, por el </w:t>
      </w:r>
      <w:r>
        <w:rPr>
          <w:spacing w:val="-7"/>
          <w:sz w:val="18"/>
          <w:szCs w:val="18"/>
          <w:lang w:val="es-ES_tradnl"/>
        </w:rPr>
        <w:t xml:space="preserve">contrario, guarda absoluta coherencia y concordancia con </w:t>
      </w:r>
      <w:r>
        <w:rPr>
          <w:spacing w:val="-4"/>
          <w:sz w:val="18"/>
          <w:szCs w:val="18"/>
          <w:lang w:val="es-ES_tradnl"/>
        </w:rPr>
        <w:t>lo previsto en el art</w:t>
      </w:r>
      <w:r>
        <w:rPr>
          <w:rFonts w:cs="Times New Roman"/>
          <w:spacing w:val="-4"/>
          <w:sz w:val="18"/>
          <w:szCs w:val="18"/>
          <w:lang w:val="es-ES_tradnl"/>
        </w:rPr>
        <w:t>í</w:t>
      </w:r>
      <w:r>
        <w:rPr>
          <w:spacing w:val="-4"/>
          <w:sz w:val="18"/>
          <w:szCs w:val="18"/>
          <w:lang w:val="es-ES_tradnl"/>
        </w:rPr>
        <w:t xml:space="preserve">culo 101 de la Carta Suprema de la </w:t>
      </w:r>
      <w:r>
        <w:rPr>
          <w:sz w:val="18"/>
          <w:szCs w:val="18"/>
          <w:lang w:val="es-ES_tradnl"/>
        </w:rPr>
        <w:t>Rep</w:t>
      </w:r>
      <w:r>
        <w:rPr>
          <w:rFonts w:cs="Times New Roman"/>
          <w:sz w:val="18"/>
          <w:szCs w:val="18"/>
          <w:lang w:val="es-ES_tradnl"/>
        </w:rPr>
        <w:t>ú</w:t>
      </w:r>
      <w:r>
        <w:rPr>
          <w:sz w:val="18"/>
          <w:szCs w:val="18"/>
          <w:lang w:val="es-ES_tradnl"/>
        </w:rPr>
        <w:t>blica.</w:t>
      </w:r>
    </w:p>
    <w:p w14:paraId="4F67A72D" w14:textId="77777777" w:rsidR="00591D54" w:rsidRDefault="00591D54">
      <w:pPr>
        <w:shd w:val="clear" w:color="auto" w:fill="FFFFFF"/>
        <w:spacing w:before="206" w:line="221" w:lineRule="exact"/>
        <w:jc w:val="both"/>
      </w:pPr>
      <w:r>
        <w:rPr>
          <w:spacing w:val="-4"/>
          <w:sz w:val="18"/>
          <w:szCs w:val="18"/>
          <w:lang w:val="es-ES_tradnl"/>
        </w:rPr>
        <w:t>El legitimado activo cuestiona el contenido del segundo inciso del art</w:t>
      </w:r>
      <w:r>
        <w:rPr>
          <w:rFonts w:cs="Times New Roman"/>
          <w:spacing w:val="-4"/>
          <w:sz w:val="18"/>
          <w:szCs w:val="18"/>
          <w:lang w:val="es-ES_tradnl"/>
        </w:rPr>
        <w:t>í</w:t>
      </w:r>
      <w:r>
        <w:rPr>
          <w:spacing w:val="-4"/>
          <w:sz w:val="18"/>
          <w:szCs w:val="18"/>
          <w:lang w:val="es-ES_tradnl"/>
        </w:rPr>
        <w:t xml:space="preserve">culo 27 de la Ordenanza, que otorga a la </w:t>
      </w:r>
      <w:r>
        <w:rPr>
          <w:spacing w:val="-7"/>
          <w:sz w:val="18"/>
          <w:szCs w:val="18"/>
          <w:lang w:val="es-ES_tradnl"/>
        </w:rPr>
        <w:t>Asamblea Cantonal de Gesti</w:t>
      </w:r>
      <w:r>
        <w:rPr>
          <w:rFonts w:cs="Times New Roman"/>
          <w:spacing w:val="-7"/>
          <w:sz w:val="18"/>
          <w:szCs w:val="18"/>
          <w:lang w:val="es-ES_tradnl"/>
        </w:rPr>
        <w:t>ó</w:t>
      </w:r>
      <w:r>
        <w:rPr>
          <w:spacing w:val="-7"/>
          <w:sz w:val="18"/>
          <w:szCs w:val="18"/>
          <w:lang w:val="es-ES_tradnl"/>
        </w:rPr>
        <w:t>n y Participaci</w:t>
      </w:r>
      <w:r>
        <w:rPr>
          <w:rFonts w:cs="Times New Roman"/>
          <w:spacing w:val="-7"/>
          <w:sz w:val="18"/>
          <w:szCs w:val="18"/>
          <w:lang w:val="es-ES_tradnl"/>
        </w:rPr>
        <w:t>ó</w:t>
      </w:r>
      <w:r>
        <w:rPr>
          <w:spacing w:val="-7"/>
          <w:sz w:val="18"/>
          <w:szCs w:val="18"/>
          <w:lang w:val="es-ES_tradnl"/>
        </w:rPr>
        <w:t xml:space="preserve">n Ciudadana </w:t>
      </w:r>
      <w:r>
        <w:rPr>
          <w:spacing w:val="-5"/>
          <w:sz w:val="18"/>
          <w:szCs w:val="18"/>
          <w:lang w:val="es-ES_tradnl"/>
        </w:rPr>
        <w:t>de Rumi</w:t>
      </w:r>
      <w:r>
        <w:rPr>
          <w:rFonts w:cs="Times New Roman"/>
          <w:spacing w:val="-5"/>
          <w:sz w:val="18"/>
          <w:szCs w:val="18"/>
          <w:lang w:val="es-ES_tradnl"/>
        </w:rPr>
        <w:t>ñ</w:t>
      </w:r>
      <w:r>
        <w:rPr>
          <w:spacing w:val="-5"/>
          <w:sz w:val="18"/>
          <w:szCs w:val="18"/>
          <w:lang w:val="es-ES_tradnl"/>
        </w:rPr>
        <w:t xml:space="preserve">ahui un delegado acreditado ante el gobierno </w:t>
      </w:r>
      <w:r>
        <w:rPr>
          <w:spacing w:val="-1"/>
          <w:sz w:val="18"/>
          <w:szCs w:val="18"/>
          <w:lang w:val="es-ES_tradnl"/>
        </w:rPr>
        <w:t>aut</w:t>
      </w:r>
      <w:r>
        <w:rPr>
          <w:rFonts w:cs="Times New Roman"/>
          <w:spacing w:val="-1"/>
          <w:sz w:val="18"/>
          <w:szCs w:val="18"/>
          <w:lang w:val="es-ES_tradnl"/>
        </w:rPr>
        <w:t>ó</w:t>
      </w:r>
      <w:r>
        <w:rPr>
          <w:spacing w:val="-1"/>
          <w:sz w:val="18"/>
          <w:szCs w:val="18"/>
          <w:lang w:val="es-ES_tradnl"/>
        </w:rPr>
        <w:t xml:space="preserve">nomo descentralizado municipal, lo que a criterio </w:t>
      </w:r>
      <w:r>
        <w:rPr>
          <w:spacing w:val="-6"/>
          <w:sz w:val="18"/>
          <w:szCs w:val="18"/>
          <w:lang w:val="es-ES_tradnl"/>
        </w:rPr>
        <w:t>del accionante contradice lo dispuesto en los art</w:t>
      </w:r>
      <w:r>
        <w:rPr>
          <w:rFonts w:cs="Times New Roman"/>
          <w:spacing w:val="-6"/>
          <w:sz w:val="18"/>
          <w:szCs w:val="18"/>
          <w:lang w:val="es-ES_tradnl"/>
        </w:rPr>
        <w:t>í</w:t>
      </w:r>
      <w:r>
        <w:rPr>
          <w:spacing w:val="-6"/>
          <w:sz w:val="18"/>
          <w:szCs w:val="18"/>
          <w:lang w:val="es-ES_tradnl"/>
        </w:rPr>
        <w:t xml:space="preserve">culos 77 </w:t>
      </w:r>
      <w:r>
        <w:rPr>
          <w:spacing w:val="-5"/>
          <w:sz w:val="18"/>
          <w:szCs w:val="18"/>
          <w:lang w:val="es-ES_tradnl"/>
        </w:rPr>
        <w:t>de la Ley Org</w:t>
      </w:r>
      <w:r>
        <w:rPr>
          <w:rFonts w:cs="Times New Roman"/>
          <w:spacing w:val="-5"/>
          <w:sz w:val="18"/>
          <w:szCs w:val="18"/>
          <w:lang w:val="es-ES_tradnl"/>
        </w:rPr>
        <w:t>á</w:t>
      </w:r>
      <w:r>
        <w:rPr>
          <w:spacing w:val="-5"/>
          <w:sz w:val="18"/>
          <w:szCs w:val="18"/>
          <w:lang w:val="es-ES_tradnl"/>
        </w:rPr>
        <w:t>nica de Participaci</w:t>
      </w:r>
      <w:r>
        <w:rPr>
          <w:rFonts w:cs="Times New Roman"/>
          <w:spacing w:val="-5"/>
          <w:sz w:val="18"/>
          <w:szCs w:val="18"/>
          <w:lang w:val="es-ES_tradnl"/>
        </w:rPr>
        <w:t>ó</w:t>
      </w:r>
      <w:r>
        <w:rPr>
          <w:spacing w:val="-5"/>
          <w:sz w:val="18"/>
          <w:szCs w:val="18"/>
          <w:lang w:val="es-ES_tradnl"/>
        </w:rPr>
        <w:t xml:space="preserve">n Ciudadana y 311 del </w:t>
      </w:r>
      <w:r>
        <w:rPr>
          <w:spacing w:val="-4"/>
          <w:sz w:val="18"/>
          <w:szCs w:val="18"/>
          <w:lang w:val="es-ES_tradnl"/>
        </w:rPr>
        <w:t>C</w:t>
      </w:r>
      <w:r>
        <w:rPr>
          <w:rFonts w:cs="Times New Roman"/>
          <w:spacing w:val="-4"/>
          <w:sz w:val="18"/>
          <w:szCs w:val="18"/>
          <w:lang w:val="es-ES_tradnl"/>
        </w:rPr>
        <w:t>ó</w:t>
      </w:r>
      <w:r>
        <w:rPr>
          <w:spacing w:val="-4"/>
          <w:sz w:val="18"/>
          <w:szCs w:val="18"/>
          <w:lang w:val="es-ES_tradnl"/>
        </w:rPr>
        <w:t>digo Org</w:t>
      </w:r>
      <w:r>
        <w:rPr>
          <w:rFonts w:cs="Times New Roman"/>
          <w:spacing w:val="-4"/>
          <w:sz w:val="18"/>
          <w:szCs w:val="18"/>
          <w:lang w:val="es-ES_tradnl"/>
        </w:rPr>
        <w:t>á</w:t>
      </w:r>
      <w:r>
        <w:rPr>
          <w:spacing w:val="-4"/>
          <w:sz w:val="18"/>
          <w:szCs w:val="18"/>
          <w:lang w:val="es-ES_tradnl"/>
        </w:rPr>
        <w:t>nico de Organizaci</w:t>
      </w:r>
      <w:r>
        <w:rPr>
          <w:rFonts w:cs="Times New Roman"/>
          <w:spacing w:val="-4"/>
          <w:sz w:val="18"/>
          <w:szCs w:val="18"/>
          <w:lang w:val="es-ES_tradnl"/>
        </w:rPr>
        <w:t>ó</w:t>
      </w:r>
      <w:r>
        <w:rPr>
          <w:spacing w:val="-4"/>
          <w:sz w:val="18"/>
          <w:szCs w:val="18"/>
          <w:lang w:val="es-ES_tradnl"/>
        </w:rPr>
        <w:t>n Territorial, Autonom</w:t>
      </w:r>
      <w:r>
        <w:rPr>
          <w:rFonts w:cs="Times New Roman"/>
          <w:spacing w:val="-4"/>
          <w:sz w:val="18"/>
          <w:szCs w:val="18"/>
          <w:lang w:val="es-ES_tradnl"/>
        </w:rPr>
        <w:t>í</w:t>
      </w:r>
      <w:r>
        <w:rPr>
          <w:spacing w:val="-4"/>
          <w:sz w:val="18"/>
          <w:szCs w:val="18"/>
          <w:lang w:val="es-ES_tradnl"/>
        </w:rPr>
        <w:t xml:space="preserve">a </w:t>
      </w:r>
      <w:r>
        <w:rPr>
          <w:sz w:val="18"/>
          <w:szCs w:val="18"/>
          <w:lang w:val="es-ES_tradnl"/>
        </w:rPr>
        <w:t>y Descentralizaci</w:t>
      </w:r>
      <w:r>
        <w:rPr>
          <w:rFonts w:cs="Times New Roman"/>
          <w:sz w:val="18"/>
          <w:szCs w:val="18"/>
          <w:lang w:val="es-ES_tradnl"/>
        </w:rPr>
        <w:t>ó</w:t>
      </w:r>
      <w:r>
        <w:rPr>
          <w:sz w:val="18"/>
          <w:szCs w:val="18"/>
          <w:lang w:val="es-ES_tradnl"/>
        </w:rPr>
        <w:t>n (COOTAD).</w:t>
      </w:r>
    </w:p>
    <w:p w14:paraId="4F67A72E" w14:textId="77777777" w:rsidR="00591D54" w:rsidRDefault="00591D54">
      <w:pPr>
        <w:shd w:val="clear" w:color="auto" w:fill="FFFFFF"/>
        <w:spacing w:before="202" w:line="221" w:lineRule="exact"/>
        <w:jc w:val="both"/>
      </w:pPr>
      <w:r>
        <w:rPr>
          <w:spacing w:val="-5"/>
          <w:sz w:val="18"/>
          <w:szCs w:val="18"/>
          <w:lang w:val="es-ES_tradnl"/>
        </w:rPr>
        <w:t>De lo se</w:t>
      </w:r>
      <w:r>
        <w:rPr>
          <w:rFonts w:cs="Times New Roman"/>
          <w:spacing w:val="-5"/>
          <w:sz w:val="18"/>
          <w:szCs w:val="18"/>
          <w:lang w:val="es-ES_tradnl"/>
        </w:rPr>
        <w:t>ñ</w:t>
      </w:r>
      <w:r>
        <w:rPr>
          <w:spacing w:val="-5"/>
          <w:sz w:val="18"/>
          <w:szCs w:val="18"/>
          <w:lang w:val="es-ES_tradnl"/>
        </w:rPr>
        <w:t>alado no se advierte transgresi</w:t>
      </w:r>
      <w:r>
        <w:rPr>
          <w:rFonts w:cs="Times New Roman"/>
          <w:spacing w:val="-5"/>
          <w:sz w:val="18"/>
          <w:szCs w:val="18"/>
          <w:lang w:val="es-ES_tradnl"/>
        </w:rPr>
        <w:t>ó</w:t>
      </w:r>
      <w:r>
        <w:rPr>
          <w:spacing w:val="-5"/>
          <w:sz w:val="18"/>
          <w:szCs w:val="18"/>
          <w:lang w:val="es-ES_tradnl"/>
        </w:rPr>
        <w:t xml:space="preserve">n de norma </w:t>
      </w:r>
      <w:r>
        <w:rPr>
          <w:sz w:val="18"/>
          <w:szCs w:val="18"/>
          <w:lang w:val="es-ES_tradnl"/>
        </w:rPr>
        <w:t>constitucional, sino una aparente contradicci</w:t>
      </w:r>
      <w:r>
        <w:rPr>
          <w:rFonts w:cs="Times New Roman"/>
          <w:sz w:val="18"/>
          <w:szCs w:val="18"/>
          <w:lang w:val="es-ES_tradnl"/>
        </w:rPr>
        <w:t>ó</w:t>
      </w:r>
      <w:r>
        <w:rPr>
          <w:sz w:val="18"/>
          <w:szCs w:val="18"/>
          <w:lang w:val="es-ES_tradnl"/>
        </w:rPr>
        <w:t xml:space="preserve">n de </w:t>
      </w:r>
      <w:r>
        <w:rPr>
          <w:spacing w:val="-1"/>
          <w:sz w:val="18"/>
          <w:szCs w:val="18"/>
          <w:lang w:val="es-ES_tradnl"/>
        </w:rPr>
        <w:t xml:space="preserve">la norma atacada con disposiciones legales, y sobre </w:t>
      </w:r>
      <w:r>
        <w:rPr>
          <w:spacing w:val="-6"/>
          <w:sz w:val="18"/>
          <w:szCs w:val="18"/>
          <w:lang w:val="es-ES_tradnl"/>
        </w:rPr>
        <w:t>todo la imputaci</w:t>
      </w:r>
      <w:r>
        <w:rPr>
          <w:rFonts w:cs="Times New Roman"/>
          <w:spacing w:val="-6"/>
          <w:sz w:val="18"/>
          <w:szCs w:val="18"/>
          <w:lang w:val="es-ES_tradnl"/>
        </w:rPr>
        <w:t>ó</w:t>
      </w:r>
      <w:r>
        <w:rPr>
          <w:spacing w:val="-6"/>
          <w:sz w:val="18"/>
          <w:szCs w:val="18"/>
          <w:lang w:val="es-ES_tradnl"/>
        </w:rPr>
        <w:t>n del demandante respecto de que el segundo inciso del art</w:t>
      </w:r>
      <w:r>
        <w:rPr>
          <w:rFonts w:cs="Times New Roman"/>
          <w:spacing w:val="-6"/>
          <w:sz w:val="18"/>
          <w:szCs w:val="18"/>
          <w:lang w:val="es-ES_tradnl"/>
        </w:rPr>
        <w:t>í</w:t>
      </w:r>
      <w:r>
        <w:rPr>
          <w:spacing w:val="-6"/>
          <w:sz w:val="18"/>
          <w:szCs w:val="18"/>
          <w:lang w:val="es-ES_tradnl"/>
        </w:rPr>
        <w:t xml:space="preserve">culo 27 de la ordenanza </w:t>
      </w:r>
      <w:r>
        <w:rPr>
          <w:rFonts w:cs="Times New Roman"/>
          <w:spacing w:val="-6"/>
          <w:sz w:val="18"/>
          <w:szCs w:val="18"/>
          <w:lang w:val="es-ES_tradnl"/>
        </w:rPr>
        <w:t>“</w:t>
      </w:r>
      <w:r>
        <w:rPr>
          <w:spacing w:val="-6"/>
          <w:sz w:val="18"/>
          <w:szCs w:val="18"/>
          <w:lang w:val="es-ES_tradnl"/>
        </w:rPr>
        <w:t xml:space="preserve">crea una </w:t>
      </w:r>
      <w:r>
        <w:rPr>
          <w:spacing w:val="-1"/>
          <w:sz w:val="18"/>
          <w:szCs w:val="18"/>
          <w:lang w:val="es-ES_tradnl"/>
        </w:rPr>
        <w:t>ambig</w:t>
      </w:r>
      <w:r>
        <w:rPr>
          <w:rFonts w:cs="Times New Roman"/>
          <w:spacing w:val="-1"/>
          <w:sz w:val="18"/>
          <w:szCs w:val="18"/>
          <w:lang w:val="es-ES_tradnl"/>
        </w:rPr>
        <w:t>ü</w:t>
      </w:r>
      <w:r>
        <w:rPr>
          <w:spacing w:val="-1"/>
          <w:sz w:val="18"/>
          <w:szCs w:val="18"/>
          <w:lang w:val="es-ES_tradnl"/>
        </w:rPr>
        <w:t>edad y una contradicci</w:t>
      </w:r>
      <w:r>
        <w:rPr>
          <w:rFonts w:cs="Times New Roman"/>
          <w:spacing w:val="-1"/>
          <w:sz w:val="18"/>
          <w:szCs w:val="18"/>
          <w:lang w:val="es-ES_tradnl"/>
        </w:rPr>
        <w:t>ó</w:t>
      </w:r>
      <w:r>
        <w:rPr>
          <w:spacing w:val="-1"/>
          <w:sz w:val="18"/>
          <w:szCs w:val="18"/>
          <w:lang w:val="es-ES_tradnl"/>
        </w:rPr>
        <w:t xml:space="preserve">n sobre quien va a ser </w:t>
      </w:r>
      <w:r>
        <w:rPr>
          <w:spacing w:val="-5"/>
          <w:sz w:val="18"/>
          <w:szCs w:val="18"/>
          <w:lang w:val="es-ES_tradnl"/>
        </w:rPr>
        <w:t>el ciudadano que ocupe la silla vac</w:t>
      </w:r>
      <w:r>
        <w:rPr>
          <w:rFonts w:cs="Times New Roman"/>
          <w:spacing w:val="-5"/>
          <w:sz w:val="18"/>
          <w:szCs w:val="18"/>
          <w:lang w:val="es-ES_tradnl"/>
        </w:rPr>
        <w:t>í</w:t>
      </w:r>
      <w:r>
        <w:rPr>
          <w:spacing w:val="-5"/>
          <w:sz w:val="18"/>
          <w:szCs w:val="18"/>
          <w:lang w:val="es-ES_tradnl"/>
        </w:rPr>
        <w:t>a</w:t>
      </w:r>
      <w:r>
        <w:rPr>
          <w:rFonts w:cs="Times New Roman"/>
          <w:spacing w:val="-5"/>
          <w:sz w:val="18"/>
          <w:szCs w:val="18"/>
          <w:lang w:val="es-ES_tradnl"/>
        </w:rPr>
        <w:t>”</w:t>
      </w:r>
      <w:r>
        <w:rPr>
          <w:spacing w:val="-5"/>
          <w:sz w:val="18"/>
          <w:szCs w:val="18"/>
          <w:lang w:val="es-ES_tradnl"/>
        </w:rPr>
        <w:t xml:space="preserve">, aspectos que no </w:t>
      </w:r>
      <w:r>
        <w:rPr>
          <w:spacing w:val="-8"/>
          <w:sz w:val="18"/>
          <w:szCs w:val="18"/>
          <w:lang w:val="es-ES_tradnl"/>
        </w:rPr>
        <w:t xml:space="preserve">corresponden ser analizados mediante control abstracto de </w:t>
      </w:r>
      <w:r>
        <w:rPr>
          <w:spacing w:val="-7"/>
          <w:sz w:val="18"/>
          <w:szCs w:val="18"/>
          <w:lang w:val="es-ES_tradnl"/>
        </w:rPr>
        <w:t xml:space="preserve">constitucionalidad, y en consecuencia tornan a la presente </w:t>
      </w:r>
      <w:r>
        <w:rPr>
          <w:sz w:val="18"/>
          <w:szCs w:val="18"/>
          <w:lang w:val="es-ES_tradnl"/>
        </w:rPr>
        <w:t>acci</w:t>
      </w:r>
      <w:r>
        <w:rPr>
          <w:rFonts w:cs="Times New Roman"/>
          <w:sz w:val="18"/>
          <w:szCs w:val="18"/>
          <w:lang w:val="es-ES_tradnl"/>
        </w:rPr>
        <w:t>ó</w:t>
      </w:r>
      <w:r>
        <w:rPr>
          <w:sz w:val="18"/>
          <w:szCs w:val="18"/>
          <w:lang w:val="es-ES_tradnl"/>
        </w:rPr>
        <w:t>n en improcedente.</w:t>
      </w:r>
    </w:p>
    <w:p w14:paraId="4F67A72F" w14:textId="77777777" w:rsidR="00591D54" w:rsidRDefault="00591D54">
      <w:pPr>
        <w:shd w:val="clear" w:color="auto" w:fill="FFFFFF"/>
        <w:spacing w:before="202" w:line="221" w:lineRule="exact"/>
        <w:jc w:val="both"/>
      </w:pPr>
      <w:r>
        <w:rPr>
          <w:spacing w:val="-1"/>
          <w:sz w:val="18"/>
          <w:szCs w:val="18"/>
          <w:lang w:val="es-ES_tradnl"/>
        </w:rPr>
        <w:t>Finalmente, la tercera disposici</w:t>
      </w:r>
      <w:r>
        <w:rPr>
          <w:rFonts w:cs="Times New Roman"/>
          <w:spacing w:val="-1"/>
          <w:sz w:val="18"/>
          <w:szCs w:val="18"/>
          <w:lang w:val="es-ES_tradnl"/>
        </w:rPr>
        <w:t>ó</w:t>
      </w:r>
      <w:r>
        <w:rPr>
          <w:spacing w:val="-1"/>
          <w:sz w:val="18"/>
          <w:szCs w:val="18"/>
          <w:lang w:val="es-ES_tradnl"/>
        </w:rPr>
        <w:t xml:space="preserve">n transitoria de la </w:t>
      </w:r>
      <w:r>
        <w:rPr>
          <w:spacing w:val="-2"/>
          <w:sz w:val="18"/>
          <w:szCs w:val="18"/>
          <w:lang w:val="es-ES_tradnl"/>
        </w:rPr>
        <w:t>Ordenanza del Sistema de Gesti</w:t>
      </w:r>
      <w:r>
        <w:rPr>
          <w:rFonts w:cs="Times New Roman"/>
          <w:spacing w:val="-2"/>
          <w:sz w:val="18"/>
          <w:szCs w:val="18"/>
          <w:lang w:val="es-ES_tradnl"/>
        </w:rPr>
        <w:t>ó</w:t>
      </w:r>
      <w:r>
        <w:rPr>
          <w:spacing w:val="-2"/>
          <w:sz w:val="18"/>
          <w:szCs w:val="18"/>
          <w:lang w:val="es-ES_tradnl"/>
        </w:rPr>
        <w:t>n y Participaci</w:t>
      </w:r>
      <w:r>
        <w:rPr>
          <w:rFonts w:cs="Times New Roman"/>
          <w:spacing w:val="-2"/>
          <w:sz w:val="18"/>
          <w:szCs w:val="18"/>
          <w:lang w:val="es-ES_tradnl"/>
        </w:rPr>
        <w:t>ó</w:t>
      </w:r>
      <w:r>
        <w:rPr>
          <w:spacing w:val="-2"/>
          <w:sz w:val="18"/>
          <w:szCs w:val="18"/>
          <w:lang w:val="es-ES_tradnl"/>
        </w:rPr>
        <w:t>n Ciudadana del Cant</w:t>
      </w:r>
      <w:r>
        <w:rPr>
          <w:rFonts w:cs="Times New Roman"/>
          <w:spacing w:val="-2"/>
          <w:sz w:val="18"/>
          <w:szCs w:val="18"/>
          <w:lang w:val="es-ES_tradnl"/>
        </w:rPr>
        <w:t>ó</w:t>
      </w:r>
      <w:r>
        <w:rPr>
          <w:spacing w:val="-2"/>
          <w:sz w:val="18"/>
          <w:szCs w:val="18"/>
          <w:lang w:val="es-ES_tradnl"/>
        </w:rPr>
        <w:t>n Rumi</w:t>
      </w:r>
      <w:r>
        <w:rPr>
          <w:rFonts w:cs="Times New Roman"/>
          <w:spacing w:val="-2"/>
          <w:sz w:val="18"/>
          <w:szCs w:val="18"/>
          <w:lang w:val="es-ES_tradnl"/>
        </w:rPr>
        <w:t>ñ</w:t>
      </w:r>
      <w:r>
        <w:rPr>
          <w:spacing w:val="-2"/>
          <w:sz w:val="18"/>
          <w:szCs w:val="18"/>
          <w:lang w:val="es-ES_tradnl"/>
        </w:rPr>
        <w:t xml:space="preserve">ahui establece que la </w:t>
      </w:r>
      <w:r>
        <w:rPr>
          <w:spacing w:val="-5"/>
          <w:sz w:val="18"/>
          <w:szCs w:val="18"/>
          <w:lang w:val="es-ES_tradnl"/>
        </w:rPr>
        <w:t>rendici</w:t>
      </w:r>
      <w:r>
        <w:rPr>
          <w:rFonts w:cs="Times New Roman"/>
          <w:spacing w:val="-5"/>
          <w:sz w:val="18"/>
          <w:szCs w:val="18"/>
          <w:lang w:val="es-ES_tradnl"/>
        </w:rPr>
        <w:t>ó</w:t>
      </w:r>
      <w:r>
        <w:rPr>
          <w:spacing w:val="-5"/>
          <w:sz w:val="18"/>
          <w:szCs w:val="18"/>
          <w:lang w:val="es-ES_tradnl"/>
        </w:rPr>
        <w:t>n de cuentas ser</w:t>
      </w:r>
      <w:r>
        <w:rPr>
          <w:rFonts w:cs="Times New Roman"/>
          <w:spacing w:val="-5"/>
          <w:sz w:val="18"/>
          <w:szCs w:val="18"/>
          <w:lang w:val="es-ES_tradnl"/>
        </w:rPr>
        <w:t>á</w:t>
      </w:r>
      <w:r>
        <w:rPr>
          <w:spacing w:val="-5"/>
          <w:sz w:val="18"/>
          <w:szCs w:val="18"/>
          <w:lang w:val="es-ES_tradnl"/>
        </w:rPr>
        <w:t xml:space="preserve"> puesta en pr</w:t>
      </w:r>
      <w:r>
        <w:rPr>
          <w:rFonts w:cs="Times New Roman"/>
          <w:spacing w:val="-5"/>
          <w:sz w:val="18"/>
          <w:szCs w:val="18"/>
          <w:lang w:val="es-ES_tradnl"/>
        </w:rPr>
        <w:t>á</w:t>
      </w:r>
      <w:r>
        <w:rPr>
          <w:spacing w:val="-5"/>
          <w:sz w:val="18"/>
          <w:szCs w:val="18"/>
          <w:lang w:val="es-ES_tradnl"/>
        </w:rPr>
        <w:t xml:space="preserve">ctica a partir del </w:t>
      </w:r>
      <w:r>
        <w:rPr>
          <w:spacing w:val="-2"/>
          <w:sz w:val="18"/>
          <w:szCs w:val="18"/>
          <w:lang w:val="es-ES_tradnl"/>
        </w:rPr>
        <w:t>a</w:t>
      </w:r>
      <w:r>
        <w:rPr>
          <w:rFonts w:cs="Times New Roman"/>
          <w:spacing w:val="-2"/>
          <w:sz w:val="18"/>
          <w:szCs w:val="18"/>
          <w:lang w:val="es-ES_tradnl"/>
        </w:rPr>
        <w:t>ñ</w:t>
      </w:r>
      <w:r>
        <w:rPr>
          <w:spacing w:val="-2"/>
          <w:sz w:val="18"/>
          <w:szCs w:val="18"/>
          <w:lang w:val="es-ES_tradnl"/>
        </w:rPr>
        <w:t>o 2012, pues este subsistema requiere la ejecuci</w:t>
      </w:r>
      <w:r>
        <w:rPr>
          <w:rFonts w:cs="Times New Roman"/>
          <w:spacing w:val="-2"/>
          <w:sz w:val="18"/>
          <w:szCs w:val="18"/>
          <w:lang w:val="es-ES_tradnl"/>
        </w:rPr>
        <w:t>ó</w:t>
      </w:r>
      <w:r>
        <w:rPr>
          <w:spacing w:val="-2"/>
          <w:sz w:val="18"/>
          <w:szCs w:val="18"/>
          <w:lang w:val="es-ES_tradnl"/>
        </w:rPr>
        <w:t xml:space="preserve">n </w:t>
      </w:r>
      <w:r>
        <w:rPr>
          <w:spacing w:val="-3"/>
          <w:sz w:val="18"/>
          <w:szCs w:val="18"/>
          <w:lang w:val="es-ES_tradnl"/>
        </w:rPr>
        <w:t>del modelo de gesti</w:t>
      </w:r>
      <w:r>
        <w:rPr>
          <w:rFonts w:cs="Times New Roman"/>
          <w:spacing w:val="-3"/>
          <w:sz w:val="18"/>
          <w:szCs w:val="18"/>
          <w:lang w:val="es-ES_tradnl"/>
        </w:rPr>
        <w:t>ó</w:t>
      </w:r>
      <w:r>
        <w:rPr>
          <w:spacing w:val="-3"/>
          <w:sz w:val="18"/>
          <w:szCs w:val="18"/>
          <w:lang w:val="es-ES_tradnl"/>
        </w:rPr>
        <w:t>n y participaci</w:t>
      </w:r>
      <w:r>
        <w:rPr>
          <w:rFonts w:cs="Times New Roman"/>
          <w:spacing w:val="-3"/>
          <w:sz w:val="18"/>
          <w:szCs w:val="18"/>
          <w:lang w:val="es-ES_tradnl"/>
        </w:rPr>
        <w:t>ó</w:t>
      </w:r>
      <w:r>
        <w:rPr>
          <w:spacing w:val="-3"/>
          <w:sz w:val="18"/>
          <w:szCs w:val="18"/>
          <w:lang w:val="es-ES_tradnl"/>
        </w:rPr>
        <w:t xml:space="preserve">n con fines de </w:t>
      </w:r>
      <w:r>
        <w:rPr>
          <w:spacing w:val="-4"/>
          <w:sz w:val="18"/>
          <w:szCs w:val="18"/>
          <w:lang w:val="es-ES_tradnl"/>
        </w:rPr>
        <w:t>presupuestaci</w:t>
      </w:r>
      <w:r>
        <w:rPr>
          <w:rFonts w:cs="Times New Roman"/>
          <w:spacing w:val="-4"/>
          <w:sz w:val="18"/>
          <w:szCs w:val="18"/>
          <w:lang w:val="es-ES_tradnl"/>
        </w:rPr>
        <w:t>ó</w:t>
      </w:r>
      <w:r>
        <w:rPr>
          <w:spacing w:val="-4"/>
          <w:sz w:val="18"/>
          <w:szCs w:val="18"/>
          <w:lang w:val="es-ES_tradnl"/>
        </w:rPr>
        <w:t>n participativa; por tanto, en el a</w:t>
      </w:r>
      <w:r>
        <w:rPr>
          <w:rFonts w:cs="Times New Roman"/>
          <w:spacing w:val="-4"/>
          <w:sz w:val="18"/>
          <w:szCs w:val="18"/>
          <w:lang w:val="es-ES_tradnl"/>
        </w:rPr>
        <w:t>ñ</w:t>
      </w:r>
      <w:r>
        <w:rPr>
          <w:spacing w:val="-4"/>
          <w:sz w:val="18"/>
          <w:szCs w:val="18"/>
          <w:lang w:val="es-ES_tradnl"/>
        </w:rPr>
        <w:t>o 2011 se realiz</w:t>
      </w:r>
      <w:r>
        <w:rPr>
          <w:rFonts w:cs="Times New Roman"/>
          <w:spacing w:val="-4"/>
          <w:sz w:val="18"/>
          <w:szCs w:val="18"/>
          <w:lang w:val="es-ES_tradnl"/>
        </w:rPr>
        <w:t>ó</w:t>
      </w:r>
      <w:r>
        <w:rPr>
          <w:spacing w:val="-4"/>
          <w:sz w:val="18"/>
          <w:szCs w:val="18"/>
          <w:lang w:val="es-ES_tradnl"/>
        </w:rPr>
        <w:t xml:space="preserve">, por </w:t>
      </w:r>
      <w:r>
        <w:rPr>
          <w:rFonts w:cs="Times New Roman"/>
          <w:spacing w:val="-4"/>
          <w:sz w:val="18"/>
          <w:szCs w:val="18"/>
          <w:lang w:val="es-ES_tradnl"/>
        </w:rPr>
        <w:t>ú</w:t>
      </w:r>
      <w:r>
        <w:rPr>
          <w:spacing w:val="-4"/>
          <w:sz w:val="18"/>
          <w:szCs w:val="18"/>
          <w:lang w:val="es-ES_tradnl"/>
        </w:rPr>
        <w:t xml:space="preserve">ltima vez, el correspondiente informe de </w:t>
      </w:r>
      <w:r>
        <w:rPr>
          <w:sz w:val="18"/>
          <w:szCs w:val="18"/>
          <w:lang w:val="es-ES_tradnl"/>
        </w:rPr>
        <w:t>labores.</w:t>
      </w:r>
    </w:p>
    <w:p w14:paraId="4F67A730" w14:textId="77777777" w:rsidR="00591D54" w:rsidRDefault="00591D54">
      <w:pPr>
        <w:shd w:val="clear" w:color="auto" w:fill="FFFFFF"/>
        <w:spacing w:before="202" w:line="226" w:lineRule="exact"/>
        <w:jc w:val="both"/>
      </w:pPr>
      <w:r>
        <w:rPr>
          <w:spacing w:val="-8"/>
          <w:sz w:val="18"/>
          <w:szCs w:val="18"/>
          <w:lang w:val="es-ES_tradnl"/>
        </w:rPr>
        <w:t>El accionante sostiene que la disposici</w:t>
      </w:r>
      <w:r>
        <w:rPr>
          <w:rFonts w:cs="Times New Roman"/>
          <w:spacing w:val="-8"/>
          <w:sz w:val="18"/>
          <w:szCs w:val="18"/>
          <w:lang w:val="es-ES_tradnl"/>
        </w:rPr>
        <w:t>ó</w:t>
      </w:r>
      <w:r>
        <w:rPr>
          <w:spacing w:val="-8"/>
          <w:sz w:val="18"/>
          <w:szCs w:val="18"/>
          <w:lang w:val="es-ES_tradnl"/>
        </w:rPr>
        <w:t xml:space="preserve">n transitoria tercera </w:t>
      </w:r>
      <w:r>
        <w:rPr>
          <w:spacing w:val="-3"/>
          <w:sz w:val="18"/>
          <w:szCs w:val="18"/>
          <w:lang w:val="es-ES_tradnl"/>
        </w:rPr>
        <w:t>transgrede lo previsto en los art</w:t>
      </w:r>
      <w:r>
        <w:rPr>
          <w:rFonts w:cs="Times New Roman"/>
          <w:spacing w:val="-3"/>
          <w:sz w:val="18"/>
          <w:szCs w:val="18"/>
          <w:lang w:val="es-ES_tradnl"/>
        </w:rPr>
        <w:t>í</w:t>
      </w:r>
      <w:r>
        <w:rPr>
          <w:spacing w:val="-3"/>
          <w:sz w:val="18"/>
          <w:szCs w:val="18"/>
          <w:lang w:val="es-ES_tradnl"/>
        </w:rPr>
        <w:t>culos 88 y 89 de la Ley</w:t>
      </w:r>
    </w:p>
    <w:p w14:paraId="4F67A731" w14:textId="77777777" w:rsidR="00591D54" w:rsidRDefault="00591D54">
      <w:pPr>
        <w:shd w:val="clear" w:color="auto" w:fill="FFFFFF"/>
        <w:spacing w:line="226" w:lineRule="exact"/>
        <w:jc w:val="both"/>
      </w:pPr>
      <w:r>
        <w:br w:type="column"/>
      </w:r>
      <w:r>
        <w:rPr>
          <w:spacing w:val="-4"/>
          <w:sz w:val="18"/>
          <w:szCs w:val="18"/>
          <w:lang w:val="es-ES_tradnl"/>
        </w:rPr>
        <w:t>Org</w:t>
      </w:r>
      <w:r>
        <w:rPr>
          <w:rFonts w:cs="Times New Roman"/>
          <w:spacing w:val="-4"/>
          <w:sz w:val="18"/>
          <w:szCs w:val="18"/>
          <w:lang w:val="es-ES_tradnl"/>
        </w:rPr>
        <w:t>á</w:t>
      </w:r>
      <w:r>
        <w:rPr>
          <w:spacing w:val="-4"/>
          <w:sz w:val="18"/>
          <w:szCs w:val="18"/>
          <w:lang w:val="es-ES_tradnl"/>
        </w:rPr>
        <w:t>nica de Participaci</w:t>
      </w:r>
      <w:r>
        <w:rPr>
          <w:rFonts w:cs="Times New Roman"/>
          <w:spacing w:val="-4"/>
          <w:sz w:val="18"/>
          <w:szCs w:val="18"/>
          <w:lang w:val="es-ES_tradnl"/>
        </w:rPr>
        <w:t>ó</w:t>
      </w:r>
      <w:r>
        <w:rPr>
          <w:spacing w:val="-4"/>
          <w:sz w:val="18"/>
          <w:szCs w:val="18"/>
          <w:lang w:val="es-ES_tradnl"/>
        </w:rPr>
        <w:t>n Ciudadana y los art</w:t>
      </w:r>
      <w:r>
        <w:rPr>
          <w:rFonts w:cs="Times New Roman"/>
          <w:spacing w:val="-4"/>
          <w:sz w:val="18"/>
          <w:szCs w:val="18"/>
          <w:lang w:val="es-ES_tradnl"/>
        </w:rPr>
        <w:t>í</w:t>
      </w:r>
      <w:r>
        <w:rPr>
          <w:spacing w:val="-4"/>
          <w:sz w:val="18"/>
          <w:szCs w:val="18"/>
          <w:lang w:val="es-ES_tradnl"/>
        </w:rPr>
        <w:t xml:space="preserve">culos 361 </w:t>
      </w:r>
      <w:r>
        <w:rPr>
          <w:spacing w:val="-3"/>
          <w:sz w:val="18"/>
          <w:szCs w:val="18"/>
          <w:lang w:val="es-ES_tradnl"/>
        </w:rPr>
        <w:t>y 363 del C</w:t>
      </w:r>
      <w:r>
        <w:rPr>
          <w:rFonts w:cs="Times New Roman"/>
          <w:spacing w:val="-3"/>
          <w:sz w:val="18"/>
          <w:szCs w:val="18"/>
          <w:lang w:val="es-ES_tradnl"/>
        </w:rPr>
        <w:t>ó</w:t>
      </w:r>
      <w:r>
        <w:rPr>
          <w:spacing w:val="-3"/>
          <w:sz w:val="18"/>
          <w:szCs w:val="18"/>
          <w:lang w:val="es-ES_tradnl"/>
        </w:rPr>
        <w:t>digo Org</w:t>
      </w:r>
      <w:r>
        <w:rPr>
          <w:rFonts w:cs="Times New Roman"/>
          <w:spacing w:val="-3"/>
          <w:sz w:val="18"/>
          <w:szCs w:val="18"/>
          <w:lang w:val="es-ES_tradnl"/>
        </w:rPr>
        <w:t>á</w:t>
      </w:r>
      <w:r>
        <w:rPr>
          <w:spacing w:val="-3"/>
          <w:sz w:val="18"/>
          <w:szCs w:val="18"/>
          <w:lang w:val="es-ES_tradnl"/>
        </w:rPr>
        <w:t>nico de Organizaci</w:t>
      </w:r>
      <w:r>
        <w:rPr>
          <w:rFonts w:cs="Times New Roman"/>
          <w:spacing w:val="-3"/>
          <w:sz w:val="18"/>
          <w:szCs w:val="18"/>
          <w:lang w:val="es-ES_tradnl"/>
        </w:rPr>
        <w:t>ó</w:t>
      </w:r>
      <w:r>
        <w:rPr>
          <w:spacing w:val="-3"/>
          <w:sz w:val="18"/>
          <w:szCs w:val="18"/>
          <w:lang w:val="es-ES_tradnl"/>
        </w:rPr>
        <w:t xml:space="preserve">n Territorial, </w:t>
      </w:r>
      <w:r>
        <w:rPr>
          <w:spacing w:val="-2"/>
          <w:sz w:val="18"/>
          <w:szCs w:val="18"/>
          <w:lang w:val="es-ES_tradnl"/>
        </w:rPr>
        <w:t>Autonom</w:t>
      </w:r>
      <w:r>
        <w:rPr>
          <w:rFonts w:cs="Times New Roman"/>
          <w:spacing w:val="-2"/>
          <w:sz w:val="18"/>
          <w:szCs w:val="18"/>
          <w:lang w:val="es-ES_tradnl"/>
        </w:rPr>
        <w:t>í</w:t>
      </w:r>
      <w:r>
        <w:rPr>
          <w:spacing w:val="-2"/>
          <w:sz w:val="18"/>
          <w:szCs w:val="18"/>
          <w:lang w:val="es-ES_tradnl"/>
        </w:rPr>
        <w:t>a y Descentralizaci</w:t>
      </w:r>
      <w:r>
        <w:rPr>
          <w:rFonts w:cs="Times New Roman"/>
          <w:spacing w:val="-2"/>
          <w:sz w:val="18"/>
          <w:szCs w:val="18"/>
          <w:lang w:val="es-ES_tradnl"/>
        </w:rPr>
        <w:t>ó</w:t>
      </w:r>
      <w:r>
        <w:rPr>
          <w:spacing w:val="-2"/>
          <w:sz w:val="18"/>
          <w:szCs w:val="18"/>
          <w:lang w:val="es-ES_tradnl"/>
        </w:rPr>
        <w:t xml:space="preserve">n, que exigen realizar </w:t>
      </w:r>
      <w:r>
        <w:rPr>
          <w:spacing w:val="-9"/>
          <w:sz w:val="18"/>
          <w:szCs w:val="18"/>
          <w:lang w:val="es-ES_tradnl"/>
        </w:rPr>
        <w:t>procesos de rendici</w:t>
      </w:r>
      <w:r>
        <w:rPr>
          <w:rFonts w:cs="Times New Roman"/>
          <w:spacing w:val="-9"/>
          <w:sz w:val="18"/>
          <w:szCs w:val="18"/>
          <w:lang w:val="es-ES_tradnl"/>
        </w:rPr>
        <w:t>ó</w:t>
      </w:r>
      <w:r>
        <w:rPr>
          <w:spacing w:val="-9"/>
          <w:sz w:val="18"/>
          <w:szCs w:val="18"/>
          <w:lang w:val="es-ES_tradnl"/>
        </w:rPr>
        <w:t>n de cuentas, y que la informaci</w:t>
      </w:r>
      <w:r>
        <w:rPr>
          <w:rFonts w:cs="Times New Roman"/>
          <w:spacing w:val="-9"/>
          <w:sz w:val="18"/>
          <w:szCs w:val="18"/>
          <w:lang w:val="es-ES_tradnl"/>
        </w:rPr>
        <w:t>ó</w:t>
      </w:r>
      <w:r>
        <w:rPr>
          <w:spacing w:val="-9"/>
          <w:sz w:val="18"/>
          <w:szCs w:val="18"/>
          <w:lang w:val="es-ES_tradnl"/>
        </w:rPr>
        <w:t xml:space="preserve">n que </w:t>
      </w:r>
      <w:r>
        <w:rPr>
          <w:spacing w:val="-8"/>
          <w:sz w:val="18"/>
          <w:szCs w:val="18"/>
          <w:lang w:val="es-ES_tradnl"/>
        </w:rPr>
        <w:t>debe hacer p</w:t>
      </w:r>
      <w:r>
        <w:rPr>
          <w:rFonts w:cs="Times New Roman"/>
          <w:spacing w:val="-8"/>
          <w:sz w:val="18"/>
          <w:szCs w:val="18"/>
          <w:lang w:val="es-ES_tradnl"/>
        </w:rPr>
        <w:t>ú</w:t>
      </w:r>
      <w:r>
        <w:rPr>
          <w:spacing w:val="-8"/>
          <w:sz w:val="18"/>
          <w:szCs w:val="18"/>
          <w:lang w:val="es-ES_tradnl"/>
        </w:rPr>
        <w:t>blica el Gobierno Aut</w:t>
      </w:r>
      <w:r>
        <w:rPr>
          <w:rFonts w:cs="Times New Roman"/>
          <w:spacing w:val="-8"/>
          <w:sz w:val="18"/>
          <w:szCs w:val="18"/>
          <w:lang w:val="es-ES_tradnl"/>
        </w:rPr>
        <w:t>ó</w:t>
      </w:r>
      <w:r>
        <w:rPr>
          <w:spacing w:val="-8"/>
          <w:sz w:val="18"/>
          <w:szCs w:val="18"/>
          <w:lang w:val="es-ES_tradnl"/>
        </w:rPr>
        <w:t xml:space="preserve">nomo Descentralizado </w:t>
      </w:r>
      <w:r>
        <w:rPr>
          <w:spacing w:val="-5"/>
          <w:sz w:val="18"/>
          <w:szCs w:val="18"/>
          <w:lang w:val="es-ES_tradnl"/>
        </w:rPr>
        <w:t>del cant</w:t>
      </w:r>
      <w:r>
        <w:rPr>
          <w:rFonts w:cs="Times New Roman"/>
          <w:spacing w:val="-5"/>
          <w:sz w:val="18"/>
          <w:szCs w:val="18"/>
          <w:lang w:val="es-ES_tradnl"/>
        </w:rPr>
        <w:t>ó</w:t>
      </w:r>
      <w:r>
        <w:rPr>
          <w:spacing w:val="-5"/>
          <w:sz w:val="18"/>
          <w:szCs w:val="18"/>
          <w:lang w:val="es-ES_tradnl"/>
        </w:rPr>
        <w:t>n Rumi</w:t>
      </w:r>
      <w:r>
        <w:rPr>
          <w:rFonts w:cs="Times New Roman"/>
          <w:spacing w:val="-5"/>
          <w:sz w:val="18"/>
          <w:szCs w:val="18"/>
          <w:lang w:val="es-ES_tradnl"/>
        </w:rPr>
        <w:t>ñ</w:t>
      </w:r>
      <w:r>
        <w:rPr>
          <w:spacing w:val="-5"/>
          <w:sz w:val="18"/>
          <w:szCs w:val="18"/>
          <w:lang w:val="es-ES_tradnl"/>
        </w:rPr>
        <w:t>ahui debe hacerse tambi</w:t>
      </w:r>
      <w:r>
        <w:rPr>
          <w:rFonts w:cs="Times New Roman"/>
          <w:spacing w:val="-5"/>
          <w:sz w:val="18"/>
          <w:szCs w:val="18"/>
          <w:lang w:val="es-ES_tradnl"/>
        </w:rPr>
        <w:t>é</w:t>
      </w:r>
      <w:r>
        <w:rPr>
          <w:spacing w:val="-5"/>
          <w:sz w:val="18"/>
          <w:szCs w:val="18"/>
          <w:lang w:val="es-ES_tradnl"/>
        </w:rPr>
        <w:t xml:space="preserve">n mediante otros medios, como por ejemplo el Internet, que a criterio </w:t>
      </w:r>
      <w:r>
        <w:rPr>
          <w:spacing w:val="-6"/>
          <w:sz w:val="18"/>
          <w:szCs w:val="18"/>
          <w:lang w:val="es-ES_tradnl"/>
        </w:rPr>
        <w:t xml:space="preserve">del demandante, no han sido tomados en cuenta en la </w:t>
      </w:r>
      <w:r>
        <w:rPr>
          <w:sz w:val="18"/>
          <w:szCs w:val="18"/>
          <w:lang w:val="es-ES_tradnl"/>
        </w:rPr>
        <w:t>ordenanza que impugna.</w:t>
      </w:r>
    </w:p>
    <w:p w14:paraId="4F67A732" w14:textId="77777777" w:rsidR="00591D54" w:rsidRDefault="00591D54">
      <w:pPr>
        <w:shd w:val="clear" w:color="auto" w:fill="FFFFFF"/>
        <w:spacing w:before="206" w:line="226" w:lineRule="exact"/>
        <w:jc w:val="both"/>
      </w:pPr>
      <w:r>
        <w:rPr>
          <w:spacing w:val="-8"/>
          <w:sz w:val="18"/>
          <w:szCs w:val="18"/>
          <w:lang w:val="es-ES_tradnl"/>
        </w:rPr>
        <w:t>De lo expuesto se concluye que la imputaci</w:t>
      </w:r>
      <w:r>
        <w:rPr>
          <w:rFonts w:cs="Times New Roman"/>
          <w:spacing w:val="-8"/>
          <w:sz w:val="18"/>
          <w:szCs w:val="18"/>
          <w:lang w:val="es-ES_tradnl"/>
        </w:rPr>
        <w:t>ó</w:t>
      </w:r>
      <w:r>
        <w:rPr>
          <w:spacing w:val="-8"/>
          <w:sz w:val="18"/>
          <w:szCs w:val="18"/>
          <w:lang w:val="es-ES_tradnl"/>
        </w:rPr>
        <w:t xml:space="preserve">n que se hace </w:t>
      </w:r>
      <w:r>
        <w:rPr>
          <w:spacing w:val="-5"/>
          <w:sz w:val="18"/>
          <w:szCs w:val="18"/>
          <w:lang w:val="es-ES_tradnl"/>
        </w:rPr>
        <w:t>a la disposici</w:t>
      </w:r>
      <w:r>
        <w:rPr>
          <w:rFonts w:cs="Times New Roman"/>
          <w:spacing w:val="-5"/>
          <w:sz w:val="18"/>
          <w:szCs w:val="18"/>
          <w:lang w:val="es-ES_tradnl"/>
        </w:rPr>
        <w:t>ó</w:t>
      </w:r>
      <w:r>
        <w:rPr>
          <w:spacing w:val="-5"/>
          <w:sz w:val="18"/>
          <w:szCs w:val="18"/>
          <w:lang w:val="es-ES_tradnl"/>
        </w:rPr>
        <w:t xml:space="preserve">n transitoria tercera de la Ordenanza del </w:t>
      </w:r>
      <w:r>
        <w:rPr>
          <w:spacing w:val="-6"/>
          <w:sz w:val="18"/>
          <w:szCs w:val="18"/>
          <w:lang w:val="es-ES_tradnl"/>
        </w:rPr>
        <w:t>Sistema de Gesti</w:t>
      </w:r>
      <w:r>
        <w:rPr>
          <w:rFonts w:cs="Times New Roman"/>
          <w:spacing w:val="-6"/>
          <w:sz w:val="18"/>
          <w:szCs w:val="18"/>
          <w:lang w:val="es-ES_tradnl"/>
        </w:rPr>
        <w:t>ó</w:t>
      </w:r>
      <w:r>
        <w:rPr>
          <w:spacing w:val="-6"/>
          <w:sz w:val="18"/>
          <w:szCs w:val="18"/>
          <w:lang w:val="es-ES_tradnl"/>
        </w:rPr>
        <w:t>n y Participaci</w:t>
      </w:r>
      <w:r>
        <w:rPr>
          <w:rFonts w:cs="Times New Roman"/>
          <w:spacing w:val="-6"/>
          <w:sz w:val="18"/>
          <w:szCs w:val="18"/>
          <w:lang w:val="es-ES_tradnl"/>
        </w:rPr>
        <w:t>ó</w:t>
      </w:r>
      <w:r>
        <w:rPr>
          <w:spacing w:val="-6"/>
          <w:sz w:val="18"/>
          <w:szCs w:val="18"/>
          <w:lang w:val="es-ES_tradnl"/>
        </w:rPr>
        <w:t>n Ciudadana del cant</w:t>
      </w:r>
      <w:r>
        <w:rPr>
          <w:rFonts w:cs="Times New Roman"/>
          <w:spacing w:val="-6"/>
          <w:sz w:val="18"/>
          <w:szCs w:val="18"/>
          <w:lang w:val="es-ES_tradnl"/>
        </w:rPr>
        <w:t>ó</w:t>
      </w:r>
      <w:r>
        <w:rPr>
          <w:spacing w:val="-6"/>
          <w:sz w:val="18"/>
          <w:szCs w:val="18"/>
          <w:lang w:val="es-ES_tradnl"/>
        </w:rPr>
        <w:t xml:space="preserve">n </w:t>
      </w:r>
      <w:r>
        <w:rPr>
          <w:spacing w:val="-10"/>
          <w:sz w:val="18"/>
          <w:szCs w:val="18"/>
          <w:lang w:val="es-ES_tradnl"/>
        </w:rPr>
        <w:t>Rumi</w:t>
      </w:r>
      <w:r>
        <w:rPr>
          <w:rFonts w:cs="Times New Roman"/>
          <w:spacing w:val="-10"/>
          <w:sz w:val="18"/>
          <w:szCs w:val="18"/>
          <w:lang w:val="es-ES_tradnl"/>
        </w:rPr>
        <w:t>ñ</w:t>
      </w:r>
      <w:r>
        <w:rPr>
          <w:spacing w:val="-10"/>
          <w:sz w:val="18"/>
          <w:szCs w:val="18"/>
          <w:lang w:val="es-ES_tradnl"/>
        </w:rPr>
        <w:t>ahui se sustenta en la aparente transgresi</w:t>
      </w:r>
      <w:r>
        <w:rPr>
          <w:rFonts w:cs="Times New Roman"/>
          <w:spacing w:val="-10"/>
          <w:sz w:val="18"/>
          <w:szCs w:val="18"/>
          <w:lang w:val="es-ES_tradnl"/>
        </w:rPr>
        <w:t>ó</w:t>
      </w:r>
      <w:r>
        <w:rPr>
          <w:spacing w:val="-10"/>
          <w:sz w:val="18"/>
          <w:szCs w:val="18"/>
          <w:lang w:val="es-ES_tradnl"/>
        </w:rPr>
        <w:t xml:space="preserve">n de la Ley </w:t>
      </w:r>
      <w:r>
        <w:rPr>
          <w:spacing w:val="-6"/>
          <w:sz w:val="18"/>
          <w:szCs w:val="18"/>
          <w:lang w:val="es-ES_tradnl"/>
        </w:rPr>
        <w:t xml:space="preserve">y no en normas constitucionales, supuesto que excluye la labor de control por parte de la Corte Constitucional, pues </w:t>
      </w:r>
      <w:r>
        <w:rPr>
          <w:spacing w:val="-3"/>
          <w:sz w:val="18"/>
          <w:szCs w:val="18"/>
          <w:lang w:val="es-ES_tradnl"/>
        </w:rPr>
        <w:t>la impugnaci</w:t>
      </w:r>
      <w:r>
        <w:rPr>
          <w:rFonts w:cs="Times New Roman"/>
          <w:spacing w:val="-3"/>
          <w:sz w:val="18"/>
          <w:szCs w:val="18"/>
          <w:lang w:val="es-ES_tradnl"/>
        </w:rPr>
        <w:t>ó</w:t>
      </w:r>
      <w:r>
        <w:rPr>
          <w:spacing w:val="-3"/>
          <w:sz w:val="18"/>
          <w:szCs w:val="18"/>
          <w:lang w:val="es-ES_tradnl"/>
        </w:rPr>
        <w:t xml:space="preserve">n que hace el legitimado activo se refiere </w:t>
      </w:r>
      <w:r>
        <w:rPr>
          <w:spacing w:val="-6"/>
          <w:sz w:val="18"/>
          <w:szCs w:val="18"/>
          <w:lang w:val="es-ES_tradnl"/>
        </w:rPr>
        <w:t xml:space="preserve">a asuntos de orden legal, ajenos al control abstracto de </w:t>
      </w:r>
      <w:r>
        <w:rPr>
          <w:spacing w:val="-4"/>
          <w:sz w:val="18"/>
          <w:szCs w:val="18"/>
          <w:lang w:val="es-ES_tradnl"/>
        </w:rPr>
        <w:t>constitucionalidad, previsto en el art</w:t>
      </w:r>
      <w:r>
        <w:rPr>
          <w:rFonts w:cs="Times New Roman"/>
          <w:spacing w:val="-4"/>
          <w:sz w:val="18"/>
          <w:szCs w:val="18"/>
          <w:lang w:val="es-ES_tradnl"/>
        </w:rPr>
        <w:t>í</w:t>
      </w:r>
      <w:r>
        <w:rPr>
          <w:spacing w:val="-4"/>
          <w:sz w:val="18"/>
          <w:szCs w:val="18"/>
          <w:lang w:val="es-ES_tradnl"/>
        </w:rPr>
        <w:t xml:space="preserve">culo 436 numeral 2 </w:t>
      </w:r>
      <w:r>
        <w:rPr>
          <w:sz w:val="18"/>
          <w:szCs w:val="18"/>
          <w:lang w:val="es-ES_tradnl"/>
        </w:rPr>
        <w:t>de la Carta Suprema de la Rep</w:t>
      </w:r>
      <w:r>
        <w:rPr>
          <w:rFonts w:cs="Times New Roman"/>
          <w:sz w:val="18"/>
          <w:szCs w:val="18"/>
          <w:lang w:val="es-ES_tradnl"/>
        </w:rPr>
        <w:t>ú</w:t>
      </w:r>
      <w:r>
        <w:rPr>
          <w:sz w:val="18"/>
          <w:szCs w:val="18"/>
          <w:lang w:val="es-ES_tradnl"/>
        </w:rPr>
        <w:t>blica.</w:t>
      </w:r>
    </w:p>
    <w:p w14:paraId="4F67A733" w14:textId="77777777" w:rsidR="00591D54" w:rsidRDefault="00591D54">
      <w:pPr>
        <w:shd w:val="clear" w:color="auto" w:fill="FFFFFF"/>
        <w:spacing w:before="206" w:line="226" w:lineRule="exact"/>
        <w:jc w:val="both"/>
      </w:pPr>
      <w:r>
        <w:rPr>
          <w:spacing w:val="-5"/>
          <w:sz w:val="18"/>
          <w:szCs w:val="18"/>
          <w:lang w:val="es-ES_tradnl"/>
        </w:rPr>
        <w:t>La Corte Constitucional, en los casos acumulados N.</w:t>
      </w:r>
      <w:r>
        <w:rPr>
          <w:rFonts w:cs="Times New Roman"/>
          <w:spacing w:val="-5"/>
          <w:sz w:val="18"/>
          <w:szCs w:val="18"/>
          <w:lang w:val="es-ES_tradnl"/>
        </w:rPr>
        <w:t xml:space="preserve">º </w:t>
      </w:r>
      <w:r>
        <w:rPr>
          <w:sz w:val="18"/>
          <w:szCs w:val="18"/>
          <w:lang w:val="es-ES_tradnl"/>
        </w:rPr>
        <w:t>0042-11-IN, 0043-11-IN y 0045-11-IN, expidi</w:t>
      </w:r>
      <w:r>
        <w:rPr>
          <w:rFonts w:cs="Times New Roman"/>
          <w:sz w:val="18"/>
          <w:szCs w:val="18"/>
          <w:lang w:val="es-ES_tradnl"/>
        </w:rPr>
        <w:t>ó</w:t>
      </w:r>
      <w:r>
        <w:rPr>
          <w:sz w:val="18"/>
          <w:szCs w:val="18"/>
          <w:lang w:val="es-ES_tradnl"/>
        </w:rPr>
        <w:t xml:space="preserve"> la </w:t>
      </w:r>
      <w:r>
        <w:rPr>
          <w:spacing w:val="-4"/>
          <w:sz w:val="18"/>
          <w:szCs w:val="18"/>
          <w:lang w:val="es-ES_tradnl"/>
        </w:rPr>
        <w:t>sentencia N.</w:t>
      </w:r>
      <w:r>
        <w:rPr>
          <w:rFonts w:cs="Times New Roman"/>
          <w:spacing w:val="-4"/>
          <w:sz w:val="18"/>
          <w:szCs w:val="18"/>
          <w:lang w:val="es-ES_tradnl"/>
        </w:rPr>
        <w:t>º</w:t>
      </w:r>
      <w:r>
        <w:rPr>
          <w:spacing w:val="-4"/>
          <w:sz w:val="18"/>
          <w:szCs w:val="18"/>
          <w:lang w:val="es-ES_tradnl"/>
        </w:rPr>
        <w:t xml:space="preserve"> 003-13-SIN-CC del 4 de abril de 2013, en </w:t>
      </w:r>
      <w:r>
        <w:rPr>
          <w:spacing w:val="-6"/>
          <w:sz w:val="18"/>
          <w:szCs w:val="18"/>
          <w:lang w:val="es-ES_tradnl"/>
        </w:rPr>
        <w:t xml:space="preserve">la cual, al analizar el acto normativo impugnado en dichas </w:t>
      </w:r>
      <w:r>
        <w:rPr>
          <w:spacing w:val="-3"/>
          <w:sz w:val="18"/>
          <w:szCs w:val="18"/>
          <w:lang w:val="es-ES_tradnl"/>
        </w:rPr>
        <w:t>causas (Decreto Ejecutivo N.</w:t>
      </w:r>
      <w:r>
        <w:rPr>
          <w:rFonts w:cs="Times New Roman"/>
          <w:spacing w:val="-3"/>
          <w:sz w:val="18"/>
          <w:szCs w:val="18"/>
          <w:lang w:val="es-ES_tradnl"/>
        </w:rPr>
        <w:t>º</w:t>
      </w:r>
      <w:r>
        <w:rPr>
          <w:spacing w:val="-3"/>
          <w:sz w:val="18"/>
          <w:szCs w:val="18"/>
          <w:lang w:val="es-ES_tradnl"/>
        </w:rPr>
        <w:t xml:space="preserve"> 813), concluy</w:t>
      </w:r>
      <w:r>
        <w:rPr>
          <w:rFonts w:cs="Times New Roman"/>
          <w:spacing w:val="-3"/>
          <w:sz w:val="18"/>
          <w:szCs w:val="18"/>
          <w:lang w:val="es-ES_tradnl"/>
        </w:rPr>
        <w:t>ó</w:t>
      </w:r>
      <w:r>
        <w:rPr>
          <w:spacing w:val="-3"/>
          <w:sz w:val="18"/>
          <w:szCs w:val="18"/>
          <w:lang w:val="es-ES_tradnl"/>
        </w:rPr>
        <w:t xml:space="preserve"> que los </w:t>
      </w:r>
      <w:r>
        <w:rPr>
          <w:spacing w:val="-8"/>
          <w:sz w:val="18"/>
          <w:szCs w:val="18"/>
          <w:lang w:val="es-ES_tradnl"/>
        </w:rPr>
        <w:t xml:space="preserve">cargos imputados por los demandantes se sustentaban en </w:t>
      </w:r>
      <w:r>
        <w:rPr>
          <w:spacing w:val="-5"/>
          <w:sz w:val="18"/>
          <w:szCs w:val="18"/>
          <w:lang w:val="es-ES_tradnl"/>
        </w:rPr>
        <w:t xml:space="preserve">la presunta antinomia entre normas infraconstitucionales </w:t>
      </w:r>
      <w:r>
        <w:rPr>
          <w:spacing w:val="-4"/>
          <w:sz w:val="18"/>
          <w:szCs w:val="18"/>
          <w:lang w:val="es-ES_tradnl"/>
        </w:rPr>
        <w:t>(decreto - ley), por lo cual se</w:t>
      </w:r>
      <w:r>
        <w:rPr>
          <w:rFonts w:cs="Times New Roman"/>
          <w:spacing w:val="-4"/>
          <w:sz w:val="18"/>
          <w:szCs w:val="18"/>
          <w:lang w:val="es-ES_tradnl"/>
        </w:rPr>
        <w:t>ñ</w:t>
      </w:r>
      <w:r>
        <w:rPr>
          <w:spacing w:val="-4"/>
          <w:sz w:val="18"/>
          <w:szCs w:val="18"/>
          <w:lang w:val="es-ES_tradnl"/>
        </w:rPr>
        <w:t>al</w:t>
      </w:r>
      <w:r>
        <w:rPr>
          <w:rFonts w:cs="Times New Roman"/>
          <w:spacing w:val="-4"/>
          <w:sz w:val="18"/>
          <w:szCs w:val="18"/>
          <w:lang w:val="es-ES_tradnl"/>
        </w:rPr>
        <w:t>ó</w:t>
      </w:r>
      <w:r>
        <w:rPr>
          <w:spacing w:val="-4"/>
          <w:sz w:val="18"/>
          <w:szCs w:val="18"/>
          <w:lang w:val="es-ES_tradnl"/>
        </w:rPr>
        <w:t xml:space="preserve"> lo siguiente:</w:t>
      </w:r>
    </w:p>
    <w:p w14:paraId="4F67A734" w14:textId="77777777" w:rsidR="00591D54" w:rsidRDefault="00591D54">
      <w:pPr>
        <w:shd w:val="clear" w:color="auto" w:fill="FFFFFF"/>
        <w:spacing w:before="211" w:line="226" w:lineRule="exact"/>
        <w:ind w:left="283"/>
        <w:jc w:val="both"/>
      </w:pPr>
      <w:r>
        <w:rPr>
          <w:spacing w:val="-3"/>
          <w:sz w:val="16"/>
          <w:szCs w:val="16"/>
          <w:lang w:val="es-ES_tradnl"/>
        </w:rPr>
        <w:t>Por consiguiente, la presunta vulneraci</w:t>
      </w:r>
      <w:r>
        <w:rPr>
          <w:rFonts w:cs="Times New Roman"/>
          <w:spacing w:val="-3"/>
          <w:sz w:val="16"/>
          <w:szCs w:val="16"/>
          <w:lang w:val="es-ES_tradnl"/>
        </w:rPr>
        <w:t>ó</w:t>
      </w:r>
      <w:r>
        <w:rPr>
          <w:spacing w:val="-3"/>
          <w:sz w:val="16"/>
          <w:szCs w:val="16"/>
          <w:lang w:val="es-ES_tradnl"/>
        </w:rPr>
        <w:t xml:space="preserve">n al principio de </w:t>
      </w:r>
      <w:r>
        <w:rPr>
          <w:spacing w:val="-2"/>
          <w:sz w:val="16"/>
          <w:szCs w:val="16"/>
          <w:lang w:val="es-ES_tradnl"/>
        </w:rPr>
        <w:t>jerarqu</w:t>
      </w:r>
      <w:r>
        <w:rPr>
          <w:rFonts w:cs="Times New Roman"/>
          <w:spacing w:val="-2"/>
          <w:sz w:val="16"/>
          <w:szCs w:val="16"/>
          <w:lang w:val="es-ES_tradnl"/>
        </w:rPr>
        <w:t>í</w:t>
      </w:r>
      <w:r>
        <w:rPr>
          <w:spacing w:val="-2"/>
          <w:sz w:val="16"/>
          <w:szCs w:val="16"/>
          <w:lang w:val="es-ES_tradnl"/>
        </w:rPr>
        <w:t>a normativa, sustentado en un confl icto decreto-</w:t>
      </w:r>
      <w:r>
        <w:rPr>
          <w:spacing w:val="-3"/>
          <w:sz w:val="16"/>
          <w:szCs w:val="16"/>
          <w:lang w:val="es-ES_tradnl"/>
        </w:rPr>
        <w:t xml:space="preserve">ley, no es materia de relevancia constitucional, sino de </w:t>
      </w:r>
      <w:r>
        <w:rPr>
          <w:spacing w:val="-4"/>
          <w:sz w:val="16"/>
          <w:szCs w:val="16"/>
          <w:lang w:val="es-ES_tradnl"/>
        </w:rPr>
        <w:t xml:space="preserve">legalidad; en tal virtud, no es un asunto de competencia de </w:t>
      </w:r>
      <w:r>
        <w:rPr>
          <w:spacing w:val="-1"/>
          <w:sz w:val="16"/>
          <w:szCs w:val="16"/>
          <w:lang w:val="es-ES_tradnl"/>
        </w:rPr>
        <w:t xml:space="preserve">la justicia constitucional. Por otro lado, se debe precisar </w:t>
      </w:r>
      <w:r>
        <w:rPr>
          <w:spacing w:val="-5"/>
          <w:sz w:val="16"/>
          <w:szCs w:val="16"/>
          <w:lang w:val="es-ES_tradnl"/>
        </w:rPr>
        <w:t>que el ordenamiento jur</w:t>
      </w:r>
      <w:r>
        <w:rPr>
          <w:rFonts w:cs="Times New Roman"/>
          <w:spacing w:val="-5"/>
          <w:sz w:val="16"/>
          <w:szCs w:val="16"/>
          <w:lang w:val="es-ES_tradnl"/>
        </w:rPr>
        <w:t>í</w:t>
      </w:r>
      <w:r>
        <w:rPr>
          <w:spacing w:val="-5"/>
          <w:sz w:val="16"/>
          <w:szCs w:val="16"/>
          <w:lang w:val="es-ES_tradnl"/>
        </w:rPr>
        <w:t xml:space="preserve">dico contempla mecanismos </w:t>
      </w:r>
      <w:r>
        <w:rPr>
          <w:spacing w:val="-6"/>
          <w:sz w:val="16"/>
          <w:szCs w:val="16"/>
          <w:lang w:val="es-ES_tradnl"/>
        </w:rPr>
        <w:t>jurisdiccionales de protecci</w:t>
      </w:r>
      <w:r>
        <w:rPr>
          <w:rFonts w:cs="Times New Roman"/>
          <w:spacing w:val="-6"/>
          <w:sz w:val="16"/>
          <w:szCs w:val="16"/>
          <w:lang w:val="es-ES_tradnl"/>
        </w:rPr>
        <w:t>ó</w:t>
      </w:r>
      <w:r>
        <w:rPr>
          <w:spacing w:val="-6"/>
          <w:sz w:val="16"/>
          <w:szCs w:val="16"/>
          <w:lang w:val="es-ES_tradnl"/>
        </w:rPr>
        <w:t xml:space="preserve">n pertinentes para la tutela de los </w:t>
      </w:r>
      <w:r>
        <w:rPr>
          <w:spacing w:val="-7"/>
          <w:sz w:val="16"/>
          <w:szCs w:val="16"/>
          <w:lang w:val="es-ES_tradnl"/>
        </w:rPr>
        <w:t xml:space="preserve">derechos de las personas que puedan ser objeto de lesiones </w:t>
      </w:r>
      <w:r>
        <w:rPr>
          <w:spacing w:val="-5"/>
          <w:sz w:val="16"/>
          <w:szCs w:val="16"/>
          <w:lang w:val="es-ES_tradnl"/>
        </w:rPr>
        <w:t xml:space="preserve">como consecuencia de una antinomia normativa de rango </w:t>
      </w:r>
      <w:r>
        <w:rPr>
          <w:spacing w:val="-3"/>
          <w:sz w:val="16"/>
          <w:szCs w:val="16"/>
          <w:lang w:val="es-ES_tradnl"/>
        </w:rPr>
        <w:t xml:space="preserve">infraconstitucional. Sostener lo contrario y permitir que la </w:t>
      </w:r>
      <w:r>
        <w:rPr>
          <w:spacing w:val="-4"/>
          <w:sz w:val="16"/>
          <w:szCs w:val="16"/>
          <w:lang w:val="es-ES_tradnl"/>
        </w:rPr>
        <w:t>justicia constitucional, en este caso, la Corte, incursione en esas competencias lesionar</w:t>
      </w:r>
      <w:r>
        <w:rPr>
          <w:rFonts w:cs="Times New Roman"/>
          <w:spacing w:val="-4"/>
          <w:sz w:val="16"/>
          <w:szCs w:val="16"/>
          <w:lang w:val="es-ES_tradnl"/>
        </w:rPr>
        <w:t>í</w:t>
      </w:r>
      <w:r>
        <w:rPr>
          <w:spacing w:val="-4"/>
          <w:sz w:val="16"/>
          <w:szCs w:val="16"/>
          <w:lang w:val="es-ES_tradnl"/>
        </w:rPr>
        <w:t>a el principio de interpretaci</w:t>
      </w:r>
      <w:r>
        <w:rPr>
          <w:rFonts w:cs="Times New Roman"/>
          <w:spacing w:val="-4"/>
          <w:sz w:val="16"/>
          <w:szCs w:val="16"/>
          <w:lang w:val="es-ES_tradnl"/>
        </w:rPr>
        <w:t>ó</w:t>
      </w:r>
      <w:r>
        <w:rPr>
          <w:spacing w:val="-4"/>
          <w:sz w:val="16"/>
          <w:szCs w:val="16"/>
          <w:lang w:val="es-ES_tradnl"/>
        </w:rPr>
        <w:t xml:space="preserve">n </w:t>
      </w:r>
      <w:r>
        <w:rPr>
          <w:spacing w:val="-3"/>
          <w:sz w:val="16"/>
          <w:szCs w:val="16"/>
          <w:lang w:val="es-ES_tradnl"/>
        </w:rPr>
        <w:t>integral de la Constituci</w:t>
      </w:r>
      <w:r>
        <w:rPr>
          <w:rFonts w:cs="Times New Roman"/>
          <w:spacing w:val="-3"/>
          <w:sz w:val="16"/>
          <w:szCs w:val="16"/>
          <w:lang w:val="es-ES_tradnl"/>
        </w:rPr>
        <w:t>ó</w:t>
      </w:r>
      <w:r>
        <w:rPr>
          <w:spacing w:val="-3"/>
          <w:sz w:val="16"/>
          <w:szCs w:val="16"/>
          <w:lang w:val="es-ES_tradnl"/>
        </w:rPr>
        <w:t>n y generar</w:t>
      </w:r>
      <w:r>
        <w:rPr>
          <w:rFonts w:cs="Times New Roman"/>
          <w:spacing w:val="-3"/>
          <w:sz w:val="16"/>
          <w:szCs w:val="16"/>
          <w:lang w:val="es-ES_tradnl"/>
        </w:rPr>
        <w:t>í</w:t>
      </w:r>
      <w:r>
        <w:rPr>
          <w:spacing w:val="-3"/>
          <w:sz w:val="16"/>
          <w:szCs w:val="16"/>
          <w:lang w:val="es-ES_tradnl"/>
        </w:rPr>
        <w:t xml:space="preserve">a como resultado que la justicia constitucional termine por absorber a la justicia </w:t>
      </w:r>
      <w:r>
        <w:rPr>
          <w:sz w:val="16"/>
          <w:szCs w:val="16"/>
          <w:lang w:val="es-ES_tradnl"/>
        </w:rPr>
        <w:t>ordinaria.</w:t>
      </w:r>
    </w:p>
    <w:p w14:paraId="4F67A735" w14:textId="77777777" w:rsidR="00591D54" w:rsidRDefault="00591D54">
      <w:pPr>
        <w:shd w:val="clear" w:color="auto" w:fill="FFFFFF"/>
        <w:spacing w:before="211" w:line="226" w:lineRule="exact"/>
        <w:jc w:val="both"/>
      </w:pPr>
      <w:r>
        <w:rPr>
          <w:spacing w:val="-10"/>
          <w:sz w:val="18"/>
          <w:szCs w:val="18"/>
          <w:lang w:val="es-ES_tradnl"/>
        </w:rPr>
        <w:t xml:space="preserve">En el presente caso, los cargos formulados por el legitimado </w:t>
      </w:r>
      <w:r>
        <w:rPr>
          <w:spacing w:val="-9"/>
          <w:sz w:val="18"/>
          <w:szCs w:val="18"/>
          <w:lang w:val="es-ES_tradnl"/>
        </w:rPr>
        <w:t xml:space="preserve">activo en su demanda de inconstitucionalidad, se sustentan </w:t>
      </w:r>
      <w:r>
        <w:rPr>
          <w:spacing w:val="-5"/>
          <w:sz w:val="18"/>
          <w:szCs w:val="18"/>
          <w:lang w:val="es-ES_tradnl"/>
        </w:rPr>
        <w:t>tambi</w:t>
      </w:r>
      <w:r>
        <w:rPr>
          <w:rFonts w:cs="Times New Roman"/>
          <w:spacing w:val="-5"/>
          <w:sz w:val="18"/>
          <w:szCs w:val="18"/>
          <w:lang w:val="es-ES_tradnl"/>
        </w:rPr>
        <w:t>é</w:t>
      </w:r>
      <w:r>
        <w:rPr>
          <w:spacing w:val="-5"/>
          <w:sz w:val="18"/>
          <w:szCs w:val="18"/>
          <w:lang w:val="es-ES_tradnl"/>
        </w:rPr>
        <w:t>n en la presunta contradicci</w:t>
      </w:r>
      <w:r>
        <w:rPr>
          <w:rFonts w:cs="Times New Roman"/>
          <w:spacing w:val="-5"/>
          <w:sz w:val="18"/>
          <w:szCs w:val="18"/>
          <w:lang w:val="es-ES_tradnl"/>
        </w:rPr>
        <w:t>ó</w:t>
      </w:r>
      <w:r>
        <w:rPr>
          <w:spacing w:val="-5"/>
          <w:sz w:val="18"/>
          <w:szCs w:val="18"/>
          <w:lang w:val="es-ES_tradnl"/>
        </w:rPr>
        <w:t xml:space="preserve">n o inobservancia de </w:t>
      </w:r>
      <w:r>
        <w:rPr>
          <w:spacing w:val="-4"/>
          <w:sz w:val="18"/>
          <w:szCs w:val="18"/>
          <w:lang w:val="es-ES_tradnl"/>
        </w:rPr>
        <w:t>normas contenidas en la Ley Org</w:t>
      </w:r>
      <w:r>
        <w:rPr>
          <w:rFonts w:cs="Times New Roman"/>
          <w:spacing w:val="-4"/>
          <w:sz w:val="18"/>
          <w:szCs w:val="18"/>
          <w:lang w:val="es-ES_tradnl"/>
        </w:rPr>
        <w:t>á</w:t>
      </w:r>
      <w:r>
        <w:rPr>
          <w:spacing w:val="-4"/>
          <w:sz w:val="18"/>
          <w:szCs w:val="18"/>
          <w:lang w:val="es-ES_tradnl"/>
        </w:rPr>
        <w:t>nica de Participaci</w:t>
      </w:r>
      <w:r>
        <w:rPr>
          <w:rFonts w:cs="Times New Roman"/>
          <w:spacing w:val="-4"/>
          <w:sz w:val="18"/>
          <w:szCs w:val="18"/>
          <w:lang w:val="es-ES_tradnl"/>
        </w:rPr>
        <w:t>ó</w:t>
      </w:r>
      <w:r>
        <w:rPr>
          <w:spacing w:val="-4"/>
          <w:sz w:val="18"/>
          <w:szCs w:val="18"/>
          <w:lang w:val="es-ES_tradnl"/>
        </w:rPr>
        <w:t>n Ciudadana y en el C</w:t>
      </w:r>
      <w:r>
        <w:rPr>
          <w:rFonts w:cs="Times New Roman"/>
          <w:spacing w:val="-4"/>
          <w:sz w:val="18"/>
          <w:szCs w:val="18"/>
          <w:lang w:val="es-ES_tradnl"/>
        </w:rPr>
        <w:t>ó</w:t>
      </w:r>
      <w:r>
        <w:rPr>
          <w:spacing w:val="-4"/>
          <w:sz w:val="18"/>
          <w:szCs w:val="18"/>
          <w:lang w:val="es-ES_tradnl"/>
        </w:rPr>
        <w:t>digo Org</w:t>
      </w:r>
      <w:r>
        <w:rPr>
          <w:rFonts w:cs="Times New Roman"/>
          <w:spacing w:val="-4"/>
          <w:sz w:val="18"/>
          <w:szCs w:val="18"/>
          <w:lang w:val="es-ES_tradnl"/>
        </w:rPr>
        <w:t>á</w:t>
      </w:r>
      <w:r>
        <w:rPr>
          <w:spacing w:val="-4"/>
          <w:sz w:val="18"/>
          <w:szCs w:val="18"/>
          <w:lang w:val="es-ES_tradnl"/>
        </w:rPr>
        <w:t>nico de Organizaci</w:t>
      </w:r>
      <w:r>
        <w:rPr>
          <w:rFonts w:cs="Times New Roman"/>
          <w:spacing w:val="-4"/>
          <w:sz w:val="18"/>
          <w:szCs w:val="18"/>
          <w:lang w:val="es-ES_tradnl"/>
        </w:rPr>
        <w:t>ó</w:t>
      </w:r>
      <w:r>
        <w:rPr>
          <w:spacing w:val="-4"/>
          <w:sz w:val="18"/>
          <w:szCs w:val="18"/>
          <w:lang w:val="es-ES_tradnl"/>
        </w:rPr>
        <w:t xml:space="preserve">n </w:t>
      </w:r>
      <w:r>
        <w:rPr>
          <w:sz w:val="18"/>
          <w:szCs w:val="18"/>
          <w:lang w:val="es-ES_tradnl"/>
        </w:rPr>
        <w:t>Territorial, Autonom</w:t>
      </w:r>
      <w:r>
        <w:rPr>
          <w:rFonts w:cs="Times New Roman"/>
          <w:sz w:val="18"/>
          <w:szCs w:val="18"/>
          <w:lang w:val="es-ES_tradnl"/>
        </w:rPr>
        <w:t>í</w:t>
      </w:r>
      <w:r>
        <w:rPr>
          <w:sz w:val="18"/>
          <w:szCs w:val="18"/>
          <w:lang w:val="es-ES_tradnl"/>
        </w:rPr>
        <w:t>a y Descentralizaci</w:t>
      </w:r>
      <w:r>
        <w:rPr>
          <w:rFonts w:cs="Times New Roman"/>
          <w:sz w:val="18"/>
          <w:szCs w:val="18"/>
          <w:lang w:val="es-ES_tradnl"/>
        </w:rPr>
        <w:t>ó</w:t>
      </w:r>
      <w:r>
        <w:rPr>
          <w:sz w:val="18"/>
          <w:szCs w:val="18"/>
          <w:lang w:val="es-ES_tradnl"/>
        </w:rPr>
        <w:t xml:space="preserve">n (COOTAD) </w:t>
      </w:r>
      <w:r>
        <w:rPr>
          <w:spacing w:val="-3"/>
          <w:sz w:val="18"/>
          <w:szCs w:val="18"/>
          <w:lang w:val="es-ES_tradnl"/>
        </w:rPr>
        <w:t xml:space="preserve">y por tanto ajenos al control de compatibilidad de las </w:t>
      </w:r>
      <w:r>
        <w:rPr>
          <w:spacing w:val="-6"/>
          <w:sz w:val="18"/>
          <w:szCs w:val="18"/>
          <w:lang w:val="es-ES_tradnl"/>
        </w:rPr>
        <w:t xml:space="preserve">normas impugnadas con el texto constitucional, respecto </w:t>
      </w:r>
      <w:r>
        <w:rPr>
          <w:spacing w:val="-3"/>
          <w:sz w:val="18"/>
          <w:szCs w:val="18"/>
          <w:lang w:val="es-ES_tradnl"/>
        </w:rPr>
        <w:t xml:space="preserve">de lo cual la Corte Constitucional no se halla facultada </w:t>
      </w:r>
      <w:r>
        <w:rPr>
          <w:spacing w:val="-5"/>
          <w:sz w:val="18"/>
          <w:szCs w:val="18"/>
          <w:lang w:val="es-ES_tradnl"/>
        </w:rPr>
        <w:t>para emitir ning</w:t>
      </w:r>
      <w:r>
        <w:rPr>
          <w:rFonts w:cs="Times New Roman"/>
          <w:spacing w:val="-5"/>
          <w:sz w:val="18"/>
          <w:szCs w:val="18"/>
          <w:lang w:val="es-ES_tradnl"/>
        </w:rPr>
        <w:t>ú</w:t>
      </w:r>
      <w:r>
        <w:rPr>
          <w:spacing w:val="-5"/>
          <w:sz w:val="18"/>
          <w:szCs w:val="18"/>
          <w:lang w:val="es-ES_tradnl"/>
        </w:rPr>
        <w:t xml:space="preserve">n pronunciamiento, pues en el supuesto </w:t>
      </w:r>
      <w:r>
        <w:rPr>
          <w:spacing w:val="-9"/>
          <w:sz w:val="18"/>
          <w:szCs w:val="18"/>
          <w:lang w:val="es-ES_tradnl"/>
        </w:rPr>
        <w:t xml:space="preserve">de verificarse antinomia entre la Ordenanza del Sistema de </w:t>
      </w:r>
      <w:r>
        <w:rPr>
          <w:spacing w:val="-5"/>
          <w:sz w:val="18"/>
          <w:szCs w:val="18"/>
          <w:lang w:val="es-ES_tradnl"/>
        </w:rPr>
        <w:t>Gesti</w:t>
      </w:r>
      <w:r>
        <w:rPr>
          <w:rFonts w:cs="Times New Roman"/>
          <w:spacing w:val="-5"/>
          <w:sz w:val="18"/>
          <w:szCs w:val="18"/>
          <w:lang w:val="es-ES_tradnl"/>
        </w:rPr>
        <w:t>ó</w:t>
      </w:r>
      <w:r>
        <w:rPr>
          <w:spacing w:val="-5"/>
          <w:sz w:val="18"/>
          <w:szCs w:val="18"/>
          <w:lang w:val="es-ES_tradnl"/>
        </w:rPr>
        <w:t>n y Participaci</w:t>
      </w:r>
      <w:r>
        <w:rPr>
          <w:rFonts w:cs="Times New Roman"/>
          <w:spacing w:val="-5"/>
          <w:sz w:val="18"/>
          <w:szCs w:val="18"/>
          <w:lang w:val="es-ES_tradnl"/>
        </w:rPr>
        <w:t>ó</w:t>
      </w:r>
      <w:r>
        <w:rPr>
          <w:spacing w:val="-5"/>
          <w:sz w:val="18"/>
          <w:szCs w:val="18"/>
          <w:lang w:val="es-ES_tradnl"/>
        </w:rPr>
        <w:t>n Ciudadana del cant</w:t>
      </w:r>
      <w:r>
        <w:rPr>
          <w:rFonts w:cs="Times New Roman"/>
          <w:spacing w:val="-5"/>
          <w:sz w:val="18"/>
          <w:szCs w:val="18"/>
          <w:lang w:val="es-ES_tradnl"/>
        </w:rPr>
        <w:t>ó</w:t>
      </w:r>
      <w:r>
        <w:rPr>
          <w:spacing w:val="-5"/>
          <w:sz w:val="18"/>
          <w:szCs w:val="18"/>
          <w:lang w:val="es-ES_tradnl"/>
        </w:rPr>
        <w:t>n Rumi</w:t>
      </w:r>
      <w:r>
        <w:rPr>
          <w:rFonts w:cs="Times New Roman"/>
          <w:spacing w:val="-5"/>
          <w:sz w:val="18"/>
          <w:szCs w:val="18"/>
          <w:lang w:val="es-ES_tradnl"/>
        </w:rPr>
        <w:t>ñ</w:t>
      </w:r>
      <w:r>
        <w:rPr>
          <w:spacing w:val="-5"/>
          <w:sz w:val="18"/>
          <w:szCs w:val="18"/>
          <w:lang w:val="es-ES_tradnl"/>
        </w:rPr>
        <w:t xml:space="preserve">ahui </w:t>
      </w:r>
      <w:r>
        <w:rPr>
          <w:spacing w:val="-9"/>
          <w:sz w:val="18"/>
          <w:szCs w:val="18"/>
          <w:lang w:val="es-ES_tradnl"/>
        </w:rPr>
        <w:t xml:space="preserve">y las leyes invocadas por el accionante, son los jueces de lo </w:t>
      </w:r>
      <w:r>
        <w:rPr>
          <w:spacing w:val="-6"/>
          <w:sz w:val="18"/>
          <w:szCs w:val="18"/>
          <w:lang w:val="es-ES_tradnl"/>
        </w:rPr>
        <w:t>contencioso administrativo los competentes para declarar</w:t>
      </w:r>
    </w:p>
    <w:p w14:paraId="4F67A736" w14:textId="77777777" w:rsidR="00591D54" w:rsidRDefault="00591D54">
      <w:pPr>
        <w:shd w:val="clear" w:color="auto" w:fill="FFFFFF"/>
        <w:spacing w:before="211" w:line="226" w:lineRule="exact"/>
        <w:jc w:val="both"/>
        <w:sectPr w:rsidR="00591D54">
          <w:type w:val="continuous"/>
          <w:pgSz w:w="11909" w:h="16834"/>
          <w:pgMar w:top="1371" w:right="1309" w:bottom="360" w:left="1308" w:header="720" w:footer="720" w:gutter="0"/>
          <w:cols w:num="2" w:space="720" w:equalWidth="0">
            <w:col w:w="4305" w:space="682"/>
            <w:col w:w="4305"/>
          </w:cols>
          <w:noEndnote/>
        </w:sectPr>
      </w:pPr>
    </w:p>
    <w:p w14:paraId="4F67A737" w14:textId="77777777" w:rsidR="00591D54" w:rsidRDefault="00591D54">
      <w:pPr>
        <w:shd w:val="clear" w:color="auto" w:fill="FFFFFF"/>
        <w:tabs>
          <w:tab w:val="left" w:pos="5952"/>
        </w:tabs>
        <w:spacing w:after="72"/>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- 49</w:t>
      </w:r>
    </w:p>
    <w:p w14:paraId="4F67A738" w14:textId="77777777" w:rsidR="00591D54" w:rsidRDefault="00591D54">
      <w:pPr>
        <w:shd w:val="clear" w:color="auto" w:fill="FFFFFF"/>
        <w:tabs>
          <w:tab w:val="left" w:pos="5952"/>
        </w:tabs>
        <w:spacing w:after="72"/>
        <w:ind w:left="5"/>
        <w:sectPr w:rsidR="00591D54">
          <w:pgSz w:w="11909" w:h="16834"/>
          <w:pgMar w:top="1371" w:right="1309" w:bottom="360" w:left="1308" w:header="720" w:footer="720" w:gutter="0"/>
          <w:cols w:space="60"/>
          <w:noEndnote/>
        </w:sectPr>
      </w:pPr>
    </w:p>
    <w:p w14:paraId="4F67A739" w14:textId="77777777" w:rsidR="00591D54" w:rsidRDefault="00591D54">
      <w:pPr>
        <w:shd w:val="clear" w:color="auto" w:fill="FFFFFF"/>
        <w:spacing w:before="163" w:line="226" w:lineRule="exact"/>
        <w:ind w:right="10"/>
        <w:jc w:val="both"/>
      </w:pPr>
      <w:r>
        <w:rPr>
          <w:spacing w:val="-3"/>
          <w:sz w:val="18"/>
          <w:szCs w:val="18"/>
          <w:lang w:val="es-ES_tradnl"/>
        </w:rPr>
        <w:t>tal contradicci</w:t>
      </w:r>
      <w:r>
        <w:rPr>
          <w:rFonts w:cs="Times New Roman"/>
          <w:spacing w:val="-3"/>
          <w:sz w:val="18"/>
          <w:szCs w:val="18"/>
          <w:lang w:val="es-ES_tradnl"/>
        </w:rPr>
        <w:t>ó</w:t>
      </w:r>
      <w:r>
        <w:rPr>
          <w:spacing w:val="-3"/>
          <w:sz w:val="18"/>
          <w:szCs w:val="18"/>
          <w:lang w:val="es-ES_tradnl"/>
        </w:rPr>
        <w:t>n, en la v</w:t>
      </w:r>
      <w:r>
        <w:rPr>
          <w:rFonts w:cs="Times New Roman"/>
          <w:spacing w:val="-3"/>
          <w:sz w:val="18"/>
          <w:szCs w:val="18"/>
          <w:lang w:val="es-ES_tradnl"/>
        </w:rPr>
        <w:t>í</w:t>
      </w:r>
      <w:r>
        <w:rPr>
          <w:spacing w:val="-3"/>
          <w:sz w:val="18"/>
          <w:szCs w:val="18"/>
          <w:lang w:val="es-ES_tradnl"/>
        </w:rPr>
        <w:t>a contencioso administrativa, conforme lo previsto en el art</w:t>
      </w:r>
      <w:r>
        <w:rPr>
          <w:rFonts w:cs="Times New Roman"/>
          <w:spacing w:val="-3"/>
          <w:sz w:val="18"/>
          <w:szCs w:val="18"/>
          <w:lang w:val="es-ES_tradnl"/>
        </w:rPr>
        <w:t>í</w:t>
      </w:r>
      <w:r>
        <w:rPr>
          <w:spacing w:val="-3"/>
          <w:sz w:val="18"/>
          <w:szCs w:val="18"/>
          <w:lang w:val="es-ES_tradnl"/>
        </w:rPr>
        <w:t xml:space="preserve">culo 217 numerales 1 y 3 </w:t>
      </w:r>
      <w:r>
        <w:rPr>
          <w:spacing w:val="-5"/>
          <w:sz w:val="18"/>
          <w:szCs w:val="18"/>
          <w:lang w:val="es-ES_tradnl"/>
        </w:rPr>
        <w:t>del C</w:t>
      </w:r>
      <w:r>
        <w:rPr>
          <w:rFonts w:cs="Times New Roman"/>
          <w:spacing w:val="-5"/>
          <w:sz w:val="18"/>
          <w:szCs w:val="18"/>
          <w:lang w:val="es-ES_tradnl"/>
        </w:rPr>
        <w:t>ó</w:t>
      </w:r>
      <w:r>
        <w:rPr>
          <w:spacing w:val="-5"/>
          <w:sz w:val="18"/>
          <w:szCs w:val="18"/>
          <w:lang w:val="es-ES_tradnl"/>
        </w:rPr>
        <w:t>digo Org</w:t>
      </w:r>
      <w:r>
        <w:rPr>
          <w:rFonts w:cs="Times New Roman"/>
          <w:spacing w:val="-5"/>
          <w:sz w:val="18"/>
          <w:szCs w:val="18"/>
          <w:lang w:val="es-ES_tradnl"/>
        </w:rPr>
        <w:t>á</w:t>
      </w:r>
      <w:r>
        <w:rPr>
          <w:spacing w:val="-5"/>
          <w:sz w:val="18"/>
          <w:szCs w:val="18"/>
          <w:lang w:val="es-ES_tradnl"/>
        </w:rPr>
        <w:t>nico de la Funci</w:t>
      </w:r>
      <w:r>
        <w:rPr>
          <w:rFonts w:cs="Times New Roman"/>
          <w:spacing w:val="-5"/>
          <w:sz w:val="18"/>
          <w:szCs w:val="18"/>
          <w:lang w:val="es-ES_tradnl"/>
        </w:rPr>
        <w:t>ó</w:t>
      </w:r>
      <w:r>
        <w:rPr>
          <w:spacing w:val="-5"/>
          <w:sz w:val="18"/>
          <w:szCs w:val="18"/>
          <w:lang w:val="es-ES_tradnl"/>
        </w:rPr>
        <w:t xml:space="preserve">n Judicial, y de ninguna </w:t>
      </w:r>
      <w:r>
        <w:rPr>
          <w:spacing w:val="-6"/>
          <w:sz w:val="18"/>
          <w:szCs w:val="18"/>
          <w:lang w:val="es-ES_tradnl"/>
        </w:rPr>
        <w:t>manera mediante acci</w:t>
      </w:r>
      <w:r>
        <w:rPr>
          <w:rFonts w:cs="Times New Roman"/>
          <w:spacing w:val="-6"/>
          <w:sz w:val="18"/>
          <w:szCs w:val="18"/>
          <w:lang w:val="es-ES_tradnl"/>
        </w:rPr>
        <w:t>ó</w:t>
      </w:r>
      <w:r>
        <w:rPr>
          <w:spacing w:val="-6"/>
          <w:sz w:val="18"/>
          <w:szCs w:val="18"/>
          <w:lang w:val="es-ES_tradnl"/>
        </w:rPr>
        <w:t>n p</w:t>
      </w:r>
      <w:r>
        <w:rPr>
          <w:rFonts w:cs="Times New Roman"/>
          <w:spacing w:val="-6"/>
          <w:sz w:val="18"/>
          <w:szCs w:val="18"/>
          <w:lang w:val="es-ES_tradnl"/>
        </w:rPr>
        <w:t>ú</w:t>
      </w:r>
      <w:r>
        <w:rPr>
          <w:spacing w:val="-6"/>
          <w:sz w:val="18"/>
          <w:szCs w:val="18"/>
          <w:lang w:val="es-ES_tradnl"/>
        </w:rPr>
        <w:t>blica de inconstitucionalidad.</w:t>
      </w:r>
    </w:p>
    <w:p w14:paraId="4F67A73A" w14:textId="77777777" w:rsidR="00591D54" w:rsidRDefault="00591D54">
      <w:pPr>
        <w:shd w:val="clear" w:color="auto" w:fill="FFFFFF"/>
        <w:spacing w:before="235"/>
        <w:ind w:right="14"/>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A73B" w14:textId="77777777" w:rsidR="00591D54" w:rsidRDefault="00591D54">
      <w:pPr>
        <w:shd w:val="clear" w:color="auto" w:fill="FFFFFF"/>
        <w:spacing w:before="240" w:line="226" w:lineRule="exact"/>
        <w:ind w:right="10"/>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4"/>
          <w:sz w:val="18"/>
          <w:szCs w:val="18"/>
          <w:lang w:val="es-ES_tradnl"/>
        </w:rPr>
        <w:t>constitucional y por mandato de la Constituci</w:t>
      </w:r>
      <w:r>
        <w:rPr>
          <w:rFonts w:cs="Times New Roman"/>
          <w:spacing w:val="-4"/>
          <w:sz w:val="18"/>
          <w:szCs w:val="18"/>
          <w:lang w:val="es-ES_tradnl"/>
        </w:rPr>
        <w:t>ó</w:t>
      </w:r>
      <w:r>
        <w:rPr>
          <w:spacing w:val="-4"/>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 xml:space="preserve">blica del Ecuador, el Pleno de la Corte Constitucional </w:t>
      </w:r>
      <w:r>
        <w:rPr>
          <w:sz w:val="18"/>
          <w:szCs w:val="18"/>
          <w:lang w:val="es-ES_tradnl"/>
        </w:rPr>
        <w:t>expide la siguiente:</w:t>
      </w:r>
    </w:p>
    <w:p w14:paraId="4F67A73C" w14:textId="77777777" w:rsidR="00591D54" w:rsidRDefault="00591D54">
      <w:pPr>
        <w:shd w:val="clear" w:color="auto" w:fill="FFFFFF"/>
        <w:spacing w:before="240"/>
        <w:jc w:val="center"/>
      </w:pPr>
      <w:r>
        <w:rPr>
          <w:b/>
          <w:bCs/>
          <w:sz w:val="18"/>
          <w:szCs w:val="18"/>
          <w:lang w:val="es-ES_tradnl"/>
        </w:rPr>
        <w:t>SENTENCIA</w:t>
      </w:r>
    </w:p>
    <w:p w14:paraId="4F67A73D" w14:textId="77777777" w:rsidR="00591D54" w:rsidRDefault="00591D54" w:rsidP="00251195">
      <w:pPr>
        <w:numPr>
          <w:ilvl w:val="0"/>
          <w:numId w:val="33"/>
        </w:numPr>
        <w:shd w:val="clear" w:color="auto" w:fill="FFFFFF"/>
        <w:tabs>
          <w:tab w:val="left" w:pos="566"/>
        </w:tabs>
        <w:spacing w:before="240" w:line="226" w:lineRule="exact"/>
        <w:ind w:left="566" w:hanging="283"/>
        <w:rPr>
          <w:spacing w:val="-9"/>
          <w:sz w:val="18"/>
          <w:szCs w:val="18"/>
          <w:lang w:val="es-ES_tradnl"/>
        </w:rPr>
      </w:pPr>
      <w:r>
        <w:rPr>
          <w:spacing w:val="-5"/>
          <w:sz w:val="18"/>
          <w:szCs w:val="18"/>
          <w:lang w:val="es-ES_tradnl"/>
        </w:rPr>
        <w:t xml:space="preserve">Negar    la    demanda    de    inconstitucionalidad </w:t>
      </w:r>
      <w:r>
        <w:rPr>
          <w:sz w:val="18"/>
          <w:szCs w:val="18"/>
          <w:lang w:val="es-ES_tradnl"/>
        </w:rPr>
        <w:t>propuesta.</w:t>
      </w:r>
    </w:p>
    <w:p w14:paraId="4F67A73E" w14:textId="77777777" w:rsidR="00591D54" w:rsidRDefault="00591D54" w:rsidP="00251195">
      <w:pPr>
        <w:numPr>
          <w:ilvl w:val="0"/>
          <w:numId w:val="33"/>
        </w:numPr>
        <w:shd w:val="clear" w:color="auto" w:fill="FFFFFF"/>
        <w:tabs>
          <w:tab w:val="left" w:pos="566"/>
        </w:tabs>
        <w:spacing w:before="240"/>
        <w:ind w:left="283"/>
        <w:rPr>
          <w:spacing w:val="-9"/>
          <w:sz w:val="18"/>
          <w:szCs w:val="18"/>
          <w:lang w:val="es-ES_tradnl"/>
        </w:rPr>
      </w:pPr>
      <w:r>
        <w:rPr>
          <w:spacing w:val="-6"/>
          <w:sz w:val="18"/>
          <w:szCs w:val="18"/>
          <w:lang w:val="es-ES_tradnl"/>
        </w:rPr>
        <w:t>Notif</w:t>
      </w:r>
      <w:r>
        <w:rPr>
          <w:rFonts w:cs="Times New Roman"/>
          <w:spacing w:val="-6"/>
          <w:sz w:val="18"/>
          <w:szCs w:val="18"/>
          <w:lang w:val="es-ES_tradnl"/>
        </w:rPr>
        <w:t>í</w:t>
      </w:r>
      <w:r>
        <w:rPr>
          <w:spacing w:val="-6"/>
          <w:sz w:val="18"/>
          <w:szCs w:val="18"/>
          <w:lang w:val="es-ES_tradnl"/>
        </w:rPr>
        <w:t>quese, publ</w:t>
      </w:r>
      <w:r>
        <w:rPr>
          <w:rFonts w:cs="Times New Roman"/>
          <w:spacing w:val="-6"/>
          <w:sz w:val="18"/>
          <w:szCs w:val="18"/>
          <w:lang w:val="es-ES_tradnl"/>
        </w:rPr>
        <w:t>í</w:t>
      </w:r>
      <w:r>
        <w:rPr>
          <w:spacing w:val="-6"/>
          <w:sz w:val="18"/>
          <w:szCs w:val="18"/>
          <w:lang w:val="es-ES_tradnl"/>
        </w:rPr>
        <w:t>quese y c</w:t>
      </w:r>
      <w:r>
        <w:rPr>
          <w:rFonts w:cs="Times New Roman"/>
          <w:spacing w:val="-6"/>
          <w:sz w:val="18"/>
          <w:szCs w:val="18"/>
          <w:lang w:val="es-ES_tradnl"/>
        </w:rPr>
        <w:t>ú</w:t>
      </w:r>
      <w:r>
        <w:rPr>
          <w:spacing w:val="-6"/>
          <w:sz w:val="18"/>
          <w:szCs w:val="18"/>
          <w:lang w:val="es-ES_tradnl"/>
        </w:rPr>
        <w:t>mplase.</w:t>
      </w:r>
    </w:p>
    <w:p w14:paraId="4F67A73F" w14:textId="77777777" w:rsidR="00591D54" w:rsidRDefault="00591D54">
      <w:pPr>
        <w:shd w:val="clear" w:color="auto" w:fill="FFFFFF"/>
        <w:spacing w:before="240"/>
      </w:pPr>
      <w:r>
        <w:rPr>
          <w:spacing w:val="-2"/>
          <w:sz w:val="18"/>
          <w:szCs w:val="18"/>
          <w:lang w:val="es-ES_tradnl"/>
        </w:rPr>
        <w:t>f.) Patricio Pazmi</w:t>
      </w:r>
      <w:r>
        <w:rPr>
          <w:rFonts w:cs="Times New Roman"/>
          <w:spacing w:val="-2"/>
          <w:sz w:val="18"/>
          <w:szCs w:val="18"/>
          <w:lang w:val="es-ES_tradnl"/>
        </w:rPr>
        <w:t>ñ</w:t>
      </w:r>
      <w:r>
        <w:rPr>
          <w:spacing w:val="-2"/>
          <w:sz w:val="18"/>
          <w:szCs w:val="18"/>
          <w:lang w:val="es-ES_tradnl"/>
        </w:rPr>
        <w:t xml:space="preserve">o Freire, </w:t>
      </w:r>
      <w:r>
        <w:rPr>
          <w:b/>
          <w:bCs/>
          <w:spacing w:val="-2"/>
          <w:sz w:val="18"/>
          <w:szCs w:val="18"/>
          <w:lang w:val="es-ES_tradnl"/>
        </w:rPr>
        <w:t>PRESIDENTE.</w:t>
      </w:r>
    </w:p>
    <w:p w14:paraId="4F67A740" w14:textId="77777777" w:rsidR="00591D54" w:rsidRDefault="00591D54">
      <w:pPr>
        <w:shd w:val="clear" w:color="auto" w:fill="FFFFFF"/>
        <w:spacing w:before="235" w:line="226" w:lineRule="exact"/>
        <w:jc w:val="both"/>
      </w:pPr>
      <w:r>
        <w:rPr>
          <w:sz w:val="18"/>
          <w:szCs w:val="18"/>
          <w:lang w:val="es-ES_tradnl"/>
        </w:rPr>
        <w:t>f.) Pa</w:t>
      </w:r>
      <w:r>
        <w:rPr>
          <w:rFonts w:cs="Times New Roman"/>
          <w:sz w:val="18"/>
          <w:szCs w:val="18"/>
          <w:lang w:val="es-ES_tradnl"/>
        </w:rPr>
        <w:t>ú</w:t>
      </w:r>
      <w:r>
        <w:rPr>
          <w:sz w:val="18"/>
          <w:szCs w:val="18"/>
          <w:lang w:val="es-ES_tradnl"/>
        </w:rPr>
        <w:t xml:space="preserve">l Prado Chiriboga, </w:t>
      </w:r>
      <w:r>
        <w:rPr>
          <w:b/>
          <w:bCs/>
          <w:sz w:val="18"/>
          <w:szCs w:val="18"/>
          <w:lang w:val="es-ES_tradnl"/>
        </w:rPr>
        <w:t>SECRETARIO GENERAL (E).</w:t>
      </w:r>
    </w:p>
    <w:p w14:paraId="4F67A741" w14:textId="77777777" w:rsidR="00591D54" w:rsidRDefault="00591D54">
      <w:pPr>
        <w:shd w:val="clear" w:color="auto" w:fill="FFFFFF"/>
        <w:spacing w:before="235" w:line="226" w:lineRule="exact"/>
        <w:ind w:right="10"/>
        <w:jc w:val="both"/>
      </w:pPr>
      <w:r>
        <w:rPr>
          <w:b/>
          <w:bCs/>
          <w:spacing w:val="-4"/>
          <w:sz w:val="18"/>
          <w:szCs w:val="18"/>
          <w:lang w:val="es-ES_tradnl"/>
        </w:rPr>
        <w:t>RAZ</w:t>
      </w:r>
      <w:r>
        <w:rPr>
          <w:rFonts w:cs="Times New Roman"/>
          <w:b/>
          <w:bCs/>
          <w:spacing w:val="-4"/>
          <w:sz w:val="18"/>
          <w:szCs w:val="18"/>
          <w:lang w:val="es-ES_tradnl"/>
        </w:rPr>
        <w:t>Ó</w:t>
      </w:r>
      <w:r>
        <w:rPr>
          <w:b/>
          <w:bCs/>
          <w:spacing w:val="-4"/>
          <w:sz w:val="18"/>
          <w:szCs w:val="18"/>
          <w:lang w:val="es-ES_tradnl"/>
        </w:rPr>
        <w:t xml:space="preserve">N.- </w:t>
      </w:r>
      <w:r>
        <w:rPr>
          <w:spacing w:val="-4"/>
          <w:sz w:val="18"/>
          <w:szCs w:val="18"/>
          <w:lang w:val="es-ES_tradnl"/>
        </w:rPr>
        <w:t xml:space="preserve">Siento por tal, que la sentencia que antecede </w:t>
      </w:r>
      <w:r>
        <w:rPr>
          <w:spacing w:val="-1"/>
          <w:sz w:val="18"/>
          <w:szCs w:val="18"/>
          <w:lang w:val="es-ES_tradnl"/>
        </w:rPr>
        <w:t xml:space="preserve">fue aprobada por el Pleno de la Corte Constitucional, </w:t>
      </w:r>
      <w:r>
        <w:rPr>
          <w:spacing w:val="-5"/>
          <w:sz w:val="18"/>
          <w:szCs w:val="18"/>
          <w:lang w:val="es-ES_tradnl"/>
        </w:rPr>
        <w:t xml:space="preserve">con siete votos a favor, de las juezas y jueces Antonio </w:t>
      </w:r>
      <w:r>
        <w:rPr>
          <w:sz w:val="18"/>
          <w:szCs w:val="18"/>
          <w:lang w:val="es-ES_tradnl"/>
        </w:rPr>
        <w:t>Gagliardo Loor, Marcelo Jaramillo Villa, Mar</w:t>
      </w:r>
      <w:r>
        <w:rPr>
          <w:rFonts w:cs="Times New Roman"/>
          <w:sz w:val="18"/>
          <w:szCs w:val="18"/>
          <w:lang w:val="es-ES_tradnl"/>
        </w:rPr>
        <w:t>í</w:t>
      </w:r>
      <w:r>
        <w:rPr>
          <w:sz w:val="18"/>
          <w:szCs w:val="18"/>
          <w:lang w:val="es-ES_tradnl"/>
        </w:rPr>
        <w:t xml:space="preserve">a del </w:t>
      </w:r>
      <w:r>
        <w:rPr>
          <w:spacing w:val="-7"/>
          <w:sz w:val="18"/>
          <w:szCs w:val="18"/>
          <w:lang w:val="es-ES_tradnl"/>
        </w:rPr>
        <w:t>Carmen Maldonado S</w:t>
      </w:r>
      <w:r>
        <w:rPr>
          <w:rFonts w:cs="Times New Roman"/>
          <w:spacing w:val="-7"/>
          <w:sz w:val="18"/>
          <w:szCs w:val="18"/>
          <w:lang w:val="es-ES_tradnl"/>
        </w:rPr>
        <w:t>á</w:t>
      </w:r>
      <w:r>
        <w:rPr>
          <w:spacing w:val="-7"/>
          <w:sz w:val="18"/>
          <w:szCs w:val="18"/>
          <w:lang w:val="es-ES_tradnl"/>
        </w:rPr>
        <w:t>nchez, Alfredo Ruiz Guzm</w:t>
      </w:r>
      <w:r>
        <w:rPr>
          <w:rFonts w:cs="Times New Roman"/>
          <w:spacing w:val="-7"/>
          <w:sz w:val="18"/>
          <w:szCs w:val="18"/>
          <w:lang w:val="es-ES_tradnl"/>
        </w:rPr>
        <w:t>á</w:t>
      </w:r>
      <w:r>
        <w:rPr>
          <w:spacing w:val="-7"/>
          <w:sz w:val="18"/>
          <w:szCs w:val="18"/>
          <w:lang w:val="es-ES_tradnl"/>
        </w:rPr>
        <w:t xml:space="preserve">n, Ruth </w:t>
      </w:r>
      <w:r>
        <w:rPr>
          <w:spacing w:val="-5"/>
          <w:sz w:val="18"/>
          <w:szCs w:val="18"/>
          <w:lang w:val="es-ES_tradnl"/>
        </w:rPr>
        <w:t>Seni Pinoargote, Manuel Viteri Olvera y Patricio Pazmi</w:t>
      </w:r>
      <w:r>
        <w:rPr>
          <w:rFonts w:cs="Times New Roman"/>
          <w:spacing w:val="-5"/>
          <w:sz w:val="18"/>
          <w:szCs w:val="18"/>
          <w:lang w:val="es-ES_tradnl"/>
        </w:rPr>
        <w:t>ñ</w:t>
      </w:r>
      <w:r>
        <w:rPr>
          <w:spacing w:val="-5"/>
          <w:sz w:val="18"/>
          <w:szCs w:val="18"/>
          <w:lang w:val="es-ES_tradnl"/>
        </w:rPr>
        <w:t xml:space="preserve">o </w:t>
      </w:r>
      <w:r>
        <w:rPr>
          <w:spacing w:val="-6"/>
          <w:sz w:val="18"/>
          <w:szCs w:val="18"/>
          <w:lang w:val="es-ES_tradnl"/>
        </w:rPr>
        <w:t>Freire, sin contar con la presencia de las juezas Wendy Molina Andrade y Tatiana Orde</w:t>
      </w:r>
      <w:r>
        <w:rPr>
          <w:rFonts w:cs="Times New Roman"/>
          <w:spacing w:val="-6"/>
          <w:sz w:val="18"/>
          <w:szCs w:val="18"/>
          <w:lang w:val="es-ES_tradnl"/>
        </w:rPr>
        <w:t>ñ</w:t>
      </w:r>
      <w:r>
        <w:rPr>
          <w:spacing w:val="-6"/>
          <w:sz w:val="18"/>
          <w:szCs w:val="18"/>
          <w:lang w:val="es-ES_tradnl"/>
        </w:rPr>
        <w:t>ana Sierra, en sesi</w:t>
      </w:r>
      <w:r>
        <w:rPr>
          <w:rFonts w:cs="Times New Roman"/>
          <w:spacing w:val="-6"/>
          <w:sz w:val="18"/>
          <w:szCs w:val="18"/>
          <w:lang w:val="es-ES_tradnl"/>
        </w:rPr>
        <w:t>ó</w:t>
      </w:r>
      <w:r>
        <w:rPr>
          <w:spacing w:val="-6"/>
          <w:sz w:val="18"/>
          <w:szCs w:val="18"/>
          <w:lang w:val="es-ES_tradnl"/>
        </w:rPr>
        <w:t xml:space="preserve">n de </w:t>
      </w:r>
      <w:r>
        <w:rPr>
          <w:sz w:val="18"/>
          <w:szCs w:val="18"/>
          <w:lang w:val="es-ES_tradnl"/>
        </w:rPr>
        <w:t>26 de agosto del 2015. Lo certifico.</w:t>
      </w:r>
    </w:p>
    <w:p w14:paraId="4F67A742" w14:textId="77777777" w:rsidR="00591D54" w:rsidRDefault="00591D54">
      <w:pPr>
        <w:shd w:val="clear" w:color="auto" w:fill="FFFFFF"/>
        <w:spacing w:before="235" w:line="230" w:lineRule="exact"/>
        <w:jc w:val="both"/>
      </w:pPr>
      <w:r>
        <w:rPr>
          <w:sz w:val="18"/>
          <w:szCs w:val="18"/>
          <w:lang w:val="es-ES_tradnl"/>
        </w:rPr>
        <w:t>f.) Pa</w:t>
      </w:r>
      <w:r>
        <w:rPr>
          <w:rFonts w:cs="Times New Roman"/>
          <w:sz w:val="18"/>
          <w:szCs w:val="18"/>
          <w:lang w:val="es-ES_tradnl"/>
        </w:rPr>
        <w:t>ú</w:t>
      </w:r>
      <w:r>
        <w:rPr>
          <w:sz w:val="18"/>
          <w:szCs w:val="18"/>
          <w:lang w:val="es-ES_tradnl"/>
        </w:rPr>
        <w:t xml:space="preserve">l Prado Chiriboga, </w:t>
      </w:r>
      <w:r>
        <w:rPr>
          <w:b/>
          <w:bCs/>
          <w:sz w:val="18"/>
          <w:szCs w:val="18"/>
          <w:lang w:val="es-ES_tradnl"/>
        </w:rPr>
        <w:t>SECRETARIO GENERAL (E).</w:t>
      </w:r>
    </w:p>
    <w:p w14:paraId="4F67A743" w14:textId="77777777" w:rsidR="00591D54" w:rsidRDefault="00591D54">
      <w:pPr>
        <w:shd w:val="clear" w:color="auto" w:fill="FFFFFF"/>
        <w:spacing w:before="240" w:line="226" w:lineRule="exact"/>
        <w:ind w:right="10"/>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3"/>
          <w:sz w:val="18"/>
          <w:szCs w:val="18"/>
          <w:lang w:val="es-ES_tradnl"/>
        </w:rPr>
        <w:t>Quito, a 05 de octubre de 2015.- f.) Ilegible, Secretar</w:t>
      </w:r>
      <w:r>
        <w:rPr>
          <w:rFonts w:cs="Times New Roman"/>
          <w:spacing w:val="-3"/>
          <w:sz w:val="18"/>
          <w:szCs w:val="18"/>
          <w:lang w:val="es-ES_tradnl"/>
        </w:rPr>
        <w:t>í</w:t>
      </w:r>
      <w:r>
        <w:rPr>
          <w:spacing w:val="-3"/>
          <w:sz w:val="18"/>
          <w:szCs w:val="18"/>
          <w:lang w:val="es-ES_tradnl"/>
        </w:rPr>
        <w:t xml:space="preserve">a </w:t>
      </w:r>
      <w:r>
        <w:rPr>
          <w:sz w:val="18"/>
          <w:szCs w:val="18"/>
          <w:lang w:val="es-ES_tradnl"/>
        </w:rPr>
        <w:t>General.</w:t>
      </w:r>
    </w:p>
    <w:p w14:paraId="4F67A744" w14:textId="77777777" w:rsidR="00591D54" w:rsidRDefault="00591D54">
      <w:pPr>
        <w:shd w:val="clear" w:color="auto" w:fill="FFFFFF"/>
        <w:spacing w:before="240"/>
      </w:pPr>
      <w:r>
        <w:rPr>
          <w:b/>
          <w:bCs/>
          <w:spacing w:val="-2"/>
          <w:sz w:val="18"/>
          <w:szCs w:val="18"/>
          <w:u w:val="single"/>
          <w:lang w:val="es-ES_tradnl"/>
        </w:rPr>
        <w:t>CASO Nro. 0015-12-IN</w:t>
      </w:r>
    </w:p>
    <w:p w14:paraId="4F67A745" w14:textId="77777777" w:rsidR="00591D54" w:rsidRDefault="00591D54">
      <w:pPr>
        <w:shd w:val="clear" w:color="auto" w:fill="FFFFFF"/>
        <w:spacing w:before="235" w:line="226" w:lineRule="exact"/>
        <w:ind w:right="10"/>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w:t>
      </w:r>
      <w:r>
        <w:rPr>
          <w:spacing w:val="-7"/>
          <w:sz w:val="18"/>
          <w:szCs w:val="18"/>
          <w:lang w:val="es-ES_tradnl"/>
        </w:rPr>
        <w:t>suscrita por el Juez Patricio Pazmi</w:t>
      </w:r>
      <w:r>
        <w:rPr>
          <w:rFonts w:cs="Times New Roman"/>
          <w:spacing w:val="-7"/>
          <w:sz w:val="18"/>
          <w:szCs w:val="18"/>
          <w:lang w:val="es-ES_tradnl"/>
        </w:rPr>
        <w:t>ñ</w:t>
      </w:r>
      <w:r>
        <w:rPr>
          <w:spacing w:val="-7"/>
          <w:sz w:val="18"/>
          <w:szCs w:val="18"/>
          <w:lang w:val="es-ES_tradnl"/>
        </w:rPr>
        <w:t xml:space="preserve">o Freire, Presidente de </w:t>
      </w:r>
      <w:r>
        <w:rPr>
          <w:spacing w:val="-6"/>
          <w:sz w:val="18"/>
          <w:szCs w:val="18"/>
          <w:lang w:val="es-ES_tradnl"/>
        </w:rPr>
        <w:t>la Corte Constitucional, el d</w:t>
      </w:r>
      <w:r>
        <w:rPr>
          <w:rFonts w:cs="Times New Roman"/>
          <w:spacing w:val="-6"/>
          <w:sz w:val="18"/>
          <w:szCs w:val="18"/>
          <w:lang w:val="es-ES_tradnl"/>
        </w:rPr>
        <w:t>í</w:t>
      </w:r>
      <w:r>
        <w:rPr>
          <w:spacing w:val="-6"/>
          <w:sz w:val="18"/>
          <w:szCs w:val="18"/>
          <w:lang w:val="es-ES_tradnl"/>
        </w:rPr>
        <w:t xml:space="preserve">a lunes 07 de septiembre del </w:t>
      </w:r>
      <w:r>
        <w:rPr>
          <w:sz w:val="18"/>
          <w:szCs w:val="18"/>
          <w:lang w:val="es-ES_tradnl"/>
        </w:rPr>
        <w:t>dos mil quince.- Lo certifico.</w:t>
      </w:r>
    </w:p>
    <w:p w14:paraId="4F67A746" w14:textId="77777777" w:rsidR="00591D54" w:rsidRDefault="00591D54">
      <w:pPr>
        <w:shd w:val="clear" w:color="auto" w:fill="FFFFFF"/>
        <w:spacing w:before="235"/>
      </w:pPr>
      <w:r>
        <w:rPr>
          <w:spacing w:val="-2"/>
          <w:sz w:val="18"/>
          <w:szCs w:val="18"/>
          <w:lang w:val="es-ES_tradnl"/>
        </w:rPr>
        <w:t xml:space="preserve">f.) Jaime Pozo Chamorro, </w:t>
      </w:r>
      <w:r>
        <w:rPr>
          <w:b/>
          <w:bCs/>
          <w:spacing w:val="-2"/>
          <w:sz w:val="18"/>
          <w:szCs w:val="18"/>
          <w:lang w:val="es-ES_tradnl"/>
        </w:rPr>
        <w:t>SECRETARIO GENERAL.</w:t>
      </w:r>
    </w:p>
    <w:p w14:paraId="4F67A747" w14:textId="77777777" w:rsidR="00591D54" w:rsidRDefault="00591D54">
      <w:pPr>
        <w:shd w:val="clear" w:color="auto" w:fill="FFFFFF"/>
        <w:spacing w:before="240" w:line="226" w:lineRule="exact"/>
        <w:ind w:right="10"/>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3"/>
          <w:sz w:val="18"/>
          <w:szCs w:val="18"/>
          <w:lang w:val="es-ES_tradnl"/>
        </w:rPr>
        <w:t>Quito, a 05 de octubre de 2015.- f.) Ilegible, Secretar</w:t>
      </w:r>
      <w:r>
        <w:rPr>
          <w:rFonts w:cs="Times New Roman"/>
          <w:spacing w:val="-3"/>
          <w:sz w:val="18"/>
          <w:szCs w:val="18"/>
          <w:lang w:val="es-ES_tradnl"/>
        </w:rPr>
        <w:t>í</w:t>
      </w:r>
      <w:r>
        <w:rPr>
          <w:spacing w:val="-3"/>
          <w:sz w:val="18"/>
          <w:szCs w:val="18"/>
          <w:lang w:val="es-ES_tradnl"/>
        </w:rPr>
        <w:t xml:space="preserve">a </w:t>
      </w:r>
      <w:r>
        <w:rPr>
          <w:sz w:val="18"/>
          <w:szCs w:val="18"/>
          <w:lang w:val="es-ES_tradnl"/>
        </w:rPr>
        <w:t>General.</w:t>
      </w:r>
    </w:p>
    <w:p w14:paraId="4F67A748" w14:textId="77777777" w:rsidR="00591D54" w:rsidRDefault="00591D54">
      <w:pPr>
        <w:shd w:val="clear" w:color="auto" w:fill="FFFFFF"/>
        <w:spacing w:line="427" w:lineRule="exact"/>
      </w:pPr>
      <w:r>
        <w:br w:type="column"/>
      </w:r>
      <w:r>
        <w:rPr>
          <w:spacing w:val="-7"/>
          <w:sz w:val="18"/>
          <w:szCs w:val="18"/>
          <w:lang w:val="es-ES_tradnl"/>
        </w:rPr>
        <w:t>Quito, D. M., 02 de septiembre de 2015</w:t>
      </w:r>
    </w:p>
    <w:p w14:paraId="4F67A749" w14:textId="77777777" w:rsidR="00591D54" w:rsidRDefault="00591D54">
      <w:pPr>
        <w:shd w:val="clear" w:color="auto" w:fill="FFFFFF"/>
        <w:spacing w:line="427" w:lineRule="exact"/>
        <w:ind w:left="864"/>
      </w:pPr>
      <w:r>
        <w:rPr>
          <w:b/>
          <w:bCs/>
          <w:spacing w:val="-2"/>
          <w:sz w:val="18"/>
          <w:szCs w:val="18"/>
          <w:u w:val="single"/>
          <w:lang w:val="es-ES_tradnl"/>
        </w:rPr>
        <w:t>SENTENCIA N.</w:t>
      </w:r>
      <w:r>
        <w:rPr>
          <w:rFonts w:cs="Times New Roman"/>
          <w:b/>
          <w:bCs/>
          <w:spacing w:val="-2"/>
          <w:sz w:val="18"/>
          <w:szCs w:val="18"/>
          <w:u w:val="single"/>
          <w:lang w:val="es-ES_tradnl"/>
        </w:rPr>
        <w:t>º</w:t>
      </w:r>
      <w:r>
        <w:rPr>
          <w:b/>
          <w:bCs/>
          <w:spacing w:val="-2"/>
          <w:sz w:val="18"/>
          <w:szCs w:val="18"/>
          <w:u w:val="single"/>
          <w:lang w:val="es-ES_tradnl"/>
        </w:rPr>
        <w:t xml:space="preserve"> 035-15-SIN-CC</w:t>
      </w:r>
    </w:p>
    <w:p w14:paraId="4F67A74A" w14:textId="77777777" w:rsidR="00591D54" w:rsidRDefault="00591D54">
      <w:pPr>
        <w:shd w:val="clear" w:color="auto" w:fill="FFFFFF"/>
        <w:spacing w:line="427" w:lineRule="exact"/>
        <w:ind w:left="1306"/>
      </w:pPr>
      <w:r>
        <w:rPr>
          <w:b/>
          <w:bCs/>
          <w:spacing w:val="-4"/>
          <w:sz w:val="18"/>
          <w:szCs w:val="18"/>
          <w:u w:val="single"/>
          <w:lang w:val="es-ES_tradnl"/>
        </w:rPr>
        <w:t>CASO N.</w:t>
      </w:r>
      <w:r>
        <w:rPr>
          <w:rFonts w:cs="Times New Roman"/>
          <w:b/>
          <w:bCs/>
          <w:spacing w:val="-4"/>
          <w:sz w:val="18"/>
          <w:szCs w:val="18"/>
          <w:u w:val="single"/>
          <w:lang w:val="es-ES_tradnl"/>
        </w:rPr>
        <w:t>º</w:t>
      </w:r>
      <w:r>
        <w:rPr>
          <w:b/>
          <w:bCs/>
          <w:spacing w:val="-4"/>
          <w:sz w:val="18"/>
          <w:szCs w:val="18"/>
          <w:u w:val="single"/>
          <w:lang w:val="es-ES_tradnl"/>
        </w:rPr>
        <w:t xml:space="preserve"> 0013-15-IN</w:t>
      </w:r>
    </w:p>
    <w:p w14:paraId="4F67A74B" w14:textId="77777777" w:rsidR="00591D54" w:rsidRDefault="00591D54">
      <w:pPr>
        <w:shd w:val="clear" w:color="auto" w:fill="FFFFFF"/>
        <w:spacing w:line="427" w:lineRule="exact"/>
        <w:ind w:left="298"/>
      </w:pPr>
      <w:r>
        <w:rPr>
          <w:b/>
          <w:bCs/>
          <w:sz w:val="18"/>
          <w:szCs w:val="18"/>
          <w:lang w:val="es-ES_tradnl"/>
        </w:rPr>
        <w:t>CORTE CONSTITUCIONAL DEL ECUADOR</w:t>
      </w:r>
    </w:p>
    <w:p w14:paraId="4F67A74C" w14:textId="77777777" w:rsidR="00591D54" w:rsidRDefault="00591D54">
      <w:pPr>
        <w:shd w:val="clear" w:color="auto" w:fill="FFFFFF"/>
        <w:spacing w:line="427" w:lineRule="exact"/>
        <w:ind w:left="1339"/>
      </w:pPr>
      <w:r>
        <w:rPr>
          <w:b/>
          <w:bCs/>
          <w:sz w:val="18"/>
          <w:szCs w:val="18"/>
          <w:lang w:val="es-ES_tradnl"/>
        </w:rPr>
        <w:t>I. ANTECEDENTES</w:t>
      </w:r>
    </w:p>
    <w:p w14:paraId="4F67A74D" w14:textId="77777777" w:rsidR="00591D54" w:rsidRDefault="00591D54">
      <w:pPr>
        <w:shd w:val="clear" w:color="auto" w:fill="FFFFFF"/>
        <w:spacing w:line="427" w:lineRule="exact"/>
      </w:pPr>
      <w:r>
        <w:rPr>
          <w:b/>
          <w:bCs/>
          <w:spacing w:val="-9"/>
          <w:sz w:val="18"/>
          <w:szCs w:val="18"/>
          <w:lang w:val="es-ES_tradnl"/>
        </w:rPr>
        <w:t>Resumen de admisibilidad</w:t>
      </w:r>
    </w:p>
    <w:p w14:paraId="4F67A74E" w14:textId="77777777" w:rsidR="00591D54" w:rsidRDefault="00591D54">
      <w:pPr>
        <w:shd w:val="clear" w:color="auto" w:fill="FFFFFF"/>
        <w:spacing w:before="163" w:line="216" w:lineRule="exact"/>
        <w:jc w:val="both"/>
      </w:pPr>
      <w:r>
        <w:rPr>
          <w:spacing w:val="-7"/>
          <w:sz w:val="18"/>
          <w:szCs w:val="18"/>
          <w:lang w:val="es-ES_tradnl"/>
        </w:rPr>
        <w:t>El 26 de marzo de 2015, la abogada Mar</w:t>
      </w:r>
      <w:r>
        <w:rPr>
          <w:rFonts w:cs="Times New Roman"/>
          <w:spacing w:val="-7"/>
          <w:sz w:val="18"/>
          <w:szCs w:val="18"/>
          <w:lang w:val="es-ES_tradnl"/>
        </w:rPr>
        <w:t>í</w:t>
      </w:r>
      <w:r>
        <w:rPr>
          <w:spacing w:val="-7"/>
          <w:sz w:val="18"/>
          <w:szCs w:val="18"/>
          <w:lang w:val="es-ES_tradnl"/>
        </w:rPr>
        <w:t xml:space="preserve">a del Carmen </w:t>
      </w:r>
      <w:r>
        <w:rPr>
          <w:spacing w:val="-3"/>
          <w:sz w:val="18"/>
          <w:szCs w:val="18"/>
          <w:lang w:val="es-ES_tradnl"/>
        </w:rPr>
        <w:t>Burgos Mac</w:t>
      </w:r>
      <w:r>
        <w:rPr>
          <w:rFonts w:cs="Times New Roman"/>
          <w:spacing w:val="-3"/>
          <w:sz w:val="18"/>
          <w:szCs w:val="18"/>
          <w:lang w:val="es-ES_tradnl"/>
        </w:rPr>
        <w:t>í</w:t>
      </w:r>
      <w:r>
        <w:rPr>
          <w:spacing w:val="-3"/>
          <w:sz w:val="18"/>
          <w:szCs w:val="18"/>
          <w:lang w:val="es-ES_tradnl"/>
        </w:rPr>
        <w:t xml:space="preserve">as, procuradora judicial del Consorcio </w:t>
      </w:r>
      <w:r>
        <w:rPr>
          <w:spacing w:val="-6"/>
          <w:sz w:val="18"/>
          <w:szCs w:val="18"/>
          <w:lang w:val="es-ES_tradnl"/>
        </w:rPr>
        <w:t xml:space="preserve">Ecuatoriano de Telecomunicaciones S. A., CONECEL, </w:t>
      </w:r>
      <w:r>
        <w:rPr>
          <w:spacing w:val="-8"/>
          <w:sz w:val="18"/>
          <w:szCs w:val="18"/>
          <w:lang w:val="es-ES_tradnl"/>
        </w:rPr>
        <w:t>present</w:t>
      </w:r>
      <w:r>
        <w:rPr>
          <w:rFonts w:cs="Times New Roman"/>
          <w:spacing w:val="-8"/>
          <w:sz w:val="18"/>
          <w:szCs w:val="18"/>
          <w:lang w:val="es-ES_tradnl"/>
        </w:rPr>
        <w:t>ó</w:t>
      </w:r>
      <w:r>
        <w:rPr>
          <w:spacing w:val="-8"/>
          <w:sz w:val="18"/>
          <w:szCs w:val="18"/>
          <w:lang w:val="es-ES_tradnl"/>
        </w:rPr>
        <w:t xml:space="preserve"> la acci</w:t>
      </w:r>
      <w:r>
        <w:rPr>
          <w:rFonts w:cs="Times New Roman"/>
          <w:spacing w:val="-8"/>
          <w:sz w:val="18"/>
          <w:szCs w:val="18"/>
          <w:lang w:val="es-ES_tradnl"/>
        </w:rPr>
        <w:t>ó</w:t>
      </w:r>
      <w:r>
        <w:rPr>
          <w:spacing w:val="-8"/>
          <w:sz w:val="18"/>
          <w:szCs w:val="18"/>
          <w:lang w:val="es-ES_tradnl"/>
        </w:rPr>
        <w:t>n p</w:t>
      </w:r>
      <w:r>
        <w:rPr>
          <w:rFonts w:cs="Times New Roman"/>
          <w:spacing w:val="-8"/>
          <w:sz w:val="18"/>
          <w:szCs w:val="18"/>
          <w:lang w:val="es-ES_tradnl"/>
        </w:rPr>
        <w:t>ú</w:t>
      </w:r>
      <w:r>
        <w:rPr>
          <w:spacing w:val="-8"/>
          <w:sz w:val="18"/>
          <w:szCs w:val="18"/>
          <w:lang w:val="es-ES_tradnl"/>
        </w:rPr>
        <w:t xml:space="preserve">blica de inconstitucionalidad respecto </w:t>
      </w:r>
      <w:r>
        <w:rPr>
          <w:spacing w:val="-6"/>
          <w:sz w:val="18"/>
          <w:szCs w:val="18"/>
          <w:lang w:val="es-ES_tradnl"/>
        </w:rPr>
        <w:t>del art</w:t>
      </w:r>
      <w:r>
        <w:rPr>
          <w:rFonts w:cs="Times New Roman"/>
          <w:spacing w:val="-6"/>
          <w:sz w:val="18"/>
          <w:szCs w:val="18"/>
          <w:lang w:val="es-ES_tradnl"/>
        </w:rPr>
        <w:t>í</w:t>
      </w:r>
      <w:r>
        <w:rPr>
          <w:spacing w:val="-6"/>
          <w:sz w:val="18"/>
          <w:szCs w:val="18"/>
          <w:lang w:val="es-ES_tradnl"/>
        </w:rPr>
        <w:t>culo 18 de la Ordenanza que regula la utilizaci</w:t>
      </w:r>
      <w:r>
        <w:rPr>
          <w:rFonts w:cs="Times New Roman"/>
          <w:spacing w:val="-6"/>
          <w:sz w:val="18"/>
          <w:szCs w:val="18"/>
          <w:lang w:val="es-ES_tradnl"/>
        </w:rPr>
        <w:t>ó</w:t>
      </w:r>
      <w:r>
        <w:rPr>
          <w:spacing w:val="-6"/>
          <w:sz w:val="18"/>
          <w:szCs w:val="18"/>
          <w:lang w:val="es-ES_tradnl"/>
        </w:rPr>
        <w:t xml:space="preserve">n u </w:t>
      </w:r>
      <w:r>
        <w:rPr>
          <w:spacing w:val="-7"/>
          <w:sz w:val="18"/>
          <w:szCs w:val="18"/>
          <w:lang w:val="es-ES_tradnl"/>
        </w:rPr>
        <w:t>ocupaci</w:t>
      </w:r>
      <w:r>
        <w:rPr>
          <w:rFonts w:cs="Times New Roman"/>
          <w:spacing w:val="-7"/>
          <w:sz w:val="18"/>
          <w:szCs w:val="18"/>
          <w:lang w:val="es-ES_tradnl"/>
        </w:rPr>
        <w:t>ó</w:t>
      </w:r>
      <w:r>
        <w:rPr>
          <w:spacing w:val="-7"/>
          <w:sz w:val="18"/>
          <w:szCs w:val="18"/>
          <w:lang w:val="es-ES_tradnl"/>
        </w:rPr>
        <w:t>n del espacio p</w:t>
      </w:r>
      <w:r>
        <w:rPr>
          <w:rFonts w:cs="Times New Roman"/>
          <w:spacing w:val="-7"/>
          <w:sz w:val="18"/>
          <w:szCs w:val="18"/>
          <w:lang w:val="es-ES_tradnl"/>
        </w:rPr>
        <w:t>ú</w:t>
      </w:r>
      <w:r>
        <w:rPr>
          <w:spacing w:val="-7"/>
          <w:sz w:val="18"/>
          <w:szCs w:val="18"/>
          <w:lang w:val="es-ES_tradnl"/>
        </w:rPr>
        <w:t>blico o la v</w:t>
      </w:r>
      <w:r>
        <w:rPr>
          <w:rFonts w:cs="Times New Roman"/>
          <w:spacing w:val="-7"/>
          <w:sz w:val="18"/>
          <w:szCs w:val="18"/>
          <w:lang w:val="es-ES_tradnl"/>
        </w:rPr>
        <w:t>í</w:t>
      </w:r>
      <w:r>
        <w:rPr>
          <w:spacing w:val="-7"/>
          <w:sz w:val="18"/>
          <w:szCs w:val="18"/>
          <w:lang w:val="es-ES_tradnl"/>
        </w:rPr>
        <w:t>a p</w:t>
      </w:r>
      <w:r>
        <w:rPr>
          <w:rFonts w:cs="Times New Roman"/>
          <w:spacing w:val="-7"/>
          <w:sz w:val="18"/>
          <w:szCs w:val="18"/>
          <w:lang w:val="es-ES_tradnl"/>
        </w:rPr>
        <w:t>ú</w:t>
      </w:r>
      <w:r>
        <w:rPr>
          <w:spacing w:val="-7"/>
          <w:sz w:val="18"/>
          <w:szCs w:val="18"/>
          <w:lang w:val="es-ES_tradnl"/>
        </w:rPr>
        <w:t xml:space="preserve">blica y el espacio </w:t>
      </w:r>
      <w:r>
        <w:rPr>
          <w:spacing w:val="-6"/>
          <w:sz w:val="18"/>
          <w:szCs w:val="18"/>
          <w:lang w:val="es-ES_tradnl"/>
        </w:rPr>
        <w:t>a</w:t>
      </w:r>
      <w:r>
        <w:rPr>
          <w:rFonts w:cs="Times New Roman"/>
          <w:spacing w:val="-6"/>
          <w:sz w:val="18"/>
          <w:szCs w:val="18"/>
          <w:lang w:val="es-ES_tradnl"/>
        </w:rPr>
        <w:t>é</w:t>
      </w:r>
      <w:r>
        <w:rPr>
          <w:spacing w:val="-6"/>
          <w:sz w:val="18"/>
          <w:szCs w:val="18"/>
          <w:lang w:val="es-ES_tradnl"/>
        </w:rPr>
        <w:t>reo municipal, suelo y subsuelo, por la colocaci</w:t>
      </w:r>
      <w:r>
        <w:rPr>
          <w:rFonts w:cs="Times New Roman"/>
          <w:spacing w:val="-6"/>
          <w:sz w:val="18"/>
          <w:szCs w:val="18"/>
          <w:lang w:val="es-ES_tradnl"/>
        </w:rPr>
        <w:t>ó</w:t>
      </w:r>
      <w:r>
        <w:rPr>
          <w:spacing w:val="-6"/>
          <w:sz w:val="18"/>
          <w:szCs w:val="18"/>
          <w:lang w:val="es-ES_tradnl"/>
        </w:rPr>
        <w:t xml:space="preserve">n de </w:t>
      </w:r>
      <w:r>
        <w:rPr>
          <w:spacing w:val="-8"/>
          <w:sz w:val="18"/>
          <w:szCs w:val="18"/>
          <w:lang w:val="es-ES_tradnl"/>
        </w:rPr>
        <w:t xml:space="preserve">estructuras, postes y tendido de redes pertenecientes a </w:t>
      </w:r>
      <w:r>
        <w:rPr>
          <w:spacing w:val="-7"/>
          <w:sz w:val="18"/>
          <w:szCs w:val="18"/>
          <w:lang w:val="es-ES_tradnl"/>
        </w:rPr>
        <w:t>personas naturales o jur</w:t>
      </w:r>
      <w:r>
        <w:rPr>
          <w:rFonts w:cs="Times New Roman"/>
          <w:spacing w:val="-7"/>
          <w:sz w:val="18"/>
          <w:szCs w:val="18"/>
          <w:lang w:val="es-ES_tradnl"/>
        </w:rPr>
        <w:t>í</w:t>
      </w:r>
      <w:r>
        <w:rPr>
          <w:spacing w:val="-7"/>
          <w:sz w:val="18"/>
          <w:szCs w:val="18"/>
          <w:lang w:val="es-ES_tradnl"/>
        </w:rPr>
        <w:t>dicas privadas dentro del cant</w:t>
      </w:r>
      <w:r>
        <w:rPr>
          <w:rFonts w:cs="Times New Roman"/>
          <w:spacing w:val="-7"/>
          <w:sz w:val="18"/>
          <w:szCs w:val="18"/>
          <w:lang w:val="es-ES_tradnl"/>
        </w:rPr>
        <w:t>ó</w:t>
      </w:r>
      <w:r>
        <w:rPr>
          <w:spacing w:val="-7"/>
          <w:sz w:val="18"/>
          <w:szCs w:val="18"/>
          <w:lang w:val="es-ES_tradnl"/>
        </w:rPr>
        <w:t xml:space="preserve">n </w:t>
      </w:r>
      <w:r>
        <w:rPr>
          <w:spacing w:val="-6"/>
          <w:sz w:val="18"/>
          <w:szCs w:val="18"/>
          <w:lang w:val="es-ES_tradnl"/>
        </w:rPr>
        <w:t>Tulc</w:t>
      </w:r>
      <w:r>
        <w:rPr>
          <w:rFonts w:cs="Times New Roman"/>
          <w:spacing w:val="-6"/>
          <w:sz w:val="18"/>
          <w:szCs w:val="18"/>
          <w:lang w:val="es-ES_tradnl"/>
        </w:rPr>
        <w:t>á</w:t>
      </w:r>
      <w:r>
        <w:rPr>
          <w:spacing w:val="-6"/>
          <w:sz w:val="18"/>
          <w:szCs w:val="18"/>
          <w:lang w:val="es-ES_tradnl"/>
        </w:rPr>
        <w:t>n, publicada en el Registro Oficial N.</w:t>
      </w:r>
      <w:r>
        <w:rPr>
          <w:rFonts w:cs="Times New Roman"/>
          <w:spacing w:val="-6"/>
          <w:sz w:val="18"/>
          <w:szCs w:val="18"/>
          <w:lang w:val="es-ES_tradnl"/>
        </w:rPr>
        <w:t>º</w:t>
      </w:r>
      <w:r>
        <w:rPr>
          <w:spacing w:val="-6"/>
          <w:sz w:val="18"/>
          <w:szCs w:val="18"/>
          <w:lang w:val="es-ES_tradnl"/>
        </w:rPr>
        <w:t xml:space="preserve"> 361 del 24 de </w:t>
      </w:r>
      <w:r>
        <w:rPr>
          <w:sz w:val="18"/>
          <w:szCs w:val="18"/>
          <w:lang w:val="es-ES_tradnl"/>
        </w:rPr>
        <w:t>octubre de 2014.</w:t>
      </w:r>
    </w:p>
    <w:p w14:paraId="4F67A74F" w14:textId="77777777" w:rsidR="00591D54" w:rsidRDefault="00591D54">
      <w:pPr>
        <w:shd w:val="clear" w:color="auto" w:fill="FFFFFF"/>
        <w:spacing w:before="197" w:line="216" w:lineRule="exact"/>
        <w:jc w:val="both"/>
      </w:pPr>
      <w:r>
        <w:rPr>
          <w:spacing w:val="-8"/>
          <w:sz w:val="18"/>
          <w:szCs w:val="18"/>
          <w:lang w:val="es-ES_tradnl"/>
        </w:rPr>
        <w:t>El 26 de marzo de 2015, la Secretar</w:t>
      </w:r>
      <w:r>
        <w:rPr>
          <w:rFonts w:cs="Times New Roman"/>
          <w:spacing w:val="-8"/>
          <w:sz w:val="18"/>
          <w:szCs w:val="18"/>
          <w:lang w:val="es-ES_tradnl"/>
        </w:rPr>
        <w:t>í</w:t>
      </w:r>
      <w:r>
        <w:rPr>
          <w:spacing w:val="-8"/>
          <w:sz w:val="18"/>
          <w:szCs w:val="18"/>
          <w:lang w:val="es-ES_tradnl"/>
        </w:rPr>
        <w:t xml:space="preserve">a General de la Corte </w:t>
      </w:r>
      <w:r>
        <w:rPr>
          <w:spacing w:val="-5"/>
          <w:sz w:val="18"/>
          <w:szCs w:val="18"/>
          <w:lang w:val="es-ES_tradnl"/>
        </w:rPr>
        <w:t>Constitucional certific</w:t>
      </w:r>
      <w:r>
        <w:rPr>
          <w:rFonts w:cs="Times New Roman"/>
          <w:spacing w:val="-5"/>
          <w:sz w:val="18"/>
          <w:szCs w:val="18"/>
          <w:lang w:val="es-ES_tradnl"/>
        </w:rPr>
        <w:t>ó</w:t>
      </w:r>
      <w:r>
        <w:rPr>
          <w:spacing w:val="-5"/>
          <w:sz w:val="18"/>
          <w:szCs w:val="18"/>
          <w:lang w:val="es-ES_tradnl"/>
        </w:rPr>
        <w:t xml:space="preserve"> que en referencia a la acci</w:t>
      </w:r>
      <w:r>
        <w:rPr>
          <w:rFonts w:cs="Times New Roman"/>
          <w:spacing w:val="-5"/>
          <w:sz w:val="18"/>
          <w:szCs w:val="18"/>
          <w:lang w:val="es-ES_tradnl"/>
        </w:rPr>
        <w:t>ó</w:t>
      </w:r>
      <w:r>
        <w:rPr>
          <w:spacing w:val="-5"/>
          <w:sz w:val="18"/>
          <w:szCs w:val="18"/>
          <w:lang w:val="es-ES_tradnl"/>
        </w:rPr>
        <w:t>n N.</w:t>
      </w:r>
      <w:r>
        <w:rPr>
          <w:rFonts w:cs="Times New Roman"/>
          <w:spacing w:val="-5"/>
          <w:sz w:val="18"/>
          <w:szCs w:val="18"/>
          <w:lang w:val="es-ES_tradnl"/>
        </w:rPr>
        <w:t xml:space="preserve">° </w:t>
      </w:r>
      <w:r>
        <w:rPr>
          <w:spacing w:val="-5"/>
          <w:sz w:val="18"/>
          <w:szCs w:val="18"/>
          <w:lang w:val="es-ES_tradnl"/>
        </w:rPr>
        <w:t>0013-15-IN, no se present</w:t>
      </w:r>
      <w:r>
        <w:rPr>
          <w:rFonts w:cs="Times New Roman"/>
          <w:spacing w:val="-5"/>
          <w:sz w:val="18"/>
          <w:szCs w:val="18"/>
          <w:lang w:val="es-ES_tradnl"/>
        </w:rPr>
        <w:t>ó</w:t>
      </w:r>
      <w:r>
        <w:rPr>
          <w:spacing w:val="-5"/>
          <w:sz w:val="18"/>
          <w:szCs w:val="18"/>
          <w:lang w:val="es-ES_tradnl"/>
        </w:rPr>
        <w:t xml:space="preserve"> otra demanda con identidad </w:t>
      </w:r>
      <w:r>
        <w:rPr>
          <w:spacing w:val="-8"/>
          <w:sz w:val="18"/>
          <w:szCs w:val="18"/>
          <w:lang w:val="es-ES_tradnl"/>
        </w:rPr>
        <w:t>de objeto y acci</w:t>
      </w:r>
      <w:r>
        <w:rPr>
          <w:rFonts w:cs="Times New Roman"/>
          <w:spacing w:val="-8"/>
          <w:sz w:val="18"/>
          <w:szCs w:val="18"/>
          <w:lang w:val="es-ES_tradnl"/>
        </w:rPr>
        <w:t>ó</w:t>
      </w:r>
      <w:r>
        <w:rPr>
          <w:spacing w:val="-8"/>
          <w:sz w:val="18"/>
          <w:szCs w:val="18"/>
          <w:lang w:val="es-ES_tradnl"/>
        </w:rPr>
        <w:t xml:space="preserve">n. Sin embargo, el secretario general deja </w:t>
      </w:r>
      <w:r>
        <w:rPr>
          <w:spacing w:val="-7"/>
          <w:sz w:val="18"/>
          <w:szCs w:val="18"/>
          <w:lang w:val="es-ES_tradnl"/>
        </w:rPr>
        <w:t xml:space="preserve">constancia, para los fines pertinentes, de que la presente </w:t>
      </w:r>
      <w:r>
        <w:rPr>
          <w:spacing w:val="-6"/>
          <w:sz w:val="18"/>
          <w:szCs w:val="18"/>
          <w:lang w:val="es-ES_tradnl"/>
        </w:rPr>
        <w:t>causa tiene relaci</w:t>
      </w:r>
      <w:r>
        <w:rPr>
          <w:rFonts w:cs="Times New Roman"/>
          <w:spacing w:val="-6"/>
          <w:sz w:val="18"/>
          <w:szCs w:val="18"/>
          <w:lang w:val="es-ES_tradnl"/>
        </w:rPr>
        <w:t>ó</w:t>
      </w:r>
      <w:r>
        <w:rPr>
          <w:spacing w:val="-6"/>
          <w:sz w:val="18"/>
          <w:szCs w:val="18"/>
          <w:lang w:val="es-ES_tradnl"/>
        </w:rPr>
        <w:t>n con los casos N.</w:t>
      </w:r>
      <w:r>
        <w:rPr>
          <w:rFonts w:cs="Times New Roman"/>
          <w:spacing w:val="-6"/>
          <w:sz w:val="18"/>
          <w:szCs w:val="18"/>
          <w:lang w:val="es-ES_tradnl"/>
        </w:rPr>
        <w:t>º</w:t>
      </w:r>
      <w:r>
        <w:rPr>
          <w:spacing w:val="-6"/>
          <w:sz w:val="18"/>
          <w:szCs w:val="18"/>
          <w:lang w:val="es-ES_tradnl"/>
        </w:rPr>
        <w:t xml:space="preserve"> 0026-14-IN, 0031-</w:t>
      </w:r>
      <w:r>
        <w:rPr>
          <w:spacing w:val="-4"/>
          <w:sz w:val="18"/>
          <w:szCs w:val="18"/>
          <w:lang w:val="es-ES_tradnl"/>
        </w:rPr>
        <w:t>14-IN, 0033-14-IN, 0034-14-IN, 0035-14-IN, 0036-14-IN, 0037-14-IN, 0038-14-IN, 0039-14-IN, 0040-14-IN, 0041-14-IN, 0042-14-IN, 0043-14-IN, 0044-14-IN, 0045-14-IN, 0046-14-IN, 0051-14-IN, 0052-14-IN, 0053-14-IN, 0055-</w:t>
      </w:r>
      <w:r>
        <w:rPr>
          <w:spacing w:val="-6"/>
          <w:sz w:val="18"/>
          <w:szCs w:val="18"/>
          <w:lang w:val="es-ES_tradnl"/>
        </w:rPr>
        <w:t>14-IN, que se encuentran sustanci</w:t>
      </w:r>
      <w:r>
        <w:rPr>
          <w:rFonts w:cs="Times New Roman"/>
          <w:spacing w:val="-6"/>
          <w:sz w:val="18"/>
          <w:szCs w:val="18"/>
          <w:lang w:val="es-ES_tradnl"/>
        </w:rPr>
        <w:t>á</w:t>
      </w:r>
      <w:r>
        <w:rPr>
          <w:spacing w:val="-6"/>
          <w:sz w:val="18"/>
          <w:szCs w:val="18"/>
          <w:lang w:val="es-ES_tradnl"/>
        </w:rPr>
        <w:t xml:space="preserve">ndose, y 0054-14-IN, </w:t>
      </w:r>
      <w:r>
        <w:rPr>
          <w:spacing w:val="-5"/>
          <w:sz w:val="18"/>
          <w:szCs w:val="18"/>
          <w:lang w:val="es-ES_tradnl"/>
        </w:rPr>
        <w:t>008-15IN, 0009-15-IN, 0010-15-IN, 0011-15-IN,0012-15-</w:t>
      </w:r>
      <w:r>
        <w:rPr>
          <w:sz w:val="18"/>
          <w:szCs w:val="18"/>
          <w:lang w:val="es-ES_tradnl"/>
        </w:rPr>
        <w:t>IN, en Sala de Admisi</w:t>
      </w:r>
      <w:r>
        <w:rPr>
          <w:rFonts w:cs="Times New Roman"/>
          <w:sz w:val="18"/>
          <w:szCs w:val="18"/>
          <w:lang w:val="es-ES_tradnl"/>
        </w:rPr>
        <w:t>ó</w:t>
      </w:r>
      <w:r>
        <w:rPr>
          <w:sz w:val="18"/>
          <w:szCs w:val="18"/>
          <w:lang w:val="es-ES_tradnl"/>
        </w:rPr>
        <w:t>n.</w:t>
      </w:r>
    </w:p>
    <w:p w14:paraId="4F67A750" w14:textId="77777777" w:rsidR="00591D54" w:rsidRDefault="00591D54">
      <w:pPr>
        <w:shd w:val="clear" w:color="auto" w:fill="FFFFFF"/>
        <w:spacing w:before="197" w:line="216" w:lineRule="exact"/>
        <w:jc w:val="both"/>
      </w:pPr>
      <w:r>
        <w:rPr>
          <w:sz w:val="18"/>
          <w:szCs w:val="18"/>
          <w:lang w:val="es-ES_tradnl"/>
        </w:rPr>
        <w:t xml:space="preserve">Mediante auto del 09 de abril de 2015, la Sala de </w:t>
      </w:r>
      <w:r>
        <w:rPr>
          <w:spacing w:val="-5"/>
          <w:sz w:val="18"/>
          <w:szCs w:val="18"/>
          <w:lang w:val="es-ES_tradnl"/>
        </w:rPr>
        <w:t>Admisi</w:t>
      </w:r>
      <w:r>
        <w:rPr>
          <w:rFonts w:cs="Times New Roman"/>
          <w:spacing w:val="-5"/>
          <w:sz w:val="18"/>
          <w:szCs w:val="18"/>
          <w:lang w:val="es-ES_tradnl"/>
        </w:rPr>
        <w:t>ó</w:t>
      </w:r>
      <w:r>
        <w:rPr>
          <w:spacing w:val="-5"/>
          <w:sz w:val="18"/>
          <w:szCs w:val="18"/>
          <w:lang w:val="es-ES_tradnl"/>
        </w:rPr>
        <w:t>n de la Corte Constitucional avoc</w:t>
      </w:r>
      <w:r>
        <w:rPr>
          <w:rFonts w:cs="Times New Roman"/>
          <w:spacing w:val="-5"/>
          <w:sz w:val="18"/>
          <w:szCs w:val="18"/>
          <w:lang w:val="es-ES_tradnl"/>
        </w:rPr>
        <w:t>ó</w:t>
      </w:r>
      <w:r>
        <w:rPr>
          <w:spacing w:val="-5"/>
          <w:sz w:val="18"/>
          <w:szCs w:val="18"/>
          <w:lang w:val="es-ES_tradnl"/>
        </w:rPr>
        <w:t xml:space="preserve"> conocimiento </w:t>
      </w:r>
      <w:r>
        <w:rPr>
          <w:spacing w:val="-1"/>
          <w:sz w:val="18"/>
          <w:szCs w:val="18"/>
          <w:lang w:val="es-ES_tradnl"/>
        </w:rPr>
        <w:t>de la causa y la admiti</w:t>
      </w:r>
      <w:r>
        <w:rPr>
          <w:rFonts w:cs="Times New Roman"/>
          <w:spacing w:val="-1"/>
          <w:sz w:val="18"/>
          <w:szCs w:val="18"/>
          <w:lang w:val="es-ES_tradnl"/>
        </w:rPr>
        <w:t>ó</w:t>
      </w:r>
      <w:r>
        <w:rPr>
          <w:spacing w:val="-1"/>
          <w:sz w:val="18"/>
          <w:szCs w:val="18"/>
          <w:lang w:val="es-ES_tradnl"/>
        </w:rPr>
        <w:t xml:space="preserve"> a tr</w:t>
      </w:r>
      <w:r>
        <w:rPr>
          <w:rFonts w:cs="Times New Roman"/>
          <w:spacing w:val="-1"/>
          <w:sz w:val="18"/>
          <w:szCs w:val="18"/>
          <w:lang w:val="es-ES_tradnl"/>
        </w:rPr>
        <w:t>á</w:t>
      </w:r>
      <w:r>
        <w:rPr>
          <w:spacing w:val="-1"/>
          <w:sz w:val="18"/>
          <w:szCs w:val="18"/>
          <w:lang w:val="es-ES_tradnl"/>
        </w:rPr>
        <w:t xml:space="preserve">mite. En igual sentido, </w:t>
      </w:r>
      <w:r>
        <w:rPr>
          <w:spacing w:val="-7"/>
          <w:sz w:val="18"/>
          <w:szCs w:val="18"/>
          <w:lang w:val="es-ES_tradnl"/>
        </w:rPr>
        <w:t>dispuso suspender provisionalmente la aplicaci</w:t>
      </w:r>
      <w:r>
        <w:rPr>
          <w:rFonts w:cs="Times New Roman"/>
          <w:spacing w:val="-7"/>
          <w:sz w:val="18"/>
          <w:szCs w:val="18"/>
          <w:lang w:val="es-ES_tradnl"/>
        </w:rPr>
        <w:t>ó</w:t>
      </w:r>
      <w:r>
        <w:rPr>
          <w:spacing w:val="-7"/>
          <w:sz w:val="18"/>
          <w:szCs w:val="18"/>
          <w:lang w:val="es-ES_tradnl"/>
        </w:rPr>
        <w:t xml:space="preserve">n de las </w:t>
      </w:r>
      <w:r>
        <w:rPr>
          <w:spacing w:val="-8"/>
          <w:sz w:val="18"/>
          <w:szCs w:val="18"/>
          <w:lang w:val="es-ES_tradnl"/>
        </w:rPr>
        <w:t>disposiciones contenidas en el art</w:t>
      </w:r>
      <w:r>
        <w:rPr>
          <w:rFonts w:cs="Times New Roman"/>
          <w:spacing w:val="-8"/>
          <w:sz w:val="18"/>
          <w:szCs w:val="18"/>
          <w:lang w:val="es-ES_tradnl"/>
        </w:rPr>
        <w:t>í</w:t>
      </w:r>
      <w:r>
        <w:rPr>
          <w:spacing w:val="-8"/>
          <w:sz w:val="18"/>
          <w:szCs w:val="18"/>
          <w:lang w:val="es-ES_tradnl"/>
        </w:rPr>
        <w:t>culo 18 de la Ordenanza impugnada, as</w:t>
      </w:r>
      <w:r>
        <w:rPr>
          <w:rFonts w:cs="Times New Roman"/>
          <w:spacing w:val="-8"/>
          <w:sz w:val="18"/>
          <w:szCs w:val="18"/>
          <w:lang w:val="es-ES_tradnl"/>
        </w:rPr>
        <w:t>í</w:t>
      </w:r>
      <w:r>
        <w:rPr>
          <w:spacing w:val="-8"/>
          <w:sz w:val="18"/>
          <w:szCs w:val="18"/>
          <w:lang w:val="es-ES_tradnl"/>
        </w:rPr>
        <w:t xml:space="preserve"> como el traslado del auto y de la demanda </w:t>
      </w:r>
      <w:r>
        <w:rPr>
          <w:spacing w:val="-6"/>
          <w:sz w:val="18"/>
          <w:szCs w:val="18"/>
          <w:lang w:val="es-ES_tradnl"/>
        </w:rPr>
        <w:t>al alcalde y procurador s</w:t>
      </w:r>
      <w:r>
        <w:rPr>
          <w:rFonts w:cs="Times New Roman"/>
          <w:spacing w:val="-6"/>
          <w:sz w:val="18"/>
          <w:szCs w:val="18"/>
          <w:lang w:val="es-ES_tradnl"/>
        </w:rPr>
        <w:t>í</w:t>
      </w:r>
      <w:r>
        <w:rPr>
          <w:spacing w:val="-6"/>
          <w:sz w:val="18"/>
          <w:szCs w:val="18"/>
          <w:lang w:val="es-ES_tradnl"/>
        </w:rPr>
        <w:t>ndico del Gobierno Aut</w:t>
      </w:r>
      <w:r>
        <w:rPr>
          <w:rFonts w:cs="Times New Roman"/>
          <w:spacing w:val="-6"/>
          <w:sz w:val="18"/>
          <w:szCs w:val="18"/>
          <w:lang w:val="es-ES_tradnl"/>
        </w:rPr>
        <w:t>ó</w:t>
      </w:r>
      <w:r>
        <w:rPr>
          <w:spacing w:val="-6"/>
          <w:sz w:val="18"/>
          <w:szCs w:val="18"/>
          <w:lang w:val="es-ES_tradnl"/>
        </w:rPr>
        <w:t xml:space="preserve">nomo </w:t>
      </w:r>
      <w:r>
        <w:rPr>
          <w:spacing w:val="-7"/>
          <w:sz w:val="18"/>
          <w:szCs w:val="18"/>
          <w:lang w:val="es-ES_tradnl"/>
        </w:rPr>
        <w:t>Descentralizado Municipal del Cant</w:t>
      </w:r>
      <w:r>
        <w:rPr>
          <w:rFonts w:cs="Times New Roman"/>
          <w:spacing w:val="-7"/>
          <w:sz w:val="18"/>
          <w:szCs w:val="18"/>
          <w:lang w:val="es-ES_tradnl"/>
        </w:rPr>
        <w:t>ó</w:t>
      </w:r>
      <w:r>
        <w:rPr>
          <w:spacing w:val="-7"/>
          <w:sz w:val="18"/>
          <w:szCs w:val="18"/>
          <w:lang w:val="es-ES_tradnl"/>
        </w:rPr>
        <w:t>n Tulc</w:t>
      </w:r>
      <w:r>
        <w:rPr>
          <w:rFonts w:cs="Times New Roman"/>
          <w:spacing w:val="-7"/>
          <w:sz w:val="18"/>
          <w:szCs w:val="18"/>
          <w:lang w:val="es-ES_tradnl"/>
        </w:rPr>
        <w:t>á</w:t>
      </w:r>
      <w:r>
        <w:rPr>
          <w:spacing w:val="-7"/>
          <w:sz w:val="18"/>
          <w:szCs w:val="18"/>
          <w:lang w:val="es-ES_tradnl"/>
        </w:rPr>
        <w:t>n, as</w:t>
      </w:r>
      <w:r>
        <w:rPr>
          <w:rFonts w:cs="Times New Roman"/>
          <w:spacing w:val="-7"/>
          <w:sz w:val="18"/>
          <w:szCs w:val="18"/>
          <w:lang w:val="es-ES_tradnl"/>
        </w:rPr>
        <w:t>í</w:t>
      </w:r>
      <w:r>
        <w:rPr>
          <w:spacing w:val="-7"/>
          <w:sz w:val="18"/>
          <w:szCs w:val="18"/>
          <w:lang w:val="es-ES_tradnl"/>
        </w:rPr>
        <w:t xml:space="preserve"> como al </w:t>
      </w:r>
      <w:r>
        <w:rPr>
          <w:spacing w:val="-10"/>
          <w:sz w:val="18"/>
          <w:szCs w:val="18"/>
          <w:lang w:val="es-ES_tradnl"/>
        </w:rPr>
        <w:t xml:space="preserve">procurador general del Estado, a fin de que intervenga en el </w:t>
      </w:r>
      <w:r>
        <w:rPr>
          <w:spacing w:val="-7"/>
          <w:sz w:val="18"/>
          <w:szCs w:val="18"/>
          <w:lang w:val="es-ES_tradnl"/>
        </w:rPr>
        <w:t xml:space="preserve">proceso, defendiendo o impugnando la constitucionalidad </w:t>
      </w:r>
      <w:r>
        <w:rPr>
          <w:spacing w:val="-9"/>
          <w:sz w:val="18"/>
          <w:szCs w:val="18"/>
          <w:lang w:val="es-ES_tradnl"/>
        </w:rPr>
        <w:t>de la norma demandada en el t</w:t>
      </w:r>
      <w:r>
        <w:rPr>
          <w:rFonts w:cs="Times New Roman"/>
          <w:spacing w:val="-9"/>
          <w:sz w:val="18"/>
          <w:szCs w:val="18"/>
          <w:lang w:val="es-ES_tradnl"/>
        </w:rPr>
        <w:t>é</w:t>
      </w:r>
      <w:r>
        <w:rPr>
          <w:spacing w:val="-9"/>
          <w:sz w:val="18"/>
          <w:szCs w:val="18"/>
          <w:lang w:val="es-ES_tradnl"/>
        </w:rPr>
        <w:t>rmino de quince d</w:t>
      </w:r>
      <w:r>
        <w:rPr>
          <w:rFonts w:cs="Times New Roman"/>
          <w:spacing w:val="-9"/>
          <w:sz w:val="18"/>
          <w:szCs w:val="18"/>
          <w:lang w:val="es-ES_tradnl"/>
        </w:rPr>
        <w:t>í</w:t>
      </w:r>
      <w:r>
        <w:rPr>
          <w:spacing w:val="-9"/>
          <w:sz w:val="18"/>
          <w:szCs w:val="18"/>
          <w:lang w:val="es-ES_tradnl"/>
        </w:rPr>
        <w:t>as.</w:t>
      </w:r>
    </w:p>
    <w:p w14:paraId="4F67A751" w14:textId="77777777" w:rsidR="00591D54" w:rsidRDefault="00591D54">
      <w:pPr>
        <w:shd w:val="clear" w:color="auto" w:fill="FFFFFF"/>
        <w:spacing w:before="197" w:line="216" w:lineRule="exact"/>
        <w:jc w:val="both"/>
      </w:pPr>
      <w:r>
        <w:rPr>
          <w:spacing w:val="-5"/>
          <w:sz w:val="18"/>
          <w:szCs w:val="18"/>
          <w:lang w:val="es-ES_tradnl"/>
        </w:rPr>
        <w:t xml:space="preserve">De conformidad con el sorteo realizado por el Pleno del </w:t>
      </w:r>
      <w:r>
        <w:rPr>
          <w:spacing w:val="-6"/>
          <w:sz w:val="18"/>
          <w:szCs w:val="18"/>
          <w:lang w:val="es-ES_tradnl"/>
        </w:rPr>
        <w:t>Organismo, en sesi</w:t>
      </w:r>
      <w:r>
        <w:rPr>
          <w:rFonts w:cs="Times New Roman"/>
          <w:spacing w:val="-6"/>
          <w:sz w:val="18"/>
          <w:szCs w:val="18"/>
          <w:lang w:val="es-ES_tradnl"/>
        </w:rPr>
        <w:t>ó</w:t>
      </w:r>
      <w:r>
        <w:rPr>
          <w:spacing w:val="-6"/>
          <w:sz w:val="18"/>
          <w:szCs w:val="18"/>
          <w:lang w:val="es-ES_tradnl"/>
        </w:rPr>
        <w:t xml:space="preserve">n ordinaria del 22 de abril de 2015, </w:t>
      </w:r>
      <w:r>
        <w:rPr>
          <w:spacing w:val="-8"/>
          <w:sz w:val="18"/>
          <w:szCs w:val="18"/>
          <w:lang w:val="es-ES_tradnl"/>
        </w:rPr>
        <w:t>correspondi</w:t>
      </w:r>
      <w:r>
        <w:rPr>
          <w:rFonts w:cs="Times New Roman"/>
          <w:spacing w:val="-8"/>
          <w:sz w:val="18"/>
          <w:szCs w:val="18"/>
          <w:lang w:val="es-ES_tradnl"/>
        </w:rPr>
        <w:t>ó</w:t>
      </w:r>
      <w:r>
        <w:rPr>
          <w:spacing w:val="-8"/>
          <w:sz w:val="18"/>
          <w:szCs w:val="18"/>
          <w:lang w:val="es-ES_tradnl"/>
        </w:rPr>
        <w:t xml:space="preserve"> la sustanciaci</w:t>
      </w:r>
      <w:r>
        <w:rPr>
          <w:rFonts w:cs="Times New Roman"/>
          <w:spacing w:val="-8"/>
          <w:sz w:val="18"/>
          <w:szCs w:val="18"/>
          <w:lang w:val="es-ES_tradnl"/>
        </w:rPr>
        <w:t>ó</w:t>
      </w:r>
      <w:r>
        <w:rPr>
          <w:spacing w:val="-8"/>
          <w:sz w:val="18"/>
          <w:szCs w:val="18"/>
          <w:lang w:val="es-ES_tradnl"/>
        </w:rPr>
        <w:t xml:space="preserve">n de la presente causa al juez </w:t>
      </w:r>
      <w:r>
        <w:rPr>
          <w:spacing w:val="-7"/>
          <w:sz w:val="18"/>
          <w:szCs w:val="18"/>
          <w:lang w:val="es-ES_tradnl"/>
        </w:rPr>
        <w:t xml:space="preserve">constitucional Marcelo Jaramillo Villa, quien mediante auto </w:t>
      </w:r>
      <w:r>
        <w:rPr>
          <w:spacing w:val="-5"/>
          <w:sz w:val="18"/>
          <w:szCs w:val="18"/>
          <w:lang w:val="es-ES_tradnl"/>
        </w:rPr>
        <w:t>del 06 de agosto de 2015, avoc</w:t>
      </w:r>
      <w:r>
        <w:rPr>
          <w:rFonts w:cs="Times New Roman"/>
          <w:spacing w:val="-5"/>
          <w:sz w:val="18"/>
          <w:szCs w:val="18"/>
          <w:lang w:val="es-ES_tradnl"/>
        </w:rPr>
        <w:t>ó</w:t>
      </w:r>
      <w:r>
        <w:rPr>
          <w:spacing w:val="-5"/>
          <w:sz w:val="18"/>
          <w:szCs w:val="18"/>
          <w:lang w:val="es-ES_tradnl"/>
        </w:rPr>
        <w:t xml:space="preserve"> conocimiento y dispuso </w:t>
      </w:r>
      <w:r>
        <w:rPr>
          <w:spacing w:val="-6"/>
          <w:sz w:val="18"/>
          <w:szCs w:val="18"/>
          <w:lang w:val="es-ES_tradnl"/>
        </w:rPr>
        <w:t>la notificaci</w:t>
      </w:r>
      <w:r>
        <w:rPr>
          <w:rFonts w:cs="Times New Roman"/>
          <w:spacing w:val="-6"/>
          <w:sz w:val="18"/>
          <w:szCs w:val="18"/>
          <w:lang w:val="es-ES_tradnl"/>
        </w:rPr>
        <w:t>ó</w:t>
      </w:r>
      <w:r>
        <w:rPr>
          <w:spacing w:val="-6"/>
          <w:sz w:val="18"/>
          <w:szCs w:val="18"/>
          <w:lang w:val="es-ES_tradnl"/>
        </w:rPr>
        <w:t>n de la recepci</w:t>
      </w:r>
      <w:r>
        <w:rPr>
          <w:rFonts w:cs="Times New Roman"/>
          <w:spacing w:val="-6"/>
          <w:sz w:val="18"/>
          <w:szCs w:val="18"/>
          <w:lang w:val="es-ES_tradnl"/>
        </w:rPr>
        <w:t>ó</w:t>
      </w:r>
      <w:r>
        <w:rPr>
          <w:spacing w:val="-6"/>
          <w:sz w:val="18"/>
          <w:szCs w:val="18"/>
          <w:lang w:val="es-ES_tradnl"/>
        </w:rPr>
        <w:t xml:space="preserve">n del proceso a las partes </w:t>
      </w:r>
      <w:r>
        <w:rPr>
          <w:sz w:val="18"/>
          <w:szCs w:val="18"/>
          <w:lang w:val="es-ES_tradnl"/>
        </w:rPr>
        <w:t>procesales.</w:t>
      </w:r>
    </w:p>
    <w:p w14:paraId="4F67A752" w14:textId="77777777" w:rsidR="00591D54" w:rsidRDefault="00591D54">
      <w:pPr>
        <w:shd w:val="clear" w:color="auto" w:fill="FFFFFF"/>
        <w:spacing w:before="192"/>
      </w:pPr>
      <w:r>
        <w:rPr>
          <w:b/>
          <w:bCs/>
          <w:spacing w:val="-9"/>
          <w:sz w:val="18"/>
          <w:szCs w:val="18"/>
          <w:lang w:val="es-ES_tradnl"/>
        </w:rPr>
        <w:t>Disposici</w:t>
      </w:r>
      <w:r>
        <w:rPr>
          <w:rFonts w:cs="Times New Roman"/>
          <w:b/>
          <w:bCs/>
          <w:spacing w:val="-9"/>
          <w:sz w:val="18"/>
          <w:szCs w:val="18"/>
          <w:lang w:val="es-ES_tradnl"/>
        </w:rPr>
        <w:t>ó</w:t>
      </w:r>
      <w:r>
        <w:rPr>
          <w:b/>
          <w:bCs/>
          <w:spacing w:val="-9"/>
          <w:sz w:val="18"/>
          <w:szCs w:val="18"/>
          <w:lang w:val="es-ES_tradnl"/>
        </w:rPr>
        <w:t>n Jur</w:t>
      </w:r>
      <w:r>
        <w:rPr>
          <w:rFonts w:cs="Times New Roman"/>
          <w:b/>
          <w:bCs/>
          <w:spacing w:val="-9"/>
          <w:sz w:val="18"/>
          <w:szCs w:val="18"/>
          <w:lang w:val="es-ES_tradnl"/>
        </w:rPr>
        <w:t>í</w:t>
      </w:r>
      <w:r>
        <w:rPr>
          <w:b/>
          <w:bCs/>
          <w:spacing w:val="-9"/>
          <w:sz w:val="18"/>
          <w:szCs w:val="18"/>
          <w:lang w:val="es-ES_tradnl"/>
        </w:rPr>
        <w:t>dica impugnada</w:t>
      </w:r>
    </w:p>
    <w:p w14:paraId="4F67A753" w14:textId="77777777" w:rsidR="00591D54" w:rsidRDefault="00591D54">
      <w:pPr>
        <w:shd w:val="clear" w:color="auto" w:fill="FFFFFF"/>
        <w:spacing w:before="197" w:line="216" w:lineRule="exact"/>
        <w:jc w:val="both"/>
      </w:pPr>
      <w:r>
        <w:rPr>
          <w:sz w:val="18"/>
          <w:szCs w:val="18"/>
          <w:lang w:val="es-ES_tradnl"/>
        </w:rPr>
        <w:t>La abogada Mar</w:t>
      </w:r>
      <w:r>
        <w:rPr>
          <w:rFonts w:cs="Times New Roman"/>
          <w:sz w:val="18"/>
          <w:szCs w:val="18"/>
          <w:lang w:val="es-ES_tradnl"/>
        </w:rPr>
        <w:t>í</w:t>
      </w:r>
      <w:r>
        <w:rPr>
          <w:sz w:val="18"/>
          <w:szCs w:val="18"/>
          <w:lang w:val="es-ES_tradnl"/>
        </w:rPr>
        <w:t>a del Carmen Burgos Mac</w:t>
      </w:r>
      <w:r>
        <w:rPr>
          <w:rFonts w:cs="Times New Roman"/>
          <w:sz w:val="18"/>
          <w:szCs w:val="18"/>
          <w:lang w:val="es-ES_tradnl"/>
        </w:rPr>
        <w:t>í</w:t>
      </w:r>
      <w:r>
        <w:rPr>
          <w:sz w:val="18"/>
          <w:szCs w:val="18"/>
          <w:lang w:val="es-ES_tradnl"/>
        </w:rPr>
        <w:t xml:space="preserve">as, </w:t>
      </w:r>
      <w:r>
        <w:rPr>
          <w:spacing w:val="-6"/>
          <w:sz w:val="18"/>
          <w:szCs w:val="18"/>
          <w:lang w:val="es-ES_tradnl"/>
        </w:rPr>
        <w:t>en representaci</w:t>
      </w:r>
      <w:r>
        <w:rPr>
          <w:rFonts w:cs="Times New Roman"/>
          <w:spacing w:val="-6"/>
          <w:sz w:val="18"/>
          <w:szCs w:val="18"/>
          <w:lang w:val="es-ES_tradnl"/>
        </w:rPr>
        <w:t>ó</w:t>
      </w:r>
      <w:r>
        <w:rPr>
          <w:spacing w:val="-6"/>
          <w:sz w:val="18"/>
          <w:szCs w:val="18"/>
          <w:lang w:val="es-ES_tradnl"/>
        </w:rPr>
        <w:t xml:space="preserve">n del Consorcio Ecuatoriano de </w:t>
      </w:r>
      <w:r>
        <w:rPr>
          <w:spacing w:val="-4"/>
          <w:sz w:val="18"/>
          <w:szCs w:val="18"/>
          <w:lang w:val="es-ES_tradnl"/>
        </w:rPr>
        <w:t>Telecomunicaciones S. A., CONECEL, mediante acci</w:t>
      </w:r>
      <w:r>
        <w:rPr>
          <w:rFonts w:cs="Times New Roman"/>
          <w:spacing w:val="-4"/>
          <w:sz w:val="18"/>
          <w:szCs w:val="18"/>
          <w:lang w:val="es-ES_tradnl"/>
        </w:rPr>
        <w:t>ó</w:t>
      </w:r>
      <w:r>
        <w:rPr>
          <w:spacing w:val="-4"/>
          <w:sz w:val="18"/>
          <w:szCs w:val="18"/>
          <w:lang w:val="es-ES_tradnl"/>
        </w:rPr>
        <w:t>n</w:t>
      </w:r>
    </w:p>
    <w:p w14:paraId="4F67A754" w14:textId="77777777" w:rsidR="00591D54" w:rsidRDefault="00591D54">
      <w:pPr>
        <w:shd w:val="clear" w:color="auto" w:fill="FFFFFF"/>
        <w:spacing w:before="197" w:line="216" w:lineRule="exact"/>
        <w:jc w:val="both"/>
        <w:sectPr w:rsidR="00591D54">
          <w:type w:val="continuous"/>
          <w:pgSz w:w="11909" w:h="16834"/>
          <w:pgMar w:top="1371" w:right="1309" w:bottom="360" w:left="1308" w:header="720" w:footer="720" w:gutter="0"/>
          <w:cols w:num="2" w:space="720" w:equalWidth="0">
            <w:col w:w="4315" w:space="672"/>
            <w:col w:w="4305"/>
          </w:cols>
          <w:noEndnote/>
        </w:sectPr>
      </w:pPr>
    </w:p>
    <w:p w14:paraId="4F67A755" w14:textId="77777777" w:rsidR="00591D54" w:rsidRDefault="00591D54">
      <w:pPr>
        <w:shd w:val="clear" w:color="auto" w:fill="FFFFFF"/>
        <w:tabs>
          <w:tab w:val="left" w:pos="4814"/>
        </w:tabs>
        <w:spacing w:after="226"/>
        <w:ind w:left="5"/>
      </w:pPr>
      <w:r>
        <w:rPr>
          <w:b/>
          <w:bCs/>
          <w:sz w:val="18"/>
          <w:szCs w:val="18"/>
          <w:lang w:val="es-ES_tradnl"/>
        </w:rPr>
        <w:t xml:space="preserve">50 -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756" w14:textId="77777777" w:rsidR="00591D54" w:rsidRDefault="00591D54">
      <w:pPr>
        <w:shd w:val="clear" w:color="auto" w:fill="FFFFFF"/>
        <w:tabs>
          <w:tab w:val="left" w:pos="4814"/>
        </w:tabs>
        <w:spacing w:after="226"/>
        <w:ind w:left="5"/>
        <w:sectPr w:rsidR="00591D54">
          <w:pgSz w:w="11909" w:h="16834"/>
          <w:pgMar w:top="1368" w:right="1309" w:bottom="360" w:left="1308" w:header="720" w:footer="720" w:gutter="0"/>
          <w:cols w:space="60"/>
          <w:noEndnote/>
        </w:sectPr>
      </w:pPr>
    </w:p>
    <w:p w14:paraId="4F67A757" w14:textId="77777777" w:rsidR="00591D54" w:rsidRDefault="00591D54">
      <w:pPr>
        <w:shd w:val="clear" w:color="auto" w:fill="FFFFFF"/>
        <w:spacing w:before="10" w:line="226" w:lineRule="exact"/>
        <w:jc w:val="both"/>
      </w:pPr>
      <w:r>
        <w:rPr>
          <w:spacing w:val="-3"/>
          <w:sz w:val="18"/>
          <w:szCs w:val="18"/>
          <w:lang w:val="es-ES_tradnl"/>
        </w:rPr>
        <w:t>p</w:t>
      </w:r>
      <w:r>
        <w:rPr>
          <w:rFonts w:cs="Times New Roman"/>
          <w:spacing w:val="-3"/>
          <w:sz w:val="18"/>
          <w:szCs w:val="18"/>
          <w:lang w:val="es-ES_tradnl"/>
        </w:rPr>
        <w:t>ú</w:t>
      </w:r>
      <w:r>
        <w:rPr>
          <w:spacing w:val="-3"/>
          <w:sz w:val="18"/>
          <w:szCs w:val="18"/>
          <w:lang w:val="es-ES_tradnl"/>
        </w:rPr>
        <w:t>blica de inconstitucionalidad de norma presentada el 26 de marzo de 2015, solicit</w:t>
      </w:r>
      <w:r>
        <w:rPr>
          <w:rFonts w:cs="Times New Roman"/>
          <w:spacing w:val="-3"/>
          <w:sz w:val="18"/>
          <w:szCs w:val="18"/>
          <w:lang w:val="es-ES_tradnl"/>
        </w:rPr>
        <w:t>ó</w:t>
      </w:r>
      <w:r>
        <w:rPr>
          <w:spacing w:val="-3"/>
          <w:sz w:val="18"/>
          <w:szCs w:val="18"/>
          <w:lang w:val="es-ES_tradnl"/>
        </w:rPr>
        <w:t xml:space="preserve"> a la Corte Constitucional </w:t>
      </w:r>
      <w:r>
        <w:rPr>
          <w:spacing w:val="-6"/>
          <w:sz w:val="18"/>
          <w:szCs w:val="18"/>
          <w:lang w:val="es-ES_tradnl"/>
        </w:rPr>
        <w:t>que se declare la inconstitucionalidad del art</w:t>
      </w:r>
      <w:r>
        <w:rPr>
          <w:rFonts w:cs="Times New Roman"/>
          <w:spacing w:val="-6"/>
          <w:sz w:val="18"/>
          <w:szCs w:val="18"/>
          <w:lang w:val="es-ES_tradnl"/>
        </w:rPr>
        <w:t>í</w:t>
      </w:r>
      <w:r>
        <w:rPr>
          <w:spacing w:val="-6"/>
          <w:sz w:val="18"/>
          <w:szCs w:val="18"/>
          <w:lang w:val="es-ES_tradnl"/>
        </w:rPr>
        <w:t xml:space="preserve">culo 18 de la </w:t>
      </w:r>
      <w:r>
        <w:rPr>
          <w:spacing w:val="-9"/>
          <w:sz w:val="18"/>
          <w:szCs w:val="18"/>
          <w:lang w:val="es-ES_tradnl"/>
        </w:rPr>
        <w:t>Ordenanza que regula la utilizaci</w:t>
      </w:r>
      <w:r>
        <w:rPr>
          <w:rFonts w:cs="Times New Roman"/>
          <w:spacing w:val="-9"/>
          <w:sz w:val="18"/>
          <w:szCs w:val="18"/>
          <w:lang w:val="es-ES_tradnl"/>
        </w:rPr>
        <w:t>ó</w:t>
      </w:r>
      <w:r>
        <w:rPr>
          <w:spacing w:val="-9"/>
          <w:sz w:val="18"/>
          <w:szCs w:val="18"/>
          <w:lang w:val="es-ES_tradnl"/>
        </w:rPr>
        <w:t>n u ocupaci</w:t>
      </w:r>
      <w:r>
        <w:rPr>
          <w:rFonts w:cs="Times New Roman"/>
          <w:spacing w:val="-9"/>
          <w:sz w:val="18"/>
          <w:szCs w:val="18"/>
          <w:lang w:val="es-ES_tradnl"/>
        </w:rPr>
        <w:t>ó</w:t>
      </w:r>
      <w:r>
        <w:rPr>
          <w:spacing w:val="-9"/>
          <w:sz w:val="18"/>
          <w:szCs w:val="18"/>
          <w:lang w:val="es-ES_tradnl"/>
        </w:rPr>
        <w:t xml:space="preserve">n del espacio </w:t>
      </w:r>
      <w:r>
        <w:rPr>
          <w:spacing w:val="-1"/>
          <w:sz w:val="18"/>
          <w:szCs w:val="18"/>
          <w:lang w:val="es-ES_tradnl"/>
        </w:rPr>
        <w:t>p</w:t>
      </w:r>
      <w:r>
        <w:rPr>
          <w:rFonts w:cs="Times New Roman"/>
          <w:spacing w:val="-1"/>
          <w:sz w:val="18"/>
          <w:szCs w:val="18"/>
          <w:lang w:val="es-ES_tradnl"/>
        </w:rPr>
        <w:t>ú</w:t>
      </w:r>
      <w:r>
        <w:rPr>
          <w:spacing w:val="-1"/>
          <w:sz w:val="18"/>
          <w:szCs w:val="18"/>
          <w:lang w:val="es-ES_tradnl"/>
        </w:rPr>
        <w:t>blico o la v</w:t>
      </w:r>
      <w:r>
        <w:rPr>
          <w:rFonts w:cs="Times New Roman"/>
          <w:spacing w:val="-1"/>
          <w:sz w:val="18"/>
          <w:szCs w:val="18"/>
          <w:lang w:val="es-ES_tradnl"/>
        </w:rPr>
        <w:t>í</w:t>
      </w:r>
      <w:r>
        <w:rPr>
          <w:spacing w:val="-1"/>
          <w:sz w:val="18"/>
          <w:szCs w:val="18"/>
          <w:lang w:val="es-ES_tradnl"/>
        </w:rPr>
        <w:t>a p</w:t>
      </w:r>
      <w:r>
        <w:rPr>
          <w:rFonts w:cs="Times New Roman"/>
          <w:spacing w:val="-1"/>
          <w:sz w:val="18"/>
          <w:szCs w:val="18"/>
          <w:lang w:val="es-ES_tradnl"/>
        </w:rPr>
        <w:t>ú</w:t>
      </w:r>
      <w:r>
        <w:rPr>
          <w:spacing w:val="-1"/>
          <w:sz w:val="18"/>
          <w:szCs w:val="18"/>
          <w:lang w:val="es-ES_tradnl"/>
        </w:rPr>
        <w:t>blica y el espacio a</w:t>
      </w:r>
      <w:r>
        <w:rPr>
          <w:rFonts w:cs="Times New Roman"/>
          <w:spacing w:val="-1"/>
          <w:sz w:val="18"/>
          <w:szCs w:val="18"/>
          <w:lang w:val="es-ES_tradnl"/>
        </w:rPr>
        <w:t>é</w:t>
      </w:r>
      <w:r>
        <w:rPr>
          <w:spacing w:val="-1"/>
          <w:sz w:val="18"/>
          <w:szCs w:val="18"/>
          <w:lang w:val="es-ES_tradnl"/>
        </w:rPr>
        <w:t xml:space="preserve">reo municipal, </w:t>
      </w:r>
      <w:r>
        <w:rPr>
          <w:spacing w:val="-6"/>
          <w:sz w:val="18"/>
          <w:szCs w:val="18"/>
          <w:lang w:val="es-ES_tradnl"/>
        </w:rPr>
        <w:t>suelo y subsuelo, por la colocaci</w:t>
      </w:r>
      <w:r>
        <w:rPr>
          <w:rFonts w:cs="Times New Roman"/>
          <w:spacing w:val="-6"/>
          <w:sz w:val="18"/>
          <w:szCs w:val="18"/>
          <w:lang w:val="es-ES_tradnl"/>
        </w:rPr>
        <w:t>ó</w:t>
      </w:r>
      <w:r>
        <w:rPr>
          <w:spacing w:val="-6"/>
          <w:sz w:val="18"/>
          <w:szCs w:val="18"/>
          <w:lang w:val="es-ES_tradnl"/>
        </w:rPr>
        <w:t xml:space="preserve">n de estructuras, postes </w:t>
      </w:r>
      <w:r>
        <w:rPr>
          <w:spacing w:val="-8"/>
          <w:sz w:val="18"/>
          <w:szCs w:val="18"/>
          <w:lang w:val="es-ES_tradnl"/>
        </w:rPr>
        <w:t xml:space="preserve">y tendido de redes pertenecientes a personas naturales o </w:t>
      </w:r>
      <w:r>
        <w:rPr>
          <w:spacing w:val="-6"/>
          <w:sz w:val="18"/>
          <w:szCs w:val="18"/>
          <w:lang w:val="es-ES_tradnl"/>
        </w:rPr>
        <w:t>jur</w:t>
      </w:r>
      <w:r>
        <w:rPr>
          <w:rFonts w:cs="Times New Roman"/>
          <w:spacing w:val="-6"/>
          <w:sz w:val="18"/>
          <w:szCs w:val="18"/>
          <w:lang w:val="es-ES_tradnl"/>
        </w:rPr>
        <w:t>í</w:t>
      </w:r>
      <w:r>
        <w:rPr>
          <w:spacing w:val="-6"/>
          <w:sz w:val="18"/>
          <w:szCs w:val="18"/>
          <w:lang w:val="es-ES_tradnl"/>
        </w:rPr>
        <w:t>dicas privadas dentro del cant</w:t>
      </w:r>
      <w:r>
        <w:rPr>
          <w:rFonts w:cs="Times New Roman"/>
          <w:spacing w:val="-6"/>
          <w:sz w:val="18"/>
          <w:szCs w:val="18"/>
          <w:lang w:val="es-ES_tradnl"/>
        </w:rPr>
        <w:t>ó</w:t>
      </w:r>
      <w:r>
        <w:rPr>
          <w:spacing w:val="-6"/>
          <w:sz w:val="18"/>
          <w:szCs w:val="18"/>
          <w:lang w:val="es-ES_tradnl"/>
        </w:rPr>
        <w:t>n Tulc</w:t>
      </w:r>
      <w:r>
        <w:rPr>
          <w:rFonts w:cs="Times New Roman"/>
          <w:spacing w:val="-6"/>
          <w:sz w:val="18"/>
          <w:szCs w:val="18"/>
          <w:lang w:val="es-ES_tradnl"/>
        </w:rPr>
        <w:t>á</w:t>
      </w:r>
      <w:r>
        <w:rPr>
          <w:spacing w:val="-6"/>
          <w:sz w:val="18"/>
          <w:szCs w:val="18"/>
          <w:lang w:val="es-ES_tradnl"/>
        </w:rPr>
        <w:t xml:space="preserve">n, publicada en </w:t>
      </w:r>
      <w:r>
        <w:rPr>
          <w:spacing w:val="-7"/>
          <w:sz w:val="18"/>
          <w:szCs w:val="18"/>
          <w:lang w:val="es-ES_tradnl"/>
        </w:rPr>
        <w:t>el Registro Oficial N.</w:t>
      </w:r>
      <w:r>
        <w:rPr>
          <w:rFonts w:cs="Times New Roman"/>
          <w:spacing w:val="-7"/>
          <w:sz w:val="18"/>
          <w:szCs w:val="18"/>
          <w:lang w:val="es-ES_tradnl"/>
        </w:rPr>
        <w:t>º</w:t>
      </w:r>
      <w:r>
        <w:rPr>
          <w:spacing w:val="-7"/>
          <w:sz w:val="18"/>
          <w:szCs w:val="18"/>
          <w:lang w:val="es-ES_tradnl"/>
        </w:rPr>
        <w:t xml:space="preserve"> 361 del 24 de octubre de 2014, que </w:t>
      </w:r>
      <w:r>
        <w:rPr>
          <w:sz w:val="18"/>
          <w:szCs w:val="18"/>
          <w:lang w:val="es-ES_tradnl"/>
        </w:rPr>
        <w:t>se</w:t>
      </w:r>
      <w:r>
        <w:rPr>
          <w:rFonts w:cs="Times New Roman"/>
          <w:sz w:val="18"/>
          <w:szCs w:val="18"/>
          <w:lang w:val="es-ES_tradnl"/>
        </w:rPr>
        <w:t>ñ</w:t>
      </w:r>
      <w:r>
        <w:rPr>
          <w:sz w:val="18"/>
          <w:szCs w:val="18"/>
          <w:lang w:val="es-ES_tradnl"/>
        </w:rPr>
        <w:t>ala lo siguiente:</w:t>
      </w:r>
    </w:p>
    <w:p w14:paraId="4F67A758" w14:textId="77777777" w:rsidR="00591D54" w:rsidRDefault="00591D54">
      <w:pPr>
        <w:shd w:val="clear" w:color="auto" w:fill="FFFFFF"/>
        <w:spacing w:before="206" w:line="226" w:lineRule="exact"/>
        <w:ind w:left="283" w:right="5"/>
        <w:jc w:val="both"/>
      </w:pPr>
      <w:r>
        <w:rPr>
          <w:b/>
          <w:bCs/>
          <w:spacing w:val="-8"/>
          <w:sz w:val="16"/>
          <w:szCs w:val="16"/>
          <w:lang w:val="es-ES_tradnl"/>
        </w:rPr>
        <w:t>Art. 18.- Valorizaci</w:t>
      </w:r>
      <w:r>
        <w:rPr>
          <w:rFonts w:cs="Times New Roman"/>
          <w:b/>
          <w:bCs/>
          <w:spacing w:val="-8"/>
          <w:sz w:val="16"/>
          <w:szCs w:val="16"/>
          <w:lang w:val="es-ES_tradnl"/>
        </w:rPr>
        <w:t>ó</w:t>
      </w:r>
      <w:r>
        <w:rPr>
          <w:b/>
          <w:bCs/>
          <w:spacing w:val="-8"/>
          <w:sz w:val="16"/>
          <w:szCs w:val="16"/>
          <w:lang w:val="es-ES_tradnl"/>
        </w:rPr>
        <w:t xml:space="preserve">n de las Tasas.- </w:t>
      </w:r>
      <w:r>
        <w:rPr>
          <w:spacing w:val="-8"/>
          <w:sz w:val="16"/>
          <w:szCs w:val="16"/>
          <w:lang w:val="es-ES_tradnl"/>
        </w:rPr>
        <w:t xml:space="preserve">Las personas naturales, </w:t>
      </w:r>
      <w:r>
        <w:rPr>
          <w:spacing w:val="-5"/>
          <w:sz w:val="16"/>
          <w:szCs w:val="16"/>
          <w:lang w:val="es-ES_tradnl"/>
        </w:rPr>
        <w:t>jur</w:t>
      </w:r>
      <w:r>
        <w:rPr>
          <w:rFonts w:cs="Times New Roman"/>
          <w:spacing w:val="-5"/>
          <w:sz w:val="16"/>
          <w:szCs w:val="16"/>
          <w:lang w:val="es-ES_tradnl"/>
        </w:rPr>
        <w:t>í</w:t>
      </w:r>
      <w:r>
        <w:rPr>
          <w:spacing w:val="-5"/>
          <w:sz w:val="16"/>
          <w:szCs w:val="16"/>
          <w:lang w:val="es-ES_tradnl"/>
        </w:rPr>
        <w:t xml:space="preserve">dica, sociedades nacionales y extrajera todas ellas de </w:t>
      </w:r>
      <w:r>
        <w:rPr>
          <w:spacing w:val="-8"/>
          <w:sz w:val="16"/>
          <w:szCs w:val="16"/>
          <w:lang w:val="es-ES_tradnl"/>
        </w:rPr>
        <w:t>car</w:t>
      </w:r>
      <w:r>
        <w:rPr>
          <w:rFonts w:cs="Times New Roman"/>
          <w:spacing w:val="-8"/>
          <w:sz w:val="16"/>
          <w:szCs w:val="16"/>
          <w:lang w:val="es-ES_tradnl"/>
        </w:rPr>
        <w:t>á</w:t>
      </w:r>
      <w:r>
        <w:rPr>
          <w:spacing w:val="-8"/>
          <w:sz w:val="16"/>
          <w:szCs w:val="16"/>
          <w:lang w:val="es-ES_tradnl"/>
        </w:rPr>
        <w:t>cter privado, deber</w:t>
      </w:r>
      <w:r>
        <w:rPr>
          <w:rFonts w:cs="Times New Roman"/>
          <w:spacing w:val="-8"/>
          <w:sz w:val="16"/>
          <w:szCs w:val="16"/>
          <w:lang w:val="es-ES_tradnl"/>
        </w:rPr>
        <w:t>á</w:t>
      </w:r>
      <w:r>
        <w:rPr>
          <w:spacing w:val="-8"/>
          <w:sz w:val="16"/>
          <w:szCs w:val="16"/>
          <w:lang w:val="es-ES_tradnl"/>
        </w:rPr>
        <w:t xml:space="preserve">n cancelar anualmente estas tasas </w:t>
      </w:r>
      <w:r>
        <w:rPr>
          <w:spacing w:val="-5"/>
          <w:sz w:val="16"/>
          <w:szCs w:val="16"/>
          <w:lang w:val="es-ES_tradnl"/>
        </w:rPr>
        <w:t>Municipales, generadas por la implantaci</w:t>
      </w:r>
      <w:r>
        <w:rPr>
          <w:rFonts w:cs="Times New Roman"/>
          <w:spacing w:val="-5"/>
          <w:sz w:val="16"/>
          <w:szCs w:val="16"/>
          <w:lang w:val="es-ES_tradnl"/>
        </w:rPr>
        <w:t>ó</w:t>
      </w:r>
      <w:r>
        <w:rPr>
          <w:spacing w:val="-5"/>
          <w:sz w:val="16"/>
          <w:szCs w:val="16"/>
          <w:lang w:val="es-ES_tradnl"/>
        </w:rPr>
        <w:t>n e instalaci</w:t>
      </w:r>
      <w:r>
        <w:rPr>
          <w:rFonts w:cs="Times New Roman"/>
          <w:spacing w:val="-5"/>
          <w:sz w:val="16"/>
          <w:szCs w:val="16"/>
          <w:lang w:val="es-ES_tradnl"/>
        </w:rPr>
        <w:t>ó</w:t>
      </w:r>
      <w:r>
        <w:rPr>
          <w:spacing w:val="-5"/>
          <w:sz w:val="16"/>
          <w:szCs w:val="16"/>
          <w:lang w:val="es-ES_tradnl"/>
        </w:rPr>
        <w:t xml:space="preserve">n de </w:t>
      </w:r>
      <w:r>
        <w:rPr>
          <w:spacing w:val="-8"/>
          <w:sz w:val="16"/>
          <w:szCs w:val="16"/>
          <w:lang w:val="es-ES_tradnl"/>
        </w:rPr>
        <w:t>pastes, tendidos de redes y estructuras; adem</w:t>
      </w:r>
      <w:r>
        <w:rPr>
          <w:rFonts w:cs="Times New Roman"/>
          <w:spacing w:val="-8"/>
          <w:sz w:val="16"/>
          <w:szCs w:val="16"/>
          <w:lang w:val="es-ES_tradnl"/>
        </w:rPr>
        <w:t>á</w:t>
      </w:r>
      <w:r>
        <w:rPr>
          <w:spacing w:val="-8"/>
          <w:sz w:val="16"/>
          <w:szCs w:val="16"/>
          <w:lang w:val="es-ES_tradnl"/>
        </w:rPr>
        <w:t>s de la fijaci</w:t>
      </w:r>
      <w:r>
        <w:rPr>
          <w:rFonts w:cs="Times New Roman"/>
          <w:spacing w:val="-8"/>
          <w:sz w:val="16"/>
          <w:szCs w:val="16"/>
          <w:lang w:val="es-ES_tradnl"/>
        </w:rPr>
        <w:t>ó</w:t>
      </w:r>
      <w:r>
        <w:rPr>
          <w:spacing w:val="-8"/>
          <w:sz w:val="16"/>
          <w:szCs w:val="16"/>
          <w:lang w:val="es-ES_tradnl"/>
        </w:rPr>
        <w:t xml:space="preserve">n </w:t>
      </w:r>
      <w:r>
        <w:rPr>
          <w:spacing w:val="-5"/>
          <w:sz w:val="16"/>
          <w:szCs w:val="16"/>
          <w:lang w:val="es-ES_tradnl"/>
        </w:rPr>
        <w:t>de las tasas correspondientes por la utilizaci</w:t>
      </w:r>
      <w:r>
        <w:rPr>
          <w:rFonts w:cs="Times New Roman"/>
          <w:spacing w:val="-5"/>
          <w:sz w:val="16"/>
          <w:szCs w:val="16"/>
          <w:lang w:val="es-ES_tradnl"/>
        </w:rPr>
        <w:t>ó</w:t>
      </w:r>
      <w:r>
        <w:rPr>
          <w:spacing w:val="-5"/>
          <w:sz w:val="16"/>
          <w:szCs w:val="16"/>
          <w:lang w:val="es-ES_tradnl"/>
        </w:rPr>
        <w:t>n u ocupaci</w:t>
      </w:r>
      <w:r>
        <w:rPr>
          <w:rFonts w:cs="Times New Roman"/>
          <w:spacing w:val="-5"/>
          <w:sz w:val="16"/>
          <w:szCs w:val="16"/>
          <w:lang w:val="es-ES_tradnl"/>
        </w:rPr>
        <w:t>ó</w:t>
      </w:r>
      <w:r>
        <w:rPr>
          <w:spacing w:val="-5"/>
          <w:sz w:val="16"/>
          <w:szCs w:val="16"/>
          <w:lang w:val="es-ES_tradnl"/>
        </w:rPr>
        <w:t xml:space="preserve">n </w:t>
      </w:r>
      <w:r>
        <w:rPr>
          <w:spacing w:val="-9"/>
          <w:sz w:val="16"/>
          <w:szCs w:val="16"/>
          <w:lang w:val="es-ES_tradnl"/>
        </w:rPr>
        <w:t>del espacio a</w:t>
      </w:r>
      <w:r>
        <w:rPr>
          <w:rFonts w:cs="Times New Roman"/>
          <w:spacing w:val="-9"/>
          <w:sz w:val="16"/>
          <w:szCs w:val="16"/>
          <w:lang w:val="es-ES_tradnl"/>
        </w:rPr>
        <w:t>é</w:t>
      </w:r>
      <w:r>
        <w:rPr>
          <w:spacing w:val="-9"/>
          <w:sz w:val="16"/>
          <w:szCs w:val="16"/>
          <w:lang w:val="es-ES_tradnl"/>
        </w:rPr>
        <w:t>reo municipal, en el Cant</w:t>
      </w:r>
      <w:r>
        <w:rPr>
          <w:rFonts w:cs="Times New Roman"/>
          <w:spacing w:val="-9"/>
          <w:sz w:val="16"/>
          <w:szCs w:val="16"/>
          <w:lang w:val="es-ES_tradnl"/>
        </w:rPr>
        <w:t>ó</w:t>
      </w:r>
      <w:r>
        <w:rPr>
          <w:spacing w:val="-9"/>
          <w:sz w:val="16"/>
          <w:szCs w:val="16"/>
          <w:lang w:val="es-ES_tradnl"/>
        </w:rPr>
        <w:t>n Tulc</w:t>
      </w:r>
      <w:r>
        <w:rPr>
          <w:rFonts w:cs="Times New Roman"/>
          <w:spacing w:val="-9"/>
          <w:sz w:val="16"/>
          <w:szCs w:val="16"/>
          <w:lang w:val="es-ES_tradnl"/>
        </w:rPr>
        <w:t>á</w:t>
      </w:r>
      <w:r>
        <w:rPr>
          <w:spacing w:val="-9"/>
          <w:sz w:val="16"/>
          <w:szCs w:val="16"/>
          <w:lang w:val="es-ES_tradnl"/>
        </w:rPr>
        <w:t xml:space="preserve">n; tasas que se </w:t>
      </w:r>
      <w:r>
        <w:rPr>
          <w:sz w:val="16"/>
          <w:szCs w:val="16"/>
          <w:lang w:val="es-ES_tradnl"/>
        </w:rPr>
        <w:t>cancelara por los siguiente conceptos:</w:t>
      </w:r>
    </w:p>
    <w:p w14:paraId="4F67A759" w14:textId="77777777" w:rsidR="00591D54" w:rsidRDefault="00591D54" w:rsidP="00251195">
      <w:pPr>
        <w:numPr>
          <w:ilvl w:val="0"/>
          <w:numId w:val="34"/>
        </w:numPr>
        <w:shd w:val="clear" w:color="auto" w:fill="FFFFFF"/>
        <w:tabs>
          <w:tab w:val="left" w:pos="566"/>
        </w:tabs>
        <w:spacing w:before="211" w:line="226" w:lineRule="exact"/>
        <w:ind w:left="566" w:right="5" w:hanging="283"/>
        <w:jc w:val="both"/>
        <w:rPr>
          <w:b/>
          <w:bCs/>
          <w:spacing w:val="-10"/>
          <w:sz w:val="16"/>
          <w:szCs w:val="16"/>
          <w:lang w:val="es-ES_tradnl"/>
        </w:rPr>
      </w:pPr>
      <w:r>
        <w:rPr>
          <w:b/>
          <w:bCs/>
          <w:spacing w:val="-7"/>
          <w:sz w:val="16"/>
          <w:szCs w:val="16"/>
          <w:lang w:val="es-ES_tradnl"/>
        </w:rPr>
        <w:t>Estructuras</w:t>
      </w:r>
      <w:r>
        <w:rPr>
          <w:b/>
          <w:bCs/>
          <w:spacing w:val="-7"/>
          <w:sz w:val="18"/>
          <w:szCs w:val="18"/>
          <w:lang w:val="es-ES_tradnl"/>
        </w:rPr>
        <w:t xml:space="preserve"> </w:t>
      </w:r>
      <w:r>
        <w:rPr>
          <w:b/>
          <w:bCs/>
          <w:spacing w:val="-7"/>
          <w:sz w:val="16"/>
          <w:szCs w:val="16"/>
          <w:lang w:val="es-ES_tradnl"/>
        </w:rPr>
        <w:t>Met</w:t>
      </w:r>
      <w:r>
        <w:rPr>
          <w:rFonts w:cs="Times New Roman"/>
          <w:b/>
          <w:bCs/>
          <w:spacing w:val="-7"/>
          <w:sz w:val="16"/>
          <w:szCs w:val="16"/>
          <w:lang w:val="es-ES_tradnl"/>
        </w:rPr>
        <w:t>á</w:t>
      </w:r>
      <w:r>
        <w:rPr>
          <w:b/>
          <w:bCs/>
          <w:spacing w:val="-7"/>
          <w:sz w:val="16"/>
          <w:szCs w:val="16"/>
          <w:lang w:val="es-ES_tradnl"/>
        </w:rPr>
        <w:t>licas:</w:t>
      </w:r>
      <w:r>
        <w:rPr>
          <w:b/>
          <w:bCs/>
          <w:spacing w:val="-7"/>
          <w:sz w:val="18"/>
          <w:szCs w:val="18"/>
          <w:lang w:val="es-ES_tradnl"/>
        </w:rPr>
        <w:t xml:space="preserve"> </w:t>
      </w:r>
      <w:r>
        <w:rPr>
          <w:spacing w:val="-7"/>
          <w:sz w:val="16"/>
          <w:szCs w:val="16"/>
          <w:lang w:val="es-ES_tradnl"/>
        </w:rPr>
        <w:t>Por</w:t>
      </w:r>
      <w:r>
        <w:rPr>
          <w:spacing w:val="-7"/>
          <w:sz w:val="18"/>
          <w:szCs w:val="18"/>
          <w:lang w:val="es-ES_tradnl"/>
        </w:rPr>
        <w:t xml:space="preserve"> </w:t>
      </w:r>
      <w:r>
        <w:rPr>
          <w:spacing w:val="-7"/>
          <w:sz w:val="16"/>
          <w:szCs w:val="16"/>
          <w:lang w:val="es-ES_tradnl"/>
        </w:rPr>
        <w:t>cada</w:t>
      </w:r>
      <w:r>
        <w:rPr>
          <w:spacing w:val="-7"/>
          <w:sz w:val="18"/>
          <w:szCs w:val="18"/>
          <w:lang w:val="es-ES_tradnl"/>
        </w:rPr>
        <w:t xml:space="preserve"> </w:t>
      </w:r>
      <w:r>
        <w:rPr>
          <w:spacing w:val="-7"/>
          <w:sz w:val="16"/>
          <w:szCs w:val="16"/>
          <w:lang w:val="es-ES_tradnl"/>
        </w:rPr>
        <w:t>estructura</w:t>
      </w:r>
      <w:r>
        <w:rPr>
          <w:spacing w:val="-7"/>
          <w:sz w:val="18"/>
          <w:szCs w:val="18"/>
          <w:lang w:val="es-ES_tradnl"/>
        </w:rPr>
        <w:t xml:space="preserve"> </w:t>
      </w:r>
      <w:r>
        <w:rPr>
          <w:spacing w:val="-7"/>
          <w:sz w:val="16"/>
          <w:szCs w:val="16"/>
          <w:lang w:val="es-ES_tradnl"/>
        </w:rPr>
        <w:t>met</w:t>
      </w:r>
      <w:r>
        <w:rPr>
          <w:rFonts w:cs="Times New Roman"/>
          <w:spacing w:val="-7"/>
          <w:sz w:val="16"/>
          <w:szCs w:val="16"/>
          <w:lang w:val="es-ES_tradnl"/>
        </w:rPr>
        <w:t>á</w:t>
      </w:r>
      <w:r>
        <w:rPr>
          <w:spacing w:val="-7"/>
          <w:sz w:val="16"/>
          <w:szCs w:val="16"/>
          <w:lang w:val="es-ES_tradnl"/>
        </w:rPr>
        <w:t>lica</w:t>
      </w:r>
      <w:r>
        <w:rPr>
          <w:spacing w:val="-7"/>
          <w:sz w:val="18"/>
          <w:szCs w:val="18"/>
          <w:lang w:val="es-ES_tradnl"/>
        </w:rPr>
        <w:t xml:space="preserve"> </w:t>
      </w:r>
      <w:r>
        <w:rPr>
          <w:spacing w:val="-7"/>
          <w:sz w:val="16"/>
          <w:szCs w:val="16"/>
          <w:lang w:val="es-ES_tradnl"/>
        </w:rPr>
        <w:t xml:space="preserve">de uso comercial de propiedad privada instaladas en zonas </w:t>
      </w:r>
      <w:r>
        <w:rPr>
          <w:spacing w:val="-6"/>
          <w:sz w:val="16"/>
          <w:szCs w:val="16"/>
          <w:lang w:val="es-ES_tradnl"/>
        </w:rPr>
        <w:t xml:space="preserve">urbanas o </w:t>
      </w:r>
      <w:r>
        <w:rPr>
          <w:rFonts w:cs="Times New Roman"/>
          <w:spacing w:val="-6"/>
          <w:sz w:val="16"/>
          <w:szCs w:val="16"/>
          <w:lang w:val="es-ES_tradnl"/>
        </w:rPr>
        <w:t>í</w:t>
      </w:r>
      <w:r>
        <w:rPr>
          <w:spacing w:val="-6"/>
          <w:sz w:val="16"/>
          <w:szCs w:val="16"/>
          <w:lang w:val="es-ES_tradnl"/>
        </w:rPr>
        <w:t xml:space="preserve"> rurales dentro del cant</w:t>
      </w:r>
      <w:r>
        <w:rPr>
          <w:rFonts w:cs="Times New Roman"/>
          <w:spacing w:val="-6"/>
          <w:sz w:val="16"/>
          <w:szCs w:val="16"/>
          <w:lang w:val="es-ES_tradnl"/>
        </w:rPr>
        <w:t>ó</w:t>
      </w:r>
      <w:r>
        <w:rPr>
          <w:spacing w:val="-6"/>
          <w:sz w:val="16"/>
          <w:szCs w:val="16"/>
          <w:lang w:val="es-ES_tradnl"/>
        </w:rPr>
        <w:t xml:space="preserve">n y otras, pagaran el </w:t>
      </w:r>
      <w:r>
        <w:rPr>
          <w:spacing w:val="-7"/>
          <w:sz w:val="16"/>
          <w:szCs w:val="16"/>
          <w:lang w:val="es-ES_tradnl"/>
        </w:rPr>
        <w:t>20% del RBU diario; as</w:t>
      </w:r>
      <w:r>
        <w:rPr>
          <w:rFonts w:cs="Times New Roman"/>
          <w:spacing w:val="-7"/>
          <w:sz w:val="16"/>
          <w:szCs w:val="16"/>
          <w:lang w:val="es-ES_tradnl"/>
        </w:rPr>
        <w:t>í</w:t>
      </w:r>
      <w:r>
        <w:rPr>
          <w:spacing w:val="-7"/>
          <w:sz w:val="16"/>
          <w:szCs w:val="16"/>
          <w:lang w:val="es-ES_tradnl"/>
        </w:rPr>
        <w:t xml:space="preserve"> como tambi</w:t>
      </w:r>
      <w:r>
        <w:rPr>
          <w:rFonts w:cs="Times New Roman"/>
          <w:spacing w:val="-7"/>
          <w:sz w:val="16"/>
          <w:szCs w:val="16"/>
          <w:lang w:val="es-ES_tradnl"/>
        </w:rPr>
        <w:t>é</w:t>
      </w:r>
      <w:r>
        <w:rPr>
          <w:spacing w:val="-7"/>
          <w:sz w:val="16"/>
          <w:szCs w:val="16"/>
          <w:lang w:val="es-ES_tradnl"/>
        </w:rPr>
        <w:t>n las utilizadas para uso de comunicaci</w:t>
      </w:r>
      <w:r>
        <w:rPr>
          <w:rFonts w:cs="Times New Roman"/>
          <w:spacing w:val="-7"/>
          <w:sz w:val="16"/>
          <w:szCs w:val="16"/>
          <w:lang w:val="es-ES_tradnl"/>
        </w:rPr>
        <w:t>ó</w:t>
      </w:r>
      <w:r>
        <w:rPr>
          <w:spacing w:val="-7"/>
          <w:sz w:val="16"/>
          <w:szCs w:val="16"/>
          <w:lang w:val="es-ES_tradnl"/>
        </w:rPr>
        <w:t>n a celulares o canales de televisi</w:t>
      </w:r>
      <w:r>
        <w:rPr>
          <w:rFonts w:cs="Times New Roman"/>
          <w:spacing w:val="-7"/>
          <w:sz w:val="16"/>
          <w:szCs w:val="16"/>
          <w:lang w:val="es-ES_tradnl"/>
        </w:rPr>
        <w:t>ó</w:t>
      </w:r>
      <w:r>
        <w:rPr>
          <w:spacing w:val="-7"/>
          <w:sz w:val="16"/>
          <w:szCs w:val="16"/>
          <w:lang w:val="es-ES_tradnl"/>
        </w:rPr>
        <w:t>n;</w:t>
      </w:r>
    </w:p>
    <w:p w14:paraId="4F67A75A" w14:textId="77777777" w:rsidR="00591D54" w:rsidRDefault="00591D54" w:rsidP="00251195">
      <w:pPr>
        <w:numPr>
          <w:ilvl w:val="0"/>
          <w:numId w:val="34"/>
        </w:numPr>
        <w:shd w:val="clear" w:color="auto" w:fill="FFFFFF"/>
        <w:tabs>
          <w:tab w:val="left" w:pos="566"/>
        </w:tabs>
        <w:spacing w:before="216" w:line="226" w:lineRule="exact"/>
        <w:ind w:left="566" w:right="5" w:hanging="283"/>
        <w:jc w:val="both"/>
        <w:rPr>
          <w:b/>
          <w:bCs/>
          <w:spacing w:val="-10"/>
          <w:sz w:val="16"/>
          <w:szCs w:val="16"/>
          <w:lang w:val="es-ES_tradnl"/>
        </w:rPr>
      </w:pPr>
      <w:r>
        <w:rPr>
          <w:b/>
          <w:bCs/>
          <w:spacing w:val="-2"/>
          <w:sz w:val="16"/>
          <w:szCs w:val="16"/>
          <w:lang w:val="es-ES_tradnl"/>
        </w:rPr>
        <w:t>Antenas</w:t>
      </w:r>
      <w:r>
        <w:rPr>
          <w:b/>
          <w:bCs/>
          <w:spacing w:val="-2"/>
          <w:sz w:val="18"/>
          <w:szCs w:val="18"/>
          <w:lang w:val="es-ES_tradnl"/>
        </w:rPr>
        <w:t xml:space="preserve"> </w:t>
      </w:r>
      <w:r>
        <w:rPr>
          <w:b/>
          <w:bCs/>
          <w:spacing w:val="-2"/>
          <w:sz w:val="16"/>
          <w:szCs w:val="16"/>
          <w:lang w:val="es-ES_tradnl"/>
        </w:rPr>
        <w:t>para</w:t>
      </w:r>
      <w:r>
        <w:rPr>
          <w:b/>
          <w:bCs/>
          <w:spacing w:val="-2"/>
          <w:sz w:val="18"/>
          <w:szCs w:val="18"/>
          <w:lang w:val="es-ES_tradnl"/>
        </w:rPr>
        <w:t xml:space="preserve"> </w:t>
      </w:r>
      <w:r>
        <w:rPr>
          <w:b/>
          <w:bCs/>
          <w:spacing w:val="-2"/>
          <w:sz w:val="16"/>
          <w:szCs w:val="16"/>
          <w:lang w:val="es-ES_tradnl"/>
        </w:rPr>
        <w:t>servicios</w:t>
      </w:r>
      <w:r>
        <w:rPr>
          <w:b/>
          <w:bCs/>
          <w:spacing w:val="-2"/>
          <w:sz w:val="18"/>
          <w:szCs w:val="18"/>
          <w:lang w:val="es-ES_tradnl"/>
        </w:rPr>
        <w:t xml:space="preserve"> </w:t>
      </w:r>
      <w:r>
        <w:rPr>
          <w:b/>
          <w:bCs/>
          <w:spacing w:val="-2"/>
          <w:sz w:val="16"/>
          <w:szCs w:val="16"/>
          <w:lang w:val="es-ES_tradnl"/>
        </w:rPr>
        <w:t>celulares:</w:t>
      </w:r>
      <w:r>
        <w:rPr>
          <w:b/>
          <w:bCs/>
          <w:spacing w:val="-2"/>
          <w:sz w:val="18"/>
          <w:szCs w:val="18"/>
          <w:lang w:val="es-ES_tradnl"/>
        </w:rPr>
        <w:t xml:space="preserve"> </w:t>
      </w:r>
      <w:r>
        <w:rPr>
          <w:spacing w:val="-2"/>
          <w:sz w:val="16"/>
          <w:szCs w:val="16"/>
          <w:lang w:val="es-ES_tradnl"/>
        </w:rPr>
        <w:t>Por</w:t>
      </w:r>
      <w:r>
        <w:rPr>
          <w:spacing w:val="-2"/>
          <w:sz w:val="18"/>
          <w:szCs w:val="18"/>
          <w:lang w:val="es-ES_tradnl"/>
        </w:rPr>
        <w:t xml:space="preserve"> </w:t>
      </w:r>
      <w:r>
        <w:rPr>
          <w:spacing w:val="-2"/>
          <w:sz w:val="16"/>
          <w:szCs w:val="16"/>
          <w:lang w:val="es-ES_tradnl"/>
        </w:rPr>
        <w:t>cada</w:t>
      </w:r>
      <w:r>
        <w:rPr>
          <w:spacing w:val="-2"/>
          <w:sz w:val="18"/>
          <w:szCs w:val="18"/>
          <w:lang w:val="es-ES_tradnl"/>
        </w:rPr>
        <w:t xml:space="preserve"> </w:t>
      </w:r>
      <w:r>
        <w:rPr>
          <w:spacing w:val="-2"/>
          <w:sz w:val="16"/>
          <w:szCs w:val="16"/>
          <w:lang w:val="es-ES_tradnl"/>
        </w:rPr>
        <w:t>una</w:t>
      </w:r>
      <w:r>
        <w:rPr>
          <w:spacing w:val="-2"/>
          <w:sz w:val="18"/>
          <w:szCs w:val="18"/>
          <w:lang w:val="es-ES_tradnl"/>
        </w:rPr>
        <w:t xml:space="preserve"> </w:t>
      </w:r>
      <w:r>
        <w:rPr>
          <w:spacing w:val="-2"/>
          <w:sz w:val="16"/>
          <w:szCs w:val="16"/>
          <w:lang w:val="es-ES_tradnl"/>
        </w:rPr>
        <w:t xml:space="preserve">de las antenas instaladas en lo alto de las estructuras, y </w:t>
      </w:r>
      <w:r>
        <w:rPr>
          <w:spacing w:val="-7"/>
          <w:sz w:val="16"/>
          <w:szCs w:val="16"/>
          <w:lang w:val="es-ES_tradnl"/>
        </w:rPr>
        <w:t>que forman parte de las redes para telecomunicaciones celulares, pagar</w:t>
      </w:r>
      <w:r>
        <w:rPr>
          <w:rFonts w:cs="Times New Roman"/>
          <w:spacing w:val="-7"/>
          <w:sz w:val="16"/>
          <w:szCs w:val="16"/>
          <w:lang w:val="es-ES_tradnl"/>
        </w:rPr>
        <w:t>á</w:t>
      </w:r>
      <w:r>
        <w:rPr>
          <w:spacing w:val="-7"/>
          <w:sz w:val="16"/>
          <w:szCs w:val="16"/>
          <w:lang w:val="es-ES_tradnl"/>
        </w:rPr>
        <w:t xml:space="preserve"> el 20% del RBU diario; por concepto de </w:t>
      </w:r>
      <w:r>
        <w:rPr>
          <w:sz w:val="16"/>
          <w:szCs w:val="16"/>
          <w:lang w:val="es-ES_tradnl"/>
        </w:rPr>
        <w:t>uso de Espacio A</w:t>
      </w:r>
      <w:r>
        <w:rPr>
          <w:rFonts w:cs="Times New Roman"/>
          <w:sz w:val="16"/>
          <w:szCs w:val="16"/>
          <w:lang w:val="es-ES_tradnl"/>
        </w:rPr>
        <w:t>é</w:t>
      </w:r>
      <w:r>
        <w:rPr>
          <w:sz w:val="16"/>
          <w:szCs w:val="16"/>
          <w:lang w:val="es-ES_tradnl"/>
        </w:rPr>
        <w:t>reo;</w:t>
      </w:r>
    </w:p>
    <w:p w14:paraId="4F67A75B" w14:textId="77777777" w:rsidR="00591D54" w:rsidRDefault="00591D54" w:rsidP="00251195">
      <w:pPr>
        <w:numPr>
          <w:ilvl w:val="0"/>
          <w:numId w:val="34"/>
        </w:numPr>
        <w:shd w:val="clear" w:color="auto" w:fill="FFFFFF"/>
        <w:tabs>
          <w:tab w:val="left" w:pos="566"/>
        </w:tabs>
        <w:spacing w:before="216" w:line="226" w:lineRule="exact"/>
        <w:ind w:left="566" w:right="5" w:hanging="283"/>
        <w:jc w:val="both"/>
        <w:rPr>
          <w:b/>
          <w:bCs/>
          <w:spacing w:val="-10"/>
          <w:sz w:val="16"/>
          <w:szCs w:val="16"/>
          <w:lang w:val="es-ES_tradnl"/>
        </w:rPr>
      </w:pPr>
      <w:r>
        <w:rPr>
          <w:b/>
          <w:bCs/>
          <w:spacing w:val="-3"/>
          <w:sz w:val="16"/>
          <w:szCs w:val="16"/>
          <w:lang w:val="es-ES_tradnl"/>
        </w:rPr>
        <w:t>Antenas</w:t>
      </w:r>
      <w:r>
        <w:rPr>
          <w:b/>
          <w:bCs/>
          <w:spacing w:val="-3"/>
          <w:sz w:val="18"/>
          <w:szCs w:val="18"/>
          <w:lang w:val="es-ES_tradnl"/>
        </w:rPr>
        <w:t xml:space="preserve"> </w:t>
      </w:r>
      <w:r>
        <w:rPr>
          <w:b/>
          <w:bCs/>
          <w:spacing w:val="-3"/>
          <w:sz w:val="16"/>
          <w:szCs w:val="16"/>
          <w:lang w:val="es-ES_tradnl"/>
        </w:rPr>
        <w:t>para</w:t>
      </w:r>
      <w:r>
        <w:rPr>
          <w:b/>
          <w:bCs/>
          <w:spacing w:val="-3"/>
          <w:sz w:val="18"/>
          <w:szCs w:val="18"/>
          <w:lang w:val="es-ES_tradnl"/>
        </w:rPr>
        <w:t xml:space="preserve"> </w:t>
      </w:r>
      <w:r>
        <w:rPr>
          <w:b/>
          <w:bCs/>
          <w:spacing w:val="-3"/>
          <w:sz w:val="16"/>
          <w:szCs w:val="16"/>
          <w:lang w:val="es-ES_tradnl"/>
        </w:rPr>
        <w:t>radio</w:t>
      </w:r>
      <w:r>
        <w:rPr>
          <w:b/>
          <w:bCs/>
          <w:spacing w:val="-3"/>
          <w:sz w:val="18"/>
          <w:szCs w:val="18"/>
          <w:lang w:val="es-ES_tradnl"/>
        </w:rPr>
        <w:t xml:space="preserve"> </w:t>
      </w:r>
      <w:r>
        <w:rPr>
          <w:b/>
          <w:bCs/>
          <w:spacing w:val="-3"/>
          <w:sz w:val="16"/>
          <w:szCs w:val="16"/>
          <w:lang w:val="es-ES_tradnl"/>
        </w:rPr>
        <w:t>ayuda</w:t>
      </w:r>
      <w:r>
        <w:rPr>
          <w:b/>
          <w:bCs/>
          <w:spacing w:val="-3"/>
          <w:sz w:val="18"/>
          <w:szCs w:val="18"/>
          <w:lang w:val="es-ES_tradnl"/>
        </w:rPr>
        <w:t xml:space="preserve"> </w:t>
      </w:r>
      <w:r>
        <w:rPr>
          <w:b/>
          <w:bCs/>
          <w:spacing w:val="-3"/>
          <w:sz w:val="16"/>
          <w:szCs w:val="16"/>
          <w:lang w:val="es-ES_tradnl"/>
        </w:rPr>
        <w:t>y</w:t>
      </w:r>
      <w:r>
        <w:rPr>
          <w:b/>
          <w:bCs/>
          <w:spacing w:val="-3"/>
          <w:sz w:val="18"/>
          <w:szCs w:val="18"/>
          <w:lang w:val="es-ES_tradnl"/>
        </w:rPr>
        <w:t xml:space="preserve"> </w:t>
      </w:r>
      <w:r>
        <w:rPr>
          <w:b/>
          <w:bCs/>
          <w:spacing w:val="-3"/>
          <w:sz w:val="16"/>
          <w:szCs w:val="16"/>
          <w:lang w:val="es-ES_tradnl"/>
        </w:rPr>
        <w:t>radioaficionado:</w:t>
      </w:r>
      <w:r>
        <w:rPr>
          <w:b/>
          <w:bCs/>
          <w:spacing w:val="-3"/>
          <w:sz w:val="18"/>
          <w:szCs w:val="18"/>
          <w:lang w:val="es-ES_tradnl"/>
        </w:rPr>
        <w:t xml:space="preserve"> </w:t>
      </w:r>
      <w:r>
        <w:rPr>
          <w:spacing w:val="-3"/>
          <w:sz w:val="16"/>
          <w:szCs w:val="16"/>
          <w:lang w:val="es-ES_tradnl"/>
        </w:rPr>
        <w:t xml:space="preserve">Por </w:t>
      </w:r>
      <w:r>
        <w:rPr>
          <w:spacing w:val="-9"/>
          <w:sz w:val="16"/>
          <w:szCs w:val="16"/>
          <w:lang w:val="es-ES_tradnl"/>
        </w:rPr>
        <w:t xml:space="preserve">cada antena para radio ayuda fija y radioaficionado, </w:t>
      </w:r>
      <w:r>
        <w:rPr>
          <w:rFonts w:cs="Times New Roman"/>
          <w:spacing w:val="-9"/>
          <w:sz w:val="16"/>
          <w:szCs w:val="16"/>
          <w:lang w:val="es-ES_tradnl"/>
        </w:rPr>
        <w:t>é</w:t>
      </w:r>
      <w:r>
        <w:rPr>
          <w:spacing w:val="-9"/>
          <w:sz w:val="16"/>
          <w:szCs w:val="16"/>
          <w:lang w:val="es-ES_tradnl"/>
        </w:rPr>
        <w:t xml:space="preserve">stas </w:t>
      </w:r>
      <w:r>
        <w:rPr>
          <w:spacing w:val="-4"/>
          <w:sz w:val="16"/>
          <w:szCs w:val="16"/>
          <w:lang w:val="es-ES_tradnl"/>
        </w:rPr>
        <w:t>pagar</w:t>
      </w:r>
      <w:r>
        <w:rPr>
          <w:rFonts w:cs="Times New Roman"/>
          <w:spacing w:val="-4"/>
          <w:sz w:val="16"/>
          <w:szCs w:val="16"/>
          <w:lang w:val="es-ES_tradnl"/>
        </w:rPr>
        <w:t>á</w:t>
      </w:r>
      <w:r>
        <w:rPr>
          <w:spacing w:val="-4"/>
          <w:sz w:val="16"/>
          <w:szCs w:val="16"/>
          <w:lang w:val="es-ES_tradnl"/>
        </w:rPr>
        <w:t>n diez centavos de d</w:t>
      </w:r>
      <w:r>
        <w:rPr>
          <w:rFonts w:cs="Times New Roman"/>
          <w:spacing w:val="-4"/>
          <w:sz w:val="16"/>
          <w:szCs w:val="16"/>
          <w:lang w:val="es-ES_tradnl"/>
        </w:rPr>
        <w:t>ó</w:t>
      </w:r>
      <w:r>
        <w:rPr>
          <w:spacing w:val="-4"/>
          <w:sz w:val="16"/>
          <w:szCs w:val="16"/>
          <w:lang w:val="es-ES_tradnl"/>
        </w:rPr>
        <w:t xml:space="preserve">lar de los Estados Unidos </w:t>
      </w:r>
      <w:r>
        <w:rPr>
          <w:spacing w:val="-7"/>
          <w:sz w:val="16"/>
          <w:szCs w:val="16"/>
          <w:lang w:val="es-ES_tradnl"/>
        </w:rPr>
        <w:t>de Norteam</w:t>
      </w:r>
      <w:r>
        <w:rPr>
          <w:rFonts w:cs="Times New Roman"/>
          <w:spacing w:val="-7"/>
          <w:sz w:val="16"/>
          <w:szCs w:val="16"/>
          <w:lang w:val="es-ES_tradnl"/>
        </w:rPr>
        <w:t>é</w:t>
      </w:r>
      <w:r>
        <w:rPr>
          <w:spacing w:val="-7"/>
          <w:sz w:val="16"/>
          <w:szCs w:val="16"/>
          <w:lang w:val="es-ES_tradnl"/>
        </w:rPr>
        <w:t xml:space="preserve">rica diarios por concepto de uso de Espacio </w:t>
      </w:r>
      <w:r>
        <w:rPr>
          <w:sz w:val="16"/>
          <w:szCs w:val="16"/>
          <w:lang w:val="es-ES_tradnl"/>
        </w:rPr>
        <w:t>A</w:t>
      </w:r>
      <w:r>
        <w:rPr>
          <w:rFonts w:cs="Times New Roman"/>
          <w:sz w:val="16"/>
          <w:szCs w:val="16"/>
          <w:lang w:val="es-ES_tradnl"/>
        </w:rPr>
        <w:t>é</w:t>
      </w:r>
      <w:r>
        <w:rPr>
          <w:sz w:val="16"/>
          <w:szCs w:val="16"/>
          <w:lang w:val="es-ES_tradnl"/>
        </w:rPr>
        <w:t>reo;</w:t>
      </w:r>
    </w:p>
    <w:p w14:paraId="4F67A75C" w14:textId="77777777" w:rsidR="00591D54" w:rsidRDefault="00591D54" w:rsidP="00251195">
      <w:pPr>
        <w:numPr>
          <w:ilvl w:val="0"/>
          <w:numId w:val="34"/>
        </w:numPr>
        <w:shd w:val="clear" w:color="auto" w:fill="FFFFFF"/>
        <w:tabs>
          <w:tab w:val="left" w:pos="566"/>
        </w:tabs>
        <w:spacing w:before="211" w:line="226" w:lineRule="exact"/>
        <w:ind w:left="566" w:right="5" w:hanging="283"/>
        <w:jc w:val="both"/>
        <w:rPr>
          <w:b/>
          <w:bCs/>
          <w:spacing w:val="-10"/>
          <w:sz w:val="16"/>
          <w:szCs w:val="16"/>
          <w:lang w:val="es-ES_tradnl"/>
        </w:rPr>
      </w:pPr>
      <w:r>
        <w:rPr>
          <w:b/>
          <w:bCs/>
          <w:spacing w:val="-6"/>
          <w:sz w:val="16"/>
          <w:szCs w:val="16"/>
          <w:lang w:val="es-ES_tradnl"/>
        </w:rPr>
        <w:t>Antena</w:t>
      </w:r>
      <w:r>
        <w:rPr>
          <w:b/>
          <w:bCs/>
          <w:spacing w:val="-6"/>
          <w:sz w:val="18"/>
          <w:szCs w:val="18"/>
          <w:lang w:val="es-ES_tradnl"/>
        </w:rPr>
        <w:t xml:space="preserve"> </w:t>
      </w:r>
      <w:r>
        <w:rPr>
          <w:b/>
          <w:bCs/>
          <w:spacing w:val="-6"/>
          <w:sz w:val="16"/>
          <w:szCs w:val="16"/>
          <w:lang w:val="es-ES_tradnl"/>
        </w:rPr>
        <w:t>para</w:t>
      </w:r>
      <w:r>
        <w:rPr>
          <w:b/>
          <w:bCs/>
          <w:spacing w:val="-6"/>
          <w:sz w:val="18"/>
          <w:szCs w:val="18"/>
          <w:lang w:val="es-ES_tradnl"/>
        </w:rPr>
        <w:t xml:space="preserve"> </w:t>
      </w:r>
      <w:r>
        <w:rPr>
          <w:b/>
          <w:bCs/>
          <w:spacing w:val="-6"/>
          <w:sz w:val="16"/>
          <w:szCs w:val="16"/>
          <w:lang w:val="es-ES_tradnl"/>
        </w:rPr>
        <w:t>radio</w:t>
      </w:r>
      <w:r>
        <w:rPr>
          <w:b/>
          <w:bCs/>
          <w:spacing w:val="-6"/>
          <w:sz w:val="18"/>
          <w:szCs w:val="18"/>
          <w:lang w:val="es-ES_tradnl"/>
        </w:rPr>
        <w:t xml:space="preserve"> </w:t>
      </w:r>
      <w:r>
        <w:rPr>
          <w:b/>
          <w:bCs/>
          <w:spacing w:val="-6"/>
          <w:sz w:val="16"/>
          <w:szCs w:val="16"/>
          <w:lang w:val="es-ES_tradnl"/>
        </w:rPr>
        <w:t>emisoras</w:t>
      </w:r>
      <w:r>
        <w:rPr>
          <w:b/>
          <w:bCs/>
          <w:spacing w:val="-6"/>
          <w:sz w:val="18"/>
          <w:szCs w:val="18"/>
          <w:lang w:val="es-ES_tradnl"/>
        </w:rPr>
        <w:t xml:space="preserve"> </w:t>
      </w:r>
      <w:r>
        <w:rPr>
          <w:b/>
          <w:bCs/>
          <w:spacing w:val="-6"/>
          <w:sz w:val="16"/>
          <w:szCs w:val="16"/>
          <w:lang w:val="es-ES_tradnl"/>
        </w:rPr>
        <w:t>comerciales:</w:t>
      </w:r>
      <w:r>
        <w:rPr>
          <w:b/>
          <w:bCs/>
          <w:spacing w:val="-6"/>
          <w:sz w:val="18"/>
          <w:szCs w:val="18"/>
          <w:lang w:val="es-ES_tradnl"/>
        </w:rPr>
        <w:t xml:space="preserve"> </w:t>
      </w:r>
      <w:r>
        <w:rPr>
          <w:spacing w:val="-6"/>
          <w:sz w:val="16"/>
          <w:szCs w:val="16"/>
          <w:lang w:val="es-ES_tradnl"/>
        </w:rPr>
        <w:t>Por</w:t>
      </w:r>
      <w:r>
        <w:rPr>
          <w:spacing w:val="-6"/>
          <w:sz w:val="18"/>
          <w:szCs w:val="18"/>
          <w:lang w:val="es-ES_tradnl"/>
        </w:rPr>
        <w:t xml:space="preserve"> </w:t>
      </w:r>
      <w:r>
        <w:rPr>
          <w:spacing w:val="-6"/>
          <w:sz w:val="16"/>
          <w:szCs w:val="16"/>
          <w:lang w:val="es-ES_tradnl"/>
        </w:rPr>
        <w:t xml:space="preserve">cada </w:t>
      </w:r>
      <w:r>
        <w:rPr>
          <w:spacing w:val="-7"/>
          <w:sz w:val="16"/>
          <w:szCs w:val="16"/>
          <w:lang w:val="es-ES_tradnl"/>
        </w:rPr>
        <w:t xml:space="preserve">antena para radio emisoras comerciales, </w:t>
      </w:r>
      <w:r>
        <w:rPr>
          <w:rFonts w:cs="Times New Roman"/>
          <w:spacing w:val="-7"/>
          <w:sz w:val="16"/>
          <w:szCs w:val="16"/>
          <w:lang w:val="es-ES_tradnl"/>
        </w:rPr>
        <w:t>é</w:t>
      </w:r>
      <w:r>
        <w:rPr>
          <w:spacing w:val="-7"/>
          <w:sz w:val="16"/>
          <w:szCs w:val="16"/>
          <w:lang w:val="es-ES_tradnl"/>
        </w:rPr>
        <w:t>stas pagar</w:t>
      </w:r>
      <w:r>
        <w:rPr>
          <w:rFonts w:cs="Times New Roman"/>
          <w:spacing w:val="-7"/>
          <w:sz w:val="16"/>
          <w:szCs w:val="16"/>
          <w:lang w:val="es-ES_tradnl"/>
        </w:rPr>
        <w:t>á</w:t>
      </w:r>
      <w:r>
        <w:rPr>
          <w:spacing w:val="-7"/>
          <w:sz w:val="16"/>
          <w:szCs w:val="16"/>
          <w:lang w:val="es-ES_tradnl"/>
        </w:rPr>
        <w:t xml:space="preserve">n </w:t>
      </w:r>
      <w:r>
        <w:rPr>
          <w:spacing w:val="-8"/>
          <w:sz w:val="16"/>
          <w:szCs w:val="16"/>
          <w:lang w:val="es-ES_tradnl"/>
        </w:rPr>
        <w:t>USD 1,50 d</w:t>
      </w:r>
      <w:r>
        <w:rPr>
          <w:rFonts w:cs="Times New Roman"/>
          <w:spacing w:val="-8"/>
          <w:sz w:val="16"/>
          <w:szCs w:val="16"/>
          <w:lang w:val="es-ES_tradnl"/>
        </w:rPr>
        <w:t>ó</w:t>
      </w:r>
      <w:r>
        <w:rPr>
          <w:spacing w:val="-8"/>
          <w:sz w:val="16"/>
          <w:szCs w:val="16"/>
          <w:lang w:val="es-ES_tradnl"/>
        </w:rPr>
        <w:t>lares de los Estados Unidos de Norteam</w:t>
      </w:r>
      <w:r>
        <w:rPr>
          <w:rFonts w:cs="Times New Roman"/>
          <w:spacing w:val="-8"/>
          <w:sz w:val="16"/>
          <w:szCs w:val="16"/>
          <w:lang w:val="es-ES_tradnl"/>
        </w:rPr>
        <w:t>é</w:t>
      </w:r>
      <w:r>
        <w:rPr>
          <w:spacing w:val="-8"/>
          <w:sz w:val="16"/>
          <w:szCs w:val="16"/>
          <w:lang w:val="es-ES_tradnl"/>
        </w:rPr>
        <w:t xml:space="preserve">rica </w:t>
      </w:r>
      <w:r>
        <w:rPr>
          <w:spacing w:val="-7"/>
          <w:sz w:val="16"/>
          <w:szCs w:val="16"/>
          <w:lang w:val="es-ES_tradnl"/>
        </w:rPr>
        <w:t>diarios por concepto de uso de Espacio A</w:t>
      </w:r>
      <w:r>
        <w:rPr>
          <w:rFonts w:cs="Times New Roman"/>
          <w:spacing w:val="-7"/>
          <w:sz w:val="16"/>
          <w:szCs w:val="16"/>
          <w:lang w:val="es-ES_tradnl"/>
        </w:rPr>
        <w:t>é</w:t>
      </w:r>
      <w:r>
        <w:rPr>
          <w:spacing w:val="-7"/>
          <w:sz w:val="16"/>
          <w:szCs w:val="16"/>
          <w:lang w:val="es-ES_tradnl"/>
        </w:rPr>
        <w:t>reo;</w:t>
      </w:r>
    </w:p>
    <w:p w14:paraId="4F67A75D" w14:textId="77777777" w:rsidR="00591D54" w:rsidRDefault="00591D54" w:rsidP="00251195">
      <w:pPr>
        <w:numPr>
          <w:ilvl w:val="0"/>
          <w:numId w:val="34"/>
        </w:numPr>
        <w:shd w:val="clear" w:color="auto" w:fill="FFFFFF"/>
        <w:tabs>
          <w:tab w:val="left" w:pos="566"/>
        </w:tabs>
        <w:spacing w:before="216" w:line="226" w:lineRule="exact"/>
        <w:ind w:left="566" w:right="5" w:hanging="283"/>
        <w:jc w:val="both"/>
        <w:rPr>
          <w:b/>
          <w:bCs/>
          <w:spacing w:val="-10"/>
          <w:sz w:val="16"/>
          <w:szCs w:val="16"/>
          <w:lang w:val="es-ES_tradnl"/>
        </w:rPr>
      </w:pPr>
      <w:r>
        <w:rPr>
          <w:b/>
          <w:bCs/>
          <w:spacing w:val="-5"/>
          <w:sz w:val="16"/>
          <w:szCs w:val="16"/>
          <w:lang w:val="es-ES_tradnl"/>
        </w:rPr>
        <w:t>Antenas</w:t>
      </w:r>
      <w:r>
        <w:rPr>
          <w:b/>
          <w:bCs/>
          <w:spacing w:val="-5"/>
          <w:sz w:val="18"/>
          <w:szCs w:val="18"/>
          <w:lang w:val="es-ES_tradnl"/>
        </w:rPr>
        <w:t xml:space="preserve"> </w:t>
      </w:r>
      <w:r>
        <w:rPr>
          <w:b/>
          <w:bCs/>
          <w:spacing w:val="-5"/>
          <w:sz w:val="16"/>
          <w:szCs w:val="16"/>
          <w:lang w:val="es-ES_tradnl"/>
        </w:rPr>
        <w:t>parab</w:t>
      </w:r>
      <w:r>
        <w:rPr>
          <w:rFonts w:cs="Times New Roman"/>
          <w:b/>
          <w:bCs/>
          <w:spacing w:val="-5"/>
          <w:sz w:val="16"/>
          <w:szCs w:val="16"/>
          <w:lang w:val="es-ES_tradnl"/>
        </w:rPr>
        <w:t>ó</w:t>
      </w:r>
      <w:r>
        <w:rPr>
          <w:b/>
          <w:bCs/>
          <w:spacing w:val="-5"/>
          <w:sz w:val="16"/>
          <w:szCs w:val="16"/>
          <w:lang w:val="es-ES_tradnl"/>
        </w:rPr>
        <w:t>licas</w:t>
      </w:r>
      <w:r>
        <w:rPr>
          <w:b/>
          <w:bCs/>
          <w:spacing w:val="-5"/>
          <w:sz w:val="18"/>
          <w:szCs w:val="18"/>
          <w:lang w:val="es-ES_tradnl"/>
        </w:rPr>
        <w:t xml:space="preserve"> </w:t>
      </w:r>
      <w:r>
        <w:rPr>
          <w:b/>
          <w:bCs/>
          <w:spacing w:val="-5"/>
          <w:sz w:val="16"/>
          <w:szCs w:val="16"/>
          <w:lang w:val="es-ES_tradnl"/>
        </w:rPr>
        <w:t>para</w:t>
      </w:r>
      <w:r>
        <w:rPr>
          <w:b/>
          <w:bCs/>
          <w:spacing w:val="-5"/>
          <w:sz w:val="18"/>
          <w:szCs w:val="18"/>
          <w:lang w:val="es-ES_tradnl"/>
        </w:rPr>
        <w:t xml:space="preserve"> </w:t>
      </w:r>
      <w:r>
        <w:rPr>
          <w:b/>
          <w:bCs/>
          <w:spacing w:val="-5"/>
          <w:sz w:val="16"/>
          <w:szCs w:val="16"/>
          <w:lang w:val="es-ES_tradnl"/>
        </w:rPr>
        <w:t>recepci</w:t>
      </w:r>
      <w:r>
        <w:rPr>
          <w:rFonts w:cs="Times New Roman"/>
          <w:b/>
          <w:bCs/>
          <w:spacing w:val="-5"/>
          <w:sz w:val="16"/>
          <w:szCs w:val="16"/>
          <w:lang w:val="es-ES_tradnl"/>
        </w:rPr>
        <w:t>ó</w:t>
      </w:r>
      <w:r>
        <w:rPr>
          <w:b/>
          <w:bCs/>
          <w:spacing w:val="-5"/>
          <w:sz w:val="16"/>
          <w:szCs w:val="16"/>
          <w:lang w:val="es-ES_tradnl"/>
        </w:rPr>
        <w:t>n</w:t>
      </w:r>
      <w:r>
        <w:rPr>
          <w:b/>
          <w:bCs/>
          <w:spacing w:val="-5"/>
          <w:sz w:val="18"/>
          <w:szCs w:val="18"/>
          <w:lang w:val="es-ES_tradnl"/>
        </w:rPr>
        <w:t xml:space="preserve"> </w:t>
      </w:r>
      <w:r>
        <w:rPr>
          <w:b/>
          <w:bCs/>
          <w:spacing w:val="-5"/>
          <w:sz w:val="16"/>
          <w:szCs w:val="16"/>
          <w:lang w:val="es-ES_tradnl"/>
        </w:rPr>
        <w:t>de</w:t>
      </w:r>
      <w:r>
        <w:rPr>
          <w:b/>
          <w:bCs/>
          <w:spacing w:val="-5"/>
          <w:sz w:val="18"/>
          <w:szCs w:val="18"/>
          <w:lang w:val="es-ES_tradnl"/>
        </w:rPr>
        <w:t xml:space="preserve"> </w:t>
      </w:r>
      <w:r>
        <w:rPr>
          <w:b/>
          <w:bCs/>
          <w:spacing w:val="-5"/>
          <w:sz w:val="16"/>
          <w:szCs w:val="16"/>
          <w:lang w:val="es-ES_tradnl"/>
        </w:rPr>
        <w:t>la</w:t>
      </w:r>
      <w:r>
        <w:rPr>
          <w:b/>
          <w:bCs/>
          <w:spacing w:val="-5"/>
          <w:sz w:val="18"/>
          <w:szCs w:val="18"/>
          <w:lang w:val="es-ES_tradnl"/>
        </w:rPr>
        <w:t xml:space="preserve"> </w:t>
      </w:r>
      <w:r>
        <w:rPr>
          <w:b/>
          <w:bCs/>
          <w:spacing w:val="-5"/>
          <w:sz w:val="16"/>
          <w:szCs w:val="16"/>
          <w:lang w:val="es-ES_tradnl"/>
        </w:rPr>
        <w:t>se</w:t>
      </w:r>
      <w:r>
        <w:rPr>
          <w:rFonts w:cs="Times New Roman"/>
          <w:b/>
          <w:bCs/>
          <w:spacing w:val="-5"/>
          <w:sz w:val="16"/>
          <w:szCs w:val="16"/>
          <w:lang w:val="es-ES_tradnl"/>
        </w:rPr>
        <w:t>ñ</w:t>
      </w:r>
      <w:r>
        <w:rPr>
          <w:b/>
          <w:bCs/>
          <w:spacing w:val="-5"/>
          <w:sz w:val="16"/>
          <w:szCs w:val="16"/>
          <w:lang w:val="es-ES_tradnl"/>
        </w:rPr>
        <w:t xml:space="preserve">al </w:t>
      </w:r>
      <w:r>
        <w:rPr>
          <w:b/>
          <w:bCs/>
          <w:spacing w:val="-8"/>
          <w:sz w:val="16"/>
          <w:szCs w:val="16"/>
          <w:lang w:val="es-ES_tradnl"/>
        </w:rPr>
        <w:t>comercial de televisi</w:t>
      </w:r>
      <w:r>
        <w:rPr>
          <w:rFonts w:cs="Times New Roman"/>
          <w:b/>
          <w:bCs/>
          <w:spacing w:val="-8"/>
          <w:sz w:val="16"/>
          <w:szCs w:val="16"/>
          <w:lang w:val="es-ES_tradnl"/>
        </w:rPr>
        <w:t>ó</w:t>
      </w:r>
      <w:r>
        <w:rPr>
          <w:b/>
          <w:bCs/>
          <w:spacing w:val="-8"/>
          <w:sz w:val="16"/>
          <w:szCs w:val="16"/>
          <w:lang w:val="es-ES_tradnl"/>
        </w:rPr>
        <w:t xml:space="preserve">n satelital: </w:t>
      </w:r>
      <w:r>
        <w:rPr>
          <w:spacing w:val="-8"/>
          <w:sz w:val="16"/>
          <w:szCs w:val="16"/>
          <w:lang w:val="es-ES_tradnl"/>
        </w:rPr>
        <w:t xml:space="preserve">Pagaran el equivalente </w:t>
      </w:r>
      <w:r>
        <w:rPr>
          <w:spacing w:val="-7"/>
          <w:sz w:val="16"/>
          <w:szCs w:val="16"/>
          <w:lang w:val="es-ES_tradnl"/>
        </w:rPr>
        <w:t>a tres centavos de d</w:t>
      </w:r>
      <w:r>
        <w:rPr>
          <w:rFonts w:cs="Times New Roman"/>
          <w:spacing w:val="-7"/>
          <w:sz w:val="16"/>
          <w:szCs w:val="16"/>
          <w:lang w:val="es-ES_tradnl"/>
        </w:rPr>
        <w:t>ó</w:t>
      </w:r>
      <w:r>
        <w:rPr>
          <w:spacing w:val="-7"/>
          <w:sz w:val="16"/>
          <w:szCs w:val="16"/>
          <w:lang w:val="es-ES_tradnl"/>
        </w:rPr>
        <w:t xml:space="preserve">lares de los Estados Unidos de </w:t>
      </w:r>
      <w:r>
        <w:rPr>
          <w:spacing w:val="-9"/>
          <w:sz w:val="16"/>
          <w:szCs w:val="16"/>
          <w:lang w:val="es-ES_tradnl"/>
        </w:rPr>
        <w:t>Norteam</w:t>
      </w:r>
      <w:r>
        <w:rPr>
          <w:rFonts w:cs="Times New Roman"/>
          <w:spacing w:val="-9"/>
          <w:sz w:val="16"/>
          <w:szCs w:val="16"/>
          <w:lang w:val="es-ES_tradnl"/>
        </w:rPr>
        <w:t>é</w:t>
      </w:r>
      <w:r>
        <w:rPr>
          <w:spacing w:val="-9"/>
          <w:sz w:val="16"/>
          <w:szCs w:val="16"/>
          <w:lang w:val="es-ES_tradnl"/>
        </w:rPr>
        <w:t>rica diarios, por cada antena parab</w:t>
      </w:r>
      <w:r>
        <w:rPr>
          <w:rFonts w:cs="Times New Roman"/>
          <w:spacing w:val="-9"/>
          <w:sz w:val="16"/>
          <w:szCs w:val="16"/>
          <w:lang w:val="es-ES_tradnl"/>
        </w:rPr>
        <w:t>ó</w:t>
      </w:r>
      <w:r>
        <w:rPr>
          <w:spacing w:val="-9"/>
          <w:sz w:val="16"/>
          <w:szCs w:val="16"/>
          <w:lang w:val="es-ES_tradnl"/>
        </w:rPr>
        <w:t xml:space="preserve">lica instalada </w:t>
      </w:r>
      <w:r>
        <w:rPr>
          <w:spacing w:val="-6"/>
          <w:sz w:val="16"/>
          <w:szCs w:val="16"/>
          <w:lang w:val="es-ES_tradnl"/>
        </w:rPr>
        <w:t xml:space="preserve">en el </w:t>
      </w:r>
      <w:r>
        <w:rPr>
          <w:rFonts w:cs="Times New Roman"/>
          <w:spacing w:val="-6"/>
          <w:sz w:val="16"/>
          <w:szCs w:val="16"/>
          <w:lang w:val="es-ES_tradnl"/>
        </w:rPr>
        <w:t>á</w:t>
      </w:r>
      <w:r>
        <w:rPr>
          <w:spacing w:val="-6"/>
          <w:sz w:val="16"/>
          <w:szCs w:val="16"/>
          <w:lang w:val="es-ES_tradnl"/>
        </w:rPr>
        <w:t>rea geogr</w:t>
      </w:r>
      <w:r>
        <w:rPr>
          <w:rFonts w:cs="Times New Roman"/>
          <w:spacing w:val="-6"/>
          <w:sz w:val="16"/>
          <w:szCs w:val="16"/>
          <w:lang w:val="es-ES_tradnl"/>
        </w:rPr>
        <w:t>á</w:t>
      </w:r>
      <w:r>
        <w:rPr>
          <w:spacing w:val="-6"/>
          <w:sz w:val="16"/>
          <w:szCs w:val="16"/>
          <w:lang w:val="es-ES_tradnl"/>
        </w:rPr>
        <w:t>fica del cant</w:t>
      </w:r>
      <w:r>
        <w:rPr>
          <w:rFonts w:cs="Times New Roman"/>
          <w:spacing w:val="-6"/>
          <w:sz w:val="16"/>
          <w:szCs w:val="16"/>
          <w:lang w:val="es-ES_tradnl"/>
        </w:rPr>
        <w:t>ó</w:t>
      </w:r>
      <w:r>
        <w:rPr>
          <w:spacing w:val="-6"/>
          <w:sz w:val="16"/>
          <w:szCs w:val="16"/>
          <w:lang w:val="es-ES_tradnl"/>
        </w:rPr>
        <w:t xml:space="preserve">n, inventario establecido </w:t>
      </w:r>
      <w:r>
        <w:rPr>
          <w:sz w:val="16"/>
          <w:szCs w:val="16"/>
          <w:lang w:val="es-ES_tradnl"/>
        </w:rPr>
        <w:t>por la municipalidad;</w:t>
      </w:r>
    </w:p>
    <w:p w14:paraId="4F67A75E" w14:textId="77777777" w:rsidR="00591D54" w:rsidRDefault="00591D54" w:rsidP="00251195">
      <w:pPr>
        <w:numPr>
          <w:ilvl w:val="0"/>
          <w:numId w:val="34"/>
        </w:numPr>
        <w:shd w:val="clear" w:color="auto" w:fill="FFFFFF"/>
        <w:tabs>
          <w:tab w:val="left" w:pos="566"/>
        </w:tabs>
        <w:spacing w:before="216" w:line="226" w:lineRule="exact"/>
        <w:ind w:left="566" w:hanging="283"/>
        <w:jc w:val="both"/>
        <w:rPr>
          <w:b/>
          <w:bCs/>
          <w:spacing w:val="-10"/>
          <w:sz w:val="16"/>
          <w:szCs w:val="16"/>
          <w:lang w:val="es-ES_tradnl"/>
        </w:rPr>
      </w:pPr>
      <w:r>
        <w:rPr>
          <w:b/>
          <w:bCs/>
          <w:spacing w:val="-7"/>
          <w:sz w:val="16"/>
          <w:szCs w:val="16"/>
          <w:lang w:val="es-ES_tradnl"/>
        </w:rPr>
        <w:t>Cables:</w:t>
      </w:r>
      <w:r>
        <w:rPr>
          <w:b/>
          <w:bCs/>
          <w:spacing w:val="-7"/>
          <w:sz w:val="18"/>
          <w:szCs w:val="18"/>
          <w:lang w:val="es-ES_tradnl"/>
        </w:rPr>
        <w:t xml:space="preserve"> </w:t>
      </w:r>
      <w:r>
        <w:rPr>
          <w:spacing w:val="-7"/>
          <w:sz w:val="16"/>
          <w:szCs w:val="16"/>
          <w:lang w:val="es-ES_tradnl"/>
        </w:rPr>
        <w:t>Los</w:t>
      </w:r>
      <w:r>
        <w:rPr>
          <w:spacing w:val="-7"/>
          <w:sz w:val="18"/>
          <w:szCs w:val="18"/>
          <w:lang w:val="es-ES_tradnl"/>
        </w:rPr>
        <w:t xml:space="preserve"> </w:t>
      </w:r>
      <w:r>
        <w:rPr>
          <w:spacing w:val="-7"/>
          <w:sz w:val="16"/>
          <w:szCs w:val="16"/>
          <w:lang w:val="es-ES_tradnl"/>
        </w:rPr>
        <w:t>tendidos</w:t>
      </w:r>
      <w:r>
        <w:rPr>
          <w:spacing w:val="-7"/>
          <w:sz w:val="18"/>
          <w:szCs w:val="18"/>
          <w:lang w:val="es-ES_tradnl"/>
        </w:rPr>
        <w:t xml:space="preserve"> </w:t>
      </w:r>
      <w:r>
        <w:rPr>
          <w:spacing w:val="-7"/>
          <w:sz w:val="16"/>
          <w:szCs w:val="16"/>
          <w:lang w:val="es-ES_tradnl"/>
        </w:rPr>
        <w:t>de</w:t>
      </w:r>
      <w:r>
        <w:rPr>
          <w:spacing w:val="-7"/>
          <w:sz w:val="18"/>
          <w:szCs w:val="18"/>
          <w:lang w:val="es-ES_tradnl"/>
        </w:rPr>
        <w:t xml:space="preserve"> </w:t>
      </w:r>
      <w:r>
        <w:rPr>
          <w:spacing w:val="-7"/>
          <w:sz w:val="16"/>
          <w:szCs w:val="16"/>
          <w:lang w:val="es-ES_tradnl"/>
        </w:rPr>
        <w:t>redes</w:t>
      </w:r>
      <w:r>
        <w:rPr>
          <w:spacing w:val="-7"/>
          <w:sz w:val="18"/>
          <w:szCs w:val="18"/>
          <w:lang w:val="es-ES_tradnl"/>
        </w:rPr>
        <w:t xml:space="preserve"> </w:t>
      </w:r>
      <w:r>
        <w:rPr>
          <w:spacing w:val="-7"/>
          <w:sz w:val="16"/>
          <w:szCs w:val="16"/>
          <w:lang w:val="es-ES_tradnl"/>
        </w:rPr>
        <w:t>que</w:t>
      </w:r>
      <w:r>
        <w:rPr>
          <w:spacing w:val="-7"/>
          <w:sz w:val="18"/>
          <w:szCs w:val="18"/>
          <w:lang w:val="es-ES_tradnl"/>
        </w:rPr>
        <w:t xml:space="preserve"> </w:t>
      </w:r>
      <w:r>
        <w:rPr>
          <w:spacing w:val="-7"/>
          <w:sz w:val="16"/>
          <w:szCs w:val="16"/>
          <w:lang w:val="es-ES_tradnl"/>
        </w:rPr>
        <w:t>pertenezcan</w:t>
      </w:r>
      <w:r>
        <w:rPr>
          <w:spacing w:val="-7"/>
          <w:sz w:val="18"/>
          <w:szCs w:val="18"/>
          <w:lang w:val="es-ES_tradnl"/>
        </w:rPr>
        <w:t xml:space="preserve"> </w:t>
      </w:r>
      <w:r>
        <w:rPr>
          <w:spacing w:val="-7"/>
          <w:sz w:val="16"/>
          <w:szCs w:val="16"/>
          <w:lang w:val="es-ES_tradnl"/>
        </w:rPr>
        <w:t>a</w:t>
      </w:r>
      <w:r>
        <w:rPr>
          <w:spacing w:val="-7"/>
          <w:sz w:val="18"/>
          <w:szCs w:val="18"/>
          <w:lang w:val="es-ES_tradnl"/>
        </w:rPr>
        <w:t xml:space="preserve"> </w:t>
      </w:r>
      <w:r>
        <w:rPr>
          <w:spacing w:val="-7"/>
          <w:sz w:val="16"/>
          <w:szCs w:val="16"/>
          <w:lang w:val="es-ES_tradnl"/>
        </w:rPr>
        <w:t xml:space="preserve">las </w:t>
      </w:r>
      <w:r>
        <w:rPr>
          <w:spacing w:val="-8"/>
          <w:sz w:val="16"/>
          <w:szCs w:val="16"/>
          <w:lang w:val="es-ES_tradnl"/>
        </w:rPr>
        <w:t>empresas privadas estar</w:t>
      </w:r>
      <w:r>
        <w:rPr>
          <w:rFonts w:cs="Times New Roman"/>
          <w:spacing w:val="-8"/>
          <w:sz w:val="16"/>
          <w:szCs w:val="16"/>
          <w:lang w:val="es-ES_tradnl"/>
        </w:rPr>
        <w:t>á</w:t>
      </w:r>
      <w:r>
        <w:rPr>
          <w:spacing w:val="-8"/>
          <w:sz w:val="16"/>
          <w:szCs w:val="16"/>
          <w:lang w:val="es-ES_tradnl"/>
        </w:rPr>
        <w:t xml:space="preserve">n sujetos a una tasa diaria y </w:t>
      </w:r>
      <w:r>
        <w:rPr>
          <w:spacing w:val="-9"/>
          <w:sz w:val="16"/>
          <w:szCs w:val="16"/>
          <w:lang w:val="es-ES_tradnl"/>
        </w:rPr>
        <w:t>permanente de un centavo de d</w:t>
      </w:r>
      <w:r>
        <w:rPr>
          <w:rFonts w:cs="Times New Roman"/>
          <w:spacing w:val="-9"/>
          <w:sz w:val="16"/>
          <w:szCs w:val="16"/>
          <w:lang w:val="es-ES_tradnl"/>
        </w:rPr>
        <w:t>ó</w:t>
      </w:r>
      <w:r>
        <w:rPr>
          <w:spacing w:val="-9"/>
          <w:sz w:val="16"/>
          <w:szCs w:val="16"/>
          <w:lang w:val="es-ES_tradnl"/>
        </w:rPr>
        <w:t xml:space="preserve">lar de los Estados Unidos </w:t>
      </w:r>
      <w:r>
        <w:rPr>
          <w:spacing w:val="-6"/>
          <w:sz w:val="16"/>
          <w:szCs w:val="16"/>
          <w:lang w:val="es-ES_tradnl"/>
        </w:rPr>
        <w:t>de Norteam</w:t>
      </w:r>
      <w:r>
        <w:rPr>
          <w:rFonts w:cs="Times New Roman"/>
          <w:spacing w:val="-6"/>
          <w:sz w:val="16"/>
          <w:szCs w:val="16"/>
          <w:lang w:val="es-ES_tradnl"/>
        </w:rPr>
        <w:t>é</w:t>
      </w:r>
      <w:r>
        <w:rPr>
          <w:spacing w:val="-6"/>
          <w:sz w:val="16"/>
          <w:szCs w:val="16"/>
          <w:lang w:val="es-ES_tradnl"/>
        </w:rPr>
        <w:t xml:space="preserve">rica por cada metro lineal de cable tendido, </w:t>
      </w:r>
      <w:r>
        <w:rPr>
          <w:spacing w:val="-8"/>
          <w:sz w:val="16"/>
          <w:szCs w:val="16"/>
          <w:lang w:val="es-ES_tradnl"/>
        </w:rPr>
        <w:t>por ocupaci</w:t>
      </w:r>
      <w:r>
        <w:rPr>
          <w:rFonts w:cs="Times New Roman"/>
          <w:spacing w:val="-8"/>
          <w:sz w:val="16"/>
          <w:szCs w:val="16"/>
          <w:lang w:val="es-ES_tradnl"/>
        </w:rPr>
        <w:t>ó</w:t>
      </w:r>
      <w:r>
        <w:rPr>
          <w:spacing w:val="-8"/>
          <w:sz w:val="16"/>
          <w:szCs w:val="16"/>
          <w:lang w:val="es-ES_tradnl"/>
        </w:rPr>
        <w:t>n de espacio a</w:t>
      </w:r>
      <w:r>
        <w:rPr>
          <w:rFonts w:cs="Times New Roman"/>
          <w:spacing w:val="-8"/>
          <w:sz w:val="16"/>
          <w:szCs w:val="16"/>
          <w:lang w:val="es-ES_tradnl"/>
        </w:rPr>
        <w:t>é</w:t>
      </w:r>
      <w:r>
        <w:rPr>
          <w:spacing w:val="-8"/>
          <w:sz w:val="16"/>
          <w:szCs w:val="16"/>
          <w:lang w:val="es-ES_tradnl"/>
        </w:rPr>
        <w:t>reo, suelo o subsuelo; y,</w:t>
      </w:r>
    </w:p>
    <w:p w14:paraId="4F67A75F" w14:textId="77777777" w:rsidR="00591D54" w:rsidRDefault="00591D54" w:rsidP="00251195">
      <w:pPr>
        <w:numPr>
          <w:ilvl w:val="0"/>
          <w:numId w:val="34"/>
        </w:numPr>
        <w:shd w:val="clear" w:color="auto" w:fill="FFFFFF"/>
        <w:tabs>
          <w:tab w:val="left" w:pos="566"/>
        </w:tabs>
        <w:spacing w:before="216" w:line="226" w:lineRule="exact"/>
        <w:ind w:left="566" w:hanging="283"/>
        <w:jc w:val="both"/>
        <w:rPr>
          <w:b/>
          <w:bCs/>
          <w:spacing w:val="-10"/>
          <w:sz w:val="16"/>
          <w:szCs w:val="16"/>
          <w:lang w:val="es-ES_tradnl"/>
        </w:rPr>
      </w:pPr>
      <w:r>
        <w:rPr>
          <w:b/>
          <w:bCs/>
          <w:spacing w:val="-6"/>
          <w:sz w:val="16"/>
          <w:szCs w:val="16"/>
          <w:lang w:val="es-ES_tradnl"/>
        </w:rPr>
        <w:t>Postes:</w:t>
      </w:r>
      <w:r>
        <w:rPr>
          <w:b/>
          <w:bCs/>
          <w:spacing w:val="-6"/>
          <w:sz w:val="18"/>
          <w:szCs w:val="18"/>
          <w:lang w:val="es-ES_tradnl"/>
        </w:rPr>
        <w:t xml:space="preserve"> </w:t>
      </w:r>
      <w:r>
        <w:rPr>
          <w:spacing w:val="-6"/>
          <w:sz w:val="16"/>
          <w:szCs w:val="16"/>
          <w:lang w:val="es-ES_tradnl"/>
        </w:rPr>
        <w:t>Las</w:t>
      </w:r>
      <w:r>
        <w:rPr>
          <w:spacing w:val="-6"/>
          <w:sz w:val="18"/>
          <w:szCs w:val="18"/>
          <w:lang w:val="es-ES_tradnl"/>
        </w:rPr>
        <w:t xml:space="preserve"> </w:t>
      </w:r>
      <w:r>
        <w:rPr>
          <w:spacing w:val="-6"/>
          <w:sz w:val="16"/>
          <w:szCs w:val="16"/>
          <w:lang w:val="es-ES_tradnl"/>
        </w:rPr>
        <w:t>empresas</w:t>
      </w:r>
      <w:r>
        <w:rPr>
          <w:spacing w:val="-6"/>
          <w:sz w:val="18"/>
          <w:szCs w:val="18"/>
          <w:lang w:val="es-ES_tradnl"/>
        </w:rPr>
        <w:t xml:space="preserve"> </w:t>
      </w:r>
      <w:r>
        <w:rPr>
          <w:spacing w:val="-6"/>
          <w:sz w:val="16"/>
          <w:szCs w:val="16"/>
          <w:lang w:val="es-ES_tradnl"/>
        </w:rPr>
        <w:t>privadas</w:t>
      </w:r>
      <w:r>
        <w:rPr>
          <w:spacing w:val="-6"/>
          <w:sz w:val="18"/>
          <w:szCs w:val="18"/>
          <w:lang w:val="es-ES_tradnl"/>
        </w:rPr>
        <w:t xml:space="preserve"> </w:t>
      </w:r>
      <w:r>
        <w:rPr>
          <w:spacing w:val="-6"/>
          <w:sz w:val="16"/>
          <w:szCs w:val="16"/>
          <w:lang w:val="es-ES_tradnl"/>
        </w:rPr>
        <w:t>pagaran</w:t>
      </w:r>
      <w:r>
        <w:rPr>
          <w:spacing w:val="-6"/>
          <w:sz w:val="18"/>
          <w:szCs w:val="18"/>
          <w:lang w:val="es-ES_tradnl"/>
        </w:rPr>
        <w:t xml:space="preserve"> </w:t>
      </w:r>
      <w:r>
        <w:rPr>
          <w:spacing w:val="-6"/>
          <w:sz w:val="16"/>
          <w:szCs w:val="16"/>
          <w:lang w:val="es-ES_tradnl"/>
        </w:rPr>
        <w:t>una</w:t>
      </w:r>
      <w:r>
        <w:rPr>
          <w:spacing w:val="-6"/>
          <w:sz w:val="18"/>
          <w:szCs w:val="18"/>
          <w:lang w:val="es-ES_tradnl"/>
        </w:rPr>
        <w:t xml:space="preserve"> </w:t>
      </w:r>
      <w:r>
        <w:rPr>
          <w:spacing w:val="-6"/>
          <w:sz w:val="16"/>
          <w:szCs w:val="16"/>
          <w:lang w:val="es-ES_tradnl"/>
        </w:rPr>
        <w:t>tasa</w:t>
      </w:r>
      <w:r>
        <w:rPr>
          <w:spacing w:val="-6"/>
          <w:sz w:val="18"/>
          <w:szCs w:val="18"/>
          <w:lang w:val="es-ES_tradnl"/>
        </w:rPr>
        <w:t xml:space="preserve"> </w:t>
      </w:r>
      <w:r>
        <w:rPr>
          <w:spacing w:val="-6"/>
          <w:sz w:val="16"/>
          <w:szCs w:val="16"/>
          <w:lang w:val="es-ES_tradnl"/>
        </w:rPr>
        <w:t xml:space="preserve">diaria </w:t>
      </w:r>
      <w:r>
        <w:rPr>
          <w:spacing w:val="-5"/>
          <w:sz w:val="16"/>
          <w:szCs w:val="16"/>
          <w:lang w:val="es-ES_tradnl"/>
        </w:rPr>
        <w:t>y permanente de veinticinco centavos de d</w:t>
      </w:r>
      <w:r>
        <w:rPr>
          <w:rFonts w:cs="Times New Roman"/>
          <w:spacing w:val="-5"/>
          <w:sz w:val="16"/>
          <w:szCs w:val="16"/>
          <w:lang w:val="es-ES_tradnl"/>
        </w:rPr>
        <w:t>ó</w:t>
      </w:r>
      <w:r>
        <w:rPr>
          <w:spacing w:val="-5"/>
          <w:sz w:val="16"/>
          <w:szCs w:val="16"/>
          <w:lang w:val="es-ES_tradnl"/>
        </w:rPr>
        <w:t xml:space="preserve">lar de los </w:t>
      </w:r>
      <w:r>
        <w:rPr>
          <w:spacing w:val="-9"/>
          <w:sz w:val="16"/>
          <w:szCs w:val="16"/>
          <w:lang w:val="es-ES_tradnl"/>
        </w:rPr>
        <w:t>Estados Unidos de Norteam</w:t>
      </w:r>
      <w:r>
        <w:rPr>
          <w:rFonts w:cs="Times New Roman"/>
          <w:spacing w:val="-9"/>
          <w:sz w:val="16"/>
          <w:szCs w:val="16"/>
          <w:lang w:val="es-ES_tradnl"/>
        </w:rPr>
        <w:t>é</w:t>
      </w:r>
      <w:r>
        <w:rPr>
          <w:spacing w:val="-9"/>
          <w:sz w:val="16"/>
          <w:szCs w:val="16"/>
          <w:lang w:val="es-ES_tradnl"/>
        </w:rPr>
        <w:t xml:space="preserve">rica por cada poste instalado, </w:t>
      </w:r>
      <w:r>
        <w:rPr>
          <w:spacing w:val="-6"/>
          <w:sz w:val="16"/>
          <w:szCs w:val="16"/>
          <w:lang w:val="es-ES_tradnl"/>
        </w:rPr>
        <w:t>por ocupaci</w:t>
      </w:r>
      <w:r>
        <w:rPr>
          <w:rFonts w:cs="Times New Roman"/>
          <w:spacing w:val="-6"/>
          <w:sz w:val="16"/>
          <w:szCs w:val="16"/>
          <w:lang w:val="es-ES_tradnl"/>
        </w:rPr>
        <w:t>ó</w:t>
      </w:r>
      <w:r>
        <w:rPr>
          <w:spacing w:val="-6"/>
          <w:sz w:val="16"/>
          <w:szCs w:val="16"/>
          <w:lang w:val="es-ES_tradnl"/>
        </w:rPr>
        <w:t>n del espacio p</w:t>
      </w:r>
      <w:r>
        <w:rPr>
          <w:rFonts w:cs="Times New Roman"/>
          <w:spacing w:val="-6"/>
          <w:sz w:val="16"/>
          <w:szCs w:val="16"/>
          <w:lang w:val="es-ES_tradnl"/>
        </w:rPr>
        <w:t>ú</w:t>
      </w:r>
      <w:r>
        <w:rPr>
          <w:spacing w:val="-6"/>
          <w:sz w:val="16"/>
          <w:szCs w:val="16"/>
          <w:lang w:val="es-ES_tradnl"/>
        </w:rPr>
        <w:t>blico o v</w:t>
      </w:r>
      <w:r>
        <w:rPr>
          <w:rFonts w:cs="Times New Roman"/>
          <w:spacing w:val="-6"/>
          <w:sz w:val="16"/>
          <w:szCs w:val="16"/>
          <w:lang w:val="es-ES_tradnl"/>
        </w:rPr>
        <w:t>í</w:t>
      </w:r>
      <w:r>
        <w:rPr>
          <w:spacing w:val="-6"/>
          <w:sz w:val="16"/>
          <w:szCs w:val="16"/>
          <w:lang w:val="es-ES_tradnl"/>
        </w:rPr>
        <w:t>a p</w:t>
      </w:r>
      <w:r>
        <w:rPr>
          <w:rFonts w:cs="Times New Roman"/>
          <w:spacing w:val="-6"/>
          <w:sz w:val="16"/>
          <w:szCs w:val="16"/>
          <w:lang w:val="es-ES_tradnl"/>
        </w:rPr>
        <w:t>ú</w:t>
      </w:r>
      <w:r>
        <w:rPr>
          <w:spacing w:val="-6"/>
          <w:sz w:val="16"/>
          <w:szCs w:val="16"/>
          <w:lang w:val="es-ES_tradnl"/>
        </w:rPr>
        <w:t>blica.</w:t>
      </w:r>
    </w:p>
    <w:p w14:paraId="4F67A760" w14:textId="77777777" w:rsidR="00591D54" w:rsidRDefault="00591D54">
      <w:pPr>
        <w:shd w:val="clear" w:color="auto" w:fill="FFFFFF"/>
        <w:spacing w:line="211" w:lineRule="exact"/>
        <w:jc w:val="both"/>
      </w:pPr>
      <w:r>
        <w:rPr>
          <w:b/>
          <w:bCs/>
          <w:spacing w:val="-10"/>
          <w:sz w:val="16"/>
          <w:szCs w:val="16"/>
          <w:lang w:val="es-ES_tradnl"/>
        </w:rPr>
        <w:br w:type="column"/>
      </w:r>
      <w:r>
        <w:rPr>
          <w:b/>
          <w:bCs/>
          <w:spacing w:val="-8"/>
          <w:sz w:val="18"/>
          <w:szCs w:val="18"/>
          <w:lang w:val="es-ES_tradnl"/>
        </w:rPr>
        <w:t>Fundamentos y pretensi</w:t>
      </w:r>
      <w:r>
        <w:rPr>
          <w:rFonts w:cs="Times New Roman"/>
          <w:b/>
          <w:bCs/>
          <w:spacing w:val="-8"/>
          <w:sz w:val="18"/>
          <w:szCs w:val="18"/>
          <w:lang w:val="es-ES_tradnl"/>
        </w:rPr>
        <w:t>ó</w:t>
      </w:r>
      <w:r>
        <w:rPr>
          <w:b/>
          <w:bCs/>
          <w:spacing w:val="-8"/>
          <w:sz w:val="18"/>
          <w:szCs w:val="18"/>
          <w:lang w:val="es-ES_tradnl"/>
        </w:rPr>
        <w:t xml:space="preserve">n de la demanda de </w:t>
      </w:r>
      <w:r>
        <w:rPr>
          <w:b/>
          <w:bCs/>
          <w:sz w:val="18"/>
          <w:szCs w:val="18"/>
          <w:lang w:val="es-ES_tradnl"/>
        </w:rPr>
        <w:t>inconstitucionalidad</w:t>
      </w:r>
    </w:p>
    <w:p w14:paraId="4F67A761" w14:textId="77777777" w:rsidR="00591D54" w:rsidRDefault="00591D54">
      <w:pPr>
        <w:shd w:val="clear" w:color="auto" w:fill="FFFFFF"/>
        <w:spacing w:before="187"/>
      </w:pPr>
      <w:r>
        <w:rPr>
          <w:b/>
          <w:bCs/>
          <w:spacing w:val="-8"/>
          <w:sz w:val="18"/>
          <w:szCs w:val="18"/>
          <w:lang w:val="es-ES_tradnl"/>
        </w:rPr>
        <w:t>Detalle y fundamento de la demanda</w:t>
      </w:r>
    </w:p>
    <w:p w14:paraId="4F67A762" w14:textId="77777777" w:rsidR="00591D54" w:rsidRDefault="00591D54">
      <w:pPr>
        <w:shd w:val="clear" w:color="auto" w:fill="FFFFFF"/>
        <w:spacing w:before="192" w:line="211" w:lineRule="exact"/>
        <w:jc w:val="both"/>
      </w:pPr>
      <w:r>
        <w:rPr>
          <w:spacing w:val="-7"/>
          <w:sz w:val="18"/>
          <w:szCs w:val="18"/>
          <w:lang w:val="es-ES_tradnl"/>
        </w:rPr>
        <w:t>La accionante se</w:t>
      </w:r>
      <w:r>
        <w:rPr>
          <w:rFonts w:cs="Times New Roman"/>
          <w:spacing w:val="-7"/>
          <w:sz w:val="18"/>
          <w:szCs w:val="18"/>
          <w:lang w:val="es-ES_tradnl"/>
        </w:rPr>
        <w:t>ñ</w:t>
      </w:r>
      <w:r>
        <w:rPr>
          <w:spacing w:val="-7"/>
          <w:sz w:val="18"/>
          <w:szCs w:val="18"/>
          <w:lang w:val="es-ES_tradnl"/>
        </w:rPr>
        <w:t>ala que la disposici</w:t>
      </w:r>
      <w:r>
        <w:rPr>
          <w:rFonts w:cs="Times New Roman"/>
          <w:spacing w:val="-7"/>
          <w:sz w:val="18"/>
          <w:szCs w:val="18"/>
          <w:lang w:val="es-ES_tradnl"/>
        </w:rPr>
        <w:t>ó</w:t>
      </w:r>
      <w:r>
        <w:rPr>
          <w:spacing w:val="-7"/>
          <w:sz w:val="18"/>
          <w:szCs w:val="18"/>
          <w:lang w:val="es-ES_tradnl"/>
        </w:rPr>
        <w:t xml:space="preserve">n cuya declaratoria </w:t>
      </w:r>
      <w:r>
        <w:rPr>
          <w:spacing w:val="-6"/>
          <w:sz w:val="18"/>
          <w:szCs w:val="18"/>
          <w:lang w:val="es-ES_tradnl"/>
        </w:rPr>
        <w:t>de inconstitucionalidad se pretende con esta demanda es el art</w:t>
      </w:r>
      <w:r>
        <w:rPr>
          <w:rFonts w:cs="Times New Roman"/>
          <w:spacing w:val="-6"/>
          <w:sz w:val="18"/>
          <w:szCs w:val="18"/>
          <w:lang w:val="es-ES_tradnl"/>
        </w:rPr>
        <w:t>í</w:t>
      </w:r>
      <w:r>
        <w:rPr>
          <w:spacing w:val="-6"/>
          <w:sz w:val="18"/>
          <w:szCs w:val="18"/>
          <w:lang w:val="es-ES_tradnl"/>
        </w:rPr>
        <w:t xml:space="preserve">culo 18 de la Ordenanza emitida por el Gobierno </w:t>
      </w:r>
      <w:r>
        <w:rPr>
          <w:spacing w:val="-5"/>
          <w:sz w:val="18"/>
          <w:szCs w:val="18"/>
          <w:lang w:val="es-ES_tradnl"/>
        </w:rPr>
        <w:t>Aut</w:t>
      </w:r>
      <w:r>
        <w:rPr>
          <w:rFonts w:cs="Times New Roman"/>
          <w:spacing w:val="-5"/>
          <w:sz w:val="18"/>
          <w:szCs w:val="18"/>
          <w:lang w:val="es-ES_tradnl"/>
        </w:rPr>
        <w:t>ó</w:t>
      </w:r>
      <w:r>
        <w:rPr>
          <w:spacing w:val="-5"/>
          <w:sz w:val="18"/>
          <w:szCs w:val="18"/>
          <w:lang w:val="es-ES_tradnl"/>
        </w:rPr>
        <w:t>nomo Descentralizado Municipal del Cant</w:t>
      </w:r>
      <w:r>
        <w:rPr>
          <w:rFonts w:cs="Times New Roman"/>
          <w:spacing w:val="-5"/>
          <w:sz w:val="18"/>
          <w:szCs w:val="18"/>
          <w:lang w:val="es-ES_tradnl"/>
        </w:rPr>
        <w:t>ó</w:t>
      </w:r>
      <w:r>
        <w:rPr>
          <w:spacing w:val="-5"/>
          <w:sz w:val="18"/>
          <w:szCs w:val="18"/>
          <w:lang w:val="es-ES_tradnl"/>
        </w:rPr>
        <w:t>n Tulc</w:t>
      </w:r>
      <w:r>
        <w:rPr>
          <w:rFonts w:cs="Times New Roman"/>
          <w:spacing w:val="-5"/>
          <w:sz w:val="18"/>
          <w:szCs w:val="18"/>
          <w:lang w:val="es-ES_tradnl"/>
        </w:rPr>
        <w:t>á</w:t>
      </w:r>
      <w:r>
        <w:rPr>
          <w:spacing w:val="-5"/>
          <w:sz w:val="18"/>
          <w:szCs w:val="18"/>
          <w:lang w:val="es-ES_tradnl"/>
        </w:rPr>
        <w:t xml:space="preserve">n, </w:t>
      </w:r>
      <w:r>
        <w:rPr>
          <w:spacing w:val="-3"/>
          <w:sz w:val="18"/>
          <w:szCs w:val="18"/>
          <w:lang w:val="es-ES_tradnl"/>
        </w:rPr>
        <w:t>la cual regula la implantaci</w:t>
      </w:r>
      <w:r>
        <w:rPr>
          <w:rFonts w:cs="Times New Roman"/>
          <w:spacing w:val="-3"/>
          <w:sz w:val="18"/>
          <w:szCs w:val="18"/>
          <w:lang w:val="es-ES_tradnl"/>
        </w:rPr>
        <w:t>ó</w:t>
      </w:r>
      <w:r>
        <w:rPr>
          <w:spacing w:val="-3"/>
          <w:sz w:val="18"/>
          <w:szCs w:val="18"/>
          <w:lang w:val="es-ES_tradnl"/>
        </w:rPr>
        <w:t xml:space="preserve">n de estructuras fijas de </w:t>
      </w:r>
      <w:r>
        <w:rPr>
          <w:spacing w:val="-7"/>
          <w:sz w:val="18"/>
          <w:szCs w:val="18"/>
          <w:lang w:val="es-ES_tradnl"/>
        </w:rPr>
        <w:t xml:space="preserve">soportes de antenas e infraestructura relacionada con el </w:t>
      </w:r>
      <w:r>
        <w:rPr>
          <w:sz w:val="18"/>
          <w:szCs w:val="18"/>
          <w:lang w:val="es-ES_tradnl"/>
        </w:rPr>
        <w:t>servicio m</w:t>
      </w:r>
      <w:r>
        <w:rPr>
          <w:rFonts w:cs="Times New Roman"/>
          <w:sz w:val="18"/>
          <w:szCs w:val="18"/>
          <w:lang w:val="es-ES_tradnl"/>
        </w:rPr>
        <w:t>ó</w:t>
      </w:r>
      <w:r>
        <w:rPr>
          <w:sz w:val="18"/>
          <w:szCs w:val="18"/>
          <w:lang w:val="es-ES_tradnl"/>
        </w:rPr>
        <w:t>vil avanzado SMA.</w:t>
      </w:r>
    </w:p>
    <w:p w14:paraId="4F67A763" w14:textId="77777777" w:rsidR="00591D54" w:rsidRDefault="00591D54">
      <w:pPr>
        <w:shd w:val="clear" w:color="auto" w:fill="FFFFFF"/>
        <w:spacing w:before="192" w:line="211" w:lineRule="exact"/>
        <w:jc w:val="both"/>
      </w:pPr>
      <w:r>
        <w:rPr>
          <w:spacing w:val="-5"/>
          <w:sz w:val="18"/>
          <w:szCs w:val="18"/>
          <w:lang w:val="es-ES_tradnl"/>
        </w:rPr>
        <w:t>As</w:t>
      </w:r>
      <w:r>
        <w:rPr>
          <w:rFonts w:cs="Times New Roman"/>
          <w:spacing w:val="-5"/>
          <w:sz w:val="18"/>
          <w:szCs w:val="18"/>
          <w:lang w:val="es-ES_tradnl"/>
        </w:rPr>
        <w:t>í</w:t>
      </w:r>
      <w:r>
        <w:rPr>
          <w:spacing w:val="-5"/>
          <w:sz w:val="18"/>
          <w:szCs w:val="18"/>
          <w:lang w:val="es-ES_tradnl"/>
        </w:rPr>
        <w:t xml:space="preserve"> tambi</w:t>
      </w:r>
      <w:r>
        <w:rPr>
          <w:rFonts w:cs="Times New Roman"/>
          <w:spacing w:val="-5"/>
          <w:sz w:val="18"/>
          <w:szCs w:val="18"/>
          <w:lang w:val="es-ES_tradnl"/>
        </w:rPr>
        <w:t>é</w:t>
      </w:r>
      <w:r>
        <w:rPr>
          <w:spacing w:val="-5"/>
          <w:sz w:val="18"/>
          <w:szCs w:val="18"/>
          <w:lang w:val="es-ES_tradnl"/>
        </w:rPr>
        <w:t>n, manifiesta que por el uso u ocupaci</w:t>
      </w:r>
      <w:r>
        <w:rPr>
          <w:rFonts w:cs="Times New Roman"/>
          <w:spacing w:val="-5"/>
          <w:sz w:val="18"/>
          <w:szCs w:val="18"/>
          <w:lang w:val="es-ES_tradnl"/>
        </w:rPr>
        <w:t>ó</w:t>
      </w:r>
      <w:r>
        <w:rPr>
          <w:spacing w:val="-5"/>
          <w:sz w:val="18"/>
          <w:szCs w:val="18"/>
          <w:lang w:val="es-ES_tradnl"/>
        </w:rPr>
        <w:t xml:space="preserve">n de </w:t>
      </w:r>
      <w:r>
        <w:rPr>
          <w:spacing w:val="-7"/>
          <w:sz w:val="18"/>
          <w:szCs w:val="18"/>
          <w:lang w:val="es-ES_tradnl"/>
        </w:rPr>
        <w:t>bienes p</w:t>
      </w:r>
      <w:r>
        <w:rPr>
          <w:rFonts w:cs="Times New Roman"/>
          <w:spacing w:val="-7"/>
          <w:sz w:val="18"/>
          <w:szCs w:val="18"/>
          <w:lang w:val="es-ES_tradnl"/>
        </w:rPr>
        <w:t>ú</w:t>
      </w:r>
      <w:r>
        <w:rPr>
          <w:spacing w:val="-7"/>
          <w:sz w:val="18"/>
          <w:szCs w:val="18"/>
          <w:lang w:val="es-ES_tradnl"/>
        </w:rPr>
        <w:t xml:space="preserve">blicos, puede cobrarse tasas, pero deben estar </w:t>
      </w:r>
      <w:r>
        <w:rPr>
          <w:spacing w:val="-4"/>
          <w:sz w:val="18"/>
          <w:szCs w:val="18"/>
          <w:lang w:val="es-ES_tradnl"/>
        </w:rPr>
        <w:t>configuradas como una contraprestaci</w:t>
      </w:r>
      <w:r>
        <w:rPr>
          <w:rFonts w:cs="Times New Roman"/>
          <w:spacing w:val="-4"/>
          <w:sz w:val="18"/>
          <w:szCs w:val="18"/>
          <w:lang w:val="es-ES_tradnl"/>
        </w:rPr>
        <w:t>ó</w:t>
      </w:r>
      <w:r>
        <w:rPr>
          <w:spacing w:val="-4"/>
          <w:sz w:val="18"/>
          <w:szCs w:val="18"/>
          <w:lang w:val="es-ES_tradnl"/>
        </w:rPr>
        <w:t xml:space="preserve">n vinculada a </w:t>
      </w:r>
      <w:r>
        <w:rPr>
          <w:spacing w:val="-9"/>
          <w:sz w:val="18"/>
          <w:szCs w:val="18"/>
          <w:lang w:val="es-ES_tradnl"/>
        </w:rPr>
        <w:t>dichos uso u ocupaci</w:t>
      </w:r>
      <w:r>
        <w:rPr>
          <w:rFonts w:cs="Times New Roman"/>
          <w:spacing w:val="-9"/>
          <w:sz w:val="18"/>
          <w:szCs w:val="18"/>
          <w:lang w:val="es-ES_tradnl"/>
        </w:rPr>
        <w:t>ó</w:t>
      </w:r>
      <w:r>
        <w:rPr>
          <w:spacing w:val="-9"/>
          <w:sz w:val="18"/>
          <w:szCs w:val="18"/>
          <w:lang w:val="es-ES_tradnl"/>
        </w:rPr>
        <w:t>n, en los t</w:t>
      </w:r>
      <w:r>
        <w:rPr>
          <w:rFonts w:cs="Times New Roman"/>
          <w:spacing w:val="-9"/>
          <w:sz w:val="18"/>
          <w:szCs w:val="18"/>
          <w:lang w:val="es-ES_tradnl"/>
        </w:rPr>
        <w:t>é</w:t>
      </w:r>
      <w:r>
        <w:rPr>
          <w:spacing w:val="-9"/>
          <w:sz w:val="18"/>
          <w:szCs w:val="18"/>
          <w:lang w:val="es-ES_tradnl"/>
        </w:rPr>
        <w:t>rminos de la sentencia N.</w:t>
      </w:r>
      <w:r>
        <w:rPr>
          <w:rFonts w:cs="Times New Roman"/>
          <w:spacing w:val="-9"/>
          <w:sz w:val="18"/>
          <w:szCs w:val="18"/>
          <w:lang w:val="es-ES_tradnl"/>
        </w:rPr>
        <w:t xml:space="preserve">º </w:t>
      </w:r>
      <w:r>
        <w:rPr>
          <w:spacing w:val="-6"/>
          <w:sz w:val="18"/>
          <w:szCs w:val="18"/>
          <w:lang w:val="es-ES_tradnl"/>
        </w:rPr>
        <w:t>003-09-SIN-CC y el art</w:t>
      </w:r>
      <w:r>
        <w:rPr>
          <w:rFonts w:cs="Times New Roman"/>
          <w:spacing w:val="-6"/>
          <w:sz w:val="18"/>
          <w:szCs w:val="18"/>
          <w:lang w:val="es-ES_tradnl"/>
        </w:rPr>
        <w:t>í</w:t>
      </w:r>
      <w:r>
        <w:rPr>
          <w:spacing w:val="-6"/>
          <w:sz w:val="18"/>
          <w:szCs w:val="18"/>
          <w:lang w:val="es-ES_tradnl"/>
        </w:rPr>
        <w:t>culo 567 del C</w:t>
      </w:r>
      <w:r>
        <w:rPr>
          <w:rFonts w:cs="Times New Roman"/>
          <w:spacing w:val="-6"/>
          <w:sz w:val="18"/>
          <w:szCs w:val="18"/>
          <w:lang w:val="es-ES_tradnl"/>
        </w:rPr>
        <w:t>ó</w:t>
      </w:r>
      <w:r>
        <w:rPr>
          <w:spacing w:val="-6"/>
          <w:sz w:val="18"/>
          <w:szCs w:val="18"/>
          <w:lang w:val="es-ES_tradnl"/>
        </w:rPr>
        <w:t>digo Org</w:t>
      </w:r>
      <w:r>
        <w:rPr>
          <w:rFonts w:cs="Times New Roman"/>
          <w:spacing w:val="-6"/>
          <w:sz w:val="18"/>
          <w:szCs w:val="18"/>
          <w:lang w:val="es-ES_tradnl"/>
        </w:rPr>
        <w:t>á</w:t>
      </w:r>
      <w:r>
        <w:rPr>
          <w:spacing w:val="-6"/>
          <w:sz w:val="18"/>
          <w:szCs w:val="18"/>
          <w:lang w:val="es-ES_tradnl"/>
        </w:rPr>
        <w:t xml:space="preserve">nico de </w:t>
      </w:r>
      <w:r>
        <w:rPr>
          <w:spacing w:val="-5"/>
          <w:sz w:val="18"/>
          <w:szCs w:val="18"/>
          <w:lang w:val="es-ES_tradnl"/>
        </w:rPr>
        <w:t>Organizaci</w:t>
      </w:r>
      <w:r>
        <w:rPr>
          <w:rFonts w:cs="Times New Roman"/>
          <w:spacing w:val="-5"/>
          <w:sz w:val="18"/>
          <w:szCs w:val="18"/>
          <w:lang w:val="es-ES_tradnl"/>
        </w:rPr>
        <w:t>ó</w:t>
      </w:r>
      <w:r>
        <w:rPr>
          <w:spacing w:val="-5"/>
          <w:sz w:val="18"/>
          <w:szCs w:val="18"/>
          <w:lang w:val="es-ES_tradnl"/>
        </w:rPr>
        <w:t>n Territorial, Autonom</w:t>
      </w:r>
      <w:r>
        <w:rPr>
          <w:rFonts w:cs="Times New Roman"/>
          <w:spacing w:val="-5"/>
          <w:sz w:val="18"/>
          <w:szCs w:val="18"/>
          <w:lang w:val="es-ES_tradnl"/>
        </w:rPr>
        <w:t>í</w:t>
      </w:r>
      <w:r>
        <w:rPr>
          <w:spacing w:val="-5"/>
          <w:sz w:val="18"/>
          <w:szCs w:val="18"/>
          <w:lang w:val="es-ES_tradnl"/>
        </w:rPr>
        <w:t>a y Descentralizaci</w:t>
      </w:r>
      <w:r>
        <w:rPr>
          <w:rFonts w:cs="Times New Roman"/>
          <w:spacing w:val="-5"/>
          <w:sz w:val="18"/>
          <w:szCs w:val="18"/>
          <w:lang w:val="es-ES_tradnl"/>
        </w:rPr>
        <w:t>ó</w:t>
      </w:r>
      <w:r>
        <w:rPr>
          <w:spacing w:val="-5"/>
          <w:sz w:val="18"/>
          <w:szCs w:val="18"/>
          <w:lang w:val="es-ES_tradnl"/>
        </w:rPr>
        <w:t xml:space="preserve">n, </w:t>
      </w:r>
      <w:r>
        <w:rPr>
          <w:spacing w:val="-7"/>
          <w:sz w:val="18"/>
          <w:szCs w:val="18"/>
          <w:lang w:val="es-ES_tradnl"/>
        </w:rPr>
        <w:t>adem</w:t>
      </w:r>
      <w:r>
        <w:rPr>
          <w:rFonts w:cs="Times New Roman"/>
          <w:spacing w:val="-7"/>
          <w:sz w:val="18"/>
          <w:szCs w:val="18"/>
          <w:lang w:val="es-ES_tradnl"/>
        </w:rPr>
        <w:t>á</w:t>
      </w:r>
      <w:r>
        <w:rPr>
          <w:spacing w:val="-7"/>
          <w:sz w:val="18"/>
          <w:szCs w:val="18"/>
          <w:lang w:val="es-ES_tradnl"/>
        </w:rPr>
        <w:t xml:space="preserve">s de respetar los principios tributarios generales </w:t>
      </w:r>
      <w:r>
        <w:rPr>
          <w:spacing w:val="-6"/>
          <w:sz w:val="18"/>
          <w:szCs w:val="18"/>
          <w:lang w:val="es-ES_tradnl"/>
        </w:rPr>
        <w:t>establecidos en el art</w:t>
      </w:r>
      <w:r>
        <w:rPr>
          <w:rFonts w:cs="Times New Roman"/>
          <w:spacing w:val="-6"/>
          <w:sz w:val="18"/>
          <w:szCs w:val="18"/>
          <w:lang w:val="es-ES_tradnl"/>
        </w:rPr>
        <w:t>í</w:t>
      </w:r>
      <w:r>
        <w:rPr>
          <w:spacing w:val="-6"/>
          <w:sz w:val="18"/>
          <w:szCs w:val="18"/>
          <w:lang w:val="es-ES_tradnl"/>
        </w:rPr>
        <w:t>culo 300 de la Constituci</w:t>
      </w:r>
      <w:r>
        <w:rPr>
          <w:rFonts w:cs="Times New Roman"/>
          <w:spacing w:val="-6"/>
          <w:sz w:val="18"/>
          <w:szCs w:val="18"/>
          <w:lang w:val="es-ES_tradnl"/>
        </w:rPr>
        <w:t>ó</w:t>
      </w:r>
      <w:r>
        <w:rPr>
          <w:spacing w:val="-6"/>
          <w:sz w:val="18"/>
          <w:szCs w:val="18"/>
          <w:lang w:val="es-ES_tradnl"/>
        </w:rPr>
        <w:t xml:space="preserve">n de la </w:t>
      </w:r>
      <w:r>
        <w:rPr>
          <w:sz w:val="18"/>
          <w:szCs w:val="18"/>
          <w:lang w:val="es-ES_tradnl"/>
        </w:rPr>
        <w:t>Rep</w:t>
      </w:r>
      <w:r>
        <w:rPr>
          <w:rFonts w:cs="Times New Roman"/>
          <w:sz w:val="18"/>
          <w:szCs w:val="18"/>
          <w:lang w:val="es-ES_tradnl"/>
        </w:rPr>
        <w:t>ú</w:t>
      </w:r>
      <w:r>
        <w:rPr>
          <w:sz w:val="18"/>
          <w:szCs w:val="18"/>
          <w:lang w:val="es-ES_tradnl"/>
        </w:rPr>
        <w:t>blica, entre ellos, el de equidad.</w:t>
      </w:r>
    </w:p>
    <w:p w14:paraId="4F67A764" w14:textId="77777777" w:rsidR="00591D54" w:rsidRDefault="00591D54">
      <w:pPr>
        <w:shd w:val="clear" w:color="auto" w:fill="FFFFFF"/>
        <w:spacing w:before="192" w:line="211" w:lineRule="exact"/>
        <w:jc w:val="both"/>
      </w:pPr>
      <w:r>
        <w:rPr>
          <w:sz w:val="18"/>
          <w:szCs w:val="18"/>
          <w:lang w:val="es-ES_tradnl"/>
        </w:rPr>
        <w:t xml:space="preserve">Advierte la accionante que el principio de equidad </w:t>
      </w:r>
      <w:r>
        <w:rPr>
          <w:spacing w:val="-8"/>
          <w:sz w:val="18"/>
          <w:szCs w:val="18"/>
          <w:lang w:val="es-ES_tradnl"/>
        </w:rPr>
        <w:t xml:space="preserve">impone que toda tasa sea fijada con criterios justificados y </w:t>
      </w:r>
      <w:r>
        <w:rPr>
          <w:spacing w:val="-9"/>
          <w:sz w:val="18"/>
          <w:szCs w:val="18"/>
          <w:lang w:val="es-ES_tradnl"/>
        </w:rPr>
        <w:t>razonables, tomando en cuenta el beneficio obtenido por el contribuyente. Se</w:t>
      </w:r>
      <w:r>
        <w:rPr>
          <w:rFonts w:cs="Times New Roman"/>
          <w:spacing w:val="-9"/>
          <w:sz w:val="18"/>
          <w:szCs w:val="18"/>
          <w:lang w:val="es-ES_tradnl"/>
        </w:rPr>
        <w:t>ñ</w:t>
      </w:r>
      <w:r>
        <w:rPr>
          <w:spacing w:val="-9"/>
          <w:sz w:val="18"/>
          <w:szCs w:val="18"/>
          <w:lang w:val="es-ES_tradnl"/>
        </w:rPr>
        <w:t xml:space="preserve">ala que si una tasa es desproporcionada </w:t>
      </w:r>
      <w:r>
        <w:rPr>
          <w:spacing w:val="-4"/>
          <w:sz w:val="18"/>
          <w:szCs w:val="18"/>
          <w:lang w:val="es-ES_tradnl"/>
        </w:rPr>
        <w:t xml:space="preserve">frente al beneficio, rompe el principio de equidad y, por </w:t>
      </w:r>
      <w:r>
        <w:rPr>
          <w:sz w:val="18"/>
          <w:szCs w:val="18"/>
          <w:lang w:val="es-ES_tradnl"/>
        </w:rPr>
        <w:t>tanto, es inconstitucional.</w:t>
      </w:r>
    </w:p>
    <w:p w14:paraId="4F67A765" w14:textId="77777777" w:rsidR="00591D54" w:rsidRDefault="00591D54">
      <w:pPr>
        <w:shd w:val="clear" w:color="auto" w:fill="FFFFFF"/>
        <w:spacing w:before="192" w:line="211" w:lineRule="exact"/>
        <w:jc w:val="both"/>
      </w:pPr>
      <w:r>
        <w:rPr>
          <w:spacing w:val="-8"/>
          <w:sz w:val="18"/>
          <w:szCs w:val="18"/>
          <w:lang w:val="es-ES_tradnl"/>
        </w:rPr>
        <w:t>Agrega que las tasas constantes en el art</w:t>
      </w:r>
      <w:r>
        <w:rPr>
          <w:rFonts w:cs="Times New Roman"/>
          <w:spacing w:val="-8"/>
          <w:sz w:val="18"/>
          <w:szCs w:val="18"/>
          <w:lang w:val="es-ES_tradnl"/>
        </w:rPr>
        <w:t>í</w:t>
      </w:r>
      <w:r>
        <w:rPr>
          <w:spacing w:val="-8"/>
          <w:sz w:val="18"/>
          <w:szCs w:val="18"/>
          <w:lang w:val="es-ES_tradnl"/>
        </w:rPr>
        <w:t xml:space="preserve">culo 18 de la Ordenanza son inconstitucionales, pues transgreden el </w:t>
      </w:r>
      <w:r>
        <w:rPr>
          <w:spacing w:val="-5"/>
          <w:sz w:val="18"/>
          <w:szCs w:val="18"/>
          <w:lang w:val="es-ES_tradnl"/>
        </w:rPr>
        <w:t>principio de equidad establecido en el art</w:t>
      </w:r>
      <w:r>
        <w:rPr>
          <w:rFonts w:cs="Times New Roman"/>
          <w:spacing w:val="-5"/>
          <w:sz w:val="18"/>
          <w:szCs w:val="18"/>
          <w:lang w:val="es-ES_tradnl"/>
        </w:rPr>
        <w:t>í</w:t>
      </w:r>
      <w:r>
        <w:rPr>
          <w:spacing w:val="-5"/>
          <w:sz w:val="18"/>
          <w:szCs w:val="18"/>
          <w:lang w:val="es-ES_tradnl"/>
        </w:rPr>
        <w:t xml:space="preserve">culo 300 de la </w:t>
      </w:r>
      <w:r>
        <w:rPr>
          <w:spacing w:val="-10"/>
          <w:sz w:val="18"/>
          <w:szCs w:val="18"/>
          <w:lang w:val="es-ES_tradnl"/>
        </w:rPr>
        <w:t>Constituci</w:t>
      </w:r>
      <w:r>
        <w:rPr>
          <w:rFonts w:cs="Times New Roman"/>
          <w:spacing w:val="-10"/>
          <w:sz w:val="18"/>
          <w:szCs w:val="18"/>
          <w:lang w:val="es-ES_tradnl"/>
        </w:rPr>
        <w:t>ó</w:t>
      </w:r>
      <w:r>
        <w:rPr>
          <w:spacing w:val="-10"/>
          <w:sz w:val="18"/>
          <w:szCs w:val="18"/>
          <w:lang w:val="es-ES_tradnl"/>
        </w:rPr>
        <w:t xml:space="preserve">n, pues el monto que se pretende cobrar no tiene </w:t>
      </w:r>
      <w:r>
        <w:rPr>
          <w:spacing w:val="-4"/>
          <w:sz w:val="18"/>
          <w:szCs w:val="18"/>
          <w:lang w:val="es-ES_tradnl"/>
        </w:rPr>
        <w:t>ninguna relaci</w:t>
      </w:r>
      <w:r>
        <w:rPr>
          <w:rFonts w:cs="Times New Roman"/>
          <w:spacing w:val="-4"/>
          <w:sz w:val="18"/>
          <w:szCs w:val="18"/>
          <w:lang w:val="es-ES_tradnl"/>
        </w:rPr>
        <w:t>ó</w:t>
      </w:r>
      <w:r>
        <w:rPr>
          <w:spacing w:val="-4"/>
          <w:sz w:val="18"/>
          <w:szCs w:val="18"/>
          <w:lang w:val="es-ES_tradnl"/>
        </w:rPr>
        <w:t>n ni proporci</w:t>
      </w:r>
      <w:r>
        <w:rPr>
          <w:rFonts w:cs="Times New Roman"/>
          <w:spacing w:val="-4"/>
          <w:sz w:val="18"/>
          <w:szCs w:val="18"/>
          <w:lang w:val="es-ES_tradnl"/>
        </w:rPr>
        <w:t>ó</w:t>
      </w:r>
      <w:r>
        <w:rPr>
          <w:spacing w:val="-4"/>
          <w:sz w:val="18"/>
          <w:szCs w:val="18"/>
          <w:lang w:val="es-ES_tradnl"/>
        </w:rPr>
        <w:t xml:space="preserve">n con el beneficio obtenido </w:t>
      </w:r>
      <w:r>
        <w:rPr>
          <w:spacing w:val="-7"/>
          <w:sz w:val="18"/>
          <w:szCs w:val="18"/>
          <w:lang w:val="es-ES_tradnl"/>
        </w:rPr>
        <w:t>por el contribuyente con el uso de los espacios p</w:t>
      </w:r>
      <w:r>
        <w:rPr>
          <w:rFonts w:cs="Times New Roman"/>
          <w:spacing w:val="-7"/>
          <w:sz w:val="18"/>
          <w:szCs w:val="18"/>
          <w:lang w:val="es-ES_tradnl"/>
        </w:rPr>
        <w:t>ú</w:t>
      </w:r>
      <w:r>
        <w:rPr>
          <w:spacing w:val="-7"/>
          <w:sz w:val="18"/>
          <w:szCs w:val="18"/>
          <w:lang w:val="es-ES_tradnl"/>
        </w:rPr>
        <w:t>blicos.</w:t>
      </w:r>
    </w:p>
    <w:p w14:paraId="4F67A766" w14:textId="77777777" w:rsidR="00591D54" w:rsidRDefault="00591D54">
      <w:pPr>
        <w:shd w:val="clear" w:color="auto" w:fill="FFFFFF"/>
        <w:spacing w:before="192" w:line="211" w:lineRule="exact"/>
        <w:jc w:val="both"/>
      </w:pPr>
      <w:r>
        <w:rPr>
          <w:spacing w:val="-6"/>
          <w:sz w:val="18"/>
          <w:szCs w:val="18"/>
          <w:lang w:val="es-ES_tradnl"/>
        </w:rPr>
        <w:t>As</w:t>
      </w:r>
      <w:r>
        <w:rPr>
          <w:rFonts w:cs="Times New Roman"/>
          <w:spacing w:val="-6"/>
          <w:sz w:val="18"/>
          <w:szCs w:val="18"/>
          <w:lang w:val="es-ES_tradnl"/>
        </w:rPr>
        <w:t>í</w:t>
      </w:r>
      <w:r>
        <w:rPr>
          <w:spacing w:val="-6"/>
          <w:sz w:val="18"/>
          <w:szCs w:val="18"/>
          <w:lang w:val="es-ES_tradnl"/>
        </w:rPr>
        <w:t xml:space="preserve"> tambi</w:t>
      </w:r>
      <w:r>
        <w:rPr>
          <w:rFonts w:cs="Times New Roman"/>
          <w:spacing w:val="-6"/>
          <w:sz w:val="18"/>
          <w:szCs w:val="18"/>
          <w:lang w:val="es-ES_tradnl"/>
        </w:rPr>
        <w:t>é</w:t>
      </w:r>
      <w:r>
        <w:rPr>
          <w:spacing w:val="-6"/>
          <w:sz w:val="18"/>
          <w:szCs w:val="18"/>
          <w:lang w:val="es-ES_tradnl"/>
        </w:rPr>
        <w:t xml:space="preserve">n, la accionante hace referencia a un estudio </w:t>
      </w:r>
      <w:r>
        <w:rPr>
          <w:spacing w:val="-3"/>
          <w:sz w:val="18"/>
          <w:szCs w:val="18"/>
          <w:lang w:val="es-ES_tradnl"/>
        </w:rPr>
        <w:t>presentado por la Escuela Polit</w:t>
      </w:r>
      <w:r>
        <w:rPr>
          <w:rFonts w:cs="Times New Roman"/>
          <w:spacing w:val="-3"/>
          <w:sz w:val="18"/>
          <w:szCs w:val="18"/>
          <w:lang w:val="es-ES_tradnl"/>
        </w:rPr>
        <w:t>é</w:t>
      </w:r>
      <w:r>
        <w:rPr>
          <w:spacing w:val="-3"/>
          <w:sz w:val="18"/>
          <w:szCs w:val="18"/>
          <w:lang w:val="es-ES_tradnl"/>
        </w:rPr>
        <w:t xml:space="preserve">cnica del Litoral, en la </w:t>
      </w:r>
      <w:r>
        <w:rPr>
          <w:spacing w:val="-8"/>
          <w:sz w:val="18"/>
          <w:szCs w:val="18"/>
          <w:lang w:val="es-ES_tradnl"/>
        </w:rPr>
        <w:t>cual se</w:t>
      </w:r>
      <w:r>
        <w:rPr>
          <w:rFonts w:cs="Times New Roman"/>
          <w:spacing w:val="-8"/>
          <w:sz w:val="18"/>
          <w:szCs w:val="18"/>
          <w:lang w:val="es-ES_tradnl"/>
        </w:rPr>
        <w:t>ñ</w:t>
      </w:r>
      <w:r>
        <w:rPr>
          <w:spacing w:val="-8"/>
          <w:sz w:val="18"/>
          <w:szCs w:val="18"/>
          <w:lang w:val="es-ES_tradnl"/>
        </w:rPr>
        <w:t xml:space="preserve">ala que varios gobiernos municipales cobran a las </w:t>
      </w:r>
      <w:r>
        <w:rPr>
          <w:spacing w:val="-10"/>
          <w:sz w:val="18"/>
          <w:szCs w:val="18"/>
          <w:lang w:val="es-ES_tradnl"/>
        </w:rPr>
        <w:t xml:space="preserve">empresas usuarias por cada abonado valores que superan </w:t>
      </w:r>
      <w:r>
        <w:rPr>
          <w:spacing w:val="-9"/>
          <w:sz w:val="18"/>
          <w:szCs w:val="18"/>
          <w:lang w:val="es-ES_tradnl"/>
        </w:rPr>
        <w:t>decenas de veces la utilidad anual por abonado.</w:t>
      </w:r>
    </w:p>
    <w:p w14:paraId="4F67A767" w14:textId="77777777" w:rsidR="00591D54" w:rsidRDefault="00591D54">
      <w:pPr>
        <w:shd w:val="clear" w:color="auto" w:fill="FFFFFF"/>
        <w:spacing w:before="192" w:line="211" w:lineRule="exact"/>
        <w:jc w:val="both"/>
      </w:pPr>
      <w:r>
        <w:rPr>
          <w:spacing w:val="-7"/>
          <w:sz w:val="18"/>
          <w:szCs w:val="18"/>
          <w:lang w:val="es-ES_tradnl"/>
        </w:rPr>
        <w:t xml:space="preserve">Menciona que para ahondar en lo desproporcionado de la </w:t>
      </w:r>
      <w:r>
        <w:rPr>
          <w:spacing w:val="-10"/>
          <w:sz w:val="18"/>
          <w:szCs w:val="18"/>
          <w:lang w:val="es-ES_tradnl"/>
        </w:rPr>
        <w:t>fijaci</w:t>
      </w:r>
      <w:r>
        <w:rPr>
          <w:rFonts w:cs="Times New Roman"/>
          <w:spacing w:val="-10"/>
          <w:sz w:val="18"/>
          <w:szCs w:val="18"/>
          <w:lang w:val="es-ES_tradnl"/>
        </w:rPr>
        <w:t>ó</w:t>
      </w:r>
      <w:r>
        <w:rPr>
          <w:spacing w:val="-10"/>
          <w:sz w:val="18"/>
          <w:szCs w:val="18"/>
          <w:lang w:val="es-ES_tradnl"/>
        </w:rPr>
        <w:t xml:space="preserve">n de estas tasas, basta compararlas con las fijadas en </w:t>
      </w:r>
      <w:r>
        <w:rPr>
          <w:spacing w:val="-8"/>
          <w:sz w:val="18"/>
          <w:szCs w:val="18"/>
          <w:lang w:val="es-ES_tradnl"/>
        </w:rPr>
        <w:t xml:space="preserve">la ciudad de Quito, donde el aprovechamiento del espacio </w:t>
      </w:r>
      <w:r>
        <w:rPr>
          <w:spacing w:val="-9"/>
          <w:sz w:val="18"/>
          <w:szCs w:val="18"/>
          <w:lang w:val="es-ES_tradnl"/>
        </w:rPr>
        <w:t>p</w:t>
      </w:r>
      <w:r>
        <w:rPr>
          <w:rFonts w:cs="Times New Roman"/>
          <w:spacing w:val="-9"/>
          <w:sz w:val="18"/>
          <w:szCs w:val="18"/>
          <w:lang w:val="es-ES_tradnl"/>
        </w:rPr>
        <w:t>ú</w:t>
      </w:r>
      <w:r>
        <w:rPr>
          <w:spacing w:val="-9"/>
          <w:sz w:val="18"/>
          <w:szCs w:val="18"/>
          <w:lang w:val="es-ES_tradnl"/>
        </w:rPr>
        <w:t xml:space="preserve">blico es sumamente inferior al constante en la ordenanza </w:t>
      </w:r>
      <w:r>
        <w:rPr>
          <w:sz w:val="18"/>
          <w:szCs w:val="18"/>
          <w:lang w:val="es-ES_tradnl"/>
        </w:rPr>
        <w:t>impugnada.</w:t>
      </w:r>
    </w:p>
    <w:p w14:paraId="4F67A768" w14:textId="77777777" w:rsidR="00591D54" w:rsidRDefault="00591D54">
      <w:pPr>
        <w:shd w:val="clear" w:color="auto" w:fill="FFFFFF"/>
        <w:spacing w:before="187" w:line="211" w:lineRule="exact"/>
        <w:jc w:val="both"/>
      </w:pPr>
      <w:r>
        <w:rPr>
          <w:spacing w:val="-6"/>
          <w:sz w:val="18"/>
          <w:szCs w:val="18"/>
          <w:lang w:val="es-ES_tradnl"/>
        </w:rPr>
        <w:t xml:space="preserve">Concluye que las tasas fijadas en la Ordenanza no solo </w:t>
      </w:r>
      <w:r>
        <w:rPr>
          <w:spacing w:val="-8"/>
          <w:sz w:val="18"/>
          <w:szCs w:val="18"/>
          <w:lang w:val="es-ES_tradnl"/>
        </w:rPr>
        <w:t>son desproporcionadas, sino que, como se</w:t>
      </w:r>
      <w:r>
        <w:rPr>
          <w:rFonts w:cs="Times New Roman"/>
          <w:spacing w:val="-8"/>
          <w:sz w:val="18"/>
          <w:szCs w:val="18"/>
          <w:lang w:val="es-ES_tradnl"/>
        </w:rPr>
        <w:t>ñ</w:t>
      </w:r>
      <w:r>
        <w:rPr>
          <w:spacing w:val="-8"/>
          <w:sz w:val="18"/>
          <w:szCs w:val="18"/>
          <w:lang w:val="es-ES_tradnl"/>
        </w:rPr>
        <w:t xml:space="preserve">ala el estudio </w:t>
      </w:r>
      <w:r>
        <w:rPr>
          <w:spacing w:val="-9"/>
          <w:sz w:val="18"/>
          <w:szCs w:val="18"/>
          <w:lang w:val="es-ES_tradnl"/>
        </w:rPr>
        <w:t>antes indicado, representa cincuenta veces la utilidad de los operadores; por ello, de continuar en su vigencia colapsar</w:t>
      </w:r>
      <w:r>
        <w:rPr>
          <w:rFonts w:cs="Times New Roman"/>
          <w:spacing w:val="-9"/>
          <w:sz w:val="18"/>
          <w:szCs w:val="18"/>
          <w:lang w:val="es-ES_tradnl"/>
        </w:rPr>
        <w:t>í</w:t>
      </w:r>
      <w:r>
        <w:rPr>
          <w:spacing w:val="-9"/>
          <w:sz w:val="18"/>
          <w:szCs w:val="18"/>
          <w:lang w:val="es-ES_tradnl"/>
        </w:rPr>
        <w:t xml:space="preserve">a </w:t>
      </w:r>
      <w:r>
        <w:rPr>
          <w:spacing w:val="-6"/>
          <w:sz w:val="18"/>
          <w:szCs w:val="18"/>
          <w:lang w:val="es-ES_tradnl"/>
        </w:rPr>
        <w:t>la industria privada de telecomunicaciones, y lo har</w:t>
      </w:r>
      <w:r>
        <w:rPr>
          <w:rFonts w:cs="Times New Roman"/>
          <w:spacing w:val="-6"/>
          <w:sz w:val="18"/>
          <w:szCs w:val="18"/>
          <w:lang w:val="es-ES_tradnl"/>
        </w:rPr>
        <w:t>í</w:t>
      </w:r>
      <w:r>
        <w:rPr>
          <w:spacing w:val="-6"/>
          <w:sz w:val="18"/>
          <w:szCs w:val="18"/>
          <w:lang w:val="es-ES_tradnl"/>
        </w:rPr>
        <w:t xml:space="preserve">a en </w:t>
      </w:r>
      <w:r>
        <w:rPr>
          <w:spacing w:val="-4"/>
          <w:sz w:val="18"/>
          <w:szCs w:val="18"/>
          <w:lang w:val="es-ES_tradnl"/>
        </w:rPr>
        <w:t>claro desmedro de la finalidad de la pol</w:t>
      </w:r>
      <w:r>
        <w:rPr>
          <w:rFonts w:cs="Times New Roman"/>
          <w:spacing w:val="-4"/>
          <w:sz w:val="18"/>
          <w:szCs w:val="18"/>
          <w:lang w:val="es-ES_tradnl"/>
        </w:rPr>
        <w:t>í</w:t>
      </w:r>
      <w:r>
        <w:rPr>
          <w:spacing w:val="-4"/>
          <w:sz w:val="18"/>
          <w:szCs w:val="18"/>
          <w:lang w:val="es-ES_tradnl"/>
        </w:rPr>
        <w:t xml:space="preserve">tica tributaria </w:t>
      </w:r>
      <w:r>
        <w:rPr>
          <w:spacing w:val="-5"/>
          <w:sz w:val="18"/>
          <w:szCs w:val="18"/>
          <w:lang w:val="es-ES_tradnl"/>
        </w:rPr>
        <w:t>establecida en el art</w:t>
      </w:r>
      <w:r>
        <w:rPr>
          <w:rFonts w:cs="Times New Roman"/>
          <w:spacing w:val="-5"/>
          <w:sz w:val="18"/>
          <w:szCs w:val="18"/>
          <w:lang w:val="es-ES_tradnl"/>
        </w:rPr>
        <w:t>í</w:t>
      </w:r>
      <w:r>
        <w:rPr>
          <w:spacing w:val="-5"/>
          <w:sz w:val="18"/>
          <w:szCs w:val="18"/>
          <w:lang w:val="es-ES_tradnl"/>
        </w:rPr>
        <w:t>culo 300 de la Constituci</w:t>
      </w:r>
      <w:r>
        <w:rPr>
          <w:rFonts w:cs="Times New Roman"/>
          <w:spacing w:val="-5"/>
          <w:sz w:val="18"/>
          <w:szCs w:val="18"/>
          <w:lang w:val="es-ES_tradnl"/>
        </w:rPr>
        <w:t>ó</w:t>
      </w:r>
      <w:r>
        <w:rPr>
          <w:spacing w:val="-5"/>
          <w:sz w:val="18"/>
          <w:szCs w:val="18"/>
          <w:lang w:val="es-ES_tradnl"/>
        </w:rPr>
        <w:t xml:space="preserve">n de la </w:t>
      </w:r>
      <w:r>
        <w:rPr>
          <w:sz w:val="18"/>
          <w:szCs w:val="18"/>
          <w:lang w:val="es-ES_tradnl"/>
        </w:rPr>
        <w:t>Rep</w:t>
      </w:r>
      <w:r>
        <w:rPr>
          <w:rFonts w:cs="Times New Roman"/>
          <w:sz w:val="18"/>
          <w:szCs w:val="18"/>
          <w:lang w:val="es-ES_tradnl"/>
        </w:rPr>
        <w:t>ú</w:t>
      </w:r>
      <w:r>
        <w:rPr>
          <w:sz w:val="18"/>
          <w:szCs w:val="18"/>
          <w:lang w:val="es-ES_tradnl"/>
        </w:rPr>
        <w:t>blica.</w:t>
      </w:r>
    </w:p>
    <w:p w14:paraId="4F67A769" w14:textId="77777777" w:rsidR="00591D54" w:rsidRDefault="00591D54">
      <w:pPr>
        <w:shd w:val="clear" w:color="auto" w:fill="FFFFFF"/>
        <w:tabs>
          <w:tab w:val="left" w:pos="1478"/>
          <w:tab w:val="left" w:pos="3154"/>
        </w:tabs>
        <w:spacing w:before="187"/>
      </w:pPr>
      <w:r>
        <w:rPr>
          <w:b/>
          <w:bCs/>
          <w:spacing w:val="-15"/>
          <w:sz w:val="18"/>
          <w:szCs w:val="18"/>
          <w:lang w:val="es-ES_tradnl"/>
        </w:rPr>
        <w:t>Disposiciones</w:t>
      </w:r>
      <w:r>
        <w:rPr>
          <w:b/>
          <w:bCs/>
          <w:sz w:val="18"/>
          <w:szCs w:val="18"/>
          <w:lang w:val="es-ES_tradnl"/>
        </w:rPr>
        <w:tab/>
      </w:r>
      <w:r>
        <w:rPr>
          <w:b/>
          <w:bCs/>
          <w:spacing w:val="-13"/>
          <w:sz w:val="18"/>
          <w:szCs w:val="18"/>
          <w:lang w:val="es-ES_tradnl"/>
        </w:rPr>
        <w:t>constitucionales</w:t>
      </w:r>
      <w:r>
        <w:rPr>
          <w:b/>
          <w:bCs/>
          <w:sz w:val="18"/>
          <w:szCs w:val="18"/>
          <w:lang w:val="es-ES_tradnl"/>
        </w:rPr>
        <w:tab/>
      </w:r>
      <w:r>
        <w:rPr>
          <w:b/>
          <w:bCs/>
          <w:spacing w:val="-12"/>
          <w:sz w:val="18"/>
          <w:szCs w:val="18"/>
          <w:lang w:val="es-ES_tradnl"/>
        </w:rPr>
        <w:t>presuntamente</w:t>
      </w:r>
    </w:p>
    <w:p w14:paraId="4F67A76A" w14:textId="77777777" w:rsidR="00591D54" w:rsidRDefault="00591D54">
      <w:pPr>
        <w:shd w:val="clear" w:color="auto" w:fill="FFFFFF"/>
      </w:pPr>
      <w:r>
        <w:rPr>
          <w:b/>
          <w:bCs/>
          <w:spacing w:val="-7"/>
          <w:sz w:val="18"/>
          <w:szCs w:val="18"/>
          <w:lang w:val="es-ES_tradnl"/>
        </w:rPr>
        <w:t>infringidas</w:t>
      </w:r>
    </w:p>
    <w:p w14:paraId="4F67A76B" w14:textId="77777777" w:rsidR="00591D54" w:rsidRDefault="00591D54">
      <w:pPr>
        <w:shd w:val="clear" w:color="auto" w:fill="FFFFFF"/>
        <w:spacing w:before="192" w:line="211" w:lineRule="exact"/>
        <w:jc w:val="both"/>
      </w:pPr>
      <w:r>
        <w:rPr>
          <w:spacing w:val="-8"/>
          <w:sz w:val="18"/>
          <w:szCs w:val="18"/>
          <w:lang w:val="es-ES_tradnl"/>
        </w:rPr>
        <w:t xml:space="preserve">La accionante alega que la norma constitucional vulnerada </w:t>
      </w:r>
      <w:r>
        <w:rPr>
          <w:spacing w:val="-7"/>
          <w:sz w:val="18"/>
          <w:szCs w:val="18"/>
          <w:lang w:val="es-ES_tradnl"/>
        </w:rPr>
        <w:t>es la establecida en el art</w:t>
      </w:r>
      <w:r>
        <w:rPr>
          <w:rFonts w:cs="Times New Roman"/>
          <w:spacing w:val="-7"/>
          <w:sz w:val="18"/>
          <w:szCs w:val="18"/>
          <w:lang w:val="es-ES_tradnl"/>
        </w:rPr>
        <w:t>í</w:t>
      </w:r>
      <w:r>
        <w:rPr>
          <w:spacing w:val="-7"/>
          <w:sz w:val="18"/>
          <w:szCs w:val="18"/>
          <w:lang w:val="es-ES_tradnl"/>
        </w:rPr>
        <w:t>culo 300 de la Constituci</w:t>
      </w:r>
      <w:r>
        <w:rPr>
          <w:rFonts w:cs="Times New Roman"/>
          <w:spacing w:val="-7"/>
          <w:sz w:val="18"/>
          <w:szCs w:val="18"/>
          <w:lang w:val="es-ES_tradnl"/>
        </w:rPr>
        <w:t>ó</w:t>
      </w:r>
      <w:r>
        <w:rPr>
          <w:spacing w:val="-7"/>
          <w:sz w:val="18"/>
          <w:szCs w:val="18"/>
          <w:lang w:val="es-ES_tradnl"/>
        </w:rPr>
        <w:t xml:space="preserve">n de la </w:t>
      </w:r>
      <w:r>
        <w:rPr>
          <w:sz w:val="18"/>
          <w:szCs w:val="18"/>
          <w:lang w:val="es-ES_tradnl"/>
        </w:rPr>
        <w:t>Rep</w:t>
      </w:r>
      <w:r>
        <w:rPr>
          <w:rFonts w:cs="Times New Roman"/>
          <w:sz w:val="18"/>
          <w:szCs w:val="18"/>
          <w:lang w:val="es-ES_tradnl"/>
        </w:rPr>
        <w:t>ú</w:t>
      </w:r>
      <w:r>
        <w:rPr>
          <w:sz w:val="18"/>
          <w:szCs w:val="18"/>
          <w:lang w:val="es-ES_tradnl"/>
        </w:rPr>
        <w:t>blica.</w:t>
      </w:r>
    </w:p>
    <w:p w14:paraId="4F67A76C" w14:textId="77777777" w:rsidR="00591D54" w:rsidRDefault="00591D54">
      <w:pPr>
        <w:shd w:val="clear" w:color="auto" w:fill="FFFFFF"/>
        <w:spacing w:before="192" w:line="211" w:lineRule="exact"/>
        <w:jc w:val="both"/>
        <w:sectPr w:rsidR="00591D54">
          <w:type w:val="continuous"/>
          <w:pgSz w:w="11909" w:h="16834"/>
          <w:pgMar w:top="1368" w:right="1309" w:bottom="360" w:left="1308" w:header="720" w:footer="720" w:gutter="0"/>
          <w:cols w:num="2" w:space="720" w:equalWidth="0">
            <w:col w:w="4305" w:space="682"/>
            <w:col w:w="4305"/>
          </w:cols>
          <w:noEndnote/>
        </w:sectPr>
      </w:pPr>
    </w:p>
    <w:p w14:paraId="4F67A76D" w14:textId="77777777" w:rsidR="00591D54" w:rsidRDefault="00591D54">
      <w:pPr>
        <w:shd w:val="clear" w:color="auto" w:fill="FFFFFF"/>
        <w:tabs>
          <w:tab w:val="left" w:pos="5952"/>
        </w:tabs>
        <w:spacing w:after="226"/>
        <w:ind w:left="14"/>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- 51</w:t>
      </w:r>
    </w:p>
    <w:p w14:paraId="4F67A76E" w14:textId="77777777" w:rsidR="00591D54" w:rsidRDefault="00591D54">
      <w:pPr>
        <w:shd w:val="clear" w:color="auto" w:fill="FFFFFF"/>
        <w:tabs>
          <w:tab w:val="left" w:pos="5952"/>
        </w:tabs>
        <w:spacing w:after="226"/>
        <w:ind w:left="14"/>
        <w:sectPr w:rsidR="00591D54">
          <w:pgSz w:w="11909" w:h="16834"/>
          <w:pgMar w:top="1371" w:right="1309" w:bottom="360" w:left="1308" w:header="720" w:footer="720" w:gutter="0"/>
          <w:cols w:space="60"/>
          <w:noEndnote/>
        </w:sectPr>
      </w:pPr>
    </w:p>
    <w:p w14:paraId="4F67A76F" w14:textId="77777777" w:rsidR="00591D54" w:rsidRDefault="00591D54">
      <w:pPr>
        <w:shd w:val="clear" w:color="auto" w:fill="FFFFFF"/>
      </w:pPr>
      <w:r>
        <w:rPr>
          <w:b/>
          <w:bCs/>
          <w:spacing w:val="-11"/>
          <w:sz w:val="18"/>
          <w:szCs w:val="18"/>
          <w:lang w:val="es-ES_tradnl"/>
        </w:rPr>
        <w:t>Pretensi</w:t>
      </w:r>
      <w:r>
        <w:rPr>
          <w:rFonts w:cs="Times New Roman"/>
          <w:b/>
          <w:bCs/>
          <w:spacing w:val="-11"/>
          <w:sz w:val="18"/>
          <w:szCs w:val="18"/>
          <w:lang w:val="es-ES_tradnl"/>
        </w:rPr>
        <w:t>ó</w:t>
      </w:r>
      <w:r>
        <w:rPr>
          <w:b/>
          <w:bCs/>
          <w:spacing w:val="-11"/>
          <w:sz w:val="18"/>
          <w:szCs w:val="18"/>
          <w:lang w:val="es-ES_tradnl"/>
        </w:rPr>
        <w:t>n</w:t>
      </w:r>
    </w:p>
    <w:p w14:paraId="4F67A770" w14:textId="77777777" w:rsidR="00591D54" w:rsidRDefault="00591D54">
      <w:pPr>
        <w:shd w:val="clear" w:color="auto" w:fill="FFFFFF"/>
        <w:spacing w:before="197"/>
      </w:pPr>
      <w:r>
        <w:rPr>
          <w:spacing w:val="-6"/>
          <w:sz w:val="18"/>
          <w:szCs w:val="18"/>
          <w:lang w:val="es-ES_tradnl"/>
        </w:rPr>
        <w:t>La accionante textualmente solicita:</w:t>
      </w:r>
    </w:p>
    <w:p w14:paraId="4F67A771" w14:textId="77777777" w:rsidR="00591D54" w:rsidRDefault="00591D54">
      <w:pPr>
        <w:shd w:val="clear" w:color="auto" w:fill="FFFFFF"/>
        <w:spacing w:before="206" w:line="216" w:lineRule="exact"/>
        <w:ind w:left="283" w:right="5"/>
        <w:jc w:val="both"/>
      </w:pPr>
      <w:r>
        <w:rPr>
          <w:spacing w:val="-5"/>
          <w:sz w:val="16"/>
          <w:szCs w:val="16"/>
          <w:lang w:val="es-ES_tradnl"/>
        </w:rPr>
        <w:t>[</w:t>
      </w:r>
      <w:r>
        <w:rPr>
          <w:rFonts w:cs="Times New Roman"/>
          <w:spacing w:val="-5"/>
          <w:sz w:val="16"/>
          <w:szCs w:val="16"/>
          <w:lang w:val="es-ES_tradnl"/>
        </w:rPr>
        <w:t>…</w:t>
      </w:r>
      <w:r>
        <w:rPr>
          <w:spacing w:val="-5"/>
          <w:sz w:val="16"/>
          <w:szCs w:val="16"/>
          <w:lang w:val="es-ES_tradnl"/>
        </w:rPr>
        <w:t xml:space="preserve">] que se declare la inconstitucionalidad de las siguientes </w:t>
      </w:r>
      <w:r>
        <w:rPr>
          <w:spacing w:val="-2"/>
          <w:sz w:val="16"/>
          <w:szCs w:val="16"/>
          <w:lang w:val="es-ES_tradnl"/>
        </w:rPr>
        <w:t>tasas por quebrantar el principio de equidad tributaria establecido en el art</w:t>
      </w:r>
      <w:r>
        <w:rPr>
          <w:rFonts w:cs="Times New Roman"/>
          <w:spacing w:val="-2"/>
          <w:sz w:val="16"/>
          <w:szCs w:val="16"/>
          <w:lang w:val="es-ES_tradnl"/>
        </w:rPr>
        <w:t>í</w:t>
      </w:r>
      <w:r>
        <w:rPr>
          <w:spacing w:val="-2"/>
          <w:sz w:val="16"/>
          <w:szCs w:val="16"/>
          <w:lang w:val="es-ES_tradnl"/>
        </w:rPr>
        <w:t>culo 300 de la Constituci</w:t>
      </w:r>
      <w:r>
        <w:rPr>
          <w:rFonts w:cs="Times New Roman"/>
          <w:spacing w:val="-2"/>
          <w:sz w:val="16"/>
          <w:szCs w:val="16"/>
          <w:lang w:val="es-ES_tradnl"/>
        </w:rPr>
        <w:t>ó</w:t>
      </w:r>
      <w:r>
        <w:rPr>
          <w:spacing w:val="-2"/>
          <w:sz w:val="16"/>
          <w:szCs w:val="16"/>
          <w:lang w:val="es-ES_tradnl"/>
        </w:rPr>
        <w:t xml:space="preserve">n de la </w:t>
      </w:r>
      <w:r>
        <w:rPr>
          <w:sz w:val="16"/>
          <w:szCs w:val="16"/>
          <w:lang w:val="es-ES_tradnl"/>
        </w:rPr>
        <w:t>Rep</w:t>
      </w:r>
      <w:r>
        <w:rPr>
          <w:rFonts w:cs="Times New Roman"/>
          <w:sz w:val="16"/>
          <w:szCs w:val="16"/>
          <w:lang w:val="es-ES_tradnl"/>
        </w:rPr>
        <w:t>ú</w:t>
      </w:r>
      <w:r>
        <w:rPr>
          <w:sz w:val="16"/>
          <w:szCs w:val="16"/>
          <w:lang w:val="es-ES_tradnl"/>
        </w:rPr>
        <w:t>blica:</w:t>
      </w:r>
    </w:p>
    <w:p w14:paraId="4F67A772" w14:textId="77777777" w:rsidR="00591D54" w:rsidRDefault="00591D54" w:rsidP="00251195">
      <w:pPr>
        <w:numPr>
          <w:ilvl w:val="0"/>
          <w:numId w:val="35"/>
        </w:numPr>
        <w:shd w:val="clear" w:color="auto" w:fill="FFFFFF"/>
        <w:tabs>
          <w:tab w:val="left" w:pos="451"/>
        </w:tabs>
        <w:spacing w:before="211" w:line="216" w:lineRule="exact"/>
        <w:ind w:left="283" w:right="10"/>
        <w:jc w:val="both"/>
        <w:rPr>
          <w:spacing w:val="-10"/>
          <w:sz w:val="16"/>
          <w:szCs w:val="16"/>
          <w:lang w:val="es-ES_tradnl"/>
        </w:rPr>
      </w:pPr>
      <w:r>
        <w:rPr>
          <w:spacing w:val="-6"/>
          <w:sz w:val="16"/>
          <w:szCs w:val="16"/>
          <w:lang w:val="es-ES_tradnl"/>
        </w:rPr>
        <w:t>La</w:t>
      </w:r>
      <w:r>
        <w:rPr>
          <w:spacing w:val="-6"/>
          <w:sz w:val="18"/>
          <w:szCs w:val="18"/>
          <w:lang w:val="es-ES_tradnl"/>
        </w:rPr>
        <w:t xml:space="preserve"> </w:t>
      </w:r>
      <w:r>
        <w:rPr>
          <w:rFonts w:cs="Times New Roman"/>
          <w:spacing w:val="-6"/>
          <w:sz w:val="16"/>
          <w:szCs w:val="16"/>
          <w:lang w:val="es-ES_tradnl"/>
        </w:rPr>
        <w:t>‘…</w:t>
      </w:r>
      <w:r>
        <w:rPr>
          <w:spacing w:val="-6"/>
          <w:sz w:val="18"/>
          <w:szCs w:val="18"/>
          <w:lang w:val="es-ES_tradnl"/>
        </w:rPr>
        <w:t xml:space="preserve"> </w:t>
      </w:r>
      <w:r>
        <w:rPr>
          <w:spacing w:val="-6"/>
          <w:sz w:val="16"/>
          <w:szCs w:val="16"/>
          <w:lang w:val="es-ES_tradnl"/>
        </w:rPr>
        <w:t>tasa</w:t>
      </w:r>
      <w:r>
        <w:rPr>
          <w:spacing w:val="-6"/>
          <w:sz w:val="18"/>
          <w:szCs w:val="18"/>
          <w:lang w:val="es-ES_tradnl"/>
        </w:rPr>
        <w:t xml:space="preserve"> </w:t>
      </w:r>
      <w:r>
        <w:rPr>
          <w:spacing w:val="-6"/>
          <w:sz w:val="16"/>
          <w:szCs w:val="16"/>
          <w:lang w:val="es-ES_tradnl"/>
        </w:rPr>
        <w:t>diaria</w:t>
      </w:r>
      <w:r>
        <w:rPr>
          <w:spacing w:val="-6"/>
          <w:sz w:val="18"/>
          <w:szCs w:val="18"/>
          <w:lang w:val="es-ES_tradnl"/>
        </w:rPr>
        <w:t xml:space="preserve"> </w:t>
      </w:r>
      <w:r>
        <w:rPr>
          <w:spacing w:val="-6"/>
          <w:sz w:val="16"/>
          <w:szCs w:val="16"/>
          <w:lang w:val="es-ES_tradnl"/>
        </w:rPr>
        <w:t>y</w:t>
      </w:r>
      <w:r>
        <w:rPr>
          <w:spacing w:val="-6"/>
          <w:sz w:val="18"/>
          <w:szCs w:val="18"/>
          <w:lang w:val="es-ES_tradnl"/>
        </w:rPr>
        <w:t xml:space="preserve"> </w:t>
      </w:r>
      <w:r>
        <w:rPr>
          <w:spacing w:val="-6"/>
          <w:sz w:val="16"/>
          <w:szCs w:val="16"/>
          <w:lang w:val="es-ES_tradnl"/>
        </w:rPr>
        <w:t>permanente</w:t>
      </w:r>
      <w:r>
        <w:rPr>
          <w:spacing w:val="-6"/>
          <w:sz w:val="18"/>
          <w:szCs w:val="18"/>
          <w:lang w:val="es-ES_tradnl"/>
        </w:rPr>
        <w:t xml:space="preserve"> </w:t>
      </w:r>
      <w:r>
        <w:rPr>
          <w:spacing w:val="-6"/>
          <w:sz w:val="16"/>
          <w:szCs w:val="16"/>
          <w:lang w:val="es-ES_tradnl"/>
        </w:rPr>
        <w:t>de</w:t>
      </w:r>
      <w:r>
        <w:rPr>
          <w:spacing w:val="-6"/>
          <w:sz w:val="18"/>
          <w:szCs w:val="18"/>
          <w:lang w:val="es-ES_tradnl"/>
        </w:rPr>
        <w:t xml:space="preserve"> </w:t>
      </w:r>
      <w:r>
        <w:rPr>
          <w:spacing w:val="-6"/>
          <w:sz w:val="16"/>
          <w:szCs w:val="16"/>
          <w:lang w:val="es-ES_tradnl"/>
        </w:rPr>
        <w:t>un</w:t>
      </w:r>
      <w:r>
        <w:rPr>
          <w:spacing w:val="-6"/>
          <w:sz w:val="18"/>
          <w:szCs w:val="18"/>
          <w:lang w:val="es-ES_tradnl"/>
        </w:rPr>
        <w:t xml:space="preserve"> </w:t>
      </w:r>
      <w:r>
        <w:rPr>
          <w:spacing w:val="-6"/>
          <w:sz w:val="16"/>
          <w:szCs w:val="16"/>
          <w:lang w:val="es-ES_tradnl"/>
        </w:rPr>
        <w:t>centavo</w:t>
      </w:r>
      <w:r>
        <w:rPr>
          <w:spacing w:val="-6"/>
          <w:sz w:val="18"/>
          <w:szCs w:val="18"/>
          <w:lang w:val="es-ES_tradnl"/>
        </w:rPr>
        <w:t xml:space="preserve"> </w:t>
      </w:r>
      <w:r>
        <w:rPr>
          <w:spacing w:val="-6"/>
          <w:sz w:val="16"/>
          <w:szCs w:val="16"/>
          <w:lang w:val="es-ES_tradnl"/>
        </w:rPr>
        <w:t>de</w:t>
      </w:r>
      <w:r>
        <w:rPr>
          <w:spacing w:val="-6"/>
          <w:sz w:val="18"/>
          <w:szCs w:val="18"/>
          <w:lang w:val="es-ES_tradnl"/>
        </w:rPr>
        <w:t xml:space="preserve"> </w:t>
      </w:r>
      <w:r>
        <w:rPr>
          <w:spacing w:val="-6"/>
          <w:sz w:val="16"/>
          <w:szCs w:val="16"/>
          <w:lang w:val="es-ES_tradnl"/>
        </w:rPr>
        <w:t>d</w:t>
      </w:r>
      <w:r>
        <w:rPr>
          <w:rFonts w:cs="Times New Roman"/>
          <w:spacing w:val="-6"/>
          <w:sz w:val="16"/>
          <w:szCs w:val="16"/>
          <w:lang w:val="es-ES_tradnl"/>
        </w:rPr>
        <w:t>ó</w:t>
      </w:r>
      <w:r>
        <w:rPr>
          <w:spacing w:val="-6"/>
          <w:sz w:val="16"/>
          <w:szCs w:val="16"/>
          <w:lang w:val="es-ES_tradnl"/>
        </w:rPr>
        <w:t>lar</w:t>
      </w:r>
      <w:r>
        <w:rPr>
          <w:spacing w:val="-6"/>
          <w:sz w:val="18"/>
          <w:szCs w:val="18"/>
          <w:lang w:val="es-ES_tradnl"/>
        </w:rPr>
        <w:t xml:space="preserve"> </w:t>
      </w:r>
      <w:r>
        <w:rPr>
          <w:spacing w:val="-6"/>
          <w:sz w:val="16"/>
          <w:szCs w:val="16"/>
          <w:lang w:val="es-ES_tradnl"/>
        </w:rPr>
        <w:t xml:space="preserve">de </w:t>
      </w:r>
      <w:r>
        <w:rPr>
          <w:spacing w:val="-7"/>
          <w:sz w:val="16"/>
          <w:szCs w:val="16"/>
          <w:lang w:val="es-ES_tradnl"/>
        </w:rPr>
        <w:t>los Estados Unidos de Norteam</w:t>
      </w:r>
      <w:r>
        <w:rPr>
          <w:rFonts w:cs="Times New Roman"/>
          <w:spacing w:val="-7"/>
          <w:sz w:val="16"/>
          <w:szCs w:val="16"/>
          <w:lang w:val="es-ES_tradnl"/>
        </w:rPr>
        <w:t>é</w:t>
      </w:r>
      <w:r>
        <w:rPr>
          <w:spacing w:val="-7"/>
          <w:sz w:val="16"/>
          <w:szCs w:val="16"/>
          <w:lang w:val="es-ES_tradnl"/>
        </w:rPr>
        <w:t xml:space="preserve">rica por cada metro lineal de </w:t>
      </w:r>
      <w:r>
        <w:rPr>
          <w:spacing w:val="-6"/>
          <w:sz w:val="16"/>
          <w:szCs w:val="16"/>
          <w:lang w:val="es-ES_tradnl"/>
        </w:rPr>
        <w:t>cable tendido</w:t>
      </w:r>
      <w:r>
        <w:rPr>
          <w:rFonts w:cs="Times New Roman"/>
          <w:spacing w:val="-6"/>
          <w:sz w:val="16"/>
          <w:szCs w:val="16"/>
          <w:lang w:val="es-ES_tradnl"/>
        </w:rPr>
        <w:t>’</w:t>
      </w:r>
      <w:r>
        <w:rPr>
          <w:spacing w:val="-6"/>
          <w:sz w:val="16"/>
          <w:szCs w:val="16"/>
          <w:lang w:val="es-ES_tradnl"/>
        </w:rPr>
        <w:t>, establecida en el art</w:t>
      </w:r>
      <w:r>
        <w:rPr>
          <w:rFonts w:cs="Times New Roman"/>
          <w:spacing w:val="-6"/>
          <w:sz w:val="16"/>
          <w:szCs w:val="16"/>
          <w:lang w:val="es-ES_tradnl"/>
        </w:rPr>
        <w:t>í</w:t>
      </w:r>
      <w:r>
        <w:rPr>
          <w:spacing w:val="-6"/>
          <w:sz w:val="16"/>
          <w:szCs w:val="16"/>
          <w:lang w:val="es-ES_tradnl"/>
        </w:rPr>
        <w:t>culo 18 de la Ordenanza.</w:t>
      </w:r>
    </w:p>
    <w:p w14:paraId="4F67A773" w14:textId="77777777" w:rsidR="00591D54" w:rsidRDefault="00591D54" w:rsidP="00251195">
      <w:pPr>
        <w:numPr>
          <w:ilvl w:val="0"/>
          <w:numId w:val="35"/>
        </w:numPr>
        <w:shd w:val="clear" w:color="auto" w:fill="FFFFFF"/>
        <w:tabs>
          <w:tab w:val="left" w:pos="451"/>
        </w:tabs>
        <w:spacing w:before="211" w:line="216" w:lineRule="exact"/>
        <w:ind w:left="283" w:right="10"/>
        <w:jc w:val="both"/>
        <w:rPr>
          <w:spacing w:val="-10"/>
          <w:sz w:val="16"/>
          <w:szCs w:val="16"/>
          <w:lang w:val="es-ES_tradnl"/>
        </w:rPr>
      </w:pPr>
      <w:r>
        <w:rPr>
          <w:spacing w:val="-6"/>
          <w:sz w:val="16"/>
          <w:szCs w:val="16"/>
          <w:lang w:val="es-ES_tradnl"/>
        </w:rPr>
        <w:t>Aquella</w:t>
      </w:r>
      <w:r>
        <w:rPr>
          <w:spacing w:val="-6"/>
          <w:sz w:val="18"/>
          <w:szCs w:val="18"/>
          <w:lang w:val="es-ES_tradnl"/>
        </w:rPr>
        <w:t xml:space="preserve"> </w:t>
      </w:r>
      <w:r>
        <w:rPr>
          <w:spacing w:val="-6"/>
          <w:sz w:val="16"/>
          <w:szCs w:val="16"/>
          <w:lang w:val="es-ES_tradnl"/>
        </w:rPr>
        <w:t>que</w:t>
      </w:r>
      <w:r>
        <w:rPr>
          <w:spacing w:val="-6"/>
          <w:sz w:val="18"/>
          <w:szCs w:val="18"/>
          <w:lang w:val="es-ES_tradnl"/>
        </w:rPr>
        <w:t xml:space="preserve"> </w:t>
      </w:r>
      <w:r>
        <w:rPr>
          <w:spacing w:val="-6"/>
          <w:sz w:val="16"/>
          <w:szCs w:val="16"/>
          <w:lang w:val="es-ES_tradnl"/>
        </w:rPr>
        <w:t>por</w:t>
      </w:r>
      <w:r>
        <w:rPr>
          <w:spacing w:val="-6"/>
          <w:sz w:val="18"/>
          <w:szCs w:val="18"/>
          <w:lang w:val="es-ES_tradnl"/>
        </w:rPr>
        <w:t xml:space="preserve"> </w:t>
      </w:r>
      <w:r>
        <w:rPr>
          <w:rFonts w:cs="Times New Roman"/>
          <w:spacing w:val="-6"/>
          <w:sz w:val="16"/>
          <w:szCs w:val="16"/>
          <w:lang w:val="es-ES_tradnl"/>
        </w:rPr>
        <w:t>‘…</w:t>
      </w:r>
      <w:r>
        <w:rPr>
          <w:spacing w:val="-6"/>
          <w:sz w:val="18"/>
          <w:szCs w:val="18"/>
          <w:lang w:val="es-ES_tradnl"/>
        </w:rPr>
        <w:t xml:space="preserve"> </w:t>
      </w:r>
      <w:r>
        <w:rPr>
          <w:spacing w:val="-6"/>
          <w:sz w:val="16"/>
          <w:szCs w:val="16"/>
          <w:lang w:val="es-ES_tradnl"/>
        </w:rPr>
        <w:t>cada</w:t>
      </w:r>
      <w:r>
        <w:rPr>
          <w:spacing w:val="-6"/>
          <w:sz w:val="18"/>
          <w:szCs w:val="18"/>
          <w:lang w:val="es-ES_tradnl"/>
        </w:rPr>
        <w:t xml:space="preserve"> </w:t>
      </w:r>
      <w:r>
        <w:rPr>
          <w:spacing w:val="-6"/>
          <w:sz w:val="16"/>
          <w:szCs w:val="16"/>
          <w:lang w:val="es-ES_tradnl"/>
        </w:rPr>
        <w:t>una</w:t>
      </w:r>
      <w:r>
        <w:rPr>
          <w:spacing w:val="-6"/>
          <w:sz w:val="18"/>
          <w:szCs w:val="18"/>
          <w:lang w:val="es-ES_tradnl"/>
        </w:rPr>
        <w:t xml:space="preserve"> </w:t>
      </w:r>
      <w:r>
        <w:rPr>
          <w:spacing w:val="-6"/>
          <w:sz w:val="16"/>
          <w:szCs w:val="16"/>
          <w:lang w:val="es-ES_tradnl"/>
        </w:rPr>
        <w:t>de</w:t>
      </w:r>
      <w:r>
        <w:rPr>
          <w:spacing w:val="-6"/>
          <w:sz w:val="18"/>
          <w:szCs w:val="18"/>
          <w:lang w:val="es-ES_tradnl"/>
        </w:rPr>
        <w:t xml:space="preserve"> </w:t>
      </w:r>
      <w:r>
        <w:rPr>
          <w:spacing w:val="-6"/>
          <w:sz w:val="16"/>
          <w:szCs w:val="16"/>
          <w:lang w:val="es-ES_tradnl"/>
        </w:rPr>
        <w:t>las</w:t>
      </w:r>
      <w:r>
        <w:rPr>
          <w:spacing w:val="-6"/>
          <w:sz w:val="18"/>
          <w:szCs w:val="18"/>
          <w:lang w:val="es-ES_tradnl"/>
        </w:rPr>
        <w:t xml:space="preserve"> </w:t>
      </w:r>
      <w:r>
        <w:rPr>
          <w:spacing w:val="-6"/>
          <w:sz w:val="16"/>
          <w:szCs w:val="16"/>
          <w:lang w:val="es-ES_tradnl"/>
        </w:rPr>
        <w:t>antenas</w:t>
      </w:r>
      <w:r>
        <w:rPr>
          <w:spacing w:val="-6"/>
          <w:sz w:val="18"/>
          <w:szCs w:val="18"/>
          <w:lang w:val="es-ES_tradnl"/>
        </w:rPr>
        <w:t xml:space="preserve"> </w:t>
      </w:r>
      <w:r>
        <w:rPr>
          <w:spacing w:val="-6"/>
          <w:sz w:val="16"/>
          <w:szCs w:val="16"/>
          <w:lang w:val="es-ES_tradnl"/>
        </w:rPr>
        <w:t>instaladas</w:t>
      </w:r>
      <w:r>
        <w:rPr>
          <w:spacing w:val="-6"/>
          <w:sz w:val="18"/>
          <w:szCs w:val="18"/>
          <w:lang w:val="es-ES_tradnl"/>
        </w:rPr>
        <w:t xml:space="preserve"> </w:t>
      </w:r>
      <w:r>
        <w:rPr>
          <w:spacing w:val="-6"/>
          <w:sz w:val="16"/>
          <w:szCs w:val="16"/>
          <w:lang w:val="es-ES_tradnl"/>
        </w:rPr>
        <w:t xml:space="preserve">en </w:t>
      </w:r>
      <w:r>
        <w:rPr>
          <w:spacing w:val="-8"/>
          <w:sz w:val="16"/>
          <w:szCs w:val="16"/>
          <w:lang w:val="es-ES_tradnl"/>
        </w:rPr>
        <w:t xml:space="preserve">lo alto de las estructuras, y que forman parte de las redes para </w:t>
      </w:r>
      <w:r>
        <w:rPr>
          <w:spacing w:val="-6"/>
          <w:sz w:val="16"/>
          <w:szCs w:val="16"/>
          <w:lang w:val="es-ES_tradnl"/>
        </w:rPr>
        <w:t>telecomunicaciones celulares, pagar</w:t>
      </w:r>
      <w:r>
        <w:rPr>
          <w:rFonts w:cs="Times New Roman"/>
          <w:spacing w:val="-6"/>
          <w:sz w:val="16"/>
          <w:szCs w:val="16"/>
          <w:lang w:val="es-ES_tradnl"/>
        </w:rPr>
        <w:t>á</w:t>
      </w:r>
      <w:r>
        <w:rPr>
          <w:spacing w:val="-6"/>
          <w:sz w:val="16"/>
          <w:szCs w:val="16"/>
          <w:lang w:val="es-ES_tradnl"/>
        </w:rPr>
        <w:t xml:space="preserve"> el 20% del RBU diario; </w:t>
      </w:r>
      <w:r>
        <w:rPr>
          <w:sz w:val="16"/>
          <w:szCs w:val="16"/>
          <w:lang w:val="es-ES_tradnl"/>
        </w:rPr>
        <w:t>por concepto de uso de Espacio A</w:t>
      </w:r>
      <w:r>
        <w:rPr>
          <w:rFonts w:cs="Times New Roman"/>
          <w:sz w:val="16"/>
          <w:szCs w:val="16"/>
          <w:lang w:val="es-ES_tradnl"/>
        </w:rPr>
        <w:t>é</w:t>
      </w:r>
      <w:r>
        <w:rPr>
          <w:sz w:val="16"/>
          <w:szCs w:val="16"/>
          <w:lang w:val="es-ES_tradnl"/>
        </w:rPr>
        <w:t>reo</w:t>
      </w:r>
      <w:r>
        <w:rPr>
          <w:rFonts w:cs="Times New Roman"/>
          <w:sz w:val="16"/>
          <w:szCs w:val="16"/>
          <w:lang w:val="es-ES_tradnl"/>
        </w:rPr>
        <w:t>”</w:t>
      </w:r>
      <w:r>
        <w:rPr>
          <w:sz w:val="16"/>
          <w:szCs w:val="16"/>
          <w:lang w:val="es-ES_tradnl"/>
        </w:rPr>
        <w:t>.</w:t>
      </w:r>
    </w:p>
    <w:p w14:paraId="4F67A774" w14:textId="77777777" w:rsidR="00591D54" w:rsidRDefault="00591D54" w:rsidP="00251195">
      <w:pPr>
        <w:numPr>
          <w:ilvl w:val="0"/>
          <w:numId w:val="35"/>
        </w:numPr>
        <w:shd w:val="clear" w:color="auto" w:fill="FFFFFF"/>
        <w:tabs>
          <w:tab w:val="left" w:pos="451"/>
        </w:tabs>
        <w:spacing w:before="206" w:line="216" w:lineRule="exact"/>
        <w:ind w:left="283" w:right="10"/>
        <w:jc w:val="both"/>
        <w:rPr>
          <w:spacing w:val="-10"/>
          <w:sz w:val="16"/>
          <w:szCs w:val="16"/>
          <w:lang w:val="es-ES_tradnl"/>
        </w:rPr>
      </w:pPr>
      <w:r>
        <w:rPr>
          <w:spacing w:val="-7"/>
          <w:sz w:val="16"/>
          <w:szCs w:val="16"/>
          <w:lang w:val="es-ES_tradnl"/>
        </w:rPr>
        <w:t>Aquella</w:t>
      </w:r>
      <w:r>
        <w:rPr>
          <w:spacing w:val="-7"/>
          <w:sz w:val="18"/>
          <w:szCs w:val="18"/>
          <w:lang w:val="es-ES_tradnl"/>
        </w:rPr>
        <w:t xml:space="preserve"> </w:t>
      </w:r>
      <w:r>
        <w:rPr>
          <w:spacing w:val="-7"/>
          <w:sz w:val="16"/>
          <w:szCs w:val="16"/>
          <w:lang w:val="es-ES_tradnl"/>
        </w:rPr>
        <w:t>fijada</w:t>
      </w:r>
      <w:r>
        <w:rPr>
          <w:spacing w:val="-7"/>
          <w:sz w:val="18"/>
          <w:szCs w:val="18"/>
          <w:lang w:val="es-ES_tradnl"/>
        </w:rPr>
        <w:t xml:space="preserve"> </w:t>
      </w:r>
      <w:r>
        <w:rPr>
          <w:spacing w:val="-7"/>
          <w:sz w:val="16"/>
          <w:szCs w:val="16"/>
          <w:lang w:val="es-ES_tradnl"/>
        </w:rPr>
        <w:t>para</w:t>
      </w:r>
      <w:r>
        <w:rPr>
          <w:spacing w:val="-7"/>
          <w:sz w:val="18"/>
          <w:szCs w:val="18"/>
          <w:lang w:val="es-ES_tradnl"/>
        </w:rPr>
        <w:t xml:space="preserve"> </w:t>
      </w:r>
      <w:r>
        <w:rPr>
          <w:spacing w:val="-7"/>
          <w:sz w:val="16"/>
          <w:szCs w:val="16"/>
          <w:lang w:val="es-ES_tradnl"/>
        </w:rPr>
        <w:t>las</w:t>
      </w:r>
      <w:r>
        <w:rPr>
          <w:spacing w:val="-7"/>
          <w:sz w:val="18"/>
          <w:szCs w:val="18"/>
          <w:lang w:val="es-ES_tradnl"/>
        </w:rPr>
        <w:t xml:space="preserve"> </w:t>
      </w:r>
      <w:r>
        <w:rPr>
          <w:spacing w:val="-7"/>
          <w:sz w:val="16"/>
          <w:szCs w:val="16"/>
          <w:lang w:val="es-ES_tradnl"/>
        </w:rPr>
        <w:t>antenas</w:t>
      </w:r>
      <w:r>
        <w:rPr>
          <w:spacing w:val="-7"/>
          <w:sz w:val="18"/>
          <w:szCs w:val="18"/>
          <w:lang w:val="es-ES_tradnl"/>
        </w:rPr>
        <w:t xml:space="preserve"> </w:t>
      </w:r>
      <w:r>
        <w:rPr>
          <w:spacing w:val="-7"/>
          <w:sz w:val="16"/>
          <w:szCs w:val="16"/>
          <w:lang w:val="es-ES_tradnl"/>
        </w:rPr>
        <w:t>parab</w:t>
      </w:r>
      <w:r>
        <w:rPr>
          <w:rFonts w:cs="Times New Roman"/>
          <w:spacing w:val="-7"/>
          <w:sz w:val="16"/>
          <w:szCs w:val="16"/>
          <w:lang w:val="es-ES_tradnl"/>
        </w:rPr>
        <w:t>ó</w:t>
      </w:r>
      <w:r>
        <w:rPr>
          <w:spacing w:val="-7"/>
          <w:sz w:val="16"/>
          <w:szCs w:val="16"/>
          <w:lang w:val="es-ES_tradnl"/>
        </w:rPr>
        <w:t>licas</w:t>
      </w:r>
      <w:r>
        <w:rPr>
          <w:spacing w:val="-7"/>
          <w:sz w:val="18"/>
          <w:szCs w:val="18"/>
          <w:lang w:val="es-ES_tradnl"/>
        </w:rPr>
        <w:t xml:space="preserve"> </w:t>
      </w:r>
      <w:r>
        <w:rPr>
          <w:spacing w:val="-7"/>
          <w:sz w:val="16"/>
          <w:szCs w:val="16"/>
          <w:lang w:val="es-ES_tradnl"/>
        </w:rPr>
        <w:t>para</w:t>
      </w:r>
      <w:r>
        <w:rPr>
          <w:spacing w:val="-7"/>
          <w:sz w:val="18"/>
          <w:szCs w:val="18"/>
          <w:lang w:val="es-ES_tradnl"/>
        </w:rPr>
        <w:t xml:space="preserve"> </w:t>
      </w:r>
      <w:r>
        <w:rPr>
          <w:spacing w:val="-7"/>
          <w:sz w:val="16"/>
          <w:szCs w:val="16"/>
          <w:lang w:val="es-ES_tradnl"/>
        </w:rPr>
        <w:t>recepci</w:t>
      </w:r>
      <w:r>
        <w:rPr>
          <w:rFonts w:cs="Times New Roman"/>
          <w:spacing w:val="-7"/>
          <w:sz w:val="16"/>
          <w:szCs w:val="16"/>
          <w:lang w:val="es-ES_tradnl"/>
        </w:rPr>
        <w:t>ó</w:t>
      </w:r>
      <w:r>
        <w:rPr>
          <w:spacing w:val="-7"/>
          <w:sz w:val="16"/>
          <w:szCs w:val="16"/>
          <w:lang w:val="es-ES_tradnl"/>
        </w:rPr>
        <w:t xml:space="preserve">n </w:t>
      </w:r>
      <w:r>
        <w:rPr>
          <w:spacing w:val="-6"/>
          <w:sz w:val="16"/>
          <w:szCs w:val="16"/>
          <w:lang w:val="es-ES_tradnl"/>
        </w:rPr>
        <w:t>de la se</w:t>
      </w:r>
      <w:r>
        <w:rPr>
          <w:rFonts w:cs="Times New Roman"/>
          <w:spacing w:val="-6"/>
          <w:sz w:val="16"/>
          <w:szCs w:val="16"/>
          <w:lang w:val="es-ES_tradnl"/>
        </w:rPr>
        <w:t>ñ</w:t>
      </w:r>
      <w:r>
        <w:rPr>
          <w:spacing w:val="-6"/>
          <w:sz w:val="16"/>
          <w:szCs w:val="16"/>
          <w:lang w:val="es-ES_tradnl"/>
        </w:rPr>
        <w:t>al comercial de televisi</w:t>
      </w:r>
      <w:r>
        <w:rPr>
          <w:rFonts w:cs="Times New Roman"/>
          <w:spacing w:val="-6"/>
          <w:sz w:val="16"/>
          <w:szCs w:val="16"/>
          <w:lang w:val="es-ES_tradnl"/>
        </w:rPr>
        <w:t>ó</w:t>
      </w:r>
      <w:r>
        <w:rPr>
          <w:spacing w:val="-6"/>
          <w:sz w:val="16"/>
          <w:szCs w:val="16"/>
          <w:lang w:val="es-ES_tradnl"/>
        </w:rPr>
        <w:t xml:space="preserve">n satelital que </w:t>
      </w:r>
      <w:r>
        <w:rPr>
          <w:rFonts w:cs="Times New Roman"/>
          <w:spacing w:val="-6"/>
          <w:sz w:val="16"/>
          <w:szCs w:val="16"/>
          <w:lang w:val="es-ES_tradnl"/>
        </w:rPr>
        <w:t>‘</w:t>
      </w:r>
      <w:r>
        <w:rPr>
          <w:spacing w:val="-6"/>
          <w:sz w:val="16"/>
          <w:szCs w:val="16"/>
          <w:lang w:val="es-ES_tradnl"/>
        </w:rPr>
        <w:t xml:space="preserve">pagaran el </w:t>
      </w:r>
      <w:r>
        <w:rPr>
          <w:spacing w:val="-7"/>
          <w:sz w:val="16"/>
          <w:szCs w:val="16"/>
          <w:lang w:val="es-ES_tradnl"/>
        </w:rPr>
        <w:t>equivalente a tres centavos de d</w:t>
      </w:r>
      <w:r>
        <w:rPr>
          <w:rFonts w:cs="Times New Roman"/>
          <w:spacing w:val="-7"/>
          <w:sz w:val="16"/>
          <w:szCs w:val="16"/>
          <w:lang w:val="es-ES_tradnl"/>
        </w:rPr>
        <w:t>ó</w:t>
      </w:r>
      <w:r>
        <w:rPr>
          <w:spacing w:val="-7"/>
          <w:sz w:val="16"/>
          <w:szCs w:val="16"/>
          <w:lang w:val="es-ES_tradnl"/>
        </w:rPr>
        <w:t>lares de los Estados Unidos de Norteam</w:t>
      </w:r>
      <w:r>
        <w:rPr>
          <w:rFonts w:cs="Times New Roman"/>
          <w:spacing w:val="-7"/>
          <w:sz w:val="16"/>
          <w:szCs w:val="16"/>
          <w:lang w:val="es-ES_tradnl"/>
        </w:rPr>
        <w:t>é</w:t>
      </w:r>
      <w:r>
        <w:rPr>
          <w:spacing w:val="-7"/>
          <w:sz w:val="16"/>
          <w:szCs w:val="16"/>
          <w:lang w:val="es-ES_tradnl"/>
        </w:rPr>
        <w:t>rica diarios, por cada antena parab</w:t>
      </w:r>
      <w:r>
        <w:rPr>
          <w:rFonts w:cs="Times New Roman"/>
          <w:spacing w:val="-7"/>
          <w:sz w:val="16"/>
          <w:szCs w:val="16"/>
          <w:lang w:val="es-ES_tradnl"/>
        </w:rPr>
        <w:t>ó</w:t>
      </w:r>
      <w:r>
        <w:rPr>
          <w:spacing w:val="-7"/>
          <w:sz w:val="16"/>
          <w:szCs w:val="16"/>
          <w:lang w:val="es-ES_tradnl"/>
        </w:rPr>
        <w:t xml:space="preserve">lica instalada en el </w:t>
      </w:r>
      <w:r>
        <w:rPr>
          <w:rFonts w:cs="Times New Roman"/>
          <w:spacing w:val="-7"/>
          <w:sz w:val="16"/>
          <w:szCs w:val="16"/>
          <w:lang w:val="es-ES_tradnl"/>
        </w:rPr>
        <w:t>á</w:t>
      </w:r>
      <w:r>
        <w:rPr>
          <w:spacing w:val="-7"/>
          <w:sz w:val="16"/>
          <w:szCs w:val="16"/>
          <w:lang w:val="es-ES_tradnl"/>
        </w:rPr>
        <w:t>rea geogr</w:t>
      </w:r>
      <w:r>
        <w:rPr>
          <w:rFonts w:cs="Times New Roman"/>
          <w:spacing w:val="-7"/>
          <w:sz w:val="16"/>
          <w:szCs w:val="16"/>
          <w:lang w:val="es-ES_tradnl"/>
        </w:rPr>
        <w:t>á</w:t>
      </w:r>
      <w:r>
        <w:rPr>
          <w:spacing w:val="-7"/>
          <w:sz w:val="16"/>
          <w:szCs w:val="16"/>
          <w:lang w:val="es-ES_tradnl"/>
        </w:rPr>
        <w:t>fica del cant</w:t>
      </w:r>
      <w:r>
        <w:rPr>
          <w:rFonts w:cs="Times New Roman"/>
          <w:spacing w:val="-7"/>
          <w:sz w:val="16"/>
          <w:szCs w:val="16"/>
          <w:lang w:val="es-ES_tradnl"/>
        </w:rPr>
        <w:t>ó</w:t>
      </w:r>
      <w:r>
        <w:rPr>
          <w:spacing w:val="-7"/>
          <w:sz w:val="16"/>
          <w:szCs w:val="16"/>
          <w:lang w:val="es-ES_tradnl"/>
        </w:rPr>
        <w:t xml:space="preserve">n, inventario establecido por la </w:t>
      </w:r>
      <w:r>
        <w:rPr>
          <w:sz w:val="16"/>
          <w:szCs w:val="16"/>
          <w:lang w:val="es-ES_tradnl"/>
        </w:rPr>
        <w:t>municipalidad</w:t>
      </w:r>
      <w:r>
        <w:rPr>
          <w:rFonts w:cs="Times New Roman"/>
          <w:sz w:val="16"/>
          <w:szCs w:val="16"/>
          <w:lang w:val="es-ES_tradnl"/>
        </w:rPr>
        <w:t>’</w:t>
      </w:r>
      <w:r>
        <w:rPr>
          <w:sz w:val="16"/>
          <w:szCs w:val="16"/>
          <w:lang w:val="es-ES_tradnl"/>
        </w:rPr>
        <w:t>.</w:t>
      </w:r>
    </w:p>
    <w:p w14:paraId="4F67A775" w14:textId="77777777" w:rsidR="00591D54" w:rsidRDefault="00591D54" w:rsidP="00251195">
      <w:pPr>
        <w:numPr>
          <w:ilvl w:val="0"/>
          <w:numId w:val="35"/>
        </w:numPr>
        <w:shd w:val="clear" w:color="auto" w:fill="FFFFFF"/>
        <w:tabs>
          <w:tab w:val="left" w:pos="451"/>
        </w:tabs>
        <w:spacing w:before="206" w:line="216" w:lineRule="exact"/>
        <w:ind w:left="283" w:right="10"/>
        <w:jc w:val="both"/>
        <w:rPr>
          <w:spacing w:val="-10"/>
          <w:sz w:val="16"/>
          <w:szCs w:val="16"/>
          <w:lang w:val="es-ES_tradnl"/>
        </w:rPr>
      </w:pPr>
      <w:r>
        <w:rPr>
          <w:spacing w:val="-4"/>
          <w:sz w:val="16"/>
          <w:szCs w:val="16"/>
          <w:lang w:val="es-ES_tradnl"/>
        </w:rPr>
        <w:t>Aquella</w:t>
      </w:r>
      <w:r>
        <w:rPr>
          <w:spacing w:val="-4"/>
          <w:sz w:val="18"/>
          <w:szCs w:val="18"/>
          <w:lang w:val="es-ES_tradnl"/>
        </w:rPr>
        <w:t xml:space="preserve"> </w:t>
      </w:r>
      <w:r>
        <w:rPr>
          <w:spacing w:val="-4"/>
          <w:sz w:val="16"/>
          <w:szCs w:val="16"/>
          <w:lang w:val="es-ES_tradnl"/>
        </w:rPr>
        <w:t>establecida</w:t>
      </w:r>
      <w:r>
        <w:rPr>
          <w:spacing w:val="-4"/>
          <w:sz w:val="18"/>
          <w:szCs w:val="18"/>
          <w:lang w:val="es-ES_tradnl"/>
        </w:rPr>
        <w:t xml:space="preserve"> </w:t>
      </w:r>
      <w:r>
        <w:rPr>
          <w:spacing w:val="-4"/>
          <w:sz w:val="16"/>
          <w:szCs w:val="16"/>
          <w:lang w:val="es-ES_tradnl"/>
        </w:rPr>
        <w:t>en</w:t>
      </w:r>
      <w:r>
        <w:rPr>
          <w:spacing w:val="-4"/>
          <w:sz w:val="18"/>
          <w:szCs w:val="18"/>
          <w:lang w:val="es-ES_tradnl"/>
        </w:rPr>
        <w:t xml:space="preserve"> </w:t>
      </w:r>
      <w:r>
        <w:rPr>
          <w:spacing w:val="-4"/>
          <w:sz w:val="16"/>
          <w:szCs w:val="16"/>
          <w:lang w:val="es-ES_tradnl"/>
        </w:rPr>
        <w:t>el</w:t>
      </w:r>
      <w:r>
        <w:rPr>
          <w:spacing w:val="-4"/>
          <w:sz w:val="18"/>
          <w:szCs w:val="18"/>
          <w:lang w:val="es-ES_tradnl"/>
        </w:rPr>
        <w:t xml:space="preserve"> </w:t>
      </w:r>
      <w:r>
        <w:rPr>
          <w:spacing w:val="-4"/>
          <w:sz w:val="16"/>
          <w:szCs w:val="16"/>
          <w:lang w:val="es-ES_tradnl"/>
        </w:rPr>
        <w:t>art</w:t>
      </w:r>
      <w:r>
        <w:rPr>
          <w:rFonts w:cs="Times New Roman"/>
          <w:spacing w:val="-4"/>
          <w:sz w:val="16"/>
          <w:szCs w:val="16"/>
          <w:lang w:val="es-ES_tradnl"/>
        </w:rPr>
        <w:t>í</w:t>
      </w:r>
      <w:r>
        <w:rPr>
          <w:spacing w:val="-4"/>
          <w:sz w:val="16"/>
          <w:szCs w:val="16"/>
          <w:lang w:val="es-ES_tradnl"/>
        </w:rPr>
        <w:t>culo</w:t>
      </w:r>
      <w:r>
        <w:rPr>
          <w:spacing w:val="-4"/>
          <w:sz w:val="18"/>
          <w:szCs w:val="18"/>
          <w:lang w:val="es-ES_tradnl"/>
        </w:rPr>
        <w:t xml:space="preserve"> </w:t>
      </w:r>
      <w:r>
        <w:rPr>
          <w:spacing w:val="-4"/>
          <w:sz w:val="16"/>
          <w:szCs w:val="16"/>
          <w:lang w:val="es-ES_tradnl"/>
        </w:rPr>
        <w:t>18</w:t>
      </w:r>
      <w:r>
        <w:rPr>
          <w:spacing w:val="-4"/>
          <w:sz w:val="18"/>
          <w:szCs w:val="18"/>
          <w:lang w:val="es-ES_tradnl"/>
        </w:rPr>
        <w:t xml:space="preserve"> </w:t>
      </w:r>
      <w:r>
        <w:rPr>
          <w:spacing w:val="-4"/>
          <w:sz w:val="16"/>
          <w:szCs w:val="16"/>
          <w:lang w:val="es-ES_tradnl"/>
        </w:rPr>
        <w:t>de</w:t>
      </w:r>
      <w:r>
        <w:rPr>
          <w:spacing w:val="-4"/>
          <w:sz w:val="18"/>
          <w:szCs w:val="18"/>
          <w:lang w:val="es-ES_tradnl"/>
        </w:rPr>
        <w:t xml:space="preserve"> </w:t>
      </w:r>
      <w:r>
        <w:rPr>
          <w:spacing w:val="-4"/>
          <w:sz w:val="16"/>
          <w:szCs w:val="16"/>
          <w:lang w:val="es-ES_tradnl"/>
        </w:rPr>
        <w:t>la</w:t>
      </w:r>
      <w:r>
        <w:rPr>
          <w:spacing w:val="-4"/>
          <w:sz w:val="18"/>
          <w:szCs w:val="18"/>
          <w:lang w:val="es-ES_tradnl"/>
        </w:rPr>
        <w:t xml:space="preserve"> </w:t>
      </w:r>
      <w:r>
        <w:rPr>
          <w:spacing w:val="-4"/>
          <w:sz w:val="16"/>
          <w:szCs w:val="16"/>
          <w:lang w:val="es-ES_tradnl"/>
        </w:rPr>
        <w:t>Ordenanza</w:t>
      </w:r>
      <w:r>
        <w:rPr>
          <w:spacing w:val="-4"/>
          <w:sz w:val="18"/>
          <w:szCs w:val="18"/>
          <w:lang w:val="es-ES_tradnl"/>
        </w:rPr>
        <w:t xml:space="preserve"> </w:t>
      </w:r>
      <w:r>
        <w:rPr>
          <w:spacing w:val="-4"/>
          <w:sz w:val="16"/>
          <w:szCs w:val="16"/>
          <w:lang w:val="es-ES_tradnl"/>
        </w:rPr>
        <w:t xml:space="preserve">en </w:t>
      </w:r>
      <w:r>
        <w:rPr>
          <w:spacing w:val="-6"/>
          <w:sz w:val="16"/>
          <w:szCs w:val="16"/>
          <w:lang w:val="es-ES_tradnl"/>
        </w:rPr>
        <w:t xml:space="preserve">la que </w:t>
      </w:r>
      <w:r>
        <w:rPr>
          <w:rFonts w:cs="Times New Roman"/>
          <w:spacing w:val="-6"/>
          <w:sz w:val="16"/>
          <w:szCs w:val="16"/>
          <w:lang w:val="es-ES_tradnl"/>
        </w:rPr>
        <w:t>‘</w:t>
      </w:r>
      <w:r>
        <w:rPr>
          <w:spacing w:val="-6"/>
          <w:sz w:val="16"/>
          <w:szCs w:val="16"/>
          <w:lang w:val="es-ES_tradnl"/>
        </w:rPr>
        <w:t>Por cada estructura met</w:t>
      </w:r>
      <w:r>
        <w:rPr>
          <w:rFonts w:cs="Times New Roman"/>
          <w:spacing w:val="-6"/>
          <w:sz w:val="16"/>
          <w:szCs w:val="16"/>
          <w:lang w:val="es-ES_tradnl"/>
        </w:rPr>
        <w:t>á</w:t>
      </w:r>
      <w:r>
        <w:rPr>
          <w:spacing w:val="-6"/>
          <w:sz w:val="16"/>
          <w:szCs w:val="16"/>
          <w:lang w:val="es-ES_tradnl"/>
        </w:rPr>
        <w:t xml:space="preserve">lica de uso comercial de </w:t>
      </w:r>
      <w:r>
        <w:rPr>
          <w:spacing w:val="-9"/>
          <w:sz w:val="16"/>
          <w:szCs w:val="16"/>
          <w:lang w:val="es-ES_tradnl"/>
        </w:rPr>
        <w:t xml:space="preserve">propiedad privada instaladas en zonas urbanas o rurales dentro </w:t>
      </w:r>
      <w:r>
        <w:rPr>
          <w:spacing w:val="-5"/>
          <w:sz w:val="16"/>
          <w:szCs w:val="16"/>
          <w:lang w:val="es-ES_tradnl"/>
        </w:rPr>
        <w:t>del cant</w:t>
      </w:r>
      <w:r>
        <w:rPr>
          <w:rFonts w:cs="Times New Roman"/>
          <w:spacing w:val="-5"/>
          <w:sz w:val="16"/>
          <w:szCs w:val="16"/>
          <w:lang w:val="es-ES_tradnl"/>
        </w:rPr>
        <w:t>ó</w:t>
      </w:r>
      <w:r>
        <w:rPr>
          <w:spacing w:val="-5"/>
          <w:sz w:val="16"/>
          <w:szCs w:val="16"/>
          <w:lang w:val="es-ES_tradnl"/>
        </w:rPr>
        <w:t>n y otras, pagar</w:t>
      </w:r>
      <w:r>
        <w:rPr>
          <w:rFonts w:cs="Times New Roman"/>
          <w:spacing w:val="-5"/>
          <w:sz w:val="16"/>
          <w:szCs w:val="16"/>
          <w:lang w:val="es-ES_tradnl"/>
        </w:rPr>
        <w:t>á</w:t>
      </w:r>
      <w:r>
        <w:rPr>
          <w:spacing w:val="-5"/>
          <w:sz w:val="16"/>
          <w:szCs w:val="16"/>
          <w:lang w:val="es-ES_tradnl"/>
        </w:rPr>
        <w:t>n el 20% del RBU diario</w:t>
      </w:r>
      <w:r>
        <w:rPr>
          <w:rFonts w:cs="Times New Roman"/>
          <w:spacing w:val="-5"/>
          <w:sz w:val="16"/>
          <w:szCs w:val="16"/>
          <w:lang w:val="es-ES_tradnl"/>
        </w:rPr>
        <w:t>…’</w:t>
      </w:r>
      <w:r>
        <w:rPr>
          <w:spacing w:val="-5"/>
          <w:sz w:val="16"/>
          <w:szCs w:val="16"/>
          <w:lang w:val="es-ES_tradnl"/>
        </w:rPr>
        <w:t>.</w:t>
      </w:r>
    </w:p>
    <w:p w14:paraId="4F67A776" w14:textId="77777777" w:rsidR="00591D54" w:rsidRDefault="00591D54" w:rsidP="00251195">
      <w:pPr>
        <w:numPr>
          <w:ilvl w:val="0"/>
          <w:numId w:val="35"/>
        </w:numPr>
        <w:shd w:val="clear" w:color="auto" w:fill="FFFFFF"/>
        <w:tabs>
          <w:tab w:val="left" w:pos="451"/>
        </w:tabs>
        <w:spacing w:before="206" w:line="216" w:lineRule="exact"/>
        <w:ind w:left="283" w:right="10"/>
        <w:jc w:val="both"/>
        <w:rPr>
          <w:spacing w:val="-10"/>
          <w:sz w:val="16"/>
          <w:szCs w:val="16"/>
          <w:lang w:val="es-ES_tradnl"/>
        </w:rPr>
      </w:pPr>
      <w:r>
        <w:rPr>
          <w:spacing w:val="-3"/>
          <w:sz w:val="16"/>
          <w:szCs w:val="16"/>
          <w:lang w:val="es-ES_tradnl"/>
        </w:rPr>
        <w:t>La</w:t>
      </w:r>
      <w:r>
        <w:rPr>
          <w:spacing w:val="-3"/>
          <w:sz w:val="18"/>
          <w:szCs w:val="18"/>
          <w:lang w:val="es-ES_tradnl"/>
        </w:rPr>
        <w:t xml:space="preserve"> </w:t>
      </w:r>
      <w:r>
        <w:rPr>
          <w:rFonts w:cs="Times New Roman"/>
          <w:spacing w:val="-3"/>
          <w:sz w:val="16"/>
          <w:szCs w:val="16"/>
          <w:lang w:val="es-ES_tradnl"/>
        </w:rPr>
        <w:t>‘…</w:t>
      </w:r>
      <w:r>
        <w:rPr>
          <w:spacing w:val="-3"/>
          <w:sz w:val="18"/>
          <w:szCs w:val="18"/>
          <w:lang w:val="es-ES_tradnl"/>
        </w:rPr>
        <w:t xml:space="preserve"> </w:t>
      </w:r>
      <w:r>
        <w:rPr>
          <w:spacing w:val="-3"/>
          <w:sz w:val="16"/>
          <w:szCs w:val="16"/>
          <w:lang w:val="es-ES_tradnl"/>
        </w:rPr>
        <w:t>diaria</w:t>
      </w:r>
      <w:r>
        <w:rPr>
          <w:spacing w:val="-3"/>
          <w:sz w:val="18"/>
          <w:szCs w:val="18"/>
          <w:lang w:val="es-ES_tradnl"/>
        </w:rPr>
        <w:t xml:space="preserve"> </w:t>
      </w:r>
      <w:r>
        <w:rPr>
          <w:spacing w:val="-3"/>
          <w:sz w:val="16"/>
          <w:szCs w:val="16"/>
          <w:lang w:val="es-ES_tradnl"/>
        </w:rPr>
        <w:t>y</w:t>
      </w:r>
      <w:r>
        <w:rPr>
          <w:spacing w:val="-3"/>
          <w:sz w:val="18"/>
          <w:szCs w:val="18"/>
          <w:lang w:val="es-ES_tradnl"/>
        </w:rPr>
        <w:t xml:space="preserve"> </w:t>
      </w:r>
      <w:r>
        <w:rPr>
          <w:spacing w:val="-3"/>
          <w:sz w:val="16"/>
          <w:szCs w:val="16"/>
          <w:lang w:val="es-ES_tradnl"/>
        </w:rPr>
        <w:t>permanente</w:t>
      </w:r>
      <w:r>
        <w:rPr>
          <w:spacing w:val="-3"/>
          <w:sz w:val="18"/>
          <w:szCs w:val="18"/>
          <w:lang w:val="es-ES_tradnl"/>
        </w:rPr>
        <w:t xml:space="preserve"> </w:t>
      </w:r>
      <w:r>
        <w:rPr>
          <w:spacing w:val="-3"/>
          <w:sz w:val="16"/>
          <w:szCs w:val="16"/>
          <w:lang w:val="es-ES_tradnl"/>
        </w:rPr>
        <w:t>de</w:t>
      </w:r>
      <w:r>
        <w:rPr>
          <w:spacing w:val="-3"/>
          <w:sz w:val="18"/>
          <w:szCs w:val="18"/>
          <w:lang w:val="es-ES_tradnl"/>
        </w:rPr>
        <w:t xml:space="preserve"> </w:t>
      </w:r>
      <w:r>
        <w:rPr>
          <w:spacing w:val="-3"/>
          <w:sz w:val="16"/>
          <w:szCs w:val="16"/>
          <w:lang w:val="es-ES_tradnl"/>
        </w:rPr>
        <w:t>veinticinco</w:t>
      </w:r>
      <w:r>
        <w:rPr>
          <w:spacing w:val="-3"/>
          <w:sz w:val="18"/>
          <w:szCs w:val="18"/>
          <w:lang w:val="es-ES_tradnl"/>
        </w:rPr>
        <w:t xml:space="preserve"> </w:t>
      </w:r>
      <w:r>
        <w:rPr>
          <w:spacing w:val="-3"/>
          <w:sz w:val="16"/>
          <w:szCs w:val="16"/>
          <w:lang w:val="es-ES_tradnl"/>
        </w:rPr>
        <w:t>centavos</w:t>
      </w:r>
      <w:r>
        <w:rPr>
          <w:spacing w:val="-3"/>
          <w:sz w:val="18"/>
          <w:szCs w:val="18"/>
          <w:lang w:val="es-ES_tradnl"/>
        </w:rPr>
        <w:t xml:space="preserve"> </w:t>
      </w:r>
      <w:r>
        <w:rPr>
          <w:spacing w:val="-3"/>
          <w:sz w:val="16"/>
          <w:szCs w:val="16"/>
          <w:lang w:val="es-ES_tradnl"/>
        </w:rPr>
        <w:t xml:space="preserve">de </w:t>
      </w:r>
      <w:r>
        <w:rPr>
          <w:spacing w:val="-7"/>
          <w:sz w:val="16"/>
          <w:szCs w:val="16"/>
          <w:lang w:val="es-ES_tradnl"/>
        </w:rPr>
        <w:t>d</w:t>
      </w:r>
      <w:r>
        <w:rPr>
          <w:rFonts w:cs="Times New Roman"/>
          <w:spacing w:val="-7"/>
          <w:sz w:val="16"/>
          <w:szCs w:val="16"/>
          <w:lang w:val="es-ES_tradnl"/>
        </w:rPr>
        <w:t>ó</w:t>
      </w:r>
      <w:r>
        <w:rPr>
          <w:spacing w:val="-7"/>
          <w:sz w:val="16"/>
          <w:szCs w:val="16"/>
          <w:lang w:val="es-ES_tradnl"/>
        </w:rPr>
        <w:t>lar de los Estados Unidos de Norteam</w:t>
      </w:r>
      <w:r>
        <w:rPr>
          <w:rFonts w:cs="Times New Roman"/>
          <w:spacing w:val="-7"/>
          <w:sz w:val="16"/>
          <w:szCs w:val="16"/>
          <w:lang w:val="es-ES_tradnl"/>
        </w:rPr>
        <w:t>é</w:t>
      </w:r>
      <w:r>
        <w:rPr>
          <w:spacing w:val="-7"/>
          <w:sz w:val="16"/>
          <w:szCs w:val="16"/>
          <w:lang w:val="es-ES_tradnl"/>
        </w:rPr>
        <w:t xml:space="preserve">rica por cada poste </w:t>
      </w:r>
      <w:r>
        <w:rPr>
          <w:spacing w:val="-4"/>
          <w:sz w:val="16"/>
          <w:szCs w:val="16"/>
          <w:lang w:val="es-ES_tradnl"/>
        </w:rPr>
        <w:t>instalado, por ocupaci</w:t>
      </w:r>
      <w:r>
        <w:rPr>
          <w:rFonts w:cs="Times New Roman"/>
          <w:spacing w:val="-4"/>
          <w:sz w:val="16"/>
          <w:szCs w:val="16"/>
          <w:lang w:val="es-ES_tradnl"/>
        </w:rPr>
        <w:t>ó</w:t>
      </w:r>
      <w:r>
        <w:rPr>
          <w:spacing w:val="-4"/>
          <w:sz w:val="16"/>
          <w:szCs w:val="16"/>
          <w:lang w:val="es-ES_tradnl"/>
        </w:rPr>
        <w:t>n del espacio p</w:t>
      </w:r>
      <w:r>
        <w:rPr>
          <w:rFonts w:cs="Times New Roman"/>
          <w:spacing w:val="-4"/>
          <w:sz w:val="16"/>
          <w:szCs w:val="16"/>
          <w:lang w:val="es-ES_tradnl"/>
        </w:rPr>
        <w:t>ú</w:t>
      </w:r>
      <w:r>
        <w:rPr>
          <w:spacing w:val="-4"/>
          <w:sz w:val="16"/>
          <w:szCs w:val="16"/>
          <w:lang w:val="es-ES_tradnl"/>
        </w:rPr>
        <w:t>blico o v</w:t>
      </w:r>
      <w:r>
        <w:rPr>
          <w:rFonts w:cs="Times New Roman"/>
          <w:spacing w:val="-4"/>
          <w:sz w:val="16"/>
          <w:szCs w:val="16"/>
          <w:lang w:val="es-ES_tradnl"/>
        </w:rPr>
        <w:t>í</w:t>
      </w:r>
      <w:r>
        <w:rPr>
          <w:spacing w:val="-4"/>
          <w:sz w:val="16"/>
          <w:szCs w:val="16"/>
          <w:lang w:val="es-ES_tradnl"/>
        </w:rPr>
        <w:t>a p</w:t>
      </w:r>
      <w:r>
        <w:rPr>
          <w:rFonts w:cs="Times New Roman"/>
          <w:spacing w:val="-4"/>
          <w:sz w:val="16"/>
          <w:szCs w:val="16"/>
          <w:lang w:val="es-ES_tradnl"/>
        </w:rPr>
        <w:t>ú</w:t>
      </w:r>
      <w:r>
        <w:rPr>
          <w:spacing w:val="-4"/>
          <w:sz w:val="16"/>
          <w:szCs w:val="16"/>
          <w:lang w:val="es-ES_tradnl"/>
        </w:rPr>
        <w:t>blica</w:t>
      </w:r>
      <w:r>
        <w:rPr>
          <w:rFonts w:cs="Times New Roman"/>
          <w:spacing w:val="-4"/>
          <w:sz w:val="16"/>
          <w:szCs w:val="16"/>
          <w:lang w:val="es-ES_tradnl"/>
        </w:rPr>
        <w:t>’</w:t>
      </w:r>
      <w:r>
        <w:rPr>
          <w:spacing w:val="-4"/>
          <w:sz w:val="16"/>
          <w:szCs w:val="16"/>
          <w:lang w:val="es-ES_tradnl"/>
        </w:rPr>
        <w:t xml:space="preserve">, </w:t>
      </w:r>
      <w:r>
        <w:rPr>
          <w:spacing w:val="-8"/>
          <w:sz w:val="16"/>
          <w:szCs w:val="16"/>
          <w:lang w:val="es-ES_tradnl"/>
        </w:rPr>
        <w:t xml:space="preserve">establecida en el </w:t>
      </w:r>
      <w:r>
        <w:rPr>
          <w:rFonts w:cs="Times New Roman"/>
          <w:spacing w:val="-8"/>
          <w:sz w:val="16"/>
          <w:szCs w:val="16"/>
          <w:lang w:val="es-ES_tradnl"/>
        </w:rPr>
        <w:t>ú</w:t>
      </w:r>
      <w:r>
        <w:rPr>
          <w:spacing w:val="-8"/>
          <w:sz w:val="16"/>
          <w:szCs w:val="16"/>
          <w:lang w:val="es-ES_tradnl"/>
        </w:rPr>
        <w:t>ltimo inciso del art</w:t>
      </w:r>
      <w:r>
        <w:rPr>
          <w:rFonts w:cs="Times New Roman"/>
          <w:spacing w:val="-8"/>
          <w:sz w:val="16"/>
          <w:szCs w:val="16"/>
          <w:lang w:val="es-ES_tradnl"/>
        </w:rPr>
        <w:t>í</w:t>
      </w:r>
      <w:r>
        <w:rPr>
          <w:spacing w:val="-8"/>
          <w:sz w:val="16"/>
          <w:szCs w:val="16"/>
          <w:lang w:val="es-ES_tradnl"/>
        </w:rPr>
        <w:t>culo 18 de la Ordenanza.</w:t>
      </w:r>
    </w:p>
    <w:p w14:paraId="4F67A777" w14:textId="77777777" w:rsidR="00591D54" w:rsidRDefault="00591D54">
      <w:pPr>
        <w:shd w:val="clear" w:color="auto" w:fill="FFFFFF"/>
        <w:spacing w:before="202"/>
      </w:pPr>
      <w:r>
        <w:rPr>
          <w:b/>
          <w:bCs/>
          <w:spacing w:val="-10"/>
          <w:sz w:val="18"/>
          <w:szCs w:val="18"/>
          <w:lang w:val="es-ES_tradnl"/>
        </w:rPr>
        <w:t>Contestaci</w:t>
      </w:r>
      <w:r>
        <w:rPr>
          <w:rFonts w:cs="Times New Roman"/>
          <w:b/>
          <w:bCs/>
          <w:spacing w:val="-10"/>
          <w:sz w:val="18"/>
          <w:szCs w:val="18"/>
          <w:lang w:val="es-ES_tradnl"/>
        </w:rPr>
        <w:t>ó</w:t>
      </w:r>
      <w:r>
        <w:rPr>
          <w:b/>
          <w:bCs/>
          <w:spacing w:val="-10"/>
          <w:sz w:val="18"/>
          <w:szCs w:val="18"/>
          <w:lang w:val="es-ES_tradnl"/>
        </w:rPr>
        <w:t>n a la demanda</w:t>
      </w:r>
    </w:p>
    <w:p w14:paraId="4F67A778" w14:textId="77777777" w:rsidR="00591D54" w:rsidRDefault="00591D54">
      <w:pPr>
        <w:shd w:val="clear" w:color="auto" w:fill="FFFFFF"/>
        <w:spacing w:before="187" w:line="216" w:lineRule="exact"/>
        <w:ind w:right="5"/>
        <w:jc w:val="both"/>
      </w:pPr>
      <w:r>
        <w:rPr>
          <w:b/>
          <w:bCs/>
          <w:spacing w:val="-8"/>
          <w:sz w:val="18"/>
          <w:szCs w:val="18"/>
          <w:lang w:val="es-ES_tradnl"/>
        </w:rPr>
        <w:t>Alcalde y procurador s</w:t>
      </w:r>
      <w:r>
        <w:rPr>
          <w:rFonts w:cs="Times New Roman"/>
          <w:b/>
          <w:bCs/>
          <w:spacing w:val="-8"/>
          <w:sz w:val="18"/>
          <w:szCs w:val="18"/>
          <w:lang w:val="es-ES_tradnl"/>
        </w:rPr>
        <w:t>í</w:t>
      </w:r>
      <w:r>
        <w:rPr>
          <w:b/>
          <w:bCs/>
          <w:spacing w:val="-8"/>
          <w:sz w:val="18"/>
          <w:szCs w:val="18"/>
          <w:lang w:val="es-ES_tradnl"/>
        </w:rPr>
        <w:t>ndico del Gobierno Aut</w:t>
      </w:r>
      <w:r>
        <w:rPr>
          <w:rFonts w:cs="Times New Roman"/>
          <w:b/>
          <w:bCs/>
          <w:spacing w:val="-8"/>
          <w:sz w:val="18"/>
          <w:szCs w:val="18"/>
          <w:lang w:val="es-ES_tradnl"/>
        </w:rPr>
        <w:t>ó</w:t>
      </w:r>
      <w:r>
        <w:rPr>
          <w:b/>
          <w:bCs/>
          <w:spacing w:val="-8"/>
          <w:sz w:val="18"/>
          <w:szCs w:val="18"/>
          <w:lang w:val="es-ES_tradnl"/>
        </w:rPr>
        <w:t xml:space="preserve">nomo </w:t>
      </w:r>
      <w:r>
        <w:rPr>
          <w:b/>
          <w:bCs/>
          <w:spacing w:val="-7"/>
          <w:sz w:val="18"/>
          <w:szCs w:val="18"/>
          <w:lang w:val="es-ES_tradnl"/>
        </w:rPr>
        <w:t>Descentralizado Municipal del Cant</w:t>
      </w:r>
      <w:r>
        <w:rPr>
          <w:rFonts w:cs="Times New Roman"/>
          <w:b/>
          <w:bCs/>
          <w:spacing w:val="-7"/>
          <w:sz w:val="18"/>
          <w:szCs w:val="18"/>
          <w:lang w:val="es-ES_tradnl"/>
        </w:rPr>
        <w:t>ó</w:t>
      </w:r>
      <w:r>
        <w:rPr>
          <w:b/>
          <w:bCs/>
          <w:spacing w:val="-7"/>
          <w:sz w:val="18"/>
          <w:szCs w:val="18"/>
          <w:lang w:val="es-ES_tradnl"/>
        </w:rPr>
        <w:t>n Tulc</w:t>
      </w:r>
      <w:r>
        <w:rPr>
          <w:rFonts w:cs="Times New Roman"/>
          <w:b/>
          <w:bCs/>
          <w:spacing w:val="-7"/>
          <w:sz w:val="18"/>
          <w:szCs w:val="18"/>
          <w:lang w:val="es-ES_tradnl"/>
        </w:rPr>
        <w:t>á</w:t>
      </w:r>
      <w:r>
        <w:rPr>
          <w:b/>
          <w:bCs/>
          <w:spacing w:val="-7"/>
          <w:sz w:val="18"/>
          <w:szCs w:val="18"/>
          <w:lang w:val="es-ES_tradnl"/>
        </w:rPr>
        <w:t>n</w:t>
      </w:r>
    </w:p>
    <w:p w14:paraId="4F67A779" w14:textId="77777777" w:rsidR="00591D54" w:rsidRDefault="00591D54">
      <w:pPr>
        <w:shd w:val="clear" w:color="auto" w:fill="FFFFFF"/>
        <w:spacing w:before="197" w:line="216" w:lineRule="exact"/>
        <w:ind w:right="5"/>
        <w:jc w:val="both"/>
      </w:pPr>
      <w:r>
        <w:rPr>
          <w:sz w:val="18"/>
          <w:szCs w:val="18"/>
          <w:lang w:val="es-ES_tradnl"/>
        </w:rPr>
        <w:t>Seg</w:t>
      </w:r>
      <w:r>
        <w:rPr>
          <w:rFonts w:cs="Times New Roman"/>
          <w:sz w:val="18"/>
          <w:szCs w:val="18"/>
          <w:lang w:val="es-ES_tradnl"/>
        </w:rPr>
        <w:t>ú</w:t>
      </w:r>
      <w:r>
        <w:rPr>
          <w:sz w:val="18"/>
          <w:szCs w:val="18"/>
          <w:lang w:val="es-ES_tradnl"/>
        </w:rPr>
        <w:t xml:space="preserve">n escrito presentado a esta Corte el 29 de abril </w:t>
      </w:r>
      <w:r>
        <w:rPr>
          <w:spacing w:val="-4"/>
          <w:sz w:val="18"/>
          <w:szCs w:val="18"/>
          <w:lang w:val="es-ES_tradnl"/>
        </w:rPr>
        <w:t>de 2015, el ingeniero Julio C</w:t>
      </w:r>
      <w:r>
        <w:rPr>
          <w:rFonts w:cs="Times New Roman"/>
          <w:spacing w:val="-4"/>
          <w:sz w:val="18"/>
          <w:szCs w:val="18"/>
          <w:lang w:val="es-ES_tradnl"/>
        </w:rPr>
        <w:t>é</w:t>
      </w:r>
      <w:r>
        <w:rPr>
          <w:spacing w:val="-4"/>
          <w:sz w:val="18"/>
          <w:szCs w:val="18"/>
          <w:lang w:val="es-ES_tradnl"/>
        </w:rPr>
        <w:t xml:space="preserve">sar Robles Guevara y el </w:t>
      </w:r>
      <w:r>
        <w:rPr>
          <w:spacing w:val="-5"/>
          <w:sz w:val="18"/>
          <w:szCs w:val="18"/>
          <w:lang w:val="es-ES_tradnl"/>
        </w:rPr>
        <w:t xml:space="preserve">doctor Luis Marcelo Portilla Revelo, en sus calidades de </w:t>
      </w:r>
      <w:r>
        <w:rPr>
          <w:spacing w:val="-6"/>
          <w:sz w:val="18"/>
          <w:szCs w:val="18"/>
          <w:lang w:val="es-ES_tradnl"/>
        </w:rPr>
        <w:t>alcalde y procurador s</w:t>
      </w:r>
      <w:r>
        <w:rPr>
          <w:rFonts w:cs="Times New Roman"/>
          <w:spacing w:val="-6"/>
          <w:sz w:val="18"/>
          <w:szCs w:val="18"/>
          <w:lang w:val="es-ES_tradnl"/>
        </w:rPr>
        <w:t>í</w:t>
      </w:r>
      <w:r>
        <w:rPr>
          <w:spacing w:val="-6"/>
          <w:sz w:val="18"/>
          <w:szCs w:val="18"/>
          <w:lang w:val="es-ES_tradnl"/>
        </w:rPr>
        <w:t>ndico del Gobierno Aut</w:t>
      </w:r>
      <w:r>
        <w:rPr>
          <w:rFonts w:cs="Times New Roman"/>
          <w:spacing w:val="-6"/>
          <w:sz w:val="18"/>
          <w:szCs w:val="18"/>
          <w:lang w:val="es-ES_tradnl"/>
        </w:rPr>
        <w:t>ó</w:t>
      </w:r>
      <w:r>
        <w:rPr>
          <w:spacing w:val="-6"/>
          <w:sz w:val="18"/>
          <w:szCs w:val="18"/>
          <w:lang w:val="es-ES_tradnl"/>
        </w:rPr>
        <w:t xml:space="preserve">nomo </w:t>
      </w:r>
      <w:r>
        <w:rPr>
          <w:spacing w:val="-3"/>
          <w:sz w:val="18"/>
          <w:szCs w:val="18"/>
          <w:lang w:val="es-ES_tradnl"/>
        </w:rPr>
        <w:t>Descentralizado Municipal del Cant</w:t>
      </w:r>
      <w:r>
        <w:rPr>
          <w:rFonts w:cs="Times New Roman"/>
          <w:spacing w:val="-3"/>
          <w:sz w:val="18"/>
          <w:szCs w:val="18"/>
          <w:lang w:val="es-ES_tradnl"/>
        </w:rPr>
        <w:t>ó</w:t>
      </w:r>
      <w:r>
        <w:rPr>
          <w:spacing w:val="-3"/>
          <w:sz w:val="18"/>
          <w:szCs w:val="18"/>
          <w:lang w:val="es-ES_tradnl"/>
        </w:rPr>
        <w:t>n Tulc</w:t>
      </w:r>
      <w:r>
        <w:rPr>
          <w:rFonts w:cs="Times New Roman"/>
          <w:spacing w:val="-3"/>
          <w:sz w:val="18"/>
          <w:szCs w:val="18"/>
          <w:lang w:val="es-ES_tradnl"/>
        </w:rPr>
        <w:t>á</w:t>
      </w:r>
      <w:r>
        <w:rPr>
          <w:spacing w:val="-3"/>
          <w:sz w:val="18"/>
          <w:szCs w:val="18"/>
          <w:lang w:val="es-ES_tradnl"/>
        </w:rPr>
        <w:t xml:space="preserve">n, dan </w:t>
      </w:r>
      <w:r>
        <w:rPr>
          <w:spacing w:val="-7"/>
          <w:sz w:val="18"/>
          <w:szCs w:val="18"/>
          <w:lang w:val="es-ES_tradnl"/>
        </w:rPr>
        <w:t>contestaci</w:t>
      </w:r>
      <w:r>
        <w:rPr>
          <w:rFonts w:cs="Times New Roman"/>
          <w:spacing w:val="-7"/>
          <w:sz w:val="18"/>
          <w:szCs w:val="18"/>
          <w:lang w:val="es-ES_tradnl"/>
        </w:rPr>
        <w:t>ó</w:t>
      </w:r>
      <w:r>
        <w:rPr>
          <w:spacing w:val="-7"/>
          <w:sz w:val="18"/>
          <w:szCs w:val="18"/>
          <w:lang w:val="es-ES_tradnl"/>
        </w:rPr>
        <w:t xml:space="preserve">n a la demanda de inconstitucionalidad, en los </w:t>
      </w:r>
      <w:r>
        <w:rPr>
          <w:sz w:val="18"/>
          <w:szCs w:val="18"/>
          <w:lang w:val="es-ES_tradnl"/>
        </w:rPr>
        <w:t>siguientes t</w:t>
      </w:r>
      <w:r>
        <w:rPr>
          <w:rFonts w:cs="Times New Roman"/>
          <w:sz w:val="18"/>
          <w:szCs w:val="18"/>
          <w:lang w:val="es-ES_tradnl"/>
        </w:rPr>
        <w:t>é</w:t>
      </w:r>
      <w:r>
        <w:rPr>
          <w:sz w:val="18"/>
          <w:szCs w:val="18"/>
          <w:lang w:val="es-ES_tradnl"/>
        </w:rPr>
        <w:t>rminos:</w:t>
      </w:r>
    </w:p>
    <w:p w14:paraId="4F67A77A" w14:textId="77777777" w:rsidR="00591D54" w:rsidRDefault="00591D54">
      <w:pPr>
        <w:shd w:val="clear" w:color="auto" w:fill="FFFFFF"/>
        <w:spacing w:before="197" w:line="216" w:lineRule="exact"/>
        <w:jc w:val="both"/>
      </w:pPr>
      <w:r>
        <w:rPr>
          <w:spacing w:val="-8"/>
          <w:sz w:val="18"/>
          <w:szCs w:val="18"/>
          <w:lang w:val="es-ES_tradnl"/>
        </w:rPr>
        <w:t>Se</w:t>
      </w:r>
      <w:r>
        <w:rPr>
          <w:rFonts w:cs="Times New Roman"/>
          <w:spacing w:val="-8"/>
          <w:sz w:val="18"/>
          <w:szCs w:val="18"/>
          <w:lang w:val="es-ES_tradnl"/>
        </w:rPr>
        <w:t>ñ</w:t>
      </w:r>
      <w:r>
        <w:rPr>
          <w:spacing w:val="-8"/>
          <w:sz w:val="18"/>
          <w:szCs w:val="18"/>
          <w:lang w:val="es-ES_tradnl"/>
        </w:rPr>
        <w:t xml:space="preserve">alan que frente al argumento planteado por CONECEL </w:t>
      </w:r>
      <w:r>
        <w:rPr>
          <w:spacing w:val="-3"/>
          <w:sz w:val="18"/>
          <w:szCs w:val="18"/>
          <w:lang w:val="es-ES_tradnl"/>
        </w:rPr>
        <w:t xml:space="preserve">de que se transgrede el principio de equidad, al indicar </w:t>
      </w:r>
      <w:r>
        <w:rPr>
          <w:spacing w:val="-5"/>
          <w:sz w:val="18"/>
          <w:szCs w:val="18"/>
          <w:lang w:val="es-ES_tradnl"/>
        </w:rPr>
        <w:t>que el monto no tiene ninguna relaci</w:t>
      </w:r>
      <w:r>
        <w:rPr>
          <w:rFonts w:cs="Times New Roman"/>
          <w:spacing w:val="-5"/>
          <w:sz w:val="18"/>
          <w:szCs w:val="18"/>
          <w:lang w:val="es-ES_tradnl"/>
        </w:rPr>
        <w:t>ó</w:t>
      </w:r>
      <w:r>
        <w:rPr>
          <w:spacing w:val="-5"/>
          <w:sz w:val="18"/>
          <w:szCs w:val="18"/>
          <w:lang w:val="es-ES_tradnl"/>
        </w:rPr>
        <w:t xml:space="preserve">n con el beneficio </w:t>
      </w:r>
      <w:r>
        <w:rPr>
          <w:spacing w:val="-3"/>
          <w:sz w:val="18"/>
          <w:szCs w:val="18"/>
          <w:lang w:val="es-ES_tradnl"/>
        </w:rPr>
        <w:t>obtenido por el contribuyente, dicha empresa, por m</w:t>
      </w:r>
      <w:r>
        <w:rPr>
          <w:rFonts w:cs="Times New Roman"/>
          <w:spacing w:val="-3"/>
          <w:sz w:val="18"/>
          <w:szCs w:val="18"/>
          <w:lang w:val="es-ES_tradnl"/>
        </w:rPr>
        <w:t>á</w:t>
      </w:r>
      <w:r>
        <w:rPr>
          <w:spacing w:val="-3"/>
          <w:sz w:val="18"/>
          <w:szCs w:val="18"/>
          <w:lang w:val="es-ES_tradnl"/>
        </w:rPr>
        <w:t xml:space="preserve">s </w:t>
      </w:r>
      <w:r>
        <w:rPr>
          <w:spacing w:val="-8"/>
          <w:sz w:val="18"/>
          <w:szCs w:val="18"/>
          <w:lang w:val="es-ES_tradnl"/>
        </w:rPr>
        <w:t>de seis a</w:t>
      </w:r>
      <w:r>
        <w:rPr>
          <w:rFonts w:cs="Times New Roman"/>
          <w:spacing w:val="-8"/>
          <w:sz w:val="18"/>
          <w:szCs w:val="18"/>
          <w:lang w:val="es-ES_tradnl"/>
        </w:rPr>
        <w:t>ñ</w:t>
      </w:r>
      <w:r>
        <w:rPr>
          <w:spacing w:val="-8"/>
          <w:sz w:val="18"/>
          <w:szCs w:val="18"/>
          <w:lang w:val="es-ES_tradnl"/>
        </w:rPr>
        <w:t>os, ha venido operando en el cant</w:t>
      </w:r>
      <w:r>
        <w:rPr>
          <w:rFonts w:cs="Times New Roman"/>
          <w:spacing w:val="-8"/>
          <w:sz w:val="18"/>
          <w:szCs w:val="18"/>
          <w:lang w:val="es-ES_tradnl"/>
        </w:rPr>
        <w:t>ó</w:t>
      </w:r>
      <w:r>
        <w:rPr>
          <w:spacing w:val="-8"/>
          <w:sz w:val="18"/>
          <w:szCs w:val="18"/>
          <w:lang w:val="es-ES_tradnl"/>
        </w:rPr>
        <w:t>n Tulc</w:t>
      </w:r>
      <w:r>
        <w:rPr>
          <w:rFonts w:cs="Times New Roman"/>
          <w:spacing w:val="-8"/>
          <w:sz w:val="18"/>
          <w:szCs w:val="18"/>
          <w:lang w:val="es-ES_tradnl"/>
        </w:rPr>
        <w:t>á</w:t>
      </w:r>
      <w:r>
        <w:rPr>
          <w:spacing w:val="-8"/>
          <w:sz w:val="18"/>
          <w:szCs w:val="18"/>
          <w:lang w:val="es-ES_tradnl"/>
        </w:rPr>
        <w:t xml:space="preserve">n, sin </w:t>
      </w:r>
      <w:r>
        <w:rPr>
          <w:spacing w:val="-6"/>
          <w:sz w:val="18"/>
          <w:szCs w:val="18"/>
          <w:lang w:val="es-ES_tradnl"/>
        </w:rPr>
        <w:t>reportar ning</w:t>
      </w:r>
      <w:r>
        <w:rPr>
          <w:rFonts w:cs="Times New Roman"/>
          <w:spacing w:val="-6"/>
          <w:sz w:val="18"/>
          <w:szCs w:val="18"/>
          <w:lang w:val="es-ES_tradnl"/>
        </w:rPr>
        <w:t>ú</w:t>
      </w:r>
      <w:r>
        <w:rPr>
          <w:spacing w:val="-6"/>
          <w:sz w:val="18"/>
          <w:szCs w:val="18"/>
          <w:lang w:val="es-ES_tradnl"/>
        </w:rPr>
        <w:t>n beneficio al cant</w:t>
      </w:r>
      <w:r>
        <w:rPr>
          <w:rFonts w:cs="Times New Roman"/>
          <w:spacing w:val="-6"/>
          <w:sz w:val="18"/>
          <w:szCs w:val="18"/>
          <w:lang w:val="es-ES_tradnl"/>
        </w:rPr>
        <w:t>ó</w:t>
      </w:r>
      <w:r>
        <w:rPr>
          <w:spacing w:val="-6"/>
          <w:sz w:val="18"/>
          <w:szCs w:val="18"/>
          <w:lang w:val="es-ES_tradnl"/>
        </w:rPr>
        <w:t xml:space="preserve">n, sin pagar impuestos, </w:t>
      </w:r>
      <w:r>
        <w:rPr>
          <w:spacing w:val="-8"/>
          <w:sz w:val="18"/>
          <w:szCs w:val="18"/>
          <w:lang w:val="es-ES_tradnl"/>
        </w:rPr>
        <w:t>tasas o contribuciones por el uso de suelo.</w:t>
      </w:r>
    </w:p>
    <w:p w14:paraId="4F67A77B" w14:textId="77777777" w:rsidR="00591D54" w:rsidRDefault="00591D54">
      <w:pPr>
        <w:shd w:val="clear" w:color="auto" w:fill="FFFFFF"/>
        <w:spacing w:before="197" w:line="216" w:lineRule="exact"/>
        <w:ind w:right="10"/>
        <w:jc w:val="both"/>
      </w:pPr>
      <w:r>
        <w:rPr>
          <w:spacing w:val="-7"/>
          <w:sz w:val="18"/>
          <w:szCs w:val="18"/>
          <w:lang w:val="es-ES_tradnl"/>
        </w:rPr>
        <w:t>Advierte que el demandante con esta acci</w:t>
      </w:r>
      <w:r>
        <w:rPr>
          <w:rFonts w:cs="Times New Roman"/>
          <w:spacing w:val="-7"/>
          <w:sz w:val="18"/>
          <w:szCs w:val="18"/>
          <w:lang w:val="es-ES_tradnl"/>
        </w:rPr>
        <w:t>ó</w:t>
      </w:r>
      <w:r>
        <w:rPr>
          <w:spacing w:val="-7"/>
          <w:sz w:val="18"/>
          <w:szCs w:val="18"/>
          <w:lang w:val="es-ES_tradnl"/>
        </w:rPr>
        <w:t xml:space="preserve">n busca evadir </w:t>
      </w:r>
      <w:r>
        <w:rPr>
          <w:spacing w:val="-9"/>
          <w:sz w:val="18"/>
          <w:szCs w:val="18"/>
          <w:lang w:val="es-ES_tradnl"/>
        </w:rPr>
        <w:t xml:space="preserve">el pago a esta Municipalidad de aquellas tasas establecidas </w:t>
      </w:r>
      <w:r>
        <w:rPr>
          <w:spacing w:val="-5"/>
          <w:sz w:val="18"/>
          <w:szCs w:val="18"/>
          <w:lang w:val="es-ES_tradnl"/>
        </w:rPr>
        <w:t>en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blica y espec</w:t>
      </w:r>
      <w:r>
        <w:rPr>
          <w:rFonts w:cs="Times New Roman"/>
          <w:spacing w:val="-5"/>
          <w:sz w:val="18"/>
          <w:szCs w:val="18"/>
          <w:lang w:val="es-ES_tradnl"/>
        </w:rPr>
        <w:t>í</w:t>
      </w:r>
      <w:r>
        <w:rPr>
          <w:spacing w:val="-5"/>
          <w:sz w:val="18"/>
          <w:szCs w:val="18"/>
          <w:lang w:val="es-ES_tradnl"/>
        </w:rPr>
        <w:t>ficamente en el art</w:t>
      </w:r>
      <w:r>
        <w:rPr>
          <w:rFonts w:cs="Times New Roman"/>
          <w:spacing w:val="-5"/>
          <w:sz w:val="18"/>
          <w:szCs w:val="18"/>
          <w:lang w:val="es-ES_tradnl"/>
        </w:rPr>
        <w:t>í</w:t>
      </w:r>
      <w:r>
        <w:rPr>
          <w:spacing w:val="-5"/>
          <w:sz w:val="18"/>
          <w:szCs w:val="18"/>
          <w:lang w:val="es-ES_tradnl"/>
        </w:rPr>
        <w:t>culo 567 del C</w:t>
      </w:r>
      <w:r>
        <w:rPr>
          <w:rFonts w:cs="Times New Roman"/>
          <w:spacing w:val="-5"/>
          <w:sz w:val="18"/>
          <w:szCs w:val="18"/>
          <w:lang w:val="es-ES_tradnl"/>
        </w:rPr>
        <w:t>ó</w:t>
      </w:r>
      <w:r>
        <w:rPr>
          <w:spacing w:val="-5"/>
          <w:sz w:val="18"/>
          <w:szCs w:val="18"/>
          <w:lang w:val="es-ES_tradnl"/>
        </w:rPr>
        <w:t>digo Org</w:t>
      </w:r>
      <w:r>
        <w:rPr>
          <w:rFonts w:cs="Times New Roman"/>
          <w:spacing w:val="-5"/>
          <w:sz w:val="18"/>
          <w:szCs w:val="18"/>
          <w:lang w:val="es-ES_tradnl"/>
        </w:rPr>
        <w:t>á</w:t>
      </w:r>
      <w:r>
        <w:rPr>
          <w:spacing w:val="-5"/>
          <w:sz w:val="18"/>
          <w:szCs w:val="18"/>
          <w:lang w:val="es-ES_tradnl"/>
        </w:rPr>
        <w:t>nico de Organizaci</w:t>
      </w:r>
      <w:r>
        <w:rPr>
          <w:rFonts w:cs="Times New Roman"/>
          <w:spacing w:val="-5"/>
          <w:sz w:val="18"/>
          <w:szCs w:val="18"/>
          <w:lang w:val="es-ES_tradnl"/>
        </w:rPr>
        <w:t>ó</w:t>
      </w:r>
      <w:r>
        <w:rPr>
          <w:spacing w:val="-5"/>
          <w:sz w:val="18"/>
          <w:szCs w:val="18"/>
          <w:lang w:val="es-ES_tradnl"/>
        </w:rPr>
        <w:t xml:space="preserve">n </w:t>
      </w:r>
      <w:r>
        <w:rPr>
          <w:spacing w:val="-6"/>
          <w:sz w:val="18"/>
          <w:szCs w:val="18"/>
          <w:lang w:val="es-ES_tradnl"/>
        </w:rPr>
        <w:t>Territorial, Autonom</w:t>
      </w:r>
      <w:r>
        <w:rPr>
          <w:rFonts w:cs="Times New Roman"/>
          <w:spacing w:val="-6"/>
          <w:sz w:val="18"/>
          <w:szCs w:val="18"/>
          <w:lang w:val="es-ES_tradnl"/>
        </w:rPr>
        <w:t>í</w:t>
      </w:r>
      <w:r>
        <w:rPr>
          <w:spacing w:val="-6"/>
          <w:sz w:val="18"/>
          <w:szCs w:val="18"/>
          <w:lang w:val="es-ES_tradnl"/>
        </w:rPr>
        <w:t>a y Descentralizaci</w:t>
      </w:r>
      <w:r>
        <w:rPr>
          <w:rFonts w:cs="Times New Roman"/>
          <w:spacing w:val="-6"/>
          <w:sz w:val="18"/>
          <w:szCs w:val="18"/>
          <w:lang w:val="es-ES_tradnl"/>
        </w:rPr>
        <w:t>ó</w:t>
      </w:r>
      <w:r>
        <w:rPr>
          <w:spacing w:val="-6"/>
          <w:sz w:val="18"/>
          <w:szCs w:val="18"/>
          <w:lang w:val="es-ES_tradnl"/>
        </w:rPr>
        <w:t>n, a trav</w:t>
      </w:r>
      <w:r>
        <w:rPr>
          <w:rFonts w:cs="Times New Roman"/>
          <w:spacing w:val="-6"/>
          <w:sz w:val="18"/>
          <w:szCs w:val="18"/>
          <w:lang w:val="es-ES_tradnl"/>
        </w:rPr>
        <w:t>é</w:t>
      </w:r>
      <w:r>
        <w:rPr>
          <w:spacing w:val="-6"/>
          <w:sz w:val="18"/>
          <w:szCs w:val="18"/>
          <w:lang w:val="es-ES_tradnl"/>
        </w:rPr>
        <w:t xml:space="preserve">s de la </w:t>
      </w:r>
      <w:r>
        <w:rPr>
          <w:spacing w:val="-8"/>
          <w:sz w:val="18"/>
          <w:szCs w:val="18"/>
          <w:lang w:val="es-ES_tradnl"/>
        </w:rPr>
        <w:t xml:space="preserve">cual se le confiere a los municipios crear la tasa, la cual es </w:t>
      </w:r>
      <w:r>
        <w:rPr>
          <w:spacing w:val="-7"/>
          <w:sz w:val="18"/>
          <w:szCs w:val="18"/>
          <w:lang w:val="es-ES_tradnl"/>
        </w:rPr>
        <w:t>objeto de esta declaratoria de inconstitucionalidad.</w:t>
      </w:r>
    </w:p>
    <w:p w14:paraId="4F67A77C" w14:textId="77777777" w:rsidR="00591D54" w:rsidRDefault="00591D54">
      <w:pPr>
        <w:shd w:val="clear" w:color="auto" w:fill="FFFFFF"/>
        <w:spacing w:before="10" w:line="216" w:lineRule="exact"/>
        <w:jc w:val="both"/>
      </w:pPr>
      <w:r>
        <w:br w:type="column"/>
      </w:r>
      <w:r>
        <w:rPr>
          <w:spacing w:val="-9"/>
          <w:sz w:val="18"/>
          <w:szCs w:val="18"/>
          <w:lang w:val="es-ES_tradnl"/>
        </w:rPr>
        <w:t xml:space="preserve">Los representantes del gobierno municipal manifiestan que las tasas no solo se crean para satisfacer una necesidad </w:t>
      </w:r>
      <w:r>
        <w:rPr>
          <w:spacing w:val="-5"/>
          <w:sz w:val="18"/>
          <w:szCs w:val="18"/>
          <w:lang w:val="es-ES_tradnl"/>
        </w:rPr>
        <w:t>colectiva, sino tambi</w:t>
      </w:r>
      <w:r>
        <w:rPr>
          <w:rFonts w:cs="Times New Roman"/>
          <w:spacing w:val="-5"/>
          <w:sz w:val="18"/>
          <w:szCs w:val="18"/>
          <w:lang w:val="es-ES_tradnl"/>
        </w:rPr>
        <w:t>é</w:t>
      </w:r>
      <w:r>
        <w:rPr>
          <w:spacing w:val="-5"/>
          <w:sz w:val="18"/>
          <w:szCs w:val="18"/>
          <w:lang w:val="es-ES_tradnl"/>
        </w:rPr>
        <w:t>n se crean por la utilizaci</w:t>
      </w:r>
      <w:r>
        <w:rPr>
          <w:rFonts w:cs="Times New Roman"/>
          <w:spacing w:val="-5"/>
          <w:sz w:val="18"/>
          <w:szCs w:val="18"/>
          <w:lang w:val="es-ES_tradnl"/>
        </w:rPr>
        <w:t>ó</w:t>
      </w:r>
      <w:r>
        <w:rPr>
          <w:spacing w:val="-5"/>
          <w:sz w:val="18"/>
          <w:szCs w:val="18"/>
          <w:lang w:val="es-ES_tradnl"/>
        </w:rPr>
        <w:t xml:space="preserve">n privada </w:t>
      </w:r>
      <w:r>
        <w:rPr>
          <w:spacing w:val="-7"/>
          <w:sz w:val="18"/>
          <w:szCs w:val="18"/>
          <w:lang w:val="es-ES_tradnl"/>
        </w:rPr>
        <w:t>o el aprovechamiento especial del dominio p</w:t>
      </w:r>
      <w:r>
        <w:rPr>
          <w:rFonts w:cs="Times New Roman"/>
          <w:spacing w:val="-7"/>
          <w:sz w:val="18"/>
          <w:szCs w:val="18"/>
          <w:lang w:val="es-ES_tradnl"/>
        </w:rPr>
        <w:t>ú</w:t>
      </w:r>
      <w:r>
        <w:rPr>
          <w:spacing w:val="-7"/>
          <w:sz w:val="18"/>
          <w:szCs w:val="18"/>
          <w:lang w:val="es-ES_tradnl"/>
        </w:rPr>
        <w:t>blico, seg</w:t>
      </w:r>
      <w:r>
        <w:rPr>
          <w:rFonts w:cs="Times New Roman"/>
          <w:spacing w:val="-7"/>
          <w:sz w:val="18"/>
          <w:szCs w:val="18"/>
          <w:lang w:val="es-ES_tradnl"/>
        </w:rPr>
        <w:t>ú</w:t>
      </w:r>
      <w:r>
        <w:rPr>
          <w:spacing w:val="-7"/>
          <w:sz w:val="18"/>
          <w:szCs w:val="18"/>
          <w:lang w:val="es-ES_tradnl"/>
        </w:rPr>
        <w:t xml:space="preserve">n </w:t>
      </w:r>
      <w:r>
        <w:rPr>
          <w:spacing w:val="-8"/>
          <w:sz w:val="18"/>
          <w:szCs w:val="18"/>
          <w:lang w:val="es-ES_tradnl"/>
        </w:rPr>
        <w:t>se</w:t>
      </w:r>
      <w:r>
        <w:rPr>
          <w:rFonts w:cs="Times New Roman"/>
          <w:spacing w:val="-8"/>
          <w:sz w:val="18"/>
          <w:szCs w:val="18"/>
          <w:lang w:val="es-ES_tradnl"/>
        </w:rPr>
        <w:t>ñ</w:t>
      </w:r>
      <w:r>
        <w:rPr>
          <w:spacing w:val="-8"/>
          <w:sz w:val="18"/>
          <w:szCs w:val="18"/>
          <w:lang w:val="es-ES_tradnl"/>
        </w:rPr>
        <w:t>ala el art</w:t>
      </w:r>
      <w:r>
        <w:rPr>
          <w:rFonts w:cs="Times New Roman"/>
          <w:spacing w:val="-8"/>
          <w:sz w:val="18"/>
          <w:szCs w:val="18"/>
          <w:lang w:val="es-ES_tradnl"/>
        </w:rPr>
        <w:t>í</w:t>
      </w:r>
      <w:r>
        <w:rPr>
          <w:spacing w:val="-8"/>
          <w:sz w:val="18"/>
          <w:szCs w:val="18"/>
          <w:lang w:val="es-ES_tradnl"/>
        </w:rPr>
        <w:t>culo antes mencionado del COOTAD.</w:t>
      </w:r>
    </w:p>
    <w:p w14:paraId="4F67A77D" w14:textId="77777777" w:rsidR="00591D54" w:rsidRDefault="00591D54">
      <w:pPr>
        <w:shd w:val="clear" w:color="auto" w:fill="FFFFFF"/>
        <w:spacing w:before="197" w:line="216" w:lineRule="exact"/>
        <w:jc w:val="both"/>
      </w:pPr>
      <w:r>
        <w:rPr>
          <w:spacing w:val="-7"/>
          <w:sz w:val="18"/>
          <w:szCs w:val="18"/>
          <w:lang w:val="es-ES_tradnl"/>
        </w:rPr>
        <w:t>Agrega adem</w:t>
      </w:r>
      <w:r>
        <w:rPr>
          <w:rFonts w:cs="Times New Roman"/>
          <w:spacing w:val="-7"/>
          <w:sz w:val="18"/>
          <w:szCs w:val="18"/>
          <w:lang w:val="es-ES_tradnl"/>
        </w:rPr>
        <w:t>á</w:t>
      </w:r>
      <w:r>
        <w:rPr>
          <w:spacing w:val="-7"/>
          <w:sz w:val="18"/>
          <w:szCs w:val="18"/>
          <w:lang w:val="es-ES_tradnl"/>
        </w:rPr>
        <w:t xml:space="preserve">s que constituye una falacia el comparar el </w:t>
      </w:r>
      <w:r>
        <w:rPr>
          <w:spacing w:val="-9"/>
          <w:sz w:val="18"/>
          <w:szCs w:val="18"/>
          <w:lang w:val="es-ES_tradnl"/>
        </w:rPr>
        <w:t>cobro de tasas entre el Municipio de Quito y el Municipio de Tulc</w:t>
      </w:r>
      <w:r>
        <w:rPr>
          <w:rFonts w:cs="Times New Roman"/>
          <w:spacing w:val="-9"/>
          <w:sz w:val="18"/>
          <w:szCs w:val="18"/>
          <w:lang w:val="es-ES_tradnl"/>
        </w:rPr>
        <w:t>á</w:t>
      </w:r>
      <w:r>
        <w:rPr>
          <w:spacing w:val="-9"/>
          <w:sz w:val="18"/>
          <w:szCs w:val="18"/>
          <w:lang w:val="es-ES_tradnl"/>
        </w:rPr>
        <w:t>n, pues las realidades geogr</w:t>
      </w:r>
      <w:r>
        <w:rPr>
          <w:rFonts w:cs="Times New Roman"/>
          <w:spacing w:val="-9"/>
          <w:sz w:val="18"/>
          <w:szCs w:val="18"/>
          <w:lang w:val="es-ES_tradnl"/>
        </w:rPr>
        <w:t>á</w:t>
      </w:r>
      <w:r>
        <w:rPr>
          <w:spacing w:val="-9"/>
          <w:sz w:val="18"/>
          <w:szCs w:val="18"/>
          <w:lang w:val="es-ES_tradnl"/>
        </w:rPr>
        <w:t>ficas y socioecon</w:t>
      </w:r>
      <w:r>
        <w:rPr>
          <w:rFonts w:cs="Times New Roman"/>
          <w:spacing w:val="-9"/>
          <w:sz w:val="18"/>
          <w:szCs w:val="18"/>
          <w:lang w:val="es-ES_tradnl"/>
        </w:rPr>
        <w:t>ó</w:t>
      </w:r>
      <w:r>
        <w:rPr>
          <w:spacing w:val="-9"/>
          <w:sz w:val="18"/>
          <w:szCs w:val="18"/>
          <w:lang w:val="es-ES_tradnl"/>
        </w:rPr>
        <w:t xml:space="preserve">micas </w:t>
      </w:r>
      <w:r>
        <w:rPr>
          <w:spacing w:val="-10"/>
          <w:sz w:val="18"/>
          <w:szCs w:val="18"/>
          <w:lang w:val="es-ES_tradnl"/>
        </w:rPr>
        <w:t xml:space="preserve">son distintas. Manifiestan que la ordenanza que se impugna </w:t>
      </w:r>
      <w:r>
        <w:rPr>
          <w:spacing w:val="-6"/>
          <w:sz w:val="18"/>
          <w:szCs w:val="18"/>
          <w:lang w:val="es-ES_tradnl"/>
        </w:rPr>
        <w:t xml:space="preserve">no nace de un acto arbitrario del ente municipal, sino que </w:t>
      </w:r>
      <w:r>
        <w:rPr>
          <w:spacing w:val="-5"/>
          <w:sz w:val="18"/>
          <w:szCs w:val="18"/>
          <w:lang w:val="es-ES_tradnl"/>
        </w:rPr>
        <w:t>constituye un acto constitucional y legal, como as</w:t>
      </w:r>
      <w:r>
        <w:rPr>
          <w:rFonts w:cs="Times New Roman"/>
          <w:spacing w:val="-5"/>
          <w:sz w:val="18"/>
          <w:szCs w:val="18"/>
          <w:lang w:val="es-ES_tradnl"/>
        </w:rPr>
        <w:t>í</w:t>
      </w:r>
      <w:r>
        <w:rPr>
          <w:spacing w:val="-5"/>
          <w:sz w:val="18"/>
          <w:szCs w:val="18"/>
          <w:lang w:val="es-ES_tradnl"/>
        </w:rPr>
        <w:t xml:space="preserve"> lo ha </w:t>
      </w:r>
      <w:r>
        <w:rPr>
          <w:spacing w:val="-9"/>
          <w:sz w:val="18"/>
          <w:szCs w:val="18"/>
          <w:lang w:val="es-ES_tradnl"/>
        </w:rPr>
        <w:t>ratificado la nueva Ley de Telecomunicaciones y el art</w:t>
      </w:r>
      <w:r>
        <w:rPr>
          <w:rFonts w:cs="Times New Roman"/>
          <w:spacing w:val="-9"/>
          <w:sz w:val="18"/>
          <w:szCs w:val="18"/>
          <w:lang w:val="es-ES_tradnl"/>
        </w:rPr>
        <w:t>í</w:t>
      </w:r>
      <w:r>
        <w:rPr>
          <w:spacing w:val="-9"/>
          <w:sz w:val="18"/>
          <w:szCs w:val="18"/>
          <w:lang w:val="es-ES_tradnl"/>
        </w:rPr>
        <w:t xml:space="preserve">culo </w:t>
      </w:r>
      <w:r>
        <w:rPr>
          <w:spacing w:val="-5"/>
          <w:sz w:val="18"/>
          <w:szCs w:val="18"/>
          <w:lang w:val="es-ES_tradnl"/>
        </w:rPr>
        <w:t>567 del C</w:t>
      </w:r>
      <w:r>
        <w:rPr>
          <w:rFonts w:cs="Times New Roman"/>
          <w:spacing w:val="-5"/>
          <w:sz w:val="18"/>
          <w:szCs w:val="18"/>
          <w:lang w:val="es-ES_tradnl"/>
        </w:rPr>
        <w:t>ó</w:t>
      </w:r>
      <w:r>
        <w:rPr>
          <w:spacing w:val="-5"/>
          <w:sz w:val="18"/>
          <w:szCs w:val="18"/>
          <w:lang w:val="es-ES_tradnl"/>
        </w:rPr>
        <w:t>digo Org</w:t>
      </w:r>
      <w:r>
        <w:rPr>
          <w:rFonts w:cs="Times New Roman"/>
          <w:spacing w:val="-5"/>
          <w:sz w:val="18"/>
          <w:szCs w:val="18"/>
          <w:lang w:val="es-ES_tradnl"/>
        </w:rPr>
        <w:t>á</w:t>
      </w:r>
      <w:r>
        <w:rPr>
          <w:spacing w:val="-5"/>
          <w:sz w:val="18"/>
          <w:szCs w:val="18"/>
          <w:lang w:val="es-ES_tradnl"/>
        </w:rPr>
        <w:t>nico de Organizaci</w:t>
      </w:r>
      <w:r>
        <w:rPr>
          <w:rFonts w:cs="Times New Roman"/>
          <w:spacing w:val="-5"/>
          <w:sz w:val="18"/>
          <w:szCs w:val="18"/>
          <w:lang w:val="es-ES_tradnl"/>
        </w:rPr>
        <w:t>ó</w:t>
      </w:r>
      <w:r>
        <w:rPr>
          <w:spacing w:val="-5"/>
          <w:sz w:val="18"/>
          <w:szCs w:val="18"/>
          <w:lang w:val="es-ES_tradnl"/>
        </w:rPr>
        <w:t xml:space="preserve">n Territorial, </w:t>
      </w:r>
      <w:r>
        <w:rPr>
          <w:sz w:val="18"/>
          <w:szCs w:val="18"/>
          <w:lang w:val="es-ES_tradnl"/>
        </w:rPr>
        <w:t>Autonom</w:t>
      </w:r>
      <w:r>
        <w:rPr>
          <w:rFonts w:cs="Times New Roman"/>
          <w:sz w:val="18"/>
          <w:szCs w:val="18"/>
          <w:lang w:val="es-ES_tradnl"/>
        </w:rPr>
        <w:t>í</w:t>
      </w:r>
      <w:r>
        <w:rPr>
          <w:sz w:val="18"/>
          <w:szCs w:val="18"/>
          <w:lang w:val="es-ES_tradnl"/>
        </w:rPr>
        <w:t>a y Descentralizaci</w:t>
      </w:r>
      <w:r>
        <w:rPr>
          <w:rFonts w:cs="Times New Roman"/>
          <w:sz w:val="18"/>
          <w:szCs w:val="18"/>
          <w:lang w:val="es-ES_tradnl"/>
        </w:rPr>
        <w:t>ó</w:t>
      </w:r>
      <w:r>
        <w:rPr>
          <w:sz w:val="18"/>
          <w:szCs w:val="18"/>
          <w:lang w:val="es-ES_tradnl"/>
        </w:rPr>
        <w:t>n.</w:t>
      </w:r>
    </w:p>
    <w:p w14:paraId="4F67A77E" w14:textId="77777777" w:rsidR="00591D54" w:rsidRDefault="00591D54">
      <w:pPr>
        <w:shd w:val="clear" w:color="auto" w:fill="FFFFFF"/>
        <w:spacing w:before="197" w:line="216" w:lineRule="exact"/>
        <w:jc w:val="both"/>
      </w:pPr>
      <w:r>
        <w:rPr>
          <w:spacing w:val="-6"/>
          <w:sz w:val="18"/>
          <w:szCs w:val="18"/>
          <w:lang w:val="es-ES_tradnl"/>
        </w:rPr>
        <w:t>Finalmente, solicitan que la Corte Constitucional se sirva desechar la demanda de inconstitucionalidad por carecer de fundamentaci</w:t>
      </w:r>
      <w:r>
        <w:rPr>
          <w:rFonts w:cs="Times New Roman"/>
          <w:spacing w:val="-6"/>
          <w:sz w:val="18"/>
          <w:szCs w:val="18"/>
          <w:lang w:val="es-ES_tradnl"/>
        </w:rPr>
        <w:t>ó</w:t>
      </w:r>
      <w:r>
        <w:rPr>
          <w:spacing w:val="-6"/>
          <w:sz w:val="18"/>
          <w:szCs w:val="18"/>
          <w:lang w:val="es-ES_tradnl"/>
        </w:rPr>
        <w:t>n legal; as</w:t>
      </w:r>
      <w:r>
        <w:rPr>
          <w:rFonts w:cs="Times New Roman"/>
          <w:spacing w:val="-6"/>
          <w:sz w:val="18"/>
          <w:szCs w:val="18"/>
          <w:lang w:val="es-ES_tradnl"/>
        </w:rPr>
        <w:t>í</w:t>
      </w:r>
      <w:r>
        <w:rPr>
          <w:spacing w:val="-6"/>
          <w:sz w:val="18"/>
          <w:szCs w:val="18"/>
          <w:lang w:val="es-ES_tradnl"/>
        </w:rPr>
        <w:t xml:space="preserve"> tambi</w:t>
      </w:r>
      <w:r>
        <w:rPr>
          <w:rFonts w:cs="Times New Roman"/>
          <w:spacing w:val="-6"/>
          <w:sz w:val="18"/>
          <w:szCs w:val="18"/>
          <w:lang w:val="es-ES_tradnl"/>
        </w:rPr>
        <w:t>é</w:t>
      </w:r>
      <w:r>
        <w:rPr>
          <w:spacing w:val="-6"/>
          <w:sz w:val="18"/>
          <w:szCs w:val="18"/>
          <w:lang w:val="es-ES_tradnl"/>
        </w:rPr>
        <w:t xml:space="preserve">n, solicitan que se </w:t>
      </w:r>
      <w:r>
        <w:rPr>
          <w:spacing w:val="-11"/>
          <w:sz w:val="18"/>
          <w:szCs w:val="18"/>
          <w:lang w:val="es-ES_tradnl"/>
        </w:rPr>
        <w:t xml:space="preserve">pronuncien sobre el levantamiento de las medidas cautelares </w:t>
      </w:r>
      <w:r>
        <w:rPr>
          <w:sz w:val="18"/>
          <w:szCs w:val="18"/>
          <w:lang w:val="es-ES_tradnl"/>
        </w:rPr>
        <w:t>adoptadas el 09 de abril de 2015.</w:t>
      </w:r>
    </w:p>
    <w:p w14:paraId="4F67A77F" w14:textId="77777777" w:rsidR="00591D54" w:rsidRDefault="00591D54">
      <w:pPr>
        <w:shd w:val="clear" w:color="auto" w:fill="FFFFFF"/>
        <w:spacing w:before="192"/>
      </w:pPr>
      <w:r>
        <w:rPr>
          <w:b/>
          <w:bCs/>
          <w:spacing w:val="-7"/>
          <w:sz w:val="18"/>
          <w:szCs w:val="18"/>
          <w:lang w:val="es-ES_tradnl"/>
        </w:rPr>
        <w:t>Procuradur</w:t>
      </w:r>
      <w:r>
        <w:rPr>
          <w:rFonts w:cs="Times New Roman"/>
          <w:b/>
          <w:bCs/>
          <w:spacing w:val="-7"/>
          <w:sz w:val="18"/>
          <w:szCs w:val="18"/>
          <w:lang w:val="es-ES_tradnl"/>
        </w:rPr>
        <w:t>í</w:t>
      </w:r>
      <w:r>
        <w:rPr>
          <w:b/>
          <w:bCs/>
          <w:spacing w:val="-7"/>
          <w:sz w:val="18"/>
          <w:szCs w:val="18"/>
          <w:lang w:val="es-ES_tradnl"/>
        </w:rPr>
        <w:t>a General del Estado</w:t>
      </w:r>
    </w:p>
    <w:p w14:paraId="4F67A780" w14:textId="77777777" w:rsidR="00591D54" w:rsidRDefault="00591D54">
      <w:pPr>
        <w:shd w:val="clear" w:color="auto" w:fill="FFFFFF"/>
        <w:spacing w:before="192" w:line="216" w:lineRule="exact"/>
        <w:jc w:val="both"/>
      </w:pPr>
      <w:r>
        <w:rPr>
          <w:spacing w:val="-3"/>
          <w:sz w:val="18"/>
          <w:szCs w:val="18"/>
          <w:lang w:val="es-ES_tradnl"/>
        </w:rPr>
        <w:t xml:space="preserve">Mediante escrito ingresado a esta Corte el 05 de mayo </w:t>
      </w:r>
      <w:r>
        <w:rPr>
          <w:spacing w:val="-8"/>
          <w:sz w:val="18"/>
          <w:szCs w:val="18"/>
          <w:lang w:val="es-ES_tradnl"/>
        </w:rPr>
        <w:t xml:space="preserve">de 2015, el abogado Marcos Arteaga Valenzuela, director </w:t>
      </w:r>
      <w:r>
        <w:rPr>
          <w:spacing w:val="-7"/>
          <w:sz w:val="18"/>
          <w:szCs w:val="18"/>
          <w:lang w:val="es-ES_tradnl"/>
        </w:rPr>
        <w:t xml:space="preserve">nacional de Patrocinio y delegado del procurador general </w:t>
      </w:r>
      <w:r>
        <w:rPr>
          <w:spacing w:val="-8"/>
          <w:sz w:val="18"/>
          <w:szCs w:val="18"/>
          <w:lang w:val="es-ES_tradnl"/>
        </w:rPr>
        <w:t>del Estado, comparece y manifiesta lo siguiente:</w:t>
      </w:r>
    </w:p>
    <w:p w14:paraId="4F67A781" w14:textId="77777777" w:rsidR="00591D54" w:rsidRDefault="00591D54">
      <w:pPr>
        <w:shd w:val="clear" w:color="auto" w:fill="FFFFFF"/>
        <w:spacing w:before="192" w:line="216" w:lineRule="exact"/>
        <w:jc w:val="both"/>
      </w:pPr>
      <w:r>
        <w:rPr>
          <w:sz w:val="18"/>
          <w:szCs w:val="18"/>
          <w:lang w:val="es-ES_tradnl"/>
        </w:rPr>
        <w:t>Que 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 xml:space="preserve">blica del Ecuador, en </w:t>
      </w:r>
      <w:r>
        <w:rPr>
          <w:spacing w:val="-6"/>
          <w:sz w:val="18"/>
          <w:szCs w:val="18"/>
          <w:lang w:val="es-ES_tradnl"/>
        </w:rPr>
        <w:t>su art</w:t>
      </w:r>
      <w:r>
        <w:rPr>
          <w:rFonts w:cs="Times New Roman"/>
          <w:spacing w:val="-6"/>
          <w:sz w:val="18"/>
          <w:szCs w:val="18"/>
          <w:lang w:val="es-ES_tradnl"/>
        </w:rPr>
        <w:t>í</w:t>
      </w:r>
      <w:r>
        <w:rPr>
          <w:spacing w:val="-6"/>
          <w:sz w:val="18"/>
          <w:szCs w:val="18"/>
          <w:lang w:val="es-ES_tradnl"/>
        </w:rPr>
        <w:t>culo 261 numeral 10, se</w:t>
      </w:r>
      <w:r>
        <w:rPr>
          <w:rFonts w:cs="Times New Roman"/>
          <w:spacing w:val="-6"/>
          <w:sz w:val="18"/>
          <w:szCs w:val="18"/>
          <w:lang w:val="es-ES_tradnl"/>
        </w:rPr>
        <w:t>ñ</w:t>
      </w:r>
      <w:r>
        <w:rPr>
          <w:spacing w:val="-6"/>
          <w:sz w:val="18"/>
          <w:szCs w:val="18"/>
          <w:lang w:val="es-ES_tradnl"/>
        </w:rPr>
        <w:t xml:space="preserve">ala que el Estado central </w:t>
      </w:r>
      <w:r>
        <w:rPr>
          <w:spacing w:val="-7"/>
          <w:sz w:val="18"/>
          <w:szCs w:val="18"/>
          <w:lang w:val="es-ES_tradnl"/>
        </w:rPr>
        <w:t>tendr</w:t>
      </w:r>
      <w:r>
        <w:rPr>
          <w:rFonts w:cs="Times New Roman"/>
          <w:spacing w:val="-7"/>
          <w:sz w:val="18"/>
          <w:szCs w:val="18"/>
          <w:lang w:val="es-ES_tradnl"/>
        </w:rPr>
        <w:t>á</w:t>
      </w:r>
      <w:r>
        <w:rPr>
          <w:spacing w:val="-7"/>
          <w:sz w:val="18"/>
          <w:szCs w:val="18"/>
          <w:lang w:val="es-ES_tradnl"/>
        </w:rPr>
        <w:t xml:space="preserve"> exclusiva competencia, entre otras, del espectro </w:t>
      </w:r>
      <w:r>
        <w:rPr>
          <w:spacing w:val="-8"/>
          <w:sz w:val="18"/>
          <w:szCs w:val="18"/>
          <w:lang w:val="es-ES_tradnl"/>
        </w:rPr>
        <w:t>radioel</w:t>
      </w:r>
      <w:r>
        <w:rPr>
          <w:rFonts w:cs="Times New Roman"/>
          <w:spacing w:val="-8"/>
          <w:sz w:val="18"/>
          <w:szCs w:val="18"/>
          <w:lang w:val="es-ES_tradnl"/>
        </w:rPr>
        <w:t>é</w:t>
      </w:r>
      <w:r>
        <w:rPr>
          <w:spacing w:val="-8"/>
          <w:sz w:val="18"/>
          <w:szCs w:val="18"/>
          <w:lang w:val="es-ES_tradnl"/>
        </w:rPr>
        <w:t>ctrico y del r</w:t>
      </w:r>
      <w:r>
        <w:rPr>
          <w:rFonts w:cs="Times New Roman"/>
          <w:spacing w:val="-8"/>
          <w:sz w:val="18"/>
          <w:szCs w:val="18"/>
          <w:lang w:val="es-ES_tradnl"/>
        </w:rPr>
        <w:t>é</w:t>
      </w:r>
      <w:r>
        <w:rPr>
          <w:spacing w:val="-8"/>
          <w:sz w:val="18"/>
          <w:szCs w:val="18"/>
          <w:lang w:val="es-ES_tradnl"/>
        </w:rPr>
        <w:t>gimen general de las comunicaciones y telecomunicaciones, puertos y aeropuertos. De tal modo, se</w:t>
      </w:r>
      <w:r>
        <w:rPr>
          <w:rFonts w:cs="Times New Roman"/>
          <w:spacing w:val="-8"/>
          <w:sz w:val="18"/>
          <w:szCs w:val="18"/>
          <w:lang w:val="es-ES_tradnl"/>
        </w:rPr>
        <w:t>ñ</w:t>
      </w:r>
      <w:r>
        <w:rPr>
          <w:spacing w:val="-8"/>
          <w:sz w:val="18"/>
          <w:szCs w:val="18"/>
          <w:lang w:val="es-ES_tradnl"/>
        </w:rPr>
        <w:t>ala que el servicio p</w:t>
      </w:r>
      <w:r>
        <w:rPr>
          <w:rFonts w:cs="Times New Roman"/>
          <w:spacing w:val="-8"/>
          <w:sz w:val="18"/>
          <w:szCs w:val="18"/>
          <w:lang w:val="es-ES_tradnl"/>
        </w:rPr>
        <w:t>ú</w:t>
      </w:r>
      <w:r>
        <w:rPr>
          <w:spacing w:val="-8"/>
          <w:sz w:val="18"/>
          <w:szCs w:val="18"/>
          <w:lang w:val="es-ES_tradnl"/>
        </w:rPr>
        <w:t>blico de telecomunicaciones est</w:t>
      </w:r>
      <w:r>
        <w:rPr>
          <w:rFonts w:cs="Times New Roman"/>
          <w:spacing w:val="-8"/>
          <w:sz w:val="18"/>
          <w:szCs w:val="18"/>
          <w:lang w:val="es-ES_tradnl"/>
        </w:rPr>
        <w:t xml:space="preserve">á </w:t>
      </w:r>
      <w:r>
        <w:rPr>
          <w:spacing w:val="-8"/>
          <w:sz w:val="18"/>
          <w:szCs w:val="18"/>
          <w:lang w:val="es-ES_tradnl"/>
        </w:rPr>
        <w:t>dentro del grupo denominado sectores estrat</w:t>
      </w:r>
      <w:r>
        <w:rPr>
          <w:rFonts w:cs="Times New Roman"/>
          <w:spacing w:val="-8"/>
          <w:sz w:val="18"/>
          <w:szCs w:val="18"/>
          <w:lang w:val="es-ES_tradnl"/>
        </w:rPr>
        <w:t>é</w:t>
      </w:r>
      <w:r>
        <w:rPr>
          <w:spacing w:val="-8"/>
          <w:sz w:val="18"/>
          <w:szCs w:val="18"/>
          <w:lang w:val="es-ES_tradnl"/>
        </w:rPr>
        <w:t xml:space="preserve">gicos, por lo </w:t>
      </w:r>
      <w:r>
        <w:rPr>
          <w:spacing w:val="-9"/>
          <w:sz w:val="18"/>
          <w:szCs w:val="18"/>
          <w:lang w:val="es-ES_tradnl"/>
        </w:rPr>
        <w:t>que el Estado central se reserva el derecho de administrar, regular y gestionar los sectores estrat</w:t>
      </w:r>
      <w:r>
        <w:rPr>
          <w:rFonts w:cs="Times New Roman"/>
          <w:spacing w:val="-9"/>
          <w:sz w:val="18"/>
          <w:szCs w:val="18"/>
          <w:lang w:val="es-ES_tradnl"/>
        </w:rPr>
        <w:t>é</w:t>
      </w:r>
      <w:r>
        <w:rPr>
          <w:spacing w:val="-9"/>
          <w:sz w:val="18"/>
          <w:szCs w:val="18"/>
          <w:lang w:val="es-ES_tradnl"/>
        </w:rPr>
        <w:t>gicos, lo que tambi</w:t>
      </w:r>
      <w:r>
        <w:rPr>
          <w:rFonts w:cs="Times New Roman"/>
          <w:spacing w:val="-9"/>
          <w:sz w:val="18"/>
          <w:szCs w:val="18"/>
          <w:lang w:val="es-ES_tradnl"/>
        </w:rPr>
        <w:t>é</w:t>
      </w:r>
      <w:r>
        <w:rPr>
          <w:spacing w:val="-9"/>
          <w:sz w:val="18"/>
          <w:szCs w:val="18"/>
          <w:lang w:val="es-ES_tradnl"/>
        </w:rPr>
        <w:t>n significa que puede, de acuerdo al art</w:t>
      </w:r>
      <w:r>
        <w:rPr>
          <w:rFonts w:cs="Times New Roman"/>
          <w:spacing w:val="-9"/>
          <w:sz w:val="18"/>
          <w:szCs w:val="18"/>
          <w:lang w:val="es-ES_tradnl"/>
        </w:rPr>
        <w:t>í</w:t>
      </w:r>
      <w:r>
        <w:rPr>
          <w:spacing w:val="-9"/>
          <w:sz w:val="18"/>
          <w:szCs w:val="18"/>
          <w:lang w:val="es-ES_tradnl"/>
        </w:rPr>
        <w:t xml:space="preserve">culo 314 de la norma </w:t>
      </w:r>
      <w:r>
        <w:rPr>
          <w:spacing w:val="-8"/>
          <w:sz w:val="18"/>
          <w:szCs w:val="18"/>
          <w:lang w:val="es-ES_tradnl"/>
        </w:rPr>
        <w:t xml:space="preserve">constitucional, disponer y fijar los precios, tarifas, tasas por </w:t>
      </w:r>
      <w:r>
        <w:rPr>
          <w:spacing w:val="-11"/>
          <w:sz w:val="18"/>
          <w:szCs w:val="18"/>
          <w:lang w:val="es-ES_tradnl"/>
        </w:rPr>
        <w:t>los servicios p</w:t>
      </w:r>
      <w:r>
        <w:rPr>
          <w:rFonts w:cs="Times New Roman"/>
          <w:spacing w:val="-11"/>
          <w:sz w:val="18"/>
          <w:szCs w:val="18"/>
          <w:lang w:val="es-ES_tradnl"/>
        </w:rPr>
        <w:t>ú</w:t>
      </w:r>
      <w:r>
        <w:rPr>
          <w:spacing w:val="-11"/>
          <w:sz w:val="18"/>
          <w:szCs w:val="18"/>
          <w:lang w:val="es-ES_tradnl"/>
        </w:rPr>
        <w:t>blicos, en este caso el de telecomunicaciones.</w:t>
      </w:r>
    </w:p>
    <w:p w14:paraId="4F67A782" w14:textId="77777777" w:rsidR="00591D54" w:rsidRDefault="00591D54">
      <w:pPr>
        <w:shd w:val="clear" w:color="auto" w:fill="FFFFFF"/>
        <w:spacing w:before="192" w:line="216" w:lineRule="exact"/>
        <w:jc w:val="both"/>
      </w:pPr>
      <w:r>
        <w:rPr>
          <w:sz w:val="18"/>
          <w:szCs w:val="18"/>
          <w:lang w:val="es-ES_tradnl"/>
        </w:rPr>
        <w:t>Agrega que queda evidenciado por disposici</w:t>
      </w:r>
      <w:r>
        <w:rPr>
          <w:rFonts w:cs="Times New Roman"/>
          <w:sz w:val="18"/>
          <w:szCs w:val="18"/>
          <w:lang w:val="es-ES_tradnl"/>
        </w:rPr>
        <w:t>ó</w:t>
      </w:r>
      <w:r>
        <w:rPr>
          <w:sz w:val="18"/>
          <w:szCs w:val="18"/>
          <w:lang w:val="es-ES_tradnl"/>
        </w:rPr>
        <w:t xml:space="preserve">n </w:t>
      </w:r>
      <w:r>
        <w:rPr>
          <w:spacing w:val="-5"/>
          <w:sz w:val="18"/>
          <w:szCs w:val="18"/>
          <w:lang w:val="es-ES_tradnl"/>
        </w:rPr>
        <w:t xml:space="preserve">constitucional que el </w:t>
      </w:r>
      <w:r>
        <w:rPr>
          <w:rFonts w:cs="Times New Roman"/>
          <w:spacing w:val="-5"/>
          <w:sz w:val="18"/>
          <w:szCs w:val="18"/>
          <w:lang w:val="es-ES_tradnl"/>
        </w:rPr>
        <w:t>ú</w:t>
      </w:r>
      <w:r>
        <w:rPr>
          <w:spacing w:val="-5"/>
          <w:sz w:val="18"/>
          <w:szCs w:val="18"/>
          <w:lang w:val="es-ES_tradnl"/>
        </w:rPr>
        <w:t xml:space="preserve">nico facultado para administrar, </w:t>
      </w:r>
      <w:r>
        <w:rPr>
          <w:spacing w:val="-8"/>
          <w:sz w:val="18"/>
          <w:szCs w:val="18"/>
          <w:lang w:val="es-ES_tradnl"/>
        </w:rPr>
        <w:t>disponer los precios, tarifas, tasas de los servicios p</w:t>
      </w:r>
      <w:r>
        <w:rPr>
          <w:rFonts w:cs="Times New Roman"/>
          <w:spacing w:val="-8"/>
          <w:sz w:val="18"/>
          <w:szCs w:val="18"/>
          <w:lang w:val="es-ES_tradnl"/>
        </w:rPr>
        <w:t>ú</w:t>
      </w:r>
      <w:r>
        <w:rPr>
          <w:spacing w:val="-8"/>
          <w:sz w:val="18"/>
          <w:szCs w:val="18"/>
          <w:lang w:val="es-ES_tradnl"/>
        </w:rPr>
        <w:t xml:space="preserve">blicos </w:t>
      </w:r>
      <w:r>
        <w:rPr>
          <w:spacing w:val="-9"/>
          <w:sz w:val="18"/>
          <w:szCs w:val="18"/>
          <w:lang w:val="es-ES_tradnl"/>
        </w:rPr>
        <w:t xml:space="preserve">de telecomunicaciones es el Estado central, el que a su vez </w:t>
      </w:r>
      <w:r>
        <w:rPr>
          <w:spacing w:val="-6"/>
          <w:sz w:val="18"/>
          <w:szCs w:val="18"/>
          <w:lang w:val="es-ES_tradnl"/>
        </w:rPr>
        <w:t>siempre ejercer</w:t>
      </w:r>
      <w:r>
        <w:rPr>
          <w:rFonts w:cs="Times New Roman"/>
          <w:spacing w:val="-6"/>
          <w:sz w:val="18"/>
          <w:szCs w:val="18"/>
          <w:lang w:val="es-ES_tradnl"/>
        </w:rPr>
        <w:t>á</w:t>
      </w:r>
      <w:r>
        <w:rPr>
          <w:spacing w:val="-6"/>
          <w:sz w:val="18"/>
          <w:szCs w:val="18"/>
          <w:lang w:val="es-ES_tradnl"/>
        </w:rPr>
        <w:t xml:space="preserve"> el control y regulaci</w:t>
      </w:r>
      <w:r>
        <w:rPr>
          <w:rFonts w:cs="Times New Roman"/>
          <w:spacing w:val="-6"/>
          <w:sz w:val="18"/>
          <w:szCs w:val="18"/>
          <w:lang w:val="es-ES_tradnl"/>
        </w:rPr>
        <w:t>ó</w:t>
      </w:r>
      <w:r>
        <w:rPr>
          <w:spacing w:val="-6"/>
          <w:sz w:val="18"/>
          <w:szCs w:val="18"/>
          <w:lang w:val="es-ES_tradnl"/>
        </w:rPr>
        <w:t xml:space="preserve">n, encaminado a </w:t>
      </w:r>
      <w:r>
        <w:rPr>
          <w:spacing w:val="-7"/>
          <w:sz w:val="18"/>
          <w:szCs w:val="18"/>
          <w:lang w:val="es-ES_tradnl"/>
        </w:rPr>
        <w:t>garantizar el acceso al espectro radioel</w:t>
      </w:r>
      <w:r>
        <w:rPr>
          <w:rFonts w:cs="Times New Roman"/>
          <w:spacing w:val="-7"/>
          <w:sz w:val="18"/>
          <w:szCs w:val="18"/>
          <w:lang w:val="es-ES_tradnl"/>
        </w:rPr>
        <w:t>é</w:t>
      </w:r>
      <w:r>
        <w:rPr>
          <w:spacing w:val="-7"/>
          <w:sz w:val="18"/>
          <w:szCs w:val="18"/>
          <w:lang w:val="es-ES_tradnl"/>
        </w:rPr>
        <w:t xml:space="preserve">ctrico en igualdad </w:t>
      </w:r>
      <w:r>
        <w:rPr>
          <w:spacing w:val="-5"/>
          <w:sz w:val="18"/>
          <w:szCs w:val="18"/>
          <w:lang w:val="es-ES_tradnl"/>
        </w:rPr>
        <w:t xml:space="preserve">de oportunidades, pues no hay que olvidarse que los </w:t>
      </w:r>
      <w:r>
        <w:rPr>
          <w:spacing w:val="-6"/>
          <w:sz w:val="18"/>
          <w:szCs w:val="18"/>
          <w:lang w:val="es-ES_tradnl"/>
        </w:rPr>
        <w:t>servicios p</w:t>
      </w:r>
      <w:r>
        <w:rPr>
          <w:rFonts w:cs="Times New Roman"/>
          <w:spacing w:val="-6"/>
          <w:sz w:val="18"/>
          <w:szCs w:val="18"/>
          <w:lang w:val="es-ES_tradnl"/>
        </w:rPr>
        <w:t>ú</w:t>
      </w:r>
      <w:r>
        <w:rPr>
          <w:spacing w:val="-6"/>
          <w:sz w:val="18"/>
          <w:szCs w:val="18"/>
          <w:lang w:val="es-ES_tradnl"/>
        </w:rPr>
        <w:t xml:space="preserve">blicos son inherentes a la finalidad social del </w:t>
      </w:r>
      <w:r>
        <w:rPr>
          <w:spacing w:val="-5"/>
          <w:sz w:val="18"/>
          <w:szCs w:val="18"/>
          <w:lang w:val="es-ES_tradnl"/>
        </w:rPr>
        <w:t>Estado central y en ello radica la prestaci</w:t>
      </w:r>
      <w:r>
        <w:rPr>
          <w:rFonts w:cs="Times New Roman"/>
          <w:spacing w:val="-5"/>
          <w:sz w:val="18"/>
          <w:szCs w:val="18"/>
          <w:lang w:val="es-ES_tradnl"/>
        </w:rPr>
        <w:t>ó</w:t>
      </w:r>
      <w:r>
        <w:rPr>
          <w:spacing w:val="-5"/>
          <w:sz w:val="18"/>
          <w:szCs w:val="18"/>
          <w:lang w:val="es-ES_tradnl"/>
        </w:rPr>
        <w:t xml:space="preserve">n eficiente a </w:t>
      </w:r>
      <w:r>
        <w:rPr>
          <w:spacing w:val="-6"/>
          <w:sz w:val="18"/>
          <w:szCs w:val="18"/>
          <w:lang w:val="es-ES_tradnl"/>
        </w:rPr>
        <w:t>todos los habitantes del territorio nacional.</w:t>
      </w:r>
    </w:p>
    <w:p w14:paraId="4F67A783" w14:textId="77777777" w:rsidR="00591D54" w:rsidRDefault="00591D54">
      <w:pPr>
        <w:shd w:val="clear" w:color="auto" w:fill="FFFFFF"/>
        <w:spacing w:before="197" w:line="216" w:lineRule="exact"/>
        <w:jc w:val="both"/>
      </w:pPr>
      <w:r>
        <w:rPr>
          <w:spacing w:val="-8"/>
          <w:sz w:val="18"/>
          <w:szCs w:val="18"/>
          <w:lang w:val="es-ES_tradnl"/>
        </w:rPr>
        <w:t xml:space="preserve">Que de acuerdo al mandato constitucional contemplado en </w:t>
      </w:r>
      <w:r>
        <w:rPr>
          <w:spacing w:val="-10"/>
          <w:sz w:val="18"/>
          <w:szCs w:val="18"/>
          <w:lang w:val="es-ES_tradnl"/>
        </w:rPr>
        <w:t>el art</w:t>
      </w:r>
      <w:r>
        <w:rPr>
          <w:rFonts w:cs="Times New Roman"/>
          <w:spacing w:val="-10"/>
          <w:sz w:val="18"/>
          <w:szCs w:val="18"/>
          <w:lang w:val="es-ES_tradnl"/>
        </w:rPr>
        <w:t>í</w:t>
      </w:r>
      <w:r>
        <w:rPr>
          <w:spacing w:val="-10"/>
          <w:sz w:val="18"/>
          <w:szCs w:val="18"/>
          <w:lang w:val="es-ES_tradnl"/>
        </w:rPr>
        <w:t>culo 240, es competencia de los gobiernos aut</w:t>
      </w:r>
      <w:r>
        <w:rPr>
          <w:rFonts w:cs="Times New Roman"/>
          <w:spacing w:val="-10"/>
          <w:sz w:val="18"/>
          <w:szCs w:val="18"/>
          <w:lang w:val="es-ES_tradnl"/>
        </w:rPr>
        <w:t>ó</w:t>
      </w:r>
      <w:r>
        <w:rPr>
          <w:spacing w:val="-10"/>
          <w:sz w:val="18"/>
          <w:szCs w:val="18"/>
          <w:lang w:val="es-ES_tradnl"/>
        </w:rPr>
        <w:t xml:space="preserve">nomos </w:t>
      </w:r>
      <w:r>
        <w:rPr>
          <w:spacing w:val="-6"/>
          <w:sz w:val="18"/>
          <w:szCs w:val="18"/>
          <w:lang w:val="es-ES_tradnl"/>
        </w:rPr>
        <w:t xml:space="preserve">descentralizados ejercer las facultades ejecutivas en el </w:t>
      </w:r>
      <w:r>
        <w:rPr>
          <w:rFonts w:cs="Times New Roman"/>
          <w:spacing w:val="-7"/>
          <w:sz w:val="18"/>
          <w:szCs w:val="18"/>
          <w:lang w:val="es-ES_tradnl"/>
        </w:rPr>
        <w:t>á</w:t>
      </w:r>
      <w:r>
        <w:rPr>
          <w:spacing w:val="-7"/>
          <w:sz w:val="18"/>
          <w:szCs w:val="18"/>
          <w:lang w:val="es-ES_tradnl"/>
        </w:rPr>
        <w:t>mbito de sus competencias y jurisdicciones territoriales.</w:t>
      </w:r>
    </w:p>
    <w:p w14:paraId="4F67A784" w14:textId="77777777" w:rsidR="00591D54" w:rsidRDefault="00591D54">
      <w:pPr>
        <w:shd w:val="clear" w:color="auto" w:fill="FFFFFF"/>
        <w:spacing w:before="197" w:line="216" w:lineRule="exact"/>
        <w:jc w:val="both"/>
      </w:pPr>
      <w:r>
        <w:rPr>
          <w:spacing w:val="-7"/>
          <w:sz w:val="18"/>
          <w:szCs w:val="18"/>
          <w:lang w:val="es-ES_tradnl"/>
        </w:rPr>
        <w:t>En este sentido, se</w:t>
      </w:r>
      <w:r>
        <w:rPr>
          <w:rFonts w:cs="Times New Roman"/>
          <w:spacing w:val="-7"/>
          <w:sz w:val="18"/>
          <w:szCs w:val="18"/>
          <w:lang w:val="es-ES_tradnl"/>
        </w:rPr>
        <w:t>ñ</w:t>
      </w:r>
      <w:r>
        <w:rPr>
          <w:spacing w:val="-7"/>
          <w:sz w:val="18"/>
          <w:szCs w:val="18"/>
          <w:lang w:val="es-ES_tradnl"/>
        </w:rPr>
        <w:t>ala que a los Gobiernos Aut</w:t>
      </w:r>
      <w:r>
        <w:rPr>
          <w:rFonts w:cs="Times New Roman"/>
          <w:spacing w:val="-7"/>
          <w:sz w:val="18"/>
          <w:szCs w:val="18"/>
          <w:lang w:val="es-ES_tradnl"/>
        </w:rPr>
        <w:t>ó</w:t>
      </w:r>
      <w:r>
        <w:rPr>
          <w:spacing w:val="-7"/>
          <w:sz w:val="18"/>
          <w:szCs w:val="18"/>
          <w:lang w:val="es-ES_tradnl"/>
        </w:rPr>
        <w:t xml:space="preserve">nomos Descentralizados se les reconoce su </w:t>
      </w:r>
      <w:r>
        <w:rPr>
          <w:rFonts w:cs="Times New Roman"/>
          <w:spacing w:val="-7"/>
          <w:sz w:val="18"/>
          <w:szCs w:val="18"/>
          <w:lang w:val="es-ES_tradnl"/>
        </w:rPr>
        <w:t>á</w:t>
      </w:r>
      <w:r>
        <w:rPr>
          <w:spacing w:val="-7"/>
          <w:sz w:val="18"/>
          <w:szCs w:val="18"/>
          <w:lang w:val="es-ES_tradnl"/>
        </w:rPr>
        <w:t xml:space="preserve">mbito legislativo, </w:t>
      </w:r>
      <w:r>
        <w:rPr>
          <w:spacing w:val="-9"/>
          <w:sz w:val="18"/>
          <w:szCs w:val="18"/>
          <w:lang w:val="es-ES_tradnl"/>
        </w:rPr>
        <w:t>sujet</w:t>
      </w:r>
      <w:r>
        <w:rPr>
          <w:rFonts w:cs="Times New Roman"/>
          <w:spacing w:val="-9"/>
          <w:sz w:val="18"/>
          <w:szCs w:val="18"/>
          <w:lang w:val="es-ES_tradnl"/>
        </w:rPr>
        <w:t>á</w:t>
      </w:r>
      <w:r>
        <w:rPr>
          <w:spacing w:val="-9"/>
          <w:sz w:val="18"/>
          <w:szCs w:val="18"/>
          <w:lang w:val="es-ES_tradnl"/>
        </w:rPr>
        <w:t xml:space="preserve">ndose a las competencias y atribuciones que tanto la </w:t>
      </w:r>
      <w:r>
        <w:rPr>
          <w:spacing w:val="-4"/>
          <w:sz w:val="18"/>
          <w:szCs w:val="18"/>
          <w:lang w:val="es-ES_tradnl"/>
        </w:rPr>
        <w:t>Constituci</w:t>
      </w:r>
      <w:r>
        <w:rPr>
          <w:rFonts w:cs="Times New Roman"/>
          <w:spacing w:val="-4"/>
          <w:sz w:val="18"/>
          <w:szCs w:val="18"/>
          <w:lang w:val="es-ES_tradnl"/>
        </w:rPr>
        <w:t>ó</w:t>
      </w:r>
      <w:r>
        <w:rPr>
          <w:spacing w:val="-4"/>
          <w:sz w:val="18"/>
          <w:szCs w:val="18"/>
          <w:lang w:val="es-ES_tradnl"/>
        </w:rPr>
        <w:t xml:space="preserve">n, como la Ley les otorga y sin dejar de lado </w:t>
      </w:r>
      <w:r>
        <w:rPr>
          <w:spacing w:val="-1"/>
          <w:sz w:val="18"/>
          <w:szCs w:val="18"/>
          <w:lang w:val="es-ES_tradnl"/>
        </w:rPr>
        <w:t>que las ordenanzas municipales como parte del orden</w:t>
      </w:r>
    </w:p>
    <w:p w14:paraId="4F67A785" w14:textId="77777777" w:rsidR="00591D54" w:rsidRDefault="00591D54">
      <w:pPr>
        <w:shd w:val="clear" w:color="auto" w:fill="FFFFFF"/>
        <w:spacing w:before="197" w:line="216" w:lineRule="exact"/>
        <w:jc w:val="both"/>
        <w:sectPr w:rsidR="00591D54">
          <w:type w:val="continuous"/>
          <w:pgSz w:w="11909" w:h="16834"/>
          <w:pgMar w:top="1371" w:right="1309" w:bottom="360" w:left="1308" w:header="720" w:footer="720" w:gutter="0"/>
          <w:cols w:num="2" w:space="720" w:equalWidth="0">
            <w:col w:w="4310" w:space="677"/>
            <w:col w:w="4305"/>
          </w:cols>
          <w:noEndnote/>
        </w:sectPr>
      </w:pPr>
    </w:p>
    <w:p w14:paraId="4F67A786" w14:textId="77777777" w:rsidR="00591D54" w:rsidRDefault="00591D54">
      <w:pPr>
        <w:shd w:val="clear" w:color="auto" w:fill="FFFFFF"/>
        <w:tabs>
          <w:tab w:val="left" w:pos="4814"/>
        </w:tabs>
        <w:spacing w:after="235"/>
        <w:ind w:left="5"/>
      </w:pPr>
      <w:r>
        <w:rPr>
          <w:b/>
          <w:bCs/>
          <w:sz w:val="18"/>
          <w:szCs w:val="18"/>
          <w:lang w:val="es-ES_tradnl"/>
        </w:rPr>
        <w:t xml:space="preserve">52 -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787" w14:textId="77777777" w:rsidR="00591D54" w:rsidRDefault="00591D54">
      <w:pPr>
        <w:shd w:val="clear" w:color="auto" w:fill="FFFFFF"/>
        <w:tabs>
          <w:tab w:val="left" w:pos="4814"/>
        </w:tabs>
        <w:spacing w:after="235"/>
        <w:ind w:left="5"/>
        <w:sectPr w:rsidR="00591D54">
          <w:pgSz w:w="11909" w:h="16834"/>
          <w:pgMar w:top="1359" w:right="1304" w:bottom="360" w:left="1308" w:header="720" w:footer="720" w:gutter="0"/>
          <w:cols w:space="60"/>
          <w:noEndnote/>
        </w:sectPr>
      </w:pPr>
    </w:p>
    <w:p w14:paraId="4F67A788" w14:textId="77777777" w:rsidR="00591D54" w:rsidRDefault="00591D54">
      <w:pPr>
        <w:shd w:val="clear" w:color="auto" w:fill="FFFFFF"/>
        <w:spacing w:line="221" w:lineRule="exact"/>
        <w:jc w:val="both"/>
      </w:pPr>
      <w:r>
        <w:rPr>
          <w:spacing w:val="-10"/>
          <w:sz w:val="18"/>
          <w:szCs w:val="18"/>
          <w:lang w:val="es-ES_tradnl"/>
        </w:rPr>
        <w:t>jer</w:t>
      </w:r>
      <w:r>
        <w:rPr>
          <w:rFonts w:cs="Times New Roman"/>
          <w:spacing w:val="-10"/>
          <w:sz w:val="18"/>
          <w:szCs w:val="18"/>
          <w:lang w:val="es-ES_tradnl"/>
        </w:rPr>
        <w:t>á</w:t>
      </w:r>
      <w:r>
        <w:rPr>
          <w:spacing w:val="-10"/>
          <w:sz w:val="18"/>
          <w:szCs w:val="18"/>
          <w:lang w:val="es-ES_tradnl"/>
        </w:rPr>
        <w:t>rquico de aplicaci</w:t>
      </w:r>
      <w:r>
        <w:rPr>
          <w:rFonts w:cs="Times New Roman"/>
          <w:spacing w:val="-10"/>
          <w:sz w:val="18"/>
          <w:szCs w:val="18"/>
          <w:lang w:val="es-ES_tradnl"/>
        </w:rPr>
        <w:t>ó</w:t>
      </w:r>
      <w:r>
        <w:rPr>
          <w:spacing w:val="-10"/>
          <w:sz w:val="18"/>
          <w:szCs w:val="18"/>
          <w:lang w:val="es-ES_tradnl"/>
        </w:rPr>
        <w:t xml:space="preserve">n de las normas, deben sujetarse a las </w:t>
      </w:r>
      <w:r>
        <w:rPr>
          <w:spacing w:val="-8"/>
          <w:sz w:val="18"/>
          <w:szCs w:val="18"/>
          <w:lang w:val="es-ES_tradnl"/>
        </w:rPr>
        <w:t xml:space="preserve">disposiciones de la carta magna, y su contenido no puede </w:t>
      </w:r>
      <w:r>
        <w:rPr>
          <w:spacing w:val="-6"/>
          <w:sz w:val="18"/>
          <w:szCs w:val="18"/>
          <w:lang w:val="es-ES_tradnl"/>
        </w:rPr>
        <w:t>estar en contraposici</w:t>
      </w:r>
      <w:r>
        <w:rPr>
          <w:rFonts w:cs="Times New Roman"/>
          <w:spacing w:val="-6"/>
          <w:sz w:val="18"/>
          <w:szCs w:val="18"/>
          <w:lang w:val="es-ES_tradnl"/>
        </w:rPr>
        <w:t>ó</w:t>
      </w:r>
      <w:r>
        <w:rPr>
          <w:spacing w:val="-6"/>
          <w:sz w:val="18"/>
          <w:szCs w:val="18"/>
          <w:lang w:val="es-ES_tradnl"/>
        </w:rPr>
        <w:t xml:space="preserve">n con la norma suprema, ni afectar </w:t>
      </w:r>
      <w:r>
        <w:rPr>
          <w:sz w:val="18"/>
          <w:szCs w:val="18"/>
          <w:lang w:val="es-ES_tradnl"/>
        </w:rPr>
        <w:t>derechos de terceros.</w:t>
      </w:r>
    </w:p>
    <w:p w14:paraId="4F67A789" w14:textId="77777777" w:rsidR="00591D54" w:rsidRDefault="00591D54">
      <w:pPr>
        <w:shd w:val="clear" w:color="auto" w:fill="FFFFFF"/>
        <w:spacing w:before="202" w:line="221" w:lineRule="exact"/>
        <w:jc w:val="both"/>
      </w:pPr>
      <w:r>
        <w:rPr>
          <w:spacing w:val="-5"/>
          <w:sz w:val="18"/>
          <w:szCs w:val="18"/>
          <w:lang w:val="es-ES_tradnl"/>
        </w:rPr>
        <w:t xml:space="preserve">Concluye solicitando al pleno de la Corte Constitucional, </w:t>
      </w:r>
      <w:r>
        <w:rPr>
          <w:spacing w:val="-4"/>
          <w:sz w:val="18"/>
          <w:szCs w:val="18"/>
          <w:lang w:val="es-ES_tradnl"/>
        </w:rPr>
        <w:t xml:space="preserve">declarar inconstitucional toda norma contenida en la </w:t>
      </w:r>
      <w:r>
        <w:rPr>
          <w:spacing w:val="-10"/>
          <w:sz w:val="18"/>
          <w:szCs w:val="18"/>
          <w:lang w:val="es-ES_tradnl"/>
        </w:rPr>
        <w:t>ordenanza impugnada que se oponga o no guarde armon</w:t>
      </w:r>
      <w:r>
        <w:rPr>
          <w:rFonts w:cs="Times New Roman"/>
          <w:spacing w:val="-10"/>
          <w:sz w:val="18"/>
          <w:szCs w:val="18"/>
          <w:lang w:val="es-ES_tradnl"/>
        </w:rPr>
        <w:t>í</w:t>
      </w:r>
      <w:r>
        <w:rPr>
          <w:spacing w:val="-10"/>
          <w:sz w:val="18"/>
          <w:szCs w:val="18"/>
          <w:lang w:val="es-ES_tradnl"/>
        </w:rPr>
        <w:t xml:space="preserve">a </w:t>
      </w:r>
      <w:r>
        <w:rPr>
          <w:sz w:val="18"/>
          <w:szCs w:val="18"/>
          <w:lang w:val="es-ES_tradnl"/>
        </w:rPr>
        <w:t>con la Constituci</w:t>
      </w:r>
      <w:r>
        <w:rPr>
          <w:rFonts w:cs="Times New Roman"/>
          <w:sz w:val="18"/>
          <w:szCs w:val="18"/>
          <w:lang w:val="es-ES_tradnl"/>
        </w:rPr>
        <w:t>ó</w:t>
      </w:r>
      <w:r>
        <w:rPr>
          <w:sz w:val="18"/>
          <w:szCs w:val="18"/>
          <w:lang w:val="es-ES_tradnl"/>
        </w:rPr>
        <w:t>n.</w:t>
      </w:r>
    </w:p>
    <w:p w14:paraId="4F67A78A" w14:textId="77777777" w:rsidR="00591D54" w:rsidRDefault="00591D54">
      <w:pPr>
        <w:shd w:val="clear" w:color="auto" w:fill="FFFFFF"/>
        <w:spacing w:before="197" w:line="221" w:lineRule="exact"/>
        <w:ind w:left="686" w:right="326" w:hanging="355"/>
      </w:pPr>
      <w:r>
        <w:rPr>
          <w:b/>
          <w:bCs/>
          <w:spacing w:val="-1"/>
          <w:sz w:val="18"/>
          <w:szCs w:val="18"/>
          <w:lang w:val="es-ES_tradnl"/>
        </w:rPr>
        <w:t xml:space="preserve">II. CONSIDERACIONES Y FUNDAMENTOS </w:t>
      </w:r>
      <w:r>
        <w:rPr>
          <w:b/>
          <w:bCs/>
          <w:sz w:val="18"/>
          <w:szCs w:val="18"/>
          <w:lang w:val="es-ES_tradnl"/>
        </w:rPr>
        <w:t>DE LA CORTE CONSTITUCIONAL</w:t>
      </w:r>
    </w:p>
    <w:p w14:paraId="4F67A78B" w14:textId="77777777" w:rsidR="00591D54" w:rsidRDefault="00591D54">
      <w:pPr>
        <w:shd w:val="clear" w:color="auto" w:fill="FFFFFF"/>
        <w:spacing w:before="192"/>
      </w:pPr>
      <w:r>
        <w:rPr>
          <w:b/>
          <w:bCs/>
          <w:spacing w:val="-11"/>
          <w:sz w:val="18"/>
          <w:szCs w:val="18"/>
          <w:lang w:val="es-ES_tradnl"/>
        </w:rPr>
        <w:t>Competencia</w:t>
      </w:r>
    </w:p>
    <w:p w14:paraId="4F67A78C" w14:textId="77777777" w:rsidR="00591D54" w:rsidRDefault="00591D54">
      <w:pPr>
        <w:shd w:val="clear" w:color="auto" w:fill="FFFFFF"/>
        <w:spacing w:before="202" w:line="221" w:lineRule="exact"/>
        <w:ind w:right="5"/>
        <w:jc w:val="both"/>
      </w:pPr>
      <w:r>
        <w:rPr>
          <w:spacing w:val="-6"/>
          <w:sz w:val="18"/>
          <w:szCs w:val="18"/>
          <w:lang w:val="es-ES_tradnl"/>
        </w:rPr>
        <w:t xml:space="preserve">La Corte Constitucional es competente para conocer y </w:t>
      </w:r>
      <w:r>
        <w:rPr>
          <w:spacing w:val="-9"/>
          <w:sz w:val="18"/>
          <w:szCs w:val="18"/>
          <w:lang w:val="es-ES_tradnl"/>
        </w:rPr>
        <w:t>resolver sobre las acciones p</w:t>
      </w:r>
      <w:r>
        <w:rPr>
          <w:rFonts w:cs="Times New Roman"/>
          <w:spacing w:val="-9"/>
          <w:sz w:val="18"/>
          <w:szCs w:val="18"/>
          <w:lang w:val="es-ES_tradnl"/>
        </w:rPr>
        <w:t>ú</w:t>
      </w:r>
      <w:r>
        <w:rPr>
          <w:spacing w:val="-9"/>
          <w:sz w:val="18"/>
          <w:szCs w:val="18"/>
          <w:lang w:val="es-ES_tradnl"/>
        </w:rPr>
        <w:t xml:space="preserve">blicas de inconstitucionalidad, </w:t>
      </w:r>
      <w:r>
        <w:rPr>
          <w:spacing w:val="-6"/>
          <w:sz w:val="18"/>
          <w:szCs w:val="18"/>
          <w:lang w:val="es-ES_tradnl"/>
        </w:rPr>
        <w:t>de conformidad con lo previsto en el art</w:t>
      </w:r>
      <w:r>
        <w:rPr>
          <w:rFonts w:cs="Times New Roman"/>
          <w:spacing w:val="-6"/>
          <w:sz w:val="18"/>
          <w:szCs w:val="18"/>
          <w:lang w:val="es-ES_tradnl"/>
        </w:rPr>
        <w:t>í</w:t>
      </w:r>
      <w:r>
        <w:rPr>
          <w:spacing w:val="-6"/>
          <w:sz w:val="18"/>
          <w:szCs w:val="18"/>
          <w:lang w:val="es-ES_tradnl"/>
        </w:rPr>
        <w:t xml:space="preserve">culo 436 numeral </w:t>
      </w:r>
      <w:r>
        <w:rPr>
          <w:spacing w:val="-2"/>
          <w:sz w:val="18"/>
          <w:szCs w:val="18"/>
          <w:lang w:val="es-ES_tradnl"/>
        </w:rPr>
        <w:t>2 de la Constituci</w:t>
      </w:r>
      <w:r>
        <w:rPr>
          <w:rFonts w:cs="Times New Roman"/>
          <w:spacing w:val="-2"/>
          <w:sz w:val="18"/>
          <w:szCs w:val="18"/>
          <w:lang w:val="es-ES_tradnl"/>
        </w:rPr>
        <w:t>ó</w:t>
      </w:r>
      <w:r>
        <w:rPr>
          <w:spacing w:val="-2"/>
          <w:sz w:val="18"/>
          <w:szCs w:val="18"/>
          <w:lang w:val="es-ES_tradnl"/>
        </w:rPr>
        <w:t>n de la Rep</w:t>
      </w:r>
      <w:r>
        <w:rPr>
          <w:rFonts w:cs="Times New Roman"/>
          <w:spacing w:val="-2"/>
          <w:sz w:val="18"/>
          <w:szCs w:val="18"/>
          <w:lang w:val="es-ES_tradnl"/>
        </w:rPr>
        <w:t>ú</w:t>
      </w:r>
      <w:r>
        <w:rPr>
          <w:spacing w:val="-2"/>
          <w:sz w:val="18"/>
          <w:szCs w:val="18"/>
          <w:lang w:val="es-ES_tradnl"/>
        </w:rPr>
        <w:t xml:space="preserve">blica, en concordancia </w:t>
      </w:r>
      <w:r>
        <w:rPr>
          <w:spacing w:val="-5"/>
          <w:sz w:val="18"/>
          <w:szCs w:val="18"/>
          <w:lang w:val="es-ES_tradnl"/>
        </w:rPr>
        <w:t>con los art</w:t>
      </w:r>
      <w:r>
        <w:rPr>
          <w:rFonts w:cs="Times New Roman"/>
          <w:spacing w:val="-5"/>
          <w:sz w:val="18"/>
          <w:szCs w:val="18"/>
          <w:lang w:val="es-ES_tradnl"/>
        </w:rPr>
        <w:t>í</w:t>
      </w:r>
      <w:r>
        <w:rPr>
          <w:spacing w:val="-5"/>
          <w:sz w:val="18"/>
          <w:szCs w:val="18"/>
          <w:lang w:val="es-ES_tradnl"/>
        </w:rPr>
        <w:t xml:space="preserve">culos 75 numeral 1, literales </w:t>
      </w:r>
      <w:r>
        <w:rPr>
          <w:b/>
          <w:bCs/>
          <w:spacing w:val="-5"/>
          <w:sz w:val="18"/>
          <w:szCs w:val="18"/>
          <w:lang w:val="es-ES_tradnl"/>
        </w:rPr>
        <w:t xml:space="preserve">c </w:t>
      </w:r>
      <w:r>
        <w:rPr>
          <w:spacing w:val="-5"/>
          <w:sz w:val="18"/>
          <w:szCs w:val="18"/>
          <w:lang w:val="es-ES_tradnl"/>
        </w:rPr>
        <w:t xml:space="preserve">y </w:t>
      </w:r>
      <w:r>
        <w:rPr>
          <w:b/>
          <w:bCs/>
          <w:spacing w:val="-5"/>
          <w:sz w:val="18"/>
          <w:szCs w:val="18"/>
          <w:lang w:val="es-ES_tradnl"/>
        </w:rPr>
        <w:t>d</w:t>
      </w:r>
      <w:r>
        <w:rPr>
          <w:spacing w:val="-5"/>
          <w:sz w:val="18"/>
          <w:szCs w:val="18"/>
          <w:lang w:val="es-ES_tradnl"/>
        </w:rPr>
        <w:t xml:space="preserve">, y 98 de la </w:t>
      </w:r>
      <w:r>
        <w:rPr>
          <w:spacing w:val="-6"/>
          <w:sz w:val="18"/>
          <w:szCs w:val="18"/>
          <w:lang w:val="es-ES_tradnl"/>
        </w:rPr>
        <w:t>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Control </w:t>
      </w:r>
      <w:r>
        <w:rPr>
          <w:spacing w:val="-4"/>
          <w:sz w:val="18"/>
          <w:szCs w:val="18"/>
          <w:lang w:val="es-ES_tradnl"/>
        </w:rPr>
        <w:t>Constitucional, y de acuerdo con los art</w:t>
      </w:r>
      <w:r>
        <w:rPr>
          <w:rFonts w:cs="Times New Roman"/>
          <w:spacing w:val="-4"/>
          <w:sz w:val="18"/>
          <w:szCs w:val="18"/>
          <w:lang w:val="es-ES_tradnl"/>
        </w:rPr>
        <w:t>í</w:t>
      </w:r>
      <w:r>
        <w:rPr>
          <w:spacing w:val="-4"/>
          <w:sz w:val="18"/>
          <w:szCs w:val="18"/>
          <w:lang w:val="es-ES_tradnl"/>
        </w:rPr>
        <w:t xml:space="preserve">culos 3 numeral </w:t>
      </w:r>
      <w:r>
        <w:rPr>
          <w:spacing w:val="-8"/>
          <w:sz w:val="18"/>
          <w:szCs w:val="18"/>
          <w:lang w:val="es-ES_tradnl"/>
        </w:rPr>
        <w:t xml:space="preserve">2, literales </w:t>
      </w:r>
      <w:r>
        <w:rPr>
          <w:b/>
          <w:bCs/>
          <w:spacing w:val="-8"/>
          <w:sz w:val="18"/>
          <w:szCs w:val="18"/>
          <w:lang w:val="es-ES_tradnl"/>
        </w:rPr>
        <w:t xml:space="preserve">c </w:t>
      </w:r>
      <w:r>
        <w:rPr>
          <w:spacing w:val="-8"/>
          <w:sz w:val="18"/>
          <w:szCs w:val="18"/>
          <w:lang w:val="es-ES_tradnl"/>
        </w:rPr>
        <w:t xml:space="preserve">y </w:t>
      </w:r>
      <w:r>
        <w:rPr>
          <w:b/>
          <w:bCs/>
          <w:spacing w:val="-8"/>
          <w:sz w:val="18"/>
          <w:szCs w:val="18"/>
          <w:lang w:val="es-ES_tradnl"/>
        </w:rPr>
        <w:t>d</w:t>
      </w:r>
      <w:r>
        <w:rPr>
          <w:spacing w:val="-8"/>
          <w:sz w:val="18"/>
          <w:szCs w:val="18"/>
          <w:lang w:val="es-ES_tradnl"/>
        </w:rPr>
        <w:t>, y 54 del Reglamento de Sustanciaci</w:t>
      </w:r>
      <w:r>
        <w:rPr>
          <w:rFonts w:cs="Times New Roman"/>
          <w:spacing w:val="-8"/>
          <w:sz w:val="18"/>
          <w:szCs w:val="18"/>
          <w:lang w:val="es-ES_tradnl"/>
        </w:rPr>
        <w:t>ó</w:t>
      </w:r>
      <w:r>
        <w:rPr>
          <w:spacing w:val="-8"/>
          <w:sz w:val="18"/>
          <w:szCs w:val="18"/>
          <w:lang w:val="es-ES_tradnl"/>
        </w:rPr>
        <w:t>n de Procesos de Competencia de la Corte Constitucional.</w:t>
      </w:r>
    </w:p>
    <w:p w14:paraId="4F67A78D" w14:textId="77777777" w:rsidR="00591D54" w:rsidRDefault="00591D54">
      <w:pPr>
        <w:shd w:val="clear" w:color="auto" w:fill="FFFFFF"/>
        <w:spacing w:before="197"/>
      </w:pPr>
      <w:r>
        <w:rPr>
          <w:b/>
          <w:bCs/>
          <w:spacing w:val="-8"/>
          <w:sz w:val="18"/>
          <w:szCs w:val="18"/>
          <w:lang w:val="es-ES_tradnl"/>
        </w:rPr>
        <w:t>Legitimaci</w:t>
      </w:r>
      <w:r>
        <w:rPr>
          <w:rFonts w:cs="Times New Roman"/>
          <w:b/>
          <w:bCs/>
          <w:spacing w:val="-8"/>
          <w:sz w:val="18"/>
          <w:szCs w:val="18"/>
          <w:lang w:val="es-ES_tradnl"/>
        </w:rPr>
        <w:t>ó</w:t>
      </w:r>
      <w:r>
        <w:rPr>
          <w:b/>
          <w:bCs/>
          <w:spacing w:val="-8"/>
          <w:sz w:val="18"/>
          <w:szCs w:val="18"/>
          <w:lang w:val="es-ES_tradnl"/>
        </w:rPr>
        <w:t>n activa</w:t>
      </w:r>
    </w:p>
    <w:p w14:paraId="4F67A78E" w14:textId="77777777" w:rsidR="00591D54" w:rsidRDefault="00591D54">
      <w:pPr>
        <w:shd w:val="clear" w:color="auto" w:fill="FFFFFF"/>
        <w:spacing w:before="197" w:line="221" w:lineRule="exact"/>
        <w:ind w:right="5"/>
        <w:jc w:val="both"/>
      </w:pPr>
      <w:r>
        <w:rPr>
          <w:spacing w:val="-8"/>
          <w:sz w:val="18"/>
          <w:szCs w:val="18"/>
          <w:lang w:val="es-ES_tradnl"/>
        </w:rPr>
        <w:t xml:space="preserve">La accionante se encuentra legitimada para presentar la </w:t>
      </w:r>
      <w:r>
        <w:rPr>
          <w:spacing w:val="-5"/>
          <w:sz w:val="18"/>
          <w:szCs w:val="18"/>
          <w:lang w:val="es-ES_tradnl"/>
        </w:rPr>
        <w:t>acci</w:t>
      </w:r>
      <w:r>
        <w:rPr>
          <w:rFonts w:cs="Times New Roman"/>
          <w:spacing w:val="-5"/>
          <w:sz w:val="18"/>
          <w:szCs w:val="18"/>
          <w:lang w:val="es-ES_tradnl"/>
        </w:rPr>
        <w:t>ó</w:t>
      </w:r>
      <w:r>
        <w:rPr>
          <w:spacing w:val="-5"/>
          <w:sz w:val="18"/>
          <w:szCs w:val="18"/>
          <w:lang w:val="es-ES_tradnl"/>
        </w:rPr>
        <w:t xml:space="preserve">n de inconstitucionalidad de actos normativos con </w:t>
      </w:r>
      <w:r>
        <w:rPr>
          <w:spacing w:val="-7"/>
          <w:sz w:val="18"/>
          <w:szCs w:val="18"/>
          <w:lang w:val="es-ES_tradnl"/>
        </w:rPr>
        <w:t>car</w:t>
      </w:r>
      <w:r>
        <w:rPr>
          <w:rFonts w:cs="Times New Roman"/>
          <w:spacing w:val="-7"/>
          <w:sz w:val="18"/>
          <w:szCs w:val="18"/>
          <w:lang w:val="es-ES_tradnl"/>
        </w:rPr>
        <w:t>á</w:t>
      </w:r>
      <w:r>
        <w:rPr>
          <w:spacing w:val="-7"/>
          <w:sz w:val="18"/>
          <w:szCs w:val="18"/>
          <w:lang w:val="es-ES_tradnl"/>
        </w:rPr>
        <w:t>cter general, de conformidad con el art</w:t>
      </w:r>
      <w:r>
        <w:rPr>
          <w:rFonts w:cs="Times New Roman"/>
          <w:spacing w:val="-7"/>
          <w:sz w:val="18"/>
          <w:szCs w:val="18"/>
          <w:lang w:val="es-ES_tradnl"/>
        </w:rPr>
        <w:t>í</w:t>
      </w:r>
      <w:r>
        <w:rPr>
          <w:spacing w:val="-7"/>
          <w:sz w:val="18"/>
          <w:szCs w:val="18"/>
          <w:lang w:val="es-ES_tradnl"/>
        </w:rPr>
        <w:t xml:space="preserve">culo 439 de la </w:t>
      </w:r>
      <w:r>
        <w:rPr>
          <w:spacing w:val="-11"/>
          <w:sz w:val="18"/>
          <w:szCs w:val="18"/>
          <w:lang w:val="es-ES_tradnl"/>
        </w:rPr>
        <w:t>Constituci</w:t>
      </w:r>
      <w:r>
        <w:rPr>
          <w:rFonts w:cs="Times New Roman"/>
          <w:spacing w:val="-11"/>
          <w:sz w:val="18"/>
          <w:szCs w:val="18"/>
          <w:lang w:val="es-ES_tradnl"/>
        </w:rPr>
        <w:t>ó</w:t>
      </w:r>
      <w:r>
        <w:rPr>
          <w:spacing w:val="-11"/>
          <w:sz w:val="18"/>
          <w:szCs w:val="18"/>
          <w:lang w:val="es-ES_tradnl"/>
        </w:rPr>
        <w:t>n de la Rep</w:t>
      </w:r>
      <w:r>
        <w:rPr>
          <w:rFonts w:cs="Times New Roman"/>
          <w:spacing w:val="-11"/>
          <w:sz w:val="18"/>
          <w:szCs w:val="18"/>
          <w:lang w:val="es-ES_tradnl"/>
        </w:rPr>
        <w:t>ú</w:t>
      </w:r>
      <w:r>
        <w:rPr>
          <w:spacing w:val="-11"/>
          <w:sz w:val="18"/>
          <w:szCs w:val="18"/>
          <w:lang w:val="es-ES_tradnl"/>
        </w:rPr>
        <w:t xml:space="preserve">blica, que establece que las acciones </w:t>
      </w:r>
      <w:r>
        <w:rPr>
          <w:spacing w:val="-7"/>
          <w:sz w:val="18"/>
          <w:szCs w:val="18"/>
          <w:lang w:val="es-ES_tradnl"/>
        </w:rPr>
        <w:t>constitucionales podr</w:t>
      </w:r>
      <w:r>
        <w:rPr>
          <w:rFonts w:cs="Times New Roman"/>
          <w:spacing w:val="-7"/>
          <w:sz w:val="18"/>
          <w:szCs w:val="18"/>
          <w:lang w:val="es-ES_tradnl"/>
        </w:rPr>
        <w:t>á</w:t>
      </w:r>
      <w:r>
        <w:rPr>
          <w:spacing w:val="-7"/>
          <w:sz w:val="18"/>
          <w:szCs w:val="18"/>
          <w:lang w:val="es-ES_tradnl"/>
        </w:rPr>
        <w:t xml:space="preserve">n ser presentadas por cualquier </w:t>
      </w:r>
      <w:r>
        <w:rPr>
          <w:spacing w:val="-6"/>
          <w:sz w:val="18"/>
          <w:szCs w:val="18"/>
          <w:lang w:val="es-ES_tradnl"/>
        </w:rPr>
        <w:t xml:space="preserve">ciudadana o ciudadano, individual o colectivamente, en </w:t>
      </w:r>
      <w:r>
        <w:rPr>
          <w:spacing w:val="-7"/>
          <w:sz w:val="18"/>
          <w:szCs w:val="18"/>
          <w:lang w:val="es-ES_tradnl"/>
        </w:rPr>
        <w:t>concordancia con los art</w:t>
      </w:r>
      <w:r>
        <w:rPr>
          <w:rFonts w:cs="Times New Roman"/>
          <w:spacing w:val="-7"/>
          <w:sz w:val="18"/>
          <w:szCs w:val="18"/>
          <w:lang w:val="es-ES_tradnl"/>
        </w:rPr>
        <w:t>í</w:t>
      </w:r>
      <w:r>
        <w:rPr>
          <w:spacing w:val="-7"/>
          <w:sz w:val="18"/>
          <w:szCs w:val="18"/>
          <w:lang w:val="es-ES_tradnl"/>
        </w:rPr>
        <w:t>culos 77 y 98 de la Ley Org</w:t>
      </w:r>
      <w:r>
        <w:rPr>
          <w:rFonts w:cs="Times New Roman"/>
          <w:spacing w:val="-7"/>
          <w:sz w:val="18"/>
          <w:szCs w:val="18"/>
          <w:lang w:val="es-ES_tradnl"/>
        </w:rPr>
        <w:t>á</w:t>
      </w:r>
      <w:r>
        <w:rPr>
          <w:spacing w:val="-7"/>
          <w:sz w:val="18"/>
          <w:szCs w:val="18"/>
          <w:lang w:val="es-ES_tradnl"/>
        </w:rPr>
        <w:t xml:space="preserve">nica </w:t>
      </w:r>
      <w:r>
        <w:rPr>
          <w:spacing w:val="-6"/>
          <w:sz w:val="18"/>
          <w:szCs w:val="18"/>
          <w:lang w:val="es-ES_tradnl"/>
        </w:rPr>
        <w:t>de Garant</w:t>
      </w:r>
      <w:r>
        <w:rPr>
          <w:rFonts w:cs="Times New Roman"/>
          <w:spacing w:val="-6"/>
          <w:sz w:val="18"/>
          <w:szCs w:val="18"/>
          <w:lang w:val="es-ES_tradnl"/>
        </w:rPr>
        <w:t>í</w:t>
      </w:r>
      <w:r>
        <w:rPr>
          <w:spacing w:val="-6"/>
          <w:sz w:val="18"/>
          <w:szCs w:val="18"/>
          <w:lang w:val="es-ES_tradnl"/>
        </w:rPr>
        <w:t>as Jurisdiccionales y Control Constitucional.</w:t>
      </w:r>
    </w:p>
    <w:p w14:paraId="4F67A78F" w14:textId="77777777" w:rsidR="00591D54" w:rsidRDefault="00591D54">
      <w:pPr>
        <w:shd w:val="clear" w:color="auto" w:fill="FFFFFF"/>
        <w:spacing w:before="197"/>
      </w:pPr>
      <w:r>
        <w:rPr>
          <w:b/>
          <w:bCs/>
          <w:spacing w:val="-10"/>
          <w:sz w:val="18"/>
          <w:szCs w:val="18"/>
          <w:lang w:val="es-ES_tradnl"/>
        </w:rPr>
        <w:t>An</w:t>
      </w:r>
      <w:r>
        <w:rPr>
          <w:rFonts w:cs="Times New Roman"/>
          <w:b/>
          <w:bCs/>
          <w:spacing w:val="-10"/>
          <w:sz w:val="18"/>
          <w:szCs w:val="18"/>
          <w:lang w:val="es-ES_tradnl"/>
        </w:rPr>
        <w:t>á</w:t>
      </w:r>
      <w:r>
        <w:rPr>
          <w:b/>
          <w:bCs/>
          <w:spacing w:val="-10"/>
          <w:sz w:val="18"/>
          <w:szCs w:val="18"/>
          <w:lang w:val="es-ES_tradnl"/>
        </w:rPr>
        <w:t>lisis constitucional</w:t>
      </w:r>
    </w:p>
    <w:p w14:paraId="4F67A790" w14:textId="77777777" w:rsidR="00591D54" w:rsidRDefault="00591D54">
      <w:pPr>
        <w:shd w:val="clear" w:color="auto" w:fill="FFFFFF"/>
        <w:spacing w:before="197"/>
      </w:pPr>
      <w:r>
        <w:rPr>
          <w:b/>
          <w:bCs/>
          <w:spacing w:val="-9"/>
          <w:sz w:val="18"/>
          <w:szCs w:val="18"/>
          <w:lang w:val="es-ES_tradnl"/>
        </w:rPr>
        <w:t>Naturaleza jur</w:t>
      </w:r>
      <w:r>
        <w:rPr>
          <w:rFonts w:cs="Times New Roman"/>
          <w:b/>
          <w:bCs/>
          <w:spacing w:val="-9"/>
          <w:sz w:val="18"/>
          <w:szCs w:val="18"/>
          <w:lang w:val="es-ES_tradnl"/>
        </w:rPr>
        <w:t>í</w:t>
      </w:r>
      <w:r>
        <w:rPr>
          <w:b/>
          <w:bCs/>
          <w:spacing w:val="-9"/>
          <w:sz w:val="18"/>
          <w:szCs w:val="18"/>
          <w:lang w:val="es-ES_tradnl"/>
        </w:rPr>
        <w:t>dica de la acci</w:t>
      </w:r>
      <w:r>
        <w:rPr>
          <w:rFonts w:cs="Times New Roman"/>
          <w:b/>
          <w:bCs/>
          <w:spacing w:val="-9"/>
          <w:sz w:val="18"/>
          <w:szCs w:val="18"/>
          <w:lang w:val="es-ES_tradnl"/>
        </w:rPr>
        <w:t>ó</w:t>
      </w:r>
      <w:r>
        <w:rPr>
          <w:b/>
          <w:bCs/>
          <w:spacing w:val="-9"/>
          <w:sz w:val="18"/>
          <w:szCs w:val="18"/>
          <w:lang w:val="es-ES_tradnl"/>
        </w:rPr>
        <w:t>n de inconstitucionalidad</w:t>
      </w:r>
    </w:p>
    <w:p w14:paraId="4F67A791" w14:textId="77777777" w:rsidR="00591D54" w:rsidRDefault="00591D54">
      <w:pPr>
        <w:shd w:val="clear" w:color="auto" w:fill="FFFFFF"/>
        <w:spacing w:before="202" w:line="221" w:lineRule="exact"/>
        <w:ind w:right="5"/>
        <w:jc w:val="both"/>
      </w:pPr>
      <w:r>
        <w:rPr>
          <w:spacing w:val="-5"/>
          <w:sz w:val="18"/>
          <w:szCs w:val="18"/>
          <w:lang w:val="es-ES_tradnl"/>
        </w:rPr>
        <w:t xml:space="preserve">El control abstracto de constitucionalidad pretende que </w:t>
      </w:r>
      <w:r>
        <w:rPr>
          <w:spacing w:val="-7"/>
          <w:sz w:val="18"/>
          <w:szCs w:val="18"/>
          <w:lang w:val="es-ES_tradnl"/>
        </w:rPr>
        <w:t>todos los actos normativos y administrativos de car</w:t>
      </w:r>
      <w:r>
        <w:rPr>
          <w:rFonts w:cs="Times New Roman"/>
          <w:spacing w:val="-7"/>
          <w:sz w:val="18"/>
          <w:szCs w:val="18"/>
          <w:lang w:val="es-ES_tradnl"/>
        </w:rPr>
        <w:t>á</w:t>
      </w:r>
      <w:r>
        <w:rPr>
          <w:spacing w:val="-7"/>
          <w:sz w:val="18"/>
          <w:szCs w:val="18"/>
          <w:lang w:val="es-ES_tradnl"/>
        </w:rPr>
        <w:t>cter general, guarden armon</w:t>
      </w:r>
      <w:r>
        <w:rPr>
          <w:rFonts w:cs="Times New Roman"/>
          <w:spacing w:val="-7"/>
          <w:sz w:val="18"/>
          <w:szCs w:val="18"/>
          <w:lang w:val="es-ES_tradnl"/>
        </w:rPr>
        <w:t>í</w:t>
      </w:r>
      <w:r>
        <w:rPr>
          <w:spacing w:val="-7"/>
          <w:sz w:val="18"/>
          <w:szCs w:val="18"/>
          <w:lang w:val="es-ES_tradnl"/>
        </w:rPr>
        <w:t>a con el texto constitucional.</w:t>
      </w:r>
    </w:p>
    <w:p w14:paraId="4F67A792" w14:textId="77777777" w:rsidR="00591D54" w:rsidRDefault="00591D54">
      <w:pPr>
        <w:shd w:val="clear" w:color="auto" w:fill="FFFFFF"/>
        <w:spacing w:before="197" w:line="221" w:lineRule="exact"/>
        <w:ind w:right="5"/>
        <w:jc w:val="both"/>
      </w:pPr>
      <w:r>
        <w:rPr>
          <w:spacing w:val="-6"/>
          <w:sz w:val="18"/>
          <w:szCs w:val="18"/>
          <w:lang w:val="es-ES_tradnl"/>
        </w:rPr>
        <w:t>De esta manera, el principal objetivo de esta acci</w:t>
      </w:r>
      <w:r>
        <w:rPr>
          <w:rFonts w:cs="Times New Roman"/>
          <w:spacing w:val="-6"/>
          <w:sz w:val="18"/>
          <w:szCs w:val="18"/>
          <w:lang w:val="es-ES_tradnl"/>
        </w:rPr>
        <w:t>ó</w:t>
      </w:r>
      <w:r>
        <w:rPr>
          <w:spacing w:val="-6"/>
          <w:sz w:val="18"/>
          <w:szCs w:val="18"/>
          <w:lang w:val="es-ES_tradnl"/>
        </w:rPr>
        <w:t xml:space="preserve">n es </w:t>
      </w:r>
      <w:r>
        <w:rPr>
          <w:spacing w:val="-9"/>
          <w:sz w:val="18"/>
          <w:szCs w:val="18"/>
          <w:lang w:val="es-ES_tradnl"/>
        </w:rPr>
        <w:t>garantizar la unidad y coherencia del ordenamiento jur</w:t>
      </w:r>
      <w:r>
        <w:rPr>
          <w:rFonts w:cs="Times New Roman"/>
          <w:spacing w:val="-9"/>
          <w:sz w:val="18"/>
          <w:szCs w:val="18"/>
          <w:lang w:val="es-ES_tradnl"/>
        </w:rPr>
        <w:t>í</w:t>
      </w:r>
      <w:r>
        <w:rPr>
          <w:spacing w:val="-9"/>
          <w:sz w:val="18"/>
          <w:szCs w:val="18"/>
          <w:lang w:val="es-ES_tradnl"/>
        </w:rPr>
        <w:t xml:space="preserve">dico, </w:t>
      </w:r>
      <w:r>
        <w:rPr>
          <w:spacing w:val="-2"/>
          <w:sz w:val="18"/>
          <w:szCs w:val="18"/>
          <w:lang w:val="es-ES_tradnl"/>
        </w:rPr>
        <w:t xml:space="preserve">evitando que las normas promulgadas por el legislativo </w:t>
      </w:r>
      <w:r>
        <w:rPr>
          <w:spacing w:val="-6"/>
          <w:sz w:val="18"/>
          <w:szCs w:val="18"/>
          <w:lang w:val="es-ES_tradnl"/>
        </w:rPr>
        <w:t>o por autoridades p</w:t>
      </w:r>
      <w:r>
        <w:rPr>
          <w:rFonts w:cs="Times New Roman"/>
          <w:spacing w:val="-6"/>
          <w:sz w:val="18"/>
          <w:szCs w:val="18"/>
          <w:lang w:val="es-ES_tradnl"/>
        </w:rPr>
        <w:t>ú</w:t>
      </w:r>
      <w:r>
        <w:rPr>
          <w:spacing w:val="-6"/>
          <w:sz w:val="18"/>
          <w:szCs w:val="18"/>
          <w:lang w:val="es-ES_tradnl"/>
        </w:rPr>
        <w:t xml:space="preserve">blicas con facultades normativas, </w:t>
      </w:r>
      <w:r>
        <w:rPr>
          <w:spacing w:val="-7"/>
          <w:sz w:val="18"/>
          <w:szCs w:val="18"/>
          <w:lang w:val="es-ES_tradnl"/>
        </w:rPr>
        <w:t>contradigan las normas constitucionales. As</w:t>
      </w:r>
      <w:r>
        <w:rPr>
          <w:rFonts w:cs="Times New Roman"/>
          <w:spacing w:val="-7"/>
          <w:sz w:val="18"/>
          <w:szCs w:val="18"/>
          <w:lang w:val="es-ES_tradnl"/>
        </w:rPr>
        <w:t>í</w:t>
      </w:r>
      <w:r>
        <w:rPr>
          <w:spacing w:val="-7"/>
          <w:sz w:val="18"/>
          <w:szCs w:val="18"/>
          <w:lang w:val="es-ES_tradnl"/>
        </w:rPr>
        <w:t xml:space="preserve">, corresponde </w:t>
      </w:r>
      <w:r>
        <w:rPr>
          <w:spacing w:val="-8"/>
          <w:sz w:val="18"/>
          <w:szCs w:val="18"/>
          <w:lang w:val="es-ES_tradnl"/>
        </w:rPr>
        <w:t xml:space="preserve">a la Corte Constitucional del Ecuador ejercer dicho control, </w:t>
      </w:r>
      <w:r>
        <w:rPr>
          <w:spacing w:val="-1"/>
          <w:sz w:val="18"/>
          <w:szCs w:val="18"/>
          <w:lang w:val="es-ES_tradnl"/>
        </w:rPr>
        <w:t>conforme lo determinado en el art</w:t>
      </w:r>
      <w:r>
        <w:rPr>
          <w:rFonts w:cs="Times New Roman"/>
          <w:spacing w:val="-1"/>
          <w:sz w:val="18"/>
          <w:szCs w:val="18"/>
          <w:lang w:val="es-ES_tradnl"/>
        </w:rPr>
        <w:t>í</w:t>
      </w:r>
      <w:r>
        <w:rPr>
          <w:spacing w:val="-1"/>
          <w:sz w:val="18"/>
          <w:szCs w:val="18"/>
          <w:lang w:val="es-ES_tradnl"/>
        </w:rPr>
        <w:t xml:space="preserve">culo 436 numeral 2 </w:t>
      </w:r>
      <w:r>
        <w:rPr>
          <w:spacing w:val="-3"/>
          <w:sz w:val="18"/>
          <w:szCs w:val="18"/>
          <w:lang w:val="es-ES_tradnl"/>
        </w:rPr>
        <w:t>de la Constituci</w:t>
      </w:r>
      <w:r>
        <w:rPr>
          <w:rFonts w:cs="Times New Roman"/>
          <w:spacing w:val="-3"/>
          <w:sz w:val="18"/>
          <w:szCs w:val="18"/>
          <w:lang w:val="es-ES_tradnl"/>
        </w:rPr>
        <w:t>ó</w:t>
      </w:r>
      <w:r>
        <w:rPr>
          <w:spacing w:val="-3"/>
          <w:sz w:val="18"/>
          <w:szCs w:val="18"/>
          <w:lang w:val="es-ES_tradnl"/>
        </w:rPr>
        <w:t>n de la Rep</w:t>
      </w:r>
      <w:r>
        <w:rPr>
          <w:rFonts w:cs="Times New Roman"/>
          <w:spacing w:val="-3"/>
          <w:sz w:val="18"/>
          <w:szCs w:val="18"/>
          <w:lang w:val="es-ES_tradnl"/>
        </w:rPr>
        <w:t>ú</w:t>
      </w:r>
      <w:r>
        <w:rPr>
          <w:spacing w:val="-3"/>
          <w:sz w:val="18"/>
          <w:szCs w:val="18"/>
          <w:lang w:val="es-ES_tradnl"/>
        </w:rPr>
        <w:t xml:space="preserve">blica, que consagra entre </w:t>
      </w:r>
      <w:r>
        <w:rPr>
          <w:spacing w:val="-6"/>
          <w:sz w:val="18"/>
          <w:szCs w:val="18"/>
          <w:lang w:val="es-ES_tradnl"/>
        </w:rPr>
        <w:t xml:space="preserve">las competencias de la Corte Constitucional: </w:t>
      </w:r>
      <w:r>
        <w:rPr>
          <w:rFonts w:cs="Times New Roman"/>
          <w:spacing w:val="-6"/>
          <w:sz w:val="18"/>
          <w:szCs w:val="18"/>
          <w:lang w:val="es-ES_tradnl"/>
        </w:rPr>
        <w:t>“</w:t>
      </w:r>
      <w:r>
        <w:rPr>
          <w:spacing w:val="-6"/>
          <w:sz w:val="18"/>
          <w:szCs w:val="18"/>
          <w:lang w:val="es-ES_tradnl"/>
        </w:rPr>
        <w:t>Conocer y resolver las acciones p</w:t>
      </w:r>
      <w:r>
        <w:rPr>
          <w:rFonts w:cs="Times New Roman"/>
          <w:spacing w:val="-6"/>
          <w:sz w:val="18"/>
          <w:szCs w:val="18"/>
          <w:lang w:val="es-ES_tradnl"/>
        </w:rPr>
        <w:t>ú</w:t>
      </w:r>
      <w:r>
        <w:rPr>
          <w:spacing w:val="-6"/>
          <w:sz w:val="18"/>
          <w:szCs w:val="18"/>
          <w:lang w:val="es-ES_tradnl"/>
        </w:rPr>
        <w:t xml:space="preserve">blicas de inconstitucionalidad, por </w:t>
      </w:r>
      <w:r>
        <w:rPr>
          <w:spacing w:val="-9"/>
          <w:sz w:val="18"/>
          <w:szCs w:val="18"/>
          <w:lang w:val="es-ES_tradnl"/>
        </w:rPr>
        <w:t>el fondo o por la forma, contra actos normativos de car</w:t>
      </w:r>
      <w:r>
        <w:rPr>
          <w:rFonts w:cs="Times New Roman"/>
          <w:spacing w:val="-9"/>
          <w:sz w:val="18"/>
          <w:szCs w:val="18"/>
          <w:lang w:val="es-ES_tradnl"/>
        </w:rPr>
        <w:t>á</w:t>
      </w:r>
      <w:r>
        <w:rPr>
          <w:spacing w:val="-9"/>
          <w:sz w:val="18"/>
          <w:szCs w:val="18"/>
          <w:lang w:val="es-ES_tradnl"/>
        </w:rPr>
        <w:t xml:space="preserve">cter </w:t>
      </w:r>
      <w:r>
        <w:rPr>
          <w:spacing w:val="-7"/>
          <w:sz w:val="18"/>
          <w:szCs w:val="18"/>
          <w:lang w:val="es-ES_tradnl"/>
        </w:rPr>
        <w:t xml:space="preserve">general emitidos por </w:t>
      </w:r>
      <w:r>
        <w:rPr>
          <w:rFonts w:cs="Times New Roman"/>
          <w:spacing w:val="-7"/>
          <w:sz w:val="18"/>
          <w:szCs w:val="18"/>
          <w:lang w:val="es-ES_tradnl"/>
        </w:rPr>
        <w:t>ó</w:t>
      </w:r>
      <w:r>
        <w:rPr>
          <w:spacing w:val="-7"/>
          <w:sz w:val="18"/>
          <w:szCs w:val="18"/>
          <w:lang w:val="es-ES_tradnl"/>
        </w:rPr>
        <w:t>rganos autoridades del Estado. La declaratoria de inconstitucionalidad tendr</w:t>
      </w:r>
      <w:r>
        <w:rPr>
          <w:rFonts w:cs="Times New Roman"/>
          <w:spacing w:val="-7"/>
          <w:sz w:val="18"/>
          <w:szCs w:val="18"/>
          <w:lang w:val="es-ES_tradnl"/>
        </w:rPr>
        <w:t>á</w:t>
      </w:r>
      <w:r>
        <w:rPr>
          <w:spacing w:val="-7"/>
          <w:sz w:val="18"/>
          <w:szCs w:val="18"/>
          <w:lang w:val="es-ES_tradnl"/>
        </w:rPr>
        <w:t xml:space="preserve"> como efecto la </w:t>
      </w:r>
      <w:r>
        <w:rPr>
          <w:spacing w:val="-5"/>
          <w:sz w:val="18"/>
          <w:szCs w:val="18"/>
          <w:lang w:val="es-ES_tradnl"/>
        </w:rPr>
        <w:t>invalidez del acto normativo impugnado</w:t>
      </w:r>
      <w:r>
        <w:rPr>
          <w:rFonts w:cs="Times New Roman"/>
          <w:spacing w:val="-5"/>
          <w:sz w:val="18"/>
          <w:szCs w:val="18"/>
          <w:lang w:val="es-ES_tradnl"/>
        </w:rPr>
        <w:t>”</w:t>
      </w:r>
      <w:r>
        <w:rPr>
          <w:spacing w:val="-5"/>
          <w:sz w:val="18"/>
          <w:szCs w:val="18"/>
          <w:lang w:val="es-ES_tradnl"/>
        </w:rPr>
        <w:t>.</w:t>
      </w:r>
    </w:p>
    <w:p w14:paraId="4F67A793" w14:textId="77777777" w:rsidR="00591D54" w:rsidRDefault="00591D54">
      <w:pPr>
        <w:shd w:val="clear" w:color="auto" w:fill="FFFFFF"/>
        <w:spacing w:before="202" w:line="221" w:lineRule="exact"/>
        <w:ind w:right="5"/>
        <w:jc w:val="both"/>
      </w:pPr>
      <w:r>
        <w:rPr>
          <w:spacing w:val="-8"/>
          <w:sz w:val="18"/>
          <w:szCs w:val="18"/>
          <w:lang w:val="es-ES_tradnl"/>
        </w:rPr>
        <w:t xml:space="preserve">De esta forma, corresponde a esta Corte realizar un control </w:t>
      </w:r>
      <w:r>
        <w:rPr>
          <w:sz w:val="18"/>
          <w:szCs w:val="18"/>
          <w:lang w:val="es-ES_tradnl"/>
        </w:rPr>
        <w:t xml:space="preserve">abstracto </w:t>
      </w:r>
      <w:r>
        <w:rPr>
          <w:i/>
          <w:iCs/>
          <w:sz w:val="18"/>
          <w:szCs w:val="18"/>
          <w:lang w:val="es-ES_tradnl"/>
        </w:rPr>
        <w:t xml:space="preserve">a posteriori </w:t>
      </w:r>
      <w:r>
        <w:rPr>
          <w:sz w:val="18"/>
          <w:szCs w:val="18"/>
          <w:lang w:val="es-ES_tradnl"/>
        </w:rPr>
        <w:t>y una interpretaci</w:t>
      </w:r>
      <w:r>
        <w:rPr>
          <w:rFonts w:cs="Times New Roman"/>
          <w:sz w:val="18"/>
          <w:szCs w:val="18"/>
          <w:lang w:val="es-ES_tradnl"/>
        </w:rPr>
        <w:t>ó</w:t>
      </w:r>
      <w:r>
        <w:rPr>
          <w:sz w:val="18"/>
          <w:szCs w:val="18"/>
          <w:lang w:val="es-ES_tradnl"/>
        </w:rPr>
        <w:t xml:space="preserve">n integral de </w:t>
      </w:r>
      <w:r>
        <w:rPr>
          <w:spacing w:val="-6"/>
          <w:sz w:val="18"/>
          <w:szCs w:val="18"/>
          <w:lang w:val="es-ES_tradnl"/>
        </w:rPr>
        <w:t>los  textos  impugnados  con  apego  a  las  disposiciones</w:t>
      </w:r>
    </w:p>
    <w:p w14:paraId="4F67A794" w14:textId="77777777" w:rsidR="00591D54" w:rsidRDefault="00591D54">
      <w:pPr>
        <w:shd w:val="clear" w:color="auto" w:fill="FFFFFF"/>
        <w:spacing w:line="216" w:lineRule="exact"/>
        <w:ind w:right="5"/>
        <w:jc w:val="both"/>
      </w:pPr>
      <w:r>
        <w:br w:type="column"/>
      </w:r>
      <w:r>
        <w:rPr>
          <w:spacing w:val="-6"/>
          <w:sz w:val="18"/>
          <w:szCs w:val="18"/>
          <w:lang w:val="es-ES_tradnl"/>
        </w:rPr>
        <w:t xml:space="preserve">constitucionales, contrastando el contenido de estas </w:t>
      </w:r>
      <w:r>
        <w:rPr>
          <w:spacing w:val="-5"/>
          <w:sz w:val="18"/>
          <w:szCs w:val="18"/>
          <w:lang w:val="es-ES_tradnl"/>
        </w:rPr>
        <w:t xml:space="preserve">disposiciones con el marco normativo consagrado en la </w:t>
      </w:r>
      <w:r>
        <w:rPr>
          <w:sz w:val="18"/>
          <w:szCs w:val="18"/>
          <w:lang w:val="es-ES_tradnl"/>
        </w:rPr>
        <w:t>Constituci</w:t>
      </w:r>
      <w:r>
        <w:rPr>
          <w:rFonts w:cs="Times New Roman"/>
          <w:sz w:val="18"/>
          <w:szCs w:val="18"/>
          <w:lang w:val="es-ES_tradnl"/>
        </w:rPr>
        <w:t>ó</w:t>
      </w:r>
      <w:r>
        <w:rPr>
          <w:sz w:val="18"/>
          <w:szCs w:val="18"/>
          <w:lang w:val="es-ES_tradnl"/>
        </w:rPr>
        <w:t>n.</w:t>
      </w:r>
    </w:p>
    <w:p w14:paraId="4F67A795" w14:textId="77777777" w:rsidR="00591D54" w:rsidRDefault="00591D54">
      <w:pPr>
        <w:shd w:val="clear" w:color="auto" w:fill="FFFFFF"/>
        <w:spacing w:before="192" w:line="216" w:lineRule="exact"/>
        <w:ind w:right="5"/>
        <w:jc w:val="both"/>
      </w:pPr>
      <w:r>
        <w:rPr>
          <w:spacing w:val="-4"/>
          <w:sz w:val="18"/>
          <w:szCs w:val="18"/>
          <w:lang w:val="es-ES_tradnl"/>
        </w:rPr>
        <w:t xml:space="preserve">En este sentido, el control que se realiza de la norma, </w:t>
      </w:r>
      <w:r>
        <w:rPr>
          <w:spacing w:val="-5"/>
          <w:sz w:val="18"/>
          <w:szCs w:val="18"/>
          <w:lang w:val="es-ES_tradnl"/>
        </w:rPr>
        <w:t>desde el punto de vista formal, se efect</w:t>
      </w:r>
      <w:r>
        <w:rPr>
          <w:rFonts w:cs="Times New Roman"/>
          <w:spacing w:val="-5"/>
          <w:sz w:val="18"/>
          <w:szCs w:val="18"/>
          <w:lang w:val="es-ES_tradnl"/>
        </w:rPr>
        <w:t>ú</w:t>
      </w:r>
      <w:r>
        <w:rPr>
          <w:spacing w:val="-5"/>
          <w:sz w:val="18"/>
          <w:szCs w:val="18"/>
          <w:lang w:val="es-ES_tradnl"/>
        </w:rPr>
        <w:t>a con el objetivo de determinar si durante el proceso de formaci</w:t>
      </w:r>
      <w:r>
        <w:rPr>
          <w:rFonts w:cs="Times New Roman"/>
          <w:spacing w:val="-5"/>
          <w:sz w:val="18"/>
          <w:szCs w:val="18"/>
          <w:lang w:val="es-ES_tradnl"/>
        </w:rPr>
        <w:t>ó</w:t>
      </w:r>
      <w:r>
        <w:rPr>
          <w:spacing w:val="-5"/>
          <w:sz w:val="18"/>
          <w:szCs w:val="18"/>
          <w:lang w:val="es-ES_tradnl"/>
        </w:rPr>
        <w:t xml:space="preserve">n de la </w:t>
      </w:r>
      <w:r>
        <w:rPr>
          <w:spacing w:val="-2"/>
          <w:sz w:val="18"/>
          <w:szCs w:val="18"/>
          <w:lang w:val="es-ES_tradnl"/>
        </w:rPr>
        <w:t>norma se cumpli</w:t>
      </w:r>
      <w:r>
        <w:rPr>
          <w:rFonts w:cs="Times New Roman"/>
          <w:spacing w:val="-2"/>
          <w:sz w:val="18"/>
          <w:szCs w:val="18"/>
          <w:lang w:val="es-ES_tradnl"/>
        </w:rPr>
        <w:t>ó</w:t>
      </w:r>
      <w:r>
        <w:rPr>
          <w:spacing w:val="-2"/>
          <w:sz w:val="18"/>
          <w:szCs w:val="18"/>
          <w:lang w:val="es-ES_tradnl"/>
        </w:rPr>
        <w:t xml:space="preserve"> con el procedimiento establecido en </w:t>
      </w:r>
      <w:r>
        <w:rPr>
          <w:spacing w:val="-3"/>
          <w:sz w:val="18"/>
          <w:szCs w:val="18"/>
          <w:lang w:val="es-ES_tradnl"/>
        </w:rPr>
        <w:t>la Constituci</w:t>
      </w:r>
      <w:r>
        <w:rPr>
          <w:rFonts w:cs="Times New Roman"/>
          <w:spacing w:val="-3"/>
          <w:sz w:val="18"/>
          <w:szCs w:val="18"/>
          <w:lang w:val="es-ES_tradnl"/>
        </w:rPr>
        <w:t>ó</w:t>
      </w:r>
      <w:r>
        <w:rPr>
          <w:spacing w:val="-3"/>
          <w:sz w:val="18"/>
          <w:szCs w:val="18"/>
          <w:lang w:val="es-ES_tradnl"/>
        </w:rPr>
        <w:t xml:space="preserve">n y la ley, mientras que en el control de </w:t>
      </w:r>
      <w:r>
        <w:rPr>
          <w:spacing w:val="-5"/>
          <w:sz w:val="18"/>
          <w:szCs w:val="18"/>
          <w:lang w:val="es-ES_tradnl"/>
        </w:rPr>
        <w:t xml:space="preserve">constitucionalidad de una norma por el fondo, se analiza </w:t>
      </w:r>
      <w:r>
        <w:rPr>
          <w:spacing w:val="-6"/>
          <w:sz w:val="18"/>
          <w:szCs w:val="18"/>
          <w:lang w:val="es-ES_tradnl"/>
        </w:rPr>
        <w:t xml:space="preserve">el contenido general de la misma o de alguno de sus </w:t>
      </w:r>
      <w:r>
        <w:rPr>
          <w:spacing w:val="-5"/>
          <w:sz w:val="18"/>
          <w:szCs w:val="18"/>
          <w:lang w:val="es-ES_tradnl"/>
        </w:rPr>
        <w:t>preceptos, para as</w:t>
      </w:r>
      <w:r>
        <w:rPr>
          <w:rFonts w:cs="Times New Roman"/>
          <w:spacing w:val="-5"/>
          <w:sz w:val="18"/>
          <w:szCs w:val="18"/>
          <w:lang w:val="es-ES_tradnl"/>
        </w:rPr>
        <w:t>í</w:t>
      </w:r>
      <w:r>
        <w:rPr>
          <w:spacing w:val="-5"/>
          <w:sz w:val="18"/>
          <w:szCs w:val="18"/>
          <w:lang w:val="es-ES_tradnl"/>
        </w:rPr>
        <w:t xml:space="preserve"> poder determinar si su contenido </w:t>
      </w:r>
      <w:r>
        <w:rPr>
          <w:spacing w:val="-8"/>
          <w:sz w:val="18"/>
          <w:szCs w:val="18"/>
          <w:lang w:val="es-ES_tradnl"/>
        </w:rPr>
        <w:t xml:space="preserve">transgrede derechos, principios o reglas consagrados en la </w:t>
      </w:r>
      <w:r>
        <w:rPr>
          <w:sz w:val="18"/>
          <w:szCs w:val="18"/>
          <w:lang w:val="es-ES_tradnl"/>
        </w:rPr>
        <w:t>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A796" w14:textId="77777777" w:rsidR="00591D54" w:rsidRDefault="00591D54">
      <w:pPr>
        <w:shd w:val="clear" w:color="auto" w:fill="FFFFFF"/>
        <w:spacing w:before="192"/>
      </w:pPr>
      <w:r>
        <w:rPr>
          <w:b/>
          <w:bCs/>
          <w:spacing w:val="-7"/>
          <w:sz w:val="18"/>
          <w:szCs w:val="18"/>
          <w:lang w:val="es-ES_tradnl"/>
        </w:rPr>
        <w:t>An</w:t>
      </w:r>
      <w:r>
        <w:rPr>
          <w:rFonts w:cs="Times New Roman"/>
          <w:b/>
          <w:bCs/>
          <w:spacing w:val="-7"/>
          <w:sz w:val="18"/>
          <w:szCs w:val="18"/>
          <w:lang w:val="es-ES_tradnl"/>
        </w:rPr>
        <w:t>á</w:t>
      </w:r>
      <w:r>
        <w:rPr>
          <w:b/>
          <w:bCs/>
          <w:spacing w:val="-7"/>
          <w:sz w:val="18"/>
          <w:szCs w:val="18"/>
          <w:lang w:val="es-ES_tradnl"/>
        </w:rPr>
        <w:t>lisis de constitucionalidad</w:t>
      </w:r>
    </w:p>
    <w:p w14:paraId="4F67A797" w14:textId="77777777" w:rsidR="00591D54" w:rsidRDefault="00591D54">
      <w:pPr>
        <w:shd w:val="clear" w:color="auto" w:fill="FFFFFF"/>
        <w:spacing w:before="197" w:line="216" w:lineRule="exact"/>
        <w:ind w:right="5"/>
        <w:jc w:val="both"/>
      </w:pPr>
      <w:r>
        <w:rPr>
          <w:spacing w:val="-3"/>
          <w:sz w:val="18"/>
          <w:szCs w:val="18"/>
          <w:lang w:val="es-ES_tradnl"/>
        </w:rPr>
        <w:t xml:space="preserve">Dentro del control abstracto de constitucionalidad a </w:t>
      </w:r>
      <w:r>
        <w:rPr>
          <w:spacing w:val="-4"/>
          <w:sz w:val="18"/>
          <w:szCs w:val="18"/>
          <w:lang w:val="es-ES_tradnl"/>
        </w:rPr>
        <w:t xml:space="preserve">realizarse, la legitimada activa solicita la declaratoria de </w:t>
      </w:r>
      <w:r>
        <w:rPr>
          <w:spacing w:val="-3"/>
          <w:sz w:val="18"/>
          <w:szCs w:val="18"/>
          <w:lang w:val="es-ES_tradnl"/>
        </w:rPr>
        <w:t>inconstitucionalidad por el fondo del art</w:t>
      </w:r>
      <w:r>
        <w:rPr>
          <w:rFonts w:cs="Times New Roman"/>
          <w:spacing w:val="-3"/>
          <w:sz w:val="18"/>
          <w:szCs w:val="18"/>
          <w:lang w:val="es-ES_tradnl"/>
        </w:rPr>
        <w:t>í</w:t>
      </w:r>
      <w:r>
        <w:rPr>
          <w:spacing w:val="-3"/>
          <w:sz w:val="18"/>
          <w:szCs w:val="18"/>
          <w:lang w:val="es-ES_tradnl"/>
        </w:rPr>
        <w:t xml:space="preserve">culo 18 de la </w:t>
      </w:r>
      <w:r>
        <w:rPr>
          <w:spacing w:val="-9"/>
          <w:sz w:val="18"/>
          <w:szCs w:val="18"/>
          <w:lang w:val="es-ES_tradnl"/>
        </w:rPr>
        <w:t>Ordenanza que regula la utilizaci</w:t>
      </w:r>
      <w:r>
        <w:rPr>
          <w:rFonts w:cs="Times New Roman"/>
          <w:spacing w:val="-9"/>
          <w:sz w:val="18"/>
          <w:szCs w:val="18"/>
          <w:lang w:val="es-ES_tradnl"/>
        </w:rPr>
        <w:t>ó</w:t>
      </w:r>
      <w:r>
        <w:rPr>
          <w:spacing w:val="-9"/>
          <w:sz w:val="18"/>
          <w:szCs w:val="18"/>
          <w:lang w:val="es-ES_tradnl"/>
        </w:rPr>
        <w:t>n u ocupaci</w:t>
      </w:r>
      <w:r>
        <w:rPr>
          <w:rFonts w:cs="Times New Roman"/>
          <w:spacing w:val="-9"/>
          <w:sz w:val="18"/>
          <w:szCs w:val="18"/>
          <w:lang w:val="es-ES_tradnl"/>
        </w:rPr>
        <w:t>ó</w:t>
      </w:r>
      <w:r>
        <w:rPr>
          <w:spacing w:val="-9"/>
          <w:sz w:val="18"/>
          <w:szCs w:val="18"/>
          <w:lang w:val="es-ES_tradnl"/>
        </w:rPr>
        <w:t xml:space="preserve">n del espacio </w:t>
      </w:r>
      <w:r>
        <w:rPr>
          <w:spacing w:val="-1"/>
          <w:sz w:val="18"/>
          <w:szCs w:val="18"/>
          <w:lang w:val="es-ES_tradnl"/>
        </w:rPr>
        <w:t>p</w:t>
      </w:r>
      <w:r>
        <w:rPr>
          <w:rFonts w:cs="Times New Roman"/>
          <w:spacing w:val="-1"/>
          <w:sz w:val="18"/>
          <w:szCs w:val="18"/>
          <w:lang w:val="es-ES_tradnl"/>
        </w:rPr>
        <w:t>ú</w:t>
      </w:r>
      <w:r>
        <w:rPr>
          <w:spacing w:val="-1"/>
          <w:sz w:val="18"/>
          <w:szCs w:val="18"/>
          <w:lang w:val="es-ES_tradnl"/>
        </w:rPr>
        <w:t>blico o la v</w:t>
      </w:r>
      <w:r>
        <w:rPr>
          <w:rFonts w:cs="Times New Roman"/>
          <w:spacing w:val="-1"/>
          <w:sz w:val="18"/>
          <w:szCs w:val="18"/>
          <w:lang w:val="es-ES_tradnl"/>
        </w:rPr>
        <w:t>í</w:t>
      </w:r>
      <w:r>
        <w:rPr>
          <w:spacing w:val="-1"/>
          <w:sz w:val="18"/>
          <w:szCs w:val="18"/>
          <w:lang w:val="es-ES_tradnl"/>
        </w:rPr>
        <w:t>a p</w:t>
      </w:r>
      <w:r>
        <w:rPr>
          <w:rFonts w:cs="Times New Roman"/>
          <w:spacing w:val="-1"/>
          <w:sz w:val="18"/>
          <w:szCs w:val="18"/>
          <w:lang w:val="es-ES_tradnl"/>
        </w:rPr>
        <w:t>ú</w:t>
      </w:r>
      <w:r>
        <w:rPr>
          <w:spacing w:val="-1"/>
          <w:sz w:val="18"/>
          <w:szCs w:val="18"/>
          <w:lang w:val="es-ES_tradnl"/>
        </w:rPr>
        <w:t>blica y el espacio a</w:t>
      </w:r>
      <w:r>
        <w:rPr>
          <w:rFonts w:cs="Times New Roman"/>
          <w:spacing w:val="-1"/>
          <w:sz w:val="18"/>
          <w:szCs w:val="18"/>
          <w:lang w:val="es-ES_tradnl"/>
        </w:rPr>
        <w:t>é</w:t>
      </w:r>
      <w:r>
        <w:rPr>
          <w:spacing w:val="-1"/>
          <w:sz w:val="18"/>
          <w:szCs w:val="18"/>
          <w:lang w:val="es-ES_tradnl"/>
        </w:rPr>
        <w:t xml:space="preserve">reo municipal, </w:t>
      </w:r>
      <w:r>
        <w:rPr>
          <w:spacing w:val="-6"/>
          <w:sz w:val="18"/>
          <w:szCs w:val="18"/>
          <w:lang w:val="es-ES_tradnl"/>
        </w:rPr>
        <w:t>suelo y subsuelo, por la colocaci</w:t>
      </w:r>
      <w:r>
        <w:rPr>
          <w:rFonts w:cs="Times New Roman"/>
          <w:spacing w:val="-6"/>
          <w:sz w:val="18"/>
          <w:szCs w:val="18"/>
          <w:lang w:val="es-ES_tradnl"/>
        </w:rPr>
        <w:t>ó</w:t>
      </w:r>
      <w:r>
        <w:rPr>
          <w:spacing w:val="-6"/>
          <w:sz w:val="18"/>
          <w:szCs w:val="18"/>
          <w:lang w:val="es-ES_tradnl"/>
        </w:rPr>
        <w:t xml:space="preserve">n de estructuras, postes </w:t>
      </w:r>
      <w:r>
        <w:rPr>
          <w:spacing w:val="-7"/>
          <w:sz w:val="18"/>
          <w:szCs w:val="18"/>
          <w:lang w:val="es-ES_tradnl"/>
        </w:rPr>
        <w:t xml:space="preserve">y tendido de redes pertenecientes a personas naturales o </w:t>
      </w:r>
      <w:r>
        <w:rPr>
          <w:spacing w:val="-1"/>
          <w:sz w:val="18"/>
          <w:szCs w:val="18"/>
          <w:lang w:val="es-ES_tradnl"/>
        </w:rPr>
        <w:t>jur</w:t>
      </w:r>
      <w:r>
        <w:rPr>
          <w:rFonts w:cs="Times New Roman"/>
          <w:spacing w:val="-1"/>
          <w:sz w:val="18"/>
          <w:szCs w:val="18"/>
          <w:lang w:val="es-ES_tradnl"/>
        </w:rPr>
        <w:t>í</w:t>
      </w:r>
      <w:r>
        <w:rPr>
          <w:spacing w:val="-1"/>
          <w:sz w:val="18"/>
          <w:szCs w:val="18"/>
          <w:lang w:val="es-ES_tradnl"/>
        </w:rPr>
        <w:t>dicas privadas dentro del cant</w:t>
      </w:r>
      <w:r>
        <w:rPr>
          <w:rFonts w:cs="Times New Roman"/>
          <w:spacing w:val="-1"/>
          <w:sz w:val="18"/>
          <w:szCs w:val="18"/>
          <w:lang w:val="es-ES_tradnl"/>
        </w:rPr>
        <w:t>ó</w:t>
      </w:r>
      <w:r>
        <w:rPr>
          <w:spacing w:val="-1"/>
          <w:sz w:val="18"/>
          <w:szCs w:val="18"/>
          <w:lang w:val="es-ES_tradnl"/>
        </w:rPr>
        <w:t>n Tulc</w:t>
      </w:r>
      <w:r>
        <w:rPr>
          <w:rFonts w:cs="Times New Roman"/>
          <w:spacing w:val="-1"/>
          <w:sz w:val="18"/>
          <w:szCs w:val="18"/>
          <w:lang w:val="es-ES_tradnl"/>
        </w:rPr>
        <w:t>á</w:t>
      </w:r>
      <w:r>
        <w:rPr>
          <w:spacing w:val="-1"/>
          <w:sz w:val="18"/>
          <w:szCs w:val="18"/>
          <w:lang w:val="es-ES_tradnl"/>
        </w:rPr>
        <w:t xml:space="preserve">n, publicada </w:t>
      </w:r>
      <w:r>
        <w:rPr>
          <w:spacing w:val="-5"/>
          <w:sz w:val="18"/>
          <w:szCs w:val="18"/>
          <w:lang w:val="es-ES_tradnl"/>
        </w:rPr>
        <w:t>en el Registro Oficial N.</w:t>
      </w:r>
      <w:r>
        <w:rPr>
          <w:rFonts w:cs="Times New Roman"/>
          <w:spacing w:val="-5"/>
          <w:sz w:val="18"/>
          <w:szCs w:val="18"/>
          <w:lang w:val="es-ES_tradnl"/>
        </w:rPr>
        <w:t>º</w:t>
      </w:r>
      <w:r>
        <w:rPr>
          <w:spacing w:val="-5"/>
          <w:sz w:val="18"/>
          <w:szCs w:val="18"/>
          <w:lang w:val="es-ES_tradnl"/>
        </w:rPr>
        <w:t xml:space="preserve"> 361 del 24 de octubre de 2014.</w:t>
      </w:r>
    </w:p>
    <w:p w14:paraId="4F67A798" w14:textId="77777777" w:rsidR="00591D54" w:rsidRDefault="00591D54">
      <w:pPr>
        <w:shd w:val="clear" w:color="auto" w:fill="FFFFFF"/>
        <w:spacing w:line="216" w:lineRule="exact"/>
      </w:pPr>
      <w:r>
        <w:rPr>
          <w:b/>
          <w:bCs/>
          <w:spacing w:val="-6"/>
          <w:sz w:val="18"/>
          <w:szCs w:val="18"/>
          <w:lang w:val="es-ES_tradnl"/>
        </w:rPr>
        <w:t>Planteamiento y resoluci</w:t>
      </w:r>
      <w:r>
        <w:rPr>
          <w:rFonts w:cs="Times New Roman"/>
          <w:b/>
          <w:bCs/>
          <w:spacing w:val="-6"/>
          <w:sz w:val="18"/>
          <w:szCs w:val="18"/>
          <w:lang w:val="es-ES_tradnl"/>
        </w:rPr>
        <w:t>ó</w:t>
      </w:r>
      <w:r>
        <w:rPr>
          <w:b/>
          <w:bCs/>
          <w:spacing w:val="-6"/>
          <w:sz w:val="18"/>
          <w:szCs w:val="18"/>
          <w:lang w:val="es-ES_tradnl"/>
        </w:rPr>
        <w:t>n del problema jur</w:t>
      </w:r>
      <w:r>
        <w:rPr>
          <w:rFonts w:cs="Times New Roman"/>
          <w:b/>
          <w:bCs/>
          <w:spacing w:val="-6"/>
          <w:sz w:val="18"/>
          <w:szCs w:val="18"/>
          <w:lang w:val="es-ES_tradnl"/>
        </w:rPr>
        <w:t>í</w:t>
      </w:r>
      <w:r>
        <w:rPr>
          <w:b/>
          <w:bCs/>
          <w:spacing w:val="-6"/>
          <w:sz w:val="18"/>
          <w:szCs w:val="18"/>
          <w:lang w:val="es-ES_tradnl"/>
        </w:rPr>
        <w:t>dico</w:t>
      </w:r>
    </w:p>
    <w:p w14:paraId="4F67A799" w14:textId="77777777" w:rsidR="00591D54" w:rsidRDefault="00591D54">
      <w:pPr>
        <w:shd w:val="clear" w:color="auto" w:fill="FFFFFF"/>
        <w:spacing w:before="197" w:line="216" w:lineRule="exact"/>
        <w:ind w:right="5"/>
        <w:jc w:val="both"/>
      </w:pPr>
      <w:r>
        <w:rPr>
          <w:spacing w:val="-7"/>
          <w:sz w:val="18"/>
          <w:szCs w:val="18"/>
          <w:lang w:val="es-ES_tradnl"/>
        </w:rPr>
        <w:t xml:space="preserve">Tomando en cuenta los argumentos presentados por las </w:t>
      </w:r>
      <w:r>
        <w:rPr>
          <w:spacing w:val="-3"/>
          <w:sz w:val="18"/>
          <w:szCs w:val="18"/>
          <w:lang w:val="es-ES_tradnl"/>
        </w:rPr>
        <w:t>partes, as</w:t>
      </w:r>
      <w:r>
        <w:rPr>
          <w:rFonts w:cs="Times New Roman"/>
          <w:spacing w:val="-3"/>
          <w:sz w:val="18"/>
          <w:szCs w:val="18"/>
          <w:lang w:val="es-ES_tradnl"/>
        </w:rPr>
        <w:t>í</w:t>
      </w:r>
      <w:r>
        <w:rPr>
          <w:spacing w:val="-3"/>
          <w:sz w:val="18"/>
          <w:szCs w:val="18"/>
          <w:lang w:val="es-ES_tradnl"/>
        </w:rPr>
        <w:t xml:space="preserve"> como de las normas impugnadas en tanto a </w:t>
      </w:r>
      <w:r>
        <w:rPr>
          <w:spacing w:val="-5"/>
          <w:sz w:val="18"/>
          <w:szCs w:val="18"/>
          <w:lang w:val="es-ES_tradnl"/>
        </w:rPr>
        <w:t xml:space="preserve">su vigencia, esta Corte estima necesario desarrollar el </w:t>
      </w:r>
      <w:r>
        <w:rPr>
          <w:spacing w:val="-4"/>
          <w:sz w:val="18"/>
          <w:szCs w:val="18"/>
          <w:lang w:val="es-ES_tradnl"/>
        </w:rPr>
        <w:t>an</w:t>
      </w:r>
      <w:r>
        <w:rPr>
          <w:rFonts w:cs="Times New Roman"/>
          <w:spacing w:val="-4"/>
          <w:sz w:val="18"/>
          <w:szCs w:val="18"/>
          <w:lang w:val="es-ES_tradnl"/>
        </w:rPr>
        <w:t>á</w:t>
      </w:r>
      <w:r>
        <w:rPr>
          <w:spacing w:val="-4"/>
          <w:sz w:val="18"/>
          <w:szCs w:val="18"/>
          <w:lang w:val="es-ES_tradnl"/>
        </w:rPr>
        <w:t>lisis de fondo, a trav</w:t>
      </w:r>
      <w:r>
        <w:rPr>
          <w:rFonts w:cs="Times New Roman"/>
          <w:spacing w:val="-4"/>
          <w:sz w:val="18"/>
          <w:szCs w:val="18"/>
          <w:lang w:val="es-ES_tradnl"/>
        </w:rPr>
        <w:t>é</w:t>
      </w:r>
      <w:r>
        <w:rPr>
          <w:spacing w:val="-4"/>
          <w:sz w:val="18"/>
          <w:szCs w:val="18"/>
          <w:lang w:val="es-ES_tradnl"/>
        </w:rPr>
        <w:t>s de la soluci</w:t>
      </w:r>
      <w:r>
        <w:rPr>
          <w:rFonts w:cs="Times New Roman"/>
          <w:spacing w:val="-4"/>
          <w:sz w:val="18"/>
          <w:szCs w:val="18"/>
          <w:lang w:val="es-ES_tradnl"/>
        </w:rPr>
        <w:t>ó</w:t>
      </w:r>
      <w:r>
        <w:rPr>
          <w:spacing w:val="-4"/>
          <w:sz w:val="18"/>
          <w:szCs w:val="18"/>
          <w:lang w:val="es-ES_tradnl"/>
        </w:rPr>
        <w:t xml:space="preserve">n del siguiente </w:t>
      </w:r>
      <w:r>
        <w:rPr>
          <w:sz w:val="18"/>
          <w:szCs w:val="18"/>
          <w:lang w:val="es-ES_tradnl"/>
        </w:rPr>
        <w:t>problema jur</w:t>
      </w:r>
      <w:r>
        <w:rPr>
          <w:rFonts w:cs="Times New Roman"/>
          <w:sz w:val="18"/>
          <w:szCs w:val="18"/>
          <w:lang w:val="es-ES_tradnl"/>
        </w:rPr>
        <w:t>í</w:t>
      </w:r>
      <w:r>
        <w:rPr>
          <w:sz w:val="18"/>
          <w:szCs w:val="18"/>
          <w:lang w:val="es-ES_tradnl"/>
        </w:rPr>
        <w:t>dico:</w:t>
      </w:r>
    </w:p>
    <w:p w14:paraId="4F67A79A" w14:textId="77777777" w:rsidR="00591D54" w:rsidRDefault="00591D54">
      <w:pPr>
        <w:shd w:val="clear" w:color="auto" w:fill="FFFFFF"/>
        <w:spacing w:before="192" w:line="216" w:lineRule="exact"/>
        <w:ind w:right="5"/>
        <w:jc w:val="both"/>
      </w:pPr>
      <w:r>
        <w:rPr>
          <w:b/>
          <w:bCs/>
          <w:sz w:val="18"/>
          <w:szCs w:val="18"/>
          <w:lang w:val="es-ES_tradnl"/>
        </w:rPr>
        <w:t xml:space="preserve">Las tarifas para el cobro de tasas fijadas en el </w:t>
      </w:r>
      <w:r>
        <w:rPr>
          <w:b/>
          <w:bCs/>
          <w:spacing w:val="-3"/>
          <w:sz w:val="18"/>
          <w:szCs w:val="18"/>
          <w:lang w:val="es-ES_tradnl"/>
        </w:rPr>
        <w:t>art</w:t>
      </w:r>
      <w:r>
        <w:rPr>
          <w:rFonts w:cs="Times New Roman"/>
          <w:b/>
          <w:bCs/>
          <w:spacing w:val="-3"/>
          <w:sz w:val="18"/>
          <w:szCs w:val="18"/>
          <w:lang w:val="es-ES_tradnl"/>
        </w:rPr>
        <w:t>í</w:t>
      </w:r>
      <w:r>
        <w:rPr>
          <w:b/>
          <w:bCs/>
          <w:spacing w:val="-3"/>
          <w:sz w:val="18"/>
          <w:szCs w:val="18"/>
          <w:lang w:val="es-ES_tradnl"/>
        </w:rPr>
        <w:t>culo 18 de la Ordenanza que regula la utilizaci</w:t>
      </w:r>
      <w:r>
        <w:rPr>
          <w:rFonts w:cs="Times New Roman"/>
          <w:b/>
          <w:bCs/>
          <w:spacing w:val="-3"/>
          <w:sz w:val="18"/>
          <w:szCs w:val="18"/>
          <w:lang w:val="es-ES_tradnl"/>
        </w:rPr>
        <w:t>ó</w:t>
      </w:r>
      <w:r>
        <w:rPr>
          <w:b/>
          <w:bCs/>
          <w:spacing w:val="-3"/>
          <w:sz w:val="18"/>
          <w:szCs w:val="18"/>
          <w:lang w:val="es-ES_tradnl"/>
        </w:rPr>
        <w:t xml:space="preserve">n </w:t>
      </w:r>
      <w:r>
        <w:rPr>
          <w:b/>
          <w:bCs/>
          <w:spacing w:val="-6"/>
          <w:sz w:val="18"/>
          <w:szCs w:val="18"/>
          <w:lang w:val="es-ES_tradnl"/>
        </w:rPr>
        <w:t>u ocupaci</w:t>
      </w:r>
      <w:r>
        <w:rPr>
          <w:rFonts w:cs="Times New Roman"/>
          <w:b/>
          <w:bCs/>
          <w:spacing w:val="-6"/>
          <w:sz w:val="18"/>
          <w:szCs w:val="18"/>
          <w:lang w:val="es-ES_tradnl"/>
        </w:rPr>
        <w:t>ó</w:t>
      </w:r>
      <w:r>
        <w:rPr>
          <w:b/>
          <w:bCs/>
          <w:spacing w:val="-6"/>
          <w:sz w:val="18"/>
          <w:szCs w:val="18"/>
          <w:lang w:val="es-ES_tradnl"/>
        </w:rPr>
        <w:t>n del espacio p</w:t>
      </w:r>
      <w:r>
        <w:rPr>
          <w:rFonts w:cs="Times New Roman"/>
          <w:b/>
          <w:bCs/>
          <w:spacing w:val="-6"/>
          <w:sz w:val="18"/>
          <w:szCs w:val="18"/>
          <w:lang w:val="es-ES_tradnl"/>
        </w:rPr>
        <w:t>ú</w:t>
      </w:r>
      <w:r>
        <w:rPr>
          <w:b/>
          <w:bCs/>
          <w:spacing w:val="-6"/>
          <w:sz w:val="18"/>
          <w:szCs w:val="18"/>
          <w:lang w:val="es-ES_tradnl"/>
        </w:rPr>
        <w:t>blico o la v</w:t>
      </w:r>
      <w:r>
        <w:rPr>
          <w:rFonts w:cs="Times New Roman"/>
          <w:b/>
          <w:bCs/>
          <w:spacing w:val="-6"/>
          <w:sz w:val="18"/>
          <w:szCs w:val="18"/>
          <w:lang w:val="es-ES_tradnl"/>
        </w:rPr>
        <w:t>í</w:t>
      </w:r>
      <w:r>
        <w:rPr>
          <w:b/>
          <w:bCs/>
          <w:spacing w:val="-6"/>
          <w:sz w:val="18"/>
          <w:szCs w:val="18"/>
          <w:lang w:val="es-ES_tradnl"/>
        </w:rPr>
        <w:t>a p</w:t>
      </w:r>
      <w:r>
        <w:rPr>
          <w:rFonts w:cs="Times New Roman"/>
          <w:b/>
          <w:bCs/>
          <w:spacing w:val="-6"/>
          <w:sz w:val="18"/>
          <w:szCs w:val="18"/>
          <w:lang w:val="es-ES_tradnl"/>
        </w:rPr>
        <w:t>ú</w:t>
      </w:r>
      <w:r>
        <w:rPr>
          <w:b/>
          <w:bCs/>
          <w:spacing w:val="-6"/>
          <w:sz w:val="18"/>
          <w:szCs w:val="18"/>
          <w:lang w:val="es-ES_tradnl"/>
        </w:rPr>
        <w:t xml:space="preserve">blica y el </w:t>
      </w:r>
      <w:r>
        <w:rPr>
          <w:b/>
          <w:bCs/>
          <w:spacing w:val="-7"/>
          <w:sz w:val="18"/>
          <w:szCs w:val="18"/>
          <w:lang w:val="es-ES_tradnl"/>
        </w:rPr>
        <w:t>espacio a</w:t>
      </w:r>
      <w:r>
        <w:rPr>
          <w:rFonts w:cs="Times New Roman"/>
          <w:b/>
          <w:bCs/>
          <w:spacing w:val="-7"/>
          <w:sz w:val="18"/>
          <w:szCs w:val="18"/>
          <w:lang w:val="es-ES_tradnl"/>
        </w:rPr>
        <w:t>é</w:t>
      </w:r>
      <w:r>
        <w:rPr>
          <w:b/>
          <w:bCs/>
          <w:spacing w:val="-7"/>
          <w:sz w:val="18"/>
          <w:szCs w:val="18"/>
          <w:lang w:val="es-ES_tradnl"/>
        </w:rPr>
        <w:t xml:space="preserve">reo municipal, suelo y subsuelo, por la </w:t>
      </w:r>
      <w:r>
        <w:rPr>
          <w:b/>
          <w:bCs/>
          <w:spacing w:val="-8"/>
          <w:sz w:val="18"/>
          <w:szCs w:val="18"/>
          <w:lang w:val="es-ES_tradnl"/>
        </w:rPr>
        <w:t>colocaci</w:t>
      </w:r>
      <w:r>
        <w:rPr>
          <w:rFonts w:cs="Times New Roman"/>
          <w:b/>
          <w:bCs/>
          <w:spacing w:val="-8"/>
          <w:sz w:val="18"/>
          <w:szCs w:val="18"/>
          <w:lang w:val="es-ES_tradnl"/>
        </w:rPr>
        <w:t>ó</w:t>
      </w:r>
      <w:r>
        <w:rPr>
          <w:b/>
          <w:bCs/>
          <w:spacing w:val="-8"/>
          <w:sz w:val="18"/>
          <w:szCs w:val="18"/>
          <w:lang w:val="es-ES_tradnl"/>
        </w:rPr>
        <w:t xml:space="preserve">n de estructuras, postes y tendido de redes </w:t>
      </w:r>
      <w:r>
        <w:rPr>
          <w:b/>
          <w:bCs/>
          <w:spacing w:val="-2"/>
          <w:sz w:val="18"/>
          <w:szCs w:val="18"/>
          <w:lang w:val="es-ES_tradnl"/>
        </w:rPr>
        <w:t>pertenecientes a personas naturales o jur</w:t>
      </w:r>
      <w:r>
        <w:rPr>
          <w:rFonts w:cs="Times New Roman"/>
          <w:b/>
          <w:bCs/>
          <w:spacing w:val="-2"/>
          <w:sz w:val="18"/>
          <w:szCs w:val="18"/>
          <w:lang w:val="es-ES_tradnl"/>
        </w:rPr>
        <w:t>í</w:t>
      </w:r>
      <w:r>
        <w:rPr>
          <w:b/>
          <w:bCs/>
          <w:spacing w:val="-2"/>
          <w:sz w:val="18"/>
          <w:szCs w:val="18"/>
          <w:lang w:val="es-ES_tradnl"/>
        </w:rPr>
        <w:t xml:space="preserve">dicas </w:t>
      </w:r>
      <w:r>
        <w:rPr>
          <w:b/>
          <w:bCs/>
          <w:spacing w:val="-6"/>
          <w:sz w:val="18"/>
          <w:szCs w:val="18"/>
          <w:lang w:val="es-ES_tradnl"/>
        </w:rPr>
        <w:t>privadas dentro del cant</w:t>
      </w:r>
      <w:r>
        <w:rPr>
          <w:rFonts w:cs="Times New Roman"/>
          <w:b/>
          <w:bCs/>
          <w:spacing w:val="-6"/>
          <w:sz w:val="18"/>
          <w:szCs w:val="18"/>
          <w:lang w:val="es-ES_tradnl"/>
        </w:rPr>
        <w:t>ó</w:t>
      </w:r>
      <w:r>
        <w:rPr>
          <w:b/>
          <w:bCs/>
          <w:spacing w:val="-6"/>
          <w:sz w:val="18"/>
          <w:szCs w:val="18"/>
          <w:lang w:val="es-ES_tradnl"/>
        </w:rPr>
        <w:t>n Tulc</w:t>
      </w:r>
      <w:r>
        <w:rPr>
          <w:rFonts w:cs="Times New Roman"/>
          <w:b/>
          <w:bCs/>
          <w:spacing w:val="-6"/>
          <w:sz w:val="18"/>
          <w:szCs w:val="18"/>
          <w:lang w:val="es-ES_tradnl"/>
        </w:rPr>
        <w:t>á</w:t>
      </w:r>
      <w:r>
        <w:rPr>
          <w:b/>
          <w:bCs/>
          <w:spacing w:val="-6"/>
          <w:sz w:val="18"/>
          <w:szCs w:val="18"/>
          <w:lang w:val="es-ES_tradnl"/>
        </w:rPr>
        <w:t xml:space="preserve">n, </w:t>
      </w:r>
      <w:r>
        <w:rPr>
          <w:rFonts w:cs="Times New Roman"/>
          <w:b/>
          <w:bCs/>
          <w:spacing w:val="-6"/>
          <w:sz w:val="18"/>
          <w:szCs w:val="18"/>
          <w:lang w:val="es-ES_tradnl"/>
        </w:rPr>
        <w:t>¿</w:t>
      </w:r>
      <w:r>
        <w:rPr>
          <w:b/>
          <w:bCs/>
          <w:spacing w:val="-6"/>
          <w:sz w:val="18"/>
          <w:szCs w:val="18"/>
          <w:lang w:val="es-ES_tradnl"/>
        </w:rPr>
        <w:t xml:space="preserve">son contrarias al </w:t>
      </w:r>
      <w:r>
        <w:rPr>
          <w:b/>
          <w:bCs/>
          <w:spacing w:val="-8"/>
          <w:sz w:val="18"/>
          <w:szCs w:val="18"/>
          <w:lang w:val="es-ES_tradnl"/>
        </w:rPr>
        <w:t xml:space="preserve">principio constitucional tributario de equidad, previsto </w:t>
      </w:r>
      <w:r>
        <w:rPr>
          <w:b/>
          <w:bCs/>
          <w:spacing w:val="-6"/>
          <w:sz w:val="18"/>
          <w:szCs w:val="18"/>
          <w:lang w:val="es-ES_tradnl"/>
        </w:rPr>
        <w:t>en el art</w:t>
      </w:r>
      <w:r>
        <w:rPr>
          <w:rFonts w:cs="Times New Roman"/>
          <w:b/>
          <w:bCs/>
          <w:spacing w:val="-6"/>
          <w:sz w:val="18"/>
          <w:szCs w:val="18"/>
          <w:lang w:val="es-ES_tradnl"/>
        </w:rPr>
        <w:t>í</w:t>
      </w:r>
      <w:r>
        <w:rPr>
          <w:b/>
          <w:bCs/>
          <w:spacing w:val="-6"/>
          <w:sz w:val="18"/>
          <w:szCs w:val="18"/>
          <w:lang w:val="es-ES_tradnl"/>
        </w:rPr>
        <w:t>culo 300 de la Constituci</w:t>
      </w:r>
      <w:r>
        <w:rPr>
          <w:rFonts w:cs="Times New Roman"/>
          <w:b/>
          <w:bCs/>
          <w:spacing w:val="-6"/>
          <w:sz w:val="18"/>
          <w:szCs w:val="18"/>
          <w:lang w:val="es-ES_tradnl"/>
        </w:rPr>
        <w:t>ó</w:t>
      </w:r>
      <w:r>
        <w:rPr>
          <w:b/>
          <w:bCs/>
          <w:spacing w:val="-6"/>
          <w:sz w:val="18"/>
          <w:szCs w:val="18"/>
          <w:lang w:val="es-ES_tradnl"/>
        </w:rPr>
        <w:t>n de la Rep</w:t>
      </w:r>
      <w:r>
        <w:rPr>
          <w:rFonts w:cs="Times New Roman"/>
          <w:b/>
          <w:bCs/>
          <w:spacing w:val="-6"/>
          <w:sz w:val="18"/>
          <w:szCs w:val="18"/>
          <w:lang w:val="es-ES_tradnl"/>
        </w:rPr>
        <w:t>ú</w:t>
      </w:r>
      <w:r>
        <w:rPr>
          <w:b/>
          <w:bCs/>
          <w:spacing w:val="-6"/>
          <w:sz w:val="18"/>
          <w:szCs w:val="18"/>
          <w:lang w:val="es-ES_tradnl"/>
        </w:rPr>
        <w:t>blica?</w:t>
      </w:r>
    </w:p>
    <w:p w14:paraId="4F67A79B" w14:textId="77777777" w:rsidR="00591D54" w:rsidRDefault="00591D54">
      <w:pPr>
        <w:shd w:val="clear" w:color="auto" w:fill="FFFFFF"/>
        <w:spacing w:before="197" w:line="211" w:lineRule="exact"/>
        <w:ind w:right="5"/>
        <w:jc w:val="both"/>
      </w:pPr>
      <w:r>
        <w:rPr>
          <w:spacing w:val="-3"/>
          <w:sz w:val="18"/>
          <w:szCs w:val="18"/>
          <w:lang w:val="es-ES_tradnl"/>
        </w:rPr>
        <w:t>Una vez planteado el problema jur</w:t>
      </w:r>
      <w:r>
        <w:rPr>
          <w:rFonts w:cs="Times New Roman"/>
          <w:spacing w:val="-3"/>
          <w:sz w:val="18"/>
          <w:szCs w:val="18"/>
          <w:lang w:val="es-ES_tradnl"/>
        </w:rPr>
        <w:t>í</w:t>
      </w:r>
      <w:r>
        <w:rPr>
          <w:spacing w:val="-3"/>
          <w:sz w:val="18"/>
          <w:szCs w:val="18"/>
          <w:lang w:val="es-ES_tradnl"/>
        </w:rPr>
        <w:t xml:space="preserve">dico a analizarse, resulta pertinente en primera instancia identificar la </w:t>
      </w:r>
      <w:r>
        <w:rPr>
          <w:spacing w:val="-4"/>
          <w:sz w:val="18"/>
          <w:szCs w:val="18"/>
          <w:lang w:val="es-ES_tradnl"/>
        </w:rPr>
        <w:t xml:space="preserve">naturaleza y alcance de los principios constitucionales </w:t>
      </w:r>
      <w:r>
        <w:rPr>
          <w:spacing w:val="-5"/>
          <w:sz w:val="18"/>
          <w:szCs w:val="18"/>
          <w:lang w:val="es-ES_tradnl"/>
        </w:rPr>
        <w:t xml:space="preserve">tributarios y la importancia de que estos sean aplicados </w:t>
      </w:r>
      <w:r>
        <w:rPr>
          <w:spacing w:val="-7"/>
          <w:sz w:val="18"/>
          <w:szCs w:val="18"/>
          <w:lang w:val="es-ES_tradnl"/>
        </w:rPr>
        <w:t xml:space="preserve">dentro del </w:t>
      </w:r>
      <w:r>
        <w:rPr>
          <w:rFonts w:cs="Times New Roman"/>
          <w:spacing w:val="-7"/>
          <w:sz w:val="18"/>
          <w:szCs w:val="18"/>
          <w:lang w:val="es-ES_tradnl"/>
        </w:rPr>
        <w:t>á</w:t>
      </w:r>
      <w:r>
        <w:rPr>
          <w:spacing w:val="-7"/>
          <w:sz w:val="18"/>
          <w:szCs w:val="18"/>
          <w:lang w:val="es-ES_tradnl"/>
        </w:rPr>
        <w:t>mbito tributario y espec</w:t>
      </w:r>
      <w:r>
        <w:rPr>
          <w:rFonts w:cs="Times New Roman"/>
          <w:spacing w:val="-7"/>
          <w:sz w:val="18"/>
          <w:szCs w:val="18"/>
          <w:lang w:val="es-ES_tradnl"/>
        </w:rPr>
        <w:t>í</w:t>
      </w:r>
      <w:r>
        <w:rPr>
          <w:spacing w:val="-7"/>
          <w:sz w:val="18"/>
          <w:szCs w:val="18"/>
          <w:lang w:val="es-ES_tradnl"/>
        </w:rPr>
        <w:t xml:space="preserve">ficamente dentro de la </w:t>
      </w:r>
      <w:r>
        <w:rPr>
          <w:rFonts w:cs="Times New Roman"/>
          <w:spacing w:val="-4"/>
          <w:sz w:val="18"/>
          <w:szCs w:val="18"/>
          <w:lang w:val="es-ES_tradnl"/>
        </w:rPr>
        <w:t>“</w:t>
      </w:r>
      <w:r>
        <w:rPr>
          <w:spacing w:val="-4"/>
          <w:sz w:val="18"/>
          <w:szCs w:val="18"/>
          <w:lang w:val="es-ES_tradnl"/>
        </w:rPr>
        <w:t>potestad tributaria</w:t>
      </w:r>
      <w:r>
        <w:rPr>
          <w:rFonts w:cs="Times New Roman"/>
          <w:spacing w:val="-4"/>
          <w:sz w:val="18"/>
          <w:szCs w:val="18"/>
          <w:lang w:val="es-ES_tradnl"/>
        </w:rPr>
        <w:t>”</w:t>
      </w:r>
      <w:r>
        <w:rPr>
          <w:spacing w:val="-4"/>
          <w:sz w:val="18"/>
          <w:szCs w:val="18"/>
          <w:lang w:val="es-ES_tradnl"/>
        </w:rPr>
        <w:t xml:space="preserve"> o tambi</w:t>
      </w:r>
      <w:r>
        <w:rPr>
          <w:rFonts w:cs="Times New Roman"/>
          <w:spacing w:val="-4"/>
          <w:sz w:val="18"/>
          <w:szCs w:val="18"/>
          <w:lang w:val="es-ES_tradnl"/>
        </w:rPr>
        <w:t>é</w:t>
      </w:r>
      <w:r>
        <w:rPr>
          <w:spacing w:val="-4"/>
          <w:sz w:val="18"/>
          <w:szCs w:val="18"/>
          <w:lang w:val="es-ES_tradnl"/>
        </w:rPr>
        <w:t xml:space="preserve">n llamado </w:t>
      </w:r>
      <w:r>
        <w:rPr>
          <w:rFonts w:cs="Times New Roman"/>
          <w:spacing w:val="-4"/>
          <w:sz w:val="18"/>
          <w:szCs w:val="18"/>
          <w:lang w:val="es-ES_tradnl"/>
        </w:rPr>
        <w:t>“</w:t>
      </w:r>
      <w:r>
        <w:rPr>
          <w:spacing w:val="-4"/>
          <w:sz w:val="18"/>
          <w:szCs w:val="18"/>
          <w:lang w:val="es-ES_tradnl"/>
        </w:rPr>
        <w:t>poder tributario</w:t>
      </w:r>
      <w:r>
        <w:rPr>
          <w:rFonts w:cs="Times New Roman"/>
          <w:spacing w:val="-4"/>
          <w:sz w:val="18"/>
          <w:szCs w:val="18"/>
          <w:lang w:val="es-ES_tradnl"/>
        </w:rPr>
        <w:t xml:space="preserve">” </w:t>
      </w:r>
      <w:r>
        <w:rPr>
          <w:spacing w:val="-4"/>
          <w:sz w:val="18"/>
          <w:szCs w:val="18"/>
          <w:lang w:val="es-ES_tradnl"/>
        </w:rPr>
        <w:t xml:space="preserve">del que goza el Estado. Precisamente para comprender </w:t>
      </w:r>
      <w:r>
        <w:rPr>
          <w:sz w:val="18"/>
          <w:szCs w:val="18"/>
          <w:lang w:val="es-ES_tradnl"/>
        </w:rPr>
        <w:t xml:space="preserve">la importancia de dichos principios y su incidencia en </w:t>
      </w:r>
      <w:r>
        <w:rPr>
          <w:spacing w:val="-4"/>
          <w:sz w:val="18"/>
          <w:szCs w:val="18"/>
          <w:lang w:val="es-ES_tradnl"/>
        </w:rPr>
        <w:t>el r</w:t>
      </w:r>
      <w:r>
        <w:rPr>
          <w:rFonts w:cs="Times New Roman"/>
          <w:spacing w:val="-4"/>
          <w:sz w:val="18"/>
          <w:szCs w:val="18"/>
          <w:lang w:val="es-ES_tradnl"/>
        </w:rPr>
        <w:t>é</w:t>
      </w:r>
      <w:r>
        <w:rPr>
          <w:spacing w:val="-4"/>
          <w:sz w:val="18"/>
          <w:szCs w:val="18"/>
          <w:lang w:val="es-ES_tradnl"/>
        </w:rPr>
        <w:t xml:space="preserve">gimen tributario, es necesario ubicar el alcance de </w:t>
      </w:r>
      <w:r>
        <w:rPr>
          <w:spacing w:val="-6"/>
          <w:sz w:val="18"/>
          <w:szCs w:val="18"/>
          <w:lang w:val="es-ES_tradnl"/>
        </w:rPr>
        <w:t>esta potestad. Para el jurista H</w:t>
      </w:r>
      <w:r>
        <w:rPr>
          <w:rFonts w:cs="Times New Roman"/>
          <w:spacing w:val="-6"/>
          <w:sz w:val="18"/>
          <w:szCs w:val="18"/>
          <w:lang w:val="es-ES_tradnl"/>
        </w:rPr>
        <w:t>é</w:t>
      </w:r>
      <w:r>
        <w:rPr>
          <w:spacing w:val="-6"/>
          <w:sz w:val="18"/>
          <w:szCs w:val="18"/>
          <w:lang w:val="es-ES_tradnl"/>
        </w:rPr>
        <w:t xml:space="preserve">ctor Villegas, la potestad </w:t>
      </w:r>
      <w:r>
        <w:rPr>
          <w:sz w:val="18"/>
          <w:szCs w:val="18"/>
          <w:lang w:val="es-ES_tradnl"/>
        </w:rPr>
        <w:t xml:space="preserve">tributaria debe ser comprendida como: </w:t>
      </w:r>
      <w:r>
        <w:rPr>
          <w:rFonts w:cs="Times New Roman"/>
          <w:sz w:val="18"/>
          <w:szCs w:val="18"/>
          <w:lang w:val="es-ES_tradnl"/>
        </w:rPr>
        <w:t>“</w:t>
      </w:r>
      <w:r>
        <w:rPr>
          <w:sz w:val="18"/>
          <w:szCs w:val="18"/>
          <w:lang w:val="es-ES_tradnl"/>
        </w:rPr>
        <w:t xml:space="preserve">La facultad </w:t>
      </w:r>
      <w:r>
        <w:rPr>
          <w:spacing w:val="-7"/>
          <w:sz w:val="18"/>
          <w:szCs w:val="18"/>
          <w:lang w:val="es-ES_tradnl"/>
        </w:rPr>
        <w:t xml:space="preserve">de generar normas mediante las cuales el Estado puede </w:t>
      </w:r>
      <w:r>
        <w:rPr>
          <w:spacing w:val="-9"/>
          <w:sz w:val="18"/>
          <w:szCs w:val="18"/>
          <w:lang w:val="es-ES_tradnl"/>
        </w:rPr>
        <w:t>compeler a las personas para que le entreguen una porci</w:t>
      </w:r>
      <w:r>
        <w:rPr>
          <w:rFonts w:cs="Times New Roman"/>
          <w:spacing w:val="-9"/>
          <w:sz w:val="18"/>
          <w:szCs w:val="18"/>
          <w:lang w:val="es-ES_tradnl"/>
        </w:rPr>
        <w:t>ó</w:t>
      </w:r>
      <w:r>
        <w:rPr>
          <w:spacing w:val="-9"/>
          <w:sz w:val="18"/>
          <w:szCs w:val="18"/>
          <w:lang w:val="es-ES_tradnl"/>
        </w:rPr>
        <w:t xml:space="preserve">n </w:t>
      </w:r>
      <w:r>
        <w:rPr>
          <w:spacing w:val="-7"/>
          <w:sz w:val="18"/>
          <w:szCs w:val="18"/>
          <w:lang w:val="es-ES_tradnl"/>
        </w:rPr>
        <w:t xml:space="preserve">de sus rentas o patrimonio para atender las necesidades </w:t>
      </w:r>
      <w:r>
        <w:rPr>
          <w:spacing w:val="-3"/>
          <w:sz w:val="18"/>
          <w:szCs w:val="18"/>
          <w:lang w:val="es-ES_tradnl"/>
        </w:rPr>
        <w:t>p</w:t>
      </w:r>
      <w:r>
        <w:rPr>
          <w:rFonts w:cs="Times New Roman"/>
          <w:spacing w:val="-3"/>
          <w:sz w:val="18"/>
          <w:szCs w:val="18"/>
          <w:lang w:val="es-ES_tradnl"/>
        </w:rPr>
        <w:t>ú</w:t>
      </w:r>
      <w:r>
        <w:rPr>
          <w:spacing w:val="-3"/>
          <w:sz w:val="18"/>
          <w:szCs w:val="18"/>
          <w:lang w:val="es-ES_tradnl"/>
        </w:rPr>
        <w:t>blicas</w:t>
      </w:r>
      <w:r>
        <w:rPr>
          <w:rFonts w:cs="Times New Roman"/>
          <w:spacing w:val="-3"/>
          <w:sz w:val="18"/>
          <w:szCs w:val="18"/>
          <w:lang w:val="es-ES_tradnl"/>
        </w:rPr>
        <w:t>”</w:t>
      </w:r>
      <w:r>
        <w:rPr>
          <w:spacing w:val="-3"/>
          <w:sz w:val="18"/>
          <w:szCs w:val="18"/>
          <w:vertAlign w:val="superscript"/>
          <w:lang w:val="es-ES_tradnl"/>
        </w:rPr>
        <w:t>1</w:t>
      </w:r>
      <w:r>
        <w:rPr>
          <w:spacing w:val="-3"/>
          <w:sz w:val="18"/>
          <w:szCs w:val="18"/>
          <w:lang w:val="es-ES_tradnl"/>
        </w:rPr>
        <w:t>, es decir, la atribuci</w:t>
      </w:r>
      <w:r>
        <w:rPr>
          <w:rFonts w:cs="Times New Roman"/>
          <w:spacing w:val="-3"/>
          <w:sz w:val="18"/>
          <w:szCs w:val="18"/>
          <w:lang w:val="es-ES_tradnl"/>
        </w:rPr>
        <w:t>ó</w:t>
      </w:r>
      <w:r>
        <w:rPr>
          <w:spacing w:val="-3"/>
          <w:sz w:val="18"/>
          <w:szCs w:val="18"/>
          <w:lang w:val="es-ES_tradnl"/>
        </w:rPr>
        <w:t>n originaria, abstracta e</w:t>
      </w:r>
    </w:p>
    <w:p w14:paraId="4F67A79C" w14:textId="77777777" w:rsidR="00591D54" w:rsidRDefault="00591D54">
      <w:pPr>
        <w:shd w:val="clear" w:color="auto" w:fill="FFFFFF"/>
        <w:spacing w:before="509" w:line="178" w:lineRule="exact"/>
        <w:ind w:left="144" w:hanging="144"/>
      </w:pPr>
      <w:r>
        <w:rPr>
          <w:sz w:val="14"/>
          <w:szCs w:val="14"/>
          <w:vertAlign w:val="superscript"/>
          <w:lang w:val="es-ES_tradnl"/>
        </w:rPr>
        <w:t>1</w:t>
      </w:r>
      <w:r>
        <w:rPr>
          <w:sz w:val="14"/>
          <w:szCs w:val="14"/>
          <w:lang w:val="es-ES_tradnl"/>
        </w:rPr>
        <w:t xml:space="preserve">  H</w:t>
      </w:r>
      <w:r>
        <w:rPr>
          <w:rFonts w:cs="Times New Roman"/>
          <w:sz w:val="14"/>
          <w:szCs w:val="14"/>
          <w:lang w:val="es-ES_tradnl"/>
        </w:rPr>
        <w:t>é</w:t>
      </w:r>
      <w:r>
        <w:rPr>
          <w:sz w:val="14"/>
          <w:szCs w:val="14"/>
          <w:lang w:val="es-ES_tradnl"/>
        </w:rPr>
        <w:t xml:space="preserve">ctor Villegas, </w:t>
      </w:r>
      <w:r>
        <w:rPr>
          <w:i/>
          <w:iCs/>
          <w:sz w:val="14"/>
          <w:szCs w:val="14"/>
          <w:lang w:val="es-ES_tradnl"/>
        </w:rPr>
        <w:t>Curso de finanzas, derecho financiero y tributario</w:t>
      </w:r>
      <w:r>
        <w:rPr>
          <w:sz w:val="14"/>
          <w:szCs w:val="14"/>
          <w:lang w:val="es-ES_tradnl"/>
        </w:rPr>
        <w:t xml:space="preserve">, </w:t>
      </w:r>
      <w:r>
        <w:rPr>
          <w:spacing w:val="-1"/>
          <w:sz w:val="14"/>
          <w:szCs w:val="14"/>
          <w:lang w:val="es-ES_tradnl"/>
        </w:rPr>
        <w:t>Octava edici</w:t>
      </w:r>
      <w:r>
        <w:rPr>
          <w:rFonts w:cs="Times New Roman"/>
          <w:spacing w:val="-1"/>
          <w:sz w:val="14"/>
          <w:szCs w:val="14"/>
          <w:lang w:val="es-ES_tradnl"/>
        </w:rPr>
        <w:t>ó</w:t>
      </w:r>
      <w:r>
        <w:rPr>
          <w:spacing w:val="-1"/>
          <w:sz w:val="14"/>
          <w:szCs w:val="14"/>
          <w:lang w:val="es-ES_tradnl"/>
        </w:rPr>
        <w:t>n, Editorial Astrea, Buenos Aires, 2002, P</w:t>
      </w:r>
      <w:r>
        <w:rPr>
          <w:rFonts w:cs="Times New Roman"/>
          <w:spacing w:val="-1"/>
          <w:sz w:val="14"/>
          <w:szCs w:val="14"/>
          <w:lang w:val="es-ES_tradnl"/>
        </w:rPr>
        <w:t>á</w:t>
      </w:r>
      <w:r>
        <w:rPr>
          <w:spacing w:val="-1"/>
          <w:sz w:val="14"/>
          <w:szCs w:val="14"/>
          <w:lang w:val="es-ES_tradnl"/>
        </w:rPr>
        <w:t>g. 252.</w:t>
      </w:r>
    </w:p>
    <w:p w14:paraId="4F67A79D" w14:textId="77777777" w:rsidR="00591D54" w:rsidRDefault="00591D54">
      <w:pPr>
        <w:shd w:val="clear" w:color="auto" w:fill="FFFFFF"/>
        <w:spacing w:before="509" w:line="178" w:lineRule="exact"/>
        <w:ind w:left="144" w:hanging="144"/>
        <w:sectPr w:rsidR="00591D54">
          <w:type w:val="continuous"/>
          <w:pgSz w:w="11909" w:h="16834"/>
          <w:pgMar w:top="1359" w:right="1304" w:bottom="360" w:left="1308" w:header="720" w:footer="720" w:gutter="0"/>
          <w:cols w:num="2" w:space="720" w:equalWidth="0">
            <w:col w:w="4305" w:space="682"/>
            <w:col w:w="4310"/>
          </w:cols>
          <w:noEndnote/>
        </w:sectPr>
      </w:pPr>
    </w:p>
    <w:p w14:paraId="4F67A79E" w14:textId="77777777" w:rsidR="00591D54" w:rsidRDefault="00591D54">
      <w:pPr>
        <w:shd w:val="clear" w:color="auto" w:fill="FFFFFF"/>
        <w:tabs>
          <w:tab w:val="left" w:pos="595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- 53</w:t>
      </w:r>
    </w:p>
    <w:p w14:paraId="4F67A79F" w14:textId="77777777" w:rsidR="00591D54" w:rsidRDefault="00591D54">
      <w:pPr>
        <w:shd w:val="clear" w:color="auto" w:fill="FFFFFF"/>
        <w:tabs>
          <w:tab w:val="left" w:pos="5952"/>
        </w:tabs>
        <w:spacing w:after="235"/>
        <w:ind w:left="5"/>
        <w:sectPr w:rsidR="00591D54">
          <w:pgSz w:w="11909" w:h="16834"/>
          <w:pgMar w:top="1359" w:right="1304" w:bottom="360" w:left="1308" w:header="720" w:footer="720" w:gutter="0"/>
          <w:cols w:space="60"/>
          <w:noEndnote/>
        </w:sectPr>
      </w:pPr>
    </w:p>
    <w:p w14:paraId="4F67A7A0" w14:textId="77777777" w:rsidR="00591D54" w:rsidRDefault="00591D54">
      <w:pPr>
        <w:shd w:val="clear" w:color="auto" w:fill="FFFFFF"/>
        <w:spacing w:line="216" w:lineRule="exact"/>
        <w:jc w:val="both"/>
      </w:pPr>
      <w:r>
        <w:rPr>
          <w:spacing w:val="-6"/>
          <w:sz w:val="18"/>
          <w:szCs w:val="18"/>
          <w:lang w:val="es-ES_tradnl"/>
        </w:rPr>
        <w:t xml:space="preserve">irrenunciable con la que cuenta el Estado en sus distintos </w:t>
      </w:r>
      <w:r>
        <w:rPr>
          <w:spacing w:val="-2"/>
          <w:sz w:val="18"/>
          <w:szCs w:val="18"/>
          <w:lang w:val="es-ES_tradnl"/>
        </w:rPr>
        <w:t xml:space="preserve">niveles de Gobierno para crear, modificar, derogar, </w:t>
      </w:r>
      <w:r>
        <w:rPr>
          <w:spacing w:val="-5"/>
          <w:sz w:val="18"/>
          <w:szCs w:val="18"/>
          <w:lang w:val="es-ES_tradnl"/>
        </w:rPr>
        <w:t>suprimir y exonerar tributos, tal como lo se</w:t>
      </w:r>
      <w:r>
        <w:rPr>
          <w:rFonts w:cs="Times New Roman"/>
          <w:spacing w:val="-5"/>
          <w:sz w:val="18"/>
          <w:szCs w:val="18"/>
          <w:lang w:val="es-ES_tradnl"/>
        </w:rPr>
        <w:t>ñ</w:t>
      </w:r>
      <w:r>
        <w:rPr>
          <w:spacing w:val="-5"/>
          <w:sz w:val="18"/>
          <w:szCs w:val="18"/>
          <w:lang w:val="es-ES_tradnl"/>
        </w:rPr>
        <w:t>ala el art</w:t>
      </w:r>
      <w:r>
        <w:rPr>
          <w:rFonts w:cs="Times New Roman"/>
          <w:spacing w:val="-5"/>
          <w:sz w:val="18"/>
          <w:szCs w:val="18"/>
          <w:lang w:val="es-ES_tradnl"/>
        </w:rPr>
        <w:t>í</w:t>
      </w:r>
      <w:r>
        <w:rPr>
          <w:spacing w:val="-5"/>
          <w:sz w:val="18"/>
          <w:szCs w:val="18"/>
          <w:lang w:val="es-ES_tradnl"/>
        </w:rPr>
        <w:t xml:space="preserve">culo </w:t>
      </w:r>
      <w:r>
        <w:rPr>
          <w:sz w:val="18"/>
          <w:szCs w:val="18"/>
          <w:lang w:val="es-ES_tradnl"/>
        </w:rPr>
        <w:t>301 de la Carta Suprema.</w:t>
      </w:r>
    </w:p>
    <w:p w14:paraId="4F67A7A1" w14:textId="77777777" w:rsidR="00591D54" w:rsidRDefault="00591D54">
      <w:pPr>
        <w:shd w:val="clear" w:color="auto" w:fill="FFFFFF"/>
        <w:spacing w:before="197" w:line="216" w:lineRule="exact"/>
        <w:ind w:right="5"/>
        <w:jc w:val="both"/>
      </w:pPr>
      <w:r>
        <w:rPr>
          <w:spacing w:val="-6"/>
          <w:sz w:val="18"/>
          <w:szCs w:val="18"/>
          <w:lang w:val="es-ES_tradnl"/>
        </w:rPr>
        <w:t xml:space="preserve">Ahora bien, conforme han ido evolucionando los diversos </w:t>
      </w:r>
      <w:r>
        <w:rPr>
          <w:spacing w:val="-5"/>
          <w:sz w:val="18"/>
          <w:szCs w:val="18"/>
          <w:lang w:val="es-ES_tradnl"/>
        </w:rPr>
        <w:t>conceptos y teor</w:t>
      </w:r>
      <w:r>
        <w:rPr>
          <w:rFonts w:cs="Times New Roman"/>
          <w:spacing w:val="-5"/>
          <w:sz w:val="18"/>
          <w:szCs w:val="18"/>
          <w:lang w:val="es-ES_tradnl"/>
        </w:rPr>
        <w:t>í</w:t>
      </w:r>
      <w:r>
        <w:rPr>
          <w:spacing w:val="-5"/>
          <w:sz w:val="18"/>
          <w:szCs w:val="18"/>
          <w:lang w:val="es-ES_tradnl"/>
        </w:rPr>
        <w:t xml:space="preserve">as que integran el sistema tributario, se </w:t>
      </w:r>
      <w:r>
        <w:rPr>
          <w:spacing w:val="-7"/>
          <w:sz w:val="18"/>
          <w:szCs w:val="18"/>
          <w:lang w:val="es-ES_tradnl"/>
        </w:rPr>
        <w:t xml:space="preserve">ha logrado comprender que la potestad tributaria no es </w:t>
      </w:r>
      <w:r>
        <w:rPr>
          <w:spacing w:val="-5"/>
          <w:sz w:val="18"/>
          <w:szCs w:val="18"/>
          <w:lang w:val="es-ES_tradnl"/>
        </w:rPr>
        <w:t xml:space="preserve">ilimitada ni irrestricta, sino que su ejercicio se encuentra </w:t>
      </w:r>
      <w:r>
        <w:rPr>
          <w:spacing w:val="-8"/>
          <w:sz w:val="18"/>
          <w:szCs w:val="18"/>
          <w:lang w:val="es-ES_tradnl"/>
        </w:rPr>
        <w:t>delimitado a varios principios que necesariamente deber</w:t>
      </w:r>
      <w:r>
        <w:rPr>
          <w:rFonts w:cs="Times New Roman"/>
          <w:spacing w:val="-8"/>
          <w:sz w:val="18"/>
          <w:szCs w:val="18"/>
          <w:lang w:val="es-ES_tradnl"/>
        </w:rPr>
        <w:t>á</w:t>
      </w:r>
      <w:r>
        <w:rPr>
          <w:spacing w:val="-8"/>
          <w:sz w:val="18"/>
          <w:szCs w:val="18"/>
          <w:lang w:val="es-ES_tradnl"/>
        </w:rPr>
        <w:t xml:space="preserve">n ser observados dentro del ejercicio de la potestad tributaria, </w:t>
      </w:r>
      <w:r>
        <w:rPr>
          <w:spacing w:val="-7"/>
          <w:sz w:val="18"/>
          <w:szCs w:val="18"/>
          <w:lang w:val="es-ES_tradnl"/>
        </w:rPr>
        <w:t xml:space="preserve">a fin de que esta alcance un ideal de justicia y legitimidad; </w:t>
      </w:r>
      <w:r>
        <w:rPr>
          <w:spacing w:val="-4"/>
          <w:sz w:val="18"/>
          <w:szCs w:val="18"/>
          <w:lang w:val="es-ES_tradnl"/>
        </w:rPr>
        <w:t xml:space="preserve">principios que se los identifica como un conjunto de </w:t>
      </w:r>
      <w:r>
        <w:rPr>
          <w:spacing w:val="-8"/>
          <w:sz w:val="18"/>
          <w:szCs w:val="18"/>
          <w:lang w:val="es-ES_tradnl"/>
        </w:rPr>
        <w:t>garant</w:t>
      </w:r>
      <w:r>
        <w:rPr>
          <w:rFonts w:cs="Times New Roman"/>
          <w:spacing w:val="-8"/>
          <w:sz w:val="18"/>
          <w:szCs w:val="18"/>
          <w:lang w:val="es-ES_tradnl"/>
        </w:rPr>
        <w:t>í</w:t>
      </w:r>
      <w:r>
        <w:rPr>
          <w:spacing w:val="-8"/>
          <w:sz w:val="18"/>
          <w:szCs w:val="18"/>
          <w:lang w:val="es-ES_tradnl"/>
        </w:rPr>
        <w:t xml:space="preserve">as formales y materiales que precisamente tienen </w:t>
      </w:r>
      <w:r>
        <w:rPr>
          <w:spacing w:val="-7"/>
          <w:sz w:val="18"/>
          <w:szCs w:val="18"/>
          <w:lang w:val="es-ES_tradnl"/>
        </w:rPr>
        <w:t>como objetivo primordial generar un l</w:t>
      </w:r>
      <w:r>
        <w:rPr>
          <w:rFonts w:cs="Times New Roman"/>
          <w:spacing w:val="-7"/>
          <w:sz w:val="18"/>
          <w:szCs w:val="18"/>
          <w:lang w:val="es-ES_tradnl"/>
        </w:rPr>
        <w:t>í</w:t>
      </w:r>
      <w:r>
        <w:rPr>
          <w:spacing w:val="-7"/>
          <w:sz w:val="18"/>
          <w:szCs w:val="18"/>
          <w:lang w:val="es-ES_tradnl"/>
        </w:rPr>
        <w:t>mite en la creaci</w:t>
      </w:r>
      <w:r>
        <w:rPr>
          <w:rFonts w:cs="Times New Roman"/>
          <w:spacing w:val="-7"/>
          <w:sz w:val="18"/>
          <w:szCs w:val="18"/>
          <w:lang w:val="es-ES_tradnl"/>
        </w:rPr>
        <w:t>ó</w:t>
      </w:r>
      <w:r>
        <w:rPr>
          <w:spacing w:val="-7"/>
          <w:sz w:val="18"/>
          <w:szCs w:val="18"/>
          <w:lang w:val="es-ES_tradnl"/>
        </w:rPr>
        <w:t xml:space="preserve">n y </w:t>
      </w:r>
      <w:r>
        <w:rPr>
          <w:sz w:val="18"/>
          <w:szCs w:val="18"/>
          <w:lang w:val="es-ES_tradnl"/>
        </w:rPr>
        <w:t>regulaci</w:t>
      </w:r>
      <w:r>
        <w:rPr>
          <w:rFonts w:cs="Times New Roman"/>
          <w:sz w:val="18"/>
          <w:szCs w:val="18"/>
          <w:lang w:val="es-ES_tradnl"/>
        </w:rPr>
        <w:t>ó</w:t>
      </w:r>
      <w:r>
        <w:rPr>
          <w:sz w:val="18"/>
          <w:szCs w:val="18"/>
          <w:lang w:val="es-ES_tradnl"/>
        </w:rPr>
        <w:t>n de los tributos.</w:t>
      </w:r>
    </w:p>
    <w:p w14:paraId="4F67A7A2" w14:textId="77777777" w:rsidR="00591D54" w:rsidRDefault="00591D54">
      <w:pPr>
        <w:shd w:val="clear" w:color="auto" w:fill="FFFFFF"/>
        <w:spacing w:before="197" w:line="216" w:lineRule="exact"/>
        <w:ind w:right="5"/>
        <w:jc w:val="both"/>
      </w:pPr>
      <w:r>
        <w:rPr>
          <w:spacing w:val="-5"/>
          <w:sz w:val="18"/>
          <w:szCs w:val="18"/>
          <w:lang w:val="es-ES_tradnl"/>
        </w:rPr>
        <w:t xml:space="preserve">En definitiva, la trascendencia de que estos principios </w:t>
      </w:r>
      <w:r>
        <w:rPr>
          <w:spacing w:val="-6"/>
          <w:sz w:val="18"/>
          <w:szCs w:val="18"/>
          <w:lang w:val="es-ES_tradnl"/>
        </w:rPr>
        <w:t>tributarios est</w:t>
      </w:r>
      <w:r>
        <w:rPr>
          <w:rFonts w:cs="Times New Roman"/>
          <w:spacing w:val="-6"/>
          <w:sz w:val="18"/>
          <w:szCs w:val="18"/>
          <w:lang w:val="es-ES_tradnl"/>
        </w:rPr>
        <w:t>é</w:t>
      </w:r>
      <w:r>
        <w:rPr>
          <w:spacing w:val="-6"/>
          <w:sz w:val="18"/>
          <w:szCs w:val="18"/>
          <w:lang w:val="es-ES_tradnl"/>
        </w:rPr>
        <w:t xml:space="preserve">n previstos dentro del marco constitucional </w:t>
      </w:r>
      <w:r>
        <w:rPr>
          <w:spacing w:val="-7"/>
          <w:sz w:val="18"/>
          <w:szCs w:val="18"/>
          <w:lang w:val="es-ES_tradnl"/>
        </w:rPr>
        <w:t>radica principalmente en que a trav</w:t>
      </w:r>
      <w:r>
        <w:rPr>
          <w:rFonts w:cs="Times New Roman"/>
          <w:spacing w:val="-7"/>
          <w:sz w:val="18"/>
          <w:szCs w:val="18"/>
          <w:lang w:val="es-ES_tradnl"/>
        </w:rPr>
        <w:t>é</w:t>
      </w:r>
      <w:r>
        <w:rPr>
          <w:spacing w:val="-7"/>
          <w:sz w:val="18"/>
          <w:szCs w:val="18"/>
          <w:lang w:val="es-ES_tradnl"/>
        </w:rPr>
        <w:t xml:space="preserve">s de ellos se pueda </w:t>
      </w:r>
      <w:r>
        <w:rPr>
          <w:spacing w:val="-8"/>
          <w:sz w:val="18"/>
          <w:szCs w:val="18"/>
          <w:lang w:val="es-ES_tradnl"/>
        </w:rPr>
        <w:t xml:space="preserve">regular de manera directa el poder tributario que emana de </w:t>
      </w:r>
      <w:r>
        <w:rPr>
          <w:spacing w:val="-10"/>
          <w:sz w:val="18"/>
          <w:szCs w:val="18"/>
          <w:lang w:val="es-ES_tradnl"/>
        </w:rPr>
        <w:t>la soberan</w:t>
      </w:r>
      <w:r>
        <w:rPr>
          <w:rFonts w:cs="Times New Roman"/>
          <w:spacing w:val="-10"/>
          <w:sz w:val="18"/>
          <w:szCs w:val="18"/>
          <w:lang w:val="es-ES_tradnl"/>
        </w:rPr>
        <w:t>í</w:t>
      </w:r>
      <w:r>
        <w:rPr>
          <w:spacing w:val="-10"/>
          <w:sz w:val="18"/>
          <w:szCs w:val="18"/>
          <w:lang w:val="es-ES_tradnl"/>
        </w:rPr>
        <w:t>a estatal. Precisamente, este fen</w:t>
      </w:r>
      <w:r>
        <w:rPr>
          <w:rFonts w:cs="Times New Roman"/>
          <w:spacing w:val="-10"/>
          <w:sz w:val="18"/>
          <w:szCs w:val="18"/>
          <w:lang w:val="es-ES_tradnl"/>
        </w:rPr>
        <w:t>ó</w:t>
      </w:r>
      <w:r>
        <w:rPr>
          <w:spacing w:val="-10"/>
          <w:sz w:val="18"/>
          <w:szCs w:val="18"/>
          <w:lang w:val="es-ES_tradnl"/>
        </w:rPr>
        <w:t xml:space="preserve">meno acogido </w:t>
      </w:r>
      <w:r>
        <w:rPr>
          <w:spacing w:val="-7"/>
          <w:sz w:val="18"/>
          <w:szCs w:val="18"/>
          <w:lang w:val="es-ES_tradnl"/>
        </w:rPr>
        <w:t>por la mayor</w:t>
      </w:r>
      <w:r>
        <w:rPr>
          <w:rFonts w:cs="Times New Roman"/>
          <w:spacing w:val="-7"/>
          <w:sz w:val="18"/>
          <w:szCs w:val="18"/>
          <w:lang w:val="es-ES_tradnl"/>
        </w:rPr>
        <w:t>í</w:t>
      </w:r>
      <w:r>
        <w:rPr>
          <w:spacing w:val="-7"/>
          <w:sz w:val="18"/>
          <w:szCs w:val="18"/>
          <w:lang w:val="es-ES_tradnl"/>
        </w:rPr>
        <w:t xml:space="preserve">a de constituciones occidentales de elevar a </w:t>
      </w:r>
      <w:r>
        <w:rPr>
          <w:spacing w:val="-6"/>
          <w:sz w:val="18"/>
          <w:szCs w:val="18"/>
          <w:lang w:val="es-ES_tradnl"/>
        </w:rPr>
        <w:t xml:space="preserve">rango constitucional los principios tributarios, es lo que ha </w:t>
      </w:r>
      <w:r>
        <w:rPr>
          <w:spacing w:val="-7"/>
          <w:sz w:val="18"/>
          <w:szCs w:val="18"/>
          <w:lang w:val="es-ES_tradnl"/>
        </w:rPr>
        <w:t xml:space="preserve">dado origen al derecho constitucional tributario, el cual es </w:t>
      </w:r>
      <w:r>
        <w:rPr>
          <w:spacing w:val="-6"/>
          <w:sz w:val="18"/>
          <w:szCs w:val="18"/>
          <w:lang w:val="es-ES_tradnl"/>
        </w:rPr>
        <w:t>visto por la jurista Catalina Garc</w:t>
      </w:r>
      <w:r>
        <w:rPr>
          <w:rFonts w:cs="Times New Roman"/>
          <w:spacing w:val="-6"/>
          <w:sz w:val="18"/>
          <w:szCs w:val="18"/>
          <w:lang w:val="es-ES_tradnl"/>
        </w:rPr>
        <w:t>í</w:t>
      </w:r>
      <w:r>
        <w:rPr>
          <w:spacing w:val="-6"/>
          <w:sz w:val="18"/>
          <w:szCs w:val="18"/>
          <w:lang w:val="es-ES_tradnl"/>
        </w:rPr>
        <w:t>a Vizca</w:t>
      </w:r>
      <w:r>
        <w:rPr>
          <w:rFonts w:cs="Times New Roman"/>
          <w:spacing w:val="-6"/>
          <w:sz w:val="18"/>
          <w:szCs w:val="18"/>
          <w:lang w:val="es-ES_tradnl"/>
        </w:rPr>
        <w:t>í</w:t>
      </w:r>
      <w:r>
        <w:rPr>
          <w:spacing w:val="-6"/>
          <w:sz w:val="18"/>
          <w:szCs w:val="18"/>
          <w:lang w:val="es-ES_tradnl"/>
        </w:rPr>
        <w:t>no como:</w:t>
      </w:r>
    </w:p>
    <w:p w14:paraId="4F67A7A3" w14:textId="77777777" w:rsidR="00591D54" w:rsidRDefault="00591D54">
      <w:pPr>
        <w:shd w:val="clear" w:color="auto" w:fill="FFFFFF"/>
        <w:spacing w:before="206" w:line="216" w:lineRule="exact"/>
        <w:ind w:left="283" w:right="5"/>
        <w:jc w:val="both"/>
      </w:pPr>
      <w:r>
        <w:rPr>
          <w:sz w:val="14"/>
          <w:szCs w:val="14"/>
          <w:lang w:val="es-ES_tradnl"/>
        </w:rPr>
        <w:t>El conjunto de normas y principios que surgen de las constituciones y cartas, referentes a la delimitaci</w:t>
      </w:r>
      <w:r>
        <w:rPr>
          <w:rFonts w:cs="Times New Roman"/>
          <w:sz w:val="14"/>
          <w:szCs w:val="14"/>
          <w:lang w:val="es-ES_tradnl"/>
        </w:rPr>
        <w:t>ó</w:t>
      </w:r>
      <w:r>
        <w:rPr>
          <w:sz w:val="14"/>
          <w:szCs w:val="14"/>
          <w:lang w:val="es-ES_tradnl"/>
        </w:rPr>
        <w:t>n de competencias tributarias entre distintos centros de poder (naci</w:t>
      </w:r>
      <w:r>
        <w:rPr>
          <w:rFonts w:cs="Times New Roman"/>
          <w:sz w:val="14"/>
          <w:szCs w:val="14"/>
          <w:lang w:val="es-ES_tradnl"/>
        </w:rPr>
        <w:t>ó</w:t>
      </w:r>
      <w:r>
        <w:rPr>
          <w:sz w:val="14"/>
          <w:szCs w:val="14"/>
          <w:lang w:val="es-ES_tradnl"/>
        </w:rPr>
        <w:t>n, provincias, estados) y la regulaci</w:t>
      </w:r>
      <w:r>
        <w:rPr>
          <w:rFonts w:cs="Times New Roman"/>
          <w:sz w:val="14"/>
          <w:szCs w:val="14"/>
          <w:lang w:val="es-ES_tradnl"/>
        </w:rPr>
        <w:t>ó</w:t>
      </w:r>
      <w:r>
        <w:rPr>
          <w:sz w:val="14"/>
          <w:szCs w:val="14"/>
          <w:lang w:val="es-ES_tradnl"/>
        </w:rPr>
        <w:t xml:space="preserve">n del poder tributario frente a los sometidos a </w:t>
      </w:r>
      <w:r>
        <w:rPr>
          <w:rFonts w:cs="Times New Roman"/>
          <w:sz w:val="14"/>
          <w:szCs w:val="14"/>
          <w:lang w:val="es-ES_tradnl"/>
        </w:rPr>
        <w:t>é</w:t>
      </w:r>
      <w:r>
        <w:rPr>
          <w:sz w:val="14"/>
          <w:szCs w:val="14"/>
          <w:lang w:val="es-ES_tradnl"/>
        </w:rPr>
        <w:t>l, dando origen a los derechos y garant</w:t>
      </w:r>
      <w:r>
        <w:rPr>
          <w:rFonts w:cs="Times New Roman"/>
          <w:sz w:val="14"/>
          <w:szCs w:val="14"/>
          <w:lang w:val="es-ES_tradnl"/>
        </w:rPr>
        <w:t>í</w:t>
      </w:r>
      <w:r>
        <w:rPr>
          <w:sz w:val="14"/>
          <w:szCs w:val="14"/>
          <w:lang w:val="es-ES_tradnl"/>
        </w:rPr>
        <w:t xml:space="preserve">as de los particulares, aspectos, este </w:t>
      </w:r>
      <w:r>
        <w:rPr>
          <w:rFonts w:cs="Times New Roman"/>
          <w:sz w:val="14"/>
          <w:szCs w:val="14"/>
          <w:lang w:val="es-ES_tradnl"/>
        </w:rPr>
        <w:t>ú</w:t>
      </w:r>
      <w:r>
        <w:rPr>
          <w:sz w:val="14"/>
          <w:szCs w:val="14"/>
          <w:lang w:val="es-ES_tradnl"/>
        </w:rPr>
        <w:t>ltimo, conocido como el de garant</w:t>
      </w:r>
      <w:r>
        <w:rPr>
          <w:rFonts w:cs="Times New Roman"/>
          <w:sz w:val="14"/>
          <w:szCs w:val="14"/>
          <w:lang w:val="es-ES_tradnl"/>
        </w:rPr>
        <w:t>í</w:t>
      </w:r>
      <w:r>
        <w:rPr>
          <w:sz w:val="14"/>
          <w:szCs w:val="14"/>
          <w:lang w:val="es-ES_tradnl"/>
        </w:rPr>
        <w:t>as de contribuyentes, las cuales representan, desde la perspectiva estatal, limitaciones constitucionales al poder tributario</w:t>
      </w:r>
      <w:r>
        <w:rPr>
          <w:sz w:val="14"/>
          <w:szCs w:val="14"/>
          <w:vertAlign w:val="superscript"/>
          <w:lang w:val="es-ES_tradnl"/>
        </w:rPr>
        <w:t>2</w:t>
      </w:r>
      <w:r>
        <w:rPr>
          <w:sz w:val="14"/>
          <w:szCs w:val="14"/>
          <w:lang w:val="es-ES_tradnl"/>
        </w:rPr>
        <w:t>.</w:t>
      </w:r>
    </w:p>
    <w:p w14:paraId="4F67A7A4" w14:textId="77777777" w:rsidR="00591D54" w:rsidRDefault="00591D54">
      <w:pPr>
        <w:shd w:val="clear" w:color="auto" w:fill="FFFFFF"/>
        <w:spacing w:before="206" w:line="216" w:lineRule="exact"/>
        <w:ind w:right="5"/>
        <w:jc w:val="both"/>
      </w:pPr>
      <w:r>
        <w:rPr>
          <w:spacing w:val="-12"/>
          <w:sz w:val="18"/>
          <w:szCs w:val="18"/>
          <w:lang w:val="es-ES_tradnl"/>
        </w:rPr>
        <w:t>Es decir, que a trav</w:t>
      </w:r>
      <w:r>
        <w:rPr>
          <w:rFonts w:cs="Times New Roman"/>
          <w:spacing w:val="-12"/>
          <w:sz w:val="18"/>
          <w:szCs w:val="18"/>
          <w:lang w:val="es-ES_tradnl"/>
        </w:rPr>
        <w:t>é</w:t>
      </w:r>
      <w:r>
        <w:rPr>
          <w:spacing w:val="-12"/>
          <w:sz w:val="18"/>
          <w:szCs w:val="18"/>
          <w:lang w:val="es-ES_tradnl"/>
        </w:rPr>
        <w:t xml:space="preserve">s de los principios tributarios consagrados </w:t>
      </w:r>
      <w:r>
        <w:rPr>
          <w:spacing w:val="-10"/>
          <w:sz w:val="18"/>
          <w:szCs w:val="18"/>
          <w:lang w:val="es-ES_tradnl"/>
        </w:rPr>
        <w:t>en la Constituci</w:t>
      </w:r>
      <w:r>
        <w:rPr>
          <w:rFonts w:cs="Times New Roman"/>
          <w:spacing w:val="-10"/>
          <w:sz w:val="18"/>
          <w:szCs w:val="18"/>
          <w:lang w:val="es-ES_tradnl"/>
        </w:rPr>
        <w:t>ó</w:t>
      </w:r>
      <w:r>
        <w:rPr>
          <w:spacing w:val="-10"/>
          <w:sz w:val="18"/>
          <w:szCs w:val="18"/>
          <w:lang w:val="es-ES_tradnl"/>
        </w:rPr>
        <w:t xml:space="preserve">n, no solo que se limita la potestad tributaria </w:t>
      </w:r>
      <w:r>
        <w:rPr>
          <w:spacing w:val="-11"/>
          <w:sz w:val="18"/>
          <w:szCs w:val="18"/>
          <w:lang w:val="es-ES_tradnl"/>
        </w:rPr>
        <w:t>de la que goza el Estado, sino que tambi</w:t>
      </w:r>
      <w:r>
        <w:rPr>
          <w:rFonts w:cs="Times New Roman"/>
          <w:spacing w:val="-11"/>
          <w:sz w:val="18"/>
          <w:szCs w:val="18"/>
          <w:lang w:val="es-ES_tradnl"/>
        </w:rPr>
        <w:t>é</w:t>
      </w:r>
      <w:r>
        <w:rPr>
          <w:spacing w:val="-11"/>
          <w:sz w:val="18"/>
          <w:szCs w:val="18"/>
          <w:lang w:val="es-ES_tradnl"/>
        </w:rPr>
        <w:t>n, a trav</w:t>
      </w:r>
      <w:r>
        <w:rPr>
          <w:rFonts w:cs="Times New Roman"/>
          <w:spacing w:val="-11"/>
          <w:sz w:val="18"/>
          <w:szCs w:val="18"/>
          <w:lang w:val="es-ES_tradnl"/>
        </w:rPr>
        <w:t>é</w:t>
      </w:r>
      <w:r>
        <w:rPr>
          <w:spacing w:val="-11"/>
          <w:sz w:val="18"/>
          <w:szCs w:val="18"/>
          <w:lang w:val="es-ES_tradnl"/>
        </w:rPr>
        <w:t xml:space="preserve">s de dicha </w:t>
      </w:r>
      <w:r>
        <w:rPr>
          <w:spacing w:val="-8"/>
          <w:sz w:val="18"/>
          <w:szCs w:val="18"/>
          <w:lang w:val="es-ES_tradnl"/>
        </w:rPr>
        <w:t>limitaci</w:t>
      </w:r>
      <w:r>
        <w:rPr>
          <w:rFonts w:cs="Times New Roman"/>
          <w:spacing w:val="-8"/>
          <w:sz w:val="18"/>
          <w:szCs w:val="18"/>
          <w:lang w:val="es-ES_tradnl"/>
        </w:rPr>
        <w:t>ó</w:t>
      </w:r>
      <w:r>
        <w:rPr>
          <w:spacing w:val="-8"/>
          <w:sz w:val="18"/>
          <w:szCs w:val="18"/>
          <w:lang w:val="es-ES_tradnl"/>
        </w:rPr>
        <w:t>n, se genera una contrapartida entre las garant</w:t>
      </w:r>
      <w:r>
        <w:rPr>
          <w:rFonts w:cs="Times New Roman"/>
          <w:spacing w:val="-8"/>
          <w:sz w:val="18"/>
          <w:szCs w:val="18"/>
          <w:lang w:val="es-ES_tradnl"/>
        </w:rPr>
        <w:t>í</w:t>
      </w:r>
      <w:r>
        <w:rPr>
          <w:spacing w:val="-8"/>
          <w:sz w:val="18"/>
          <w:szCs w:val="18"/>
          <w:lang w:val="es-ES_tradnl"/>
        </w:rPr>
        <w:t xml:space="preserve">as </w:t>
      </w:r>
      <w:r>
        <w:rPr>
          <w:spacing w:val="-7"/>
          <w:sz w:val="18"/>
          <w:szCs w:val="18"/>
          <w:lang w:val="es-ES_tradnl"/>
        </w:rPr>
        <w:t xml:space="preserve">del administrado y las actuaciones del Estado. Es por ello </w:t>
      </w:r>
      <w:r>
        <w:rPr>
          <w:spacing w:val="-6"/>
          <w:sz w:val="18"/>
          <w:szCs w:val="18"/>
          <w:lang w:val="es-ES_tradnl"/>
        </w:rPr>
        <w:t>que estos principios inherentes al r</w:t>
      </w:r>
      <w:r>
        <w:rPr>
          <w:rFonts w:cs="Times New Roman"/>
          <w:spacing w:val="-6"/>
          <w:sz w:val="18"/>
          <w:szCs w:val="18"/>
          <w:lang w:val="es-ES_tradnl"/>
        </w:rPr>
        <w:t>é</w:t>
      </w:r>
      <w:r>
        <w:rPr>
          <w:spacing w:val="-6"/>
          <w:sz w:val="18"/>
          <w:szCs w:val="18"/>
          <w:lang w:val="es-ES_tradnl"/>
        </w:rPr>
        <w:t xml:space="preserve">gimen tributario, a lo </w:t>
      </w:r>
      <w:r>
        <w:rPr>
          <w:spacing w:val="-7"/>
          <w:sz w:val="18"/>
          <w:szCs w:val="18"/>
          <w:lang w:val="es-ES_tradnl"/>
        </w:rPr>
        <w:t xml:space="preserve">que la doctrina ha denominado principios constitucionales </w:t>
      </w:r>
      <w:r>
        <w:rPr>
          <w:spacing w:val="-8"/>
          <w:sz w:val="18"/>
          <w:szCs w:val="18"/>
          <w:lang w:val="es-ES_tradnl"/>
        </w:rPr>
        <w:t>tributarios, se encuentran reconocidos en el art</w:t>
      </w:r>
      <w:r>
        <w:rPr>
          <w:rFonts w:cs="Times New Roman"/>
          <w:spacing w:val="-8"/>
          <w:sz w:val="18"/>
          <w:szCs w:val="18"/>
          <w:lang w:val="es-ES_tradnl"/>
        </w:rPr>
        <w:t>í</w:t>
      </w:r>
      <w:r>
        <w:rPr>
          <w:spacing w:val="-8"/>
          <w:sz w:val="18"/>
          <w:szCs w:val="18"/>
          <w:lang w:val="es-ES_tradnl"/>
        </w:rPr>
        <w:t xml:space="preserve">culo 300 de </w:t>
      </w:r>
      <w:r>
        <w:rPr>
          <w:spacing w:val="-7"/>
          <w:sz w:val="18"/>
          <w:szCs w:val="18"/>
          <w:lang w:val="es-ES_tradnl"/>
        </w:rPr>
        <w:t>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blica, el cual se</w:t>
      </w:r>
      <w:r>
        <w:rPr>
          <w:rFonts w:cs="Times New Roman"/>
          <w:spacing w:val="-7"/>
          <w:sz w:val="18"/>
          <w:szCs w:val="18"/>
          <w:lang w:val="es-ES_tradnl"/>
        </w:rPr>
        <w:t>ñ</w:t>
      </w:r>
      <w:r>
        <w:rPr>
          <w:spacing w:val="-7"/>
          <w:sz w:val="18"/>
          <w:szCs w:val="18"/>
          <w:lang w:val="es-ES_tradnl"/>
        </w:rPr>
        <w:t xml:space="preserve">ala de manera </w:t>
      </w:r>
      <w:r>
        <w:rPr>
          <w:sz w:val="18"/>
          <w:szCs w:val="18"/>
          <w:lang w:val="es-ES_tradnl"/>
        </w:rPr>
        <w:t>expresa:</w:t>
      </w:r>
    </w:p>
    <w:p w14:paraId="4F67A7A5" w14:textId="77777777" w:rsidR="00591D54" w:rsidRDefault="00591D54">
      <w:pPr>
        <w:shd w:val="clear" w:color="auto" w:fill="FFFFFF"/>
        <w:spacing w:before="206" w:line="216" w:lineRule="exact"/>
        <w:ind w:left="283" w:right="5"/>
        <w:jc w:val="both"/>
      </w:pPr>
      <w:r>
        <w:rPr>
          <w:b/>
          <w:bCs/>
          <w:sz w:val="14"/>
          <w:szCs w:val="14"/>
          <w:lang w:val="es-ES_tradnl"/>
        </w:rPr>
        <w:t xml:space="preserve">Art. 300.- </w:t>
      </w:r>
      <w:r>
        <w:rPr>
          <w:sz w:val="14"/>
          <w:szCs w:val="14"/>
          <w:lang w:val="es-ES_tradnl"/>
        </w:rPr>
        <w:t>El r</w:t>
      </w:r>
      <w:r>
        <w:rPr>
          <w:rFonts w:cs="Times New Roman"/>
          <w:sz w:val="14"/>
          <w:szCs w:val="14"/>
          <w:lang w:val="es-ES_tradnl"/>
        </w:rPr>
        <w:t>é</w:t>
      </w:r>
      <w:r>
        <w:rPr>
          <w:sz w:val="14"/>
          <w:szCs w:val="14"/>
          <w:lang w:val="es-ES_tradnl"/>
        </w:rPr>
        <w:t>gimen tributario se regir</w:t>
      </w:r>
      <w:r>
        <w:rPr>
          <w:rFonts w:cs="Times New Roman"/>
          <w:sz w:val="14"/>
          <w:szCs w:val="14"/>
          <w:lang w:val="es-ES_tradnl"/>
        </w:rPr>
        <w:t>á</w:t>
      </w:r>
      <w:r>
        <w:rPr>
          <w:sz w:val="14"/>
          <w:szCs w:val="14"/>
          <w:lang w:val="es-ES_tradnl"/>
        </w:rPr>
        <w:t xml:space="preserve"> por los principios de generalidad, progresividad, eficiencia, simplicidad administrativa, irretroactividad, equidad, transparencia y suficiencia recaudatoria. Se priorizar</w:t>
      </w:r>
      <w:r>
        <w:rPr>
          <w:rFonts w:cs="Times New Roman"/>
          <w:sz w:val="14"/>
          <w:szCs w:val="14"/>
          <w:lang w:val="es-ES_tradnl"/>
        </w:rPr>
        <w:t>á</w:t>
      </w:r>
      <w:r>
        <w:rPr>
          <w:sz w:val="14"/>
          <w:szCs w:val="14"/>
          <w:lang w:val="es-ES_tradnl"/>
        </w:rPr>
        <w:t>n los impuestos directos y progresivos.</w:t>
      </w:r>
    </w:p>
    <w:p w14:paraId="4F67A7A6" w14:textId="77777777" w:rsidR="00591D54" w:rsidRDefault="00591D54">
      <w:pPr>
        <w:shd w:val="clear" w:color="auto" w:fill="FFFFFF"/>
        <w:spacing w:before="211" w:line="221" w:lineRule="exact"/>
        <w:ind w:left="283" w:right="5"/>
        <w:jc w:val="both"/>
      </w:pPr>
      <w:r>
        <w:rPr>
          <w:sz w:val="14"/>
          <w:szCs w:val="14"/>
          <w:lang w:val="es-ES_tradnl"/>
        </w:rPr>
        <w:t>La pol</w:t>
      </w:r>
      <w:r>
        <w:rPr>
          <w:rFonts w:cs="Times New Roman"/>
          <w:sz w:val="14"/>
          <w:szCs w:val="14"/>
          <w:lang w:val="es-ES_tradnl"/>
        </w:rPr>
        <w:t>í</w:t>
      </w:r>
      <w:r>
        <w:rPr>
          <w:sz w:val="14"/>
          <w:szCs w:val="14"/>
          <w:lang w:val="es-ES_tradnl"/>
        </w:rPr>
        <w:t>tica tributaria promover</w:t>
      </w:r>
      <w:r>
        <w:rPr>
          <w:rFonts w:cs="Times New Roman"/>
          <w:sz w:val="14"/>
          <w:szCs w:val="14"/>
          <w:lang w:val="es-ES_tradnl"/>
        </w:rPr>
        <w:t>á</w:t>
      </w:r>
      <w:r>
        <w:rPr>
          <w:sz w:val="14"/>
          <w:szCs w:val="14"/>
          <w:lang w:val="es-ES_tradnl"/>
        </w:rPr>
        <w:t xml:space="preserve"> la redistribuci</w:t>
      </w:r>
      <w:r>
        <w:rPr>
          <w:rFonts w:cs="Times New Roman"/>
          <w:sz w:val="14"/>
          <w:szCs w:val="14"/>
          <w:lang w:val="es-ES_tradnl"/>
        </w:rPr>
        <w:t>ó</w:t>
      </w:r>
      <w:r>
        <w:rPr>
          <w:sz w:val="14"/>
          <w:szCs w:val="14"/>
          <w:lang w:val="es-ES_tradnl"/>
        </w:rPr>
        <w:t>n y estimular</w:t>
      </w:r>
      <w:r>
        <w:rPr>
          <w:rFonts w:cs="Times New Roman"/>
          <w:sz w:val="14"/>
          <w:szCs w:val="14"/>
          <w:lang w:val="es-ES_tradnl"/>
        </w:rPr>
        <w:t xml:space="preserve">á </w:t>
      </w:r>
      <w:r>
        <w:rPr>
          <w:sz w:val="14"/>
          <w:szCs w:val="14"/>
          <w:lang w:val="es-ES_tradnl"/>
        </w:rPr>
        <w:t>el empleo, la producci</w:t>
      </w:r>
      <w:r>
        <w:rPr>
          <w:rFonts w:cs="Times New Roman"/>
          <w:sz w:val="14"/>
          <w:szCs w:val="14"/>
          <w:lang w:val="es-ES_tradnl"/>
        </w:rPr>
        <w:t>ó</w:t>
      </w:r>
      <w:r>
        <w:rPr>
          <w:sz w:val="14"/>
          <w:szCs w:val="14"/>
          <w:lang w:val="es-ES_tradnl"/>
        </w:rPr>
        <w:t>n de bienes y servicios, y conductas ecol</w:t>
      </w:r>
      <w:r>
        <w:rPr>
          <w:rFonts w:cs="Times New Roman"/>
          <w:sz w:val="14"/>
          <w:szCs w:val="14"/>
          <w:lang w:val="es-ES_tradnl"/>
        </w:rPr>
        <w:t>ó</w:t>
      </w:r>
      <w:r>
        <w:rPr>
          <w:sz w:val="14"/>
          <w:szCs w:val="14"/>
          <w:lang w:val="es-ES_tradnl"/>
        </w:rPr>
        <w:t>gicas, sociales y econ</w:t>
      </w:r>
      <w:r>
        <w:rPr>
          <w:rFonts w:cs="Times New Roman"/>
          <w:sz w:val="14"/>
          <w:szCs w:val="14"/>
          <w:lang w:val="es-ES_tradnl"/>
        </w:rPr>
        <w:t>ó</w:t>
      </w:r>
      <w:r>
        <w:rPr>
          <w:sz w:val="14"/>
          <w:szCs w:val="14"/>
          <w:lang w:val="es-ES_tradnl"/>
        </w:rPr>
        <w:t>micas responsables.</w:t>
      </w:r>
    </w:p>
    <w:p w14:paraId="4F67A7A7" w14:textId="77777777" w:rsidR="00591D54" w:rsidRDefault="00591D54">
      <w:pPr>
        <w:shd w:val="clear" w:color="auto" w:fill="FFFFFF"/>
        <w:spacing w:before="749" w:line="178" w:lineRule="exact"/>
        <w:ind w:left="139" w:hanging="139"/>
      </w:pPr>
      <w:r>
        <w:rPr>
          <w:sz w:val="14"/>
          <w:szCs w:val="14"/>
          <w:vertAlign w:val="superscript"/>
          <w:lang w:val="es-ES_tradnl"/>
        </w:rPr>
        <w:t>2</w:t>
      </w:r>
      <w:r>
        <w:rPr>
          <w:sz w:val="14"/>
          <w:szCs w:val="14"/>
          <w:lang w:val="es-ES_tradnl"/>
        </w:rPr>
        <w:t xml:space="preserve">  </w:t>
      </w:r>
      <w:r>
        <w:rPr>
          <w:spacing w:val="-1"/>
          <w:sz w:val="14"/>
          <w:szCs w:val="14"/>
          <w:lang w:val="es-ES_tradnl"/>
        </w:rPr>
        <w:t>Catalina   Garc</w:t>
      </w:r>
      <w:r>
        <w:rPr>
          <w:rFonts w:cs="Times New Roman"/>
          <w:spacing w:val="-1"/>
          <w:sz w:val="14"/>
          <w:szCs w:val="14"/>
          <w:lang w:val="es-ES_tradnl"/>
        </w:rPr>
        <w:t>í</w:t>
      </w:r>
      <w:r>
        <w:rPr>
          <w:spacing w:val="-1"/>
          <w:sz w:val="14"/>
          <w:szCs w:val="14"/>
          <w:lang w:val="es-ES_tradnl"/>
        </w:rPr>
        <w:t>a   Vizca</w:t>
      </w:r>
      <w:r>
        <w:rPr>
          <w:rFonts w:cs="Times New Roman"/>
          <w:spacing w:val="-1"/>
          <w:sz w:val="14"/>
          <w:szCs w:val="14"/>
          <w:lang w:val="es-ES_tradnl"/>
        </w:rPr>
        <w:t>í</w:t>
      </w:r>
      <w:r>
        <w:rPr>
          <w:spacing w:val="-1"/>
          <w:sz w:val="14"/>
          <w:szCs w:val="14"/>
          <w:lang w:val="es-ES_tradnl"/>
        </w:rPr>
        <w:t xml:space="preserve">no,   Derecho   Tributario   consideraciones </w:t>
      </w:r>
      <w:r>
        <w:rPr>
          <w:spacing w:val="-2"/>
          <w:sz w:val="14"/>
          <w:szCs w:val="14"/>
          <w:lang w:val="es-ES_tradnl"/>
        </w:rPr>
        <w:t>econ</w:t>
      </w:r>
      <w:r>
        <w:rPr>
          <w:rFonts w:cs="Times New Roman"/>
          <w:spacing w:val="-2"/>
          <w:sz w:val="14"/>
          <w:szCs w:val="14"/>
          <w:lang w:val="es-ES_tradnl"/>
        </w:rPr>
        <w:t>ó</w:t>
      </w:r>
      <w:r>
        <w:rPr>
          <w:spacing w:val="-2"/>
          <w:sz w:val="14"/>
          <w:szCs w:val="14"/>
          <w:lang w:val="es-ES_tradnl"/>
        </w:rPr>
        <w:t>micas, Tomo I, De Palma, Bueno Aires, 1999.</w:t>
      </w:r>
    </w:p>
    <w:p w14:paraId="4F67A7A8" w14:textId="77777777" w:rsidR="00591D54" w:rsidRDefault="00591D54">
      <w:pPr>
        <w:shd w:val="clear" w:color="auto" w:fill="FFFFFF"/>
        <w:spacing w:line="216" w:lineRule="exact"/>
        <w:ind w:right="5"/>
        <w:jc w:val="both"/>
      </w:pPr>
      <w:r>
        <w:br w:type="column"/>
      </w:r>
      <w:r>
        <w:rPr>
          <w:spacing w:val="-5"/>
          <w:sz w:val="18"/>
          <w:szCs w:val="18"/>
          <w:lang w:val="es-ES_tradnl"/>
        </w:rPr>
        <w:t xml:space="preserve">Igualmente, es importante tomar en cuenta la existencia </w:t>
      </w:r>
      <w:r>
        <w:rPr>
          <w:spacing w:val="-3"/>
          <w:sz w:val="18"/>
          <w:szCs w:val="18"/>
          <w:lang w:val="es-ES_tradnl"/>
        </w:rPr>
        <w:t xml:space="preserve">de otros principios tributarios reconocidos en nuestro </w:t>
      </w:r>
      <w:r>
        <w:rPr>
          <w:sz w:val="18"/>
          <w:szCs w:val="18"/>
          <w:lang w:val="es-ES_tradnl"/>
        </w:rPr>
        <w:t>ordenamiento jur</w:t>
      </w:r>
      <w:r>
        <w:rPr>
          <w:rFonts w:cs="Times New Roman"/>
          <w:sz w:val="18"/>
          <w:szCs w:val="18"/>
          <w:lang w:val="es-ES_tradnl"/>
        </w:rPr>
        <w:t>í</w:t>
      </w:r>
      <w:r>
        <w:rPr>
          <w:sz w:val="18"/>
          <w:szCs w:val="18"/>
          <w:lang w:val="es-ES_tradnl"/>
        </w:rPr>
        <w:t>dico</w:t>
      </w:r>
      <w:r>
        <w:rPr>
          <w:sz w:val="18"/>
          <w:szCs w:val="18"/>
          <w:vertAlign w:val="superscript"/>
          <w:lang w:val="es-ES_tradnl"/>
        </w:rPr>
        <w:t>3</w:t>
      </w:r>
      <w:r>
        <w:rPr>
          <w:sz w:val="18"/>
          <w:szCs w:val="18"/>
          <w:lang w:val="es-ES_tradnl"/>
        </w:rPr>
        <w:t>, as</w:t>
      </w:r>
      <w:r>
        <w:rPr>
          <w:rFonts w:cs="Times New Roman"/>
          <w:sz w:val="18"/>
          <w:szCs w:val="18"/>
          <w:lang w:val="es-ES_tradnl"/>
        </w:rPr>
        <w:t>í</w:t>
      </w:r>
      <w:r>
        <w:rPr>
          <w:sz w:val="18"/>
          <w:szCs w:val="18"/>
          <w:lang w:val="es-ES_tradnl"/>
        </w:rPr>
        <w:t xml:space="preserve"> como en la propia </w:t>
      </w:r>
      <w:r>
        <w:rPr>
          <w:spacing w:val="-1"/>
          <w:sz w:val="18"/>
          <w:szCs w:val="18"/>
          <w:lang w:val="es-ES_tradnl"/>
        </w:rPr>
        <w:t xml:space="preserve">jurisprudencia y doctrina en materia fiscal; principios </w:t>
      </w:r>
      <w:r>
        <w:rPr>
          <w:spacing w:val="-4"/>
          <w:sz w:val="18"/>
          <w:szCs w:val="18"/>
          <w:lang w:val="es-ES_tradnl"/>
        </w:rPr>
        <w:t>que se encuentran impl</w:t>
      </w:r>
      <w:r>
        <w:rPr>
          <w:rFonts w:cs="Times New Roman"/>
          <w:spacing w:val="-4"/>
          <w:sz w:val="18"/>
          <w:szCs w:val="18"/>
          <w:lang w:val="es-ES_tradnl"/>
        </w:rPr>
        <w:t>í</w:t>
      </w:r>
      <w:r>
        <w:rPr>
          <w:spacing w:val="-4"/>
          <w:sz w:val="18"/>
          <w:szCs w:val="18"/>
          <w:lang w:val="es-ES_tradnl"/>
        </w:rPr>
        <w:t>citos en el r</w:t>
      </w:r>
      <w:r>
        <w:rPr>
          <w:rFonts w:cs="Times New Roman"/>
          <w:spacing w:val="-4"/>
          <w:sz w:val="18"/>
          <w:szCs w:val="18"/>
          <w:lang w:val="es-ES_tradnl"/>
        </w:rPr>
        <w:t>é</w:t>
      </w:r>
      <w:r>
        <w:rPr>
          <w:spacing w:val="-4"/>
          <w:sz w:val="18"/>
          <w:szCs w:val="18"/>
          <w:lang w:val="es-ES_tradnl"/>
        </w:rPr>
        <w:t xml:space="preserve">gimen tributario sin </w:t>
      </w:r>
      <w:r>
        <w:rPr>
          <w:spacing w:val="-6"/>
          <w:sz w:val="18"/>
          <w:szCs w:val="18"/>
          <w:lang w:val="es-ES_tradnl"/>
        </w:rPr>
        <w:t>necesidad de que la Constituci</w:t>
      </w:r>
      <w:r>
        <w:rPr>
          <w:rFonts w:cs="Times New Roman"/>
          <w:spacing w:val="-6"/>
          <w:sz w:val="18"/>
          <w:szCs w:val="18"/>
          <w:lang w:val="es-ES_tradnl"/>
        </w:rPr>
        <w:t>ó</w:t>
      </w:r>
      <w:r>
        <w:rPr>
          <w:spacing w:val="-6"/>
          <w:sz w:val="18"/>
          <w:szCs w:val="18"/>
          <w:lang w:val="es-ES_tradnl"/>
        </w:rPr>
        <w:t>n los se</w:t>
      </w:r>
      <w:r>
        <w:rPr>
          <w:rFonts w:cs="Times New Roman"/>
          <w:spacing w:val="-6"/>
          <w:sz w:val="18"/>
          <w:szCs w:val="18"/>
          <w:lang w:val="es-ES_tradnl"/>
        </w:rPr>
        <w:t>ñ</w:t>
      </w:r>
      <w:r>
        <w:rPr>
          <w:spacing w:val="-6"/>
          <w:sz w:val="18"/>
          <w:szCs w:val="18"/>
          <w:lang w:val="es-ES_tradnl"/>
        </w:rPr>
        <w:t xml:space="preserve">ale, y que como tal deben ser observados y aplicados por la autoridad </w:t>
      </w:r>
      <w:r>
        <w:rPr>
          <w:sz w:val="18"/>
          <w:szCs w:val="18"/>
          <w:lang w:val="es-ES_tradnl"/>
        </w:rPr>
        <w:t xml:space="preserve">tributaria en el ejercicio de sus atribuciones. Tal es </w:t>
      </w:r>
      <w:r>
        <w:rPr>
          <w:spacing w:val="-3"/>
          <w:sz w:val="18"/>
          <w:szCs w:val="18"/>
          <w:lang w:val="es-ES_tradnl"/>
        </w:rPr>
        <w:t xml:space="preserve">el caso de principios como el de </w:t>
      </w:r>
      <w:r>
        <w:rPr>
          <w:rFonts w:cs="Times New Roman"/>
          <w:spacing w:val="-3"/>
          <w:sz w:val="18"/>
          <w:szCs w:val="18"/>
          <w:lang w:val="es-ES_tradnl"/>
        </w:rPr>
        <w:t>“</w:t>
      </w:r>
      <w:r>
        <w:rPr>
          <w:spacing w:val="-3"/>
          <w:sz w:val="18"/>
          <w:szCs w:val="18"/>
          <w:lang w:val="es-ES_tradnl"/>
        </w:rPr>
        <w:t>proporcionalidad</w:t>
      </w:r>
      <w:r>
        <w:rPr>
          <w:rFonts w:cs="Times New Roman"/>
          <w:spacing w:val="-3"/>
          <w:sz w:val="18"/>
          <w:szCs w:val="18"/>
          <w:lang w:val="es-ES_tradnl"/>
        </w:rPr>
        <w:t>”</w:t>
      </w:r>
      <w:r>
        <w:rPr>
          <w:spacing w:val="-3"/>
          <w:sz w:val="18"/>
          <w:szCs w:val="18"/>
          <w:lang w:val="es-ES_tradnl"/>
        </w:rPr>
        <w:t xml:space="preserve">, </w:t>
      </w:r>
      <w:r>
        <w:rPr>
          <w:rFonts w:cs="Times New Roman"/>
          <w:spacing w:val="-3"/>
          <w:sz w:val="18"/>
          <w:szCs w:val="18"/>
          <w:lang w:val="es-ES_tradnl"/>
        </w:rPr>
        <w:t>“</w:t>
      </w:r>
      <w:r>
        <w:rPr>
          <w:spacing w:val="-3"/>
          <w:sz w:val="18"/>
          <w:szCs w:val="18"/>
          <w:lang w:val="es-ES_tradnl"/>
        </w:rPr>
        <w:t>capacidad contributiva</w:t>
      </w:r>
      <w:r>
        <w:rPr>
          <w:rFonts w:cs="Times New Roman"/>
          <w:spacing w:val="-3"/>
          <w:sz w:val="18"/>
          <w:szCs w:val="18"/>
          <w:lang w:val="es-ES_tradnl"/>
        </w:rPr>
        <w:t>”</w:t>
      </w:r>
      <w:r>
        <w:rPr>
          <w:spacing w:val="-3"/>
          <w:sz w:val="18"/>
          <w:szCs w:val="18"/>
          <w:lang w:val="es-ES_tradnl"/>
        </w:rPr>
        <w:t xml:space="preserve"> y de </w:t>
      </w:r>
      <w:r>
        <w:rPr>
          <w:rFonts w:cs="Times New Roman"/>
          <w:spacing w:val="-3"/>
          <w:sz w:val="18"/>
          <w:szCs w:val="18"/>
          <w:lang w:val="es-ES_tradnl"/>
        </w:rPr>
        <w:t>“</w:t>
      </w:r>
      <w:r>
        <w:rPr>
          <w:spacing w:val="-3"/>
          <w:sz w:val="18"/>
          <w:szCs w:val="18"/>
          <w:lang w:val="es-ES_tradnl"/>
        </w:rPr>
        <w:t>no confiscatoriedad</w:t>
      </w:r>
      <w:r>
        <w:rPr>
          <w:rFonts w:cs="Times New Roman"/>
          <w:spacing w:val="-3"/>
          <w:sz w:val="18"/>
          <w:szCs w:val="18"/>
          <w:lang w:val="es-ES_tradnl"/>
        </w:rPr>
        <w:t>”</w:t>
      </w:r>
      <w:r>
        <w:rPr>
          <w:spacing w:val="-3"/>
          <w:sz w:val="18"/>
          <w:szCs w:val="18"/>
          <w:lang w:val="es-ES_tradnl"/>
        </w:rPr>
        <w:t xml:space="preserve">, los </w:t>
      </w:r>
      <w:r>
        <w:rPr>
          <w:spacing w:val="-5"/>
          <w:sz w:val="18"/>
          <w:szCs w:val="18"/>
          <w:lang w:val="es-ES_tradnl"/>
        </w:rPr>
        <w:t xml:space="preserve">cuales, pese a no constar en la carta suprema, guardan </w:t>
      </w:r>
      <w:r>
        <w:rPr>
          <w:spacing w:val="-2"/>
          <w:sz w:val="18"/>
          <w:szCs w:val="18"/>
          <w:lang w:val="es-ES_tradnl"/>
        </w:rPr>
        <w:t>una estrecha relaci</w:t>
      </w:r>
      <w:r>
        <w:rPr>
          <w:rFonts w:cs="Times New Roman"/>
          <w:spacing w:val="-2"/>
          <w:sz w:val="18"/>
          <w:szCs w:val="18"/>
          <w:lang w:val="es-ES_tradnl"/>
        </w:rPr>
        <w:t>ó</w:t>
      </w:r>
      <w:r>
        <w:rPr>
          <w:spacing w:val="-2"/>
          <w:sz w:val="18"/>
          <w:szCs w:val="18"/>
          <w:lang w:val="es-ES_tradnl"/>
        </w:rPr>
        <w:t xml:space="preserve">n con los principios enunciados en </w:t>
      </w:r>
      <w:r>
        <w:rPr>
          <w:spacing w:val="-4"/>
          <w:sz w:val="18"/>
          <w:szCs w:val="18"/>
          <w:lang w:val="es-ES_tradnl"/>
        </w:rPr>
        <w:t>el art</w:t>
      </w:r>
      <w:r>
        <w:rPr>
          <w:rFonts w:cs="Times New Roman"/>
          <w:spacing w:val="-4"/>
          <w:sz w:val="18"/>
          <w:szCs w:val="18"/>
          <w:lang w:val="es-ES_tradnl"/>
        </w:rPr>
        <w:t>í</w:t>
      </w:r>
      <w:r>
        <w:rPr>
          <w:spacing w:val="-4"/>
          <w:sz w:val="18"/>
          <w:szCs w:val="18"/>
          <w:lang w:val="es-ES_tradnl"/>
        </w:rPr>
        <w:t>culo 300 de la Constituci</w:t>
      </w:r>
      <w:r>
        <w:rPr>
          <w:rFonts w:cs="Times New Roman"/>
          <w:spacing w:val="-4"/>
          <w:sz w:val="18"/>
          <w:szCs w:val="18"/>
          <w:lang w:val="es-ES_tradnl"/>
        </w:rPr>
        <w:t>ó</w:t>
      </w:r>
      <w:r>
        <w:rPr>
          <w:spacing w:val="-4"/>
          <w:sz w:val="18"/>
          <w:szCs w:val="18"/>
          <w:lang w:val="es-ES_tradnl"/>
        </w:rPr>
        <w:t xml:space="preserve">n. Precisamente, dicha </w:t>
      </w:r>
      <w:r>
        <w:rPr>
          <w:spacing w:val="-2"/>
          <w:sz w:val="18"/>
          <w:szCs w:val="18"/>
          <w:lang w:val="es-ES_tradnl"/>
        </w:rPr>
        <w:t>conexi</w:t>
      </w:r>
      <w:r>
        <w:rPr>
          <w:rFonts w:cs="Times New Roman"/>
          <w:spacing w:val="-2"/>
          <w:sz w:val="18"/>
          <w:szCs w:val="18"/>
          <w:lang w:val="es-ES_tradnl"/>
        </w:rPr>
        <w:t>ó</w:t>
      </w:r>
      <w:r>
        <w:rPr>
          <w:spacing w:val="-2"/>
          <w:sz w:val="18"/>
          <w:szCs w:val="18"/>
          <w:lang w:val="es-ES_tradnl"/>
        </w:rPr>
        <w:t xml:space="preserve">n entre principios tributarios fue reconocida por </w:t>
      </w:r>
      <w:r>
        <w:rPr>
          <w:spacing w:val="-3"/>
          <w:sz w:val="18"/>
          <w:szCs w:val="18"/>
          <w:lang w:val="es-ES_tradnl"/>
        </w:rPr>
        <w:t>la Corte Constitucional, para el per</w:t>
      </w:r>
      <w:r>
        <w:rPr>
          <w:rFonts w:cs="Times New Roman"/>
          <w:spacing w:val="-3"/>
          <w:sz w:val="18"/>
          <w:szCs w:val="18"/>
          <w:lang w:val="es-ES_tradnl"/>
        </w:rPr>
        <w:t>í</w:t>
      </w:r>
      <w:r>
        <w:rPr>
          <w:spacing w:val="-3"/>
          <w:sz w:val="18"/>
          <w:szCs w:val="18"/>
          <w:lang w:val="es-ES_tradnl"/>
        </w:rPr>
        <w:t>odo de transici</w:t>
      </w:r>
      <w:r>
        <w:rPr>
          <w:rFonts w:cs="Times New Roman"/>
          <w:spacing w:val="-3"/>
          <w:sz w:val="18"/>
          <w:szCs w:val="18"/>
          <w:lang w:val="es-ES_tradnl"/>
        </w:rPr>
        <w:t>ó</w:t>
      </w:r>
      <w:r>
        <w:rPr>
          <w:spacing w:val="-3"/>
          <w:sz w:val="18"/>
          <w:szCs w:val="18"/>
          <w:lang w:val="es-ES_tradnl"/>
        </w:rPr>
        <w:t xml:space="preserve">n, </w:t>
      </w:r>
      <w:r>
        <w:rPr>
          <w:spacing w:val="-7"/>
          <w:sz w:val="18"/>
          <w:szCs w:val="18"/>
          <w:lang w:val="es-ES_tradnl"/>
        </w:rPr>
        <w:t>dentro de su sentencia N.</w:t>
      </w:r>
      <w:r>
        <w:rPr>
          <w:rFonts w:cs="Times New Roman"/>
          <w:spacing w:val="-7"/>
          <w:sz w:val="18"/>
          <w:szCs w:val="18"/>
          <w:lang w:val="es-ES_tradnl"/>
        </w:rPr>
        <w:t>º</w:t>
      </w:r>
      <w:r>
        <w:rPr>
          <w:spacing w:val="-7"/>
          <w:sz w:val="18"/>
          <w:szCs w:val="18"/>
          <w:lang w:val="es-ES_tradnl"/>
        </w:rPr>
        <w:t xml:space="preserve"> 004-11-SIN-CC</w:t>
      </w:r>
      <w:r>
        <w:rPr>
          <w:spacing w:val="-7"/>
          <w:sz w:val="18"/>
          <w:szCs w:val="18"/>
          <w:vertAlign w:val="superscript"/>
          <w:lang w:val="es-ES_tradnl"/>
        </w:rPr>
        <w:t>4</w:t>
      </w:r>
      <w:r>
        <w:rPr>
          <w:spacing w:val="-7"/>
          <w:sz w:val="18"/>
          <w:szCs w:val="18"/>
          <w:lang w:val="es-ES_tradnl"/>
        </w:rPr>
        <w:t xml:space="preserve">, en donde se </w:t>
      </w:r>
      <w:r>
        <w:rPr>
          <w:spacing w:val="-5"/>
          <w:sz w:val="18"/>
          <w:szCs w:val="18"/>
          <w:lang w:val="es-ES_tradnl"/>
        </w:rPr>
        <w:t>analiz</w:t>
      </w:r>
      <w:r>
        <w:rPr>
          <w:rFonts w:cs="Times New Roman"/>
          <w:spacing w:val="-5"/>
          <w:sz w:val="18"/>
          <w:szCs w:val="18"/>
          <w:lang w:val="es-ES_tradnl"/>
        </w:rPr>
        <w:t>ó</w:t>
      </w:r>
      <w:r>
        <w:rPr>
          <w:spacing w:val="-5"/>
          <w:sz w:val="18"/>
          <w:szCs w:val="18"/>
          <w:lang w:val="es-ES_tradnl"/>
        </w:rPr>
        <w:t xml:space="preserve"> el principio de capacidad contributiva al momento </w:t>
      </w:r>
      <w:r>
        <w:rPr>
          <w:spacing w:val="-1"/>
          <w:sz w:val="18"/>
          <w:szCs w:val="18"/>
          <w:lang w:val="es-ES_tradnl"/>
        </w:rPr>
        <w:t xml:space="preserve">de sustentar la constitucionalidad de una norma, pese </w:t>
      </w:r>
      <w:r>
        <w:rPr>
          <w:spacing w:val="-6"/>
          <w:sz w:val="18"/>
          <w:szCs w:val="18"/>
          <w:lang w:val="es-ES_tradnl"/>
        </w:rPr>
        <w:t xml:space="preserve">a que el mismo no se encuentra enunciado en la norma </w:t>
      </w:r>
      <w:r>
        <w:rPr>
          <w:sz w:val="18"/>
          <w:szCs w:val="18"/>
          <w:lang w:val="es-ES_tradnl"/>
        </w:rPr>
        <w:t>constitucional.</w:t>
      </w:r>
    </w:p>
    <w:p w14:paraId="4F67A7A9" w14:textId="77777777" w:rsidR="00591D54" w:rsidRDefault="00591D54">
      <w:pPr>
        <w:shd w:val="clear" w:color="auto" w:fill="FFFFFF"/>
        <w:spacing w:before="197" w:line="216" w:lineRule="exact"/>
        <w:ind w:right="5"/>
        <w:jc w:val="both"/>
      </w:pPr>
      <w:r>
        <w:rPr>
          <w:spacing w:val="-10"/>
          <w:sz w:val="18"/>
          <w:szCs w:val="18"/>
          <w:lang w:val="es-ES_tradnl"/>
        </w:rPr>
        <w:t>Dicho esto, seg</w:t>
      </w:r>
      <w:r>
        <w:rPr>
          <w:rFonts w:cs="Times New Roman"/>
          <w:spacing w:val="-10"/>
          <w:sz w:val="18"/>
          <w:szCs w:val="18"/>
          <w:lang w:val="es-ES_tradnl"/>
        </w:rPr>
        <w:t>ú</w:t>
      </w:r>
      <w:r>
        <w:rPr>
          <w:spacing w:val="-10"/>
          <w:sz w:val="18"/>
          <w:szCs w:val="18"/>
          <w:lang w:val="es-ES_tradnl"/>
        </w:rPr>
        <w:t xml:space="preserve">n se desprende de los argumentos vertidos </w:t>
      </w:r>
      <w:r>
        <w:rPr>
          <w:spacing w:val="-3"/>
          <w:sz w:val="18"/>
          <w:szCs w:val="18"/>
          <w:lang w:val="es-ES_tradnl"/>
        </w:rPr>
        <w:t>por la accionante, el art</w:t>
      </w:r>
      <w:r>
        <w:rPr>
          <w:rFonts w:cs="Times New Roman"/>
          <w:spacing w:val="-3"/>
          <w:sz w:val="18"/>
          <w:szCs w:val="18"/>
          <w:lang w:val="es-ES_tradnl"/>
        </w:rPr>
        <w:t>í</w:t>
      </w:r>
      <w:r>
        <w:rPr>
          <w:spacing w:val="-3"/>
          <w:sz w:val="18"/>
          <w:szCs w:val="18"/>
          <w:lang w:val="es-ES_tradnl"/>
        </w:rPr>
        <w:t xml:space="preserve">culo 18 de la Ordenanza que </w:t>
      </w:r>
      <w:r>
        <w:rPr>
          <w:spacing w:val="-4"/>
          <w:sz w:val="18"/>
          <w:szCs w:val="18"/>
          <w:lang w:val="es-ES_tradnl"/>
        </w:rPr>
        <w:t>regula la utilizaci</w:t>
      </w:r>
      <w:r>
        <w:rPr>
          <w:rFonts w:cs="Times New Roman"/>
          <w:spacing w:val="-4"/>
          <w:sz w:val="18"/>
          <w:szCs w:val="18"/>
          <w:lang w:val="es-ES_tradnl"/>
        </w:rPr>
        <w:t>ó</w:t>
      </w:r>
      <w:r>
        <w:rPr>
          <w:spacing w:val="-4"/>
          <w:sz w:val="18"/>
          <w:szCs w:val="18"/>
          <w:lang w:val="es-ES_tradnl"/>
        </w:rPr>
        <w:t>n u ocupaci</w:t>
      </w:r>
      <w:r>
        <w:rPr>
          <w:rFonts w:cs="Times New Roman"/>
          <w:spacing w:val="-4"/>
          <w:sz w:val="18"/>
          <w:szCs w:val="18"/>
          <w:lang w:val="es-ES_tradnl"/>
        </w:rPr>
        <w:t>ó</w:t>
      </w:r>
      <w:r>
        <w:rPr>
          <w:spacing w:val="-4"/>
          <w:sz w:val="18"/>
          <w:szCs w:val="18"/>
          <w:lang w:val="es-ES_tradnl"/>
        </w:rPr>
        <w:t>n del espacio p</w:t>
      </w:r>
      <w:r>
        <w:rPr>
          <w:rFonts w:cs="Times New Roman"/>
          <w:spacing w:val="-4"/>
          <w:sz w:val="18"/>
          <w:szCs w:val="18"/>
          <w:lang w:val="es-ES_tradnl"/>
        </w:rPr>
        <w:t>ú</w:t>
      </w:r>
      <w:r>
        <w:rPr>
          <w:spacing w:val="-4"/>
          <w:sz w:val="18"/>
          <w:szCs w:val="18"/>
          <w:lang w:val="es-ES_tradnl"/>
        </w:rPr>
        <w:t xml:space="preserve">blico o la </w:t>
      </w:r>
      <w:r>
        <w:rPr>
          <w:spacing w:val="-7"/>
          <w:sz w:val="18"/>
          <w:szCs w:val="18"/>
          <w:lang w:val="es-ES_tradnl"/>
        </w:rPr>
        <w:t>v</w:t>
      </w:r>
      <w:r>
        <w:rPr>
          <w:rFonts w:cs="Times New Roman"/>
          <w:spacing w:val="-7"/>
          <w:sz w:val="18"/>
          <w:szCs w:val="18"/>
          <w:lang w:val="es-ES_tradnl"/>
        </w:rPr>
        <w:t>í</w:t>
      </w:r>
      <w:r>
        <w:rPr>
          <w:spacing w:val="-7"/>
          <w:sz w:val="18"/>
          <w:szCs w:val="18"/>
          <w:lang w:val="es-ES_tradnl"/>
        </w:rPr>
        <w:t>a p</w:t>
      </w:r>
      <w:r>
        <w:rPr>
          <w:rFonts w:cs="Times New Roman"/>
          <w:spacing w:val="-7"/>
          <w:sz w:val="18"/>
          <w:szCs w:val="18"/>
          <w:lang w:val="es-ES_tradnl"/>
        </w:rPr>
        <w:t>ú</w:t>
      </w:r>
      <w:r>
        <w:rPr>
          <w:spacing w:val="-7"/>
          <w:sz w:val="18"/>
          <w:szCs w:val="18"/>
          <w:lang w:val="es-ES_tradnl"/>
        </w:rPr>
        <w:t>blica y el espacio a</w:t>
      </w:r>
      <w:r>
        <w:rPr>
          <w:rFonts w:cs="Times New Roman"/>
          <w:spacing w:val="-7"/>
          <w:sz w:val="18"/>
          <w:szCs w:val="18"/>
          <w:lang w:val="es-ES_tradnl"/>
        </w:rPr>
        <w:t>é</w:t>
      </w:r>
      <w:r>
        <w:rPr>
          <w:spacing w:val="-7"/>
          <w:sz w:val="18"/>
          <w:szCs w:val="18"/>
          <w:lang w:val="es-ES_tradnl"/>
        </w:rPr>
        <w:t xml:space="preserve">reo municipal, suelo y subsuelo, </w:t>
      </w:r>
      <w:r>
        <w:rPr>
          <w:spacing w:val="-8"/>
          <w:sz w:val="18"/>
          <w:szCs w:val="18"/>
          <w:lang w:val="es-ES_tradnl"/>
        </w:rPr>
        <w:t>por la colocaci</w:t>
      </w:r>
      <w:r>
        <w:rPr>
          <w:rFonts w:cs="Times New Roman"/>
          <w:spacing w:val="-8"/>
          <w:sz w:val="18"/>
          <w:szCs w:val="18"/>
          <w:lang w:val="es-ES_tradnl"/>
        </w:rPr>
        <w:t>ó</w:t>
      </w:r>
      <w:r>
        <w:rPr>
          <w:spacing w:val="-8"/>
          <w:sz w:val="18"/>
          <w:szCs w:val="18"/>
          <w:lang w:val="es-ES_tradnl"/>
        </w:rPr>
        <w:t xml:space="preserve">n de estructuras, postes y tendido de redes </w:t>
      </w:r>
      <w:r>
        <w:rPr>
          <w:spacing w:val="-6"/>
          <w:sz w:val="18"/>
          <w:szCs w:val="18"/>
          <w:lang w:val="es-ES_tradnl"/>
        </w:rPr>
        <w:t>pertenecientes a personas naturales o jur</w:t>
      </w:r>
      <w:r>
        <w:rPr>
          <w:rFonts w:cs="Times New Roman"/>
          <w:spacing w:val="-6"/>
          <w:sz w:val="18"/>
          <w:szCs w:val="18"/>
          <w:lang w:val="es-ES_tradnl"/>
        </w:rPr>
        <w:t>í</w:t>
      </w:r>
      <w:r>
        <w:rPr>
          <w:spacing w:val="-6"/>
          <w:sz w:val="18"/>
          <w:szCs w:val="18"/>
          <w:lang w:val="es-ES_tradnl"/>
        </w:rPr>
        <w:t xml:space="preserve">dicas privadas </w:t>
      </w:r>
      <w:r>
        <w:rPr>
          <w:spacing w:val="-4"/>
          <w:sz w:val="18"/>
          <w:szCs w:val="18"/>
          <w:lang w:val="es-ES_tradnl"/>
        </w:rPr>
        <w:t>dentro del cant</w:t>
      </w:r>
      <w:r>
        <w:rPr>
          <w:rFonts w:cs="Times New Roman"/>
          <w:spacing w:val="-4"/>
          <w:sz w:val="18"/>
          <w:szCs w:val="18"/>
          <w:lang w:val="es-ES_tradnl"/>
        </w:rPr>
        <w:t>ó</w:t>
      </w:r>
      <w:r>
        <w:rPr>
          <w:spacing w:val="-4"/>
          <w:sz w:val="18"/>
          <w:szCs w:val="18"/>
          <w:lang w:val="es-ES_tradnl"/>
        </w:rPr>
        <w:t>n Tulc</w:t>
      </w:r>
      <w:r>
        <w:rPr>
          <w:rFonts w:cs="Times New Roman"/>
          <w:spacing w:val="-4"/>
          <w:sz w:val="18"/>
          <w:szCs w:val="18"/>
          <w:lang w:val="es-ES_tradnl"/>
        </w:rPr>
        <w:t>á</w:t>
      </w:r>
      <w:r>
        <w:rPr>
          <w:spacing w:val="-4"/>
          <w:sz w:val="18"/>
          <w:szCs w:val="18"/>
          <w:lang w:val="es-ES_tradnl"/>
        </w:rPr>
        <w:t xml:space="preserve">n, trasgrede el principio tributario </w:t>
      </w:r>
      <w:r>
        <w:rPr>
          <w:spacing w:val="-5"/>
          <w:sz w:val="18"/>
          <w:szCs w:val="18"/>
          <w:lang w:val="es-ES_tradnl"/>
        </w:rPr>
        <w:t>de equidad, previsto en el art</w:t>
      </w:r>
      <w:r>
        <w:rPr>
          <w:rFonts w:cs="Times New Roman"/>
          <w:spacing w:val="-5"/>
          <w:sz w:val="18"/>
          <w:szCs w:val="18"/>
          <w:lang w:val="es-ES_tradnl"/>
        </w:rPr>
        <w:t>í</w:t>
      </w:r>
      <w:r>
        <w:rPr>
          <w:spacing w:val="-5"/>
          <w:sz w:val="18"/>
          <w:szCs w:val="18"/>
          <w:lang w:val="es-ES_tradnl"/>
        </w:rPr>
        <w:t>culo 300 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 xml:space="preserve">blica, en la medida en que: </w:t>
      </w:r>
      <w:r>
        <w:rPr>
          <w:rFonts w:cs="Times New Roman"/>
          <w:spacing w:val="-5"/>
          <w:sz w:val="18"/>
          <w:szCs w:val="18"/>
          <w:lang w:val="es-ES_tradnl"/>
        </w:rPr>
        <w:t>“</w:t>
      </w:r>
      <w:r>
        <w:rPr>
          <w:spacing w:val="-5"/>
          <w:sz w:val="18"/>
          <w:szCs w:val="18"/>
          <w:lang w:val="es-ES_tradnl"/>
        </w:rPr>
        <w:t>[</w:t>
      </w:r>
      <w:r>
        <w:rPr>
          <w:rFonts w:cs="Times New Roman"/>
          <w:spacing w:val="-5"/>
          <w:sz w:val="18"/>
          <w:szCs w:val="18"/>
          <w:lang w:val="es-ES_tradnl"/>
        </w:rPr>
        <w:t>…</w:t>
      </w:r>
      <w:r>
        <w:rPr>
          <w:spacing w:val="-5"/>
          <w:sz w:val="18"/>
          <w:szCs w:val="18"/>
          <w:lang w:val="es-ES_tradnl"/>
        </w:rPr>
        <w:t xml:space="preserve">] el monto que </w:t>
      </w:r>
      <w:r>
        <w:rPr>
          <w:spacing w:val="-6"/>
          <w:sz w:val="18"/>
          <w:szCs w:val="18"/>
          <w:lang w:val="es-ES_tradnl"/>
        </w:rPr>
        <w:t xml:space="preserve">se pretende cobrar </w:t>
      </w:r>
      <w:r>
        <w:rPr>
          <w:spacing w:val="-6"/>
          <w:sz w:val="18"/>
          <w:szCs w:val="18"/>
          <w:u w:val="single"/>
          <w:lang w:val="es-ES_tradnl"/>
        </w:rPr>
        <w:t>no tiene ninguna relaci</w:t>
      </w:r>
      <w:r>
        <w:rPr>
          <w:rFonts w:cs="Times New Roman"/>
          <w:spacing w:val="-6"/>
          <w:sz w:val="18"/>
          <w:szCs w:val="18"/>
          <w:u w:val="single"/>
          <w:lang w:val="es-ES_tradnl"/>
        </w:rPr>
        <w:t>ó</w:t>
      </w:r>
      <w:r>
        <w:rPr>
          <w:spacing w:val="-6"/>
          <w:sz w:val="18"/>
          <w:szCs w:val="18"/>
          <w:u w:val="single"/>
          <w:lang w:val="es-ES_tradnl"/>
        </w:rPr>
        <w:t>n, no se diga proporci</w:t>
      </w:r>
      <w:r>
        <w:rPr>
          <w:rFonts w:cs="Times New Roman"/>
          <w:spacing w:val="-6"/>
          <w:sz w:val="18"/>
          <w:szCs w:val="18"/>
          <w:u w:val="single"/>
          <w:lang w:val="es-ES_tradnl"/>
        </w:rPr>
        <w:t>ó</w:t>
      </w:r>
      <w:r>
        <w:rPr>
          <w:spacing w:val="-6"/>
          <w:sz w:val="18"/>
          <w:szCs w:val="18"/>
          <w:u w:val="single"/>
          <w:lang w:val="es-ES_tradnl"/>
        </w:rPr>
        <w:t xml:space="preserve">n, con el beneficio obtenido por el contribuyente </w:t>
      </w:r>
      <w:r>
        <w:rPr>
          <w:spacing w:val="-4"/>
          <w:sz w:val="18"/>
          <w:szCs w:val="18"/>
          <w:lang w:val="es-ES_tradnl"/>
        </w:rPr>
        <w:t>con el uso de los espacios p</w:t>
      </w:r>
      <w:r>
        <w:rPr>
          <w:rFonts w:cs="Times New Roman"/>
          <w:spacing w:val="-4"/>
          <w:sz w:val="18"/>
          <w:szCs w:val="18"/>
          <w:lang w:val="es-ES_tradnl"/>
        </w:rPr>
        <w:t>ú</w:t>
      </w:r>
      <w:r>
        <w:rPr>
          <w:spacing w:val="-4"/>
          <w:sz w:val="18"/>
          <w:szCs w:val="18"/>
          <w:lang w:val="es-ES_tradnl"/>
        </w:rPr>
        <w:t>blicos respectivos</w:t>
      </w:r>
      <w:r>
        <w:rPr>
          <w:rFonts w:cs="Times New Roman"/>
          <w:spacing w:val="-4"/>
          <w:sz w:val="18"/>
          <w:szCs w:val="18"/>
          <w:lang w:val="es-ES_tradnl"/>
        </w:rPr>
        <w:t>”</w:t>
      </w:r>
      <w:r>
        <w:rPr>
          <w:spacing w:val="-4"/>
          <w:sz w:val="18"/>
          <w:szCs w:val="18"/>
          <w:lang w:val="es-ES_tradnl"/>
        </w:rPr>
        <w:t xml:space="preserve">. Ahora </w:t>
      </w:r>
      <w:r>
        <w:rPr>
          <w:spacing w:val="-10"/>
          <w:sz w:val="18"/>
          <w:szCs w:val="18"/>
          <w:lang w:val="es-ES_tradnl"/>
        </w:rPr>
        <w:t>bien, es pertinente se</w:t>
      </w:r>
      <w:r>
        <w:rPr>
          <w:rFonts w:cs="Times New Roman"/>
          <w:spacing w:val="-10"/>
          <w:sz w:val="18"/>
          <w:szCs w:val="18"/>
          <w:lang w:val="es-ES_tradnl"/>
        </w:rPr>
        <w:t>ñ</w:t>
      </w:r>
      <w:r>
        <w:rPr>
          <w:spacing w:val="-10"/>
          <w:sz w:val="18"/>
          <w:szCs w:val="18"/>
          <w:lang w:val="es-ES_tradnl"/>
        </w:rPr>
        <w:t xml:space="preserve">alar que bajo el objetivo de establecer </w:t>
      </w:r>
      <w:r>
        <w:rPr>
          <w:spacing w:val="-5"/>
          <w:sz w:val="18"/>
          <w:szCs w:val="18"/>
          <w:lang w:val="es-ES_tradnl"/>
        </w:rPr>
        <w:t xml:space="preserve">si la norma denunciada contradice o no una norma </w:t>
      </w:r>
      <w:r>
        <w:rPr>
          <w:spacing w:val="-7"/>
          <w:sz w:val="18"/>
          <w:szCs w:val="18"/>
          <w:lang w:val="es-ES_tradnl"/>
        </w:rPr>
        <w:t xml:space="preserve">constitucional, esta Corte no se encuentra restringida para </w:t>
      </w:r>
      <w:r>
        <w:rPr>
          <w:spacing w:val="-2"/>
          <w:sz w:val="18"/>
          <w:szCs w:val="18"/>
          <w:lang w:val="es-ES_tradnl"/>
        </w:rPr>
        <w:t xml:space="preserve">analizar </w:t>
      </w:r>
      <w:r>
        <w:rPr>
          <w:rFonts w:cs="Times New Roman"/>
          <w:spacing w:val="-2"/>
          <w:sz w:val="18"/>
          <w:szCs w:val="18"/>
          <w:lang w:val="es-ES_tradnl"/>
        </w:rPr>
        <w:t>ú</w:t>
      </w:r>
      <w:r>
        <w:rPr>
          <w:spacing w:val="-2"/>
          <w:sz w:val="18"/>
          <w:szCs w:val="18"/>
          <w:lang w:val="es-ES_tradnl"/>
        </w:rPr>
        <w:t xml:space="preserve">nica y exclusivamente el principio tributario </w:t>
      </w:r>
      <w:r>
        <w:rPr>
          <w:spacing w:val="-4"/>
          <w:sz w:val="18"/>
          <w:szCs w:val="18"/>
          <w:lang w:val="es-ES_tradnl"/>
        </w:rPr>
        <w:t>enunciado, sino tambi</w:t>
      </w:r>
      <w:r>
        <w:rPr>
          <w:rFonts w:cs="Times New Roman"/>
          <w:spacing w:val="-4"/>
          <w:sz w:val="18"/>
          <w:szCs w:val="18"/>
          <w:lang w:val="es-ES_tradnl"/>
        </w:rPr>
        <w:t>é</w:t>
      </w:r>
      <w:r>
        <w:rPr>
          <w:spacing w:val="-4"/>
          <w:sz w:val="18"/>
          <w:szCs w:val="18"/>
          <w:lang w:val="es-ES_tradnl"/>
        </w:rPr>
        <w:t xml:space="preserve">n otros principios que guarden </w:t>
      </w:r>
      <w:r>
        <w:rPr>
          <w:spacing w:val="-3"/>
          <w:sz w:val="18"/>
          <w:szCs w:val="18"/>
          <w:lang w:val="es-ES_tradnl"/>
        </w:rPr>
        <w:t>relaci</w:t>
      </w:r>
      <w:r>
        <w:rPr>
          <w:rFonts w:cs="Times New Roman"/>
          <w:spacing w:val="-3"/>
          <w:sz w:val="18"/>
          <w:szCs w:val="18"/>
          <w:lang w:val="es-ES_tradnl"/>
        </w:rPr>
        <w:t>ó</w:t>
      </w:r>
      <w:r>
        <w:rPr>
          <w:spacing w:val="-3"/>
          <w:sz w:val="18"/>
          <w:szCs w:val="18"/>
          <w:lang w:val="es-ES_tradnl"/>
        </w:rPr>
        <w:t xml:space="preserve">n con el principio de equidad, conforme las </w:t>
      </w:r>
      <w:r>
        <w:rPr>
          <w:spacing w:val="-7"/>
          <w:sz w:val="18"/>
          <w:szCs w:val="18"/>
          <w:lang w:val="es-ES_tradnl"/>
        </w:rPr>
        <w:t>consideraciones expuestas en p</w:t>
      </w:r>
      <w:r>
        <w:rPr>
          <w:rFonts w:cs="Times New Roman"/>
          <w:spacing w:val="-7"/>
          <w:sz w:val="18"/>
          <w:szCs w:val="18"/>
          <w:lang w:val="es-ES_tradnl"/>
        </w:rPr>
        <w:t>á</w:t>
      </w:r>
      <w:r>
        <w:rPr>
          <w:spacing w:val="-7"/>
          <w:sz w:val="18"/>
          <w:szCs w:val="18"/>
          <w:lang w:val="es-ES_tradnl"/>
        </w:rPr>
        <w:t>rrafos anteriores.</w:t>
      </w:r>
    </w:p>
    <w:p w14:paraId="4F67A7AA" w14:textId="77777777" w:rsidR="00591D54" w:rsidRDefault="00591D54">
      <w:pPr>
        <w:shd w:val="clear" w:color="auto" w:fill="FFFFFF"/>
        <w:spacing w:before="197" w:line="216" w:lineRule="exact"/>
        <w:jc w:val="both"/>
      </w:pPr>
      <w:r>
        <w:rPr>
          <w:sz w:val="18"/>
          <w:szCs w:val="18"/>
          <w:lang w:val="es-ES_tradnl"/>
        </w:rPr>
        <w:t xml:space="preserve">Con respecto a la naturaleza y alcance del principio </w:t>
      </w:r>
      <w:r>
        <w:rPr>
          <w:spacing w:val="-3"/>
          <w:sz w:val="18"/>
          <w:szCs w:val="18"/>
          <w:lang w:val="es-ES_tradnl"/>
        </w:rPr>
        <w:t>de equidad, el jurista H</w:t>
      </w:r>
      <w:r>
        <w:rPr>
          <w:rFonts w:cs="Times New Roman"/>
          <w:spacing w:val="-3"/>
          <w:sz w:val="18"/>
          <w:szCs w:val="18"/>
          <w:lang w:val="es-ES_tradnl"/>
        </w:rPr>
        <w:t>é</w:t>
      </w:r>
      <w:r>
        <w:rPr>
          <w:spacing w:val="-3"/>
          <w:sz w:val="18"/>
          <w:szCs w:val="18"/>
          <w:lang w:val="es-ES_tradnl"/>
        </w:rPr>
        <w:t>ctor Villegas, se</w:t>
      </w:r>
      <w:r>
        <w:rPr>
          <w:rFonts w:cs="Times New Roman"/>
          <w:spacing w:val="-3"/>
          <w:sz w:val="18"/>
          <w:szCs w:val="18"/>
          <w:lang w:val="es-ES_tradnl"/>
        </w:rPr>
        <w:t>ñ</w:t>
      </w:r>
      <w:r>
        <w:rPr>
          <w:spacing w:val="-3"/>
          <w:sz w:val="18"/>
          <w:szCs w:val="18"/>
          <w:lang w:val="es-ES_tradnl"/>
        </w:rPr>
        <w:t xml:space="preserve">ala: </w:t>
      </w:r>
      <w:r>
        <w:rPr>
          <w:rFonts w:cs="Times New Roman"/>
          <w:spacing w:val="-3"/>
          <w:sz w:val="18"/>
          <w:szCs w:val="18"/>
          <w:lang w:val="es-ES_tradnl"/>
        </w:rPr>
        <w:t>“</w:t>
      </w:r>
      <w:r>
        <w:rPr>
          <w:spacing w:val="-3"/>
          <w:sz w:val="18"/>
          <w:szCs w:val="18"/>
          <w:lang w:val="es-ES_tradnl"/>
        </w:rPr>
        <w:t xml:space="preserve">Como </w:t>
      </w:r>
      <w:r>
        <w:rPr>
          <w:spacing w:val="-5"/>
          <w:sz w:val="18"/>
          <w:szCs w:val="18"/>
          <w:lang w:val="es-ES_tradnl"/>
        </w:rPr>
        <w:t>principio de imposici</w:t>
      </w:r>
      <w:r>
        <w:rPr>
          <w:rFonts w:cs="Times New Roman"/>
          <w:spacing w:val="-5"/>
          <w:sz w:val="18"/>
          <w:szCs w:val="18"/>
          <w:lang w:val="es-ES_tradnl"/>
        </w:rPr>
        <w:t>ó</w:t>
      </w:r>
      <w:r>
        <w:rPr>
          <w:spacing w:val="-5"/>
          <w:sz w:val="18"/>
          <w:szCs w:val="18"/>
          <w:lang w:val="es-ES_tradnl"/>
        </w:rPr>
        <w:t>n, la equidad va m</w:t>
      </w:r>
      <w:r>
        <w:rPr>
          <w:rFonts w:cs="Times New Roman"/>
          <w:spacing w:val="-5"/>
          <w:sz w:val="18"/>
          <w:szCs w:val="18"/>
          <w:lang w:val="es-ES_tradnl"/>
        </w:rPr>
        <w:t>á</w:t>
      </w:r>
      <w:r>
        <w:rPr>
          <w:spacing w:val="-5"/>
          <w:sz w:val="18"/>
          <w:szCs w:val="18"/>
          <w:lang w:val="es-ES_tradnl"/>
        </w:rPr>
        <w:t>s all</w:t>
      </w:r>
      <w:r>
        <w:rPr>
          <w:rFonts w:cs="Times New Roman"/>
          <w:spacing w:val="-5"/>
          <w:sz w:val="18"/>
          <w:szCs w:val="18"/>
          <w:lang w:val="es-ES_tradnl"/>
        </w:rPr>
        <w:t>á</w:t>
      </w:r>
      <w:r>
        <w:rPr>
          <w:spacing w:val="-5"/>
          <w:sz w:val="18"/>
          <w:szCs w:val="18"/>
          <w:lang w:val="es-ES_tradnl"/>
        </w:rPr>
        <w:t xml:space="preserve"> del orden </w:t>
      </w:r>
      <w:r>
        <w:rPr>
          <w:spacing w:val="-6"/>
          <w:sz w:val="18"/>
          <w:szCs w:val="18"/>
          <w:lang w:val="es-ES_tradnl"/>
        </w:rPr>
        <w:t>positivo, representa el fundamento filos</w:t>
      </w:r>
      <w:r>
        <w:rPr>
          <w:rFonts w:cs="Times New Roman"/>
          <w:spacing w:val="-6"/>
          <w:sz w:val="18"/>
          <w:szCs w:val="18"/>
          <w:lang w:val="es-ES_tradnl"/>
        </w:rPr>
        <w:t>ó</w:t>
      </w:r>
      <w:r>
        <w:rPr>
          <w:spacing w:val="-6"/>
          <w:sz w:val="18"/>
          <w:szCs w:val="18"/>
          <w:lang w:val="es-ES_tradnl"/>
        </w:rPr>
        <w:t>fico y ontol</w:t>
      </w:r>
      <w:r>
        <w:rPr>
          <w:rFonts w:cs="Times New Roman"/>
          <w:spacing w:val="-6"/>
          <w:sz w:val="18"/>
          <w:szCs w:val="18"/>
          <w:lang w:val="es-ES_tradnl"/>
        </w:rPr>
        <w:t>ó</w:t>
      </w:r>
      <w:r>
        <w:rPr>
          <w:spacing w:val="-6"/>
          <w:sz w:val="18"/>
          <w:szCs w:val="18"/>
          <w:lang w:val="es-ES_tradnl"/>
        </w:rPr>
        <w:t xml:space="preserve">gico </w:t>
      </w:r>
      <w:r>
        <w:rPr>
          <w:spacing w:val="-8"/>
          <w:sz w:val="18"/>
          <w:szCs w:val="18"/>
          <w:lang w:val="es-ES_tradnl"/>
        </w:rPr>
        <w:t xml:space="preserve">de la justicia en las constituciones. La equidad se confunde </w:t>
      </w:r>
      <w:r>
        <w:rPr>
          <w:spacing w:val="-4"/>
          <w:sz w:val="18"/>
          <w:szCs w:val="18"/>
          <w:lang w:val="es-ES_tradnl"/>
        </w:rPr>
        <w:t>con la idea de justicia y en tal car</w:t>
      </w:r>
      <w:r>
        <w:rPr>
          <w:rFonts w:cs="Times New Roman"/>
          <w:spacing w:val="-4"/>
          <w:sz w:val="18"/>
          <w:szCs w:val="18"/>
          <w:lang w:val="es-ES_tradnl"/>
        </w:rPr>
        <w:t>á</w:t>
      </w:r>
      <w:r>
        <w:rPr>
          <w:spacing w:val="-4"/>
          <w:sz w:val="18"/>
          <w:szCs w:val="18"/>
          <w:lang w:val="es-ES_tradnl"/>
        </w:rPr>
        <w:t xml:space="preserve">cter pasa a ser el fin </w:t>
      </w:r>
      <w:r>
        <w:rPr>
          <w:spacing w:val="-7"/>
          <w:sz w:val="18"/>
          <w:szCs w:val="18"/>
          <w:lang w:val="es-ES_tradnl"/>
        </w:rPr>
        <w:t>del derecho. Consiste en una armon</w:t>
      </w:r>
      <w:r>
        <w:rPr>
          <w:rFonts w:cs="Times New Roman"/>
          <w:spacing w:val="-7"/>
          <w:sz w:val="18"/>
          <w:szCs w:val="18"/>
          <w:lang w:val="es-ES_tradnl"/>
        </w:rPr>
        <w:t>í</w:t>
      </w:r>
      <w:r>
        <w:rPr>
          <w:spacing w:val="-7"/>
          <w:sz w:val="18"/>
          <w:szCs w:val="18"/>
          <w:lang w:val="es-ES_tradnl"/>
        </w:rPr>
        <w:t xml:space="preserve">a conforme a la cual </w:t>
      </w:r>
      <w:r>
        <w:rPr>
          <w:spacing w:val="-4"/>
          <w:sz w:val="18"/>
          <w:szCs w:val="18"/>
          <w:lang w:val="es-ES_tradnl"/>
        </w:rPr>
        <w:t>debe ordenarse la materia jur</w:t>
      </w:r>
      <w:r>
        <w:rPr>
          <w:rFonts w:cs="Times New Roman"/>
          <w:spacing w:val="-4"/>
          <w:sz w:val="18"/>
          <w:szCs w:val="18"/>
          <w:lang w:val="es-ES_tradnl"/>
        </w:rPr>
        <w:t>í</w:t>
      </w:r>
      <w:r>
        <w:rPr>
          <w:spacing w:val="-4"/>
          <w:sz w:val="18"/>
          <w:szCs w:val="18"/>
          <w:lang w:val="es-ES_tradnl"/>
        </w:rPr>
        <w:t xml:space="preserve">dica, y en virtud de la cual </w:t>
      </w:r>
      <w:r>
        <w:rPr>
          <w:spacing w:val="-6"/>
          <w:sz w:val="18"/>
          <w:szCs w:val="18"/>
          <w:lang w:val="es-ES_tradnl"/>
        </w:rPr>
        <w:t>el derecho positivo se orienta hacia esa idea de justicia</w:t>
      </w:r>
      <w:r>
        <w:rPr>
          <w:rFonts w:cs="Times New Roman"/>
          <w:spacing w:val="-6"/>
          <w:sz w:val="18"/>
          <w:szCs w:val="18"/>
          <w:lang w:val="es-ES_tradnl"/>
        </w:rPr>
        <w:t>”</w:t>
      </w:r>
      <w:r>
        <w:rPr>
          <w:spacing w:val="-6"/>
          <w:sz w:val="18"/>
          <w:szCs w:val="18"/>
          <w:vertAlign w:val="superscript"/>
          <w:lang w:val="es-ES_tradnl"/>
        </w:rPr>
        <w:t>5</w:t>
      </w:r>
      <w:r>
        <w:rPr>
          <w:spacing w:val="-6"/>
          <w:sz w:val="18"/>
          <w:szCs w:val="18"/>
          <w:lang w:val="es-ES_tradnl"/>
        </w:rPr>
        <w:t xml:space="preserve">. </w:t>
      </w:r>
      <w:r>
        <w:rPr>
          <w:spacing w:val="-5"/>
          <w:sz w:val="18"/>
          <w:szCs w:val="18"/>
          <w:lang w:val="es-ES_tradnl"/>
        </w:rPr>
        <w:t xml:space="preserve">Concluyendo el jurista que si se considera a la equidad </w:t>
      </w:r>
      <w:r>
        <w:rPr>
          <w:spacing w:val="-6"/>
          <w:sz w:val="18"/>
          <w:szCs w:val="18"/>
          <w:lang w:val="es-ES_tradnl"/>
        </w:rPr>
        <w:t>como una garant</w:t>
      </w:r>
      <w:r>
        <w:rPr>
          <w:rFonts w:cs="Times New Roman"/>
          <w:spacing w:val="-6"/>
          <w:sz w:val="18"/>
          <w:szCs w:val="18"/>
          <w:lang w:val="es-ES_tradnl"/>
        </w:rPr>
        <w:t>í</w:t>
      </w:r>
      <w:r>
        <w:rPr>
          <w:spacing w:val="-6"/>
          <w:sz w:val="18"/>
          <w:szCs w:val="18"/>
          <w:lang w:val="es-ES_tradnl"/>
        </w:rPr>
        <w:t xml:space="preserve">a constitucional que opera en beneficio </w:t>
      </w:r>
      <w:r>
        <w:rPr>
          <w:sz w:val="18"/>
          <w:szCs w:val="18"/>
          <w:lang w:val="es-ES_tradnl"/>
        </w:rPr>
        <w:t xml:space="preserve">del contribuyente, entonces </w:t>
      </w:r>
      <w:r>
        <w:rPr>
          <w:rFonts w:cs="Times New Roman"/>
          <w:sz w:val="18"/>
          <w:szCs w:val="18"/>
          <w:lang w:val="es-ES_tradnl"/>
        </w:rPr>
        <w:t>“</w:t>
      </w:r>
      <w:r>
        <w:rPr>
          <w:sz w:val="18"/>
          <w:szCs w:val="18"/>
          <w:lang w:val="es-ES_tradnl"/>
        </w:rPr>
        <w:t>podr</w:t>
      </w:r>
      <w:r>
        <w:rPr>
          <w:rFonts w:cs="Times New Roman"/>
          <w:sz w:val="18"/>
          <w:szCs w:val="18"/>
          <w:lang w:val="es-ES_tradnl"/>
        </w:rPr>
        <w:t>í</w:t>
      </w:r>
      <w:r>
        <w:rPr>
          <w:sz w:val="18"/>
          <w:szCs w:val="18"/>
          <w:lang w:val="es-ES_tradnl"/>
        </w:rPr>
        <w:t>a ser invocada por</w:t>
      </w:r>
    </w:p>
    <w:p w14:paraId="4F67A7AB" w14:textId="77777777" w:rsidR="00591D54" w:rsidRDefault="00591D54">
      <w:pPr>
        <w:shd w:val="clear" w:color="auto" w:fill="FFFFFF"/>
        <w:tabs>
          <w:tab w:val="left" w:pos="144"/>
        </w:tabs>
        <w:spacing w:before="566" w:line="178" w:lineRule="exact"/>
        <w:ind w:left="144" w:right="5" w:hanging="144"/>
        <w:jc w:val="both"/>
      </w:pPr>
      <w:r>
        <w:rPr>
          <w:sz w:val="10"/>
          <w:szCs w:val="10"/>
          <w:vertAlign w:val="superscript"/>
          <w:lang w:val="es-ES_tradnl"/>
        </w:rPr>
        <w:t>3</w:t>
      </w:r>
      <w:r>
        <w:rPr>
          <w:sz w:val="18"/>
          <w:szCs w:val="18"/>
          <w:lang w:val="es-ES_tradnl"/>
        </w:rPr>
        <w:tab/>
      </w:r>
      <w:r>
        <w:rPr>
          <w:sz w:val="14"/>
          <w:szCs w:val="14"/>
          <w:lang w:val="es-ES_tradnl"/>
        </w:rPr>
        <w:t>C</w:t>
      </w:r>
      <w:r>
        <w:rPr>
          <w:rFonts w:cs="Times New Roman"/>
          <w:sz w:val="14"/>
          <w:szCs w:val="14"/>
          <w:lang w:val="es-ES_tradnl"/>
        </w:rPr>
        <w:t>ó</w:t>
      </w:r>
      <w:r>
        <w:rPr>
          <w:sz w:val="14"/>
          <w:szCs w:val="14"/>
          <w:lang w:val="es-ES_tradnl"/>
        </w:rPr>
        <w:t>digo</w:t>
      </w:r>
      <w:r>
        <w:rPr>
          <w:sz w:val="18"/>
          <w:szCs w:val="18"/>
          <w:lang w:val="es-ES_tradnl"/>
        </w:rPr>
        <w:t xml:space="preserve"> </w:t>
      </w:r>
      <w:r>
        <w:rPr>
          <w:sz w:val="14"/>
          <w:szCs w:val="14"/>
          <w:lang w:val="es-ES_tradnl"/>
        </w:rPr>
        <w:t>Tributario:</w:t>
      </w:r>
      <w:r>
        <w:rPr>
          <w:sz w:val="18"/>
          <w:szCs w:val="18"/>
          <w:lang w:val="es-ES_tradnl"/>
        </w:rPr>
        <w:t xml:space="preserve"> </w:t>
      </w:r>
      <w:r>
        <w:rPr>
          <w:sz w:val="14"/>
          <w:szCs w:val="14"/>
          <w:lang w:val="es-ES_tradnl"/>
        </w:rPr>
        <w:t>Art.</w:t>
      </w:r>
      <w:r>
        <w:rPr>
          <w:sz w:val="18"/>
          <w:szCs w:val="18"/>
          <w:lang w:val="es-ES_tradnl"/>
        </w:rPr>
        <w:t xml:space="preserve"> </w:t>
      </w:r>
      <w:r>
        <w:rPr>
          <w:sz w:val="14"/>
          <w:szCs w:val="14"/>
          <w:lang w:val="es-ES_tradnl"/>
        </w:rPr>
        <w:t>5.-</w:t>
      </w:r>
      <w:r>
        <w:rPr>
          <w:sz w:val="18"/>
          <w:szCs w:val="18"/>
          <w:lang w:val="es-ES_tradnl"/>
        </w:rPr>
        <w:t xml:space="preserve"> </w:t>
      </w:r>
      <w:r>
        <w:rPr>
          <w:sz w:val="14"/>
          <w:szCs w:val="14"/>
          <w:lang w:val="es-ES_tradnl"/>
        </w:rPr>
        <w:t>Principios</w:t>
      </w:r>
      <w:r>
        <w:rPr>
          <w:sz w:val="18"/>
          <w:szCs w:val="18"/>
          <w:lang w:val="es-ES_tradnl"/>
        </w:rPr>
        <w:t xml:space="preserve"> </w:t>
      </w:r>
      <w:r>
        <w:rPr>
          <w:sz w:val="14"/>
          <w:szCs w:val="14"/>
          <w:lang w:val="es-ES_tradnl"/>
        </w:rPr>
        <w:t>tributarios.-</w:t>
      </w:r>
      <w:r>
        <w:rPr>
          <w:sz w:val="18"/>
          <w:szCs w:val="18"/>
          <w:lang w:val="es-ES_tradnl"/>
        </w:rPr>
        <w:t xml:space="preserve"> </w:t>
      </w:r>
      <w:r>
        <w:rPr>
          <w:sz w:val="14"/>
          <w:szCs w:val="14"/>
          <w:lang w:val="es-ES_tradnl"/>
        </w:rPr>
        <w:t>El</w:t>
      </w:r>
      <w:r>
        <w:rPr>
          <w:sz w:val="18"/>
          <w:szCs w:val="18"/>
          <w:lang w:val="es-ES_tradnl"/>
        </w:rPr>
        <w:t xml:space="preserve"> </w:t>
      </w:r>
      <w:r>
        <w:rPr>
          <w:sz w:val="14"/>
          <w:szCs w:val="14"/>
          <w:lang w:val="es-ES_tradnl"/>
        </w:rPr>
        <w:t>r</w:t>
      </w:r>
      <w:r>
        <w:rPr>
          <w:rFonts w:cs="Times New Roman"/>
          <w:sz w:val="14"/>
          <w:szCs w:val="14"/>
          <w:lang w:val="es-ES_tradnl"/>
        </w:rPr>
        <w:t>é</w:t>
      </w:r>
      <w:r>
        <w:rPr>
          <w:sz w:val="14"/>
          <w:szCs w:val="14"/>
          <w:lang w:val="es-ES_tradnl"/>
        </w:rPr>
        <w:t>gimen tributario se regir</w:t>
      </w:r>
      <w:r>
        <w:rPr>
          <w:rFonts w:cs="Times New Roman"/>
          <w:sz w:val="14"/>
          <w:szCs w:val="14"/>
          <w:lang w:val="es-ES_tradnl"/>
        </w:rPr>
        <w:t>á</w:t>
      </w:r>
      <w:r>
        <w:rPr>
          <w:sz w:val="14"/>
          <w:szCs w:val="14"/>
          <w:lang w:val="es-ES_tradnl"/>
        </w:rPr>
        <w:t xml:space="preserve"> por los principios de legalidad, generalidad, igualdad, proporcionalidad e irretroactividad.</w:t>
      </w:r>
    </w:p>
    <w:p w14:paraId="4F67A7AC" w14:textId="77777777" w:rsidR="00591D54" w:rsidRDefault="00591D54">
      <w:pPr>
        <w:shd w:val="clear" w:color="auto" w:fill="FFFFFF"/>
        <w:tabs>
          <w:tab w:val="left" w:pos="144"/>
        </w:tabs>
        <w:spacing w:before="154" w:line="182" w:lineRule="exact"/>
        <w:ind w:left="144" w:right="5" w:hanging="144"/>
        <w:jc w:val="both"/>
      </w:pPr>
      <w:r>
        <w:rPr>
          <w:sz w:val="10"/>
          <w:szCs w:val="10"/>
          <w:vertAlign w:val="superscript"/>
          <w:lang w:val="es-ES_tradnl"/>
        </w:rPr>
        <w:t>4</w:t>
      </w:r>
      <w:r>
        <w:rPr>
          <w:sz w:val="18"/>
          <w:szCs w:val="18"/>
          <w:lang w:val="es-ES_tradnl"/>
        </w:rPr>
        <w:tab/>
      </w:r>
      <w:r>
        <w:rPr>
          <w:spacing w:val="-1"/>
          <w:sz w:val="14"/>
          <w:szCs w:val="14"/>
          <w:lang w:val="es-ES_tradnl"/>
        </w:rPr>
        <w:t>Corte</w:t>
      </w:r>
      <w:r>
        <w:rPr>
          <w:spacing w:val="-1"/>
          <w:sz w:val="18"/>
          <w:szCs w:val="18"/>
          <w:lang w:val="es-ES_tradnl"/>
        </w:rPr>
        <w:t xml:space="preserve"> </w:t>
      </w:r>
      <w:r>
        <w:rPr>
          <w:spacing w:val="-1"/>
          <w:sz w:val="14"/>
          <w:szCs w:val="14"/>
          <w:lang w:val="es-ES_tradnl"/>
        </w:rPr>
        <w:t>Constitucional</w:t>
      </w:r>
      <w:r>
        <w:rPr>
          <w:spacing w:val="-1"/>
          <w:sz w:val="18"/>
          <w:szCs w:val="18"/>
          <w:lang w:val="es-ES_tradnl"/>
        </w:rPr>
        <w:t xml:space="preserve"> </w:t>
      </w:r>
      <w:r>
        <w:rPr>
          <w:spacing w:val="-1"/>
          <w:sz w:val="14"/>
          <w:szCs w:val="14"/>
          <w:lang w:val="es-ES_tradnl"/>
        </w:rPr>
        <w:t>del</w:t>
      </w:r>
      <w:r>
        <w:rPr>
          <w:spacing w:val="-1"/>
          <w:sz w:val="18"/>
          <w:szCs w:val="18"/>
          <w:lang w:val="es-ES_tradnl"/>
        </w:rPr>
        <w:t xml:space="preserve"> </w:t>
      </w:r>
      <w:r>
        <w:rPr>
          <w:spacing w:val="-1"/>
          <w:sz w:val="14"/>
          <w:szCs w:val="14"/>
          <w:lang w:val="es-ES_tradnl"/>
        </w:rPr>
        <w:t>Ecuador,</w:t>
      </w:r>
      <w:r>
        <w:rPr>
          <w:spacing w:val="-1"/>
          <w:sz w:val="18"/>
          <w:szCs w:val="18"/>
          <w:lang w:val="es-ES_tradnl"/>
        </w:rPr>
        <w:t xml:space="preserve"> </w:t>
      </w:r>
      <w:r>
        <w:rPr>
          <w:spacing w:val="-1"/>
          <w:sz w:val="14"/>
          <w:szCs w:val="14"/>
          <w:lang w:val="es-ES_tradnl"/>
        </w:rPr>
        <w:t>para</w:t>
      </w:r>
      <w:r>
        <w:rPr>
          <w:spacing w:val="-1"/>
          <w:sz w:val="18"/>
          <w:szCs w:val="18"/>
          <w:lang w:val="es-ES_tradnl"/>
        </w:rPr>
        <w:t xml:space="preserve"> </w:t>
      </w:r>
      <w:r>
        <w:rPr>
          <w:spacing w:val="-1"/>
          <w:sz w:val="14"/>
          <w:szCs w:val="14"/>
          <w:lang w:val="es-ES_tradnl"/>
        </w:rPr>
        <w:t>el</w:t>
      </w:r>
      <w:r>
        <w:rPr>
          <w:spacing w:val="-1"/>
          <w:sz w:val="18"/>
          <w:szCs w:val="18"/>
          <w:lang w:val="es-ES_tradnl"/>
        </w:rPr>
        <w:t xml:space="preserve"> </w:t>
      </w:r>
      <w:r>
        <w:rPr>
          <w:spacing w:val="-1"/>
          <w:sz w:val="14"/>
          <w:szCs w:val="14"/>
          <w:lang w:val="es-ES_tradnl"/>
        </w:rPr>
        <w:t>per</w:t>
      </w:r>
      <w:r>
        <w:rPr>
          <w:rFonts w:cs="Times New Roman"/>
          <w:spacing w:val="-1"/>
          <w:sz w:val="14"/>
          <w:szCs w:val="14"/>
          <w:lang w:val="es-ES_tradnl"/>
        </w:rPr>
        <w:t>í</w:t>
      </w:r>
      <w:r>
        <w:rPr>
          <w:spacing w:val="-1"/>
          <w:sz w:val="14"/>
          <w:szCs w:val="14"/>
          <w:lang w:val="es-ES_tradnl"/>
        </w:rPr>
        <w:t>odo</w:t>
      </w:r>
      <w:r>
        <w:rPr>
          <w:spacing w:val="-1"/>
          <w:sz w:val="18"/>
          <w:szCs w:val="18"/>
          <w:lang w:val="es-ES_tradnl"/>
        </w:rPr>
        <w:t xml:space="preserve"> </w:t>
      </w:r>
      <w:r>
        <w:rPr>
          <w:spacing w:val="-1"/>
          <w:sz w:val="14"/>
          <w:szCs w:val="14"/>
          <w:lang w:val="es-ES_tradnl"/>
        </w:rPr>
        <w:t>de</w:t>
      </w:r>
      <w:r>
        <w:rPr>
          <w:spacing w:val="-1"/>
          <w:sz w:val="18"/>
          <w:szCs w:val="18"/>
          <w:lang w:val="es-ES_tradnl"/>
        </w:rPr>
        <w:t xml:space="preserve"> </w:t>
      </w:r>
      <w:r>
        <w:rPr>
          <w:spacing w:val="-1"/>
          <w:sz w:val="14"/>
          <w:szCs w:val="14"/>
          <w:lang w:val="es-ES_tradnl"/>
        </w:rPr>
        <w:t>transici</w:t>
      </w:r>
      <w:r>
        <w:rPr>
          <w:rFonts w:cs="Times New Roman"/>
          <w:spacing w:val="-1"/>
          <w:sz w:val="14"/>
          <w:szCs w:val="14"/>
          <w:lang w:val="es-ES_tradnl"/>
        </w:rPr>
        <w:t>ó</w:t>
      </w:r>
      <w:r>
        <w:rPr>
          <w:spacing w:val="-1"/>
          <w:sz w:val="14"/>
          <w:szCs w:val="14"/>
          <w:lang w:val="es-ES_tradnl"/>
        </w:rPr>
        <w:t>n; </w:t>
      </w:r>
      <w:r>
        <w:rPr>
          <w:sz w:val="14"/>
          <w:szCs w:val="14"/>
          <w:lang w:val="es-ES_tradnl"/>
        </w:rPr>
        <w:t>Sentencia N.</w:t>
      </w:r>
      <w:r>
        <w:rPr>
          <w:rFonts w:cs="Times New Roman"/>
          <w:sz w:val="14"/>
          <w:szCs w:val="14"/>
          <w:lang w:val="es-ES_tradnl"/>
        </w:rPr>
        <w:t>º</w:t>
      </w:r>
      <w:r>
        <w:rPr>
          <w:sz w:val="14"/>
          <w:szCs w:val="14"/>
          <w:lang w:val="es-ES_tradnl"/>
        </w:rPr>
        <w:t xml:space="preserve"> 004-11-SIN-CC</w:t>
      </w:r>
    </w:p>
    <w:p w14:paraId="4F67A7AD" w14:textId="77777777" w:rsidR="00591D54" w:rsidRDefault="00591D54">
      <w:pPr>
        <w:shd w:val="clear" w:color="auto" w:fill="FFFFFF"/>
        <w:tabs>
          <w:tab w:val="left" w:pos="144"/>
        </w:tabs>
        <w:spacing w:before="149" w:line="178" w:lineRule="exact"/>
        <w:ind w:left="144" w:hanging="144"/>
        <w:jc w:val="both"/>
      </w:pPr>
      <w:r>
        <w:rPr>
          <w:sz w:val="10"/>
          <w:szCs w:val="10"/>
          <w:vertAlign w:val="superscript"/>
          <w:lang w:val="es-ES_tradnl"/>
        </w:rPr>
        <w:t>5</w:t>
      </w:r>
      <w:r>
        <w:rPr>
          <w:sz w:val="18"/>
          <w:szCs w:val="18"/>
          <w:lang w:val="es-ES_tradnl"/>
        </w:rPr>
        <w:tab/>
      </w:r>
      <w:r>
        <w:rPr>
          <w:spacing w:val="-1"/>
          <w:sz w:val="14"/>
          <w:szCs w:val="14"/>
          <w:lang w:val="es-ES_tradnl"/>
        </w:rPr>
        <w:t>H</w:t>
      </w:r>
      <w:r>
        <w:rPr>
          <w:rFonts w:cs="Times New Roman"/>
          <w:spacing w:val="-1"/>
          <w:sz w:val="14"/>
          <w:szCs w:val="14"/>
          <w:lang w:val="es-ES_tradnl"/>
        </w:rPr>
        <w:t>é</w:t>
      </w:r>
      <w:r>
        <w:rPr>
          <w:spacing w:val="-1"/>
          <w:sz w:val="14"/>
          <w:szCs w:val="14"/>
          <w:lang w:val="es-ES_tradnl"/>
        </w:rPr>
        <w:t>ctor</w:t>
      </w:r>
      <w:r>
        <w:rPr>
          <w:spacing w:val="-1"/>
          <w:sz w:val="18"/>
          <w:szCs w:val="18"/>
          <w:lang w:val="es-ES_tradnl"/>
        </w:rPr>
        <w:t xml:space="preserve"> </w:t>
      </w:r>
      <w:r>
        <w:rPr>
          <w:spacing w:val="-1"/>
          <w:sz w:val="14"/>
          <w:szCs w:val="14"/>
          <w:lang w:val="es-ES_tradnl"/>
        </w:rPr>
        <w:t>Villegas,</w:t>
      </w:r>
      <w:r>
        <w:rPr>
          <w:spacing w:val="-1"/>
          <w:sz w:val="18"/>
          <w:szCs w:val="18"/>
          <w:lang w:val="es-ES_tradnl"/>
        </w:rPr>
        <w:t xml:space="preserve"> </w:t>
      </w:r>
      <w:r>
        <w:rPr>
          <w:i/>
          <w:iCs/>
          <w:spacing w:val="-1"/>
          <w:sz w:val="14"/>
          <w:szCs w:val="14"/>
          <w:lang w:val="es-ES_tradnl"/>
        </w:rPr>
        <w:t>Curso</w:t>
      </w:r>
      <w:r>
        <w:rPr>
          <w:i/>
          <w:iCs/>
          <w:spacing w:val="-1"/>
          <w:sz w:val="18"/>
          <w:szCs w:val="18"/>
          <w:lang w:val="es-ES_tradnl"/>
        </w:rPr>
        <w:t xml:space="preserve"> </w:t>
      </w:r>
      <w:r>
        <w:rPr>
          <w:i/>
          <w:iCs/>
          <w:spacing w:val="-1"/>
          <w:sz w:val="14"/>
          <w:szCs w:val="14"/>
          <w:lang w:val="es-ES_tradnl"/>
        </w:rPr>
        <w:t>de</w:t>
      </w:r>
      <w:r>
        <w:rPr>
          <w:i/>
          <w:iCs/>
          <w:spacing w:val="-1"/>
          <w:sz w:val="18"/>
          <w:szCs w:val="18"/>
          <w:lang w:val="es-ES_tradnl"/>
        </w:rPr>
        <w:t xml:space="preserve"> </w:t>
      </w:r>
      <w:r>
        <w:rPr>
          <w:i/>
          <w:iCs/>
          <w:spacing w:val="-1"/>
          <w:sz w:val="14"/>
          <w:szCs w:val="14"/>
          <w:lang w:val="es-ES_tradnl"/>
        </w:rPr>
        <w:t>finanzas,</w:t>
      </w:r>
      <w:r>
        <w:rPr>
          <w:i/>
          <w:iCs/>
          <w:spacing w:val="-1"/>
          <w:sz w:val="18"/>
          <w:szCs w:val="18"/>
          <w:lang w:val="es-ES_tradnl"/>
        </w:rPr>
        <w:t xml:space="preserve"> </w:t>
      </w:r>
      <w:r>
        <w:rPr>
          <w:i/>
          <w:iCs/>
          <w:spacing w:val="-1"/>
          <w:sz w:val="14"/>
          <w:szCs w:val="14"/>
          <w:lang w:val="es-ES_tradnl"/>
        </w:rPr>
        <w:t>derecho</w:t>
      </w:r>
      <w:r>
        <w:rPr>
          <w:i/>
          <w:iCs/>
          <w:spacing w:val="-1"/>
          <w:sz w:val="18"/>
          <w:szCs w:val="18"/>
          <w:lang w:val="es-ES_tradnl"/>
        </w:rPr>
        <w:t xml:space="preserve"> </w:t>
      </w:r>
      <w:r>
        <w:rPr>
          <w:i/>
          <w:iCs/>
          <w:spacing w:val="-1"/>
          <w:sz w:val="14"/>
          <w:szCs w:val="14"/>
          <w:lang w:val="es-ES_tradnl"/>
        </w:rPr>
        <w:t>financiero</w:t>
      </w:r>
      <w:r>
        <w:rPr>
          <w:i/>
          <w:iCs/>
          <w:spacing w:val="-1"/>
          <w:sz w:val="18"/>
          <w:szCs w:val="18"/>
          <w:lang w:val="es-ES_tradnl"/>
        </w:rPr>
        <w:t xml:space="preserve"> </w:t>
      </w:r>
      <w:r>
        <w:rPr>
          <w:i/>
          <w:iCs/>
          <w:spacing w:val="-1"/>
          <w:sz w:val="14"/>
          <w:szCs w:val="14"/>
          <w:lang w:val="es-ES_tradnl"/>
        </w:rPr>
        <w:t>y</w:t>
      </w:r>
      <w:r>
        <w:rPr>
          <w:i/>
          <w:iCs/>
          <w:spacing w:val="-1"/>
          <w:sz w:val="18"/>
          <w:szCs w:val="18"/>
          <w:lang w:val="es-ES_tradnl"/>
        </w:rPr>
        <w:t xml:space="preserve"> </w:t>
      </w:r>
      <w:r>
        <w:rPr>
          <w:i/>
          <w:iCs/>
          <w:spacing w:val="-1"/>
          <w:sz w:val="14"/>
          <w:szCs w:val="14"/>
          <w:lang w:val="es-ES_tradnl"/>
        </w:rPr>
        <w:t>tributario</w:t>
      </w:r>
      <w:r>
        <w:rPr>
          <w:spacing w:val="-1"/>
          <w:sz w:val="14"/>
          <w:szCs w:val="14"/>
          <w:lang w:val="es-ES_tradnl"/>
        </w:rPr>
        <w:t>, Octava edici</w:t>
      </w:r>
      <w:r>
        <w:rPr>
          <w:rFonts w:cs="Times New Roman"/>
          <w:spacing w:val="-1"/>
          <w:sz w:val="14"/>
          <w:szCs w:val="14"/>
          <w:lang w:val="es-ES_tradnl"/>
        </w:rPr>
        <w:t>ó</w:t>
      </w:r>
      <w:r>
        <w:rPr>
          <w:spacing w:val="-1"/>
          <w:sz w:val="14"/>
          <w:szCs w:val="14"/>
          <w:lang w:val="es-ES_tradnl"/>
        </w:rPr>
        <w:t>n, Editorial Astrea, Buenos Aires, 2002, P</w:t>
      </w:r>
      <w:r>
        <w:rPr>
          <w:rFonts w:cs="Times New Roman"/>
          <w:spacing w:val="-1"/>
          <w:sz w:val="14"/>
          <w:szCs w:val="14"/>
          <w:lang w:val="es-ES_tradnl"/>
        </w:rPr>
        <w:t>á</w:t>
      </w:r>
      <w:r>
        <w:rPr>
          <w:spacing w:val="-1"/>
          <w:sz w:val="14"/>
          <w:szCs w:val="14"/>
          <w:lang w:val="es-ES_tradnl"/>
        </w:rPr>
        <w:t>g. 275.</w:t>
      </w:r>
    </w:p>
    <w:p w14:paraId="4F67A7AE" w14:textId="77777777" w:rsidR="00591D54" w:rsidRDefault="00591D54">
      <w:pPr>
        <w:shd w:val="clear" w:color="auto" w:fill="FFFFFF"/>
        <w:tabs>
          <w:tab w:val="left" w:pos="144"/>
        </w:tabs>
        <w:spacing w:before="149" w:line="178" w:lineRule="exact"/>
        <w:ind w:left="144" w:hanging="144"/>
        <w:jc w:val="both"/>
        <w:sectPr w:rsidR="00591D54">
          <w:type w:val="continuous"/>
          <w:pgSz w:w="11909" w:h="16834"/>
          <w:pgMar w:top="1359" w:right="1304" w:bottom="360" w:left="1308" w:header="720" w:footer="720" w:gutter="0"/>
          <w:cols w:num="2" w:space="720" w:equalWidth="0">
            <w:col w:w="4305" w:space="682"/>
            <w:col w:w="4310"/>
          </w:cols>
          <w:noEndnote/>
        </w:sectPr>
      </w:pPr>
    </w:p>
    <w:p w14:paraId="4F67A7AF" w14:textId="77777777" w:rsidR="00591D54" w:rsidRDefault="00591D54">
      <w:pPr>
        <w:shd w:val="clear" w:color="auto" w:fill="FFFFFF"/>
        <w:tabs>
          <w:tab w:val="left" w:pos="4814"/>
        </w:tabs>
        <w:spacing w:after="235"/>
        <w:ind w:left="5"/>
      </w:pPr>
      <w:r>
        <w:rPr>
          <w:b/>
          <w:bCs/>
          <w:sz w:val="18"/>
          <w:szCs w:val="18"/>
          <w:lang w:val="es-ES_tradnl"/>
        </w:rPr>
        <w:t xml:space="preserve">54 -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7B0" w14:textId="77777777" w:rsidR="00591D54" w:rsidRDefault="00591D54">
      <w:pPr>
        <w:shd w:val="clear" w:color="auto" w:fill="FFFFFF"/>
        <w:tabs>
          <w:tab w:val="left" w:pos="4814"/>
        </w:tabs>
        <w:spacing w:after="235"/>
        <w:ind w:left="5"/>
        <w:sectPr w:rsidR="00591D54">
          <w:pgSz w:w="11909" w:h="16834"/>
          <w:pgMar w:top="1359" w:right="1304" w:bottom="360" w:left="1308" w:header="720" w:footer="720" w:gutter="0"/>
          <w:cols w:space="60"/>
          <w:noEndnote/>
        </w:sectPr>
      </w:pPr>
    </w:p>
    <w:p w14:paraId="4F67A7B1" w14:textId="77777777" w:rsidR="00591D54" w:rsidRDefault="00591D54">
      <w:pPr>
        <w:shd w:val="clear" w:color="auto" w:fill="FFFFFF"/>
        <w:spacing w:line="211" w:lineRule="exact"/>
        <w:jc w:val="both"/>
      </w:pPr>
      <w:r>
        <w:rPr>
          <w:rFonts w:cs="Times New Roman"/>
          <w:spacing w:val="-4"/>
          <w:sz w:val="18"/>
          <w:szCs w:val="18"/>
          <w:lang w:val="es-ES_tradnl"/>
        </w:rPr>
        <w:t>é</w:t>
      </w:r>
      <w:r>
        <w:rPr>
          <w:spacing w:val="-4"/>
          <w:sz w:val="18"/>
          <w:szCs w:val="18"/>
          <w:lang w:val="es-ES_tradnl"/>
        </w:rPr>
        <w:t>ste si se ve sometido a una contribuci</w:t>
      </w:r>
      <w:r>
        <w:rPr>
          <w:rFonts w:cs="Times New Roman"/>
          <w:spacing w:val="-4"/>
          <w:sz w:val="18"/>
          <w:szCs w:val="18"/>
          <w:lang w:val="es-ES_tradnl"/>
        </w:rPr>
        <w:t>ó</w:t>
      </w:r>
      <w:r>
        <w:rPr>
          <w:spacing w:val="-4"/>
          <w:sz w:val="18"/>
          <w:szCs w:val="18"/>
          <w:lang w:val="es-ES_tradnl"/>
        </w:rPr>
        <w:t xml:space="preserve">n cuya falta de </w:t>
      </w:r>
      <w:r>
        <w:rPr>
          <w:spacing w:val="-5"/>
          <w:sz w:val="18"/>
          <w:szCs w:val="18"/>
          <w:lang w:val="es-ES_tradnl"/>
        </w:rPr>
        <w:t>razonabilidad y equilibrio las transforma en una exacci</w:t>
      </w:r>
      <w:r>
        <w:rPr>
          <w:rFonts w:cs="Times New Roman"/>
          <w:spacing w:val="-5"/>
          <w:sz w:val="18"/>
          <w:szCs w:val="18"/>
          <w:lang w:val="es-ES_tradnl"/>
        </w:rPr>
        <w:t>ó</w:t>
      </w:r>
      <w:r>
        <w:rPr>
          <w:spacing w:val="-5"/>
          <w:sz w:val="18"/>
          <w:szCs w:val="18"/>
          <w:lang w:val="es-ES_tradnl"/>
        </w:rPr>
        <w:t>n irritantemente injusta</w:t>
      </w:r>
      <w:r>
        <w:rPr>
          <w:rFonts w:cs="Times New Roman"/>
          <w:spacing w:val="-5"/>
          <w:sz w:val="18"/>
          <w:szCs w:val="18"/>
          <w:lang w:val="es-ES_tradnl"/>
        </w:rPr>
        <w:t>”</w:t>
      </w:r>
      <w:r>
        <w:rPr>
          <w:spacing w:val="-5"/>
          <w:sz w:val="18"/>
          <w:szCs w:val="18"/>
          <w:vertAlign w:val="superscript"/>
          <w:lang w:val="es-ES_tradnl"/>
        </w:rPr>
        <w:t>6</w:t>
      </w:r>
      <w:r>
        <w:rPr>
          <w:spacing w:val="-5"/>
          <w:sz w:val="18"/>
          <w:szCs w:val="18"/>
          <w:lang w:val="es-ES_tradnl"/>
        </w:rPr>
        <w:t>, y por lo tanto, inconstitucional.</w:t>
      </w:r>
    </w:p>
    <w:p w14:paraId="4F67A7B2" w14:textId="77777777" w:rsidR="00591D54" w:rsidRDefault="00591D54">
      <w:pPr>
        <w:shd w:val="clear" w:color="auto" w:fill="FFFFFF"/>
        <w:spacing w:before="197" w:line="216" w:lineRule="exact"/>
        <w:jc w:val="both"/>
      </w:pPr>
      <w:r>
        <w:rPr>
          <w:spacing w:val="-4"/>
          <w:sz w:val="18"/>
          <w:szCs w:val="18"/>
          <w:lang w:val="es-ES_tradnl"/>
        </w:rPr>
        <w:t xml:space="preserve">La Corte Constitucional, al referirse a este principio </w:t>
      </w:r>
      <w:r>
        <w:rPr>
          <w:spacing w:val="-5"/>
          <w:sz w:val="18"/>
          <w:szCs w:val="18"/>
          <w:lang w:val="es-ES_tradnl"/>
        </w:rPr>
        <w:t>constitucional tributario dentro de la sentencia N.</w:t>
      </w:r>
      <w:r>
        <w:rPr>
          <w:rFonts w:cs="Times New Roman"/>
          <w:spacing w:val="-5"/>
          <w:sz w:val="18"/>
          <w:szCs w:val="18"/>
          <w:lang w:val="es-ES_tradnl"/>
        </w:rPr>
        <w:t xml:space="preserve">º </w:t>
      </w:r>
      <w:r>
        <w:rPr>
          <w:spacing w:val="-6"/>
          <w:sz w:val="18"/>
          <w:szCs w:val="18"/>
          <w:lang w:val="es-ES_tradnl"/>
        </w:rPr>
        <w:t>004-11-SIN-CC, puntualiz</w:t>
      </w:r>
      <w:r>
        <w:rPr>
          <w:rFonts w:cs="Times New Roman"/>
          <w:spacing w:val="-6"/>
          <w:sz w:val="18"/>
          <w:szCs w:val="18"/>
          <w:lang w:val="es-ES_tradnl"/>
        </w:rPr>
        <w:t>ó</w:t>
      </w:r>
      <w:r>
        <w:rPr>
          <w:spacing w:val="-6"/>
          <w:sz w:val="18"/>
          <w:szCs w:val="18"/>
          <w:lang w:val="es-ES_tradnl"/>
        </w:rPr>
        <w:t xml:space="preserve"> que la equidad atiende por un </w:t>
      </w:r>
      <w:r>
        <w:rPr>
          <w:spacing w:val="-7"/>
          <w:sz w:val="18"/>
          <w:szCs w:val="18"/>
          <w:lang w:val="es-ES_tradnl"/>
        </w:rPr>
        <w:t xml:space="preserve">lado a un </w:t>
      </w:r>
      <w:r>
        <w:rPr>
          <w:rFonts w:cs="Times New Roman"/>
          <w:spacing w:val="-7"/>
          <w:sz w:val="18"/>
          <w:szCs w:val="18"/>
          <w:lang w:val="es-ES_tradnl"/>
        </w:rPr>
        <w:t>á</w:t>
      </w:r>
      <w:r>
        <w:rPr>
          <w:spacing w:val="-7"/>
          <w:sz w:val="18"/>
          <w:szCs w:val="18"/>
          <w:lang w:val="es-ES_tradnl"/>
        </w:rPr>
        <w:t xml:space="preserve">mbito horizontal, por lo que se entiende que los </w:t>
      </w:r>
      <w:r>
        <w:rPr>
          <w:spacing w:val="-8"/>
          <w:sz w:val="18"/>
          <w:szCs w:val="18"/>
          <w:lang w:val="es-ES_tradnl"/>
        </w:rPr>
        <w:t>sujetos con capacidad econ</w:t>
      </w:r>
      <w:r>
        <w:rPr>
          <w:rFonts w:cs="Times New Roman"/>
          <w:spacing w:val="-8"/>
          <w:sz w:val="18"/>
          <w:szCs w:val="18"/>
          <w:lang w:val="es-ES_tradnl"/>
        </w:rPr>
        <w:t>ó</w:t>
      </w:r>
      <w:r>
        <w:rPr>
          <w:spacing w:val="-8"/>
          <w:sz w:val="18"/>
          <w:szCs w:val="18"/>
          <w:lang w:val="es-ES_tradnl"/>
        </w:rPr>
        <w:t xml:space="preserve">mica igual deben contribuir de </w:t>
      </w:r>
      <w:r>
        <w:rPr>
          <w:spacing w:val="-7"/>
          <w:sz w:val="18"/>
          <w:szCs w:val="18"/>
          <w:lang w:val="es-ES_tradnl"/>
        </w:rPr>
        <w:t xml:space="preserve">igual manera, bajo ese </w:t>
      </w:r>
      <w:r>
        <w:rPr>
          <w:rFonts w:cs="Times New Roman"/>
          <w:spacing w:val="-7"/>
          <w:sz w:val="18"/>
          <w:szCs w:val="18"/>
          <w:lang w:val="es-ES_tradnl"/>
        </w:rPr>
        <w:t>á</w:t>
      </w:r>
      <w:r>
        <w:rPr>
          <w:spacing w:val="-7"/>
          <w:sz w:val="18"/>
          <w:szCs w:val="18"/>
          <w:lang w:val="es-ES_tradnl"/>
        </w:rPr>
        <w:t>mbito, la equidad guarda relaci</w:t>
      </w:r>
      <w:r>
        <w:rPr>
          <w:rFonts w:cs="Times New Roman"/>
          <w:spacing w:val="-7"/>
          <w:sz w:val="18"/>
          <w:szCs w:val="18"/>
          <w:lang w:val="es-ES_tradnl"/>
        </w:rPr>
        <w:t>ó</w:t>
      </w:r>
      <w:r>
        <w:rPr>
          <w:spacing w:val="-7"/>
          <w:sz w:val="18"/>
          <w:szCs w:val="18"/>
          <w:lang w:val="es-ES_tradnl"/>
        </w:rPr>
        <w:t xml:space="preserve">n </w:t>
      </w:r>
      <w:r>
        <w:rPr>
          <w:spacing w:val="-5"/>
          <w:sz w:val="18"/>
          <w:szCs w:val="18"/>
          <w:lang w:val="es-ES_tradnl"/>
        </w:rPr>
        <w:t xml:space="preserve">con el principio tributario de generalidad. Por otro lado, la </w:t>
      </w:r>
      <w:r>
        <w:rPr>
          <w:spacing w:val="-8"/>
          <w:sz w:val="18"/>
          <w:szCs w:val="18"/>
          <w:lang w:val="es-ES_tradnl"/>
        </w:rPr>
        <w:t xml:space="preserve">equidad posee un </w:t>
      </w:r>
      <w:r>
        <w:rPr>
          <w:rFonts w:cs="Times New Roman"/>
          <w:spacing w:val="-8"/>
          <w:sz w:val="18"/>
          <w:szCs w:val="18"/>
          <w:lang w:val="es-ES_tradnl"/>
        </w:rPr>
        <w:t>á</w:t>
      </w:r>
      <w:r>
        <w:rPr>
          <w:spacing w:val="-8"/>
          <w:sz w:val="18"/>
          <w:szCs w:val="18"/>
          <w:lang w:val="es-ES_tradnl"/>
        </w:rPr>
        <w:t xml:space="preserve">mbito vertical en donde los sujetos con </w:t>
      </w:r>
      <w:r>
        <w:rPr>
          <w:spacing w:val="-7"/>
          <w:sz w:val="18"/>
          <w:szCs w:val="18"/>
          <w:lang w:val="es-ES_tradnl"/>
        </w:rPr>
        <w:t>mayor capacidad econ</w:t>
      </w:r>
      <w:r>
        <w:rPr>
          <w:rFonts w:cs="Times New Roman"/>
          <w:spacing w:val="-7"/>
          <w:sz w:val="18"/>
          <w:szCs w:val="18"/>
          <w:lang w:val="es-ES_tradnl"/>
        </w:rPr>
        <w:t>ó</w:t>
      </w:r>
      <w:r>
        <w:rPr>
          <w:spacing w:val="-7"/>
          <w:sz w:val="18"/>
          <w:szCs w:val="18"/>
          <w:lang w:val="es-ES_tradnl"/>
        </w:rPr>
        <w:t>mica deben contribuir en mayor medida, lo que tiene relaci</w:t>
      </w:r>
      <w:r>
        <w:rPr>
          <w:rFonts w:cs="Times New Roman"/>
          <w:spacing w:val="-7"/>
          <w:sz w:val="18"/>
          <w:szCs w:val="18"/>
          <w:lang w:val="es-ES_tradnl"/>
        </w:rPr>
        <w:t>ó</w:t>
      </w:r>
      <w:r>
        <w:rPr>
          <w:spacing w:val="-7"/>
          <w:sz w:val="18"/>
          <w:szCs w:val="18"/>
          <w:lang w:val="es-ES_tradnl"/>
        </w:rPr>
        <w:t xml:space="preserve">n con el principio constitucional </w:t>
      </w:r>
      <w:r>
        <w:rPr>
          <w:spacing w:val="-8"/>
          <w:sz w:val="18"/>
          <w:szCs w:val="18"/>
          <w:lang w:val="es-ES_tradnl"/>
        </w:rPr>
        <w:t xml:space="preserve">tributario de progresividad, ya que el mismo exige tomar en </w:t>
      </w:r>
      <w:r>
        <w:rPr>
          <w:spacing w:val="-6"/>
          <w:sz w:val="18"/>
          <w:szCs w:val="18"/>
          <w:lang w:val="es-ES_tradnl"/>
        </w:rPr>
        <w:t xml:space="preserve">cuenta la capacidad contributiva de los sujetos, de forma </w:t>
      </w:r>
      <w:r>
        <w:rPr>
          <w:spacing w:val="-8"/>
          <w:sz w:val="18"/>
          <w:szCs w:val="18"/>
          <w:lang w:val="es-ES_tradnl"/>
        </w:rPr>
        <w:t xml:space="preserve">tal, que quienes tienen mayor capacidad deban asumir </w:t>
      </w:r>
      <w:r>
        <w:rPr>
          <w:spacing w:val="-7"/>
          <w:sz w:val="18"/>
          <w:szCs w:val="18"/>
          <w:lang w:val="es-ES_tradnl"/>
        </w:rPr>
        <w:t>obligaciones mayores, y con ello la cuant</w:t>
      </w:r>
      <w:r>
        <w:rPr>
          <w:rFonts w:cs="Times New Roman"/>
          <w:spacing w:val="-7"/>
          <w:sz w:val="18"/>
          <w:szCs w:val="18"/>
          <w:lang w:val="es-ES_tradnl"/>
        </w:rPr>
        <w:t>í</w:t>
      </w:r>
      <w:r>
        <w:rPr>
          <w:spacing w:val="-7"/>
          <w:sz w:val="18"/>
          <w:szCs w:val="18"/>
          <w:lang w:val="es-ES_tradnl"/>
        </w:rPr>
        <w:t>a del tributo ser</w:t>
      </w:r>
      <w:r>
        <w:rPr>
          <w:rFonts w:cs="Times New Roman"/>
          <w:spacing w:val="-7"/>
          <w:sz w:val="18"/>
          <w:szCs w:val="18"/>
          <w:lang w:val="es-ES_tradnl"/>
        </w:rPr>
        <w:t xml:space="preserve">á </w:t>
      </w:r>
      <w:r>
        <w:rPr>
          <w:spacing w:val="-7"/>
          <w:sz w:val="18"/>
          <w:szCs w:val="18"/>
          <w:lang w:val="es-ES_tradnl"/>
        </w:rPr>
        <w:t>proporcional a esa mayor capacidad contributiva.</w:t>
      </w:r>
    </w:p>
    <w:p w14:paraId="4F67A7B3" w14:textId="77777777" w:rsidR="00591D54" w:rsidRDefault="00591D54">
      <w:pPr>
        <w:shd w:val="clear" w:color="auto" w:fill="FFFFFF"/>
        <w:spacing w:before="197" w:line="216" w:lineRule="exact"/>
        <w:jc w:val="both"/>
      </w:pPr>
      <w:r>
        <w:rPr>
          <w:spacing w:val="-7"/>
          <w:sz w:val="18"/>
          <w:szCs w:val="18"/>
          <w:lang w:val="es-ES_tradnl"/>
        </w:rPr>
        <w:t>Por otra parte, el principio de equidad guarda relaci</w:t>
      </w:r>
      <w:r>
        <w:rPr>
          <w:rFonts w:cs="Times New Roman"/>
          <w:spacing w:val="-7"/>
          <w:sz w:val="18"/>
          <w:szCs w:val="18"/>
          <w:lang w:val="es-ES_tradnl"/>
        </w:rPr>
        <w:t>ó</w:t>
      </w:r>
      <w:r>
        <w:rPr>
          <w:spacing w:val="-7"/>
          <w:sz w:val="18"/>
          <w:szCs w:val="18"/>
          <w:lang w:val="es-ES_tradnl"/>
        </w:rPr>
        <w:t xml:space="preserve">n con el principio de proporcionalidad, entendiendo a este </w:t>
      </w:r>
      <w:r>
        <w:rPr>
          <w:rFonts w:cs="Times New Roman"/>
          <w:spacing w:val="-7"/>
          <w:sz w:val="18"/>
          <w:szCs w:val="18"/>
          <w:lang w:val="es-ES_tradnl"/>
        </w:rPr>
        <w:t>ú</w:t>
      </w:r>
      <w:r>
        <w:rPr>
          <w:spacing w:val="-7"/>
          <w:sz w:val="18"/>
          <w:szCs w:val="18"/>
          <w:lang w:val="es-ES_tradnl"/>
        </w:rPr>
        <w:t xml:space="preserve">ltimo </w:t>
      </w:r>
      <w:r>
        <w:rPr>
          <w:spacing w:val="-5"/>
          <w:sz w:val="18"/>
          <w:szCs w:val="18"/>
          <w:lang w:val="es-ES_tradnl"/>
        </w:rPr>
        <w:t>como la contribuci</w:t>
      </w:r>
      <w:r>
        <w:rPr>
          <w:rFonts w:cs="Times New Roman"/>
          <w:spacing w:val="-5"/>
          <w:sz w:val="18"/>
          <w:szCs w:val="18"/>
          <w:lang w:val="es-ES_tradnl"/>
        </w:rPr>
        <w:t>ó</w:t>
      </w:r>
      <w:r>
        <w:rPr>
          <w:spacing w:val="-5"/>
          <w:sz w:val="18"/>
          <w:szCs w:val="18"/>
          <w:lang w:val="es-ES_tradnl"/>
        </w:rPr>
        <w:t>n de los sujetos al gasto p</w:t>
      </w:r>
      <w:r>
        <w:rPr>
          <w:rFonts w:cs="Times New Roman"/>
          <w:spacing w:val="-5"/>
          <w:sz w:val="18"/>
          <w:szCs w:val="18"/>
          <w:lang w:val="es-ES_tradnl"/>
        </w:rPr>
        <w:t>ú</w:t>
      </w:r>
      <w:r>
        <w:rPr>
          <w:spacing w:val="-5"/>
          <w:sz w:val="18"/>
          <w:szCs w:val="18"/>
          <w:lang w:val="es-ES_tradnl"/>
        </w:rPr>
        <w:t>blico en funci</w:t>
      </w:r>
      <w:r>
        <w:rPr>
          <w:rFonts w:cs="Times New Roman"/>
          <w:spacing w:val="-5"/>
          <w:sz w:val="18"/>
          <w:szCs w:val="18"/>
          <w:lang w:val="es-ES_tradnl"/>
        </w:rPr>
        <w:t>ó</w:t>
      </w:r>
      <w:r>
        <w:rPr>
          <w:spacing w:val="-5"/>
          <w:sz w:val="18"/>
          <w:szCs w:val="18"/>
          <w:lang w:val="es-ES_tradnl"/>
        </w:rPr>
        <w:t xml:space="preserve">n de la respectiva capacidad contributiva, en cuyo </w:t>
      </w:r>
      <w:r>
        <w:rPr>
          <w:spacing w:val="-11"/>
          <w:sz w:val="18"/>
          <w:szCs w:val="18"/>
          <w:lang w:val="es-ES_tradnl"/>
        </w:rPr>
        <w:t>caso el contribuyente aportar</w:t>
      </w:r>
      <w:r>
        <w:rPr>
          <w:rFonts w:cs="Times New Roman"/>
          <w:spacing w:val="-11"/>
          <w:sz w:val="18"/>
          <w:szCs w:val="18"/>
          <w:lang w:val="es-ES_tradnl"/>
        </w:rPr>
        <w:t>á</w:t>
      </w:r>
      <w:r>
        <w:rPr>
          <w:spacing w:val="-11"/>
          <w:sz w:val="18"/>
          <w:szCs w:val="18"/>
          <w:lang w:val="es-ES_tradnl"/>
        </w:rPr>
        <w:t xml:space="preserve"> una parte justa y adecuada de sus ingresos o utilidades. Para que un tributo guarde armon</w:t>
      </w:r>
      <w:r>
        <w:rPr>
          <w:rFonts w:cs="Times New Roman"/>
          <w:spacing w:val="-11"/>
          <w:sz w:val="18"/>
          <w:szCs w:val="18"/>
          <w:lang w:val="es-ES_tradnl"/>
        </w:rPr>
        <w:t>í</w:t>
      </w:r>
      <w:r>
        <w:rPr>
          <w:spacing w:val="-11"/>
          <w:sz w:val="18"/>
          <w:szCs w:val="18"/>
          <w:lang w:val="es-ES_tradnl"/>
        </w:rPr>
        <w:t xml:space="preserve">a </w:t>
      </w:r>
      <w:r>
        <w:rPr>
          <w:spacing w:val="-6"/>
          <w:sz w:val="18"/>
          <w:szCs w:val="18"/>
          <w:lang w:val="es-ES_tradnl"/>
        </w:rPr>
        <w:t xml:space="preserve">con el principio de proporcionalidad, es necesario que su </w:t>
      </w:r>
      <w:r>
        <w:rPr>
          <w:spacing w:val="-8"/>
          <w:sz w:val="18"/>
          <w:szCs w:val="18"/>
          <w:lang w:val="es-ES_tradnl"/>
        </w:rPr>
        <w:t>tarifa sea fijada en funci</w:t>
      </w:r>
      <w:r>
        <w:rPr>
          <w:rFonts w:cs="Times New Roman"/>
          <w:spacing w:val="-8"/>
          <w:sz w:val="18"/>
          <w:szCs w:val="18"/>
          <w:lang w:val="es-ES_tradnl"/>
        </w:rPr>
        <w:t>ó</w:t>
      </w:r>
      <w:r>
        <w:rPr>
          <w:spacing w:val="-8"/>
          <w:sz w:val="18"/>
          <w:szCs w:val="18"/>
          <w:lang w:val="es-ES_tradnl"/>
        </w:rPr>
        <w:t xml:space="preserve">n de la aptitud para contribuir que </w:t>
      </w:r>
      <w:r>
        <w:rPr>
          <w:spacing w:val="-11"/>
          <w:sz w:val="18"/>
          <w:szCs w:val="18"/>
          <w:lang w:val="es-ES_tradnl"/>
        </w:rPr>
        <w:t>tienen los contribuyentes, pues de esa manera se garantizar</w:t>
      </w:r>
      <w:r>
        <w:rPr>
          <w:rFonts w:cs="Times New Roman"/>
          <w:spacing w:val="-11"/>
          <w:sz w:val="18"/>
          <w:szCs w:val="18"/>
          <w:lang w:val="es-ES_tradnl"/>
        </w:rPr>
        <w:t xml:space="preserve">á </w:t>
      </w:r>
      <w:r>
        <w:rPr>
          <w:spacing w:val="-6"/>
          <w:sz w:val="18"/>
          <w:szCs w:val="18"/>
          <w:lang w:val="es-ES_tradnl"/>
        </w:rPr>
        <w:t>que un tributo sea justo y leg</w:t>
      </w:r>
      <w:r>
        <w:rPr>
          <w:rFonts w:cs="Times New Roman"/>
          <w:spacing w:val="-6"/>
          <w:sz w:val="18"/>
          <w:szCs w:val="18"/>
          <w:lang w:val="es-ES_tradnl"/>
        </w:rPr>
        <w:t>í</w:t>
      </w:r>
      <w:r>
        <w:rPr>
          <w:spacing w:val="-6"/>
          <w:sz w:val="18"/>
          <w:szCs w:val="18"/>
          <w:lang w:val="es-ES_tradnl"/>
        </w:rPr>
        <w:t xml:space="preserve">timo. Bajo esta perspectiva, </w:t>
      </w:r>
      <w:r>
        <w:rPr>
          <w:spacing w:val="-8"/>
          <w:sz w:val="18"/>
          <w:szCs w:val="18"/>
          <w:lang w:val="es-ES_tradnl"/>
        </w:rPr>
        <w:t xml:space="preserve">debe entenderse que la proporcionalidad y equidad deben </w:t>
      </w:r>
      <w:r>
        <w:rPr>
          <w:spacing w:val="-7"/>
          <w:sz w:val="18"/>
          <w:szCs w:val="18"/>
          <w:lang w:val="es-ES_tradnl"/>
        </w:rPr>
        <w:t xml:space="preserve">apreciarse como un solo concepto que denota justicia tributaria, toda vez que el elemento esencial de la equidad </w:t>
      </w:r>
      <w:r>
        <w:rPr>
          <w:spacing w:val="-9"/>
          <w:sz w:val="18"/>
          <w:szCs w:val="18"/>
          <w:lang w:val="es-ES_tradnl"/>
        </w:rPr>
        <w:t xml:space="preserve">en tratar igual a los iguales y desigual a los desiguales, solo </w:t>
      </w:r>
      <w:r>
        <w:rPr>
          <w:spacing w:val="-7"/>
          <w:sz w:val="18"/>
          <w:szCs w:val="18"/>
          <w:lang w:val="es-ES_tradnl"/>
        </w:rPr>
        <w:t xml:space="preserve">puede cumplirse tomando en cuenta la aptitud contributiva </w:t>
      </w:r>
      <w:r>
        <w:rPr>
          <w:sz w:val="18"/>
          <w:szCs w:val="18"/>
          <w:lang w:val="es-ES_tradnl"/>
        </w:rPr>
        <w:t>de los propios contribuyentes del tributo.</w:t>
      </w:r>
    </w:p>
    <w:p w14:paraId="4F67A7B4" w14:textId="77777777" w:rsidR="00591D54" w:rsidRDefault="00591D54">
      <w:pPr>
        <w:shd w:val="clear" w:color="auto" w:fill="FFFFFF"/>
        <w:spacing w:before="192" w:line="216" w:lineRule="exact"/>
        <w:ind w:right="5"/>
        <w:jc w:val="both"/>
      </w:pPr>
      <w:r>
        <w:rPr>
          <w:spacing w:val="-6"/>
          <w:sz w:val="18"/>
          <w:szCs w:val="18"/>
          <w:lang w:val="es-ES_tradnl"/>
        </w:rPr>
        <w:t>Respecto a la relaci</w:t>
      </w:r>
      <w:r>
        <w:rPr>
          <w:rFonts w:cs="Times New Roman"/>
          <w:spacing w:val="-6"/>
          <w:sz w:val="18"/>
          <w:szCs w:val="18"/>
          <w:lang w:val="es-ES_tradnl"/>
        </w:rPr>
        <w:t>ó</w:t>
      </w:r>
      <w:r>
        <w:rPr>
          <w:spacing w:val="-6"/>
          <w:sz w:val="18"/>
          <w:szCs w:val="18"/>
          <w:lang w:val="es-ES_tradnl"/>
        </w:rPr>
        <w:t xml:space="preserve">n existente entre los principios de equidad y proporcionalidad, el jurista Sergio Francisco de </w:t>
      </w:r>
      <w:r>
        <w:rPr>
          <w:spacing w:val="-7"/>
          <w:sz w:val="18"/>
          <w:szCs w:val="18"/>
          <w:lang w:val="es-ES_tradnl"/>
        </w:rPr>
        <w:t>la Garza</w:t>
      </w:r>
      <w:r>
        <w:rPr>
          <w:spacing w:val="-7"/>
          <w:sz w:val="18"/>
          <w:szCs w:val="18"/>
          <w:vertAlign w:val="superscript"/>
          <w:lang w:val="es-ES_tradnl"/>
        </w:rPr>
        <w:t>7</w:t>
      </w:r>
      <w:r>
        <w:rPr>
          <w:spacing w:val="-7"/>
          <w:sz w:val="18"/>
          <w:szCs w:val="18"/>
          <w:lang w:val="es-ES_tradnl"/>
        </w:rPr>
        <w:t xml:space="preserve">, manifiesta que la justicia imperante en materia </w:t>
      </w:r>
      <w:r>
        <w:rPr>
          <w:spacing w:val="-5"/>
          <w:sz w:val="18"/>
          <w:szCs w:val="18"/>
          <w:lang w:val="es-ES_tradnl"/>
        </w:rPr>
        <w:t xml:space="preserve">tributaria es la llamada justicia distributiva, la cual puede traducirse en el </w:t>
      </w:r>
      <w:r>
        <w:rPr>
          <w:rFonts w:cs="Times New Roman"/>
          <w:spacing w:val="-5"/>
          <w:sz w:val="18"/>
          <w:szCs w:val="18"/>
          <w:lang w:val="es-ES_tradnl"/>
        </w:rPr>
        <w:t>á</w:t>
      </w:r>
      <w:r>
        <w:rPr>
          <w:spacing w:val="-5"/>
          <w:sz w:val="18"/>
          <w:szCs w:val="18"/>
          <w:lang w:val="es-ES_tradnl"/>
        </w:rPr>
        <w:t xml:space="preserve">mbito fiscal como un trato igual a los </w:t>
      </w:r>
      <w:r>
        <w:rPr>
          <w:spacing w:val="-10"/>
          <w:sz w:val="18"/>
          <w:szCs w:val="18"/>
          <w:lang w:val="es-ES_tradnl"/>
        </w:rPr>
        <w:t xml:space="preserve">iguales y desigual a los desiguales frente a la carga tributaria </w:t>
      </w:r>
      <w:r>
        <w:rPr>
          <w:spacing w:val="-6"/>
          <w:sz w:val="18"/>
          <w:szCs w:val="18"/>
          <w:lang w:val="es-ES_tradnl"/>
        </w:rPr>
        <w:t xml:space="preserve">(principio de equidad); sin embargo, advierte el tratadista, </w:t>
      </w:r>
      <w:r>
        <w:rPr>
          <w:spacing w:val="-9"/>
          <w:sz w:val="18"/>
          <w:szCs w:val="18"/>
          <w:lang w:val="es-ES_tradnl"/>
        </w:rPr>
        <w:t xml:space="preserve">tal postulado no se puede cumplir si no se toman en cuenta </w:t>
      </w:r>
      <w:r>
        <w:rPr>
          <w:spacing w:val="-7"/>
          <w:sz w:val="18"/>
          <w:szCs w:val="18"/>
          <w:lang w:val="es-ES_tradnl"/>
        </w:rPr>
        <w:t xml:space="preserve">las distintas capacidades contributivas de los sujetos, es </w:t>
      </w:r>
      <w:r>
        <w:rPr>
          <w:spacing w:val="-5"/>
          <w:sz w:val="18"/>
          <w:szCs w:val="18"/>
          <w:lang w:val="es-ES_tradnl"/>
        </w:rPr>
        <w:t>decir, aplicando el principio de proporcionalidad.</w:t>
      </w:r>
    </w:p>
    <w:p w14:paraId="4F67A7B5" w14:textId="77777777" w:rsidR="00591D54" w:rsidRDefault="00591D54">
      <w:pPr>
        <w:shd w:val="clear" w:color="auto" w:fill="FFFFFF"/>
        <w:spacing w:before="192" w:line="216" w:lineRule="exact"/>
        <w:jc w:val="both"/>
      </w:pPr>
      <w:r>
        <w:rPr>
          <w:spacing w:val="-6"/>
          <w:sz w:val="18"/>
          <w:szCs w:val="18"/>
          <w:lang w:val="es-ES_tradnl"/>
        </w:rPr>
        <w:t>Asimismo, el principio de equidad guarda directa relaci</w:t>
      </w:r>
      <w:r>
        <w:rPr>
          <w:rFonts w:cs="Times New Roman"/>
          <w:spacing w:val="-6"/>
          <w:sz w:val="18"/>
          <w:szCs w:val="18"/>
          <w:lang w:val="es-ES_tradnl"/>
        </w:rPr>
        <w:t>ó</w:t>
      </w:r>
      <w:r>
        <w:rPr>
          <w:spacing w:val="-6"/>
          <w:sz w:val="18"/>
          <w:szCs w:val="18"/>
          <w:lang w:val="es-ES_tradnl"/>
        </w:rPr>
        <w:t xml:space="preserve">n </w:t>
      </w:r>
      <w:r>
        <w:rPr>
          <w:spacing w:val="-8"/>
          <w:sz w:val="18"/>
          <w:szCs w:val="18"/>
          <w:lang w:val="es-ES_tradnl"/>
        </w:rPr>
        <w:t>con el principio de no confiscatoriedad, el cual desarrolla el concepto de establecer un l</w:t>
      </w:r>
      <w:r>
        <w:rPr>
          <w:rFonts w:cs="Times New Roman"/>
          <w:spacing w:val="-8"/>
          <w:sz w:val="18"/>
          <w:szCs w:val="18"/>
          <w:lang w:val="es-ES_tradnl"/>
        </w:rPr>
        <w:t>í</w:t>
      </w:r>
      <w:r>
        <w:rPr>
          <w:spacing w:val="-8"/>
          <w:sz w:val="18"/>
          <w:szCs w:val="18"/>
          <w:lang w:val="es-ES_tradnl"/>
        </w:rPr>
        <w:t>mite entre cumplir con la carga tributaria bajo una capacidad contributiva y que dicha carga sobrepase la capacidad econ</w:t>
      </w:r>
      <w:r>
        <w:rPr>
          <w:rFonts w:cs="Times New Roman"/>
          <w:spacing w:val="-8"/>
          <w:sz w:val="18"/>
          <w:szCs w:val="18"/>
          <w:lang w:val="es-ES_tradnl"/>
        </w:rPr>
        <w:t>ó</w:t>
      </w:r>
      <w:r>
        <w:rPr>
          <w:spacing w:val="-8"/>
          <w:sz w:val="18"/>
          <w:szCs w:val="18"/>
          <w:lang w:val="es-ES_tradnl"/>
        </w:rPr>
        <w:t xml:space="preserve">mica del contribuyente, en </w:t>
      </w:r>
      <w:r>
        <w:rPr>
          <w:spacing w:val="-7"/>
          <w:sz w:val="18"/>
          <w:szCs w:val="18"/>
          <w:lang w:val="es-ES_tradnl"/>
        </w:rPr>
        <w:t xml:space="preserve">cuyo caso el desprendimiento patrimonial que se produce </w:t>
      </w:r>
      <w:r>
        <w:rPr>
          <w:spacing w:val="-6"/>
          <w:sz w:val="18"/>
          <w:szCs w:val="18"/>
          <w:lang w:val="es-ES_tradnl"/>
        </w:rPr>
        <w:t>en el cumplimiento de la obligaci</w:t>
      </w:r>
      <w:r>
        <w:rPr>
          <w:rFonts w:cs="Times New Roman"/>
          <w:spacing w:val="-6"/>
          <w:sz w:val="18"/>
          <w:szCs w:val="18"/>
          <w:lang w:val="es-ES_tradnl"/>
        </w:rPr>
        <w:t>ó</w:t>
      </w:r>
      <w:r>
        <w:rPr>
          <w:spacing w:val="-6"/>
          <w:sz w:val="18"/>
          <w:szCs w:val="18"/>
          <w:lang w:val="es-ES_tradnl"/>
        </w:rPr>
        <w:t xml:space="preserve">n tributaria se convierte </w:t>
      </w:r>
      <w:r>
        <w:rPr>
          <w:spacing w:val="-4"/>
          <w:sz w:val="18"/>
          <w:szCs w:val="18"/>
          <w:lang w:val="es-ES_tradnl"/>
        </w:rPr>
        <w:t xml:space="preserve">en confiscatorio, es decir, limitando y restringiendo la </w:t>
      </w:r>
      <w:r>
        <w:rPr>
          <w:spacing w:val="-6"/>
          <w:sz w:val="18"/>
          <w:szCs w:val="18"/>
          <w:lang w:val="es-ES_tradnl"/>
        </w:rPr>
        <w:t>propiedad de los contribuyentes. Para el tratadista H</w:t>
      </w:r>
      <w:r>
        <w:rPr>
          <w:rFonts w:cs="Times New Roman"/>
          <w:spacing w:val="-6"/>
          <w:sz w:val="18"/>
          <w:szCs w:val="18"/>
          <w:lang w:val="es-ES_tradnl"/>
        </w:rPr>
        <w:t>é</w:t>
      </w:r>
      <w:r>
        <w:rPr>
          <w:spacing w:val="-6"/>
          <w:sz w:val="18"/>
          <w:szCs w:val="18"/>
          <w:lang w:val="es-ES_tradnl"/>
        </w:rPr>
        <w:t>ctor</w:t>
      </w:r>
    </w:p>
    <w:p w14:paraId="4F67A7B6" w14:textId="77777777" w:rsidR="00591D54" w:rsidRDefault="00591D54">
      <w:pPr>
        <w:shd w:val="clear" w:color="auto" w:fill="FFFFFF"/>
        <w:tabs>
          <w:tab w:val="left" w:pos="139"/>
        </w:tabs>
        <w:spacing w:before="595"/>
      </w:pPr>
      <w:r>
        <w:rPr>
          <w:sz w:val="10"/>
          <w:szCs w:val="10"/>
          <w:vertAlign w:val="superscript"/>
          <w:lang w:val="es-ES_tradnl"/>
        </w:rPr>
        <w:t>6</w:t>
      </w:r>
      <w:r>
        <w:rPr>
          <w:sz w:val="18"/>
          <w:szCs w:val="18"/>
          <w:lang w:val="es-ES_tradnl"/>
        </w:rPr>
        <w:tab/>
      </w:r>
      <w:r>
        <w:rPr>
          <w:spacing w:val="-2"/>
          <w:sz w:val="14"/>
          <w:szCs w:val="14"/>
          <w:lang w:val="es-ES_tradnl"/>
        </w:rPr>
        <w:t>Ib</w:t>
      </w:r>
      <w:r>
        <w:rPr>
          <w:rFonts w:cs="Times New Roman"/>
          <w:spacing w:val="-2"/>
          <w:sz w:val="14"/>
          <w:szCs w:val="14"/>
          <w:lang w:val="es-ES_tradnl"/>
        </w:rPr>
        <w:t>í</w:t>
      </w:r>
      <w:r>
        <w:rPr>
          <w:spacing w:val="-2"/>
          <w:sz w:val="14"/>
          <w:szCs w:val="14"/>
          <w:lang w:val="es-ES_tradnl"/>
        </w:rPr>
        <w:t>dem,</w:t>
      </w:r>
      <w:r>
        <w:rPr>
          <w:spacing w:val="-2"/>
          <w:sz w:val="18"/>
          <w:szCs w:val="18"/>
          <w:lang w:val="es-ES_tradnl"/>
        </w:rPr>
        <w:t xml:space="preserve"> </w:t>
      </w:r>
      <w:r>
        <w:rPr>
          <w:spacing w:val="-2"/>
          <w:sz w:val="14"/>
          <w:szCs w:val="14"/>
          <w:lang w:val="es-ES_tradnl"/>
        </w:rPr>
        <w:t>P</w:t>
      </w:r>
      <w:r>
        <w:rPr>
          <w:rFonts w:cs="Times New Roman"/>
          <w:spacing w:val="-2"/>
          <w:sz w:val="14"/>
          <w:szCs w:val="14"/>
          <w:lang w:val="es-ES_tradnl"/>
        </w:rPr>
        <w:t>á</w:t>
      </w:r>
      <w:r>
        <w:rPr>
          <w:spacing w:val="-2"/>
          <w:sz w:val="14"/>
          <w:szCs w:val="14"/>
          <w:lang w:val="es-ES_tradnl"/>
        </w:rPr>
        <w:t>g.</w:t>
      </w:r>
      <w:r>
        <w:rPr>
          <w:spacing w:val="-2"/>
          <w:sz w:val="18"/>
          <w:szCs w:val="18"/>
          <w:lang w:val="es-ES_tradnl"/>
        </w:rPr>
        <w:t xml:space="preserve"> </w:t>
      </w:r>
      <w:r>
        <w:rPr>
          <w:spacing w:val="-2"/>
          <w:sz w:val="14"/>
          <w:szCs w:val="14"/>
          <w:lang w:val="es-ES_tradnl"/>
        </w:rPr>
        <w:t>276.</w:t>
      </w:r>
    </w:p>
    <w:p w14:paraId="4F67A7B7" w14:textId="77777777" w:rsidR="00591D54" w:rsidRDefault="00591D54">
      <w:pPr>
        <w:shd w:val="clear" w:color="auto" w:fill="FFFFFF"/>
        <w:tabs>
          <w:tab w:val="left" w:pos="139"/>
        </w:tabs>
        <w:spacing w:before="149" w:line="178" w:lineRule="exact"/>
        <w:ind w:left="139" w:hanging="139"/>
      </w:pPr>
      <w:r>
        <w:rPr>
          <w:sz w:val="10"/>
          <w:szCs w:val="10"/>
          <w:vertAlign w:val="superscript"/>
          <w:lang w:val="es-ES_tradnl"/>
        </w:rPr>
        <w:t>7</w:t>
      </w:r>
      <w:r>
        <w:rPr>
          <w:sz w:val="18"/>
          <w:szCs w:val="18"/>
          <w:lang w:val="es-ES_tradnl"/>
        </w:rPr>
        <w:tab/>
      </w:r>
      <w:r>
        <w:rPr>
          <w:sz w:val="14"/>
          <w:szCs w:val="14"/>
          <w:lang w:val="es-ES_tradnl"/>
        </w:rPr>
        <w:t>Sergio</w:t>
      </w:r>
      <w:r>
        <w:rPr>
          <w:sz w:val="18"/>
          <w:szCs w:val="18"/>
          <w:lang w:val="es-ES_tradnl"/>
        </w:rPr>
        <w:t xml:space="preserve">  </w:t>
      </w:r>
      <w:r>
        <w:rPr>
          <w:sz w:val="14"/>
          <w:szCs w:val="14"/>
          <w:lang w:val="es-ES_tradnl"/>
        </w:rPr>
        <w:t>Francisco</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la</w:t>
      </w:r>
      <w:r>
        <w:rPr>
          <w:sz w:val="18"/>
          <w:szCs w:val="18"/>
          <w:lang w:val="es-ES_tradnl"/>
        </w:rPr>
        <w:t xml:space="preserve">  </w:t>
      </w:r>
      <w:r>
        <w:rPr>
          <w:sz w:val="14"/>
          <w:szCs w:val="14"/>
          <w:lang w:val="es-ES_tradnl"/>
        </w:rPr>
        <w:t>Garza,</w:t>
      </w:r>
      <w:r>
        <w:rPr>
          <w:sz w:val="18"/>
          <w:szCs w:val="18"/>
          <w:lang w:val="es-ES_tradnl"/>
        </w:rPr>
        <w:t xml:space="preserve">  </w:t>
      </w:r>
      <w:r>
        <w:rPr>
          <w:i/>
          <w:iCs/>
          <w:sz w:val="14"/>
          <w:szCs w:val="14"/>
          <w:lang w:val="es-ES_tradnl"/>
        </w:rPr>
        <w:t>Derecho</w:t>
      </w:r>
      <w:r>
        <w:rPr>
          <w:i/>
          <w:iCs/>
          <w:sz w:val="18"/>
          <w:szCs w:val="18"/>
          <w:lang w:val="es-ES_tradnl"/>
        </w:rPr>
        <w:t xml:space="preserve">   </w:t>
      </w:r>
      <w:r>
        <w:rPr>
          <w:i/>
          <w:iCs/>
          <w:sz w:val="14"/>
          <w:szCs w:val="14"/>
          <w:lang w:val="es-ES_tradnl"/>
        </w:rPr>
        <w:t>Financiero</w:t>
      </w:r>
      <w:r>
        <w:rPr>
          <w:i/>
          <w:iCs/>
          <w:sz w:val="18"/>
          <w:szCs w:val="18"/>
          <w:lang w:val="es-ES_tradnl"/>
        </w:rPr>
        <w:t xml:space="preserve">  </w:t>
      </w:r>
      <w:r>
        <w:rPr>
          <w:i/>
          <w:iCs/>
          <w:sz w:val="14"/>
          <w:szCs w:val="14"/>
          <w:lang w:val="es-ES_tradnl"/>
        </w:rPr>
        <w:t>Mexicano</w:t>
      </w:r>
      <w:r>
        <w:rPr>
          <w:sz w:val="14"/>
          <w:szCs w:val="14"/>
          <w:lang w:val="es-ES_tradnl"/>
        </w:rPr>
        <w:t>, Editorial Porr</w:t>
      </w:r>
      <w:r>
        <w:rPr>
          <w:rFonts w:cs="Times New Roman"/>
          <w:sz w:val="14"/>
          <w:szCs w:val="14"/>
          <w:lang w:val="es-ES_tradnl"/>
        </w:rPr>
        <w:t>ú</w:t>
      </w:r>
      <w:r>
        <w:rPr>
          <w:sz w:val="14"/>
          <w:szCs w:val="14"/>
          <w:lang w:val="es-ES_tradnl"/>
        </w:rPr>
        <w:t>a, M</w:t>
      </w:r>
      <w:r>
        <w:rPr>
          <w:rFonts w:cs="Times New Roman"/>
          <w:sz w:val="14"/>
          <w:szCs w:val="14"/>
          <w:lang w:val="es-ES_tradnl"/>
        </w:rPr>
        <w:t>é</w:t>
      </w:r>
      <w:r>
        <w:rPr>
          <w:sz w:val="14"/>
          <w:szCs w:val="14"/>
          <w:lang w:val="es-ES_tradnl"/>
        </w:rPr>
        <w:t>xico, 1994, P</w:t>
      </w:r>
      <w:r>
        <w:rPr>
          <w:rFonts w:cs="Times New Roman"/>
          <w:sz w:val="14"/>
          <w:szCs w:val="14"/>
          <w:lang w:val="es-ES_tradnl"/>
        </w:rPr>
        <w:t>á</w:t>
      </w:r>
      <w:r>
        <w:rPr>
          <w:sz w:val="14"/>
          <w:szCs w:val="14"/>
          <w:lang w:val="es-ES_tradnl"/>
        </w:rPr>
        <w:t>g. 135.</w:t>
      </w:r>
    </w:p>
    <w:p w14:paraId="4F67A7B8" w14:textId="77777777" w:rsidR="00591D54" w:rsidRDefault="00591D54">
      <w:pPr>
        <w:shd w:val="clear" w:color="auto" w:fill="FFFFFF"/>
        <w:spacing w:line="216" w:lineRule="exact"/>
        <w:ind w:right="5"/>
        <w:jc w:val="both"/>
      </w:pPr>
      <w:r>
        <w:br w:type="column"/>
      </w:r>
      <w:r>
        <w:rPr>
          <w:spacing w:val="-5"/>
          <w:sz w:val="18"/>
          <w:szCs w:val="18"/>
          <w:lang w:val="es-ES_tradnl"/>
        </w:rPr>
        <w:t>Villegas</w:t>
      </w:r>
      <w:r>
        <w:rPr>
          <w:spacing w:val="-5"/>
          <w:sz w:val="18"/>
          <w:szCs w:val="18"/>
          <w:vertAlign w:val="superscript"/>
          <w:lang w:val="es-ES_tradnl"/>
        </w:rPr>
        <w:t>8</w:t>
      </w:r>
      <w:r>
        <w:rPr>
          <w:spacing w:val="-5"/>
          <w:sz w:val="18"/>
          <w:szCs w:val="18"/>
          <w:lang w:val="es-ES_tradnl"/>
        </w:rPr>
        <w:t xml:space="preserve">, la posibilidad de utilizar de manera ilimitada la </w:t>
      </w:r>
      <w:r>
        <w:rPr>
          <w:spacing w:val="-4"/>
          <w:sz w:val="18"/>
          <w:szCs w:val="18"/>
          <w:lang w:val="es-ES_tradnl"/>
        </w:rPr>
        <w:t>potestad tributaria en la creaci</w:t>
      </w:r>
      <w:r>
        <w:rPr>
          <w:rFonts w:cs="Times New Roman"/>
          <w:spacing w:val="-4"/>
          <w:sz w:val="18"/>
          <w:szCs w:val="18"/>
          <w:lang w:val="es-ES_tradnl"/>
        </w:rPr>
        <w:t>ó</w:t>
      </w:r>
      <w:r>
        <w:rPr>
          <w:spacing w:val="-4"/>
          <w:sz w:val="18"/>
          <w:szCs w:val="18"/>
          <w:lang w:val="es-ES_tradnl"/>
        </w:rPr>
        <w:t>n de tributos y la fijaci</w:t>
      </w:r>
      <w:r>
        <w:rPr>
          <w:rFonts w:cs="Times New Roman"/>
          <w:spacing w:val="-4"/>
          <w:sz w:val="18"/>
          <w:szCs w:val="18"/>
          <w:lang w:val="es-ES_tradnl"/>
        </w:rPr>
        <w:t>ó</w:t>
      </w:r>
      <w:r>
        <w:rPr>
          <w:spacing w:val="-4"/>
          <w:sz w:val="18"/>
          <w:szCs w:val="18"/>
          <w:lang w:val="es-ES_tradnl"/>
        </w:rPr>
        <w:t xml:space="preserve">n </w:t>
      </w:r>
      <w:r>
        <w:rPr>
          <w:spacing w:val="-7"/>
          <w:sz w:val="18"/>
          <w:szCs w:val="18"/>
          <w:lang w:val="es-ES_tradnl"/>
        </w:rPr>
        <w:t>de su cuant</w:t>
      </w:r>
      <w:r>
        <w:rPr>
          <w:rFonts w:cs="Times New Roman"/>
          <w:spacing w:val="-7"/>
          <w:sz w:val="18"/>
          <w:szCs w:val="18"/>
          <w:lang w:val="es-ES_tradnl"/>
        </w:rPr>
        <w:t>í</w:t>
      </w:r>
      <w:r>
        <w:rPr>
          <w:spacing w:val="-7"/>
          <w:sz w:val="18"/>
          <w:szCs w:val="18"/>
          <w:lang w:val="es-ES_tradnl"/>
        </w:rPr>
        <w:t xml:space="preserve">a, implica la posibilidad de convertir a la carga fiscal en un despojo e irrespeto al derecho a la propiedad, capaz de afectar la capacidad de ahorro y el progreso </w:t>
      </w:r>
      <w:r>
        <w:rPr>
          <w:spacing w:val="-9"/>
          <w:sz w:val="18"/>
          <w:szCs w:val="18"/>
          <w:lang w:val="es-ES_tradnl"/>
        </w:rPr>
        <w:t>econ</w:t>
      </w:r>
      <w:r>
        <w:rPr>
          <w:rFonts w:cs="Times New Roman"/>
          <w:spacing w:val="-9"/>
          <w:sz w:val="18"/>
          <w:szCs w:val="18"/>
          <w:lang w:val="es-ES_tradnl"/>
        </w:rPr>
        <w:t>ó</w:t>
      </w:r>
      <w:r>
        <w:rPr>
          <w:spacing w:val="-9"/>
          <w:sz w:val="18"/>
          <w:szCs w:val="18"/>
          <w:lang w:val="es-ES_tradnl"/>
        </w:rPr>
        <w:t>mico con el que deben contar las personas.</w:t>
      </w:r>
    </w:p>
    <w:p w14:paraId="4F67A7B9" w14:textId="77777777" w:rsidR="00591D54" w:rsidRDefault="00591D54">
      <w:pPr>
        <w:shd w:val="clear" w:color="auto" w:fill="FFFFFF"/>
        <w:spacing w:before="197" w:line="216" w:lineRule="exact"/>
        <w:ind w:right="5"/>
        <w:jc w:val="both"/>
      </w:pPr>
      <w:r>
        <w:rPr>
          <w:spacing w:val="-6"/>
          <w:sz w:val="18"/>
          <w:szCs w:val="18"/>
          <w:lang w:val="es-ES_tradnl"/>
        </w:rPr>
        <w:t xml:space="preserve">Bajo esta perspectiva, el principio de no confiscatoriedad debe evaluarse desde un punto de vista cualitativo y </w:t>
      </w:r>
      <w:r>
        <w:rPr>
          <w:spacing w:val="-8"/>
          <w:sz w:val="18"/>
          <w:szCs w:val="18"/>
          <w:lang w:val="es-ES_tradnl"/>
        </w:rPr>
        <w:t xml:space="preserve">cuantitativo: es cualitativo cuando se restringe la propiedad </w:t>
      </w:r>
      <w:r>
        <w:rPr>
          <w:spacing w:val="-6"/>
          <w:sz w:val="18"/>
          <w:szCs w:val="18"/>
          <w:lang w:val="es-ES_tradnl"/>
        </w:rPr>
        <w:t>de manera ileg</w:t>
      </w:r>
      <w:r>
        <w:rPr>
          <w:rFonts w:cs="Times New Roman"/>
          <w:spacing w:val="-6"/>
          <w:sz w:val="18"/>
          <w:szCs w:val="18"/>
          <w:lang w:val="es-ES_tradnl"/>
        </w:rPr>
        <w:t>í</w:t>
      </w:r>
      <w:r>
        <w:rPr>
          <w:spacing w:val="-6"/>
          <w:sz w:val="18"/>
          <w:szCs w:val="18"/>
          <w:lang w:val="es-ES_tradnl"/>
        </w:rPr>
        <w:t xml:space="preserve">tima, por ejemplo, cuando nace un tributo </w:t>
      </w:r>
      <w:r>
        <w:rPr>
          <w:spacing w:val="-7"/>
          <w:sz w:val="18"/>
          <w:szCs w:val="18"/>
          <w:lang w:val="es-ES_tradnl"/>
        </w:rPr>
        <w:t xml:space="preserve">en inobservancia al principio de legalidad, en cuyo caso el </w:t>
      </w:r>
      <w:r>
        <w:rPr>
          <w:spacing w:val="-6"/>
          <w:sz w:val="18"/>
          <w:szCs w:val="18"/>
          <w:lang w:val="es-ES_tradnl"/>
        </w:rPr>
        <w:t>cobro del tributo no ten</w:t>
      </w:r>
      <w:r>
        <w:rPr>
          <w:rFonts w:cs="Times New Roman"/>
          <w:spacing w:val="-6"/>
          <w:sz w:val="18"/>
          <w:szCs w:val="18"/>
          <w:lang w:val="es-ES_tradnl"/>
        </w:rPr>
        <w:t>í</w:t>
      </w:r>
      <w:r>
        <w:rPr>
          <w:spacing w:val="-6"/>
          <w:sz w:val="18"/>
          <w:szCs w:val="18"/>
          <w:lang w:val="es-ES_tradnl"/>
        </w:rPr>
        <w:t>a raz</w:t>
      </w:r>
      <w:r>
        <w:rPr>
          <w:rFonts w:cs="Times New Roman"/>
          <w:spacing w:val="-6"/>
          <w:sz w:val="18"/>
          <w:szCs w:val="18"/>
          <w:lang w:val="es-ES_tradnl"/>
        </w:rPr>
        <w:t>ó</w:t>
      </w:r>
      <w:r>
        <w:rPr>
          <w:spacing w:val="-6"/>
          <w:sz w:val="18"/>
          <w:szCs w:val="18"/>
          <w:lang w:val="es-ES_tradnl"/>
        </w:rPr>
        <w:t xml:space="preserve">n de ser. Por otro lado, es </w:t>
      </w:r>
      <w:r>
        <w:rPr>
          <w:spacing w:val="-7"/>
          <w:sz w:val="18"/>
          <w:szCs w:val="18"/>
          <w:lang w:val="es-ES_tradnl"/>
        </w:rPr>
        <w:t xml:space="preserve">cuantitativo cuando la carga tributaria es tan onerosa para </w:t>
      </w:r>
      <w:r>
        <w:rPr>
          <w:spacing w:val="-6"/>
          <w:sz w:val="18"/>
          <w:szCs w:val="18"/>
          <w:lang w:val="es-ES_tradnl"/>
        </w:rPr>
        <w:t xml:space="preserve">el contribuyente que le obliga a sustraer de su patrimonio </w:t>
      </w:r>
      <w:r>
        <w:rPr>
          <w:spacing w:val="-8"/>
          <w:sz w:val="18"/>
          <w:szCs w:val="18"/>
          <w:lang w:val="es-ES_tradnl"/>
        </w:rPr>
        <w:t>un porcentaje sustancial, desconoci</w:t>
      </w:r>
      <w:r>
        <w:rPr>
          <w:rFonts w:cs="Times New Roman"/>
          <w:spacing w:val="-8"/>
          <w:sz w:val="18"/>
          <w:szCs w:val="18"/>
          <w:lang w:val="es-ES_tradnl"/>
        </w:rPr>
        <w:t>é</w:t>
      </w:r>
      <w:r>
        <w:rPr>
          <w:spacing w:val="-8"/>
          <w:sz w:val="18"/>
          <w:szCs w:val="18"/>
          <w:lang w:val="es-ES_tradnl"/>
        </w:rPr>
        <w:t xml:space="preserve">ndose por un lado su </w:t>
      </w:r>
      <w:r>
        <w:rPr>
          <w:spacing w:val="-9"/>
          <w:sz w:val="18"/>
          <w:szCs w:val="18"/>
          <w:lang w:val="es-ES_tradnl"/>
        </w:rPr>
        <w:t xml:space="preserve">capacidad contributiva, y por otro, limitando al contribuyente </w:t>
      </w:r>
      <w:r>
        <w:rPr>
          <w:spacing w:val="-3"/>
          <w:sz w:val="18"/>
          <w:szCs w:val="18"/>
          <w:lang w:val="es-ES_tradnl"/>
        </w:rPr>
        <w:t>la posibilidad de ahorro y de bienestar econ</w:t>
      </w:r>
      <w:r>
        <w:rPr>
          <w:rFonts w:cs="Times New Roman"/>
          <w:spacing w:val="-3"/>
          <w:sz w:val="18"/>
          <w:szCs w:val="18"/>
          <w:lang w:val="es-ES_tradnl"/>
        </w:rPr>
        <w:t>ó</w:t>
      </w:r>
      <w:r>
        <w:rPr>
          <w:spacing w:val="-3"/>
          <w:sz w:val="18"/>
          <w:szCs w:val="18"/>
          <w:lang w:val="es-ES_tradnl"/>
        </w:rPr>
        <w:t xml:space="preserve">mico. Ante </w:t>
      </w:r>
      <w:r>
        <w:rPr>
          <w:spacing w:val="-5"/>
          <w:sz w:val="18"/>
          <w:szCs w:val="18"/>
          <w:lang w:val="es-ES_tradnl"/>
        </w:rPr>
        <w:t xml:space="preserve">la inobservancia de este principio tributario, marcado por </w:t>
      </w:r>
      <w:r>
        <w:rPr>
          <w:spacing w:val="-6"/>
          <w:sz w:val="18"/>
          <w:szCs w:val="18"/>
          <w:lang w:val="es-ES_tradnl"/>
        </w:rPr>
        <w:t xml:space="preserve">el cobro excesivo y desproporcionado de un tributo, se restringe en el mismo los ideales de justicia y legitimidad </w:t>
      </w:r>
      <w:r>
        <w:rPr>
          <w:spacing w:val="-8"/>
          <w:sz w:val="18"/>
          <w:szCs w:val="18"/>
          <w:lang w:val="es-ES_tradnl"/>
        </w:rPr>
        <w:t>que deben primar en un tributo, afect</w:t>
      </w:r>
      <w:r>
        <w:rPr>
          <w:rFonts w:cs="Times New Roman"/>
          <w:spacing w:val="-8"/>
          <w:sz w:val="18"/>
          <w:szCs w:val="18"/>
          <w:lang w:val="es-ES_tradnl"/>
        </w:rPr>
        <w:t>á</w:t>
      </w:r>
      <w:r>
        <w:rPr>
          <w:spacing w:val="-8"/>
          <w:sz w:val="18"/>
          <w:szCs w:val="18"/>
          <w:lang w:val="es-ES_tradnl"/>
        </w:rPr>
        <w:t>ndose as</w:t>
      </w:r>
      <w:r>
        <w:rPr>
          <w:rFonts w:cs="Times New Roman"/>
          <w:spacing w:val="-8"/>
          <w:sz w:val="18"/>
          <w:szCs w:val="18"/>
          <w:lang w:val="es-ES_tradnl"/>
        </w:rPr>
        <w:t>í</w:t>
      </w:r>
      <w:r>
        <w:rPr>
          <w:spacing w:val="-8"/>
          <w:sz w:val="18"/>
          <w:szCs w:val="18"/>
          <w:lang w:val="es-ES_tradnl"/>
        </w:rPr>
        <w:t xml:space="preserve"> el principio </w:t>
      </w:r>
      <w:r>
        <w:rPr>
          <w:sz w:val="18"/>
          <w:szCs w:val="18"/>
          <w:lang w:val="es-ES_tradnl"/>
        </w:rPr>
        <w:t>de equidad.</w:t>
      </w:r>
    </w:p>
    <w:p w14:paraId="4F67A7BA" w14:textId="77777777" w:rsidR="00591D54" w:rsidRDefault="00591D54">
      <w:pPr>
        <w:shd w:val="clear" w:color="auto" w:fill="FFFFFF"/>
        <w:spacing w:before="197" w:line="216" w:lineRule="exact"/>
        <w:ind w:right="5"/>
        <w:jc w:val="both"/>
      </w:pPr>
      <w:r>
        <w:rPr>
          <w:spacing w:val="-5"/>
          <w:sz w:val="18"/>
          <w:szCs w:val="18"/>
          <w:lang w:val="es-ES_tradnl"/>
        </w:rPr>
        <w:t xml:space="preserve">Finalmente, como </w:t>
      </w:r>
      <w:r>
        <w:rPr>
          <w:rFonts w:cs="Times New Roman"/>
          <w:spacing w:val="-5"/>
          <w:sz w:val="18"/>
          <w:szCs w:val="18"/>
          <w:lang w:val="es-ES_tradnl"/>
        </w:rPr>
        <w:t>ú</w:t>
      </w:r>
      <w:r>
        <w:rPr>
          <w:spacing w:val="-5"/>
          <w:sz w:val="18"/>
          <w:szCs w:val="18"/>
          <w:lang w:val="es-ES_tradnl"/>
        </w:rPr>
        <w:t xml:space="preserve">ltimo principio tributario directamente </w:t>
      </w:r>
      <w:r>
        <w:rPr>
          <w:spacing w:val="-4"/>
          <w:sz w:val="18"/>
          <w:szCs w:val="18"/>
          <w:lang w:val="es-ES_tradnl"/>
        </w:rPr>
        <w:t>relacionado con el principio de equidad, est</w:t>
      </w:r>
      <w:r>
        <w:rPr>
          <w:rFonts w:cs="Times New Roman"/>
          <w:spacing w:val="-4"/>
          <w:sz w:val="18"/>
          <w:szCs w:val="18"/>
          <w:lang w:val="es-ES_tradnl"/>
        </w:rPr>
        <w:t>á</w:t>
      </w:r>
      <w:r>
        <w:rPr>
          <w:spacing w:val="-4"/>
          <w:sz w:val="18"/>
          <w:szCs w:val="18"/>
          <w:lang w:val="es-ES_tradnl"/>
        </w:rPr>
        <w:t xml:space="preserve"> el de </w:t>
      </w:r>
      <w:r>
        <w:rPr>
          <w:spacing w:val="-3"/>
          <w:sz w:val="18"/>
          <w:szCs w:val="18"/>
          <w:lang w:val="es-ES_tradnl"/>
        </w:rPr>
        <w:t>razonabilidad. Como bien lo explica el jurista H</w:t>
      </w:r>
      <w:r>
        <w:rPr>
          <w:rFonts w:cs="Times New Roman"/>
          <w:spacing w:val="-3"/>
          <w:sz w:val="18"/>
          <w:szCs w:val="18"/>
          <w:lang w:val="es-ES_tradnl"/>
        </w:rPr>
        <w:t>é</w:t>
      </w:r>
      <w:r>
        <w:rPr>
          <w:spacing w:val="-3"/>
          <w:sz w:val="18"/>
          <w:szCs w:val="18"/>
          <w:lang w:val="es-ES_tradnl"/>
        </w:rPr>
        <w:t xml:space="preserve">ctor </w:t>
      </w:r>
      <w:r>
        <w:rPr>
          <w:sz w:val="18"/>
          <w:szCs w:val="18"/>
          <w:lang w:val="es-ES_tradnl"/>
        </w:rPr>
        <w:t>Villegas:</w:t>
      </w:r>
    </w:p>
    <w:p w14:paraId="4F67A7BB" w14:textId="77777777" w:rsidR="00591D54" w:rsidRDefault="00591D54">
      <w:pPr>
        <w:shd w:val="clear" w:color="auto" w:fill="FFFFFF"/>
        <w:spacing w:before="202" w:line="211" w:lineRule="exact"/>
        <w:ind w:left="283" w:right="5"/>
        <w:jc w:val="both"/>
      </w:pPr>
      <w:r>
        <w:rPr>
          <w:sz w:val="14"/>
          <w:szCs w:val="14"/>
          <w:lang w:val="es-ES_tradnl"/>
        </w:rPr>
        <w:t>La razonabilidad del tributo no es otra cosa que la exigencia de dicho tributo sea formalmente legal e intr</w:t>
      </w:r>
      <w:r>
        <w:rPr>
          <w:rFonts w:cs="Times New Roman"/>
          <w:sz w:val="14"/>
          <w:szCs w:val="14"/>
          <w:lang w:val="es-ES_tradnl"/>
        </w:rPr>
        <w:t>í</w:t>
      </w:r>
      <w:r>
        <w:rPr>
          <w:sz w:val="14"/>
          <w:szCs w:val="14"/>
          <w:lang w:val="es-ES_tradnl"/>
        </w:rPr>
        <w:t>nsecamente justo. En cuento a la razonabilidad como elemento que integra o complementa las garant</w:t>
      </w:r>
      <w:r>
        <w:rPr>
          <w:rFonts w:cs="Times New Roman"/>
          <w:sz w:val="14"/>
          <w:szCs w:val="14"/>
          <w:lang w:val="es-ES_tradnl"/>
        </w:rPr>
        <w:t>í</w:t>
      </w:r>
      <w:r>
        <w:rPr>
          <w:sz w:val="14"/>
          <w:szCs w:val="14"/>
          <w:lang w:val="es-ES_tradnl"/>
        </w:rPr>
        <w:t>as expl</w:t>
      </w:r>
      <w:r>
        <w:rPr>
          <w:rFonts w:cs="Times New Roman"/>
          <w:sz w:val="14"/>
          <w:szCs w:val="14"/>
          <w:lang w:val="es-ES_tradnl"/>
        </w:rPr>
        <w:t>í</w:t>
      </w:r>
      <w:r>
        <w:rPr>
          <w:sz w:val="14"/>
          <w:szCs w:val="14"/>
          <w:lang w:val="es-ES_tradnl"/>
        </w:rPr>
        <w:t>citas del contribuyente, ello suceder</w:t>
      </w:r>
      <w:r>
        <w:rPr>
          <w:rFonts w:cs="Times New Roman"/>
          <w:sz w:val="14"/>
          <w:szCs w:val="14"/>
          <w:lang w:val="es-ES_tradnl"/>
        </w:rPr>
        <w:t>á</w:t>
      </w:r>
      <w:r>
        <w:rPr>
          <w:sz w:val="14"/>
          <w:szCs w:val="14"/>
          <w:lang w:val="es-ES_tradnl"/>
        </w:rPr>
        <w:t xml:space="preserve"> en tanto dichas garant</w:t>
      </w:r>
      <w:r>
        <w:rPr>
          <w:rFonts w:cs="Times New Roman"/>
          <w:sz w:val="14"/>
          <w:szCs w:val="14"/>
          <w:lang w:val="es-ES_tradnl"/>
        </w:rPr>
        <w:t>í</w:t>
      </w:r>
      <w:r>
        <w:rPr>
          <w:sz w:val="14"/>
          <w:szCs w:val="14"/>
          <w:lang w:val="es-ES_tradnl"/>
        </w:rPr>
        <w:t>as, como la generalidad, la igualdad, la proporcionalidad o la capacidad contributiva, sean resultantes de un juicio de valor del legislador que se base en los par</w:t>
      </w:r>
      <w:r>
        <w:rPr>
          <w:rFonts w:cs="Times New Roman"/>
          <w:sz w:val="14"/>
          <w:szCs w:val="14"/>
          <w:lang w:val="es-ES_tradnl"/>
        </w:rPr>
        <w:t>á</w:t>
      </w:r>
      <w:r>
        <w:rPr>
          <w:sz w:val="14"/>
          <w:szCs w:val="14"/>
          <w:lang w:val="es-ES_tradnl"/>
        </w:rPr>
        <w:t>metros determinantes de la justicia de las imposiciones</w:t>
      </w:r>
      <w:r>
        <w:rPr>
          <w:sz w:val="14"/>
          <w:szCs w:val="14"/>
          <w:vertAlign w:val="superscript"/>
          <w:lang w:val="es-ES_tradnl"/>
        </w:rPr>
        <w:t>9</w:t>
      </w:r>
      <w:r>
        <w:rPr>
          <w:sz w:val="14"/>
          <w:szCs w:val="14"/>
          <w:lang w:val="es-ES_tradnl"/>
        </w:rPr>
        <w:t>.</w:t>
      </w:r>
    </w:p>
    <w:p w14:paraId="4F67A7BC" w14:textId="77777777" w:rsidR="00591D54" w:rsidRDefault="00591D54">
      <w:pPr>
        <w:shd w:val="clear" w:color="auto" w:fill="FFFFFF"/>
        <w:spacing w:before="202" w:line="216" w:lineRule="exact"/>
        <w:ind w:right="5"/>
        <w:jc w:val="both"/>
      </w:pPr>
      <w:r>
        <w:rPr>
          <w:spacing w:val="-8"/>
          <w:sz w:val="18"/>
          <w:szCs w:val="18"/>
          <w:lang w:val="es-ES_tradnl"/>
        </w:rPr>
        <w:t>En este sentido, si el sujeto es sometido a una contribuci</w:t>
      </w:r>
      <w:r>
        <w:rPr>
          <w:rFonts w:cs="Times New Roman"/>
          <w:spacing w:val="-8"/>
          <w:sz w:val="18"/>
          <w:szCs w:val="18"/>
          <w:lang w:val="es-ES_tradnl"/>
        </w:rPr>
        <w:t>ó</w:t>
      </w:r>
      <w:r>
        <w:rPr>
          <w:spacing w:val="-8"/>
          <w:sz w:val="18"/>
          <w:szCs w:val="18"/>
          <w:lang w:val="es-ES_tradnl"/>
        </w:rPr>
        <w:t xml:space="preserve">n </w:t>
      </w:r>
      <w:r>
        <w:rPr>
          <w:spacing w:val="-3"/>
          <w:sz w:val="18"/>
          <w:szCs w:val="18"/>
          <w:lang w:val="es-ES_tradnl"/>
        </w:rPr>
        <w:t xml:space="preserve">tributaria carente de equilibrio y razonabilidad, al punto </w:t>
      </w:r>
      <w:r>
        <w:rPr>
          <w:spacing w:val="-4"/>
          <w:sz w:val="18"/>
          <w:szCs w:val="18"/>
          <w:lang w:val="es-ES_tradnl"/>
        </w:rPr>
        <w:t>de convertirlo en un tributo injusto, podr</w:t>
      </w:r>
      <w:r>
        <w:rPr>
          <w:rFonts w:cs="Times New Roman"/>
          <w:spacing w:val="-4"/>
          <w:sz w:val="18"/>
          <w:szCs w:val="18"/>
          <w:lang w:val="es-ES_tradnl"/>
        </w:rPr>
        <w:t>á</w:t>
      </w:r>
      <w:r>
        <w:rPr>
          <w:spacing w:val="-4"/>
          <w:sz w:val="18"/>
          <w:szCs w:val="18"/>
          <w:lang w:val="es-ES_tradnl"/>
        </w:rPr>
        <w:t xml:space="preserve"> entonces </w:t>
      </w:r>
      <w:r>
        <w:rPr>
          <w:spacing w:val="-7"/>
          <w:sz w:val="18"/>
          <w:szCs w:val="18"/>
          <w:lang w:val="es-ES_tradnl"/>
        </w:rPr>
        <w:t>manifestarse un quebrantamiento al principio de equidad.</w:t>
      </w:r>
    </w:p>
    <w:p w14:paraId="4F67A7BD" w14:textId="77777777" w:rsidR="00591D54" w:rsidRDefault="00591D54">
      <w:pPr>
        <w:shd w:val="clear" w:color="auto" w:fill="FFFFFF"/>
        <w:spacing w:before="192" w:line="216" w:lineRule="exact"/>
        <w:ind w:right="5"/>
        <w:jc w:val="both"/>
      </w:pPr>
      <w:r>
        <w:rPr>
          <w:spacing w:val="-12"/>
          <w:sz w:val="18"/>
          <w:szCs w:val="18"/>
          <w:lang w:val="es-ES_tradnl"/>
        </w:rPr>
        <w:t>De lo expuesto, se ha evidenciado que la equidad es sin</w:t>
      </w:r>
      <w:r>
        <w:rPr>
          <w:rFonts w:cs="Times New Roman"/>
          <w:spacing w:val="-12"/>
          <w:sz w:val="18"/>
          <w:szCs w:val="18"/>
          <w:lang w:val="es-ES_tradnl"/>
        </w:rPr>
        <w:t>ó</w:t>
      </w:r>
      <w:r>
        <w:rPr>
          <w:spacing w:val="-12"/>
          <w:sz w:val="18"/>
          <w:szCs w:val="18"/>
          <w:lang w:val="es-ES_tradnl"/>
        </w:rPr>
        <w:t xml:space="preserve">nimo </w:t>
      </w:r>
      <w:r>
        <w:rPr>
          <w:sz w:val="18"/>
          <w:szCs w:val="18"/>
          <w:lang w:val="es-ES_tradnl"/>
        </w:rPr>
        <w:t xml:space="preserve">de justicia, por lo que en este principio constitucional </w:t>
      </w:r>
      <w:r>
        <w:rPr>
          <w:spacing w:val="-3"/>
          <w:sz w:val="18"/>
          <w:szCs w:val="18"/>
          <w:lang w:val="es-ES_tradnl"/>
        </w:rPr>
        <w:t xml:space="preserve">se engloba, articula y sintetiza todos los principios y </w:t>
      </w:r>
      <w:r>
        <w:rPr>
          <w:spacing w:val="-8"/>
          <w:sz w:val="18"/>
          <w:szCs w:val="18"/>
          <w:lang w:val="es-ES_tradnl"/>
        </w:rPr>
        <w:t>garant</w:t>
      </w:r>
      <w:r>
        <w:rPr>
          <w:rFonts w:cs="Times New Roman"/>
          <w:spacing w:val="-8"/>
          <w:sz w:val="18"/>
          <w:szCs w:val="18"/>
          <w:lang w:val="es-ES_tradnl"/>
        </w:rPr>
        <w:t>í</w:t>
      </w:r>
      <w:r>
        <w:rPr>
          <w:spacing w:val="-8"/>
          <w:sz w:val="18"/>
          <w:szCs w:val="18"/>
          <w:lang w:val="es-ES_tradnl"/>
        </w:rPr>
        <w:t>as se</w:t>
      </w:r>
      <w:r>
        <w:rPr>
          <w:rFonts w:cs="Times New Roman"/>
          <w:spacing w:val="-8"/>
          <w:sz w:val="18"/>
          <w:szCs w:val="18"/>
          <w:lang w:val="es-ES_tradnl"/>
        </w:rPr>
        <w:t>ñ</w:t>
      </w:r>
      <w:r>
        <w:rPr>
          <w:spacing w:val="-8"/>
          <w:sz w:val="18"/>
          <w:szCs w:val="18"/>
          <w:lang w:val="es-ES_tradnl"/>
        </w:rPr>
        <w:t xml:space="preserve">alados anteriormente. En consecuencia, un </w:t>
      </w:r>
      <w:r>
        <w:rPr>
          <w:spacing w:val="-7"/>
          <w:sz w:val="18"/>
          <w:szCs w:val="18"/>
          <w:lang w:val="es-ES_tradnl"/>
        </w:rPr>
        <w:t>tributo ser</w:t>
      </w:r>
      <w:r>
        <w:rPr>
          <w:rFonts w:cs="Times New Roman"/>
          <w:spacing w:val="-7"/>
          <w:sz w:val="18"/>
          <w:szCs w:val="18"/>
          <w:lang w:val="es-ES_tradnl"/>
        </w:rPr>
        <w:t>á</w:t>
      </w:r>
      <w:r>
        <w:rPr>
          <w:spacing w:val="-7"/>
          <w:sz w:val="18"/>
          <w:szCs w:val="18"/>
          <w:lang w:val="es-ES_tradnl"/>
        </w:rPr>
        <w:t xml:space="preserve"> justo cuando en su nacimiento y aplicaci</w:t>
      </w:r>
      <w:r>
        <w:rPr>
          <w:rFonts w:cs="Times New Roman"/>
          <w:spacing w:val="-7"/>
          <w:sz w:val="18"/>
          <w:szCs w:val="18"/>
          <w:lang w:val="es-ES_tradnl"/>
        </w:rPr>
        <w:t>ó</w:t>
      </w:r>
      <w:r>
        <w:rPr>
          <w:spacing w:val="-7"/>
          <w:sz w:val="18"/>
          <w:szCs w:val="18"/>
          <w:lang w:val="es-ES_tradnl"/>
        </w:rPr>
        <w:t>n se tomen en cuenta las garant</w:t>
      </w:r>
      <w:r>
        <w:rPr>
          <w:rFonts w:cs="Times New Roman"/>
          <w:spacing w:val="-7"/>
          <w:sz w:val="18"/>
          <w:szCs w:val="18"/>
          <w:lang w:val="es-ES_tradnl"/>
        </w:rPr>
        <w:t>í</w:t>
      </w:r>
      <w:r>
        <w:rPr>
          <w:spacing w:val="-7"/>
          <w:sz w:val="18"/>
          <w:szCs w:val="18"/>
          <w:lang w:val="es-ES_tradnl"/>
        </w:rPr>
        <w:t xml:space="preserve">as de legalidad, generalidad, </w:t>
      </w:r>
      <w:r>
        <w:rPr>
          <w:spacing w:val="-4"/>
          <w:sz w:val="18"/>
          <w:szCs w:val="18"/>
          <w:lang w:val="es-ES_tradnl"/>
        </w:rPr>
        <w:t xml:space="preserve">progresividad, proporcionalidad, no confiscatoriedad, razonabilidad y capacidad contributiva, mismas que no </w:t>
      </w:r>
      <w:r>
        <w:rPr>
          <w:spacing w:val="-7"/>
          <w:sz w:val="18"/>
          <w:szCs w:val="18"/>
          <w:lang w:val="es-ES_tradnl"/>
        </w:rPr>
        <w:t xml:space="preserve">solo limitan el poder tributario con el que cuenta el Estado, </w:t>
      </w:r>
      <w:r>
        <w:rPr>
          <w:spacing w:val="-10"/>
          <w:sz w:val="18"/>
          <w:szCs w:val="18"/>
          <w:lang w:val="es-ES_tradnl"/>
        </w:rPr>
        <w:t>sino que reconoce derechos y garant</w:t>
      </w:r>
      <w:r>
        <w:rPr>
          <w:rFonts w:cs="Times New Roman"/>
          <w:spacing w:val="-10"/>
          <w:sz w:val="18"/>
          <w:szCs w:val="18"/>
          <w:lang w:val="es-ES_tradnl"/>
        </w:rPr>
        <w:t>í</w:t>
      </w:r>
      <w:r>
        <w:rPr>
          <w:spacing w:val="-10"/>
          <w:sz w:val="18"/>
          <w:szCs w:val="18"/>
          <w:lang w:val="es-ES_tradnl"/>
        </w:rPr>
        <w:t xml:space="preserve">as en favor de quienes </w:t>
      </w:r>
      <w:r>
        <w:rPr>
          <w:spacing w:val="-2"/>
          <w:sz w:val="18"/>
          <w:szCs w:val="18"/>
          <w:lang w:val="es-ES_tradnl"/>
        </w:rPr>
        <w:t>adquieren la calidad de contribuyente, cuya aplicaci</w:t>
      </w:r>
      <w:r>
        <w:rPr>
          <w:rFonts w:cs="Times New Roman"/>
          <w:spacing w:val="-2"/>
          <w:sz w:val="18"/>
          <w:szCs w:val="18"/>
          <w:lang w:val="es-ES_tradnl"/>
        </w:rPr>
        <w:t>ó</w:t>
      </w:r>
      <w:r>
        <w:rPr>
          <w:spacing w:val="-2"/>
          <w:sz w:val="18"/>
          <w:szCs w:val="18"/>
          <w:lang w:val="es-ES_tradnl"/>
        </w:rPr>
        <w:t xml:space="preserve">n </w:t>
      </w:r>
      <w:r>
        <w:rPr>
          <w:spacing w:val="-7"/>
          <w:sz w:val="18"/>
          <w:szCs w:val="18"/>
          <w:lang w:val="es-ES_tradnl"/>
        </w:rPr>
        <w:t>es trascendental dentro del v</w:t>
      </w:r>
      <w:r>
        <w:rPr>
          <w:rFonts w:cs="Times New Roman"/>
          <w:spacing w:val="-7"/>
          <w:sz w:val="18"/>
          <w:szCs w:val="18"/>
          <w:lang w:val="es-ES_tradnl"/>
        </w:rPr>
        <w:t>í</w:t>
      </w:r>
      <w:r>
        <w:rPr>
          <w:spacing w:val="-7"/>
          <w:sz w:val="18"/>
          <w:szCs w:val="18"/>
          <w:lang w:val="es-ES_tradnl"/>
        </w:rPr>
        <w:t xml:space="preserve">nculo existente entre el </w:t>
      </w:r>
      <w:r>
        <w:rPr>
          <w:sz w:val="18"/>
          <w:szCs w:val="18"/>
          <w:lang w:val="es-ES_tradnl"/>
        </w:rPr>
        <w:t>administrado y el poder p</w:t>
      </w:r>
      <w:r>
        <w:rPr>
          <w:rFonts w:cs="Times New Roman"/>
          <w:sz w:val="18"/>
          <w:szCs w:val="18"/>
          <w:lang w:val="es-ES_tradnl"/>
        </w:rPr>
        <w:t>ú</w:t>
      </w:r>
      <w:r>
        <w:rPr>
          <w:sz w:val="18"/>
          <w:szCs w:val="18"/>
          <w:lang w:val="es-ES_tradnl"/>
        </w:rPr>
        <w:t>blico.</w:t>
      </w:r>
    </w:p>
    <w:p w14:paraId="4F67A7BE" w14:textId="77777777" w:rsidR="00591D54" w:rsidRDefault="00591D54">
      <w:pPr>
        <w:shd w:val="clear" w:color="auto" w:fill="FFFFFF"/>
        <w:tabs>
          <w:tab w:val="left" w:pos="144"/>
        </w:tabs>
        <w:spacing w:before="590" w:line="178" w:lineRule="exact"/>
        <w:ind w:left="144" w:hanging="144"/>
      </w:pPr>
      <w:r>
        <w:rPr>
          <w:sz w:val="10"/>
          <w:szCs w:val="10"/>
          <w:vertAlign w:val="superscript"/>
          <w:lang w:val="es-ES_tradnl"/>
        </w:rPr>
        <w:t>8</w:t>
      </w:r>
      <w:r>
        <w:rPr>
          <w:sz w:val="18"/>
          <w:szCs w:val="18"/>
          <w:lang w:val="es-ES_tradnl"/>
        </w:rPr>
        <w:tab/>
      </w:r>
      <w:r>
        <w:rPr>
          <w:spacing w:val="-1"/>
          <w:sz w:val="14"/>
          <w:szCs w:val="14"/>
          <w:lang w:val="es-ES_tradnl"/>
        </w:rPr>
        <w:t>H</w:t>
      </w:r>
      <w:r>
        <w:rPr>
          <w:rFonts w:cs="Times New Roman"/>
          <w:spacing w:val="-1"/>
          <w:sz w:val="14"/>
          <w:szCs w:val="14"/>
          <w:lang w:val="es-ES_tradnl"/>
        </w:rPr>
        <w:t>é</w:t>
      </w:r>
      <w:r>
        <w:rPr>
          <w:spacing w:val="-1"/>
          <w:sz w:val="14"/>
          <w:szCs w:val="14"/>
          <w:lang w:val="es-ES_tradnl"/>
        </w:rPr>
        <w:t>ctor</w:t>
      </w:r>
      <w:r>
        <w:rPr>
          <w:spacing w:val="-1"/>
          <w:sz w:val="18"/>
          <w:szCs w:val="18"/>
          <w:lang w:val="es-ES_tradnl"/>
        </w:rPr>
        <w:t xml:space="preserve"> </w:t>
      </w:r>
      <w:r>
        <w:rPr>
          <w:spacing w:val="-1"/>
          <w:sz w:val="14"/>
          <w:szCs w:val="14"/>
          <w:lang w:val="es-ES_tradnl"/>
        </w:rPr>
        <w:t>Villegas,</w:t>
      </w:r>
      <w:r>
        <w:rPr>
          <w:spacing w:val="-1"/>
          <w:sz w:val="18"/>
          <w:szCs w:val="18"/>
          <w:lang w:val="es-ES_tradnl"/>
        </w:rPr>
        <w:t xml:space="preserve"> </w:t>
      </w:r>
      <w:r>
        <w:rPr>
          <w:i/>
          <w:iCs/>
          <w:spacing w:val="-1"/>
          <w:sz w:val="14"/>
          <w:szCs w:val="14"/>
          <w:lang w:val="es-ES_tradnl"/>
        </w:rPr>
        <w:t>Curso</w:t>
      </w:r>
      <w:r>
        <w:rPr>
          <w:i/>
          <w:iCs/>
          <w:spacing w:val="-1"/>
          <w:sz w:val="18"/>
          <w:szCs w:val="18"/>
          <w:lang w:val="es-ES_tradnl"/>
        </w:rPr>
        <w:t xml:space="preserve"> </w:t>
      </w:r>
      <w:r>
        <w:rPr>
          <w:i/>
          <w:iCs/>
          <w:spacing w:val="-1"/>
          <w:sz w:val="14"/>
          <w:szCs w:val="14"/>
          <w:lang w:val="es-ES_tradnl"/>
        </w:rPr>
        <w:t>de</w:t>
      </w:r>
      <w:r>
        <w:rPr>
          <w:i/>
          <w:iCs/>
          <w:spacing w:val="-1"/>
          <w:sz w:val="18"/>
          <w:szCs w:val="18"/>
          <w:lang w:val="es-ES_tradnl"/>
        </w:rPr>
        <w:t xml:space="preserve"> </w:t>
      </w:r>
      <w:r>
        <w:rPr>
          <w:i/>
          <w:iCs/>
          <w:spacing w:val="-1"/>
          <w:sz w:val="14"/>
          <w:szCs w:val="14"/>
          <w:lang w:val="es-ES_tradnl"/>
        </w:rPr>
        <w:t>finanzas,</w:t>
      </w:r>
      <w:r>
        <w:rPr>
          <w:i/>
          <w:iCs/>
          <w:spacing w:val="-1"/>
          <w:sz w:val="18"/>
          <w:szCs w:val="18"/>
          <w:lang w:val="es-ES_tradnl"/>
        </w:rPr>
        <w:t xml:space="preserve"> </w:t>
      </w:r>
      <w:r>
        <w:rPr>
          <w:i/>
          <w:iCs/>
          <w:spacing w:val="-1"/>
          <w:sz w:val="14"/>
          <w:szCs w:val="14"/>
          <w:lang w:val="es-ES_tradnl"/>
        </w:rPr>
        <w:t>derecho</w:t>
      </w:r>
      <w:r>
        <w:rPr>
          <w:i/>
          <w:iCs/>
          <w:spacing w:val="-1"/>
          <w:sz w:val="18"/>
          <w:szCs w:val="18"/>
          <w:lang w:val="es-ES_tradnl"/>
        </w:rPr>
        <w:t xml:space="preserve"> </w:t>
      </w:r>
      <w:r>
        <w:rPr>
          <w:i/>
          <w:iCs/>
          <w:spacing w:val="-1"/>
          <w:sz w:val="14"/>
          <w:szCs w:val="14"/>
          <w:lang w:val="es-ES_tradnl"/>
        </w:rPr>
        <w:t>financiero</w:t>
      </w:r>
      <w:r>
        <w:rPr>
          <w:i/>
          <w:iCs/>
          <w:spacing w:val="-1"/>
          <w:sz w:val="18"/>
          <w:szCs w:val="18"/>
          <w:lang w:val="es-ES_tradnl"/>
        </w:rPr>
        <w:t xml:space="preserve"> </w:t>
      </w:r>
      <w:r>
        <w:rPr>
          <w:i/>
          <w:iCs/>
          <w:spacing w:val="-1"/>
          <w:sz w:val="14"/>
          <w:szCs w:val="14"/>
          <w:lang w:val="es-ES_tradnl"/>
        </w:rPr>
        <w:t>y</w:t>
      </w:r>
      <w:r>
        <w:rPr>
          <w:i/>
          <w:iCs/>
          <w:spacing w:val="-1"/>
          <w:sz w:val="18"/>
          <w:szCs w:val="18"/>
          <w:lang w:val="es-ES_tradnl"/>
        </w:rPr>
        <w:t xml:space="preserve"> </w:t>
      </w:r>
      <w:r>
        <w:rPr>
          <w:i/>
          <w:iCs/>
          <w:spacing w:val="-1"/>
          <w:sz w:val="14"/>
          <w:szCs w:val="14"/>
          <w:lang w:val="es-ES_tradnl"/>
        </w:rPr>
        <w:t>tributario</w:t>
      </w:r>
      <w:r>
        <w:rPr>
          <w:spacing w:val="-1"/>
          <w:sz w:val="14"/>
          <w:szCs w:val="14"/>
          <w:lang w:val="es-ES_tradnl"/>
        </w:rPr>
        <w:t>, Octava edici</w:t>
      </w:r>
      <w:r>
        <w:rPr>
          <w:rFonts w:cs="Times New Roman"/>
          <w:spacing w:val="-1"/>
          <w:sz w:val="14"/>
          <w:szCs w:val="14"/>
          <w:lang w:val="es-ES_tradnl"/>
        </w:rPr>
        <w:t>ó</w:t>
      </w:r>
      <w:r>
        <w:rPr>
          <w:spacing w:val="-1"/>
          <w:sz w:val="14"/>
          <w:szCs w:val="14"/>
          <w:lang w:val="es-ES_tradnl"/>
        </w:rPr>
        <w:t>n, Editorial Astrea, Buenos Aires, 2002, P</w:t>
      </w:r>
      <w:r>
        <w:rPr>
          <w:rFonts w:cs="Times New Roman"/>
          <w:spacing w:val="-1"/>
          <w:sz w:val="14"/>
          <w:szCs w:val="14"/>
          <w:lang w:val="es-ES_tradnl"/>
        </w:rPr>
        <w:t>á</w:t>
      </w:r>
      <w:r>
        <w:rPr>
          <w:spacing w:val="-1"/>
          <w:sz w:val="14"/>
          <w:szCs w:val="14"/>
          <w:lang w:val="es-ES_tradnl"/>
        </w:rPr>
        <w:t>g. 278.</w:t>
      </w:r>
    </w:p>
    <w:p w14:paraId="4F67A7BF" w14:textId="77777777" w:rsidR="00591D54" w:rsidRDefault="00591D54">
      <w:pPr>
        <w:shd w:val="clear" w:color="auto" w:fill="FFFFFF"/>
        <w:tabs>
          <w:tab w:val="left" w:pos="144"/>
        </w:tabs>
        <w:spacing w:before="154"/>
      </w:pPr>
      <w:r>
        <w:rPr>
          <w:sz w:val="10"/>
          <w:szCs w:val="10"/>
          <w:vertAlign w:val="superscript"/>
          <w:lang w:val="es-ES_tradnl"/>
        </w:rPr>
        <w:t>9</w:t>
      </w:r>
      <w:r>
        <w:rPr>
          <w:sz w:val="18"/>
          <w:szCs w:val="18"/>
          <w:lang w:val="es-ES_tradnl"/>
        </w:rPr>
        <w:tab/>
      </w:r>
      <w:r>
        <w:rPr>
          <w:spacing w:val="-2"/>
          <w:sz w:val="14"/>
          <w:szCs w:val="14"/>
          <w:lang w:val="es-ES_tradnl"/>
        </w:rPr>
        <w:t>Ib</w:t>
      </w:r>
      <w:r>
        <w:rPr>
          <w:rFonts w:cs="Times New Roman"/>
          <w:spacing w:val="-2"/>
          <w:sz w:val="14"/>
          <w:szCs w:val="14"/>
          <w:lang w:val="es-ES_tradnl"/>
        </w:rPr>
        <w:t>í</w:t>
      </w:r>
      <w:r>
        <w:rPr>
          <w:spacing w:val="-2"/>
          <w:sz w:val="14"/>
          <w:szCs w:val="14"/>
          <w:lang w:val="es-ES_tradnl"/>
        </w:rPr>
        <w:t>dem.</w:t>
      </w:r>
      <w:r>
        <w:rPr>
          <w:spacing w:val="-2"/>
          <w:sz w:val="18"/>
          <w:szCs w:val="18"/>
          <w:lang w:val="es-ES_tradnl"/>
        </w:rPr>
        <w:t xml:space="preserve"> </w:t>
      </w:r>
      <w:r>
        <w:rPr>
          <w:spacing w:val="-2"/>
          <w:sz w:val="14"/>
          <w:szCs w:val="14"/>
          <w:lang w:val="es-ES_tradnl"/>
        </w:rPr>
        <w:t>P</w:t>
      </w:r>
      <w:r>
        <w:rPr>
          <w:rFonts w:cs="Times New Roman"/>
          <w:spacing w:val="-2"/>
          <w:sz w:val="14"/>
          <w:szCs w:val="14"/>
          <w:lang w:val="es-ES_tradnl"/>
        </w:rPr>
        <w:t>á</w:t>
      </w:r>
      <w:r>
        <w:rPr>
          <w:spacing w:val="-2"/>
          <w:sz w:val="14"/>
          <w:szCs w:val="14"/>
          <w:lang w:val="es-ES_tradnl"/>
        </w:rPr>
        <w:t>g.</w:t>
      </w:r>
      <w:r>
        <w:rPr>
          <w:spacing w:val="-2"/>
          <w:sz w:val="18"/>
          <w:szCs w:val="18"/>
          <w:lang w:val="es-ES_tradnl"/>
        </w:rPr>
        <w:t xml:space="preserve"> </w:t>
      </w:r>
      <w:r>
        <w:rPr>
          <w:spacing w:val="-2"/>
          <w:sz w:val="14"/>
          <w:szCs w:val="14"/>
          <w:lang w:val="es-ES_tradnl"/>
        </w:rPr>
        <w:t>280</w:t>
      </w:r>
    </w:p>
    <w:p w14:paraId="4F67A7C0" w14:textId="77777777" w:rsidR="00591D54" w:rsidRDefault="00591D54">
      <w:pPr>
        <w:shd w:val="clear" w:color="auto" w:fill="FFFFFF"/>
        <w:tabs>
          <w:tab w:val="left" w:pos="144"/>
        </w:tabs>
        <w:spacing w:before="154"/>
        <w:sectPr w:rsidR="00591D54">
          <w:type w:val="continuous"/>
          <w:pgSz w:w="11909" w:h="16834"/>
          <w:pgMar w:top="1359" w:right="1304" w:bottom="360" w:left="1308" w:header="720" w:footer="720" w:gutter="0"/>
          <w:cols w:num="2" w:space="720" w:equalWidth="0">
            <w:col w:w="4305" w:space="682"/>
            <w:col w:w="4310"/>
          </w:cols>
          <w:noEndnote/>
        </w:sectPr>
      </w:pPr>
    </w:p>
    <w:p w14:paraId="4F67A7C1" w14:textId="77777777" w:rsidR="00591D54" w:rsidRDefault="00591D54">
      <w:pPr>
        <w:shd w:val="clear" w:color="auto" w:fill="FFFFFF"/>
        <w:tabs>
          <w:tab w:val="left" w:pos="595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- 55</w:t>
      </w:r>
    </w:p>
    <w:p w14:paraId="4F67A7C2" w14:textId="77777777" w:rsidR="00591D54" w:rsidRDefault="00591D54">
      <w:pPr>
        <w:shd w:val="clear" w:color="auto" w:fill="FFFFFF"/>
        <w:tabs>
          <w:tab w:val="left" w:pos="5952"/>
        </w:tabs>
        <w:spacing w:after="235"/>
        <w:ind w:left="5"/>
        <w:sectPr w:rsidR="00591D54">
          <w:pgSz w:w="11909" w:h="16834"/>
          <w:pgMar w:top="1356" w:right="1309" w:bottom="360" w:left="1308" w:header="720" w:footer="720" w:gutter="0"/>
          <w:cols w:space="60"/>
          <w:noEndnote/>
        </w:sectPr>
      </w:pPr>
    </w:p>
    <w:p w14:paraId="4F67A7C3" w14:textId="77777777" w:rsidR="00591D54" w:rsidRDefault="00591D54">
      <w:pPr>
        <w:shd w:val="clear" w:color="auto" w:fill="FFFFFF"/>
        <w:spacing w:line="226" w:lineRule="exact"/>
        <w:jc w:val="both"/>
      </w:pPr>
      <w:r>
        <w:rPr>
          <w:spacing w:val="-5"/>
          <w:sz w:val="18"/>
          <w:szCs w:val="18"/>
          <w:lang w:val="es-ES_tradnl"/>
        </w:rPr>
        <w:t xml:space="preserve">Dicho esto, en base a los argumentos vertidos por la accionante, cabe analizar si las tarifas fijadas dentro del </w:t>
      </w:r>
      <w:r>
        <w:rPr>
          <w:spacing w:val="-7"/>
          <w:sz w:val="18"/>
          <w:szCs w:val="18"/>
          <w:lang w:val="es-ES_tradnl"/>
        </w:rPr>
        <w:t>art</w:t>
      </w:r>
      <w:r>
        <w:rPr>
          <w:rFonts w:cs="Times New Roman"/>
          <w:spacing w:val="-7"/>
          <w:sz w:val="18"/>
          <w:szCs w:val="18"/>
          <w:lang w:val="es-ES_tradnl"/>
        </w:rPr>
        <w:t>í</w:t>
      </w:r>
      <w:r>
        <w:rPr>
          <w:spacing w:val="-7"/>
          <w:sz w:val="18"/>
          <w:szCs w:val="18"/>
          <w:lang w:val="es-ES_tradnl"/>
        </w:rPr>
        <w:t xml:space="preserve">culo 18 de la Ordenanza, correspondientes al cobro de </w:t>
      </w:r>
      <w:r>
        <w:rPr>
          <w:spacing w:val="-10"/>
          <w:sz w:val="18"/>
          <w:szCs w:val="18"/>
          <w:lang w:val="es-ES_tradnl"/>
        </w:rPr>
        <w:t>tasas generadas por la implantaci</w:t>
      </w:r>
      <w:r>
        <w:rPr>
          <w:rFonts w:cs="Times New Roman"/>
          <w:spacing w:val="-10"/>
          <w:sz w:val="18"/>
          <w:szCs w:val="18"/>
          <w:lang w:val="es-ES_tradnl"/>
        </w:rPr>
        <w:t>ó</w:t>
      </w:r>
      <w:r>
        <w:rPr>
          <w:spacing w:val="-10"/>
          <w:sz w:val="18"/>
          <w:szCs w:val="18"/>
          <w:lang w:val="es-ES_tradnl"/>
        </w:rPr>
        <w:t>n e instalaci</w:t>
      </w:r>
      <w:r>
        <w:rPr>
          <w:rFonts w:cs="Times New Roman"/>
          <w:spacing w:val="-10"/>
          <w:sz w:val="18"/>
          <w:szCs w:val="18"/>
          <w:lang w:val="es-ES_tradnl"/>
        </w:rPr>
        <w:t>ó</w:t>
      </w:r>
      <w:r>
        <w:rPr>
          <w:spacing w:val="-10"/>
          <w:sz w:val="18"/>
          <w:szCs w:val="18"/>
          <w:lang w:val="es-ES_tradnl"/>
        </w:rPr>
        <w:t xml:space="preserve">n de postes, </w:t>
      </w:r>
      <w:r>
        <w:rPr>
          <w:spacing w:val="-4"/>
          <w:sz w:val="18"/>
          <w:szCs w:val="18"/>
          <w:lang w:val="es-ES_tradnl"/>
        </w:rPr>
        <w:t>tendidos de redes y estructuras, as</w:t>
      </w:r>
      <w:r>
        <w:rPr>
          <w:rFonts w:cs="Times New Roman"/>
          <w:spacing w:val="-4"/>
          <w:sz w:val="18"/>
          <w:szCs w:val="18"/>
          <w:lang w:val="es-ES_tradnl"/>
        </w:rPr>
        <w:t>í</w:t>
      </w:r>
      <w:r>
        <w:rPr>
          <w:spacing w:val="-4"/>
          <w:sz w:val="18"/>
          <w:szCs w:val="18"/>
          <w:lang w:val="es-ES_tradnl"/>
        </w:rPr>
        <w:t xml:space="preserve"> como a la utilizaci</w:t>
      </w:r>
      <w:r>
        <w:rPr>
          <w:rFonts w:cs="Times New Roman"/>
          <w:spacing w:val="-4"/>
          <w:sz w:val="18"/>
          <w:szCs w:val="18"/>
          <w:lang w:val="es-ES_tradnl"/>
        </w:rPr>
        <w:t>ó</w:t>
      </w:r>
      <w:r>
        <w:rPr>
          <w:spacing w:val="-4"/>
          <w:sz w:val="18"/>
          <w:szCs w:val="18"/>
          <w:lang w:val="es-ES_tradnl"/>
        </w:rPr>
        <w:t xml:space="preserve">n </w:t>
      </w:r>
      <w:r>
        <w:rPr>
          <w:spacing w:val="-5"/>
          <w:sz w:val="18"/>
          <w:szCs w:val="18"/>
          <w:lang w:val="es-ES_tradnl"/>
        </w:rPr>
        <w:t>u ocupaci</w:t>
      </w:r>
      <w:r>
        <w:rPr>
          <w:rFonts w:cs="Times New Roman"/>
          <w:spacing w:val="-5"/>
          <w:sz w:val="18"/>
          <w:szCs w:val="18"/>
          <w:lang w:val="es-ES_tradnl"/>
        </w:rPr>
        <w:t>ó</w:t>
      </w:r>
      <w:r>
        <w:rPr>
          <w:spacing w:val="-5"/>
          <w:sz w:val="18"/>
          <w:szCs w:val="18"/>
          <w:lang w:val="es-ES_tradnl"/>
        </w:rPr>
        <w:t>n del espacio a</w:t>
      </w:r>
      <w:r>
        <w:rPr>
          <w:rFonts w:cs="Times New Roman"/>
          <w:spacing w:val="-5"/>
          <w:sz w:val="18"/>
          <w:szCs w:val="18"/>
          <w:lang w:val="es-ES_tradnl"/>
        </w:rPr>
        <w:t>é</w:t>
      </w:r>
      <w:r>
        <w:rPr>
          <w:spacing w:val="-5"/>
          <w:sz w:val="18"/>
          <w:szCs w:val="18"/>
          <w:lang w:val="es-ES_tradnl"/>
        </w:rPr>
        <w:t>reo municipal en el cant</w:t>
      </w:r>
      <w:r>
        <w:rPr>
          <w:rFonts w:cs="Times New Roman"/>
          <w:spacing w:val="-5"/>
          <w:sz w:val="18"/>
          <w:szCs w:val="18"/>
          <w:lang w:val="es-ES_tradnl"/>
        </w:rPr>
        <w:t>ó</w:t>
      </w:r>
      <w:r>
        <w:rPr>
          <w:spacing w:val="-5"/>
          <w:sz w:val="18"/>
          <w:szCs w:val="18"/>
          <w:lang w:val="es-ES_tradnl"/>
        </w:rPr>
        <w:t xml:space="preserve">n </w:t>
      </w:r>
      <w:r>
        <w:rPr>
          <w:spacing w:val="-3"/>
          <w:sz w:val="18"/>
          <w:szCs w:val="18"/>
          <w:lang w:val="es-ES_tradnl"/>
        </w:rPr>
        <w:t>Tulc</w:t>
      </w:r>
      <w:r>
        <w:rPr>
          <w:rFonts w:cs="Times New Roman"/>
          <w:spacing w:val="-3"/>
          <w:sz w:val="18"/>
          <w:szCs w:val="18"/>
          <w:lang w:val="es-ES_tradnl"/>
        </w:rPr>
        <w:t>á</w:t>
      </w:r>
      <w:r>
        <w:rPr>
          <w:spacing w:val="-3"/>
          <w:sz w:val="18"/>
          <w:szCs w:val="18"/>
          <w:lang w:val="es-ES_tradnl"/>
        </w:rPr>
        <w:t xml:space="preserve">n, son contrarias o no al principio constitucional tributario de equidad. Para ello, resulta imprescindible </w:t>
      </w:r>
      <w:r>
        <w:rPr>
          <w:spacing w:val="-7"/>
          <w:sz w:val="18"/>
          <w:szCs w:val="18"/>
          <w:lang w:val="es-ES_tradnl"/>
        </w:rPr>
        <w:t>partir de un breve an</w:t>
      </w:r>
      <w:r>
        <w:rPr>
          <w:rFonts w:cs="Times New Roman"/>
          <w:spacing w:val="-7"/>
          <w:sz w:val="18"/>
          <w:szCs w:val="18"/>
          <w:lang w:val="es-ES_tradnl"/>
        </w:rPr>
        <w:t>á</w:t>
      </w:r>
      <w:r>
        <w:rPr>
          <w:spacing w:val="-7"/>
          <w:sz w:val="18"/>
          <w:szCs w:val="18"/>
          <w:lang w:val="es-ES_tradnl"/>
        </w:rPr>
        <w:t xml:space="preserve">lisis con respecto al tipo de tasa que </w:t>
      </w:r>
      <w:r>
        <w:rPr>
          <w:spacing w:val="-6"/>
          <w:sz w:val="18"/>
          <w:szCs w:val="18"/>
          <w:lang w:val="es-ES_tradnl"/>
        </w:rPr>
        <w:t>se est</w:t>
      </w:r>
      <w:r>
        <w:rPr>
          <w:rFonts w:cs="Times New Roman"/>
          <w:spacing w:val="-6"/>
          <w:sz w:val="18"/>
          <w:szCs w:val="18"/>
          <w:lang w:val="es-ES_tradnl"/>
        </w:rPr>
        <w:t>á</w:t>
      </w:r>
      <w:r>
        <w:rPr>
          <w:spacing w:val="-6"/>
          <w:sz w:val="18"/>
          <w:szCs w:val="18"/>
          <w:lang w:val="es-ES_tradnl"/>
        </w:rPr>
        <w:t xml:space="preserve"> aplicando en la referida ordenanza, as</w:t>
      </w:r>
      <w:r>
        <w:rPr>
          <w:rFonts w:cs="Times New Roman"/>
          <w:spacing w:val="-6"/>
          <w:sz w:val="18"/>
          <w:szCs w:val="18"/>
          <w:lang w:val="es-ES_tradnl"/>
        </w:rPr>
        <w:t>í</w:t>
      </w:r>
      <w:r>
        <w:rPr>
          <w:spacing w:val="-6"/>
          <w:sz w:val="18"/>
          <w:szCs w:val="18"/>
          <w:lang w:val="es-ES_tradnl"/>
        </w:rPr>
        <w:t xml:space="preserve"> como las </w:t>
      </w:r>
      <w:r>
        <w:rPr>
          <w:spacing w:val="-7"/>
          <w:sz w:val="18"/>
          <w:szCs w:val="18"/>
          <w:lang w:val="es-ES_tradnl"/>
        </w:rPr>
        <w:t>caracter</w:t>
      </w:r>
      <w:r>
        <w:rPr>
          <w:rFonts w:cs="Times New Roman"/>
          <w:spacing w:val="-7"/>
          <w:sz w:val="18"/>
          <w:szCs w:val="18"/>
          <w:lang w:val="es-ES_tradnl"/>
        </w:rPr>
        <w:t>í</w:t>
      </w:r>
      <w:r>
        <w:rPr>
          <w:spacing w:val="-7"/>
          <w:sz w:val="18"/>
          <w:szCs w:val="18"/>
          <w:lang w:val="es-ES_tradnl"/>
        </w:rPr>
        <w:t xml:space="preserve">sticas y elementos que la rodean, previstas tanto </w:t>
      </w:r>
      <w:r>
        <w:rPr>
          <w:sz w:val="18"/>
          <w:szCs w:val="18"/>
          <w:lang w:val="es-ES_tradnl"/>
        </w:rPr>
        <w:t>en la norma como en la doctrina.</w:t>
      </w:r>
    </w:p>
    <w:p w14:paraId="4F67A7C4" w14:textId="77777777" w:rsidR="00591D54" w:rsidRDefault="00591D54">
      <w:pPr>
        <w:shd w:val="clear" w:color="auto" w:fill="FFFFFF"/>
        <w:spacing w:before="206" w:line="226" w:lineRule="exact"/>
        <w:jc w:val="both"/>
      </w:pPr>
      <w:r>
        <w:rPr>
          <w:spacing w:val="-3"/>
          <w:sz w:val="18"/>
          <w:szCs w:val="18"/>
          <w:lang w:val="es-ES_tradnl"/>
        </w:rPr>
        <w:t>En primer lugar, debemos partir del hecho de que una tasa es por esencia una prestaci</w:t>
      </w:r>
      <w:r>
        <w:rPr>
          <w:rFonts w:cs="Times New Roman"/>
          <w:spacing w:val="-3"/>
          <w:sz w:val="18"/>
          <w:szCs w:val="18"/>
          <w:lang w:val="es-ES_tradnl"/>
        </w:rPr>
        <w:t>ó</w:t>
      </w:r>
      <w:r>
        <w:rPr>
          <w:spacing w:val="-3"/>
          <w:sz w:val="18"/>
          <w:szCs w:val="18"/>
          <w:lang w:val="es-ES_tradnl"/>
        </w:rPr>
        <w:t xml:space="preserve">n obligatoria en favor </w:t>
      </w:r>
      <w:r>
        <w:rPr>
          <w:spacing w:val="-5"/>
          <w:sz w:val="18"/>
          <w:szCs w:val="18"/>
          <w:lang w:val="es-ES_tradnl"/>
        </w:rPr>
        <w:t>del Estado, y cuyo origen est</w:t>
      </w:r>
      <w:r>
        <w:rPr>
          <w:rFonts w:cs="Times New Roman"/>
          <w:spacing w:val="-5"/>
          <w:sz w:val="18"/>
          <w:szCs w:val="18"/>
          <w:lang w:val="es-ES_tradnl"/>
        </w:rPr>
        <w:t>á</w:t>
      </w:r>
      <w:r>
        <w:rPr>
          <w:spacing w:val="-5"/>
          <w:sz w:val="18"/>
          <w:szCs w:val="18"/>
          <w:lang w:val="es-ES_tradnl"/>
        </w:rPr>
        <w:t xml:space="preserve"> establecido en un acto </w:t>
      </w:r>
      <w:r>
        <w:rPr>
          <w:spacing w:val="-2"/>
          <w:sz w:val="18"/>
          <w:szCs w:val="18"/>
          <w:lang w:val="es-ES_tradnl"/>
        </w:rPr>
        <w:t xml:space="preserve">normativo, es decir, un tributo. Por ende, al tratarse de </w:t>
      </w:r>
      <w:r>
        <w:rPr>
          <w:spacing w:val="-4"/>
          <w:sz w:val="18"/>
          <w:szCs w:val="18"/>
          <w:lang w:val="es-ES_tradnl"/>
        </w:rPr>
        <w:t>un gravamen impuesto por un Gobierno Aut</w:t>
      </w:r>
      <w:r>
        <w:rPr>
          <w:rFonts w:cs="Times New Roman"/>
          <w:spacing w:val="-4"/>
          <w:sz w:val="18"/>
          <w:szCs w:val="18"/>
          <w:lang w:val="es-ES_tradnl"/>
        </w:rPr>
        <w:t>ó</w:t>
      </w:r>
      <w:r>
        <w:rPr>
          <w:spacing w:val="-4"/>
          <w:sz w:val="18"/>
          <w:szCs w:val="18"/>
          <w:lang w:val="es-ES_tradnl"/>
        </w:rPr>
        <w:t xml:space="preserve">nomo </w:t>
      </w:r>
      <w:r>
        <w:rPr>
          <w:spacing w:val="-7"/>
          <w:sz w:val="18"/>
          <w:szCs w:val="18"/>
          <w:lang w:val="es-ES_tradnl"/>
        </w:rPr>
        <w:t xml:space="preserve">Descentralizado Municipal en uso de su potestad tributaria </w:t>
      </w:r>
      <w:r>
        <w:rPr>
          <w:spacing w:val="-4"/>
          <w:sz w:val="18"/>
          <w:szCs w:val="18"/>
          <w:lang w:val="es-ES_tradnl"/>
        </w:rPr>
        <w:t>prevista en la Constituci</w:t>
      </w:r>
      <w:r>
        <w:rPr>
          <w:rFonts w:cs="Times New Roman"/>
          <w:spacing w:val="-4"/>
          <w:sz w:val="18"/>
          <w:szCs w:val="18"/>
          <w:lang w:val="es-ES_tradnl"/>
        </w:rPr>
        <w:t>ó</w:t>
      </w:r>
      <w:r>
        <w:rPr>
          <w:spacing w:val="-4"/>
          <w:sz w:val="18"/>
          <w:szCs w:val="18"/>
          <w:lang w:val="es-ES_tradnl"/>
        </w:rPr>
        <w:t>n de la Rep</w:t>
      </w:r>
      <w:r>
        <w:rPr>
          <w:rFonts w:cs="Times New Roman"/>
          <w:spacing w:val="-4"/>
          <w:sz w:val="18"/>
          <w:szCs w:val="18"/>
          <w:lang w:val="es-ES_tradnl"/>
        </w:rPr>
        <w:t>ú</w:t>
      </w:r>
      <w:r>
        <w:rPr>
          <w:spacing w:val="-4"/>
          <w:sz w:val="18"/>
          <w:szCs w:val="18"/>
          <w:lang w:val="es-ES_tradnl"/>
        </w:rPr>
        <w:t>blica</w:t>
      </w:r>
      <w:r>
        <w:rPr>
          <w:spacing w:val="-4"/>
          <w:sz w:val="18"/>
          <w:szCs w:val="18"/>
          <w:vertAlign w:val="superscript"/>
          <w:lang w:val="es-ES_tradnl"/>
        </w:rPr>
        <w:t>10</w:t>
      </w:r>
      <w:r>
        <w:rPr>
          <w:spacing w:val="-4"/>
          <w:sz w:val="18"/>
          <w:szCs w:val="18"/>
          <w:lang w:val="es-ES_tradnl"/>
        </w:rPr>
        <w:t xml:space="preserve"> y la ley</w:t>
      </w:r>
      <w:r>
        <w:rPr>
          <w:spacing w:val="-4"/>
          <w:sz w:val="18"/>
          <w:szCs w:val="18"/>
          <w:vertAlign w:val="superscript"/>
          <w:lang w:val="es-ES_tradnl"/>
        </w:rPr>
        <w:t>11</w:t>
      </w:r>
      <w:r>
        <w:rPr>
          <w:spacing w:val="-4"/>
          <w:sz w:val="18"/>
          <w:szCs w:val="18"/>
          <w:lang w:val="es-ES_tradnl"/>
        </w:rPr>
        <w:t xml:space="preserve">, le son plenamente aplicables los principios tributarios </w:t>
      </w:r>
      <w:r>
        <w:rPr>
          <w:spacing w:val="-6"/>
          <w:sz w:val="18"/>
          <w:szCs w:val="18"/>
          <w:lang w:val="es-ES_tradnl"/>
        </w:rPr>
        <w:t>estudiados en el presente problema jur</w:t>
      </w:r>
      <w:r>
        <w:rPr>
          <w:rFonts w:cs="Times New Roman"/>
          <w:spacing w:val="-6"/>
          <w:sz w:val="18"/>
          <w:szCs w:val="18"/>
          <w:lang w:val="es-ES_tradnl"/>
        </w:rPr>
        <w:t>í</w:t>
      </w:r>
      <w:r>
        <w:rPr>
          <w:spacing w:val="-6"/>
          <w:sz w:val="18"/>
          <w:szCs w:val="18"/>
          <w:lang w:val="es-ES_tradnl"/>
        </w:rPr>
        <w:t>dico.</w:t>
      </w:r>
    </w:p>
    <w:p w14:paraId="4F67A7C5" w14:textId="77777777" w:rsidR="00591D54" w:rsidRDefault="00591D54">
      <w:pPr>
        <w:shd w:val="clear" w:color="auto" w:fill="FFFFFF"/>
        <w:spacing w:before="206" w:line="226" w:lineRule="exact"/>
        <w:jc w:val="both"/>
      </w:pPr>
      <w:r>
        <w:rPr>
          <w:spacing w:val="-7"/>
          <w:sz w:val="18"/>
          <w:szCs w:val="18"/>
          <w:lang w:val="es-ES_tradnl"/>
        </w:rPr>
        <w:t>Conforme lo establece nuestro ordenamiento jur</w:t>
      </w:r>
      <w:r>
        <w:rPr>
          <w:rFonts w:cs="Times New Roman"/>
          <w:spacing w:val="-7"/>
          <w:sz w:val="18"/>
          <w:szCs w:val="18"/>
          <w:lang w:val="es-ES_tradnl"/>
        </w:rPr>
        <w:t>í</w:t>
      </w:r>
      <w:r>
        <w:rPr>
          <w:spacing w:val="-7"/>
          <w:sz w:val="18"/>
          <w:szCs w:val="18"/>
          <w:lang w:val="es-ES_tradnl"/>
        </w:rPr>
        <w:t xml:space="preserve">dico y en </w:t>
      </w:r>
      <w:r>
        <w:rPr>
          <w:spacing w:val="-8"/>
          <w:sz w:val="18"/>
          <w:szCs w:val="18"/>
          <w:lang w:val="es-ES_tradnl"/>
        </w:rPr>
        <w:t>este caso en concreto el C</w:t>
      </w:r>
      <w:r>
        <w:rPr>
          <w:rFonts w:cs="Times New Roman"/>
          <w:spacing w:val="-8"/>
          <w:sz w:val="18"/>
          <w:szCs w:val="18"/>
          <w:lang w:val="es-ES_tradnl"/>
        </w:rPr>
        <w:t>ó</w:t>
      </w:r>
      <w:r>
        <w:rPr>
          <w:spacing w:val="-8"/>
          <w:sz w:val="18"/>
          <w:szCs w:val="18"/>
          <w:lang w:val="es-ES_tradnl"/>
        </w:rPr>
        <w:t>digo Org</w:t>
      </w:r>
      <w:r>
        <w:rPr>
          <w:rFonts w:cs="Times New Roman"/>
          <w:spacing w:val="-8"/>
          <w:sz w:val="18"/>
          <w:szCs w:val="18"/>
          <w:lang w:val="es-ES_tradnl"/>
        </w:rPr>
        <w:t>á</w:t>
      </w:r>
      <w:r>
        <w:rPr>
          <w:spacing w:val="-8"/>
          <w:sz w:val="18"/>
          <w:szCs w:val="18"/>
          <w:lang w:val="es-ES_tradnl"/>
        </w:rPr>
        <w:t>nico de Organizaci</w:t>
      </w:r>
      <w:r>
        <w:rPr>
          <w:rFonts w:cs="Times New Roman"/>
          <w:spacing w:val="-8"/>
          <w:sz w:val="18"/>
          <w:szCs w:val="18"/>
          <w:lang w:val="es-ES_tradnl"/>
        </w:rPr>
        <w:t>ó</w:t>
      </w:r>
      <w:r>
        <w:rPr>
          <w:spacing w:val="-8"/>
          <w:sz w:val="18"/>
          <w:szCs w:val="18"/>
          <w:lang w:val="es-ES_tradnl"/>
        </w:rPr>
        <w:t xml:space="preserve">n </w:t>
      </w:r>
      <w:r>
        <w:rPr>
          <w:sz w:val="18"/>
          <w:szCs w:val="18"/>
          <w:lang w:val="es-ES_tradnl"/>
        </w:rPr>
        <w:t>Territorial Autonom</w:t>
      </w:r>
      <w:r>
        <w:rPr>
          <w:rFonts w:cs="Times New Roman"/>
          <w:sz w:val="18"/>
          <w:szCs w:val="18"/>
          <w:lang w:val="es-ES_tradnl"/>
        </w:rPr>
        <w:t>í</w:t>
      </w:r>
      <w:r>
        <w:rPr>
          <w:sz w:val="18"/>
          <w:szCs w:val="18"/>
          <w:lang w:val="es-ES_tradnl"/>
        </w:rPr>
        <w:t>a y Descentralizaci</w:t>
      </w:r>
      <w:r>
        <w:rPr>
          <w:rFonts w:cs="Times New Roman"/>
          <w:sz w:val="18"/>
          <w:szCs w:val="18"/>
          <w:lang w:val="es-ES_tradnl"/>
        </w:rPr>
        <w:t>ó</w:t>
      </w:r>
      <w:r>
        <w:rPr>
          <w:sz w:val="18"/>
          <w:szCs w:val="18"/>
          <w:lang w:val="es-ES_tradnl"/>
        </w:rPr>
        <w:t xml:space="preserve">n COOTAD, </w:t>
      </w:r>
      <w:r>
        <w:rPr>
          <w:spacing w:val="-5"/>
          <w:sz w:val="18"/>
          <w:szCs w:val="18"/>
          <w:lang w:val="es-ES_tradnl"/>
        </w:rPr>
        <w:t>los Gobiernos Aut</w:t>
      </w:r>
      <w:r>
        <w:rPr>
          <w:rFonts w:cs="Times New Roman"/>
          <w:spacing w:val="-5"/>
          <w:sz w:val="18"/>
          <w:szCs w:val="18"/>
          <w:lang w:val="es-ES_tradnl"/>
        </w:rPr>
        <w:t>ó</w:t>
      </w:r>
      <w:r>
        <w:rPr>
          <w:spacing w:val="-5"/>
          <w:sz w:val="18"/>
          <w:szCs w:val="18"/>
          <w:lang w:val="es-ES_tradnl"/>
        </w:rPr>
        <w:t xml:space="preserve">nomos Descentralizados Municipales </w:t>
      </w:r>
      <w:r>
        <w:rPr>
          <w:spacing w:val="-8"/>
          <w:sz w:val="18"/>
          <w:szCs w:val="18"/>
          <w:lang w:val="es-ES_tradnl"/>
        </w:rPr>
        <w:t xml:space="preserve">gozan de la potestad para crear tasas ante dos supuestos claramente identificables en la norma, lo que se conoce en </w:t>
      </w:r>
      <w:r>
        <w:rPr>
          <w:spacing w:val="-6"/>
          <w:sz w:val="18"/>
          <w:szCs w:val="18"/>
          <w:lang w:val="es-ES_tradnl"/>
        </w:rPr>
        <w:t>t</w:t>
      </w:r>
      <w:r>
        <w:rPr>
          <w:rFonts w:cs="Times New Roman"/>
          <w:spacing w:val="-6"/>
          <w:sz w:val="18"/>
          <w:szCs w:val="18"/>
          <w:lang w:val="es-ES_tradnl"/>
        </w:rPr>
        <w:t>é</w:t>
      </w:r>
      <w:r>
        <w:rPr>
          <w:spacing w:val="-6"/>
          <w:sz w:val="18"/>
          <w:szCs w:val="18"/>
          <w:lang w:val="es-ES_tradnl"/>
        </w:rPr>
        <w:t xml:space="preserve">rminos tributarios como hecho generador. El primero de </w:t>
      </w:r>
      <w:r>
        <w:rPr>
          <w:spacing w:val="-5"/>
          <w:sz w:val="18"/>
          <w:szCs w:val="18"/>
          <w:lang w:val="es-ES_tradnl"/>
        </w:rPr>
        <w:t>ellos es en relaci</w:t>
      </w:r>
      <w:r>
        <w:rPr>
          <w:rFonts w:cs="Times New Roman"/>
          <w:spacing w:val="-5"/>
          <w:sz w:val="18"/>
          <w:szCs w:val="18"/>
          <w:lang w:val="es-ES_tradnl"/>
        </w:rPr>
        <w:t>ó</w:t>
      </w:r>
      <w:r>
        <w:rPr>
          <w:spacing w:val="-5"/>
          <w:sz w:val="18"/>
          <w:szCs w:val="18"/>
          <w:lang w:val="es-ES_tradnl"/>
        </w:rPr>
        <w:t>n a la prestaci</w:t>
      </w:r>
      <w:r>
        <w:rPr>
          <w:rFonts w:cs="Times New Roman"/>
          <w:spacing w:val="-5"/>
          <w:sz w:val="18"/>
          <w:szCs w:val="18"/>
          <w:lang w:val="es-ES_tradnl"/>
        </w:rPr>
        <w:t>ó</w:t>
      </w:r>
      <w:r>
        <w:rPr>
          <w:spacing w:val="-5"/>
          <w:sz w:val="18"/>
          <w:szCs w:val="18"/>
          <w:lang w:val="es-ES_tradnl"/>
        </w:rPr>
        <w:t>n de un servicio p</w:t>
      </w:r>
      <w:r>
        <w:rPr>
          <w:rFonts w:cs="Times New Roman"/>
          <w:spacing w:val="-5"/>
          <w:sz w:val="18"/>
          <w:szCs w:val="18"/>
          <w:lang w:val="es-ES_tradnl"/>
        </w:rPr>
        <w:t>ú</w:t>
      </w:r>
      <w:r>
        <w:rPr>
          <w:spacing w:val="-5"/>
          <w:sz w:val="18"/>
          <w:szCs w:val="18"/>
          <w:lang w:val="es-ES_tradnl"/>
        </w:rPr>
        <w:t xml:space="preserve">blico </w:t>
      </w:r>
      <w:r>
        <w:rPr>
          <w:spacing w:val="-6"/>
          <w:sz w:val="18"/>
          <w:szCs w:val="18"/>
          <w:lang w:val="es-ES_tradnl"/>
        </w:rPr>
        <w:t xml:space="preserve">en el marco de las competencias, en donde el Gobierno </w:t>
      </w:r>
      <w:r>
        <w:rPr>
          <w:spacing w:val="-5"/>
          <w:sz w:val="18"/>
          <w:szCs w:val="18"/>
          <w:lang w:val="es-ES_tradnl"/>
        </w:rPr>
        <w:t xml:space="preserve">Municipal exige de los ciudadanos el pago de un monto </w:t>
      </w:r>
      <w:r>
        <w:rPr>
          <w:spacing w:val="-4"/>
          <w:sz w:val="18"/>
          <w:szCs w:val="18"/>
          <w:lang w:val="es-ES_tradnl"/>
        </w:rPr>
        <w:t>econ</w:t>
      </w:r>
      <w:r>
        <w:rPr>
          <w:rFonts w:cs="Times New Roman"/>
          <w:spacing w:val="-4"/>
          <w:sz w:val="18"/>
          <w:szCs w:val="18"/>
          <w:lang w:val="es-ES_tradnl"/>
        </w:rPr>
        <w:t>ó</w:t>
      </w:r>
      <w:r>
        <w:rPr>
          <w:spacing w:val="-4"/>
          <w:sz w:val="18"/>
          <w:szCs w:val="18"/>
          <w:lang w:val="es-ES_tradnl"/>
        </w:rPr>
        <w:t xml:space="preserve">mico ante el servicio real o potencial que brinde </w:t>
      </w:r>
      <w:r>
        <w:rPr>
          <w:spacing w:val="-3"/>
          <w:sz w:val="18"/>
          <w:szCs w:val="18"/>
          <w:lang w:val="es-ES_tradnl"/>
        </w:rPr>
        <w:t>dicho Gobierno, siempre que, se</w:t>
      </w:r>
      <w:r>
        <w:rPr>
          <w:rFonts w:cs="Times New Roman"/>
          <w:spacing w:val="-3"/>
          <w:sz w:val="18"/>
          <w:szCs w:val="18"/>
          <w:lang w:val="es-ES_tradnl"/>
        </w:rPr>
        <w:t>ñ</w:t>
      </w:r>
      <w:r>
        <w:rPr>
          <w:spacing w:val="-3"/>
          <w:sz w:val="18"/>
          <w:szCs w:val="18"/>
          <w:lang w:val="es-ES_tradnl"/>
        </w:rPr>
        <w:t>ala la ley</w:t>
      </w:r>
      <w:r>
        <w:rPr>
          <w:spacing w:val="-3"/>
          <w:sz w:val="18"/>
          <w:szCs w:val="18"/>
          <w:vertAlign w:val="superscript"/>
          <w:lang w:val="es-ES_tradnl"/>
        </w:rPr>
        <w:t>12</w:t>
      </w:r>
      <w:r>
        <w:rPr>
          <w:spacing w:val="-3"/>
          <w:sz w:val="18"/>
          <w:szCs w:val="18"/>
          <w:lang w:val="es-ES_tradnl"/>
        </w:rPr>
        <w:t xml:space="preserve">, el monto </w:t>
      </w:r>
      <w:r>
        <w:rPr>
          <w:spacing w:val="-1"/>
          <w:sz w:val="18"/>
          <w:szCs w:val="18"/>
          <w:lang w:val="es-ES_tradnl"/>
        </w:rPr>
        <w:t>o tarifa fijado para cumplir con la obligaci</w:t>
      </w:r>
      <w:r>
        <w:rPr>
          <w:rFonts w:cs="Times New Roman"/>
          <w:spacing w:val="-1"/>
          <w:sz w:val="18"/>
          <w:szCs w:val="18"/>
          <w:lang w:val="es-ES_tradnl"/>
        </w:rPr>
        <w:t>ó</w:t>
      </w:r>
      <w:r>
        <w:rPr>
          <w:spacing w:val="-1"/>
          <w:sz w:val="18"/>
          <w:szCs w:val="18"/>
          <w:lang w:val="es-ES_tradnl"/>
        </w:rPr>
        <w:t xml:space="preserve">n tributaria </w:t>
      </w:r>
      <w:r>
        <w:rPr>
          <w:spacing w:val="-4"/>
          <w:sz w:val="18"/>
          <w:szCs w:val="18"/>
          <w:lang w:val="es-ES_tradnl"/>
        </w:rPr>
        <w:t>guarde relaci</w:t>
      </w:r>
      <w:r>
        <w:rPr>
          <w:rFonts w:cs="Times New Roman"/>
          <w:spacing w:val="-4"/>
          <w:sz w:val="18"/>
          <w:szCs w:val="18"/>
          <w:lang w:val="es-ES_tradnl"/>
        </w:rPr>
        <w:t>ó</w:t>
      </w:r>
      <w:r>
        <w:rPr>
          <w:spacing w:val="-4"/>
          <w:sz w:val="18"/>
          <w:szCs w:val="18"/>
          <w:lang w:val="es-ES_tradnl"/>
        </w:rPr>
        <w:t>n con el costo de producci</w:t>
      </w:r>
      <w:r>
        <w:rPr>
          <w:rFonts w:cs="Times New Roman"/>
          <w:spacing w:val="-4"/>
          <w:sz w:val="18"/>
          <w:szCs w:val="18"/>
          <w:lang w:val="es-ES_tradnl"/>
        </w:rPr>
        <w:t>ó</w:t>
      </w:r>
      <w:r>
        <w:rPr>
          <w:spacing w:val="-4"/>
          <w:sz w:val="18"/>
          <w:szCs w:val="18"/>
          <w:lang w:val="es-ES_tradnl"/>
        </w:rPr>
        <w:t xml:space="preserve">n de dichos </w:t>
      </w:r>
      <w:r>
        <w:rPr>
          <w:spacing w:val="-5"/>
          <w:sz w:val="18"/>
          <w:szCs w:val="18"/>
          <w:lang w:val="es-ES_tradnl"/>
        </w:rPr>
        <w:t>servicios,  bajo la idea de que la prestaci</w:t>
      </w:r>
      <w:r>
        <w:rPr>
          <w:rFonts w:cs="Times New Roman"/>
          <w:spacing w:val="-5"/>
          <w:sz w:val="18"/>
          <w:szCs w:val="18"/>
          <w:lang w:val="es-ES_tradnl"/>
        </w:rPr>
        <w:t>ó</w:t>
      </w:r>
      <w:r>
        <w:rPr>
          <w:spacing w:val="-5"/>
          <w:sz w:val="18"/>
          <w:szCs w:val="18"/>
          <w:lang w:val="es-ES_tradnl"/>
        </w:rPr>
        <w:t>n realizada por</w:t>
      </w:r>
    </w:p>
    <w:p w14:paraId="4F67A7C6" w14:textId="77777777" w:rsidR="00591D54" w:rsidRDefault="00591D54">
      <w:pPr>
        <w:shd w:val="clear" w:color="auto" w:fill="FFFFFF"/>
        <w:tabs>
          <w:tab w:val="left" w:pos="139"/>
        </w:tabs>
        <w:spacing w:before="509" w:line="178" w:lineRule="exact"/>
        <w:ind w:left="139" w:hanging="139"/>
        <w:jc w:val="both"/>
      </w:pPr>
      <w:r>
        <w:rPr>
          <w:spacing w:val="-5"/>
          <w:sz w:val="8"/>
          <w:szCs w:val="8"/>
          <w:vertAlign w:val="superscript"/>
          <w:lang w:val="es-ES_tradnl"/>
        </w:rPr>
        <w:t>10</w:t>
      </w:r>
      <w:r>
        <w:rPr>
          <w:sz w:val="18"/>
          <w:szCs w:val="18"/>
          <w:lang w:val="es-ES_tradnl"/>
        </w:rPr>
        <w:tab/>
      </w:r>
      <w:r>
        <w:rPr>
          <w:sz w:val="14"/>
          <w:szCs w:val="14"/>
          <w:lang w:val="es-ES_tradnl"/>
        </w:rPr>
        <w:t>Constituci</w:t>
      </w:r>
      <w:r>
        <w:rPr>
          <w:rFonts w:cs="Times New Roman"/>
          <w:sz w:val="14"/>
          <w:szCs w:val="14"/>
          <w:lang w:val="es-ES_tradnl"/>
        </w:rPr>
        <w:t>ó</w:t>
      </w:r>
      <w:r>
        <w:rPr>
          <w:sz w:val="14"/>
          <w:szCs w:val="14"/>
          <w:lang w:val="es-ES_tradnl"/>
        </w:rPr>
        <w:t>n</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la</w:t>
      </w:r>
      <w:r>
        <w:rPr>
          <w:sz w:val="18"/>
          <w:szCs w:val="18"/>
          <w:lang w:val="es-ES_tradnl"/>
        </w:rPr>
        <w:t xml:space="preserve"> </w:t>
      </w:r>
      <w:r>
        <w:rPr>
          <w:sz w:val="14"/>
          <w:szCs w:val="14"/>
          <w:lang w:val="es-ES_tradnl"/>
        </w:rPr>
        <w:t>Rep</w:t>
      </w:r>
      <w:r>
        <w:rPr>
          <w:rFonts w:cs="Times New Roman"/>
          <w:sz w:val="14"/>
          <w:szCs w:val="14"/>
          <w:lang w:val="es-ES_tradnl"/>
        </w:rPr>
        <w:t>ú</w:t>
      </w:r>
      <w:r>
        <w:rPr>
          <w:sz w:val="14"/>
          <w:szCs w:val="14"/>
          <w:lang w:val="es-ES_tradnl"/>
        </w:rPr>
        <w:t>blica:</w:t>
      </w:r>
      <w:r>
        <w:rPr>
          <w:sz w:val="18"/>
          <w:szCs w:val="18"/>
          <w:lang w:val="es-ES_tradnl"/>
        </w:rPr>
        <w:t xml:space="preserve"> </w:t>
      </w:r>
      <w:r>
        <w:rPr>
          <w:sz w:val="14"/>
          <w:szCs w:val="14"/>
          <w:lang w:val="es-ES_tradnl"/>
        </w:rPr>
        <w:t>Art.</w:t>
      </w:r>
      <w:r>
        <w:rPr>
          <w:sz w:val="18"/>
          <w:szCs w:val="18"/>
          <w:lang w:val="es-ES_tradnl"/>
        </w:rPr>
        <w:t xml:space="preserve"> </w:t>
      </w:r>
      <w:r>
        <w:rPr>
          <w:sz w:val="14"/>
          <w:szCs w:val="14"/>
          <w:lang w:val="es-ES_tradnl"/>
        </w:rPr>
        <w:t>264.-</w:t>
      </w:r>
      <w:r>
        <w:rPr>
          <w:sz w:val="18"/>
          <w:szCs w:val="18"/>
          <w:lang w:val="es-ES_tradnl"/>
        </w:rPr>
        <w:t xml:space="preserve"> </w:t>
      </w:r>
      <w:r>
        <w:rPr>
          <w:sz w:val="14"/>
          <w:szCs w:val="14"/>
          <w:lang w:val="es-ES_tradnl"/>
        </w:rPr>
        <w:t>Los</w:t>
      </w:r>
      <w:r>
        <w:rPr>
          <w:sz w:val="18"/>
          <w:szCs w:val="18"/>
          <w:lang w:val="es-ES_tradnl"/>
        </w:rPr>
        <w:t xml:space="preserve"> </w:t>
      </w:r>
      <w:r>
        <w:rPr>
          <w:sz w:val="14"/>
          <w:szCs w:val="14"/>
          <w:lang w:val="es-ES_tradnl"/>
        </w:rPr>
        <w:t>gobiernos</w:t>
      </w:r>
      <w:r>
        <w:rPr>
          <w:sz w:val="18"/>
          <w:szCs w:val="18"/>
          <w:lang w:val="es-ES_tradnl"/>
        </w:rPr>
        <w:t xml:space="preserve"> </w:t>
      </w:r>
      <w:r>
        <w:rPr>
          <w:sz w:val="14"/>
          <w:szCs w:val="14"/>
          <w:lang w:val="es-ES_tradnl"/>
        </w:rPr>
        <w:t>municipales </w:t>
      </w:r>
      <w:r>
        <w:rPr>
          <w:spacing w:val="-3"/>
          <w:sz w:val="14"/>
          <w:szCs w:val="14"/>
          <w:lang w:val="es-ES_tradnl"/>
        </w:rPr>
        <w:t>tendr</w:t>
      </w:r>
      <w:r>
        <w:rPr>
          <w:rFonts w:cs="Times New Roman"/>
          <w:spacing w:val="-3"/>
          <w:sz w:val="14"/>
          <w:szCs w:val="14"/>
          <w:lang w:val="es-ES_tradnl"/>
        </w:rPr>
        <w:t>á</w:t>
      </w:r>
      <w:r>
        <w:rPr>
          <w:spacing w:val="-3"/>
          <w:sz w:val="14"/>
          <w:szCs w:val="14"/>
          <w:lang w:val="es-ES_tradnl"/>
        </w:rPr>
        <w:t>n las siguientes competencias exclusivas sin perjuicio de otras </w:t>
      </w:r>
      <w:r>
        <w:rPr>
          <w:sz w:val="14"/>
          <w:szCs w:val="14"/>
          <w:lang w:val="es-ES_tradnl"/>
        </w:rPr>
        <w:t>que determine la ley: (</w:t>
      </w:r>
      <w:r>
        <w:rPr>
          <w:rFonts w:cs="Times New Roman"/>
          <w:sz w:val="14"/>
          <w:szCs w:val="14"/>
          <w:lang w:val="es-ES_tradnl"/>
        </w:rPr>
        <w:t>…</w:t>
      </w:r>
      <w:r>
        <w:rPr>
          <w:sz w:val="14"/>
          <w:szCs w:val="14"/>
          <w:lang w:val="es-ES_tradnl"/>
        </w:rPr>
        <w:t>) 5. Crear, modificar o suprimir mediante </w:t>
      </w:r>
      <w:r>
        <w:rPr>
          <w:spacing w:val="-3"/>
          <w:sz w:val="14"/>
          <w:szCs w:val="14"/>
          <w:lang w:val="es-ES_tradnl"/>
        </w:rPr>
        <w:t>ordenanzas, tasas y contribuciones especiales de mejoras.</w:t>
      </w:r>
    </w:p>
    <w:p w14:paraId="4F67A7C7" w14:textId="77777777" w:rsidR="00591D54" w:rsidRDefault="00591D54">
      <w:pPr>
        <w:shd w:val="clear" w:color="auto" w:fill="FFFFFF"/>
        <w:tabs>
          <w:tab w:val="left" w:pos="139"/>
        </w:tabs>
        <w:spacing w:before="154" w:line="178" w:lineRule="exact"/>
        <w:ind w:left="139" w:right="5" w:hanging="139"/>
        <w:jc w:val="both"/>
      </w:pPr>
      <w:r>
        <w:rPr>
          <w:spacing w:val="-40"/>
          <w:sz w:val="14"/>
          <w:szCs w:val="14"/>
          <w:vertAlign w:val="superscript"/>
          <w:lang w:val="es-ES_tradnl"/>
        </w:rPr>
        <w:t>11</w:t>
      </w:r>
      <w:r>
        <w:rPr>
          <w:sz w:val="18"/>
          <w:szCs w:val="18"/>
          <w:lang w:val="es-ES_tradnl"/>
        </w:rPr>
        <w:tab/>
      </w:r>
      <w:r>
        <w:rPr>
          <w:sz w:val="14"/>
          <w:szCs w:val="14"/>
          <w:lang w:val="es-ES_tradnl"/>
        </w:rPr>
        <w:t>C</w:t>
      </w:r>
      <w:r>
        <w:rPr>
          <w:rFonts w:cs="Times New Roman"/>
          <w:sz w:val="14"/>
          <w:szCs w:val="14"/>
          <w:lang w:val="es-ES_tradnl"/>
        </w:rPr>
        <w:t>ó</w:t>
      </w:r>
      <w:r>
        <w:rPr>
          <w:sz w:val="14"/>
          <w:szCs w:val="14"/>
          <w:lang w:val="es-ES_tradnl"/>
        </w:rPr>
        <w:t>digo</w:t>
      </w:r>
      <w:r>
        <w:rPr>
          <w:sz w:val="18"/>
          <w:szCs w:val="18"/>
          <w:lang w:val="es-ES_tradnl"/>
        </w:rPr>
        <w:t xml:space="preserve"> </w:t>
      </w:r>
      <w:r>
        <w:rPr>
          <w:sz w:val="14"/>
          <w:szCs w:val="14"/>
          <w:lang w:val="es-ES_tradnl"/>
        </w:rPr>
        <w:t>Org</w:t>
      </w:r>
      <w:r>
        <w:rPr>
          <w:rFonts w:cs="Times New Roman"/>
          <w:sz w:val="14"/>
          <w:szCs w:val="14"/>
          <w:lang w:val="es-ES_tradnl"/>
        </w:rPr>
        <w:t>á</w:t>
      </w:r>
      <w:r>
        <w:rPr>
          <w:sz w:val="14"/>
          <w:szCs w:val="14"/>
          <w:lang w:val="es-ES_tradnl"/>
        </w:rPr>
        <w:t>nico</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Organizaci</w:t>
      </w:r>
      <w:r>
        <w:rPr>
          <w:rFonts w:cs="Times New Roman"/>
          <w:sz w:val="14"/>
          <w:szCs w:val="14"/>
          <w:lang w:val="es-ES_tradnl"/>
        </w:rPr>
        <w:t>ó</w:t>
      </w:r>
      <w:r>
        <w:rPr>
          <w:sz w:val="14"/>
          <w:szCs w:val="14"/>
          <w:lang w:val="es-ES_tradnl"/>
        </w:rPr>
        <w:t>n</w:t>
      </w:r>
      <w:r>
        <w:rPr>
          <w:sz w:val="18"/>
          <w:szCs w:val="18"/>
          <w:lang w:val="es-ES_tradnl"/>
        </w:rPr>
        <w:t xml:space="preserve"> </w:t>
      </w:r>
      <w:r>
        <w:rPr>
          <w:sz w:val="14"/>
          <w:szCs w:val="14"/>
          <w:lang w:val="es-ES_tradnl"/>
        </w:rPr>
        <w:t>Territorial</w:t>
      </w:r>
      <w:r>
        <w:rPr>
          <w:sz w:val="18"/>
          <w:szCs w:val="18"/>
          <w:lang w:val="es-ES_tradnl"/>
        </w:rPr>
        <w:t xml:space="preserve"> </w:t>
      </w:r>
      <w:r>
        <w:rPr>
          <w:sz w:val="14"/>
          <w:szCs w:val="14"/>
          <w:lang w:val="es-ES_tradnl"/>
        </w:rPr>
        <w:t>Autonom</w:t>
      </w:r>
      <w:r>
        <w:rPr>
          <w:rFonts w:cs="Times New Roman"/>
          <w:sz w:val="14"/>
          <w:szCs w:val="14"/>
          <w:lang w:val="es-ES_tradnl"/>
        </w:rPr>
        <w:t>í</w:t>
      </w:r>
      <w:r>
        <w:rPr>
          <w:sz w:val="14"/>
          <w:szCs w:val="14"/>
          <w:lang w:val="es-ES_tradnl"/>
        </w:rPr>
        <w:t>a</w:t>
      </w:r>
      <w:r>
        <w:rPr>
          <w:sz w:val="18"/>
          <w:szCs w:val="18"/>
          <w:lang w:val="es-ES_tradnl"/>
        </w:rPr>
        <w:t xml:space="preserve"> </w:t>
      </w:r>
      <w:r>
        <w:rPr>
          <w:sz w:val="14"/>
          <w:szCs w:val="14"/>
          <w:lang w:val="es-ES_tradnl"/>
        </w:rPr>
        <w:t>y </w:t>
      </w:r>
      <w:r>
        <w:rPr>
          <w:spacing w:val="-1"/>
          <w:sz w:val="14"/>
          <w:szCs w:val="14"/>
          <w:lang w:val="es-ES_tradnl"/>
        </w:rPr>
        <w:t>Descentralizaci</w:t>
      </w:r>
      <w:r>
        <w:rPr>
          <w:rFonts w:cs="Times New Roman"/>
          <w:spacing w:val="-1"/>
          <w:sz w:val="14"/>
          <w:szCs w:val="14"/>
          <w:lang w:val="es-ES_tradnl"/>
        </w:rPr>
        <w:t>ó</w:t>
      </w:r>
      <w:r>
        <w:rPr>
          <w:spacing w:val="-1"/>
          <w:sz w:val="14"/>
          <w:szCs w:val="14"/>
          <w:lang w:val="es-ES_tradnl"/>
        </w:rPr>
        <w:t>n: Art. 55.- Competencias exclusivas del gobierno aut</w:t>
      </w:r>
      <w:r>
        <w:rPr>
          <w:rFonts w:cs="Times New Roman"/>
          <w:spacing w:val="-1"/>
          <w:sz w:val="14"/>
          <w:szCs w:val="14"/>
          <w:lang w:val="es-ES_tradnl"/>
        </w:rPr>
        <w:t>ó</w:t>
      </w:r>
      <w:r>
        <w:rPr>
          <w:spacing w:val="-1"/>
          <w:sz w:val="14"/>
          <w:szCs w:val="14"/>
          <w:lang w:val="es-ES_tradnl"/>
        </w:rPr>
        <w:t>nomo descentralizado municipal.- Los gobiernos aut</w:t>
      </w:r>
      <w:r>
        <w:rPr>
          <w:rFonts w:cs="Times New Roman"/>
          <w:spacing w:val="-1"/>
          <w:sz w:val="14"/>
          <w:szCs w:val="14"/>
          <w:lang w:val="es-ES_tradnl"/>
        </w:rPr>
        <w:t>ó</w:t>
      </w:r>
      <w:r>
        <w:rPr>
          <w:spacing w:val="-1"/>
          <w:sz w:val="14"/>
          <w:szCs w:val="14"/>
          <w:lang w:val="es-ES_tradnl"/>
        </w:rPr>
        <w:t>nomos </w:t>
      </w:r>
      <w:r>
        <w:rPr>
          <w:spacing w:val="-2"/>
          <w:sz w:val="14"/>
          <w:szCs w:val="14"/>
          <w:lang w:val="es-ES_tradnl"/>
        </w:rPr>
        <w:t>descentralizados municipales tendr</w:t>
      </w:r>
      <w:r>
        <w:rPr>
          <w:rFonts w:cs="Times New Roman"/>
          <w:spacing w:val="-2"/>
          <w:sz w:val="14"/>
          <w:szCs w:val="14"/>
          <w:lang w:val="es-ES_tradnl"/>
        </w:rPr>
        <w:t>á</w:t>
      </w:r>
      <w:r>
        <w:rPr>
          <w:spacing w:val="-2"/>
          <w:sz w:val="14"/>
          <w:szCs w:val="14"/>
          <w:lang w:val="es-ES_tradnl"/>
        </w:rPr>
        <w:t>n las siguientes competencias </w:t>
      </w:r>
      <w:r>
        <w:rPr>
          <w:spacing w:val="-1"/>
          <w:sz w:val="14"/>
          <w:szCs w:val="14"/>
          <w:lang w:val="es-ES_tradnl"/>
        </w:rPr>
        <w:t>exclusivas sin perjuicio de otras que determine la ley; (</w:t>
      </w:r>
      <w:r>
        <w:rPr>
          <w:rFonts w:cs="Times New Roman"/>
          <w:spacing w:val="-1"/>
          <w:sz w:val="14"/>
          <w:szCs w:val="14"/>
          <w:lang w:val="es-ES_tradnl"/>
        </w:rPr>
        <w:t>…</w:t>
      </w:r>
      <w:r>
        <w:rPr>
          <w:spacing w:val="-1"/>
          <w:sz w:val="14"/>
          <w:szCs w:val="14"/>
          <w:lang w:val="es-ES_tradnl"/>
        </w:rPr>
        <w:t>) e) Crear, </w:t>
      </w:r>
      <w:r>
        <w:rPr>
          <w:spacing w:val="-2"/>
          <w:sz w:val="14"/>
          <w:szCs w:val="14"/>
          <w:lang w:val="es-ES_tradnl"/>
        </w:rPr>
        <w:t>modificar, exonerar o suprimir mediante ordenanzas, tasas, tarifas y </w:t>
      </w:r>
      <w:r>
        <w:rPr>
          <w:sz w:val="14"/>
          <w:szCs w:val="14"/>
          <w:lang w:val="es-ES_tradnl"/>
        </w:rPr>
        <w:t>contribuciones especiales de mejoras; (</w:t>
      </w:r>
      <w:r>
        <w:rPr>
          <w:rFonts w:cs="Times New Roman"/>
          <w:sz w:val="14"/>
          <w:szCs w:val="14"/>
          <w:lang w:val="es-ES_tradnl"/>
        </w:rPr>
        <w:t>…</w:t>
      </w:r>
      <w:r>
        <w:rPr>
          <w:sz w:val="14"/>
          <w:szCs w:val="14"/>
          <w:lang w:val="es-ES_tradnl"/>
        </w:rPr>
        <w:t>)</w:t>
      </w:r>
    </w:p>
    <w:p w14:paraId="4F67A7C8" w14:textId="77777777" w:rsidR="00591D54" w:rsidRDefault="00591D54">
      <w:pPr>
        <w:shd w:val="clear" w:color="auto" w:fill="FFFFFF"/>
        <w:tabs>
          <w:tab w:val="left" w:pos="139"/>
        </w:tabs>
        <w:spacing w:before="149" w:line="178" w:lineRule="exact"/>
        <w:ind w:left="139" w:right="5" w:hanging="139"/>
        <w:jc w:val="both"/>
      </w:pPr>
      <w:r>
        <w:rPr>
          <w:spacing w:val="-5"/>
          <w:sz w:val="8"/>
          <w:szCs w:val="8"/>
          <w:vertAlign w:val="superscript"/>
          <w:lang w:val="es-ES_tradnl"/>
        </w:rPr>
        <w:t>12</w:t>
      </w:r>
      <w:r>
        <w:rPr>
          <w:sz w:val="18"/>
          <w:szCs w:val="18"/>
          <w:lang w:val="es-ES_tradnl"/>
        </w:rPr>
        <w:tab/>
      </w:r>
      <w:r>
        <w:rPr>
          <w:sz w:val="14"/>
          <w:szCs w:val="14"/>
          <w:lang w:val="es-ES_tradnl"/>
        </w:rPr>
        <w:t>C</w:t>
      </w:r>
      <w:r>
        <w:rPr>
          <w:rFonts w:cs="Times New Roman"/>
          <w:sz w:val="14"/>
          <w:szCs w:val="14"/>
          <w:lang w:val="es-ES_tradnl"/>
        </w:rPr>
        <w:t>ó</w:t>
      </w:r>
      <w:r>
        <w:rPr>
          <w:sz w:val="14"/>
          <w:szCs w:val="14"/>
          <w:lang w:val="es-ES_tradnl"/>
        </w:rPr>
        <w:t>digo</w:t>
      </w:r>
      <w:r>
        <w:rPr>
          <w:sz w:val="18"/>
          <w:szCs w:val="18"/>
          <w:lang w:val="es-ES_tradnl"/>
        </w:rPr>
        <w:t xml:space="preserve"> </w:t>
      </w:r>
      <w:r>
        <w:rPr>
          <w:sz w:val="14"/>
          <w:szCs w:val="14"/>
          <w:lang w:val="es-ES_tradnl"/>
        </w:rPr>
        <w:t>Org</w:t>
      </w:r>
      <w:r>
        <w:rPr>
          <w:rFonts w:cs="Times New Roman"/>
          <w:sz w:val="14"/>
          <w:szCs w:val="14"/>
          <w:lang w:val="es-ES_tradnl"/>
        </w:rPr>
        <w:t>á</w:t>
      </w:r>
      <w:r>
        <w:rPr>
          <w:sz w:val="14"/>
          <w:szCs w:val="14"/>
          <w:lang w:val="es-ES_tradnl"/>
        </w:rPr>
        <w:t>nico</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Organizaci</w:t>
      </w:r>
      <w:r>
        <w:rPr>
          <w:rFonts w:cs="Times New Roman"/>
          <w:sz w:val="14"/>
          <w:szCs w:val="14"/>
          <w:lang w:val="es-ES_tradnl"/>
        </w:rPr>
        <w:t>ó</w:t>
      </w:r>
      <w:r>
        <w:rPr>
          <w:sz w:val="14"/>
          <w:szCs w:val="14"/>
          <w:lang w:val="es-ES_tradnl"/>
        </w:rPr>
        <w:t>n</w:t>
      </w:r>
      <w:r>
        <w:rPr>
          <w:sz w:val="18"/>
          <w:szCs w:val="18"/>
          <w:lang w:val="es-ES_tradnl"/>
        </w:rPr>
        <w:t xml:space="preserve"> </w:t>
      </w:r>
      <w:r>
        <w:rPr>
          <w:sz w:val="14"/>
          <w:szCs w:val="14"/>
          <w:lang w:val="es-ES_tradnl"/>
        </w:rPr>
        <w:t>Territorial</w:t>
      </w:r>
      <w:r>
        <w:rPr>
          <w:sz w:val="18"/>
          <w:szCs w:val="18"/>
          <w:lang w:val="es-ES_tradnl"/>
        </w:rPr>
        <w:t xml:space="preserve"> </w:t>
      </w:r>
      <w:r>
        <w:rPr>
          <w:sz w:val="14"/>
          <w:szCs w:val="14"/>
          <w:lang w:val="es-ES_tradnl"/>
        </w:rPr>
        <w:t>Autonom</w:t>
      </w:r>
      <w:r>
        <w:rPr>
          <w:rFonts w:cs="Times New Roman"/>
          <w:sz w:val="14"/>
          <w:szCs w:val="14"/>
          <w:lang w:val="es-ES_tradnl"/>
        </w:rPr>
        <w:t>í</w:t>
      </w:r>
      <w:r>
        <w:rPr>
          <w:sz w:val="14"/>
          <w:szCs w:val="14"/>
          <w:lang w:val="es-ES_tradnl"/>
        </w:rPr>
        <w:t>a</w:t>
      </w:r>
      <w:r>
        <w:rPr>
          <w:sz w:val="18"/>
          <w:szCs w:val="18"/>
          <w:lang w:val="es-ES_tradnl"/>
        </w:rPr>
        <w:t xml:space="preserve"> </w:t>
      </w:r>
      <w:r>
        <w:rPr>
          <w:sz w:val="14"/>
          <w:szCs w:val="14"/>
          <w:lang w:val="es-ES_tradnl"/>
        </w:rPr>
        <w:t>y </w:t>
      </w:r>
      <w:r>
        <w:rPr>
          <w:spacing w:val="-1"/>
          <w:sz w:val="14"/>
          <w:szCs w:val="14"/>
          <w:lang w:val="es-ES_tradnl"/>
        </w:rPr>
        <w:t>Descentralizaci</w:t>
      </w:r>
      <w:r>
        <w:rPr>
          <w:rFonts w:cs="Times New Roman"/>
          <w:spacing w:val="-1"/>
          <w:sz w:val="14"/>
          <w:szCs w:val="14"/>
          <w:lang w:val="es-ES_tradnl"/>
        </w:rPr>
        <w:t>ó</w:t>
      </w:r>
      <w:r>
        <w:rPr>
          <w:spacing w:val="-1"/>
          <w:sz w:val="14"/>
          <w:szCs w:val="14"/>
          <w:lang w:val="es-ES_tradnl"/>
        </w:rPr>
        <w:t>n: Art. 566.- Objeto y determinaci</w:t>
      </w:r>
      <w:r>
        <w:rPr>
          <w:rFonts w:cs="Times New Roman"/>
          <w:spacing w:val="-1"/>
          <w:sz w:val="14"/>
          <w:szCs w:val="14"/>
          <w:lang w:val="es-ES_tradnl"/>
        </w:rPr>
        <w:t>ó</w:t>
      </w:r>
      <w:r>
        <w:rPr>
          <w:spacing w:val="-1"/>
          <w:sz w:val="14"/>
          <w:szCs w:val="14"/>
          <w:lang w:val="es-ES_tradnl"/>
        </w:rPr>
        <w:t>n de las tasas.- </w:t>
      </w:r>
      <w:r>
        <w:rPr>
          <w:sz w:val="14"/>
          <w:szCs w:val="14"/>
          <w:lang w:val="es-ES_tradnl"/>
        </w:rPr>
        <w:t>Las municipalidades y distritos metropolitanos podr</w:t>
      </w:r>
      <w:r>
        <w:rPr>
          <w:rFonts w:cs="Times New Roman"/>
          <w:sz w:val="14"/>
          <w:szCs w:val="14"/>
          <w:lang w:val="es-ES_tradnl"/>
        </w:rPr>
        <w:t>á</w:t>
      </w:r>
      <w:r>
        <w:rPr>
          <w:sz w:val="14"/>
          <w:szCs w:val="14"/>
          <w:lang w:val="es-ES_tradnl"/>
        </w:rPr>
        <w:t>n aplicar las tasas retributivas de servicios p</w:t>
      </w:r>
      <w:r>
        <w:rPr>
          <w:rFonts w:cs="Times New Roman"/>
          <w:sz w:val="14"/>
          <w:szCs w:val="14"/>
          <w:lang w:val="es-ES_tradnl"/>
        </w:rPr>
        <w:t>ú</w:t>
      </w:r>
      <w:r>
        <w:rPr>
          <w:sz w:val="14"/>
          <w:szCs w:val="14"/>
          <w:lang w:val="es-ES_tradnl"/>
        </w:rPr>
        <w:t>blicos que se establecen en </w:t>
      </w:r>
      <w:r>
        <w:rPr>
          <w:spacing w:val="-2"/>
          <w:sz w:val="14"/>
          <w:szCs w:val="14"/>
          <w:lang w:val="es-ES_tradnl"/>
        </w:rPr>
        <w:t>este C</w:t>
      </w:r>
      <w:r>
        <w:rPr>
          <w:rFonts w:cs="Times New Roman"/>
          <w:spacing w:val="-2"/>
          <w:sz w:val="14"/>
          <w:szCs w:val="14"/>
          <w:lang w:val="es-ES_tradnl"/>
        </w:rPr>
        <w:t>ó</w:t>
      </w:r>
      <w:r>
        <w:rPr>
          <w:spacing w:val="-2"/>
          <w:sz w:val="14"/>
          <w:szCs w:val="14"/>
          <w:lang w:val="es-ES_tradnl"/>
        </w:rPr>
        <w:t>digo. Podr</w:t>
      </w:r>
      <w:r>
        <w:rPr>
          <w:rFonts w:cs="Times New Roman"/>
          <w:spacing w:val="-2"/>
          <w:sz w:val="14"/>
          <w:szCs w:val="14"/>
          <w:lang w:val="es-ES_tradnl"/>
        </w:rPr>
        <w:t>á</w:t>
      </w:r>
      <w:r>
        <w:rPr>
          <w:spacing w:val="-2"/>
          <w:sz w:val="14"/>
          <w:szCs w:val="14"/>
          <w:lang w:val="es-ES_tradnl"/>
        </w:rPr>
        <w:t>n tambi</w:t>
      </w:r>
      <w:r>
        <w:rPr>
          <w:rFonts w:cs="Times New Roman"/>
          <w:spacing w:val="-2"/>
          <w:sz w:val="14"/>
          <w:szCs w:val="14"/>
          <w:lang w:val="es-ES_tradnl"/>
        </w:rPr>
        <w:t>é</w:t>
      </w:r>
      <w:r>
        <w:rPr>
          <w:spacing w:val="-2"/>
          <w:sz w:val="14"/>
          <w:szCs w:val="14"/>
          <w:lang w:val="es-ES_tradnl"/>
        </w:rPr>
        <w:t>n aplicarse tasas sobre otros servicios </w:t>
      </w:r>
      <w:r>
        <w:rPr>
          <w:spacing w:val="-3"/>
          <w:sz w:val="14"/>
          <w:szCs w:val="14"/>
          <w:lang w:val="es-ES_tradnl"/>
        </w:rPr>
        <w:t>p</w:t>
      </w:r>
      <w:r>
        <w:rPr>
          <w:rFonts w:cs="Times New Roman"/>
          <w:spacing w:val="-3"/>
          <w:sz w:val="14"/>
          <w:szCs w:val="14"/>
          <w:lang w:val="es-ES_tradnl"/>
        </w:rPr>
        <w:t>ú</w:t>
      </w:r>
      <w:r>
        <w:rPr>
          <w:spacing w:val="-3"/>
          <w:sz w:val="14"/>
          <w:szCs w:val="14"/>
          <w:lang w:val="es-ES_tradnl"/>
        </w:rPr>
        <w:t>blicos municipales o metropolitanos siempre que su monto guarde </w:t>
      </w:r>
      <w:r>
        <w:rPr>
          <w:spacing w:val="-2"/>
          <w:sz w:val="14"/>
          <w:szCs w:val="14"/>
          <w:lang w:val="es-ES_tradnl"/>
        </w:rPr>
        <w:t>relaci</w:t>
      </w:r>
      <w:r>
        <w:rPr>
          <w:rFonts w:cs="Times New Roman"/>
          <w:spacing w:val="-2"/>
          <w:sz w:val="14"/>
          <w:szCs w:val="14"/>
          <w:lang w:val="es-ES_tradnl"/>
        </w:rPr>
        <w:t>ó</w:t>
      </w:r>
      <w:r>
        <w:rPr>
          <w:spacing w:val="-2"/>
          <w:sz w:val="14"/>
          <w:szCs w:val="14"/>
          <w:lang w:val="es-ES_tradnl"/>
        </w:rPr>
        <w:t>n con el costo de producci</w:t>
      </w:r>
      <w:r>
        <w:rPr>
          <w:rFonts w:cs="Times New Roman"/>
          <w:spacing w:val="-2"/>
          <w:sz w:val="14"/>
          <w:szCs w:val="14"/>
          <w:lang w:val="es-ES_tradnl"/>
        </w:rPr>
        <w:t>ó</w:t>
      </w:r>
      <w:r>
        <w:rPr>
          <w:spacing w:val="-2"/>
          <w:sz w:val="14"/>
          <w:szCs w:val="14"/>
          <w:lang w:val="es-ES_tradnl"/>
        </w:rPr>
        <w:t>n de dichos servicios. A tal efecto, </w:t>
      </w:r>
      <w:r>
        <w:rPr>
          <w:spacing w:val="-3"/>
          <w:sz w:val="14"/>
          <w:szCs w:val="14"/>
          <w:lang w:val="es-ES_tradnl"/>
        </w:rPr>
        <w:t>se entender</w:t>
      </w:r>
      <w:r>
        <w:rPr>
          <w:rFonts w:cs="Times New Roman"/>
          <w:spacing w:val="-3"/>
          <w:sz w:val="14"/>
          <w:szCs w:val="14"/>
          <w:lang w:val="es-ES_tradnl"/>
        </w:rPr>
        <w:t>á</w:t>
      </w:r>
      <w:r>
        <w:rPr>
          <w:spacing w:val="-3"/>
          <w:sz w:val="14"/>
          <w:szCs w:val="14"/>
          <w:lang w:val="es-ES_tradnl"/>
        </w:rPr>
        <w:t xml:space="preserve"> por costo de producci</w:t>
      </w:r>
      <w:r>
        <w:rPr>
          <w:rFonts w:cs="Times New Roman"/>
          <w:spacing w:val="-3"/>
          <w:sz w:val="14"/>
          <w:szCs w:val="14"/>
          <w:lang w:val="es-ES_tradnl"/>
        </w:rPr>
        <w:t>ó</w:t>
      </w:r>
      <w:r>
        <w:rPr>
          <w:spacing w:val="-3"/>
          <w:sz w:val="14"/>
          <w:szCs w:val="14"/>
          <w:lang w:val="es-ES_tradnl"/>
        </w:rPr>
        <w:t>n el que resulte de aplicar reglas </w:t>
      </w:r>
      <w:r>
        <w:rPr>
          <w:spacing w:val="-4"/>
          <w:sz w:val="14"/>
          <w:szCs w:val="14"/>
          <w:lang w:val="es-ES_tradnl"/>
        </w:rPr>
        <w:t>contables de general aceptaci</w:t>
      </w:r>
      <w:r>
        <w:rPr>
          <w:rFonts w:cs="Times New Roman"/>
          <w:spacing w:val="-4"/>
          <w:sz w:val="14"/>
          <w:szCs w:val="14"/>
          <w:lang w:val="es-ES_tradnl"/>
        </w:rPr>
        <w:t>ó</w:t>
      </w:r>
      <w:r>
        <w:rPr>
          <w:spacing w:val="-4"/>
          <w:sz w:val="14"/>
          <w:szCs w:val="14"/>
          <w:lang w:val="es-ES_tradnl"/>
        </w:rPr>
        <w:t>n, debiendo desecharse la inclusi</w:t>
      </w:r>
      <w:r>
        <w:rPr>
          <w:rFonts w:cs="Times New Roman"/>
          <w:spacing w:val="-4"/>
          <w:sz w:val="14"/>
          <w:szCs w:val="14"/>
          <w:lang w:val="es-ES_tradnl"/>
        </w:rPr>
        <w:t>ó</w:t>
      </w:r>
      <w:r>
        <w:rPr>
          <w:spacing w:val="-4"/>
          <w:sz w:val="14"/>
          <w:szCs w:val="14"/>
          <w:lang w:val="es-ES_tradnl"/>
        </w:rPr>
        <w:t>n de </w:t>
      </w:r>
      <w:r>
        <w:rPr>
          <w:spacing w:val="-2"/>
          <w:sz w:val="14"/>
          <w:szCs w:val="14"/>
          <w:lang w:val="es-ES_tradnl"/>
        </w:rPr>
        <w:t>gastos generales de la administraci</w:t>
      </w:r>
      <w:r>
        <w:rPr>
          <w:rFonts w:cs="Times New Roman"/>
          <w:spacing w:val="-2"/>
          <w:sz w:val="14"/>
          <w:szCs w:val="14"/>
          <w:lang w:val="es-ES_tradnl"/>
        </w:rPr>
        <w:t>ó</w:t>
      </w:r>
      <w:r>
        <w:rPr>
          <w:spacing w:val="-2"/>
          <w:sz w:val="14"/>
          <w:szCs w:val="14"/>
          <w:lang w:val="es-ES_tradnl"/>
        </w:rPr>
        <w:t>n municipal o metropolitana que </w:t>
      </w:r>
      <w:r>
        <w:rPr>
          <w:spacing w:val="-1"/>
          <w:sz w:val="14"/>
          <w:szCs w:val="14"/>
          <w:lang w:val="es-ES_tradnl"/>
        </w:rPr>
        <w:t>no tengan relaci</w:t>
      </w:r>
      <w:r>
        <w:rPr>
          <w:rFonts w:cs="Times New Roman"/>
          <w:spacing w:val="-1"/>
          <w:sz w:val="14"/>
          <w:szCs w:val="14"/>
          <w:lang w:val="es-ES_tradnl"/>
        </w:rPr>
        <w:t>ó</w:t>
      </w:r>
      <w:r>
        <w:rPr>
          <w:spacing w:val="-1"/>
          <w:sz w:val="14"/>
          <w:szCs w:val="14"/>
          <w:lang w:val="es-ES_tradnl"/>
        </w:rPr>
        <w:t>n directa y evidente con la prestaci</w:t>
      </w:r>
      <w:r>
        <w:rPr>
          <w:rFonts w:cs="Times New Roman"/>
          <w:spacing w:val="-1"/>
          <w:sz w:val="14"/>
          <w:szCs w:val="14"/>
          <w:lang w:val="es-ES_tradnl"/>
        </w:rPr>
        <w:t>ó</w:t>
      </w:r>
      <w:r>
        <w:rPr>
          <w:spacing w:val="-1"/>
          <w:sz w:val="14"/>
          <w:szCs w:val="14"/>
          <w:lang w:val="es-ES_tradnl"/>
        </w:rPr>
        <w:t>n del servicio. </w:t>
      </w:r>
      <w:r>
        <w:rPr>
          <w:sz w:val="14"/>
          <w:szCs w:val="14"/>
          <w:lang w:val="es-ES_tradnl"/>
        </w:rPr>
        <w:t>(</w:t>
      </w:r>
      <w:r>
        <w:rPr>
          <w:rFonts w:cs="Times New Roman"/>
          <w:sz w:val="14"/>
          <w:szCs w:val="14"/>
          <w:lang w:val="es-ES_tradnl"/>
        </w:rPr>
        <w:t>…</w:t>
      </w:r>
      <w:r>
        <w:rPr>
          <w:sz w:val="14"/>
          <w:szCs w:val="14"/>
          <w:lang w:val="es-ES_tradnl"/>
        </w:rPr>
        <w:t>)</w:t>
      </w:r>
    </w:p>
    <w:p w14:paraId="4F67A7C9" w14:textId="77777777" w:rsidR="00591D54" w:rsidRDefault="00591D54">
      <w:pPr>
        <w:shd w:val="clear" w:color="auto" w:fill="FFFFFF"/>
        <w:spacing w:line="226" w:lineRule="exact"/>
        <w:jc w:val="both"/>
      </w:pPr>
      <w:r>
        <w:br w:type="column"/>
      </w:r>
      <w:r>
        <w:rPr>
          <w:spacing w:val="-6"/>
          <w:sz w:val="18"/>
          <w:szCs w:val="18"/>
          <w:lang w:val="es-ES_tradnl"/>
        </w:rPr>
        <w:t xml:space="preserve">el contribuyente no tenga como fin generar ganancias en </w:t>
      </w:r>
      <w:r>
        <w:rPr>
          <w:spacing w:val="-5"/>
          <w:sz w:val="18"/>
          <w:szCs w:val="18"/>
          <w:lang w:val="es-ES_tradnl"/>
        </w:rPr>
        <w:t xml:space="preserve">beneficio de la municipalidad, sino simplemente cubrir el </w:t>
      </w:r>
      <w:r>
        <w:rPr>
          <w:spacing w:val="-4"/>
          <w:sz w:val="18"/>
          <w:szCs w:val="18"/>
          <w:lang w:val="es-ES_tradnl"/>
        </w:rPr>
        <w:t>costo exacto que implique brindar dicho servicio.</w:t>
      </w:r>
    </w:p>
    <w:p w14:paraId="4F67A7CA" w14:textId="77777777" w:rsidR="00591D54" w:rsidRDefault="00591D54">
      <w:pPr>
        <w:shd w:val="clear" w:color="auto" w:fill="FFFFFF"/>
        <w:spacing w:before="197" w:line="216" w:lineRule="exact"/>
        <w:jc w:val="both"/>
      </w:pPr>
      <w:r>
        <w:rPr>
          <w:spacing w:val="-7"/>
          <w:sz w:val="18"/>
          <w:szCs w:val="18"/>
          <w:lang w:val="es-ES_tradnl"/>
        </w:rPr>
        <w:t xml:space="preserve">Un segundo hecho generador por el cual un Gobierno </w:t>
      </w:r>
      <w:r>
        <w:rPr>
          <w:spacing w:val="-3"/>
          <w:sz w:val="18"/>
          <w:szCs w:val="18"/>
          <w:lang w:val="es-ES_tradnl"/>
        </w:rPr>
        <w:t xml:space="preserve">Municipal puede obtener ingresos tributarios por medio </w:t>
      </w:r>
      <w:r>
        <w:rPr>
          <w:sz w:val="18"/>
          <w:szCs w:val="18"/>
          <w:lang w:val="es-ES_tradnl"/>
        </w:rPr>
        <w:t>de una tasa es precisamente la utilizaci</w:t>
      </w:r>
      <w:r>
        <w:rPr>
          <w:rFonts w:cs="Times New Roman"/>
          <w:sz w:val="18"/>
          <w:szCs w:val="18"/>
          <w:lang w:val="es-ES_tradnl"/>
        </w:rPr>
        <w:t>ó</w:t>
      </w:r>
      <w:r>
        <w:rPr>
          <w:sz w:val="18"/>
          <w:szCs w:val="18"/>
          <w:lang w:val="es-ES_tradnl"/>
        </w:rPr>
        <w:t xml:space="preserve">n privativa </w:t>
      </w:r>
      <w:r>
        <w:rPr>
          <w:spacing w:val="-5"/>
          <w:sz w:val="18"/>
          <w:szCs w:val="18"/>
          <w:lang w:val="es-ES_tradnl"/>
        </w:rPr>
        <w:t>o el aprovechamiento especial del dominio p</w:t>
      </w:r>
      <w:r>
        <w:rPr>
          <w:rFonts w:cs="Times New Roman"/>
          <w:spacing w:val="-5"/>
          <w:sz w:val="18"/>
          <w:szCs w:val="18"/>
          <w:lang w:val="es-ES_tradnl"/>
        </w:rPr>
        <w:t>ú</w:t>
      </w:r>
      <w:r>
        <w:rPr>
          <w:spacing w:val="-5"/>
          <w:sz w:val="18"/>
          <w:szCs w:val="18"/>
          <w:lang w:val="es-ES_tradnl"/>
        </w:rPr>
        <w:t xml:space="preserve">blico. </w:t>
      </w:r>
      <w:r>
        <w:rPr>
          <w:spacing w:val="-10"/>
          <w:sz w:val="18"/>
          <w:szCs w:val="18"/>
          <w:lang w:val="es-ES_tradnl"/>
        </w:rPr>
        <w:t>Circunstancia que difiere de figuras jur</w:t>
      </w:r>
      <w:r>
        <w:rPr>
          <w:rFonts w:cs="Times New Roman"/>
          <w:spacing w:val="-10"/>
          <w:sz w:val="18"/>
          <w:szCs w:val="18"/>
          <w:lang w:val="es-ES_tradnl"/>
        </w:rPr>
        <w:t>í</w:t>
      </w:r>
      <w:r>
        <w:rPr>
          <w:spacing w:val="-10"/>
          <w:sz w:val="18"/>
          <w:szCs w:val="18"/>
          <w:lang w:val="es-ES_tradnl"/>
        </w:rPr>
        <w:t xml:space="preserve">dicas como el canon o arrendamiento, en la medida que estos son aplicables ante </w:t>
      </w:r>
      <w:r>
        <w:rPr>
          <w:spacing w:val="-6"/>
          <w:sz w:val="18"/>
          <w:szCs w:val="18"/>
          <w:lang w:val="es-ES_tradnl"/>
        </w:rPr>
        <w:t>la utilizaci</w:t>
      </w:r>
      <w:r>
        <w:rPr>
          <w:rFonts w:cs="Times New Roman"/>
          <w:spacing w:val="-6"/>
          <w:sz w:val="18"/>
          <w:szCs w:val="18"/>
          <w:lang w:val="es-ES_tradnl"/>
        </w:rPr>
        <w:t>ó</w:t>
      </w:r>
      <w:r>
        <w:rPr>
          <w:spacing w:val="-6"/>
          <w:sz w:val="18"/>
          <w:szCs w:val="18"/>
          <w:lang w:val="es-ES_tradnl"/>
        </w:rPr>
        <w:t>n privativa de un bien p</w:t>
      </w:r>
      <w:r>
        <w:rPr>
          <w:rFonts w:cs="Times New Roman"/>
          <w:spacing w:val="-6"/>
          <w:sz w:val="18"/>
          <w:szCs w:val="18"/>
          <w:lang w:val="es-ES_tradnl"/>
        </w:rPr>
        <w:t>ú</w:t>
      </w:r>
      <w:r>
        <w:rPr>
          <w:spacing w:val="-6"/>
          <w:sz w:val="18"/>
          <w:szCs w:val="18"/>
          <w:lang w:val="es-ES_tradnl"/>
        </w:rPr>
        <w:t xml:space="preserve">blico de uso particular </w:t>
      </w:r>
      <w:r>
        <w:rPr>
          <w:spacing w:val="-8"/>
          <w:sz w:val="18"/>
          <w:szCs w:val="18"/>
          <w:lang w:val="es-ES_tradnl"/>
        </w:rPr>
        <w:t xml:space="preserve">o, evidentemente, de un bien privado. En este tipo de tasa, </w:t>
      </w:r>
      <w:r>
        <w:rPr>
          <w:spacing w:val="-5"/>
          <w:sz w:val="18"/>
          <w:szCs w:val="18"/>
          <w:lang w:val="es-ES_tradnl"/>
        </w:rPr>
        <w:t>es evidente que el Gobierno Municipal no presta ning</w:t>
      </w:r>
      <w:r>
        <w:rPr>
          <w:rFonts w:cs="Times New Roman"/>
          <w:spacing w:val="-5"/>
          <w:sz w:val="18"/>
          <w:szCs w:val="18"/>
          <w:lang w:val="es-ES_tradnl"/>
        </w:rPr>
        <w:t>ú</w:t>
      </w:r>
      <w:r>
        <w:rPr>
          <w:spacing w:val="-5"/>
          <w:sz w:val="18"/>
          <w:szCs w:val="18"/>
          <w:lang w:val="es-ES_tradnl"/>
        </w:rPr>
        <w:t xml:space="preserve">n </w:t>
      </w:r>
      <w:r>
        <w:rPr>
          <w:spacing w:val="-7"/>
          <w:sz w:val="18"/>
          <w:szCs w:val="18"/>
          <w:lang w:val="es-ES_tradnl"/>
        </w:rPr>
        <w:t>servicio, sino que autoriza que los particulares hagan uso privativo y con fines comerciales de un espacio p</w:t>
      </w:r>
      <w:r>
        <w:rPr>
          <w:rFonts w:cs="Times New Roman"/>
          <w:spacing w:val="-7"/>
          <w:sz w:val="18"/>
          <w:szCs w:val="18"/>
          <w:lang w:val="es-ES_tradnl"/>
        </w:rPr>
        <w:t>ú</w:t>
      </w:r>
      <w:r>
        <w:rPr>
          <w:spacing w:val="-7"/>
          <w:sz w:val="18"/>
          <w:szCs w:val="18"/>
          <w:lang w:val="es-ES_tradnl"/>
        </w:rPr>
        <w:t>blico de uso com</w:t>
      </w:r>
      <w:r>
        <w:rPr>
          <w:rFonts w:cs="Times New Roman"/>
          <w:spacing w:val="-7"/>
          <w:sz w:val="18"/>
          <w:szCs w:val="18"/>
          <w:lang w:val="es-ES_tradnl"/>
        </w:rPr>
        <w:t>ú</w:t>
      </w:r>
      <w:r>
        <w:rPr>
          <w:spacing w:val="-7"/>
          <w:sz w:val="18"/>
          <w:szCs w:val="18"/>
          <w:lang w:val="es-ES_tradnl"/>
        </w:rPr>
        <w:t xml:space="preserve">n. Precisamente, el hecho de que un particular </w:t>
      </w:r>
      <w:r>
        <w:rPr>
          <w:spacing w:val="-8"/>
          <w:sz w:val="18"/>
          <w:szCs w:val="18"/>
          <w:lang w:val="es-ES_tradnl"/>
        </w:rPr>
        <w:t xml:space="preserve">ejerza actividades dentro de estos espacios de manera </w:t>
      </w:r>
      <w:r>
        <w:rPr>
          <w:spacing w:val="-4"/>
          <w:sz w:val="18"/>
          <w:szCs w:val="18"/>
          <w:lang w:val="es-ES_tradnl"/>
        </w:rPr>
        <w:t xml:space="preserve">exclusiva y diferencial al resto de personas, elimina el </w:t>
      </w:r>
      <w:r>
        <w:rPr>
          <w:spacing w:val="-9"/>
          <w:sz w:val="18"/>
          <w:szCs w:val="18"/>
          <w:lang w:val="es-ES_tradnl"/>
        </w:rPr>
        <w:t xml:space="preserve">sentido de gratuidad que existe en el uso de estos espacios </w:t>
      </w:r>
      <w:r>
        <w:rPr>
          <w:spacing w:val="-5"/>
          <w:sz w:val="18"/>
          <w:szCs w:val="18"/>
          <w:lang w:val="es-ES_tradnl"/>
        </w:rPr>
        <w:t>y lo deriva en el nacimiento de una obligaci</w:t>
      </w:r>
      <w:r>
        <w:rPr>
          <w:rFonts w:cs="Times New Roman"/>
          <w:spacing w:val="-5"/>
          <w:sz w:val="18"/>
          <w:szCs w:val="18"/>
          <w:lang w:val="es-ES_tradnl"/>
        </w:rPr>
        <w:t>ó</w:t>
      </w:r>
      <w:r>
        <w:rPr>
          <w:spacing w:val="-5"/>
          <w:sz w:val="18"/>
          <w:szCs w:val="18"/>
          <w:lang w:val="es-ES_tradnl"/>
        </w:rPr>
        <w:t>n tributaria.</w:t>
      </w:r>
    </w:p>
    <w:p w14:paraId="4F67A7CB" w14:textId="77777777" w:rsidR="00591D54" w:rsidRDefault="00591D54">
      <w:pPr>
        <w:shd w:val="clear" w:color="auto" w:fill="FFFFFF"/>
        <w:spacing w:before="197" w:line="216" w:lineRule="exact"/>
        <w:jc w:val="both"/>
      </w:pPr>
      <w:r>
        <w:rPr>
          <w:spacing w:val="-6"/>
          <w:sz w:val="18"/>
          <w:szCs w:val="18"/>
          <w:lang w:val="es-ES_tradnl"/>
        </w:rPr>
        <w:t xml:space="preserve">Ahora bien, este segundo hecho generador para el cobro </w:t>
      </w:r>
      <w:r>
        <w:rPr>
          <w:spacing w:val="-8"/>
          <w:sz w:val="18"/>
          <w:szCs w:val="18"/>
          <w:lang w:val="es-ES_tradnl"/>
        </w:rPr>
        <w:t>de una tasa, ciertamente ha tenido poca regulaci</w:t>
      </w:r>
      <w:r>
        <w:rPr>
          <w:rFonts w:cs="Times New Roman"/>
          <w:spacing w:val="-8"/>
          <w:sz w:val="18"/>
          <w:szCs w:val="18"/>
          <w:lang w:val="es-ES_tradnl"/>
        </w:rPr>
        <w:t>ó</w:t>
      </w:r>
      <w:r>
        <w:rPr>
          <w:spacing w:val="-8"/>
          <w:sz w:val="18"/>
          <w:szCs w:val="18"/>
          <w:lang w:val="es-ES_tradnl"/>
        </w:rPr>
        <w:t>n dentro de nuestro ordenamiento jur</w:t>
      </w:r>
      <w:r>
        <w:rPr>
          <w:rFonts w:cs="Times New Roman"/>
          <w:spacing w:val="-8"/>
          <w:sz w:val="18"/>
          <w:szCs w:val="18"/>
          <w:lang w:val="es-ES_tradnl"/>
        </w:rPr>
        <w:t>í</w:t>
      </w:r>
      <w:r>
        <w:rPr>
          <w:spacing w:val="-8"/>
          <w:sz w:val="18"/>
          <w:szCs w:val="18"/>
          <w:lang w:val="es-ES_tradnl"/>
        </w:rPr>
        <w:t xml:space="preserve">dico, especialmente lo que se </w:t>
      </w:r>
      <w:r>
        <w:rPr>
          <w:spacing w:val="-5"/>
          <w:sz w:val="18"/>
          <w:szCs w:val="18"/>
          <w:lang w:val="es-ES_tradnl"/>
        </w:rPr>
        <w:t>refiere a la fijaci</w:t>
      </w:r>
      <w:r>
        <w:rPr>
          <w:rFonts w:cs="Times New Roman"/>
          <w:spacing w:val="-5"/>
          <w:sz w:val="18"/>
          <w:szCs w:val="18"/>
          <w:lang w:val="es-ES_tradnl"/>
        </w:rPr>
        <w:t>ó</w:t>
      </w:r>
      <w:r>
        <w:rPr>
          <w:spacing w:val="-5"/>
          <w:sz w:val="18"/>
          <w:szCs w:val="18"/>
          <w:lang w:val="es-ES_tradnl"/>
        </w:rPr>
        <w:t xml:space="preserve">n de tarifas. No obstante, el COOTAD </w:t>
      </w:r>
      <w:r>
        <w:rPr>
          <w:spacing w:val="-8"/>
          <w:sz w:val="18"/>
          <w:szCs w:val="18"/>
          <w:lang w:val="es-ES_tradnl"/>
        </w:rPr>
        <w:t>reconoce este tipo de tasas en su art</w:t>
      </w:r>
      <w:r>
        <w:rPr>
          <w:rFonts w:cs="Times New Roman"/>
          <w:spacing w:val="-8"/>
          <w:sz w:val="18"/>
          <w:szCs w:val="18"/>
          <w:lang w:val="es-ES_tradnl"/>
        </w:rPr>
        <w:t>í</w:t>
      </w:r>
      <w:r>
        <w:rPr>
          <w:spacing w:val="-8"/>
          <w:sz w:val="18"/>
          <w:szCs w:val="18"/>
          <w:lang w:val="es-ES_tradnl"/>
        </w:rPr>
        <w:t xml:space="preserve">culo 567, mismo que </w:t>
      </w:r>
      <w:r>
        <w:rPr>
          <w:spacing w:val="-5"/>
          <w:sz w:val="18"/>
          <w:szCs w:val="18"/>
          <w:lang w:val="es-ES_tradnl"/>
        </w:rPr>
        <w:t>sirvi</w:t>
      </w:r>
      <w:r>
        <w:rPr>
          <w:rFonts w:cs="Times New Roman"/>
          <w:spacing w:val="-5"/>
          <w:sz w:val="18"/>
          <w:szCs w:val="18"/>
          <w:lang w:val="es-ES_tradnl"/>
        </w:rPr>
        <w:t>ó</w:t>
      </w:r>
      <w:r>
        <w:rPr>
          <w:spacing w:val="-5"/>
          <w:sz w:val="18"/>
          <w:szCs w:val="18"/>
          <w:lang w:val="es-ES_tradnl"/>
        </w:rPr>
        <w:t xml:space="preserve"> de base legal a fin de que el </w:t>
      </w:r>
      <w:r>
        <w:rPr>
          <w:rFonts w:cs="Times New Roman"/>
          <w:spacing w:val="-5"/>
          <w:sz w:val="18"/>
          <w:szCs w:val="18"/>
          <w:lang w:val="es-ES_tradnl"/>
        </w:rPr>
        <w:t>ó</w:t>
      </w:r>
      <w:r>
        <w:rPr>
          <w:spacing w:val="-5"/>
          <w:sz w:val="18"/>
          <w:szCs w:val="18"/>
          <w:lang w:val="es-ES_tradnl"/>
        </w:rPr>
        <w:t xml:space="preserve">rgano legislativo del </w:t>
      </w:r>
      <w:r>
        <w:rPr>
          <w:spacing w:val="-7"/>
          <w:sz w:val="18"/>
          <w:szCs w:val="18"/>
          <w:lang w:val="es-ES_tradnl"/>
        </w:rPr>
        <w:t>municipio de Tulc</w:t>
      </w:r>
      <w:r>
        <w:rPr>
          <w:rFonts w:cs="Times New Roman"/>
          <w:spacing w:val="-7"/>
          <w:sz w:val="18"/>
          <w:szCs w:val="18"/>
          <w:lang w:val="es-ES_tradnl"/>
        </w:rPr>
        <w:t>á</w:t>
      </w:r>
      <w:r>
        <w:rPr>
          <w:spacing w:val="-7"/>
          <w:sz w:val="18"/>
          <w:szCs w:val="18"/>
          <w:lang w:val="es-ES_tradnl"/>
        </w:rPr>
        <w:t xml:space="preserve">n pueda crear la Ordenanza objeto de </w:t>
      </w:r>
      <w:r>
        <w:rPr>
          <w:spacing w:val="-8"/>
          <w:sz w:val="18"/>
          <w:szCs w:val="18"/>
          <w:lang w:val="es-ES_tradnl"/>
        </w:rPr>
        <w:t>an</w:t>
      </w:r>
      <w:r>
        <w:rPr>
          <w:rFonts w:cs="Times New Roman"/>
          <w:spacing w:val="-8"/>
          <w:sz w:val="18"/>
          <w:szCs w:val="18"/>
          <w:lang w:val="es-ES_tradnl"/>
        </w:rPr>
        <w:t>á</w:t>
      </w:r>
      <w:r>
        <w:rPr>
          <w:spacing w:val="-8"/>
          <w:sz w:val="18"/>
          <w:szCs w:val="18"/>
          <w:lang w:val="es-ES_tradnl"/>
        </w:rPr>
        <w:t>lisis. Adicionalmente, el art</w:t>
      </w:r>
      <w:r>
        <w:rPr>
          <w:rFonts w:cs="Times New Roman"/>
          <w:spacing w:val="-8"/>
          <w:sz w:val="18"/>
          <w:szCs w:val="18"/>
          <w:lang w:val="es-ES_tradnl"/>
        </w:rPr>
        <w:t>í</w:t>
      </w:r>
      <w:r>
        <w:rPr>
          <w:spacing w:val="-8"/>
          <w:sz w:val="18"/>
          <w:szCs w:val="18"/>
          <w:lang w:val="es-ES_tradnl"/>
        </w:rPr>
        <w:t>culo 104 de la Ley Org</w:t>
      </w:r>
      <w:r>
        <w:rPr>
          <w:rFonts w:cs="Times New Roman"/>
          <w:spacing w:val="-8"/>
          <w:sz w:val="18"/>
          <w:szCs w:val="18"/>
          <w:lang w:val="es-ES_tradnl"/>
        </w:rPr>
        <w:t>á</w:t>
      </w:r>
      <w:r>
        <w:rPr>
          <w:spacing w:val="-8"/>
          <w:sz w:val="18"/>
          <w:szCs w:val="18"/>
          <w:lang w:val="es-ES_tradnl"/>
        </w:rPr>
        <w:t xml:space="preserve">nica </w:t>
      </w:r>
      <w:r>
        <w:rPr>
          <w:spacing w:val="-5"/>
          <w:sz w:val="18"/>
          <w:szCs w:val="18"/>
          <w:lang w:val="es-ES_tradnl"/>
        </w:rPr>
        <w:t>de Telecomunicaciones</w:t>
      </w:r>
      <w:r>
        <w:rPr>
          <w:spacing w:val="-5"/>
          <w:sz w:val="18"/>
          <w:szCs w:val="18"/>
          <w:vertAlign w:val="superscript"/>
          <w:lang w:val="es-ES_tradnl"/>
        </w:rPr>
        <w:t>13</w:t>
      </w:r>
      <w:r>
        <w:rPr>
          <w:spacing w:val="-5"/>
          <w:sz w:val="18"/>
          <w:szCs w:val="18"/>
          <w:lang w:val="es-ES_tradnl"/>
        </w:rPr>
        <w:t>, norma espec</w:t>
      </w:r>
      <w:r>
        <w:rPr>
          <w:rFonts w:cs="Times New Roman"/>
          <w:spacing w:val="-5"/>
          <w:sz w:val="18"/>
          <w:szCs w:val="18"/>
          <w:lang w:val="es-ES_tradnl"/>
        </w:rPr>
        <w:t>í</w:t>
      </w:r>
      <w:r>
        <w:rPr>
          <w:spacing w:val="-5"/>
          <w:sz w:val="18"/>
          <w:szCs w:val="18"/>
          <w:lang w:val="es-ES_tradnl"/>
        </w:rPr>
        <w:t xml:space="preserve">fica que regula </w:t>
      </w:r>
      <w:r>
        <w:rPr>
          <w:spacing w:val="-6"/>
          <w:sz w:val="18"/>
          <w:szCs w:val="18"/>
          <w:lang w:val="es-ES_tradnl"/>
        </w:rPr>
        <w:t>y desarrolla el r</w:t>
      </w:r>
      <w:r>
        <w:rPr>
          <w:rFonts w:cs="Times New Roman"/>
          <w:spacing w:val="-6"/>
          <w:sz w:val="18"/>
          <w:szCs w:val="18"/>
          <w:lang w:val="es-ES_tradnl"/>
        </w:rPr>
        <w:t>é</w:t>
      </w:r>
      <w:r>
        <w:rPr>
          <w:spacing w:val="-6"/>
          <w:sz w:val="18"/>
          <w:szCs w:val="18"/>
          <w:lang w:val="es-ES_tradnl"/>
        </w:rPr>
        <w:t>gimen del espectro radioel</w:t>
      </w:r>
      <w:r>
        <w:rPr>
          <w:rFonts w:cs="Times New Roman"/>
          <w:spacing w:val="-6"/>
          <w:sz w:val="18"/>
          <w:szCs w:val="18"/>
          <w:lang w:val="es-ES_tradnl"/>
        </w:rPr>
        <w:t>é</w:t>
      </w:r>
      <w:r>
        <w:rPr>
          <w:spacing w:val="-6"/>
          <w:sz w:val="18"/>
          <w:szCs w:val="18"/>
          <w:lang w:val="es-ES_tradnl"/>
        </w:rPr>
        <w:t xml:space="preserve">ctrico en el </w:t>
      </w:r>
      <w:r>
        <w:rPr>
          <w:spacing w:val="-7"/>
          <w:sz w:val="18"/>
          <w:szCs w:val="18"/>
          <w:lang w:val="es-ES_tradnl"/>
        </w:rPr>
        <w:t>Ecuador, en su intento de establecer un par</w:t>
      </w:r>
      <w:r>
        <w:rPr>
          <w:rFonts w:cs="Times New Roman"/>
          <w:spacing w:val="-7"/>
          <w:sz w:val="18"/>
          <w:szCs w:val="18"/>
          <w:lang w:val="es-ES_tradnl"/>
        </w:rPr>
        <w:t>á</w:t>
      </w:r>
      <w:r>
        <w:rPr>
          <w:spacing w:val="-7"/>
          <w:sz w:val="18"/>
          <w:szCs w:val="18"/>
          <w:lang w:val="es-ES_tradnl"/>
        </w:rPr>
        <w:t xml:space="preserve">metro por el </w:t>
      </w:r>
      <w:r>
        <w:rPr>
          <w:spacing w:val="-8"/>
          <w:sz w:val="18"/>
          <w:szCs w:val="18"/>
          <w:lang w:val="es-ES_tradnl"/>
        </w:rPr>
        <w:t>cual se deber</w:t>
      </w:r>
      <w:r>
        <w:rPr>
          <w:rFonts w:cs="Times New Roman"/>
          <w:spacing w:val="-8"/>
          <w:sz w:val="18"/>
          <w:szCs w:val="18"/>
          <w:lang w:val="es-ES_tradnl"/>
        </w:rPr>
        <w:t>á</w:t>
      </w:r>
      <w:r>
        <w:rPr>
          <w:spacing w:val="-8"/>
          <w:sz w:val="18"/>
          <w:szCs w:val="18"/>
          <w:lang w:val="es-ES_tradnl"/>
        </w:rPr>
        <w:t xml:space="preserve">n fijar las tarifas a ser cobradas dentro del </w:t>
      </w:r>
      <w:r>
        <w:rPr>
          <w:spacing w:val="-7"/>
          <w:sz w:val="18"/>
          <w:szCs w:val="18"/>
          <w:lang w:val="es-ES_tradnl"/>
        </w:rPr>
        <w:t xml:space="preserve">tributo, establece de manera general que: </w:t>
      </w:r>
      <w:r>
        <w:rPr>
          <w:rFonts w:cs="Times New Roman"/>
          <w:spacing w:val="-7"/>
          <w:sz w:val="18"/>
          <w:szCs w:val="18"/>
          <w:lang w:val="es-ES_tradnl"/>
        </w:rPr>
        <w:t>“</w:t>
      </w:r>
      <w:r>
        <w:rPr>
          <w:spacing w:val="-7"/>
          <w:sz w:val="18"/>
          <w:szCs w:val="18"/>
          <w:lang w:val="es-ES_tradnl"/>
        </w:rPr>
        <w:t>[</w:t>
      </w:r>
      <w:r>
        <w:rPr>
          <w:rFonts w:cs="Times New Roman"/>
          <w:spacing w:val="-7"/>
          <w:sz w:val="18"/>
          <w:szCs w:val="18"/>
          <w:lang w:val="es-ES_tradnl"/>
        </w:rPr>
        <w:t>…</w:t>
      </w:r>
      <w:r>
        <w:rPr>
          <w:spacing w:val="-7"/>
          <w:sz w:val="18"/>
          <w:szCs w:val="18"/>
          <w:lang w:val="es-ES_tradnl"/>
        </w:rPr>
        <w:t xml:space="preserve">] En el caso </w:t>
      </w:r>
      <w:r>
        <w:rPr>
          <w:spacing w:val="-11"/>
          <w:sz w:val="18"/>
          <w:szCs w:val="18"/>
          <w:lang w:val="es-ES_tradnl"/>
        </w:rPr>
        <w:t xml:space="preserve">de instalaciones en bienes privados, las tasas que cobren los </w:t>
      </w:r>
      <w:r>
        <w:rPr>
          <w:spacing w:val="-9"/>
          <w:sz w:val="18"/>
          <w:szCs w:val="18"/>
          <w:lang w:val="es-ES_tradnl"/>
        </w:rPr>
        <w:t>gobiernos aut</w:t>
      </w:r>
      <w:r>
        <w:rPr>
          <w:rFonts w:cs="Times New Roman"/>
          <w:spacing w:val="-9"/>
          <w:sz w:val="18"/>
          <w:szCs w:val="18"/>
          <w:lang w:val="es-ES_tradnl"/>
        </w:rPr>
        <w:t>ó</w:t>
      </w:r>
      <w:r>
        <w:rPr>
          <w:spacing w:val="-9"/>
          <w:sz w:val="18"/>
          <w:szCs w:val="18"/>
          <w:lang w:val="es-ES_tradnl"/>
        </w:rPr>
        <w:t>nomos descentralizados no podr</w:t>
      </w:r>
      <w:r>
        <w:rPr>
          <w:rFonts w:cs="Times New Roman"/>
          <w:spacing w:val="-9"/>
          <w:sz w:val="18"/>
          <w:szCs w:val="18"/>
          <w:lang w:val="es-ES_tradnl"/>
        </w:rPr>
        <w:t>á</w:t>
      </w:r>
      <w:r>
        <w:rPr>
          <w:spacing w:val="-9"/>
          <w:sz w:val="18"/>
          <w:szCs w:val="18"/>
          <w:lang w:val="es-ES_tradnl"/>
        </w:rPr>
        <w:t xml:space="preserve">n ser otras que las directamente vinculadas con el costo justificado del </w:t>
      </w:r>
      <w:r>
        <w:rPr>
          <w:spacing w:val="-6"/>
          <w:sz w:val="18"/>
          <w:szCs w:val="18"/>
          <w:lang w:val="es-ES_tradnl"/>
        </w:rPr>
        <w:t>tr</w:t>
      </w:r>
      <w:r>
        <w:rPr>
          <w:rFonts w:cs="Times New Roman"/>
          <w:spacing w:val="-6"/>
          <w:sz w:val="18"/>
          <w:szCs w:val="18"/>
          <w:lang w:val="es-ES_tradnl"/>
        </w:rPr>
        <w:t>á</w:t>
      </w:r>
      <w:r>
        <w:rPr>
          <w:spacing w:val="-6"/>
          <w:sz w:val="18"/>
          <w:szCs w:val="18"/>
          <w:lang w:val="es-ES_tradnl"/>
        </w:rPr>
        <w:t>mite de otorgamiento de los permisos de instalaci</w:t>
      </w:r>
      <w:r>
        <w:rPr>
          <w:rFonts w:cs="Times New Roman"/>
          <w:spacing w:val="-6"/>
          <w:sz w:val="18"/>
          <w:szCs w:val="18"/>
          <w:lang w:val="es-ES_tradnl"/>
        </w:rPr>
        <w:t>ó</w:t>
      </w:r>
      <w:r>
        <w:rPr>
          <w:spacing w:val="-6"/>
          <w:sz w:val="18"/>
          <w:szCs w:val="18"/>
          <w:lang w:val="es-ES_tradnl"/>
        </w:rPr>
        <w:t xml:space="preserve">n o </w:t>
      </w:r>
      <w:r>
        <w:rPr>
          <w:sz w:val="18"/>
          <w:szCs w:val="18"/>
          <w:lang w:val="es-ES_tradnl"/>
        </w:rPr>
        <w:t>construcci</w:t>
      </w:r>
      <w:r>
        <w:rPr>
          <w:rFonts w:cs="Times New Roman"/>
          <w:sz w:val="18"/>
          <w:szCs w:val="18"/>
          <w:lang w:val="es-ES_tradnl"/>
        </w:rPr>
        <w:t>ó</w:t>
      </w:r>
      <w:r>
        <w:rPr>
          <w:sz w:val="18"/>
          <w:szCs w:val="18"/>
          <w:lang w:val="es-ES_tradnl"/>
        </w:rPr>
        <w:t>n [</w:t>
      </w:r>
      <w:r>
        <w:rPr>
          <w:rFonts w:cs="Times New Roman"/>
          <w:sz w:val="18"/>
          <w:szCs w:val="18"/>
          <w:lang w:val="es-ES_tradnl"/>
        </w:rPr>
        <w:t>…</w:t>
      </w:r>
      <w:r>
        <w:rPr>
          <w:sz w:val="18"/>
          <w:szCs w:val="18"/>
          <w:lang w:val="es-ES_tradnl"/>
        </w:rPr>
        <w:t>]</w:t>
      </w:r>
      <w:r>
        <w:rPr>
          <w:rFonts w:cs="Times New Roman"/>
          <w:sz w:val="18"/>
          <w:szCs w:val="18"/>
          <w:lang w:val="es-ES_tradnl"/>
        </w:rPr>
        <w:t>”</w:t>
      </w:r>
      <w:r>
        <w:rPr>
          <w:sz w:val="18"/>
          <w:szCs w:val="18"/>
          <w:lang w:val="es-ES_tradnl"/>
        </w:rPr>
        <w:t>.</w:t>
      </w:r>
    </w:p>
    <w:p w14:paraId="4F67A7CC" w14:textId="77777777" w:rsidR="00591D54" w:rsidRDefault="00591D54">
      <w:pPr>
        <w:shd w:val="clear" w:color="auto" w:fill="FFFFFF"/>
        <w:spacing w:before="192" w:line="216" w:lineRule="exact"/>
        <w:jc w:val="both"/>
      </w:pPr>
      <w:r>
        <w:rPr>
          <w:spacing w:val="-10"/>
          <w:sz w:val="18"/>
          <w:szCs w:val="18"/>
          <w:lang w:val="es-ES_tradnl"/>
        </w:rPr>
        <w:t xml:space="preserve">Una vez que esta Corte ha expuesto y desarrollado aquellos </w:t>
      </w:r>
      <w:r>
        <w:rPr>
          <w:spacing w:val="-4"/>
          <w:sz w:val="18"/>
          <w:szCs w:val="18"/>
          <w:lang w:val="es-ES_tradnl"/>
        </w:rPr>
        <w:t xml:space="preserve">puntos que conciernen al caso concreto, es pertinente </w:t>
      </w:r>
      <w:r>
        <w:rPr>
          <w:spacing w:val="-7"/>
          <w:sz w:val="18"/>
          <w:szCs w:val="18"/>
          <w:lang w:val="es-ES_tradnl"/>
        </w:rPr>
        <w:t>entrar a un an</w:t>
      </w:r>
      <w:r>
        <w:rPr>
          <w:rFonts w:cs="Times New Roman"/>
          <w:spacing w:val="-7"/>
          <w:sz w:val="18"/>
          <w:szCs w:val="18"/>
          <w:lang w:val="es-ES_tradnl"/>
        </w:rPr>
        <w:t>á</w:t>
      </w:r>
      <w:r>
        <w:rPr>
          <w:spacing w:val="-7"/>
          <w:sz w:val="18"/>
          <w:szCs w:val="18"/>
          <w:lang w:val="es-ES_tradnl"/>
        </w:rPr>
        <w:t xml:space="preserve">lisis constitucional que nos permita dar una respuesta a la interrogante planteada, esto es, si las tarifas </w:t>
      </w:r>
      <w:r>
        <w:rPr>
          <w:spacing w:val="-8"/>
          <w:sz w:val="18"/>
          <w:szCs w:val="18"/>
          <w:lang w:val="es-ES_tradnl"/>
        </w:rPr>
        <w:t>a las siete tasas fijadas por la Municipalidad de Tulc</w:t>
      </w:r>
      <w:r>
        <w:rPr>
          <w:rFonts w:cs="Times New Roman"/>
          <w:spacing w:val="-8"/>
          <w:sz w:val="18"/>
          <w:szCs w:val="18"/>
          <w:lang w:val="es-ES_tradnl"/>
        </w:rPr>
        <w:t>á</w:t>
      </w:r>
      <w:r>
        <w:rPr>
          <w:spacing w:val="-8"/>
          <w:sz w:val="18"/>
          <w:szCs w:val="18"/>
          <w:lang w:val="es-ES_tradnl"/>
        </w:rPr>
        <w:t xml:space="preserve">n por </w:t>
      </w:r>
      <w:r>
        <w:rPr>
          <w:spacing w:val="-6"/>
          <w:sz w:val="18"/>
          <w:szCs w:val="18"/>
          <w:lang w:val="es-ES_tradnl"/>
        </w:rPr>
        <w:t>el uso del espacio f</w:t>
      </w:r>
      <w:r>
        <w:rPr>
          <w:rFonts w:cs="Times New Roman"/>
          <w:spacing w:val="-6"/>
          <w:sz w:val="18"/>
          <w:szCs w:val="18"/>
          <w:lang w:val="es-ES_tradnl"/>
        </w:rPr>
        <w:t>í</w:t>
      </w:r>
      <w:r>
        <w:rPr>
          <w:spacing w:val="-6"/>
          <w:sz w:val="18"/>
          <w:szCs w:val="18"/>
          <w:lang w:val="es-ES_tradnl"/>
        </w:rPr>
        <w:t>sico y a</w:t>
      </w:r>
      <w:r>
        <w:rPr>
          <w:rFonts w:cs="Times New Roman"/>
          <w:spacing w:val="-6"/>
          <w:sz w:val="18"/>
          <w:szCs w:val="18"/>
          <w:lang w:val="es-ES_tradnl"/>
        </w:rPr>
        <w:t>é</w:t>
      </w:r>
      <w:r>
        <w:rPr>
          <w:spacing w:val="-6"/>
          <w:sz w:val="18"/>
          <w:szCs w:val="18"/>
          <w:lang w:val="es-ES_tradnl"/>
        </w:rPr>
        <w:t>reo dentro de su jurisdicci</w:t>
      </w:r>
      <w:r>
        <w:rPr>
          <w:rFonts w:cs="Times New Roman"/>
          <w:spacing w:val="-6"/>
          <w:sz w:val="18"/>
          <w:szCs w:val="18"/>
          <w:lang w:val="es-ES_tradnl"/>
        </w:rPr>
        <w:t>ó</w:t>
      </w:r>
      <w:r>
        <w:rPr>
          <w:spacing w:val="-6"/>
          <w:sz w:val="18"/>
          <w:szCs w:val="18"/>
          <w:lang w:val="es-ES_tradnl"/>
        </w:rPr>
        <w:t xml:space="preserve">n </w:t>
      </w:r>
      <w:r>
        <w:rPr>
          <w:spacing w:val="-2"/>
          <w:sz w:val="18"/>
          <w:szCs w:val="18"/>
          <w:lang w:val="es-ES_tradnl"/>
        </w:rPr>
        <w:t xml:space="preserve">territorial, transgreden el principio tributario de equidad, </w:t>
      </w:r>
      <w:r>
        <w:rPr>
          <w:spacing w:val="-5"/>
          <w:sz w:val="18"/>
          <w:szCs w:val="18"/>
          <w:lang w:val="es-ES_tradnl"/>
        </w:rPr>
        <w:t xml:space="preserve">y junto a ello, al resto de principios desarrollados en el </w:t>
      </w:r>
      <w:r>
        <w:rPr>
          <w:spacing w:val="-6"/>
          <w:sz w:val="18"/>
          <w:szCs w:val="18"/>
          <w:lang w:val="es-ES_tradnl"/>
        </w:rPr>
        <w:t>presente fallo. Dentro de este punto, bien vale la pena puntualizar que dentro de la presente acci</w:t>
      </w:r>
      <w:r>
        <w:rPr>
          <w:rFonts w:cs="Times New Roman"/>
          <w:spacing w:val="-6"/>
          <w:sz w:val="18"/>
          <w:szCs w:val="18"/>
          <w:lang w:val="es-ES_tradnl"/>
        </w:rPr>
        <w:t>ó</w:t>
      </w:r>
      <w:r>
        <w:rPr>
          <w:spacing w:val="-6"/>
          <w:sz w:val="18"/>
          <w:szCs w:val="18"/>
          <w:lang w:val="es-ES_tradnl"/>
        </w:rPr>
        <w:t>n p</w:t>
      </w:r>
      <w:r>
        <w:rPr>
          <w:rFonts w:cs="Times New Roman"/>
          <w:spacing w:val="-6"/>
          <w:sz w:val="18"/>
          <w:szCs w:val="18"/>
          <w:lang w:val="es-ES_tradnl"/>
        </w:rPr>
        <w:t>ú</w:t>
      </w:r>
      <w:r>
        <w:rPr>
          <w:spacing w:val="-6"/>
          <w:sz w:val="18"/>
          <w:szCs w:val="18"/>
          <w:lang w:val="es-ES_tradnl"/>
        </w:rPr>
        <w:t xml:space="preserve">blica de </w:t>
      </w:r>
      <w:r>
        <w:rPr>
          <w:spacing w:val="-9"/>
          <w:sz w:val="18"/>
          <w:szCs w:val="18"/>
          <w:lang w:val="es-ES_tradnl"/>
        </w:rPr>
        <w:t xml:space="preserve">inconstitucionalidad, no se pretende desconocer la potestad </w:t>
      </w:r>
      <w:r>
        <w:rPr>
          <w:spacing w:val="-7"/>
          <w:sz w:val="18"/>
          <w:szCs w:val="18"/>
          <w:lang w:val="es-ES_tradnl"/>
        </w:rPr>
        <w:t xml:space="preserve">tributaria con la que cuenta de manera inherente el Estado </w:t>
      </w:r>
      <w:r>
        <w:rPr>
          <w:spacing w:val="-4"/>
          <w:sz w:val="18"/>
          <w:szCs w:val="18"/>
          <w:lang w:val="es-ES_tradnl"/>
        </w:rPr>
        <w:t xml:space="preserve">y en este caso en particular los GAD municipales, pues </w:t>
      </w:r>
      <w:r>
        <w:rPr>
          <w:spacing w:val="-7"/>
          <w:sz w:val="18"/>
          <w:szCs w:val="18"/>
          <w:lang w:val="es-ES_tradnl"/>
        </w:rPr>
        <w:t>ello ser</w:t>
      </w:r>
      <w:r>
        <w:rPr>
          <w:rFonts w:cs="Times New Roman"/>
          <w:spacing w:val="-7"/>
          <w:sz w:val="18"/>
          <w:szCs w:val="18"/>
          <w:lang w:val="es-ES_tradnl"/>
        </w:rPr>
        <w:t>í</w:t>
      </w:r>
      <w:r>
        <w:rPr>
          <w:spacing w:val="-7"/>
          <w:sz w:val="18"/>
          <w:szCs w:val="18"/>
          <w:lang w:val="es-ES_tradnl"/>
        </w:rPr>
        <w:t xml:space="preserve">a desconocer el propio mandato constitucional. No </w:t>
      </w:r>
      <w:r>
        <w:rPr>
          <w:spacing w:val="-8"/>
          <w:sz w:val="18"/>
          <w:szCs w:val="18"/>
          <w:lang w:val="es-ES_tradnl"/>
        </w:rPr>
        <w:t xml:space="preserve">obstante, en base a los conceptos y principios que se han </w:t>
      </w:r>
      <w:r>
        <w:rPr>
          <w:spacing w:val="-9"/>
          <w:sz w:val="18"/>
          <w:szCs w:val="18"/>
          <w:lang w:val="es-ES_tradnl"/>
        </w:rPr>
        <w:t>desarrollado en el problema jur</w:t>
      </w:r>
      <w:r>
        <w:rPr>
          <w:rFonts w:cs="Times New Roman"/>
          <w:spacing w:val="-9"/>
          <w:sz w:val="18"/>
          <w:szCs w:val="18"/>
          <w:lang w:val="es-ES_tradnl"/>
        </w:rPr>
        <w:t>í</w:t>
      </w:r>
      <w:r>
        <w:rPr>
          <w:spacing w:val="-9"/>
          <w:sz w:val="18"/>
          <w:szCs w:val="18"/>
          <w:lang w:val="es-ES_tradnl"/>
        </w:rPr>
        <w:t xml:space="preserve">dico, se deja en evidencia la </w:t>
      </w:r>
      <w:r>
        <w:rPr>
          <w:spacing w:val="-8"/>
          <w:sz w:val="18"/>
          <w:szCs w:val="18"/>
          <w:lang w:val="es-ES_tradnl"/>
        </w:rPr>
        <w:t xml:space="preserve">posibilidad de que este organismo de justicia constitucional </w:t>
      </w:r>
      <w:r>
        <w:rPr>
          <w:spacing w:val="-11"/>
          <w:sz w:val="18"/>
          <w:szCs w:val="18"/>
          <w:lang w:val="es-ES_tradnl"/>
        </w:rPr>
        <w:t xml:space="preserve">pueda, de ser el caso, limitar o regular dicha potestad en base </w:t>
      </w:r>
      <w:r>
        <w:rPr>
          <w:spacing w:val="-5"/>
          <w:sz w:val="18"/>
          <w:szCs w:val="18"/>
          <w:lang w:val="es-ES_tradnl"/>
        </w:rPr>
        <w:t>a los principios tributarios reconocidos en la Constituci</w:t>
      </w:r>
      <w:r>
        <w:rPr>
          <w:rFonts w:cs="Times New Roman"/>
          <w:spacing w:val="-5"/>
          <w:sz w:val="18"/>
          <w:szCs w:val="18"/>
          <w:lang w:val="es-ES_tradnl"/>
        </w:rPr>
        <w:t>ó</w:t>
      </w:r>
      <w:r>
        <w:rPr>
          <w:spacing w:val="-5"/>
          <w:sz w:val="18"/>
          <w:szCs w:val="18"/>
          <w:lang w:val="es-ES_tradnl"/>
        </w:rPr>
        <w:t xml:space="preserve">n </w:t>
      </w:r>
      <w:r>
        <w:rPr>
          <w:spacing w:val="-6"/>
          <w:sz w:val="18"/>
          <w:szCs w:val="18"/>
          <w:lang w:val="es-ES_tradnl"/>
        </w:rPr>
        <w:t>de la Rep</w:t>
      </w:r>
      <w:r>
        <w:rPr>
          <w:rFonts w:cs="Times New Roman"/>
          <w:spacing w:val="-6"/>
          <w:sz w:val="18"/>
          <w:szCs w:val="18"/>
          <w:lang w:val="es-ES_tradnl"/>
        </w:rPr>
        <w:t>ú</w:t>
      </w:r>
      <w:r>
        <w:rPr>
          <w:spacing w:val="-6"/>
          <w:sz w:val="18"/>
          <w:szCs w:val="18"/>
          <w:lang w:val="es-ES_tradnl"/>
        </w:rPr>
        <w:t>blica, circunstancia que guarda armon</w:t>
      </w:r>
      <w:r>
        <w:rPr>
          <w:rFonts w:cs="Times New Roman"/>
          <w:spacing w:val="-6"/>
          <w:sz w:val="18"/>
          <w:szCs w:val="18"/>
          <w:lang w:val="es-ES_tradnl"/>
        </w:rPr>
        <w:t>í</w:t>
      </w:r>
      <w:r>
        <w:rPr>
          <w:spacing w:val="-6"/>
          <w:sz w:val="18"/>
          <w:szCs w:val="18"/>
          <w:lang w:val="es-ES_tradnl"/>
        </w:rPr>
        <w:t>a con la</w:t>
      </w:r>
    </w:p>
    <w:p w14:paraId="4F67A7CD" w14:textId="77777777" w:rsidR="00591D54" w:rsidRDefault="00591D54">
      <w:pPr>
        <w:shd w:val="clear" w:color="auto" w:fill="FFFFFF"/>
        <w:spacing w:before="451"/>
      </w:pPr>
      <w:r>
        <w:rPr>
          <w:spacing w:val="-4"/>
          <w:sz w:val="14"/>
          <w:szCs w:val="14"/>
          <w:vertAlign w:val="superscript"/>
          <w:lang w:val="es-ES_tradnl"/>
        </w:rPr>
        <w:t>13</w:t>
      </w:r>
      <w:r>
        <w:rPr>
          <w:spacing w:val="-4"/>
          <w:sz w:val="14"/>
          <w:szCs w:val="14"/>
          <w:lang w:val="es-ES_tradnl"/>
        </w:rPr>
        <w:t xml:space="preserve"> </w:t>
      </w:r>
      <w:r>
        <w:rPr>
          <w:spacing w:val="-2"/>
          <w:sz w:val="14"/>
          <w:szCs w:val="14"/>
          <w:lang w:val="es-ES_tradnl"/>
        </w:rPr>
        <w:t>Registro Oficial 439 del 18 de febrero de 2015.</w:t>
      </w:r>
    </w:p>
    <w:p w14:paraId="4F67A7CE" w14:textId="77777777" w:rsidR="00591D54" w:rsidRDefault="00591D54">
      <w:pPr>
        <w:shd w:val="clear" w:color="auto" w:fill="FFFFFF"/>
        <w:spacing w:before="451"/>
        <w:sectPr w:rsidR="00591D54">
          <w:type w:val="continuous"/>
          <w:pgSz w:w="11909" w:h="16834"/>
          <w:pgMar w:top="1356" w:right="1309" w:bottom="360" w:left="1308" w:header="720" w:footer="720" w:gutter="0"/>
          <w:cols w:num="2" w:space="720" w:equalWidth="0">
            <w:col w:w="4305" w:space="682"/>
            <w:col w:w="4305"/>
          </w:cols>
          <w:noEndnote/>
        </w:sectPr>
      </w:pPr>
    </w:p>
    <w:p w14:paraId="4F67A7CF" w14:textId="77777777" w:rsidR="00591D54" w:rsidRDefault="00591D54">
      <w:pPr>
        <w:shd w:val="clear" w:color="auto" w:fill="FFFFFF"/>
        <w:tabs>
          <w:tab w:val="left" w:pos="4814"/>
        </w:tabs>
        <w:spacing w:after="235"/>
        <w:ind w:left="5"/>
      </w:pPr>
      <w:r>
        <w:rPr>
          <w:b/>
          <w:bCs/>
          <w:sz w:val="18"/>
          <w:szCs w:val="18"/>
          <w:lang w:val="es-ES_tradnl"/>
        </w:rPr>
        <w:t xml:space="preserve">56 -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7D0" w14:textId="77777777" w:rsidR="00591D54" w:rsidRDefault="00591D54">
      <w:pPr>
        <w:shd w:val="clear" w:color="auto" w:fill="FFFFFF"/>
        <w:tabs>
          <w:tab w:val="left" w:pos="4814"/>
        </w:tabs>
        <w:spacing w:after="235"/>
        <w:ind w:left="5"/>
        <w:sectPr w:rsidR="00591D54">
          <w:pgSz w:w="11909" w:h="16834"/>
          <w:pgMar w:top="1359" w:right="1299" w:bottom="360" w:left="1308" w:header="720" w:footer="720" w:gutter="0"/>
          <w:cols w:space="60"/>
          <w:noEndnote/>
        </w:sectPr>
      </w:pPr>
    </w:p>
    <w:p w14:paraId="4F67A7D1" w14:textId="77777777" w:rsidR="00591D54" w:rsidRDefault="00591D54">
      <w:pPr>
        <w:shd w:val="clear" w:color="auto" w:fill="FFFFFF"/>
        <w:spacing w:line="216" w:lineRule="exact"/>
        <w:jc w:val="both"/>
      </w:pPr>
      <w:r>
        <w:rPr>
          <w:spacing w:val="-8"/>
          <w:sz w:val="18"/>
          <w:szCs w:val="18"/>
          <w:lang w:val="es-ES_tradnl"/>
        </w:rPr>
        <w:t>pretensi</w:t>
      </w:r>
      <w:r>
        <w:rPr>
          <w:rFonts w:cs="Times New Roman"/>
          <w:spacing w:val="-8"/>
          <w:sz w:val="18"/>
          <w:szCs w:val="18"/>
          <w:lang w:val="es-ES_tradnl"/>
        </w:rPr>
        <w:t>ó</w:t>
      </w:r>
      <w:r>
        <w:rPr>
          <w:spacing w:val="-8"/>
          <w:sz w:val="18"/>
          <w:szCs w:val="18"/>
          <w:lang w:val="es-ES_tradnl"/>
        </w:rPr>
        <w:t>n de la accionante, quien, a consideraci</w:t>
      </w:r>
      <w:r>
        <w:rPr>
          <w:rFonts w:cs="Times New Roman"/>
          <w:spacing w:val="-8"/>
          <w:sz w:val="18"/>
          <w:szCs w:val="18"/>
          <w:lang w:val="es-ES_tradnl"/>
        </w:rPr>
        <w:t>ó</w:t>
      </w:r>
      <w:r>
        <w:rPr>
          <w:spacing w:val="-8"/>
          <w:sz w:val="18"/>
          <w:szCs w:val="18"/>
          <w:lang w:val="es-ES_tradnl"/>
        </w:rPr>
        <w:t xml:space="preserve">n de esta </w:t>
      </w:r>
      <w:r>
        <w:rPr>
          <w:spacing w:val="-7"/>
          <w:sz w:val="18"/>
          <w:szCs w:val="18"/>
          <w:lang w:val="es-ES_tradnl"/>
        </w:rPr>
        <w:t>Corte, no intenta desconocer la creaci</w:t>
      </w:r>
      <w:r>
        <w:rPr>
          <w:rFonts w:cs="Times New Roman"/>
          <w:spacing w:val="-7"/>
          <w:sz w:val="18"/>
          <w:szCs w:val="18"/>
          <w:lang w:val="es-ES_tradnl"/>
        </w:rPr>
        <w:t>ó</w:t>
      </w:r>
      <w:r>
        <w:rPr>
          <w:spacing w:val="-7"/>
          <w:sz w:val="18"/>
          <w:szCs w:val="18"/>
          <w:lang w:val="es-ES_tradnl"/>
        </w:rPr>
        <w:t xml:space="preserve">n de dichas tasas, </w:t>
      </w:r>
      <w:r>
        <w:rPr>
          <w:spacing w:val="-11"/>
          <w:sz w:val="18"/>
          <w:szCs w:val="18"/>
          <w:lang w:val="es-ES_tradnl"/>
        </w:rPr>
        <w:t xml:space="preserve">sino el elevado costo de sus tarifas, asunto que precisamente </w:t>
      </w:r>
      <w:r>
        <w:rPr>
          <w:spacing w:val="-7"/>
          <w:sz w:val="18"/>
          <w:szCs w:val="18"/>
          <w:lang w:val="es-ES_tradnl"/>
        </w:rPr>
        <w:t>deber</w:t>
      </w:r>
      <w:r>
        <w:rPr>
          <w:rFonts w:cs="Times New Roman"/>
          <w:spacing w:val="-7"/>
          <w:sz w:val="18"/>
          <w:szCs w:val="18"/>
          <w:lang w:val="es-ES_tradnl"/>
        </w:rPr>
        <w:t>á</w:t>
      </w:r>
      <w:r>
        <w:rPr>
          <w:spacing w:val="-7"/>
          <w:sz w:val="18"/>
          <w:szCs w:val="18"/>
          <w:lang w:val="es-ES_tradnl"/>
        </w:rPr>
        <w:t xml:space="preserve"> dilucidar este organismo dada la connotaci</w:t>
      </w:r>
      <w:r>
        <w:rPr>
          <w:rFonts w:cs="Times New Roman"/>
          <w:spacing w:val="-7"/>
          <w:sz w:val="18"/>
          <w:szCs w:val="18"/>
          <w:lang w:val="es-ES_tradnl"/>
        </w:rPr>
        <w:t>ó</w:t>
      </w:r>
      <w:r>
        <w:rPr>
          <w:spacing w:val="-7"/>
          <w:sz w:val="18"/>
          <w:szCs w:val="18"/>
          <w:lang w:val="es-ES_tradnl"/>
        </w:rPr>
        <w:t xml:space="preserve">n </w:t>
      </w:r>
      <w:r>
        <w:rPr>
          <w:spacing w:val="-8"/>
          <w:sz w:val="18"/>
          <w:szCs w:val="18"/>
          <w:lang w:val="es-ES_tradnl"/>
        </w:rPr>
        <w:t>constitucional que ha alcanzado esta denuncia.</w:t>
      </w:r>
    </w:p>
    <w:p w14:paraId="4F67A7D2" w14:textId="77777777" w:rsidR="00591D54" w:rsidRDefault="00591D54">
      <w:pPr>
        <w:shd w:val="clear" w:color="auto" w:fill="FFFFFF"/>
        <w:spacing w:before="197" w:line="216" w:lineRule="exact"/>
        <w:jc w:val="both"/>
      </w:pPr>
      <w:r>
        <w:rPr>
          <w:spacing w:val="-11"/>
          <w:sz w:val="18"/>
          <w:szCs w:val="18"/>
          <w:lang w:val="es-ES_tradnl"/>
        </w:rPr>
        <w:t>La accionante en su demanda realiza un an</w:t>
      </w:r>
      <w:r>
        <w:rPr>
          <w:rFonts w:cs="Times New Roman"/>
          <w:spacing w:val="-11"/>
          <w:sz w:val="18"/>
          <w:szCs w:val="18"/>
          <w:lang w:val="es-ES_tradnl"/>
        </w:rPr>
        <w:t>á</w:t>
      </w:r>
      <w:r>
        <w:rPr>
          <w:spacing w:val="-11"/>
          <w:sz w:val="18"/>
          <w:szCs w:val="18"/>
          <w:lang w:val="es-ES_tradnl"/>
        </w:rPr>
        <w:t xml:space="preserve">lisis comparativo </w:t>
      </w:r>
      <w:r>
        <w:rPr>
          <w:spacing w:val="-6"/>
          <w:sz w:val="18"/>
          <w:szCs w:val="18"/>
          <w:lang w:val="es-ES_tradnl"/>
        </w:rPr>
        <w:t xml:space="preserve">de tarifas fijadas entre la Ordenanza vigente en el Distrito </w:t>
      </w:r>
      <w:r>
        <w:rPr>
          <w:spacing w:val="-10"/>
          <w:sz w:val="18"/>
          <w:szCs w:val="18"/>
          <w:lang w:val="es-ES_tradnl"/>
        </w:rPr>
        <w:t xml:space="preserve">Metropolitano de Quito y la Ordenanza objeto de la presente </w:t>
      </w:r>
      <w:r>
        <w:rPr>
          <w:spacing w:val="-8"/>
          <w:sz w:val="18"/>
          <w:szCs w:val="18"/>
          <w:lang w:val="es-ES_tradnl"/>
        </w:rPr>
        <w:t>acci</w:t>
      </w:r>
      <w:r>
        <w:rPr>
          <w:rFonts w:cs="Times New Roman"/>
          <w:spacing w:val="-8"/>
          <w:sz w:val="18"/>
          <w:szCs w:val="18"/>
          <w:lang w:val="es-ES_tradnl"/>
        </w:rPr>
        <w:t>ó</w:t>
      </w:r>
      <w:r>
        <w:rPr>
          <w:spacing w:val="-8"/>
          <w:sz w:val="18"/>
          <w:szCs w:val="18"/>
          <w:lang w:val="es-ES_tradnl"/>
        </w:rPr>
        <w:t>n. Dicho an</w:t>
      </w:r>
      <w:r>
        <w:rPr>
          <w:rFonts w:cs="Times New Roman"/>
          <w:spacing w:val="-8"/>
          <w:sz w:val="18"/>
          <w:szCs w:val="18"/>
          <w:lang w:val="es-ES_tradnl"/>
        </w:rPr>
        <w:t>á</w:t>
      </w:r>
      <w:r>
        <w:rPr>
          <w:spacing w:val="-8"/>
          <w:sz w:val="18"/>
          <w:szCs w:val="18"/>
          <w:lang w:val="es-ES_tradnl"/>
        </w:rPr>
        <w:t>lisis no tiene otra intenci</w:t>
      </w:r>
      <w:r>
        <w:rPr>
          <w:rFonts w:cs="Times New Roman"/>
          <w:spacing w:val="-8"/>
          <w:sz w:val="18"/>
          <w:szCs w:val="18"/>
          <w:lang w:val="es-ES_tradnl"/>
        </w:rPr>
        <w:t>ó</w:t>
      </w:r>
      <w:r>
        <w:rPr>
          <w:spacing w:val="-8"/>
          <w:sz w:val="18"/>
          <w:szCs w:val="18"/>
          <w:lang w:val="es-ES_tradnl"/>
        </w:rPr>
        <w:t>n que comparar la fijaci</w:t>
      </w:r>
      <w:r>
        <w:rPr>
          <w:rFonts w:cs="Times New Roman"/>
          <w:spacing w:val="-8"/>
          <w:sz w:val="18"/>
          <w:szCs w:val="18"/>
          <w:lang w:val="es-ES_tradnl"/>
        </w:rPr>
        <w:t>ó</w:t>
      </w:r>
      <w:r>
        <w:rPr>
          <w:spacing w:val="-8"/>
          <w:sz w:val="18"/>
          <w:szCs w:val="18"/>
          <w:lang w:val="es-ES_tradnl"/>
        </w:rPr>
        <w:t xml:space="preserve">n de tarifas para el cobro de una misma tasa entre </w:t>
      </w:r>
      <w:r>
        <w:rPr>
          <w:spacing w:val="-10"/>
          <w:sz w:val="18"/>
          <w:szCs w:val="18"/>
          <w:lang w:val="es-ES_tradnl"/>
        </w:rPr>
        <w:t xml:space="preserve">gobiernos seccionales que cuentan con iguales atribuciones </w:t>
      </w:r>
      <w:r>
        <w:rPr>
          <w:spacing w:val="-6"/>
          <w:sz w:val="18"/>
          <w:szCs w:val="18"/>
          <w:lang w:val="es-ES_tradnl"/>
        </w:rPr>
        <w:t xml:space="preserve">de </w:t>
      </w:r>
      <w:r>
        <w:rPr>
          <w:rFonts w:cs="Times New Roman"/>
          <w:spacing w:val="-6"/>
          <w:sz w:val="18"/>
          <w:szCs w:val="18"/>
          <w:lang w:val="es-ES_tradnl"/>
        </w:rPr>
        <w:t>í</w:t>
      </w:r>
      <w:r>
        <w:rPr>
          <w:spacing w:val="-6"/>
          <w:sz w:val="18"/>
          <w:szCs w:val="18"/>
          <w:lang w:val="es-ES_tradnl"/>
        </w:rPr>
        <w:t xml:space="preserve">ndole tributario, siendo claro que dentro de nuestro </w:t>
      </w:r>
      <w:r>
        <w:rPr>
          <w:spacing w:val="-5"/>
          <w:sz w:val="18"/>
          <w:szCs w:val="18"/>
          <w:lang w:val="es-ES_tradnl"/>
        </w:rPr>
        <w:t>ordenamiento jur</w:t>
      </w:r>
      <w:r>
        <w:rPr>
          <w:rFonts w:cs="Times New Roman"/>
          <w:spacing w:val="-5"/>
          <w:sz w:val="18"/>
          <w:szCs w:val="18"/>
          <w:lang w:val="es-ES_tradnl"/>
        </w:rPr>
        <w:t>í</w:t>
      </w:r>
      <w:r>
        <w:rPr>
          <w:spacing w:val="-5"/>
          <w:sz w:val="18"/>
          <w:szCs w:val="18"/>
          <w:lang w:val="es-ES_tradnl"/>
        </w:rPr>
        <w:t>dico no existe una regulaci</w:t>
      </w:r>
      <w:r>
        <w:rPr>
          <w:rFonts w:cs="Times New Roman"/>
          <w:spacing w:val="-5"/>
          <w:sz w:val="18"/>
          <w:szCs w:val="18"/>
          <w:lang w:val="es-ES_tradnl"/>
        </w:rPr>
        <w:t>ó</w:t>
      </w:r>
      <w:r>
        <w:rPr>
          <w:spacing w:val="-5"/>
          <w:sz w:val="18"/>
          <w:szCs w:val="18"/>
          <w:lang w:val="es-ES_tradnl"/>
        </w:rPr>
        <w:t xml:space="preserve">n clara y </w:t>
      </w:r>
      <w:r>
        <w:rPr>
          <w:spacing w:val="-10"/>
          <w:sz w:val="18"/>
          <w:szCs w:val="18"/>
          <w:lang w:val="es-ES_tradnl"/>
        </w:rPr>
        <w:t>expresa que disponga a las municipalidades par</w:t>
      </w:r>
      <w:r>
        <w:rPr>
          <w:rFonts w:cs="Times New Roman"/>
          <w:spacing w:val="-10"/>
          <w:sz w:val="18"/>
          <w:szCs w:val="18"/>
          <w:lang w:val="es-ES_tradnl"/>
        </w:rPr>
        <w:t>á</w:t>
      </w:r>
      <w:r>
        <w:rPr>
          <w:spacing w:val="-10"/>
          <w:sz w:val="18"/>
          <w:szCs w:val="18"/>
          <w:lang w:val="es-ES_tradnl"/>
        </w:rPr>
        <w:t xml:space="preserve">metros por </w:t>
      </w:r>
      <w:r>
        <w:rPr>
          <w:spacing w:val="-7"/>
          <w:sz w:val="18"/>
          <w:szCs w:val="18"/>
          <w:lang w:val="es-ES_tradnl"/>
        </w:rPr>
        <w:t>los cuales deba fijar las tarifas en tasa por ocupaci</w:t>
      </w:r>
      <w:r>
        <w:rPr>
          <w:rFonts w:cs="Times New Roman"/>
          <w:spacing w:val="-7"/>
          <w:sz w:val="18"/>
          <w:szCs w:val="18"/>
          <w:lang w:val="es-ES_tradnl"/>
        </w:rPr>
        <w:t>ó</w:t>
      </w:r>
      <w:r>
        <w:rPr>
          <w:spacing w:val="-7"/>
          <w:sz w:val="18"/>
          <w:szCs w:val="18"/>
          <w:lang w:val="es-ES_tradnl"/>
        </w:rPr>
        <w:t xml:space="preserve">n de </w:t>
      </w:r>
      <w:r>
        <w:rPr>
          <w:spacing w:val="-6"/>
          <w:sz w:val="18"/>
          <w:szCs w:val="18"/>
          <w:lang w:val="es-ES_tradnl"/>
        </w:rPr>
        <w:t>espacio p</w:t>
      </w:r>
      <w:r>
        <w:rPr>
          <w:rFonts w:cs="Times New Roman"/>
          <w:spacing w:val="-6"/>
          <w:sz w:val="18"/>
          <w:szCs w:val="18"/>
          <w:lang w:val="es-ES_tradnl"/>
        </w:rPr>
        <w:t>ú</w:t>
      </w:r>
      <w:r>
        <w:rPr>
          <w:spacing w:val="-6"/>
          <w:sz w:val="18"/>
          <w:szCs w:val="18"/>
          <w:lang w:val="es-ES_tradnl"/>
        </w:rPr>
        <w:t>blico, m</w:t>
      </w:r>
      <w:r>
        <w:rPr>
          <w:rFonts w:cs="Times New Roman"/>
          <w:spacing w:val="-6"/>
          <w:sz w:val="18"/>
          <w:szCs w:val="18"/>
          <w:lang w:val="es-ES_tradnl"/>
        </w:rPr>
        <w:t>á</w:t>
      </w:r>
      <w:r>
        <w:rPr>
          <w:spacing w:val="-6"/>
          <w:sz w:val="18"/>
          <w:szCs w:val="18"/>
          <w:lang w:val="es-ES_tradnl"/>
        </w:rPr>
        <w:t>s all</w:t>
      </w:r>
      <w:r>
        <w:rPr>
          <w:rFonts w:cs="Times New Roman"/>
          <w:spacing w:val="-6"/>
          <w:sz w:val="18"/>
          <w:szCs w:val="18"/>
          <w:lang w:val="es-ES_tradnl"/>
        </w:rPr>
        <w:t>á</w:t>
      </w:r>
      <w:r>
        <w:rPr>
          <w:spacing w:val="-6"/>
          <w:sz w:val="18"/>
          <w:szCs w:val="18"/>
          <w:lang w:val="es-ES_tradnl"/>
        </w:rPr>
        <w:t xml:space="preserve"> de lo previsto en el art</w:t>
      </w:r>
      <w:r>
        <w:rPr>
          <w:rFonts w:cs="Times New Roman"/>
          <w:spacing w:val="-6"/>
          <w:sz w:val="18"/>
          <w:szCs w:val="18"/>
          <w:lang w:val="es-ES_tradnl"/>
        </w:rPr>
        <w:t>í</w:t>
      </w:r>
      <w:r>
        <w:rPr>
          <w:spacing w:val="-6"/>
          <w:sz w:val="18"/>
          <w:szCs w:val="18"/>
          <w:lang w:val="es-ES_tradnl"/>
        </w:rPr>
        <w:t xml:space="preserve">culo 104 </w:t>
      </w:r>
      <w:r>
        <w:rPr>
          <w:spacing w:val="-7"/>
          <w:sz w:val="18"/>
          <w:szCs w:val="18"/>
          <w:lang w:val="es-ES_tradnl"/>
        </w:rPr>
        <w:t>de la Ley Org</w:t>
      </w:r>
      <w:r>
        <w:rPr>
          <w:rFonts w:cs="Times New Roman"/>
          <w:spacing w:val="-7"/>
          <w:sz w:val="18"/>
          <w:szCs w:val="18"/>
          <w:lang w:val="es-ES_tradnl"/>
        </w:rPr>
        <w:t>á</w:t>
      </w:r>
      <w:r>
        <w:rPr>
          <w:spacing w:val="-7"/>
          <w:sz w:val="18"/>
          <w:szCs w:val="18"/>
          <w:lang w:val="es-ES_tradnl"/>
        </w:rPr>
        <w:t xml:space="preserve">nica de Telecomunicaciones, conforme se </w:t>
      </w:r>
      <w:r>
        <w:rPr>
          <w:sz w:val="18"/>
          <w:szCs w:val="18"/>
          <w:lang w:val="es-ES_tradnl"/>
        </w:rPr>
        <w:t>se</w:t>
      </w:r>
      <w:r>
        <w:rPr>
          <w:rFonts w:cs="Times New Roman"/>
          <w:sz w:val="18"/>
          <w:szCs w:val="18"/>
          <w:lang w:val="es-ES_tradnl"/>
        </w:rPr>
        <w:t>ñ</w:t>
      </w:r>
      <w:r>
        <w:rPr>
          <w:sz w:val="18"/>
          <w:szCs w:val="18"/>
          <w:lang w:val="es-ES_tradnl"/>
        </w:rPr>
        <w:t>al</w:t>
      </w:r>
      <w:r>
        <w:rPr>
          <w:rFonts w:cs="Times New Roman"/>
          <w:sz w:val="18"/>
          <w:szCs w:val="18"/>
          <w:lang w:val="es-ES_tradnl"/>
        </w:rPr>
        <w:t>ó</w:t>
      </w:r>
      <w:r>
        <w:rPr>
          <w:sz w:val="18"/>
          <w:szCs w:val="18"/>
          <w:lang w:val="es-ES_tradnl"/>
        </w:rPr>
        <w:t xml:space="preserve"> previamente.</w:t>
      </w:r>
    </w:p>
    <w:p w14:paraId="4F67A7D3" w14:textId="77777777" w:rsidR="00591D54" w:rsidRDefault="00591D54">
      <w:pPr>
        <w:shd w:val="clear" w:color="auto" w:fill="FFFFFF"/>
        <w:spacing w:before="197" w:line="216" w:lineRule="exact"/>
        <w:jc w:val="both"/>
      </w:pPr>
      <w:r>
        <w:rPr>
          <w:spacing w:val="-8"/>
          <w:sz w:val="18"/>
          <w:szCs w:val="18"/>
          <w:lang w:val="es-ES_tradnl"/>
        </w:rPr>
        <w:t xml:space="preserve">En este sentido, la Ordenanza Metropolitana que establece </w:t>
      </w:r>
      <w:r>
        <w:rPr>
          <w:spacing w:val="-4"/>
          <w:sz w:val="18"/>
          <w:szCs w:val="18"/>
          <w:lang w:val="es-ES_tradnl"/>
        </w:rPr>
        <w:t>el r</w:t>
      </w:r>
      <w:r>
        <w:rPr>
          <w:rFonts w:cs="Times New Roman"/>
          <w:spacing w:val="-4"/>
          <w:sz w:val="18"/>
          <w:szCs w:val="18"/>
          <w:lang w:val="es-ES_tradnl"/>
        </w:rPr>
        <w:t>é</w:t>
      </w:r>
      <w:r>
        <w:rPr>
          <w:spacing w:val="-4"/>
          <w:sz w:val="18"/>
          <w:szCs w:val="18"/>
          <w:lang w:val="es-ES_tradnl"/>
        </w:rPr>
        <w:t>gimen administrativo y aplicaci</w:t>
      </w:r>
      <w:r>
        <w:rPr>
          <w:rFonts w:cs="Times New Roman"/>
          <w:spacing w:val="-4"/>
          <w:sz w:val="18"/>
          <w:szCs w:val="18"/>
          <w:lang w:val="es-ES_tradnl"/>
        </w:rPr>
        <w:t>ó</w:t>
      </w:r>
      <w:r>
        <w:rPr>
          <w:spacing w:val="-4"/>
          <w:sz w:val="18"/>
          <w:szCs w:val="18"/>
          <w:lang w:val="es-ES_tradnl"/>
        </w:rPr>
        <w:t xml:space="preserve">n de la licencia </w:t>
      </w:r>
      <w:r>
        <w:rPr>
          <w:spacing w:val="-8"/>
          <w:sz w:val="18"/>
          <w:szCs w:val="18"/>
          <w:lang w:val="es-ES_tradnl"/>
        </w:rPr>
        <w:t>metropolitana urban</w:t>
      </w:r>
      <w:r>
        <w:rPr>
          <w:rFonts w:cs="Times New Roman"/>
          <w:spacing w:val="-8"/>
          <w:sz w:val="18"/>
          <w:szCs w:val="18"/>
          <w:lang w:val="es-ES_tradnl"/>
        </w:rPr>
        <w:t>í</w:t>
      </w:r>
      <w:r>
        <w:rPr>
          <w:spacing w:val="-8"/>
          <w:sz w:val="18"/>
          <w:szCs w:val="18"/>
          <w:lang w:val="es-ES_tradnl"/>
        </w:rPr>
        <w:t>stica de utilizaci</w:t>
      </w:r>
      <w:r>
        <w:rPr>
          <w:rFonts w:cs="Times New Roman"/>
          <w:spacing w:val="-8"/>
          <w:sz w:val="18"/>
          <w:szCs w:val="18"/>
          <w:lang w:val="es-ES_tradnl"/>
        </w:rPr>
        <w:t>ó</w:t>
      </w:r>
      <w:r>
        <w:rPr>
          <w:spacing w:val="-8"/>
          <w:sz w:val="18"/>
          <w:szCs w:val="18"/>
          <w:lang w:val="es-ES_tradnl"/>
        </w:rPr>
        <w:t xml:space="preserve">n o aprovechamiento </w:t>
      </w:r>
      <w:r>
        <w:rPr>
          <w:spacing w:val="-9"/>
          <w:sz w:val="18"/>
          <w:szCs w:val="18"/>
          <w:lang w:val="es-ES_tradnl"/>
        </w:rPr>
        <w:t>del espacio p</w:t>
      </w:r>
      <w:r>
        <w:rPr>
          <w:rFonts w:cs="Times New Roman"/>
          <w:spacing w:val="-9"/>
          <w:sz w:val="18"/>
          <w:szCs w:val="18"/>
          <w:lang w:val="es-ES_tradnl"/>
        </w:rPr>
        <w:t>ú</w:t>
      </w:r>
      <w:r>
        <w:rPr>
          <w:spacing w:val="-9"/>
          <w:sz w:val="18"/>
          <w:szCs w:val="18"/>
          <w:lang w:val="es-ES_tradnl"/>
        </w:rPr>
        <w:t>blico para la instalaci</w:t>
      </w:r>
      <w:r>
        <w:rPr>
          <w:rFonts w:cs="Times New Roman"/>
          <w:spacing w:val="-9"/>
          <w:sz w:val="18"/>
          <w:szCs w:val="18"/>
          <w:lang w:val="es-ES_tradnl"/>
        </w:rPr>
        <w:t>ó</w:t>
      </w:r>
      <w:r>
        <w:rPr>
          <w:spacing w:val="-9"/>
          <w:sz w:val="18"/>
          <w:szCs w:val="18"/>
          <w:lang w:val="es-ES_tradnl"/>
        </w:rPr>
        <w:t>n de redes de servicio</w:t>
      </w:r>
      <w:r>
        <w:rPr>
          <w:rFonts w:cs="Times New Roman"/>
          <w:spacing w:val="-9"/>
          <w:sz w:val="18"/>
          <w:szCs w:val="18"/>
          <w:lang w:val="es-ES_tradnl"/>
        </w:rPr>
        <w:t xml:space="preserve">– </w:t>
      </w:r>
      <w:r>
        <w:rPr>
          <w:spacing w:val="-9"/>
          <w:sz w:val="18"/>
          <w:szCs w:val="18"/>
          <w:lang w:val="es-ES_tradnl"/>
        </w:rPr>
        <w:t>LMU 40</w:t>
      </w:r>
      <w:r>
        <w:rPr>
          <w:spacing w:val="-9"/>
          <w:sz w:val="18"/>
          <w:szCs w:val="18"/>
          <w:vertAlign w:val="superscript"/>
          <w:lang w:val="es-ES_tradnl"/>
        </w:rPr>
        <w:t>14</w:t>
      </w:r>
      <w:r>
        <w:rPr>
          <w:spacing w:val="-9"/>
          <w:sz w:val="18"/>
          <w:szCs w:val="18"/>
          <w:lang w:val="es-ES_tradnl"/>
        </w:rPr>
        <w:t>, establece dentro de su Cap</w:t>
      </w:r>
      <w:r>
        <w:rPr>
          <w:rFonts w:cs="Times New Roman"/>
          <w:spacing w:val="-9"/>
          <w:sz w:val="18"/>
          <w:szCs w:val="18"/>
          <w:lang w:val="es-ES_tradnl"/>
        </w:rPr>
        <w:t>í</w:t>
      </w:r>
      <w:r>
        <w:rPr>
          <w:spacing w:val="-9"/>
          <w:sz w:val="18"/>
          <w:szCs w:val="18"/>
          <w:lang w:val="es-ES_tradnl"/>
        </w:rPr>
        <w:t xml:space="preserve">tulo VII las tasas de </w:t>
      </w:r>
      <w:r>
        <w:rPr>
          <w:spacing w:val="-7"/>
          <w:sz w:val="18"/>
          <w:szCs w:val="18"/>
          <w:lang w:val="es-ES_tradnl"/>
        </w:rPr>
        <w:t>utilizaci</w:t>
      </w:r>
      <w:r>
        <w:rPr>
          <w:rFonts w:cs="Times New Roman"/>
          <w:spacing w:val="-7"/>
          <w:sz w:val="18"/>
          <w:szCs w:val="18"/>
          <w:lang w:val="es-ES_tradnl"/>
        </w:rPr>
        <w:t>ó</w:t>
      </w:r>
      <w:r>
        <w:rPr>
          <w:spacing w:val="-7"/>
          <w:sz w:val="18"/>
          <w:szCs w:val="18"/>
          <w:lang w:val="es-ES_tradnl"/>
        </w:rPr>
        <w:t>n privativa o aprovechamiento del espacio p</w:t>
      </w:r>
      <w:r>
        <w:rPr>
          <w:rFonts w:cs="Times New Roman"/>
          <w:spacing w:val="-7"/>
          <w:sz w:val="18"/>
          <w:szCs w:val="18"/>
          <w:lang w:val="es-ES_tradnl"/>
        </w:rPr>
        <w:t>ú</w:t>
      </w:r>
      <w:r>
        <w:rPr>
          <w:spacing w:val="-7"/>
          <w:sz w:val="18"/>
          <w:szCs w:val="18"/>
          <w:lang w:val="es-ES_tradnl"/>
        </w:rPr>
        <w:t xml:space="preserve">blico </w:t>
      </w:r>
      <w:r>
        <w:rPr>
          <w:spacing w:val="-5"/>
          <w:sz w:val="18"/>
          <w:szCs w:val="18"/>
          <w:lang w:val="es-ES_tradnl"/>
        </w:rPr>
        <w:t>para la instalaci</w:t>
      </w:r>
      <w:r>
        <w:rPr>
          <w:rFonts w:cs="Times New Roman"/>
          <w:spacing w:val="-5"/>
          <w:sz w:val="18"/>
          <w:szCs w:val="18"/>
          <w:lang w:val="es-ES_tradnl"/>
        </w:rPr>
        <w:t>ó</w:t>
      </w:r>
      <w:r>
        <w:rPr>
          <w:spacing w:val="-5"/>
          <w:sz w:val="18"/>
          <w:szCs w:val="18"/>
          <w:lang w:val="es-ES_tradnl"/>
        </w:rPr>
        <w:t xml:space="preserve">n de redes de servicio en el Distrito </w:t>
      </w:r>
      <w:r>
        <w:rPr>
          <w:spacing w:val="-10"/>
          <w:sz w:val="18"/>
          <w:szCs w:val="18"/>
          <w:lang w:val="es-ES_tradnl"/>
        </w:rPr>
        <w:t>Metropolitano de Quito, en donde, por ocupaci</w:t>
      </w:r>
      <w:r>
        <w:rPr>
          <w:rFonts w:cs="Times New Roman"/>
          <w:spacing w:val="-10"/>
          <w:sz w:val="18"/>
          <w:szCs w:val="18"/>
          <w:lang w:val="es-ES_tradnl"/>
        </w:rPr>
        <w:t>ó</w:t>
      </w:r>
      <w:r>
        <w:rPr>
          <w:spacing w:val="-10"/>
          <w:sz w:val="18"/>
          <w:szCs w:val="18"/>
          <w:lang w:val="es-ES_tradnl"/>
        </w:rPr>
        <w:t xml:space="preserve">n de espacio </w:t>
      </w:r>
      <w:r>
        <w:rPr>
          <w:spacing w:val="-7"/>
          <w:sz w:val="18"/>
          <w:szCs w:val="18"/>
          <w:lang w:val="es-ES_tradnl"/>
        </w:rPr>
        <w:t>a</w:t>
      </w:r>
      <w:r>
        <w:rPr>
          <w:rFonts w:cs="Times New Roman"/>
          <w:spacing w:val="-7"/>
          <w:sz w:val="18"/>
          <w:szCs w:val="18"/>
          <w:lang w:val="es-ES_tradnl"/>
        </w:rPr>
        <w:t>é</w:t>
      </w:r>
      <w:r>
        <w:rPr>
          <w:spacing w:val="-7"/>
          <w:sz w:val="18"/>
          <w:szCs w:val="18"/>
          <w:lang w:val="es-ES_tradnl"/>
        </w:rPr>
        <w:t xml:space="preserve">reo, suelo o subsuelo, la Ordenanza Metropolitana fija </w:t>
      </w:r>
      <w:r>
        <w:rPr>
          <w:spacing w:val="-6"/>
          <w:sz w:val="18"/>
          <w:szCs w:val="18"/>
          <w:lang w:val="es-ES_tradnl"/>
        </w:rPr>
        <w:t>una tarifa que var</w:t>
      </w:r>
      <w:r>
        <w:rPr>
          <w:rFonts w:cs="Times New Roman"/>
          <w:spacing w:val="-6"/>
          <w:sz w:val="18"/>
          <w:szCs w:val="18"/>
          <w:lang w:val="es-ES_tradnl"/>
        </w:rPr>
        <w:t>í</w:t>
      </w:r>
      <w:r>
        <w:rPr>
          <w:spacing w:val="-6"/>
          <w:sz w:val="18"/>
          <w:szCs w:val="18"/>
          <w:lang w:val="es-ES_tradnl"/>
        </w:rPr>
        <w:t xml:space="preserve">a entre los USD $ 0.08 y 0.35 anuales </w:t>
      </w:r>
      <w:r>
        <w:rPr>
          <w:spacing w:val="-8"/>
          <w:sz w:val="18"/>
          <w:szCs w:val="18"/>
          <w:lang w:val="es-ES_tradnl"/>
        </w:rPr>
        <w:t xml:space="preserve">por cada metro lineal de cable, dependiendo de la zona </w:t>
      </w:r>
      <w:r>
        <w:rPr>
          <w:spacing w:val="-5"/>
          <w:sz w:val="18"/>
          <w:szCs w:val="18"/>
          <w:lang w:val="es-ES_tradnl"/>
        </w:rPr>
        <w:t xml:space="preserve">territorial en que se ubique dicho material. Por otro lado, </w:t>
      </w:r>
      <w:r>
        <w:rPr>
          <w:spacing w:val="-8"/>
          <w:sz w:val="18"/>
          <w:szCs w:val="18"/>
          <w:lang w:val="es-ES_tradnl"/>
        </w:rPr>
        <w:t>seg</w:t>
      </w:r>
      <w:r>
        <w:rPr>
          <w:rFonts w:cs="Times New Roman"/>
          <w:spacing w:val="-8"/>
          <w:sz w:val="18"/>
          <w:szCs w:val="18"/>
          <w:lang w:val="es-ES_tradnl"/>
        </w:rPr>
        <w:t>ú</w:t>
      </w:r>
      <w:r>
        <w:rPr>
          <w:spacing w:val="-8"/>
          <w:sz w:val="18"/>
          <w:szCs w:val="18"/>
          <w:lang w:val="es-ES_tradnl"/>
        </w:rPr>
        <w:t>n se establece en el art</w:t>
      </w:r>
      <w:r>
        <w:rPr>
          <w:rFonts w:cs="Times New Roman"/>
          <w:spacing w:val="-8"/>
          <w:sz w:val="18"/>
          <w:szCs w:val="18"/>
          <w:lang w:val="es-ES_tradnl"/>
        </w:rPr>
        <w:t>í</w:t>
      </w:r>
      <w:r>
        <w:rPr>
          <w:spacing w:val="-8"/>
          <w:sz w:val="18"/>
          <w:szCs w:val="18"/>
          <w:lang w:val="es-ES_tradnl"/>
        </w:rPr>
        <w:t>culo 18 de la Ordenanza del cant</w:t>
      </w:r>
      <w:r>
        <w:rPr>
          <w:rFonts w:cs="Times New Roman"/>
          <w:spacing w:val="-8"/>
          <w:sz w:val="18"/>
          <w:szCs w:val="18"/>
          <w:lang w:val="es-ES_tradnl"/>
        </w:rPr>
        <w:t>ó</w:t>
      </w:r>
      <w:r>
        <w:rPr>
          <w:spacing w:val="-8"/>
          <w:sz w:val="18"/>
          <w:szCs w:val="18"/>
          <w:lang w:val="es-ES_tradnl"/>
        </w:rPr>
        <w:t>n Tulc</w:t>
      </w:r>
      <w:r>
        <w:rPr>
          <w:rFonts w:cs="Times New Roman"/>
          <w:spacing w:val="-8"/>
          <w:sz w:val="18"/>
          <w:szCs w:val="18"/>
          <w:lang w:val="es-ES_tradnl"/>
        </w:rPr>
        <w:t>á</w:t>
      </w:r>
      <w:r>
        <w:rPr>
          <w:spacing w:val="-8"/>
          <w:sz w:val="18"/>
          <w:szCs w:val="18"/>
          <w:lang w:val="es-ES_tradnl"/>
        </w:rPr>
        <w:t xml:space="preserve">n, las empresas que ubiquen dicho cableado deben pagar diariamente un valor de USD $ 0.01 por cada </w:t>
      </w:r>
      <w:r>
        <w:rPr>
          <w:spacing w:val="-1"/>
          <w:sz w:val="18"/>
          <w:szCs w:val="18"/>
          <w:lang w:val="es-ES_tradnl"/>
        </w:rPr>
        <w:t xml:space="preserve">metro lineal de cable tendido, es decir, un valor anual </w:t>
      </w:r>
      <w:r>
        <w:rPr>
          <w:spacing w:val="-6"/>
          <w:sz w:val="18"/>
          <w:szCs w:val="18"/>
          <w:lang w:val="es-ES_tradnl"/>
        </w:rPr>
        <w:t xml:space="preserve">de USD $ 3.65 por cada metro de cable; por lo tanto, en </w:t>
      </w:r>
      <w:r>
        <w:rPr>
          <w:spacing w:val="-7"/>
          <w:sz w:val="18"/>
          <w:szCs w:val="18"/>
          <w:lang w:val="es-ES_tradnl"/>
        </w:rPr>
        <w:t>t</w:t>
      </w:r>
      <w:r>
        <w:rPr>
          <w:rFonts w:cs="Times New Roman"/>
          <w:spacing w:val="-7"/>
          <w:sz w:val="18"/>
          <w:szCs w:val="18"/>
          <w:lang w:val="es-ES_tradnl"/>
        </w:rPr>
        <w:t>é</w:t>
      </w:r>
      <w:r>
        <w:rPr>
          <w:spacing w:val="-7"/>
          <w:sz w:val="18"/>
          <w:szCs w:val="18"/>
          <w:lang w:val="es-ES_tradnl"/>
        </w:rPr>
        <w:t>rminos comparativos, conforme lo se</w:t>
      </w:r>
      <w:r>
        <w:rPr>
          <w:rFonts w:cs="Times New Roman"/>
          <w:spacing w:val="-7"/>
          <w:sz w:val="18"/>
          <w:szCs w:val="18"/>
          <w:lang w:val="es-ES_tradnl"/>
        </w:rPr>
        <w:t>ñ</w:t>
      </w:r>
      <w:r>
        <w:rPr>
          <w:spacing w:val="-7"/>
          <w:sz w:val="18"/>
          <w:szCs w:val="18"/>
          <w:lang w:val="es-ES_tradnl"/>
        </w:rPr>
        <w:t xml:space="preserve">ala la accionante, </w:t>
      </w:r>
      <w:r>
        <w:rPr>
          <w:spacing w:val="-8"/>
          <w:sz w:val="18"/>
          <w:szCs w:val="18"/>
          <w:lang w:val="es-ES_tradnl"/>
        </w:rPr>
        <w:t xml:space="preserve">esta </w:t>
      </w:r>
      <w:r>
        <w:rPr>
          <w:rFonts w:cs="Times New Roman"/>
          <w:spacing w:val="-8"/>
          <w:sz w:val="18"/>
          <w:szCs w:val="18"/>
          <w:lang w:val="es-ES_tradnl"/>
        </w:rPr>
        <w:t>ú</w:t>
      </w:r>
      <w:r>
        <w:rPr>
          <w:spacing w:val="-8"/>
          <w:sz w:val="18"/>
          <w:szCs w:val="18"/>
          <w:lang w:val="es-ES_tradnl"/>
        </w:rPr>
        <w:t>ltima tarifa es diez veces m</w:t>
      </w:r>
      <w:r>
        <w:rPr>
          <w:rFonts w:cs="Times New Roman"/>
          <w:spacing w:val="-8"/>
          <w:sz w:val="18"/>
          <w:szCs w:val="18"/>
          <w:lang w:val="es-ES_tradnl"/>
        </w:rPr>
        <w:t>á</w:t>
      </w:r>
      <w:r>
        <w:rPr>
          <w:spacing w:val="-8"/>
          <w:sz w:val="18"/>
          <w:szCs w:val="18"/>
          <w:lang w:val="es-ES_tradnl"/>
        </w:rPr>
        <w:t xml:space="preserve">s alta que la tarifa mayor </w:t>
      </w:r>
      <w:r>
        <w:rPr>
          <w:spacing w:val="-6"/>
          <w:sz w:val="18"/>
          <w:szCs w:val="18"/>
          <w:lang w:val="es-ES_tradnl"/>
        </w:rPr>
        <w:t>(USD $ 0.35) fijada por el Distrito Metropolitano de Quito.</w:t>
      </w:r>
    </w:p>
    <w:p w14:paraId="4F67A7D4" w14:textId="77777777" w:rsidR="00591D54" w:rsidRDefault="00591D54">
      <w:pPr>
        <w:shd w:val="clear" w:color="auto" w:fill="FFFFFF"/>
        <w:spacing w:before="192" w:line="216" w:lineRule="exact"/>
        <w:jc w:val="both"/>
      </w:pPr>
      <w:r>
        <w:rPr>
          <w:sz w:val="18"/>
          <w:szCs w:val="18"/>
          <w:lang w:val="es-ES_tradnl"/>
        </w:rPr>
        <w:t>Continuando con el an</w:t>
      </w:r>
      <w:r>
        <w:rPr>
          <w:rFonts w:cs="Times New Roman"/>
          <w:sz w:val="18"/>
          <w:szCs w:val="18"/>
          <w:lang w:val="es-ES_tradnl"/>
        </w:rPr>
        <w:t>á</w:t>
      </w:r>
      <w:r>
        <w:rPr>
          <w:sz w:val="18"/>
          <w:szCs w:val="18"/>
          <w:lang w:val="es-ES_tradnl"/>
        </w:rPr>
        <w:t>lisis del art</w:t>
      </w:r>
      <w:r>
        <w:rPr>
          <w:rFonts w:cs="Times New Roman"/>
          <w:sz w:val="18"/>
          <w:szCs w:val="18"/>
          <w:lang w:val="es-ES_tradnl"/>
        </w:rPr>
        <w:t>í</w:t>
      </w:r>
      <w:r>
        <w:rPr>
          <w:sz w:val="18"/>
          <w:szCs w:val="18"/>
          <w:lang w:val="es-ES_tradnl"/>
        </w:rPr>
        <w:t xml:space="preserve">culo 18 de la </w:t>
      </w:r>
      <w:r>
        <w:rPr>
          <w:spacing w:val="-6"/>
          <w:sz w:val="18"/>
          <w:szCs w:val="18"/>
          <w:lang w:val="es-ES_tradnl"/>
        </w:rPr>
        <w:t>Ordenanza, se puede observar de igual forma que en el resto de ocupaciones de espacios p</w:t>
      </w:r>
      <w:r>
        <w:rPr>
          <w:rFonts w:cs="Times New Roman"/>
          <w:spacing w:val="-6"/>
          <w:sz w:val="18"/>
          <w:szCs w:val="18"/>
          <w:lang w:val="es-ES_tradnl"/>
        </w:rPr>
        <w:t>ú</w:t>
      </w:r>
      <w:r>
        <w:rPr>
          <w:spacing w:val="-6"/>
          <w:sz w:val="18"/>
          <w:szCs w:val="18"/>
          <w:lang w:val="es-ES_tradnl"/>
        </w:rPr>
        <w:t xml:space="preserve">blicos por los cuales </w:t>
      </w:r>
      <w:r>
        <w:rPr>
          <w:spacing w:val="-8"/>
          <w:sz w:val="18"/>
          <w:szCs w:val="18"/>
          <w:lang w:val="es-ES_tradnl"/>
        </w:rPr>
        <w:t xml:space="preserve">se cobra el tributo, se establece una tarifa diaria y no anual. </w:t>
      </w:r>
      <w:r>
        <w:rPr>
          <w:spacing w:val="-7"/>
          <w:sz w:val="18"/>
          <w:szCs w:val="18"/>
          <w:lang w:val="es-ES_tradnl"/>
        </w:rPr>
        <w:t>Es as</w:t>
      </w:r>
      <w:r>
        <w:rPr>
          <w:rFonts w:cs="Times New Roman"/>
          <w:spacing w:val="-7"/>
          <w:sz w:val="18"/>
          <w:szCs w:val="18"/>
          <w:lang w:val="es-ES_tradnl"/>
        </w:rPr>
        <w:t>í</w:t>
      </w:r>
      <w:r>
        <w:rPr>
          <w:spacing w:val="-7"/>
          <w:sz w:val="18"/>
          <w:szCs w:val="18"/>
          <w:lang w:val="es-ES_tradnl"/>
        </w:rPr>
        <w:t xml:space="preserve"> que: 1) en el caso de estructuras met</w:t>
      </w:r>
      <w:r>
        <w:rPr>
          <w:rFonts w:cs="Times New Roman"/>
          <w:spacing w:val="-7"/>
          <w:sz w:val="18"/>
          <w:szCs w:val="18"/>
          <w:lang w:val="es-ES_tradnl"/>
        </w:rPr>
        <w:t>á</w:t>
      </w:r>
      <w:r>
        <w:rPr>
          <w:spacing w:val="-7"/>
          <w:sz w:val="18"/>
          <w:szCs w:val="18"/>
          <w:lang w:val="es-ES_tradnl"/>
        </w:rPr>
        <w:t xml:space="preserve">licas para el </w:t>
      </w:r>
      <w:r>
        <w:rPr>
          <w:spacing w:val="-6"/>
          <w:sz w:val="18"/>
          <w:szCs w:val="18"/>
          <w:lang w:val="es-ES_tradnl"/>
        </w:rPr>
        <w:t>uso de comunicaci</w:t>
      </w:r>
      <w:r>
        <w:rPr>
          <w:rFonts w:cs="Times New Roman"/>
          <w:spacing w:val="-6"/>
          <w:sz w:val="18"/>
          <w:szCs w:val="18"/>
          <w:lang w:val="es-ES_tradnl"/>
        </w:rPr>
        <w:t>ó</w:t>
      </w:r>
      <w:r>
        <w:rPr>
          <w:spacing w:val="-6"/>
          <w:sz w:val="18"/>
          <w:szCs w:val="18"/>
          <w:lang w:val="es-ES_tradnl"/>
        </w:rPr>
        <w:t>n a celulares o canales de televisi</w:t>
      </w:r>
      <w:r>
        <w:rPr>
          <w:rFonts w:cs="Times New Roman"/>
          <w:spacing w:val="-6"/>
          <w:sz w:val="18"/>
          <w:szCs w:val="18"/>
          <w:lang w:val="es-ES_tradnl"/>
        </w:rPr>
        <w:t>ó</w:t>
      </w:r>
      <w:r>
        <w:rPr>
          <w:spacing w:val="-6"/>
          <w:sz w:val="18"/>
          <w:szCs w:val="18"/>
          <w:lang w:val="es-ES_tradnl"/>
        </w:rPr>
        <w:t xml:space="preserve">n, </w:t>
      </w:r>
      <w:r>
        <w:rPr>
          <w:spacing w:val="-1"/>
          <w:sz w:val="18"/>
          <w:szCs w:val="18"/>
          <w:lang w:val="es-ES_tradnl"/>
        </w:rPr>
        <w:t>las contribuyentes deber</w:t>
      </w:r>
      <w:r>
        <w:rPr>
          <w:rFonts w:cs="Times New Roman"/>
          <w:spacing w:val="-1"/>
          <w:sz w:val="18"/>
          <w:szCs w:val="18"/>
          <w:lang w:val="es-ES_tradnl"/>
        </w:rPr>
        <w:t>á</w:t>
      </w:r>
      <w:r>
        <w:rPr>
          <w:spacing w:val="-1"/>
          <w:sz w:val="18"/>
          <w:szCs w:val="18"/>
          <w:lang w:val="es-ES_tradnl"/>
        </w:rPr>
        <w:t xml:space="preserve">n pagar diariamente el 20% </w:t>
      </w:r>
      <w:r>
        <w:rPr>
          <w:spacing w:val="-6"/>
          <w:sz w:val="18"/>
          <w:szCs w:val="18"/>
          <w:lang w:val="es-ES_tradnl"/>
        </w:rPr>
        <w:t>de una remuneraci</w:t>
      </w:r>
      <w:r>
        <w:rPr>
          <w:rFonts w:cs="Times New Roman"/>
          <w:spacing w:val="-6"/>
          <w:sz w:val="18"/>
          <w:szCs w:val="18"/>
          <w:lang w:val="es-ES_tradnl"/>
        </w:rPr>
        <w:t>ó</w:t>
      </w:r>
      <w:r>
        <w:rPr>
          <w:spacing w:val="-6"/>
          <w:sz w:val="18"/>
          <w:szCs w:val="18"/>
          <w:lang w:val="es-ES_tradnl"/>
        </w:rPr>
        <w:t>n b</w:t>
      </w:r>
      <w:r>
        <w:rPr>
          <w:rFonts w:cs="Times New Roman"/>
          <w:spacing w:val="-6"/>
          <w:sz w:val="18"/>
          <w:szCs w:val="18"/>
          <w:lang w:val="es-ES_tradnl"/>
        </w:rPr>
        <w:t>á</w:t>
      </w:r>
      <w:r>
        <w:rPr>
          <w:spacing w:val="-6"/>
          <w:sz w:val="18"/>
          <w:szCs w:val="18"/>
          <w:lang w:val="es-ES_tradnl"/>
        </w:rPr>
        <w:t xml:space="preserve">sica unificada, es decir, USD $ 70.8 diarios, si tomamos en cuenta la RBU fijada para el </w:t>
      </w:r>
      <w:r>
        <w:rPr>
          <w:spacing w:val="-7"/>
          <w:sz w:val="18"/>
          <w:szCs w:val="18"/>
          <w:lang w:val="es-ES_tradnl"/>
        </w:rPr>
        <w:t>a</w:t>
      </w:r>
      <w:r>
        <w:rPr>
          <w:rFonts w:cs="Times New Roman"/>
          <w:spacing w:val="-7"/>
          <w:sz w:val="18"/>
          <w:szCs w:val="18"/>
          <w:lang w:val="es-ES_tradnl"/>
        </w:rPr>
        <w:t>ñ</w:t>
      </w:r>
      <w:r>
        <w:rPr>
          <w:spacing w:val="-7"/>
          <w:sz w:val="18"/>
          <w:szCs w:val="18"/>
          <w:lang w:val="es-ES_tradnl"/>
        </w:rPr>
        <w:t>o 2015</w:t>
      </w:r>
      <w:r>
        <w:rPr>
          <w:spacing w:val="-7"/>
          <w:sz w:val="18"/>
          <w:szCs w:val="18"/>
          <w:vertAlign w:val="superscript"/>
          <w:lang w:val="es-ES_tradnl"/>
        </w:rPr>
        <w:t>15</w:t>
      </w:r>
      <w:r>
        <w:rPr>
          <w:spacing w:val="-7"/>
          <w:sz w:val="18"/>
          <w:szCs w:val="18"/>
          <w:lang w:val="es-ES_tradnl"/>
        </w:rPr>
        <w:t xml:space="preserve">. 2) De igual modo acontece con las antenas </w:t>
      </w:r>
      <w:r>
        <w:rPr>
          <w:spacing w:val="-4"/>
          <w:sz w:val="18"/>
          <w:szCs w:val="18"/>
          <w:lang w:val="es-ES_tradnl"/>
        </w:rPr>
        <w:t xml:space="preserve">para servicios celulares, cuya tarifa diaria es del 20% de </w:t>
      </w:r>
      <w:r>
        <w:rPr>
          <w:spacing w:val="-6"/>
          <w:sz w:val="18"/>
          <w:szCs w:val="18"/>
          <w:lang w:val="es-ES_tradnl"/>
        </w:rPr>
        <w:t xml:space="preserve">la RBU. 3) En el caso de las antenas para radio ayuda y </w:t>
      </w:r>
      <w:r>
        <w:rPr>
          <w:spacing w:val="-4"/>
          <w:sz w:val="18"/>
          <w:szCs w:val="18"/>
          <w:lang w:val="es-ES_tradnl"/>
        </w:rPr>
        <w:t xml:space="preserve">radioaficionado la tarifa es de USD $ 0.10 diarios por </w:t>
      </w:r>
      <w:r>
        <w:rPr>
          <w:spacing w:val="-9"/>
          <w:sz w:val="18"/>
          <w:szCs w:val="18"/>
          <w:lang w:val="es-ES_tradnl"/>
        </w:rPr>
        <w:t>concepto de uso de espacio a</w:t>
      </w:r>
      <w:r>
        <w:rPr>
          <w:rFonts w:cs="Times New Roman"/>
          <w:spacing w:val="-9"/>
          <w:sz w:val="18"/>
          <w:szCs w:val="18"/>
          <w:lang w:val="es-ES_tradnl"/>
        </w:rPr>
        <w:t>é</w:t>
      </w:r>
      <w:r>
        <w:rPr>
          <w:spacing w:val="-9"/>
          <w:sz w:val="18"/>
          <w:szCs w:val="18"/>
          <w:lang w:val="es-ES_tradnl"/>
        </w:rPr>
        <w:t>reo. 4) En el caso del uso de espacio a</w:t>
      </w:r>
      <w:r>
        <w:rPr>
          <w:rFonts w:cs="Times New Roman"/>
          <w:spacing w:val="-9"/>
          <w:sz w:val="18"/>
          <w:szCs w:val="18"/>
          <w:lang w:val="es-ES_tradnl"/>
        </w:rPr>
        <w:t>é</w:t>
      </w:r>
      <w:r>
        <w:rPr>
          <w:spacing w:val="-9"/>
          <w:sz w:val="18"/>
          <w:szCs w:val="18"/>
          <w:lang w:val="es-ES_tradnl"/>
        </w:rPr>
        <w:t>reo a trav</w:t>
      </w:r>
      <w:r>
        <w:rPr>
          <w:rFonts w:cs="Times New Roman"/>
          <w:spacing w:val="-9"/>
          <w:sz w:val="18"/>
          <w:szCs w:val="18"/>
          <w:lang w:val="es-ES_tradnl"/>
        </w:rPr>
        <w:t>é</w:t>
      </w:r>
      <w:r>
        <w:rPr>
          <w:spacing w:val="-9"/>
          <w:sz w:val="18"/>
          <w:szCs w:val="18"/>
          <w:lang w:val="es-ES_tradnl"/>
        </w:rPr>
        <w:t xml:space="preserve">s de las antenas para radio emisoras </w:t>
      </w:r>
      <w:r>
        <w:rPr>
          <w:spacing w:val="-10"/>
          <w:sz w:val="18"/>
          <w:szCs w:val="18"/>
          <w:lang w:val="es-ES_tradnl"/>
        </w:rPr>
        <w:t xml:space="preserve">comerciales, la tarifa asciende a USD $ 1.50 diarios. 5) Para </w:t>
      </w:r>
      <w:r>
        <w:rPr>
          <w:spacing w:val="-8"/>
          <w:sz w:val="18"/>
          <w:szCs w:val="18"/>
          <w:lang w:val="es-ES_tradnl"/>
        </w:rPr>
        <w:t>las antenas parab</w:t>
      </w:r>
      <w:r>
        <w:rPr>
          <w:rFonts w:cs="Times New Roman"/>
          <w:spacing w:val="-8"/>
          <w:sz w:val="18"/>
          <w:szCs w:val="18"/>
          <w:lang w:val="es-ES_tradnl"/>
        </w:rPr>
        <w:t>ó</w:t>
      </w:r>
      <w:r>
        <w:rPr>
          <w:spacing w:val="-8"/>
          <w:sz w:val="18"/>
          <w:szCs w:val="18"/>
          <w:lang w:val="es-ES_tradnl"/>
        </w:rPr>
        <w:t>licas para recepci</w:t>
      </w:r>
      <w:r>
        <w:rPr>
          <w:rFonts w:cs="Times New Roman"/>
          <w:spacing w:val="-8"/>
          <w:sz w:val="18"/>
          <w:szCs w:val="18"/>
          <w:lang w:val="es-ES_tradnl"/>
        </w:rPr>
        <w:t>ó</w:t>
      </w:r>
      <w:r>
        <w:rPr>
          <w:spacing w:val="-8"/>
          <w:sz w:val="18"/>
          <w:szCs w:val="18"/>
          <w:lang w:val="es-ES_tradnl"/>
        </w:rPr>
        <w:t>n de se</w:t>
      </w:r>
      <w:r>
        <w:rPr>
          <w:rFonts w:cs="Times New Roman"/>
          <w:spacing w:val="-8"/>
          <w:sz w:val="18"/>
          <w:szCs w:val="18"/>
          <w:lang w:val="es-ES_tradnl"/>
        </w:rPr>
        <w:t>ñ</w:t>
      </w:r>
      <w:r>
        <w:rPr>
          <w:spacing w:val="-8"/>
          <w:sz w:val="18"/>
          <w:szCs w:val="18"/>
          <w:lang w:val="es-ES_tradnl"/>
        </w:rPr>
        <w:t>al comercial</w:t>
      </w:r>
    </w:p>
    <w:p w14:paraId="4F67A7D5" w14:textId="77777777" w:rsidR="00591D54" w:rsidRDefault="00591D54">
      <w:pPr>
        <w:shd w:val="clear" w:color="auto" w:fill="FFFFFF"/>
        <w:tabs>
          <w:tab w:val="left" w:pos="139"/>
        </w:tabs>
        <w:spacing w:before="379"/>
      </w:pPr>
      <w:r>
        <w:rPr>
          <w:spacing w:val="-5"/>
          <w:sz w:val="8"/>
          <w:szCs w:val="8"/>
          <w:vertAlign w:val="superscript"/>
          <w:lang w:val="es-ES_tradnl"/>
        </w:rPr>
        <w:t>14</w:t>
      </w:r>
      <w:r>
        <w:rPr>
          <w:sz w:val="18"/>
          <w:szCs w:val="18"/>
          <w:lang w:val="es-ES_tradnl"/>
        </w:rPr>
        <w:tab/>
      </w:r>
      <w:r>
        <w:rPr>
          <w:spacing w:val="-1"/>
          <w:sz w:val="14"/>
          <w:szCs w:val="14"/>
          <w:lang w:val="es-ES_tradnl"/>
        </w:rPr>
        <w:t>Registro</w:t>
      </w:r>
      <w:r>
        <w:rPr>
          <w:spacing w:val="-1"/>
          <w:sz w:val="18"/>
          <w:szCs w:val="18"/>
          <w:lang w:val="es-ES_tradnl"/>
        </w:rPr>
        <w:t xml:space="preserve"> </w:t>
      </w:r>
      <w:r>
        <w:rPr>
          <w:spacing w:val="-1"/>
          <w:sz w:val="14"/>
          <w:szCs w:val="14"/>
          <w:lang w:val="es-ES_tradnl"/>
        </w:rPr>
        <w:t>Oficial,</w:t>
      </w:r>
      <w:r>
        <w:rPr>
          <w:spacing w:val="-1"/>
          <w:sz w:val="18"/>
          <w:szCs w:val="18"/>
          <w:lang w:val="es-ES_tradnl"/>
        </w:rPr>
        <w:t xml:space="preserve"> </w:t>
      </w:r>
      <w:r>
        <w:rPr>
          <w:spacing w:val="-1"/>
          <w:sz w:val="14"/>
          <w:szCs w:val="14"/>
          <w:lang w:val="es-ES_tradnl"/>
        </w:rPr>
        <w:t>Edici</w:t>
      </w:r>
      <w:r>
        <w:rPr>
          <w:rFonts w:cs="Times New Roman"/>
          <w:spacing w:val="-1"/>
          <w:sz w:val="14"/>
          <w:szCs w:val="14"/>
          <w:lang w:val="es-ES_tradnl"/>
        </w:rPr>
        <w:t>ó</w:t>
      </w:r>
      <w:r>
        <w:rPr>
          <w:spacing w:val="-1"/>
          <w:sz w:val="14"/>
          <w:szCs w:val="14"/>
          <w:lang w:val="es-ES_tradnl"/>
        </w:rPr>
        <w:t>n</w:t>
      </w:r>
      <w:r>
        <w:rPr>
          <w:spacing w:val="-1"/>
          <w:sz w:val="18"/>
          <w:szCs w:val="18"/>
          <w:lang w:val="es-ES_tradnl"/>
        </w:rPr>
        <w:t xml:space="preserve"> </w:t>
      </w:r>
      <w:r>
        <w:rPr>
          <w:spacing w:val="-1"/>
          <w:sz w:val="14"/>
          <w:szCs w:val="14"/>
          <w:lang w:val="es-ES_tradnl"/>
        </w:rPr>
        <w:t>Especial</w:t>
      </w:r>
      <w:r>
        <w:rPr>
          <w:spacing w:val="-1"/>
          <w:sz w:val="18"/>
          <w:szCs w:val="18"/>
          <w:lang w:val="es-ES_tradnl"/>
        </w:rPr>
        <w:t xml:space="preserve"> </w:t>
      </w:r>
      <w:r>
        <w:rPr>
          <w:spacing w:val="-1"/>
          <w:sz w:val="14"/>
          <w:szCs w:val="14"/>
          <w:lang w:val="es-ES_tradnl"/>
        </w:rPr>
        <w:t>N.</w:t>
      </w:r>
      <w:r>
        <w:rPr>
          <w:rFonts w:cs="Times New Roman"/>
          <w:spacing w:val="-1"/>
          <w:sz w:val="14"/>
          <w:szCs w:val="14"/>
          <w:lang w:val="es-ES_tradnl"/>
        </w:rPr>
        <w:t>º</w:t>
      </w:r>
      <w:r>
        <w:rPr>
          <w:spacing w:val="-1"/>
          <w:sz w:val="18"/>
          <w:szCs w:val="18"/>
          <w:lang w:val="es-ES_tradnl"/>
        </w:rPr>
        <w:t xml:space="preserve"> </w:t>
      </w:r>
      <w:r>
        <w:rPr>
          <w:spacing w:val="-1"/>
          <w:sz w:val="14"/>
          <w:szCs w:val="14"/>
          <w:lang w:val="es-ES_tradnl"/>
        </w:rPr>
        <w:t>132</w:t>
      </w:r>
      <w:r>
        <w:rPr>
          <w:spacing w:val="-1"/>
          <w:sz w:val="18"/>
          <w:szCs w:val="18"/>
          <w:lang w:val="es-ES_tradnl"/>
        </w:rPr>
        <w:t xml:space="preserve"> </w:t>
      </w:r>
      <w:r>
        <w:rPr>
          <w:spacing w:val="-1"/>
          <w:sz w:val="14"/>
          <w:szCs w:val="14"/>
          <w:lang w:val="es-ES_tradnl"/>
        </w:rPr>
        <w:t>del</w:t>
      </w:r>
      <w:r>
        <w:rPr>
          <w:spacing w:val="-1"/>
          <w:sz w:val="18"/>
          <w:szCs w:val="18"/>
          <w:lang w:val="es-ES_tradnl"/>
        </w:rPr>
        <w:t xml:space="preserve"> </w:t>
      </w:r>
      <w:r>
        <w:rPr>
          <w:spacing w:val="-1"/>
          <w:sz w:val="14"/>
          <w:szCs w:val="14"/>
          <w:lang w:val="es-ES_tradnl"/>
        </w:rPr>
        <w:t>14</w:t>
      </w:r>
      <w:r>
        <w:rPr>
          <w:spacing w:val="-1"/>
          <w:sz w:val="18"/>
          <w:szCs w:val="18"/>
          <w:lang w:val="es-ES_tradnl"/>
        </w:rPr>
        <w:t xml:space="preserve"> </w:t>
      </w:r>
      <w:r>
        <w:rPr>
          <w:spacing w:val="-1"/>
          <w:sz w:val="14"/>
          <w:szCs w:val="14"/>
          <w:lang w:val="es-ES_tradnl"/>
        </w:rPr>
        <w:t>de</w:t>
      </w:r>
      <w:r>
        <w:rPr>
          <w:spacing w:val="-1"/>
          <w:sz w:val="18"/>
          <w:szCs w:val="18"/>
          <w:lang w:val="es-ES_tradnl"/>
        </w:rPr>
        <w:t xml:space="preserve"> </w:t>
      </w:r>
      <w:r>
        <w:rPr>
          <w:spacing w:val="-1"/>
          <w:sz w:val="14"/>
          <w:szCs w:val="14"/>
          <w:lang w:val="es-ES_tradnl"/>
        </w:rPr>
        <w:t>abril</w:t>
      </w:r>
      <w:r>
        <w:rPr>
          <w:spacing w:val="-1"/>
          <w:sz w:val="18"/>
          <w:szCs w:val="18"/>
          <w:lang w:val="es-ES_tradnl"/>
        </w:rPr>
        <w:t xml:space="preserve"> </w:t>
      </w:r>
      <w:r>
        <w:rPr>
          <w:spacing w:val="-1"/>
          <w:sz w:val="14"/>
          <w:szCs w:val="14"/>
          <w:lang w:val="es-ES_tradnl"/>
        </w:rPr>
        <w:t>de</w:t>
      </w:r>
      <w:r>
        <w:rPr>
          <w:spacing w:val="-1"/>
          <w:sz w:val="18"/>
          <w:szCs w:val="18"/>
          <w:lang w:val="es-ES_tradnl"/>
        </w:rPr>
        <w:t xml:space="preserve"> </w:t>
      </w:r>
      <w:r>
        <w:rPr>
          <w:spacing w:val="-1"/>
          <w:sz w:val="14"/>
          <w:szCs w:val="14"/>
          <w:lang w:val="es-ES_tradnl"/>
        </w:rPr>
        <w:t>2011.</w:t>
      </w:r>
    </w:p>
    <w:p w14:paraId="4F67A7D6" w14:textId="77777777" w:rsidR="00591D54" w:rsidRDefault="00591D54">
      <w:pPr>
        <w:shd w:val="clear" w:color="auto" w:fill="FFFFFF"/>
        <w:tabs>
          <w:tab w:val="left" w:pos="139"/>
        </w:tabs>
        <w:spacing w:before="149" w:line="178" w:lineRule="exact"/>
        <w:ind w:left="139" w:hanging="139"/>
      </w:pPr>
      <w:r>
        <w:rPr>
          <w:spacing w:val="-5"/>
          <w:sz w:val="8"/>
          <w:szCs w:val="8"/>
          <w:vertAlign w:val="superscript"/>
          <w:lang w:val="es-ES_tradnl"/>
        </w:rPr>
        <w:t>15</w:t>
      </w:r>
      <w:r>
        <w:rPr>
          <w:sz w:val="18"/>
          <w:szCs w:val="18"/>
          <w:lang w:val="es-ES_tradnl"/>
        </w:rPr>
        <w:tab/>
      </w:r>
      <w:r>
        <w:rPr>
          <w:sz w:val="14"/>
          <w:szCs w:val="14"/>
          <w:lang w:val="es-ES_tradnl"/>
        </w:rPr>
        <w:t>Acuerdo</w:t>
      </w:r>
      <w:r>
        <w:rPr>
          <w:sz w:val="18"/>
          <w:szCs w:val="18"/>
          <w:lang w:val="es-ES_tradnl"/>
        </w:rPr>
        <w:t xml:space="preserve">  </w:t>
      </w:r>
      <w:r>
        <w:rPr>
          <w:sz w:val="14"/>
          <w:szCs w:val="14"/>
          <w:lang w:val="es-ES_tradnl"/>
        </w:rPr>
        <w:t>Ministerial</w:t>
      </w:r>
      <w:r>
        <w:rPr>
          <w:sz w:val="18"/>
          <w:szCs w:val="18"/>
          <w:lang w:val="es-ES_tradnl"/>
        </w:rPr>
        <w:t xml:space="preserve">  </w:t>
      </w:r>
      <w:r>
        <w:rPr>
          <w:sz w:val="14"/>
          <w:szCs w:val="14"/>
          <w:lang w:val="es-ES_tradnl"/>
        </w:rPr>
        <w:t>N.</w:t>
      </w:r>
      <w:r>
        <w:rPr>
          <w:rFonts w:cs="Times New Roman"/>
          <w:sz w:val="14"/>
          <w:szCs w:val="14"/>
          <w:lang w:val="es-ES_tradnl"/>
        </w:rPr>
        <w:t>º</w:t>
      </w:r>
      <w:r>
        <w:rPr>
          <w:sz w:val="18"/>
          <w:szCs w:val="18"/>
          <w:lang w:val="es-ES_tradnl"/>
        </w:rPr>
        <w:t xml:space="preserve">   </w:t>
      </w:r>
      <w:r>
        <w:rPr>
          <w:sz w:val="14"/>
          <w:szCs w:val="14"/>
          <w:lang w:val="es-ES_tradnl"/>
        </w:rPr>
        <w:t>0256</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30</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diciembre</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2014, </w:t>
      </w:r>
      <w:r>
        <w:rPr>
          <w:spacing w:val="-2"/>
          <w:sz w:val="14"/>
          <w:szCs w:val="14"/>
          <w:lang w:val="es-ES_tradnl"/>
        </w:rPr>
        <w:t>suplemento del Registro Oficial N.</w:t>
      </w:r>
      <w:r>
        <w:rPr>
          <w:rFonts w:cs="Times New Roman"/>
          <w:spacing w:val="-2"/>
          <w:sz w:val="14"/>
          <w:szCs w:val="14"/>
          <w:lang w:val="es-ES_tradnl"/>
        </w:rPr>
        <w:t>º</w:t>
      </w:r>
      <w:r>
        <w:rPr>
          <w:spacing w:val="-2"/>
          <w:sz w:val="14"/>
          <w:szCs w:val="14"/>
          <w:lang w:val="es-ES_tradnl"/>
        </w:rPr>
        <w:t xml:space="preserve"> 256 del 02 de febrero de 2015.</w:t>
      </w:r>
    </w:p>
    <w:p w14:paraId="4F67A7D7" w14:textId="77777777" w:rsidR="00591D54" w:rsidRDefault="00591D54">
      <w:pPr>
        <w:shd w:val="clear" w:color="auto" w:fill="FFFFFF"/>
        <w:spacing w:line="216" w:lineRule="exact"/>
        <w:ind w:right="10"/>
        <w:jc w:val="both"/>
      </w:pPr>
      <w:r>
        <w:br w:type="column"/>
      </w:r>
      <w:r>
        <w:rPr>
          <w:spacing w:val="-5"/>
          <w:sz w:val="18"/>
          <w:szCs w:val="18"/>
          <w:lang w:val="es-ES_tradnl"/>
        </w:rPr>
        <w:t>de televisi</w:t>
      </w:r>
      <w:r>
        <w:rPr>
          <w:rFonts w:cs="Times New Roman"/>
          <w:spacing w:val="-5"/>
          <w:sz w:val="18"/>
          <w:szCs w:val="18"/>
          <w:lang w:val="es-ES_tradnl"/>
        </w:rPr>
        <w:t>ó</w:t>
      </w:r>
      <w:r>
        <w:rPr>
          <w:spacing w:val="-5"/>
          <w:sz w:val="18"/>
          <w:szCs w:val="18"/>
          <w:lang w:val="es-ES_tradnl"/>
        </w:rPr>
        <w:t xml:space="preserve">n satelital, la tarifa diaria es de USD $ 0.03. 6) </w:t>
      </w:r>
      <w:r>
        <w:rPr>
          <w:spacing w:val="-12"/>
          <w:sz w:val="18"/>
          <w:szCs w:val="18"/>
          <w:lang w:val="es-ES_tradnl"/>
        </w:rPr>
        <w:t xml:space="preserve">Para cables y tendidos de redes que pertenezcan a empresas </w:t>
      </w:r>
      <w:r>
        <w:rPr>
          <w:spacing w:val="-4"/>
          <w:sz w:val="18"/>
          <w:szCs w:val="18"/>
          <w:lang w:val="es-ES_tradnl"/>
        </w:rPr>
        <w:t xml:space="preserve">privadas, la tarifa diaria de USD $ 0.01; y finalmente, 7) </w:t>
      </w:r>
      <w:r>
        <w:rPr>
          <w:spacing w:val="-6"/>
          <w:sz w:val="18"/>
          <w:szCs w:val="18"/>
          <w:lang w:val="es-ES_tradnl"/>
        </w:rPr>
        <w:t>por ocupaci</w:t>
      </w:r>
      <w:r>
        <w:rPr>
          <w:rFonts w:cs="Times New Roman"/>
          <w:spacing w:val="-6"/>
          <w:sz w:val="18"/>
          <w:szCs w:val="18"/>
          <w:lang w:val="es-ES_tradnl"/>
        </w:rPr>
        <w:t>ó</w:t>
      </w:r>
      <w:r>
        <w:rPr>
          <w:spacing w:val="-6"/>
          <w:sz w:val="18"/>
          <w:szCs w:val="18"/>
          <w:lang w:val="es-ES_tradnl"/>
        </w:rPr>
        <w:t>n de espacio p</w:t>
      </w:r>
      <w:r>
        <w:rPr>
          <w:rFonts w:cs="Times New Roman"/>
          <w:spacing w:val="-6"/>
          <w:sz w:val="18"/>
          <w:szCs w:val="18"/>
          <w:lang w:val="es-ES_tradnl"/>
        </w:rPr>
        <w:t>ú</w:t>
      </w:r>
      <w:r>
        <w:rPr>
          <w:spacing w:val="-6"/>
          <w:sz w:val="18"/>
          <w:szCs w:val="18"/>
          <w:lang w:val="es-ES_tradnl"/>
        </w:rPr>
        <w:t xml:space="preserve">blico que se produce con la </w:t>
      </w:r>
      <w:r>
        <w:rPr>
          <w:spacing w:val="-9"/>
          <w:sz w:val="18"/>
          <w:szCs w:val="18"/>
          <w:lang w:val="es-ES_tradnl"/>
        </w:rPr>
        <w:t>colocaci</w:t>
      </w:r>
      <w:r>
        <w:rPr>
          <w:rFonts w:cs="Times New Roman"/>
          <w:spacing w:val="-9"/>
          <w:sz w:val="18"/>
          <w:szCs w:val="18"/>
          <w:lang w:val="es-ES_tradnl"/>
        </w:rPr>
        <w:t>ó</w:t>
      </w:r>
      <w:r>
        <w:rPr>
          <w:spacing w:val="-9"/>
          <w:sz w:val="18"/>
          <w:szCs w:val="18"/>
          <w:lang w:val="es-ES_tradnl"/>
        </w:rPr>
        <w:t xml:space="preserve">n de un poste, el contribuyente debe pagar la tarifa </w:t>
      </w:r>
      <w:r>
        <w:rPr>
          <w:sz w:val="18"/>
          <w:szCs w:val="18"/>
          <w:lang w:val="es-ES_tradnl"/>
        </w:rPr>
        <w:t>diaria y permanente de USD $ 0.25.</w:t>
      </w:r>
    </w:p>
    <w:p w14:paraId="4F67A7D8" w14:textId="77777777" w:rsidR="00591D54" w:rsidRDefault="00591D54">
      <w:pPr>
        <w:shd w:val="clear" w:color="auto" w:fill="FFFFFF"/>
        <w:spacing w:before="202" w:line="216" w:lineRule="exact"/>
        <w:ind w:right="10"/>
        <w:jc w:val="both"/>
      </w:pPr>
      <w:r>
        <w:rPr>
          <w:spacing w:val="-5"/>
          <w:sz w:val="18"/>
          <w:szCs w:val="18"/>
          <w:lang w:val="es-ES_tradnl"/>
        </w:rPr>
        <w:t xml:space="preserve">Ahora bien, bajo el </w:t>
      </w:r>
      <w:r>
        <w:rPr>
          <w:rFonts w:cs="Times New Roman"/>
          <w:spacing w:val="-5"/>
          <w:sz w:val="18"/>
          <w:szCs w:val="18"/>
          <w:lang w:val="es-ES_tradnl"/>
        </w:rPr>
        <w:t>á</w:t>
      </w:r>
      <w:r>
        <w:rPr>
          <w:spacing w:val="-5"/>
          <w:sz w:val="18"/>
          <w:szCs w:val="18"/>
          <w:lang w:val="es-ES_tradnl"/>
        </w:rPr>
        <w:t xml:space="preserve">nimo de interpretar estas cifras en </w:t>
      </w:r>
      <w:r>
        <w:rPr>
          <w:spacing w:val="-7"/>
          <w:sz w:val="18"/>
          <w:szCs w:val="18"/>
          <w:lang w:val="es-ES_tradnl"/>
        </w:rPr>
        <w:t>relaci</w:t>
      </w:r>
      <w:r>
        <w:rPr>
          <w:rFonts w:cs="Times New Roman"/>
          <w:spacing w:val="-7"/>
          <w:sz w:val="18"/>
          <w:szCs w:val="18"/>
          <w:lang w:val="es-ES_tradnl"/>
        </w:rPr>
        <w:t>ó</w:t>
      </w:r>
      <w:r>
        <w:rPr>
          <w:spacing w:val="-7"/>
          <w:sz w:val="18"/>
          <w:szCs w:val="18"/>
          <w:lang w:val="es-ES_tradnl"/>
        </w:rPr>
        <w:t>n al impacto econ</w:t>
      </w:r>
      <w:r>
        <w:rPr>
          <w:rFonts w:cs="Times New Roman"/>
          <w:spacing w:val="-7"/>
          <w:sz w:val="18"/>
          <w:szCs w:val="18"/>
          <w:lang w:val="es-ES_tradnl"/>
        </w:rPr>
        <w:t>ó</w:t>
      </w:r>
      <w:r>
        <w:rPr>
          <w:spacing w:val="-7"/>
          <w:sz w:val="18"/>
          <w:szCs w:val="18"/>
          <w:lang w:val="es-ES_tradnl"/>
        </w:rPr>
        <w:t xml:space="preserve">mico que puede generar en el </w:t>
      </w:r>
      <w:r>
        <w:rPr>
          <w:spacing w:val="-6"/>
          <w:sz w:val="18"/>
          <w:szCs w:val="18"/>
          <w:lang w:val="es-ES_tradnl"/>
        </w:rPr>
        <w:t>contribuyente, la Corte considera necesario incluir dentro del presente an</w:t>
      </w:r>
      <w:r>
        <w:rPr>
          <w:rFonts w:cs="Times New Roman"/>
          <w:spacing w:val="-6"/>
          <w:sz w:val="18"/>
          <w:szCs w:val="18"/>
          <w:lang w:val="es-ES_tradnl"/>
        </w:rPr>
        <w:t>á</w:t>
      </w:r>
      <w:r>
        <w:rPr>
          <w:spacing w:val="-6"/>
          <w:sz w:val="18"/>
          <w:szCs w:val="18"/>
          <w:lang w:val="es-ES_tradnl"/>
        </w:rPr>
        <w:t>lisis el informe t</w:t>
      </w:r>
      <w:r>
        <w:rPr>
          <w:rFonts w:cs="Times New Roman"/>
          <w:spacing w:val="-6"/>
          <w:sz w:val="18"/>
          <w:szCs w:val="18"/>
          <w:lang w:val="es-ES_tradnl"/>
        </w:rPr>
        <w:t>é</w:t>
      </w:r>
      <w:r>
        <w:rPr>
          <w:spacing w:val="-6"/>
          <w:sz w:val="18"/>
          <w:szCs w:val="18"/>
          <w:lang w:val="es-ES_tradnl"/>
        </w:rPr>
        <w:t>cnico proporcionado por la accionante a esta Corte (fojas 08-10), mismo que fue elaborado por la Escuela Superior Polit</w:t>
      </w:r>
      <w:r>
        <w:rPr>
          <w:rFonts w:cs="Times New Roman"/>
          <w:spacing w:val="-6"/>
          <w:sz w:val="18"/>
          <w:szCs w:val="18"/>
          <w:lang w:val="es-ES_tradnl"/>
        </w:rPr>
        <w:t>é</w:t>
      </w:r>
      <w:r>
        <w:rPr>
          <w:spacing w:val="-6"/>
          <w:sz w:val="18"/>
          <w:szCs w:val="18"/>
          <w:lang w:val="es-ES_tradnl"/>
        </w:rPr>
        <w:t xml:space="preserve">cnica del Litoral, </w:t>
      </w:r>
      <w:r>
        <w:rPr>
          <w:spacing w:val="-9"/>
          <w:sz w:val="18"/>
          <w:szCs w:val="18"/>
          <w:lang w:val="es-ES_tradnl"/>
        </w:rPr>
        <w:t>bajo el t</w:t>
      </w:r>
      <w:r>
        <w:rPr>
          <w:rFonts w:cs="Times New Roman"/>
          <w:spacing w:val="-9"/>
          <w:sz w:val="18"/>
          <w:szCs w:val="18"/>
          <w:lang w:val="es-ES_tradnl"/>
        </w:rPr>
        <w:t>í</w:t>
      </w:r>
      <w:r>
        <w:rPr>
          <w:spacing w:val="-9"/>
          <w:sz w:val="18"/>
          <w:szCs w:val="18"/>
          <w:lang w:val="es-ES_tradnl"/>
        </w:rPr>
        <w:t xml:space="preserve">tulo de </w:t>
      </w:r>
      <w:r>
        <w:rPr>
          <w:rFonts w:cs="Times New Roman"/>
          <w:spacing w:val="-9"/>
          <w:sz w:val="18"/>
          <w:szCs w:val="18"/>
          <w:lang w:val="es-ES_tradnl"/>
        </w:rPr>
        <w:t>“</w:t>
      </w:r>
      <w:r>
        <w:rPr>
          <w:spacing w:val="-9"/>
          <w:sz w:val="18"/>
          <w:szCs w:val="18"/>
          <w:lang w:val="es-ES_tradnl"/>
        </w:rPr>
        <w:t>An</w:t>
      </w:r>
      <w:r>
        <w:rPr>
          <w:rFonts w:cs="Times New Roman"/>
          <w:spacing w:val="-9"/>
          <w:sz w:val="18"/>
          <w:szCs w:val="18"/>
          <w:lang w:val="es-ES_tradnl"/>
        </w:rPr>
        <w:t>á</w:t>
      </w:r>
      <w:r>
        <w:rPr>
          <w:spacing w:val="-9"/>
          <w:sz w:val="18"/>
          <w:szCs w:val="18"/>
          <w:lang w:val="es-ES_tradnl"/>
        </w:rPr>
        <w:t xml:space="preserve">lisis de Impuestos y Tasas Municipales </w:t>
      </w:r>
      <w:r>
        <w:rPr>
          <w:spacing w:val="-5"/>
          <w:sz w:val="18"/>
          <w:szCs w:val="18"/>
          <w:lang w:val="es-ES_tradnl"/>
        </w:rPr>
        <w:t>por Derecho de V</w:t>
      </w:r>
      <w:r>
        <w:rPr>
          <w:rFonts w:cs="Times New Roman"/>
          <w:spacing w:val="-5"/>
          <w:sz w:val="18"/>
          <w:szCs w:val="18"/>
          <w:lang w:val="es-ES_tradnl"/>
        </w:rPr>
        <w:t>í</w:t>
      </w:r>
      <w:r>
        <w:rPr>
          <w:spacing w:val="-5"/>
          <w:sz w:val="18"/>
          <w:szCs w:val="18"/>
          <w:lang w:val="es-ES_tradnl"/>
        </w:rPr>
        <w:t xml:space="preserve">a para Infraestructura de Internet para </w:t>
      </w:r>
      <w:r>
        <w:rPr>
          <w:spacing w:val="-7"/>
          <w:sz w:val="18"/>
          <w:szCs w:val="18"/>
          <w:lang w:val="es-ES_tradnl"/>
        </w:rPr>
        <w:t>ser considerada dentro de la Nueva Ley Org</w:t>
      </w:r>
      <w:r>
        <w:rPr>
          <w:rFonts w:cs="Times New Roman"/>
          <w:spacing w:val="-7"/>
          <w:sz w:val="18"/>
          <w:szCs w:val="18"/>
          <w:lang w:val="es-ES_tradnl"/>
        </w:rPr>
        <w:t>á</w:t>
      </w:r>
      <w:r>
        <w:rPr>
          <w:spacing w:val="-7"/>
          <w:sz w:val="18"/>
          <w:szCs w:val="18"/>
          <w:lang w:val="es-ES_tradnl"/>
        </w:rPr>
        <w:t xml:space="preserve">nica de </w:t>
      </w:r>
      <w:r>
        <w:rPr>
          <w:spacing w:val="-4"/>
          <w:sz w:val="18"/>
          <w:szCs w:val="18"/>
          <w:lang w:val="es-ES_tradnl"/>
        </w:rPr>
        <w:t>Telecomunicaciones del Ecuador</w:t>
      </w:r>
      <w:r>
        <w:rPr>
          <w:rFonts w:cs="Times New Roman"/>
          <w:spacing w:val="-4"/>
          <w:sz w:val="18"/>
          <w:szCs w:val="18"/>
          <w:lang w:val="es-ES_tradnl"/>
        </w:rPr>
        <w:t>”</w:t>
      </w:r>
      <w:r>
        <w:rPr>
          <w:spacing w:val="-4"/>
          <w:sz w:val="18"/>
          <w:szCs w:val="18"/>
          <w:lang w:val="es-ES_tradnl"/>
        </w:rPr>
        <w:t xml:space="preserve">, el cual ciertamente </w:t>
      </w:r>
      <w:r>
        <w:rPr>
          <w:spacing w:val="-9"/>
          <w:sz w:val="18"/>
          <w:szCs w:val="18"/>
          <w:lang w:val="es-ES_tradnl"/>
        </w:rPr>
        <w:t xml:space="preserve">puede orientar a este organismo a identificar si, conforme lo </w:t>
      </w:r>
      <w:r>
        <w:rPr>
          <w:spacing w:val="-7"/>
          <w:sz w:val="18"/>
          <w:szCs w:val="18"/>
          <w:lang w:val="es-ES_tradnl"/>
        </w:rPr>
        <w:t>denuncia la accionante, las tarifas fijadas en el art</w:t>
      </w:r>
      <w:r>
        <w:rPr>
          <w:rFonts w:cs="Times New Roman"/>
          <w:spacing w:val="-7"/>
          <w:sz w:val="18"/>
          <w:szCs w:val="18"/>
          <w:lang w:val="es-ES_tradnl"/>
        </w:rPr>
        <w:t>í</w:t>
      </w:r>
      <w:r>
        <w:rPr>
          <w:spacing w:val="-7"/>
          <w:sz w:val="18"/>
          <w:szCs w:val="18"/>
          <w:lang w:val="es-ES_tradnl"/>
        </w:rPr>
        <w:t xml:space="preserve">culo 18 </w:t>
      </w:r>
      <w:r>
        <w:rPr>
          <w:spacing w:val="-9"/>
          <w:sz w:val="18"/>
          <w:szCs w:val="18"/>
          <w:lang w:val="es-ES_tradnl"/>
        </w:rPr>
        <w:t xml:space="preserve">de la Ordenanza alcanzan valores desproporcionados a la </w:t>
      </w:r>
      <w:r>
        <w:rPr>
          <w:spacing w:val="-10"/>
          <w:sz w:val="18"/>
          <w:szCs w:val="18"/>
          <w:lang w:val="es-ES_tradnl"/>
        </w:rPr>
        <w:t xml:space="preserve">capacidad contributiva de una empresa dedicada al negocio </w:t>
      </w:r>
      <w:r>
        <w:rPr>
          <w:spacing w:val="-6"/>
          <w:sz w:val="18"/>
          <w:szCs w:val="18"/>
          <w:lang w:val="es-ES_tradnl"/>
        </w:rPr>
        <w:t xml:space="preserve">de telecomunicaciones, afectando significativamente la </w:t>
      </w:r>
      <w:r>
        <w:rPr>
          <w:spacing w:val="-7"/>
          <w:sz w:val="18"/>
          <w:szCs w:val="18"/>
          <w:lang w:val="es-ES_tradnl"/>
        </w:rPr>
        <w:t xml:space="preserve">renta o patrimonio de los contribuyentes e inobservado los </w:t>
      </w:r>
      <w:r>
        <w:rPr>
          <w:spacing w:val="-6"/>
          <w:sz w:val="18"/>
          <w:szCs w:val="18"/>
          <w:lang w:val="es-ES_tradnl"/>
        </w:rPr>
        <w:t>principios tributarios previamente definidos.</w:t>
      </w:r>
    </w:p>
    <w:p w14:paraId="4F67A7D9" w14:textId="77777777" w:rsidR="00591D54" w:rsidRDefault="00591D54">
      <w:pPr>
        <w:shd w:val="clear" w:color="auto" w:fill="FFFFFF"/>
        <w:spacing w:before="197" w:line="216" w:lineRule="exact"/>
        <w:ind w:right="10"/>
        <w:jc w:val="both"/>
      </w:pPr>
      <w:r>
        <w:rPr>
          <w:spacing w:val="-5"/>
          <w:sz w:val="18"/>
          <w:szCs w:val="18"/>
          <w:lang w:val="es-ES_tradnl"/>
        </w:rPr>
        <w:t>En el informe mencionado se realiza un primer an</w:t>
      </w:r>
      <w:r>
        <w:rPr>
          <w:rFonts w:cs="Times New Roman"/>
          <w:spacing w:val="-5"/>
          <w:sz w:val="18"/>
          <w:szCs w:val="18"/>
          <w:lang w:val="es-ES_tradnl"/>
        </w:rPr>
        <w:t>á</w:t>
      </w:r>
      <w:r>
        <w:rPr>
          <w:spacing w:val="-5"/>
          <w:sz w:val="18"/>
          <w:szCs w:val="18"/>
          <w:lang w:val="es-ES_tradnl"/>
        </w:rPr>
        <w:t xml:space="preserve">lisis </w:t>
      </w:r>
      <w:r>
        <w:rPr>
          <w:spacing w:val="-11"/>
          <w:sz w:val="18"/>
          <w:szCs w:val="18"/>
          <w:lang w:val="es-ES_tradnl"/>
        </w:rPr>
        <w:t>comparativo entre las tasas que se cobran por igual concepto en varios pa</w:t>
      </w:r>
      <w:r>
        <w:rPr>
          <w:rFonts w:cs="Times New Roman"/>
          <w:spacing w:val="-11"/>
          <w:sz w:val="18"/>
          <w:szCs w:val="18"/>
          <w:lang w:val="es-ES_tradnl"/>
        </w:rPr>
        <w:t>í</w:t>
      </w:r>
      <w:r>
        <w:rPr>
          <w:spacing w:val="-11"/>
          <w:sz w:val="18"/>
          <w:szCs w:val="18"/>
          <w:lang w:val="es-ES_tradnl"/>
        </w:rPr>
        <w:t xml:space="preserve">ses y dentro de ellos municipios en el continente </w:t>
      </w:r>
      <w:r>
        <w:rPr>
          <w:spacing w:val="-7"/>
          <w:sz w:val="18"/>
          <w:szCs w:val="18"/>
          <w:lang w:val="es-ES_tradnl"/>
        </w:rPr>
        <w:t>americano, dando como conclusi</w:t>
      </w:r>
      <w:r>
        <w:rPr>
          <w:rFonts w:cs="Times New Roman"/>
          <w:spacing w:val="-7"/>
          <w:sz w:val="18"/>
          <w:szCs w:val="18"/>
          <w:lang w:val="es-ES_tradnl"/>
        </w:rPr>
        <w:t>ó</w:t>
      </w:r>
      <w:r>
        <w:rPr>
          <w:spacing w:val="-7"/>
          <w:sz w:val="18"/>
          <w:szCs w:val="18"/>
          <w:lang w:val="es-ES_tradnl"/>
        </w:rPr>
        <w:t xml:space="preserve">n que la carga tributaria </w:t>
      </w:r>
      <w:r>
        <w:rPr>
          <w:spacing w:val="-6"/>
          <w:sz w:val="18"/>
          <w:szCs w:val="18"/>
          <w:lang w:val="es-ES_tradnl"/>
        </w:rPr>
        <w:t xml:space="preserve">en el pago de tasas municipales por </w:t>
      </w:r>
      <w:r>
        <w:rPr>
          <w:rFonts w:cs="Times New Roman"/>
          <w:spacing w:val="-6"/>
          <w:sz w:val="18"/>
          <w:szCs w:val="18"/>
          <w:lang w:val="es-ES_tradnl"/>
        </w:rPr>
        <w:t>“</w:t>
      </w:r>
      <w:r>
        <w:rPr>
          <w:spacing w:val="-6"/>
          <w:sz w:val="18"/>
          <w:szCs w:val="18"/>
          <w:lang w:val="es-ES_tradnl"/>
        </w:rPr>
        <w:t>derecho de v</w:t>
      </w:r>
      <w:r>
        <w:rPr>
          <w:rFonts w:cs="Times New Roman"/>
          <w:spacing w:val="-6"/>
          <w:sz w:val="18"/>
          <w:szCs w:val="18"/>
          <w:lang w:val="es-ES_tradnl"/>
        </w:rPr>
        <w:t>í</w:t>
      </w:r>
      <w:r>
        <w:rPr>
          <w:spacing w:val="-6"/>
          <w:sz w:val="18"/>
          <w:szCs w:val="18"/>
          <w:lang w:val="es-ES_tradnl"/>
        </w:rPr>
        <w:t>a</w:t>
      </w:r>
      <w:r>
        <w:rPr>
          <w:rFonts w:cs="Times New Roman"/>
          <w:spacing w:val="-6"/>
          <w:sz w:val="18"/>
          <w:szCs w:val="18"/>
          <w:lang w:val="es-ES_tradnl"/>
        </w:rPr>
        <w:t>”</w:t>
      </w:r>
      <w:r>
        <w:rPr>
          <w:spacing w:val="-6"/>
          <w:sz w:val="18"/>
          <w:szCs w:val="18"/>
          <w:lang w:val="es-ES_tradnl"/>
        </w:rPr>
        <w:t xml:space="preserve">, es </w:t>
      </w:r>
      <w:r>
        <w:rPr>
          <w:spacing w:val="-7"/>
          <w:sz w:val="18"/>
          <w:szCs w:val="18"/>
          <w:lang w:val="es-ES_tradnl"/>
        </w:rPr>
        <w:t>decir, ocupaci</w:t>
      </w:r>
      <w:r>
        <w:rPr>
          <w:rFonts w:cs="Times New Roman"/>
          <w:spacing w:val="-7"/>
          <w:sz w:val="18"/>
          <w:szCs w:val="18"/>
          <w:lang w:val="es-ES_tradnl"/>
        </w:rPr>
        <w:t>ó</w:t>
      </w:r>
      <w:r>
        <w:rPr>
          <w:spacing w:val="-7"/>
          <w:sz w:val="18"/>
          <w:szCs w:val="18"/>
          <w:lang w:val="es-ES_tradnl"/>
        </w:rPr>
        <w:t>n de espacio p</w:t>
      </w:r>
      <w:r>
        <w:rPr>
          <w:rFonts w:cs="Times New Roman"/>
          <w:spacing w:val="-7"/>
          <w:sz w:val="18"/>
          <w:szCs w:val="18"/>
          <w:lang w:val="es-ES_tradnl"/>
        </w:rPr>
        <w:t>ú</w:t>
      </w:r>
      <w:r>
        <w:rPr>
          <w:spacing w:val="-7"/>
          <w:sz w:val="18"/>
          <w:szCs w:val="18"/>
          <w:lang w:val="es-ES_tradnl"/>
        </w:rPr>
        <w:t xml:space="preserve">blico con infraestructura de </w:t>
      </w:r>
      <w:r>
        <w:rPr>
          <w:spacing w:val="-10"/>
          <w:sz w:val="18"/>
          <w:szCs w:val="18"/>
          <w:lang w:val="es-ES_tradnl"/>
        </w:rPr>
        <w:t>Internet, fl uct</w:t>
      </w:r>
      <w:r>
        <w:rPr>
          <w:rFonts w:cs="Times New Roman"/>
          <w:spacing w:val="-10"/>
          <w:sz w:val="18"/>
          <w:szCs w:val="18"/>
          <w:lang w:val="es-ES_tradnl"/>
        </w:rPr>
        <w:t>ú</w:t>
      </w:r>
      <w:r>
        <w:rPr>
          <w:spacing w:val="-10"/>
          <w:sz w:val="18"/>
          <w:szCs w:val="18"/>
          <w:lang w:val="es-ES_tradnl"/>
        </w:rPr>
        <w:t>a entre el 2.2% hasta el 10% de la facturaci</w:t>
      </w:r>
      <w:r>
        <w:rPr>
          <w:rFonts w:cs="Times New Roman"/>
          <w:spacing w:val="-10"/>
          <w:sz w:val="18"/>
          <w:szCs w:val="18"/>
          <w:lang w:val="es-ES_tradnl"/>
        </w:rPr>
        <w:t>ó</w:t>
      </w:r>
      <w:r>
        <w:rPr>
          <w:spacing w:val="-10"/>
          <w:sz w:val="18"/>
          <w:szCs w:val="18"/>
          <w:lang w:val="es-ES_tradnl"/>
        </w:rPr>
        <w:t>n anual de las empresas de telecomunicaciones.</w:t>
      </w:r>
    </w:p>
    <w:p w14:paraId="4F67A7DA" w14:textId="77777777" w:rsidR="00591D54" w:rsidRDefault="00591D54">
      <w:pPr>
        <w:shd w:val="clear" w:color="auto" w:fill="FFFFFF"/>
        <w:spacing w:before="197" w:line="216" w:lineRule="exact"/>
        <w:ind w:right="10"/>
        <w:jc w:val="both"/>
      </w:pPr>
      <w:r>
        <w:rPr>
          <w:spacing w:val="-7"/>
          <w:sz w:val="18"/>
          <w:szCs w:val="18"/>
          <w:lang w:val="es-ES_tradnl"/>
        </w:rPr>
        <w:t>Por otra parte, en un segundo an</w:t>
      </w:r>
      <w:r>
        <w:rPr>
          <w:rFonts w:cs="Times New Roman"/>
          <w:spacing w:val="-7"/>
          <w:sz w:val="18"/>
          <w:szCs w:val="18"/>
          <w:lang w:val="es-ES_tradnl"/>
        </w:rPr>
        <w:t>á</w:t>
      </w:r>
      <w:r>
        <w:rPr>
          <w:spacing w:val="-7"/>
          <w:sz w:val="18"/>
          <w:szCs w:val="18"/>
          <w:lang w:val="es-ES_tradnl"/>
        </w:rPr>
        <w:t xml:space="preserve">lisis donde se aplican </w:t>
      </w:r>
      <w:r>
        <w:rPr>
          <w:spacing w:val="-10"/>
          <w:sz w:val="18"/>
          <w:szCs w:val="18"/>
          <w:lang w:val="es-ES_tradnl"/>
        </w:rPr>
        <w:t xml:space="preserve">varias ordenanzas en el Ecuador que han sido denunciadas </w:t>
      </w:r>
      <w:r>
        <w:rPr>
          <w:spacing w:val="-7"/>
          <w:sz w:val="18"/>
          <w:szCs w:val="18"/>
          <w:lang w:val="es-ES_tradnl"/>
        </w:rPr>
        <w:t xml:space="preserve">por su cobro elevado, se evidencia la marcada diferencia </w:t>
      </w:r>
      <w:r>
        <w:rPr>
          <w:spacing w:val="-4"/>
          <w:sz w:val="18"/>
          <w:szCs w:val="18"/>
          <w:lang w:val="es-ES_tradnl"/>
        </w:rPr>
        <w:t>econ</w:t>
      </w:r>
      <w:r>
        <w:rPr>
          <w:rFonts w:cs="Times New Roman"/>
          <w:spacing w:val="-4"/>
          <w:sz w:val="18"/>
          <w:szCs w:val="18"/>
          <w:lang w:val="es-ES_tradnl"/>
        </w:rPr>
        <w:t>ó</w:t>
      </w:r>
      <w:r>
        <w:rPr>
          <w:spacing w:val="-4"/>
          <w:sz w:val="18"/>
          <w:szCs w:val="18"/>
          <w:lang w:val="es-ES_tradnl"/>
        </w:rPr>
        <w:t xml:space="preserve">mica entre el costo por tasas municipales y la </w:t>
      </w:r>
      <w:r>
        <w:rPr>
          <w:spacing w:val="-8"/>
          <w:sz w:val="18"/>
          <w:szCs w:val="18"/>
          <w:lang w:val="es-ES_tradnl"/>
        </w:rPr>
        <w:t>facturaci</w:t>
      </w:r>
      <w:r>
        <w:rPr>
          <w:rFonts w:cs="Times New Roman"/>
          <w:spacing w:val="-8"/>
          <w:sz w:val="18"/>
          <w:szCs w:val="18"/>
          <w:lang w:val="es-ES_tradnl"/>
        </w:rPr>
        <w:t>ó</w:t>
      </w:r>
      <w:r>
        <w:rPr>
          <w:spacing w:val="-8"/>
          <w:sz w:val="18"/>
          <w:szCs w:val="18"/>
          <w:lang w:val="es-ES_tradnl"/>
        </w:rPr>
        <w:t xml:space="preserve">n anual que realiza la empresa por abonado fijo, </w:t>
      </w:r>
      <w:r>
        <w:rPr>
          <w:spacing w:val="-7"/>
          <w:sz w:val="18"/>
          <w:szCs w:val="18"/>
          <w:lang w:val="es-ES_tradnl"/>
        </w:rPr>
        <w:t>arrojando como resultado las siguientes cifras:</w:t>
      </w:r>
    </w:p>
    <w:p w14:paraId="4F67A7DB" w14:textId="77777777" w:rsidR="00591D54" w:rsidRDefault="00591D54">
      <w:pPr>
        <w:spacing w:after="274" w:line="1" w:lineRule="exact"/>
        <w:rPr>
          <w:rFonts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037"/>
        <w:gridCol w:w="1032"/>
        <w:gridCol w:w="1022"/>
        <w:gridCol w:w="1210"/>
      </w:tblGrid>
      <w:tr w:rsidR="00591D54" w14:paraId="4F67A7EF" w14:textId="77777777">
        <w:trPr>
          <w:trHeight w:hRule="exact" w:val="1608"/>
        </w:trPr>
        <w:tc>
          <w:tcPr>
            <w:tcW w:w="1037" w:type="dxa"/>
            <w:tcBorders>
              <w:top w:val="single" w:sz="6" w:space="0" w:color="auto"/>
              <w:left w:val="single" w:sz="6" w:space="0" w:color="auto"/>
              <w:bottom w:val="single" w:sz="6" w:space="0" w:color="auto"/>
              <w:right w:val="single" w:sz="6" w:space="0" w:color="auto"/>
            </w:tcBorders>
            <w:shd w:val="clear" w:color="auto" w:fill="FFFFFF"/>
          </w:tcPr>
          <w:p w14:paraId="4F67A7DC" w14:textId="77777777" w:rsidR="00591D54" w:rsidRDefault="00591D54">
            <w:pPr>
              <w:shd w:val="clear" w:color="auto" w:fill="FFFFFF"/>
              <w:spacing w:line="206" w:lineRule="exact"/>
            </w:pPr>
            <w:r>
              <w:rPr>
                <w:spacing w:val="-11"/>
                <w:sz w:val="18"/>
                <w:szCs w:val="18"/>
                <w:lang w:val="es-ES_tradnl"/>
              </w:rPr>
              <w:t>Facturaci</w:t>
            </w:r>
            <w:r>
              <w:rPr>
                <w:rFonts w:cs="Times New Roman"/>
                <w:spacing w:val="-11"/>
                <w:sz w:val="18"/>
                <w:szCs w:val="18"/>
                <w:lang w:val="es-ES_tradnl"/>
              </w:rPr>
              <w:t>ó</w:t>
            </w:r>
            <w:r>
              <w:rPr>
                <w:spacing w:val="-11"/>
                <w:sz w:val="18"/>
                <w:szCs w:val="18"/>
                <w:lang w:val="es-ES_tradnl"/>
              </w:rPr>
              <w:t>n</w:t>
            </w:r>
          </w:p>
          <w:p w14:paraId="4F67A7DD" w14:textId="77777777" w:rsidR="00591D54" w:rsidRDefault="00591D54">
            <w:pPr>
              <w:shd w:val="clear" w:color="auto" w:fill="FFFFFF"/>
              <w:spacing w:line="206" w:lineRule="exact"/>
            </w:pPr>
            <w:r>
              <w:rPr>
                <w:sz w:val="18"/>
                <w:szCs w:val="18"/>
                <w:lang w:val="es-ES_tradnl"/>
              </w:rPr>
              <w:t>anual</w:t>
            </w:r>
          </w:p>
          <w:p w14:paraId="4F67A7DE" w14:textId="77777777" w:rsidR="00591D54" w:rsidRDefault="00591D54">
            <w:pPr>
              <w:shd w:val="clear" w:color="auto" w:fill="FFFFFF"/>
              <w:spacing w:line="206" w:lineRule="exact"/>
            </w:pPr>
            <w:r>
              <w:rPr>
                <w:spacing w:val="-14"/>
                <w:sz w:val="18"/>
                <w:szCs w:val="18"/>
                <w:lang w:val="es-ES_tradnl"/>
              </w:rPr>
              <w:t>por abonado</w:t>
            </w:r>
          </w:p>
          <w:p w14:paraId="4F67A7DF" w14:textId="77777777" w:rsidR="00591D54" w:rsidRDefault="00591D54">
            <w:pPr>
              <w:shd w:val="clear" w:color="auto" w:fill="FFFFFF"/>
              <w:spacing w:line="206" w:lineRule="exact"/>
            </w:pPr>
            <w:r>
              <w:rPr>
                <w:sz w:val="18"/>
                <w:szCs w:val="18"/>
                <w:lang w:val="es-ES_tradnl"/>
              </w:rPr>
              <w:t>fijo</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14:paraId="4F67A7E0" w14:textId="77777777" w:rsidR="00591D54" w:rsidRDefault="00591D54">
            <w:pPr>
              <w:shd w:val="clear" w:color="auto" w:fill="FFFFFF"/>
              <w:spacing w:line="206" w:lineRule="exact"/>
            </w:pPr>
            <w:r>
              <w:rPr>
                <w:spacing w:val="-4"/>
                <w:sz w:val="18"/>
                <w:szCs w:val="18"/>
                <w:lang w:val="es-ES_tradnl"/>
              </w:rPr>
              <w:t>Utilidad</w:t>
            </w:r>
          </w:p>
          <w:p w14:paraId="4F67A7E1" w14:textId="77777777" w:rsidR="00591D54" w:rsidRDefault="00591D54">
            <w:pPr>
              <w:shd w:val="clear" w:color="auto" w:fill="FFFFFF"/>
              <w:spacing w:line="206" w:lineRule="exact"/>
            </w:pPr>
            <w:r>
              <w:rPr>
                <w:spacing w:val="-11"/>
                <w:sz w:val="18"/>
                <w:szCs w:val="18"/>
                <w:lang w:val="es-ES_tradnl"/>
              </w:rPr>
              <w:t>anual por</w:t>
            </w:r>
          </w:p>
          <w:p w14:paraId="4F67A7E2" w14:textId="77777777" w:rsidR="00591D54" w:rsidRDefault="00591D54">
            <w:pPr>
              <w:shd w:val="clear" w:color="auto" w:fill="FFFFFF"/>
              <w:spacing w:line="206" w:lineRule="exact"/>
            </w:pPr>
            <w:r>
              <w:rPr>
                <w:spacing w:val="-14"/>
                <w:sz w:val="18"/>
                <w:szCs w:val="18"/>
                <w:lang w:val="es-ES_tradnl"/>
              </w:rPr>
              <w:t>abonado fijo</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14:paraId="4F67A7E3" w14:textId="77777777" w:rsidR="00591D54" w:rsidRDefault="00591D54">
            <w:pPr>
              <w:shd w:val="clear" w:color="auto" w:fill="FFFFFF"/>
              <w:spacing w:line="206" w:lineRule="exact"/>
              <w:ind w:left="10"/>
            </w:pPr>
            <w:r>
              <w:rPr>
                <w:sz w:val="18"/>
                <w:szCs w:val="18"/>
                <w:lang w:val="es-ES_tradnl"/>
              </w:rPr>
              <w:t>Pago</w:t>
            </w:r>
          </w:p>
          <w:p w14:paraId="4F67A7E4" w14:textId="77777777" w:rsidR="00591D54" w:rsidRDefault="00591D54">
            <w:pPr>
              <w:shd w:val="clear" w:color="auto" w:fill="FFFFFF"/>
              <w:spacing w:line="206" w:lineRule="exact"/>
              <w:ind w:left="10"/>
            </w:pPr>
            <w:r>
              <w:rPr>
                <w:spacing w:val="-10"/>
                <w:sz w:val="18"/>
                <w:szCs w:val="18"/>
                <w:lang w:val="es-ES_tradnl"/>
              </w:rPr>
              <w:t>FODETEL</w:t>
            </w:r>
          </w:p>
          <w:p w14:paraId="4F67A7E5" w14:textId="77777777" w:rsidR="00591D54" w:rsidRDefault="00591D54">
            <w:pPr>
              <w:shd w:val="clear" w:color="auto" w:fill="FFFFFF"/>
              <w:spacing w:line="206" w:lineRule="exact"/>
              <w:ind w:left="10"/>
            </w:pPr>
            <w:r>
              <w:rPr>
                <w:spacing w:val="-11"/>
                <w:sz w:val="18"/>
                <w:szCs w:val="18"/>
                <w:lang w:val="es-ES_tradnl"/>
              </w:rPr>
              <w:t>anual por</w:t>
            </w:r>
          </w:p>
          <w:p w14:paraId="4F67A7E6" w14:textId="77777777" w:rsidR="00591D54" w:rsidRDefault="00591D54">
            <w:pPr>
              <w:shd w:val="clear" w:color="auto" w:fill="FFFFFF"/>
              <w:spacing w:line="206" w:lineRule="exact"/>
              <w:ind w:left="10"/>
            </w:pPr>
            <w:r>
              <w:rPr>
                <w:spacing w:val="-16"/>
                <w:sz w:val="18"/>
                <w:szCs w:val="18"/>
                <w:lang w:val="es-ES_tradnl"/>
              </w:rPr>
              <w:t>abonado</w:t>
            </w:r>
          </w:p>
          <w:p w14:paraId="4F67A7E7" w14:textId="77777777" w:rsidR="00591D54" w:rsidRDefault="00591D54">
            <w:pPr>
              <w:shd w:val="clear" w:color="auto" w:fill="FFFFFF"/>
              <w:spacing w:line="206" w:lineRule="exact"/>
              <w:ind w:left="10"/>
            </w:pPr>
            <w:r>
              <w:rPr>
                <w:sz w:val="18"/>
                <w:szCs w:val="18"/>
                <w:lang w:val="es-ES_tradnl"/>
              </w:rPr>
              <w:t>fijo</w:t>
            </w:r>
          </w:p>
          <w:p w14:paraId="4F67A7E8" w14:textId="77777777" w:rsidR="00591D54" w:rsidRDefault="00591D54">
            <w:pPr>
              <w:shd w:val="clear" w:color="auto" w:fill="FFFFFF"/>
              <w:spacing w:line="206" w:lineRule="exact"/>
              <w:ind w:left="10"/>
            </w:pPr>
            <w:r>
              <w:rPr>
                <w:spacing w:val="-10"/>
                <w:sz w:val="18"/>
                <w:szCs w:val="18"/>
                <w:lang w:val="es-ES_tradnl"/>
              </w:rPr>
              <w:t>(impuesto</w:t>
            </w:r>
          </w:p>
          <w:p w14:paraId="4F67A7E9" w14:textId="77777777" w:rsidR="00591D54" w:rsidRDefault="00591D54">
            <w:pPr>
              <w:shd w:val="clear" w:color="auto" w:fill="FFFFFF"/>
              <w:spacing w:line="206" w:lineRule="exact"/>
              <w:ind w:left="10"/>
            </w:pPr>
            <w:r>
              <w:rPr>
                <w:sz w:val="18"/>
                <w:szCs w:val="18"/>
                <w:lang w:val="es-ES_tradnl"/>
              </w:rPr>
              <w:t>estatal)</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14:paraId="4F67A7EA" w14:textId="77777777" w:rsidR="00591D54" w:rsidRDefault="00591D54">
            <w:pPr>
              <w:shd w:val="clear" w:color="auto" w:fill="FFFFFF"/>
              <w:spacing w:line="206" w:lineRule="exact"/>
              <w:jc w:val="center"/>
            </w:pPr>
            <w:r>
              <w:rPr>
                <w:sz w:val="18"/>
                <w:szCs w:val="18"/>
                <w:lang w:val="es-ES_tradnl"/>
              </w:rPr>
              <w:t>Tasa</w:t>
            </w:r>
          </w:p>
          <w:p w14:paraId="4F67A7EB" w14:textId="77777777" w:rsidR="00591D54" w:rsidRDefault="00591D54">
            <w:pPr>
              <w:shd w:val="clear" w:color="auto" w:fill="FFFFFF"/>
              <w:spacing w:line="206" w:lineRule="exact"/>
              <w:jc w:val="center"/>
            </w:pPr>
            <w:r>
              <w:rPr>
                <w:sz w:val="18"/>
                <w:szCs w:val="18"/>
                <w:lang w:val="es-ES_tradnl"/>
              </w:rPr>
              <w:t>municipal</w:t>
            </w:r>
          </w:p>
          <w:p w14:paraId="4F67A7EC" w14:textId="77777777" w:rsidR="00591D54" w:rsidRDefault="00591D54">
            <w:pPr>
              <w:shd w:val="clear" w:color="auto" w:fill="FFFFFF"/>
              <w:spacing w:line="206" w:lineRule="exact"/>
              <w:jc w:val="center"/>
            </w:pPr>
            <w:r>
              <w:rPr>
                <w:sz w:val="18"/>
                <w:szCs w:val="18"/>
                <w:lang w:val="es-ES_tradnl"/>
              </w:rPr>
              <w:t>anual</w:t>
            </w:r>
          </w:p>
          <w:p w14:paraId="4F67A7ED" w14:textId="77777777" w:rsidR="00591D54" w:rsidRDefault="00591D54">
            <w:pPr>
              <w:shd w:val="clear" w:color="auto" w:fill="FFFFFF"/>
              <w:spacing w:line="206" w:lineRule="exact"/>
              <w:jc w:val="center"/>
            </w:pPr>
            <w:r>
              <w:rPr>
                <w:spacing w:val="-14"/>
                <w:sz w:val="18"/>
                <w:szCs w:val="18"/>
                <w:lang w:val="es-ES_tradnl"/>
              </w:rPr>
              <w:t>por abonado</w:t>
            </w:r>
          </w:p>
          <w:p w14:paraId="4F67A7EE" w14:textId="77777777" w:rsidR="00591D54" w:rsidRDefault="00591D54">
            <w:pPr>
              <w:shd w:val="clear" w:color="auto" w:fill="FFFFFF"/>
              <w:spacing w:line="206" w:lineRule="exact"/>
              <w:jc w:val="center"/>
            </w:pPr>
            <w:r>
              <w:rPr>
                <w:sz w:val="18"/>
                <w:szCs w:val="18"/>
                <w:lang w:val="es-ES_tradnl"/>
              </w:rPr>
              <w:t>fijo</w:t>
            </w:r>
          </w:p>
        </w:tc>
      </w:tr>
      <w:tr w:rsidR="00591D54" w14:paraId="4F67A7F4" w14:textId="77777777">
        <w:trPr>
          <w:trHeight w:hRule="exact" w:val="398"/>
        </w:trPr>
        <w:tc>
          <w:tcPr>
            <w:tcW w:w="1037" w:type="dxa"/>
            <w:tcBorders>
              <w:top w:val="single" w:sz="6" w:space="0" w:color="auto"/>
              <w:left w:val="single" w:sz="6" w:space="0" w:color="auto"/>
              <w:bottom w:val="single" w:sz="6" w:space="0" w:color="auto"/>
              <w:right w:val="single" w:sz="6" w:space="0" w:color="auto"/>
            </w:tcBorders>
            <w:shd w:val="clear" w:color="auto" w:fill="FFFFFF"/>
          </w:tcPr>
          <w:p w14:paraId="4F67A7F0" w14:textId="77777777" w:rsidR="00591D54" w:rsidRDefault="00591D54">
            <w:pPr>
              <w:shd w:val="clear" w:color="auto" w:fill="FFFFFF"/>
            </w:pPr>
            <w:r>
              <w:rPr>
                <w:b/>
                <w:bCs/>
                <w:spacing w:val="-13"/>
                <w:sz w:val="18"/>
                <w:szCs w:val="18"/>
                <w:lang w:val="es-ES_tradnl"/>
              </w:rPr>
              <w:t>US $ 407.04</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14:paraId="4F67A7F1" w14:textId="77777777" w:rsidR="00591D54" w:rsidRDefault="00591D54">
            <w:pPr>
              <w:shd w:val="clear" w:color="auto" w:fill="FFFFFF"/>
            </w:pPr>
            <w:r>
              <w:rPr>
                <w:b/>
                <w:bCs/>
                <w:spacing w:val="-12"/>
                <w:sz w:val="18"/>
                <w:szCs w:val="18"/>
                <w:lang w:val="es-ES_tradnl"/>
              </w:rPr>
              <w:t>US $ 28.98</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14:paraId="4F67A7F2" w14:textId="77777777" w:rsidR="00591D54" w:rsidRDefault="00591D54">
            <w:pPr>
              <w:shd w:val="clear" w:color="auto" w:fill="FFFFFF"/>
              <w:ind w:left="10"/>
            </w:pPr>
            <w:r>
              <w:rPr>
                <w:b/>
                <w:bCs/>
                <w:spacing w:val="-12"/>
                <w:sz w:val="18"/>
                <w:szCs w:val="18"/>
                <w:lang w:val="es-ES_tradnl"/>
              </w:rPr>
              <w:t>US $ 0.40</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14:paraId="4F67A7F3" w14:textId="77777777" w:rsidR="00591D54" w:rsidRDefault="00591D54">
            <w:pPr>
              <w:shd w:val="clear" w:color="auto" w:fill="FFFFFF"/>
              <w:jc w:val="center"/>
            </w:pPr>
            <w:r>
              <w:rPr>
                <w:b/>
                <w:bCs/>
                <w:spacing w:val="-12"/>
                <w:sz w:val="18"/>
                <w:szCs w:val="18"/>
                <w:lang w:val="es-ES_tradnl"/>
              </w:rPr>
              <w:t>US $ 1,460.00</w:t>
            </w:r>
          </w:p>
        </w:tc>
      </w:tr>
    </w:tbl>
    <w:p w14:paraId="4F67A7F5" w14:textId="77777777" w:rsidR="00591D54" w:rsidRDefault="00591D54">
      <w:pPr>
        <w:shd w:val="clear" w:color="auto" w:fill="FFFFFF"/>
        <w:spacing w:before="178" w:line="216" w:lineRule="exact"/>
      </w:pPr>
      <w:r>
        <w:rPr>
          <w:spacing w:val="-8"/>
          <w:sz w:val="18"/>
          <w:szCs w:val="18"/>
          <w:lang w:val="es-ES_tradnl"/>
        </w:rPr>
        <w:t>Luego de este an</w:t>
      </w:r>
      <w:r>
        <w:rPr>
          <w:rFonts w:cs="Times New Roman"/>
          <w:spacing w:val="-8"/>
          <w:sz w:val="18"/>
          <w:szCs w:val="18"/>
          <w:lang w:val="es-ES_tradnl"/>
        </w:rPr>
        <w:t>á</w:t>
      </w:r>
      <w:r>
        <w:rPr>
          <w:spacing w:val="-8"/>
          <w:sz w:val="18"/>
          <w:szCs w:val="18"/>
          <w:lang w:val="es-ES_tradnl"/>
        </w:rPr>
        <w:t>lisis, la Escuela Superior Polit</w:t>
      </w:r>
      <w:r>
        <w:rPr>
          <w:rFonts w:cs="Times New Roman"/>
          <w:spacing w:val="-8"/>
          <w:sz w:val="18"/>
          <w:szCs w:val="18"/>
          <w:lang w:val="es-ES_tradnl"/>
        </w:rPr>
        <w:t>é</w:t>
      </w:r>
      <w:r>
        <w:rPr>
          <w:spacing w:val="-8"/>
          <w:sz w:val="18"/>
          <w:szCs w:val="18"/>
          <w:lang w:val="es-ES_tradnl"/>
        </w:rPr>
        <w:t xml:space="preserve">cnica del </w:t>
      </w:r>
      <w:r>
        <w:rPr>
          <w:sz w:val="18"/>
          <w:szCs w:val="18"/>
          <w:lang w:val="es-ES_tradnl"/>
        </w:rPr>
        <w:t>Litoral concluye:</w:t>
      </w:r>
    </w:p>
    <w:p w14:paraId="4F67A7F6" w14:textId="77777777" w:rsidR="00591D54" w:rsidRDefault="00591D54">
      <w:pPr>
        <w:shd w:val="clear" w:color="auto" w:fill="FFFFFF"/>
        <w:spacing w:before="206" w:line="216" w:lineRule="exact"/>
        <w:ind w:left="283" w:right="10"/>
        <w:jc w:val="both"/>
      </w:pPr>
      <w:r>
        <w:rPr>
          <w:sz w:val="14"/>
          <w:szCs w:val="14"/>
          <w:lang w:val="es-ES_tradnl"/>
        </w:rPr>
        <w:t>Es evidente que las tasas/impuestos municipales por derecho de v</w:t>
      </w:r>
      <w:r>
        <w:rPr>
          <w:rFonts w:cs="Times New Roman"/>
          <w:sz w:val="14"/>
          <w:szCs w:val="14"/>
          <w:lang w:val="es-ES_tradnl"/>
        </w:rPr>
        <w:t>í</w:t>
      </w:r>
      <w:r>
        <w:rPr>
          <w:sz w:val="14"/>
          <w:szCs w:val="14"/>
          <w:lang w:val="es-ES_tradnl"/>
        </w:rPr>
        <w:t>a por usuario, que est</w:t>
      </w:r>
      <w:r>
        <w:rPr>
          <w:rFonts w:cs="Times New Roman"/>
          <w:sz w:val="14"/>
          <w:szCs w:val="14"/>
          <w:lang w:val="es-ES_tradnl"/>
        </w:rPr>
        <w:t>á</w:t>
      </w:r>
      <w:r>
        <w:rPr>
          <w:sz w:val="14"/>
          <w:szCs w:val="14"/>
          <w:lang w:val="es-ES_tradnl"/>
        </w:rPr>
        <w:t>n imponiendo algunos municipios del pa</w:t>
      </w:r>
      <w:r>
        <w:rPr>
          <w:rFonts w:cs="Times New Roman"/>
          <w:sz w:val="14"/>
          <w:szCs w:val="14"/>
          <w:lang w:val="es-ES_tradnl"/>
        </w:rPr>
        <w:t>í</w:t>
      </w:r>
      <w:r>
        <w:rPr>
          <w:sz w:val="14"/>
          <w:szCs w:val="14"/>
          <w:lang w:val="es-ES_tradnl"/>
        </w:rPr>
        <w:t>s a algunas operadoras de telecomunicaciones, exceden considerablemente al valor recaudado por el servicio de internet por usuario del pa</w:t>
      </w:r>
      <w:r>
        <w:rPr>
          <w:rFonts w:cs="Times New Roman"/>
          <w:sz w:val="14"/>
          <w:szCs w:val="14"/>
          <w:lang w:val="es-ES_tradnl"/>
        </w:rPr>
        <w:t>í</w:t>
      </w:r>
      <w:r>
        <w:rPr>
          <w:sz w:val="14"/>
          <w:szCs w:val="14"/>
          <w:lang w:val="es-ES_tradnl"/>
        </w:rPr>
        <w:t>s, y puede llegar a ser, de forma injustificada e il</w:t>
      </w:r>
      <w:r>
        <w:rPr>
          <w:rFonts w:cs="Times New Roman"/>
          <w:sz w:val="14"/>
          <w:szCs w:val="14"/>
          <w:lang w:val="es-ES_tradnl"/>
        </w:rPr>
        <w:t>ó</w:t>
      </w:r>
      <w:r>
        <w:rPr>
          <w:sz w:val="14"/>
          <w:szCs w:val="14"/>
          <w:lang w:val="es-ES_tradnl"/>
        </w:rPr>
        <w:t>gica, 50 veces mayores que las utilidades que han venido percibiendo las empresas proveedoras del servicio [</w:t>
      </w:r>
      <w:r>
        <w:rPr>
          <w:rFonts w:cs="Times New Roman"/>
          <w:sz w:val="14"/>
          <w:szCs w:val="14"/>
          <w:lang w:val="es-ES_tradnl"/>
        </w:rPr>
        <w:t>…</w:t>
      </w:r>
      <w:r>
        <w:rPr>
          <w:sz w:val="14"/>
          <w:szCs w:val="14"/>
          <w:lang w:val="es-ES_tradnl"/>
        </w:rPr>
        <w:t>]. Por lo que se recomienda un porcentaje de entre el 0% y</w:t>
      </w:r>
    </w:p>
    <w:p w14:paraId="4F67A7F7" w14:textId="77777777" w:rsidR="00591D54" w:rsidRDefault="00591D54">
      <w:pPr>
        <w:shd w:val="clear" w:color="auto" w:fill="FFFFFF"/>
        <w:spacing w:before="206" w:line="216" w:lineRule="exact"/>
        <w:ind w:left="283" w:right="10"/>
        <w:jc w:val="both"/>
        <w:sectPr w:rsidR="00591D54">
          <w:type w:val="continuous"/>
          <w:pgSz w:w="11909" w:h="16834"/>
          <w:pgMar w:top="1359" w:right="1299" w:bottom="360" w:left="1308" w:header="720" w:footer="720" w:gutter="0"/>
          <w:cols w:num="2" w:space="720" w:equalWidth="0">
            <w:col w:w="4305" w:space="682"/>
            <w:col w:w="4315"/>
          </w:cols>
          <w:noEndnote/>
        </w:sectPr>
      </w:pPr>
    </w:p>
    <w:p w14:paraId="4F67A7F8" w14:textId="77777777" w:rsidR="00591D54" w:rsidRDefault="00591D54">
      <w:pPr>
        <w:shd w:val="clear" w:color="auto" w:fill="FFFFFF"/>
        <w:tabs>
          <w:tab w:val="left" w:pos="595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- 57</w:t>
      </w:r>
    </w:p>
    <w:p w14:paraId="4F67A7F9" w14:textId="77777777" w:rsidR="00591D54" w:rsidRDefault="00591D54">
      <w:pPr>
        <w:shd w:val="clear" w:color="auto" w:fill="FFFFFF"/>
        <w:tabs>
          <w:tab w:val="left" w:pos="5952"/>
        </w:tabs>
        <w:spacing w:after="230"/>
        <w:ind w:left="5"/>
        <w:sectPr w:rsidR="00591D54">
          <w:pgSz w:w="11909" w:h="16834"/>
          <w:pgMar w:top="1356" w:right="1309" w:bottom="360" w:left="1308" w:header="720" w:footer="720" w:gutter="0"/>
          <w:cols w:space="60"/>
          <w:noEndnote/>
        </w:sectPr>
      </w:pPr>
    </w:p>
    <w:p w14:paraId="4F67A7FA" w14:textId="77777777" w:rsidR="00591D54" w:rsidRDefault="00591D54">
      <w:pPr>
        <w:shd w:val="clear" w:color="auto" w:fill="FFFFFF"/>
        <w:spacing w:line="216" w:lineRule="exact"/>
        <w:ind w:left="283"/>
        <w:jc w:val="both"/>
      </w:pPr>
      <w:r>
        <w:rPr>
          <w:sz w:val="14"/>
          <w:szCs w:val="14"/>
          <w:lang w:val="es-ES_tradnl"/>
        </w:rPr>
        <w:t>el 2% de la facturaci</w:t>
      </w:r>
      <w:r>
        <w:rPr>
          <w:rFonts w:cs="Times New Roman"/>
          <w:sz w:val="14"/>
          <w:szCs w:val="14"/>
          <w:lang w:val="es-ES_tradnl"/>
        </w:rPr>
        <w:t>ó</w:t>
      </w:r>
      <w:r>
        <w:rPr>
          <w:sz w:val="14"/>
          <w:szCs w:val="14"/>
          <w:lang w:val="es-ES_tradnl"/>
        </w:rPr>
        <w:t>n como impuesto municipal aplicado al derecho de v</w:t>
      </w:r>
      <w:r>
        <w:rPr>
          <w:rFonts w:cs="Times New Roman"/>
          <w:sz w:val="14"/>
          <w:szCs w:val="14"/>
          <w:lang w:val="es-ES_tradnl"/>
        </w:rPr>
        <w:t>í</w:t>
      </w:r>
      <w:r>
        <w:rPr>
          <w:sz w:val="14"/>
          <w:szCs w:val="14"/>
          <w:lang w:val="es-ES_tradnl"/>
        </w:rPr>
        <w:t>a, de tal forma que las operadoras de servicios de telecomunicaciones puedan seguir operando.</w:t>
      </w:r>
    </w:p>
    <w:p w14:paraId="4F67A7FB" w14:textId="77777777" w:rsidR="00591D54" w:rsidRDefault="00591D54">
      <w:pPr>
        <w:shd w:val="clear" w:color="auto" w:fill="FFFFFF"/>
        <w:spacing w:before="202" w:line="216" w:lineRule="exact"/>
        <w:jc w:val="both"/>
      </w:pPr>
      <w:r>
        <w:rPr>
          <w:spacing w:val="-8"/>
          <w:sz w:val="18"/>
          <w:szCs w:val="18"/>
          <w:lang w:val="es-ES_tradnl"/>
        </w:rPr>
        <w:t xml:space="preserve">De lo expuesto, esta Corte observa que efectivamente las </w:t>
      </w:r>
      <w:r>
        <w:rPr>
          <w:spacing w:val="-7"/>
          <w:sz w:val="18"/>
          <w:szCs w:val="18"/>
          <w:lang w:val="es-ES_tradnl"/>
        </w:rPr>
        <w:t>siete tarifas fijadas dentro del art</w:t>
      </w:r>
      <w:r>
        <w:rPr>
          <w:rFonts w:cs="Times New Roman"/>
          <w:spacing w:val="-7"/>
          <w:sz w:val="18"/>
          <w:szCs w:val="18"/>
          <w:lang w:val="es-ES_tradnl"/>
        </w:rPr>
        <w:t>í</w:t>
      </w:r>
      <w:r>
        <w:rPr>
          <w:spacing w:val="-7"/>
          <w:sz w:val="18"/>
          <w:szCs w:val="18"/>
          <w:lang w:val="es-ES_tradnl"/>
        </w:rPr>
        <w:t xml:space="preserve">culo 18 de la Ordenanza impugnada, alcanzan valores excesivos que afectan de </w:t>
      </w:r>
      <w:r>
        <w:rPr>
          <w:spacing w:val="-10"/>
          <w:sz w:val="18"/>
          <w:szCs w:val="18"/>
          <w:lang w:val="es-ES_tradnl"/>
        </w:rPr>
        <w:t>manera considerable la econom</w:t>
      </w:r>
      <w:r>
        <w:rPr>
          <w:rFonts w:cs="Times New Roman"/>
          <w:spacing w:val="-10"/>
          <w:sz w:val="18"/>
          <w:szCs w:val="18"/>
          <w:lang w:val="es-ES_tradnl"/>
        </w:rPr>
        <w:t>í</w:t>
      </w:r>
      <w:r>
        <w:rPr>
          <w:spacing w:val="-10"/>
          <w:sz w:val="18"/>
          <w:szCs w:val="18"/>
          <w:lang w:val="es-ES_tradnl"/>
        </w:rPr>
        <w:t xml:space="preserve">a de las empresas privadas </w:t>
      </w:r>
      <w:r>
        <w:rPr>
          <w:spacing w:val="-3"/>
          <w:sz w:val="18"/>
          <w:szCs w:val="18"/>
          <w:lang w:val="es-ES_tradnl"/>
        </w:rPr>
        <w:t>que, bajo el af</w:t>
      </w:r>
      <w:r>
        <w:rPr>
          <w:rFonts w:cs="Times New Roman"/>
          <w:spacing w:val="-3"/>
          <w:sz w:val="18"/>
          <w:szCs w:val="18"/>
          <w:lang w:val="es-ES_tradnl"/>
        </w:rPr>
        <w:t>á</w:t>
      </w:r>
      <w:r>
        <w:rPr>
          <w:spacing w:val="-3"/>
          <w:sz w:val="18"/>
          <w:szCs w:val="18"/>
          <w:lang w:val="es-ES_tradnl"/>
        </w:rPr>
        <w:t xml:space="preserve">n de brindar el servicio comercial por el </w:t>
      </w:r>
      <w:r>
        <w:rPr>
          <w:spacing w:val="-7"/>
          <w:sz w:val="18"/>
          <w:szCs w:val="18"/>
          <w:lang w:val="es-ES_tradnl"/>
        </w:rPr>
        <w:t>que fueron constituidas, se ven en la necesidad de hacer uso del espacio p</w:t>
      </w:r>
      <w:r>
        <w:rPr>
          <w:rFonts w:cs="Times New Roman"/>
          <w:spacing w:val="-7"/>
          <w:sz w:val="18"/>
          <w:szCs w:val="18"/>
          <w:lang w:val="es-ES_tradnl"/>
        </w:rPr>
        <w:t>ú</w:t>
      </w:r>
      <w:r>
        <w:rPr>
          <w:spacing w:val="-7"/>
          <w:sz w:val="18"/>
          <w:szCs w:val="18"/>
          <w:lang w:val="es-ES_tradnl"/>
        </w:rPr>
        <w:t xml:space="preserve">blico, activando el hecho generador de </w:t>
      </w:r>
      <w:r>
        <w:rPr>
          <w:spacing w:val="-8"/>
          <w:sz w:val="18"/>
          <w:szCs w:val="18"/>
          <w:lang w:val="es-ES_tradnl"/>
        </w:rPr>
        <w:t xml:space="preserve">las tasas reguladas en la ordenanza objeto de denuncia, y </w:t>
      </w:r>
      <w:r>
        <w:rPr>
          <w:spacing w:val="-7"/>
          <w:sz w:val="18"/>
          <w:szCs w:val="18"/>
          <w:lang w:val="es-ES_tradnl"/>
        </w:rPr>
        <w:t xml:space="preserve">en consecuencia, cumplir con el pago obligatorio de dicho </w:t>
      </w:r>
      <w:r>
        <w:rPr>
          <w:sz w:val="18"/>
          <w:szCs w:val="18"/>
          <w:lang w:val="es-ES_tradnl"/>
        </w:rPr>
        <w:t>tributo.</w:t>
      </w:r>
    </w:p>
    <w:p w14:paraId="4F67A7FC" w14:textId="77777777" w:rsidR="00591D54" w:rsidRDefault="00591D54">
      <w:pPr>
        <w:shd w:val="clear" w:color="auto" w:fill="FFFFFF"/>
        <w:spacing w:before="197" w:line="216" w:lineRule="exact"/>
        <w:jc w:val="both"/>
      </w:pPr>
      <w:r>
        <w:rPr>
          <w:spacing w:val="-8"/>
          <w:sz w:val="18"/>
          <w:szCs w:val="18"/>
          <w:lang w:val="es-ES_tradnl"/>
        </w:rPr>
        <w:t xml:space="preserve">Partiendo de esta realidad, es evidente que las tasas por </w:t>
      </w:r>
      <w:r>
        <w:rPr>
          <w:spacing w:val="-5"/>
          <w:sz w:val="18"/>
          <w:szCs w:val="18"/>
          <w:lang w:val="es-ES_tradnl"/>
        </w:rPr>
        <w:t>ocupaci</w:t>
      </w:r>
      <w:r>
        <w:rPr>
          <w:rFonts w:cs="Times New Roman"/>
          <w:spacing w:val="-5"/>
          <w:sz w:val="18"/>
          <w:szCs w:val="18"/>
          <w:lang w:val="es-ES_tradnl"/>
        </w:rPr>
        <w:t>ó</w:t>
      </w:r>
      <w:r>
        <w:rPr>
          <w:spacing w:val="-5"/>
          <w:sz w:val="18"/>
          <w:szCs w:val="18"/>
          <w:lang w:val="es-ES_tradnl"/>
        </w:rPr>
        <w:t>n de espacio p</w:t>
      </w:r>
      <w:r>
        <w:rPr>
          <w:rFonts w:cs="Times New Roman"/>
          <w:spacing w:val="-5"/>
          <w:sz w:val="18"/>
          <w:szCs w:val="18"/>
          <w:lang w:val="es-ES_tradnl"/>
        </w:rPr>
        <w:t>ú</w:t>
      </w:r>
      <w:r>
        <w:rPr>
          <w:spacing w:val="-5"/>
          <w:sz w:val="18"/>
          <w:szCs w:val="18"/>
          <w:lang w:val="es-ES_tradnl"/>
        </w:rPr>
        <w:t>blico, previstas en el art</w:t>
      </w:r>
      <w:r>
        <w:rPr>
          <w:rFonts w:cs="Times New Roman"/>
          <w:spacing w:val="-5"/>
          <w:sz w:val="18"/>
          <w:szCs w:val="18"/>
          <w:lang w:val="es-ES_tradnl"/>
        </w:rPr>
        <w:t>í</w:t>
      </w:r>
      <w:r>
        <w:rPr>
          <w:spacing w:val="-5"/>
          <w:sz w:val="18"/>
          <w:szCs w:val="18"/>
          <w:lang w:val="es-ES_tradnl"/>
        </w:rPr>
        <w:t xml:space="preserve">culo 18 </w:t>
      </w:r>
      <w:r>
        <w:rPr>
          <w:spacing w:val="-7"/>
          <w:sz w:val="18"/>
          <w:szCs w:val="18"/>
          <w:lang w:val="es-ES_tradnl"/>
        </w:rPr>
        <w:t>de la Ordenanza que regula la colocaci</w:t>
      </w:r>
      <w:r>
        <w:rPr>
          <w:rFonts w:cs="Times New Roman"/>
          <w:spacing w:val="-7"/>
          <w:sz w:val="18"/>
          <w:szCs w:val="18"/>
          <w:lang w:val="es-ES_tradnl"/>
        </w:rPr>
        <w:t>ó</w:t>
      </w:r>
      <w:r>
        <w:rPr>
          <w:spacing w:val="-7"/>
          <w:sz w:val="18"/>
          <w:szCs w:val="18"/>
          <w:lang w:val="es-ES_tradnl"/>
        </w:rPr>
        <w:t xml:space="preserve">n de estructuras, </w:t>
      </w:r>
      <w:r>
        <w:rPr>
          <w:spacing w:val="-8"/>
          <w:sz w:val="18"/>
          <w:szCs w:val="18"/>
          <w:lang w:val="es-ES_tradnl"/>
        </w:rPr>
        <w:t xml:space="preserve">postes y tendido de redes, atentan contra el principio de no </w:t>
      </w:r>
      <w:r>
        <w:rPr>
          <w:spacing w:val="-10"/>
          <w:sz w:val="18"/>
          <w:szCs w:val="18"/>
          <w:lang w:val="es-ES_tradnl"/>
        </w:rPr>
        <w:t xml:space="preserve">confiscatoriedad, en la medida en que el pago de sus tarifas </w:t>
      </w:r>
      <w:r>
        <w:rPr>
          <w:spacing w:val="-6"/>
          <w:sz w:val="18"/>
          <w:szCs w:val="18"/>
          <w:lang w:val="es-ES_tradnl"/>
        </w:rPr>
        <w:t>originan de forma evidente una afectaci</w:t>
      </w:r>
      <w:r>
        <w:rPr>
          <w:rFonts w:cs="Times New Roman"/>
          <w:spacing w:val="-6"/>
          <w:sz w:val="18"/>
          <w:szCs w:val="18"/>
          <w:lang w:val="es-ES_tradnl"/>
        </w:rPr>
        <w:t>ó</w:t>
      </w:r>
      <w:r>
        <w:rPr>
          <w:spacing w:val="-6"/>
          <w:sz w:val="18"/>
          <w:szCs w:val="18"/>
          <w:lang w:val="es-ES_tradnl"/>
        </w:rPr>
        <w:t xml:space="preserve">n a la renta o </w:t>
      </w:r>
      <w:r>
        <w:rPr>
          <w:spacing w:val="-7"/>
          <w:sz w:val="18"/>
          <w:szCs w:val="18"/>
          <w:lang w:val="es-ES_tradnl"/>
        </w:rPr>
        <w:t xml:space="preserve">patrimonio del contribuyente, la cual sobrepasa los niveles de carga tributaria que todo contribuyente debe asumir en </w:t>
      </w:r>
      <w:r>
        <w:rPr>
          <w:spacing w:val="-8"/>
          <w:sz w:val="18"/>
          <w:szCs w:val="18"/>
          <w:lang w:val="es-ES_tradnl"/>
        </w:rPr>
        <w:t>el pago de sus obligaciones. De tal manera que no solo se ve comprometida su capacidad de ahorro, sino tambi</w:t>
      </w:r>
      <w:r>
        <w:rPr>
          <w:rFonts w:cs="Times New Roman"/>
          <w:spacing w:val="-8"/>
          <w:sz w:val="18"/>
          <w:szCs w:val="18"/>
          <w:lang w:val="es-ES_tradnl"/>
        </w:rPr>
        <w:t>é</w:t>
      </w:r>
      <w:r>
        <w:rPr>
          <w:spacing w:val="-8"/>
          <w:sz w:val="18"/>
          <w:szCs w:val="18"/>
          <w:lang w:val="es-ES_tradnl"/>
        </w:rPr>
        <w:t xml:space="preserve">n la </w:t>
      </w:r>
      <w:r>
        <w:rPr>
          <w:spacing w:val="-3"/>
          <w:sz w:val="18"/>
          <w:szCs w:val="18"/>
          <w:lang w:val="es-ES_tradnl"/>
        </w:rPr>
        <w:t xml:space="preserve">propia posibilidad de obtener una renta como resultado </w:t>
      </w:r>
      <w:r>
        <w:rPr>
          <w:spacing w:val="-7"/>
          <w:sz w:val="18"/>
          <w:szCs w:val="18"/>
          <w:lang w:val="es-ES_tradnl"/>
        </w:rPr>
        <w:t>de la actividad econ</w:t>
      </w:r>
      <w:r>
        <w:rPr>
          <w:rFonts w:cs="Times New Roman"/>
          <w:spacing w:val="-7"/>
          <w:sz w:val="18"/>
          <w:szCs w:val="18"/>
          <w:lang w:val="es-ES_tradnl"/>
        </w:rPr>
        <w:t>ó</w:t>
      </w:r>
      <w:r>
        <w:rPr>
          <w:spacing w:val="-7"/>
          <w:sz w:val="18"/>
          <w:szCs w:val="18"/>
          <w:lang w:val="es-ES_tradnl"/>
        </w:rPr>
        <w:t xml:space="preserve">mica que realiza, circunstancias que </w:t>
      </w:r>
      <w:r>
        <w:rPr>
          <w:spacing w:val="-8"/>
          <w:sz w:val="18"/>
          <w:szCs w:val="18"/>
          <w:lang w:val="es-ES_tradnl"/>
        </w:rPr>
        <w:t>denotan una confiscaci</w:t>
      </w:r>
      <w:r>
        <w:rPr>
          <w:rFonts w:cs="Times New Roman"/>
          <w:spacing w:val="-8"/>
          <w:sz w:val="18"/>
          <w:szCs w:val="18"/>
          <w:lang w:val="es-ES_tradnl"/>
        </w:rPr>
        <w:t>ó</w:t>
      </w:r>
      <w:r>
        <w:rPr>
          <w:spacing w:val="-8"/>
          <w:sz w:val="18"/>
          <w:szCs w:val="18"/>
          <w:lang w:val="es-ES_tradnl"/>
        </w:rPr>
        <w:t>n a la propiedad, seg</w:t>
      </w:r>
      <w:r>
        <w:rPr>
          <w:rFonts w:cs="Times New Roman"/>
          <w:spacing w:val="-8"/>
          <w:sz w:val="18"/>
          <w:szCs w:val="18"/>
          <w:lang w:val="es-ES_tradnl"/>
        </w:rPr>
        <w:t>ú</w:t>
      </w:r>
      <w:r>
        <w:rPr>
          <w:spacing w:val="-8"/>
          <w:sz w:val="18"/>
          <w:szCs w:val="18"/>
          <w:lang w:val="es-ES_tradnl"/>
        </w:rPr>
        <w:t xml:space="preserve">n lo califica </w:t>
      </w:r>
      <w:r>
        <w:rPr>
          <w:spacing w:val="-7"/>
          <w:sz w:val="18"/>
          <w:szCs w:val="18"/>
          <w:lang w:val="es-ES_tradnl"/>
        </w:rPr>
        <w:t xml:space="preserve">la doctrina, particular que ha sido inobservado por el ente </w:t>
      </w:r>
      <w:r>
        <w:rPr>
          <w:spacing w:val="-6"/>
          <w:sz w:val="18"/>
          <w:szCs w:val="18"/>
          <w:lang w:val="es-ES_tradnl"/>
        </w:rPr>
        <w:t>legislativo en el ejercicio de su potestad tributaria.</w:t>
      </w:r>
    </w:p>
    <w:p w14:paraId="4F67A7FD" w14:textId="77777777" w:rsidR="00591D54" w:rsidRDefault="00591D54">
      <w:pPr>
        <w:shd w:val="clear" w:color="auto" w:fill="FFFFFF"/>
        <w:spacing w:before="197" w:line="216" w:lineRule="exact"/>
        <w:jc w:val="both"/>
      </w:pPr>
      <w:r>
        <w:rPr>
          <w:spacing w:val="-10"/>
          <w:sz w:val="18"/>
          <w:szCs w:val="18"/>
          <w:lang w:val="es-ES_tradnl"/>
        </w:rPr>
        <w:t xml:space="preserve">De igual forma, esta Corte considera que las tasas previstas </w:t>
      </w:r>
      <w:r>
        <w:rPr>
          <w:spacing w:val="-6"/>
          <w:sz w:val="18"/>
          <w:szCs w:val="18"/>
          <w:lang w:val="es-ES_tradnl"/>
        </w:rPr>
        <w:t xml:space="preserve">en la norma cuya inconstitucionalidad ha sido alegada, </w:t>
      </w:r>
      <w:r>
        <w:rPr>
          <w:spacing w:val="-1"/>
          <w:sz w:val="18"/>
          <w:szCs w:val="18"/>
          <w:lang w:val="es-ES_tradnl"/>
        </w:rPr>
        <w:t xml:space="preserve">transgreden el principio tributario de proporcionalidad, </w:t>
      </w:r>
      <w:r>
        <w:rPr>
          <w:spacing w:val="-7"/>
          <w:sz w:val="18"/>
          <w:szCs w:val="18"/>
          <w:lang w:val="es-ES_tradnl"/>
        </w:rPr>
        <w:t xml:space="preserve">en la medida que inobservan al concepto de capacidad </w:t>
      </w:r>
      <w:r>
        <w:rPr>
          <w:sz w:val="18"/>
          <w:szCs w:val="18"/>
          <w:lang w:val="es-ES_tradnl"/>
        </w:rPr>
        <w:t xml:space="preserve">tributaria como el elemento determinante a la hora de </w:t>
      </w:r>
      <w:r>
        <w:rPr>
          <w:spacing w:val="-7"/>
          <w:sz w:val="18"/>
          <w:szCs w:val="18"/>
          <w:lang w:val="es-ES_tradnl"/>
        </w:rPr>
        <w:t>fijar los montos que deber</w:t>
      </w:r>
      <w:r>
        <w:rPr>
          <w:rFonts w:cs="Times New Roman"/>
          <w:spacing w:val="-7"/>
          <w:sz w:val="18"/>
          <w:szCs w:val="18"/>
          <w:lang w:val="es-ES_tradnl"/>
        </w:rPr>
        <w:t>á</w:t>
      </w:r>
      <w:r>
        <w:rPr>
          <w:spacing w:val="-7"/>
          <w:sz w:val="18"/>
          <w:szCs w:val="18"/>
          <w:lang w:val="es-ES_tradnl"/>
        </w:rPr>
        <w:t xml:space="preserve"> asumir el sujeto pasivo en la obligaci</w:t>
      </w:r>
      <w:r>
        <w:rPr>
          <w:rFonts w:cs="Times New Roman"/>
          <w:spacing w:val="-7"/>
          <w:sz w:val="18"/>
          <w:szCs w:val="18"/>
          <w:lang w:val="es-ES_tradnl"/>
        </w:rPr>
        <w:t>ó</w:t>
      </w:r>
      <w:r>
        <w:rPr>
          <w:spacing w:val="-7"/>
          <w:sz w:val="18"/>
          <w:szCs w:val="18"/>
          <w:lang w:val="es-ES_tradnl"/>
        </w:rPr>
        <w:t xml:space="preserve">n tributaria, pues recordemos que dicho concepto </w:t>
      </w:r>
      <w:r>
        <w:rPr>
          <w:spacing w:val="-10"/>
          <w:sz w:val="18"/>
          <w:szCs w:val="18"/>
          <w:lang w:val="es-ES_tradnl"/>
        </w:rPr>
        <w:t xml:space="preserve">representa la aptitud de cada contribuyente para soportar las </w:t>
      </w:r>
      <w:r>
        <w:rPr>
          <w:spacing w:val="-9"/>
          <w:sz w:val="18"/>
          <w:szCs w:val="18"/>
          <w:lang w:val="es-ES_tradnl"/>
        </w:rPr>
        <w:t xml:space="preserve">cargas fiscales en mayor o menor medida, es decir, que un </w:t>
      </w:r>
      <w:r>
        <w:rPr>
          <w:spacing w:val="-7"/>
          <w:sz w:val="18"/>
          <w:szCs w:val="18"/>
          <w:lang w:val="es-ES_tradnl"/>
        </w:rPr>
        <w:t>sujeto aporte hacia el Estado en proporci</w:t>
      </w:r>
      <w:r>
        <w:rPr>
          <w:rFonts w:cs="Times New Roman"/>
          <w:spacing w:val="-7"/>
          <w:sz w:val="18"/>
          <w:szCs w:val="18"/>
          <w:lang w:val="es-ES_tradnl"/>
        </w:rPr>
        <w:t>ó</w:t>
      </w:r>
      <w:r>
        <w:rPr>
          <w:spacing w:val="-7"/>
          <w:sz w:val="18"/>
          <w:szCs w:val="18"/>
          <w:lang w:val="es-ES_tradnl"/>
        </w:rPr>
        <w:t xml:space="preserve">n a sus ingresos </w:t>
      </w:r>
      <w:r>
        <w:rPr>
          <w:spacing w:val="-8"/>
          <w:sz w:val="18"/>
          <w:szCs w:val="18"/>
          <w:lang w:val="es-ES_tradnl"/>
        </w:rPr>
        <w:t xml:space="preserve">y rentas. En el presente caso, considerando los elevados </w:t>
      </w:r>
      <w:r>
        <w:rPr>
          <w:spacing w:val="-5"/>
          <w:sz w:val="18"/>
          <w:szCs w:val="18"/>
          <w:lang w:val="es-ES_tradnl"/>
        </w:rPr>
        <w:t>montos que la Municipalidad de Tulc</w:t>
      </w:r>
      <w:r>
        <w:rPr>
          <w:rFonts w:cs="Times New Roman"/>
          <w:spacing w:val="-5"/>
          <w:sz w:val="18"/>
          <w:szCs w:val="18"/>
          <w:lang w:val="es-ES_tradnl"/>
        </w:rPr>
        <w:t>á</w:t>
      </w:r>
      <w:r>
        <w:rPr>
          <w:spacing w:val="-5"/>
          <w:sz w:val="18"/>
          <w:szCs w:val="18"/>
          <w:lang w:val="es-ES_tradnl"/>
        </w:rPr>
        <w:t xml:space="preserve">n pretende cobrar </w:t>
      </w:r>
      <w:r>
        <w:rPr>
          <w:spacing w:val="-8"/>
          <w:sz w:val="18"/>
          <w:szCs w:val="18"/>
          <w:lang w:val="es-ES_tradnl"/>
        </w:rPr>
        <w:t xml:space="preserve">por concepto de tasas, inobserva la capacidad contributiva </w:t>
      </w:r>
      <w:r>
        <w:rPr>
          <w:spacing w:val="-9"/>
          <w:sz w:val="18"/>
          <w:szCs w:val="18"/>
          <w:lang w:val="es-ES_tradnl"/>
        </w:rPr>
        <w:t xml:space="preserve">de las empresas al existir una desproporcionalidad entre su </w:t>
      </w:r>
      <w:r>
        <w:rPr>
          <w:spacing w:val="-3"/>
          <w:sz w:val="18"/>
          <w:szCs w:val="18"/>
          <w:lang w:val="es-ES_tradnl"/>
        </w:rPr>
        <w:t xml:space="preserve">renta o utilidad y la carga tributaria que implica cumplir </w:t>
      </w:r>
      <w:r>
        <w:rPr>
          <w:spacing w:val="-6"/>
          <w:sz w:val="18"/>
          <w:szCs w:val="18"/>
          <w:lang w:val="es-ES_tradnl"/>
        </w:rPr>
        <w:t>con dicha obligaci</w:t>
      </w:r>
      <w:r>
        <w:rPr>
          <w:rFonts w:cs="Times New Roman"/>
          <w:spacing w:val="-6"/>
          <w:sz w:val="18"/>
          <w:szCs w:val="18"/>
          <w:lang w:val="es-ES_tradnl"/>
        </w:rPr>
        <w:t>ó</w:t>
      </w:r>
      <w:r>
        <w:rPr>
          <w:spacing w:val="-6"/>
          <w:sz w:val="18"/>
          <w:szCs w:val="18"/>
          <w:lang w:val="es-ES_tradnl"/>
        </w:rPr>
        <w:t xml:space="preserve">n, al punto que este </w:t>
      </w:r>
      <w:r>
        <w:rPr>
          <w:rFonts w:cs="Times New Roman"/>
          <w:spacing w:val="-6"/>
          <w:sz w:val="18"/>
          <w:szCs w:val="18"/>
          <w:lang w:val="es-ES_tradnl"/>
        </w:rPr>
        <w:t>ú</w:t>
      </w:r>
      <w:r>
        <w:rPr>
          <w:spacing w:val="-6"/>
          <w:sz w:val="18"/>
          <w:szCs w:val="18"/>
          <w:lang w:val="es-ES_tradnl"/>
        </w:rPr>
        <w:t xml:space="preserve">ltimo exceda los </w:t>
      </w:r>
      <w:r>
        <w:rPr>
          <w:spacing w:val="-4"/>
          <w:sz w:val="18"/>
          <w:szCs w:val="18"/>
          <w:lang w:val="es-ES_tradnl"/>
        </w:rPr>
        <w:t xml:space="preserve">propios ingresos que percibe el contribuyente dentro de </w:t>
      </w:r>
      <w:r>
        <w:rPr>
          <w:spacing w:val="-7"/>
          <w:sz w:val="18"/>
          <w:szCs w:val="18"/>
          <w:lang w:val="es-ES_tradnl"/>
        </w:rPr>
        <w:t>su actividad comercial, seg</w:t>
      </w:r>
      <w:r>
        <w:rPr>
          <w:rFonts w:cs="Times New Roman"/>
          <w:spacing w:val="-7"/>
          <w:sz w:val="18"/>
          <w:szCs w:val="18"/>
          <w:lang w:val="es-ES_tradnl"/>
        </w:rPr>
        <w:t>ú</w:t>
      </w:r>
      <w:r>
        <w:rPr>
          <w:spacing w:val="-7"/>
          <w:sz w:val="18"/>
          <w:szCs w:val="18"/>
          <w:lang w:val="es-ES_tradnl"/>
        </w:rPr>
        <w:t xml:space="preserve">n se desprende del informe </w:t>
      </w:r>
      <w:r>
        <w:rPr>
          <w:sz w:val="18"/>
          <w:szCs w:val="18"/>
          <w:lang w:val="es-ES_tradnl"/>
        </w:rPr>
        <w:t>t</w:t>
      </w:r>
      <w:r>
        <w:rPr>
          <w:rFonts w:cs="Times New Roman"/>
          <w:sz w:val="18"/>
          <w:szCs w:val="18"/>
          <w:lang w:val="es-ES_tradnl"/>
        </w:rPr>
        <w:t>é</w:t>
      </w:r>
      <w:r>
        <w:rPr>
          <w:sz w:val="18"/>
          <w:szCs w:val="18"/>
          <w:lang w:val="es-ES_tradnl"/>
        </w:rPr>
        <w:t>cnico que ha sido materia de an</w:t>
      </w:r>
      <w:r>
        <w:rPr>
          <w:rFonts w:cs="Times New Roman"/>
          <w:sz w:val="18"/>
          <w:szCs w:val="18"/>
          <w:lang w:val="es-ES_tradnl"/>
        </w:rPr>
        <w:t>á</w:t>
      </w:r>
      <w:r>
        <w:rPr>
          <w:sz w:val="18"/>
          <w:szCs w:val="18"/>
          <w:lang w:val="es-ES_tradnl"/>
        </w:rPr>
        <w:t>lisis.</w:t>
      </w:r>
    </w:p>
    <w:p w14:paraId="4F67A7FE" w14:textId="77777777" w:rsidR="00591D54" w:rsidRDefault="00591D54">
      <w:pPr>
        <w:shd w:val="clear" w:color="auto" w:fill="FFFFFF"/>
        <w:spacing w:before="197" w:line="216" w:lineRule="exact"/>
        <w:jc w:val="both"/>
      </w:pPr>
      <w:r>
        <w:rPr>
          <w:spacing w:val="-8"/>
          <w:sz w:val="18"/>
          <w:szCs w:val="18"/>
          <w:lang w:val="es-ES_tradnl"/>
        </w:rPr>
        <w:t xml:space="preserve">En igual medida, la inobservancia al principio de capacidad </w:t>
      </w:r>
      <w:r>
        <w:rPr>
          <w:spacing w:val="-7"/>
          <w:sz w:val="18"/>
          <w:szCs w:val="18"/>
          <w:lang w:val="es-ES_tradnl"/>
        </w:rPr>
        <w:t xml:space="preserve">contributiva dentro de los tributos analizados, transgrede a </w:t>
      </w:r>
      <w:r>
        <w:rPr>
          <w:spacing w:val="-8"/>
          <w:sz w:val="18"/>
          <w:szCs w:val="18"/>
          <w:lang w:val="es-ES_tradnl"/>
        </w:rPr>
        <w:t xml:space="preserve">su vez el principio tributario de razonabilidad, considerando que este </w:t>
      </w:r>
      <w:r>
        <w:rPr>
          <w:rFonts w:cs="Times New Roman"/>
          <w:spacing w:val="-8"/>
          <w:sz w:val="18"/>
          <w:szCs w:val="18"/>
          <w:lang w:val="es-ES_tradnl"/>
        </w:rPr>
        <w:t>ú</w:t>
      </w:r>
      <w:r>
        <w:rPr>
          <w:spacing w:val="-8"/>
          <w:sz w:val="18"/>
          <w:szCs w:val="18"/>
          <w:lang w:val="es-ES_tradnl"/>
        </w:rPr>
        <w:t>ltimo promueve la idea de que exista una justicia dentro de toda imposici</w:t>
      </w:r>
      <w:r>
        <w:rPr>
          <w:rFonts w:cs="Times New Roman"/>
          <w:spacing w:val="-8"/>
          <w:sz w:val="18"/>
          <w:szCs w:val="18"/>
          <w:lang w:val="es-ES_tradnl"/>
        </w:rPr>
        <w:t>ó</w:t>
      </w:r>
      <w:r>
        <w:rPr>
          <w:spacing w:val="-8"/>
          <w:sz w:val="18"/>
          <w:szCs w:val="18"/>
          <w:lang w:val="es-ES_tradnl"/>
        </w:rPr>
        <w:t>n fiscal, lo cual se puede alcanzar bajo el ideal de que cada sujeto responda seg</w:t>
      </w:r>
      <w:r>
        <w:rPr>
          <w:rFonts w:cs="Times New Roman"/>
          <w:spacing w:val="-8"/>
          <w:sz w:val="18"/>
          <w:szCs w:val="18"/>
          <w:lang w:val="es-ES_tradnl"/>
        </w:rPr>
        <w:t>ú</w:t>
      </w:r>
      <w:r>
        <w:rPr>
          <w:spacing w:val="-8"/>
          <w:sz w:val="18"/>
          <w:szCs w:val="18"/>
          <w:lang w:val="es-ES_tradnl"/>
        </w:rPr>
        <w:t xml:space="preserve">n su aptitud </w:t>
      </w:r>
      <w:r>
        <w:rPr>
          <w:spacing w:val="-2"/>
          <w:sz w:val="18"/>
          <w:szCs w:val="18"/>
          <w:lang w:val="es-ES_tradnl"/>
        </w:rPr>
        <w:t xml:space="preserve">de pago. Caso contrario, de cobrarse tributos cuyos </w:t>
      </w:r>
      <w:r>
        <w:rPr>
          <w:spacing w:val="-9"/>
          <w:sz w:val="18"/>
          <w:szCs w:val="18"/>
          <w:lang w:val="es-ES_tradnl"/>
        </w:rPr>
        <w:t>valores sobrepasen dicha capacidad, el tributo carecer</w:t>
      </w:r>
      <w:r>
        <w:rPr>
          <w:rFonts w:cs="Times New Roman"/>
          <w:spacing w:val="-9"/>
          <w:sz w:val="18"/>
          <w:szCs w:val="18"/>
          <w:lang w:val="es-ES_tradnl"/>
        </w:rPr>
        <w:t>á</w:t>
      </w:r>
      <w:r>
        <w:rPr>
          <w:spacing w:val="-9"/>
          <w:sz w:val="18"/>
          <w:szCs w:val="18"/>
          <w:lang w:val="es-ES_tradnl"/>
        </w:rPr>
        <w:t xml:space="preserve"> de </w:t>
      </w:r>
      <w:r>
        <w:rPr>
          <w:sz w:val="18"/>
          <w:szCs w:val="18"/>
          <w:lang w:val="es-ES_tradnl"/>
        </w:rPr>
        <w:t>razonabilidad.</w:t>
      </w:r>
    </w:p>
    <w:p w14:paraId="4F67A7FF" w14:textId="77777777" w:rsidR="00591D54" w:rsidRDefault="00591D54">
      <w:pPr>
        <w:shd w:val="clear" w:color="auto" w:fill="FFFFFF"/>
        <w:spacing w:before="197" w:line="221" w:lineRule="exact"/>
        <w:jc w:val="both"/>
      </w:pPr>
      <w:r>
        <w:rPr>
          <w:spacing w:val="-7"/>
          <w:sz w:val="18"/>
          <w:szCs w:val="18"/>
          <w:lang w:val="es-ES_tradnl"/>
        </w:rPr>
        <w:t xml:space="preserve">Finalmente, resta indicar que las tasas establecidas en el </w:t>
      </w:r>
      <w:r>
        <w:rPr>
          <w:spacing w:val="-1"/>
          <w:sz w:val="18"/>
          <w:szCs w:val="18"/>
          <w:lang w:val="es-ES_tradnl"/>
        </w:rPr>
        <w:t>art</w:t>
      </w:r>
      <w:r>
        <w:rPr>
          <w:rFonts w:cs="Times New Roman"/>
          <w:spacing w:val="-1"/>
          <w:sz w:val="18"/>
          <w:szCs w:val="18"/>
          <w:lang w:val="es-ES_tradnl"/>
        </w:rPr>
        <w:t>í</w:t>
      </w:r>
      <w:r>
        <w:rPr>
          <w:spacing w:val="-1"/>
          <w:sz w:val="18"/>
          <w:szCs w:val="18"/>
          <w:lang w:val="es-ES_tradnl"/>
        </w:rPr>
        <w:t>culo 18 de la Ordenanza que regula la utilizaci</w:t>
      </w:r>
      <w:r>
        <w:rPr>
          <w:rFonts w:cs="Times New Roman"/>
          <w:spacing w:val="-1"/>
          <w:sz w:val="18"/>
          <w:szCs w:val="18"/>
          <w:lang w:val="es-ES_tradnl"/>
        </w:rPr>
        <w:t>ó</w:t>
      </w:r>
      <w:r>
        <w:rPr>
          <w:spacing w:val="-1"/>
          <w:sz w:val="18"/>
          <w:szCs w:val="18"/>
          <w:lang w:val="es-ES_tradnl"/>
        </w:rPr>
        <w:t>n u</w:t>
      </w:r>
    </w:p>
    <w:p w14:paraId="4F67A800" w14:textId="77777777" w:rsidR="00591D54" w:rsidRDefault="00591D54">
      <w:pPr>
        <w:shd w:val="clear" w:color="auto" w:fill="FFFFFF"/>
        <w:spacing w:line="216" w:lineRule="exact"/>
        <w:jc w:val="both"/>
      </w:pPr>
      <w:r>
        <w:br w:type="column"/>
      </w:r>
      <w:r>
        <w:rPr>
          <w:spacing w:val="-7"/>
          <w:sz w:val="18"/>
          <w:szCs w:val="18"/>
          <w:lang w:val="es-ES_tradnl"/>
        </w:rPr>
        <w:t>ocupaci</w:t>
      </w:r>
      <w:r>
        <w:rPr>
          <w:rFonts w:cs="Times New Roman"/>
          <w:spacing w:val="-7"/>
          <w:sz w:val="18"/>
          <w:szCs w:val="18"/>
          <w:lang w:val="es-ES_tradnl"/>
        </w:rPr>
        <w:t>ó</w:t>
      </w:r>
      <w:r>
        <w:rPr>
          <w:spacing w:val="-7"/>
          <w:sz w:val="18"/>
          <w:szCs w:val="18"/>
          <w:lang w:val="es-ES_tradnl"/>
        </w:rPr>
        <w:t>n del espacio p</w:t>
      </w:r>
      <w:r>
        <w:rPr>
          <w:rFonts w:cs="Times New Roman"/>
          <w:spacing w:val="-7"/>
          <w:sz w:val="18"/>
          <w:szCs w:val="18"/>
          <w:lang w:val="es-ES_tradnl"/>
        </w:rPr>
        <w:t>ú</w:t>
      </w:r>
      <w:r>
        <w:rPr>
          <w:spacing w:val="-7"/>
          <w:sz w:val="18"/>
          <w:szCs w:val="18"/>
          <w:lang w:val="es-ES_tradnl"/>
        </w:rPr>
        <w:t>blico o la v</w:t>
      </w:r>
      <w:r>
        <w:rPr>
          <w:rFonts w:cs="Times New Roman"/>
          <w:spacing w:val="-7"/>
          <w:sz w:val="18"/>
          <w:szCs w:val="18"/>
          <w:lang w:val="es-ES_tradnl"/>
        </w:rPr>
        <w:t>í</w:t>
      </w:r>
      <w:r>
        <w:rPr>
          <w:spacing w:val="-7"/>
          <w:sz w:val="18"/>
          <w:szCs w:val="18"/>
          <w:lang w:val="es-ES_tradnl"/>
        </w:rPr>
        <w:t>a p</w:t>
      </w:r>
      <w:r>
        <w:rPr>
          <w:rFonts w:cs="Times New Roman"/>
          <w:spacing w:val="-7"/>
          <w:sz w:val="18"/>
          <w:szCs w:val="18"/>
          <w:lang w:val="es-ES_tradnl"/>
        </w:rPr>
        <w:t>ú</w:t>
      </w:r>
      <w:r>
        <w:rPr>
          <w:spacing w:val="-7"/>
          <w:sz w:val="18"/>
          <w:szCs w:val="18"/>
          <w:lang w:val="es-ES_tradnl"/>
        </w:rPr>
        <w:t xml:space="preserve">blica y el espacio </w:t>
      </w:r>
      <w:r>
        <w:rPr>
          <w:spacing w:val="-6"/>
          <w:sz w:val="18"/>
          <w:szCs w:val="18"/>
          <w:lang w:val="es-ES_tradnl"/>
        </w:rPr>
        <w:t>a</w:t>
      </w:r>
      <w:r>
        <w:rPr>
          <w:rFonts w:cs="Times New Roman"/>
          <w:spacing w:val="-6"/>
          <w:sz w:val="18"/>
          <w:szCs w:val="18"/>
          <w:lang w:val="es-ES_tradnl"/>
        </w:rPr>
        <w:t>é</w:t>
      </w:r>
      <w:r>
        <w:rPr>
          <w:spacing w:val="-6"/>
          <w:sz w:val="18"/>
          <w:szCs w:val="18"/>
          <w:lang w:val="es-ES_tradnl"/>
        </w:rPr>
        <w:t>reo municipal, suelo y subsuelo, por la colocaci</w:t>
      </w:r>
      <w:r>
        <w:rPr>
          <w:rFonts w:cs="Times New Roman"/>
          <w:spacing w:val="-6"/>
          <w:sz w:val="18"/>
          <w:szCs w:val="18"/>
          <w:lang w:val="es-ES_tradnl"/>
        </w:rPr>
        <w:t>ó</w:t>
      </w:r>
      <w:r>
        <w:rPr>
          <w:spacing w:val="-6"/>
          <w:sz w:val="18"/>
          <w:szCs w:val="18"/>
          <w:lang w:val="es-ES_tradnl"/>
        </w:rPr>
        <w:t xml:space="preserve">n de </w:t>
      </w:r>
      <w:r>
        <w:rPr>
          <w:spacing w:val="-8"/>
          <w:sz w:val="18"/>
          <w:szCs w:val="18"/>
          <w:lang w:val="es-ES_tradnl"/>
        </w:rPr>
        <w:t xml:space="preserve">estructuras, postes y tendido de redes pertenecientes a </w:t>
      </w:r>
      <w:r>
        <w:rPr>
          <w:spacing w:val="-9"/>
          <w:sz w:val="18"/>
          <w:szCs w:val="18"/>
          <w:lang w:val="es-ES_tradnl"/>
        </w:rPr>
        <w:t>personas naturales o jur</w:t>
      </w:r>
      <w:r>
        <w:rPr>
          <w:rFonts w:cs="Times New Roman"/>
          <w:spacing w:val="-9"/>
          <w:sz w:val="18"/>
          <w:szCs w:val="18"/>
          <w:lang w:val="es-ES_tradnl"/>
        </w:rPr>
        <w:t>í</w:t>
      </w:r>
      <w:r>
        <w:rPr>
          <w:spacing w:val="-9"/>
          <w:sz w:val="18"/>
          <w:szCs w:val="18"/>
          <w:lang w:val="es-ES_tradnl"/>
        </w:rPr>
        <w:t>dicas privadas en el cant</w:t>
      </w:r>
      <w:r>
        <w:rPr>
          <w:rFonts w:cs="Times New Roman"/>
          <w:spacing w:val="-9"/>
          <w:sz w:val="18"/>
          <w:szCs w:val="18"/>
          <w:lang w:val="es-ES_tradnl"/>
        </w:rPr>
        <w:t>ó</w:t>
      </w:r>
      <w:r>
        <w:rPr>
          <w:spacing w:val="-9"/>
          <w:sz w:val="18"/>
          <w:szCs w:val="18"/>
          <w:lang w:val="es-ES_tradnl"/>
        </w:rPr>
        <w:t>n Tulc</w:t>
      </w:r>
      <w:r>
        <w:rPr>
          <w:rFonts w:cs="Times New Roman"/>
          <w:spacing w:val="-9"/>
          <w:sz w:val="18"/>
          <w:szCs w:val="18"/>
          <w:lang w:val="es-ES_tradnl"/>
        </w:rPr>
        <w:t>á</w:t>
      </w:r>
      <w:r>
        <w:rPr>
          <w:spacing w:val="-9"/>
          <w:sz w:val="18"/>
          <w:szCs w:val="18"/>
          <w:lang w:val="es-ES_tradnl"/>
        </w:rPr>
        <w:t xml:space="preserve">n, </w:t>
      </w:r>
      <w:r>
        <w:rPr>
          <w:spacing w:val="-4"/>
          <w:sz w:val="18"/>
          <w:szCs w:val="18"/>
          <w:lang w:val="es-ES_tradnl"/>
        </w:rPr>
        <w:t xml:space="preserve">transgreden de igual forma el principio constitucional </w:t>
      </w:r>
      <w:r>
        <w:rPr>
          <w:spacing w:val="-9"/>
          <w:sz w:val="18"/>
          <w:szCs w:val="18"/>
          <w:lang w:val="es-ES_tradnl"/>
        </w:rPr>
        <w:t>tributario de equidad, en la medida en que dicha imposici</w:t>
      </w:r>
      <w:r>
        <w:rPr>
          <w:rFonts w:cs="Times New Roman"/>
          <w:spacing w:val="-9"/>
          <w:sz w:val="18"/>
          <w:szCs w:val="18"/>
          <w:lang w:val="es-ES_tradnl"/>
        </w:rPr>
        <w:t>ó</w:t>
      </w:r>
      <w:r>
        <w:rPr>
          <w:spacing w:val="-9"/>
          <w:sz w:val="18"/>
          <w:szCs w:val="18"/>
          <w:lang w:val="es-ES_tradnl"/>
        </w:rPr>
        <w:t xml:space="preserve">n </w:t>
      </w:r>
      <w:r>
        <w:rPr>
          <w:spacing w:val="-7"/>
          <w:sz w:val="18"/>
          <w:szCs w:val="18"/>
          <w:lang w:val="es-ES_tradnl"/>
        </w:rPr>
        <w:t xml:space="preserve">confiscatoria, desproporcionada e irracional, desmantela </w:t>
      </w:r>
      <w:r>
        <w:rPr>
          <w:spacing w:val="-1"/>
          <w:sz w:val="18"/>
          <w:szCs w:val="18"/>
          <w:lang w:val="es-ES_tradnl"/>
        </w:rPr>
        <w:t xml:space="preserve">dentro del sistema tributario el sentido de justicia e </w:t>
      </w:r>
      <w:r>
        <w:rPr>
          <w:spacing w:val="-5"/>
          <w:sz w:val="18"/>
          <w:szCs w:val="18"/>
          <w:lang w:val="es-ES_tradnl"/>
        </w:rPr>
        <w:t xml:space="preserve">igualdad que debe primar entre el poder tributario y los </w:t>
      </w:r>
      <w:r>
        <w:rPr>
          <w:spacing w:val="-7"/>
          <w:sz w:val="18"/>
          <w:szCs w:val="18"/>
          <w:lang w:val="es-ES_tradnl"/>
        </w:rPr>
        <w:t>contribuyentes, seg</w:t>
      </w:r>
      <w:r>
        <w:rPr>
          <w:rFonts w:cs="Times New Roman"/>
          <w:spacing w:val="-7"/>
          <w:sz w:val="18"/>
          <w:szCs w:val="18"/>
          <w:lang w:val="es-ES_tradnl"/>
        </w:rPr>
        <w:t>ú</w:t>
      </w:r>
      <w:r>
        <w:rPr>
          <w:spacing w:val="-7"/>
          <w:sz w:val="18"/>
          <w:szCs w:val="18"/>
          <w:lang w:val="es-ES_tradnl"/>
        </w:rPr>
        <w:t>n lo establece el art</w:t>
      </w:r>
      <w:r>
        <w:rPr>
          <w:rFonts w:cs="Times New Roman"/>
          <w:spacing w:val="-7"/>
          <w:sz w:val="18"/>
          <w:szCs w:val="18"/>
          <w:lang w:val="es-ES_tradnl"/>
        </w:rPr>
        <w:t>í</w:t>
      </w:r>
      <w:r>
        <w:rPr>
          <w:spacing w:val="-7"/>
          <w:sz w:val="18"/>
          <w:szCs w:val="18"/>
          <w:lang w:val="es-ES_tradnl"/>
        </w:rPr>
        <w:t xml:space="preserve">culo 300 de la </w:t>
      </w:r>
      <w:r>
        <w:rPr>
          <w:sz w:val="18"/>
          <w:szCs w:val="18"/>
          <w:lang w:val="es-ES_tradnl"/>
        </w:rPr>
        <w:t>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A801" w14:textId="77777777" w:rsidR="00591D54" w:rsidRDefault="00591D54">
      <w:pPr>
        <w:shd w:val="clear" w:color="auto" w:fill="FFFFFF"/>
        <w:spacing w:before="197" w:line="216" w:lineRule="exact"/>
        <w:jc w:val="both"/>
      </w:pPr>
      <w:r>
        <w:rPr>
          <w:spacing w:val="-7"/>
          <w:sz w:val="18"/>
          <w:szCs w:val="18"/>
          <w:lang w:val="es-ES_tradnl"/>
        </w:rPr>
        <w:t>Es as</w:t>
      </w:r>
      <w:r>
        <w:rPr>
          <w:rFonts w:cs="Times New Roman"/>
          <w:spacing w:val="-7"/>
          <w:sz w:val="18"/>
          <w:szCs w:val="18"/>
          <w:lang w:val="es-ES_tradnl"/>
        </w:rPr>
        <w:t>í</w:t>
      </w:r>
      <w:r>
        <w:rPr>
          <w:spacing w:val="-7"/>
          <w:sz w:val="18"/>
          <w:szCs w:val="18"/>
          <w:lang w:val="es-ES_tradnl"/>
        </w:rPr>
        <w:t xml:space="preserve"> que a esta Corte Constitucional al ser el m</w:t>
      </w:r>
      <w:r>
        <w:rPr>
          <w:rFonts w:cs="Times New Roman"/>
          <w:spacing w:val="-7"/>
          <w:sz w:val="18"/>
          <w:szCs w:val="18"/>
          <w:lang w:val="es-ES_tradnl"/>
        </w:rPr>
        <w:t>á</w:t>
      </w:r>
      <w:r>
        <w:rPr>
          <w:spacing w:val="-7"/>
          <w:sz w:val="18"/>
          <w:szCs w:val="18"/>
          <w:lang w:val="es-ES_tradnl"/>
        </w:rPr>
        <w:t xml:space="preserve">ximo </w:t>
      </w:r>
      <w:r>
        <w:rPr>
          <w:rFonts w:cs="Times New Roman"/>
          <w:spacing w:val="-6"/>
          <w:sz w:val="18"/>
          <w:szCs w:val="18"/>
          <w:lang w:val="es-ES_tradnl"/>
        </w:rPr>
        <w:t>ó</w:t>
      </w:r>
      <w:r>
        <w:rPr>
          <w:spacing w:val="-6"/>
          <w:sz w:val="18"/>
          <w:szCs w:val="18"/>
          <w:lang w:val="es-ES_tradnl"/>
        </w:rPr>
        <w:t xml:space="preserve">rgano de control constitucional le corresponde observar </w:t>
      </w:r>
      <w:r>
        <w:rPr>
          <w:spacing w:val="-11"/>
          <w:sz w:val="18"/>
          <w:szCs w:val="18"/>
          <w:lang w:val="es-ES_tradnl"/>
        </w:rPr>
        <w:t>que las normas expedidas no se encuentren en contradicci</w:t>
      </w:r>
      <w:r>
        <w:rPr>
          <w:rFonts w:cs="Times New Roman"/>
          <w:spacing w:val="-11"/>
          <w:sz w:val="18"/>
          <w:szCs w:val="18"/>
          <w:lang w:val="es-ES_tradnl"/>
        </w:rPr>
        <w:t>ó</w:t>
      </w:r>
      <w:r>
        <w:rPr>
          <w:spacing w:val="-11"/>
          <w:sz w:val="18"/>
          <w:szCs w:val="18"/>
          <w:lang w:val="es-ES_tradnl"/>
        </w:rPr>
        <w:t xml:space="preserve">n </w:t>
      </w:r>
      <w:r>
        <w:rPr>
          <w:spacing w:val="-9"/>
          <w:sz w:val="18"/>
          <w:szCs w:val="18"/>
          <w:lang w:val="es-ES_tradnl"/>
        </w:rPr>
        <w:t>con el texto constitucional, pues caso contrario se declarar</w:t>
      </w:r>
      <w:r>
        <w:rPr>
          <w:rFonts w:cs="Times New Roman"/>
          <w:spacing w:val="-9"/>
          <w:sz w:val="18"/>
          <w:szCs w:val="18"/>
          <w:lang w:val="es-ES_tradnl"/>
        </w:rPr>
        <w:t xml:space="preserve">á </w:t>
      </w:r>
      <w:r>
        <w:rPr>
          <w:spacing w:val="-4"/>
          <w:sz w:val="18"/>
          <w:szCs w:val="18"/>
          <w:lang w:val="es-ES_tradnl"/>
        </w:rPr>
        <w:t>la invalidez del acto normativo impugnado. Del an</w:t>
      </w:r>
      <w:r>
        <w:rPr>
          <w:rFonts w:cs="Times New Roman"/>
          <w:spacing w:val="-4"/>
          <w:sz w:val="18"/>
          <w:szCs w:val="18"/>
          <w:lang w:val="es-ES_tradnl"/>
        </w:rPr>
        <w:t>á</w:t>
      </w:r>
      <w:r>
        <w:rPr>
          <w:spacing w:val="-4"/>
          <w:sz w:val="18"/>
          <w:szCs w:val="18"/>
          <w:lang w:val="es-ES_tradnl"/>
        </w:rPr>
        <w:t xml:space="preserve">lisis </w:t>
      </w:r>
      <w:r>
        <w:rPr>
          <w:spacing w:val="-6"/>
          <w:sz w:val="18"/>
          <w:szCs w:val="18"/>
          <w:lang w:val="es-ES_tradnl"/>
        </w:rPr>
        <w:t xml:space="preserve">desarrollado por la Corte Constitucional se evidencia que </w:t>
      </w:r>
      <w:r>
        <w:rPr>
          <w:spacing w:val="-7"/>
          <w:sz w:val="18"/>
          <w:szCs w:val="18"/>
          <w:lang w:val="es-ES_tradnl"/>
        </w:rPr>
        <w:t>la norma contenida en el art</w:t>
      </w:r>
      <w:r>
        <w:rPr>
          <w:rFonts w:cs="Times New Roman"/>
          <w:spacing w:val="-7"/>
          <w:sz w:val="18"/>
          <w:szCs w:val="18"/>
          <w:lang w:val="es-ES_tradnl"/>
        </w:rPr>
        <w:t>í</w:t>
      </w:r>
      <w:r>
        <w:rPr>
          <w:spacing w:val="-7"/>
          <w:sz w:val="18"/>
          <w:szCs w:val="18"/>
          <w:lang w:val="es-ES_tradnl"/>
        </w:rPr>
        <w:t xml:space="preserve">culo 18 de la Ordenanza que </w:t>
      </w:r>
      <w:r>
        <w:rPr>
          <w:spacing w:val="-5"/>
          <w:sz w:val="18"/>
          <w:szCs w:val="18"/>
          <w:lang w:val="es-ES_tradnl"/>
        </w:rPr>
        <w:t>regula la utilizaci</w:t>
      </w:r>
      <w:r>
        <w:rPr>
          <w:rFonts w:cs="Times New Roman"/>
          <w:spacing w:val="-5"/>
          <w:sz w:val="18"/>
          <w:szCs w:val="18"/>
          <w:lang w:val="es-ES_tradnl"/>
        </w:rPr>
        <w:t>ó</w:t>
      </w:r>
      <w:r>
        <w:rPr>
          <w:spacing w:val="-5"/>
          <w:sz w:val="18"/>
          <w:szCs w:val="18"/>
          <w:lang w:val="es-ES_tradnl"/>
        </w:rPr>
        <w:t>n u ocupaci</w:t>
      </w:r>
      <w:r>
        <w:rPr>
          <w:rFonts w:cs="Times New Roman"/>
          <w:spacing w:val="-5"/>
          <w:sz w:val="18"/>
          <w:szCs w:val="18"/>
          <w:lang w:val="es-ES_tradnl"/>
        </w:rPr>
        <w:t>ó</w:t>
      </w:r>
      <w:r>
        <w:rPr>
          <w:spacing w:val="-5"/>
          <w:sz w:val="18"/>
          <w:szCs w:val="18"/>
          <w:lang w:val="es-ES_tradnl"/>
        </w:rPr>
        <w:t>n del espacio p</w:t>
      </w:r>
      <w:r>
        <w:rPr>
          <w:rFonts w:cs="Times New Roman"/>
          <w:spacing w:val="-5"/>
          <w:sz w:val="18"/>
          <w:szCs w:val="18"/>
          <w:lang w:val="es-ES_tradnl"/>
        </w:rPr>
        <w:t>ú</w:t>
      </w:r>
      <w:r>
        <w:rPr>
          <w:spacing w:val="-5"/>
          <w:sz w:val="18"/>
          <w:szCs w:val="18"/>
          <w:lang w:val="es-ES_tradnl"/>
        </w:rPr>
        <w:t xml:space="preserve">blico o la </w:t>
      </w:r>
      <w:r>
        <w:rPr>
          <w:spacing w:val="-7"/>
          <w:sz w:val="18"/>
          <w:szCs w:val="18"/>
          <w:lang w:val="es-ES_tradnl"/>
        </w:rPr>
        <w:t>v</w:t>
      </w:r>
      <w:r>
        <w:rPr>
          <w:rFonts w:cs="Times New Roman"/>
          <w:spacing w:val="-7"/>
          <w:sz w:val="18"/>
          <w:szCs w:val="18"/>
          <w:lang w:val="es-ES_tradnl"/>
        </w:rPr>
        <w:t>í</w:t>
      </w:r>
      <w:r>
        <w:rPr>
          <w:spacing w:val="-7"/>
          <w:sz w:val="18"/>
          <w:szCs w:val="18"/>
          <w:lang w:val="es-ES_tradnl"/>
        </w:rPr>
        <w:t>a p</w:t>
      </w:r>
      <w:r>
        <w:rPr>
          <w:rFonts w:cs="Times New Roman"/>
          <w:spacing w:val="-7"/>
          <w:sz w:val="18"/>
          <w:szCs w:val="18"/>
          <w:lang w:val="es-ES_tradnl"/>
        </w:rPr>
        <w:t>ú</w:t>
      </w:r>
      <w:r>
        <w:rPr>
          <w:spacing w:val="-7"/>
          <w:sz w:val="18"/>
          <w:szCs w:val="18"/>
          <w:lang w:val="es-ES_tradnl"/>
        </w:rPr>
        <w:t>blica y el espacio a</w:t>
      </w:r>
      <w:r>
        <w:rPr>
          <w:rFonts w:cs="Times New Roman"/>
          <w:spacing w:val="-7"/>
          <w:sz w:val="18"/>
          <w:szCs w:val="18"/>
          <w:lang w:val="es-ES_tradnl"/>
        </w:rPr>
        <w:t>é</w:t>
      </w:r>
      <w:r>
        <w:rPr>
          <w:spacing w:val="-7"/>
          <w:sz w:val="18"/>
          <w:szCs w:val="18"/>
          <w:lang w:val="es-ES_tradnl"/>
        </w:rPr>
        <w:t xml:space="preserve">reo municipal, suelo y subsuelo, </w:t>
      </w:r>
      <w:r>
        <w:rPr>
          <w:spacing w:val="-8"/>
          <w:sz w:val="18"/>
          <w:szCs w:val="18"/>
          <w:lang w:val="es-ES_tradnl"/>
        </w:rPr>
        <w:t>por la colocaci</w:t>
      </w:r>
      <w:r>
        <w:rPr>
          <w:rFonts w:cs="Times New Roman"/>
          <w:spacing w:val="-8"/>
          <w:sz w:val="18"/>
          <w:szCs w:val="18"/>
          <w:lang w:val="es-ES_tradnl"/>
        </w:rPr>
        <w:t>ó</w:t>
      </w:r>
      <w:r>
        <w:rPr>
          <w:spacing w:val="-8"/>
          <w:sz w:val="18"/>
          <w:szCs w:val="18"/>
          <w:lang w:val="es-ES_tradnl"/>
        </w:rPr>
        <w:t>n de estructuras, postes y tendido de redes pertenecientes a personas naturales o jur</w:t>
      </w:r>
      <w:r>
        <w:rPr>
          <w:rFonts w:cs="Times New Roman"/>
          <w:spacing w:val="-8"/>
          <w:sz w:val="18"/>
          <w:szCs w:val="18"/>
          <w:lang w:val="es-ES_tradnl"/>
        </w:rPr>
        <w:t>í</w:t>
      </w:r>
      <w:r>
        <w:rPr>
          <w:spacing w:val="-8"/>
          <w:sz w:val="18"/>
          <w:szCs w:val="18"/>
          <w:lang w:val="es-ES_tradnl"/>
        </w:rPr>
        <w:t xml:space="preserve">dicas privadas </w:t>
      </w:r>
      <w:r>
        <w:rPr>
          <w:spacing w:val="-6"/>
          <w:sz w:val="18"/>
          <w:szCs w:val="18"/>
          <w:lang w:val="es-ES_tradnl"/>
        </w:rPr>
        <w:t>dentro del cant</w:t>
      </w:r>
      <w:r>
        <w:rPr>
          <w:rFonts w:cs="Times New Roman"/>
          <w:spacing w:val="-6"/>
          <w:sz w:val="18"/>
          <w:szCs w:val="18"/>
          <w:lang w:val="es-ES_tradnl"/>
        </w:rPr>
        <w:t>ó</w:t>
      </w:r>
      <w:r>
        <w:rPr>
          <w:spacing w:val="-6"/>
          <w:sz w:val="18"/>
          <w:szCs w:val="18"/>
          <w:lang w:val="es-ES_tradnl"/>
        </w:rPr>
        <w:t>n Tulc</w:t>
      </w:r>
      <w:r>
        <w:rPr>
          <w:rFonts w:cs="Times New Roman"/>
          <w:spacing w:val="-6"/>
          <w:sz w:val="18"/>
          <w:szCs w:val="18"/>
          <w:lang w:val="es-ES_tradnl"/>
        </w:rPr>
        <w:t>á</w:t>
      </w:r>
      <w:r>
        <w:rPr>
          <w:spacing w:val="-6"/>
          <w:sz w:val="18"/>
          <w:szCs w:val="18"/>
          <w:lang w:val="es-ES_tradnl"/>
        </w:rPr>
        <w:t>n, publicada en el Registro Oficial N.</w:t>
      </w:r>
      <w:r>
        <w:rPr>
          <w:rFonts w:cs="Times New Roman"/>
          <w:spacing w:val="-6"/>
          <w:sz w:val="18"/>
          <w:szCs w:val="18"/>
          <w:lang w:val="es-ES_tradnl"/>
        </w:rPr>
        <w:t>º</w:t>
      </w:r>
      <w:r>
        <w:rPr>
          <w:spacing w:val="-6"/>
          <w:sz w:val="18"/>
          <w:szCs w:val="18"/>
          <w:lang w:val="es-ES_tradnl"/>
        </w:rPr>
        <w:t xml:space="preserve"> 361 del 24 de octubre de 2014, contraviene el art</w:t>
      </w:r>
      <w:r>
        <w:rPr>
          <w:rFonts w:cs="Times New Roman"/>
          <w:spacing w:val="-6"/>
          <w:sz w:val="18"/>
          <w:szCs w:val="18"/>
          <w:lang w:val="es-ES_tradnl"/>
        </w:rPr>
        <w:t>í</w:t>
      </w:r>
      <w:r>
        <w:rPr>
          <w:spacing w:val="-6"/>
          <w:sz w:val="18"/>
          <w:szCs w:val="18"/>
          <w:lang w:val="es-ES_tradnl"/>
        </w:rPr>
        <w:t xml:space="preserve">culo </w:t>
      </w:r>
      <w:r>
        <w:rPr>
          <w:sz w:val="18"/>
          <w:szCs w:val="18"/>
          <w:lang w:val="es-ES_tradnl"/>
        </w:rPr>
        <w:t>300 de 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A802" w14:textId="77777777" w:rsidR="00591D54" w:rsidRDefault="00591D54">
      <w:pPr>
        <w:shd w:val="clear" w:color="auto" w:fill="FFFFFF"/>
        <w:spacing w:before="197" w:line="216" w:lineRule="exact"/>
        <w:jc w:val="both"/>
      </w:pPr>
      <w:r>
        <w:rPr>
          <w:spacing w:val="-5"/>
          <w:sz w:val="18"/>
          <w:szCs w:val="18"/>
          <w:lang w:val="es-ES_tradnl"/>
        </w:rPr>
        <w:t xml:space="preserve">De lo expuesto, esta Corte Constitucional conmina al </w:t>
      </w:r>
      <w:r>
        <w:rPr>
          <w:spacing w:val="-6"/>
          <w:sz w:val="18"/>
          <w:szCs w:val="18"/>
          <w:lang w:val="es-ES_tradnl"/>
        </w:rPr>
        <w:t>Gobierno Aut</w:t>
      </w:r>
      <w:r>
        <w:rPr>
          <w:rFonts w:cs="Times New Roman"/>
          <w:spacing w:val="-6"/>
          <w:sz w:val="18"/>
          <w:szCs w:val="18"/>
          <w:lang w:val="es-ES_tradnl"/>
        </w:rPr>
        <w:t>ó</w:t>
      </w:r>
      <w:r>
        <w:rPr>
          <w:spacing w:val="-6"/>
          <w:sz w:val="18"/>
          <w:szCs w:val="18"/>
          <w:lang w:val="es-ES_tradnl"/>
        </w:rPr>
        <w:t>nomo Descentralizado Municipal de Tulc</w:t>
      </w:r>
      <w:r>
        <w:rPr>
          <w:rFonts w:cs="Times New Roman"/>
          <w:spacing w:val="-6"/>
          <w:sz w:val="18"/>
          <w:szCs w:val="18"/>
          <w:lang w:val="es-ES_tradnl"/>
        </w:rPr>
        <w:t>á</w:t>
      </w:r>
      <w:r>
        <w:rPr>
          <w:spacing w:val="-6"/>
          <w:sz w:val="18"/>
          <w:szCs w:val="18"/>
          <w:lang w:val="es-ES_tradnl"/>
        </w:rPr>
        <w:t xml:space="preserve">n </w:t>
      </w:r>
      <w:r>
        <w:rPr>
          <w:spacing w:val="-8"/>
          <w:sz w:val="18"/>
          <w:szCs w:val="18"/>
          <w:lang w:val="es-ES_tradnl"/>
        </w:rPr>
        <w:t>a que, dentro de un plazo razonable, adec</w:t>
      </w:r>
      <w:r>
        <w:rPr>
          <w:rFonts w:cs="Times New Roman"/>
          <w:spacing w:val="-8"/>
          <w:sz w:val="18"/>
          <w:szCs w:val="18"/>
          <w:lang w:val="es-ES_tradnl"/>
        </w:rPr>
        <w:t>ú</w:t>
      </w:r>
      <w:r>
        <w:rPr>
          <w:spacing w:val="-8"/>
          <w:sz w:val="18"/>
          <w:szCs w:val="18"/>
          <w:lang w:val="es-ES_tradnl"/>
        </w:rPr>
        <w:t>e las tarifas por el cobro de tasas en la ocupaci</w:t>
      </w:r>
      <w:r>
        <w:rPr>
          <w:rFonts w:cs="Times New Roman"/>
          <w:spacing w:val="-8"/>
          <w:sz w:val="18"/>
          <w:szCs w:val="18"/>
          <w:lang w:val="es-ES_tradnl"/>
        </w:rPr>
        <w:t>ó</w:t>
      </w:r>
      <w:r>
        <w:rPr>
          <w:spacing w:val="-8"/>
          <w:sz w:val="18"/>
          <w:szCs w:val="18"/>
          <w:lang w:val="es-ES_tradnl"/>
        </w:rPr>
        <w:t>n de espacio p</w:t>
      </w:r>
      <w:r>
        <w:rPr>
          <w:rFonts w:cs="Times New Roman"/>
          <w:spacing w:val="-8"/>
          <w:sz w:val="18"/>
          <w:szCs w:val="18"/>
          <w:lang w:val="es-ES_tradnl"/>
        </w:rPr>
        <w:t>ú</w:t>
      </w:r>
      <w:r>
        <w:rPr>
          <w:spacing w:val="-8"/>
          <w:sz w:val="18"/>
          <w:szCs w:val="18"/>
          <w:lang w:val="es-ES_tradnl"/>
        </w:rPr>
        <w:t xml:space="preserve">blico, a los </w:t>
      </w:r>
      <w:r>
        <w:rPr>
          <w:spacing w:val="-5"/>
          <w:sz w:val="18"/>
          <w:szCs w:val="18"/>
          <w:lang w:val="es-ES_tradnl"/>
        </w:rPr>
        <w:t xml:space="preserve">principios tributarios expuestos en el presente fallo, y en </w:t>
      </w:r>
      <w:r>
        <w:rPr>
          <w:spacing w:val="-6"/>
          <w:sz w:val="18"/>
          <w:szCs w:val="18"/>
          <w:lang w:val="es-ES_tradnl"/>
        </w:rPr>
        <w:t>particular al principio de equidad, constante en el art</w:t>
      </w:r>
      <w:r>
        <w:rPr>
          <w:rFonts w:cs="Times New Roman"/>
          <w:spacing w:val="-6"/>
          <w:sz w:val="18"/>
          <w:szCs w:val="18"/>
          <w:lang w:val="es-ES_tradnl"/>
        </w:rPr>
        <w:t>í</w:t>
      </w:r>
      <w:r>
        <w:rPr>
          <w:spacing w:val="-6"/>
          <w:sz w:val="18"/>
          <w:szCs w:val="18"/>
          <w:lang w:val="es-ES_tradnl"/>
        </w:rPr>
        <w:t xml:space="preserve">culo </w:t>
      </w:r>
      <w:r>
        <w:rPr>
          <w:sz w:val="18"/>
          <w:szCs w:val="18"/>
          <w:lang w:val="es-ES_tradnl"/>
        </w:rPr>
        <w:t>300 de 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A803" w14:textId="77777777" w:rsidR="00591D54" w:rsidRDefault="00591D54">
      <w:pPr>
        <w:shd w:val="clear" w:color="auto" w:fill="FFFFFF"/>
        <w:spacing w:before="197" w:line="216" w:lineRule="exact"/>
        <w:jc w:val="both"/>
      </w:pPr>
      <w:r>
        <w:rPr>
          <w:spacing w:val="-8"/>
          <w:sz w:val="18"/>
          <w:szCs w:val="18"/>
          <w:lang w:val="es-ES_tradnl"/>
        </w:rPr>
        <w:t xml:space="preserve">Adicionalmente, esta Corte Constitucional, de conformidad </w:t>
      </w:r>
      <w:r>
        <w:rPr>
          <w:spacing w:val="-5"/>
          <w:sz w:val="18"/>
          <w:szCs w:val="18"/>
          <w:lang w:val="es-ES_tradnl"/>
        </w:rPr>
        <w:t>con las sentencias dictadas N.</w:t>
      </w:r>
      <w:r>
        <w:rPr>
          <w:rFonts w:cs="Times New Roman"/>
          <w:spacing w:val="-5"/>
          <w:sz w:val="18"/>
          <w:szCs w:val="18"/>
          <w:lang w:val="es-ES_tradnl"/>
        </w:rPr>
        <w:t>º</w:t>
      </w:r>
      <w:r>
        <w:rPr>
          <w:spacing w:val="-5"/>
          <w:sz w:val="18"/>
          <w:szCs w:val="18"/>
          <w:lang w:val="es-ES_tradnl"/>
        </w:rPr>
        <w:t xml:space="preserve"> 007-15-SIN-CC y </w:t>
      </w:r>
      <w:r>
        <w:rPr>
          <w:spacing w:val="-6"/>
          <w:sz w:val="18"/>
          <w:szCs w:val="18"/>
          <w:lang w:val="es-ES_tradnl"/>
        </w:rPr>
        <w:t>008-15-SIN-CC, en base a los art</w:t>
      </w:r>
      <w:r>
        <w:rPr>
          <w:rFonts w:cs="Times New Roman"/>
          <w:spacing w:val="-6"/>
          <w:sz w:val="18"/>
          <w:szCs w:val="18"/>
          <w:lang w:val="es-ES_tradnl"/>
        </w:rPr>
        <w:t>í</w:t>
      </w:r>
      <w:r>
        <w:rPr>
          <w:spacing w:val="-6"/>
          <w:sz w:val="18"/>
          <w:szCs w:val="18"/>
          <w:lang w:val="es-ES_tradnl"/>
        </w:rPr>
        <w:t xml:space="preserve">culos 261 y 313 de la </w:t>
      </w:r>
      <w:r>
        <w:rPr>
          <w:spacing w:val="-5"/>
          <w:sz w:val="18"/>
          <w:szCs w:val="18"/>
          <w:lang w:val="es-ES_tradnl"/>
        </w:rPr>
        <w:t>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blica, estableci</w:t>
      </w:r>
      <w:r>
        <w:rPr>
          <w:rFonts w:cs="Times New Roman"/>
          <w:spacing w:val="-5"/>
          <w:sz w:val="18"/>
          <w:szCs w:val="18"/>
          <w:lang w:val="es-ES_tradnl"/>
        </w:rPr>
        <w:t>ó</w:t>
      </w:r>
      <w:r>
        <w:rPr>
          <w:spacing w:val="-5"/>
          <w:sz w:val="18"/>
          <w:szCs w:val="18"/>
          <w:lang w:val="es-ES_tradnl"/>
        </w:rPr>
        <w:t xml:space="preserve"> que el cobro de </w:t>
      </w:r>
      <w:r>
        <w:rPr>
          <w:spacing w:val="-10"/>
          <w:sz w:val="18"/>
          <w:szCs w:val="18"/>
          <w:lang w:val="es-ES_tradnl"/>
        </w:rPr>
        <w:t>una tasa por el uso de un espacio a</w:t>
      </w:r>
      <w:r>
        <w:rPr>
          <w:rFonts w:cs="Times New Roman"/>
          <w:spacing w:val="-10"/>
          <w:sz w:val="18"/>
          <w:szCs w:val="18"/>
          <w:lang w:val="es-ES_tradnl"/>
        </w:rPr>
        <w:t>é</w:t>
      </w:r>
      <w:r>
        <w:rPr>
          <w:spacing w:val="-10"/>
          <w:sz w:val="18"/>
          <w:szCs w:val="18"/>
          <w:lang w:val="es-ES_tradnl"/>
        </w:rPr>
        <w:t xml:space="preserve">reo y el subsuelo dentro </w:t>
      </w:r>
      <w:r>
        <w:rPr>
          <w:spacing w:val="-7"/>
          <w:sz w:val="18"/>
          <w:szCs w:val="18"/>
          <w:lang w:val="es-ES_tradnl"/>
        </w:rPr>
        <w:t>del r</w:t>
      </w:r>
      <w:r>
        <w:rPr>
          <w:rFonts w:cs="Times New Roman"/>
          <w:spacing w:val="-7"/>
          <w:sz w:val="18"/>
          <w:szCs w:val="18"/>
          <w:lang w:val="es-ES_tradnl"/>
        </w:rPr>
        <w:t>é</w:t>
      </w:r>
      <w:r>
        <w:rPr>
          <w:spacing w:val="-7"/>
          <w:sz w:val="18"/>
          <w:szCs w:val="18"/>
          <w:lang w:val="es-ES_tradnl"/>
        </w:rPr>
        <w:t xml:space="preserve">gimen de comunicaciones y telecomunicaciones, es de competencia exclusiva del Estado central y no de los </w:t>
      </w:r>
      <w:r>
        <w:rPr>
          <w:spacing w:val="-8"/>
          <w:sz w:val="18"/>
          <w:szCs w:val="18"/>
          <w:lang w:val="es-ES_tradnl"/>
        </w:rPr>
        <w:t>gobiernos aut</w:t>
      </w:r>
      <w:r>
        <w:rPr>
          <w:rFonts w:cs="Times New Roman"/>
          <w:spacing w:val="-8"/>
          <w:sz w:val="18"/>
          <w:szCs w:val="18"/>
          <w:lang w:val="es-ES_tradnl"/>
        </w:rPr>
        <w:t>ó</w:t>
      </w:r>
      <w:r>
        <w:rPr>
          <w:spacing w:val="-8"/>
          <w:sz w:val="18"/>
          <w:szCs w:val="18"/>
          <w:lang w:val="es-ES_tradnl"/>
        </w:rPr>
        <w:t>nomos descentralizados. As</w:t>
      </w:r>
      <w:r>
        <w:rPr>
          <w:rFonts w:cs="Times New Roman"/>
          <w:spacing w:val="-8"/>
          <w:sz w:val="18"/>
          <w:szCs w:val="18"/>
          <w:lang w:val="es-ES_tradnl"/>
        </w:rPr>
        <w:t>í</w:t>
      </w:r>
      <w:r>
        <w:rPr>
          <w:spacing w:val="-8"/>
          <w:sz w:val="18"/>
          <w:szCs w:val="18"/>
          <w:lang w:val="es-ES_tradnl"/>
        </w:rPr>
        <w:t xml:space="preserve"> lo se</w:t>
      </w:r>
      <w:r>
        <w:rPr>
          <w:rFonts w:cs="Times New Roman"/>
          <w:spacing w:val="-8"/>
          <w:sz w:val="18"/>
          <w:szCs w:val="18"/>
          <w:lang w:val="es-ES_tradnl"/>
        </w:rPr>
        <w:t>ñ</w:t>
      </w:r>
      <w:r>
        <w:rPr>
          <w:spacing w:val="-8"/>
          <w:sz w:val="18"/>
          <w:szCs w:val="18"/>
          <w:lang w:val="es-ES_tradnl"/>
        </w:rPr>
        <w:t>al</w:t>
      </w:r>
      <w:r>
        <w:rPr>
          <w:rFonts w:cs="Times New Roman"/>
          <w:spacing w:val="-8"/>
          <w:sz w:val="18"/>
          <w:szCs w:val="18"/>
          <w:lang w:val="es-ES_tradnl"/>
        </w:rPr>
        <w:t>ó</w:t>
      </w:r>
      <w:r>
        <w:rPr>
          <w:spacing w:val="-8"/>
          <w:sz w:val="18"/>
          <w:szCs w:val="18"/>
          <w:lang w:val="es-ES_tradnl"/>
        </w:rPr>
        <w:t xml:space="preserve"> esta </w:t>
      </w:r>
      <w:r>
        <w:rPr>
          <w:sz w:val="18"/>
          <w:szCs w:val="18"/>
          <w:lang w:val="es-ES_tradnl"/>
        </w:rPr>
        <w:t>Corte Constitucional al indicar que:</w:t>
      </w:r>
    </w:p>
    <w:p w14:paraId="4F67A804" w14:textId="77777777" w:rsidR="00591D54" w:rsidRDefault="00591D54">
      <w:pPr>
        <w:shd w:val="clear" w:color="auto" w:fill="FFFFFF"/>
        <w:spacing w:before="206" w:line="211" w:lineRule="exact"/>
        <w:ind w:left="283"/>
        <w:jc w:val="both"/>
      </w:pPr>
      <w:r>
        <w:rPr>
          <w:sz w:val="14"/>
          <w:szCs w:val="14"/>
          <w:lang w:val="es-ES_tradnl"/>
        </w:rPr>
        <w:t>De esta forma, el cobro de la tasa por el uso del espacio a</w:t>
      </w:r>
      <w:r>
        <w:rPr>
          <w:rFonts w:cs="Times New Roman"/>
          <w:sz w:val="14"/>
          <w:szCs w:val="14"/>
          <w:lang w:val="es-ES_tradnl"/>
        </w:rPr>
        <w:t>é</w:t>
      </w:r>
      <w:r>
        <w:rPr>
          <w:sz w:val="14"/>
          <w:szCs w:val="14"/>
          <w:lang w:val="es-ES_tradnl"/>
        </w:rPr>
        <w:t>reo en virtud del r</w:t>
      </w:r>
      <w:r>
        <w:rPr>
          <w:rFonts w:cs="Times New Roman"/>
          <w:sz w:val="14"/>
          <w:szCs w:val="14"/>
          <w:lang w:val="es-ES_tradnl"/>
        </w:rPr>
        <w:t>é</w:t>
      </w:r>
      <w:r>
        <w:rPr>
          <w:sz w:val="14"/>
          <w:szCs w:val="14"/>
          <w:lang w:val="es-ES_tradnl"/>
        </w:rPr>
        <w:t>gimen de comunicaciones y telecomunicaciones es de competencia exclusiva del Estado central, en raz</w:t>
      </w:r>
      <w:r>
        <w:rPr>
          <w:rFonts w:cs="Times New Roman"/>
          <w:sz w:val="14"/>
          <w:szCs w:val="14"/>
          <w:lang w:val="es-ES_tradnl"/>
        </w:rPr>
        <w:t>ó</w:t>
      </w:r>
      <w:r>
        <w:rPr>
          <w:sz w:val="14"/>
          <w:szCs w:val="14"/>
          <w:lang w:val="es-ES_tradnl"/>
        </w:rPr>
        <w:t>n de que la competencia en materia de comunicaciones y telecomunicaciones est</w:t>
      </w:r>
      <w:r>
        <w:rPr>
          <w:rFonts w:cs="Times New Roman"/>
          <w:sz w:val="14"/>
          <w:szCs w:val="14"/>
          <w:lang w:val="es-ES_tradnl"/>
        </w:rPr>
        <w:t>á</w:t>
      </w:r>
      <w:r>
        <w:rPr>
          <w:sz w:val="14"/>
          <w:szCs w:val="14"/>
          <w:lang w:val="es-ES_tradnl"/>
        </w:rPr>
        <w:t xml:space="preserve"> otorgada al Estado central de manera directa por parte de la Constituci</w:t>
      </w:r>
      <w:r>
        <w:rPr>
          <w:rFonts w:cs="Times New Roman"/>
          <w:sz w:val="14"/>
          <w:szCs w:val="14"/>
          <w:lang w:val="es-ES_tradnl"/>
        </w:rPr>
        <w:t>ó</w:t>
      </w:r>
      <w:r>
        <w:rPr>
          <w:sz w:val="14"/>
          <w:szCs w:val="14"/>
          <w:lang w:val="es-ES_tradnl"/>
        </w:rPr>
        <w:t>n de la Rep</w:t>
      </w:r>
      <w:r>
        <w:rPr>
          <w:rFonts w:cs="Times New Roman"/>
          <w:sz w:val="14"/>
          <w:szCs w:val="14"/>
          <w:lang w:val="es-ES_tradnl"/>
        </w:rPr>
        <w:t>ú</w:t>
      </w:r>
      <w:r>
        <w:rPr>
          <w:sz w:val="14"/>
          <w:szCs w:val="14"/>
          <w:lang w:val="es-ES_tradnl"/>
        </w:rPr>
        <w:t>blica del Ecuador</w:t>
      </w:r>
      <w:r>
        <w:rPr>
          <w:sz w:val="14"/>
          <w:szCs w:val="14"/>
          <w:vertAlign w:val="superscript"/>
          <w:lang w:val="es-ES_tradnl"/>
        </w:rPr>
        <w:t>16</w:t>
      </w:r>
      <w:r>
        <w:rPr>
          <w:sz w:val="14"/>
          <w:szCs w:val="14"/>
          <w:lang w:val="es-ES_tradnl"/>
        </w:rPr>
        <w:t>.</w:t>
      </w:r>
    </w:p>
    <w:p w14:paraId="4F67A805" w14:textId="77777777" w:rsidR="00591D54" w:rsidRDefault="00591D54">
      <w:pPr>
        <w:shd w:val="clear" w:color="auto" w:fill="FFFFFF"/>
        <w:spacing w:before="202" w:line="216" w:lineRule="exact"/>
        <w:jc w:val="both"/>
      </w:pPr>
      <w:r>
        <w:rPr>
          <w:spacing w:val="-8"/>
          <w:sz w:val="18"/>
          <w:szCs w:val="18"/>
          <w:lang w:val="es-ES_tradnl"/>
        </w:rPr>
        <w:t>Por tanto, en dichas sentencias se resolvi</w:t>
      </w:r>
      <w:r>
        <w:rPr>
          <w:rFonts w:cs="Times New Roman"/>
          <w:spacing w:val="-8"/>
          <w:sz w:val="18"/>
          <w:szCs w:val="18"/>
          <w:lang w:val="es-ES_tradnl"/>
        </w:rPr>
        <w:t>ó</w:t>
      </w:r>
      <w:r>
        <w:rPr>
          <w:spacing w:val="-8"/>
          <w:sz w:val="18"/>
          <w:szCs w:val="18"/>
          <w:lang w:val="es-ES_tradnl"/>
        </w:rPr>
        <w:t xml:space="preserve"> eliminar de las </w:t>
      </w:r>
      <w:r>
        <w:rPr>
          <w:spacing w:val="-10"/>
          <w:sz w:val="18"/>
          <w:szCs w:val="18"/>
          <w:lang w:val="es-ES_tradnl"/>
        </w:rPr>
        <w:t xml:space="preserve">normas que constan dentro de las ordenanzas, las palabras </w:t>
      </w:r>
      <w:r>
        <w:rPr>
          <w:rFonts w:cs="Times New Roman"/>
          <w:spacing w:val="-2"/>
          <w:sz w:val="18"/>
          <w:szCs w:val="18"/>
          <w:lang w:val="es-ES_tradnl"/>
        </w:rPr>
        <w:t>“</w:t>
      </w:r>
      <w:r>
        <w:rPr>
          <w:spacing w:val="-2"/>
          <w:sz w:val="18"/>
          <w:szCs w:val="18"/>
          <w:lang w:val="es-ES_tradnl"/>
        </w:rPr>
        <w:t>uso de espacio a</w:t>
      </w:r>
      <w:r>
        <w:rPr>
          <w:rFonts w:cs="Times New Roman"/>
          <w:spacing w:val="-2"/>
          <w:sz w:val="18"/>
          <w:szCs w:val="18"/>
          <w:lang w:val="es-ES_tradnl"/>
        </w:rPr>
        <w:t>é</w:t>
      </w:r>
      <w:r>
        <w:rPr>
          <w:spacing w:val="-2"/>
          <w:sz w:val="18"/>
          <w:szCs w:val="18"/>
          <w:lang w:val="es-ES_tradnl"/>
        </w:rPr>
        <w:t>reo</w:t>
      </w:r>
      <w:r>
        <w:rPr>
          <w:rFonts w:cs="Times New Roman"/>
          <w:spacing w:val="-2"/>
          <w:sz w:val="18"/>
          <w:szCs w:val="18"/>
          <w:lang w:val="es-ES_tradnl"/>
        </w:rPr>
        <w:t>”</w:t>
      </w:r>
      <w:r>
        <w:rPr>
          <w:spacing w:val="-2"/>
          <w:sz w:val="18"/>
          <w:szCs w:val="18"/>
          <w:lang w:val="es-ES_tradnl"/>
        </w:rPr>
        <w:t xml:space="preserve"> y </w:t>
      </w:r>
      <w:r>
        <w:rPr>
          <w:rFonts w:cs="Times New Roman"/>
          <w:spacing w:val="-2"/>
          <w:sz w:val="18"/>
          <w:szCs w:val="18"/>
          <w:lang w:val="es-ES_tradnl"/>
        </w:rPr>
        <w:t>“</w:t>
      </w:r>
      <w:r>
        <w:rPr>
          <w:spacing w:val="-2"/>
          <w:sz w:val="18"/>
          <w:szCs w:val="18"/>
          <w:lang w:val="es-ES_tradnl"/>
        </w:rPr>
        <w:t>subsuelo</w:t>
      </w:r>
      <w:r>
        <w:rPr>
          <w:rFonts w:cs="Times New Roman"/>
          <w:spacing w:val="-2"/>
          <w:sz w:val="18"/>
          <w:szCs w:val="18"/>
          <w:lang w:val="es-ES_tradnl"/>
        </w:rPr>
        <w:t>”</w:t>
      </w:r>
      <w:r>
        <w:rPr>
          <w:spacing w:val="-2"/>
          <w:sz w:val="18"/>
          <w:szCs w:val="18"/>
          <w:lang w:val="es-ES_tradnl"/>
        </w:rPr>
        <w:t xml:space="preserve">, entendiendo que </w:t>
      </w:r>
      <w:r>
        <w:rPr>
          <w:spacing w:val="-5"/>
          <w:sz w:val="18"/>
          <w:szCs w:val="18"/>
          <w:lang w:val="es-ES_tradnl"/>
        </w:rPr>
        <w:t xml:space="preserve">las mismas hacen referencia a competencias exclusivas </w:t>
      </w:r>
      <w:r>
        <w:rPr>
          <w:spacing w:val="-6"/>
          <w:sz w:val="18"/>
          <w:szCs w:val="18"/>
          <w:lang w:val="es-ES_tradnl"/>
        </w:rPr>
        <w:t>del Estado central dentro del r</w:t>
      </w:r>
      <w:r>
        <w:rPr>
          <w:rFonts w:cs="Times New Roman"/>
          <w:spacing w:val="-6"/>
          <w:sz w:val="18"/>
          <w:szCs w:val="18"/>
          <w:lang w:val="es-ES_tradnl"/>
        </w:rPr>
        <w:t>é</w:t>
      </w:r>
      <w:r>
        <w:rPr>
          <w:spacing w:val="-6"/>
          <w:sz w:val="18"/>
          <w:szCs w:val="18"/>
          <w:lang w:val="es-ES_tradnl"/>
        </w:rPr>
        <w:t xml:space="preserve">gimen de comunicaciones </w:t>
      </w:r>
      <w:r>
        <w:rPr>
          <w:spacing w:val="-5"/>
          <w:sz w:val="18"/>
          <w:szCs w:val="18"/>
          <w:lang w:val="es-ES_tradnl"/>
        </w:rPr>
        <w:t>y   telecomunicaciones;   circunstancia   por   la   cual   la</w:t>
      </w:r>
    </w:p>
    <w:p w14:paraId="4F67A806" w14:textId="77777777" w:rsidR="00591D54" w:rsidRDefault="00591D54">
      <w:pPr>
        <w:shd w:val="clear" w:color="auto" w:fill="FFFFFF"/>
        <w:spacing w:before="514" w:line="178" w:lineRule="exact"/>
        <w:ind w:left="144" w:hanging="144"/>
      </w:pPr>
      <w:r>
        <w:rPr>
          <w:spacing w:val="-4"/>
          <w:sz w:val="14"/>
          <w:szCs w:val="14"/>
          <w:vertAlign w:val="superscript"/>
          <w:lang w:val="es-ES_tradnl"/>
        </w:rPr>
        <w:t>16</w:t>
      </w:r>
      <w:r>
        <w:rPr>
          <w:spacing w:val="-4"/>
          <w:sz w:val="14"/>
          <w:szCs w:val="14"/>
          <w:lang w:val="es-ES_tradnl"/>
        </w:rPr>
        <w:t xml:space="preserve"> </w:t>
      </w:r>
      <w:r>
        <w:rPr>
          <w:sz w:val="14"/>
          <w:szCs w:val="14"/>
          <w:lang w:val="es-ES_tradnl"/>
        </w:rPr>
        <w:t>Corte Constitucional del Ecuador. Sentencia N.</w:t>
      </w:r>
      <w:r>
        <w:rPr>
          <w:rFonts w:cs="Times New Roman"/>
          <w:sz w:val="14"/>
          <w:szCs w:val="14"/>
          <w:lang w:val="es-ES_tradnl"/>
        </w:rPr>
        <w:t>º</w:t>
      </w:r>
      <w:r>
        <w:rPr>
          <w:sz w:val="14"/>
          <w:szCs w:val="14"/>
          <w:lang w:val="es-ES_tradnl"/>
        </w:rPr>
        <w:t xml:space="preserve"> 008-15-SIN-CC, caso N.</w:t>
      </w:r>
      <w:r>
        <w:rPr>
          <w:rFonts w:cs="Times New Roman"/>
          <w:sz w:val="14"/>
          <w:szCs w:val="14"/>
          <w:lang w:val="es-ES_tradnl"/>
        </w:rPr>
        <w:t>º</w:t>
      </w:r>
      <w:r>
        <w:rPr>
          <w:sz w:val="14"/>
          <w:szCs w:val="14"/>
          <w:lang w:val="es-ES_tradnl"/>
        </w:rPr>
        <w:t xml:space="preserve"> 008-13-IN de 31 de marzo de 2015.</w:t>
      </w:r>
    </w:p>
    <w:p w14:paraId="4F67A807" w14:textId="77777777" w:rsidR="00591D54" w:rsidRDefault="00591D54">
      <w:pPr>
        <w:shd w:val="clear" w:color="auto" w:fill="FFFFFF"/>
        <w:spacing w:before="514" w:line="178" w:lineRule="exact"/>
        <w:ind w:left="144" w:hanging="144"/>
        <w:sectPr w:rsidR="00591D54">
          <w:type w:val="continuous"/>
          <w:pgSz w:w="11909" w:h="16834"/>
          <w:pgMar w:top="1356" w:right="1309" w:bottom="360" w:left="1308" w:header="720" w:footer="720" w:gutter="0"/>
          <w:cols w:num="2" w:space="720" w:equalWidth="0">
            <w:col w:w="4305" w:space="682"/>
            <w:col w:w="4305"/>
          </w:cols>
          <w:noEndnote/>
        </w:sectPr>
      </w:pPr>
    </w:p>
    <w:p w14:paraId="4F67A808" w14:textId="77777777" w:rsidR="00591D54" w:rsidRDefault="00591D54">
      <w:pPr>
        <w:shd w:val="clear" w:color="auto" w:fill="FFFFFF"/>
        <w:tabs>
          <w:tab w:val="left" w:pos="4814"/>
        </w:tabs>
        <w:spacing w:after="230"/>
        <w:ind w:left="5"/>
      </w:pPr>
      <w:r>
        <w:rPr>
          <w:b/>
          <w:bCs/>
          <w:sz w:val="18"/>
          <w:szCs w:val="18"/>
          <w:lang w:val="es-ES_tradnl"/>
        </w:rPr>
        <w:t xml:space="preserve">58 -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809" w14:textId="77777777" w:rsidR="00591D54" w:rsidRDefault="00591D54">
      <w:pPr>
        <w:shd w:val="clear" w:color="auto" w:fill="FFFFFF"/>
        <w:tabs>
          <w:tab w:val="left" w:pos="4814"/>
        </w:tabs>
        <w:spacing w:after="230"/>
        <w:ind w:left="5"/>
        <w:sectPr w:rsidR="00591D54">
          <w:pgSz w:w="11909" w:h="16834"/>
          <w:pgMar w:top="1371" w:right="1309" w:bottom="360" w:left="1308" w:header="720" w:footer="720" w:gutter="0"/>
          <w:cols w:space="60"/>
          <w:noEndnote/>
        </w:sectPr>
      </w:pPr>
    </w:p>
    <w:p w14:paraId="4F67A80A" w14:textId="77777777" w:rsidR="00591D54" w:rsidRDefault="00591D54">
      <w:pPr>
        <w:shd w:val="clear" w:color="auto" w:fill="FFFFFF"/>
        <w:spacing w:before="5" w:line="221" w:lineRule="exact"/>
        <w:jc w:val="both"/>
      </w:pPr>
      <w:r>
        <w:rPr>
          <w:spacing w:val="-4"/>
          <w:sz w:val="18"/>
          <w:szCs w:val="18"/>
          <w:lang w:val="es-ES_tradnl"/>
        </w:rPr>
        <w:t>municipalidad del cant</w:t>
      </w:r>
      <w:r>
        <w:rPr>
          <w:rFonts w:cs="Times New Roman"/>
          <w:spacing w:val="-4"/>
          <w:sz w:val="18"/>
          <w:szCs w:val="18"/>
          <w:lang w:val="es-ES_tradnl"/>
        </w:rPr>
        <w:t>ó</w:t>
      </w:r>
      <w:r>
        <w:rPr>
          <w:spacing w:val="-4"/>
          <w:sz w:val="18"/>
          <w:szCs w:val="18"/>
          <w:lang w:val="es-ES_tradnl"/>
        </w:rPr>
        <w:t>n Tulc</w:t>
      </w:r>
      <w:r>
        <w:rPr>
          <w:rFonts w:cs="Times New Roman"/>
          <w:spacing w:val="-4"/>
          <w:sz w:val="18"/>
          <w:szCs w:val="18"/>
          <w:lang w:val="es-ES_tradnl"/>
        </w:rPr>
        <w:t>á</w:t>
      </w:r>
      <w:r>
        <w:rPr>
          <w:spacing w:val="-4"/>
          <w:sz w:val="18"/>
          <w:szCs w:val="18"/>
          <w:lang w:val="es-ES_tradnl"/>
        </w:rPr>
        <w:t>n deber</w:t>
      </w:r>
      <w:r>
        <w:rPr>
          <w:rFonts w:cs="Times New Roman"/>
          <w:spacing w:val="-4"/>
          <w:sz w:val="18"/>
          <w:szCs w:val="18"/>
          <w:lang w:val="es-ES_tradnl"/>
        </w:rPr>
        <w:t>á</w:t>
      </w:r>
      <w:r>
        <w:rPr>
          <w:spacing w:val="-4"/>
          <w:sz w:val="18"/>
          <w:szCs w:val="18"/>
          <w:lang w:val="es-ES_tradnl"/>
        </w:rPr>
        <w:t xml:space="preserve"> adecuar su </w:t>
      </w:r>
      <w:r>
        <w:rPr>
          <w:spacing w:val="-7"/>
          <w:sz w:val="18"/>
          <w:szCs w:val="18"/>
          <w:lang w:val="es-ES_tradnl"/>
        </w:rPr>
        <w:t>normativa a lo se</w:t>
      </w:r>
      <w:r>
        <w:rPr>
          <w:rFonts w:cs="Times New Roman"/>
          <w:spacing w:val="-7"/>
          <w:sz w:val="18"/>
          <w:szCs w:val="18"/>
          <w:lang w:val="es-ES_tradnl"/>
        </w:rPr>
        <w:t>ñ</w:t>
      </w:r>
      <w:r>
        <w:rPr>
          <w:spacing w:val="-7"/>
          <w:sz w:val="18"/>
          <w:szCs w:val="18"/>
          <w:lang w:val="es-ES_tradnl"/>
        </w:rPr>
        <w:t xml:space="preserve">alado en dichas sentencias, eliminando </w:t>
      </w:r>
      <w:r>
        <w:rPr>
          <w:spacing w:val="-10"/>
          <w:sz w:val="18"/>
          <w:szCs w:val="18"/>
          <w:lang w:val="es-ES_tradnl"/>
        </w:rPr>
        <w:t>el cobro de tasas por el uso del espacio a</w:t>
      </w:r>
      <w:r>
        <w:rPr>
          <w:rFonts w:cs="Times New Roman"/>
          <w:spacing w:val="-10"/>
          <w:sz w:val="18"/>
          <w:szCs w:val="18"/>
          <w:lang w:val="es-ES_tradnl"/>
        </w:rPr>
        <w:t>é</w:t>
      </w:r>
      <w:r>
        <w:rPr>
          <w:spacing w:val="-10"/>
          <w:sz w:val="18"/>
          <w:szCs w:val="18"/>
          <w:lang w:val="es-ES_tradnl"/>
        </w:rPr>
        <w:t xml:space="preserve">reo y el subsuelo, </w:t>
      </w:r>
      <w:r>
        <w:rPr>
          <w:spacing w:val="-9"/>
          <w:sz w:val="18"/>
          <w:szCs w:val="18"/>
          <w:lang w:val="es-ES_tradnl"/>
        </w:rPr>
        <w:t>por no ser materia susceptible de regulaci</w:t>
      </w:r>
      <w:r>
        <w:rPr>
          <w:rFonts w:cs="Times New Roman"/>
          <w:spacing w:val="-9"/>
          <w:sz w:val="18"/>
          <w:szCs w:val="18"/>
          <w:lang w:val="es-ES_tradnl"/>
        </w:rPr>
        <w:t>ó</w:t>
      </w:r>
      <w:r>
        <w:rPr>
          <w:spacing w:val="-9"/>
          <w:sz w:val="18"/>
          <w:szCs w:val="18"/>
          <w:lang w:val="es-ES_tradnl"/>
        </w:rPr>
        <w:t xml:space="preserve">n por aquel nivel </w:t>
      </w:r>
      <w:r>
        <w:rPr>
          <w:sz w:val="18"/>
          <w:szCs w:val="18"/>
          <w:lang w:val="es-ES_tradnl"/>
        </w:rPr>
        <w:t>de gobierno.</w:t>
      </w:r>
    </w:p>
    <w:p w14:paraId="4F67A80B" w14:textId="77777777" w:rsidR="00591D54" w:rsidRDefault="00591D54">
      <w:pPr>
        <w:shd w:val="clear" w:color="auto" w:fill="FFFFFF"/>
        <w:spacing w:before="197"/>
        <w:ind w:right="5"/>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A80C" w14:textId="77777777" w:rsidR="00591D54" w:rsidRDefault="00591D54">
      <w:pPr>
        <w:shd w:val="clear" w:color="auto" w:fill="FFFFFF"/>
        <w:spacing w:before="202" w:line="221" w:lineRule="exact"/>
        <w:ind w:right="5"/>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5"/>
          <w:sz w:val="18"/>
          <w:szCs w:val="18"/>
          <w:lang w:val="es-ES_tradnl"/>
        </w:rPr>
        <w:t>constitucional y por mandato de la Constituci</w:t>
      </w:r>
      <w:r>
        <w:rPr>
          <w:rFonts w:cs="Times New Roman"/>
          <w:spacing w:val="-5"/>
          <w:sz w:val="18"/>
          <w:szCs w:val="18"/>
          <w:lang w:val="es-ES_tradnl"/>
        </w:rPr>
        <w:t>ó</w:t>
      </w:r>
      <w:r>
        <w:rPr>
          <w:spacing w:val="-5"/>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 xml:space="preserve">blica del Ecuador, el Pleno de la Corte Constitucional </w:t>
      </w:r>
      <w:r>
        <w:rPr>
          <w:sz w:val="18"/>
          <w:szCs w:val="18"/>
          <w:lang w:val="es-ES_tradnl"/>
        </w:rPr>
        <w:t>expide la siguiente:</w:t>
      </w:r>
    </w:p>
    <w:p w14:paraId="4F67A80D" w14:textId="77777777" w:rsidR="00591D54" w:rsidRDefault="00591D54">
      <w:pPr>
        <w:shd w:val="clear" w:color="auto" w:fill="FFFFFF"/>
        <w:spacing w:before="197"/>
        <w:ind w:left="5"/>
        <w:jc w:val="center"/>
      </w:pPr>
      <w:r>
        <w:rPr>
          <w:b/>
          <w:bCs/>
          <w:sz w:val="18"/>
          <w:szCs w:val="18"/>
          <w:lang w:val="es-ES_tradnl"/>
        </w:rPr>
        <w:t>SENTENCIA</w:t>
      </w:r>
    </w:p>
    <w:p w14:paraId="4F67A80E" w14:textId="77777777" w:rsidR="00591D54" w:rsidRDefault="00591D54" w:rsidP="00251195">
      <w:pPr>
        <w:numPr>
          <w:ilvl w:val="0"/>
          <w:numId w:val="36"/>
        </w:numPr>
        <w:shd w:val="clear" w:color="auto" w:fill="FFFFFF"/>
        <w:tabs>
          <w:tab w:val="left" w:pos="283"/>
        </w:tabs>
        <w:spacing w:before="197" w:line="221" w:lineRule="exact"/>
        <w:ind w:left="283" w:hanging="283"/>
        <w:jc w:val="both"/>
        <w:rPr>
          <w:spacing w:val="-11"/>
          <w:sz w:val="18"/>
          <w:szCs w:val="18"/>
          <w:lang w:val="es-ES_tradnl"/>
        </w:rPr>
      </w:pPr>
      <w:r>
        <w:rPr>
          <w:spacing w:val="-5"/>
          <w:sz w:val="18"/>
          <w:szCs w:val="18"/>
          <w:lang w:val="es-ES_tradnl"/>
        </w:rPr>
        <w:t>Aceptar la acci</w:t>
      </w:r>
      <w:r>
        <w:rPr>
          <w:rFonts w:cs="Times New Roman"/>
          <w:spacing w:val="-5"/>
          <w:sz w:val="18"/>
          <w:szCs w:val="18"/>
          <w:lang w:val="es-ES_tradnl"/>
        </w:rPr>
        <w:t>ó</w:t>
      </w:r>
      <w:r>
        <w:rPr>
          <w:spacing w:val="-5"/>
          <w:sz w:val="18"/>
          <w:szCs w:val="18"/>
          <w:lang w:val="es-ES_tradnl"/>
        </w:rPr>
        <w:t>n p</w:t>
      </w:r>
      <w:r>
        <w:rPr>
          <w:rFonts w:cs="Times New Roman"/>
          <w:spacing w:val="-5"/>
          <w:sz w:val="18"/>
          <w:szCs w:val="18"/>
          <w:lang w:val="es-ES_tradnl"/>
        </w:rPr>
        <w:t>ú</w:t>
      </w:r>
      <w:r>
        <w:rPr>
          <w:spacing w:val="-5"/>
          <w:sz w:val="18"/>
          <w:szCs w:val="18"/>
          <w:lang w:val="es-ES_tradnl"/>
        </w:rPr>
        <w:t xml:space="preserve">blica de inconstitucionalidad </w:t>
      </w:r>
      <w:r>
        <w:rPr>
          <w:sz w:val="18"/>
          <w:szCs w:val="18"/>
          <w:lang w:val="es-ES_tradnl"/>
        </w:rPr>
        <w:t>presentada.</w:t>
      </w:r>
    </w:p>
    <w:p w14:paraId="4F67A80F" w14:textId="77777777" w:rsidR="00591D54" w:rsidRDefault="00591D54" w:rsidP="00251195">
      <w:pPr>
        <w:numPr>
          <w:ilvl w:val="0"/>
          <w:numId w:val="36"/>
        </w:numPr>
        <w:shd w:val="clear" w:color="auto" w:fill="FFFFFF"/>
        <w:tabs>
          <w:tab w:val="left" w:pos="283"/>
        </w:tabs>
        <w:spacing w:before="197" w:line="221" w:lineRule="exact"/>
        <w:ind w:left="283" w:hanging="283"/>
        <w:jc w:val="both"/>
        <w:rPr>
          <w:spacing w:val="-11"/>
          <w:sz w:val="18"/>
          <w:szCs w:val="18"/>
          <w:lang w:val="es-ES_tradnl"/>
        </w:rPr>
      </w:pPr>
      <w:r>
        <w:rPr>
          <w:spacing w:val="-4"/>
          <w:sz w:val="18"/>
          <w:szCs w:val="18"/>
          <w:lang w:val="es-ES_tradnl"/>
        </w:rPr>
        <w:t>Declarar la inconstitucionalidad del art</w:t>
      </w:r>
      <w:r>
        <w:rPr>
          <w:rFonts w:cs="Times New Roman"/>
          <w:spacing w:val="-4"/>
          <w:sz w:val="18"/>
          <w:szCs w:val="18"/>
          <w:lang w:val="es-ES_tradnl"/>
        </w:rPr>
        <w:t>í</w:t>
      </w:r>
      <w:r>
        <w:rPr>
          <w:spacing w:val="-4"/>
          <w:sz w:val="18"/>
          <w:szCs w:val="18"/>
          <w:lang w:val="es-ES_tradnl"/>
        </w:rPr>
        <w:t xml:space="preserve">culo 18 de la </w:t>
      </w:r>
      <w:r>
        <w:rPr>
          <w:spacing w:val="-5"/>
          <w:sz w:val="18"/>
          <w:szCs w:val="18"/>
          <w:lang w:val="es-ES_tradnl"/>
        </w:rPr>
        <w:t>Ordenanza que regula la utilizaci</w:t>
      </w:r>
      <w:r>
        <w:rPr>
          <w:rFonts w:cs="Times New Roman"/>
          <w:spacing w:val="-5"/>
          <w:sz w:val="18"/>
          <w:szCs w:val="18"/>
          <w:lang w:val="es-ES_tradnl"/>
        </w:rPr>
        <w:t>ó</w:t>
      </w:r>
      <w:r>
        <w:rPr>
          <w:spacing w:val="-5"/>
          <w:sz w:val="18"/>
          <w:szCs w:val="18"/>
          <w:lang w:val="es-ES_tradnl"/>
        </w:rPr>
        <w:t>n u ocupaci</w:t>
      </w:r>
      <w:r>
        <w:rPr>
          <w:rFonts w:cs="Times New Roman"/>
          <w:spacing w:val="-5"/>
          <w:sz w:val="18"/>
          <w:szCs w:val="18"/>
          <w:lang w:val="es-ES_tradnl"/>
        </w:rPr>
        <w:t>ó</w:t>
      </w:r>
      <w:r>
        <w:rPr>
          <w:spacing w:val="-5"/>
          <w:sz w:val="18"/>
          <w:szCs w:val="18"/>
          <w:lang w:val="es-ES_tradnl"/>
        </w:rPr>
        <w:t xml:space="preserve">n del </w:t>
      </w:r>
      <w:r>
        <w:rPr>
          <w:spacing w:val="-6"/>
          <w:sz w:val="18"/>
          <w:szCs w:val="18"/>
          <w:lang w:val="es-ES_tradnl"/>
        </w:rPr>
        <w:t>espacio p</w:t>
      </w:r>
      <w:r>
        <w:rPr>
          <w:rFonts w:cs="Times New Roman"/>
          <w:spacing w:val="-6"/>
          <w:sz w:val="18"/>
          <w:szCs w:val="18"/>
          <w:lang w:val="es-ES_tradnl"/>
        </w:rPr>
        <w:t>ú</w:t>
      </w:r>
      <w:r>
        <w:rPr>
          <w:spacing w:val="-6"/>
          <w:sz w:val="18"/>
          <w:szCs w:val="18"/>
          <w:lang w:val="es-ES_tradnl"/>
        </w:rPr>
        <w:t>blico o la v</w:t>
      </w:r>
      <w:r>
        <w:rPr>
          <w:rFonts w:cs="Times New Roman"/>
          <w:spacing w:val="-6"/>
          <w:sz w:val="18"/>
          <w:szCs w:val="18"/>
          <w:lang w:val="es-ES_tradnl"/>
        </w:rPr>
        <w:t>í</w:t>
      </w:r>
      <w:r>
        <w:rPr>
          <w:spacing w:val="-6"/>
          <w:sz w:val="18"/>
          <w:szCs w:val="18"/>
          <w:lang w:val="es-ES_tradnl"/>
        </w:rPr>
        <w:t>a p</w:t>
      </w:r>
      <w:r>
        <w:rPr>
          <w:rFonts w:cs="Times New Roman"/>
          <w:spacing w:val="-6"/>
          <w:sz w:val="18"/>
          <w:szCs w:val="18"/>
          <w:lang w:val="es-ES_tradnl"/>
        </w:rPr>
        <w:t>ú</w:t>
      </w:r>
      <w:r>
        <w:rPr>
          <w:spacing w:val="-6"/>
          <w:sz w:val="18"/>
          <w:szCs w:val="18"/>
          <w:lang w:val="es-ES_tradnl"/>
        </w:rPr>
        <w:t>blica y el espacio a</w:t>
      </w:r>
      <w:r>
        <w:rPr>
          <w:rFonts w:cs="Times New Roman"/>
          <w:spacing w:val="-6"/>
          <w:sz w:val="18"/>
          <w:szCs w:val="18"/>
          <w:lang w:val="es-ES_tradnl"/>
        </w:rPr>
        <w:t>é</w:t>
      </w:r>
      <w:r>
        <w:rPr>
          <w:spacing w:val="-6"/>
          <w:sz w:val="18"/>
          <w:szCs w:val="18"/>
          <w:lang w:val="es-ES_tradnl"/>
        </w:rPr>
        <w:t>reo municipal, suelo y subsuelo, por la colocaci</w:t>
      </w:r>
      <w:r>
        <w:rPr>
          <w:rFonts w:cs="Times New Roman"/>
          <w:spacing w:val="-6"/>
          <w:sz w:val="18"/>
          <w:szCs w:val="18"/>
          <w:lang w:val="es-ES_tradnl"/>
        </w:rPr>
        <w:t>ó</w:t>
      </w:r>
      <w:r>
        <w:rPr>
          <w:spacing w:val="-6"/>
          <w:sz w:val="18"/>
          <w:szCs w:val="18"/>
          <w:lang w:val="es-ES_tradnl"/>
        </w:rPr>
        <w:t xml:space="preserve">n de estructuras, postes y tendido de redes pertenecientes </w:t>
      </w:r>
      <w:r>
        <w:rPr>
          <w:spacing w:val="-7"/>
          <w:sz w:val="18"/>
          <w:szCs w:val="18"/>
          <w:lang w:val="es-ES_tradnl"/>
        </w:rPr>
        <w:t>a personas naturales o jur</w:t>
      </w:r>
      <w:r>
        <w:rPr>
          <w:rFonts w:cs="Times New Roman"/>
          <w:spacing w:val="-7"/>
          <w:sz w:val="18"/>
          <w:szCs w:val="18"/>
          <w:lang w:val="es-ES_tradnl"/>
        </w:rPr>
        <w:t>í</w:t>
      </w:r>
      <w:r>
        <w:rPr>
          <w:spacing w:val="-7"/>
          <w:sz w:val="18"/>
          <w:szCs w:val="18"/>
          <w:lang w:val="es-ES_tradnl"/>
        </w:rPr>
        <w:t>dicas privadas en el cant</w:t>
      </w:r>
      <w:r>
        <w:rPr>
          <w:rFonts w:cs="Times New Roman"/>
          <w:spacing w:val="-7"/>
          <w:sz w:val="18"/>
          <w:szCs w:val="18"/>
          <w:lang w:val="es-ES_tradnl"/>
        </w:rPr>
        <w:t>ó</w:t>
      </w:r>
      <w:r>
        <w:rPr>
          <w:spacing w:val="-7"/>
          <w:sz w:val="18"/>
          <w:szCs w:val="18"/>
          <w:lang w:val="es-ES_tradnl"/>
        </w:rPr>
        <w:t xml:space="preserve">n </w:t>
      </w:r>
      <w:r>
        <w:rPr>
          <w:spacing w:val="-9"/>
          <w:sz w:val="18"/>
          <w:szCs w:val="18"/>
          <w:lang w:val="es-ES_tradnl"/>
        </w:rPr>
        <w:t>Tulc</w:t>
      </w:r>
      <w:r>
        <w:rPr>
          <w:rFonts w:cs="Times New Roman"/>
          <w:spacing w:val="-9"/>
          <w:sz w:val="18"/>
          <w:szCs w:val="18"/>
          <w:lang w:val="es-ES_tradnl"/>
        </w:rPr>
        <w:t>á</w:t>
      </w:r>
      <w:r>
        <w:rPr>
          <w:spacing w:val="-9"/>
          <w:sz w:val="18"/>
          <w:szCs w:val="18"/>
          <w:lang w:val="es-ES_tradnl"/>
        </w:rPr>
        <w:t xml:space="preserve">n, publicada en el suplemento del Registro Oficial </w:t>
      </w:r>
      <w:r>
        <w:rPr>
          <w:spacing w:val="-6"/>
          <w:sz w:val="18"/>
          <w:szCs w:val="18"/>
          <w:lang w:val="es-ES_tradnl"/>
        </w:rPr>
        <w:t>N.</w:t>
      </w:r>
      <w:r>
        <w:rPr>
          <w:rFonts w:cs="Times New Roman"/>
          <w:spacing w:val="-6"/>
          <w:sz w:val="18"/>
          <w:szCs w:val="18"/>
          <w:lang w:val="es-ES_tradnl"/>
        </w:rPr>
        <w:t>º</w:t>
      </w:r>
      <w:r>
        <w:rPr>
          <w:spacing w:val="-6"/>
          <w:sz w:val="18"/>
          <w:szCs w:val="18"/>
          <w:lang w:val="es-ES_tradnl"/>
        </w:rPr>
        <w:t xml:space="preserve"> 361 del 24 de octubre de 2014, por contravenir el </w:t>
      </w:r>
      <w:r>
        <w:rPr>
          <w:spacing w:val="-5"/>
          <w:sz w:val="18"/>
          <w:szCs w:val="18"/>
          <w:lang w:val="es-ES_tradnl"/>
        </w:rPr>
        <w:t xml:space="preserve">principio constitucional tributario de equidad, previsto </w:t>
      </w:r>
      <w:r>
        <w:rPr>
          <w:spacing w:val="-6"/>
          <w:sz w:val="18"/>
          <w:szCs w:val="18"/>
          <w:lang w:val="es-ES_tradnl"/>
        </w:rPr>
        <w:t>en el art</w:t>
      </w:r>
      <w:r>
        <w:rPr>
          <w:rFonts w:cs="Times New Roman"/>
          <w:spacing w:val="-6"/>
          <w:sz w:val="18"/>
          <w:szCs w:val="18"/>
          <w:lang w:val="es-ES_tradnl"/>
        </w:rPr>
        <w:t>í</w:t>
      </w:r>
      <w:r>
        <w:rPr>
          <w:spacing w:val="-6"/>
          <w:sz w:val="18"/>
          <w:szCs w:val="18"/>
          <w:lang w:val="es-ES_tradnl"/>
        </w:rPr>
        <w:t>culo 300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w:t>
      </w:r>
    </w:p>
    <w:p w14:paraId="4F67A810" w14:textId="77777777" w:rsidR="00591D54" w:rsidRDefault="00591D54" w:rsidP="00251195">
      <w:pPr>
        <w:numPr>
          <w:ilvl w:val="0"/>
          <w:numId w:val="36"/>
        </w:numPr>
        <w:shd w:val="clear" w:color="auto" w:fill="FFFFFF"/>
        <w:tabs>
          <w:tab w:val="left" w:pos="283"/>
        </w:tabs>
        <w:spacing w:before="197" w:line="221" w:lineRule="exact"/>
        <w:ind w:left="283" w:hanging="283"/>
        <w:jc w:val="both"/>
        <w:rPr>
          <w:spacing w:val="-11"/>
          <w:sz w:val="18"/>
          <w:szCs w:val="18"/>
          <w:lang w:val="es-ES_tradnl"/>
        </w:rPr>
      </w:pPr>
      <w:r>
        <w:rPr>
          <w:spacing w:val="-4"/>
          <w:sz w:val="18"/>
          <w:szCs w:val="18"/>
          <w:lang w:val="es-ES_tradnl"/>
        </w:rPr>
        <w:t>Se conmina a la municipalidad del cant</w:t>
      </w:r>
      <w:r>
        <w:rPr>
          <w:rFonts w:cs="Times New Roman"/>
          <w:spacing w:val="-4"/>
          <w:sz w:val="18"/>
          <w:szCs w:val="18"/>
          <w:lang w:val="es-ES_tradnl"/>
        </w:rPr>
        <w:t>ó</w:t>
      </w:r>
      <w:r>
        <w:rPr>
          <w:spacing w:val="-4"/>
          <w:sz w:val="18"/>
          <w:szCs w:val="18"/>
          <w:lang w:val="es-ES_tradnl"/>
        </w:rPr>
        <w:t>n Tulc</w:t>
      </w:r>
      <w:r>
        <w:rPr>
          <w:rFonts w:cs="Times New Roman"/>
          <w:spacing w:val="-4"/>
          <w:sz w:val="18"/>
          <w:szCs w:val="18"/>
          <w:lang w:val="es-ES_tradnl"/>
        </w:rPr>
        <w:t>á</w:t>
      </w:r>
      <w:r>
        <w:rPr>
          <w:spacing w:val="-4"/>
          <w:sz w:val="18"/>
          <w:szCs w:val="18"/>
          <w:lang w:val="es-ES_tradnl"/>
        </w:rPr>
        <w:t xml:space="preserve">n a </w:t>
      </w:r>
      <w:r>
        <w:rPr>
          <w:spacing w:val="-8"/>
          <w:sz w:val="18"/>
          <w:szCs w:val="18"/>
          <w:lang w:val="es-ES_tradnl"/>
        </w:rPr>
        <w:t xml:space="preserve">que, en el marco de sus competencias constitucionales </w:t>
      </w:r>
      <w:r>
        <w:rPr>
          <w:spacing w:val="-6"/>
          <w:sz w:val="18"/>
          <w:szCs w:val="18"/>
          <w:lang w:val="es-ES_tradnl"/>
        </w:rPr>
        <w:t>y dentro de un plazo razonable, adec</w:t>
      </w:r>
      <w:r>
        <w:rPr>
          <w:rFonts w:cs="Times New Roman"/>
          <w:spacing w:val="-6"/>
          <w:sz w:val="18"/>
          <w:szCs w:val="18"/>
          <w:lang w:val="es-ES_tradnl"/>
        </w:rPr>
        <w:t>ú</w:t>
      </w:r>
      <w:r>
        <w:rPr>
          <w:spacing w:val="-6"/>
          <w:sz w:val="18"/>
          <w:szCs w:val="18"/>
          <w:lang w:val="es-ES_tradnl"/>
        </w:rPr>
        <w:t>e las tarifas por el cobro de tasas en la ocupaci</w:t>
      </w:r>
      <w:r>
        <w:rPr>
          <w:rFonts w:cs="Times New Roman"/>
          <w:spacing w:val="-6"/>
          <w:sz w:val="18"/>
          <w:szCs w:val="18"/>
          <w:lang w:val="es-ES_tradnl"/>
        </w:rPr>
        <w:t>ó</w:t>
      </w:r>
      <w:r>
        <w:rPr>
          <w:spacing w:val="-6"/>
          <w:sz w:val="18"/>
          <w:szCs w:val="18"/>
          <w:lang w:val="es-ES_tradnl"/>
        </w:rPr>
        <w:t>n de espacio p</w:t>
      </w:r>
      <w:r>
        <w:rPr>
          <w:rFonts w:cs="Times New Roman"/>
          <w:spacing w:val="-6"/>
          <w:sz w:val="18"/>
          <w:szCs w:val="18"/>
          <w:lang w:val="es-ES_tradnl"/>
        </w:rPr>
        <w:t>ú</w:t>
      </w:r>
      <w:r>
        <w:rPr>
          <w:spacing w:val="-6"/>
          <w:sz w:val="18"/>
          <w:szCs w:val="18"/>
          <w:lang w:val="es-ES_tradnl"/>
        </w:rPr>
        <w:t xml:space="preserve">blico, </w:t>
      </w:r>
      <w:r>
        <w:rPr>
          <w:spacing w:val="-4"/>
          <w:sz w:val="18"/>
          <w:szCs w:val="18"/>
          <w:lang w:val="es-ES_tradnl"/>
        </w:rPr>
        <w:t xml:space="preserve">a los principios constitucionales tributarios previstos </w:t>
      </w:r>
      <w:r>
        <w:rPr>
          <w:spacing w:val="-5"/>
          <w:sz w:val="18"/>
          <w:szCs w:val="18"/>
          <w:lang w:val="es-ES_tradnl"/>
        </w:rPr>
        <w:t>en el art</w:t>
      </w:r>
      <w:r>
        <w:rPr>
          <w:rFonts w:cs="Times New Roman"/>
          <w:spacing w:val="-5"/>
          <w:sz w:val="18"/>
          <w:szCs w:val="18"/>
          <w:lang w:val="es-ES_tradnl"/>
        </w:rPr>
        <w:t>í</w:t>
      </w:r>
      <w:r>
        <w:rPr>
          <w:spacing w:val="-5"/>
          <w:sz w:val="18"/>
          <w:szCs w:val="18"/>
          <w:lang w:val="es-ES_tradnl"/>
        </w:rPr>
        <w:t>culo 300 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 xml:space="preserve">blica, </w:t>
      </w:r>
      <w:r>
        <w:rPr>
          <w:spacing w:val="-8"/>
          <w:sz w:val="18"/>
          <w:szCs w:val="18"/>
          <w:lang w:val="es-ES_tradnl"/>
        </w:rPr>
        <w:t>tomando en consideraci</w:t>
      </w:r>
      <w:r>
        <w:rPr>
          <w:rFonts w:cs="Times New Roman"/>
          <w:spacing w:val="-8"/>
          <w:sz w:val="18"/>
          <w:szCs w:val="18"/>
          <w:lang w:val="es-ES_tradnl"/>
        </w:rPr>
        <w:t>ó</w:t>
      </w:r>
      <w:r>
        <w:rPr>
          <w:spacing w:val="-8"/>
          <w:sz w:val="18"/>
          <w:szCs w:val="18"/>
          <w:lang w:val="es-ES_tradnl"/>
        </w:rPr>
        <w:t xml:space="preserve">n, asimismo, las declaratorias </w:t>
      </w:r>
      <w:r>
        <w:rPr>
          <w:spacing w:val="-6"/>
          <w:sz w:val="18"/>
          <w:szCs w:val="18"/>
          <w:lang w:val="es-ES_tradnl"/>
        </w:rPr>
        <w:t xml:space="preserve">de inconstitucionalidad establecidas por la Corte </w:t>
      </w:r>
      <w:r>
        <w:rPr>
          <w:spacing w:val="-9"/>
          <w:sz w:val="18"/>
          <w:szCs w:val="18"/>
          <w:lang w:val="es-ES_tradnl"/>
        </w:rPr>
        <w:t>Constitucional dentro de las sentencias N.</w:t>
      </w:r>
      <w:r>
        <w:rPr>
          <w:rFonts w:cs="Times New Roman"/>
          <w:spacing w:val="-9"/>
          <w:sz w:val="18"/>
          <w:szCs w:val="18"/>
          <w:lang w:val="es-ES_tradnl"/>
        </w:rPr>
        <w:t>º</w:t>
      </w:r>
      <w:r>
        <w:rPr>
          <w:spacing w:val="-9"/>
          <w:sz w:val="18"/>
          <w:szCs w:val="18"/>
          <w:lang w:val="es-ES_tradnl"/>
        </w:rPr>
        <w:t xml:space="preserve"> 007-15-SIN-</w:t>
      </w:r>
      <w:r>
        <w:rPr>
          <w:spacing w:val="-5"/>
          <w:sz w:val="18"/>
          <w:szCs w:val="18"/>
          <w:lang w:val="es-ES_tradnl"/>
        </w:rPr>
        <w:t>CC y 008-15-SIN-CC de 31 de marzo de 2015; N.</w:t>
      </w:r>
      <w:r>
        <w:rPr>
          <w:rFonts w:cs="Times New Roman"/>
          <w:spacing w:val="-5"/>
          <w:sz w:val="18"/>
          <w:szCs w:val="18"/>
          <w:lang w:val="es-ES_tradnl"/>
        </w:rPr>
        <w:t xml:space="preserve">º </w:t>
      </w:r>
      <w:r>
        <w:rPr>
          <w:spacing w:val="-6"/>
          <w:sz w:val="18"/>
          <w:szCs w:val="18"/>
          <w:lang w:val="es-ES_tradnl"/>
        </w:rPr>
        <w:t xml:space="preserve">025-15-SIN-CC, 026-15-SIN-CC y 027-15-SIN-CC de </w:t>
      </w:r>
      <w:r>
        <w:rPr>
          <w:spacing w:val="-5"/>
          <w:sz w:val="18"/>
          <w:szCs w:val="18"/>
          <w:lang w:val="es-ES_tradnl"/>
        </w:rPr>
        <w:t>22 de julio de 2015; N.</w:t>
      </w:r>
      <w:r>
        <w:rPr>
          <w:rFonts w:cs="Times New Roman"/>
          <w:spacing w:val="-5"/>
          <w:sz w:val="18"/>
          <w:szCs w:val="18"/>
          <w:lang w:val="es-ES_tradnl"/>
        </w:rPr>
        <w:t>º</w:t>
      </w:r>
      <w:r>
        <w:rPr>
          <w:spacing w:val="-5"/>
          <w:sz w:val="18"/>
          <w:szCs w:val="18"/>
          <w:lang w:val="es-ES_tradnl"/>
        </w:rPr>
        <w:t xml:space="preserve"> 028-15-SIN-CC, 029-15-SIN-</w:t>
      </w:r>
      <w:r>
        <w:rPr>
          <w:spacing w:val="-4"/>
          <w:sz w:val="18"/>
          <w:szCs w:val="18"/>
          <w:lang w:val="es-ES_tradnl"/>
        </w:rPr>
        <w:t>CC y 030-15-SIN-CC de 29 de julio de 2015; N.</w:t>
      </w:r>
      <w:r>
        <w:rPr>
          <w:rFonts w:cs="Times New Roman"/>
          <w:spacing w:val="-4"/>
          <w:sz w:val="18"/>
          <w:szCs w:val="18"/>
          <w:lang w:val="es-ES_tradnl"/>
        </w:rPr>
        <w:t xml:space="preserve">º </w:t>
      </w:r>
      <w:r>
        <w:rPr>
          <w:spacing w:val="-7"/>
          <w:sz w:val="18"/>
          <w:szCs w:val="18"/>
          <w:lang w:val="es-ES_tradnl"/>
        </w:rPr>
        <w:t xml:space="preserve">031-15-SIN-CC y 032-15-SIN-CC de 05 de agosto de </w:t>
      </w:r>
      <w:r>
        <w:rPr>
          <w:spacing w:val="-8"/>
          <w:sz w:val="18"/>
          <w:szCs w:val="18"/>
          <w:lang w:val="es-ES_tradnl"/>
        </w:rPr>
        <w:t>2015 y 033-15-SIN-CC de 12 de agosto de 2015.</w:t>
      </w:r>
    </w:p>
    <w:p w14:paraId="4F67A811" w14:textId="77777777" w:rsidR="00591D54" w:rsidRDefault="00591D54" w:rsidP="00251195">
      <w:pPr>
        <w:numPr>
          <w:ilvl w:val="0"/>
          <w:numId w:val="36"/>
        </w:numPr>
        <w:shd w:val="clear" w:color="auto" w:fill="FFFFFF"/>
        <w:tabs>
          <w:tab w:val="left" w:pos="283"/>
        </w:tabs>
        <w:spacing w:before="29" w:line="437" w:lineRule="exact"/>
        <w:rPr>
          <w:spacing w:val="-11"/>
          <w:sz w:val="18"/>
          <w:szCs w:val="18"/>
          <w:lang w:val="es-ES_tradnl"/>
        </w:rPr>
      </w:pPr>
      <w:r>
        <w:rPr>
          <w:spacing w:val="-7"/>
          <w:sz w:val="18"/>
          <w:szCs w:val="18"/>
          <w:lang w:val="es-ES_tradnl"/>
        </w:rPr>
        <w:t>Notif</w:t>
      </w:r>
      <w:r>
        <w:rPr>
          <w:rFonts w:cs="Times New Roman"/>
          <w:spacing w:val="-7"/>
          <w:sz w:val="18"/>
          <w:szCs w:val="18"/>
          <w:lang w:val="es-ES_tradnl"/>
        </w:rPr>
        <w:t>í</w:t>
      </w:r>
      <w:r>
        <w:rPr>
          <w:spacing w:val="-7"/>
          <w:sz w:val="18"/>
          <w:szCs w:val="18"/>
          <w:lang w:val="es-ES_tradnl"/>
        </w:rPr>
        <w:t>quese, publ</w:t>
      </w:r>
      <w:r>
        <w:rPr>
          <w:rFonts w:cs="Times New Roman"/>
          <w:spacing w:val="-7"/>
          <w:sz w:val="18"/>
          <w:szCs w:val="18"/>
          <w:lang w:val="es-ES_tradnl"/>
        </w:rPr>
        <w:t>í</w:t>
      </w:r>
      <w:r>
        <w:rPr>
          <w:spacing w:val="-7"/>
          <w:sz w:val="18"/>
          <w:szCs w:val="18"/>
          <w:lang w:val="es-ES_tradnl"/>
        </w:rPr>
        <w:t>quese y c</w:t>
      </w:r>
      <w:r>
        <w:rPr>
          <w:rFonts w:cs="Times New Roman"/>
          <w:spacing w:val="-7"/>
          <w:sz w:val="18"/>
          <w:szCs w:val="18"/>
          <w:lang w:val="es-ES_tradnl"/>
        </w:rPr>
        <w:t>ú</w:t>
      </w:r>
      <w:r>
        <w:rPr>
          <w:spacing w:val="-7"/>
          <w:sz w:val="18"/>
          <w:szCs w:val="18"/>
          <w:lang w:val="es-ES_tradnl"/>
        </w:rPr>
        <w:t>mplase.</w:t>
      </w:r>
    </w:p>
    <w:p w14:paraId="4F67A812" w14:textId="77777777" w:rsidR="00591D54" w:rsidRDefault="00591D54">
      <w:pPr>
        <w:shd w:val="clear" w:color="auto" w:fill="FFFFFF"/>
        <w:spacing w:line="437" w:lineRule="exact"/>
      </w:pPr>
      <w:r>
        <w:rPr>
          <w:spacing w:val="-4"/>
          <w:sz w:val="18"/>
          <w:szCs w:val="18"/>
          <w:lang w:val="es-ES_tradnl"/>
        </w:rPr>
        <w:t>f.) Patricio Pazmi</w:t>
      </w:r>
      <w:r>
        <w:rPr>
          <w:rFonts w:cs="Times New Roman"/>
          <w:spacing w:val="-4"/>
          <w:sz w:val="18"/>
          <w:szCs w:val="18"/>
          <w:lang w:val="es-ES_tradnl"/>
        </w:rPr>
        <w:t>ñ</w:t>
      </w:r>
      <w:r>
        <w:rPr>
          <w:spacing w:val="-4"/>
          <w:sz w:val="18"/>
          <w:szCs w:val="18"/>
          <w:lang w:val="es-ES_tradnl"/>
        </w:rPr>
        <w:t xml:space="preserve">o Freire, </w:t>
      </w:r>
      <w:r>
        <w:rPr>
          <w:b/>
          <w:bCs/>
          <w:spacing w:val="-4"/>
          <w:sz w:val="18"/>
          <w:szCs w:val="18"/>
          <w:lang w:val="es-ES_tradnl"/>
        </w:rPr>
        <w:t>PRESIDENTE.</w:t>
      </w:r>
    </w:p>
    <w:p w14:paraId="4F67A813" w14:textId="77777777" w:rsidR="00591D54" w:rsidRDefault="00591D54">
      <w:pPr>
        <w:shd w:val="clear" w:color="auto" w:fill="FFFFFF"/>
        <w:spacing w:line="437" w:lineRule="exact"/>
      </w:pPr>
      <w:r>
        <w:rPr>
          <w:spacing w:val="-4"/>
          <w:sz w:val="18"/>
          <w:szCs w:val="18"/>
          <w:lang w:val="es-ES_tradnl"/>
        </w:rPr>
        <w:t xml:space="preserve">f.) Jaime Pozo Chamorro, </w:t>
      </w:r>
      <w:r>
        <w:rPr>
          <w:b/>
          <w:bCs/>
          <w:spacing w:val="-4"/>
          <w:sz w:val="18"/>
          <w:szCs w:val="18"/>
          <w:lang w:val="es-ES_tradnl"/>
        </w:rPr>
        <w:t>SECRETARIO GENERAL.</w:t>
      </w:r>
    </w:p>
    <w:p w14:paraId="4F67A814" w14:textId="77777777" w:rsidR="00591D54" w:rsidRDefault="00591D54">
      <w:pPr>
        <w:shd w:val="clear" w:color="auto" w:fill="FFFFFF"/>
        <w:spacing w:before="158" w:line="221" w:lineRule="exact"/>
        <w:ind w:right="5"/>
        <w:jc w:val="both"/>
      </w:pPr>
      <w:r>
        <w:rPr>
          <w:b/>
          <w:bCs/>
          <w:spacing w:val="-7"/>
          <w:sz w:val="18"/>
          <w:szCs w:val="18"/>
          <w:lang w:val="es-ES_tradnl"/>
        </w:rPr>
        <w:t>Raz</w:t>
      </w:r>
      <w:r>
        <w:rPr>
          <w:rFonts w:cs="Times New Roman"/>
          <w:b/>
          <w:bCs/>
          <w:spacing w:val="-7"/>
          <w:sz w:val="18"/>
          <w:szCs w:val="18"/>
          <w:lang w:val="es-ES_tradnl"/>
        </w:rPr>
        <w:t>ó</w:t>
      </w:r>
      <w:r>
        <w:rPr>
          <w:b/>
          <w:bCs/>
          <w:spacing w:val="-7"/>
          <w:sz w:val="18"/>
          <w:szCs w:val="18"/>
          <w:lang w:val="es-ES_tradnl"/>
        </w:rPr>
        <w:t xml:space="preserve">n: </w:t>
      </w:r>
      <w:r>
        <w:rPr>
          <w:spacing w:val="-7"/>
          <w:sz w:val="18"/>
          <w:szCs w:val="18"/>
          <w:lang w:val="es-ES_tradnl"/>
        </w:rPr>
        <w:t xml:space="preserve">Siento por tal, que la sentencia que antecede fue </w:t>
      </w:r>
      <w:r>
        <w:rPr>
          <w:spacing w:val="-3"/>
          <w:sz w:val="18"/>
          <w:szCs w:val="18"/>
          <w:lang w:val="es-ES_tradnl"/>
        </w:rPr>
        <w:t xml:space="preserve">aprobada por el Pleno de la Corte Constitucional, con </w:t>
      </w:r>
      <w:r>
        <w:rPr>
          <w:spacing w:val="-10"/>
          <w:sz w:val="18"/>
          <w:szCs w:val="18"/>
          <w:lang w:val="es-ES_tradnl"/>
        </w:rPr>
        <w:t>ocho votos de las se</w:t>
      </w:r>
      <w:r>
        <w:rPr>
          <w:rFonts w:cs="Times New Roman"/>
          <w:spacing w:val="-10"/>
          <w:sz w:val="18"/>
          <w:szCs w:val="18"/>
          <w:lang w:val="es-ES_tradnl"/>
        </w:rPr>
        <w:t>ñ</w:t>
      </w:r>
      <w:r>
        <w:rPr>
          <w:spacing w:val="-10"/>
          <w:sz w:val="18"/>
          <w:szCs w:val="18"/>
          <w:lang w:val="es-ES_tradnl"/>
        </w:rPr>
        <w:t>oras juezas y se</w:t>
      </w:r>
      <w:r>
        <w:rPr>
          <w:rFonts w:cs="Times New Roman"/>
          <w:spacing w:val="-10"/>
          <w:sz w:val="18"/>
          <w:szCs w:val="18"/>
          <w:lang w:val="es-ES_tradnl"/>
        </w:rPr>
        <w:t>ñ</w:t>
      </w:r>
      <w:r>
        <w:rPr>
          <w:spacing w:val="-10"/>
          <w:sz w:val="18"/>
          <w:szCs w:val="18"/>
          <w:lang w:val="es-ES_tradnl"/>
        </w:rPr>
        <w:t xml:space="preserve">ores jueces: Antonio </w:t>
      </w:r>
      <w:r>
        <w:rPr>
          <w:spacing w:val="-7"/>
          <w:sz w:val="18"/>
          <w:szCs w:val="18"/>
          <w:lang w:val="es-ES_tradnl"/>
        </w:rPr>
        <w:t>Gagliardo Loor, Marcelo Jaramillo Villa, Mar</w:t>
      </w:r>
      <w:r>
        <w:rPr>
          <w:rFonts w:cs="Times New Roman"/>
          <w:spacing w:val="-7"/>
          <w:sz w:val="18"/>
          <w:szCs w:val="18"/>
          <w:lang w:val="es-ES_tradnl"/>
        </w:rPr>
        <w:t>í</w:t>
      </w:r>
      <w:r>
        <w:rPr>
          <w:spacing w:val="-7"/>
          <w:sz w:val="18"/>
          <w:szCs w:val="18"/>
          <w:lang w:val="es-ES_tradnl"/>
        </w:rPr>
        <w:t xml:space="preserve">a del Carmen </w:t>
      </w:r>
      <w:r>
        <w:rPr>
          <w:spacing w:val="-5"/>
          <w:sz w:val="18"/>
          <w:szCs w:val="18"/>
          <w:lang w:val="es-ES_tradnl"/>
        </w:rPr>
        <w:t>Maldonado S</w:t>
      </w:r>
      <w:r>
        <w:rPr>
          <w:rFonts w:cs="Times New Roman"/>
          <w:spacing w:val="-5"/>
          <w:sz w:val="18"/>
          <w:szCs w:val="18"/>
          <w:lang w:val="es-ES_tradnl"/>
        </w:rPr>
        <w:t>á</w:t>
      </w:r>
      <w:r>
        <w:rPr>
          <w:spacing w:val="-5"/>
          <w:sz w:val="18"/>
          <w:szCs w:val="18"/>
          <w:lang w:val="es-ES_tradnl"/>
        </w:rPr>
        <w:t>nchez, Tatiana Orde</w:t>
      </w:r>
      <w:r>
        <w:rPr>
          <w:rFonts w:cs="Times New Roman"/>
          <w:spacing w:val="-5"/>
          <w:sz w:val="18"/>
          <w:szCs w:val="18"/>
          <w:lang w:val="es-ES_tradnl"/>
        </w:rPr>
        <w:t>ñ</w:t>
      </w:r>
      <w:r>
        <w:rPr>
          <w:spacing w:val="-5"/>
          <w:sz w:val="18"/>
          <w:szCs w:val="18"/>
          <w:lang w:val="es-ES_tradnl"/>
        </w:rPr>
        <w:t xml:space="preserve">ana Sierra, Alfredo </w:t>
      </w:r>
      <w:r>
        <w:rPr>
          <w:spacing w:val="-7"/>
          <w:sz w:val="18"/>
          <w:szCs w:val="18"/>
          <w:lang w:val="es-ES_tradnl"/>
        </w:rPr>
        <w:t>Ruiz Guzm</w:t>
      </w:r>
      <w:r>
        <w:rPr>
          <w:rFonts w:cs="Times New Roman"/>
          <w:spacing w:val="-7"/>
          <w:sz w:val="18"/>
          <w:szCs w:val="18"/>
          <w:lang w:val="es-ES_tradnl"/>
        </w:rPr>
        <w:t>á</w:t>
      </w:r>
      <w:r>
        <w:rPr>
          <w:spacing w:val="-7"/>
          <w:sz w:val="18"/>
          <w:szCs w:val="18"/>
          <w:lang w:val="es-ES_tradnl"/>
        </w:rPr>
        <w:t xml:space="preserve">n, Ruth Seni Pinoargote, Manuel Viteri Olvera </w:t>
      </w:r>
      <w:r>
        <w:rPr>
          <w:spacing w:val="-1"/>
          <w:sz w:val="18"/>
          <w:szCs w:val="18"/>
          <w:lang w:val="es-ES_tradnl"/>
        </w:rPr>
        <w:t>y Patricio Pazmi</w:t>
      </w:r>
      <w:r>
        <w:rPr>
          <w:rFonts w:cs="Times New Roman"/>
          <w:spacing w:val="-1"/>
          <w:sz w:val="18"/>
          <w:szCs w:val="18"/>
          <w:lang w:val="es-ES_tradnl"/>
        </w:rPr>
        <w:t>ñ</w:t>
      </w:r>
      <w:r>
        <w:rPr>
          <w:spacing w:val="-1"/>
          <w:sz w:val="18"/>
          <w:szCs w:val="18"/>
          <w:lang w:val="es-ES_tradnl"/>
        </w:rPr>
        <w:t xml:space="preserve">o Freire, sin contar con la presencia </w:t>
      </w:r>
      <w:r>
        <w:rPr>
          <w:spacing w:val="-7"/>
          <w:sz w:val="18"/>
          <w:szCs w:val="18"/>
          <w:lang w:val="es-ES_tradnl"/>
        </w:rPr>
        <w:t>de la jueza Wendy Molina Andrade, en sesi</w:t>
      </w:r>
      <w:r>
        <w:rPr>
          <w:rFonts w:cs="Times New Roman"/>
          <w:spacing w:val="-7"/>
          <w:sz w:val="18"/>
          <w:szCs w:val="18"/>
          <w:lang w:val="es-ES_tradnl"/>
        </w:rPr>
        <w:t>ó</w:t>
      </w:r>
      <w:r>
        <w:rPr>
          <w:spacing w:val="-7"/>
          <w:sz w:val="18"/>
          <w:szCs w:val="18"/>
          <w:lang w:val="es-ES_tradnl"/>
        </w:rPr>
        <w:t xml:space="preserve">n del 02 de </w:t>
      </w:r>
      <w:r>
        <w:rPr>
          <w:sz w:val="18"/>
          <w:szCs w:val="18"/>
          <w:lang w:val="es-ES_tradnl"/>
        </w:rPr>
        <w:t>septiembre del 2015. Lo certifico.</w:t>
      </w:r>
    </w:p>
    <w:p w14:paraId="4F67A815" w14:textId="77777777" w:rsidR="00591D54" w:rsidRDefault="00591D54">
      <w:pPr>
        <w:shd w:val="clear" w:color="auto" w:fill="FFFFFF"/>
        <w:spacing w:before="197"/>
      </w:pPr>
      <w:r>
        <w:rPr>
          <w:spacing w:val="-4"/>
          <w:sz w:val="18"/>
          <w:szCs w:val="18"/>
          <w:lang w:val="es-ES_tradnl"/>
        </w:rPr>
        <w:t xml:space="preserve">f.) Jaime Pozo Chamorro, </w:t>
      </w:r>
      <w:r>
        <w:rPr>
          <w:b/>
          <w:bCs/>
          <w:spacing w:val="-4"/>
          <w:sz w:val="18"/>
          <w:szCs w:val="18"/>
          <w:lang w:val="es-ES_tradnl"/>
        </w:rPr>
        <w:t>SECRETARIO GENERAL.</w:t>
      </w:r>
    </w:p>
    <w:p w14:paraId="4F67A816" w14:textId="77777777" w:rsidR="00591D54" w:rsidRDefault="00591D54">
      <w:pPr>
        <w:shd w:val="clear" w:color="auto" w:fill="FFFFFF"/>
        <w:spacing w:line="216" w:lineRule="exact"/>
        <w:jc w:val="both"/>
      </w:pPr>
      <w:r>
        <w:br w:type="column"/>
      </w: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A817" w14:textId="77777777" w:rsidR="00591D54" w:rsidRDefault="00591D54">
      <w:pPr>
        <w:shd w:val="clear" w:color="auto" w:fill="FFFFFF"/>
        <w:spacing w:before="192"/>
      </w:pPr>
      <w:r>
        <w:rPr>
          <w:b/>
          <w:bCs/>
          <w:spacing w:val="-4"/>
          <w:sz w:val="18"/>
          <w:szCs w:val="18"/>
          <w:u w:val="single"/>
          <w:lang w:val="es-ES_tradnl"/>
        </w:rPr>
        <w:t>CASO Nro. 0013-15-IN</w:t>
      </w:r>
    </w:p>
    <w:p w14:paraId="4F67A818" w14:textId="77777777" w:rsidR="00591D54" w:rsidRDefault="00591D54">
      <w:pPr>
        <w:shd w:val="clear" w:color="auto" w:fill="FFFFFF"/>
        <w:spacing w:before="192" w:line="216" w:lineRule="exact"/>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w:t>
      </w:r>
      <w:r>
        <w:rPr>
          <w:spacing w:val="-7"/>
          <w:sz w:val="18"/>
          <w:szCs w:val="18"/>
          <w:lang w:val="es-ES_tradnl"/>
        </w:rPr>
        <w:t>suscrita por el Juez Patricio Pazmi</w:t>
      </w:r>
      <w:r>
        <w:rPr>
          <w:rFonts w:cs="Times New Roman"/>
          <w:spacing w:val="-7"/>
          <w:sz w:val="18"/>
          <w:szCs w:val="18"/>
          <w:lang w:val="es-ES_tradnl"/>
        </w:rPr>
        <w:t>ñ</w:t>
      </w:r>
      <w:r>
        <w:rPr>
          <w:spacing w:val="-7"/>
          <w:sz w:val="18"/>
          <w:szCs w:val="18"/>
          <w:lang w:val="es-ES_tradnl"/>
        </w:rPr>
        <w:t xml:space="preserve">o Freire, Presidente de </w:t>
      </w:r>
      <w:r>
        <w:rPr>
          <w:spacing w:val="-5"/>
          <w:sz w:val="18"/>
          <w:szCs w:val="18"/>
          <w:lang w:val="es-ES_tradnl"/>
        </w:rPr>
        <w:t>la Corte Constitucional, el d</w:t>
      </w:r>
      <w:r>
        <w:rPr>
          <w:rFonts w:cs="Times New Roman"/>
          <w:spacing w:val="-5"/>
          <w:sz w:val="18"/>
          <w:szCs w:val="18"/>
          <w:lang w:val="es-ES_tradnl"/>
        </w:rPr>
        <w:t>í</w:t>
      </w:r>
      <w:r>
        <w:rPr>
          <w:spacing w:val="-5"/>
          <w:sz w:val="18"/>
          <w:szCs w:val="18"/>
          <w:lang w:val="es-ES_tradnl"/>
        </w:rPr>
        <w:t xml:space="preserve">a viernes 03 de julio del dos </w:t>
      </w:r>
      <w:r>
        <w:rPr>
          <w:sz w:val="18"/>
          <w:szCs w:val="18"/>
          <w:lang w:val="es-ES_tradnl"/>
        </w:rPr>
        <w:t>mil quince.- Lo certifico.</w:t>
      </w:r>
    </w:p>
    <w:p w14:paraId="4F67A819" w14:textId="77777777" w:rsidR="00591D54" w:rsidRDefault="00591D54">
      <w:pPr>
        <w:shd w:val="clear" w:color="auto" w:fill="FFFFFF"/>
        <w:spacing w:before="192"/>
      </w:pPr>
      <w:r>
        <w:rPr>
          <w:spacing w:val="-7"/>
          <w:sz w:val="18"/>
          <w:szCs w:val="18"/>
          <w:lang w:val="es-ES_tradnl"/>
        </w:rPr>
        <w:t xml:space="preserve">f.) Jaime Pozo Chamorro, </w:t>
      </w:r>
      <w:r>
        <w:rPr>
          <w:b/>
          <w:bCs/>
          <w:spacing w:val="-7"/>
          <w:sz w:val="18"/>
          <w:szCs w:val="18"/>
          <w:lang w:val="es-ES_tradnl"/>
        </w:rPr>
        <w:t>Secretario General.</w:t>
      </w:r>
    </w:p>
    <w:p w14:paraId="4F67A81A" w14:textId="77777777" w:rsidR="00591D54" w:rsidRDefault="00591D54">
      <w:pPr>
        <w:shd w:val="clear" w:color="auto" w:fill="FFFFFF"/>
        <w:spacing w:before="192"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A81B" w14:textId="77777777" w:rsidR="00591D54" w:rsidRDefault="00591D54">
      <w:pPr>
        <w:shd w:val="clear" w:color="auto" w:fill="FFFFFF"/>
        <w:spacing w:before="1152" w:line="437" w:lineRule="exact"/>
      </w:pPr>
      <w:r>
        <w:rPr>
          <w:spacing w:val="-7"/>
          <w:sz w:val="18"/>
          <w:szCs w:val="18"/>
          <w:lang w:val="es-ES_tradnl"/>
        </w:rPr>
        <w:t>Quito, D. M., 2 de septiembre de 2015</w:t>
      </w:r>
    </w:p>
    <w:p w14:paraId="4F67A81C" w14:textId="77777777" w:rsidR="00591D54" w:rsidRDefault="00591D54">
      <w:pPr>
        <w:shd w:val="clear" w:color="auto" w:fill="FFFFFF"/>
        <w:spacing w:line="437" w:lineRule="exact"/>
        <w:ind w:left="864"/>
      </w:pPr>
      <w:r>
        <w:rPr>
          <w:b/>
          <w:bCs/>
          <w:spacing w:val="-2"/>
          <w:sz w:val="18"/>
          <w:szCs w:val="18"/>
          <w:u w:val="single"/>
          <w:lang w:val="es-ES_tradnl"/>
        </w:rPr>
        <w:t>SENTENCIA N.</w:t>
      </w:r>
      <w:r>
        <w:rPr>
          <w:rFonts w:cs="Times New Roman"/>
          <w:b/>
          <w:bCs/>
          <w:spacing w:val="-2"/>
          <w:sz w:val="18"/>
          <w:szCs w:val="18"/>
          <w:u w:val="single"/>
          <w:lang w:val="es-ES_tradnl"/>
        </w:rPr>
        <w:t>º</w:t>
      </w:r>
      <w:r>
        <w:rPr>
          <w:b/>
          <w:bCs/>
          <w:spacing w:val="-2"/>
          <w:sz w:val="18"/>
          <w:szCs w:val="18"/>
          <w:u w:val="single"/>
          <w:lang w:val="es-ES_tradnl"/>
        </w:rPr>
        <w:t xml:space="preserve"> 036-15-SIN-CC</w:t>
      </w:r>
    </w:p>
    <w:p w14:paraId="4F67A81D" w14:textId="77777777" w:rsidR="00591D54" w:rsidRDefault="00591D54">
      <w:pPr>
        <w:shd w:val="clear" w:color="auto" w:fill="FFFFFF"/>
        <w:spacing w:line="437" w:lineRule="exact"/>
        <w:ind w:left="1306"/>
      </w:pPr>
      <w:r>
        <w:rPr>
          <w:b/>
          <w:bCs/>
          <w:spacing w:val="-4"/>
          <w:sz w:val="18"/>
          <w:szCs w:val="18"/>
          <w:u w:val="single"/>
          <w:lang w:val="es-ES_tradnl"/>
        </w:rPr>
        <w:t>CASO N.</w:t>
      </w:r>
      <w:r>
        <w:rPr>
          <w:rFonts w:cs="Times New Roman"/>
          <w:b/>
          <w:bCs/>
          <w:spacing w:val="-4"/>
          <w:sz w:val="18"/>
          <w:szCs w:val="18"/>
          <w:u w:val="single"/>
          <w:lang w:val="es-ES_tradnl"/>
        </w:rPr>
        <w:t>º</w:t>
      </w:r>
      <w:r>
        <w:rPr>
          <w:b/>
          <w:bCs/>
          <w:spacing w:val="-4"/>
          <w:sz w:val="18"/>
          <w:szCs w:val="18"/>
          <w:u w:val="single"/>
          <w:lang w:val="es-ES_tradnl"/>
        </w:rPr>
        <w:t xml:space="preserve"> 0040-14-IN</w:t>
      </w:r>
    </w:p>
    <w:p w14:paraId="4F67A81E" w14:textId="77777777" w:rsidR="00591D54" w:rsidRDefault="00591D54">
      <w:pPr>
        <w:shd w:val="clear" w:color="auto" w:fill="FFFFFF"/>
        <w:spacing w:line="437" w:lineRule="exact"/>
        <w:ind w:left="298"/>
      </w:pPr>
      <w:r>
        <w:rPr>
          <w:b/>
          <w:bCs/>
          <w:sz w:val="18"/>
          <w:szCs w:val="18"/>
          <w:lang w:val="es-ES_tradnl"/>
        </w:rPr>
        <w:t>CORTE CONSTITUCIONAL DEL ECUADOR</w:t>
      </w:r>
    </w:p>
    <w:p w14:paraId="4F67A81F" w14:textId="77777777" w:rsidR="00591D54" w:rsidRDefault="00591D54">
      <w:pPr>
        <w:shd w:val="clear" w:color="auto" w:fill="FFFFFF"/>
        <w:spacing w:line="437" w:lineRule="exact"/>
        <w:ind w:left="1339"/>
      </w:pPr>
      <w:r>
        <w:rPr>
          <w:b/>
          <w:bCs/>
          <w:sz w:val="18"/>
          <w:szCs w:val="18"/>
          <w:lang w:val="es-ES_tradnl"/>
        </w:rPr>
        <w:t>I. ANTECEDENTES</w:t>
      </w:r>
    </w:p>
    <w:p w14:paraId="4F67A820" w14:textId="77777777" w:rsidR="00591D54" w:rsidRDefault="00591D54">
      <w:pPr>
        <w:shd w:val="clear" w:color="auto" w:fill="FFFFFF"/>
        <w:spacing w:line="437" w:lineRule="exact"/>
      </w:pPr>
      <w:r>
        <w:rPr>
          <w:b/>
          <w:bCs/>
          <w:spacing w:val="-9"/>
          <w:sz w:val="18"/>
          <w:szCs w:val="18"/>
          <w:lang w:val="es-ES_tradnl"/>
        </w:rPr>
        <w:t>Resumen de admisibilidad</w:t>
      </w:r>
    </w:p>
    <w:p w14:paraId="4F67A821" w14:textId="77777777" w:rsidR="00591D54" w:rsidRDefault="00591D54">
      <w:pPr>
        <w:shd w:val="clear" w:color="auto" w:fill="FFFFFF"/>
        <w:spacing w:before="163" w:line="221" w:lineRule="exact"/>
        <w:jc w:val="both"/>
      </w:pPr>
      <w:r>
        <w:rPr>
          <w:spacing w:val="-8"/>
          <w:sz w:val="18"/>
          <w:szCs w:val="18"/>
          <w:lang w:val="es-ES_tradnl"/>
        </w:rPr>
        <w:t xml:space="preserve">El 15 de septiembre de 2014, la doctora Andrea Vanesa </w:t>
      </w:r>
      <w:r>
        <w:rPr>
          <w:spacing w:val="-5"/>
          <w:sz w:val="18"/>
          <w:szCs w:val="18"/>
          <w:lang w:val="es-ES_tradnl"/>
        </w:rPr>
        <w:t>Izquierdo Duncan en representaci</w:t>
      </w:r>
      <w:r>
        <w:rPr>
          <w:rFonts w:cs="Times New Roman"/>
          <w:spacing w:val="-5"/>
          <w:sz w:val="18"/>
          <w:szCs w:val="18"/>
          <w:lang w:val="es-ES_tradnl"/>
        </w:rPr>
        <w:t>ó</w:t>
      </w:r>
      <w:r>
        <w:rPr>
          <w:spacing w:val="-5"/>
          <w:sz w:val="18"/>
          <w:szCs w:val="18"/>
          <w:lang w:val="es-ES_tradnl"/>
        </w:rPr>
        <w:t>n de la Secretar</w:t>
      </w:r>
      <w:r>
        <w:rPr>
          <w:rFonts w:cs="Times New Roman"/>
          <w:spacing w:val="-5"/>
          <w:sz w:val="18"/>
          <w:szCs w:val="18"/>
          <w:lang w:val="es-ES_tradnl"/>
        </w:rPr>
        <w:t>í</w:t>
      </w:r>
      <w:r>
        <w:rPr>
          <w:spacing w:val="-5"/>
          <w:sz w:val="18"/>
          <w:szCs w:val="18"/>
          <w:lang w:val="es-ES_tradnl"/>
        </w:rPr>
        <w:t xml:space="preserve">a </w:t>
      </w:r>
      <w:r>
        <w:rPr>
          <w:spacing w:val="-1"/>
          <w:sz w:val="18"/>
          <w:szCs w:val="18"/>
          <w:lang w:val="es-ES_tradnl"/>
        </w:rPr>
        <w:t xml:space="preserve">Nacional de Telecomunicaciones (SENATEL) y del </w:t>
      </w:r>
      <w:r>
        <w:rPr>
          <w:spacing w:val="-6"/>
          <w:sz w:val="18"/>
          <w:szCs w:val="18"/>
          <w:lang w:val="es-ES_tradnl"/>
        </w:rPr>
        <w:t xml:space="preserve">Consejo Nacional de Telecomunicaciones (CONATEL), </w:t>
      </w:r>
      <w:r>
        <w:rPr>
          <w:spacing w:val="-8"/>
          <w:sz w:val="18"/>
          <w:szCs w:val="18"/>
          <w:lang w:val="es-ES_tradnl"/>
        </w:rPr>
        <w:t>presenta la acci</w:t>
      </w:r>
      <w:r>
        <w:rPr>
          <w:rFonts w:cs="Times New Roman"/>
          <w:spacing w:val="-8"/>
          <w:sz w:val="18"/>
          <w:szCs w:val="18"/>
          <w:lang w:val="es-ES_tradnl"/>
        </w:rPr>
        <w:t>ó</w:t>
      </w:r>
      <w:r>
        <w:rPr>
          <w:spacing w:val="-8"/>
          <w:sz w:val="18"/>
          <w:szCs w:val="18"/>
          <w:lang w:val="es-ES_tradnl"/>
        </w:rPr>
        <w:t>n p</w:t>
      </w:r>
      <w:r>
        <w:rPr>
          <w:rFonts w:cs="Times New Roman"/>
          <w:spacing w:val="-8"/>
          <w:sz w:val="18"/>
          <w:szCs w:val="18"/>
          <w:lang w:val="es-ES_tradnl"/>
        </w:rPr>
        <w:t>ú</w:t>
      </w:r>
      <w:r>
        <w:rPr>
          <w:spacing w:val="-8"/>
          <w:sz w:val="18"/>
          <w:szCs w:val="18"/>
          <w:lang w:val="es-ES_tradnl"/>
        </w:rPr>
        <w:t xml:space="preserve">blica de inconstitucionalidad respecto </w:t>
      </w:r>
      <w:r>
        <w:rPr>
          <w:spacing w:val="-6"/>
          <w:sz w:val="18"/>
          <w:szCs w:val="18"/>
          <w:lang w:val="es-ES_tradnl"/>
        </w:rPr>
        <w:t>de los art</w:t>
      </w:r>
      <w:r>
        <w:rPr>
          <w:rFonts w:cs="Times New Roman"/>
          <w:spacing w:val="-6"/>
          <w:sz w:val="18"/>
          <w:szCs w:val="18"/>
          <w:lang w:val="es-ES_tradnl"/>
        </w:rPr>
        <w:t>í</w:t>
      </w:r>
      <w:r>
        <w:rPr>
          <w:spacing w:val="-6"/>
          <w:sz w:val="18"/>
          <w:szCs w:val="18"/>
          <w:lang w:val="es-ES_tradnl"/>
        </w:rPr>
        <w:t>culos 18, disposici</w:t>
      </w:r>
      <w:r>
        <w:rPr>
          <w:rFonts w:cs="Times New Roman"/>
          <w:spacing w:val="-6"/>
          <w:sz w:val="18"/>
          <w:szCs w:val="18"/>
          <w:lang w:val="es-ES_tradnl"/>
        </w:rPr>
        <w:t>ó</w:t>
      </w:r>
      <w:r>
        <w:rPr>
          <w:spacing w:val="-6"/>
          <w:sz w:val="18"/>
          <w:szCs w:val="18"/>
          <w:lang w:val="es-ES_tradnl"/>
        </w:rPr>
        <w:t>n general 4 y la disposici</w:t>
      </w:r>
      <w:r>
        <w:rPr>
          <w:rFonts w:cs="Times New Roman"/>
          <w:spacing w:val="-6"/>
          <w:sz w:val="18"/>
          <w:szCs w:val="18"/>
          <w:lang w:val="es-ES_tradnl"/>
        </w:rPr>
        <w:t>ó</w:t>
      </w:r>
      <w:r>
        <w:rPr>
          <w:spacing w:val="-6"/>
          <w:sz w:val="18"/>
          <w:szCs w:val="18"/>
          <w:lang w:val="es-ES_tradnl"/>
        </w:rPr>
        <w:t xml:space="preserve">n </w:t>
      </w:r>
      <w:r>
        <w:rPr>
          <w:spacing w:val="-3"/>
          <w:sz w:val="18"/>
          <w:szCs w:val="18"/>
          <w:lang w:val="es-ES_tradnl"/>
        </w:rPr>
        <w:t xml:space="preserve">transitoria primera de la </w:t>
      </w:r>
      <w:r>
        <w:rPr>
          <w:rFonts w:cs="Times New Roman"/>
          <w:spacing w:val="-3"/>
          <w:sz w:val="18"/>
          <w:szCs w:val="18"/>
          <w:lang w:val="es-ES_tradnl"/>
        </w:rPr>
        <w:t>“</w:t>
      </w:r>
      <w:r>
        <w:rPr>
          <w:spacing w:val="-3"/>
          <w:sz w:val="18"/>
          <w:szCs w:val="18"/>
          <w:lang w:val="es-ES_tradnl"/>
        </w:rPr>
        <w:t xml:space="preserve">Ordenanza que regula la </w:t>
      </w:r>
      <w:r>
        <w:rPr>
          <w:sz w:val="18"/>
          <w:szCs w:val="18"/>
          <w:lang w:val="es-ES_tradnl"/>
        </w:rPr>
        <w:t>implantaci</w:t>
      </w:r>
      <w:r>
        <w:rPr>
          <w:rFonts w:cs="Times New Roman"/>
          <w:sz w:val="18"/>
          <w:szCs w:val="18"/>
          <w:lang w:val="es-ES_tradnl"/>
        </w:rPr>
        <w:t>ó</w:t>
      </w:r>
      <w:r>
        <w:rPr>
          <w:sz w:val="18"/>
          <w:szCs w:val="18"/>
          <w:lang w:val="es-ES_tradnl"/>
        </w:rPr>
        <w:t>n de estaciones radioel</w:t>
      </w:r>
      <w:r>
        <w:rPr>
          <w:rFonts w:cs="Times New Roman"/>
          <w:sz w:val="18"/>
          <w:szCs w:val="18"/>
          <w:lang w:val="es-ES_tradnl"/>
        </w:rPr>
        <w:t>é</w:t>
      </w:r>
      <w:r>
        <w:rPr>
          <w:sz w:val="18"/>
          <w:szCs w:val="18"/>
          <w:lang w:val="es-ES_tradnl"/>
        </w:rPr>
        <w:t xml:space="preserve">ctricas, centrales </w:t>
      </w:r>
      <w:r>
        <w:rPr>
          <w:spacing w:val="-5"/>
          <w:sz w:val="18"/>
          <w:szCs w:val="18"/>
          <w:lang w:val="es-ES_tradnl"/>
        </w:rPr>
        <w:t>fijas y de base de los servicios m</w:t>
      </w:r>
      <w:r>
        <w:rPr>
          <w:rFonts w:cs="Times New Roman"/>
          <w:spacing w:val="-5"/>
          <w:sz w:val="18"/>
          <w:szCs w:val="18"/>
          <w:lang w:val="es-ES_tradnl"/>
        </w:rPr>
        <w:t>ó</w:t>
      </w:r>
      <w:r>
        <w:rPr>
          <w:spacing w:val="-5"/>
          <w:sz w:val="18"/>
          <w:szCs w:val="18"/>
          <w:lang w:val="es-ES_tradnl"/>
        </w:rPr>
        <w:t xml:space="preserve">vil terrestre de radio </w:t>
      </w:r>
      <w:r>
        <w:rPr>
          <w:spacing w:val="-6"/>
          <w:sz w:val="18"/>
          <w:szCs w:val="18"/>
          <w:lang w:val="es-ES_tradnl"/>
        </w:rPr>
        <w:t>comunicaciones, televisi</w:t>
      </w:r>
      <w:r>
        <w:rPr>
          <w:rFonts w:cs="Times New Roman"/>
          <w:spacing w:val="-6"/>
          <w:sz w:val="18"/>
          <w:szCs w:val="18"/>
          <w:lang w:val="es-ES_tradnl"/>
        </w:rPr>
        <w:t>ó</w:t>
      </w:r>
      <w:r>
        <w:rPr>
          <w:spacing w:val="-6"/>
          <w:sz w:val="18"/>
          <w:szCs w:val="18"/>
          <w:lang w:val="es-ES_tradnl"/>
        </w:rPr>
        <w:t xml:space="preserve">n, y otras comunicaciones de </w:t>
      </w:r>
      <w:r>
        <w:rPr>
          <w:spacing w:val="-7"/>
          <w:sz w:val="18"/>
          <w:szCs w:val="18"/>
          <w:lang w:val="es-ES_tradnl"/>
        </w:rPr>
        <w:t>transmisiones; fijaci</w:t>
      </w:r>
      <w:r>
        <w:rPr>
          <w:rFonts w:cs="Times New Roman"/>
          <w:spacing w:val="-7"/>
          <w:sz w:val="18"/>
          <w:szCs w:val="18"/>
          <w:lang w:val="es-ES_tradnl"/>
        </w:rPr>
        <w:t>ó</w:t>
      </w:r>
      <w:r>
        <w:rPr>
          <w:spacing w:val="-7"/>
          <w:sz w:val="18"/>
          <w:szCs w:val="18"/>
          <w:lang w:val="es-ES_tradnl"/>
        </w:rPr>
        <w:t xml:space="preserve">n de las tasas correspondientes a la </w:t>
      </w:r>
      <w:r>
        <w:rPr>
          <w:spacing w:val="-8"/>
          <w:sz w:val="18"/>
          <w:szCs w:val="18"/>
          <w:lang w:val="es-ES_tradnl"/>
        </w:rPr>
        <w:t>utilizaci</w:t>
      </w:r>
      <w:r>
        <w:rPr>
          <w:rFonts w:cs="Times New Roman"/>
          <w:spacing w:val="-8"/>
          <w:sz w:val="18"/>
          <w:szCs w:val="18"/>
          <w:lang w:val="es-ES_tradnl"/>
        </w:rPr>
        <w:t>ó</w:t>
      </w:r>
      <w:r>
        <w:rPr>
          <w:spacing w:val="-8"/>
          <w:sz w:val="18"/>
          <w:szCs w:val="18"/>
          <w:lang w:val="es-ES_tradnl"/>
        </w:rPr>
        <w:t>n u ocupaci</w:t>
      </w:r>
      <w:r>
        <w:rPr>
          <w:rFonts w:cs="Times New Roman"/>
          <w:spacing w:val="-8"/>
          <w:sz w:val="18"/>
          <w:szCs w:val="18"/>
          <w:lang w:val="es-ES_tradnl"/>
        </w:rPr>
        <w:t>ó</w:t>
      </w:r>
      <w:r>
        <w:rPr>
          <w:spacing w:val="-8"/>
          <w:sz w:val="18"/>
          <w:szCs w:val="18"/>
          <w:lang w:val="es-ES_tradnl"/>
        </w:rPr>
        <w:t>n del espacio a</w:t>
      </w:r>
      <w:r>
        <w:rPr>
          <w:rFonts w:cs="Times New Roman"/>
          <w:spacing w:val="-8"/>
          <w:sz w:val="18"/>
          <w:szCs w:val="18"/>
          <w:lang w:val="es-ES_tradnl"/>
        </w:rPr>
        <w:t>é</w:t>
      </w:r>
      <w:r>
        <w:rPr>
          <w:spacing w:val="-8"/>
          <w:sz w:val="18"/>
          <w:szCs w:val="18"/>
          <w:lang w:val="es-ES_tradnl"/>
        </w:rPr>
        <w:t>reo municipal, uso de la v</w:t>
      </w:r>
      <w:r>
        <w:rPr>
          <w:rFonts w:cs="Times New Roman"/>
          <w:spacing w:val="-8"/>
          <w:sz w:val="18"/>
          <w:szCs w:val="18"/>
          <w:lang w:val="es-ES_tradnl"/>
        </w:rPr>
        <w:t>í</w:t>
      </w:r>
      <w:r>
        <w:rPr>
          <w:spacing w:val="-8"/>
          <w:sz w:val="18"/>
          <w:szCs w:val="18"/>
          <w:lang w:val="es-ES_tradnl"/>
        </w:rPr>
        <w:t>a p</w:t>
      </w:r>
      <w:r>
        <w:rPr>
          <w:rFonts w:cs="Times New Roman"/>
          <w:spacing w:val="-8"/>
          <w:sz w:val="18"/>
          <w:szCs w:val="18"/>
          <w:lang w:val="es-ES_tradnl"/>
        </w:rPr>
        <w:t>ú</w:t>
      </w:r>
      <w:r>
        <w:rPr>
          <w:spacing w:val="-8"/>
          <w:sz w:val="18"/>
          <w:szCs w:val="18"/>
          <w:lang w:val="es-ES_tradnl"/>
        </w:rPr>
        <w:t>blica, suelo y subsuelo en el cant</w:t>
      </w:r>
      <w:r>
        <w:rPr>
          <w:rFonts w:cs="Times New Roman"/>
          <w:spacing w:val="-8"/>
          <w:sz w:val="18"/>
          <w:szCs w:val="18"/>
          <w:lang w:val="es-ES_tradnl"/>
        </w:rPr>
        <w:t>ó</w:t>
      </w:r>
      <w:r>
        <w:rPr>
          <w:spacing w:val="-8"/>
          <w:sz w:val="18"/>
          <w:szCs w:val="18"/>
          <w:lang w:val="es-ES_tradnl"/>
        </w:rPr>
        <w:t>n San Francisco de Puebloviejo</w:t>
      </w:r>
      <w:r>
        <w:rPr>
          <w:rFonts w:cs="Times New Roman"/>
          <w:spacing w:val="-8"/>
          <w:sz w:val="18"/>
          <w:szCs w:val="18"/>
          <w:lang w:val="es-ES_tradnl"/>
        </w:rPr>
        <w:t>”</w:t>
      </w:r>
      <w:r>
        <w:rPr>
          <w:spacing w:val="-8"/>
          <w:sz w:val="18"/>
          <w:szCs w:val="18"/>
          <w:lang w:val="es-ES_tradnl"/>
        </w:rPr>
        <w:t xml:space="preserve"> publicada en el Registro Oficial N.</w:t>
      </w:r>
      <w:r>
        <w:rPr>
          <w:rFonts w:cs="Times New Roman"/>
          <w:spacing w:val="-8"/>
          <w:sz w:val="18"/>
          <w:szCs w:val="18"/>
          <w:lang w:val="es-ES_tradnl"/>
        </w:rPr>
        <w:t>º</w:t>
      </w:r>
      <w:r>
        <w:rPr>
          <w:spacing w:val="-8"/>
          <w:sz w:val="18"/>
          <w:szCs w:val="18"/>
          <w:lang w:val="es-ES_tradnl"/>
        </w:rPr>
        <w:t xml:space="preserve"> 594 del </w:t>
      </w:r>
      <w:r>
        <w:rPr>
          <w:sz w:val="18"/>
          <w:szCs w:val="18"/>
          <w:lang w:val="es-ES_tradnl"/>
        </w:rPr>
        <w:t>12 de diciembre de 2011.</w:t>
      </w:r>
    </w:p>
    <w:p w14:paraId="4F67A822" w14:textId="77777777" w:rsidR="00591D54" w:rsidRDefault="00591D54">
      <w:pPr>
        <w:shd w:val="clear" w:color="auto" w:fill="FFFFFF"/>
        <w:spacing w:before="202" w:line="221" w:lineRule="exact"/>
        <w:jc w:val="both"/>
      </w:pPr>
      <w:r>
        <w:rPr>
          <w:spacing w:val="-7"/>
          <w:sz w:val="18"/>
          <w:szCs w:val="18"/>
          <w:lang w:val="es-ES_tradnl"/>
        </w:rPr>
        <w:t>El 15 de septiembre de 2014, la Secretar</w:t>
      </w:r>
      <w:r>
        <w:rPr>
          <w:rFonts w:cs="Times New Roman"/>
          <w:spacing w:val="-7"/>
          <w:sz w:val="18"/>
          <w:szCs w:val="18"/>
          <w:lang w:val="es-ES_tradnl"/>
        </w:rPr>
        <w:t>í</w:t>
      </w:r>
      <w:r>
        <w:rPr>
          <w:spacing w:val="-7"/>
          <w:sz w:val="18"/>
          <w:szCs w:val="18"/>
          <w:lang w:val="es-ES_tradnl"/>
        </w:rPr>
        <w:t>a General de la Corte Constitucional certific</w:t>
      </w:r>
      <w:r>
        <w:rPr>
          <w:rFonts w:cs="Times New Roman"/>
          <w:spacing w:val="-7"/>
          <w:sz w:val="18"/>
          <w:szCs w:val="18"/>
          <w:lang w:val="es-ES_tradnl"/>
        </w:rPr>
        <w:t>ó</w:t>
      </w:r>
      <w:r>
        <w:rPr>
          <w:spacing w:val="-7"/>
          <w:sz w:val="18"/>
          <w:szCs w:val="18"/>
          <w:lang w:val="es-ES_tradnl"/>
        </w:rPr>
        <w:t xml:space="preserve"> que en referencia a la acci</w:t>
      </w:r>
      <w:r>
        <w:rPr>
          <w:rFonts w:cs="Times New Roman"/>
          <w:spacing w:val="-7"/>
          <w:sz w:val="18"/>
          <w:szCs w:val="18"/>
          <w:lang w:val="es-ES_tradnl"/>
        </w:rPr>
        <w:t>ó</w:t>
      </w:r>
      <w:r>
        <w:rPr>
          <w:spacing w:val="-7"/>
          <w:sz w:val="18"/>
          <w:szCs w:val="18"/>
          <w:lang w:val="es-ES_tradnl"/>
        </w:rPr>
        <w:t xml:space="preserve">n </w:t>
      </w:r>
      <w:r>
        <w:rPr>
          <w:spacing w:val="-9"/>
          <w:sz w:val="18"/>
          <w:szCs w:val="18"/>
          <w:lang w:val="es-ES_tradnl"/>
        </w:rPr>
        <w:t>N.</w:t>
      </w:r>
      <w:r>
        <w:rPr>
          <w:rFonts w:cs="Times New Roman"/>
          <w:spacing w:val="-9"/>
          <w:sz w:val="18"/>
          <w:szCs w:val="18"/>
          <w:lang w:val="es-ES_tradnl"/>
        </w:rPr>
        <w:t>º</w:t>
      </w:r>
      <w:r>
        <w:rPr>
          <w:spacing w:val="-9"/>
          <w:sz w:val="18"/>
          <w:szCs w:val="18"/>
          <w:lang w:val="es-ES_tradnl"/>
        </w:rPr>
        <w:t xml:space="preserve"> 0040-14-IN, no se present</w:t>
      </w:r>
      <w:r>
        <w:rPr>
          <w:rFonts w:cs="Times New Roman"/>
          <w:spacing w:val="-9"/>
          <w:sz w:val="18"/>
          <w:szCs w:val="18"/>
          <w:lang w:val="es-ES_tradnl"/>
        </w:rPr>
        <w:t>ó</w:t>
      </w:r>
      <w:r>
        <w:rPr>
          <w:spacing w:val="-9"/>
          <w:sz w:val="18"/>
          <w:szCs w:val="18"/>
          <w:lang w:val="es-ES_tradnl"/>
        </w:rPr>
        <w:t xml:space="preserve"> otra demanda con identidad </w:t>
      </w:r>
      <w:r>
        <w:rPr>
          <w:sz w:val="18"/>
          <w:szCs w:val="18"/>
          <w:lang w:val="es-ES_tradnl"/>
        </w:rPr>
        <w:t>de objeto y acci</w:t>
      </w:r>
      <w:r>
        <w:rPr>
          <w:rFonts w:cs="Times New Roman"/>
          <w:sz w:val="18"/>
          <w:szCs w:val="18"/>
          <w:lang w:val="es-ES_tradnl"/>
        </w:rPr>
        <w:t>ó</w:t>
      </w:r>
      <w:r>
        <w:rPr>
          <w:sz w:val="18"/>
          <w:szCs w:val="18"/>
          <w:lang w:val="es-ES_tradnl"/>
        </w:rPr>
        <w:t>n.</w:t>
      </w:r>
    </w:p>
    <w:p w14:paraId="4F67A823" w14:textId="77777777" w:rsidR="00591D54" w:rsidRDefault="00591D54">
      <w:pPr>
        <w:shd w:val="clear" w:color="auto" w:fill="FFFFFF"/>
        <w:spacing w:before="197" w:line="221" w:lineRule="exact"/>
        <w:jc w:val="both"/>
      </w:pPr>
      <w:r>
        <w:rPr>
          <w:spacing w:val="-6"/>
          <w:sz w:val="18"/>
          <w:szCs w:val="18"/>
          <w:lang w:val="es-ES_tradnl"/>
        </w:rPr>
        <w:t xml:space="preserve">Mediante auto del 27 de noviembre de 2014, la Sala de </w:t>
      </w:r>
      <w:r>
        <w:rPr>
          <w:spacing w:val="-5"/>
          <w:sz w:val="18"/>
          <w:szCs w:val="18"/>
          <w:lang w:val="es-ES_tradnl"/>
        </w:rPr>
        <w:t>Admisi</w:t>
      </w:r>
      <w:r>
        <w:rPr>
          <w:rFonts w:cs="Times New Roman"/>
          <w:spacing w:val="-5"/>
          <w:sz w:val="18"/>
          <w:szCs w:val="18"/>
          <w:lang w:val="es-ES_tradnl"/>
        </w:rPr>
        <w:t>ó</w:t>
      </w:r>
      <w:r>
        <w:rPr>
          <w:spacing w:val="-5"/>
          <w:sz w:val="18"/>
          <w:szCs w:val="18"/>
          <w:lang w:val="es-ES_tradnl"/>
        </w:rPr>
        <w:t>n de la Corte Constitucional avoc</w:t>
      </w:r>
      <w:r>
        <w:rPr>
          <w:rFonts w:cs="Times New Roman"/>
          <w:spacing w:val="-5"/>
          <w:sz w:val="18"/>
          <w:szCs w:val="18"/>
          <w:lang w:val="es-ES_tradnl"/>
        </w:rPr>
        <w:t>ó</w:t>
      </w:r>
      <w:r>
        <w:rPr>
          <w:spacing w:val="-5"/>
          <w:sz w:val="18"/>
          <w:szCs w:val="18"/>
          <w:lang w:val="es-ES_tradnl"/>
        </w:rPr>
        <w:t xml:space="preserve"> conocimiento </w:t>
      </w:r>
      <w:r>
        <w:rPr>
          <w:spacing w:val="-1"/>
          <w:sz w:val="18"/>
          <w:szCs w:val="18"/>
          <w:lang w:val="es-ES_tradnl"/>
        </w:rPr>
        <w:t>de la causa y la admiti</w:t>
      </w:r>
      <w:r>
        <w:rPr>
          <w:rFonts w:cs="Times New Roman"/>
          <w:spacing w:val="-1"/>
          <w:sz w:val="18"/>
          <w:szCs w:val="18"/>
          <w:lang w:val="es-ES_tradnl"/>
        </w:rPr>
        <w:t>ó</w:t>
      </w:r>
      <w:r>
        <w:rPr>
          <w:spacing w:val="-1"/>
          <w:sz w:val="18"/>
          <w:szCs w:val="18"/>
          <w:lang w:val="es-ES_tradnl"/>
        </w:rPr>
        <w:t xml:space="preserve"> a tr</w:t>
      </w:r>
      <w:r>
        <w:rPr>
          <w:rFonts w:cs="Times New Roman"/>
          <w:spacing w:val="-1"/>
          <w:sz w:val="18"/>
          <w:szCs w:val="18"/>
          <w:lang w:val="es-ES_tradnl"/>
        </w:rPr>
        <w:t>á</w:t>
      </w:r>
      <w:r>
        <w:rPr>
          <w:spacing w:val="-1"/>
          <w:sz w:val="18"/>
          <w:szCs w:val="18"/>
          <w:lang w:val="es-ES_tradnl"/>
        </w:rPr>
        <w:t xml:space="preserve">mite. En igual sentido, </w:t>
      </w:r>
      <w:r>
        <w:rPr>
          <w:spacing w:val="-3"/>
          <w:sz w:val="18"/>
          <w:szCs w:val="18"/>
          <w:lang w:val="es-ES_tradnl"/>
        </w:rPr>
        <w:t xml:space="preserve">dispuso el traslado de dicho auto y de la demanda al </w:t>
      </w:r>
      <w:r>
        <w:rPr>
          <w:spacing w:val="-4"/>
          <w:sz w:val="18"/>
          <w:szCs w:val="18"/>
          <w:lang w:val="es-ES_tradnl"/>
        </w:rPr>
        <w:t>alcalde  y  procurador  s</w:t>
      </w:r>
      <w:r>
        <w:rPr>
          <w:rFonts w:cs="Times New Roman"/>
          <w:spacing w:val="-4"/>
          <w:sz w:val="18"/>
          <w:szCs w:val="18"/>
          <w:lang w:val="es-ES_tradnl"/>
        </w:rPr>
        <w:t>í</w:t>
      </w:r>
      <w:r>
        <w:rPr>
          <w:spacing w:val="-4"/>
          <w:sz w:val="18"/>
          <w:szCs w:val="18"/>
          <w:lang w:val="es-ES_tradnl"/>
        </w:rPr>
        <w:t>ndico  del  Gobierno Aut</w:t>
      </w:r>
      <w:r>
        <w:rPr>
          <w:rFonts w:cs="Times New Roman"/>
          <w:spacing w:val="-4"/>
          <w:sz w:val="18"/>
          <w:szCs w:val="18"/>
          <w:lang w:val="es-ES_tradnl"/>
        </w:rPr>
        <w:t>ó</w:t>
      </w:r>
      <w:r>
        <w:rPr>
          <w:spacing w:val="-4"/>
          <w:sz w:val="18"/>
          <w:szCs w:val="18"/>
          <w:lang w:val="es-ES_tradnl"/>
        </w:rPr>
        <w:t>nomo</w:t>
      </w:r>
    </w:p>
    <w:p w14:paraId="4F67A824" w14:textId="77777777" w:rsidR="00591D54" w:rsidRDefault="00591D54">
      <w:pPr>
        <w:shd w:val="clear" w:color="auto" w:fill="FFFFFF"/>
        <w:spacing w:before="197" w:line="221" w:lineRule="exact"/>
        <w:jc w:val="both"/>
        <w:sectPr w:rsidR="00591D54">
          <w:type w:val="continuous"/>
          <w:pgSz w:w="11909" w:h="16834"/>
          <w:pgMar w:top="1371" w:right="1309" w:bottom="360" w:left="1308" w:header="720" w:footer="720" w:gutter="0"/>
          <w:cols w:num="2" w:space="720" w:equalWidth="0">
            <w:col w:w="4305" w:space="682"/>
            <w:col w:w="4305"/>
          </w:cols>
          <w:noEndnote/>
        </w:sectPr>
      </w:pPr>
    </w:p>
    <w:p w14:paraId="4F67A825" w14:textId="77777777" w:rsidR="00591D54" w:rsidRDefault="00591D54">
      <w:pPr>
        <w:shd w:val="clear" w:color="auto" w:fill="FFFFFF"/>
        <w:tabs>
          <w:tab w:val="left" w:pos="595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- 59</w:t>
      </w:r>
    </w:p>
    <w:p w14:paraId="4F67A826" w14:textId="77777777" w:rsidR="00591D54" w:rsidRDefault="00591D54">
      <w:pPr>
        <w:shd w:val="clear" w:color="auto" w:fill="FFFFFF"/>
        <w:tabs>
          <w:tab w:val="left" w:pos="5952"/>
        </w:tabs>
        <w:spacing w:after="230"/>
        <w:ind w:left="5"/>
        <w:sectPr w:rsidR="00591D54">
          <w:pgSz w:w="11909" w:h="16834"/>
          <w:pgMar w:top="1373" w:right="1309" w:bottom="360" w:left="1308" w:header="720" w:footer="720" w:gutter="0"/>
          <w:cols w:space="60"/>
          <w:noEndnote/>
        </w:sectPr>
      </w:pPr>
    </w:p>
    <w:p w14:paraId="4F67A827" w14:textId="77777777" w:rsidR="00591D54" w:rsidRDefault="00591D54">
      <w:pPr>
        <w:shd w:val="clear" w:color="auto" w:fill="FFFFFF"/>
        <w:spacing w:before="5" w:line="206" w:lineRule="exact"/>
        <w:jc w:val="both"/>
      </w:pPr>
      <w:r>
        <w:rPr>
          <w:spacing w:val="-5"/>
          <w:sz w:val="18"/>
          <w:szCs w:val="18"/>
          <w:lang w:val="es-ES_tradnl"/>
        </w:rPr>
        <w:t>Descentralizado Municipal del cant</w:t>
      </w:r>
      <w:r>
        <w:rPr>
          <w:rFonts w:cs="Times New Roman"/>
          <w:spacing w:val="-5"/>
          <w:sz w:val="18"/>
          <w:szCs w:val="18"/>
          <w:lang w:val="es-ES_tradnl"/>
        </w:rPr>
        <w:t>ó</w:t>
      </w:r>
      <w:r>
        <w:rPr>
          <w:spacing w:val="-5"/>
          <w:sz w:val="18"/>
          <w:szCs w:val="18"/>
          <w:lang w:val="es-ES_tradnl"/>
        </w:rPr>
        <w:t xml:space="preserve">n Puebloviejo y al </w:t>
      </w:r>
      <w:r>
        <w:rPr>
          <w:spacing w:val="-7"/>
          <w:sz w:val="18"/>
          <w:szCs w:val="18"/>
          <w:lang w:val="es-ES_tradnl"/>
        </w:rPr>
        <w:t xml:space="preserve">procurador general del Estado, a fin de que intervenga en </w:t>
      </w:r>
      <w:r>
        <w:rPr>
          <w:spacing w:val="-9"/>
          <w:sz w:val="18"/>
          <w:szCs w:val="18"/>
          <w:lang w:val="es-ES_tradnl"/>
        </w:rPr>
        <w:t>el proceso defendiendo o impugnando la constitucionalidad de las normas demandadas en el t</w:t>
      </w:r>
      <w:r>
        <w:rPr>
          <w:rFonts w:cs="Times New Roman"/>
          <w:spacing w:val="-9"/>
          <w:sz w:val="18"/>
          <w:szCs w:val="18"/>
          <w:lang w:val="es-ES_tradnl"/>
        </w:rPr>
        <w:t>é</w:t>
      </w:r>
      <w:r>
        <w:rPr>
          <w:spacing w:val="-9"/>
          <w:sz w:val="18"/>
          <w:szCs w:val="18"/>
          <w:lang w:val="es-ES_tradnl"/>
        </w:rPr>
        <w:t>rmino de quince d</w:t>
      </w:r>
      <w:r>
        <w:rPr>
          <w:rFonts w:cs="Times New Roman"/>
          <w:spacing w:val="-9"/>
          <w:sz w:val="18"/>
          <w:szCs w:val="18"/>
          <w:lang w:val="es-ES_tradnl"/>
        </w:rPr>
        <w:t>í</w:t>
      </w:r>
      <w:r>
        <w:rPr>
          <w:spacing w:val="-9"/>
          <w:sz w:val="18"/>
          <w:szCs w:val="18"/>
          <w:lang w:val="es-ES_tradnl"/>
        </w:rPr>
        <w:t>as.</w:t>
      </w:r>
    </w:p>
    <w:p w14:paraId="4F67A828" w14:textId="77777777" w:rsidR="00591D54" w:rsidRDefault="00591D54">
      <w:pPr>
        <w:shd w:val="clear" w:color="auto" w:fill="FFFFFF"/>
        <w:spacing w:before="187" w:line="206" w:lineRule="exact"/>
        <w:ind w:right="5"/>
        <w:jc w:val="both"/>
      </w:pPr>
      <w:r>
        <w:rPr>
          <w:spacing w:val="-5"/>
          <w:sz w:val="18"/>
          <w:szCs w:val="18"/>
          <w:lang w:val="es-ES_tradnl"/>
        </w:rPr>
        <w:t xml:space="preserve">De conformidad con el sorteo realizado por el Pleno del </w:t>
      </w:r>
      <w:r>
        <w:rPr>
          <w:spacing w:val="-8"/>
          <w:sz w:val="18"/>
          <w:szCs w:val="18"/>
          <w:lang w:val="es-ES_tradnl"/>
        </w:rPr>
        <w:t>Organismo en sesi</w:t>
      </w:r>
      <w:r>
        <w:rPr>
          <w:rFonts w:cs="Times New Roman"/>
          <w:spacing w:val="-8"/>
          <w:sz w:val="18"/>
          <w:szCs w:val="18"/>
          <w:lang w:val="es-ES_tradnl"/>
        </w:rPr>
        <w:t>ó</w:t>
      </w:r>
      <w:r>
        <w:rPr>
          <w:spacing w:val="-8"/>
          <w:sz w:val="18"/>
          <w:szCs w:val="18"/>
          <w:lang w:val="es-ES_tradnl"/>
        </w:rPr>
        <w:t>n ordinaria del 14 de enero de 20152, correspondi</w:t>
      </w:r>
      <w:r>
        <w:rPr>
          <w:rFonts w:cs="Times New Roman"/>
          <w:spacing w:val="-8"/>
          <w:sz w:val="18"/>
          <w:szCs w:val="18"/>
          <w:lang w:val="es-ES_tradnl"/>
        </w:rPr>
        <w:t>ó</w:t>
      </w:r>
      <w:r>
        <w:rPr>
          <w:spacing w:val="-8"/>
          <w:sz w:val="18"/>
          <w:szCs w:val="18"/>
          <w:lang w:val="es-ES_tradnl"/>
        </w:rPr>
        <w:t xml:space="preserve"> la sustanciaci</w:t>
      </w:r>
      <w:r>
        <w:rPr>
          <w:rFonts w:cs="Times New Roman"/>
          <w:spacing w:val="-8"/>
          <w:sz w:val="18"/>
          <w:szCs w:val="18"/>
          <w:lang w:val="es-ES_tradnl"/>
        </w:rPr>
        <w:t>ó</w:t>
      </w:r>
      <w:r>
        <w:rPr>
          <w:spacing w:val="-8"/>
          <w:sz w:val="18"/>
          <w:szCs w:val="18"/>
          <w:lang w:val="es-ES_tradnl"/>
        </w:rPr>
        <w:t xml:space="preserve">n de la presente causa al juez </w:t>
      </w:r>
      <w:r>
        <w:rPr>
          <w:spacing w:val="-7"/>
          <w:sz w:val="18"/>
          <w:szCs w:val="18"/>
          <w:lang w:val="es-ES_tradnl"/>
        </w:rPr>
        <w:t xml:space="preserve">constitucional Marcelo Jaramillo Villa, quien mediante auto </w:t>
      </w:r>
      <w:r>
        <w:rPr>
          <w:spacing w:val="-5"/>
          <w:sz w:val="18"/>
          <w:szCs w:val="18"/>
          <w:lang w:val="es-ES_tradnl"/>
        </w:rPr>
        <w:t>del 06 de agosto de 2015, avoc</w:t>
      </w:r>
      <w:r>
        <w:rPr>
          <w:rFonts w:cs="Times New Roman"/>
          <w:spacing w:val="-5"/>
          <w:sz w:val="18"/>
          <w:szCs w:val="18"/>
          <w:lang w:val="es-ES_tradnl"/>
        </w:rPr>
        <w:t>ó</w:t>
      </w:r>
      <w:r>
        <w:rPr>
          <w:spacing w:val="-5"/>
          <w:sz w:val="18"/>
          <w:szCs w:val="18"/>
          <w:lang w:val="es-ES_tradnl"/>
        </w:rPr>
        <w:t xml:space="preserve"> conocimiento y dispuso </w:t>
      </w:r>
      <w:r>
        <w:rPr>
          <w:spacing w:val="-6"/>
          <w:sz w:val="18"/>
          <w:szCs w:val="18"/>
          <w:lang w:val="es-ES_tradnl"/>
        </w:rPr>
        <w:t>la notificaci</w:t>
      </w:r>
      <w:r>
        <w:rPr>
          <w:rFonts w:cs="Times New Roman"/>
          <w:spacing w:val="-6"/>
          <w:sz w:val="18"/>
          <w:szCs w:val="18"/>
          <w:lang w:val="es-ES_tradnl"/>
        </w:rPr>
        <w:t>ó</w:t>
      </w:r>
      <w:r>
        <w:rPr>
          <w:spacing w:val="-6"/>
          <w:sz w:val="18"/>
          <w:szCs w:val="18"/>
          <w:lang w:val="es-ES_tradnl"/>
        </w:rPr>
        <w:t>n de la recepci</w:t>
      </w:r>
      <w:r>
        <w:rPr>
          <w:rFonts w:cs="Times New Roman"/>
          <w:spacing w:val="-6"/>
          <w:sz w:val="18"/>
          <w:szCs w:val="18"/>
          <w:lang w:val="es-ES_tradnl"/>
        </w:rPr>
        <w:t>ó</w:t>
      </w:r>
      <w:r>
        <w:rPr>
          <w:spacing w:val="-6"/>
          <w:sz w:val="18"/>
          <w:szCs w:val="18"/>
          <w:lang w:val="es-ES_tradnl"/>
        </w:rPr>
        <w:t xml:space="preserve">n del proceso a las partes </w:t>
      </w:r>
      <w:r>
        <w:rPr>
          <w:sz w:val="18"/>
          <w:szCs w:val="18"/>
          <w:lang w:val="es-ES_tradnl"/>
        </w:rPr>
        <w:t>procesales.</w:t>
      </w:r>
    </w:p>
    <w:p w14:paraId="4F67A829" w14:textId="77777777" w:rsidR="00591D54" w:rsidRDefault="00591D54">
      <w:pPr>
        <w:shd w:val="clear" w:color="auto" w:fill="FFFFFF"/>
        <w:spacing w:before="182"/>
      </w:pPr>
      <w:r>
        <w:rPr>
          <w:b/>
          <w:bCs/>
          <w:spacing w:val="-8"/>
          <w:sz w:val="18"/>
          <w:szCs w:val="18"/>
          <w:lang w:val="es-ES_tradnl"/>
        </w:rPr>
        <w:t>Disposici</w:t>
      </w:r>
      <w:r>
        <w:rPr>
          <w:rFonts w:cs="Times New Roman"/>
          <w:b/>
          <w:bCs/>
          <w:spacing w:val="-8"/>
          <w:sz w:val="18"/>
          <w:szCs w:val="18"/>
          <w:lang w:val="es-ES_tradnl"/>
        </w:rPr>
        <w:t>ó</w:t>
      </w:r>
      <w:r>
        <w:rPr>
          <w:b/>
          <w:bCs/>
          <w:spacing w:val="-8"/>
          <w:sz w:val="18"/>
          <w:szCs w:val="18"/>
          <w:lang w:val="es-ES_tradnl"/>
        </w:rPr>
        <w:t>n jur</w:t>
      </w:r>
      <w:r>
        <w:rPr>
          <w:rFonts w:cs="Times New Roman"/>
          <w:b/>
          <w:bCs/>
          <w:spacing w:val="-8"/>
          <w:sz w:val="18"/>
          <w:szCs w:val="18"/>
          <w:lang w:val="es-ES_tradnl"/>
        </w:rPr>
        <w:t>í</w:t>
      </w:r>
      <w:r>
        <w:rPr>
          <w:b/>
          <w:bCs/>
          <w:spacing w:val="-8"/>
          <w:sz w:val="18"/>
          <w:szCs w:val="18"/>
          <w:lang w:val="es-ES_tradnl"/>
        </w:rPr>
        <w:t>dica impugnada</w:t>
      </w:r>
    </w:p>
    <w:p w14:paraId="4F67A82A" w14:textId="77777777" w:rsidR="00591D54" w:rsidRDefault="00591D54">
      <w:pPr>
        <w:shd w:val="clear" w:color="auto" w:fill="FFFFFF"/>
        <w:spacing w:before="187" w:line="206" w:lineRule="exact"/>
        <w:ind w:right="5"/>
        <w:jc w:val="both"/>
      </w:pPr>
      <w:r>
        <w:rPr>
          <w:sz w:val="18"/>
          <w:szCs w:val="18"/>
          <w:lang w:val="es-ES_tradnl"/>
        </w:rPr>
        <w:t xml:space="preserve">La doctora Andrea Vanesa Izquierdo Duncan </w:t>
      </w:r>
      <w:r>
        <w:rPr>
          <w:spacing w:val="-4"/>
          <w:sz w:val="18"/>
          <w:szCs w:val="18"/>
          <w:lang w:val="es-ES_tradnl"/>
        </w:rPr>
        <w:t>en representaci</w:t>
      </w:r>
      <w:r>
        <w:rPr>
          <w:rFonts w:cs="Times New Roman"/>
          <w:spacing w:val="-4"/>
          <w:sz w:val="18"/>
          <w:szCs w:val="18"/>
          <w:lang w:val="es-ES_tradnl"/>
        </w:rPr>
        <w:t>ó</w:t>
      </w:r>
      <w:r>
        <w:rPr>
          <w:spacing w:val="-4"/>
          <w:sz w:val="18"/>
          <w:szCs w:val="18"/>
          <w:lang w:val="es-ES_tradnl"/>
        </w:rPr>
        <w:t>n de la Secretar</w:t>
      </w:r>
      <w:r>
        <w:rPr>
          <w:rFonts w:cs="Times New Roman"/>
          <w:spacing w:val="-4"/>
          <w:sz w:val="18"/>
          <w:szCs w:val="18"/>
          <w:lang w:val="es-ES_tradnl"/>
        </w:rPr>
        <w:t>í</w:t>
      </w:r>
      <w:r>
        <w:rPr>
          <w:spacing w:val="-4"/>
          <w:sz w:val="18"/>
          <w:szCs w:val="18"/>
          <w:lang w:val="es-ES_tradnl"/>
        </w:rPr>
        <w:t xml:space="preserve">a Nacional de </w:t>
      </w:r>
      <w:r>
        <w:rPr>
          <w:spacing w:val="-6"/>
          <w:sz w:val="18"/>
          <w:szCs w:val="18"/>
          <w:lang w:val="es-ES_tradnl"/>
        </w:rPr>
        <w:t>Telecomunicaciones (SENATEL) y del Consejo Nacional de Telecomunicaciones (CONATEL), mediante acci</w:t>
      </w:r>
      <w:r>
        <w:rPr>
          <w:rFonts w:cs="Times New Roman"/>
          <w:spacing w:val="-6"/>
          <w:sz w:val="18"/>
          <w:szCs w:val="18"/>
          <w:lang w:val="es-ES_tradnl"/>
        </w:rPr>
        <w:t>ó</w:t>
      </w:r>
      <w:r>
        <w:rPr>
          <w:spacing w:val="-6"/>
          <w:sz w:val="18"/>
          <w:szCs w:val="18"/>
          <w:lang w:val="es-ES_tradnl"/>
        </w:rPr>
        <w:t xml:space="preserve">n </w:t>
      </w:r>
      <w:r>
        <w:rPr>
          <w:spacing w:val="-7"/>
          <w:sz w:val="18"/>
          <w:szCs w:val="18"/>
          <w:lang w:val="es-ES_tradnl"/>
        </w:rPr>
        <w:t>p</w:t>
      </w:r>
      <w:r>
        <w:rPr>
          <w:rFonts w:cs="Times New Roman"/>
          <w:spacing w:val="-7"/>
          <w:sz w:val="18"/>
          <w:szCs w:val="18"/>
          <w:lang w:val="es-ES_tradnl"/>
        </w:rPr>
        <w:t>ú</w:t>
      </w:r>
      <w:r>
        <w:rPr>
          <w:spacing w:val="-7"/>
          <w:sz w:val="18"/>
          <w:szCs w:val="18"/>
          <w:lang w:val="es-ES_tradnl"/>
        </w:rPr>
        <w:t xml:space="preserve">blica de inconstitucionalidad de norma presentada el 15 </w:t>
      </w:r>
      <w:r>
        <w:rPr>
          <w:spacing w:val="-6"/>
          <w:sz w:val="18"/>
          <w:szCs w:val="18"/>
          <w:lang w:val="es-ES_tradnl"/>
        </w:rPr>
        <w:t>de septiembre de 2014, solicit</w:t>
      </w:r>
      <w:r>
        <w:rPr>
          <w:rFonts w:cs="Times New Roman"/>
          <w:spacing w:val="-6"/>
          <w:sz w:val="18"/>
          <w:szCs w:val="18"/>
          <w:lang w:val="es-ES_tradnl"/>
        </w:rPr>
        <w:t>ó</w:t>
      </w:r>
      <w:r>
        <w:rPr>
          <w:spacing w:val="-6"/>
          <w:sz w:val="18"/>
          <w:szCs w:val="18"/>
          <w:lang w:val="es-ES_tradnl"/>
        </w:rPr>
        <w:t xml:space="preserve"> a la Corte Constitucional que se declare la inconstitucionalidad de los art</w:t>
      </w:r>
      <w:r>
        <w:rPr>
          <w:rFonts w:cs="Times New Roman"/>
          <w:spacing w:val="-6"/>
          <w:sz w:val="18"/>
          <w:szCs w:val="18"/>
          <w:lang w:val="es-ES_tradnl"/>
        </w:rPr>
        <w:t>í</w:t>
      </w:r>
      <w:r>
        <w:rPr>
          <w:spacing w:val="-6"/>
          <w:sz w:val="18"/>
          <w:szCs w:val="18"/>
          <w:lang w:val="es-ES_tradnl"/>
        </w:rPr>
        <w:t xml:space="preserve">culos 18, </w:t>
      </w:r>
      <w:r>
        <w:rPr>
          <w:spacing w:val="-4"/>
          <w:sz w:val="18"/>
          <w:szCs w:val="18"/>
          <w:lang w:val="es-ES_tradnl"/>
        </w:rPr>
        <w:t>disposici</w:t>
      </w:r>
      <w:r>
        <w:rPr>
          <w:rFonts w:cs="Times New Roman"/>
          <w:spacing w:val="-4"/>
          <w:sz w:val="18"/>
          <w:szCs w:val="18"/>
          <w:lang w:val="es-ES_tradnl"/>
        </w:rPr>
        <w:t>ó</w:t>
      </w:r>
      <w:r>
        <w:rPr>
          <w:spacing w:val="-4"/>
          <w:sz w:val="18"/>
          <w:szCs w:val="18"/>
          <w:lang w:val="es-ES_tradnl"/>
        </w:rPr>
        <w:t>n general 4 y la disposici</w:t>
      </w:r>
      <w:r>
        <w:rPr>
          <w:rFonts w:cs="Times New Roman"/>
          <w:spacing w:val="-4"/>
          <w:sz w:val="18"/>
          <w:szCs w:val="18"/>
          <w:lang w:val="es-ES_tradnl"/>
        </w:rPr>
        <w:t>ó</w:t>
      </w:r>
      <w:r>
        <w:rPr>
          <w:spacing w:val="-4"/>
          <w:sz w:val="18"/>
          <w:szCs w:val="18"/>
          <w:lang w:val="es-ES_tradnl"/>
        </w:rPr>
        <w:t xml:space="preserve">n transitoria primera </w:t>
      </w:r>
      <w:r>
        <w:rPr>
          <w:spacing w:val="-8"/>
          <w:sz w:val="18"/>
          <w:szCs w:val="18"/>
          <w:lang w:val="es-ES_tradnl"/>
        </w:rPr>
        <w:t xml:space="preserve">de la </w:t>
      </w:r>
      <w:r>
        <w:rPr>
          <w:rFonts w:cs="Times New Roman"/>
          <w:spacing w:val="-8"/>
          <w:sz w:val="18"/>
          <w:szCs w:val="18"/>
          <w:lang w:val="es-ES_tradnl"/>
        </w:rPr>
        <w:t>“</w:t>
      </w:r>
      <w:r>
        <w:rPr>
          <w:spacing w:val="-8"/>
          <w:sz w:val="18"/>
          <w:szCs w:val="18"/>
          <w:lang w:val="es-ES_tradnl"/>
        </w:rPr>
        <w:t>Ordenanza que regula la implantaci</w:t>
      </w:r>
      <w:r>
        <w:rPr>
          <w:rFonts w:cs="Times New Roman"/>
          <w:spacing w:val="-8"/>
          <w:sz w:val="18"/>
          <w:szCs w:val="18"/>
          <w:lang w:val="es-ES_tradnl"/>
        </w:rPr>
        <w:t>ó</w:t>
      </w:r>
      <w:r>
        <w:rPr>
          <w:spacing w:val="-8"/>
          <w:sz w:val="18"/>
          <w:szCs w:val="18"/>
          <w:lang w:val="es-ES_tradnl"/>
        </w:rPr>
        <w:t xml:space="preserve">n de estaciones </w:t>
      </w:r>
      <w:r>
        <w:rPr>
          <w:spacing w:val="-6"/>
          <w:sz w:val="18"/>
          <w:szCs w:val="18"/>
          <w:lang w:val="es-ES_tradnl"/>
        </w:rPr>
        <w:t>radioel</w:t>
      </w:r>
      <w:r>
        <w:rPr>
          <w:rFonts w:cs="Times New Roman"/>
          <w:spacing w:val="-6"/>
          <w:sz w:val="18"/>
          <w:szCs w:val="18"/>
          <w:lang w:val="es-ES_tradnl"/>
        </w:rPr>
        <w:t>é</w:t>
      </w:r>
      <w:r>
        <w:rPr>
          <w:spacing w:val="-6"/>
          <w:sz w:val="18"/>
          <w:szCs w:val="18"/>
          <w:lang w:val="es-ES_tradnl"/>
        </w:rPr>
        <w:t>ctricas, centrales fijas y de base de los servicios m</w:t>
      </w:r>
      <w:r>
        <w:rPr>
          <w:rFonts w:cs="Times New Roman"/>
          <w:spacing w:val="-6"/>
          <w:sz w:val="18"/>
          <w:szCs w:val="18"/>
          <w:lang w:val="es-ES_tradnl"/>
        </w:rPr>
        <w:t>ó</w:t>
      </w:r>
      <w:r>
        <w:rPr>
          <w:spacing w:val="-6"/>
          <w:sz w:val="18"/>
          <w:szCs w:val="18"/>
          <w:lang w:val="es-ES_tradnl"/>
        </w:rPr>
        <w:t>vil terrestre de radio comunicaciones, televisi</w:t>
      </w:r>
      <w:r>
        <w:rPr>
          <w:rFonts w:cs="Times New Roman"/>
          <w:spacing w:val="-6"/>
          <w:sz w:val="18"/>
          <w:szCs w:val="18"/>
          <w:lang w:val="es-ES_tradnl"/>
        </w:rPr>
        <w:t>ó</w:t>
      </w:r>
      <w:r>
        <w:rPr>
          <w:spacing w:val="-6"/>
          <w:sz w:val="18"/>
          <w:szCs w:val="18"/>
          <w:lang w:val="es-ES_tradnl"/>
        </w:rPr>
        <w:t xml:space="preserve">n y otras </w:t>
      </w:r>
      <w:r>
        <w:rPr>
          <w:spacing w:val="-7"/>
          <w:sz w:val="18"/>
          <w:szCs w:val="18"/>
          <w:lang w:val="es-ES_tradnl"/>
        </w:rPr>
        <w:t>comunicaciones de transmisiones; fijaci</w:t>
      </w:r>
      <w:r>
        <w:rPr>
          <w:rFonts w:cs="Times New Roman"/>
          <w:spacing w:val="-7"/>
          <w:sz w:val="18"/>
          <w:szCs w:val="18"/>
          <w:lang w:val="es-ES_tradnl"/>
        </w:rPr>
        <w:t>ó</w:t>
      </w:r>
      <w:r>
        <w:rPr>
          <w:spacing w:val="-7"/>
          <w:sz w:val="18"/>
          <w:szCs w:val="18"/>
          <w:lang w:val="es-ES_tradnl"/>
        </w:rPr>
        <w:t xml:space="preserve">n de las tasas </w:t>
      </w:r>
      <w:r>
        <w:rPr>
          <w:spacing w:val="-6"/>
          <w:sz w:val="18"/>
          <w:szCs w:val="18"/>
          <w:lang w:val="es-ES_tradnl"/>
        </w:rPr>
        <w:t>correspondientes a la utilizaci</w:t>
      </w:r>
      <w:r>
        <w:rPr>
          <w:rFonts w:cs="Times New Roman"/>
          <w:spacing w:val="-6"/>
          <w:sz w:val="18"/>
          <w:szCs w:val="18"/>
          <w:lang w:val="es-ES_tradnl"/>
        </w:rPr>
        <w:t>ó</w:t>
      </w:r>
      <w:r>
        <w:rPr>
          <w:spacing w:val="-6"/>
          <w:sz w:val="18"/>
          <w:szCs w:val="18"/>
          <w:lang w:val="es-ES_tradnl"/>
        </w:rPr>
        <w:t>n u ocupaci</w:t>
      </w:r>
      <w:r>
        <w:rPr>
          <w:rFonts w:cs="Times New Roman"/>
          <w:spacing w:val="-6"/>
          <w:sz w:val="18"/>
          <w:szCs w:val="18"/>
          <w:lang w:val="es-ES_tradnl"/>
        </w:rPr>
        <w:t>ó</w:t>
      </w:r>
      <w:r>
        <w:rPr>
          <w:spacing w:val="-6"/>
          <w:sz w:val="18"/>
          <w:szCs w:val="18"/>
          <w:lang w:val="es-ES_tradnl"/>
        </w:rPr>
        <w:t xml:space="preserve">n del espacio </w:t>
      </w:r>
      <w:r>
        <w:rPr>
          <w:spacing w:val="-8"/>
          <w:sz w:val="18"/>
          <w:szCs w:val="18"/>
          <w:lang w:val="es-ES_tradnl"/>
        </w:rPr>
        <w:t>a</w:t>
      </w:r>
      <w:r>
        <w:rPr>
          <w:rFonts w:cs="Times New Roman"/>
          <w:spacing w:val="-8"/>
          <w:sz w:val="18"/>
          <w:szCs w:val="18"/>
          <w:lang w:val="es-ES_tradnl"/>
        </w:rPr>
        <w:t>é</w:t>
      </w:r>
      <w:r>
        <w:rPr>
          <w:spacing w:val="-8"/>
          <w:sz w:val="18"/>
          <w:szCs w:val="18"/>
          <w:lang w:val="es-ES_tradnl"/>
        </w:rPr>
        <w:t>reo municipal, uso de la v</w:t>
      </w:r>
      <w:r>
        <w:rPr>
          <w:rFonts w:cs="Times New Roman"/>
          <w:spacing w:val="-8"/>
          <w:sz w:val="18"/>
          <w:szCs w:val="18"/>
          <w:lang w:val="es-ES_tradnl"/>
        </w:rPr>
        <w:t>í</w:t>
      </w:r>
      <w:r>
        <w:rPr>
          <w:spacing w:val="-8"/>
          <w:sz w:val="18"/>
          <w:szCs w:val="18"/>
          <w:lang w:val="es-ES_tradnl"/>
        </w:rPr>
        <w:t>a p</w:t>
      </w:r>
      <w:r>
        <w:rPr>
          <w:rFonts w:cs="Times New Roman"/>
          <w:spacing w:val="-8"/>
          <w:sz w:val="18"/>
          <w:szCs w:val="18"/>
          <w:lang w:val="es-ES_tradnl"/>
        </w:rPr>
        <w:t>ú</w:t>
      </w:r>
      <w:r>
        <w:rPr>
          <w:spacing w:val="-8"/>
          <w:sz w:val="18"/>
          <w:szCs w:val="18"/>
          <w:lang w:val="es-ES_tradnl"/>
        </w:rPr>
        <w:t xml:space="preserve">blica, suelo y subsuelo en </w:t>
      </w:r>
      <w:r>
        <w:rPr>
          <w:spacing w:val="-5"/>
          <w:sz w:val="18"/>
          <w:szCs w:val="18"/>
          <w:lang w:val="es-ES_tradnl"/>
        </w:rPr>
        <w:t>el cant</w:t>
      </w:r>
      <w:r>
        <w:rPr>
          <w:rFonts w:cs="Times New Roman"/>
          <w:spacing w:val="-5"/>
          <w:sz w:val="18"/>
          <w:szCs w:val="18"/>
          <w:lang w:val="es-ES_tradnl"/>
        </w:rPr>
        <w:t>ó</w:t>
      </w:r>
      <w:r>
        <w:rPr>
          <w:spacing w:val="-5"/>
          <w:sz w:val="18"/>
          <w:szCs w:val="18"/>
          <w:lang w:val="es-ES_tradnl"/>
        </w:rPr>
        <w:t>n San Francisco de Puebloviejo</w:t>
      </w:r>
      <w:r>
        <w:rPr>
          <w:rFonts w:cs="Times New Roman"/>
          <w:spacing w:val="-5"/>
          <w:sz w:val="18"/>
          <w:szCs w:val="18"/>
          <w:lang w:val="es-ES_tradnl"/>
        </w:rPr>
        <w:t>”</w:t>
      </w:r>
      <w:r>
        <w:rPr>
          <w:spacing w:val="-5"/>
          <w:sz w:val="18"/>
          <w:szCs w:val="18"/>
          <w:lang w:val="es-ES_tradnl"/>
        </w:rPr>
        <w:t xml:space="preserve"> publicada en el </w:t>
      </w:r>
      <w:r>
        <w:rPr>
          <w:spacing w:val="-7"/>
          <w:sz w:val="18"/>
          <w:szCs w:val="18"/>
          <w:lang w:val="es-ES_tradnl"/>
        </w:rPr>
        <w:t>Registro Oficial N.</w:t>
      </w:r>
      <w:r>
        <w:rPr>
          <w:rFonts w:cs="Times New Roman"/>
          <w:spacing w:val="-7"/>
          <w:sz w:val="18"/>
          <w:szCs w:val="18"/>
          <w:lang w:val="es-ES_tradnl"/>
        </w:rPr>
        <w:t>º</w:t>
      </w:r>
      <w:r>
        <w:rPr>
          <w:spacing w:val="-7"/>
          <w:sz w:val="18"/>
          <w:szCs w:val="18"/>
          <w:lang w:val="es-ES_tradnl"/>
        </w:rPr>
        <w:t xml:space="preserve"> 594 del 12 de diciembre de 2011, que </w:t>
      </w:r>
      <w:r>
        <w:rPr>
          <w:sz w:val="18"/>
          <w:szCs w:val="18"/>
          <w:lang w:val="es-ES_tradnl"/>
        </w:rPr>
        <w:t>se</w:t>
      </w:r>
      <w:r>
        <w:rPr>
          <w:rFonts w:cs="Times New Roman"/>
          <w:sz w:val="18"/>
          <w:szCs w:val="18"/>
          <w:lang w:val="es-ES_tradnl"/>
        </w:rPr>
        <w:t>ñ</w:t>
      </w:r>
      <w:r>
        <w:rPr>
          <w:sz w:val="18"/>
          <w:szCs w:val="18"/>
          <w:lang w:val="es-ES_tradnl"/>
        </w:rPr>
        <w:t>alan lo siguiente:</w:t>
      </w:r>
    </w:p>
    <w:p w14:paraId="4F67A82B" w14:textId="77777777" w:rsidR="00591D54" w:rsidRDefault="00591D54">
      <w:pPr>
        <w:shd w:val="clear" w:color="auto" w:fill="FFFFFF"/>
        <w:spacing w:before="206"/>
        <w:ind w:left="283"/>
      </w:pPr>
      <w:r>
        <w:rPr>
          <w:b/>
          <w:bCs/>
          <w:spacing w:val="-5"/>
          <w:sz w:val="16"/>
          <w:szCs w:val="16"/>
          <w:lang w:val="es-ES_tradnl"/>
        </w:rPr>
        <w:t>Art. 18.- Valoraci</w:t>
      </w:r>
      <w:r>
        <w:rPr>
          <w:rFonts w:cs="Times New Roman"/>
          <w:b/>
          <w:bCs/>
          <w:spacing w:val="-5"/>
          <w:sz w:val="16"/>
          <w:szCs w:val="16"/>
          <w:lang w:val="es-ES_tradnl"/>
        </w:rPr>
        <w:t>ó</w:t>
      </w:r>
      <w:r>
        <w:rPr>
          <w:b/>
          <w:bCs/>
          <w:spacing w:val="-5"/>
          <w:sz w:val="16"/>
          <w:szCs w:val="16"/>
          <w:lang w:val="es-ES_tradnl"/>
        </w:rPr>
        <w:t>n.</w:t>
      </w:r>
    </w:p>
    <w:p w14:paraId="4F67A82C" w14:textId="77777777" w:rsidR="00591D54" w:rsidRDefault="00591D54" w:rsidP="00251195">
      <w:pPr>
        <w:numPr>
          <w:ilvl w:val="0"/>
          <w:numId w:val="37"/>
        </w:numPr>
        <w:shd w:val="clear" w:color="auto" w:fill="FFFFFF"/>
        <w:tabs>
          <w:tab w:val="left" w:pos="566"/>
        </w:tabs>
        <w:spacing w:before="206" w:line="206" w:lineRule="exact"/>
        <w:ind w:left="566" w:right="5" w:hanging="283"/>
        <w:jc w:val="both"/>
        <w:rPr>
          <w:spacing w:val="-12"/>
          <w:sz w:val="16"/>
          <w:szCs w:val="16"/>
          <w:lang w:val="es-ES_tradnl"/>
        </w:rPr>
      </w:pPr>
      <w:r>
        <w:rPr>
          <w:b/>
          <w:bCs/>
          <w:spacing w:val="-6"/>
          <w:sz w:val="16"/>
          <w:szCs w:val="16"/>
          <w:lang w:val="es-ES_tradnl"/>
        </w:rPr>
        <w:t>El</w:t>
      </w:r>
      <w:r>
        <w:rPr>
          <w:b/>
          <w:bCs/>
          <w:spacing w:val="-6"/>
          <w:sz w:val="18"/>
          <w:szCs w:val="18"/>
          <w:lang w:val="es-ES_tradnl"/>
        </w:rPr>
        <w:t xml:space="preserve"> </w:t>
      </w:r>
      <w:r>
        <w:rPr>
          <w:b/>
          <w:bCs/>
          <w:spacing w:val="-6"/>
          <w:sz w:val="16"/>
          <w:szCs w:val="16"/>
          <w:lang w:val="es-ES_tradnl"/>
        </w:rPr>
        <w:t>permiso</w:t>
      </w:r>
      <w:r>
        <w:rPr>
          <w:b/>
          <w:bCs/>
          <w:spacing w:val="-6"/>
          <w:sz w:val="18"/>
          <w:szCs w:val="18"/>
          <w:lang w:val="es-ES_tradnl"/>
        </w:rPr>
        <w:t xml:space="preserve"> </w:t>
      </w:r>
      <w:r>
        <w:rPr>
          <w:b/>
          <w:bCs/>
          <w:spacing w:val="-6"/>
          <w:sz w:val="16"/>
          <w:szCs w:val="16"/>
          <w:lang w:val="es-ES_tradnl"/>
        </w:rPr>
        <w:t>de</w:t>
      </w:r>
      <w:r>
        <w:rPr>
          <w:b/>
          <w:bCs/>
          <w:spacing w:val="-6"/>
          <w:sz w:val="18"/>
          <w:szCs w:val="18"/>
          <w:lang w:val="es-ES_tradnl"/>
        </w:rPr>
        <w:t xml:space="preserve"> </w:t>
      </w:r>
      <w:r>
        <w:rPr>
          <w:b/>
          <w:bCs/>
          <w:spacing w:val="-6"/>
          <w:sz w:val="16"/>
          <w:szCs w:val="16"/>
          <w:lang w:val="es-ES_tradnl"/>
        </w:rPr>
        <w:t>implantaci</w:t>
      </w:r>
      <w:r>
        <w:rPr>
          <w:rFonts w:cs="Times New Roman"/>
          <w:b/>
          <w:bCs/>
          <w:spacing w:val="-6"/>
          <w:sz w:val="16"/>
          <w:szCs w:val="16"/>
          <w:lang w:val="es-ES_tradnl"/>
        </w:rPr>
        <w:t>ó</w:t>
      </w:r>
      <w:r>
        <w:rPr>
          <w:b/>
          <w:bCs/>
          <w:spacing w:val="-6"/>
          <w:sz w:val="16"/>
          <w:szCs w:val="16"/>
          <w:lang w:val="es-ES_tradnl"/>
        </w:rPr>
        <w:t>n</w:t>
      </w:r>
      <w:r>
        <w:rPr>
          <w:b/>
          <w:bCs/>
          <w:spacing w:val="-6"/>
          <w:sz w:val="18"/>
          <w:szCs w:val="18"/>
          <w:lang w:val="es-ES_tradnl"/>
        </w:rPr>
        <w:t xml:space="preserve"> </w:t>
      </w:r>
      <w:r>
        <w:rPr>
          <w:spacing w:val="-6"/>
          <w:sz w:val="16"/>
          <w:szCs w:val="16"/>
          <w:lang w:val="es-ES_tradnl"/>
        </w:rPr>
        <w:t>ser</w:t>
      </w:r>
      <w:r>
        <w:rPr>
          <w:rFonts w:cs="Times New Roman"/>
          <w:spacing w:val="-6"/>
          <w:sz w:val="16"/>
          <w:szCs w:val="16"/>
          <w:lang w:val="es-ES_tradnl"/>
        </w:rPr>
        <w:t>á</w:t>
      </w:r>
      <w:r>
        <w:rPr>
          <w:spacing w:val="-6"/>
          <w:sz w:val="18"/>
          <w:szCs w:val="18"/>
          <w:lang w:val="es-ES_tradnl"/>
        </w:rPr>
        <w:t xml:space="preserve"> </w:t>
      </w:r>
      <w:r>
        <w:rPr>
          <w:spacing w:val="-6"/>
          <w:sz w:val="16"/>
          <w:szCs w:val="16"/>
          <w:lang w:val="es-ES_tradnl"/>
        </w:rPr>
        <w:t>para</w:t>
      </w:r>
      <w:r>
        <w:rPr>
          <w:spacing w:val="-6"/>
          <w:sz w:val="18"/>
          <w:szCs w:val="18"/>
          <w:lang w:val="es-ES_tradnl"/>
        </w:rPr>
        <w:t xml:space="preserve"> </w:t>
      </w:r>
      <w:r>
        <w:rPr>
          <w:spacing w:val="-6"/>
          <w:sz w:val="16"/>
          <w:szCs w:val="16"/>
          <w:lang w:val="es-ES_tradnl"/>
        </w:rPr>
        <w:t>cada</w:t>
      </w:r>
      <w:r>
        <w:rPr>
          <w:spacing w:val="-6"/>
          <w:sz w:val="18"/>
          <w:szCs w:val="18"/>
          <w:lang w:val="es-ES_tradnl"/>
        </w:rPr>
        <w:t xml:space="preserve"> </w:t>
      </w:r>
      <w:r>
        <w:rPr>
          <w:spacing w:val="-6"/>
          <w:sz w:val="16"/>
          <w:szCs w:val="16"/>
          <w:lang w:val="es-ES_tradnl"/>
        </w:rPr>
        <w:t>estaci</w:t>
      </w:r>
      <w:r>
        <w:rPr>
          <w:rFonts w:cs="Times New Roman"/>
          <w:spacing w:val="-6"/>
          <w:sz w:val="16"/>
          <w:szCs w:val="16"/>
          <w:lang w:val="es-ES_tradnl"/>
        </w:rPr>
        <w:t>ó</w:t>
      </w:r>
      <w:r>
        <w:rPr>
          <w:spacing w:val="-6"/>
          <w:sz w:val="16"/>
          <w:szCs w:val="16"/>
          <w:lang w:val="es-ES_tradnl"/>
        </w:rPr>
        <w:t>n</w:t>
      </w:r>
      <w:r>
        <w:rPr>
          <w:spacing w:val="-6"/>
          <w:sz w:val="18"/>
          <w:szCs w:val="18"/>
          <w:lang w:val="es-ES_tradnl"/>
        </w:rPr>
        <w:t xml:space="preserve"> </w:t>
      </w:r>
      <w:r>
        <w:rPr>
          <w:spacing w:val="-6"/>
          <w:sz w:val="16"/>
          <w:szCs w:val="16"/>
          <w:lang w:val="es-ES_tradnl"/>
        </w:rPr>
        <w:t>y tendr</w:t>
      </w:r>
      <w:r>
        <w:rPr>
          <w:rFonts w:cs="Times New Roman"/>
          <w:spacing w:val="-6"/>
          <w:sz w:val="16"/>
          <w:szCs w:val="16"/>
          <w:lang w:val="es-ES_tradnl"/>
        </w:rPr>
        <w:t>á</w:t>
      </w:r>
      <w:r>
        <w:rPr>
          <w:spacing w:val="-6"/>
          <w:sz w:val="16"/>
          <w:szCs w:val="16"/>
          <w:lang w:val="es-ES_tradnl"/>
        </w:rPr>
        <w:t xml:space="preserve"> un valor de cinco salarios b</w:t>
      </w:r>
      <w:r>
        <w:rPr>
          <w:rFonts w:cs="Times New Roman"/>
          <w:spacing w:val="-6"/>
          <w:sz w:val="16"/>
          <w:szCs w:val="16"/>
          <w:lang w:val="es-ES_tradnl"/>
        </w:rPr>
        <w:t>á</w:t>
      </w:r>
      <w:r>
        <w:rPr>
          <w:spacing w:val="-6"/>
          <w:sz w:val="16"/>
          <w:szCs w:val="16"/>
          <w:lang w:val="es-ES_tradnl"/>
        </w:rPr>
        <w:t xml:space="preserve">sicos unificados del </w:t>
      </w:r>
      <w:r>
        <w:rPr>
          <w:sz w:val="16"/>
          <w:szCs w:val="16"/>
          <w:lang w:val="es-ES_tradnl"/>
        </w:rPr>
        <w:t>trabajador en general del sector privado;</w:t>
      </w:r>
    </w:p>
    <w:p w14:paraId="4F67A82D" w14:textId="77777777" w:rsidR="00591D54" w:rsidRDefault="00591D54" w:rsidP="00251195">
      <w:pPr>
        <w:numPr>
          <w:ilvl w:val="0"/>
          <w:numId w:val="37"/>
        </w:numPr>
        <w:shd w:val="clear" w:color="auto" w:fill="FFFFFF"/>
        <w:tabs>
          <w:tab w:val="left" w:pos="566"/>
        </w:tabs>
        <w:spacing w:before="206" w:line="206" w:lineRule="exact"/>
        <w:ind w:left="566" w:right="5" w:hanging="283"/>
        <w:jc w:val="both"/>
        <w:rPr>
          <w:spacing w:val="-7"/>
          <w:sz w:val="16"/>
          <w:szCs w:val="16"/>
          <w:lang w:val="es-ES_tradnl"/>
        </w:rPr>
      </w:pPr>
      <w:r>
        <w:rPr>
          <w:b/>
          <w:bCs/>
          <w:spacing w:val="-4"/>
          <w:sz w:val="16"/>
          <w:szCs w:val="16"/>
          <w:lang w:val="es-ES_tradnl"/>
        </w:rPr>
        <w:t>Estructura</w:t>
      </w:r>
      <w:r>
        <w:rPr>
          <w:b/>
          <w:bCs/>
          <w:spacing w:val="-4"/>
          <w:sz w:val="18"/>
          <w:szCs w:val="18"/>
          <w:lang w:val="es-ES_tradnl"/>
        </w:rPr>
        <w:t xml:space="preserve"> </w:t>
      </w:r>
      <w:r>
        <w:rPr>
          <w:b/>
          <w:bCs/>
          <w:spacing w:val="-4"/>
          <w:sz w:val="16"/>
          <w:szCs w:val="16"/>
          <w:lang w:val="es-ES_tradnl"/>
        </w:rPr>
        <w:t>-</w:t>
      </w:r>
      <w:r>
        <w:rPr>
          <w:b/>
          <w:bCs/>
          <w:spacing w:val="-4"/>
          <w:sz w:val="18"/>
          <w:szCs w:val="18"/>
          <w:lang w:val="es-ES_tradnl"/>
        </w:rPr>
        <w:t xml:space="preserve"> </w:t>
      </w:r>
      <w:r>
        <w:rPr>
          <w:b/>
          <w:bCs/>
          <w:spacing w:val="-4"/>
          <w:sz w:val="16"/>
          <w:szCs w:val="16"/>
          <w:lang w:val="es-ES_tradnl"/>
        </w:rPr>
        <w:t>antenas</w:t>
      </w:r>
      <w:r>
        <w:rPr>
          <w:b/>
          <w:bCs/>
          <w:spacing w:val="-4"/>
          <w:sz w:val="18"/>
          <w:szCs w:val="18"/>
          <w:lang w:val="es-ES_tradnl"/>
        </w:rPr>
        <w:t xml:space="preserve"> </w:t>
      </w:r>
      <w:r>
        <w:rPr>
          <w:b/>
          <w:bCs/>
          <w:spacing w:val="-4"/>
          <w:sz w:val="16"/>
          <w:szCs w:val="16"/>
          <w:lang w:val="es-ES_tradnl"/>
        </w:rPr>
        <w:t>-</w:t>
      </w:r>
      <w:r>
        <w:rPr>
          <w:b/>
          <w:bCs/>
          <w:spacing w:val="-4"/>
          <w:sz w:val="18"/>
          <w:szCs w:val="18"/>
          <w:lang w:val="es-ES_tradnl"/>
        </w:rPr>
        <w:t xml:space="preserve"> </w:t>
      </w:r>
      <w:r>
        <w:rPr>
          <w:b/>
          <w:bCs/>
          <w:spacing w:val="-4"/>
          <w:sz w:val="16"/>
          <w:szCs w:val="16"/>
          <w:lang w:val="es-ES_tradnl"/>
        </w:rPr>
        <w:t>torres</w:t>
      </w:r>
      <w:r>
        <w:rPr>
          <w:b/>
          <w:bCs/>
          <w:spacing w:val="-4"/>
          <w:sz w:val="18"/>
          <w:szCs w:val="18"/>
          <w:lang w:val="es-ES_tradnl"/>
        </w:rPr>
        <w:t xml:space="preserve"> </w:t>
      </w:r>
      <w:r>
        <w:rPr>
          <w:b/>
          <w:bCs/>
          <w:spacing w:val="-4"/>
          <w:sz w:val="16"/>
          <w:szCs w:val="16"/>
          <w:lang w:val="es-ES_tradnl"/>
        </w:rPr>
        <w:t>-</w:t>
      </w:r>
      <w:r>
        <w:rPr>
          <w:b/>
          <w:bCs/>
          <w:spacing w:val="-4"/>
          <w:sz w:val="18"/>
          <w:szCs w:val="18"/>
          <w:lang w:val="es-ES_tradnl"/>
        </w:rPr>
        <w:t xml:space="preserve"> </w:t>
      </w:r>
      <w:r>
        <w:rPr>
          <w:b/>
          <w:bCs/>
          <w:spacing w:val="-4"/>
          <w:sz w:val="16"/>
          <w:szCs w:val="16"/>
          <w:lang w:val="es-ES_tradnl"/>
        </w:rPr>
        <w:t>torretas.-</w:t>
      </w:r>
      <w:r>
        <w:rPr>
          <w:b/>
          <w:bCs/>
          <w:spacing w:val="-4"/>
          <w:sz w:val="18"/>
          <w:szCs w:val="18"/>
          <w:lang w:val="es-ES_tradnl"/>
        </w:rPr>
        <w:t xml:space="preserve"> </w:t>
      </w:r>
      <w:r>
        <w:rPr>
          <w:spacing w:val="-4"/>
          <w:sz w:val="16"/>
          <w:szCs w:val="16"/>
          <w:lang w:val="es-ES_tradnl"/>
        </w:rPr>
        <w:t>Pagar</w:t>
      </w:r>
      <w:r>
        <w:rPr>
          <w:rFonts w:cs="Times New Roman"/>
          <w:spacing w:val="-4"/>
          <w:sz w:val="16"/>
          <w:szCs w:val="16"/>
          <w:lang w:val="es-ES_tradnl"/>
        </w:rPr>
        <w:t>á</w:t>
      </w:r>
      <w:r>
        <w:rPr>
          <w:spacing w:val="-4"/>
          <w:sz w:val="16"/>
          <w:szCs w:val="16"/>
          <w:lang w:val="es-ES_tradnl"/>
        </w:rPr>
        <w:t>n</w:t>
      </w:r>
      <w:r>
        <w:rPr>
          <w:spacing w:val="-4"/>
          <w:sz w:val="18"/>
          <w:szCs w:val="18"/>
          <w:lang w:val="es-ES_tradnl"/>
        </w:rPr>
        <w:t xml:space="preserve"> </w:t>
      </w:r>
      <w:r>
        <w:rPr>
          <w:spacing w:val="-4"/>
          <w:sz w:val="16"/>
          <w:szCs w:val="16"/>
          <w:lang w:val="es-ES_tradnl"/>
        </w:rPr>
        <w:t xml:space="preserve">el </w:t>
      </w:r>
      <w:r>
        <w:rPr>
          <w:spacing w:val="-6"/>
          <w:sz w:val="16"/>
          <w:szCs w:val="16"/>
          <w:lang w:val="es-ES_tradnl"/>
        </w:rPr>
        <w:t>20% de la RBU diarios por ocupaci</w:t>
      </w:r>
      <w:r>
        <w:rPr>
          <w:rFonts w:cs="Times New Roman"/>
          <w:spacing w:val="-6"/>
          <w:sz w:val="16"/>
          <w:szCs w:val="16"/>
          <w:lang w:val="es-ES_tradnl"/>
        </w:rPr>
        <w:t>ó</w:t>
      </w:r>
      <w:r>
        <w:rPr>
          <w:spacing w:val="-6"/>
          <w:sz w:val="16"/>
          <w:szCs w:val="16"/>
          <w:lang w:val="es-ES_tradnl"/>
        </w:rPr>
        <w:t>n del espacio a</w:t>
      </w:r>
      <w:r>
        <w:rPr>
          <w:rFonts w:cs="Times New Roman"/>
          <w:spacing w:val="-6"/>
          <w:sz w:val="16"/>
          <w:szCs w:val="16"/>
          <w:lang w:val="es-ES_tradnl"/>
        </w:rPr>
        <w:t>é</w:t>
      </w:r>
      <w:r>
        <w:rPr>
          <w:spacing w:val="-6"/>
          <w:sz w:val="16"/>
          <w:szCs w:val="16"/>
          <w:lang w:val="es-ES_tradnl"/>
        </w:rPr>
        <w:t xml:space="preserve">reo </w:t>
      </w:r>
      <w:r>
        <w:rPr>
          <w:spacing w:val="-8"/>
          <w:sz w:val="16"/>
          <w:szCs w:val="16"/>
          <w:lang w:val="es-ES_tradnl"/>
        </w:rPr>
        <w:t xml:space="preserve">permanente para radio, base celular, para uso comercial y </w:t>
      </w:r>
      <w:r>
        <w:rPr>
          <w:sz w:val="16"/>
          <w:szCs w:val="16"/>
          <w:lang w:val="es-ES_tradnl"/>
        </w:rPr>
        <w:t>otros usos; y,</w:t>
      </w:r>
    </w:p>
    <w:p w14:paraId="4F67A82E" w14:textId="77777777" w:rsidR="00591D54" w:rsidRDefault="00591D54" w:rsidP="00251195">
      <w:pPr>
        <w:numPr>
          <w:ilvl w:val="0"/>
          <w:numId w:val="37"/>
        </w:numPr>
        <w:shd w:val="clear" w:color="auto" w:fill="FFFFFF"/>
        <w:tabs>
          <w:tab w:val="left" w:pos="566"/>
        </w:tabs>
        <w:spacing w:before="206" w:line="206" w:lineRule="exact"/>
        <w:ind w:left="566" w:right="5" w:hanging="283"/>
        <w:jc w:val="both"/>
        <w:rPr>
          <w:spacing w:val="-8"/>
          <w:sz w:val="16"/>
          <w:szCs w:val="16"/>
          <w:lang w:val="es-ES_tradnl"/>
        </w:rPr>
      </w:pPr>
      <w:r>
        <w:rPr>
          <w:b/>
          <w:bCs/>
          <w:spacing w:val="-9"/>
          <w:sz w:val="16"/>
          <w:szCs w:val="16"/>
          <w:lang w:val="es-ES_tradnl"/>
        </w:rPr>
        <w:t>Se</w:t>
      </w:r>
      <w:r>
        <w:rPr>
          <w:rFonts w:cs="Times New Roman"/>
          <w:b/>
          <w:bCs/>
          <w:spacing w:val="-9"/>
          <w:sz w:val="16"/>
          <w:szCs w:val="16"/>
          <w:lang w:val="es-ES_tradnl"/>
        </w:rPr>
        <w:t>ñ</w:t>
      </w:r>
      <w:r>
        <w:rPr>
          <w:b/>
          <w:bCs/>
          <w:spacing w:val="-9"/>
          <w:sz w:val="16"/>
          <w:szCs w:val="16"/>
          <w:lang w:val="es-ES_tradnl"/>
        </w:rPr>
        <w:t>alizaci</w:t>
      </w:r>
      <w:r>
        <w:rPr>
          <w:rFonts w:cs="Times New Roman"/>
          <w:b/>
          <w:bCs/>
          <w:spacing w:val="-9"/>
          <w:sz w:val="16"/>
          <w:szCs w:val="16"/>
          <w:lang w:val="es-ES_tradnl"/>
        </w:rPr>
        <w:t>ó</w:t>
      </w:r>
      <w:r>
        <w:rPr>
          <w:b/>
          <w:bCs/>
          <w:spacing w:val="-9"/>
          <w:sz w:val="16"/>
          <w:szCs w:val="16"/>
          <w:lang w:val="es-ES_tradnl"/>
        </w:rPr>
        <w:t>n</w:t>
      </w:r>
      <w:r>
        <w:rPr>
          <w:b/>
          <w:bCs/>
          <w:spacing w:val="-9"/>
          <w:sz w:val="18"/>
          <w:szCs w:val="18"/>
          <w:lang w:val="es-ES_tradnl"/>
        </w:rPr>
        <w:t xml:space="preserve"> </w:t>
      </w:r>
      <w:r>
        <w:rPr>
          <w:b/>
          <w:bCs/>
          <w:spacing w:val="-9"/>
          <w:sz w:val="16"/>
          <w:szCs w:val="16"/>
          <w:lang w:val="es-ES_tradnl"/>
        </w:rPr>
        <w:t>o</w:t>
      </w:r>
      <w:r>
        <w:rPr>
          <w:b/>
          <w:bCs/>
          <w:spacing w:val="-9"/>
          <w:sz w:val="18"/>
          <w:szCs w:val="18"/>
          <w:lang w:val="es-ES_tradnl"/>
        </w:rPr>
        <w:t xml:space="preserve"> </w:t>
      </w:r>
      <w:r>
        <w:rPr>
          <w:b/>
          <w:bCs/>
          <w:spacing w:val="-9"/>
          <w:sz w:val="16"/>
          <w:szCs w:val="16"/>
          <w:lang w:val="es-ES_tradnl"/>
        </w:rPr>
        <w:t>frecuencia.-</w:t>
      </w:r>
      <w:r>
        <w:rPr>
          <w:b/>
          <w:bCs/>
          <w:spacing w:val="-9"/>
          <w:sz w:val="18"/>
          <w:szCs w:val="18"/>
          <w:lang w:val="es-ES_tradnl"/>
        </w:rPr>
        <w:t xml:space="preserve"> </w:t>
      </w:r>
      <w:r>
        <w:rPr>
          <w:spacing w:val="-9"/>
          <w:sz w:val="16"/>
          <w:szCs w:val="16"/>
          <w:lang w:val="es-ES_tradnl"/>
        </w:rPr>
        <w:t>Clasificaci</w:t>
      </w:r>
      <w:r>
        <w:rPr>
          <w:rFonts w:cs="Times New Roman"/>
          <w:spacing w:val="-9"/>
          <w:sz w:val="16"/>
          <w:szCs w:val="16"/>
          <w:lang w:val="es-ES_tradnl"/>
        </w:rPr>
        <w:t>ó</w:t>
      </w:r>
      <w:r>
        <w:rPr>
          <w:spacing w:val="-9"/>
          <w:sz w:val="16"/>
          <w:szCs w:val="16"/>
          <w:lang w:val="es-ES_tradnl"/>
        </w:rPr>
        <w:t>n:</w:t>
      </w:r>
      <w:r>
        <w:rPr>
          <w:spacing w:val="-9"/>
          <w:sz w:val="18"/>
          <w:szCs w:val="18"/>
          <w:lang w:val="es-ES_tradnl"/>
        </w:rPr>
        <w:t xml:space="preserve"> </w:t>
      </w:r>
      <w:r>
        <w:rPr>
          <w:spacing w:val="-9"/>
          <w:sz w:val="16"/>
          <w:szCs w:val="16"/>
          <w:lang w:val="es-ES_tradnl"/>
        </w:rPr>
        <w:t>Las</w:t>
      </w:r>
      <w:r>
        <w:rPr>
          <w:spacing w:val="-9"/>
          <w:sz w:val="18"/>
          <w:szCs w:val="18"/>
          <w:lang w:val="es-ES_tradnl"/>
        </w:rPr>
        <w:t xml:space="preserve"> </w:t>
      </w:r>
      <w:r>
        <w:rPr>
          <w:spacing w:val="-9"/>
          <w:sz w:val="16"/>
          <w:szCs w:val="16"/>
          <w:lang w:val="es-ES_tradnl"/>
        </w:rPr>
        <w:t xml:space="preserve">estructuras </w:t>
      </w:r>
      <w:r>
        <w:rPr>
          <w:spacing w:val="-8"/>
          <w:sz w:val="16"/>
          <w:szCs w:val="16"/>
          <w:lang w:val="es-ES_tradnl"/>
        </w:rPr>
        <w:t>met</w:t>
      </w:r>
      <w:r>
        <w:rPr>
          <w:rFonts w:cs="Times New Roman"/>
          <w:spacing w:val="-8"/>
          <w:sz w:val="16"/>
          <w:szCs w:val="16"/>
          <w:lang w:val="es-ES_tradnl"/>
        </w:rPr>
        <w:t>á</w:t>
      </w:r>
      <w:r>
        <w:rPr>
          <w:spacing w:val="-8"/>
          <w:sz w:val="16"/>
          <w:szCs w:val="16"/>
          <w:lang w:val="es-ES_tradnl"/>
        </w:rPr>
        <w:t xml:space="preserve">licas que son de propiedad privada, concesionarias o </w:t>
      </w:r>
      <w:r>
        <w:rPr>
          <w:spacing w:val="-5"/>
          <w:sz w:val="16"/>
          <w:szCs w:val="16"/>
          <w:lang w:val="es-ES_tradnl"/>
        </w:rPr>
        <w:t>p</w:t>
      </w:r>
      <w:r>
        <w:rPr>
          <w:rFonts w:cs="Times New Roman"/>
          <w:spacing w:val="-5"/>
          <w:sz w:val="16"/>
          <w:szCs w:val="16"/>
          <w:lang w:val="es-ES_tradnl"/>
        </w:rPr>
        <w:t>ú</w:t>
      </w:r>
      <w:r>
        <w:rPr>
          <w:spacing w:val="-5"/>
          <w:sz w:val="16"/>
          <w:szCs w:val="16"/>
          <w:lang w:val="es-ES_tradnl"/>
        </w:rPr>
        <w:t>blicas y otras, pagar</w:t>
      </w:r>
      <w:r>
        <w:rPr>
          <w:rFonts w:cs="Times New Roman"/>
          <w:spacing w:val="-5"/>
          <w:sz w:val="16"/>
          <w:szCs w:val="16"/>
          <w:lang w:val="es-ES_tradnl"/>
        </w:rPr>
        <w:t>á</w:t>
      </w:r>
      <w:r>
        <w:rPr>
          <w:spacing w:val="-5"/>
          <w:sz w:val="16"/>
          <w:szCs w:val="16"/>
          <w:lang w:val="es-ES_tradnl"/>
        </w:rPr>
        <w:t>n el 20% de la RBU diaria, as</w:t>
      </w:r>
      <w:r>
        <w:rPr>
          <w:rFonts w:cs="Times New Roman"/>
          <w:spacing w:val="-5"/>
          <w:sz w:val="16"/>
          <w:szCs w:val="16"/>
          <w:lang w:val="es-ES_tradnl"/>
        </w:rPr>
        <w:t xml:space="preserve">í </w:t>
      </w:r>
      <w:r>
        <w:rPr>
          <w:spacing w:val="-6"/>
          <w:sz w:val="16"/>
          <w:szCs w:val="16"/>
          <w:lang w:val="es-ES_tradnl"/>
        </w:rPr>
        <w:t>como tambi</w:t>
      </w:r>
      <w:r>
        <w:rPr>
          <w:rFonts w:cs="Times New Roman"/>
          <w:spacing w:val="-6"/>
          <w:sz w:val="16"/>
          <w:szCs w:val="16"/>
          <w:lang w:val="es-ES_tradnl"/>
        </w:rPr>
        <w:t>é</w:t>
      </w:r>
      <w:r>
        <w:rPr>
          <w:spacing w:val="-6"/>
          <w:sz w:val="16"/>
          <w:szCs w:val="16"/>
          <w:lang w:val="es-ES_tradnl"/>
        </w:rPr>
        <w:t>n el uso de frecuencia por ocupaci</w:t>
      </w:r>
      <w:r>
        <w:rPr>
          <w:rFonts w:cs="Times New Roman"/>
          <w:spacing w:val="-6"/>
          <w:sz w:val="16"/>
          <w:szCs w:val="16"/>
          <w:lang w:val="es-ES_tradnl"/>
        </w:rPr>
        <w:t>ó</w:t>
      </w:r>
      <w:r>
        <w:rPr>
          <w:spacing w:val="-6"/>
          <w:sz w:val="16"/>
          <w:szCs w:val="16"/>
          <w:lang w:val="es-ES_tradnl"/>
        </w:rPr>
        <w:t xml:space="preserve">n del </w:t>
      </w:r>
      <w:r>
        <w:rPr>
          <w:spacing w:val="-4"/>
          <w:sz w:val="16"/>
          <w:szCs w:val="16"/>
          <w:lang w:val="es-ES_tradnl"/>
        </w:rPr>
        <w:t>espacio a</w:t>
      </w:r>
      <w:r>
        <w:rPr>
          <w:rFonts w:cs="Times New Roman"/>
          <w:spacing w:val="-4"/>
          <w:sz w:val="16"/>
          <w:szCs w:val="16"/>
          <w:lang w:val="es-ES_tradnl"/>
        </w:rPr>
        <w:t>é</w:t>
      </w:r>
      <w:r>
        <w:rPr>
          <w:spacing w:val="-4"/>
          <w:sz w:val="16"/>
          <w:szCs w:val="16"/>
          <w:lang w:val="es-ES_tradnl"/>
        </w:rPr>
        <w:t>reo de uso comercial, para comunicaci</w:t>
      </w:r>
      <w:r>
        <w:rPr>
          <w:rFonts w:cs="Times New Roman"/>
          <w:spacing w:val="-4"/>
          <w:sz w:val="16"/>
          <w:szCs w:val="16"/>
          <w:lang w:val="es-ES_tradnl"/>
        </w:rPr>
        <w:t>ó</w:t>
      </w:r>
      <w:r>
        <w:rPr>
          <w:spacing w:val="-4"/>
          <w:sz w:val="16"/>
          <w:szCs w:val="16"/>
          <w:lang w:val="es-ES_tradnl"/>
        </w:rPr>
        <w:t xml:space="preserve">n </w:t>
      </w:r>
      <w:r>
        <w:rPr>
          <w:sz w:val="16"/>
          <w:szCs w:val="16"/>
          <w:lang w:val="es-ES_tradnl"/>
        </w:rPr>
        <w:t>celular, social y por cada una de ellas.</w:t>
      </w:r>
    </w:p>
    <w:p w14:paraId="4F67A82F" w14:textId="77777777" w:rsidR="00591D54" w:rsidRDefault="00591D54">
      <w:pPr>
        <w:shd w:val="clear" w:color="auto" w:fill="FFFFFF"/>
        <w:spacing w:before="206" w:line="206" w:lineRule="exact"/>
        <w:ind w:left="283" w:right="5"/>
        <w:jc w:val="both"/>
      </w:pPr>
      <w:r>
        <w:rPr>
          <w:spacing w:val="-8"/>
          <w:sz w:val="16"/>
          <w:szCs w:val="16"/>
          <w:lang w:val="es-ES_tradnl"/>
        </w:rPr>
        <w:t>Antena y frecuencia, para radio ayuda fija y radio aficionados, estas pagar</w:t>
      </w:r>
      <w:r>
        <w:rPr>
          <w:rFonts w:cs="Times New Roman"/>
          <w:spacing w:val="-8"/>
          <w:sz w:val="16"/>
          <w:szCs w:val="16"/>
          <w:lang w:val="es-ES_tradnl"/>
        </w:rPr>
        <w:t>á</w:t>
      </w:r>
      <w:r>
        <w:rPr>
          <w:spacing w:val="-8"/>
          <w:sz w:val="16"/>
          <w:szCs w:val="16"/>
          <w:lang w:val="es-ES_tradnl"/>
        </w:rPr>
        <w:t xml:space="preserve">n el 7% del RBU por el mismo concepto detallado </w:t>
      </w:r>
      <w:r>
        <w:rPr>
          <w:sz w:val="16"/>
          <w:szCs w:val="16"/>
          <w:lang w:val="es-ES_tradnl"/>
        </w:rPr>
        <w:t>anteriormente.</w:t>
      </w:r>
    </w:p>
    <w:p w14:paraId="4F67A830" w14:textId="77777777" w:rsidR="00591D54" w:rsidRDefault="00591D54">
      <w:pPr>
        <w:shd w:val="clear" w:color="auto" w:fill="FFFFFF"/>
        <w:spacing w:before="206" w:line="206" w:lineRule="exact"/>
        <w:ind w:left="283" w:right="5"/>
        <w:jc w:val="both"/>
      </w:pPr>
      <w:r>
        <w:rPr>
          <w:spacing w:val="-7"/>
          <w:sz w:val="16"/>
          <w:szCs w:val="16"/>
          <w:lang w:val="es-ES_tradnl"/>
        </w:rPr>
        <w:t>Antena y frecuencia, para radio emisora, estas pagar</w:t>
      </w:r>
      <w:r>
        <w:rPr>
          <w:rFonts w:cs="Times New Roman"/>
          <w:spacing w:val="-7"/>
          <w:sz w:val="16"/>
          <w:szCs w:val="16"/>
          <w:lang w:val="es-ES_tradnl"/>
        </w:rPr>
        <w:t>á</w:t>
      </w:r>
      <w:r>
        <w:rPr>
          <w:spacing w:val="-7"/>
          <w:sz w:val="16"/>
          <w:szCs w:val="16"/>
          <w:lang w:val="es-ES_tradnl"/>
        </w:rPr>
        <w:t xml:space="preserve">n el 2% </w:t>
      </w:r>
      <w:r>
        <w:rPr>
          <w:spacing w:val="-6"/>
          <w:sz w:val="16"/>
          <w:szCs w:val="16"/>
          <w:lang w:val="es-ES_tradnl"/>
        </w:rPr>
        <w:t>del RBU por el mismo concepto detallado anteriormente.</w:t>
      </w:r>
    </w:p>
    <w:p w14:paraId="4F67A831" w14:textId="77777777" w:rsidR="00591D54" w:rsidRDefault="00591D54">
      <w:pPr>
        <w:shd w:val="clear" w:color="auto" w:fill="FFFFFF"/>
        <w:spacing w:before="206" w:line="206" w:lineRule="exact"/>
        <w:ind w:left="283" w:right="5"/>
        <w:jc w:val="both"/>
      </w:pPr>
      <w:r>
        <w:rPr>
          <w:spacing w:val="-4"/>
          <w:sz w:val="16"/>
          <w:szCs w:val="16"/>
          <w:lang w:val="es-ES_tradnl"/>
        </w:rPr>
        <w:t>Se</w:t>
      </w:r>
      <w:r>
        <w:rPr>
          <w:rFonts w:cs="Times New Roman"/>
          <w:spacing w:val="-4"/>
          <w:sz w:val="16"/>
          <w:szCs w:val="16"/>
          <w:lang w:val="es-ES_tradnl"/>
        </w:rPr>
        <w:t>ñ</w:t>
      </w:r>
      <w:r>
        <w:rPr>
          <w:spacing w:val="-4"/>
          <w:sz w:val="16"/>
          <w:szCs w:val="16"/>
          <w:lang w:val="es-ES_tradnl"/>
        </w:rPr>
        <w:t>al o frecuencia de transmisi</w:t>
      </w:r>
      <w:r>
        <w:rPr>
          <w:rFonts w:cs="Times New Roman"/>
          <w:spacing w:val="-4"/>
          <w:sz w:val="16"/>
          <w:szCs w:val="16"/>
          <w:lang w:val="es-ES_tradnl"/>
        </w:rPr>
        <w:t>ó</w:t>
      </w:r>
      <w:r>
        <w:rPr>
          <w:spacing w:val="-4"/>
          <w:sz w:val="16"/>
          <w:szCs w:val="16"/>
          <w:lang w:val="es-ES_tradnl"/>
        </w:rPr>
        <w:t>n satelital de televisi</w:t>
      </w:r>
      <w:r>
        <w:rPr>
          <w:rFonts w:cs="Times New Roman"/>
          <w:spacing w:val="-4"/>
          <w:sz w:val="16"/>
          <w:szCs w:val="16"/>
          <w:lang w:val="es-ES_tradnl"/>
        </w:rPr>
        <w:t>ó</w:t>
      </w:r>
      <w:r>
        <w:rPr>
          <w:spacing w:val="-4"/>
          <w:sz w:val="16"/>
          <w:szCs w:val="16"/>
          <w:lang w:val="es-ES_tradnl"/>
        </w:rPr>
        <w:t xml:space="preserve">n, </w:t>
      </w:r>
      <w:r>
        <w:rPr>
          <w:sz w:val="16"/>
          <w:szCs w:val="16"/>
          <w:lang w:val="es-ES_tradnl"/>
        </w:rPr>
        <w:t>pagar</w:t>
      </w:r>
      <w:r>
        <w:rPr>
          <w:rFonts w:cs="Times New Roman"/>
          <w:sz w:val="16"/>
          <w:szCs w:val="16"/>
          <w:lang w:val="es-ES_tradnl"/>
        </w:rPr>
        <w:t>á</w:t>
      </w:r>
      <w:r>
        <w:rPr>
          <w:sz w:val="16"/>
          <w:szCs w:val="16"/>
          <w:lang w:val="es-ES_tradnl"/>
        </w:rPr>
        <w:t>n una RBU mensual.</w:t>
      </w:r>
    </w:p>
    <w:p w14:paraId="4F67A832" w14:textId="77777777" w:rsidR="00591D54" w:rsidRDefault="00591D54">
      <w:pPr>
        <w:shd w:val="clear" w:color="auto" w:fill="FFFFFF"/>
        <w:spacing w:before="211"/>
        <w:ind w:left="283"/>
      </w:pPr>
      <w:r>
        <w:rPr>
          <w:b/>
          <w:bCs/>
          <w:spacing w:val="-9"/>
          <w:sz w:val="16"/>
          <w:szCs w:val="16"/>
          <w:lang w:val="es-ES_tradnl"/>
        </w:rPr>
        <w:t>Cables:</w:t>
      </w:r>
    </w:p>
    <w:p w14:paraId="4F67A833" w14:textId="77777777" w:rsidR="00591D54" w:rsidRDefault="00591D54">
      <w:pPr>
        <w:shd w:val="clear" w:color="auto" w:fill="FFFFFF"/>
        <w:spacing w:before="202" w:line="211" w:lineRule="exact"/>
        <w:ind w:left="283" w:right="5"/>
        <w:jc w:val="both"/>
      </w:pPr>
      <w:r>
        <w:rPr>
          <w:spacing w:val="-8"/>
          <w:sz w:val="16"/>
          <w:szCs w:val="16"/>
          <w:lang w:val="es-ES_tradnl"/>
        </w:rPr>
        <w:t>El tendido de cables que pertenezcan a las empresas p</w:t>
      </w:r>
      <w:r>
        <w:rPr>
          <w:rFonts w:cs="Times New Roman"/>
          <w:spacing w:val="-8"/>
          <w:sz w:val="16"/>
          <w:szCs w:val="16"/>
          <w:lang w:val="es-ES_tradnl"/>
        </w:rPr>
        <w:t>ú</w:t>
      </w:r>
      <w:r>
        <w:rPr>
          <w:spacing w:val="-8"/>
          <w:sz w:val="16"/>
          <w:szCs w:val="16"/>
          <w:lang w:val="es-ES_tradnl"/>
        </w:rPr>
        <w:t xml:space="preserve">blicas </w:t>
      </w:r>
      <w:r>
        <w:rPr>
          <w:spacing w:val="-6"/>
          <w:sz w:val="16"/>
          <w:szCs w:val="16"/>
          <w:lang w:val="es-ES_tradnl"/>
        </w:rPr>
        <w:t>o privadas y estar</w:t>
      </w:r>
      <w:r>
        <w:rPr>
          <w:rFonts w:cs="Times New Roman"/>
          <w:spacing w:val="-6"/>
          <w:sz w:val="16"/>
          <w:szCs w:val="16"/>
          <w:lang w:val="es-ES_tradnl"/>
        </w:rPr>
        <w:t>á</w:t>
      </w:r>
      <w:r>
        <w:rPr>
          <w:spacing w:val="-6"/>
          <w:sz w:val="16"/>
          <w:szCs w:val="16"/>
          <w:lang w:val="es-ES_tradnl"/>
        </w:rPr>
        <w:t>n sujetos a una tasa fija y permanente de</w:t>
      </w:r>
    </w:p>
    <w:p w14:paraId="4F67A834" w14:textId="77777777" w:rsidR="00591D54" w:rsidRDefault="00591D54">
      <w:pPr>
        <w:shd w:val="clear" w:color="auto" w:fill="FFFFFF"/>
        <w:spacing w:line="216" w:lineRule="exact"/>
        <w:ind w:left="283"/>
        <w:jc w:val="both"/>
      </w:pPr>
      <w:r>
        <w:br w:type="column"/>
      </w:r>
      <w:r>
        <w:rPr>
          <w:spacing w:val="-7"/>
          <w:sz w:val="16"/>
          <w:szCs w:val="16"/>
          <w:lang w:val="es-ES_tradnl"/>
        </w:rPr>
        <w:t>$ 0,01 centavos de d</w:t>
      </w:r>
      <w:r>
        <w:rPr>
          <w:rFonts w:cs="Times New Roman"/>
          <w:spacing w:val="-7"/>
          <w:sz w:val="16"/>
          <w:szCs w:val="16"/>
          <w:lang w:val="es-ES_tradnl"/>
        </w:rPr>
        <w:t>ó</w:t>
      </w:r>
      <w:r>
        <w:rPr>
          <w:spacing w:val="-7"/>
          <w:sz w:val="16"/>
          <w:szCs w:val="16"/>
          <w:lang w:val="es-ES_tradnl"/>
        </w:rPr>
        <w:t xml:space="preserve">lar americanos diarios, por cada metro </w:t>
      </w:r>
      <w:r>
        <w:rPr>
          <w:spacing w:val="-9"/>
          <w:sz w:val="16"/>
          <w:szCs w:val="16"/>
          <w:lang w:val="es-ES_tradnl"/>
        </w:rPr>
        <w:t xml:space="preserve">lineal de cable tendido, </w:t>
      </w:r>
      <w:r>
        <w:rPr>
          <w:b/>
          <w:bCs/>
          <w:spacing w:val="-9"/>
          <w:sz w:val="16"/>
          <w:szCs w:val="16"/>
          <w:lang w:val="es-ES_tradnl"/>
        </w:rPr>
        <w:t>por ocupaci</w:t>
      </w:r>
      <w:r>
        <w:rPr>
          <w:rFonts w:cs="Times New Roman"/>
          <w:b/>
          <w:bCs/>
          <w:spacing w:val="-9"/>
          <w:sz w:val="16"/>
          <w:szCs w:val="16"/>
          <w:lang w:val="es-ES_tradnl"/>
        </w:rPr>
        <w:t>ó</w:t>
      </w:r>
      <w:r>
        <w:rPr>
          <w:b/>
          <w:bCs/>
          <w:spacing w:val="-9"/>
          <w:sz w:val="16"/>
          <w:szCs w:val="16"/>
          <w:lang w:val="es-ES_tradnl"/>
        </w:rPr>
        <w:t>n del espacio a</w:t>
      </w:r>
      <w:r>
        <w:rPr>
          <w:rFonts w:cs="Times New Roman"/>
          <w:b/>
          <w:bCs/>
          <w:spacing w:val="-9"/>
          <w:sz w:val="16"/>
          <w:szCs w:val="16"/>
          <w:lang w:val="es-ES_tradnl"/>
        </w:rPr>
        <w:t>é</w:t>
      </w:r>
      <w:r>
        <w:rPr>
          <w:b/>
          <w:bCs/>
          <w:spacing w:val="-9"/>
          <w:sz w:val="16"/>
          <w:szCs w:val="16"/>
          <w:lang w:val="es-ES_tradnl"/>
        </w:rPr>
        <w:t>reo</w:t>
      </w:r>
      <w:r>
        <w:rPr>
          <w:spacing w:val="-9"/>
          <w:sz w:val="16"/>
          <w:szCs w:val="16"/>
          <w:lang w:val="es-ES_tradnl"/>
        </w:rPr>
        <w:t>. [</w:t>
      </w:r>
      <w:r>
        <w:rPr>
          <w:rFonts w:cs="Times New Roman"/>
          <w:spacing w:val="-9"/>
          <w:sz w:val="16"/>
          <w:szCs w:val="16"/>
          <w:lang w:val="es-ES_tradnl"/>
        </w:rPr>
        <w:t>…</w:t>
      </w:r>
      <w:r>
        <w:rPr>
          <w:spacing w:val="-9"/>
          <w:sz w:val="16"/>
          <w:szCs w:val="16"/>
          <w:lang w:val="es-ES_tradnl"/>
        </w:rPr>
        <w:t>]</w:t>
      </w:r>
    </w:p>
    <w:p w14:paraId="4F67A835" w14:textId="77777777" w:rsidR="00591D54" w:rsidRDefault="00591D54">
      <w:pPr>
        <w:shd w:val="clear" w:color="auto" w:fill="FFFFFF"/>
        <w:spacing w:before="221"/>
        <w:ind w:left="283"/>
      </w:pPr>
      <w:r>
        <w:rPr>
          <w:b/>
          <w:bCs/>
          <w:sz w:val="16"/>
          <w:szCs w:val="16"/>
          <w:lang w:val="es-ES_tradnl"/>
        </w:rPr>
        <w:t xml:space="preserve">DISPOSICIONES GENERALES </w:t>
      </w:r>
      <w:r>
        <w:rPr>
          <w:sz w:val="16"/>
          <w:szCs w:val="16"/>
          <w:lang w:val="es-ES_tradnl"/>
        </w:rPr>
        <w:t>[</w:t>
      </w:r>
      <w:r>
        <w:rPr>
          <w:rFonts w:cs="Times New Roman"/>
          <w:sz w:val="16"/>
          <w:szCs w:val="16"/>
          <w:lang w:val="es-ES_tradnl"/>
        </w:rPr>
        <w:t>…</w:t>
      </w:r>
      <w:r>
        <w:rPr>
          <w:sz w:val="16"/>
          <w:szCs w:val="16"/>
          <w:lang w:val="es-ES_tradnl"/>
        </w:rPr>
        <w:t>]</w:t>
      </w:r>
    </w:p>
    <w:p w14:paraId="4F67A836" w14:textId="77777777" w:rsidR="00591D54" w:rsidRDefault="00591D54">
      <w:pPr>
        <w:shd w:val="clear" w:color="auto" w:fill="FFFFFF"/>
        <w:spacing w:before="211" w:line="216" w:lineRule="exact"/>
        <w:ind w:left="283"/>
        <w:jc w:val="both"/>
      </w:pPr>
      <w:r>
        <w:rPr>
          <w:spacing w:val="-9"/>
          <w:sz w:val="16"/>
          <w:szCs w:val="16"/>
          <w:lang w:val="es-ES_tradnl"/>
        </w:rPr>
        <w:t xml:space="preserve">En caso de incumplimiento del pago correspondiente a las tasas </w:t>
      </w:r>
      <w:r>
        <w:rPr>
          <w:spacing w:val="-5"/>
          <w:sz w:val="16"/>
          <w:szCs w:val="16"/>
          <w:lang w:val="es-ES_tradnl"/>
        </w:rPr>
        <w:t xml:space="preserve">y valores conforme lo establecido en la presente ordenanza, </w:t>
      </w:r>
      <w:r>
        <w:rPr>
          <w:spacing w:val="-6"/>
          <w:sz w:val="16"/>
          <w:szCs w:val="16"/>
          <w:lang w:val="es-ES_tradnl"/>
        </w:rPr>
        <w:t>se aplicar</w:t>
      </w:r>
      <w:r>
        <w:rPr>
          <w:rFonts w:cs="Times New Roman"/>
          <w:spacing w:val="-6"/>
          <w:sz w:val="16"/>
          <w:szCs w:val="16"/>
          <w:lang w:val="es-ES_tradnl"/>
        </w:rPr>
        <w:t>á</w:t>
      </w:r>
      <w:r>
        <w:rPr>
          <w:spacing w:val="-6"/>
          <w:sz w:val="16"/>
          <w:szCs w:val="16"/>
          <w:lang w:val="es-ES_tradnl"/>
        </w:rPr>
        <w:t xml:space="preserve"> la correspondiente acci</w:t>
      </w:r>
      <w:r>
        <w:rPr>
          <w:rFonts w:cs="Times New Roman"/>
          <w:spacing w:val="-6"/>
          <w:sz w:val="16"/>
          <w:szCs w:val="16"/>
          <w:lang w:val="es-ES_tradnl"/>
        </w:rPr>
        <w:t>ó</w:t>
      </w:r>
      <w:r>
        <w:rPr>
          <w:spacing w:val="-6"/>
          <w:sz w:val="16"/>
          <w:szCs w:val="16"/>
          <w:lang w:val="es-ES_tradnl"/>
        </w:rPr>
        <w:t xml:space="preserve">n coactiva contra el o los </w:t>
      </w:r>
      <w:r>
        <w:rPr>
          <w:sz w:val="16"/>
          <w:szCs w:val="16"/>
          <w:lang w:val="es-ES_tradnl"/>
        </w:rPr>
        <w:t>deudores.</w:t>
      </w:r>
    </w:p>
    <w:p w14:paraId="4F67A837" w14:textId="77777777" w:rsidR="00591D54" w:rsidRDefault="00591D54">
      <w:pPr>
        <w:shd w:val="clear" w:color="auto" w:fill="FFFFFF"/>
        <w:spacing w:before="216"/>
        <w:ind w:left="283"/>
      </w:pPr>
      <w:r>
        <w:rPr>
          <w:b/>
          <w:bCs/>
          <w:sz w:val="16"/>
          <w:szCs w:val="16"/>
          <w:lang w:val="es-ES_tradnl"/>
        </w:rPr>
        <w:t>DISPOSICIONES TRANSITORIAS</w:t>
      </w:r>
    </w:p>
    <w:p w14:paraId="4F67A838" w14:textId="77777777" w:rsidR="00591D54" w:rsidRDefault="00591D54">
      <w:pPr>
        <w:shd w:val="clear" w:color="auto" w:fill="FFFFFF"/>
        <w:spacing w:before="206" w:line="216" w:lineRule="exact"/>
        <w:ind w:left="283"/>
        <w:jc w:val="both"/>
      </w:pPr>
      <w:r>
        <w:rPr>
          <w:b/>
          <w:bCs/>
          <w:spacing w:val="-3"/>
          <w:sz w:val="16"/>
          <w:szCs w:val="16"/>
          <w:lang w:val="es-ES_tradnl"/>
        </w:rPr>
        <w:t xml:space="preserve">PRIMERA.- </w:t>
      </w:r>
      <w:r>
        <w:rPr>
          <w:spacing w:val="-3"/>
          <w:sz w:val="16"/>
          <w:szCs w:val="16"/>
          <w:lang w:val="es-ES_tradnl"/>
        </w:rPr>
        <w:t xml:space="preserve">El pago establecido por concepto de tasas en </w:t>
      </w:r>
      <w:r>
        <w:rPr>
          <w:spacing w:val="-7"/>
          <w:sz w:val="16"/>
          <w:szCs w:val="16"/>
          <w:lang w:val="es-ES_tradnl"/>
        </w:rPr>
        <w:t>la presente ordenanza, se lo deber</w:t>
      </w:r>
      <w:r>
        <w:rPr>
          <w:rFonts w:cs="Times New Roman"/>
          <w:spacing w:val="-7"/>
          <w:sz w:val="16"/>
          <w:szCs w:val="16"/>
          <w:lang w:val="es-ES_tradnl"/>
        </w:rPr>
        <w:t>á</w:t>
      </w:r>
      <w:r>
        <w:rPr>
          <w:spacing w:val="-7"/>
          <w:sz w:val="16"/>
          <w:szCs w:val="16"/>
          <w:lang w:val="es-ES_tradnl"/>
        </w:rPr>
        <w:t xml:space="preserve"> realizar de la siguiente </w:t>
      </w:r>
      <w:r>
        <w:rPr>
          <w:spacing w:val="-8"/>
          <w:sz w:val="16"/>
          <w:szCs w:val="16"/>
          <w:lang w:val="es-ES_tradnl"/>
        </w:rPr>
        <w:t>manera: en caso de tasa anual se pagar</w:t>
      </w:r>
      <w:r>
        <w:rPr>
          <w:rFonts w:cs="Times New Roman"/>
          <w:spacing w:val="-8"/>
          <w:sz w:val="16"/>
          <w:szCs w:val="16"/>
          <w:lang w:val="es-ES_tradnl"/>
        </w:rPr>
        <w:t>á</w:t>
      </w:r>
      <w:r>
        <w:rPr>
          <w:spacing w:val="-8"/>
          <w:sz w:val="16"/>
          <w:szCs w:val="16"/>
          <w:lang w:val="es-ES_tradnl"/>
        </w:rPr>
        <w:t xml:space="preserve"> dentro del plazo </w:t>
      </w:r>
      <w:r>
        <w:rPr>
          <w:spacing w:val="-7"/>
          <w:sz w:val="16"/>
          <w:szCs w:val="16"/>
          <w:lang w:val="es-ES_tradnl"/>
        </w:rPr>
        <w:t>improrrogable a los primeros quince d</w:t>
      </w:r>
      <w:r>
        <w:rPr>
          <w:rFonts w:cs="Times New Roman"/>
          <w:spacing w:val="-7"/>
          <w:sz w:val="16"/>
          <w:szCs w:val="16"/>
          <w:lang w:val="es-ES_tradnl"/>
        </w:rPr>
        <w:t>í</w:t>
      </w:r>
      <w:r>
        <w:rPr>
          <w:spacing w:val="-7"/>
          <w:sz w:val="16"/>
          <w:szCs w:val="16"/>
          <w:lang w:val="es-ES_tradnl"/>
        </w:rPr>
        <w:t>as de cada a</w:t>
      </w:r>
      <w:r>
        <w:rPr>
          <w:rFonts w:cs="Times New Roman"/>
          <w:spacing w:val="-7"/>
          <w:sz w:val="16"/>
          <w:szCs w:val="16"/>
          <w:lang w:val="es-ES_tradnl"/>
        </w:rPr>
        <w:t>ñ</w:t>
      </w:r>
      <w:r>
        <w:rPr>
          <w:spacing w:val="-7"/>
          <w:sz w:val="16"/>
          <w:szCs w:val="16"/>
          <w:lang w:val="es-ES_tradnl"/>
        </w:rPr>
        <w:t xml:space="preserve">o, en los </w:t>
      </w:r>
      <w:r>
        <w:rPr>
          <w:spacing w:val="-8"/>
          <w:sz w:val="16"/>
          <w:szCs w:val="16"/>
          <w:lang w:val="es-ES_tradnl"/>
        </w:rPr>
        <w:t>dem</w:t>
      </w:r>
      <w:r>
        <w:rPr>
          <w:rFonts w:cs="Times New Roman"/>
          <w:spacing w:val="-8"/>
          <w:sz w:val="16"/>
          <w:szCs w:val="16"/>
          <w:lang w:val="es-ES_tradnl"/>
        </w:rPr>
        <w:t>á</w:t>
      </w:r>
      <w:r>
        <w:rPr>
          <w:spacing w:val="-8"/>
          <w:sz w:val="16"/>
          <w:szCs w:val="16"/>
          <w:lang w:val="es-ES_tradnl"/>
        </w:rPr>
        <w:t>s casos se pagar</w:t>
      </w:r>
      <w:r>
        <w:rPr>
          <w:rFonts w:cs="Times New Roman"/>
          <w:spacing w:val="-8"/>
          <w:sz w:val="16"/>
          <w:szCs w:val="16"/>
          <w:lang w:val="es-ES_tradnl"/>
        </w:rPr>
        <w:t>á</w:t>
      </w:r>
      <w:r>
        <w:rPr>
          <w:spacing w:val="-8"/>
          <w:sz w:val="16"/>
          <w:szCs w:val="16"/>
          <w:lang w:val="es-ES_tradnl"/>
        </w:rPr>
        <w:t xml:space="preserve"> dentro de los primeros ocho d</w:t>
      </w:r>
      <w:r>
        <w:rPr>
          <w:rFonts w:cs="Times New Roman"/>
          <w:spacing w:val="-8"/>
          <w:sz w:val="16"/>
          <w:szCs w:val="16"/>
          <w:lang w:val="es-ES_tradnl"/>
        </w:rPr>
        <w:t>í</w:t>
      </w:r>
      <w:r>
        <w:rPr>
          <w:spacing w:val="-8"/>
          <w:sz w:val="16"/>
          <w:szCs w:val="16"/>
          <w:lang w:val="es-ES_tradnl"/>
        </w:rPr>
        <w:t xml:space="preserve">as del </w:t>
      </w:r>
      <w:r>
        <w:rPr>
          <w:sz w:val="16"/>
          <w:szCs w:val="16"/>
          <w:lang w:val="es-ES_tradnl"/>
        </w:rPr>
        <w:t>mes subsiguiente.</w:t>
      </w:r>
    </w:p>
    <w:p w14:paraId="4F67A839" w14:textId="77777777" w:rsidR="00591D54" w:rsidRDefault="00591D54">
      <w:pPr>
        <w:shd w:val="clear" w:color="auto" w:fill="FFFFFF"/>
        <w:spacing w:before="197" w:line="216" w:lineRule="exact"/>
        <w:jc w:val="both"/>
      </w:pPr>
      <w:r>
        <w:rPr>
          <w:b/>
          <w:bCs/>
          <w:spacing w:val="-8"/>
          <w:sz w:val="18"/>
          <w:szCs w:val="18"/>
          <w:lang w:val="es-ES_tradnl"/>
        </w:rPr>
        <w:t>Fundamentos y pretensi</w:t>
      </w:r>
      <w:r>
        <w:rPr>
          <w:rFonts w:cs="Times New Roman"/>
          <w:b/>
          <w:bCs/>
          <w:spacing w:val="-8"/>
          <w:sz w:val="18"/>
          <w:szCs w:val="18"/>
          <w:lang w:val="es-ES_tradnl"/>
        </w:rPr>
        <w:t>ó</w:t>
      </w:r>
      <w:r>
        <w:rPr>
          <w:b/>
          <w:bCs/>
          <w:spacing w:val="-8"/>
          <w:sz w:val="18"/>
          <w:szCs w:val="18"/>
          <w:lang w:val="es-ES_tradnl"/>
        </w:rPr>
        <w:t xml:space="preserve">n de la demanda de </w:t>
      </w:r>
      <w:r>
        <w:rPr>
          <w:b/>
          <w:bCs/>
          <w:sz w:val="18"/>
          <w:szCs w:val="18"/>
          <w:lang w:val="es-ES_tradnl"/>
        </w:rPr>
        <w:t>inconstitucionalidad</w:t>
      </w:r>
    </w:p>
    <w:p w14:paraId="4F67A83A" w14:textId="77777777" w:rsidR="00591D54" w:rsidRDefault="00591D54">
      <w:pPr>
        <w:shd w:val="clear" w:color="auto" w:fill="FFFFFF"/>
        <w:spacing w:before="192"/>
      </w:pPr>
      <w:r>
        <w:rPr>
          <w:b/>
          <w:bCs/>
          <w:spacing w:val="-8"/>
          <w:sz w:val="18"/>
          <w:szCs w:val="18"/>
          <w:lang w:val="es-ES_tradnl"/>
        </w:rPr>
        <w:t>Detalle y fundamento de la demanda</w:t>
      </w:r>
    </w:p>
    <w:p w14:paraId="4F67A83B" w14:textId="77777777" w:rsidR="00591D54" w:rsidRDefault="00591D54">
      <w:pPr>
        <w:shd w:val="clear" w:color="auto" w:fill="FFFFFF"/>
        <w:spacing w:before="197" w:line="216" w:lineRule="exact"/>
        <w:jc w:val="both"/>
      </w:pPr>
      <w:r>
        <w:rPr>
          <w:spacing w:val="-8"/>
          <w:sz w:val="18"/>
          <w:szCs w:val="18"/>
          <w:lang w:val="es-ES_tradnl"/>
        </w:rPr>
        <w:t>La accionante expresa que la Constituci</w:t>
      </w:r>
      <w:r>
        <w:rPr>
          <w:rFonts w:cs="Times New Roman"/>
          <w:spacing w:val="-8"/>
          <w:sz w:val="18"/>
          <w:szCs w:val="18"/>
          <w:lang w:val="es-ES_tradnl"/>
        </w:rPr>
        <w:t>ó</w:t>
      </w:r>
      <w:r>
        <w:rPr>
          <w:spacing w:val="-8"/>
          <w:sz w:val="18"/>
          <w:szCs w:val="18"/>
          <w:lang w:val="es-ES_tradnl"/>
        </w:rPr>
        <w:t>n de la Rep</w:t>
      </w:r>
      <w:r>
        <w:rPr>
          <w:rFonts w:cs="Times New Roman"/>
          <w:spacing w:val="-8"/>
          <w:sz w:val="18"/>
          <w:szCs w:val="18"/>
          <w:lang w:val="es-ES_tradnl"/>
        </w:rPr>
        <w:t>ú</w:t>
      </w:r>
      <w:r>
        <w:rPr>
          <w:spacing w:val="-8"/>
          <w:sz w:val="18"/>
          <w:szCs w:val="18"/>
          <w:lang w:val="es-ES_tradnl"/>
        </w:rPr>
        <w:t>blica plantea un esquema de asignaci</w:t>
      </w:r>
      <w:r>
        <w:rPr>
          <w:rFonts w:cs="Times New Roman"/>
          <w:spacing w:val="-8"/>
          <w:sz w:val="18"/>
          <w:szCs w:val="18"/>
          <w:lang w:val="es-ES_tradnl"/>
        </w:rPr>
        <w:t>ó</w:t>
      </w:r>
      <w:r>
        <w:rPr>
          <w:spacing w:val="-8"/>
          <w:sz w:val="18"/>
          <w:szCs w:val="18"/>
          <w:lang w:val="es-ES_tradnl"/>
        </w:rPr>
        <w:t>n de competencias, las mismas que se distribuyen con car</w:t>
      </w:r>
      <w:r>
        <w:rPr>
          <w:rFonts w:cs="Times New Roman"/>
          <w:spacing w:val="-8"/>
          <w:sz w:val="18"/>
          <w:szCs w:val="18"/>
          <w:lang w:val="es-ES_tradnl"/>
        </w:rPr>
        <w:t>á</w:t>
      </w:r>
      <w:r>
        <w:rPr>
          <w:spacing w:val="-8"/>
          <w:sz w:val="18"/>
          <w:szCs w:val="18"/>
          <w:lang w:val="es-ES_tradnl"/>
        </w:rPr>
        <w:t xml:space="preserve">cter exclusivo entre los diversos niveles territoriales; en este sentido, afirma que la </w:t>
      </w:r>
      <w:r>
        <w:rPr>
          <w:spacing w:val="-7"/>
          <w:sz w:val="18"/>
          <w:szCs w:val="18"/>
          <w:lang w:val="es-ES_tradnl"/>
        </w:rPr>
        <w:t>calificaci</w:t>
      </w:r>
      <w:r>
        <w:rPr>
          <w:rFonts w:cs="Times New Roman"/>
          <w:spacing w:val="-7"/>
          <w:sz w:val="18"/>
          <w:szCs w:val="18"/>
          <w:lang w:val="es-ES_tradnl"/>
        </w:rPr>
        <w:t>ó</w:t>
      </w:r>
      <w:r>
        <w:rPr>
          <w:spacing w:val="-7"/>
          <w:sz w:val="18"/>
          <w:szCs w:val="18"/>
          <w:lang w:val="es-ES_tradnl"/>
        </w:rPr>
        <w:t xml:space="preserve">n de exclusivas implica que estas competencias solo pueden ser ejercidas por el nivel de gobierno que las </w:t>
      </w:r>
      <w:r>
        <w:rPr>
          <w:sz w:val="18"/>
          <w:szCs w:val="18"/>
          <w:lang w:val="es-ES_tradnl"/>
        </w:rPr>
        <w:t>tiene y no por ning</w:t>
      </w:r>
      <w:r>
        <w:rPr>
          <w:rFonts w:cs="Times New Roman"/>
          <w:sz w:val="18"/>
          <w:szCs w:val="18"/>
          <w:lang w:val="es-ES_tradnl"/>
        </w:rPr>
        <w:t>ú</w:t>
      </w:r>
      <w:r>
        <w:rPr>
          <w:sz w:val="18"/>
          <w:szCs w:val="18"/>
          <w:lang w:val="es-ES_tradnl"/>
        </w:rPr>
        <w:t>n otro.</w:t>
      </w:r>
    </w:p>
    <w:p w14:paraId="4F67A83C" w14:textId="77777777" w:rsidR="00591D54" w:rsidRDefault="00591D54">
      <w:pPr>
        <w:shd w:val="clear" w:color="auto" w:fill="FFFFFF"/>
        <w:spacing w:before="197" w:line="216" w:lineRule="exact"/>
        <w:jc w:val="both"/>
      </w:pPr>
      <w:r>
        <w:rPr>
          <w:spacing w:val="-8"/>
          <w:sz w:val="18"/>
          <w:szCs w:val="18"/>
          <w:lang w:val="es-ES_tradnl"/>
        </w:rPr>
        <w:t>Adem</w:t>
      </w:r>
      <w:r>
        <w:rPr>
          <w:rFonts w:cs="Times New Roman"/>
          <w:spacing w:val="-8"/>
          <w:sz w:val="18"/>
          <w:szCs w:val="18"/>
          <w:lang w:val="es-ES_tradnl"/>
        </w:rPr>
        <w:t>á</w:t>
      </w:r>
      <w:r>
        <w:rPr>
          <w:spacing w:val="-8"/>
          <w:sz w:val="18"/>
          <w:szCs w:val="18"/>
          <w:lang w:val="es-ES_tradnl"/>
        </w:rPr>
        <w:t xml:space="preserve">s, manifiesta que al Estado central le corresponde </w:t>
      </w:r>
      <w:r>
        <w:rPr>
          <w:spacing w:val="-9"/>
          <w:sz w:val="18"/>
          <w:szCs w:val="18"/>
          <w:lang w:val="es-ES_tradnl"/>
        </w:rPr>
        <w:t>tanto el r</w:t>
      </w:r>
      <w:r>
        <w:rPr>
          <w:rFonts w:cs="Times New Roman"/>
          <w:spacing w:val="-9"/>
          <w:sz w:val="18"/>
          <w:szCs w:val="18"/>
          <w:lang w:val="es-ES_tradnl"/>
        </w:rPr>
        <w:t>é</w:t>
      </w:r>
      <w:r>
        <w:rPr>
          <w:spacing w:val="-9"/>
          <w:sz w:val="18"/>
          <w:szCs w:val="18"/>
          <w:lang w:val="es-ES_tradnl"/>
        </w:rPr>
        <w:t xml:space="preserve">gimen de las telecomunicaciones como el manejo </w:t>
      </w:r>
      <w:r>
        <w:rPr>
          <w:spacing w:val="-8"/>
          <w:sz w:val="18"/>
          <w:szCs w:val="18"/>
          <w:lang w:val="es-ES_tradnl"/>
        </w:rPr>
        <w:t>del espectro radioel</w:t>
      </w:r>
      <w:r>
        <w:rPr>
          <w:rFonts w:cs="Times New Roman"/>
          <w:spacing w:val="-8"/>
          <w:sz w:val="18"/>
          <w:szCs w:val="18"/>
          <w:lang w:val="es-ES_tradnl"/>
        </w:rPr>
        <w:t>é</w:t>
      </w:r>
      <w:r>
        <w:rPr>
          <w:spacing w:val="-8"/>
          <w:sz w:val="18"/>
          <w:szCs w:val="18"/>
          <w:lang w:val="es-ES_tradnl"/>
        </w:rPr>
        <w:t>ctrico, teniendo por tanto, atribuciones sobre estos temas. Agrega tambi</w:t>
      </w:r>
      <w:r>
        <w:rPr>
          <w:rFonts w:cs="Times New Roman"/>
          <w:spacing w:val="-8"/>
          <w:sz w:val="18"/>
          <w:szCs w:val="18"/>
          <w:lang w:val="es-ES_tradnl"/>
        </w:rPr>
        <w:t>é</w:t>
      </w:r>
      <w:r>
        <w:rPr>
          <w:spacing w:val="-8"/>
          <w:sz w:val="18"/>
          <w:szCs w:val="18"/>
          <w:lang w:val="es-ES_tradnl"/>
        </w:rPr>
        <w:t xml:space="preserve">n, que los gobiernos </w:t>
      </w:r>
      <w:r>
        <w:rPr>
          <w:spacing w:val="-7"/>
          <w:sz w:val="18"/>
          <w:szCs w:val="18"/>
          <w:lang w:val="es-ES_tradnl"/>
        </w:rPr>
        <w:t>aut</w:t>
      </w:r>
      <w:r>
        <w:rPr>
          <w:rFonts w:cs="Times New Roman"/>
          <w:spacing w:val="-7"/>
          <w:sz w:val="18"/>
          <w:szCs w:val="18"/>
          <w:lang w:val="es-ES_tradnl"/>
        </w:rPr>
        <w:t>ó</w:t>
      </w:r>
      <w:r>
        <w:rPr>
          <w:spacing w:val="-7"/>
          <w:sz w:val="18"/>
          <w:szCs w:val="18"/>
          <w:lang w:val="es-ES_tradnl"/>
        </w:rPr>
        <w:t xml:space="preserve">nomos descentralizados, entre ellos, los municipales, </w:t>
      </w:r>
      <w:r>
        <w:rPr>
          <w:sz w:val="18"/>
          <w:szCs w:val="18"/>
          <w:lang w:val="es-ES_tradnl"/>
        </w:rPr>
        <w:t>carecen de competencia en esta materia.</w:t>
      </w:r>
    </w:p>
    <w:p w14:paraId="4F67A83D" w14:textId="77777777" w:rsidR="00591D54" w:rsidRDefault="00591D54">
      <w:pPr>
        <w:shd w:val="clear" w:color="auto" w:fill="FFFFFF"/>
        <w:spacing w:before="197" w:line="216" w:lineRule="exact"/>
        <w:jc w:val="both"/>
      </w:pPr>
      <w:r>
        <w:rPr>
          <w:spacing w:val="-4"/>
          <w:sz w:val="18"/>
          <w:szCs w:val="18"/>
          <w:lang w:val="es-ES_tradnl"/>
        </w:rPr>
        <w:t>Afirma la accionante que la intromisi</w:t>
      </w:r>
      <w:r>
        <w:rPr>
          <w:rFonts w:cs="Times New Roman"/>
          <w:spacing w:val="-4"/>
          <w:sz w:val="18"/>
          <w:szCs w:val="18"/>
          <w:lang w:val="es-ES_tradnl"/>
        </w:rPr>
        <w:t>ó</w:t>
      </w:r>
      <w:r>
        <w:rPr>
          <w:spacing w:val="-4"/>
          <w:sz w:val="18"/>
          <w:szCs w:val="18"/>
          <w:lang w:val="es-ES_tradnl"/>
        </w:rPr>
        <w:t xml:space="preserve">n de un gobierno </w:t>
      </w:r>
      <w:r>
        <w:rPr>
          <w:spacing w:val="-10"/>
          <w:sz w:val="18"/>
          <w:szCs w:val="18"/>
          <w:lang w:val="es-ES_tradnl"/>
        </w:rPr>
        <w:t>aut</w:t>
      </w:r>
      <w:r>
        <w:rPr>
          <w:rFonts w:cs="Times New Roman"/>
          <w:spacing w:val="-10"/>
          <w:sz w:val="18"/>
          <w:szCs w:val="18"/>
          <w:lang w:val="es-ES_tradnl"/>
        </w:rPr>
        <w:t>ó</w:t>
      </w:r>
      <w:r>
        <w:rPr>
          <w:spacing w:val="-10"/>
          <w:sz w:val="18"/>
          <w:szCs w:val="18"/>
          <w:lang w:val="es-ES_tradnl"/>
        </w:rPr>
        <w:t xml:space="preserve">nomo descentralizado municipal en temas relacionados </w:t>
      </w:r>
      <w:r>
        <w:rPr>
          <w:spacing w:val="-7"/>
          <w:sz w:val="18"/>
          <w:szCs w:val="18"/>
          <w:lang w:val="es-ES_tradnl"/>
        </w:rPr>
        <w:t xml:space="preserve">con las telecomunicaciones o con el manejo del espectro </w:t>
      </w:r>
      <w:r>
        <w:rPr>
          <w:spacing w:val="-8"/>
          <w:sz w:val="18"/>
          <w:szCs w:val="18"/>
          <w:lang w:val="es-ES_tradnl"/>
        </w:rPr>
        <w:t>radioel</w:t>
      </w:r>
      <w:r>
        <w:rPr>
          <w:rFonts w:cs="Times New Roman"/>
          <w:spacing w:val="-8"/>
          <w:sz w:val="18"/>
          <w:szCs w:val="18"/>
          <w:lang w:val="es-ES_tradnl"/>
        </w:rPr>
        <w:t>é</w:t>
      </w:r>
      <w:r>
        <w:rPr>
          <w:spacing w:val="-8"/>
          <w:sz w:val="18"/>
          <w:szCs w:val="18"/>
          <w:lang w:val="es-ES_tradnl"/>
        </w:rPr>
        <w:t xml:space="preserve">ctrico, violenta expresos mandatos constitucionales </w:t>
      </w:r>
      <w:r>
        <w:rPr>
          <w:spacing w:val="-6"/>
          <w:sz w:val="18"/>
          <w:szCs w:val="18"/>
          <w:lang w:val="es-ES_tradnl"/>
        </w:rPr>
        <w:t>y seg</w:t>
      </w:r>
      <w:r>
        <w:rPr>
          <w:rFonts w:cs="Times New Roman"/>
          <w:spacing w:val="-6"/>
          <w:sz w:val="18"/>
          <w:szCs w:val="18"/>
          <w:lang w:val="es-ES_tradnl"/>
        </w:rPr>
        <w:t>ú</w:t>
      </w:r>
      <w:r>
        <w:rPr>
          <w:spacing w:val="-6"/>
          <w:sz w:val="18"/>
          <w:szCs w:val="18"/>
          <w:lang w:val="es-ES_tradnl"/>
        </w:rPr>
        <w:t>n lo dispone el art</w:t>
      </w:r>
      <w:r>
        <w:rPr>
          <w:rFonts w:cs="Times New Roman"/>
          <w:spacing w:val="-6"/>
          <w:sz w:val="18"/>
          <w:szCs w:val="18"/>
          <w:lang w:val="es-ES_tradnl"/>
        </w:rPr>
        <w:t>í</w:t>
      </w:r>
      <w:r>
        <w:rPr>
          <w:spacing w:val="-6"/>
          <w:sz w:val="18"/>
          <w:szCs w:val="18"/>
          <w:lang w:val="es-ES_tradnl"/>
        </w:rPr>
        <w:t>culo 424 de la Constituci</w:t>
      </w:r>
      <w:r>
        <w:rPr>
          <w:rFonts w:cs="Times New Roman"/>
          <w:spacing w:val="-6"/>
          <w:sz w:val="18"/>
          <w:szCs w:val="18"/>
          <w:lang w:val="es-ES_tradnl"/>
        </w:rPr>
        <w:t>ó</w:t>
      </w:r>
      <w:r>
        <w:rPr>
          <w:spacing w:val="-6"/>
          <w:sz w:val="18"/>
          <w:szCs w:val="18"/>
          <w:lang w:val="es-ES_tradnl"/>
        </w:rPr>
        <w:t xml:space="preserve">n de la </w:t>
      </w:r>
      <w:r>
        <w:rPr>
          <w:spacing w:val="-8"/>
          <w:sz w:val="18"/>
          <w:szCs w:val="18"/>
          <w:lang w:val="es-ES_tradnl"/>
        </w:rPr>
        <w:t>Rep</w:t>
      </w:r>
      <w:r>
        <w:rPr>
          <w:rFonts w:cs="Times New Roman"/>
          <w:spacing w:val="-8"/>
          <w:sz w:val="18"/>
          <w:szCs w:val="18"/>
          <w:lang w:val="es-ES_tradnl"/>
        </w:rPr>
        <w:t>ú</w:t>
      </w:r>
      <w:r>
        <w:rPr>
          <w:spacing w:val="-8"/>
          <w:sz w:val="18"/>
          <w:szCs w:val="18"/>
          <w:lang w:val="es-ES_tradnl"/>
        </w:rPr>
        <w:t>blica, carece de eficacia jur</w:t>
      </w:r>
      <w:r>
        <w:rPr>
          <w:rFonts w:cs="Times New Roman"/>
          <w:spacing w:val="-8"/>
          <w:sz w:val="18"/>
          <w:szCs w:val="18"/>
          <w:lang w:val="es-ES_tradnl"/>
        </w:rPr>
        <w:t>í</w:t>
      </w:r>
      <w:r>
        <w:rPr>
          <w:spacing w:val="-8"/>
          <w:sz w:val="18"/>
          <w:szCs w:val="18"/>
          <w:lang w:val="es-ES_tradnl"/>
        </w:rPr>
        <w:t xml:space="preserve">dica cualquier ordenanza </w:t>
      </w:r>
      <w:r>
        <w:rPr>
          <w:sz w:val="18"/>
          <w:szCs w:val="18"/>
          <w:lang w:val="es-ES_tradnl"/>
        </w:rPr>
        <w:t>sobre esa materia.</w:t>
      </w:r>
    </w:p>
    <w:p w14:paraId="4F67A83E" w14:textId="77777777" w:rsidR="00591D54" w:rsidRDefault="00591D54">
      <w:pPr>
        <w:shd w:val="clear" w:color="auto" w:fill="FFFFFF"/>
        <w:spacing w:before="197" w:line="216" w:lineRule="exact"/>
        <w:jc w:val="both"/>
      </w:pPr>
      <w:r>
        <w:rPr>
          <w:spacing w:val="-7"/>
          <w:sz w:val="18"/>
          <w:szCs w:val="18"/>
          <w:lang w:val="es-ES_tradnl"/>
        </w:rPr>
        <w:t>Las normas que son impugnadas en virtud de esta acci</w:t>
      </w:r>
      <w:r>
        <w:rPr>
          <w:rFonts w:cs="Times New Roman"/>
          <w:spacing w:val="-7"/>
          <w:sz w:val="18"/>
          <w:szCs w:val="18"/>
          <w:lang w:val="es-ES_tradnl"/>
        </w:rPr>
        <w:t>ó</w:t>
      </w:r>
      <w:r>
        <w:rPr>
          <w:spacing w:val="-7"/>
          <w:sz w:val="18"/>
          <w:szCs w:val="18"/>
          <w:lang w:val="es-ES_tradnl"/>
        </w:rPr>
        <w:t xml:space="preserve">n </w:t>
      </w:r>
      <w:r>
        <w:rPr>
          <w:spacing w:val="-9"/>
          <w:sz w:val="18"/>
          <w:szCs w:val="18"/>
          <w:lang w:val="es-ES_tradnl"/>
        </w:rPr>
        <w:t xml:space="preserve">de inconstitucionalidad, regulan tasas por el uso del espacio </w:t>
      </w:r>
      <w:r>
        <w:rPr>
          <w:spacing w:val="-10"/>
          <w:sz w:val="18"/>
          <w:szCs w:val="18"/>
          <w:lang w:val="es-ES_tradnl"/>
        </w:rPr>
        <w:t>a</w:t>
      </w:r>
      <w:r>
        <w:rPr>
          <w:rFonts w:cs="Times New Roman"/>
          <w:spacing w:val="-10"/>
          <w:sz w:val="18"/>
          <w:szCs w:val="18"/>
          <w:lang w:val="es-ES_tradnl"/>
        </w:rPr>
        <w:t>é</w:t>
      </w:r>
      <w:r>
        <w:rPr>
          <w:spacing w:val="-10"/>
          <w:sz w:val="18"/>
          <w:szCs w:val="18"/>
          <w:lang w:val="es-ES_tradnl"/>
        </w:rPr>
        <w:t>reo y por la emisi</w:t>
      </w:r>
      <w:r>
        <w:rPr>
          <w:rFonts w:cs="Times New Roman"/>
          <w:spacing w:val="-10"/>
          <w:sz w:val="18"/>
          <w:szCs w:val="18"/>
          <w:lang w:val="es-ES_tradnl"/>
        </w:rPr>
        <w:t>ó</w:t>
      </w:r>
      <w:r>
        <w:rPr>
          <w:spacing w:val="-10"/>
          <w:sz w:val="18"/>
          <w:szCs w:val="18"/>
          <w:lang w:val="es-ES_tradnl"/>
        </w:rPr>
        <w:t>n de frecuencias o se</w:t>
      </w:r>
      <w:r>
        <w:rPr>
          <w:rFonts w:cs="Times New Roman"/>
          <w:spacing w:val="-10"/>
          <w:sz w:val="18"/>
          <w:szCs w:val="18"/>
          <w:lang w:val="es-ES_tradnl"/>
        </w:rPr>
        <w:t>ñ</w:t>
      </w:r>
      <w:r>
        <w:rPr>
          <w:spacing w:val="-10"/>
          <w:sz w:val="18"/>
          <w:szCs w:val="18"/>
          <w:lang w:val="es-ES_tradnl"/>
        </w:rPr>
        <w:t xml:space="preserve">ales que ocupan </w:t>
      </w:r>
      <w:r>
        <w:rPr>
          <w:spacing w:val="-7"/>
          <w:sz w:val="18"/>
          <w:szCs w:val="18"/>
          <w:lang w:val="es-ES_tradnl"/>
        </w:rPr>
        <w:t>el espacio a</w:t>
      </w:r>
      <w:r>
        <w:rPr>
          <w:rFonts w:cs="Times New Roman"/>
          <w:spacing w:val="-7"/>
          <w:sz w:val="18"/>
          <w:szCs w:val="18"/>
          <w:lang w:val="es-ES_tradnl"/>
        </w:rPr>
        <w:t>é</w:t>
      </w:r>
      <w:r>
        <w:rPr>
          <w:spacing w:val="-7"/>
          <w:sz w:val="18"/>
          <w:szCs w:val="18"/>
          <w:lang w:val="es-ES_tradnl"/>
        </w:rPr>
        <w:t>reo; situaci</w:t>
      </w:r>
      <w:r>
        <w:rPr>
          <w:rFonts w:cs="Times New Roman"/>
          <w:spacing w:val="-7"/>
          <w:sz w:val="18"/>
          <w:szCs w:val="18"/>
          <w:lang w:val="es-ES_tradnl"/>
        </w:rPr>
        <w:t>ó</w:t>
      </w:r>
      <w:r>
        <w:rPr>
          <w:spacing w:val="-7"/>
          <w:sz w:val="18"/>
          <w:szCs w:val="18"/>
          <w:lang w:val="es-ES_tradnl"/>
        </w:rPr>
        <w:t xml:space="preserve">n frente a la cual los gobiernos </w:t>
      </w:r>
      <w:r>
        <w:rPr>
          <w:spacing w:val="-8"/>
          <w:sz w:val="18"/>
          <w:szCs w:val="18"/>
          <w:lang w:val="es-ES_tradnl"/>
        </w:rPr>
        <w:t>aut</w:t>
      </w:r>
      <w:r>
        <w:rPr>
          <w:rFonts w:cs="Times New Roman"/>
          <w:spacing w:val="-8"/>
          <w:sz w:val="18"/>
          <w:szCs w:val="18"/>
          <w:lang w:val="es-ES_tradnl"/>
        </w:rPr>
        <w:t>ó</w:t>
      </w:r>
      <w:r>
        <w:rPr>
          <w:spacing w:val="-8"/>
          <w:sz w:val="18"/>
          <w:szCs w:val="18"/>
          <w:lang w:val="es-ES_tradnl"/>
        </w:rPr>
        <w:t xml:space="preserve">nomos descentralizados municipales, entre ellos, el de </w:t>
      </w:r>
      <w:r>
        <w:rPr>
          <w:spacing w:val="-11"/>
          <w:sz w:val="18"/>
          <w:szCs w:val="18"/>
          <w:lang w:val="es-ES_tradnl"/>
        </w:rPr>
        <w:t>San Francisco de Puebloviejo no tienen competencia. Se</w:t>
      </w:r>
      <w:r>
        <w:rPr>
          <w:rFonts w:cs="Times New Roman"/>
          <w:spacing w:val="-11"/>
          <w:sz w:val="18"/>
          <w:szCs w:val="18"/>
          <w:lang w:val="es-ES_tradnl"/>
        </w:rPr>
        <w:t>ñ</w:t>
      </w:r>
      <w:r>
        <w:rPr>
          <w:spacing w:val="-11"/>
          <w:sz w:val="18"/>
          <w:szCs w:val="18"/>
          <w:lang w:val="es-ES_tradnl"/>
        </w:rPr>
        <w:t xml:space="preserve">ala </w:t>
      </w:r>
      <w:r>
        <w:rPr>
          <w:spacing w:val="-6"/>
          <w:sz w:val="18"/>
          <w:szCs w:val="18"/>
          <w:lang w:val="es-ES_tradnl"/>
        </w:rPr>
        <w:t xml:space="preserve">que este gobierno municipal excede sus competencias </w:t>
      </w:r>
      <w:r>
        <w:rPr>
          <w:spacing w:val="-10"/>
          <w:sz w:val="18"/>
          <w:szCs w:val="18"/>
          <w:lang w:val="es-ES_tradnl"/>
        </w:rPr>
        <w:t>cuando pretende regular bienes como el espacio a</w:t>
      </w:r>
      <w:r>
        <w:rPr>
          <w:rFonts w:cs="Times New Roman"/>
          <w:spacing w:val="-10"/>
          <w:sz w:val="18"/>
          <w:szCs w:val="18"/>
          <w:lang w:val="es-ES_tradnl"/>
        </w:rPr>
        <w:t>é</w:t>
      </w:r>
      <w:r>
        <w:rPr>
          <w:spacing w:val="-10"/>
          <w:sz w:val="18"/>
          <w:szCs w:val="18"/>
          <w:lang w:val="es-ES_tradnl"/>
        </w:rPr>
        <w:t xml:space="preserve">reo, que </w:t>
      </w:r>
      <w:r>
        <w:rPr>
          <w:spacing w:val="-8"/>
          <w:sz w:val="18"/>
          <w:szCs w:val="18"/>
          <w:lang w:val="es-ES_tradnl"/>
        </w:rPr>
        <w:t>est</w:t>
      </w:r>
      <w:r>
        <w:rPr>
          <w:rFonts w:cs="Times New Roman"/>
          <w:spacing w:val="-8"/>
          <w:sz w:val="18"/>
          <w:szCs w:val="18"/>
          <w:lang w:val="es-ES_tradnl"/>
        </w:rPr>
        <w:t>á</w:t>
      </w:r>
      <w:r>
        <w:rPr>
          <w:spacing w:val="-8"/>
          <w:sz w:val="18"/>
          <w:szCs w:val="18"/>
          <w:lang w:val="es-ES_tradnl"/>
        </w:rPr>
        <w:t xml:space="preserve">n fuera del </w:t>
      </w:r>
      <w:r>
        <w:rPr>
          <w:rFonts w:cs="Times New Roman"/>
          <w:spacing w:val="-8"/>
          <w:sz w:val="18"/>
          <w:szCs w:val="18"/>
          <w:lang w:val="es-ES_tradnl"/>
        </w:rPr>
        <w:t>á</w:t>
      </w:r>
      <w:r>
        <w:rPr>
          <w:spacing w:val="-8"/>
          <w:sz w:val="18"/>
          <w:szCs w:val="18"/>
          <w:lang w:val="es-ES_tradnl"/>
        </w:rPr>
        <w:t>mbito de sus atribuciones.</w:t>
      </w:r>
    </w:p>
    <w:p w14:paraId="4F67A83F" w14:textId="77777777" w:rsidR="00591D54" w:rsidRDefault="00591D54">
      <w:pPr>
        <w:shd w:val="clear" w:color="auto" w:fill="FFFFFF"/>
        <w:spacing w:before="197" w:line="216" w:lineRule="exact"/>
        <w:jc w:val="both"/>
      </w:pPr>
      <w:r>
        <w:rPr>
          <w:spacing w:val="-7"/>
          <w:sz w:val="18"/>
          <w:szCs w:val="18"/>
          <w:lang w:val="es-ES_tradnl"/>
        </w:rPr>
        <w:t>Seg</w:t>
      </w:r>
      <w:r>
        <w:rPr>
          <w:rFonts w:cs="Times New Roman"/>
          <w:spacing w:val="-7"/>
          <w:sz w:val="18"/>
          <w:szCs w:val="18"/>
          <w:lang w:val="es-ES_tradnl"/>
        </w:rPr>
        <w:t>ú</w:t>
      </w:r>
      <w:r>
        <w:rPr>
          <w:spacing w:val="-7"/>
          <w:sz w:val="18"/>
          <w:szCs w:val="18"/>
          <w:lang w:val="es-ES_tradnl"/>
        </w:rPr>
        <w:t>n la accionante, la pretensi</w:t>
      </w:r>
      <w:r>
        <w:rPr>
          <w:rFonts w:cs="Times New Roman"/>
          <w:spacing w:val="-7"/>
          <w:sz w:val="18"/>
          <w:szCs w:val="18"/>
          <w:lang w:val="es-ES_tradnl"/>
        </w:rPr>
        <w:t>ó</w:t>
      </w:r>
      <w:r>
        <w:rPr>
          <w:spacing w:val="-7"/>
          <w:sz w:val="18"/>
          <w:szCs w:val="18"/>
          <w:lang w:val="es-ES_tradnl"/>
        </w:rPr>
        <w:t xml:space="preserve">n del Concejo de San </w:t>
      </w:r>
      <w:r>
        <w:rPr>
          <w:spacing w:val="-6"/>
          <w:sz w:val="18"/>
          <w:szCs w:val="18"/>
          <w:lang w:val="es-ES_tradnl"/>
        </w:rPr>
        <w:t xml:space="preserve">Francisco de Puebloviejo es referirse al espacio no como </w:t>
      </w:r>
      <w:r>
        <w:rPr>
          <w:spacing w:val="-5"/>
          <w:sz w:val="18"/>
          <w:szCs w:val="18"/>
          <w:lang w:val="es-ES_tradnl"/>
        </w:rPr>
        <w:t>el espacio f</w:t>
      </w:r>
      <w:r>
        <w:rPr>
          <w:rFonts w:cs="Times New Roman"/>
          <w:spacing w:val="-5"/>
          <w:sz w:val="18"/>
          <w:szCs w:val="18"/>
          <w:lang w:val="es-ES_tradnl"/>
        </w:rPr>
        <w:t>í</w:t>
      </w:r>
      <w:r>
        <w:rPr>
          <w:spacing w:val="-5"/>
          <w:sz w:val="18"/>
          <w:szCs w:val="18"/>
          <w:lang w:val="es-ES_tradnl"/>
        </w:rPr>
        <w:t>sico, sino como el espectro radioel</w:t>
      </w:r>
      <w:r>
        <w:rPr>
          <w:rFonts w:cs="Times New Roman"/>
          <w:spacing w:val="-5"/>
          <w:sz w:val="18"/>
          <w:szCs w:val="18"/>
          <w:lang w:val="es-ES_tradnl"/>
        </w:rPr>
        <w:t>é</w:t>
      </w:r>
      <w:r>
        <w:rPr>
          <w:spacing w:val="-5"/>
          <w:sz w:val="18"/>
          <w:szCs w:val="18"/>
          <w:lang w:val="es-ES_tradnl"/>
        </w:rPr>
        <w:t xml:space="preserve">ctrico por </w:t>
      </w:r>
      <w:r>
        <w:rPr>
          <w:spacing w:val="-7"/>
          <w:sz w:val="18"/>
          <w:szCs w:val="18"/>
          <w:lang w:val="es-ES_tradnl"/>
        </w:rPr>
        <w:t>el cual se transmiten las ondas. Manifiesta asimismo, que esta pretensi</w:t>
      </w:r>
      <w:r>
        <w:rPr>
          <w:rFonts w:cs="Times New Roman"/>
          <w:spacing w:val="-7"/>
          <w:sz w:val="18"/>
          <w:szCs w:val="18"/>
          <w:lang w:val="es-ES_tradnl"/>
        </w:rPr>
        <w:t>ó</w:t>
      </w:r>
      <w:r>
        <w:rPr>
          <w:spacing w:val="-7"/>
          <w:sz w:val="18"/>
          <w:szCs w:val="18"/>
          <w:lang w:val="es-ES_tradnl"/>
        </w:rPr>
        <w:t xml:space="preserve">n es abiertamente inconstitucional pues, la </w:t>
      </w:r>
      <w:r>
        <w:rPr>
          <w:spacing w:val="-6"/>
          <w:sz w:val="18"/>
          <w:szCs w:val="18"/>
          <w:lang w:val="es-ES_tradnl"/>
        </w:rPr>
        <w:t>competencia sobre el espectro radioel</w:t>
      </w:r>
      <w:r>
        <w:rPr>
          <w:rFonts w:cs="Times New Roman"/>
          <w:spacing w:val="-6"/>
          <w:sz w:val="18"/>
          <w:szCs w:val="18"/>
          <w:lang w:val="es-ES_tradnl"/>
        </w:rPr>
        <w:t>é</w:t>
      </w:r>
      <w:r>
        <w:rPr>
          <w:spacing w:val="-6"/>
          <w:sz w:val="18"/>
          <w:szCs w:val="18"/>
          <w:lang w:val="es-ES_tradnl"/>
        </w:rPr>
        <w:t>ctrico es exclusiva</w:t>
      </w:r>
    </w:p>
    <w:p w14:paraId="4F67A840" w14:textId="77777777" w:rsidR="00591D54" w:rsidRDefault="00591D54">
      <w:pPr>
        <w:shd w:val="clear" w:color="auto" w:fill="FFFFFF"/>
        <w:spacing w:before="197" w:line="216" w:lineRule="exact"/>
        <w:jc w:val="both"/>
        <w:sectPr w:rsidR="00591D54">
          <w:type w:val="continuous"/>
          <w:pgSz w:w="11909" w:h="16834"/>
          <w:pgMar w:top="1373" w:right="1309" w:bottom="360" w:left="1308" w:header="720" w:footer="720" w:gutter="0"/>
          <w:cols w:num="2" w:space="720" w:equalWidth="0">
            <w:col w:w="4305" w:space="682"/>
            <w:col w:w="4305"/>
          </w:cols>
          <w:noEndnote/>
        </w:sectPr>
      </w:pPr>
    </w:p>
    <w:p w14:paraId="4F67A841" w14:textId="77777777" w:rsidR="00591D54" w:rsidRDefault="00591D54">
      <w:pPr>
        <w:shd w:val="clear" w:color="auto" w:fill="FFFFFF"/>
        <w:tabs>
          <w:tab w:val="left" w:pos="4814"/>
        </w:tabs>
        <w:spacing w:after="230"/>
        <w:ind w:left="5"/>
      </w:pPr>
      <w:r>
        <w:rPr>
          <w:b/>
          <w:bCs/>
          <w:sz w:val="18"/>
          <w:szCs w:val="18"/>
          <w:lang w:val="es-ES_tradnl"/>
        </w:rPr>
        <w:t xml:space="preserve">60 -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842" w14:textId="77777777" w:rsidR="00591D54" w:rsidRDefault="00591D54">
      <w:pPr>
        <w:shd w:val="clear" w:color="auto" w:fill="FFFFFF"/>
        <w:tabs>
          <w:tab w:val="left" w:pos="4814"/>
        </w:tabs>
        <w:spacing w:after="230"/>
        <w:ind w:left="5"/>
        <w:sectPr w:rsidR="00591D54">
          <w:pgSz w:w="11909" w:h="16834"/>
          <w:pgMar w:top="1380" w:right="1309" w:bottom="360" w:left="1308" w:header="720" w:footer="720" w:gutter="0"/>
          <w:cols w:space="60"/>
          <w:noEndnote/>
        </w:sectPr>
      </w:pPr>
    </w:p>
    <w:p w14:paraId="4F67A843" w14:textId="77777777" w:rsidR="00591D54" w:rsidRDefault="00591D54">
      <w:pPr>
        <w:shd w:val="clear" w:color="auto" w:fill="FFFFFF"/>
        <w:spacing w:before="5" w:line="216" w:lineRule="exact"/>
        <w:jc w:val="both"/>
      </w:pPr>
      <w:r>
        <w:rPr>
          <w:spacing w:val="-6"/>
          <w:sz w:val="18"/>
          <w:szCs w:val="18"/>
          <w:lang w:val="es-ES_tradnl"/>
        </w:rPr>
        <w:t>del Estado central seg</w:t>
      </w:r>
      <w:r>
        <w:rPr>
          <w:rFonts w:cs="Times New Roman"/>
          <w:spacing w:val="-6"/>
          <w:sz w:val="18"/>
          <w:szCs w:val="18"/>
          <w:lang w:val="es-ES_tradnl"/>
        </w:rPr>
        <w:t>ú</w:t>
      </w:r>
      <w:r>
        <w:rPr>
          <w:spacing w:val="-6"/>
          <w:sz w:val="18"/>
          <w:szCs w:val="18"/>
          <w:lang w:val="es-ES_tradnl"/>
        </w:rPr>
        <w:t>n lo establece los art</w:t>
      </w:r>
      <w:r>
        <w:rPr>
          <w:rFonts w:cs="Times New Roman"/>
          <w:spacing w:val="-6"/>
          <w:sz w:val="18"/>
          <w:szCs w:val="18"/>
          <w:lang w:val="es-ES_tradnl"/>
        </w:rPr>
        <w:t>í</w:t>
      </w:r>
      <w:r>
        <w:rPr>
          <w:spacing w:val="-6"/>
          <w:sz w:val="18"/>
          <w:szCs w:val="18"/>
          <w:lang w:val="es-ES_tradnl"/>
        </w:rPr>
        <w:t xml:space="preserve">culos 261 </w:t>
      </w:r>
      <w:r>
        <w:rPr>
          <w:spacing w:val="-5"/>
          <w:sz w:val="18"/>
          <w:szCs w:val="18"/>
          <w:lang w:val="es-ES_tradnl"/>
        </w:rPr>
        <w:t>numeral 7 y 261 numeral 10 de la Constituci</w:t>
      </w:r>
      <w:r>
        <w:rPr>
          <w:rFonts w:cs="Times New Roman"/>
          <w:spacing w:val="-5"/>
          <w:sz w:val="18"/>
          <w:szCs w:val="18"/>
          <w:lang w:val="es-ES_tradnl"/>
        </w:rPr>
        <w:t>ó</w:t>
      </w:r>
      <w:r>
        <w:rPr>
          <w:spacing w:val="-5"/>
          <w:sz w:val="18"/>
          <w:szCs w:val="18"/>
          <w:lang w:val="es-ES_tradnl"/>
        </w:rPr>
        <w:t xml:space="preserve">n de la </w:t>
      </w:r>
      <w:r>
        <w:rPr>
          <w:sz w:val="18"/>
          <w:szCs w:val="18"/>
          <w:lang w:val="es-ES_tradnl"/>
        </w:rPr>
        <w:t>Rep</w:t>
      </w:r>
      <w:r>
        <w:rPr>
          <w:rFonts w:cs="Times New Roman"/>
          <w:sz w:val="18"/>
          <w:szCs w:val="18"/>
          <w:lang w:val="es-ES_tradnl"/>
        </w:rPr>
        <w:t>ú</w:t>
      </w:r>
      <w:r>
        <w:rPr>
          <w:sz w:val="18"/>
          <w:szCs w:val="18"/>
          <w:lang w:val="es-ES_tradnl"/>
        </w:rPr>
        <w:t>blica.</w:t>
      </w:r>
    </w:p>
    <w:p w14:paraId="4F67A844" w14:textId="77777777" w:rsidR="00591D54" w:rsidRDefault="00591D54">
      <w:pPr>
        <w:shd w:val="clear" w:color="auto" w:fill="FFFFFF"/>
        <w:spacing w:before="197" w:line="216" w:lineRule="exact"/>
        <w:jc w:val="both"/>
      </w:pPr>
      <w:r>
        <w:rPr>
          <w:spacing w:val="-1"/>
          <w:sz w:val="18"/>
          <w:szCs w:val="18"/>
          <w:lang w:val="es-ES_tradnl"/>
        </w:rPr>
        <w:t>La legitimada activa indica que el art</w:t>
      </w:r>
      <w:r>
        <w:rPr>
          <w:rFonts w:cs="Times New Roman"/>
          <w:spacing w:val="-1"/>
          <w:sz w:val="18"/>
          <w:szCs w:val="18"/>
          <w:lang w:val="es-ES_tradnl"/>
        </w:rPr>
        <w:t>í</w:t>
      </w:r>
      <w:r>
        <w:rPr>
          <w:spacing w:val="-1"/>
          <w:sz w:val="18"/>
          <w:szCs w:val="18"/>
          <w:lang w:val="es-ES_tradnl"/>
        </w:rPr>
        <w:t xml:space="preserve">culo 18 de la </w:t>
      </w:r>
      <w:r>
        <w:rPr>
          <w:spacing w:val="-7"/>
          <w:sz w:val="18"/>
          <w:szCs w:val="18"/>
          <w:lang w:val="es-ES_tradnl"/>
        </w:rPr>
        <w:t>Ordenanza que se impugna, se refiere a la emisi</w:t>
      </w:r>
      <w:r>
        <w:rPr>
          <w:rFonts w:cs="Times New Roman"/>
          <w:spacing w:val="-7"/>
          <w:sz w:val="18"/>
          <w:szCs w:val="18"/>
          <w:lang w:val="es-ES_tradnl"/>
        </w:rPr>
        <w:t>ó</w:t>
      </w:r>
      <w:r>
        <w:rPr>
          <w:spacing w:val="-7"/>
          <w:sz w:val="18"/>
          <w:szCs w:val="18"/>
          <w:lang w:val="es-ES_tradnl"/>
        </w:rPr>
        <w:t xml:space="preserve">n de </w:t>
      </w:r>
      <w:r>
        <w:rPr>
          <w:spacing w:val="-5"/>
          <w:sz w:val="18"/>
          <w:szCs w:val="18"/>
          <w:lang w:val="es-ES_tradnl"/>
        </w:rPr>
        <w:t>frecuencias o se</w:t>
      </w:r>
      <w:r>
        <w:rPr>
          <w:rFonts w:cs="Times New Roman"/>
          <w:spacing w:val="-5"/>
          <w:sz w:val="18"/>
          <w:szCs w:val="18"/>
          <w:lang w:val="es-ES_tradnl"/>
        </w:rPr>
        <w:t>ñ</w:t>
      </w:r>
      <w:r>
        <w:rPr>
          <w:spacing w:val="-5"/>
          <w:sz w:val="18"/>
          <w:szCs w:val="18"/>
          <w:lang w:val="es-ES_tradnl"/>
        </w:rPr>
        <w:t>ales que ocupan el espacio a</w:t>
      </w:r>
      <w:r>
        <w:rPr>
          <w:rFonts w:cs="Times New Roman"/>
          <w:spacing w:val="-5"/>
          <w:sz w:val="18"/>
          <w:szCs w:val="18"/>
          <w:lang w:val="es-ES_tradnl"/>
        </w:rPr>
        <w:t>é</w:t>
      </w:r>
      <w:r>
        <w:rPr>
          <w:spacing w:val="-5"/>
          <w:sz w:val="18"/>
          <w:szCs w:val="18"/>
          <w:lang w:val="es-ES_tradnl"/>
        </w:rPr>
        <w:t xml:space="preserve">reo; en </w:t>
      </w:r>
      <w:r>
        <w:rPr>
          <w:spacing w:val="-8"/>
          <w:sz w:val="18"/>
          <w:szCs w:val="18"/>
          <w:lang w:val="es-ES_tradnl"/>
        </w:rPr>
        <w:t xml:space="preserve">otras palabras, el Gobierno Municipal de San Francisco de </w:t>
      </w:r>
      <w:r>
        <w:rPr>
          <w:spacing w:val="-9"/>
          <w:sz w:val="18"/>
          <w:szCs w:val="18"/>
          <w:lang w:val="es-ES_tradnl"/>
        </w:rPr>
        <w:t>Puebloviejo pretende cobrar una tasa que como se vio, solo puede cobrarse por la prestaci</w:t>
      </w:r>
      <w:r>
        <w:rPr>
          <w:rFonts w:cs="Times New Roman"/>
          <w:spacing w:val="-9"/>
          <w:sz w:val="18"/>
          <w:szCs w:val="18"/>
          <w:lang w:val="es-ES_tradnl"/>
        </w:rPr>
        <w:t>ó</w:t>
      </w:r>
      <w:r>
        <w:rPr>
          <w:spacing w:val="-9"/>
          <w:sz w:val="18"/>
          <w:szCs w:val="18"/>
          <w:lang w:val="es-ES_tradnl"/>
        </w:rPr>
        <w:t>n de servicios p</w:t>
      </w:r>
      <w:r>
        <w:rPr>
          <w:rFonts w:cs="Times New Roman"/>
          <w:spacing w:val="-9"/>
          <w:sz w:val="18"/>
          <w:szCs w:val="18"/>
          <w:lang w:val="es-ES_tradnl"/>
        </w:rPr>
        <w:t>ú</w:t>
      </w:r>
      <w:r>
        <w:rPr>
          <w:spacing w:val="-9"/>
          <w:sz w:val="18"/>
          <w:szCs w:val="18"/>
          <w:lang w:val="es-ES_tradnl"/>
        </w:rPr>
        <w:t>blicos, para la utilizaci</w:t>
      </w:r>
      <w:r>
        <w:rPr>
          <w:rFonts w:cs="Times New Roman"/>
          <w:spacing w:val="-9"/>
          <w:sz w:val="18"/>
          <w:szCs w:val="18"/>
          <w:lang w:val="es-ES_tradnl"/>
        </w:rPr>
        <w:t>ó</w:t>
      </w:r>
      <w:r>
        <w:rPr>
          <w:spacing w:val="-9"/>
          <w:sz w:val="18"/>
          <w:szCs w:val="18"/>
          <w:lang w:val="es-ES_tradnl"/>
        </w:rPr>
        <w:t>n de un bien que est</w:t>
      </w:r>
      <w:r>
        <w:rPr>
          <w:rFonts w:cs="Times New Roman"/>
          <w:spacing w:val="-9"/>
          <w:sz w:val="18"/>
          <w:szCs w:val="18"/>
          <w:lang w:val="es-ES_tradnl"/>
        </w:rPr>
        <w:t>á</w:t>
      </w:r>
      <w:r>
        <w:rPr>
          <w:spacing w:val="-9"/>
          <w:sz w:val="18"/>
          <w:szCs w:val="18"/>
          <w:lang w:val="es-ES_tradnl"/>
        </w:rPr>
        <w:t xml:space="preserve"> fuera de su competencia y </w:t>
      </w:r>
      <w:r>
        <w:rPr>
          <w:spacing w:val="-7"/>
          <w:sz w:val="18"/>
          <w:szCs w:val="18"/>
          <w:lang w:val="es-ES_tradnl"/>
        </w:rPr>
        <w:t xml:space="preserve">para el desarrollo de una actividad que es responsabilidad </w:t>
      </w:r>
      <w:r>
        <w:rPr>
          <w:sz w:val="18"/>
          <w:szCs w:val="18"/>
          <w:lang w:val="es-ES_tradnl"/>
        </w:rPr>
        <w:t>exclusiva del Estado central.</w:t>
      </w:r>
    </w:p>
    <w:p w14:paraId="4F67A845" w14:textId="77777777" w:rsidR="00591D54" w:rsidRDefault="00591D54">
      <w:pPr>
        <w:shd w:val="clear" w:color="auto" w:fill="FFFFFF"/>
        <w:spacing w:before="197" w:line="216" w:lineRule="exact"/>
        <w:ind w:right="5"/>
        <w:jc w:val="both"/>
      </w:pPr>
      <w:r>
        <w:rPr>
          <w:spacing w:val="-8"/>
          <w:sz w:val="18"/>
          <w:szCs w:val="18"/>
          <w:lang w:val="es-ES_tradnl"/>
        </w:rPr>
        <w:t>Por otra parte, se</w:t>
      </w:r>
      <w:r>
        <w:rPr>
          <w:rFonts w:cs="Times New Roman"/>
          <w:spacing w:val="-8"/>
          <w:sz w:val="18"/>
          <w:szCs w:val="18"/>
          <w:lang w:val="es-ES_tradnl"/>
        </w:rPr>
        <w:t>ñ</w:t>
      </w:r>
      <w:r>
        <w:rPr>
          <w:spacing w:val="-8"/>
          <w:sz w:val="18"/>
          <w:szCs w:val="18"/>
          <w:lang w:val="es-ES_tradnl"/>
        </w:rPr>
        <w:t xml:space="preserve">ala que las telecomunicaciones son un </w:t>
      </w:r>
      <w:r>
        <w:rPr>
          <w:spacing w:val="-4"/>
          <w:sz w:val="18"/>
          <w:szCs w:val="18"/>
          <w:lang w:val="es-ES_tradnl"/>
        </w:rPr>
        <w:t>servicio p</w:t>
      </w:r>
      <w:r>
        <w:rPr>
          <w:rFonts w:cs="Times New Roman"/>
          <w:spacing w:val="-4"/>
          <w:sz w:val="18"/>
          <w:szCs w:val="18"/>
          <w:lang w:val="es-ES_tradnl"/>
        </w:rPr>
        <w:t>ú</w:t>
      </w:r>
      <w:r>
        <w:rPr>
          <w:spacing w:val="-4"/>
          <w:sz w:val="18"/>
          <w:szCs w:val="18"/>
          <w:lang w:val="es-ES_tradnl"/>
        </w:rPr>
        <w:t>blico y junto con el espectro radioel</w:t>
      </w:r>
      <w:r>
        <w:rPr>
          <w:rFonts w:cs="Times New Roman"/>
          <w:spacing w:val="-4"/>
          <w:sz w:val="18"/>
          <w:szCs w:val="18"/>
          <w:lang w:val="es-ES_tradnl"/>
        </w:rPr>
        <w:t>é</w:t>
      </w:r>
      <w:r>
        <w:rPr>
          <w:spacing w:val="-4"/>
          <w:sz w:val="18"/>
          <w:szCs w:val="18"/>
          <w:lang w:val="es-ES_tradnl"/>
        </w:rPr>
        <w:t>ctrico constituyen un sector estrat</w:t>
      </w:r>
      <w:r>
        <w:rPr>
          <w:rFonts w:cs="Times New Roman"/>
          <w:spacing w:val="-4"/>
          <w:sz w:val="18"/>
          <w:szCs w:val="18"/>
          <w:lang w:val="es-ES_tradnl"/>
        </w:rPr>
        <w:t>é</w:t>
      </w:r>
      <w:r>
        <w:rPr>
          <w:spacing w:val="-4"/>
          <w:sz w:val="18"/>
          <w:szCs w:val="18"/>
          <w:lang w:val="es-ES_tradnl"/>
        </w:rPr>
        <w:t xml:space="preserve">gico por mandato de los </w:t>
      </w:r>
      <w:r>
        <w:rPr>
          <w:spacing w:val="-5"/>
          <w:sz w:val="18"/>
          <w:szCs w:val="18"/>
          <w:lang w:val="es-ES_tradnl"/>
        </w:rPr>
        <w:t>art</w:t>
      </w:r>
      <w:r>
        <w:rPr>
          <w:rFonts w:cs="Times New Roman"/>
          <w:spacing w:val="-5"/>
          <w:sz w:val="18"/>
          <w:szCs w:val="18"/>
          <w:lang w:val="es-ES_tradnl"/>
        </w:rPr>
        <w:t>í</w:t>
      </w:r>
      <w:r>
        <w:rPr>
          <w:spacing w:val="-5"/>
          <w:sz w:val="18"/>
          <w:szCs w:val="18"/>
          <w:lang w:val="es-ES_tradnl"/>
        </w:rPr>
        <w:t>culos 313 y 314 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 xml:space="preserve">blica. </w:t>
      </w:r>
      <w:r>
        <w:rPr>
          <w:spacing w:val="-4"/>
          <w:sz w:val="18"/>
          <w:szCs w:val="18"/>
          <w:lang w:val="es-ES_tradnl"/>
        </w:rPr>
        <w:t>Adem</w:t>
      </w:r>
      <w:r>
        <w:rPr>
          <w:rFonts w:cs="Times New Roman"/>
          <w:spacing w:val="-4"/>
          <w:sz w:val="18"/>
          <w:szCs w:val="18"/>
          <w:lang w:val="es-ES_tradnl"/>
        </w:rPr>
        <w:t>á</w:t>
      </w:r>
      <w:r>
        <w:rPr>
          <w:spacing w:val="-4"/>
          <w:sz w:val="18"/>
          <w:szCs w:val="18"/>
          <w:lang w:val="es-ES_tradnl"/>
        </w:rPr>
        <w:t xml:space="preserve">s, expresa que la misma norma constitucional en </w:t>
      </w:r>
      <w:r>
        <w:rPr>
          <w:spacing w:val="-6"/>
          <w:sz w:val="18"/>
          <w:szCs w:val="18"/>
          <w:lang w:val="es-ES_tradnl"/>
        </w:rPr>
        <w:t>el art</w:t>
      </w:r>
      <w:r>
        <w:rPr>
          <w:rFonts w:cs="Times New Roman"/>
          <w:spacing w:val="-6"/>
          <w:sz w:val="18"/>
          <w:szCs w:val="18"/>
          <w:lang w:val="es-ES_tradnl"/>
        </w:rPr>
        <w:t>í</w:t>
      </w:r>
      <w:r>
        <w:rPr>
          <w:spacing w:val="-6"/>
          <w:sz w:val="18"/>
          <w:szCs w:val="18"/>
          <w:lang w:val="es-ES_tradnl"/>
        </w:rPr>
        <w:t xml:space="preserve">culo 262 numeral 10 asigna a este servicio y estos </w:t>
      </w:r>
      <w:r>
        <w:rPr>
          <w:spacing w:val="-5"/>
          <w:sz w:val="18"/>
          <w:szCs w:val="18"/>
          <w:lang w:val="es-ES_tradnl"/>
        </w:rPr>
        <w:t>sectores estrat</w:t>
      </w:r>
      <w:r>
        <w:rPr>
          <w:rFonts w:cs="Times New Roman"/>
          <w:spacing w:val="-5"/>
          <w:sz w:val="18"/>
          <w:szCs w:val="18"/>
          <w:lang w:val="es-ES_tradnl"/>
        </w:rPr>
        <w:t>é</w:t>
      </w:r>
      <w:r>
        <w:rPr>
          <w:spacing w:val="-5"/>
          <w:sz w:val="18"/>
          <w:szCs w:val="18"/>
          <w:lang w:val="es-ES_tradnl"/>
        </w:rPr>
        <w:t xml:space="preserve">gicos, exclusivos del Estado central. De </w:t>
      </w:r>
      <w:r>
        <w:rPr>
          <w:spacing w:val="-7"/>
          <w:sz w:val="18"/>
          <w:szCs w:val="18"/>
          <w:lang w:val="es-ES_tradnl"/>
        </w:rPr>
        <w:t>all</w:t>
      </w:r>
      <w:r>
        <w:rPr>
          <w:rFonts w:cs="Times New Roman"/>
          <w:spacing w:val="-7"/>
          <w:sz w:val="18"/>
          <w:szCs w:val="18"/>
          <w:lang w:val="es-ES_tradnl"/>
        </w:rPr>
        <w:t>í</w:t>
      </w:r>
      <w:r>
        <w:rPr>
          <w:spacing w:val="-7"/>
          <w:sz w:val="18"/>
          <w:szCs w:val="18"/>
          <w:lang w:val="es-ES_tradnl"/>
        </w:rPr>
        <w:t xml:space="preserve"> que la accionante manifiesta que no hay fundamento alguno para que un Gobierno Aut</w:t>
      </w:r>
      <w:r>
        <w:rPr>
          <w:rFonts w:cs="Times New Roman"/>
          <w:spacing w:val="-7"/>
          <w:sz w:val="18"/>
          <w:szCs w:val="18"/>
          <w:lang w:val="es-ES_tradnl"/>
        </w:rPr>
        <w:t>ó</w:t>
      </w:r>
      <w:r>
        <w:rPr>
          <w:spacing w:val="-7"/>
          <w:sz w:val="18"/>
          <w:szCs w:val="18"/>
          <w:lang w:val="es-ES_tradnl"/>
        </w:rPr>
        <w:t>nomo Descentralizado Municipal establezca tasas por el uso del espacio a</w:t>
      </w:r>
      <w:r>
        <w:rPr>
          <w:rFonts w:cs="Times New Roman"/>
          <w:spacing w:val="-7"/>
          <w:sz w:val="18"/>
          <w:szCs w:val="18"/>
          <w:lang w:val="es-ES_tradnl"/>
        </w:rPr>
        <w:t>é</w:t>
      </w:r>
      <w:r>
        <w:rPr>
          <w:spacing w:val="-7"/>
          <w:sz w:val="18"/>
          <w:szCs w:val="18"/>
          <w:lang w:val="es-ES_tradnl"/>
        </w:rPr>
        <w:t xml:space="preserve">reo o </w:t>
      </w:r>
      <w:r>
        <w:rPr>
          <w:sz w:val="18"/>
          <w:szCs w:val="18"/>
          <w:lang w:val="es-ES_tradnl"/>
        </w:rPr>
        <w:t>del espectro radioel</w:t>
      </w:r>
      <w:r>
        <w:rPr>
          <w:rFonts w:cs="Times New Roman"/>
          <w:sz w:val="18"/>
          <w:szCs w:val="18"/>
          <w:lang w:val="es-ES_tradnl"/>
        </w:rPr>
        <w:t>é</w:t>
      </w:r>
      <w:r>
        <w:rPr>
          <w:sz w:val="18"/>
          <w:szCs w:val="18"/>
          <w:lang w:val="es-ES_tradnl"/>
        </w:rPr>
        <w:t>ctrico.</w:t>
      </w:r>
    </w:p>
    <w:p w14:paraId="4F67A846" w14:textId="77777777" w:rsidR="00591D54" w:rsidRDefault="00591D54">
      <w:pPr>
        <w:shd w:val="clear" w:color="auto" w:fill="FFFFFF"/>
        <w:spacing w:before="192" w:line="216" w:lineRule="exact"/>
        <w:ind w:right="5"/>
        <w:jc w:val="both"/>
      </w:pPr>
      <w:r>
        <w:rPr>
          <w:spacing w:val="-4"/>
          <w:sz w:val="18"/>
          <w:szCs w:val="18"/>
          <w:lang w:val="es-ES_tradnl"/>
        </w:rPr>
        <w:t xml:space="preserve">Respecto al </w:t>
      </w:r>
      <w:r>
        <w:rPr>
          <w:rFonts w:cs="Times New Roman"/>
          <w:spacing w:val="-4"/>
          <w:sz w:val="18"/>
          <w:szCs w:val="18"/>
          <w:lang w:val="es-ES_tradnl"/>
        </w:rPr>
        <w:t>á</w:t>
      </w:r>
      <w:r>
        <w:rPr>
          <w:spacing w:val="-4"/>
          <w:sz w:val="18"/>
          <w:szCs w:val="18"/>
          <w:lang w:val="es-ES_tradnl"/>
        </w:rPr>
        <w:t xml:space="preserve">mbito tributario, la accionante manifiesta </w:t>
      </w:r>
      <w:r>
        <w:rPr>
          <w:spacing w:val="-6"/>
          <w:sz w:val="18"/>
          <w:szCs w:val="18"/>
          <w:lang w:val="es-ES_tradnl"/>
        </w:rPr>
        <w:t xml:space="preserve">que no puede existir una tasa sin la coexistencia de un </w:t>
      </w:r>
      <w:r>
        <w:rPr>
          <w:spacing w:val="-2"/>
          <w:sz w:val="18"/>
          <w:szCs w:val="18"/>
          <w:lang w:val="es-ES_tradnl"/>
        </w:rPr>
        <w:t>servicio p</w:t>
      </w:r>
      <w:r>
        <w:rPr>
          <w:rFonts w:cs="Times New Roman"/>
          <w:spacing w:val="-2"/>
          <w:sz w:val="18"/>
          <w:szCs w:val="18"/>
          <w:lang w:val="es-ES_tradnl"/>
        </w:rPr>
        <w:t>ú</w:t>
      </w:r>
      <w:r>
        <w:rPr>
          <w:spacing w:val="-2"/>
          <w:sz w:val="18"/>
          <w:szCs w:val="18"/>
          <w:lang w:val="es-ES_tradnl"/>
        </w:rPr>
        <w:t xml:space="preserve">blico brindado por el sujeto activo, pues, si </w:t>
      </w:r>
      <w:r>
        <w:rPr>
          <w:spacing w:val="-7"/>
          <w:sz w:val="18"/>
          <w:szCs w:val="18"/>
          <w:lang w:val="es-ES_tradnl"/>
        </w:rPr>
        <w:t>bien los gobiernos aut</w:t>
      </w:r>
      <w:r>
        <w:rPr>
          <w:rFonts w:cs="Times New Roman"/>
          <w:spacing w:val="-7"/>
          <w:sz w:val="18"/>
          <w:szCs w:val="18"/>
          <w:lang w:val="es-ES_tradnl"/>
        </w:rPr>
        <w:t>ó</w:t>
      </w:r>
      <w:r>
        <w:rPr>
          <w:spacing w:val="-7"/>
          <w:sz w:val="18"/>
          <w:szCs w:val="18"/>
          <w:lang w:val="es-ES_tradnl"/>
        </w:rPr>
        <w:t xml:space="preserve">nomos descentralizados tienen </w:t>
      </w:r>
      <w:r>
        <w:rPr>
          <w:spacing w:val="-8"/>
          <w:sz w:val="18"/>
          <w:szCs w:val="18"/>
          <w:lang w:val="es-ES_tradnl"/>
        </w:rPr>
        <w:t xml:space="preserve">potestad tributaria, deben hacerlo respetando los principios </w:t>
      </w:r>
      <w:r>
        <w:rPr>
          <w:spacing w:val="-6"/>
          <w:sz w:val="18"/>
          <w:szCs w:val="18"/>
          <w:lang w:val="es-ES_tradnl"/>
        </w:rPr>
        <w:t xml:space="preserve">constitucionales tributarios, que implica que el ejercicio de </w:t>
      </w:r>
      <w:r>
        <w:rPr>
          <w:spacing w:val="-10"/>
          <w:sz w:val="18"/>
          <w:szCs w:val="18"/>
          <w:lang w:val="es-ES_tradnl"/>
        </w:rPr>
        <w:t>esta potestad debe estar ce</w:t>
      </w:r>
      <w:r>
        <w:rPr>
          <w:rFonts w:cs="Times New Roman"/>
          <w:spacing w:val="-10"/>
          <w:sz w:val="18"/>
          <w:szCs w:val="18"/>
          <w:lang w:val="es-ES_tradnl"/>
        </w:rPr>
        <w:t>ñ</w:t>
      </w:r>
      <w:r>
        <w:rPr>
          <w:spacing w:val="-10"/>
          <w:sz w:val="18"/>
          <w:szCs w:val="18"/>
          <w:lang w:val="es-ES_tradnl"/>
        </w:rPr>
        <w:t>ida a sus competencias.</w:t>
      </w:r>
    </w:p>
    <w:p w14:paraId="4F67A847" w14:textId="77777777" w:rsidR="00591D54" w:rsidRDefault="00591D54">
      <w:pPr>
        <w:shd w:val="clear" w:color="auto" w:fill="FFFFFF"/>
        <w:spacing w:before="192" w:line="216" w:lineRule="exact"/>
        <w:ind w:right="5"/>
        <w:jc w:val="both"/>
      </w:pPr>
      <w:r>
        <w:rPr>
          <w:spacing w:val="-5"/>
          <w:sz w:val="18"/>
          <w:szCs w:val="18"/>
          <w:lang w:val="es-ES_tradnl"/>
        </w:rPr>
        <w:t>En consecuencia, manifiesta que la tasa establecida por el Gobierno Aut</w:t>
      </w:r>
      <w:r>
        <w:rPr>
          <w:rFonts w:cs="Times New Roman"/>
          <w:spacing w:val="-5"/>
          <w:sz w:val="18"/>
          <w:szCs w:val="18"/>
          <w:lang w:val="es-ES_tradnl"/>
        </w:rPr>
        <w:t>ó</w:t>
      </w:r>
      <w:r>
        <w:rPr>
          <w:spacing w:val="-5"/>
          <w:sz w:val="18"/>
          <w:szCs w:val="18"/>
          <w:lang w:val="es-ES_tradnl"/>
        </w:rPr>
        <w:t xml:space="preserve">nomo Descentralizado incumple con la </w:t>
      </w:r>
      <w:r>
        <w:rPr>
          <w:spacing w:val="-8"/>
          <w:sz w:val="18"/>
          <w:szCs w:val="18"/>
          <w:lang w:val="es-ES_tradnl"/>
        </w:rPr>
        <w:t>esencia misma del tributo en este caso, de la tasa, pues se lo hace por un servicio p</w:t>
      </w:r>
      <w:r>
        <w:rPr>
          <w:rFonts w:cs="Times New Roman"/>
          <w:spacing w:val="-8"/>
          <w:sz w:val="18"/>
          <w:szCs w:val="18"/>
          <w:lang w:val="es-ES_tradnl"/>
        </w:rPr>
        <w:t>ú</w:t>
      </w:r>
      <w:r>
        <w:rPr>
          <w:spacing w:val="-8"/>
          <w:sz w:val="18"/>
          <w:szCs w:val="18"/>
          <w:lang w:val="es-ES_tradnl"/>
        </w:rPr>
        <w:t xml:space="preserve">blico inexistente, en el sentido de que no es prestado por el GAD, pues, constitucionalmente, </w:t>
      </w:r>
      <w:r>
        <w:rPr>
          <w:spacing w:val="-9"/>
          <w:sz w:val="18"/>
          <w:szCs w:val="18"/>
          <w:lang w:val="es-ES_tradnl"/>
        </w:rPr>
        <w:t>no puede prestar ese servicio p</w:t>
      </w:r>
      <w:r>
        <w:rPr>
          <w:rFonts w:cs="Times New Roman"/>
          <w:spacing w:val="-9"/>
          <w:sz w:val="18"/>
          <w:szCs w:val="18"/>
          <w:lang w:val="es-ES_tradnl"/>
        </w:rPr>
        <w:t>ú</w:t>
      </w:r>
      <w:r>
        <w:rPr>
          <w:spacing w:val="-9"/>
          <w:sz w:val="18"/>
          <w:szCs w:val="18"/>
          <w:lang w:val="es-ES_tradnl"/>
        </w:rPr>
        <w:t xml:space="preserve">blico, porque es un </w:t>
      </w:r>
      <w:r>
        <w:rPr>
          <w:rFonts w:cs="Times New Roman"/>
          <w:spacing w:val="-9"/>
          <w:sz w:val="18"/>
          <w:szCs w:val="18"/>
          <w:lang w:val="es-ES_tradnl"/>
        </w:rPr>
        <w:t>á</w:t>
      </w:r>
      <w:r>
        <w:rPr>
          <w:spacing w:val="-9"/>
          <w:sz w:val="18"/>
          <w:szCs w:val="18"/>
          <w:lang w:val="es-ES_tradnl"/>
        </w:rPr>
        <w:t xml:space="preserve">rea de </w:t>
      </w:r>
      <w:r>
        <w:rPr>
          <w:spacing w:val="-7"/>
          <w:sz w:val="18"/>
          <w:szCs w:val="18"/>
          <w:lang w:val="es-ES_tradnl"/>
        </w:rPr>
        <w:t>competencia exclusiva del Estado central, conforme a las disposiciones constitucionales pertinentes.</w:t>
      </w:r>
    </w:p>
    <w:p w14:paraId="4F67A848" w14:textId="77777777" w:rsidR="00591D54" w:rsidRDefault="00591D54">
      <w:pPr>
        <w:shd w:val="clear" w:color="auto" w:fill="FFFFFF"/>
        <w:tabs>
          <w:tab w:val="left" w:pos="1478"/>
          <w:tab w:val="left" w:pos="3149"/>
        </w:tabs>
        <w:spacing w:before="192"/>
      </w:pPr>
      <w:r>
        <w:rPr>
          <w:b/>
          <w:bCs/>
          <w:spacing w:val="-15"/>
          <w:sz w:val="18"/>
          <w:szCs w:val="18"/>
          <w:lang w:val="es-ES_tradnl"/>
        </w:rPr>
        <w:t>Disposiciones</w:t>
      </w:r>
      <w:r>
        <w:rPr>
          <w:b/>
          <w:bCs/>
          <w:sz w:val="18"/>
          <w:szCs w:val="18"/>
          <w:lang w:val="es-ES_tradnl"/>
        </w:rPr>
        <w:tab/>
      </w:r>
      <w:r>
        <w:rPr>
          <w:b/>
          <w:bCs/>
          <w:spacing w:val="-13"/>
          <w:sz w:val="18"/>
          <w:szCs w:val="18"/>
          <w:lang w:val="es-ES_tradnl"/>
        </w:rPr>
        <w:t>constitucionales</w:t>
      </w:r>
      <w:r>
        <w:rPr>
          <w:b/>
          <w:bCs/>
          <w:sz w:val="18"/>
          <w:szCs w:val="18"/>
          <w:lang w:val="es-ES_tradnl"/>
        </w:rPr>
        <w:tab/>
      </w:r>
      <w:r>
        <w:rPr>
          <w:b/>
          <w:bCs/>
          <w:spacing w:val="-11"/>
          <w:sz w:val="18"/>
          <w:szCs w:val="18"/>
          <w:lang w:val="es-ES_tradnl"/>
        </w:rPr>
        <w:t>presuntamente</w:t>
      </w:r>
    </w:p>
    <w:p w14:paraId="4F67A849" w14:textId="77777777" w:rsidR="00591D54" w:rsidRDefault="00591D54">
      <w:pPr>
        <w:shd w:val="clear" w:color="auto" w:fill="FFFFFF"/>
      </w:pPr>
      <w:r>
        <w:rPr>
          <w:b/>
          <w:bCs/>
          <w:spacing w:val="-7"/>
          <w:sz w:val="18"/>
          <w:szCs w:val="18"/>
          <w:lang w:val="es-ES_tradnl"/>
        </w:rPr>
        <w:t>infringidas</w:t>
      </w:r>
    </w:p>
    <w:p w14:paraId="4F67A84A" w14:textId="77777777" w:rsidR="00591D54" w:rsidRDefault="00591D54">
      <w:pPr>
        <w:shd w:val="clear" w:color="auto" w:fill="FFFFFF"/>
        <w:spacing w:before="192" w:line="216" w:lineRule="exact"/>
        <w:jc w:val="both"/>
      </w:pPr>
      <w:r>
        <w:rPr>
          <w:sz w:val="18"/>
          <w:szCs w:val="18"/>
          <w:lang w:val="es-ES_tradnl"/>
        </w:rPr>
        <w:t xml:space="preserve">La accionante alega como principales normas </w:t>
      </w:r>
      <w:r>
        <w:rPr>
          <w:spacing w:val="-7"/>
          <w:sz w:val="18"/>
          <w:szCs w:val="18"/>
          <w:lang w:val="es-ES_tradnl"/>
        </w:rPr>
        <w:t xml:space="preserve">constitucionales vulneradas, aquellas contenidas en los </w:t>
      </w:r>
      <w:r>
        <w:rPr>
          <w:spacing w:val="-5"/>
          <w:sz w:val="18"/>
          <w:szCs w:val="18"/>
          <w:lang w:val="es-ES_tradnl"/>
        </w:rPr>
        <w:t>art</w:t>
      </w:r>
      <w:r>
        <w:rPr>
          <w:rFonts w:cs="Times New Roman"/>
          <w:spacing w:val="-5"/>
          <w:sz w:val="18"/>
          <w:szCs w:val="18"/>
          <w:lang w:val="es-ES_tradnl"/>
        </w:rPr>
        <w:t>í</w:t>
      </w:r>
      <w:r>
        <w:rPr>
          <w:spacing w:val="-5"/>
          <w:sz w:val="18"/>
          <w:szCs w:val="18"/>
          <w:lang w:val="es-ES_tradnl"/>
        </w:rPr>
        <w:t xml:space="preserve">culos 82; 226; 261 numerales 7 y 10; 264 numeral 5; </w:t>
      </w:r>
      <w:r>
        <w:rPr>
          <w:spacing w:val="-7"/>
          <w:sz w:val="18"/>
          <w:szCs w:val="18"/>
          <w:lang w:val="es-ES_tradnl"/>
        </w:rPr>
        <w:t>264 y 300 de 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blica.</w:t>
      </w:r>
    </w:p>
    <w:p w14:paraId="4F67A84B" w14:textId="77777777" w:rsidR="00591D54" w:rsidRDefault="00591D54">
      <w:pPr>
        <w:shd w:val="clear" w:color="auto" w:fill="FFFFFF"/>
        <w:spacing w:before="192"/>
      </w:pPr>
      <w:r>
        <w:rPr>
          <w:b/>
          <w:bCs/>
          <w:spacing w:val="-11"/>
          <w:sz w:val="18"/>
          <w:szCs w:val="18"/>
          <w:lang w:val="es-ES_tradnl"/>
        </w:rPr>
        <w:t>Pretensi</w:t>
      </w:r>
      <w:r>
        <w:rPr>
          <w:rFonts w:cs="Times New Roman"/>
          <w:b/>
          <w:bCs/>
          <w:spacing w:val="-11"/>
          <w:sz w:val="18"/>
          <w:szCs w:val="18"/>
          <w:lang w:val="es-ES_tradnl"/>
        </w:rPr>
        <w:t>ó</w:t>
      </w:r>
      <w:r>
        <w:rPr>
          <w:b/>
          <w:bCs/>
          <w:spacing w:val="-11"/>
          <w:sz w:val="18"/>
          <w:szCs w:val="18"/>
          <w:lang w:val="es-ES_tradnl"/>
        </w:rPr>
        <w:t>n</w:t>
      </w:r>
    </w:p>
    <w:p w14:paraId="4F67A84C" w14:textId="77777777" w:rsidR="00591D54" w:rsidRDefault="00591D54">
      <w:pPr>
        <w:shd w:val="clear" w:color="auto" w:fill="FFFFFF"/>
        <w:spacing w:before="197"/>
      </w:pPr>
      <w:r>
        <w:rPr>
          <w:spacing w:val="-6"/>
          <w:sz w:val="18"/>
          <w:szCs w:val="18"/>
          <w:lang w:val="es-ES_tradnl"/>
        </w:rPr>
        <w:t>La accionante textualmente, solicita:</w:t>
      </w:r>
    </w:p>
    <w:p w14:paraId="4F67A84D" w14:textId="77777777" w:rsidR="00591D54" w:rsidRDefault="00591D54">
      <w:pPr>
        <w:shd w:val="clear" w:color="auto" w:fill="FFFFFF"/>
        <w:spacing w:before="206" w:line="216" w:lineRule="exact"/>
        <w:ind w:left="283"/>
        <w:jc w:val="both"/>
      </w:pPr>
      <w:r>
        <w:rPr>
          <w:spacing w:val="-2"/>
          <w:sz w:val="16"/>
          <w:szCs w:val="16"/>
          <w:lang w:val="es-ES_tradnl"/>
        </w:rPr>
        <w:t>[</w:t>
      </w:r>
      <w:r>
        <w:rPr>
          <w:rFonts w:cs="Times New Roman"/>
          <w:spacing w:val="-2"/>
          <w:sz w:val="16"/>
          <w:szCs w:val="16"/>
          <w:lang w:val="es-ES_tradnl"/>
        </w:rPr>
        <w:t>…</w:t>
      </w:r>
      <w:r>
        <w:rPr>
          <w:spacing w:val="-2"/>
          <w:sz w:val="16"/>
          <w:szCs w:val="16"/>
          <w:lang w:val="es-ES_tradnl"/>
        </w:rPr>
        <w:t xml:space="preserve">] Conforme los antecedentes indicados, solicito que </w:t>
      </w:r>
      <w:r>
        <w:rPr>
          <w:spacing w:val="-8"/>
          <w:sz w:val="16"/>
          <w:szCs w:val="16"/>
          <w:lang w:val="es-ES_tradnl"/>
        </w:rPr>
        <w:t>mediante sentencia se declare inconstitucionales el art</w:t>
      </w:r>
      <w:r>
        <w:rPr>
          <w:rFonts w:cs="Times New Roman"/>
          <w:spacing w:val="-8"/>
          <w:sz w:val="16"/>
          <w:szCs w:val="16"/>
          <w:lang w:val="es-ES_tradnl"/>
        </w:rPr>
        <w:t>í</w:t>
      </w:r>
      <w:r>
        <w:rPr>
          <w:spacing w:val="-8"/>
          <w:sz w:val="16"/>
          <w:szCs w:val="16"/>
          <w:lang w:val="es-ES_tradnl"/>
        </w:rPr>
        <w:t xml:space="preserve">culo 18, </w:t>
      </w:r>
      <w:r>
        <w:rPr>
          <w:spacing w:val="-3"/>
          <w:sz w:val="16"/>
          <w:szCs w:val="16"/>
          <w:lang w:val="es-ES_tradnl"/>
        </w:rPr>
        <w:t>la disposici</w:t>
      </w:r>
      <w:r>
        <w:rPr>
          <w:rFonts w:cs="Times New Roman"/>
          <w:spacing w:val="-3"/>
          <w:sz w:val="16"/>
          <w:szCs w:val="16"/>
          <w:lang w:val="es-ES_tradnl"/>
        </w:rPr>
        <w:t>ó</w:t>
      </w:r>
      <w:r>
        <w:rPr>
          <w:spacing w:val="-3"/>
          <w:sz w:val="16"/>
          <w:szCs w:val="16"/>
          <w:lang w:val="es-ES_tradnl"/>
        </w:rPr>
        <w:t>n general 4 y la primera disposici</w:t>
      </w:r>
      <w:r>
        <w:rPr>
          <w:rFonts w:cs="Times New Roman"/>
          <w:spacing w:val="-3"/>
          <w:sz w:val="16"/>
          <w:szCs w:val="16"/>
          <w:lang w:val="es-ES_tradnl"/>
        </w:rPr>
        <w:t>ó</w:t>
      </w:r>
      <w:r>
        <w:rPr>
          <w:spacing w:val="-3"/>
          <w:sz w:val="16"/>
          <w:szCs w:val="16"/>
          <w:lang w:val="es-ES_tradnl"/>
        </w:rPr>
        <w:t xml:space="preserve">n transitoria </w:t>
      </w:r>
      <w:r>
        <w:rPr>
          <w:spacing w:val="-6"/>
          <w:sz w:val="16"/>
          <w:szCs w:val="16"/>
          <w:lang w:val="es-ES_tradnl"/>
        </w:rPr>
        <w:t xml:space="preserve">de la </w:t>
      </w:r>
      <w:r>
        <w:rPr>
          <w:rFonts w:cs="Times New Roman"/>
          <w:spacing w:val="-6"/>
          <w:sz w:val="16"/>
          <w:szCs w:val="16"/>
          <w:lang w:val="es-ES_tradnl"/>
        </w:rPr>
        <w:t>‘</w:t>
      </w:r>
      <w:r>
        <w:rPr>
          <w:spacing w:val="-6"/>
          <w:sz w:val="16"/>
          <w:szCs w:val="16"/>
          <w:lang w:val="es-ES_tradnl"/>
        </w:rPr>
        <w:t>Ordenanza que regula la implantaci</w:t>
      </w:r>
      <w:r>
        <w:rPr>
          <w:rFonts w:cs="Times New Roman"/>
          <w:spacing w:val="-6"/>
          <w:sz w:val="16"/>
          <w:szCs w:val="16"/>
          <w:lang w:val="es-ES_tradnl"/>
        </w:rPr>
        <w:t>ó</w:t>
      </w:r>
      <w:r>
        <w:rPr>
          <w:spacing w:val="-6"/>
          <w:sz w:val="16"/>
          <w:szCs w:val="16"/>
          <w:lang w:val="es-ES_tradnl"/>
        </w:rPr>
        <w:t xml:space="preserve">n de estaciones </w:t>
      </w:r>
      <w:r>
        <w:rPr>
          <w:spacing w:val="-3"/>
          <w:sz w:val="16"/>
          <w:szCs w:val="16"/>
          <w:lang w:val="es-ES_tradnl"/>
        </w:rPr>
        <w:t>radioel</w:t>
      </w:r>
      <w:r>
        <w:rPr>
          <w:rFonts w:cs="Times New Roman"/>
          <w:spacing w:val="-3"/>
          <w:sz w:val="16"/>
          <w:szCs w:val="16"/>
          <w:lang w:val="es-ES_tradnl"/>
        </w:rPr>
        <w:t>é</w:t>
      </w:r>
      <w:r>
        <w:rPr>
          <w:spacing w:val="-3"/>
          <w:sz w:val="16"/>
          <w:szCs w:val="16"/>
          <w:lang w:val="es-ES_tradnl"/>
        </w:rPr>
        <w:t xml:space="preserve">ctricas, centrales fijas y de base de los servicios </w:t>
      </w:r>
      <w:r>
        <w:rPr>
          <w:spacing w:val="-5"/>
          <w:sz w:val="16"/>
          <w:szCs w:val="16"/>
          <w:lang w:val="es-ES_tradnl"/>
        </w:rPr>
        <w:t>m</w:t>
      </w:r>
      <w:r>
        <w:rPr>
          <w:rFonts w:cs="Times New Roman"/>
          <w:spacing w:val="-5"/>
          <w:sz w:val="16"/>
          <w:szCs w:val="16"/>
          <w:lang w:val="es-ES_tradnl"/>
        </w:rPr>
        <w:t>ó</w:t>
      </w:r>
      <w:r>
        <w:rPr>
          <w:spacing w:val="-5"/>
          <w:sz w:val="16"/>
          <w:szCs w:val="16"/>
          <w:lang w:val="es-ES_tradnl"/>
        </w:rPr>
        <w:t>vil terrestre de radio comunicaciones, televisi</w:t>
      </w:r>
      <w:r>
        <w:rPr>
          <w:rFonts w:cs="Times New Roman"/>
          <w:spacing w:val="-5"/>
          <w:sz w:val="16"/>
          <w:szCs w:val="16"/>
          <w:lang w:val="es-ES_tradnl"/>
        </w:rPr>
        <w:t>ó</w:t>
      </w:r>
      <w:r>
        <w:rPr>
          <w:spacing w:val="-5"/>
          <w:sz w:val="16"/>
          <w:szCs w:val="16"/>
          <w:lang w:val="es-ES_tradnl"/>
        </w:rPr>
        <w:t xml:space="preserve">n, y otras </w:t>
      </w:r>
      <w:r>
        <w:rPr>
          <w:spacing w:val="-7"/>
          <w:sz w:val="16"/>
          <w:szCs w:val="16"/>
          <w:lang w:val="es-ES_tradnl"/>
        </w:rPr>
        <w:t>comunicaciones de transmisiones; fijaci</w:t>
      </w:r>
      <w:r>
        <w:rPr>
          <w:rFonts w:cs="Times New Roman"/>
          <w:spacing w:val="-7"/>
          <w:sz w:val="16"/>
          <w:szCs w:val="16"/>
          <w:lang w:val="es-ES_tradnl"/>
        </w:rPr>
        <w:t>ó</w:t>
      </w:r>
      <w:r>
        <w:rPr>
          <w:spacing w:val="-7"/>
          <w:sz w:val="16"/>
          <w:szCs w:val="16"/>
          <w:lang w:val="es-ES_tradnl"/>
        </w:rPr>
        <w:t xml:space="preserve">n de las tasas </w:t>
      </w:r>
      <w:r>
        <w:rPr>
          <w:spacing w:val="-9"/>
          <w:sz w:val="16"/>
          <w:szCs w:val="16"/>
          <w:lang w:val="es-ES_tradnl"/>
        </w:rPr>
        <w:t>correspondientes a la utilizaci</w:t>
      </w:r>
      <w:r>
        <w:rPr>
          <w:rFonts w:cs="Times New Roman"/>
          <w:spacing w:val="-9"/>
          <w:sz w:val="16"/>
          <w:szCs w:val="16"/>
          <w:lang w:val="es-ES_tradnl"/>
        </w:rPr>
        <w:t>ó</w:t>
      </w:r>
      <w:r>
        <w:rPr>
          <w:spacing w:val="-9"/>
          <w:sz w:val="16"/>
          <w:szCs w:val="16"/>
          <w:lang w:val="es-ES_tradnl"/>
        </w:rPr>
        <w:t>n u ocupaci</w:t>
      </w:r>
      <w:r>
        <w:rPr>
          <w:rFonts w:cs="Times New Roman"/>
          <w:spacing w:val="-9"/>
          <w:sz w:val="16"/>
          <w:szCs w:val="16"/>
          <w:lang w:val="es-ES_tradnl"/>
        </w:rPr>
        <w:t>ó</w:t>
      </w:r>
      <w:r>
        <w:rPr>
          <w:spacing w:val="-9"/>
          <w:sz w:val="16"/>
          <w:szCs w:val="16"/>
          <w:lang w:val="es-ES_tradnl"/>
        </w:rPr>
        <w:t>n del espacio a</w:t>
      </w:r>
      <w:r>
        <w:rPr>
          <w:rFonts w:cs="Times New Roman"/>
          <w:spacing w:val="-9"/>
          <w:sz w:val="16"/>
          <w:szCs w:val="16"/>
          <w:lang w:val="es-ES_tradnl"/>
        </w:rPr>
        <w:t>é</w:t>
      </w:r>
      <w:r>
        <w:rPr>
          <w:spacing w:val="-9"/>
          <w:sz w:val="16"/>
          <w:szCs w:val="16"/>
          <w:lang w:val="es-ES_tradnl"/>
        </w:rPr>
        <w:t>reo</w:t>
      </w:r>
    </w:p>
    <w:p w14:paraId="4F67A84E" w14:textId="77777777" w:rsidR="00591D54" w:rsidRDefault="00591D54">
      <w:pPr>
        <w:shd w:val="clear" w:color="auto" w:fill="FFFFFF"/>
        <w:spacing w:line="216" w:lineRule="exact"/>
        <w:ind w:left="283"/>
        <w:jc w:val="both"/>
      </w:pPr>
      <w:r>
        <w:br w:type="column"/>
      </w:r>
      <w:r>
        <w:rPr>
          <w:spacing w:val="-7"/>
          <w:sz w:val="16"/>
          <w:szCs w:val="16"/>
          <w:lang w:val="es-ES_tradnl"/>
        </w:rPr>
        <w:t>municipal, uso de la v</w:t>
      </w:r>
      <w:r>
        <w:rPr>
          <w:rFonts w:cs="Times New Roman"/>
          <w:spacing w:val="-7"/>
          <w:sz w:val="16"/>
          <w:szCs w:val="16"/>
          <w:lang w:val="es-ES_tradnl"/>
        </w:rPr>
        <w:t>í</w:t>
      </w:r>
      <w:r>
        <w:rPr>
          <w:spacing w:val="-7"/>
          <w:sz w:val="16"/>
          <w:szCs w:val="16"/>
          <w:lang w:val="es-ES_tradnl"/>
        </w:rPr>
        <w:t>a p</w:t>
      </w:r>
      <w:r>
        <w:rPr>
          <w:rFonts w:cs="Times New Roman"/>
          <w:spacing w:val="-7"/>
          <w:sz w:val="16"/>
          <w:szCs w:val="16"/>
          <w:lang w:val="es-ES_tradnl"/>
        </w:rPr>
        <w:t>ú</w:t>
      </w:r>
      <w:r>
        <w:rPr>
          <w:spacing w:val="-7"/>
          <w:sz w:val="16"/>
          <w:szCs w:val="16"/>
          <w:lang w:val="es-ES_tradnl"/>
        </w:rPr>
        <w:t>blica, suelo y subsuelo en el cant</w:t>
      </w:r>
      <w:r>
        <w:rPr>
          <w:rFonts w:cs="Times New Roman"/>
          <w:spacing w:val="-7"/>
          <w:sz w:val="16"/>
          <w:szCs w:val="16"/>
          <w:lang w:val="es-ES_tradnl"/>
        </w:rPr>
        <w:t>ó</w:t>
      </w:r>
      <w:r>
        <w:rPr>
          <w:spacing w:val="-7"/>
          <w:sz w:val="16"/>
          <w:szCs w:val="16"/>
          <w:lang w:val="es-ES_tradnl"/>
        </w:rPr>
        <w:t xml:space="preserve">n </w:t>
      </w:r>
      <w:r>
        <w:rPr>
          <w:spacing w:val="-8"/>
          <w:sz w:val="16"/>
          <w:szCs w:val="16"/>
          <w:lang w:val="es-ES_tradnl"/>
        </w:rPr>
        <w:t>San Francisco de Puebloviejo</w:t>
      </w:r>
      <w:r>
        <w:rPr>
          <w:rFonts w:cs="Times New Roman"/>
          <w:spacing w:val="-8"/>
          <w:sz w:val="16"/>
          <w:szCs w:val="16"/>
          <w:lang w:val="es-ES_tradnl"/>
        </w:rPr>
        <w:t>’</w:t>
      </w:r>
      <w:r>
        <w:rPr>
          <w:spacing w:val="-8"/>
          <w:sz w:val="16"/>
          <w:szCs w:val="16"/>
          <w:lang w:val="es-ES_tradnl"/>
        </w:rPr>
        <w:t xml:space="preserve"> publicada en el Registro Oficial </w:t>
      </w:r>
      <w:r>
        <w:rPr>
          <w:sz w:val="16"/>
          <w:szCs w:val="16"/>
          <w:lang w:val="es-ES_tradnl"/>
        </w:rPr>
        <w:t>N.</w:t>
      </w:r>
      <w:r>
        <w:rPr>
          <w:rFonts w:cs="Times New Roman"/>
          <w:sz w:val="16"/>
          <w:szCs w:val="16"/>
          <w:lang w:val="es-ES_tradnl"/>
        </w:rPr>
        <w:t>º</w:t>
      </w:r>
      <w:r>
        <w:rPr>
          <w:sz w:val="16"/>
          <w:szCs w:val="16"/>
          <w:lang w:val="es-ES_tradnl"/>
        </w:rPr>
        <w:t xml:space="preserve"> 594, de 12 de diciembre de 2011.</w:t>
      </w:r>
    </w:p>
    <w:p w14:paraId="4F67A84F" w14:textId="77777777" w:rsidR="00591D54" w:rsidRDefault="00591D54">
      <w:pPr>
        <w:shd w:val="clear" w:color="auto" w:fill="FFFFFF"/>
        <w:spacing w:before="197"/>
      </w:pPr>
      <w:r>
        <w:rPr>
          <w:b/>
          <w:bCs/>
          <w:spacing w:val="-10"/>
          <w:sz w:val="18"/>
          <w:szCs w:val="18"/>
          <w:lang w:val="es-ES_tradnl"/>
        </w:rPr>
        <w:t>Contestaci</w:t>
      </w:r>
      <w:r>
        <w:rPr>
          <w:rFonts w:cs="Times New Roman"/>
          <w:b/>
          <w:bCs/>
          <w:spacing w:val="-10"/>
          <w:sz w:val="18"/>
          <w:szCs w:val="18"/>
          <w:lang w:val="es-ES_tradnl"/>
        </w:rPr>
        <w:t>ó</w:t>
      </w:r>
      <w:r>
        <w:rPr>
          <w:b/>
          <w:bCs/>
          <w:spacing w:val="-10"/>
          <w:sz w:val="18"/>
          <w:szCs w:val="18"/>
          <w:lang w:val="es-ES_tradnl"/>
        </w:rPr>
        <w:t>n a la demanda</w:t>
      </w:r>
    </w:p>
    <w:p w14:paraId="4F67A850" w14:textId="77777777" w:rsidR="00591D54" w:rsidRDefault="00591D54">
      <w:pPr>
        <w:shd w:val="clear" w:color="auto" w:fill="FFFFFF"/>
        <w:spacing w:before="192" w:line="216" w:lineRule="exact"/>
        <w:jc w:val="both"/>
      </w:pPr>
      <w:r>
        <w:rPr>
          <w:b/>
          <w:bCs/>
          <w:spacing w:val="-8"/>
          <w:sz w:val="18"/>
          <w:szCs w:val="18"/>
          <w:lang w:val="es-ES_tradnl"/>
        </w:rPr>
        <w:t>Alcalde y procurador s</w:t>
      </w:r>
      <w:r>
        <w:rPr>
          <w:rFonts w:cs="Times New Roman"/>
          <w:b/>
          <w:bCs/>
          <w:spacing w:val="-8"/>
          <w:sz w:val="18"/>
          <w:szCs w:val="18"/>
          <w:lang w:val="es-ES_tradnl"/>
        </w:rPr>
        <w:t>í</w:t>
      </w:r>
      <w:r>
        <w:rPr>
          <w:b/>
          <w:bCs/>
          <w:spacing w:val="-8"/>
          <w:sz w:val="18"/>
          <w:szCs w:val="18"/>
          <w:lang w:val="es-ES_tradnl"/>
        </w:rPr>
        <w:t>ndico del Gobierno Aut</w:t>
      </w:r>
      <w:r>
        <w:rPr>
          <w:rFonts w:cs="Times New Roman"/>
          <w:b/>
          <w:bCs/>
          <w:spacing w:val="-8"/>
          <w:sz w:val="18"/>
          <w:szCs w:val="18"/>
          <w:lang w:val="es-ES_tradnl"/>
        </w:rPr>
        <w:t>ó</w:t>
      </w:r>
      <w:r>
        <w:rPr>
          <w:b/>
          <w:bCs/>
          <w:spacing w:val="-8"/>
          <w:sz w:val="18"/>
          <w:szCs w:val="18"/>
          <w:lang w:val="es-ES_tradnl"/>
        </w:rPr>
        <w:t xml:space="preserve">nomo </w:t>
      </w:r>
      <w:r>
        <w:rPr>
          <w:b/>
          <w:bCs/>
          <w:spacing w:val="-9"/>
          <w:sz w:val="18"/>
          <w:szCs w:val="18"/>
          <w:lang w:val="es-ES_tradnl"/>
        </w:rPr>
        <w:t>Descentralizado Municipal del cant</w:t>
      </w:r>
      <w:r>
        <w:rPr>
          <w:rFonts w:cs="Times New Roman"/>
          <w:b/>
          <w:bCs/>
          <w:spacing w:val="-9"/>
          <w:sz w:val="18"/>
          <w:szCs w:val="18"/>
          <w:lang w:val="es-ES_tradnl"/>
        </w:rPr>
        <w:t>ó</w:t>
      </w:r>
      <w:r>
        <w:rPr>
          <w:b/>
          <w:bCs/>
          <w:spacing w:val="-9"/>
          <w:sz w:val="18"/>
          <w:szCs w:val="18"/>
          <w:lang w:val="es-ES_tradnl"/>
        </w:rPr>
        <w:t xml:space="preserve">n San Francisco de </w:t>
      </w:r>
      <w:r>
        <w:rPr>
          <w:b/>
          <w:bCs/>
          <w:sz w:val="18"/>
          <w:szCs w:val="18"/>
          <w:lang w:val="es-ES_tradnl"/>
        </w:rPr>
        <w:t>Puebloviejo</w:t>
      </w:r>
    </w:p>
    <w:p w14:paraId="4F67A851" w14:textId="77777777" w:rsidR="00591D54" w:rsidRDefault="00591D54">
      <w:pPr>
        <w:shd w:val="clear" w:color="auto" w:fill="FFFFFF"/>
        <w:spacing w:before="197" w:line="216" w:lineRule="exact"/>
        <w:jc w:val="both"/>
      </w:pPr>
      <w:r>
        <w:rPr>
          <w:spacing w:val="-8"/>
          <w:sz w:val="18"/>
          <w:szCs w:val="18"/>
          <w:lang w:val="es-ES_tradnl"/>
        </w:rPr>
        <w:t xml:space="preserve">Mediante escrito ingresado a esta Corte el 06 de enero de 2015, los abogados Carlos Ortega Barzola y Mirian Teresa </w:t>
      </w:r>
      <w:r>
        <w:rPr>
          <w:spacing w:val="-10"/>
          <w:sz w:val="18"/>
          <w:szCs w:val="18"/>
          <w:lang w:val="es-ES_tradnl"/>
        </w:rPr>
        <w:t xml:space="preserve">Carrasco Medina, en sus calidades de alcalde y procuradora </w:t>
      </w:r>
      <w:r>
        <w:rPr>
          <w:spacing w:val="-9"/>
          <w:sz w:val="18"/>
          <w:szCs w:val="18"/>
          <w:lang w:val="es-ES_tradnl"/>
        </w:rPr>
        <w:t>s</w:t>
      </w:r>
      <w:r>
        <w:rPr>
          <w:rFonts w:cs="Times New Roman"/>
          <w:spacing w:val="-9"/>
          <w:sz w:val="18"/>
          <w:szCs w:val="18"/>
          <w:lang w:val="es-ES_tradnl"/>
        </w:rPr>
        <w:t>í</w:t>
      </w:r>
      <w:r>
        <w:rPr>
          <w:spacing w:val="-9"/>
          <w:sz w:val="18"/>
          <w:szCs w:val="18"/>
          <w:lang w:val="es-ES_tradnl"/>
        </w:rPr>
        <w:t>ndica encargada del Gobierno Aut</w:t>
      </w:r>
      <w:r>
        <w:rPr>
          <w:rFonts w:cs="Times New Roman"/>
          <w:spacing w:val="-9"/>
          <w:sz w:val="18"/>
          <w:szCs w:val="18"/>
          <w:lang w:val="es-ES_tradnl"/>
        </w:rPr>
        <w:t>ó</w:t>
      </w:r>
      <w:r>
        <w:rPr>
          <w:spacing w:val="-9"/>
          <w:sz w:val="18"/>
          <w:szCs w:val="18"/>
          <w:lang w:val="es-ES_tradnl"/>
        </w:rPr>
        <w:t xml:space="preserve">nomo Descentralizado </w:t>
      </w:r>
      <w:r>
        <w:rPr>
          <w:spacing w:val="-5"/>
          <w:sz w:val="18"/>
          <w:szCs w:val="18"/>
          <w:lang w:val="es-ES_tradnl"/>
        </w:rPr>
        <w:t>Municipal del cant</w:t>
      </w:r>
      <w:r>
        <w:rPr>
          <w:rFonts w:cs="Times New Roman"/>
          <w:spacing w:val="-5"/>
          <w:sz w:val="18"/>
          <w:szCs w:val="18"/>
          <w:lang w:val="es-ES_tradnl"/>
        </w:rPr>
        <w:t>ó</w:t>
      </w:r>
      <w:r>
        <w:rPr>
          <w:spacing w:val="-5"/>
          <w:sz w:val="18"/>
          <w:szCs w:val="18"/>
          <w:lang w:val="es-ES_tradnl"/>
        </w:rPr>
        <w:t xml:space="preserve">n San Francisco de Puebloviejo, </w:t>
      </w:r>
      <w:r>
        <w:rPr>
          <w:spacing w:val="-8"/>
          <w:sz w:val="18"/>
          <w:szCs w:val="18"/>
          <w:lang w:val="es-ES_tradnl"/>
        </w:rPr>
        <w:t>respectivamente, dan contestaci</w:t>
      </w:r>
      <w:r>
        <w:rPr>
          <w:rFonts w:cs="Times New Roman"/>
          <w:spacing w:val="-8"/>
          <w:sz w:val="18"/>
          <w:szCs w:val="18"/>
          <w:lang w:val="es-ES_tradnl"/>
        </w:rPr>
        <w:t>ó</w:t>
      </w:r>
      <w:r>
        <w:rPr>
          <w:spacing w:val="-8"/>
          <w:sz w:val="18"/>
          <w:szCs w:val="18"/>
          <w:lang w:val="es-ES_tradnl"/>
        </w:rPr>
        <w:t xml:space="preserve">n a la demanda de </w:t>
      </w:r>
      <w:r>
        <w:rPr>
          <w:spacing w:val="-6"/>
          <w:sz w:val="18"/>
          <w:szCs w:val="18"/>
          <w:lang w:val="es-ES_tradnl"/>
        </w:rPr>
        <w:t>inconstitucionalidad, en los siguientes t</w:t>
      </w:r>
      <w:r>
        <w:rPr>
          <w:rFonts w:cs="Times New Roman"/>
          <w:spacing w:val="-6"/>
          <w:sz w:val="18"/>
          <w:szCs w:val="18"/>
          <w:lang w:val="es-ES_tradnl"/>
        </w:rPr>
        <w:t>é</w:t>
      </w:r>
      <w:r>
        <w:rPr>
          <w:spacing w:val="-6"/>
          <w:sz w:val="18"/>
          <w:szCs w:val="18"/>
          <w:lang w:val="es-ES_tradnl"/>
        </w:rPr>
        <w:t>rminos:</w:t>
      </w:r>
    </w:p>
    <w:p w14:paraId="4F67A852" w14:textId="77777777" w:rsidR="00591D54" w:rsidRDefault="00591D54">
      <w:pPr>
        <w:shd w:val="clear" w:color="auto" w:fill="FFFFFF"/>
        <w:spacing w:before="192" w:line="216" w:lineRule="exact"/>
        <w:jc w:val="both"/>
      </w:pPr>
      <w:r>
        <w:rPr>
          <w:spacing w:val="-7"/>
          <w:sz w:val="18"/>
          <w:szCs w:val="18"/>
          <w:lang w:val="es-ES_tradnl"/>
        </w:rPr>
        <w:t>No se allanan a la demanda e impugnan la demanda presentada. Que se defiende la constitucionalidad de los art</w:t>
      </w:r>
      <w:r>
        <w:rPr>
          <w:rFonts w:cs="Times New Roman"/>
          <w:spacing w:val="-7"/>
          <w:sz w:val="18"/>
          <w:szCs w:val="18"/>
          <w:lang w:val="es-ES_tradnl"/>
        </w:rPr>
        <w:t>í</w:t>
      </w:r>
      <w:r>
        <w:rPr>
          <w:spacing w:val="-7"/>
          <w:sz w:val="18"/>
          <w:szCs w:val="18"/>
          <w:lang w:val="es-ES_tradnl"/>
        </w:rPr>
        <w:t>culos 18, disposici</w:t>
      </w:r>
      <w:r>
        <w:rPr>
          <w:rFonts w:cs="Times New Roman"/>
          <w:spacing w:val="-7"/>
          <w:sz w:val="18"/>
          <w:szCs w:val="18"/>
          <w:lang w:val="es-ES_tradnl"/>
        </w:rPr>
        <w:t>ó</w:t>
      </w:r>
      <w:r>
        <w:rPr>
          <w:spacing w:val="-7"/>
          <w:sz w:val="18"/>
          <w:szCs w:val="18"/>
          <w:lang w:val="es-ES_tradnl"/>
        </w:rPr>
        <w:t>n general 4 y la primera disposici</w:t>
      </w:r>
      <w:r>
        <w:rPr>
          <w:rFonts w:cs="Times New Roman"/>
          <w:spacing w:val="-7"/>
          <w:sz w:val="18"/>
          <w:szCs w:val="18"/>
          <w:lang w:val="es-ES_tradnl"/>
        </w:rPr>
        <w:t>ó</w:t>
      </w:r>
      <w:r>
        <w:rPr>
          <w:spacing w:val="-7"/>
          <w:sz w:val="18"/>
          <w:szCs w:val="18"/>
          <w:lang w:val="es-ES_tradnl"/>
        </w:rPr>
        <w:t xml:space="preserve">n </w:t>
      </w:r>
      <w:r>
        <w:rPr>
          <w:spacing w:val="-1"/>
          <w:sz w:val="18"/>
          <w:szCs w:val="18"/>
          <w:lang w:val="es-ES_tradnl"/>
        </w:rPr>
        <w:t>transitoria de la ordenanza que regula la implantaci</w:t>
      </w:r>
      <w:r>
        <w:rPr>
          <w:rFonts w:cs="Times New Roman"/>
          <w:spacing w:val="-1"/>
          <w:sz w:val="18"/>
          <w:szCs w:val="18"/>
          <w:lang w:val="es-ES_tradnl"/>
        </w:rPr>
        <w:t>ó</w:t>
      </w:r>
      <w:r>
        <w:rPr>
          <w:spacing w:val="-1"/>
          <w:sz w:val="18"/>
          <w:szCs w:val="18"/>
          <w:lang w:val="es-ES_tradnl"/>
        </w:rPr>
        <w:t xml:space="preserve">n </w:t>
      </w:r>
      <w:r>
        <w:rPr>
          <w:spacing w:val="-7"/>
          <w:sz w:val="18"/>
          <w:szCs w:val="18"/>
          <w:lang w:val="es-ES_tradnl"/>
        </w:rPr>
        <w:t>de estaciones radioel</w:t>
      </w:r>
      <w:r>
        <w:rPr>
          <w:rFonts w:cs="Times New Roman"/>
          <w:spacing w:val="-7"/>
          <w:sz w:val="18"/>
          <w:szCs w:val="18"/>
          <w:lang w:val="es-ES_tradnl"/>
        </w:rPr>
        <w:t>é</w:t>
      </w:r>
      <w:r>
        <w:rPr>
          <w:spacing w:val="-7"/>
          <w:sz w:val="18"/>
          <w:szCs w:val="18"/>
          <w:lang w:val="es-ES_tradnl"/>
        </w:rPr>
        <w:t xml:space="preserve">ctricas, centrales fijas y de base de </w:t>
      </w:r>
      <w:r>
        <w:rPr>
          <w:spacing w:val="-6"/>
          <w:sz w:val="18"/>
          <w:szCs w:val="18"/>
          <w:lang w:val="es-ES_tradnl"/>
        </w:rPr>
        <w:t>los servicios m</w:t>
      </w:r>
      <w:r>
        <w:rPr>
          <w:rFonts w:cs="Times New Roman"/>
          <w:spacing w:val="-6"/>
          <w:sz w:val="18"/>
          <w:szCs w:val="18"/>
          <w:lang w:val="es-ES_tradnl"/>
        </w:rPr>
        <w:t>ó</w:t>
      </w:r>
      <w:r>
        <w:rPr>
          <w:spacing w:val="-6"/>
          <w:sz w:val="18"/>
          <w:szCs w:val="18"/>
          <w:lang w:val="es-ES_tradnl"/>
        </w:rPr>
        <w:t xml:space="preserve">vil terrestre de radio comunicaciones, </w:t>
      </w:r>
      <w:r>
        <w:rPr>
          <w:spacing w:val="-9"/>
          <w:sz w:val="18"/>
          <w:szCs w:val="18"/>
          <w:lang w:val="es-ES_tradnl"/>
        </w:rPr>
        <w:t>televisi</w:t>
      </w:r>
      <w:r>
        <w:rPr>
          <w:rFonts w:cs="Times New Roman"/>
          <w:spacing w:val="-9"/>
          <w:sz w:val="18"/>
          <w:szCs w:val="18"/>
          <w:lang w:val="es-ES_tradnl"/>
        </w:rPr>
        <w:t>ó</w:t>
      </w:r>
      <w:r>
        <w:rPr>
          <w:spacing w:val="-9"/>
          <w:sz w:val="18"/>
          <w:szCs w:val="18"/>
          <w:lang w:val="es-ES_tradnl"/>
        </w:rPr>
        <w:t>n y otras comunicaciones de transmisiones; fijaci</w:t>
      </w:r>
      <w:r>
        <w:rPr>
          <w:rFonts w:cs="Times New Roman"/>
          <w:spacing w:val="-9"/>
          <w:sz w:val="18"/>
          <w:szCs w:val="18"/>
          <w:lang w:val="es-ES_tradnl"/>
        </w:rPr>
        <w:t>ó</w:t>
      </w:r>
      <w:r>
        <w:rPr>
          <w:spacing w:val="-9"/>
          <w:sz w:val="18"/>
          <w:szCs w:val="18"/>
          <w:lang w:val="es-ES_tradnl"/>
        </w:rPr>
        <w:t xml:space="preserve">n </w:t>
      </w:r>
      <w:r>
        <w:rPr>
          <w:spacing w:val="-7"/>
          <w:sz w:val="18"/>
          <w:szCs w:val="18"/>
          <w:lang w:val="es-ES_tradnl"/>
        </w:rPr>
        <w:t>de las tasas correspondientes a la utilizaci</w:t>
      </w:r>
      <w:r>
        <w:rPr>
          <w:rFonts w:cs="Times New Roman"/>
          <w:spacing w:val="-7"/>
          <w:sz w:val="18"/>
          <w:szCs w:val="18"/>
          <w:lang w:val="es-ES_tradnl"/>
        </w:rPr>
        <w:t>ó</w:t>
      </w:r>
      <w:r>
        <w:rPr>
          <w:spacing w:val="-7"/>
          <w:sz w:val="18"/>
          <w:szCs w:val="18"/>
          <w:lang w:val="es-ES_tradnl"/>
        </w:rPr>
        <w:t>n u ocupaci</w:t>
      </w:r>
      <w:r>
        <w:rPr>
          <w:rFonts w:cs="Times New Roman"/>
          <w:spacing w:val="-7"/>
          <w:sz w:val="18"/>
          <w:szCs w:val="18"/>
          <w:lang w:val="es-ES_tradnl"/>
        </w:rPr>
        <w:t>ó</w:t>
      </w:r>
      <w:r>
        <w:rPr>
          <w:spacing w:val="-7"/>
          <w:sz w:val="18"/>
          <w:szCs w:val="18"/>
          <w:lang w:val="es-ES_tradnl"/>
        </w:rPr>
        <w:t xml:space="preserve">n </w:t>
      </w:r>
      <w:r>
        <w:rPr>
          <w:spacing w:val="-4"/>
          <w:sz w:val="18"/>
          <w:szCs w:val="18"/>
          <w:lang w:val="es-ES_tradnl"/>
        </w:rPr>
        <w:t>del espacio a</w:t>
      </w:r>
      <w:r>
        <w:rPr>
          <w:rFonts w:cs="Times New Roman"/>
          <w:spacing w:val="-4"/>
          <w:sz w:val="18"/>
          <w:szCs w:val="18"/>
          <w:lang w:val="es-ES_tradnl"/>
        </w:rPr>
        <w:t>é</w:t>
      </w:r>
      <w:r>
        <w:rPr>
          <w:spacing w:val="-4"/>
          <w:sz w:val="18"/>
          <w:szCs w:val="18"/>
          <w:lang w:val="es-ES_tradnl"/>
        </w:rPr>
        <w:t>reo municipal, uso de la v</w:t>
      </w:r>
      <w:r>
        <w:rPr>
          <w:rFonts w:cs="Times New Roman"/>
          <w:spacing w:val="-4"/>
          <w:sz w:val="18"/>
          <w:szCs w:val="18"/>
          <w:lang w:val="es-ES_tradnl"/>
        </w:rPr>
        <w:t>í</w:t>
      </w:r>
      <w:r>
        <w:rPr>
          <w:spacing w:val="-4"/>
          <w:sz w:val="18"/>
          <w:szCs w:val="18"/>
          <w:lang w:val="es-ES_tradnl"/>
        </w:rPr>
        <w:t>a p</w:t>
      </w:r>
      <w:r>
        <w:rPr>
          <w:rFonts w:cs="Times New Roman"/>
          <w:spacing w:val="-4"/>
          <w:sz w:val="18"/>
          <w:szCs w:val="18"/>
          <w:lang w:val="es-ES_tradnl"/>
        </w:rPr>
        <w:t>ú</w:t>
      </w:r>
      <w:r>
        <w:rPr>
          <w:spacing w:val="-4"/>
          <w:sz w:val="18"/>
          <w:szCs w:val="18"/>
          <w:lang w:val="es-ES_tradnl"/>
        </w:rPr>
        <w:t xml:space="preserve">blica, suelo </w:t>
      </w:r>
      <w:r>
        <w:rPr>
          <w:spacing w:val="-6"/>
          <w:sz w:val="18"/>
          <w:szCs w:val="18"/>
          <w:lang w:val="es-ES_tradnl"/>
        </w:rPr>
        <w:t>y subsuelo en el cant</w:t>
      </w:r>
      <w:r>
        <w:rPr>
          <w:rFonts w:cs="Times New Roman"/>
          <w:spacing w:val="-6"/>
          <w:sz w:val="18"/>
          <w:szCs w:val="18"/>
          <w:lang w:val="es-ES_tradnl"/>
        </w:rPr>
        <w:t>ó</w:t>
      </w:r>
      <w:r>
        <w:rPr>
          <w:spacing w:val="-6"/>
          <w:sz w:val="18"/>
          <w:szCs w:val="18"/>
          <w:lang w:val="es-ES_tradnl"/>
        </w:rPr>
        <w:t xml:space="preserve">n San Francisco de Puebloviejo, </w:t>
      </w:r>
      <w:r>
        <w:rPr>
          <w:spacing w:val="-9"/>
          <w:sz w:val="18"/>
          <w:szCs w:val="18"/>
          <w:lang w:val="es-ES_tradnl"/>
        </w:rPr>
        <w:t>publicada en el Registro Oficial N.</w:t>
      </w:r>
      <w:r>
        <w:rPr>
          <w:rFonts w:cs="Times New Roman"/>
          <w:spacing w:val="-9"/>
          <w:sz w:val="18"/>
          <w:szCs w:val="18"/>
          <w:lang w:val="es-ES_tradnl"/>
        </w:rPr>
        <w:t>º</w:t>
      </w:r>
      <w:r>
        <w:rPr>
          <w:spacing w:val="-9"/>
          <w:sz w:val="18"/>
          <w:szCs w:val="18"/>
          <w:lang w:val="es-ES_tradnl"/>
        </w:rPr>
        <w:t xml:space="preserve"> 594 del 12 de diciembre </w:t>
      </w:r>
      <w:r>
        <w:rPr>
          <w:sz w:val="18"/>
          <w:szCs w:val="18"/>
          <w:lang w:val="es-ES_tradnl"/>
        </w:rPr>
        <w:t>de 2011.</w:t>
      </w:r>
    </w:p>
    <w:p w14:paraId="4F67A853" w14:textId="77777777" w:rsidR="00591D54" w:rsidRDefault="00591D54">
      <w:pPr>
        <w:shd w:val="clear" w:color="auto" w:fill="FFFFFF"/>
        <w:spacing w:before="192" w:line="216" w:lineRule="exact"/>
        <w:jc w:val="both"/>
      </w:pPr>
      <w:r>
        <w:rPr>
          <w:spacing w:val="-4"/>
          <w:sz w:val="18"/>
          <w:szCs w:val="18"/>
          <w:lang w:val="es-ES_tradnl"/>
        </w:rPr>
        <w:t>Finalmente indica que se acompa</w:t>
      </w:r>
      <w:r>
        <w:rPr>
          <w:rFonts w:cs="Times New Roman"/>
          <w:spacing w:val="-4"/>
          <w:sz w:val="18"/>
          <w:szCs w:val="18"/>
          <w:lang w:val="es-ES_tradnl"/>
        </w:rPr>
        <w:t>ñ</w:t>
      </w:r>
      <w:r>
        <w:rPr>
          <w:spacing w:val="-4"/>
          <w:sz w:val="18"/>
          <w:szCs w:val="18"/>
          <w:lang w:val="es-ES_tradnl"/>
        </w:rPr>
        <w:t xml:space="preserve">a al presente escrito </w:t>
      </w:r>
      <w:r>
        <w:rPr>
          <w:spacing w:val="-8"/>
          <w:sz w:val="18"/>
          <w:szCs w:val="18"/>
          <w:lang w:val="es-ES_tradnl"/>
        </w:rPr>
        <w:t xml:space="preserve">los documentos requeridos y que coadyuvan a probar la legalidad de las normas que se pretenden dejar sin efecto </w:t>
      </w:r>
      <w:r>
        <w:rPr>
          <w:spacing w:val="-6"/>
          <w:sz w:val="18"/>
          <w:szCs w:val="18"/>
          <w:lang w:val="es-ES_tradnl"/>
        </w:rPr>
        <w:t>jur</w:t>
      </w:r>
      <w:r>
        <w:rPr>
          <w:rFonts w:cs="Times New Roman"/>
          <w:spacing w:val="-6"/>
          <w:sz w:val="18"/>
          <w:szCs w:val="18"/>
          <w:lang w:val="es-ES_tradnl"/>
        </w:rPr>
        <w:t>í</w:t>
      </w:r>
      <w:r>
        <w:rPr>
          <w:spacing w:val="-6"/>
          <w:sz w:val="18"/>
          <w:szCs w:val="18"/>
          <w:lang w:val="es-ES_tradnl"/>
        </w:rPr>
        <w:t>dico, y se se</w:t>
      </w:r>
      <w:r>
        <w:rPr>
          <w:rFonts w:cs="Times New Roman"/>
          <w:spacing w:val="-6"/>
          <w:sz w:val="18"/>
          <w:szCs w:val="18"/>
          <w:lang w:val="es-ES_tradnl"/>
        </w:rPr>
        <w:t>ñ</w:t>
      </w:r>
      <w:r>
        <w:rPr>
          <w:spacing w:val="-6"/>
          <w:sz w:val="18"/>
          <w:szCs w:val="18"/>
          <w:lang w:val="es-ES_tradnl"/>
        </w:rPr>
        <w:t>ala los correos electr</w:t>
      </w:r>
      <w:r>
        <w:rPr>
          <w:rFonts w:cs="Times New Roman"/>
          <w:spacing w:val="-6"/>
          <w:sz w:val="18"/>
          <w:szCs w:val="18"/>
          <w:lang w:val="es-ES_tradnl"/>
        </w:rPr>
        <w:t>ó</w:t>
      </w:r>
      <w:r>
        <w:rPr>
          <w:spacing w:val="-6"/>
          <w:sz w:val="18"/>
          <w:szCs w:val="18"/>
          <w:lang w:val="es-ES_tradnl"/>
        </w:rPr>
        <w:t xml:space="preserve">nicos para futuras </w:t>
      </w:r>
      <w:r>
        <w:rPr>
          <w:sz w:val="18"/>
          <w:szCs w:val="18"/>
          <w:lang w:val="es-ES_tradnl"/>
        </w:rPr>
        <w:t>notificaciones.</w:t>
      </w:r>
    </w:p>
    <w:p w14:paraId="4F67A854" w14:textId="77777777" w:rsidR="00591D54" w:rsidRDefault="00591D54">
      <w:pPr>
        <w:shd w:val="clear" w:color="auto" w:fill="FFFFFF"/>
        <w:spacing w:before="192"/>
      </w:pPr>
      <w:r>
        <w:rPr>
          <w:b/>
          <w:bCs/>
          <w:spacing w:val="-7"/>
          <w:sz w:val="18"/>
          <w:szCs w:val="18"/>
          <w:lang w:val="es-ES_tradnl"/>
        </w:rPr>
        <w:t>Procuradur</w:t>
      </w:r>
      <w:r>
        <w:rPr>
          <w:rFonts w:cs="Times New Roman"/>
          <w:b/>
          <w:bCs/>
          <w:spacing w:val="-7"/>
          <w:sz w:val="18"/>
          <w:szCs w:val="18"/>
          <w:lang w:val="es-ES_tradnl"/>
        </w:rPr>
        <w:t>í</w:t>
      </w:r>
      <w:r>
        <w:rPr>
          <w:b/>
          <w:bCs/>
          <w:spacing w:val="-7"/>
          <w:sz w:val="18"/>
          <w:szCs w:val="18"/>
          <w:lang w:val="es-ES_tradnl"/>
        </w:rPr>
        <w:t>a General del Estado</w:t>
      </w:r>
    </w:p>
    <w:p w14:paraId="4F67A855" w14:textId="77777777" w:rsidR="00591D54" w:rsidRDefault="00591D54">
      <w:pPr>
        <w:shd w:val="clear" w:color="auto" w:fill="FFFFFF"/>
        <w:spacing w:before="192" w:line="216" w:lineRule="exact"/>
        <w:jc w:val="both"/>
      </w:pPr>
      <w:r>
        <w:rPr>
          <w:spacing w:val="-9"/>
          <w:sz w:val="18"/>
          <w:szCs w:val="18"/>
          <w:lang w:val="es-ES_tradnl"/>
        </w:rPr>
        <w:t xml:space="preserve">Mediante escrito ingresado a esta Corte, el 30 de diciembre </w:t>
      </w:r>
      <w:r>
        <w:rPr>
          <w:spacing w:val="-8"/>
          <w:sz w:val="18"/>
          <w:szCs w:val="18"/>
          <w:lang w:val="es-ES_tradnl"/>
        </w:rPr>
        <w:t xml:space="preserve">de 2014, el abogado Marcos Arteaga Valenzuela, director </w:t>
      </w:r>
      <w:r>
        <w:rPr>
          <w:spacing w:val="-7"/>
          <w:sz w:val="18"/>
          <w:szCs w:val="18"/>
          <w:lang w:val="es-ES_tradnl"/>
        </w:rPr>
        <w:t xml:space="preserve">nacional de Patrocinio y delegado del procurador general </w:t>
      </w:r>
      <w:r>
        <w:rPr>
          <w:spacing w:val="-8"/>
          <w:sz w:val="18"/>
          <w:szCs w:val="18"/>
          <w:lang w:val="es-ES_tradnl"/>
        </w:rPr>
        <w:t>del Estado, comparece y manifiesta lo siguiente:</w:t>
      </w:r>
    </w:p>
    <w:p w14:paraId="4F67A856" w14:textId="77777777" w:rsidR="00591D54" w:rsidRDefault="00591D54">
      <w:pPr>
        <w:shd w:val="clear" w:color="auto" w:fill="FFFFFF"/>
        <w:spacing w:before="197" w:line="216" w:lineRule="exact"/>
        <w:jc w:val="both"/>
      </w:pPr>
      <w:r>
        <w:rPr>
          <w:spacing w:val="-7"/>
          <w:sz w:val="18"/>
          <w:szCs w:val="18"/>
          <w:lang w:val="es-ES_tradnl"/>
        </w:rPr>
        <w:t>Que el Estado central, de acuerdo al art</w:t>
      </w:r>
      <w:r>
        <w:rPr>
          <w:rFonts w:cs="Times New Roman"/>
          <w:spacing w:val="-7"/>
          <w:sz w:val="18"/>
          <w:szCs w:val="18"/>
          <w:lang w:val="es-ES_tradnl"/>
        </w:rPr>
        <w:t>í</w:t>
      </w:r>
      <w:r>
        <w:rPr>
          <w:spacing w:val="-7"/>
          <w:sz w:val="18"/>
          <w:szCs w:val="18"/>
          <w:lang w:val="es-ES_tradnl"/>
        </w:rPr>
        <w:t xml:space="preserve">culo 261 numeral </w:t>
      </w:r>
      <w:r>
        <w:rPr>
          <w:sz w:val="18"/>
          <w:szCs w:val="18"/>
          <w:lang w:val="es-ES_tradnl"/>
        </w:rPr>
        <w:t>10 de 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 xml:space="preserve">blica del Ecuador </w:t>
      </w:r>
      <w:r>
        <w:rPr>
          <w:spacing w:val="-7"/>
          <w:sz w:val="18"/>
          <w:szCs w:val="18"/>
          <w:lang w:val="es-ES_tradnl"/>
        </w:rPr>
        <w:t>tendr</w:t>
      </w:r>
      <w:r>
        <w:rPr>
          <w:rFonts w:cs="Times New Roman"/>
          <w:spacing w:val="-7"/>
          <w:sz w:val="18"/>
          <w:szCs w:val="18"/>
          <w:lang w:val="es-ES_tradnl"/>
        </w:rPr>
        <w:t>á</w:t>
      </w:r>
      <w:r>
        <w:rPr>
          <w:spacing w:val="-7"/>
          <w:sz w:val="18"/>
          <w:szCs w:val="18"/>
          <w:lang w:val="es-ES_tradnl"/>
        </w:rPr>
        <w:t xml:space="preserve"> exclusiva competencia entre otras, la del espectro </w:t>
      </w:r>
      <w:r>
        <w:rPr>
          <w:spacing w:val="-10"/>
          <w:sz w:val="18"/>
          <w:szCs w:val="18"/>
          <w:lang w:val="es-ES_tradnl"/>
        </w:rPr>
        <w:t>radioel</w:t>
      </w:r>
      <w:r>
        <w:rPr>
          <w:rFonts w:cs="Times New Roman"/>
          <w:spacing w:val="-10"/>
          <w:sz w:val="18"/>
          <w:szCs w:val="18"/>
          <w:lang w:val="es-ES_tradnl"/>
        </w:rPr>
        <w:t>é</w:t>
      </w:r>
      <w:r>
        <w:rPr>
          <w:spacing w:val="-10"/>
          <w:sz w:val="18"/>
          <w:szCs w:val="18"/>
          <w:lang w:val="es-ES_tradnl"/>
        </w:rPr>
        <w:t>ctrico y en el r</w:t>
      </w:r>
      <w:r>
        <w:rPr>
          <w:rFonts w:cs="Times New Roman"/>
          <w:spacing w:val="-10"/>
          <w:sz w:val="18"/>
          <w:szCs w:val="18"/>
          <w:lang w:val="es-ES_tradnl"/>
        </w:rPr>
        <w:t>é</w:t>
      </w:r>
      <w:r>
        <w:rPr>
          <w:spacing w:val="-10"/>
          <w:sz w:val="18"/>
          <w:szCs w:val="18"/>
          <w:lang w:val="es-ES_tradnl"/>
        </w:rPr>
        <w:t xml:space="preserve">gimen general de las comunicaciones </w:t>
      </w:r>
      <w:r>
        <w:rPr>
          <w:spacing w:val="-8"/>
          <w:sz w:val="18"/>
          <w:szCs w:val="18"/>
          <w:lang w:val="es-ES_tradnl"/>
        </w:rPr>
        <w:t>y telecomunicaciones, puertos y aeropuertos. De tal modo, se</w:t>
      </w:r>
      <w:r>
        <w:rPr>
          <w:rFonts w:cs="Times New Roman"/>
          <w:spacing w:val="-8"/>
          <w:sz w:val="18"/>
          <w:szCs w:val="18"/>
          <w:lang w:val="es-ES_tradnl"/>
        </w:rPr>
        <w:t>ñ</w:t>
      </w:r>
      <w:r>
        <w:rPr>
          <w:spacing w:val="-8"/>
          <w:sz w:val="18"/>
          <w:szCs w:val="18"/>
          <w:lang w:val="es-ES_tradnl"/>
        </w:rPr>
        <w:t>ala que el servicio p</w:t>
      </w:r>
      <w:r>
        <w:rPr>
          <w:rFonts w:cs="Times New Roman"/>
          <w:spacing w:val="-8"/>
          <w:sz w:val="18"/>
          <w:szCs w:val="18"/>
          <w:lang w:val="es-ES_tradnl"/>
        </w:rPr>
        <w:t>ú</w:t>
      </w:r>
      <w:r>
        <w:rPr>
          <w:spacing w:val="-8"/>
          <w:sz w:val="18"/>
          <w:szCs w:val="18"/>
          <w:lang w:val="es-ES_tradnl"/>
        </w:rPr>
        <w:t>blico de telecomunicaciones est</w:t>
      </w:r>
      <w:r>
        <w:rPr>
          <w:rFonts w:cs="Times New Roman"/>
          <w:spacing w:val="-8"/>
          <w:sz w:val="18"/>
          <w:szCs w:val="18"/>
          <w:lang w:val="es-ES_tradnl"/>
        </w:rPr>
        <w:t xml:space="preserve">á </w:t>
      </w:r>
      <w:r>
        <w:rPr>
          <w:spacing w:val="-7"/>
          <w:sz w:val="18"/>
          <w:szCs w:val="18"/>
          <w:lang w:val="es-ES_tradnl"/>
        </w:rPr>
        <w:t>dentro del grupo denominado sectores estrat</w:t>
      </w:r>
      <w:r>
        <w:rPr>
          <w:rFonts w:cs="Times New Roman"/>
          <w:spacing w:val="-7"/>
          <w:sz w:val="18"/>
          <w:szCs w:val="18"/>
          <w:lang w:val="es-ES_tradnl"/>
        </w:rPr>
        <w:t>é</w:t>
      </w:r>
      <w:r>
        <w:rPr>
          <w:spacing w:val="-7"/>
          <w:sz w:val="18"/>
          <w:szCs w:val="18"/>
          <w:lang w:val="es-ES_tradnl"/>
        </w:rPr>
        <w:t xml:space="preserve">gicos por lo </w:t>
      </w:r>
      <w:r>
        <w:rPr>
          <w:spacing w:val="-9"/>
          <w:sz w:val="18"/>
          <w:szCs w:val="18"/>
          <w:lang w:val="es-ES_tradnl"/>
        </w:rPr>
        <w:t>que el Estado central se reserva el derecho de administrar, regular y gestionar los sectores estrat</w:t>
      </w:r>
      <w:r>
        <w:rPr>
          <w:rFonts w:cs="Times New Roman"/>
          <w:spacing w:val="-9"/>
          <w:sz w:val="18"/>
          <w:szCs w:val="18"/>
          <w:lang w:val="es-ES_tradnl"/>
        </w:rPr>
        <w:t>é</w:t>
      </w:r>
      <w:r>
        <w:rPr>
          <w:spacing w:val="-9"/>
          <w:sz w:val="18"/>
          <w:szCs w:val="18"/>
          <w:lang w:val="es-ES_tradnl"/>
        </w:rPr>
        <w:t>gicos, lo que tambi</w:t>
      </w:r>
      <w:r>
        <w:rPr>
          <w:rFonts w:cs="Times New Roman"/>
          <w:spacing w:val="-9"/>
          <w:sz w:val="18"/>
          <w:szCs w:val="18"/>
          <w:lang w:val="es-ES_tradnl"/>
        </w:rPr>
        <w:t>é</w:t>
      </w:r>
      <w:r>
        <w:rPr>
          <w:spacing w:val="-9"/>
          <w:sz w:val="18"/>
          <w:szCs w:val="18"/>
          <w:lang w:val="es-ES_tradnl"/>
        </w:rPr>
        <w:t xml:space="preserve">n </w:t>
      </w:r>
      <w:r>
        <w:rPr>
          <w:spacing w:val="-7"/>
          <w:sz w:val="18"/>
          <w:szCs w:val="18"/>
          <w:lang w:val="es-ES_tradnl"/>
        </w:rPr>
        <w:t>significa que puede de acuerdo al art</w:t>
      </w:r>
      <w:r>
        <w:rPr>
          <w:rFonts w:cs="Times New Roman"/>
          <w:spacing w:val="-7"/>
          <w:sz w:val="18"/>
          <w:szCs w:val="18"/>
          <w:lang w:val="es-ES_tradnl"/>
        </w:rPr>
        <w:t>í</w:t>
      </w:r>
      <w:r>
        <w:rPr>
          <w:spacing w:val="-7"/>
          <w:sz w:val="18"/>
          <w:szCs w:val="18"/>
          <w:lang w:val="es-ES_tradnl"/>
        </w:rPr>
        <w:t xml:space="preserve">culo 314 de la Carta Suprema, disponer y fijar los precios, tarifas, tasas por los </w:t>
      </w:r>
      <w:r>
        <w:rPr>
          <w:spacing w:val="-8"/>
          <w:sz w:val="18"/>
          <w:szCs w:val="18"/>
          <w:lang w:val="es-ES_tradnl"/>
        </w:rPr>
        <w:t>servicios p</w:t>
      </w:r>
      <w:r>
        <w:rPr>
          <w:rFonts w:cs="Times New Roman"/>
          <w:spacing w:val="-8"/>
          <w:sz w:val="18"/>
          <w:szCs w:val="18"/>
          <w:lang w:val="es-ES_tradnl"/>
        </w:rPr>
        <w:t>ú</w:t>
      </w:r>
      <w:r>
        <w:rPr>
          <w:spacing w:val="-8"/>
          <w:sz w:val="18"/>
          <w:szCs w:val="18"/>
          <w:lang w:val="es-ES_tradnl"/>
        </w:rPr>
        <w:t>blicos en este caso el de telecomunicaciones.</w:t>
      </w:r>
    </w:p>
    <w:p w14:paraId="4F67A857" w14:textId="77777777" w:rsidR="00591D54" w:rsidRDefault="00591D54">
      <w:pPr>
        <w:shd w:val="clear" w:color="auto" w:fill="FFFFFF"/>
        <w:spacing w:before="197" w:line="216" w:lineRule="exact"/>
        <w:jc w:val="both"/>
      </w:pPr>
      <w:r>
        <w:rPr>
          <w:spacing w:val="-9"/>
          <w:sz w:val="18"/>
          <w:szCs w:val="18"/>
          <w:lang w:val="es-ES_tradnl"/>
        </w:rPr>
        <w:t>Manifiesta adem</w:t>
      </w:r>
      <w:r>
        <w:rPr>
          <w:rFonts w:cs="Times New Roman"/>
          <w:spacing w:val="-9"/>
          <w:sz w:val="18"/>
          <w:szCs w:val="18"/>
          <w:lang w:val="es-ES_tradnl"/>
        </w:rPr>
        <w:t>á</w:t>
      </w:r>
      <w:r>
        <w:rPr>
          <w:spacing w:val="-9"/>
          <w:sz w:val="18"/>
          <w:szCs w:val="18"/>
          <w:lang w:val="es-ES_tradnl"/>
        </w:rPr>
        <w:t>s, que queda evidenciado por disposici</w:t>
      </w:r>
      <w:r>
        <w:rPr>
          <w:rFonts w:cs="Times New Roman"/>
          <w:spacing w:val="-9"/>
          <w:sz w:val="18"/>
          <w:szCs w:val="18"/>
          <w:lang w:val="es-ES_tradnl"/>
        </w:rPr>
        <w:t>ó</w:t>
      </w:r>
      <w:r>
        <w:rPr>
          <w:spacing w:val="-9"/>
          <w:sz w:val="18"/>
          <w:szCs w:val="18"/>
          <w:lang w:val="es-ES_tradnl"/>
        </w:rPr>
        <w:t xml:space="preserve">n </w:t>
      </w:r>
      <w:r>
        <w:rPr>
          <w:spacing w:val="-5"/>
          <w:sz w:val="18"/>
          <w:szCs w:val="18"/>
          <w:lang w:val="es-ES_tradnl"/>
        </w:rPr>
        <w:t xml:space="preserve">constitucional que el </w:t>
      </w:r>
      <w:r>
        <w:rPr>
          <w:rFonts w:cs="Times New Roman"/>
          <w:spacing w:val="-5"/>
          <w:sz w:val="18"/>
          <w:szCs w:val="18"/>
          <w:lang w:val="es-ES_tradnl"/>
        </w:rPr>
        <w:t>ú</w:t>
      </w:r>
      <w:r>
        <w:rPr>
          <w:spacing w:val="-5"/>
          <w:sz w:val="18"/>
          <w:szCs w:val="18"/>
          <w:lang w:val="es-ES_tradnl"/>
        </w:rPr>
        <w:t xml:space="preserve">nico facultado para administrar, </w:t>
      </w:r>
      <w:r>
        <w:rPr>
          <w:spacing w:val="-8"/>
          <w:sz w:val="18"/>
          <w:szCs w:val="18"/>
          <w:lang w:val="es-ES_tradnl"/>
        </w:rPr>
        <w:t>disponer los precios, tarifas, tasas de los servicios p</w:t>
      </w:r>
      <w:r>
        <w:rPr>
          <w:rFonts w:cs="Times New Roman"/>
          <w:spacing w:val="-8"/>
          <w:sz w:val="18"/>
          <w:szCs w:val="18"/>
          <w:lang w:val="es-ES_tradnl"/>
        </w:rPr>
        <w:t>ú</w:t>
      </w:r>
      <w:r>
        <w:rPr>
          <w:spacing w:val="-8"/>
          <w:sz w:val="18"/>
          <w:szCs w:val="18"/>
          <w:lang w:val="es-ES_tradnl"/>
        </w:rPr>
        <w:t xml:space="preserve">blicos de telecomunicaciones es el Estado central, quien a su vez </w:t>
      </w:r>
      <w:r>
        <w:rPr>
          <w:spacing w:val="-6"/>
          <w:sz w:val="18"/>
          <w:szCs w:val="18"/>
          <w:lang w:val="es-ES_tradnl"/>
        </w:rPr>
        <w:t>siempre ejercer</w:t>
      </w:r>
      <w:r>
        <w:rPr>
          <w:rFonts w:cs="Times New Roman"/>
          <w:spacing w:val="-6"/>
          <w:sz w:val="18"/>
          <w:szCs w:val="18"/>
          <w:lang w:val="es-ES_tradnl"/>
        </w:rPr>
        <w:t>á</w:t>
      </w:r>
      <w:r>
        <w:rPr>
          <w:spacing w:val="-6"/>
          <w:sz w:val="18"/>
          <w:szCs w:val="18"/>
          <w:lang w:val="es-ES_tradnl"/>
        </w:rPr>
        <w:t xml:space="preserve"> el control y regulaci</w:t>
      </w:r>
      <w:r>
        <w:rPr>
          <w:rFonts w:cs="Times New Roman"/>
          <w:spacing w:val="-6"/>
          <w:sz w:val="18"/>
          <w:szCs w:val="18"/>
          <w:lang w:val="es-ES_tradnl"/>
        </w:rPr>
        <w:t>ó</w:t>
      </w:r>
      <w:r>
        <w:rPr>
          <w:spacing w:val="-6"/>
          <w:sz w:val="18"/>
          <w:szCs w:val="18"/>
          <w:lang w:val="es-ES_tradnl"/>
        </w:rPr>
        <w:t xml:space="preserve">n encaminado a </w:t>
      </w:r>
      <w:r>
        <w:rPr>
          <w:spacing w:val="-7"/>
          <w:sz w:val="18"/>
          <w:szCs w:val="18"/>
          <w:lang w:val="es-ES_tradnl"/>
        </w:rPr>
        <w:t>garantizar el acceso al espectro radioel</w:t>
      </w:r>
      <w:r>
        <w:rPr>
          <w:rFonts w:cs="Times New Roman"/>
          <w:spacing w:val="-7"/>
          <w:sz w:val="18"/>
          <w:szCs w:val="18"/>
          <w:lang w:val="es-ES_tradnl"/>
        </w:rPr>
        <w:t>é</w:t>
      </w:r>
      <w:r>
        <w:rPr>
          <w:spacing w:val="-7"/>
          <w:sz w:val="18"/>
          <w:szCs w:val="18"/>
          <w:lang w:val="es-ES_tradnl"/>
        </w:rPr>
        <w:t>ctrico en igualdad</w:t>
      </w:r>
    </w:p>
    <w:p w14:paraId="4F67A858" w14:textId="77777777" w:rsidR="00591D54" w:rsidRDefault="00591D54">
      <w:pPr>
        <w:shd w:val="clear" w:color="auto" w:fill="FFFFFF"/>
        <w:spacing w:before="197" w:line="216" w:lineRule="exact"/>
        <w:jc w:val="both"/>
        <w:sectPr w:rsidR="00591D54">
          <w:type w:val="continuous"/>
          <w:pgSz w:w="11909" w:h="16834"/>
          <w:pgMar w:top="1380" w:right="1309" w:bottom="360" w:left="1308" w:header="720" w:footer="720" w:gutter="0"/>
          <w:cols w:num="2" w:space="720" w:equalWidth="0">
            <w:col w:w="4305" w:space="682"/>
            <w:col w:w="4305"/>
          </w:cols>
          <w:noEndnote/>
        </w:sectPr>
      </w:pPr>
    </w:p>
    <w:p w14:paraId="4F67A859" w14:textId="77777777" w:rsidR="00591D54" w:rsidRDefault="00591D54">
      <w:pPr>
        <w:shd w:val="clear" w:color="auto" w:fill="FFFFFF"/>
        <w:tabs>
          <w:tab w:val="left" w:pos="595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- 61</w:t>
      </w:r>
    </w:p>
    <w:p w14:paraId="4F67A85A" w14:textId="77777777" w:rsidR="00591D54" w:rsidRDefault="00591D54">
      <w:pPr>
        <w:shd w:val="clear" w:color="auto" w:fill="FFFFFF"/>
        <w:tabs>
          <w:tab w:val="left" w:pos="5952"/>
        </w:tabs>
        <w:spacing w:after="235"/>
        <w:ind w:left="5"/>
        <w:sectPr w:rsidR="00591D54">
          <w:pgSz w:w="11909" w:h="16834"/>
          <w:pgMar w:top="1359" w:right="1304" w:bottom="360" w:left="1308" w:header="720" w:footer="720" w:gutter="0"/>
          <w:cols w:space="60"/>
          <w:noEndnote/>
        </w:sectPr>
      </w:pPr>
    </w:p>
    <w:p w14:paraId="4F67A85B" w14:textId="77777777" w:rsidR="00591D54" w:rsidRDefault="00591D54">
      <w:pPr>
        <w:shd w:val="clear" w:color="auto" w:fill="FFFFFF"/>
        <w:spacing w:line="216" w:lineRule="exact"/>
        <w:jc w:val="both"/>
      </w:pPr>
      <w:r>
        <w:rPr>
          <w:spacing w:val="-5"/>
          <w:sz w:val="18"/>
          <w:szCs w:val="18"/>
          <w:lang w:val="es-ES_tradnl"/>
        </w:rPr>
        <w:t xml:space="preserve">de oportunidades, pues no hay que olvidarse que los </w:t>
      </w:r>
      <w:r>
        <w:rPr>
          <w:spacing w:val="-6"/>
          <w:sz w:val="18"/>
          <w:szCs w:val="18"/>
          <w:lang w:val="es-ES_tradnl"/>
        </w:rPr>
        <w:t>servicios p</w:t>
      </w:r>
      <w:r>
        <w:rPr>
          <w:rFonts w:cs="Times New Roman"/>
          <w:spacing w:val="-6"/>
          <w:sz w:val="18"/>
          <w:szCs w:val="18"/>
          <w:lang w:val="es-ES_tradnl"/>
        </w:rPr>
        <w:t>ú</w:t>
      </w:r>
      <w:r>
        <w:rPr>
          <w:spacing w:val="-6"/>
          <w:sz w:val="18"/>
          <w:szCs w:val="18"/>
          <w:lang w:val="es-ES_tradnl"/>
        </w:rPr>
        <w:t xml:space="preserve">blicos son inherentes a la finalidad social del </w:t>
      </w:r>
      <w:r>
        <w:rPr>
          <w:spacing w:val="-5"/>
          <w:sz w:val="18"/>
          <w:szCs w:val="18"/>
          <w:lang w:val="es-ES_tradnl"/>
        </w:rPr>
        <w:t>Estado central y en ello radica la prestaci</w:t>
      </w:r>
      <w:r>
        <w:rPr>
          <w:rFonts w:cs="Times New Roman"/>
          <w:spacing w:val="-5"/>
          <w:sz w:val="18"/>
          <w:szCs w:val="18"/>
          <w:lang w:val="es-ES_tradnl"/>
        </w:rPr>
        <w:t>ó</w:t>
      </w:r>
      <w:r>
        <w:rPr>
          <w:spacing w:val="-5"/>
          <w:sz w:val="18"/>
          <w:szCs w:val="18"/>
          <w:lang w:val="es-ES_tradnl"/>
        </w:rPr>
        <w:t xml:space="preserve">n eficiente a </w:t>
      </w:r>
      <w:r>
        <w:rPr>
          <w:spacing w:val="-6"/>
          <w:sz w:val="18"/>
          <w:szCs w:val="18"/>
          <w:lang w:val="es-ES_tradnl"/>
        </w:rPr>
        <w:t>todos los habitantes del territorio nacional.</w:t>
      </w:r>
    </w:p>
    <w:p w14:paraId="4F67A85C" w14:textId="77777777" w:rsidR="00591D54" w:rsidRDefault="00591D54">
      <w:pPr>
        <w:shd w:val="clear" w:color="auto" w:fill="FFFFFF"/>
        <w:spacing w:before="197" w:line="216" w:lineRule="exact"/>
        <w:jc w:val="both"/>
      </w:pPr>
      <w:r>
        <w:rPr>
          <w:spacing w:val="-8"/>
          <w:sz w:val="18"/>
          <w:szCs w:val="18"/>
          <w:lang w:val="es-ES_tradnl"/>
        </w:rPr>
        <w:t xml:space="preserve">Que de acuerdo al mandato constitucional contemplado en </w:t>
      </w:r>
      <w:r>
        <w:rPr>
          <w:spacing w:val="-10"/>
          <w:sz w:val="18"/>
          <w:szCs w:val="18"/>
          <w:lang w:val="es-ES_tradnl"/>
        </w:rPr>
        <w:t>el art</w:t>
      </w:r>
      <w:r>
        <w:rPr>
          <w:rFonts w:cs="Times New Roman"/>
          <w:spacing w:val="-10"/>
          <w:sz w:val="18"/>
          <w:szCs w:val="18"/>
          <w:lang w:val="es-ES_tradnl"/>
        </w:rPr>
        <w:t>í</w:t>
      </w:r>
      <w:r>
        <w:rPr>
          <w:spacing w:val="-10"/>
          <w:sz w:val="18"/>
          <w:szCs w:val="18"/>
          <w:lang w:val="es-ES_tradnl"/>
        </w:rPr>
        <w:t>culo 240, es competencia de los gobiernos aut</w:t>
      </w:r>
      <w:r>
        <w:rPr>
          <w:rFonts w:cs="Times New Roman"/>
          <w:spacing w:val="-10"/>
          <w:sz w:val="18"/>
          <w:szCs w:val="18"/>
          <w:lang w:val="es-ES_tradnl"/>
        </w:rPr>
        <w:t>ó</w:t>
      </w:r>
      <w:r>
        <w:rPr>
          <w:spacing w:val="-10"/>
          <w:sz w:val="18"/>
          <w:szCs w:val="18"/>
          <w:lang w:val="es-ES_tradnl"/>
        </w:rPr>
        <w:t xml:space="preserve">nomos </w:t>
      </w:r>
      <w:r>
        <w:rPr>
          <w:spacing w:val="-6"/>
          <w:sz w:val="18"/>
          <w:szCs w:val="18"/>
          <w:lang w:val="es-ES_tradnl"/>
        </w:rPr>
        <w:t xml:space="preserve">descentralizados ejercer las facultades ejecutivas en el </w:t>
      </w:r>
      <w:r>
        <w:rPr>
          <w:rFonts w:cs="Times New Roman"/>
          <w:spacing w:val="-7"/>
          <w:sz w:val="18"/>
          <w:szCs w:val="18"/>
          <w:lang w:val="es-ES_tradnl"/>
        </w:rPr>
        <w:t>á</w:t>
      </w:r>
      <w:r>
        <w:rPr>
          <w:spacing w:val="-7"/>
          <w:sz w:val="18"/>
          <w:szCs w:val="18"/>
          <w:lang w:val="es-ES_tradnl"/>
        </w:rPr>
        <w:t>mbito de sus competencias y jurisdicciones territoriales.</w:t>
      </w:r>
    </w:p>
    <w:p w14:paraId="4F67A85D" w14:textId="77777777" w:rsidR="00591D54" w:rsidRDefault="00591D54">
      <w:pPr>
        <w:shd w:val="clear" w:color="auto" w:fill="FFFFFF"/>
        <w:spacing w:before="197" w:line="216" w:lineRule="exact"/>
        <w:jc w:val="both"/>
      </w:pPr>
      <w:r>
        <w:rPr>
          <w:spacing w:val="-8"/>
          <w:sz w:val="18"/>
          <w:szCs w:val="18"/>
          <w:lang w:val="es-ES_tradnl"/>
        </w:rPr>
        <w:t>En este sentido, se</w:t>
      </w:r>
      <w:r>
        <w:rPr>
          <w:rFonts w:cs="Times New Roman"/>
          <w:spacing w:val="-8"/>
          <w:sz w:val="18"/>
          <w:szCs w:val="18"/>
          <w:lang w:val="es-ES_tradnl"/>
        </w:rPr>
        <w:t>ñ</w:t>
      </w:r>
      <w:r>
        <w:rPr>
          <w:spacing w:val="-8"/>
          <w:sz w:val="18"/>
          <w:szCs w:val="18"/>
          <w:lang w:val="es-ES_tradnl"/>
        </w:rPr>
        <w:t>ala que a los gobiernos aut</w:t>
      </w:r>
      <w:r>
        <w:rPr>
          <w:rFonts w:cs="Times New Roman"/>
          <w:spacing w:val="-8"/>
          <w:sz w:val="18"/>
          <w:szCs w:val="18"/>
          <w:lang w:val="es-ES_tradnl"/>
        </w:rPr>
        <w:t>ó</w:t>
      </w:r>
      <w:r>
        <w:rPr>
          <w:spacing w:val="-8"/>
          <w:sz w:val="18"/>
          <w:szCs w:val="18"/>
          <w:lang w:val="es-ES_tradnl"/>
        </w:rPr>
        <w:t xml:space="preserve">nomos </w:t>
      </w:r>
      <w:r>
        <w:rPr>
          <w:spacing w:val="-7"/>
          <w:sz w:val="18"/>
          <w:szCs w:val="18"/>
          <w:lang w:val="es-ES_tradnl"/>
        </w:rPr>
        <w:t xml:space="preserve">descentralizados se les reconoce su </w:t>
      </w:r>
      <w:r>
        <w:rPr>
          <w:rFonts w:cs="Times New Roman"/>
          <w:spacing w:val="-7"/>
          <w:sz w:val="18"/>
          <w:szCs w:val="18"/>
          <w:lang w:val="es-ES_tradnl"/>
        </w:rPr>
        <w:t>á</w:t>
      </w:r>
      <w:r>
        <w:rPr>
          <w:spacing w:val="-7"/>
          <w:sz w:val="18"/>
          <w:szCs w:val="18"/>
          <w:lang w:val="es-ES_tradnl"/>
        </w:rPr>
        <w:t xml:space="preserve">mbito legislativo, </w:t>
      </w:r>
      <w:r>
        <w:rPr>
          <w:spacing w:val="-5"/>
          <w:sz w:val="18"/>
          <w:szCs w:val="18"/>
          <w:lang w:val="es-ES_tradnl"/>
        </w:rPr>
        <w:t>sujet</w:t>
      </w:r>
      <w:r>
        <w:rPr>
          <w:rFonts w:cs="Times New Roman"/>
          <w:spacing w:val="-5"/>
          <w:sz w:val="18"/>
          <w:szCs w:val="18"/>
          <w:lang w:val="es-ES_tradnl"/>
        </w:rPr>
        <w:t>á</w:t>
      </w:r>
      <w:r>
        <w:rPr>
          <w:spacing w:val="-5"/>
          <w:sz w:val="18"/>
          <w:szCs w:val="18"/>
          <w:lang w:val="es-ES_tradnl"/>
        </w:rPr>
        <w:t xml:space="preserve">ndose a las competencias y atribuciones que tanto </w:t>
      </w:r>
      <w:r>
        <w:rPr>
          <w:spacing w:val="-6"/>
          <w:sz w:val="18"/>
          <w:szCs w:val="18"/>
          <w:lang w:val="es-ES_tradnl"/>
        </w:rPr>
        <w:t>la Constituci</w:t>
      </w:r>
      <w:r>
        <w:rPr>
          <w:rFonts w:cs="Times New Roman"/>
          <w:spacing w:val="-6"/>
          <w:sz w:val="18"/>
          <w:szCs w:val="18"/>
          <w:lang w:val="es-ES_tradnl"/>
        </w:rPr>
        <w:t>ó</w:t>
      </w:r>
      <w:r>
        <w:rPr>
          <w:spacing w:val="-6"/>
          <w:sz w:val="18"/>
          <w:szCs w:val="18"/>
          <w:lang w:val="es-ES_tradnl"/>
        </w:rPr>
        <w:t xml:space="preserve">n como la ley les otorga, y sin dejar de lado </w:t>
      </w:r>
      <w:r>
        <w:rPr>
          <w:spacing w:val="-8"/>
          <w:sz w:val="18"/>
          <w:szCs w:val="18"/>
          <w:lang w:val="es-ES_tradnl"/>
        </w:rPr>
        <w:t xml:space="preserve">que las ordenanzas municipales como parte del orden </w:t>
      </w:r>
      <w:r>
        <w:rPr>
          <w:spacing w:val="-10"/>
          <w:sz w:val="18"/>
          <w:szCs w:val="18"/>
          <w:lang w:val="es-ES_tradnl"/>
        </w:rPr>
        <w:t>jer</w:t>
      </w:r>
      <w:r>
        <w:rPr>
          <w:rFonts w:cs="Times New Roman"/>
          <w:spacing w:val="-10"/>
          <w:sz w:val="18"/>
          <w:szCs w:val="18"/>
          <w:lang w:val="es-ES_tradnl"/>
        </w:rPr>
        <w:t>á</w:t>
      </w:r>
      <w:r>
        <w:rPr>
          <w:spacing w:val="-10"/>
          <w:sz w:val="18"/>
          <w:szCs w:val="18"/>
          <w:lang w:val="es-ES_tradnl"/>
        </w:rPr>
        <w:t>rquico de aplicaci</w:t>
      </w:r>
      <w:r>
        <w:rPr>
          <w:rFonts w:cs="Times New Roman"/>
          <w:spacing w:val="-10"/>
          <w:sz w:val="18"/>
          <w:szCs w:val="18"/>
          <w:lang w:val="es-ES_tradnl"/>
        </w:rPr>
        <w:t>ó</w:t>
      </w:r>
      <w:r>
        <w:rPr>
          <w:spacing w:val="-10"/>
          <w:sz w:val="18"/>
          <w:szCs w:val="18"/>
          <w:lang w:val="es-ES_tradnl"/>
        </w:rPr>
        <w:t xml:space="preserve">n de las normas, deben sujetarse a las </w:t>
      </w:r>
      <w:r>
        <w:rPr>
          <w:spacing w:val="-8"/>
          <w:sz w:val="18"/>
          <w:szCs w:val="18"/>
          <w:lang w:val="es-ES_tradnl"/>
        </w:rPr>
        <w:t xml:space="preserve">disposiciones de la Carta Magna y su contenido no puede </w:t>
      </w:r>
      <w:r>
        <w:rPr>
          <w:spacing w:val="-7"/>
          <w:sz w:val="18"/>
          <w:szCs w:val="18"/>
          <w:lang w:val="es-ES_tradnl"/>
        </w:rPr>
        <w:t>estar en contraposici</w:t>
      </w:r>
      <w:r>
        <w:rPr>
          <w:rFonts w:cs="Times New Roman"/>
          <w:spacing w:val="-7"/>
          <w:sz w:val="18"/>
          <w:szCs w:val="18"/>
          <w:lang w:val="es-ES_tradnl"/>
        </w:rPr>
        <w:t>ó</w:t>
      </w:r>
      <w:r>
        <w:rPr>
          <w:spacing w:val="-7"/>
          <w:sz w:val="18"/>
          <w:szCs w:val="18"/>
          <w:lang w:val="es-ES_tradnl"/>
        </w:rPr>
        <w:t xml:space="preserve">n a la norma suprema, ni afectar </w:t>
      </w:r>
      <w:r>
        <w:rPr>
          <w:sz w:val="18"/>
          <w:szCs w:val="18"/>
          <w:lang w:val="es-ES_tradnl"/>
        </w:rPr>
        <w:t>derechos de terceros.</w:t>
      </w:r>
    </w:p>
    <w:p w14:paraId="4F67A85E" w14:textId="77777777" w:rsidR="00591D54" w:rsidRDefault="00591D54">
      <w:pPr>
        <w:shd w:val="clear" w:color="auto" w:fill="FFFFFF"/>
        <w:spacing w:before="192" w:line="216" w:lineRule="exact"/>
        <w:jc w:val="both"/>
      </w:pPr>
      <w:r>
        <w:rPr>
          <w:spacing w:val="-6"/>
          <w:sz w:val="18"/>
          <w:szCs w:val="18"/>
          <w:lang w:val="es-ES_tradnl"/>
        </w:rPr>
        <w:t xml:space="preserve">Concluye, solicitando al Pleno de la Corte Constitucional que declare inconstitucional toda norma contenida en la </w:t>
      </w:r>
      <w:r>
        <w:rPr>
          <w:spacing w:val="-10"/>
          <w:sz w:val="18"/>
          <w:szCs w:val="18"/>
          <w:lang w:val="es-ES_tradnl"/>
        </w:rPr>
        <w:t>ordenanza impugnada que se oponga o no guarde armon</w:t>
      </w:r>
      <w:r>
        <w:rPr>
          <w:rFonts w:cs="Times New Roman"/>
          <w:spacing w:val="-10"/>
          <w:sz w:val="18"/>
          <w:szCs w:val="18"/>
          <w:lang w:val="es-ES_tradnl"/>
        </w:rPr>
        <w:t>í</w:t>
      </w:r>
      <w:r>
        <w:rPr>
          <w:spacing w:val="-10"/>
          <w:sz w:val="18"/>
          <w:szCs w:val="18"/>
          <w:lang w:val="es-ES_tradnl"/>
        </w:rPr>
        <w:t xml:space="preserve">a </w:t>
      </w:r>
      <w:r>
        <w:rPr>
          <w:sz w:val="18"/>
          <w:szCs w:val="18"/>
          <w:lang w:val="es-ES_tradnl"/>
        </w:rPr>
        <w:t>con la Constituci</w:t>
      </w:r>
      <w:r>
        <w:rPr>
          <w:rFonts w:cs="Times New Roman"/>
          <w:sz w:val="18"/>
          <w:szCs w:val="18"/>
          <w:lang w:val="es-ES_tradnl"/>
        </w:rPr>
        <w:t>ó</w:t>
      </w:r>
      <w:r>
        <w:rPr>
          <w:sz w:val="18"/>
          <w:szCs w:val="18"/>
          <w:lang w:val="es-ES_tradnl"/>
        </w:rPr>
        <w:t>n.</w:t>
      </w:r>
    </w:p>
    <w:p w14:paraId="4F67A85F" w14:textId="77777777" w:rsidR="00591D54" w:rsidRDefault="00591D54">
      <w:pPr>
        <w:shd w:val="clear" w:color="auto" w:fill="FFFFFF"/>
        <w:spacing w:before="192" w:line="216" w:lineRule="exact"/>
        <w:ind w:left="686" w:right="326" w:hanging="355"/>
      </w:pPr>
      <w:r>
        <w:rPr>
          <w:b/>
          <w:bCs/>
          <w:spacing w:val="-1"/>
          <w:sz w:val="18"/>
          <w:szCs w:val="18"/>
          <w:lang w:val="es-ES_tradnl"/>
        </w:rPr>
        <w:t xml:space="preserve">II. CONSIDERACIONES Y FUNDAMENTOS </w:t>
      </w:r>
      <w:r>
        <w:rPr>
          <w:b/>
          <w:bCs/>
          <w:sz w:val="18"/>
          <w:szCs w:val="18"/>
          <w:lang w:val="es-ES_tradnl"/>
        </w:rPr>
        <w:t>DE LA CORTE CONSTITUCIONAL</w:t>
      </w:r>
    </w:p>
    <w:p w14:paraId="4F67A860" w14:textId="77777777" w:rsidR="00591D54" w:rsidRDefault="00591D54">
      <w:pPr>
        <w:shd w:val="clear" w:color="auto" w:fill="FFFFFF"/>
        <w:spacing w:before="192"/>
      </w:pPr>
      <w:r>
        <w:rPr>
          <w:b/>
          <w:bCs/>
          <w:spacing w:val="-8"/>
          <w:sz w:val="18"/>
          <w:szCs w:val="18"/>
          <w:lang w:val="es-ES_tradnl"/>
        </w:rPr>
        <w:t>Competencia de la Corte</w:t>
      </w:r>
    </w:p>
    <w:p w14:paraId="4F67A861" w14:textId="77777777" w:rsidR="00591D54" w:rsidRDefault="00591D54">
      <w:pPr>
        <w:shd w:val="clear" w:color="auto" w:fill="FFFFFF"/>
        <w:spacing w:before="192" w:line="216" w:lineRule="exact"/>
        <w:ind w:right="5"/>
        <w:jc w:val="both"/>
      </w:pPr>
      <w:r>
        <w:rPr>
          <w:spacing w:val="-6"/>
          <w:sz w:val="18"/>
          <w:szCs w:val="18"/>
          <w:lang w:val="es-ES_tradnl"/>
        </w:rPr>
        <w:t xml:space="preserve">La Corte Constitucional es competente para conocer y </w:t>
      </w:r>
      <w:r>
        <w:rPr>
          <w:spacing w:val="-5"/>
          <w:sz w:val="18"/>
          <w:szCs w:val="18"/>
          <w:lang w:val="es-ES_tradnl"/>
        </w:rPr>
        <w:t>resolver acciones p</w:t>
      </w:r>
      <w:r>
        <w:rPr>
          <w:rFonts w:cs="Times New Roman"/>
          <w:spacing w:val="-5"/>
          <w:sz w:val="18"/>
          <w:szCs w:val="18"/>
          <w:lang w:val="es-ES_tradnl"/>
        </w:rPr>
        <w:t>ú</w:t>
      </w:r>
      <w:r>
        <w:rPr>
          <w:spacing w:val="-5"/>
          <w:sz w:val="18"/>
          <w:szCs w:val="18"/>
          <w:lang w:val="es-ES_tradnl"/>
        </w:rPr>
        <w:t xml:space="preserve">blicas de inconstitucionalidad por el </w:t>
      </w:r>
      <w:r>
        <w:rPr>
          <w:spacing w:val="-7"/>
          <w:sz w:val="18"/>
          <w:szCs w:val="18"/>
          <w:lang w:val="es-ES_tradnl"/>
        </w:rPr>
        <w:t>fondo o por la forma, contra actos normativos de car</w:t>
      </w:r>
      <w:r>
        <w:rPr>
          <w:rFonts w:cs="Times New Roman"/>
          <w:spacing w:val="-7"/>
          <w:sz w:val="18"/>
          <w:szCs w:val="18"/>
          <w:lang w:val="es-ES_tradnl"/>
        </w:rPr>
        <w:t>á</w:t>
      </w:r>
      <w:r>
        <w:rPr>
          <w:spacing w:val="-7"/>
          <w:sz w:val="18"/>
          <w:szCs w:val="18"/>
          <w:lang w:val="es-ES_tradnl"/>
        </w:rPr>
        <w:t xml:space="preserve">cter </w:t>
      </w:r>
      <w:r>
        <w:rPr>
          <w:spacing w:val="-8"/>
          <w:sz w:val="18"/>
          <w:szCs w:val="18"/>
          <w:lang w:val="es-ES_tradnl"/>
        </w:rPr>
        <w:t xml:space="preserve">general emitidos por </w:t>
      </w:r>
      <w:r>
        <w:rPr>
          <w:rFonts w:cs="Times New Roman"/>
          <w:spacing w:val="-8"/>
          <w:sz w:val="18"/>
          <w:szCs w:val="18"/>
          <w:lang w:val="es-ES_tradnl"/>
        </w:rPr>
        <w:t>ó</w:t>
      </w:r>
      <w:r>
        <w:rPr>
          <w:spacing w:val="-8"/>
          <w:sz w:val="18"/>
          <w:szCs w:val="18"/>
          <w:lang w:val="es-ES_tradnl"/>
        </w:rPr>
        <w:t xml:space="preserve">rganos y autoridades del Estado, de </w:t>
      </w:r>
      <w:r>
        <w:rPr>
          <w:spacing w:val="-4"/>
          <w:sz w:val="18"/>
          <w:szCs w:val="18"/>
          <w:lang w:val="es-ES_tradnl"/>
        </w:rPr>
        <w:t>conformidad con lo dispuesto en el art</w:t>
      </w:r>
      <w:r>
        <w:rPr>
          <w:rFonts w:cs="Times New Roman"/>
          <w:spacing w:val="-4"/>
          <w:sz w:val="18"/>
          <w:szCs w:val="18"/>
          <w:lang w:val="es-ES_tradnl"/>
        </w:rPr>
        <w:t>í</w:t>
      </w:r>
      <w:r>
        <w:rPr>
          <w:spacing w:val="-4"/>
          <w:sz w:val="18"/>
          <w:szCs w:val="18"/>
          <w:lang w:val="es-ES_tradnl"/>
        </w:rPr>
        <w:t xml:space="preserve">culo 436 numeral </w:t>
      </w:r>
      <w:r>
        <w:rPr>
          <w:spacing w:val="-7"/>
          <w:sz w:val="18"/>
          <w:szCs w:val="18"/>
          <w:lang w:val="es-ES_tradnl"/>
        </w:rPr>
        <w:t>2 de 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blica, en concordancia con los art</w:t>
      </w:r>
      <w:r>
        <w:rPr>
          <w:rFonts w:cs="Times New Roman"/>
          <w:spacing w:val="-7"/>
          <w:sz w:val="18"/>
          <w:szCs w:val="18"/>
          <w:lang w:val="es-ES_tradnl"/>
        </w:rPr>
        <w:t>í</w:t>
      </w:r>
      <w:r>
        <w:rPr>
          <w:spacing w:val="-7"/>
          <w:sz w:val="18"/>
          <w:szCs w:val="18"/>
          <w:lang w:val="es-ES_tradnl"/>
        </w:rPr>
        <w:t xml:space="preserve">culos 75 numeral 1 literal </w:t>
      </w:r>
      <w:r>
        <w:rPr>
          <w:b/>
          <w:bCs/>
          <w:spacing w:val="-7"/>
          <w:sz w:val="18"/>
          <w:szCs w:val="18"/>
          <w:lang w:val="es-ES_tradnl"/>
        </w:rPr>
        <w:t xml:space="preserve">d </w:t>
      </w:r>
      <w:r>
        <w:rPr>
          <w:spacing w:val="-7"/>
          <w:sz w:val="18"/>
          <w:szCs w:val="18"/>
          <w:lang w:val="es-ES_tradnl"/>
        </w:rPr>
        <w:t>y 98 de la Ley Org</w:t>
      </w:r>
      <w:r>
        <w:rPr>
          <w:rFonts w:cs="Times New Roman"/>
          <w:spacing w:val="-7"/>
          <w:sz w:val="18"/>
          <w:szCs w:val="18"/>
          <w:lang w:val="es-ES_tradnl"/>
        </w:rPr>
        <w:t>á</w:t>
      </w:r>
      <w:r>
        <w:rPr>
          <w:spacing w:val="-7"/>
          <w:sz w:val="18"/>
          <w:szCs w:val="18"/>
          <w:lang w:val="es-ES_tradnl"/>
        </w:rPr>
        <w:t xml:space="preserve">nica </w:t>
      </w:r>
      <w:r>
        <w:rPr>
          <w:spacing w:val="-5"/>
          <w:sz w:val="18"/>
          <w:szCs w:val="18"/>
          <w:lang w:val="es-ES_tradnl"/>
        </w:rPr>
        <w:t>de Garant</w:t>
      </w:r>
      <w:r>
        <w:rPr>
          <w:rFonts w:cs="Times New Roman"/>
          <w:spacing w:val="-5"/>
          <w:sz w:val="18"/>
          <w:szCs w:val="18"/>
          <w:lang w:val="es-ES_tradnl"/>
        </w:rPr>
        <w:t>í</w:t>
      </w:r>
      <w:r>
        <w:rPr>
          <w:spacing w:val="-5"/>
          <w:sz w:val="18"/>
          <w:szCs w:val="18"/>
          <w:lang w:val="es-ES_tradnl"/>
        </w:rPr>
        <w:t xml:space="preserve">as Jurisdiccionales y Control Constitucional, y </w:t>
      </w:r>
      <w:r>
        <w:rPr>
          <w:spacing w:val="-6"/>
          <w:sz w:val="18"/>
          <w:szCs w:val="18"/>
          <w:lang w:val="es-ES_tradnl"/>
        </w:rPr>
        <w:t>de acuerdo con los art</w:t>
      </w:r>
      <w:r>
        <w:rPr>
          <w:rFonts w:cs="Times New Roman"/>
          <w:spacing w:val="-6"/>
          <w:sz w:val="18"/>
          <w:szCs w:val="18"/>
          <w:lang w:val="es-ES_tradnl"/>
        </w:rPr>
        <w:t>í</w:t>
      </w:r>
      <w:r>
        <w:rPr>
          <w:spacing w:val="-6"/>
          <w:sz w:val="18"/>
          <w:szCs w:val="18"/>
          <w:lang w:val="es-ES_tradnl"/>
        </w:rPr>
        <w:t xml:space="preserve">culos 3 numeral 2 literal </w:t>
      </w:r>
      <w:r>
        <w:rPr>
          <w:b/>
          <w:bCs/>
          <w:spacing w:val="-6"/>
          <w:sz w:val="18"/>
          <w:szCs w:val="18"/>
          <w:lang w:val="es-ES_tradnl"/>
        </w:rPr>
        <w:t xml:space="preserve">d </w:t>
      </w:r>
      <w:r>
        <w:rPr>
          <w:spacing w:val="-6"/>
          <w:sz w:val="18"/>
          <w:szCs w:val="18"/>
          <w:lang w:val="es-ES_tradnl"/>
        </w:rPr>
        <w:t xml:space="preserve">y 54 del </w:t>
      </w:r>
      <w:r>
        <w:rPr>
          <w:spacing w:val="-10"/>
          <w:sz w:val="18"/>
          <w:szCs w:val="18"/>
          <w:lang w:val="es-ES_tradnl"/>
        </w:rPr>
        <w:t>Reglamento de Sustanciaci</w:t>
      </w:r>
      <w:r>
        <w:rPr>
          <w:rFonts w:cs="Times New Roman"/>
          <w:spacing w:val="-10"/>
          <w:sz w:val="18"/>
          <w:szCs w:val="18"/>
          <w:lang w:val="es-ES_tradnl"/>
        </w:rPr>
        <w:t>ó</w:t>
      </w:r>
      <w:r>
        <w:rPr>
          <w:spacing w:val="-10"/>
          <w:sz w:val="18"/>
          <w:szCs w:val="18"/>
          <w:lang w:val="es-ES_tradnl"/>
        </w:rPr>
        <w:t xml:space="preserve">n de Procesos de Competencia </w:t>
      </w:r>
      <w:r>
        <w:rPr>
          <w:sz w:val="18"/>
          <w:szCs w:val="18"/>
          <w:lang w:val="es-ES_tradnl"/>
        </w:rPr>
        <w:t>de la Corte Constitucional.</w:t>
      </w:r>
    </w:p>
    <w:p w14:paraId="4F67A862" w14:textId="77777777" w:rsidR="00591D54" w:rsidRDefault="00591D54">
      <w:pPr>
        <w:shd w:val="clear" w:color="auto" w:fill="FFFFFF"/>
        <w:spacing w:before="192"/>
      </w:pPr>
      <w:r>
        <w:rPr>
          <w:b/>
          <w:bCs/>
          <w:spacing w:val="-8"/>
          <w:sz w:val="18"/>
          <w:szCs w:val="18"/>
          <w:lang w:val="es-ES_tradnl"/>
        </w:rPr>
        <w:t>Legitimaci</w:t>
      </w:r>
      <w:r>
        <w:rPr>
          <w:rFonts w:cs="Times New Roman"/>
          <w:b/>
          <w:bCs/>
          <w:spacing w:val="-8"/>
          <w:sz w:val="18"/>
          <w:szCs w:val="18"/>
          <w:lang w:val="es-ES_tradnl"/>
        </w:rPr>
        <w:t>ó</w:t>
      </w:r>
      <w:r>
        <w:rPr>
          <w:b/>
          <w:bCs/>
          <w:spacing w:val="-8"/>
          <w:sz w:val="18"/>
          <w:szCs w:val="18"/>
          <w:lang w:val="es-ES_tradnl"/>
        </w:rPr>
        <w:t>n activa</w:t>
      </w:r>
    </w:p>
    <w:p w14:paraId="4F67A863" w14:textId="77777777" w:rsidR="00591D54" w:rsidRDefault="00591D54">
      <w:pPr>
        <w:shd w:val="clear" w:color="auto" w:fill="FFFFFF"/>
        <w:spacing w:before="197" w:line="216" w:lineRule="exact"/>
        <w:ind w:right="5"/>
        <w:jc w:val="both"/>
      </w:pPr>
      <w:r>
        <w:rPr>
          <w:spacing w:val="-8"/>
          <w:sz w:val="18"/>
          <w:szCs w:val="18"/>
          <w:lang w:val="es-ES_tradnl"/>
        </w:rPr>
        <w:t xml:space="preserve">La accionante se encuentra legitimada para presentar la </w:t>
      </w:r>
      <w:r>
        <w:rPr>
          <w:spacing w:val="-5"/>
          <w:sz w:val="18"/>
          <w:szCs w:val="18"/>
          <w:lang w:val="es-ES_tradnl"/>
        </w:rPr>
        <w:t>acci</w:t>
      </w:r>
      <w:r>
        <w:rPr>
          <w:rFonts w:cs="Times New Roman"/>
          <w:spacing w:val="-5"/>
          <w:sz w:val="18"/>
          <w:szCs w:val="18"/>
          <w:lang w:val="es-ES_tradnl"/>
        </w:rPr>
        <w:t>ó</w:t>
      </w:r>
      <w:r>
        <w:rPr>
          <w:spacing w:val="-5"/>
          <w:sz w:val="18"/>
          <w:szCs w:val="18"/>
          <w:lang w:val="es-ES_tradnl"/>
        </w:rPr>
        <w:t xml:space="preserve">n de inconstitucionalidad de actos normativos con </w:t>
      </w:r>
      <w:r>
        <w:rPr>
          <w:spacing w:val="-7"/>
          <w:sz w:val="18"/>
          <w:szCs w:val="18"/>
          <w:lang w:val="es-ES_tradnl"/>
        </w:rPr>
        <w:t>car</w:t>
      </w:r>
      <w:r>
        <w:rPr>
          <w:rFonts w:cs="Times New Roman"/>
          <w:spacing w:val="-7"/>
          <w:sz w:val="18"/>
          <w:szCs w:val="18"/>
          <w:lang w:val="es-ES_tradnl"/>
        </w:rPr>
        <w:t>á</w:t>
      </w:r>
      <w:r>
        <w:rPr>
          <w:spacing w:val="-7"/>
          <w:sz w:val="18"/>
          <w:szCs w:val="18"/>
          <w:lang w:val="es-ES_tradnl"/>
        </w:rPr>
        <w:t>cter general, de conformidad con el art</w:t>
      </w:r>
      <w:r>
        <w:rPr>
          <w:rFonts w:cs="Times New Roman"/>
          <w:spacing w:val="-7"/>
          <w:sz w:val="18"/>
          <w:szCs w:val="18"/>
          <w:lang w:val="es-ES_tradnl"/>
        </w:rPr>
        <w:t>í</w:t>
      </w:r>
      <w:r>
        <w:rPr>
          <w:spacing w:val="-7"/>
          <w:sz w:val="18"/>
          <w:szCs w:val="18"/>
          <w:lang w:val="es-ES_tradnl"/>
        </w:rPr>
        <w:t xml:space="preserve">culo 439 de la </w:t>
      </w:r>
      <w:r>
        <w:rPr>
          <w:spacing w:val="-11"/>
          <w:sz w:val="18"/>
          <w:szCs w:val="18"/>
          <w:lang w:val="es-ES_tradnl"/>
        </w:rPr>
        <w:t>Constituci</w:t>
      </w:r>
      <w:r>
        <w:rPr>
          <w:rFonts w:cs="Times New Roman"/>
          <w:spacing w:val="-11"/>
          <w:sz w:val="18"/>
          <w:szCs w:val="18"/>
          <w:lang w:val="es-ES_tradnl"/>
        </w:rPr>
        <w:t>ó</w:t>
      </w:r>
      <w:r>
        <w:rPr>
          <w:spacing w:val="-11"/>
          <w:sz w:val="18"/>
          <w:szCs w:val="18"/>
          <w:lang w:val="es-ES_tradnl"/>
        </w:rPr>
        <w:t>n de la Rep</w:t>
      </w:r>
      <w:r>
        <w:rPr>
          <w:rFonts w:cs="Times New Roman"/>
          <w:spacing w:val="-11"/>
          <w:sz w:val="18"/>
          <w:szCs w:val="18"/>
          <w:lang w:val="es-ES_tradnl"/>
        </w:rPr>
        <w:t>ú</w:t>
      </w:r>
      <w:r>
        <w:rPr>
          <w:spacing w:val="-11"/>
          <w:sz w:val="18"/>
          <w:szCs w:val="18"/>
          <w:lang w:val="es-ES_tradnl"/>
        </w:rPr>
        <w:t xml:space="preserve">blica, que establece que las acciones </w:t>
      </w:r>
      <w:r>
        <w:rPr>
          <w:spacing w:val="-7"/>
          <w:sz w:val="18"/>
          <w:szCs w:val="18"/>
          <w:lang w:val="es-ES_tradnl"/>
        </w:rPr>
        <w:t>constitucionales podr</w:t>
      </w:r>
      <w:r>
        <w:rPr>
          <w:rFonts w:cs="Times New Roman"/>
          <w:spacing w:val="-7"/>
          <w:sz w:val="18"/>
          <w:szCs w:val="18"/>
          <w:lang w:val="es-ES_tradnl"/>
        </w:rPr>
        <w:t>á</w:t>
      </w:r>
      <w:r>
        <w:rPr>
          <w:spacing w:val="-7"/>
          <w:sz w:val="18"/>
          <w:szCs w:val="18"/>
          <w:lang w:val="es-ES_tradnl"/>
        </w:rPr>
        <w:t xml:space="preserve">n ser presentadas por cualquier </w:t>
      </w:r>
      <w:r>
        <w:rPr>
          <w:spacing w:val="-6"/>
          <w:sz w:val="18"/>
          <w:szCs w:val="18"/>
          <w:lang w:val="es-ES_tradnl"/>
        </w:rPr>
        <w:t xml:space="preserve">ciudadana o ciudadano individual o colectivamente, en </w:t>
      </w:r>
      <w:r>
        <w:rPr>
          <w:spacing w:val="-7"/>
          <w:sz w:val="18"/>
          <w:szCs w:val="18"/>
          <w:lang w:val="es-ES_tradnl"/>
        </w:rPr>
        <w:t>concordancia con los art</w:t>
      </w:r>
      <w:r>
        <w:rPr>
          <w:rFonts w:cs="Times New Roman"/>
          <w:spacing w:val="-7"/>
          <w:sz w:val="18"/>
          <w:szCs w:val="18"/>
          <w:lang w:val="es-ES_tradnl"/>
        </w:rPr>
        <w:t>í</w:t>
      </w:r>
      <w:r>
        <w:rPr>
          <w:spacing w:val="-7"/>
          <w:sz w:val="18"/>
          <w:szCs w:val="18"/>
          <w:lang w:val="es-ES_tradnl"/>
        </w:rPr>
        <w:t>culos 77 y 98 de la Ley Org</w:t>
      </w:r>
      <w:r>
        <w:rPr>
          <w:rFonts w:cs="Times New Roman"/>
          <w:spacing w:val="-7"/>
          <w:sz w:val="18"/>
          <w:szCs w:val="18"/>
          <w:lang w:val="es-ES_tradnl"/>
        </w:rPr>
        <w:t>á</w:t>
      </w:r>
      <w:r>
        <w:rPr>
          <w:spacing w:val="-7"/>
          <w:sz w:val="18"/>
          <w:szCs w:val="18"/>
          <w:lang w:val="es-ES_tradnl"/>
        </w:rPr>
        <w:t xml:space="preserve">nica </w:t>
      </w:r>
      <w:r>
        <w:rPr>
          <w:spacing w:val="-6"/>
          <w:sz w:val="18"/>
          <w:szCs w:val="18"/>
          <w:lang w:val="es-ES_tradnl"/>
        </w:rPr>
        <w:t>de Garant</w:t>
      </w:r>
      <w:r>
        <w:rPr>
          <w:rFonts w:cs="Times New Roman"/>
          <w:spacing w:val="-6"/>
          <w:sz w:val="18"/>
          <w:szCs w:val="18"/>
          <w:lang w:val="es-ES_tradnl"/>
        </w:rPr>
        <w:t>í</w:t>
      </w:r>
      <w:r>
        <w:rPr>
          <w:spacing w:val="-6"/>
          <w:sz w:val="18"/>
          <w:szCs w:val="18"/>
          <w:lang w:val="es-ES_tradnl"/>
        </w:rPr>
        <w:t>as Jurisdiccionales y Control Constitucional.</w:t>
      </w:r>
    </w:p>
    <w:p w14:paraId="4F67A864" w14:textId="77777777" w:rsidR="00591D54" w:rsidRDefault="00591D54">
      <w:pPr>
        <w:shd w:val="clear" w:color="auto" w:fill="FFFFFF"/>
        <w:spacing w:before="192"/>
      </w:pPr>
      <w:r>
        <w:rPr>
          <w:b/>
          <w:bCs/>
          <w:spacing w:val="-10"/>
          <w:sz w:val="18"/>
          <w:szCs w:val="18"/>
          <w:lang w:val="es-ES_tradnl"/>
        </w:rPr>
        <w:t>An</w:t>
      </w:r>
      <w:r>
        <w:rPr>
          <w:rFonts w:cs="Times New Roman"/>
          <w:b/>
          <w:bCs/>
          <w:spacing w:val="-10"/>
          <w:sz w:val="18"/>
          <w:szCs w:val="18"/>
          <w:lang w:val="es-ES_tradnl"/>
        </w:rPr>
        <w:t>á</w:t>
      </w:r>
      <w:r>
        <w:rPr>
          <w:b/>
          <w:bCs/>
          <w:spacing w:val="-10"/>
          <w:sz w:val="18"/>
          <w:szCs w:val="18"/>
          <w:lang w:val="es-ES_tradnl"/>
        </w:rPr>
        <w:t>lisis constitucional</w:t>
      </w:r>
    </w:p>
    <w:p w14:paraId="4F67A865" w14:textId="77777777" w:rsidR="00591D54" w:rsidRDefault="00591D54">
      <w:pPr>
        <w:shd w:val="clear" w:color="auto" w:fill="FFFFFF"/>
        <w:spacing w:before="192" w:line="216" w:lineRule="exact"/>
        <w:ind w:right="5"/>
        <w:jc w:val="both"/>
      </w:pPr>
      <w:r>
        <w:rPr>
          <w:b/>
          <w:bCs/>
          <w:spacing w:val="-8"/>
          <w:sz w:val="18"/>
          <w:szCs w:val="18"/>
          <w:lang w:val="es-ES_tradnl"/>
        </w:rPr>
        <w:t>Naturaleza jur</w:t>
      </w:r>
      <w:r>
        <w:rPr>
          <w:rFonts w:cs="Times New Roman"/>
          <w:b/>
          <w:bCs/>
          <w:spacing w:val="-8"/>
          <w:sz w:val="18"/>
          <w:szCs w:val="18"/>
          <w:lang w:val="es-ES_tradnl"/>
        </w:rPr>
        <w:t>í</w:t>
      </w:r>
      <w:r>
        <w:rPr>
          <w:b/>
          <w:bCs/>
          <w:spacing w:val="-8"/>
          <w:sz w:val="18"/>
          <w:szCs w:val="18"/>
          <w:lang w:val="es-ES_tradnl"/>
        </w:rPr>
        <w:t>dica, alcances y efectos de la acci</w:t>
      </w:r>
      <w:r>
        <w:rPr>
          <w:rFonts w:cs="Times New Roman"/>
          <w:b/>
          <w:bCs/>
          <w:spacing w:val="-8"/>
          <w:sz w:val="18"/>
          <w:szCs w:val="18"/>
          <w:lang w:val="es-ES_tradnl"/>
        </w:rPr>
        <w:t>ó</w:t>
      </w:r>
      <w:r>
        <w:rPr>
          <w:b/>
          <w:bCs/>
          <w:spacing w:val="-8"/>
          <w:sz w:val="18"/>
          <w:szCs w:val="18"/>
          <w:lang w:val="es-ES_tradnl"/>
        </w:rPr>
        <w:t xml:space="preserve">n de </w:t>
      </w:r>
      <w:r>
        <w:rPr>
          <w:b/>
          <w:bCs/>
          <w:sz w:val="18"/>
          <w:szCs w:val="18"/>
          <w:lang w:val="es-ES_tradnl"/>
        </w:rPr>
        <w:t>inconstitucionalidad</w:t>
      </w:r>
    </w:p>
    <w:p w14:paraId="4F67A866" w14:textId="77777777" w:rsidR="00591D54" w:rsidRDefault="00591D54">
      <w:pPr>
        <w:shd w:val="clear" w:color="auto" w:fill="FFFFFF"/>
        <w:spacing w:before="197" w:line="216" w:lineRule="exact"/>
        <w:ind w:right="5"/>
        <w:jc w:val="both"/>
      </w:pPr>
      <w:r>
        <w:rPr>
          <w:spacing w:val="-9"/>
          <w:sz w:val="18"/>
          <w:szCs w:val="18"/>
          <w:lang w:val="es-ES_tradnl"/>
        </w:rPr>
        <w:t xml:space="preserve">En sentido amplio, el control abstracto de constitucionalidad </w:t>
      </w:r>
      <w:r>
        <w:rPr>
          <w:spacing w:val="-5"/>
          <w:sz w:val="18"/>
          <w:szCs w:val="18"/>
          <w:lang w:val="es-ES_tradnl"/>
        </w:rPr>
        <w:t>es una actividad relacionada con la revisi</w:t>
      </w:r>
      <w:r>
        <w:rPr>
          <w:rFonts w:cs="Times New Roman"/>
          <w:spacing w:val="-5"/>
          <w:sz w:val="18"/>
          <w:szCs w:val="18"/>
          <w:lang w:val="es-ES_tradnl"/>
        </w:rPr>
        <w:t>ó</w:t>
      </w:r>
      <w:r>
        <w:rPr>
          <w:spacing w:val="-5"/>
          <w:sz w:val="18"/>
          <w:szCs w:val="18"/>
          <w:lang w:val="es-ES_tradnl"/>
        </w:rPr>
        <w:t>n, verificaci</w:t>
      </w:r>
      <w:r>
        <w:rPr>
          <w:rFonts w:cs="Times New Roman"/>
          <w:spacing w:val="-5"/>
          <w:sz w:val="18"/>
          <w:szCs w:val="18"/>
          <w:lang w:val="es-ES_tradnl"/>
        </w:rPr>
        <w:t>ó</w:t>
      </w:r>
      <w:r>
        <w:rPr>
          <w:spacing w:val="-5"/>
          <w:sz w:val="18"/>
          <w:szCs w:val="18"/>
          <w:lang w:val="es-ES_tradnl"/>
        </w:rPr>
        <w:t xml:space="preserve">n </w:t>
      </w:r>
      <w:r>
        <w:rPr>
          <w:spacing w:val="-6"/>
          <w:sz w:val="18"/>
          <w:szCs w:val="18"/>
          <w:lang w:val="es-ES_tradnl"/>
        </w:rPr>
        <w:t>o comprobaci</w:t>
      </w:r>
      <w:r>
        <w:rPr>
          <w:rFonts w:cs="Times New Roman"/>
          <w:spacing w:val="-6"/>
          <w:sz w:val="18"/>
          <w:szCs w:val="18"/>
          <w:lang w:val="es-ES_tradnl"/>
        </w:rPr>
        <w:t>ó</w:t>
      </w:r>
      <w:r>
        <w:rPr>
          <w:spacing w:val="-6"/>
          <w:sz w:val="18"/>
          <w:szCs w:val="18"/>
          <w:lang w:val="es-ES_tradnl"/>
        </w:rPr>
        <w:t>n de las normas de car</w:t>
      </w:r>
      <w:r>
        <w:rPr>
          <w:rFonts w:cs="Times New Roman"/>
          <w:spacing w:val="-6"/>
          <w:sz w:val="18"/>
          <w:szCs w:val="18"/>
          <w:lang w:val="es-ES_tradnl"/>
        </w:rPr>
        <w:t>á</w:t>
      </w:r>
      <w:r>
        <w:rPr>
          <w:spacing w:val="-6"/>
          <w:sz w:val="18"/>
          <w:szCs w:val="18"/>
          <w:lang w:val="es-ES_tradnl"/>
        </w:rPr>
        <w:t>cter general frente a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para garantizar la </w:t>
      </w:r>
      <w:r>
        <w:rPr>
          <w:sz w:val="18"/>
          <w:szCs w:val="18"/>
          <w:lang w:val="es-ES_tradnl"/>
        </w:rPr>
        <w:t>constitucionalidad de su contenido.</w:t>
      </w:r>
    </w:p>
    <w:p w14:paraId="4F67A867" w14:textId="77777777" w:rsidR="00591D54" w:rsidRDefault="00591D54">
      <w:pPr>
        <w:shd w:val="clear" w:color="auto" w:fill="FFFFFF"/>
        <w:spacing w:line="216" w:lineRule="exact"/>
        <w:jc w:val="both"/>
      </w:pPr>
      <w:r>
        <w:br w:type="column"/>
      </w:r>
      <w:r>
        <w:rPr>
          <w:spacing w:val="-4"/>
          <w:sz w:val="18"/>
          <w:szCs w:val="18"/>
          <w:lang w:val="es-ES_tradnl"/>
        </w:rPr>
        <w:t xml:space="preserve">El control abstracto de constitucionalidad permite la </w:t>
      </w:r>
      <w:r>
        <w:rPr>
          <w:spacing w:val="-2"/>
          <w:sz w:val="18"/>
          <w:szCs w:val="18"/>
          <w:lang w:val="es-ES_tradnl"/>
        </w:rPr>
        <w:t xml:space="preserve">posibilidad de examinar la constitucionalidad de una </w:t>
      </w:r>
      <w:r>
        <w:rPr>
          <w:spacing w:val="-6"/>
          <w:sz w:val="18"/>
          <w:szCs w:val="18"/>
          <w:lang w:val="es-ES_tradnl"/>
        </w:rPr>
        <w:t>norma sin remitirse a un caso concreto. As</w:t>
      </w:r>
      <w:r>
        <w:rPr>
          <w:rFonts w:cs="Times New Roman"/>
          <w:spacing w:val="-6"/>
          <w:sz w:val="18"/>
          <w:szCs w:val="18"/>
          <w:lang w:val="es-ES_tradnl"/>
        </w:rPr>
        <w:t>í</w:t>
      </w:r>
      <w:r>
        <w:rPr>
          <w:spacing w:val="-6"/>
          <w:sz w:val="18"/>
          <w:szCs w:val="18"/>
          <w:lang w:val="es-ES_tradnl"/>
        </w:rPr>
        <w:t xml:space="preserve">, el control de </w:t>
      </w:r>
      <w:r>
        <w:rPr>
          <w:spacing w:val="-3"/>
          <w:sz w:val="18"/>
          <w:szCs w:val="18"/>
          <w:lang w:val="es-ES_tradnl"/>
        </w:rPr>
        <w:t>constitucionalidad previsto en el art</w:t>
      </w:r>
      <w:r>
        <w:rPr>
          <w:rFonts w:cs="Times New Roman"/>
          <w:spacing w:val="-3"/>
          <w:sz w:val="18"/>
          <w:szCs w:val="18"/>
          <w:lang w:val="es-ES_tradnl"/>
        </w:rPr>
        <w:t>í</w:t>
      </w:r>
      <w:r>
        <w:rPr>
          <w:spacing w:val="-3"/>
          <w:sz w:val="18"/>
          <w:szCs w:val="18"/>
          <w:lang w:val="es-ES_tradnl"/>
        </w:rPr>
        <w:t xml:space="preserve">culo 436 numerales </w:t>
      </w:r>
      <w:r>
        <w:rPr>
          <w:spacing w:val="-4"/>
          <w:sz w:val="18"/>
          <w:szCs w:val="18"/>
          <w:lang w:val="es-ES_tradnl"/>
        </w:rPr>
        <w:t>2 y 4 de la Constituci</w:t>
      </w:r>
      <w:r>
        <w:rPr>
          <w:rFonts w:cs="Times New Roman"/>
          <w:spacing w:val="-4"/>
          <w:sz w:val="18"/>
          <w:szCs w:val="18"/>
          <w:lang w:val="es-ES_tradnl"/>
        </w:rPr>
        <w:t>ó</w:t>
      </w:r>
      <w:r>
        <w:rPr>
          <w:spacing w:val="-4"/>
          <w:sz w:val="18"/>
          <w:szCs w:val="18"/>
          <w:lang w:val="es-ES_tradnl"/>
        </w:rPr>
        <w:t>n de la Rep</w:t>
      </w:r>
      <w:r>
        <w:rPr>
          <w:rFonts w:cs="Times New Roman"/>
          <w:spacing w:val="-4"/>
          <w:sz w:val="18"/>
          <w:szCs w:val="18"/>
          <w:lang w:val="es-ES_tradnl"/>
        </w:rPr>
        <w:t>ú</w:t>
      </w:r>
      <w:r>
        <w:rPr>
          <w:spacing w:val="-4"/>
          <w:sz w:val="18"/>
          <w:szCs w:val="18"/>
          <w:lang w:val="es-ES_tradnl"/>
        </w:rPr>
        <w:t xml:space="preserve">blica tiene como fin </w:t>
      </w:r>
      <w:r>
        <w:rPr>
          <w:spacing w:val="-3"/>
          <w:sz w:val="18"/>
          <w:szCs w:val="18"/>
          <w:lang w:val="es-ES_tradnl"/>
        </w:rPr>
        <w:t xml:space="preserve">determinar la conformidad o no del texto normativo </w:t>
      </w:r>
      <w:r>
        <w:rPr>
          <w:spacing w:val="-1"/>
          <w:sz w:val="18"/>
          <w:szCs w:val="18"/>
          <w:lang w:val="es-ES_tradnl"/>
        </w:rPr>
        <w:t xml:space="preserve">impugnado frente a las disposiciones consagradas en </w:t>
      </w:r>
      <w:r>
        <w:rPr>
          <w:sz w:val="18"/>
          <w:szCs w:val="18"/>
          <w:lang w:val="es-ES_tradnl"/>
        </w:rPr>
        <w:t>la norma constitucional. Si del an</w:t>
      </w:r>
      <w:r>
        <w:rPr>
          <w:rFonts w:cs="Times New Roman"/>
          <w:sz w:val="18"/>
          <w:szCs w:val="18"/>
          <w:lang w:val="es-ES_tradnl"/>
        </w:rPr>
        <w:t>á</w:t>
      </w:r>
      <w:r>
        <w:rPr>
          <w:sz w:val="18"/>
          <w:szCs w:val="18"/>
          <w:lang w:val="es-ES_tradnl"/>
        </w:rPr>
        <w:t xml:space="preserve">lisis constitucional, </w:t>
      </w:r>
      <w:r>
        <w:rPr>
          <w:spacing w:val="-7"/>
          <w:sz w:val="18"/>
          <w:szCs w:val="18"/>
          <w:lang w:val="es-ES_tradnl"/>
        </w:rPr>
        <w:t xml:space="preserve">la norma impugnada es declarada inconstitucional se la </w:t>
      </w:r>
      <w:r>
        <w:rPr>
          <w:spacing w:val="-9"/>
          <w:sz w:val="18"/>
          <w:szCs w:val="18"/>
          <w:lang w:val="es-ES_tradnl"/>
        </w:rPr>
        <w:t>considerar</w:t>
      </w:r>
      <w:r>
        <w:rPr>
          <w:rFonts w:cs="Times New Roman"/>
          <w:spacing w:val="-9"/>
          <w:sz w:val="18"/>
          <w:szCs w:val="18"/>
          <w:lang w:val="es-ES_tradnl"/>
        </w:rPr>
        <w:t>á</w:t>
      </w:r>
      <w:r>
        <w:rPr>
          <w:spacing w:val="-9"/>
          <w:sz w:val="18"/>
          <w:szCs w:val="18"/>
          <w:lang w:val="es-ES_tradnl"/>
        </w:rPr>
        <w:t xml:space="preserve"> inv</w:t>
      </w:r>
      <w:r>
        <w:rPr>
          <w:rFonts w:cs="Times New Roman"/>
          <w:spacing w:val="-9"/>
          <w:sz w:val="18"/>
          <w:szCs w:val="18"/>
          <w:lang w:val="es-ES_tradnl"/>
        </w:rPr>
        <w:t>á</w:t>
      </w:r>
      <w:r>
        <w:rPr>
          <w:spacing w:val="-9"/>
          <w:sz w:val="18"/>
          <w:szCs w:val="18"/>
          <w:lang w:val="es-ES_tradnl"/>
        </w:rPr>
        <w:t xml:space="preserve">lida, garantizando de este modo el principio </w:t>
      </w:r>
      <w:r>
        <w:rPr>
          <w:sz w:val="18"/>
          <w:szCs w:val="18"/>
          <w:lang w:val="es-ES_tradnl"/>
        </w:rPr>
        <w:t>de la supremac</w:t>
      </w:r>
      <w:r>
        <w:rPr>
          <w:rFonts w:cs="Times New Roman"/>
          <w:sz w:val="18"/>
          <w:szCs w:val="18"/>
          <w:lang w:val="es-ES_tradnl"/>
        </w:rPr>
        <w:t>í</w:t>
      </w:r>
      <w:r>
        <w:rPr>
          <w:sz w:val="18"/>
          <w:szCs w:val="18"/>
          <w:lang w:val="es-ES_tradnl"/>
        </w:rPr>
        <w:t>a constitucional.</w:t>
      </w:r>
    </w:p>
    <w:p w14:paraId="4F67A868" w14:textId="77777777" w:rsidR="00591D54" w:rsidRDefault="00591D54">
      <w:pPr>
        <w:shd w:val="clear" w:color="auto" w:fill="FFFFFF"/>
        <w:spacing w:before="197" w:line="216" w:lineRule="exact"/>
        <w:ind w:right="5"/>
        <w:jc w:val="both"/>
      </w:pPr>
      <w:r>
        <w:rPr>
          <w:sz w:val="18"/>
          <w:szCs w:val="18"/>
          <w:lang w:val="es-ES_tradnl"/>
        </w:rPr>
        <w:t>Esta acci</w:t>
      </w:r>
      <w:r>
        <w:rPr>
          <w:rFonts w:cs="Times New Roman"/>
          <w:sz w:val="18"/>
          <w:szCs w:val="18"/>
          <w:lang w:val="es-ES_tradnl"/>
        </w:rPr>
        <w:t>ó</w:t>
      </w:r>
      <w:r>
        <w:rPr>
          <w:sz w:val="18"/>
          <w:szCs w:val="18"/>
          <w:lang w:val="es-ES_tradnl"/>
        </w:rPr>
        <w:t>n, seg</w:t>
      </w:r>
      <w:r>
        <w:rPr>
          <w:rFonts w:cs="Times New Roman"/>
          <w:sz w:val="18"/>
          <w:szCs w:val="18"/>
          <w:lang w:val="es-ES_tradnl"/>
        </w:rPr>
        <w:t>ú</w:t>
      </w:r>
      <w:r>
        <w:rPr>
          <w:sz w:val="18"/>
          <w:szCs w:val="18"/>
          <w:lang w:val="es-ES_tradnl"/>
        </w:rPr>
        <w:t>n el art</w:t>
      </w:r>
      <w:r>
        <w:rPr>
          <w:rFonts w:cs="Times New Roman"/>
          <w:sz w:val="18"/>
          <w:szCs w:val="18"/>
          <w:lang w:val="es-ES_tradnl"/>
        </w:rPr>
        <w:t>í</w:t>
      </w:r>
      <w:r>
        <w:rPr>
          <w:sz w:val="18"/>
          <w:szCs w:val="18"/>
          <w:lang w:val="es-ES_tradnl"/>
        </w:rPr>
        <w:t>culo 74 de la Ley Org</w:t>
      </w:r>
      <w:r>
        <w:rPr>
          <w:rFonts w:cs="Times New Roman"/>
          <w:sz w:val="18"/>
          <w:szCs w:val="18"/>
          <w:lang w:val="es-ES_tradnl"/>
        </w:rPr>
        <w:t>á</w:t>
      </w:r>
      <w:r>
        <w:rPr>
          <w:sz w:val="18"/>
          <w:szCs w:val="18"/>
          <w:lang w:val="es-ES_tradnl"/>
        </w:rPr>
        <w:t xml:space="preserve">nica </w:t>
      </w:r>
      <w:r>
        <w:rPr>
          <w:spacing w:val="-4"/>
          <w:sz w:val="18"/>
          <w:szCs w:val="18"/>
          <w:lang w:val="es-ES_tradnl"/>
        </w:rPr>
        <w:t>de Garant</w:t>
      </w:r>
      <w:r>
        <w:rPr>
          <w:rFonts w:cs="Times New Roman"/>
          <w:spacing w:val="-4"/>
          <w:sz w:val="18"/>
          <w:szCs w:val="18"/>
          <w:lang w:val="es-ES_tradnl"/>
        </w:rPr>
        <w:t>í</w:t>
      </w:r>
      <w:r>
        <w:rPr>
          <w:spacing w:val="-4"/>
          <w:sz w:val="18"/>
          <w:szCs w:val="18"/>
          <w:lang w:val="es-ES_tradnl"/>
        </w:rPr>
        <w:t xml:space="preserve">as Jurisdiccionales y Control Constitucional </w:t>
      </w:r>
      <w:r>
        <w:rPr>
          <w:spacing w:val="-8"/>
          <w:sz w:val="18"/>
          <w:szCs w:val="18"/>
          <w:lang w:val="es-ES_tradnl"/>
        </w:rPr>
        <w:t xml:space="preserve">busca garantizar la unidad y coherencia del ordenamiento </w:t>
      </w:r>
      <w:r>
        <w:rPr>
          <w:spacing w:val="-3"/>
          <w:sz w:val="18"/>
          <w:szCs w:val="18"/>
          <w:lang w:val="es-ES_tradnl"/>
        </w:rPr>
        <w:t>jur</w:t>
      </w:r>
      <w:r>
        <w:rPr>
          <w:rFonts w:cs="Times New Roman"/>
          <w:spacing w:val="-3"/>
          <w:sz w:val="18"/>
          <w:szCs w:val="18"/>
          <w:lang w:val="es-ES_tradnl"/>
        </w:rPr>
        <w:t>í</w:t>
      </w:r>
      <w:r>
        <w:rPr>
          <w:spacing w:val="-3"/>
          <w:sz w:val="18"/>
          <w:szCs w:val="18"/>
          <w:lang w:val="es-ES_tradnl"/>
        </w:rPr>
        <w:t>dico a trav</w:t>
      </w:r>
      <w:r>
        <w:rPr>
          <w:rFonts w:cs="Times New Roman"/>
          <w:spacing w:val="-3"/>
          <w:sz w:val="18"/>
          <w:szCs w:val="18"/>
          <w:lang w:val="es-ES_tradnl"/>
        </w:rPr>
        <w:t>é</w:t>
      </w:r>
      <w:r>
        <w:rPr>
          <w:spacing w:val="-3"/>
          <w:sz w:val="18"/>
          <w:szCs w:val="18"/>
          <w:lang w:val="es-ES_tradnl"/>
        </w:rPr>
        <w:t>s de la identificaci</w:t>
      </w:r>
      <w:r>
        <w:rPr>
          <w:rFonts w:cs="Times New Roman"/>
          <w:spacing w:val="-3"/>
          <w:sz w:val="18"/>
          <w:szCs w:val="18"/>
          <w:lang w:val="es-ES_tradnl"/>
        </w:rPr>
        <w:t>ó</w:t>
      </w:r>
      <w:r>
        <w:rPr>
          <w:spacing w:val="-3"/>
          <w:sz w:val="18"/>
          <w:szCs w:val="18"/>
          <w:lang w:val="es-ES_tradnl"/>
        </w:rPr>
        <w:t>n y la eliminaci</w:t>
      </w:r>
      <w:r>
        <w:rPr>
          <w:rFonts w:cs="Times New Roman"/>
          <w:spacing w:val="-3"/>
          <w:sz w:val="18"/>
          <w:szCs w:val="18"/>
          <w:lang w:val="es-ES_tradnl"/>
        </w:rPr>
        <w:t>ó</w:t>
      </w:r>
      <w:r>
        <w:rPr>
          <w:spacing w:val="-3"/>
          <w:sz w:val="18"/>
          <w:szCs w:val="18"/>
          <w:lang w:val="es-ES_tradnl"/>
        </w:rPr>
        <w:t xml:space="preserve">n de </w:t>
      </w:r>
      <w:r>
        <w:rPr>
          <w:spacing w:val="-4"/>
          <w:sz w:val="18"/>
          <w:szCs w:val="18"/>
          <w:lang w:val="es-ES_tradnl"/>
        </w:rPr>
        <w:t>las incompatibilidades normativas, por razones de fondo</w:t>
      </w:r>
    </w:p>
    <w:p w14:paraId="4F67A869" w14:textId="77777777" w:rsidR="00591D54" w:rsidRDefault="00591D54">
      <w:pPr>
        <w:shd w:val="clear" w:color="auto" w:fill="FFFFFF"/>
        <w:tabs>
          <w:tab w:val="left" w:pos="178"/>
        </w:tabs>
        <w:spacing w:line="216" w:lineRule="exact"/>
        <w:ind w:right="5"/>
        <w:jc w:val="both"/>
      </w:pPr>
      <w:r>
        <w:rPr>
          <w:sz w:val="18"/>
          <w:szCs w:val="18"/>
          <w:lang w:val="es-ES_tradnl"/>
        </w:rPr>
        <w:t>0</w:t>
      </w:r>
      <w:r>
        <w:rPr>
          <w:sz w:val="18"/>
          <w:szCs w:val="18"/>
          <w:lang w:val="es-ES_tradnl"/>
        </w:rPr>
        <w:tab/>
      </w:r>
      <w:r>
        <w:rPr>
          <w:spacing w:val="-7"/>
          <w:sz w:val="18"/>
          <w:szCs w:val="18"/>
          <w:lang w:val="es-ES_tradnl"/>
        </w:rPr>
        <w:t>forma, entre las normas constitucionales y las dem</w:t>
      </w:r>
      <w:r>
        <w:rPr>
          <w:rFonts w:cs="Times New Roman"/>
          <w:spacing w:val="-7"/>
          <w:sz w:val="18"/>
          <w:szCs w:val="18"/>
          <w:lang w:val="es-ES_tradnl"/>
        </w:rPr>
        <w:t>á</w:t>
      </w:r>
      <w:r>
        <w:rPr>
          <w:spacing w:val="-7"/>
          <w:sz w:val="18"/>
          <w:szCs w:val="18"/>
          <w:lang w:val="es-ES_tradnl"/>
        </w:rPr>
        <w:t>s </w:t>
      </w:r>
      <w:r>
        <w:rPr>
          <w:spacing w:val="-6"/>
          <w:sz w:val="18"/>
          <w:szCs w:val="18"/>
          <w:lang w:val="es-ES_tradnl"/>
        </w:rPr>
        <w:t>disposiciones que integran el sistema jur</w:t>
      </w:r>
      <w:r>
        <w:rPr>
          <w:rFonts w:cs="Times New Roman"/>
          <w:spacing w:val="-6"/>
          <w:sz w:val="18"/>
          <w:szCs w:val="18"/>
          <w:lang w:val="es-ES_tradnl"/>
        </w:rPr>
        <w:t>í</w:t>
      </w:r>
      <w:r>
        <w:rPr>
          <w:spacing w:val="-6"/>
          <w:sz w:val="18"/>
          <w:szCs w:val="18"/>
          <w:lang w:val="es-ES_tradnl"/>
        </w:rPr>
        <w:t>dico; por lo que, es tarea de la Corte Constitucional frente a una demanda </w:t>
      </w:r>
      <w:r>
        <w:rPr>
          <w:spacing w:val="-7"/>
          <w:sz w:val="18"/>
          <w:szCs w:val="18"/>
          <w:lang w:val="es-ES_tradnl"/>
        </w:rPr>
        <w:t>de inconstitucionalidad ejercer el control de la supremac</w:t>
      </w:r>
      <w:r>
        <w:rPr>
          <w:rFonts w:cs="Times New Roman"/>
          <w:spacing w:val="-7"/>
          <w:sz w:val="18"/>
          <w:szCs w:val="18"/>
          <w:lang w:val="es-ES_tradnl"/>
        </w:rPr>
        <w:t>í</w:t>
      </w:r>
      <w:r>
        <w:rPr>
          <w:spacing w:val="-7"/>
          <w:sz w:val="18"/>
          <w:szCs w:val="18"/>
          <w:lang w:val="es-ES_tradnl"/>
        </w:rPr>
        <w:t>a </w:t>
      </w:r>
      <w:r>
        <w:rPr>
          <w:spacing w:val="-3"/>
          <w:sz w:val="18"/>
          <w:szCs w:val="18"/>
          <w:lang w:val="es-ES_tradnl"/>
        </w:rPr>
        <w:t>constitucional pues, con ello, se busca consolidar un </w:t>
      </w:r>
      <w:r>
        <w:rPr>
          <w:spacing w:val="-7"/>
          <w:sz w:val="18"/>
          <w:szCs w:val="18"/>
          <w:lang w:val="es-ES_tradnl"/>
        </w:rPr>
        <w:t>sistema jur</w:t>
      </w:r>
      <w:r>
        <w:rPr>
          <w:rFonts w:cs="Times New Roman"/>
          <w:spacing w:val="-7"/>
          <w:sz w:val="18"/>
          <w:szCs w:val="18"/>
          <w:lang w:val="es-ES_tradnl"/>
        </w:rPr>
        <w:t>í</w:t>
      </w:r>
      <w:r>
        <w:rPr>
          <w:spacing w:val="-7"/>
          <w:sz w:val="18"/>
          <w:szCs w:val="18"/>
          <w:lang w:val="es-ES_tradnl"/>
        </w:rPr>
        <w:t>dico coherente en el cual no existan normas o </w:t>
      </w:r>
      <w:r>
        <w:rPr>
          <w:spacing w:val="-8"/>
          <w:sz w:val="18"/>
          <w:szCs w:val="18"/>
          <w:lang w:val="es-ES_tradnl"/>
        </w:rPr>
        <w:t>actos administrativos que sean contrarios a la Constituci</w:t>
      </w:r>
      <w:r>
        <w:rPr>
          <w:rFonts w:cs="Times New Roman"/>
          <w:spacing w:val="-8"/>
          <w:sz w:val="18"/>
          <w:szCs w:val="18"/>
          <w:lang w:val="es-ES_tradnl"/>
        </w:rPr>
        <w:t>ó</w:t>
      </w:r>
      <w:r>
        <w:rPr>
          <w:spacing w:val="-8"/>
          <w:sz w:val="18"/>
          <w:szCs w:val="18"/>
          <w:lang w:val="es-ES_tradnl"/>
        </w:rPr>
        <w:t>n </w:t>
      </w:r>
      <w:r>
        <w:rPr>
          <w:sz w:val="18"/>
          <w:szCs w:val="18"/>
          <w:lang w:val="es-ES_tradnl"/>
        </w:rPr>
        <w:t>de la Rep</w:t>
      </w:r>
      <w:r>
        <w:rPr>
          <w:rFonts w:cs="Times New Roman"/>
          <w:sz w:val="18"/>
          <w:szCs w:val="18"/>
          <w:lang w:val="es-ES_tradnl"/>
        </w:rPr>
        <w:t>ú</w:t>
      </w:r>
      <w:r>
        <w:rPr>
          <w:sz w:val="18"/>
          <w:szCs w:val="18"/>
          <w:lang w:val="es-ES_tradnl"/>
        </w:rPr>
        <w:t>blica.</w:t>
      </w:r>
    </w:p>
    <w:p w14:paraId="4F67A86A" w14:textId="77777777" w:rsidR="00591D54" w:rsidRDefault="00591D54">
      <w:pPr>
        <w:shd w:val="clear" w:color="auto" w:fill="FFFFFF"/>
        <w:spacing w:before="197" w:line="216" w:lineRule="exact"/>
        <w:ind w:right="5"/>
        <w:jc w:val="both"/>
      </w:pPr>
      <w:r>
        <w:rPr>
          <w:spacing w:val="-11"/>
          <w:sz w:val="18"/>
          <w:szCs w:val="18"/>
          <w:lang w:val="es-ES_tradnl"/>
        </w:rPr>
        <w:t xml:space="preserve">Por otra parte, sobre los efectos que producen las sentencias </w:t>
      </w:r>
      <w:r>
        <w:rPr>
          <w:spacing w:val="-6"/>
          <w:sz w:val="18"/>
          <w:szCs w:val="18"/>
          <w:lang w:val="es-ES_tradnl"/>
        </w:rPr>
        <w:t xml:space="preserve">de control abstracto de constitucionalidad, la Corte </w:t>
      </w:r>
      <w:r>
        <w:rPr>
          <w:spacing w:val="-7"/>
          <w:sz w:val="18"/>
          <w:szCs w:val="18"/>
          <w:lang w:val="es-ES_tradnl"/>
        </w:rPr>
        <w:t>Constitucional, para el per</w:t>
      </w:r>
      <w:r>
        <w:rPr>
          <w:rFonts w:cs="Times New Roman"/>
          <w:spacing w:val="-7"/>
          <w:sz w:val="18"/>
          <w:szCs w:val="18"/>
          <w:lang w:val="es-ES_tradnl"/>
        </w:rPr>
        <w:t>í</w:t>
      </w:r>
      <w:r>
        <w:rPr>
          <w:spacing w:val="-7"/>
          <w:sz w:val="18"/>
          <w:szCs w:val="18"/>
          <w:lang w:val="es-ES_tradnl"/>
        </w:rPr>
        <w:t>odo de transici</w:t>
      </w:r>
      <w:r>
        <w:rPr>
          <w:rFonts w:cs="Times New Roman"/>
          <w:spacing w:val="-7"/>
          <w:sz w:val="18"/>
          <w:szCs w:val="18"/>
          <w:lang w:val="es-ES_tradnl"/>
        </w:rPr>
        <w:t>ó</w:t>
      </w:r>
      <w:r>
        <w:rPr>
          <w:spacing w:val="-7"/>
          <w:sz w:val="18"/>
          <w:szCs w:val="18"/>
          <w:lang w:val="es-ES_tradnl"/>
        </w:rPr>
        <w:t>n, se pronunci</w:t>
      </w:r>
      <w:r>
        <w:rPr>
          <w:rFonts w:cs="Times New Roman"/>
          <w:spacing w:val="-7"/>
          <w:sz w:val="18"/>
          <w:szCs w:val="18"/>
          <w:lang w:val="es-ES_tradnl"/>
        </w:rPr>
        <w:t xml:space="preserve">ó </w:t>
      </w:r>
      <w:r>
        <w:rPr>
          <w:sz w:val="18"/>
          <w:szCs w:val="18"/>
          <w:lang w:val="es-ES_tradnl"/>
        </w:rPr>
        <w:t>de la siguiente manera:</w:t>
      </w:r>
    </w:p>
    <w:p w14:paraId="4F67A86B" w14:textId="77777777" w:rsidR="00591D54" w:rsidRDefault="00591D54">
      <w:pPr>
        <w:shd w:val="clear" w:color="auto" w:fill="FFFFFF"/>
        <w:spacing w:before="202" w:line="211" w:lineRule="exact"/>
        <w:ind w:left="283" w:right="5"/>
        <w:jc w:val="both"/>
      </w:pPr>
      <w:r>
        <w:rPr>
          <w:spacing w:val="-6"/>
          <w:sz w:val="16"/>
          <w:szCs w:val="16"/>
          <w:lang w:val="es-ES_tradnl"/>
        </w:rPr>
        <w:t xml:space="preserve">Las sentencias de control abstracto de constitucionalidad, </w:t>
      </w:r>
      <w:r>
        <w:rPr>
          <w:spacing w:val="-2"/>
          <w:sz w:val="16"/>
          <w:szCs w:val="16"/>
          <w:lang w:val="es-ES_tradnl"/>
        </w:rPr>
        <w:t xml:space="preserve">dependiendo del caso y de la norma acusada de </w:t>
      </w:r>
      <w:r>
        <w:rPr>
          <w:spacing w:val="-4"/>
          <w:sz w:val="16"/>
          <w:szCs w:val="16"/>
          <w:lang w:val="es-ES_tradnl"/>
        </w:rPr>
        <w:t xml:space="preserve">inconstitucionalidad, producen diferentes efectos: i) eliminar </w:t>
      </w:r>
      <w:r>
        <w:rPr>
          <w:spacing w:val="-5"/>
          <w:sz w:val="16"/>
          <w:szCs w:val="16"/>
          <w:lang w:val="es-ES_tradnl"/>
        </w:rPr>
        <w:t>la norma cuando exista incompatibilidad de esta con la Constituci</w:t>
      </w:r>
      <w:r>
        <w:rPr>
          <w:rFonts w:cs="Times New Roman"/>
          <w:spacing w:val="-5"/>
          <w:sz w:val="16"/>
          <w:szCs w:val="16"/>
          <w:lang w:val="es-ES_tradnl"/>
        </w:rPr>
        <w:t>ó</w:t>
      </w:r>
      <w:r>
        <w:rPr>
          <w:spacing w:val="-5"/>
          <w:sz w:val="16"/>
          <w:szCs w:val="16"/>
          <w:lang w:val="es-ES_tradnl"/>
        </w:rPr>
        <w:t>n, es decir, expulsar del ordenamiento jur</w:t>
      </w:r>
      <w:r>
        <w:rPr>
          <w:rFonts w:cs="Times New Roman"/>
          <w:spacing w:val="-5"/>
          <w:sz w:val="16"/>
          <w:szCs w:val="16"/>
          <w:lang w:val="es-ES_tradnl"/>
        </w:rPr>
        <w:t>í</w:t>
      </w:r>
      <w:r>
        <w:rPr>
          <w:spacing w:val="-5"/>
          <w:sz w:val="16"/>
          <w:szCs w:val="16"/>
          <w:lang w:val="es-ES_tradnl"/>
        </w:rPr>
        <w:t xml:space="preserve">dico la </w:t>
      </w:r>
      <w:r>
        <w:rPr>
          <w:spacing w:val="-8"/>
          <w:sz w:val="16"/>
          <w:szCs w:val="16"/>
          <w:lang w:val="es-ES_tradnl"/>
        </w:rPr>
        <w:t xml:space="preserve">norma cuya inconstitucionalidad se ha verificado en sentencia </w:t>
      </w:r>
      <w:r>
        <w:rPr>
          <w:spacing w:val="-7"/>
          <w:sz w:val="16"/>
          <w:szCs w:val="16"/>
          <w:lang w:val="es-ES_tradnl"/>
        </w:rPr>
        <w:t xml:space="preserve">emitida por la Corte Constitucional; ii) afirmar que la norma se </w:t>
      </w:r>
      <w:r>
        <w:rPr>
          <w:spacing w:val="-11"/>
          <w:sz w:val="16"/>
          <w:szCs w:val="16"/>
          <w:lang w:val="es-ES_tradnl"/>
        </w:rPr>
        <w:t>encuentra conforme a la Constituci</w:t>
      </w:r>
      <w:r>
        <w:rPr>
          <w:rFonts w:cs="Times New Roman"/>
          <w:spacing w:val="-11"/>
          <w:sz w:val="16"/>
          <w:szCs w:val="16"/>
          <w:lang w:val="es-ES_tradnl"/>
        </w:rPr>
        <w:t>ó</w:t>
      </w:r>
      <w:r>
        <w:rPr>
          <w:spacing w:val="-11"/>
          <w:sz w:val="16"/>
          <w:szCs w:val="16"/>
          <w:lang w:val="es-ES_tradnl"/>
        </w:rPr>
        <w:t>n, en ese caso se mantendr</w:t>
      </w:r>
      <w:r>
        <w:rPr>
          <w:rFonts w:cs="Times New Roman"/>
          <w:spacing w:val="-11"/>
          <w:sz w:val="16"/>
          <w:szCs w:val="16"/>
          <w:lang w:val="es-ES_tradnl"/>
        </w:rPr>
        <w:t xml:space="preserve">á </w:t>
      </w:r>
      <w:r>
        <w:rPr>
          <w:spacing w:val="-5"/>
          <w:sz w:val="16"/>
          <w:szCs w:val="16"/>
          <w:lang w:val="es-ES_tradnl"/>
        </w:rPr>
        <w:t xml:space="preserve">su constitucionalidad; iii) cuando no se ha desarrollado una </w:t>
      </w:r>
      <w:r>
        <w:rPr>
          <w:spacing w:val="-6"/>
          <w:sz w:val="16"/>
          <w:szCs w:val="16"/>
          <w:lang w:val="es-ES_tradnl"/>
        </w:rPr>
        <w:t>norma, teniendo por deber hacerlo, se declarar</w:t>
      </w:r>
      <w:r>
        <w:rPr>
          <w:rFonts w:cs="Times New Roman"/>
          <w:spacing w:val="-6"/>
          <w:sz w:val="16"/>
          <w:szCs w:val="16"/>
          <w:lang w:val="es-ES_tradnl"/>
        </w:rPr>
        <w:t>á</w:t>
      </w:r>
      <w:r>
        <w:rPr>
          <w:spacing w:val="-6"/>
          <w:sz w:val="16"/>
          <w:szCs w:val="16"/>
          <w:lang w:val="es-ES_tradnl"/>
        </w:rPr>
        <w:t xml:space="preserve"> la omisi</w:t>
      </w:r>
      <w:r>
        <w:rPr>
          <w:rFonts w:cs="Times New Roman"/>
          <w:spacing w:val="-6"/>
          <w:sz w:val="16"/>
          <w:szCs w:val="16"/>
          <w:lang w:val="es-ES_tradnl"/>
        </w:rPr>
        <w:t>ó</w:t>
      </w:r>
      <w:r>
        <w:rPr>
          <w:spacing w:val="-6"/>
          <w:sz w:val="16"/>
          <w:szCs w:val="16"/>
          <w:lang w:val="es-ES_tradnl"/>
        </w:rPr>
        <w:t xml:space="preserve">n </w:t>
      </w:r>
      <w:r>
        <w:rPr>
          <w:spacing w:val="-4"/>
          <w:sz w:val="16"/>
          <w:szCs w:val="16"/>
          <w:lang w:val="es-ES_tradnl"/>
        </w:rPr>
        <w:t>constitucional; y iv) la Corte Constitucional podr</w:t>
      </w:r>
      <w:r>
        <w:rPr>
          <w:rFonts w:cs="Times New Roman"/>
          <w:spacing w:val="-4"/>
          <w:sz w:val="16"/>
          <w:szCs w:val="16"/>
          <w:lang w:val="es-ES_tradnl"/>
        </w:rPr>
        <w:t>á</w:t>
      </w:r>
      <w:r>
        <w:rPr>
          <w:spacing w:val="-4"/>
          <w:sz w:val="16"/>
          <w:szCs w:val="16"/>
          <w:lang w:val="es-ES_tradnl"/>
        </w:rPr>
        <w:t xml:space="preserve"> emitir las </w:t>
      </w:r>
      <w:r>
        <w:rPr>
          <w:spacing w:val="-6"/>
          <w:sz w:val="16"/>
          <w:szCs w:val="16"/>
          <w:lang w:val="es-ES_tradnl"/>
        </w:rPr>
        <w:t xml:space="preserve">denominadas sentencias modulativas, a fin de preservar la </w:t>
      </w:r>
      <w:r>
        <w:rPr>
          <w:spacing w:val="-8"/>
          <w:sz w:val="16"/>
          <w:szCs w:val="16"/>
          <w:lang w:val="es-ES_tradnl"/>
        </w:rPr>
        <w:t xml:space="preserve">norma acusada de inconstitucionalidad, sin menoscabo de que </w:t>
      </w:r>
      <w:r>
        <w:rPr>
          <w:spacing w:val="-7"/>
          <w:sz w:val="16"/>
          <w:szCs w:val="16"/>
          <w:lang w:val="es-ES_tradnl"/>
        </w:rPr>
        <w:t xml:space="preserve">el examen de constitucionalidad por el fondo se desprenda la </w:t>
      </w:r>
      <w:r>
        <w:rPr>
          <w:spacing w:val="-8"/>
          <w:sz w:val="16"/>
          <w:szCs w:val="16"/>
          <w:lang w:val="es-ES_tradnl"/>
        </w:rPr>
        <w:t xml:space="preserve">necesidad de realizar ciertos cambios indispensables para que </w:t>
      </w:r>
      <w:r>
        <w:rPr>
          <w:spacing w:val="-7"/>
          <w:sz w:val="16"/>
          <w:szCs w:val="16"/>
          <w:lang w:val="es-ES_tradnl"/>
        </w:rPr>
        <w:t>la norma est</w:t>
      </w:r>
      <w:r>
        <w:rPr>
          <w:rFonts w:cs="Times New Roman"/>
          <w:spacing w:val="-7"/>
          <w:sz w:val="16"/>
          <w:szCs w:val="16"/>
          <w:lang w:val="es-ES_tradnl"/>
        </w:rPr>
        <w:t>é</w:t>
      </w:r>
      <w:r>
        <w:rPr>
          <w:spacing w:val="-7"/>
          <w:sz w:val="16"/>
          <w:szCs w:val="16"/>
          <w:lang w:val="es-ES_tradnl"/>
        </w:rPr>
        <w:t xml:space="preserve"> conforme con la Constituci</w:t>
      </w:r>
      <w:r>
        <w:rPr>
          <w:rFonts w:cs="Times New Roman"/>
          <w:spacing w:val="-7"/>
          <w:sz w:val="16"/>
          <w:szCs w:val="16"/>
          <w:lang w:val="es-ES_tradnl"/>
        </w:rPr>
        <w:t>ó</w:t>
      </w:r>
      <w:r>
        <w:rPr>
          <w:spacing w:val="-7"/>
          <w:sz w:val="16"/>
          <w:szCs w:val="16"/>
          <w:lang w:val="es-ES_tradnl"/>
        </w:rPr>
        <w:t>n</w:t>
      </w:r>
      <w:r>
        <w:rPr>
          <w:spacing w:val="-7"/>
          <w:sz w:val="16"/>
          <w:szCs w:val="16"/>
          <w:vertAlign w:val="superscript"/>
          <w:lang w:val="es-ES_tradnl"/>
        </w:rPr>
        <w:t>1</w:t>
      </w:r>
      <w:r>
        <w:rPr>
          <w:spacing w:val="-7"/>
          <w:sz w:val="16"/>
          <w:szCs w:val="16"/>
          <w:lang w:val="es-ES_tradnl"/>
        </w:rPr>
        <w:t>.</w:t>
      </w:r>
    </w:p>
    <w:p w14:paraId="4F67A86C" w14:textId="77777777" w:rsidR="00591D54" w:rsidRDefault="00591D54">
      <w:pPr>
        <w:shd w:val="clear" w:color="auto" w:fill="FFFFFF"/>
        <w:spacing w:before="202" w:line="216" w:lineRule="exact"/>
        <w:ind w:right="5"/>
        <w:jc w:val="both"/>
      </w:pPr>
      <w:r>
        <w:rPr>
          <w:spacing w:val="-9"/>
          <w:sz w:val="18"/>
          <w:szCs w:val="18"/>
          <w:lang w:val="es-ES_tradnl"/>
        </w:rPr>
        <w:t xml:space="preserve">Por tanto, el control de constitucionalidad de una norma por </w:t>
      </w:r>
      <w:r>
        <w:rPr>
          <w:spacing w:val="-8"/>
          <w:sz w:val="18"/>
          <w:szCs w:val="18"/>
          <w:lang w:val="es-ES_tradnl"/>
        </w:rPr>
        <w:t xml:space="preserve">el fondo, debe ser analizado desde su contenido general o </w:t>
      </w:r>
      <w:r>
        <w:rPr>
          <w:spacing w:val="-10"/>
          <w:sz w:val="18"/>
          <w:szCs w:val="18"/>
          <w:lang w:val="es-ES_tradnl"/>
        </w:rPr>
        <w:t xml:space="preserve">de alguno de sus preceptos en particular, a fin de establecer </w:t>
      </w:r>
      <w:r>
        <w:rPr>
          <w:spacing w:val="-8"/>
          <w:sz w:val="18"/>
          <w:szCs w:val="18"/>
          <w:lang w:val="es-ES_tradnl"/>
        </w:rPr>
        <w:t xml:space="preserve">si se transgrede derechos o principios consagrados en la </w:t>
      </w:r>
      <w:r>
        <w:rPr>
          <w:sz w:val="18"/>
          <w:szCs w:val="18"/>
          <w:lang w:val="es-ES_tradnl"/>
        </w:rPr>
        <w:t>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A86D" w14:textId="77777777" w:rsidR="00591D54" w:rsidRDefault="00591D54">
      <w:pPr>
        <w:shd w:val="clear" w:color="auto" w:fill="FFFFFF"/>
        <w:spacing w:before="192"/>
      </w:pPr>
      <w:r>
        <w:rPr>
          <w:b/>
          <w:bCs/>
          <w:spacing w:val="-7"/>
          <w:sz w:val="18"/>
          <w:szCs w:val="18"/>
          <w:lang w:val="es-ES_tradnl"/>
        </w:rPr>
        <w:t>Determinaci</w:t>
      </w:r>
      <w:r>
        <w:rPr>
          <w:rFonts w:cs="Times New Roman"/>
          <w:b/>
          <w:bCs/>
          <w:spacing w:val="-7"/>
          <w:sz w:val="18"/>
          <w:szCs w:val="18"/>
          <w:lang w:val="es-ES_tradnl"/>
        </w:rPr>
        <w:t>ó</w:t>
      </w:r>
      <w:r>
        <w:rPr>
          <w:b/>
          <w:bCs/>
          <w:spacing w:val="-7"/>
          <w:sz w:val="18"/>
          <w:szCs w:val="18"/>
          <w:lang w:val="es-ES_tradnl"/>
        </w:rPr>
        <w:t>n del problema jur</w:t>
      </w:r>
      <w:r>
        <w:rPr>
          <w:rFonts w:cs="Times New Roman"/>
          <w:b/>
          <w:bCs/>
          <w:spacing w:val="-7"/>
          <w:sz w:val="18"/>
          <w:szCs w:val="18"/>
          <w:lang w:val="es-ES_tradnl"/>
        </w:rPr>
        <w:t>í</w:t>
      </w:r>
      <w:r>
        <w:rPr>
          <w:b/>
          <w:bCs/>
          <w:spacing w:val="-7"/>
          <w:sz w:val="18"/>
          <w:szCs w:val="18"/>
          <w:lang w:val="es-ES_tradnl"/>
        </w:rPr>
        <w:t>dico</w:t>
      </w:r>
    </w:p>
    <w:p w14:paraId="4F67A86E" w14:textId="77777777" w:rsidR="00591D54" w:rsidRDefault="00591D54">
      <w:pPr>
        <w:shd w:val="clear" w:color="auto" w:fill="FFFFFF"/>
        <w:spacing w:before="192" w:line="216" w:lineRule="exact"/>
        <w:ind w:right="5"/>
        <w:jc w:val="both"/>
      </w:pPr>
      <w:r>
        <w:rPr>
          <w:spacing w:val="-9"/>
          <w:sz w:val="18"/>
          <w:szCs w:val="18"/>
          <w:lang w:val="es-ES_tradnl"/>
        </w:rPr>
        <w:t xml:space="preserve">De los argumentos presentados, corresponde a esta Corte </w:t>
      </w:r>
      <w:r>
        <w:rPr>
          <w:sz w:val="18"/>
          <w:szCs w:val="18"/>
          <w:lang w:val="es-ES_tradnl"/>
        </w:rPr>
        <w:t>desarrollar el an</w:t>
      </w:r>
      <w:r>
        <w:rPr>
          <w:rFonts w:cs="Times New Roman"/>
          <w:sz w:val="18"/>
          <w:szCs w:val="18"/>
          <w:lang w:val="es-ES_tradnl"/>
        </w:rPr>
        <w:t>á</w:t>
      </w:r>
      <w:r>
        <w:rPr>
          <w:sz w:val="18"/>
          <w:szCs w:val="18"/>
          <w:lang w:val="es-ES_tradnl"/>
        </w:rPr>
        <w:t>lisis, tanto de forma como de fondo,</w:t>
      </w:r>
    </w:p>
    <w:p w14:paraId="4F67A86F" w14:textId="77777777" w:rsidR="00591D54" w:rsidRDefault="00591D54">
      <w:pPr>
        <w:shd w:val="clear" w:color="auto" w:fill="FFFFFF"/>
        <w:tabs>
          <w:tab w:val="left" w:pos="144"/>
        </w:tabs>
        <w:spacing w:before="552" w:line="178" w:lineRule="exact"/>
        <w:ind w:left="144" w:right="5" w:hanging="144"/>
        <w:jc w:val="both"/>
      </w:pPr>
      <w:r>
        <w:rPr>
          <w:sz w:val="16"/>
          <w:szCs w:val="16"/>
          <w:vertAlign w:val="superscript"/>
          <w:lang w:val="es-ES_tradnl"/>
        </w:rPr>
        <w:t>1</w:t>
      </w:r>
      <w:r>
        <w:rPr>
          <w:sz w:val="18"/>
          <w:szCs w:val="18"/>
          <w:lang w:val="es-ES_tradnl"/>
        </w:rPr>
        <w:tab/>
      </w:r>
      <w:r>
        <w:rPr>
          <w:spacing w:val="-9"/>
          <w:sz w:val="16"/>
          <w:szCs w:val="16"/>
          <w:lang w:val="es-ES_tradnl"/>
        </w:rPr>
        <w:t>Corte</w:t>
      </w:r>
      <w:r>
        <w:rPr>
          <w:spacing w:val="-9"/>
          <w:sz w:val="18"/>
          <w:szCs w:val="18"/>
          <w:lang w:val="es-ES_tradnl"/>
        </w:rPr>
        <w:t xml:space="preserve"> </w:t>
      </w:r>
      <w:r>
        <w:rPr>
          <w:spacing w:val="-9"/>
          <w:sz w:val="16"/>
          <w:szCs w:val="16"/>
          <w:lang w:val="es-ES_tradnl"/>
        </w:rPr>
        <w:t>Constitucional</w:t>
      </w:r>
      <w:r>
        <w:rPr>
          <w:spacing w:val="-9"/>
          <w:sz w:val="18"/>
          <w:szCs w:val="18"/>
          <w:lang w:val="es-ES_tradnl"/>
        </w:rPr>
        <w:t xml:space="preserve"> </w:t>
      </w:r>
      <w:r>
        <w:rPr>
          <w:spacing w:val="-9"/>
          <w:sz w:val="16"/>
          <w:szCs w:val="16"/>
          <w:lang w:val="es-ES_tradnl"/>
        </w:rPr>
        <w:t>del</w:t>
      </w:r>
      <w:r>
        <w:rPr>
          <w:spacing w:val="-9"/>
          <w:sz w:val="18"/>
          <w:szCs w:val="18"/>
          <w:lang w:val="es-ES_tradnl"/>
        </w:rPr>
        <w:t xml:space="preserve"> </w:t>
      </w:r>
      <w:r>
        <w:rPr>
          <w:spacing w:val="-9"/>
          <w:sz w:val="16"/>
          <w:szCs w:val="16"/>
          <w:lang w:val="es-ES_tradnl"/>
        </w:rPr>
        <w:t>Ecuador,</w:t>
      </w:r>
      <w:r>
        <w:rPr>
          <w:spacing w:val="-9"/>
          <w:sz w:val="18"/>
          <w:szCs w:val="18"/>
          <w:lang w:val="es-ES_tradnl"/>
        </w:rPr>
        <w:t xml:space="preserve"> </w:t>
      </w:r>
      <w:r>
        <w:rPr>
          <w:spacing w:val="-9"/>
          <w:sz w:val="16"/>
          <w:szCs w:val="16"/>
          <w:lang w:val="es-ES_tradnl"/>
        </w:rPr>
        <w:t>para</w:t>
      </w:r>
      <w:r>
        <w:rPr>
          <w:spacing w:val="-9"/>
          <w:sz w:val="18"/>
          <w:szCs w:val="18"/>
          <w:lang w:val="es-ES_tradnl"/>
        </w:rPr>
        <w:t xml:space="preserve"> </w:t>
      </w:r>
      <w:r>
        <w:rPr>
          <w:spacing w:val="-9"/>
          <w:sz w:val="16"/>
          <w:szCs w:val="16"/>
          <w:lang w:val="es-ES_tradnl"/>
        </w:rPr>
        <w:t>el</w:t>
      </w:r>
      <w:r>
        <w:rPr>
          <w:spacing w:val="-9"/>
          <w:sz w:val="18"/>
          <w:szCs w:val="18"/>
          <w:lang w:val="es-ES_tradnl"/>
        </w:rPr>
        <w:t xml:space="preserve"> </w:t>
      </w:r>
      <w:r>
        <w:rPr>
          <w:spacing w:val="-9"/>
          <w:sz w:val="16"/>
          <w:szCs w:val="16"/>
          <w:lang w:val="es-ES_tradnl"/>
        </w:rPr>
        <w:t>per</w:t>
      </w:r>
      <w:r>
        <w:rPr>
          <w:rFonts w:cs="Times New Roman"/>
          <w:spacing w:val="-9"/>
          <w:sz w:val="16"/>
          <w:szCs w:val="16"/>
          <w:lang w:val="es-ES_tradnl"/>
        </w:rPr>
        <w:t>í</w:t>
      </w:r>
      <w:r>
        <w:rPr>
          <w:spacing w:val="-9"/>
          <w:sz w:val="16"/>
          <w:szCs w:val="16"/>
          <w:lang w:val="es-ES_tradnl"/>
        </w:rPr>
        <w:t>odo</w:t>
      </w:r>
      <w:r>
        <w:rPr>
          <w:spacing w:val="-9"/>
          <w:sz w:val="18"/>
          <w:szCs w:val="18"/>
          <w:lang w:val="es-ES_tradnl"/>
        </w:rPr>
        <w:t xml:space="preserve"> </w:t>
      </w:r>
      <w:r>
        <w:rPr>
          <w:spacing w:val="-9"/>
          <w:sz w:val="16"/>
          <w:szCs w:val="16"/>
          <w:lang w:val="es-ES_tradnl"/>
        </w:rPr>
        <w:t>de</w:t>
      </w:r>
      <w:r>
        <w:rPr>
          <w:spacing w:val="-9"/>
          <w:sz w:val="18"/>
          <w:szCs w:val="18"/>
          <w:lang w:val="es-ES_tradnl"/>
        </w:rPr>
        <w:t xml:space="preserve"> </w:t>
      </w:r>
      <w:r>
        <w:rPr>
          <w:spacing w:val="-9"/>
          <w:sz w:val="16"/>
          <w:szCs w:val="16"/>
          <w:lang w:val="es-ES_tradnl"/>
        </w:rPr>
        <w:t>transici</w:t>
      </w:r>
      <w:r>
        <w:rPr>
          <w:rFonts w:cs="Times New Roman"/>
          <w:spacing w:val="-9"/>
          <w:sz w:val="16"/>
          <w:szCs w:val="16"/>
          <w:lang w:val="es-ES_tradnl"/>
        </w:rPr>
        <w:t>ó</w:t>
      </w:r>
      <w:r>
        <w:rPr>
          <w:spacing w:val="-9"/>
          <w:sz w:val="16"/>
          <w:szCs w:val="16"/>
          <w:lang w:val="es-ES_tradnl"/>
        </w:rPr>
        <w:t>n. </w:t>
      </w:r>
      <w:r>
        <w:rPr>
          <w:spacing w:val="-11"/>
          <w:sz w:val="16"/>
          <w:szCs w:val="16"/>
          <w:lang w:val="es-ES_tradnl"/>
        </w:rPr>
        <w:t>Sentencia No. 019-12-SIN-CC, p. 7, publicado en el Suplemento del </w:t>
      </w:r>
      <w:r>
        <w:rPr>
          <w:sz w:val="16"/>
          <w:szCs w:val="16"/>
          <w:lang w:val="es-ES_tradnl"/>
        </w:rPr>
        <w:t>Registro Oficial N.</w:t>
      </w:r>
      <w:r>
        <w:rPr>
          <w:rFonts w:cs="Times New Roman"/>
          <w:sz w:val="16"/>
          <w:szCs w:val="16"/>
          <w:lang w:val="es-ES_tradnl"/>
        </w:rPr>
        <w:t>º</w:t>
      </w:r>
      <w:r>
        <w:rPr>
          <w:sz w:val="16"/>
          <w:szCs w:val="16"/>
          <w:lang w:val="es-ES_tradnl"/>
        </w:rPr>
        <w:t xml:space="preserve"> 756 de 30 de julio de 2012.</w:t>
      </w:r>
    </w:p>
    <w:p w14:paraId="4F67A870" w14:textId="77777777" w:rsidR="00591D54" w:rsidRDefault="00591D54">
      <w:pPr>
        <w:shd w:val="clear" w:color="auto" w:fill="FFFFFF"/>
        <w:tabs>
          <w:tab w:val="left" w:pos="144"/>
        </w:tabs>
        <w:spacing w:before="552" w:line="178" w:lineRule="exact"/>
        <w:ind w:left="144" w:right="5" w:hanging="144"/>
        <w:jc w:val="both"/>
        <w:sectPr w:rsidR="00591D54">
          <w:type w:val="continuous"/>
          <w:pgSz w:w="11909" w:h="16834"/>
          <w:pgMar w:top="1359" w:right="1304" w:bottom="360" w:left="1308" w:header="720" w:footer="720" w:gutter="0"/>
          <w:cols w:num="2" w:space="720" w:equalWidth="0">
            <w:col w:w="4305" w:space="682"/>
            <w:col w:w="4310"/>
          </w:cols>
          <w:noEndnote/>
        </w:sectPr>
      </w:pPr>
    </w:p>
    <w:p w14:paraId="4F67A871" w14:textId="77777777" w:rsidR="00591D54" w:rsidRDefault="00591D54">
      <w:pPr>
        <w:shd w:val="clear" w:color="auto" w:fill="FFFFFF"/>
        <w:tabs>
          <w:tab w:val="left" w:pos="4814"/>
        </w:tabs>
        <w:spacing w:after="235"/>
        <w:ind w:left="5"/>
      </w:pPr>
      <w:r>
        <w:rPr>
          <w:b/>
          <w:bCs/>
          <w:sz w:val="18"/>
          <w:szCs w:val="18"/>
          <w:lang w:val="es-ES_tradnl"/>
        </w:rPr>
        <w:t xml:space="preserve">62 -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872" w14:textId="77777777" w:rsidR="00591D54" w:rsidRDefault="00591D54">
      <w:pPr>
        <w:shd w:val="clear" w:color="auto" w:fill="FFFFFF"/>
        <w:tabs>
          <w:tab w:val="left" w:pos="4814"/>
        </w:tabs>
        <w:spacing w:after="235"/>
        <w:ind w:left="5"/>
        <w:sectPr w:rsidR="00591D54">
          <w:pgSz w:w="11909" w:h="16834"/>
          <w:pgMar w:top="1368" w:right="1309" w:bottom="360" w:left="1308" w:header="720" w:footer="720" w:gutter="0"/>
          <w:cols w:space="60"/>
          <w:noEndnote/>
        </w:sectPr>
      </w:pPr>
    </w:p>
    <w:p w14:paraId="4F67A873" w14:textId="77777777" w:rsidR="00591D54" w:rsidRDefault="00591D54">
      <w:pPr>
        <w:shd w:val="clear" w:color="auto" w:fill="FFFFFF"/>
        <w:spacing w:line="211" w:lineRule="exact"/>
        <w:jc w:val="both"/>
      </w:pPr>
      <w:r>
        <w:rPr>
          <w:spacing w:val="-6"/>
          <w:sz w:val="18"/>
          <w:szCs w:val="18"/>
          <w:lang w:val="es-ES_tradnl"/>
        </w:rPr>
        <w:t>a trav</w:t>
      </w:r>
      <w:r>
        <w:rPr>
          <w:rFonts w:cs="Times New Roman"/>
          <w:spacing w:val="-6"/>
          <w:sz w:val="18"/>
          <w:szCs w:val="18"/>
          <w:lang w:val="es-ES_tradnl"/>
        </w:rPr>
        <w:t>é</w:t>
      </w:r>
      <w:r>
        <w:rPr>
          <w:spacing w:val="-6"/>
          <w:sz w:val="18"/>
          <w:szCs w:val="18"/>
          <w:lang w:val="es-ES_tradnl"/>
        </w:rPr>
        <w:t>s de la soluci</w:t>
      </w:r>
      <w:r>
        <w:rPr>
          <w:rFonts w:cs="Times New Roman"/>
          <w:spacing w:val="-6"/>
          <w:sz w:val="18"/>
          <w:szCs w:val="18"/>
          <w:lang w:val="es-ES_tradnl"/>
        </w:rPr>
        <w:t>ó</w:t>
      </w:r>
      <w:r>
        <w:rPr>
          <w:spacing w:val="-6"/>
          <w:sz w:val="18"/>
          <w:szCs w:val="18"/>
          <w:lang w:val="es-ES_tradnl"/>
        </w:rPr>
        <w:t>n del siguiente problema jur</w:t>
      </w:r>
      <w:r>
        <w:rPr>
          <w:rFonts w:cs="Times New Roman"/>
          <w:spacing w:val="-6"/>
          <w:sz w:val="18"/>
          <w:szCs w:val="18"/>
          <w:lang w:val="es-ES_tradnl"/>
        </w:rPr>
        <w:t>í</w:t>
      </w:r>
      <w:r>
        <w:rPr>
          <w:spacing w:val="-6"/>
          <w:sz w:val="18"/>
          <w:szCs w:val="18"/>
          <w:lang w:val="es-ES_tradnl"/>
        </w:rPr>
        <w:t xml:space="preserve">dico, </w:t>
      </w:r>
      <w:r>
        <w:rPr>
          <w:sz w:val="18"/>
          <w:szCs w:val="18"/>
          <w:lang w:val="es-ES_tradnl"/>
        </w:rPr>
        <w:t>establecido en los siguientes t</w:t>
      </w:r>
      <w:r>
        <w:rPr>
          <w:rFonts w:cs="Times New Roman"/>
          <w:sz w:val="18"/>
          <w:szCs w:val="18"/>
          <w:lang w:val="es-ES_tradnl"/>
        </w:rPr>
        <w:t>é</w:t>
      </w:r>
      <w:r>
        <w:rPr>
          <w:sz w:val="18"/>
          <w:szCs w:val="18"/>
          <w:lang w:val="es-ES_tradnl"/>
        </w:rPr>
        <w:t>rminos:</w:t>
      </w:r>
    </w:p>
    <w:p w14:paraId="4F67A874" w14:textId="77777777" w:rsidR="00591D54" w:rsidRDefault="00591D54">
      <w:pPr>
        <w:shd w:val="clear" w:color="auto" w:fill="FFFFFF"/>
        <w:spacing w:before="192"/>
      </w:pPr>
      <w:r>
        <w:rPr>
          <w:b/>
          <w:bCs/>
          <w:spacing w:val="-5"/>
          <w:sz w:val="18"/>
          <w:szCs w:val="18"/>
          <w:lang w:val="es-ES_tradnl"/>
        </w:rPr>
        <w:t>Control formal</w:t>
      </w:r>
    </w:p>
    <w:p w14:paraId="4F67A875" w14:textId="77777777" w:rsidR="00591D54" w:rsidRDefault="00591D54">
      <w:pPr>
        <w:shd w:val="clear" w:color="auto" w:fill="FFFFFF"/>
        <w:spacing w:before="187" w:line="211" w:lineRule="exact"/>
        <w:ind w:right="5"/>
        <w:jc w:val="both"/>
      </w:pPr>
      <w:r>
        <w:rPr>
          <w:spacing w:val="-10"/>
          <w:sz w:val="18"/>
          <w:szCs w:val="18"/>
          <w:lang w:val="es-ES_tradnl"/>
        </w:rPr>
        <w:t>La ordenanza publicada en el Registro Oficial N.</w:t>
      </w:r>
      <w:r>
        <w:rPr>
          <w:rFonts w:cs="Times New Roman"/>
          <w:spacing w:val="-10"/>
          <w:sz w:val="18"/>
          <w:szCs w:val="18"/>
          <w:lang w:val="es-ES_tradnl"/>
        </w:rPr>
        <w:t>º</w:t>
      </w:r>
      <w:r>
        <w:rPr>
          <w:spacing w:val="-10"/>
          <w:sz w:val="18"/>
          <w:szCs w:val="18"/>
          <w:lang w:val="es-ES_tradnl"/>
        </w:rPr>
        <w:t xml:space="preserve"> 594 del 12 </w:t>
      </w:r>
      <w:r>
        <w:rPr>
          <w:spacing w:val="-9"/>
          <w:sz w:val="18"/>
          <w:szCs w:val="18"/>
          <w:lang w:val="es-ES_tradnl"/>
        </w:rPr>
        <w:t>de diciembre de 2011, expedida por el Gobierno Aut</w:t>
      </w:r>
      <w:r>
        <w:rPr>
          <w:rFonts w:cs="Times New Roman"/>
          <w:spacing w:val="-9"/>
          <w:sz w:val="18"/>
          <w:szCs w:val="18"/>
          <w:lang w:val="es-ES_tradnl"/>
        </w:rPr>
        <w:t>ó</w:t>
      </w:r>
      <w:r>
        <w:rPr>
          <w:spacing w:val="-9"/>
          <w:sz w:val="18"/>
          <w:szCs w:val="18"/>
          <w:lang w:val="es-ES_tradnl"/>
        </w:rPr>
        <w:t xml:space="preserve">nomo </w:t>
      </w:r>
      <w:r>
        <w:rPr>
          <w:spacing w:val="-6"/>
          <w:sz w:val="18"/>
          <w:szCs w:val="18"/>
          <w:lang w:val="es-ES_tradnl"/>
        </w:rPr>
        <w:t>Descentralizado Municipal del cant</w:t>
      </w:r>
      <w:r>
        <w:rPr>
          <w:rFonts w:cs="Times New Roman"/>
          <w:spacing w:val="-6"/>
          <w:sz w:val="18"/>
          <w:szCs w:val="18"/>
          <w:lang w:val="es-ES_tradnl"/>
        </w:rPr>
        <w:t>ó</w:t>
      </w:r>
      <w:r>
        <w:rPr>
          <w:spacing w:val="-6"/>
          <w:sz w:val="18"/>
          <w:szCs w:val="18"/>
          <w:lang w:val="es-ES_tradnl"/>
        </w:rPr>
        <w:t xml:space="preserve">n San Francisco de </w:t>
      </w:r>
      <w:r>
        <w:rPr>
          <w:spacing w:val="-9"/>
          <w:sz w:val="18"/>
          <w:szCs w:val="18"/>
          <w:lang w:val="es-ES_tradnl"/>
        </w:rPr>
        <w:t xml:space="preserve">Puebloviejo, </w:t>
      </w:r>
      <w:r>
        <w:rPr>
          <w:rFonts w:cs="Times New Roman"/>
          <w:spacing w:val="-9"/>
          <w:sz w:val="18"/>
          <w:szCs w:val="18"/>
          <w:lang w:val="es-ES_tradnl"/>
        </w:rPr>
        <w:t>¿</w:t>
      </w:r>
      <w:r>
        <w:rPr>
          <w:spacing w:val="-9"/>
          <w:sz w:val="18"/>
          <w:szCs w:val="18"/>
          <w:lang w:val="es-ES_tradnl"/>
        </w:rPr>
        <w:t>observ</w:t>
      </w:r>
      <w:r>
        <w:rPr>
          <w:rFonts w:cs="Times New Roman"/>
          <w:spacing w:val="-9"/>
          <w:sz w:val="18"/>
          <w:szCs w:val="18"/>
          <w:lang w:val="es-ES_tradnl"/>
        </w:rPr>
        <w:t>ó</w:t>
      </w:r>
      <w:r>
        <w:rPr>
          <w:spacing w:val="-9"/>
          <w:sz w:val="18"/>
          <w:szCs w:val="18"/>
          <w:lang w:val="es-ES_tradnl"/>
        </w:rPr>
        <w:t xml:space="preserve"> los requisitos formales determinados </w:t>
      </w:r>
      <w:r>
        <w:rPr>
          <w:sz w:val="18"/>
          <w:szCs w:val="18"/>
          <w:lang w:val="es-ES_tradnl"/>
        </w:rPr>
        <w:t>en 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A876" w14:textId="77777777" w:rsidR="00591D54" w:rsidRDefault="00591D54">
      <w:pPr>
        <w:shd w:val="clear" w:color="auto" w:fill="FFFFFF"/>
        <w:spacing w:before="187"/>
      </w:pPr>
      <w:r>
        <w:rPr>
          <w:b/>
          <w:bCs/>
          <w:spacing w:val="-8"/>
          <w:sz w:val="18"/>
          <w:szCs w:val="18"/>
          <w:lang w:val="es-ES_tradnl"/>
        </w:rPr>
        <w:t>Resoluci</w:t>
      </w:r>
      <w:r>
        <w:rPr>
          <w:rFonts w:cs="Times New Roman"/>
          <w:b/>
          <w:bCs/>
          <w:spacing w:val="-8"/>
          <w:sz w:val="18"/>
          <w:szCs w:val="18"/>
          <w:lang w:val="es-ES_tradnl"/>
        </w:rPr>
        <w:t>ó</w:t>
      </w:r>
      <w:r>
        <w:rPr>
          <w:b/>
          <w:bCs/>
          <w:spacing w:val="-8"/>
          <w:sz w:val="18"/>
          <w:szCs w:val="18"/>
          <w:lang w:val="es-ES_tradnl"/>
        </w:rPr>
        <w:t>n del problema jur</w:t>
      </w:r>
      <w:r>
        <w:rPr>
          <w:rFonts w:cs="Times New Roman"/>
          <w:b/>
          <w:bCs/>
          <w:spacing w:val="-8"/>
          <w:sz w:val="18"/>
          <w:szCs w:val="18"/>
          <w:lang w:val="es-ES_tradnl"/>
        </w:rPr>
        <w:t>í</w:t>
      </w:r>
      <w:r>
        <w:rPr>
          <w:b/>
          <w:bCs/>
          <w:spacing w:val="-8"/>
          <w:sz w:val="18"/>
          <w:szCs w:val="18"/>
          <w:lang w:val="es-ES_tradnl"/>
        </w:rPr>
        <w:t>dico</w:t>
      </w:r>
    </w:p>
    <w:p w14:paraId="4F67A877" w14:textId="77777777" w:rsidR="00591D54" w:rsidRDefault="00591D54">
      <w:pPr>
        <w:shd w:val="clear" w:color="auto" w:fill="FFFFFF"/>
        <w:spacing w:before="187" w:line="211" w:lineRule="exact"/>
        <w:ind w:right="5"/>
        <w:jc w:val="both"/>
      </w:pPr>
      <w:r>
        <w:rPr>
          <w:b/>
          <w:bCs/>
          <w:spacing w:val="-6"/>
          <w:sz w:val="18"/>
          <w:szCs w:val="18"/>
          <w:lang w:val="es-ES_tradnl"/>
        </w:rPr>
        <w:t>La ordenanza publicada en el Registro Oficial N.</w:t>
      </w:r>
      <w:r>
        <w:rPr>
          <w:rFonts w:cs="Times New Roman"/>
          <w:b/>
          <w:bCs/>
          <w:spacing w:val="-6"/>
          <w:sz w:val="18"/>
          <w:szCs w:val="18"/>
          <w:lang w:val="es-ES_tradnl"/>
        </w:rPr>
        <w:t>º</w:t>
      </w:r>
      <w:r>
        <w:rPr>
          <w:b/>
          <w:bCs/>
          <w:spacing w:val="-6"/>
          <w:sz w:val="18"/>
          <w:szCs w:val="18"/>
          <w:lang w:val="es-ES_tradnl"/>
        </w:rPr>
        <w:t xml:space="preserve"> 594 </w:t>
      </w:r>
      <w:r>
        <w:rPr>
          <w:b/>
          <w:bCs/>
          <w:spacing w:val="-8"/>
          <w:sz w:val="18"/>
          <w:szCs w:val="18"/>
          <w:lang w:val="es-ES_tradnl"/>
        </w:rPr>
        <w:t xml:space="preserve">del 12 de diciembre de 2011, expedida por el Gobierno </w:t>
      </w:r>
      <w:r>
        <w:rPr>
          <w:b/>
          <w:bCs/>
          <w:sz w:val="18"/>
          <w:szCs w:val="18"/>
          <w:lang w:val="es-ES_tradnl"/>
        </w:rPr>
        <w:t>Aut</w:t>
      </w:r>
      <w:r>
        <w:rPr>
          <w:rFonts w:cs="Times New Roman"/>
          <w:b/>
          <w:bCs/>
          <w:sz w:val="18"/>
          <w:szCs w:val="18"/>
          <w:lang w:val="es-ES_tradnl"/>
        </w:rPr>
        <w:t>ó</w:t>
      </w:r>
      <w:r>
        <w:rPr>
          <w:b/>
          <w:bCs/>
          <w:sz w:val="18"/>
          <w:szCs w:val="18"/>
          <w:lang w:val="es-ES_tradnl"/>
        </w:rPr>
        <w:t>nomo Descentralizado Municipal del cant</w:t>
      </w:r>
      <w:r>
        <w:rPr>
          <w:rFonts w:cs="Times New Roman"/>
          <w:b/>
          <w:bCs/>
          <w:sz w:val="18"/>
          <w:szCs w:val="18"/>
          <w:lang w:val="es-ES_tradnl"/>
        </w:rPr>
        <w:t>ó</w:t>
      </w:r>
      <w:r>
        <w:rPr>
          <w:b/>
          <w:bCs/>
          <w:sz w:val="18"/>
          <w:szCs w:val="18"/>
          <w:lang w:val="es-ES_tradnl"/>
        </w:rPr>
        <w:t xml:space="preserve">n </w:t>
      </w:r>
      <w:r>
        <w:rPr>
          <w:b/>
          <w:bCs/>
          <w:spacing w:val="-9"/>
          <w:sz w:val="18"/>
          <w:szCs w:val="18"/>
          <w:lang w:val="es-ES_tradnl"/>
        </w:rPr>
        <w:t xml:space="preserve">San Francisco de Puebloviejo, </w:t>
      </w:r>
      <w:r>
        <w:rPr>
          <w:rFonts w:cs="Times New Roman"/>
          <w:b/>
          <w:bCs/>
          <w:spacing w:val="-9"/>
          <w:sz w:val="18"/>
          <w:szCs w:val="18"/>
          <w:lang w:val="es-ES_tradnl"/>
        </w:rPr>
        <w:t>¿</w:t>
      </w:r>
      <w:r>
        <w:rPr>
          <w:b/>
          <w:bCs/>
          <w:spacing w:val="-9"/>
          <w:sz w:val="18"/>
          <w:szCs w:val="18"/>
          <w:lang w:val="es-ES_tradnl"/>
        </w:rPr>
        <w:t>observ</w:t>
      </w:r>
      <w:r>
        <w:rPr>
          <w:rFonts w:cs="Times New Roman"/>
          <w:b/>
          <w:bCs/>
          <w:spacing w:val="-9"/>
          <w:sz w:val="18"/>
          <w:szCs w:val="18"/>
          <w:lang w:val="es-ES_tradnl"/>
        </w:rPr>
        <w:t>ó</w:t>
      </w:r>
      <w:r>
        <w:rPr>
          <w:b/>
          <w:bCs/>
          <w:spacing w:val="-9"/>
          <w:sz w:val="18"/>
          <w:szCs w:val="18"/>
          <w:lang w:val="es-ES_tradnl"/>
        </w:rPr>
        <w:t xml:space="preserve"> los requisitos </w:t>
      </w:r>
      <w:r>
        <w:rPr>
          <w:b/>
          <w:bCs/>
          <w:spacing w:val="-4"/>
          <w:sz w:val="18"/>
          <w:szCs w:val="18"/>
          <w:lang w:val="es-ES_tradnl"/>
        </w:rPr>
        <w:t>formales determinados en la Constituci</w:t>
      </w:r>
      <w:r>
        <w:rPr>
          <w:rFonts w:cs="Times New Roman"/>
          <w:b/>
          <w:bCs/>
          <w:spacing w:val="-4"/>
          <w:sz w:val="18"/>
          <w:szCs w:val="18"/>
          <w:lang w:val="es-ES_tradnl"/>
        </w:rPr>
        <w:t>ó</w:t>
      </w:r>
      <w:r>
        <w:rPr>
          <w:b/>
          <w:bCs/>
          <w:spacing w:val="-4"/>
          <w:sz w:val="18"/>
          <w:szCs w:val="18"/>
          <w:lang w:val="es-ES_tradnl"/>
        </w:rPr>
        <w:t xml:space="preserve">n de la </w:t>
      </w:r>
      <w:r>
        <w:rPr>
          <w:b/>
          <w:bCs/>
          <w:sz w:val="18"/>
          <w:szCs w:val="18"/>
          <w:lang w:val="es-ES_tradnl"/>
        </w:rPr>
        <w:t>Rep</w:t>
      </w:r>
      <w:r>
        <w:rPr>
          <w:rFonts w:cs="Times New Roman"/>
          <w:b/>
          <w:bCs/>
          <w:sz w:val="18"/>
          <w:szCs w:val="18"/>
          <w:lang w:val="es-ES_tradnl"/>
        </w:rPr>
        <w:t>ú</w:t>
      </w:r>
      <w:r>
        <w:rPr>
          <w:b/>
          <w:bCs/>
          <w:sz w:val="18"/>
          <w:szCs w:val="18"/>
          <w:lang w:val="es-ES_tradnl"/>
        </w:rPr>
        <w:t>blica?</w:t>
      </w:r>
    </w:p>
    <w:p w14:paraId="4F67A878" w14:textId="77777777" w:rsidR="00591D54" w:rsidRDefault="00591D54">
      <w:pPr>
        <w:shd w:val="clear" w:color="auto" w:fill="FFFFFF"/>
        <w:spacing w:before="192" w:line="211" w:lineRule="exact"/>
        <w:jc w:val="both"/>
      </w:pPr>
      <w:r>
        <w:rPr>
          <w:spacing w:val="-3"/>
          <w:sz w:val="18"/>
          <w:szCs w:val="18"/>
          <w:lang w:val="es-ES_tradnl"/>
        </w:rPr>
        <w:t xml:space="preserve">Para iniciar el control formal de la ordenanza expedida </w:t>
      </w:r>
      <w:r>
        <w:rPr>
          <w:spacing w:val="-1"/>
          <w:sz w:val="18"/>
          <w:szCs w:val="18"/>
          <w:lang w:val="es-ES_tradnl"/>
        </w:rPr>
        <w:t>por el Gobierno Aut</w:t>
      </w:r>
      <w:r>
        <w:rPr>
          <w:rFonts w:cs="Times New Roman"/>
          <w:spacing w:val="-1"/>
          <w:sz w:val="18"/>
          <w:szCs w:val="18"/>
          <w:lang w:val="es-ES_tradnl"/>
        </w:rPr>
        <w:t>ó</w:t>
      </w:r>
      <w:r>
        <w:rPr>
          <w:spacing w:val="-1"/>
          <w:sz w:val="18"/>
          <w:szCs w:val="18"/>
          <w:lang w:val="es-ES_tradnl"/>
        </w:rPr>
        <w:t xml:space="preserve">nomo Descentralizado Municipal </w:t>
      </w:r>
      <w:r>
        <w:rPr>
          <w:sz w:val="18"/>
          <w:szCs w:val="18"/>
          <w:lang w:val="es-ES_tradnl"/>
        </w:rPr>
        <w:t>del cant</w:t>
      </w:r>
      <w:r>
        <w:rPr>
          <w:rFonts w:cs="Times New Roman"/>
          <w:sz w:val="18"/>
          <w:szCs w:val="18"/>
          <w:lang w:val="es-ES_tradnl"/>
        </w:rPr>
        <w:t>ó</w:t>
      </w:r>
      <w:r>
        <w:rPr>
          <w:sz w:val="18"/>
          <w:szCs w:val="18"/>
          <w:lang w:val="es-ES_tradnl"/>
        </w:rPr>
        <w:t xml:space="preserve">n San Francisco de Puebloviejo, que regula </w:t>
      </w:r>
      <w:r>
        <w:rPr>
          <w:spacing w:val="-3"/>
          <w:sz w:val="18"/>
          <w:szCs w:val="18"/>
          <w:lang w:val="es-ES_tradnl"/>
        </w:rPr>
        <w:t>la implantaci</w:t>
      </w:r>
      <w:r>
        <w:rPr>
          <w:rFonts w:cs="Times New Roman"/>
          <w:spacing w:val="-3"/>
          <w:sz w:val="18"/>
          <w:szCs w:val="18"/>
          <w:lang w:val="es-ES_tradnl"/>
        </w:rPr>
        <w:t>ó</w:t>
      </w:r>
      <w:r>
        <w:rPr>
          <w:spacing w:val="-3"/>
          <w:sz w:val="18"/>
          <w:szCs w:val="18"/>
          <w:lang w:val="es-ES_tradnl"/>
        </w:rPr>
        <w:t>n de estaciones radioel</w:t>
      </w:r>
      <w:r>
        <w:rPr>
          <w:rFonts w:cs="Times New Roman"/>
          <w:spacing w:val="-3"/>
          <w:sz w:val="18"/>
          <w:szCs w:val="18"/>
          <w:lang w:val="es-ES_tradnl"/>
        </w:rPr>
        <w:t>é</w:t>
      </w:r>
      <w:r>
        <w:rPr>
          <w:spacing w:val="-3"/>
          <w:sz w:val="18"/>
          <w:szCs w:val="18"/>
          <w:lang w:val="es-ES_tradnl"/>
        </w:rPr>
        <w:t xml:space="preserve">ctricas, centrales </w:t>
      </w:r>
      <w:r>
        <w:rPr>
          <w:spacing w:val="-6"/>
          <w:sz w:val="18"/>
          <w:szCs w:val="18"/>
          <w:lang w:val="es-ES_tradnl"/>
        </w:rPr>
        <w:t>fijas y de base de los servicios m</w:t>
      </w:r>
      <w:r>
        <w:rPr>
          <w:rFonts w:cs="Times New Roman"/>
          <w:spacing w:val="-6"/>
          <w:sz w:val="18"/>
          <w:szCs w:val="18"/>
          <w:lang w:val="es-ES_tradnl"/>
        </w:rPr>
        <w:t>ó</w:t>
      </w:r>
      <w:r>
        <w:rPr>
          <w:spacing w:val="-6"/>
          <w:sz w:val="18"/>
          <w:szCs w:val="18"/>
          <w:lang w:val="es-ES_tradnl"/>
        </w:rPr>
        <w:t>vil terrestre de radio comunicaciones, televisi</w:t>
      </w:r>
      <w:r>
        <w:rPr>
          <w:rFonts w:cs="Times New Roman"/>
          <w:spacing w:val="-6"/>
          <w:sz w:val="18"/>
          <w:szCs w:val="18"/>
          <w:lang w:val="es-ES_tradnl"/>
        </w:rPr>
        <w:t>ó</w:t>
      </w:r>
      <w:r>
        <w:rPr>
          <w:spacing w:val="-6"/>
          <w:sz w:val="18"/>
          <w:szCs w:val="18"/>
          <w:lang w:val="es-ES_tradnl"/>
        </w:rPr>
        <w:t xml:space="preserve">n y otras comunicaciones de </w:t>
      </w:r>
      <w:r>
        <w:rPr>
          <w:spacing w:val="-8"/>
          <w:sz w:val="18"/>
          <w:szCs w:val="18"/>
          <w:lang w:val="es-ES_tradnl"/>
        </w:rPr>
        <w:t>transmisiones; fijaci</w:t>
      </w:r>
      <w:r>
        <w:rPr>
          <w:rFonts w:cs="Times New Roman"/>
          <w:spacing w:val="-8"/>
          <w:sz w:val="18"/>
          <w:szCs w:val="18"/>
          <w:lang w:val="es-ES_tradnl"/>
        </w:rPr>
        <w:t>ó</w:t>
      </w:r>
      <w:r>
        <w:rPr>
          <w:spacing w:val="-8"/>
          <w:sz w:val="18"/>
          <w:szCs w:val="18"/>
          <w:lang w:val="es-ES_tradnl"/>
        </w:rPr>
        <w:t>n de las tasas correspondientes a la utilizaci</w:t>
      </w:r>
      <w:r>
        <w:rPr>
          <w:rFonts w:cs="Times New Roman"/>
          <w:spacing w:val="-8"/>
          <w:sz w:val="18"/>
          <w:szCs w:val="18"/>
          <w:lang w:val="es-ES_tradnl"/>
        </w:rPr>
        <w:t>ó</w:t>
      </w:r>
      <w:r>
        <w:rPr>
          <w:spacing w:val="-8"/>
          <w:sz w:val="18"/>
          <w:szCs w:val="18"/>
          <w:lang w:val="es-ES_tradnl"/>
        </w:rPr>
        <w:t>n u ocupaci</w:t>
      </w:r>
      <w:r>
        <w:rPr>
          <w:rFonts w:cs="Times New Roman"/>
          <w:spacing w:val="-8"/>
          <w:sz w:val="18"/>
          <w:szCs w:val="18"/>
          <w:lang w:val="es-ES_tradnl"/>
        </w:rPr>
        <w:t>ó</w:t>
      </w:r>
      <w:r>
        <w:rPr>
          <w:spacing w:val="-8"/>
          <w:sz w:val="18"/>
          <w:szCs w:val="18"/>
          <w:lang w:val="es-ES_tradnl"/>
        </w:rPr>
        <w:t>n del espacio a</w:t>
      </w:r>
      <w:r>
        <w:rPr>
          <w:rFonts w:cs="Times New Roman"/>
          <w:spacing w:val="-8"/>
          <w:sz w:val="18"/>
          <w:szCs w:val="18"/>
          <w:lang w:val="es-ES_tradnl"/>
        </w:rPr>
        <w:t>é</w:t>
      </w:r>
      <w:r>
        <w:rPr>
          <w:spacing w:val="-8"/>
          <w:sz w:val="18"/>
          <w:szCs w:val="18"/>
          <w:lang w:val="es-ES_tradnl"/>
        </w:rPr>
        <w:t>reo municipal, uso de la v</w:t>
      </w:r>
      <w:r>
        <w:rPr>
          <w:rFonts w:cs="Times New Roman"/>
          <w:spacing w:val="-8"/>
          <w:sz w:val="18"/>
          <w:szCs w:val="18"/>
          <w:lang w:val="es-ES_tradnl"/>
        </w:rPr>
        <w:t>í</w:t>
      </w:r>
      <w:r>
        <w:rPr>
          <w:spacing w:val="-8"/>
          <w:sz w:val="18"/>
          <w:szCs w:val="18"/>
          <w:lang w:val="es-ES_tradnl"/>
        </w:rPr>
        <w:t>a p</w:t>
      </w:r>
      <w:r>
        <w:rPr>
          <w:rFonts w:cs="Times New Roman"/>
          <w:spacing w:val="-8"/>
          <w:sz w:val="18"/>
          <w:szCs w:val="18"/>
          <w:lang w:val="es-ES_tradnl"/>
        </w:rPr>
        <w:t>ú</w:t>
      </w:r>
      <w:r>
        <w:rPr>
          <w:spacing w:val="-8"/>
          <w:sz w:val="18"/>
          <w:szCs w:val="18"/>
          <w:lang w:val="es-ES_tradnl"/>
        </w:rPr>
        <w:t>blica, suelo y subsuelo en el cant</w:t>
      </w:r>
      <w:r>
        <w:rPr>
          <w:rFonts w:cs="Times New Roman"/>
          <w:spacing w:val="-8"/>
          <w:sz w:val="18"/>
          <w:szCs w:val="18"/>
          <w:lang w:val="es-ES_tradnl"/>
        </w:rPr>
        <w:t>ó</w:t>
      </w:r>
      <w:r>
        <w:rPr>
          <w:spacing w:val="-8"/>
          <w:sz w:val="18"/>
          <w:szCs w:val="18"/>
          <w:lang w:val="es-ES_tradnl"/>
        </w:rPr>
        <w:t>n San Francisco de Puebloviejo, publicada en el Registro Oficial N.</w:t>
      </w:r>
      <w:r>
        <w:rPr>
          <w:rFonts w:cs="Times New Roman"/>
          <w:spacing w:val="-8"/>
          <w:sz w:val="18"/>
          <w:szCs w:val="18"/>
          <w:lang w:val="es-ES_tradnl"/>
        </w:rPr>
        <w:t>º</w:t>
      </w:r>
      <w:r>
        <w:rPr>
          <w:spacing w:val="-8"/>
          <w:sz w:val="18"/>
          <w:szCs w:val="18"/>
          <w:lang w:val="es-ES_tradnl"/>
        </w:rPr>
        <w:t xml:space="preserve"> 594 del </w:t>
      </w:r>
      <w:r>
        <w:rPr>
          <w:spacing w:val="-11"/>
          <w:sz w:val="18"/>
          <w:szCs w:val="18"/>
          <w:lang w:val="es-ES_tradnl"/>
        </w:rPr>
        <w:t>12 de diciembre de 2011, es necesario precisar que seg</w:t>
      </w:r>
      <w:r>
        <w:rPr>
          <w:rFonts w:cs="Times New Roman"/>
          <w:spacing w:val="-11"/>
          <w:sz w:val="18"/>
          <w:szCs w:val="18"/>
          <w:lang w:val="es-ES_tradnl"/>
        </w:rPr>
        <w:t>ú</w:t>
      </w:r>
      <w:r>
        <w:rPr>
          <w:spacing w:val="-11"/>
          <w:sz w:val="18"/>
          <w:szCs w:val="18"/>
          <w:lang w:val="es-ES_tradnl"/>
        </w:rPr>
        <w:t xml:space="preserve">n el </w:t>
      </w:r>
      <w:r>
        <w:rPr>
          <w:spacing w:val="-6"/>
          <w:sz w:val="18"/>
          <w:szCs w:val="18"/>
          <w:lang w:val="es-ES_tradnl"/>
        </w:rPr>
        <w:t>art</w:t>
      </w:r>
      <w:r>
        <w:rPr>
          <w:rFonts w:cs="Times New Roman"/>
          <w:spacing w:val="-6"/>
          <w:sz w:val="18"/>
          <w:szCs w:val="18"/>
          <w:lang w:val="es-ES_tradnl"/>
        </w:rPr>
        <w:t>í</w:t>
      </w:r>
      <w:r>
        <w:rPr>
          <w:spacing w:val="-6"/>
          <w:sz w:val="18"/>
          <w:szCs w:val="18"/>
          <w:lang w:val="es-ES_tradnl"/>
        </w:rPr>
        <w:t>culo 240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w:t>
      </w:r>
    </w:p>
    <w:p w14:paraId="4F67A879" w14:textId="77777777" w:rsidR="00591D54" w:rsidRDefault="00591D54">
      <w:pPr>
        <w:shd w:val="clear" w:color="auto" w:fill="FFFFFF"/>
        <w:spacing w:before="202" w:line="211" w:lineRule="exact"/>
        <w:ind w:left="283" w:right="5"/>
        <w:jc w:val="both"/>
      </w:pPr>
      <w:r>
        <w:rPr>
          <w:spacing w:val="-7"/>
          <w:sz w:val="16"/>
          <w:szCs w:val="16"/>
          <w:lang w:val="es-ES_tradnl"/>
        </w:rPr>
        <w:t>Los gobiernos aut</w:t>
      </w:r>
      <w:r>
        <w:rPr>
          <w:rFonts w:cs="Times New Roman"/>
          <w:spacing w:val="-7"/>
          <w:sz w:val="16"/>
          <w:szCs w:val="16"/>
          <w:lang w:val="es-ES_tradnl"/>
        </w:rPr>
        <w:t>ó</w:t>
      </w:r>
      <w:r>
        <w:rPr>
          <w:spacing w:val="-7"/>
          <w:sz w:val="16"/>
          <w:szCs w:val="16"/>
          <w:lang w:val="es-ES_tradnl"/>
        </w:rPr>
        <w:t xml:space="preserve">nomos descentralizados de las regiones, </w:t>
      </w:r>
      <w:r>
        <w:rPr>
          <w:spacing w:val="-3"/>
          <w:sz w:val="16"/>
          <w:szCs w:val="16"/>
          <w:lang w:val="es-ES_tradnl"/>
        </w:rPr>
        <w:t>distritos metropolitanos, provincias y cantones tendr</w:t>
      </w:r>
      <w:r>
        <w:rPr>
          <w:rFonts w:cs="Times New Roman"/>
          <w:spacing w:val="-3"/>
          <w:sz w:val="16"/>
          <w:szCs w:val="16"/>
          <w:lang w:val="es-ES_tradnl"/>
        </w:rPr>
        <w:t>á</w:t>
      </w:r>
      <w:r>
        <w:rPr>
          <w:spacing w:val="-3"/>
          <w:sz w:val="16"/>
          <w:szCs w:val="16"/>
          <w:lang w:val="es-ES_tradnl"/>
        </w:rPr>
        <w:t xml:space="preserve">n </w:t>
      </w:r>
      <w:r>
        <w:rPr>
          <w:spacing w:val="-7"/>
          <w:sz w:val="16"/>
          <w:szCs w:val="16"/>
          <w:lang w:val="es-ES_tradnl"/>
        </w:rPr>
        <w:t xml:space="preserve">facultades legislativas en el </w:t>
      </w:r>
      <w:r>
        <w:rPr>
          <w:rFonts w:cs="Times New Roman"/>
          <w:spacing w:val="-7"/>
          <w:sz w:val="16"/>
          <w:szCs w:val="16"/>
          <w:lang w:val="es-ES_tradnl"/>
        </w:rPr>
        <w:t>á</w:t>
      </w:r>
      <w:r>
        <w:rPr>
          <w:spacing w:val="-7"/>
          <w:sz w:val="16"/>
          <w:szCs w:val="16"/>
          <w:lang w:val="es-ES_tradnl"/>
        </w:rPr>
        <w:t xml:space="preserve">mbito de sus competencias y </w:t>
      </w:r>
      <w:r>
        <w:rPr>
          <w:spacing w:val="-5"/>
          <w:sz w:val="16"/>
          <w:szCs w:val="16"/>
          <w:lang w:val="es-ES_tradnl"/>
        </w:rPr>
        <w:t xml:space="preserve">jurisdicciones territoriales. Las juntas parroquiales rurales </w:t>
      </w:r>
      <w:r>
        <w:rPr>
          <w:sz w:val="16"/>
          <w:szCs w:val="16"/>
          <w:lang w:val="es-ES_tradnl"/>
        </w:rPr>
        <w:t>tendr</w:t>
      </w:r>
      <w:r>
        <w:rPr>
          <w:rFonts w:cs="Times New Roman"/>
          <w:sz w:val="16"/>
          <w:szCs w:val="16"/>
          <w:lang w:val="es-ES_tradnl"/>
        </w:rPr>
        <w:t>á</w:t>
      </w:r>
      <w:r>
        <w:rPr>
          <w:sz w:val="16"/>
          <w:szCs w:val="16"/>
          <w:lang w:val="es-ES_tradnl"/>
        </w:rPr>
        <w:t>n facultades reglamentarias.</w:t>
      </w:r>
    </w:p>
    <w:p w14:paraId="4F67A87A" w14:textId="77777777" w:rsidR="00591D54" w:rsidRDefault="00591D54">
      <w:pPr>
        <w:shd w:val="clear" w:color="auto" w:fill="FFFFFF"/>
        <w:spacing w:before="206" w:line="211" w:lineRule="exact"/>
        <w:ind w:left="283" w:right="5"/>
        <w:jc w:val="both"/>
      </w:pPr>
      <w:r>
        <w:rPr>
          <w:spacing w:val="-8"/>
          <w:sz w:val="16"/>
          <w:szCs w:val="16"/>
          <w:lang w:val="es-ES_tradnl"/>
        </w:rPr>
        <w:t>Todos los gobiernos aut</w:t>
      </w:r>
      <w:r>
        <w:rPr>
          <w:rFonts w:cs="Times New Roman"/>
          <w:spacing w:val="-8"/>
          <w:sz w:val="16"/>
          <w:szCs w:val="16"/>
          <w:lang w:val="es-ES_tradnl"/>
        </w:rPr>
        <w:t>ó</w:t>
      </w:r>
      <w:r>
        <w:rPr>
          <w:spacing w:val="-8"/>
          <w:sz w:val="16"/>
          <w:szCs w:val="16"/>
          <w:lang w:val="es-ES_tradnl"/>
        </w:rPr>
        <w:t>nomos descentralizados ejercer</w:t>
      </w:r>
      <w:r>
        <w:rPr>
          <w:rFonts w:cs="Times New Roman"/>
          <w:spacing w:val="-8"/>
          <w:sz w:val="16"/>
          <w:szCs w:val="16"/>
          <w:lang w:val="es-ES_tradnl"/>
        </w:rPr>
        <w:t>á</w:t>
      </w:r>
      <w:r>
        <w:rPr>
          <w:spacing w:val="-8"/>
          <w:sz w:val="16"/>
          <w:szCs w:val="16"/>
          <w:lang w:val="es-ES_tradnl"/>
        </w:rPr>
        <w:t xml:space="preserve">n </w:t>
      </w:r>
      <w:r>
        <w:rPr>
          <w:spacing w:val="-7"/>
          <w:sz w:val="16"/>
          <w:szCs w:val="16"/>
          <w:lang w:val="es-ES_tradnl"/>
        </w:rPr>
        <w:t xml:space="preserve">facultades ejecutivas en el </w:t>
      </w:r>
      <w:r>
        <w:rPr>
          <w:rFonts w:cs="Times New Roman"/>
          <w:spacing w:val="-7"/>
          <w:sz w:val="16"/>
          <w:szCs w:val="16"/>
          <w:lang w:val="es-ES_tradnl"/>
        </w:rPr>
        <w:t>á</w:t>
      </w:r>
      <w:r>
        <w:rPr>
          <w:spacing w:val="-7"/>
          <w:sz w:val="16"/>
          <w:szCs w:val="16"/>
          <w:lang w:val="es-ES_tradnl"/>
        </w:rPr>
        <w:t xml:space="preserve">mbito de sus competencias y </w:t>
      </w:r>
      <w:r>
        <w:rPr>
          <w:sz w:val="16"/>
          <w:szCs w:val="16"/>
          <w:lang w:val="es-ES_tradnl"/>
        </w:rPr>
        <w:t>jurisdicciones territoriales.</w:t>
      </w:r>
    </w:p>
    <w:p w14:paraId="4F67A87B" w14:textId="77777777" w:rsidR="00591D54" w:rsidRDefault="00591D54">
      <w:pPr>
        <w:shd w:val="clear" w:color="auto" w:fill="FFFFFF"/>
        <w:spacing w:before="197" w:line="211" w:lineRule="exact"/>
        <w:ind w:right="5"/>
        <w:jc w:val="both"/>
      </w:pPr>
      <w:r>
        <w:rPr>
          <w:spacing w:val="-9"/>
          <w:sz w:val="18"/>
          <w:szCs w:val="18"/>
          <w:lang w:val="es-ES_tradnl"/>
        </w:rPr>
        <w:t>En este sentido, la norma constitucional claramente dispone que los gobiernos aut</w:t>
      </w:r>
      <w:r>
        <w:rPr>
          <w:rFonts w:cs="Times New Roman"/>
          <w:spacing w:val="-9"/>
          <w:sz w:val="18"/>
          <w:szCs w:val="18"/>
          <w:lang w:val="es-ES_tradnl"/>
        </w:rPr>
        <w:t>ó</w:t>
      </w:r>
      <w:r>
        <w:rPr>
          <w:spacing w:val="-9"/>
          <w:sz w:val="18"/>
          <w:szCs w:val="18"/>
          <w:lang w:val="es-ES_tradnl"/>
        </w:rPr>
        <w:t>nomos descentralizados solo podr</w:t>
      </w:r>
      <w:r>
        <w:rPr>
          <w:rFonts w:cs="Times New Roman"/>
          <w:spacing w:val="-9"/>
          <w:sz w:val="18"/>
          <w:szCs w:val="18"/>
          <w:lang w:val="es-ES_tradnl"/>
        </w:rPr>
        <w:t>á</w:t>
      </w:r>
      <w:r>
        <w:rPr>
          <w:spacing w:val="-9"/>
          <w:sz w:val="18"/>
          <w:szCs w:val="18"/>
          <w:lang w:val="es-ES_tradnl"/>
        </w:rPr>
        <w:t xml:space="preserve">n </w:t>
      </w:r>
      <w:r>
        <w:rPr>
          <w:spacing w:val="-12"/>
          <w:sz w:val="18"/>
          <w:szCs w:val="18"/>
          <w:lang w:val="es-ES_tradnl"/>
        </w:rPr>
        <w:t xml:space="preserve">ejercer sus funciones dentro del </w:t>
      </w:r>
      <w:r>
        <w:rPr>
          <w:rFonts w:cs="Times New Roman"/>
          <w:spacing w:val="-12"/>
          <w:sz w:val="18"/>
          <w:szCs w:val="18"/>
          <w:lang w:val="es-ES_tradnl"/>
        </w:rPr>
        <w:t>á</w:t>
      </w:r>
      <w:r>
        <w:rPr>
          <w:spacing w:val="-12"/>
          <w:sz w:val="18"/>
          <w:szCs w:val="18"/>
          <w:lang w:val="es-ES_tradnl"/>
        </w:rPr>
        <w:t xml:space="preserve">mbito de sus competencias; </w:t>
      </w:r>
      <w:r>
        <w:rPr>
          <w:spacing w:val="-8"/>
          <w:sz w:val="18"/>
          <w:szCs w:val="18"/>
          <w:lang w:val="es-ES_tradnl"/>
        </w:rPr>
        <w:t>para ello, est</w:t>
      </w:r>
      <w:r>
        <w:rPr>
          <w:rFonts w:cs="Times New Roman"/>
          <w:spacing w:val="-8"/>
          <w:sz w:val="18"/>
          <w:szCs w:val="18"/>
          <w:lang w:val="es-ES_tradnl"/>
        </w:rPr>
        <w:t>á</w:t>
      </w:r>
      <w:r>
        <w:rPr>
          <w:spacing w:val="-8"/>
          <w:sz w:val="18"/>
          <w:szCs w:val="18"/>
          <w:lang w:val="es-ES_tradnl"/>
        </w:rPr>
        <w:t xml:space="preserve">n dotados de una facultad normativa que les </w:t>
      </w:r>
      <w:r>
        <w:rPr>
          <w:spacing w:val="-1"/>
          <w:sz w:val="18"/>
          <w:szCs w:val="18"/>
          <w:lang w:val="es-ES_tradnl"/>
        </w:rPr>
        <w:t>permite ejercer su autonom</w:t>
      </w:r>
      <w:r>
        <w:rPr>
          <w:rFonts w:cs="Times New Roman"/>
          <w:spacing w:val="-1"/>
          <w:sz w:val="18"/>
          <w:szCs w:val="18"/>
          <w:lang w:val="es-ES_tradnl"/>
        </w:rPr>
        <w:t>í</w:t>
      </w:r>
      <w:r>
        <w:rPr>
          <w:spacing w:val="-1"/>
          <w:sz w:val="18"/>
          <w:szCs w:val="18"/>
          <w:lang w:val="es-ES_tradnl"/>
        </w:rPr>
        <w:t>a pol</w:t>
      </w:r>
      <w:r>
        <w:rPr>
          <w:rFonts w:cs="Times New Roman"/>
          <w:spacing w:val="-1"/>
          <w:sz w:val="18"/>
          <w:szCs w:val="18"/>
          <w:lang w:val="es-ES_tradnl"/>
        </w:rPr>
        <w:t>í</w:t>
      </w:r>
      <w:r>
        <w:rPr>
          <w:spacing w:val="-1"/>
          <w:sz w:val="18"/>
          <w:szCs w:val="18"/>
          <w:lang w:val="es-ES_tradnl"/>
        </w:rPr>
        <w:t xml:space="preserve">tica, administrativa y </w:t>
      </w:r>
      <w:r>
        <w:rPr>
          <w:spacing w:val="-4"/>
          <w:sz w:val="18"/>
          <w:szCs w:val="18"/>
          <w:lang w:val="es-ES_tradnl"/>
        </w:rPr>
        <w:t>financiera dentro de lo que establece la Constituci</w:t>
      </w:r>
      <w:r>
        <w:rPr>
          <w:rFonts w:cs="Times New Roman"/>
          <w:spacing w:val="-4"/>
          <w:sz w:val="18"/>
          <w:szCs w:val="18"/>
          <w:lang w:val="es-ES_tradnl"/>
        </w:rPr>
        <w:t>ó</w:t>
      </w:r>
      <w:r>
        <w:rPr>
          <w:spacing w:val="-4"/>
          <w:sz w:val="18"/>
          <w:szCs w:val="18"/>
          <w:lang w:val="es-ES_tradnl"/>
        </w:rPr>
        <w:t xml:space="preserve">n de </w:t>
      </w:r>
      <w:r>
        <w:rPr>
          <w:spacing w:val="-5"/>
          <w:sz w:val="18"/>
          <w:szCs w:val="18"/>
          <w:lang w:val="es-ES_tradnl"/>
        </w:rPr>
        <w:t>la Rep</w:t>
      </w:r>
      <w:r>
        <w:rPr>
          <w:rFonts w:cs="Times New Roman"/>
          <w:spacing w:val="-5"/>
          <w:sz w:val="18"/>
          <w:szCs w:val="18"/>
          <w:lang w:val="es-ES_tradnl"/>
        </w:rPr>
        <w:t>ú</w:t>
      </w:r>
      <w:r>
        <w:rPr>
          <w:spacing w:val="-5"/>
          <w:sz w:val="18"/>
          <w:szCs w:val="18"/>
          <w:lang w:val="es-ES_tradnl"/>
        </w:rPr>
        <w:t>blica y la ley. Es as</w:t>
      </w:r>
      <w:r>
        <w:rPr>
          <w:rFonts w:cs="Times New Roman"/>
          <w:spacing w:val="-5"/>
          <w:sz w:val="18"/>
          <w:szCs w:val="18"/>
          <w:lang w:val="es-ES_tradnl"/>
        </w:rPr>
        <w:t>í</w:t>
      </w:r>
      <w:r>
        <w:rPr>
          <w:spacing w:val="-5"/>
          <w:sz w:val="18"/>
          <w:szCs w:val="18"/>
          <w:lang w:val="es-ES_tradnl"/>
        </w:rPr>
        <w:t>, que el C</w:t>
      </w:r>
      <w:r>
        <w:rPr>
          <w:rFonts w:cs="Times New Roman"/>
          <w:spacing w:val="-5"/>
          <w:sz w:val="18"/>
          <w:szCs w:val="18"/>
          <w:lang w:val="es-ES_tradnl"/>
        </w:rPr>
        <w:t>ó</w:t>
      </w:r>
      <w:r>
        <w:rPr>
          <w:spacing w:val="-5"/>
          <w:sz w:val="18"/>
          <w:szCs w:val="18"/>
          <w:lang w:val="es-ES_tradnl"/>
        </w:rPr>
        <w:t>digo Org</w:t>
      </w:r>
      <w:r>
        <w:rPr>
          <w:rFonts w:cs="Times New Roman"/>
          <w:spacing w:val="-5"/>
          <w:sz w:val="18"/>
          <w:szCs w:val="18"/>
          <w:lang w:val="es-ES_tradnl"/>
        </w:rPr>
        <w:t>á</w:t>
      </w:r>
      <w:r>
        <w:rPr>
          <w:spacing w:val="-5"/>
          <w:sz w:val="18"/>
          <w:szCs w:val="18"/>
          <w:lang w:val="es-ES_tradnl"/>
        </w:rPr>
        <w:t xml:space="preserve">nico de </w:t>
      </w:r>
      <w:r>
        <w:rPr>
          <w:spacing w:val="-4"/>
          <w:sz w:val="18"/>
          <w:szCs w:val="18"/>
          <w:lang w:val="es-ES_tradnl"/>
        </w:rPr>
        <w:t>Organizaci</w:t>
      </w:r>
      <w:r>
        <w:rPr>
          <w:rFonts w:cs="Times New Roman"/>
          <w:spacing w:val="-4"/>
          <w:sz w:val="18"/>
          <w:szCs w:val="18"/>
          <w:lang w:val="es-ES_tradnl"/>
        </w:rPr>
        <w:t>ó</w:t>
      </w:r>
      <w:r>
        <w:rPr>
          <w:spacing w:val="-4"/>
          <w:sz w:val="18"/>
          <w:szCs w:val="18"/>
          <w:lang w:val="es-ES_tradnl"/>
        </w:rPr>
        <w:t>n Territorial, Autonom</w:t>
      </w:r>
      <w:r>
        <w:rPr>
          <w:rFonts w:cs="Times New Roman"/>
          <w:spacing w:val="-4"/>
          <w:sz w:val="18"/>
          <w:szCs w:val="18"/>
          <w:lang w:val="es-ES_tradnl"/>
        </w:rPr>
        <w:t>í</w:t>
      </w:r>
      <w:r>
        <w:rPr>
          <w:spacing w:val="-4"/>
          <w:sz w:val="18"/>
          <w:szCs w:val="18"/>
          <w:lang w:val="es-ES_tradnl"/>
        </w:rPr>
        <w:t>a y Descentralizaci</w:t>
      </w:r>
      <w:r>
        <w:rPr>
          <w:rFonts w:cs="Times New Roman"/>
          <w:spacing w:val="-4"/>
          <w:sz w:val="18"/>
          <w:szCs w:val="18"/>
          <w:lang w:val="es-ES_tradnl"/>
        </w:rPr>
        <w:t>ó</w:t>
      </w:r>
      <w:r>
        <w:rPr>
          <w:spacing w:val="-4"/>
          <w:sz w:val="18"/>
          <w:szCs w:val="18"/>
          <w:lang w:val="es-ES_tradnl"/>
        </w:rPr>
        <w:t xml:space="preserve">n </w:t>
      </w:r>
      <w:r>
        <w:rPr>
          <w:spacing w:val="-9"/>
          <w:sz w:val="18"/>
          <w:szCs w:val="18"/>
          <w:lang w:val="es-ES_tradnl"/>
        </w:rPr>
        <w:t>en su art</w:t>
      </w:r>
      <w:r>
        <w:rPr>
          <w:rFonts w:cs="Times New Roman"/>
          <w:spacing w:val="-9"/>
          <w:sz w:val="18"/>
          <w:szCs w:val="18"/>
          <w:lang w:val="es-ES_tradnl"/>
        </w:rPr>
        <w:t>í</w:t>
      </w:r>
      <w:r>
        <w:rPr>
          <w:spacing w:val="-9"/>
          <w:sz w:val="18"/>
          <w:szCs w:val="18"/>
          <w:lang w:val="es-ES_tradnl"/>
        </w:rPr>
        <w:t>culo 7, al hablar sobre la facultad normativa se</w:t>
      </w:r>
      <w:r>
        <w:rPr>
          <w:rFonts w:cs="Times New Roman"/>
          <w:spacing w:val="-9"/>
          <w:sz w:val="18"/>
          <w:szCs w:val="18"/>
          <w:lang w:val="es-ES_tradnl"/>
        </w:rPr>
        <w:t>ñ</w:t>
      </w:r>
      <w:r>
        <w:rPr>
          <w:spacing w:val="-9"/>
          <w:sz w:val="18"/>
          <w:szCs w:val="18"/>
          <w:lang w:val="es-ES_tradnl"/>
        </w:rPr>
        <w:t xml:space="preserve">ala </w:t>
      </w:r>
      <w:r>
        <w:rPr>
          <w:sz w:val="18"/>
          <w:szCs w:val="18"/>
          <w:lang w:val="es-ES_tradnl"/>
        </w:rPr>
        <w:t>que:</w:t>
      </w:r>
    </w:p>
    <w:p w14:paraId="4F67A87C" w14:textId="77777777" w:rsidR="00591D54" w:rsidRDefault="00591D54">
      <w:pPr>
        <w:shd w:val="clear" w:color="auto" w:fill="FFFFFF"/>
        <w:spacing w:before="202" w:line="211" w:lineRule="exact"/>
        <w:ind w:left="283" w:right="5"/>
        <w:jc w:val="both"/>
      </w:pPr>
      <w:r>
        <w:rPr>
          <w:spacing w:val="-9"/>
          <w:sz w:val="16"/>
          <w:szCs w:val="16"/>
          <w:lang w:val="es-ES_tradnl"/>
        </w:rPr>
        <w:t xml:space="preserve">Para el pleno ejercicio de sus competencias y de las facultades </w:t>
      </w:r>
      <w:r>
        <w:rPr>
          <w:spacing w:val="-8"/>
          <w:sz w:val="16"/>
          <w:szCs w:val="16"/>
          <w:lang w:val="es-ES_tradnl"/>
        </w:rPr>
        <w:t>que de manera concurrente podr</w:t>
      </w:r>
      <w:r>
        <w:rPr>
          <w:rFonts w:cs="Times New Roman"/>
          <w:spacing w:val="-8"/>
          <w:sz w:val="16"/>
          <w:szCs w:val="16"/>
          <w:lang w:val="es-ES_tradnl"/>
        </w:rPr>
        <w:t>á</w:t>
      </w:r>
      <w:r>
        <w:rPr>
          <w:spacing w:val="-8"/>
          <w:sz w:val="16"/>
          <w:szCs w:val="16"/>
          <w:lang w:val="es-ES_tradnl"/>
        </w:rPr>
        <w:t xml:space="preserve">n asumir, se reconoce a los </w:t>
      </w:r>
      <w:r>
        <w:rPr>
          <w:spacing w:val="-4"/>
          <w:sz w:val="16"/>
          <w:szCs w:val="16"/>
          <w:lang w:val="es-ES_tradnl"/>
        </w:rPr>
        <w:t xml:space="preserve">consejos regionales y provinciales concejos metropolitanos </w:t>
      </w:r>
      <w:r>
        <w:rPr>
          <w:spacing w:val="-6"/>
          <w:sz w:val="16"/>
          <w:szCs w:val="16"/>
          <w:lang w:val="es-ES_tradnl"/>
        </w:rPr>
        <w:t>y municipales, la capacidad para dictar normas de car</w:t>
      </w:r>
      <w:r>
        <w:rPr>
          <w:rFonts w:cs="Times New Roman"/>
          <w:spacing w:val="-6"/>
          <w:sz w:val="16"/>
          <w:szCs w:val="16"/>
          <w:lang w:val="es-ES_tradnl"/>
        </w:rPr>
        <w:t>á</w:t>
      </w:r>
      <w:r>
        <w:rPr>
          <w:spacing w:val="-6"/>
          <w:sz w:val="16"/>
          <w:szCs w:val="16"/>
          <w:lang w:val="es-ES_tradnl"/>
        </w:rPr>
        <w:t xml:space="preserve">cter </w:t>
      </w:r>
      <w:r>
        <w:rPr>
          <w:spacing w:val="-7"/>
          <w:sz w:val="16"/>
          <w:szCs w:val="16"/>
          <w:lang w:val="es-ES_tradnl"/>
        </w:rPr>
        <w:t>general a trav</w:t>
      </w:r>
      <w:r>
        <w:rPr>
          <w:rFonts w:cs="Times New Roman"/>
          <w:spacing w:val="-7"/>
          <w:sz w:val="16"/>
          <w:szCs w:val="16"/>
          <w:lang w:val="es-ES_tradnl"/>
        </w:rPr>
        <w:t>é</w:t>
      </w:r>
      <w:r>
        <w:rPr>
          <w:spacing w:val="-7"/>
          <w:sz w:val="16"/>
          <w:szCs w:val="16"/>
          <w:lang w:val="es-ES_tradnl"/>
        </w:rPr>
        <w:t xml:space="preserve">s de ordenanzas, acuerdos y resoluciones, </w:t>
      </w:r>
      <w:r>
        <w:rPr>
          <w:spacing w:val="-5"/>
          <w:sz w:val="16"/>
          <w:szCs w:val="16"/>
          <w:lang w:val="es-ES_tradnl"/>
        </w:rPr>
        <w:t>aplicables dentro de su circunscripci</w:t>
      </w:r>
      <w:r>
        <w:rPr>
          <w:rFonts w:cs="Times New Roman"/>
          <w:spacing w:val="-5"/>
          <w:sz w:val="16"/>
          <w:szCs w:val="16"/>
          <w:lang w:val="es-ES_tradnl"/>
        </w:rPr>
        <w:t>ó</w:t>
      </w:r>
      <w:r>
        <w:rPr>
          <w:spacing w:val="-5"/>
          <w:sz w:val="16"/>
          <w:szCs w:val="16"/>
          <w:lang w:val="es-ES_tradnl"/>
        </w:rPr>
        <w:t>n territorial.</w:t>
      </w:r>
    </w:p>
    <w:p w14:paraId="4F67A87D" w14:textId="77777777" w:rsidR="00591D54" w:rsidRDefault="00591D54">
      <w:pPr>
        <w:shd w:val="clear" w:color="auto" w:fill="FFFFFF"/>
        <w:spacing w:before="206" w:line="211" w:lineRule="exact"/>
        <w:ind w:left="283" w:right="5"/>
        <w:jc w:val="both"/>
      </w:pPr>
      <w:r>
        <w:rPr>
          <w:spacing w:val="-2"/>
          <w:sz w:val="16"/>
          <w:szCs w:val="16"/>
          <w:lang w:val="es-ES_tradnl"/>
        </w:rPr>
        <w:t>El ejercicio de esta facultad se circunscribir</w:t>
      </w:r>
      <w:r>
        <w:rPr>
          <w:rFonts w:cs="Times New Roman"/>
          <w:spacing w:val="-2"/>
          <w:sz w:val="16"/>
          <w:szCs w:val="16"/>
          <w:lang w:val="es-ES_tradnl"/>
        </w:rPr>
        <w:t>á</w:t>
      </w:r>
      <w:r>
        <w:rPr>
          <w:spacing w:val="-2"/>
          <w:sz w:val="16"/>
          <w:szCs w:val="16"/>
          <w:lang w:val="es-ES_tradnl"/>
        </w:rPr>
        <w:t xml:space="preserve"> al </w:t>
      </w:r>
      <w:r>
        <w:rPr>
          <w:rFonts w:cs="Times New Roman"/>
          <w:spacing w:val="-2"/>
          <w:sz w:val="16"/>
          <w:szCs w:val="16"/>
          <w:lang w:val="es-ES_tradnl"/>
        </w:rPr>
        <w:t>á</w:t>
      </w:r>
      <w:r>
        <w:rPr>
          <w:spacing w:val="-2"/>
          <w:sz w:val="16"/>
          <w:szCs w:val="16"/>
          <w:lang w:val="es-ES_tradnl"/>
        </w:rPr>
        <w:t xml:space="preserve">mbito </w:t>
      </w:r>
      <w:r>
        <w:rPr>
          <w:spacing w:val="-5"/>
          <w:sz w:val="16"/>
          <w:szCs w:val="16"/>
          <w:lang w:val="es-ES_tradnl"/>
        </w:rPr>
        <w:t xml:space="preserve">territorial y a las competencias de cada nivel de gobierno, y </w:t>
      </w:r>
      <w:r>
        <w:rPr>
          <w:spacing w:val="-4"/>
          <w:sz w:val="16"/>
          <w:szCs w:val="16"/>
          <w:lang w:val="es-ES_tradnl"/>
        </w:rPr>
        <w:t>observar</w:t>
      </w:r>
      <w:r>
        <w:rPr>
          <w:rFonts w:cs="Times New Roman"/>
          <w:spacing w:val="-4"/>
          <w:sz w:val="16"/>
          <w:szCs w:val="16"/>
          <w:lang w:val="es-ES_tradnl"/>
        </w:rPr>
        <w:t>á</w:t>
      </w:r>
      <w:r>
        <w:rPr>
          <w:spacing w:val="-4"/>
          <w:sz w:val="16"/>
          <w:szCs w:val="16"/>
          <w:lang w:val="es-ES_tradnl"/>
        </w:rPr>
        <w:t xml:space="preserve"> lo previsto en la Constituci</w:t>
      </w:r>
      <w:r>
        <w:rPr>
          <w:rFonts w:cs="Times New Roman"/>
          <w:spacing w:val="-4"/>
          <w:sz w:val="16"/>
          <w:szCs w:val="16"/>
          <w:lang w:val="es-ES_tradnl"/>
        </w:rPr>
        <w:t>ó</w:t>
      </w:r>
      <w:r>
        <w:rPr>
          <w:spacing w:val="-4"/>
          <w:sz w:val="16"/>
          <w:szCs w:val="16"/>
          <w:lang w:val="es-ES_tradnl"/>
        </w:rPr>
        <w:t>n y la Ley [</w:t>
      </w:r>
      <w:r>
        <w:rPr>
          <w:rFonts w:cs="Times New Roman"/>
          <w:spacing w:val="-4"/>
          <w:sz w:val="16"/>
          <w:szCs w:val="16"/>
          <w:lang w:val="es-ES_tradnl"/>
        </w:rPr>
        <w:t>…</w:t>
      </w:r>
      <w:r>
        <w:rPr>
          <w:spacing w:val="-4"/>
          <w:sz w:val="16"/>
          <w:szCs w:val="16"/>
          <w:lang w:val="es-ES_tradnl"/>
        </w:rPr>
        <w:t>].</w:t>
      </w:r>
    </w:p>
    <w:p w14:paraId="4F67A87E" w14:textId="77777777" w:rsidR="00591D54" w:rsidRDefault="00591D54">
      <w:pPr>
        <w:shd w:val="clear" w:color="auto" w:fill="FFFFFF"/>
        <w:spacing w:line="216" w:lineRule="exact"/>
        <w:jc w:val="both"/>
      </w:pPr>
      <w:r>
        <w:br w:type="column"/>
      </w:r>
      <w:r>
        <w:rPr>
          <w:spacing w:val="-7"/>
          <w:sz w:val="18"/>
          <w:szCs w:val="18"/>
          <w:lang w:val="es-ES_tradnl"/>
        </w:rPr>
        <w:t>As</w:t>
      </w:r>
      <w:r>
        <w:rPr>
          <w:rFonts w:cs="Times New Roman"/>
          <w:spacing w:val="-7"/>
          <w:sz w:val="18"/>
          <w:szCs w:val="18"/>
          <w:lang w:val="es-ES_tradnl"/>
        </w:rPr>
        <w:t>í</w:t>
      </w:r>
      <w:r>
        <w:rPr>
          <w:spacing w:val="-7"/>
          <w:sz w:val="18"/>
          <w:szCs w:val="18"/>
          <w:lang w:val="es-ES_tradnl"/>
        </w:rPr>
        <w:t xml:space="preserve"> tambi</w:t>
      </w:r>
      <w:r>
        <w:rPr>
          <w:rFonts w:cs="Times New Roman"/>
          <w:spacing w:val="-7"/>
          <w:sz w:val="18"/>
          <w:szCs w:val="18"/>
          <w:lang w:val="es-ES_tradnl"/>
        </w:rPr>
        <w:t>é</w:t>
      </w:r>
      <w:r>
        <w:rPr>
          <w:spacing w:val="-7"/>
          <w:sz w:val="18"/>
          <w:szCs w:val="18"/>
          <w:lang w:val="es-ES_tradnl"/>
        </w:rPr>
        <w:t>n, 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blica en su art</w:t>
      </w:r>
      <w:r>
        <w:rPr>
          <w:rFonts w:cs="Times New Roman"/>
          <w:spacing w:val="-7"/>
          <w:sz w:val="18"/>
          <w:szCs w:val="18"/>
          <w:lang w:val="es-ES_tradnl"/>
        </w:rPr>
        <w:t>í</w:t>
      </w:r>
      <w:r>
        <w:rPr>
          <w:spacing w:val="-7"/>
          <w:sz w:val="18"/>
          <w:szCs w:val="18"/>
          <w:lang w:val="es-ES_tradnl"/>
        </w:rPr>
        <w:t xml:space="preserve">culo 264 numeral 5, establece que los gobiernos municipales </w:t>
      </w:r>
      <w:r>
        <w:rPr>
          <w:spacing w:val="-5"/>
          <w:sz w:val="18"/>
          <w:szCs w:val="18"/>
          <w:lang w:val="es-ES_tradnl"/>
        </w:rPr>
        <w:t>tendr</w:t>
      </w:r>
      <w:r>
        <w:rPr>
          <w:rFonts w:cs="Times New Roman"/>
          <w:spacing w:val="-5"/>
          <w:sz w:val="18"/>
          <w:szCs w:val="18"/>
          <w:lang w:val="es-ES_tradnl"/>
        </w:rPr>
        <w:t>á</w:t>
      </w:r>
      <w:r>
        <w:rPr>
          <w:spacing w:val="-5"/>
          <w:sz w:val="18"/>
          <w:szCs w:val="18"/>
          <w:lang w:val="es-ES_tradnl"/>
        </w:rPr>
        <w:t xml:space="preserve">n la competencia de crear, modificar o suprimir </w:t>
      </w:r>
      <w:r>
        <w:rPr>
          <w:spacing w:val="-10"/>
          <w:sz w:val="18"/>
          <w:szCs w:val="18"/>
          <w:lang w:val="es-ES_tradnl"/>
        </w:rPr>
        <w:t xml:space="preserve">mediante ordenanzas tasas y contribuciones especiales; en </w:t>
      </w:r>
      <w:r>
        <w:rPr>
          <w:spacing w:val="-7"/>
          <w:sz w:val="18"/>
          <w:szCs w:val="18"/>
          <w:lang w:val="es-ES_tradnl"/>
        </w:rPr>
        <w:t>concordancia con lo dispuesto en el art</w:t>
      </w:r>
      <w:r>
        <w:rPr>
          <w:rFonts w:cs="Times New Roman"/>
          <w:spacing w:val="-7"/>
          <w:sz w:val="18"/>
          <w:szCs w:val="18"/>
          <w:lang w:val="es-ES_tradnl"/>
        </w:rPr>
        <w:t>í</w:t>
      </w:r>
      <w:r>
        <w:rPr>
          <w:spacing w:val="-7"/>
          <w:sz w:val="18"/>
          <w:szCs w:val="18"/>
          <w:lang w:val="es-ES_tradnl"/>
        </w:rPr>
        <w:t xml:space="preserve">culo 55 literal </w:t>
      </w:r>
      <w:r>
        <w:rPr>
          <w:b/>
          <w:bCs/>
          <w:spacing w:val="-7"/>
          <w:sz w:val="18"/>
          <w:szCs w:val="18"/>
          <w:lang w:val="es-ES_tradnl"/>
        </w:rPr>
        <w:t xml:space="preserve">e </w:t>
      </w:r>
      <w:r>
        <w:rPr>
          <w:spacing w:val="-7"/>
          <w:sz w:val="18"/>
          <w:szCs w:val="18"/>
          <w:lang w:val="es-ES_tradnl"/>
        </w:rPr>
        <w:t xml:space="preserve">del </w:t>
      </w:r>
      <w:r>
        <w:rPr>
          <w:spacing w:val="-4"/>
          <w:sz w:val="18"/>
          <w:szCs w:val="18"/>
          <w:lang w:val="es-ES_tradnl"/>
        </w:rPr>
        <w:t>C</w:t>
      </w:r>
      <w:r>
        <w:rPr>
          <w:rFonts w:cs="Times New Roman"/>
          <w:spacing w:val="-4"/>
          <w:sz w:val="18"/>
          <w:szCs w:val="18"/>
          <w:lang w:val="es-ES_tradnl"/>
        </w:rPr>
        <w:t>ó</w:t>
      </w:r>
      <w:r>
        <w:rPr>
          <w:spacing w:val="-4"/>
          <w:sz w:val="18"/>
          <w:szCs w:val="18"/>
          <w:lang w:val="es-ES_tradnl"/>
        </w:rPr>
        <w:t>digo Org</w:t>
      </w:r>
      <w:r>
        <w:rPr>
          <w:rFonts w:cs="Times New Roman"/>
          <w:spacing w:val="-4"/>
          <w:sz w:val="18"/>
          <w:szCs w:val="18"/>
          <w:lang w:val="es-ES_tradnl"/>
        </w:rPr>
        <w:t>á</w:t>
      </w:r>
      <w:r>
        <w:rPr>
          <w:spacing w:val="-4"/>
          <w:sz w:val="18"/>
          <w:szCs w:val="18"/>
          <w:lang w:val="es-ES_tradnl"/>
        </w:rPr>
        <w:t>nico de Organizaci</w:t>
      </w:r>
      <w:r>
        <w:rPr>
          <w:rFonts w:cs="Times New Roman"/>
          <w:spacing w:val="-4"/>
          <w:sz w:val="18"/>
          <w:szCs w:val="18"/>
          <w:lang w:val="es-ES_tradnl"/>
        </w:rPr>
        <w:t>ó</w:t>
      </w:r>
      <w:r>
        <w:rPr>
          <w:spacing w:val="-4"/>
          <w:sz w:val="18"/>
          <w:szCs w:val="18"/>
          <w:lang w:val="es-ES_tradnl"/>
        </w:rPr>
        <w:t>n Territorial, Autonom</w:t>
      </w:r>
      <w:r>
        <w:rPr>
          <w:rFonts w:cs="Times New Roman"/>
          <w:spacing w:val="-4"/>
          <w:sz w:val="18"/>
          <w:szCs w:val="18"/>
          <w:lang w:val="es-ES_tradnl"/>
        </w:rPr>
        <w:t>í</w:t>
      </w:r>
      <w:r>
        <w:rPr>
          <w:spacing w:val="-4"/>
          <w:sz w:val="18"/>
          <w:szCs w:val="18"/>
          <w:lang w:val="es-ES_tradnl"/>
        </w:rPr>
        <w:t xml:space="preserve">a </w:t>
      </w:r>
      <w:r>
        <w:rPr>
          <w:spacing w:val="-8"/>
          <w:sz w:val="18"/>
          <w:szCs w:val="18"/>
          <w:lang w:val="es-ES_tradnl"/>
        </w:rPr>
        <w:t>y Descentralizaci</w:t>
      </w:r>
      <w:r>
        <w:rPr>
          <w:rFonts w:cs="Times New Roman"/>
          <w:spacing w:val="-8"/>
          <w:sz w:val="18"/>
          <w:szCs w:val="18"/>
          <w:lang w:val="es-ES_tradnl"/>
        </w:rPr>
        <w:t>ó</w:t>
      </w:r>
      <w:r>
        <w:rPr>
          <w:spacing w:val="-8"/>
          <w:sz w:val="18"/>
          <w:szCs w:val="18"/>
          <w:lang w:val="es-ES_tradnl"/>
        </w:rPr>
        <w:t>n dispone que los gobiernos aut</w:t>
      </w:r>
      <w:r>
        <w:rPr>
          <w:rFonts w:cs="Times New Roman"/>
          <w:spacing w:val="-8"/>
          <w:sz w:val="18"/>
          <w:szCs w:val="18"/>
          <w:lang w:val="es-ES_tradnl"/>
        </w:rPr>
        <w:t>ó</w:t>
      </w:r>
      <w:r>
        <w:rPr>
          <w:spacing w:val="-8"/>
          <w:sz w:val="18"/>
          <w:szCs w:val="18"/>
          <w:lang w:val="es-ES_tradnl"/>
        </w:rPr>
        <w:t xml:space="preserve">nomos </w:t>
      </w:r>
      <w:r>
        <w:rPr>
          <w:spacing w:val="-7"/>
          <w:sz w:val="18"/>
          <w:szCs w:val="18"/>
          <w:lang w:val="es-ES_tradnl"/>
        </w:rPr>
        <w:t>descentralizados municipales, entre otras, tendr</w:t>
      </w:r>
      <w:r>
        <w:rPr>
          <w:rFonts w:cs="Times New Roman"/>
          <w:spacing w:val="-7"/>
          <w:sz w:val="18"/>
          <w:szCs w:val="18"/>
          <w:lang w:val="es-ES_tradnl"/>
        </w:rPr>
        <w:t>á</w:t>
      </w:r>
      <w:r>
        <w:rPr>
          <w:spacing w:val="-7"/>
          <w:sz w:val="18"/>
          <w:szCs w:val="18"/>
          <w:lang w:val="es-ES_tradnl"/>
        </w:rPr>
        <w:t xml:space="preserve">n las </w:t>
      </w:r>
      <w:r>
        <w:rPr>
          <w:spacing w:val="-4"/>
          <w:sz w:val="18"/>
          <w:szCs w:val="18"/>
          <w:lang w:val="es-ES_tradnl"/>
        </w:rPr>
        <w:t>competencias exclusivas de la creaci</w:t>
      </w:r>
      <w:r>
        <w:rPr>
          <w:rFonts w:cs="Times New Roman"/>
          <w:spacing w:val="-4"/>
          <w:sz w:val="18"/>
          <w:szCs w:val="18"/>
          <w:lang w:val="es-ES_tradnl"/>
        </w:rPr>
        <w:t>ó</w:t>
      </w:r>
      <w:r>
        <w:rPr>
          <w:spacing w:val="-4"/>
          <w:sz w:val="18"/>
          <w:szCs w:val="18"/>
          <w:lang w:val="es-ES_tradnl"/>
        </w:rPr>
        <w:t xml:space="preserve">n de tasas, tarifas </w:t>
      </w:r>
      <w:r>
        <w:rPr>
          <w:spacing w:val="-7"/>
          <w:sz w:val="18"/>
          <w:szCs w:val="18"/>
          <w:lang w:val="es-ES_tradnl"/>
        </w:rPr>
        <w:t xml:space="preserve">y contribuciones especiales de mejoras, mismas que por </w:t>
      </w:r>
      <w:r>
        <w:rPr>
          <w:spacing w:val="-9"/>
          <w:sz w:val="18"/>
          <w:szCs w:val="18"/>
          <w:lang w:val="es-ES_tradnl"/>
        </w:rPr>
        <w:t>mandato de la ley ser</w:t>
      </w:r>
      <w:r>
        <w:rPr>
          <w:rFonts w:cs="Times New Roman"/>
          <w:spacing w:val="-9"/>
          <w:sz w:val="18"/>
          <w:szCs w:val="18"/>
          <w:lang w:val="es-ES_tradnl"/>
        </w:rPr>
        <w:t>á</w:t>
      </w:r>
      <w:r>
        <w:rPr>
          <w:spacing w:val="-9"/>
          <w:sz w:val="18"/>
          <w:szCs w:val="18"/>
          <w:lang w:val="es-ES_tradnl"/>
        </w:rPr>
        <w:t xml:space="preserve">n creadas, modificadas, exoneradas </w:t>
      </w:r>
      <w:r>
        <w:rPr>
          <w:sz w:val="18"/>
          <w:szCs w:val="18"/>
          <w:lang w:val="es-ES_tradnl"/>
        </w:rPr>
        <w:t>o suprimidas mediante ordenanzas.</w:t>
      </w:r>
    </w:p>
    <w:p w14:paraId="4F67A87F" w14:textId="77777777" w:rsidR="00591D54" w:rsidRDefault="00591D54">
      <w:pPr>
        <w:shd w:val="clear" w:color="auto" w:fill="FFFFFF"/>
        <w:spacing w:before="197" w:line="216" w:lineRule="exact"/>
        <w:jc w:val="both"/>
      </w:pPr>
      <w:r>
        <w:rPr>
          <w:spacing w:val="-10"/>
          <w:sz w:val="18"/>
          <w:szCs w:val="18"/>
          <w:lang w:val="es-ES_tradnl"/>
        </w:rPr>
        <w:t>En el presente caso, el Gobierno Aut</w:t>
      </w:r>
      <w:r>
        <w:rPr>
          <w:rFonts w:cs="Times New Roman"/>
          <w:spacing w:val="-10"/>
          <w:sz w:val="18"/>
          <w:szCs w:val="18"/>
          <w:lang w:val="es-ES_tradnl"/>
        </w:rPr>
        <w:t>ó</w:t>
      </w:r>
      <w:r>
        <w:rPr>
          <w:spacing w:val="-10"/>
          <w:sz w:val="18"/>
          <w:szCs w:val="18"/>
          <w:lang w:val="es-ES_tradnl"/>
        </w:rPr>
        <w:t xml:space="preserve">nomo Descentralizado </w:t>
      </w:r>
      <w:r>
        <w:rPr>
          <w:spacing w:val="-5"/>
          <w:sz w:val="18"/>
          <w:szCs w:val="18"/>
          <w:lang w:val="es-ES_tradnl"/>
        </w:rPr>
        <w:t>Municipal del cant</w:t>
      </w:r>
      <w:r>
        <w:rPr>
          <w:rFonts w:cs="Times New Roman"/>
          <w:spacing w:val="-5"/>
          <w:sz w:val="18"/>
          <w:szCs w:val="18"/>
          <w:lang w:val="es-ES_tradnl"/>
        </w:rPr>
        <w:t>ó</w:t>
      </w:r>
      <w:r>
        <w:rPr>
          <w:spacing w:val="-5"/>
          <w:sz w:val="18"/>
          <w:szCs w:val="18"/>
          <w:lang w:val="es-ES_tradnl"/>
        </w:rPr>
        <w:t xml:space="preserve">n Puebloviejo expide una ordenanza </w:t>
      </w:r>
      <w:r>
        <w:rPr>
          <w:spacing w:val="-6"/>
          <w:sz w:val="18"/>
          <w:szCs w:val="18"/>
          <w:lang w:val="es-ES_tradnl"/>
        </w:rPr>
        <w:t>que regula la implantaci</w:t>
      </w:r>
      <w:r>
        <w:rPr>
          <w:rFonts w:cs="Times New Roman"/>
          <w:spacing w:val="-6"/>
          <w:sz w:val="18"/>
          <w:szCs w:val="18"/>
          <w:lang w:val="es-ES_tradnl"/>
        </w:rPr>
        <w:t>ó</w:t>
      </w:r>
      <w:r>
        <w:rPr>
          <w:spacing w:val="-6"/>
          <w:sz w:val="18"/>
          <w:szCs w:val="18"/>
          <w:lang w:val="es-ES_tradnl"/>
        </w:rPr>
        <w:t>n de estaciones radioel</w:t>
      </w:r>
      <w:r>
        <w:rPr>
          <w:rFonts w:cs="Times New Roman"/>
          <w:spacing w:val="-6"/>
          <w:sz w:val="18"/>
          <w:szCs w:val="18"/>
          <w:lang w:val="es-ES_tradnl"/>
        </w:rPr>
        <w:t>é</w:t>
      </w:r>
      <w:r>
        <w:rPr>
          <w:spacing w:val="-6"/>
          <w:sz w:val="18"/>
          <w:szCs w:val="18"/>
          <w:lang w:val="es-ES_tradnl"/>
        </w:rPr>
        <w:t xml:space="preserve">ctricas, </w:t>
      </w:r>
      <w:r>
        <w:rPr>
          <w:spacing w:val="-7"/>
          <w:sz w:val="18"/>
          <w:szCs w:val="18"/>
          <w:lang w:val="es-ES_tradnl"/>
        </w:rPr>
        <w:t>centrales fijas y de base de los servicios m</w:t>
      </w:r>
      <w:r>
        <w:rPr>
          <w:rFonts w:cs="Times New Roman"/>
          <w:spacing w:val="-7"/>
          <w:sz w:val="18"/>
          <w:szCs w:val="18"/>
          <w:lang w:val="es-ES_tradnl"/>
        </w:rPr>
        <w:t>ó</w:t>
      </w:r>
      <w:r>
        <w:rPr>
          <w:spacing w:val="-7"/>
          <w:sz w:val="18"/>
          <w:szCs w:val="18"/>
          <w:lang w:val="es-ES_tradnl"/>
        </w:rPr>
        <w:t xml:space="preserve">vil terrestre de </w:t>
      </w:r>
      <w:r>
        <w:rPr>
          <w:spacing w:val="-5"/>
          <w:sz w:val="18"/>
          <w:szCs w:val="18"/>
          <w:lang w:val="es-ES_tradnl"/>
        </w:rPr>
        <w:t>radio comunicaciones, televisi</w:t>
      </w:r>
      <w:r>
        <w:rPr>
          <w:rFonts w:cs="Times New Roman"/>
          <w:spacing w:val="-5"/>
          <w:sz w:val="18"/>
          <w:szCs w:val="18"/>
          <w:lang w:val="es-ES_tradnl"/>
        </w:rPr>
        <w:t>ó</w:t>
      </w:r>
      <w:r>
        <w:rPr>
          <w:spacing w:val="-5"/>
          <w:sz w:val="18"/>
          <w:szCs w:val="18"/>
          <w:lang w:val="es-ES_tradnl"/>
        </w:rPr>
        <w:t xml:space="preserve">n y otras comunicaciones </w:t>
      </w:r>
      <w:r>
        <w:rPr>
          <w:spacing w:val="-9"/>
          <w:sz w:val="18"/>
          <w:szCs w:val="18"/>
          <w:lang w:val="es-ES_tradnl"/>
        </w:rPr>
        <w:t>de transmisiones; adem</w:t>
      </w:r>
      <w:r>
        <w:rPr>
          <w:rFonts w:cs="Times New Roman"/>
          <w:spacing w:val="-9"/>
          <w:sz w:val="18"/>
          <w:szCs w:val="18"/>
          <w:lang w:val="es-ES_tradnl"/>
        </w:rPr>
        <w:t>á</w:t>
      </w:r>
      <w:r>
        <w:rPr>
          <w:spacing w:val="-9"/>
          <w:sz w:val="18"/>
          <w:szCs w:val="18"/>
          <w:lang w:val="es-ES_tradnl"/>
        </w:rPr>
        <w:t>s, se establece la fijaci</w:t>
      </w:r>
      <w:r>
        <w:rPr>
          <w:rFonts w:cs="Times New Roman"/>
          <w:spacing w:val="-9"/>
          <w:sz w:val="18"/>
          <w:szCs w:val="18"/>
          <w:lang w:val="es-ES_tradnl"/>
        </w:rPr>
        <w:t>ó</w:t>
      </w:r>
      <w:r>
        <w:rPr>
          <w:spacing w:val="-9"/>
          <w:sz w:val="18"/>
          <w:szCs w:val="18"/>
          <w:lang w:val="es-ES_tradnl"/>
        </w:rPr>
        <w:t xml:space="preserve">n de tasas </w:t>
      </w:r>
      <w:r>
        <w:rPr>
          <w:spacing w:val="-6"/>
          <w:sz w:val="18"/>
          <w:szCs w:val="18"/>
          <w:lang w:val="es-ES_tradnl"/>
        </w:rPr>
        <w:t>correspondientes a la utilizaci</w:t>
      </w:r>
      <w:r>
        <w:rPr>
          <w:rFonts w:cs="Times New Roman"/>
          <w:spacing w:val="-6"/>
          <w:sz w:val="18"/>
          <w:szCs w:val="18"/>
          <w:lang w:val="es-ES_tradnl"/>
        </w:rPr>
        <w:t>ó</w:t>
      </w:r>
      <w:r>
        <w:rPr>
          <w:spacing w:val="-6"/>
          <w:sz w:val="18"/>
          <w:szCs w:val="18"/>
          <w:lang w:val="es-ES_tradnl"/>
        </w:rPr>
        <w:t>n u ocupaci</w:t>
      </w:r>
      <w:r>
        <w:rPr>
          <w:rFonts w:cs="Times New Roman"/>
          <w:spacing w:val="-6"/>
          <w:sz w:val="18"/>
          <w:szCs w:val="18"/>
          <w:lang w:val="es-ES_tradnl"/>
        </w:rPr>
        <w:t>ó</w:t>
      </w:r>
      <w:r>
        <w:rPr>
          <w:spacing w:val="-6"/>
          <w:sz w:val="18"/>
          <w:szCs w:val="18"/>
          <w:lang w:val="es-ES_tradnl"/>
        </w:rPr>
        <w:t>n del espacio a</w:t>
      </w:r>
      <w:r>
        <w:rPr>
          <w:rFonts w:cs="Times New Roman"/>
          <w:spacing w:val="-6"/>
          <w:sz w:val="18"/>
          <w:szCs w:val="18"/>
          <w:lang w:val="es-ES_tradnl"/>
        </w:rPr>
        <w:t>é</w:t>
      </w:r>
      <w:r>
        <w:rPr>
          <w:spacing w:val="-6"/>
          <w:sz w:val="18"/>
          <w:szCs w:val="18"/>
          <w:lang w:val="es-ES_tradnl"/>
        </w:rPr>
        <w:t>reo municipal, sobre el uso de la v</w:t>
      </w:r>
      <w:r>
        <w:rPr>
          <w:rFonts w:cs="Times New Roman"/>
          <w:spacing w:val="-6"/>
          <w:sz w:val="18"/>
          <w:szCs w:val="18"/>
          <w:lang w:val="es-ES_tradnl"/>
        </w:rPr>
        <w:t>í</w:t>
      </w:r>
      <w:r>
        <w:rPr>
          <w:spacing w:val="-6"/>
          <w:sz w:val="18"/>
          <w:szCs w:val="18"/>
          <w:lang w:val="es-ES_tradnl"/>
        </w:rPr>
        <w:t>a p</w:t>
      </w:r>
      <w:r>
        <w:rPr>
          <w:rFonts w:cs="Times New Roman"/>
          <w:spacing w:val="-6"/>
          <w:sz w:val="18"/>
          <w:szCs w:val="18"/>
          <w:lang w:val="es-ES_tradnl"/>
        </w:rPr>
        <w:t>ú</w:t>
      </w:r>
      <w:r>
        <w:rPr>
          <w:spacing w:val="-6"/>
          <w:sz w:val="18"/>
          <w:szCs w:val="18"/>
          <w:lang w:val="es-ES_tradnl"/>
        </w:rPr>
        <w:t xml:space="preserve">blica, suelo y </w:t>
      </w:r>
      <w:r>
        <w:rPr>
          <w:spacing w:val="-7"/>
          <w:sz w:val="18"/>
          <w:szCs w:val="18"/>
          <w:lang w:val="es-ES_tradnl"/>
        </w:rPr>
        <w:t>subsuelo en el cant</w:t>
      </w:r>
      <w:r>
        <w:rPr>
          <w:rFonts w:cs="Times New Roman"/>
          <w:spacing w:val="-7"/>
          <w:sz w:val="18"/>
          <w:szCs w:val="18"/>
          <w:lang w:val="es-ES_tradnl"/>
        </w:rPr>
        <w:t>ó</w:t>
      </w:r>
      <w:r>
        <w:rPr>
          <w:spacing w:val="-7"/>
          <w:sz w:val="18"/>
          <w:szCs w:val="18"/>
          <w:lang w:val="es-ES_tradnl"/>
        </w:rPr>
        <w:t xml:space="preserve">n San Francisco de Puebloviejo, la </w:t>
      </w:r>
      <w:r>
        <w:rPr>
          <w:spacing w:val="-8"/>
          <w:sz w:val="18"/>
          <w:szCs w:val="18"/>
          <w:lang w:val="es-ES_tradnl"/>
        </w:rPr>
        <w:t>misma que fue publicada en el Registro Oficial N.</w:t>
      </w:r>
      <w:r>
        <w:rPr>
          <w:rFonts w:cs="Times New Roman"/>
          <w:spacing w:val="-8"/>
          <w:sz w:val="18"/>
          <w:szCs w:val="18"/>
          <w:lang w:val="es-ES_tradnl"/>
        </w:rPr>
        <w:t>º</w:t>
      </w:r>
      <w:r>
        <w:rPr>
          <w:spacing w:val="-8"/>
          <w:sz w:val="18"/>
          <w:szCs w:val="18"/>
          <w:lang w:val="es-ES_tradnl"/>
        </w:rPr>
        <w:t xml:space="preserve"> 594 del 12 de diciembre de 2011, de acuerdo con las disposiciones </w:t>
      </w:r>
      <w:r>
        <w:rPr>
          <w:spacing w:val="-2"/>
          <w:sz w:val="18"/>
          <w:szCs w:val="18"/>
          <w:lang w:val="es-ES_tradnl"/>
        </w:rPr>
        <w:t xml:space="preserve">contempladas en la ley. Es decir, que el objetivo en </w:t>
      </w:r>
      <w:r>
        <w:rPr>
          <w:spacing w:val="-10"/>
          <w:sz w:val="18"/>
          <w:szCs w:val="18"/>
          <w:lang w:val="es-ES_tradnl"/>
        </w:rPr>
        <w:t>concreto de esta ordenanza es la creaci</w:t>
      </w:r>
      <w:r>
        <w:rPr>
          <w:rFonts w:cs="Times New Roman"/>
          <w:spacing w:val="-10"/>
          <w:sz w:val="18"/>
          <w:szCs w:val="18"/>
          <w:lang w:val="es-ES_tradnl"/>
        </w:rPr>
        <w:t>ó</w:t>
      </w:r>
      <w:r>
        <w:rPr>
          <w:spacing w:val="-10"/>
          <w:sz w:val="18"/>
          <w:szCs w:val="18"/>
          <w:lang w:val="es-ES_tradnl"/>
        </w:rPr>
        <w:t xml:space="preserve">n de tasas sobre la </w:t>
      </w:r>
      <w:r>
        <w:rPr>
          <w:spacing w:val="-8"/>
          <w:sz w:val="18"/>
          <w:szCs w:val="18"/>
          <w:lang w:val="es-ES_tradnl"/>
        </w:rPr>
        <w:t>utilizaci</w:t>
      </w:r>
      <w:r>
        <w:rPr>
          <w:rFonts w:cs="Times New Roman"/>
          <w:spacing w:val="-8"/>
          <w:sz w:val="18"/>
          <w:szCs w:val="18"/>
          <w:lang w:val="es-ES_tradnl"/>
        </w:rPr>
        <w:t>ó</w:t>
      </w:r>
      <w:r>
        <w:rPr>
          <w:spacing w:val="-8"/>
          <w:sz w:val="18"/>
          <w:szCs w:val="18"/>
          <w:lang w:val="es-ES_tradnl"/>
        </w:rPr>
        <w:t>n u ocupaci</w:t>
      </w:r>
      <w:r>
        <w:rPr>
          <w:rFonts w:cs="Times New Roman"/>
          <w:spacing w:val="-8"/>
          <w:sz w:val="18"/>
          <w:szCs w:val="18"/>
          <w:lang w:val="es-ES_tradnl"/>
        </w:rPr>
        <w:t>ó</w:t>
      </w:r>
      <w:r>
        <w:rPr>
          <w:spacing w:val="-8"/>
          <w:sz w:val="18"/>
          <w:szCs w:val="18"/>
          <w:lang w:val="es-ES_tradnl"/>
        </w:rPr>
        <w:t>n del espacio a</w:t>
      </w:r>
      <w:r>
        <w:rPr>
          <w:rFonts w:cs="Times New Roman"/>
          <w:spacing w:val="-8"/>
          <w:sz w:val="18"/>
          <w:szCs w:val="18"/>
          <w:lang w:val="es-ES_tradnl"/>
        </w:rPr>
        <w:t>é</w:t>
      </w:r>
      <w:r>
        <w:rPr>
          <w:spacing w:val="-8"/>
          <w:sz w:val="18"/>
          <w:szCs w:val="18"/>
          <w:lang w:val="es-ES_tradnl"/>
        </w:rPr>
        <w:t xml:space="preserve">reo municipal, uso de </w:t>
      </w:r>
      <w:r>
        <w:rPr>
          <w:spacing w:val="-7"/>
          <w:sz w:val="18"/>
          <w:szCs w:val="18"/>
          <w:lang w:val="es-ES_tradnl"/>
        </w:rPr>
        <w:t>la v</w:t>
      </w:r>
      <w:r>
        <w:rPr>
          <w:rFonts w:cs="Times New Roman"/>
          <w:spacing w:val="-7"/>
          <w:sz w:val="18"/>
          <w:szCs w:val="18"/>
          <w:lang w:val="es-ES_tradnl"/>
        </w:rPr>
        <w:t>í</w:t>
      </w:r>
      <w:r>
        <w:rPr>
          <w:spacing w:val="-7"/>
          <w:sz w:val="18"/>
          <w:szCs w:val="18"/>
          <w:lang w:val="es-ES_tradnl"/>
        </w:rPr>
        <w:t>a p</w:t>
      </w:r>
      <w:r>
        <w:rPr>
          <w:rFonts w:cs="Times New Roman"/>
          <w:spacing w:val="-7"/>
          <w:sz w:val="18"/>
          <w:szCs w:val="18"/>
          <w:lang w:val="es-ES_tradnl"/>
        </w:rPr>
        <w:t>ú</w:t>
      </w:r>
      <w:r>
        <w:rPr>
          <w:spacing w:val="-7"/>
          <w:sz w:val="18"/>
          <w:szCs w:val="18"/>
          <w:lang w:val="es-ES_tradnl"/>
        </w:rPr>
        <w:t>blica, suelo y subsuelo en el cant</w:t>
      </w:r>
      <w:r>
        <w:rPr>
          <w:rFonts w:cs="Times New Roman"/>
          <w:spacing w:val="-7"/>
          <w:sz w:val="18"/>
          <w:szCs w:val="18"/>
          <w:lang w:val="es-ES_tradnl"/>
        </w:rPr>
        <w:t>ó</w:t>
      </w:r>
      <w:r>
        <w:rPr>
          <w:spacing w:val="-7"/>
          <w:sz w:val="18"/>
          <w:szCs w:val="18"/>
          <w:lang w:val="es-ES_tradnl"/>
        </w:rPr>
        <w:t xml:space="preserve">n antes citado, </w:t>
      </w:r>
      <w:r>
        <w:rPr>
          <w:spacing w:val="-5"/>
          <w:sz w:val="18"/>
          <w:szCs w:val="18"/>
          <w:lang w:val="es-ES_tradnl"/>
        </w:rPr>
        <w:t>producto de la implantaci</w:t>
      </w:r>
      <w:r>
        <w:rPr>
          <w:rFonts w:cs="Times New Roman"/>
          <w:spacing w:val="-5"/>
          <w:sz w:val="18"/>
          <w:szCs w:val="18"/>
          <w:lang w:val="es-ES_tradnl"/>
        </w:rPr>
        <w:t>ó</w:t>
      </w:r>
      <w:r>
        <w:rPr>
          <w:spacing w:val="-5"/>
          <w:sz w:val="18"/>
          <w:szCs w:val="18"/>
          <w:lang w:val="es-ES_tradnl"/>
        </w:rPr>
        <w:t>n de estaciones radioel</w:t>
      </w:r>
      <w:r>
        <w:rPr>
          <w:rFonts w:cs="Times New Roman"/>
          <w:spacing w:val="-5"/>
          <w:sz w:val="18"/>
          <w:szCs w:val="18"/>
          <w:lang w:val="es-ES_tradnl"/>
        </w:rPr>
        <w:t>é</w:t>
      </w:r>
      <w:r>
        <w:rPr>
          <w:spacing w:val="-5"/>
          <w:sz w:val="18"/>
          <w:szCs w:val="18"/>
          <w:lang w:val="es-ES_tradnl"/>
        </w:rPr>
        <w:t xml:space="preserve">ctricas </w:t>
      </w:r>
      <w:r>
        <w:rPr>
          <w:spacing w:val="-7"/>
          <w:sz w:val="18"/>
          <w:szCs w:val="18"/>
          <w:lang w:val="es-ES_tradnl"/>
        </w:rPr>
        <w:t>y otras comunicaciones de transmisi</w:t>
      </w:r>
      <w:r>
        <w:rPr>
          <w:rFonts w:cs="Times New Roman"/>
          <w:spacing w:val="-7"/>
          <w:sz w:val="18"/>
          <w:szCs w:val="18"/>
          <w:lang w:val="es-ES_tradnl"/>
        </w:rPr>
        <w:t>ó</w:t>
      </w:r>
      <w:r>
        <w:rPr>
          <w:spacing w:val="-7"/>
          <w:sz w:val="18"/>
          <w:szCs w:val="18"/>
          <w:lang w:val="es-ES_tradnl"/>
        </w:rPr>
        <w:t>n, cuesti</w:t>
      </w:r>
      <w:r>
        <w:rPr>
          <w:rFonts w:cs="Times New Roman"/>
          <w:spacing w:val="-7"/>
          <w:sz w:val="18"/>
          <w:szCs w:val="18"/>
          <w:lang w:val="es-ES_tradnl"/>
        </w:rPr>
        <w:t>ó</w:t>
      </w:r>
      <w:r>
        <w:rPr>
          <w:spacing w:val="-7"/>
          <w:sz w:val="18"/>
          <w:szCs w:val="18"/>
          <w:lang w:val="es-ES_tradnl"/>
        </w:rPr>
        <w:t xml:space="preserve">n que no </w:t>
      </w:r>
      <w:r>
        <w:rPr>
          <w:spacing w:val="-8"/>
          <w:sz w:val="18"/>
          <w:szCs w:val="18"/>
          <w:lang w:val="es-ES_tradnl"/>
        </w:rPr>
        <w:t>altera el procedimiento de creaci</w:t>
      </w:r>
      <w:r>
        <w:rPr>
          <w:rFonts w:cs="Times New Roman"/>
          <w:spacing w:val="-8"/>
          <w:sz w:val="18"/>
          <w:szCs w:val="18"/>
          <w:lang w:val="es-ES_tradnl"/>
        </w:rPr>
        <w:t>ó</w:t>
      </w:r>
      <w:r>
        <w:rPr>
          <w:spacing w:val="-8"/>
          <w:sz w:val="18"/>
          <w:szCs w:val="18"/>
          <w:lang w:val="es-ES_tradnl"/>
        </w:rPr>
        <w:t xml:space="preserve">n de dichas regulaciones, </w:t>
      </w:r>
      <w:r>
        <w:rPr>
          <w:spacing w:val="-5"/>
          <w:sz w:val="18"/>
          <w:szCs w:val="18"/>
          <w:lang w:val="es-ES_tradnl"/>
        </w:rPr>
        <w:t>propias del ejercicio jurisdiccional de los municipios.</w:t>
      </w:r>
    </w:p>
    <w:p w14:paraId="4F67A880" w14:textId="77777777" w:rsidR="00591D54" w:rsidRDefault="00591D54">
      <w:pPr>
        <w:shd w:val="clear" w:color="auto" w:fill="FFFFFF"/>
        <w:spacing w:before="197" w:line="216" w:lineRule="exact"/>
        <w:jc w:val="both"/>
      </w:pPr>
      <w:r>
        <w:rPr>
          <w:spacing w:val="-7"/>
          <w:sz w:val="18"/>
          <w:szCs w:val="18"/>
          <w:lang w:val="es-ES_tradnl"/>
        </w:rPr>
        <w:t>De lo expuesto, se observa que el Gobierno Aut</w:t>
      </w:r>
      <w:r>
        <w:rPr>
          <w:rFonts w:cs="Times New Roman"/>
          <w:spacing w:val="-7"/>
          <w:sz w:val="18"/>
          <w:szCs w:val="18"/>
          <w:lang w:val="es-ES_tradnl"/>
        </w:rPr>
        <w:t>ó</w:t>
      </w:r>
      <w:r>
        <w:rPr>
          <w:spacing w:val="-7"/>
          <w:sz w:val="18"/>
          <w:szCs w:val="18"/>
          <w:lang w:val="es-ES_tradnl"/>
        </w:rPr>
        <w:t>nomo Descentralizado Municipal del cant</w:t>
      </w:r>
      <w:r>
        <w:rPr>
          <w:rFonts w:cs="Times New Roman"/>
          <w:spacing w:val="-7"/>
          <w:sz w:val="18"/>
          <w:szCs w:val="18"/>
          <w:lang w:val="es-ES_tradnl"/>
        </w:rPr>
        <w:t>ó</w:t>
      </w:r>
      <w:r>
        <w:rPr>
          <w:spacing w:val="-7"/>
          <w:sz w:val="18"/>
          <w:szCs w:val="18"/>
          <w:lang w:val="es-ES_tradnl"/>
        </w:rPr>
        <w:t xml:space="preserve">n Puebloviejo ha dado </w:t>
      </w:r>
      <w:r>
        <w:rPr>
          <w:spacing w:val="-2"/>
          <w:sz w:val="18"/>
          <w:szCs w:val="18"/>
          <w:lang w:val="es-ES_tradnl"/>
        </w:rPr>
        <w:t>cumplimiento al tr</w:t>
      </w:r>
      <w:r>
        <w:rPr>
          <w:rFonts w:cs="Times New Roman"/>
          <w:spacing w:val="-2"/>
          <w:sz w:val="18"/>
          <w:szCs w:val="18"/>
          <w:lang w:val="es-ES_tradnl"/>
        </w:rPr>
        <w:t>á</w:t>
      </w:r>
      <w:r>
        <w:rPr>
          <w:spacing w:val="-2"/>
          <w:sz w:val="18"/>
          <w:szCs w:val="18"/>
          <w:lang w:val="es-ES_tradnl"/>
        </w:rPr>
        <w:t>mite establecido para la expedici</w:t>
      </w:r>
      <w:r>
        <w:rPr>
          <w:rFonts w:cs="Times New Roman"/>
          <w:spacing w:val="-2"/>
          <w:sz w:val="18"/>
          <w:szCs w:val="18"/>
          <w:lang w:val="es-ES_tradnl"/>
        </w:rPr>
        <w:t>ó</w:t>
      </w:r>
      <w:r>
        <w:rPr>
          <w:spacing w:val="-2"/>
          <w:sz w:val="18"/>
          <w:szCs w:val="18"/>
          <w:lang w:val="es-ES_tradnl"/>
        </w:rPr>
        <w:t xml:space="preserve">n </w:t>
      </w:r>
      <w:r>
        <w:rPr>
          <w:spacing w:val="-6"/>
          <w:sz w:val="18"/>
          <w:szCs w:val="18"/>
          <w:lang w:val="es-ES_tradnl"/>
        </w:rPr>
        <w:t xml:space="preserve">de ordenanzas; es decir, ha aplicado el procedimiento </w:t>
      </w:r>
      <w:r>
        <w:rPr>
          <w:spacing w:val="-2"/>
          <w:sz w:val="18"/>
          <w:szCs w:val="18"/>
          <w:lang w:val="es-ES_tradnl"/>
        </w:rPr>
        <w:t>previsto por la Constituci</w:t>
      </w:r>
      <w:r>
        <w:rPr>
          <w:rFonts w:cs="Times New Roman"/>
          <w:spacing w:val="-2"/>
          <w:sz w:val="18"/>
          <w:szCs w:val="18"/>
          <w:lang w:val="es-ES_tradnl"/>
        </w:rPr>
        <w:t>ó</w:t>
      </w:r>
      <w:r>
        <w:rPr>
          <w:spacing w:val="-2"/>
          <w:sz w:val="18"/>
          <w:szCs w:val="18"/>
          <w:lang w:val="es-ES_tradnl"/>
        </w:rPr>
        <w:t>n y la ley para la formulaci</w:t>
      </w:r>
      <w:r>
        <w:rPr>
          <w:rFonts w:cs="Times New Roman"/>
          <w:spacing w:val="-2"/>
          <w:sz w:val="18"/>
          <w:szCs w:val="18"/>
          <w:lang w:val="es-ES_tradnl"/>
        </w:rPr>
        <w:t>ó</w:t>
      </w:r>
      <w:r>
        <w:rPr>
          <w:spacing w:val="-2"/>
          <w:sz w:val="18"/>
          <w:szCs w:val="18"/>
          <w:lang w:val="es-ES_tradnl"/>
        </w:rPr>
        <w:t xml:space="preserve">n </w:t>
      </w:r>
      <w:r>
        <w:rPr>
          <w:spacing w:val="-6"/>
          <w:sz w:val="18"/>
          <w:szCs w:val="18"/>
          <w:lang w:val="es-ES_tradnl"/>
        </w:rPr>
        <w:t xml:space="preserve">de un acto legislativo propio de su naturaleza, ya que la </w:t>
      </w:r>
      <w:r>
        <w:rPr>
          <w:spacing w:val="-7"/>
          <w:sz w:val="18"/>
          <w:szCs w:val="18"/>
          <w:lang w:val="es-ES_tradnl"/>
        </w:rPr>
        <w:t>materia del an</w:t>
      </w:r>
      <w:r>
        <w:rPr>
          <w:rFonts w:cs="Times New Roman"/>
          <w:spacing w:val="-7"/>
          <w:sz w:val="18"/>
          <w:szCs w:val="18"/>
          <w:lang w:val="es-ES_tradnl"/>
        </w:rPr>
        <w:t>á</w:t>
      </w:r>
      <w:r>
        <w:rPr>
          <w:spacing w:val="-7"/>
          <w:sz w:val="18"/>
          <w:szCs w:val="18"/>
          <w:lang w:val="es-ES_tradnl"/>
        </w:rPr>
        <w:t xml:space="preserve">lisis formal, versa sobre el cumplimiento de las formalidades exigidas para tal o cual objeto y que en el </w:t>
      </w:r>
      <w:r>
        <w:rPr>
          <w:spacing w:val="-8"/>
          <w:sz w:val="18"/>
          <w:szCs w:val="18"/>
          <w:lang w:val="es-ES_tradnl"/>
        </w:rPr>
        <w:t>caso concreto, se ha establecido, cu</w:t>
      </w:r>
      <w:r>
        <w:rPr>
          <w:rFonts w:cs="Times New Roman"/>
          <w:spacing w:val="-8"/>
          <w:sz w:val="18"/>
          <w:szCs w:val="18"/>
          <w:lang w:val="es-ES_tradnl"/>
        </w:rPr>
        <w:t>á</w:t>
      </w:r>
      <w:r>
        <w:rPr>
          <w:spacing w:val="-8"/>
          <w:sz w:val="18"/>
          <w:szCs w:val="18"/>
          <w:lang w:val="es-ES_tradnl"/>
        </w:rPr>
        <w:t>l fue el procedimiento correcto para la creaci</w:t>
      </w:r>
      <w:r>
        <w:rPr>
          <w:rFonts w:cs="Times New Roman"/>
          <w:spacing w:val="-8"/>
          <w:sz w:val="18"/>
          <w:szCs w:val="18"/>
          <w:lang w:val="es-ES_tradnl"/>
        </w:rPr>
        <w:t>ó</w:t>
      </w:r>
      <w:r>
        <w:rPr>
          <w:spacing w:val="-8"/>
          <w:sz w:val="18"/>
          <w:szCs w:val="18"/>
          <w:lang w:val="es-ES_tradnl"/>
        </w:rPr>
        <w:t>n de una tasa municipal, llegando a determinarse que fue a trav</w:t>
      </w:r>
      <w:r>
        <w:rPr>
          <w:rFonts w:cs="Times New Roman"/>
          <w:spacing w:val="-8"/>
          <w:sz w:val="18"/>
          <w:szCs w:val="18"/>
          <w:lang w:val="es-ES_tradnl"/>
        </w:rPr>
        <w:t>é</w:t>
      </w:r>
      <w:r>
        <w:rPr>
          <w:spacing w:val="-8"/>
          <w:sz w:val="18"/>
          <w:szCs w:val="18"/>
          <w:lang w:val="es-ES_tradnl"/>
        </w:rPr>
        <w:t>s de ordenanza, situaci</w:t>
      </w:r>
      <w:r>
        <w:rPr>
          <w:rFonts w:cs="Times New Roman"/>
          <w:spacing w:val="-8"/>
          <w:sz w:val="18"/>
          <w:szCs w:val="18"/>
          <w:lang w:val="es-ES_tradnl"/>
        </w:rPr>
        <w:t>ó</w:t>
      </w:r>
      <w:r>
        <w:rPr>
          <w:spacing w:val="-8"/>
          <w:sz w:val="18"/>
          <w:szCs w:val="18"/>
          <w:lang w:val="es-ES_tradnl"/>
        </w:rPr>
        <w:t xml:space="preserve">n que </w:t>
      </w:r>
      <w:r>
        <w:rPr>
          <w:spacing w:val="-9"/>
          <w:sz w:val="18"/>
          <w:szCs w:val="18"/>
          <w:lang w:val="es-ES_tradnl"/>
        </w:rPr>
        <w:t>en la especie se ve claramente determinada.</w:t>
      </w:r>
    </w:p>
    <w:p w14:paraId="4F67A881" w14:textId="77777777" w:rsidR="00591D54" w:rsidRDefault="00591D54">
      <w:pPr>
        <w:shd w:val="clear" w:color="auto" w:fill="FFFFFF"/>
        <w:spacing w:before="192" w:line="216" w:lineRule="exact"/>
        <w:jc w:val="both"/>
      </w:pPr>
      <w:r>
        <w:rPr>
          <w:spacing w:val="-5"/>
          <w:sz w:val="18"/>
          <w:szCs w:val="18"/>
          <w:lang w:val="es-ES_tradnl"/>
        </w:rPr>
        <w:t>Adicionalmente, el art</w:t>
      </w:r>
      <w:r>
        <w:rPr>
          <w:rFonts w:cs="Times New Roman"/>
          <w:spacing w:val="-5"/>
          <w:sz w:val="18"/>
          <w:szCs w:val="18"/>
          <w:lang w:val="es-ES_tradnl"/>
        </w:rPr>
        <w:t>í</w:t>
      </w:r>
      <w:r>
        <w:rPr>
          <w:spacing w:val="-5"/>
          <w:sz w:val="18"/>
          <w:szCs w:val="18"/>
          <w:lang w:val="es-ES_tradnl"/>
        </w:rPr>
        <w:t>culo 226 de la Constituci</w:t>
      </w:r>
      <w:r>
        <w:rPr>
          <w:rFonts w:cs="Times New Roman"/>
          <w:spacing w:val="-5"/>
          <w:sz w:val="18"/>
          <w:szCs w:val="18"/>
          <w:lang w:val="es-ES_tradnl"/>
        </w:rPr>
        <w:t>ó</w:t>
      </w:r>
      <w:r>
        <w:rPr>
          <w:spacing w:val="-5"/>
          <w:sz w:val="18"/>
          <w:szCs w:val="18"/>
          <w:lang w:val="es-ES_tradnl"/>
        </w:rPr>
        <w:t xml:space="preserve">n de la </w:t>
      </w:r>
      <w:r>
        <w:rPr>
          <w:spacing w:val="-6"/>
          <w:sz w:val="18"/>
          <w:szCs w:val="18"/>
          <w:lang w:val="es-ES_tradnl"/>
        </w:rPr>
        <w:t>Rep</w:t>
      </w:r>
      <w:r>
        <w:rPr>
          <w:rFonts w:cs="Times New Roman"/>
          <w:spacing w:val="-6"/>
          <w:sz w:val="18"/>
          <w:szCs w:val="18"/>
          <w:lang w:val="es-ES_tradnl"/>
        </w:rPr>
        <w:t>ú</w:t>
      </w:r>
      <w:r>
        <w:rPr>
          <w:spacing w:val="-6"/>
          <w:sz w:val="18"/>
          <w:szCs w:val="18"/>
          <w:lang w:val="es-ES_tradnl"/>
        </w:rPr>
        <w:t xml:space="preserve">blica dispone que tanto las instituciones del Estado, </w:t>
      </w:r>
      <w:r>
        <w:rPr>
          <w:spacing w:val="-9"/>
          <w:sz w:val="18"/>
          <w:szCs w:val="18"/>
          <w:lang w:val="es-ES_tradnl"/>
        </w:rPr>
        <w:t xml:space="preserve">sus organismos, dependencias, las servidoras o servidores </w:t>
      </w:r>
      <w:r>
        <w:rPr>
          <w:spacing w:val="-4"/>
          <w:sz w:val="18"/>
          <w:szCs w:val="18"/>
          <w:lang w:val="es-ES_tradnl"/>
        </w:rPr>
        <w:t>p</w:t>
      </w:r>
      <w:r>
        <w:rPr>
          <w:rFonts w:cs="Times New Roman"/>
          <w:spacing w:val="-4"/>
          <w:sz w:val="18"/>
          <w:szCs w:val="18"/>
          <w:lang w:val="es-ES_tradnl"/>
        </w:rPr>
        <w:t>ú</w:t>
      </w:r>
      <w:r>
        <w:rPr>
          <w:spacing w:val="-4"/>
          <w:sz w:val="18"/>
          <w:szCs w:val="18"/>
          <w:lang w:val="es-ES_tradnl"/>
        </w:rPr>
        <w:t>blicos y quienes act</w:t>
      </w:r>
      <w:r>
        <w:rPr>
          <w:rFonts w:cs="Times New Roman"/>
          <w:spacing w:val="-4"/>
          <w:sz w:val="18"/>
          <w:szCs w:val="18"/>
          <w:lang w:val="es-ES_tradnl"/>
        </w:rPr>
        <w:t>ú</w:t>
      </w:r>
      <w:r>
        <w:rPr>
          <w:spacing w:val="-4"/>
          <w:sz w:val="18"/>
          <w:szCs w:val="18"/>
          <w:lang w:val="es-ES_tradnl"/>
        </w:rPr>
        <w:t>en en funci</w:t>
      </w:r>
      <w:r>
        <w:rPr>
          <w:rFonts w:cs="Times New Roman"/>
          <w:spacing w:val="-4"/>
          <w:sz w:val="18"/>
          <w:szCs w:val="18"/>
          <w:lang w:val="es-ES_tradnl"/>
        </w:rPr>
        <w:t>ó</w:t>
      </w:r>
      <w:r>
        <w:rPr>
          <w:spacing w:val="-4"/>
          <w:sz w:val="18"/>
          <w:szCs w:val="18"/>
          <w:lang w:val="es-ES_tradnl"/>
        </w:rPr>
        <w:t xml:space="preserve">n de una potestad </w:t>
      </w:r>
      <w:r>
        <w:rPr>
          <w:spacing w:val="-8"/>
          <w:sz w:val="18"/>
          <w:szCs w:val="18"/>
          <w:lang w:val="es-ES_tradnl"/>
        </w:rPr>
        <w:t>estatal ejercer</w:t>
      </w:r>
      <w:r>
        <w:rPr>
          <w:rFonts w:cs="Times New Roman"/>
          <w:spacing w:val="-8"/>
          <w:sz w:val="18"/>
          <w:szCs w:val="18"/>
          <w:lang w:val="es-ES_tradnl"/>
        </w:rPr>
        <w:t>á</w:t>
      </w:r>
      <w:r>
        <w:rPr>
          <w:spacing w:val="-8"/>
          <w:sz w:val="18"/>
          <w:szCs w:val="18"/>
          <w:lang w:val="es-ES_tradnl"/>
        </w:rPr>
        <w:t xml:space="preserve">n solamente las competencias y facultades </w:t>
      </w:r>
      <w:r>
        <w:rPr>
          <w:spacing w:val="-5"/>
          <w:sz w:val="18"/>
          <w:szCs w:val="18"/>
          <w:lang w:val="es-ES_tradnl"/>
        </w:rPr>
        <w:t>asignadas por la Constituci</w:t>
      </w:r>
      <w:r>
        <w:rPr>
          <w:rFonts w:cs="Times New Roman"/>
          <w:spacing w:val="-5"/>
          <w:sz w:val="18"/>
          <w:szCs w:val="18"/>
          <w:lang w:val="es-ES_tradnl"/>
        </w:rPr>
        <w:t>ó</w:t>
      </w:r>
      <w:r>
        <w:rPr>
          <w:spacing w:val="-5"/>
          <w:sz w:val="18"/>
          <w:szCs w:val="18"/>
          <w:lang w:val="es-ES_tradnl"/>
        </w:rPr>
        <w:t xml:space="preserve">n y la ley. Por tal motivo, es </w:t>
      </w:r>
      <w:r>
        <w:rPr>
          <w:spacing w:val="-6"/>
          <w:sz w:val="18"/>
          <w:szCs w:val="18"/>
          <w:lang w:val="es-ES_tradnl"/>
        </w:rPr>
        <w:t>preciso realizar un an</w:t>
      </w:r>
      <w:r>
        <w:rPr>
          <w:rFonts w:cs="Times New Roman"/>
          <w:spacing w:val="-6"/>
          <w:sz w:val="18"/>
          <w:szCs w:val="18"/>
          <w:lang w:val="es-ES_tradnl"/>
        </w:rPr>
        <w:t>á</w:t>
      </w:r>
      <w:r>
        <w:rPr>
          <w:spacing w:val="-6"/>
          <w:sz w:val="18"/>
          <w:szCs w:val="18"/>
          <w:lang w:val="es-ES_tradnl"/>
        </w:rPr>
        <w:t xml:space="preserve">lisis del fondo de las regulaciones </w:t>
      </w:r>
      <w:r>
        <w:rPr>
          <w:spacing w:val="-5"/>
          <w:sz w:val="18"/>
          <w:szCs w:val="18"/>
          <w:lang w:val="es-ES_tradnl"/>
        </w:rPr>
        <w:t xml:space="preserve">emitidas por el Municipio, para determinar si el Gobierno </w:t>
      </w:r>
      <w:r>
        <w:rPr>
          <w:spacing w:val="-4"/>
          <w:sz w:val="18"/>
          <w:szCs w:val="18"/>
          <w:lang w:val="es-ES_tradnl"/>
        </w:rPr>
        <w:t>Aut</w:t>
      </w:r>
      <w:r>
        <w:rPr>
          <w:rFonts w:cs="Times New Roman"/>
          <w:spacing w:val="-4"/>
          <w:sz w:val="18"/>
          <w:szCs w:val="18"/>
          <w:lang w:val="es-ES_tradnl"/>
        </w:rPr>
        <w:t>ó</w:t>
      </w:r>
      <w:r>
        <w:rPr>
          <w:spacing w:val="-4"/>
          <w:sz w:val="18"/>
          <w:szCs w:val="18"/>
          <w:lang w:val="es-ES_tradnl"/>
        </w:rPr>
        <w:t>nomo Descentralizado del cant</w:t>
      </w:r>
      <w:r>
        <w:rPr>
          <w:rFonts w:cs="Times New Roman"/>
          <w:spacing w:val="-4"/>
          <w:sz w:val="18"/>
          <w:szCs w:val="18"/>
          <w:lang w:val="es-ES_tradnl"/>
        </w:rPr>
        <w:t>ó</w:t>
      </w:r>
      <w:r>
        <w:rPr>
          <w:spacing w:val="-4"/>
          <w:sz w:val="18"/>
          <w:szCs w:val="18"/>
          <w:lang w:val="es-ES_tradnl"/>
        </w:rPr>
        <w:t xml:space="preserve">n Puebloviejo, al </w:t>
      </w:r>
      <w:r>
        <w:rPr>
          <w:spacing w:val="-6"/>
          <w:sz w:val="18"/>
          <w:szCs w:val="18"/>
          <w:lang w:val="es-ES_tradnl"/>
        </w:rPr>
        <w:t xml:space="preserve">expedir la ordenanza impugnada, ha infringido la norma </w:t>
      </w:r>
      <w:r>
        <w:rPr>
          <w:spacing w:val="-7"/>
          <w:sz w:val="18"/>
          <w:szCs w:val="18"/>
          <w:lang w:val="es-ES_tradnl"/>
        </w:rPr>
        <w:t xml:space="preserve">constitucional o se han extralimitado inconstitucionalmente </w:t>
      </w:r>
      <w:r>
        <w:rPr>
          <w:sz w:val="18"/>
          <w:szCs w:val="18"/>
          <w:lang w:val="es-ES_tradnl"/>
        </w:rPr>
        <w:t>sus competencias.</w:t>
      </w:r>
    </w:p>
    <w:p w14:paraId="4F67A882" w14:textId="77777777" w:rsidR="00591D54" w:rsidRDefault="00591D54">
      <w:pPr>
        <w:shd w:val="clear" w:color="auto" w:fill="FFFFFF"/>
        <w:spacing w:before="192"/>
      </w:pPr>
      <w:r>
        <w:rPr>
          <w:b/>
          <w:bCs/>
          <w:spacing w:val="-7"/>
          <w:sz w:val="18"/>
          <w:szCs w:val="18"/>
          <w:lang w:val="es-ES_tradnl"/>
        </w:rPr>
        <w:t>Determinaci</w:t>
      </w:r>
      <w:r>
        <w:rPr>
          <w:rFonts w:cs="Times New Roman"/>
          <w:b/>
          <w:bCs/>
          <w:spacing w:val="-7"/>
          <w:sz w:val="18"/>
          <w:szCs w:val="18"/>
          <w:lang w:val="es-ES_tradnl"/>
        </w:rPr>
        <w:t>ó</w:t>
      </w:r>
      <w:r>
        <w:rPr>
          <w:b/>
          <w:bCs/>
          <w:spacing w:val="-7"/>
          <w:sz w:val="18"/>
          <w:szCs w:val="18"/>
          <w:lang w:val="es-ES_tradnl"/>
        </w:rPr>
        <w:t>n del problema jur</w:t>
      </w:r>
      <w:r>
        <w:rPr>
          <w:rFonts w:cs="Times New Roman"/>
          <w:b/>
          <w:bCs/>
          <w:spacing w:val="-7"/>
          <w:sz w:val="18"/>
          <w:szCs w:val="18"/>
          <w:lang w:val="es-ES_tradnl"/>
        </w:rPr>
        <w:t>í</w:t>
      </w:r>
      <w:r>
        <w:rPr>
          <w:b/>
          <w:bCs/>
          <w:spacing w:val="-7"/>
          <w:sz w:val="18"/>
          <w:szCs w:val="18"/>
          <w:lang w:val="es-ES_tradnl"/>
        </w:rPr>
        <w:t>dico</w:t>
      </w:r>
    </w:p>
    <w:p w14:paraId="4F67A883" w14:textId="77777777" w:rsidR="00591D54" w:rsidRDefault="00591D54">
      <w:pPr>
        <w:shd w:val="clear" w:color="auto" w:fill="FFFFFF"/>
        <w:spacing w:before="192" w:line="216" w:lineRule="exact"/>
        <w:jc w:val="both"/>
      </w:pPr>
      <w:r>
        <w:rPr>
          <w:spacing w:val="-10"/>
          <w:sz w:val="18"/>
          <w:szCs w:val="18"/>
          <w:lang w:val="es-ES_tradnl"/>
        </w:rPr>
        <w:t>La ordenanza publicada en el Registro Oficial N.</w:t>
      </w:r>
      <w:r>
        <w:rPr>
          <w:rFonts w:cs="Times New Roman"/>
          <w:spacing w:val="-10"/>
          <w:sz w:val="18"/>
          <w:szCs w:val="18"/>
          <w:lang w:val="es-ES_tradnl"/>
        </w:rPr>
        <w:t>º</w:t>
      </w:r>
      <w:r>
        <w:rPr>
          <w:spacing w:val="-10"/>
          <w:sz w:val="18"/>
          <w:szCs w:val="18"/>
          <w:lang w:val="es-ES_tradnl"/>
        </w:rPr>
        <w:t xml:space="preserve"> 594 de 12 </w:t>
      </w:r>
      <w:r>
        <w:rPr>
          <w:spacing w:val="-9"/>
          <w:sz w:val="18"/>
          <w:szCs w:val="18"/>
          <w:lang w:val="es-ES_tradnl"/>
        </w:rPr>
        <w:t>de diciembre de 2011, expedida por el Gobierno Aut</w:t>
      </w:r>
      <w:r>
        <w:rPr>
          <w:rFonts w:cs="Times New Roman"/>
          <w:spacing w:val="-9"/>
          <w:sz w:val="18"/>
          <w:szCs w:val="18"/>
          <w:lang w:val="es-ES_tradnl"/>
        </w:rPr>
        <w:t>ó</w:t>
      </w:r>
      <w:r>
        <w:rPr>
          <w:spacing w:val="-9"/>
          <w:sz w:val="18"/>
          <w:szCs w:val="18"/>
          <w:lang w:val="es-ES_tradnl"/>
        </w:rPr>
        <w:t>nomo</w:t>
      </w:r>
    </w:p>
    <w:p w14:paraId="4F67A884" w14:textId="77777777" w:rsidR="00591D54" w:rsidRDefault="00591D54">
      <w:pPr>
        <w:shd w:val="clear" w:color="auto" w:fill="FFFFFF"/>
        <w:spacing w:before="192" w:line="216" w:lineRule="exact"/>
        <w:jc w:val="both"/>
        <w:sectPr w:rsidR="00591D54">
          <w:type w:val="continuous"/>
          <w:pgSz w:w="11909" w:h="16834"/>
          <w:pgMar w:top="1368" w:right="1309" w:bottom="360" w:left="1308" w:header="720" w:footer="720" w:gutter="0"/>
          <w:cols w:num="2" w:space="720" w:equalWidth="0">
            <w:col w:w="4305" w:space="682"/>
            <w:col w:w="4305"/>
          </w:cols>
          <w:noEndnote/>
        </w:sectPr>
      </w:pPr>
    </w:p>
    <w:p w14:paraId="4F67A885" w14:textId="77777777" w:rsidR="00591D54" w:rsidRDefault="00591D54">
      <w:pPr>
        <w:shd w:val="clear" w:color="auto" w:fill="FFFFFF"/>
        <w:tabs>
          <w:tab w:val="left" w:pos="595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- 63</w:t>
      </w:r>
    </w:p>
    <w:p w14:paraId="4F67A886" w14:textId="77777777" w:rsidR="00591D54" w:rsidRDefault="00591D54">
      <w:pPr>
        <w:shd w:val="clear" w:color="auto" w:fill="FFFFFF"/>
        <w:tabs>
          <w:tab w:val="left" w:pos="5952"/>
        </w:tabs>
        <w:spacing w:after="230"/>
        <w:ind w:left="5"/>
        <w:sectPr w:rsidR="00591D54">
          <w:pgSz w:w="11909" w:h="16834"/>
          <w:pgMar w:top="1356" w:right="1304" w:bottom="360" w:left="1308" w:header="720" w:footer="720" w:gutter="0"/>
          <w:cols w:space="60"/>
          <w:noEndnote/>
        </w:sectPr>
      </w:pPr>
    </w:p>
    <w:p w14:paraId="4F67A887" w14:textId="77777777" w:rsidR="00591D54" w:rsidRDefault="00591D54">
      <w:pPr>
        <w:shd w:val="clear" w:color="auto" w:fill="FFFFFF"/>
        <w:spacing w:line="230" w:lineRule="exact"/>
        <w:jc w:val="both"/>
      </w:pPr>
      <w:r>
        <w:rPr>
          <w:sz w:val="18"/>
          <w:szCs w:val="18"/>
          <w:lang w:val="es-ES_tradnl"/>
        </w:rPr>
        <w:t>Descentralizado Municipal del cant</w:t>
      </w:r>
      <w:r>
        <w:rPr>
          <w:rFonts w:cs="Times New Roman"/>
          <w:sz w:val="18"/>
          <w:szCs w:val="18"/>
          <w:lang w:val="es-ES_tradnl"/>
        </w:rPr>
        <w:t>ó</w:t>
      </w:r>
      <w:r>
        <w:rPr>
          <w:sz w:val="18"/>
          <w:szCs w:val="18"/>
          <w:lang w:val="es-ES_tradnl"/>
        </w:rPr>
        <w:t xml:space="preserve">n San Francisco </w:t>
      </w:r>
      <w:r>
        <w:rPr>
          <w:spacing w:val="-2"/>
          <w:sz w:val="18"/>
          <w:szCs w:val="18"/>
          <w:lang w:val="es-ES_tradnl"/>
        </w:rPr>
        <w:t xml:space="preserve">de Puebloviejo, </w:t>
      </w:r>
      <w:r>
        <w:rPr>
          <w:rFonts w:cs="Times New Roman"/>
          <w:spacing w:val="-2"/>
          <w:sz w:val="18"/>
          <w:szCs w:val="18"/>
          <w:lang w:val="es-ES_tradnl"/>
        </w:rPr>
        <w:t>¿</w:t>
      </w:r>
      <w:r>
        <w:rPr>
          <w:spacing w:val="-2"/>
          <w:sz w:val="18"/>
          <w:szCs w:val="18"/>
          <w:lang w:val="es-ES_tradnl"/>
        </w:rPr>
        <w:t xml:space="preserve">contraviene el texto constitucional, </w:t>
      </w:r>
      <w:r>
        <w:rPr>
          <w:spacing w:val="-7"/>
          <w:sz w:val="18"/>
          <w:szCs w:val="18"/>
          <w:lang w:val="es-ES_tradnl"/>
        </w:rPr>
        <w:t>espec</w:t>
      </w:r>
      <w:r>
        <w:rPr>
          <w:rFonts w:cs="Times New Roman"/>
          <w:spacing w:val="-7"/>
          <w:sz w:val="18"/>
          <w:szCs w:val="18"/>
          <w:lang w:val="es-ES_tradnl"/>
        </w:rPr>
        <w:t>í</w:t>
      </w:r>
      <w:r>
        <w:rPr>
          <w:spacing w:val="-7"/>
          <w:sz w:val="18"/>
          <w:szCs w:val="18"/>
          <w:lang w:val="es-ES_tradnl"/>
        </w:rPr>
        <w:t>ficamente lo establecido en los art</w:t>
      </w:r>
      <w:r>
        <w:rPr>
          <w:rFonts w:cs="Times New Roman"/>
          <w:spacing w:val="-7"/>
          <w:sz w:val="18"/>
          <w:szCs w:val="18"/>
          <w:lang w:val="es-ES_tradnl"/>
        </w:rPr>
        <w:t>í</w:t>
      </w:r>
      <w:r>
        <w:rPr>
          <w:spacing w:val="-7"/>
          <w:sz w:val="18"/>
          <w:szCs w:val="18"/>
          <w:lang w:val="es-ES_tradnl"/>
        </w:rPr>
        <w:t xml:space="preserve">culos 226, 261 y </w:t>
      </w:r>
      <w:r>
        <w:rPr>
          <w:sz w:val="18"/>
          <w:szCs w:val="18"/>
          <w:lang w:val="es-ES_tradnl"/>
        </w:rPr>
        <w:t>264 de 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A888" w14:textId="77777777" w:rsidR="00591D54" w:rsidRDefault="00591D54">
      <w:pPr>
        <w:shd w:val="clear" w:color="auto" w:fill="FFFFFF"/>
        <w:spacing w:before="240"/>
      </w:pPr>
      <w:r>
        <w:rPr>
          <w:b/>
          <w:bCs/>
          <w:spacing w:val="-3"/>
          <w:sz w:val="18"/>
          <w:szCs w:val="18"/>
          <w:lang w:val="es-ES_tradnl"/>
        </w:rPr>
        <w:t>Control material</w:t>
      </w:r>
    </w:p>
    <w:p w14:paraId="4F67A889" w14:textId="77777777" w:rsidR="00591D54" w:rsidRDefault="00591D54">
      <w:pPr>
        <w:shd w:val="clear" w:color="auto" w:fill="FFFFFF"/>
        <w:spacing w:before="245"/>
      </w:pPr>
      <w:r>
        <w:rPr>
          <w:b/>
          <w:bCs/>
          <w:spacing w:val="-7"/>
          <w:sz w:val="18"/>
          <w:szCs w:val="18"/>
          <w:lang w:val="es-ES_tradnl"/>
        </w:rPr>
        <w:t>Resoluci</w:t>
      </w:r>
      <w:r>
        <w:rPr>
          <w:rFonts w:cs="Times New Roman"/>
          <w:b/>
          <w:bCs/>
          <w:spacing w:val="-7"/>
          <w:sz w:val="18"/>
          <w:szCs w:val="18"/>
          <w:lang w:val="es-ES_tradnl"/>
        </w:rPr>
        <w:t>ó</w:t>
      </w:r>
      <w:r>
        <w:rPr>
          <w:b/>
          <w:bCs/>
          <w:spacing w:val="-7"/>
          <w:sz w:val="18"/>
          <w:szCs w:val="18"/>
          <w:lang w:val="es-ES_tradnl"/>
        </w:rPr>
        <w:t>n del problema jur</w:t>
      </w:r>
      <w:r>
        <w:rPr>
          <w:rFonts w:cs="Times New Roman"/>
          <w:b/>
          <w:bCs/>
          <w:spacing w:val="-7"/>
          <w:sz w:val="18"/>
          <w:szCs w:val="18"/>
          <w:lang w:val="es-ES_tradnl"/>
        </w:rPr>
        <w:t>í</w:t>
      </w:r>
      <w:r>
        <w:rPr>
          <w:b/>
          <w:bCs/>
          <w:spacing w:val="-7"/>
          <w:sz w:val="18"/>
          <w:szCs w:val="18"/>
          <w:lang w:val="es-ES_tradnl"/>
        </w:rPr>
        <w:t>dico</w:t>
      </w:r>
    </w:p>
    <w:p w14:paraId="4F67A88A" w14:textId="77777777" w:rsidR="00591D54" w:rsidRDefault="00591D54">
      <w:pPr>
        <w:shd w:val="clear" w:color="auto" w:fill="FFFFFF"/>
        <w:spacing w:before="240" w:line="230" w:lineRule="exact"/>
        <w:jc w:val="both"/>
      </w:pPr>
      <w:r>
        <w:rPr>
          <w:b/>
          <w:bCs/>
          <w:spacing w:val="-1"/>
          <w:sz w:val="18"/>
          <w:szCs w:val="18"/>
          <w:lang w:val="es-ES_tradnl"/>
        </w:rPr>
        <w:t>La ordenanza publicada en el Registro Oficial N.</w:t>
      </w:r>
      <w:r>
        <w:rPr>
          <w:rFonts w:cs="Times New Roman"/>
          <w:b/>
          <w:bCs/>
          <w:spacing w:val="-1"/>
          <w:sz w:val="18"/>
          <w:szCs w:val="18"/>
          <w:lang w:val="es-ES_tradnl"/>
        </w:rPr>
        <w:t xml:space="preserve">º </w:t>
      </w:r>
      <w:r>
        <w:rPr>
          <w:b/>
          <w:bCs/>
          <w:spacing w:val="-4"/>
          <w:sz w:val="18"/>
          <w:szCs w:val="18"/>
          <w:lang w:val="es-ES_tradnl"/>
        </w:rPr>
        <w:t xml:space="preserve">594 de 12 de diciembre de 2011, expedida por el </w:t>
      </w:r>
      <w:r>
        <w:rPr>
          <w:b/>
          <w:bCs/>
          <w:spacing w:val="-5"/>
          <w:sz w:val="18"/>
          <w:szCs w:val="18"/>
          <w:lang w:val="es-ES_tradnl"/>
        </w:rPr>
        <w:t>Gobierno Aut</w:t>
      </w:r>
      <w:r>
        <w:rPr>
          <w:rFonts w:cs="Times New Roman"/>
          <w:b/>
          <w:bCs/>
          <w:spacing w:val="-5"/>
          <w:sz w:val="18"/>
          <w:szCs w:val="18"/>
          <w:lang w:val="es-ES_tradnl"/>
        </w:rPr>
        <w:t>ó</w:t>
      </w:r>
      <w:r>
        <w:rPr>
          <w:b/>
          <w:bCs/>
          <w:spacing w:val="-5"/>
          <w:sz w:val="18"/>
          <w:szCs w:val="18"/>
          <w:lang w:val="es-ES_tradnl"/>
        </w:rPr>
        <w:t xml:space="preserve">nomo Descentralizado Municipal del </w:t>
      </w:r>
      <w:r>
        <w:rPr>
          <w:b/>
          <w:bCs/>
          <w:spacing w:val="-8"/>
          <w:sz w:val="18"/>
          <w:szCs w:val="18"/>
          <w:lang w:val="es-ES_tradnl"/>
        </w:rPr>
        <w:t>cant</w:t>
      </w:r>
      <w:r>
        <w:rPr>
          <w:rFonts w:cs="Times New Roman"/>
          <w:b/>
          <w:bCs/>
          <w:spacing w:val="-8"/>
          <w:sz w:val="18"/>
          <w:szCs w:val="18"/>
          <w:lang w:val="es-ES_tradnl"/>
        </w:rPr>
        <w:t>ó</w:t>
      </w:r>
      <w:r>
        <w:rPr>
          <w:b/>
          <w:bCs/>
          <w:spacing w:val="-8"/>
          <w:sz w:val="18"/>
          <w:szCs w:val="18"/>
          <w:lang w:val="es-ES_tradnl"/>
        </w:rPr>
        <w:t xml:space="preserve">n San Francisco de Puebloviejo, </w:t>
      </w:r>
      <w:r>
        <w:rPr>
          <w:rFonts w:cs="Times New Roman"/>
          <w:b/>
          <w:bCs/>
          <w:spacing w:val="-8"/>
          <w:sz w:val="18"/>
          <w:szCs w:val="18"/>
          <w:lang w:val="es-ES_tradnl"/>
        </w:rPr>
        <w:t>¿</w:t>
      </w:r>
      <w:r>
        <w:rPr>
          <w:b/>
          <w:bCs/>
          <w:spacing w:val="-8"/>
          <w:sz w:val="18"/>
          <w:szCs w:val="18"/>
          <w:lang w:val="es-ES_tradnl"/>
        </w:rPr>
        <w:t xml:space="preserve">contraviene el </w:t>
      </w:r>
      <w:r>
        <w:rPr>
          <w:b/>
          <w:bCs/>
          <w:spacing w:val="-9"/>
          <w:sz w:val="18"/>
          <w:szCs w:val="18"/>
          <w:lang w:val="es-ES_tradnl"/>
        </w:rPr>
        <w:t>texto constitucional, espec</w:t>
      </w:r>
      <w:r>
        <w:rPr>
          <w:rFonts w:cs="Times New Roman"/>
          <w:b/>
          <w:bCs/>
          <w:spacing w:val="-9"/>
          <w:sz w:val="18"/>
          <w:szCs w:val="18"/>
          <w:lang w:val="es-ES_tradnl"/>
        </w:rPr>
        <w:t>í</w:t>
      </w:r>
      <w:r>
        <w:rPr>
          <w:b/>
          <w:bCs/>
          <w:spacing w:val="-9"/>
          <w:sz w:val="18"/>
          <w:szCs w:val="18"/>
          <w:lang w:val="es-ES_tradnl"/>
        </w:rPr>
        <w:t xml:space="preserve">ficamente lo establecido en </w:t>
      </w:r>
      <w:r>
        <w:rPr>
          <w:b/>
          <w:bCs/>
          <w:spacing w:val="-6"/>
          <w:sz w:val="18"/>
          <w:szCs w:val="18"/>
          <w:lang w:val="es-ES_tradnl"/>
        </w:rPr>
        <w:t>los art</w:t>
      </w:r>
      <w:r>
        <w:rPr>
          <w:rFonts w:cs="Times New Roman"/>
          <w:b/>
          <w:bCs/>
          <w:spacing w:val="-6"/>
          <w:sz w:val="18"/>
          <w:szCs w:val="18"/>
          <w:lang w:val="es-ES_tradnl"/>
        </w:rPr>
        <w:t>í</w:t>
      </w:r>
      <w:r>
        <w:rPr>
          <w:b/>
          <w:bCs/>
          <w:spacing w:val="-6"/>
          <w:sz w:val="18"/>
          <w:szCs w:val="18"/>
          <w:lang w:val="es-ES_tradnl"/>
        </w:rPr>
        <w:t>culos 226, 261 y 264 de la Constituci</w:t>
      </w:r>
      <w:r>
        <w:rPr>
          <w:rFonts w:cs="Times New Roman"/>
          <w:b/>
          <w:bCs/>
          <w:spacing w:val="-6"/>
          <w:sz w:val="18"/>
          <w:szCs w:val="18"/>
          <w:lang w:val="es-ES_tradnl"/>
        </w:rPr>
        <w:t>ó</w:t>
      </w:r>
      <w:r>
        <w:rPr>
          <w:b/>
          <w:bCs/>
          <w:spacing w:val="-6"/>
          <w:sz w:val="18"/>
          <w:szCs w:val="18"/>
          <w:lang w:val="es-ES_tradnl"/>
        </w:rPr>
        <w:t xml:space="preserve">n de la </w:t>
      </w:r>
      <w:r>
        <w:rPr>
          <w:b/>
          <w:bCs/>
          <w:sz w:val="18"/>
          <w:szCs w:val="18"/>
          <w:lang w:val="es-ES_tradnl"/>
        </w:rPr>
        <w:t>Rep</w:t>
      </w:r>
      <w:r>
        <w:rPr>
          <w:rFonts w:cs="Times New Roman"/>
          <w:b/>
          <w:bCs/>
          <w:sz w:val="18"/>
          <w:szCs w:val="18"/>
          <w:lang w:val="es-ES_tradnl"/>
        </w:rPr>
        <w:t>ú</w:t>
      </w:r>
      <w:r>
        <w:rPr>
          <w:b/>
          <w:bCs/>
          <w:sz w:val="18"/>
          <w:szCs w:val="18"/>
          <w:lang w:val="es-ES_tradnl"/>
        </w:rPr>
        <w:t>blica?</w:t>
      </w:r>
    </w:p>
    <w:p w14:paraId="4F67A88B" w14:textId="77777777" w:rsidR="00591D54" w:rsidRDefault="00591D54">
      <w:pPr>
        <w:shd w:val="clear" w:color="auto" w:fill="FFFFFF"/>
        <w:spacing w:before="240" w:line="230" w:lineRule="exact"/>
        <w:jc w:val="both"/>
      </w:pPr>
      <w:r>
        <w:rPr>
          <w:spacing w:val="-3"/>
          <w:sz w:val="18"/>
          <w:szCs w:val="18"/>
          <w:lang w:val="es-ES_tradnl"/>
        </w:rPr>
        <w:t>De lo expuesto en l</w:t>
      </w:r>
      <w:r>
        <w:rPr>
          <w:rFonts w:cs="Times New Roman"/>
          <w:spacing w:val="-3"/>
          <w:sz w:val="18"/>
          <w:szCs w:val="18"/>
          <w:lang w:val="es-ES_tradnl"/>
        </w:rPr>
        <w:t>í</w:t>
      </w:r>
      <w:r>
        <w:rPr>
          <w:spacing w:val="-3"/>
          <w:sz w:val="18"/>
          <w:szCs w:val="18"/>
          <w:lang w:val="es-ES_tradnl"/>
        </w:rPr>
        <w:t xml:space="preserve">neas anteriores, es preciso analizar </w:t>
      </w:r>
      <w:r>
        <w:rPr>
          <w:spacing w:val="-4"/>
          <w:sz w:val="18"/>
          <w:szCs w:val="18"/>
          <w:lang w:val="es-ES_tradnl"/>
        </w:rPr>
        <w:t>si dentro de la ordenanza expedida por el Gobierno Aut</w:t>
      </w:r>
      <w:r>
        <w:rPr>
          <w:rFonts w:cs="Times New Roman"/>
          <w:spacing w:val="-4"/>
          <w:sz w:val="18"/>
          <w:szCs w:val="18"/>
          <w:lang w:val="es-ES_tradnl"/>
        </w:rPr>
        <w:t>ó</w:t>
      </w:r>
      <w:r>
        <w:rPr>
          <w:spacing w:val="-4"/>
          <w:sz w:val="18"/>
          <w:szCs w:val="18"/>
          <w:lang w:val="es-ES_tradnl"/>
        </w:rPr>
        <w:t>nomo Descentralizado Municipal del cant</w:t>
      </w:r>
      <w:r>
        <w:rPr>
          <w:rFonts w:cs="Times New Roman"/>
          <w:spacing w:val="-4"/>
          <w:sz w:val="18"/>
          <w:szCs w:val="18"/>
          <w:lang w:val="es-ES_tradnl"/>
        </w:rPr>
        <w:t>ó</w:t>
      </w:r>
      <w:r>
        <w:rPr>
          <w:spacing w:val="-4"/>
          <w:sz w:val="18"/>
          <w:szCs w:val="18"/>
          <w:lang w:val="es-ES_tradnl"/>
        </w:rPr>
        <w:t xml:space="preserve">n San Francisco de Puebloviejo, referente a las regulaciones </w:t>
      </w:r>
      <w:r>
        <w:rPr>
          <w:spacing w:val="-7"/>
          <w:sz w:val="18"/>
          <w:szCs w:val="18"/>
          <w:lang w:val="es-ES_tradnl"/>
        </w:rPr>
        <w:t>sobre la implantaci</w:t>
      </w:r>
      <w:r>
        <w:rPr>
          <w:rFonts w:cs="Times New Roman"/>
          <w:spacing w:val="-7"/>
          <w:sz w:val="18"/>
          <w:szCs w:val="18"/>
          <w:lang w:val="es-ES_tradnl"/>
        </w:rPr>
        <w:t>ó</w:t>
      </w:r>
      <w:r>
        <w:rPr>
          <w:spacing w:val="-7"/>
          <w:sz w:val="18"/>
          <w:szCs w:val="18"/>
          <w:lang w:val="es-ES_tradnl"/>
        </w:rPr>
        <w:t>n de estaciones radioel</w:t>
      </w:r>
      <w:r>
        <w:rPr>
          <w:rFonts w:cs="Times New Roman"/>
          <w:spacing w:val="-7"/>
          <w:sz w:val="18"/>
          <w:szCs w:val="18"/>
          <w:lang w:val="es-ES_tradnl"/>
        </w:rPr>
        <w:t>é</w:t>
      </w:r>
      <w:r>
        <w:rPr>
          <w:spacing w:val="-7"/>
          <w:sz w:val="18"/>
          <w:szCs w:val="18"/>
          <w:lang w:val="es-ES_tradnl"/>
        </w:rPr>
        <w:t xml:space="preserve">ctricas y otras </w:t>
      </w:r>
      <w:r>
        <w:rPr>
          <w:spacing w:val="-9"/>
          <w:sz w:val="18"/>
          <w:szCs w:val="18"/>
          <w:lang w:val="es-ES_tradnl"/>
        </w:rPr>
        <w:t>comunicaciones de transmisi</w:t>
      </w:r>
      <w:r>
        <w:rPr>
          <w:rFonts w:cs="Times New Roman"/>
          <w:spacing w:val="-9"/>
          <w:sz w:val="18"/>
          <w:szCs w:val="18"/>
          <w:lang w:val="es-ES_tradnl"/>
        </w:rPr>
        <w:t>ó</w:t>
      </w:r>
      <w:r>
        <w:rPr>
          <w:spacing w:val="-9"/>
          <w:sz w:val="18"/>
          <w:szCs w:val="18"/>
          <w:lang w:val="es-ES_tradnl"/>
        </w:rPr>
        <w:t>n y, sobre la fijaci</w:t>
      </w:r>
      <w:r>
        <w:rPr>
          <w:rFonts w:cs="Times New Roman"/>
          <w:spacing w:val="-9"/>
          <w:sz w:val="18"/>
          <w:szCs w:val="18"/>
          <w:lang w:val="es-ES_tradnl"/>
        </w:rPr>
        <w:t>ó</w:t>
      </w:r>
      <w:r>
        <w:rPr>
          <w:spacing w:val="-9"/>
          <w:sz w:val="18"/>
          <w:szCs w:val="18"/>
          <w:lang w:val="es-ES_tradnl"/>
        </w:rPr>
        <w:t xml:space="preserve">n de tasas </w:t>
      </w:r>
      <w:r>
        <w:rPr>
          <w:spacing w:val="-5"/>
          <w:sz w:val="18"/>
          <w:szCs w:val="18"/>
          <w:lang w:val="es-ES_tradnl"/>
        </w:rPr>
        <w:t>correspondientes a la utilizaci</w:t>
      </w:r>
      <w:r>
        <w:rPr>
          <w:rFonts w:cs="Times New Roman"/>
          <w:spacing w:val="-5"/>
          <w:sz w:val="18"/>
          <w:szCs w:val="18"/>
          <w:lang w:val="es-ES_tradnl"/>
        </w:rPr>
        <w:t>ó</w:t>
      </w:r>
      <w:r>
        <w:rPr>
          <w:spacing w:val="-5"/>
          <w:sz w:val="18"/>
          <w:szCs w:val="18"/>
          <w:lang w:val="es-ES_tradnl"/>
        </w:rPr>
        <w:t>n u ocupaci</w:t>
      </w:r>
      <w:r>
        <w:rPr>
          <w:rFonts w:cs="Times New Roman"/>
          <w:spacing w:val="-5"/>
          <w:sz w:val="18"/>
          <w:szCs w:val="18"/>
          <w:lang w:val="es-ES_tradnl"/>
        </w:rPr>
        <w:t>ó</w:t>
      </w:r>
      <w:r>
        <w:rPr>
          <w:spacing w:val="-5"/>
          <w:sz w:val="18"/>
          <w:szCs w:val="18"/>
          <w:lang w:val="es-ES_tradnl"/>
        </w:rPr>
        <w:t xml:space="preserve">n del espacio </w:t>
      </w:r>
      <w:r>
        <w:rPr>
          <w:spacing w:val="-7"/>
          <w:sz w:val="18"/>
          <w:szCs w:val="18"/>
          <w:lang w:val="es-ES_tradnl"/>
        </w:rPr>
        <w:t>a</w:t>
      </w:r>
      <w:r>
        <w:rPr>
          <w:rFonts w:cs="Times New Roman"/>
          <w:spacing w:val="-7"/>
          <w:sz w:val="18"/>
          <w:szCs w:val="18"/>
          <w:lang w:val="es-ES_tradnl"/>
        </w:rPr>
        <w:t>é</w:t>
      </w:r>
      <w:r>
        <w:rPr>
          <w:spacing w:val="-7"/>
          <w:sz w:val="18"/>
          <w:szCs w:val="18"/>
          <w:lang w:val="es-ES_tradnl"/>
        </w:rPr>
        <w:t>reo municipal, el uso de la v</w:t>
      </w:r>
      <w:r>
        <w:rPr>
          <w:rFonts w:cs="Times New Roman"/>
          <w:spacing w:val="-7"/>
          <w:sz w:val="18"/>
          <w:szCs w:val="18"/>
          <w:lang w:val="es-ES_tradnl"/>
        </w:rPr>
        <w:t>í</w:t>
      </w:r>
      <w:r>
        <w:rPr>
          <w:spacing w:val="-7"/>
          <w:sz w:val="18"/>
          <w:szCs w:val="18"/>
          <w:lang w:val="es-ES_tradnl"/>
        </w:rPr>
        <w:t>a p</w:t>
      </w:r>
      <w:r>
        <w:rPr>
          <w:rFonts w:cs="Times New Roman"/>
          <w:spacing w:val="-7"/>
          <w:sz w:val="18"/>
          <w:szCs w:val="18"/>
          <w:lang w:val="es-ES_tradnl"/>
        </w:rPr>
        <w:t>ú</w:t>
      </w:r>
      <w:r>
        <w:rPr>
          <w:spacing w:val="-7"/>
          <w:sz w:val="18"/>
          <w:szCs w:val="18"/>
          <w:lang w:val="es-ES_tradnl"/>
        </w:rPr>
        <w:t xml:space="preserve">blica, suelo y subsuelo </w:t>
      </w:r>
      <w:r>
        <w:rPr>
          <w:spacing w:val="-5"/>
          <w:sz w:val="18"/>
          <w:szCs w:val="18"/>
          <w:lang w:val="es-ES_tradnl"/>
        </w:rPr>
        <w:t>en el cant</w:t>
      </w:r>
      <w:r>
        <w:rPr>
          <w:rFonts w:cs="Times New Roman"/>
          <w:spacing w:val="-5"/>
          <w:sz w:val="18"/>
          <w:szCs w:val="18"/>
          <w:lang w:val="es-ES_tradnl"/>
        </w:rPr>
        <w:t>ó</w:t>
      </w:r>
      <w:r>
        <w:rPr>
          <w:spacing w:val="-5"/>
          <w:sz w:val="18"/>
          <w:szCs w:val="18"/>
          <w:lang w:val="es-ES_tradnl"/>
        </w:rPr>
        <w:t xml:space="preserve">n San Francisco de Puebloviejo, publicada en </w:t>
      </w:r>
      <w:r>
        <w:rPr>
          <w:spacing w:val="-8"/>
          <w:sz w:val="18"/>
          <w:szCs w:val="18"/>
          <w:lang w:val="es-ES_tradnl"/>
        </w:rPr>
        <w:t>el Registro Oficial N.</w:t>
      </w:r>
      <w:r>
        <w:rPr>
          <w:rFonts w:cs="Times New Roman"/>
          <w:spacing w:val="-8"/>
          <w:sz w:val="18"/>
          <w:szCs w:val="18"/>
          <w:lang w:val="es-ES_tradnl"/>
        </w:rPr>
        <w:t>º</w:t>
      </w:r>
      <w:r>
        <w:rPr>
          <w:spacing w:val="-8"/>
          <w:sz w:val="18"/>
          <w:szCs w:val="18"/>
          <w:lang w:val="es-ES_tradnl"/>
        </w:rPr>
        <w:t xml:space="preserve"> 594 del 12 de diciembre de 2011, se </w:t>
      </w:r>
      <w:r>
        <w:rPr>
          <w:spacing w:val="-5"/>
          <w:sz w:val="18"/>
          <w:szCs w:val="18"/>
          <w:lang w:val="es-ES_tradnl"/>
        </w:rPr>
        <w:t>ha contravenido disposiciones constitucionales.</w:t>
      </w:r>
    </w:p>
    <w:p w14:paraId="4F67A88C" w14:textId="77777777" w:rsidR="00591D54" w:rsidRDefault="00591D54">
      <w:pPr>
        <w:shd w:val="clear" w:color="auto" w:fill="FFFFFF"/>
        <w:spacing w:before="240" w:line="230" w:lineRule="exact"/>
        <w:jc w:val="both"/>
      </w:pPr>
      <w:r>
        <w:rPr>
          <w:spacing w:val="-5"/>
          <w:sz w:val="18"/>
          <w:szCs w:val="18"/>
          <w:lang w:val="es-ES_tradnl"/>
        </w:rPr>
        <w:t>Es as</w:t>
      </w:r>
      <w:r>
        <w:rPr>
          <w:rFonts w:cs="Times New Roman"/>
          <w:spacing w:val="-5"/>
          <w:sz w:val="18"/>
          <w:szCs w:val="18"/>
          <w:lang w:val="es-ES_tradnl"/>
        </w:rPr>
        <w:t>í</w:t>
      </w:r>
      <w:r>
        <w:rPr>
          <w:spacing w:val="-5"/>
          <w:sz w:val="18"/>
          <w:szCs w:val="18"/>
          <w:lang w:val="es-ES_tradnl"/>
        </w:rPr>
        <w:t xml:space="preserve">, que para continuar con el estudio del caso es </w:t>
      </w:r>
      <w:r>
        <w:rPr>
          <w:spacing w:val="-4"/>
          <w:sz w:val="18"/>
          <w:szCs w:val="18"/>
          <w:lang w:val="es-ES_tradnl"/>
        </w:rPr>
        <w:t>pertinente abordar el an</w:t>
      </w:r>
      <w:r>
        <w:rPr>
          <w:rFonts w:cs="Times New Roman"/>
          <w:spacing w:val="-4"/>
          <w:sz w:val="18"/>
          <w:szCs w:val="18"/>
          <w:lang w:val="es-ES_tradnl"/>
        </w:rPr>
        <w:t>á</w:t>
      </w:r>
      <w:r>
        <w:rPr>
          <w:spacing w:val="-4"/>
          <w:sz w:val="18"/>
          <w:szCs w:val="18"/>
          <w:lang w:val="es-ES_tradnl"/>
        </w:rPr>
        <w:t xml:space="preserve">lisis de los siguientes aspectos </w:t>
      </w:r>
      <w:r>
        <w:rPr>
          <w:spacing w:val="-5"/>
          <w:sz w:val="18"/>
          <w:szCs w:val="18"/>
          <w:lang w:val="es-ES_tradnl"/>
        </w:rPr>
        <w:t xml:space="preserve">de la ordenanza impugnada a fin de resolver si existe </w:t>
      </w:r>
      <w:r>
        <w:rPr>
          <w:spacing w:val="-3"/>
          <w:sz w:val="18"/>
          <w:szCs w:val="18"/>
          <w:lang w:val="es-ES_tradnl"/>
        </w:rPr>
        <w:t xml:space="preserve">inconstitucionalidad o no en el contenido de la misma, </w:t>
      </w:r>
      <w:r>
        <w:rPr>
          <w:sz w:val="18"/>
          <w:szCs w:val="18"/>
          <w:lang w:val="es-ES_tradnl"/>
        </w:rPr>
        <w:t>para lo cual se detallan a continuaci</w:t>
      </w:r>
      <w:r>
        <w:rPr>
          <w:rFonts w:cs="Times New Roman"/>
          <w:sz w:val="18"/>
          <w:szCs w:val="18"/>
          <w:lang w:val="es-ES_tradnl"/>
        </w:rPr>
        <w:t>ó</w:t>
      </w:r>
      <w:r>
        <w:rPr>
          <w:sz w:val="18"/>
          <w:szCs w:val="18"/>
          <w:lang w:val="es-ES_tradnl"/>
        </w:rPr>
        <w:t>n:</w:t>
      </w:r>
    </w:p>
    <w:p w14:paraId="4F67A88D" w14:textId="77777777" w:rsidR="00591D54" w:rsidRDefault="00591D54">
      <w:pPr>
        <w:shd w:val="clear" w:color="auto" w:fill="FFFFFF"/>
        <w:spacing w:before="240" w:line="230" w:lineRule="exact"/>
        <w:jc w:val="both"/>
      </w:pPr>
      <w:r>
        <w:rPr>
          <w:b/>
          <w:bCs/>
          <w:spacing w:val="-7"/>
          <w:sz w:val="18"/>
          <w:szCs w:val="18"/>
          <w:lang w:val="es-ES_tradnl"/>
        </w:rPr>
        <w:t>Sobre la competencia del Gobierno Aut</w:t>
      </w:r>
      <w:r>
        <w:rPr>
          <w:rFonts w:cs="Times New Roman"/>
          <w:b/>
          <w:bCs/>
          <w:spacing w:val="-7"/>
          <w:sz w:val="18"/>
          <w:szCs w:val="18"/>
          <w:lang w:val="es-ES_tradnl"/>
        </w:rPr>
        <w:t>ó</w:t>
      </w:r>
      <w:r>
        <w:rPr>
          <w:b/>
          <w:bCs/>
          <w:spacing w:val="-7"/>
          <w:sz w:val="18"/>
          <w:szCs w:val="18"/>
          <w:lang w:val="es-ES_tradnl"/>
        </w:rPr>
        <w:t xml:space="preserve">nomo </w:t>
      </w:r>
      <w:r>
        <w:rPr>
          <w:b/>
          <w:bCs/>
          <w:spacing w:val="-5"/>
          <w:sz w:val="18"/>
          <w:szCs w:val="18"/>
          <w:lang w:val="es-ES_tradnl"/>
        </w:rPr>
        <w:t>Descentralizado Municipal del cant</w:t>
      </w:r>
      <w:r>
        <w:rPr>
          <w:rFonts w:cs="Times New Roman"/>
          <w:b/>
          <w:bCs/>
          <w:spacing w:val="-5"/>
          <w:sz w:val="18"/>
          <w:szCs w:val="18"/>
          <w:lang w:val="es-ES_tradnl"/>
        </w:rPr>
        <w:t>ó</w:t>
      </w:r>
      <w:r>
        <w:rPr>
          <w:b/>
          <w:bCs/>
          <w:spacing w:val="-5"/>
          <w:sz w:val="18"/>
          <w:szCs w:val="18"/>
          <w:lang w:val="es-ES_tradnl"/>
        </w:rPr>
        <w:t xml:space="preserve">n San Francisco de Puebloviejo, para establecer mediante ordenanza </w:t>
      </w:r>
      <w:r>
        <w:rPr>
          <w:b/>
          <w:bCs/>
          <w:spacing w:val="-8"/>
          <w:sz w:val="18"/>
          <w:szCs w:val="18"/>
          <w:lang w:val="es-ES_tradnl"/>
        </w:rPr>
        <w:t>la utilizaci</w:t>
      </w:r>
      <w:r>
        <w:rPr>
          <w:rFonts w:cs="Times New Roman"/>
          <w:b/>
          <w:bCs/>
          <w:spacing w:val="-8"/>
          <w:sz w:val="18"/>
          <w:szCs w:val="18"/>
          <w:lang w:val="es-ES_tradnl"/>
        </w:rPr>
        <w:t>ó</w:t>
      </w:r>
      <w:r>
        <w:rPr>
          <w:b/>
          <w:bCs/>
          <w:spacing w:val="-8"/>
          <w:sz w:val="18"/>
          <w:szCs w:val="18"/>
          <w:lang w:val="es-ES_tradnl"/>
        </w:rPr>
        <w:t>n del espectro radioel</w:t>
      </w:r>
      <w:r>
        <w:rPr>
          <w:rFonts w:cs="Times New Roman"/>
          <w:b/>
          <w:bCs/>
          <w:spacing w:val="-8"/>
          <w:sz w:val="18"/>
          <w:szCs w:val="18"/>
          <w:lang w:val="es-ES_tradnl"/>
        </w:rPr>
        <w:t>é</w:t>
      </w:r>
      <w:r>
        <w:rPr>
          <w:b/>
          <w:bCs/>
          <w:spacing w:val="-8"/>
          <w:sz w:val="18"/>
          <w:szCs w:val="18"/>
          <w:lang w:val="es-ES_tradnl"/>
        </w:rPr>
        <w:t xml:space="preserve">ctrico (frecuencias y </w:t>
      </w:r>
      <w:r>
        <w:rPr>
          <w:b/>
          <w:bCs/>
          <w:sz w:val="18"/>
          <w:szCs w:val="18"/>
          <w:lang w:val="es-ES_tradnl"/>
        </w:rPr>
        <w:t>radiaciones no ionizadas)</w:t>
      </w:r>
    </w:p>
    <w:p w14:paraId="4F67A88E" w14:textId="77777777" w:rsidR="00591D54" w:rsidRDefault="00591D54">
      <w:pPr>
        <w:shd w:val="clear" w:color="auto" w:fill="FFFFFF"/>
        <w:spacing w:before="240" w:line="230" w:lineRule="exact"/>
        <w:jc w:val="both"/>
      </w:pPr>
      <w:r>
        <w:rPr>
          <w:sz w:val="18"/>
          <w:szCs w:val="18"/>
          <w:lang w:val="es-ES_tradnl"/>
        </w:rPr>
        <w:t>Seg</w:t>
      </w:r>
      <w:r>
        <w:rPr>
          <w:rFonts w:cs="Times New Roman"/>
          <w:sz w:val="18"/>
          <w:szCs w:val="18"/>
          <w:lang w:val="es-ES_tradnl"/>
        </w:rPr>
        <w:t>ú</w:t>
      </w:r>
      <w:r>
        <w:rPr>
          <w:sz w:val="18"/>
          <w:szCs w:val="18"/>
          <w:lang w:val="es-ES_tradnl"/>
        </w:rPr>
        <w:t>n el art</w:t>
      </w:r>
      <w:r>
        <w:rPr>
          <w:rFonts w:cs="Times New Roman"/>
          <w:sz w:val="18"/>
          <w:szCs w:val="18"/>
          <w:lang w:val="es-ES_tradnl"/>
        </w:rPr>
        <w:t>í</w:t>
      </w:r>
      <w:r>
        <w:rPr>
          <w:sz w:val="18"/>
          <w:szCs w:val="18"/>
          <w:lang w:val="es-ES_tradnl"/>
        </w:rPr>
        <w:t>culo 261 numeral 10 de 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 xml:space="preserve">blica del Ecuador el Estado central </w:t>
      </w:r>
      <w:r>
        <w:rPr>
          <w:spacing w:val="-4"/>
          <w:sz w:val="18"/>
          <w:szCs w:val="18"/>
          <w:lang w:val="es-ES_tradnl"/>
        </w:rPr>
        <w:t>tendr</w:t>
      </w:r>
      <w:r>
        <w:rPr>
          <w:rFonts w:cs="Times New Roman"/>
          <w:spacing w:val="-4"/>
          <w:sz w:val="18"/>
          <w:szCs w:val="18"/>
          <w:lang w:val="es-ES_tradnl"/>
        </w:rPr>
        <w:t>á</w:t>
      </w:r>
      <w:r>
        <w:rPr>
          <w:spacing w:val="-4"/>
          <w:sz w:val="18"/>
          <w:szCs w:val="18"/>
          <w:lang w:val="es-ES_tradnl"/>
        </w:rPr>
        <w:t xml:space="preserve"> competencias exclusivas sobre el espectro </w:t>
      </w:r>
      <w:r>
        <w:rPr>
          <w:spacing w:val="-1"/>
          <w:sz w:val="18"/>
          <w:szCs w:val="18"/>
          <w:lang w:val="es-ES_tradnl"/>
        </w:rPr>
        <w:t>radioel</w:t>
      </w:r>
      <w:r>
        <w:rPr>
          <w:rFonts w:cs="Times New Roman"/>
          <w:spacing w:val="-1"/>
          <w:sz w:val="18"/>
          <w:szCs w:val="18"/>
          <w:lang w:val="es-ES_tradnl"/>
        </w:rPr>
        <w:t>é</w:t>
      </w:r>
      <w:r>
        <w:rPr>
          <w:spacing w:val="-1"/>
          <w:sz w:val="18"/>
          <w:szCs w:val="18"/>
          <w:lang w:val="es-ES_tradnl"/>
        </w:rPr>
        <w:t>ctrico y el r</w:t>
      </w:r>
      <w:r>
        <w:rPr>
          <w:rFonts w:cs="Times New Roman"/>
          <w:spacing w:val="-1"/>
          <w:sz w:val="18"/>
          <w:szCs w:val="18"/>
          <w:lang w:val="es-ES_tradnl"/>
        </w:rPr>
        <w:t>é</w:t>
      </w:r>
      <w:r>
        <w:rPr>
          <w:spacing w:val="-1"/>
          <w:sz w:val="18"/>
          <w:szCs w:val="18"/>
          <w:lang w:val="es-ES_tradnl"/>
        </w:rPr>
        <w:t xml:space="preserve">gimen general de comunicaciones </w:t>
      </w:r>
      <w:r>
        <w:rPr>
          <w:spacing w:val="-4"/>
          <w:sz w:val="18"/>
          <w:szCs w:val="18"/>
          <w:lang w:val="es-ES_tradnl"/>
        </w:rPr>
        <w:t xml:space="preserve">y telecomunicaciones; es decir, que le corresponde al </w:t>
      </w:r>
      <w:r>
        <w:rPr>
          <w:spacing w:val="-3"/>
          <w:sz w:val="18"/>
          <w:szCs w:val="18"/>
          <w:lang w:val="es-ES_tradnl"/>
        </w:rPr>
        <w:t>Estado central a trav</w:t>
      </w:r>
      <w:r>
        <w:rPr>
          <w:rFonts w:cs="Times New Roman"/>
          <w:spacing w:val="-3"/>
          <w:sz w:val="18"/>
          <w:szCs w:val="18"/>
          <w:lang w:val="es-ES_tradnl"/>
        </w:rPr>
        <w:t>é</w:t>
      </w:r>
      <w:r>
        <w:rPr>
          <w:spacing w:val="-3"/>
          <w:sz w:val="18"/>
          <w:szCs w:val="18"/>
          <w:lang w:val="es-ES_tradnl"/>
        </w:rPr>
        <w:t>s de la Funci</w:t>
      </w:r>
      <w:r>
        <w:rPr>
          <w:rFonts w:cs="Times New Roman"/>
          <w:spacing w:val="-3"/>
          <w:sz w:val="18"/>
          <w:szCs w:val="18"/>
          <w:lang w:val="es-ES_tradnl"/>
        </w:rPr>
        <w:t>ó</w:t>
      </w:r>
      <w:r>
        <w:rPr>
          <w:spacing w:val="-3"/>
          <w:sz w:val="18"/>
          <w:szCs w:val="18"/>
          <w:lang w:val="es-ES_tradnl"/>
        </w:rPr>
        <w:t xml:space="preserve">n Ejecutiva, asumir </w:t>
      </w:r>
      <w:r>
        <w:rPr>
          <w:spacing w:val="-5"/>
          <w:sz w:val="18"/>
          <w:szCs w:val="18"/>
          <w:lang w:val="es-ES_tradnl"/>
        </w:rPr>
        <w:t xml:space="preserve">la competencia exclusiva, entre otras, del espectro </w:t>
      </w:r>
      <w:r>
        <w:rPr>
          <w:spacing w:val="-1"/>
          <w:sz w:val="18"/>
          <w:szCs w:val="18"/>
          <w:lang w:val="es-ES_tradnl"/>
        </w:rPr>
        <w:t>radioel</w:t>
      </w:r>
      <w:r>
        <w:rPr>
          <w:rFonts w:cs="Times New Roman"/>
          <w:spacing w:val="-1"/>
          <w:sz w:val="18"/>
          <w:szCs w:val="18"/>
          <w:lang w:val="es-ES_tradnl"/>
        </w:rPr>
        <w:t>é</w:t>
      </w:r>
      <w:r>
        <w:rPr>
          <w:spacing w:val="-1"/>
          <w:sz w:val="18"/>
          <w:szCs w:val="18"/>
          <w:lang w:val="es-ES_tradnl"/>
        </w:rPr>
        <w:t>ctrico y el r</w:t>
      </w:r>
      <w:r>
        <w:rPr>
          <w:rFonts w:cs="Times New Roman"/>
          <w:spacing w:val="-1"/>
          <w:sz w:val="18"/>
          <w:szCs w:val="18"/>
          <w:lang w:val="es-ES_tradnl"/>
        </w:rPr>
        <w:t>é</w:t>
      </w:r>
      <w:r>
        <w:rPr>
          <w:spacing w:val="-1"/>
          <w:sz w:val="18"/>
          <w:szCs w:val="18"/>
          <w:lang w:val="es-ES_tradnl"/>
        </w:rPr>
        <w:t xml:space="preserve">gimen general de comunicaciones </w:t>
      </w:r>
      <w:r>
        <w:rPr>
          <w:spacing w:val="-6"/>
          <w:sz w:val="18"/>
          <w:szCs w:val="18"/>
          <w:lang w:val="es-ES_tradnl"/>
        </w:rPr>
        <w:t xml:space="preserve">y telecomunicaciones, para lo cual es necesario crear </w:t>
      </w:r>
      <w:r>
        <w:rPr>
          <w:spacing w:val="-8"/>
          <w:sz w:val="18"/>
          <w:szCs w:val="18"/>
          <w:lang w:val="es-ES_tradnl"/>
        </w:rPr>
        <w:t xml:space="preserve">organismos que ejerzan la facultad reguladora y de control, </w:t>
      </w:r>
      <w:r>
        <w:rPr>
          <w:spacing w:val="-7"/>
          <w:sz w:val="18"/>
          <w:szCs w:val="18"/>
          <w:lang w:val="es-ES_tradnl"/>
        </w:rPr>
        <w:t>que en el presente caso dicha facultad est</w:t>
      </w:r>
      <w:r>
        <w:rPr>
          <w:rFonts w:cs="Times New Roman"/>
          <w:spacing w:val="-7"/>
          <w:sz w:val="18"/>
          <w:szCs w:val="18"/>
          <w:lang w:val="es-ES_tradnl"/>
        </w:rPr>
        <w:t>á</w:t>
      </w:r>
      <w:r>
        <w:rPr>
          <w:spacing w:val="-7"/>
          <w:sz w:val="18"/>
          <w:szCs w:val="18"/>
          <w:lang w:val="es-ES_tradnl"/>
        </w:rPr>
        <w:t xml:space="preserve"> otorgada en la </w:t>
      </w:r>
      <w:r>
        <w:rPr>
          <w:spacing w:val="-4"/>
          <w:sz w:val="18"/>
          <w:szCs w:val="18"/>
          <w:lang w:val="es-ES_tradnl"/>
        </w:rPr>
        <w:t>actualidad a la Agencia de Regulaci</w:t>
      </w:r>
      <w:r>
        <w:rPr>
          <w:rFonts w:cs="Times New Roman"/>
          <w:spacing w:val="-4"/>
          <w:sz w:val="18"/>
          <w:szCs w:val="18"/>
          <w:lang w:val="es-ES_tradnl"/>
        </w:rPr>
        <w:t>ó</w:t>
      </w:r>
      <w:r>
        <w:rPr>
          <w:spacing w:val="-4"/>
          <w:sz w:val="18"/>
          <w:szCs w:val="18"/>
          <w:lang w:val="es-ES_tradnl"/>
        </w:rPr>
        <w:t xml:space="preserve">n y Control de las </w:t>
      </w:r>
      <w:r>
        <w:rPr>
          <w:spacing w:val="-2"/>
          <w:sz w:val="18"/>
          <w:szCs w:val="18"/>
          <w:lang w:val="es-ES_tradnl"/>
        </w:rPr>
        <w:t xml:space="preserve">Telecomunicaciones, que anteriormente se encontraba </w:t>
      </w:r>
      <w:r>
        <w:rPr>
          <w:spacing w:val="-4"/>
          <w:sz w:val="18"/>
          <w:szCs w:val="18"/>
          <w:lang w:val="es-ES_tradnl"/>
        </w:rPr>
        <w:t xml:space="preserve">a cargo del Consejo Nacional de Telecomunicaciones y </w:t>
      </w:r>
      <w:r>
        <w:rPr>
          <w:spacing w:val="-6"/>
          <w:sz w:val="18"/>
          <w:szCs w:val="18"/>
          <w:lang w:val="es-ES_tradnl"/>
        </w:rPr>
        <w:t>de la Secretar</w:t>
      </w:r>
      <w:r>
        <w:rPr>
          <w:rFonts w:cs="Times New Roman"/>
          <w:spacing w:val="-6"/>
          <w:sz w:val="18"/>
          <w:szCs w:val="18"/>
          <w:lang w:val="es-ES_tradnl"/>
        </w:rPr>
        <w:t>í</w:t>
      </w:r>
      <w:r>
        <w:rPr>
          <w:spacing w:val="-6"/>
          <w:sz w:val="18"/>
          <w:szCs w:val="18"/>
          <w:lang w:val="es-ES_tradnl"/>
        </w:rPr>
        <w:t>a Nacional de Telecomunicaciones, seg</w:t>
      </w:r>
      <w:r>
        <w:rPr>
          <w:rFonts w:cs="Times New Roman"/>
          <w:spacing w:val="-6"/>
          <w:sz w:val="18"/>
          <w:szCs w:val="18"/>
          <w:lang w:val="es-ES_tradnl"/>
        </w:rPr>
        <w:t>ú</w:t>
      </w:r>
      <w:r>
        <w:rPr>
          <w:spacing w:val="-6"/>
          <w:sz w:val="18"/>
          <w:szCs w:val="18"/>
          <w:lang w:val="es-ES_tradnl"/>
        </w:rPr>
        <w:t xml:space="preserve">n </w:t>
      </w:r>
      <w:r>
        <w:rPr>
          <w:spacing w:val="-7"/>
          <w:sz w:val="18"/>
          <w:szCs w:val="18"/>
          <w:lang w:val="es-ES_tradnl"/>
        </w:rPr>
        <w:t xml:space="preserve">las normas contempladas en la entonces Ley Especial de </w:t>
      </w:r>
      <w:r>
        <w:rPr>
          <w:sz w:val="18"/>
          <w:szCs w:val="18"/>
          <w:lang w:val="es-ES_tradnl"/>
        </w:rPr>
        <w:t>Telecomunicaciones.</w:t>
      </w:r>
    </w:p>
    <w:p w14:paraId="4F67A88F" w14:textId="77777777" w:rsidR="00591D54" w:rsidRDefault="00591D54">
      <w:pPr>
        <w:shd w:val="clear" w:color="auto" w:fill="FFFFFF"/>
        <w:spacing w:line="216" w:lineRule="exact"/>
        <w:jc w:val="both"/>
      </w:pPr>
      <w:r>
        <w:br w:type="column"/>
      </w:r>
      <w:r>
        <w:rPr>
          <w:spacing w:val="-8"/>
          <w:sz w:val="18"/>
          <w:szCs w:val="18"/>
          <w:lang w:val="es-ES_tradnl"/>
        </w:rPr>
        <w:t>En este sentido, la Corte Constitucional, para el per</w:t>
      </w:r>
      <w:r>
        <w:rPr>
          <w:rFonts w:cs="Times New Roman"/>
          <w:spacing w:val="-8"/>
          <w:sz w:val="18"/>
          <w:szCs w:val="18"/>
          <w:lang w:val="es-ES_tradnl"/>
        </w:rPr>
        <w:t>í</w:t>
      </w:r>
      <w:r>
        <w:rPr>
          <w:spacing w:val="-8"/>
          <w:sz w:val="18"/>
          <w:szCs w:val="18"/>
          <w:lang w:val="es-ES_tradnl"/>
        </w:rPr>
        <w:t xml:space="preserve">odo de </w:t>
      </w:r>
      <w:r>
        <w:rPr>
          <w:spacing w:val="-7"/>
          <w:sz w:val="18"/>
          <w:szCs w:val="18"/>
          <w:lang w:val="es-ES_tradnl"/>
        </w:rPr>
        <w:t>transici</w:t>
      </w:r>
      <w:r>
        <w:rPr>
          <w:rFonts w:cs="Times New Roman"/>
          <w:spacing w:val="-7"/>
          <w:sz w:val="18"/>
          <w:szCs w:val="18"/>
          <w:lang w:val="es-ES_tradnl"/>
        </w:rPr>
        <w:t>ó</w:t>
      </w:r>
      <w:r>
        <w:rPr>
          <w:spacing w:val="-7"/>
          <w:sz w:val="18"/>
          <w:szCs w:val="18"/>
          <w:lang w:val="es-ES_tradnl"/>
        </w:rPr>
        <w:t>n, en sentencia interpretativa N.</w:t>
      </w:r>
      <w:r>
        <w:rPr>
          <w:rFonts w:cs="Times New Roman"/>
          <w:spacing w:val="-7"/>
          <w:sz w:val="18"/>
          <w:szCs w:val="18"/>
          <w:lang w:val="es-ES_tradnl"/>
        </w:rPr>
        <w:t>º</w:t>
      </w:r>
      <w:r>
        <w:rPr>
          <w:spacing w:val="-7"/>
          <w:sz w:val="18"/>
          <w:szCs w:val="18"/>
          <w:lang w:val="es-ES_tradnl"/>
        </w:rPr>
        <w:t xml:space="preserve"> 006-09-SIC-CC</w:t>
      </w:r>
      <w:r>
        <w:rPr>
          <w:spacing w:val="-7"/>
          <w:sz w:val="18"/>
          <w:szCs w:val="18"/>
          <w:vertAlign w:val="superscript"/>
          <w:lang w:val="es-ES_tradnl"/>
        </w:rPr>
        <w:t xml:space="preserve">2 </w:t>
      </w:r>
      <w:r>
        <w:rPr>
          <w:spacing w:val="-8"/>
          <w:sz w:val="18"/>
          <w:szCs w:val="18"/>
          <w:lang w:val="es-ES_tradnl"/>
        </w:rPr>
        <w:t>del 01 de octubre del 2009, ha establecido que:</w:t>
      </w:r>
    </w:p>
    <w:p w14:paraId="4F67A890" w14:textId="77777777" w:rsidR="00591D54" w:rsidRDefault="00591D54">
      <w:pPr>
        <w:shd w:val="clear" w:color="auto" w:fill="FFFFFF"/>
        <w:spacing w:before="202" w:line="216" w:lineRule="exact"/>
        <w:ind w:left="283" w:right="5"/>
        <w:jc w:val="both"/>
      </w:pPr>
      <w:r>
        <w:rPr>
          <w:spacing w:val="-5"/>
          <w:sz w:val="16"/>
          <w:szCs w:val="16"/>
          <w:lang w:val="es-ES_tradnl"/>
        </w:rPr>
        <w:t>[</w:t>
      </w:r>
      <w:r>
        <w:rPr>
          <w:rFonts w:cs="Times New Roman"/>
          <w:spacing w:val="-5"/>
          <w:sz w:val="16"/>
          <w:szCs w:val="16"/>
          <w:lang w:val="es-ES_tradnl"/>
        </w:rPr>
        <w:t>…</w:t>
      </w:r>
      <w:r>
        <w:rPr>
          <w:spacing w:val="-5"/>
          <w:sz w:val="16"/>
          <w:szCs w:val="16"/>
          <w:lang w:val="es-ES_tradnl"/>
        </w:rPr>
        <w:t>] el espectro radioel</w:t>
      </w:r>
      <w:r>
        <w:rPr>
          <w:rFonts w:cs="Times New Roman"/>
          <w:spacing w:val="-5"/>
          <w:sz w:val="16"/>
          <w:szCs w:val="16"/>
          <w:lang w:val="es-ES_tradnl"/>
        </w:rPr>
        <w:t>é</w:t>
      </w:r>
      <w:r>
        <w:rPr>
          <w:spacing w:val="-5"/>
          <w:sz w:val="16"/>
          <w:szCs w:val="16"/>
          <w:lang w:val="es-ES_tradnl"/>
        </w:rPr>
        <w:t>ctrico no s</w:t>
      </w:r>
      <w:r>
        <w:rPr>
          <w:rFonts w:cs="Times New Roman"/>
          <w:spacing w:val="-5"/>
          <w:sz w:val="16"/>
          <w:szCs w:val="16"/>
          <w:lang w:val="es-ES_tradnl"/>
        </w:rPr>
        <w:t>ó</w:t>
      </w:r>
      <w:r>
        <w:rPr>
          <w:spacing w:val="-5"/>
          <w:sz w:val="16"/>
          <w:szCs w:val="16"/>
          <w:lang w:val="es-ES_tradnl"/>
        </w:rPr>
        <w:t xml:space="preserve">lo debe ser considerado </w:t>
      </w:r>
      <w:r>
        <w:rPr>
          <w:spacing w:val="-4"/>
          <w:sz w:val="16"/>
          <w:szCs w:val="16"/>
          <w:lang w:val="es-ES_tradnl"/>
        </w:rPr>
        <w:t>como un recurso natural (Art. 408), sino tambi</w:t>
      </w:r>
      <w:r>
        <w:rPr>
          <w:rFonts w:cs="Times New Roman"/>
          <w:spacing w:val="-4"/>
          <w:sz w:val="16"/>
          <w:szCs w:val="16"/>
          <w:lang w:val="es-ES_tradnl"/>
        </w:rPr>
        <w:t>é</w:t>
      </w:r>
      <w:r>
        <w:rPr>
          <w:spacing w:val="-4"/>
          <w:sz w:val="16"/>
          <w:szCs w:val="16"/>
          <w:lang w:val="es-ES_tradnl"/>
        </w:rPr>
        <w:t xml:space="preserve">n como un </w:t>
      </w:r>
      <w:r>
        <w:rPr>
          <w:spacing w:val="-3"/>
          <w:sz w:val="16"/>
          <w:szCs w:val="16"/>
          <w:lang w:val="es-ES_tradnl"/>
        </w:rPr>
        <w:t>sector estrat</w:t>
      </w:r>
      <w:r>
        <w:rPr>
          <w:rFonts w:cs="Times New Roman"/>
          <w:spacing w:val="-3"/>
          <w:sz w:val="16"/>
          <w:szCs w:val="16"/>
          <w:lang w:val="es-ES_tradnl"/>
        </w:rPr>
        <w:t>é</w:t>
      </w:r>
      <w:r>
        <w:rPr>
          <w:spacing w:val="-3"/>
          <w:sz w:val="16"/>
          <w:szCs w:val="16"/>
          <w:lang w:val="es-ES_tradnl"/>
        </w:rPr>
        <w:t>gico (Art. 313 inciso tercero). Y ello resulta apenas l</w:t>
      </w:r>
      <w:r>
        <w:rPr>
          <w:rFonts w:cs="Times New Roman"/>
          <w:spacing w:val="-3"/>
          <w:sz w:val="16"/>
          <w:szCs w:val="16"/>
          <w:lang w:val="es-ES_tradnl"/>
        </w:rPr>
        <w:t>ó</w:t>
      </w:r>
      <w:r>
        <w:rPr>
          <w:spacing w:val="-3"/>
          <w:sz w:val="16"/>
          <w:szCs w:val="16"/>
          <w:lang w:val="es-ES_tradnl"/>
        </w:rPr>
        <w:t xml:space="preserve">gico si consideramos su decisiva infl uencia </w:t>
      </w:r>
      <w:r>
        <w:rPr>
          <w:spacing w:val="-2"/>
          <w:sz w:val="16"/>
          <w:szCs w:val="16"/>
          <w:lang w:val="es-ES_tradnl"/>
        </w:rPr>
        <w:t>econ</w:t>
      </w:r>
      <w:r>
        <w:rPr>
          <w:rFonts w:cs="Times New Roman"/>
          <w:spacing w:val="-2"/>
          <w:sz w:val="16"/>
          <w:szCs w:val="16"/>
          <w:lang w:val="es-ES_tradnl"/>
        </w:rPr>
        <w:t>ó</w:t>
      </w:r>
      <w:r>
        <w:rPr>
          <w:spacing w:val="-2"/>
          <w:sz w:val="16"/>
          <w:szCs w:val="16"/>
          <w:lang w:val="es-ES_tradnl"/>
        </w:rPr>
        <w:t>mica, social, pol</w:t>
      </w:r>
      <w:r>
        <w:rPr>
          <w:rFonts w:cs="Times New Roman"/>
          <w:spacing w:val="-2"/>
          <w:sz w:val="16"/>
          <w:szCs w:val="16"/>
          <w:lang w:val="es-ES_tradnl"/>
        </w:rPr>
        <w:t>í</w:t>
      </w:r>
      <w:r>
        <w:rPr>
          <w:spacing w:val="-2"/>
          <w:sz w:val="16"/>
          <w:szCs w:val="16"/>
          <w:lang w:val="es-ES_tradnl"/>
        </w:rPr>
        <w:t xml:space="preserve">tica y ambiental. Por otro lado, la </w:t>
      </w:r>
      <w:r>
        <w:rPr>
          <w:sz w:val="16"/>
          <w:szCs w:val="16"/>
          <w:lang w:val="es-ES_tradnl"/>
        </w:rPr>
        <w:t>misma disposici</w:t>
      </w:r>
      <w:r>
        <w:rPr>
          <w:rFonts w:cs="Times New Roman"/>
          <w:sz w:val="16"/>
          <w:szCs w:val="16"/>
          <w:lang w:val="es-ES_tradnl"/>
        </w:rPr>
        <w:t>ó</w:t>
      </w:r>
      <w:r>
        <w:rPr>
          <w:sz w:val="16"/>
          <w:szCs w:val="16"/>
          <w:lang w:val="es-ES_tradnl"/>
        </w:rPr>
        <w:t>n constitucional (Art</w:t>
      </w:r>
      <w:r>
        <w:rPr>
          <w:rFonts w:cs="Times New Roman"/>
          <w:sz w:val="16"/>
          <w:szCs w:val="16"/>
          <w:lang w:val="es-ES_tradnl"/>
        </w:rPr>
        <w:t>í</w:t>
      </w:r>
      <w:r>
        <w:rPr>
          <w:sz w:val="16"/>
          <w:szCs w:val="16"/>
          <w:lang w:val="es-ES_tradnl"/>
        </w:rPr>
        <w:t xml:space="preserve">culo 313 inciso </w:t>
      </w:r>
      <w:r>
        <w:rPr>
          <w:spacing w:val="-6"/>
          <w:sz w:val="16"/>
          <w:szCs w:val="16"/>
          <w:lang w:val="es-ES_tradnl"/>
        </w:rPr>
        <w:t>tercero), consagra a las telecomunicaciones, medio a trav</w:t>
      </w:r>
      <w:r>
        <w:rPr>
          <w:rFonts w:cs="Times New Roman"/>
          <w:spacing w:val="-6"/>
          <w:sz w:val="16"/>
          <w:szCs w:val="16"/>
          <w:lang w:val="es-ES_tradnl"/>
        </w:rPr>
        <w:t>é</w:t>
      </w:r>
      <w:r>
        <w:rPr>
          <w:spacing w:val="-6"/>
          <w:sz w:val="16"/>
          <w:szCs w:val="16"/>
          <w:lang w:val="es-ES_tradnl"/>
        </w:rPr>
        <w:t>s del cual se utiliza el espectro frecuencial radioel</w:t>
      </w:r>
      <w:r>
        <w:rPr>
          <w:rFonts w:cs="Times New Roman"/>
          <w:spacing w:val="-6"/>
          <w:sz w:val="16"/>
          <w:szCs w:val="16"/>
          <w:lang w:val="es-ES_tradnl"/>
        </w:rPr>
        <w:t>é</w:t>
      </w:r>
      <w:r>
        <w:rPr>
          <w:spacing w:val="-6"/>
          <w:sz w:val="16"/>
          <w:szCs w:val="16"/>
          <w:lang w:val="es-ES_tradnl"/>
        </w:rPr>
        <w:t xml:space="preserve">ctrico, como </w:t>
      </w:r>
      <w:r>
        <w:rPr>
          <w:spacing w:val="-9"/>
          <w:sz w:val="16"/>
          <w:szCs w:val="16"/>
          <w:lang w:val="es-ES_tradnl"/>
        </w:rPr>
        <w:t>otro de los sectores estrat</w:t>
      </w:r>
      <w:r>
        <w:rPr>
          <w:rFonts w:cs="Times New Roman"/>
          <w:spacing w:val="-9"/>
          <w:sz w:val="16"/>
          <w:szCs w:val="16"/>
          <w:lang w:val="es-ES_tradnl"/>
        </w:rPr>
        <w:t>é</w:t>
      </w:r>
      <w:r>
        <w:rPr>
          <w:spacing w:val="-9"/>
          <w:sz w:val="16"/>
          <w:szCs w:val="16"/>
          <w:lang w:val="es-ES_tradnl"/>
        </w:rPr>
        <w:t xml:space="preserve">gicos que deben ser administrados, </w:t>
      </w:r>
      <w:r>
        <w:rPr>
          <w:spacing w:val="-3"/>
          <w:sz w:val="16"/>
          <w:szCs w:val="16"/>
          <w:lang w:val="es-ES_tradnl"/>
        </w:rPr>
        <w:t xml:space="preserve">regulados y controlados por el Estado. Es decir, tanto el </w:t>
      </w:r>
      <w:r>
        <w:rPr>
          <w:spacing w:val="-8"/>
          <w:sz w:val="16"/>
          <w:szCs w:val="16"/>
          <w:lang w:val="es-ES_tradnl"/>
        </w:rPr>
        <w:t>recurso natural que persiste sin la necesidad de la intervenci</w:t>
      </w:r>
      <w:r>
        <w:rPr>
          <w:rFonts w:cs="Times New Roman"/>
          <w:spacing w:val="-8"/>
          <w:sz w:val="16"/>
          <w:szCs w:val="16"/>
          <w:lang w:val="es-ES_tradnl"/>
        </w:rPr>
        <w:t>ó</w:t>
      </w:r>
      <w:r>
        <w:rPr>
          <w:spacing w:val="-8"/>
          <w:sz w:val="16"/>
          <w:szCs w:val="16"/>
          <w:lang w:val="es-ES_tradnl"/>
        </w:rPr>
        <w:t>n humana, el espectro radioel</w:t>
      </w:r>
      <w:r>
        <w:rPr>
          <w:rFonts w:cs="Times New Roman"/>
          <w:spacing w:val="-8"/>
          <w:sz w:val="16"/>
          <w:szCs w:val="16"/>
          <w:lang w:val="es-ES_tradnl"/>
        </w:rPr>
        <w:t>é</w:t>
      </w:r>
      <w:r>
        <w:rPr>
          <w:spacing w:val="-8"/>
          <w:sz w:val="16"/>
          <w:szCs w:val="16"/>
          <w:lang w:val="es-ES_tradnl"/>
        </w:rPr>
        <w:t>ctrico, como el uso del mismo, las telecomunicaciones, forman parte del sector estrat</w:t>
      </w:r>
      <w:r>
        <w:rPr>
          <w:rFonts w:cs="Times New Roman"/>
          <w:spacing w:val="-8"/>
          <w:sz w:val="16"/>
          <w:szCs w:val="16"/>
          <w:lang w:val="es-ES_tradnl"/>
        </w:rPr>
        <w:t>é</w:t>
      </w:r>
      <w:r>
        <w:rPr>
          <w:spacing w:val="-8"/>
          <w:sz w:val="16"/>
          <w:szCs w:val="16"/>
          <w:lang w:val="es-ES_tradnl"/>
        </w:rPr>
        <w:t xml:space="preserve">gico estatal, </w:t>
      </w:r>
      <w:r>
        <w:rPr>
          <w:spacing w:val="-10"/>
          <w:sz w:val="16"/>
          <w:szCs w:val="16"/>
          <w:lang w:val="es-ES_tradnl"/>
        </w:rPr>
        <w:t xml:space="preserve">y como consecuencia de ello, forman parte de las competencias </w:t>
      </w:r>
      <w:r>
        <w:rPr>
          <w:spacing w:val="-5"/>
          <w:sz w:val="16"/>
          <w:szCs w:val="16"/>
          <w:lang w:val="es-ES_tradnl"/>
        </w:rPr>
        <w:t>exclusivas del Estado central. [</w:t>
      </w:r>
      <w:r>
        <w:rPr>
          <w:rFonts w:cs="Times New Roman"/>
          <w:spacing w:val="-5"/>
          <w:sz w:val="16"/>
          <w:szCs w:val="16"/>
          <w:lang w:val="es-ES_tradnl"/>
        </w:rPr>
        <w:t>…</w:t>
      </w:r>
      <w:r>
        <w:rPr>
          <w:spacing w:val="-5"/>
          <w:sz w:val="16"/>
          <w:szCs w:val="16"/>
          <w:lang w:val="es-ES_tradnl"/>
        </w:rPr>
        <w:t xml:space="preserve">] Por consiguiente, debe </w:t>
      </w:r>
      <w:r>
        <w:rPr>
          <w:spacing w:val="-7"/>
          <w:sz w:val="16"/>
          <w:szCs w:val="16"/>
          <w:lang w:val="es-ES_tradnl"/>
        </w:rPr>
        <w:t>quedar en claro que el r</w:t>
      </w:r>
      <w:r>
        <w:rPr>
          <w:rFonts w:cs="Times New Roman"/>
          <w:spacing w:val="-7"/>
          <w:sz w:val="16"/>
          <w:szCs w:val="16"/>
          <w:lang w:val="es-ES_tradnl"/>
        </w:rPr>
        <w:t>é</w:t>
      </w:r>
      <w:r>
        <w:rPr>
          <w:spacing w:val="-7"/>
          <w:sz w:val="16"/>
          <w:szCs w:val="16"/>
          <w:lang w:val="es-ES_tradnl"/>
        </w:rPr>
        <w:t xml:space="preserve">gimen general de comunicaciones y </w:t>
      </w:r>
      <w:r>
        <w:rPr>
          <w:spacing w:val="-6"/>
          <w:sz w:val="16"/>
          <w:szCs w:val="16"/>
          <w:lang w:val="es-ES_tradnl"/>
        </w:rPr>
        <w:t xml:space="preserve">telecomunicaciones resulta ser el medio a partir del cual se </w:t>
      </w:r>
      <w:r>
        <w:rPr>
          <w:spacing w:val="-5"/>
          <w:sz w:val="16"/>
          <w:szCs w:val="16"/>
          <w:lang w:val="es-ES_tradnl"/>
        </w:rPr>
        <w:t>utiliza el recurso natural espectro radioel</w:t>
      </w:r>
      <w:r>
        <w:rPr>
          <w:rFonts w:cs="Times New Roman"/>
          <w:spacing w:val="-5"/>
          <w:sz w:val="16"/>
          <w:szCs w:val="16"/>
          <w:lang w:val="es-ES_tradnl"/>
        </w:rPr>
        <w:t>é</w:t>
      </w:r>
      <w:r>
        <w:rPr>
          <w:spacing w:val="-5"/>
          <w:sz w:val="16"/>
          <w:szCs w:val="16"/>
          <w:lang w:val="es-ES_tradnl"/>
        </w:rPr>
        <w:t>ctrico.</w:t>
      </w:r>
    </w:p>
    <w:p w14:paraId="4F67A891" w14:textId="77777777" w:rsidR="00591D54" w:rsidRDefault="00591D54">
      <w:pPr>
        <w:shd w:val="clear" w:color="auto" w:fill="FFFFFF"/>
        <w:spacing w:before="202" w:line="216" w:lineRule="exact"/>
        <w:ind w:right="5"/>
        <w:jc w:val="both"/>
      </w:pPr>
      <w:r>
        <w:rPr>
          <w:spacing w:val="-3"/>
          <w:sz w:val="18"/>
          <w:szCs w:val="18"/>
          <w:lang w:val="es-ES_tradnl"/>
        </w:rPr>
        <w:t>As</w:t>
      </w:r>
      <w:r>
        <w:rPr>
          <w:rFonts w:cs="Times New Roman"/>
          <w:spacing w:val="-3"/>
          <w:sz w:val="18"/>
          <w:szCs w:val="18"/>
          <w:lang w:val="es-ES_tradnl"/>
        </w:rPr>
        <w:t>í</w:t>
      </w:r>
      <w:r>
        <w:rPr>
          <w:spacing w:val="-3"/>
          <w:sz w:val="18"/>
          <w:szCs w:val="18"/>
          <w:lang w:val="es-ES_tradnl"/>
        </w:rPr>
        <w:t xml:space="preserve"> tambi</w:t>
      </w:r>
      <w:r>
        <w:rPr>
          <w:rFonts w:cs="Times New Roman"/>
          <w:spacing w:val="-3"/>
          <w:sz w:val="18"/>
          <w:szCs w:val="18"/>
          <w:lang w:val="es-ES_tradnl"/>
        </w:rPr>
        <w:t>é</w:t>
      </w:r>
      <w:r>
        <w:rPr>
          <w:spacing w:val="-3"/>
          <w:sz w:val="18"/>
          <w:szCs w:val="18"/>
          <w:lang w:val="es-ES_tradnl"/>
        </w:rPr>
        <w:t>n, en la sentencia N.</w:t>
      </w:r>
      <w:r>
        <w:rPr>
          <w:rFonts w:cs="Times New Roman"/>
          <w:spacing w:val="-3"/>
          <w:sz w:val="18"/>
          <w:szCs w:val="18"/>
          <w:lang w:val="es-ES_tradnl"/>
        </w:rPr>
        <w:t>º</w:t>
      </w:r>
      <w:r>
        <w:rPr>
          <w:spacing w:val="-3"/>
          <w:sz w:val="18"/>
          <w:szCs w:val="18"/>
          <w:lang w:val="es-ES_tradnl"/>
        </w:rPr>
        <w:t xml:space="preserve"> 001-12-SIC-CC del 05 </w:t>
      </w:r>
      <w:r>
        <w:rPr>
          <w:spacing w:val="-7"/>
          <w:sz w:val="18"/>
          <w:szCs w:val="18"/>
          <w:lang w:val="es-ES_tradnl"/>
        </w:rPr>
        <w:t>de enero de 2012, la Corte Constitucional, para el per</w:t>
      </w:r>
      <w:r>
        <w:rPr>
          <w:rFonts w:cs="Times New Roman"/>
          <w:spacing w:val="-7"/>
          <w:sz w:val="18"/>
          <w:szCs w:val="18"/>
          <w:lang w:val="es-ES_tradnl"/>
        </w:rPr>
        <w:t>í</w:t>
      </w:r>
      <w:r>
        <w:rPr>
          <w:spacing w:val="-7"/>
          <w:sz w:val="18"/>
          <w:szCs w:val="18"/>
          <w:lang w:val="es-ES_tradnl"/>
        </w:rPr>
        <w:t xml:space="preserve">odo </w:t>
      </w:r>
      <w:r>
        <w:rPr>
          <w:spacing w:val="-5"/>
          <w:sz w:val="18"/>
          <w:szCs w:val="18"/>
          <w:lang w:val="es-ES_tradnl"/>
        </w:rPr>
        <w:t>transici</w:t>
      </w:r>
      <w:r>
        <w:rPr>
          <w:rFonts w:cs="Times New Roman"/>
          <w:spacing w:val="-5"/>
          <w:sz w:val="18"/>
          <w:szCs w:val="18"/>
          <w:lang w:val="es-ES_tradnl"/>
        </w:rPr>
        <w:t>ó</w:t>
      </w:r>
      <w:r>
        <w:rPr>
          <w:spacing w:val="-5"/>
          <w:sz w:val="18"/>
          <w:szCs w:val="18"/>
          <w:lang w:val="es-ES_tradnl"/>
        </w:rPr>
        <w:t>n, ejemplific</w:t>
      </w:r>
      <w:r>
        <w:rPr>
          <w:rFonts w:cs="Times New Roman"/>
          <w:spacing w:val="-5"/>
          <w:sz w:val="18"/>
          <w:szCs w:val="18"/>
          <w:lang w:val="es-ES_tradnl"/>
        </w:rPr>
        <w:t>ó</w:t>
      </w:r>
      <w:r>
        <w:rPr>
          <w:spacing w:val="-5"/>
          <w:sz w:val="18"/>
          <w:szCs w:val="18"/>
          <w:lang w:val="es-ES_tradnl"/>
        </w:rPr>
        <w:t xml:space="preserve"> el caso referente a la gesti</w:t>
      </w:r>
      <w:r>
        <w:rPr>
          <w:rFonts w:cs="Times New Roman"/>
          <w:spacing w:val="-5"/>
          <w:sz w:val="18"/>
          <w:szCs w:val="18"/>
          <w:lang w:val="es-ES_tradnl"/>
        </w:rPr>
        <w:t>ó</w:t>
      </w:r>
      <w:r>
        <w:rPr>
          <w:spacing w:val="-5"/>
          <w:sz w:val="18"/>
          <w:szCs w:val="18"/>
          <w:lang w:val="es-ES_tradnl"/>
        </w:rPr>
        <w:t xml:space="preserve">n del </w:t>
      </w:r>
      <w:r>
        <w:rPr>
          <w:spacing w:val="-7"/>
          <w:sz w:val="18"/>
          <w:szCs w:val="18"/>
          <w:lang w:val="es-ES_tradnl"/>
        </w:rPr>
        <w:t>espectro radioel</w:t>
      </w:r>
      <w:r>
        <w:rPr>
          <w:rFonts w:cs="Times New Roman"/>
          <w:spacing w:val="-7"/>
          <w:sz w:val="18"/>
          <w:szCs w:val="18"/>
          <w:lang w:val="es-ES_tradnl"/>
        </w:rPr>
        <w:t>é</w:t>
      </w:r>
      <w:r>
        <w:rPr>
          <w:spacing w:val="-7"/>
          <w:sz w:val="18"/>
          <w:szCs w:val="18"/>
          <w:lang w:val="es-ES_tradnl"/>
        </w:rPr>
        <w:t>ctrico de la siguiente manera:</w:t>
      </w:r>
    </w:p>
    <w:p w14:paraId="4F67A892" w14:textId="77777777" w:rsidR="00591D54" w:rsidRDefault="00591D54">
      <w:pPr>
        <w:shd w:val="clear" w:color="auto" w:fill="FFFFFF"/>
        <w:spacing w:before="202" w:line="216" w:lineRule="exact"/>
        <w:ind w:left="283" w:right="5"/>
        <w:jc w:val="both"/>
      </w:pPr>
      <w:r>
        <w:rPr>
          <w:sz w:val="16"/>
          <w:szCs w:val="16"/>
          <w:lang w:val="es-ES_tradnl"/>
        </w:rPr>
        <w:t>Por ejemplo, al hablar del espectro radioel</w:t>
      </w:r>
      <w:r>
        <w:rPr>
          <w:rFonts w:cs="Times New Roman"/>
          <w:sz w:val="16"/>
          <w:szCs w:val="16"/>
          <w:lang w:val="es-ES_tradnl"/>
        </w:rPr>
        <w:t>é</w:t>
      </w:r>
      <w:r>
        <w:rPr>
          <w:sz w:val="16"/>
          <w:szCs w:val="16"/>
          <w:lang w:val="es-ES_tradnl"/>
        </w:rPr>
        <w:t xml:space="preserve">ctrico, </w:t>
      </w:r>
      <w:r>
        <w:rPr>
          <w:spacing w:val="-9"/>
          <w:sz w:val="16"/>
          <w:szCs w:val="16"/>
          <w:lang w:val="es-ES_tradnl"/>
        </w:rPr>
        <w:t>corresponder</w:t>
      </w:r>
      <w:r>
        <w:rPr>
          <w:rFonts w:cs="Times New Roman"/>
          <w:spacing w:val="-9"/>
          <w:sz w:val="16"/>
          <w:szCs w:val="16"/>
          <w:lang w:val="es-ES_tradnl"/>
        </w:rPr>
        <w:t>í</w:t>
      </w:r>
      <w:r>
        <w:rPr>
          <w:spacing w:val="-9"/>
          <w:sz w:val="16"/>
          <w:szCs w:val="16"/>
          <w:lang w:val="es-ES_tradnl"/>
        </w:rPr>
        <w:t xml:space="preserve">an al Estado Central las competencias exclusivas </w:t>
      </w:r>
      <w:r>
        <w:rPr>
          <w:spacing w:val="-5"/>
          <w:sz w:val="16"/>
          <w:szCs w:val="16"/>
          <w:lang w:val="es-ES_tradnl"/>
        </w:rPr>
        <w:t xml:space="preserve">sobre el mismo, de conformidad con lo preceptuado por el </w:t>
      </w:r>
      <w:r>
        <w:rPr>
          <w:spacing w:val="-6"/>
          <w:sz w:val="16"/>
          <w:szCs w:val="16"/>
          <w:lang w:val="es-ES_tradnl"/>
        </w:rPr>
        <w:t>numeral 10 del art</w:t>
      </w:r>
      <w:r>
        <w:rPr>
          <w:rFonts w:cs="Times New Roman"/>
          <w:spacing w:val="-6"/>
          <w:sz w:val="16"/>
          <w:szCs w:val="16"/>
          <w:lang w:val="es-ES_tradnl"/>
        </w:rPr>
        <w:t>í</w:t>
      </w:r>
      <w:r>
        <w:rPr>
          <w:spacing w:val="-6"/>
          <w:sz w:val="16"/>
          <w:szCs w:val="16"/>
          <w:lang w:val="es-ES_tradnl"/>
        </w:rPr>
        <w:t xml:space="preserve">culo 261 de la misma Carta Magna; por lo </w:t>
      </w:r>
      <w:r>
        <w:rPr>
          <w:spacing w:val="-8"/>
          <w:sz w:val="16"/>
          <w:szCs w:val="16"/>
          <w:lang w:val="es-ES_tradnl"/>
        </w:rPr>
        <w:t>que solo dicho Estado -enti</w:t>
      </w:r>
      <w:r>
        <w:rPr>
          <w:rFonts w:cs="Times New Roman"/>
          <w:spacing w:val="-8"/>
          <w:sz w:val="16"/>
          <w:szCs w:val="16"/>
          <w:lang w:val="es-ES_tradnl"/>
        </w:rPr>
        <w:t>é</w:t>
      </w:r>
      <w:r>
        <w:rPr>
          <w:spacing w:val="-8"/>
          <w:sz w:val="16"/>
          <w:szCs w:val="16"/>
          <w:lang w:val="es-ES_tradnl"/>
        </w:rPr>
        <w:t>ndase a trav</w:t>
      </w:r>
      <w:r>
        <w:rPr>
          <w:rFonts w:cs="Times New Roman"/>
          <w:spacing w:val="-8"/>
          <w:sz w:val="16"/>
          <w:szCs w:val="16"/>
          <w:lang w:val="es-ES_tradnl"/>
        </w:rPr>
        <w:t>é</w:t>
      </w:r>
      <w:r>
        <w:rPr>
          <w:spacing w:val="-8"/>
          <w:sz w:val="16"/>
          <w:szCs w:val="16"/>
          <w:lang w:val="es-ES_tradnl"/>
        </w:rPr>
        <w:t xml:space="preserve">s de los organismos </w:t>
      </w:r>
      <w:r>
        <w:rPr>
          <w:spacing w:val="-7"/>
          <w:sz w:val="16"/>
          <w:szCs w:val="16"/>
          <w:lang w:val="es-ES_tradnl"/>
        </w:rPr>
        <w:t>pertinentes de regulaci</w:t>
      </w:r>
      <w:r>
        <w:rPr>
          <w:rFonts w:cs="Times New Roman"/>
          <w:spacing w:val="-7"/>
          <w:sz w:val="16"/>
          <w:szCs w:val="16"/>
          <w:lang w:val="es-ES_tradnl"/>
        </w:rPr>
        <w:t>ó</w:t>
      </w:r>
      <w:r>
        <w:rPr>
          <w:spacing w:val="-7"/>
          <w:sz w:val="16"/>
          <w:szCs w:val="16"/>
          <w:lang w:val="es-ES_tradnl"/>
        </w:rPr>
        <w:t xml:space="preserve">n y control creados legalmente para el </w:t>
      </w:r>
      <w:r>
        <w:rPr>
          <w:spacing w:val="-10"/>
          <w:sz w:val="16"/>
          <w:szCs w:val="16"/>
          <w:lang w:val="es-ES_tradnl"/>
        </w:rPr>
        <w:t>efecto- autorizar</w:t>
      </w:r>
      <w:r>
        <w:rPr>
          <w:rFonts w:cs="Times New Roman"/>
          <w:spacing w:val="-10"/>
          <w:sz w:val="16"/>
          <w:szCs w:val="16"/>
          <w:lang w:val="es-ES_tradnl"/>
        </w:rPr>
        <w:t>í</w:t>
      </w:r>
      <w:r>
        <w:rPr>
          <w:spacing w:val="-10"/>
          <w:sz w:val="16"/>
          <w:szCs w:val="16"/>
          <w:lang w:val="es-ES_tradnl"/>
        </w:rPr>
        <w:t>a el uso de frecuencias a las empresas p</w:t>
      </w:r>
      <w:r>
        <w:rPr>
          <w:rFonts w:cs="Times New Roman"/>
          <w:spacing w:val="-10"/>
          <w:sz w:val="16"/>
          <w:szCs w:val="16"/>
          <w:lang w:val="es-ES_tradnl"/>
        </w:rPr>
        <w:t>ú</w:t>
      </w:r>
      <w:r>
        <w:rPr>
          <w:spacing w:val="-10"/>
          <w:sz w:val="16"/>
          <w:szCs w:val="16"/>
          <w:lang w:val="es-ES_tradnl"/>
        </w:rPr>
        <w:t xml:space="preserve">blicas </w:t>
      </w:r>
      <w:r>
        <w:rPr>
          <w:spacing w:val="-8"/>
          <w:sz w:val="16"/>
          <w:szCs w:val="16"/>
          <w:lang w:val="es-ES_tradnl"/>
        </w:rPr>
        <w:t>que las requieran, y solo delegar</w:t>
      </w:r>
      <w:r>
        <w:rPr>
          <w:rFonts w:cs="Times New Roman"/>
          <w:spacing w:val="-8"/>
          <w:sz w:val="16"/>
          <w:szCs w:val="16"/>
          <w:lang w:val="es-ES_tradnl"/>
        </w:rPr>
        <w:t>í</w:t>
      </w:r>
      <w:r>
        <w:rPr>
          <w:spacing w:val="-8"/>
          <w:sz w:val="16"/>
          <w:szCs w:val="16"/>
          <w:lang w:val="es-ES_tradnl"/>
        </w:rPr>
        <w:t xml:space="preserve">a a otras empresas como las </w:t>
      </w:r>
      <w:r>
        <w:rPr>
          <w:spacing w:val="-5"/>
          <w:sz w:val="16"/>
          <w:szCs w:val="16"/>
          <w:lang w:val="es-ES_tradnl"/>
        </w:rPr>
        <w:t xml:space="preserve">mixtas, y excepcionalmente a la iniciativa privada (siguiendo </w:t>
      </w:r>
      <w:r>
        <w:rPr>
          <w:spacing w:val="-8"/>
          <w:sz w:val="16"/>
          <w:szCs w:val="16"/>
          <w:lang w:val="es-ES_tradnl"/>
        </w:rPr>
        <w:t>el ejemplo: a trav</w:t>
      </w:r>
      <w:r>
        <w:rPr>
          <w:rFonts w:cs="Times New Roman"/>
          <w:spacing w:val="-8"/>
          <w:sz w:val="16"/>
          <w:szCs w:val="16"/>
          <w:lang w:val="es-ES_tradnl"/>
        </w:rPr>
        <w:t>é</w:t>
      </w:r>
      <w:r>
        <w:rPr>
          <w:spacing w:val="-8"/>
          <w:sz w:val="16"/>
          <w:szCs w:val="16"/>
          <w:lang w:val="es-ES_tradnl"/>
        </w:rPr>
        <w:t>s de una concesi</w:t>
      </w:r>
      <w:r>
        <w:rPr>
          <w:rFonts w:cs="Times New Roman"/>
          <w:spacing w:val="-8"/>
          <w:sz w:val="16"/>
          <w:szCs w:val="16"/>
          <w:lang w:val="es-ES_tradnl"/>
        </w:rPr>
        <w:t>ó</w:t>
      </w:r>
      <w:r>
        <w:rPr>
          <w:spacing w:val="-8"/>
          <w:sz w:val="16"/>
          <w:szCs w:val="16"/>
          <w:lang w:val="es-ES_tradnl"/>
        </w:rPr>
        <w:t>n) o a la econom</w:t>
      </w:r>
      <w:r>
        <w:rPr>
          <w:rFonts w:cs="Times New Roman"/>
          <w:spacing w:val="-8"/>
          <w:sz w:val="16"/>
          <w:szCs w:val="16"/>
          <w:lang w:val="es-ES_tradnl"/>
        </w:rPr>
        <w:t>í</w:t>
      </w:r>
      <w:r>
        <w:rPr>
          <w:spacing w:val="-8"/>
          <w:sz w:val="16"/>
          <w:szCs w:val="16"/>
          <w:lang w:val="es-ES_tradnl"/>
        </w:rPr>
        <w:t xml:space="preserve">a popular </w:t>
      </w:r>
      <w:r>
        <w:rPr>
          <w:spacing w:val="-10"/>
          <w:sz w:val="16"/>
          <w:szCs w:val="16"/>
          <w:lang w:val="es-ES_tradnl"/>
        </w:rPr>
        <w:t>y solidaria, en los casos se</w:t>
      </w:r>
      <w:r>
        <w:rPr>
          <w:rFonts w:cs="Times New Roman"/>
          <w:spacing w:val="-10"/>
          <w:sz w:val="16"/>
          <w:szCs w:val="16"/>
          <w:lang w:val="es-ES_tradnl"/>
        </w:rPr>
        <w:t>ñ</w:t>
      </w:r>
      <w:r>
        <w:rPr>
          <w:spacing w:val="-10"/>
          <w:sz w:val="16"/>
          <w:szCs w:val="16"/>
          <w:lang w:val="es-ES_tradnl"/>
        </w:rPr>
        <w:t xml:space="preserve">alados en la ley. Por ende, el Estado </w:t>
      </w:r>
      <w:r>
        <w:rPr>
          <w:sz w:val="16"/>
          <w:szCs w:val="16"/>
          <w:lang w:val="es-ES_tradnl"/>
        </w:rPr>
        <w:t>autoriza en unos casos, o delega en otros.</w:t>
      </w:r>
    </w:p>
    <w:p w14:paraId="4F67A893" w14:textId="77777777" w:rsidR="00591D54" w:rsidRDefault="00591D54">
      <w:pPr>
        <w:shd w:val="clear" w:color="auto" w:fill="FFFFFF"/>
        <w:spacing w:before="202" w:line="216" w:lineRule="exact"/>
        <w:ind w:right="5"/>
        <w:jc w:val="both"/>
      </w:pPr>
      <w:r>
        <w:rPr>
          <w:spacing w:val="-8"/>
          <w:sz w:val="18"/>
          <w:szCs w:val="18"/>
          <w:lang w:val="es-ES_tradnl"/>
        </w:rPr>
        <w:t>Adem</w:t>
      </w:r>
      <w:r>
        <w:rPr>
          <w:rFonts w:cs="Times New Roman"/>
          <w:spacing w:val="-8"/>
          <w:sz w:val="18"/>
          <w:szCs w:val="18"/>
          <w:lang w:val="es-ES_tradnl"/>
        </w:rPr>
        <w:t>á</w:t>
      </w:r>
      <w:r>
        <w:rPr>
          <w:spacing w:val="-8"/>
          <w:sz w:val="18"/>
          <w:szCs w:val="18"/>
          <w:lang w:val="es-ES_tradnl"/>
        </w:rPr>
        <w:t>s, mediante sentencia N.</w:t>
      </w:r>
      <w:r>
        <w:rPr>
          <w:rFonts w:cs="Times New Roman"/>
          <w:spacing w:val="-8"/>
          <w:sz w:val="18"/>
          <w:szCs w:val="18"/>
          <w:lang w:val="es-ES_tradnl"/>
        </w:rPr>
        <w:t>º</w:t>
      </w:r>
      <w:r>
        <w:rPr>
          <w:spacing w:val="-8"/>
          <w:sz w:val="18"/>
          <w:szCs w:val="18"/>
          <w:lang w:val="es-ES_tradnl"/>
        </w:rPr>
        <w:t xml:space="preserve"> 003-14-SIN-CC del caso </w:t>
      </w:r>
      <w:r>
        <w:rPr>
          <w:sz w:val="18"/>
          <w:szCs w:val="18"/>
          <w:lang w:val="es-ES_tradnl"/>
        </w:rPr>
        <w:t>N.</w:t>
      </w:r>
      <w:r>
        <w:rPr>
          <w:rFonts w:cs="Times New Roman"/>
          <w:sz w:val="18"/>
          <w:szCs w:val="18"/>
          <w:lang w:val="es-ES_tradnl"/>
        </w:rPr>
        <w:t>º</w:t>
      </w:r>
      <w:r>
        <w:rPr>
          <w:sz w:val="18"/>
          <w:szCs w:val="18"/>
          <w:lang w:val="es-ES_tradnl"/>
        </w:rPr>
        <w:t xml:space="preserve"> 0014-13-IN y acumulados 0023-13-IN y 0028-13-</w:t>
      </w:r>
      <w:r>
        <w:rPr>
          <w:spacing w:val="-6"/>
          <w:sz w:val="18"/>
          <w:szCs w:val="18"/>
          <w:lang w:val="es-ES_tradnl"/>
        </w:rPr>
        <w:t xml:space="preserve">IN del 17 de septiembre de 2014, la Corte Constitucional </w:t>
      </w:r>
      <w:r>
        <w:rPr>
          <w:sz w:val="18"/>
          <w:szCs w:val="18"/>
          <w:lang w:val="es-ES_tradnl"/>
        </w:rPr>
        <w:t>se</w:t>
      </w:r>
      <w:r>
        <w:rPr>
          <w:rFonts w:cs="Times New Roman"/>
          <w:sz w:val="18"/>
          <w:szCs w:val="18"/>
          <w:lang w:val="es-ES_tradnl"/>
        </w:rPr>
        <w:t>ñ</w:t>
      </w:r>
      <w:r>
        <w:rPr>
          <w:sz w:val="18"/>
          <w:szCs w:val="18"/>
          <w:lang w:val="es-ES_tradnl"/>
        </w:rPr>
        <w:t>al</w:t>
      </w:r>
      <w:r>
        <w:rPr>
          <w:rFonts w:cs="Times New Roman"/>
          <w:sz w:val="18"/>
          <w:szCs w:val="18"/>
          <w:lang w:val="es-ES_tradnl"/>
        </w:rPr>
        <w:t>ó</w:t>
      </w:r>
      <w:r>
        <w:rPr>
          <w:sz w:val="18"/>
          <w:szCs w:val="18"/>
          <w:lang w:val="es-ES_tradnl"/>
        </w:rPr>
        <w:t xml:space="preserve"> que:</w:t>
      </w:r>
    </w:p>
    <w:p w14:paraId="4F67A894" w14:textId="77777777" w:rsidR="00591D54" w:rsidRDefault="00591D54">
      <w:pPr>
        <w:shd w:val="clear" w:color="auto" w:fill="FFFFFF"/>
        <w:spacing w:before="202" w:line="216" w:lineRule="exact"/>
        <w:ind w:left="283" w:right="5"/>
        <w:jc w:val="both"/>
      </w:pPr>
      <w:r>
        <w:rPr>
          <w:spacing w:val="-7"/>
          <w:sz w:val="16"/>
          <w:szCs w:val="16"/>
          <w:lang w:val="es-ES_tradnl"/>
        </w:rPr>
        <w:t>En este contexto, es evidente que la gesti</w:t>
      </w:r>
      <w:r>
        <w:rPr>
          <w:rFonts w:cs="Times New Roman"/>
          <w:spacing w:val="-7"/>
          <w:sz w:val="16"/>
          <w:szCs w:val="16"/>
          <w:lang w:val="es-ES_tradnl"/>
        </w:rPr>
        <w:t>ó</w:t>
      </w:r>
      <w:r>
        <w:rPr>
          <w:spacing w:val="-7"/>
          <w:sz w:val="16"/>
          <w:szCs w:val="16"/>
          <w:lang w:val="es-ES_tradnl"/>
        </w:rPr>
        <w:t xml:space="preserve">n del espectro </w:t>
      </w:r>
      <w:r>
        <w:rPr>
          <w:spacing w:val="-8"/>
          <w:sz w:val="16"/>
          <w:szCs w:val="16"/>
          <w:lang w:val="es-ES_tradnl"/>
        </w:rPr>
        <w:t>radioel</w:t>
      </w:r>
      <w:r>
        <w:rPr>
          <w:rFonts w:cs="Times New Roman"/>
          <w:spacing w:val="-8"/>
          <w:sz w:val="16"/>
          <w:szCs w:val="16"/>
          <w:lang w:val="es-ES_tradnl"/>
        </w:rPr>
        <w:t>é</w:t>
      </w:r>
      <w:r>
        <w:rPr>
          <w:spacing w:val="-8"/>
          <w:sz w:val="16"/>
          <w:szCs w:val="16"/>
          <w:lang w:val="es-ES_tradnl"/>
        </w:rPr>
        <w:t xml:space="preserve">ctrico es de competencia y responsabilidad del estado, </w:t>
      </w:r>
      <w:r>
        <w:rPr>
          <w:spacing w:val="-3"/>
          <w:sz w:val="16"/>
          <w:szCs w:val="16"/>
          <w:lang w:val="es-ES_tradnl"/>
        </w:rPr>
        <w:t xml:space="preserve">por lo que los criterios bajo los cuales debe administrarse </w:t>
      </w:r>
      <w:r>
        <w:rPr>
          <w:spacing w:val="-7"/>
          <w:sz w:val="16"/>
          <w:szCs w:val="16"/>
          <w:lang w:val="es-ES_tradnl"/>
        </w:rPr>
        <w:t>este recurso deben responder a la mayor satisfacci</w:t>
      </w:r>
      <w:r>
        <w:rPr>
          <w:rFonts w:cs="Times New Roman"/>
          <w:spacing w:val="-7"/>
          <w:sz w:val="16"/>
          <w:szCs w:val="16"/>
          <w:lang w:val="es-ES_tradnl"/>
        </w:rPr>
        <w:t>ó</w:t>
      </w:r>
      <w:r>
        <w:rPr>
          <w:spacing w:val="-7"/>
          <w:sz w:val="16"/>
          <w:szCs w:val="16"/>
          <w:lang w:val="es-ES_tradnl"/>
        </w:rPr>
        <w:t xml:space="preserve">n de los </w:t>
      </w:r>
      <w:r>
        <w:rPr>
          <w:spacing w:val="-6"/>
          <w:sz w:val="16"/>
          <w:szCs w:val="16"/>
          <w:lang w:val="es-ES_tradnl"/>
        </w:rPr>
        <w:t xml:space="preserve">derechos de las personas y al cumplimiento de los objetivos </w:t>
      </w:r>
      <w:r>
        <w:rPr>
          <w:spacing w:val="-7"/>
          <w:sz w:val="16"/>
          <w:szCs w:val="16"/>
          <w:lang w:val="es-ES_tradnl"/>
        </w:rPr>
        <w:t>que plantea el r</w:t>
      </w:r>
      <w:r>
        <w:rPr>
          <w:rFonts w:cs="Times New Roman"/>
          <w:spacing w:val="-7"/>
          <w:sz w:val="16"/>
          <w:szCs w:val="16"/>
          <w:lang w:val="es-ES_tradnl"/>
        </w:rPr>
        <w:t>é</w:t>
      </w:r>
      <w:r>
        <w:rPr>
          <w:spacing w:val="-7"/>
          <w:sz w:val="16"/>
          <w:szCs w:val="16"/>
          <w:lang w:val="es-ES_tradnl"/>
        </w:rPr>
        <w:t xml:space="preserve">gimen de desarrollo establecido en la propia </w:t>
      </w:r>
      <w:r>
        <w:rPr>
          <w:sz w:val="16"/>
          <w:szCs w:val="16"/>
          <w:lang w:val="es-ES_tradnl"/>
        </w:rPr>
        <w:t>Constituci</w:t>
      </w:r>
      <w:r>
        <w:rPr>
          <w:rFonts w:cs="Times New Roman"/>
          <w:sz w:val="16"/>
          <w:szCs w:val="16"/>
          <w:lang w:val="es-ES_tradnl"/>
        </w:rPr>
        <w:t>ó</w:t>
      </w:r>
      <w:r>
        <w:rPr>
          <w:sz w:val="16"/>
          <w:szCs w:val="16"/>
          <w:lang w:val="es-ES_tradnl"/>
        </w:rPr>
        <w:t>n.</w:t>
      </w:r>
    </w:p>
    <w:p w14:paraId="4F67A895" w14:textId="77777777" w:rsidR="00591D54" w:rsidRDefault="00591D54">
      <w:pPr>
        <w:shd w:val="clear" w:color="auto" w:fill="FFFFFF"/>
        <w:spacing w:before="202" w:line="216" w:lineRule="exact"/>
        <w:ind w:right="5"/>
        <w:jc w:val="both"/>
      </w:pPr>
      <w:r>
        <w:rPr>
          <w:spacing w:val="-11"/>
          <w:sz w:val="18"/>
          <w:szCs w:val="18"/>
          <w:lang w:val="es-ES_tradnl"/>
        </w:rPr>
        <w:t>Es as</w:t>
      </w:r>
      <w:r>
        <w:rPr>
          <w:rFonts w:cs="Times New Roman"/>
          <w:spacing w:val="-11"/>
          <w:sz w:val="18"/>
          <w:szCs w:val="18"/>
          <w:lang w:val="es-ES_tradnl"/>
        </w:rPr>
        <w:t>í</w:t>
      </w:r>
      <w:r>
        <w:rPr>
          <w:spacing w:val="-11"/>
          <w:sz w:val="18"/>
          <w:szCs w:val="18"/>
          <w:lang w:val="es-ES_tradnl"/>
        </w:rPr>
        <w:t>, que la Constituci</w:t>
      </w:r>
      <w:r>
        <w:rPr>
          <w:rFonts w:cs="Times New Roman"/>
          <w:spacing w:val="-11"/>
          <w:sz w:val="18"/>
          <w:szCs w:val="18"/>
          <w:lang w:val="es-ES_tradnl"/>
        </w:rPr>
        <w:t>ó</w:t>
      </w:r>
      <w:r>
        <w:rPr>
          <w:spacing w:val="-11"/>
          <w:sz w:val="18"/>
          <w:szCs w:val="18"/>
          <w:lang w:val="es-ES_tradnl"/>
        </w:rPr>
        <w:t>n de la Rep</w:t>
      </w:r>
      <w:r>
        <w:rPr>
          <w:rFonts w:cs="Times New Roman"/>
          <w:spacing w:val="-11"/>
          <w:sz w:val="18"/>
          <w:szCs w:val="18"/>
          <w:lang w:val="es-ES_tradnl"/>
        </w:rPr>
        <w:t>ú</w:t>
      </w:r>
      <w:r>
        <w:rPr>
          <w:spacing w:val="-11"/>
          <w:sz w:val="18"/>
          <w:szCs w:val="18"/>
          <w:lang w:val="es-ES_tradnl"/>
        </w:rPr>
        <w:t>blica en su art</w:t>
      </w:r>
      <w:r>
        <w:rPr>
          <w:rFonts w:cs="Times New Roman"/>
          <w:spacing w:val="-11"/>
          <w:sz w:val="18"/>
          <w:szCs w:val="18"/>
          <w:lang w:val="es-ES_tradnl"/>
        </w:rPr>
        <w:t>í</w:t>
      </w:r>
      <w:r>
        <w:rPr>
          <w:spacing w:val="-11"/>
          <w:sz w:val="18"/>
          <w:szCs w:val="18"/>
          <w:lang w:val="es-ES_tradnl"/>
        </w:rPr>
        <w:t xml:space="preserve">culo 313 establece que el Estado se reserva el derecho de administrar, </w:t>
      </w:r>
      <w:r>
        <w:rPr>
          <w:spacing w:val="-7"/>
          <w:sz w:val="18"/>
          <w:szCs w:val="18"/>
          <w:lang w:val="es-ES_tradnl"/>
        </w:rPr>
        <w:t>regular, controlar y gestionar los sectores estrat</w:t>
      </w:r>
      <w:r>
        <w:rPr>
          <w:rFonts w:cs="Times New Roman"/>
          <w:spacing w:val="-7"/>
          <w:sz w:val="18"/>
          <w:szCs w:val="18"/>
          <w:lang w:val="es-ES_tradnl"/>
        </w:rPr>
        <w:t>é</w:t>
      </w:r>
      <w:r>
        <w:rPr>
          <w:spacing w:val="-7"/>
          <w:sz w:val="18"/>
          <w:szCs w:val="18"/>
          <w:lang w:val="es-ES_tradnl"/>
        </w:rPr>
        <w:t xml:space="preserve">gicos, de </w:t>
      </w:r>
      <w:r>
        <w:rPr>
          <w:spacing w:val="-8"/>
          <w:sz w:val="18"/>
          <w:szCs w:val="18"/>
          <w:lang w:val="es-ES_tradnl"/>
        </w:rPr>
        <w:t>conformidad con los principios de sostenibilidad ambiental,</w:t>
      </w:r>
    </w:p>
    <w:p w14:paraId="4F67A896" w14:textId="77777777" w:rsidR="00591D54" w:rsidRDefault="00591D54">
      <w:pPr>
        <w:shd w:val="clear" w:color="auto" w:fill="FFFFFF"/>
        <w:spacing w:before="730" w:line="178" w:lineRule="exact"/>
        <w:ind w:left="144" w:hanging="144"/>
      </w:pPr>
      <w:r>
        <w:rPr>
          <w:sz w:val="16"/>
          <w:szCs w:val="16"/>
          <w:vertAlign w:val="superscript"/>
          <w:lang w:val="es-ES_tradnl"/>
        </w:rPr>
        <w:t>2</w:t>
      </w:r>
      <w:r>
        <w:rPr>
          <w:sz w:val="16"/>
          <w:szCs w:val="16"/>
          <w:lang w:val="es-ES_tradnl"/>
        </w:rPr>
        <w:t xml:space="preserve">  </w:t>
      </w:r>
      <w:r>
        <w:rPr>
          <w:spacing w:val="-5"/>
          <w:sz w:val="16"/>
          <w:szCs w:val="16"/>
          <w:lang w:val="es-ES_tradnl"/>
        </w:rPr>
        <w:t>Corte Constitucional del Ecuador, para el per</w:t>
      </w:r>
      <w:r>
        <w:rPr>
          <w:rFonts w:cs="Times New Roman"/>
          <w:spacing w:val="-5"/>
          <w:sz w:val="16"/>
          <w:szCs w:val="16"/>
          <w:lang w:val="es-ES_tradnl"/>
        </w:rPr>
        <w:t>í</w:t>
      </w:r>
      <w:r>
        <w:rPr>
          <w:spacing w:val="-5"/>
          <w:sz w:val="16"/>
          <w:szCs w:val="16"/>
          <w:lang w:val="es-ES_tradnl"/>
        </w:rPr>
        <w:t>odo de transici</w:t>
      </w:r>
      <w:r>
        <w:rPr>
          <w:rFonts w:cs="Times New Roman"/>
          <w:spacing w:val="-5"/>
          <w:sz w:val="16"/>
          <w:szCs w:val="16"/>
          <w:lang w:val="es-ES_tradnl"/>
        </w:rPr>
        <w:t>ó</w:t>
      </w:r>
      <w:r>
        <w:rPr>
          <w:spacing w:val="-5"/>
          <w:sz w:val="16"/>
          <w:szCs w:val="16"/>
          <w:lang w:val="es-ES_tradnl"/>
        </w:rPr>
        <w:t xml:space="preserve">n, </w:t>
      </w:r>
      <w:r>
        <w:rPr>
          <w:spacing w:val="-11"/>
          <w:sz w:val="16"/>
          <w:szCs w:val="16"/>
          <w:lang w:val="es-ES_tradnl"/>
        </w:rPr>
        <w:t>Sentencia N.</w:t>
      </w:r>
      <w:r>
        <w:rPr>
          <w:rFonts w:cs="Times New Roman"/>
          <w:spacing w:val="-11"/>
          <w:sz w:val="16"/>
          <w:szCs w:val="16"/>
          <w:lang w:val="es-ES_tradnl"/>
        </w:rPr>
        <w:t>º</w:t>
      </w:r>
      <w:r>
        <w:rPr>
          <w:spacing w:val="-11"/>
          <w:sz w:val="16"/>
          <w:szCs w:val="16"/>
          <w:lang w:val="es-ES_tradnl"/>
        </w:rPr>
        <w:t xml:space="preserve"> 006-09-SIC-CC, caso N.</w:t>
      </w:r>
      <w:r>
        <w:rPr>
          <w:rFonts w:cs="Times New Roman"/>
          <w:spacing w:val="-11"/>
          <w:sz w:val="16"/>
          <w:szCs w:val="16"/>
          <w:lang w:val="es-ES_tradnl"/>
        </w:rPr>
        <w:t>º</w:t>
      </w:r>
      <w:r>
        <w:rPr>
          <w:spacing w:val="-11"/>
          <w:sz w:val="16"/>
          <w:szCs w:val="16"/>
          <w:lang w:val="es-ES_tradnl"/>
        </w:rPr>
        <w:t xml:space="preserve"> 0012-08-IC.</w:t>
      </w:r>
    </w:p>
    <w:p w14:paraId="4F67A897" w14:textId="77777777" w:rsidR="00591D54" w:rsidRDefault="00591D54">
      <w:pPr>
        <w:shd w:val="clear" w:color="auto" w:fill="FFFFFF"/>
        <w:spacing w:before="730" w:line="178" w:lineRule="exact"/>
        <w:ind w:left="144" w:hanging="144"/>
        <w:sectPr w:rsidR="00591D54">
          <w:type w:val="continuous"/>
          <w:pgSz w:w="11909" w:h="16834"/>
          <w:pgMar w:top="1356" w:right="1304" w:bottom="360" w:left="1308" w:header="720" w:footer="720" w:gutter="0"/>
          <w:cols w:num="2" w:space="720" w:equalWidth="0">
            <w:col w:w="4305" w:space="682"/>
            <w:col w:w="4310"/>
          </w:cols>
          <w:noEndnote/>
        </w:sectPr>
      </w:pPr>
    </w:p>
    <w:p w14:paraId="4F67A898" w14:textId="77777777" w:rsidR="00591D54" w:rsidRDefault="00591D54">
      <w:pPr>
        <w:shd w:val="clear" w:color="auto" w:fill="FFFFFF"/>
        <w:tabs>
          <w:tab w:val="left" w:pos="4814"/>
        </w:tabs>
        <w:spacing w:after="235"/>
        <w:ind w:left="5"/>
      </w:pPr>
      <w:r>
        <w:rPr>
          <w:b/>
          <w:bCs/>
          <w:sz w:val="18"/>
          <w:szCs w:val="18"/>
          <w:lang w:val="es-ES_tradnl"/>
        </w:rPr>
        <w:t xml:space="preserve">64 -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899" w14:textId="77777777" w:rsidR="00591D54" w:rsidRDefault="00591D54">
      <w:pPr>
        <w:shd w:val="clear" w:color="auto" w:fill="FFFFFF"/>
        <w:tabs>
          <w:tab w:val="left" w:pos="4814"/>
        </w:tabs>
        <w:spacing w:after="235"/>
        <w:ind w:left="5"/>
        <w:sectPr w:rsidR="00591D54">
          <w:pgSz w:w="11909" w:h="16834"/>
          <w:pgMar w:top="1356" w:right="1309" w:bottom="360" w:left="1308" w:header="720" w:footer="720" w:gutter="0"/>
          <w:cols w:space="60"/>
          <w:noEndnote/>
        </w:sectPr>
      </w:pPr>
    </w:p>
    <w:p w14:paraId="4F67A89A" w14:textId="77777777" w:rsidR="00591D54" w:rsidRDefault="00591D54">
      <w:pPr>
        <w:shd w:val="clear" w:color="auto" w:fill="FFFFFF"/>
        <w:spacing w:line="216" w:lineRule="exact"/>
        <w:ind w:right="5"/>
        <w:jc w:val="both"/>
      </w:pPr>
      <w:r>
        <w:rPr>
          <w:spacing w:val="-7"/>
          <w:sz w:val="18"/>
          <w:szCs w:val="18"/>
          <w:lang w:val="es-ES_tradnl"/>
        </w:rPr>
        <w:t>precauci</w:t>
      </w:r>
      <w:r>
        <w:rPr>
          <w:rFonts w:cs="Times New Roman"/>
          <w:spacing w:val="-7"/>
          <w:sz w:val="18"/>
          <w:szCs w:val="18"/>
          <w:lang w:val="es-ES_tradnl"/>
        </w:rPr>
        <w:t>ó</w:t>
      </w:r>
      <w:r>
        <w:rPr>
          <w:spacing w:val="-7"/>
          <w:sz w:val="18"/>
          <w:szCs w:val="18"/>
          <w:lang w:val="es-ES_tradnl"/>
        </w:rPr>
        <w:t>n, prevenci</w:t>
      </w:r>
      <w:r>
        <w:rPr>
          <w:rFonts w:cs="Times New Roman"/>
          <w:spacing w:val="-7"/>
          <w:sz w:val="18"/>
          <w:szCs w:val="18"/>
          <w:lang w:val="es-ES_tradnl"/>
        </w:rPr>
        <w:t>ó</w:t>
      </w:r>
      <w:r>
        <w:rPr>
          <w:spacing w:val="-7"/>
          <w:sz w:val="18"/>
          <w:szCs w:val="18"/>
          <w:lang w:val="es-ES_tradnl"/>
        </w:rPr>
        <w:t>n y eficiencia</w:t>
      </w:r>
      <w:r>
        <w:rPr>
          <w:spacing w:val="-7"/>
          <w:sz w:val="18"/>
          <w:szCs w:val="18"/>
          <w:vertAlign w:val="superscript"/>
          <w:lang w:val="es-ES_tradnl"/>
        </w:rPr>
        <w:t>3</w:t>
      </w:r>
      <w:r>
        <w:rPr>
          <w:spacing w:val="-7"/>
          <w:sz w:val="18"/>
          <w:szCs w:val="18"/>
          <w:lang w:val="es-ES_tradnl"/>
        </w:rPr>
        <w:t xml:space="preserve">, considerando a las </w:t>
      </w:r>
      <w:r>
        <w:rPr>
          <w:spacing w:val="-8"/>
          <w:sz w:val="18"/>
          <w:szCs w:val="18"/>
          <w:lang w:val="es-ES_tradnl"/>
        </w:rPr>
        <w:t>telecomunicaciones y al espectro radioel</w:t>
      </w:r>
      <w:r>
        <w:rPr>
          <w:rFonts w:cs="Times New Roman"/>
          <w:spacing w:val="-8"/>
          <w:sz w:val="18"/>
          <w:szCs w:val="18"/>
          <w:lang w:val="es-ES_tradnl"/>
        </w:rPr>
        <w:t>é</w:t>
      </w:r>
      <w:r>
        <w:rPr>
          <w:spacing w:val="-8"/>
          <w:sz w:val="18"/>
          <w:szCs w:val="18"/>
          <w:lang w:val="es-ES_tradnl"/>
        </w:rPr>
        <w:t xml:space="preserve">ctrico como parte </w:t>
      </w:r>
      <w:r>
        <w:rPr>
          <w:sz w:val="18"/>
          <w:szCs w:val="18"/>
          <w:lang w:val="es-ES_tradnl"/>
        </w:rPr>
        <w:t>de los sectores estrat</w:t>
      </w:r>
      <w:r>
        <w:rPr>
          <w:rFonts w:cs="Times New Roman"/>
          <w:sz w:val="18"/>
          <w:szCs w:val="18"/>
          <w:lang w:val="es-ES_tradnl"/>
        </w:rPr>
        <w:t>é</w:t>
      </w:r>
      <w:r>
        <w:rPr>
          <w:sz w:val="18"/>
          <w:szCs w:val="18"/>
          <w:lang w:val="es-ES_tradnl"/>
        </w:rPr>
        <w:t>gicos.</w:t>
      </w:r>
    </w:p>
    <w:p w14:paraId="4F67A89B" w14:textId="77777777" w:rsidR="00591D54" w:rsidRDefault="00591D54">
      <w:pPr>
        <w:shd w:val="clear" w:color="auto" w:fill="FFFFFF"/>
        <w:spacing w:before="197" w:line="216" w:lineRule="exact"/>
        <w:jc w:val="both"/>
      </w:pPr>
      <w:r>
        <w:rPr>
          <w:sz w:val="18"/>
          <w:szCs w:val="18"/>
          <w:lang w:val="es-ES_tradnl"/>
        </w:rPr>
        <w:t>En este sentido, la actual Ley Org</w:t>
      </w:r>
      <w:r>
        <w:rPr>
          <w:rFonts w:cs="Times New Roman"/>
          <w:sz w:val="18"/>
          <w:szCs w:val="18"/>
          <w:lang w:val="es-ES_tradnl"/>
        </w:rPr>
        <w:t>á</w:t>
      </w:r>
      <w:r>
        <w:rPr>
          <w:sz w:val="18"/>
          <w:szCs w:val="18"/>
          <w:lang w:val="es-ES_tradnl"/>
        </w:rPr>
        <w:t xml:space="preserve">nica de </w:t>
      </w:r>
      <w:r>
        <w:rPr>
          <w:spacing w:val="-10"/>
          <w:sz w:val="18"/>
          <w:szCs w:val="18"/>
          <w:lang w:val="es-ES_tradnl"/>
        </w:rPr>
        <w:t>Telecomunicaciones en su art</w:t>
      </w:r>
      <w:r>
        <w:rPr>
          <w:rFonts w:cs="Times New Roman"/>
          <w:spacing w:val="-10"/>
          <w:sz w:val="18"/>
          <w:szCs w:val="18"/>
          <w:lang w:val="es-ES_tradnl"/>
        </w:rPr>
        <w:t>í</w:t>
      </w:r>
      <w:r>
        <w:rPr>
          <w:spacing w:val="-10"/>
          <w:sz w:val="18"/>
          <w:szCs w:val="18"/>
          <w:lang w:val="es-ES_tradnl"/>
        </w:rPr>
        <w:t xml:space="preserve">culo 7, dispone que el Estado, </w:t>
      </w:r>
      <w:r>
        <w:rPr>
          <w:spacing w:val="-9"/>
          <w:sz w:val="18"/>
          <w:szCs w:val="18"/>
          <w:lang w:val="es-ES_tradnl"/>
        </w:rPr>
        <w:t>a trav</w:t>
      </w:r>
      <w:r>
        <w:rPr>
          <w:rFonts w:cs="Times New Roman"/>
          <w:spacing w:val="-9"/>
          <w:sz w:val="18"/>
          <w:szCs w:val="18"/>
          <w:lang w:val="es-ES_tradnl"/>
        </w:rPr>
        <w:t>é</w:t>
      </w:r>
      <w:r>
        <w:rPr>
          <w:spacing w:val="-9"/>
          <w:sz w:val="18"/>
          <w:szCs w:val="18"/>
          <w:lang w:val="es-ES_tradnl"/>
        </w:rPr>
        <w:t xml:space="preserve">s del gobierno central, tiene competencias exclusivas </w:t>
      </w:r>
      <w:r>
        <w:rPr>
          <w:spacing w:val="-7"/>
          <w:sz w:val="18"/>
          <w:szCs w:val="18"/>
          <w:lang w:val="es-ES_tradnl"/>
        </w:rPr>
        <w:t>sobre el espectro radioel</w:t>
      </w:r>
      <w:r>
        <w:rPr>
          <w:rFonts w:cs="Times New Roman"/>
          <w:spacing w:val="-7"/>
          <w:sz w:val="18"/>
          <w:szCs w:val="18"/>
          <w:lang w:val="es-ES_tradnl"/>
        </w:rPr>
        <w:t>é</w:t>
      </w:r>
      <w:r>
        <w:rPr>
          <w:spacing w:val="-7"/>
          <w:sz w:val="18"/>
          <w:szCs w:val="18"/>
          <w:lang w:val="es-ES_tradnl"/>
        </w:rPr>
        <w:t>ctrico y el r</w:t>
      </w:r>
      <w:r>
        <w:rPr>
          <w:rFonts w:cs="Times New Roman"/>
          <w:spacing w:val="-7"/>
          <w:sz w:val="18"/>
          <w:szCs w:val="18"/>
          <w:lang w:val="es-ES_tradnl"/>
        </w:rPr>
        <w:t>é</w:t>
      </w:r>
      <w:r>
        <w:rPr>
          <w:spacing w:val="-7"/>
          <w:sz w:val="18"/>
          <w:szCs w:val="18"/>
          <w:lang w:val="es-ES_tradnl"/>
        </w:rPr>
        <w:t xml:space="preserve">gimen general de </w:t>
      </w:r>
      <w:r>
        <w:rPr>
          <w:spacing w:val="-8"/>
          <w:sz w:val="18"/>
          <w:szCs w:val="18"/>
          <w:lang w:val="es-ES_tradnl"/>
        </w:rPr>
        <w:t xml:space="preserve">telecomunicaciones, y dispone del derecho de administrar, </w:t>
      </w:r>
      <w:r>
        <w:rPr>
          <w:spacing w:val="-7"/>
          <w:sz w:val="18"/>
          <w:szCs w:val="18"/>
          <w:lang w:val="es-ES_tradnl"/>
        </w:rPr>
        <w:t>regular y controlar dichos sectores, para lo cual ha dotado de la institucionalidad necesaria, que seg</w:t>
      </w:r>
      <w:r>
        <w:rPr>
          <w:rFonts w:cs="Times New Roman"/>
          <w:spacing w:val="-7"/>
          <w:sz w:val="18"/>
          <w:szCs w:val="18"/>
          <w:lang w:val="es-ES_tradnl"/>
        </w:rPr>
        <w:t>ú</w:t>
      </w:r>
      <w:r>
        <w:rPr>
          <w:spacing w:val="-7"/>
          <w:sz w:val="18"/>
          <w:szCs w:val="18"/>
          <w:lang w:val="es-ES_tradnl"/>
        </w:rPr>
        <w:t>n el art</w:t>
      </w:r>
      <w:r>
        <w:rPr>
          <w:rFonts w:cs="Times New Roman"/>
          <w:spacing w:val="-7"/>
          <w:sz w:val="18"/>
          <w:szCs w:val="18"/>
          <w:lang w:val="es-ES_tradnl"/>
        </w:rPr>
        <w:t>í</w:t>
      </w:r>
      <w:r>
        <w:rPr>
          <w:spacing w:val="-7"/>
          <w:sz w:val="18"/>
          <w:szCs w:val="18"/>
          <w:lang w:val="es-ES_tradnl"/>
        </w:rPr>
        <w:t xml:space="preserve">culo 142 </w:t>
      </w:r>
      <w:r>
        <w:rPr>
          <w:sz w:val="18"/>
          <w:szCs w:val="18"/>
          <w:lang w:val="es-ES_tradnl"/>
        </w:rPr>
        <w:t>de la ley en menci</w:t>
      </w:r>
      <w:r>
        <w:rPr>
          <w:rFonts w:cs="Times New Roman"/>
          <w:sz w:val="18"/>
          <w:szCs w:val="18"/>
          <w:lang w:val="es-ES_tradnl"/>
        </w:rPr>
        <w:t>ó</w:t>
      </w:r>
      <w:r>
        <w:rPr>
          <w:sz w:val="18"/>
          <w:szCs w:val="18"/>
          <w:lang w:val="es-ES_tradnl"/>
        </w:rPr>
        <w:t>n, establece:</w:t>
      </w:r>
    </w:p>
    <w:p w14:paraId="4F67A89C" w14:textId="77777777" w:rsidR="00591D54" w:rsidRDefault="00591D54">
      <w:pPr>
        <w:shd w:val="clear" w:color="auto" w:fill="FFFFFF"/>
        <w:spacing w:before="202" w:line="216" w:lineRule="exact"/>
        <w:ind w:left="283" w:right="5"/>
        <w:jc w:val="both"/>
      </w:pPr>
      <w:r>
        <w:rPr>
          <w:spacing w:val="-3"/>
          <w:sz w:val="16"/>
          <w:szCs w:val="16"/>
          <w:lang w:val="es-ES_tradnl"/>
        </w:rPr>
        <w:t>Cr</w:t>
      </w:r>
      <w:r>
        <w:rPr>
          <w:rFonts w:cs="Times New Roman"/>
          <w:spacing w:val="-3"/>
          <w:sz w:val="16"/>
          <w:szCs w:val="16"/>
          <w:lang w:val="es-ES_tradnl"/>
        </w:rPr>
        <w:t>é</w:t>
      </w:r>
      <w:r>
        <w:rPr>
          <w:spacing w:val="-3"/>
          <w:sz w:val="16"/>
          <w:szCs w:val="16"/>
          <w:lang w:val="es-ES_tradnl"/>
        </w:rPr>
        <w:t>ase la Agencia de Regulaci</w:t>
      </w:r>
      <w:r>
        <w:rPr>
          <w:rFonts w:cs="Times New Roman"/>
          <w:spacing w:val="-3"/>
          <w:sz w:val="16"/>
          <w:szCs w:val="16"/>
          <w:lang w:val="es-ES_tradnl"/>
        </w:rPr>
        <w:t>ó</w:t>
      </w:r>
      <w:r>
        <w:rPr>
          <w:spacing w:val="-3"/>
          <w:sz w:val="16"/>
          <w:szCs w:val="16"/>
          <w:lang w:val="es-ES_tradnl"/>
        </w:rPr>
        <w:t xml:space="preserve">n y Control de las </w:t>
      </w:r>
      <w:r>
        <w:rPr>
          <w:spacing w:val="-1"/>
          <w:sz w:val="16"/>
          <w:szCs w:val="16"/>
          <w:lang w:val="es-ES_tradnl"/>
        </w:rPr>
        <w:t>Telecomunicaciones (ARCOTEL) como persona jur</w:t>
      </w:r>
      <w:r>
        <w:rPr>
          <w:rFonts w:cs="Times New Roman"/>
          <w:spacing w:val="-1"/>
          <w:sz w:val="16"/>
          <w:szCs w:val="16"/>
          <w:lang w:val="es-ES_tradnl"/>
        </w:rPr>
        <w:t>í</w:t>
      </w:r>
      <w:r>
        <w:rPr>
          <w:spacing w:val="-1"/>
          <w:sz w:val="16"/>
          <w:szCs w:val="16"/>
          <w:lang w:val="es-ES_tradnl"/>
        </w:rPr>
        <w:t xml:space="preserve">dica </w:t>
      </w:r>
      <w:r>
        <w:rPr>
          <w:spacing w:val="-5"/>
          <w:sz w:val="16"/>
          <w:szCs w:val="16"/>
          <w:lang w:val="es-ES_tradnl"/>
        </w:rPr>
        <w:t>de derecho p</w:t>
      </w:r>
      <w:r>
        <w:rPr>
          <w:rFonts w:cs="Times New Roman"/>
          <w:spacing w:val="-5"/>
          <w:sz w:val="16"/>
          <w:szCs w:val="16"/>
          <w:lang w:val="es-ES_tradnl"/>
        </w:rPr>
        <w:t>ú</w:t>
      </w:r>
      <w:r>
        <w:rPr>
          <w:spacing w:val="-5"/>
          <w:sz w:val="16"/>
          <w:szCs w:val="16"/>
          <w:lang w:val="es-ES_tradnl"/>
        </w:rPr>
        <w:t>blico, con autonom</w:t>
      </w:r>
      <w:r>
        <w:rPr>
          <w:rFonts w:cs="Times New Roman"/>
          <w:spacing w:val="-5"/>
          <w:sz w:val="16"/>
          <w:szCs w:val="16"/>
          <w:lang w:val="es-ES_tradnl"/>
        </w:rPr>
        <w:t>í</w:t>
      </w:r>
      <w:r>
        <w:rPr>
          <w:spacing w:val="-5"/>
          <w:sz w:val="16"/>
          <w:szCs w:val="16"/>
          <w:lang w:val="es-ES_tradnl"/>
        </w:rPr>
        <w:t>a administrativa, t</w:t>
      </w:r>
      <w:r>
        <w:rPr>
          <w:rFonts w:cs="Times New Roman"/>
          <w:spacing w:val="-5"/>
          <w:sz w:val="16"/>
          <w:szCs w:val="16"/>
          <w:lang w:val="es-ES_tradnl"/>
        </w:rPr>
        <w:t>é</w:t>
      </w:r>
      <w:r>
        <w:rPr>
          <w:spacing w:val="-5"/>
          <w:sz w:val="16"/>
          <w:szCs w:val="16"/>
          <w:lang w:val="es-ES_tradnl"/>
        </w:rPr>
        <w:t xml:space="preserve">cnica, </w:t>
      </w:r>
      <w:r>
        <w:rPr>
          <w:sz w:val="16"/>
          <w:szCs w:val="16"/>
          <w:lang w:val="es-ES_tradnl"/>
        </w:rPr>
        <w:t>econ</w:t>
      </w:r>
      <w:r>
        <w:rPr>
          <w:rFonts w:cs="Times New Roman"/>
          <w:sz w:val="16"/>
          <w:szCs w:val="16"/>
          <w:lang w:val="es-ES_tradnl"/>
        </w:rPr>
        <w:t>ó</w:t>
      </w:r>
      <w:r>
        <w:rPr>
          <w:sz w:val="16"/>
          <w:szCs w:val="16"/>
          <w:lang w:val="es-ES_tradnl"/>
        </w:rPr>
        <w:t xml:space="preserve">mica, financiera y patrimonio propio, adscrita </w:t>
      </w:r>
      <w:r>
        <w:rPr>
          <w:spacing w:val="-1"/>
          <w:sz w:val="16"/>
          <w:szCs w:val="16"/>
          <w:lang w:val="es-ES_tradnl"/>
        </w:rPr>
        <w:t xml:space="preserve">al Ministerio rector de las Telecomunicaciones y de la </w:t>
      </w:r>
      <w:r>
        <w:rPr>
          <w:sz w:val="16"/>
          <w:szCs w:val="16"/>
          <w:lang w:val="es-ES_tradnl"/>
        </w:rPr>
        <w:t>Sociedad de la Informaci</w:t>
      </w:r>
      <w:r>
        <w:rPr>
          <w:rFonts w:cs="Times New Roman"/>
          <w:sz w:val="16"/>
          <w:szCs w:val="16"/>
          <w:lang w:val="es-ES_tradnl"/>
        </w:rPr>
        <w:t>ó</w:t>
      </w:r>
      <w:r>
        <w:rPr>
          <w:sz w:val="16"/>
          <w:szCs w:val="16"/>
          <w:lang w:val="es-ES_tradnl"/>
        </w:rPr>
        <w:t>n. La Agencia de Regulaci</w:t>
      </w:r>
      <w:r>
        <w:rPr>
          <w:rFonts w:cs="Times New Roman"/>
          <w:sz w:val="16"/>
          <w:szCs w:val="16"/>
          <w:lang w:val="es-ES_tradnl"/>
        </w:rPr>
        <w:t>ó</w:t>
      </w:r>
      <w:r>
        <w:rPr>
          <w:sz w:val="16"/>
          <w:szCs w:val="16"/>
          <w:lang w:val="es-ES_tradnl"/>
        </w:rPr>
        <w:t xml:space="preserve">n y Control de las Telecomunicaciones </w:t>
      </w:r>
      <w:r>
        <w:rPr>
          <w:b/>
          <w:bCs/>
          <w:sz w:val="16"/>
          <w:szCs w:val="16"/>
          <w:lang w:val="es-ES_tradnl"/>
        </w:rPr>
        <w:t xml:space="preserve">es la entidad </w:t>
      </w:r>
      <w:r>
        <w:rPr>
          <w:b/>
          <w:bCs/>
          <w:spacing w:val="-1"/>
          <w:sz w:val="16"/>
          <w:szCs w:val="16"/>
          <w:lang w:val="es-ES_tradnl"/>
        </w:rPr>
        <w:t>encargada de la administraci</w:t>
      </w:r>
      <w:r>
        <w:rPr>
          <w:rFonts w:cs="Times New Roman"/>
          <w:b/>
          <w:bCs/>
          <w:spacing w:val="-1"/>
          <w:sz w:val="16"/>
          <w:szCs w:val="16"/>
          <w:lang w:val="es-ES_tradnl"/>
        </w:rPr>
        <w:t>ó</w:t>
      </w:r>
      <w:r>
        <w:rPr>
          <w:b/>
          <w:bCs/>
          <w:spacing w:val="-1"/>
          <w:sz w:val="16"/>
          <w:szCs w:val="16"/>
          <w:lang w:val="es-ES_tradnl"/>
        </w:rPr>
        <w:t>n, regulaci</w:t>
      </w:r>
      <w:r>
        <w:rPr>
          <w:rFonts w:cs="Times New Roman"/>
          <w:b/>
          <w:bCs/>
          <w:spacing w:val="-1"/>
          <w:sz w:val="16"/>
          <w:szCs w:val="16"/>
          <w:lang w:val="es-ES_tradnl"/>
        </w:rPr>
        <w:t>ó</w:t>
      </w:r>
      <w:r>
        <w:rPr>
          <w:b/>
          <w:bCs/>
          <w:spacing w:val="-1"/>
          <w:sz w:val="16"/>
          <w:szCs w:val="16"/>
          <w:lang w:val="es-ES_tradnl"/>
        </w:rPr>
        <w:t xml:space="preserve">n y control </w:t>
      </w:r>
      <w:r>
        <w:rPr>
          <w:b/>
          <w:bCs/>
          <w:spacing w:val="-9"/>
          <w:sz w:val="16"/>
          <w:szCs w:val="16"/>
          <w:lang w:val="es-ES_tradnl"/>
        </w:rPr>
        <w:t>de las telecomunicaciones y del espectro radioel</w:t>
      </w:r>
      <w:r>
        <w:rPr>
          <w:rFonts w:cs="Times New Roman"/>
          <w:b/>
          <w:bCs/>
          <w:spacing w:val="-9"/>
          <w:sz w:val="16"/>
          <w:szCs w:val="16"/>
          <w:lang w:val="es-ES_tradnl"/>
        </w:rPr>
        <w:t>é</w:t>
      </w:r>
      <w:r>
        <w:rPr>
          <w:b/>
          <w:bCs/>
          <w:spacing w:val="-9"/>
          <w:sz w:val="16"/>
          <w:szCs w:val="16"/>
          <w:lang w:val="es-ES_tradnl"/>
        </w:rPr>
        <w:t xml:space="preserve">ctrico y </w:t>
      </w:r>
      <w:r>
        <w:rPr>
          <w:b/>
          <w:bCs/>
          <w:spacing w:val="-6"/>
          <w:sz w:val="16"/>
          <w:szCs w:val="16"/>
          <w:lang w:val="es-ES_tradnl"/>
        </w:rPr>
        <w:t>su gesti</w:t>
      </w:r>
      <w:r>
        <w:rPr>
          <w:rFonts w:cs="Times New Roman"/>
          <w:b/>
          <w:bCs/>
          <w:spacing w:val="-6"/>
          <w:sz w:val="16"/>
          <w:szCs w:val="16"/>
          <w:lang w:val="es-ES_tradnl"/>
        </w:rPr>
        <w:t>ó</w:t>
      </w:r>
      <w:r>
        <w:rPr>
          <w:b/>
          <w:bCs/>
          <w:spacing w:val="-6"/>
          <w:sz w:val="16"/>
          <w:szCs w:val="16"/>
          <w:lang w:val="es-ES_tradnl"/>
        </w:rPr>
        <w:t>n</w:t>
      </w:r>
      <w:r>
        <w:rPr>
          <w:spacing w:val="-6"/>
          <w:sz w:val="16"/>
          <w:szCs w:val="16"/>
          <w:lang w:val="es-ES_tradnl"/>
        </w:rPr>
        <w:t>, as</w:t>
      </w:r>
      <w:r>
        <w:rPr>
          <w:rFonts w:cs="Times New Roman"/>
          <w:spacing w:val="-6"/>
          <w:sz w:val="16"/>
          <w:szCs w:val="16"/>
          <w:lang w:val="es-ES_tradnl"/>
        </w:rPr>
        <w:t>í</w:t>
      </w:r>
      <w:r>
        <w:rPr>
          <w:spacing w:val="-6"/>
          <w:sz w:val="16"/>
          <w:szCs w:val="16"/>
          <w:lang w:val="es-ES_tradnl"/>
        </w:rPr>
        <w:t xml:space="preserve"> como de los aspectos t</w:t>
      </w:r>
      <w:r>
        <w:rPr>
          <w:rFonts w:cs="Times New Roman"/>
          <w:spacing w:val="-6"/>
          <w:sz w:val="16"/>
          <w:szCs w:val="16"/>
          <w:lang w:val="es-ES_tradnl"/>
        </w:rPr>
        <w:t>é</w:t>
      </w:r>
      <w:r>
        <w:rPr>
          <w:spacing w:val="-6"/>
          <w:sz w:val="16"/>
          <w:szCs w:val="16"/>
          <w:lang w:val="es-ES_tradnl"/>
        </w:rPr>
        <w:t>cnicos de la gesti</w:t>
      </w:r>
      <w:r>
        <w:rPr>
          <w:rFonts w:cs="Times New Roman"/>
          <w:spacing w:val="-6"/>
          <w:sz w:val="16"/>
          <w:szCs w:val="16"/>
          <w:lang w:val="es-ES_tradnl"/>
        </w:rPr>
        <w:t>ó</w:t>
      </w:r>
      <w:r>
        <w:rPr>
          <w:spacing w:val="-6"/>
          <w:sz w:val="16"/>
          <w:szCs w:val="16"/>
          <w:lang w:val="es-ES_tradnl"/>
        </w:rPr>
        <w:t xml:space="preserve">n </w:t>
      </w:r>
      <w:r>
        <w:rPr>
          <w:spacing w:val="-7"/>
          <w:sz w:val="16"/>
          <w:szCs w:val="16"/>
          <w:lang w:val="es-ES_tradnl"/>
        </w:rPr>
        <w:t>de medios de comunicaci</w:t>
      </w:r>
      <w:r>
        <w:rPr>
          <w:rFonts w:cs="Times New Roman"/>
          <w:spacing w:val="-7"/>
          <w:sz w:val="16"/>
          <w:szCs w:val="16"/>
          <w:lang w:val="es-ES_tradnl"/>
        </w:rPr>
        <w:t>ó</w:t>
      </w:r>
      <w:r>
        <w:rPr>
          <w:spacing w:val="-7"/>
          <w:sz w:val="16"/>
          <w:szCs w:val="16"/>
          <w:lang w:val="es-ES_tradnl"/>
        </w:rPr>
        <w:t xml:space="preserve">n social que usen frecuencias del </w:t>
      </w:r>
      <w:r>
        <w:rPr>
          <w:spacing w:val="-6"/>
          <w:sz w:val="16"/>
          <w:szCs w:val="16"/>
          <w:lang w:val="es-ES_tradnl"/>
        </w:rPr>
        <w:t>espectro radioel</w:t>
      </w:r>
      <w:r>
        <w:rPr>
          <w:rFonts w:cs="Times New Roman"/>
          <w:spacing w:val="-6"/>
          <w:sz w:val="16"/>
          <w:szCs w:val="16"/>
          <w:lang w:val="es-ES_tradnl"/>
        </w:rPr>
        <w:t>é</w:t>
      </w:r>
      <w:r>
        <w:rPr>
          <w:spacing w:val="-6"/>
          <w:sz w:val="16"/>
          <w:szCs w:val="16"/>
          <w:lang w:val="es-ES_tradnl"/>
        </w:rPr>
        <w:t>ctrico o que instalen y operen redes</w:t>
      </w:r>
      <w:r>
        <w:rPr>
          <w:spacing w:val="-6"/>
          <w:sz w:val="16"/>
          <w:szCs w:val="16"/>
          <w:vertAlign w:val="superscript"/>
          <w:lang w:val="es-ES_tradnl"/>
        </w:rPr>
        <w:t>4</w:t>
      </w:r>
      <w:r>
        <w:rPr>
          <w:spacing w:val="-6"/>
          <w:sz w:val="16"/>
          <w:szCs w:val="16"/>
          <w:lang w:val="es-ES_tradnl"/>
        </w:rPr>
        <w:t xml:space="preserve">. (Lo </w:t>
      </w:r>
      <w:r>
        <w:rPr>
          <w:sz w:val="16"/>
          <w:szCs w:val="16"/>
          <w:lang w:val="es-ES_tradnl"/>
        </w:rPr>
        <w:t>resaltado fuera del texto).</w:t>
      </w:r>
    </w:p>
    <w:p w14:paraId="4F67A89D" w14:textId="77777777" w:rsidR="00591D54" w:rsidRDefault="00591D54">
      <w:pPr>
        <w:shd w:val="clear" w:color="auto" w:fill="FFFFFF"/>
        <w:spacing w:before="197" w:line="216" w:lineRule="exact"/>
        <w:jc w:val="both"/>
      </w:pPr>
      <w:r>
        <w:rPr>
          <w:sz w:val="18"/>
          <w:szCs w:val="18"/>
          <w:lang w:val="es-ES_tradnl"/>
        </w:rPr>
        <w:t>Por tanto, la administraci</w:t>
      </w:r>
      <w:r>
        <w:rPr>
          <w:rFonts w:cs="Times New Roman"/>
          <w:sz w:val="18"/>
          <w:szCs w:val="18"/>
          <w:lang w:val="es-ES_tradnl"/>
        </w:rPr>
        <w:t>ó</w:t>
      </w:r>
      <w:r>
        <w:rPr>
          <w:sz w:val="18"/>
          <w:szCs w:val="18"/>
          <w:lang w:val="es-ES_tradnl"/>
        </w:rPr>
        <w:t>n, regulaci</w:t>
      </w:r>
      <w:r>
        <w:rPr>
          <w:rFonts w:cs="Times New Roman"/>
          <w:sz w:val="18"/>
          <w:szCs w:val="18"/>
          <w:lang w:val="es-ES_tradnl"/>
        </w:rPr>
        <w:t>ó</w:t>
      </w:r>
      <w:r>
        <w:rPr>
          <w:sz w:val="18"/>
          <w:szCs w:val="18"/>
          <w:lang w:val="es-ES_tradnl"/>
        </w:rPr>
        <w:t xml:space="preserve">n y control de </w:t>
      </w:r>
      <w:r>
        <w:rPr>
          <w:spacing w:val="-7"/>
          <w:sz w:val="18"/>
          <w:szCs w:val="18"/>
          <w:lang w:val="es-ES_tradnl"/>
        </w:rPr>
        <w:t>las telecomunicaciones y del espectro radioel</w:t>
      </w:r>
      <w:r>
        <w:rPr>
          <w:rFonts w:cs="Times New Roman"/>
          <w:spacing w:val="-7"/>
          <w:sz w:val="18"/>
          <w:szCs w:val="18"/>
          <w:lang w:val="es-ES_tradnl"/>
        </w:rPr>
        <w:t>é</w:t>
      </w:r>
      <w:r>
        <w:rPr>
          <w:spacing w:val="-7"/>
          <w:sz w:val="18"/>
          <w:szCs w:val="18"/>
          <w:lang w:val="es-ES_tradnl"/>
        </w:rPr>
        <w:t xml:space="preserve">ctrico es </w:t>
      </w:r>
      <w:r>
        <w:rPr>
          <w:spacing w:val="-9"/>
          <w:sz w:val="18"/>
          <w:szCs w:val="18"/>
          <w:lang w:val="es-ES_tradnl"/>
        </w:rPr>
        <w:t>desarrollada a trav</w:t>
      </w:r>
      <w:r>
        <w:rPr>
          <w:rFonts w:cs="Times New Roman"/>
          <w:spacing w:val="-9"/>
          <w:sz w:val="18"/>
          <w:szCs w:val="18"/>
          <w:lang w:val="es-ES_tradnl"/>
        </w:rPr>
        <w:t>é</w:t>
      </w:r>
      <w:r>
        <w:rPr>
          <w:spacing w:val="-9"/>
          <w:sz w:val="18"/>
          <w:szCs w:val="18"/>
          <w:lang w:val="es-ES_tradnl"/>
        </w:rPr>
        <w:t>s de la Agencia de Regulaci</w:t>
      </w:r>
      <w:r>
        <w:rPr>
          <w:rFonts w:cs="Times New Roman"/>
          <w:spacing w:val="-9"/>
          <w:sz w:val="18"/>
          <w:szCs w:val="18"/>
          <w:lang w:val="es-ES_tradnl"/>
        </w:rPr>
        <w:t>ó</w:t>
      </w:r>
      <w:r>
        <w:rPr>
          <w:spacing w:val="-9"/>
          <w:sz w:val="18"/>
          <w:szCs w:val="18"/>
          <w:lang w:val="es-ES_tradnl"/>
        </w:rPr>
        <w:t xml:space="preserve">n y Control </w:t>
      </w:r>
      <w:r>
        <w:rPr>
          <w:spacing w:val="-10"/>
          <w:sz w:val="18"/>
          <w:szCs w:val="18"/>
          <w:lang w:val="es-ES_tradnl"/>
        </w:rPr>
        <w:t xml:space="preserve">de las Telecomunicaciones, competencia que anteriormente </w:t>
      </w:r>
      <w:r>
        <w:rPr>
          <w:spacing w:val="-7"/>
          <w:sz w:val="18"/>
          <w:szCs w:val="18"/>
          <w:lang w:val="es-ES_tradnl"/>
        </w:rPr>
        <w:t>la ejerc</w:t>
      </w:r>
      <w:r>
        <w:rPr>
          <w:rFonts w:cs="Times New Roman"/>
          <w:spacing w:val="-7"/>
          <w:sz w:val="18"/>
          <w:szCs w:val="18"/>
          <w:lang w:val="es-ES_tradnl"/>
        </w:rPr>
        <w:t>í</w:t>
      </w:r>
      <w:r>
        <w:rPr>
          <w:spacing w:val="-7"/>
          <w:sz w:val="18"/>
          <w:szCs w:val="18"/>
          <w:lang w:val="es-ES_tradnl"/>
        </w:rPr>
        <w:t xml:space="preserve">a el Consejo Nacional de Telecomunicaciones </w:t>
      </w:r>
      <w:r>
        <w:rPr>
          <w:spacing w:val="-4"/>
          <w:sz w:val="18"/>
          <w:szCs w:val="18"/>
          <w:lang w:val="es-ES_tradnl"/>
        </w:rPr>
        <w:t>(CONATEL), pues, de conformidad con la Ley Org</w:t>
      </w:r>
      <w:r>
        <w:rPr>
          <w:rFonts w:cs="Times New Roman"/>
          <w:spacing w:val="-4"/>
          <w:sz w:val="18"/>
          <w:szCs w:val="18"/>
          <w:lang w:val="es-ES_tradnl"/>
        </w:rPr>
        <w:t>á</w:t>
      </w:r>
      <w:r>
        <w:rPr>
          <w:spacing w:val="-4"/>
          <w:sz w:val="18"/>
          <w:szCs w:val="18"/>
          <w:lang w:val="es-ES_tradnl"/>
        </w:rPr>
        <w:t xml:space="preserve">nica </w:t>
      </w:r>
      <w:r>
        <w:rPr>
          <w:spacing w:val="-6"/>
          <w:sz w:val="18"/>
          <w:szCs w:val="18"/>
          <w:lang w:val="es-ES_tradnl"/>
        </w:rPr>
        <w:t>de Telecomunicaciones publicada en el Registro Oficial Suplemento N.</w:t>
      </w:r>
      <w:r>
        <w:rPr>
          <w:rFonts w:cs="Times New Roman"/>
          <w:spacing w:val="-6"/>
          <w:sz w:val="18"/>
          <w:szCs w:val="18"/>
          <w:lang w:val="es-ES_tradnl"/>
        </w:rPr>
        <w:t>º</w:t>
      </w:r>
      <w:r>
        <w:rPr>
          <w:spacing w:val="-6"/>
          <w:sz w:val="18"/>
          <w:szCs w:val="18"/>
          <w:lang w:val="es-ES_tradnl"/>
        </w:rPr>
        <w:t xml:space="preserve"> 439 del 18 de febrero de 2015 en su </w:t>
      </w:r>
      <w:r>
        <w:rPr>
          <w:sz w:val="18"/>
          <w:szCs w:val="18"/>
          <w:lang w:val="es-ES_tradnl"/>
        </w:rPr>
        <w:t>disposici</w:t>
      </w:r>
      <w:r>
        <w:rPr>
          <w:rFonts w:cs="Times New Roman"/>
          <w:sz w:val="18"/>
          <w:szCs w:val="18"/>
          <w:lang w:val="es-ES_tradnl"/>
        </w:rPr>
        <w:t>ó</w:t>
      </w:r>
      <w:r>
        <w:rPr>
          <w:sz w:val="18"/>
          <w:szCs w:val="18"/>
          <w:lang w:val="es-ES_tradnl"/>
        </w:rPr>
        <w:t>n final cuarta, manifiesta que:</w:t>
      </w:r>
    </w:p>
    <w:p w14:paraId="4F67A89E" w14:textId="77777777" w:rsidR="00591D54" w:rsidRDefault="00591D54">
      <w:pPr>
        <w:shd w:val="clear" w:color="auto" w:fill="FFFFFF"/>
        <w:spacing w:before="202" w:line="216" w:lineRule="exact"/>
        <w:ind w:left="283"/>
        <w:jc w:val="both"/>
      </w:pPr>
      <w:r>
        <w:rPr>
          <w:spacing w:val="-9"/>
          <w:sz w:val="16"/>
          <w:szCs w:val="16"/>
          <w:lang w:val="es-ES_tradnl"/>
        </w:rPr>
        <w:t>La Agencia de Regulaci</w:t>
      </w:r>
      <w:r>
        <w:rPr>
          <w:rFonts w:cs="Times New Roman"/>
          <w:spacing w:val="-9"/>
          <w:sz w:val="16"/>
          <w:szCs w:val="16"/>
          <w:lang w:val="es-ES_tradnl"/>
        </w:rPr>
        <w:t>ó</w:t>
      </w:r>
      <w:r>
        <w:rPr>
          <w:spacing w:val="-9"/>
          <w:sz w:val="16"/>
          <w:szCs w:val="16"/>
          <w:lang w:val="es-ES_tradnl"/>
        </w:rPr>
        <w:t xml:space="preserve">n y Control de las Telecomunicaciones </w:t>
      </w:r>
      <w:r>
        <w:rPr>
          <w:spacing w:val="-6"/>
          <w:sz w:val="16"/>
          <w:szCs w:val="16"/>
          <w:lang w:val="es-ES_tradnl"/>
        </w:rPr>
        <w:t>ejercer</w:t>
      </w:r>
      <w:r>
        <w:rPr>
          <w:rFonts w:cs="Times New Roman"/>
          <w:spacing w:val="-6"/>
          <w:sz w:val="16"/>
          <w:szCs w:val="16"/>
          <w:lang w:val="es-ES_tradnl"/>
        </w:rPr>
        <w:t>á</w:t>
      </w:r>
      <w:r>
        <w:rPr>
          <w:spacing w:val="-6"/>
          <w:sz w:val="16"/>
          <w:szCs w:val="16"/>
          <w:lang w:val="es-ES_tradnl"/>
        </w:rPr>
        <w:t xml:space="preserve"> las funciones de regulaci</w:t>
      </w:r>
      <w:r>
        <w:rPr>
          <w:rFonts w:cs="Times New Roman"/>
          <w:spacing w:val="-6"/>
          <w:sz w:val="16"/>
          <w:szCs w:val="16"/>
          <w:lang w:val="es-ES_tradnl"/>
        </w:rPr>
        <w:t>ó</w:t>
      </w:r>
      <w:r>
        <w:rPr>
          <w:spacing w:val="-6"/>
          <w:sz w:val="16"/>
          <w:szCs w:val="16"/>
          <w:lang w:val="es-ES_tradnl"/>
        </w:rPr>
        <w:t>n, control y administraci</w:t>
      </w:r>
      <w:r>
        <w:rPr>
          <w:rFonts w:cs="Times New Roman"/>
          <w:spacing w:val="-6"/>
          <w:sz w:val="16"/>
          <w:szCs w:val="16"/>
          <w:lang w:val="es-ES_tradnl"/>
        </w:rPr>
        <w:t>ó</w:t>
      </w:r>
      <w:r>
        <w:rPr>
          <w:spacing w:val="-6"/>
          <w:sz w:val="16"/>
          <w:szCs w:val="16"/>
          <w:lang w:val="es-ES_tradnl"/>
        </w:rPr>
        <w:t xml:space="preserve">n atribuidas al Consejo Nacional de Telecomunicaciones, </w:t>
      </w:r>
      <w:r>
        <w:rPr>
          <w:spacing w:val="-3"/>
          <w:sz w:val="16"/>
          <w:szCs w:val="16"/>
          <w:lang w:val="es-ES_tradnl"/>
        </w:rPr>
        <w:t>Superintendencia de Telecomunicaciones y Secretar</w:t>
      </w:r>
      <w:r>
        <w:rPr>
          <w:rFonts w:cs="Times New Roman"/>
          <w:spacing w:val="-3"/>
          <w:sz w:val="16"/>
          <w:szCs w:val="16"/>
          <w:lang w:val="es-ES_tradnl"/>
        </w:rPr>
        <w:t>í</w:t>
      </w:r>
      <w:r>
        <w:rPr>
          <w:spacing w:val="-3"/>
          <w:sz w:val="16"/>
          <w:szCs w:val="16"/>
          <w:lang w:val="es-ES_tradnl"/>
        </w:rPr>
        <w:t xml:space="preserve">a </w:t>
      </w:r>
      <w:r>
        <w:rPr>
          <w:spacing w:val="-6"/>
          <w:sz w:val="16"/>
          <w:szCs w:val="16"/>
          <w:lang w:val="es-ES_tradnl"/>
        </w:rPr>
        <w:t xml:space="preserve">Nacional de Telecomunicaciones en la Ley de Comercio </w:t>
      </w:r>
      <w:r>
        <w:rPr>
          <w:spacing w:val="-5"/>
          <w:sz w:val="16"/>
          <w:szCs w:val="16"/>
          <w:lang w:val="es-ES_tradnl"/>
        </w:rPr>
        <w:t>Electr</w:t>
      </w:r>
      <w:r>
        <w:rPr>
          <w:rFonts w:cs="Times New Roman"/>
          <w:spacing w:val="-5"/>
          <w:sz w:val="16"/>
          <w:szCs w:val="16"/>
          <w:lang w:val="es-ES_tradnl"/>
        </w:rPr>
        <w:t>ó</w:t>
      </w:r>
      <w:r>
        <w:rPr>
          <w:spacing w:val="-5"/>
          <w:sz w:val="16"/>
          <w:szCs w:val="16"/>
          <w:lang w:val="es-ES_tradnl"/>
        </w:rPr>
        <w:t>nico, Firmas Electr</w:t>
      </w:r>
      <w:r>
        <w:rPr>
          <w:rFonts w:cs="Times New Roman"/>
          <w:spacing w:val="-5"/>
          <w:sz w:val="16"/>
          <w:szCs w:val="16"/>
          <w:lang w:val="es-ES_tradnl"/>
        </w:rPr>
        <w:t>ó</w:t>
      </w:r>
      <w:r>
        <w:rPr>
          <w:spacing w:val="-5"/>
          <w:sz w:val="16"/>
          <w:szCs w:val="16"/>
          <w:lang w:val="es-ES_tradnl"/>
        </w:rPr>
        <w:t xml:space="preserve">nicas y Mensajes de Datos, su </w:t>
      </w:r>
      <w:r>
        <w:rPr>
          <w:sz w:val="16"/>
          <w:szCs w:val="16"/>
          <w:lang w:val="es-ES_tradnl"/>
        </w:rPr>
        <w:t>Reglamento General y dem</w:t>
      </w:r>
      <w:r>
        <w:rPr>
          <w:rFonts w:cs="Times New Roman"/>
          <w:sz w:val="16"/>
          <w:szCs w:val="16"/>
          <w:lang w:val="es-ES_tradnl"/>
        </w:rPr>
        <w:t>á</w:t>
      </w:r>
      <w:r>
        <w:rPr>
          <w:sz w:val="16"/>
          <w:szCs w:val="16"/>
          <w:lang w:val="es-ES_tradnl"/>
        </w:rPr>
        <w:t>s normativa.</w:t>
      </w:r>
    </w:p>
    <w:p w14:paraId="4F67A89F" w14:textId="77777777" w:rsidR="00591D54" w:rsidRDefault="00591D54">
      <w:pPr>
        <w:shd w:val="clear" w:color="auto" w:fill="FFFFFF"/>
        <w:spacing w:before="202" w:line="216" w:lineRule="exact"/>
        <w:jc w:val="both"/>
      </w:pPr>
      <w:r>
        <w:rPr>
          <w:spacing w:val="-9"/>
          <w:sz w:val="18"/>
          <w:szCs w:val="18"/>
          <w:lang w:val="es-ES_tradnl"/>
        </w:rPr>
        <w:t xml:space="preserve">De tal modo, que dentro de las competencias de la Agencia </w:t>
      </w:r>
      <w:r>
        <w:rPr>
          <w:spacing w:val="-6"/>
          <w:sz w:val="18"/>
          <w:szCs w:val="18"/>
          <w:lang w:val="es-ES_tradnl"/>
        </w:rPr>
        <w:t>de Regulaci</w:t>
      </w:r>
      <w:r>
        <w:rPr>
          <w:rFonts w:cs="Times New Roman"/>
          <w:spacing w:val="-6"/>
          <w:sz w:val="18"/>
          <w:szCs w:val="18"/>
          <w:lang w:val="es-ES_tradnl"/>
        </w:rPr>
        <w:t>ó</w:t>
      </w:r>
      <w:r>
        <w:rPr>
          <w:spacing w:val="-6"/>
          <w:sz w:val="18"/>
          <w:szCs w:val="18"/>
          <w:lang w:val="es-ES_tradnl"/>
        </w:rPr>
        <w:t>n y Control de las Telecomunicaciones establecidas en la Ley Org</w:t>
      </w:r>
      <w:r>
        <w:rPr>
          <w:rFonts w:cs="Times New Roman"/>
          <w:spacing w:val="-6"/>
          <w:sz w:val="18"/>
          <w:szCs w:val="18"/>
          <w:lang w:val="es-ES_tradnl"/>
        </w:rPr>
        <w:t>á</w:t>
      </w:r>
      <w:r>
        <w:rPr>
          <w:spacing w:val="-6"/>
          <w:sz w:val="18"/>
          <w:szCs w:val="18"/>
          <w:lang w:val="es-ES_tradnl"/>
        </w:rPr>
        <w:t>nica de Telecomunicaciones,</w:t>
      </w:r>
    </w:p>
    <w:p w14:paraId="4F67A8A0" w14:textId="77777777" w:rsidR="00591D54" w:rsidRDefault="00591D54">
      <w:pPr>
        <w:shd w:val="clear" w:color="auto" w:fill="FFFFFF"/>
        <w:tabs>
          <w:tab w:val="left" w:pos="139"/>
        </w:tabs>
        <w:spacing w:before="379" w:line="178" w:lineRule="exact"/>
        <w:ind w:left="139" w:right="5" w:hanging="139"/>
        <w:jc w:val="both"/>
      </w:pPr>
      <w:r>
        <w:rPr>
          <w:sz w:val="10"/>
          <w:szCs w:val="10"/>
          <w:vertAlign w:val="superscript"/>
          <w:lang w:val="es-ES_tradnl"/>
        </w:rPr>
        <w:t>3</w:t>
      </w:r>
      <w:r>
        <w:rPr>
          <w:sz w:val="18"/>
          <w:szCs w:val="18"/>
          <w:lang w:val="es-ES_tradnl"/>
        </w:rPr>
        <w:tab/>
      </w:r>
      <w:r>
        <w:rPr>
          <w:spacing w:val="-6"/>
          <w:sz w:val="16"/>
          <w:szCs w:val="16"/>
          <w:lang w:val="es-ES_tradnl"/>
        </w:rPr>
        <w:t>Constituci</w:t>
      </w:r>
      <w:r>
        <w:rPr>
          <w:rFonts w:cs="Times New Roman"/>
          <w:spacing w:val="-6"/>
          <w:sz w:val="16"/>
          <w:szCs w:val="16"/>
          <w:lang w:val="es-ES_tradnl"/>
        </w:rPr>
        <w:t>ó</w:t>
      </w:r>
      <w:r>
        <w:rPr>
          <w:spacing w:val="-6"/>
          <w:sz w:val="16"/>
          <w:szCs w:val="16"/>
          <w:lang w:val="es-ES_tradnl"/>
        </w:rPr>
        <w:t>n</w:t>
      </w:r>
      <w:r>
        <w:rPr>
          <w:spacing w:val="-6"/>
          <w:sz w:val="18"/>
          <w:szCs w:val="18"/>
          <w:lang w:val="es-ES_tradnl"/>
        </w:rPr>
        <w:t xml:space="preserve"> </w:t>
      </w:r>
      <w:r>
        <w:rPr>
          <w:spacing w:val="-6"/>
          <w:sz w:val="16"/>
          <w:szCs w:val="16"/>
          <w:lang w:val="es-ES_tradnl"/>
        </w:rPr>
        <w:t>de</w:t>
      </w:r>
      <w:r>
        <w:rPr>
          <w:spacing w:val="-6"/>
          <w:sz w:val="18"/>
          <w:szCs w:val="18"/>
          <w:lang w:val="es-ES_tradnl"/>
        </w:rPr>
        <w:t xml:space="preserve"> </w:t>
      </w:r>
      <w:r>
        <w:rPr>
          <w:spacing w:val="-6"/>
          <w:sz w:val="16"/>
          <w:szCs w:val="16"/>
          <w:lang w:val="es-ES_tradnl"/>
        </w:rPr>
        <w:t>la</w:t>
      </w:r>
      <w:r>
        <w:rPr>
          <w:spacing w:val="-6"/>
          <w:sz w:val="18"/>
          <w:szCs w:val="18"/>
          <w:lang w:val="es-ES_tradnl"/>
        </w:rPr>
        <w:t xml:space="preserve"> </w:t>
      </w:r>
      <w:r>
        <w:rPr>
          <w:spacing w:val="-6"/>
          <w:sz w:val="16"/>
          <w:szCs w:val="16"/>
          <w:lang w:val="es-ES_tradnl"/>
        </w:rPr>
        <w:t>Rep</w:t>
      </w:r>
      <w:r>
        <w:rPr>
          <w:rFonts w:cs="Times New Roman"/>
          <w:spacing w:val="-6"/>
          <w:sz w:val="16"/>
          <w:szCs w:val="16"/>
          <w:lang w:val="es-ES_tradnl"/>
        </w:rPr>
        <w:t>ú</w:t>
      </w:r>
      <w:r>
        <w:rPr>
          <w:spacing w:val="-6"/>
          <w:sz w:val="16"/>
          <w:szCs w:val="16"/>
          <w:lang w:val="es-ES_tradnl"/>
        </w:rPr>
        <w:t>blica</w:t>
      </w:r>
      <w:r>
        <w:rPr>
          <w:spacing w:val="-6"/>
          <w:sz w:val="18"/>
          <w:szCs w:val="18"/>
          <w:lang w:val="es-ES_tradnl"/>
        </w:rPr>
        <w:t xml:space="preserve"> </w:t>
      </w:r>
      <w:r>
        <w:rPr>
          <w:spacing w:val="-6"/>
          <w:sz w:val="16"/>
          <w:szCs w:val="16"/>
          <w:lang w:val="es-ES_tradnl"/>
        </w:rPr>
        <w:t>del</w:t>
      </w:r>
      <w:r>
        <w:rPr>
          <w:spacing w:val="-6"/>
          <w:sz w:val="18"/>
          <w:szCs w:val="18"/>
          <w:lang w:val="es-ES_tradnl"/>
        </w:rPr>
        <w:t xml:space="preserve"> </w:t>
      </w:r>
      <w:r>
        <w:rPr>
          <w:spacing w:val="-6"/>
          <w:sz w:val="16"/>
          <w:szCs w:val="16"/>
          <w:lang w:val="es-ES_tradnl"/>
        </w:rPr>
        <w:t>Ecuador</w:t>
      </w:r>
      <w:r>
        <w:rPr>
          <w:spacing w:val="-6"/>
          <w:sz w:val="18"/>
          <w:szCs w:val="18"/>
          <w:lang w:val="es-ES_tradnl"/>
        </w:rPr>
        <w:t xml:space="preserve"> </w:t>
      </w:r>
      <w:r>
        <w:rPr>
          <w:rFonts w:cs="Times New Roman"/>
          <w:b/>
          <w:bCs/>
          <w:spacing w:val="-6"/>
          <w:sz w:val="16"/>
          <w:szCs w:val="16"/>
          <w:lang w:val="es-ES_tradnl"/>
        </w:rPr>
        <w:t>“</w:t>
      </w:r>
      <w:r>
        <w:rPr>
          <w:b/>
          <w:bCs/>
          <w:spacing w:val="-6"/>
          <w:sz w:val="16"/>
          <w:szCs w:val="16"/>
          <w:lang w:val="es-ES_tradnl"/>
        </w:rPr>
        <w:t>Art.</w:t>
      </w:r>
      <w:r>
        <w:rPr>
          <w:b/>
          <w:bCs/>
          <w:spacing w:val="-6"/>
          <w:sz w:val="18"/>
          <w:szCs w:val="18"/>
          <w:lang w:val="es-ES_tradnl"/>
        </w:rPr>
        <w:t xml:space="preserve"> </w:t>
      </w:r>
      <w:r>
        <w:rPr>
          <w:b/>
          <w:bCs/>
          <w:spacing w:val="-6"/>
          <w:sz w:val="16"/>
          <w:szCs w:val="16"/>
          <w:lang w:val="es-ES_tradnl"/>
        </w:rPr>
        <w:t>313.-</w:t>
      </w:r>
      <w:r>
        <w:rPr>
          <w:b/>
          <w:bCs/>
          <w:spacing w:val="-6"/>
          <w:sz w:val="18"/>
          <w:szCs w:val="18"/>
          <w:lang w:val="es-ES_tradnl"/>
        </w:rPr>
        <w:t xml:space="preserve"> </w:t>
      </w:r>
      <w:r>
        <w:rPr>
          <w:spacing w:val="-6"/>
          <w:sz w:val="16"/>
          <w:szCs w:val="16"/>
          <w:lang w:val="es-ES_tradnl"/>
        </w:rPr>
        <w:t>El</w:t>
      </w:r>
      <w:r>
        <w:rPr>
          <w:spacing w:val="-6"/>
          <w:sz w:val="18"/>
          <w:szCs w:val="18"/>
          <w:lang w:val="es-ES_tradnl"/>
        </w:rPr>
        <w:t xml:space="preserve"> </w:t>
      </w:r>
      <w:r>
        <w:rPr>
          <w:spacing w:val="-6"/>
          <w:sz w:val="16"/>
          <w:szCs w:val="16"/>
          <w:lang w:val="es-ES_tradnl"/>
        </w:rPr>
        <w:t>Estado </w:t>
      </w:r>
      <w:r>
        <w:rPr>
          <w:spacing w:val="-10"/>
          <w:sz w:val="16"/>
          <w:szCs w:val="16"/>
          <w:lang w:val="es-ES_tradnl"/>
        </w:rPr>
        <w:t>se reserva el derecho de administrar, regular, controlar y gestionar los sectores estrat</w:t>
      </w:r>
      <w:r>
        <w:rPr>
          <w:rFonts w:cs="Times New Roman"/>
          <w:spacing w:val="-10"/>
          <w:sz w:val="16"/>
          <w:szCs w:val="16"/>
          <w:lang w:val="es-ES_tradnl"/>
        </w:rPr>
        <w:t>é</w:t>
      </w:r>
      <w:r>
        <w:rPr>
          <w:spacing w:val="-10"/>
          <w:sz w:val="16"/>
          <w:szCs w:val="16"/>
          <w:lang w:val="es-ES_tradnl"/>
        </w:rPr>
        <w:t>gicos, de conformidad con los principios de </w:t>
      </w:r>
      <w:r>
        <w:rPr>
          <w:spacing w:val="-9"/>
          <w:sz w:val="16"/>
          <w:szCs w:val="16"/>
          <w:lang w:val="es-ES_tradnl"/>
        </w:rPr>
        <w:t>sostenibilidad ambiental, precauci</w:t>
      </w:r>
      <w:r>
        <w:rPr>
          <w:rFonts w:cs="Times New Roman"/>
          <w:spacing w:val="-9"/>
          <w:sz w:val="16"/>
          <w:szCs w:val="16"/>
          <w:lang w:val="es-ES_tradnl"/>
        </w:rPr>
        <w:t>ó</w:t>
      </w:r>
      <w:r>
        <w:rPr>
          <w:spacing w:val="-9"/>
          <w:sz w:val="16"/>
          <w:szCs w:val="16"/>
          <w:lang w:val="es-ES_tradnl"/>
        </w:rPr>
        <w:t>n, prevenci</w:t>
      </w:r>
      <w:r>
        <w:rPr>
          <w:rFonts w:cs="Times New Roman"/>
          <w:spacing w:val="-9"/>
          <w:sz w:val="16"/>
          <w:szCs w:val="16"/>
          <w:lang w:val="es-ES_tradnl"/>
        </w:rPr>
        <w:t>ó</w:t>
      </w:r>
      <w:r>
        <w:rPr>
          <w:spacing w:val="-9"/>
          <w:sz w:val="16"/>
          <w:szCs w:val="16"/>
          <w:lang w:val="es-ES_tradnl"/>
        </w:rPr>
        <w:t>n y eficiencia. Los </w:t>
      </w:r>
      <w:r>
        <w:rPr>
          <w:spacing w:val="-8"/>
          <w:sz w:val="16"/>
          <w:szCs w:val="16"/>
          <w:lang w:val="es-ES_tradnl"/>
        </w:rPr>
        <w:t>sectores estrat</w:t>
      </w:r>
      <w:r>
        <w:rPr>
          <w:rFonts w:cs="Times New Roman"/>
          <w:spacing w:val="-8"/>
          <w:sz w:val="16"/>
          <w:szCs w:val="16"/>
          <w:lang w:val="es-ES_tradnl"/>
        </w:rPr>
        <w:t>é</w:t>
      </w:r>
      <w:r>
        <w:rPr>
          <w:spacing w:val="-8"/>
          <w:sz w:val="16"/>
          <w:szCs w:val="16"/>
          <w:lang w:val="es-ES_tradnl"/>
        </w:rPr>
        <w:t>gicos, de decisi</w:t>
      </w:r>
      <w:r>
        <w:rPr>
          <w:rFonts w:cs="Times New Roman"/>
          <w:spacing w:val="-8"/>
          <w:sz w:val="16"/>
          <w:szCs w:val="16"/>
          <w:lang w:val="es-ES_tradnl"/>
        </w:rPr>
        <w:t>ó</w:t>
      </w:r>
      <w:r>
        <w:rPr>
          <w:spacing w:val="-8"/>
          <w:sz w:val="16"/>
          <w:szCs w:val="16"/>
          <w:lang w:val="es-ES_tradnl"/>
        </w:rPr>
        <w:t>n y control exclusivo del Estado, </w:t>
      </w:r>
      <w:r>
        <w:rPr>
          <w:spacing w:val="-10"/>
          <w:sz w:val="16"/>
          <w:szCs w:val="16"/>
          <w:lang w:val="es-ES_tradnl"/>
        </w:rPr>
        <w:t>son aquellos que por su trascendencia y magnitud tienen decisiva </w:t>
      </w:r>
      <w:r>
        <w:rPr>
          <w:spacing w:val="-7"/>
          <w:sz w:val="16"/>
          <w:szCs w:val="16"/>
          <w:lang w:val="es-ES_tradnl"/>
        </w:rPr>
        <w:t>infl uencia econ</w:t>
      </w:r>
      <w:r>
        <w:rPr>
          <w:rFonts w:cs="Times New Roman"/>
          <w:spacing w:val="-7"/>
          <w:sz w:val="16"/>
          <w:szCs w:val="16"/>
          <w:lang w:val="es-ES_tradnl"/>
        </w:rPr>
        <w:t>ó</w:t>
      </w:r>
      <w:r>
        <w:rPr>
          <w:spacing w:val="-7"/>
          <w:sz w:val="16"/>
          <w:szCs w:val="16"/>
          <w:lang w:val="es-ES_tradnl"/>
        </w:rPr>
        <w:t>mica, social, pol</w:t>
      </w:r>
      <w:r>
        <w:rPr>
          <w:rFonts w:cs="Times New Roman"/>
          <w:spacing w:val="-7"/>
          <w:sz w:val="16"/>
          <w:szCs w:val="16"/>
          <w:lang w:val="es-ES_tradnl"/>
        </w:rPr>
        <w:t>í</w:t>
      </w:r>
      <w:r>
        <w:rPr>
          <w:spacing w:val="-7"/>
          <w:sz w:val="16"/>
          <w:szCs w:val="16"/>
          <w:lang w:val="es-ES_tradnl"/>
        </w:rPr>
        <w:t>tica o ambiental, y deber</w:t>
      </w:r>
      <w:r>
        <w:rPr>
          <w:rFonts w:cs="Times New Roman"/>
          <w:spacing w:val="-7"/>
          <w:sz w:val="16"/>
          <w:szCs w:val="16"/>
          <w:lang w:val="es-ES_tradnl"/>
        </w:rPr>
        <w:t>á</w:t>
      </w:r>
      <w:r>
        <w:rPr>
          <w:spacing w:val="-7"/>
          <w:sz w:val="16"/>
          <w:szCs w:val="16"/>
          <w:lang w:val="es-ES_tradnl"/>
        </w:rPr>
        <w:t>n orientarse al pleno desarrollo de los derechos y al inter</w:t>
      </w:r>
      <w:r>
        <w:rPr>
          <w:rFonts w:cs="Times New Roman"/>
          <w:spacing w:val="-7"/>
          <w:sz w:val="16"/>
          <w:szCs w:val="16"/>
          <w:lang w:val="es-ES_tradnl"/>
        </w:rPr>
        <w:t>é</w:t>
      </w:r>
      <w:r>
        <w:rPr>
          <w:spacing w:val="-7"/>
          <w:sz w:val="16"/>
          <w:szCs w:val="16"/>
          <w:lang w:val="es-ES_tradnl"/>
        </w:rPr>
        <w:t>s social. </w:t>
      </w:r>
      <w:r>
        <w:rPr>
          <w:spacing w:val="-12"/>
          <w:sz w:val="16"/>
          <w:szCs w:val="16"/>
          <w:lang w:val="es-ES_tradnl"/>
        </w:rPr>
        <w:t>Se consideran sectores estrat</w:t>
      </w:r>
      <w:r>
        <w:rPr>
          <w:rFonts w:cs="Times New Roman"/>
          <w:spacing w:val="-12"/>
          <w:sz w:val="16"/>
          <w:szCs w:val="16"/>
          <w:lang w:val="es-ES_tradnl"/>
        </w:rPr>
        <w:t>é</w:t>
      </w:r>
      <w:r>
        <w:rPr>
          <w:spacing w:val="-12"/>
          <w:sz w:val="16"/>
          <w:szCs w:val="16"/>
          <w:lang w:val="es-ES_tradnl"/>
        </w:rPr>
        <w:t>gicos la energ</w:t>
      </w:r>
      <w:r>
        <w:rPr>
          <w:rFonts w:cs="Times New Roman"/>
          <w:spacing w:val="-12"/>
          <w:sz w:val="16"/>
          <w:szCs w:val="16"/>
          <w:lang w:val="es-ES_tradnl"/>
        </w:rPr>
        <w:t>í</w:t>
      </w:r>
      <w:r>
        <w:rPr>
          <w:spacing w:val="-12"/>
          <w:sz w:val="16"/>
          <w:szCs w:val="16"/>
          <w:lang w:val="es-ES_tradnl"/>
        </w:rPr>
        <w:t>a en todas sus formas, </w:t>
      </w:r>
      <w:r>
        <w:rPr>
          <w:spacing w:val="-10"/>
          <w:sz w:val="16"/>
          <w:szCs w:val="16"/>
          <w:lang w:val="es-ES_tradnl"/>
        </w:rPr>
        <w:t>las telecomunicaciones, los recursos naturales no renovables, el </w:t>
      </w:r>
      <w:r>
        <w:rPr>
          <w:spacing w:val="-8"/>
          <w:sz w:val="16"/>
          <w:szCs w:val="16"/>
          <w:lang w:val="es-ES_tradnl"/>
        </w:rPr>
        <w:t>transporte y la refinaci</w:t>
      </w:r>
      <w:r>
        <w:rPr>
          <w:rFonts w:cs="Times New Roman"/>
          <w:spacing w:val="-8"/>
          <w:sz w:val="16"/>
          <w:szCs w:val="16"/>
          <w:lang w:val="es-ES_tradnl"/>
        </w:rPr>
        <w:t>ó</w:t>
      </w:r>
      <w:r>
        <w:rPr>
          <w:spacing w:val="-8"/>
          <w:sz w:val="16"/>
          <w:szCs w:val="16"/>
          <w:lang w:val="es-ES_tradnl"/>
        </w:rPr>
        <w:t>n de hidrocarburos, la biodiversidad y el </w:t>
      </w:r>
      <w:r>
        <w:rPr>
          <w:spacing w:val="-11"/>
          <w:sz w:val="16"/>
          <w:szCs w:val="16"/>
          <w:lang w:val="es-ES_tradnl"/>
        </w:rPr>
        <w:t>patrimonio gen</w:t>
      </w:r>
      <w:r>
        <w:rPr>
          <w:rFonts w:cs="Times New Roman"/>
          <w:spacing w:val="-11"/>
          <w:sz w:val="16"/>
          <w:szCs w:val="16"/>
          <w:lang w:val="es-ES_tradnl"/>
        </w:rPr>
        <w:t>é</w:t>
      </w:r>
      <w:r>
        <w:rPr>
          <w:spacing w:val="-11"/>
          <w:sz w:val="16"/>
          <w:szCs w:val="16"/>
          <w:lang w:val="es-ES_tradnl"/>
        </w:rPr>
        <w:t>tico, el espectro radioel</w:t>
      </w:r>
      <w:r>
        <w:rPr>
          <w:rFonts w:cs="Times New Roman"/>
          <w:spacing w:val="-11"/>
          <w:sz w:val="16"/>
          <w:szCs w:val="16"/>
          <w:lang w:val="es-ES_tradnl"/>
        </w:rPr>
        <w:t>é</w:t>
      </w:r>
      <w:r>
        <w:rPr>
          <w:spacing w:val="-11"/>
          <w:sz w:val="16"/>
          <w:szCs w:val="16"/>
          <w:lang w:val="es-ES_tradnl"/>
        </w:rPr>
        <w:t>ctrico, el agua, y los dem</w:t>
      </w:r>
      <w:r>
        <w:rPr>
          <w:rFonts w:cs="Times New Roman"/>
          <w:spacing w:val="-11"/>
          <w:sz w:val="16"/>
          <w:szCs w:val="16"/>
          <w:lang w:val="es-ES_tradnl"/>
        </w:rPr>
        <w:t>á</w:t>
      </w:r>
      <w:r>
        <w:rPr>
          <w:spacing w:val="-11"/>
          <w:sz w:val="16"/>
          <w:szCs w:val="16"/>
          <w:lang w:val="es-ES_tradnl"/>
        </w:rPr>
        <w:t>s </w:t>
      </w:r>
      <w:r>
        <w:rPr>
          <w:sz w:val="16"/>
          <w:szCs w:val="16"/>
          <w:lang w:val="es-ES_tradnl"/>
        </w:rPr>
        <w:t>que determine la ley</w:t>
      </w:r>
      <w:r>
        <w:rPr>
          <w:rFonts w:cs="Times New Roman"/>
          <w:sz w:val="16"/>
          <w:szCs w:val="16"/>
          <w:lang w:val="es-ES_tradnl"/>
        </w:rPr>
        <w:t>”</w:t>
      </w:r>
      <w:r>
        <w:rPr>
          <w:sz w:val="16"/>
          <w:szCs w:val="16"/>
          <w:lang w:val="es-ES_tradnl"/>
        </w:rPr>
        <w:t>.</w:t>
      </w:r>
    </w:p>
    <w:p w14:paraId="4F67A8A1" w14:textId="77777777" w:rsidR="00591D54" w:rsidRDefault="00591D54">
      <w:pPr>
        <w:shd w:val="clear" w:color="auto" w:fill="FFFFFF"/>
        <w:tabs>
          <w:tab w:val="left" w:pos="139"/>
        </w:tabs>
        <w:spacing w:before="149" w:line="178" w:lineRule="exact"/>
        <w:ind w:left="139" w:right="5" w:hanging="139"/>
        <w:jc w:val="both"/>
      </w:pPr>
      <w:r>
        <w:rPr>
          <w:sz w:val="10"/>
          <w:szCs w:val="10"/>
          <w:vertAlign w:val="superscript"/>
          <w:lang w:val="es-ES_tradnl"/>
        </w:rPr>
        <w:t>4</w:t>
      </w:r>
      <w:r>
        <w:rPr>
          <w:sz w:val="18"/>
          <w:szCs w:val="18"/>
          <w:lang w:val="es-ES_tradnl"/>
        </w:rPr>
        <w:tab/>
      </w:r>
      <w:r>
        <w:rPr>
          <w:spacing w:val="-7"/>
          <w:sz w:val="16"/>
          <w:szCs w:val="16"/>
          <w:lang w:val="es-ES_tradnl"/>
        </w:rPr>
        <w:t>Ley</w:t>
      </w:r>
      <w:r>
        <w:rPr>
          <w:spacing w:val="-7"/>
          <w:sz w:val="18"/>
          <w:szCs w:val="18"/>
          <w:lang w:val="es-ES_tradnl"/>
        </w:rPr>
        <w:t xml:space="preserve"> </w:t>
      </w:r>
      <w:r>
        <w:rPr>
          <w:spacing w:val="-7"/>
          <w:sz w:val="16"/>
          <w:szCs w:val="16"/>
          <w:lang w:val="es-ES_tradnl"/>
        </w:rPr>
        <w:t>Org</w:t>
      </w:r>
      <w:r>
        <w:rPr>
          <w:rFonts w:cs="Times New Roman"/>
          <w:spacing w:val="-7"/>
          <w:sz w:val="16"/>
          <w:szCs w:val="16"/>
          <w:lang w:val="es-ES_tradnl"/>
        </w:rPr>
        <w:t>á</w:t>
      </w:r>
      <w:r>
        <w:rPr>
          <w:spacing w:val="-7"/>
          <w:sz w:val="16"/>
          <w:szCs w:val="16"/>
          <w:lang w:val="es-ES_tradnl"/>
        </w:rPr>
        <w:t>nica</w:t>
      </w:r>
      <w:r>
        <w:rPr>
          <w:spacing w:val="-7"/>
          <w:sz w:val="18"/>
          <w:szCs w:val="18"/>
          <w:lang w:val="es-ES_tradnl"/>
        </w:rPr>
        <w:t xml:space="preserve"> </w:t>
      </w:r>
      <w:r>
        <w:rPr>
          <w:spacing w:val="-7"/>
          <w:sz w:val="16"/>
          <w:szCs w:val="16"/>
          <w:lang w:val="es-ES_tradnl"/>
        </w:rPr>
        <w:t>de</w:t>
      </w:r>
      <w:r>
        <w:rPr>
          <w:spacing w:val="-7"/>
          <w:sz w:val="18"/>
          <w:szCs w:val="18"/>
          <w:lang w:val="es-ES_tradnl"/>
        </w:rPr>
        <w:t xml:space="preserve"> </w:t>
      </w:r>
      <w:r>
        <w:rPr>
          <w:spacing w:val="-7"/>
          <w:sz w:val="16"/>
          <w:szCs w:val="16"/>
          <w:lang w:val="es-ES_tradnl"/>
        </w:rPr>
        <w:t>Telecomunicaciones,</w:t>
      </w:r>
      <w:r>
        <w:rPr>
          <w:spacing w:val="-7"/>
          <w:sz w:val="18"/>
          <w:szCs w:val="18"/>
          <w:lang w:val="es-ES_tradnl"/>
        </w:rPr>
        <w:t xml:space="preserve"> </w:t>
      </w:r>
      <w:r>
        <w:rPr>
          <w:spacing w:val="-7"/>
          <w:sz w:val="16"/>
          <w:szCs w:val="16"/>
          <w:lang w:val="es-ES_tradnl"/>
        </w:rPr>
        <w:t>publicada</w:t>
      </w:r>
      <w:r>
        <w:rPr>
          <w:spacing w:val="-7"/>
          <w:sz w:val="18"/>
          <w:szCs w:val="18"/>
          <w:lang w:val="es-ES_tradnl"/>
        </w:rPr>
        <w:t xml:space="preserve"> </w:t>
      </w:r>
      <w:r>
        <w:rPr>
          <w:spacing w:val="-7"/>
          <w:sz w:val="16"/>
          <w:szCs w:val="16"/>
          <w:lang w:val="es-ES_tradnl"/>
        </w:rPr>
        <w:t>en</w:t>
      </w:r>
      <w:r>
        <w:rPr>
          <w:spacing w:val="-7"/>
          <w:sz w:val="18"/>
          <w:szCs w:val="18"/>
          <w:lang w:val="es-ES_tradnl"/>
        </w:rPr>
        <w:t xml:space="preserve"> </w:t>
      </w:r>
      <w:r>
        <w:rPr>
          <w:spacing w:val="-7"/>
          <w:sz w:val="16"/>
          <w:szCs w:val="16"/>
          <w:lang w:val="es-ES_tradnl"/>
        </w:rPr>
        <w:t>el</w:t>
      </w:r>
      <w:r>
        <w:rPr>
          <w:spacing w:val="-7"/>
          <w:sz w:val="18"/>
          <w:szCs w:val="18"/>
          <w:lang w:val="es-ES_tradnl"/>
        </w:rPr>
        <w:t xml:space="preserve"> </w:t>
      </w:r>
      <w:r>
        <w:rPr>
          <w:spacing w:val="-7"/>
          <w:sz w:val="16"/>
          <w:szCs w:val="16"/>
          <w:lang w:val="es-ES_tradnl"/>
        </w:rPr>
        <w:t>Registro </w:t>
      </w:r>
      <w:r>
        <w:rPr>
          <w:spacing w:val="-11"/>
          <w:sz w:val="16"/>
          <w:szCs w:val="16"/>
          <w:lang w:val="es-ES_tradnl"/>
        </w:rPr>
        <w:t>Oficial Suplemento N.</w:t>
      </w:r>
      <w:r>
        <w:rPr>
          <w:rFonts w:cs="Times New Roman"/>
          <w:spacing w:val="-11"/>
          <w:sz w:val="16"/>
          <w:szCs w:val="16"/>
          <w:lang w:val="es-ES_tradnl"/>
        </w:rPr>
        <w:t>º</w:t>
      </w:r>
      <w:r>
        <w:rPr>
          <w:spacing w:val="-11"/>
          <w:sz w:val="16"/>
          <w:szCs w:val="16"/>
          <w:lang w:val="es-ES_tradnl"/>
        </w:rPr>
        <w:t xml:space="preserve"> 439 de 18 de febrero de 2015.</w:t>
      </w:r>
    </w:p>
    <w:p w14:paraId="4F67A8A2" w14:textId="77777777" w:rsidR="00591D54" w:rsidRDefault="00591D54">
      <w:pPr>
        <w:shd w:val="clear" w:color="auto" w:fill="FFFFFF"/>
        <w:spacing w:line="206" w:lineRule="exact"/>
        <w:jc w:val="both"/>
      </w:pPr>
      <w:r>
        <w:br w:type="column"/>
      </w:r>
      <w:r>
        <w:rPr>
          <w:spacing w:val="-7"/>
          <w:sz w:val="18"/>
          <w:szCs w:val="18"/>
          <w:lang w:val="es-ES_tradnl"/>
        </w:rPr>
        <w:t xml:space="preserve">se encuentra el elaborar y aprobar el plan de frecuencias, </w:t>
      </w:r>
      <w:r>
        <w:rPr>
          <w:spacing w:val="-5"/>
          <w:sz w:val="18"/>
          <w:szCs w:val="18"/>
          <w:lang w:val="es-ES_tradnl"/>
        </w:rPr>
        <w:t>controlar y monitorear el uso del espectro radioel</w:t>
      </w:r>
      <w:r>
        <w:rPr>
          <w:rFonts w:cs="Times New Roman"/>
          <w:spacing w:val="-5"/>
          <w:sz w:val="18"/>
          <w:szCs w:val="18"/>
          <w:lang w:val="es-ES_tradnl"/>
        </w:rPr>
        <w:t>é</w:t>
      </w:r>
      <w:r>
        <w:rPr>
          <w:spacing w:val="-5"/>
          <w:sz w:val="18"/>
          <w:szCs w:val="18"/>
          <w:lang w:val="es-ES_tradnl"/>
        </w:rPr>
        <w:t>ctrico; as</w:t>
      </w:r>
      <w:r>
        <w:rPr>
          <w:rFonts w:cs="Times New Roman"/>
          <w:spacing w:val="-5"/>
          <w:sz w:val="18"/>
          <w:szCs w:val="18"/>
          <w:lang w:val="es-ES_tradnl"/>
        </w:rPr>
        <w:t>í</w:t>
      </w:r>
      <w:r>
        <w:rPr>
          <w:spacing w:val="-5"/>
          <w:sz w:val="18"/>
          <w:szCs w:val="18"/>
          <w:lang w:val="es-ES_tradnl"/>
        </w:rPr>
        <w:t>, como el establecimiento de t</w:t>
      </w:r>
      <w:r>
        <w:rPr>
          <w:rFonts w:cs="Times New Roman"/>
          <w:spacing w:val="-5"/>
          <w:sz w:val="18"/>
          <w:szCs w:val="18"/>
          <w:lang w:val="es-ES_tradnl"/>
        </w:rPr>
        <w:t>é</w:t>
      </w:r>
      <w:r>
        <w:rPr>
          <w:spacing w:val="-5"/>
          <w:sz w:val="18"/>
          <w:szCs w:val="18"/>
          <w:lang w:val="es-ES_tradnl"/>
        </w:rPr>
        <w:t xml:space="preserve">rminos, condiciones y </w:t>
      </w:r>
      <w:r>
        <w:rPr>
          <w:spacing w:val="-6"/>
          <w:sz w:val="18"/>
          <w:szCs w:val="18"/>
          <w:lang w:val="es-ES_tradnl"/>
        </w:rPr>
        <w:t xml:space="preserve">plazos para otorgar las concesiones y autorizaciones del </w:t>
      </w:r>
      <w:r>
        <w:rPr>
          <w:spacing w:val="-8"/>
          <w:sz w:val="18"/>
          <w:szCs w:val="18"/>
          <w:lang w:val="es-ES_tradnl"/>
        </w:rPr>
        <w:t>uso de frecuencias que antes las ten</w:t>
      </w:r>
      <w:r>
        <w:rPr>
          <w:rFonts w:cs="Times New Roman"/>
          <w:spacing w:val="-8"/>
          <w:sz w:val="18"/>
          <w:szCs w:val="18"/>
          <w:lang w:val="es-ES_tradnl"/>
        </w:rPr>
        <w:t>í</w:t>
      </w:r>
      <w:r>
        <w:rPr>
          <w:spacing w:val="-8"/>
          <w:sz w:val="18"/>
          <w:szCs w:val="18"/>
          <w:lang w:val="es-ES_tradnl"/>
        </w:rPr>
        <w:t xml:space="preserve">a el Consejo Nacional </w:t>
      </w:r>
      <w:r>
        <w:rPr>
          <w:sz w:val="18"/>
          <w:szCs w:val="18"/>
          <w:lang w:val="es-ES_tradnl"/>
        </w:rPr>
        <w:t>de Telecomunicaciones.</w:t>
      </w:r>
    </w:p>
    <w:p w14:paraId="4F67A8A3" w14:textId="77777777" w:rsidR="00591D54" w:rsidRDefault="00591D54">
      <w:pPr>
        <w:shd w:val="clear" w:color="auto" w:fill="FFFFFF"/>
        <w:spacing w:before="187" w:line="206" w:lineRule="exact"/>
        <w:jc w:val="both"/>
      </w:pPr>
      <w:r>
        <w:rPr>
          <w:spacing w:val="-6"/>
          <w:sz w:val="18"/>
          <w:szCs w:val="18"/>
          <w:lang w:val="es-ES_tradnl"/>
        </w:rPr>
        <w:t xml:space="preserve">Ahora bien, dentro de la competencia exclusiva de control </w:t>
      </w:r>
      <w:r>
        <w:rPr>
          <w:spacing w:val="-2"/>
          <w:sz w:val="18"/>
          <w:szCs w:val="18"/>
          <w:lang w:val="es-ES_tradnl"/>
        </w:rPr>
        <w:t>y regulaci</w:t>
      </w:r>
      <w:r>
        <w:rPr>
          <w:rFonts w:cs="Times New Roman"/>
          <w:spacing w:val="-2"/>
          <w:sz w:val="18"/>
          <w:szCs w:val="18"/>
          <w:lang w:val="es-ES_tradnl"/>
        </w:rPr>
        <w:t>ó</w:t>
      </w:r>
      <w:r>
        <w:rPr>
          <w:spacing w:val="-2"/>
          <w:sz w:val="18"/>
          <w:szCs w:val="18"/>
          <w:lang w:val="es-ES_tradnl"/>
        </w:rPr>
        <w:t>n del espectro radioel</w:t>
      </w:r>
      <w:r>
        <w:rPr>
          <w:rFonts w:cs="Times New Roman"/>
          <w:spacing w:val="-2"/>
          <w:sz w:val="18"/>
          <w:szCs w:val="18"/>
          <w:lang w:val="es-ES_tradnl"/>
        </w:rPr>
        <w:t>é</w:t>
      </w:r>
      <w:r>
        <w:rPr>
          <w:spacing w:val="-2"/>
          <w:sz w:val="18"/>
          <w:szCs w:val="18"/>
          <w:lang w:val="es-ES_tradnl"/>
        </w:rPr>
        <w:t xml:space="preserve">ctrico por parte del </w:t>
      </w:r>
      <w:r>
        <w:rPr>
          <w:spacing w:val="-8"/>
          <w:sz w:val="18"/>
          <w:szCs w:val="18"/>
          <w:lang w:val="es-ES_tradnl"/>
        </w:rPr>
        <w:t>Estado central, la Ley Org</w:t>
      </w:r>
      <w:r>
        <w:rPr>
          <w:rFonts w:cs="Times New Roman"/>
          <w:spacing w:val="-8"/>
          <w:sz w:val="18"/>
          <w:szCs w:val="18"/>
          <w:lang w:val="es-ES_tradnl"/>
        </w:rPr>
        <w:t>á</w:t>
      </w:r>
      <w:r>
        <w:rPr>
          <w:spacing w:val="-8"/>
          <w:sz w:val="18"/>
          <w:szCs w:val="18"/>
          <w:lang w:val="es-ES_tradnl"/>
        </w:rPr>
        <w:t xml:space="preserve">nica de Telecomunicaciones en </w:t>
      </w:r>
      <w:r>
        <w:rPr>
          <w:spacing w:val="-7"/>
          <w:sz w:val="18"/>
          <w:szCs w:val="18"/>
          <w:lang w:val="es-ES_tradnl"/>
        </w:rPr>
        <w:t>su art</w:t>
      </w:r>
      <w:r>
        <w:rPr>
          <w:rFonts w:cs="Times New Roman"/>
          <w:spacing w:val="-7"/>
          <w:sz w:val="18"/>
          <w:szCs w:val="18"/>
          <w:lang w:val="es-ES_tradnl"/>
        </w:rPr>
        <w:t>í</w:t>
      </w:r>
      <w:r>
        <w:rPr>
          <w:spacing w:val="-7"/>
          <w:sz w:val="18"/>
          <w:szCs w:val="18"/>
          <w:lang w:val="es-ES_tradnl"/>
        </w:rPr>
        <w:t>culo 37, establece el modo en que operan los t</w:t>
      </w:r>
      <w:r>
        <w:rPr>
          <w:rFonts w:cs="Times New Roman"/>
          <w:spacing w:val="-7"/>
          <w:sz w:val="18"/>
          <w:szCs w:val="18"/>
          <w:lang w:val="es-ES_tradnl"/>
        </w:rPr>
        <w:t>í</w:t>
      </w:r>
      <w:r>
        <w:rPr>
          <w:spacing w:val="-7"/>
          <w:sz w:val="18"/>
          <w:szCs w:val="18"/>
          <w:lang w:val="es-ES_tradnl"/>
        </w:rPr>
        <w:t xml:space="preserve">tulos habilitantes para concesiones, autorizaciones y registro de </w:t>
      </w:r>
      <w:r>
        <w:rPr>
          <w:sz w:val="18"/>
          <w:szCs w:val="18"/>
          <w:lang w:val="es-ES_tradnl"/>
        </w:rPr>
        <w:t>servicios, disponiendo que:</w:t>
      </w:r>
    </w:p>
    <w:p w14:paraId="4F67A8A4" w14:textId="77777777" w:rsidR="00591D54" w:rsidRDefault="00591D54">
      <w:pPr>
        <w:shd w:val="clear" w:color="auto" w:fill="FFFFFF"/>
        <w:spacing w:before="206"/>
        <w:ind w:left="283"/>
      </w:pPr>
      <w:r>
        <w:rPr>
          <w:spacing w:val="-2"/>
          <w:sz w:val="16"/>
          <w:szCs w:val="16"/>
          <w:lang w:val="es-ES_tradnl"/>
        </w:rPr>
        <w:t>Art. 37.- T</w:t>
      </w:r>
      <w:r>
        <w:rPr>
          <w:rFonts w:cs="Times New Roman"/>
          <w:spacing w:val="-2"/>
          <w:sz w:val="16"/>
          <w:szCs w:val="16"/>
          <w:lang w:val="es-ES_tradnl"/>
        </w:rPr>
        <w:t>í</w:t>
      </w:r>
      <w:r>
        <w:rPr>
          <w:spacing w:val="-2"/>
          <w:sz w:val="16"/>
          <w:szCs w:val="16"/>
          <w:lang w:val="es-ES_tradnl"/>
        </w:rPr>
        <w:t>tulos Habilitantes.</w:t>
      </w:r>
    </w:p>
    <w:p w14:paraId="4F67A8A5" w14:textId="77777777" w:rsidR="00591D54" w:rsidRDefault="00591D54">
      <w:pPr>
        <w:shd w:val="clear" w:color="auto" w:fill="FFFFFF"/>
        <w:spacing w:before="206" w:line="206" w:lineRule="exact"/>
        <w:ind w:left="283"/>
        <w:jc w:val="both"/>
      </w:pPr>
      <w:r>
        <w:rPr>
          <w:sz w:val="16"/>
          <w:szCs w:val="16"/>
          <w:lang w:val="es-ES_tradnl"/>
        </w:rPr>
        <w:t>La Agencia de Regulaci</w:t>
      </w:r>
      <w:r>
        <w:rPr>
          <w:rFonts w:cs="Times New Roman"/>
          <w:sz w:val="16"/>
          <w:szCs w:val="16"/>
          <w:lang w:val="es-ES_tradnl"/>
        </w:rPr>
        <w:t>ó</w:t>
      </w:r>
      <w:r>
        <w:rPr>
          <w:sz w:val="16"/>
          <w:szCs w:val="16"/>
          <w:lang w:val="es-ES_tradnl"/>
        </w:rPr>
        <w:t xml:space="preserve">n y Control de las </w:t>
      </w:r>
      <w:r>
        <w:rPr>
          <w:spacing w:val="-4"/>
          <w:sz w:val="16"/>
          <w:szCs w:val="16"/>
          <w:lang w:val="es-ES_tradnl"/>
        </w:rPr>
        <w:t>Telecomunicaciones podr</w:t>
      </w:r>
      <w:r>
        <w:rPr>
          <w:rFonts w:cs="Times New Roman"/>
          <w:spacing w:val="-4"/>
          <w:sz w:val="16"/>
          <w:szCs w:val="16"/>
          <w:lang w:val="es-ES_tradnl"/>
        </w:rPr>
        <w:t>á</w:t>
      </w:r>
      <w:r>
        <w:rPr>
          <w:spacing w:val="-4"/>
          <w:sz w:val="16"/>
          <w:szCs w:val="16"/>
          <w:lang w:val="es-ES_tradnl"/>
        </w:rPr>
        <w:t xml:space="preserve"> otorgar los siguientes t</w:t>
      </w:r>
      <w:r>
        <w:rPr>
          <w:rFonts w:cs="Times New Roman"/>
          <w:spacing w:val="-4"/>
          <w:sz w:val="16"/>
          <w:szCs w:val="16"/>
          <w:lang w:val="es-ES_tradnl"/>
        </w:rPr>
        <w:t>í</w:t>
      </w:r>
      <w:r>
        <w:rPr>
          <w:spacing w:val="-4"/>
          <w:sz w:val="16"/>
          <w:szCs w:val="16"/>
          <w:lang w:val="es-ES_tradnl"/>
        </w:rPr>
        <w:t xml:space="preserve">tulos </w:t>
      </w:r>
      <w:r>
        <w:rPr>
          <w:sz w:val="16"/>
          <w:szCs w:val="16"/>
          <w:lang w:val="es-ES_tradnl"/>
        </w:rPr>
        <w:t>habilitantes:</w:t>
      </w:r>
    </w:p>
    <w:p w14:paraId="4F67A8A6" w14:textId="77777777" w:rsidR="00591D54" w:rsidRDefault="00591D54" w:rsidP="00251195">
      <w:pPr>
        <w:numPr>
          <w:ilvl w:val="0"/>
          <w:numId w:val="38"/>
        </w:numPr>
        <w:shd w:val="clear" w:color="auto" w:fill="FFFFFF"/>
        <w:tabs>
          <w:tab w:val="left" w:pos="442"/>
        </w:tabs>
        <w:spacing w:before="206" w:line="206" w:lineRule="exact"/>
        <w:ind w:left="283"/>
        <w:jc w:val="both"/>
        <w:rPr>
          <w:spacing w:val="-8"/>
          <w:sz w:val="16"/>
          <w:szCs w:val="16"/>
          <w:lang w:val="es-ES_tradnl"/>
        </w:rPr>
      </w:pPr>
      <w:r>
        <w:rPr>
          <w:spacing w:val="-4"/>
          <w:sz w:val="16"/>
          <w:szCs w:val="16"/>
          <w:lang w:val="es-ES_tradnl"/>
        </w:rPr>
        <w:t>Concesi</w:t>
      </w:r>
      <w:r>
        <w:rPr>
          <w:rFonts w:cs="Times New Roman"/>
          <w:spacing w:val="-4"/>
          <w:sz w:val="16"/>
          <w:szCs w:val="16"/>
          <w:lang w:val="es-ES_tradnl"/>
        </w:rPr>
        <w:t>ó</w:t>
      </w:r>
      <w:r>
        <w:rPr>
          <w:spacing w:val="-4"/>
          <w:sz w:val="16"/>
          <w:szCs w:val="16"/>
          <w:lang w:val="es-ES_tradnl"/>
        </w:rPr>
        <w:t>n:</w:t>
      </w:r>
      <w:r>
        <w:rPr>
          <w:spacing w:val="-4"/>
          <w:sz w:val="18"/>
          <w:szCs w:val="18"/>
          <w:lang w:val="es-ES_tradnl"/>
        </w:rPr>
        <w:t xml:space="preserve"> </w:t>
      </w:r>
      <w:r>
        <w:rPr>
          <w:spacing w:val="-4"/>
          <w:sz w:val="16"/>
          <w:szCs w:val="16"/>
          <w:lang w:val="es-ES_tradnl"/>
        </w:rPr>
        <w:t>Para</w:t>
      </w:r>
      <w:r>
        <w:rPr>
          <w:spacing w:val="-4"/>
          <w:sz w:val="18"/>
          <w:szCs w:val="18"/>
          <w:lang w:val="es-ES_tradnl"/>
        </w:rPr>
        <w:t xml:space="preserve"> </w:t>
      </w:r>
      <w:r>
        <w:rPr>
          <w:spacing w:val="-4"/>
          <w:sz w:val="16"/>
          <w:szCs w:val="16"/>
          <w:lang w:val="es-ES_tradnl"/>
        </w:rPr>
        <w:t>servicios</w:t>
      </w:r>
      <w:r>
        <w:rPr>
          <w:spacing w:val="-4"/>
          <w:sz w:val="18"/>
          <w:szCs w:val="18"/>
          <w:lang w:val="es-ES_tradnl"/>
        </w:rPr>
        <w:t xml:space="preserve"> </w:t>
      </w:r>
      <w:r>
        <w:rPr>
          <w:spacing w:val="-4"/>
          <w:sz w:val="16"/>
          <w:szCs w:val="16"/>
          <w:lang w:val="es-ES_tradnl"/>
        </w:rPr>
        <w:t>tales</w:t>
      </w:r>
      <w:r>
        <w:rPr>
          <w:spacing w:val="-4"/>
          <w:sz w:val="18"/>
          <w:szCs w:val="18"/>
          <w:lang w:val="es-ES_tradnl"/>
        </w:rPr>
        <w:t xml:space="preserve"> </w:t>
      </w:r>
      <w:r>
        <w:rPr>
          <w:spacing w:val="-4"/>
          <w:sz w:val="16"/>
          <w:szCs w:val="16"/>
          <w:lang w:val="es-ES_tradnl"/>
        </w:rPr>
        <w:t>como</w:t>
      </w:r>
      <w:r>
        <w:rPr>
          <w:spacing w:val="-4"/>
          <w:sz w:val="18"/>
          <w:szCs w:val="18"/>
          <w:lang w:val="es-ES_tradnl"/>
        </w:rPr>
        <w:t xml:space="preserve"> </w:t>
      </w:r>
      <w:r>
        <w:rPr>
          <w:spacing w:val="-4"/>
          <w:sz w:val="16"/>
          <w:szCs w:val="16"/>
          <w:lang w:val="es-ES_tradnl"/>
        </w:rPr>
        <w:t>telefon</w:t>
      </w:r>
      <w:r>
        <w:rPr>
          <w:rFonts w:cs="Times New Roman"/>
          <w:spacing w:val="-4"/>
          <w:sz w:val="16"/>
          <w:szCs w:val="16"/>
          <w:lang w:val="es-ES_tradnl"/>
        </w:rPr>
        <w:t>í</w:t>
      </w:r>
      <w:r>
        <w:rPr>
          <w:spacing w:val="-4"/>
          <w:sz w:val="16"/>
          <w:szCs w:val="16"/>
          <w:lang w:val="es-ES_tradnl"/>
        </w:rPr>
        <w:t>a</w:t>
      </w:r>
      <w:r>
        <w:rPr>
          <w:spacing w:val="-4"/>
          <w:sz w:val="18"/>
          <w:szCs w:val="18"/>
          <w:lang w:val="es-ES_tradnl"/>
        </w:rPr>
        <w:t xml:space="preserve"> </w:t>
      </w:r>
      <w:r>
        <w:rPr>
          <w:spacing w:val="-4"/>
          <w:sz w:val="16"/>
          <w:szCs w:val="16"/>
          <w:lang w:val="es-ES_tradnl"/>
        </w:rPr>
        <w:t>fija</w:t>
      </w:r>
      <w:r>
        <w:rPr>
          <w:spacing w:val="-4"/>
          <w:sz w:val="18"/>
          <w:szCs w:val="18"/>
          <w:lang w:val="es-ES_tradnl"/>
        </w:rPr>
        <w:t xml:space="preserve"> </w:t>
      </w:r>
      <w:r>
        <w:rPr>
          <w:spacing w:val="-4"/>
          <w:sz w:val="16"/>
          <w:szCs w:val="16"/>
          <w:lang w:val="es-ES_tradnl"/>
        </w:rPr>
        <w:t>y servicio m</w:t>
      </w:r>
      <w:r>
        <w:rPr>
          <w:rFonts w:cs="Times New Roman"/>
          <w:spacing w:val="-4"/>
          <w:sz w:val="16"/>
          <w:szCs w:val="16"/>
          <w:lang w:val="es-ES_tradnl"/>
        </w:rPr>
        <w:t>ó</w:t>
      </w:r>
      <w:r>
        <w:rPr>
          <w:spacing w:val="-4"/>
          <w:sz w:val="16"/>
          <w:szCs w:val="16"/>
          <w:lang w:val="es-ES_tradnl"/>
        </w:rPr>
        <w:t>vil avanzado as</w:t>
      </w:r>
      <w:r>
        <w:rPr>
          <w:rFonts w:cs="Times New Roman"/>
          <w:spacing w:val="-4"/>
          <w:sz w:val="16"/>
          <w:szCs w:val="16"/>
          <w:lang w:val="es-ES_tradnl"/>
        </w:rPr>
        <w:t>í</w:t>
      </w:r>
      <w:r>
        <w:rPr>
          <w:spacing w:val="-4"/>
          <w:sz w:val="16"/>
          <w:szCs w:val="16"/>
          <w:lang w:val="es-ES_tradnl"/>
        </w:rPr>
        <w:t xml:space="preserve"> como para el uso y explotaci</w:t>
      </w:r>
      <w:r>
        <w:rPr>
          <w:rFonts w:cs="Times New Roman"/>
          <w:spacing w:val="-4"/>
          <w:sz w:val="16"/>
          <w:szCs w:val="16"/>
          <w:lang w:val="es-ES_tradnl"/>
        </w:rPr>
        <w:t>ó</w:t>
      </w:r>
      <w:r>
        <w:rPr>
          <w:spacing w:val="-4"/>
          <w:sz w:val="16"/>
          <w:szCs w:val="16"/>
          <w:lang w:val="es-ES_tradnl"/>
        </w:rPr>
        <w:t xml:space="preserve">n </w:t>
      </w:r>
      <w:r>
        <w:rPr>
          <w:spacing w:val="-7"/>
          <w:sz w:val="16"/>
          <w:szCs w:val="16"/>
          <w:lang w:val="es-ES_tradnl"/>
        </w:rPr>
        <w:t>del espectro radioel</w:t>
      </w:r>
      <w:r>
        <w:rPr>
          <w:rFonts w:cs="Times New Roman"/>
          <w:spacing w:val="-7"/>
          <w:sz w:val="16"/>
          <w:szCs w:val="16"/>
          <w:lang w:val="es-ES_tradnl"/>
        </w:rPr>
        <w:t>é</w:t>
      </w:r>
      <w:r>
        <w:rPr>
          <w:spacing w:val="-7"/>
          <w:sz w:val="16"/>
          <w:szCs w:val="16"/>
          <w:lang w:val="es-ES_tradnl"/>
        </w:rPr>
        <w:t>ctrico, por empresas de econom</w:t>
      </w:r>
      <w:r>
        <w:rPr>
          <w:rFonts w:cs="Times New Roman"/>
          <w:spacing w:val="-7"/>
          <w:sz w:val="16"/>
          <w:szCs w:val="16"/>
          <w:lang w:val="es-ES_tradnl"/>
        </w:rPr>
        <w:t>í</w:t>
      </w:r>
      <w:r>
        <w:rPr>
          <w:spacing w:val="-7"/>
          <w:sz w:val="16"/>
          <w:szCs w:val="16"/>
          <w:lang w:val="es-ES_tradnl"/>
        </w:rPr>
        <w:t xml:space="preserve">a mixta, </w:t>
      </w:r>
      <w:r>
        <w:rPr>
          <w:spacing w:val="-3"/>
          <w:sz w:val="16"/>
          <w:szCs w:val="16"/>
          <w:lang w:val="es-ES_tradnl"/>
        </w:rPr>
        <w:t>por la iniciativa privada y la econom</w:t>
      </w:r>
      <w:r>
        <w:rPr>
          <w:rFonts w:cs="Times New Roman"/>
          <w:spacing w:val="-3"/>
          <w:sz w:val="16"/>
          <w:szCs w:val="16"/>
          <w:lang w:val="es-ES_tradnl"/>
        </w:rPr>
        <w:t>í</w:t>
      </w:r>
      <w:r>
        <w:rPr>
          <w:spacing w:val="-3"/>
          <w:sz w:val="16"/>
          <w:szCs w:val="16"/>
          <w:lang w:val="es-ES_tradnl"/>
        </w:rPr>
        <w:t>a popular y solidaria.</w:t>
      </w:r>
    </w:p>
    <w:p w14:paraId="4F67A8A7" w14:textId="77777777" w:rsidR="00591D54" w:rsidRDefault="00591D54" w:rsidP="00251195">
      <w:pPr>
        <w:numPr>
          <w:ilvl w:val="0"/>
          <w:numId w:val="38"/>
        </w:numPr>
        <w:shd w:val="clear" w:color="auto" w:fill="FFFFFF"/>
        <w:tabs>
          <w:tab w:val="left" w:pos="442"/>
        </w:tabs>
        <w:spacing w:before="206" w:line="206" w:lineRule="exact"/>
        <w:ind w:left="283"/>
        <w:jc w:val="both"/>
        <w:rPr>
          <w:spacing w:val="-8"/>
          <w:sz w:val="16"/>
          <w:szCs w:val="16"/>
          <w:lang w:val="es-ES_tradnl"/>
        </w:rPr>
      </w:pPr>
      <w:r>
        <w:rPr>
          <w:spacing w:val="-4"/>
          <w:sz w:val="16"/>
          <w:szCs w:val="16"/>
          <w:lang w:val="es-ES_tradnl"/>
        </w:rPr>
        <w:t>Autorizaciones:</w:t>
      </w:r>
      <w:r>
        <w:rPr>
          <w:spacing w:val="-4"/>
          <w:sz w:val="18"/>
          <w:szCs w:val="18"/>
          <w:lang w:val="es-ES_tradnl"/>
        </w:rPr>
        <w:t xml:space="preserve"> </w:t>
      </w:r>
      <w:r>
        <w:rPr>
          <w:spacing w:val="-4"/>
          <w:sz w:val="16"/>
          <w:szCs w:val="16"/>
          <w:lang w:val="es-ES_tradnl"/>
        </w:rPr>
        <w:t>Para</w:t>
      </w:r>
      <w:r>
        <w:rPr>
          <w:spacing w:val="-4"/>
          <w:sz w:val="18"/>
          <w:szCs w:val="18"/>
          <w:lang w:val="es-ES_tradnl"/>
        </w:rPr>
        <w:t xml:space="preserve"> </w:t>
      </w:r>
      <w:r>
        <w:rPr>
          <w:spacing w:val="-4"/>
          <w:sz w:val="16"/>
          <w:szCs w:val="16"/>
          <w:lang w:val="es-ES_tradnl"/>
        </w:rPr>
        <w:t>el</w:t>
      </w:r>
      <w:r>
        <w:rPr>
          <w:spacing w:val="-4"/>
          <w:sz w:val="18"/>
          <w:szCs w:val="18"/>
          <w:lang w:val="es-ES_tradnl"/>
        </w:rPr>
        <w:t xml:space="preserve"> </w:t>
      </w:r>
      <w:r>
        <w:rPr>
          <w:spacing w:val="-4"/>
          <w:sz w:val="16"/>
          <w:szCs w:val="16"/>
          <w:lang w:val="es-ES_tradnl"/>
        </w:rPr>
        <w:t>uso</w:t>
      </w:r>
      <w:r>
        <w:rPr>
          <w:spacing w:val="-4"/>
          <w:sz w:val="18"/>
          <w:szCs w:val="18"/>
          <w:lang w:val="es-ES_tradnl"/>
        </w:rPr>
        <w:t xml:space="preserve"> </w:t>
      </w:r>
      <w:r>
        <w:rPr>
          <w:spacing w:val="-4"/>
          <w:sz w:val="16"/>
          <w:szCs w:val="16"/>
          <w:lang w:val="es-ES_tradnl"/>
        </w:rPr>
        <w:t>y</w:t>
      </w:r>
      <w:r>
        <w:rPr>
          <w:spacing w:val="-4"/>
          <w:sz w:val="18"/>
          <w:szCs w:val="18"/>
          <w:lang w:val="es-ES_tradnl"/>
        </w:rPr>
        <w:t xml:space="preserve"> </w:t>
      </w:r>
      <w:r>
        <w:rPr>
          <w:spacing w:val="-4"/>
          <w:sz w:val="16"/>
          <w:szCs w:val="16"/>
          <w:lang w:val="es-ES_tradnl"/>
        </w:rPr>
        <w:t>explotaci</w:t>
      </w:r>
      <w:r>
        <w:rPr>
          <w:rFonts w:cs="Times New Roman"/>
          <w:spacing w:val="-4"/>
          <w:sz w:val="16"/>
          <w:szCs w:val="16"/>
          <w:lang w:val="es-ES_tradnl"/>
        </w:rPr>
        <w:t>ó</w:t>
      </w:r>
      <w:r>
        <w:rPr>
          <w:spacing w:val="-4"/>
          <w:sz w:val="16"/>
          <w:szCs w:val="16"/>
          <w:lang w:val="es-ES_tradnl"/>
        </w:rPr>
        <w:t>n</w:t>
      </w:r>
      <w:r>
        <w:rPr>
          <w:spacing w:val="-4"/>
          <w:sz w:val="18"/>
          <w:szCs w:val="18"/>
          <w:lang w:val="es-ES_tradnl"/>
        </w:rPr>
        <w:t xml:space="preserve"> </w:t>
      </w:r>
      <w:r>
        <w:rPr>
          <w:spacing w:val="-4"/>
          <w:sz w:val="16"/>
          <w:szCs w:val="16"/>
          <w:lang w:val="es-ES_tradnl"/>
        </w:rPr>
        <w:t>del</w:t>
      </w:r>
      <w:r>
        <w:rPr>
          <w:spacing w:val="-4"/>
          <w:sz w:val="18"/>
          <w:szCs w:val="18"/>
          <w:lang w:val="es-ES_tradnl"/>
        </w:rPr>
        <w:t xml:space="preserve"> </w:t>
      </w:r>
      <w:r>
        <w:rPr>
          <w:spacing w:val="-4"/>
          <w:sz w:val="16"/>
          <w:szCs w:val="16"/>
          <w:lang w:val="es-ES_tradnl"/>
        </w:rPr>
        <w:t xml:space="preserve">espectro </w:t>
      </w:r>
      <w:r>
        <w:rPr>
          <w:spacing w:val="-5"/>
          <w:sz w:val="16"/>
          <w:szCs w:val="16"/>
          <w:lang w:val="es-ES_tradnl"/>
        </w:rPr>
        <w:t>radioel</w:t>
      </w:r>
      <w:r>
        <w:rPr>
          <w:rFonts w:cs="Times New Roman"/>
          <w:spacing w:val="-5"/>
          <w:sz w:val="16"/>
          <w:szCs w:val="16"/>
          <w:lang w:val="es-ES_tradnl"/>
        </w:rPr>
        <w:t>é</w:t>
      </w:r>
      <w:r>
        <w:rPr>
          <w:spacing w:val="-5"/>
          <w:sz w:val="16"/>
          <w:szCs w:val="16"/>
          <w:lang w:val="es-ES_tradnl"/>
        </w:rPr>
        <w:t>ctrico, por las empresas p</w:t>
      </w:r>
      <w:r>
        <w:rPr>
          <w:rFonts w:cs="Times New Roman"/>
          <w:spacing w:val="-5"/>
          <w:sz w:val="16"/>
          <w:szCs w:val="16"/>
          <w:lang w:val="es-ES_tradnl"/>
        </w:rPr>
        <w:t>ú</w:t>
      </w:r>
      <w:r>
        <w:rPr>
          <w:spacing w:val="-5"/>
          <w:sz w:val="16"/>
          <w:szCs w:val="16"/>
          <w:lang w:val="es-ES_tradnl"/>
        </w:rPr>
        <w:t>blicas e instituciones del Estado. Para la prestaci</w:t>
      </w:r>
      <w:r>
        <w:rPr>
          <w:rFonts w:cs="Times New Roman"/>
          <w:spacing w:val="-5"/>
          <w:sz w:val="16"/>
          <w:szCs w:val="16"/>
          <w:lang w:val="es-ES_tradnl"/>
        </w:rPr>
        <w:t>ó</w:t>
      </w:r>
      <w:r>
        <w:rPr>
          <w:spacing w:val="-5"/>
          <w:sz w:val="16"/>
          <w:szCs w:val="16"/>
          <w:lang w:val="es-ES_tradnl"/>
        </w:rPr>
        <w:t>n de servicios de audio y v</w:t>
      </w:r>
      <w:r>
        <w:rPr>
          <w:rFonts w:cs="Times New Roman"/>
          <w:spacing w:val="-5"/>
          <w:sz w:val="16"/>
          <w:szCs w:val="16"/>
          <w:lang w:val="es-ES_tradnl"/>
        </w:rPr>
        <w:t>í</w:t>
      </w:r>
      <w:r>
        <w:rPr>
          <w:spacing w:val="-5"/>
          <w:sz w:val="16"/>
          <w:szCs w:val="16"/>
          <w:lang w:val="es-ES_tradnl"/>
        </w:rPr>
        <w:t>deo por suscripci</w:t>
      </w:r>
      <w:r>
        <w:rPr>
          <w:rFonts w:cs="Times New Roman"/>
          <w:spacing w:val="-5"/>
          <w:sz w:val="16"/>
          <w:szCs w:val="16"/>
          <w:lang w:val="es-ES_tradnl"/>
        </w:rPr>
        <w:t>ó</w:t>
      </w:r>
      <w:r>
        <w:rPr>
          <w:spacing w:val="-5"/>
          <w:sz w:val="16"/>
          <w:szCs w:val="16"/>
          <w:lang w:val="es-ES_tradnl"/>
        </w:rPr>
        <w:t>n, para personas naturales y jur</w:t>
      </w:r>
      <w:r>
        <w:rPr>
          <w:rFonts w:cs="Times New Roman"/>
          <w:spacing w:val="-5"/>
          <w:sz w:val="16"/>
          <w:szCs w:val="16"/>
          <w:lang w:val="es-ES_tradnl"/>
        </w:rPr>
        <w:t>í</w:t>
      </w:r>
      <w:r>
        <w:rPr>
          <w:spacing w:val="-5"/>
          <w:sz w:val="16"/>
          <w:szCs w:val="16"/>
          <w:lang w:val="es-ES_tradnl"/>
        </w:rPr>
        <w:t xml:space="preserve">dicas de derecho </w:t>
      </w:r>
      <w:r>
        <w:rPr>
          <w:spacing w:val="-4"/>
          <w:sz w:val="16"/>
          <w:szCs w:val="16"/>
          <w:lang w:val="es-ES_tradnl"/>
        </w:rPr>
        <w:t>privado, la autorizaci</w:t>
      </w:r>
      <w:r>
        <w:rPr>
          <w:rFonts w:cs="Times New Roman"/>
          <w:spacing w:val="-4"/>
          <w:sz w:val="16"/>
          <w:szCs w:val="16"/>
          <w:lang w:val="es-ES_tradnl"/>
        </w:rPr>
        <w:t>ó</w:t>
      </w:r>
      <w:r>
        <w:rPr>
          <w:spacing w:val="-4"/>
          <w:sz w:val="16"/>
          <w:szCs w:val="16"/>
          <w:lang w:val="es-ES_tradnl"/>
        </w:rPr>
        <w:t>n se instrumentar</w:t>
      </w:r>
      <w:r>
        <w:rPr>
          <w:rFonts w:cs="Times New Roman"/>
          <w:spacing w:val="-4"/>
          <w:sz w:val="16"/>
          <w:szCs w:val="16"/>
          <w:lang w:val="es-ES_tradnl"/>
        </w:rPr>
        <w:t>á</w:t>
      </w:r>
      <w:r>
        <w:rPr>
          <w:spacing w:val="-4"/>
          <w:sz w:val="16"/>
          <w:szCs w:val="16"/>
          <w:lang w:val="es-ES_tradnl"/>
        </w:rPr>
        <w:t xml:space="preserve"> a trav</w:t>
      </w:r>
      <w:r>
        <w:rPr>
          <w:rFonts w:cs="Times New Roman"/>
          <w:spacing w:val="-4"/>
          <w:sz w:val="16"/>
          <w:szCs w:val="16"/>
          <w:lang w:val="es-ES_tradnl"/>
        </w:rPr>
        <w:t>é</w:t>
      </w:r>
      <w:r>
        <w:rPr>
          <w:spacing w:val="-4"/>
          <w:sz w:val="16"/>
          <w:szCs w:val="16"/>
          <w:lang w:val="es-ES_tradnl"/>
        </w:rPr>
        <w:t xml:space="preserve">s de un </w:t>
      </w:r>
      <w:r>
        <w:rPr>
          <w:sz w:val="16"/>
          <w:szCs w:val="16"/>
          <w:lang w:val="es-ES_tradnl"/>
        </w:rPr>
        <w:t>permiso.</w:t>
      </w:r>
    </w:p>
    <w:p w14:paraId="4F67A8A8" w14:textId="77777777" w:rsidR="00591D54" w:rsidRDefault="00591D54" w:rsidP="00251195">
      <w:pPr>
        <w:numPr>
          <w:ilvl w:val="0"/>
          <w:numId w:val="38"/>
        </w:numPr>
        <w:shd w:val="clear" w:color="auto" w:fill="FFFFFF"/>
        <w:tabs>
          <w:tab w:val="left" w:pos="442"/>
        </w:tabs>
        <w:spacing w:before="206" w:line="206" w:lineRule="exact"/>
        <w:ind w:left="283"/>
        <w:jc w:val="both"/>
        <w:rPr>
          <w:spacing w:val="-8"/>
          <w:sz w:val="16"/>
          <w:szCs w:val="16"/>
          <w:lang w:val="es-ES_tradnl"/>
        </w:rPr>
      </w:pPr>
      <w:r>
        <w:rPr>
          <w:spacing w:val="-7"/>
          <w:sz w:val="16"/>
          <w:szCs w:val="16"/>
          <w:lang w:val="es-ES_tradnl"/>
        </w:rPr>
        <w:t>Registro</w:t>
      </w:r>
      <w:r>
        <w:rPr>
          <w:spacing w:val="-7"/>
          <w:sz w:val="18"/>
          <w:szCs w:val="18"/>
          <w:lang w:val="es-ES_tradnl"/>
        </w:rPr>
        <w:t xml:space="preserve"> </w:t>
      </w:r>
      <w:r>
        <w:rPr>
          <w:spacing w:val="-7"/>
          <w:sz w:val="16"/>
          <w:szCs w:val="16"/>
          <w:lang w:val="es-ES_tradnl"/>
        </w:rPr>
        <w:t>de</w:t>
      </w:r>
      <w:r>
        <w:rPr>
          <w:spacing w:val="-7"/>
          <w:sz w:val="18"/>
          <w:szCs w:val="18"/>
          <w:lang w:val="es-ES_tradnl"/>
        </w:rPr>
        <w:t xml:space="preserve"> </w:t>
      </w:r>
      <w:r>
        <w:rPr>
          <w:spacing w:val="-7"/>
          <w:sz w:val="16"/>
          <w:szCs w:val="16"/>
          <w:lang w:val="es-ES_tradnl"/>
        </w:rPr>
        <w:t>servicios:</w:t>
      </w:r>
      <w:r>
        <w:rPr>
          <w:spacing w:val="-7"/>
          <w:sz w:val="18"/>
          <w:szCs w:val="18"/>
          <w:lang w:val="es-ES_tradnl"/>
        </w:rPr>
        <w:t xml:space="preserve"> </w:t>
      </w:r>
      <w:r>
        <w:rPr>
          <w:spacing w:val="-7"/>
          <w:sz w:val="16"/>
          <w:szCs w:val="16"/>
          <w:lang w:val="es-ES_tradnl"/>
        </w:rPr>
        <w:t>Los</w:t>
      </w:r>
      <w:r>
        <w:rPr>
          <w:spacing w:val="-7"/>
          <w:sz w:val="18"/>
          <w:szCs w:val="18"/>
          <w:lang w:val="es-ES_tradnl"/>
        </w:rPr>
        <w:t xml:space="preserve"> </w:t>
      </w:r>
      <w:r>
        <w:rPr>
          <w:spacing w:val="-7"/>
          <w:sz w:val="16"/>
          <w:szCs w:val="16"/>
          <w:lang w:val="es-ES_tradnl"/>
        </w:rPr>
        <w:t>servicios</w:t>
      </w:r>
      <w:r>
        <w:rPr>
          <w:spacing w:val="-7"/>
          <w:sz w:val="18"/>
          <w:szCs w:val="18"/>
          <w:lang w:val="es-ES_tradnl"/>
        </w:rPr>
        <w:t xml:space="preserve"> </w:t>
      </w:r>
      <w:r>
        <w:rPr>
          <w:spacing w:val="-7"/>
          <w:sz w:val="16"/>
          <w:szCs w:val="16"/>
          <w:lang w:val="es-ES_tradnl"/>
        </w:rPr>
        <w:t>para</w:t>
      </w:r>
      <w:r>
        <w:rPr>
          <w:spacing w:val="-7"/>
          <w:sz w:val="18"/>
          <w:szCs w:val="18"/>
          <w:lang w:val="es-ES_tradnl"/>
        </w:rPr>
        <w:t xml:space="preserve"> </w:t>
      </w:r>
      <w:r>
        <w:rPr>
          <w:spacing w:val="-7"/>
          <w:sz w:val="16"/>
          <w:szCs w:val="16"/>
          <w:lang w:val="es-ES_tradnl"/>
        </w:rPr>
        <w:t>cuya</w:t>
      </w:r>
      <w:r>
        <w:rPr>
          <w:spacing w:val="-7"/>
          <w:sz w:val="18"/>
          <w:szCs w:val="18"/>
          <w:lang w:val="es-ES_tradnl"/>
        </w:rPr>
        <w:t xml:space="preserve"> </w:t>
      </w:r>
      <w:r>
        <w:rPr>
          <w:spacing w:val="-7"/>
          <w:sz w:val="16"/>
          <w:szCs w:val="16"/>
          <w:lang w:val="es-ES_tradnl"/>
        </w:rPr>
        <w:t>prestaci</w:t>
      </w:r>
      <w:r>
        <w:rPr>
          <w:rFonts w:cs="Times New Roman"/>
          <w:spacing w:val="-7"/>
          <w:sz w:val="16"/>
          <w:szCs w:val="16"/>
          <w:lang w:val="es-ES_tradnl"/>
        </w:rPr>
        <w:t>ó</w:t>
      </w:r>
      <w:r>
        <w:rPr>
          <w:spacing w:val="-7"/>
          <w:sz w:val="16"/>
          <w:szCs w:val="16"/>
          <w:lang w:val="es-ES_tradnl"/>
        </w:rPr>
        <w:t>n</w:t>
      </w:r>
      <w:r>
        <w:rPr>
          <w:spacing w:val="-7"/>
          <w:sz w:val="18"/>
          <w:szCs w:val="18"/>
          <w:lang w:val="es-ES_tradnl"/>
        </w:rPr>
        <w:t xml:space="preserve"> </w:t>
      </w:r>
      <w:r>
        <w:rPr>
          <w:spacing w:val="-7"/>
          <w:sz w:val="16"/>
          <w:szCs w:val="16"/>
          <w:lang w:val="es-ES_tradnl"/>
        </w:rPr>
        <w:t xml:space="preserve">se </w:t>
      </w:r>
      <w:r>
        <w:rPr>
          <w:spacing w:val="-5"/>
          <w:sz w:val="16"/>
          <w:szCs w:val="16"/>
          <w:lang w:val="es-ES_tradnl"/>
        </w:rPr>
        <w:t xml:space="preserve">requiere el Registro, son entre otros los siguientes: servicios </w:t>
      </w:r>
      <w:r>
        <w:rPr>
          <w:spacing w:val="-8"/>
          <w:sz w:val="16"/>
          <w:szCs w:val="16"/>
          <w:lang w:val="es-ES_tradnl"/>
        </w:rPr>
        <w:t xml:space="preserve">portadores, operadores de cable submarino, radioaficionados, </w:t>
      </w:r>
      <w:r>
        <w:rPr>
          <w:spacing w:val="-7"/>
          <w:sz w:val="16"/>
          <w:szCs w:val="16"/>
          <w:lang w:val="es-ES_tradnl"/>
        </w:rPr>
        <w:t>valor agregado, de radiocomunicaci</w:t>
      </w:r>
      <w:r>
        <w:rPr>
          <w:rFonts w:cs="Times New Roman"/>
          <w:spacing w:val="-7"/>
          <w:sz w:val="16"/>
          <w:szCs w:val="16"/>
          <w:lang w:val="es-ES_tradnl"/>
        </w:rPr>
        <w:t>ó</w:t>
      </w:r>
      <w:r>
        <w:rPr>
          <w:spacing w:val="-7"/>
          <w:sz w:val="16"/>
          <w:szCs w:val="16"/>
          <w:lang w:val="es-ES_tradnl"/>
        </w:rPr>
        <w:t xml:space="preserve">n, redes y actividades de </w:t>
      </w:r>
      <w:r>
        <w:rPr>
          <w:sz w:val="16"/>
          <w:szCs w:val="16"/>
          <w:lang w:val="es-ES_tradnl"/>
        </w:rPr>
        <w:t>uso privado y reventa.</w:t>
      </w:r>
    </w:p>
    <w:p w14:paraId="4F67A8A9" w14:textId="77777777" w:rsidR="00591D54" w:rsidRDefault="00591D54">
      <w:pPr>
        <w:shd w:val="clear" w:color="auto" w:fill="FFFFFF"/>
        <w:spacing w:before="206" w:line="206" w:lineRule="exact"/>
        <w:ind w:left="283"/>
        <w:jc w:val="both"/>
      </w:pPr>
      <w:r>
        <w:rPr>
          <w:sz w:val="16"/>
          <w:szCs w:val="16"/>
          <w:lang w:val="es-ES_tradnl"/>
        </w:rPr>
        <w:t>La Agencia de Regulaci</w:t>
      </w:r>
      <w:r>
        <w:rPr>
          <w:rFonts w:cs="Times New Roman"/>
          <w:sz w:val="16"/>
          <w:szCs w:val="16"/>
          <w:lang w:val="es-ES_tradnl"/>
        </w:rPr>
        <w:t>ó</w:t>
      </w:r>
      <w:r>
        <w:rPr>
          <w:sz w:val="16"/>
          <w:szCs w:val="16"/>
          <w:lang w:val="es-ES_tradnl"/>
        </w:rPr>
        <w:t xml:space="preserve">n y Control de las </w:t>
      </w:r>
      <w:r>
        <w:rPr>
          <w:spacing w:val="-6"/>
          <w:sz w:val="16"/>
          <w:szCs w:val="16"/>
          <w:lang w:val="es-ES_tradnl"/>
        </w:rPr>
        <w:t>Telecomunicaciones, determinar</w:t>
      </w:r>
      <w:r>
        <w:rPr>
          <w:rFonts w:cs="Times New Roman"/>
          <w:spacing w:val="-6"/>
          <w:sz w:val="16"/>
          <w:szCs w:val="16"/>
          <w:lang w:val="es-ES_tradnl"/>
        </w:rPr>
        <w:t>á</w:t>
      </w:r>
      <w:r>
        <w:rPr>
          <w:spacing w:val="-6"/>
          <w:sz w:val="16"/>
          <w:szCs w:val="16"/>
          <w:lang w:val="es-ES_tradnl"/>
        </w:rPr>
        <w:t xml:space="preserve"> los valores por el pago de derechos de concesi</w:t>
      </w:r>
      <w:r>
        <w:rPr>
          <w:rFonts w:cs="Times New Roman"/>
          <w:spacing w:val="-6"/>
          <w:sz w:val="16"/>
          <w:szCs w:val="16"/>
          <w:lang w:val="es-ES_tradnl"/>
        </w:rPr>
        <w:t>ó</w:t>
      </w:r>
      <w:r>
        <w:rPr>
          <w:spacing w:val="-6"/>
          <w:sz w:val="16"/>
          <w:szCs w:val="16"/>
          <w:lang w:val="es-ES_tradnl"/>
        </w:rPr>
        <w:t>n y registro as</w:t>
      </w:r>
      <w:r>
        <w:rPr>
          <w:rFonts w:cs="Times New Roman"/>
          <w:spacing w:val="-6"/>
          <w:sz w:val="16"/>
          <w:szCs w:val="16"/>
          <w:lang w:val="es-ES_tradnl"/>
        </w:rPr>
        <w:t>í</w:t>
      </w:r>
      <w:r>
        <w:rPr>
          <w:spacing w:val="-6"/>
          <w:sz w:val="16"/>
          <w:szCs w:val="16"/>
          <w:lang w:val="es-ES_tradnl"/>
        </w:rPr>
        <w:t xml:space="preserve"> como los valores por el </w:t>
      </w:r>
      <w:r>
        <w:rPr>
          <w:spacing w:val="-7"/>
          <w:sz w:val="16"/>
          <w:szCs w:val="16"/>
          <w:lang w:val="es-ES_tradnl"/>
        </w:rPr>
        <w:t>pago de autorizaciones, cuando se trate de t</w:t>
      </w:r>
      <w:r>
        <w:rPr>
          <w:rFonts w:cs="Times New Roman"/>
          <w:spacing w:val="-7"/>
          <w:sz w:val="16"/>
          <w:szCs w:val="16"/>
          <w:lang w:val="es-ES_tradnl"/>
        </w:rPr>
        <w:t>í</w:t>
      </w:r>
      <w:r>
        <w:rPr>
          <w:spacing w:val="-7"/>
          <w:sz w:val="16"/>
          <w:szCs w:val="16"/>
          <w:lang w:val="es-ES_tradnl"/>
        </w:rPr>
        <w:t xml:space="preserve">tulos habilitantes </w:t>
      </w:r>
      <w:r>
        <w:rPr>
          <w:spacing w:val="-4"/>
          <w:sz w:val="16"/>
          <w:szCs w:val="16"/>
          <w:lang w:val="es-ES_tradnl"/>
        </w:rPr>
        <w:t>emitidos a favor de empresas p</w:t>
      </w:r>
      <w:r>
        <w:rPr>
          <w:rFonts w:cs="Times New Roman"/>
          <w:spacing w:val="-4"/>
          <w:sz w:val="16"/>
          <w:szCs w:val="16"/>
          <w:lang w:val="es-ES_tradnl"/>
        </w:rPr>
        <w:t>ú</w:t>
      </w:r>
      <w:r>
        <w:rPr>
          <w:spacing w:val="-4"/>
          <w:sz w:val="16"/>
          <w:szCs w:val="16"/>
          <w:lang w:val="es-ES_tradnl"/>
        </w:rPr>
        <w:t>blicas o instituciones del Estado, no relacionados con la prestaci</w:t>
      </w:r>
      <w:r>
        <w:rPr>
          <w:rFonts w:cs="Times New Roman"/>
          <w:spacing w:val="-4"/>
          <w:sz w:val="16"/>
          <w:szCs w:val="16"/>
          <w:lang w:val="es-ES_tradnl"/>
        </w:rPr>
        <w:t>ó</w:t>
      </w:r>
      <w:r>
        <w:rPr>
          <w:spacing w:val="-4"/>
          <w:sz w:val="16"/>
          <w:szCs w:val="16"/>
          <w:lang w:val="es-ES_tradnl"/>
        </w:rPr>
        <w:t xml:space="preserve">n de servicios de </w:t>
      </w:r>
      <w:r>
        <w:rPr>
          <w:spacing w:val="-5"/>
          <w:sz w:val="16"/>
          <w:szCs w:val="16"/>
          <w:lang w:val="es-ES_tradnl"/>
        </w:rPr>
        <w:t>telecomunicaciones. De ser necesario determinar</w:t>
      </w:r>
      <w:r>
        <w:rPr>
          <w:rFonts w:cs="Times New Roman"/>
          <w:spacing w:val="-5"/>
          <w:sz w:val="16"/>
          <w:szCs w:val="16"/>
          <w:lang w:val="es-ES_tradnl"/>
        </w:rPr>
        <w:t>á</w:t>
      </w:r>
      <w:r>
        <w:rPr>
          <w:spacing w:val="-5"/>
          <w:sz w:val="16"/>
          <w:szCs w:val="16"/>
          <w:lang w:val="es-ES_tradnl"/>
        </w:rPr>
        <w:t xml:space="preserve"> adem</w:t>
      </w:r>
      <w:r>
        <w:rPr>
          <w:rFonts w:cs="Times New Roman"/>
          <w:spacing w:val="-5"/>
          <w:sz w:val="16"/>
          <w:szCs w:val="16"/>
          <w:lang w:val="es-ES_tradnl"/>
        </w:rPr>
        <w:t>á</w:t>
      </w:r>
      <w:r>
        <w:rPr>
          <w:spacing w:val="-5"/>
          <w:sz w:val="16"/>
          <w:szCs w:val="16"/>
          <w:lang w:val="es-ES_tradnl"/>
        </w:rPr>
        <w:t xml:space="preserve">s, </w:t>
      </w:r>
      <w:r>
        <w:rPr>
          <w:spacing w:val="-3"/>
          <w:sz w:val="16"/>
          <w:szCs w:val="16"/>
          <w:lang w:val="es-ES_tradnl"/>
        </w:rPr>
        <w:t>el tipo de habilitaci</w:t>
      </w:r>
      <w:r>
        <w:rPr>
          <w:rFonts w:cs="Times New Roman"/>
          <w:spacing w:val="-3"/>
          <w:sz w:val="16"/>
          <w:szCs w:val="16"/>
          <w:lang w:val="es-ES_tradnl"/>
        </w:rPr>
        <w:t>ó</w:t>
      </w:r>
      <w:r>
        <w:rPr>
          <w:spacing w:val="-3"/>
          <w:sz w:val="16"/>
          <w:szCs w:val="16"/>
          <w:lang w:val="es-ES_tradnl"/>
        </w:rPr>
        <w:t xml:space="preserve">n para otros servicios, no definidos en </w:t>
      </w:r>
      <w:r>
        <w:rPr>
          <w:sz w:val="16"/>
          <w:szCs w:val="16"/>
          <w:lang w:val="es-ES_tradnl"/>
        </w:rPr>
        <w:t>esta Ley.</w:t>
      </w:r>
    </w:p>
    <w:p w14:paraId="4F67A8AA" w14:textId="77777777" w:rsidR="00591D54" w:rsidRDefault="00591D54">
      <w:pPr>
        <w:shd w:val="clear" w:color="auto" w:fill="FFFFFF"/>
        <w:spacing w:before="206" w:line="206" w:lineRule="exact"/>
        <w:ind w:left="283"/>
        <w:jc w:val="both"/>
      </w:pPr>
      <w:r>
        <w:rPr>
          <w:spacing w:val="-2"/>
          <w:sz w:val="16"/>
          <w:szCs w:val="16"/>
          <w:lang w:val="es-ES_tradnl"/>
        </w:rPr>
        <w:t>Los servicios cuyo t</w:t>
      </w:r>
      <w:r>
        <w:rPr>
          <w:rFonts w:cs="Times New Roman"/>
          <w:spacing w:val="-2"/>
          <w:sz w:val="16"/>
          <w:szCs w:val="16"/>
          <w:lang w:val="es-ES_tradnl"/>
        </w:rPr>
        <w:t>í</w:t>
      </w:r>
      <w:r>
        <w:rPr>
          <w:spacing w:val="-2"/>
          <w:sz w:val="16"/>
          <w:szCs w:val="16"/>
          <w:lang w:val="es-ES_tradnl"/>
        </w:rPr>
        <w:t xml:space="preserve">tulo habilitante es el registro, en caso </w:t>
      </w:r>
      <w:r>
        <w:rPr>
          <w:spacing w:val="-4"/>
          <w:sz w:val="16"/>
          <w:szCs w:val="16"/>
          <w:lang w:val="es-ES_tradnl"/>
        </w:rPr>
        <w:t>de requerir de frecuencias, deber</w:t>
      </w:r>
      <w:r>
        <w:rPr>
          <w:rFonts w:cs="Times New Roman"/>
          <w:spacing w:val="-4"/>
          <w:sz w:val="16"/>
          <w:szCs w:val="16"/>
          <w:lang w:val="es-ES_tradnl"/>
        </w:rPr>
        <w:t>á</w:t>
      </w:r>
      <w:r>
        <w:rPr>
          <w:spacing w:val="-4"/>
          <w:sz w:val="16"/>
          <w:szCs w:val="16"/>
          <w:lang w:val="es-ES_tradnl"/>
        </w:rPr>
        <w:t xml:space="preserve">n solicitar y obtener </w:t>
      </w:r>
      <w:r>
        <w:rPr>
          <w:spacing w:val="-7"/>
          <w:sz w:val="16"/>
          <w:szCs w:val="16"/>
          <w:lang w:val="es-ES_tradnl"/>
        </w:rPr>
        <w:t>previamente la concesi</w:t>
      </w:r>
      <w:r>
        <w:rPr>
          <w:rFonts w:cs="Times New Roman"/>
          <w:spacing w:val="-7"/>
          <w:sz w:val="16"/>
          <w:szCs w:val="16"/>
          <w:lang w:val="es-ES_tradnl"/>
        </w:rPr>
        <w:t>ó</w:t>
      </w:r>
      <w:r>
        <w:rPr>
          <w:spacing w:val="-7"/>
          <w:sz w:val="16"/>
          <w:szCs w:val="16"/>
          <w:lang w:val="es-ES_tradnl"/>
        </w:rPr>
        <w:t>n o autorizaci</w:t>
      </w:r>
      <w:r>
        <w:rPr>
          <w:rFonts w:cs="Times New Roman"/>
          <w:spacing w:val="-7"/>
          <w:sz w:val="16"/>
          <w:szCs w:val="16"/>
          <w:lang w:val="es-ES_tradnl"/>
        </w:rPr>
        <w:t>ó</w:t>
      </w:r>
      <w:r>
        <w:rPr>
          <w:spacing w:val="-7"/>
          <w:sz w:val="16"/>
          <w:szCs w:val="16"/>
          <w:lang w:val="es-ES_tradnl"/>
        </w:rPr>
        <w:t>n, seg</w:t>
      </w:r>
      <w:r>
        <w:rPr>
          <w:rFonts w:cs="Times New Roman"/>
          <w:spacing w:val="-7"/>
          <w:sz w:val="16"/>
          <w:szCs w:val="16"/>
          <w:lang w:val="es-ES_tradnl"/>
        </w:rPr>
        <w:t>ú</w:t>
      </w:r>
      <w:r>
        <w:rPr>
          <w:spacing w:val="-7"/>
          <w:sz w:val="16"/>
          <w:szCs w:val="16"/>
          <w:lang w:val="es-ES_tradnl"/>
        </w:rPr>
        <w:t xml:space="preserve">n corresponda. </w:t>
      </w:r>
      <w:r>
        <w:rPr>
          <w:sz w:val="16"/>
          <w:szCs w:val="16"/>
          <w:lang w:val="es-ES_tradnl"/>
        </w:rPr>
        <w:t>[</w:t>
      </w:r>
      <w:r>
        <w:rPr>
          <w:rFonts w:cs="Times New Roman"/>
          <w:sz w:val="16"/>
          <w:szCs w:val="16"/>
          <w:lang w:val="es-ES_tradnl"/>
        </w:rPr>
        <w:t>…</w:t>
      </w:r>
      <w:r>
        <w:rPr>
          <w:sz w:val="16"/>
          <w:szCs w:val="16"/>
          <w:lang w:val="es-ES_tradnl"/>
        </w:rPr>
        <w:t>].</w:t>
      </w:r>
    </w:p>
    <w:p w14:paraId="4F67A8AB" w14:textId="77777777" w:rsidR="00591D54" w:rsidRDefault="00591D54">
      <w:pPr>
        <w:shd w:val="clear" w:color="auto" w:fill="FFFFFF"/>
        <w:spacing w:before="192" w:line="206" w:lineRule="exact"/>
        <w:jc w:val="both"/>
      </w:pPr>
      <w:r>
        <w:rPr>
          <w:spacing w:val="-4"/>
          <w:sz w:val="18"/>
          <w:szCs w:val="18"/>
          <w:lang w:val="es-ES_tradnl"/>
        </w:rPr>
        <w:t>De lo expuesto, se puede observar que ser</w:t>
      </w:r>
      <w:r>
        <w:rPr>
          <w:rFonts w:cs="Times New Roman"/>
          <w:spacing w:val="-4"/>
          <w:sz w:val="18"/>
          <w:szCs w:val="18"/>
          <w:lang w:val="es-ES_tradnl"/>
        </w:rPr>
        <w:t>á</w:t>
      </w:r>
      <w:r>
        <w:rPr>
          <w:spacing w:val="-4"/>
          <w:sz w:val="18"/>
          <w:szCs w:val="18"/>
          <w:lang w:val="es-ES_tradnl"/>
        </w:rPr>
        <w:t xml:space="preserve"> la Agencia </w:t>
      </w:r>
      <w:r>
        <w:rPr>
          <w:spacing w:val="-5"/>
          <w:sz w:val="18"/>
          <w:szCs w:val="18"/>
          <w:lang w:val="es-ES_tradnl"/>
        </w:rPr>
        <w:t>de Regulaci</w:t>
      </w:r>
      <w:r>
        <w:rPr>
          <w:rFonts w:cs="Times New Roman"/>
          <w:spacing w:val="-5"/>
          <w:sz w:val="18"/>
          <w:szCs w:val="18"/>
          <w:lang w:val="es-ES_tradnl"/>
        </w:rPr>
        <w:t>ó</w:t>
      </w:r>
      <w:r>
        <w:rPr>
          <w:spacing w:val="-5"/>
          <w:sz w:val="18"/>
          <w:szCs w:val="18"/>
          <w:lang w:val="es-ES_tradnl"/>
        </w:rPr>
        <w:t xml:space="preserve">n y Control de las Telecomunicaciones </w:t>
      </w:r>
      <w:r>
        <w:rPr>
          <w:sz w:val="18"/>
          <w:szCs w:val="18"/>
          <w:lang w:val="es-ES_tradnl"/>
        </w:rPr>
        <w:t>(ARCOTEL), a trav</w:t>
      </w:r>
      <w:r>
        <w:rPr>
          <w:rFonts w:cs="Times New Roman"/>
          <w:sz w:val="18"/>
          <w:szCs w:val="18"/>
          <w:lang w:val="es-ES_tradnl"/>
        </w:rPr>
        <w:t>é</w:t>
      </w:r>
      <w:r>
        <w:rPr>
          <w:sz w:val="18"/>
          <w:szCs w:val="18"/>
          <w:lang w:val="es-ES_tradnl"/>
        </w:rPr>
        <w:t>s de la entrega de los t</w:t>
      </w:r>
      <w:r>
        <w:rPr>
          <w:rFonts w:cs="Times New Roman"/>
          <w:sz w:val="18"/>
          <w:szCs w:val="18"/>
          <w:lang w:val="es-ES_tradnl"/>
        </w:rPr>
        <w:t>í</w:t>
      </w:r>
      <w:r>
        <w:rPr>
          <w:sz w:val="18"/>
          <w:szCs w:val="18"/>
          <w:lang w:val="es-ES_tradnl"/>
        </w:rPr>
        <w:t xml:space="preserve">tulos </w:t>
      </w:r>
      <w:r>
        <w:rPr>
          <w:spacing w:val="-4"/>
          <w:sz w:val="18"/>
          <w:szCs w:val="18"/>
          <w:lang w:val="es-ES_tradnl"/>
        </w:rPr>
        <w:t>habilitantes de los servicios de telecomunicaci</w:t>
      </w:r>
      <w:r>
        <w:rPr>
          <w:rFonts w:cs="Times New Roman"/>
          <w:spacing w:val="-4"/>
          <w:sz w:val="18"/>
          <w:szCs w:val="18"/>
          <w:lang w:val="es-ES_tradnl"/>
        </w:rPr>
        <w:t>ó</w:t>
      </w:r>
      <w:r>
        <w:rPr>
          <w:spacing w:val="-4"/>
          <w:sz w:val="18"/>
          <w:szCs w:val="18"/>
          <w:lang w:val="es-ES_tradnl"/>
        </w:rPr>
        <w:t xml:space="preserve">n, el </w:t>
      </w:r>
      <w:r>
        <w:rPr>
          <w:spacing w:val="-1"/>
          <w:sz w:val="18"/>
          <w:szCs w:val="18"/>
          <w:lang w:val="es-ES_tradnl"/>
        </w:rPr>
        <w:t>organismo p</w:t>
      </w:r>
      <w:r>
        <w:rPr>
          <w:rFonts w:cs="Times New Roman"/>
          <w:spacing w:val="-1"/>
          <w:sz w:val="18"/>
          <w:szCs w:val="18"/>
          <w:lang w:val="es-ES_tradnl"/>
        </w:rPr>
        <w:t>ú</w:t>
      </w:r>
      <w:r>
        <w:rPr>
          <w:spacing w:val="-1"/>
          <w:sz w:val="18"/>
          <w:szCs w:val="18"/>
          <w:lang w:val="es-ES_tradnl"/>
        </w:rPr>
        <w:t>blico que otorgar</w:t>
      </w:r>
      <w:r>
        <w:rPr>
          <w:rFonts w:cs="Times New Roman"/>
          <w:spacing w:val="-1"/>
          <w:sz w:val="18"/>
          <w:szCs w:val="18"/>
          <w:lang w:val="es-ES_tradnl"/>
        </w:rPr>
        <w:t>á</w:t>
      </w:r>
      <w:r>
        <w:rPr>
          <w:spacing w:val="-1"/>
          <w:sz w:val="18"/>
          <w:szCs w:val="18"/>
          <w:lang w:val="es-ES_tradnl"/>
        </w:rPr>
        <w:t>, mediante concesi</w:t>
      </w:r>
      <w:r>
        <w:rPr>
          <w:rFonts w:cs="Times New Roman"/>
          <w:spacing w:val="-1"/>
          <w:sz w:val="18"/>
          <w:szCs w:val="18"/>
          <w:lang w:val="es-ES_tradnl"/>
        </w:rPr>
        <w:t>ó</w:t>
      </w:r>
      <w:r>
        <w:rPr>
          <w:spacing w:val="-1"/>
          <w:sz w:val="18"/>
          <w:szCs w:val="18"/>
          <w:lang w:val="es-ES_tradnl"/>
        </w:rPr>
        <w:t xml:space="preserve">n, </w:t>
      </w:r>
      <w:r>
        <w:rPr>
          <w:spacing w:val="-5"/>
          <w:sz w:val="18"/>
          <w:szCs w:val="18"/>
          <w:lang w:val="es-ES_tradnl"/>
        </w:rPr>
        <w:t>la asignaci</w:t>
      </w:r>
      <w:r>
        <w:rPr>
          <w:rFonts w:cs="Times New Roman"/>
          <w:spacing w:val="-5"/>
          <w:sz w:val="18"/>
          <w:szCs w:val="18"/>
          <w:lang w:val="es-ES_tradnl"/>
        </w:rPr>
        <w:t>ó</w:t>
      </w:r>
      <w:r>
        <w:rPr>
          <w:spacing w:val="-5"/>
          <w:sz w:val="18"/>
          <w:szCs w:val="18"/>
          <w:lang w:val="es-ES_tradnl"/>
        </w:rPr>
        <w:t>n de determinado espectro radioel</w:t>
      </w:r>
      <w:r>
        <w:rPr>
          <w:rFonts w:cs="Times New Roman"/>
          <w:spacing w:val="-5"/>
          <w:sz w:val="18"/>
          <w:szCs w:val="18"/>
          <w:lang w:val="es-ES_tradnl"/>
        </w:rPr>
        <w:t>é</w:t>
      </w:r>
      <w:r>
        <w:rPr>
          <w:spacing w:val="-5"/>
          <w:sz w:val="18"/>
          <w:szCs w:val="18"/>
          <w:lang w:val="es-ES_tradnl"/>
        </w:rPr>
        <w:t xml:space="preserve">ctrico y </w:t>
      </w:r>
      <w:r>
        <w:rPr>
          <w:spacing w:val="-4"/>
          <w:sz w:val="18"/>
          <w:szCs w:val="18"/>
          <w:lang w:val="es-ES_tradnl"/>
        </w:rPr>
        <w:t>tambi</w:t>
      </w:r>
      <w:r>
        <w:rPr>
          <w:rFonts w:cs="Times New Roman"/>
          <w:spacing w:val="-4"/>
          <w:sz w:val="18"/>
          <w:szCs w:val="18"/>
          <w:lang w:val="es-ES_tradnl"/>
        </w:rPr>
        <w:t>é</w:t>
      </w:r>
      <w:r>
        <w:rPr>
          <w:spacing w:val="-4"/>
          <w:sz w:val="18"/>
          <w:szCs w:val="18"/>
          <w:lang w:val="es-ES_tradnl"/>
        </w:rPr>
        <w:t>n los permisos para la instalaci</w:t>
      </w:r>
      <w:r>
        <w:rPr>
          <w:rFonts w:cs="Times New Roman"/>
          <w:spacing w:val="-4"/>
          <w:sz w:val="18"/>
          <w:szCs w:val="18"/>
          <w:lang w:val="es-ES_tradnl"/>
        </w:rPr>
        <w:t>ó</w:t>
      </w:r>
      <w:r>
        <w:rPr>
          <w:spacing w:val="-4"/>
          <w:sz w:val="18"/>
          <w:szCs w:val="18"/>
          <w:lang w:val="es-ES_tradnl"/>
        </w:rPr>
        <w:t>n y operaci</w:t>
      </w:r>
      <w:r>
        <w:rPr>
          <w:rFonts w:cs="Times New Roman"/>
          <w:spacing w:val="-4"/>
          <w:sz w:val="18"/>
          <w:szCs w:val="18"/>
          <w:lang w:val="es-ES_tradnl"/>
        </w:rPr>
        <w:t>ó</w:t>
      </w:r>
      <w:r>
        <w:rPr>
          <w:spacing w:val="-4"/>
          <w:sz w:val="18"/>
          <w:szCs w:val="18"/>
          <w:lang w:val="es-ES_tradnl"/>
        </w:rPr>
        <w:t xml:space="preserve">n de </w:t>
      </w:r>
      <w:r>
        <w:rPr>
          <w:spacing w:val="-9"/>
          <w:sz w:val="18"/>
          <w:szCs w:val="18"/>
          <w:lang w:val="es-ES_tradnl"/>
        </w:rPr>
        <w:t xml:space="preserve">redes privadas, a fin de que se lleve a cabo el uso de dicho </w:t>
      </w:r>
      <w:r>
        <w:rPr>
          <w:spacing w:val="-4"/>
          <w:sz w:val="18"/>
          <w:szCs w:val="18"/>
          <w:lang w:val="es-ES_tradnl"/>
        </w:rPr>
        <w:t>espectro, es decir, ARCOTEL es el ente p</w:t>
      </w:r>
      <w:r>
        <w:rPr>
          <w:rFonts w:cs="Times New Roman"/>
          <w:spacing w:val="-4"/>
          <w:sz w:val="18"/>
          <w:szCs w:val="18"/>
          <w:lang w:val="es-ES_tradnl"/>
        </w:rPr>
        <w:t>ú</w:t>
      </w:r>
      <w:r>
        <w:rPr>
          <w:spacing w:val="-4"/>
          <w:sz w:val="18"/>
          <w:szCs w:val="18"/>
          <w:lang w:val="es-ES_tradnl"/>
        </w:rPr>
        <w:t xml:space="preserve">blico llamado </w:t>
      </w:r>
      <w:r>
        <w:rPr>
          <w:spacing w:val="-6"/>
          <w:sz w:val="18"/>
          <w:szCs w:val="18"/>
          <w:lang w:val="es-ES_tradnl"/>
        </w:rPr>
        <w:t>a establecer, en representaci</w:t>
      </w:r>
      <w:r>
        <w:rPr>
          <w:rFonts w:cs="Times New Roman"/>
          <w:spacing w:val="-6"/>
          <w:sz w:val="18"/>
          <w:szCs w:val="18"/>
          <w:lang w:val="es-ES_tradnl"/>
        </w:rPr>
        <w:t>ó</w:t>
      </w:r>
      <w:r>
        <w:rPr>
          <w:spacing w:val="-6"/>
          <w:sz w:val="18"/>
          <w:szCs w:val="18"/>
          <w:lang w:val="es-ES_tradnl"/>
        </w:rPr>
        <w:t xml:space="preserve">n del Estado Central, las </w:t>
      </w:r>
      <w:r>
        <w:rPr>
          <w:spacing w:val="-5"/>
          <w:sz w:val="18"/>
          <w:szCs w:val="18"/>
          <w:lang w:val="es-ES_tradnl"/>
        </w:rPr>
        <w:t>regulaciones por el uso del espectro radioel</w:t>
      </w:r>
      <w:r>
        <w:rPr>
          <w:rFonts w:cs="Times New Roman"/>
          <w:spacing w:val="-5"/>
          <w:sz w:val="18"/>
          <w:szCs w:val="18"/>
          <w:lang w:val="es-ES_tradnl"/>
        </w:rPr>
        <w:t>é</w:t>
      </w:r>
      <w:r>
        <w:rPr>
          <w:spacing w:val="-5"/>
          <w:sz w:val="18"/>
          <w:szCs w:val="18"/>
          <w:lang w:val="es-ES_tradnl"/>
        </w:rPr>
        <w:t xml:space="preserve">ctrico en la </w:t>
      </w:r>
      <w:r>
        <w:rPr>
          <w:sz w:val="18"/>
          <w:szCs w:val="18"/>
          <w:lang w:val="es-ES_tradnl"/>
        </w:rPr>
        <w:t>actividad de las telecomunicaciones.</w:t>
      </w:r>
    </w:p>
    <w:p w14:paraId="4F67A8AC" w14:textId="77777777" w:rsidR="00591D54" w:rsidRDefault="00591D54">
      <w:pPr>
        <w:shd w:val="clear" w:color="auto" w:fill="FFFFFF"/>
        <w:spacing w:before="192" w:line="206" w:lineRule="exact"/>
        <w:jc w:val="both"/>
        <w:sectPr w:rsidR="00591D54">
          <w:type w:val="continuous"/>
          <w:pgSz w:w="11909" w:h="16834"/>
          <w:pgMar w:top="1356" w:right="1309" w:bottom="360" w:left="1308" w:header="720" w:footer="720" w:gutter="0"/>
          <w:cols w:num="2" w:space="720" w:equalWidth="0">
            <w:col w:w="4305" w:space="682"/>
            <w:col w:w="4305"/>
          </w:cols>
          <w:noEndnote/>
        </w:sectPr>
      </w:pPr>
    </w:p>
    <w:p w14:paraId="4F67A8AD" w14:textId="77777777" w:rsidR="00591D54" w:rsidRDefault="00591D54">
      <w:pPr>
        <w:shd w:val="clear" w:color="auto" w:fill="FFFFFF"/>
        <w:tabs>
          <w:tab w:val="left" w:pos="595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- 65</w:t>
      </w:r>
    </w:p>
    <w:p w14:paraId="4F67A8AE" w14:textId="77777777" w:rsidR="00591D54" w:rsidRDefault="00591D54">
      <w:pPr>
        <w:shd w:val="clear" w:color="auto" w:fill="FFFFFF"/>
        <w:tabs>
          <w:tab w:val="left" w:pos="5952"/>
        </w:tabs>
        <w:spacing w:after="230"/>
        <w:ind w:left="5"/>
        <w:sectPr w:rsidR="00591D54">
          <w:pgSz w:w="11909" w:h="16834"/>
          <w:pgMar w:top="1378" w:right="1309" w:bottom="360" w:left="1308" w:header="720" w:footer="720" w:gutter="0"/>
          <w:cols w:space="60"/>
          <w:noEndnote/>
        </w:sectPr>
      </w:pPr>
    </w:p>
    <w:p w14:paraId="4F67A8AF" w14:textId="77777777" w:rsidR="00591D54" w:rsidRDefault="00591D54">
      <w:pPr>
        <w:shd w:val="clear" w:color="auto" w:fill="FFFFFF"/>
        <w:spacing w:before="5" w:line="211" w:lineRule="exact"/>
        <w:jc w:val="both"/>
      </w:pPr>
      <w:r>
        <w:rPr>
          <w:spacing w:val="-10"/>
          <w:sz w:val="18"/>
          <w:szCs w:val="18"/>
          <w:lang w:val="es-ES_tradnl"/>
        </w:rPr>
        <w:t>Por tanto, el Estado central tiene competencia para cualquier regulaci</w:t>
      </w:r>
      <w:r>
        <w:rPr>
          <w:rFonts w:cs="Times New Roman"/>
          <w:spacing w:val="-10"/>
          <w:sz w:val="18"/>
          <w:szCs w:val="18"/>
          <w:lang w:val="es-ES_tradnl"/>
        </w:rPr>
        <w:t>ó</w:t>
      </w:r>
      <w:r>
        <w:rPr>
          <w:spacing w:val="-10"/>
          <w:sz w:val="18"/>
          <w:szCs w:val="18"/>
          <w:lang w:val="es-ES_tradnl"/>
        </w:rPr>
        <w:t>n respecto al espectro radioel</w:t>
      </w:r>
      <w:r>
        <w:rPr>
          <w:rFonts w:cs="Times New Roman"/>
          <w:spacing w:val="-10"/>
          <w:sz w:val="18"/>
          <w:szCs w:val="18"/>
          <w:lang w:val="es-ES_tradnl"/>
        </w:rPr>
        <w:t>é</w:t>
      </w:r>
      <w:r>
        <w:rPr>
          <w:spacing w:val="-10"/>
          <w:sz w:val="18"/>
          <w:szCs w:val="18"/>
          <w:lang w:val="es-ES_tradnl"/>
        </w:rPr>
        <w:t xml:space="preserve">ctrico; de esta forma, </w:t>
      </w:r>
      <w:r>
        <w:rPr>
          <w:spacing w:val="-8"/>
          <w:sz w:val="18"/>
          <w:szCs w:val="18"/>
          <w:lang w:val="es-ES_tradnl"/>
        </w:rPr>
        <w:t xml:space="preserve">en el caso </w:t>
      </w:r>
      <w:r>
        <w:rPr>
          <w:i/>
          <w:iCs/>
          <w:spacing w:val="-8"/>
          <w:sz w:val="18"/>
          <w:szCs w:val="18"/>
          <w:lang w:val="es-ES_tradnl"/>
        </w:rPr>
        <w:t>sub judice</w:t>
      </w:r>
      <w:r>
        <w:rPr>
          <w:spacing w:val="-8"/>
          <w:sz w:val="18"/>
          <w:szCs w:val="18"/>
          <w:lang w:val="es-ES_tradnl"/>
        </w:rPr>
        <w:t xml:space="preserve">, dado que la ordenanza publicada en </w:t>
      </w:r>
      <w:r>
        <w:rPr>
          <w:spacing w:val="-5"/>
          <w:sz w:val="18"/>
          <w:szCs w:val="18"/>
          <w:lang w:val="es-ES_tradnl"/>
        </w:rPr>
        <w:t>el Registro Oficial N.</w:t>
      </w:r>
      <w:r>
        <w:rPr>
          <w:rFonts w:cs="Times New Roman"/>
          <w:spacing w:val="-5"/>
          <w:sz w:val="18"/>
          <w:szCs w:val="18"/>
          <w:lang w:val="es-ES_tradnl"/>
        </w:rPr>
        <w:t>º</w:t>
      </w:r>
      <w:r>
        <w:rPr>
          <w:spacing w:val="-5"/>
          <w:sz w:val="18"/>
          <w:szCs w:val="18"/>
          <w:lang w:val="es-ES_tradnl"/>
        </w:rPr>
        <w:t xml:space="preserve"> 594 del 12 de diciembre de 2011, </w:t>
      </w:r>
      <w:r>
        <w:rPr>
          <w:spacing w:val="-3"/>
          <w:sz w:val="18"/>
          <w:szCs w:val="18"/>
          <w:lang w:val="es-ES_tradnl"/>
        </w:rPr>
        <w:t>emitida por el Gobierno Aut</w:t>
      </w:r>
      <w:r>
        <w:rPr>
          <w:rFonts w:cs="Times New Roman"/>
          <w:spacing w:val="-3"/>
          <w:sz w:val="18"/>
          <w:szCs w:val="18"/>
          <w:lang w:val="es-ES_tradnl"/>
        </w:rPr>
        <w:t>ó</w:t>
      </w:r>
      <w:r>
        <w:rPr>
          <w:spacing w:val="-3"/>
          <w:sz w:val="18"/>
          <w:szCs w:val="18"/>
          <w:lang w:val="es-ES_tradnl"/>
        </w:rPr>
        <w:t>nomo Descentralizado Municipal del cant</w:t>
      </w:r>
      <w:r>
        <w:rPr>
          <w:rFonts w:cs="Times New Roman"/>
          <w:spacing w:val="-3"/>
          <w:sz w:val="18"/>
          <w:szCs w:val="18"/>
          <w:lang w:val="es-ES_tradnl"/>
        </w:rPr>
        <w:t>ó</w:t>
      </w:r>
      <w:r>
        <w:rPr>
          <w:spacing w:val="-3"/>
          <w:sz w:val="18"/>
          <w:szCs w:val="18"/>
          <w:lang w:val="es-ES_tradnl"/>
        </w:rPr>
        <w:t xml:space="preserve">n San Francisco de Puebloviejo, en </w:t>
      </w:r>
      <w:r>
        <w:rPr>
          <w:spacing w:val="-7"/>
          <w:sz w:val="18"/>
          <w:szCs w:val="18"/>
          <w:lang w:val="es-ES_tradnl"/>
        </w:rPr>
        <w:t>su art</w:t>
      </w:r>
      <w:r>
        <w:rPr>
          <w:rFonts w:cs="Times New Roman"/>
          <w:spacing w:val="-7"/>
          <w:sz w:val="18"/>
          <w:szCs w:val="18"/>
          <w:lang w:val="es-ES_tradnl"/>
        </w:rPr>
        <w:t>í</w:t>
      </w:r>
      <w:r>
        <w:rPr>
          <w:spacing w:val="-7"/>
          <w:sz w:val="18"/>
          <w:szCs w:val="18"/>
          <w:lang w:val="es-ES_tradnl"/>
        </w:rPr>
        <w:t xml:space="preserve">culo 18, se refiere exclusivamente a una tasa sobre </w:t>
      </w:r>
      <w:r>
        <w:rPr>
          <w:spacing w:val="-8"/>
          <w:sz w:val="18"/>
          <w:szCs w:val="18"/>
          <w:lang w:val="es-ES_tradnl"/>
        </w:rPr>
        <w:t>la emisi</w:t>
      </w:r>
      <w:r>
        <w:rPr>
          <w:rFonts w:cs="Times New Roman"/>
          <w:spacing w:val="-8"/>
          <w:sz w:val="18"/>
          <w:szCs w:val="18"/>
          <w:lang w:val="es-ES_tradnl"/>
        </w:rPr>
        <w:t>ó</w:t>
      </w:r>
      <w:r>
        <w:rPr>
          <w:spacing w:val="-8"/>
          <w:sz w:val="18"/>
          <w:szCs w:val="18"/>
          <w:lang w:val="es-ES_tradnl"/>
        </w:rPr>
        <w:t>n de frecuencias o se</w:t>
      </w:r>
      <w:r>
        <w:rPr>
          <w:rFonts w:cs="Times New Roman"/>
          <w:spacing w:val="-8"/>
          <w:sz w:val="18"/>
          <w:szCs w:val="18"/>
          <w:lang w:val="es-ES_tradnl"/>
        </w:rPr>
        <w:t>ñ</w:t>
      </w:r>
      <w:r>
        <w:rPr>
          <w:spacing w:val="-8"/>
          <w:sz w:val="18"/>
          <w:szCs w:val="18"/>
          <w:lang w:val="es-ES_tradnl"/>
        </w:rPr>
        <w:t xml:space="preserve">ales con fundamento en el </w:t>
      </w:r>
      <w:r>
        <w:rPr>
          <w:spacing w:val="-5"/>
          <w:sz w:val="18"/>
          <w:szCs w:val="18"/>
          <w:lang w:val="es-ES_tradnl"/>
        </w:rPr>
        <w:t>art</w:t>
      </w:r>
      <w:r>
        <w:rPr>
          <w:rFonts w:cs="Times New Roman"/>
          <w:spacing w:val="-5"/>
          <w:sz w:val="18"/>
          <w:szCs w:val="18"/>
          <w:lang w:val="es-ES_tradnl"/>
        </w:rPr>
        <w:t>í</w:t>
      </w:r>
      <w:r>
        <w:rPr>
          <w:spacing w:val="-5"/>
          <w:sz w:val="18"/>
          <w:szCs w:val="18"/>
          <w:lang w:val="es-ES_tradnl"/>
        </w:rPr>
        <w:t>culo 436 numerales 1, 2 y 3 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blica, en concordancia con el art</w:t>
      </w:r>
      <w:r>
        <w:rPr>
          <w:rFonts w:cs="Times New Roman"/>
          <w:spacing w:val="-5"/>
          <w:sz w:val="18"/>
          <w:szCs w:val="18"/>
          <w:lang w:val="es-ES_tradnl"/>
        </w:rPr>
        <w:t>í</w:t>
      </w:r>
      <w:r>
        <w:rPr>
          <w:spacing w:val="-5"/>
          <w:sz w:val="18"/>
          <w:szCs w:val="18"/>
          <w:lang w:val="es-ES_tradnl"/>
        </w:rPr>
        <w:t>culo 76 numerales 4, 5 y 6 de la Ley Org</w:t>
      </w:r>
      <w:r>
        <w:rPr>
          <w:rFonts w:cs="Times New Roman"/>
          <w:spacing w:val="-5"/>
          <w:sz w:val="18"/>
          <w:szCs w:val="18"/>
          <w:lang w:val="es-ES_tradnl"/>
        </w:rPr>
        <w:t>á</w:t>
      </w:r>
      <w:r>
        <w:rPr>
          <w:spacing w:val="-5"/>
          <w:sz w:val="18"/>
          <w:szCs w:val="18"/>
          <w:lang w:val="es-ES_tradnl"/>
        </w:rPr>
        <w:t>nica de Garant</w:t>
      </w:r>
      <w:r>
        <w:rPr>
          <w:rFonts w:cs="Times New Roman"/>
          <w:spacing w:val="-5"/>
          <w:sz w:val="18"/>
          <w:szCs w:val="18"/>
          <w:lang w:val="es-ES_tradnl"/>
        </w:rPr>
        <w:t>í</w:t>
      </w:r>
      <w:r>
        <w:rPr>
          <w:spacing w:val="-5"/>
          <w:sz w:val="18"/>
          <w:szCs w:val="18"/>
          <w:lang w:val="es-ES_tradnl"/>
        </w:rPr>
        <w:t xml:space="preserve">as Jurisdiccionales y Control Constitucional, la Corte Constitucional tiene la </w:t>
      </w:r>
      <w:r>
        <w:rPr>
          <w:spacing w:val="-7"/>
          <w:sz w:val="18"/>
          <w:szCs w:val="18"/>
          <w:lang w:val="es-ES_tradnl"/>
        </w:rPr>
        <w:t>atribuci</w:t>
      </w:r>
      <w:r>
        <w:rPr>
          <w:rFonts w:cs="Times New Roman"/>
          <w:spacing w:val="-7"/>
          <w:sz w:val="18"/>
          <w:szCs w:val="18"/>
          <w:lang w:val="es-ES_tradnl"/>
        </w:rPr>
        <w:t>ó</w:t>
      </w:r>
      <w:r>
        <w:rPr>
          <w:spacing w:val="-7"/>
          <w:sz w:val="18"/>
          <w:szCs w:val="18"/>
          <w:lang w:val="es-ES_tradnl"/>
        </w:rPr>
        <w:t>n de conocer y resolver las acciones p</w:t>
      </w:r>
      <w:r>
        <w:rPr>
          <w:rFonts w:cs="Times New Roman"/>
          <w:spacing w:val="-7"/>
          <w:sz w:val="18"/>
          <w:szCs w:val="18"/>
          <w:lang w:val="es-ES_tradnl"/>
        </w:rPr>
        <w:t>ú</w:t>
      </w:r>
      <w:r>
        <w:rPr>
          <w:spacing w:val="-7"/>
          <w:sz w:val="18"/>
          <w:szCs w:val="18"/>
          <w:lang w:val="es-ES_tradnl"/>
        </w:rPr>
        <w:t xml:space="preserve">blicas de </w:t>
      </w:r>
      <w:r>
        <w:rPr>
          <w:spacing w:val="-6"/>
          <w:sz w:val="18"/>
          <w:szCs w:val="18"/>
          <w:lang w:val="es-ES_tradnl"/>
        </w:rPr>
        <w:t>inconstitucionalidad contra actos normativos de car</w:t>
      </w:r>
      <w:r>
        <w:rPr>
          <w:rFonts w:cs="Times New Roman"/>
          <w:spacing w:val="-6"/>
          <w:sz w:val="18"/>
          <w:szCs w:val="18"/>
          <w:lang w:val="es-ES_tradnl"/>
        </w:rPr>
        <w:t>á</w:t>
      </w:r>
      <w:r>
        <w:rPr>
          <w:spacing w:val="-6"/>
          <w:sz w:val="18"/>
          <w:szCs w:val="18"/>
          <w:lang w:val="es-ES_tradnl"/>
        </w:rPr>
        <w:t xml:space="preserve">cter </w:t>
      </w:r>
      <w:r>
        <w:rPr>
          <w:spacing w:val="-9"/>
          <w:sz w:val="18"/>
          <w:szCs w:val="18"/>
          <w:lang w:val="es-ES_tradnl"/>
        </w:rPr>
        <w:t xml:space="preserve">general emitidos por </w:t>
      </w:r>
      <w:r>
        <w:rPr>
          <w:rFonts w:cs="Times New Roman"/>
          <w:spacing w:val="-9"/>
          <w:sz w:val="18"/>
          <w:szCs w:val="18"/>
          <w:lang w:val="es-ES_tradnl"/>
        </w:rPr>
        <w:t>ó</w:t>
      </w:r>
      <w:r>
        <w:rPr>
          <w:spacing w:val="-9"/>
          <w:sz w:val="18"/>
          <w:szCs w:val="18"/>
          <w:lang w:val="es-ES_tradnl"/>
        </w:rPr>
        <w:t xml:space="preserve">rganos y autoridades del Estado. Por </w:t>
      </w:r>
      <w:r>
        <w:rPr>
          <w:spacing w:val="-6"/>
          <w:sz w:val="18"/>
          <w:szCs w:val="18"/>
          <w:lang w:val="es-ES_tradnl"/>
        </w:rPr>
        <w:t>tanto, se declara la inconstitucionalidad del art</w:t>
      </w:r>
      <w:r>
        <w:rPr>
          <w:rFonts w:cs="Times New Roman"/>
          <w:spacing w:val="-6"/>
          <w:sz w:val="18"/>
          <w:szCs w:val="18"/>
          <w:lang w:val="es-ES_tradnl"/>
        </w:rPr>
        <w:t>í</w:t>
      </w:r>
      <w:r>
        <w:rPr>
          <w:spacing w:val="-6"/>
          <w:sz w:val="18"/>
          <w:szCs w:val="18"/>
          <w:lang w:val="es-ES_tradnl"/>
        </w:rPr>
        <w:t>culo 18 de la ordenanza impugnada, por contravenir el art</w:t>
      </w:r>
      <w:r>
        <w:rPr>
          <w:rFonts w:cs="Times New Roman"/>
          <w:spacing w:val="-6"/>
          <w:sz w:val="18"/>
          <w:szCs w:val="18"/>
          <w:lang w:val="es-ES_tradnl"/>
        </w:rPr>
        <w:t>í</w:t>
      </w:r>
      <w:r>
        <w:rPr>
          <w:spacing w:val="-6"/>
          <w:sz w:val="18"/>
          <w:szCs w:val="18"/>
          <w:lang w:val="es-ES_tradnl"/>
        </w:rPr>
        <w:t xml:space="preserve">culo 261 </w:t>
      </w:r>
      <w:r>
        <w:rPr>
          <w:spacing w:val="-7"/>
          <w:sz w:val="18"/>
          <w:szCs w:val="18"/>
          <w:lang w:val="es-ES_tradnl"/>
        </w:rPr>
        <w:t>numeral 10 de 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blica.</w:t>
      </w:r>
    </w:p>
    <w:p w14:paraId="4F67A8B0" w14:textId="77777777" w:rsidR="00591D54" w:rsidRDefault="00591D54">
      <w:pPr>
        <w:shd w:val="clear" w:color="auto" w:fill="FFFFFF"/>
        <w:spacing w:before="187" w:line="211" w:lineRule="exact"/>
        <w:ind w:right="5"/>
        <w:jc w:val="both"/>
      </w:pPr>
      <w:r>
        <w:rPr>
          <w:b/>
          <w:bCs/>
          <w:spacing w:val="-7"/>
          <w:sz w:val="18"/>
          <w:szCs w:val="18"/>
          <w:lang w:val="es-ES_tradnl"/>
        </w:rPr>
        <w:t>Sobre la competencia del Gobierno Aut</w:t>
      </w:r>
      <w:r>
        <w:rPr>
          <w:rFonts w:cs="Times New Roman"/>
          <w:b/>
          <w:bCs/>
          <w:spacing w:val="-7"/>
          <w:sz w:val="18"/>
          <w:szCs w:val="18"/>
          <w:lang w:val="es-ES_tradnl"/>
        </w:rPr>
        <w:t>ó</w:t>
      </w:r>
      <w:r>
        <w:rPr>
          <w:b/>
          <w:bCs/>
          <w:spacing w:val="-7"/>
          <w:sz w:val="18"/>
          <w:szCs w:val="18"/>
          <w:lang w:val="es-ES_tradnl"/>
        </w:rPr>
        <w:t xml:space="preserve">nomo </w:t>
      </w:r>
      <w:r>
        <w:rPr>
          <w:b/>
          <w:bCs/>
          <w:spacing w:val="-10"/>
          <w:sz w:val="18"/>
          <w:szCs w:val="18"/>
          <w:lang w:val="es-ES_tradnl"/>
        </w:rPr>
        <w:t>Descentralizado Municipal del cant</w:t>
      </w:r>
      <w:r>
        <w:rPr>
          <w:rFonts w:cs="Times New Roman"/>
          <w:b/>
          <w:bCs/>
          <w:spacing w:val="-10"/>
          <w:sz w:val="18"/>
          <w:szCs w:val="18"/>
          <w:lang w:val="es-ES_tradnl"/>
        </w:rPr>
        <w:t>ó</w:t>
      </w:r>
      <w:r>
        <w:rPr>
          <w:b/>
          <w:bCs/>
          <w:spacing w:val="-10"/>
          <w:sz w:val="18"/>
          <w:szCs w:val="18"/>
          <w:lang w:val="es-ES_tradnl"/>
        </w:rPr>
        <w:t xml:space="preserve">n San Francisco de </w:t>
      </w:r>
      <w:r>
        <w:rPr>
          <w:b/>
          <w:bCs/>
          <w:spacing w:val="-11"/>
          <w:sz w:val="18"/>
          <w:szCs w:val="18"/>
          <w:lang w:val="es-ES_tradnl"/>
        </w:rPr>
        <w:t xml:space="preserve">Puebloviejo, para establecer tasas por el uso del espacio </w:t>
      </w:r>
      <w:r>
        <w:rPr>
          <w:b/>
          <w:bCs/>
          <w:sz w:val="18"/>
          <w:szCs w:val="18"/>
          <w:lang w:val="es-ES_tradnl"/>
        </w:rPr>
        <w:t>a</w:t>
      </w:r>
      <w:r>
        <w:rPr>
          <w:rFonts w:cs="Times New Roman"/>
          <w:b/>
          <w:bCs/>
          <w:sz w:val="18"/>
          <w:szCs w:val="18"/>
          <w:lang w:val="es-ES_tradnl"/>
        </w:rPr>
        <w:t>é</w:t>
      </w:r>
      <w:r>
        <w:rPr>
          <w:b/>
          <w:bCs/>
          <w:sz w:val="18"/>
          <w:szCs w:val="18"/>
          <w:lang w:val="es-ES_tradnl"/>
        </w:rPr>
        <w:t>reo</w:t>
      </w:r>
    </w:p>
    <w:p w14:paraId="4F67A8B1" w14:textId="77777777" w:rsidR="00591D54" w:rsidRDefault="00591D54">
      <w:pPr>
        <w:shd w:val="clear" w:color="auto" w:fill="FFFFFF"/>
        <w:spacing w:before="187" w:line="211" w:lineRule="exact"/>
        <w:ind w:right="5"/>
        <w:jc w:val="both"/>
      </w:pPr>
      <w:r>
        <w:rPr>
          <w:spacing w:val="-9"/>
          <w:sz w:val="18"/>
          <w:szCs w:val="18"/>
          <w:lang w:val="es-ES_tradnl"/>
        </w:rPr>
        <w:t>Dentro de lo que establece el art</w:t>
      </w:r>
      <w:r>
        <w:rPr>
          <w:rFonts w:cs="Times New Roman"/>
          <w:spacing w:val="-9"/>
          <w:sz w:val="18"/>
          <w:szCs w:val="18"/>
          <w:lang w:val="es-ES_tradnl"/>
        </w:rPr>
        <w:t>í</w:t>
      </w:r>
      <w:r>
        <w:rPr>
          <w:spacing w:val="-9"/>
          <w:sz w:val="18"/>
          <w:szCs w:val="18"/>
          <w:lang w:val="es-ES_tradnl"/>
        </w:rPr>
        <w:t>culo 264 de la Constituci</w:t>
      </w:r>
      <w:r>
        <w:rPr>
          <w:rFonts w:cs="Times New Roman"/>
          <w:spacing w:val="-9"/>
          <w:sz w:val="18"/>
          <w:szCs w:val="18"/>
          <w:lang w:val="es-ES_tradnl"/>
        </w:rPr>
        <w:t>ó</w:t>
      </w:r>
      <w:r>
        <w:rPr>
          <w:spacing w:val="-9"/>
          <w:sz w:val="18"/>
          <w:szCs w:val="18"/>
          <w:lang w:val="es-ES_tradnl"/>
        </w:rPr>
        <w:t xml:space="preserve">n </w:t>
      </w:r>
      <w:r>
        <w:rPr>
          <w:spacing w:val="-7"/>
          <w:sz w:val="18"/>
          <w:szCs w:val="18"/>
          <w:lang w:val="es-ES_tradnl"/>
        </w:rPr>
        <w:t>de la Rep</w:t>
      </w:r>
      <w:r>
        <w:rPr>
          <w:rFonts w:cs="Times New Roman"/>
          <w:spacing w:val="-7"/>
          <w:sz w:val="18"/>
          <w:szCs w:val="18"/>
          <w:lang w:val="es-ES_tradnl"/>
        </w:rPr>
        <w:t>ú</w:t>
      </w:r>
      <w:r>
        <w:rPr>
          <w:spacing w:val="-7"/>
          <w:sz w:val="18"/>
          <w:szCs w:val="18"/>
          <w:lang w:val="es-ES_tradnl"/>
        </w:rPr>
        <w:t xml:space="preserve">blica, los gobiernos municipales poseen las </w:t>
      </w:r>
      <w:r>
        <w:rPr>
          <w:spacing w:val="-5"/>
          <w:sz w:val="18"/>
          <w:szCs w:val="18"/>
          <w:lang w:val="es-ES_tradnl"/>
        </w:rPr>
        <w:t xml:space="preserve">siguientes competencias exclusivas, sin perjuicio de las </w:t>
      </w:r>
      <w:r>
        <w:rPr>
          <w:spacing w:val="-6"/>
          <w:sz w:val="18"/>
          <w:szCs w:val="18"/>
          <w:lang w:val="es-ES_tradnl"/>
        </w:rPr>
        <w:t xml:space="preserve">otras que determine la ley que regule el sistema nacional </w:t>
      </w:r>
      <w:r>
        <w:rPr>
          <w:sz w:val="18"/>
          <w:szCs w:val="18"/>
          <w:lang w:val="es-ES_tradnl"/>
        </w:rPr>
        <w:t>de competencias:</w:t>
      </w:r>
    </w:p>
    <w:p w14:paraId="4F67A8B2" w14:textId="77777777" w:rsidR="00591D54" w:rsidRDefault="00591D54">
      <w:pPr>
        <w:shd w:val="clear" w:color="auto" w:fill="FFFFFF"/>
        <w:spacing w:before="202" w:line="211" w:lineRule="exact"/>
        <w:ind w:left="283" w:right="5"/>
        <w:jc w:val="both"/>
      </w:pPr>
      <w:r>
        <w:rPr>
          <w:b/>
          <w:bCs/>
          <w:spacing w:val="-5"/>
          <w:sz w:val="16"/>
          <w:szCs w:val="16"/>
          <w:lang w:val="es-ES_tradnl"/>
        </w:rPr>
        <w:t xml:space="preserve">Art. 264.- </w:t>
      </w:r>
      <w:r>
        <w:rPr>
          <w:spacing w:val="-5"/>
          <w:sz w:val="16"/>
          <w:szCs w:val="16"/>
          <w:lang w:val="es-ES_tradnl"/>
        </w:rPr>
        <w:t>Los gobiernos municipales tendr</w:t>
      </w:r>
      <w:r>
        <w:rPr>
          <w:rFonts w:cs="Times New Roman"/>
          <w:spacing w:val="-5"/>
          <w:sz w:val="16"/>
          <w:szCs w:val="16"/>
          <w:lang w:val="es-ES_tradnl"/>
        </w:rPr>
        <w:t>á</w:t>
      </w:r>
      <w:r>
        <w:rPr>
          <w:spacing w:val="-5"/>
          <w:sz w:val="16"/>
          <w:szCs w:val="16"/>
          <w:lang w:val="es-ES_tradnl"/>
        </w:rPr>
        <w:t xml:space="preserve">n las siguientes </w:t>
      </w:r>
      <w:r>
        <w:rPr>
          <w:spacing w:val="-6"/>
          <w:sz w:val="16"/>
          <w:szCs w:val="16"/>
          <w:lang w:val="es-ES_tradnl"/>
        </w:rPr>
        <w:t xml:space="preserve">competencias exclusivas sin perjuicio de otras que determine </w:t>
      </w:r>
      <w:r>
        <w:rPr>
          <w:sz w:val="16"/>
          <w:szCs w:val="16"/>
          <w:lang w:val="es-ES_tradnl"/>
        </w:rPr>
        <w:t>la ley:</w:t>
      </w:r>
    </w:p>
    <w:p w14:paraId="4F67A8B3" w14:textId="77777777" w:rsidR="00591D54" w:rsidRDefault="00591D54">
      <w:pPr>
        <w:shd w:val="clear" w:color="auto" w:fill="FFFFFF"/>
        <w:tabs>
          <w:tab w:val="left" w:pos="566"/>
        </w:tabs>
        <w:spacing w:before="206" w:line="211" w:lineRule="exact"/>
        <w:ind w:left="283" w:right="5"/>
        <w:jc w:val="both"/>
      </w:pPr>
      <w:r>
        <w:rPr>
          <w:spacing w:val="-10"/>
          <w:sz w:val="16"/>
          <w:szCs w:val="16"/>
          <w:lang w:val="es-ES_tradnl"/>
        </w:rPr>
        <w:t>1.</w:t>
      </w:r>
      <w:r>
        <w:rPr>
          <w:sz w:val="18"/>
          <w:szCs w:val="18"/>
          <w:lang w:val="es-ES_tradnl"/>
        </w:rPr>
        <w:tab/>
      </w:r>
      <w:r>
        <w:rPr>
          <w:spacing w:val="-2"/>
          <w:sz w:val="16"/>
          <w:szCs w:val="16"/>
          <w:lang w:val="es-ES_tradnl"/>
        </w:rPr>
        <w:t>Planificar</w:t>
      </w:r>
      <w:r>
        <w:rPr>
          <w:spacing w:val="-2"/>
          <w:sz w:val="18"/>
          <w:szCs w:val="18"/>
          <w:lang w:val="es-ES_tradnl"/>
        </w:rPr>
        <w:t xml:space="preserve"> </w:t>
      </w:r>
      <w:r>
        <w:rPr>
          <w:spacing w:val="-2"/>
          <w:sz w:val="16"/>
          <w:szCs w:val="16"/>
          <w:lang w:val="es-ES_tradnl"/>
        </w:rPr>
        <w:t>el</w:t>
      </w:r>
      <w:r>
        <w:rPr>
          <w:spacing w:val="-2"/>
          <w:sz w:val="18"/>
          <w:szCs w:val="18"/>
          <w:lang w:val="es-ES_tradnl"/>
        </w:rPr>
        <w:t xml:space="preserve"> </w:t>
      </w:r>
      <w:r>
        <w:rPr>
          <w:spacing w:val="-2"/>
          <w:sz w:val="16"/>
          <w:szCs w:val="16"/>
          <w:lang w:val="es-ES_tradnl"/>
        </w:rPr>
        <w:t>desarrollo</w:t>
      </w:r>
      <w:r>
        <w:rPr>
          <w:spacing w:val="-2"/>
          <w:sz w:val="18"/>
          <w:szCs w:val="18"/>
          <w:lang w:val="es-ES_tradnl"/>
        </w:rPr>
        <w:t xml:space="preserve"> </w:t>
      </w:r>
      <w:r>
        <w:rPr>
          <w:spacing w:val="-2"/>
          <w:sz w:val="16"/>
          <w:szCs w:val="16"/>
          <w:lang w:val="es-ES_tradnl"/>
        </w:rPr>
        <w:t>cantonal</w:t>
      </w:r>
      <w:r>
        <w:rPr>
          <w:spacing w:val="-2"/>
          <w:sz w:val="18"/>
          <w:szCs w:val="18"/>
          <w:lang w:val="es-ES_tradnl"/>
        </w:rPr>
        <w:t xml:space="preserve"> </w:t>
      </w:r>
      <w:r>
        <w:rPr>
          <w:spacing w:val="-2"/>
          <w:sz w:val="16"/>
          <w:szCs w:val="16"/>
          <w:lang w:val="es-ES_tradnl"/>
        </w:rPr>
        <w:t>y</w:t>
      </w:r>
      <w:r>
        <w:rPr>
          <w:spacing w:val="-2"/>
          <w:sz w:val="18"/>
          <w:szCs w:val="18"/>
          <w:lang w:val="es-ES_tradnl"/>
        </w:rPr>
        <w:t xml:space="preserve"> </w:t>
      </w:r>
      <w:r>
        <w:rPr>
          <w:spacing w:val="-2"/>
          <w:sz w:val="16"/>
          <w:szCs w:val="16"/>
          <w:lang w:val="es-ES_tradnl"/>
        </w:rPr>
        <w:t>formular</w:t>
      </w:r>
      <w:r>
        <w:rPr>
          <w:spacing w:val="-2"/>
          <w:sz w:val="18"/>
          <w:szCs w:val="18"/>
          <w:lang w:val="es-ES_tradnl"/>
        </w:rPr>
        <w:t xml:space="preserve"> </w:t>
      </w:r>
      <w:r>
        <w:rPr>
          <w:spacing w:val="-2"/>
          <w:sz w:val="16"/>
          <w:szCs w:val="16"/>
          <w:lang w:val="es-ES_tradnl"/>
        </w:rPr>
        <w:t>los </w:t>
      </w:r>
      <w:r>
        <w:rPr>
          <w:spacing w:val="-9"/>
          <w:sz w:val="16"/>
          <w:szCs w:val="16"/>
          <w:lang w:val="es-ES_tradnl"/>
        </w:rPr>
        <w:t>correspondientes planes de ordenamiento territorial, de manera </w:t>
      </w:r>
      <w:r>
        <w:rPr>
          <w:spacing w:val="-6"/>
          <w:sz w:val="16"/>
          <w:szCs w:val="16"/>
          <w:lang w:val="es-ES_tradnl"/>
        </w:rPr>
        <w:t>articulada con la planificaci</w:t>
      </w:r>
      <w:r>
        <w:rPr>
          <w:rFonts w:cs="Times New Roman"/>
          <w:spacing w:val="-6"/>
          <w:sz w:val="16"/>
          <w:szCs w:val="16"/>
          <w:lang w:val="es-ES_tradnl"/>
        </w:rPr>
        <w:t>ó</w:t>
      </w:r>
      <w:r>
        <w:rPr>
          <w:spacing w:val="-6"/>
          <w:sz w:val="16"/>
          <w:szCs w:val="16"/>
          <w:lang w:val="es-ES_tradnl"/>
        </w:rPr>
        <w:t>n nacional, regional, provincial y </w:t>
      </w:r>
      <w:r>
        <w:rPr>
          <w:spacing w:val="-8"/>
          <w:sz w:val="16"/>
          <w:szCs w:val="16"/>
          <w:lang w:val="es-ES_tradnl"/>
        </w:rPr>
        <w:t>parroquial, con el fin de regular el uso y la ocupaci</w:t>
      </w:r>
      <w:r>
        <w:rPr>
          <w:rFonts w:cs="Times New Roman"/>
          <w:spacing w:val="-8"/>
          <w:sz w:val="16"/>
          <w:szCs w:val="16"/>
          <w:lang w:val="es-ES_tradnl"/>
        </w:rPr>
        <w:t>ó</w:t>
      </w:r>
      <w:r>
        <w:rPr>
          <w:spacing w:val="-8"/>
          <w:sz w:val="16"/>
          <w:szCs w:val="16"/>
          <w:lang w:val="es-ES_tradnl"/>
        </w:rPr>
        <w:t>n del suelo </w:t>
      </w:r>
      <w:r>
        <w:rPr>
          <w:sz w:val="16"/>
          <w:szCs w:val="16"/>
          <w:lang w:val="es-ES_tradnl"/>
        </w:rPr>
        <w:t>urbano y rural.</w:t>
      </w:r>
    </w:p>
    <w:p w14:paraId="4F67A8B4" w14:textId="77777777" w:rsidR="00591D54" w:rsidRDefault="00591D54" w:rsidP="00251195">
      <w:pPr>
        <w:numPr>
          <w:ilvl w:val="0"/>
          <w:numId w:val="39"/>
        </w:numPr>
        <w:shd w:val="clear" w:color="auto" w:fill="FFFFFF"/>
        <w:tabs>
          <w:tab w:val="left" w:pos="432"/>
        </w:tabs>
        <w:spacing w:before="206" w:line="211" w:lineRule="exact"/>
        <w:ind w:left="283" w:right="5"/>
        <w:jc w:val="both"/>
        <w:rPr>
          <w:spacing w:val="-10"/>
          <w:sz w:val="16"/>
          <w:szCs w:val="16"/>
          <w:lang w:val="es-ES_tradnl"/>
        </w:rPr>
      </w:pPr>
      <w:r>
        <w:rPr>
          <w:spacing w:val="-6"/>
          <w:sz w:val="16"/>
          <w:szCs w:val="16"/>
          <w:lang w:val="es-ES_tradnl"/>
        </w:rPr>
        <w:t>Ejercer</w:t>
      </w:r>
      <w:r>
        <w:rPr>
          <w:spacing w:val="-6"/>
          <w:sz w:val="18"/>
          <w:szCs w:val="18"/>
          <w:lang w:val="es-ES_tradnl"/>
        </w:rPr>
        <w:t xml:space="preserve"> </w:t>
      </w:r>
      <w:r>
        <w:rPr>
          <w:spacing w:val="-6"/>
          <w:sz w:val="16"/>
          <w:szCs w:val="16"/>
          <w:lang w:val="es-ES_tradnl"/>
        </w:rPr>
        <w:t>el</w:t>
      </w:r>
      <w:r>
        <w:rPr>
          <w:spacing w:val="-6"/>
          <w:sz w:val="18"/>
          <w:szCs w:val="18"/>
          <w:lang w:val="es-ES_tradnl"/>
        </w:rPr>
        <w:t xml:space="preserve"> </w:t>
      </w:r>
      <w:r>
        <w:rPr>
          <w:spacing w:val="-6"/>
          <w:sz w:val="16"/>
          <w:szCs w:val="16"/>
          <w:lang w:val="es-ES_tradnl"/>
        </w:rPr>
        <w:t>control</w:t>
      </w:r>
      <w:r>
        <w:rPr>
          <w:spacing w:val="-6"/>
          <w:sz w:val="18"/>
          <w:szCs w:val="18"/>
          <w:lang w:val="es-ES_tradnl"/>
        </w:rPr>
        <w:t xml:space="preserve"> </w:t>
      </w:r>
      <w:r>
        <w:rPr>
          <w:spacing w:val="-6"/>
          <w:sz w:val="16"/>
          <w:szCs w:val="16"/>
          <w:lang w:val="es-ES_tradnl"/>
        </w:rPr>
        <w:t>sobre</w:t>
      </w:r>
      <w:r>
        <w:rPr>
          <w:spacing w:val="-6"/>
          <w:sz w:val="18"/>
          <w:szCs w:val="18"/>
          <w:lang w:val="es-ES_tradnl"/>
        </w:rPr>
        <w:t xml:space="preserve"> </w:t>
      </w:r>
      <w:r>
        <w:rPr>
          <w:spacing w:val="-6"/>
          <w:sz w:val="16"/>
          <w:szCs w:val="16"/>
          <w:lang w:val="es-ES_tradnl"/>
        </w:rPr>
        <w:t>el</w:t>
      </w:r>
      <w:r>
        <w:rPr>
          <w:spacing w:val="-6"/>
          <w:sz w:val="18"/>
          <w:szCs w:val="18"/>
          <w:lang w:val="es-ES_tradnl"/>
        </w:rPr>
        <w:t xml:space="preserve"> </w:t>
      </w:r>
      <w:r>
        <w:rPr>
          <w:spacing w:val="-6"/>
          <w:sz w:val="16"/>
          <w:szCs w:val="16"/>
          <w:lang w:val="es-ES_tradnl"/>
        </w:rPr>
        <w:t>uso</w:t>
      </w:r>
      <w:r>
        <w:rPr>
          <w:spacing w:val="-6"/>
          <w:sz w:val="18"/>
          <w:szCs w:val="18"/>
          <w:lang w:val="es-ES_tradnl"/>
        </w:rPr>
        <w:t xml:space="preserve"> </w:t>
      </w:r>
      <w:r>
        <w:rPr>
          <w:spacing w:val="-6"/>
          <w:sz w:val="16"/>
          <w:szCs w:val="16"/>
          <w:lang w:val="es-ES_tradnl"/>
        </w:rPr>
        <w:t>y</w:t>
      </w:r>
      <w:r>
        <w:rPr>
          <w:spacing w:val="-6"/>
          <w:sz w:val="18"/>
          <w:szCs w:val="18"/>
          <w:lang w:val="es-ES_tradnl"/>
        </w:rPr>
        <w:t xml:space="preserve"> </w:t>
      </w:r>
      <w:r>
        <w:rPr>
          <w:spacing w:val="-6"/>
          <w:sz w:val="16"/>
          <w:szCs w:val="16"/>
          <w:lang w:val="es-ES_tradnl"/>
        </w:rPr>
        <w:t>ocupaci</w:t>
      </w:r>
      <w:r>
        <w:rPr>
          <w:rFonts w:cs="Times New Roman"/>
          <w:spacing w:val="-6"/>
          <w:sz w:val="16"/>
          <w:szCs w:val="16"/>
          <w:lang w:val="es-ES_tradnl"/>
        </w:rPr>
        <w:t>ó</w:t>
      </w:r>
      <w:r>
        <w:rPr>
          <w:spacing w:val="-6"/>
          <w:sz w:val="16"/>
          <w:szCs w:val="16"/>
          <w:lang w:val="es-ES_tradnl"/>
        </w:rPr>
        <w:t>n</w:t>
      </w:r>
      <w:r>
        <w:rPr>
          <w:spacing w:val="-6"/>
          <w:sz w:val="18"/>
          <w:szCs w:val="18"/>
          <w:lang w:val="es-ES_tradnl"/>
        </w:rPr>
        <w:t xml:space="preserve"> </w:t>
      </w:r>
      <w:r>
        <w:rPr>
          <w:spacing w:val="-6"/>
          <w:sz w:val="16"/>
          <w:szCs w:val="16"/>
          <w:lang w:val="es-ES_tradnl"/>
        </w:rPr>
        <w:t>del</w:t>
      </w:r>
      <w:r>
        <w:rPr>
          <w:spacing w:val="-6"/>
          <w:sz w:val="18"/>
          <w:szCs w:val="18"/>
          <w:lang w:val="es-ES_tradnl"/>
        </w:rPr>
        <w:t xml:space="preserve"> </w:t>
      </w:r>
      <w:r>
        <w:rPr>
          <w:spacing w:val="-6"/>
          <w:sz w:val="16"/>
          <w:szCs w:val="16"/>
          <w:lang w:val="es-ES_tradnl"/>
        </w:rPr>
        <w:t>suelo</w:t>
      </w:r>
      <w:r>
        <w:rPr>
          <w:spacing w:val="-6"/>
          <w:sz w:val="18"/>
          <w:szCs w:val="18"/>
          <w:lang w:val="es-ES_tradnl"/>
        </w:rPr>
        <w:t xml:space="preserve"> </w:t>
      </w:r>
      <w:r>
        <w:rPr>
          <w:spacing w:val="-6"/>
          <w:sz w:val="16"/>
          <w:szCs w:val="16"/>
          <w:lang w:val="es-ES_tradnl"/>
        </w:rPr>
        <w:t>en</w:t>
      </w:r>
      <w:r>
        <w:rPr>
          <w:spacing w:val="-6"/>
          <w:sz w:val="18"/>
          <w:szCs w:val="18"/>
          <w:lang w:val="es-ES_tradnl"/>
        </w:rPr>
        <w:t xml:space="preserve"> </w:t>
      </w:r>
      <w:r>
        <w:rPr>
          <w:spacing w:val="-6"/>
          <w:sz w:val="16"/>
          <w:szCs w:val="16"/>
          <w:lang w:val="es-ES_tradnl"/>
        </w:rPr>
        <w:t xml:space="preserve">el </w:t>
      </w:r>
      <w:r>
        <w:rPr>
          <w:sz w:val="16"/>
          <w:szCs w:val="16"/>
          <w:lang w:val="es-ES_tradnl"/>
        </w:rPr>
        <w:t>cant</w:t>
      </w:r>
      <w:r>
        <w:rPr>
          <w:rFonts w:cs="Times New Roman"/>
          <w:sz w:val="16"/>
          <w:szCs w:val="16"/>
          <w:lang w:val="es-ES_tradnl"/>
        </w:rPr>
        <w:t>ó</w:t>
      </w:r>
      <w:r>
        <w:rPr>
          <w:sz w:val="16"/>
          <w:szCs w:val="16"/>
          <w:lang w:val="es-ES_tradnl"/>
        </w:rPr>
        <w:t>n.</w:t>
      </w:r>
    </w:p>
    <w:p w14:paraId="4F67A8B5" w14:textId="77777777" w:rsidR="00591D54" w:rsidRDefault="00591D54" w:rsidP="00251195">
      <w:pPr>
        <w:numPr>
          <w:ilvl w:val="0"/>
          <w:numId w:val="39"/>
        </w:numPr>
        <w:shd w:val="clear" w:color="auto" w:fill="FFFFFF"/>
        <w:tabs>
          <w:tab w:val="left" w:pos="432"/>
        </w:tabs>
        <w:spacing w:before="221"/>
        <w:ind w:left="283"/>
        <w:rPr>
          <w:spacing w:val="-10"/>
          <w:sz w:val="16"/>
          <w:szCs w:val="16"/>
          <w:lang w:val="es-ES_tradnl"/>
        </w:rPr>
      </w:pPr>
      <w:r>
        <w:rPr>
          <w:spacing w:val="-6"/>
          <w:sz w:val="16"/>
          <w:szCs w:val="16"/>
          <w:lang w:val="es-ES_tradnl"/>
        </w:rPr>
        <w:t>Planificar,</w:t>
      </w:r>
      <w:r>
        <w:rPr>
          <w:spacing w:val="-6"/>
          <w:sz w:val="18"/>
          <w:szCs w:val="18"/>
          <w:lang w:val="es-ES_tradnl"/>
        </w:rPr>
        <w:t xml:space="preserve"> </w:t>
      </w:r>
      <w:r>
        <w:rPr>
          <w:spacing w:val="-6"/>
          <w:sz w:val="16"/>
          <w:szCs w:val="16"/>
          <w:lang w:val="es-ES_tradnl"/>
        </w:rPr>
        <w:t>construir</w:t>
      </w:r>
      <w:r>
        <w:rPr>
          <w:spacing w:val="-6"/>
          <w:sz w:val="18"/>
          <w:szCs w:val="18"/>
          <w:lang w:val="es-ES_tradnl"/>
        </w:rPr>
        <w:t xml:space="preserve"> </w:t>
      </w:r>
      <w:r>
        <w:rPr>
          <w:spacing w:val="-6"/>
          <w:sz w:val="16"/>
          <w:szCs w:val="16"/>
          <w:lang w:val="es-ES_tradnl"/>
        </w:rPr>
        <w:t>y</w:t>
      </w:r>
      <w:r>
        <w:rPr>
          <w:spacing w:val="-6"/>
          <w:sz w:val="18"/>
          <w:szCs w:val="18"/>
          <w:lang w:val="es-ES_tradnl"/>
        </w:rPr>
        <w:t xml:space="preserve"> </w:t>
      </w:r>
      <w:r>
        <w:rPr>
          <w:spacing w:val="-6"/>
          <w:sz w:val="16"/>
          <w:szCs w:val="16"/>
          <w:lang w:val="es-ES_tradnl"/>
        </w:rPr>
        <w:t>mantener</w:t>
      </w:r>
      <w:r>
        <w:rPr>
          <w:spacing w:val="-6"/>
          <w:sz w:val="18"/>
          <w:szCs w:val="18"/>
          <w:lang w:val="es-ES_tradnl"/>
        </w:rPr>
        <w:t xml:space="preserve"> </w:t>
      </w:r>
      <w:r>
        <w:rPr>
          <w:spacing w:val="-6"/>
          <w:sz w:val="16"/>
          <w:szCs w:val="16"/>
          <w:lang w:val="es-ES_tradnl"/>
        </w:rPr>
        <w:t>la</w:t>
      </w:r>
      <w:r>
        <w:rPr>
          <w:spacing w:val="-6"/>
          <w:sz w:val="18"/>
          <w:szCs w:val="18"/>
          <w:lang w:val="es-ES_tradnl"/>
        </w:rPr>
        <w:t xml:space="preserve"> </w:t>
      </w:r>
      <w:r>
        <w:rPr>
          <w:spacing w:val="-6"/>
          <w:sz w:val="16"/>
          <w:szCs w:val="16"/>
          <w:lang w:val="es-ES_tradnl"/>
        </w:rPr>
        <w:t>vialidad</w:t>
      </w:r>
      <w:r>
        <w:rPr>
          <w:spacing w:val="-6"/>
          <w:sz w:val="18"/>
          <w:szCs w:val="18"/>
          <w:lang w:val="es-ES_tradnl"/>
        </w:rPr>
        <w:t xml:space="preserve"> </w:t>
      </w:r>
      <w:r>
        <w:rPr>
          <w:spacing w:val="-6"/>
          <w:sz w:val="16"/>
          <w:szCs w:val="16"/>
          <w:lang w:val="es-ES_tradnl"/>
        </w:rPr>
        <w:t>urbana.</w:t>
      </w:r>
    </w:p>
    <w:p w14:paraId="4F67A8B6" w14:textId="77777777" w:rsidR="00591D54" w:rsidRDefault="00591D54" w:rsidP="00251195">
      <w:pPr>
        <w:numPr>
          <w:ilvl w:val="0"/>
          <w:numId w:val="39"/>
        </w:numPr>
        <w:shd w:val="clear" w:color="auto" w:fill="FFFFFF"/>
        <w:tabs>
          <w:tab w:val="left" w:pos="432"/>
        </w:tabs>
        <w:spacing w:before="206" w:line="211" w:lineRule="exact"/>
        <w:ind w:left="283"/>
        <w:jc w:val="both"/>
        <w:rPr>
          <w:spacing w:val="-10"/>
          <w:sz w:val="16"/>
          <w:szCs w:val="16"/>
          <w:lang w:val="es-ES_tradnl"/>
        </w:rPr>
      </w:pPr>
      <w:r>
        <w:rPr>
          <w:spacing w:val="-8"/>
          <w:sz w:val="16"/>
          <w:szCs w:val="16"/>
          <w:lang w:val="es-ES_tradnl"/>
        </w:rPr>
        <w:t>Prestar</w:t>
      </w:r>
      <w:r>
        <w:rPr>
          <w:spacing w:val="-8"/>
          <w:sz w:val="18"/>
          <w:szCs w:val="18"/>
          <w:lang w:val="es-ES_tradnl"/>
        </w:rPr>
        <w:t xml:space="preserve"> </w:t>
      </w:r>
      <w:r>
        <w:rPr>
          <w:spacing w:val="-8"/>
          <w:sz w:val="16"/>
          <w:szCs w:val="16"/>
          <w:lang w:val="es-ES_tradnl"/>
        </w:rPr>
        <w:t>los</w:t>
      </w:r>
      <w:r>
        <w:rPr>
          <w:spacing w:val="-8"/>
          <w:sz w:val="18"/>
          <w:szCs w:val="18"/>
          <w:lang w:val="es-ES_tradnl"/>
        </w:rPr>
        <w:t xml:space="preserve"> </w:t>
      </w:r>
      <w:r>
        <w:rPr>
          <w:spacing w:val="-8"/>
          <w:sz w:val="16"/>
          <w:szCs w:val="16"/>
          <w:lang w:val="es-ES_tradnl"/>
        </w:rPr>
        <w:t>servicios</w:t>
      </w:r>
      <w:r>
        <w:rPr>
          <w:spacing w:val="-8"/>
          <w:sz w:val="18"/>
          <w:szCs w:val="18"/>
          <w:lang w:val="es-ES_tradnl"/>
        </w:rPr>
        <w:t xml:space="preserve"> </w:t>
      </w:r>
      <w:r>
        <w:rPr>
          <w:spacing w:val="-8"/>
          <w:sz w:val="16"/>
          <w:szCs w:val="16"/>
          <w:lang w:val="es-ES_tradnl"/>
        </w:rPr>
        <w:t>p</w:t>
      </w:r>
      <w:r>
        <w:rPr>
          <w:rFonts w:cs="Times New Roman"/>
          <w:spacing w:val="-8"/>
          <w:sz w:val="16"/>
          <w:szCs w:val="16"/>
          <w:lang w:val="es-ES_tradnl"/>
        </w:rPr>
        <w:t>ú</w:t>
      </w:r>
      <w:r>
        <w:rPr>
          <w:spacing w:val="-8"/>
          <w:sz w:val="16"/>
          <w:szCs w:val="16"/>
          <w:lang w:val="es-ES_tradnl"/>
        </w:rPr>
        <w:t>blicos</w:t>
      </w:r>
      <w:r>
        <w:rPr>
          <w:spacing w:val="-8"/>
          <w:sz w:val="18"/>
          <w:szCs w:val="18"/>
          <w:lang w:val="es-ES_tradnl"/>
        </w:rPr>
        <w:t xml:space="preserve"> </w:t>
      </w:r>
      <w:r>
        <w:rPr>
          <w:spacing w:val="-8"/>
          <w:sz w:val="16"/>
          <w:szCs w:val="16"/>
          <w:lang w:val="es-ES_tradnl"/>
        </w:rPr>
        <w:t>de</w:t>
      </w:r>
      <w:r>
        <w:rPr>
          <w:spacing w:val="-8"/>
          <w:sz w:val="18"/>
          <w:szCs w:val="18"/>
          <w:lang w:val="es-ES_tradnl"/>
        </w:rPr>
        <w:t xml:space="preserve"> </w:t>
      </w:r>
      <w:r>
        <w:rPr>
          <w:spacing w:val="-8"/>
          <w:sz w:val="16"/>
          <w:szCs w:val="16"/>
          <w:lang w:val="es-ES_tradnl"/>
        </w:rPr>
        <w:t>agua</w:t>
      </w:r>
      <w:r>
        <w:rPr>
          <w:spacing w:val="-8"/>
          <w:sz w:val="18"/>
          <w:szCs w:val="18"/>
          <w:lang w:val="es-ES_tradnl"/>
        </w:rPr>
        <w:t xml:space="preserve"> </w:t>
      </w:r>
      <w:r>
        <w:rPr>
          <w:spacing w:val="-8"/>
          <w:sz w:val="16"/>
          <w:szCs w:val="16"/>
          <w:lang w:val="es-ES_tradnl"/>
        </w:rPr>
        <w:t>potable,</w:t>
      </w:r>
      <w:r>
        <w:rPr>
          <w:spacing w:val="-8"/>
          <w:sz w:val="18"/>
          <w:szCs w:val="18"/>
          <w:lang w:val="es-ES_tradnl"/>
        </w:rPr>
        <w:t xml:space="preserve"> </w:t>
      </w:r>
      <w:r>
        <w:rPr>
          <w:spacing w:val="-8"/>
          <w:sz w:val="16"/>
          <w:szCs w:val="16"/>
          <w:lang w:val="es-ES_tradnl"/>
        </w:rPr>
        <w:t>alcantarillado, depuraci</w:t>
      </w:r>
      <w:r>
        <w:rPr>
          <w:rFonts w:cs="Times New Roman"/>
          <w:spacing w:val="-8"/>
          <w:sz w:val="16"/>
          <w:szCs w:val="16"/>
          <w:lang w:val="es-ES_tradnl"/>
        </w:rPr>
        <w:t>ó</w:t>
      </w:r>
      <w:r>
        <w:rPr>
          <w:spacing w:val="-8"/>
          <w:sz w:val="16"/>
          <w:szCs w:val="16"/>
          <w:lang w:val="es-ES_tradnl"/>
        </w:rPr>
        <w:t>n de aguas residuales, manejo de desechos s</w:t>
      </w:r>
      <w:r>
        <w:rPr>
          <w:rFonts w:cs="Times New Roman"/>
          <w:spacing w:val="-8"/>
          <w:sz w:val="16"/>
          <w:szCs w:val="16"/>
          <w:lang w:val="es-ES_tradnl"/>
        </w:rPr>
        <w:t>ó</w:t>
      </w:r>
      <w:r>
        <w:rPr>
          <w:spacing w:val="-8"/>
          <w:sz w:val="16"/>
          <w:szCs w:val="16"/>
          <w:lang w:val="es-ES_tradnl"/>
        </w:rPr>
        <w:t xml:space="preserve">lidos, </w:t>
      </w:r>
      <w:r>
        <w:rPr>
          <w:spacing w:val="-2"/>
          <w:sz w:val="16"/>
          <w:szCs w:val="16"/>
          <w:lang w:val="es-ES_tradnl"/>
        </w:rPr>
        <w:t xml:space="preserve">actividades de saneamiento ambiental y aquellos que </w:t>
      </w:r>
      <w:r>
        <w:rPr>
          <w:sz w:val="16"/>
          <w:szCs w:val="16"/>
          <w:lang w:val="es-ES_tradnl"/>
        </w:rPr>
        <w:t>establezca la ley.</w:t>
      </w:r>
    </w:p>
    <w:p w14:paraId="4F67A8B7" w14:textId="77777777" w:rsidR="00591D54" w:rsidRDefault="00591D54" w:rsidP="00251195">
      <w:pPr>
        <w:numPr>
          <w:ilvl w:val="0"/>
          <w:numId w:val="39"/>
        </w:numPr>
        <w:shd w:val="clear" w:color="auto" w:fill="FFFFFF"/>
        <w:tabs>
          <w:tab w:val="left" w:pos="432"/>
        </w:tabs>
        <w:spacing w:before="206" w:line="211" w:lineRule="exact"/>
        <w:ind w:left="283" w:right="5"/>
        <w:jc w:val="both"/>
        <w:rPr>
          <w:spacing w:val="-10"/>
          <w:sz w:val="16"/>
          <w:szCs w:val="16"/>
          <w:lang w:val="es-ES_tradnl"/>
        </w:rPr>
      </w:pPr>
      <w:r>
        <w:rPr>
          <w:spacing w:val="-7"/>
          <w:sz w:val="16"/>
          <w:szCs w:val="16"/>
          <w:lang w:val="es-ES_tradnl"/>
        </w:rPr>
        <w:t>Crear,</w:t>
      </w:r>
      <w:r>
        <w:rPr>
          <w:spacing w:val="-7"/>
          <w:sz w:val="18"/>
          <w:szCs w:val="18"/>
          <w:lang w:val="es-ES_tradnl"/>
        </w:rPr>
        <w:t xml:space="preserve"> </w:t>
      </w:r>
      <w:r>
        <w:rPr>
          <w:spacing w:val="-7"/>
          <w:sz w:val="16"/>
          <w:szCs w:val="16"/>
          <w:lang w:val="es-ES_tradnl"/>
        </w:rPr>
        <w:t>modificar</w:t>
      </w:r>
      <w:r>
        <w:rPr>
          <w:spacing w:val="-7"/>
          <w:sz w:val="18"/>
          <w:szCs w:val="18"/>
          <w:lang w:val="es-ES_tradnl"/>
        </w:rPr>
        <w:t xml:space="preserve"> </w:t>
      </w:r>
      <w:r>
        <w:rPr>
          <w:spacing w:val="-7"/>
          <w:sz w:val="16"/>
          <w:szCs w:val="16"/>
          <w:lang w:val="es-ES_tradnl"/>
        </w:rPr>
        <w:t>o</w:t>
      </w:r>
      <w:r>
        <w:rPr>
          <w:spacing w:val="-7"/>
          <w:sz w:val="18"/>
          <w:szCs w:val="18"/>
          <w:lang w:val="es-ES_tradnl"/>
        </w:rPr>
        <w:t xml:space="preserve"> </w:t>
      </w:r>
      <w:r>
        <w:rPr>
          <w:spacing w:val="-7"/>
          <w:sz w:val="16"/>
          <w:szCs w:val="16"/>
          <w:lang w:val="es-ES_tradnl"/>
        </w:rPr>
        <w:t>suprimir</w:t>
      </w:r>
      <w:r>
        <w:rPr>
          <w:spacing w:val="-7"/>
          <w:sz w:val="18"/>
          <w:szCs w:val="18"/>
          <w:lang w:val="es-ES_tradnl"/>
        </w:rPr>
        <w:t xml:space="preserve"> </w:t>
      </w:r>
      <w:r>
        <w:rPr>
          <w:spacing w:val="-7"/>
          <w:sz w:val="16"/>
          <w:szCs w:val="16"/>
          <w:lang w:val="es-ES_tradnl"/>
        </w:rPr>
        <w:t>mediante</w:t>
      </w:r>
      <w:r>
        <w:rPr>
          <w:spacing w:val="-7"/>
          <w:sz w:val="18"/>
          <w:szCs w:val="18"/>
          <w:lang w:val="es-ES_tradnl"/>
        </w:rPr>
        <w:t xml:space="preserve"> </w:t>
      </w:r>
      <w:r>
        <w:rPr>
          <w:spacing w:val="-7"/>
          <w:sz w:val="16"/>
          <w:szCs w:val="16"/>
          <w:lang w:val="es-ES_tradnl"/>
        </w:rPr>
        <w:t>ordenanzas,</w:t>
      </w:r>
      <w:r>
        <w:rPr>
          <w:spacing w:val="-7"/>
          <w:sz w:val="18"/>
          <w:szCs w:val="18"/>
          <w:lang w:val="es-ES_tradnl"/>
        </w:rPr>
        <w:t xml:space="preserve"> </w:t>
      </w:r>
      <w:r>
        <w:rPr>
          <w:spacing w:val="-7"/>
          <w:sz w:val="16"/>
          <w:szCs w:val="16"/>
          <w:lang w:val="es-ES_tradnl"/>
        </w:rPr>
        <w:t>tasas</w:t>
      </w:r>
      <w:r>
        <w:rPr>
          <w:spacing w:val="-7"/>
          <w:sz w:val="18"/>
          <w:szCs w:val="18"/>
          <w:lang w:val="es-ES_tradnl"/>
        </w:rPr>
        <w:t xml:space="preserve"> </w:t>
      </w:r>
      <w:r>
        <w:rPr>
          <w:spacing w:val="-7"/>
          <w:sz w:val="16"/>
          <w:szCs w:val="16"/>
          <w:lang w:val="es-ES_tradnl"/>
        </w:rPr>
        <w:t xml:space="preserve">y </w:t>
      </w:r>
      <w:r>
        <w:rPr>
          <w:sz w:val="16"/>
          <w:szCs w:val="16"/>
          <w:lang w:val="es-ES_tradnl"/>
        </w:rPr>
        <w:t>contribuciones especiales de mejoras.</w:t>
      </w:r>
    </w:p>
    <w:p w14:paraId="4F67A8B8" w14:textId="77777777" w:rsidR="00591D54" w:rsidRDefault="00591D54">
      <w:pPr>
        <w:rPr>
          <w:rFonts w:cs="Times New Roman"/>
          <w:sz w:val="2"/>
          <w:szCs w:val="2"/>
        </w:rPr>
      </w:pPr>
    </w:p>
    <w:p w14:paraId="4F67A8B9" w14:textId="77777777" w:rsidR="00591D54" w:rsidRDefault="00591D54" w:rsidP="00251195">
      <w:pPr>
        <w:numPr>
          <w:ilvl w:val="0"/>
          <w:numId w:val="40"/>
        </w:numPr>
        <w:shd w:val="clear" w:color="auto" w:fill="FFFFFF"/>
        <w:tabs>
          <w:tab w:val="left" w:pos="442"/>
        </w:tabs>
        <w:spacing w:before="206" w:line="211" w:lineRule="exact"/>
        <w:ind w:left="283" w:right="5"/>
        <w:jc w:val="both"/>
        <w:rPr>
          <w:spacing w:val="-10"/>
          <w:sz w:val="16"/>
          <w:szCs w:val="16"/>
          <w:lang w:val="es-ES_tradnl"/>
        </w:rPr>
      </w:pPr>
      <w:r>
        <w:rPr>
          <w:spacing w:val="-4"/>
          <w:sz w:val="16"/>
          <w:szCs w:val="16"/>
          <w:lang w:val="es-ES_tradnl"/>
        </w:rPr>
        <w:t>Planificar,</w:t>
      </w:r>
      <w:r>
        <w:rPr>
          <w:spacing w:val="-4"/>
          <w:sz w:val="18"/>
          <w:szCs w:val="18"/>
          <w:lang w:val="es-ES_tradnl"/>
        </w:rPr>
        <w:t xml:space="preserve"> </w:t>
      </w:r>
      <w:r>
        <w:rPr>
          <w:spacing w:val="-4"/>
          <w:sz w:val="16"/>
          <w:szCs w:val="16"/>
          <w:lang w:val="es-ES_tradnl"/>
        </w:rPr>
        <w:t>regular</w:t>
      </w:r>
      <w:r>
        <w:rPr>
          <w:spacing w:val="-4"/>
          <w:sz w:val="18"/>
          <w:szCs w:val="18"/>
          <w:lang w:val="es-ES_tradnl"/>
        </w:rPr>
        <w:t xml:space="preserve"> </w:t>
      </w:r>
      <w:r>
        <w:rPr>
          <w:spacing w:val="-4"/>
          <w:sz w:val="16"/>
          <w:szCs w:val="16"/>
          <w:lang w:val="es-ES_tradnl"/>
        </w:rPr>
        <w:t>y</w:t>
      </w:r>
      <w:r>
        <w:rPr>
          <w:spacing w:val="-4"/>
          <w:sz w:val="18"/>
          <w:szCs w:val="18"/>
          <w:lang w:val="es-ES_tradnl"/>
        </w:rPr>
        <w:t xml:space="preserve"> </w:t>
      </w:r>
      <w:r>
        <w:rPr>
          <w:spacing w:val="-4"/>
          <w:sz w:val="16"/>
          <w:szCs w:val="16"/>
          <w:lang w:val="es-ES_tradnl"/>
        </w:rPr>
        <w:t>controlar</w:t>
      </w:r>
      <w:r>
        <w:rPr>
          <w:spacing w:val="-4"/>
          <w:sz w:val="18"/>
          <w:szCs w:val="18"/>
          <w:lang w:val="es-ES_tradnl"/>
        </w:rPr>
        <w:t xml:space="preserve"> </w:t>
      </w:r>
      <w:r>
        <w:rPr>
          <w:spacing w:val="-4"/>
          <w:sz w:val="16"/>
          <w:szCs w:val="16"/>
          <w:lang w:val="es-ES_tradnl"/>
        </w:rPr>
        <w:t>el</w:t>
      </w:r>
      <w:r>
        <w:rPr>
          <w:spacing w:val="-4"/>
          <w:sz w:val="18"/>
          <w:szCs w:val="18"/>
          <w:lang w:val="es-ES_tradnl"/>
        </w:rPr>
        <w:t xml:space="preserve"> </w:t>
      </w:r>
      <w:r>
        <w:rPr>
          <w:spacing w:val="-4"/>
          <w:sz w:val="16"/>
          <w:szCs w:val="16"/>
          <w:lang w:val="es-ES_tradnl"/>
        </w:rPr>
        <w:t>tr</w:t>
      </w:r>
      <w:r>
        <w:rPr>
          <w:rFonts w:cs="Times New Roman"/>
          <w:spacing w:val="-4"/>
          <w:sz w:val="16"/>
          <w:szCs w:val="16"/>
          <w:lang w:val="es-ES_tradnl"/>
        </w:rPr>
        <w:t>á</w:t>
      </w:r>
      <w:r>
        <w:rPr>
          <w:spacing w:val="-4"/>
          <w:sz w:val="16"/>
          <w:szCs w:val="16"/>
          <w:lang w:val="es-ES_tradnl"/>
        </w:rPr>
        <w:t>nsito</w:t>
      </w:r>
      <w:r>
        <w:rPr>
          <w:spacing w:val="-4"/>
          <w:sz w:val="18"/>
          <w:szCs w:val="18"/>
          <w:lang w:val="es-ES_tradnl"/>
        </w:rPr>
        <w:t xml:space="preserve"> </w:t>
      </w:r>
      <w:r>
        <w:rPr>
          <w:spacing w:val="-4"/>
          <w:sz w:val="16"/>
          <w:szCs w:val="16"/>
          <w:lang w:val="es-ES_tradnl"/>
        </w:rPr>
        <w:t>y</w:t>
      </w:r>
      <w:r>
        <w:rPr>
          <w:spacing w:val="-4"/>
          <w:sz w:val="18"/>
          <w:szCs w:val="18"/>
          <w:lang w:val="es-ES_tradnl"/>
        </w:rPr>
        <w:t xml:space="preserve"> </w:t>
      </w:r>
      <w:r>
        <w:rPr>
          <w:spacing w:val="-4"/>
          <w:sz w:val="16"/>
          <w:szCs w:val="16"/>
          <w:lang w:val="es-ES_tradnl"/>
        </w:rPr>
        <w:t>el</w:t>
      </w:r>
      <w:r>
        <w:rPr>
          <w:spacing w:val="-4"/>
          <w:sz w:val="18"/>
          <w:szCs w:val="18"/>
          <w:lang w:val="es-ES_tradnl"/>
        </w:rPr>
        <w:t xml:space="preserve"> </w:t>
      </w:r>
      <w:r>
        <w:rPr>
          <w:spacing w:val="-4"/>
          <w:sz w:val="16"/>
          <w:szCs w:val="16"/>
          <w:lang w:val="es-ES_tradnl"/>
        </w:rPr>
        <w:t xml:space="preserve">transporte </w:t>
      </w:r>
      <w:r>
        <w:rPr>
          <w:sz w:val="16"/>
          <w:szCs w:val="16"/>
          <w:lang w:val="es-ES_tradnl"/>
        </w:rPr>
        <w:t>p</w:t>
      </w:r>
      <w:r>
        <w:rPr>
          <w:rFonts w:cs="Times New Roman"/>
          <w:sz w:val="16"/>
          <w:szCs w:val="16"/>
          <w:lang w:val="es-ES_tradnl"/>
        </w:rPr>
        <w:t>ú</w:t>
      </w:r>
      <w:r>
        <w:rPr>
          <w:sz w:val="16"/>
          <w:szCs w:val="16"/>
          <w:lang w:val="es-ES_tradnl"/>
        </w:rPr>
        <w:t>blico dentro de su territorio cantonal.</w:t>
      </w:r>
    </w:p>
    <w:p w14:paraId="4F67A8BA" w14:textId="77777777" w:rsidR="00591D54" w:rsidRDefault="00591D54" w:rsidP="00251195">
      <w:pPr>
        <w:numPr>
          <w:ilvl w:val="0"/>
          <w:numId w:val="40"/>
        </w:numPr>
        <w:shd w:val="clear" w:color="auto" w:fill="FFFFFF"/>
        <w:tabs>
          <w:tab w:val="left" w:pos="442"/>
        </w:tabs>
        <w:spacing w:before="206" w:line="211" w:lineRule="exact"/>
        <w:ind w:left="283" w:right="5"/>
        <w:jc w:val="both"/>
        <w:rPr>
          <w:spacing w:val="-10"/>
          <w:sz w:val="16"/>
          <w:szCs w:val="16"/>
          <w:lang w:val="es-ES_tradnl"/>
        </w:rPr>
      </w:pPr>
      <w:r>
        <w:rPr>
          <w:spacing w:val="-5"/>
          <w:sz w:val="16"/>
          <w:szCs w:val="16"/>
          <w:lang w:val="es-ES_tradnl"/>
        </w:rPr>
        <w:t>Planificar,</w:t>
      </w:r>
      <w:r>
        <w:rPr>
          <w:spacing w:val="-5"/>
          <w:sz w:val="18"/>
          <w:szCs w:val="18"/>
          <w:lang w:val="es-ES_tradnl"/>
        </w:rPr>
        <w:t xml:space="preserve"> </w:t>
      </w:r>
      <w:r>
        <w:rPr>
          <w:spacing w:val="-5"/>
          <w:sz w:val="16"/>
          <w:szCs w:val="16"/>
          <w:lang w:val="es-ES_tradnl"/>
        </w:rPr>
        <w:t>construir</w:t>
      </w:r>
      <w:r>
        <w:rPr>
          <w:spacing w:val="-5"/>
          <w:sz w:val="18"/>
          <w:szCs w:val="18"/>
          <w:lang w:val="es-ES_tradnl"/>
        </w:rPr>
        <w:t xml:space="preserve"> </w:t>
      </w:r>
      <w:r>
        <w:rPr>
          <w:spacing w:val="-5"/>
          <w:sz w:val="16"/>
          <w:szCs w:val="16"/>
          <w:lang w:val="es-ES_tradnl"/>
        </w:rPr>
        <w:t>y</w:t>
      </w:r>
      <w:r>
        <w:rPr>
          <w:spacing w:val="-5"/>
          <w:sz w:val="18"/>
          <w:szCs w:val="18"/>
          <w:lang w:val="es-ES_tradnl"/>
        </w:rPr>
        <w:t xml:space="preserve"> </w:t>
      </w:r>
      <w:r>
        <w:rPr>
          <w:spacing w:val="-5"/>
          <w:sz w:val="16"/>
          <w:szCs w:val="16"/>
          <w:lang w:val="es-ES_tradnl"/>
        </w:rPr>
        <w:t>mantener</w:t>
      </w:r>
      <w:r>
        <w:rPr>
          <w:spacing w:val="-5"/>
          <w:sz w:val="18"/>
          <w:szCs w:val="18"/>
          <w:lang w:val="es-ES_tradnl"/>
        </w:rPr>
        <w:t xml:space="preserve"> </w:t>
      </w:r>
      <w:r>
        <w:rPr>
          <w:spacing w:val="-5"/>
          <w:sz w:val="16"/>
          <w:szCs w:val="16"/>
          <w:lang w:val="es-ES_tradnl"/>
        </w:rPr>
        <w:t>la</w:t>
      </w:r>
      <w:r>
        <w:rPr>
          <w:spacing w:val="-5"/>
          <w:sz w:val="18"/>
          <w:szCs w:val="18"/>
          <w:lang w:val="es-ES_tradnl"/>
        </w:rPr>
        <w:t xml:space="preserve"> </w:t>
      </w:r>
      <w:r>
        <w:rPr>
          <w:spacing w:val="-5"/>
          <w:sz w:val="16"/>
          <w:szCs w:val="16"/>
          <w:lang w:val="es-ES_tradnl"/>
        </w:rPr>
        <w:t>infraestructura</w:t>
      </w:r>
      <w:r>
        <w:rPr>
          <w:spacing w:val="-5"/>
          <w:sz w:val="18"/>
          <w:szCs w:val="18"/>
          <w:lang w:val="es-ES_tradnl"/>
        </w:rPr>
        <w:t xml:space="preserve"> </w:t>
      </w:r>
      <w:r>
        <w:rPr>
          <w:spacing w:val="-5"/>
          <w:sz w:val="16"/>
          <w:szCs w:val="16"/>
          <w:lang w:val="es-ES_tradnl"/>
        </w:rPr>
        <w:t>f</w:t>
      </w:r>
      <w:r>
        <w:rPr>
          <w:rFonts w:cs="Times New Roman"/>
          <w:spacing w:val="-5"/>
          <w:sz w:val="16"/>
          <w:szCs w:val="16"/>
          <w:lang w:val="es-ES_tradnl"/>
        </w:rPr>
        <w:t>í</w:t>
      </w:r>
      <w:r>
        <w:rPr>
          <w:spacing w:val="-5"/>
          <w:sz w:val="16"/>
          <w:szCs w:val="16"/>
          <w:lang w:val="es-ES_tradnl"/>
        </w:rPr>
        <w:t>sica</w:t>
      </w:r>
      <w:r>
        <w:rPr>
          <w:spacing w:val="-5"/>
          <w:sz w:val="18"/>
          <w:szCs w:val="18"/>
          <w:lang w:val="es-ES_tradnl"/>
        </w:rPr>
        <w:t xml:space="preserve"> </w:t>
      </w:r>
      <w:r>
        <w:rPr>
          <w:spacing w:val="-5"/>
          <w:sz w:val="16"/>
          <w:szCs w:val="16"/>
          <w:lang w:val="es-ES_tradnl"/>
        </w:rPr>
        <w:t xml:space="preserve">y </w:t>
      </w:r>
      <w:r>
        <w:rPr>
          <w:spacing w:val="-9"/>
          <w:sz w:val="16"/>
          <w:szCs w:val="16"/>
          <w:lang w:val="es-ES_tradnl"/>
        </w:rPr>
        <w:t>los equipamientos de salud y educaci</w:t>
      </w:r>
      <w:r>
        <w:rPr>
          <w:rFonts w:cs="Times New Roman"/>
          <w:spacing w:val="-9"/>
          <w:sz w:val="16"/>
          <w:szCs w:val="16"/>
          <w:lang w:val="es-ES_tradnl"/>
        </w:rPr>
        <w:t>ó</w:t>
      </w:r>
      <w:r>
        <w:rPr>
          <w:spacing w:val="-9"/>
          <w:sz w:val="16"/>
          <w:szCs w:val="16"/>
          <w:lang w:val="es-ES_tradnl"/>
        </w:rPr>
        <w:t>n, as</w:t>
      </w:r>
      <w:r>
        <w:rPr>
          <w:rFonts w:cs="Times New Roman"/>
          <w:spacing w:val="-9"/>
          <w:sz w:val="16"/>
          <w:szCs w:val="16"/>
          <w:lang w:val="es-ES_tradnl"/>
        </w:rPr>
        <w:t>í</w:t>
      </w:r>
      <w:r>
        <w:rPr>
          <w:spacing w:val="-9"/>
          <w:sz w:val="16"/>
          <w:szCs w:val="16"/>
          <w:lang w:val="es-ES_tradnl"/>
        </w:rPr>
        <w:t xml:space="preserve"> como los espacios </w:t>
      </w:r>
      <w:r>
        <w:rPr>
          <w:spacing w:val="-5"/>
          <w:sz w:val="16"/>
          <w:szCs w:val="16"/>
          <w:lang w:val="es-ES_tradnl"/>
        </w:rPr>
        <w:t>p</w:t>
      </w:r>
      <w:r>
        <w:rPr>
          <w:rFonts w:cs="Times New Roman"/>
          <w:spacing w:val="-5"/>
          <w:sz w:val="16"/>
          <w:szCs w:val="16"/>
          <w:lang w:val="es-ES_tradnl"/>
        </w:rPr>
        <w:t>ú</w:t>
      </w:r>
      <w:r>
        <w:rPr>
          <w:spacing w:val="-5"/>
          <w:sz w:val="16"/>
          <w:szCs w:val="16"/>
          <w:lang w:val="es-ES_tradnl"/>
        </w:rPr>
        <w:t xml:space="preserve">blicos destinados al desarrollo social, cultural y deportivo, </w:t>
      </w:r>
      <w:r>
        <w:rPr>
          <w:sz w:val="16"/>
          <w:szCs w:val="16"/>
          <w:lang w:val="es-ES_tradnl"/>
        </w:rPr>
        <w:t>de acuerdo con la ley.</w:t>
      </w:r>
    </w:p>
    <w:p w14:paraId="4F67A8BB" w14:textId="77777777" w:rsidR="00591D54" w:rsidRDefault="00591D54" w:rsidP="00251195">
      <w:pPr>
        <w:numPr>
          <w:ilvl w:val="0"/>
          <w:numId w:val="40"/>
        </w:numPr>
        <w:shd w:val="clear" w:color="auto" w:fill="FFFFFF"/>
        <w:tabs>
          <w:tab w:val="left" w:pos="442"/>
        </w:tabs>
        <w:spacing w:before="206" w:line="211" w:lineRule="exact"/>
        <w:ind w:left="283"/>
        <w:jc w:val="both"/>
        <w:rPr>
          <w:spacing w:val="-10"/>
          <w:sz w:val="16"/>
          <w:szCs w:val="16"/>
          <w:lang w:val="es-ES_tradnl"/>
        </w:rPr>
      </w:pPr>
      <w:r>
        <w:rPr>
          <w:spacing w:val="-7"/>
          <w:sz w:val="16"/>
          <w:szCs w:val="16"/>
          <w:lang w:val="es-ES_tradnl"/>
        </w:rPr>
        <w:t>Preservar,</w:t>
      </w:r>
      <w:r>
        <w:rPr>
          <w:spacing w:val="-7"/>
          <w:sz w:val="18"/>
          <w:szCs w:val="18"/>
          <w:lang w:val="es-ES_tradnl"/>
        </w:rPr>
        <w:t xml:space="preserve"> </w:t>
      </w:r>
      <w:r>
        <w:rPr>
          <w:spacing w:val="-7"/>
          <w:sz w:val="16"/>
          <w:szCs w:val="16"/>
          <w:lang w:val="es-ES_tradnl"/>
        </w:rPr>
        <w:t>mantener</w:t>
      </w:r>
      <w:r>
        <w:rPr>
          <w:spacing w:val="-7"/>
          <w:sz w:val="18"/>
          <w:szCs w:val="18"/>
          <w:lang w:val="es-ES_tradnl"/>
        </w:rPr>
        <w:t xml:space="preserve"> </w:t>
      </w:r>
      <w:r>
        <w:rPr>
          <w:spacing w:val="-7"/>
          <w:sz w:val="16"/>
          <w:szCs w:val="16"/>
          <w:lang w:val="es-ES_tradnl"/>
        </w:rPr>
        <w:t>y</w:t>
      </w:r>
      <w:r>
        <w:rPr>
          <w:spacing w:val="-7"/>
          <w:sz w:val="18"/>
          <w:szCs w:val="18"/>
          <w:lang w:val="es-ES_tradnl"/>
        </w:rPr>
        <w:t xml:space="preserve"> </w:t>
      </w:r>
      <w:r>
        <w:rPr>
          <w:spacing w:val="-7"/>
          <w:sz w:val="16"/>
          <w:szCs w:val="16"/>
          <w:lang w:val="es-ES_tradnl"/>
        </w:rPr>
        <w:t>difundir</w:t>
      </w:r>
      <w:r>
        <w:rPr>
          <w:spacing w:val="-7"/>
          <w:sz w:val="18"/>
          <w:szCs w:val="18"/>
          <w:lang w:val="es-ES_tradnl"/>
        </w:rPr>
        <w:t xml:space="preserve"> </w:t>
      </w:r>
      <w:r>
        <w:rPr>
          <w:spacing w:val="-7"/>
          <w:sz w:val="16"/>
          <w:szCs w:val="16"/>
          <w:lang w:val="es-ES_tradnl"/>
        </w:rPr>
        <w:t>el</w:t>
      </w:r>
      <w:r>
        <w:rPr>
          <w:spacing w:val="-7"/>
          <w:sz w:val="18"/>
          <w:szCs w:val="18"/>
          <w:lang w:val="es-ES_tradnl"/>
        </w:rPr>
        <w:t xml:space="preserve"> </w:t>
      </w:r>
      <w:r>
        <w:rPr>
          <w:spacing w:val="-7"/>
          <w:sz w:val="16"/>
          <w:szCs w:val="16"/>
          <w:lang w:val="es-ES_tradnl"/>
        </w:rPr>
        <w:t>patrimonio</w:t>
      </w:r>
      <w:r>
        <w:rPr>
          <w:spacing w:val="-7"/>
          <w:sz w:val="18"/>
          <w:szCs w:val="18"/>
          <w:lang w:val="es-ES_tradnl"/>
        </w:rPr>
        <w:t xml:space="preserve"> </w:t>
      </w:r>
      <w:r>
        <w:rPr>
          <w:spacing w:val="-7"/>
          <w:sz w:val="16"/>
          <w:szCs w:val="16"/>
          <w:lang w:val="es-ES_tradnl"/>
        </w:rPr>
        <w:t>arquitect</w:t>
      </w:r>
      <w:r>
        <w:rPr>
          <w:rFonts w:cs="Times New Roman"/>
          <w:spacing w:val="-7"/>
          <w:sz w:val="16"/>
          <w:szCs w:val="16"/>
          <w:lang w:val="es-ES_tradnl"/>
        </w:rPr>
        <w:t>ó</w:t>
      </w:r>
      <w:r>
        <w:rPr>
          <w:spacing w:val="-7"/>
          <w:sz w:val="16"/>
          <w:szCs w:val="16"/>
          <w:lang w:val="es-ES_tradnl"/>
        </w:rPr>
        <w:t xml:space="preserve">nico, </w:t>
      </w:r>
      <w:r>
        <w:rPr>
          <w:spacing w:val="-6"/>
          <w:sz w:val="16"/>
          <w:szCs w:val="16"/>
          <w:lang w:val="es-ES_tradnl"/>
        </w:rPr>
        <w:t>cultural y natural del cant</w:t>
      </w:r>
      <w:r>
        <w:rPr>
          <w:rFonts w:cs="Times New Roman"/>
          <w:spacing w:val="-6"/>
          <w:sz w:val="16"/>
          <w:szCs w:val="16"/>
          <w:lang w:val="es-ES_tradnl"/>
        </w:rPr>
        <w:t>ó</w:t>
      </w:r>
      <w:r>
        <w:rPr>
          <w:spacing w:val="-6"/>
          <w:sz w:val="16"/>
          <w:szCs w:val="16"/>
          <w:lang w:val="es-ES_tradnl"/>
        </w:rPr>
        <w:t>n y construir los espacios p</w:t>
      </w:r>
      <w:r>
        <w:rPr>
          <w:rFonts w:cs="Times New Roman"/>
          <w:spacing w:val="-6"/>
          <w:sz w:val="16"/>
          <w:szCs w:val="16"/>
          <w:lang w:val="es-ES_tradnl"/>
        </w:rPr>
        <w:t>ú</w:t>
      </w:r>
      <w:r>
        <w:rPr>
          <w:spacing w:val="-6"/>
          <w:sz w:val="16"/>
          <w:szCs w:val="16"/>
          <w:lang w:val="es-ES_tradnl"/>
        </w:rPr>
        <w:t xml:space="preserve">blicos </w:t>
      </w:r>
      <w:r>
        <w:rPr>
          <w:sz w:val="16"/>
          <w:szCs w:val="16"/>
          <w:lang w:val="es-ES_tradnl"/>
        </w:rPr>
        <w:t>para estos fines.</w:t>
      </w:r>
    </w:p>
    <w:p w14:paraId="4F67A8BC" w14:textId="77777777" w:rsidR="00591D54" w:rsidRDefault="00591D54">
      <w:pPr>
        <w:shd w:val="clear" w:color="auto" w:fill="FFFFFF"/>
        <w:tabs>
          <w:tab w:val="left" w:pos="456"/>
        </w:tabs>
        <w:spacing w:line="216" w:lineRule="exact"/>
        <w:ind w:left="283"/>
        <w:jc w:val="both"/>
      </w:pPr>
      <w:r>
        <w:rPr>
          <w:spacing w:val="-10"/>
          <w:sz w:val="16"/>
          <w:szCs w:val="16"/>
          <w:lang w:val="es-ES_tradnl"/>
        </w:rPr>
        <w:br w:type="column"/>
        <w:t>9.</w:t>
      </w:r>
      <w:r>
        <w:rPr>
          <w:sz w:val="18"/>
          <w:szCs w:val="18"/>
          <w:lang w:val="es-ES_tradnl"/>
        </w:rPr>
        <w:tab/>
      </w:r>
      <w:r>
        <w:rPr>
          <w:spacing w:val="-6"/>
          <w:sz w:val="16"/>
          <w:szCs w:val="16"/>
          <w:lang w:val="es-ES_tradnl"/>
        </w:rPr>
        <w:t>Formar</w:t>
      </w:r>
      <w:r>
        <w:rPr>
          <w:spacing w:val="-6"/>
          <w:sz w:val="18"/>
          <w:szCs w:val="18"/>
          <w:lang w:val="es-ES_tradnl"/>
        </w:rPr>
        <w:t xml:space="preserve"> </w:t>
      </w:r>
      <w:r>
        <w:rPr>
          <w:spacing w:val="-6"/>
          <w:sz w:val="16"/>
          <w:szCs w:val="16"/>
          <w:lang w:val="es-ES_tradnl"/>
        </w:rPr>
        <w:t>y</w:t>
      </w:r>
      <w:r>
        <w:rPr>
          <w:spacing w:val="-6"/>
          <w:sz w:val="18"/>
          <w:szCs w:val="18"/>
          <w:lang w:val="es-ES_tradnl"/>
        </w:rPr>
        <w:t xml:space="preserve"> </w:t>
      </w:r>
      <w:r>
        <w:rPr>
          <w:spacing w:val="-6"/>
          <w:sz w:val="16"/>
          <w:szCs w:val="16"/>
          <w:lang w:val="es-ES_tradnl"/>
        </w:rPr>
        <w:t>administrar</w:t>
      </w:r>
      <w:r>
        <w:rPr>
          <w:spacing w:val="-6"/>
          <w:sz w:val="18"/>
          <w:szCs w:val="18"/>
          <w:lang w:val="es-ES_tradnl"/>
        </w:rPr>
        <w:t xml:space="preserve"> </w:t>
      </w:r>
      <w:r>
        <w:rPr>
          <w:spacing w:val="-6"/>
          <w:sz w:val="16"/>
          <w:szCs w:val="16"/>
          <w:lang w:val="es-ES_tradnl"/>
        </w:rPr>
        <w:t>los</w:t>
      </w:r>
      <w:r>
        <w:rPr>
          <w:spacing w:val="-6"/>
          <w:sz w:val="18"/>
          <w:szCs w:val="18"/>
          <w:lang w:val="es-ES_tradnl"/>
        </w:rPr>
        <w:t xml:space="preserve"> </w:t>
      </w:r>
      <w:r>
        <w:rPr>
          <w:spacing w:val="-6"/>
          <w:sz w:val="16"/>
          <w:szCs w:val="16"/>
          <w:lang w:val="es-ES_tradnl"/>
        </w:rPr>
        <w:t>catastros</w:t>
      </w:r>
      <w:r>
        <w:rPr>
          <w:spacing w:val="-6"/>
          <w:sz w:val="18"/>
          <w:szCs w:val="18"/>
          <w:lang w:val="es-ES_tradnl"/>
        </w:rPr>
        <w:t xml:space="preserve"> </w:t>
      </w:r>
      <w:r>
        <w:rPr>
          <w:spacing w:val="-6"/>
          <w:sz w:val="16"/>
          <w:szCs w:val="16"/>
          <w:lang w:val="es-ES_tradnl"/>
        </w:rPr>
        <w:t>inmobiliarios</w:t>
      </w:r>
      <w:r>
        <w:rPr>
          <w:spacing w:val="-6"/>
          <w:sz w:val="18"/>
          <w:szCs w:val="18"/>
          <w:lang w:val="es-ES_tradnl"/>
        </w:rPr>
        <w:t xml:space="preserve"> </w:t>
      </w:r>
      <w:r>
        <w:rPr>
          <w:spacing w:val="-6"/>
          <w:sz w:val="16"/>
          <w:szCs w:val="16"/>
          <w:lang w:val="es-ES_tradnl"/>
        </w:rPr>
        <w:t>urbanos</w:t>
      </w:r>
      <w:r>
        <w:rPr>
          <w:spacing w:val="-6"/>
          <w:sz w:val="18"/>
          <w:szCs w:val="18"/>
          <w:lang w:val="es-ES_tradnl"/>
        </w:rPr>
        <w:t xml:space="preserve"> </w:t>
      </w:r>
      <w:r>
        <w:rPr>
          <w:spacing w:val="-6"/>
          <w:sz w:val="16"/>
          <w:szCs w:val="16"/>
          <w:lang w:val="es-ES_tradnl"/>
        </w:rPr>
        <w:t>y </w:t>
      </w:r>
      <w:r>
        <w:rPr>
          <w:sz w:val="16"/>
          <w:szCs w:val="16"/>
          <w:lang w:val="es-ES_tradnl"/>
        </w:rPr>
        <w:t>rurales.</w:t>
      </w:r>
    </w:p>
    <w:p w14:paraId="4F67A8BD" w14:textId="77777777" w:rsidR="00591D54" w:rsidRDefault="00591D54" w:rsidP="00251195">
      <w:pPr>
        <w:numPr>
          <w:ilvl w:val="0"/>
          <w:numId w:val="41"/>
        </w:numPr>
        <w:shd w:val="clear" w:color="auto" w:fill="FFFFFF"/>
        <w:tabs>
          <w:tab w:val="left" w:pos="523"/>
        </w:tabs>
        <w:spacing w:before="211" w:line="216" w:lineRule="exact"/>
        <w:ind w:left="283"/>
        <w:jc w:val="both"/>
        <w:rPr>
          <w:spacing w:val="-10"/>
          <w:sz w:val="16"/>
          <w:szCs w:val="16"/>
          <w:lang w:val="es-ES_tradnl"/>
        </w:rPr>
      </w:pPr>
      <w:r>
        <w:rPr>
          <w:spacing w:val="-7"/>
          <w:sz w:val="16"/>
          <w:szCs w:val="16"/>
          <w:lang w:val="es-ES_tradnl"/>
        </w:rPr>
        <w:t>Delimitar,</w:t>
      </w:r>
      <w:r>
        <w:rPr>
          <w:spacing w:val="-7"/>
          <w:sz w:val="18"/>
          <w:szCs w:val="18"/>
          <w:lang w:val="es-ES_tradnl"/>
        </w:rPr>
        <w:t xml:space="preserve"> </w:t>
      </w:r>
      <w:r>
        <w:rPr>
          <w:spacing w:val="-7"/>
          <w:sz w:val="16"/>
          <w:szCs w:val="16"/>
          <w:lang w:val="es-ES_tradnl"/>
        </w:rPr>
        <w:t>regular,</w:t>
      </w:r>
      <w:r>
        <w:rPr>
          <w:spacing w:val="-7"/>
          <w:sz w:val="18"/>
          <w:szCs w:val="18"/>
          <w:lang w:val="es-ES_tradnl"/>
        </w:rPr>
        <w:t xml:space="preserve"> </w:t>
      </w:r>
      <w:r>
        <w:rPr>
          <w:spacing w:val="-7"/>
          <w:sz w:val="16"/>
          <w:szCs w:val="16"/>
          <w:lang w:val="es-ES_tradnl"/>
        </w:rPr>
        <w:t>autorizar</w:t>
      </w:r>
      <w:r>
        <w:rPr>
          <w:spacing w:val="-7"/>
          <w:sz w:val="18"/>
          <w:szCs w:val="18"/>
          <w:lang w:val="es-ES_tradnl"/>
        </w:rPr>
        <w:t xml:space="preserve"> </w:t>
      </w:r>
      <w:r>
        <w:rPr>
          <w:spacing w:val="-7"/>
          <w:sz w:val="16"/>
          <w:szCs w:val="16"/>
          <w:lang w:val="es-ES_tradnl"/>
        </w:rPr>
        <w:t>y</w:t>
      </w:r>
      <w:r>
        <w:rPr>
          <w:spacing w:val="-7"/>
          <w:sz w:val="18"/>
          <w:szCs w:val="18"/>
          <w:lang w:val="es-ES_tradnl"/>
        </w:rPr>
        <w:t xml:space="preserve"> </w:t>
      </w:r>
      <w:r>
        <w:rPr>
          <w:spacing w:val="-7"/>
          <w:sz w:val="16"/>
          <w:szCs w:val="16"/>
          <w:lang w:val="es-ES_tradnl"/>
        </w:rPr>
        <w:t>controlar</w:t>
      </w:r>
      <w:r>
        <w:rPr>
          <w:spacing w:val="-7"/>
          <w:sz w:val="18"/>
          <w:szCs w:val="18"/>
          <w:lang w:val="es-ES_tradnl"/>
        </w:rPr>
        <w:t xml:space="preserve"> </w:t>
      </w:r>
      <w:r>
        <w:rPr>
          <w:spacing w:val="-7"/>
          <w:sz w:val="16"/>
          <w:szCs w:val="16"/>
          <w:lang w:val="es-ES_tradnl"/>
        </w:rPr>
        <w:t>el</w:t>
      </w:r>
      <w:r>
        <w:rPr>
          <w:spacing w:val="-7"/>
          <w:sz w:val="18"/>
          <w:szCs w:val="18"/>
          <w:lang w:val="es-ES_tradnl"/>
        </w:rPr>
        <w:t xml:space="preserve"> </w:t>
      </w:r>
      <w:r>
        <w:rPr>
          <w:spacing w:val="-7"/>
          <w:sz w:val="16"/>
          <w:szCs w:val="16"/>
          <w:lang w:val="es-ES_tradnl"/>
        </w:rPr>
        <w:t>uso</w:t>
      </w:r>
      <w:r>
        <w:rPr>
          <w:spacing w:val="-7"/>
          <w:sz w:val="18"/>
          <w:szCs w:val="18"/>
          <w:lang w:val="es-ES_tradnl"/>
        </w:rPr>
        <w:t xml:space="preserve"> </w:t>
      </w:r>
      <w:r>
        <w:rPr>
          <w:spacing w:val="-7"/>
          <w:sz w:val="16"/>
          <w:szCs w:val="16"/>
          <w:lang w:val="es-ES_tradnl"/>
        </w:rPr>
        <w:t>de</w:t>
      </w:r>
      <w:r>
        <w:rPr>
          <w:spacing w:val="-7"/>
          <w:sz w:val="18"/>
          <w:szCs w:val="18"/>
          <w:lang w:val="es-ES_tradnl"/>
        </w:rPr>
        <w:t xml:space="preserve"> </w:t>
      </w:r>
      <w:r>
        <w:rPr>
          <w:spacing w:val="-7"/>
          <w:sz w:val="16"/>
          <w:szCs w:val="16"/>
          <w:lang w:val="es-ES_tradnl"/>
        </w:rPr>
        <w:t>las</w:t>
      </w:r>
      <w:r>
        <w:rPr>
          <w:spacing w:val="-7"/>
          <w:sz w:val="18"/>
          <w:szCs w:val="18"/>
          <w:lang w:val="es-ES_tradnl"/>
        </w:rPr>
        <w:t xml:space="preserve"> </w:t>
      </w:r>
      <w:r>
        <w:rPr>
          <w:spacing w:val="-7"/>
          <w:sz w:val="16"/>
          <w:szCs w:val="16"/>
          <w:lang w:val="es-ES_tradnl"/>
        </w:rPr>
        <w:t>playas de mar, riberas y lechos de r</w:t>
      </w:r>
      <w:r>
        <w:rPr>
          <w:rFonts w:cs="Times New Roman"/>
          <w:spacing w:val="-7"/>
          <w:sz w:val="16"/>
          <w:szCs w:val="16"/>
          <w:lang w:val="es-ES_tradnl"/>
        </w:rPr>
        <w:t>í</w:t>
      </w:r>
      <w:r>
        <w:rPr>
          <w:spacing w:val="-7"/>
          <w:sz w:val="16"/>
          <w:szCs w:val="16"/>
          <w:lang w:val="es-ES_tradnl"/>
        </w:rPr>
        <w:t xml:space="preserve">os, lagos y lagunas, sin perjuicio </w:t>
      </w:r>
      <w:r>
        <w:rPr>
          <w:sz w:val="16"/>
          <w:szCs w:val="16"/>
          <w:lang w:val="es-ES_tradnl"/>
        </w:rPr>
        <w:t>de las limitaciones que establezca la ley.</w:t>
      </w:r>
    </w:p>
    <w:p w14:paraId="4F67A8BE" w14:textId="77777777" w:rsidR="00591D54" w:rsidRDefault="00591D54" w:rsidP="00251195">
      <w:pPr>
        <w:numPr>
          <w:ilvl w:val="0"/>
          <w:numId w:val="41"/>
        </w:numPr>
        <w:shd w:val="clear" w:color="auto" w:fill="FFFFFF"/>
        <w:tabs>
          <w:tab w:val="left" w:pos="523"/>
        </w:tabs>
        <w:spacing w:before="211" w:line="216" w:lineRule="exact"/>
        <w:ind w:left="283"/>
        <w:jc w:val="both"/>
        <w:rPr>
          <w:spacing w:val="-11"/>
          <w:sz w:val="16"/>
          <w:szCs w:val="16"/>
          <w:lang w:val="es-ES_tradnl"/>
        </w:rPr>
      </w:pPr>
      <w:r>
        <w:rPr>
          <w:spacing w:val="-6"/>
          <w:sz w:val="16"/>
          <w:szCs w:val="16"/>
          <w:lang w:val="es-ES_tradnl"/>
        </w:rPr>
        <w:t>Preservar</w:t>
      </w:r>
      <w:r>
        <w:rPr>
          <w:spacing w:val="-6"/>
          <w:sz w:val="18"/>
          <w:szCs w:val="18"/>
          <w:lang w:val="es-ES_tradnl"/>
        </w:rPr>
        <w:t xml:space="preserve"> </w:t>
      </w:r>
      <w:r>
        <w:rPr>
          <w:spacing w:val="-6"/>
          <w:sz w:val="16"/>
          <w:szCs w:val="16"/>
          <w:lang w:val="es-ES_tradnl"/>
        </w:rPr>
        <w:t>y</w:t>
      </w:r>
      <w:r>
        <w:rPr>
          <w:spacing w:val="-6"/>
          <w:sz w:val="18"/>
          <w:szCs w:val="18"/>
          <w:lang w:val="es-ES_tradnl"/>
        </w:rPr>
        <w:t xml:space="preserve"> </w:t>
      </w:r>
      <w:r>
        <w:rPr>
          <w:spacing w:val="-6"/>
          <w:sz w:val="16"/>
          <w:szCs w:val="16"/>
          <w:lang w:val="es-ES_tradnl"/>
        </w:rPr>
        <w:t>garantizar</w:t>
      </w:r>
      <w:r>
        <w:rPr>
          <w:spacing w:val="-6"/>
          <w:sz w:val="18"/>
          <w:szCs w:val="18"/>
          <w:lang w:val="es-ES_tradnl"/>
        </w:rPr>
        <w:t xml:space="preserve"> </w:t>
      </w:r>
      <w:r>
        <w:rPr>
          <w:spacing w:val="-6"/>
          <w:sz w:val="16"/>
          <w:szCs w:val="16"/>
          <w:lang w:val="es-ES_tradnl"/>
        </w:rPr>
        <w:t>el</w:t>
      </w:r>
      <w:r>
        <w:rPr>
          <w:spacing w:val="-6"/>
          <w:sz w:val="18"/>
          <w:szCs w:val="18"/>
          <w:lang w:val="es-ES_tradnl"/>
        </w:rPr>
        <w:t xml:space="preserve"> </w:t>
      </w:r>
      <w:r>
        <w:rPr>
          <w:spacing w:val="-6"/>
          <w:sz w:val="16"/>
          <w:szCs w:val="16"/>
          <w:lang w:val="es-ES_tradnl"/>
        </w:rPr>
        <w:t>acceso</w:t>
      </w:r>
      <w:r>
        <w:rPr>
          <w:spacing w:val="-6"/>
          <w:sz w:val="18"/>
          <w:szCs w:val="18"/>
          <w:lang w:val="es-ES_tradnl"/>
        </w:rPr>
        <w:t xml:space="preserve"> </w:t>
      </w:r>
      <w:r>
        <w:rPr>
          <w:spacing w:val="-6"/>
          <w:sz w:val="16"/>
          <w:szCs w:val="16"/>
          <w:lang w:val="es-ES_tradnl"/>
        </w:rPr>
        <w:t>efectivo</w:t>
      </w:r>
      <w:r>
        <w:rPr>
          <w:spacing w:val="-6"/>
          <w:sz w:val="18"/>
          <w:szCs w:val="18"/>
          <w:lang w:val="es-ES_tradnl"/>
        </w:rPr>
        <w:t xml:space="preserve"> </w:t>
      </w:r>
      <w:r>
        <w:rPr>
          <w:spacing w:val="-6"/>
          <w:sz w:val="16"/>
          <w:szCs w:val="16"/>
          <w:lang w:val="es-ES_tradnl"/>
        </w:rPr>
        <w:t>de</w:t>
      </w:r>
      <w:r>
        <w:rPr>
          <w:spacing w:val="-6"/>
          <w:sz w:val="18"/>
          <w:szCs w:val="18"/>
          <w:lang w:val="es-ES_tradnl"/>
        </w:rPr>
        <w:t xml:space="preserve"> </w:t>
      </w:r>
      <w:r>
        <w:rPr>
          <w:spacing w:val="-6"/>
          <w:sz w:val="16"/>
          <w:szCs w:val="16"/>
          <w:lang w:val="es-ES_tradnl"/>
        </w:rPr>
        <w:t>las</w:t>
      </w:r>
      <w:r>
        <w:rPr>
          <w:spacing w:val="-6"/>
          <w:sz w:val="18"/>
          <w:szCs w:val="18"/>
          <w:lang w:val="es-ES_tradnl"/>
        </w:rPr>
        <w:t xml:space="preserve"> </w:t>
      </w:r>
      <w:r>
        <w:rPr>
          <w:spacing w:val="-6"/>
          <w:sz w:val="16"/>
          <w:szCs w:val="16"/>
          <w:lang w:val="es-ES_tradnl"/>
        </w:rPr>
        <w:t xml:space="preserve">personas </w:t>
      </w:r>
      <w:r>
        <w:rPr>
          <w:spacing w:val="-7"/>
          <w:sz w:val="16"/>
          <w:szCs w:val="16"/>
          <w:lang w:val="es-ES_tradnl"/>
        </w:rPr>
        <w:t>al uso de las playas de mar, riberas de r</w:t>
      </w:r>
      <w:r>
        <w:rPr>
          <w:rFonts w:cs="Times New Roman"/>
          <w:spacing w:val="-7"/>
          <w:sz w:val="16"/>
          <w:szCs w:val="16"/>
          <w:lang w:val="es-ES_tradnl"/>
        </w:rPr>
        <w:t>í</w:t>
      </w:r>
      <w:r>
        <w:rPr>
          <w:spacing w:val="-7"/>
          <w:sz w:val="16"/>
          <w:szCs w:val="16"/>
          <w:lang w:val="es-ES_tradnl"/>
        </w:rPr>
        <w:t>os, lagos y lagunas.</w:t>
      </w:r>
    </w:p>
    <w:p w14:paraId="4F67A8BF" w14:textId="77777777" w:rsidR="00591D54" w:rsidRDefault="00591D54" w:rsidP="00251195">
      <w:pPr>
        <w:numPr>
          <w:ilvl w:val="0"/>
          <w:numId w:val="41"/>
        </w:numPr>
        <w:shd w:val="clear" w:color="auto" w:fill="FFFFFF"/>
        <w:tabs>
          <w:tab w:val="left" w:pos="523"/>
        </w:tabs>
        <w:spacing w:before="206" w:line="216" w:lineRule="exact"/>
        <w:ind w:left="283"/>
        <w:jc w:val="both"/>
        <w:rPr>
          <w:spacing w:val="-10"/>
          <w:sz w:val="16"/>
          <w:szCs w:val="16"/>
          <w:lang w:val="es-ES_tradnl"/>
        </w:rPr>
      </w:pPr>
      <w:r>
        <w:rPr>
          <w:spacing w:val="-6"/>
          <w:sz w:val="16"/>
          <w:szCs w:val="16"/>
          <w:lang w:val="es-ES_tradnl"/>
        </w:rPr>
        <w:t>Regular,</w:t>
      </w:r>
      <w:r>
        <w:rPr>
          <w:spacing w:val="-6"/>
          <w:sz w:val="18"/>
          <w:szCs w:val="18"/>
          <w:lang w:val="es-ES_tradnl"/>
        </w:rPr>
        <w:t xml:space="preserve"> </w:t>
      </w:r>
      <w:r>
        <w:rPr>
          <w:spacing w:val="-6"/>
          <w:sz w:val="16"/>
          <w:szCs w:val="16"/>
          <w:lang w:val="es-ES_tradnl"/>
        </w:rPr>
        <w:t>autorizar</w:t>
      </w:r>
      <w:r>
        <w:rPr>
          <w:spacing w:val="-6"/>
          <w:sz w:val="18"/>
          <w:szCs w:val="18"/>
          <w:lang w:val="es-ES_tradnl"/>
        </w:rPr>
        <w:t xml:space="preserve"> </w:t>
      </w:r>
      <w:r>
        <w:rPr>
          <w:spacing w:val="-6"/>
          <w:sz w:val="16"/>
          <w:szCs w:val="16"/>
          <w:lang w:val="es-ES_tradnl"/>
        </w:rPr>
        <w:t>y</w:t>
      </w:r>
      <w:r>
        <w:rPr>
          <w:spacing w:val="-6"/>
          <w:sz w:val="18"/>
          <w:szCs w:val="18"/>
          <w:lang w:val="es-ES_tradnl"/>
        </w:rPr>
        <w:t xml:space="preserve"> </w:t>
      </w:r>
      <w:r>
        <w:rPr>
          <w:spacing w:val="-6"/>
          <w:sz w:val="16"/>
          <w:szCs w:val="16"/>
          <w:lang w:val="es-ES_tradnl"/>
        </w:rPr>
        <w:t>controlar</w:t>
      </w:r>
      <w:r>
        <w:rPr>
          <w:spacing w:val="-6"/>
          <w:sz w:val="18"/>
          <w:szCs w:val="18"/>
          <w:lang w:val="es-ES_tradnl"/>
        </w:rPr>
        <w:t xml:space="preserve"> </w:t>
      </w:r>
      <w:r>
        <w:rPr>
          <w:spacing w:val="-6"/>
          <w:sz w:val="16"/>
          <w:szCs w:val="16"/>
          <w:lang w:val="es-ES_tradnl"/>
        </w:rPr>
        <w:t>la</w:t>
      </w:r>
      <w:r>
        <w:rPr>
          <w:spacing w:val="-6"/>
          <w:sz w:val="18"/>
          <w:szCs w:val="18"/>
          <w:lang w:val="es-ES_tradnl"/>
        </w:rPr>
        <w:t xml:space="preserve"> </w:t>
      </w:r>
      <w:r>
        <w:rPr>
          <w:spacing w:val="-6"/>
          <w:sz w:val="16"/>
          <w:szCs w:val="16"/>
          <w:lang w:val="es-ES_tradnl"/>
        </w:rPr>
        <w:t>explotaci</w:t>
      </w:r>
      <w:r>
        <w:rPr>
          <w:rFonts w:cs="Times New Roman"/>
          <w:spacing w:val="-6"/>
          <w:sz w:val="16"/>
          <w:szCs w:val="16"/>
          <w:lang w:val="es-ES_tradnl"/>
        </w:rPr>
        <w:t>ó</w:t>
      </w:r>
      <w:r>
        <w:rPr>
          <w:spacing w:val="-6"/>
          <w:sz w:val="16"/>
          <w:szCs w:val="16"/>
          <w:lang w:val="es-ES_tradnl"/>
        </w:rPr>
        <w:t>n</w:t>
      </w:r>
      <w:r>
        <w:rPr>
          <w:spacing w:val="-6"/>
          <w:sz w:val="18"/>
          <w:szCs w:val="18"/>
          <w:lang w:val="es-ES_tradnl"/>
        </w:rPr>
        <w:t xml:space="preserve"> </w:t>
      </w:r>
      <w:r>
        <w:rPr>
          <w:spacing w:val="-6"/>
          <w:sz w:val="16"/>
          <w:szCs w:val="16"/>
          <w:lang w:val="es-ES_tradnl"/>
        </w:rPr>
        <w:t>de</w:t>
      </w:r>
      <w:r>
        <w:rPr>
          <w:spacing w:val="-6"/>
          <w:sz w:val="18"/>
          <w:szCs w:val="18"/>
          <w:lang w:val="es-ES_tradnl"/>
        </w:rPr>
        <w:t xml:space="preserve"> </w:t>
      </w:r>
      <w:r>
        <w:rPr>
          <w:spacing w:val="-6"/>
          <w:sz w:val="16"/>
          <w:szCs w:val="16"/>
          <w:lang w:val="es-ES_tradnl"/>
        </w:rPr>
        <w:t xml:space="preserve">materiales </w:t>
      </w:r>
      <w:r>
        <w:rPr>
          <w:rFonts w:cs="Times New Roman"/>
          <w:spacing w:val="-7"/>
          <w:sz w:val="16"/>
          <w:szCs w:val="16"/>
          <w:lang w:val="es-ES_tradnl"/>
        </w:rPr>
        <w:t>á</w:t>
      </w:r>
      <w:r>
        <w:rPr>
          <w:spacing w:val="-7"/>
          <w:sz w:val="16"/>
          <w:szCs w:val="16"/>
          <w:lang w:val="es-ES_tradnl"/>
        </w:rPr>
        <w:t>ridos y p</w:t>
      </w:r>
      <w:r>
        <w:rPr>
          <w:rFonts w:cs="Times New Roman"/>
          <w:spacing w:val="-7"/>
          <w:sz w:val="16"/>
          <w:szCs w:val="16"/>
          <w:lang w:val="es-ES_tradnl"/>
        </w:rPr>
        <w:t>é</w:t>
      </w:r>
      <w:r>
        <w:rPr>
          <w:spacing w:val="-7"/>
          <w:sz w:val="16"/>
          <w:szCs w:val="16"/>
          <w:lang w:val="es-ES_tradnl"/>
        </w:rPr>
        <w:t>treos, que se encuentren en los lechos de los r</w:t>
      </w:r>
      <w:r>
        <w:rPr>
          <w:rFonts w:cs="Times New Roman"/>
          <w:spacing w:val="-7"/>
          <w:sz w:val="16"/>
          <w:szCs w:val="16"/>
          <w:lang w:val="es-ES_tradnl"/>
        </w:rPr>
        <w:t>í</w:t>
      </w:r>
      <w:r>
        <w:rPr>
          <w:spacing w:val="-7"/>
          <w:sz w:val="16"/>
          <w:szCs w:val="16"/>
          <w:lang w:val="es-ES_tradnl"/>
        </w:rPr>
        <w:t xml:space="preserve">os, </w:t>
      </w:r>
      <w:r>
        <w:rPr>
          <w:sz w:val="16"/>
          <w:szCs w:val="16"/>
          <w:lang w:val="es-ES_tradnl"/>
        </w:rPr>
        <w:t>lagos, playas de mar y canteras.</w:t>
      </w:r>
    </w:p>
    <w:p w14:paraId="4F67A8C0" w14:textId="77777777" w:rsidR="00591D54" w:rsidRDefault="00591D54" w:rsidP="00251195">
      <w:pPr>
        <w:numPr>
          <w:ilvl w:val="0"/>
          <w:numId w:val="41"/>
        </w:numPr>
        <w:shd w:val="clear" w:color="auto" w:fill="FFFFFF"/>
        <w:tabs>
          <w:tab w:val="left" w:pos="523"/>
        </w:tabs>
        <w:spacing w:before="206" w:line="216" w:lineRule="exact"/>
        <w:ind w:left="283"/>
        <w:jc w:val="both"/>
        <w:rPr>
          <w:spacing w:val="-10"/>
          <w:sz w:val="16"/>
          <w:szCs w:val="16"/>
          <w:lang w:val="es-ES_tradnl"/>
        </w:rPr>
      </w:pPr>
      <w:r>
        <w:rPr>
          <w:spacing w:val="-6"/>
          <w:sz w:val="16"/>
          <w:szCs w:val="16"/>
          <w:lang w:val="es-ES_tradnl"/>
        </w:rPr>
        <w:t>Gestionar</w:t>
      </w:r>
      <w:r>
        <w:rPr>
          <w:spacing w:val="-6"/>
          <w:sz w:val="18"/>
          <w:szCs w:val="18"/>
          <w:lang w:val="es-ES_tradnl"/>
        </w:rPr>
        <w:t xml:space="preserve"> </w:t>
      </w:r>
      <w:r>
        <w:rPr>
          <w:spacing w:val="-6"/>
          <w:sz w:val="16"/>
          <w:szCs w:val="16"/>
          <w:lang w:val="es-ES_tradnl"/>
        </w:rPr>
        <w:t>los</w:t>
      </w:r>
      <w:r>
        <w:rPr>
          <w:spacing w:val="-6"/>
          <w:sz w:val="18"/>
          <w:szCs w:val="18"/>
          <w:lang w:val="es-ES_tradnl"/>
        </w:rPr>
        <w:t xml:space="preserve"> </w:t>
      </w:r>
      <w:r>
        <w:rPr>
          <w:spacing w:val="-6"/>
          <w:sz w:val="16"/>
          <w:szCs w:val="16"/>
          <w:lang w:val="es-ES_tradnl"/>
        </w:rPr>
        <w:t>servicios</w:t>
      </w:r>
      <w:r>
        <w:rPr>
          <w:spacing w:val="-6"/>
          <w:sz w:val="18"/>
          <w:szCs w:val="18"/>
          <w:lang w:val="es-ES_tradnl"/>
        </w:rPr>
        <w:t xml:space="preserve"> </w:t>
      </w:r>
      <w:r>
        <w:rPr>
          <w:spacing w:val="-6"/>
          <w:sz w:val="16"/>
          <w:szCs w:val="16"/>
          <w:lang w:val="es-ES_tradnl"/>
        </w:rPr>
        <w:t>de</w:t>
      </w:r>
      <w:r>
        <w:rPr>
          <w:spacing w:val="-6"/>
          <w:sz w:val="18"/>
          <w:szCs w:val="18"/>
          <w:lang w:val="es-ES_tradnl"/>
        </w:rPr>
        <w:t xml:space="preserve"> </w:t>
      </w:r>
      <w:r>
        <w:rPr>
          <w:spacing w:val="-6"/>
          <w:sz w:val="16"/>
          <w:szCs w:val="16"/>
          <w:lang w:val="es-ES_tradnl"/>
        </w:rPr>
        <w:t>prevenci</w:t>
      </w:r>
      <w:r>
        <w:rPr>
          <w:rFonts w:cs="Times New Roman"/>
          <w:spacing w:val="-6"/>
          <w:sz w:val="16"/>
          <w:szCs w:val="16"/>
          <w:lang w:val="es-ES_tradnl"/>
        </w:rPr>
        <w:t>ó</w:t>
      </w:r>
      <w:r>
        <w:rPr>
          <w:spacing w:val="-6"/>
          <w:sz w:val="16"/>
          <w:szCs w:val="16"/>
          <w:lang w:val="es-ES_tradnl"/>
        </w:rPr>
        <w:t>n,</w:t>
      </w:r>
      <w:r>
        <w:rPr>
          <w:spacing w:val="-6"/>
          <w:sz w:val="18"/>
          <w:szCs w:val="18"/>
          <w:lang w:val="es-ES_tradnl"/>
        </w:rPr>
        <w:t xml:space="preserve"> </w:t>
      </w:r>
      <w:r>
        <w:rPr>
          <w:spacing w:val="-6"/>
          <w:sz w:val="16"/>
          <w:szCs w:val="16"/>
          <w:lang w:val="es-ES_tradnl"/>
        </w:rPr>
        <w:t>protecci</w:t>
      </w:r>
      <w:r>
        <w:rPr>
          <w:rFonts w:cs="Times New Roman"/>
          <w:spacing w:val="-6"/>
          <w:sz w:val="16"/>
          <w:szCs w:val="16"/>
          <w:lang w:val="es-ES_tradnl"/>
        </w:rPr>
        <w:t>ó</w:t>
      </w:r>
      <w:r>
        <w:rPr>
          <w:spacing w:val="-6"/>
          <w:sz w:val="16"/>
          <w:szCs w:val="16"/>
          <w:lang w:val="es-ES_tradnl"/>
        </w:rPr>
        <w:t>n,</w:t>
      </w:r>
      <w:r>
        <w:rPr>
          <w:spacing w:val="-6"/>
          <w:sz w:val="18"/>
          <w:szCs w:val="18"/>
          <w:lang w:val="es-ES_tradnl"/>
        </w:rPr>
        <w:t xml:space="preserve"> </w:t>
      </w:r>
      <w:r>
        <w:rPr>
          <w:spacing w:val="-6"/>
          <w:sz w:val="16"/>
          <w:szCs w:val="16"/>
          <w:lang w:val="es-ES_tradnl"/>
        </w:rPr>
        <w:t xml:space="preserve">socorro </w:t>
      </w:r>
      <w:r>
        <w:rPr>
          <w:sz w:val="16"/>
          <w:szCs w:val="16"/>
          <w:lang w:val="es-ES_tradnl"/>
        </w:rPr>
        <w:t>y extinci</w:t>
      </w:r>
      <w:r>
        <w:rPr>
          <w:rFonts w:cs="Times New Roman"/>
          <w:sz w:val="16"/>
          <w:szCs w:val="16"/>
          <w:lang w:val="es-ES_tradnl"/>
        </w:rPr>
        <w:t>ó</w:t>
      </w:r>
      <w:r>
        <w:rPr>
          <w:sz w:val="16"/>
          <w:szCs w:val="16"/>
          <w:lang w:val="es-ES_tradnl"/>
        </w:rPr>
        <w:t>n de incendios.</w:t>
      </w:r>
    </w:p>
    <w:p w14:paraId="4F67A8C1" w14:textId="77777777" w:rsidR="00591D54" w:rsidRDefault="00591D54">
      <w:pPr>
        <w:shd w:val="clear" w:color="auto" w:fill="FFFFFF"/>
        <w:tabs>
          <w:tab w:val="left" w:pos="662"/>
        </w:tabs>
        <w:spacing w:before="206" w:line="216" w:lineRule="exact"/>
        <w:ind w:left="283"/>
        <w:jc w:val="both"/>
      </w:pPr>
      <w:r>
        <w:rPr>
          <w:spacing w:val="-10"/>
          <w:sz w:val="16"/>
          <w:szCs w:val="16"/>
          <w:lang w:val="es-ES_tradnl"/>
        </w:rPr>
        <w:t>14.</w:t>
      </w:r>
      <w:r>
        <w:rPr>
          <w:sz w:val="18"/>
          <w:szCs w:val="18"/>
          <w:lang w:val="es-ES_tradnl"/>
        </w:rPr>
        <w:tab/>
      </w:r>
      <w:r>
        <w:rPr>
          <w:spacing w:val="-1"/>
          <w:sz w:val="16"/>
          <w:szCs w:val="16"/>
          <w:lang w:val="es-ES_tradnl"/>
        </w:rPr>
        <w:t>Gestionar</w:t>
      </w:r>
      <w:r>
        <w:rPr>
          <w:spacing w:val="-1"/>
          <w:sz w:val="18"/>
          <w:szCs w:val="18"/>
          <w:lang w:val="es-ES_tradnl"/>
        </w:rPr>
        <w:t xml:space="preserve"> </w:t>
      </w:r>
      <w:r>
        <w:rPr>
          <w:spacing w:val="-1"/>
          <w:sz w:val="16"/>
          <w:szCs w:val="16"/>
          <w:lang w:val="es-ES_tradnl"/>
        </w:rPr>
        <w:t>la</w:t>
      </w:r>
      <w:r>
        <w:rPr>
          <w:spacing w:val="-1"/>
          <w:sz w:val="18"/>
          <w:szCs w:val="18"/>
          <w:lang w:val="es-ES_tradnl"/>
        </w:rPr>
        <w:t xml:space="preserve"> </w:t>
      </w:r>
      <w:r>
        <w:rPr>
          <w:spacing w:val="-1"/>
          <w:sz w:val="16"/>
          <w:szCs w:val="16"/>
          <w:lang w:val="es-ES_tradnl"/>
        </w:rPr>
        <w:t>cooperaci</w:t>
      </w:r>
      <w:r>
        <w:rPr>
          <w:rFonts w:cs="Times New Roman"/>
          <w:spacing w:val="-1"/>
          <w:sz w:val="16"/>
          <w:szCs w:val="16"/>
          <w:lang w:val="es-ES_tradnl"/>
        </w:rPr>
        <w:t>ó</w:t>
      </w:r>
      <w:r>
        <w:rPr>
          <w:spacing w:val="-1"/>
          <w:sz w:val="16"/>
          <w:szCs w:val="16"/>
          <w:lang w:val="es-ES_tradnl"/>
        </w:rPr>
        <w:t>n</w:t>
      </w:r>
      <w:r>
        <w:rPr>
          <w:spacing w:val="-1"/>
          <w:sz w:val="18"/>
          <w:szCs w:val="18"/>
          <w:lang w:val="es-ES_tradnl"/>
        </w:rPr>
        <w:t xml:space="preserve"> </w:t>
      </w:r>
      <w:r>
        <w:rPr>
          <w:spacing w:val="-1"/>
          <w:sz w:val="16"/>
          <w:szCs w:val="16"/>
          <w:lang w:val="es-ES_tradnl"/>
        </w:rPr>
        <w:t>internacional</w:t>
      </w:r>
      <w:r>
        <w:rPr>
          <w:spacing w:val="-1"/>
          <w:sz w:val="18"/>
          <w:szCs w:val="18"/>
          <w:lang w:val="es-ES_tradnl"/>
        </w:rPr>
        <w:t xml:space="preserve"> </w:t>
      </w:r>
      <w:r>
        <w:rPr>
          <w:spacing w:val="-1"/>
          <w:sz w:val="16"/>
          <w:szCs w:val="16"/>
          <w:lang w:val="es-ES_tradnl"/>
        </w:rPr>
        <w:t>para</w:t>
      </w:r>
      <w:r>
        <w:rPr>
          <w:spacing w:val="-1"/>
          <w:sz w:val="18"/>
          <w:szCs w:val="18"/>
          <w:lang w:val="es-ES_tradnl"/>
        </w:rPr>
        <w:t xml:space="preserve"> </w:t>
      </w:r>
      <w:r>
        <w:rPr>
          <w:spacing w:val="-1"/>
          <w:sz w:val="16"/>
          <w:szCs w:val="16"/>
          <w:lang w:val="es-ES_tradnl"/>
        </w:rPr>
        <w:t>el </w:t>
      </w:r>
      <w:r>
        <w:rPr>
          <w:sz w:val="16"/>
          <w:szCs w:val="16"/>
          <w:lang w:val="es-ES_tradnl"/>
        </w:rPr>
        <w:t>cumplimiento de sus competencias.</w:t>
      </w:r>
    </w:p>
    <w:p w14:paraId="4F67A8C2" w14:textId="77777777" w:rsidR="00591D54" w:rsidRDefault="00591D54">
      <w:pPr>
        <w:shd w:val="clear" w:color="auto" w:fill="FFFFFF"/>
        <w:spacing w:before="206" w:line="216" w:lineRule="exact"/>
        <w:ind w:left="283"/>
        <w:jc w:val="both"/>
      </w:pPr>
      <w:r>
        <w:rPr>
          <w:spacing w:val="-7"/>
          <w:sz w:val="16"/>
          <w:szCs w:val="16"/>
          <w:lang w:val="es-ES_tradnl"/>
        </w:rPr>
        <w:t xml:space="preserve">En el </w:t>
      </w:r>
      <w:r>
        <w:rPr>
          <w:rFonts w:cs="Times New Roman"/>
          <w:spacing w:val="-7"/>
          <w:sz w:val="16"/>
          <w:szCs w:val="16"/>
          <w:lang w:val="es-ES_tradnl"/>
        </w:rPr>
        <w:t>á</w:t>
      </w:r>
      <w:r>
        <w:rPr>
          <w:spacing w:val="-7"/>
          <w:sz w:val="16"/>
          <w:szCs w:val="16"/>
          <w:lang w:val="es-ES_tradnl"/>
        </w:rPr>
        <w:t xml:space="preserve">mbito de sus competencias y territorio, y en uso de sus </w:t>
      </w:r>
      <w:r>
        <w:rPr>
          <w:spacing w:val="-8"/>
          <w:sz w:val="16"/>
          <w:szCs w:val="16"/>
          <w:lang w:val="es-ES_tradnl"/>
        </w:rPr>
        <w:t>facultades, expedir</w:t>
      </w:r>
      <w:r>
        <w:rPr>
          <w:rFonts w:cs="Times New Roman"/>
          <w:spacing w:val="-8"/>
          <w:sz w:val="16"/>
          <w:szCs w:val="16"/>
          <w:lang w:val="es-ES_tradnl"/>
        </w:rPr>
        <w:t>á</w:t>
      </w:r>
      <w:r>
        <w:rPr>
          <w:spacing w:val="-8"/>
          <w:sz w:val="16"/>
          <w:szCs w:val="16"/>
          <w:lang w:val="es-ES_tradnl"/>
        </w:rPr>
        <w:t>n ordenanzas cantonales.</w:t>
      </w:r>
    </w:p>
    <w:p w14:paraId="4F67A8C3" w14:textId="77777777" w:rsidR="00591D54" w:rsidRDefault="00591D54">
      <w:pPr>
        <w:shd w:val="clear" w:color="auto" w:fill="FFFFFF"/>
        <w:spacing w:before="202" w:line="216" w:lineRule="exact"/>
        <w:jc w:val="both"/>
      </w:pPr>
      <w:r>
        <w:rPr>
          <w:spacing w:val="-11"/>
          <w:sz w:val="18"/>
          <w:szCs w:val="18"/>
          <w:lang w:val="es-ES_tradnl"/>
        </w:rPr>
        <w:t>Seg</w:t>
      </w:r>
      <w:r>
        <w:rPr>
          <w:rFonts w:cs="Times New Roman"/>
          <w:spacing w:val="-11"/>
          <w:sz w:val="18"/>
          <w:szCs w:val="18"/>
          <w:lang w:val="es-ES_tradnl"/>
        </w:rPr>
        <w:t>ú</w:t>
      </w:r>
      <w:r>
        <w:rPr>
          <w:spacing w:val="-11"/>
          <w:sz w:val="18"/>
          <w:szCs w:val="18"/>
          <w:lang w:val="es-ES_tradnl"/>
        </w:rPr>
        <w:t xml:space="preserve">n lo expuesto, si bien los gobiernos municipales poseen </w:t>
      </w:r>
      <w:r>
        <w:rPr>
          <w:spacing w:val="-7"/>
          <w:sz w:val="18"/>
          <w:szCs w:val="18"/>
          <w:lang w:val="es-ES_tradnl"/>
        </w:rPr>
        <w:t xml:space="preserve">la facultad de dictar ordenanzas que permitan viabilizar el </w:t>
      </w:r>
      <w:r>
        <w:rPr>
          <w:spacing w:val="-5"/>
          <w:sz w:val="18"/>
          <w:szCs w:val="18"/>
          <w:lang w:val="es-ES_tradnl"/>
        </w:rPr>
        <w:t>desarrollo de su circunscripci</w:t>
      </w:r>
      <w:r>
        <w:rPr>
          <w:rFonts w:cs="Times New Roman"/>
          <w:spacing w:val="-5"/>
          <w:sz w:val="18"/>
          <w:szCs w:val="18"/>
          <w:lang w:val="es-ES_tradnl"/>
        </w:rPr>
        <w:t>ó</w:t>
      </w:r>
      <w:r>
        <w:rPr>
          <w:spacing w:val="-5"/>
          <w:sz w:val="18"/>
          <w:szCs w:val="18"/>
          <w:lang w:val="es-ES_tradnl"/>
        </w:rPr>
        <w:t xml:space="preserve">n territorial, estas deben </w:t>
      </w:r>
      <w:r>
        <w:rPr>
          <w:spacing w:val="-8"/>
          <w:sz w:val="18"/>
          <w:szCs w:val="18"/>
          <w:lang w:val="es-ES_tradnl"/>
        </w:rPr>
        <w:t>enmarcarse dentro de lo permitido por la Constituci</w:t>
      </w:r>
      <w:r>
        <w:rPr>
          <w:rFonts w:cs="Times New Roman"/>
          <w:spacing w:val="-8"/>
          <w:sz w:val="18"/>
          <w:szCs w:val="18"/>
          <w:lang w:val="es-ES_tradnl"/>
        </w:rPr>
        <w:t>ó</w:t>
      </w:r>
      <w:r>
        <w:rPr>
          <w:spacing w:val="-8"/>
          <w:sz w:val="18"/>
          <w:szCs w:val="18"/>
          <w:lang w:val="es-ES_tradnl"/>
        </w:rPr>
        <w:t xml:space="preserve">n de la </w:t>
      </w:r>
      <w:r>
        <w:rPr>
          <w:spacing w:val="-9"/>
          <w:sz w:val="18"/>
          <w:szCs w:val="18"/>
          <w:lang w:val="es-ES_tradnl"/>
        </w:rPr>
        <w:t>Rep</w:t>
      </w:r>
      <w:r>
        <w:rPr>
          <w:rFonts w:cs="Times New Roman"/>
          <w:spacing w:val="-9"/>
          <w:sz w:val="18"/>
          <w:szCs w:val="18"/>
          <w:lang w:val="es-ES_tradnl"/>
        </w:rPr>
        <w:t>ú</w:t>
      </w:r>
      <w:r>
        <w:rPr>
          <w:spacing w:val="-9"/>
          <w:sz w:val="18"/>
          <w:szCs w:val="18"/>
          <w:lang w:val="es-ES_tradnl"/>
        </w:rPr>
        <w:t>blica, sujet</w:t>
      </w:r>
      <w:r>
        <w:rPr>
          <w:rFonts w:cs="Times New Roman"/>
          <w:spacing w:val="-9"/>
          <w:sz w:val="18"/>
          <w:szCs w:val="18"/>
          <w:lang w:val="es-ES_tradnl"/>
        </w:rPr>
        <w:t>á</w:t>
      </w:r>
      <w:r>
        <w:rPr>
          <w:spacing w:val="-9"/>
          <w:sz w:val="18"/>
          <w:szCs w:val="18"/>
          <w:lang w:val="es-ES_tradnl"/>
        </w:rPr>
        <w:t>ndose tambi</w:t>
      </w:r>
      <w:r>
        <w:rPr>
          <w:rFonts w:cs="Times New Roman"/>
          <w:spacing w:val="-9"/>
          <w:sz w:val="18"/>
          <w:szCs w:val="18"/>
          <w:lang w:val="es-ES_tradnl"/>
        </w:rPr>
        <w:t>é</w:t>
      </w:r>
      <w:r>
        <w:rPr>
          <w:spacing w:val="-9"/>
          <w:sz w:val="18"/>
          <w:szCs w:val="18"/>
          <w:lang w:val="es-ES_tradnl"/>
        </w:rPr>
        <w:t>n a lo dispuesto en el art</w:t>
      </w:r>
      <w:r>
        <w:rPr>
          <w:rFonts w:cs="Times New Roman"/>
          <w:spacing w:val="-9"/>
          <w:sz w:val="18"/>
          <w:szCs w:val="18"/>
          <w:lang w:val="es-ES_tradnl"/>
        </w:rPr>
        <w:t>í</w:t>
      </w:r>
      <w:r>
        <w:rPr>
          <w:spacing w:val="-9"/>
          <w:sz w:val="18"/>
          <w:szCs w:val="18"/>
          <w:lang w:val="es-ES_tradnl"/>
        </w:rPr>
        <w:t xml:space="preserve">culo </w:t>
      </w:r>
      <w:r>
        <w:rPr>
          <w:spacing w:val="-10"/>
          <w:sz w:val="18"/>
          <w:szCs w:val="18"/>
          <w:lang w:val="es-ES_tradnl"/>
        </w:rPr>
        <w:t>226 ib</w:t>
      </w:r>
      <w:r>
        <w:rPr>
          <w:rFonts w:cs="Times New Roman"/>
          <w:spacing w:val="-10"/>
          <w:sz w:val="18"/>
          <w:szCs w:val="18"/>
          <w:lang w:val="es-ES_tradnl"/>
        </w:rPr>
        <w:t>í</w:t>
      </w:r>
      <w:r>
        <w:rPr>
          <w:spacing w:val="-10"/>
          <w:sz w:val="18"/>
          <w:szCs w:val="18"/>
          <w:lang w:val="es-ES_tradnl"/>
        </w:rPr>
        <w:t xml:space="preserve">dem, que manifiesta que las instituciones del Estado, </w:t>
      </w:r>
      <w:r>
        <w:rPr>
          <w:spacing w:val="-9"/>
          <w:sz w:val="18"/>
          <w:szCs w:val="18"/>
          <w:lang w:val="es-ES_tradnl"/>
        </w:rPr>
        <w:t xml:space="preserve">sus organismos, dependencias, las servidoras o servidores </w:t>
      </w:r>
      <w:r>
        <w:rPr>
          <w:spacing w:val="-11"/>
          <w:sz w:val="18"/>
          <w:szCs w:val="18"/>
          <w:lang w:val="es-ES_tradnl"/>
        </w:rPr>
        <w:t>p</w:t>
      </w:r>
      <w:r>
        <w:rPr>
          <w:rFonts w:cs="Times New Roman"/>
          <w:spacing w:val="-11"/>
          <w:sz w:val="18"/>
          <w:szCs w:val="18"/>
          <w:lang w:val="es-ES_tradnl"/>
        </w:rPr>
        <w:t>ú</w:t>
      </w:r>
      <w:r>
        <w:rPr>
          <w:spacing w:val="-11"/>
          <w:sz w:val="18"/>
          <w:szCs w:val="18"/>
          <w:lang w:val="es-ES_tradnl"/>
        </w:rPr>
        <w:t>blicos y las personas que act</w:t>
      </w:r>
      <w:r>
        <w:rPr>
          <w:rFonts w:cs="Times New Roman"/>
          <w:spacing w:val="-11"/>
          <w:sz w:val="18"/>
          <w:szCs w:val="18"/>
          <w:lang w:val="es-ES_tradnl"/>
        </w:rPr>
        <w:t>ú</w:t>
      </w:r>
      <w:r>
        <w:rPr>
          <w:spacing w:val="-11"/>
          <w:sz w:val="18"/>
          <w:szCs w:val="18"/>
          <w:lang w:val="es-ES_tradnl"/>
        </w:rPr>
        <w:t xml:space="preserve">en en virtud de una potestad </w:t>
      </w:r>
      <w:r>
        <w:rPr>
          <w:spacing w:val="-9"/>
          <w:sz w:val="18"/>
          <w:szCs w:val="18"/>
          <w:lang w:val="es-ES_tradnl"/>
        </w:rPr>
        <w:t>estatal ejercer</w:t>
      </w:r>
      <w:r>
        <w:rPr>
          <w:rFonts w:cs="Times New Roman"/>
          <w:spacing w:val="-9"/>
          <w:sz w:val="18"/>
          <w:szCs w:val="18"/>
          <w:lang w:val="es-ES_tradnl"/>
        </w:rPr>
        <w:t>á</w:t>
      </w:r>
      <w:r>
        <w:rPr>
          <w:spacing w:val="-9"/>
          <w:sz w:val="18"/>
          <w:szCs w:val="18"/>
          <w:lang w:val="es-ES_tradnl"/>
        </w:rPr>
        <w:t xml:space="preserve">n solamente las competencias y facultades </w:t>
      </w:r>
      <w:r>
        <w:rPr>
          <w:spacing w:val="-5"/>
          <w:sz w:val="18"/>
          <w:szCs w:val="18"/>
          <w:lang w:val="es-ES_tradnl"/>
        </w:rPr>
        <w:t>que les sean atribuidas en la Constituci</w:t>
      </w:r>
      <w:r>
        <w:rPr>
          <w:rFonts w:cs="Times New Roman"/>
          <w:spacing w:val="-5"/>
          <w:sz w:val="18"/>
          <w:szCs w:val="18"/>
          <w:lang w:val="es-ES_tradnl"/>
        </w:rPr>
        <w:t>ó</w:t>
      </w:r>
      <w:r>
        <w:rPr>
          <w:spacing w:val="-5"/>
          <w:sz w:val="18"/>
          <w:szCs w:val="18"/>
          <w:lang w:val="es-ES_tradnl"/>
        </w:rPr>
        <w:t>n y la ley; raz</w:t>
      </w:r>
      <w:r>
        <w:rPr>
          <w:rFonts w:cs="Times New Roman"/>
          <w:spacing w:val="-5"/>
          <w:sz w:val="18"/>
          <w:szCs w:val="18"/>
          <w:lang w:val="es-ES_tradnl"/>
        </w:rPr>
        <w:t>ó</w:t>
      </w:r>
      <w:r>
        <w:rPr>
          <w:spacing w:val="-5"/>
          <w:sz w:val="18"/>
          <w:szCs w:val="18"/>
          <w:lang w:val="es-ES_tradnl"/>
        </w:rPr>
        <w:t xml:space="preserve">n </w:t>
      </w:r>
      <w:r>
        <w:rPr>
          <w:spacing w:val="-7"/>
          <w:sz w:val="18"/>
          <w:szCs w:val="18"/>
          <w:lang w:val="es-ES_tradnl"/>
        </w:rPr>
        <w:t>por la cual, no pueden dichos organismos o servidores p</w:t>
      </w:r>
      <w:r>
        <w:rPr>
          <w:rFonts w:cs="Times New Roman"/>
          <w:spacing w:val="-7"/>
          <w:sz w:val="18"/>
          <w:szCs w:val="18"/>
          <w:lang w:val="es-ES_tradnl"/>
        </w:rPr>
        <w:t>ú</w:t>
      </w:r>
      <w:r>
        <w:rPr>
          <w:spacing w:val="-7"/>
          <w:sz w:val="18"/>
          <w:szCs w:val="18"/>
          <w:lang w:val="es-ES_tradnl"/>
        </w:rPr>
        <w:t>blicos extralimitar sus atribuciones en el desempe</w:t>
      </w:r>
      <w:r>
        <w:rPr>
          <w:rFonts w:cs="Times New Roman"/>
          <w:spacing w:val="-7"/>
          <w:sz w:val="18"/>
          <w:szCs w:val="18"/>
          <w:lang w:val="es-ES_tradnl"/>
        </w:rPr>
        <w:t>ñ</w:t>
      </w:r>
      <w:r>
        <w:rPr>
          <w:spacing w:val="-7"/>
          <w:sz w:val="18"/>
          <w:szCs w:val="18"/>
          <w:lang w:val="es-ES_tradnl"/>
        </w:rPr>
        <w:t xml:space="preserve">o de </w:t>
      </w:r>
      <w:r>
        <w:rPr>
          <w:spacing w:val="-8"/>
          <w:sz w:val="18"/>
          <w:szCs w:val="18"/>
          <w:lang w:val="es-ES_tradnl"/>
        </w:rPr>
        <w:t xml:space="preserve">sus funciones, pues, aun, cuando se busque el desarrollo </w:t>
      </w:r>
      <w:r>
        <w:rPr>
          <w:spacing w:val="-4"/>
          <w:sz w:val="18"/>
          <w:szCs w:val="18"/>
          <w:lang w:val="es-ES_tradnl"/>
        </w:rPr>
        <w:t xml:space="preserve">municipal por cualquier medio, este debe respetar los </w:t>
      </w:r>
      <w:r>
        <w:rPr>
          <w:spacing w:val="-6"/>
          <w:sz w:val="18"/>
          <w:szCs w:val="18"/>
          <w:lang w:val="es-ES_tradnl"/>
        </w:rPr>
        <w:t>l</w:t>
      </w:r>
      <w:r>
        <w:rPr>
          <w:rFonts w:cs="Times New Roman"/>
          <w:spacing w:val="-6"/>
          <w:sz w:val="18"/>
          <w:szCs w:val="18"/>
          <w:lang w:val="es-ES_tradnl"/>
        </w:rPr>
        <w:t>í</w:t>
      </w:r>
      <w:r>
        <w:rPr>
          <w:spacing w:val="-6"/>
          <w:sz w:val="18"/>
          <w:szCs w:val="18"/>
          <w:lang w:val="es-ES_tradnl"/>
        </w:rPr>
        <w:t>mites impuestos por la Norma Constitucional.</w:t>
      </w:r>
    </w:p>
    <w:p w14:paraId="4F67A8C4" w14:textId="77777777" w:rsidR="00591D54" w:rsidRDefault="00591D54">
      <w:pPr>
        <w:shd w:val="clear" w:color="auto" w:fill="FFFFFF"/>
        <w:spacing w:before="197" w:line="216" w:lineRule="exact"/>
        <w:jc w:val="both"/>
      </w:pPr>
      <w:r>
        <w:rPr>
          <w:spacing w:val="-3"/>
          <w:sz w:val="18"/>
          <w:szCs w:val="18"/>
          <w:lang w:val="es-ES_tradnl"/>
        </w:rPr>
        <w:t xml:space="preserve">En este sentido, la ley que regula las competencias de </w:t>
      </w:r>
      <w:r>
        <w:rPr>
          <w:spacing w:val="-6"/>
          <w:sz w:val="18"/>
          <w:szCs w:val="18"/>
          <w:lang w:val="es-ES_tradnl"/>
        </w:rPr>
        <w:t>los municipios es el C</w:t>
      </w:r>
      <w:r>
        <w:rPr>
          <w:rFonts w:cs="Times New Roman"/>
          <w:spacing w:val="-6"/>
          <w:sz w:val="18"/>
          <w:szCs w:val="18"/>
          <w:lang w:val="es-ES_tradnl"/>
        </w:rPr>
        <w:t>ó</w:t>
      </w:r>
      <w:r>
        <w:rPr>
          <w:spacing w:val="-6"/>
          <w:sz w:val="18"/>
          <w:szCs w:val="18"/>
          <w:lang w:val="es-ES_tradnl"/>
        </w:rPr>
        <w:t>digo Org</w:t>
      </w:r>
      <w:r>
        <w:rPr>
          <w:rFonts w:cs="Times New Roman"/>
          <w:spacing w:val="-6"/>
          <w:sz w:val="18"/>
          <w:szCs w:val="18"/>
          <w:lang w:val="es-ES_tradnl"/>
        </w:rPr>
        <w:t>á</w:t>
      </w:r>
      <w:r>
        <w:rPr>
          <w:spacing w:val="-6"/>
          <w:sz w:val="18"/>
          <w:szCs w:val="18"/>
          <w:lang w:val="es-ES_tradnl"/>
        </w:rPr>
        <w:t>nico de Organizaci</w:t>
      </w:r>
      <w:r>
        <w:rPr>
          <w:rFonts w:cs="Times New Roman"/>
          <w:spacing w:val="-6"/>
          <w:sz w:val="18"/>
          <w:szCs w:val="18"/>
          <w:lang w:val="es-ES_tradnl"/>
        </w:rPr>
        <w:t>ó</w:t>
      </w:r>
      <w:r>
        <w:rPr>
          <w:spacing w:val="-6"/>
          <w:sz w:val="18"/>
          <w:szCs w:val="18"/>
          <w:lang w:val="es-ES_tradnl"/>
        </w:rPr>
        <w:t xml:space="preserve">n </w:t>
      </w:r>
      <w:r>
        <w:rPr>
          <w:spacing w:val="-3"/>
          <w:sz w:val="18"/>
          <w:szCs w:val="18"/>
          <w:lang w:val="es-ES_tradnl"/>
        </w:rPr>
        <w:t>Territorial, Autonom</w:t>
      </w:r>
      <w:r>
        <w:rPr>
          <w:rFonts w:cs="Times New Roman"/>
          <w:spacing w:val="-3"/>
          <w:sz w:val="18"/>
          <w:szCs w:val="18"/>
          <w:lang w:val="es-ES_tradnl"/>
        </w:rPr>
        <w:t>í</w:t>
      </w:r>
      <w:r>
        <w:rPr>
          <w:spacing w:val="-3"/>
          <w:sz w:val="18"/>
          <w:szCs w:val="18"/>
          <w:lang w:val="es-ES_tradnl"/>
        </w:rPr>
        <w:t>a y Descentralizaci</w:t>
      </w:r>
      <w:r>
        <w:rPr>
          <w:rFonts w:cs="Times New Roman"/>
          <w:spacing w:val="-3"/>
          <w:sz w:val="18"/>
          <w:szCs w:val="18"/>
          <w:lang w:val="es-ES_tradnl"/>
        </w:rPr>
        <w:t>ó</w:t>
      </w:r>
      <w:r>
        <w:rPr>
          <w:spacing w:val="-3"/>
          <w:sz w:val="18"/>
          <w:szCs w:val="18"/>
          <w:lang w:val="es-ES_tradnl"/>
        </w:rPr>
        <w:t xml:space="preserve">n (COOTAD), </w:t>
      </w:r>
      <w:r>
        <w:rPr>
          <w:spacing w:val="-8"/>
          <w:sz w:val="18"/>
          <w:szCs w:val="18"/>
          <w:lang w:val="es-ES_tradnl"/>
        </w:rPr>
        <w:t>que de acuerdo con el art</w:t>
      </w:r>
      <w:r>
        <w:rPr>
          <w:rFonts w:cs="Times New Roman"/>
          <w:spacing w:val="-8"/>
          <w:sz w:val="18"/>
          <w:szCs w:val="18"/>
          <w:lang w:val="es-ES_tradnl"/>
        </w:rPr>
        <w:t>í</w:t>
      </w:r>
      <w:r>
        <w:rPr>
          <w:spacing w:val="-8"/>
          <w:sz w:val="18"/>
          <w:szCs w:val="18"/>
          <w:lang w:val="es-ES_tradnl"/>
        </w:rPr>
        <w:t>culo 55 de esta disposici</w:t>
      </w:r>
      <w:r>
        <w:rPr>
          <w:rFonts w:cs="Times New Roman"/>
          <w:spacing w:val="-8"/>
          <w:sz w:val="18"/>
          <w:szCs w:val="18"/>
          <w:lang w:val="es-ES_tradnl"/>
        </w:rPr>
        <w:t>ó</w:t>
      </w:r>
      <w:r>
        <w:rPr>
          <w:spacing w:val="-8"/>
          <w:sz w:val="18"/>
          <w:szCs w:val="18"/>
          <w:lang w:val="es-ES_tradnl"/>
        </w:rPr>
        <w:t xml:space="preserve">n legal, </w:t>
      </w:r>
      <w:r>
        <w:rPr>
          <w:spacing w:val="-7"/>
          <w:sz w:val="18"/>
          <w:szCs w:val="18"/>
          <w:lang w:val="es-ES_tradnl"/>
        </w:rPr>
        <w:t>los gobiernos aut</w:t>
      </w:r>
      <w:r>
        <w:rPr>
          <w:rFonts w:cs="Times New Roman"/>
          <w:spacing w:val="-7"/>
          <w:sz w:val="18"/>
          <w:szCs w:val="18"/>
          <w:lang w:val="es-ES_tradnl"/>
        </w:rPr>
        <w:t>ó</w:t>
      </w:r>
      <w:r>
        <w:rPr>
          <w:spacing w:val="-7"/>
          <w:sz w:val="18"/>
          <w:szCs w:val="18"/>
          <w:lang w:val="es-ES_tradnl"/>
        </w:rPr>
        <w:t xml:space="preserve">nomos descentralizados municipales </w:t>
      </w:r>
      <w:r>
        <w:rPr>
          <w:spacing w:val="-4"/>
          <w:sz w:val="18"/>
          <w:szCs w:val="18"/>
          <w:lang w:val="es-ES_tradnl"/>
        </w:rPr>
        <w:t xml:space="preserve">cuentan con la facultad de ejercer el control sobre el uso </w:t>
      </w:r>
      <w:r>
        <w:rPr>
          <w:spacing w:val="-5"/>
          <w:sz w:val="18"/>
          <w:szCs w:val="18"/>
          <w:lang w:val="es-ES_tradnl"/>
        </w:rPr>
        <w:t>y ocupaci</w:t>
      </w:r>
      <w:r>
        <w:rPr>
          <w:rFonts w:cs="Times New Roman"/>
          <w:spacing w:val="-5"/>
          <w:sz w:val="18"/>
          <w:szCs w:val="18"/>
          <w:lang w:val="es-ES_tradnl"/>
        </w:rPr>
        <w:t>ó</w:t>
      </w:r>
      <w:r>
        <w:rPr>
          <w:spacing w:val="-5"/>
          <w:sz w:val="18"/>
          <w:szCs w:val="18"/>
          <w:lang w:val="es-ES_tradnl"/>
        </w:rPr>
        <w:t>n del suelo en el cant</w:t>
      </w:r>
      <w:r>
        <w:rPr>
          <w:rFonts w:cs="Times New Roman"/>
          <w:spacing w:val="-5"/>
          <w:sz w:val="18"/>
          <w:szCs w:val="18"/>
          <w:lang w:val="es-ES_tradnl"/>
        </w:rPr>
        <w:t>ó</w:t>
      </w:r>
      <w:r>
        <w:rPr>
          <w:spacing w:val="-5"/>
          <w:sz w:val="18"/>
          <w:szCs w:val="18"/>
          <w:lang w:val="es-ES_tradnl"/>
        </w:rPr>
        <w:t xml:space="preserve">n, motivo por el cual la </w:t>
      </w:r>
      <w:r>
        <w:rPr>
          <w:spacing w:val="-8"/>
          <w:sz w:val="18"/>
          <w:szCs w:val="18"/>
          <w:lang w:val="es-ES_tradnl"/>
        </w:rPr>
        <w:t xml:space="preserve">misma norma regula el pago de tasas y contribuciones, en </w:t>
      </w:r>
      <w:r>
        <w:rPr>
          <w:sz w:val="18"/>
          <w:szCs w:val="18"/>
          <w:lang w:val="es-ES_tradnl"/>
        </w:rPr>
        <w:t>relaci</w:t>
      </w:r>
      <w:r>
        <w:rPr>
          <w:rFonts w:cs="Times New Roman"/>
          <w:sz w:val="18"/>
          <w:szCs w:val="18"/>
          <w:lang w:val="es-ES_tradnl"/>
        </w:rPr>
        <w:t>ó</w:t>
      </w:r>
      <w:r>
        <w:rPr>
          <w:sz w:val="18"/>
          <w:szCs w:val="18"/>
          <w:lang w:val="es-ES_tradnl"/>
        </w:rPr>
        <w:t>n a su ocupaci</w:t>
      </w:r>
      <w:r>
        <w:rPr>
          <w:rFonts w:cs="Times New Roman"/>
          <w:sz w:val="18"/>
          <w:szCs w:val="18"/>
          <w:lang w:val="es-ES_tradnl"/>
        </w:rPr>
        <w:t>ó</w:t>
      </w:r>
      <w:r>
        <w:rPr>
          <w:sz w:val="18"/>
          <w:szCs w:val="18"/>
          <w:lang w:val="es-ES_tradnl"/>
        </w:rPr>
        <w:t>n.</w:t>
      </w:r>
    </w:p>
    <w:p w14:paraId="4F67A8C5" w14:textId="77777777" w:rsidR="00591D54" w:rsidRDefault="00591D54">
      <w:pPr>
        <w:shd w:val="clear" w:color="auto" w:fill="FFFFFF"/>
        <w:spacing w:before="197" w:line="216" w:lineRule="exact"/>
        <w:jc w:val="both"/>
      </w:pPr>
      <w:r>
        <w:rPr>
          <w:spacing w:val="-4"/>
          <w:sz w:val="18"/>
          <w:szCs w:val="18"/>
          <w:lang w:val="es-ES_tradnl"/>
        </w:rPr>
        <w:t>De all</w:t>
      </w:r>
      <w:r>
        <w:rPr>
          <w:rFonts w:cs="Times New Roman"/>
          <w:spacing w:val="-4"/>
          <w:sz w:val="18"/>
          <w:szCs w:val="18"/>
          <w:lang w:val="es-ES_tradnl"/>
        </w:rPr>
        <w:t>í</w:t>
      </w:r>
      <w:r>
        <w:rPr>
          <w:spacing w:val="-4"/>
          <w:sz w:val="18"/>
          <w:szCs w:val="18"/>
          <w:lang w:val="es-ES_tradnl"/>
        </w:rPr>
        <w:t xml:space="preserve"> que existen tasas dirigidas al uso del espacio </w:t>
      </w:r>
      <w:r>
        <w:rPr>
          <w:sz w:val="18"/>
          <w:szCs w:val="18"/>
          <w:lang w:val="es-ES_tradnl"/>
        </w:rPr>
        <w:t xml:space="preserve">exclusivo controlado por los municipios, este es el </w:t>
      </w:r>
      <w:r>
        <w:rPr>
          <w:spacing w:val="-5"/>
          <w:sz w:val="18"/>
          <w:szCs w:val="18"/>
          <w:lang w:val="es-ES_tradnl"/>
        </w:rPr>
        <w:t>caso de la establecida en el art</w:t>
      </w:r>
      <w:r>
        <w:rPr>
          <w:rFonts w:cs="Times New Roman"/>
          <w:spacing w:val="-5"/>
          <w:sz w:val="18"/>
          <w:szCs w:val="18"/>
          <w:lang w:val="es-ES_tradnl"/>
        </w:rPr>
        <w:t>í</w:t>
      </w:r>
      <w:r>
        <w:rPr>
          <w:spacing w:val="-5"/>
          <w:sz w:val="18"/>
          <w:szCs w:val="18"/>
          <w:lang w:val="es-ES_tradnl"/>
        </w:rPr>
        <w:t xml:space="preserve">culo 567 del COOTAD, </w:t>
      </w:r>
      <w:r>
        <w:rPr>
          <w:spacing w:val="-8"/>
          <w:sz w:val="18"/>
          <w:szCs w:val="18"/>
          <w:lang w:val="es-ES_tradnl"/>
        </w:rPr>
        <w:t xml:space="preserve">donde se establece que: </w:t>
      </w:r>
      <w:r>
        <w:rPr>
          <w:rFonts w:cs="Times New Roman"/>
          <w:spacing w:val="-8"/>
          <w:sz w:val="18"/>
          <w:szCs w:val="18"/>
          <w:lang w:val="es-ES_tradnl"/>
        </w:rPr>
        <w:t>“</w:t>
      </w:r>
      <w:r>
        <w:rPr>
          <w:spacing w:val="-8"/>
          <w:sz w:val="18"/>
          <w:szCs w:val="18"/>
          <w:lang w:val="es-ES_tradnl"/>
        </w:rPr>
        <w:t>[</w:t>
      </w:r>
      <w:r>
        <w:rPr>
          <w:rFonts w:cs="Times New Roman"/>
          <w:spacing w:val="-8"/>
          <w:sz w:val="18"/>
          <w:szCs w:val="18"/>
          <w:lang w:val="es-ES_tradnl"/>
        </w:rPr>
        <w:t>…</w:t>
      </w:r>
      <w:r>
        <w:rPr>
          <w:spacing w:val="-8"/>
          <w:sz w:val="18"/>
          <w:szCs w:val="18"/>
          <w:lang w:val="es-ES_tradnl"/>
        </w:rPr>
        <w:t xml:space="preserve">] Las empresas privadas que </w:t>
      </w:r>
      <w:r>
        <w:rPr>
          <w:spacing w:val="-4"/>
          <w:sz w:val="18"/>
          <w:szCs w:val="18"/>
          <w:lang w:val="es-ES_tradnl"/>
        </w:rPr>
        <w:t>utilicen u ocupen el espacio p</w:t>
      </w:r>
      <w:r>
        <w:rPr>
          <w:rFonts w:cs="Times New Roman"/>
          <w:spacing w:val="-4"/>
          <w:sz w:val="18"/>
          <w:szCs w:val="18"/>
          <w:lang w:val="es-ES_tradnl"/>
        </w:rPr>
        <w:t>ú</w:t>
      </w:r>
      <w:r>
        <w:rPr>
          <w:spacing w:val="-4"/>
          <w:sz w:val="18"/>
          <w:szCs w:val="18"/>
          <w:lang w:val="es-ES_tradnl"/>
        </w:rPr>
        <w:t>blico o la v</w:t>
      </w:r>
      <w:r>
        <w:rPr>
          <w:rFonts w:cs="Times New Roman"/>
          <w:spacing w:val="-4"/>
          <w:sz w:val="18"/>
          <w:szCs w:val="18"/>
          <w:lang w:val="es-ES_tradnl"/>
        </w:rPr>
        <w:t>í</w:t>
      </w:r>
      <w:r>
        <w:rPr>
          <w:spacing w:val="-4"/>
          <w:sz w:val="18"/>
          <w:szCs w:val="18"/>
          <w:lang w:val="es-ES_tradnl"/>
        </w:rPr>
        <w:t>a p</w:t>
      </w:r>
      <w:r>
        <w:rPr>
          <w:rFonts w:cs="Times New Roman"/>
          <w:spacing w:val="-4"/>
          <w:sz w:val="18"/>
          <w:szCs w:val="18"/>
          <w:lang w:val="es-ES_tradnl"/>
        </w:rPr>
        <w:t>ú</w:t>
      </w:r>
      <w:r>
        <w:rPr>
          <w:spacing w:val="-4"/>
          <w:sz w:val="18"/>
          <w:szCs w:val="18"/>
          <w:lang w:val="es-ES_tradnl"/>
        </w:rPr>
        <w:t xml:space="preserve">blica y el </w:t>
      </w:r>
      <w:r>
        <w:rPr>
          <w:spacing w:val="-3"/>
          <w:sz w:val="18"/>
          <w:szCs w:val="18"/>
          <w:lang w:val="es-ES_tradnl"/>
        </w:rPr>
        <w:t>espacio a</w:t>
      </w:r>
      <w:r>
        <w:rPr>
          <w:rFonts w:cs="Times New Roman"/>
          <w:spacing w:val="-3"/>
          <w:sz w:val="18"/>
          <w:szCs w:val="18"/>
          <w:lang w:val="es-ES_tradnl"/>
        </w:rPr>
        <w:t>é</w:t>
      </w:r>
      <w:r>
        <w:rPr>
          <w:spacing w:val="-3"/>
          <w:sz w:val="18"/>
          <w:szCs w:val="18"/>
          <w:lang w:val="es-ES_tradnl"/>
        </w:rPr>
        <w:t xml:space="preserve">reo estatal, regional, provincial o municipal, </w:t>
      </w:r>
      <w:r>
        <w:rPr>
          <w:spacing w:val="-8"/>
          <w:sz w:val="18"/>
          <w:szCs w:val="18"/>
          <w:lang w:val="es-ES_tradnl"/>
        </w:rPr>
        <w:t>para colocaci</w:t>
      </w:r>
      <w:r>
        <w:rPr>
          <w:rFonts w:cs="Times New Roman"/>
          <w:spacing w:val="-8"/>
          <w:sz w:val="18"/>
          <w:szCs w:val="18"/>
          <w:lang w:val="es-ES_tradnl"/>
        </w:rPr>
        <w:t>ó</w:t>
      </w:r>
      <w:r>
        <w:rPr>
          <w:spacing w:val="-8"/>
          <w:sz w:val="18"/>
          <w:szCs w:val="18"/>
          <w:lang w:val="es-ES_tradnl"/>
        </w:rPr>
        <w:t xml:space="preserve">n de estructuras, postes y tendido de redes, </w:t>
      </w:r>
      <w:r>
        <w:rPr>
          <w:spacing w:val="-7"/>
          <w:sz w:val="18"/>
          <w:szCs w:val="18"/>
          <w:lang w:val="es-ES_tradnl"/>
        </w:rPr>
        <w:t>pagar</w:t>
      </w:r>
      <w:r>
        <w:rPr>
          <w:rFonts w:cs="Times New Roman"/>
          <w:spacing w:val="-7"/>
          <w:sz w:val="18"/>
          <w:szCs w:val="18"/>
          <w:lang w:val="es-ES_tradnl"/>
        </w:rPr>
        <w:t>á</w:t>
      </w:r>
      <w:r>
        <w:rPr>
          <w:spacing w:val="-7"/>
          <w:sz w:val="18"/>
          <w:szCs w:val="18"/>
          <w:lang w:val="es-ES_tradnl"/>
        </w:rPr>
        <w:t>n al gobierno aut</w:t>
      </w:r>
      <w:r>
        <w:rPr>
          <w:rFonts w:cs="Times New Roman"/>
          <w:spacing w:val="-7"/>
          <w:sz w:val="18"/>
          <w:szCs w:val="18"/>
          <w:lang w:val="es-ES_tradnl"/>
        </w:rPr>
        <w:t>ó</w:t>
      </w:r>
      <w:r>
        <w:rPr>
          <w:spacing w:val="-7"/>
          <w:sz w:val="18"/>
          <w:szCs w:val="18"/>
          <w:lang w:val="es-ES_tradnl"/>
        </w:rPr>
        <w:t>nomo descentralizado respectivo la tasa o contraprestaci</w:t>
      </w:r>
      <w:r>
        <w:rPr>
          <w:rFonts w:cs="Times New Roman"/>
          <w:spacing w:val="-7"/>
          <w:sz w:val="18"/>
          <w:szCs w:val="18"/>
          <w:lang w:val="es-ES_tradnl"/>
        </w:rPr>
        <w:t>ó</w:t>
      </w:r>
      <w:r>
        <w:rPr>
          <w:spacing w:val="-7"/>
          <w:sz w:val="18"/>
          <w:szCs w:val="18"/>
          <w:lang w:val="es-ES_tradnl"/>
        </w:rPr>
        <w:t>n por dicho uso u ocupaci</w:t>
      </w:r>
      <w:r>
        <w:rPr>
          <w:rFonts w:cs="Times New Roman"/>
          <w:spacing w:val="-7"/>
          <w:sz w:val="18"/>
          <w:szCs w:val="18"/>
          <w:lang w:val="es-ES_tradnl"/>
        </w:rPr>
        <w:t>ó</w:t>
      </w:r>
      <w:r>
        <w:rPr>
          <w:spacing w:val="-7"/>
          <w:sz w:val="18"/>
          <w:szCs w:val="18"/>
          <w:lang w:val="es-ES_tradnl"/>
        </w:rPr>
        <w:t>n [</w:t>
      </w:r>
      <w:r>
        <w:rPr>
          <w:rFonts w:cs="Times New Roman"/>
          <w:spacing w:val="-7"/>
          <w:sz w:val="18"/>
          <w:szCs w:val="18"/>
          <w:lang w:val="es-ES_tradnl"/>
        </w:rPr>
        <w:t>…</w:t>
      </w:r>
      <w:r>
        <w:rPr>
          <w:spacing w:val="-7"/>
          <w:sz w:val="18"/>
          <w:szCs w:val="18"/>
          <w:lang w:val="es-ES_tradnl"/>
        </w:rPr>
        <w:t>]</w:t>
      </w:r>
      <w:r>
        <w:rPr>
          <w:rFonts w:cs="Times New Roman"/>
          <w:spacing w:val="-7"/>
          <w:sz w:val="18"/>
          <w:szCs w:val="18"/>
          <w:lang w:val="es-ES_tradnl"/>
        </w:rPr>
        <w:t>”</w:t>
      </w:r>
      <w:r>
        <w:rPr>
          <w:spacing w:val="-7"/>
          <w:sz w:val="18"/>
          <w:szCs w:val="18"/>
          <w:lang w:val="es-ES_tradnl"/>
        </w:rPr>
        <w:t xml:space="preserve">. </w:t>
      </w:r>
      <w:r>
        <w:rPr>
          <w:spacing w:val="-8"/>
          <w:sz w:val="18"/>
          <w:szCs w:val="18"/>
          <w:lang w:val="es-ES_tradnl"/>
        </w:rPr>
        <w:t>De la norma transcrita, es necesario se</w:t>
      </w:r>
      <w:r>
        <w:rPr>
          <w:rFonts w:cs="Times New Roman"/>
          <w:spacing w:val="-8"/>
          <w:sz w:val="18"/>
          <w:szCs w:val="18"/>
          <w:lang w:val="es-ES_tradnl"/>
        </w:rPr>
        <w:t>ñ</w:t>
      </w:r>
      <w:r>
        <w:rPr>
          <w:spacing w:val="-8"/>
          <w:sz w:val="18"/>
          <w:szCs w:val="18"/>
          <w:lang w:val="es-ES_tradnl"/>
        </w:rPr>
        <w:t xml:space="preserve">alar que si bien se </w:t>
      </w:r>
      <w:r>
        <w:rPr>
          <w:spacing w:val="-9"/>
          <w:sz w:val="18"/>
          <w:szCs w:val="18"/>
          <w:lang w:val="es-ES_tradnl"/>
        </w:rPr>
        <w:t>establece el pago de una tasa por el uso del espacio a</w:t>
      </w:r>
      <w:r>
        <w:rPr>
          <w:rFonts w:cs="Times New Roman"/>
          <w:spacing w:val="-9"/>
          <w:sz w:val="18"/>
          <w:szCs w:val="18"/>
          <w:lang w:val="es-ES_tradnl"/>
        </w:rPr>
        <w:t>é</w:t>
      </w:r>
      <w:r>
        <w:rPr>
          <w:spacing w:val="-9"/>
          <w:sz w:val="18"/>
          <w:szCs w:val="18"/>
          <w:lang w:val="es-ES_tradnl"/>
        </w:rPr>
        <w:t xml:space="preserve">reo </w:t>
      </w:r>
      <w:r>
        <w:rPr>
          <w:spacing w:val="-7"/>
          <w:sz w:val="18"/>
          <w:szCs w:val="18"/>
          <w:lang w:val="es-ES_tradnl"/>
        </w:rPr>
        <w:t>municipal, esta versa solo para colocaci</w:t>
      </w:r>
      <w:r>
        <w:rPr>
          <w:rFonts w:cs="Times New Roman"/>
          <w:spacing w:val="-7"/>
          <w:sz w:val="18"/>
          <w:szCs w:val="18"/>
          <w:lang w:val="es-ES_tradnl"/>
        </w:rPr>
        <w:t>ó</w:t>
      </w:r>
      <w:r>
        <w:rPr>
          <w:spacing w:val="-7"/>
          <w:sz w:val="18"/>
          <w:szCs w:val="18"/>
          <w:lang w:val="es-ES_tradnl"/>
        </w:rPr>
        <w:t xml:space="preserve">n de estructuras, </w:t>
      </w:r>
      <w:r>
        <w:rPr>
          <w:spacing w:val="-8"/>
          <w:sz w:val="18"/>
          <w:szCs w:val="18"/>
          <w:lang w:val="es-ES_tradnl"/>
        </w:rPr>
        <w:t xml:space="preserve">postes y tendido de redes, es decir, no opera para su </w:t>
      </w:r>
      <w:r>
        <w:rPr>
          <w:spacing w:val="-5"/>
          <w:sz w:val="18"/>
          <w:szCs w:val="18"/>
          <w:lang w:val="es-ES_tradnl"/>
        </w:rPr>
        <w:t>funcionamiento; hay que aclarar que la tasa est</w:t>
      </w:r>
      <w:r>
        <w:rPr>
          <w:rFonts w:cs="Times New Roman"/>
          <w:spacing w:val="-5"/>
          <w:sz w:val="18"/>
          <w:szCs w:val="18"/>
          <w:lang w:val="es-ES_tradnl"/>
        </w:rPr>
        <w:t>á</w:t>
      </w:r>
      <w:r>
        <w:rPr>
          <w:spacing w:val="-5"/>
          <w:sz w:val="18"/>
          <w:szCs w:val="18"/>
          <w:lang w:val="es-ES_tradnl"/>
        </w:rPr>
        <w:t xml:space="preserve"> limitada</w:t>
      </w:r>
    </w:p>
    <w:p w14:paraId="4F67A8C6" w14:textId="77777777" w:rsidR="00591D54" w:rsidRDefault="00591D54">
      <w:pPr>
        <w:shd w:val="clear" w:color="auto" w:fill="FFFFFF"/>
        <w:spacing w:before="197" w:line="216" w:lineRule="exact"/>
        <w:jc w:val="both"/>
        <w:sectPr w:rsidR="00591D54">
          <w:type w:val="continuous"/>
          <w:pgSz w:w="11909" w:h="16834"/>
          <w:pgMar w:top="1378" w:right="1309" w:bottom="360" w:left="1308" w:header="720" w:footer="720" w:gutter="0"/>
          <w:cols w:num="2" w:space="720" w:equalWidth="0">
            <w:col w:w="4305" w:space="682"/>
            <w:col w:w="4305"/>
          </w:cols>
          <w:noEndnote/>
        </w:sectPr>
      </w:pPr>
    </w:p>
    <w:p w14:paraId="4F67A8C7" w14:textId="77777777" w:rsidR="00591D54" w:rsidRDefault="00591D54">
      <w:pPr>
        <w:shd w:val="clear" w:color="auto" w:fill="FFFFFF"/>
        <w:tabs>
          <w:tab w:val="left" w:pos="4814"/>
        </w:tabs>
        <w:spacing w:after="235"/>
        <w:ind w:left="5"/>
      </w:pPr>
      <w:r>
        <w:rPr>
          <w:b/>
          <w:bCs/>
          <w:sz w:val="18"/>
          <w:szCs w:val="18"/>
          <w:lang w:val="es-ES_tradnl"/>
        </w:rPr>
        <w:t xml:space="preserve">66 -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8C8" w14:textId="77777777" w:rsidR="00591D54" w:rsidRDefault="00591D54">
      <w:pPr>
        <w:shd w:val="clear" w:color="auto" w:fill="FFFFFF"/>
        <w:tabs>
          <w:tab w:val="left" w:pos="4814"/>
        </w:tabs>
        <w:spacing w:after="235"/>
        <w:ind w:left="5"/>
        <w:sectPr w:rsidR="00591D54">
          <w:pgSz w:w="11909" w:h="16834"/>
          <w:pgMar w:top="1368" w:right="1309" w:bottom="360" w:left="1308" w:header="720" w:footer="720" w:gutter="0"/>
          <w:cols w:space="60"/>
          <w:noEndnote/>
        </w:sectPr>
      </w:pPr>
    </w:p>
    <w:p w14:paraId="4F67A8C9" w14:textId="77777777" w:rsidR="00591D54" w:rsidRDefault="00591D54">
      <w:pPr>
        <w:shd w:val="clear" w:color="auto" w:fill="FFFFFF"/>
        <w:spacing w:line="216" w:lineRule="exact"/>
        <w:jc w:val="both"/>
      </w:pPr>
      <w:r>
        <w:rPr>
          <w:spacing w:val="-8"/>
          <w:sz w:val="18"/>
          <w:szCs w:val="18"/>
          <w:lang w:val="es-ES_tradnl"/>
        </w:rPr>
        <w:t>al uso material del espacio en el proceso de colocaci</w:t>
      </w:r>
      <w:r>
        <w:rPr>
          <w:rFonts w:cs="Times New Roman"/>
          <w:spacing w:val="-8"/>
          <w:sz w:val="18"/>
          <w:szCs w:val="18"/>
          <w:lang w:val="es-ES_tradnl"/>
        </w:rPr>
        <w:t>ó</w:t>
      </w:r>
      <w:r>
        <w:rPr>
          <w:spacing w:val="-8"/>
          <w:sz w:val="18"/>
          <w:szCs w:val="18"/>
          <w:lang w:val="es-ES_tradnl"/>
        </w:rPr>
        <w:t xml:space="preserve">n de </w:t>
      </w:r>
      <w:r>
        <w:rPr>
          <w:spacing w:val="-5"/>
          <w:sz w:val="18"/>
          <w:szCs w:val="18"/>
          <w:lang w:val="es-ES_tradnl"/>
        </w:rPr>
        <w:t>estructuras, en ning</w:t>
      </w:r>
      <w:r>
        <w:rPr>
          <w:rFonts w:cs="Times New Roman"/>
          <w:spacing w:val="-5"/>
          <w:sz w:val="18"/>
          <w:szCs w:val="18"/>
          <w:lang w:val="es-ES_tradnl"/>
        </w:rPr>
        <w:t>ú</w:t>
      </w:r>
      <w:r>
        <w:rPr>
          <w:spacing w:val="-5"/>
          <w:sz w:val="18"/>
          <w:szCs w:val="18"/>
          <w:lang w:val="es-ES_tradnl"/>
        </w:rPr>
        <w:t xml:space="preserve">n momento justifica el cobro por el </w:t>
      </w:r>
      <w:r>
        <w:rPr>
          <w:spacing w:val="-9"/>
          <w:sz w:val="18"/>
          <w:szCs w:val="18"/>
          <w:lang w:val="es-ES_tradnl"/>
        </w:rPr>
        <w:t>uso de determinado espacio, para efectos de la operaci</w:t>
      </w:r>
      <w:r>
        <w:rPr>
          <w:rFonts w:cs="Times New Roman"/>
          <w:spacing w:val="-9"/>
          <w:sz w:val="18"/>
          <w:szCs w:val="18"/>
          <w:lang w:val="es-ES_tradnl"/>
        </w:rPr>
        <w:t>ó</w:t>
      </w:r>
      <w:r>
        <w:rPr>
          <w:spacing w:val="-9"/>
          <w:sz w:val="18"/>
          <w:szCs w:val="18"/>
          <w:lang w:val="es-ES_tradnl"/>
        </w:rPr>
        <w:t xml:space="preserve">n y </w:t>
      </w:r>
      <w:r>
        <w:rPr>
          <w:sz w:val="18"/>
          <w:szCs w:val="18"/>
          <w:lang w:val="es-ES_tradnl"/>
        </w:rPr>
        <w:t>funcionamiento de dichas estructuras.</w:t>
      </w:r>
    </w:p>
    <w:p w14:paraId="4F67A8CA" w14:textId="77777777" w:rsidR="00591D54" w:rsidRDefault="00591D54">
      <w:pPr>
        <w:shd w:val="clear" w:color="auto" w:fill="FFFFFF"/>
        <w:spacing w:before="197" w:line="216" w:lineRule="exact"/>
        <w:jc w:val="both"/>
      </w:pPr>
      <w:r>
        <w:rPr>
          <w:spacing w:val="-5"/>
          <w:sz w:val="18"/>
          <w:szCs w:val="18"/>
          <w:lang w:val="es-ES_tradnl"/>
        </w:rPr>
        <w:t>As</w:t>
      </w:r>
      <w:r>
        <w:rPr>
          <w:rFonts w:cs="Times New Roman"/>
          <w:spacing w:val="-5"/>
          <w:sz w:val="18"/>
          <w:szCs w:val="18"/>
          <w:lang w:val="es-ES_tradnl"/>
        </w:rPr>
        <w:t>í</w:t>
      </w:r>
      <w:r>
        <w:rPr>
          <w:spacing w:val="-5"/>
          <w:sz w:val="18"/>
          <w:szCs w:val="18"/>
          <w:lang w:val="es-ES_tradnl"/>
        </w:rPr>
        <w:t xml:space="preserve"> tambi</w:t>
      </w:r>
      <w:r>
        <w:rPr>
          <w:rFonts w:cs="Times New Roman"/>
          <w:spacing w:val="-5"/>
          <w:sz w:val="18"/>
          <w:szCs w:val="18"/>
          <w:lang w:val="es-ES_tradnl"/>
        </w:rPr>
        <w:t>é</w:t>
      </w:r>
      <w:r>
        <w:rPr>
          <w:spacing w:val="-5"/>
          <w:sz w:val="18"/>
          <w:szCs w:val="18"/>
          <w:lang w:val="es-ES_tradnl"/>
        </w:rPr>
        <w:t>n, el art</w:t>
      </w:r>
      <w:r>
        <w:rPr>
          <w:rFonts w:cs="Times New Roman"/>
          <w:spacing w:val="-5"/>
          <w:sz w:val="18"/>
          <w:szCs w:val="18"/>
          <w:lang w:val="es-ES_tradnl"/>
        </w:rPr>
        <w:t>í</w:t>
      </w:r>
      <w:r>
        <w:rPr>
          <w:spacing w:val="-5"/>
          <w:sz w:val="18"/>
          <w:szCs w:val="18"/>
          <w:lang w:val="es-ES_tradnl"/>
        </w:rPr>
        <w:t>culo 104 de la Ley Org</w:t>
      </w:r>
      <w:r>
        <w:rPr>
          <w:rFonts w:cs="Times New Roman"/>
          <w:spacing w:val="-5"/>
          <w:sz w:val="18"/>
          <w:szCs w:val="18"/>
          <w:lang w:val="es-ES_tradnl"/>
        </w:rPr>
        <w:t>á</w:t>
      </w:r>
      <w:r>
        <w:rPr>
          <w:spacing w:val="-5"/>
          <w:sz w:val="18"/>
          <w:szCs w:val="18"/>
          <w:lang w:val="es-ES_tradnl"/>
        </w:rPr>
        <w:t xml:space="preserve">nica de </w:t>
      </w:r>
      <w:r>
        <w:rPr>
          <w:spacing w:val="-7"/>
          <w:sz w:val="18"/>
          <w:szCs w:val="18"/>
          <w:lang w:val="es-ES_tradnl"/>
        </w:rPr>
        <w:t xml:space="preserve">Telecomunicaciones, norma que actualmente regula y </w:t>
      </w:r>
      <w:r>
        <w:rPr>
          <w:spacing w:val="-6"/>
          <w:sz w:val="18"/>
          <w:szCs w:val="18"/>
          <w:lang w:val="es-ES_tradnl"/>
        </w:rPr>
        <w:t>desarrolla el r</w:t>
      </w:r>
      <w:r>
        <w:rPr>
          <w:rFonts w:cs="Times New Roman"/>
          <w:spacing w:val="-6"/>
          <w:sz w:val="18"/>
          <w:szCs w:val="18"/>
          <w:lang w:val="es-ES_tradnl"/>
        </w:rPr>
        <w:t>é</w:t>
      </w:r>
      <w:r>
        <w:rPr>
          <w:spacing w:val="-6"/>
          <w:sz w:val="18"/>
          <w:szCs w:val="18"/>
          <w:lang w:val="es-ES_tradnl"/>
        </w:rPr>
        <w:t>gimen del espectro radioel</w:t>
      </w:r>
      <w:r>
        <w:rPr>
          <w:rFonts w:cs="Times New Roman"/>
          <w:spacing w:val="-6"/>
          <w:sz w:val="18"/>
          <w:szCs w:val="18"/>
          <w:lang w:val="es-ES_tradnl"/>
        </w:rPr>
        <w:t>é</w:t>
      </w:r>
      <w:r>
        <w:rPr>
          <w:spacing w:val="-6"/>
          <w:sz w:val="18"/>
          <w:szCs w:val="18"/>
          <w:lang w:val="es-ES_tradnl"/>
        </w:rPr>
        <w:t xml:space="preserve">ctrico y de </w:t>
      </w:r>
      <w:r>
        <w:rPr>
          <w:spacing w:val="-7"/>
          <w:sz w:val="18"/>
          <w:szCs w:val="18"/>
          <w:lang w:val="es-ES_tradnl"/>
        </w:rPr>
        <w:t xml:space="preserve">telecomunicaciones en el Ecuador y que se encuentra </w:t>
      </w:r>
      <w:r>
        <w:rPr>
          <w:spacing w:val="-5"/>
          <w:sz w:val="18"/>
          <w:szCs w:val="18"/>
          <w:lang w:val="es-ES_tradnl"/>
        </w:rPr>
        <w:t>publicada en el suplemento del Registro Oficial N.</w:t>
      </w:r>
      <w:r>
        <w:rPr>
          <w:rFonts w:cs="Times New Roman"/>
          <w:spacing w:val="-5"/>
          <w:sz w:val="18"/>
          <w:szCs w:val="18"/>
          <w:lang w:val="es-ES_tradnl"/>
        </w:rPr>
        <w:t>º</w:t>
      </w:r>
      <w:r>
        <w:rPr>
          <w:spacing w:val="-5"/>
          <w:sz w:val="18"/>
          <w:szCs w:val="18"/>
          <w:lang w:val="es-ES_tradnl"/>
        </w:rPr>
        <w:t xml:space="preserve"> 439 </w:t>
      </w:r>
      <w:r>
        <w:rPr>
          <w:spacing w:val="-9"/>
          <w:sz w:val="18"/>
          <w:szCs w:val="18"/>
          <w:lang w:val="es-ES_tradnl"/>
        </w:rPr>
        <w:t>del 18 de febrero de 2015, se refiere al uso y ocupaci</w:t>
      </w:r>
      <w:r>
        <w:rPr>
          <w:rFonts w:cs="Times New Roman"/>
          <w:spacing w:val="-9"/>
          <w:sz w:val="18"/>
          <w:szCs w:val="18"/>
          <w:lang w:val="es-ES_tradnl"/>
        </w:rPr>
        <w:t>ó</w:t>
      </w:r>
      <w:r>
        <w:rPr>
          <w:spacing w:val="-9"/>
          <w:sz w:val="18"/>
          <w:szCs w:val="18"/>
          <w:lang w:val="es-ES_tradnl"/>
        </w:rPr>
        <w:t xml:space="preserve">n de </w:t>
      </w:r>
      <w:r>
        <w:rPr>
          <w:sz w:val="18"/>
          <w:szCs w:val="18"/>
          <w:lang w:val="es-ES_tradnl"/>
        </w:rPr>
        <w:t>bienes de dominio p</w:t>
      </w:r>
      <w:r>
        <w:rPr>
          <w:rFonts w:cs="Times New Roman"/>
          <w:sz w:val="18"/>
          <w:szCs w:val="18"/>
          <w:lang w:val="es-ES_tradnl"/>
        </w:rPr>
        <w:t>ú</w:t>
      </w:r>
      <w:r>
        <w:rPr>
          <w:sz w:val="18"/>
          <w:szCs w:val="18"/>
          <w:lang w:val="es-ES_tradnl"/>
        </w:rPr>
        <w:t>blico indicando que:</w:t>
      </w:r>
    </w:p>
    <w:p w14:paraId="4F67A8CB" w14:textId="77777777" w:rsidR="00591D54" w:rsidRDefault="00591D54">
      <w:pPr>
        <w:shd w:val="clear" w:color="auto" w:fill="FFFFFF"/>
        <w:spacing w:before="202" w:line="216" w:lineRule="exact"/>
        <w:ind w:left="283"/>
        <w:jc w:val="both"/>
      </w:pPr>
      <w:r>
        <w:rPr>
          <w:spacing w:val="-4"/>
          <w:sz w:val="16"/>
          <w:szCs w:val="16"/>
          <w:lang w:val="es-ES_tradnl"/>
        </w:rPr>
        <w:t>Los gobiernos aut</w:t>
      </w:r>
      <w:r>
        <w:rPr>
          <w:rFonts w:cs="Times New Roman"/>
          <w:spacing w:val="-4"/>
          <w:sz w:val="16"/>
          <w:szCs w:val="16"/>
          <w:lang w:val="es-ES_tradnl"/>
        </w:rPr>
        <w:t>ó</w:t>
      </w:r>
      <w:r>
        <w:rPr>
          <w:spacing w:val="-4"/>
          <w:sz w:val="16"/>
          <w:szCs w:val="16"/>
          <w:lang w:val="es-ES_tradnl"/>
        </w:rPr>
        <w:t xml:space="preserve">nomos descentralizados en todos los </w:t>
      </w:r>
      <w:r>
        <w:rPr>
          <w:spacing w:val="-2"/>
          <w:sz w:val="16"/>
          <w:szCs w:val="16"/>
          <w:lang w:val="es-ES_tradnl"/>
        </w:rPr>
        <w:t>niveles deber</w:t>
      </w:r>
      <w:r>
        <w:rPr>
          <w:rFonts w:cs="Times New Roman"/>
          <w:spacing w:val="-2"/>
          <w:sz w:val="16"/>
          <w:szCs w:val="16"/>
          <w:lang w:val="es-ES_tradnl"/>
        </w:rPr>
        <w:t>á</w:t>
      </w:r>
      <w:r>
        <w:rPr>
          <w:spacing w:val="-2"/>
          <w:sz w:val="16"/>
          <w:szCs w:val="16"/>
          <w:lang w:val="es-ES_tradnl"/>
        </w:rPr>
        <w:t xml:space="preserve">n contemplar las necesidades de uso y </w:t>
      </w:r>
      <w:r>
        <w:rPr>
          <w:spacing w:val="-6"/>
          <w:sz w:val="16"/>
          <w:szCs w:val="16"/>
          <w:lang w:val="es-ES_tradnl"/>
        </w:rPr>
        <w:t>ocupaci</w:t>
      </w:r>
      <w:r>
        <w:rPr>
          <w:rFonts w:cs="Times New Roman"/>
          <w:spacing w:val="-6"/>
          <w:sz w:val="16"/>
          <w:szCs w:val="16"/>
          <w:lang w:val="es-ES_tradnl"/>
        </w:rPr>
        <w:t>ó</w:t>
      </w:r>
      <w:r>
        <w:rPr>
          <w:spacing w:val="-6"/>
          <w:sz w:val="16"/>
          <w:szCs w:val="16"/>
          <w:lang w:val="es-ES_tradnl"/>
        </w:rPr>
        <w:t>n de bienes de dominio p</w:t>
      </w:r>
      <w:r>
        <w:rPr>
          <w:rFonts w:cs="Times New Roman"/>
          <w:spacing w:val="-6"/>
          <w:sz w:val="16"/>
          <w:szCs w:val="16"/>
          <w:lang w:val="es-ES_tradnl"/>
        </w:rPr>
        <w:t>ú</w:t>
      </w:r>
      <w:r>
        <w:rPr>
          <w:spacing w:val="-6"/>
          <w:sz w:val="16"/>
          <w:szCs w:val="16"/>
          <w:lang w:val="es-ES_tradnl"/>
        </w:rPr>
        <w:t>blico que establezca la Agencia de Regulaci</w:t>
      </w:r>
      <w:r>
        <w:rPr>
          <w:rFonts w:cs="Times New Roman"/>
          <w:spacing w:val="-6"/>
          <w:sz w:val="16"/>
          <w:szCs w:val="16"/>
          <w:lang w:val="es-ES_tradnl"/>
        </w:rPr>
        <w:t>ó</w:t>
      </w:r>
      <w:r>
        <w:rPr>
          <w:spacing w:val="-6"/>
          <w:sz w:val="16"/>
          <w:szCs w:val="16"/>
          <w:lang w:val="es-ES_tradnl"/>
        </w:rPr>
        <w:t>n y Control de las Telecomunicaciones y, sin perjuicio de cumplir con las normas t</w:t>
      </w:r>
      <w:r>
        <w:rPr>
          <w:rFonts w:cs="Times New Roman"/>
          <w:spacing w:val="-6"/>
          <w:sz w:val="16"/>
          <w:szCs w:val="16"/>
          <w:lang w:val="es-ES_tradnl"/>
        </w:rPr>
        <w:t>é</w:t>
      </w:r>
      <w:r>
        <w:rPr>
          <w:spacing w:val="-6"/>
          <w:sz w:val="16"/>
          <w:szCs w:val="16"/>
          <w:lang w:val="es-ES_tradnl"/>
        </w:rPr>
        <w:t>cnicas y pol</w:t>
      </w:r>
      <w:r>
        <w:rPr>
          <w:rFonts w:cs="Times New Roman"/>
          <w:spacing w:val="-6"/>
          <w:sz w:val="16"/>
          <w:szCs w:val="16"/>
          <w:lang w:val="es-ES_tradnl"/>
        </w:rPr>
        <w:t>í</w:t>
      </w:r>
      <w:r>
        <w:rPr>
          <w:spacing w:val="-6"/>
          <w:sz w:val="16"/>
          <w:szCs w:val="16"/>
          <w:lang w:val="es-ES_tradnl"/>
        </w:rPr>
        <w:t xml:space="preserve">ticas </w:t>
      </w:r>
      <w:r>
        <w:rPr>
          <w:spacing w:val="-8"/>
          <w:sz w:val="16"/>
          <w:szCs w:val="16"/>
          <w:lang w:val="es-ES_tradnl"/>
        </w:rPr>
        <w:t>nacionales, deber</w:t>
      </w:r>
      <w:r>
        <w:rPr>
          <w:rFonts w:cs="Times New Roman"/>
          <w:spacing w:val="-8"/>
          <w:sz w:val="16"/>
          <w:szCs w:val="16"/>
          <w:lang w:val="es-ES_tradnl"/>
        </w:rPr>
        <w:t>á</w:t>
      </w:r>
      <w:r>
        <w:rPr>
          <w:spacing w:val="-8"/>
          <w:sz w:val="16"/>
          <w:szCs w:val="16"/>
          <w:lang w:val="es-ES_tradnl"/>
        </w:rPr>
        <w:t xml:space="preserve">n coordinar con dicha Agencia las acciones </w:t>
      </w:r>
      <w:r>
        <w:rPr>
          <w:spacing w:val="-5"/>
          <w:sz w:val="16"/>
          <w:szCs w:val="16"/>
          <w:lang w:val="es-ES_tradnl"/>
        </w:rPr>
        <w:t>necesarias para garantizar el tendido e instalaci</w:t>
      </w:r>
      <w:r>
        <w:rPr>
          <w:rFonts w:cs="Times New Roman"/>
          <w:spacing w:val="-5"/>
          <w:sz w:val="16"/>
          <w:szCs w:val="16"/>
          <w:lang w:val="es-ES_tradnl"/>
        </w:rPr>
        <w:t>ó</w:t>
      </w:r>
      <w:r>
        <w:rPr>
          <w:spacing w:val="-5"/>
          <w:sz w:val="16"/>
          <w:szCs w:val="16"/>
          <w:lang w:val="es-ES_tradnl"/>
        </w:rPr>
        <w:t xml:space="preserve">n de redes </w:t>
      </w:r>
      <w:r>
        <w:rPr>
          <w:spacing w:val="-6"/>
          <w:sz w:val="16"/>
          <w:szCs w:val="16"/>
          <w:lang w:val="es-ES_tradnl"/>
        </w:rPr>
        <w:t xml:space="preserve">que soporten servicios de telecomunicaciones en un medio </w:t>
      </w:r>
      <w:r>
        <w:rPr>
          <w:spacing w:val="-5"/>
          <w:sz w:val="16"/>
          <w:szCs w:val="16"/>
          <w:lang w:val="es-ES_tradnl"/>
        </w:rPr>
        <w:t>ambiente sano, libre de contaminaci</w:t>
      </w:r>
      <w:r>
        <w:rPr>
          <w:rFonts w:cs="Times New Roman"/>
          <w:spacing w:val="-5"/>
          <w:sz w:val="16"/>
          <w:szCs w:val="16"/>
          <w:lang w:val="es-ES_tradnl"/>
        </w:rPr>
        <w:t>ó</w:t>
      </w:r>
      <w:r>
        <w:rPr>
          <w:spacing w:val="-5"/>
          <w:sz w:val="16"/>
          <w:szCs w:val="16"/>
          <w:lang w:val="es-ES_tradnl"/>
        </w:rPr>
        <w:t xml:space="preserve">n y protegiendo el </w:t>
      </w:r>
      <w:r>
        <w:rPr>
          <w:sz w:val="16"/>
          <w:szCs w:val="16"/>
          <w:lang w:val="es-ES_tradnl"/>
        </w:rPr>
        <w:t>patrimonio tanto natural como cultural.</w:t>
      </w:r>
    </w:p>
    <w:p w14:paraId="4F67A8CC" w14:textId="77777777" w:rsidR="00591D54" w:rsidRDefault="00591D54">
      <w:pPr>
        <w:shd w:val="clear" w:color="auto" w:fill="FFFFFF"/>
        <w:spacing w:before="206" w:line="216" w:lineRule="exact"/>
        <w:ind w:left="283"/>
        <w:jc w:val="both"/>
      </w:pPr>
      <w:r>
        <w:rPr>
          <w:spacing w:val="-2"/>
          <w:sz w:val="16"/>
          <w:szCs w:val="16"/>
          <w:lang w:val="es-ES_tradnl"/>
        </w:rPr>
        <w:t xml:space="preserve">En el caso de instalaciones en bienes privados, las tasas </w:t>
      </w:r>
      <w:r>
        <w:rPr>
          <w:spacing w:val="-6"/>
          <w:sz w:val="16"/>
          <w:szCs w:val="16"/>
          <w:lang w:val="es-ES_tradnl"/>
        </w:rPr>
        <w:t>que cobren los gobiernos aut</w:t>
      </w:r>
      <w:r>
        <w:rPr>
          <w:rFonts w:cs="Times New Roman"/>
          <w:spacing w:val="-6"/>
          <w:sz w:val="16"/>
          <w:szCs w:val="16"/>
          <w:lang w:val="es-ES_tradnl"/>
        </w:rPr>
        <w:t>ó</w:t>
      </w:r>
      <w:r>
        <w:rPr>
          <w:spacing w:val="-6"/>
          <w:sz w:val="16"/>
          <w:szCs w:val="16"/>
          <w:lang w:val="es-ES_tradnl"/>
        </w:rPr>
        <w:t xml:space="preserve">nomos descentralizados no </w:t>
      </w:r>
      <w:r>
        <w:rPr>
          <w:spacing w:val="-8"/>
          <w:sz w:val="16"/>
          <w:szCs w:val="16"/>
          <w:lang w:val="es-ES_tradnl"/>
        </w:rPr>
        <w:t>podr</w:t>
      </w:r>
      <w:r>
        <w:rPr>
          <w:rFonts w:cs="Times New Roman"/>
          <w:spacing w:val="-8"/>
          <w:sz w:val="16"/>
          <w:szCs w:val="16"/>
          <w:lang w:val="es-ES_tradnl"/>
        </w:rPr>
        <w:t>á</w:t>
      </w:r>
      <w:r>
        <w:rPr>
          <w:spacing w:val="-8"/>
          <w:sz w:val="16"/>
          <w:szCs w:val="16"/>
          <w:lang w:val="es-ES_tradnl"/>
        </w:rPr>
        <w:t xml:space="preserve">n ser otras que las directamente vinculadas con el costo </w:t>
      </w:r>
      <w:r>
        <w:rPr>
          <w:spacing w:val="-6"/>
          <w:sz w:val="16"/>
          <w:szCs w:val="16"/>
          <w:lang w:val="es-ES_tradnl"/>
        </w:rPr>
        <w:t>justificado del tr</w:t>
      </w:r>
      <w:r>
        <w:rPr>
          <w:rFonts w:cs="Times New Roman"/>
          <w:spacing w:val="-6"/>
          <w:sz w:val="16"/>
          <w:szCs w:val="16"/>
          <w:lang w:val="es-ES_tradnl"/>
        </w:rPr>
        <w:t>á</w:t>
      </w:r>
      <w:r>
        <w:rPr>
          <w:spacing w:val="-6"/>
          <w:sz w:val="16"/>
          <w:szCs w:val="16"/>
          <w:lang w:val="es-ES_tradnl"/>
        </w:rPr>
        <w:t xml:space="preserve">mite de otorgamiento de los permisos de </w:t>
      </w:r>
      <w:r>
        <w:rPr>
          <w:sz w:val="16"/>
          <w:szCs w:val="16"/>
          <w:lang w:val="es-ES_tradnl"/>
        </w:rPr>
        <w:t>instalaci</w:t>
      </w:r>
      <w:r>
        <w:rPr>
          <w:rFonts w:cs="Times New Roman"/>
          <w:sz w:val="16"/>
          <w:szCs w:val="16"/>
          <w:lang w:val="es-ES_tradnl"/>
        </w:rPr>
        <w:t>ó</w:t>
      </w:r>
      <w:r>
        <w:rPr>
          <w:sz w:val="16"/>
          <w:szCs w:val="16"/>
          <w:lang w:val="es-ES_tradnl"/>
        </w:rPr>
        <w:t>n o construcci</w:t>
      </w:r>
      <w:r>
        <w:rPr>
          <w:rFonts w:cs="Times New Roman"/>
          <w:sz w:val="16"/>
          <w:szCs w:val="16"/>
          <w:lang w:val="es-ES_tradnl"/>
        </w:rPr>
        <w:t>ó</w:t>
      </w:r>
      <w:r>
        <w:rPr>
          <w:sz w:val="16"/>
          <w:szCs w:val="16"/>
          <w:lang w:val="es-ES_tradnl"/>
        </w:rPr>
        <w:t>n.</w:t>
      </w:r>
    </w:p>
    <w:p w14:paraId="4F67A8CD" w14:textId="77777777" w:rsidR="00591D54" w:rsidRDefault="00591D54">
      <w:pPr>
        <w:shd w:val="clear" w:color="auto" w:fill="FFFFFF"/>
        <w:spacing w:before="211" w:line="216" w:lineRule="exact"/>
        <w:ind w:left="283" w:right="5"/>
        <w:jc w:val="both"/>
      </w:pPr>
      <w:r>
        <w:rPr>
          <w:b/>
          <w:bCs/>
          <w:spacing w:val="-9"/>
          <w:sz w:val="16"/>
          <w:szCs w:val="16"/>
          <w:lang w:val="es-ES_tradnl"/>
        </w:rPr>
        <w:t>Los gobiernos aut</w:t>
      </w:r>
      <w:r>
        <w:rPr>
          <w:rFonts w:cs="Times New Roman"/>
          <w:b/>
          <w:bCs/>
          <w:spacing w:val="-9"/>
          <w:sz w:val="16"/>
          <w:szCs w:val="16"/>
          <w:lang w:val="es-ES_tradnl"/>
        </w:rPr>
        <w:t>ó</w:t>
      </w:r>
      <w:r>
        <w:rPr>
          <w:b/>
          <w:bCs/>
          <w:spacing w:val="-9"/>
          <w:sz w:val="16"/>
          <w:szCs w:val="16"/>
          <w:lang w:val="es-ES_tradnl"/>
        </w:rPr>
        <w:t>nomos descentralizados no podr</w:t>
      </w:r>
      <w:r>
        <w:rPr>
          <w:rFonts w:cs="Times New Roman"/>
          <w:b/>
          <w:bCs/>
          <w:spacing w:val="-9"/>
          <w:sz w:val="16"/>
          <w:szCs w:val="16"/>
          <w:lang w:val="es-ES_tradnl"/>
        </w:rPr>
        <w:t>á</w:t>
      </w:r>
      <w:r>
        <w:rPr>
          <w:b/>
          <w:bCs/>
          <w:spacing w:val="-9"/>
          <w:sz w:val="16"/>
          <w:szCs w:val="16"/>
          <w:lang w:val="es-ES_tradnl"/>
        </w:rPr>
        <w:t xml:space="preserve">n </w:t>
      </w:r>
      <w:r>
        <w:rPr>
          <w:b/>
          <w:bCs/>
          <w:spacing w:val="-8"/>
          <w:sz w:val="16"/>
          <w:szCs w:val="16"/>
          <w:lang w:val="es-ES_tradnl"/>
        </w:rPr>
        <w:t>establecer tasas por el uso de espacio a</w:t>
      </w:r>
      <w:r>
        <w:rPr>
          <w:rFonts w:cs="Times New Roman"/>
          <w:b/>
          <w:bCs/>
          <w:spacing w:val="-8"/>
          <w:sz w:val="16"/>
          <w:szCs w:val="16"/>
          <w:lang w:val="es-ES_tradnl"/>
        </w:rPr>
        <w:t>é</w:t>
      </w:r>
      <w:r>
        <w:rPr>
          <w:b/>
          <w:bCs/>
          <w:spacing w:val="-8"/>
          <w:sz w:val="16"/>
          <w:szCs w:val="16"/>
          <w:lang w:val="es-ES_tradnl"/>
        </w:rPr>
        <w:t xml:space="preserve">reo regional, </w:t>
      </w:r>
      <w:r>
        <w:rPr>
          <w:b/>
          <w:bCs/>
          <w:spacing w:val="-4"/>
          <w:sz w:val="16"/>
          <w:szCs w:val="16"/>
          <w:lang w:val="es-ES_tradnl"/>
        </w:rPr>
        <w:t xml:space="preserve">provincial o municipal vinculadas a transmisiones de </w:t>
      </w:r>
      <w:r>
        <w:rPr>
          <w:b/>
          <w:bCs/>
          <w:spacing w:val="-9"/>
          <w:sz w:val="16"/>
          <w:szCs w:val="16"/>
          <w:lang w:val="es-ES_tradnl"/>
        </w:rPr>
        <w:t>redes de radiocomunicaci</w:t>
      </w:r>
      <w:r>
        <w:rPr>
          <w:rFonts w:cs="Times New Roman"/>
          <w:b/>
          <w:bCs/>
          <w:spacing w:val="-9"/>
          <w:sz w:val="16"/>
          <w:szCs w:val="16"/>
          <w:lang w:val="es-ES_tradnl"/>
        </w:rPr>
        <w:t>ó</w:t>
      </w:r>
      <w:r>
        <w:rPr>
          <w:b/>
          <w:bCs/>
          <w:spacing w:val="-9"/>
          <w:sz w:val="16"/>
          <w:szCs w:val="16"/>
          <w:lang w:val="es-ES_tradnl"/>
        </w:rPr>
        <w:t xml:space="preserve">n o frecuencias del espectro </w:t>
      </w:r>
      <w:r>
        <w:rPr>
          <w:b/>
          <w:bCs/>
          <w:spacing w:val="-6"/>
          <w:sz w:val="16"/>
          <w:szCs w:val="16"/>
          <w:lang w:val="es-ES_tradnl"/>
        </w:rPr>
        <w:t>radioel</w:t>
      </w:r>
      <w:r>
        <w:rPr>
          <w:rFonts w:cs="Times New Roman"/>
          <w:b/>
          <w:bCs/>
          <w:spacing w:val="-6"/>
          <w:sz w:val="16"/>
          <w:szCs w:val="16"/>
          <w:lang w:val="es-ES_tradnl"/>
        </w:rPr>
        <w:t>é</w:t>
      </w:r>
      <w:r>
        <w:rPr>
          <w:b/>
          <w:bCs/>
          <w:spacing w:val="-6"/>
          <w:sz w:val="16"/>
          <w:szCs w:val="16"/>
          <w:lang w:val="es-ES_tradnl"/>
        </w:rPr>
        <w:t>ctrico</w:t>
      </w:r>
      <w:r>
        <w:rPr>
          <w:spacing w:val="-6"/>
          <w:sz w:val="16"/>
          <w:szCs w:val="16"/>
          <w:lang w:val="es-ES_tradnl"/>
        </w:rPr>
        <w:t>. (Lo subrayado fuera del texto).</w:t>
      </w:r>
    </w:p>
    <w:p w14:paraId="4F67A8CE" w14:textId="77777777" w:rsidR="00591D54" w:rsidRDefault="00591D54">
      <w:pPr>
        <w:shd w:val="clear" w:color="auto" w:fill="FFFFFF"/>
        <w:spacing w:before="202" w:line="216" w:lineRule="exact"/>
        <w:ind w:right="5"/>
        <w:jc w:val="both"/>
      </w:pPr>
      <w:r>
        <w:rPr>
          <w:spacing w:val="-5"/>
          <w:sz w:val="18"/>
          <w:szCs w:val="18"/>
          <w:lang w:val="es-ES_tradnl"/>
        </w:rPr>
        <w:t>Al respecto,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 xml:space="preserve">blica del Ecuador </w:t>
      </w:r>
      <w:r>
        <w:rPr>
          <w:spacing w:val="-6"/>
          <w:sz w:val="18"/>
          <w:szCs w:val="18"/>
          <w:lang w:val="es-ES_tradnl"/>
        </w:rPr>
        <w:t>en el art</w:t>
      </w:r>
      <w:r>
        <w:rPr>
          <w:rFonts w:cs="Times New Roman"/>
          <w:spacing w:val="-6"/>
          <w:sz w:val="18"/>
          <w:szCs w:val="18"/>
          <w:lang w:val="es-ES_tradnl"/>
        </w:rPr>
        <w:t>í</w:t>
      </w:r>
      <w:r>
        <w:rPr>
          <w:spacing w:val="-6"/>
          <w:sz w:val="18"/>
          <w:szCs w:val="18"/>
          <w:lang w:val="es-ES_tradnl"/>
        </w:rPr>
        <w:t>culo 425 tercer inciso se</w:t>
      </w:r>
      <w:r>
        <w:rPr>
          <w:rFonts w:cs="Times New Roman"/>
          <w:spacing w:val="-6"/>
          <w:sz w:val="18"/>
          <w:szCs w:val="18"/>
          <w:lang w:val="es-ES_tradnl"/>
        </w:rPr>
        <w:t>ñ</w:t>
      </w:r>
      <w:r>
        <w:rPr>
          <w:spacing w:val="-6"/>
          <w:sz w:val="18"/>
          <w:szCs w:val="18"/>
          <w:lang w:val="es-ES_tradnl"/>
        </w:rPr>
        <w:t xml:space="preserve">ala que: </w:t>
      </w:r>
      <w:r>
        <w:rPr>
          <w:rFonts w:cs="Times New Roman"/>
          <w:spacing w:val="-6"/>
          <w:sz w:val="18"/>
          <w:szCs w:val="18"/>
          <w:lang w:val="es-ES_tradnl"/>
        </w:rPr>
        <w:t>“</w:t>
      </w:r>
      <w:r>
        <w:rPr>
          <w:spacing w:val="-6"/>
          <w:sz w:val="18"/>
          <w:szCs w:val="18"/>
          <w:lang w:val="es-ES_tradnl"/>
        </w:rPr>
        <w:t>La jerarqu</w:t>
      </w:r>
      <w:r>
        <w:rPr>
          <w:rFonts w:cs="Times New Roman"/>
          <w:spacing w:val="-6"/>
          <w:sz w:val="18"/>
          <w:szCs w:val="18"/>
          <w:lang w:val="es-ES_tradnl"/>
        </w:rPr>
        <w:t>í</w:t>
      </w:r>
      <w:r>
        <w:rPr>
          <w:spacing w:val="-6"/>
          <w:sz w:val="18"/>
          <w:szCs w:val="18"/>
          <w:lang w:val="es-ES_tradnl"/>
        </w:rPr>
        <w:t xml:space="preserve">a </w:t>
      </w:r>
      <w:r>
        <w:rPr>
          <w:spacing w:val="-11"/>
          <w:sz w:val="18"/>
          <w:szCs w:val="18"/>
          <w:lang w:val="es-ES_tradnl"/>
        </w:rPr>
        <w:t>normativa considerar</w:t>
      </w:r>
      <w:r>
        <w:rPr>
          <w:rFonts w:cs="Times New Roman"/>
          <w:spacing w:val="-11"/>
          <w:sz w:val="18"/>
          <w:szCs w:val="18"/>
          <w:lang w:val="es-ES_tradnl"/>
        </w:rPr>
        <w:t>á</w:t>
      </w:r>
      <w:r>
        <w:rPr>
          <w:spacing w:val="-11"/>
          <w:sz w:val="18"/>
          <w:szCs w:val="18"/>
          <w:lang w:val="es-ES_tradnl"/>
        </w:rPr>
        <w:t>, en lo que corresponda, el principio de competencia [</w:t>
      </w:r>
      <w:r>
        <w:rPr>
          <w:rFonts w:cs="Times New Roman"/>
          <w:spacing w:val="-11"/>
          <w:sz w:val="18"/>
          <w:szCs w:val="18"/>
          <w:lang w:val="es-ES_tradnl"/>
        </w:rPr>
        <w:t>…</w:t>
      </w:r>
      <w:r>
        <w:rPr>
          <w:spacing w:val="-11"/>
          <w:sz w:val="18"/>
          <w:szCs w:val="18"/>
          <w:lang w:val="es-ES_tradnl"/>
        </w:rPr>
        <w:t>]</w:t>
      </w:r>
      <w:r>
        <w:rPr>
          <w:rFonts w:cs="Times New Roman"/>
          <w:spacing w:val="-11"/>
          <w:sz w:val="18"/>
          <w:szCs w:val="18"/>
          <w:lang w:val="es-ES_tradnl"/>
        </w:rPr>
        <w:t>”</w:t>
      </w:r>
      <w:r>
        <w:rPr>
          <w:spacing w:val="-11"/>
          <w:sz w:val="18"/>
          <w:szCs w:val="18"/>
          <w:lang w:val="es-ES_tradnl"/>
        </w:rPr>
        <w:t xml:space="preserve"> y respecto a la materia de comunicaciones </w:t>
      </w:r>
      <w:r>
        <w:rPr>
          <w:spacing w:val="-2"/>
          <w:sz w:val="18"/>
          <w:szCs w:val="18"/>
          <w:lang w:val="es-ES_tradnl"/>
        </w:rPr>
        <w:t xml:space="preserve">y telecomunicaciones, la norma constitucional dispone </w:t>
      </w:r>
      <w:r>
        <w:rPr>
          <w:spacing w:val="-3"/>
          <w:sz w:val="18"/>
          <w:szCs w:val="18"/>
          <w:lang w:val="es-ES_tradnl"/>
        </w:rPr>
        <w:t>en su art</w:t>
      </w:r>
      <w:r>
        <w:rPr>
          <w:rFonts w:cs="Times New Roman"/>
          <w:spacing w:val="-3"/>
          <w:sz w:val="18"/>
          <w:szCs w:val="18"/>
          <w:lang w:val="es-ES_tradnl"/>
        </w:rPr>
        <w:t>í</w:t>
      </w:r>
      <w:r>
        <w:rPr>
          <w:spacing w:val="-3"/>
          <w:sz w:val="18"/>
          <w:szCs w:val="18"/>
          <w:lang w:val="es-ES_tradnl"/>
        </w:rPr>
        <w:t xml:space="preserve">culo 261 numeral 10 que: </w:t>
      </w:r>
      <w:r>
        <w:rPr>
          <w:rFonts w:cs="Times New Roman"/>
          <w:spacing w:val="-3"/>
          <w:sz w:val="18"/>
          <w:szCs w:val="18"/>
          <w:lang w:val="es-ES_tradnl"/>
        </w:rPr>
        <w:t>“</w:t>
      </w:r>
      <w:r>
        <w:rPr>
          <w:spacing w:val="-3"/>
          <w:sz w:val="18"/>
          <w:szCs w:val="18"/>
          <w:lang w:val="es-ES_tradnl"/>
        </w:rPr>
        <w:t xml:space="preserve">El Estado central </w:t>
      </w:r>
      <w:r>
        <w:rPr>
          <w:spacing w:val="-6"/>
          <w:sz w:val="18"/>
          <w:szCs w:val="18"/>
          <w:lang w:val="es-ES_tradnl"/>
        </w:rPr>
        <w:t>tendr</w:t>
      </w:r>
      <w:r>
        <w:rPr>
          <w:rFonts w:cs="Times New Roman"/>
          <w:spacing w:val="-6"/>
          <w:sz w:val="18"/>
          <w:szCs w:val="18"/>
          <w:lang w:val="es-ES_tradnl"/>
        </w:rPr>
        <w:t>á</w:t>
      </w:r>
      <w:r>
        <w:rPr>
          <w:spacing w:val="-6"/>
          <w:sz w:val="18"/>
          <w:szCs w:val="18"/>
          <w:lang w:val="es-ES_tradnl"/>
        </w:rPr>
        <w:t xml:space="preserve"> competencias exclusivas sobre: [</w:t>
      </w:r>
      <w:r>
        <w:rPr>
          <w:rFonts w:cs="Times New Roman"/>
          <w:spacing w:val="-6"/>
          <w:sz w:val="18"/>
          <w:szCs w:val="18"/>
          <w:lang w:val="es-ES_tradnl"/>
        </w:rPr>
        <w:t>…</w:t>
      </w:r>
      <w:r>
        <w:rPr>
          <w:spacing w:val="-6"/>
          <w:sz w:val="18"/>
          <w:szCs w:val="18"/>
          <w:lang w:val="es-ES_tradnl"/>
        </w:rPr>
        <w:t>] El espectro radioel</w:t>
      </w:r>
      <w:r>
        <w:rPr>
          <w:rFonts w:cs="Times New Roman"/>
          <w:spacing w:val="-6"/>
          <w:sz w:val="18"/>
          <w:szCs w:val="18"/>
          <w:lang w:val="es-ES_tradnl"/>
        </w:rPr>
        <w:t>é</w:t>
      </w:r>
      <w:r>
        <w:rPr>
          <w:spacing w:val="-6"/>
          <w:sz w:val="18"/>
          <w:szCs w:val="18"/>
          <w:lang w:val="es-ES_tradnl"/>
        </w:rPr>
        <w:t>ctrico y el r</w:t>
      </w:r>
      <w:r>
        <w:rPr>
          <w:rFonts w:cs="Times New Roman"/>
          <w:spacing w:val="-6"/>
          <w:sz w:val="18"/>
          <w:szCs w:val="18"/>
          <w:lang w:val="es-ES_tradnl"/>
        </w:rPr>
        <w:t>é</w:t>
      </w:r>
      <w:r>
        <w:rPr>
          <w:spacing w:val="-6"/>
          <w:sz w:val="18"/>
          <w:szCs w:val="18"/>
          <w:lang w:val="es-ES_tradnl"/>
        </w:rPr>
        <w:t xml:space="preserve">gimen general de comunicaciones y </w:t>
      </w:r>
      <w:r>
        <w:rPr>
          <w:spacing w:val="-7"/>
          <w:sz w:val="18"/>
          <w:szCs w:val="18"/>
          <w:lang w:val="es-ES_tradnl"/>
        </w:rPr>
        <w:t>telecomunicaciones; puertos y aeropuertos</w:t>
      </w:r>
      <w:r>
        <w:rPr>
          <w:rFonts w:cs="Times New Roman"/>
          <w:spacing w:val="-7"/>
          <w:sz w:val="18"/>
          <w:szCs w:val="18"/>
          <w:lang w:val="es-ES_tradnl"/>
        </w:rPr>
        <w:t>”</w:t>
      </w:r>
      <w:r>
        <w:rPr>
          <w:spacing w:val="-7"/>
          <w:sz w:val="18"/>
          <w:szCs w:val="18"/>
          <w:lang w:val="es-ES_tradnl"/>
        </w:rPr>
        <w:t>.</w:t>
      </w:r>
    </w:p>
    <w:p w14:paraId="4F67A8CF" w14:textId="77777777" w:rsidR="00591D54" w:rsidRDefault="00591D54">
      <w:pPr>
        <w:shd w:val="clear" w:color="auto" w:fill="FFFFFF"/>
        <w:spacing w:before="197" w:line="216" w:lineRule="exact"/>
        <w:ind w:right="5"/>
        <w:jc w:val="both"/>
      </w:pPr>
      <w:r>
        <w:rPr>
          <w:spacing w:val="-12"/>
          <w:sz w:val="18"/>
          <w:szCs w:val="18"/>
          <w:lang w:val="es-ES_tradnl"/>
        </w:rPr>
        <w:t>De all</w:t>
      </w:r>
      <w:r>
        <w:rPr>
          <w:rFonts w:cs="Times New Roman"/>
          <w:spacing w:val="-12"/>
          <w:sz w:val="18"/>
          <w:szCs w:val="18"/>
          <w:lang w:val="es-ES_tradnl"/>
        </w:rPr>
        <w:t>í</w:t>
      </w:r>
      <w:r>
        <w:rPr>
          <w:spacing w:val="-12"/>
          <w:sz w:val="18"/>
          <w:szCs w:val="18"/>
          <w:lang w:val="es-ES_tradnl"/>
        </w:rPr>
        <w:t>, que el cobro de la tasa por el uso del espacio a</w:t>
      </w:r>
      <w:r>
        <w:rPr>
          <w:rFonts w:cs="Times New Roman"/>
          <w:spacing w:val="-12"/>
          <w:sz w:val="18"/>
          <w:szCs w:val="18"/>
          <w:lang w:val="es-ES_tradnl"/>
        </w:rPr>
        <w:t>é</w:t>
      </w:r>
      <w:r>
        <w:rPr>
          <w:spacing w:val="-12"/>
          <w:sz w:val="18"/>
          <w:szCs w:val="18"/>
          <w:lang w:val="es-ES_tradnl"/>
        </w:rPr>
        <w:t xml:space="preserve">reo en </w:t>
      </w:r>
      <w:r>
        <w:rPr>
          <w:spacing w:val="-10"/>
          <w:sz w:val="18"/>
          <w:szCs w:val="18"/>
          <w:lang w:val="es-ES_tradnl"/>
        </w:rPr>
        <w:t>virtud del r</w:t>
      </w:r>
      <w:r>
        <w:rPr>
          <w:rFonts w:cs="Times New Roman"/>
          <w:spacing w:val="-10"/>
          <w:sz w:val="18"/>
          <w:szCs w:val="18"/>
          <w:lang w:val="es-ES_tradnl"/>
        </w:rPr>
        <w:t>é</w:t>
      </w:r>
      <w:r>
        <w:rPr>
          <w:spacing w:val="-10"/>
          <w:sz w:val="18"/>
          <w:szCs w:val="18"/>
          <w:lang w:val="es-ES_tradnl"/>
        </w:rPr>
        <w:t xml:space="preserve">gimen de comunicaciones y telecomunicaciones </w:t>
      </w:r>
      <w:r>
        <w:rPr>
          <w:spacing w:val="-7"/>
          <w:sz w:val="18"/>
          <w:szCs w:val="18"/>
          <w:lang w:val="es-ES_tradnl"/>
        </w:rPr>
        <w:t>es de competencia exclusiva del Estado central, en raz</w:t>
      </w:r>
      <w:r>
        <w:rPr>
          <w:rFonts w:cs="Times New Roman"/>
          <w:spacing w:val="-7"/>
          <w:sz w:val="18"/>
          <w:szCs w:val="18"/>
          <w:lang w:val="es-ES_tradnl"/>
        </w:rPr>
        <w:t>ó</w:t>
      </w:r>
      <w:r>
        <w:rPr>
          <w:spacing w:val="-7"/>
          <w:sz w:val="18"/>
          <w:szCs w:val="18"/>
          <w:lang w:val="es-ES_tradnl"/>
        </w:rPr>
        <w:t xml:space="preserve">n </w:t>
      </w:r>
      <w:r>
        <w:rPr>
          <w:spacing w:val="-8"/>
          <w:sz w:val="18"/>
          <w:szCs w:val="18"/>
          <w:lang w:val="es-ES_tradnl"/>
        </w:rPr>
        <w:t xml:space="preserve">de que la competencia en materia de comunicaciones y telecomunicaciones se halla claramente establecida en la </w:t>
      </w:r>
      <w:r>
        <w:rPr>
          <w:spacing w:val="-7"/>
          <w:sz w:val="18"/>
          <w:szCs w:val="18"/>
          <w:lang w:val="es-ES_tradnl"/>
        </w:rPr>
        <w:t>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blica del Ecuador.</w:t>
      </w:r>
    </w:p>
    <w:p w14:paraId="4F67A8D0" w14:textId="77777777" w:rsidR="00591D54" w:rsidRDefault="00591D54">
      <w:pPr>
        <w:shd w:val="clear" w:color="auto" w:fill="FFFFFF"/>
        <w:spacing w:before="197" w:line="216" w:lineRule="exact"/>
        <w:ind w:right="5"/>
        <w:jc w:val="both"/>
      </w:pPr>
      <w:r>
        <w:rPr>
          <w:spacing w:val="-3"/>
          <w:sz w:val="18"/>
          <w:szCs w:val="18"/>
          <w:lang w:val="es-ES_tradnl"/>
        </w:rPr>
        <w:t>Seg</w:t>
      </w:r>
      <w:r>
        <w:rPr>
          <w:rFonts w:cs="Times New Roman"/>
          <w:spacing w:val="-3"/>
          <w:sz w:val="18"/>
          <w:szCs w:val="18"/>
          <w:lang w:val="es-ES_tradnl"/>
        </w:rPr>
        <w:t>ú</w:t>
      </w:r>
      <w:r>
        <w:rPr>
          <w:spacing w:val="-3"/>
          <w:sz w:val="18"/>
          <w:szCs w:val="18"/>
          <w:lang w:val="es-ES_tradnl"/>
        </w:rPr>
        <w:t>n lo antes se</w:t>
      </w:r>
      <w:r>
        <w:rPr>
          <w:rFonts w:cs="Times New Roman"/>
          <w:spacing w:val="-3"/>
          <w:sz w:val="18"/>
          <w:szCs w:val="18"/>
          <w:lang w:val="es-ES_tradnl"/>
        </w:rPr>
        <w:t>ñ</w:t>
      </w:r>
      <w:r>
        <w:rPr>
          <w:spacing w:val="-3"/>
          <w:sz w:val="18"/>
          <w:szCs w:val="18"/>
          <w:lang w:val="es-ES_tradnl"/>
        </w:rPr>
        <w:t>alado, el art</w:t>
      </w:r>
      <w:r>
        <w:rPr>
          <w:rFonts w:cs="Times New Roman"/>
          <w:spacing w:val="-3"/>
          <w:sz w:val="18"/>
          <w:szCs w:val="18"/>
          <w:lang w:val="es-ES_tradnl"/>
        </w:rPr>
        <w:t>í</w:t>
      </w:r>
      <w:r>
        <w:rPr>
          <w:spacing w:val="-3"/>
          <w:sz w:val="18"/>
          <w:szCs w:val="18"/>
          <w:lang w:val="es-ES_tradnl"/>
        </w:rPr>
        <w:t>culo 567 del C</w:t>
      </w:r>
      <w:r>
        <w:rPr>
          <w:rFonts w:cs="Times New Roman"/>
          <w:spacing w:val="-3"/>
          <w:sz w:val="18"/>
          <w:szCs w:val="18"/>
          <w:lang w:val="es-ES_tradnl"/>
        </w:rPr>
        <w:t>ó</w:t>
      </w:r>
      <w:r>
        <w:rPr>
          <w:spacing w:val="-3"/>
          <w:sz w:val="18"/>
          <w:szCs w:val="18"/>
          <w:lang w:val="es-ES_tradnl"/>
        </w:rPr>
        <w:t xml:space="preserve">digo </w:t>
      </w:r>
      <w:r>
        <w:rPr>
          <w:spacing w:val="-5"/>
          <w:sz w:val="18"/>
          <w:szCs w:val="18"/>
          <w:lang w:val="es-ES_tradnl"/>
        </w:rPr>
        <w:t>Org</w:t>
      </w:r>
      <w:r>
        <w:rPr>
          <w:rFonts w:cs="Times New Roman"/>
          <w:spacing w:val="-5"/>
          <w:sz w:val="18"/>
          <w:szCs w:val="18"/>
          <w:lang w:val="es-ES_tradnl"/>
        </w:rPr>
        <w:t>á</w:t>
      </w:r>
      <w:r>
        <w:rPr>
          <w:spacing w:val="-5"/>
          <w:sz w:val="18"/>
          <w:szCs w:val="18"/>
          <w:lang w:val="es-ES_tradnl"/>
        </w:rPr>
        <w:t>nico de Organizaci</w:t>
      </w:r>
      <w:r>
        <w:rPr>
          <w:rFonts w:cs="Times New Roman"/>
          <w:spacing w:val="-5"/>
          <w:sz w:val="18"/>
          <w:szCs w:val="18"/>
          <w:lang w:val="es-ES_tradnl"/>
        </w:rPr>
        <w:t>ó</w:t>
      </w:r>
      <w:r>
        <w:rPr>
          <w:spacing w:val="-5"/>
          <w:sz w:val="18"/>
          <w:szCs w:val="18"/>
          <w:lang w:val="es-ES_tradnl"/>
        </w:rPr>
        <w:t>n Territorial, Autonom</w:t>
      </w:r>
      <w:r>
        <w:rPr>
          <w:rFonts w:cs="Times New Roman"/>
          <w:spacing w:val="-5"/>
          <w:sz w:val="18"/>
          <w:szCs w:val="18"/>
          <w:lang w:val="es-ES_tradnl"/>
        </w:rPr>
        <w:t>í</w:t>
      </w:r>
      <w:r>
        <w:rPr>
          <w:spacing w:val="-5"/>
          <w:sz w:val="18"/>
          <w:szCs w:val="18"/>
          <w:lang w:val="es-ES_tradnl"/>
        </w:rPr>
        <w:t xml:space="preserve">a y </w:t>
      </w:r>
      <w:r>
        <w:rPr>
          <w:spacing w:val="-6"/>
          <w:sz w:val="18"/>
          <w:szCs w:val="18"/>
          <w:lang w:val="es-ES_tradnl"/>
        </w:rPr>
        <w:t>Descentralizaci</w:t>
      </w:r>
      <w:r>
        <w:rPr>
          <w:rFonts w:cs="Times New Roman"/>
          <w:spacing w:val="-6"/>
          <w:sz w:val="18"/>
          <w:szCs w:val="18"/>
          <w:lang w:val="es-ES_tradnl"/>
        </w:rPr>
        <w:t>ó</w:t>
      </w:r>
      <w:r>
        <w:rPr>
          <w:spacing w:val="-6"/>
          <w:sz w:val="18"/>
          <w:szCs w:val="18"/>
          <w:lang w:val="es-ES_tradnl"/>
        </w:rPr>
        <w:t xml:space="preserve">n (COOTAD) determina que la tasa que </w:t>
      </w:r>
      <w:r>
        <w:rPr>
          <w:spacing w:val="-4"/>
          <w:sz w:val="18"/>
          <w:szCs w:val="18"/>
          <w:lang w:val="es-ES_tradnl"/>
        </w:rPr>
        <w:t>cobran los Municipios, es por la utilizaci</w:t>
      </w:r>
      <w:r>
        <w:rPr>
          <w:rFonts w:cs="Times New Roman"/>
          <w:spacing w:val="-4"/>
          <w:sz w:val="18"/>
          <w:szCs w:val="18"/>
          <w:lang w:val="es-ES_tradnl"/>
        </w:rPr>
        <w:t>ó</w:t>
      </w:r>
      <w:r>
        <w:rPr>
          <w:spacing w:val="-4"/>
          <w:sz w:val="18"/>
          <w:szCs w:val="18"/>
          <w:lang w:val="es-ES_tradnl"/>
        </w:rPr>
        <w:t xml:space="preserve">n del espacio </w:t>
      </w:r>
      <w:r>
        <w:rPr>
          <w:spacing w:val="-6"/>
          <w:sz w:val="18"/>
          <w:szCs w:val="18"/>
          <w:lang w:val="es-ES_tradnl"/>
        </w:rPr>
        <w:t>p</w:t>
      </w:r>
      <w:r>
        <w:rPr>
          <w:rFonts w:cs="Times New Roman"/>
          <w:spacing w:val="-6"/>
          <w:sz w:val="18"/>
          <w:szCs w:val="18"/>
          <w:lang w:val="es-ES_tradnl"/>
        </w:rPr>
        <w:t>ú</w:t>
      </w:r>
      <w:r>
        <w:rPr>
          <w:spacing w:val="-6"/>
          <w:sz w:val="18"/>
          <w:szCs w:val="18"/>
          <w:lang w:val="es-ES_tradnl"/>
        </w:rPr>
        <w:t>blico municipal en el proceso de instalaci</w:t>
      </w:r>
      <w:r>
        <w:rPr>
          <w:rFonts w:cs="Times New Roman"/>
          <w:spacing w:val="-6"/>
          <w:sz w:val="18"/>
          <w:szCs w:val="18"/>
          <w:lang w:val="es-ES_tradnl"/>
        </w:rPr>
        <w:t>ó</w:t>
      </w:r>
      <w:r>
        <w:rPr>
          <w:spacing w:val="-6"/>
          <w:sz w:val="18"/>
          <w:szCs w:val="18"/>
          <w:lang w:val="es-ES_tradnl"/>
        </w:rPr>
        <w:t xml:space="preserve">n de medios </w:t>
      </w:r>
      <w:r>
        <w:rPr>
          <w:spacing w:val="-7"/>
          <w:sz w:val="18"/>
          <w:szCs w:val="18"/>
          <w:lang w:val="es-ES_tradnl"/>
        </w:rPr>
        <w:t>destinados a prestar un servicio, m</w:t>
      </w:r>
      <w:r>
        <w:rPr>
          <w:rFonts w:cs="Times New Roman"/>
          <w:spacing w:val="-7"/>
          <w:sz w:val="18"/>
          <w:szCs w:val="18"/>
          <w:lang w:val="es-ES_tradnl"/>
        </w:rPr>
        <w:t>á</w:t>
      </w:r>
      <w:r>
        <w:rPr>
          <w:spacing w:val="-7"/>
          <w:sz w:val="18"/>
          <w:szCs w:val="18"/>
          <w:lang w:val="es-ES_tradnl"/>
        </w:rPr>
        <w:t>s en ning</w:t>
      </w:r>
      <w:r>
        <w:rPr>
          <w:rFonts w:cs="Times New Roman"/>
          <w:spacing w:val="-7"/>
          <w:sz w:val="18"/>
          <w:szCs w:val="18"/>
          <w:lang w:val="es-ES_tradnl"/>
        </w:rPr>
        <w:t>ú</w:t>
      </w:r>
      <w:r>
        <w:rPr>
          <w:spacing w:val="-7"/>
          <w:sz w:val="18"/>
          <w:szCs w:val="18"/>
          <w:lang w:val="es-ES_tradnl"/>
        </w:rPr>
        <w:t xml:space="preserve">n momento </w:t>
      </w:r>
      <w:r>
        <w:rPr>
          <w:spacing w:val="-8"/>
          <w:sz w:val="18"/>
          <w:szCs w:val="18"/>
          <w:lang w:val="es-ES_tradnl"/>
        </w:rPr>
        <w:t xml:space="preserve">debe operar respecto del servicio mismo que prestan, que </w:t>
      </w:r>
      <w:r>
        <w:rPr>
          <w:spacing w:val="-7"/>
          <w:sz w:val="18"/>
          <w:szCs w:val="18"/>
          <w:lang w:val="es-ES_tradnl"/>
        </w:rPr>
        <w:t xml:space="preserve">en el caso concreto, es el de telecomunicaciones, ya que </w:t>
      </w:r>
      <w:r>
        <w:rPr>
          <w:spacing w:val="-10"/>
          <w:sz w:val="18"/>
          <w:szCs w:val="18"/>
          <w:lang w:val="es-ES_tradnl"/>
        </w:rPr>
        <w:t>esta materia est</w:t>
      </w:r>
      <w:r>
        <w:rPr>
          <w:rFonts w:cs="Times New Roman"/>
          <w:spacing w:val="-10"/>
          <w:sz w:val="18"/>
          <w:szCs w:val="18"/>
          <w:lang w:val="es-ES_tradnl"/>
        </w:rPr>
        <w:t>á</w:t>
      </w:r>
      <w:r>
        <w:rPr>
          <w:spacing w:val="-10"/>
          <w:sz w:val="18"/>
          <w:szCs w:val="18"/>
          <w:lang w:val="es-ES_tradnl"/>
        </w:rPr>
        <w:t xml:space="preserve"> plenamente normada por el Estado central, </w:t>
      </w:r>
      <w:r>
        <w:rPr>
          <w:spacing w:val="-7"/>
          <w:sz w:val="18"/>
          <w:szCs w:val="18"/>
          <w:lang w:val="es-ES_tradnl"/>
        </w:rPr>
        <w:t>a trav</w:t>
      </w:r>
      <w:r>
        <w:rPr>
          <w:rFonts w:cs="Times New Roman"/>
          <w:spacing w:val="-7"/>
          <w:sz w:val="18"/>
          <w:szCs w:val="18"/>
          <w:lang w:val="es-ES_tradnl"/>
        </w:rPr>
        <w:t>é</w:t>
      </w:r>
      <w:r>
        <w:rPr>
          <w:spacing w:val="-7"/>
          <w:sz w:val="18"/>
          <w:szCs w:val="18"/>
          <w:lang w:val="es-ES_tradnl"/>
        </w:rPr>
        <w:t>s de la entrega de concesiones, establecidas por la</w:t>
      </w:r>
    </w:p>
    <w:p w14:paraId="4F67A8D1" w14:textId="77777777" w:rsidR="00591D54" w:rsidRDefault="00591D54">
      <w:pPr>
        <w:shd w:val="clear" w:color="auto" w:fill="FFFFFF"/>
        <w:spacing w:line="221" w:lineRule="exact"/>
        <w:jc w:val="both"/>
      </w:pPr>
      <w:r>
        <w:br w:type="column"/>
      </w:r>
      <w:r>
        <w:rPr>
          <w:spacing w:val="-7"/>
          <w:sz w:val="18"/>
          <w:szCs w:val="18"/>
          <w:lang w:val="es-ES_tradnl"/>
        </w:rPr>
        <w:t>Ley Org</w:t>
      </w:r>
      <w:r>
        <w:rPr>
          <w:rFonts w:cs="Times New Roman"/>
          <w:spacing w:val="-7"/>
          <w:sz w:val="18"/>
          <w:szCs w:val="18"/>
          <w:lang w:val="es-ES_tradnl"/>
        </w:rPr>
        <w:t>á</w:t>
      </w:r>
      <w:r>
        <w:rPr>
          <w:spacing w:val="-7"/>
          <w:sz w:val="18"/>
          <w:szCs w:val="18"/>
          <w:lang w:val="es-ES_tradnl"/>
        </w:rPr>
        <w:t xml:space="preserve">nica de Telecomunicaciones, caso contrario los </w:t>
      </w:r>
      <w:r>
        <w:rPr>
          <w:spacing w:val="-6"/>
          <w:sz w:val="18"/>
          <w:szCs w:val="18"/>
          <w:lang w:val="es-ES_tradnl"/>
        </w:rPr>
        <w:t>Municipios crear</w:t>
      </w:r>
      <w:r>
        <w:rPr>
          <w:rFonts w:cs="Times New Roman"/>
          <w:spacing w:val="-6"/>
          <w:sz w:val="18"/>
          <w:szCs w:val="18"/>
          <w:lang w:val="es-ES_tradnl"/>
        </w:rPr>
        <w:t>í</w:t>
      </w:r>
      <w:r>
        <w:rPr>
          <w:spacing w:val="-6"/>
          <w:sz w:val="18"/>
          <w:szCs w:val="18"/>
          <w:lang w:val="es-ES_tradnl"/>
        </w:rPr>
        <w:t>an una contraprestaci</w:t>
      </w:r>
      <w:r>
        <w:rPr>
          <w:rFonts w:cs="Times New Roman"/>
          <w:spacing w:val="-6"/>
          <w:sz w:val="18"/>
          <w:szCs w:val="18"/>
          <w:lang w:val="es-ES_tradnl"/>
        </w:rPr>
        <w:t>ó</w:t>
      </w:r>
      <w:r>
        <w:rPr>
          <w:spacing w:val="-6"/>
          <w:sz w:val="18"/>
          <w:szCs w:val="18"/>
          <w:lang w:val="es-ES_tradnl"/>
        </w:rPr>
        <w:t xml:space="preserve">n respecto de un </w:t>
      </w:r>
      <w:r>
        <w:rPr>
          <w:rFonts w:cs="Times New Roman"/>
          <w:spacing w:val="-9"/>
          <w:sz w:val="18"/>
          <w:szCs w:val="18"/>
          <w:lang w:val="es-ES_tradnl"/>
        </w:rPr>
        <w:t>á</w:t>
      </w:r>
      <w:r>
        <w:rPr>
          <w:spacing w:val="-9"/>
          <w:sz w:val="18"/>
          <w:szCs w:val="18"/>
          <w:lang w:val="es-ES_tradnl"/>
        </w:rPr>
        <w:t>mbito que se encuentra fuera de su competencia; pues, se estar</w:t>
      </w:r>
      <w:r>
        <w:rPr>
          <w:rFonts w:cs="Times New Roman"/>
          <w:spacing w:val="-9"/>
          <w:sz w:val="18"/>
          <w:szCs w:val="18"/>
          <w:lang w:val="es-ES_tradnl"/>
        </w:rPr>
        <w:t>í</w:t>
      </w:r>
      <w:r>
        <w:rPr>
          <w:spacing w:val="-9"/>
          <w:sz w:val="18"/>
          <w:szCs w:val="18"/>
          <w:lang w:val="es-ES_tradnl"/>
        </w:rPr>
        <w:t xml:space="preserve">a regulando asuntos atinentes al uso de frecuencia en </w:t>
      </w:r>
      <w:r>
        <w:rPr>
          <w:spacing w:val="-8"/>
          <w:sz w:val="18"/>
          <w:szCs w:val="18"/>
          <w:lang w:val="es-ES_tradnl"/>
        </w:rPr>
        <w:t>el espectro radioel</w:t>
      </w:r>
      <w:r>
        <w:rPr>
          <w:rFonts w:cs="Times New Roman"/>
          <w:spacing w:val="-8"/>
          <w:sz w:val="18"/>
          <w:szCs w:val="18"/>
          <w:lang w:val="es-ES_tradnl"/>
        </w:rPr>
        <w:t>é</w:t>
      </w:r>
      <w:r>
        <w:rPr>
          <w:spacing w:val="-8"/>
          <w:sz w:val="18"/>
          <w:szCs w:val="18"/>
          <w:lang w:val="es-ES_tradnl"/>
        </w:rPr>
        <w:t>ctrico y el espacio a</w:t>
      </w:r>
      <w:r>
        <w:rPr>
          <w:rFonts w:cs="Times New Roman"/>
          <w:spacing w:val="-8"/>
          <w:sz w:val="18"/>
          <w:szCs w:val="18"/>
          <w:lang w:val="es-ES_tradnl"/>
        </w:rPr>
        <w:t>é</w:t>
      </w:r>
      <w:r>
        <w:rPr>
          <w:spacing w:val="-8"/>
          <w:sz w:val="18"/>
          <w:szCs w:val="18"/>
          <w:lang w:val="es-ES_tradnl"/>
        </w:rPr>
        <w:t>reo, cuando est</w:t>
      </w:r>
      <w:r>
        <w:rPr>
          <w:rFonts w:cs="Times New Roman"/>
          <w:spacing w:val="-8"/>
          <w:sz w:val="18"/>
          <w:szCs w:val="18"/>
          <w:lang w:val="es-ES_tradnl"/>
        </w:rPr>
        <w:t>é</w:t>
      </w:r>
      <w:r>
        <w:rPr>
          <w:spacing w:val="-8"/>
          <w:sz w:val="18"/>
          <w:szCs w:val="18"/>
          <w:lang w:val="es-ES_tradnl"/>
        </w:rPr>
        <w:t xml:space="preserve">n </w:t>
      </w:r>
      <w:r>
        <w:rPr>
          <w:spacing w:val="-11"/>
          <w:sz w:val="18"/>
          <w:szCs w:val="18"/>
          <w:lang w:val="es-ES_tradnl"/>
        </w:rPr>
        <w:t>vinculados con transmisiones de redes de radiocomunicaci</w:t>
      </w:r>
      <w:r>
        <w:rPr>
          <w:rFonts w:cs="Times New Roman"/>
          <w:spacing w:val="-11"/>
          <w:sz w:val="18"/>
          <w:szCs w:val="18"/>
          <w:lang w:val="es-ES_tradnl"/>
        </w:rPr>
        <w:t>ó</w:t>
      </w:r>
      <w:r>
        <w:rPr>
          <w:spacing w:val="-11"/>
          <w:sz w:val="18"/>
          <w:szCs w:val="18"/>
          <w:lang w:val="es-ES_tradnl"/>
        </w:rPr>
        <w:t xml:space="preserve">n </w:t>
      </w:r>
      <w:r>
        <w:rPr>
          <w:sz w:val="18"/>
          <w:szCs w:val="18"/>
          <w:lang w:val="es-ES_tradnl"/>
        </w:rPr>
        <w:t>o frecuencias del espectro radioel</w:t>
      </w:r>
      <w:r>
        <w:rPr>
          <w:rFonts w:cs="Times New Roman"/>
          <w:sz w:val="18"/>
          <w:szCs w:val="18"/>
          <w:lang w:val="es-ES_tradnl"/>
        </w:rPr>
        <w:t>é</w:t>
      </w:r>
      <w:r>
        <w:rPr>
          <w:sz w:val="18"/>
          <w:szCs w:val="18"/>
          <w:lang w:val="es-ES_tradnl"/>
        </w:rPr>
        <w:t>ctrico.</w:t>
      </w:r>
    </w:p>
    <w:p w14:paraId="4F67A8D2" w14:textId="77777777" w:rsidR="00591D54" w:rsidRDefault="00591D54">
      <w:pPr>
        <w:shd w:val="clear" w:color="auto" w:fill="FFFFFF"/>
        <w:spacing w:before="206" w:line="221" w:lineRule="exact"/>
        <w:jc w:val="both"/>
      </w:pPr>
      <w:r>
        <w:rPr>
          <w:spacing w:val="-7"/>
          <w:sz w:val="18"/>
          <w:szCs w:val="18"/>
          <w:lang w:val="es-ES_tradnl"/>
        </w:rPr>
        <w:t xml:space="preserve">Del texto de la ordenanza impugnada se observa que se </w:t>
      </w:r>
      <w:r>
        <w:rPr>
          <w:spacing w:val="-3"/>
          <w:sz w:val="18"/>
          <w:szCs w:val="18"/>
          <w:lang w:val="es-ES_tradnl"/>
        </w:rPr>
        <w:t xml:space="preserve">llega a establecer que su objeto y </w:t>
      </w:r>
      <w:r>
        <w:rPr>
          <w:rFonts w:cs="Times New Roman"/>
          <w:spacing w:val="-3"/>
          <w:sz w:val="18"/>
          <w:szCs w:val="18"/>
          <w:lang w:val="es-ES_tradnl"/>
        </w:rPr>
        <w:t>á</w:t>
      </w:r>
      <w:r>
        <w:rPr>
          <w:spacing w:val="-3"/>
          <w:sz w:val="18"/>
          <w:szCs w:val="18"/>
          <w:lang w:val="es-ES_tradnl"/>
        </w:rPr>
        <w:t>mbito de aplicaci</w:t>
      </w:r>
      <w:r>
        <w:rPr>
          <w:rFonts w:cs="Times New Roman"/>
          <w:spacing w:val="-3"/>
          <w:sz w:val="18"/>
          <w:szCs w:val="18"/>
          <w:lang w:val="es-ES_tradnl"/>
        </w:rPr>
        <w:t>ó</w:t>
      </w:r>
      <w:r>
        <w:rPr>
          <w:spacing w:val="-3"/>
          <w:sz w:val="18"/>
          <w:szCs w:val="18"/>
          <w:lang w:val="es-ES_tradnl"/>
        </w:rPr>
        <w:t xml:space="preserve">n </w:t>
      </w:r>
      <w:r>
        <w:rPr>
          <w:spacing w:val="-6"/>
          <w:sz w:val="18"/>
          <w:szCs w:val="18"/>
          <w:lang w:val="es-ES_tradnl"/>
        </w:rPr>
        <w:t>es regular la implantaci</w:t>
      </w:r>
      <w:r>
        <w:rPr>
          <w:rFonts w:cs="Times New Roman"/>
          <w:spacing w:val="-6"/>
          <w:sz w:val="18"/>
          <w:szCs w:val="18"/>
          <w:lang w:val="es-ES_tradnl"/>
        </w:rPr>
        <w:t>ó</w:t>
      </w:r>
      <w:r>
        <w:rPr>
          <w:spacing w:val="-6"/>
          <w:sz w:val="18"/>
          <w:szCs w:val="18"/>
          <w:lang w:val="es-ES_tradnl"/>
        </w:rPr>
        <w:t>n de estaciones radioel</w:t>
      </w:r>
      <w:r>
        <w:rPr>
          <w:rFonts w:cs="Times New Roman"/>
          <w:spacing w:val="-6"/>
          <w:sz w:val="18"/>
          <w:szCs w:val="18"/>
          <w:lang w:val="es-ES_tradnl"/>
        </w:rPr>
        <w:t>é</w:t>
      </w:r>
      <w:r>
        <w:rPr>
          <w:spacing w:val="-6"/>
          <w:sz w:val="18"/>
          <w:szCs w:val="18"/>
          <w:lang w:val="es-ES_tradnl"/>
        </w:rPr>
        <w:t xml:space="preserve">ctricas, </w:t>
      </w:r>
      <w:r>
        <w:rPr>
          <w:spacing w:val="-7"/>
          <w:sz w:val="18"/>
          <w:szCs w:val="18"/>
          <w:lang w:val="es-ES_tradnl"/>
        </w:rPr>
        <w:t>centrales fijas y de base de los servicios m</w:t>
      </w:r>
      <w:r>
        <w:rPr>
          <w:rFonts w:cs="Times New Roman"/>
          <w:spacing w:val="-7"/>
          <w:sz w:val="18"/>
          <w:szCs w:val="18"/>
          <w:lang w:val="es-ES_tradnl"/>
        </w:rPr>
        <w:t>ó</w:t>
      </w:r>
      <w:r>
        <w:rPr>
          <w:spacing w:val="-7"/>
          <w:sz w:val="18"/>
          <w:szCs w:val="18"/>
          <w:lang w:val="es-ES_tradnl"/>
        </w:rPr>
        <w:t xml:space="preserve">vil terrestre de </w:t>
      </w:r>
      <w:r>
        <w:rPr>
          <w:spacing w:val="-5"/>
          <w:sz w:val="18"/>
          <w:szCs w:val="18"/>
          <w:lang w:val="es-ES_tradnl"/>
        </w:rPr>
        <w:t>radio comunicaciones, televisi</w:t>
      </w:r>
      <w:r>
        <w:rPr>
          <w:rFonts w:cs="Times New Roman"/>
          <w:spacing w:val="-5"/>
          <w:sz w:val="18"/>
          <w:szCs w:val="18"/>
          <w:lang w:val="es-ES_tradnl"/>
        </w:rPr>
        <w:t>ó</w:t>
      </w:r>
      <w:r>
        <w:rPr>
          <w:spacing w:val="-5"/>
          <w:sz w:val="18"/>
          <w:szCs w:val="18"/>
          <w:lang w:val="es-ES_tradnl"/>
        </w:rPr>
        <w:t>n y otras comunicaciones de transmisiones; y, sobre la fijaci</w:t>
      </w:r>
      <w:r>
        <w:rPr>
          <w:rFonts w:cs="Times New Roman"/>
          <w:spacing w:val="-5"/>
          <w:sz w:val="18"/>
          <w:szCs w:val="18"/>
          <w:lang w:val="es-ES_tradnl"/>
        </w:rPr>
        <w:t>ó</w:t>
      </w:r>
      <w:r>
        <w:rPr>
          <w:spacing w:val="-5"/>
          <w:sz w:val="18"/>
          <w:szCs w:val="18"/>
          <w:lang w:val="es-ES_tradnl"/>
        </w:rPr>
        <w:t xml:space="preserve">n de las tasas </w:t>
      </w:r>
      <w:r>
        <w:rPr>
          <w:spacing w:val="-6"/>
          <w:sz w:val="18"/>
          <w:szCs w:val="18"/>
          <w:lang w:val="es-ES_tradnl"/>
        </w:rPr>
        <w:t>correspondientes a la utilizaci</w:t>
      </w:r>
      <w:r>
        <w:rPr>
          <w:rFonts w:cs="Times New Roman"/>
          <w:spacing w:val="-6"/>
          <w:sz w:val="18"/>
          <w:szCs w:val="18"/>
          <w:lang w:val="es-ES_tradnl"/>
        </w:rPr>
        <w:t>ó</w:t>
      </w:r>
      <w:r>
        <w:rPr>
          <w:spacing w:val="-6"/>
          <w:sz w:val="18"/>
          <w:szCs w:val="18"/>
          <w:lang w:val="es-ES_tradnl"/>
        </w:rPr>
        <w:t>n u ocupaci</w:t>
      </w:r>
      <w:r>
        <w:rPr>
          <w:rFonts w:cs="Times New Roman"/>
          <w:spacing w:val="-6"/>
          <w:sz w:val="18"/>
          <w:szCs w:val="18"/>
          <w:lang w:val="es-ES_tradnl"/>
        </w:rPr>
        <w:t>ó</w:t>
      </w:r>
      <w:r>
        <w:rPr>
          <w:spacing w:val="-6"/>
          <w:sz w:val="18"/>
          <w:szCs w:val="18"/>
          <w:lang w:val="es-ES_tradnl"/>
        </w:rPr>
        <w:t xml:space="preserve">n del espacio </w:t>
      </w:r>
      <w:r>
        <w:rPr>
          <w:spacing w:val="-8"/>
          <w:sz w:val="18"/>
          <w:szCs w:val="18"/>
          <w:lang w:val="es-ES_tradnl"/>
        </w:rPr>
        <w:t>a</w:t>
      </w:r>
      <w:r>
        <w:rPr>
          <w:rFonts w:cs="Times New Roman"/>
          <w:spacing w:val="-8"/>
          <w:sz w:val="18"/>
          <w:szCs w:val="18"/>
          <w:lang w:val="es-ES_tradnl"/>
        </w:rPr>
        <w:t>é</w:t>
      </w:r>
      <w:r>
        <w:rPr>
          <w:spacing w:val="-8"/>
          <w:sz w:val="18"/>
          <w:szCs w:val="18"/>
          <w:lang w:val="es-ES_tradnl"/>
        </w:rPr>
        <w:t>reo municipal, uso de la v</w:t>
      </w:r>
      <w:r>
        <w:rPr>
          <w:rFonts w:cs="Times New Roman"/>
          <w:spacing w:val="-8"/>
          <w:sz w:val="18"/>
          <w:szCs w:val="18"/>
          <w:lang w:val="es-ES_tradnl"/>
        </w:rPr>
        <w:t>í</w:t>
      </w:r>
      <w:r>
        <w:rPr>
          <w:spacing w:val="-8"/>
          <w:sz w:val="18"/>
          <w:szCs w:val="18"/>
          <w:lang w:val="es-ES_tradnl"/>
        </w:rPr>
        <w:t>a p</w:t>
      </w:r>
      <w:r>
        <w:rPr>
          <w:rFonts w:cs="Times New Roman"/>
          <w:spacing w:val="-8"/>
          <w:sz w:val="18"/>
          <w:szCs w:val="18"/>
          <w:lang w:val="es-ES_tradnl"/>
        </w:rPr>
        <w:t>ú</w:t>
      </w:r>
      <w:r>
        <w:rPr>
          <w:spacing w:val="-8"/>
          <w:sz w:val="18"/>
          <w:szCs w:val="18"/>
          <w:lang w:val="es-ES_tradnl"/>
        </w:rPr>
        <w:t xml:space="preserve">blica, suelo y subsuelo en </w:t>
      </w:r>
      <w:r>
        <w:rPr>
          <w:spacing w:val="-10"/>
          <w:sz w:val="18"/>
          <w:szCs w:val="18"/>
          <w:lang w:val="es-ES_tradnl"/>
        </w:rPr>
        <w:t>el cant</w:t>
      </w:r>
      <w:r>
        <w:rPr>
          <w:rFonts w:cs="Times New Roman"/>
          <w:spacing w:val="-10"/>
          <w:sz w:val="18"/>
          <w:szCs w:val="18"/>
          <w:lang w:val="es-ES_tradnl"/>
        </w:rPr>
        <w:t>ó</w:t>
      </w:r>
      <w:r>
        <w:rPr>
          <w:spacing w:val="-10"/>
          <w:sz w:val="18"/>
          <w:szCs w:val="18"/>
          <w:lang w:val="es-ES_tradnl"/>
        </w:rPr>
        <w:t xml:space="preserve">n San Francisco de Puebloviejo, a fin de cumplir con </w:t>
      </w:r>
      <w:r>
        <w:rPr>
          <w:spacing w:val="-8"/>
          <w:sz w:val="18"/>
          <w:szCs w:val="18"/>
          <w:lang w:val="es-ES_tradnl"/>
        </w:rPr>
        <w:t>las condiciones de zonificaci</w:t>
      </w:r>
      <w:r>
        <w:rPr>
          <w:rFonts w:cs="Times New Roman"/>
          <w:spacing w:val="-8"/>
          <w:sz w:val="18"/>
          <w:szCs w:val="18"/>
          <w:lang w:val="es-ES_tradnl"/>
        </w:rPr>
        <w:t>ó</w:t>
      </w:r>
      <w:r>
        <w:rPr>
          <w:spacing w:val="-8"/>
          <w:sz w:val="18"/>
          <w:szCs w:val="18"/>
          <w:lang w:val="es-ES_tradnl"/>
        </w:rPr>
        <w:t>n uso del suelo o v</w:t>
      </w:r>
      <w:r>
        <w:rPr>
          <w:rFonts w:cs="Times New Roman"/>
          <w:spacing w:val="-8"/>
          <w:sz w:val="18"/>
          <w:szCs w:val="18"/>
          <w:lang w:val="es-ES_tradnl"/>
        </w:rPr>
        <w:t>í</w:t>
      </w:r>
      <w:r>
        <w:rPr>
          <w:spacing w:val="-8"/>
          <w:sz w:val="18"/>
          <w:szCs w:val="18"/>
          <w:lang w:val="es-ES_tradnl"/>
        </w:rPr>
        <w:t>a p</w:t>
      </w:r>
      <w:r>
        <w:rPr>
          <w:rFonts w:cs="Times New Roman"/>
          <w:spacing w:val="-8"/>
          <w:sz w:val="18"/>
          <w:szCs w:val="18"/>
          <w:lang w:val="es-ES_tradnl"/>
        </w:rPr>
        <w:t>ú</w:t>
      </w:r>
      <w:r>
        <w:rPr>
          <w:spacing w:val="-8"/>
          <w:sz w:val="18"/>
          <w:szCs w:val="18"/>
          <w:lang w:val="es-ES_tradnl"/>
        </w:rPr>
        <w:t xml:space="preserve">blica, </w:t>
      </w:r>
      <w:r>
        <w:rPr>
          <w:spacing w:val="-7"/>
          <w:sz w:val="18"/>
          <w:szCs w:val="18"/>
          <w:lang w:val="es-ES_tradnl"/>
        </w:rPr>
        <w:t>uso del espacio a</w:t>
      </w:r>
      <w:r>
        <w:rPr>
          <w:rFonts w:cs="Times New Roman"/>
          <w:spacing w:val="-7"/>
          <w:sz w:val="18"/>
          <w:szCs w:val="18"/>
          <w:lang w:val="es-ES_tradnl"/>
        </w:rPr>
        <w:t>é</w:t>
      </w:r>
      <w:r>
        <w:rPr>
          <w:spacing w:val="-7"/>
          <w:sz w:val="18"/>
          <w:szCs w:val="18"/>
          <w:lang w:val="es-ES_tradnl"/>
        </w:rPr>
        <w:t>reo y reducci</w:t>
      </w:r>
      <w:r>
        <w:rPr>
          <w:rFonts w:cs="Times New Roman"/>
          <w:spacing w:val="-7"/>
          <w:sz w:val="18"/>
          <w:szCs w:val="18"/>
          <w:lang w:val="es-ES_tradnl"/>
        </w:rPr>
        <w:t>ó</w:t>
      </w:r>
      <w:r>
        <w:rPr>
          <w:spacing w:val="-7"/>
          <w:sz w:val="18"/>
          <w:szCs w:val="18"/>
          <w:lang w:val="es-ES_tradnl"/>
        </w:rPr>
        <w:t xml:space="preserve">n del impacto ambiental, </w:t>
      </w:r>
      <w:r>
        <w:rPr>
          <w:spacing w:val="-9"/>
          <w:sz w:val="18"/>
          <w:szCs w:val="18"/>
          <w:lang w:val="es-ES_tradnl"/>
        </w:rPr>
        <w:t xml:space="preserve">sujetas a las determinaciones de las leyes, ordenanzas y </w:t>
      </w:r>
      <w:r>
        <w:rPr>
          <w:sz w:val="18"/>
          <w:szCs w:val="18"/>
          <w:lang w:val="es-ES_tradnl"/>
        </w:rPr>
        <w:t>dem</w:t>
      </w:r>
      <w:r>
        <w:rPr>
          <w:rFonts w:cs="Times New Roman"/>
          <w:sz w:val="18"/>
          <w:szCs w:val="18"/>
          <w:lang w:val="es-ES_tradnl"/>
        </w:rPr>
        <w:t>á</w:t>
      </w:r>
      <w:r>
        <w:rPr>
          <w:sz w:val="18"/>
          <w:szCs w:val="18"/>
          <w:lang w:val="es-ES_tradnl"/>
        </w:rPr>
        <w:t>s normativa vigente.</w:t>
      </w:r>
    </w:p>
    <w:p w14:paraId="4F67A8D3" w14:textId="77777777" w:rsidR="00591D54" w:rsidRDefault="00591D54">
      <w:pPr>
        <w:shd w:val="clear" w:color="auto" w:fill="FFFFFF"/>
        <w:spacing w:before="202" w:line="221" w:lineRule="exact"/>
        <w:jc w:val="both"/>
      </w:pPr>
      <w:r>
        <w:rPr>
          <w:spacing w:val="-9"/>
          <w:sz w:val="18"/>
          <w:szCs w:val="18"/>
          <w:lang w:val="es-ES_tradnl"/>
        </w:rPr>
        <w:t xml:space="preserve">Lo que se pretende regular en la ordenanza cuestionada es </w:t>
      </w:r>
      <w:r>
        <w:rPr>
          <w:spacing w:val="-6"/>
          <w:sz w:val="18"/>
          <w:szCs w:val="18"/>
          <w:lang w:val="es-ES_tradnl"/>
        </w:rPr>
        <w:t>el uso del espacio p</w:t>
      </w:r>
      <w:r>
        <w:rPr>
          <w:rFonts w:cs="Times New Roman"/>
          <w:spacing w:val="-6"/>
          <w:sz w:val="18"/>
          <w:szCs w:val="18"/>
          <w:lang w:val="es-ES_tradnl"/>
        </w:rPr>
        <w:t>ú</w:t>
      </w:r>
      <w:r>
        <w:rPr>
          <w:spacing w:val="-6"/>
          <w:sz w:val="18"/>
          <w:szCs w:val="18"/>
          <w:lang w:val="es-ES_tradnl"/>
        </w:rPr>
        <w:t>blico municipal en la implantaci</w:t>
      </w:r>
      <w:r>
        <w:rPr>
          <w:rFonts w:cs="Times New Roman"/>
          <w:spacing w:val="-6"/>
          <w:sz w:val="18"/>
          <w:szCs w:val="18"/>
          <w:lang w:val="es-ES_tradnl"/>
        </w:rPr>
        <w:t>ó</w:t>
      </w:r>
      <w:r>
        <w:rPr>
          <w:spacing w:val="-6"/>
          <w:sz w:val="18"/>
          <w:szCs w:val="18"/>
          <w:lang w:val="es-ES_tradnl"/>
        </w:rPr>
        <w:t xml:space="preserve">n de </w:t>
      </w:r>
      <w:r>
        <w:rPr>
          <w:spacing w:val="-8"/>
          <w:sz w:val="18"/>
          <w:szCs w:val="18"/>
          <w:lang w:val="es-ES_tradnl"/>
        </w:rPr>
        <w:t xml:space="preserve">estructuras fijas de soporte de antenas y su infraestructura </w:t>
      </w:r>
      <w:r>
        <w:rPr>
          <w:spacing w:val="-7"/>
          <w:sz w:val="18"/>
          <w:szCs w:val="18"/>
          <w:lang w:val="es-ES_tradnl"/>
        </w:rPr>
        <w:t>en lo atinente a su forma, condici</w:t>
      </w:r>
      <w:r>
        <w:rPr>
          <w:rFonts w:cs="Times New Roman"/>
          <w:spacing w:val="-7"/>
          <w:sz w:val="18"/>
          <w:szCs w:val="18"/>
          <w:lang w:val="es-ES_tradnl"/>
        </w:rPr>
        <w:t>ó</w:t>
      </w:r>
      <w:r>
        <w:rPr>
          <w:spacing w:val="-7"/>
          <w:sz w:val="18"/>
          <w:szCs w:val="18"/>
          <w:lang w:val="es-ES_tradnl"/>
        </w:rPr>
        <w:t>n y modo de instalaci</w:t>
      </w:r>
      <w:r>
        <w:rPr>
          <w:rFonts w:cs="Times New Roman"/>
          <w:spacing w:val="-7"/>
          <w:sz w:val="18"/>
          <w:szCs w:val="18"/>
          <w:lang w:val="es-ES_tradnl"/>
        </w:rPr>
        <w:t>ó</w:t>
      </w:r>
      <w:r>
        <w:rPr>
          <w:spacing w:val="-7"/>
          <w:sz w:val="18"/>
          <w:szCs w:val="18"/>
          <w:lang w:val="es-ES_tradnl"/>
        </w:rPr>
        <w:t>n, tama</w:t>
      </w:r>
      <w:r>
        <w:rPr>
          <w:rFonts w:cs="Times New Roman"/>
          <w:spacing w:val="-7"/>
          <w:sz w:val="18"/>
          <w:szCs w:val="18"/>
          <w:lang w:val="es-ES_tradnl"/>
        </w:rPr>
        <w:t>ñ</w:t>
      </w:r>
      <w:r>
        <w:rPr>
          <w:spacing w:val="-7"/>
          <w:sz w:val="18"/>
          <w:szCs w:val="18"/>
          <w:lang w:val="es-ES_tradnl"/>
        </w:rPr>
        <w:t>o, as</w:t>
      </w:r>
      <w:r>
        <w:rPr>
          <w:rFonts w:cs="Times New Roman"/>
          <w:spacing w:val="-7"/>
          <w:sz w:val="18"/>
          <w:szCs w:val="18"/>
          <w:lang w:val="es-ES_tradnl"/>
        </w:rPr>
        <w:t>í</w:t>
      </w:r>
      <w:r>
        <w:rPr>
          <w:spacing w:val="-7"/>
          <w:sz w:val="18"/>
          <w:szCs w:val="18"/>
          <w:lang w:val="es-ES_tradnl"/>
        </w:rPr>
        <w:t xml:space="preserve"> como al cumplimiento del pago de impuestos </w:t>
      </w:r>
      <w:r>
        <w:rPr>
          <w:spacing w:val="-3"/>
          <w:sz w:val="18"/>
          <w:szCs w:val="18"/>
          <w:lang w:val="es-ES_tradnl"/>
        </w:rPr>
        <w:t>municipales previos, a la regulaci</w:t>
      </w:r>
      <w:r>
        <w:rPr>
          <w:rFonts w:cs="Times New Roman"/>
          <w:spacing w:val="-3"/>
          <w:sz w:val="18"/>
          <w:szCs w:val="18"/>
          <w:lang w:val="es-ES_tradnl"/>
        </w:rPr>
        <w:t>ó</w:t>
      </w:r>
      <w:r>
        <w:rPr>
          <w:spacing w:val="-3"/>
          <w:sz w:val="18"/>
          <w:szCs w:val="18"/>
          <w:lang w:val="es-ES_tradnl"/>
        </w:rPr>
        <w:t xml:space="preserve">n frente al impacto </w:t>
      </w:r>
      <w:r>
        <w:rPr>
          <w:spacing w:val="-5"/>
          <w:sz w:val="18"/>
          <w:szCs w:val="18"/>
          <w:lang w:val="es-ES_tradnl"/>
        </w:rPr>
        <w:t>visual, al uso de se</w:t>
      </w:r>
      <w:r>
        <w:rPr>
          <w:rFonts w:cs="Times New Roman"/>
          <w:spacing w:val="-5"/>
          <w:sz w:val="18"/>
          <w:szCs w:val="18"/>
          <w:lang w:val="es-ES_tradnl"/>
        </w:rPr>
        <w:t>ñ</w:t>
      </w:r>
      <w:r>
        <w:rPr>
          <w:spacing w:val="-5"/>
          <w:sz w:val="18"/>
          <w:szCs w:val="18"/>
          <w:lang w:val="es-ES_tradnl"/>
        </w:rPr>
        <w:t>alizaci</w:t>
      </w:r>
      <w:r>
        <w:rPr>
          <w:rFonts w:cs="Times New Roman"/>
          <w:spacing w:val="-5"/>
          <w:sz w:val="18"/>
          <w:szCs w:val="18"/>
          <w:lang w:val="es-ES_tradnl"/>
        </w:rPr>
        <w:t>ó</w:t>
      </w:r>
      <w:r>
        <w:rPr>
          <w:spacing w:val="-5"/>
          <w:sz w:val="18"/>
          <w:szCs w:val="18"/>
          <w:lang w:val="es-ES_tradnl"/>
        </w:rPr>
        <w:t xml:space="preserve">n, al cumplimiento de los </w:t>
      </w:r>
      <w:r>
        <w:rPr>
          <w:spacing w:val="-7"/>
          <w:sz w:val="18"/>
          <w:szCs w:val="18"/>
          <w:lang w:val="es-ES_tradnl"/>
        </w:rPr>
        <w:t xml:space="preserve">requisitos ambientales necesarios, al cumplimiento de los </w:t>
      </w:r>
      <w:r>
        <w:rPr>
          <w:spacing w:val="-6"/>
          <w:sz w:val="18"/>
          <w:szCs w:val="18"/>
          <w:lang w:val="es-ES_tradnl"/>
        </w:rPr>
        <w:t>permisos de implantaci</w:t>
      </w:r>
      <w:r>
        <w:rPr>
          <w:rFonts w:cs="Times New Roman"/>
          <w:spacing w:val="-6"/>
          <w:sz w:val="18"/>
          <w:szCs w:val="18"/>
          <w:lang w:val="es-ES_tradnl"/>
        </w:rPr>
        <w:t>ó</w:t>
      </w:r>
      <w:r>
        <w:rPr>
          <w:spacing w:val="-6"/>
          <w:sz w:val="18"/>
          <w:szCs w:val="18"/>
          <w:lang w:val="es-ES_tradnl"/>
        </w:rPr>
        <w:t>n y renovaci</w:t>
      </w:r>
      <w:r>
        <w:rPr>
          <w:rFonts w:cs="Times New Roman"/>
          <w:spacing w:val="-6"/>
          <w:sz w:val="18"/>
          <w:szCs w:val="18"/>
          <w:lang w:val="es-ES_tradnl"/>
        </w:rPr>
        <w:t>ó</w:t>
      </w:r>
      <w:r>
        <w:rPr>
          <w:spacing w:val="-6"/>
          <w:sz w:val="18"/>
          <w:szCs w:val="18"/>
          <w:lang w:val="es-ES_tradnl"/>
        </w:rPr>
        <w:t>n, las inspecciones de las instalaciones, el establecimiento de las infracciones y sanciones, y el se</w:t>
      </w:r>
      <w:r>
        <w:rPr>
          <w:rFonts w:cs="Times New Roman"/>
          <w:spacing w:val="-6"/>
          <w:sz w:val="18"/>
          <w:szCs w:val="18"/>
          <w:lang w:val="es-ES_tradnl"/>
        </w:rPr>
        <w:t>ñ</w:t>
      </w:r>
      <w:r>
        <w:rPr>
          <w:spacing w:val="-6"/>
          <w:sz w:val="18"/>
          <w:szCs w:val="18"/>
          <w:lang w:val="es-ES_tradnl"/>
        </w:rPr>
        <w:t xml:space="preserve">alamiento de entrada en vigencia, </w:t>
      </w:r>
      <w:r>
        <w:rPr>
          <w:spacing w:val="-7"/>
          <w:sz w:val="18"/>
          <w:szCs w:val="18"/>
          <w:lang w:val="es-ES_tradnl"/>
        </w:rPr>
        <w:t>aspecto cuya regulaci</w:t>
      </w:r>
      <w:r>
        <w:rPr>
          <w:rFonts w:cs="Times New Roman"/>
          <w:spacing w:val="-7"/>
          <w:sz w:val="18"/>
          <w:szCs w:val="18"/>
          <w:lang w:val="es-ES_tradnl"/>
        </w:rPr>
        <w:t>ó</w:t>
      </w:r>
      <w:r>
        <w:rPr>
          <w:spacing w:val="-7"/>
          <w:sz w:val="18"/>
          <w:szCs w:val="18"/>
          <w:lang w:val="es-ES_tradnl"/>
        </w:rPr>
        <w:t xml:space="preserve">n no extralimita las atribuciones de </w:t>
      </w:r>
      <w:r>
        <w:rPr>
          <w:spacing w:val="-6"/>
          <w:sz w:val="18"/>
          <w:szCs w:val="18"/>
          <w:lang w:val="es-ES_tradnl"/>
        </w:rPr>
        <w:t xml:space="preserve">las municipalidades, dado que son propias del </w:t>
      </w:r>
      <w:r>
        <w:rPr>
          <w:rFonts w:cs="Times New Roman"/>
          <w:spacing w:val="-6"/>
          <w:sz w:val="18"/>
          <w:szCs w:val="18"/>
          <w:lang w:val="es-ES_tradnl"/>
        </w:rPr>
        <w:t>á</w:t>
      </w:r>
      <w:r>
        <w:rPr>
          <w:spacing w:val="-6"/>
          <w:sz w:val="18"/>
          <w:szCs w:val="18"/>
          <w:lang w:val="es-ES_tradnl"/>
        </w:rPr>
        <w:t xml:space="preserve">mbito de </w:t>
      </w:r>
      <w:r>
        <w:rPr>
          <w:sz w:val="18"/>
          <w:szCs w:val="18"/>
          <w:lang w:val="es-ES_tradnl"/>
        </w:rPr>
        <w:t>sus competencias.</w:t>
      </w:r>
    </w:p>
    <w:p w14:paraId="4F67A8D4" w14:textId="77777777" w:rsidR="00591D54" w:rsidRDefault="00591D54">
      <w:pPr>
        <w:shd w:val="clear" w:color="auto" w:fill="FFFFFF"/>
        <w:spacing w:before="202" w:line="226" w:lineRule="exact"/>
        <w:jc w:val="both"/>
      </w:pPr>
      <w:r>
        <w:rPr>
          <w:spacing w:val="-11"/>
          <w:sz w:val="18"/>
          <w:szCs w:val="18"/>
          <w:lang w:val="es-ES_tradnl"/>
        </w:rPr>
        <w:t>De la ordenanza impugnada se observa que la pretensi</w:t>
      </w:r>
      <w:r>
        <w:rPr>
          <w:rFonts w:cs="Times New Roman"/>
          <w:spacing w:val="-11"/>
          <w:sz w:val="18"/>
          <w:szCs w:val="18"/>
          <w:lang w:val="es-ES_tradnl"/>
        </w:rPr>
        <w:t>ó</w:t>
      </w:r>
      <w:r>
        <w:rPr>
          <w:spacing w:val="-11"/>
          <w:sz w:val="18"/>
          <w:szCs w:val="18"/>
          <w:lang w:val="es-ES_tradnl"/>
        </w:rPr>
        <w:t xml:space="preserve">n es </w:t>
      </w:r>
      <w:r>
        <w:rPr>
          <w:sz w:val="18"/>
          <w:szCs w:val="18"/>
          <w:lang w:val="es-ES_tradnl"/>
        </w:rPr>
        <w:t>el establecimiento del cobro de tasas:</w:t>
      </w:r>
    </w:p>
    <w:p w14:paraId="4F67A8D5" w14:textId="77777777" w:rsidR="00591D54" w:rsidRDefault="00591D54">
      <w:pPr>
        <w:shd w:val="clear" w:color="auto" w:fill="FFFFFF"/>
        <w:spacing w:before="221"/>
        <w:ind w:left="283"/>
      </w:pPr>
      <w:r>
        <w:rPr>
          <w:b/>
          <w:bCs/>
          <w:spacing w:val="-5"/>
          <w:sz w:val="16"/>
          <w:szCs w:val="16"/>
          <w:lang w:val="es-ES_tradnl"/>
        </w:rPr>
        <w:t>Art. 18.- Valoraci</w:t>
      </w:r>
      <w:r>
        <w:rPr>
          <w:rFonts w:cs="Times New Roman"/>
          <w:b/>
          <w:bCs/>
          <w:spacing w:val="-5"/>
          <w:sz w:val="16"/>
          <w:szCs w:val="16"/>
          <w:lang w:val="es-ES_tradnl"/>
        </w:rPr>
        <w:t>ó</w:t>
      </w:r>
      <w:r>
        <w:rPr>
          <w:b/>
          <w:bCs/>
          <w:spacing w:val="-5"/>
          <w:sz w:val="16"/>
          <w:szCs w:val="16"/>
          <w:lang w:val="es-ES_tradnl"/>
        </w:rPr>
        <w:t>n.</w:t>
      </w:r>
    </w:p>
    <w:p w14:paraId="4F67A8D6" w14:textId="77777777" w:rsidR="00591D54" w:rsidRDefault="00591D54" w:rsidP="00251195">
      <w:pPr>
        <w:numPr>
          <w:ilvl w:val="0"/>
          <w:numId w:val="42"/>
        </w:numPr>
        <w:shd w:val="clear" w:color="auto" w:fill="FFFFFF"/>
        <w:tabs>
          <w:tab w:val="left" w:pos="720"/>
        </w:tabs>
        <w:spacing w:before="206" w:line="226" w:lineRule="exact"/>
        <w:ind w:left="283"/>
        <w:jc w:val="both"/>
        <w:rPr>
          <w:b/>
          <w:bCs/>
          <w:spacing w:val="-7"/>
          <w:sz w:val="16"/>
          <w:szCs w:val="16"/>
          <w:lang w:val="es-ES_tradnl"/>
        </w:rPr>
      </w:pPr>
      <w:r>
        <w:rPr>
          <w:b/>
          <w:bCs/>
          <w:spacing w:val="-6"/>
          <w:sz w:val="16"/>
          <w:szCs w:val="16"/>
          <w:lang w:val="es-ES_tradnl"/>
        </w:rPr>
        <w:t>El</w:t>
      </w:r>
      <w:r>
        <w:rPr>
          <w:b/>
          <w:bCs/>
          <w:spacing w:val="-6"/>
          <w:sz w:val="18"/>
          <w:szCs w:val="18"/>
          <w:lang w:val="es-ES_tradnl"/>
        </w:rPr>
        <w:t xml:space="preserve"> </w:t>
      </w:r>
      <w:r>
        <w:rPr>
          <w:b/>
          <w:bCs/>
          <w:spacing w:val="-6"/>
          <w:sz w:val="16"/>
          <w:szCs w:val="16"/>
          <w:lang w:val="es-ES_tradnl"/>
        </w:rPr>
        <w:t>permiso</w:t>
      </w:r>
      <w:r>
        <w:rPr>
          <w:b/>
          <w:bCs/>
          <w:spacing w:val="-6"/>
          <w:sz w:val="18"/>
          <w:szCs w:val="18"/>
          <w:lang w:val="es-ES_tradnl"/>
        </w:rPr>
        <w:t xml:space="preserve"> </w:t>
      </w:r>
      <w:r>
        <w:rPr>
          <w:b/>
          <w:bCs/>
          <w:spacing w:val="-6"/>
          <w:sz w:val="16"/>
          <w:szCs w:val="16"/>
          <w:lang w:val="es-ES_tradnl"/>
        </w:rPr>
        <w:t>de</w:t>
      </w:r>
      <w:r>
        <w:rPr>
          <w:b/>
          <w:bCs/>
          <w:spacing w:val="-6"/>
          <w:sz w:val="18"/>
          <w:szCs w:val="18"/>
          <w:lang w:val="es-ES_tradnl"/>
        </w:rPr>
        <w:t xml:space="preserve"> </w:t>
      </w:r>
      <w:r>
        <w:rPr>
          <w:b/>
          <w:bCs/>
          <w:spacing w:val="-6"/>
          <w:sz w:val="16"/>
          <w:szCs w:val="16"/>
          <w:lang w:val="es-ES_tradnl"/>
        </w:rPr>
        <w:t>implantaci</w:t>
      </w:r>
      <w:r>
        <w:rPr>
          <w:rFonts w:cs="Times New Roman"/>
          <w:b/>
          <w:bCs/>
          <w:spacing w:val="-6"/>
          <w:sz w:val="16"/>
          <w:szCs w:val="16"/>
          <w:lang w:val="es-ES_tradnl"/>
        </w:rPr>
        <w:t>ó</w:t>
      </w:r>
      <w:r>
        <w:rPr>
          <w:b/>
          <w:bCs/>
          <w:spacing w:val="-6"/>
          <w:sz w:val="16"/>
          <w:szCs w:val="16"/>
          <w:lang w:val="es-ES_tradnl"/>
        </w:rPr>
        <w:t>n</w:t>
      </w:r>
      <w:r>
        <w:rPr>
          <w:b/>
          <w:bCs/>
          <w:spacing w:val="-6"/>
          <w:sz w:val="18"/>
          <w:szCs w:val="18"/>
          <w:lang w:val="es-ES_tradnl"/>
        </w:rPr>
        <w:t xml:space="preserve"> </w:t>
      </w:r>
      <w:r>
        <w:rPr>
          <w:spacing w:val="-6"/>
          <w:sz w:val="16"/>
          <w:szCs w:val="16"/>
          <w:lang w:val="es-ES_tradnl"/>
        </w:rPr>
        <w:t>ser</w:t>
      </w:r>
      <w:r>
        <w:rPr>
          <w:rFonts w:cs="Times New Roman"/>
          <w:spacing w:val="-6"/>
          <w:sz w:val="16"/>
          <w:szCs w:val="16"/>
          <w:lang w:val="es-ES_tradnl"/>
        </w:rPr>
        <w:t>á</w:t>
      </w:r>
      <w:r>
        <w:rPr>
          <w:spacing w:val="-6"/>
          <w:sz w:val="18"/>
          <w:szCs w:val="18"/>
          <w:lang w:val="es-ES_tradnl"/>
        </w:rPr>
        <w:t xml:space="preserve"> </w:t>
      </w:r>
      <w:r>
        <w:rPr>
          <w:spacing w:val="-6"/>
          <w:sz w:val="16"/>
          <w:szCs w:val="16"/>
          <w:lang w:val="es-ES_tradnl"/>
        </w:rPr>
        <w:t>para</w:t>
      </w:r>
      <w:r>
        <w:rPr>
          <w:spacing w:val="-6"/>
          <w:sz w:val="18"/>
          <w:szCs w:val="18"/>
          <w:lang w:val="es-ES_tradnl"/>
        </w:rPr>
        <w:t xml:space="preserve"> </w:t>
      </w:r>
      <w:r>
        <w:rPr>
          <w:spacing w:val="-6"/>
          <w:sz w:val="16"/>
          <w:szCs w:val="16"/>
          <w:lang w:val="es-ES_tradnl"/>
        </w:rPr>
        <w:t>cada</w:t>
      </w:r>
      <w:r>
        <w:rPr>
          <w:spacing w:val="-6"/>
          <w:sz w:val="18"/>
          <w:szCs w:val="18"/>
          <w:lang w:val="es-ES_tradnl"/>
        </w:rPr>
        <w:t xml:space="preserve"> </w:t>
      </w:r>
      <w:r>
        <w:rPr>
          <w:spacing w:val="-6"/>
          <w:sz w:val="16"/>
          <w:szCs w:val="16"/>
          <w:lang w:val="es-ES_tradnl"/>
        </w:rPr>
        <w:t>estaci</w:t>
      </w:r>
      <w:r>
        <w:rPr>
          <w:rFonts w:cs="Times New Roman"/>
          <w:spacing w:val="-6"/>
          <w:sz w:val="16"/>
          <w:szCs w:val="16"/>
          <w:lang w:val="es-ES_tradnl"/>
        </w:rPr>
        <w:t>ó</w:t>
      </w:r>
      <w:r>
        <w:rPr>
          <w:spacing w:val="-6"/>
          <w:sz w:val="16"/>
          <w:szCs w:val="16"/>
          <w:lang w:val="es-ES_tradnl"/>
        </w:rPr>
        <w:t xml:space="preserve">n </w:t>
      </w:r>
      <w:r>
        <w:rPr>
          <w:spacing w:val="-5"/>
          <w:sz w:val="16"/>
          <w:szCs w:val="16"/>
          <w:lang w:val="es-ES_tradnl"/>
        </w:rPr>
        <w:t>y tendr</w:t>
      </w:r>
      <w:r>
        <w:rPr>
          <w:rFonts w:cs="Times New Roman"/>
          <w:spacing w:val="-5"/>
          <w:sz w:val="16"/>
          <w:szCs w:val="16"/>
          <w:lang w:val="es-ES_tradnl"/>
        </w:rPr>
        <w:t>á</w:t>
      </w:r>
      <w:r>
        <w:rPr>
          <w:spacing w:val="-5"/>
          <w:sz w:val="16"/>
          <w:szCs w:val="16"/>
          <w:lang w:val="es-ES_tradnl"/>
        </w:rPr>
        <w:t xml:space="preserve"> un valor de cinco salarios b</w:t>
      </w:r>
      <w:r>
        <w:rPr>
          <w:rFonts w:cs="Times New Roman"/>
          <w:spacing w:val="-5"/>
          <w:sz w:val="16"/>
          <w:szCs w:val="16"/>
          <w:lang w:val="es-ES_tradnl"/>
        </w:rPr>
        <w:t>á</w:t>
      </w:r>
      <w:r>
        <w:rPr>
          <w:spacing w:val="-5"/>
          <w:sz w:val="16"/>
          <w:szCs w:val="16"/>
          <w:lang w:val="es-ES_tradnl"/>
        </w:rPr>
        <w:t xml:space="preserve">sicos unificados del </w:t>
      </w:r>
      <w:r>
        <w:rPr>
          <w:sz w:val="16"/>
          <w:szCs w:val="16"/>
          <w:lang w:val="es-ES_tradnl"/>
        </w:rPr>
        <w:t>trabajador en general del sector privado;</w:t>
      </w:r>
    </w:p>
    <w:p w14:paraId="4F67A8D7" w14:textId="77777777" w:rsidR="00591D54" w:rsidRDefault="00591D54" w:rsidP="00251195">
      <w:pPr>
        <w:numPr>
          <w:ilvl w:val="0"/>
          <w:numId w:val="42"/>
        </w:numPr>
        <w:shd w:val="clear" w:color="auto" w:fill="FFFFFF"/>
        <w:tabs>
          <w:tab w:val="left" w:pos="720"/>
        </w:tabs>
        <w:spacing w:before="216" w:line="221" w:lineRule="exact"/>
        <w:ind w:left="283"/>
        <w:jc w:val="both"/>
        <w:rPr>
          <w:b/>
          <w:bCs/>
          <w:spacing w:val="-7"/>
          <w:sz w:val="16"/>
          <w:szCs w:val="16"/>
          <w:lang w:val="es-ES_tradnl"/>
        </w:rPr>
      </w:pPr>
      <w:r>
        <w:rPr>
          <w:b/>
          <w:bCs/>
          <w:spacing w:val="-2"/>
          <w:sz w:val="16"/>
          <w:szCs w:val="16"/>
          <w:lang w:val="es-ES_tradnl"/>
        </w:rPr>
        <w:t>Estructura</w:t>
      </w:r>
      <w:r>
        <w:rPr>
          <w:b/>
          <w:bCs/>
          <w:spacing w:val="-2"/>
          <w:sz w:val="18"/>
          <w:szCs w:val="18"/>
          <w:lang w:val="es-ES_tradnl"/>
        </w:rPr>
        <w:t xml:space="preserve"> </w:t>
      </w:r>
      <w:r>
        <w:rPr>
          <w:b/>
          <w:bCs/>
          <w:spacing w:val="-2"/>
          <w:sz w:val="16"/>
          <w:szCs w:val="16"/>
          <w:lang w:val="es-ES_tradnl"/>
        </w:rPr>
        <w:t>-</w:t>
      </w:r>
      <w:r>
        <w:rPr>
          <w:b/>
          <w:bCs/>
          <w:spacing w:val="-2"/>
          <w:sz w:val="18"/>
          <w:szCs w:val="18"/>
          <w:lang w:val="es-ES_tradnl"/>
        </w:rPr>
        <w:t xml:space="preserve"> </w:t>
      </w:r>
      <w:r>
        <w:rPr>
          <w:b/>
          <w:bCs/>
          <w:spacing w:val="-2"/>
          <w:sz w:val="16"/>
          <w:szCs w:val="16"/>
          <w:lang w:val="es-ES_tradnl"/>
        </w:rPr>
        <w:t>antenas</w:t>
      </w:r>
      <w:r>
        <w:rPr>
          <w:b/>
          <w:bCs/>
          <w:spacing w:val="-2"/>
          <w:sz w:val="18"/>
          <w:szCs w:val="18"/>
          <w:lang w:val="es-ES_tradnl"/>
        </w:rPr>
        <w:t xml:space="preserve"> </w:t>
      </w:r>
      <w:r>
        <w:rPr>
          <w:b/>
          <w:bCs/>
          <w:spacing w:val="-2"/>
          <w:sz w:val="16"/>
          <w:szCs w:val="16"/>
          <w:lang w:val="es-ES_tradnl"/>
        </w:rPr>
        <w:t>-</w:t>
      </w:r>
      <w:r>
        <w:rPr>
          <w:b/>
          <w:bCs/>
          <w:spacing w:val="-2"/>
          <w:sz w:val="18"/>
          <w:szCs w:val="18"/>
          <w:lang w:val="es-ES_tradnl"/>
        </w:rPr>
        <w:t xml:space="preserve"> </w:t>
      </w:r>
      <w:r>
        <w:rPr>
          <w:b/>
          <w:bCs/>
          <w:spacing w:val="-2"/>
          <w:sz w:val="16"/>
          <w:szCs w:val="16"/>
          <w:lang w:val="es-ES_tradnl"/>
        </w:rPr>
        <w:t>torres</w:t>
      </w:r>
      <w:r>
        <w:rPr>
          <w:b/>
          <w:bCs/>
          <w:spacing w:val="-2"/>
          <w:sz w:val="18"/>
          <w:szCs w:val="18"/>
          <w:lang w:val="es-ES_tradnl"/>
        </w:rPr>
        <w:t xml:space="preserve"> </w:t>
      </w:r>
      <w:r>
        <w:rPr>
          <w:b/>
          <w:bCs/>
          <w:spacing w:val="-2"/>
          <w:sz w:val="16"/>
          <w:szCs w:val="16"/>
          <w:lang w:val="es-ES_tradnl"/>
        </w:rPr>
        <w:t>-</w:t>
      </w:r>
      <w:r>
        <w:rPr>
          <w:b/>
          <w:bCs/>
          <w:spacing w:val="-2"/>
          <w:sz w:val="18"/>
          <w:szCs w:val="18"/>
          <w:lang w:val="es-ES_tradnl"/>
        </w:rPr>
        <w:t xml:space="preserve"> </w:t>
      </w:r>
      <w:r>
        <w:rPr>
          <w:b/>
          <w:bCs/>
          <w:spacing w:val="-2"/>
          <w:sz w:val="16"/>
          <w:szCs w:val="16"/>
          <w:lang w:val="es-ES_tradnl"/>
        </w:rPr>
        <w:t>torretas.-</w:t>
      </w:r>
      <w:r>
        <w:rPr>
          <w:b/>
          <w:bCs/>
          <w:spacing w:val="-2"/>
          <w:sz w:val="18"/>
          <w:szCs w:val="18"/>
          <w:lang w:val="es-ES_tradnl"/>
        </w:rPr>
        <w:t xml:space="preserve"> </w:t>
      </w:r>
      <w:r>
        <w:rPr>
          <w:spacing w:val="-2"/>
          <w:sz w:val="16"/>
          <w:szCs w:val="16"/>
          <w:lang w:val="es-ES_tradnl"/>
        </w:rPr>
        <w:t>Pagar</w:t>
      </w:r>
      <w:r>
        <w:rPr>
          <w:rFonts w:cs="Times New Roman"/>
          <w:spacing w:val="-2"/>
          <w:sz w:val="16"/>
          <w:szCs w:val="16"/>
          <w:lang w:val="es-ES_tradnl"/>
        </w:rPr>
        <w:t>á</w:t>
      </w:r>
      <w:r>
        <w:rPr>
          <w:spacing w:val="-2"/>
          <w:sz w:val="16"/>
          <w:szCs w:val="16"/>
          <w:lang w:val="es-ES_tradnl"/>
        </w:rPr>
        <w:t xml:space="preserve">n </w:t>
      </w:r>
      <w:r>
        <w:rPr>
          <w:spacing w:val="-5"/>
          <w:sz w:val="16"/>
          <w:szCs w:val="16"/>
          <w:lang w:val="es-ES_tradnl"/>
        </w:rPr>
        <w:t>el 20% de la RBU diarios por ocupaci</w:t>
      </w:r>
      <w:r>
        <w:rPr>
          <w:rFonts w:cs="Times New Roman"/>
          <w:spacing w:val="-5"/>
          <w:sz w:val="16"/>
          <w:szCs w:val="16"/>
          <w:lang w:val="es-ES_tradnl"/>
        </w:rPr>
        <w:t>ó</w:t>
      </w:r>
      <w:r>
        <w:rPr>
          <w:spacing w:val="-5"/>
          <w:sz w:val="16"/>
          <w:szCs w:val="16"/>
          <w:lang w:val="es-ES_tradnl"/>
        </w:rPr>
        <w:t>n del espacio a</w:t>
      </w:r>
      <w:r>
        <w:rPr>
          <w:rFonts w:cs="Times New Roman"/>
          <w:spacing w:val="-5"/>
          <w:sz w:val="16"/>
          <w:szCs w:val="16"/>
          <w:lang w:val="es-ES_tradnl"/>
        </w:rPr>
        <w:t>é</w:t>
      </w:r>
      <w:r>
        <w:rPr>
          <w:spacing w:val="-5"/>
          <w:sz w:val="16"/>
          <w:szCs w:val="16"/>
          <w:lang w:val="es-ES_tradnl"/>
        </w:rPr>
        <w:t xml:space="preserve">reo </w:t>
      </w:r>
      <w:r>
        <w:rPr>
          <w:spacing w:val="-9"/>
          <w:sz w:val="16"/>
          <w:szCs w:val="16"/>
          <w:lang w:val="es-ES_tradnl"/>
        </w:rPr>
        <w:t xml:space="preserve">permanente para radio, base celular, para uso comercial y otros </w:t>
      </w:r>
      <w:r>
        <w:rPr>
          <w:sz w:val="16"/>
          <w:szCs w:val="16"/>
          <w:lang w:val="es-ES_tradnl"/>
        </w:rPr>
        <w:t>usos; y,</w:t>
      </w:r>
    </w:p>
    <w:p w14:paraId="4F67A8D8" w14:textId="77777777" w:rsidR="00591D54" w:rsidRDefault="00591D54" w:rsidP="00251195">
      <w:pPr>
        <w:numPr>
          <w:ilvl w:val="0"/>
          <w:numId w:val="42"/>
        </w:numPr>
        <w:shd w:val="clear" w:color="auto" w:fill="FFFFFF"/>
        <w:tabs>
          <w:tab w:val="left" w:pos="720"/>
        </w:tabs>
        <w:spacing w:before="206" w:line="226" w:lineRule="exact"/>
        <w:ind w:left="283"/>
        <w:jc w:val="both"/>
        <w:rPr>
          <w:b/>
          <w:bCs/>
          <w:spacing w:val="-12"/>
          <w:sz w:val="16"/>
          <w:szCs w:val="16"/>
          <w:lang w:val="es-ES_tradnl"/>
        </w:rPr>
      </w:pPr>
      <w:r>
        <w:rPr>
          <w:b/>
          <w:bCs/>
          <w:spacing w:val="-3"/>
          <w:sz w:val="16"/>
          <w:szCs w:val="16"/>
          <w:lang w:val="es-ES_tradnl"/>
        </w:rPr>
        <w:t>Se</w:t>
      </w:r>
      <w:r>
        <w:rPr>
          <w:rFonts w:cs="Times New Roman"/>
          <w:b/>
          <w:bCs/>
          <w:spacing w:val="-3"/>
          <w:sz w:val="16"/>
          <w:szCs w:val="16"/>
          <w:lang w:val="es-ES_tradnl"/>
        </w:rPr>
        <w:t>ñ</w:t>
      </w:r>
      <w:r>
        <w:rPr>
          <w:b/>
          <w:bCs/>
          <w:spacing w:val="-3"/>
          <w:sz w:val="16"/>
          <w:szCs w:val="16"/>
          <w:lang w:val="es-ES_tradnl"/>
        </w:rPr>
        <w:t>alizaci</w:t>
      </w:r>
      <w:r>
        <w:rPr>
          <w:rFonts w:cs="Times New Roman"/>
          <w:b/>
          <w:bCs/>
          <w:spacing w:val="-3"/>
          <w:sz w:val="16"/>
          <w:szCs w:val="16"/>
          <w:lang w:val="es-ES_tradnl"/>
        </w:rPr>
        <w:t>ó</w:t>
      </w:r>
      <w:r>
        <w:rPr>
          <w:b/>
          <w:bCs/>
          <w:spacing w:val="-3"/>
          <w:sz w:val="16"/>
          <w:szCs w:val="16"/>
          <w:lang w:val="es-ES_tradnl"/>
        </w:rPr>
        <w:t>n</w:t>
      </w:r>
      <w:r>
        <w:rPr>
          <w:b/>
          <w:bCs/>
          <w:spacing w:val="-3"/>
          <w:sz w:val="18"/>
          <w:szCs w:val="18"/>
          <w:lang w:val="es-ES_tradnl"/>
        </w:rPr>
        <w:t xml:space="preserve"> </w:t>
      </w:r>
      <w:r>
        <w:rPr>
          <w:b/>
          <w:bCs/>
          <w:spacing w:val="-3"/>
          <w:sz w:val="16"/>
          <w:szCs w:val="16"/>
          <w:lang w:val="es-ES_tradnl"/>
        </w:rPr>
        <w:t>o</w:t>
      </w:r>
      <w:r>
        <w:rPr>
          <w:b/>
          <w:bCs/>
          <w:spacing w:val="-3"/>
          <w:sz w:val="18"/>
          <w:szCs w:val="18"/>
          <w:lang w:val="es-ES_tradnl"/>
        </w:rPr>
        <w:t xml:space="preserve"> </w:t>
      </w:r>
      <w:r>
        <w:rPr>
          <w:b/>
          <w:bCs/>
          <w:spacing w:val="-3"/>
          <w:sz w:val="16"/>
          <w:szCs w:val="16"/>
          <w:lang w:val="es-ES_tradnl"/>
        </w:rPr>
        <w:t>frecuencia.-</w:t>
      </w:r>
      <w:r>
        <w:rPr>
          <w:b/>
          <w:bCs/>
          <w:spacing w:val="-3"/>
          <w:sz w:val="18"/>
          <w:szCs w:val="18"/>
          <w:lang w:val="es-ES_tradnl"/>
        </w:rPr>
        <w:t xml:space="preserve"> </w:t>
      </w:r>
      <w:r>
        <w:rPr>
          <w:spacing w:val="-3"/>
          <w:sz w:val="16"/>
          <w:szCs w:val="16"/>
          <w:lang w:val="es-ES_tradnl"/>
        </w:rPr>
        <w:t>Clasificaci</w:t>
      </w:r>
      <w:r>
        <w:rPr>
          <w:rFonts w:cs="Times New Roman"/>
          <w:spacing w:val="-3"/>
          <w:sz w:val="16"/>
          <w:szCs w:val="16"/>
          <w:lang w:val="es-ES_tradnl"/>
        </w:rPr>
        <w:t>ó</w:t>
      </w:r>
      <w:r>
        <w:rPr>
          <w:spacing w:val="-3"/>
          <w:sz w:val="16"/>
          <w:szCs w:val="16"/>
          <w:lang w:val="es-ES_tradnl"/>
        </w:rPr>
        <w:t>n:</w:t>
      </w:r>
      <w:r>
        <w:rPr>
          <w:spacing w:val="-3"/>
          <w:sz w:val="18"/>
          <w:szCs w:val="18"/>
          <w:lang w:val="es-ES_tradnl"/>
        </w:rPr>
        <w:t xml:space="preserve"> </w:t>
      </w:r>
      <w:r>
        <w:rPr>
          <w:spacing w:val="-3"/>
          <w:sz w:val="16"/>
          <w:szCs w:val="16"/>
          <w:lang w:val="es-ES_tradnl"/>
        </w:rPr>
        <w:t>Las estructuras met</w:t>
      </w:r>
      <w:r>
        <w:rPr>
          <w:rFonts w:cs="Times New Roman"/>
          <w:spacing w:val="-3"/>
          <w:sz w:val="16"/>
          <w:szCs w:val="16"/>
          <w:lang w:val="es-ES_tradnl"/>
        </w:rPr>
        <w:t>á</w:t>
      </w:r>
      <w:r>
        <w:rPr>
          <w:spacing w:val="-3"/>
          <w:sz w:val="16"/>
          <w:szCs w:val="16"/>
          <w:lang w:val="es-ES_tradnl"/>
        </w:rPr>
        <w:t xml:space="preserve">licas que son de propiedad privada, </w:t>
      </w:r>
      <w:r>
        <w:rPr>
          <w:spacing w:val="-7"/>
          <w:sz w:val="16"/>
          <w:szCs w:val="16"/>
          <w:lang w:val="es-ES_tradnl"/>
        </w:rPr>
        <w:t>concesionarias o p</w:t>
      </w:r>
      <w:r>
        <w:rPr>
          <w:rFonts w:cs="Times New Roman"/>
          <w:spacing w:val="-7"/>
          <w:sz w:val="16"/>
          <w:szCs w:val="16"/>
          <w:lang w:val="es-ES_tradnl"/>
        </w:rPr>
        <w:t>ú</w:t>
      </w:r>
      <w:r>
        <w:rPr>
          <w:spacing w:val="-7"/>
          <w:sz w:val="16"/>
          <w:szCs w:val="16"/>
          <w:lang w:val="es-ES_tradnl"/>
        </w:rPr>
        <w:t>blicas y otras, pagar</w:t>
      </w:r>
      <w:r>
        <w:rPr>
          <w:rFonts w:cs="Times New Roman"/>
          <w:spacing w:val="-7"/>
          <w:sz w:val="16"/>
          <w:szCs w:val="16"/>
          <w:lang w:val="es-ES_tradnl"/>
        </w:rPr>
        <w:t>á</w:t>
      </w:r>
      <w:r>
        <w:rPr>
          <w:spacing w:val="-7"/>
          <w:sz w:val="16"/>
          <w:szCs w:val="16"/>
          <w:lang w:val="es-ES_tradnl"/>
        </w:rPr>
        <w:t xml:space="preserve">n el 20% de la RBU </w:t>
      </w:r>
      <w:r>
        <w:rPr>
          <w:spacing w:val="-6"/>
          <w:sz w:val="16"/>
          <w:szCs w:val="16"/>
          <w:lang w:val="es-ES_tradnl"/>
        </w:rPr>
        <w:t>diaria, as</w:t>
      </w:r>
      <w:r>
        <w:rPr>
          <w:rFonts w:cs="Times New Roman"/>
          <w:spacing w:val="-6"/>
          <w:sz w:val="16"/>
          <w:szCs w:val="16"/>
          <w:lang w:val="es-ES_tradnl"/>
        </w:rPr>
        <w:t>í</w:t>
      </w:r>
      <w:r>
        <w:rPr>
          <w:spacing w:val="-6"/>
          <w:sz w:val="16"/>
          <w:szCs w:val="16"/>
          <w:lang w:val="es-ES_tradnl"/>
        </w:rPr>
        <w:t xml:space="preserve"> como tambi</w:t>
      </w:r>
      <w:r>
        <w:rPr>
          <w:rFonts w:cs="Times New Roman"/>
          <w:spacing w:val="-6"/>
          <w:sz w:val="16"/>
          <w:szCs w:val="16"/>
          <w:lang w:val="es-ES_tradnl"/>
        </w:rPr>
        <w:t>é</w:t>
      </w:r>
      <w:r>
        <w:rPr>
          <w:spacing w:val="-6"/>
          <w:sz w:val="16"/>
          <w:szCs w:val="16"/>
          <w:lang w:val="es-ES_tradnl"/>
        </w:rPr>
        <w:t>n el uso de frecuencia por ocupaci</w:t>
      </w:r>
      <w:r>
        <w:rPr>
          <w:rFonts w:cs="Times New Roman"/>
          <w:spacing w:val="-6"/>
          <w:sz w:val="16"/>
          <w:szCs w:val="16"/>
          <w:lang w:val="es-ES_tradnl"/>
        </w:rPr>
        <w:t>ó</w:t>
      </w:r>
      <w:r>
        <w:rPr>
          <w:spacing w:val="-6"/>
          <w:sz w:val="16"/>
          <w:szCs w:val="16"/>
          <w:lang w:val="es-ES_tradnl"/>
        </w:rPr>
        <w:t xml:space="preserve">n </w:t>
      </w:r>
      <w:r>
        <w:rPr>
          <w:spacing w:val="-9"/>
          <w:sz w:val="16"/>
          <w:szCs w:val="16"/>
          <w:lang w:val="es-ES_tradnl"/>
        </w:rPr>
        <w:t>del espacio a</w:t>
      </w:r>
      <w:r>
        <w:rPr>
          <w:rFonts w:cs="Times New Roman"/>
          <w:spacing w:val="-9"/>
          <w:sz w:val="16"/>
          <w:szCs w:val="16"/>
          <w:lang w:val="es-ES_tradnl"/>
        </w:rPr>
        <w:t>é</w:t>
      </w:r>
      <w:r>
        <w:rPr>
          <w:spacing w:val="-9"/>
          <w:sz w:val="16"/>
          <w:szCs w:val="16"/>
          <w:lang w:val="es-ES_tradnl"/>
        </w:rPr>
        <w:t>reo de uso comercial, para comunicaci</w:t>
      </w:r>
      <w:r>
        <w:rPr>
          <w:rFonts w:cs="Times New Roman"/>
          <w:spacing w:val="-9"/>
          <w:sz w:val="16"/>
          <w:szCs w:val="16"/>
          <w:lang w:val="es-ES_tradnl"/>
        </w:rPr>
        <w:t>ó</w:t>
      </w:r>
      <w:r>
        <w:rPr>
          <w:spacing w:val="-9"/>
          <w:sz w:val="16"/>
          <w:szCs w:val="16"/>
          <w:lang w:val="es-ES_tradnl"/>
        </w:rPr>
        <w:t xml:space="preserve">n celular, </w:t>
      </w:r>
      <w:r>
        <w:rPr>
          <w:sz w:val="16"/>
          <w:szCs w:val="16"/>
          <w:lang w:val="es-ES_tradnl"/>
        </w:rPr>
        <w:t>social y por cada una de ellas.</w:t>
      </w:r>
    </w:p>
    <w:p w14:paraId="4F67A8D9" w14:textId="77777777" w:rsidR="00591D54" w:rsidRDefault="00591D54">
      <w:pPr>
        <w:shd w:val="clear" w:color="auto" w:fill="FFFFFF"/>
        <w:spacing w:before="206" w:line="226" w:lineRule="exact"/>
        <w:ind w:left="283"/>
        <w:jc w:val="both"/>
      </w:pPr>
      <w:r>
        <w:rPr>
          <w:spacing w:val="-8"/>
          <w:sz w:val="16"/>
          <w:szCs w:val="16"/>
          <w:lang w:val="es-ES_tradnl"/>
        </w:rPr>
        <w:t>Antena y frecuencia, para radio ayuda fija y radio aficionados, estas pagar</w:t>
      </w:r>
      <w:r>
        <w:rPr>
          <w:rFonts w:cs="Times New Roman"/>
          <w:spacing w:val="-8"/>
          <w:sz w:val="16"/>
          <w:szCs w:val="16"/>
          <w:lang w:val="es-ES_tradnl"/>
        </w:rPr>
        <w:t>á</w:t>
      </w:r>
      <w:r>
        <w:rPr>
          <w:spacing w:val="-8"/>
          <w:sz w:val="16"/>
          <w:szCs w:val="16"/>
          <w:lang w:val="es-ES_tradnl"/>
        </w:rPr>
        <w:t xml:space="preserve">n el 7% del RBU por el mismo concepto detallado </w:t>
      </w:r>
      <w:r>
        <w:rPr>
          <w:sz w:val="16"/>
          <w:szCs w:val="16"/>
          <w:lang w:val="es-ES_tradnl"/>
        </w:rPr>
        <w:t>anteriormente.</w:t>
      </w:r>
    </w:p>
    <w:p w14:paraId="4F67A8DA" w14:textId="77777777" w:rsidR="00591D54" w:rsidRDefault="00591D54">
      <w:pPr>
        <w:shd w:val="clear" w:color="auto" w:fill="FFFFFF"/>
        <w:spacing w:before="206" w:line="226" w:lineRule="exact"/>
        <w:ind w:left="283"/>
        <w:jc w:val="both"/>
        <w:sectPr w:rsidR="00591D54">
          <w:type w:val="continuous"/>
          <w:pgSz w:w="11909" w:h="16834"/>
          <w:pgMar w:top="1368" w:right="1309" w:bottom="360" w:left="1308" w:header="720" w:footer="720" w:gutter="0"/>
          <w:cols w:num="2" w:space="720" w:equalWidth="0">
            <w:col w:w="4305" w:space="682"/>
            <w:col w:w="4305"/>
          </w:cols>
          <w:noEndnote/>
        </w:sectPr>
      </w:pPr>
    </w:p>
    <w:p w14:paraId="4F67A8DB" w14:textId="77777777" w:rsidR="00591D54" w:rsidRDefault="00591D54">
      <w:pPr>
        <w:shd w:val="clear" w:color="auto" w:fill="FFFFFF"/>
        <w:tabs>
          <w:tab w:val="left" w:pos="595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- 67</w:t>
      </w:r>
    </w:p>
    <w:p w14:paraId="4F67A8DC" w14:textId="77777777" w:rsidR="00591D54" w:rsidRDefault="00591D54">
      <w:pPr>
        <w:shd w:val="clear" w:color="auto" w:fill="FFFFFF"/>
        <w:tabs>
          <w:tab w:val="left" w:pos="5952"/>
        </w:tabs>
        <w:spacing w:after="230"/>
        <w:ind w:left="5"/>
        <w:sectPr w:rsidR="00591D54">
          <w:pgSz w:w="11909" w:h="16834"/>
          <w:pgMar w:top="1371" w:right="1304" w:bottom="360" w:left="1308" w:header="720" w:footer="720" w:gutter="0"/>
          <w:cols w:space="60"/>
          <w:noEndnote/>
        </w:sectPr>
      </w:pPr>
    </w:p>
    <w:p w14:paraId="4F67A8DD" w14:textId="77777777" w:rsidR="00591D54" w:rsidRDefault="00591D54">
      <w:pPr>
        <w:shd w:val="clear" w:color="auto" w:fill="FFFFFF"/>
        <w:spacing w:line="216" w:lineRule="exact"/>
        <w:ind w:left="283"/>
        <w:jc w:val="both"/>
      </w:pPr>
      <w:r>
        <w:rPr>
          <w:spacing w:val="-7"/>
          <w:sz w:val="16"/>
          <w:szCs w:val="16"/>
          <w:lang w:val="es-ES_tradnl"/>
        </w:rPr>
        <w:t>Antena y frecuencia, para radio emisora, estas pagar</w:t>
      </w:r>
      <w:r>
        <w:rPr>
          <w:rFonts w:cs="Times New Roman"/>
          <w:spacing w:val="-7"/>
          <w:sz w:val="16"/>
          <w:szCs w:val="16"/>
          <w:lang w:val="es-ES_tradnl"/>
        </w:rPr>
        <w:t>á</w:t>
      </w:r>
      <w:r>
        <w:rPr>
          <w:spacing w:val="-7"/>
          <w:sz w:val="16"/>
          <w:szCs w:val="16"/>
          <w:lang w:val="es-ES_tradnl"/>
        </w:rPr>
        <w:t xml:space="preserve">n el 2% </w:t>
      </w:r>
      <w:r>
        <w:rPr>
          <w:spacing w:val="-6"/>
          <w:sz w:val="16"/>
          <w:szCs w:val="16"/>
          <w:lang w:val="es-ES_tradnl"/>
        </w:rPr>
        <w:t>del RBU por el mismo concepto detallado anteriormente.</w:t>
      </w:r>
    </w:p>
    <w:p w14:paraId="4F67A8DE" w14:textId="77777777" w:rsidR="00591D54" w:rsidRDefault="00591D54">
      <w:pPr>
        <w:shd w:val="clear" w:color="auto" w:fill="FFFFFF"/>
        <w:spacing w:before="211" w:line="216" w:lineRule="exact"/>
        <w:ind w:left="283"/>
        <w:jc w:val="both"/>
      </w:pPr>
      <w:r>
        <w:rPr>
          <w:spacing w:val="-4"/>
          <w:sz w:val="16"/>
          <w:szCs w:val="16"/>
          <w:lang w:val="es-ES_tradnl"/>
        </w:rPr>
        <w:t>Se</w:t>
      </w:r>
      <w:r>
        <w:rPr>
          <w:rFonts w:cs="Times New Roman"/>
          <w:spacing w:val="-4"/>
          <w:sz w:val="16"/>
          <w:szCs w:val="16"/>
          <w:lang w:val="es-ES_tradnl"/>
        </w:rPr>
        <w:t>ñ</w:t>
      </w:r>
      <w:r>
        <w:rPr>
          <w:spacing w:val="-4"/>
          <w:sz w:val="16"/>
          <w:szCs w:val="16"/>
          <w:lang w:val="es-ES_tradnl"/>
        </w:rPr>
        <w:t>al o frecuencia de transmisi</w:t>
      </w:r>
      <w:r>
        <w:rPr>
          <w:rFonts w:cs="Times New Roman"/>
          <w:spacing w:val="-4"/>
          <w:sz w:val="16"/>
          <w:szCs w:val="16"/>
          <w:lang w:val="es-ES_tradnl"/>
        </w:rPr>
        <w:t>ó</w:t>
      </w:r>
      <w:r>
        <w:rPr>
          <w:spacing w:val="-4"/>
          <w:sz w:val="16"/>
          <w:szCs w:val="16"/>
          <w:lang w:val="es-ES_tradnl"/>
        </w:rPr>
        <w:t>n satelital de televisi</w:t>
      </w:r>
      <w:r>
        <w:rPr>
          <w:rFonts w:cs="Times New Roman"/>
          <w:spacing w:val="-4"/>
          <w:sz w:val="16"/>
          <w:szCs w:val="16"/>
          <w:lang w:val="es-ES_tradnl"/>
        </w:rPr>
        <w:t>ó</w:t>
      </w:r>
      <w:r>
        <w:rPr>
          <w:spacing w:val="-4"/>
          <w:sz w:val="16"/>
          <w:szCs w:val="16"/>
          <w:lang w:val="es-ES_tradnl"/>
        </w:rPr>
        <w:t xml:space="preserve">n, </w:t>
      </w:r>
      <w:r>
        <w:rPr>
          <w:sz w:val="16"/>
          <w:szCs w:val="16"/>
          <w:lang w:val="es-ES_tradnl"/>
        </w:rPr>
        <w:t>pagar</w:t>
      </w:r>
      <w:r>
        <w:rPr>
          <w:rFonts w:cs="Times New Roman"/>
          <w:sz w:val="16"/>
          <w:szCs w:val="16"/>
          <w:lang w:val="es-ES_tradnl"/>
        </w:rPr>
        <w:t>á</w:t>
      </w:r>
      <w:r>
        <w:rPr>
          <w:sz w:val="16"/>
          <w:szCs w:val="16"/>
          <w:lang w:val="es-ES_tradnl"/>
        </w:rPr>
        <w:t>n una RBU mensual.</w:t>
      </w:r>
    </w:p>
    <w:p w14:paraId="4F67A8DF" w14:textId="77777777" w:rsidR="00591D54" w:rsidRDefault="00591D54">
      <w:pPr>
        <w:shd w:val="clear" w:color="auto" w:fill="FFFFFF"/>
        <w:spacing w:before="216"/>
        <w:ind w:left="283"/>
      </w:pPr>
      <w:r>
        <w:rPr>
          <w:b/>
          <w:bCs/>
          <w:spacing w:val="-9"/>
          <w:sz w:val="16"/>
          <w:szCs w:val="16"/>
          <w:lang w:val="es-ES_tradnl"/>
        </w:rPr>
        <w:t>Cables:</w:t>
      </w:r>
    </w:p>
    <w:p w14:paraId="4F67A8E0" w14:textId="77777777" w:rsidR="00591D54" w:rsidRDefault="00591D54">
      <w:pPr>
        <w:shd w:val="clear" w:color="auto" w:fill="FFFFFF"/>
        <w:spacing w:before="206" w:line="216" w:lineRule="exact"/>
        <w:ind w:left="283"/>
        <w:jc w:val="both"/>
      </w:pPr>
      <w:r>
        <w:rPr>
          <w:spacing w:val="-8"/>
          <w:sz w:val="16"/>
          <w:szCs w:val="16"/>
          <w:lang w:val="es-ES_tradnl"/>
        </w:rPr>
        <w:t>El tendido de cables que pertenezcan a las empresas p</w:t>
      </w:r>
      <w:r>
        <w:rPr>
          <w:rFonts w:cs="Times New Roman"/>
          <w:spacing w:val="-8"/>
          <w:sz w:val="16"/>
          <w:szCs w:val="16"/>
          <w:lang w:val="es-ES_tradnl"/>
        </w:rPr>
        <w:t>ú</w:t>
      </w:r>
      <w:r>
        <w:rPr>
          <w:spacing w:val="-8"/>
          <w:sz w:val="16"/>
          <w:szCs w:val="16"/>
          <w:lang w:val="es-ES_tradnl"/>
        </w:rPr>
        <w:t xml:space="preserve">blicas </w:t>
      </w:r>
      <w:r>
        <w:rPr>
          <w:spacing w:val="-6"/>
          <w:sz w:val="16"/>
          <w:szCs w:val="16"/>
          <w:lang w:val="es-ES_tradnl"/>
        </w:rPr>
        <w:t>o privadas y estar</w:t>
      </w:r>
      <w:r>
        <w:rPr>
          <w:rFonts w:cs="Times New Roman"/>
          <w:spacing w:val="-6"/>
          <w:sz w:val="16"/>
          <w:szCs w:val="16"/>
          <w:lang w:val="es-ES_tradnl"/>
        </w:rPr>
        <w:t>á</w:t>
      </w:r>
      <w:r>
        <w:rPr>
          <w:spacing w:val="-6"/>
          <w:sz w:val="16"/>
          <w:szCs w:val="16"/>
          <w:lang w:val="es-ES_tradnl"/>
        </w:rPr>
        <w:t xml:space="preserve">n sujetos a una tasa fija y permanente de </w:t>
      </w:r>
      <w:r>
        <w:rPr>
          <w:spacing w:val="-7"/>
          <w:sz w:val="16"/>
          <w:szCs w:val="16"/>
          <w:lang w:val="es-ES_tradnl"/>
        </w:rPr>
        <w:t>$ 0,01 centavos de d</w:t>
      </w:r>
      <w:r>
        <w:rPr>
          <w:rFonts w:cs="Times New Roman"/>
          <w:spacing w:val="-7"/>
          <w:sz w:val="16"/>
          <w:szCs w:val="16"/>
          <w:lang w:val="es-ES_tradnl"/>
        </w:rPr>
        <w:t>ó</w:t>
      </w:r>
      <w:r>
        <w:rPr>
          <w:spacing w:val="-7"/>
          <w:sz w:val="16"/>
          <w:szCs w:val="16"/>
          <w:lang w:val="es-ES_tradnl"/>
        </w:rPr>
        <w:t>lar americanos diarios, por cada metro lineal de cable tendido, por ocupaci</w:t>
      </w:r>
      <w:r>
        <w:rPr>
          <w:rFonts w:cs="Times New Roman"/>
          <w:spacing w:val="-7"/>
          <w:sz w:val="16"/>
          <w:szCs w:val="16"/>
          <w:lang w:val="es-ES_tradnl"/>
        </w:rPr>
        <w:t>ó</w:t>
      </w:r>
      <w:r>
        <w:rPr>
          <w:spacing w:val="-7"/>
          <w:sz w:val="16"/>
          <w:szCs w:val="16"/>
          <w:lang w:val="es-ES_tradnl"/>
        </w:rPr>
        <w:t>n del espacio a</w:t>
      </w:r>
      <w:r>
        <w:rPr>
          <w:rFonts w:cs="Times New Roman"/>
          <w:spacing w:val="-7"/>
          <w:sz w:val="16"/>
          <w:szCs w:val="16"/>
          <w:lang w:val="es-ES_tradnl"/>
        </w:rPr>
        <w:t>é</w:t>
      </w:r>
      <w:r>
        <w:rPr>
          <w:spacing w:val="-7"/>
          <w:sz w:val="16"/>
          <w:szCs w:val="16"/>
          <w:lang w:val="es-ES_tradnl"/>
        </w:rPr>
        <w:t>reo.</w:t>
      </w:r>
    </w:p>
    <w:p w14:paraId="4F67A8E1" w14:textId="77777777" w:rsidR="00591D54" w:rsidRDefault="00591D54">
      <w:pPr>
        <w:shd w:val="clear" w:color="auto" w:fill="FFFFFF"/>
        <w:spacing w:before="197" w:line="216" w:lineRule="exact"/>
        <w:ind w:right="5"/>
        <w:jc w:val="both"/>
      </w:pPr>
      <w:r>
        <w:rPr>
          <w:spacing w:val="-4"/>
          <w:sz w:val="18"/>
          <w:szCs w:val="18"/>
          <w:lang w:val="es-ES_tradnl"/>
        </w:rPr>
        <w:t>De lo transcrito en el art</w:t>
      </w:r>
      <w:r>
        <w:rPr>
          <w:rFonts w:cs="Times New Roman"/>
          <w:spacing w:val="-4"/>
          <w:sz w:val="18"/>
          <w:szCs w:val="18"/>
          <w:lang w:val="es-ES_tradnl"/>
        </w:rPr>
        <w:t>í</w:t>
      </w:r>
      <w:r>
        <w:rPr>
          <w:spacing w:val="-4"/>
          <w:sz w:val="18"/>
          <w:szCs w:val="18"/>
          <w:lang w:val="es-ES_tradnl"/>
        </w:rPr>
        <w:t xml:space="preserve">culo 18, se desprende que las </w:t>
      </w:r>
      <w:r>
        <w:rPr>
          <w:spacing w:val="-3"/>
          <w:sz w:val="18"/>
          <w:szCs w:val="18"/>
          <w:lang w:val="es-ES_tradnl"/>
        </w:rPr>
        <w:t>tasas establecidas gravan, a m</w:t>
      </w:r>
      <w:r>
        <w:rPr>
          <w:rFonts w:cs="Times New Roman"/>
          <w:spacing w:val="-3"/>
          <w:sz w:val="18"/>
          <w:szCs w:val="18"/>
          <w:lang w:val="es-ES_tradnl"/>
        </w:rPr>
        <w:t>á</w:t>
      </w:r>
      <w:r>
        <w:rPr>
          <w:spacing w:val="-3"/>
          <w:sz w:val="18"/>
          <w:szCs w:val="18"/>
          <w:lang w:val="es-ES_tradnl"/>
        </w:rPr>
        <w:t>s de la utilizaci</w:t>
      </w:r>
      <w:r>
        <w:rPr>
          <w:rFonts w:cs="Times New Roman"/>
          <w:spacing w:val="-3"/>
          <w:sz w:val="18"/>
          <w:szCs w:val="18"/>
          <w:lang w:val="es-ES_tradnl"/>
        </w:rPr>
        <w:t>ó</w:t>
      </w:r>
      <w:r>
        <w:rPr>
          <w:spacing w:val="-3"/>
          <w:sz w:val="18"/>
          <w:szCs w:val="18"/>
          <w:lang w:val="es-ES_tradnl"/>
        </w:rPr>
        <w:t xml:space="preserve">n del </w:t>
      </w:r>
      <w:r>
        <w:rPr>
          <w:spacing w:val="-7"/>
          <w:sz w:val="18"/>
          <w:szCs w:val="18"/>
          <w:lang w:val="es-ES_tradnl"/>
        </w:rPr>
        <w:t>suelo, el subsuelo y el espacio a</w:t>
      </w:r>
      <w:r>
        <w:rPr>
          <w:rFonts w:cs="Times New Roman"/>
          <w:spacing w:val="-7"/>
          <w:sz w:val="18"/>
          <w:szCs w:val="18"/>
          <w:lang w:val="es-ES_tradnl"/>
        </w:rPr>
        <w:t>é</w:t>
      </w:r>
      <w:r>
        <w:rPr>
          <w:spacing w:val="-7"/>
          <w:sz w:val="18"/>
          <w:szCs w:val="18"/>
          <w:lang w:val="es-ES_tradnl"/>
        </w:rPr>
        <w:t>reo para su construcci</w:t>
      </w:r>
      <w:r>
        <w:rPr>
          <w:rFonts w:cs="Times New Roman"/>
          <w:spacing w:val="-7"/>
          <w:sz w:val="18"/>
          <w:szCs w:val="18"/>
          <w:lang w:val="es-ES_tradnl"/>
        </w:rPr>
        <w:t>ó</w:t>
      </w:r>
      <w:r>
        <w:rPr>
          <w:spacing w:val="-7"/>
          <w:sz w:val="18"/>
          <w:szCs w:val="18"/>
          <w:lang w:val="es-ES_tradnl"/>
        </w:rPr>
        <w:t>n e instalaci</w:t>
      </w:r>
      <w:r>
        <w:rPr>
          <w:rFonts w:cs="Times New Roman"/>
          <w:spacing w:val="-7"/>
          <w:sz w:val="18"/>
          <w:szCs w:val="18"/>
          <w:lang w:val="es-ES_tradnl"/>
        </w:rPr>
        <w:t>ó</w:t>
      </w:r>
      <w:r>
        <w:rPr>
          <w:spacing w:val="-7"/>
          <w:sz w:val="18"/>
          <w:szCs w:val="18"/>
          <w:lang w:val="es-ES_tradnl"/>
        </w:rPr>
        <w:t>n, a su funcionamiento, puesto que se est</w:t>
      </w:r>
      <w:r>
        <w:rPr>
          <w:rFonts w:cs="Times New Roman"/>
          <w:spacing w:val="-7"/>
          <w:sz w:val="18"/>
          <w:szCs w:val="18"/>
          <w:lang w:val="es-ES_tradnl"/>
        </w:rPr>
        <w:t xml:space="preserve">á </w:t>
      </w:r>
      <w:r>
        <w:rPr>
          <w:spacing w:val="-5"/>
          <w:sz w:val="18"/>
          <w:szCs w:val="18"/>
          <w:lang w:val="es-ES_tradnl"/>
        </w:rPr>
        <w:t>regulando la utilizaci</w:t>
      </w:r>
      <w:r>
        <w:rPr>
          <w:rFonts w:cs="Times New Roman"/>
          <w:spacing w:val="-5"/>
          <w:sz w:val="18"/>
          <w:szCs w:val="18"/>
          <w:lang w:val="es-ES_tradnl"/>
        </w:rPr>
        <w:t>ó</w:t>
      </w:r>
      <w:r>
        <w:rPr>
          <w:spacing w:val="-5"/>
          <w:sz w:val="18"/>
          <w:szCs w:val="18"/>
          <w:lang w:val="es-ES_tradnl"/>
        </w:rPr>
        <w:t xml:space="preserve">n de frecuencias. En tal sentido, el </w:t>
      </w:r>
      <w:r>
        <w:rPr>
          <w:spacing w:val="-4"/>
          <w:sz w:val="18"/>
          <w:szCs w:val="18"/>
          <w:lang w:val="es-ES_tradnl"/>
        </w:rPr>
        <w:t>C</w:t>
      </w:r>
      <w:r>
        <w:rPr>
          <w:rFonts w:cs="Times New Roman"/>
          <w:spacing w:val="-4"/>
          <w:sz w:val="18"/>
          <w:szCs w:val="18"/>
          <w:lang w:val="es-ES_tradnl"/>
        </w:rPr>
        <w:t>ó</w:t>
      </w:r>
      <w:r>
        <w:rPr>
          <w:spacing w:val="-4"/>
          <w:sz w:val="18"/>
          <w:szCs w:val="18"/>
          <w:lang w:val="es-ES_tradnl"/>
        </w:rPr>
        <w:t>digo Org</w:t>
      </w:r>
      <w:r>
        <w:rPr>
          <w:rFonts w:cs="Times New Roman"/>
          <w:spacing w:val="-4"/>
          <w:sz w:val="18"/>
          <w:szCs w:val="18"/>
          <w:lang w:val="es-ES_tradnl"/>
        </w:rPr>
        <w:t>á</w:t>
      </w:r>
      <w:r>
        <w:rPr>
          <w:spacing w:val="-4"/>
          <w:sz w:val="18"/>
          <w:szCs w:val="18"/>
          <w:lang w:val="es-ES_tradnl"/>
        </w:rPr>
        <w:t>nico de Organizaci</w:t>
      </w:r>
      <w:r>
        <w:rPr>
          <w:rFonts w:cs="Times New Roman"/>
          <w:spacing w:val="-4"/>
          <w:sz w:val="18"/>
          <w:szCs w:val="18"/>
          <w:lang w:val="es-ES_tradnl"/>
        </w:rPr>
        <w:t>ó</w:t>
      </w:r>
      <w:r>
        <w:rPr>
          <w:spacing w:val="-4"/>
          <w:sz w:val="18"/>
          <w:szCs w:val="18"/>
          <w:lang w:val="es-ES_tradnl"/>
        </w:rPr>
        <w:t>n Territorial, Autonom</w:t>
      </w:r>
      <w:r>
        <w:rPr>
          <w:rFonts w:cs="Times New Roman"/>
          <w:spacing w:val="-4"/>
          <w:sz w:val="18"/>
          <w:szCs w:val="18"/>
          <w:lang w:val="es-ES_tradnl"/>
        </w:rPr>
        <w:t>í</w:t>
      </w:r>
      <w:r>
        <w:rPr>
          <w:spacing w:val="-4"/>
          <w:sz w:val="18"/>
          <w:szCs w:val="18"/>
          <w:lang w:val="es-ES_tradnl"/>
        </w:rPr>
        <w:t>a y Descentralizaci</w:t>
      </w:r>
      <w:r>
        <w:rPr>
          <w:rFonts w:cs="Times New Roman"/>
          <w:spacing w:val="-4"/>
          <w:sz w:val="18"/>
          <w:szCs w:val="18"/>
          <w:lang w:val="es-ES_tradnl"/>
        </w:rPr>
        <w:t>ó</w:t>
      </w:r>
      <w:r>
        <w:rPr>
          <w:spacing w:val="-4"/>
          <w:sz w:val="18"/>
          <w:szCs w:val="18"/>
          <w:lang w:val="es-ES_tradnl"/>
        </w:rPr>
        <w:t>n (COOTAD), a trav</w:t>
      </w:r>
      <w:r>
        <w:rPr>
          <w:rFonts w:cs="Times New Roman"/>
          <w:spacing w:val="-4"/>
          <w:sz w:val="18"/>
          <w:szCs w:val="18"/>
          <w:lang w:val="es-ES_tradnl"/>
        </w:rPr>
        <w:t>é</w:t>
      </w:r>
      <w:r>
        <w:rPr>
          <w:spacing w:val="-4"/>
          <w:sz w:val="18"/>
          <w:szCs w:val="18"/>
          <w:lang w:val="es-ES_tradnl"/>
        </w:rPr>
        <w:t>s de su art</w:t>
      </w:r>
      <w:r>
        <w:rPr>
          <w:rFonts w:cs="Times New Roman"/>
          <w:spacing w:val="-4"/>
          <w:sz w:val="18"/>
          <w:szCs w:val="18"/>
          <w:lang w:val="es-ES_tradnl"/>
        </w:rPr>
        <w:t>í</w:t>
      </w:r>
      <w:r>
        <w:rPr>
          <w:spacing w:val="-4"/>
          <w:sz w:val="18"/>
          <w:szCs w:val="18"/>
          <w:lang w:val="es-ES_tradnl"/>
        </w:rPr>
        <w:t xml:space="preserve">culo </w:t>
      </w:r>
      <w:r>
        <w:rPr>
          <w:spacing w:val="-7"/>
          <w:sz w:val="18"/>
          <w:szCs w:val="18"/>
          <w:lang w:val="es-ES_tradnl"/>
        </w:rPr>
        <w:t xml:space="preserve">567, lo que permite regular a los municipios es el proceso </w:t>
      </w:r>
      <w:r>
        <w:rPr>
          <w:spacing w:val="-8"/>
          <w:sz w:val="18"/>
          <w:szCs w:val="18"/>
          <w:lang w:val="es-ES_tradnl"/>
        </w:rPr>
        <w:t>de instalaci</w:t>
      </w:r>
      <w:r>
        <w:rPr>
          <w:rFonts w:cs="Times New Roman"/>
          <w:spacing w:val="-8"/>
          <w:sz w:val="18"/>
          <w:szCs w:val="18"/>
          <w:lang w:val="es-ES_tradnl"/>
        </w:rPr>
        <w:t>ó</w:t>
      </w:r>
      <w:r>
        <w:rPr>
          <w:spacing w:val="-8"/>
          <w:sz w:val="18"/>
          <w:szCs w:val="18"/>
          <w:lang w:val="es-ES_tradnl"/>
        </w:rPr>
        <w:t xml:space="preserve">n de estructuras, respecto del uso del espacio </w:t>
      </w:r>
      <w:r>
        <w:rPr>
          <w:spacing w:val="-10"/>
          <w:sz w:val="18"/>
          <w:szCs w:val="18"/>
          <w:lang w:val="es-ES_tradnl"/>
        </w:rPr>
        <w:t>p</w:t>
      </w:r>
      <w:r>
        <w:rPr>
          <w:rFonts w:cs="Times New Roman"/>
          <w:spacing w:val="-10"/>
          <w:sz w:val="18"/>
          <w:szCs w:val="18"/>
          <w:lang w:val="es-ES_tradnl"/>
        </w:rPr>
        <w:t>ú</w:t>
      </w:r>
      <w:r>
        <w:rPr>
          <w:spacing w:val="-10"/>
          <w:sz w:val="18"/>
          <w:szCs w:val="18"/>
          <w:lang w:val="es-ES_tradnl"/>
        </w:rPr>
        <w:t>blico, mas no la regulaci</w:t>
      </w:r>
      <w:r>
        <w:rPr>
          <w:rFonts w:cs="Times New Roman"/>
          <w:spacing w:val="-10"/>
          <w:sz w:val="18"/>
          <w:szCs w:val="18"/>
          <w:lang w:val="es-ES_tradnl"/>
        </w:rPr>
        <w:t>ó</w:t>
      </w:r>
      <w:r>
        <w:rPr>
          <w:spacing w:val="-10"/>
          <w:sz w:val="18"/>
          <w:szCs w:val="18"/>
          <w:lang w:val="es-ES_tradnl"/>
        </w:rPr>
        <w:t xml:space="preserve">n de tasas por el funcionamiento </w:t>
      </w:r>
      <w:r>
        <w:rPr>
          <w:spacing w:val="-7"/>
          <w:sz w:val="18"/>
          <w:szCs w:val="18"/>
          <w:lang w:val="es-ES_tradnl"/>
        </w:rPr>
        <w:t xml:space="preserve">de dichas estructuras, ya que esto es materia propia del </w:t>
      </w:r>
      <w:r>
        <w:rPr>
          <w:rFonts w:cs="Times New Roman"/>
          <w:spacing w:val="-8"/>
          <w:sz w:val="18"/>
          <w:szCs w:val="18"/>
          <w:lang w:val="es-ES_tradnl"/>
        </w:rPr>
        <w:t>ó</w:t>
      </w:r>
      <w:r>
        <w:rPr>
          <w:spacing w:val="-8"/>
          <w:sz w:val="18"/>
          <w:szCs w:val="18"/>
          <w:lang w:val="es-ES_tradnl"/>
        </w:rPr>
        <w:t xml:space="preserve">rgano competente, que para el caso en la actualidad lo </w:t>
      </w:r>
      <w:r>
        <w:rPr>
          <w:spacing w:val="-6"/>
          <w:sz w:val="18"/>
          <w:szCs w:val="18"/>
          <w:lang w:val="es-ES_tradnl"/>
        </w:rPr>
        <w:t>constituye la Agencia de Regulaci</w:t>
      </w:r>
      <w:r>
        <w:rPr>
          <w:rFonts w:cs="Times New Roman"/>
          <w:spacing w:val="-6"/>
          <w:sz w:val="18"/>
          <w:szCs w:val="18"/>
          <w:lang w:val="es-ES_tradnl"/>
        </w:rPr>
        <w:t>ó</w:t>
      </w:r>
      <w:r>
        <w:rPr>
          <w:spacing w:val="-6"/>
          <w:sz w:val="18"/>
          <w:szCs w:val="18"/>
          <w:lang w:val="es-ES_tradnl"/>
        </w:rPr>
        <w:t xml:space="preserve">n y Control de las </w:t>
      </w:r>
      <w:r>
        <w:rPr>
          <w:spacing w:val="-7"/>
          <w:sz w:val="18"/>
          <w:szCs w:val="18"/>
          <w:lang w:val="es-ES_tradnl"/>
        </w:rPr>
        <w:t xml:space="preserve">Telecomunicaciones (ARCOTEL), que regula el </w:t>
      </w:r>
      <w:r>
        <w:rPr>
          <w:rFonts w:cs="Times New Roman"/>
          <w:spacing w:val="-7"/>
          <w:sz w:val="18"/>
          <w:szCs w:val="18"/>
          <w:lang w:val="es-ES_tradnl"/>
        </w:rPr>
        <w:t>á</w:t>
      </w:r>
      <w:r>
        <w:rPr>
          <w:spacing w:val="-7"/>
          <w:sz w:val="18"/>
          <w:szCs w:val="18"/>
          <w:lang w:val="es-ES_tradnl"/>
        </w:rPr>
        <w:t xml:space="preserve">mbito de </w:t>
      </w:r>
      <w:r>
        <w:rPr>
          <w:spacing w:val="-11"/>
          <w:sz w:val="18"/>
          <w:szCs w:val="18"/>
          <w:lang w:val="es-ES_tradnl"/>
        </w:rPr>
        <w:t>las telecomunicaciones, a trav</w:t>
      </w:r>
      <w:r>
        <w:rPr>
          <w:rFonts w:cs="Times New Roman"/>
          <w:spacing w:val="-11"/>
          <w:sz w:val="18"/>
          <w:szCs w:val="18"/>
          <w:lang w:val="es-ES_tradnl"/>
        </w:rPr>
        <w:t>é</w:t>
      </w:r>
      <w:r>
        <w:rPr>
          <w:spacing w:val="-11"/>
          <w:sz w:val="18"/>
          <w:szCs w:val="18"/>
          <w:lang w:val="es-ES_tradnl"/>
        </w:rPr>
        <w:t>s de concesiones y permisos.</w:t>
      </w:r>
    </w:p>
    <w:p w14:paraId="4F67A8E2" w14:textId="77777777" w:rsidR="00591D54" w:rsidRDefault="00591D54">
      <w:pPr>
        <w:shd w:val="clear" w:color="auto" w:fill="FFFFFF"/>
        <w:spacing w:before="192" w:line="216" w:lineRule="exact"/>
        <w:ind w:right="5"/>
        <w:jc w:val="both"/>
      </w:pPr>
      <w:r>
        <w:rPr>
          <w:spacing w:val="-8"/>
          <w:sz w:val="18"/>
          <w:szCs w:val="18"/>
          <w:lang w:val="es-ES_tradnl"/>
        </w:rPr>
        <w:t>En conclusi</w:t>
      </w:r>
      <w:r>
        <w:rPr>
          <w:rFonts w:cs="Times New Roman"/>
          <w:spacing w:val="-8"/>
          <w:sz w:val="18"/>
          <w:szCs w:val="18"/>
          <w:lang w:val="es-ES_tradnl"/>
        </w:rPr>
        <w:t>ó</w:t>
      </w:r>
      <w:r>
        <w:rPr>
          <w:spacing w:val="-8"/>
          <w:sz w:val="18"/>
          <w:szCs w:val="18"/>
          <w:lang w:val="es-ES_tradnl"/>
        </w:rPr>
        <w:t xml:space="preserve">n, esta Corte observa que se contravienen los </w:t>
      </w:r>
      <w:r>
        <w:rPr>
          <w:spacing w:val="-6"/>
          <w:sz w:val="18"/>
          <w:szCs w:val="18"/>
          <w:lang w:val="es-ES_tradnl"/>
        </w:rPr>
        <w:t>art</w:t>
      </w:r>
      <w:r>
        <w:rPr>
          <w:rFonts w:cs="Times New Roman"/>
          <w:spacing w:val="-6"/>
          <w:sz w:val="18"/>
          <w:szCs w:val="18"/>
          <w:lang w:val="es-ES_tradnl"/>
        </w:rPr>
        <w:t>í</w:t>
      </w:r>
      <w:r>
        <w:rPr>
          <w:spacing w:val="-6"/>
          <w:sz w:val="18"/>
          <w:szCs w:val="18"/>
          <w:lang w:val="es-ES_tradnl"/>
        </w:rPr>
        <w:t>culos 226 y 264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al </w:t>
      </w:r>
      <w:r>
        <w:rPr>
          <w:spacing w:val="-11"/>
          <w:sz w:val="18"/>
          <w:szCs w:val="18"/>
          <w:lang w:val="es-ES_tradnl"/>
        </w:rPr>
        <w:t xml:space="preserve">extralimitarse en las competencias asignadas a los gobiernos </w:t>
      </w:r>
      <w:r>
        <w:rPr>
          <w:spacing w:val="-7"/>
          <w:sz w:val="18"/>
          <w:szCs w:val="18"/>
          <w:lang w:val="es-ES_tradnl"/>
        </w:rPr>
        <w:t>municipales, pues, la regulaci</w:t>
      </w:r>
      <w:r>
        <w:rPr>
          <w:rFonts w:cs="Times New Roman"/>
          <w:spacing w:val="-7"/>
          <w:sz w:val="18"/>
          <w:szCs w:val="18"/>
          <w:lang w:val="es-ES_tradnl"/>
        </w:rPr>
        <w:t>ó</w:t>
      </w:r>
      <w:r>
        <w:rPr>
          <w:spacing w:val="-7"/>
          <w:sz w:val="18"/>
          <w:szCs w:val="18"/>
          <w:lang w:val="es-ES_tradnl"/>
        </w:rPr>
        <w:t>n por utilizaci</w:t>
      </w:r>
      <w:r>
        <w:rPr>
          <w:rFonts w:cs="Times New Roman"/>
          <w:spacing w:val="-7"/>
          <w:sz w:val="18"/>
          <w:szCs w:val="18"/>
          <w:lang w:val="es-ES_tradnl"/>
        </w:rPr>
        <w:t>ó</w:t>
      </w:r>
      <w:r>
        <w:rPr>
          <w:spacing w:val="-7"/>
          <w:sz w:val="18"/>
          <w:szCs w:val="18"/>
          <w:lang w:val="es-ES_tradnl"/>
        </w:rPr>
        <w:t>n del espacio a</w:t>
      </w:r>
      <w:r>
        <w:rPr>
          <w:rFonts w:cs="Times New Roman"/>
          <w:spacing w:val="-7"/>
          <w:sz w:val="18"/>
          <w:szCs w:val="18"/>
          <w:lang w:val="es-ES_tradnl"/>
        </w:rPr>
        <w:t>é</w:t>
      </w:r>
      <w:r>
        <w:rPr>
          <w:spacing w:val="-7"/>
          <w:sz w:val="18"/>
          <w:szCs w:val="18"/>
          <w:lang w:val="es-ES_tradnl"/>
        </w:rPr>
        <w:t>reo corresponde al Estado central. En virtud del an</w:t>
      </w:r>
      <w:r>
        <w:rPr>
          <w:rFonts w:cs="Times New Roman"/>
          <w:spacing w:val="-7"/>
          <w:sz w:val="18"/>
          <w:szCs w:val="18"/>
          <w:lang w:val="es-ES_tradnl"/>
        </w:rPr>
        <w:t>á</w:t>
      </w:r>
      <w:r>
        <w:rPr>
          <w:spacing w:val="-7"/>
          <w:sz w:val="18"/>
          <w:szCs w:val="18"/>
          <w:lang w:val="es-ES_tradnl"/>
        </w:rPr>
        <w:t xml:space="preserve">lisis </w:t>
      </w:r>
      <w:r>
        <w:rPr>
          <w:spacing w:val="-8"/>
          <w:sz w:val="18"/>
          <w:szCs w:val="18"/>
          <w:lang w:val="es-ES_tradnl"/>
        </w:rPr>
        <w:t>realizado y con fundamento en el art</w:t>
      </w:r>
      <w:r>
        <w:rPr>
          <w:rFonts w:cs="Times New Roman"/>
          <w:spacing w:val="-8"/>
          <w:sz w:val="18"/>
          <w:szCs w:val="18"/>
          <w:lang w:val="es-ES_tradnl"/>
        </w:rPr>
        <w:t>í</w:t>
      </w:r>
      <w:r>
        <w:rPr>
          <w:spacing w:val="-8"/>
          <w:sz w:val="18"/>
          <w:szCs w:val="18"/>
          <w:lang w:val="es-ES_tradnl"/>
        </w:rPr>
        <w:t xml:space="preserve">culo 436 numerales 1, </w:t>
      </w:r>
      <w:r>
        <w:rPr>
          <w:spacing w:val="-7"/>
          <w:sz w:val="18"/>
          <w:szCs w:val="18"/>
          <w:lang w:val="es-ES_tradnl"/>
        </w:rPr>
        <w:t>2 y 3 de 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 xml:space="preserve">blica, en concordancia </w:t>
      </w:r>
      <w:r>
        <w:rPr>
          <w:spacing w:val="-4"/>
          <w:sz w:val="18"/>
          <w:szCs w:val="18"/>
          <w:lang w:val="es-ES_tradnl"/>
        </w:rPr>
        <w:t>con el art</w:t>
      </w:r>
      <w:r>
        <w:rPr>
          <w:rFonts w:cs="Times New Roman"/>
          <w:spacing w:val="-4"/>
          <w:sz w:val="18"/>
          <w:szCs w:val="18"/>
          <w:lang w:val="es-ES_tradnl"/>
        </w:rPr>
        <w:t>í</w:t>
      </w:r>
      <w:r>
        <w:rPr>
          <w:spacing w:val="-4"/>
          <w:sz w:val="18"/>
          <w:szCs w:val="18"/>
          <w:lang w:val="es-ES_tradnl"/>
        </w:rPr>
        <w:t>culo 76 numerales 4, 5 y 6 de la Ley Org</w:t>
      </w:r>
      <w:r>
        <w:rPr>
          <w:rFonts w:cs="Times New Roman"/>
          <w:spacing w:val="-4"/>
          <w:sz w:val="18"/>
          <w:szCs w:val="18"/>
          <w:lang w:val="es-ES_tradnl"/>
        </w:rPr>
        <w:t>á</w:t>
      </w:r>
      <w:r>
        <w:rPr>
          <w:spacing w:val="-4"/>
          <w:sz w:val="18"/>
          <w:szCs w:val="18"/>
          <w:lang w:val="es-ES_tradnl"/>
        </w:rPr>
        <w:t xml:space="preserve">nica </w:t>
      </w:r>
      <w:r>
        <w:rPr>
          <w:spacing w:val="-7"/>
          <w:sz w:val="18"/>
          <w:szCs w:val="18"/>
          <w:lang w:val="es-ES_tradnl"/>
        </w:rPr>
        <w:t>de Garant</w:t>
      </w:r>
      <w:r>
        <w:rPr>
          <w:rFonts w:cs="Times New Roman"/>
          <w:spacing w:val="-7"/>
          <w:sz w:val="18"/>
          <w:szCs w:val="18"/>
          <w:lang w:val="es-ES_tradnl"/>
        </w:rPr>
        <w:t>í</w:t>
      </w:r>
      <w:r>
        <w:rPr>
          <w:spacing w:val="-7"/>
          <w:sz w:val="18"/>
          <w:szCs w:val="18"/>
          <w:lang w:val="es-ES_tradnl"/>
        </w:rPr>
        <w:t>as Jurisdiccionales y Control Constitucional, se declara la inconstitucionalidad en el t</w:t>
      </w:r>
      <w:r>
        <w:rPr>
          <w:rFonts w:cs="Times New Roman"/>
          <w:spacing w:val="-7"/>
          <w:sz w:val="18"/>
          <w:szCs w:val="18"/>
          <w:lang w:val="es-ES_tradnl"/>
        </w:rPr>
        <w:t>í</w:t>
      </w:r>
      <w:r>
        <w:rPr>
          <w:spacing w:val="-7"/>
          <w:sz w:val="18"/>
          <w:szCs w:val="18"/>
          <w:lang w:val="es-ES_tradnl"/>
        </w:rPr>
        <w:t xml:space="preserve">tulo de la ordenanza, </w:t>
      </w:r>
      <w:r>
        <w:rPr>
          <w:spacing w:val="-10"/>
          <w:sz w:val="18"/>
          <w:szCs w:val="18"/>
          <w:lang w:val="es-ES_tradnl"/>
        </w:rPr>
        <w:t>as</w:t>
      </w:r>
      <w:r>
        <w:rPr>
          <w:rFonts w:cs="Times New Roman"/>
          <w:spacing w:val="-10"/>
          <w:sz w:val="18"/>
          <w:szCs w:val="18"/>
          <w:lang w:val="es-ES_tradnl"/>
        </w:rPr>
        <w:t>í</w:t>
      </w:r>
      <w:r>
        <w:rPr>
          <w:spacing w:val="-10"/>
          <w:sz w:val="18"/>
          <w:szCs w:val="18"/>
          <w:lang w:val="es-ES_tradnl"/>
        </w:rPr>
        <w:t xml:space="preserve"> como, en el art</w:t>
      </w:r>
      <w:r>
        <w:rPr>
          <w:rFonts w:cs="Times New Roman"/>
          <w:spacing w:val="-10"/>
          <w:sz w:val="18"/>
          <w:szCs w:val="18"/>
          <w:lang w:val="es-ES_tradnl"/>
        </w:rPr>
        <w:t>í</w:t>
      </w:r>
      <w:r>
        <w:rPr>
          <w:spacing w:val="-10"/>
          <w:sz w:val="18"/>
          <w:szCs w:val="18"/>
          <w:lang w:val="es-ES_tradnl"/>
        </w:rPr>
        <w:t xml:space="preserve">culo 1 de la frase </w:t>
      </w:r>
      <w:r>
        <w:rPr>
          <w:rFonts w:cs="Times New Roman"/>
          <w:spacing w:val="-10"/>
          <w:sz w:val="18"/>
          <w:szCs w:val="18"/>
          <w:lang w:val="es-ES_tradnl"/>
        </w:rPr>
        <w:t>“</w:t>
      </w:r>
      <w:r>
        <w:rPr>
          <w:spacing w:val="-10"/>
          <w:sz w:val="18"/>
          <w:szCs w:val="18"/>
          <w:lang w:val="es-ES_tradnl"/>
        </w:rPr>
        <w:t>uso del espacio a</w:t>
      </w:r>
      <w:r>
        <w:rPr>
          <w:rFonts w:cs="Times New Roman"/>
          <w:spacing w:val="-10"/>
          <w:sz w:val="18"/>
          <w:szCs w:val="18"/>
          <w:lang w:val="es-ES_tradnl"/>
        </w:rPr>
        <w:t>é</w:t>
      </w:r>
      <w:r>
        <w:rPr>
          <w:spacing w:val="-10"/>
          <w:sz w:val="18"/>
          <w:szCs w:val="18"/>
          <w:lang w:val="es-ES_tradnl"/>
        </w:rPr>
        <w:t>reo</w:t>
      </w:r>
      <w:r>
        <w:rPr>
          <w:rFonts w:cs="Times New Roman"/>
          <w:spacing w:val="-10"/>
          <w:sz w:val="18"/>
          <w:szCs w:val="18"/>
          <w:lang w:val="es-ES_tradnl"/>
        </w:rPr>
        <w:t>”</w:t>
      </w:r>
      <w:r>
        <w:rPr>
          <w:spacing w:val="-10"/>
          <w:sz w:val="18"/>
          <w:szCs w:val="18"/>
          <w:lang w:val="es-ES_tradnl"/>
        </w:rPr>
        <w:t>.</w:t>
      </w:r>
    </w:p>
    <w:p w14:paraId="4F67A8E3" w14:textId="77777777" w:rsidR="00591D54" w:rsidRDefault="00591D54">
      <w:pPr>
        <w:shd w:val="clear" w:color="auto" w:fill="FFFFFF"/>
        <w:spacing w:before="192" w:line="216" w:lineRule="exact"/>
        <w:ind w:right="5"/>
        <w:jc w:val="both"/>
      </w:pPr>
      <w:r>
        <w:rPr>
          <w:spacing w:val="-9"/>
          <w:sz w:val="18"/>
          <w:szCs w:val="18"/>
          <w:lang w:val="es-ES_tradnl"/>
        </w:rPr>
        <w:t>En la misma l</w:t>
      </w:r>
      <w:r>
        <w:rPr>
          <w:rFonts w:cs="Times New Roman"/>
          <w:spacing w:val="-9"/>
          <w:sz w:val="18"/>
          <w:szCs w:val="18"/>
          <w:lang w:val="es-ES_tradnl"/>
        </w:rPr>
        <w:t>í</w:t>
      </w:r>
      <w:r>
        <w:rPr>
          <w:spacing w:val="-9"/>
          <w:sz w:val="18"/>
          <w:szCs w:val="18"/>
          <w:lang w:val="es-ES_tradnl"/>
        </w:rPr>
        <w:t>nea, el art</w:t>
      </w:r>
      <w:r>
        <w:rPr>
          <w:rFonts w:cs="Times New Roman"/>
          <w:spacing w:val="-9"/>
          <w:sz w:val="18"/>
          <w:szCs w:val="18"/>
          <w:lang w:val="es-ES_tradnl"/>
        </w:rPr>
        <w:t>í</w:t>
      </w:r>
      <w:r>
        <w:rPr>
          <w:spacing w:val="-9"/>
          <w:sz w:val="18"/>
          <w:szCs w:val="18"/>
          <w:lang w:val="es-ES_tradnl"/>
        </w:rPr>
        <w:t xml:space="preserve">culo 3 de la referida ordenanza, en </w:t>
      </w:r>
      <w:r>
        <w:rPr>
          <w:spacing w:val="-7"/>
          <w:sz w:val="18"/>
          <w:szCs w:val="18"/>
          <w:lang w:val="es-ES_tradnl"/>
        </w:rPr>
        <w:t xml:space="preserve">el primer inciso consta la frase </w:t>
      </w:r>
      <w:r>
        <w:rPr>
          <w:rFonts w:cs="Times New Roman"/>
          <w:spacing w:val="-7"/>
          <w:sz w:val="18"/>
          <w:szCs w:val="18"/>
          <w:lang w:val="es-ES_tradnl"/>
        </w:rPr>
        <w:t>“</w:t>
      </w:r>
      <w:r>
        <w:rPr>
          <w:spacing w:val="-7"/>
          <w:sz w:val="18"/>
          <w:szCs w:val="18"/>
          <w:lang w:val="es-ES_tradnl"/>
        </w:rPr>
        <w:t>y espacio a</w:t>
      </w:r>
      <w:r>
        <w:rPr>
          <w:rFonts w:cs="Times New Roman"/>
          <w:spacing w:val="-7"/>
          <w:sz w:val="18"/>
          <w:szCs w:val="18"/>
          <w:lang w:val="es-ES_tradnl"/>
        </w:rPr>
        <w:t>é</w:t>
      </w:r>
      <w:r>
        <w:rPr>
          <w:spacing w:val="-7"/>
          <w:sz w:val="18"/>
          <w:szCs w:val="18"/>
          <w:lang w:val="es-ES_tradnl"/>
        </w:rPr>
        <w:t>reo</w:t>
      </w:r>
      <w:r>
        <w:rPr>
          <w:rFonts w:cs="Times New Roman"/>
          <w:spacing w:val="-7"/>
          <w:sz w:val="18"/>
          <w:szCs w:val="18"/>
          <w:lang w:val="es-ES_tradnl"/>
        </w:rPr>
        <w:t>”</w:t>
      </w:r>
      <w:r>
        <w:rPr>
          <w:spacing w:val="-7"/>
          <w:sz w:val="18"/>
          <w:szCs w:val="18"/>
          <w:lang w:val="es-ES_tradnl"/>
        </w:rPr>
        <w:t xml:space="preserve"> por tanto, </w:t>
      </w:r>
      <w:r>
        <w:rPr>
          <w:sz w:val="18"/>
          <w:szCs w:val="18"/>
          <w:lang w:val="es-ES_tradnl"/>
        </w:rPr>
        <w:t>se declara su inconstitucionalidad.</w:t>
      </w:r>
    </w:p>
    <w:p w14:paraId="4F67A8E4" w14:textId="77777777" w:rsidR="00591D54" w:rsidRDefault="00591D54">
      <w:pPr>
        <w:shd w:val="clear" w:color="auto" w:fill="FFFFFF"/>
        <w:spacing w:before="187" w:line="216" w:lineRule="exact"/>
        <w:ind w:right="5"/>
        <w:jc w:val="both"/>
      </w:pPr>
      <w:r>
        <w:rPr>
          <w:spacing w:val="-12"/>
          <w:sz w:val="18"/>
          <w:szCs w:val="18"/>
          <w:lang w:val="es-ES_tradnl"/>
        </w:rPr>
        <w:t>Del art</w:t>
      </w:r>
      <w:r>
        <w:rPr>
          <w:rFonts w:cs="Times New Roman"/>
          <w:spacing w:val="-12"/>
          <w:sz w:val="18"/>
          <w:szCs w:val="18"/>
          <w:lang w:val="es-ES_tradnl"/>
        </w:rPr>
        <w:t>í</w:t>
      </w:r>
      <w:r>
        <w:rPr>
          <w:spacing w:val="-12"/>
          <w:sz w:val="18"/>
          <w:szCs w:val="18"/>
          <w:lang w:val="es-ES_tradnl"/>
        </w:rPr>
        <w:t xml:space="preserve">culo 4 literal </w:t>
      </w:r>
      <w:r>
        <w:rPr>
          <w:b/>
          <w:bCs/>
          <w:spacing w:val="-12"/>
          <w:sz w:val="18"/>
          <w:szCs w:val="18"/>
          <w:lang w:val="es-ES_tradnl"/>
        </w:rPr>
        <w:t xml:space="preserve">a </w:t>
      </w:r>
      <w:r>
        <w:rPr>
          <w:spacing w:val="-12"/>
          <w:sz w:val="18"/>
          <w:szCs w:val="18"/>
          <w:lang w:val="es-ES_tradnl"/>
        </w:rPr>
        <w:t xml:space="preserve">de la ordenanza impugnada establece la </w:t>
      </w:r>
      <w:r>
        <w:rPr>
          <w:spacing w:val="-8"/>
          <w:sz w:val="18"/>
          <w:szCs w:val="18"/>
          <w:lang w:val="es-ES_tradnl"/>
        </w:rPr>
        <w:t xml:space="preserve">frase </w:t>
      </w:r>
      <w:r>
        <w:rPr>
          <w:rFonts w:cs="Times New Roman"/>
          <w:spacing w:val="-8"/>
          <w:sz w:val="18"/>
          <w:szCs w:val="18"/>
          <w:lang w:val="es-ES_tradnl"/>
        </w:rPr>
        <w:t>“</w:t>
      </w:r>
      <w:r>
        <w:rPr>
          <w:spacing w:val="-8"/>
          <w:sz w:val="18"/>
          <w:szCs w:val="18"/>
          <w:lang w:val="es-ES_tradnl"/>
        </w:rPr>
        <w:t>espacio a</w:t>
      </w:r>
      <w:r>
        <w:rPr>
          <w:rFonts w:cs="Times New Roman"/>
          <w:spacing w:val="-8"/>
          <w:sz w:val="18"/>
          <w:szCs w:val="18"/>
          <w:lang w:val="es-ES_tradnl"/>
        </w:rPr>
        <w:t>é</w:t>
      </w:r>
      <w:r>
        <w:rPr>
          <w:spacing w:val="-8"/>
          <w:sz w:val="18"/>
          <w:szCs w:val="18"/>
          <w:lang w:val="es-ES_tradnl"/>
        </w:rPr>
        <w:t>reo</w:t>
      </w:r>
      <w:r>
        <w:rPr>
          <w:rFonts w:cs="Times New Roman"/>
          <w:spacing w:val="-8"/>
          <w:sz w:val="18"/>
          <w:szCs w:val="18"/>
          <w:lang w:val="es-ES_tradnl"/>
        </w:rPr>
        <w:t>”</w:t>
      </w:r>
      <w:r>
        <w:rPr>
          <w:spacing w:val="-8"/>
          <w:sz w:val="18"/>
          <w:szCs w:val="18"/>
          <w:lang w:val="es-ES_tradnl"/>
        </w:rPr>
        <w:t>, se determina la inconstitucionalidad.</w:t>
      </w:r>
    </w:p>
    <w:p w14:paraId="4F67A8E5" w14:textId="77777777" w:rsidR="00591D54" w:rsidRDefault="00591D54">
      <w:pPr>
        <w:shd w:val="clear" w:color="auto" w:fill="FFFFFF"/>
        <w:spacing w:before="197" w:line="216" w:lineRule="exact"/>
        <w:ind w:right="5"/>
        <w:jc w:val="both"/>
      </w:pPr>
      <w:r>
        <w:rPr>
          <w:spacing w:val="-5"/>
          <w:sz w:val="18"/>
          <w:szCs w:val="18"/>
          <w:lang w:val="es-ES_tradnl"/>
        </w:rPr>
        <w:t>De igual forma, en el art</w:t>
      </w:r>
      <w:r>
        <w:rPr>
          <w:rFonts w:cs="Times New Roman"/>
          <w:spacing w:val="-5"/>
          <w:sz w:val="18"/>
          <w:szCs w:val="18"/>
          <w:lang w:val="es-ES_tradnl"/>
        </w:rPr>
        <w:t>í</w:t>
      </w:r>
      <w:r>
        <w:rPr>
          <w:spacing w:val="-5"/>
          <w:sz w:val="18"/>
          <w:szCs w:val="18"/>
          <w:lang w:val="es-ES_tradnl"/>
        </w:rPr>
        <w:t xml:space="preserve">culo 18 de la ordenanza, consta la frase </w:t>
      </w:r>
      <w:r>
        <w:rPr>
          <w:rFonts w:cs="Times New Roman"/>
          <w:spacing w:val="-5"/>
          <w:sz w:val="18"/>
          <w:szCs w:val="18"/>
          <w:lang w:val="es-ES_tradnl"/>
        </w:rPr>
        <w:t>“</w:t>
      </w:r>
      <w:r>
        <w:rPr>
          <w:spacing w:val="-5"/>
          <w:sz w:val="18"/>
          <w:szCs w:val="18"/>
          <w:lang w:val="es-ES_tradnl"/>
        </w:rPr>
        <w:t>espacio a</w:t>
      </w:r>
      <w:r>
        <w:rPr>
          <w:rFonts w:cs="Times New Roman"/>
          <w:spacing w:val="-5"/>
          <w:sz w:val="18"/>
          <w:szCs w:val="18"/>
          <w:lang w:val="es-ES_tradnl"/>
        </w:rPr>
        <w:t>é</w:t>
      </w:r>
      <w:r>
        <w:rPr>
          <w:spacing w:val="-5"/>
          <w:sz w:val="18"/>
          <w:szCs w:val="18"/>
          <w:lang w:val="es-ES_tradnl"/>
        </w:rPr>
        <w:t>reo</w:t>
      </w:r>
      <w:r>
        <w:rPr>
          <w:rFonts w:cs="Times New Roman"/>
          <w:spacing w:val="-5"/>
          <w:sz w:val="18"/>
          <w:szCs w:val="18"/>
          <w:lang w:val="es-ES_tradnl"/>
        </w:rPr>
        <w:t>”</w:t>
      </w:r>
      <w:r>
        <w:rPr>
          <w:spacing w:val="-5"/>
          <w:sz w:val="18"/>
          <w:szCs w:val="18"/>
          <w:lang w:val="es-ES_tradnl"/>
        </w:rPr>
        <w:t>; sin embargo, dicho art</w:t>
      </w:r>
      <w:r>
        <w:rPr>
          <w:rFonts w:cs="Times New Roman"/>
          <w:spacing w:val="-5"/>
          <w:sz w:val="18"/>
          <w:szCs w:val="18"/>
          <w:lang w:val="es-ES_tradnl"/>
        </w:rPr>
        <w:t>í</w:t>
      </w:r>
      <w:r>
        <w:rPr>
          <w:spacing w:val="-5"/>
          <w:sz w:val="18"/>
          <w:szCs w:val="18"/>
          <w:lang w:val="es-ES_tradnl"/>
        </w:rPr>
        <w:t xml:space="preserve">culo por </w:t>
      </w:r>
      <w:r>
        <w:rPr>
          <w:spacing w:val="-8"/>
          <w:sz w:val="18"/>
          <w:szCs w:val="18"/>
          <w:lang w:val="es-ES_tradnl"/>
        </w:rPr>
        <w:t xml:space="preserve">las consideraciones manifestadas </w:t>
      </w:r>
      <w:r>
        <w:rPr>
          <w:i/>
          <w:iCs/>
          <w:spacing w:val="-8"/>
          <w:sz w:val="18"/>
          <w:szCs w:val="18"/>
          <w:lang w:val="es-ES_tradnl"/>
        </w:rPr>
        <w:t>ut supra</w:t>
      </w:r>
      <w:r>
        <w:rPr>
          <w:spacing w:val="-8"/>
          <w:sz w:val="18"/>
          <w:szCs w:val="18"/>
          <w:lang w:val="es-ES_tradnl"/>
        </w:rPr>
        <w:t xml:space="preserve">, fue declarado </w:t>
      </w:r>
      <w:r>
        <w:rPr>
          <w:sz w:val="18"/>
          <w:szCs w:val="18"/>
          <w:lang w:val="es-ES_tradnl"/>
        </w:rPr>
        <w:t>inconstitucional en su totalidad.</w:t>
      </w:r>
    </w:p>
    <w:p w14:paraId="4F67A8E6" w14:textId="77777777" w:rsidR="00591D54" w:rsidRDefault="00591D54">
      <w:pPr>
        <w:shd w:val="clear" w:color="auto" w:fill="FFFFFF"/>
        <w:spacing w:before="197" w:line="216" w:lineRule="exact"/>
        <w:ind w:right="5"/>
        <w:jc w:val="both"/>
      </w:pPr>
      <w:r>
        <w:rPr>
          <w:spacing w:val="-7"/>
          <w:sz w:val="18"/>
          <w:szCs w:val="18"/>
          <w:lang w:val="es-ES_tradnl"/>
        </w:rPr>
        <w:t>Por las mismas razones en el art</w:t>
      </w:r>
      <w:r>
        <w:rPr>
          <w:rFonts w:cs="Times New Roman"/>
          <w:spacing w:val="-7"/>
          <w:sz w:val="18"/>
          <w:szCs w:val="18"/>
          <w:lang w:val="es-ES_tradnl"/>
        </w:rPr>
        <w:t>í</w:t>
      </w:r>
      <w:r>
        <w:rPr>
          <w:spacing w:val="-7"/>
          <w:sz w:val="18"/>
          <w:szCs w:val="18"/>
          <w:lang w:val="es-ES_tradnl"/>
        </w:rPr>
        <w:t xml:space="preserve">culo 21 numeral 5 se </w:t>
      </w:r>
      <w:r>
        <w:rPr>
          <w:spacing w:val="-9"/>
          <w:sz w:val="18"/>
          <w:szCs w:val="18"/>
          <w:lang w:val="es-ES_tradnl"/>
        </w:rPr>
        <w:t xml:space="preserve">establece la inconstitucionalidad de la frase </w:t>
      </w:r>
      <w:r>
        <w:rPr>
          <w:rFonts w:cs="Times New Roman"/>
          <w:spacing w:val="-9"/>
          <w:sz w:val="18"/>
          <w:szCs w:val="18"/>
          <w:lang w:val="es-ES_tradnl"/>
        </w:rPr>
        <w:t>“</w:t>
      </w:r>
      <w:r>
        <w:rPr>
          <w:spacing w:val="-9"/>
          <w:sz w:val="18"/>
          <w:szCs w:val="18"/>
          <w:lang w:val="es-ES_tradnl"/>
        </w:rPr>
        <w:t>espacio a</w:t>
      </w:r>
      <w:r>
        <w:rPr>
          <w:rFonts w:cs="Times New Roman"/>
          <w:spacing w:val="-9"/>
          <w:sz w:val="18"/>
          <w:szCs w:val="18"/>
          <w:lang w:val="es-ES_tradnl"/>
        </w:rPr>
        <w:t>é</w:t>
      </w:r>
      <w:r>
        <w:rPr>
          <w:spacing w:val="-9"/>
          <w:sz w:val="18"/>
          <w:szCs w:val="18"/>
          <w:lang w:val="es-ES_tradnl"/>
        </w:rPr>
        <w:t>reo</w:t>
      </w:r>
      <w:r>
        <w:rPr>
          <w:rFonts w:cs="Times New Roman"/>
          <w:spacing w:val="-9"/>
          <w:sz w:val="18"/>
          <w:szCs w:val="18"/>
          <w:lang w:val="es-ES_tradnl"/>
        </w:rPr>
        <w:t>”</w:t>
      </w:r>
      <w:r>
        <w:rPr>
          <w:spacing w:val="-9"/>
          <w:sz w:val="18"/>
          <w:szCs w:val="18"/>
          <w:lang w:val="es-ES_tradnl"/>
        </w:rPr>
        <w:t>.</w:t>
      </w:r>
    </w:p>
    <w:p w14:paraId="4F67A8E7" w14:textId="77777777" w:rsidR="00591D54" w:rsidRDefault="00591D54">
      <w:pPr>
        <w:shd w:val="clear" w:color="auto" w:fill="FFFFFF"/>
        <w:spacing w:before="192" w:line="216" w:lineRule="exact"/>
        <w:jc w:val="both"/>
      </w:pPr>
      <w:r>
        <w:rPr>
          <w:b/>
          <w:bCs/>
          <w:spacing w:val="-11"/>
          <w:sz w:val="18"/>
          <w:szCs w:val="18"/>
          <w:lang w:val="es-ES_tradnl"/>
        </w:rPr>
        <w:t>Sobre la competencia de los gobiernos aut</w:t>
      </w:r>
      <w:r>
        <w:rPr>
          <w:rFonts w:cs="Times New Roman"/>
          <w:b/>
          <w:bCs/>
          <w:spacing w:val="-11"/>
          <w:sz w:val="18"/>
          <w:szCs w:val="18"/>
          <w:lang w:val="es-ES_tradnl"/>
        </w:rPr>
        <w:t>ó</w:t>
      </w:r>
      <w:r>
        <w:rPr>
          <w:b/>
          <w:bCs/>
          <w:spacing w:val="-11"/>
          <w:sz w:val="18"/>
          <w:szCs w:val="18"/>
          <w:lang w:val="es-ES_tradnl"/>
        </w:rPr>
        <w:t xml:space="preserve">nomos </w:t>
      </w:r>
      <w:r>
        <w:rPr>
          <w:b/>
          <w:bCs/>
          <w:spacing w:val="-8"/>
          <w:sz w:val="18"/>
          <w:szCs w:val="18"/>
          <w:lang w:val="es-ES_tradnl"/>
        </w:rPr>
        <w:t xml:space="preserve">descentralizados municipales en cuanto a establecer </w:t>
      </w:r>
      <w:r>
        <w:rPr>
          <w:b/>
          <w:bCs/>
          <w:spacing w:val="-10"/>
          <w:sz w:val="18"/>
          <w:szCs w:val="18"/>
          <w:lang w:val="es-ES_tradnl"/>
        </w:rPr>
        <w:t>tasas por la utilizaci</w:t>
      </w:r>
      <w:r>
        <w:rPr>
          <w:rFonts w:cs="Times New Roman"/>
          <w:b/>
          <w:bCs/>
          <w:spacing w:val="-10"/>
          <w:sz w:val="18"/>
          <w:szCs w:val="18"/>
          <w:lang w:val="es-ES_tradnl"/>
        </w:rPr>
        <w:t>ó</w:t>
      </w:r>
      <w:r>
        <w:rPr>
          <w:b/>
          <w:bCs/>
          <w:spacing w:val="-10"/>
          <w:sz w:val="18"/>
          <w:szCs w:val="18"/>
          <w:lang w:val="es-ES_tradnl"/>
        </w:rPr>
        <w:t>n u ocupaci</w:t>
      </w:r>
      <w:r>
        <w:rPr>
          <w:rFonts w:cs="Times New Roman"/>
          <w:b/>
          <w:bCs/>
          <w:spacing w:val="-10"/>
          <w:sz w:val="18"/>
          <w:szCs w:val="18"/>
          <w:lang w:val="es-ES_tradnl"/>
        </w:rPr>
        <w:t>ó</w:t>
      </w:r>
      <w:r>
        <w:rPr>
          <w:b/>
          <w:bCs/>
          <w:spacing w:val="-10"/>
          <w:sz w:val="18"/>
          <w:szCs w:val="18"/>
          <w:lang w:val="es-ES_tradnl"/>
        </w:rPr>
        <w:t>n del subsuelo</w:t>
      </w:r>
    </w:p>
    <w:p w14:paraId="4F67A8E8" w14:textId="77777777" w:rsidR="00591D54" w:rsidRDefault="00591D54">
      <w:pPr>
        <w:shd w:val="clear" w:color="auto" w:fill="FFFFFF"/>
        <w:spacing w:before="197" w:line="216" w:lineRule="exact"/>
        <w:jc w:val="both"/>
      </w:pPr>
      <w:r>
        <w:rPr>
          <w:spacing w:val="-6"/>
          <w:sz w:val="18"/>
          <w:szCs w:val="18"/>
          <w:lang w:val="es-ES_tradnl"/>
        </w:rPr>
        <w:t>Respecto a si se observ</w:t>
      </w:r>
      <w:r>
        <w:rPr>
          <w:rFonts w:cs="Times New Roman"/>
          <w:spacing w:val="-6"/>
          <w:sz w:val="18"/>
          <w:szCs w:val="18"/>
          <w:lang w:val="es-ES_tradnl"/>
        </w:rPr>
        <w:t>ó</w:t>
      </w:r>
      <w:r>
        <w:rPr>
          <w:spacing w:val="-6"/>
          <w:sz w:val="18"/>
          <w:szCs w:val="18"/>
          <w:lang w:val="es-ES_tradnl"/>
        </w:rPr>
        <w:t xml:space="preserv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w:t>
      </w:r>
      <w:r>
        <w:rPr>
          <w:spacing w:val="-10"/>
          <w:sz w:val="18"/>
          <w:szCs w:val="18"/>
          <w:lang w:val="es-ES_tradnl"/>
        </w:rPr>
        <w:t>del Ecuador en la fijaci</w:t>
      </w:r>
      <w:r>
        <w:rPr>
          <w:rFonts w:cs="Times New Roman"/>
          <w:spacing w:val="-10"/>
          <w:sz w:val="18"/>
          <w:szCs w:val="18"/>
          <w:lang w:val="es-ES_tradnl"/>
        </w:rPr>
        <w:t>ó</w:t>
      </w:r>
      <w:r>
        <w:rPr>
          <w:spacing w:val="-10"/>
          <w:sz w:val="18"/>
          <w:szCs w:val="18"/>
          <w:lang w:val="es-ES_tradnl"/>
        </w:rPr>
        <w:t xml:space="preserve">n de las tasas correspondientes a la </w:t>
      </w:r>
      <w:r>
        <w:rPr>
          <w:spacing w:val="-8"/>
          <w:sz w:val="18"/>
          <w:szCs w:val="18"/>
          <w:lang w:val="es-ES_tradnl"/>
        </w:rPr>
        <w:t>utilizaci</w:t>
      </w:r>
      <w:r>
        <w:rPr>
          <w:rFonts w:cs="Times New Roman"/>
          <w:spacing w:val="-8"/>
          <w:sz w:val="18"/>
          <w:szCs w:val="18"/>
          <w:lang w:val="es-ES_tradnl"/>
        </w:rPr>
        <w:t>ó</w:t>
      </w:r>
      <w:r>
        <w:rPr>
          <w:spacing w:val="-8"/>
          <w:sz w:val="18"/>
          <w:szCs w:val="18"/>
          <w:lang w:val="es-ES_tradnl"/>
        </w:rPr>
        <w:t>n u ocupaci</w:t>
      </w:r>
      <w:r>
        <w:rPr>
          <w:rFonts w:cs="Times New Roman"/>
          <w:spacing w:val="-8"/>
          <w:sz w:val="18"/>
          <w:szCs w:val="18"/>
          <w:lang w:val="es-ES_tradnl"/>
        </w:rPr>
        <w:t>ó</w:t>
      </w:r>
      <w:r>
        <w:rPr>
          <w:spacing w:val="-8"/>
          <w:sz w:val="18"/>
          <w:szCs w:val="18"/>
          <w:lang w:val="es-ES_tradnl"/>
        </w:rPr>
        <w:t>n del subsuelo por parte del Gobierno</w:t>
      </w:r>
    </w:p>
    <w:p w14:paraId="4F67A8E9" w14:textId="77777777" w:rsidR="00591D54" w:rsidRDefault="00591D54">
      <w:pPr>
        <w:shd w:val="clear" w:color="auto" w:fill="FFFFFF"/>
        <w:spacing w:before="5" w:line="216" w:lineRule="exact"/>
        <w:ind w:right="5"/>
        <w:jc w:val="both"/>
      </w:pPr>
      <w:r>
        <w:br w:type="column"/>
      </w:r>
      <w:r>
        <w:rPr>
          <w:spacing w:val="-4"/>
          <w:sz w:val="18"/>
          <w:szCs w:val="18"/>
          <w:lang w:val="es-ES_tradnl"/>
        </w:rPr>
        <w:t>Aut</w:t>
      </w:r>
      <w:r>
        <w:rPr>
          <w:rFonts w:cs="Times New Roman"/>
          <w:spacing w:val="-4"/>
          <w:sz w:val="18"/>
          <w:szCs w:val="18"/>
          <w:lang w:val="es-ES_tradnl"/>
        </w:rPr>
        <w:t>ó</w:t>
      </w:r>
      <w:r>
        <w:rPr>
          <w:spacing w:val="-4"/>
          <w:sz w:val="18"/>
          <w:szCs w:val="18"/>
          <w:lang w:val="es-ES_tradnl"/>
        </w:rPr>
        <w:t>nomo Descentralizado Municipal del cant</w:t>
      </w:r>
      <w:r>
        <w:rPr>
          <w:rFonts w:cs="Times New Roman"/>
          <w:spacing w:val="-4"/>
          <w:sz w:val="18"/>
          <w:szCs w:val="18"/>
          <w:lang w:val="es-ES_tradnl"/>
        </w:rPr>
        <w:t>ó</w:t>
      </w:r>
      <w:r>
        <w:rPr>
          <w:spacing w:val="-4"/>
          <w:sz w:val="18"/>
          <w:szCs w:val="18"/>
          <w:lang w:val="es-ES_tradnl"/>
        </w:rPr>
        <w:t xml:space="preserve">n San </w:t>
      </w:r>
      <w:r>
        <w:rPr>
          <w:spacing w:val="-5"/>
          <w:sz w:val="18"/>
          <w:szCs w:val="18"/>
          <w:lang w:val="es-ES_tradnl"/>
        </w:rPr>
        <w:t xml:space="preserve">Francisco de Puebloviejo, al emitir la ordenanza sujeta a </w:t>
      </w:r>
      <w:r>
        <w:rPr>
          <w:sz w:val="18"/>
          <w:szCs w:val="18"/>
          <w:lang w:val="es-ES_tradnl"/>
        </w:rPr>
        <w:t>an</w:t>
      </w:r>
      <w:r>
        <w:rPr>
          <w:rFonts w:cs="Times New Roman"/>
          <w:sz w:val="18"/>
          <w:szCs w:val="18"/>
          <w:lang w:val="es-ES_tradnl"/>
        </w:rPr>
        <w:t>á</w:t>
      </w:r>
      <w:r>
        <w:rPr>
          <w:sz w:val="18"/>
          <w:szCs w:val="18"/>
          <w:lang w:val="es-ES_tradnl"/>
        </w:rPr>
        <w:t>lisis constitucional, se indica que:</w:t>
      </w:r>
    </w:p>
    <w:p w14:paraId="4F67A8EA" w14:textId="77777777" w:rsidR="00591D54" w:rsidRDefault="00591D54">
      <w:pPr>
        <w:shd w:val="clear" w:color="auto" w:fill="FFFFFF"/>
        <w:spacing w:before="202" w:line="216" w:lineRule="exact"/>
        <w:ind w:left="283"/>
        <w:jc w:val="both"/>
      </w:pPr>
      <w:r>
        <w:rPr>
          <w:b/>
          <w:bCs/>
          <w:spacing w:val="-4"/>
          <w:sz w:val="16"/>
          <w:szCs w:val="16"/>
          <w:lang w:val="es-ES_tradnl"/>
        </w:rPr>
        <w:t xml:space="preserve">Art. 1.- Objeto y </w:t>
      </w:r>
      <w:r>
        <w:rPr>
          <w:rFonts w:cs="Times New Roman"/>
          <w:b/>
          <w:bCs/>
          <w:spacing w:val="-4"/>
          <w:sz w:val="16"/>
          <w:szCs w:val="16"/>
          <w:lang w:val="es-ES_tradnl"/>
        </w:rPr>
        <w:t>á</w:t>
      </w:r>
      <w:r>
        <w:rPr>
          <w:b/>
          <w:bCs/>
          <w:spacing w:val="-4"/>
          <w:sz w:val="16"/>
          <w:szCs w:val="16"/>
          <w:lang w:val="es-ES_tradnl"/>
        </w:rPr>
        <w:t>mbito de aplicaci</w:t>
      </w:r>
      <w:r>
        <w:rPr>
          <w:rFonts w:cs="Times New Roman"/>
          <w:b/>
          <w:bCs/>
          <w:spacing w:val="-4"/>
          <w:sz w:val="16"/>
          <w:szCs w:val="16"/>
          <w:lang w:val="es-ES_tradnl"/>
        </w:rPr>
        <w:t>ó</w:t>
      </w:r>
      <w:r>
        <w:rPr>
          <w:b/>
          <w:bCs/>
          <w:spacing w:val="-4"/>
          <w:sz w:val="16"/>
          <w:szCs w:val="16"/>
          <w:lang w:val="es-ES_tradnl"/>
        </w:rPr>
        <w:t xml:space="preserve">n.- </w:t>
      </w:r>
      <w:r>
        <w:rPr>
          <w:spacing w:val="-4"/>
          <w:sz w:val="16"/>
          <w:szCs w:val="16"/>
          <w:lang w:val="es-ES_tradnl"/>
        </w:rPr>
        <w:t xml:space="preserve">Esta ordenanza, </w:t>
      </w:r>
      <w:r>
        <w:rPr>
          <w:sz w:val="16"/>
          <w:szCs w:val="16"/>
          <w:lang w:val="es-ES_tradnl"/>
        </w:rPr>
        <w:t xml:space="preserve">tiene por objeto regular, controlar y sancionar la </w:t>
      </w:r>
      <w:r>
        <w:rPr>
          <w:spacing w:val="-8"/>
          <w:sz w:val="16"/>
          <w:szCs w:val="16"/>
          <w:lang w:val="es-ES_tradnl"/>
        </w:rPr>
        <w:t>implantaci</w:t>
      </w:r>
      <w:r>
        <w:rPr>
          <w:rFonts w:cs="Times New Roman"/>
          <w:spacing w:val="-8"/>
          <w:sz w:val="16"/>
          <w:szCs w:val="16"/>
          <w:lang w:val="es-ES_tradnl"/>
        </w:rPr>
        <w:t>ó</w:t>
      </w:r>
      <w:r>
        <w:rPr>
          <w:spacing w:val="-8"/>
          <w:sz w:val="16"/>
          <w:szCs w:val="16"/>
          <w:lang w:val="es-ES_tradnl"/>
        </w:rPr>
        <w:t xml:space="preserve">n de estructuras fijas y de soporte de antenas, y su </w:t>
      </w:r>
      <w:r>
        <w:rPr>
          <w:spacing w:val="-4"/>
          <w:sz w:val="16"/>
          <w:szCs w:val="16"/>
          <w:lang w:val="es-ES_tradnl"/>
        </w:rPr>
        <w:t>infraestructura relacionada para el servicio m</w:t>
      </w:r>
      <w:r>
        <w:rPr>
          <w:rFonts w:cs="Times New Roman"/>
          <w:spacing w:val="-4"/>
          <w:sz w:val="16"/>
          <w:szCs w:val="16"/>
          <w:lang w:val="es-ES_tradnl"/>
        </w:rPr>
        <w:t>ó</w:t>
      </w:r>
      <w:r>
        <w:rPr>
          <w:spacing w:val="-4"/>
          <w:sz w:val="16"/>
          <w:szCs w:val="16"/>
          <w:lang w:val="es-ES_tradnl"/>
        </w:rPr>
        <w:t xml:space="preserve">vil avanzado </w:t>
      </w:r>
      <w:r>
        <w:rPr>
          <w:spacing w:val="-3"/>
          <w:sz w:val="16"/>
          <w:szCs w:val="16"/>
          <w:lang w:val="es-ES_tradnl"/>
        </w:rPr>
        <w:t>en el territorio del Gobierno Aut</w:t>
      </w:r>
      <w:r>
        <w:rPr>
          <w:rFonts w:cs="Times New Roman"/>
          <w:spacing w:val="-3"/>
          <w:sz w:val="16"/>
          <w:szCs w:val="16"/>
          <w:lang w:val="es-ES_tradnl"/>
        </w:rPr>
        <w:t>ó</w:t>
      </w:r>
      <w:r>
        <w:rPr>
          <w:spacing w:val="-3"/>
          <w:sz w:val="16"/>
          <w:szCs w:val="16"/>
          <w:lang w:val="es-ES_tradnl"/>
        </w:rPr>
        <w:t xml:space="preserve">nomo Descentralizado </w:t>
      </w:r>
      <w:r>
        <w:rPr>
          <w:spacing w:val="-2"/>
          <w:sz w:val="16"/>
          <w:szCs w:val="16"/>
          <w:lang w:val="es-ES_tradnl"/>
        </w:rPr>
        <w:t>Municipal del Cant</w:t>
      </w:r>
      <w:r>
        <w:rPr>
          <w:rFonts w:cs="Times New Roman"/>
          <w:spacing w:val="-2"/>
          <w:sz w:val="16"/>
          <w:szCs w:val="16"/>
          <w:lang w:val="es-ES_tradnl"/>
        </w:rPr>
        <w:t>ó</w:t>
      </w:r>
      <w:r>
        <w:rPr>
          <w:spacing w:val="-2"/>
          <w:sz w:val="16"/>
          <w:szCs w:val="16"/>
          <w:lang w:val="es-ES_tradnl"/>
        </w:rPr>
        <w:t xml:space="preserve">n San Francisco de Puebloviejo, a fin </w:t>
      </w:r>
      <w:r>
        <w:rPr>
          <w:spacing w:val="-7"/>
          <w:sz w:val="16"/>
          <w:szCs w:val="16"/>
          <w:lang w:val="es-ES_tradnl"/>
        </w:rPr>
        <w:t>de cumplir con las condiciones de zonificaci</w:t>
      </w:r>
      <w:r>
        <w:rPr>
          <w:rFonts w:cs="Times New Roman"/>
          <w:spacing w:val="-7"/>
          <w:sz w:val="16"/>
          <w:szCs w:val="16"/>
          <w:lang w:val="es-ES_tradnl"/>
        </w:rPr>
        <w:t>ó</w:t>
      </w:r>
      <w:r>
        <w:rPr>
          <w:spacing w:val="-7"/>
          <w:sz w:val="16"/>
          <w:szCs w:val="16"/>
          <w:lang w:val="es-ES_tradnl"/>
        </w:rPr>
        <w:t xml:space="preserve">n, uso de suelo, </w:t>
      </w:r>
      <w:r>
        <w:rPr>
          <w:b/>
          <w:bCs/>
          <w:spacing w:val="-7"/>
          <w:sz w:val="16"/>
          <w:szCs w:val="16"/>
          <w:lang w:val="es-ES_tradnl"/>
        </w:rPr>
        <w:t xml:space="preserve">subsuelo </w:t>
      </w:r>
      <w:r>
        <w:rPr>
          <w:spacing w:val="-7"/>
          <w:sz w:val="16"/>
          <w:szCs w:val="16"/>
          <w:lang w:val="es-ES_tradnl"/>
        </w:rPr>
        <w:t>y v</w:t>
      </w:r>
      <w:r>
        <w:rPr>
          <w:rFonts w:cs="Times New Roman"/>
          <w:spacing w:val="-7"/>
          <w:sz w:val="16"/>
          <w:szCs w:val="16"/>
          <w:lang w:val="es-ES_tradnl"/>
        </w:rPr>
        <w:t>í</w:t>
      </w:r>
      <w:r>
        <w:rPr>
          <w:spacing w:val="-7"/>
          <w:sz w:val="16"/>
          <w:szCs w:val="16"/>
          <w:lang w:val="es-ES_tradnl"/>
        </w:rPr>
        <w:t>a p</w:t>
      </w:r>
      <w:r>
        <w:rPr>
          <w:rFonts w:cs="Times New Roman"/>
          <w:spacing w:val="-7"/>
          <w:sz w:val="16"/>
          <w:szCs w:val="16"/>
          <w:lang w:val="es-ES_tradnl"/>
        </w:rPr>
        <w:t>ú</w:t>
      </w:r>
      <w:r>
        <w:rPr>
          <w:spacing w:val="-7"/>
          <w:sz w:val="16"/>
          <w:szCs w:val="16"/>
          <w:lang w:val="es-ES_tradnl"/>
        </w:rPr>
        <w:t>blica, uso de espacio a</w:t>
      </w:r>
      <w:r>
        <w:rPr>
          <w:rFonts w:cs="Times New Roman"/>
          <w:spacing w:val="-7"/>
          <w:sz w:val="16"/>
          <w:szCs w:val="16"/>
          <w:lang w:val="es-ES_tradnl"/>
        </w:rPr>
        <w:t>é</w:t>
      </w:r>
      <w:r>
        <w:rPr>
          <w:spacing w:val="-7"/>
          <w:sz w:val="16"/>
          <w:szCs w:val="16"/>
          <w:lang w:val="es-ES_tradnl"/>
        </w:rPr>
        <w:t>reo y reducci</w:t>
      </w:r>
      <w:r>
        <w:rPr>
          <w:rFonts w:cs="Times New Roman"/>
          <w:spacing w:val="-7"/>
          <w:sz w:val="16"/>
          <w:szCs w:val="16"/>
          <w:lang w:val="es-ES_tradnl"/>
        </w:rPr>
        <w:t>ó</w:t>
      </w:r>
      <w:r>
        <w:rPr>
          <w:spacing w:val="-7"/>
          <w:sz w:val="16"/>
          <w:szCs w:val="16"/>
          <w:lang w:val="es-ES_tradnl"/>
        </w:rPr>
        <w:t xml:space="preserve">n del impacto ambiental, sujetos a las determinaciones, a las leyes, </w:t>
      </w:r>
      <w:r>
        <w:rPr>
          <w:spacing w:val="-3"/>
          <w:sz w:val="16"/>
          <w:szCs w:val="16"/>
          <w:lang w:val="es-ES_tradnl"/>
        </w:rPr>
        <w:t>ordenanzas, y dem</w:t>
      </w:r>
      <w:r>
        <w:rPr>
          <w:rFonts w:cs="Times New Roman"/>
          <w:spacing w:val="-3"/>
          <w:sz w:val="16"/>
          <w:szCs w:val="16"/>
          <w:lang w:val="es-ES_tradnl"/>
        </w:rPr>
        <w:t>á</w:t>
      </w:r>
      <w:r>
        <w:rPr>
          <w:spacing w:val="-3"/>
          <w:sz w:val="16"/>
          <w:szCs w:val="16"/>
          <w:lang w:val="es-ES_tradnl"/>
        </w:rPr>
        <w:t xml:space="preserve">s normativas vigentes. (Lo resaltado </w:t>
      </w:r>
      <w:r>
        <w:rPr>
          <w:sz w:val="16"/>
          <w:szCs w:val="16"/>
          <w:lang w:val="es-ES_tradnl"/>
        </w:rPr>
        <w:t>fuera del texto).</w:t>
      </w:r>
    </w:p>
    <w:p w14:paraId="4F67A8EB" w14:textId="77777777" w:rsidR="00591D54" w:rsidRDefault="00591D54">
      <w:pPr>
        <w:shd w:val="clear" w:color="auto" w:fill="FFFFFF"/>
        <w:spacing w:before="202" w:line="216" w:lineRule="exact"/>
        <w:ind w:right="5"/>
        <w:jc w:val="both"/>
      </w:pPr>
      <w:r>
        <w:rPr>
          <w:spacing w:val="-7"/>
          <w:sz w:val="18"/>
          <w:szCs w:val="18"/>
          <w:lang w:val="es-ES_tradnl"/>
        </w:rPr>
        <w:t>De igual manera, se debe destacar que el art</w:t>
      </w:r>
      <w:r>
        <w:rPr>
          <w:rFonts w:cs="Times New Roman"/>
          <w:spacing w:val="-7"/>
          <w:sz w:val="18"/>
          <w:szCs w:val="18"/>
          <w:lang w:val="es-ES_tradnl"/>
        </w:rPr>
        <w:t>í</w:t>
      </w:r>
      <w:r>
        <w:rPr>
          <w:spacing w:val="-7"/>
          <w:sz w:val="18"/>
          <w:szCs w:val="18"/>
          <w:lang w:val="es-ES_tradnl"/>
        </w:rPr>
        <w:t xml:space="preserve">culo 3 de la </w:t>
      </w:r>
      <w:r>
        <w:rPr>
          <w:spacing w:val="-8"/>
          <w:sz w:val="18"/>
          <w:szCs w:val="18"/>
          <w:lang w:val="es-ES_tradnl"/>
        </w:rPr>
        <w:t>ordenanza en an</w:t>
      </w:r>
      <w:r>
        <w:rPr>
          <w:rFonts w:cs="Times New Roman"/>
          <w:spacing w:val="-8"/>
          <w:sz w:val="18"/>
          <w:szCs w:val="18"/>
          <w:lang w:val="es-ES_tradnl"/>
        </w:rPr>
        <w:t>á</w:t>
      </w:r>
      <w:r>
        <w:rPr>
          <w:spacing w:val="-8"/>
          <w:sz w:val="18"/>
          <w:szCs w:val="18"/>
          <w:lang w:val="es-ES_tradnl"/>
        </w:rPr>
        <w:t xml:space="preserve">lisis establece las condiciones generales </w:t>
      </w:r>
      <w:r>
        <w:rPr>
          <w:spacing w:val="-5"/>
          <w:sz w:val="18"/>
          <w:szCs w:val="18"/>
          <w:lang w:val="es-ES_tradnl"/>
        </w:rPr>
        <w:t>para la implantaci</w:t>
      </w:r>
      <w:r>
        <w:rPr>
          <w:rFonts w:cs="Times New Roman"/>
          <w:spacing w:val="-5"/>
          <w:sz w:val="18"/>
          <w:szCs w:val="18"/>
          <w:lang w:val="es-ES_tradnl"/>
        </w:rPr>
        <w:t>ó</w:t>
      </w:r>
      <w:r>
        <w:rPr>
          <w:spacing w:val="-5"/>
          <w:sz w:val="18"/>
          <w:szCs w:val="18"/>
          <w:lang w:val="es-ES_tradnl"/>
        </w:rPr>
        <w:t xml:space="preserve">n de estructuras fijas de soportes de </w:t>
      </w:r>
      <w:r>
        <w:rPr>
          <w:sz w:val="18"/>
          <w:szCs w:val="18"/>
          <w:lang w:val="es-ES_tradnl"/>
        </w:rPr>
        <w:t>antenas, se</w:t>
      </w:r>
      <w:r>
        <w:rPr>
          <w:rFonts w:cs="Times New Roman"/>
          <w:sz w:val="18"/>
          <w:szCs w:val="18"/>
          <w:lang w:val="es-ES_tradnl"/>
        </w:rPr>
        <w:t>ñ</w:t>
      </w:r>
      <w:r>
        <w:rPr>
          <w:sz w:val="18"/>
          <w:szCs w:val="18"/>
          <w:lang w:val="es-ES_tradnl"/>
        </w:rPr>
        <w:t>alando:</w:t>
      </w:r>
    </w:p>
    <w:p w14:paraId="4F67A8EC" w14:textId="77777777" w:rsidR="00591D54" w:rsidRDefault="00591D54">
      <w:pPr>
        <w:shd w:val="clear" w:color="auto" w:fill="FFFFFF"/>
        <w:spacing w:before="202" w:line="216" w:lineRule="exact"/>
        <w:ind w:left="283" w:right="5"/>
        <w:jc w:val="both"/>
      </w:pPr>
      <w:r>
        <w:rPr>
          <w:b/>
          <w:bCs/>
          <w:spacing w:val="-7"/>
          <w:sz w:val="16"/>
          <w:szCs w:val="16"/>
          <w:lang w:val="es-ES_tradnl"/>
        </w:rPr>
        <w:t xml:space="preserve">Art. 3.- </w:t>
      </w:r>
      <w:r>
        <w:rPr>
          <w:spacing w:val="-7"/>
          <w:sz w:val="16"/>
          <w:szCs w:val="16"/>
          <w:lang w:val="es-ES_tradnl"/>
        </w:rPr>
        <w:t>Condiciones generales de implantaci</w:t>
      </w:r>
      <w:r>
        <w:rPr>
          <w:rFonts w:cs="Times New Roman"/>
          <w:spacing w:val="-7"/>
          <w:sz w:val="16"/>
          <w:szCs w:val="16"/>
          <w:lang w:val="es-ES_tradnl"/>
        </w:rPr>
        <w:t>ó</w:t>
      </w:r>
      <w:r>
        <w:rPr>
          <w:spacing w:val="-7"/>
          <w:sz w:val="16"/>
          <w:szCs w:val="16"/>
          <w:lang w:val="es-ES_tradnl"/>
        </w:rPr>
        <w:t xml:space="preserve">n de estructuras </w:t>
      </w:r>
      <w:r>
        <w:rPr>
          <w:spacing w:val="-6"/>
          <w:sz w:val="16"/>
          <w:szCs w:val="16"/>
          <w:lang w:val="es-ES_tradnl"/>
        </w:rPr>
        <w:t>fijas de soportes de antenas.- La implantaci</w:t>
      </w:r>
      <w:r>
        <w:rPr>
          <w:rFonts w:cs="Times New Roman"/>
          <w:spacing w:val="-6"/>
          <w:sz w:val="16"/>
          <w:szCs w:val="16"/>
          <w:lang w:val="es-ES_tradnl"/>
        </w:rPr>
        <w:t>ó</w:t>
      </w:r>
      <w:r>
        <w:rPr>
          <w:spacing w:val="-6"/>
          <w:sz w:val="16"/>
          <w:szCs w:val="16"/>
          <w:lang w:val="es-ES_tradnl"/>
        </w:rPr>
        <w:t xml:space="preserve">n de estructuras </w:t>
      </w:r>
      <w:r>
        <w:rPr>
          <w:spacing w:val="-4"/>
          <w:sz w:val="16"/>
          <w:szCs w:val="16"/>
          <w:lang w:val="es-ES_tradnl"/>
        </w:rPr>
        <w:t>fijas de soportes de antenas para la prestaci</w:t>
      </w:r>
      <w:r>
        <w:rPr>
          <w:rFonts w:cs="Times New Roman"/>
          <w:spacing w:val="-4"/>
          <w:sz w:val="16"/>
          <w:szCs w:val="16"/>
          <w:lang w:val="es-ES_tradnl"/>
        </w:rPr>
        <w:t>ó</w:t>
      </w:r>
      <w:r>
        <w:rPr>
          <w:spacing w:val="-4"/>
          <w:sz w:val="16"/>
          <w:szCs w:val="16"/>
          <w:lang w:val="es-ES_tradnl"/>
        </w:rPr>
        <w:t xml:space="preserve">n del servicio </w:t>
      </w:r>
      <w:r>
        <w:rPr>
          <w:spacing w:val="-3"/>
          <w:sz w:val="16"/>
          <w:szCs w:val="16"/>
          <w:lang w:val="es-ES_tradnl"/>
        </w:rPr>
        <w:t>de comunicaci</w:t>
      </w:r>
      <w:r>
        <w:rPr>
          <w:rFonts w:cs="Times New Roman"/>
          <w:spacing w:val="-3"/>
          <w:sz w:val="16"/>
          <w:szCs w:val="16"/>
          <w:lang w:val="es-ES_tradnl"/>
        </w:rPr>
        <w:t>ó</w:t>
      </w:r>
      <w:r>
        <w:rPr>
          <w:spacing w:val="-3"/>
          <w:sz w:val="16"/>
          <w:szCs w:val="16"/>
          <w:lang w:val="es-ES_tradnl"/>
        </w:rPr>
        <w:t>n en general, cumplir</w:t>
      </w:r>
      <w:r>
        <w:rPr>
          <w:rFonts w:cs="Times New Roman"/>
          <w:spacing w:val="-3"/>
          <w:sz w:val="16"/>
          <w:szCs w:val="16"/>
          <w:lang w:val="es-ES_tradnl"/>
        </w:rPr>
        <w:t>á</w:t>
      </w:r>
      <w:r>
        <w:rPr>
          <w:spacing w:val="-3"/>
          <w:sz w:val="16"/>
          <w:szCs w:val="16"/>
          <w:lang w:val="es-ES_tradnl"/>
        </w:rPr>
        <w:t xml:space="preserve"> con el servicio de </w:t>
      </w:r>
      <w:r>
        <w:rPr>
          <w:spacing w:val="-6"/>
          <w:sz w:val="16"/>
          <w:szCs w:val="16"/>
          <w:lang w:val="es-ES_tradnl"/>
        </w:rPr>
        <w:t>zonificaci</w:t>
      </w:r>
      <w:r>
        <w:rPr>
          <w:rFonts w:cs="Times New Roman"/>
          <w:spacing w:val="-6"/>
          <w:sz w:val="16"/>
          <w:szCs w:val="16"/>
          <w:lang w:val="es-ES_tradnl"/>
        </w:rPr>
        <w:t>ó</w:t>
      </w:r>
      <w:r>
        <w:rPr>
          <w:spacing w:val="-6"/>
          <w:sz w:val="16"/>
          <w:szCs w:val="16"/>
          <w:lang w:val="es-ES_tradnl"/>
        </w:rPr>
        <w:t>n, uso y ocupaci</w:t>
      </w:r>
      <w:r>
        <w:rPr>
          <w:rFonts w:cs="Times New Roman"/>
          <w:spacing w:val="-6"/>
          <w:sz w:val="16"/>
          <w:szCs w:val="16"/>
          <w:lang w:val="es-ES_tradnl"/>
        </w:rPr>
        <w:t>ó</w:t>
      </w:r>
      <w:r>
        <w:rPr>
          <w:spacing w:val="-6"/>
          <w:sz w:val="16"/>
          <w:szCs w:val="16"/>
          <w:lang w:val="es-ES_tradnl"/>
        </w:rPr>
        <w:t xml:space="preserve">n del suelo, </w:t>
      </w:r>
      <w:r>
        <w:rPr>
          <w:b/>
          <w:bCs/>
          <w:spacing w:val="-6"/>
          <w:sz w:val="16"/>
          <w:szCs w:val="16"/>
          <w:lang w:val="es-ES_tradnl"/>
        </w:rPr>
        <w:t xml:space="preserve">subsuelo </w:t>
      </w:r>
      <w:r>
        <w:rPr>
          <w:spacing w:val="-6"/>
          <w:sz w:val="16"/>
          <w:szCs w:val="16"/>
          <w:lang w:val="es-ES_tradnl"/>
        </w:rPr>
        <w:t xml:space="preserve">y espacio </w:t>
      </w:r>
      <w:r>
        <w:rPr>
          <w:spacing w:val="-5"/>
          <w:sz w:val="16"/>
          <w:szCs w:val="16"/>
          <w:lang w:val="es-ES_tradnl"/>
        </w:rPr>
        <w:t>a</w:t>
      </w:r>
      <w:r>
        <w:rPr>
          <w:rFonts w:cs="Times New Roman"/>
          <w:spacing w:val="-5"/>
          <w:sz w:val="16"/>
          <w:szCs w:val="16"/>
          <w:lang w:val="es-ES_tradnl"/>
        </w:rPr>
        <w:t>é</w:t>
      </w:r>
      <w:r>
        <w:rPr>
          <w:spacing w:val="-5"/>
          <w:sz w:val="16"/>
          <w:szCs w:val="16"/>
          <w:lang w:val="es-ES_tradnl"/>
        </w:rPr>
        <w:t xml:space="preserve">reo y sus relaciones de compatibilidad con la ordenanza </w:t>
      </w:r>
      <w:r>
        <w:rPr>
          <w:spacing w:val="-8"/>
          <w:sz w:val="16"/>
          <w:szCs w:val="16"/>
          <w:lang w:val="es-ES_tradnl"/>
        </w:rPr>
        <w:t>que reglamenta el uso del suelo, as</w:t>
      </w:r>
      <w:r>
        <w:rPr>
          <w:rFonts w:cs="Times New Roman"/>
          <w:spacing w:val="-8"/>
          <w:sz w:val="16"/>
          <w:szCs w:val="16"/>
          <w:lang w:val="es-ES_tradnl"/>
        </w:rPr>
        <w:t>í</w:t>
      </w:r>
      <w:r>
        <w:rPr>
          <w:spacing w:val="-8"/>
          <w:sz w:val="16"/>
          <w:szCs w:val="16"/>
          <w:lang w:val="es-ES_tradnl"/>
        </w:rPr>
        <w:t xml:space="preserve"> como con las condiciones </w:t>
      </w:r>
      <w:r>
        <w:rPr>
          <w:sz w:val="16"/>
          <w:szCs w:val="16"/>
          <w:lang w:val="es-ES_tradnl"/>
        </w:rPr>
        <w:t>generales. (Lo resaltado fuera del texto).</w:t>
      </w:r>
    </w:p>
    <w:p w14:paraId="4F67A8ED" w14:textId="77777777" w:rsidR="00591D54" w:rsidRDefault="00591D54">
      <w:pPr>
        <w:shd w:val="clear" w:color="auto" w:fill="FFFFFF"/>
        <w:spacing w:before="202" w:line="216" w:lineRule="exact"/>
        <w:ind w:right="5"/>
        <w:jc w:val="both"/>
      </w:pPr>
      <w:r>
        <w:rPr>
          <w:sz w:val="18"/>
          <w:szCs w:val="18"/>
          <w:lang w:val="es-ES_tradnl"/>
        </w:rPr>
        <w:t>Seg</w:t>
      </w:r>
      <w:r>
        <w:rPr>
          <w:rFonts w:cs="Times New Roman"/>
          <w:sz w:val="18"/>
          <w:szCs w:val="18"/>
          <w:lang w:val="es-ES_tradnl"/>
        </w:rPr>
        <w:t>ú</w:t>
      </w:r>
      <w:r>
        <w:rPr>
          <w:sz w:val="18"/>
          <w:szCs w:val="18"/>
          <w:lang w:val="es-ES_tradnl"/>
        </w:rPr>
        <w:t>n lo dispuesto en el art</w:t>
      </w:r>
      <w:r>
        <w:rPr>
          <w:rFonts w:cs="Times New Roman"/>
          <w:sz w:val="18"/>
          <w:szCs w:val="18"/>
          <w:lang w:val="es-ES_tradnl"/>
        </w:rPr>
        <w:t>í</w:t>
      </w:r>
      <w:r>
        <w:rPr>
          <w:sz w:val="18"/>
          <w:szCs w:val="18"/>
          <w:lang w:val="es-ES_tradnl"/>
        </w:rPr>
        <w:t>culo 4 de la Constituci</w:t>
      </w:r>
      <w:r>
        <w:rPr>
          <w:rFonts w:cs="Times New Roman"/>
          <w:sz w:val="18"/>
          <w:szCs w:val="18"/>
          <w:lang w:val="es-ES_tradnl"/>
        </w:rPr>
        <w:t>ó</w:t>
      </w:r>
      <w:r>
        <w:rPr>
          <w:sz w:val="18"/>
          <w:szCs w:val="18"/>
          <w:lang w:val="es-ES_tradnl"/>
        </w:rPr>
        <w:t xml:space="preserve">n </w:t>
      </w:r>
      <w:r>
        <w:rPr>
          <w:spacing w:val="-4"/>
          <w:sz w:val="18"/>
          <w:szCs w:val="18"/>
          <w:lang w:val="es-ES_tradnl"/>
        </w:rPr>
        <w:t>de la Rep</w:t>
      </w:r>
      <w:r>
        <w:rPr>
          <w:rFonts w:cs="Times New Roman"/>
          <w:spacing w:val="-4"/>
          <w:sz w:val="18"/>
          <w:szCs w:val="18"/>
          <w:lang w:val="es-ES_tradnl"/>
        </w:rPr>
        <w:t>ú</w:t>
      </w:r>
      <w:r>
        <w:rPr>
          <w:spacing w:val="-4"/>
          <w:sz w:val="18"/>
          <w:szCs w:val="18"/>
          <w:lang w:val="es-ES_tradnl"/>
        </w:rPr>
        <w:t xml:space="preserve">blica, el subsuelo forma parte del territorio </w:t>
      </w:r>
      <w:r>
        <w:rPr>
          <w:spacing w:val="-8"/>
          <w:sz w:val="18"/>
          <w:szCs w:val="18"/>
          <w:lang w:val="es-ES_tradnl"/>
        </w:rPr>
        <w:t xml:space="preserve">inalienable, irreductible e inviolable del estado ecuatoriano; </w:t>
      </w:r>
      <w:r>
        <w:rPr>
          <w:spacing w:val="-4"/>
          <w:sz w:val="18"/>
          <w:szCs w:val="18"/>
          <w:lang w:val="es-ES_tradnl"/>
        </w:rPr>
        <w:t>en aquel sentido, la ocupaci</w:t>
      </w:r>
      <w:r>
        <w:rPr>
          <w:rFonts w:cs="Times New Roman"/>
          <w:spacing w:val="-4"/>
          <w:sz w:val="18"/>
          <w:szCs w:val="18"/>
          <w:lang w:val="es-ES_tradnl"/>
        </w:rPr>
        <w:t>ó</w:t>
      </w:r>
      <w:r>
        <w:rPr>
          <w:spacing w:val="-4"/>
          <w:sz w:val="18"/>
          <w:szCs w:val="18"/>
          <w:lang w:val="es-ES_tradnl"/>
        </w:rPr>
        <w:t>n del mismo implica una regulaci</w:t>
      </w:r>
      <w:r>
        <w:rPr>
          <w:rFonts w:cs="Times New Roman"/>
          <w:spacing w:val="-4"/>
          <w:sz w:val="18"/>
          <w:szCs w:val="18"/>
          <w:lang w:val="es-ES_tradnl"/>
        </w:rPr>
        <w:t>ó</w:t>
      </w:r>
      <w:r>
        <w:rPr>
          <w:spacing w:val="-4"/>
          <w:sz w:val="18"/>
          <w:szCs w:val="18"/>
          <w:lang w:val="es-ES_tradnl"/>
        </w:rPr>
        <w:t xml:space="preserve">n dentro de las competencias exclusivas del </w:t>
      </w:r>
      <w:r>
        <w:rPr>
          <w:spacing w:val="-3"/>
          <w:sz w:val="18"/>
          <w:szCs w:val="18"/>
          <w:lang w:val="es-ES_tradnl"/>
        </w:rPr>
        <w:t xml:space="preserve">Estado central, el cual no puede ser regulado por parte de la municipalidad, ante lo cual la palabra </w:t>
      </w:r>
      <w:r>
        <w:rPr>
          <w:rFonts w:cs="Times New Roman"/>
          <w:spacing w:val="-3"/>
          <w:sz w:val="18"/>
          <w:szCs w:val="18"/>
          <w:lang w:val="es-ES_tradnl"/>
        </w:rPr>
        <w:t>“</w:t>
      </w:r>
      <w:r>
        <w:rPr>
          <w:spacing w:val="-3"/>
          <w:sz w:val="18"/>
          <w:szCs w:val="18"/>
          <w:lang w:val="es-ES_tradnl"/>
        </w:rPr>
        <w:t>subsuelo</w:t>
      </w:r>
      <w:r>
        <w:rPr>
          <w:rFonts w:cs="Times New Roman"/>
          <w:spacing w:val="-3"/>
          <w:sz w:val="18"/>
          <w:szCs w:val="18"/>
          <w:lang w:val="es-ES_tradnl"/>
        </w:rPr>
        <w:t xml:space="preserve">” </w:t>
      </w:r>
      <w:r>
        <w:rPr>
          <w:spacing w:val="-8"/>
          <w:sz w:val="18"/>
          <w:szCs w:val="18"/>
          <w:lang w:val="es-ES_tradnl"/>
        </w:rPr>
        <w:t>contenida en los art</w:t>
      </w:r>
      <w:r>
        <w:rPr>
          <w:rFonts w:cs="Times New Roman"/>
          <w:spacing w:val="-8"/>
          <w:sz w:val="18"/>
          <w:szCs w:val="18"/>
          <w:lang w:val="es-ES_tradnl"/>
        </w:rPr>
        <w:t>í</w:t>
      </w:r>
      <w:r>
        <w:rPr>
          <w:spacing w:val="-8"/>
          <w:sz w:val="18"/>
          <w:szCs w:val="18"/>
          <w:lang w:val="es-ES_tradnl"/>
        </w:rPr>
        <w:t xml:space="preserve">culos 1 y 3 de la ordenanza contradice </w:t>
      </w:r>
      <w:r>
        <w:rPr>
          <w:sz w:val="18"/>
          <w:szCs w:val="18"/>
          <w:lang w:val="es-ES_tradnl"/>
        </w:rPr>
        <w:t>el texto constitucional.</w:t>
      </w:r>
    </w:p>
    <w:p w14:paraId="4F67A8EE" w14:textId="77777777" w:rsidR="00591D54" w:rsidRDefault="00591D54">
      <w:pPr>
        <w:shd w:val="clear" w:color="auto" w:fill="FFFFFF"/>
        <w:spacing w:before="192" w:line="216" w:lineRule="exact"/>
        <w:ind w:right="5"/>
        <w:jc w:val="both"/>
      </w:pPr>
      <w:r>
        <w:rPr>
          <w:spacing w:val="-7"/>
          <w:sz w:val="18"/>
          <w:szCs w:val="18"/>
          <w:lang w:val="es-ES_tradnl"/>
        </w:rPr>
        <w:t>Es necesario mencionar que el art</w:t>
      </w:r>
      <w:r>
        <w:rPr>
          <w:rFonts w:cs="Times New Roman"/>
          <w:spacing w:val="-7"/>
          <w:sz w:val="18"/>
          <w:szCs w:val="18"/>
          <w:lang w:val="es-ES_tradnl"/>
        </w:rPr>
        <w:t>í</w:t>
      </w:r>
      <w:r>
        <w:rPr>
          <w:spacing w:val="-7"/>
          <w:sz w:val="18"/>
          <w:szCs w:val="18"/>
          <w:lang w:val="es-ES_tradnl"/>
        </w:rPr>
        <w:t xml:space="preserve">culo 261 numeral 10 de </w:t>
      </w:r>
      <w:r>
        <w:rPr>
          <w:spacing w:val="-10"/>
          <w:sz w:val="18"/>
          <w:szCs w:val="18"/>
          <w:lang w:val="es-ES_tradnl"/>
        </w:rPr>
        <w:t xml:space="preserve">la Carta Suprema otorga al Estado central las competencias </w:t>
      </w:r>
      <w:r>
        <w:rPr>
          <w:spacing w:val="-7"/>
          <w:sz w:val="18"/>
          <w:szCs w:val="18"/>
          <w:lang w:val="es-ES_tradnl"/>
        </w:rPr>
        <w:t>exclusivas sobre el r</w:t>
      </w:r>
      <w:r>
        <w:rPr>
          <w:rFonts w:cs="Times New Roman"/>
          <w:spacing w:val="-7"/>
          <w:sz w:val="18"/>
          <w:szCs w:val="18"/>
          <w:lang w:val="es-ES_tradnl"/>
        </w:rPr>
        <w:t>é</w:t>
      </w:r>
      <w:r>
        <w:rPr>
          <w:spacing w:val="-7"/>
          <w:sz w:val="18"/>
          <w:szCs w:val="18"/>
          <w:lang w:val="es-ES_tradnl"/>
        </w:rPr>
        <w:t>gimen general de comunicaciones y telecomunicaciones consecuentemente, su regulaci</w:t>
      </w:r>
      <w:r>
        <w:rPr>
          <w:rFonts w:cs="Times New Roman"/>
          <w:spacing w:val="-7"/>
          <w:sz w:val="18"/>
          <w:szCs w:val="18"/>
          <w:lang w:val="es-ES_tradnl"/>
        </w:rPr>
        <w:t>ó</w:t>
      </w:r>
      <w:r>
        <w:rPr>
          <w:spacing w:val="-7"/>
          <w:sz w:val="18"/>
          <w:szCs w:val="18"/>
          <w:lang w:val="es-ES_tradnl"/>
        </w:rPr>
        <w:t xml:space="preserve">n es </w:t>
      </w:r>
      <w:r>
        <w:rPr>
          <w:sz w:val="18"/>
          <w:szCs w:val="18"/>
          <w:lang w:val="es-ES_tradnl"/>
        </w:rPr>
        <w:t>competencia exclusiva del mismo.</w:t>
      </w:r>
    </w:p>
    <w:p w14:paraId="4F67A8EF" w14:textId="77777777" w:rsidR="00591D54" w:rsidRDefault="00591D54">
      <w:pPr>
        <w:shd w:val="clear" w:color="auto" w:fill="FFFFFF"/>
        <w:spacing w:before="192" w:line="216" w:lineRule="exact"/>
        <w:ind w:right="5"/>
        <w:jc w:val="both"/>
      </w:pPr>
      <w:r>
        <w:rPr>
          <w:spacing w:val="-4"/>
          <w:sz w:val="18"/>
          <w:szCs w:val="18"/>
          <w:lang w:val="es-ES_tradnl"/>
        </w:rPr>
        <w:t xml:space="preserve">En el caso </w:t>
      </w:r>
      <w:r>
        <w:rPr>
          <w:i/>
          <w:iCs/>
          <w:spacing w:val="-4"/>
          <w:sz w:val="18"/>
          <w:szCs w:val="18"/>
          <w:lang w:val="es-ES_tradnl"/>
        </w:rPr>
        <w:t>sub examine</w:t>
      </w:r>
      <w:r>
        <w:rPr>
          <w:spacing w:val="-4"/>
          <w:sz w:val="18"/>
          <w:szCs w:val="18"/>
          <w:lang w:val="es-ES_tradnl"/>
        </w:rPr>
        <w:t xml:space="preserve">, la ordenanza del Gobierno </w:t>
      </w:r>
      <w:r>
        <w:rPr>
          <w:sz w:val="18"/>
          <w:szCs w:val="18"/>
          <w:lang w:val="es-ES_tradnl"/>
        </w:rPr>
        <w:t>Municipal del cant</w:t>
      </w:r>
      <w:r>
        <w:rPr>
          <w:rFonts w:cs="Times New Roman"/>
          <w:sz w:val="18"/>
          <w:szCs w:val="18"/>
          <w:lang w:val="es-ES_tradnl"/>
        </w:rPr>
        <w:t>ó</w:t>
      </w:r>
      <w:r>
        <w:rPr>
          <w:sz w:val="18"/>
          <w:szCs w:val="18"/>
          <w:lang w:val="es-ES_tradnl"/>
        </w:rPr>
        <w:t xml:space="preserve">n Puebloviejo, en el </w:t>
      </w:r>
      <w:r>
        <w:rPr>
          <w:rFonts w:cs="Times New Roman"/>
          <w:sz w:val="18"/>
          <w:szCs w:val="18"/>
          <w:lang w:val="es-ES_tradnl"/>
        </w:rPr>
        <w:t>ú</w:t>
      </w:r>
      <w:r>
        <w:rPr>
          <w:sz w:val="18"/>
          <w:szCs w:val="18"/>
          <w:lang w:val="es-ES_tradnl"/>
        </w:rPr>
        <w:t xml:space="preserve">ltimo inciso </w:t>
      </w:r>
      <w:r>
        <w:rPr>
          <w:spacing w:val="-4"/>
          <w:sz w:val="18"/>
          <w:szCs w:val="18"/>
          <w:lang w:val="es-ES_tradnl"/>
        </w:rPr>
        <w:t>del art</w:t>
      </w:r>
      <w:r>
        <w:rPr>
          <w:rFonts w:cs="Times New Roman"/>
          <w:spacing w:val="-4"/>
          <w:sz w:val="18"/>
          <w:szCs w:val="18"/>
          <w:lang w:val="es-ES_tradnl"/>
        </w:rPr>
        <w:t>í</w:t>
      </w:r>
      <w:r>
        <w:rPr>
          <w:spacing w:val="-4"/>
          <w:sz w:val="18"/>
          <w:szCs w:val="18"/>
          <w:lang w:val="es-ES_tradnl"/>
        </w:rPr>
        <w:t>culo 18, establece una tasa fija y permanente de $ 0.01 d</w:t>
      </w:r>
      <w:r>
        <w:rPr>
          <w:rFonts w:cs="Times New Roman"/>
          <w:spacing w:val="-4"/>
          <w:sz w:val="18"/>
          <w:szCs w:val="18"/>
          <w:lang w:val="es-ES_tradnl"/>
        </w:rPr>
        <w:t>ó</w:t>
      </w:r>
      <w:r>
        <w:rPr>
          <w:spacing w:val="-4"/>
          <w:sz w:val="18"/>
          <w:szCs w:val="18"/>
          <w:lang w:val="es-ES_tradnl"/>
        </w:rPr>
        <w:t xml:space="preserve">lares americanos diarios por cada metro lineal </w:t>
      </w:r>
      <w:r>
        <w:rPr>
          <w:spacing w:val="-6"/>
          <w:sz w:val="18"/>
          <w:szCs w:val="18"/>
          <w:lang w:val="es-ES_tradnl"/>
        </w:rPr>
        <w:t>de cable tendido, por ocupaci</w:t>
      </w:r>
      <w:r>
        <w:rPr>
          <w:rFonts w:cs="Times New Roman"/>
          <w:spacing w:val="-6"/>
          <w:sz w:val="18"/>
          <w:szCs w:val="18"/>
          <w:lang w:val="es-ES_tradnl"/>
        </w:rPr>
        <w:t>ó</w:t>
      </w:r>
      <w:r>
        <w:rPr>
          <w:spacing w:val="-6"/>
          <w:sz w:val="18"/>
          <w:szCs w:val="18"/>
          <w:lang w:val="es-ES_tradnl"/>
        </w:rPr>
        <w:t>n de espacio a</w:t>
      </w:r>
      <w:r>
        <w:rPr>
          <w:rFonts w:cs="Times New Roman"/>
          <w:spacing w:val="-6"/>
          <w:sz w:val="18"/>
          <w:szCs w:val="18"/>
          <w:lang w:val="es-ES_tradnl"/>
        </w:rPr>
        <w:t>é</w:t>
      </w:r>
      <w:r>
        <w:rPr>
          <w:spacing w:val="-6"/>
          <w:sz w:val="18"/>
          <w:szCs w:val="18"/>
          <w:lang w:val="es-ES_tradnl"/>
        </w:rPr>
        <w:t xml:space="preserve">reo; lo cual </w:t>
      </w:r>
      <w:r>
        <w:rPr>
          <w:spacing w:val="-3"/>
          <w:sz w:val="18"/>
          <w:szCs w:val="18"/>
          <w:lang w:val="es-ES_tradnl"/>
        </w:rPr>
        <w:t>implica una regulaci</w:t>
      </w:r>
      <w:r>
        <w:rPr>
          <w:rFonts w:cs="Times New Roman"/>
          <w:spacing w:val="-3"/>
          <w:sz w:val="18"/>
          <w:szCs w:val="18"/>
          <w:lang w:val="es-ES_tradnl"/>
        </w:rPr>
        <w:t>ó</w:t>
      </w:r>
      <w:r>
        <w:rPr>
          <w:spacing w:val="-3"/>
          <w:sz w:val="18"/>
          <w:szCs w:val="18"/>
          <w:lang w:val="es-ES_tradnl"/>
        </w:rPr>
        <w:t xml:space="preserve">n en cuanto a las comunicaciones </w:t>
      </w:r>
      <w:r>
        <w:rPr>
          <w:spacing w:val="-6"/>
          <w:sz w:val="18"/>
          <w:szCs w:val="18"/>
          <w:lang w:val="es-ES_tradnl"/>
        </w:rPr>
        <w:t>y telecomunicaciones en aquel cant</w:t>
      </w:r>
      <w:r>
        <w:rPr>
          <w:rFonts w:cs="Times New Roman"/>
          <w:spacing w:val="-6"/>
          <w:sz w:val="18"/>
          <w:szCs w:val="18"/>
          <w:lang w:val="es-ES_tradnl"/>
        </w:rPr>
        <w:t>ó</w:t>
      </w:r>
      <w:r>
        <w:rPr>
          <w:spacing w:val="-6"/>
          <w:sz w:val="18"/>
          <w:szCs w:val="18"/>
          <w:lang w:val="es-ES_tradnl"/>
        </w:rPr>
        <w:t>n, as</w:t>
      </w:r>
      <w:r>
        <w:rPr>
          <w:rFonts w:cs="Times New Roman"/>
          <w:spacing w:val="-6"/>
          <w:sz w:val="18"/>
          <w:szCs w:val="18"/>
          <w:lang w:val="es-ES_tradnl"/>
        </w:rPr>
        <w:t>í</w:t>
      </w:r>
      <w:r>
        <w:rPr>
          <w:spacing w:val="-6"/>
          <w:sz w:val="18"/>
          <w:szCs w:val="18"/>
          <w:lang w:val="es-ES_tradnl"/>
        </w:rPr>
        <w:t xml:space="preserve"> como el </w:t>
      </w:r>
      <w:r>
        <w:rPr>
          <w:spacing w:val="-8"/>
          <w:sz w:val="18"/>
          <w:szCs w:val="18"/>
          <w:lang w:val="es-ES_tradnl"/>
        </w:rPr>
        <w:t>establecimiento de un tributo por concepto de la regulaci</w:t>
      </w:r>
      <w:r>
        <w:rPr>
          <w:rFonts w:cs="Times New Roman"/>
          <w:spacing w:val="-8"/>
          <w:sz w:val="18"/>
          <w:szCs w:val="18"/>
          <w:lang w:val="es-ES_tradnl"/>
        </w:rPr>
        <w:t>ó</w:t>
      </w:r>
      <w:r>
        <w:rPr>
          <w:spacing w:val="-8"/>
          <w:sz w:val="18"/>
          <w:szCs w:val="18"/>
          <w:lang w:val="es-ES_tradnl"/>
        </w:rPr>
        <w:t xml:space="preserve">n </w:t>
      </w:r>
      <w:r>
        <w:rPr>
          <w:spacing w:val="-6"/>
          <w:sz w:val="18"/>
          <w:szCs w:val="18"/>
          <w:lang w:val="es-ES_tradnl"/>
        </w:rPr>
        <w:t>de estas actividades a trav</w:t>
      </w:r>
      <w:r>
        <w:rPr>
          <w:rFonts w:cs="Times New Roman"/>
          <w:spacing w:val="-6"/>
          <w:sz w:val="18"/>
          <w:szCs w:val="18"/>
          <w:lang w:val="es-ES_tradnl"/>
        </w:rPr>
        <w:t>é</w:t>
      </w:r>
      <w:r>
        <w:rPr>
          <w:spacing w:val="-6"/>
          <w:sz w:val="18"/>
          <w:szCs w:val="18"/>
          <w:lang w:val="es-ES_tradnl"/>
        </w:rPr>
        <w:t xml:space="preserve">s del denominado tendido de </w:t>
      </w:r>
      <w:r>
        <w:rPr>
          <w:sz w:val="18"/>
          <w:szCs w:val="18"/>
          <w:lang w:val="es-ES_tradnl"/>
        </w:rPr>
        <w:t>cables.</w:t>
      </w:r>
    </w:p>
    <w:p w14:paraId="4F67A8F0" w14:textId="77777777" w:rsidR="00591D54" w:rsidRDefault="00591D54">
      <w:pPr>
        <w:shd w:val="clear" w:color="auto" w:fill="FFFFFF"/>
        <w:spacing w:before="197" w:line="216" w:lineRule="exact"/>
        <w:ind w:right="5"/>
        <w:jc w:val="both"/>
      </w:pPr>
      <w:r>
        <w:rPr>
          <w:sz w:val="18"/>
          <w:szCs w:val="18"/>
          <w:lang w:val="es-ES_tradnl"/>
        </w:rPr>
        <w:t>Esta Corte ha sido enf</w:t>
      </w:r>
      <w:r>
        <w:rPr>
          <w:rFonts w:cs="Times New Roman"/>
          <w:sz w:val="18"/>
          <w:szCs w:val="18"/>
          <w:lang w:val="es-ES_tradnl"/>
        </w:rPr>
        <w:t>á</w:t>
      </w:r>
      <w:r>
        <w:rPr>
          <w:sz w:val="18"/>
          <w:szCs w:val="18"/>
          <w:lang w:val="es-ES_tradnl"/>
        </w:rPr>
        <w:t xml:space="preserve">tica al manifestar que la </w:t>
      </w:r>
      <w:r>
        <w:rPr>
          <w:spacing w:val="-7"/>
          <w:sz w:val="18"/>
          <w:szCs w:val="18"/>
          <w:lang w:val="es-ES_tradnl"/>
        </w:rPr>
        <w:t>Constituci</w:t>
      </w:r>
      <w:r>
        <w:rPr>
          <w:rFonts w:cs="Times New Roman"/>
          <w:spacing w:val="-7"/>
          <w:sz w:val="18"/>
          <w:szCs w:val="18"/>
          <w:lang w:val="es-ES_tradnl"/>
        </w:rPr>
        <w:t>ó</w:t>
      </w:r>
      <w:r>
        <w:rPr>
          <w:spacing w:val="-7"/>
          <w:sz w:val="18"/>
          <w:szCs w:val="18"/>
          <w:lang w:val="es-ES_tradnl"/>
        </w:rPr>
        <w:t>n debe ser interpretada de manera sistem</w:t>
      </w:r>
      <w:r>
        <w:rPr>
          <w:rFonts w:cs="Times New Roman"/>
          <w:spacing w:val="-7"/>
          <w:sz w:val="18"/>
          <w:szCs w:val="18"/>
          <w:lang w:val="es-ES_tradnl"/>
        </w:rPr>
        <w:t>á</w:t>
      </w:r>
      <w:r>
        <w:rPr>
          <w:spacing w:val="-7"/>
          <w:sz w:val="18"/>
          <w:szCs w:val="18"/>
          <w:lang w:val="es-ES_tradnl"/>
        </w:rPr>
        <w:t xml:space="preserve">tica; </w:t>
      </w:r>
      <w:r>
        <w:rPr>
          <w:spacing w:val="-5"/>
          <w:sz w:val="18"/>
          <w:szCs w:val="18"/>
          <w:lang w:val="es-ES_tradnl"/>
        </w:rPr>
        <w:t>en este sentido, el r</w:t>
      </w:r>
      <w:r>
        <w:rPr>
          <w:rFonts w:cs="Times New Roman"/>
          <w:spacing w:val="-5"/>
          <w:sz w:val="18"/>
          <w:szCs w:val="18"/>
          <w:lang w:val="es-ES_tradnl"/>
        </w:rPr>
        <w:t>é</w:t>
      </w:r>
      <w:r>
        <w:rPr>
          <w:spacing w:val="-5"/>
          <w:sz w:val="18"/>
          <w:szCs w:val="18"/>
          <w:lang w:val="es-ES_tradnl"/>
        </w:rPr>
        <w:t xml:space="preserve">gimen competencial regulado en la </w:t>
      </w:r>
      <w:r>
        <w:rPr>
          <w:spacing w:val="-8"/>
          <w:sz w:val="18"/>
          <w:szCs w:val="18"/>
          <w:lang w:val="es-ES_tradnl"/>
        </w:rPr>
        <w:t>Constituci</w:t>
      </w:r>
      <w:r>
        <w:rPr>
          <w:rFonts w:cs="Times New Roman"/>
          <w:spacing w:val="-8"/>
          <w:sz w:val="18"/>
          <w:szCs w:val="18"/>
          <w:lang w:val="es-ES_tradnl"/>
        </w:rPr>
        <w:t>ó</w:t>
      </w:r>
      <w:r>
        <w:rPr>
          <w:spacing w:val="-8"/>
          <w:sz w:val="18"/>
          <w:szCs w:val="18"/>
          <w:lang w:val="es-ES_tradnl"/>
        </w:rPr>
        <w:t xml:space="preserve">n debe ser observado por todos los organismos </w:t>
      </w:r>
      <w:r>
        <w:rPr>
          <w:spacing w:val="-1"/>
          <w:sz w:val="18"/>
          <w:szCs w:val="18"/>
          <w:lang w:val="es-ES_tradnl"/>
        </w:rPr>
        <w:t>y autoridades de manera obligatoria, evidenci</w:t>
      </w:r>
      <w:r>
        <w:rPr>
          <w:rFonts w:cs="Times New Roman"/>
          <w:spacing w:val="-1"/>
          <w:sz w:val="18"/>
          <w:szCs w:val="18"/>
          <w:lang w:val="es-ES_tradnl"/>
        </w:rPr>
        <w:t>á</w:t>
      </w:r>
      <w:r>
        <w:rPr>
          <w:spacing w:val="-1"/>
          <w:sz w:val="18"/>
          <w:szCs w:val="18"/>
          <w:lang w:val="es-ES_tradnl"/>
        </w:rPr>
        <w:t>ndose que dentro de las atribuciones exclusivas que nuestro</w:t>
      </w:r>
    </w:p>
    <w:p w14:paraId="4F67A8F1" w14:textId="77777777" w:rsidR="00591D54" w:rsidRDefault="00591D54">
      <w:pPr>
        <w:shd w:val="clear" w:color="auto" w:fill="FFFFFF"/>
        <w:spacing w:before="197" w:line="216" w:lineRule="exact"/>
        <w:ind w:right="5"/>
        <w:jc w:val="both"/>
        <w:sectPr w:rsidR="00591D54">
          <w:type w:val="continuous"/>
          <w:pgSz w:w="11909" w:h="16834"/>
          <w:pgMar w:top="1371" w:right="1304" w:bottom="360" w:left="1308" w:header="720" w:footer="720" w:gutter="0"/>
          <w:cols w:num="2" w:space="720" w:equalWidth="0">
            <w:col w:w="4305" w:space="682"/>
            <w:col w:w="4310"/>
          </w:cols>
          <w:noEndnote/>
        </w:sectPr>
      </w:pPr>
    </w:p>
    <w:p w14:paraId="4F67A8F2" w14:textId="77777777" w:rsidR="00591D54" w:rsidRDefault="00591D54">
      <w:pPr>
        <w:shd w:val="clear" w:color="auto" w:fill="FFFFFF"/>
        <w:tabs>
          <w:tab w:val="left" w:pos="4814"/>
        </w:tabs>
        <w:spacing w:after="235"/>
        <w:ind w:left="5"/>
      </w:pPr>
      <w:r>
        <w:rPr>
          <w:b/>
          <w:bCs/>
          <w:sz w:val="18"/>
          <w:szCs w:val="18"/>
          <w:lang w:val="es-ES_tradnl"/>
        </w:rPr>
        <w:t xml:space="preserve">68 -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8F3" w14:textId="77777777" w:rsidR="00591D54" w:rsidRDefault="00591D54">
      <w:pPr>
        <w:shd w:val="clear" w:color="auto" w:fill="FFFFFF"/>
        <w:tabs>
          <w:tab w:val="left" w:pos="4814"/>
        </w:tabs>
        <w:spacing w:after="235"/>
        <w:ind w:left="5"/>
        <w:sectPr w:rsidR="00591D54">
          <w:pgSz w:w="11909" w:h="16834"/>
          <w:pgMar w:top="1373" w:right="1309" w:bottom="360" w:left="1308" w:header="720" w:footer="720" w:gutter="0"/>
          <w:cols w:space="60"/>
          <w:noEndnote/>
        </w:sectPr>
      </w:pPr>
    </w:p>
    <w:p w14:paraId="4F67A8F4" w14:textId="77777777" w:rsidR="00591D54" w:rsidRDefault="00591D54">
      <w:pPr>
        <w:shd w:val="clear" w:color="auto" w:fill="FFFFFF"/>
        <w:spacing w:line="216" w:lineRule="exact"/>
        <w:jc w:val="both"/>
      </w:pPr>
      <w:r>
        <w:rPr>
          <w:spacing w:val="-10"/>
          <w:sz w:val="18"/>
          <w:szCs w:val="18"/>
          <w:lang w:val="es-ES_tradnl"/>
        </w:rPr>
        <w:t xml:space="preserve">constituyente ha entregado al Estado central se encuentra el </w:t>
      </w:r>
      <w:r>
        <w:rPr>
          <w:spacing w:val="-8"/>
          <w:sz w:val="18"/>
          <w:szCs w:val="18"/>
          <w:lang w:val="es-ES_tradnl"/>
        </w:rPr>
        <w:t>r</w:t>
      </w:r>
      <w:r>
        <w:rPr>
          <w:rFonts w:cs="Times New Roman"/>
          <w:spacing w:val="-8"/>
          <w:sz w:val="18"/>
          <w:szCs w:val="18"/>
          <w:lang w:val="es-ES_tradnl"/>
        </w:rPr>
        <w:t>é</w:t>
      </w:r>
      <w:r>
        <w:rPr>
          <w:spacing w:val="-8"/>
          <w:sz w:val="18"/>
          <w:szCs w:val="18"/>
          <w:lang w:val="es-ES_tradnl"/>
        </w:rPr>
        <w:t xml:space="preserve">gimen general de comunicaciones y telecomunicaciones, </w:t>
      </w:r>
      <w:r>
        <w:rPr>
          <w:spacing w:val="-6"/>
          <w:sz w:val="18"/>
          <w:szCs w:val="18"/>
          <w:lang w:val="es-ES_tradnl"/>
        </w:rPr>
        <w:t>aspecto al cual hace referencia en la norma en an</w:t>
      </w:r>
      <w:r>
        <w:rPr>
          <w:rFonts w:cs="Times New Roman"/>
          <w:spacing w:val="-6"/>
          <w:sz w:val="18"/>
          <w:szCs w:val="18"/>
          <w:lang w:val="es-ES_tradnl"/>
        </w:rPr>
        <w:t>á</w:t>
      </w:r>
      <w:r>
        <w:rPr>
          <w:spacing w:val="-6"/>
          <w:sz w:val="18"/>
          <w:szCs w:val="18"/>
          <w:lang w:val="es-ES_tradnl"/>
        </w:rPr>
        <w:t>lisis.</w:t>
      </w:r>
    </w:p>
    <w:p w14:paraId="4F67A8F5" w14:textId="77777777" w:rsidR="00591D54" w:rsidRDefault="00591D54">
      <w:pPr>
        <w:shd w:val="clear" w:color="auto" w:fill="FFFFFF"/>
        <w:spacing w:before="197" w:line="216" w:lineRule="exact"/>
        <w:ind w:right="5"/>
        <w:jc w:val="both"/>
      </w:pPr>
      <w:r>
        <w:rPr>
          <w:spacing w:val="-9"/>
          <w:sz w:val="18"/>
          <w:szCs w:val="18"/>
          <w:lang w:val="es-ES_tradnl"/>
        </w:rPr>
        <w:t>Es as</w:t>
      </w:r>
      <w:r>
        <w:rPr>
          <w:rFonts w:cs="Times New Roman"/>
          <w:spacing w:val="-9"/>
          <w:sz w:val="18"/>
          <w:szCs w:val="18"/>
          <w:lang w:val="es-ES_tradnl"/>
        </w:rPr>
        <w:t>í</w:t>
      </w:r>
      <w:r>
        <w:rPr>
          <w:spacing w:val="-9"/>
          <w:sz w:val="18"/>
          <w:szCs w:val="18"/>
          <w:lang w:val="es-ES_tradnl"/>
        </w:rPr>
        <w:t xml:space="preserve">, que el establecimiento de valores a ser cancelados </w:t>
      </w:r>
      <w:r>
        <w:rPr>
          <w:spacing w:val="-10"/>
          <w:sz w:val="18"/>
          <w:szCs w:val="18"/>
          <w:lang w:val="es-ES_tradnl"/>
        </w:rPr>
        <w:t>por concepto del tendido de cables dentro de un r</w:t>
      </w:r>
      <w:r>
        <w:rPr>
          <w:rFonts w:cs="Times New Roman"/>
          <w:spacing w:val="-10"/>
          <w:sz w:val="18"/>
          <w:szCs w:val="18"/>
          <w:lang w:val="es-ES_tradnl"/>
        </w:rPr>
        <w:t>é</w:t>
      </w:r>
      <w:r>
        <w:rPr>
          <w:spacing w:val="-10"/>
          <w:sz w:val="18"/>
          <w:szCs w:val="18"/>
          <w:lang w:val="es-ES_tradnl"/>
        </w:rPr>
        <w:t xml:space="preserve">gimen de telecomunicaciones es de competencia exclusiva del Estado </w:t>
      </w:r>
      <w:r>
        <w:rPr>
          <w:spacing w:val="-7"/>
          <w:sz w:val="18"/>
          <w:szCs w:val="18"/>
          <w:lang w:val="es-ES_tradnl"/>
        </w:rPr>
        <w:t xml:space="preserve">central, caso contrario, esto implica una inobservancia del </w:t>
      </w:r>
      <w:r>
        <w:rPr>
          <w:spacing w:val="-9"/>
          <w:sz w:val="18"/>
          <w:szCs w:val="18"/>
          <w:lang w:val="es-ES_tradnl"/>
        </w:rPr>
        <w:t>r</w:t>
      </w:r>
      <w:r>
        <w:rPr>
          <w:rFonts w:cs="Times New Roman"/>
          <w:spacing w:val="-9"/>
          <w:sz w:val="18"/>
          <w:szCs w:val="18"/>
          <w:lang w:val="es-ES_tradnl"/>
        </w:rPr>
        <w:t>é</w:t>
      </w:r>
      <w:r>
        <w:rPr>
          <w:spacing w:val="-9"/>
          <w:sz w:val="18"/>
          <w:szCs w:val="18"/>
          <w:lang w:val="es-ES_tradnl"/>
        </w:rPr>
        <w:t>gimen de competencias establecido en la Constituci</w:t>
      </w:r>
      <w:r>
        <w:rPr>
          <w:rFonts w:cs="Times New Roman"/>
          <w:spacing w:val="-9"/>
          <w:sz w:val="18"/>
          <w:szCs w:val="18"/>
          <w:lang w:val="es-ES_tradnl"/>
        </w:rPr>
        <w:t>ó</w:t>
      </w:r>
      <w:r>
        <w:rPr>
          <w:spacing w:val="-9"/>
          <w:sz w:val="18"/>
          <w:szCs w:val="18"/>
          <w:lang w:val="es-ES_tradnl"/>
        </w:rPr>
        <w:t xml:space="preserve">n de </w:t>
      </w:r>
      <w:r>
        <w:rPr>
          <w:spacing w:val="-8"/>
          <w:sz w:val="18"/>
          <w:szCs w:val="18"/>
          <w:lang w:val="es-ES_tradnl"/>
        </w:rPr>
        <w:t>la Rep</w:t>
      </w:r>
      <w:r>
        <w:rPr>
          <w:rFonts w:cs="Times New Roman"/>
          <w:spacing w:val="-8"/>
          <w:sz w:val="18"/>
          <w:szCs w:val="18"/>
          <w:lang w:val="es-ES_tradnl"/>
        </w:rPr>
        <w:t>ú</w:t>
      </w:r>
      <w:r>
        <w:rPr>
          <w:spacing w:val="-8"/>
          <w:sz w:val="18"/>
          <w:szCs w:val="18"/>
          <w:lang w:val="es-ES_tradnl"/>
        </w:rPr>
        <w:t>blica y por tanto, deviene en una extralimitaci</w:t>
      </w:r>
      <w:r>
        <w:rPr>
          <w:rFonts w:cs="Times New Roman"/>
          <w:spacing w:val="-8"/>
          <w:sz w:val="18"/>
          <w:szCs w:val="18"/>
          <w:lang w:val="es-ES_tradnl"/>
        </w:rPr>
        <w:t>ó</w:t>
      </w:r>
      <w:r>
        <w:rPr>
          <w:spacing w:val="-8"/>
          <w:sz w:val="18"/>
          <w:szCs w:val="18"/>
          <w:lang w:val="es-ES_tradnl"/>
        </w:rPr>
        <w:t xml:space="preserve">n por </w:t>
      </w:r>
      <w:r>
        <w:rPr>
          <w:spacing w:val="-6"/>
          <w:sz w:val="18"/>
          <w:szCs w:val="18"/>
          <w:lang w:val="es-ES_tradnl"/>
        </w:rPr>
        <w:t>parte de la Municipalidad del cant</w:t>
      </w:r>
      <w:r>
        <w:rPr>
          <w:rFonts w:cs="Times New Roman"/>
          <w:spacing w:val="-6"/>
          <w:sz w:val="18"/>
          <w:szCs w:val="18"/>
          <w:lang w:val="es-ES_tradnl"/>
        </w:rPr>
        <w:t>ó</w:t>
      </w:r>
      <w:r>
        <w:rPr>
          <w:spacing w:val="-6"/>
          <w:sz w:val="18"/>
          <w:szCs w:val="18"/>
          <w:lang w:val="es-ES_tradnl"/>
        </w:rPr>
        <w:t>n Puebloviejo a trav</w:t>
      </w:r>
      <w:r>
        <w:rPr>
          <w:rFonts w:cs="Times New Roman"/>
          <w:spacing w:val="-6"/>
          <w:sz w:val="18"/>
          <w:szCs w:val="18"/>
          <w:lang w:val="es-ES_tradnl"/>
        </w:rPr>
        <w:t>é</w:t>
      </w:r>
      <w:r>
        <w:rPr>
          <w:spacing w:val="-6"/>
          <w:sz w:val="18"/>
          <w:szCs w:val="18"/>
          <w:lang w:val="es-ES_tradnl"/>
        </w:rPr>
        <w:t xml:space="preserve">s </w:t>
      </w:r>
      <w:r>
        <w:rPr>
          <w:sz w:val="18"/>
          <w:szCs w:val="18"/>
          <w:lang w:val="es-ES_tradnl"/>
        </w:rPr>
        <w:t>de la ordenanza objeto de an</w:t>
      </w:r>
      <w:r>
        <w:rPr>
          <w:rFonts w:cs="Times New Roman"/>
          <w:sz w:val="18"/>
          <w:szCs w:val="18"/>
          <w:lang w:val="es-ES_tradnl"/>
        </w:rPr>
        <w:t>á</w:t>
      </w:r>
      <w:r>
        <w:rPr>
          <w:sz w:val="18"/>
          <w:szCs w:val="18"/>
          <w:lang w:val="es-ES_tradnl"/>
        </w:rPr>
        <w:t>lisis.</w:t>
      </w:r>
    </w:p>
    <w:p w14:paraId="4F67A8F6" w14:textId="77777777" w:rsidR="00591D54" w:rsidRDefault="00591D54">
      <w:pPr>
        <w:shd w:val="clear" w:color="auto" w:fill="FFFFFF"/>
        <w:spacing w:before="197" w:line="216" w:lineRule="exact"/>
        <w:ind w:right="5"/>
        <w:jc w:val="both"/>
      </w:pPr>
      <w:r>
        <w:rPr>
          <w:spacing w:val="-8"/>
          <w:sz w:val="18"/>
          <w:szCs w:val="18"/>
          <w:lang w:val="es-ES_tradnl"/>
        </w:rPr>
        <w:t xml:space="preserve">En consecuencia, en virtud de la competencia consagrada </w:t>
      </w:r>
      <w:r>
        <w:rPr>
          <w:spacing w:val="-3"/>
          <w:sz w:val="18"/>
          <w:szCs w:val="18"/>
          <w:lang w:val="es-ES_tradnl"/>
        </w:rPr>
        <w:t>en el art</w:t>
      </w:r>
      <w:r>
        <w:rPr>
          <w:rFonts w:cs="Times New Roman"/>
          <w:spacing w:val="-3"/>
          <w:sz w:val="18"/>
          <w:szCs w:val="18"/>
          <w:lang w:val="es-ES_tradnl"/>
        </w:rPr>
        <w:t>í</w:t>
      </w:r>
      <w:r>
        <w:rPr>
          <w:spacing w:val="-3"/>
          <w:sz w:val="18"/>
          <w:szCs w:val="18"/>
          <w:lang w:val="es-ES_tradnl"/>
        </w:rPr>
        <w:t>culo 76 numerales 4, 5 y 6 de la Ley Org</w:t>
      </w:r>
      <w:r>
        <w:rPr>
          <w:rFonts w:cs="Times New Roman"/>
          <w:spacing w:val="-3"/>
          <w:sz w:val="18"/>
          <w:szCs w:val="18"/>
          <w:lang w:val="es-ES_tradnl"/>
        </w:rPr>
        <w:t>á</w:t>
      </w:r>
      <w:r>
        <w:rPr>
          <w:spacing w:val="-3"/>
          <w:sz w:val="18"/>
          <w:szCs w:val="18"/>
          <w:lang w:val="es-ES_tradnl"/>
        </w:rPr>
        <w:t xml:space="preserve">nica </w:t>
      </w:r>
      <w:r>
        <w:rPr>
          <w:spacing w:val="-6"/>
          <w:sz w:val="18"/>
          <w:szCs w:val="18"/>
          <w:lang w:val="es-ES_tradnl"/>
        </w:rPr>
        <w:t>de Garant</w:t>
      </w:r>
      <w:r>
        <w:rPr>
          <w:rFonts w:cs="Times New Roman"/>
          <w:spacing w:val="-6"/>
          <w:sz w:val="18"/>
          <w:szCs w:val="18"/>
          <w:lang w:val="es-ES_tradnl"/>
        </w:rPr>
        <w:t>í</w:t>
      </w:r>
      <w:r>
        <w:rPr>
          <w:spacing w:val="-6"/>
          <w:sz w:val="18"/>
          <w:szCs w:val="18"/>
          <w:lang w:val="es-ES_tradnl"/>
        </w:rPr>
        <w:t xml:space="preserve">as Jurisdiccionales y Control Constitucional, </w:t>
      </w:r>
      <w:r>
        <w:rPr>
          <w:spacing w:val="-5"/>
          <w:sz w:val="18"/>
          <w:szCs w:val="18"/>
          <w:lang w:val="es-ES_tradnl"/>
        </w:rPr>
        <w:t>respectivamente, por contravenir el art</w:t>
      </w:r>
      <w:r>
        <w:rPr>
          <w:rFonts w:cs="Times New Roman"/>
          <w:spacing w:val="-5"/>
          <w:sz w:val="18"/>
          <w:szCs w:val="18"/>
          <w:lang w:val="es-ES_tradnl"/>
        </w:rPr>
        <w:t>í</w:t>
      </w:r>
      <w:r>
        <w:rPr>
          <w:spacing w:val="-5"/>
          <w:sz w:val="18"/>
          <w:szCs w:val="18"/>
          <w:lang w:val="es-ES_tradnl"/>
        </w:rPr>
        <w:t xml:space="preserve">culo 261 numeral </w:t>
      </w:r>
      <w:r>
        <w:rPr>
          <w:spacing w:val="-6"/>
          <w:sz w:val="18"/>
          <w:szCs w:val="18"/>
          <w:lang w:val="es-ES_tradnl"/>
        </w:rPr>
        <w:t>10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se declara la </w:t>
      </w:r>
      <w:r>
        <w:rPr>
          <w:spacing w:val="-4"/>
          <w:sz w:val="18"/>
          <w:szCs w:val="18"/>
          <w:lang w:val="es-ES_tradnl"/>
        </w:rPr>
        <w:t>inconstitucionalidad en el t</w:t>
      </w:r>
      <w:r>
        <w:rPr>
          <w:rFonts w:cs="Times New Roman"/>
          <w:spacing w:val="-4"/>
          <w:sz w:val="18"/>
          <w:szCs w:val="18"/>
          <w:lang w:val="es-ES_tradnl"/>
        </w:rPr>
        <w:t>í</w:t>
      </w:r>
      <w:r>
        <w:rPr>
          <w:spacing w:val="-4"/>
          <w:sz w:val="18"/>
          <w:szCs w:val="18"/>
          <w:lang w:val="es-ES_tradnl"/>
        </w:rPr>
        <w:t xml:space="preserve">tulo de la ordenanza de la </w:t>
      </w:r>
      <w:r>
        <w:rPr>
          <w:spacing w:val="-6"/>
          <w:sz w:val="18"/>
          <w:szCs w:val="18"/>
          <w:lang w:val="es-ES_tradnl"/>
        </w:rPr>
        <w:t xml:space="preserve">palabra </w:t>
      </w:r>
      <w:r>
        <w:rPr>
          <w:rFonts w:cs="Times New Roman"/>
          <w:spacing w:val="-6"/>
          <w:sz w:val="18"/>
          <w:szCs w:val="18"/>
          <w:lang w:val="es-ES_tradnl"/>
        </w:rPr>
        <w:t>“</w:t>
      </w:r>
      <w:r>
        <w:rPr>
          <w:spacing w:val="-6"/>
          <w:sz w:val="18"/>
          <w:szCs w:val="18"/>
          <w:lang w:val="es-ES_tradnl"/>
        </w:rPr>
        <w:t>subsuelo</w:t>
      </w:r>
      <w:r>
        <w:rPr>
          <w:rFonts w:cs="Times New Roman"/>
          <w:spacing w:val="-6"/>
          <w:sz w:val="18"/>
          <w:szCs w:val="18"/>
          <w:lang w:val="es-ES_tradnl"/>
        </w:rPr>
        <w:t>”</w:t>
      </w:r>
      <w:r>
        <w:rPr>
          <w:spacing w:val="-6"/>
          <w:sz w:val="18"/>
          <w:szCs w:val="18"/>
          <w:lang w:val="es-ES_tradnl"/>
        </w:rPr>
        <w:t xml:space="preserve"> contenida en el t</w:t>
      </w:r>
      <w:r>
        <w:rPr>
          <w:rFonts w:cs="Times New Roman"/>
          <w:spacing w:val="-6"/>
          <w:sz w:val="18"/>
          <w:szCs w:val="18"/>
          <w:lang w:val="es-ES_tradnl"/>
        </w:rPr>
        <w:t>í</w:t>
      </w:r>
      <w:r>
        <w:rPr>
          <w:spacing w:val="-6"/>
          <w:sz w:val="18"/>
          <w:szCs w:val="18"/>
          <w:lang w:val="es-ES_tradnl"/>
        </w:rPr>
        <w:t>tulo, as</w:t>
      </w:r>
      <w:r>
        <w:rPr>
          <w:rFonts w:cs="Times New Roman"/>
          <w:spacing w:val="-6"/>
          <w:sz w:val="18"/>
          <w:szCs w:val="18"/>
          <w:lang w:val="es-ES_tradnl"/>
        </w:rPr>
        <w:t>í</w:t>
      </w:r>
      <w:r>
        <w:rPr>
          <w:spacing w:val="-6"/>
          <w:sz w:val="18"/>
          <w:szCs w:val="18"/>
          <w:lang w:val="es-ES_tradnl"/>
        </w:rPr>
        <w:t xml:space="preserve"> como, en los </w:t>
      </w:r>
      <w:r>
        <w:rPr>
          <w:spacing w:val="-7"/>
          <w:sz w:val="18"/>
          <w:szCs w:val="18"/>
          <w:lang w:val="es-ES_tradnl"/>
        </w:rPr>
        <w:t>art</w:t>
      </w:r>
      <w:r>
        <w:rPr>
          <w:rFonts w:cs="Times New Roman"/>
          <w:spacing w:val="-7"/>
          <w:sz w:val="18"/>
          <w:szCs w:val="18"/>
          <w:lang w:val="es-ES_tradnl"/>
        </w:rPr>
        <w:t>í</w:t>
      </w:r>
      <w:r>
        <w:rPr>
          <w:spacing w:val="-7"/>
          <w:sz w:val="18"/>
          <w:szCs w:val="18"/>
          <w:lang w:val="es-ES_tradnl"/>
        </w:rPr>
        <w:t xml:space="preserve">culos 1, 3 primer inciso y 21 numeral 5 de la ordenanza </w:t>
      </w:r>
      <w:r>
        <w:rPr>
          <w:spacing w:val="-9"/>
          <w:sz w:val="18"/>
          <w:szCs w:val="18"/>
          <w:lang w:val="es-ES_tradnl"/>
        </w:rPr>
        <w:t>publicada en el Registro Oficial N.</w:t>
      </w:r>
      <w:r>
        <w:rPr>
          <w:rFonts w:cs="Times New Roman"/>
          <w:spacing w:val="-9"/>
          <w:sz w:val="18"/>
          <w:szCs w:val="18"/>
          <w:lang w:val="es-ES_tradnl"/>
        </w:rPr>
        <w:t>º</w:t>
      </w:r>
      <w:r>
        <w:rPr>
          <w:spacing w:val="-9"/>
          <w:sz w:val="18"/>
          <w:szCs w:val="18"/>
          <w:lang w:val="es-ES_tradnl"/>
        </w:rPr>
        <w:t xml:space="preserve"> 594 del 12 de diciembre </w:t>
      </w:r>
      <w:r>
        <w:rPr>
          <w:spacing w:val="-10"/>
          <w:sz w:val="18"/>
          <w:szCs w:val="18"/>
          <w:lang w:val="es-ES_tradnl"/>
        </w:rPr>
        <w:t>de 2011; as</w:t>
      </w:r>
      <w:r>
        <w:rPr>
          <w:rFonts w:cs="Times New Roman"/>
          <w:spacing w:val="-10"/>
          <w:sz w:val="18"/>
          <w:szCs w:val="18"/>
          <w:lang w:val="es-ES_tradnl"/>
        </w:rPr>
        <w:t>í</w:t>
      </w:r>
      <w:r>
        <w:rPr>
          <w:spacing w:val="-10"/>
          <w:sz w:val="18"/>
          <w:szCs w:val="18"/>
          <w:lang w:val="es-ES_tradnl"/>
        </w:rPr>
        <w:t xml:space="preserve"> tambi</w:t>
      </w:r>
      <w:r>
        <w:rPr>
          <w:rFonts w:cs="Times New Roman"/>
          <w:spacing w:val="-10"/>
          <w:sz w:val="18"/>
          <w:szCs w:val="18"/>
          <w:lang w:val="es-ES_tradnl"/>
        </w:rPr>
        <w:t>é</w:t>
      </w:r>
      <w:r>
        <w:rPr>
          <w:spacing w:val="-10"/>
          <w:sz w:val="18"/>
          <w:szCs w:val="18"/>
          <w:lang w:val="es-ES_tradnl"/>
        </w:rPr>
        <w:t xml:space="preserve">n, se declara la inconstitucionalidad de la palabra </w:t>
      </w:r>
      <w:r>
        <w:rPr>
          <w:rFonts w:cs="Times New Roman"/>
          <w:spacing w:val="-10"/>
          <w:sz w:val="18"/>
          <w:szCs w:val="18"/>
          <w:lang w:val="es-ES_tradnl"/>
        </w:rPr>
        <w:t>“</w:t>
      </w:r>
      <w:r>
        <w:rPr>
          <w:spacing w:val="-10"/>
          <w:sz w:val="18"/>
          <w:szCs w:val="18"/>
          <w:lang w:val="es-ES_tradnl"/>
        </w:rPr>
        <w:t>cables</w:t>
      </w:r>
      <w:r>
        <w:rPr>
          <w:rFonts w:cs="Times New Roman"/>
          <w:spacing w:val="-10"/>
          <w:sz w:val="18"/>
          <w:szCs w:val="18"/>
          <w:lang w:val="es-ES_tradnl"/>
        </w:rPr>
        <w:t>”</w:t>
      </w:r>
      <w:r>
        <w:rPr>
          <w:spacing w:val="-10"/>
          <w:sz w:val="18"/>
          <w:szCs w:val="18"/>
          <w:lang w:val="es-ES_tradnl"/>
        </w:rPr>
        <w:t>, contenida en el art</w:t>
      </w:r>
      <w:r>
        <w:rPr>
          <w:rFonts w:cs="Times New Roman"/>
          <w:spacing w:val="-10"/>
          <w:sz w:val="18"/>
          <w:szCs w:val="18"/>
          <w:lang w:val="es-ES_tradnl"/>
        </w:rPr>
        <w:t>í</w:t>
      </w:r>
      <w:r>
        <w:rPr>
          <w:spacing w:val="-10"/>
          <w:sz w:val="18"/>
          <w:szCs w:val="18"/>
          <w:lang w:val="es-ES_tradnl"/>
        </w:rPr>
        <w:t xml:space="preserve">culo 18 de la ordenanza </w:t>
      </w:r>
      <w:r>
        <w:rPr>
          <w:spacing w:val="-7"/>
          <w:sz w:val="18"/>
          <w:szCs w:val="18"/>
          <w:lang w:val="es-ES_tradnl"/>
        </w:rPr>
        <w:t>citada, pese a que dicho art</w:t>
      </w:r>
      <w:r>
        <w:rPr>
          <w:rFonts w:cs="Times New Roman"/>
          <w:spacing w:val="-7"/>
          <w:sz w:val="18"/>
          <w:szCs w:val="18"/>
          <w:lang w:val="es-ES_tradnl"/>
        </w:rPr>
        <w:t>í</w:t>
      </w:r>
      <w:r>
        <w:rPr>
          <w:spacing w:val="-7"/>
          <w:sz w:val="18"/>
          <w:szCs w:val="18"/>
          <w:lang w:val="es-ES_tradnl"/>
        </w:rPr>
        <w:t xml:space="preserve">culo por las consideraciones manifestadas </w:t>
      </w:r>
      <w:r>
        <w:rPr>
          <w:i/>
          <w:iCs/>
          <w:spacing w:val="-7"/>
          <w:sz w:val="18"/>
          <w:szCs w:val="18"/>
          <w:lang w:val="es-ES_tradnl"/>
        </w:rPr>
        <w:t xml:space="preserve">ut supra </w:t>
      </w:r>
      <w:r>
        <w:rPr>
          <w:spacing w:val="-7"/>
          <w:sz w:val="18"/>
          <w:szCs w:val="18"/>
          <w:lang w:val="es-ES_tradnl"/>
        </w:rPr>
        <w:t>fue declarado inconstitucional.</w:t>
      </w:r>
    </w:p>
    <w:p w14:paraId="4F67A8F7" w14:textId="77777777" w:rsidR="00591D54" w:rsidRDefault="00591D54">
      <w:pPr>
        <w:shd w:val="clear" w:color="auto" w:fill="FFFFFF"/>
        <w:spacing w:before="192" w:line="216" w:lineRule="exact"/>
        <w:ind w:right="5"/>
        <w:jc w:val="both"/>
      </w:pPr>
      <w:r>
        <w:rPr>
          <w:b/>
          <w:bCs/>
          <w:spacing w:val="-8"/>
          <w:sz w:val="18"/>
          <w:szCs w:val="18"/>
          <w:lang w:val="es-ES_tradnl"/>
        </w:rPr>
        <w:t>Sobre la determinaci</w:t>
      </w:r>
      <w:r>
        <w:rPr>
          <w:rFonts w:cs="Times New Roman"/>
          <w:b/>
          <w:bCs/>
          <w:spacing w:val="-8"/>
          <w:sz w:val="18"/>
          <w:szCs w:val="18"/>
          <w:lang w:val="es-ES_tradnl"/>
        </w:rPr>
        <w:t>ó</w:t>
      </w:r>
      <w:r>
        <w:rPr>
          <w:b/>
          <w:bCs/>
          <w:spacing w:val="-8"/>
          <w:sz w:val="18"/>
          <w:szCs w:val="18"/>
          <w:lang w:val="es-ES_tradnl"/>
        </w:rPr>
        <w:t xml:space="preserve">n de conceptos en materia de </w:t>
      </w:r>
      <w:r>
        <w:rPr>
          <w:b/>
          <w:bCs/>
          <w:spacing w:val="-11"/>
          <w:sz w:val="18"/>
          <w:szCs w:val="18"/>
          <w:lang w:val="es-ES_tradnl"/>
        </w:rPr>
        <w:t xml:space="preserve">comunicaciones y telecomunicaciones emitidas por el </w:t>
      </w:r>
      <w:r>
        <w:rPr>
          <w:b/>
          <w:bCs/>
          <w:spacing w:val="-7"/>
          <w:sz w:val="18"/>
          <w:szCs w:val="18"/>
          <w:lang w:val="es-ES_tradnl"/>
        </w:rPr>
        <w:t>Gobierno Aut</w:t>
      </w:r>
      <w:r>
        <w:rPr>
          <w:rFonts w:cs="Times New Roman"/>
          <w:b/>
          <w:bCs/>
          <w:spacing w:val="-7"/>
          <w:sz w:val="18"/>
          <w:szCs w:val="18"/>
          <w:lang w:val="es-ES_tradnl"/>
        </w:rPr>
        <w:t>ó</w:t>
      </w:r>
      <w:r>
        <w:rPr>
          <w:b/>
          <w:bCs/>
          <w:spacing w:val="-7"/>
          <w:sz w:val="18"/>
          <w:szCs w:val="18"/>
          <w:lang w:val="es-ES_tradnl"/>
        </w:rPr>
        <w:t xml:space="preserve">nomo Descentralizado Municipal del </w:t>
      </w:r>
      <w:r>
        <w:rPr>
          <w:b/>
          <w:bCs/>
          <w:spacing w:val="-8"/>
          <w:sz w:val="18"/>
          <w:szCs w:val="18"/>
          <w:lang w:val="es-ES_tradnl"/>
        </w:rPr>
        <w:t>cant</w:t>
      </w:r>
      <w:r>
        <w:rPr>
          <w:rFonts w:cs="Times New Roman"/>
          <w:b/>
          <w:bCs/>
          <w:spacing w:val="-8"/>
          <w:sz w:val="18"/>
          <w:szCs w:val="18"/>
          <w:lang w:val="es-ES_tradnl"/>
        </w:rPr>
        <w:t>ó</w:t>
      </w:r>
      <w:r>
        <w:rPr>
          <w:b/>
          <w:bCs/>
          <w:spacing w:val="-8"/>
          <w:sz w:val="18"/>
          <w:szCs w:val="18"/>
          <w:lang w:val="es-ES_tradnl"/>
        </w:rPr>
        <w:t xml:space="preserve">n San Francisco de Puebloviejo en la ordenanza </w:t>
      </w:r>
      <w:r>
        <w:rPr>
          <w:b/>
          <w:bCs/>
          <w:sz w:val="18"/>
          <w:szCs w:val="18"/>
          <w:lang w:val="es-ES_tradnl"/>
        </w:rPr>
        <w:t>impugnada</w:t>
      </w:r>
    </w:p>
    <w:p w14:paraId="4F67A8F8" w14:textId="77777777" w:rsidR="00591D54" w:rsidRDefault="00591D54">
      <w:pPr>
        <w:shd w:val="clear" w:color="auto" w:fill="FFFFFF"/>
        <w:spacing w:before="192" w:line="216" w:lineRule="exact"/>
        <w:jc w:val="both"/>
      </w:pPr>
      <w:r>
        <w:rPr>
          <w:spacing w:val="-7"/>
          <w:sz w:val="18"/>
          <w:szCs w:val="18"/>
          <w:lang w:val="es-ES_tradnl"/>
        </w:rPr>
        <w:t>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blica del Ecuador en el art</w:t>
      </w:r>
      <w:r>
        <w:rPr>
          <w:rFonts w:cs="Times New Roman"/>
          <w:spacing w:val="-7"/>
          <w:sz w:val="18"/>
          <w:szCs w:val="18"/>
          <w:lang w:val="es-ES_tradnl"/>
        </w:rPr>
        <w:t>í</w:t>
      </w:r>
      <w:r>
        <w:rPr>
          <w:spacing w:val="-7"/>
          <w:sz w:val="18"/>
          <w:szCs w:val="18"/>
          <w:lang w:val="es-ES_tradnl"/>
        </w:rPr>
        <w:t xml:space="preserve">culo </w:t>
      </w:r>
      <w:r>
        <w:rPr>
          <w:spacing w:val="-4"/>
          <w:sz w:val="18"/>
          <w:szCs w:val="18"/>
          <w:lang w:val="es-ES_tradnl"/>
        </w:rPr>
        <w:t>425 tercer inciso se</w:t>
      </w:r>
      <w:r>
        <w:rPr>
          <w:rFonts w:cs="Times New Roman"/>
          <w:spacing w:val="-4"/>
          <w:sz w:val="18"/>
          <w:szCs w:val="18"/>
          <w:lang w:val="es-ES_tradnl"/>
        </w:rPr>
        <w:t>ñ</w:t>
      </w:r>
      <w:r>
        <w:rPr>
          <w:spacing w:val="-4"/>
          <w:sz w:val="18"/>
          <w:szCs w:val="18"/>
          <w:lang w:val="es-ES_tradnl"/>
        </w:rPr>
        <w:t>ala que la jerarqu</w:t>
      </w:r>
      <w:r>
        <w:rPr>
          <w:rFonts w:cs="Times New Roman"/>
          <w:spacing w:val="-4"/>
          <w:sz w:val="18"/>
          <w:szCs w:val="18"/>
          <w:lang w:val="es-ES_tradnl"/>
        </w:rPr>
        <w:t>í</w:t>
      </w:r>
      <w:r>
        <w:rPr>
          <w:spacing w:val="-4"/>
          <w:sz w:val="18"/>
          <w:szCs w:val="18"/>
          <w:lang w:val="es-ES_tradnl"/>
        </w:rPr>
        <w:t>a normativa considerar</w:t>
      </w:r>
      <w:r>
        <w:rPr>
          <w:rFonts w:cs="Times New Roman"/>
          <w:spacing w:val="-4"/>
          <w:sz w:val="18"/>
          <w:szCs w:val="18"/>
          <w:lang w:val="es-ES_tradnl"/>
        </w:rPr>
        <w:t>á</w:t>
      </w:r>
      <w:r>
        <w:rPr>
          <w:spacing w:val="-4"/>
          <w:sz w:val="18"/>
          <w:szCs w:val="18"/>
          <w:lang w:val="es-ES_tradnl"/>
        </w:rPr>
        <w:t xml:space="preserve">, en lo que corresponda, el principio de competencia y respecto a la materia de comunicaciones </w:t>
      </w:r>
      <w:r>
        <w:rPr>
          <w:spacing w:val="-7"/>
          <w:sz w:val="18"/>
          <w:szCs w:val="18"/>
          <w:lang w:val="es-ES_tradnl"/>
        </w:rPr>
        <w:t>y telecomunicaciones; as</w:t>
      </w:r>
      <w:r>
        <w:rPr>
          <w:rFonts w:cs="Times New Roman"/>
          <w:spacing w:val="-7"/>
          <w:sz w:val="18"/>
          <w:szCs w:val="18"/>
          <w:lang w:val="es-ES_tradnl"/>
        </w:rPr>
        <w:t>í</w:t>
      </w:r>
      <w:r>
        <w:rPr>
          <w:spacing w:val="-7"/>
          <w:sz w:val="18"/>
          <w:szCs w:val="18"/>
          <w:lang w:val="es-ES_tradnl"/>
        </w:rPr>
        <w:t xml:space="preserve"> tambi</w:t>
      </w:r>
      <w:r>
        <w:rPr>
          <w:rFonts w:cs="Times New Roman"/>
          <w:spacing w:val="-7"/>
          <w:sz w:val="18"/>
          <w:szCs w:val="18"/>
          <w:lang w:val="es-ES_tradnl"/>
        </w:rPr>
        <w:t>é</w:t>
      </w:r>
      <w:r>
        <w:rPr>
          <w:spacing w:val="-7"/>
          <w:sz w:val="18"/>
          <w:szCs w:val="18"/>
          <w:lang w:val="es-ES_tradnl"/>
        </w:rPr>
        <w:t xml:space="preserve">n, la misma norma </w:t>
      </w:r>
      <w:r>
        <w:rPr>
          <w:spacing w:val="-4"/>
          <w:sz w:val="18"/>
          <w:szCs w:val="18"/>
          <w:lang w:val="es-ES_tradnl"/>
        </w:rPr>
        <w:t>constitucional en su art</w:t>
      </w:r>
      <w:r>
        <w:rPr>
          <w:rFonts w:cs="Times New Roman"/>
          <w:spacing w:val="-4"/>
          <w:sz w:val="18"/>
          <w:szCs w:val="18"/>
          <w:lang w:val="es-ES_tradnl"/>
        </w:rPr>
        <w:t>í</w:t>
      </w:r>
      <w:r>
        <w:rPr>
          <w:spacing w:val="-4"/>
          <w:sz w:val="18"/>
          <w:szCs w:val="18"/>
          <w:lang w:val="es-ES_tradnl"/>
        </w:rPr>
        <w:t xml:space="preserve">culo 261 numeral 10 establece </w:t>
      </w:r>
      <w:r>
        <w:rPr>
          <w:spacing w:val="-6"/>
          <w:sz w:val="18"/>
          <w:szCs w:val="18"/>
          <w:lang w:val="es-ES_tradnl"/>
        </w:rPr>
        <w:t xml:space="preserve">que: </w:t>
      </w:r>
      <w:r>
        <w:rPr>
          <w:rFonts w:cs="Times New Roman"/>
          <w:spacing w:val="-6"/>
          <w:sz w:val="18"/>
          <w:szCs w:val="18"/>
          <w:lang w:val="es-ES_tradnl"/>
        </w:rPr>
        <w:t>“</w:t>
      </w:r>
      <w:r>
        <w:rPr>
          <w:spacing w:val="-6"/>
          <w:sz w:val="18"/>
          <w:szCs w:val="18"/>
          <w:lang w:val="es-ES_tradnl"/>
        </w:rPr>
        <w:t>El Estado central tendr</w:t>
      </w:r>
      <w:r>
        <w:rPr>
          <w:rFonts w:cs="Times New Roman"/>
          <w:spacing w:val="-6"/>
          <w:sz w:val="18"/>
          <w:szCs w:val="18"/>
          <w:lang w:val="es-ES_tradnl"/>
        </w:rPr>
        <w:t>á</w:t>
      </w:r>
      <w:r>
        <w:rPr>
          <w:spacing w:val="-6"/>
          <w:sz w:val="18"/>
          <w:szCs w:val="18"/>
          <w:lang w:val="es-ES_tradnl"/>
        </w:rPr>
        <w:t xml:space="preserve"> competencias exclusivas sobre: [</w:t>
      </w:r>
      <w:r>
        <w:rPr>
          <w:rFonts w:cs="Times New Roman"/>
          <w:spacing w:val="-6"/>
          <w:sz w:val="18"/>
          <w:szCs w:val="18"/>
          <w:lang w:val="es-ES_tradnl"/>
        </w:rPr>
        <w:t>…</w:t>
      </w:r>
      <w:r>
        <w:rPr>
          <w:spacing w:val="-6"/>
          <w:sz w:val="18"/>
          <w:szCs w:val="18"/>
          <w:lang w:val="es-ES_tradnl"/>
        </w:rPr>
        <w:t>] El espectro radioel</w:t>
      </w:r>
      <w:r>
        <w:rPr>
          <w:rFonts w:cs="Times New Roman"/>
          <w:spacing w:val="-6"/>
          <w:sz w:val="18"/>
          <w:szCs w:val="18"/>
          <w:lang w:val="es-ES_tradnl"/>
        </w:rPr>
        <w:t>é</w:t>
      </w:r>
      <w:r>
        <w:rPr>
          <w:spacing w:val="-6"/>
          <w:sz w:val="18"/>
          <w:szCs w:val="18"/>
          <w:lang w:val="es-ES_tradnl"/>
        </w:rPr>
        <w:t>ctrico y el r</w:t>
      </w:r>
      <w:r>
        <w:rPr>
          <w:rFonts w:cs="Times New Roman"/>
          <w:spacing w:val="-6"/>
          <w:sz w:val="18"/>
          <w:szCs w:val="18"/>
          <w:lang w:val="es-ES_tradnl"/>
        </w:rPr>
        <w:t>é</w:t>
      </w:r>
      <w:r>
        <w:rPr>
          <w:spacing w:val="-6"/>
          <w:sz w:val="18"/>
          <w:szCs w:val="18"/>
          <w:lang w:val="es-ES_tradnl"/>
        </w:rPr>
        <w:t xml:space="preserve">gimen general </w:t>
      </w:r>
      <w:r>
        <w:rPr>
          <w:spacing w:val="-7"/>
          <w:sz w:val="18"/>
          <w:szCs w:val="18"/>
          <w:lang w:val="es-ES_tradnl"/>
        </w:rPr>
        <w:t xml:space="preserve">de comunicaciones y telecomunicaciones; puertos y </w:t>
      </w:r>
      <w:r>
        <w:rPr>
          <w:sz w:val="18"/>
          <w:szCs w:val="18"/>
          <w:lang w:val="es-ES_tradnl"/>
        </w:rPr>
        <w:t>aeropuertos</w:t>
      </w:r>
      <w:r>
        <w:rPr>
          <w:rFonts w:cs="Times New Roman"/>
          <w:sz w:val="18"/>
          <w:szCs w:val="18"/>
          <w:lang w:val="es-ES_tradnl"/>
        </w:rPr>
        <w:t>”</w:t>
      </w:r>
      <w:r>
        <w:rPr>
          <w:sz w:val="18"/>
          <w:szCs w:val="18"/>
          <w:lang w:val="es-ES_tradnl"/>
        </w:rPr>
        <w:t>.</w:t>
      </w:r>
    </w:p>
    <w:p w14:paraId="4F67A8F9" w14:textId="77777777" w:rsidR="00591D54" w:rsidRDefault="00591D54">
      <w:pPr>
        <w:shd w:val="clear" w:color="auto" w:fill="FFFFFF"/>
        <w:spacing w:before="192" w:line="216" w:lineRule="exact"/>
        <w:jc w:val="both"/>
      </w:pPr>
      <w:r>
        <w:rPr>
          <w:spacing w:val="-7"/>
          <w:sz w:val="18"/>
          <w:szCs w:val="18"/>
          <w:lang w:val="es-ES_tradnl"/>
        </w:rPr>
        <w:t>En este sentido, el art</w:t>
      </w:r>
      <w:r>
        <w:rPr>
          <w:rFonts w:cs="Times New Roman"/>
          <w:spacing w:val="-7"/>
          <w:sz w:val="18"/>
          <w:szCs w:val="18"/>
          <w:lang w:val="es-ES_tradnl"/>
        </w:rPr>
        <w:t>í</w:t>
      </w:r>
      <w:r>
        <w:rPr>
          <w:spacing w:val="-7"/>
          <w:sz w:val="18"/>
          <w:szCs w:val="18"/>
          <w:lang w:val="es-ES_tradnl"/>
        </w:rPr>
        <w:t xml:space="preserve">culo 2 de la ordenanza impugnada </w:t>
      </w:r>
      <w:r>
        <w:rPr>
          <w:spacing w:val="-12"/>
          <w:sz w:val="18"/>
          <w:szCs w:val="18"/>
          <w:lang w:val="es-ES_tradnl"/>
        </w:rPr>
        <w:t>establece la definici</w:t>
      </w:r>
      <w:r>
        <w:rPr>
          <w:rFonts w:cs="Times New Roman"/>
          <w:spacing w:val="-12"/>
          <w:sz w:val="18"/>
          <w:szCs w:val="18"/>
          <w:lang w:val="es-ES_tradnl"/>
        </w:rPr>
        <w:t>ó</w:t>
      </w:r>
      <w:r>
        <w:rPr>
          <w:spacing w:val="-12"/>
          <w:sz w:val="18"/>
          <w:szCs w:val="18"/>
          <w:lang w:val="es-ES_tradnl"/>
        </w:rPr>
        <w:t>n de varios conceptos para su aplicaci</w:t>
      </w:r>
      <w:r>
        <w:rPr>
          <w:rFonts w:cs="Times New Roman"/>
          <w:spacing w:val="-12"/>
          <w:sz w:val="18"/>
          <w:szCs w:val="18"/>
          <w:lang w:val="es-ES_tradnl"/>
        </w:rPr>
        <w:t>ó</w:t>
      </w:r>
      <w:r>
        <w:rPr>
          <w:spacing w:val="-12"/>
          <w:sz w:val="18"/>
          <w:szCs w:val="18"/>
          <w:lang w:val="es-ES_tradnl"/>
        </w:rPr>
        <w:t xml:space="preserve">n; </w:t>
      </w:r>
      <w:r>
        <w:rPr>
          <w:spacing w:val="-9"/>
          <w:sz w:val="18"/>
          <w:szCs w:val="18"/>
          <w:lang w:val="es-ES_tradnl"/>
        </w:rPr>
        <w:t xml:space="preserve">sin embargo, dicha ordenanza no puede contrariar o hacer </w:t>
      </w:r>
      <w:r>
        <w:rPr>
          <w:spacing w:val="-8"/>
          <w:sz w:val="18"/>
          <w:szCs w:val="18"/>
          <w:lang w:val="es-ES_tradnl"/>
        </w:rPr>
        <w:t>una interpretaci</w:t>
      </w:r>
      <w:r>
        <w:rPr>
          <w:rFonts w:cs="Times New Roman"/>
          <w:spacing w:val="-8"/>
          <w:sz w:val="18"/>
          <w:szCs w:val="18"/>
          <w:lang w:val="es-ES_tradnl"/>
        </w:rPr>
        <w:t>ó</w:t>
      </w:r>
      <w:r>
        <w:rPr>
          <w:spacing w:val="-8"/>
          <w:sz w:val="18"/>
          <w:szCs w:val="18"/>
          <w:lang w:val="es-ES_tradnl"/>
        </w:rPr>
        <w:t xml:space="preserve">n de conceptos que se hallan establecidos </w:t>
      </w:r>
      <w:r>
        <w:rPr>
          <w:spacing w:val="-5"/>
          <w:sz w:val="18"/>
          <w:szCs w:val="18"/>
          <w:lang w:val="es-ES_tradnl"/>
        </w:rPr>
        <w:t>en la ley pues, la definici</w:t>
      </w:r>
      <w:r>
        <w:rPr>
          <w:rFonts w:cs="Times New Roman"/>
          <w:spacing w:val="-5"/>
          <w:sz w:val="18"/>
          <w:szCs w:val="18"/>
          <w:lang w:val="es-ES_tradnl"/>
        </w:rPr>
        <w:t>ó</w:t>
      </w:r>
      <w:r>
        <w:rPr>
          <w:spacing w:val="-5"/>
          <w:sz w:val="18"/>
          <w:szCs w:val="18"/>
          <w:lang w:val="es-ES_tradnl"/>
        </w:rPr>
        <w:t>n de t</w:t>
      </w:r>
      <w:r>
        <w:rPr>
          <w:rFonts w:cs="Times New Roman"/>
          <w:spacing w:val="-5"/>
          <w:sz w:val="18"/>
          <w:szCs w:val="18"/>
          <w:lang w:val="es-ES_tradnl"/>
        </w:rPr>
        <w:t>é</w:t>
      </w:r>
      <w:r>
        <w:rPr>
          <w:spacing w:val="-5"/>
          <w:sz w:val="18"/>
          <w:szCs w:val="18"/>
          <w:lang w:val="es-ES_tradnl"/>
        </w:rPr>
        <w:t xml:space="preserve">rminos ya consta en el </w:t>
      </w:r>
      <w:r>
        <w:rPr>
          <w:spacing w:val="-4"/>
          <w:sz w:val="18"/>
          <w:szCs w:val="18"/>
          <w:lang w:val="es-ES_tradnl"/>
        </w:rPr>
        <w:t>art</w:t>
      </w:r>
      <w:r>
        <w:rPr>
          <w:rFonts w:cs="Times New Roman"/>
          <w:spacing w:val="-4"/>
          <w:sz w:val="18"/>
          <w:szCs w:val="18"/>
          <w:lang w:val="es-ES_tradnl"/>
        </w:rPr>
        <w:t>í</w:t>
      </w:r>
      <w:r>
        <w:rPr>
          <w:spacing w:val="-4"/>
          <w:sz w:val="18"/>
          <w:szCs w:val="18"/>
          <w:lang w:val="es-ES_tradnl"/>
        </w:rPr>
        <w:t>culo 6 de la Ley Org</w:t>
      </w:r>
      <w:r>
        <w:rPr>
          <w:rFonts w:cs="Times New Roman"/>
          <w:spacing w:val="-4"/>
          <w:sz w:val="18"/>
          <w:szCs w:val="18"/>
          <w:lang w:val="es-ES_tradnl"/>
        </w:rPr>
        <w:t>á</w:t>
      </w:r>
      <w:r>
        <w:rPr>
          <w:spacing w:val="-4"/>
          <w:sz w:val="18"/>
          <w:szCs w:val="18"/>
          <w:lang w:val="es-ES_tradnl"/>
        </w:rPr>
        <w:t xml:space="preserve">nica de Telecomunicaciones y </w:t>
      </w:r>
      <w:r>
        <w:rPr>
          <w:spacing w:val="-10"/>
          <w:sz w:val="18"/>
          <w:szCs w:val="18"/>
          <w:lang w:val="es-ES_tradnl"/>
        </w:rPr>
        <w:t>que adem</w:t>
      </w:r>
      <w:r>
        <w:rPr>
          <w:rFonts w:cs="Times New Roman"/>
          <w:spacing w:val="-10"/>
          <w:sz w:val="18"/>
          <w:szCs w:val="18"/>
          <w:lang w:val="es-ES_tradnl"/>
        </w:rPr>
        <w:t>á</w:t>
      </w:r>
      <w:r>
        <w:rPr>
          <w:spacing w:val="-10"/>
          <w:sz w:val="18"/>
          <w:szCs w:val="18"/>
          <w:lang w:val="es-ES_tradnl"/>
        </w:rPr>
        <w:t>s, se</w:t>
      </w:r>
      <w:r>
        <w:rPr>
          <w:rFonts w:cs="Times New Roman"/>
          <w:spacing w:val="-10"/>
          <w:sz w:val="18"/>
          <w:szCs w:val="18"/>
          <w:lang w:val="es-ES_tradnl"/>
        </w:rPr>
        <w:t>ñ</w:t>
      </w:r>
      <w:r>
        <w:rPr>
          <w:spacing w:val="-10"/>
          <w:sz w:val="18"/>
          <w:szCs w:val="18"/>
          <w:lang w:val="es-ES_tradnl"/>
        </w:rPr>
        <w:t xml:space="preserve">ala que en caso de no encontrarse dicha </w:t>
      </w:r>
      <w:r>
        <w:rPr>
          <w:spacing w:val="-11"/>
          <w:sz w:val="18"/>
          <w:szCs w:val="18"/>
          <w:lang w:val="es-ES_tradnl"/>
        </w:rPr>
        <w:t>conceptualizaci</w:t>
      </w:r>
      <w:r>
        <w:rPr>
          <w:rFonts w:cs="Times New Roman"/>
          <w:spacing w:val="-11"/>
          <w:sz w:val="18"/>
          <w:szCs w:val="18"/>
          <w:lang w:val="es-ES_tradnl"/>
        </w:rPr>
        <w:t>ó</w:t>
      </w:r>
      <w:r>
        <w:rPr>
          <w:spacing w:val="-11"/>
          <w:sz w:val="18"/>
          <w:szCs w:val="18"/>
          <w:lang w:val="es-ES_tradnl"/>
        </w:rPr>
        <w:t>n se recurrir</w:t>
      </w:r>
      <w:r>
        <w:rPr>
          <w:rFonts w:cs="Times New Roman"/>
          <w:spacing w:val="-11"/>
          <w:sz w:val="18"/>
          <w:szCs w:val="18"/>
          <w:lang w:val="es-ES_tradnl"/>
        </w:rPr>
        <w:t>á</w:t>
      </w:r>
      <w:r>
        <w:rPr>
          <w:spacing w:val="-11"/>
          <w:sz w:val="18"/>
          <w:szCs w:val="18"/>
          <w:lang w:val="es-ES_tradnl"/>
        </w:rPr>
        <w:t xml:space="preserve"> a los significados establecidos </w:t>
      </w:r>
      <w:r>
        <w:rPr>
          <w:spacing w:val="-3"/>
          <w:sz w:val="18"/>
          <w:szCs w:val="18"/>
          <w:lang w:val="es-ES_tradnl"/>
        </w:rPr>
        <w:t>por la Uni</w:t>
      </w:r>
      <w:r>
        <w:rPr>
          <w:rFonts w:cs="Times New Roman"/>
          <w:spacing w:val="-3"/>
          <w:sz w:val="18"/>
          <w:szCs w:val="18"/>
          <w:lang w:val="es-ES_tradnl"/>
        </w:rPr>
        <w:t>ó</w:t>
      </w:r>
      <w:r>
        <w:rPr>
          <w:spacing w:val="-3"/>
          <w:sz w:val="18"/>
          <w:szCs w:val="18"/>
          <w:lang w:val="es-ES_tradnl"/>
        </w:rPr>
        <w:t xml:space="preserve">n Internacional de Telecomunicaciones, por </w:t>
      </w:r>
      <w:r>
        <w:rPr>
          <w:spacing w:val="-7"/>
          <w:sz w:val="18"/>
          <w:szCs w:val="18"/>
          <w:lang w:val="es-ES_tradnl"/>
        </w:rPr>
        <w:t xml:space="preserve">los convenios y tratados internacionales ratificados por el </w:t>
      </w:r>
      <w:r>
        <w:rPr>
          <w:spacing w:val="-9"/>
          <w:sz w:val="18"/>
          <w:szCs w:val="18"/>
          <w:lang w:val="es-ES_tradnl"/>
        </w:rPr>
        <w:t xml:space="preserve">Ecuador o en su defecto los establecidos en el Reglamento </w:t>
      </w:r>
      <w:r>
        <w:rPr>
          <w:spacing w:val="-8"/>
          <w:sz w:val="18"/>
          <w:szCs w:val="18"/>
          <w:lang w:val="es-ES_tradnl"/>
        </w:rPr>
        <w:t>General a la Ley Org</w:t>
      </w:r>
      <w:r>
        <w:rPr>
          <w:rFonts w:cs="Times New Roman"/>
          <w:spacing w:val="-8"/>
          <w:sz w:val="18"/>
          <w:szCs w:val="18"/>
          <w:lang w:val="es-ES_tradnl"/>
        </w:rPr>
        <w:t>á</w:t>
      </w:r>
      <w:r>
        <w:rPr>
          <w:spacing w:val="-8"/>
          <w:sz w:val="18"/>
          <w:szCs w:val="18"/>
          <w:lang w:val="es-ES_tradnl"/>
        </w:rPr>
        <w:t xml:space="preserve">nica de Telecomunicaciones y en las </w:t>
      </w:r>
      <w:r>
        <w:rPr>
          <w:sz w:val="18"/>
          <w:szCs w:val="18"/>
          <w:lang w:val="es-ES_tradnl"/>
        </w:rPr>
        <w:t>regulaciones respectivas.</w:t>
      </w:r>
    </w:p>
    <w:p w14:paraId="4F67A8FA" w14:textId="77777777" w:rsidR="00591D54" w:rsidRDefault="00591D54">
      <w:pPr>
        <w:shd w:val="clear" w:color="auto" w:fill="FFFFFF"/>
        <w:spacing w:before="192" w:line="216" w:lineRule="exact"/>
        <w:jc w:val="both"/>
      </w:pPr>
      <w:r>
        <w:rPr>
          <w:spacing w:val="-7"/>
          <w:sz w:val="18"/>
          <w:szCs w:val="18"/>
          <w:lang w:val="es-ES_tradnl"/>
        </w:rPr>
        <w:t xml:space="preserve">En el caso </w:t>
      </w:r>
      <w:r>
        <w:rPr>
          <w:i/>
          <w:iCs/>
          <w:spacing w:val="-7"/>
          <w:sz w:val="18"/>
          <w:szCs w:val="18"/>
          <w:lang w:val="es-ES_tradnl"/>
        </w:rPr>
        <w:t>sub judice</w:t>
      </w:r>
      <w:r>
        <w:rPr>
          <w:spacing w:val="-7"/>
          <w:sz w:val="18"/>
          <w:szCs w:val="18"/>
          <w:lang w:val="es-ES_tradnl"/>
        </w:rPr>
        <w:t>, se determina que el art</w:t>
      </w:r>
      <w:r>
        <w:rPr>
          <w:rFonts w:cs="Times New Roman"/>
          <w:spacing w:val="-7"/>
          <w:sz w:val="18"/>
          <w:szCs w:val="18"/>
          <w:lang w:val="es-ES_tradnl"/>
        </w:rPr>
        <w:t>í</w:t>
      </w:r>
      <w:r>
        <w:rPr>
          <w:spacing w:val="-7"/>
          <w:sz w:val="18"/>
          <w:szCs w:val="18"/>
          <w:lang w:val="es-ES_tradnl"/>
        </w:rPr>
        <w:t xml:space="preserve">culo 2 de la </w:t>
      </w:r>
      <w:r>
        <w:rPr>
          <w:spacing w:val="-6"/>
          <w:sz w:val="18"/>
          <w:szCs w:val="18"/>
          <w:lang w:val="es-ES_tradnl"/>
        </w:rPr>
        <w:t xml:space="preserve">ordenanza impugnada se refiere a </w:t>
      </w:r>
      <w:r>
        <w:rPr>
          <w:rFonts w:cs="Times New Roman"/>
          <w:spacing w:val="-6"/>
          <w:sz w:val="18"/>
          <w:szCs w:val="18"/>
          <w:lang w:val="es-ES_tradnl"/>
        </w:rPr>
        <w:t>“</w:t>
      </w:r>
      <w:r>
        <w:rPr>
          <w:spacing w:val="-6"/>
          <w:sz w:val="18"/>
          <w:szCs w:val="18"/>
          <w:lang w:val="es-ES_tradnl"/>
        </w:rPr>
        <w:t>definiciones</w:t>
      </w:r>
      <w:r>
        <w:rPr>
          <w:rFonts w:cs="Times New Roman"/>
          <w:spacing w:val="-6"/>
          <w:sz w:val="18"/>
          <w:szCs w:val="18"/>
          <w:lang w:val="es-ES_tradnl"/>
        </w:rPr>
        <w:t>”</w:t>
      </w:r>
      <w:r>
        <w:rPr>
          <w:spacing w:val="-6"/>
          <w:sz w:val="18"/>
          <w:szCs w:val="18"/>
          <w:lang w:val="es-ES_tradnl"/>
        </w:rPr>
        <w:t xml:space="preserve">, lo cual </w:t>
      </w:r>
      <w:r>
        <w:rPr>
          <w:spacing w:val="-5"/>
          <w:sz w:val="18"/>
          <w:szCs w:val="18"/>
          <w:lang w:val="es-ES_tradnl"/>
        </w:rPr>
        <w:t>contrar</w:t>
      </w:r>
      <w:r>
        <w:rPr>
          <w:rFonts w:cs="Times New Roman"/>
          <w:spacing w:val="-5"/>
          <w:sz w:val="18"/>
          <w:szCs w:val="18"/>
          <w:lang w:val="es-ES_tradnl"/>
        </w:rPr>
        <w:t>í</w:t>
      </w:r>
      <w:r>
        <w:rPr>
          <w:spacing w:val="-5"/>
          <w:sz w:val="18"/>
          <w:szCs w:val="18"/>
          <w:lang w:val="es-ES_tradnl"/>
        </w:rPr>
        <w:t>a el principio de jerarqu</w:t>
      </w:r>
      <w:r>
        <w:rPr>
          <w:rFonts w:cs="Times New Roman"/>
          <w:spacing w:val="-5"/>
          <w:sz w:val="18"/>
          <w:szCs w:val="18"/>
          <w:lang w:val="es-ES_tradnl"/>
        </w:rPr>
        <w:t>í</w:t>
      </w:r>
      <w:r>
        <w:rPr>
          <w:spacing w:val="-5"/>
          <w:sz w:val="18"/>
          <w:szCs w:val="18"/>
          <w:lang w:val="es-ES_tradnl"/>
        </w:rPr>
        <w:t xml:space="preserve">a de las normas que se </w:t>
      </w:r>
      <w:r>
        <w:rPr>
          <w:spacing w:val="-3"/>
          <w:sz w:val="18"/>
          <w:szCs w:val="18"/>
          <w:lang w:val="es-ES_tradnl"/>
        </w:rPr>
        <w:t>halla contemplado en el art</w:t>
      </w:r>
      <w:r>
        <w:rPr>
          <w:rFonts w:cs="Times New Roman"/>
          <w:spacing w:val="-3"/>
          <w:sz w:val="18"/>
          <w:szCs w:val="18"/>
          <w:lang w:val="es-ES_tradnl"/>
        </w:rPr>
        <w:t>í</w:t>
      </w:r>
      <w:r>
        <w:rPr>
          <w:spacing w:val="-3"/>
          <w:sz w:val="18"/>
          <w:szCs w:val="18"/>
          <w:lang w:val="es-ES_tradnl"/>
        </w:rPr>
        <w:t>culo 425 de la Constituci</w:t>
      </w:r>
      <w:r>
        <w:rPr>
          <w:rFonts w:cs="Times New Roman"/>
          <w:spacing w:val="-3"/>
          <w:sz w:val="18"/>
          <w:szCs w:val="18"/>
          <w:lang w:val="es-ES_tradnl"/>
        </w:rPr>
        <w:t>ó</w:t>
      </w:r>
      <w:r>
        <w:rPr>
          <w:spacing w:val="-3"/>
          <w:sz w:val="18"/>
          <w:szCs w:val="18"/>
          <w:lang w:val="es-ES_tradnl"/>
        </w:rPr>
        <w:t xml:space="preserve">n </w:t>
      </w:r>
      <w:r>
        <w:rPr>
          <w:spacing w:val="-4"/>
          <w:sz w:val="18"/>
          <w:szCs w:val="18"/>
          <w:lang w:val="es-ES_tradnl"/>
        </w:rPr>
        <w:t>de la Rep</w:t>
      </w:r>
      <w:r>
        <w:rPr>
          <w:rFonts w:cs="Times New Roman"/>
          <w:spacing w:val="-4"/>
          <w:sz w:val="18"/>
          <w:szCs w:val="18"/>
          <w:lang w:val="es-ES_tradnl"/>
        </w:rPr>
        <w:t>ú</w:t>
      </w:r>
      <w:r>
        <w:rPr>
          <w:spacing w:val="-4"/>
          <w:sz w:val="18"/>
          <w:szCs w:val="18"/>
          <w:lang w:val="es-ES_tradnl"/>
        </w:rPr>
        <w:t>blica. De lo expuesto y con fundamento en el</w:t>
      </w:r>
    </w:p>
    <w:p w14:paraId="4F67A8FB" w14:textId="77777777" w:rsidR="00591D54" w:rsidRDefault="00591D54">
      <w:pPr>
        <w:shd w:val="clear" w:color="auto" w:fill="FFFFFF"/>
        <w:spacing w:line="216" w:lineRule="exact"/>
        <w:jc w:val="both"/>
      </w:pPr>
      <w:r>
        <w:br w:type="column"/>
      </w:r>
      <w:r>
        <w:rPr>
          <w:spacing w:val="-5"/>
          <w:sz w:val="18"/>
          <w:szCs w:val="18"/>
          <w:lang w:val="es-ES_tradnl"/>
        </w:rPr>
        <w:t>art</w:t>
      </w:r>
      <w:r>
        <w:rPr>
          <w:rFonts w:cs="Times New Roman"/>
          <w:spacing w:val="-5"/>
          <w:sz w:val="18"/>
          <w:szCs w:val="18"/>
          <w:lang w:val="es-ES_tradnl"/>
        </w:rPr>
        <w:t>í</w:t>
      </w:r>
      <w:r>
        <w:rPr>
          <w:spacing w:val="-5"/>
          <w:sz w:val="18"/>
          <w:szCs w:val="18"/>
          <w:lang w:val="es-ES_tradnl"/>
        </w:rPr>
        <w:t>culo 436 numerales 1, 2 y 3 de la Constituci</w:t>
      </w:r>
      <w:r>
        <w:rPr>
          <w:rFonts w:cs="Times New Roman"/>
          <w:spacing w:val="-5"/>
          <w:sz w:val="18"/>
          <w:szCs w:val="18"/>
          <w:lang w:val="es-ES_tradnl"/>
        </w:rPr>
        <w:t>ó</w:t>
      </w:r>
      <w:r>
        <w:rPr>
          <w:spacing w:val="-5"/>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blica en concordancia con el art</w:t>
      </w:r>
      <w:r>
        <w:rPr>
          <w:rFonts w:cs="Times New Roman"/>
          <w:spacing w:val="-7"/>
          <w:sz w:val="18"/>
          <w:szCs w:val="18"/>
          <w:lang w:val="es-ES_tradnl"/>
        </w:rPr>
        <w:t>í</w:t>
      </w:r>
      <w:r>
        <w:rPr>
          <w:spacing w:val="-7"/>
          <w:sz w:val="18"/>
          <w:szCs w:val="18"/>
          <w:lang w:val="es-ES_tradnl"/>
        </w:rPr>
        <w:t xml:space="preserve">culo 76 numerales 4, </w:t>
      </w:r>
      <w:r>
        <w:rPr>
          <w:spacing w:val="-6"/>
          <w:sz w:val="18"/>
          <w:szCs w:val="18"/>
          <w:lang w:val="es-ES_tradnl"/>
        </w:rPr>
        <w:t>5 y 6 de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w:t>
      </w:r>
      <w:r>
        <w:rPr>
          <w:spacing w:val="-5"/>
          <w:sz w:val="18"/>
          <w:szCs w:val="18"/>
          <w:lang w:val="es-ES_tradnl"/>
        </w:rPr>
        <w:t xml:space="preserve">Control Constitucional, se declara la inconstitucionalidad </w:t>
      </w:r>
      <w:r>
        <w:rPr>
          <w:spacing w:val="-8"/>
          <w:sz w:val="18"/>
          <w:szCs w:val="18"/>
          <w:lang w:val="es-ES_tradnl"/>
        </w:rPr>
        <w:t>del art</w:t>
      </w:r>
      <w:r>
        <w:rPr>
          <w:rFonts w:cs="Times New Roman"/>
          <w:spacing w:val="-8"/>
          <w:sz w:val="18"/>
          <w:szCs w:val="18"/>
          <w:lang w:val="es-ES_tradnl"/>
        </w:rPr>
        <w:t>í</w:t>
      </w:r>
      <w:r>
        <w:rPr>
          <w:spacing w:val="-8"/>
          <w:sz w:val="18"/>
          <w:szCs w:val="18"/>
          <w:lang w:val="es-ES_tradnl"/>
        </w:rPr>
        <w:t xml:space="preserve">culo 2 de la ordenanza impugnada, por las razones </w:t>
      </w:r>
      <w:r>
        <w:rPr>
          <w:sz w:val="18"/>
          <w:szCs w:val="18"/>
          <w:lang w:val="es-ES_tradnl"/>
        </w:rPr>
        <w:t>que se han expuesto.</w:t>
      </w:r>
    </w:p>
    <w:p w14:paraId="4F67A8FC" w14:textId="77777777" w:rsidR="00591D54" w:rsidRDefault="00591D54">
      <w:pPr>
        <w:shd w:val="clear" w:color="auto" w:fill="FFFFFF"/>
        <w:spacing w:before="192"/>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A8FD" w14:textId="77777777" w:rsidR="00591D54" w:rsidRDefault="00591D54">
      <w:pPr>
        <w:shd w:val="clear" w:color="auto" w:fill="FFFFFF"/>
        <w:spacing w:before="197" w:line="216" w:lineRule="exact"/>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5"/>
          <w:sz w:val="18"/>
          <w:szCs w:val="18"/>
          <w:lang w:val="es-ES_tradnl"/>
        </w:rPr>
        <w:t>constitucional y por mandato de la Constituci</w:t>
      </w:r>
      <w:r>
        <w:rPr>
          <w:rFonts w:cs="Times New Roman"/>
          <w:spacing w:val="-5"/>
          <w:sz w:val="18"/>
          <w:szCs w:val="18"/>
          <w:lang w:val="es-ES_tradnl"/>
        </w:rPr>
        <w:t>ó</w:t>
      </w:r>
      <w:r>
        <w:rPr>
          <w:spacing w:val="-5"/>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 xml:space="preserve">blica del Ecuador, el Pleno de la Corte Constitucional </w:t>
      </w:r>
      <w:r>
        <w:rPr>
          <w:sz w:val="18"/>
          <w:szCs w:val="18"/>
          <w:lang w:val="es-ES_tradnl"/>
        </w:rPr>
        <w:t>expide la siguiente:</w:t>
      </w:r>
    </w:p>
    <w:p w14:paraId="4F67A8FE" w14:textId="77777777" w:rsidR="00591D54" w:rsidRDefault="00591D54">
      <w:pPr>
        <w:shd w:val="clear" w:color="auto" w:fill="FFFFFF"/>
        <w:spacing w:before="192"/>
        <w:ind w:left="10"/>
        <w:jc w:val="center"/>
      </w:pPr>
      <w:r>
        <w:rPr>
          <w:b/>
          <w:bCs/>
          <w:sz w:val="18"/>
          <w:szCs w:val="18"/>
          <w:lang w:val="es-ES_tradnl"/>
        </w:rPr>
        <w:t>SENTENCIA</w:t>
      </w:r>
    </w:p>
    <w:p w14:paraId="4F67A8FF" w14:textId="77777777" w:rsidR="00591D54" w:rsidRDefault="00591D54" w:rsidP="00251195">
      <w:pPr>
        <w:numPr>
          <w:ilvl w:val="0"/>
          <w:numId w:val="43"/>
        </w:numPr>
        <w:shd w:val="clear" w:color="auto" w:fill="FFFFFF"/>
        <w:tabs>
          <w:tab w:val="left" w:pos="566"/>
        </w:tabs>
        <w:spacing w:before="192" w:line="216" w:lineRule="exact"/>
        <w:ind w:left="566" w:hanging="283"/>
        <w:jc w:val="both"/>
        <w:rPr>
          <w:spacing w:val="-9"/>
          <w:sz w:val="18"/>
          <w:szCs w:val="18"/>
          <w:lang w:val="es-ES_tradnl"/>
        </w:rPr>
      </w:pPr>
      <w:r>
        <w:rPr>
          <w:sz w:val="18"/>
          <w:szCs w:val="18"/>
          <w:lang w:val="es-ES_tradnl"/>
        </w:rPr>
        <w:t>Aceptar parcialmente la demanda de inconstitucionalidad planteada.</w:t>
      </w:r>
    </w:p>
    <w:p w14:paraId="4F67A900" w14:textId="77777777" w:rsidR="00591D54" w:rsidRDefault="00591D54" w:rsidP="00251195">
      <w:pPr>
        <w:numPr>
          <w:ilvl w:val="0"/>
          <w:numId w:val="43"/>
        </w:numPr>
        <w:shd w:val="clear" w:color="auto" w:fill="FFFFFF"/>
        <w:tabs>
          <w:tab w:val="left" w:pos="566"/>
        </w:tabs>
        <w:spacing w:before="192" w:line="216" w:lineRule="exact"/>
        <w:ind w:left="566" w:hanging="283"/>
        <w:jc w:val="both"/>
        <w:rPr>
          <w:spacing w:val="-9"/>
          <w:sz w:val="18"/>
          <w:szCs w:val="18"/>
          <w:lang w:val="es-ES_tradnl"/>
        </w:rPr>
      </w:pPr>
      <w:r>
        <w:rPr>
          <w:sz w:val="18"/>
          <w:szCs w:val="18"/>
          <w:lang w:val="es-ES_tradnl"/>
        </w:rPr>
        <w:t xml:space="preserve">La Corte Constitucional del Ecuador con </w:t>
      </w:r>
      <w:r>
        <w:rPr>
          <w:spacing w:val="-5"/>
          <w:sz w:val="18"/>
          <w:szCs w:val="18"/>
          <w:lang w:val="es-ES_tradnl"/>
        </w:rPr>
        <w:t>fundamento en el art</w:t>
      </w:r>
      <w:r>
        <w:rPr>
          <w:rFonts w:cs="Times New Roman"/>
          <w:spacing w:val="-5"/>
          <w:sz w:val="18"/>
          <w:szCs w:val="18"/>
          <w:lang w:val="es-ES_tradnl"/>
        </w:rPr>
        <w:t>í</w:t>
      </w:r>
      <w:r>
        <w:rPr>
          <w:spacing w:val="-5"/>
          <w:sz w:val="18"/>
          <w:szCs w:val="18"/>
          <w:lang w:val="es-ES_tradnl"/>
        </w:rPr>
        <w:t xml:space="preserve">culo 436 numerales 1, 2 y 3 </w:t>
      </w:r>
      <w:r>
        <w:rPr>
          <w:spacing w:val="-9"/>
          <w:sz w:val="18"/>
          <w:szCs w:val="18"/>
          <w:lang w:val="es-ES_tradnl"/>
        </w:rPr>
        <w:t>de la Constituci</w:t>
      </w:r>
      <w:r>
        <w:rPr>
          <w:rFonts w:cs="Times New Roman"/>
          <w:spacing w:val="-9"/>
          <w:sz w:val="18"/>
          <w:szCs w:val="18"/>
          <w:lang w:val="es-ES_tradnl"/>
        </w:rPr>
        <w:t>ó</w:t>
      </w:r>
      <w:r>
        <w:rPr>
          <w:spacing w:val="-9"/>
          <w:sz w:val="18"/>
          <w:szCs w:val="18"/>
          <w:lang w:val="es-ES_tradnl"/>
        </w:rPr>
        <w:t>n de la Rep</w:t>
      </w:r>
      <w:r>
        <w:rPr>
          <w:rFonts w:cs="Times New Roman"/>
          <w:spacing w:val="-9"/>
          <w:sz w:val="18"/>
          <w:szCs w:val="18"/>
          <w:lang w:val="es-ES_tradnl"/>
        </w:rPr>
        <w:t>ú</w:t>
      </w:r>
      <w:r>
        <w:rPr>
          <w:spacing w:val="-9"/>
          <w:sz w:val="18"/>
          <w:szCs w:val="18"/>
          <w:lang w:val="es-ES_tradnl"/>
        </w:rPr>
        <w:t xml:space="preserve">blica, en concordancia </w:t>
      </w:r>
      <w:r>
        <w:rPr>
          <w:spacing w:val="-4"/>
          <w:sz w:val="18"/>
          <w:szCs w:val="18"/>
          <w:lang w:val="es-ES_tradnl"/>
        </w:rPr>
        <w:t>con el art</w:t>
      </w:r>
      <w:r>
        <w:rPr>
          <w:rFonts w:cs="Times New Roman"/>
          <w:spacing w:val="-4"/>
          <w:sz w:val="18"/>
          <w:szCs w:val="18"/>
          <w:lang w:val="es-ES_tradnl"/>
        </w:rPr>
        <w:t>í</w:t>
      </w:r>
      <w:r>
        <w:rPr>
          <w:spacing w:val="-4"/>
          <w:sz w:val="18"/>
          <w:szCs w:val="18"/>
          <w:lang w:val="es-ES_tradnl"/>
        </w:rPr>
        <w:t xml:space="preserve">culo 76 numerales 4, 5 y 6 de la Ley </w:t>
      </w:r>
      <w:r>
        <w:rPr>
          <w:spacing w:val="-6"/>
          <w:sz w:val="18"/>
          <w:szCs w:val="18"/>
          <w:lang w:val="es-ES_tradnl"/>
        </w:rPr>
        <w:t>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Control </w:t>
      </w:r>
      <w:r>
        <w:rPr>
          <w:spacing w:val="-8"/>
          <w:sz w:val="18"/>
          <w:szCs w:val="18"/>
          <w:lang w:val="es-ES_tradnl"/>
        </w:rPr>
        <w:t xml:space="preserve">Constitucional, respecto a la ordenanza que regula </w:t>
      </w:r>
      <w:r>
        <w:rPr>
          <w:spacing w:val="-4"/>
          <w:sz w:val="18"/>
          <w:szCs w:val="18"/>
          <w:lang w:val="es-ES_tradnl"/>
        </w:rPr>
        <w:t>la implantaci</w:t>
      </w:r>
      <w:r>
        <w:rPr>
          <w:rFonts w:cs="Times New Roman"/>
          <w:spacing w:val="-4"/>
          <w:sz w:val="18"/>
          <w:szCs w:val="18"/>
          <w:lang w:val="es-ES_tradnl"/>
        </w:rPr>
        <w:t>ó</w:t>
      </w:r>
      <w:r>
        <w:rPr>
          <w:spacing w:val="-4"/>
          <w:sz w:val="18"/>
          <w:szCs w:val="18"/>
          <w:lang w:val="es-ES_tradnl"/>
        </w:rPr>
        <w:t>n de estaciones radioel</w:t>
      </w:r>
      <w:r>
        <w:rPr>
          <w:rFonts w:cs="Times New Roman"/>
          <w:spacing w:val="-4"/>
          <w:sz w:val="18"/>
          <w:szCs w:val="18"/>
          <w:lang w:val="es-ES_tradnl"/>
        </w:rPr>
        <w:t>é</w:t>
      </w:r>
      <w:r>
        <w:rPr>
          <w:spacing w:val="-4"/>
          <w:sz w:val="18"/>
          <w:szCs w:val="18"/>
          <w:lang w:val="es-ES_tradnl"/>
        </w:rPr>
        <w:t xml:space="preserve">ctricas, </w:t>
      </w:r>
      <w:r>
        <w:rPr>
          <w:spacing w:val="-6"/>
          <w:sz w:val="18"/>
          <w:szCs w:val="18"/>
          <w:lang w:val="es-ES_tradnl"/>
        </w:rPr>
        <w:t>centrales fijas y de base de los servicios m</w:t>
      </w:r>
      <w:r>
        <w:rPr>
          <w:rFonts w:cs="Times New Roman"/>
          <w:spacing w:val="-6"/>
          <w:sz w:val="18"/>
          <w:szCs w:val="18"/>
          <w:lang w:val="es-ES_tradnl"/>
        </w:rPr>
        <w:t>ó</w:t>
      </w:r>
      <w:r>
        <w:rPr>
          <w:spacing w:val="-6"/>
          <w:sz w:val="18"/>
          <w:szCs w:val="18"/>
          <w:lang w:val="es-ES_tradnl"/>
        </w:rPr>
        <w:t xml:space="preserve">vil </w:t>
      </w:r>
      <w:r>
        <w:rPr>
          <w:spacing w:val="-3"/>
          <w:sz w:val="18"/>
          <w:szCs w:val="18"/>
          <w:lang w:val="es-ES_tradnl"/>
        </w:rPr>
        <w:t>terrestre de radio comunicaciones, televisi</w:t>
      </w:r>
      <w:r>
        <w:rPr>
          <w:rFonts w:cs="Times New Roman"/>
          <w:spacing w:val="-3"/>
          <w:sz w:val="18"/>
          <w:szCs w:val="18"/>
          <w:lang w:val="es-ES_tradnl"/>
        </w:rPr>
        <w:t>ó</w:t>
      </w:r>
      <w:r>
        <w:rPr>
          <w:spacing w:val="-3"/>
          <w:sz w:val="18"/>
          <w:szCs w:val="18"/>
          <w:lang w:val="es-ES_tradnl"/>
        </w:rPr>
        <w:t xml:space="preserve">n y </w:t>
      </w:r>
      <w:r>
        <w:rPr>
          <w:spacing w:val="-4"/>
          <w:sz w:val="18"/>
          <w:szCs w:val="18"/>
          <w:lang w:val="es-ES_tradnl"/>
        </w:rPr>
        <w:t>otras comunicaciones de transmisiones; fijaci</w:t>
      </w:r>
      <w:r>
        <w:rPr>
          <w:rFonts w:cs="Times New Roman"/>
          <w:spacing w:val="-4"/>
          <w:sz w:val="18"/>
          <w:szCs w:val="18"/>
          <w:lang w:val="es-ES_tradnl"/>
        </w:rPr>
        <w:t>ó</w:t>
      </w:r>
      <w:r>
        <w:rPr>
          <w:spacing w:val="-4"/>
          <w:sz w:val="18"/>
          <w:szCs w:val="18"/>
          <w:lang w:val="es-ES_tradnl"/>
        </w:rPr>
        <w:t xml:space="preserve">n </w:t>
      </w:r>
      <w:r>
        <w:rPr>
          <w:spacing w:val="-7"/>
          <w:sz w:val="18"/>
          <w:szCs w:val="18"/>
          <w:lang w:val="es-ES_tradnl"/>
        </w:rPr>
        <w:t>de las tasas correspondientes a la utilizaci</w:t>
      </w:r>
      <w:r>
        <w:rPr>
          <w:rFonts w:cs="Times New Roman"/>
          <w:spacing w:val="-7"/>
          <w:sz w:val="18"/>
          <w:szCs w:val="18"/>
          <w:lang w:val="es-ES_tradnl"/>
        </w:rPr>
        <w:t>ó</w:t>
      </w:r>
      <w:r>
        <w:rPr>
          <w:spacing w:val="-7"/>
          <w:sz w:val="18"/>
          <w:szCs w:val="18"/>
          <w:lang w:val="es-ES_tradnl"/>
        </w:rPr>
        <w:t xml:space="preserve">n u </w:t>
      </w:r>
      <w:r>
        <w:rPr>
          <w:spacing w:val="-1"/>
          <w:sz w:val="18"/>
          <w:szCs w:val="18"/>
          <w:lang w:val="es-ES_tradnl"/>
        </w:rPr>
        <w:t>ocupaci</w:t>
      </w:r>
      <w:r>
        <w:rPr>
          <w:rFonts w:cs="Times New Roman"/>
          <w:spacing w:val="-1"/>
          <w:sz w:val="18"/>
          <w:szCs w:val="18"/>
          <w:lang w:val="es-ES_tradnl"/>
        </w:rPr>
        <w:t>ó</w:t>
      </w:r>
      <w:r>
        <w:rPr>
          <w:spacing w:val="-1"/>
          <w:sz w:val="18"/>
          <w:szCs w:val="18"/>
          <w:lang w:val="es-ES_tradnl"/>
        </w:rPr>
        <w:t>n del espacio a</w:t>
      </w:r>
      <w:r>
        <w:rPr>
          <w:rFonts w:cs="Times New Roman"/>
          <w:spacing w:val="-1"/>
          <w:sz w:val="18"/>
          <w:szCs w:val="18"/>
          <w:lang w:val="es-ES_tradnl"/>
        </w:rPr>
        <w:t>é</w:t>
      </w:r>
      <w:r>
        <w:rPr>
          <w:spacing w:val="-1"/>
          <w:sz w:val="18"/>
          <w:szCs w:val="18"/>
          <w:lang w:val="es-ES_tradnl"/>
        </w:rPr>
        <w:t xml:space="preserve">reo municipal, uso de </w:t>
      </w:r>
      <w:r>
        <w:rPr>
          <w:spacing w:val="-6"/>
          <w:sz w:val="18"/>
          <w:szCs w:val="18"/>
          <w:lang w:val="es-ES_tradnl"/>
        </w:rPr>
        <w:t>la v</w:t>
      </w:r>
      <w:r>
        <w:rPr>
          <w:rFonts w:cs="Times New Roman"/>
          <w:spacing w:val="-6"/>
          <w:sz w:val="18"/>
          <w:szCs w:val="18"/>
          <w:lang w:val="es-ES_tradnl"/>
        </w:rPr>
        <w:t>í</w:t>
      </w:r>
      <w:r>
        <w:rPr>
          <w:spacing w:val="-6"/>
          <w:sz w:val="18"/>
          <w:szCs w:val="18"/>
          <w:lang w:val="es-ES_tradnl"/>
        </w:rPr>
        <w:t>a p</w:t>
      </w:r>
      <w:r>
        <w:rPr>
          <w:rFonts w:cs="Times New Roman"/>
          <w:spacing w:val="-6"/>
          <w:sz w:val="18"/>
          <w:szCs w:val="18"/>
          <w:lang w:val="es-ES_tradnl"/>
        </w:rPr>
        <w:t>ú</w:t>
      </w:r>
      <w:r>
        <w:rPr>
          <w:spacing w:val="-6"/>
          <w:sz w:val="18"/>
          <w:szCs w:val="18"/>
          <w:lang w:val="es-ES_tradnl"/>
        </w:rPr>
        <w:t>blica, suelo y subsuelo en el cant</w:t>
      </w:r>
      <w:r>
        <w:rPr>
          <w:rFonts w:cs="Times New Roman"/>
          <w:spacing w:val="-6"/>
          <w:sz w:val="18"/>
          <w:szCs w:val="18"/>
          <w:lang w:val="es-ES_tradnl"/>
        </w:rPr>
        <w:t>ó</w:t>
      </w:r>
      <w:r>
        <w:rPr>
          <w:spacing w:val="-6"/>
          <w:sz w:val="18"/>
          <w:szCs w:val="18"/>
          <w:lang w:val="es-ES_tradnl"/>
        </w:rPr>
        <w:t xml:space="preserve">n San </w:t>
      </w:r>
      <w:r>
        <w:rPr>
          <w:spacing w:val="-7"/>
          <w:sz w:val="18"/>
          <w:szCs w:val="18"/>
          <w:lang w:val="es-ES_tradnl"/>
        </w:rPr>
        <w:t xml:space="preserve">Francisco de Puebloviejo, publicada en el Registro </w:t>
      </w:r>
      <w:r>
        <w:rPr>
          <w:spacing w:val="-10"/>
          <w:sz w:val="18"/>
          <w:szCs w:val="18"/>
          <w:lang w:val="es-ES_tradnl"/>
        </w:rPr>
        <w:t>Oficial N.</w:t>
      </w:r>
      <w:r>
        <w:rPr>
          <w:rFonts w:cs="Times New Roman"/>
          <w:spacing w:val="-10"/>
          <w:sz w:val="18"/>
          <w:szCs w:val="18"/>
          <w:lang w:val="es-ES_tradnl"/>
        </w:rPr>
        <w:t>º</w:t>
      </w:r>
      <w:r>
        <w:rPr>
          <w:spacing w:val="-10"/>
          <w:sz w:val="18"/>
          <w:szCs w:val="18"/>
          <w:lang w:val="es-ES_tradnl"/>
        </w:rPr>
        <w:t xml:space="preserve"> 594 del 12 de diciembre de 2011, declara </w:t>
      </w:r>
      <w:r>
        <w:rPr>
          <w:spacing w:val="-5"/>
          <w:sz w:val="18"/>
          <w:szCs w:val="18"/>
          <w:lang w:val="es-ES_tradnl"/>
        </w:rPr>
        <w:t>la inconstitucionalidad de lo siguiente:</w:t>
      </w:r>
    </w:p>
    <w:p w14:paraId="4F67A901" w14:textId="77777777" w:rsidR="00591D54" w:rsidRDefault="00591D54">
      <w:pPr>
        <w:shd w:val="clear" w:color="auto" w:fill="FFFFFF"/>
        <w:tabs>
          <w:tab w:val="left" w:pos="850"/>
        </w:tabs>
        <w:spacing w:before="192" w:line="216" w:lineRule="exact"/>
        <w:ind w:left="850" w:hanging="283"/>
        <w:jc w:val="both"/>
      </w:pPr>
      <w:r>
        <w:rPr>
          <w:spacing w:val="-9"/>
          <w:sz w:val="18"/>
          <w:szCs w:val="18"/>
          <w:lang w:val="es-ES_tradnl"/>
        </w:rPr>
        <w:t>2.1.</w:t>
      </w:r>
      <w:r>
        <w:rPr>
          <w:sz w:val="18"/>
          <w:szCs w:val="18"/>
          <w:lang w:val="es-ES_tradnl"/>
        </w:rPr>
        <w:tab/>
        <w:t>En el art</w:t>
      </w:r>
      <w:r>
        <w:rPr>
          <w:rFonts w:cs="Times New Roman"/>
          <w:sz w:val="18"/>
          <w:szCs w:val="18"/>
          <w:lang w:val="es-ES_tradnl"/>
        </w:rPr>
        <w:t>í</w:t>
      </w:r>
      <w:r>
        <w:rPr>
          <w:sz w:val="18"/>
          <w:szCs w:val="18"/>
          <w:lang w:val="es-ES_tradnl"/>
        </w:rPr>
        <w:t xml:space="preserve">culo 1, de la palabra </w:t>
      </w:r>
      <w:r>
        <w:rPr>
          <w:rFonts w:cs="Times New Roman"/>
          <w:sz w:val="18"/>
          <w:szCs w:val="18"/>
          <w:lang w:val="es-ES_tradnl"/>
        </w:rPr>
        <w:t>“</w:t>
      </w:r>
      <w:r>
        <w:rPr>
          <w:sz w:val="18"/>
          <w:szCs w:val="18"/>
          <w:lang w:val="es-ES_tradnl"/>
        </w:rPr>
        <w:t>subsuelo</w:t>
      </w:r>
      <w:r>
        <w:rPr>
          <w:rFonts w:cs="Times New Roman"/>
          <w:sz w:val="18"/>
          <w:szCs w:val="18"/>
          <w:lang w:val="es-ES_tradnl"/>
        </w:rPr>
        <w:t>”</w:t>
      </w:r>
      <w:r>
        <w:rPr>
          <w:sz w:val="18"/>
          <w:szCs w:val="18"/>
          <w:lang w:val="es-ES_tradnl"/>
        </w:rPr>
        <w:t xml:space="preserve"> y </w:t>
      </w:r>
      <w:r>
        <w:rPr>
          <w:spacing w:val="-5"/>
          <w:sz w:val="18"/>
          <w:szCs w:val="18"/>
          <w:lang w:val="es-ES_tradnl"/>
        </w:rPr>
        <w:t xml:space="preserve">de la frase </w:t>
      </w:r>
      <w:r>
        <w:rPr>
          <w:rFonts w:cs="Times New Roman"/>
          <w:spacing w:val="-5"/>
          <w:sz w:val="18"/>
          <w:szCs w:val="18"/>
          <w:lang w:val="es-ES_tradnl"/>
        </w:rPr>
        <w:t>“</w:t>
      </w:r>
      <w:r>
        <w:rPr>
          <w:spacing w:val="-5"/>
          <w:sz w:val="18"/>
          <w:szCs w:val="18"/>
          <w:lang w:val="es-ES_tradnl"/>
        </w:rPr>
        <w:t>uso del espacio a</w:t>
      </w:r>
      <w:r>
        <w:rPr>
          <w:rFonts w:cs="Times New Roman"/>
          <w:spacing w:val="-5"/>
          <w:sz w:val="18"/>
          <w:szCs w:val="18"/>
          <w:lang w:val="es-ES_tradnl"/>
        </w:rPr>
        <w:t>é</w:t>
      </w:r>
      <w:r>
        <w:rPr>
          <w:spacing w:val="-5"/>
          <w:sz w:val="18"/>
          <w:szCs w:val="18"/>
          <w:lang w:val="es-ES_tradnl"/>
        </w:rPr>
        <w:t>reo</w:t>
      </w:r>
      <w:r>
        <w:rPr>
          <w:rFonts w:cs="Times New Roman"/>
          <w:spacing w:val="-5"/>
          <w:sz w:val="18"/>
          <w:szCs w:val="18"/>
          <w:lang w:val="es-ES_tradnl"/>
        </w:rPr>
        <w:t>”</w:t>
      </w:r>
      <w:r>
        <w:rPr>
          <w:spacing w:val="-5"/>
          <w:sz w:val="18"/>
          <w:szCs w:val="18"/>
          <w:lang w:val="es-ES_tradnl"/>
        </w:rPr>
        <w:t>; por tanto, el referido art</w:t>
      </w:r>
      <w:r>
        <w:rPr>
          <w:rFonts w:cs="Times New Roman"/>
          <w:spacing w:val="-5"/>
          <w:sz w:val="18"/>
          <w:szCs w:val="18"/>
          <w:lang w:val="es-ES_tradnl"/>
        </w:rPr>
        <w:t>í</w:t>
      </w:r>
      <w:r>
        <w:rPr>
          <w:spacing w:val="-5"/>
          <w:sz w:val="18"/>
          <w:szCs w:val="18"/>
          <w:lang w:val="es-ES_tradnl"/>
        </w:rPr>
        <w:t>culo constar</w:t>
      </w:r>
      <w:r>
        <w:rPr>
          <w:rFonts w:cs="Times New Roman"/>
          <w:spacing w:val="-5"/>
          <w:sz w:val="18"/>
          <w:szCs w:val="18"/>
          <w:lang w:val="es-ES_tradnl"/>
        </w:rPr>
        <w:t>á</w:t>
      </w:r>
      <w:r>
        <w:rPr>
          <w:spacing w:val="-5"/>
          <w:sz w:val="18"/>
          <w:szCs w:val="18"/>
          <w:lang w:val="es-ES_tradnl"/>
        </w:rPr>
        <w:t xml:space="preserve"> de la siguiente </w:t>
      </w:r>
      <w:r>
        <w:rPr>
          <w:sz w:val="18"/>
          <w:szCs w:val="18"/>
          <w:lang w:val="es-ES_tradnl"/>
        </w:rPr>
        <w:t>manera:</w:t>
      </w:r>
    </w:p>
    <w:p w14:paraId="4F67A902" w14:textId="77777777" w:rsidR="00591D54" w:rsidRDefault="00591D54">
      <w:pPr>
        <w:shd w:val="clear" w:color="auto" w:fill="FFFFFF"/>
        <w:spacing w:before="192"/>
        <w:ind w:left="1133"/>
      </w:pPr>
      <w:r>
        <w:rPr>
          <w:b/>
          <w:bCs/>
          <w:spacing w:val="-4"/>
          <w:sz w:val="18"/>
          <w:szCs w:val="18"/>
          <w:lang w:val="es-ES_tradnl"/>
        </w:rPr>
        <w:t xml:space="preserve">Art. 1.- Objeto y </w:t>
      </w:r>
      <w:r>
        <w:rPr>
          <w:rFonts w:cs="Times New Roman"/>
          <w:b/>
          <w:bCs/>
          <w:spacing w:val="-4"/>
          <w:sz w:val="18"/>
          <w:szCs w:val="18"/>
          <w:lang w:val="es-ES_tradnl"/>
        </w:rPr>
        <w:t>á</w:t>
      </w:r>
      <w:r>
        <w:rPr>
          <w:b/>
          <w:bCs/>
          <w:spacing w:val="-4"/>
          <w:sz w:val="18"/>
          <w:szCs w:val="18"/>
          <w:lang w:val="es-ES_tradnl"/>
        </w:rPr>
        <w:t>mbito de aplicaci</w:t>
      </w:r>
      <w:r>
        <w:rPr>
          <w:rFonts w:cs="Times New Roman"/>
          <w:b/>
          <w:bCs/>
          <w:spacing w:val="-4"/>
          <w:sz w:val="18"/>
          <w:szCs w:val="18"/>
          <w:lang w:val="es-ES_tradnl"/>
        </w:rPr>
        <w:t>ó</w:t>
      </w:r>
      <w:r>
        <w:rPr>
          <w:b/>
          <w:bCs/>
          <w:spacing w:val="-4"/>
          <w:sz w:val="18"/>
          <w:szCs w:val="18"/>
          <w:lang w:val="es-ES_tradnl"/>
        </w:rPr>
        <w:t>n.-</w:t>
      </w:r>
    </w:p>
    <w:p w14:paraId="4F67A903" w14:textId="77777777" w:rsidR="00591D54" w:rsidRDefault="00591D54">
      <w:pPr>
        <w:shd w:val="clear" w:color="auto" w:fill="FFFFFF"/>
        <w:spacing w:line="216" w:lineRule="exact"/>
        <w:ind w:left="1133"/>
        <w:jc w:val="both"/>
      </w:pPr>
      <w:r>
        <w:rPr>
          <w:spacing w:val="-6"/>
          <w:sz w:val="18"/>
          <w:szCs w:val="18"/>
          <w:lang w:val="es-ES_tradnl"/>
        </w:rPr>
        <w:t>Esta ordenanza, tiene por objeto regular, controlar y sancionar la implantaci</w:t>
      </w:r>
      <w:r>
        <w:rPr>
          <w:rFonts w:cs="Times New Roman"/>
          <w:spacing w:val="-6"/>
          <w:sz w:val="18"/>
          <w:szCs w:val="18"/>
          <w:lang w:val="es-ES_tradnl"/>
        </w:rPr>
        <w:t>ó</w:t>
      </w:r>
      <w:r>
        <w:rPr>
          <w:spacing w:val="-6"/>
          <w:sz w:val="18"/>
          <w:szCs w:val="18"/>
          <w:lang w:val="es-ES_tradnl"/>
        </w:rPr>
        <w:t xml:space="preserve">n de </w:t>
      </w:r>
      <w:r>
        <w:rPr>
          <w:spacing w:val="-9"/>
          <w:sz w:val="18"/>
          <w:szCs w:val="18"/>
          <w:lang w:val="es-ES_tradnl"/>
        </w:rPr>
        <w:t xml:space="preserve">estructuras fijas de soporte de antenas y su </w:t>
      </w:r>
      <w:r>
        <w:rPr>
          <w:spacing w:val="-6"/>
          <w:sz w:val="18"/>
          <w:szCs w:val="18"/>
          <w:lang w:val="es-ES_tradnl"/>
        </w:rPr>
        <w:t xml:space="preserve">infraestructura relacionada para el servicio </w:t>
      </w:r>
      <w:r>
        <w:rPr>
          <w:spacing w:val="-8"/>
          <w:sz w:val="18"/>
          <w:szCs w:val="18"/>
          <w:lang w:val="es-ES_tradnl"/>
        </w:rPr>
        <w:t>m</w:t>
      </w:r>
      <w:r>
        <w:rPr>
          <w:rFonts w:cs="Times New Roman"/>
          <w:spacing w:val="-8"/>
          <w:sz w:val="18"/>
          <w:szCs w:val="18"/>
          <w:lang w:val="es-ES_tradnl"/>
        </w:rPr>
        <w:t>ó</w:t>
      </w:r>
      <w:r>
        <w:rPr>
          <w:spacing w:val="-8"/>
          <w:sz w:val="18"/>
          <w:szCs w:val="18"/>
          <w:lang w:val="es-ES_tradnl"/>
        </w:rPr>
        <w:t xml:space="preserve">vil avanzado en el territorio del Gobierno </w:t>
      </w:r>
      <w:r>
        <w:rPr>
          <w:sz w:val="18"/>
          <w:szCs w:val="18"/>
          <w:lang w:val="es-ES_tradnl"/>
        </w:rPr>
        <w:t>Aut</w:t>
      </w:r>
      <w:r>
        <w:rPr>
          <w:rFonts w:cs="Times New Roman"/>
          <w:sz w:val="18"/>
          <w:szCs w:val="18"/>
          <w:lang w:val="es-ES_tradnl"/>
        </w:rPr>
        <w:t>ó</w:t>
      </w:r>
      <w:r>
        <w:rPr>
          <w:sz w:val="18"/>
          <w:szCs w:val="18"/>
          <w:lang w:val="es-ES_tradnl"/>
        </w:rPr>
        <w:t xml:space="preserve">nomo Descentralizado Municipal </w:t>
      </w:r>
      <w:r>
        <w:rPr>
          <w:spacing w:val="-4"/>
          <w:sz w:val="18"/>
          <w:szCs w:val="18"/>
          <w:lang w:val="es-ES_tradnl"/>
        </w:rPr>
        <w:t>del cant</w:t>
      </w:r>
      <w:r>
        <w:rPr>
          <w:rFonts w:cs="Times New Roman"/>
          <w:spacing w:val="-4"/>
          <w:sz w:val="18"/>
          <w:szCs w:val="18"/>
          <w:lang w:val="es-ES_tradnl"/>
        </w:rPr>
        <w:t>ó</w:t>
      </w:r>
      <w:r>
        <w:rPr>
          <w:spacing w:val="-4"/>
          <w:sz w:val="18"/>
          <w:szCs w:val="18"/>
          <w:lang w:val="es-ES_tradnl"/>
        </w:rPr>
        <w:t xml:space="preserve">n San Francisco de Puebloviejo, a fin de cumplir con las condiciones de </w:t>
      </w:r>
      <w:r>
        <w:rPr>
          <w:spacing w:val="-5"/>
          <w:sz w:val="18"/>
          <w:szCs w:val="18"/>
          <w:lang w:val="es-ES_tradnl"/>
        </w:rPr>
        <w:t>zonificaci</w:t>
      </w:r>
      <w:r>
        <w:rPr>
          <w:rFonts w:cs="Times New Roman"/>
          <w:spacing w:val="-5"/>
          <w:sz w:val="18"/>
          <w:szCs w:val="18"/>
          <w:lang w:val="es-ES_tradnl"/>
        </w:rPr>
        <w:t>ó</w:t>
      </w:r>
      <w:r>
        <w:rPr>
          <w:spacing w:val="-5"/>
          <w:sz w:val="18"/>
          <w:szCs w:val="18"/>
          <w:lang w:val="es-ES_tradnl"/>
        </w:rPr>
        <w:t>n, uso de suelo o v</w:t>
      </w:r>
      <w:r>
        <w:rPr>
          <w:rFonts w:cs="Times New Roman"/>
          <w:spacing w:val="-5"/>
          <w:sz w:val="18"/>
          <w:szCs w:val="18"/>
          <w:lang w:val="es-ES_tradnl"/>
        </w:rPr>
        <w:t>í</w:t>
      </w:r>
      <w:r>
        <w:rPr>
          <w:spacing w:val="-5"/>
          <w:sz w:val="18"/>
          <w:szCs w:val="18"/>
          <w:lang w:val="es-ES_tradnl"/>
        </w:rPr>
        <w:t>a p</w:t>
      </w:r>
      <w:r>
        <w:rPr>
          <w:rFonts w:cs="Times New Roman"/>
          <w:spacing w:val="-5"/>
          <w:sz w:val="18"/>
          <w:szCs w:val="18"/>
          <w:lang w:val="es-ES_tradnl"/>
        </w:rPr>
        <w:t>ú</w:t>
      </w:r>
      <w:r>
        <w:rPr>
          <w:spacing w:val="-5"/>
          <w:sz w:val="18"/>
          <w:szCs w:val="18"/>
          <w:lang w:val="es-ES_tradnl"/>
        </w:rPr>
        <w:t xml:space="preserve">blica, y </w:t>
      </w:r>
      <w:r>
        <w:rPr>
          <w:spacing w:val="-7"/>
          <w:sz w:val="18"/>
          <w:szCs w:val="18"/>
          <w:lang w:val="es-ES_tradnl"/>
        </w:rPr>
        <w:t>reducci</w:t>
      </w:r>
      <w:r>
        <w:rPr>
          <w:rFonts w:cs="Times New Roman"/>
          <w:spacing w:val="-7"/>
          <w:sz w:val="18"/>
          <w:szCs w:val="18"/>
          <w:lang w:val="es-ES_tradnl"/>
        </w:rPr>
        <w:t>ó</w:t>
      </w:r>
      <w:r>
        <w:rPr>
          <w:spacing w:val="-7"/>
          <w:sz w:val="18"/>
          <w:szCs w:val="18"/>
          <w:lang w:val="es-ES_tradnl"/>
        </w:rPr>
        <w:t xml:space="preserve">n del impacto ambiental, sujetos a </w:t>
      </w:r>
      <w:r>
        <w:rPr>
          <w:spacing w:val="-10"/>
          <w:sz w:val="18"/>
          <w:szCs w:val="18"/>
          <w:lang w:val="es-ES_tradnl"/>
        </w:rPr>
        <w:t xml:space="preserve">las determinaciones a las leyes, ordenanzas </w:t>
      </w:r>
      <w:r>
        <w:rPr>
          <w:sz w:val="18"/>
          <w:szCs w:val="18"/>
          <w:lang w:val="es-ES_tradnl"/>
        </w:rPr>
        <w:t>y dem</w:t>
      </w:r>
      <w:r>
        <w:rPr>
          <w:rFonts w:cs="Times New Roman"/>
          <w:sz w:val="18"/>
          <w:szCs w:val="18"/>
          <w:lang w:val="es-ES_tradnl"/>
        </w:rPr>
        <w:t>á</w:t>
      </w:r>
      <w:r>
        <w:rPr>
          <w:sz w:val="18"/>
          <w:szCs w:val="18"/>
          <w:lang w:val="es-ES_tradnl"/>
        </w:rPr>
        <w:t>s normativas vigentes.</w:t>
      </w:r>
    </w:p>
    <w:p w14:paraId="4F67A904" w14:textId="77777777" w:rsidR="00591D54" w:rsidRDefault="00591D54">
      <w:pPr>
        <w:shd w:val="clear" w:color="auto" w:fill="FFFFFF"/>
        <w:tabs>
          <w:tab w:val="left" w:pos="850"/>
        </w:tabs>
        <w:spacing w:before="197" w:line="216" w:lineRule="exact"/>
        <w:ind w:left="850" w:hanging="283"/>
        <w:jc w:val="both"/>
      </w:pPr>
      <w:r>
        <w:rPr>
          <w:spacing w:val="-9"/>
          <w:sz w:val="18"/>
          <w:szCs w:val="18"/>
          <w:lang w:val="es-ES_tradnl"/>
        </w:rPr>
        <w:t>2.2.</w:t>
      </w:r>
      <w:r>
        <w:rPr>
          <w:sz w:val="18"/>
          <w:szCs w:val="18"/>
          <w:lang w:val="es-ES_tradnl"/>
        </w:rPr>
        <w:tab/>
      </w:r>
      <w:r>
        <w:rPr>
          <w:spacing w:val="-1"/>
          <w:sz w:val="18"/>
          <w:szCs w:val="18"/>
          <w:lang w:val="es-ES_tradnl"/>
        </w:rPr>
        <w:t>En el art</w:t>
      </w:r>
      <w:r>
        <w:rPr>
          <w:rFonts w:cs="Times New Roman"/>
          <w:spacing w:val="-1"/>
          <w:sz w:val="18"/>
          <w:szCs w:val="18"/>
          <w:lang w:val="es-ES_tradnl"/>
        </w:rPr>
        <w:t>í</w:t>
      </w:r>
      <w:r>
        <w:rPr>
          <w:spacing w:val="-1"/>
          <w:sz w:val="18"/>
          <w:szCs w:val="18"/>
          <w:lang w:val="es-ES_tradnl"/>
        </w:rPr>
        <w:t>culo 3 primer inciso en la frase </w:t>
      </w:r>
      <w:r>
        <w:rPr>
          <w:rFonts w:cs="Times New Roman"/>
          <w:spacing w:val="-9"/>
          <w:sz w:val="18"/>
          <w:szCs w:val="18"/>
          <w:lang w:val="es-ES_tradnl"/>
        </w:rPr>
        <w:t>“</w:t>
      </w:r>
      <w:r>
        <w:rPr>
          <w:spacing w:val="-9"/>
          <w:sz w:val="18"/>
          <w:szCs w:val="18"/>
          <w:lang w:val="es-ES_tradnl"/>
        </w:rPr>
        <w:t>subsuelo y espacio a</w:t>
      </w:r>
      <w:r>
        <w:rPr>
          <w:rFonts w:cs="Times New Roman"/>
          <w:spacing w:val="-9"/>
          <w:sz w:val="18"/>
          <w:szCs w:val="18"/>
          <w:lang w:val="es-ES_tradnl"/>
        </w:rPr>
        <w:t>é</w:t>
      </w:r>
      <w:r>
        <w:rPr>
          <w:spacing w:val="-9"/>
          <w:sz w:val="18"/>
          <w:szCs w:val="18"/>
          <w:lang w:val="es-ES_tradnl"/>
        </w:rPr>
        <w:t>reo</w:t>
      </w:r>
      <w:r>
        <w:rPr>
          <w:rFonts w:cs="Times New Roman"/>
          <w:spacing w:val="-9"/>
          <w:sz w:val="18"/>
          <w:szCs w:val="18"/>
          <w:lang w:val="es-ES_tradnl"/>
        </w:rPr>
        <w:t>”</w:t>
      </w:r>
      <w:r>
        <w:rPr>
          <w:spacing w:val="-9"/>
          <w:sz w:val="18"/>
          <w:szCs w:val="18"/>
          <w:lang w:val="es-ES_tradnl"/>
        </w:rPr>
        <w:t xml:space="preserve"> en consecuencia, el </w:t>
      </w:r>
      <w:r>
        <w:rPr>
          <w:spacing w:val="-6"/>
          <w:sz w:val="18"/>
          <w:szCs w:val="18"/>
          <w:lang w:val="es-ES_tradnl"/>
        </w:rPr>
        <w:t>referido inciso constar</w:t>
      </w:r>
      <w:r>
        <w:rPr>
          <w:rFonts w:cs="Times New Roman"/>
          <w:spacing w:val="-6"/>
          <w:sz w:val="18"/>
          <w:szCs w:val="18"/>
          <w:lang w:val="es-ES_tradnl"/>
        </w:rPr>
        <w:t>á</w:t>
      </w:r>
      <w:r>
        <w:rPr>
          <w:spacing w:val="-6"/>
          <w:sz w:val="18"/>
          <w:szCs w:val="18"/>
          <w:lang w:val="es-ES_tradnl"/>
        </w:rPr>
        <w:t xml:space="preserve"> de la siguiente forma:</w:t>
      </w:r>
    </w:p>
    <w:p w14:paraId="4F67A905" w14:textId="77777777" w:rsidR="00591D54" w:rsidRDefault="00591D54">
      <w:pPr>
        <w:shd w:val="clear" w:color="auto" w:fill="FFFFFF"/>
        <w:spacing w:before="192" w:line="216" w:lineRule="exact"/>
        <w:ind w:left="1133"/>
        <w:jc w:val="both"/>
      </w:pPr>
      <w:r>
        <w:rPr>
          <w:b/>
          <w:bCs/>
          <w:spacing w:val="-6"/>
          <w:sz w:val="18"/>
          <w:szCs w:val="18"/>
          <w:lang w:val="es-ES_tradnl"/>
        </w:rPr>
        <w:t xml:space="preserve">Art. 3.- Condiciones generales de </w:t>
      </w:r>
      <w:r>
        <w:rPr>
          <w:b/>
          <w:bCs/>
          <w:spacing w:val="-7"/>
          <w:sz w:val="18"/>
          <w:szCs w:val="18"/>
          <w:lang w:val="es-ES_tradnl"/>
        </w:rPr>
        <w:t>implantaci</w:t>
      </w:r>
      <w:r>
        <w:rPr>
          <w:rFonts w:cs="Times New Roman"/>
          <w:b/>
          <w:bCs/>
          <w:spacing w:val="-7"/>
          <w:sz w:val="18"/>
          <w:szCs w:val="18"/>
          <w:lang w:val="es-ES_tradnl"/>
        </w:rPr>
        <w:t>ó</w:t>
      </w:r>
      <w:r>
        <w:rPr>
          <w:b/>
          <w:bCs/>
          <w:spacing w:val="-7"/>
          <w:sz w:val="18"/>
          <w:szCs w:val="18"/>
          <w:lang w:val="es-ES_tradnl"/>
        </w:rPr>
        <w:t xml:space="preserve">n de estructuras fijas de </w:t>
      </w:r>
      <w:r>
        <w:rPr>
          <w:b/>
          <w:bCs/>
          <w:spacing w:val="-8"/>
          <w:sz w:val="18"/>
          <w:szCs w:val="18"/>
          <w:lang w:val="es-ES_tradnl"/>
        </w:rPr>
        <w:t xml:space="preserve">soportes de antenas.- </w:t>
      </w:r>
      <w:r>
        <w:rPr>
          <w:spacing w:val="-8"/>
          <w:sz w:val="18"/>
          <w:szCs w:val="18"/>
          <w:lang w:val="es-ES_tradnl"/>
        </w:rPr>
        <w:t>La implantaci</w:t>
      </w:r>
      <w:r>
        <w:rPr>
          <w:rFonts w:cs="Times New Roman"/>
          <w:spacing w:val="-8"/>
          <w:sz w:val="18"/>
          <w:szCs w:val="18"/>
          <w:lang w:val="es-ES_tradnl"/>
        </w:rPr>
        <w:t>ó</w:t>
      </w:r>
      <w:r>
        <w:rPr>
          <w:spacing w:val="-8"/>
          <w:sz w:val="18"/>
          <w:szCs w:val="18"/>
          <w:lang w:val="es-ES_tradnl"/>
        </w:rPr>
        <w:t xml:space="preserve">n de </w:t>
      </w:r>
      <w:r>
        <w:rPr>
          <w:spacing w:val="-11"/>
          <w:sz w:val="18"/>
          <w:szCs w:val="18"/>
          <w:lang w:val="es-ES_tradnl"/>
        </w:rPr>
        <w:t>estructuras fijas de soportes de antenas para</w:t>
      </w:r>
    </w:p>
    <w:p w14:paraId="4F67A906" w14:textId="77777777" w:rsidR="00591D54" w:rsidRDefault="00591D54">
      <w:pPr>
        <w:shd w:val="clear" w:color="auto" w:fill="FFFFFF"/>
        <w:spacing w:before="192" w:line="216" w:lineRule="exact"/>
        <w:ind w:left="1133"/>
        <w:jc w:val="both"/>
        <w:sectPr w:rsidR="00591D54">
          <w:type w:val="continuous"/>
          <w:pgSz w:w="11909" w:h="16834"/>
          <w:pgMar w:top="1373" w:right="1309" w:bottom="360" w:left="1308" w:header="720" w:footer="720" w:gutter="0"/>
          <w:cols w:num="2" w:space="720" w:equalWidth="0">
            <w:col w:w="4305" w:space="682"/>
            <w:col w:w="4305"/>
          </w:cols>
          <w:noEndnote/>
        </w:sectPr>
      </w:pPr>
    </w:p>
    <w:p w14:paraId="4F67A907" w14:textId="77777777" w:rsidR="00591D54" w:rsidRDefault="00591D54">
      <w:pPr>
        <w:shd w:val="clear" w:color="auto" w:fill="FFFFFF"/>
        <w:tabs>
          <w:tab w:val="left" w:pos="595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- 69</w:t>
      </w:r>
    </w:p>
    <w:p w14:paraId="4F67A908" w14:textId="77777777" w:rsidR="00591D54" w:rsidRDefault="00591D54">
      <w:pPr>
        <w:shd w:val="clear" w:color="auto" w:fill="FFFFFF"/>
        <w:tabs>
          <w:tab w:val="left" w:pos="5952"/>
        </w:tabs>
        <w:spacing w:after="235"/>
        <w:ind w:left="5"/>
        <w:sectPr w:rsidR="00591D54">
          <w:pgSz w:w="11909" w:h="16834"/>
          <w:pgMar w:top="1356" w:right="1309" w:bottom="360" w:left="1308" w:header="720" w:footer="720" w:gutter="0"/>
          <w:cols w:space="60"/>
          <w:noEndnote/>
        </w:sectPr>
      </w:pPr>
    </w:p>
    <w:p w14:paraId="4F67A909" w14:textId="77777777" w:rsidR="00591D54" w:rsidRDefault="00591D54">
      <w:pPr>
        <w:shd w:val="clear" w:color="auto" w:fill="FFFFFF"/>
        <w:spacing w:line="226" w:lineRule="exact"/>
        <w:ind w:left="1133"/>
        <w:jc w:val="both"/>
      </w:pPr>
      <w:r>
        <w:rPr>
          <w:spacing w:val="-5"/>
          <w:sz w:val="18"/>
          <w:szCs w:val="18"/>
          <w:lang w:val="es-ES_tradnl"/>
        </w:rPr>
        <w:t>la prestaci</w:t>
      </w:r>
      <w:r>
        <w:rPr>
          <w:rFonts w:cs="Times New Roman"/>
          <w:spacing w:val="-5"/>
          <w:sz w:val="18"/>
          <w:szCs w:val="18"/>
          <w:lang w:val="es-ES_tradnl"/>
        </w:rPr>
        <w:t>ó</w:t>
      </w:r>
      <w:r>
        <w:rPr>
          <w:spacing w:val="-5"/>
          <w:sz w:val="18"/>
          <w:szCs w:val="18"/>
          <w:lang w:val="es-ES_tradnl"/>
        </w:rPr>
        <w:t>n de servicio m</w:t>
      </w:r>
      <w:r>
        <w:rPr>
          <w:rFonts w:cs="Times New Roman"/>
          <w:spacing w:val="-5"/>
          <w:sz w:val="18"/>
          <w:szCs w:val="18"/>
          <w:lang w:val="es-ES_tradnl"/>
        </w:rPr>
        <w:t>ó</w:t>
      </w:r>
      <w:r>
        <w:rPr>
          <w:spacing w:val="-5"/>
          <w:sz w:val="18"/>
          <w:szCs w:val="18"/>
          <w:lang w:val="es-ES_tradnl"/>
        </w:rPr>
        <w:t xml:space="preserve">vil avanzado, </w:t>
      </w:r>
      <w:r>
        <w:rPr>
          <w:spacing w:val="-3"/>
          <w:sz w:val="18"/>
          <w:szCs w:val="18"/>
          <w:lang w:val="es-ES_tradnl"/>
        </w:rPr>
        <w:t>cumplir</w:t>
      </w:r>
      <w:r>
        <w:rPr>
          <w:rFonts w:cs="Times New Roman"/>
          <w:spacing w:val="-3"/>
          <w:sz w:val="18"/>
          <w:szCs w:val="18"/>
          <w:lang w:val="es-ES_tradnl"/>
        </w:rPr>
        <w:t>á</w:t>
      </w:r>
      <w:r>
        <w:rPr>
          <w:spacing w:val="-3"/>
          <w:sz w:val="18"/>
          <w:szCs w:val="18"/>
          <w:lang w:val="es-ES_tradnl"/>
        </w:rPr>
        <w:t xml:space="preserve"> con el servicio de zonificaci</w:t>
      </w:r>
      <w:r>
        <w:rPr>
          <w:rFonts w:cs="Times New Roman"/>
          <w:spacing w:val="-3"/>
          <w:sz w:val="18"/>
          <w:szCs w:val="18"/>
          <w:lang w:val="es-ES_tradnl"/>
        </w:rPr>
        <w:t>ó</w:t>
      </w:r>
      <w:r>
        <w:rPr>
          <w:spacing w:val="-3"/>
          <w:sz w:val="18"/>
          <w:szCs w:val="18"/>
          <w:lang w:val="es-ES_tradnl"/>
        </w:rPr>
        <w:t xml:space="preserve">n, </w:t>
      </w:r>
      <w:r>
        <w:rPr>
          <w:spacing w:val="-8"/>
          <w:sz w:val="18"/>
          <w:szCs w:val="18"/>
          <w:lang w:val="es-ES_tradnl"/>
        </w:rPr>
        <w:t>uso y ocupaci</w:t>
      </w:r>
      <w:r>
        <w:rPr>
          <w:rFonts w:cs="Times New Roman"/>
          <w:spacing w:val="-8"/>
          <w:sz w:val="18"/>
          <w:szCs w:val="18"/>
          <w:lang w:val="es-ES_tradnl"/>
        </w:rPr>
        <w:t>ó</w:t>
      </w:r>
      <w:r>
        <w:rPr>
          <w:spacing w:val="-8"/>
          <w:sz w:val="18"/>
          <w:szCs w:val="18"/>
          <w:lang w:val="es-ES_tradnl"/>
        </w:rPr>
        <w:t xml:space="preserve">n del suelo y sus relaciones </w:t>
      </w:r>
      <w:r>
        <w:rPr>
          <w:spacing w:val="-6"/>
          <w:sz w:val="18"/>
          <w:szCs w:val="18"/>
          <w:lang w:val="es-ES_tradnl"/>
        </w:rPr>
        <w:t xml:space="preserve">de compatibilidad con la ordenanza que </w:t>
      </w:r>
      <w:r>
        <w:rPr>
          <w:spacing w:val="-7"/>
          <w:sz w:val="18"/>
          <w:szCs w:val="18"/>
          <w:lang w:val="es-ES_tradnl"/>
        </w:rPr>
        <w:t>reglamenta el uso del suelo, as</w:t>
      </w:r>
      <w:r>
        <w:rPr>
          <w:rFonts w:cs="Times New Roman"/>
          <w:spacing w:val="-7"/>
          <w:sz w:val="18"/>
          <w:szCs w:val="18"/>
          <w:lang w:val="es-ES_tradnl"/>
        </w:rPr>
        <w:t>í</w:t>
      </w:r>
      <w:r>
        <w:rPr>
          <w:spacing w:val="-7"/>
          <w:sz w:val="18"/>
          <w:szCs w:val="18"/>
          <w:lang w:val="es-ES_tradnl"/>
        </w:rPr>
        <w:t xml:space="preserve"> como con las condiciones generales: [</w:t>
      </w:r>
      <w:r>
        <w:rPr>
          <w:rFonts w:cs="Times New Roman"/>
          <w:spacing w:val="-7"/>
          <w:sz w:val="18"/>
          <w:szCs w:val="18"/>
          <w:lang w:val="es-ES_tradnl"/>
        </w:rPr>
        <w:t>…</w:t>
      </w:r>
      <w:r>
        <w:rPr>
          <w:spacing w:val="-7"/>
          <w:sz w:val="18"/>
          <w:szCs w:val="18"/>
          <w:lang w:val="es-ES_tradnl"/>
        </w:rPr>
        <w:t>].</w:t>
      </w:r>
    </w:p>
    <w:p w14:paraId="4F67A90A" w14:textId="77777777" w:rsidR="00591D54" w:rsidRDefault="00591D54" w:rsidP="00251195">
      <w:pPr>
        <w:numPr>
          <w:ilvl w:val="0"/>
          <w:numId w:val="44"/>
        </w:numPr>
        <w:shd w:val="clear" w:color="auto" w:fill="FFFFFF"/>
        <w:tabs>
          <w:tab w:val="left" w:pos="850"/>
        </w:tabs>
        <w:spacing w:before="202" w:line="230" w:lineRule="exact"/>
        <w:ind w:left="850" w:right="5" w:hanging="283"/>
        <w:jc w:val="both"/>
        <w:rPr>
          <w:spacing w:val="-9"/>
          <w:sz w:val="18"/>
          <w:szCs w:val="18"/>
          <w:lang w:val="es-ES_tradnl"/>
        </w:rPr>
      </w:pPr>
      <w:r>
        <w:rPr>
          <w:spacing w:val="-9"/>
          <w:sz w:val="18"/>
          <w:szCs w:val="18"/>
          <w:lang w:val="es-ES_tradnl"/>
        </w:rPr>
        <w:t>En el art</w:t>
      </w:r>
      <w:r>
        <w:rPr>
          <w:rFonts w:cs="Times New Roman"/>
          <w:spacing w:val="-9"/>
          <w:sz w:val="18"/>
          <w:szCs w:val="18"/>
          <w:lang w:val="es-ES_tradnl"/>
        </w:rPr>
        <w:t>í</w:t>
      </w:r>
      <w:r>
        <w:rPr>
          <w:spacing w:val="-9"/>
          <w:sz w:val="18"/>
          <w:szCs w:val="18"/>
          <w:lang w:val="es-ES_tradnl"/>
        </w:rPr>
        <w:t xml:space="preserve">culo 4 literal </w:t>
      </w:r>
      <w:r>
        <w:rPr>
          <w:b/>
          <w:bCs/>
          <w:spacing w:val="-9"/>
          <w:sz w:val="18"/>
          <w:szCs w:val="18"/>
          <w:lang w:val="es-ES_tradnl"/>
        </w:rPr>
        <w:t>a</w:t>
      </w:r>
      <w:r>
        <w:rPr>
          <w:spacing w:val="-9"/>
          <w:sz w:val="18"/>
          <w:szCs w:val="18"/>
          <w:lang w:val="es-ES_tradnl"/>
        </w:rPr>
        <w:t xml:space="preserve">, la frase </w:t>
      </w:r>
      <w:r>
        <w:rPr>
          <w:rFonts w:cs="Times New Roman"/>
          <w:spacing w:val="-9"/>
          <w:sz w:val="18"/>
          <w:szCs w:val="18"/>
          <w:lang w:val="es-ES_tradnl"/>
        </w:rPr>
        <w:t>“</w:t>
      </w:r>
      <w:r>
        <w:rPr>
          <w:spacing w:val="-9"/>
          <w:sz w:val="18"/>
          <w:szCs w:val="18"/>
          <w:lang w:val="es-ES_tradnl"/>
        </w:rPr>
        <w:t xml:space="preserve">para el espacio </w:t>
      </w:r>
      <w:r>
        <w:rPr>
          <w:sz w:val="18"/>
          <w:szCs w:val="18"/>
          <w:lang w:val="es-ES_tradnl"/>
        </w:rPr>
        <w:t>a</w:t>
      </w:r>
      <w:r>
        <w:rPr>
          <w:rFonts w:cs="Times New Roman"/>
          <w:sz w:val="18"/>
          <w:szCs w:val="18"/>
          <w:lang w:val="es-ES_tradnl"/>
        </w:rPr>
        <w:t>é</w:t>
      </w:r>
      <w:r>
        <w:rPr>
          <w:sz w:val="18"/>
          <w:szCs w:val="18"/>
          <w:lang w:val="es-ES_tradnl"/>
        </w:rPr>
        <w:t>reo</w:t>
      </w:r>
      <w:r>
        <w:rPr>
          <w:rFonts w:cs="Times New Roman"/>
          <w:sz w:val="18"/>
          <w:szCs w:val="18"/>
          <w:lang w:val="es-ES_tradnl"/>
        </w:rPr>
        <w:t>”</w:t>
      </w:r>
      <w:r>
        <w:rPr>
          <w:sz w:val="18"/>
          <w:szCs w:val="18"/>
          <w:lang w:val="es-ES_tradnl"/>
        </w:rPr>
        <w:t>.</w:t>
      </w:r>
    </w:p>
    <w:p w14:paraId="4F67A90B" w14:textId="77777777" w:rsidR="00591D54" w:rsidRDefault="00591D54" w:rsidP="00251195">
      <w:pPr>
        <w:numPr>
          <w:ilvl w:val="0"/>
          <w:numId w:val="44"/>
        </w:numPr>
        <w:shd w:val="clear" w:color="auto" w:fill="FFFFFF"/>
        <w:tabs>
          <w:tab w:val="left" w:pos="850"/>
        </w:tabs>
        <w:spacing w:before="206" w:line="230" w:lineRule="exact"/>
        <w:ind w:left="850" w:hanging="283"/>
        <w:jc w:val="both"/>
        <w:rPr>
          <w:spacing w:val="-9"/>
          <w:sz w:val="18"/>
          <w:szCs w:val="18"/>
          <w:lang w:val="es-ES_tradnl"/>
        </w:rPr>
      </w:pPr>
      <w:r>
        <w:rPr>
          <w:spacing w:val="-4"/>
          <w:sz w:val="18"/>
          <w:szCs w:val="18"/>
          <w:lang w:val="es-ES_tradnl"/>
        </w:rPr>
        <w:t xml:space="preserve">La inconstitucionalidad por el fondo de los </w:t>
      </w:r>
      <w:r>
        <w:rPr>
          <w:sz w:val="18"/>
          <w:szCs w:val="18"/>
          <w:lang w:val="es-ES_tradnl"/>
        </w:rPr>
        <w:t>art</w:t>
      </w:r>
      <w:r>
        <w:rPr>
          <w:rFonts w:cs="Times New Roman"/>
          <w:sz w:val="18"/>
          <w:szCs w:val="18"/>
          <w:lang w:val="es-ES_tradnl"/>
        </w:rPr>
        <w:t>í</w:t>
      </w:r>
      <w:r>
        <w:rPr>
          <w:sz w:val="18"/>
          <w:szCs w:val="18"/>
          <w:lang w:val="es-ES_tradnl"/>
        </w:rPr>
        <w:t>culos 2, 18.</w:t>
      </w:r>
    </w:p>
    <w:p w14:paraId="4F67A90C" w14:textId="77777777" w:rsidR="00591D54" w:rsidRDefault="00591D54" w:rsidP="00251195">
      <w:pPr>
        <w:numPr>
          <w:ilvl w:val="0"/>
          <w:numId w:val="44"/>
        </w:numPr>
        <w:shd w:val="clear" w:color="auto" w:fill="FFFFFF"/>
        <w:tabs>
          <w:tab w:val="left" w:pos="850"/>
        </w:tabs>
        <w:spacing w:before="202" w:line="230" w:lineRule="exact"/>
        <w:ind w:left="850" w:right="5" w:hanging="283"/>
        <w:jc w:val="both"/>
        <w:rPr>
          <w:spacing w:val="-9"/>
          <w:sz w:val="18"/>
          <w:szCs w:val="18"/>
          <w:lang w:val="es-ES_tradnl"/>
        </w:rPr>
      </w:pPr>
      <w:r>
        <w:rPr>
          <w:spacing w:val="-5"/>
          <w:sz w:val="18"/>
          <w:szCs w:val="18"/>
          <w:lang w:val="es-ES_tradnl"/>
        </w:rPr>
        <w:t>En el art</w:t>
      </w:r>
      <w:r>
        <w:rPr>
          <w:rFonts w:cs="Times New Roman"/>
          <w:spacing w:val="-5"/>
          <w:sz w:val="18"/>
          <w:szCs w:val="18"/>
          <w:lang w:val="es-ES_tradnl"/>
        </w:rPr>
        <w:t>í</w:t>
      </w:r>
      <w:r>
        <w:rPr>
          <w:spacing w:val="-5"/>
          <w:sz w:val="18"/>
          <w:szCs w:val="18"/>
          <w:lang w:val="es-ES_tradnl"/>
        </w:rPr>
        <w:t xml:space="preserve">culo 21 numeral 5, declarar la </w:t>
      </w:r>
      <w:r>
        <w:rPr>
          <w:spacing w:val="-6"/>
          <w:sz w:val="18"/>
          <w:szCs w:val="18"/>
          <w:lang w:val="es-ES_tradnl"/>
        </w:rPr>
        <w:t xml:space="preserve">inconstitucionalidad de la palabra </w:t>
      </w:r>
      <w:r>
        <w:rPr>
          <w:rFonts w:cs="Times New Roman"/>
          <w:spacing w:val="-6"/>
          <w:sz w:val="18"/>
          <w:szCs w:val="18"/>
          <w:lang w:val="es-ES_tradnl"/>
        </w:rPr>
        <w:t>“</w:t>
      </w:r>
      <w:r>
        <w:rPr>
          <w:spacing w:val="-6"/>
          <w:sz w:val="18"/>
          <w:szCs w:val="18"/>
          <w:lang w:val="es-ES_tradnl"/>
        </w:rPr>
        <w:t>subsuelo</w:t>
      </w:r>
      <w:r>
        <w:rPr>
          <w:rFonts w:cs="Times New Roman"/>
          <w:spacing w:val="-6"/>
          <w:sz w:val="18"/>
          <w:szCs w:val="18"/>
          <w:lang w:val="es-ES_tradnl"/>
        </w:rPr>
        <w:t>”</w:t>
      </w:r>
      <w:r>
        <w:rPr>
          <w:spacing w:val="-6"/>
          <w:sz w:val="18"/>
          <w:szCs w:val="18"/>
          <w:lang w:val="es-ES_tradnl"/>
        </w:rPr>
        <w:t xml:space="preserve"> y </w:t>
      </w:r>
      <w:r>
        <w:rPr>
          <w:sz w:val="18"/>
          <w:szCs w:val="18"/>
          <w:lang w:val="es-ES_tradnl"/>
        </w:rPr>
        <w:t xml:space="preserve">de la frase </w:t>
      </w:r>
      <w:r>
        <w:rPr>
          <w:rFonts w:cs="Times New Roman"/>
          <w:sz w:val="18"/>
          <w:szCs w:val="18"/>
          <w:lang w:val="es-ES_tradnl"/>
        </w:rPr>
        <w:t>“</w:t>
      </w:r>
      <w:r>
        <w:rPr>
          <w:sz w:val="18"/>
          <w:szCs w:val="18"/>
          <w:lang w:val="es-ES_tradnl"/>
        </w:rPr>
        <w:t>y espacio a</w:t>
      </w:r>
      <w:r>
        <w:rPr>
          <w:rFonts w:cs="Times New Roman"/>
          <w:sz w:val="18"/>
          <w:szCs w:val="18"/>
          <w:lang w:val="es-ES_tradnl"/>
        </w:rPr>
        <w:t>é</w:t>
      </w:r>
      <w:r>
        <w:rPr>
          <w:sz w:val="18"/>
          <w:szCs w:val="18"/>
          <w:lang w:val="es-ES_tradnl"/>
        </w:rPr>
        <w:t>reo</w:t>
      </w:r>
      <w:r>
        <w:rPr>
          <w:rFonts w:cs="Times New Roman"/>
          <w:sz w:val="18"/>
          <w:szCs w:val="18"/>
          <w:lang w:val="es-ES_tradnl"/>
        </w:rPr>
        <w:t>”</w:t>
      </w:r>
      <w:r>
        <w:rPr>
          <w:sz w:val="18"/>
          <w:szCs w:val="18"/>
          <w:lang w:val="es-ES_tradnl"/>
        </w:rPr>
        <w:t>.</w:t>
      </w:r>
    </w:p>
    <w:p w14:paraId="4F67A90D" w14:textId="77777777" w:rsidR="00591D54" w:rsidRDefault="00591D54">
      <w:pPr>
        <w:shd w:val="clear" w:color="auto" w:fill="FFFFFF"/>
        <w:tabs>
          <w:tab w:val="left" w:pos="566"/>
        </w:tabs>
        <w:spacing w:before="206" w:line="226" w:lineRule="exact"/>
        <w:ind w:left="566" w:right="5" w:hanging="283"/>
        <w:jc w:val="both"/>
      </w:pPr>
      <w:r>
        <w:rPr>
          <w:spacing w:val="-11"/>
          <w:sz w:val="18"/>
          <w:szCs w:val="18"/>
          <w:lang w:val="es-ES_tradnl"/>
        </w:rPr>
        <w:t>3.</w:t>
      </w:r>
      <w:r>
        <w:rPr>
          <w:sz w:val="18"/>
          <w:szCs w:val="18"/>
          <w:lang w:val="es-ES_tradnl"/>
        </w:rPr>
        <w:tab/>
      </w:r>
      <w:r>
        <w:rPr>
          <w:spacing w:val="-10"/>
          <w:sz w:val="18"/>
          <w:szCs w:val="18"/>
          <w:lang w:val="es-ES_tradnl"/>
        </w:rPr>
        <w:t>Se conmina al Gobierno Aut</w:t>
      </w:r>
      <w:r>
        <w:rPr>
          <w:rFonts w:cs="Times New Roman"/>
          <w:spacing w:val="-10"/>
          <w:sz w:val="18"/>
          <w:szCs w:val="18"/>
          <w:lang w:val="es-ES_tradnl"/>
        </w:rPr>
        <w:t>ó</w:t>
      </w:r>
      <w:r>
        <w:rPr>
          <w:spacing w:val="-10"/>
          <w:sz w:val="18"/>
          <w:szCs w:val="18"/>
          <w:lang w:val="es-ES_tradnl"/>
        </w:rPr>
        <w:t>nomo Descentralizado </w:t>
      </w:r>
      <w:r>
        <w:rPr>
          <w:spacing w:val="-11"/>
          <w:sz w:val="18"/>
          <w:szCs w:val="18"/>
          <w:lang w:val="es-ES_tradnl"/>
        </w:rPr>
        <w:t>Municipal del cant</w:t>
      </w:r>
      <w:r>
        <w:rPr>
          <w:rFonts w:cs="Times New Roman"/>
          <w:spacing w:val="-11"/>
          <w:sz w:val="18"/>
          <w:szCs w:val="18"/>
          <w:lang w:val="es-ES_tradnl"/>
        </w:rPr>
        <w:t>ó</w:t>
      </w:r>
      <w:r>
        <w:rPr>
          <w:spacing w:val="-11"/>
          <w:sz w:val="18"/>
          <w:szCs w:val="18"/>
          <w:lang w:val="es-ES_tradnl"/>
        </w:rPr>
        <w:t>n San Francisco de Puebloviejo a </w:t>
      </w:r>
      <w:r>
        <w:rPr>
          <w:spacing w:val="-13"/>
          <w:sz w:val="18"/>
          <w:szCs w:val="18"/>
          <w:lang w:val="es-ES_tradnl"/>
        </w:rPr>
        <w:t>que en el marco de sus competencias constitucionales </w:t>
      </w:r>
      <w:r>
        <w:rPr>
          <w:spacing w:val="-7"/>
          <w:sz w:val="18"/>
          <w:szCs w:val="18"/>
          <w:lang w:val="es-ES_tradnl"/>
        </w:rPr>
        <w:t>y dentro de un plazo razonable, adecue las tarifas </w:t>
      </w:r>
      <w:r>
        <w:rPr>
          <w:spacing w:val="-8"/>
          <w:sz w:val="18"/>
          <w:szCs w:val="18"/>
          <w:lang w:val="es-ES_tradnl"/>
        </w:rPr>
        <w:t>por el cobro de tasas en la ocupaci</w:t>
      </w:r>
      <w:r>
        <w:rPr>
          <w:rFonts w:cs="Times New Roman"/>
          <w:spacing w:val="-8"/>
          <w:sz w:val="18"/>
          <w:szCs w:val="18"/>
          <w:lang w:val="es-ES_tradnl"/>
        </w:rPr>
        <w:t>ó</w:t>
      </w:r>
      <w:r>
        <w:rPr>
          <w:spacing w:val="-8"/>
          <w:sz w:val="18"/>
          <w:szCs w:val="18"/>
          <w:lang w:val="es-ES_tradnl"/>
        </w:rPr>
        <w:t>n de espacio </w:t>
      </w:r>
      <w:r>
        <w:rPr>
          <w:spacing w:val="-7"/>
          <w:sz w:val="18"/>
          <w:szCs w:val="18"/>
          <w:lang w:val="es-ES_tradnl"/>
        </w:rPr>
        <w:t>p</w:t>
      </w:r>
      <w:r>
        <w:rPr>
          <w:rFonts w:cs="Times New Roman"/>
          <w:spacing w:val="-7"/>
          <w:sz w:val="18"/>
          <w:szCs w:val="18"/>
          <w:lang w:val="es-ES_tradnl"/>
        </w:rPr>
        <w:t>ú</w:t>
      </w:r>
      <w:r>
        <w:rPr>
          <w:spacing w:val="-7"/>
          <w:sz w:val="18"/>
          <w:szCs w:val="18"/>
          <w:lang w:val="es-ES_tradnl"/>
        </w:rPr>
        <w:t>blico, a los principios constitucionales tributarios previstos en el art</w:t>
      </w:r>
      <w:r>
        <w:rPr>
          <w:rFonts w:cs="Times New Roman"/>
          <w:spacing w:val="-7"/>
          <w:sz w:val="18"/>
          <w:szCs w:val="18"/>
          <w:lang w:val="es-ES_tradnl"/>
        </w:rPr>
        <w:t>í</w:t>
      </w:r>
      <w:r>
        <w:rPr>
          <w:spacing w:val="-7"/>
          <w:sz w:val="18"/>
          <w:szCs w:val="18"/>
          <w:lang w:val="es-ES_tradnl"/>
        </w:rPr>
        <w:t>culo 300 de la Constituci</w:t>
      </w:r>
      <w:r>
        <w:rPr>
          <w:rFonts w:cs="Times New Roman"/>
          <w:spacing w:val="-7"/>
          <w:sz w:val="18"/>
          <w:szCs w:val="18"/>
          <w:lang w:val="es-ES_tradnl"/>
        </w:rPr>
        <w:t>ó</w:t>
      </w:r>
      <w:r>
        <w:rPr>
          <w:spacing w:val="-7"/>
          <w:sz w:val="18"/>
          <w:szCs w:val="18"/>
          <w:lang w:val="es-ES_tradnl"/>
        </w:rPr>
        <w:t>n de la </w:t>
      </w:r>
      <w:r>
        <w:rPr>
          <w:spacing w:val="-10"/>
          <w:sz w:val="18"/>
          <w:szCs w:val="18"/>
          <w:lang w:val="es-ES_tradnl"/>
        </w:rPr>
        <w:t>Rep</w:t>
      </w:r>
      <w:r>
        <w:rPr>
          <w:rFonts w:cs="Times New Roman"/>
          <w:spacing w:val="-10"/>
          <w:sz w:val="18"/>
          <w:szCs w:val="18"/>
          <w:lang w:val="es-ES_tradnl"/>
        </w:rPr>
        <w:t>ú</w:t>
      </w:r>
      <w:r>
        <w:rPr>
          <w:spacing w:val="-10"/>
          <w:sz w:val="18"/>
          <w:szCs w:val="18"/>
          <w:lang w:val="es-ES_tradnl"/>
        </w:rPr>
        <w:t>blica, tomando en consideraci</w:t>
      </w:r>
      <w:r>
        <w:rPr>
          <w:rFonts w:cs="Times New Roman"/>
          <w:spacing w:val="-10"/>
          <w:sz w:val="18"/>
          <w:szCs w:val="18"/>
          <w:lang w:val="es-ES_tradnl"/>
        </w:rPr>
        <w:t>ó</w:t>
      </w:r>
      <w:r>
        <w:rPr>
          <w:spacing w:val="-10"/>
          <w:sz w:val="18"/>
          <w:szCs w:val="18"/>
          <w:lang w:val="es-ES_tradnl"/>
        </w:rPr>
        <w:t>n, asimismo, las </w:t>
      </w:r>
      <w:r>
        <w:rPr>
          <w:spacing w:val="-6"/>
          <w:sz w:val="18"/>
          <w:szCs w:val="18"/>
          <w:lang w:val="es-ES_tradnl"/>
        </w:rPr>
        <w:t>declaratorias de inconstitucionalidad establecidas dentro de las sentencias Nros. 007-15-SIN-CC y </w:t>
      </w:r>
      <w:r>
        <w:rPr>
          <w:spacing w:val="-7"/>
          <w:sz w:val="18"/>
          <w:szCs w:val="18"/>
          <w:lang w:val="es-ES_tradnl"/>
        </w:rPr>
        <w:t>008-15-SIN-CC, dictadas el 31 de marzo de 2015, </w:t>
      </w:r>
      <w:r>
        <w:rPr>
          <w:spacing w:val="-9"/>
          <w:sz w:val="18"/>
          <w:szCs w:val="18"/>
          <w:lang w:val="es-ES_tradnl"/>
        </w:rPr>
        <w:t>de la sentencia N.</w:t>
      </w:r>
      <w:r>
        <w:rPr>
          <w:rFonts w:cs="Times New Roman"/>
          <w:spacing w:val="-9"/>
          <w:sz w:val="18"/>
          <w:szCs w:val="18"/>
          <w:lang w:val="es-ES_tradnl"/>
        </w:rPr>
        <w:t>º</w:t>
      </w:r>
      <w:r>
        <w:rPr>
          <w:spacing w:val="-9"/>
          <w:sz w:val="18"/>
          <w:szCs w:val="18"/>
          <w:lang w:val="es-ES_tradnl"/>
        </w:rPr>
        <w:t xml:space="preserve"> 016-15-SIN-CC dictada el 13 de mayo de 2015 y las sentencias N.</w:t>
      </w:r>
      <w:r>
        <w:rPr>
          <w:rFonts w:cs="Times New Roman"/>
          <w:spacing w:val="-9"/>
          <w:sz w:val="18"/>
          <w:szCs w:val="18"/>
          <w:lang w:val="es-ES_tradnl"/>
        </w:rPr>
        <w:t>º</w:t>
      </w:r>
      <w:r>
        <w:rPr>
          <w:spacing w:val="-9"/>
          <w:sz w:val="18"/>
          <w:szCs w:val="18"/>
          <w:lang w:val="es-ES_tradnl"/>
        </w:rPr>
        <w:t xml:space="preserve"> 025-15-SIN-CC, </w:t>
      </w:r>
      <w:r>
        <w:rPr>
          <w:spacing w:val="-6"/>
          <w:sz w:val="18"/>
          <w:szCs w:val="18"/>
          <w:lang w:val="es-ES_tradnl"/>
        </w:rPr>
        <w:t>026-15-SIN-CC y 027-15-SIN-CC dictadas por la Corte Constitucional, el 22 de julio de 2015.</w:t>
      </w:r>
    </w:p>
    <w:p w14:paraId="4F67A90E" w14:textId="77777777" w:rsidR="00591D54" w:rsidRDefault="00591D54">
      <w:pPr>
        <w:shd w:val="clear" w:color="auto" w:fill="FFFFFF"/>
        <w:tabs>
          <w:tab w:val="left" w:pos="566"/>
        </w:tabs>
        <w:spacing w:before="29" w:line="446" w:lineRule="exact"/>
        <w:ind w:right="979" w:firstLine="283"/>
      </w:pPr>
      <w:r>
        <w:rPr>
          <w:spacing w:val="-11"/>
          <w:sz w:val="18"/>
          <w:szCs w:val="18"/>
          <w:lang w:val="es-ES_tradnl"/>
        </w:rPr>
        <w:t>4.</w:t>
      </w:r>
      <w:r>
        <w:rPr>
          <w:sz w:val="18"/>
          <w:szCs w:val="18"/>
          <w:lang w:val="es-ES_tradnl"/>
        </w:rPr>
        <w:tab/>
      </w:r>
      <w:r>
        <w:rPr>
          <w:spacing w:val="-8"/>
          <w:sz w:val="18"/>
          <w:szCs w:val="18"/>
          <w:lang w:val="es-ES_tradnl"/>
        </w:rPr>
        <w:t>Notif</w:t>
      </w:r>
      <w:r>
        <w:rPr>
          <w:rFonts w:cs="Times New Roman"/>
          <w:spacing w:val="-8"/>
          <w:sz w:val="18"/>
          <w:szCs w:val="18"/>
          <w:lang w:val="es-ES_tradnl"/>
        </w:rPr>
        <w:t>í</w:t>
      </w:r>
      <w:r>
        <w:rPr>
          <w:spacing w:val="-8"/>
          <w:sz w:val="18"/>
          <w:szCs w:val="18"/>
          <w:lang w:val="es-ES_tradnl"/>
        </w:rPr>
        <w:t>quese, publ</w:t>
      </w:r>
      <w:r>
        <w:rPr>
          <w:rFonts w:cs="Times New Roman"/>
          <w:spacing w:val="-8"/>
          <w:sz w:val="18"/>
          <w:szCs w:val="18"/>
          <w:lang w:val="es-ES_tradnl"/>
        </w:rPr>
        <w:t>í</w:t>
      </w:r>
      <w:r>
        <w:rPr>
          <w:spacing w:val="-8"/>
          <w:sz w:val="18"/>
          <w:szCs w:val="18"/>
          <w:lang w:val="es-ES_tradnl"/>
        </w:rPr>
        <w:t>quese y c</w:t>
      </w:r>
      <w:r>
        <w:rPr>
          <w:rFonts w:cs="Times New Roman"/>
          <w:spacing w:val="-8"/>
          <w:sz w:val="18"/>
          <w:szCs w:val="18"/>
          <w:lang w:val="es-ES_tradnl"/>
        </w:rPr>
        <w:t>ú</w:t>
      </w:r>
      <w:r>
        <w:rPr>
          <w:spacing w:val="-8"/>
          <w:sz w:val="18"/>
          <w:szCs w:val="18"/>
          <w:lang w:val="es-ES_tradnl"/>
        </w:rPr>
        <w:t>mplase. </w:t>
      </w:r>
      <w:r>
        <w:rPr>
          <w:spacing w:val="-5"/>
          <w:sz w:val="18"/>
          <w:szCs w:val="18"/>
          <w:lang w:val="es-ES_tradnl"/>
        </w:rPr>
        <w:t>f.) Patricio Pazmi</w:t>
      </w:r>
      <w:r>
        <w:rPr>
          <w:rFonts w:cs="Times New Roman"/>
          <w:spacing w:val="-5"/>
          <w:sz w:val="18"/>
          <w:szCs w:val="18"/>
          <w:lang w:val="es-ES_tradnl"/>
        </w:rPr>
        <w:t>ñ</w:t>
      </w:r>
      <w:r>
        <w:rPr>
          <w:spacing w:val="-5"/>
          <w:sz w:val="18"/>
          <w:szCs w:val="18"/>
          <w:lang w:val="es-ES_tradnl"/>
        </w:rPr>
        <w:t xml:space="preserve">o Freire, </w:t>
      </w:r>
      <w:r>
        <w:rPr>
          <w:b/>
          <w:bCs/>
          <w:spacing w:val="-5"/>
          <w:sz w:val="18"/>
          <w:szCs w:val="18"/>
          <w:lang w:val="es-ES_tradnl"/>
        </w:rPr>
        <w:t>PRESIDENTE.</w:t>
      </w:r>
    </w:p>
    <w:p w14:paraId="4F67A90F" w14:textId="77777777" w:rsidR="00591D54" w:rsidRDefault="00591D54">
      <w:pPr>
        <w:shd w:val="clear" w:color="auto" w:fill="FFFFFF"/>
        <w:spacing w:line="446" w:lineRule="exact"/>
      </w:pPr>
      <w:r>
        <w:rPr>
          <w:spacing w:val="-4"/>
          <w:sz w:val="18"/>
          <w:szCs w:val="18"/>
          <w:lang w:val="es-ES_tradnl"/>
        </w:rPr>
        <w:t xml:space="preserve">f.) Jaime Pozo Chamorro, </w:t>
      </w:r>
      <w:r>
        <w:rPr>
          <w:b/>
          <w:bCs/>
          <w:spacing w:val="-4"/>
          <w:sz w:val="18"/>
          <w:szCs w:val="18"/>
          <w:lang w:val="es-ES_tradnl"/>
        </w:rPr>
        <w:t>SECRETARIO GENERAL.</w:t>
      </w:r>
    </w:p>
    <w:p w14:paraId="4F67A910" w14:textId="77777777" w:rsidR="00591D54" w:rsidRDefault="00591D54">
      <w:pPr>
        <w:shd w:val="clear" w:color="auto" w:fill="FFFFFF"/>
        <w:spacing w:before="163" w:line="230" w:lineRule="exact"/>
        <w:ind w:right="5"/>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aprobada por el Pleno de la Corte Constitucional, con ocho </w:t>
      </w:r>
      <w:r>
        <w:rPr>
          <w:spacing w:val="-10"/>
          <w:sz w:val="18"/>
          <w:szCs w:val="18"/>
          <w:lang w:val="es-ES_tradnl"/>
        </w:rPr>
        <w:t xml:space="preserve">votos a favor, de las juezas y jueces Antonio Gagliardo Loor, </w:t>
      </w:r>
      <w:r>
        <w:rPr>
          <w:spacing w:val="-4"/>
          <w:sz w:val="18"/>
          <w:szCs w:val="18"/>
          <w:lang w:val="es-ES_tradnl"/>
        </w:rPr>
        <w:t>Marcelo Jaramillo Villa, Mar</w:t>
      </w:r>
      <w:r>
        <w:rPr>
          <w:rFonts w:cs="Times New Roman"/>
          <w:spacing w:val="-4"/>
          <w:sz w:val="18"/>
          <w:szCs w:val="18"/>
          <w:lang w:val="es-ES_tradnl"/>
        </w:rPr>
        <w:t>í</w:t>
      </w:r>
      <w:r>
        <w:rPr>
          <w:spacing w:val="-4"/>
          <w:sz w:val="18"/>
          <w:szCs w:val="18"/>
          <w:lang w:val="es-ES_tradnl"/>
        </w:rPr>
        <w:t xml:space="preserve">a del Carmen Maldonado </w:t>
      </w:r>
      <w:r>
        <w:rPr>
          <w:spacing w:val="-8"/>
          <w:sz w:val="18"/>
          <w:szCs w:val="18"/>
          <w:lang w:val="es-ES_tradnl"/>
        </w:rPr>
        <w:t>S</w:t>
      </w:r>
      <w:r>
        <w:rPr>
          <w:rFonts w:cs="Times New Roman"/>
          <w:spacing w:val="-8"/>
          <w:sz w:val="18"/>
          <w:szCs w:val="18"/>
          <w:lang w:val="es-ES_tradnl"/>
        </w:rPr>
        <w:t>á</w:t>
      </w:r>
      <w:r>
        <w:rPr>
          <w:spacing w:val="-8"/>
          <w:sz w:val="18"/>
          <w:szCs w:val="18"/>
          <w:lang w:val="es-ES_tradnl"/>
        </w:rPr>
        <w:t>nchez, Tatiana Orde</w:t>
      </w:r>
      <w:r>
        <w:rPr>
          <w:rFonts w:cs="Times New Roman"/>
          <w:spacing w:val="-8"/>
          <w:sz w:val="18"/>
          <w:szCs w:val="18"/>
          <w:lang w:val="es-ES_tradnl"/>
        </w:rPr>
        <w:t>ñ</w:t>
      </w:r>
      <w:r>
        <w:rPr>
          <w:spacing w:val="-8"/>
          <w:sz w:val="18"/>
          <w:szCs w:val="18"/>
          <w:lang w:val="es-ES_tradnl"/>
        </w:rPr>
        <w:t>ana Sierra, Alfredo Ruiz Guzm</w:t>
      </w:r>
      <w:r>
        <w:rPr>
          <w:rFonts w:cs="Times New Roman"/>
          <w:spacing w:val="-8"/>
          <w:sz w:val="18"/>
          <w:szCs w:val="18"/>
          <w:lang w:val="es-ES_tradnl"/>
        </w:rPr>
        <w:t>á</w:t>
      </w:r>
      <w:r>
        <w:rPr>
          <w:spacing w:val="-8"/>
          <w:sz w:val="18"/>
          <w:szCs w:val="18"/>
          <w:lang w:val="es-ES_tradnl"/>
        </w:rPr>
        <w:t xml:space="preserve">n, </w:t>
      </w:r>
      <w:r>
        <w:rPr>
          <w:spacing w:val="-3"/>
          <w:sz w:val="18"/>
          <w:szCs w:val="18"/>
          <w:lang w:val="es-ES_tradnl"/>
        </w:rPr>
        <w:t xml:space="preserve">Ruth Seni Pinoargote, Manuel Viteri Olvera y Patricio </w:t>
      </w:r>
      <w:r>
        <w:rPr>
          <w:spacing w:val="-6"/>
          <w:sz w:val="18"/>
          <w:szCs w:val="18"/>
          <w:lang w:val="es-ES_tradnl"/>
        </w:rPr>
        <w:t>Pazmi</w:t>
      </w:r>
      <w:r>
        <w:rPr>
          <w:rFonts w:cs="Times New Roman"/>
          <w:spacing w:val="-6"/>
          <w:sz w:val="18"/>
          <w:szCs w:val="18"/>
          <w:lang w:val="es-ES_tradnl"/>
        </w:rPr>
        <w:t>ñ</w:t>
      </w:r>
      <w:r>
        <w:rPr>
          <w:spacing w:val="-6"/>
          <w:sz w:val="18"/>
          <w:szCs w:val="18"/>
          <w:lang w:val="es-ES_tradnl"/>
        </w:rPr>
        <w:t xml:space="preserve">o Freire, sin contar con la presencia de la jueza </w:t>
      </w:r>
      <w:r>
        <w:rPr>
          <w:spacing w:val="-9"/>
          <w:sz w:val="18"/>
          <w:szCs w:val="18"/>
          <w:lang w:val="es-ES_tradnl"/>
        </w:rPr>
        <w:t>Wendy Molina Andrade, en sesi</w:t>
      </w:r>
      <w:r>
        <w:rPr>
          <w:rFonts w:cs="Times New Roman"/>
          <w:spacing w:val="-9"/>
          <w:sz w:val="18"/>
          <w:szCs w:val="18"/>
          <w:lang w:val="es-ES_tradnl"/>
        </w:rPr>
        <w:t>ó</w:t>
      </w:r>
      <w:r>
        <w:rPr>
          <w:spacing w:val="-9"/>
          <w:sz w:val="18"/>
          <w:szCs w:val="18"/>
          <w:lang w:val="es-ES_tradnl"/>
        </w:rPr>
        <w:t xml:space="preserve">n de 02 de septiembre del </w:t>
      </w:r>
      <w:r>
        <w:rPr>
          <w:sz w:val="18"/>
          <w:szCs w:val="18"/>
          <w:lang w:val="es-ES_tradnl"/>
        </w:rPr>
        <w:t>2015. Lo certifico.</w:t>
      </w:r>
    </w:p>
    <w:p w14:paraId="4F67A911" w14:textId="77777777" w:rsidR="00591D54" w:rsidRDefault="00591D54">
      <w:pPr>
        <w:shd w:val="clear" w:color="auto" w:fill="FFFFFF"/>
        <w:spacing w:before="206"/>
      </w:pPr>
      <w:r>
        <w:rPr>
          <w:spacing w:val="-4"/>
          <w:sz w:val="18"/>
          <w:szCs w:val="18"/>
          <w:lang w:val="es-ES_tradnl"/>
        </w:rPr>
        <w:t xml:space="preserve">f.) Jaime Pozo Chamorro, </w:t>
      </w:r>
      <w:r>
        <w:rPr>
          <w:b/>
          <w:bCs/>
          <w:spacing w:val="-4"/>
          <w:sz w:val="18"/>
          <w:szCs w:val="18"/>
          <w:lang w:val="es-ES_tradnl"/>
        </w:rPr>
        <w:t>SECRETARIO GENERAL.</w:t>
      </w:r>
    </w:p>
    <w:p w14:paraId="4F67A912" w14:textId="77777777" w:rsidR="00591D54" w:rsidRDefault="00591D54">
      <w:pPr>
        <w:shd w:val="clear" w:color="auto" w:fill="FFFFFF"/>
        <w:spacing w:before="202" w:line="230"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A913" w14:textId="77777777" w:rsidR="00591D54" w:rsidRDefault="00591D54">
      <w:pPr>
        <w:shd w:val="clear" w:color="auto" w:fill="FFFFFF"/>
        <w:spacing w:before="202"/>
      </w:pPr>
      <w:r>
        <w:rPr>
          <w:b/>
          <w:bCs/>
          <w:spacing w:val="-4"/>
          <w:sz w:val="18"/>
          <w:szCs w:val="18"/>
          <w:u w:val="single"/>
          <w:lang w:val="es-ES_tradnl"/>
        </w:rPr>
        <w:t>CASO Nro. 0040-14-IN</w:t>
      </w:r>
    </w:p>
    <w:p w14:paraId="4F67A914" w14:textId="77777777" w:rsidR="00591D54" w:rsidRDefault="00591D54">
      <w:pPr>
        <w:shd w:val="clear" w:color="auto" w:fill="FFFFFF"/>
        <w:spacing w:before="206" w:line="230" w:lineRule="exact"/>
        <w:ind w:right="5"/>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w:t>
      </w:r>
      <w:r>
        <w:rPr>
          <w:spacing w:val="-7"/>
          <w:sz w:val="18"/>
          <w:szCs w:val="18"/>
          <w:lang w:val="es-ES_tradnl"/>
        </w:rPr>
        <w:t>suscrita por el Juez Patricio Pazmi</w:t>
      </w:r>
      <w:r>
        <w:rPr>
          <w:rFonts w:cs="Times New Roman"/>
          <w:spacing w:val="-7"/>
          <w:sz w:val="18"/>
          <w:szCs w:val="18"/>
          <w:lang w:val="es-ES_tradnl"/>
        </w:rPr>
        <w:t>ñ</w:t>
      </w:r>
      <w:r>
        <w:rPr>
          <w:spacing w:val="-7"/>
          <w:sz w:val="18"/>
          <w:szCs w:val="18"/>
          <w:lang w:val="es-ES_tradnl"/>
        </w:rPr>
        <w:t>o Freire, Presidente de</w:t>
      </w:r>
    </w:p>
    <w:p w14:paraId="4F67A915" w14:textId="77777777" w:rsidR="00591D54" w:rsidRDefault="00591D54">
      <w:pPr>
        <w:shd w:val="clear" w:color="auto" w:fill="FFFFFF"/>
        <w:spacing w:line="216" w:lineRule="exact"/>
        <w:jc w:val="both"/>
      </w:pPr>
      <w:r>
        <w:br w:type="column"/>
      </w:r>
      <w:r>
        <w:rPr>
          <w:spacing w:val="-6"/>
          <w:sz w:val="18"/>
          <w:szCs w:val="18"/>
          <w:lang w:val="es-ES_tradnl"/>
        </w:rPr>
        <w:t>la Corte Constitucional, el d</w:t>
      </w:r>
      <w:r>
        <w:rPr>
          <w:rFonts w:cs="Times New Roman"/>
          <w:spacing w:val="-6"/>
          <w:sz w:val="18"/>
          <w:szCs w:val="18"/>
          <w:lang w:val="es-ES_tradnl"/>
        </w:rPr>
        <w:t>í</w:t>
      </w:r>
      <w:r>
        <w:rPr>
          <w:spacing w:val="-6"/>
          <w:sz w:val="18"/>
          <w:szCs w:val="18"/>
          <w:lang w:val="es-ES_tradnl"/>
        </w:rPr>
        <w:t xml:space="preserve">a lunes 07 de septiembre del </w:t>
      </w:r>
      <w:r>
        <w:rPr>
          <w:sz w:val="18"/>
          <w:szCs w:val="18"/>
          <w:lang w:val="es-ES_tradnl"/>
        </w:rPr>
        <w:t>dos mil quince.- Lo certifico.</w:t>
      </w:r>
    </w:p>
    <w:p w14:paraId="4F67A916" w14:textId="77777777" w:rsidR="00591D54" w:rsidRDefault="00591D54">
      <w:pPr>
        <w:shd w:val="clear" w:color="auto" w:fill="FFFFFF"/>
        <w:spacing w:before="187"/>
      </w:pPr>
      <w:r>
        <w:rPr>
          <w:spacing w:val="-7"/>
          <w:sz w:val="18"/>
          <w:szCs w:val="18"/>
          <w:lang w:val="es-ES_tradnl"/>
        </w:rPr>
        <w:t xml:space="preserve">f.) Jaime Pozo Chamorro, </w:t>
      </w:r>
      <w:r>
        <w:rPr>
          <w:b/>
          <w:bCs/>
          <w:spacing w:val="-7"/>
          <w:sz w:val="18"/>
          <w:szCs w:val="18"/>
          <w:lang w:val="es-ES_tradnl"/>
        </w:rPr>
        <w:t>Secretario General.</w:t>
      </w:r>
    </w:p>
    <w:p w14:paraId="4F67A917" w14:textId="77777777" w:rsidR="00591D54" w:rsidRDefault="00591D54">
      <w:pPr>
        <w:shd w:val="clear" w:color="auto" w:fill="FFFFFF"/>
        <w:spacing w:before="192"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A918" w14:textId="77777777" w:rsidR="00591D54" w:rsidRDefault="00591D54">
      <w:pPr>
        <w:shd w:val="clear" w:color="auto" w:fill="FFFFFF"/>
        <w:spacing w:before="1075" w:line="432" w:lineRule="exact"/>
      </w:pPr>
      <w:r>
        <w:rPr>
          <w:spacing w:val="-7"/>
          <w:sz w:val="18"/>
          <w:szCs w:val="18"/>
          <w:lang w:val="es-ES_tradnl"/>
        </w:rPr>
        <w:t>Quito, D. M., 19 de agosto de 2015</w:t>
      </w:r>
    </w:p>
    <w:p w14:paraId="4F67A919" w14:textId="77777777" w:rsidR="00591D54" w:rsidRDefault="00591D54">
      <w:pPr>
        <w:shd w:val="clear" w:color="auto" w:fill="FFFFFF"/>
        <w:spacing w:line="432" w:lineRule="exact"/>
        <w:ind w:left="878"/>
      </w:pPr>
      <w:r>
        <w:rPr>
          <w:b/>
          <w:bCs/>
          <w:spacing w:val="-3"/>
          <w:sz w:val="18"/>
          <w:szCs w:val="18"/>
          <w:u w:val="single"/>
          <w:lang w:val="es-ES_tradnl"/>
        </w:rPr>
        <w:t>SENTENCIA N.</w:t>
      </w:r>
      <w:r>
        <w:rPr>
          <w:rFonts w:cs="Times New Roman"/>
          <w:b/>
          <w:bCs/>
          <w:spacing w:val="-3"/>
          <w:sz w:val="18"/>
          <w:szCs w:val="18"/>
          <w:u w:val="single"/>
          <w:lang w:val="es-ES_tradnl"/>
        </w:rPr>
        <w:t>º</w:t>
      </w:r>
      <w:r>
        <w:rPr>
          <w:b/>
          <w:bCs/>
          <w:spacing w:val="-3"/>
          <w:sz w:val="18"/>
          <w:szCs w:val="18"/>
          <w:u w:val="single"/>
          <w:lang w:val="es-ES_tradnl"/>
        </w:rPr>
        <w:t xml:space="preserve"> 048-15-SIS-CC</w:t>
      </w:r>
    </w:p>
    <w:p w14:paraId="4F67A91A" w14:textId="77777777" w:rsidR="00591D54" w:rsidRDefault="00591D54">
      <w:pPr>
        <w:shd w:val="clear" w:color="auto" w:fill="FFFFFF"/>
        <w:spacing w:line="432" w:lineRule="exact"/>
        <w:ind w:left="1320"/>
      </w:pPr>
      <w:r>
        <w:rPr>
          <w:b/>
          <w:bCs/>
          <w:spacing w:val="-5"/>
          <w:sz w:val="18"/>
          <w:szCs w:val="18"/>
          <w:u w:val="single"/>
          <w:lang w:val="es-ES_tradnl"/>
        </w:rPr>
        <w:t>CASO N.</w:t>
      </w:r>
      <w:r>
        <w:rPr>
          <w:rFonts w:cs="Times New Roman"/>
          <w:b/>
          <w:bCs/>
          <w:spacing w:val="-5"/>
          <w:sz w:val="18"/>
          <w:szCs w:val="18"/>
          <w:u w:val="single"/>
          <w:lang w:val="es-ES_tradnl"/>
        </w:rPr>
        <w:t>º</w:t>
      </w:r>
      <w:r>
        <w:rPr>
          <w:b/>
          <w:bCs/>
          <w:spacing w:val="-5"/>
          <w:sz w:val="18"/>
          <w:szCs w:val="18"/>
          <w:u w:val="single"/>
          <w:lang w:val="es-ES_tradnl"/>
        </w:rPr>
        <w:t xml:space="preserve"> 0030-14-IS</w:t>
      </w:r>
    </w:p>
    <w:p w14:paraId="4F67A91B" w14:textId="77777777" w:rsidR="00591D54" w:rsidRDefault="00591D54">
      <w:pPr>
        <w:shd w:val="clear" w:color="auto" w:fill="FFFFFF"/>
        <w:spacing w:before="5" w:line="432" w:lineRule="exact"/>
        <w:ind w:left="350"/>
      </w:pPr>
      <w:r>
        <w:rPr>
          <w:b/>
          <w:bCs/>
          <w:sz w:val="18"/>
          <w:szCs w:val="18"/>
          <w:lang w:val="es-ES_tradnl"/>
        </w:rPr>
        <w:t>CORTE CONSTITUCIONAL DE ECUADOR</w:t>
      </w:r>
    </w:p>
    <w:p w14:paraId="4F67A91C" w14:textId="77777777" w:rsidR="00591D54" w:rsidRDefault="00591D54">
      <w:pPr>
        <w:shd w:val="clear" w:color="auto" w:fill="FFFFFF"/>
        <w:spacing w:line="432" w:lineRule="exact"/>
        <w:ind w:left="1339"/>
      </w:pPr>
      <w:r>
        <w:rPr>
          <w:b/>
          <w:bCs/>
          <w:sz w:val="18"/>
          <w:szCs w:val="18"/>
          <w:lang w:val="es-ES_tradnl"/>
        </w:rPr>
        <w:t>I. ANTECEDENTES</w:t>
      </w:r>
    </w:p>
    <w:p w14:paraId="4F67A91D" w14:textId="77777777" w:rsidR="00591D54" w:rsidRDefault="00591D54">
      <w:pPr>
        <w:shd w:val="clear" w:color="auto" w:fill="FFFFFF"/>
        <w:spacing w:line="432" w:lineRule="exact"/>
      </w:pPr>
      <w:r>
        <w:rPr>
          <w:b/>
          <w:bCs/>
          <w:spacing w:val="-9"/>
          <w:sz w:val="18"/>
          <w:szCs w:val="18"/>
          <w:lang w:val="es-ES_tradnl"/>
        </w:rPr>
        <w:t>Resumen de admisibilidad</w:t>
      </w:r>
    </w:p>
    <w:p w14:paraId="4F67A91E" w14:textId="77777777" w:rsidR="00591D54" w:rsidRDefault="00591D54">
      <w:pPr>
        <w:shd w:val="clear" w:color="auto" w:fill="FFFFFF"/>
        <w:spacing w:before="168" w:line="216" w:lineRule="exact"/>
        <w:jc w:val="both"/>
      </w:pPr>
      <w:r>
        <w:rPr>
          <w:spacing w:val="-6"/>
          <w:sz w:val="18"/>
          <w:szCs w:val="18"/>
          <w:lang w:val="es-ES_tradnl"/>
        </w:rPr>
        <w:t>La presente acci</w:t>
      </w:r>
      <w:r>
        <w:rPr>
          <w:rFonts w:cs="Times New Roman"/>
          <w:spacing w:val="-6"/>
          <w:sz w:val="18"/>
          <w:szCs w:val="18"/>
          <w:lang w:val="es-ES_tradnl"/>
        </w:rPr>
        <w:t>ó</w:t>
      </w:r>
      <w:r>
        <w:rPr>
          <w:spacing w:val="-6"/>
          <w:sz w:val="18"/>
          <w:szCs w:val="18"/>
          <w:lang w:val="es-ES_tradnl"/>
        </w:rPr>
        <w:t xml:space="preserve">n de incumplimiento de sentencia </w:t>
      </w:r>
      <w:r>
        <w:rPr>
          <w:spacing w:val="-2"/>
          <w:sz w:val="18"/>
          <w:szCs w:val="18"/>
          <w:lang w:val="es-ES_tradnl"/>
        </w:rPr>
        <w:t xml:space="preserve">constitucional fue propuesta el 23 de julio de 2014, por </w:t>
      </w:r>
      <w:r>
        <w:rPr>
          <w:spacing w:val="-6"/>
          <w:sz w:val="18"/>
          <w:szCs w:val="18"/>
          <w:lang w:val="es-ES_tradnl"/>
        </w:rPr>
        <w:t>la doctora Mar</w:t>
      </w:r>
      <w:r>
        <w:rPr>
          <w:rFonts w:cs="Times New Roman"/>
          <w:spacing w:val="-6"/>
          <w:sz w:val="18"/>
          <w:szCs w:val="18"/>
          <w:lang w:val="es-ES_tradnl"/>
        </w:rPr>
        <w:t>í</w:t>
      </w:r>
      <w:r>
        <w:rPr>
          <w:spacing w:val="-6"/>
          <w:sz w:val="18"/>
          <w:szCs w:val="18"/>
          <w:lang w:val="es-ES_tradnl"/>
        </w:rPr>
        <w:t xml:space="preserve">a Carmen Paca Ajitimbay en contra del </w:t>
      </w:r>
      <w:r>
        <w:rPr>
          <w:spacing w:val="-5"/>
          <w:sz w:val="18"/>
          <w:szCs w:val="18"/>
          <w:lang w:val="es-ES_tradnl"/>
        </w:rPr>
        <w:t xml:space="preserve">director provincial de salud de Chimborazo y del director </w:t>
      </w:r>
      <w:r>
        <w:rPr>
          <w:sz w:val="18"/>
          <w:szCs w:val="18"/>
          <w:lang w:val="es-ES_tradnl"/>
        </w:rPr>
        <w:t>del Hospital de Colta.</w:t>
      </w:r>
    </w:p>
    <w:p w14:paraId="4F67A91F" w14:textId="77777777" w:rsidR="00591D54" w:rsidRDefault="00591D54">
      <w:pPr>
        <w:shd w:val="clear" w:color="auto" w:fill="FFFFFF"/>
        <w:spacing w:before="197" w:line="216" w:lineRule="exact"/>
        <w:jc w:val="both"/>
      </w:pPr>
      <w:r>
        <w:rPr>
          <w:spacing w:val="-6"/>
          <w:sz w:val="18"/>
          <w:szCs w:val="18"/>
          <w:lang w:val="es-ES_tradnl"/>
        </w:rPr>
        <w:t>El 23 de julio de 2014, la Secretar</w:t>
      </w:r>
      <w:r>
        <w:rPr>
          <w:rFonts w:cs="Times New Roman"/>
          <w:spacing w:val="-6"/>
          <w:sz w:val="18"/>
          <w:szCs w:val="18"/>
          <w:lang w:val="es-ES_tradnl"/>
        </w:rPr>
        <w:t>í</w:t>
      </w:r>
      <w:r>
        <w:rPr>
          <w:spacing w:val="-6"/>
          <w:sz w:val="18"/>
          <w:szCs w:val="18"/>
          <w:lang w:val="es-ES_tradnl"/>
        </w:rPr>
        <w:t xml:space="preserve">a General de la Corte </w:t>
      </w:r>
      <w:r>
        <w:rPr>
          <w:spacing w:val="-4"/>
          <w:sz w:val="18"/>
          <w:szCs w:val="18"/>
          <w:lang w:val="es-ES_tradnl"/>
        </w:rPr>
        <w:t>Constitucional certific</w:t>
      </w:r>
      <w:r>
        <w:rPr>
          <w:rFonts w:cs="Times New Roman"/>
          <w:spacing w:val="-4"/>
          <w:sz w:val="18"/>
          <w:szCs w:val="18"/>
          <w:lang w:val="es-ES_tradnl"/>
        </w:rPr>
        <w:t>ó</w:t>
      </w:r>
      <w:r>
        <w:rPr>
          <w:spacing w:val="-4"/>
          <w:sz w:val="18"/>
          <w:szCs w:val="18"/>
          <w:lang w:val="es-ES_tradnl"/>
        </w:rPr>
        <w:t xml:space="preserve"> que en relaci</w:t>
      </w:r>
      <w:r>
        <w:rPr>
          <w:rFonts w:cs="Times New Roman"/>
          <w:spacing w:val="-4"/>
          <w:sz w:val="18"/>
          <w:szCs w:val="18"/>
          <w:lang w:val="es-ES_tradnl"/>
        </w:rPr>
        <w:t>ó</w:t>
      </w:r>
      <w:r>
        <w:rPr>
          <w:spacing w:val="-4"/>
          <w:sz w:val="18"/>
          <w:szCs w:val="18"/>
          <w:lang w:val="es-ES_tradnl"/>
        </w:rPr>
        <w:t>n a la acci</w:t>
      </w:r>
      <w:r>
        <w:rPr>
          <w:rFonts w:cs="Times New Roman"/>
          <w:spacing w:val="-4"/>
          <w:sz w:val="18"/>
          <w:szCs w:val="18"/>
          <w:lang w:val="es-ES_tradnl"/>
        </w:rPr>
        <w:t>ó</w:t>
      </w:r>
      <w:r>
        <w:rPr>
          <w:spacing w:val="-4"/>
          <w:sz w:val="18"/>
          <w:szCs w:val="18"/>
          <w:lang w:val="es-ES_tradnl"/>
        </w:rPr>
        <w:t xml:space="preserve">n de </w:t>
      </w:r>
      <w:r>
        <w:rPr>
          <w:spacing w:val="-8"/>
          <w:sz w:val="18"/>
          <w:szCs w:val="18"/>
          <w:lang w:val="es-ES_tradnl"/>
        </w:rPr>
        <w:t>incumplimiento signada con el N.</w:t>
      </w:r>
      <w:r>
        <w:rPr>
          <w:rFonts w:cs="Times New Roman"/>
          <w:spacing w:val="-8"/>
          <w:sz w:val="18"/>
          <w:szCs w:val="18"/>
          <w:lang w:val="es-ES_tradnl"/>
        </w:rPr>
        <w:t>º</w:t>
      </w:r>
      <w:r>
        <w:rPr>
          <w:spacing w:val="-8"/>
          <w:sz w:val="18"/>
          <w:szCs w:val="18"/>
          <w:lang w:val="es-ES_tradnl"/>
        </w:rPr>
        <w:t xml:space="preserve"> 0030-14-IS, no se hab</w:t>
      </w:r>
      <w:r>
        <w:rPr>
          <w:rFonts w:cs="Times New Roman"/>
          <w:spacing w:val="-8"/>
          <w:sz w:val="18"/>
          <w:szCs w:val="18"/>
          <w:lang w:val="es-ES_tradnl"/>
        </w:rPr>
        <w:t>í</w:t>
      </w:r>
      <w:r>
        <w:rPr>
          <w:spacing w:val="-8"/>
          <w:sz w:val="18"/>
          <w:szCs w:val="18"/>
          <w:lang w:val="es-ES_tradnl"/>
        </w:rPr>
        <w:t xml:space="preserve">a </w:t>
      </w:r>
      <w:r>
        <w:rPr>
          <w:spacing w:val="-9"/>
          <w:sz w:val="18"/>
          <w:szCs w:val="18"/>
          <w:lang w:val="es-ES_tradnl"/>
        </w:rPr>
        <w:t>presentado otra demanda con identidad de objeto y acci</w:t>
      </w:r>
      <w:r>
        <w:rPr>
          <w:rFonts w:cs="Times New Roman"/>
          <w:spacing w:val="-9"/>
          <w:sz w:val="18"/>
          <w:szCs w:val="18"/>
          <w:lang w:val="es-ES_tradnl"/>
        </w:rPr>
        <w:t>ó</w:t>
      </w:r>
      <w:r>
        <w:rPr>
          <w:spacing w:val="-9"/>
          <w:sz w:val="18"/>
          <w:szCs w:val="18"/>
          <w:lang w:val="es-ES_tradnl"/>
        </w:rPr>
        <w:t>n.</w:t>
      </w:r>
    </w:p>
    <w:p w14:paraId="4F67A920" w14:textId="77777777" w:rsidR="00591D54" w:rsidRDefault="00591D54">
      <w:pPr>
        <w:shd w:val="clear" w:color="auto" w:fill="FFFFFF"/>
        <w:spacing w:before="197" w:line="216" w:lineRule="exact"/>
        <w:jc w:val="both"/>
      </w:pPr>
      <w:r>
        <w:rPr>
          <w:spacing w:val="-8"/>
          <w:sz w:val="18"/>
          <w:szCs w:val="18"/>
          <w:lang w:val="es-ES_tradnl"/>
        </w:rPr>
        <w:t>La Secretar</w:t>
      </w:r>
      <w:r>
        <w:rPr>
          <w:rFonts w:cs="Times New Roman"/>
          <w:spacing w:val="-8"/>
          <w:sz w:val="18"/>
          <w:szCs w:val="18"/>
          <w:lang w:val="es-ES_tradnl"/>
        </w:rPr>
        <w:t>í</w:t>
      </w:r>
      <w:r>
        <w:rPr>
          <w:spacing w:val="-8"/>
          <w:sz w:val="18"/>
          <w:szCs w:val="18"/>
          <w:lang w:val="es-ES_tradnl"/>
        </w:rPr>
        <w:t xml:space="preserve">a General de la Corte Constitucional, mediante </w:t>
      </w:r>
      <w:r>
        <w:rPr>
          <w:spacing w:val="-10"/>
          <w:sz w:val="18"/>
          <w:szCs w:val="18"/>
          <w:lang w:val="es-ES_tradnl"/>
        </w:rPr>
        <w:t>memorando signado con el N.</w:t>
      </w:r>
      <w:r>
        <w:rPr>
          <w:rFonts w:cs="Times New Roman"/>
          <w:spacing w:val="-10"/>
          <w:sz w:val="18"/>
          <w:szCs w:val="18"/>
          <w:lang w:val="es-ES_tradnl"/>
        </w:rPr>
        <w:t>º</w:t>
      </w:r>
      <w:r>
        <w:rPr>
          <w:spacing w:val="-10"/>
          <w:sz w:val="18"/>
          <w:szCs w:val="18"/>
          <w:lang w:val="es-ES_tradnl"/>
        </w:rPr>
        <w:t xml:space="preserve"> 365-CCE-SG-SUS-2014 del </w:t>
      </w:r>
      <w:r>
        <w:rPr>
          <w:spacing w:val="-9"/>
          <w:sz w:val="18"/>
          <w:szCs w:val="18"/>
          <w:lang w:val="es-ES_tradnl"/>
        </w:rPr>
        <w:t xml:space="preserve">30 de julio de 2014, de conformidad con el sorteo efectuado </w:t>
      </w:r>
      <w:r>
        <w:rPr>
          <w:spacing w:val="-8"/>
          <w:sz w:val="18"/>
          <w:szCs w:val="18"/>
          <w:lang w:val="es-ES_tradnl"/>
        </w:rPr>
        <w:t>por el Pleno del Organismo, en sesi</w:t>
      </w:r>
      <w:r>
        <w:rPr>
          <w:rFonts w:cs="Times New Roman"/>
          <w:spacing w:val="-8"/>
          <w:sz w:val="18"/>
          <w:szCs w:val="18"/>
          <w:lang w:val="es-ES_tradnl"/>
        </w:rPr>
        <w:t>ó</w:t>
      </w:r>
      <w:r>
        <w:rPr>
          <w:spacing w:val="-8"/>
          <w:sz w:val="18"/>
          <w:szCs w:val="18"/>
          <w:lang w:val="es-ES_tradnl"/>
        </w:rPr>
        <w:t>n extraordinaria de 30 de julio de 2014, remiti</w:t>
      </w:r>
      <w:r>
        <w:rPr>
          <w:rFonts w:cs="Times New Roman"/>
          <w:spacing w:val="-8"/>
          <w:sz w:val="18"/>
          <w:szCs w:val="18"/>
          <w:lang w:val="es-ES_tradnl"/>
        </w:rPr>
        <w:t>ó</w:t>
      </w:r>
      <w:r>
        <w:rPr>
          <w:spacing w:val="-8"/>
          <w:sz w:val="18"/>
          <w:szCs w:val="18"/>
          <w:lang w:val="es-ES_tradnl"/>
        </w:rPr>
        <w:t xml:space="preserve"> el expediente al juez constitucional </w:t>
      </w:r>
      <w:r>
        <w:rPr>
          <w:spacing w:val="-6"/>
          <w:sz w:val="18"/>
          <w:szCs w:val="18"/>
          <w:lang w:val="es-ES_tradnl"/>
        </w:rPr>
        <w:t>Marcelo Jaramillo Villa en calidad de sustanciador.</w:t>
      </w:r>
    </w:p>
    <w:p w14:paraId="4F67A921" w14:textId="77777777" w:rsidR="00591D54" w:rsidRDefault="00591D54">
      <w:pPr>
        <w:shd w:val="clear" w:color="auto" w:fill="FFFFFF"/>
        <w:spacing w:before="197" w:line="216" w:lineRule="exact"/>
        <w:jc w:val="both"/>
      </w:pPr>
      <w:r>
        <w:rPr>
          <w:spacing w:val="-9"/>
          <w:sz w:val="18"/>
          <w:szCs w:val="18"/>
          <w:lang w:val="es-ES_tradnl"/>
        </w:rPr>
        <w:t xml:space="preserve">Mediante auto del 03 de junio de 2015, el juez constitucional </w:t>
      </w:r>
      <w:r>
        <w:rPr>
          <w:sz w:val="18"/>
          <w:szCs w:val="18"/>
          <w:lang w:val="es-ES_tradnl"/>
        </w:rPr>
        <w:t>Fabi</w:t>
      </w:r>
      <w:r>
        <w:rPr>
          <w:rFonts w:cs="Times New Roman"/>
          <w:sz w:val="18"/>
          <w:szCs w:val="18"/>
          <w:lang w:val="es-ES_tradnl"/>
        </w:rPr>
        <w:t>á</w:t>
      </w:r>
      <w:r>
        <w:rPr>
          <w:sz w:val="18"/>
          <w:szCs w:val="18"/>
          <w:lang w:val="es-ES_tradnl"/>
        </w:rPr>
        <w:t>n Marcelo Jaramillo Villa avoc</w:t>
      </w:r>
      <w:r>
        <w:rPr>
          <w:rFonts w:cs="Times New Roman"/>
          <w:sz w:val="18"/>
          <w:szCs w:val="18"/>
          <w:lang w:val="es-ES_tradnl"/>
        </w:rPr>
        <w:t>ó</w:t>
      </w:r>
      <w:r>
        <w:rPr>
          <w:sz w:val="18"/>
          <w:szCs w:val="18"/>
          <w:lang w:val="es-ES_tradnl"/>
        </w:rPr>
        <w:t xml:space="preserve"> conocimiento </w:t>
      </w:r>
      <w:r>
        <w:rPr>
          <w:spacing w:val="-4"/>
          <w:sz w:val="18"/>
          <w:szCs w:val="18"/>
          <w:lang w:val="es-ES_tradnl"/>
        </w:rPr>
        <w:t xml:space="preserve">de la causa y dispuso que se notifique con el contenido </w:t>
      </w:r>
      <w:r>
        <w:rPr>
          <w:sz w:val="18"/>
          <w:szCs w:val="18"/>
          <w:lang w:val="es-ES_tradnl"/>
        </w:rPr>
        <w:t>de la acci</w:t>
      </w:r>
      <w:r>
        <w:rPr>
          <w:rFonts w:cs="Times New Roman"/>
          <w:sz w:val="18"/>
          <w:szCs w:val="18"/>
          <w:lang w:val="es-ES_tradnl"/>
        </w:rPr>
        <w:t>ó</w:t>
      </w:r>
      <w:r>
        <w:rPr>
          <w:sz w:val="18"/>
          <w:szCs w:val="18"/>
          <w:lang w:val="es-ES_tradnl"/>
        </w:rPr>
        <w:t xml:space="preserve">n deducida al director provincial de salud </w:t>
      </w:r>
      <w:r>
        <w:rPr>
          <w:spacing w:val="-5"/>
          <w:sz w:val="18"/>
          <w:szCs w:val="18"/>
          <w:lang w:val="es-ES_tradnl"/>
        </w:rPr>
        <w:t xml:space="preserve">de Chimborazo, al director del Hospital de Colta y a los </w:t>
      </w:r>
      <w:r>
        <w:rPr>
          <w:spacing w:val="-6"/>
          <w:sz w:val="18"/>
          <w:szCs w:val="18"/>
          <w:lang w:val="es-ES_tradnl"/>
        </w:rPr>
        <w:t>jueces de la Primera Sala del Tribunal Distrital N.</w:t>
      </w:r>
      <w:r>
        <w:rPr>
          <w:rFonts w:cs="Times New Roman"/>
          <w:spacing w:val="-6"/>
          <w:sz w:val="18"/>
          <w:szCs w:val="18"/>
          <w:lang w:val="es-ES_tradnl"/>
        </w:rPr>
        <w:t>º</w:t>
      </w:r>
      <w:r>
        <w:rPr>
          <w:spacing w:val="-6"/>
          <w:sz w:val="18"/>
          <w:szCs w:val="18"/>
          <w:lang w:val="es-ES_tradnl"/>
        </w:rPr>
        <w:t xml:space="preserve"> 1 de lo Contencioso Administrativo, a fin de que en el t</w:t>
      </w:r>
      <w:r>
        <w:rPr>
          <w:rFonts w:cs="Times New Roman"/>
          <w:spacing w:val="-6"/>
          <w:sz w:val="18"/>
          <w:szCs w:val="18"/>
          <w:lang w:val="es-ES_tradnl"/>
        </w:rPr>
        <w:t>é</w:t>
      </w:r>
      <w:r>
        <w:rPr>
          <w:spacing w:val="-6"/>
          <w:sz w:val="18"/>
          <w:szCs w:val="18"/>
          <w:lang w:val="es-ES_tradnl"/>
        </w:rPr>
        <w:t>rmino de cinco d</w:t>
      </w:r>
      <w:r>
        <w:rPr>
          <w:rFonts w:cs="Times New Roman"/>
          <w:spacing w:val="-6"/>
          <w:sz w:val="18"/>
          <w:szCs w:val="18"/>
          <w:lang w:val="es-ES_tradnl"/>
        </w:rPr>
        <w:t>í</w:t>
      </w:r>
      <w:r>
        <w:rPr>
          <w:spacing w:val="-6"/>
          <w:sz w:val="18"/>
          <w:szCs w:val="18"/>
          <w:lang w:val="es-ES_tradnl"/>
        </w:rPr>
        <w:t xml:space="preserve">as emitieran un informe debidamente motivado y </w:t>
      </w:r>
      <w:r>
        <w:rPr>
          <w:sz w:val="18"/>
          <w:szCs w:val="18"/>
          <w:lang w:val="es-ES_tradnl"/>
        </w:rPr>
        <w:t>argumentado de descargo.</w:t>
      </w:r>
    </w:p>
    <w:p w14:paraId="4F67A922" w14:textId="77777777" w:rsidR="00591D54" w:rsidRDefault="00591D54">
      <w:pPr>
        <w:shd w:val="clear" w:color="auto" w:fill="FFFFFF"/>
        <w:spacing w:before="197"/>
      </w:pPr>
      <w:r>
        <w:rPr>
          <w:b/>
          <w:bCs/>
          <w:spacing w:val="-11"/>
          <w:sz w:val="18"/>
          <w:szCs w:val="18"/>
          <w:lang w:val="es-ES_tradnl"/>
        </w:rPr>
        <w:t>Sentencia cuyo cumplimiento se demanda</w:t>
      </w:r>
    </w:p>
    <w:p w14:paraId="4F67A923" w14:textId="77777777" w:rsidR="00591D54" w:rsidRDefault="00591D54">
      <w:pPr>
        <w:shd w:val="clear" w:color="auto" w:fill="FFFFFF"/>
        <w:spacing w:before="197" w:line="221" w:lineRule="exact"/>
        <w:jc w:val="both"/>
      </w:pPr>
      <w:r>
        <w:rPr>
          <w:spacing w:val="-7"/>
          <w:sz w:val="18"/>
          <w:szCs w:val="18"/>
          <w:lang w:val="es-ES_tradnl"/>
        </w:rPr>
        <w:t>La accionante se</w:t>
      </w:r>
      <w:r>
        <w:rPr>
          <w:rFonts w:cs="Times New Roman"/>
          <w:spacing w:val="-7"/>
          <w:sz w:val="18"/>
          <w:szCs w:val="18"/>
          <w:lang w:val="es-ES_tradnl"/>
        </w:rPr>
        <w:t>ñ</w:t>
      </w:r>
      <w:r>
        <w:rPr>
          <w:spacing w:val="-7"/>
          <w:sz w:val="18"/>
          <w:szCs w:val="18"/>
          <w:lang w:val="es-ES_tradnl"/>
        </w:rPr>
        <w:t xml:space="preserve">ala que se ha incumplido la siguiente </w:t>
      </w:r>
      <w:r>
        <w:rPr>
          <w:sz w:val="18"/>
          <w:szCs w:val="18"/>
          <w:lang w:val="es-ES_tradnl"/>
        </w:rPr>
        <w:t>decisi</w:t>
      </w:r>
      <w:r>
        <w:rPr>
          <w:rFonts w:cs="Times New Roman"/>
          <w:sz w:val="18"/>
          <w:szCs w:val="18"/>
          <w:lang w:val="es-ES_tradnl"/>
        </w:rPr>
        <w:t>ó</w:t>
      </w:r>
      <w:r>
        <w:rPr>
          <w:sz w:val="18"/>
          <w:szCs w:val="18"/>
          <w:lang w:val="es-ES_tradnl"/>
        </w:rPr>
        <w:t>n:</w:t>
      </w:r>
    </w:p>
    <w:p w14:paraId="4F67A924" w14:textId="77777777" w:rsidR="00591D54" w:rsidRDefault="00591D54">
      <w:pPr>
        <w:shd w:val="clear" w:color="auto" w:fill="FFFFFF"/>
        <w:spacing w:before="197" w:line="216" w:lineRule="exact"/>
        <w:ind w:left="283"/>
        <w:jc w:val="both"/>
      </w:pPr>
      <w:r>
        <w:rPr>
          <w:b/>
          <w:bCs/>
          <w:spacing w:val="-6"/>
          <w:sz w:val="18"/>
          <w:szCs w:val="18"/>
          <w:lang w:val="es-ES_tradnl"/>
        </w:rPr>
        <w:t xml:space="preserve">Sentencia dictada por la Primera Sala de la Corte </w:t>
      </w:r>
      <w:r>
        <w:rPr>
          <w:b/>
          <w:bCs/>
          <w:spacing w:val="-7"/>
          <w:sz w:val="18"/>
          <w:szCs w:val="18"/>
          <w:lang w:val="es-ES_tradnl"/>
        </w:rPr>
        <w:t>Constitucional, para el per</w:t>
      </w:r>
      <w:r>
        <w:rPr>
          <w:rFonts w:cs="Times New Roman"/>
          <w:b/>
          <w:bCs/>
          <w:spacing w:val="-7"/>
          <w:sz w:val="18"/>
          <w:szCs w:val="18"/>
          <w:lang w:val="es-ES_tradnl"/>
        </w:rPr>
        <w:t>í</w:t>
      </w:r>
      <w:r>
        <w:rPr>
          <w:b/>
          <w:bCs/>
          <w:spacing w:val="-7"/>
          <w:sz w:val="18"/>
          <w:szCs w:val="18"/>
          <w:lang w:val="es-ES_tradnl"/>
        </w:rPr>
        <w:t>odo de transici</w:t>
      </w:r>
      <w:r>
        <w:rPr>
          <w:rFonts w:cs="Times New Roman"/>
          <w:b/>
          <w:bCs/>
          <w:spacing w:val="-7"/>
          <w:sz w:val="18"/>
          <w:szCs w:val="18"/>
          <w:lang w:val="es-ES_tradnl"/>
        </w:rPr>
        <w:t>ó</w:t>
      </w:r>
      <w:r>
        <w:rPr>
          <w:b/>
          <w:bCs/>
          <w:spacing w:val="-7"/>
          <w:sz w:val="18"/>
          <w:szCs w:val="18"/>
          <w:lang w:val="es-ES_tradnl"/>
        </w:rPr>
        <w:t xml:space="preserve">n, el 05 </w:t>
      </w:r>
      <w:r>
        <w:rPr>
          <w:b/>
          <w:bCs/>
          <w:sz w:val="18"/>
          <w:szCs w:val="18"/>
          <w:lang w:val="es-ES_tradnl"/>
        </w:rPr>
        <w:t>de marzo de 2009:</w:t>
      </w:r>
    </w:p>
    <w:p w14:paraId="4F67A925" w14:textId="77777777" w:rsidR="00591D54" w:rsidRDefault="00591D54">
      <w:pPr>
        <w:shd w:val="clear" w:color="auto" w:fill="FFFFFF"/>
        <w:spacing w:before="197" w:line="216" w:lineRule="exact"/>
        <w:ind w:left="283"/>
        <w:jc w:val="both"/>
        <w:sectPr w:rsidR="00591D54" w:rsidSect="00171846">
          <w:type w:val="continuous"/>
          <w:pgSz w:w="11909" w:h="16834"/>
          <w:pgMar w:top="1356" w:right="1309" w:bottom="360" w:left="993" w:header="720" w:footer="720" w:gutter="0"/>
          <w:cols w:num="2" w:space="720" w:equalWidth="0">
            <w:col w:w="4620" w:space="682"/>
            <w:col w:w="4305"/>
          </w:cols>
          <w:noEndnote/>
        </w:sectPr>
      </w:pPr>
    </w:p>
    <w:p w14:paraId="4F67A926" w14:textId="77777777" w:rsidR="00591D54" w:rsidRDefault="00591D54">
      <w:pPr>
        <w:shd w:val="clear" w:color="auto" w:fill="FFFFFF"/>
        <w:tabs>
          <w:tab w:val="left" w:pos="4814"/>
        </w:tabs>
        <w:spacing w:after="226"/>
        <w:ind w:left="10"/>
      </w:pPr>
      <w:r>
        <w:rPr>
          <w:b/>
          <w:bCs/>
          <w:sz w:val="18"/>
          <w:szCs w:val="18"/>
          <w:lang w:val="es-ES_tradnl"/>
        </w:rPr>
        <w:t xml:space="preserve">70 -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927" w14:textId="77777777" w:rsidR="00591D54" w:rsidRDefault="00591D54">
      <w:pPr>
        <w:shd w:val="clear" w:color="auto" w:fill="FFFFFF"/>
        <w:tabs>
          <w:tab w:val="left" w:pos="4814"/>
        </w:tabs>
        <w:spacing w:after="226"/>
        <w:ind w:left="10"/>
        <w:sectPr w:rsidR="00591D54">
          <w:pgSz w:w="11909" w:h="16834"/>
          <w:pgMar w:top="1359" w:right="1304" w:bottom="360" w:left="1308" w:header="720" w:footer="720" w:gutter="0"/>
          <w:cols w:space="60"/>
          <w:noEndnote/>
        </w:sectPr>
      </w:pPr>
    </w:p>
    <w:p w14:paraId="4F67A928" w14:textId="77777777" w:rsidR="00591D54" w:rsidRDefault="00591D54">
      <w:pPr>
        <w:shd w:val="clear" w:color="auto" w:fill="FFFFFF"/>
        <w:spacing w:line="235" w:lineRule="exact"/>
        <w:ind w:left="283"/>
        <w:jc w:val="both"/>
      </w:pPr>
      <w:r>
        <w:rPr>
          <w:b/>
          <w:bCs/>
          <w:spacing w:val="-7"/>
          <w:sz w:val="18"/>
          <w:szCs w:val="18"/>
          <w:lang w:val="es-ES_tradnl"/>
        </w:rPr>
        <w:t xml:space="preserve">QUINTA.- </w:t>
      </w:r>
      <w:r>
        <w:rPr>
          <w:spacing w:val="-7"/>
          <w:sz w:val="18"/>
          <w:szCs w:val="18"/>
          <w:lang w:val="es-ES_tradnl"/>
        </w:rPr>
        <w:t>La accionante de modo alguno pod</w:t>
      </w:r>
      <w:r>
        <w:rPr>
          <w:rFonts w:cs="Times New Roman"/>
          <w:spacing w:val="-7"/>
          <w:sz w:val="18"/>
          <w:szCs w:val="18"/>
          <w:lang w:val="es-ES_tradnl"/>
        </w:rPr>
        <w:t>í</w:t>
      </w:r>
      <w:r>
        <w:rPr>
          <w:spacing w:val="-7"/>
          <w:sz w:val="18"/>
          <w:szCs w:val="18"/>
          <w:lang w:val="es-ES_tradnl"/>
        </w:rPr>
        <w:t xml:space="preserve">a haber </w:t>
      </w:r>
      <w:r>
        <w:rPr>
          <w:spacing w:val="-12"/>
          <w:sz w:val="18"/>
          <w:szCs w:val="18"/>
          <w:lang w:val="es-ES_tradnl"/>
        </w:rPr>
        <w:t>sido cesada en sus funciones de la manera ileg</w:t>
      </w:r>
      <w:r>
        <w:rPr>
          <w:rFonts w:cs="Times New Roman"/>
          <w:spacing w:val="-12"/>
          <w:sz w:val="18"/>
          <w:szCs w:val="18"/>
          <w:lang w:val="es-ES_tradnl"/>
        </w:rPr>
        <w:t>í</w:t>
      </w:r>
      <w:r>
        <w:rPr>
          <w:spacing w:val="-12"/>
          <w:sz w:val="18"/>
          <w:szCs w:val="18"/>
          <w:lang w:val="es-ES_tradnl"/>
        </w:rPr>
        <w:t xml:space="preserve">tima en la </w:t>
      </w:r>
      <w:r>
        <w:rPr>
          <w:spacing w:val="-10"/>
          <w:sz w:val="18"/>
          <w:szCs w:val="18"/>
          <w:lang w:val="es-ES_tradnl"/>
        </w:rPr>
        <w:t>que se procedi</w:t>
      </w:r>
      <w:r>
        <w:rPr>
          <w:rFonts w:cs="Times New Roman"/>
          <w:spacing w:val="-10"/>
          <w:sz w:val="18"/>
          <w:szCs w:val="18"/>
          <w:lang w:val="es-ES_tradnl"/>
        </w:rPr>
        <w:t>ó</w:t>
      </w:r>
      <w:r>
        <w:rPr>
          <w:spacing w:val="-10"/>
          <w:sz w:val="18"/>
          <w:szCs w:val="18"/>
          <w:lang w:val="es-ES_tradnl"/>
        </w:rPr>
        <w:t xml:space="preserve"> a hacerlo, puesto que la ficci</w:t>
      </w:r>
      <w:r>
        <w:rPr>
          <w:rFonts w:cs="Times New Roman"/>
          <w:spacing w:val="-10"/>
          <w:sz w:val="18"/>
          <w:szCs w:val="18"/>
          <w:lang w:val="es-ES_tradnl"/>
        </w:rPr>
        <w:t>ó</w:t>
      </w:r>
      <w:r>
        <w:rPr>
          <w:spacing w:val="-10"/>
          <w:sz w:val="18"/>
          <w:szCs w:val="18"/>
          <w:lang w:val="es-ES_tradnl"/>
        </w:rPr>
        <w:t xml:space="preserve">n legal de </w:t>
      </w:r>
      <w:r>
        <w:rPr>
          <w:rFonts w:cs="Times New Roman"/>
          <w:spacing w:val="-9"/>
          <w:sz w:val="18"/>
          <w:szCs w:val="18"/>
          <w:lang w:val="es-ES_tradnl"/>
        </w:rPr>
        <w:t>“</w:t>
      </w:r>
      <w:r>
        <w:rPr>
          <w:spacing w:val="-9"/>
          <w:sz w:val="18"/>
          <w:szCs w:val="18"/>
          <w:lang w:val="es-ES_tradnl"/>
        </w:rPr>
        <w:t>agradecer servicios</w:t>
      </w:r>
      <w:r>
        <w:rPr>
          <w:rFonts w:cs="Times New Roman"/>
          <w:spacing w:val="-9"/>
          <w:sz w:val="18"/>
          <w:szCs w:val="18"/>
          <w:lang w:val="es-ES_tradnl"/>
        </w:rPr>
        <w:t>”</w:t>
      </w:r>
      <w:r>
        <w:rPr>
          <w:spacing w:val="-9"/>
          <w:sz w:val="18"/>
          <w:szCs w:val="18"/>
          <w:lang w:val="es-ES_tradnl"/>
        </w:rPr>
        <w:t xml:space="preserve"> no se encuentra prevista en la Ley </w:t>
      </w:r>
      <w:r>
        <w:rPr>
          <w:spacing w:val="-6"/>
          <w:sz w:val="18"/>
          <w:szCs w:val="18"/>
          <w:lang w:val="es-ES_tradnl"/>
        </w:rPr>
        <w:t>Org</w:t>
      </w:r>
      <w:r>
        <w:rPr>
          <w:rFonts w:cs="Times New Roman"/>
          <w:spacing w:val="-6"/>
          <w:sz w:val="18"/>
          <w:szCs w:val="18"/>
          <w:lang w:val="es-ES_tradnl"/>
        </w:rPr>
        <w:t>á</w:t>
      </w:r>
      <w:r>
        <w:rPr>
          <w:spacing w:val="-6"/>
          <w:sz w:val="18"/>
          <w:szCs w:val="18"/>
          <w:lang w:val="es-ES_tradnl"/>
        </w:rPr>
        <w:t xml:space="preserve">nica de Servicio Civil y Carrera Administrativa, lo </w:t>
      </w:r>
      <w:r>
        <w:rPr>
          <w:spacing w:val="-8"/>
          <w:sz w:val="18"/>
          <w:szCs w:val="18"/>
          <w:lang w:val="es-ES_tradnl"/>
        </w:rPr>
        <w:t>que se ha producido en el presente caso es una virtual destituci</w:t>
      </w:r>
      <w:r>
        <w:rPr>
          <w:rFonts w:cs="Times New Roman"/>
          <w:spacing w:val="-8"/>
          <w:sz w:val="18"/>
          <w:szCs w:val="18"/>
          <w:lang w:val="es-ES_tradnl"/>
        </w:rPr>
        <w:t>ó</w:t>
      </w:r>
      <w:r>
        <w:rPr>
          <w:spacing w:val="-8"/>
          <w:sz w:val="18"/>
          <w:szCs w:val="18"/>
          <w:lang w:val="es-ES_tradnl"/>
        </w:rPr>
        <w:t>n del cargo a una servidora p</w:t>
      </w:r>
      <w:r>
        <w:rPr>
          <w:rFonts w:cs="Times New Roman"/>
          <w:spacing w:val="-8"/>
          <w:sz w:val="18"/>
          <w:szCs w:val="18"/>
          <w:lang w:val="es-ES_tradnl"/>
        </w:rPr>
        <w:t>ú</w:t>
      </w:r>
      <w:r>
        <w:rPr>
          <w:spacing w:val="-8"/>
          <w:sz w:val="18"/>
          <w:szCs w:val="18"/>
          <w:lang w:val="es-ES_tradnl"/>
        </w:rPr>
        <w:t xml:space="preserve">blica que no ha </w:t>
      </w:r>
      <w:r>
        <w:rPr>
          <w:spacing w:val="-7"/>
          <w:sz w:val="18"/>
          <w:szCs w:val="18"/>
          <w:lang w:val="es-ES_tradnl"/>
        </w:rPr>
        <w:t xml:space="preserve">incurrido en falta alguna, a la que no se la [sic] seguido </w:t>
      </w:r>
      <w:r>
        <w:rPr>
          <w:spacing w:val="-4"/>
          <w:sz w:val="18"/>
          <w:szCs w:val="18"/>
          <w:lang w:val="es-ES_tradnl"/>
        </w:rPr>
        <w:t xml:space="preserve">sumario administrativo de ninguna naturaleza y a la </w:t>
      </w:r>
      <w:r>
        <w:rPr>
          <w:spacing w:val="-6"/>
          <w:sz w:val="18"/>
          <w:szCs w:val="18"/>
          <w:lang w:val="es-ES_tradnl"/>
        </w:rPr>
        <w:t>que durante OCHO A</w:t>
      </w:r>
      <w:r>
        <w:rPr>
          <w:rFonts w:cs="Times New Roman"/>
          <w:spacing w:val="-6"/>
          <w:sz w:val="18"/>
          <w:szCs w:val="18"/>
          <w:lang w:val="es-ES_tradnl"/>
        </w:rPr>
        <w:t>Ñ</w:t>
      </w:r>
      <w:r>
        <w:rPr>
          <w:spacing w:val="-6"/>
          <w:sz w:val="18"/>
          <w:szCs w:val="18"/>
          <w:lang w:val="es-ES_tradnl"/>
        </w:rPr>
        <w:t xml:space="preserve">OS, nombramiento provisional que en virtud de la norma contenida en la letra d) del </w:t>
      </w:r>
      <w:r>
        <w:rPr>
          <w:spacing w:val="-5"/>
          <w:sz w:val="18"/>
          <w:szCs w:val="18"/>
          <w:lang w:val="es-ES_tradnl"/>
        </w:rPr>
        <w:t xml:space="preserve">Art. 169 del Reglamente [sic] de la LOSSCA, por no </w:t>
      </w:r>
      <w:r>
        <w:rPr>
          <w:spacing w:val="-7"/>
          <w:sz w:val="18"/>
          <w:szCs w:val="18"/>
          <w:lang w:val="es-ES_tradnl"/>
        </w:rPr>
        <w:t>haberse realizado la evaluaci</w:t>
      </w:r>
      <w:r>
        <w:rPr>
          <w:rFonts w:cs="Times New Roman"/>
          <w:spacing w:val="-7"/>
          <w:sz w:val="18"/>
          <w:szCs w:val="18"/>
          <w:lang w:val="es-ES_tradnl"/>
        </w:rPr>
        <w:t>ó</w:t>
      </w:r>
      <w:r>
        <w:rPr>
          <w:spacing w:val="-7"/>
          <w:sz w:val="18"/>
          <w:szCs w:val="18"/>
          <w:lang w:val="es-ES_tradnl"/>
        </w:rPr>
        <w:t xml:space="preserve">n respectiva dentro del </w:t>
      </w:r>
      <w:r>
        <w:rPr>
          <w:sz w:val="18"/>
          <w:szCs w:val="18"/>
          <w:lang w:val="es-ES_tradnl"/>
        </w:rPr>
        <w:t>t</w:t>
      </w:r>
      <w:r>
        <w:rPr>
          <w:rFonts w:cs="Times New Roman"/>
          <w:sz w:val="18"/>
          <w:szCs w:val="18"/>
          <w:lang w:val="es-ES_tradnl"/>
        </w:rPr>
        <w:t>é</w:t>
      </w:r>
      <w:r>
        <w:rPr>
          <w:sz w:val="18"/>
          <w:szCs w:val="18"/>
          <w:lang w:val="es-ES_tradnl"/>
        </w:rPr>
        <w:t>rmino de 6 meses, pas</w:t>
      </w:r>
      <w:r>
        <w:rPr>
          <w:rFonts w:cs="Times New Roman"/>
          <w:sz w:val="18"/>
          <w:szCs w:val="18"/>
          <w:lang w:val="es-ES_tradnl"/>
        </w:rPr>
        <w:t>ó</w:t>
      </w:r>
      <w:r>
        <w:rPr>
          <w:sz w:val="18"/>
          <w:szCs w:val="18"/>
          <w:lang w:val="es-ES_tradnl"/>
        </w:rPr>
        <w:t xml:space="preserve"> a ser regular.</w:t>
      </w:r>
    </w:p>
    <w:p w14:paraId="4F67A929" w14:textId="77777777" w:rsidR="00591D54" w:rsidRDefault="00591D54">
      <w:pPr>
        <w:shd w:val="clear" w:color="auto" w:fill="FFFFFF"/>
        <w:spacing w:before="250" w:line="235" w:lineRule="exact"/>
        <w:ind w:left="283" w:right="5"/>
        <w:jc w:val="both"/>
      </w:pPr>
      <w:r>
        <w:rPr>
          <w:spacing w:val="-7"/>
          <w:sz w:val="18"/>
          <w:szCs w:val="18"/>
          <w:lang w:val="es-ES_tradnl"/>
        </w:rPr>
        <w:t xml:space="preserve">Por las precedentes consideraciones, la Primera Sala </w:t>
      </w:r>
      <w:r>
        <w:rPr>
          <w:spacing w:val="-6"/>
          <w:sz w:val="18"/>
          <w:szCs w:val="18"/>
          <w:lang w:val="es-ES_tradnl"/>
        </w:rPr>
        <w:t xml:space="preserve">de la Corte Constitucional, en uso de las atribuciones </w:t>
      </w:r>
      <w:r>
        <w:rPr>
          <w:sz w:val="18"/>
          <w:szCs w:val="18"/>
          <w:lang w:val="es-ES_tradnl"/>
        </w:rPr>
        <w:t>legales y constitucionales de 1998,</w:t>
      </w:r>
    </w:p>
    <w:p w14:paraId="4F67A92A" w14:textId="77777777" w:rsidR="00591D54" w:rsidRDefault="00591D54">
      <w:pPr>
        <w:shd w:val="clear" w:color="auto" w:fill="FFFFFF"/>
        <w:spacing w:before="259"/>
        <w:ind w:left="1786"/>
      </w:pPr>
      <w:r>
        <w:rPr>
          <w:b/>
          <w:bCs/>
          <w:spacing w:val="-2"/>
          <w:sz w:val="18"/>
          <w:szCs w:val="18"/>
          <w:lang w:val="es-ES_tradnl"/>
        </w:rPr>
        <w:t>RESUELVE:</w:t>
      </w:r>
    </w:p>
    <w:p w14:paraId="4F67A92B" w14:textId="77777777" w:rsidR="00591D54" w:rsidRDefault="00591D54">
      <w:pPr>
        <w:shd w:val="clear" w:color="auto" w:fill="FFFFFF"/>
        <w:spacing w:before="250" w:line="235" w:lineRule="exact"/>
        <w:ind w:left="283" w:right="5"/>
        <w:jc w:val="both"/>
      </w:pPr>
      <w:r>
        <w:rPr>
          <w:sz w:val="18"/>
          <w:szCs w:val="18"/>
          <w:lang w:val="es-ES_tradnl"/>
        </w:rPr>
        <w:t xml:space="preserve">1. </w:t>
      </w:r>
      <w:r>
        <w:rPr>
          <w:rFonts w:cs="Times New Roman"/>
          <w:sz w:val="18"/>
          <w:szCs w:val="18"/>
          <w:lang w:val="es-ES_tradnl"/>
        </w:rPr>
        <w:t>–</w:t>
      </w:r>
      <w:r>
        <w:rPr>
          <w:sz w:val="18"/>
          <w:szCs w:val="18"/>
          <w:lang w:val="es-ES_tradnl"/>
        </w:rPr>
        <w:t xml:space="preserve"> Confirmar lo resuelto por el Tribunal inferior; </w:t>
      </w:r>
      <w:r>
        <w:rPr>
          <w:spacing w:val="-8"/>
          <w:sz w:val="18"/>
          <w:szCs w:val="18"/>
          <w:lang w:val="es-ES_tradnl"/>
        </w:rPr>
        <w:t>y, en consecuencia conceder la acci</w:t>
      </w:r>
      <w:r>
        <w:rPr>
          <w:rFonts w:cs="Times New Roman"/>
          <w:spacing w:val="-8"/>
          <w:sz w:val="18"/>
          <w:szCs w:val="18"/>
          <w:lang w:val="es-ES_tradnl"/>
        </w:rPr>
        <w:t>ó</w:t>
      </w:r>
      <w:r>
        <w:rPr>
          <w:spacing w:val="-8"/>
          <w:sz w:val="18"/>
          <w:szCs w:val="18"/>
          <w:lang w:val="es-ES_tradnl"/>
        </w:rPr>
        <w:t xml:space="preserve">n de amparo </w:t>
      </w:r>
      <w:r>
        <w:rPr>
          <w:spacing w:val="-7"/>
          <w:sz w:val="18"/>
          <w:szCs w:val="18"/>
          <w:lang w:val="es-ES_tradnl"/>
        </w:rPr>
        <w:t>constitucional propuesta por la doctora Mar</w:t>
      </w:r>
      <w:r>
        <w:rPr>
          <w:rFonts w:cs="Times New Roman"/>
          <w:spacing w:val="-7"/>
          <w:sz w:val="18"/>
          <w:szCs w:val="18"/>
          <w:lang w:val="es-ES_tradnl"/>
        </w:rPr>
        <w:t>í</w:t>
      </w:r>
      <w:r>
        <w:rPr>
          <w:spacing w:val="-7"/>
          <w:sz w:val="18"/>
          <w:szCs w:val="18"/>
          <w:lang w:val="es-ES_tradnl"/>
        </w:rPr>
        <w:t xml:space="preserve">a Carmen </w:t>
      </w:r>
      <w:r>
        <w:rPr>
          <w:sz w:val="18"/>
          <w:szCs w:val="18"/>
          <w:lang w:val="es-ES_tradnl"/>
        </w:rPr>
        <w:t>Paca Ajitimbay; y (</w:t>
      </w:r>
      <w:r>
        <w:rPr>
          <w:rFonts w:cs="Times New Roman"/>
          <w:sz w:val="18"/>
          <w:szCs w:val="18"/>
          <w:lang w:val="es-ES_tradnl"/>
        </w:rPr>
        <w:t>…</w:t>
      </w:r>
      <w:r>
        <w:rPr>
          <w:sz w:val="18"/>
          <w:szCs w:val="18"/>
          <w:lang w:val="es-ES_tradnl"/>
        </w:rPr>
        <w:t>).</w:t>
      </w:r>
    </w:p>
    <w:p w14:paraId="4F67A92C" w14:textId="77777777" w:rsidR="00591D54" w:rsidRDefault="00591D54">
      <w:pPr>
        <w:shd w:val="clear" w:color="auto" w:fill="FFFFFF"/>
        <w:spacing w:before="254"/>
      </w:pPr>
      <w:r>
        <w:rPr>
          <w:b/>
          <w:bCs/>
          <w:spacing w:val="-10"/>
          <w:sz w:val="18"/>
          <w:szCs w:val="18"/>
          <w:lang w:val="es-ES_tradnl"/>
        </w:rPr>
        <w:t>Fundamentos y pretensi</w:t>
      </w:r>
      <w:r>
        <w:rPr>
          <w:rFonts w:cs="Times New Roman"/>
          <w:b/>
          <w:bCs/>
          <w:spacing w:val="-10"/>
          <w:sz w:val="18"/>
          <w:szCs w:val="18"/>
          <w:lang w:val="es-ES_tradnl"/>
        </w:rPr>
        <w:t>ó</w:t>
      </w:r>
      <w:r>
        <w:rPr>
          <w:b/>
          <w:bCs/>
          <w:spacing w:val="-10"/>
          <w:sz w:val="18"/>
          <w:szCs w:val="18"/>
          <w:lang w:val="es-ES_tradnl"/>
        </w:rPr>
        <w:t>n de la demanda</w:t>
      </w:r>
    </w:p>
    <w:p w14:paraId="4F67A92D" w14:textId="77777777" w:rsidR="00591D54" w:rsidRDefault="00591D54">
      <w:pPr>
        <w:shd w:val="clear" w:color="auto" w:fill="FFFFFF"/>
        <w:spacing w:before="259"/>
      </w:pPr>
      <w:r>
        <w:rPr>
          <w:b/>
          <w:bCs/>
          <w:spacing w:val="-8"/>
          <w:sz w:val="18"/>
          <w:szCs w:val="18"/>
          <w:lang w:val="es-ES_tradnl"/>
        </w:rPr>
        <w:t>Detalle y fundamento de la demanda</w:t>
      </w:r>
    </w:p>
    <w:p w14:paraId="4F67A92E" w14:textId="77777777" w:rsidR="00591D54" w:rsidRDefault="00591D54">
      <w:pPr>
        <w:shd w:val="clear" w:color="auto" w:fill="FFFFFF"/>
        <w:spacing w:before="250" w:line="235" w:lineRule="exact"/>
        <w:jc w:val="both"/>
      </w:pPr>
      <w:r>
        <w:rPr>
          <w:spacing w:val="-10"/>
          <w:sz w:val="18"/>
          <w:szCs w:val="18"/>
          <w:lang w:val="es-ES_tradnl"/>
        </w:rPr>
        <w:t xml:space="preserve">La accionante en lo principal, manifiesta que la Primera Sala </w:t>
      </w:r>
      <w:r>
        <w:rPr>
          <w:spacing w:val="-6"/>
          <w:sz w:val="18"/>
          <w:szCs w:val="18"/>
          <w:lang w:val="es-ES_tradnl"/>
        </w:rPr>
        <w:t>de la Corte Constitucional, para el per</w:t>
      </w:r>
      <w:r>
        <w:rPr>
          <w:rFonts w:cs="Times New Roman"/>
          <w:spacing w:val="-6"/>
          <w:sz w:val="18"/>
          <w:szCs w:val="18"/>
          <w:lang w:val="es-ES_tradnl"/>
        </w:rPr>
        <w:t>í</w:t>
      </w:r>
      <w:r>
        <w:rPr>
          <w:spacing w:val="-6"/>
          <w:sz w:val="18"/>
          <w:szCs w:val="18"/>
          <w:lang w:val="es-ES_tradnl"/>
        </w:rPr>
        <w:t>odo de transici</w:t>
      </w:r>
      <w:r>
        <w:rPr>
          <w:rFonts w:cs="Times New Roman"/>
          <w:spacing w:val="-6"/>
          <w:sz w:val="18"/>
          <w:szCs w:val="18"/>
          <w:lang w:val="es-ES_tradnl"/>
        </w:rPr>
        <w:t>ó</w:t>
      </w:r>
      <w:r>
        <w:rPr>
          <w:spacing w:val="-6"/>
          <w:sz w:val="18"/>
          <w:szCs w:val="18"/>
          <w:lang w:val="es-ES_tradnl"/>
        </w:rPr>
        <w:t xml:space="preserve">n, </w:t>
      </w:r>
      <w:r>
        <w:rPr>
          <w:spacing w:val="-7"/>
          <w:sz w:val="18"/>
          <w:szCs w:val="18"/>
          <w:lang w:val="es-ES_tradnl"/>
        </w:rPr>
        <w:t>mediante la sentencia del 05 de marzo de 2009, confirm</w:t>
      </w:r>
      <w:r>
        <w:rPr>
          <w:rFonts w:cs="Times New Roman"/>
          <w:spacing w:val="-7"/>
          <w:sz w:val="18"/>
          <w:szCs w:val="18"/>
          <w:lang w:val="es-ES_tradnl"/>
        </w:rPr>
        <w:t xml:space="preserve">ó </w:t>
      </w:r>
      <w:r>
        <w:rPr>
          <w:spacing w:val="-5"/>
          <w:sz w:val="18"/>
          <w:szCs w:val="18"/>
          <w:lang w:val="es-ES_tradnl"/>
        </w:rPr>
        <w:t>lo resuelto por el Tribunal Inferior y que, por tanto, deb</w:t>
      </w:r>
      <w:r>
        <w:rPr>
          <w:rFonts w:cs="Times New Roman"/>
          <w:spacing w:val="-5"/>
          <w:sz w:val="18"/>
          <w:szCs w:val="18"/>
          <w:lang w:val="es-ES_tradnl"/>
        </w:rPr>
        <w:t>í</w:t>
      </w:r>
      <w:r>
        <w:rPr>
          <w:spacing w:val="-5"/>
          <w:sz w:val="18"/>
          <w:szCs w:val="18"/>
          <w:lang w:val="es-ES_tradnl"/>
        </w:rPr>
        <w:t xml:space="preserve">a </w:t>
      </w:r>
      <w:r>
        <w:rPr>
          <w:spacing w:val="-10"/>
          <w:sz w:val="18"/>
          <w:szCs w:val="18"/>
          <w:lang w:val="es-ES_tradnl"/>
        </w:rPr>
        <w:t>reintegr</w:t>
      </w:r>
      <w:r>
        <w:rPr>
          <w:rFonts w:cs="Times New Roman"/>
          <w:spacing w:val="-10"/>
          <w:sz w:val="18"/>
          <w:szCs w:val="18"/>
          <w:lang w:val="es-ES_tradnl"/>
        </w:rPr>
        <w:t>á</w:t>
      </w:r>
      <w:r>
        <w:rPr>
          <w:spacing w:val="-10"/>
          <w:sz w:val="18"/>
          <w:szCs w:val="18"/>
          <w:lang w:val="es-ES_tradnl"/>
        </w:rPr>
        <w:t xml:space="preserve">rsele a su puesto de trabajo en el Hospital de Colta, </w:t>
      </w:r>
      <w:r>
        <w:rPr>
          <w:spacing w:val="-7"/>
          <w:sz w:val="18"/>
          <w:szCs w:val="18"/>
          <w:lang w:val="es-ES_tradnl"/>
        </w:rPr>
        <w:t>como m</w:t>
      </w:r>
      <w:r>
        <w:rPr>
          <w:rFonts w:cs="Times New Roman"/>
          <w:spacing w:val="-7"/>
          <w:sz w:val="18"/>
          <w:szCs w:val="18"/>
          <w:lang w:val="es-ES_tradnl"/>
        </w:rPr>
        <w:t>é</w:t>
      </w:r>
      <w:r>
        <w:rPr>
          <w:spacing w:val="-7"/>
          <w:sz w:val="18"/>
          <w:szCs w:val="18"/>
          <w:lang w:val="es-ES_tradnl"/>
        </w:rPr>
        <w:t xml:space="preserve">dico residente 5-8HD y proceder con el pago de </w:t>
      </w:r>
      <w:r>
        <w:rPr>
          <w:spacing w:val="-6"/>
          <w:sz w:val="18"/>
          <w:szCs w:val="18"/>
          <w:lang w:val="es-ES_tradnl"/>
        </w:rPr>
        <w:t xml:space="preserve">las remuneraciones y bonificaciones que hubiere dejado </w:t>
      </w:r>
      <w:r>
        <w:rPr>
          <w:spacing w:val="-8"/>
          <w:sz w:val="18"/>
          <w:szCs w:val="18"/>
          <w:lang w:val="es-ES_tradnl"/>
        </w:rPr>
        <w:t>de percibir desde que fuera cesada, mediante acci</w:t>
      </w:r>
      <w:r>
        <w:rPr>
          <w:rFonts w:cs="Times New Roman"/>
          <w:spacing w:val="-8"/>
          <w:sz w:val="18"/>
          <w:szCs w:val="18"/>
          <w:lang w:val="es-ES_tradnl"/>
        </w:rPr>
        <w:t>ó</w:t>
      </w:r>
      <w:r>
        <w:rPr>
          <w:spacing w:val="-8"/>
          <w:sz w:val="18"/>
          <w:szCs w:val="18"/>
          <w:lang w:val="es-ES_tradnl"/>
        </w:rPr>
        <w:t xml:space="preserve">n de </w:t>
      </w:r>
      <w:r>
        <w:rPr>
          <w:spacing w:val="-11"/>
          <w:sz w:val="18"/>
          <w:szCs w:val="18"/>
          <w:lang w:val="es-ES_tradnl"/>
        </w:rPr>
        <w:t>personal signada con el N.</w:t>
      </w:r>
      <w:r>
        <w:rPr>
          <w:rFonts w:cs="Times New Roman"/>
          <w:spacing w:val="-11"/>
          <w:sz w:val="18"/>
          <w:szCs w:val="18"/>
          <w:lang w:val="es-ES_tradnl"/>
        </w:rPr>
        <w:t>º</w:t>
      </w:r>
      <w:r>
        <w:rPr>
          <w:spacing w:val="-11"/>
          <w:sz w:val="18"/>
          <w:szCs w:val="18"/>
          <w:lang w:val="es-ES_tradnl"/>
        </w:rPr>
        <w:t xml:space="preserve"> 2007 DPSCH-HPEC-DP 075 del 26 de febrero de 2007 hasta que fuera reintegrada, mediante </w:t>
      </w:r>
      <w:r>
        <w:rPr>
          <w:spacing w:val="-10"/>
          <w:sz w:val="18"/>
          <w:szCs w:val="18"/>
          <w:lang w:val="es-ES_tradnl"/>
        </w:rPr>
        <w:t>acci</w:t>
      </w:r>
      <w:r>
        <w:rPr>
          <w:rFonts w:cs="Times New Roman"/>
          <w:spacing w:val="-10"/>
          <w:sz w:val="18"/>
          <w:szCs w:val="18"/>
          <w:lang w:val="es-ES_tradnl"/>
        </w:rPr>
        <w:t>ó</w:t>
      </w:r>
      <w:r>
        <w:rPr>
          <w:spacing w:val="-10"/>
          <w:sz w:val="18"/>
          <w:szCs w:val="18"/>
          <w:lang w:val="es-ES_tradnl"/>
        </w:rPr>
        <w:t>n de personal signada con el N.</w:t>
      </w:r>
      <w:r>
        <w:rPr>
          <w:rFonts w:cs="Times New Roman"/>
          <w:spacing w:val="-10"/>
          <w:sz w:val="18"/>
          <w:szCs w:val="18"/>
          <w:lang w:val="es-ES_tradnl"/>
        </w:rPr>
        <w:t>º</w:t>
      </w:r>
      <w:r>
        <w:rPr>
          <w:spacing w:val="-10"/>
          <w:sz w:val="18"/>
          <w:szCs w:val="18"/>
          <w:lang w:val="es-ES_tradnl"/>
        </w:rPr>
        <w:t xml:space="preserve"> 2008 DPSCH-HPEC-</w:t>
      </w:r>
      <w:r>
        <w:rPr>
          <w:sz w:val="18"/>
          <w:szCs w:val="18"/>
          <w:lang w:val="es-ES_tradnl"/>
        </w:rPr>
        <w:t>DP 0215 del 28 de mayo de 2008.</w:t>
      </w:r>
    </w:p>
    <w:p w14:paraId="4F67A92F" w14:textId="77777777" w:rsidR="00591D54" w:rsidRDefault="00591D54">
      <w:pPr>
        <w:shd w:val="clear" w:color="auto" w:fill="FFFFFF"/>
        <w:spacing w:before="254"/>
      </w:pPr>
      <w:r>
        <w:rPr>
          <w:b/>
          <w:bCs/>
          <w:spacing w:val="-11"/>
          <w:sz w:val="18"/>
          <w:szCs w:val="18"/>
          <w:lang w:val="es-ES_tradnl"/>
        </w:rPr>
        <w:t>Pretensi</w:t>
      </w:r>
      <w:r>
        <w:rPr>
          <w:rFonts w:cs="Times New Roman"/>
          <w:b/>
          <w:bCs/>
          <w:spacing w:val="-11"/>
          <w:sz w:val="18"/>
          <w:szCs w:val="18"/>
          <w:lang w:val="es-ES_tradnl"/>
        </w:rPr>
        <w:t>ó</w:t>
      </w:r>
      <w:r>
        <w:rPr>
          <w:b/>
          <w:bCs/>
          <w:spacing w:val="-11"/>
          <w:sz w:val="18"/>
          <w:szCs w:val="18"/>
          <w:lang w:val="es-ES_tradnl"/>
        </w:rPr>
        <w:t>n</w:t>
      </w:r>
    </w:p>
    <w:p w14:paraId="4F67A930" w14:textId="77777777" w:rsidR="00591D54" w:rsidRDefault="00591D54">
      <w:pPr>
        <w:shd w:val="clear" w:color="auto" w:fill="FFFFFF"/>
        <w:spacing w:before="250" w:line="235" w:lineRule="exact"/>
        <w:jc w:val="both"/>
      </w:pPr>
      <w:r>
        <w:rPr>
          <w:spacing w:val="-10"/>
          <w:sz w:val="18"/>
          <w:szCs w:val="18"/>
          <w:lang w:val="es-ES_tradnl"/>
        </w:rPr>
        <w:t xml:space="preserve">Con estos antecedentes, la accionante solicita puntualmente </w:t>
      </w:r>
      <w:r>
        <w:rPr>
          <w:sz w:val="18"/>
          <w:szCs w:val="18"/>
          <w:lang w:val="es-ES_tradnl"/>
        </w:rPr>
        <w:t>que de conformidad con lo se</w:t>
      </w:r>
      <w:r>
        <w:rPr>
          <w:rFonts w:cs="Times New Roman"/>
          <w:sz w:val="18"/>
          <w:szCs w:val="18"/>
          <w:lang w:val="es-ES_tradnl"/>
        </w:rPr>
        <w:t>ñ</w:t>
      </w:r>
      <w:r>
        <w:rPr>
          <w:sz w:val="18"/>
          <w:szCs w:val="18"/>
          <w:lang w:val="es-ES_tradnl"/>
        </w:rPr>
        <w:t xml:space="preserve">alado en el numeral 4 </w:t>
      </w:r>
      <w:r>
        <w:rPr>
          <w:spacing w:val="-5"/>
          <w:sz w:val="18"/>
          <w:szCs w:val="18"/>
          <w:lang w:val="es-ES_tradnl"/>
        </w:rPr>
        <w:t>del art</w:t>
      </w:r>
      <w:r>
        <w:rPr>
          <w:rFonts w:cs="Times New Roman"/>
          <w:spacing w:val="-5"/>
          <w:sz w:val="18"/>
          <w:szCs w:val="18"/>
          <w:lang w:val="es-ES_tradnl"/>
        </w:rPr>
        <w:t>í</w:t>
      </w:r>
      <w:r>
        <w:rPr>
          <w:spacing w:val="-5"/>
          <w:sz w:val="18"/>
          <w:szCs w:val="18"/>
          <w:lang w:val="es-ES_tradnl"/>
        </w:rPr>
        <w:t>culo 86 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blica</w:t>
      </w:r>
      <w:r>
        <w:rPr>
          <w:spacing w:val="-5"/>
          <w:sz w:val="18"/>
          <w:szCs w:val="18"/>
          <w:vertAlign w:val="superscript"/>
          <w:lang w:val="es-ES_tradnl"/>
        </w:rPr>
        <w:t>1</w:t>
      </w:r>
      <w:r>
        <w:rPr>
          <w:spacing w:val="-5"/>
          <w:sz w:val="18"/>
          <w:szCs w:val="18"/>
          <w:lang w:val="es-ES_tradnl"/>
        </w:rPr>
        <w:t xml:space="preserve"> en </w:t>
      </w:r>
      <w:r>
        <w:rPr>
          <w:spacing w:val="-1"/>
          <w:sz w:val="18"/>
          <w:szCs w:val="18"/>
          <w:lang w:val="es-ES_tradnl"/>
        </w:rPr>
        <w:t>concordancia con el art</w:t>
      </w:r>
      <w:r>
        <w:rPr>
          <w:rFonts w:cs="Times New Roman"/>
          <w:spacing w:val="-1"/>
          <w:sz w:val="18"/>
          <w:szCs w:val="18"/>
          <w:lang w:val="es-ES_tradnl"/>
        </w:rPr>
        <w:t>í</w:t>
      </w:r>
      <w:r>
        <w:rPr>
          <w:spacing w:val="-1"/>
          <w:sz w:val="18"/>
          <w:szCs w:val="18"/>
          <w:lang w:val="es-ES_tradnl"/>
        </w:rPr>
        <w:t>culo 18 de la Ley Org</w:t>
      </w:r>
      <w:r>
        <w:rPr>
          <w:rFonts w:cs="Times New Roman"/>
          <w:spacing w:val="-1"/>
          <w:sz w:val="18"/>
          <w:szCs w:val="18"/>
          <w:lang w:val="es-ES_tradnl"/>
        </w:rPr>
        <w:t>á</w:t>
      </w:r>
      <w:r>
        <w:rPr>
          <w:spacing w:val="-1"/>
          <w:sz w:val="18"/>
          <w:szCs w:val="18"/>
          <w:lang w:val="es-ES_tradnl"/>
        </w:rPr>
        <w:t>nica de</w:t>
      </w:r>
    </w:p>
    <w:p w14:paraId="4F67A931" w14:textId="77777777" w:rsidR="00591D54" w:rsidRDefault="00591D54">
      <w:pPr>
        <w:shd w:val="clear" w:color="auto" w:fill="FFFFFF"/>
        <w:spacing w:before="792" w:line="178" w:lineRule="exact"/>
        <w:ind w:left="139" w:right="5" w:hanging="139"/>
        <w:jc w:val="both"/>
      </w:pPr>
      <w:r>
        <w:rPr>
          <w:sz w:val="14"/>
          <w:szCs w:val="14"/>
          <w:vertAlign w:val="superscript"/>
          <w:lang w:val="es-ES_tradnl"/>
        </w:rPr>
        <w:t>1</w:t>
      </w:r>
      <w:r>
        <w:rPr>
          <w:sz w:val="14"/>
          <w:szCs w:val="14"/>
          <w:lang w:val="es-ES_tradnl"/>
        </w:rPr>
        <w:t xml:space="preserve"> </w:t>
      </w:r>
      <w:r>
        <w:rPr>
          <w:rFonts w:cs="Times New Roman"/>
          <w:sz w:val="14"/>
          <w:szCs w:val="14"/>
          <w:lang w:val="es-ES_tradnl"/>
        </w:rPr>
        <w:t>“</w:t>
      </w:r>
      <w:r>
        <w:rPr>
          <w:sz w:val="14"/>
          <w:szCs w:val="14"/>
          <w:lang w:val="es-ES_tradnl"/>
        </w:rPr>
        <w:t>(</w:t>
      </w:r>
      <w:r>
        <w:rPr>
          <w:rFonts w:cs="Times New Roman"/>
          <w:sz w:val="14"/>
          <w:szCs w:val="14"/>
          <w:lang w:val="es-ES_tradnl"/>
        </w:rPr>
        <w:t>…</w:t>
      </w:r>
      <w:r>
        <w:rPr>
          <w:sz w:val="14"/>
          <w:szCs w:val="14"/>
          <w:lang w:val="es-ES_tradnl"/>
        </w:rPr>
        <w:t>) 4. Si la sentencia o resoluci</w:t>
      </w:r>
      <w:r>
        <w:rPr>
          <w:rFonts w:cs="Times New Roman"/>
          <w:sz w:val="14"/>
          <w:szCs w:val="14"/>
          <w:lang w:val="es-ES_tradnl"/>
        </w:rPr>
        <w:t>ó</w:t>
      </w:r>
      <w:r>
        <w:rPr>
          <w:sz w:val="14"/>
          <w:szCs w:val="14"/>
          <w:lang w:val="es-ES_tradnl"/>
        </w:rPr>
        <w:t>n no se cumple por parte de servidoras o servidores p</w:t>
      </w:r>
      <w:r>
        <w:rPr>
          <w:rFonts w:cs="Times New Roman"/>
          <w:sz w:val="14"/>
          <w:szCs w:val="14"/>
          <w:lang w:val="es-ES_tradnl"/>
        </w:rPr>
        <w:t>ú</w:t>
      </w:r>
      <w:r>
        <w:rPr>
          <w:sz w:val="14"/>
          <w:szCs w:val="14"/>
          <w:lang w:val="es-ES_tradnl"/>
        </w:rPr>
        <w:t>blicos, la jueza o juez ordenar</w:t>
      </w:r>
      <w:r>
        <w:rPr>
          <w:rFonts w:cs="Times New Roman"/>
          <w:sz w:val="14"/>
          <w:szCs w:val="14"/>
          <w:lang w:val="es-ES_tradnl"/>
        </w:rPr>
        <w:t>á</w:t>
      </w:r>
      <w:r>
        <w:rPr>
          <w:sz w:val="14"/>
          <w:szCs w:val="14"/>
          <w:lang w:val="es-ES_tradnl"/>
        </w:rPr>
        <w:t xml:space="preserve"> su destituci</w:t>
      </w:r>
      <w:r>
        <w:rPr>
          <w:rFonts w:cs="Times New Roman"/>
          <w:sz w:val="14"/>
          <w:szCs w:val="14"/>
          <w:lang w:val="es-ES_tradnl"/>
        </w:rPr>
        <w:t>ó</w:t>
      </w:r>
      <w:r>
        <w:rPr>
          <w:sz w:val="14"/>
          <w:szCs w:val="14"/>
          <w:lang w:val="es-ES_tradnl"/>
        </w:rPr>
        <w:t xml:space="preserve">n del cargo o empleo, sin perjuicio de la responsabilidad civil o penal a que haya lugar. Cuando sea un particular quien </w:t>
      </w:r>
      <w:r>
        <w:rPr>
          <w:spacing w:val="-4"/>
          <w:sz w:val="14"/>
          <w:szCs w:val="14"/>
          <w:lang w:val="es-ES_tradnl"/>
        </w:rPr>
        <w:t>incumpla la sentencia o resoluci</w:t>
      </w:r>
      <w:r>
        <w:rPr>
          <w:rFonts w:cs="Times New Roman"/>
          <w:spacing w:val="-4"/>
          <w:sz w:val="14"/>
          <w:szCs w:val="14"/>
          <w:lang w:val="es-ES_tradnl"/>
        </w:rPr>
        <w:t>ó</w:t>
      </w:r>
      <w:r>
        <w:rPr>
          <w:spacing w:val="-4"/>
          <w:sz w:val="14"/>
          <w:szCs w:val="14"/>
          <w:lang w:val="es-ES_tradnl"/>
        </w:rPr>
        <w:t>n, se har</w:t>
      </w:r>
      <w:r>
        <w:rPr>
          <w:rFonts w:cs="Times New Roman"/>
          <w:spacing w:val="-4"/>
          <w:sz w:val="14"/>
          <w:szCs w:val="14"/>
          <w:lang w:val="es-ES_tradnl"/>
        </w:rPr>
        <w:t>á</w:t>
      </w:r>
      <w:r>
        <w:rPr>
          <w:spacing w:val="-4"/>
          <w:sz w:val="14"/>
          <w:szCs w:val="14"/>
          <w:lang w:val="es-ES_tradnl"/>
        </w:rPr>
        <w:t xml:space="preserve"> efectiva la responsabilidad </w:t>
      </w:r>
      <w:r>
        <w:rPr>
          <w:sz w:val="14"/>
          <w:szCs w:val="14"/>
          <w:lang w:val="es-ES_tradnl"/>
        </w:rPr>
        <w:t>determinada en la ley.</w:t>
      </w:r>
      <w:r>
        <w:rPr>
          <w:rFonts w:cs="Times New Roman"/>
          <w:sz w:val="14"/>
          <w:szCs w:val="14"/>
          <w:lang w:val="es-ES_tradnl"/>
        </w:rPr>
        <w:t>”</w:t>
      </w:r>
    </w:p>
    <w:p w14:paraId="4F67A932" w14:textId="77777777" w:rsidR="00591D54" w:rsidRDefault="00591D54">
      <w:pPr>
        <w:shd w:val="clear" w:color="auto" w:fill="FFFFFF"/>
        <w:spacing w:line="226" w:lineRule="exact"/>
        <w:ind w:right="5"/>
        <w:jc w:val="both"/>
      </w:pPr>
      <w:r>
        <w:br w:type="column"/>
      </w:r>
      <w:r>
        <w:rPr>
          <w:spacing w:val="-7"/>
          <w:sz w:val="18"/>
          <w:szCs w:val="18"/>
          <w:lang w:val="es-ES_tradnl"/>
        </w:rPr>
        <w:t>Garant</w:t>
      </w:r>
      <w:r>
        <w:rPr>
          <w:rFonts w:cs="Times New Roman"/>
          <w:spacing w:val="-7"/>
          <w:sz w:val="18"/>
          <w:szCs w:val="18"/>
          <w:lang w:val="es-ES_tradnl"/>
        </w:rPr>
        <w:t>í</w:t>
      </w:r>
      <w:r>
        <w:rPr>
          <w:spacing w:val="-7"/>
          <w:sz w:val="18"/>
          <w:szCs w:val="18"/>
          <w:lang w:val="es-ES_tradnl"/>
        </w:rPr>
        <w:t>as Jurisdiccionales y Control Constitucional</w:t>
      </w:r>
      <w:r>
        <w:rPr>
          <w:spacing w:val="-7"/>
          <w:sz w:val="18"/>
          <w:szCs w:val="18"/>
          <w:vertAlign w:val="superscript"/>
          <w:lang w:val="es-ES_tradnl"/>
        </w:rPr>
        <w:t>2</w:t>
      </w:r>
      <w:r>
        <w:rPr>
          <w:spacing w:val="-7"/>
          <w:sz w:val="18"/>
          <w:szCs w:val="18"/>
          <w:lang w:val="es-ES_tradnl"/>
        </w:rPr>
        <w:t xml:space="preserve">, se </w:t>
      </w:r>
      <w:r>
        <w:rPr>
          <w:spacing w:val="-10"/>
          <w:sz w:val="18"/>
          <w:szCs w:val="18"/>
          <w:lang w:val="es-ES_tradnl"/>
        </w:rPr>
        <w:t>disponga, a t</w:t>
      </w:r>
      <w:r>
        <w:rPr>
          <w:rFonts w:cs="Times New Roman"/>
          <w:spacing w:val="-10"/>
          <w:sz w:val="18"/>
          <w:szCs w:val="18"/>
          <w:lang w:val="es-ES_tradnl"/>
        </w:rPr>
        <w:t>í</w:t>
      </w:r>
      <w:r>
        <w:rPr>
          <w:spacing w:val="-10"/>
          <w:sz w:val="18"/>
          <w:szCs w:val="18"/>
          <w:lang w:val="es-ES_tradnl"/>
        </w:rPr>
        <w:t>tulo de reparaci</w:t>
      </w:r>
      <w:r>
        <w:rPr>
          <w:rFonts w:cs="Times New Roman"/>
          <w:spacing w:val="-10"/>
          <w:sz w:val="18"/>
          <w:szCs w:val="18"/>
          <w:lang w:val="es-ES_tradnl"/>
        </w:rPr>
        <w:t>ó</w:t>
      </w:r>
      <w:r>
        <w:rPr>
          <w:spacing w:val="-10"/>
          <w:sz w:val="18"/>
          <w:szCs w:val="18"/>
          <w:lang w:val="es-ES_tradnl"/>
        </w:rPr>
        <w:t xml:space="preserve">n integral, el pago de todas las </w:t>
      </w:r>
      <w:r>
        <w:rPr>
          <w:spacing w:val="-8"/>
          <w:sz w:val="18"/>
          <w:szCs w:val="18"/>
          <w:lang w:val="es-ES_tradnl"/>
        </w:rPr>
        <w:t>remuneraciones que dej</w:t>
      </w:r>
      <w:r>
        <w:rPr>
          <w:rFonts w:cs="Times New Roman"/>
          <w:spacing w:val="-8"/>
          <w:sz w:val="18"/>
          <w:szCs w:val="18"/>
          <w:lang w:val="es-ES_tradnl"/>
        </w:rPr>
        <w:t>ó</w:t>
      </w:r>
      <w:r>
        <w:rPr>
          <w:spacing w:val="-8"/>
          <w:sz w:val="18"/>
          <w:szCs w:val="18"/>
          <w:lang w:val="es-ES_tradnl"/>
        </w:rPr>
        <w:t xml:space="preserve"> de percibir entre el 26 de febrero </w:t>
      </w:r>
      <w:r>
        <w:rPr>
          <w:spacing w:val="-5"/>
          <w:sz w:val="18"/>
          <w:szCs w:val="18"/>
          <w:lang w:val="es-ES_tradnl"/>
        </w:rPr>
        <w:t xml:space="preserve">de 2007 y el 01 de junio de 2008, incluyendo el pago de </w:t>
      </w:r>
      <w:r>
        <w:rPr>
          <w:spacing w:val="-9"/>
          <w:sz w:val="18"/>
          <w:szCs w:val="18"/>
          <w:lang w:val="es-ES_tradnl"/>
        </w:rPr>
        <w:t>aportes al Instituto Ecuatoriano de Seguridad Social (IESS), fondos de reserva, vacaciones no gozadas y uniformes.</w:t>
      </w:r>
    </w:p>
    <w:p w14:paraId="4F67A933" w14:textId="77777777" w:rsidR="00591D54" w:rsidRDefault="00591D54">
      <w:pPr>
        <w:shd w:val="clear" w:color="auto" w:fill="FFFFFF"/>
        <w:spacing w:before="245"/>
      </w:pPr>
      <w:r>
        <w:rPr>
          <w:b/>
          <w:bCs/>
          <w:spacing w:val="-10"/>
          <w:sz w:val="18"/>
          <w:szCs w:val="18"/>
          <w:lang w:val="es-ES_tradnl"/>
        </w:rPr>
        <w:t>Contestaci</w:t>
      </w:r>
      <w:r>
        <w:rPr>
          <w:rFonts w:cs="Times New Roman"/>
          <w:b/>
          <w:bCs/>
          <w:spacing w:val="-10"/>
          <w:sz w:val="18"/>
          <w:szCs w:val="18"/>
          <w:lang w:val="es-ES_tradnl"/>
        </w:rPr>
        <w:t>ó</w:t>
      </w:r>
      <w:r>
        <w:rPr>
          <w:b/>
          <w:bCs/>
          <w:spacing w:val="-10"/>
          <w:sz w:val="18"/>
          <w:szCs w:val="18"/>
          <w:lang w:val="es-ES_tradnl"/>
        </w:rPr>
        <w:t>n de la demanda</w:t>
      </w:r>
    </w:p>
    <w:p w14:paraId="4F67A934" w14:textId="77777777" w:rsidR="00591D54" w:rsidRDefault="00591D54">
      <w:pPr>
        <w:shd w:val="clear" w:color="auto" w:fill="FFFFFF"/>
        <w:spacing w:before="202"/>
      </w:pPr>
      <w:r>
        <w:rPr>
          <w:b/>
          <w:bCs/>
          <w:spacing w:val="-8"/>
          <w:sz w:val="18"/>
          <w:szCs w:val="18"/>
          <w:lang w:val="es-ES_tradnl"/>
        </w:rPr>
        <w:t>Argumentos de la Procuradur</w:t>
      </w:r>
      <w:r>
        <w:rPr>
          <w:rFonts w:cs="Times New Roman"/>
          <w:b/>
          <w:bCs/>
          <w:spacing w:val="-8"/>
          <w:sz w:val="18"/>
          <w:szCs w:val="18"/>
          <w:lang w:val="es-ES_tradnl"/>
        </w:rPr>
        <w:t>í</w:t>
      </w:r>
      <w:r>
        <w:rPr>
          <w:b/>
          <w:bCs/>
          <w:spacing w:val="-8"/>
          <w:sz w:val="18"/>
          <w:szCs w:val="18"/>
          <w:lang w:val="es-ES_tradnl"/>
        </w:rPr>
        <w:t>a General del Estado</w:t>
      </w:r>
    </w:p>
    <w:p w14:paraId="4F67A935" w14:textId="77777777" w:rsidR="00591D54" w:rsidRDefault="00591D54">
      <w:pPr>
        <w:shd w:val="clear" w:color="auto" w:fill="FFFFFF"/>
        <w:spacing w:before="202" w:line="221" w:lineRule="exact"/>
        <w:ind w:right="5"/>
        <w:jc w:val="both"/>
      </w:pPr>
      <w:r>
        <w:rPr>
          <w:spacing w:val="-4"/>
          <w:sz w:val="18"/>
          <w:szCs w:val="18"/>
          <w:lang w:val="es-ES_tradnl"/>
        </w:rPr>
        <w:t xml:space="preserve">Mediante escrito del 11 de junio de 2015, el abogado Marcos Arteaga Valenzuela en su calidad de director </w:t>
      </w:r>
      <w:r>
        <w:rPr>
          <w:spacing w:val="-7"/>
          <w:sz w:val="18"/>
          <w:szCs w:val="18"/>
          <w:lang w:val="es-ES_tradnl"/>
        </w:rPr>
        <w:t>nacional de Patrocinio y delegado del procurador general del Estado, se</w:t>
      </w:r>
      <w:r>
        <w:rPr>
          <w:rFonts w:cs="Times New Roman"/>
          <w:spacing w:val="-7"/>
          <w:sz w:val="18"/>
          <w:szCs w:val="18"/>
          <w:lang w:val="es-ES_tradnl"/>
        </w:rPr>
        <w:t>ñ</w:t>
      </w:r>
      <w:r>
        <w:rPr>
          <w:spacing w:val="-7"/>
          <w:sz w:val="18"/>
          <w:szCs w:val="18"/>
          <w:lang w:val="es-ES_tradnl"/>
        </w:rPr>
        <w:t xml:space="preserve">ala que es criterio reiterado de la entidad el </w:t>
      </w:r>
      <w:r>
        <w:rPr>
          <w:spacing w:val="-10"/>
          <w:sz w:val="18"/>
          <w:szCs w:val="18"/>
          <w:lang w:val="es-ES_tradnl"/>
        </w:rPr>
        <w:t>que las sentencias y dict</w:t>
      </w:r>
      <w:r>
        <w:rPr>
          <w:rFonts w:cs="Times New Roman"/>
          <w:spacing w:val="-10"/>
          <w:sz w:val="18"/>
          <w:szCs w:val="18"/>
          <w:lang w:val="es-ES_tradnl"/>
        </w:rPr>
        <w:t>á</w:t>
      </w:r>
      <w:r>
        <w:rPr>
          <w:spacing w:val="-10"/>
          <w:sz w:val="18"/>
          <w:szCs w:val="18"/>
          <w:lang w:val="es-ES_tradnl"/>
        </w:rPr>
        <w:t xml:space="preserve">menes constitucionales deben ser </w:t>
      </w:r>
      <w:r>
        <w:rPr>
          <w:sz w:val="18"/>
          <w:szCs w:val="18"/>
          <w:lang w:val="es-ES_tradnl"/>
        </w:rPr>
        <w:t>cumplidos a cabalidad.</w:t>
      </w:r>
    </w:p>
    <w:p w14:paraId="4F67A936" w14:textId="77777777" w:rsidR="00591D54" w:rsidRDefault="00591D54">
      <w:pPr>
        <w:shd w:val="clear" w:color="auto" w:fill="FFFFFF"/>
        <w:spacing w:before="202" w:line="221" w:lineRule="exact"/>
        <w:ind w:right="5"/>
        <w:jc w:val="both"/>
      </w:pPr>
      <w:r>
        <w:rPr>
          <w:spacing w:val="-7"/>
          <w:sz w:val="18"/>
          <w:szCs w:val="18"/>
          <w:lang w:val="es-ES_tradnl"/>
        </w:rPr>
        <w:t>Agrega que la Procuradur</w:t>
      </w:r>
      <w:r>
        <w:rPr>
          <w:rFonts w:cs="Times New Roman"/>
          <w:spacing w:val="-7"/>
          <w:sz w:val="18"/>
          <w:szCs w:val="18"/>
          <w:lang w:val="es-ES_tradnl"/>
        </w:rPr>
        <w:t>í</w:t>
      </w:r>
      <w:r>
        <w:rPr>
          <w:spacing w:val="-7"/>
          <w:sz w:val="18"/>
          <w:szCs w:val="18"/>
          <w:lang w:val="es-ES_tradnl"/>
        </w:rPr>
        <w:t>a no cuenta con la informaci</w:t>
      </w:r>
      <w:r>
        <w:rPr>
          <w:rFonts w:cs="Times New Roman"/>
          <w:spacing w:val="-7"/>
          <w:sz w:val="18"/>
          <w:szCs w:val="18"/>
          <w:lang w:val="es-ES_tradnl"/>
        </w:rPr>
        <w:t>ó</w:t>
      </w:r>
      <w:r>
        <w:rPr>
          <w:spacing w:val="-7"/>
          <w:sz w:val="18"/>
          <w:szCs w:val="18"/>
          <w:lang w:val="es-ES_tradnl"/>
        </w:rPr>
        <w:t xml:space="preserve">n </w:t>
      </w:r>
      <w:r>
        <w:rPr>
          <w:spacing w:val="-5"/>
          <w:sz w:val="18"/>
          <w:szCs w:val="18"/>
          <w:lang w:val="es-ES_tradnl"/>
        </w:rPr>
        <w:t xml:space="preserve">necesaria para emitir un criterio acerca del cumplimiento </w:t>
      </w:r>
      <w:r>
        <w:rPr>
          <w:spacing w:val="-7"/>
          <w:sz w:val="18"/>
          <w:szCs w:val="18"/>
          <w:lang w:val="es-ES_tradnl"/>
        </w:rPr>
        <w:t>de la resoluci</w:t>
      </w:r>
      <w:r>
        <w:rPr>
          <w:rFonts w:cs="Times New Roman"/>
          <w:spacing w:val="-7"/>
          <w:sz w:val="18"/>
          <w:szCs w:val="18"/>
          <w:lang w:val="es-ES_tradnl"/>
        </w:rPr>
        <w:t>ó</w:t>
      </w:r>
      <w:r>
        <w:rPr>
          <w:spacing w:val="-7"/>
          <w:sz w:val="18"/>
          <w:szCs w:val="18"/>
          <w:lang w:val="es-ES_tradnl"/>
        </w:rPr>
        <w:t xml:space="preserve">n cuyo incumplimiento se ha alegado, por lo </w:t>
      </w:r>
      <w:r>
        <w:rPr>
          <w:spacing w:val="-11"/>
          <w:sz w:val="18"/>
          <w:szCs w:val="18"/>
          <w:lang w:val="es-ES_tradnl"/>
        </w:rPr>
        <w:t>que corresponder</w:t>
      </w:r>
      <w:r>
        <w:rPr>
          <w:rFonts w:cs="Times New Roman"/>
          <w:spacing w:val="-11"/>
          <w:sz w:val="18"/>
          <w:szCs w:val="18"/>
          <w:lang w:val="es-ES_tradnl"/>
        </w:rPr>
        <w:t>á</w:t>
      </w:r>
      <w:r>
        <w:rPr>
          <w:spacing w:val="-11"/>
          <w:sz w:val="18"/>
          <w:szCs w:val="18"/>
          <w:lang w:val="es-ES_tradnl"/>
        </w:rPr>
        <w:t xml:space="preserve"> a las entidades accionadas presentar los </w:t>
      </w:r>
      <w:r>
        <w:rPr>
          <w:sz w:val="18"/>
          <w:szCs w:val="18"/>
          <w:lang w:val="es-ES_tradnl"/>
        </w:rPr>
        <w:t>descargos correspondientes.</w:t>
      </w:r>
    </w:p>
    <w:p w14:paraId="4F67A937" w14:textId="77777777" w:rsidR="00591D54" w:rsidRDefault="00591D54">
      <w:pPr>
        <w:shd w:val="clear" w:color="auto" w:fill="FFFFFF"/>
        <w:spacing w:before="202" w:line="221" w:lineRule="exact"/>
        <w:ind w:right="5"/>
        <w:jc w:val="both"/>
      </w:pPr>
      <w:r>
        <w:rPr>
          <w:spacing w:val="-7"/>
          <w:sz w:val="18"/>
          <w:szCs w:val="18"/>
          <w:lang w:val="es-ES_tradnl"/>
        </w:rPr>
        <w:t>Concluye, se</w:t>
      </w:r>
      <w:r>
        <w:rPr>
          <w:rFonts w:cs="Times New Roman"/>
          <w:spacing w:val="-7"/>
          <w:sz w:val="18"/>
          <w:szCs w:val="18"/>
          <w:lang w:val="es-ES_tradnl"/>
        </w:rPr>
        <w:t>ñ</w:t>
      </w:r>
      <w:r>
        <w:rPr>
          <w:spacing w:val="-7"/>
          <w:sz w:val="18"/>
          <w:szCs w:val="18"/>
          <w:lang w:val="es-ES_tradnl"/>
        </w:rPr>
        <w:t xml:space="preserve">alando casilla judicial para seguir recibiendo </w:t>
      </w:r>
      <w:r>
        <w:rPr>
          <w:sz w:val="18"/>
          <w:szCs w:val="18"/>
          <w:lang w:val="es-ES_tradnl"/>
        </w:rPr>
        <w:t>notificaciones.</w:t>
      </w:r>
    </w:p>
    <w:p w14:paraId="4F67A938" w14:textId="77777777" w:rsidR="00591D54" w:rsidRDefault="00591D54">
      <w:pPr>
        <w:shd w:val="clear" w:color="auto" w:fill="FFFFFF"/>
        <w:spacing w:before="202" w:line="226" w:lineRule="exact"/>
        <w:ind w:right="5"/>
        <w:jc w:val="both"/>
      </w:pPr>
      <w:r>
        <w:rPr>
          <w:b/>
          <w:bCs/>
          <w:spacing w:val="-7"/>
          <w:sz w:val="18"/>
          <w:szCs w:val="18"/>
          <w:lang w:val="es-ES_tradnl"/>
        </w:rPr>
        <w:t xml:space="preserve">Argumentos de la parte accionada, director provincial </w:t>
      </w:r>
      <w:r>
        <w:rPr>
          <w:b/>
          <w:bCs/>
          <w:spacing w:val="-10"/>
          <w:sz w:val="18"/>
          <w:szCs w:val="18"/>
          <w:lang w:val="es-ES_tradnl"/>
        </w:rPr>
        <w:t>de salud de Chimborazo y director del Hospital de Colta</w:t>
      </w:r>
    </w:p>
    <w:p w14:paraId="4F67A939" w14:textId="77777777" w:rsidR="00591D54" w:rsidRDefault="00591D54">
      <w:pPr>
        <w:shd w:val="clear" w:color="auto" w:fill="FFFFFF"/>
        <w:spacing w:before="202" w:line="221" w:lineRule="exact"/>
        <w:ind w:right="5"/>
        <w:jc w:val="both"/>
      </w:pPr>
      <w:r>
        <w:rPr>
          <w:spacing w:val="-2"/>
          <w:sz w:val="18"/>
          <w:szCs w:val="18"/>
          <w:lang w:val="es-ES_tradnl"/>
        </w:rPr>
        <w:t xml:space="preserve">Mediante escrito del 11 de junio de 2015, el abogado </w:t>
      </w:r>
      <w:r>
        <w:rPr>
          <w:spacing w:val="-7"/>
          <w:sz w:val="18"/>
          <w:szCs w:val="18"/>
          <w:lang w:val="es-ES_tradnl"/>
        </w:rPr>
        <w:t>Juan Pablo Valencia Olalla en representaci</w:t>
      </w:r>
      <w:r>
        <w:rPr>
          <w:rFonts w:cs="Times New Roman"/>
          <w:spacing w:val="-7"/>
          <w:sz w:val="18"/>
          <w:szCs w:val="18"/>
          <w:lang w:val="es-ES_tradnl"/>
        </w:rPr>
        <w:t>ó</w:t>
      </w:r>
      <w:r>
        <w:rPr>
          <w:spacing w:val="-7"/>
          <w:sz w:val="18"/>
          <w:szCs w:val="18"/>
          <w:lang w:val="es-ES_tradnl"/>
        </w:rPr>
        <w:t xml:space="preserve">n del director </w:t>
      </w:r>
      <w:r>
        <w:rPr>
          <w:spacing w:val="-3"/>
          <w:sz w:val="18"/>
          <w:szCs w:val="18"/>
          <w:lang w:val="es-ES_tradnl"/>
        </w:rPr>
        <w:t xml:space="preserve">provincial de salud de Chimborazo y del director del </w:t>
      </w:r>
      <w:r>
        <w:rPr>
          <w:spacing w:val="-7"/>
          <w:sz w:val="18"/>
          <w:szCs w:val="18"/>
          <w:lang w:val="es-ES_tradnl"/>
        </w:rPr>
        <w:t>Hospital de Colta, adjunt</w:t>
      </w:r>
      <w:r>
        <w:rPr>
          <w:rFonts w:cs="Times New Roman"/>
          <w:spacing w:val="-7"/>
          <w:sz w:val="18"/>
          <w:szCs w:val="18"/>
          <w:lang w:val="es-ES_tradnl"/>
        </w:rPr>
        <w:t>ó</w:t>
      </w:r>
      <w:r>
        <w:rPr>
          <w:spacing w:val="-7"/>
          <w:sz w:val="18"/>
          <w:szCs w:val="18"/>
          <w:lang w:val="es-ES_tradnl"/>
        </w:rPr>
        <w:t xml:space="preserve"> los siguientes documentos:</w:t>
      </w:r>
    </w:p>
    <w:p w14:paraId="4F67A93A" w14:textId="77777777" w:rsidR="00591D54" w:rsidRDefault="00591D54">
      <w:pPr>
        <w:shd w:val="clear" w:color="auto" w:fill="FFFFFF"/>
        <w:tabs>
          <w:tab w:val="left" w:pos="226"/>
        </w:tabs>
        <w:spacing w:before="202" w:line="221" w:lineRule="exact"/>
        <w:ind w:right="5"/>
        <w:jc w:val="both"/>
      </w:pPr>
      <w:r>
        <w:rPr>
          <w:spacing w:val="-9"/>
          <w:sz w:val="18"/>
          <w:szCs w:val="18"/>
          <w:lang w:val="es-ES_tradnl"/>
        </w:rPr>
        <w:t>1.</w:t>
      </w:r>
      <w:r>
        <w:rPr>
          <w:sz w:val="18"/>
          <w:szCs w:val="18"/>
          <w:lang w:val="es-ES_tradnl"/>
        </w:rPr>
        <w:tab/>
      </w:r>
      <w:r>
        <w:rPr>
          <w:spacing w:val="-4"/>
          <w:sz w:val="18"/>
          <w:szCs w:val="18"/>
          <w:lang w:val="es-ES_tradnl"/>
        </w:rPr>
        <w:t>Certificado del 10 de junio de 2015, suscrito por la </w:t>
      </w:r>
      <w:r>
        <w:rPr>
          <w:spacing w:val="-6"/>
          <w:sz w:val="18"/>
          <w:szCs w:val="18"/>
          <w:lang w:val="es-ES_tradnl"/>
        </w:rPr>
        <w:t>economista Fernanda Cervantes D</w:t>
      </w:r>
      <w:r>
        <w:rPr>
          <w:rFonts w:cs="Times New Roman"/>
          <w:spacing w:val="-6"/>
          <w:sz w:val="18"/>
          <w:szCs w:val="18"/>
          <w:lang w:val="es-ES_tradnl"/>
        </w:rPr>
        <w:t>í</w:t>
      </w:r>
      <w:r>
        <w:rPr>
          <w:spacing w:val="-6"/>
          <w:sz w:val="18"/>
          <w:szCs w:val="18"/>
          <w:lang w:val="es-ES_tradnl"/>
        </w:rPr>
        <w:t>az, responsable de </w:t>
      </w:r>
      <w:r>
        <w:rPr>
          <w:spacing w:val="-5"/>
          <w:sz w:val="18"/>
          <w:szCs w:val="18"/>
          <w:lang w:val="es-ES_tradnl"/>
        </w:rPr>
        <w:t>talento humano del Hospital B</w:t>
      </w:r>
      <w:r>
        <w:rPr>
          <w:rFonts w:cs="Times New Roman"/>
          <w:spacing w:val="-5"/>
          <w:sz w:val="18"/>
          <w:szCs w:val="18"/>
          <w:lang w:val="es-ES_tradnl"/>
        </w:rPr>
        <w:t>á</w:t>
      </w:r>
      <w:r>
        <w:rPr>
          <w:spacing w:val="-5"/>
          <w:sz w:val="18"/>
          <w:szCs w:val="18"/>
          <w:lang w:val="es-ES_tradnl"/>
        </w:rPr>
        <w:t xml:space="preserve">sico </w:t>
      </w:r>
      <w:r>
        <w:rPr>
          <w:rFonts w:cs="Times New Roman"/>
          <w:spacing w:val="-5"/>
          <w:sz w:val="18"/>
          <w:szCs w:val="18"/>
          <w:lang w:val="es-ES_tradnl"/>
        </w:rPr>
        <w:t>“</w:t>
      </w:r>
      <w:r>
        <w:rPr>
          <w:spacing w:val="-5"/>
          <w:sz w:val="18"/>
          <w:szCs w:val="18"/>
          <w:lang w:val="es-ES_tradnl"/>
        </w:rPr>
        <w:t>P</w:t>
      </w:r>
      <w:r>
        <w:rPr>
          <w:rFonts w:cs="Times New Roman"/>
          <w:spacing w:val="-5"/>
          <w:sz w:val="18"/>
          <w:szCs w:val="18"/>
          <w:lang w:val="es-ES_tradnl"/>
        </w:rPr>
        <w:t>ú</w:t>
      </w:r>
      <w:r>
        <w:rPr>
          <w:spacing w:val="-5"/>
          <w:sz w:val="18"/>
          <w:szCs w:val="18"/>
          <w:lang w:val="es-ES_tradnl"/>
        </w:rPr>
        <w:t>blico Escobar G</w:t>
      </w:r>
      <w:r>
        <w:rPr>
          <w:rFonts w:cs="Times New Roman"/>
          <w:spacing w:val="-5"/>
          <w:sz w:val="18"/>
          <w:szCs w:val="18"/>
          <w:lang w:val="es-ES_tradnl"/>
        </w:rPr>
        <w:t>” </w:t>
      </w:r>
      <w:r>
        <w:rPr>
          <w:spacing w:val="-4"/>
          <w:sz w:val="18"/>
          <w:szCs w:val="18"/>
          <w:lang w:val="es-ES_tradnl"/>
        </w:rPr>
        <w:t>de la Direcci</w:t>
      </w:r>
      <w:r>
        <w:rPr>
          <w:rFonts w:cs="Times New Roman"/>
          <w:spacing w:val="-4"/>
          <w:sz w:val="18"/>
          <w:szCs w:val="18"/>
          <w:lang w:val="es-ES_tradnl"/>
        </w:rPr>
        <w:t>ó</w:t>
      </w:r>
      <w:r>
        <w:rPr>
          <w:spacing w:val="-4"/>
          <w:sz w:val="18"/>
          <w:szCs w:val="18"/>
          <w:lang w:val="es-ES_tradnl"/>
        </w:rPr>
        <w:t>n Distrital 06D04 Colta, Guamote, Salud, </w:t>
      </w:r>
      <w:r>
        <w:rPr>
          <w:spacing w:val="-7"/>
          <w:sz w:val="18"/>
          <w:szCs w:val="18"/>
          <w:lang w:val="es-ES_tradnl"/>
        </w:rPr>
        <w:t>indicando que la doctora Mar</w:t>
      </w:r>
      <w:r>
        <w:rPr>
          <w:rFonts w:cs="Times New Roman"/>
          <w:spacing w:val="-7"/>
          <w:sz w:val="18"/>
          <w:szCs w:val="18"/>
          <w:lang w:val="es-ES_tradnl"/>
        </w:rPr>
        <w:t>í</w:t>
      </w:r>
      <w:r>
        <w:rPr>
          <w:spacing w:val="-7"/>
          <w:sz w:val="18"/>
          <w:szCs w:val="18"/>
          <w:lang w:val="es-ES_tradnl"/>
        </w:rPr>
        <w:t>a Carmen Paca Ajitimbay ha </w:t>
      </w:r>
      <w:r>
        <w:rPr>
          <w:spacing w:val="-8"/>
          <w:sz w:val="18"/>
          <w:szCs w:val="18"/>
          <w:lang w:val="es-ES_tradnl"/>
        </w:rPr>
        <w:t>laborado en dicha entidad durante el per</w:t>
      </w:r>
      <w:r>
        <w:rPr>
          <w:rFonts w:cs="Times New Roman"/>
          <w:spacing w:val="-8"/>
          <w:sz w:val="18"/>
          <w:szCs w:val="18"/>
          <w:lang w:val="es-ES_tradnl"/>
        </w:rPr>
        <w:t>í</w:t>
      </w:r>
      <w:r>
        <w:rPr>
          <w:spacing w:val="-8"/>
          <w:sz w:val="18"/>
          <w:szCs w:val="18"/>
          <w:lang w:val="es-ES_tradnl"/>
        </w:rPr>
        <w:t>odo comprendido entre el mes de diciembre de 1998 y el mes de febrero de </w:t>
      </w:r>
      <w:r>
        <w:rPr>
          <w:spacing w:val="-11"/>
          <w:sz w:val="18"/>
          <w:szCs w:val="18"/>
          <w:lang w:val="es-ES_tradnl"/>
        </w:rPr>
        <w:t>2007, y que lo sigue haciendo desde el mes de junio de 2008 </w:t>
      </w:r>
      <w:r>
        <w:rPr>
          <w:sz w:val="18"/>
          <w:szCs w:val="18"/>
          <w:lang w:val="es-ES_tradnl"/>
        </w:rPr>
        <w:t>hasta la presente.</w:t>
      </w:r>
    </w:p>
    <w:p w14:paraId="4F67A93B" w14:textId="77777777" w:rsidR="00591D54" w:rsidRDefault="00591D54">
      <w:pPr>
        <w:shd w:val="clear" w:color="auto" w:fill="FFFFFF"/>
        <w:tabs>
          <w:tab w:val="left" w:pos="163"/>
        </w:tabs>
        <w:spacing w:before="206" w:line="221" w:lineRule="exact"/>
        <w:jc w:val="both"/>
      </w:pPr>
      <w:r>
        <w:rPr>
          <w:spacing w:val="-9"/>
          <w:sz w:val="18"/>
          <w:szCs w:val="18"/>
          <w:lang w:val="es-ES_tradnl"/>
        </w:rPr>
        <w:t>2.</w:t>
      </w:r>
      <w:r>
        <w:rPr>
          <w:sz w:val="18"/>
          <w:szCs w:val="18"/>
          <w:lang w:val="es-ES_tradnl"/>
        </w:rPr>
        <w:tab/>
      </w:r>
      <w:r>
        <w:rPr>
          <w:spacing w:val="-10"/>
          <w:sz w:val="18"/>
          <w:szCs w:val="18"/>
          <w:lang w:val="es-ES_tradnl"/>
        </w:rPr>
        <w:t>Acci</w:t>
      </w:r>
      <w:r>
        <w:rPr>
          <w:rFonts w:cs="Times New Roman"/>
          <w:spacing w:val="-10"/>
          <w:sz w:val="18"/>
          <w:szCs w:val="18"/>
          <w:lang w:val="es-ES_tradnl"/>
        </w:rPr>
        <w:t>ó</w:t>
      </w:r>
      <w:r>
        <w:rPr>
          <w:spacing w:val="-10"/>
          <w:sz w:val="18"/>
          <w:szCs w:val="18"/>
          <w:lang w:val="es-ES_tradnl"/>
        </w:rPr>
        <w:t>n de personal signada con el N.</w:t>
      </w:r>
      <w:r>
        <w:rPr>
          <w:rFonts w:cs="Times New Roman"/>
          <w:spacing w:val="-10"/>
          <w:sz w:val="18"/>
          <w:szCs w:val="18"/>
          <w:lang w:val="es-ES_tradnl"/>
        </w:rPr>
        <w:t>º</w:t>
      </w:r>
      <w:r>
        <w:rPr>
          <w:spacing w:val="-10"/>
          <w:sz w:val="18"/>
          <w:szCs w:val="18"/>
          <w:lang w:val="es-ES_tradnl"/>
        </w:rPr>
        <w:t xml:space="preserve"> DPSCH-HPEC-DP </w:t>
      </w:r>
      <w:r>
        <w:rPr>
          <w:spacing w:val="-7"/>
          <w:sz w:val="18"/>
          <w:szCs w:val="18"/>
          <w:lang w:val="es-ES_tradnl"/>
        </w:rPr>
        <w:t>0215, dictada el 28 de mayo de 2008, mediante la cual se </w:t>
      </w:r>
      <w:r>
        <w:rPr>
          <w:spacing w:val="-8"/>
          <w:sz w:val="18"/>
          <w:szCs w:val="18"/>
          <w:lang w:val="es-ES_tradnl"/>
        </w:rPr>
        <w:t>restituye a sus funciones a la doctora Mar</w:t>
      </w:r>
      <w:r>
        <w:rPr>
          <w:rFonts w:cs="Times New Roman"/>
          <w:spacing w:val="-8"/>
          <w:sz w:val="18"/>
          <w:szCs w:val="18"/>
          <w:lang w:val="es-ES_tradnl"/>
        </w:rPr>
        <w:t>í</w:t>
      </w:r>
      <w:r>
        <w:rPr>
          <w:spacing w:val="-8"/>
          <w:sz w:val="18"/>
          <w:szCs w:val="18"/>
          <w:lang w:val="es-ES_tradnl"/>
        </w:rPr>
        <w:t>a Paca Ajitimbay esto es, al puesto de m</w:t>
      </w:r>
      <w:r>
        <w:rPr>
          <w:rFonts w:cs="Times New Roman"/>
          <w:spacing w:val="-8"/>
          <w:sz w:val="18"/>
          <w:szCs w:val="18"/>
          <w:lang w:val="es-ES_tradnl"/>
        </w:rPr>
        <w:t>é</w:t>
      </w:r>
      <w:r>
        <w:rPr>
          <w:spacing w:val="-8"/>
          <w:sz w:val="18"/>
          <w:szCs w:val="18"/>
          <w:lang w:val="es-ES_tradnl"/>
        </w:rPr>
        <w:t>dico residente 1-8-HD.</w:t>
      </w:r>
    </w:p>
    <w:p w14:paraId="4F67A93C" w14:textId="77777777" w:rsidR="00591D54" w:rsidRDefault="00591D54">
      <w:pPr>
        <w:shd w:val="clear" w:color="auto" w:fill="FFFFFF"/>
        <w:spacing w:before="518" w:line="178" w:lineRule="exact"/>
        <w:ind w:left="144" w:right="5" w:hanging="144"/>
        <w:jc w:val="both"/>
      </w:pPr>
      <w:r>
        <w:rPr>
          <w:sz w:val="14"/>
          <w:szCs w:val="14"/>
          <w:vertAlign w:val="superscript"/>
          <w:lang w:val="es-ES_tradnl"/>
        </w:rPr>
        <w:t>2</w:t>
      </w:r>
      <w:r>
        <w:rPr>
          <w:sz w:val="14"/>
          <w:szCs w:val="14"/>
          <w:lang w:val="es-ES_tradnl"/>
        </w:rPr>
        <w:t xml:space="preserve"> </w:t>
      </w:r>
      <w:r>
        <w:rPr>
          <w:rFonts w:cs="Times New Roman"/>
          <w:spacing w:val="-1"/>
          <w:sz w:val="14"/>
          <w:szCs w:val="14"/>
          <w:lang w:val="es-ES_tradnl"/>
        </w:rPr>
        <w:t>“</w:t>
      </w:r>
      <w:r>
        <w:rPr>
          <w:spacing w:val="-1"/>
          <w:sz w:val="14"/>
          <w:szCs w:val="14"/>
          <w:lang w:val="es-ES_tradnl"/>
        </w:rPr>
        <w:t>Art. 18.- Reparaci</w:t>
      </w:r>
      <w:r>
        <w:rPr>
          <w:rFonts w:cs="Times New Roman"/>
          <w:spacing w:val="-1"/>
          <w:sz w:val="14"/>
          <w:szCs w:val="14"/>
          <w:lang w:val="es-ES_tradnl"/>
        </w:rPr>
        <w:t>ó</w:t>
      </w:r>
      <w:r>
        <w:rPr>
          <w:spacing w:val="-1"/>
          <w:sz w:val="14"/>
          <w:szCs w:val="14"/>
          <w:lang w:val="es-ES_tradnl"/>
        </w:rPr>
        <w:t>n integral.- En caso de declararse la vulneraci</w:t>
      </w:r>
      <w:r>
        <w:rPr>
          <w:rFonts w:cs="Times New Roman"/>
          <w:spacing w:val="-1"/>
          <w:sz w:val="14"/>
          <w:szCs w:val="14"/>
          <w:lang w:val="es-ES_tradnl"/>
        </w:rPr>
        <w:t>ó</w:t>
      </w:r>
      <w:r>
        <w:rPr>
          <w:spacing w:val="-1"/>
          <w:sz w:val="14"/>
          <w:szCs w:val="14"/>
          <w:lang w:val="es-ES_tradnl"/>
        </w:rPr>
        <w:t>n de derechos se ordenar</w:t>
      </w:r>
      <w:r>
        <w:rPr>
          <w:rFonts w:cs="Times New Roman"/>
          <w:spacing w:val="-1"/>
          <w:sz w:val="14"/>
          <w:szCs w:val="14"/>
          <w:lang w:val="es-ES_tradnl"/>
        </w:rPr>
        <w:t>á</w:t>
      </w:r>
      <w:r>
        <w:rPr>
          <w:spacing w:val="-1"/>
          <w:sz w:val="14"/>
          <w:szCs w:val="14"/>
          <w:lang w:val="es-ES_tradnl"/>
        </w:rPr>
        <w:t xml:space="preserve"> la reparaci</w:t>
      </w:r>
      <w:r>
        <w:rPr>
          <w:rFonts w:cs="Times New Roman"/>
          <w:spacing w:val="-1"/>
          <w:sz w:val="14"/>
          <w:szCs w:val="14"/>
          <w:lang w:val="es-ES_tradnl"/>
        </w:rPr>
        <w:t>ó</w:t>
      </w:r>
      <w:r>
        <w:rPr>
          <w:spacing w:val="-1"/>
          <w:sz w:val="14"/>
          <w:szCs w:val="14"/>
          <w:lang w:val="es-ES_tradnl"/>
        </w:rPr>
        <w:t>n integral por el da</w:t>
      </w:r>
      <w:r>
        <w:rPr>
          <w:rFonts w:cs="Times New Roman"/>
          <w:spacing w:val="-1"/>
          <w:sz w:val="14"/>
          <w:szCs w:val="14"/>
          <w:lang w:val="es-ES_tradnl"/>
        </w:rPr>
        <w:t>ñ</w:t>
      </w:r>
      <w:r>
        <w:rPr>
          <w:spacing w:val="-1"/>
          <w:sz w:val="14"/>
          <w:szCs w:val="14"/>
          <w:lang w:val="es-ES_tradnl"/>
        </w:rPr>
        <w:t xml:space="preserve">o material </w:t>
      </w:r>
      <w:r>
        <w:rPr>
          <w:sz w:val="14"/>
          <w:szCs w:val="14"/>
          <w:lang w:val="es-ES_tradnl"/>
        </w:rPr>
        <w:t>e inmaterial. La reparaci</w:t>
      </w:r>
      <w:r>
        <w:rPr>
          <w:rFonts w:cs="Times New Roman"/>
          <w:sz w:val="14"/>
          <w:szCs w:val="14"/>
          <w:lang w:val="es-ES_tradnl"/>
        </w:rPr>
        <w:t>ó</w:t>
      </w:r>
      <w:r>
        <w:rPr>
          <w:sz w:val="14"/>
          <w:szCs w:val="14"/>
          <w:lang w:val="es-ES_tradnl"/>
        </w:rPr>
        <w:t>n integral procurar</w:t>
      </w:r>
      <w:r>
        <w:rPr>
          <w:rFonts w:cs="Times New Roman"/>
          <w:sz w:val="14"/>
          <w:szCs w:val="14"/>
          <w:lang w:val="es-ES_tradnl"/>
        </w:rPr>
        <w:t>á</w:t>
      </w:r>
      <w:r>
        <w:rPr>
          <w:sz w:val="14"/>
          <w:szCs w:val="14"/>
          <w:lang w:val="es-ES_tradnl"/>
        </w:rPr>
        <w:t xml:space="preserve"> que la persona o </w:t>
      </w:r>
      <w:r>
        <w:rPr>
          <w:spacing w:val="-1"/>
          <w:sz w:val="14"/>
          <w:szCs w:val="14"/>
          <w:lang w:val="es-ES_tradnl"/>
        </w:rPr>
        <w:t xml:space="preserve">personas titulares del derecho violado gocen y disfruten el derecho </w:t>
      </w:r>
      <w:r>
        <w:rPr>
          <w:spacing w:val="-5"/>
          <w:sz w:val="14"/>
          <w:szCs w:val="14"/>
          <w:lang w:val="es-ES_tradnl"/>
        </w:rPr>
        <w:t>de la manera m</w:t>
      </w:r>
      <w:r>
        <w:rPr>
          <w:rFonts w:cs="Times New Roman"/>
          <w:spacing w:val="-5"/>
          <w:sz w:val="14"/>
          <w:szCs w:val="14"/>
          <w:lang w:val="es-ES_tradnl"/>
        </w:rPr>
        <w:t>á</w:t>
      </w:r>
      <w:r>
        <w:rPr>
          <w:spacing w:val="-5"/>
          <w:sz w:val="14"/>
          <w:szCs w:val="14"/>
          <w:lang w:val="es-ES_tradnl"/>
        </w:rPr>
        <w:t>s adecuada posible y que se restablezca a la situaci</w:t>
      </w:r>
      <w:r>
        <w:rPr>
          <w:rFonts w:cs="Times New Roman"/>
          <w:spacing w:val="-5"/>
          <w:sz w:val="14"/>
          <w:szCs w:val="14"/>
          <w:lang w:val="es-ES_tradnl"/>
        </w:rPr>
        <w:t>ó</w:t>
      </w:r>
      <w:r>
        <w:rPr>
          <w:spacing w:val="-5"/>
          <w:sz w:val="14"/>
          <w:szCs w:val="14"/>
          <w:lang w:val="es-ES_tradnl"/>
        </w:rPr>
        <w:t xml:space="preserve">n </w:t>
      </w:r>
      <w:r>
        <w:rPr>
          <w:sz w:val="14"/>
          <w:szCs w:val="14"/>
          <w:lang w:val="es-ES_tradnl"/>
        </w:rPr>
        <w:t>anterior a la violaci</w:t>
      </w:r>
      <w:r>
        <w:rPr>
          <w:rFonts w:cs="Times New Roman"/>
          <w:sz w:val="14"/>
          <w:szCs w:val="14"/>
          <w:lang w:val="es-ES_tradnl"/>
        </w:rPr>
        <w:t>ó</w:t>
      </w:r>
      <w:r>
        <w:rPr>
          <w:sz w:val="14"/>
          <w:szCs w:val="14"/>
          <w:lang w:val="es-ES_tradnl"/>
        </w:rPr>
        <w:t>n. La reparaci</w:t>
      </w:r>
      <w:r>
        <w:rPr>
          <w:rFonts w:cs="Times New Roman"/>
          <w:sz w:val="14"/>
          <w:szCs w:val="14"/>
          <w:lang w:val="es-ES_tradnl"/>
        </w:rPr>
        <w:t>ó</w:t>
      </w:r>
      <w:r>
        <w:rPr>
          <w:sz w:val="14"/>
          <w:szCs w:val="14"/>
          <w:lang w:val="es-ES_tradnl"/>
        </w:rPr>
        <w:t>n podr</w:t>
      </w:r>
      <w:r>
        <w:rPr>
          <w:rFonts w:cs="Times New Roman"/>
          <w:sz w:val="14"/>
          <w:szCs w:val="14"/>
          <w:lang w:val="es-ES_tradnl"/>
        </w:rPr>
        <w:t>á</w:t>
      </w:r>
      <w:r>
        <w:rPr>
          <w:sz w:val="14"/>
          <w:szCs w:val="14"/>
          <w:lang w:val="es-ES_tradnl"/>
        </w:rPr>
        <w:t xml:space="preserve"> incluir, entre otras </w:t>
      </w:r>
      <w:r>
        <w:rPr>
          <w:spacing w:val="-1"/>
          <w:sz w:val="14"/>
          <w:szCs w:val="14"/>
          <w:lang w:val="es-ES_tradnl"/>
        </w:rPr>
        <w:t>formas, la restituci</w:t>
      </w:r>
      <w:r>
        <w:rPr>
          <w:rFonts w:cs="Times New Roman"/>
          <w:spacing w:val="-1"/>
          <w:sz w:val="14"/>
          <w:szCs w:val="14"/>
          <w:lang w:val="es-ES_tradnl"/>
        </w:rPr>
        <w:t>ó</w:t>
      </w:r>
      <w:r>
        <w:rPr>
          <w:spacing w:val="-1"/>
          <w:sz w:val="14"/>
          <w:szCs w:val="14"/>
          <w:lang w:val="es-ES_tradnl"/>
        </w:rPr>
        <w:t>n del derecho, la compensaci</w:t>
      </w:r>
      <w:r>
        <w:rPr>
          <w:rFonts w:cs="Times New Roman"/>
          <w:spacing w:val="-1"/>
          <w:sz w:val="14"/>
          <w:szCs w:val="14"/>
          <w:lang w:val="es-ES_tradnl"/>
        </w:rPr>
        <w:t>ó</w:t>
      </w:r>
      <w:r>
        <w:rPr>
          <w:spacing w:val="-1"/>
          <w:sz w:val="14"/>
          <w:szCs w:val="14"/>
          <w:lang w:val="es-ES_tradnl"/>
        </w:rPr>
        <w:t>n econ</w:t>
      </w:r>
      <w:r>
        <w:rPr>
          <w:rFonts w:cs="Times New Roman"/>
          <w:spacing w:val="-1"/>
          <w:sz w:val="14"/>
          <w:szCs w:val="14"/>
          <w:lang w:val="es-ES_tradnl"/>
        </w:rPr>
        <w:t>ó</w:t>
      </w:r>
      <w:r>
        <w:rPr>
          <w:spacing w:val="-1"/>
          <w:sz w:val="14"/>
          <w:szCs w:val="14"/>
          <w:lang w:val="es-ES_tradnl"/>
        </w:rPr>
        <w:t xml:space="preserve">mica o </w:t>
      </w:r>
      <w:r>
        <w:rPr>
          <w:spacing w:val="-2"/>
          <w:sz w:val="14"/>
          <w:szCs w:val="14"/>
          <w:lang w:val="es-ES_tradnl"/>
        </w:rPr>
        <w:t>patrimonial, la rehabilitaci</w:t>
      </w:r>
      <w:r>
        <w:rPr>
          <w:rFonts w:cs="Times New Roman"/>
          <w:spacing w:val="-2"/>
          <w:sz w:val="14"/>
          <w:szCs w:val="14"/>
          <w:lang w:val="es-ES_tradnl"/>
        </w:rPr>
        <w:t>ó</w:t>
      </w:r>
      <w:r>
        <w:rPr>
          <w:spacing w:val="-2"/>
          <w:sz w:val="14"/>
          <w:szCs w:val="14"/>
          <w:lang w:val="es-ES_tradnl"/>
        </w:rPr>
        <w:t>n, la satisfacci</w:t>
      </w:r>
      <w:r>
        <w:rPr>
          <w:rFonts w:cs="Times New Roman"/>
          <w:spacing w:val="-2"/>
          <w:sz w:val="14"/>
          <w:szCs w:val="14"/>
          <w:lang w:val="es-ES_tradnl"/>
        </w:rPr>
        <w:t>ó</w:t>
      </w:r>
      <w:r>
        <w:rPr>
          <w:spacing w:val="-2"/>
          <w:sz w:val="14"/>
          <w:szCs w:val="14"/>
          <w:lang w:val="es-ES_tradnl"/>
        </w:rPr>
        <w:t>n, las garant</w:t>
      </w:r>
      <w:r>
        <w:rPr>
          <w:rFonts w:cs="Times New Roman"/>
          <w:spacing w:val="-2"/>
          <w:sz w:val="14"/>
          <w:szCs w:val="14"/>
          <w:lang w:val="es-ES_tradnl"/>
        </w:rPr>
        <w:t>í</w:t>
      </w:r>
      <w:r>
        <w:rPr>
          <w:spacing w:val="-2"/>
          <w:sz w:val="14"/>
          <w:szCs w:val="14"/>
          <w:lang w:val="es-ES_tradnl"/>
        </w:rPr>
        <w:t xml:space="preserve">as de que el </w:t>
      </w:r>
      <w:r>
        <w:rPr>
          <w:spacing w:val="-3"/>
          <w:sz w:val="14"/>
          <w:szCs w:val="14"/>
          <w:lang w:val="es-ES_tradnl"/>
        </w:rPr>
        <w:t>hecho no se repita, la obligaci</w:t>
      </w:r>
      <w:r>
        <w:rPr>
          <w:rFonts w:cs="Times New Roman"/>
          <w:spacing w:val="-3"/>
          <w:sz w:val="14"/>
          <w:szCs w:val="14"/>
          <w:lang w:val="es-ES_tradnl"/>
        </w:rPr>
        <w:t>ó</w:t>
      </w:r>
      <w:r>
        <w:rPr>
          <w:spacing w:val="-3"/>
          <w:sz w:val="14"/>
          <w:szCs w:val="14"/>
          <w:lang w:val="es-ES_tradnl"/>
        </w:rPr>
        <w:t xml:space="preserve">n de remitir a la autoridad competente </w:t>
      </w:r>
      <w:r>
        <w:rPr>
          <w:spacing w:val="-1"/>
          <w:sz w:val="14"/>
          <w:szCs w:val="14"/>
          <w:lang w:val="es-ES_tradnl"/>
        </w:rPr>
        <w:t xml:space="preserve">para investigar y sancionar, las medidas de reconocimiento, las </w:t>
      </w:r>
      <w:r>
        <w:rPr>
          <w:spacing w:val="-3"/>
          <w:sz w:val="14"/>
          <w:szCs w:val="14"/>
          <w:lang w:val="es-ES_tradnl"/>
        </w:rPr>
        <w:t>disculpas p</w:t>
      </w:r>
      <w:r>
        <w:rPr>
          <w:rFonts w:cs="Times New Roman"/>
          <w:spacing w:val="-3"/>
          <w:sz w:val="14"/>
          <w:szCs w:val="14"/>
          <w:lang w:val="es-ES_tradnl"/>
        </w:rPr>
        <w:t>ú</w:t>
      </w:r>
      <w:r>
        <w:rPr>
          <w:spacing w:val="-3"/>
          <w:sz w:val="14"/>
          <w:szCs w:val="14"/>
          <w:lang w:val="es-ES_tradnl"/>
        </w:rPr>
        <w:t>blicas, la prestaci</w:t>
      </w:r>
      <w:r>
        <w:rPr>
          <w:rFonts w:cs="Times New Roman"/>
          <w:spacing w:val="-3"/>
          <w:sz w:val="14"/>
          <w:szCs w:val="14"/>
          <w:lang w:val="es-ES_tradnl"/>
        </w:rPr>
        <w:t>ó</w:t>
      </w:r>
      <w:r>
        <w:rPr>
          <w:spacing w:val="-3"/>
          <w:sz w:val="14"/>
          <w:szCs w:val="14"/>
          <w:lang w:val="es-ES_tradnl"/>
        </w:rPr>
        <w:t>n de servicios p</w:t>
      </w:r>
      <w:r>
        <w:rPr>
          <w:rFonts w:cs="Times New Roman"/>
          <w:spacing w:val="-3"/>
          <w:sz w:val="14"/>
          <w:szCs w:val="14"/>
          <w:lang w:val="es-ES_tradnl"/>
        </w:rPr>
        <w:t>ú</w:t>
      </w:r>
      <w:r>
        <w:rPr>
          <w:spacing w:val="-3"/>
          <w:sz w:val="14"/>
          <w:szCs w:val="14"/>
          <w:lang w:val="es-ES_tradnl"/>
        </w:rPr>
        <w:t>blicos, la atenci</w:t>
      </w:r>
      <w:r>
        <w:rPr>
          <w:rFonts w:cs="Times New Roman"/>
          <w:spacing w:val="-3"/>
          <w:sz w:val="14"/>
          <w:szCs w:val="14"/>
          <w:lang w:val="es-ES_tradnl"/>
        </w:rPr>
        <w:t>ó</w:t>
      </w:r>
      <w:r>
        <w:rPr>
          <w:spacing w:val="-3"/>
          <w:sz w:val="14"/>
          <w:szCs w:val="14"/>
          <w:lang w:val="es-ES_tradnl"/>
        </w:rPr>
        <w:t xml:space="preserve">n de </w:t>
      </w:r>
      <w:r>
        <w:rPr>
          <w:sz w:val="14"/>
          <w:szCs w:val="14"/>
          <w:lang w:val="es-ES_tradnl"/>
        </w:rPr>
        <w:t>salud. (</w:t>
      </w:r>
      <w:r>
        <w:rPr>
          <w:rFonts w:cs="Times New Roman"/>
          <w:sz w:val="14"/>
          <w:szCs w:val="14"/>
          <w:lang w:val="es-ES_tradnl"/>
        </w:rPr>
        <w:t>…</w:t>
      </w:r>
      <w:r>
        <w:rPr>
          <w:sz w:val="14"/>
          <w:szCs w:val="14"/>
          <w:lang w:val="es-ES_tradnl"/>
        </w:rPr>
        <w:t>)</w:t>
      </w:r>
      <w:r>
        <w:rPr>
          <w:rFonts w:cs="Times New Roman"/>
          <w:sz w:val="14"/>
          <w:szCs w:val="14"/>
          <w:lang w:val="es-ES_tradnl"/>
        </w:rPr>
        <w:t>”</w:t>
      </w:r>
    </w:p>
    <w:p w14:paraId="4F67A93D" w14:textId="77777777" w:rsidR="00591D54" w:rsidRDefault="00591D54">
      <w:pPr>
        <w:shd w:val="clear" w:color="auto" w:fill="FFFFFF"/>
        <w:spacing w:before="518" w:line="178" w:lineRule="exact"/>
        <w:ind w:left="144" w:right="5" w:hanging="144"/>
        <w:jc w:val="both"/>
        <w:sectPr w:rsidR="00591D54">
          <w:type w:val="continuous"/>
          <w:pgSz w:w="11909" w:h="16834"/>
          <w:pgMar w:top="1359" w:right="1304" w:bottom="360" w:left="1308" w:header="720" w:footer="720" w:gutter="0"/>
          <w:cols w:num="2" w:space="720" w:equalWidth="0">
            <w:col w:w="4305" w:space="682"/>
            <w:col w:w="4310"/>
          </w:cols>
          <w:noEndnote/>
        </w:sectPr>
      </w:pPr>
    </w:p>
    <w:p w14:paraId="4F67A93E" w14:textId="77777777" w:rsidR="00591D54" w:rsidRDefault="00591D54">
      <w:pPr>
        <w:shd w:val="clear" w:color="auto" w:fill="FFFFFF"/>
        <w:tabs>
          <w:tab w:val="left" w:pos="595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- 71</w:t>
      </w:r>
    </w:p>
    <w:p w14:paraId="4F67A93F" w14:textId="77777777" w:rsidR="00591D54" w:rsidRDefault="00591D54">
      <w:pPr>
        <w:shd w:val="clear" w:color="auto" w:fill="FFFFFF"/>
        <w:tabs>
          <w:tab w:val="left" w:pos="5952"/>
        </w:tabs>
        <w:spacing w:after="230"/>
        <w:ind w:left="5"/>
        <w:sectPr w:rsidR="00591D54">
          <w:pgSz w:w="11909" w:h="16834"/>
          <w:pgMar w:top="1371" w:right="1309" w:bottom="360" w:left="1308" w:header="720" w:footer="720" w:gutter="0"/>
          <w:cols w:space="60"/>
          <w:noEndnote/>
        </w:sectPr>
      </w:pPr>
    </w:p>
    <w:p w14:paraId="4F67A940" w14:textId="77777777" w:rsidR="00591D54" w:rsidRDefault="00591D54" w:rsidP="00251195">
      <w:pPr>
        <w:numPr>
          <w:ilvl w:val="0"/>
          <w:numId w:val="45"/>
        </w:numPr>
        <w:shd w:val="clear" w:color="auto" w:fill="FFFFFF"/>
        <w:tabs>
          <w:tab w:val="left" w:pos="178"/>
        </w:tabs>
        <w:spacing w:before="5" w:line="216" w:lineRule="exact"/>
        <w:ind w:right="5"/>
        <w:jc w:val="both"/>
        <w:rPr>
          <w:spacing w:val="-11"/>
          <w:sz w:val="18"/>
          <w:szCs w:val="18"/>
          <w:lang w:val="es-ES_tradnl"/>
        </w:rPr>
      </w:pPr>
      <w:r>
        <w:rPr>
          <w:spacing w:val="-8"/>
          <w:sz w:val="18"/>
          <w:szCs w:val="18"/>
          <w:lang w:val="es-ES_tradnl"/>
        </w:rPr>
        <w:t xml:space="preserve">Certificado del Instituto Ecuatoriano de Seguridad Social </w:t>
      </w:r>
      <w:r>
        <w:rPr>
          <w:spacing w:val="-4"/>
          <w:sz w:val="18"/>
          <w:szCs w:val="18"/>
          <w:lang w:val="es-ES_tradnl"/>
        </w:rPr>
        <w:t xml:space="preserve">en el que consta el historial del tiempo de trabajo por </w:t>
      </w:r>
      <w:r>
        <w:rPr>
          <w:spacing w:val="-7"/>
          <w:sz w:val="18"/>
          <w:szCs w:val="18"/>
          <w:lang w:val="es-ES_tradnl"/>
        </w:rPr>
        <w:t>empresa, de la doctora Mar</w:t>
      </w:r>
      <w:r>
        <w:rPr>
          <w:rFonts w:cs="Times New Roman"/>
          <w:spacing w:val="-7"/>
          <w:sz w:val="18"/>
          <w:szCs w:val="18"/>
          <w:lang w:val="es-ES_tradnl"/>
        </w:rPr>
        <w:t>í</w:t>
      </w:r>
      <w:r>
        <w:rPr>
          <w:spacing w:val="-7"/>
          <w:sz w:val="18"/>
          <w:szCs w:val="18"/>
          <w:lang w:val="es-ES_tradnl"/>
        </w:rPr>
        <w:t>a Paca Ajitimbay;</w:t>
      </w:r>
    </w:p>
    <w:p w14:paraId="4F67A941" w14:textId="77777777" w:rsidR="00591D54" w:rsidRDefault="00591D54" w:rsidP="00251195">
      <w:pPr>
        <w:numPr>
          <w:ilvl w:val="0"/>
          <w:numId w:val="45"/>
        </w:numPr>
        <w:shd w:val="clear" w:color="auto" w:fill="FFFFFF"/>
        <w:tabs>
          <w:tab w:val="left" w:pos="178"/>
        </w:tabs>
        <w:spacing w:before="197" w:line="216" w:lineRule="exact"/>
        <w:jc w:val="both"/>
        <w:rPr>
          <w:spacing w:val="-11"/>
          <w:sz w:val="18"/>
          <w:szCs w:val="18"/>
          <w:lang w:val="es-ES_tradnl"/>
        </w:rPr>
      </w:pPr>
      <w:r>
        <w:rPr>
          <w:spacing w:val="-7"/>
          <w:sz w:val="18"/>
          <w:szCs w:val="18"/>
          <w:lang w:val="es-ES_tradnl"/>
        </w:rPr>
        <w:t>Oficio signado con el N.</w:t>
      </w:r>
      <w:r>
        <w:rPr>
          <w:rFonts w:cs="Times New Roman"/>
          <w:spacing w:val="-7"/>
          <w:sz w:val="18"/>
          <w:szCs w:val="18"/>
          <w:lang w:val="es-ES_tradnl"/>
        </w:rPr>
        <w:t>º</w:t>
      </w:r>
      <w:r>
        <w:rPr>
          <w:spacing w:val="-7"/>
          <w:sz w:val="18"/>
          <w:szCs w:val="18"/>
          <w:lang w:val="es-ES_tradnl"/>
        </w:rPr>
        <w:t xml:space="preserve"> HPEC Ofc. # 0177-2011- RR. </w:t>
      </w:r>
      <w:r>
        <w:rPr>
          <w:spacing w:val="-3"/>
          <w:sz w:val="18"/>
          <w:szCs w:val="18"/>
          <w:lang w:val="es-ES_tradnl"/>
        </w:rPr>
        <w:t xml:space="preserve">HH, suscrito por el ingeniero Edison Parra y dirigido al </w:t>
      </w:r>
      <w:r>
        <w:rPr>
          <w:spacing w:val="-5"/>
          <w:sz w:val="18"/>
          <w:szCs w:val="18"/>
          <w:lang w:val="es-ES_tradnl"/>
        </w:rPr>
        <w:t xml:space="preserve">doctor Oscar Guevara, director del Hospital de Colta, </w:t>
      </w:r>
      <w:r>
        <w:rPr>
          <w:spacing w:val="-11"/>
          <w:sz w:val="18"/>
          <w:szCs w:val="18"/>
          <w:lang w:val="es-ES_tradnl"/>
        </w:rPr>
        <w:t xml:space="preserve">mediante el cual se informa sobre las gestiones realizadas en </w:t>
      </w:r>
      <w:r>
        <w:rPr>
          <w:spacing w:val="-8"/>
          <w:sz w:val="18"/>
          <w:szCs w:val="18"/>
          <w:lang w:val="es-ES_tradnl"/>
        </w:rPr>
        <w:t>relaci</w:t>
      </w:r>
      <w:r>
        <w:rPr>
          <w:rFonts w:cs="Times New Roman"/>
          <w:spacing w:val="-8"/>
          <w:sz w:val="18"/>
          <w:szCs w:val="18"/>
          <w:lang w:val="es-ES_tradnl"/>
        </w:rPr>
        <w:t>ó</w:t>
      </w:r>
      <w:r>
        <w:rPr>
          <w:spacing w:val="-8"/>
          <w:sz w:val="18"/>
          <w:szCs w:val="18"/>
          <w:lang w:val="es-ES_tradnl"/>
        </w:rPr>
        <w:t>n con los reclamos presentados por la doctora Mar</w:t>
      </w:r>
      <w:r>
        <w:rPr>
          <w:rFonts w:cs="Times New Roman"/>
          <w:spacing w:val="-8"/>
          <w:sz w:val="18"/>
          <w:szCs w:val="18"/>
          <w:lang w:val="es-ES_tradnl"/>
        </w:rPr>
        <w:t>í</w:t>
      </w:r>
      <w:r>
        <w:rPr>
          <w:spacing w:val="-8"/>
          <w:sz w:val="18"/>
          <w:szCs w:val="18"/>
          <w:lang w:val="es-ES_tradnl"/>
        </w:rPr>
        <w:t xml:space="preserve">a </w:t>
      </w:r>
      <w:r>
        <w:rPr>
          <w:spacing w:val="-7"/>
          <w:sz w:val="18"/>
          <w:szCs w:val="18"/>
          <w:lang w:val="es-ES_tradnl"/>
        </w:rPr>
        <w:t>Paca Ajitimbay. A dicho oficio lo acompa</w:t>
      </w:r>
      <w:r>
        <w:rPr>
          <w:rFonts w:cs="Times New Roman"/>
          <w:spacing w:val="-7"/>
          <w:sz w:val="18"/>
          <w:szCs w:val="18"/>
          <w:lang w:val="es-ES_tradnl"/>
        </w:rPr>
        <w:t>ñ</w:t>
      </w:r>
      <w:r>
        <w:rPr>
          <w:spacing w:val="-7"/>
          <w:sz w:val="18"/>
          <w:szCs w:val="18"/>
          <w:lang w:val="es-ES_tradnl"/>
        </w:rPr>
        <w:t>an otros oficios a trav</w:t>
      </w:r>
      <w:r>
        <w:rPr>
          <w:rFonts w:cs="Times New Roman"/>
          <w:spacing w:val="-7"/>
          <w:sz w:val="18"/>
          <w:szCs w:val="18"/>
          <w:lang w:val="es-ES_tradnl"/>
        </w:rPr>
        <w:t>é</w:t>
      </w:r>
      <w:r>
        <w:rPr>
          <w:spacing w:val="-7"/>
          <w:sz w:val="18"/>
          <w:szCs w:val="18"/>
          <w:lang w:val="es-ES_tradnl"/>
        </w:rPr>
        <w:t>s de los cuales se procur</w:t>
      </w:r>
      <w:r>
        <w:rPr>
          <w:rFonts w:cs="Times New Roman"/>
          <w:spacing w:val="-7"/>
          <w:sz w:val="18"/>
          <w:szCs w:val="18"/>
          <w:lang w:val="es-ES_tradnl"/>
        </w:rPr>
        <w:t>ó</w:t>
      </w:r>
      <w:r>
        <w:rPr>
          <w:spacing w:val="-7"/>
          <w:sz w:val="18"/>
          <w:szCs w:val="18"/>
          <w:lang w:val="es-ES_tradnl"/>
        </w:rPr>
        <w:t xml:space="preserve"> obtener del Ministerio de </w:t>
      </w:r>
      <w:r>
        <w:rPr>
          <w:spacing w:val="-10"/>
          <w:sz w:val="18"/>
          <w:szCs w:val="18"/>
          <w:lang w:val="es-ES_tradnl"/>
        </w:rPr>
        <w:t xml:space="preserve">Finanzas los recursos necesarios para cancelar los haberes </w:t>
      </w:r>
      <w:r>
        <w:rPr>
          <w:spacing w:val="-4"/>
          <w:sz w:val="18"/>
          <w:szCs w:val="18"/>
          <w:lang w:val="es-ES_tradnl"/>
        </w:rPr>
        <w:t xml:space="preserve">debidos a la doctora Paca Ajitimbay, sin que se haya </w:t>
      </w:r>
      <w:r>
        <w:rPr>
          <w:sz w:val="18"/>
          <w:szCs w:val="18"/>
          <w:lang w:val="es-ES_tradnl"/>
        </w:rPr>
        <w:t>obtenido respuesta favorable al respecto.</w:t>
      </w:r>
    </w:p>
    <w:p w14:paraId="4F67A942" w14:textId="77777777" w:rsidR="00591D54" w:rsidRDefault="00591D54">
      <w:pPr>
        <w:shd w:val="clear" w:color="auto" w:fill="FFFFFF"/>
        <w:spacing w:before="192"/>
      </w:pPr>
      <w:r>
        <w:rPr>
          <w:b/>
          <w:bCs/>
          <w:spacing w:val="-8"/>
          <w:sz w:val="18"/>
          <w:szCs w:val="18"/>
          <w:lang w:val="es-ES_tradnl"/>
        </w:rPr>
        <w:t>Audiencia p</w:t>
      </w:r>
      <w:r>
        <w:rPr>
          <w:rFonts w:cs="Times New Roman"/>
          <w:b/>
          <w:bCs/>
          <w:spacing w:val="-8"/>
          <w:sz w:val="18"/>
          <w:szCs w:val="18"/>
          <w:lang w:val="es-ES_tradnl"/>
        </w:rPr>
        <w:t>ú</w:t>
      </w:r>
      <w:r>
        <w:rPr>
          <w:b/>
          <w:bCs/>
          <w:spacing w:val="-8"/>
          <w:sz w:val="18"/>
          <w:szCs w:val="18"/>
          <w:lang w:val="es-ES_tradnl"/>
        </w:rPr>
        <w:t>blica</w:t>
      </w:r>
    </w:p>
    <w:p w14:paraId="4F67A943" w14:textId="77777777" w:rsidR="00591D54" w:rsidRDefault="00591D54">
      <w:pPr>
        <w:shd w:val="clear" w:color="auto" w:fill="FFFFFF"/>
        <w:spacing w:before="192" w:line="216" w:lineRule="exact"/>
        <w:jc w:val="both"/>
      </w:pPr>
      <w:r>
        <w:rPr>
          <w:spacing w:val="-6"/>
          <w:sz w:val="18"/>
          <w:szCs w:val="18"/>
          <w:lang w:val="es-ES_tradnl"/>
        </w:rPr>
        <w:t xml:space="preserve">Mediante auto del 03 de junio de 2015, el juez ponente </w:t>
      </w:r>
      <w:r>
        <w:rPr>
          <w:spacing w:val="-8"/>
          <w:sz w:val="18"/>
          <w:szCs w:val="18"/>
          <w:lang w:val="es-ES_tradnl"/>
        </w:rPr>
        <w:t>convoc</w:t>
      </w:r>
      <w:r>
        <w:rPr>
          <w:rFonts w:cs="Times New Roman"/>
          <w:spacing w:val="-8"/>
          <w:sz w:val="18"/>
          <w:szCs w:val="18"/>
          <w:lang w:val="es-ES_tradnl"/>
        </w:rPr>
        <w:t>ó</w:t>
      </w:r>
      <w:r>
        <w:rPr>
          <w:spacing w:val="-8"/>
          <w:sz w:val="18"/>
          <w:szCs w:val="18"/>
          <w:lang w:val="es-ES_tradnl"/>
        </w:rPr>
        <w:t xml:space="preserve"> a audiencia p</w:t>
      </w:r>
      <w:r>
        <w:rPr>
          <w:rFonts w:cs="Times New Roman"/>
          <w:spacing w:val="-8"/>
          <w:sz w:val="18"/>
          <w:szCs w:val="18"/>
          <w:lang w:val="es-ES_tradnl"/>
        </w:rPr>
        <w:t>ú</w:t>
      </w:r>
      <w:r>
        <w:rPr>
          <w:spacing w:val="-8"/>
          <w:sz w:val="18"/>
          <w:szCs w:val="18"/>
          <w:lang w:val="es-ES_tradnl"/>
        </w:rPr>
        <w:t>blica, la misma que se llev</w:t>
      </w:r>
      <w:r>
        <w:rPr>
          <w:rFonts w:cs="Times New Roman"/>
          <w:spacing w:val="-8"/>
          <w:sz w:val="18"/>
          <w:szCs w:val="18"/>
          <w:lang w:val="es-ES_tradnl"/>
        </w:rPr>
        <w:t>ó</w:t>
      </w:r>
      <w:r>
        <w:rPr>
          <w:spacing w:val="-8"/>
          <w:sz w:val="18"/>
          <w:szCs w:val="18"/>
          <w:lang w:val="es-ES_tradnl"/>
        </w:rPr>
        <w:t xml:space="preserve"> a cabo </w:t>
      </w:r>
      <w:r>
        <w:rPr>
          <w:spacing w:val="-9"/>
          <w:sz w:val="18"/>
          <w:szCs w:val="18"/>
          <w:lang w:val="es-ES_tradnl"/>
        </w:rPr>
        <w:t xml:space="preserve">el 11 de junio de 2015 con la comparecencia de la abogada </w:t>
      </w:r>
      <w:r>
        <w:rPr>
          <w:spacing w:val="-7"/>
          <w:sz w:val="18"/>
          <w:szCs w:val="18"/>
          <w:lang w:val="es-ES_tradnl"/>
        </w:rPr>
        <w:t>Nataly Anchatu</w:t>
      </w:r>
      <w:r>
        <w:rPr>
          <w:rFonts w:cs="Times New Roman"/>
          <w:spacing w:val="-7"/>
          <w:sz w:val="18"/>
          <w:szCs w:val="18"/>
          <w:lang w:val="es-ES_tradnl"/>
        </w:rPr>
        <w:t>ñ</w:t>
      </w:r>
      <w:r>
        <w:rPr>
          <w:spacing w:val="-7"/>
          <w:sz w:val="18"/>
          <w:szCs w:val="18"/>
          <w:lang w:val="es-ES_tradnl"/>
        </w:rPr>
        <w:t>a Chanatasig en representaci</w:t>
      </w:r>
      <w:r>
        <w:rPr>
          <w:rFonts w:cs="Times New Roman"/>
          <w:spacing w:val="-7"/>
          <w:sz w:val="18"/>
          <w:szCs w:val="18"/>
          <w:lang w:val="es-ES_tradnl"/>
        </w:rPr>
        <w:t>ó</w:t>
      </w:r>
      <w:r>
        <w:rPr>
          <w:spacing w:val="-7"/>
          <w:sz w:val="18"/>
          <w:szCs w:val="18"/>
          <w:lang w:val="es-ES_tradnl"/>
        </w:rPr>
        <w:t xml:space="preserve">n de la </w:t>
      </w:r>
      <w:r>
        <w:rPr>
          <w:spacing w:val="-11"/>
          <w:sz w:val="18"/>
          <w:szCs w:val="18"/>
          <w:lang w:val="es-ES_tradnl"/>
        </w:rPr>
        <w:t xml:space="preserve">accionante, y con la comparecencia del abogado Juan Pablo </w:t>
      </w:r>
      <w:r>
        <w:rPr>
          <w:spacing w:val="-7"/>
          <w:sz w:val="18"/>
          <w:szCs w:val="18"/>
          <w:lang w:val="es-ES_tradnl"/>
        </w:rPr>
        <w:t>Valencia Olalla en representaci</w:t>
      </w:r>
      <w:r>
        <w:rPr>
          <w:rFonts w:cs="Times New Roman"/>
          <w:spacing w:val="-7"/>
          <w:sz w:val="18"/>
          <w:szCs w:val="18"/>
          <w:lang w:val="es-ES_tradnl"/>
        </w:rPr>
        <w:t>ó</w:t>
      </w:r>
      <w:r>
        <w:rPr>
          <w:spacing w:val="-7"/>
          <w:sz w:val="18"/>
          <w:szCs w:val="18"/>
          <w:lang w:val="es-ES_tradnl"/>
        </w:rPr>
        <w:t xml:space="preserve">n del director provincial de </w:t>
      </w:r>
      <w:r>
        <w:rPr>
          <w:spacing w:val="-6"/>
          <w:sz w:val="18"/>
          <w:szCs w:val="18"/>
          <w:lang w:val="es-ES_tradnl"/>
        </w:rPr>
        <w:t>salud de Chimborazo y del director del Hospital de Colta.</w:t>
      </w:r>
    </w:p>
    <w:p w14:paraId="4F67A944" w14:textId="77777777" w:rsidR="00591D54" w:rsidRDefault="00591D54">
      <w:pPr>
        <w:shd w:val="clear" w:color="auto" w:fill="FFFFFF"/>
        <w:spacing w:before="192" w:line="216" w:lineRule="exact"/>
        <w:jc w:val="both"/>
      </w:pPr>
      <w:r>
        <w:rPr>
          <w:spacing w:val="-7"/>
          <w:sz w:val="18"/>
          <w:szCs w:val="18"/>
          <w:lang w:val="es-ES_tradnl"/>
        </w:rPr>
        <w:t xml:space="preserve">Pese a haber sido debidamente notificados con el auto </w:t>
      </w:r>
      <w:r>
        <w:rPr>
          <w:spacing w:val="-9"/>
          <w:sz w:val="18"/>
          <w:szCs w:val="18"/>
          <w:lang w:val="es-ES_tradnl"/>
        </w:rPr>
        <w:t xml:space="preserve">antedicho, conforme consta de fojas 17 y 18 del expediente </w:t>
      </w:r>
      <w:r>
        <w:rPr>
          <w:spacing w:val="-8"/>
          <w:sz w:val="18"/>
          <w:szCs w:val="18"/>
          <w:lang w:val="es-ES_tradnl"/>
        </w:rPr>
        <w:t>constitucional, no comparecieron a la audiencia p</w:t>
      </w:r>
      <w:r>
        <w:rPr>
          <w:rFonts w:cs="Times New Roman"/>
          <w:spacing w:val="-8"/>
          <w:sz w:val="18"/>
          <w:szCs w:val="18"/>
          <w:lang w:val="es-ES_tradnl"/>
        </w:rPr>
        <w:t>ú</w:t>
      </w:r>
      <w:r>
        <w:rPr>
          <w:spacing w:val="-8"/>
          <w:sz w:val="18"/>
          <w:szCs w:val="18"/>
          <w:lang w:val="es-ES_tradnl"/>
        </w:rPr>
        <w:t xml:space="preserve">blica los </w:t>
      </w:r>
      <w:r>
        <w:rPr>
          <w:spacing w:val="-6"/>
          <w:sz w:val="18"/>
          <w:szCs w:val="18"/>
          <w:lang w:val="es-ES_tradnl"/>
        </w:rPr>
        <w:t>jueces de la Primera Sala del Tribunal Distrital N.</w:t>
      </w:r>
      <w:r>
        <w:rPr>
          <w:rFonts w:cs="Times New Roman"/>
          <w:spacing w:val="-6"/>
          <w:sz w:val="18"/>
          <w:szCs w:val="18"/>
          <w:lang w:val="es-ES_tradnl"/>
        </w:rPr>
        <w:t>º</w:t>
      </w:r>
      <w:r>
        <w:rPr>
          <w:spacing w:val="-6"/>
          <w:sz w:val="18"/>
          <w:szCs w:val="18"/>
          <w:lang w:val="es-ES_tradnl"/>
        </w:rPr>
        <w:t xml:space="preserve"> 1 de lo </w:t>
      </w:r>
      <w:r>
        <w:rPr>
          <w:spacing w:val="-5"/>
          <w:sz w:val="18"/>
          <w:szCs w:val="18"/>
          <w:lang w:val="es-ES_tradnl"/>
        </w:rPr>
        <w:t xml:space="preserve">Contencioso Administrativo, ni el procurador general del </w:t>
      </w:r>
      <w:r>
        <w:rPr>
          <w:sz w:val="18"/>
          <w:szCs w:val="18"/>
          <w:lang w:val="es-ES_tradnl"/>
        </w:rPr>
        <w:t>Estado.</w:t>
      </w:r>
    </w:p>
    <w:p w14:paraId="4F67A945" w14:textId="77777777" w:rsidR="00591D54" w:rsidRDefault="00591D54">
      <w:pPr>
        <w:shd w:val="clear" w:color="auto" w:fill="FFFFFF"/>
        <w:spacing w:before="192" w:line="216" w:lineRule="exact"/>
        <w:jc w:val="both"/>
      </w:pPr>
      <w:r>
        <w:rPr>
          <w:spacing w:val="-1"/>
          <w:sz w:val="18"/>
          <w:szCs w:val="18"/>
          <w:lang w:val="es-ES_tradnl"/>
        </w:rPr>
        <w:t>En su intervenci</w:t>
      </w:r>
      <w:r>
        <w:rPr>
          <w:rFonts w:cs="Times New Roman"/>
          <w:spacing w:val="-1"/>
          <w:sz w:val="18"/>
          <w:szCs w:val="18"/>
          <w:lang w:val="es-ES_tradnl"/>
        </w:rPr>
        <w:t>ó</w:t>
      </w:r>
      <w:r>
        <w:rPr>
          <w:spacing w:val="-1"/>
          <w:sz w:val="18"/>
          <w:szCs w:val="18"/>
          <w:lang w:val="es-ES_tradnl"/>
        </w:rPr>
        <w:t>n, la abogada Nataly Anchatu</w:t>
      </w:r>
      <w:r>
        <w:rPr>
          <w:rFonts w:cs="Times New Roman"/>
          <w:spacing w:val="-1"/>
          <w:sz w:val="18"/>
          <w:szCs w:val="18"/>
          <w:lang w:val="es-ES_tradnl"/>
        </w:rPr>
        <w:t>ñ</w:t>
      </w:r>
      <w:r>
        <w:rPr>
          <w:spacing w:val="-1"/>
          <w:sz w:val="18"/>
          <w:szCs w:val="18"/>
          <w:lang w:val="es-ES_tradnl"/>
        </w:rPr>
        <w:t xml:space="preserve">a </w:t>
      </w:r>
      <w:r>
        <w:rPr>
          <w:spacing w:val="-8"/>
          <w:sz w:val="18"/>
          <w:szCs w:val="18"/>
          <w:lang w:val="es-ES_tradnl"/>
        </w:rPr>
        <w:t>Chanatasig en representaci</w:t>
      </w:r>
      <w:r>
        <w:rPr>
          <w:rFonts w:cs="Times New Roman"/>
          <w:spacing w:val="-8"/>
          <w:sz w:val="18"/>
          <w:szCs w:val="18"/>
          <w:lang w:val="es-ES_tradnl"/>
        </w:rPr>
        <w:t>ó</w:t>
      </w:r>
      <w:r>
        <w:rPr>
          <w:spacing w:val="-8"/>
          <w:sz w:val="18"/>
          <w:szCs w:val="18"/>
          <w:lang w:val="es-ES_tradnl"/>
        </w:rPr>
        <w:t>n de la accionante, se</w:t>
      </w:r>
      <w:r>
        <w:rPr>
          <w:rFonts w:cs="Times New Roman"/>
          <w:spacing w:val="-8"/>
          <w:sz w:val="18"/>
          <w:szCs w:val="18"/>
          <w:lang w:val="es-ES_tradnl"/>
        </w:rPr>
        <w:t>ñ</w:t>
      </w:r>
      <w:r>
        <w:rPr>
          <w:spacing w:val="-8"/>
          <w:sz w:val="18"/>
          <w:szCs w:val="18"/>
          <w:lang w:val="es-ES_tradnl"/>
        </w:rPr>
        <w:t>al</w:t>
      </w:r>
      <w:r>
        <w:rPr>
          <w:rFonts w:cs="Times New Roman"/>
          <w:spacing w:val="-8"/>
          <w:sz w:val="18"/>
          <w:szCs w:val="18"/>
          <w:lang w:val="es-ES_tradnl"/>
        </w:rPr>
        <w:t xml:space="preserve">ó </w:t>
      </w:r>
      <w:r>
        <w:rPr>
          <w:sz w:val="18"/>
          <w:szCs w:val="18"/>
          <w:lang w:val="es-ES_tradnl"/>
        </w:rPr>
        <w:t>principalmente lo siguiente:</w:t>
      </w:r>
    </w:p>
    <w:p w14:paraId="4F67A946" w14:textId="77777777" w:rsidR="00591D54" w:rsidRDefault="00591D54">
      <w:pPr>
        <w:shd w:val="clear" w:color="auto" w:fill="FFFFFF"/>
        <w:spacing w:before="202" w:line="216" w:lineRule="exact"/>
        <w:ind w:left="283" w:right="5"/>
        <w:jc w:val="both"/>
      </w:pPr>
      <w:r>
        <w:rPr>
          <w:spacing w:val="-6"/>
          <w:sz w:val="16"/>
          <w:szCs w:val="16"/>
          <w:lang w:val="es-ES_tradnl"/>
        </w:rPr>
        <w:t>(</w:t>
      </w:r>
      <w:r>
        <w:rPr>
          <w:rFonts w:cs="Times New Roman"/>
          <w:spacing w:val="-6"/>
          <w:sz w:val="16"/>
          <w:szCs w:val="16"/>
          <w:lang w:val="es-ES_tradnl"/>
        </w:rPr>
        <w:t>…</w:t>
      </w:r>
      <w:r>
        <w:rPr>
          <w:spacing w:val="-6"/>
          <w:sz w:val="16"/>
          <w:szCs w:val="16"/>
          <w:lang w:val="es-ES_tradnl"/>
        </w:rPr>
        <w:t>) con fecha 26 de febrero del 2007, mediante acci</w:t>
      </w:r>
      <w:r>
        <w:rPr>
          <w:rFonts w:cs="Times New Roman"/>
          <w:spacing w:val="-6"/>
          <w:sz w:val="16"/>
          <w:szCs w:val="16"/>
          <w:lang w:val="es-ES_tradnl"/>
        </w:rPr>
        <w:t>ó</w:t>
      </w:r>
      <w:r>
        <w:rPr>
          <w:spacing w:val="-6"/>
          <w:sz w:val="16"/>
          <w:szCs w:val="16"/>
          <w:lang w:val="es-ES_tradnl"/>
        </w:rPr>
        <w:t xml:space="preserve">n de </w:t>
      </w:r>
      <w:r>
        <w:rPr>
          <w:spacing w:val="-5"/>
          <w:sz w:val="16"/>
          <w:szCs w:val="16"/>
          <w:lang w:val="es-ES_tradnl"/>
        </w:rPr>
        <w:t xml:space="preserve">personal 2007 DPSCH-HPEC-DP 075, el doctor Jhonny </w:t>
      </w:r>
      <w:r>
        <w:rPr>
          <w:spacing w:val="-7"/>
          <w:sz w:val="16"/>
          <w:szCs w:val="16"/>
          <w:lang w:val="es-ES_tradnl"/>
        </w:rPr>
        <w:t xml:space="preserve">Vinueza, director del Hospital de Colta, resuelve en agradecer </w:t>
      </w:r>
      <w:r>
        <w:rPr>
          <w:spacing w:val="-5"/>
          <w:sz w:val="16"/>
          <w:szCs w:val="16"/>
          <w:lang w:val="es-ES_tradnl"/>
        </w:rPr>
        <w:t>a la doctora Mar</w:t>
      </w:r>
      <w:r>
        <w:rPr>
          <w:rFonts w:cs="Times New Roman"/>
          <w:spacing w:val="-5"/>
          <w:sz w:val="16"/>
          <w:szCs w:val="16"/>
          <w:lang w:val="es-ES_tradnl"/>
        </w:rPr>
        <w:t>í</w:t>
      </w:r>
      <w:r>
        <w:rPr>
          <w:spacing w:val="-5"/>
          <w:sz w:val="16"/>
          <w:szCs w:val="16"/>
          <w:lang w:val="es-ES_tradnl"/>
        </w:rPr>
        <w:t xml:space="preserve">a Carmen Paca Ajitimbay por los servicios </w:t>
      </w:r>
      <w:r>
        <w:rPr>
          <w:spacing w:val="-3"/>
          <w:sz w:val="16"/>
          <w:szCs w:val="16"/>
          <w:lang w:val="es-ES_tradnl"/>
        </w:rPr>
        <w:t>prestados, en virtud de que las vacantes para m</w:t>
      </w:r>
      <w:r>
        <w:rPr>
          <w:rFonts w:cs="Times New Roman"/>
          <w:spacing w:val="-3"/>
          <w:sz w:val="16"/>
          <w:szCs w:val="16"/>
          <w:lang w:val="es-ES_tradnl"/>
        </w:rPr>
        <w:t>é</w:t>
      </w:r>
      <w:r>
        <w:rPr>
          <w:spacing w:val="-3"/>
          <w:sz w:val="16"/>
          <w:szCs w:val="16"/>
          <w:lang w:val="es-ES_tradnl"/>
        </w:rPr>
        <w:t xml:space="preserve">dicos </w:t>
      </w:r>
      <w:r>
        <w:rPr>
          <w:spacing w:val="-9"/>
          <w:sz w:val="16"/>
          <w:szCs w:val="16"/>
          <w:lang w:val="es-ES_tradnl"/>
        </w:rPr>
        <w:t>residentes se encontraban ya sometidas a concurso de m</w:t>
      </w:r>
      <w:r>
        <w:rPr>
          <w:rFonts w:cs="Times New Roman"/>
          <w:spacing w:val="-9"/>
          <w:sz w:val="16"/>
          <w:szCs w:val="16"/>
          <w:lang w:val="es-ES_tradnl"/>
        </w:rPr>
        <w:t>é</w:t>
      </w:r>
      <w:r>
        <w:rPr>
          <w:spacing w:val="-9"/>
          <w:sz w:val="16"/>
          <w:szCs w:val="16"/>
          <w:lang w:val="es-ES_tradnl"/>
        </w:rPr>
        <w:t xml:space="preserve">ritos </w:t>
      </w:r>
      <w:r>
        <w:rPr>
          <w:spacing w:val="-5"/>
          <w:sz w:val="16"/>
          <w:szCs w:val="16"/>
          <w:lang w:val="es-ES_tradnl"/>
        </w:rPr>
        <w:t>y oposici</w:t>
      </w:r>
      <w:r>
        <w:rPr>
          <w:rFonts w:cs="Times New Roman"/>
          <w:spacing w:val="-5"/>
          <w:sz w:val="16"/>
          <w:szCs w:val="16"/>
          <w:lang w:val="es-ES_tradnl"/>
        </w:rPr>
        <w:t>ó</w:t>
      </w:r>
      <w:r>
        <w:rPr>
          <w:spacing w:val="-5"/>
          <w:sz w:val="16"/>
          <w:szCs w:val="16"/>
          <w:lang w:val="es-ES_tradnl"/>
        </w:rPr>
        <w:t>n, por tal raz</w:t>
      </w:r>
      <w:r>
        <w:rPr>
          <w:rFonts w:cs="Times New Roman"/>
          <w:spacing w:val="-5"/>
          <w:sz w:val="16"/>
          <w:szCs w:val="16"/>
          <w:lang w:val="es-ES_tradnl"/>
        </w:rPr>
        <w:t>ó</w:t>
      </w:r>
      <w:r>
        <w:rPr>
          <w:spacing w:val="-5"/>
          <w:sz w:val="16"/>
          <w:szCs w:val="16"/>
          <w:lang w:val="es-ES_tradnl"/>
        </w:rPr>
        <w:t>n y vulnerando los derechos de mi cliente, ella presenta la acci</w:t>
      </w:r>
      <w:r>
        <w:rPr>
          <w:rFonts w:cs="Times New Roman"/>
          <w:spacing w:val="-5"/>
          <w:sz w:val="16"/>
          <w:szCs w:val="16"/>
          <w:lang w:val="es-ES_tradnl"/>
        </w:rPr>
        <w:t>ó</w:t>
      </w:r>
      <w:r>
        <w:rPr>
          <w:spacing w:val="-5"/>
          <w:sz w:val="16"/>
          <w:szCs w:val="16"/>
          <w:lang w:val="es-ES_tradnl"/>
        </w:rPr>
        <w:t xml:space="preserve">n de amparo constitucional, la </w:t>
      </w:r>
      <w:r>
        <w:rPr>
          <w:spacing w:val="-7"/>
          <w:sz w:val="16"/>
          <w:szCs w:val="16"/>
          <w:lang w:val="es-ES_tradnl"/>
        </w:rPr>
        <w:t xml:space="preserve">cual le presenta ante el Tribunal Contencioso Administrativo y </w:t>
      </w:r>
      <w:r>
        <w:rPr>
          <w:spacing w:val="-10"/>
          <w:sz w:val="16"/>
          <w:szCs w:val="16"/>
          <w:lang w:val="es-ES_tradnl"/>
        </w:rPr>
        <w:t>es concedido este amparo constitucional. Tambi</w:t>
      </w:r>
      <w:r>
        <w:rPr>
          <w:rFonts w:cs="Times New Roman"/>
          <w:spacing w:val="-10"/>
          <w:sz w:val="16"/>
          <w:szCs w:val="16"/>
          <w:lang w:val="es-ES_tradnl"/>
        </w:rPr>
        <w:t>é</w:t>
      </w:r>
      <w:r>
        <w:rPr>
          <w:spacing w:val="-10"/>
          <w:sz w:val="16"/>
          <w:szCs w:val="16"/>
          <w:lang w:val="es-ES_tradnl"/>
        </w:rPr>
        <w:t xml:space="preserve">n es ratificado </w:t>
      </w:r>
      <w:r>
        <w:rPr>
          <w:spacing w:val="-5"/>
          <w:sz w:val="16"/>
          <w:szCs w:val="16"/>
          <w:lang w:val="es-ES_tradnl"/>
        </w:rPr>
        <w:t xml:space="preserve">por la Corte Constitucional con fecha 05 de marzo de 2009, </w:t>
      </w:r>
      <w:r>
        <w:rPr>
          <w:spacing w:val="-6"/>
          <w:sz w:val="16"/>
          <w:szCs w:val="16"/>
          <w:lang w:val="es-ES_tradnl"/>
        </w:rPr>
        <w:t xml:space="preserve">obligando al reintegro inmediato a los servicios en los cuales </w:t>
      </w:r>
      <w:r>
        <w:rPr>
          <w:spacing w:val="-7"/>
          <w:sz w:val="16"/>
          <w:szCs w:val="16"/>
          <w:lang w:val="es-ES_tradnl"/>
        </w:rPr>
        <w:t>ella prestaba al momento de su destituci</w:t>
      </w:r>
      <w:r>
        <w:rPr>
          <w:rFonts w:cs="Times New Roman"/>
          <w:spacing w:val="-7"/>
          <w:sz w:val="16"/>
          <w:szCs w:val="16"/>
          <w:lang w:val="es-ES_tradnl"/>
        </w:rPr>
        <w:t>ó</w:t>
      </w:r>
      <w:r>
        <w:rPr>
          <w:spacing w:val="-7"/>
          <w:sz w:val="16"/>
          <w:szCs w:val="16"/>
          <w:lang w:val="es-ES_tradnl"/>
        </w:rPr>
        <w:t>n y tambi</w:t>
      </w:r>
      <w:r>
        <w:rPr>
          <w:rFonts w:cs="Times New Roman"/>
          <w:spacing w:val="-7"/>
          <w:sz w:val="16"/>
          <w:szCs w:val="16"/>
          <w:lang w:val="es-ES_tradnl"/>
        </w:rPr>
        <w:t>é</w:t>
      </w:r>
      <w:r>
        <w:rPr>
          <w:spacing w:val="-7"/>
          <w:sz w:val="16"/>
          <w:szCs w:val="16"/>
          <w:lang w:val="es-ES_tradnl"/>
        </w:rPr>
        <w:t xml:space="preserve">n al pago </w:t>
      </w:r>
      <w:r>
        <w:rPr>
          <w:spacing w:val="-5"/>
          <w:sz w:val="16"/>
          <w:szCs w:val="16"/>
          <w:lang w:val="es-ES_tradnl"/>
        </w:rPr>
        <w:t>total de los haberes [no] percibidos durante la suspensi</w:t>
      </w:r>
      <w:r>
        <w:rPr>
          <w:rFonts w:cs="Times New Roman"/>
          <w:spacing w:val="-5"/>
          <w:sz w:val="16"/>
          <w:szCs w:val="16"/>
          <w:lang w:val="es-ES_tradnl"/>
        </w:rPr>
        <w:t>ó</w:t>
      </w:r>
      <w:r>
        <w:rPr>
          <w:spacing w:val="-5"/>
          <w:sz w:val="16"/>
          <w:szCs w:val="16"/>
          <w:lang w:val="es-ES_tradnl"/>
        </w:rPr>
        <w:t xml:space="preserve">n </w:t>
      </w:r>
      <w:r>
        <w:rPr>
          <w:spacing w:val="-8"/>
          <w:sz w:val="16"/>
          <w:szCs w:val="16"/>
          <w:lang w:val="es-ES_tradnl"/>
        </w:rPr>
        <w:t>ilegal. Nos encontramos en el a</w:t>
      </w:r>
      <w:r>
        <w:rPr>
          <w:rFonts w:cs="Times New Roman"/>
          <w:spacing w:val="-8"/>
          <w:sz w:val="16"/>
          <w:szCs w:val="16"/>
          <w:lang w:val="es-ES_tradnl"/>
        </w:rPr>
        <w:t>ñ</w:t>
      </w:r>
      <w:r>
        <w:rPr>
          <w:spacing w:val="-8"/>
          <w:sz w:val="16"/>
          <w:szCs w:val="16"/>
          <w:lang w:val="es-ES_tradnl"/>
        </w:rPr>
        <w:t>o 2015, se</w:t>
      </w:r>
      <w:r>
        <w:rPr>
          <w:rFonts w:cs="Times New Roman"/>
          <w:spacing w:val="-8"/>
          <w:sz w:val="16"/>
          <w:szCs w:val="16"/>
          <w:lang w:val="es-ES_tradnl"/>
        </w:rPr>
        <w:t>ñ</w:t>
      </w:r>
      <w:r>
        <w:rPr>
          <w:spacing w:val="-8"/>
          <w:sz w:val="16"/>
          <w:szCs w:val="16"/>
          <w:lang w:val="es-ES_tradnl"/>
        </w:rPr>
        <w:t xml:space="preserve">ores magistrados, </w:t>
      </w:r>
      <w:r>
        <w:rPr>
          <w:spacing w:val="-7"/>
          <w:sz w:val="16"/>
          <w:szCs w:val="16"/>
          <w:lang w:val="es-ES_tradnl"/>
        </w:rPr>
        <w:t>y el pago de las remuneraciones, as</w:t>
      </w:r>
      <w:r>
        <w:rPr>
          <w:rFonts w:cs="Times New Roman"/>
          <w:spacing w:val="-7"/>
          <w:sz w:val="16"/>
          <w:szCs w:val="16"/>
          <w:lang w:val="es-ES_tradnl"/>
        </w:rPr>
        <w:t>í</w:t>
      </w:r>
      <w:r>
        <w:rPr>
          <w:spacing w:val="-7"/>
          <w:sz w:val="16"/>
          <w:szCs w:val="16"/>
          <w:lang w:val="es-ES_tradnl"/>
        </w:rPr>
        <w:t xml:space="preserve"> como todos los d</w:t>
      </w:r>
      <w:r>
        <w:rPr>
          <w:rFonts w:cs="Times New Roman"/>
          <w:spacing w:val="-7"/>
          <w:sz w:val="16"/>
          <w:szCs w:val="16"/>
          <w:lang w:val="es-ES_tradnl"/>
        </w:rPr>
        <w:t>é</w:t>
      </w:r>
      <w:r>
        <w:rPr>
          <w:spacing w:val="-7"/>
          <w:sz w:val="16"/>
          <w:szCs w:val="16"/>
          <w:lang w:val="es-ES_tradnl"/>
        </w:rPr>
        <w:t xml:space="preserve">cimos </w:t>
      </w:r>
      <w:r>
        <w:rPr>
          <w:spacing w:val="-4"/>
          <w:sz w:val="16"/>
          <w:szCs w:val="16"/>
          <w:lang w:val="es-ES_tradnl"/>
        </w:rPr>
        <w:t>y el pago del seguro social no se ha cancelado, por tanto, se</w:t>
      </w:r>
      <w:r>
        <w:rPr>
          <w:rFonts w:cs="Times New Roman"/>
          <w:spacing w:val="-4"/>
          <w:sz w:val="16"/>
          <w:szCs w:val="16"/>
          <w:lang w:val="es-ES_tradnl"/>
        </w:rPr>
        <w:t>ñ</w:t>
      </w:r>
      <w:r>
        <w:rPr>
          <w:spacing w:val="-4"/>
          <w:sz w:val="16"/>
          <w:szCs w:val="16"/>
          <w:lang w:val="es-ES_tradnl"/>
        </w:rPr>
        <w:t xml:space="preserve">or Juez, solicito que en virtud de que se han vulnerado </w:t>
      </w:r>
      <w:r>
        <w:rPr>
          <w:spacing w:val="-7"/>
          <w:sz w:val="16"/>
          <w:szCs w:val="16"/>
          <w:lang w:val="es-ES_tradnl"/>
        </w:rPr>
        <w:t xml:space="preserve">los derechos de mi clienta, se le ordene a la parte contraria al </w:t>
      </w:r>
      <w:r>
        <w:rPr>
          <w:spacing w:val="-9"/>
          <w:sz w:val="16"/>
          <w:szCs w:val="16"/>
          <w:lang w:val="es-ES_tradnl"/>
        </w:rPr>
        <w:t>pago total y a la reparaci</w:t>
      </w:r>
      <w:r>
        <w:rPr>
          <w:rFonts w:cs="Times New Roman"/>
          <w:spacing w:val="-9"/>
          <w:sz w:val="16"/>
          <w:szCs w:val="16"/>
          <w:lang w:val="es-ES_tradnl"/>
        </w:rPr>
        <w:t>ó</w:t>
      </w:r>
      <w:r>
        <w:rPr>
          <w:spacing w:val="-9"/>
          <w:sz w:val="16"/>
          <w:szCs w:val="16"/>
          <w:lang w:val="es-ES_tradnl"/>
        </w:rPr>
        <w:t>n total de los da</w:t>
      </w:r>
      <w:r>
        <w:rPr>
          <w:rFonts w:cs="Times New Roman"/>
          <w:spacing w:val="-9"/>
          <w:sz w:val="16"/>
          <w:szCs w:val="16"/>
          <w:lang w:val="es-ES_tradnl"/>
        </w:rPr>
        <w:t>ñ</w:t>
      </w:r>
      <w:r>
        <w:rPr>
          <w:spacing w:val="-9"/>
          <w:sz w:val="16"/>
          <w:szCs w:val="16"/>
          <w:lang w:val="es-ES_tradnl"/>
        </w:rPr>
        <w:t xml:space="preserve">os ocasionados a mi </w:t>
      </w:r>
      <w:r>
        <w:rPr>
          <w:spacing w:val="-8"/>
          <w:sz w:val="16"/>
          <w:szCs w:val="16"/>
          <w:lang w:val="es-ES_tradnl"/>
        </w:rPr>
        <w:t>defendida desde el 26 de febrero de 2007, hasta el 01 de junio de 2008, fecha en que fue reingresada al lugar del trabajo (</w:t>
      </w:r>
      <w:r>
        <w:rPr>
          <w:rFonts w:cs="Times New Roman"/>
          <w:spacing w:val="-8"/>
          <w:sz w:val="16"/>
          <w:szCs w:val="16"/>
          <w:lang w:val="es-ES_tradnl"/>
        </w:rPr>
        <w:t>…</w:t>
      </w:r>
      <w:r>
        <w:rPr>
          <w:spacing w:val="-8"/>
          <w:sz w:val="16"/>
          <w:szCs w:val="16"/>
          <w:lang w:val="es-ES_tradnl"/>
        </w:rPr>
        <w:t>).</w:t>
      </w:r>
    </w:p>
    <w:p w14:paraId="4F67A947" w14:textId="77777777" w:rsidR="00591D54" w:rsidRDefault="00591D54">
      <w:pPr>
        <w:shd w:val="clear" w:color="auto" w:fill="FFFFFF"/>
        <w:spacing w:before="202" w:line="216" w:lineRule="exact"/>
        <w:ind w:right="5"/>
        <w:jc w:val="both"/>
      </w:pPr>
      <w:r>
        <w:rPr>
          <w:sz w:val="18"/>
          <w:szCs w:val="18"/>
          <w:lang w:val="es-ES_tradnl"/>
        </w:rPr>
        <w:t xml:space="preserve">Por su parte, el abogado Juan Pablo Valencia Olalla </w:t>
      </w:r>
      <w:r>
        <w:rPr>
          <w:spacing w:val="-6"/>
          <w:sz w:val="18"/>
          <w:szCs w:val="18"/>
          <w:lang w:val="es-ES_tradnl"/>
        </w:rPr>
        <w:t>en representaci</w:t>
      </w:r>
      <w:r>
        <w:rPr>
          <w:rFonts w:cs="Times New Roman"/>
          <w:spacing w:val="-6"/>
          <w:sz w:val="18"/>
          <w:szCs w:val="18"/>
          <w:lang w:val="es-ES_tradnl"/>
        </w:rPr>
        <w:t>ó</w:t>
      </w:r>
      <w:r>
        <w:rPr>
          <w:spacing w:val="-6"/>
          <w:sz w:val="18"/>
          <w:szCs w:val="18"/>
          <w:lang w:val="es-ES_tradnl"/>
        </w:rPr>
        <w:t xml:space="preserve">n del director provincial de salud de </w:t>
      </w:r>
      <w:r>
        <w:rPr>
          <w:spacing w:val="-7"/>
          <w:sz w:val="18"/>
          <w:szCs w:val="18"/>
          <w:lang w:val="es-ES_tradnl"/>
        </w:rPr>
        <w:t>Chimborazo y del director del Hospital de Colta, manifest</w:t>
      </w:r>
      <w:r>
        <w:rPr>
          <w:rFonts w:cs="Times New Roman"/>
          <w:spacing w:val="-7"/>
          <w:sz w:val="18"/>
          <w:szCs w:val="18"/>
          <w:lang w:val="es-ES_tradnl"/>
        </w:rPr>
        <w:t xml:space="preserve">ó </w:t>
      </w:r>
      <w:r>
        <w:rPr>
          <w:sz w:val="18"/>
          <w:szCs w:val="18"/>
          <w:lang w:val="es-ES_tradnl"/>
        </w:rPr>
        <w:t>entre otras cuestiones, lo siguiente:</w:t>
      </w:r>
    </w:p>
    <w:p w14:paraId="4F67A948" w14:textId="77777777" w:rsidR="00591D54" w:rsidRDefault="00591D54">
      <w:pPr>
        <w:shd w:val="clear" w:color="auto" w:fill="FFFFFF"/>
        <w:spacing w:line="216" w:lineRule="exact"/>
        <w:ind w:left="283"/>
        <w:jc w:val="both"/>
      </w:pPr>
      <w:r>
        <w:br w:type="column"/>
      </w:r>
      <w:r>
        <w:rPr>
          <w:spacing w:val="-8"/>
          <w:sz w:val="16"/>
          <w:szCs w:val="16"/>
          <w:lang w:val="es-ES_tradnl"/>
        </w:rPr>
        <w:t>(</w:t>
      </w:r>
      <w:r>
        <w:rPr>
          <w:rFonts w:cs="Times New Roman"/>
          <w:spacing w:val="-8"/>
          <w:sz w:val="16"/>
          <w:szCs w:val="16"/>
          <w:lang w:val="es-ES_tradnl"/>
        </w:rPr>
        <w:t>…</w:t>
      </w:r>
      <w:r>
        <w:rPr>
          <w:spacing w:val="-8"/>
          <w:sz w:val="16"/>
          <w:szCs w:val="16"/>
          <w:lang w:val="es-ES_tradnl"/>
        </w:rPr>
        <w:t>) Es necesario, se</w:t>
      </w:r>
      <w:r>
        <w:rPr>
          <w:rFonts w:cs="Times New Roman"/>
          <w:spacing w:val="-8"/>
          <w:sz w:val="16"/>
          <w:szCs w:val="16"/>
          <w:lang w:val="es-ES_tradnl"/>
        </w:rPr>
        <w:t>ñ</w:t>
      </w:r>
      <w:r>
        <w:rPr>
          <w:spacing w:val="-8"/>
          <w:sz w:val="16"/>
          <w:szCs w:val="16"/>
          <w:lang w:val="es-ES_tradnl"/>
        </w:rPr>
        <w:t xml:space="preserve">ores Jueces constitucionales, manifestar </w:t>
      </w:r>
      <w:r>
        <w:rPr>
          <w:spacing w:val="-3"/>
          <w:sz w:val="16"/>
          <w:szCs w:val="16"/>
          <w:lang w:val="es-ES_tradnl"/>
        </w:rPr>
        <w:t>y relatar lo siguiente, obedeciendo y cumpli</w:t>
      </w:r>
      <w:r>
        <w:rPr>
          <w:rFonts w:cs="Times New Roman"/>
          <w:spacing w:val="-3"/>
          <w:sz w:val="16"/>
          <w:szCs w:val="16"/>
          <w:lang w:val="es-ES_tradnl"/>
        </w:rPr>
        <w:t>é</w:t>
      </w:r>
      <w:r>
        <w:rPr>
          <w:spacing w:val="-3"/>
          <w:sz w:val="16"/>
          <w:szCs w:val="16"/>
          <w:lang w:val="es-ES_tradnl"/>
        </w:rPr>
        <w:t xml:space="preserve">ndose lo </w:t>
      </w:r>
      <w:r>
        <w:rPr>
          <w:spacing w:val="-6"/>
          <w:sz w:val="16"/>
          <w:szCs w:val="16"/>
          <w:lang w:val="es-ES_tradnl"/>
        </w:rPr>
        <w:t>determinado en la Constituci</w:t>
      </w:r>
      <w:r>
        <w:rPr>
          <w:rFonts w:cs="Times New Roman"/>
          <w:spacing w:val="-6"/>
          <w:sz w:val="16"/>
          <w:szCs w:val="16"/>
          <w:lang w:val="es-ES_tradnl"/>
        </w:rPr>
        <w:t>ó</w:t>
      </w:r>
      <w:r>
        <w:rPr>
          <w:spacing w:val="-6"/>
          <w:sz w:val="16"/>
          <w:szCs w:val="16"/>
          <w:lang w:val="es-ES_tradnl"/>
        </w:rPr>
        <w:t>n de la Rep</w:t>
      </w:r>
      <w:r>
        <w:rPr>
          <w:rFonts w:cs="Times New Roman"/>
          <w:spacing w:val="-6"/>
          <w:sz w:val="16"/>
          <w:szCs w:val="16"/>
          <w:lang w:val="es-ES_tradnl"/>
        </w:rPr>
        <w:t>ú</w:t>
      </w:r>
      <w:r>
        <w:rPr>
          <w:spacing w:val="-6"/>
          <w:sz w:val="16"/>
          <w:szCs w:val="16"/>
          <w:lang w:val="es-ES_tradnl"/>
        </w:rPr>
        <w:t>blica del Ecuador, el Ministerio de Salud P</w:t>
      </w:r>
      <w:r>
        <w:rPr>
          <w:rFonts w:cs="Times New Roman"/>
          <w:spacing w:val="-6"/>
          <w:sz w:val="16"/>
          <w:szCs w:val="16"/>
          <w:lang w:val="es-ES_tradnl"/>
        </w:rPr>
        <w:t>ú</w:t>
      </w:r>
      <w:r>
        <w:rPr>
          <w:spacing w:val="-6"/>
          <w:sz w:val="16"/>
          <w:szCs w:val="16"/>
          <w:lang w:val="es-ES_tradnl"/>
        </w:rPr>
        <w:t>blica a trav</w:t>
      </w:r>
      <w:r>
        <w:rPr>
          <w:rFonts w:cs="Times New Roman"/>
          <w:spacing w:val="-6"/>
          <w:sz w:val="16"/>
          <w:szCs w:val="16"/>
          <w:lang w:val="es-ES_tradnl"/>
        </w:rPr>
        <w:t>é</w:t>
      </w:r>
      <w:r>
        <w:rPr>
          <w:spacing w:val="-6"/>
          <w:sz w:val="16"/>
          <w:szCs w:val="16"/>
          <w:lang w:val="es-ES_tradnl"/>
        </w:rPr>
        <w:t xml:space="preserve">s de sus dependencias </w:t>
      </w:r>
      <w:r>
        <w:rPr>
          <w:spacing w:val="-5"/>
          <w:sz w:val="16"/>
          <w:szCs w:val="16"/>
          <w:lang w:val="es-ES_tradnl"/>
        </w:rPr>
        <w:t>desconcentradas, en el a</w:t>
      </w:r>
      <w:r>
        <w:rPr>
          <w:rFonts w:cs="Times New Roman"/>
          <w:spacing w:val="-5"/>
          <w:sz w:val="16"/>
          <w:szCs w:val="16"/>
          <w:lang w:val="es-ES_tradnl"/>
        </w:rPr>
        <w:t>ñ</w:t>
      </w:r>
      <w:r>
        <w:rPr>
          <w:spacing w:val="-5"/>
          <w:sz w:val="16"/>
          <w:szCs w:val="16"/>
          <w:lang w:val="es-ES_tradnl"/>
        </w:rPr>
        <w:t xml:space="preserve">o 2008, con fecha 09 de abril, </w:t>
      </w:r>
      <w:r>
        <w:rPr>
          <w:spacing w:val="-4"/>
          <w:sz w:val="16"/>
          <w:szCs w:val="16"/>
          <w:lang w:val="es-ES_tradnl"/>
        </w:rPr>
        <w:t>resuelve, reintegrarle a su puesto de trabajo a la se</w:t>
      </w:r>
      <w:r>
        <w:rPr>
          <w:rFonts w:cs="Times New Roman"/>
          <w:spacing w:val="-4"/>
          <w:sz w:val="16"/>
          <w:szCs w:val="16"/>
          <w:lang w:val="es-ES_tradnl"/>
        </w:rPr>
        <w:t>ñ</w:t>
      </w:r>
      <w:r>
        <w:rPr>
          <w:spacing w:val="-4"/>
          <w:sz w:val="16"/>
          <w:szCs w:val="16"/>
          <w:lang w:val="es-ES_tradnl"/>
        </w:rPr>
        <w:t xml:space="preserve">orita </w:t>
      </w:r>
      <w:r>
        <w:rPr>
          <w:spacing w:val="-7"/>
          <w:sz w:val="16"/>
          <w:szCs w:val="16"/>
          <w:lang w:val="es-ES_tradnl"/>
        </w:rPr>
        <w:t>doctora Mar</w:t>
      </w:r>
      <w:r>
        <w:rPr>
          <w:rFonts w:cs="Times New Roman"/>
          <w:spacing w:val="-7"/>
          <w:sz w:val="16"/>
          <w:szCs w:val="16"/>
          <w:lang w:val="es-ES_tradnl"/>
        </w:rPr>
        <w:t>í</w:t>
      </w:r>
      <w:r>
        <w:rPr>
          <w:spacing w:val="-7"/>
          <w:sz w:val="16"/>
          <w:szCs w:val="16"/>
          <w:lang w:val="es-ES_tradnl"/>
        </w:rPr>
        <w:t>a Carmen Paca Ajitimbay, mediante la acci</w:t>
      </w:r>
      <w:r>
        <w:rPr>
          <w:rFonts w:cs="Times New Roman"/>
          <w:spacing w:val="-7"/>
          <w:sz w:val="16"/>
          <w:szCs w:val="16"/>
          <w:lang w:val="es-ES_tradnl"/>
        </w:rPr>
        <w:t>ó</w:t>
      </w:r>
      <w:r>
        <w:rPr>
          <w:spacing w:val="-7"/>
          <w:sz w:val="16"/>
          <w:szCs w:val="16"/>
          <w:lang w:val="es-ES_tradnl"/>
        </w:rPr>
        <w:t xml:space="preserve">n de </w:t>
      </w:r>
      <w:r>
        <w:rPr>
          <w:spacing w:val="-6"/>
          <w:sz w:val="16"/>
          <w:szCs w:val="16"/>
          <w:lang w:val="es-ES_tradnl"/>
        </w:rPr>
        <w:t xml:space="preserve">personal DPSCH-HH, con lo que se reintegra y se cumple el </w:t>
      </w:r>
      <w:r>
        <w:rPr>
          <w:spacing w:val="-7"/>
          <w:sz w:val="16"/>
          <w:szCs w:val="16"/>
          <w:lang w:val="es-ES_tradnl"/>
        </w:rPr>
        <w:t xml:space="preserve">contenido exacto y el contenido </w:t>
      </w:r>
      <w:r>
        <w:rPr>
          <w:rFonts w:cs="Times New Roman"/>
          <w:spacing w:val="-7"/>
          <w:sz w:val="16"/>
          <w:szCs w:val="16"/>
          <w:lang w:val="es-ES_tradnl"/>
        </w:rPr>
        <w:t>í</w:t>
      </w:r>
      <w:r>
        <w:rPr>
          <w:spacing w:val="-7"/>
          <w:sz w:val="16"/>
          <w:szCs w:val="16"/>
          <w:lang w:val="es-ES_tradnl"/>
        </w:rPr>
        <w:t xml:space="preserve">ntegro de lo dispuesto y de lo </w:t>
      </w:r>
      <w:r>
        <w:rPr>
          <w:spacing w:val="-8"/>
          <w:sz w:val="16"/>
          <w:szCs w:val="16"/>
          <w:lang w:val="es-ES_tradnl"/>
        </w:rPr>
        <w:t>que me permit</w:t>
      </w:r>
      <w:r>
        <w:rPr>
          <w:rFonts w:cs="Times New Roman"/>
          <w:spacing w:val="-8"/>
          <w:sz w:val="16"/>
          <w:szCs w:val="16"/>
          <w:lang w:val="es-ES_tradnl"/>
        </w:rPr>
        <w:t>í</w:t>
      </w:r>
      <w:r>
        <w:rPr>
          <w:spacing w:val="-8"/>
          <w:sz w:val="16"/>
          <w:szCs w:val="16"/>
          <w:lang w:val="es-ES_tradnl"/>
        </w:rPr>
        <w:t xml:space="preserve"> dar lectura con el permiso de su autoridad. (</w:t>
      </w:r>
      <w:r>
        <w:rPr>
          <w:rFonts w:cs="Times New Roman"/>
          <w:spacing w:val="-8"/>
          <w:sz w:val="16"/>
          <w:szCs w:val="16"/>
          <w:lang w:val="es-ES_tradnl"/>
        </w:rPr>
        <w:t>…</w:t>
      </w:r>
      <w:r>
        <w:rPr>
          <w:spacing w:val="-8"/>
          <w:sz w:val="16"/>
          <w:szCs w:val="16"/>
          <w:lang w:val="es-ES_tradnl"/>
        </w:rPr>
        <w:t>) Tambi</w:t>
      </w:r>
      <w:r>
        <w:rPr>
          <w:rFonts w:cs="Times New Roman"/>
          <w:spacing w:val="-8"/>
          <w:sz w:val="16"/>
          <w:szCs w:val="16"/>
          <w:lang w:val="es-ES_tradnl"/>
        </w:rPr>
        <w:t>é</w:t>
      </w:r>
      <w:r>
        <w:rPr>
          <w:spacing w:val="-8"/>
          <w:sz w:val="16"/>
          <w:szCs w:val="16"/>
          <w:lang w:val="es-ES_tradnl"/>
        </w:rPr>
        <w:t>n me permito adjuntar (</w:t>
      </w:r>
      <w:r>
        <w:rPr>
          <w:rFonts w:cs="Times New Roman"/>
          <w:spacing w:val="-8"/>
          <w:sz w:val="16"/>
          <w:szCs w:val="16"/>
          <w:lang w:val="es-ES_tradnl"/>
        </w:rPr>
        <w:t>…</w:t>
      </w:r>
      <w:r>
        <w:rPr>
          <w:spacing w:val="-8"/>
          <w:sz w:val="16"/>
          <w:szCs w:val="16"/>
          <w:lang w:val="es-ES_tradnl"/>
        </w:rPr>
        <w:t xml:space="preserve">) sendos oficios en donde se </w:t>
      </w:r>
      <w:r>
        <w:rPr>
          <w:spacing w:val="-6"/>
          <w:sz w:val="16"/>
          <w:szCs w:val="16"/>
          <w:lang w:val="es-ES_tradnl"/>
        </w:rPr>
        <w:t>informa a las autoridades pertinentes sobre los tr</w:t>
      </w:r>
      <w:r>
        <w:rPr>
          <w:rFonts w:cs="Times New Roman"/>
          <w:spacing w:val="-6"/>
          <w:sz w:val="16"/>
          <w:szCs w:val="16"/>
          <w:lang w:val="es-ES_tradnl"/>
        </w:rPr>
        <w:t>á</w:t>
      </w:r>
      <w:r>
        <w:rPr>
          <w:spacing w:val="-6"/>
          <w:sz w:val="16"/>
          <w:szCs w:val="16"/>
          <w:lang w:val="es-ES_tradnl"/>
        </w:rPr>
        <w:t xml:space="preserve">mites que </w:t>
      </w:r>
      <w:r>
        <w:rPr>
          <w:spacing w:val="-7"/>
          <w:sz w:val="16"/>
          <w:szCs w:val="16"/>
          <w:lang w:val="es-ES_tradnl"/>
        </w:rPr>
        <w:t xml:space="preserve">estaba haciendo el Hospital de Colta, el </w:t>
      </w:r>
      <w:r>
        <w:rPr>
          <w:rFonts w:cs="Times New Roman"/>
          <w:spacing w:val="-7"/>
          <w:sz w:val="16"/>
          <w:szCs w:val="16"/>
          <w:lang w:val="es-ES_tradnl"/>
        </w:rPr>
        <w:t>á</w:t>
      </w:r>
      <w:r>
        <w:rPr>
          <w:spacing w:val="-7"/>
          <w:sz w:val="16"/>
          <w:szCs w:val="16"/>
          <w:lang w:val="es-ES_tradnl"/>
        </w:rPr>
        <w:t xml:space="preserve">rea de salud de ese </w:t>
      </w:r>
      <w:r>
        <w:rPr>
          <w:spacing w:val="-6"/>
          <w:sz w:val="16"/>
          <w:szCs w:val="16"/>
          <w:lang w:val="es-ES_tradnl"/>
        </w:rPr>
        <w:t>entonces, la Direcci</w:t>
      </w:r>
      <w:r>
        <w:rPr>
          <w:rFonts w:cs="Times New Roman"/>
          <w:spacing w:val="-6"/>
          <w:sz w:val="16"/>
          <w:szCs w:val="16"/>
          <w:lang w:val="es-ES_tradnl"/>
        </w:rPr>
        <w:t>ó</w:t>
      </w:r>
      <w:r>
        <w:rPr>
          <w:spacing w:val="-6"/>
          <w:sz w:val="16"/>
          <w:szCs w:val="16"/>
          <w:lang w:val="es-ES_tradnl"/>
        </w:rPr>
        <w:t xml:space="preserve">n Provincial de esa </w:t>
      </w:r>
      <w:r>
        <w:rPr>
          <w:rFonts w:cs="Times New Roman"/>
          <w:spacing w:val="-6"/>
          <w:sz w:val="16"/>
          <w:szCs w:val="16"/>
          <w:lang w:val="es-ES_tradnl"/>
        </w:rPr>
        <w:t>é</w:t>
      </w:r>
      <w:r>
        <w:rPr>
          <w:spacing w:val="-6"/>
          <w:sz w:val="16"/>
          <w:szCs w:val="16"/>
          <w:lang w:val="es-ES_tradnl"/>
        </w:rPr>
        <w:t xml:space="preserve">poca, para lograr </w:t>
      </w:r>
      <w:r>
        <w:rPr>
          <w:spacing w:val="-5"/>
          <w:sz w:val="16"/>
          <w:szCs w:val="16"/>
          <w:lang w:val="es-ES_tradnl"/>
        </w:rPr>
        <w:t>obtener los recursos necesarios conforme lo determina el C</w:t>
      </w:r>
      <w:r>
        <w:rPr>
          <w:rFonts w:cs="Times New Roman"/>
          <w:spacing w:val="-5"/>
          <w:sz w:val="16"/>
          <w:szCs w:val="16"/>
          <w:lang w:val="es-ES_tradnl"/>
        </w:rPr>
        <w:t>ó</w:t>
      </w:r>
      <w:r>
        <w:rPr>
          <w:spacing w:val="-5"/>
          <w:sz w:val="16"/>
          <w:szCs w:val="16"/>
          <w:lang w:val="es-ES_tradnl"/>
        </w:rPr>
        <w:t>digo Org</w:t>
      </w:r>
      <w:r>
        <w:rPr>
          <w:rFonts w:cs="Times New Roman"/>
          <w:spacing w:val="-5"/>
          <w:sz w:val="16"/>
          <w:szCs w:val="16"/>
          <w:lang w:val="es-ES_tradnl"/>
        </w:rPr>
        <w:t>á</w:t>
      </w:r>
      <w:r>
        <w:rPr>
          <w:spacing w:val="-5"/>
          <w:sz w:val="16"/>
          <w:szCs w:val="16"/>
          <w:lang w:val="es-ES_tradnl"/>
        </w:rPr>
        <w:t>nico de Planificaci</w:t>
      </w:r>
      <w:r>
        <w:rPr>
          <w:rFonts w:cs="Times New Roman"/>
          <w:spacing w:val="-5"/>
          <w:sz w:val="16"/>
          <w:szCs w:val="16"/>
          <w:lang w:val="es-ES_tradnl"/>
        </w:rPr>
        <w:t>ó</w:t>
      </w:r>
      <w:r>
        <w:rPr>
          <w:spacing w:val="-5"/>
          <w:sz w:val="16"/>
          <w:szCs w:val="16"/>
          <w:lang w:val="es-ES_tradnl"/>
        </w:rPr>
        <w:t>n y Finanzas en su art</w:t>
      </w:r>
      <w:r>
        <w:rPr>
          <w:rFonts w:cs="Times New Roman"/>
          <w:spacing w:val="-5"/>
          <w:sz w:val="16"/>
          <w:szCs w:val="16"/>
          <w:lang w:val="es-ES_tradnl"/>
        </w:rPr>
        <w:t>í</w:t>
      </w:r>
      <w:r>
        <w:rPr>
          <w:spacing w:val="-5"/>
          <w:sz w:val="16"/>
          <w:szCs w:val="16"/>
          <w:lang w:val="es-ES_tradnl"/>
        </w:rPr>
        <w:t xml:space="preserve">culo </w:t>
      </w:r>
      <w:r>
        <w:rPr>
          <w:spacing w:val="-8"/>
          <w:sz w:val="16"/>
          <w:szCs w:val="16"/>
          <w:lang w:val="es-ES_tradnl"/>
        </w:rPr>
        <w:t>n</w:t>
      </w:r>
      <w:r>
        <w:rPr>
          <w:rFonts w:cs="Times New Roman"/>
          <w:spacing w:val="-8"/>
          <w:sz w:val="16"/>
          <w:szCs w:val="16"/>
          <w:lang w:val="es-ES_tradnl"/>
        </w:rPr>
        <w:t>ú</w:t>
      </w:r>
      <w:r>
        <w:rPr>
          <w:spacing w:val="-8"/>
          <w:sz w:val="16"/>
          <w:szCs w:val="16"/>
          <w:lang w:val="es-ES_tradnl"/>
        </w:rPr>
        <w:t>mero 115, en donde el l</w:t>
      </w:r>
      <w:r>
        <w:rPr>
          <w:rFonts w:cs="Times New Roman"/>
          <w:spacing w:val="-8"/>
          <w:sz w:val="16"/>
          <w:szCs w:val="16"/>
          <w:lang w:val="es-ES_tradnl"/>
        </w:rPr>
        <w:t>í</w:t>
      </w:r>
      <w:r>
        <w:rPr>
          <w:spacing w:val="-8"/>
          <w:sz w:val="16"/>
          <w:szCs w:val="16"/>
          <w:lang w:val="es-ES_tradnl"/>
        </w:rPr>
        <w:t xml:space="preserve">der de Talento Humano del </w:t>
      </w:r>
      <w:r>
        <w:rPr>
          <w:rFonts w:cs="Times New Roman"/>
          <w:spacing w:val="-8"/>
          <w:sz w:val="16"/>
          <w:szCs w:val="16"/>
          <w:lang w:val="es-ES_tradnl"/>
        </w:rPr>
        <w:t>Á</w:t>
      </w:r>
      <w:r>
        <w:rPr>
          <w:spacing w:val="-8"/>
          <w:sz w:val="16"/>
          <w:szCs w:val="16"/>
          <w:lang w:val="es-ES_tradnl"/>
        </w:rPr>
        <w:t xml:space="preserve">rea de Salud No. 2 Colta, pone en manifiesto de que se han realizado </w:t>
      </w:r>
      <w:r>
        <w:rPr>
          <w:spacing w:val="-6"/>
          <w:sz w:val="16"/>
          <w:szCs w:val="16"/>
          <w:lang w:val="es-ES_tradnl"/>
        </w:rPr>
        <w:t>y se ha interpuesto todos y cada uno de los procedimientos establecidos sin tener una contestaci</w:t>
      </w:r>
      <w:r>
        <w:rPr>
          <w:rFonts w:cs="Times New Roman"/>
          <w:spacing w:val="-6"/>
          <w:sz w:val="16"/>
          <w:szCs w:val="16"/>
          <w:lang w:val="es-ES_tradnl"/>
        </w:rPr>
        <w:t>ó</w:t>
      </w:r>
      <w:r>
        <w:rPr>
          <w:spacing w:val="-6"/>
          <w:sz w:val="16"/>
          <w:szCs w:val="16"/>
          <w:lang w:val="es-ES_tradnl"/>
        </w:rPr>
        <w:t>n favorable (</w:t>
      </w:r>
      <w:r>
        <w:rPr>
          <w:rFonts w:cs="Times New Roman"/>
          <w:spacing w:val="-6"/>
          <w:sz w:val="16"/>
          <w:szCs w:val="16"/>
          <w:lang w:val="es-ES_tradnl"/>
        </w:rPr>
        <w:t>…</w:t>
      </w:r>
      <w:r>
        <w:rPr>
          <w:spacing w:val="-6"/>
          <w:sz w:val="16"/>
          <w:szCs w:val="16"/>
          <w:lang w:val="es-ES_tradnl"/>
        </w:rPr>
        <w:t>).</w:t>
      </w:r>
    </w:p>
    <w:p w14:paraId="4F67A949" w14:textId="77777777" w:rsidR="00591D54" w:rsidRDefault="00591D54">
      <w:pPr>
        <w:shd w:val="clear" w:color="auto" w:fill="FFFFFF"/>
        <w:spacing w:before="197" w:line="216" w:lineRule="exact"/>
        <w:ind w:left="619" w:hanging="307"/>
      </w:pPr>
      <w:r>
        <w:rPr>
          <w:b/>
          <w:bCs/>
          <w:sz w:val="18"/>
          <w:szCs w:val="18"/>
          <w:lang w:val="es-ES_tradnl"/>
        </w:rPr>
        <w:t>II. CONSIDERACIONES Y FUNDAMENTOS DE LA CORTE CONSTITUCIONAL</w:t>
      </w:r>
    </w:p>
    <w:p w14:paraId="4F67A94A" w14:textId="77777777" w:rsidR="00591D54" w:rsidRDefault="00591D54">
      <w:pPr>
        <w:shd w:val="clear" w:color="auto" w:fill="FFFFFF"/>
        <w:spacing w:before="192"/>
      </w:pPr>
      <w:r>
        <w:rPr>
          <w:b/>
          <w:bCs/>
          <w:spacing w:val="-11"/>
          <w:sz w:val="18"/>
          <w:szCs w:val="18"/>
          <w:lang w:val="es-ES_tradnl"/>
        </w:rPr>
        <w:t>Competencia</w:t>
      </w:r>
    </w:p>
    <w:p w14:paraId="4F67A94B" w14:textId="77777777" w:rsidR="00591D54" w:rsidRDefault="00591D54">
      <w:pPr>
        <w:shd w:val="clear" w:color="auto" w:fill="FFFFFF"/>
        <w:spacing w:before="197" w:line="216" w:lineRule="exact"/>
        <w:jc w:val="both"/>
      </w:pPr>
      <w:r>
        <w:rPr>
          <w:spacing w:val="-7"/>
          <w:sz w:val="18"/>
          <w:szCs w:val="18"/>
          <w:lang w:val="es-ES_tradnl"/>
        </w:rPr>
        <w:t xml:space="preserve">El Pleno de la Corte Constitucional es competente para </w:t>
      </w:r>
      <w:r>
        <w:rPr>
          <w:sz w:val="18"/>
          <w:szCs w:val="18"/>
          <w:lang w:val="es-ES_tradnl"/>
        </w:rPr>
        <w:t xml:space="preserve">conocer y sancionar el incumplimiento de sentencias </w:t>
      </w:r>
      <w:r>
        <w:rPr>
          <w:spacing w:val="-4"/>
          <w:sz w:val="18"/>
          <w:szCs w:val="18"/>
          <w:lang w:val="es-ES_tradnl"/>
        </w:rPr>
        <w:t>y dict</w:t>
      </w:r>
      <w:r>
        <w:rPr>
          <w:rFonts w:cs="Times New Roman"/>
          <w:spacing w:val="-4"/>
          <w:sz w:val="18"/>
          <w:szCs w:val="18"/>
          <w:lang w:val="es-ES_tradnl"/>
        </w:rPr>
        <w:t>á</w:t>
      </w:r>
      <w:r>
        <w:rPr>
          <w:spacing w:val="-4"/>
          <w:sz w:val="18"/>
          <w:szCs w:val="18"/>
          <w:lang w:val="es-ES_tradnl"/>
        </w:rPr>
        <w:t xml:space="preserve">menes constitucionales de conformidad con lo </w:t>
      </w:r>
      <w:r>
        <w:rPr>
          <w:spacing w:val="-3"/>
          <w:sz w:val="18"/>
          <w:szCs w:val="18"/>
          <w:lang w:val="es-ES_tradnl"/>
        </w:rPr>
        <w:t>previsto en el art</w:t>
      </w:r>
      <w:r>
        <w:rPr>
          <w:rFonts w:cs="Times New Roman"/>
          <w:spacing w:val="-3"/>
          <w:sz w:val="18"/>
          <w:szCs w:val="18"/>
          <w:lang w:val="es-ES_tradnl"/>
        </w:rPr>
        <w:t>í</w:t>
      </w:r>
      <w:r>
        <w:rPr>
          <w:spacing w:val="-3"/>
          <w:sz w:val="18"/>
          <w:szCs w:val="18"/>
          <w:lang w:val="es-ES_tradnl"/>
        </w:rPr>
        <w:t>culo 436 numeral 9 de la Constituci</w:t>
      </w:r>
      <w:r>
        <w:rPr>
          <w:rFonts w:cs="Times New Roman"/>
          <w:spacing w:val="-3"/>
          <w:sz w:val="18"/>
          <w:szCs w:val="18"/>
          <w:lang w:val="es-ES_tradnl"/>
        </w:rPr>
        <w:t>ó</w:t>
      </w:r>
      <w:r>
        <w:rPr>
          <w:spacing w:val="-3"/>
          <w:sz w:val="18"/>
          <w:szCs w:val="18"/>
          <w:lang w:val="es-ES_tradnl"/>
        </w:rPr>
        <w:t xml:space="preserve">n </w:t>
      </w:r>
      <w:r>
        <w:rPr>
          <w:spacing w:val="-6"/>
          <w:sz w:val="18"/>
          <w:szCs w:val="18"/>
          <w:lang w:val="es-ES_tradnl"/>
        </w:rPr>
        <w:t>de la Rep</w:t>
      </w:r>
      <w:r>
        <w:rPr>
          <w:rFonts w:cs="Times New Roman"/>
          <w:spacing w:val="-6"/>
          <w:sz w:val="18"/>
          <w:szCs w:val="18"/>
          <w:lang w:val="es-ES_tradnl"/>
        </w:rPr>
        <w:t>ú</w:t>
      </w:r>
      <w:r>
        <w:rPr>
          <w:spacing w:val="-6"/>
          <w:sz w:val="18"/>
          <w:szCs w:val="18"/>
          <w:lang w:val="es-ES_tradnl"/>
        </w:rPr>
        <w:t>blica, en concordancia con los art</w:t>
      </w:r>
      <w:r>
        <w:rPr>
          <w:rFonts w:cs="Times New Roman"/>
          <w:spacing w:val="-6"/>
          <w:sz w:val="18"/>
          <w:szCs w:val="18"/>
          <w:lang w:val="es-ES_tradnl"/>
        </w:rPr>
        <w:t>í</w:t>
      </w:r>
      <w:r>
        <w:rPr>
          <w:spacing w:val="-6"/>
          <w:sz w:val="18"/>
          <w:szCs w:val="18"/>
          <w:lang w:val="es-ES_tradnl"/>
        </w:rPr>
        <w:t xml:space="preserve">culos 162 y </w:t>
      </w:r>
      <w:r>
        <w:rPr>
          <w:spacing w:val="-9"/>
          <w:sz w:val="18"/>
          <w:szCs w:val="18"/>
          <w:lang w:val="es-ES_tradnl"/>
        </w:rPr>
        <w:t>siguientes de la Ley Org</w:t>
      </w:r>
      <w:r>
        <w:rPr>
          <w:rFonts w:cs="Times New Roman"/>
          <w:spacing w:val="-9"/>
          <w:sz w:val="18"/>
          <w:szCs w:val="18"/>
          <w:lang w:val="es-ES_tradnl"/>
        </w:rPr>
        <w:t>á</w:t>
      </w:r>
      <w:r>
        <w:rPr>
          <w:spacing w:val="-9"/>
          <w:sz w:val="18"/>
          <w:szCs w:val="18"/>
          <w:lang w:val="es-ES_tradnl"/>
        </w:rPr>
        <w:t>nica de Garant</w:t>
      </w:r>
      <w:r>
        <w:rPr>
          <w:rFonts w:cs="Times New Roman"/>
          <w:spacing w:val="-9"/>
          <w:sz w:val="18"/>
          <w:szCs w:val="18"/>
          <w:lang w:val="es-ES_tradnl"/>
        </w:rPr>
        <w:t>í</w:t>
      </w:r>
      <w:r>
        <w:rPr>
          <w:spacing w:val="-9"/>
          <w:sz w:val="18"/>
          <w:szCs w:val="18"/>
          <w:lang w:val="es-ES_tradnl"/>
        </w:rPr>
        <w:t xml:space="preserve">as Jurisdiccionales </w:t>
      </w:r>
      <w:r>
        <w:rPr>
          <w:spacing w:val="-4"/>
          <w:sz w:val="18"/>
          <w:szCs w:val="18"/>
          <w:lang w:val="es-ES_tradnl"/>
        </w:rPr>
        <w:t>y Control Constitucional, y el art</w:t>
      </w:r>
      <w:r>
        <w:rPr>
          <w:rFonts w:cs="Times New Roman"/>
          <w:spacing w:val="-4"/>
          <w:sz w:val="18"/>
          <w:szCs w:val="18"/>
          <w:lang w:val="es-ES_tradnl"/>
        </w:rPr>
        <w:t>í</w:t>
      </w:r>
      <w:r>
        <w:rPr>
          <w:spacing w:val="-4"/>
          <w:sz w:val="18"/>
          <w:szCs w:val="18"/>
          <w:lang w:val="es-ES_tradnl"/>
        </w:rPr>
        <w:t xml:space="preserve">culo 3 numeral 11 del </w:t>
      </w:r>
      <w:r>
        <w:rPr>
          <w:spacing w:val="-10"/>
          <w:sz w:val="18"/>
          <w:szCs w:val="18"/>
          <w:lang w:val="es-ES_tradnl"/>
        </w:rPr>
        <w:t>Reglamento de Sustanciaci</w:t>
      </w:r>
      <w:r>
        <w:rPr>
          <w:rFonts w:cs="Times New Roman"/>
          <w:spacing w:val="-10"/>
          <w:sz w:val="18"/>
          <w:szCs w:val="18"/>
          <w:lang w:val="es-ES_tradnl"/>
        </w:rPr>
        <w:t>ó</w:t>
      </w:r>
      <w:r>
        <w:rPr>
          <w:spacing w:val="-10"/>
          <w:sz w:val="18"/>
          <w:szCs w:val="18"/>
          <w:lang w:val="es-ES_tradnl"/>
        </w:rPr>
        <w:t xml:space="preserve">n de Procesos de Competencia </w:t>
      </w:r>
      <w:r>
        <w:rPr>
          <w:sz w:val="18"/>
          <w:szCs w:val="18"/>
          <w:lang w:val="es-ES_tradnl"/>
        </w:rPr>
        <w:t>de la Corte Constitucional.</w:t>
      </w:r>
    </w:p>
    <w:p w14:paraId="4F67A94C" w14:textId="77777777" w:rsidR="00591D54" w:rsidRDefault="00591D54">
      <w:pPr>
        <w:shd w:val="clear" w:color="auto" w:fill="FFFFFF"/>
        <w:spacing w:before="192"/>
      </w:pPr>
      <w:r>
        <w:rPr>
          <w:b/>
          <w:bCs/>
          <w:spacing w:val="-8"/>
          <w:sz w:val="18"/>
          <w:szCs w:val="18"/>
          <w:lang w:val="es-ES_tradnl"/>
        </w:rPr>
        <w:t>Legitimaci</w:t>
      </w:r>
      <w:r>
        <w:rPr>
          <w:rFonts w:cs="Times New Roman"/>
          <w:b/>
          <w:bCs/>
          <w:spacing w:val="-8"/>
          <w:sz w:val="18"/>
          <w:szCs w:val="18"/>
          <w:lang w:val="es-ES_tradnl"/>
        </w:rPr>
        <w:t>ó</w:t>
      </w:r>
      <w:r>
        <w:rPr>
          <w:b/>
          <w:bCs/>
          <w:spacing w:val="-8"/>
          <w:sz w:val="18"/>
          <w:szCs w:val="18"/>
          <w:lang w:val="es-ES_tradnl"/>
        </w:rPr>
        <w:t>n activa</w:t>
      </w:r>
    </w:p>
    <w:p w14:paraId="4F67A94D" w14:textId="77777777" w:rsidR="00591D54" w:rsidRDefault="00591D54">
      <w:pPr>
        <w:shd w:val="clear" w:color="auto" w:fill="FFFFFF"/>
        <w:spacing w:before="192" w:line="216" w:lineRule="exact"/>
        <w:jc w:val="both"/>
      </w:pPr>
      <w:r>
        <w:rPr>
          <w:spacing w:val="-9"/>
          <w:sz w:val="18"/>
          <w:szCs w:val="18"/>
          <w:lang w:val="es-ES_tradnl"/>
        </w:rPr>
        <w:t xml:space="preserve">La accionante se encuentra legitimada para presentar esta </w:t>
      </w:r>
      <w:r>
        <w:rPr>
          <w:spacing w:val="-5"/>
          <w:sz w:val="18"/>
          <w:szCs w:val="18"/>
          <w:lang w:val="es-ES_tradnl"/>
        </w:rPr>
        <w:t>acci</w:t>
      </w:r>
      <w:r>
        <w:rPr>
          <w:rFonts w:cs="Times New Roman"/>
          <w:spacing w:val="-5"/>
          <w:sz w:val="18"/>
          <w:szCs w:val="18"/>
          <w:lang w:val="es-ES_tradnl"/>
        </w:rPr>
        <w:t>ó</w:t>
      </w:r>
      <w:r>
        <w:rPr>
          <w:spacing w:val="-5"/>
          <w:sz w:val="18"/>
          <w:szCs w:val="18"/>
          <w:lang w:val="es-ES_tradnl"/>
        </w:rPr>
        <w:t>n, en virtud del art</w:t>
      </w:r>
      <w:r>
        <w:rPr>
          <w:rFonts w:cs="Times New Roman"/>
          <w:spacing w:val="-5"/>
          <w:sz w:val="18"/>
          <w:szCs w:val="18"/>
          <w:lang w:val="es-ES_tradnl"/>
        </w:rPr>
        <w:t>í</w:t>
      </w:r>
      <w:r>
        <w:rPr>
          <w:spacing w:val="-5"/>
          <w:sz w:val="18"/>
          <w:szCs w:val="18"/>
          <w:lang w:val="es-ES_tradnl"/>
        </w:rPr>
        <w:t>culo 439 de la Constituci</w:t>
      </w:r>
      <w:r>
        <w:rPr>
          <w:rFonts w:cs="Times New Roman"/>
          <w:spacing w:val="-5"/>
          <w:sz w:val="18"/>
          <w:szCs w:val="18"/>
          <w:lang w:val="es-ES_tradnl"/>
        </w:rPr>
        <w:t>ó</w:t>
      </w:r>
      <w:r>
        <w:rPr>
          <w:spacing w:val="-5"/>
          <w:sz w:val="18"/>
          <w:szCs w:val="18"/>
          <w:lang w:val="es-ES_tradnl"/>
        </w:rPr>
        <w:t xml:space="preserve">n de la </w:t>
      </w:r>
      <w:r>
        <w:rPr>
          <w:spacing w:val="-9"/>
          <w:sz w:val="18"/>
          <w:szCs w:val="18"/>
          <w:lang w:val="es-ES_tradnl"/>
        </w:rPr>
        <w:t>Rep</w:t>
      </w:r>
      <w:r>
        <w:rPr>
          <w:rFonts w:cs="Times New Roman"/>
          <w:spacing w:val="-9"/>
          <w:sz w:val="18"/>
          <w:szCs w:val="18"/>
          <w:lang w:val="es-ES_tradnl"/>
        </w:rPr>
        <w:t>ú</w:t>
      </w:r>
      <w:r>
        <w:rPr>
          <w:spacing w:val="-9"/>
          <w:sz w:val="18"/>
          <w:szCs w:val="18"/>
          <w:lang w:val="es-ES_tradnl"/>
        </w:rPr>
        <w:t xml:space="preserve">blica, que determina que las acciones constitucionales </w:t>
      </w:r>
      <w:r>
        <w:rPr>
          <w:spacing w:val="-12"/>
          <w:sz w:val="18"/>
          <w:szCs w:val="18"/>
          <w:lang w:val="es-ES_tradnl"/>
        </w:rPr>
        <w:t>podr</w:t>
      </w:r>
      <w:r>
        <w:rPr>
          <w:rFonts w:cs="Times New Roman"/>
          <w:spacing w:val="-12"/>
          <w:sz w:val="18"/>
          <w:szCs w:val="18"/>
          <w:lang w:val="es-ES_tradnl"/>
        </w:rPr>
        <w:t>á</w:t>
      </w:r>
      <w:r>
        <w:rPr>
          <w:spacing w:val="-12"/>
          <w:sz w:val="18"/>
          <w:szCs w:val="18"/>
          <w:lang w:val="es-ES_tradnl"/>
        </w:rPr>
        <w:t xml:space="preserve">n ser presentadas por cualquier ciudadana o ciudadano, </w:t>
      </w:r>
      <w:r>
        <w:rPr>
          <w:spacing w:val="-6"/>
          <w:sz w:val="18"/>
          <w:szCs w:val="18"/>
          <w:lang w:val="es-ES_tradnl"/>
        </w:rPr>
        <w:t>de manera individual o colectiva, en concordancia con el art</w:t>
      </w:r>
      <w:r>
        <w:rPr>
          <w:rFonts w:cs="Times New Roman"/>
          <w:spacing w:val="-6"/>
          <w:sz w:val="18"/>
          <w:szCs w:val="18"/>
          <w:lang w:val="es-ES_tradnl"/>
        </w:rPr>
        <w:t>í</w:t>
      </w:r>
      <w:r>
        <w:rPr>
          <w:spacing w:val="-6"/>
          <w:sz w:val="18"/>
          <w:szCs w:val="18"/>
          <w:lang w:val="es-ES_tradnl"/>
        </w:rPr>
        <w:t>culo 164 numeral 1 de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w:t>
      </w:r>
      <w:r>
        <w:rPr>
          <w:spacing w:val="-5"/>
          <w:sz w:val="18"/>
          <w:szCs w:val="18"/>
          <w:lang w:val="es-ES_tradnl"/>
        </w:rPr>
        <w:t>Jurisdiccionales y Control Constitucional.</w:t>
      </w:r>
    </w:p>
    <w:p w14:paraId="4F67A94E" w14:textId="77777777" w:rsidR="00591D54" w:rsidRDefault="00591D54">
      <w:pPr>
        <w:shd w:val="clear" w:color="auto" w:fill="FFFFFF"/>
        <w:spacing w:before="192"/>
      </w:pPr>
      <w:r>
        <w:rPr>
          <w:b/>
          <w:bCs/>
          <w:spacing w:val="-9"/>
          <w:sz w:val="18"/>
          <w:szCs w:val="18"/>
          <w:lang w:val="es-ES_tradnl"/>
        </w:rPr>
        <w:t>An</w:t>
      </w:r>
      <w:r>
        <w:rPr>
          <w:rFonts w:cs="Times New Roman"/>
          <w:b/>
          <w:bCs/>
          <w:spacing w:val="-9"/>
          <w:sz w:val="18"/>
          <w:szCs w:val="18"/>
          <w:lang w:val="es-ES_tradnl"/>
        </w:rPr>
        <w:t>á</w:t>
      </w:r>
      <w:r>
        <w:rPr>
          <w:b/>
          <w:bCs/>
          <w:spacing w:val="-9"/>
          <w:sz w:val="18"/>
          <w:szCs w:val="18"/>
          <w:lang w:val="es-ES_tradnl"/>
        </w:rPr>
        <w:t>lisis constitucional</w:t>
      </w:r>
    </w:p>
    <w:p w14:paraId="4F67A94F" w14:textId="77777777" w:rsidR="00591D54" w:rsidRDefault="00591D54">
      <w:pPr>
        <w:shd w:val="clear" w:color="auto" w:fill="FFFFFF"/>
        <w:spacing w:before="187" w:line="216" w:lineRule="exact"/>
        <w:jc w:val="both"/>
      </w:pPr>
      <w:r>
        <w:rPr>
          <w:b/>
          <w:bCs/>
          <w:spacing w:val="-7"/>
          <w:sz w:val="18"/>
          <w:szCs w:val="18"/>
          <w:lang w:val="es-ES_tradnl"/>
        </w:rPr>
        <w:t>Naturaleza jur</w:t>
      </w:r>
      <w:r>
        <w:rPr>
          <w:rFonts w:cs="Times New Roman"/>
          <w:b/>
          <w:bCs/>
          <w:spacing w:val="-7"/>
          <w:sz w:val="18"/>
          <w:szCs w:val="18"/>
          <w:lang w:val="es-ES_tradnl"/>
        </w:rPr>
        <w:t>í</w:t>
      </w:r>
      <w:r>
        <w:rPr>
          <w:b/>
          <w:bCs/>
          <w:spacing w:val="-7"/>
          <w:sz w:val="18"/>
          <w:szCs w:val="18"/>
          <w:lang w:val="es-ES_tradnl"/>
        </w:rPr>
        <w:t>dica de la acci</w:t>
      </w:r>
      <w:r>
        <w:rPr>
          <w:rFonts w:cs="Times New Roman"/>
          <w:b/>
          <w:bCs/>
          <w:spacing w:val="-7"/>
          <w:sz w:val="18"/>
          <w:szCs w:val="18"/>
          <w:lang w:val="es-ES_tradnl"/>
        </w:rPr>
        <w:t>ó</w:t>
      </w:r>
      <w:r>
        <w:rPr>
          <w:b/>
          <w:bCs/>
          <w:spacing w:val="-7"/>
          <w:sz w:val="18"/>
          <w:szCs w:val="18"/>
          <w:lang w:val="es-ES_tradnl"/>
        </w:rPr>
        <w:t xml:space="preserve">n de incumplimiento de </w:t>
      </w:r>
      <w:r>
        <w:rPr>
          <w:b/>
          <w:bCs/>
          <w:spacing w:val="-12"/>
          <w:sz w:val="18"/>
          <w:szCs w:val="18"/>
          <w:lang w:val="es-ES_tradnl"/>
        </w:rPr>
        <w:t>sentencias y dict</w:t>
      </w:r>
      <w:r>
        <w:rPr>
          <w:rFonts w:cs="Times New Roman"/>
          <w:b/>
          <w:bCs/>
          <w:spacing w:val="-12"/>
          <w:sz w:val="18"/>
          <w:szCs w:val="18"/>
          <w:lang w:val="es-ES_tradnl"/>
        </w:rPr>
        <w:t>á</w:t>
      </w:r>
      <w:r>
        <w:rPr>
          <w:b/>
          <w:bCs/>
          <w:spacing w:val="-12"/>
          <w:sz w:val="18"/>
          <w:szCs w:val="18"/>
          <w:lang w:val="es-ES_tradnl"/>
        </w:rPr>
        <w:t>menes constitucionales</w:t>
      </w:r>
    </w:p>
    <w:p w14:paraId="4F67A950" w14:textId="77777777" w:rsidR="00591D54" w:rsidRDefault="00591D54">
      <w:pPr>
        <w:shd w:val="clear" w:color="auto" w:fill="FFFFFF"/>
        <w:spacing w:before="197" w:line="216" w:lineRule="exact"/>
        <w:jc w:val="both"/>
      </w:pPr>
      <w:r>
        <w:rPr>
          <w:spacing w:val="-6"/>
          <w:sz w:val="18"/>
          <w:szCs w:val="18"/>
          <w:lang w:val="es-ES_tradnl"/>
        </w:rPr>
        <w:t xml:space="preserve">Un Estado constitucional se caracteriza por contar con </w:t>
      </w:r>
      <w:r>
        <w:rPr>
          <w:spacing w:val="-8"/>
          <w:sz w:val="18"/>
          <w:szCs w:val="18"/>
          <w:lang w:val="es-ES_tradnl"/>
        </w:rPr>
        <w:t>mecanismos claros de protecci</w:t>
      </w:r>
      <w:r>
        <w:rPr>
          <w:rFonts w:cs="Times New Roman"/>
          <w:spacing w:val="-8"/>
          <w:sz w:val="18"/>
          <w:szCs w:val="18"/>
          <w:lang w:val="es-ES_tradnl"/>
        </w:rPr>
        <w:t>ó</w:t>
      </w:r>
      <w:r>
        <w:rPr>
          <w:spacing w:val="-8"/>
          <w:sz w:val="18"/>
          <w:szCs w:val="18"/>
          <w:lang w:val="es-ES_tradnl"/>
        </w:rPr>
        <w:t>n y garant</w:t>
      </w:r>
      <w:r>
        <w:rPr>
          <w:rFonts w:cs="Times New Roman"/>
          <w:spacing w:val="-8"/>
          <w:sz w:val="18"/>
          <w:szCs w:val="18"/>
          <w:lang w:val="es-ES_tradnl"/>
        </w:rPr>
        <w:t>í</w:t>
      </w:r>
      <w:r>
        <w:rPr>
          <w:spacing w:val="-8"/>
          <w:sz w:val="18"/>
          <w:szCs w:val="18"/>
          <w:lang w:val="es-ES_tradnl"/>
        </w:rPr>
        <w:t xml:space="preserve">a de derechos, </w:t>
      </w:r>
      <w:r>
        <w:rPr>
          <w:spacing w:val="-1"/>
          <w:sz w:val="18"/>
          <w:szCs w:val="18"/>
          <w:lang w:val="es-ES_tradnl"/>
        </w:rPr>
        <w:t>ello implica tambi</w:t>
      </w:r>
      <w:r>
        <w:rPr>
          <w:rFonts w:cs="Times New Roman"/>
          <w:spacing w:val="-1"/>
          <w:sz w:val="18"/>
          <w:szCs w:val="18"/>
          <w:lang w:val="es-ES_tradnl"/>
        </w:rPr>
        <w:t>é</w:t>
      </w:r>
      <w:r>
        <w:rPr>
          <w:spacing w:val="-1"/>
          <w:sz w:val="18"/>
          <w:szCs w:val="18"/>
          <w:lang w:val="es-ES_tradnl"/>
        </w:rPr>
        <w:t xml:space="preserve">n, necesariamente, contar con </w:t>
      </w:r>
      <w:r>
        <w:rPr>
          <w:spacing w:val="-7"/>
          <w:sz w:val="18"/>
          <w:szCs w:val="18"/>
          <w:lang w:val="es-ES_tradnl"/>
        </w:rPr>
        <w:t xml:space="preserve">mecanismos para garantizar el cumplimiento y respeto de </w:t>
      </w:r>
      <w:r>
        <w:rPr>
          <w:spacing w:val="-8"/>
          <w:sz w:val="18"/>
          <w:szCs w:val="18"/>
          <w:lang w:val="es-ES_tradnl"/>
        </w:rPr>
        <w:t>las decisiones adoptadas en materia constitucional.</w:t>
      </w:r>
    </w:p>
    <w:p w14:paraId="4F67A951" w14:textId="77777777" w:rsidR="00591D54" w:rsidRDefault="00591D54">
      <w:pPr>
        <w:shd w:val="clear" w:color="auto" w:fill="FFFFFF"/>
        <w:spacing w:before="197" w:line="216" w:lineRule="exact"/>
        <w:jc w:val="both"/>
      </w:pPr>
      <w:r>
        <w:rPr>
          <w:spacing w:val="-8"/>
          <w:sz w:val="18"/>
          <w:szCs w:val="18"/>
          <w:lang w:val="es-ES_tradnl"/>
        </w:rPr>
        <w:t>Con este fin, la Constituci</w:t>
      </w:r>
      <w:r>
        <w:rPr>
          <w:rFonts w:cs="Times New Roman"/>
          <w:spacing w:val="-8"/>
          <w:sz w:val="18"/>
          <w:szCs w:val="18"/>
          <w:lang w:val="es-ES_tradnl"/>
        </w:rPr>
        <w:t>ó</w:t>
      </w:r>
      <w:r>
        <w:rPr>
          <w:spacing w:val="-8"/>
          <w:sz w:val="18"/>
          <w:szCs w:val="18"/>
          <w:lang w:val="es-ES_tradnl"/>
        </w:rPr>
        <w:t>n de la Rep</w:t>
      </w:r>
      <w:r>
        <w:rPr>
          <w:rFonts w:cs="Times New Roman"/>
          <w:spacing w:val="-8"/>
          <w:sz w:val="18"/>
          <w:szCs w:val="18"/>
          <w:lang w:val="es-ES_tradnl"/>
        </w:rPr>
        <w:t>ú</w:t>
      </w:r>
      <w:r>
        <w:rPr>
          <w:spacing w:val="-8"/>
          <w:sz w:val="18"/>
          <w:szCs w:val="18"/>
          <w:lang w:val="es-ES_tradnl"/>
        </w:rPr>
        <w:t>blica, en su art</w:t>
      </w:r>
      <w:r>
        <w:rPr>
          <w:rFonts w:cs="Times New Roman"/>
          <w:spacing w:val="-8"/>
          <w:sz w:val="18"/>
          <w:szCs w:val="18"/>
          <w:lang w:val="es-ES_tradnl"/>
        </w:rPr>
        <w:t>í</w:t>
      </w:r>
      <w:r>
        <w:rPr>
          <w:spacing w:val="-8"/>
          <w:sz w:val="18"/>
          <w:szCs w:val="18"/>
          <w:lang w:val="es-ES_tradnl"/>
        </w:rPr>
        <w:t xml:space="preserve">culo </w:t>
      </w:r>
      <w:r>
        <w:rPr>
          <w:spacing w:val="-6"/>
          <w:sz w:val="18"/>
          <w:szCs w:val="18"/>
          <w:lang w:val="es-ES_tradnl"/>
        </w:rPr>
        <w:t xml:space="preserve">436 numeral 9 determina que la Corte Constitucional es </w:t>
      </w:r>
      <w:r>
        <w:rPr>
          <w:spacing w:val="-9"/>
          <w:sz w:val="18"/>
          <w:szCs w:val="18"/>
          <w:lang w:val="es-ES_tradnl"/>
        </w:rPr>
        <w:t xml:space="preserve">competente para verificar el cumplimiento de las sentencias </w:t>
      </w:r>
      <w:r>
        <w:rPr>
          <w:spacing w:val="-7"/>
          <w:sz w:val="18"/>
          <w:szCs w:val="18"/>
          <w:lang w:val="es-ES_tradnl"/>
        </w:rPr>
        <w:t>y dict</w:t>
      </w:r>
      <w:r>
        <w:rPr>
          <w:rFonts w:cs="Times New Roman"/>
          <w:spacing w:val="-7"/>
          <w:sz w:val="18"/>
          <w:szCs w:val="18"/>
          <w:lang w:val="es-ES_tradnl"/>
        </w:rPr>
        <w:t>á</w:t>
      </w:r>
      <w:r>
        <w:rPr>
          <w:spacing w:val="-7"/>
          <w:sz w:val="18"/>
          <w:szCs w:val="18"/>
          <w:lang w:val="es-ES_tradnl"/>
        </w:rPr>
        <w:t xml:space="preserve">menes constitucionales, y por consiguiente, tiene la </w:t>
      </w:r>
      <w:r>
        <w:rPr>
          <w:spacing w:val="-11"/>
          <w:sz w:val="18"/>
          <w:szCs w:val="18"/>
          <w:lang w:val="es-ES_tradnl"/>
        </w:rPr>
        <w:t xml:space="preserve">potestad de conocer y sancionar los casos de incumplimiento </w:t>
      </w:r>
      <w:r>
        <w:rPr>
          <w:sz w:val="18"/>
          <w:szCs w:val="18"/>
          <w:lang w:val="es-ES_tradnl"/>
        </w:rPr>
        <w:t>de dichas sentencias o dict</w:t>
      </w:r>
      <w:r>
        <w:rPr>
          <w:rFonts w:cs="Times New Roman"/>
          <w:sz w:val="18"/>
          <w:szCs w:val="18"/>
          <w:lang w:val="es-ES_tradnl"/>
        </w:rPr>
        <w:t>á</w:t>
      </w:r>
      <w:r>
        <w:rPr>
          <w:sz w:val="18"/>
          <w:szCs w:val="18"/>
          <w:lang w:val="es-ES_tradnl"/>
        </w:rPr>
        <w:t>menes.</w:t>
      </w:r>
    </w:p>
    <w:p w14:paraId="4F67A952" w14:textId="77777777" w:rsidR="00591D54" w:rsidRDefault="00591D54">
      <w:pPr>
        <w:shd w:val="clear" w:color="auto" w:fill="FFFFFF"/>
        <w:spacing w:before="197" w:line="216" w:lineRule="exact"/>
        <w:jc w:val="both"/>
        <w:sectPr w:rsidR="00591D54">
          <w:type w:val="continuous"/>
          <w:pgSz w:w="11909" w:h="16834"/>
          <w:pgMar w:top="1371" w:right="1309" w:bottom="360" w:left="1308" w:header="720" w:footer="720" w:gutter="0"/>
          <w:cols w:num="2" w:space="720" w:equalWidth="0">
            <w:col w:w="4305" w:space="682"/>
            <w:col w:w="4305"/>
          </w:cols>
          <w:noEndnote/>
        </w:sectPr>
      </w:pPr>
    </w:p>
    <w:p w14:paraId="4F67A953" w14:textId="77777777" w:rsidR="00591D54" w:rsidRDefault="00591D54">
      <w:pPr>
        <w:shd w:val="clear" w:color="auto" w:fill="FFFFFF"/>
        <w:tabs>
          <w:tab w:val="left" w:pos="4814"/>
        </w:tabs>
        <w:spacing w:after="230"/>
        <w:ind w:left="10"/>
      </w:pPr>
      <w:r>
        <w:rPr>
          <w:b/>
          <w:bCs/>
          <w:sz w:val="18"/>
          <w:szCs w:val="18"/>
          <w:lang w:val="es-ES_tradnl"/>
        </w:rPr>
        <w:t xml:space="preserve">72 -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954" w14:textId="77777777" w:rsidR="00591D54" w:rsidRDefault="00591D54">
      <w:pPr>
        <w:shd w:val="clear" w:color="auto" w:fill="FFFFFF"/>
        <w:tabs>
          <w:tab w:val="left" w:pos="4814"/>
        </w:tabs>
        <w:spacing w:after="230"/>
        <w:ind w:left="10"/>
        <w:sectPr w:rsidR="00591D54">
          <w:pgSz w:w="11909" w:h="16834"/>
          <w:pgMar w:top="1373" w:right="1309" w:bottom="360" w:left="1308" w:header="720" w:footer="720" w:gutter="0"/>
          <w:cols w:space="60"/>
          <w:noEndnote/>
        </w:sectPr>
      </w:pPr>
    </w:p>
    <w:p w14:paraId="4F67A955" w14:textId="77777777" w:rsidR="00591D54" w:rsidRDefault="00591D54">
      <w:pPr>
        <w:shd w:val="clear" w:color="auto" w:fill="FFFFFF"/>
        <w:spacing w:before="5" w:line="216" w:lineRule="exact"/>
        <w:jc w:val="both"/>
      </w:pPr>
      <w:r>
        <w:rPr>
          <w:spacing w:val="-5"/>
          <w:sz w:val="18"/>
          <w:szCs w:val="18"/>
          <w:lang w:val="es-ES_tradnl"/>
        </w:rPr>
        <w:t>As</w:t>
      </w:r>
      <w:r>
        <w:rPr>
          <w:rFonts w:cs="Times New Roman"/>
          <w:spacing w:val="-5"/>
          <w:sz w:val="18"/>
          <w:szCs w:val="18"/>
          <w:lang w:val="es-ES_tradnl"/>
        </w:rPr>
        <w:t>í</w:t>
      </w:r>
      <w:r>
        <w:rPr>
          <w:spacing w:val="-5"/>
          <w:sz w:val="18"/>
          <w:szCs w:val="18"/>
          <w:lang w:val="es-ES_tradnl"/>
        </w:rPr>
        <w:t>, la acci</w:t>
      </w:r>
      <w:r>
        <w:rPr>
          <w:rFonts w:cs="Times New Roman"/>
          <w:spacing w:val="-5"/>
          <w:sz w:val="18"/>
          <w:szCs w:val="18"/>
          <w:lang w:val="es-ES_tradnl"/>
        </w:rPr>
        <w:t>ó</w:t>
      </w:r>
      <w:r>
        <w:rPr>
          <w:spacing w:val="-5"/>
          <w:sz w:val="18"/>
          <w:szCs w:val="18"/>
          <w:lang w:val="es-ES_tradnl"/>
        </w:rPr>
        <w:t xml:space="preserve">n constitucional de incumplimiento tiene una </w:t>
      </w:r>
      <w:r>
        <w:rPr>
          <w:spacing w:val="-9"/>
          <w:sz w:val="18"/>
          <w:szCs w:val="18"/>
          <w:lang w:val="es-ES_tradnl"/>
        </w:rPr>
        <w:t>doble funci</w:t>
      </w:r>
      <w:r>
        <w:rPr>
          <w:rFonts w:cs="Times New Roman"/>
          <w:spacing w:val="-9"/>
          <w:sz w:val="18"/>
          <w:szCs w:val="18"/>
          <w:lang w:val="es-ES_tradnl"/>
        </w:rPr>
        <w:t>ó</w:t>
      </w:r>
      <w:r>
        <w:rPr>
          <w:spacing w:val="-9"/>
          <w:sz w:val="18"/>
          <w:szCs w:val="18"/>
          <w:lang w:val="es-ES_tradnl"/>
        </w:rPr>
        <w:t xml:space="preserve">n: por un lado, garantiza el acceso a un recurso </w:t>
      </w:r>
      <w:r>
        <w:rPr>
          <w:spacing w:val="-7"/>
          <w:sz w:val="18"/>
          <w:szCs w:val="18"/>
          <w:lang w:val="es-ES_tradnl"/>
        </w:rPr>
        <w:t>efectivo para la protecci</w:t>
      </w:r>
      <w:r>
        <w:rPr>
          <w:rFonts w:cs="Times New Roman"/>
          <w:spacing w:val="-7"/>
          <w:sz w:val="18"/>
          <w:szCs w:val="18"/>
          <w:lang w:val="es-ES_tradnl"/>
        </w:rPr>
        <w:t>ó</w:t>
      </w:r>
      <w:r>
        <w:rPr>
          <w:spacing w:val="-7"/>
          <w:sz w:val="18"/>
          <w:szCs w:val="18"/>
          <w:lang w:val="es-ES_tradnl"/>
        </w:rPr>
        <w:t xml:space="preserve">n de derechos constitucionales a </w:t>
      </w:r>
      <w:r>
        <w:rPr>
          <w:spacing w:val="-8"/>
          <w:sz w:val="18"/>
          <w:szCs w:val="18"/>
          <w:lang w:val="es-ES_tradnl"/>
        </w:rPr>
        <w:t>trav</w:t>
      </w:r>
      <w:r>
        <w:rPr>
          <w:rFonts w:cs="Times New Roman"/>
          <w:spacing w:val="-8"/>
          <w:sz w:val="18"/>
          <w:szCs w:val="18"/>
          <w:lang w:val="es-ES_tradnl"/>
        </w:rPr>
        <w:t>é</w:t>
      </w:r>
      <w:r>
        <w:rPr>
          <w:spacing w:val="-8"/>
          <w:sz w:val="18"/>
          <w:szCs w:val="18"/>
          <w:lang w:val="es-ES_tradnl"/>
        </w:rPr>
        <w:t>s de la ejecuci</w:t>
      </w:r>
      <w:r>
        <w:rPr>
          <w:rFonts w:cs="Times New Roman"/>
          <w:spacing w:val="-8"/>
          <w:sz w:val="18"/>
          <w:szCs w:val="18"/>
          <w:lang w:val="es-ES_tradnl"/>
        </w:rPr>
        <w:t>ó</w:t>
      </w:r>
      <w:r>
        <w:rPr>
          <w:spacing w:val="-8"/>
          <w:sz w:val="18"/>
          <w:szCs w:val="18"/>
          <w:lang w:val="es-ES_tradnl"/>
        </w:rPr>
        <w:t xml:space="preserve">n de la sentencia o dictamen y por otro </w:t>
      </w:r>
      <w:r>
        <w:rPr>
          <w:spacing w:val="-9"/>
          <w:sz w:val="18"/>
          <w:szCs w:val="18"/>
          <w:lang w:val="es-ES_tradnl"/>
        </w:rPr>
        <w:t>lado, da primac</w:t>
      </w:r>
      <w:r>
        <w:rPr>
          <w:rFonts w:cs="Times New Roman"/>
          <w:spacing w:val="-9"/>
          <w:sz w:val="18"/>
          <w:szCs w:val="18"/>
          <w:lang w:val="es-ES_tradnl"/>
        </w:rPr>
        <w:t>í</w:t>
      </w:r>
      <w:r>
        <w:rPr>
          <w:spacing w:val="-9"/>
          <w:sz w:val="18"/>
          <w:szCs w:val="18"/>
          <w:lang w:val="es-ES_tradnl"/>
        </w:rPr>
        <w:t xml:space="preserve">a a las normas y derechos contenidos en la </w:t>
      </w:r>
      <w:r>
        <w:rPr>
          <w:sz w:val="18"/>
          <w:szCs w:val="18"/>
          <w:lang w:val="es-ES_tradnl"/>
        </w:rPr>
        <w:t>Constituci</w:t>
      </w:r>
      <w:r>
        <w:rPr>
          <w:rFonts w:cs="Times New Roman"/>
          <w:sz w:val="18"/>
          <w:szCs w:val="18"/>
          <w:lang w:val="es-ES_tradnl"/>
        </w:rPr>
        <w:t>ó</w:t>
      </w:r>
      <w:r>
        <w:rPr>
          <w:sz w:val="18"/>
          <w:szCs w:val="18"/>
          <w:lang w:val="es-ES_tradnl"/>
        </w:rPr>
        <w:t>n.</w:t>
      </w:r>
    </w:p>
    <w:p w14:paraId="4F67A956" w14:textId="77777777" w:rsidR="00591D54" w:rsidRDefault="00591D54">
      <w:pPr>
        <w:shd w:val="clear" w:color="auto" w:fill="FFFFFF"/>
        <w:spacing w:before="197" w:line="216" w:lineRule="exact"/>
        <w:jc w:val="both"/>
      </w:pPr>
      <w:r>
        <w:rPr>
          <w:spacing w:val="-7"/>
          <w:sz w:val="18"/>
          <w:szCs w:val="18"/>
          <w:lang w:val="es-ES_tradnl"/>
        </w:rPr>
        <w:t>La acci</w:t>
      </w:r>
      <w:r>
        <w:rPr>
          <w:rFonts w:cs="Times New Roman"/>
          <w:spacing w:val="-7"/>
          <w:sz w:val="18"/>
          <w:szCs w:val="18"/>
          <w:lang w:val="es-ES_tradnl"/>
        </w:rPr>
        <w:t>ó</w:t>
      </w:r>
      <w:r>
        <w:rPr>
          <w:spacing w:val="-7"/>
          <w:sz w:val="18"/>
          <w:szCs w:val="18"/>
          <w:lang w:val="es-ES_tradnl"/>
        </w:rPr>
        <w:t>n de incumplimiento de sentencias o dict</w:t>
      </w:r>
      <w:r>
        <w:rPr>
          <w:rFonts w:cs="Times New Roman"/>
          <w:spacing w:val="-7"/>
          <w:sz w:val="18"/>
          <w:szCs w:val="18"/>
          <w:lang w:val="es-ES_tradnl"/>
        </w:rPr>
        <w:t>á</w:t>
      </w:r>
      <w:r>
        <w:rPr>
          <w:spacing w:val="-7"/>
          <w:sz w:val="18"/>
          <w:szCs w:val="18"/>
          <w:lang w:val="es-ES_tradnl"/>
        </w:rPr>
        <w:t xml:space="preserve">menes </w:t>
      </w:r>
      <w:r>
        <w:rPr>
          <w:spacing w:val="-8"/>
          <w:sz w:val="18"/>
          <w:szCs w:val="18"/>
          <w:lang w:val="es-ES_tradnl"/>
        </w:rPr>
        <w:t xml:space="preserve">constitucionales es un derecho que garantiza el acceso de </w:t>
      </w:r>
      <w:r>
        <w:rPr>
          <w:spacing w:val="-5"/>
          <w:sz w:val="18"/>
          <w:szCs w:val="18"/>
          <w:lang w:val="es-ES_tradnl"/>
        </w:rPr>
        <w:t>las personas a una protecci</w:t>
      </w:r>
      <w:r>
        <w:rPr>
          <w:rFonts w:cs="Times New Roman"/>
          <w:spacing w:val="-5"/>
          <w:sz w:val="18"/>
          <w:szCs w:val="18"/>
          <w:lang w:val="es-ES_tradnl"/>
        </w:rPr>
        <w:t>ó</w:t>
      </w:r>
      <w:r>
        <w:rPr>
          <w:spacing w:val="-5"/>
          <w:sz w:val="18"/>
          <w:szCs w:val="18"/>
          <w:lang w:val="es-ES_tradnl"/>
        </w:rPr>
        <w:t xml:space="preserve">n judicial real y efectiva, a </w:t>
      </w:r>
      <w:r>
        <w:rPr>
          <w:spacing w:val="-10"/>
          <w:sz w:val="18"/>
          <w:szCs w:val="18"/>
          <w:lang w:val="es-ES_tradnl"/>
        </w:rPr>
        <w:t>trav</w:t>
      </w:r>
      <w:r>
        <w:rPr>
          <w:rFonts w:cs="Times New Roman"/>
          <w:spacing w:val="-10"/>
          <w:sz w:val="18"/>
          <w:szCs w:val="18"/>
          <w:lang w:val="es-ES_tradnl"/>
        </w:rPr>
        <w:t>é</w:t>
      </w:r>
      <w:r>
        <w:rPr>
          <w:spacing w:val="-10"/>
          <w:sz w:val="18"/>
          <w:szCs w:val="18"/>
          <w:lang w:val="es-ES_tradnl"/>
        </w:rPr>
        <w:t xml:space="preserve">s de la cual prevalezcan sus derechos, evitando que se </w:t>
      </w:r>
      <w:r>
        <w:rPr>
          <w:spacing w:val="-9"/>
          <w:sz w:val="18"/>
          <w:szCs w:val="18"/>
          <w:lang w:val="es-ES_tradnl"/>
        </w:rPr>
        <w:t>genere un estado de indefensi</w:t>
      </w:r>
      <w:r>
        <w:rPr>
          <w:rFonts w:cs="Times New Roman"/>
          <w:spacing w:val="-9"/>
          <w:sz w:val="18"/>
          <w:szCs w:val="18"/>
          <w:lang w:val="es-ES_tradnl"/>
        </w:rPr>
        <w:t>ó</w:t>
      </w:r>
      <w:r>
        <w:rPr>
          <w:spacing w:val="-9"/>
          <w:sz w:val="18"/>
          <w:szCs w:val="18"/>
          <w:lang w:val="es-ES_tradnl"/>
        </w:rPr>
        <w:t xml:space="preserve">n, en caso de que hubieren </w:t>
      </w:r>
      <w:r>
        <w:rPr>
          <w:spacing w:val="-7"/>
          <w:sz w:val="18"/>
          <w:szCs w:val="18"/>
          <w:lang w:val="es-ES_tradnl"/>
        </w:rPr>
        <w:t>sido afectados. La atribuci</w:t>
      </w:r>
      <w:r>
        <w:rPr>
          <w:rFonts w:cs="Times New Roman"/>
          <w:spacing w:val="-7"/>
          <w:sz w:val="18"/>
          <w:szCs w:val="18"/>
          <w:lang w:val="es-ES_tradnl"/>
        </w:rPr>
        <w:t>ó</w:t>
      </w:r>
      <w:r>
        <w:rPr>
          <w:spacing w:val="-7"/>
          <w:sz w:val="18"/>
          <w:szCs w:val="18"/>
          <w:lang w:val="es-ES_tradnl"/>
        </w:rPr>
        <w:t xml:space="preserve">n de resolver estas acciones </w:t>
      </w:r>
      <w:r>
        <w:rPr>
          <w:sz w:val="18"/>
          <w:szCs w:val="18"/>
          <w:lang w:val="es-ES_tradnl"/>
        </w:rPr>
        <w:t>corresponde a la Corte Constitucional.</w:t>
      </w:r>
    </w:p>
    <w:p w14:paraId="4F67A957" w14:textId="77777777" w:rsidR="00591D54" w:rsidRDefault="00591D54">
      <w:pPr>
        <w:shd w:val="clear" w:color="auto" w:fill="FFFFFF"/>
        <w:spacing w:before="197" w:line="216" w:lineRule="exact"/>
        <w:jc w:val="both"/>
      </w:pPr>
      <w:r>
        <w:rPr>
          <w:spacing w:val="-7"/>
          <w:sz w:val="18"/>
          <w:szCs w:val="18"/>
          <w:lang w:val="es-ES_tradnl"/>
        </w:rPr>
        <w:t>El constituyente ecuatoriano ha incorporado esta garant</w:t>
      </w:r>
      <w:r>
        <w:rPr>
          <w:rFonts w:cs="Times New Roman"/>
          <w:spacing w:val="-7"/>
          <w:sz w:val="18"/>
          <w:szCs w:val="18"/>
          <w:lang w:val="es-ES_tradnl"/>
        </w:rPr>
        <w:t>í</w:t>
      </w:r>
      <w:r>
        <w:rPr>
          <w:spacing w:val="-7"/>
          <w:sz w:val="18"/>
          <w:szCs w:val="18"/>
          <w:lang w:val="es-ES_tradnl"/>
        </w:rPr>
        <w:t xml:space="preserve">a </w:t>
      </w:r>
      <w:r>
        <w:rPr>
          <w:spacing w:val="-10"/>
          <w:sz w:val="18"/>
          <w:szCs w:val="18"/>
          <w:lang w:val="es-ES_tradnl"/>
        </w:rPr>
        <w:t>con el fin de dotar de eficacia a las sentencias y dict</w:t>
      </w:r>
      <w:r>
        <w:rPr>
          <w:rFonts w:cs="Times New Roman"/>
          <w:spacing w:val="-10"/>
          <w:sz w:val="18"/>
          <w:szCs w:val="18"/>
          <w:lang w:val="es-ES_tradnl"/>
        </w:rPr>
        <w:t>á</w:t>
      </w:r>
      <w:r>
        <w:rPr>
          <w:spacing w:val="-10"/>
          <w:sz w:val="18"/>
          <w:szCs w:val="18"/>
          <w:lang w:val="es-ES_tradnl"/>
        </w:rPr>
        <w:t xml:space="preserve">menes </w:t>
      </w:r>
      <w:r>
        <w:rPr>
          <w:spacing w:val="-9"/>
          <w:sz w:val="18"/>
          <w:szCs w:val="18"/>
          <w:lang w:val="es-ES_tradnl"/>
        </w:rPr>
        <w:t xml:space="preserve">constitucionales. De este modo, los procesos judiciales solo </w:t>
      </w:r>
      <w:r>
        <w:rPr>
          <w:spacing w:val="-7"/>
          <w:sz w:val="18"/>
          <w:szCs w:val="18"/>
          <w:lang w:val="es-ES_tradnl"/>
        </w:rPr>
        <w:t>terminar</w:t>
      </w:r>
      <w:r>
        <w:rPr>
          <w:rFonts w:cs="Times New Roman"/>
          <w:spacing w:val="-7"/>
          <w:sz w:val="18"/>
          <w:szCs w:val="18"/>
          <w:lang w:val="es-ES_tradnl"/>
        </w:rPr>
        <w:t>á</w:t>
      </w:r>
      <w:r>
        <w:rPr>
          <w:spacing w:val="-7"/>
          <w:sz w:val="18"/>
          <w:szCs w:val="18"/>
          <w:lang w:val="es-ES_tradnl"/>
        </w:rPr>
        <w:t>n con la ejecuci</w:t>
      </w:r>
      <w:r>
        <w:rPr>
          <w:rFonts w:cs="Times New Roman"/>
          <w:spacing w:val="-7"/>
          <w:sz w:val="18"/>
          <w:szCs w:val="18"/>
          <w:lang w:val="es-ES_tradnl"/>
        </w:rPr>
        <w:t>ó</w:t>
      </w:r>
      <w:r>
        <w:rPr>
          <w:spacing w:val="-7"/>
          <w:sz w:val="18"/>
          <w:szCs w:val="18"/>
          <w:lang w:val="es-ES_tradnl"/>
        </w:rPr>
        <w:t xml:space="preserve">n </w:t>
      </w:r>
      <w:r>
        <w:rPr>
          <w:rFonts w:cs="Times New Roman"/>
          <w:spacing w:val="-7"/>
          <w:sz w:val="18"/>
          <w:szCs w:val="18"/>
          <w:lang w:val="es-ES_tradnl"/>
        </w:rPr>
        <w:t>í</w:t>
      </w:r>
      <w:r>
        <w:rPr>
          <w:spacing w:val="-7"/>
          <w:sz w:val="18"/>
          <w:szCs w:val="18"/>
          <w:lang w:val="es-ES_tradnl"/>
        </w:rPr>
        <w:t>ntegra de la sentencia o la reparaci</w:t>
      </w:r>
      <w:r>
        <w:rPr>
          <w:rFonts w:cs="Times New Roman"/>
          <w:spacing w:val="-7"/>
          <w:sz w:val="18"/>
          <w:szCs w:val="18"/>
          <w:lang w:val="es-ES_tradnl"/>
        </w:rPr>
        <w:t>ó</w:t>
      </w:r>
      <w:r>
        <w:rPr>
          <w:spacing w:val="-7"/>
          <w:sz w:val="18"/>
          <w:szCs w:val="18"/>
          <w:lang w:val="es-ES_tradnl"/>
        </w:rPr>
        <w:t>n integral del derecho vulnerado.</w:t>
      </w:r>
    </w:p>
    <w:p w14:paraId="4F67A958" w14:textId="77777777" w:rsidR="00591D54" w:rsidRDefault="00591D54">
      <w:pPr>
        <w:shd w:val="clear" w:color="auto" w:fill="FFFFFF"/>
        <w:spacing w:before="192" w:line="216" w:lineRule="exact"/>
        <w:ind w:right="5"/>
        <w:jc w:val="both"/>
      </w:pPr>
      <w:r>
        <w:rPr>
          <w:spacing w:val="-8"/>
          <w:sz w:val="18"/>
          <w:szCs w:val="18"/>
          <w:lang w:val="es-ES_tradnl"/>
        </w:rPr>
        <w:t>En otras palabras, gracias a esta garant</w:t>
      </w:r>
      <w:r>
        <w:rPr>
          <w:rFonts w:cs="Times New Roman"/>
          <w:spacing w:val="-8"/>
          <w:sz w:val="18"/>
          <w:szCs w:val="18"/>
          <w:lang w:val="es-ES_tradnl"/>
        </w:rPr>
        <w:t>í</w:t>
      </w:r>
      <w:r>
        <w:rPr>
          <w:spacing w:val="-8"/>
          <w:sz w:val="18"/>
          <w:szCs w:val="18"/>
          <w:lang w:val="es-ES_tradnl"/>
        </w:rPr>
        <w:t xml:space="preserve">a, los procesos </w:t>
      </w:r>
      <w:r>
        <w:rPr>
          <w:spacing w:val="-6"/>
          <w:sz w:val="18"/>
          <w:szCs w:val="18"/>
          <w:lang w:val="es-ES_tradnl"/>
        </w:rPr>
        <w:t>constitucionales no llegan a su fin con la expedici</w:t>
      </w:r>
      <w:r>
        <w:rPr>
          <w:rFonts w:cs="Times New Roman"/>
          <w:spacing w:val="-6"/>
          <w:sz w:val="18"/>
          <w:szCs w:val="18"/>
          <w:lang w:val="es-ES_tradnl"/>
        </w:rPr>
        <w:t>ó</w:t>
      </w:r>
      <w:r>
        <w:rPr>
          <w:spacing w:val="-6"/>
          <w:sz w:val="18"/>
          <w:szCs w:val="18"/>
          <w:lang w:val="es-ES_tradnl"/>
        </w:rPr>
        <w:t xml:space="preserve">n de la </w:t>
      </w:r>
      <w:r>
        <w:rPr>
          <w:spacing w:val="-9"/>
          <w:sz w:val="18"/>
          <w:szCs w:val="18"/>
          <w:lang w:val="es-ES_tradnl"/>
        </w:rPr>
        <w:t xml:space="preserve">sentencia, sino que culminan cuando se haya cumplido con </w:t>
      </w:r>
      <w:r>
        <w:rPr>
          <w:spacing w:val="-6"/>
          <w:sz w:val="18"/>
          <w:szCs w:val="18"/>
          <w:lang w:val="es-ES_tradnl"/>
        </w:rPr>
        <w:t xml:space="preserve">todos los actos que se hubiere dispuesto en ella y llevado </w:t>
      </w:r>
      <w:r>
        <w:rPr>
          <w:spacing w:val="-7"/>
          <w:sz w:val="18"/>
          <w:szCs w:val="18"/>
          <w:lang w:val="es-ES_tradnl"/>
        </w:rPr>
        <w:t>a cabo la reparaci</w:t>
      </w:r>
      <w:r>
        <w:rPr>
          <w:rFonts w:cs="Times New Roman"/>
          <w:spacing w:val="-7"/>
          <w:sz w:val="18"/>
          <w:szCs w:val="18"/>
          <w:lang w:val="es-ES_tradnl"/>
        </w:rPr>
        <w:t>ó</w:t>
      </w:r>
      <w:r>
        <w:rPr>
          <w:spacing w:val="-7"/>
          <w:sz w:val="18"/>
          <w:szCs w:val="18"/>
          <w:lang w:val="es-ES_tradnl"/>
        </w:rPr>
        <w:t xml:space="preserve">n integral de los derechos vulnerados, </w:t>
      </w:r>
      <w:r>
        <w:rPr>
          <w:spacing w:val="-8"/>
          <w:sz w:val="18"/>
          <w:szCs w:val="18"/>
          <w:lang w:val="es-ES_tradnl"/>
        </w:rPr>
        <w:t>tarea cuya vigilancia corresponde a esta Corte.</w:t>
      </w:r>
    </w:p>
    <w:p w14:paraId="4F67A959" w14:textId="77777777" w:rsidR="00591D54" w:rsidRDefault="00591D54">
      <w:pPr>
        <w:shd w:val="clear" w:color="auto" w:fill="FFFFFF"/>
        <w:spacing w:before="192"/>
      </w:pPr>
      <w:r>
        <w:rPr>
          <w:b/>
          <w:bCs/>
          <w:spacing w:val="-8"/>
          <w:sz w:val="18"/>
          <w:szCs w:val="18"/>
          <w:lang w:val="es-ES_tradnl"/>
        </w:rPr>
        <w:t>Determinaci</w:t>
      </w:r>
      <w:r>
        <w:rPr>
          <w:rFonts w:cs="Times New Roman"/>
          <w:b/>
          <w:bCs/>
          <w:spacing w:val="-8"/>
          <w:sz w:val="18"/>
          <w:szCs w:val="18"/>
          <w:lang w:val="es-ES_tradnl"/>
        </w:rPr>
        <w:t>ó</w:t>
      </w:r>
      <w:r>
        <w:rPr>
          <w:b/>
          <w:bCs/>
          <w:spacing w:val="-8"/>
          <w:sz w:val="18"/>
          <w:szCs w:val="18"/>
          <w:lang w:val="es-ES_tradnl"/>
        </w:rPr>
        <w:t>n y resoluci</w:t>
      </w:r>
      <w:r>
        <w:rPr>
          <w:rFonts w:cs="Times New Roman"/>
          <w:b/>
          <w:bCs/>
          <w:spacing w:val="-8"/>
          <w:sz w:val="18"/>
          <w:szCs w:val="18"/>
          <w:lang w:val="es-ES_tradnl"/>
        </w:rPr>
        <w:t>ó</w:t>
      </w:r>
      <w:r>
        <w:rPr>
          <w:b/>
          <w:bCs/>
          <w:spacing w:val="-8"/>
          <w:sz w:val="18"/>
          <w:szCs w:val="18"/>
          <w:lang w:val="es-ES_tradnl"/>
        </w:rPr>
        <w:t>n del problema jur</w:t>
      </w:r>
      <w:r>
        <w:rPr>
          <w:rFonts w:cs="Times New Roman"/>
          <w:b/>
          <w:bCs/>
          <w:spacing w:val="-8"/>
          <w:sz w:val="18"/>
          <w:szCs w:val="18"/>
          <w:lang w:val="es-ES_tradnl"/>
        </w:rPr>
        <w:t>í</w:t>
      </w:r>
      <w:r>
        <w:rPr>
          <w:b/>
          <w:bCs/>
          <w:spacing w:val="-8"/>
          <w:sz w:val="18"/>
          <w:szCs w:val="18"/>
          <w:lang w:val="es-ES_tradnl"/>
        </w:rPr>
        <w:t>dico</w:t>
      </w:r>
    </w:p>
    <w:p w14:paraId="4F67A95A" w14:textId="77777777" w:rsidR="00591D54" w:rsidRDefault="00591D54">
      <w:pPr>
        <w:shd w:val="clear" w:color="auto" w:fill="FFFFFF"/>
        <w:spacing w:before="192" w:line="216" w:lineRule="exact"/>
        <w:ind w:right="5"/>
        <w:jc w:val="both"/>
      </w:pPr>
      <w:r>
        <w:rPr>
          <w:spacing w:val="-8"/>
          <w:sz w:val="18"/>
          <w:szCs w:val="18"/>
          <w:lang w:val="es-ES_tradnl"/>
        </w:rPr>
        <w:t>Para la resoluci</w:t>
      </w:r>
      <w:r>
        <w:rPr>
          <w:rFonts w:cs="Times New Roman"/>
          <w:spacing w:val="-8"/>
          <w:sz w:val="18"/>
          <w:szCs w:val="18"/>
          <w:lang w:val="es-ES_tradnl"/>
        </w:rPr>
        <w:t>ó</w:t>
      </w:r>
      <w:r>
        <w:rPr>
          <w:spacing w:val="-8"/>
          <w:sz w:val="18"/>
          <w:szCs w:val="18"/>
          <w:lang w:val="es-ES_tradnl"/>
        </w:rPr>
        <w:t xml:space="preserve">n de la presente causa, esta Corte estima </w:t>
      </w:r>
      <w:r>
        <w:rPr>
          <w:spacing w:val="-6"/>
          <w:sz w:val="18"/>
          <w:szCs w:val="18"/>
          <w:lang w:val="es-ES_tradnl"/>
        </w:rPr>
        <w:t>necesario resolver el siguiente problema jur</w:t>
      </w:r>
      <w:r>
        <w:rPr>
          <w:rFonts w:cs="Times New Roman"/>
          <w:spacing w:val="-6"/>
          <w:sz w:val="18"/>
          <w:szCs w:val="18"/>
          <w:lang w:val="es-ES_tradnl"/>
        </w:rPr>
        <w:t>í</w:t>
      </w:r>
      <w:r>
        <w:rPr>
          <w:spacing w:val="-6"/>
          <w:sz w:val="18"/>
          <w:szCs w:val="18"/>
          <w:lang w:val="es-ES_tradnl"/>
        </w:rPr>
        <w:t>dico:</w:t>
      </w:r>
    </w:p>
    <w:p w14:paraId="4F67A95B" w14:textId="77777777" w:rsidR="00591D54" w:rsidRDefault="00591D54">
      <w:pPr>
        <w:shd w:val="clear" w:color="auto" w:fill="FFFFFF"/>
        <w:spacing w:before="187" w:line="216" w:lineRule="exact"/>
        <w:ind w:left="283" w:hanging="283"/>
        <w:jc w:val="both"/>
      </w:pPr>
      <w:r>
        <w:rPr>
          <w:b/>
          <w:bCs/>
          <w:spacing w:val="-3"/>
          <w:sz w:val="18"/>
          <w:szCs w:val="18"/>
          <w:lang w:val="es-ES_tradnl"/>
        </w:rPr>
        <w:t xml:space="preserve">1. </w:t>
      </w:r>
      <w:r>
        <w:rPr>
          <w:rFonts w:cs="Times New Roman"/>
          <w:b/>
          <w:bCs/>
          <w:spacing w:val="-3"/>
          <w:sz w:val="18"/>
          <w:szCs w:val="18"/>
          <w:lang w:val="es-ES_tradnl"/>
        </w:rPr>
        <w:t>¿</w:t>
      </w:r>
      <w:r>
        <w:rPr>
          <w:b/>
          <w:bCs/>
          <w:spacing w:val="-3"/>
          <w:sz w:val="18"/>
          <w:szCs w:val="18"/>
          <w:lang w:val="es-ES_tradnl"/>
        </w:rPr>
        <w:t xml:space="preserve">El director provincial de salud de Chimborazo y </w:t>
      </w:r>
      <w:r>
        <w:rPr>
          <w:b/>
          <w:bCs/>
          <w:spacing w:val="-7"/>
          <w:sz w:val="18"/>
          <w:szCs w:val="18"/>
          <w:lang w:val="es-ES_tradnl"/>
        </w:rPr>
        <w:t xml:space="preserve">el director del Hospital de Colta han dado efectivo </w:t>
      </w:r>
      <w:r>
        <w:rPr>
          <w:b/>
          <w:bCs/>
          <w:spacing w:val="-8"/>
          <w:sz w:val="18"/>
          <w:szCs w:val="18"/>
          <w:lang w:val="es-ES_tradnl"/>
        </w:rPr>
        <w:t>cumplimiento a la resoluci</w:t>
      </w:r>
      <w:r>
        <w:rPr>
          <w:rFonts w:cs="Times New Roman"/>
          <w:b/>
          <w:bCs/>
          <w:spacing w:val="-8"/>
          <w:sz w:val="18"/>
          <w:szCs w:val="18"/>
          <w:lang w:val="es-ES_tradnl"/>
        </w:rPr>
        <w:t>ó</w:t>
      </w:r>
      <w:r>
        <w:rPr>
          <w:b/>
          <w:bCs/>
          <w:spacing w:val="-8"/>
          <w:sz w:val="18"/>
          <w:szCs w:val="18"/>
          <w:lang w:val="es-ES_tradnl"/>
        </w:rPr>
        <w:t>n signada con el N.</w:t>
      </w:r>
      <w:r>
        <w:rPr>
          <w:rFonts w:cs="Times New Roman"/>
          <w:b/>
          <w:bCs/>
          <w:spacing w:val="-8"/>
          <w:sz w:val="18"/>
          <w:szCs w:val="18"/>
          <w:lang w:val="es-ES_tradnl"/>
        </w:rPr>
        <w:t xml:space="preserve">º </w:t>
      </w:r>
      <w:r>
        <w:rPr>
          <w:b/>
          <w:bCs/>
          <w:spacing w:val="-3"/>
          <w:sz w:val="18"/>
          <w:szCs w:val="18"/>
          <w:lang w:val="es-ES_tradnl"/>
        </w:rPr>
        <w:t xml:space="preserve">0844-08-RA, dictada el 05 de marzo de 2009, por </w:t>
      </w:r>
      <w:r>
        <w:rPr>
          <w:b/>
          <w:bCs/>
          <w:spacing w:val="-6"/>
          <w:sz w:val="18"/>
          <w:szCs w:val="18"/>
          <w:lang w:val="es-ES_tradnl"/>
        </w:rPr>
        <w:t xml:space="preserve">la Primera Sala de la Corte Constitucional, para el </w:t>
      </w:r>
      <w:r>
        <w:rPr>
          <w:b/>
          <w:bCs/>
          <w:sz w:val="18"/>
          <w:szCs w:val="18"/>
          <w:lang w:val="es-ES_tradnl"/>
        </w:rPr>
        <w:t>per</w:t>
      </w:r>
      <w:r>
        <w:rPr>
          <w:rFonts w:cs="Times New Roman"/>
          <w:b/>
          <w:bCs/>
          <w:sz w:val="18"/>
          <w:szCs w:val="18"/>
          <w:lang w:val="es-ES_tradnl"/>
        </w:rPr>
        <w:t>í</w:t>
      </w:r>
      <w:r>
        <w:rPr>
          <w:b/>
          <w:bCs/>
          <w:sz w:val="18"/>
          <w:szCs w:val="18"/>
          <w:lang w:val="es-ES_tradnl"/>
        </w:rPr>
        <w:t>odo de transici</w:t>
      </w:r>
      <w:r>
        <w:rPr>
          <w:rFonts w:cs="Times New Roman"/>
          <w:b/>
          <w:bCs/>
          <w:sz w:val="18"/>
          <w:szCs w:val="18"/>
          <w:lang w:val="es-ES_tradnl"/>
        </w:rPr>
        <w:t>ó</w:t>
      </w:r>
      <w:r>
        <w:rPr>
          <w:b/>
          <w:bCs/>
          <w:sz w:val="18"/>
          <w:szCs w:val="18"/>
          <w:lang w:val="es-ES_tradnl"/>
        </w:rPr>
        <w:t>n?</w:t>
      </w:r>
    </w:p>
    <w:p w14:paraId="4F67A95C" w14:textId="77777777" w:rsidR="00591D54" w:rsidRDefault="00591D54">
      <w:pPr>
        <w:shd w:val="clear" w:color="auto" w:fill="FFFFFF"/>
        <w:spacing w:before="197" w:line="216" w:lineRule="exact"/>
        <w:jc w:val="both"/>
      </w:pPr>
      <w:r>
        <w:rPr>
          <w:spacing w:val="-5"/>
          <w:sz w:val="18"/>
          <w:szCs w:val="18"/>
          <w:lang w:val="es-ES_tradnl"/>
        </w:rPr>
        <w:t>La resoluci</w:t>
      </w:r>
      <w:r>
        <w:rPr>
          <w:rFonts w:cs="Times New Roman"/>
          <w:spacing w:val="-5"/>
          <w:sz w:val="18"/>
          <w:szCs w:val="18"/>
          <w:lang w:val="es-ES_tradnl"/>
        </w:rPr>
        <w:t>ó</w:t>
      </w:r>
      <w:r>
        <w:rPr>
          <w:spacing w:val="-5"/>
          <w:sz w:val="18"/>
          <w:szCs w:val="18"/>
          <w:lang w:val="es-ES_tradnl"/>
        </w:rPr>
        <w:t xml:space="preserve">n dictada por la Primera Sala de la Corte </w:t>
      </w:r>
      <w:r>
        <w:rPr>
          <w:spacing w:val="-3"/>
          <w:sz w:val="18"/>
          <w:szCs w:val="18"/>
          <w:lang w:val="es-ES_tradnl"/>
        </w:rPr>
        <w:t>Constitucional, para el per</w:t>
      </w:r>
      <w:r>
        <w:rPr>
          <w:rFonts w:cs="Times New Roman"/>
          <w:spacing w:val="-3"/>
          <w:sz w:val="18"/>
          <w:szCs w:val="18"/>
          <w:lang w:val="es-ES_tradnl"/>
        </w:rPr>
        <w:t>í</w:t>
      </w:r>
      <w:r>
        <w:rPr>
          <w:spacing w:val="-3"/>
          <w:sz w:val="18"/>
          <w:szCs w:val="18"/>
          <w:lang w:val="es-ES_tradnl"/>
        </w:rPr>
        <w:t>odo de transici</w:t>
      </w:r>
      <w:r>
        <w:rPr>
          <w:rFonts w:cs="Times New Roman"/>
          <w:spacing w:val="-3"/>
          <w:sz w:val="18"/>
          <w:szCs w:val="18"/>
          <w:lang w:val="es-ES_tradnl"/>
        </w:rPr>
        <w:t>ó</w:t>
      </w:r>
      <w:r>
        <w:rPr>
          <w:spacing w:val="-3"/>
          <w:sz w:val="18"/>
          <w:szCs w:val="18"/>
          <w:lang w:val="es-ES_tradnl"/>
        </w:rPr>
        <w:t xml:space="preserve">n, el 05 de </w:t>
      </w:r>
      <w:r>
        <w:rPr>
          <w:spacing w:val="-9"/>
          <w:sz w:val="18"/>
          <w:szCs w:val="18"/>
          <w:lang w:val="es-ES_tradnl"/>
        </w:rPr>
        <w:t xml:space="preserve">marzo de 2009, que la accionante considera incumplida, en </w:t>
      </w:r>
      <w:r>
        <w:rPr>
          <w:spacing w:val="-8"/>
          <w:sz w:val="18"/>
          <w:szCs w:val="18"/>
          <w:lang w:val="es-ES_tradnl"/>
        </w:rPr>
        <w:t>su parte resolutiva, decidi</w:t>
      </w:r>
      <w:r>
        <w:rPr>
          <w:rFonts w:cs="Times New Roman"/>
          <w:spacing w:val="-8"/>
          <w:sz w:val="18"/>
          <w:szCs w:val="18"/>
          <w:lang w:val="es-ES_tradnl"/>
        </w:rPr>
        <w:t>ó</w:t>
      </w:r>
      <w:r>
        <w:rPr>
          <w:spacing w:val="-8"/>
          <w:sz w:val="18"/>
          <w:szCs w:val="18"/>
          <w:lang w:val="es-ES_tradnl"/>
        </w:rPr>
        <w:t xml:space="preserve">: </w:t>
      </w:r>
      <w:r>
        <w:rPr>
          <w:rFonts w:cs="Times New Roman"/>
          <w:spacing w:val="-8"/>
          <w:sz w:val="18"/>
          <w:szCs w:val="18"/>
          <w:lang w:val="es-ES_tradnl"/>
        </w:rPr>
        <w:t>“</w:t>
      </w:r>
      <w:r>
        <w:rPr>
          <w:spacing w:val="-8"/>
          <w:sz w:val="18"/>
          <w:szCs w:val="18"/>
          <w:lang w:val="es-ES_tradnl"/>
        </w:rPr>
        <w:t>(</w:t>
      </w:r>
      <w:r>
        <w:rPr>
          <w:rFonts w:cs="Times New Roman"/>
          <w:spacing w:val="-8"/>
          <w:sz w:val="18"/>
          <w:szCs w:val="18"/>
          <w:lang w:val="es-ES_tradnl"/>
        </w:rPr>
        <w:t>…</w:t>
      </w:r>
      <w:r>
        <w:rPr>
          <w:spacing w:val="-8"/>
          <w:sz w:val="18"/>
          <w:szCs w:val="18"/>
          <w:lang w:val="es-ES_tradnl"/>
        </w:rPr>
        <w:t xml:space="preserve">) 1. </w:t>
      </w:r>
      <w:r>
        <w:rPr>
          <w:rFonts w:cs="Times New Roman"/>
          <w:spacing w:val="-8"/>
          <w:sz w:val="18"/>
          <w:szCs w:val="18"/>
          <w:lang w:val="es-ES_tradnl"/>
        </w:rPr>
        <w:t>–</w:t>
      </w:r>
      <w:r>
        <w:rPr>
          <w:spacing w:val="-8"/>
          <w:sz w:val="18"/>
          <w:szCs w:val="18"/>
          <w:lang w:val="es-ES_tradnl"/>
        </w:rPr>
        <w:t xml:space="preserve"> Confirmar lo resuelto </w:t>
      </w:r>
      <w:r>
        <w:rPr>
          <w:spacing w:val="-5"/>
          <w:sz w:val="18"/>
          <w:szCs w:val="18"/>
          <w:lang w:val="es-ES_tradnl"/>
        </w:rPr>
        <w:t xml:space="preserve">por el Tribunal inferior; y, en consecuencia conceder la </w:t>
      </w:r>
      <w:r>
        <w:rPr>
          <w:spacing w:val="-7"/>
          <w:sz w:val="18"/>
          <w:szCs w:val="18"/>
          <w:lang w:val="es-ES_tradnl"/>
        </w:rPr>
        <w:t>acci</w:t>
      </w:r>
      <w:r>
        <w:rPr>
          <w:rFonts w:cs="Times New Roman"/>
          <w:spacing w:val="-7"/>
          <w:sz w:val="18"/>
          <w:szCs w:val="18"/>
          <w:lang w:val="es-ES_tradnl"/>
        </w:rPr>
        <w:t>ó</w:t>
      </w:r>
      <w:r>
        <w:rPr>
          <w:spacing w:val="-7"/>
          <w:sz w:val="18"/>
          <w:szCs w:val="18"/>
          <w:lang w:val="es-ES_tradnl"/>
        </w:rPr>
        <w:t xml:space="preserve">n de amparo constitucional propuesta por la doctora </w:t>
      </w:r>
      <w:r>
        <w:rPr>
          <w:sz w:val="18"/>
          <w:szCs w:val="18"/>
          <w:lang w:val="es-ES_tradnl"/>
        </w:rPr>
        <w:t>Mar</w:t>
      </w:r>
      <w:r>
        <w:rPr>
          <w:rFonts w:cs="Times New Roman"/>
          <w:sz w:val="18"/>
          <w:szCs w:val="18"/>
          <w:lang w:val="es-ES_tradnl"/>
        </w:rPr>
        <w:t>í</w:t>
      </w:r>
      <w:r>
        <w:rPr>
          <w:sz w:val="18"/>
          <w:szCs w:val="18"/>
          <w:lang w:val="es-ES_tradnl"/>
        </w:rPr>
        <w:t>a Carmen Paca Ajitimbay (</w:t>
      </w:r>
      <w:r>
        <w:rPr>
          <w:rFonts w:cs="Times New Roman"/>
          <w:sz w:val="18"/>
          <w:szCs w:val="18"/>
          <w:lang w:val="es-ES_tradnl"/>
        </w:rPr>
        <w:t>…</w:t>
      </w:r>
      <w:r>
        <w:rPr>
          <w:sz w:val="18"/>
          <w:szCs w:val="18"/>
          <w:lang w:val="es-ES_tradnl"/>
        </w:rPr>
        <w:t>)</w:t>
      </w:r>
      <w:r>
        <w:rPr>
          <w:rFonts w:cs="Times New Roman"/>
          <w:sz w:val="18"/>
          <w:szCs w:val="18"/>
          <w:lang w:val="es-ES_tradnl"/>
        </w:rPr>
        <w:t>”</w:t>
      </w:r>
      <w:r>
        <w:rPr>
          <w:sz w:val="18"/>
          <w:szCs w:val="18"/>
          <w:lang w:val="es-ES_tradnl"/>
        </w:rPr>
        <w:t>.</w:t>
      </w:r>
    </w:p>
    <w:p w14:paraId="4F67A95D" w14:textId="77777777" w:rsidR="00591D54" w:rsidRDefault="00591D54">
      <w:pPr>
        <w:shd w:val="clear" w:color="auto" w:fill="FFFFFF"/>
        <w:spacing w:before="197" w:line="216" w:lineRule="exact"/>
        <w:jc w:val="both"/>
      </w:pPr>
      <w:r>
        <w:rPr>
          <w:spacing w:val="-10"/>
          <w:sz w:val="18"/>
          <w:szCs w:val="18"/>
          <w:lang w:val="es-ES_tradnl"/>
        </w:rPr>
        <w:t xml:space="preserve">Dado que la Primera Sala de la Corte Constitucional, para el </w:t>
      </w:r>
      <w:r>
        <w:rPr>
          <w:spacing w:val="-8"/>
          <w:sz w:val="18"/>
          <w:szCs w:val="18"/>
          <w:lang w:val="es-ES_tradnl"/>
        </w:rPr>
        <w:t>per</w:t>
      </w:r>
      <w:r>
        <w:rPr>
          <w:rFonts w:cs="Times New Roman"/>
          <w:spacing w:val="-8"/>
          <w:sz w:val="18"/>
          <w:szCs w:val="18"/>
          <w:lang w:val="es-ES_tradnl"/>
        </w:rPr>
        <w:t>í</w:t>
      </w:r>
      <w:r>
        <w:rPr>
          <w:spacing w:val="-8"/>
          <w:sz w:val="18"/>
          <w:szCs w:val="18"/>
          <w:lang w:val="es-ES_tradnl"/>
        </w:rPr>
        <w:t>odo de transici</w:t>
      </w:r>
      <w:r>
        <w:rPr>
          <w:rFonts w:cs="Times New Roman"/>
          <w:spacing w:val="-8"/>
          <w:sz w:val="18"/>
          <w:szCs w:val="18"/>
          <w:lang w:val="es-ES_tradnl"/>
        </w:rPr>
        <w:t>ó</w:t>
      </w:r>
      <w:r>
        <w:rPr>
          <w:spacing w:val="-8"/>
          <w:sz w:val="18"/>
          <w:szCs w:val="18"/>
          <w:lang w:val="es-ES_tradnl"/>
        </w:rPr>
        <w:t xml:space="preserve">n, </w:t>
      </w:r>
      <w:r>
        <w:rPr>
          <w:rFonts w:cs="Times New Roman"/>
          <w:spacing w:val="-8"/>
          <w:sz w:val="18"/>
          <w:szCs w:val="18"/>
          <w:lang w:val="es-ES_tradnl"/>
        </w:rPr>
        <w:t>ú</w:t>
      </w:r>
      <w:r>
        <w:rPr>
          <w:spacing w:val="-8"/>
          <w:sz w:val="18"/>
          <w:szCs w:val="18"/>
          <w:lang w:val="es-ES_tradnl"/>
        </w:rPr>
        <w:t>nicamente, confirm</w:t>
      </w:r>
      <w:r>
        <w:rPr>
          <w:rFonts w:cs="Times New Roman"/>
          <w:spacing w:val="-8"/>
          <w:sz w:val="18"/>
          <w:szCs w:val="18"/>
          <w:lang w:val="es-ES_tradnl"/>
        </w:rPr>
        <w:t>ó</w:t>
      </w:r>
      <w:r>
        <w:rPr>
          <w:spacing w:val="-8"/>
          <w:sz w:val="18"/>
          <w:szCs w:val="18"/>
          <w:lang w:val="es-ES_tradnl"/>
        </w:rPr>
        <w:t xml:space="preserve"> lo resuelto por el Tribunal Inferior, cabe remitirse a la sentencia de primera </w:t>
      </w:r>
      <w:r>
        <w:rPr>
          <w:spacing w:val="-4"/>
          <w:sz w:val="18"/>
          <w:szCs w:val="18"/>
          <w:lang w:val="es-ES_tradnl"/>
        </w:rPr>
        <w:t>instancia en que la Primera Sala del Tribunal Distrital N.</w:t>
      </w:r>
      <w:r>
        <w:rPr>
          <w:rFonts w:cs="Times New Roman"/>
          <w:spacing w:val="-4"/>
          <w:sz w:val="18"/>
          <w:szCs w:val="18"/>
          <w:lang w:val="es-ES_tradnl"/>
        </w:rPr>
        <w:t xml:space="preserve">º </w:t>
      </w:r>
      <w:r>
        <w:rPr>
          <w:spacing w:val="-4"/>
          <w:sz w:val="18"/>
          <w:szCs w:val="18"/>
          <w:lang w:val="es-ES_tradnl"/>
        </w:rPr>
        <w:t>1 de lo Contencioso Administrativo resolvi</w:t>
      </w:r>
      <w:r>
        <w:rPr>
          <w:rFonts w:cs="Times New Roman"/>
          <w:spacing w:val="-4"/>
          <w:sz w:val="18"/>
          <w:szCs w:val="18"/>
          <w:lang w:val="es-ES_tradnl"/>
        </w:rPr>
        <w:t>ó</w:t>
      </w:r>
      <w:r>
        <w:rPr>
          <w:spacing w:val="-4"/>
          <w:sz w:val="18"/>
          <w:szCs w:val="18"/>
          <w:lang w:val="es-ES_tradnl"/>
        </w:rPr>
        <w:t xml:space="preserve">: </w:t>
      </w:r>
      <w:r>
        <w:rPr>
          <w:rFonts w:cs="Times New Roman"/>
          <w:spacing w:val="-4"/>
          <w:sz w:val="18"/>
          <w:szCs w:val="18"/>
          <w:lang w:val="es-ES_tradnl"/>
        </w:rPr>
        <w:t>“</w:t>
      </w:r>
      <w:r>
        <w:rPr>
          <w:spacing w:val="-4"/>
          <w:sz w:val="18"/>
          <w:szCs w:val="18"/>
          <w:lang w:val="es-ES_tradnl"/>
        </w:rPr>
        <w:t xml:space="preserve">Aceptar el </w:t>
      </w:r>
      <w:r>
        <w:rPr>
          <w:spacing w:val="-7"/>
          <w:sz w:val="18"/>
          <w:szCs w:val="18"/>
          <w:lang w:val="es-ES_tradnl"/>
        </w:rPr>
        <w:t xml:space="preserve">recurso de amparo constitucional solicitado por la doctora </w:t>
      </w:r>
      <w:r>
        <w:rPr>
          <w:sz w:val="18"/>
          <w:szCs w:val="18"/>
          <w:lang w:val="es-ES_tradnl"/>
        </w:rPr>
        <w:t>Carmen Paca Ajitimbay.- (</w:t>
      </w:r>
      <w:r>
        <w:rPr>
          <w:rFonts w:cs="Times New Roman"/>
          <w:sz w:val="18"/>
          <w:szCs w:val="18"/>
          <w:lang w:val="es-ES_tradnl"/>
        </w:rPr>
        <w:t>…</w:t>
      </w:r>
      <w:r>
        <w:rPr>
          <w:sz w:val="18"/>
          <w:szCs w:val="18"/>
          <w:lang w:val="es-ES_tradnl"/>
        </w:rPr>
        <w:t>)</w:t>
      </w:r>
      <w:r>
        <w:rPr>
          <w:rFonts w:cs="Times New Roman"/>
          <w:sz w:val="18"/>
          <w:szCs w:val="18"/>
          <w:lang w:val="es-ES_tradnl"/>
        </w:rPr>
        <w:t>”</w:t>
      </w:r>
      <w:r>
        <w:rPr>
          <w:sz w:val="18"/>
          <w:szCs w:val="18"/>
          <w:lang w:val="es-ES_tradnl"/>
        </w:rPr>
        <w:t>.</w:t>
      </w:r>
    </w:p>
    <w:p w14:paraId="4F67A95E" w14:textId="77777777" w:rsidR="00591D54" w:rsidRDefault="00591D54">
      <w:pPr>
        <w:shd w:val="clear" w:color="auto" w:fill="FFFFFF"/>
        <w:spacing w:before="197" w:line="216" w:lineRule="exact"/>
        <w:jc w:val="both"/>
      </w:pPr>
      <w:r>
        <w:rPr>
          <w:spacing w:val="-7"/>
          <w:sz w:val="18"/>
          <w:szCs w:val="18"/>
          <w:lang w:val="es-ES_tradnl"/>
        </w:rPr>
        <w:t xml:space="preserve">En tal sentido, para poder establecer las obligaciones a cumplir determinadas por las sentencias antedichas y al haber sido concedido el recurso de amparo constitucional </w:t>
      </w:r>
      <w:r>
        <w:rPr>
          <w:spacing w:val="-8"/>
          <w:sz w:val="18"/>
          <w:szCs w:val="18"/>
          <w:lang w:val="es-ES_tradnl"/>
        </w:rPr>
        <w:t>en ambas instancias, en los t</w:t>
      </w:r>
      <w:r>
        <w:rPr>
          <w:rFonts w:cs="Times New Roman"/>
          <w:spacing w:val="-8"/>
          <w:sz w:val="18"/>
          <w:szCs w:val="18"/>
          <w:lang w:val="es-ES_tradnl"/>
        </w:rPr>
        <w:t>é</w:t>
      </w:r>
      <w:r>
        <w:rPr>
          <w:spacing w:val="-8"/>
          <w:sz w:val="18"/>
          <w:szCs w:val="18"/>
          <w:lang w:val="es-ES_tradnl"/>
        </w:rPr>
        <w:t xml:space="preserve">rminos planteados por la </w:t>
      </w:r>
      <w:r>
        <w:rPr>
          <w:spacing w:val="-10"/>
          <w:sz w:val="18"/>
          <w:szCs w:val="18"/>
          <w:lang w:val="es-ES_tradnl"/>
        </w:rPr>
        <w:t>accionante, corresponde a esta Corte recurrir a la pretensi</w:t>
      </w:r>
      <w:r>
        <w:rPr>
          <w:rFonts w:cs="Times New Roman"/>
          <w:spacing w:val="-10"/>
          <w:sz w:val="18"/>
          <w:szCs w:val="18"/>
          <w:lang w:val="es-ES_tradnl"/>
        </w:rPr>
        <w:t>ó</w:t>
      </w:r>
      <w:r>
        <w:rPr>
          <w:spacing w:val="-10"/>
          <w:sz w:val="18"/>
          <w:szCs w:val="18"/>
          <w:lang w:val="es-ES_tradnl"/>
        </w:rPr>
        <w:t xml:space="preserve">n </w:t>
      </w:r>
      <w:r>
        <w:rPr>
          <w:spacing w:val="-8"/>
          <w:sz w:val="18"/>
          <w:szCs w:val="18"/>
          <w:lang w:val="es-ES_tradnl"/>
        </w:rPr>
        <w:t>espec</w:t>
      </w:r>
      <w:r>
        <w:rPr>
          <w:rFonts w:cs="Times New Roman"/>
          <w:spacing w:val="-8"/>
          <w:sz w:val="18"/>
          <w:szCs w:val="18"/>
          <w:lang w:val="es-ES_tradnl"/>
        </w:rPr>
        <w:t>í</w:t>
      </w:r>
      <w:r>
        <w:rPr>
          <w:spacing w:val="-8"/>
          <w:sz w:val="18"/>
          <w:szCs w:val="18"/>
          <w:lang w:val="es-ES_tradnl"/>
        </w:rPr>
        <w:t xml:space="preserve">fica propuesta por la accionante, y que sigue a </w:t>
      </w:r>
      <w:r>
        <w:rPr>
          <w:sz w:val="18"/>
          <w:szCs w:val="18"/>
          <w:lang w:val="es-ES_tradnl"/>
        </w:rPr>
        <w:t>continuaci</w:t>
      </w:r>
      <w:r>
        <w:rPr>
          <w:rFonts w:cs="Times New Roman"/>
          <w:sz w:val="18"/>
          <w:szCs w:val="18"/>
          <w:lang w:val="es-ES_tradnl"/>
        </w:rPr>
        <w:t>ó</w:t>
      </w:r>
      <w:r>
        <w:rPr>
          <w:sz w:val="18"/>
          <w:szCs w:val="18"/>
          <w:lang w:val="es-ES_tradnl"/>
        </w:rPr>
        <w:t>n:</w:t>
      </w:r>
    </w:p>
    <w:p w14:paraId="4F67A95F" w14:textId="77777777" w:rsidR="00591D54" w:rsidRDefault="00591D54">
      <w:pPr>
        <w:shd w:val="clear" w:color="auto" w:fill="FFFFFF"/>
        <w:spacing w:line="216" w:lineRule="exact"/>
        <w:ind w:left="283"/>
        <w:jc w:val="both"/>
      </w:pPr>
      <w:r>
        <w:br w:type="column"/>
      </w:r>
      <w:r>
        <w:rPr>
          <w:spacing w:val="-2"/>
          <w:sz w:val="16"/>
          <w:szCs w:val="16"/>
          <w:lang w:val="es-ES_tradnl"/>
        </w:rPr>
        <w:t xml:space="preserve">En base de los fundamentos de hecho y de derecho que </w:t>
      </w:r>
      <w:r>
        <w:rPr>
          <w:spacing w:val="-6"/>
          <w:sz w:val="16"/>
          <w:szCs w:val="16"/>
          <w:lang w:val="es-ES_tradnl"/>
        </w:rPr>
        <w:t>dejo expuestos, y porque me asiste la raz</w:t>
      </w:r>
      <w:r>
        <w:rPr>
          <w:rFonts w:cs="Times New Roman"/>
          <w:spacing w:val="-6"/>
          <w:sz w:val="16"/>
          <w:szCs w:val="16"/>
          <w:lang w:val="es-ES_tradnl"/>
        </w:rPr>
        <w:t>ó</w:t>
      </w:r>
      <w:r>
        <w:rPr>
          <w:spacing w:val="-6"/>
          <w:sz w:val="16"/>
          <w:szCs w:val="16"/>
          <w:lang w:val="es-ES_tradnl"/>
        </w:rPr>
        <w:t>n, el derecho y la justicia, acudo ante ustedes, se</w:t>
      </w:r>
      <w:r>
        <w:rPr>
          <w:rFonts w:cs="Times New Roman"/>
          <w:spacing w:val="-6"/>
          <w:sz w:val="16"/>
          <w:szCs w:val="16"/>
          <w:lang w:val="es-ES_tradnl"/>
        </w:rPr>
        <w:t>ñ</w:t>
      </w:r>
      <w:r>
        <w:rPr>
          <w:spacing w:val="-6"/>
          <w:sz w:val="16"/>
          <w:szCs w:val="16"/>
          <w:lang w:val="es-ES_tradnl"/>
        </w:rPr>
        <w:t xml:space="preserve">ores Ministros, para que en </w:t>
      </w:r>
      <w:r>
        <w:rPr>
          <w:spacing w:val="-5"/>
          <w:sz w:val="16"/>
          <w:szCs w:val="16"/>
          <w:lang w:val="es-ES_tradnl"/>
        </w:rPr>
        <w:t>aplicaci</w:t>
      </w:r>
      <w:r>
        <w:rPr>
          <w:rFonts w:cs="Times New Roman"/>
          <w:spacing w:val="-5"/>
          <w:sz w:val="16"/>
          <w:szCs w:val="16"/>
          <w:lang w:val="es-ES_tradnl"/>
        </w:rPr>
        <w:t>ó</w:t>
      </w:r>
      <w:r>
        <w:rPr>
          <w:spacing w:val="-5"/>
          <w:sz w:val="16"/>
          <w:szCs w:val="16"/>
          <w:lang w:val="es-ES_tradnl"/>
        </w:rPr>
        <w:t>n de lo que disponen los Arts. 95 de la Constituci</w:t>
      </w:r>
      <w:r>
        <w:rPr>
          <w:rFonts w:cs="Times New Roman"/>
          <w:spacing w:val="-5"/>
          <w:sz w:val="16"/>
          <w:szCs w:val="16"/>
          <w:lang w:val="es-ES_tradnl"/>
        </w:rPr>
        <w:t>ó</w:t>
      </w:r>
      <w:r>
        <w:rPr>
          <w:spacing w:val="-5"/>
          <w:sz w:val="16"/>
          <w:szCs w:val="16"/>
          <w:lang w:val="es-ES_tradnl"/>
        </w:rPr>
        <w:t xml:space="preserve">n </w:t>
      </w:r>
      <w:r>
        <w:rPr>
          <w:spacing w:val="-1"/>
          <w:sz w:val="16"/>
          <w:szCs w:val="16"/>
          <w:lang w:val="es-ES_tradnl"/>
        </w:rPr>
        <w:t>Pol</w:t>
      </w:r>
      <w:r>
        <w:rPr>
          <w:rFonts w:cs="Times New Roman"/>
          <w:spacing w:val="-1"/>
          <w:sz w:val="16"/>
          <w:szCs w:val="16"/>
          <w:lang w:val="es-ES_tradnl"/>
        </w:rPr>
        <w:t>í</w:t>
      </w:r>
      <w:r>
        <w:rPr>
          <w:spacing w:val="-1"/>
          <w:sz w:val="16"/>
          <w:szCs w:val="16"/>
          <w:lang w:val="es-ES_tradnl"/>
        </w:rPr>
        <w:t>tica de la Rep</w:t>
      </w:r>
      <w:r>
        <w:rPr>
          <w:rFonts w:cs="Times New Roman"/>
          <w:spacing w:val="-1"/>
          <w:sz w:val="16"/>
          <w:szCs w:val="16"/>
          <w:lang w:val="es-ES_tradnl"/>
        </w:rPr>
        <w:t>ú</w:t>
      </w:r>
      <w:r>
        <w:rPr>
          <w:spacing w:val="-1"/>
          <w:sz w:val="16"/>
          <w:szCs w:val="16"/>
          <w:lang w:val="es-ES_tradnl"/>
        </w:rPr>
        <w:t xml:space="preserve">blica y 46 y siguientes de la Ley de </w:t>
      </w:r>
      <w:r>
        <w:rPr>
          <w:spacing w:val="-5"/>
          <w:sz w:val="16"/>
          <w:szCs w:val="16"/>
          <w:lang w:val="es-ES_tradnl"/>
        </w:rPr>
        <w:t xml:space="preserve">Control Constitucional, en lo que sean aplicables se sirvan </w:t>
      </w:r>
      <w:r>
        <w:rPr>
          <w:spacing w:val="-9"/>
          <w:sz w:val="16"/>
          <w:szCs w:val="16"/>
          <w:lang w:val="es-ES_tradnl"/>
        </w:rPr>
        <w:t xml:space="preserve">adoptar las medidas urgentes y necesarias destinadas a cesar, </w:t>
      </w:r>
      <w:r>
        <w:rPr>
          <w:spacing w:val="-6"/>
          <w:sz w:val="16"/>
          <w:szCs w:val="16"/>
          <w:lang w:val="es-ES_tradnl"/>
        </w:rPr>
        <w:t>evitar y remediar el da</w:t>
      </w:r>
      <w:r>
        <w:rPr>
          <w:rFonts w:cs="Times New Roman"/>
          <w:spacing w:val="-6"/>
          <w:sz w:val="16"/>
          <w:szCs w:val="16"/>
          <w:lang w:val="es-ES_tradnl"/>
        </w:rPr>
        <w:t>ñ</w:t>
      </w:r>
      <w:r>
        <w:rPr>
          <w:spacing w:val="-6"/>
          <w:sz w:val="16"/>
          <w:szCs w:val="16"/>
          <w:lang w:val="es-ES_tradnl"/>
        </w:rPr>
        <w:t>o causado contenido en la acci</w:t>
      </w:r>
      <w:r>
        <w:rPr>
          <w:rFonts w:cs="Times New Roman"/>
          <w:spacing w:val="-6"/>
          <w:sz w:val="16"/>
          <w:szCs w:val="16"/>
          <w:lang w:val="es-ES_tradnl"/>
        </w:rPr>
        <w:t>ó</w:t>
      </w:r>
      <w:r>
        <w:rPr>
          <w:spacing w:val="-6"/>
          <w:sz w:val="16"/>
          <w:szCs w:val="16"/>
          <w:lang w:val="es-ES_tradnl"/>
        </w:rPr>
        <w:t xml:space="preserve">n de </w:t>
      </w:r>
      <w:r>
        <w:rPr>
          <w:spacing w:val="-7"/>
          <w:sz w:val="16"/>
          <w:szCs w:val="16"/>
          <w:lang w:val="es-ES_tradnl"/>
        </w:rPr>
        <w:t xml:space="preserve">personal recibida, con la cual se me destituye de mi puesto de </w:t>
      </w:r>
      <w:r>
        <w:rPr>
          <w:spacing w:val="-4"/>
          <w:sz w:val="16"/>
          <w:szCs w:val="16"/>
          <w:lang w:val="es-ES_tradnl"/>
        </w:rPr>
        <w:t xml:space="preserve">trabajo emitido por la autoridad demandada, que ha violado </w:t>
      </w:r>
      <w:r>
        <w:rPr>
          <w:spacing w:val="-7"/>
          <w:sz w:val="16"/>
          <w:szCs w:val="16"/>
          <w:lang w:val="es-ES_tradnl"/>
        </w:rPr>
        <w:t>fl agrantemente lo que ordena la Declaraci</w:t>
      </w:r>
      <w:r>
        <w:rPr>
          <w:rFonts w:cs="Times New Roman"/>
          <w:spacing w:val="-7"/>
          <w:sz w:val="16"/>
          <w:szCs w:val="16"/>
          <w:lang w:val="es-ES_tradnl"/>
        </w:rPr>
        <w:t>ó</w:t>
      </w:r>
      <w:r>
        <w:rPr>
          <w:spacing w:val="-7"/>
          <w:sz w:val="16"/>
          <w:szCs w:val="16"/>
          <w:lang w:val="es-ES_tradnl"/>
        </w:rPr>
        <w:t xml:space="preserve">n de los Derechos </w:t>
      </w:r>
      <w:r>
        <w:rPr>
          <w:spacing w:val="-5"/>
          <w:sz w:val="16"/>
          <w:szCs w:val="16"/>
          <w:lang w:val="es-ES_tradnl"/>
        </w:rPr>
        <w:t>Humanos, la Constituci</w:t>
      </w:r>
      <w:r>
        <w:rPr>
          <w:rFonts w:cs="Times New Roman"/>
          <w:spacing w:val="-5"/>
          <w:sz w:val="16"/>
          <w:szCs w:val="16"/>
          <w:lang w:val="es-ES_tradnl"/>
        </w:rPr>
        <w:t>ó</w:t>
      </w:r>
      <w:r>
        <w:rPr>
          <w:spacing w:val="-5"/>
          <w:sz w:val="16"/>
          <w:szCs w:val="16"/>
          <w:lang w:val="es-ES_tradnl"/>
        </w:rPr>
        <w:t>n Pol</w:t>
      </w:r>
      <w:r>
        <w:rPr>
          <w:rFonts w:cs="Times New Roman"/>
          <w:spacing w:val="-5"/>
          <w:sz w:val="16"/>
          <w:szCs w:val="16"/>
          <w:lang w:val="es-ES_tradnl"/>
        </w:rPr>
        <w:t>í</w:t>
      </w:r>
      <w:r>
        <w:rPr>
          <w:spacing w:val="-5"/>
          <w:sz w:val="16"/>
          <w:szCs w:val="16"/>
          <w:lang w:val="es-ES_tradnl"/>
        </w:rPr>
        <w:t>tica de la Rep</w:t>
      </w:r>
      <w:r>
        <w:rPr>
          <w:rFonts w:cs="Times New Roman"/>
          <w:spacing w:val="-5"/>
          <w:sz w:val="16"/>
          <w:szCs w:val="16"/>
          <w:lang w:val="es-ES_tradnl"/>
        </w:rPr>
        <w:t>ú</w:t>
      </w:r>
      <w:r>
        <w:rPr>
          <w:spacing w:val="-5"/>
          <w:sz w:val="16"/>
          <w:szCs w:val="16"/>
          <w:lang w:val="es-ES_tradnl"/>
        </w:rPr>
        <w:t xml:space="preserve">blica, la Ley de </w:t>
      </w:r>
      <w:r>
        <w:rPr>
          <w:spacing w:val="-1"/>
          <w:sz w:val="16"/>
          <w:szCs w:val="16"/>
          <w:lang w:val="es-ES_tradnl"/>
        </w:rPr>
        <w:t>Modernizaci</w:t>
      </w:r>
      <w:r>
        <w:rPr>
          <w:rFonts w:cs="Times New Roman"/>
          <w:spacing w:val="-1"/>
          <w:sz w:val="16"/>
          <w:szCs w:val="16"/>
          <w:lang w:val="es-ES_tradnl"/>
        </w:rPr>
        <w:t>ó</w:t>
      </w:r>
      <w:r>
        <w:rPr>
          <w:spacing w:val="-1"/>
          <w:sz w:val="16"/>
          <w:szCs w:val="16"/>
          <w:lang w:val="es-ES_tradnl"/>
        </w:rPr>
        <w:t>n del Estado, Ley Org</w:t>
      </w:r>
      <w:r>
        <w:rPr>
          <w:rFonts w:cs="Times New Roman"/>
          <w:spacing w:val="-1"/>
          <w:sz w:val="16"/>
          <w:szCs w:val="16"/>
          <w:lang w:val="es-ES_tradnl"/>
        </w:rPr>
        <w:t>á</w:t>
      </w:r>
      <w:r>
        <w:rPr>
          <w:spacing w:val="-1"/>
          <w:sz w:val="16"/>
          <w:szCs w:val="16"/>
          <w:lang w:val="es-ES_tradnl"/>
        </w:rPr>
        <w:t xml:space="preserve">nica de Servicio Civil </w:t>
      </w:r>
      <w:r>
        <w:rPr>
          <w:spacing w:val="-3"/>
          <w:sz w:val="16"/>
          <w:szCs w:val="16"/>
          <w:lang w:val="es-ES_tradnl"/>
        </w:rPr>
        <w:t>y Carrera Administrativa y de Unificaci</w:t>
      </w:r>
      <w:r>
        <w:rPr>
          <w:rFonts w:cs="Times New Roman"/>
          <w:spacing w:val="-3"/>
          <w:sz w:val="16"/>
          <w:szCs w:val="16"/>
          <w:lang w:val="es-ES_tradnl"/>
        </w:rPr>
        <w:t>ó</w:t>
      </w:r>
      <w:r>
        <w:rPr>
          <w:spacing w:val="-3"/>
          <w:sz w:val="16"/>
          <w:szCs w:val="16"/>
          <w:lang w:val="es-ES_tradnl"/>
        </w:rPr>
        <w:t>n y Homologaci</w:t>
      </w:r>
      <w:r>
        <w:rPr>
          <w:rFonts w:cs="Times New Roman"/>
          <w:spacing w:val="-3"/>
          <w:sz w:val="16"/>
          <w:szCs w:val="16"/>
          <w:lang w:val="es-ES_tradnl"/>
        </w:rPr>
        <w:t>ó</w:t>
      </w:r>
      <w:r>
        <w:rPr>
          <w:spacing w:val="-3"/>
          <w:sz w:val="16"/>
          <w:szCs w:val="16"/>
          <w:lang w:val="es-ES_tradnl"/>
        </w:rPr>
        <w:t xml:space="preserve">n </w:t>
      </w:r>
      <w:r>
        <w:rPr>
          <w:spacing w:val="-1"/>
          <w:sz w:val="16"/>
          <w:szCs w:val="16"/>
          <w:lang w:val="es-ES_tradnl"/>
        </w:rPr>
        <w:t>de las Remuneraciones del Sector P</w:t>
      </w:r>
      <w:r>
        <w:rPr>
          <w:rFonts w:cs="Times New Roman"/>
          <w:spacing w:val="-1"/>
          <w:sz w:val="16"/>
          <w:szCs w:val="16"/>
          <w:lang w:val="es-ES_tradnl"/>
        </w:rPr>
        <w:t>ú</w:t>
      </w:r>
      <w:r>
        <w:rPr>
          <w:spacing w:val="-1"/>
          <w:sz w:val="16"/>
          <w:szCs w:val="16"/>
          <w:lang w:val="es-ES_tradnl"/>
        </w:rPr>
        <w:t xml:space="preserve">blico, sus reformas </w:t>
      </w:r>
      <w:r>
        <w:rPr>
          <w:spacing w:val="-5"/>
          <w:sz w:val="16"/>
          <w:szCs w:val="16"/>
          <w:lang w:val="es-ES_tradnl"/>
        </w:rPr>
        <w:t>y su Reglamento (</w:t>
      </w:r>
      <w:r>
        <w:rPr>
          <w:rFonts w:cs="Times New Roman"/>
          <w:spacing w:val="-5"/>
          <w:sz w:val="16"/>
          <w:szCs w:val="16"/>
          <w:lang w:val="es-ES_tradnl"/>
        </w:rPr>
        <w:t>…</w:t>
      </w:r>
      <w:r>
        <w:rPr>
          <w:spacing w:val="-5"/>
          <w:sz w:val="16"/>
          <w:szCs w:val="16"/>
          <w:lang w:val="es-ES_tradnl"/>
        </w:rPr>
        <w:t>) Y as</w:t>
      </w:r>
      <w:r>
        <w:rPr>
          <w:rFonts w:cs="Times New Roman"/>
          <w:spacing w:val="-5"/>
          <w:sz w:val="16"/>
          <w:szCs w:val="16"/>
          <w:lang w:val="es-ES_tradnl"/>
        </w:rPr>
        <w:t>í</w:t>
      </w:r>
      <w:r>
        <w:rPr>
          <w:spacing w:val="-5"/>
          <w:sz w:val="16"/>
          <w:szCs w:val="16"/>
          <w:lang w:val="es-ES_tradnl"/>
        </w:rPr>
        <w:t xml:space="preserve"> mismo pido a ustedes muy </w:t>
      </w:r>
      <w:r>
        <w:rPr>
          <w:spacing w:val="-11"/>
          <w:sz w:val="16"/>
          <w:szCs w:val="16"/>
          <w:lang w:val="es-ES_tradnl"/>
        </w:rPr>
        <w:t xml:space="preserve">respetuosamente que en su </w:t>
      </w:r>
      <w:r>
        <w:rPr>
          <w:b/>
          <w:bCs/>
          <w:spacing w:val="-11"/>
          <w:sz w:val="16"/>
          <w:szCs w:val="16"/>
          <w:lang w:val="es-ES_tradnl"/>
        </w:rPr>
        <w:t>Resoluci</w:t>
      </w:r>
      <w:r>
        <w:rPr>
          <w:rFonts w:cs="Times New Roman"/>
          <w:b/>
          <w:bCs/>
          <w:spacing w:val="-11"/>
          <w:sz w:val="16"/>
          <w:szCs w:val="16"/>
          <w:lang w:val="es-ES_tradnl"/>
        </w:rPr>
        <w:t>ó</w:t>
      </w:r>
      <w:r>
        <w:rPr>
          <w:b/>
          <w:bCs/>
          <w:spacing w:val="-11"/>
          <w:sz w:val="16"/>
          <w:szCs w:val="16"/>
          <w:lang w:val="es-ES_tradnl"/>
        </w:rPr>
        <w:t xml:space="preserve">n sustentada en estricto </w:t>
      </w:r>
      <w:r>
        <w:rPr>
          <w:b/>
          <w:bCs/>
          <w:spacing w:val="-8"/>
          <w:sz w:val="16"/>
          <w:szCs w:val="16"/>
          <w:lang w:val="es-ES_tradnl"/>
        </w:rPr>
        <w:t>derecho, se admita la Acci</w:t>
      </w:r>
      <w:r>
        <w:rPr>
          <w:rFonts w:cs="Times New Roman"/>
          <w:b/>
          <w:bCs/>
          <w:spacing w:val="-8"/>
          <w:sz w:val="16"/>
          <w:szCs w:val="16"/>
          <w:lang w:val="es-ES_tradnl"/>
        </w:rPr>
        <w:t>ó</w:t>
      </w:r>
      <w:r>
        <w:rPr>
          <w:b/>
          <w:bCs/>
          <w:spacing w:val="-8"/>
          <w:sz w:val="16"/>
          <w:szCs w:val="16"/>
          <w:lang w:val="es-ES_tradnl"/>
        </w:rPr>
        <w:t xml:space="preserve">n de Amparo Constitucional a mi favor y se ordene al Doctor Jhony [sic] Vinuesa [sic] L., </w:t>
      </w:r>
      <w:r>
        <w:rPr>
          <w:b/>
          <w:bCs/>
          <w:spacing w:val="-4"/>
          <w:sz w:val="16"/>
          <w:szCs w:val="16"/>
          <w:lang w:val="es-ES_tradnl"/>
        </w:rPr>
        <w:t xml:space="preserve">Director del Hospital de Colta, mi reintegro a mi puesto </w:t>
      </w:r>
      <w:r>
        <w:rPr>
          <w:b/>
          <w:bCs/>
          <w:spacing w:val="-9"/>
          <w:sz w:val="16"/>
          <w:szCs w:val="16"/>
          <w:lang w:val="es-ES_tradnl"/>
        </w:rPr>
        <w:t xml:space="preserve">de trabajo y al pago de todos los haberes que he dejado de </w:t>
      </w:r>
      <w:r>
        <w:rPr>
          <w:b/>
          <w:bCs/>
          <w:sz w:val="16"/>
          <w:szCs w:val="16"/>
          <w:lang w:val="es-ES_tradnl"/>
        </w:rPr>
        <w:t>percibir hasta la fecha de mi restituci</w:t>
      </w:r>
      <w:r>
        <w:rPr>
          <w:rFonts w:cs="Times New Roman"/>
          <w:b/>
          <w:bCs/>
          <w:sz w:val="16"/>
          <w:szCs w:val="16"/>
          <w:lang w:val="es-ES_tradnl"/>
        </w:rPr>
        <w:t>ó</w:t>
      </w:r>
      <w:r>
        <w:rPr>
          <w:b/>
          <w:bCs/>
          <w:sz w:val="16"/>
          <w:szCs w:val="16"/>
          <w:lang w:val="es-ES_tradnl"/>
        </w:rPr>
        <w:t>n</w:t>
      </w:r>
      <w:r>
        <w:rPr>
          <w:sz w:val="16"/>
          <w:szCs w:val="16"/>
          <w:lang w:val="es-ES_tradnl"/>
        </w:rPr>
        <w:t>.</w:t>
      </w:r>
    </w:p>
    <w:p w14:paraId="4F67A960" w14:textId="77777777" w:rsidR="00591D54" w:rsidRDefault="00591D54">
      <w:pPr>
        <w:shd w:val="clear" w:color="auto" w:fill="FFFFFF"/>
        <w:spacing w:before="202" w:line="216" w:lineRule="exact"/>
        <w:jc w:val="both"/>
      </w:pPr>
      <w:r>
        <w:rPr>
          <w:spacing w:val="-6"/>
          <w:sz w:val="18"/>
          <w:szCs w:val="18"/>
          <w:lang w:val="es-ES_tradnl"/>
        </w:rPr>
        <w:t>As</w:t>
      </w:r>
      <w:r>
        <w:rPr>
          <w:rFonts w:cs="Times New Roman"/>
          <w:spacing w:val="-6"/>
          <w:sz w:val="18"/>
          <w:szCs w:val="18"/>
          <w:lang w:val="es-ES_tradnl"/>
        </w:rPr>
        <w:t>í</w:t>
      </w:r>
      <w:r>
        <w:rPr>
          <w:spacing w:val="-6"/>
          <w:sz w:val="18"/>
          <w:szCs w:val="18"/>
          <w:lang w:val="es-ES_tradnl"/>
        </w:rPr>
        <w:t xml:space="preserve">, esta Corte estima que la sentencia dictada el 03 de </w:t>
      </w:r>
      <w:r>
        <w:rPr>
          <w:spacing w:val="-3"/>
          <w:sz w:val="18"/>
          <w:szCs w:val="18"/>
          <w:lang w:val="es-ES_tradnl"/>
        </w:rPr>
        <w:t xml:space="preserve">junio de 2008, por la Primera Sala del Tribunal Distrital </w:t>
      </w:r>
      <w:r>
        <w:rPr>
          <w:spacing w:val="-5"/>
          <w:sz w:val="18"/>
          <w:szCs w:val="18"/>
          <w:lang w:val="es-ES_tradnl"/>
        </w:rPr>
        <w:t>N.</w:t>
      </w:r>
      <w:r>
        <w:rPr>
          <w:rFonts w:cs="Times New Roman"/>
          <w:spacing w:val="-5"/>
          <w:sz w:val="18"/>
          <w:szCs w:val="18"/>
          <w:lang w:val="es-ES_tradnl"/>
        </w:rPr>
        <w:t>º</w:t>
      </w:r>
      <w:r>
        <w:rPr>
          <w:spacing w:val="-5"/>
          <w:sz w:val="18"/>
          <w:szCs w:val="18"/>
          <w:lang w:val="es-ES_tradnl"/>
        </w:rPr>
        <w:t xml:space="preserve"> 1 de lo Contencioso Administrativo y confirmada por </w:t>
      </w:r>
      <w:r>
        <w:rPr>
          <w:spacing w:val="-7"/>
          <w:sz w:val="18"/>
          <w:szCs w:val="18"/>
          <w:lang w:val="es-ES_tradnl"/>
        </w:rPr>
        <w:t>la Primera Sala de la Corte Constitucional, para el per</w:t>
      </w:r>
      <w:r>
        <w:rPr>
          <w:rFonts w:cs="Times New Roman"/>
          <w:spacing w:val="-7"/>
          <w:sz w:val="18"/>
          <w:szCs w:val="18"/>
          <w:lang w:val="es-ES_tradnl"/>
        </w:rPr>
        <w:t>í</w:t>
      </w:r>
      <w:r>
        <w:rPr>
          <w:spacing w:val="-7"/>
          <w:sz w:val="18"/>
          <w:szCs w:val="18"/>
          <w:lang w:val="es-ES_tradnl"/>
        </w:rPr>
        <w:t xml:space="preserve">odo </w:t>
      </w:r>
      <w:r>
        <w:rPr>
          <w:spacing w:val="-6"/>
          <w:sz w:val="18"/>
          <w:szCs w:val="18"/>
          <w:lang w:val="es-ES_tradnl"/>
        </w:rPr>
        <w:t>de transici</w:t>
      </w:r>
      <w:r>
        <w:rPr>
          <w:rFonts w:cs="Times New Roman"/>
          <w:spacing w:val="-6"/>
          <w:sz w:val="18"/>
          <w:szCs w:val="18"/>
          <w:lang w:val="es-ES_tradnl"/>
        </w:rPr>
        <w:t>ó</w:t>
      </w:r>
      <w:r>
        <w:rPr>
          <w:spacing w:val="-6"/>
          <w:sz w:val="18"/>
          <w:szCs w:val="18"/>
          <w:lang w:val="es-ES_tradnl"/>
        </w:rPr>
        <w:t xml:space="preserve">n, el 05 de marzo de 2009, al haber aceptado </w:t>
      </w:r>
      <w:r>
        <w:rPr>
          <w:spacing w:val="-7"/>
          <w:sz w:val="18"/>
          <w:szCs w:val="18"/>
          <w:lang w:val="es-ES_tradnl"/>
        </w:rPr>
        <w:t>el amparo en los t</w:t>
      </w:r>
      <w:r>
        <w:rPr>
          <w:rFonts w:cs="Times New Roman"/>
          <w:spacing w:val="-7"/>
          <w:sz w:val="18"/>
          <w:szCs w:val="18"/>
          <w:lang w:val="es-ES_tradnl"/>
        </w:rPr>
        <w:t>é</w:t>
      </w:r>
      <w:r>
        <w:rPr>
          <w:spacing w:val="-7"/>
          <w:sz w:val="18"/>
          <w:szCs w:val="18"/>
          <w:lang w:val="es-ES_tradnl"/>
        </w:rPr>
        <w:t>rminos propuestos por la accionante, contempla como reparaci</w:t>
      </w:r>
      <w:r>
        <w:rPr>
          <w:rFonts w:cs="Times New Roman"/>
          <w:spacing w:val="-7"/>
          <w:sz w:val="18"/>
          <w:szCs w:val="18"/>
          <w:lang w:val="es-ES_tradnl"/>
        </w:rPr>
        <w:t>ó</w:t>
      </w:r>
      <w:r>
        <w:rPr>
          <w:spacing w:val="-7"/>
          <w:sz w:val="18"/>
          <w:szCs w:val="18"/>
          <w:lang w:val="es-ES_tradnl"/>
        </w:rPr>
        <w:t xml:space="preserve">n integral el restablecimiento de </w:t>
      </w:r>
      <w:r>
        <w:rPr>
          <w:spacing w:val="-8"/>
          <w:sz w:val="18"/>
          <w:szCs w:val="18"/>
          <w:lang w:val="es-ES_tradnl"/>
        </w:rPr>
        <w:t>la situaci</w:t>
      </w:r>
      <w:r>
        <w:rPr>
          <w:rFonts w:cs="Times New Roman"/>
          <w:spacing w:val="-8"/>
          <w:sz w:val="18"/>
          <w:szCs w:val="18"/>
          <w:lang w:val="es-ES_tradnl"/>
        </w:rPr>
        <w:t>ó</w:t>
      </w:r>
      <w:r>
        <w:rPr>
          <w:spacing w:val="-8"/>
          <w:sz w:val="18"/>
          <w:szCs w:val="18"/>
          <w:lang w:val="es-ES_tradnl"/>
        </w:rPr>
        <w:t>n anterior a la violaci</w:t>
      </w:r>
      <w:r>
        <w:rPr>
          <w:rFonts w:cs="Times New Roman"/>
          <w:spacing w:val="-8"/>
          <w:sz w:val="18"/>
          <w:szCs w:val="18"/>
          <w:lang w:val="es-ES_tradnl"/>
        </w:rPr>
        <w:t>ó</w:t>
      </w:r>
      <w:r>
        <w:rPr>
          <w:spacing w:val="-8"/>
          <w:sz w:val="18"/>
          <w:szCs w:val="18"/>
          <w:lang w:val="es-ES_tradnl"/>
        </w:rPr>
        <w:t>n de sus derechos, a trav</w:t>
      </w:r>
      <w:r>
        <w:rPr>
          <w:rFonts w:cs="Times New Roman"/>
          <w:spacing w:val="-8"/>
          <w:sz w:val="18"/>
          <w:szCs w:val="18"/>
          <w:lang w:val="es-ES_tradnl"/>
        </w:rPr>
        <w:t>é</w:t>
      </w:r>
      <w:r>
        <w:rPr>
          <w:spacing w:val="-8"/>
          <w:sz w:val="18"/>
          <w:szCs w:val="18"/>
          <w:lang w:val="es-ES_tradnl"/>
        </w:rPr>
        <w:t xml:space="preserve">s </w:t>
      </w:r>
      <w:r>
        <w:rPr>
          <w:spacing w:val="-7"/>
          <w:sz w:val="18"/>
          <w:szCs w:val="18"/>
          <w:lang w:val="es-ES_tradnl"/>
        </w:rPr>
        <w:t>del reintegro a sus funciones y la debida compensaci</w:t>
      </w:r>
      <w:r>
        <w:rPr>
          <w:rFonts w:cs="Times New Roman"/>
          <w:spacing w:val="-7"/>
          <w:sz w:val="18"/>
          <w:szCs w:val="18"/>
          <w:lang w:val="es-ES_tradnl"/>
        </w:rPr>
        <w:t>ó</w:t>
      </w:r>
      <w:r>
        <w:rPr>
          <w:spacing w:val="-7"/>
          <w:sz w:val="18"/>
          <w:szCs w:val="18"/>
          <w:lang w:val="es-ES_tradnl"/>
        </w:rPr>
        <w:t>n econ</w:t>
      </w:r>
      <w:r>
        <w:rPr>
          <w:rFonts w:cs="Times New Roman"/>
          <w:spacing w:val="-7"/>
          <w:sz w:val="18"/>
          <w:szCs w:val="18"/>
          <w:lang w:val="es-ES_tradnl"/>
        </w:rPr>
        <w:t>ó</w:t>
      </w:r>
      <w:r>
        <w:rPr>
          <w:spacing w:val="-7"/>
          <w:sz w:val="18"/>
          <w:szCs w:val="18"/>
          <w:lang w:val="es-ES_tradnl"/>
        </w:rPr>
        <w:t xml:space="preserve">mica por los haberes dejados de percibir durante el </w:t>
      </w:r>
      <w:r>
        <w:rPr>
          <w:sz w:val="18"/>
          <w:szCs w:val="18"/>
          <w:lang w:val="es-ES_tradnl"/>
        </w:rPr>
        <w:t>tiempo en que estuvo cesada.</w:t>
      </w:r>
    </w:p>
    <w:p w14:paraId="4F67A961" w14:textId="77777777" w:rsidR="00591D54" w:rsidRDefault="00591D54">
      <w:pPr>
        <w:shd w:val="clear" w:color="auto" w:fill="FFFFFF"/>
        <w:spacing w:before="197" w:line="216" w:lineRule="exact"/>
        <w:jc w:val="both"/>
      </w:pPr>
      <w:r>
        <w:rPr>
          <w:spacing w:val="-7"/>
          <w:sz w:val="18"/>
          <w:szCs w:val="18"/>
          <w:lang w:val="es-ES_tradnl"/>
        </w:rPr>
        <w:t xml:space="preserve">Una vez analizado el expediente constitucional, esta Corte </w:t>
      </w:r>
      <w:r>
        <w:rPr>
          <w:spacing w:val="-9"/>
          <w:sz w:val="18"/>
          <w:szCs w:val="18"/>
          <w:lang w:val="es-ES_tradnl"/>
        </w:rPr>
        <w:t>ha encontrado que en virtud de lo ordenado en la resoluci</w:t>
      </w:r>
      <w:r>
        <w:rPr>
          <w:rFonts w:cs="Times New Roman"/>
          <w:spacing w:val="-9"/>
          <w:sz w:val="18"/>
          <w:szCs w:val="18"/>
          <w:lang w:val="es-ES_tradnl"/>
        </w:rPr>
        <w:t>ó</w:t>
      </w:r>
      <w:r>
        <w:rPr>
          <w:spacing w:val="-9"/>
          <w:sz w:val="18"/>
          <w:szCs w:val="18"/>
          <w:lang w:val="es-ES_tradnl"/>
        </w:rPr>
        <w:t xml:space="preserve">n </w:t>
      </w:r>
      <w:r>
        <w:rPr>
          <w:spacing w:val="-7"/>
          <w:sz w:val="18"/>
          <w:szCs w:val="18"/>
          <w:lang w:val="es-ES_tradnl"/>
        </w:rPr>
        <w:t>dictada por el Tribunal de instancia, la Direcci</w:t>
      </w:r>
      <w:r>
        <w:rPr>
          <w:rFonts w:cs="Times New Roman"/>
          <w:spacing w:val="-7"/>
          <w:sz w:val="18"/>
          <w:szCs w:val="18"/>
          <w:lang w:val="es-ES_tradnl"/>
        </w:rPr>
        <w:t>ó</w:t>
      </w:r>
      <w:r>
        <w:rPr>
          <w:spacing w:val="-7"/>
          <w:sz w:val="18"/>
          <w:szCs w:val="18"/>
          <w:lang w:val="es-ES_tradnl"/>
        </w:rPr>
        <w:t xml:space="preserve">n Provincial </w:t>
      </w:r>
      <w:r>
        <w:rPr>
          <w:spacing w:val="-3"/>
          <w:sz w:val="18"/>
          <w:szCs w:val="18"/>
          <w:lang w:val="es-ES_tradnl"/>
        </w:rPr>
        <w:t>de Chimborazo y el Hospital de Colta, mediante acci</w:t>
      </w:r>
      <w:r>
        <w:rPr>
          <w:rFonts w:cs="Times New Roman"/>
          <w:spacing w:val="-3"/>
          <w:sz w:val="18"/>
          <w:szCs w:val="18"/>
          <w:lang w:val="es-ES_tradnl"/>
        </w:rPr>
        <w:t>ó</w:t>
      </w:r>
      <w:r>
        <w:rPr>
          <w:spacing w:val="-3"/>
          <w:sz w:val="18"/>
          <w:szCs w:val="18"/>
          <w:lang w:val="es-ES_tradnl"/>
        </w:rPr>
        <w:t xml:space="preserve">n </w:t>
      </w:r>
      <w:r>
        <w:rPr>
          <w:spacing w:val="-7"/>
          <w:sz w:val="18"/>
          <w:szCs w:val="18"/>
          <w:lang w:val="es-ES_tradnl"/>
        </w:rPr>
        <w:t>de personal signada con el N.</w:t>
      </w:r>
      <w:r>
        <w:rPr>
          <w:rFonts w:cs="Times New Roman"/>
          <w:spacing w:val="-7"/>
          <w:sz w:val="18"/>
          <w:szCs w:val="18"/>
          <w:lang w:val="es-ES_tradnl"/>
        </w:rPr>
        <w:t>º</w:t>
      </w:r>
      <w:r>
        <w:rPr>
          <w:spacing w:val="-7"/>
          <w:sz w:val="18"/>
          <w:szCs w:val="18"/>
          <w:lang w:val="es-ES_tradnl"/>
        </w:rPr>
        <w:t xml:space="preserve"> DPSCH-HPEC-DP 0215, </w:t>
      </w:r>
      <w:r>
        <w:rPr>
          <w:spacing w:val="-8"/>
          <w:sz w:val="18"/>
          <w:szCs w:val="18"/>
          <w:lang w:val="es-ES_tradnl"/>
        </w:rPr>
        <w:t xml:space="preserve">emitida el 28 de mayo de 2008, y cuya copia consta a fojas </w:t>
      </w:r>
      <w:r>
        <w:rPr>
          <w:spacing w:val="-9"/>
          <w:sz w:val="18"/>
          <w:szCs w:val="18"/>
          <w:lang w:val="es-ES_tradnl"/>
        </w:rPr>
        <w:t xml:space="preserve">7 del expediente constitucional, restituyeron a sus funciones </w:t>
      </w:r>
      <w:r>
        <w:rPr>
          <w:spacing w:val="-6"/>
          <w:sz w:val="18"/>
          <w:szCs w:val="18"/>
          <w:lang w:val="es-ES_tradnl"/>
        </w:rPr>
        <w:t>a la doctora Mar</w:t>
      </w:r>
      <w:r>
        <w:rPr>
          <w:rFonts w:cs="Times New Roman"/>
          <w:spacing w:val="-6"/>
          <w:sz w:val="18"/>
          <w:szCs w:val="18"/>
          <w:lang w:val="es-ES_tradnl"/>
        </w:rPr>
        <w:t>í</w:t>
      </w:r>
      <w:r>
        <w:rPr>
          <w:spacing w:val="-6"/>
          <w:sz w:val="18"/>
          <w:szCs w:val="18"/>
          <w:lang w:val="es-ES_tradnl"/>
        </w:rPr>
        <w:t xml:space="preserve">a Paca Ajitimbay esto es, al puesto de </w:t>
      </w:r>
      <w:r>
        <w:rPr>
          <w:sz w:val="18"/>
          <w:szCs w:val="18"/>
          <w:lang w:val="es-ES_tradnl"/>
        </w:rPr>
        <w:t>m</w:t>
      </w:r>
      <w:r>
        <w:rPr>
          <w:rFonts w:cs="Times New Roman"/>
          <w:sz w:val="18"/>
          <w:szCs w:val="18"/>
          <w:lang w:val="es-ES_tradnl"/>
        </w:rPr>
        <w:t>é</w:t>
      </w:r>
      <w:r>
        <w:rPr>
          <w:sz w:val="18"/>
          <w:szCs w:val="18"/>
          <w:lang w:val="es-ES_tradnl"/>
        </w:rPr>
        <w:t>dico residente 1-8-HD.</w:t>
      </w:r>
    </w:p>
    <w:p w14:paraId="4F67A962" w14:textId="77777777" w:rsidR="00591D54" w:rsidRDefault="00591D54">
      <w:pPr>
        <w:shd w:val="clear" w:color="auto" w:fill="FFFFFF"/>
        <w:spacing w:before="197" w:line="216" w:lineRule="exact"/>
        <w:jc w:val="both"/>
      </w:pPr>
      <w:r>
        <w:rPr>
          <w:spacing w:val="-8"/>
          <w:sz w:val="18"/>
          <w:szCs w:val="18"/>
          <w:lang w:val="es-ES_tradnl"/>
        </w:rPr>
        <w:t>As</w:t>
      </w:r>
      <w:r>
        <w:rPr>
          <w:rFonts w:cs="Times New Roman"/>
          <w:spacing w:val="-8"/>
          <w:sz w:val="18"/>
          <w:szCs w:val="18"/>
          <w:lang w:val="es-ES_tradnl"/>
        </w:rPr>
        <w:t>í</w:t>
      </w:r>
      <w:r>
        <w:rPr>
          <w:spacing w:val="-8"/>
          <w:sz w:val="18"/>
          <w:szCs w:val="18"/>
          <w:lang w:val="es-ES_tradnl"/>
        </w:rPr>
        <w:t>, a partir de la documentaci</w:t>
      </w:r>
      <w:r>
        <w:rPr>
          <w:rFonts w:cs="Times New Roman"/>
          <w:spacing w:val="-8"/>
          <w:sz w:val="18"/>
          <w:szCs w:val="18"/>
          <w:lang w:val="es-ES_tradnl"/>
        </w:rPr>
        <w:t>ó</w:t>
      </w:r>
      <w:r>
        <w:rPr>
          <w:spacing w:val="-8"/>
          <w:sz w:val="18"/>
          <w:szCs w:val="18"/>
          <w:lang w:val="es-ES_tradnl"/>
        </w:rPr>
        <w:t>n referida, que consta en el expediente, y conforme a lo expuesto por ambas partes en la audiencia p</w:t>
      </w:r>
      <w:r>
        <w:rPr>
          <w:rFonts w:cs="Times New Roman"/>
          <w:spacing w:val="-8"/>
          <w:sz w:val="18"/>
          <w:szCs w:val="18"/>
          <w:lang w:val="es-ES_tradnl"/>
        </w:rPr>
        <w:t>ú</w:t>
      </w:r>
      <w:r>
        <w:rPr>
          <w:spacing w:val="-8"/>
          <w:sz w:val="18"/>
          <w:szCs w:val="18"/>
          <w:lang w:val="es-ES_tradnl"/>
        </w:rPr>
        <w:t xml:space="preserve">blica llevada a cabo, se ha verificado que la </w:t>
      </w:r>
      <w:r>
        <w:rPr>
          <w:spacing w:val="-6"/>
          <w:sz w:val="18"/>
          <w:szCs w:val="18"/>
          <w:lang w:val="es-ES_tradnl"/>
        </w:rPr>
        <w:t>Direcci</w:t>
      </w:r>
      <w:r>
        <w:rPr>
          <w:rFonts w:cs="Times New Roman"/>
          <w:spacing w:val="-6"/>
          <w:sz w:val="18"/>
          <w:szCs w:val="18"/>
          <w:lang w:val="es-ES_tradnl"/>
        </w:rPr>
        <w:t>ó</w:t>
      </w:r>
      <w:r>
        <w:rPr>
          <w:spacing w:val="-6"/>
          <w:sz w:val="18"/>
          <w:szCs w:val="18"/>
          <w:lang w:val="es-ES_tradnl"/>
        </w:rPr>
        <w:t xml:space="preserve">n Provincial de Chimborazo y el Hospital de Colta </w:t>
      </w:r>
      <w:r>
        <w:rPr>
          <w:sz w:val="18"/>
          <w:szCs w:val="18"/>
          <w:lang w:val="es-ES_tradnl"/>
        </w:rPr>
        <w:t>dieron cumplimiento a lo ordenado.</w:t>
      </w:r>
    </w:p>
    <w:p w14:paraId="4F67A963" w14:textId="77777777" w:rsidR="00591D54" w:rsidRDefault="00591D54">
      <w:pPr>
        <w:shd w:val="clear" w:color="auto" w:fill="FFFFFF"/>
        <w:spacing w:before="192" w:line="216" w:lineRule="exact"/>
        <w:jc w:val="both"/>
      </w:pPr>
      <w:r>
        <w:rPr>
          <w:spacing w:val="-2"/>
          <w:sz w:val="18"/>
          <w:szCs w:val="18"/>
          <w:lang w:val="es-ES_tradnl"/>
        </w:rPr>
        <w:t>Sin perjuicio de lo se</w:t>
      </w:r>
      <w:r>
        <w:rPr>
          <w:rFonts w:cs="Times New Roman"/>
          <w:spacing w:val="-2"/>
          <w:sz w:val="18"/>
          <w:szCs w:val="18"/>
          <w:lang w:val="es-ES_tradnl"/>
        </w:rPr>
        <w:t>ñ</w:t>
      </w:r>
      <w:r>
        <w:rPr>
          <w:spacing w:val="-2"/>
          <w:sz w:val="18"/>
          <w:szCs w:val="18"/>
          <w:lang w:val="es-ES_tradnl"/>
        </w:rPr>
        <w:t>alado y en cuanto a la alegaci</w:t>
      </w:r>
      <w:r>
        <w:rPr>
          <w:rFonts w:cs="Times New Roman"/>
          <w:spacing w:val="-2"/>
          <w:sz w:val="18"/>
          <w:szCs w:val="18"/>
          <w:lang w:val="es-ES_tradnl"/>
        </w:rPr>
        <w:t>ó</w:t>
      </w:r>
      <w:r>
        <w:rPr>
          <w:spacing w:val="-2"/>
          <w:sz w:val="18"/>
          <w:szCs w:val="18"/>
          <w:lang w:val="es-ES_tradnl"/>
        </w:rPr>
        <w:t xml:space="preserve">n </w:t>
      </w:r>
      <w:r>
        <w:rPr>
          <w:spacing w:val="-7"/>
          <w:sz w:val="18"/>
          <w:szCs w:val="18"/>
          <w:lang w:val="es-ES_tradnl"/>
        </w:rPr>
        <w:t xml:space="preserve">de la accionante de no haber recibido el pago de las </w:t>
      </w:r>
      <w:r>
        <w:rPr>
          <w:spacing w:val="-8"/>
          <w:sz w:val="18"/>
          <w:szCs w:val="18"/>
          <w:lang w:val="es-ES_tradnl"/>
        </w:rPr>
        <w:t>remuneraciones y beneficios que dej</w:t>
      </w:r>
      <w:r>
        <w:rPr>
          <w:rFonts w:cs="Times New Roman"/>
          <w:spacing w:val="-8"/>
          <w:sz w:val="18"/>
          <w:szCs w:val="18"/>
          <w:lang w:val="es-ES_tradnl"/>
        </w:rPr>
        <w:t>ó</w:t>
      </w:r>
      <w:r>
        <w:rPr>
          <w:spacing w:val="-8"/>
          <w:sz w:val="18"/>
          <w:szCs w:val="18"/>
          <w:lang w:val="es-ES_tradnl"/>
        </w:rPr>
        <w:t xml:space="preserve"> de percibir desde la </w:t>
      </w:r>
      <w:r>
        <w:rPr>
          <w:spacing w:val="-6"/>
          <w:sz w:val="18"/>
          <w:szCs w:val="18"/>
          <w:lang w:val="es-ES_tradnl"/>
        </w:rPr>
        <w:t>fecha en que se hizo efectiva su cesaci</w:t>
      </w:r>
      <w:r>
        <w:rPr>
          <w:rFonts w:cs="Times New Roman"/>
          <w:spacing w:val="-6"/>
          <w:sz w:val="18"/>
          <w:szCs w:val="18"/>
          <w:lang w:val="es-ES_tradnl"/>
        </w:rPr>
        <w:t>ó</w:t>
      </w:r>
      <w:r>
        <w:rPr>
          <w:spacing w:val="-6"/>
          <w:sz w:val="18"/>
          <w:szCs w:val="18"/>
          <w:lang w:val="es-ES_tradnl"/>
        </w:rPr>
        <w:t xml:space="preserve">n, hasta la fecha </w:t>
      </w:r>
      <w:r>
        <w:rPr>
          <w:spacing w:val="-4"/>
          <w:sz w:val="18"/>
          <w:szCs w:val="18"/>
          <w:lang w:val="es-ES_tradnl"/>
        </w:rPr>
        <w:t xml:space="preserve">en que fue reintegrada a sus funciones, esta Corte, al </w:t>
      </w:r>
      <w:r>
        <w:rPr>
          <w:spacing w:val="-6"/>
          <w:sz w:val="18"/>
          <w:szCs w:val="18"/>
          <w:lang w:val="es-ES_tradnl"/>
        </w:rPr>
        <w:t xml:space="preserve">revisar el expediente constitucional, ha verificado que no </w:t>
      </w:r>
      <w:r>
        <w:rPr>
          <w:spacing w:val="-7"/>
          <w:sz w:val="18"/>
          <w:szCs w:val="18"/>
          <w:lang w:val="es-ES_tradnl"/>
        </w:rPr>
        <w:t>existe constancia del cumplimiento de la compensaci</w:t>
      </w:r>
      <w:r>
        <w:rPr>
          <w:rFonts w:cs="Times New Roman"/>
          <w:spacing w:val="-7"/>
          <w:sz w:val="18"/>
          <w:szCs w:val="18"/>
          <w:lang w:val="es-ES_tradnl"/>
        </w:rPr>
        <w:t>ó</w:t>
      </w:r>
      <w:r>
        <w:rPr>
          <w:spacing w:val="-7"/>
          <w:sz w:val="18"/>
          <w:szCs w:val="18"/>
          <w:lang w:val="es-ES_tradnl"/>
        </w:rPr>
        <w:t xml:space="preserve">n </w:t>
      </w:r>
      <w:r>
        <w:rPr>
          <w:spacing w:val="-10"/>
          <w:sz w:val="18"/>
          <w:szCs w:val="18"/>
          <w:lang w:val="es-ES_tradnl"/>
        </w:rPr>
        <w:t>econ</w:t>
      </w:r>
      <w:r>
        <w:rPr>
          <w:rFonts w:cs="Times New Roman"/>
          <w:spacing w:val="-10"/>
          <w:sz w:val="18"/>
          <w:szCs w:val="18"/>
          <w:lang w:val="es-ES_tradnl"/>
        </w:rPr>
        <w:t>ó</w:t>
      </w:r>
      <w:r>
        <w:rPr>
          <w:spacing w:val="-10"/>
          <w:sz w:val="18"/>
          <w:szCs w:val="18"/>
          <w:lang w:val="es-ES_tradnl"/>
        </w:rPr>
        <w:t xml:space="preserve">mica correspondiente al pago de haberes dejados de </w:t>
      </w:r>
      <w:r>
        <w:rPr>
          <w:sz w:val="18"/>
          <w:szCs w:val="18"/>
          <w:lang w:val="es-ES_tradnl"/>
        </w:rPr>
        <w:t>percibir durante su cesaci</w:t>
      </w:r>
      <w:r>
        <w:rPr>
          <w:rFonts w:cs="Times New Roman"/>
          <w:sz w:val="18"/>
          <w:szCs w:val="18"/>
          <w:lang w:val="es-ES_tradnl"/>
        </w:rPr>
        <w:t>ó</w:t>
      </w:r>
      <w:r>
        <w:rPr>
          <w:sz w:val="18"/>
          <w:szCs w:val="18"/>
          <w:lang w:val="es-ES_tradnl"/>
        </w:rPr>
        <w:t>n.</w:t>
      </w:r>
    </w:p>
    <w:p w14:paraId="4F67A964" w14:textId="77777777" w:rsidR="00591D54" w:rsidRDefault="00591D54">
      <w:pPr>
        <w:shd w:val="clear" w:color="auto" w:fill="FFFFFF"/>
        <w:spacing w:before="192" w:line="216" w:lineRule="exact"/>
        <w:jc w:val="both"/>
      </w:pPr>
      <w:r>
        <w:rPr>
          <w:spacing w:val="-7"/>
          <w:sz w:val="18"/>
          <w:szCs w:val="18"/>
          <w:lang w:val="es-ES_tradnl"/>
        </w:rPr>
        <w:t>En su intervenci</w:t>
      </w:r>
      <w:r>
        <w:rPr>
          <w:rFonts w:cs="Times New Roman"/>
          <w:spacing w:val="-7"/>
          <w:sz w:val="18"/>
          <w:szCs w:val="18"/>
          <w:lang w:val="es-ES_tradnl"/>
        </w:rPr>
        <w:t>ó</w:t>
      </w:r>
      <w:r>
        <w:rPr>
          <w:spacing w:val="-7"/>
          <w:sz w:val="18"/>
          <w:szCs w:val="18"/>
          <w:lang w:val="es-ES_tradnl"/>
        </w:rPr>
        <w:t xml:space="preserve">n, el abogado Juan Pablo Valencia Olalla </w:t>
      </w:r>
      <w:r>
        <w:rPr>
          <w:spacing w:val="-5"/>
          <w:sz w:val="18"/>
          <w:szCs w:val="18"/>
          <w:lang w:val="es-ES_tradnl"/>
        </w:rPr>
        <w:t>en  representaci</w:t>
      </w:r>
      <w:r>
        <w:rPr>
          <w:rFonts w:cs="Times New Roman"/>
          <w:spacing w:val="-5"/>
          <w:sz w:val="18"/>
          <w:szCs w:val="18"/>
          <w:lang w:val="es-ES_tradnl"/>
        </w:rPr>
        <w:t>ó</w:t>
      </w:r>
      <w:r>
        <w:rPr>
          <w:spacing w:val="-5"/>
          <w:sz w:val="18"/>
          <w:szCs w:val="18"/>
          <w:lang w:val="es-ES_tradnl"/>
        </w:rPr>
        <w:t>n  del  director  provincial  de  salud  de</w:t>
      </w:r>
    </w:p>
    <w:p w14:paraId="4F67A965" w14:textId="77777777" w:rsidR="00591D54" w:rsidRDefault="00591D54">
      <w:pPr>
        <w:shd w:val="clear" w:color="auto" w:fill="FFFFFF"/>
        <w:spacing w:before="192" w:line="216" w:lineRule="exact"/>
        <w:jc w:val="both"/>
        <w:sectPr w:rsidR="00591D54">
          <w:type w:val="continuous"/>
          <w:pgSz w:w="11909" w:h="16834"/>
          <w:pgMar w:top="1373" w:right="1309" w:bottom="360" w:left="1308" w:header="720" w:footer="720" w:gutter="0"/>
          <w:cols w:num="2" w:space="720" w:equalWidth="0">
            <w:col w:w="4305" w:space="682"/>
            <w:col w:w="4305"/>
          </w:cols>
          <w:noEndnote/>
        </w:sectPr>
      </w:pPr>
    </w:p>
    <w:p w14:paraId="4F67A966" w14:textId="77777777" w:rsidR="00591D54" w:rsidRDefault="00591D54">
      <w:pPr>
        <w:shd w:val="clear" w:color="auto" w:fill="FFFFFF"/>
        <w:tabs>
          <w:tab w:val="left" w:pos="595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- 73</w:t>
      </w:r>
    </w:p>
    <w:p w14:paraId="4F67A967" w14:textId="77777777" w:rsidR="00591D54" w:rsidRDefault="00591D54">
      <w:pPr>
        <w:shd w:val="clear" w:color="auto" w:fill="FFFFFF"/>
        <w:tabs>
          <w:tab w:val="left" w:pos="5952"/>
        </w:tabs>
        <w:spacing w:after="235"/>
        <w:ind w:left="5"/>
        <w:sectPr w:rsidR="00591D54">
          <w:pgSz w:w="11909" w:h="16834"/>
          <w:pgMar w:top="1356" w:right="1304" w:bottom="360" w:left="1308" w:header="720" w:footer="720" w:gutter="0"/>
          <w:cols w:space="60"/>
          <w:noEndnote/>
        </w:sectPr>
      </w:pPr>
    </w:p>
    <w:p w14:paraId="4F67A968" w14:textId="77777777" w:rsidR="00591D54" w:rsidRDefault="00591D54">
      <w:pPr>
        <w:shd w:val="clear" w:color="auto" w:fill="FFFFFF"/>
        <w:spacing w:line="216" w:lineRule="exact"/>
        <w:jc w:val="both"/>
      </w:pPr>
      <w:r>
        <w:rPr>
          <w:spacing w:val="-3"/>
          <w:sz w:val="18"/>
          <w:szCs w:val="18"/>
          <w:lang w:val="es-ES_tradnl"/>
        </w:rPr>
        <w:t>Chimborazo y del director del Hospital de Colta, indic</w:t>
      </w:r>
      <w:r>
        <w:rPr>
          <w:rFonts w:cs="Times New Roman"/>
          <w:spacing w:val="-3"/>
          <w:sz w:val="18"/>
          <w:szCs w:val="18"/>
          <w:lang w:val="es-ES_tradnl"/>
        </w:rPr>
        <w:t xml:space="preserve">ó </w:t>
      </w:r>
      <w:r>
        <w:rPr>
          <w:spacing w:val="-9"/>
          <w:sz w:val="18"/>
          <w:szCs w:val="18"/>
          <w:lang w:val="es-ES_tradnl"/>
        </w:rPr>
        <w:t xml:space="preserve">que pese a haberse realizado diversas gestiones, no se ha </w:t>
      </w:r>
      <w:r>
        <w:rPr>
          <w:spacing w:val="-10"/>
          <w:sz w:val="18"/>
          <w:szCs w:val="18"/>
          <w:lang w:val="es-ES_tradnl"/>
        </w:rPr>
        <w:t>logrado obtener los fondos p</w:t>
      </w:r>
      <w:r>
        <w:rPr>
          <w:rFonts w:cs="Times New Roman"/>
          <w:spacing w:val="-10"/>
          <w:sz w:val="18"/>
          <w:szCs w:val="18"/>
          <w:lang w:val="es-ES_tradnl"/>
        </w:rPr>
        <w:t>ú</w:t>
      </w:r>
      <w:r>
        <w:rPr>
          <w:spacing w:val="-10"/>
          <w:sz w:val="18"/>
          <w:szCs w:val="18"/>
          <w:lang w:val="es-ES_tradnl"/>
        </w:rPr>
        <w:t xml:space="preserve">blicos necesarios para pagar a </w:t>
      </w:r>
      <w:r>
        <w:rPr>
          <w:sz w:val="18"/>
          <w:szCs w:val="18"/>
          <w:lang w:val="es-ES_tradnl"/>
        </w:rPr>
        <w:t>la doctora Paca Ajitimbay:</w:t>
      </w:r>
    </w:p>
    <w:p w14:paraId="4F67A969" w14:textId="77777777" w:rsidR="00591D54" w:rsidRDefault="00591D54">
      <w:pPr>
        <w:shd w:val="clear" w:color="auto" w:fill="FFFFFF"/>
        <w:spacing w:before="206" w:line="216" w:lineRule="exact"/>
        <w:ind w:left="283"/>
        <w:jc w:val="both"/>
      </w:pPr>
      <w:r>
        <w:rPr>
          <w:rFonts w:cs="Times New Roman"/>
          <w:sz w:val="14"/>
          <w:szCs w:val="14"/>
          <w:lang w:val="es-ES_tradnl"/>
        </w:rPr>
        <w:t>“</w:t>
      </w:r>
      <w:r>
        <w:rPr>
          <w:sz w:val="14"/>
          <w:szCs w:val="14"/>
          <w:lang w:val="es-ES_tradnl"/>
        </w:rPr>
        <w:t>(</w:t>
      </w:r>
      <w:r>
        <w:rPr>
          <w:rFonts w:cs="Times New Roman"/>
          <w:sz w:val="14"/>
          <w:szCs w:val="14"/>
          <w:lang w:val="es-ES_tradnl"/>
        </w:rPr>
        <w:t>…</w:t>
      </w:r>
      <w:r>
        <w:rPr>
          <w:sz w:val="14"/>
          <w:szCs w:val="14"/>
          <w:lang w:val="es-ES_tradnl"/>
        </w:rPr>
        <w:t>) Tambi</w:t>
      </w:r>
      <w:r>
        <w:rPr>
          <w:rFonts w:cs="Times New Roman"/>
          <w:sz w:val="14"/>
          <w:szCs w:val="14"/>
          <w:lang w:val="es-ES_tradnl"/>
        </w:rPr>
        <w:t>é</w:t>
      </w:r>
      <w:r>
        <w:rPr>
          <w:sz w:val="14"/>
          <w:szCs w:val="14"/>
          <w:lang w:val="es-ES_tradnl"/>
        </w:rPr>
        <w:t>n me permito adjuntar (</w:t>
      </w:r>
      <w:r>
        <w:rPr>
          <w:rFonts w:cs="Times New Roman"/>
          <w:sz w:val="14"/>
          <w:szCs w:val="14"/>
          <w:lang w:val="es-ES_tradnl"/>
        </w:rPr>
        <w:t>…</w:t>
      </w:r>
      <w:r>
        <w:rPr>
          <w:sz w:val="14"/>
          <w:szCs w:val="14"/>
          <w:lang w:val="es-ES_tradnl"/>
        </w:rPr>
        <w:t>) sendos oficios en donde se informa a las autoridades pertinentes sobre los tr</w:t>
      </w:r>
      <w:r>
        <w:rPr>
          <w:rFonts w:cs="Times New Roman"/>
          <w:sz w:val="14"/>
          <w:szCs w:val="14"/>
          <w:lang w:val="es-ES_tradnl"/>
        </w:rPr>
        <w:t>á</w:t>
      </w:r>
      <w:r>
        <w:rPr>
          <w:sz w:val="14"/>
          <w:szCs w:val="14"/>
          <w:lang w:val="es-ES_tradnl"/>
        </w:rPr>
        <w:t xml:space="preserve">mites que estaba haciendo el Hospital de Colta, el </w:t>
      </w:r>
      <w:r>
        <w:rPr>
          <w:rFonts w:cs="Times New Roman"/>
          <w:sz w:val="14"/>
          <w:szCs w:val="14"/>
          <w:lang w:val="es-ES_tradnl"/>
        </w:rPr>
        <w:t>á</w:t>
      </w:r>
      <w:r>
        <w:rPr>
          <w:sz w:val="14"/>
          <w:szCs w:val="14"/>
          <w:lang w:val="es-ES_tradnl"/>
        </w:rPr>
        <w:t>rea de salud de ese entonces, la Direcci</w:t>
      </w:r>
      <w:r>
        <w:rPr>
          <w:rFonts w:cs="Times New Roman"/>
          <w:sz w:val="14"/>
          <w:szCs w:val="14"/>
          <w:lang w:val="es-ES_tradnl"/>
        </w:rPr>
        <w:t>ó</w:t>
      </w:r>
      <w:r>
        <w:rPr>
          <w:sz w:val="14"/>
          <w:szCs w:val="14"/>
          <w:lang w:val="es-ES_tradnl"/>
        </w:rPr>
        <w:t xml:space="preserve">n Provincial de esa </w:t>
      </w:r>
      <w:r>
        <w:rPr>
          <w:rFonts w:cs="Times New Roman"/>
          <w:sz w:val="14"/>
          <w:szCs w:val="14"/>
          <w:lang w:val="es-ES_tradnl"/>
        </w:rPr>
        <w:t>é</w:t>
      </w:r>
      <w:r>
        <w:rPr>
          <w:sz w:val="14"/>
          <w:szCs w:val="14"/>
          <w:lang w:val="es-ES_tradnl"/>
        </w:rPr>
        <w:t>poca, para lograr obtener los recursos necesarios conforme lo determina el C</w:t>
      </w:r>
      <w:r>
        <w:rPr>
          <w:rFonts w:cs="Times New Roman"/>
          <w:sz w:val="14"/>
          <w:szCs w:val="14"/>
          <w:lang w:val="es-ES_tradnl"/>
        </w:rPr>
        <w:t>ó</w:t>
      </w:r>
      <w:r>
        <w:rPr>
          <w:sz w:val="14"/>
          <w:szCs w:val="14"/>
          <w:lang w:val="es-ES_tradnl"/>
        </w:rPr>
        <w:t>digo Org</w:t>
      </w:r>
      <w:r>
        <w:rPr>
          <w:rFonts w:cs="Times New Roman"/>
          <w:sz w:val="14"/>
          <w:szCs w:val="14"/>
          <w:lang w:val="es-ES_tradnl"/>
        </w:rPr>
        <w:t>á</w:t>
      </w:r>
      <w:r>
        <w:rPr>
          <w:sz w:val="14"/>
          <w:szCs w:val="14"/>
          <w:lang w:val="es-ES_tradnl"/>
        </w:rPr>
        <w:t>nico de Planificaci</w:t>
      </w:r>
      <w:r>
        <w:rPr>
          <w:rFonts w:cs="Times New Roman"/>
          <w:sz w:val="14"/>
          <w:szCs w:val="14"/>
          <w:lang w:val="es-ES_tradnl"/>
        </w:rPr>
        <w:t>ó</w:t>
      </w:r>
      <w:r>
        <w:rPr>
          <w:sz w:val="14"/>
          <w:szCs w:val="14"/>
          <w:lang w:val="es-ES_tradnl"/>
        </w:rPr>
        <w:t>n y Finanzas en su art</w:t>
      </w:r>
      <w:r>
        <w:rPr>
          <w:rFonts w:cs="Times New Roman"/>
          <w:sz w:val="14"/>
          <w:szCs w:val="14"/>
          <w:lang w:val="es-ES_tradnl"/>
        </w:rPr>
        <w:t>í</w:t>
      </w:r>
      <w:r>
        <w:rPr>
          <w:sz w:val="14"/>
          <w:szCs w:val="14"/>
          <w:lang w:val="es-ES_tradnl"/>
        </w:rPr>
        <w:t>culo n</w:t>
      </w:r>
      <w:r>
        <w:rPr>
          <w:rFonts w:cs="Times New Roman"/>
          <w:sz w:val="14"/>
          <w:szCs w:val="14"/>
          <w:lang w:val="es-ES_tradnl"/>
        </w:rPr>
        <w:t>ú</w:t>
      </w:r>
      <w:r>
        <w:rPr>
          <w:sz w:val="14"/>
          <w:szCs w:val="14"/>
          <w:lang w:val="es-ES_tradnl"/>
        </w:rPr>
        <w:t>mero 115, en donde el l</w:t>
      </w:r>
      <w:r>
        <w:rPr>
          <w:rFonts w:cs="Times New Roman"/>
          <w:sz w:val="14"/>
          <w:szCs w:val="14"/>
          <w:lang w:val="es-ES_tradnl"/>
        </w:rPr>
        <w:t>í</w:t>
      </w:r>
      <w:r>
        <w:rPr>
          <w:sz w:val="14"/>
          <w:szCs w:val="14"/>
          <w:lang w:val="es-ES_tradnl"/>
        </w:rPr>
        <w:t xml:space="preserve">der de Talento Humano del </w:t>
      </w:r>
      <w:r>
        <w:rPr>
          <w:rFonts w:cs="Times New Roman"/>
          <w:sz w:val="14"/>
          <w:szCs w:val="14"/>
          <w:lang w:val="es-ES_tradnl"/>
        </w:rPr>
        <w:t>Á</w:t>
      </w:r>
      <w:r>
        <w:rPr>
          <w:sz w:val="14"/>
          <w:szCs w:val="14"/>
          <w:lang w:val="es-ES_tradnl"/>
        </w:rPr>
        <w:t>rea de Salud No. 2 Colta, pone en manifiesto de que se han realizado y se ha interpuesto todos y cada uno de los procedimientos establecidos sin tener una contestaci</w:t>
      </w:r>
      <w:r>
        <w:rPr>
          <w:rFonts w:cs="Times New Roman"/>
          <w:sz w:val="14"/>
          <w:szCs w:val="14"/>
          <w:lang w:val="es-ES_tradnl"/>
        </w:rPr>
        <w:t>ó</w:t>
      </w:r>
      <w:r>
        <w:rPr>
          <w:sz w:val="14"/>
          <w:szCs w:val="14"/>
          <w:lang w:val="es-ES_tradnl"/>
        </w:rPr>
        <w:t>n favorable (</w:t>
      </w:r>
      <w:r>
        <w:rPr>
          <w:rFonts w:cs="Times New Roman"/>
          <w:sz w:val="14"/>
          <w:szCs w:val="14"/>
          <w:lang w:val="es-ES_tradnl"/>
        </w:rPr>
        <w:t>…</w:t>
      </w:r>
      <w:r>
        <w:rPr>
          <w:sz w:val="14"/>
          <w:szCs w:val="14"/>
          <w:lang w:val="es-ES_tradnl"/>
        </w:rPr>
        <w:t>) pongo en su consideraci</w:t>
      </w:r>
      <w:r>
        <w:rPr>
          <w:rFonts w:cs="Times New Roman"/>
          <w:sz w:val="14"/>
          <w:szCs w:val="14"/>
          <w:lang w:val="es-ES_tradnl"/>
        </w:rPr>
        <w:t>ó</w:t>
      </w:r>
      <w:r>
        <w:rPr>
          <w:sz w:val="14"/>
          <w:szCs w:val="14"/>
          <w:lang w:val="es-ES_tradnl"/>
        </w:rPr>
        <w:t>n de que el Ministerio de Salud P</w:t>
      </w:r>
      <w:r>
        <w:rPr>
          <w:rFonts w:cs="Times New Roman"/>
          <w:sz w:val="14"/>
          <w:szCs w:val="14"/>
          <w:lang w:val="es-ES_tradnl"/>
        </w:rPr>
        <w:t>ú</w:t>
      </w:r>
      <w:r>
        <w:rPr>
          <w:sz w:val="14"/>
          <w:szCs w:val="14"/>
          <w:lang w:val="es-ES_tradnl"/>
        </w:rPr>
        <w:t>blica, a trav</w:t>
      </w:r>
      <w:r>
        <w:rPr>
          <w:rFonts w:cs="Times New Roman"/>
          <w:sz w:val="14"/>
          <w:szCs w:val="14"/>
          <w:lang w:val="es-ES_tradnl"/>
        </w:rPr>
        <w:t>é</w:t>
      </w:r>
      <w:r>
        <w:rPr>
          <w:sz w:val="14"/>
          <w:szCs w:val="14"/>
          <w:lang w:val="es-ES_tradnl"/>
        </w:rPr>
        <w:t>s de sus entidades desconcentradas (</w:t>
      </w:r>
      <w:r>
        <w:rPr>
          <w:rFonts w:cs="Times New Roman"/>
          <w:sz w:val="14"/>
          <w:szCs w:val="14"/>
          <w:lang w:val="es-ES_tradnl"/>
        </w:rPr>
        <w:t>…</w:t>
      </w:r>
      <w:r>
        <w:rPr>
          <w:sz w:val="14"/>
          <w:szCs w:val="14"/>
          <w:lang w:val="es-ES_tradnl"/>
        </w:rPr>
        <w:t>) realizaron los actos administrativos correspondientes, sin embargo, tomando en consideraci</w:t>
      </w:r>
      <w:r>
        <w:rPr>
          <w:rFonts w:cs="Times New Roman"/>
          <w:sz w:val="14"/>
          <w:szCs w:val="14"/>
          <w:lang w:val="es-ES_tradnl"/>
        </w:rPr>
        <w:t>ó</w:t>
      </w:r>
      <w:r>
        <w:rPr>
          <w:sz w:val="14"/>
          <w:szCs w:val="14"/>
          <w:lang w:val="es-ES_tradnl"/>
        </w:rPr>
        <w:t>n lo determinado en el art</w:t>
      </w:r>
      <w:r>
        <w:rPr>
          <w:rFonts w:cs="Times New Roman"/>
          <w:sz w:val="14"/>
          <w:szCs w:val="14"/>
          <w:lang w:val="es-ES_tradnl"/>
        </w:rPr>
        <w:t>í</w:t>
      </w:r>
      <w:r>
        <w:rPr>
          <w:sz w:val="14"/>
          <w:szCs w:val="14"/>
          <w:lang w:val="es-ES_tradnl"/>
        </w:rPr>
        <w:t>culo 226 de la Constituci</w:t>
      </w:r>
      <w:r>
        <w:rPr>
          <w:rFonts w:cs="Times New Roman"/>
          <w:sz w:val="14"/>
          <w:szCs w:val="14"/>
          <w:lang w:val="es-ES_tradnl"/>
        </w:rPr>
        <w:t>ó</w:t>
      </w:r>
      <w:r>
        <w:rPr>
          <w:sz w:val="14"/>
          <w:szCs w:val="14"/>
          <w:lang w:val="es-ES_tradnl"/>
        </w:rPr>
        <w:t>n de la Rep</w:t>
      </w:r>
      <w:r>
        <w:rPr>
          <w:rFonts w:cs="Times New Roman"/>
          <w:sz w:val="14"/>
          <w:szCs w:val="14"/>
          <w:lang w:val="es-ES_tradnl"/>
        </w:rPr>
        <w:t>ú</w:t>
      </w:r>
      <w:r>
        <w:rPr>
          <w:sz w:val="14"/>
          <w:szCs w:val="14"/>
          <w:lang w:val="es-ES_tradnl"/>
        </w:rPr>
        <w:t>blica del Ecuador, en que todos los servidores p</w:t>
      </w:r>
      <w:r>
        <w:rPr>
          <w:rFonts w:cs="Times New Roman"/>
          <w:sz w:val="14"/>
          <w:szCs w:val="14"/>
          <w:lang w:val="es-ES_tradnl"/>
        </w:rPr>
        <w:t>ú</w:t>
      </w:r>
      <w:r>
        <w:rPr>
          <w:sz w:val="14"/>
          <w:szCs w:val="14"/>
          <w:lang w:val="es-ES_tradnl"/>
        </w:rPr>
        <w:t>blicos pueden ejercer solamente las facultades que le compete en la ley, y m</w:t>
      </w:r>
      <w:r>
        <w:rPr>
          <w:rFonts w:cs="Times New Roman"/>
          <w:sz w:val="14"/>
          <w:szCs w:val="14"/>
          <w:lang w:val="es-ES_tradnl"/>
        </w:rPr>
        <w:t>á</w:t>
      </w:r>
      <w:r>
        <w:rPr>
          <w:sz w:val="14"/>
          <w:szCs w:val="14"/>
          <w:lang w:val="es-ES_tradnl"/>
        </w:rPr>
        <w:t>s aun tomando en consideraci</w:t>
      </w:r>
      <w:r>
        <w:rPr>
          <w:rFonts w:cs="Times New Roman"/>
          <w:sz w:val="14"/>
          <w:szCs w:val="14"/>
          <w:lang w:val="es-ES_tradnl"/>
        </w:rPr>
        <w:t>ó</w:t>
      </w:r>
      <w:r>
        <w:rPr>
          <w:sz w:val="14"/>
          <w:szCs w:val="14"/>
          <w:lang w:val="es-ES_tradnl"/>
        </w:rPr>
        <w:t>n lo determinado en el C</w:t>
      </w:r>
      <w:r>
        <w:rPr>
          <w:rFonts w:cs="Times New Roman"/>
          <w:sz w:val="14"/>
          <w:szCs w:val="14"/>
          <w:lang w:val="es-ES_tradnl"/>
        </w:rPr>
        <w:t>ó</w:t>
      </w:r>
      <w:r>
        <w:rPr>
          <w:sz w:val="14"/>
          <w:szCs w:val="14"/>
          <w:lang w:val="es-ES_tradnl"/>
        </w:rPr>
        <w:t>digo Org</w:t>
      </w:r>
      <w:r>
        <w:rPr>
          <w:rFonts w:cs="Times New Roman"/>
          <w:sz w:val="14"/>
          <w:szCs w:val="14"/>
          <w:lang w:val="es-ES_tradnl"/>
        </w:rPr>
        <w:t>á</w:t>
      </w:r>
      <w:r>
        <w:rPr>
          <w:sz w:val="14"/>
          <w:szCs w:val="14"/>
          <w:lang w:val="es-ES_tradnl"/>
        </w:rPr>
        <w:t>nico de Planificaci</w:t>
      </w:r>
      <w:r>
        <w:rPr>
          <w:rFonts w:cs="Times New Roman"/>
          <w:sz w:val="14"/>
          <w:szCs w:val="14"/>
          <w:lang w:val="es-ES_tradnl"/>
        </w:rPr>
        <w:t>ó</w:t>
      </w:r>
      <w:r>
        <w:rPr>
          <w:sz w:val="14"/>
          <w:szCs w:val="14"/>
          <w:lang w:val="es-ES_tradnl"/>
        </w:rPr>
        <w:t>n y Finanzas, al no ser parte de competencias del Ministerio de Salud P</w:t>
      </w:r>
      <w:r>
        <w:rPr>
          <w:rFonts w:cs="Times New Roman"/>
          <w:sz w:val="14"/>
          <w:szCs w:val="14"/>
          <w:lang w:val="es-ES_tradnl"/>
        </w:rPr>
        <w:t>ú</w:t>
      </w:r>
      <w:r>
        <w:rPr>
          <w:sz w:val="14"/>
          <w:szCs w:val="14"/>
          <w:lang w:val="es-ES_tradnl"/>
        </w:rPr>
        <w:t>blica crear partidas presupuestarias u otorgar recursos que no est</w:t>
      </w:r>
      <w:r>
        <w:rPr>
          <w:rFonts w:cs="Times New Roman"/>
          <w:sz w:val="14"/>
          <w:szCs w:val="14"/>
          <w:lang w:val="es-ES_tradnl"/>
        </w:rPr>
        <w:t>á</w:t>
      </w:r>
      <w:r>
        <w:rPr>
          <w:sz w:val="14"/>
          <w:szCs w:val="14"/>
          <w:lang w:val="es-ES_tradnl"/>
        </w:rPr>
        <w:t>n determinados, a pesar de que se concluyeron los tr</w:t>
      </w:r>
      <w:r>
        <w:rPr>
          <w:rFonts w:cs="Times New Roman"/>
          <w:sz w:val="14"/>
          <w:szCs w:val="14"/>
          <w:lang w:val="es-ES_tradnl"/>
        </w:rPr>
        <w:t>á</w:t>
      </w:r>
      <w:r>
        <w:rPr>
          <w:sz w:val="14"/>
          <w:szCs w:val="14"/>
          <w:lang w:val="es-ES_tradnl"/>
        </w:rPr>
        <w:t>mites correspondientes y debiendo recalcar lo determinado en el art</w:t>
      </w:r>
      <w:r>
        <w:rPr>
          <w:rFonts w:cs="Times New Roman"/>
          <w:sz w:val="14"/>
          <w:szCs w:val="14"/>
          <w:lang w:val="es-ES_tradnl"/>
        </w:rPr>
        <w:t>í</w:t>
      </w:r>
      <w:r>
        <w:rPr>
          <w:sz w:val="14"/>
          <w:szCs w:val="14"/>
          <w:lang w:val="es-ES_tradnl"/>
        </w:rPr>
        <w:t>culo 19 del C</w:t>
      </w:r>
      <w:r>
        <w:rPr>
          <w:rFonts w:cs="Times New Roman"/>
          <w:sz w:val="14"/>
          <w:szCs w:val="14"/>
          <w:lang w:val="es-ES_tradnl"/>
        </w:rPr>
        <w:t>ó</w:t>
      </w:r>
      <w:r>
        <w:rPr>
          <w:sz w:val="14"/>
          <w:szCs w:val="14"/>
          <w:lang w:val="es-ES_tradnl"/>
        </w:rPr>
        <w:t>digo Org</w:t>
      </w:r>
      <w:r>
        <w:rPr>
          <w:rFonts w:cs="Times New Roman"/>
          <w:sz w:val="14"/>
          <w:szCs w:val="14"/>
          <w:lang w:val="es-ES_tradnl"/>
        </w:rPr>
        <w:t>á</w:t>
      </w:r>
      <w:r>
        <w:rPr>
          <w:sz w:val="14"/>
          <w:szCs w:val="14"/>
          <w:lang w:val="es-ES_tradnl"/>
        </w:rPr>
        <w:t>nico de Garant</w:t>
      </w:r>
      <w:r>
        <w:rPr>
          <w:rFonts w:cs="Times New Roman"/>
          <w:sz w:val="14"/>
          <w:szCs w:val="14"/>
          <w:lang w:val="es-ES_tradnl"/>
        </w:rPr>
        <w:t>í</w:t>
      </w:r>
      <w:r>
        <w:rPr>
          <w:sz w:val="14"/>
          <w:szCs w:val="14"/>
          <w:lang w:val="es-ES_tradnl"/>
        </w:rPr>
        <w:t>as Jurisdiccionales y Control Constitucional, cumpli</w:t>
      </w:r>
      <w:r>
        <w:rPr>
          <w:rFonts w:cs="Times New Roman"/>
          <w:sz w:val="14"/>
          <w:szCs w:val="14"/>
          <w:lang w:val="es-ES_tradnl"/>
        </w:rPr>
        <w:t xml:space="preserve">ó </w:t>
      </w:r>
      <w:r>
        <w:rPr>
          <w:sz w:val="14"/>
          <w:szCs w:val="14"/>
          <w:lang w:val="es-ES_tradnl"/>
        </w:rPr>
        <w:t xml:space="preserve">efectivamente la sentencia dispuesta por las autoridades correspondientes de la determinada </w:t>
      </w:r>
      <w:r>
        <w:rPr>
          <w:rFonts w:cs="Times New Roman"/>
          <w:sz w:val="14"/>
          <w:szCs w:val="14"/>
          <w:lang w:val="es-ES_tradnl"/>
        </w:rPr>
        <w:t>é</w:t>
      </w:r>
      <w:r>
        <w:rPr>
          <w:sz w:val="14"/>
          <w:szCs w:val="14"/>
          <w:lang w:val="es-ES_tradnl"/>
        </w:rPr>
        <w:t>poca (</w:t>
      </w:r>
      <w:r>
        <w:rPr>
          <w:rFonts w:cs="Times New Roman"/>
          <w:sz w:val="14"/>
          <w:szCs w:val="14"/>
          <w:lang w:val="es-ES_tradnl"/>
        </w:rPr>
        <w:t>…</w:t>
      </w:r>
      <w:r>
        <w:rPr>
          <w:sz w:val="14"/>
          <w:szCs w:val="14"/>
          <w:lang w:val="es-ES_tradnl"/>
        </w:rPr>
        <w:t>)</w:t>
      </w:r>
      <w:r>
        <w:rPr>
          <w:rFonts w:cs="Times New Roman"/>
          <w:sz w:val="14"/>
          <w:szCs w:val="14"/>
          <w:lang w:val="es-ES_tradnl"/>
        </w:rPr>
        <w:t>”</w:t>
      </w:r>
    </w:p>
    <w:p w14:paraId="4F67A96A" w14:textId="77777777" w:rsidR="00591D54" w:rsidRDefault="00591D54">
      <w:pPr>
        <w:shd w:val="clear" w:color="auto" w:fill="FFFFFF"/>
        <w:spacing w:before="206" w:line="216" w:lineRule="exact"/>
        <w:ind w:right="5"/>
        <w:jc w:val="both"/>
      </w:pPr>
      <w:r>
        <w:rPr>
          <w:spacing w:val="-9"/>
          <w:sz w:val="18"/>
          <w:szCs w:val="18"/>
          <w:lang w:val="es-ES_tradnl"/>
        </w:rPr>
        <w:t>Lo anterior pone en evidencia que ni la decisi</w:t>
      </w:r>
      <w:r>
        <w:rPr>
          <w:rFonts w:cs="Times New Roman"/>
          <w:spacing w:val="-9"/>
          <w:sz w:val="18"/>
          <w:szCs w:val="18"/>
          <w:lang w:val="es-ES_tradnl"/>
        </w:rPr>
        <w:t>ó</w:t>
      </w:r>
      <w:r>
        <w:rPr>
          <w:spacing w:val="-9"/>
          <w:sz w:val="18"/>
          <w:szCs w:val="18"/>
          <w:lang w:val="es-ES_tradnl"/>
        </w:rPr>
        <w:t xml:space="preserve">n del Tribunal </w:t>
      </w:r>
      <w:r>
        <w:rPr>
          <w:spacing w:val="-10"/>
          <w:sz w:val="18"/>
          <w:szCs w:val="18"/>
          <w:lang w:val="es-ES_tradnl"/>
        </w:rPr>
        <w:t>de instancia, ni la decisi</w:t>
      </w:r>
      <w:r>
        <w:rPr>
          <w:rFonts w:cs="Times New Roman"/>
          <w:spacing w:val="-10"/>
          <w:sz w:val="18"/>
          <w:szCs w:val="18"/>
          <w:lang w:val="es-ES_tradnl"/>
        </w:rPr>
        <w:t>ó</w:t>
      </w:r>
      <w:r>
        <w:rPr>
          <w:spacing w:val="-10"/>
          <w:sz w:val="18"/>
          <w:szCs w:val="18"/>
          <w:lang w:val="es-ES_tradnl"/>
        </w:rPr>
        <w:t xml:space="preserve">n de la Corte Constitucional, para el </w:t>
      </w:r>
      <w:r>
        <w:rPr>
          <w:spacing w:val="-8"/>
          <w:sz w:val="18"/>
          <w:szCs w:val="18"/>
          <w:lang w:val="es-ES_tradnl"/>
        </w:rPr>
        <w:t>per</w:t>
      </w:r>
      <w:r>
        <w:rPr>
          <w:rFonts w:cs="Times New Roman"/>
          <w:spacing w:val="-8"/>
          <w:sz w:val="18"/>
          <w:szCs w:val="18"/>
          <w:lang w:val="es-ES_tradnl"/>
        </w:rPr>
        <w:t>í</w:t>
      </w:r>
      <w:r>
        <w:rPr>
          <w:spacing w:val="-8"/>
          <w:sz w:val="18"/>
          <w:szCs w:val="18"/>
          <w:lang w:val="es-ES_tradnl"/>
        </w:rPr>
        <w:t>odo de transici</w:t>
      </w:r>
      <w:r>
        <w:rPr>
          <w:rFonts w:cs="Times New Roman"/>
          <w:spacing w:val="-8"/>
          <w:sz w:val="18"/>
          <w:szCs w:val="18"/>
          <w:lang w:val="es-ES_tradnl"/>
        </w:rPr>
        <w:t>ó</w:t>
      </w:r>
      <w:r>
        <w:rPr>
          <w:spacing w:val="-8"/>
          <w:sz w:val="18"/>
          <w:szCs w:val="18"/>
          <w:lang w:val="es-ES_tradnl"/>
        </w:rPr>
        <w:t xml:space="preserve">n, se han cumplido integralmente y que </w:t>
      </w:r>
      <w:r>
        <w:rPr>
          <w:spacing w:val="-5"/>
          <w:sz w:val="18"/>
          <w:szCs w:val="18"/>
          <w:lang w:val="es-ES_tradnl"/>
        </w:rPr>
        <w:t xml:space="preserve">por tanto, existe un incumplimiento parcial de sentencia, </w:t>
      </w:r>
      <w:r>
        <w:rPr>
          <w:spacing w:val="-7"/>
          <w:sz w:val="18"/>
          <w:szCs w:val="18"/>
          <w:lang w:val="es-ES_tradnl"/>
        </w:rPr>
        <w:t xml:space="preserve">en el sentido de que </w:t>
      </w:r>
      <w:r>
        <w:rPr>
          <w:rFonts w:cs="Times New Roman"/>
          <w:spacing w:val="-7"/>
          <w:sz w:val="18"/>
          <w:szCs w:val="18"/>
          <w:lang w:val="es-ES_tradnl"/>
        </w:rPr>
        <w:t>ú</w:t>
      </w:r>
      <w:r>
        <w:rPr>
          <w:spacing w:val="-7"/>
          <w:sz w:val="18"/>
          <w:szCs w:val="18"/>
          <w:lang w:val="es-ES_tradnl"/>
        </w:rPr>
        <w:t xml:space="preserve">nicamente se ha procedido con la </w:t>
      </w:r>
      <w:r>
        <w:rPr>
          <w:spacing w:val="-2"/>
          <w:sz w:val="18"/>
          <w:szCs w:val="18"/>
          <w:lang w:val="es-ES_tradnl"/>
        </w:rPr>
        <w:t>restituci</w:t>
      </w:r>
      <w:r>
        <w:rPr>
          <w:rFonts w:cs="Times New Roman"/>
          <w:spacing w:val="-2"/>
          <w:sz w:val="18"/>
          <w:szCs w:val="18"/>
          <w:lang w:val="es-ES_tradnl"/>
        </w:rPr>
        <w:t>ó</w:t>
      </w:r>
      <w:r>
        <w:rPr>
          <w:spacing w:val="-2"/>
          <w:sz w:val="18"/>
          <w:szCs w:val="18"/>
          <w:lang w:val="es-ES_tradnl"/>
        </w:rPr>
        <w:t>n de la doctora Mar</w:t>
      </w:r>
      <w:r>
        <w:rPr>
          <w:rFonts w:cs="Times New Roman"/>
          <w:spacing w:val="-2"/>
          <w:sz w:val="18"/>
          <w:szCs w:val="18"/>
          <w:lang w:val="es-ES_tradnl"/>
        </w:rPr>
        <w:t>í</w:t>
      </w:r>
      <w:r>
        <w:rPr>
          <w:spacing w:val="-2"/>
          <w:sz w:val="18"/>
          <w:szCs w:val="18"/>
          <w:lang w:val="es-ES_tradnl"/>
        </w:rPr>
        <w:t xml:space="preserve">a Carmen Paca Ajitimbay </w:t>
      </w:r>
      <w:r>
        <w:rPr>
          <w:spacing w:val="-7"/>
          <w:sz w:val="18"/>
          <w:szCs w:val="18"/>
          <w:lang w:val="es-ES_tradnl"/>
        </w:rPr>
        <w:t>a su puesto de trabajo, mas no, se ha procedido con su liquidaci</w:t>
      </w:r>
      <w:r>
        <w:rPr>
          <w:rFonts w:cs="Times New Roman"/>
          <w:spacing w:val="-7"/>
          <w:sz w:val="18"/>
          <w:szCs w:val="18"/>
          <w:lang w:val="es-ES_tradnl"/>
        </w:rPr>
        <w:t>ó</w:t>
      </w:r>
      <w:r>
        <w:rPr>
          <w:spacing w:val="-7"/>
          <w:sz w:val="18"/>
          <w:szCs w:val="18"/>
          <w:lang w:val="es-ES_tradnl"/>
        </w:rPr>
        <w:t xml:space="preserve">n esto es, con el pago de las remuneraciones y </w:t>
      </w:r>
      <w:r>
        <w:rPr>
          <w:spacing w:val="-11"/>
          <w:sz w:val="18"/>
          <w:szCs w:val="18"/>
          <w:lang w:val="es-ES_tradnl"/>
        </w:rPr>
        <w:t>beneficios legales que dej</w:t>
      </w:r>
      <w:r>
        <w:rPr>
          <w:rFonts w:cs="Times New Roman"/>
          <w:spacing w:val="-11"/>
          <w:sz w:val="18"/>
          <w:szCs w:val="18"/>
          <w:lang w:val="es-ES_tradnl"/>
        </w:rPr>
        <w:t>ó</w:t>
      </w:r>
      <w:r>
        <w:rPr>
          <w:spacing w:val="-11"/>
          <w:sz w:val="18"/>
          <w:szCs w:val="18"/>
          <w:lang w:val="es-ES_tradnl"/>
        </w:rPr>
        <w:t xml:space="preserve"> de percibir desde la fecha en que fue cesada, 26 de febrero de 2007, hasta la fecha en que fue </w:t>
      </w:r>
      <w:r>
        <w:rPr>
          <w:sz w:val="18"/>
          <w:szCs w:val="18"/>
          <w:lang w:val="es-ES_tradnl"/>
        </w:rPr>
        <w:t>restituida, 01 de junio de 2008.</w:t>
      </w:r>
    </w:p>
    <w:p w14:paraId="4F67A96B" w14:textId="77777777" w:rsidR="00591D54" w:rsidRDefault="00591D54">
      <w:pPr>
        <w:shd w:val="clear" w:color="auto" w:fill="FFFFFF"/>
        <w:spacing w:before="202" w:line="216" w:lineRule="exact"/>
        <w:ind w:right="5"/>
        <w:jc w:val="both"/>
      </w:pPr>
      <w:r>
        <w:rPr>
          <w:spacing w:val="-5"/>
          <w:sz w:val="18"/>
          <w:szCs w:val="18"/>
          <w:lang w:val="es-ES_tradnl"/>
        </w:rPr>
        <w:t xml:space="preserve">Hay que recordar que por la propia naturaleza de esta </w:t>
      </w:r>
      <w:r>
        <w:rPr>
          <w:spacing w:val="-2"/>
          <w:sz w:val="18"/>
          <w:szCs w:val="18"/>
          <w:lang w:val="es-ES_tradnl"/>
        </w:rPr>
        <w:t>acci</w:t>
      </w:r>
      <w:r>
        <w:rPr>
          <w:rFonts w:cs="Times New Roman"/>
          <w:spacing w:val="-2"/>
          <w:sz w:val="18"/>
          <w:szCs w:val="18"/>
          <w:lang w:val="es-ES_tradnl"/>
        </w:rPr>
        <w:t>ó</w:t>
      </w:r>
      <w:r>
        <w:rPr>
          <w:spacing w:val="-2"/>
          <w:sz w:val="18"/>
          <w:szCs w:val="18"/>
          <w:lang w:val="es-ES_tradnl"/>
        </w:rPr>
        <w:t xml:space="preserve">n, a la Corte le corresponde </w:t>
      </w:r>
      <w:r>
        <w:rPr>
          <w:rFonts w:cs="Times New Roman"/>
          <w:spacing w:val="-2"/>
          <w:sz w:val="18"/>
          <w:szCs w:val="18"/>
          <w:lang w:val="es-ES_tradnl"/>
        </w:rPr>
        <w:t>ú</w:t>
      </w:r>
      <w:r>
        <w:rPr>
          <w:spacing w:val="-2"/>
          <w:sz w:val="18"/>
          <w:szCs w:val="18"/>
          <w:lang w:val="es-ES_tradnl"/>
        </w:rPr>
        <w:t xml:space="preserve">nicamente verificar </w:t>
      </w:r>
      <w:r>
        <w:rPr>
          <w:spacing w:val="-5"/>
          <w:sz w:val="18"/>
          <w:szCs w:val="18"/>
          <w:lang w:val="es-ES_tradnl"/>
        </w:rPr>
        <w:t>el cumplimiento de lo dispuesto en la resoluci</w:t>
      </w:r>
      <w:r>
        <w:rPr>
          <w:rFonts w:cs="Times New Roman"/>
          <w:spacing w:val="-5"/>
          <w:sz w:val="18"/>
          <w:szCs w:val="18"/>
          <w:lang w:val="es-ES_tradnl"/>
        </w:rPr>
        <w:t>ó</w:t>
      </w:r>
      <w:r>
        <w:rPr>
          <w:spacing w:val="-5"/>
          <w:sz w:val="18"/>
          <w:szCs w:val="18"/>
          <w:lang w:val="es-ES_tradnl"/>
        </w:rPr>
        <w:t xml:space="preserve">n cuyo incumplimiento se alega, tarea que se ha realizado, y de </w:t>
      </w:r>
      <w:r>
        <w:rPr>
          <w:spacing w:val="-8"/>
          <w:sz w:val="18"/>
          <w:szCs w:val="18"/>
          <w:lang w:val="es-ES_tradnl"/>
        </w:rPr>
        <w:t xml:space="preserve">la que se desprende que en cuanto a lo ordenado por la </w:t>
      </w:r>
      <w:r>
        <w:rPr>
          <w:spacing w:val="-6"/>
          <w:sz w:val="18"/>
          <w:szCs w:val="18"/>
          <w:lang w:val="es-ES_tradnl"/>
        </w:rPr>
        <w:t>Primera Sala del Tribunal Distrital N.</w:t>
      </w:r>
      <w:r>
        <w:rPr>
          <w:rFonts w:cs="Times New Roman"/>
          <w:spacing w:val="-6"/>
          <w:sz w:val="18"/>
          <w:szCs w:val="18"/>
          <w:lang w:val="es-ES_tradnl"/>
        </w:rPr>
        <w:t>º</w:t>
      </w:r>
      <w:r>
        <w:rPr>
          <w:spacing w:val="-6"/>
          <w:sz w:val="18"/>
          <w:szCs w:val="18"/>
          <w:lang w:val="es-ES_tradnl"/>
        </w:rPr>
        <w:t xml:space="preserve"> 1 de lo Contencioso </w:t>
      </w:r>
      <w:r>
        <w:rPr>
          <w:spacing w:val="-9"/>
          <w:sz w:val="18"/>
          <w:szCs w:val="18"/>
          <w:lang w:val="es-ES_tradnl"/>
        </w:rPr>
        <w:t xml:space="preserve">Administrativo </w:t>
      </w:r>
      <w:r>
        <w:rPr>
          <w:rFonts w:ascii="Arial Unicode MS" w:eastAsia="Arial Unicode MS" w:cs="Arial Unicode MS" w:hint="eastAsia"/>
          <w:spacing w:val="-9"/>
          <w:sz w:val="18"/>
          <w:szCs w:val="18"/>
          <w:lang w:val="es-ES_tradnl"/>
        </w:rPr>
        <w:t>‒</w:t>
      </w:r>
      <w:r>
        <w:rPr>
          <w:spacing w:val="-9"/>
          <w:sz w:val="18"/>
          <w:szCs w:val="18"/>
          <w:lang w:val="es-ES_tradnl"/>
        </w:rPr>
        <w:t xml:space="preserve">confirmado por la Primera Sala de la Corte </w:t>
      </w:r>
      <w:r>
        <w:rPr>
          <w:spacing w:val="-7"/>
          <w:sz w:val="18"/>
          <w:szCs w:val="18"/>
          <w:lang w:val="es-ES_tradnl"/>
        </w:rPr>
        <w:t>Constitucional ,para el per</w:t>
      </w:r>
      <w:r>
        <w:rPr>
          <w:rFonts w:cs="Times New Roman"/>
          <w:spacing w:val="-7"/>
          <w:sz w:val="18"/>
          <w:szCs w:val="18"/>
          <w:lang w:val="es-ES_tradnl"/>
        </w:rPr>
        <w:t>í</w:t>
      </w:r>
      <w:r>
        <w:rPr>
          <w:spacing w:val="-7"/>
          <w:sz w:val="18"/>
          <w:szCs w:val="18"/>
          <w:lang w:val="es-ES_tradnl"/>
        </w:rPr>
        <w:t>odo de transici</w:t>
      </w:r>
      <w:r>
        <w:rPr>
          <w:rFonts w:cs="Times New Roman"/>
          <w:spacing w:val="-7"/>
          <w:sz w:val="18"/>
          <w:szCs w:val="18"/>
          <w:lang w:val="es-ES_tradnl"/>
        </w:rPr>
        <w:t>ó</w:t>
      </w:r>
      <w:r>
        <w:rPr>
          <w:spacing w:val="-7"/>
          <w:sz w:val="18"/>
          <w:szCs w:val="18"/>
          <w:lang w:val="es-ES_tradnl"/>
        </w:rPr>
        <w:t>n,</w:t>
      </w:r>
      <w:r>
        <w:rPr>
          <w:rFonts w:ascii="Arial Unicode MS" w:eastAsia="Arial Unicode MS" w:cs="Arial Unicode MS" w:hint="eastAsia"/>
          <w:spacing w:val="-7"/>
          <w:sz w:val="18"/>
          <w:szCs w:val="18"/>
          <w:lang w:val="es-ES_tradnl"/>
        </w:rPr>
        <w:t>‒</w:t>
      </w:r>
      <w:r>
        <w:rPr>
          <w:spacing w:val="-7"/>
          <w:sz w:val="18"/>
          <w:szCs w:val="18"/>
          <w:lang w:val="es-ES_tradnl"/>
        </w:rPr>
        <w:t xml:space="preserve"> la Direcci</w:t>
      </w:r>
      <w:r>
        <w:rPr>
          <w:rFonts w:cs="Times New Roman"/>
          <w:spacing w:val="-7"/>
          <w:sz w:val="18"/>
          <w:szCs w:val="18"/>
          <w:lang w:val="es-ES_tradnl"/>
        </w:rPr>
        <w:t>ó</w:t>
      </w:r>
      <w:r>
        <w:rPr>
          <w:spacing w:val="-7"/>
          <w:sz w:val="18"/>
          <w:szCs w:val="18"/>
          <w:lang w:val="es-ES_tradnl"/>
        </w:rPr>
        <w:t xml:space="preserve">n </w:t>
      </w:r>
      <w:r>
        <w:rPr>
          <w:spacing w:val="-8"/>
          <w:sz w:val="18"/>
          <w:szCs w:val="18"/>
          <w:lang w:val="es-ES_tradnl"/>
        </w:rPr>
        <w:t>Provincial de Chimborazo y el Hospital de Colta mantienen obligaciones pendientes para con la accionante.</w:t>
      </w:r>
    </w:p>
    <w:p w14:paraId="4F67A96C" w14:textId="77777777" w:rsidR="00591D54" w:rsidRDefault="00591D54">
      <w:pPr>
        <w:shd w:val="clear" w:color="auto" w:fill="FFFFFF"/>
        <w:spacing w:before="202" w:line="216" w:lineRule="exact"/>
        <w:ind w:right="5"/>
        <w:jc w:val="both"/>
      </w:pPr>
      <w:r>
        <w:rPr>
          <w:spacing w:val="-8"/>
          <w:sz w:val="18"/>
          <w:szCs w:val="18"/>
          <w:lang w:val="es-ES_tradnl"/>
        </w:rPr>
        <w:t xml:space="preserve">Por ello, esta Corte estima que para que se pueda cumplir </w:t>
      </w:r>
      <w:r>
        <w:rPr>
          <w:spacing w:val="-6"/>
          <w:sz w:val="18"/>
          <w:szCs w:val="18"/>
          <w:lang w:val="es-ES_tradnl"/>
        </w:rPr>
        <w:t>completamente la sentencia, la Direcci</w:t>
      </w:r>
      <w:r>
        <w:rPr>
          <w:rFonts w:cs="Times New Roman"/>
          <w:spacing w:val="-6"/>
          <w:sz w:val="18"/>
          <w:szCs w:val="18"/>
          <w:lang w:val="es-ES_tradnl"/>
        </w:rPr>
        <w:t>ó</w:t>
      </w:r>
      <w:r>
        <w:rPr>
          <w:spacing w:val="-6"/>
          <w:sz w:val="18"/>
          <w:szCs w:val="18"/>
          <w:lang w:val="es-ES_tradnl"/>
        </w:rPr>
        <w:t xml:space="preserve">n Provincial de </w:t>
      </w:r>
      <w:r>
        <w:rPr>
          <w:spacing w:val="-2"/>
          <w:sz w:val="18"/>
          <w:szCs w:val="18"/>
          <w:lang w:val="es-ES_tradnl"/>
        </w:rPr>
        <w:t xml:space="preserve">Chimborazo y el Hospital de Colta deben proceder al </w:t>
      </w:r>
      <w:r>
        <w:rPr>
          <w:spacing w:val="-8"/>
          <w:sz w:val="18"/>
          <w:szCs w:val="18"/>
          <w:lang w:val="es-ES_tradnl"/>
        </w:rPr>
        <w:t xml:space="preserve">pago de los haberes dejados de percibir por la accionante, </w:t>
      </w:r>
      <w:r>
        <w:rPr>
          <w:spacing w:val="-5"/>
          <w:sz w:val="18"/>
          <w:szCs w:val="18"/>
          <w:lang w:val="es-ES_tradnl"/>
        </w:rPr>
        <w:t>doctora Mar</w:t>
      </w:r>
      <w:r>
        <w:rPr>
          <w:rFonts w:cs="Times New Roman"/>
          <w:spacing w:val="-5"/>
          <w:sz w:val="18"/>
          <w:szCs w:val="18"/>
          <w:lang w:val="es-ES_tradnl"/>
        </w:rPr>
        <w:t>í</w:t>
      </w:r>
      <w:r>
        <w:rPr>
          <w:spacing w:val="-5"/>
          <w:sz w:val="18"/>
          <w:szCs w:val="18"/>
          <w:lang w:val="es-ES_tradnl"/>
        </w:rPr>
        <w:t xml:space="preserve">a Paca Ajitimbay, durante el tiempo en que </w:t>
      </w:r>
      <w:r>
        <w:rPr>
          <w:spacing w:val="-11"/>
          <w:sz w:val="18"/>
          <w:szCs w:val="18"/>
          <w:lang w:val="es-ES_tradnl"/>
        </w:rPr>
        <w:t xml:space="preserve">estuvo cesada esto es, entre el 26 de febrero de 2007 y el 01 </w:t>
      </w:r>
      <w:r>
        <w:rPr>
          <w:sz w:val="18"/>
          <w:szCs w:val="18"/>
          <w:lang w:val="es-ES_tradnl"/>
        </w:rPr>
        <w:t>de junio de 2008.</w:t>
      </w:r>
    </w:p>
    <w:p w14:paraId="4F67A96D" w14:textId="77777777" w:rsidR="00591D54" w:rsidRDefault="00591D54">
      <w:pPr>
        <w:shd w:val="clear" w:color="auto" w:fill="FFFFFF"/>
        <w:spacing w:line="216" w:lineRule="exact"/>
        <w:ind w:right="5"/>
        <w:jc w:val="both"/>
      </w:pPr>
      <w:r>
        <w:br w:type="column"/>
      </w:r>
      <w:r>
        <w:rPr>
          <w:spacing w:val="-9"/>
          <w:sz w:val="18"/>
          <w:szCs w:val="18"/>
          <w:lang w:val="es-ES_tradnl"/>
        </w:rPr>
        <w:t>Por lo anterior, para la determinaci</w:t>
      </w:r>
      <w:r>
        <w:rPr>
          <w:rFonts w:cs="Times New Roman"/>
          <w:spacing w:val="-9"/>
          <w:sz w:val="18"/>
          <w:szCs w:val="18"/>
          <w:lang w:val="es-ES_tradnl"/>
        </w:rPr>
        <w:t>ó</w:t>
      </w:r>
      <w:r>
        <w:rPr>
          <w:spacing w:val="-9"/>
          <w:sz w:val="18"/>
          <w:szCs w:val="18"/>
          <w:lang w:val="es-ES_tradnl"/>
        </w:rPr>
        <w:t xml:space="preserve">n del monto a pagar por </w:t>
      </w:r>
      <w:r>
        <w:rPr>
          <w:spacing w:val="-10"/>
          <w:sz w:val="18"/>
          <w:szCs w:val="18"/>
          <w:lang w:val="es-ES_tradnl"/>
        </w:rPr>
        <w:t>parte de los accionados, deber</w:t>
      </w:r>
      <w:r>
        <w:rPr>
          <w:rFonts w:cs="Times New Roman"/>
          <w:spacing w:val="-10"/>
          <w:sz w:val="18"/>
          <w:szCs w:val="18"/>
          <w:lang w:val="es-ES_tradnl"/>
        </w:rPr>
        <w:t>á</w:t>
      </w:r>
      <w:r>
        <w:rPr>
          <w:spacing w:val="-10"/>
          <w:sz w:val="18"/>
          <w:szCs w:val="18"/>
          <w:lang w:val="es-ES_tradnl"/>
        </w:rPr>
        <w:t xml:space="preserve"> estarse a lo dispuesto en el </w:t>
      </w:r>
      <w:r>
        <w:rPr>
          <w:spacing w:val="-9"/>
          <w:sz w:val="18"/>
          <w:szCs w:val="18"/>
          <w:lang w:val="es-ES_tradnl"/>
        </w:rPr>
        <w:t>art</w:t>
      </w:r>
      <w:r>
        <w:rPr>
          <w:rFonts w:cs="Times New Roman"/>
          <w:spacing w:val="-9"/>
          <w:sz w:val="18"/>
          <w:szCs w:val="18"/>
          <w:lang w:val="es-ES_tradnl"/>
        </w:rPr>
        <w:t>í</w:t>
      </w:r>
      <w:r>
        <w:rPr>
          <w:spacing w:val="-9"/>
          <w:sz w:val="18"/>
          <w:szCs w:val="18"/>
          <w:lang w:val="es-ES_tradnl"/>
        </w:rPr>
        <w:t>culo 19 de la Ley Org</w:t>
      </w:r>
      <w:r>
        <w:rPr>
          <w:rFonts w:cs="Times New Roman"/>
          <w:spacing w:val="-9"/>
          <w:sz w:val="18"/>
          <w:szCs w:val="18"/>
          <w:lang w:val="es-ES_tradnl"/>
        </w:rPr>
        <w:t>á</w:t>
      </w:r>
      <w:r>
        <w:rPr>
          <w:spacing w:val="-9"/>
          <w:sz w:val="18"/>
          <w:szCs w:val="18"/>
          <w:lang w:val="es-ES_tradnl"/>
        </w:rPr>
        <w:t>nica de Garant</w:t>
      </w:r>
      <w:r>
        <w:rPr>
          <w:rFonts w:cs="Times New Roman"/>
          <w:spacing w:val="-9"/>
          <w:sz w:val="18"/>
          <w:szCs w:val="18"/>
          <w:lang w:val="es-ES_tradnl"/>
        </w:rPr>
        <w:t>í</w:t>
      </w:r>
      <w:r>
        <w:rPr>
          <w:spacing w:val="-9"/>
          <w:sz w:val="18"/>
          <w:szCs w:val="18"/>
          <w:lang w:val="es-ES_tradnl"/>
        </w:rPr>
        <w:t xml:space="preserve">as Jurisdiccionales </w:t>
      </w:r>
      <w:r>
        <w:rPr>
          <w:sz w:val="18"/>
          <w:szCs w:val="18"/>
          <w:lang w:val="es-ES_tradnl"/>
        </w:rPr>
        <w:t>y Control Constitucional</w:t>
      </w:r>
      <w:r>
        <w:rPr>
          <w:sz w:val="18"/>
          <w:szCs w:val="18"/>
          <w:vertAlign w:val="superscript"/>
          <w:lang w:val="es-ES_tradnl"/>
        </w:rPr>
        <w:t>3</w:t>
      </w:r>
      <w:r>
        <w:rPr>
          <w:sz w:val="18"/>
          <w:szCs w:val="18"/>
          <w:lang w:val="es-ES_tradnl"/>
        </w:rPr>
        <w:t>.</w:t>
      </w:r>
    </w:p>
    <w:p w14:paraId="4F67A96E" w14:textId="77777777" w:rsidR="00591D54" w:rsidRDefault="00591D54">
      <w:pPr>
        <w:shd w:val="clear" w:color="auto" w:fill="FFFFFF"/>
        <w:spacing w:before="197" w:line="216" w:lineRule="exact"/>
        <w:jc w:val="both"/>
      </w:pPr>
      <w:r>
        <w:rPr>
          <w:spacing w:val="-4"/>
          <w:sz w:val="18"/>
          <w:szCs w:val="18"/>
          <w:lang w:val="es-ES_tradnl"/>
        </w:rPr>
        <w:t>Si bien la determinaci</w:t>
      </w:r>
      <w:r>
        <w:rPr>
          <w:rFonts w:cs="Times New Roman"/>
          <w:spacing w:val="-4"/>
          <w:sz w:val="18"/>
          <w:szCs w:val="18"/>
          <w:lang w:val="es-ES_tradnl"/>
        </w:rPr>
        <w:t>ó</w:t>
      </w:r>
      <w:r>
        <w:rPr>
          <w:spacing w:val="-4"/>
          <w:sz w:val="18"/>
          <w:szCs w:val="18"/>
          <w:lang w:val="es-ES_tradnl"/>
        </w:rPr>
        <w:t xml:space="preserve">n del monto a pagar, por tratarse </w:t>
      </w:r>
      <w:r>
        <w:rPr>
          <w:spacing w:val="-7"/>
          <w:sz w:val="18"/>
          <w:szCs w:val="18"/>
          <w:lang w:val="es-ES_tradnl"/>
        </w:rPr>
        <w:t>de remuneraciones y bonificaciones de ley, podr</w:t>
      </w:r>
      <w:r>
        <w:rPr>
          <w:rFonts w:cs="Times New Roman"/>
          <w:spacing w:val="-7"/>
          <w:sz w:val="18"/>
          <w:szCs w:val="18"/>
          <w:lang w:val="es-ES_tradnl"/>
        </w:rPr>
        <w:t>í</w:t>
      </w:r>
      <w:r>
        <w:rPr>
          <w:spacing w:val="-7"/>
          <w:sz w:val="18"/>
          <w:szCs w:val="18"/>
          <w:lang w:val="es-ES_tradnl"/>
        </w:rPr>
        <w:t xml:space="preserve">a ser </w:t>
      </w:r>
      <w:r>
        <w:rPr>
          <w:spacing w:val="-6"/>
          <w:sz w:val="18"/>
          <w:szCs w:val="18"/>
          <w:lang w:val="es-ES_tradnl"/>
        </w:rPr>
        <w:t>realizada por la propia instituci</w:t>
      </w:r>
      <w:r>
        <w:rPr>
          <w:rFonts w:cs="Times New Roman"/>
          <w:spacing w:val="-6"/>
          <w:sz w:val="18"/>
          <w:szCs w:val="18"/>
          <w:lang w:val="es-ES_tradnl"/>
        </w:rPr>
        <w:t>ó</w:t>
      </w:r>
      <w:r>
        <w:rPr>
          <w:spacing w:val="-6"/>
          <w:sz w:val="18"/>
          <w:szCs w:val="18"/>
          <w:lang w:val="es-ES_tradnl"/>
        </w:rPr>
        <w:t xml:space="preserve">n accionada, conforme ha </w:t>
      </w:r>
      <w:r>
        <w:rPr>
          <w:spacing w:val="-9"/>
          <w:sz w:val="18"/>
          <w:szCs w:val="18"/>
          <w:lang w:val="es-ES_tradnl"/>
        </w:rPr>
        <w:t>manifestado esta Corte Constitucional en casos an</w:t>
      </w:r>
      <w:r>
        <w:rPr>
          <w:rFonts w:cs="Times New Roman"/>
          <w:spacing w:val="-9"/>
          <w:sz w:val="18"/>
          <w:szCs w:val="18"/>
          <w:lang w:val="es-ES_tradnl"/>
        </w:rPr>
        <w:t>á</w:t>
      </w:r>
      <w:r>
        <w:rPr>
          <w:spacing w:val="-9"/>
          <w:sz w:val="18"/>
          <w:szCs w:val="18"/>
          <w:lang w:val="es-ES_tradnl"/>
        </w:rPr>
        <w:t>logos</w:t>
      </w:r>
      <w:r>
        <w:rPr>
          <w:spacing w:val="-9"/>
          <w:sz w:val="18"/>
          <w:szCs w:val="18"/>
          <w:vertAlign w:val="superscript"/>
          <w:lang w:val="es-ES_tradnl"/>
        </w:rPr>
        <w:t xml:space="preserve">4 </w:t>
      </w:r>
      <w:r>
        <w:rPr>
          <w:spacing w:val="-8"/>
          <w:sz w:val="18"/>
          <w:szCs w:val="18"/>
          <w:lang w:val="es-ES_tradnl"/>
        </w:rPr>
        <w:t>anteriores, debido a las circunstancias particulares de esta causa se estima pertinente que la determinaci</w:t>
      </w:r>
      <w:r>
        <w:rPr>
          <w:rFonts w:cs="Times New Roman"/>
          <w:spacing w:val="-8"/>
          <w:sz w:val="18"/>
          <w:szCs w:val="18"/>
          <w:lang w:val="es-ES_tradnl"/>
        </w:rPr>
        <w:t>ó</w:t>
      </w:r>
      <w:r>
        <w:rPr>
          <w:spacing w:val="-8"/>
          <w:sz w:val="18"/>
          <w:szCs w:val="18"/>
          <w:lang w:val="es-ES_tradnl"/>
        </w:rPr>
        <w:t xml:space="preserve">n, por ser </w:t>
      </w:r>
      <w:r>
        <w:rPr>
          <w:spacing w:val="-6"/>
          <w:sz w:val="18"/>
          <w:szCs w:val="18"/>
          <w:lang w:val="es-ES_tradnl"/>
        </w:rPr>
        <w:t>compleja, se la realice a trav</w:t>
      </w:r>
      <w:r>
        <w:rPr>
          <w:rFonts w:cs="Times New Roman"/>
          <w:spacing w:val="-6"/>
          <w:sz w:val="18"/>
          <w:szCs w:val="18"/>
          <w:lang w:val="es-ES_tradnl"/>
        </w:rPr>
        <w:t>é</w:t>
      </w:r>
      <w:r>
        <w:rPr>
          <w:spacing w:val="-6"/>
          <w:sz w:val="18"/>
          <w:szCs w:val="18"/>
          <w:lang w:val="es-ES_tradnl"/>
        </w:rPr>
        <w:t>s del Tribunal Distrital de lo Contencioso Administrativo, en un tr</w:t>
      </w:r>
      <w:r>
        <w:rPr>
          <w:rFonts w:cs="Times New Roman"/>
          <w:spacing w:val="-6"/>
          <w:sz w:val="18"/>
          <w:szCs w:val="18"/>
          <w:lang w:val="es-ES_tradnl"/>
        </w:rPr>
        <w:t>á</w:t>
      </w:r>
      <w:r>
        <w:rPr>
          <w:spacing w:val="-6"/>
          <w:sz w:val="18"/>
          <w:szCs w:val="18"/>
          <w:lang w:val="es-ES_tradnl"/>
        </w:rPr>
        <w:t>mite sencillo, r</w:t>
      </w:r>
      <w:r>
        <w:rPr>
          <w:rFonts w:cs="Times New Roman"/>
          <w:spacing w:val="-6"/>
          <w:sz w:val="18"/>
          <w:szCs w:val="18"/>
          <w:lang w:val="es-ES_tradnl"/>
        </w:rPr>
        <w:t>á</w:t>
      </w:r>
      <w:r>
        <w:rPr>
          <w:spacing w:val="-6"/>
          <w:sz w:val="18"/>
          <w:szCs w:val="18"/>
          <w:lang w:val="es-ES_tradnl"/>
        </w:rPr>
        <w:t xml:space="preserve">pido </w:t>
      </w:r>
      <w:r>
        <w:rPr>
          <w:sz w:val="18"/>
          <w:szCs w:val="18"/>
          <w:lang w:val="es-ES_tradnl"/>
        </w:rPr>
        <w:t>y eficaz.</w:t>
      </w:r>
    </w:p>
    <w:p w14:paraId="4F67A96F" w14:textId="77777777" w:rsidR="00591D54" w:rsidRDefault="00591D54">
      <w:pPr>
        <w:shd w:val="clear" w:color="auto" w:fill="FFFFFF"/>
        <w:spacing w:before="197" w:line="216" w:lineRule="exact"/>
        <w:ind w:right="5"/>
        <w:jc w:val="both"/>
      </w:pPr>
      <w:r>
        <w:rPr>
          <w:spacing w:val="-7"/>
          <w:sz w:val="18"/>
          <w:szCs w:val="18"/>
          <w:lang w:val="es-ES_tradnl"/>
        </w:rPr>
        <w:t>De ah</w:t>
      </w:r>
      <w:r>
        <w:rPr>
          <w:rFonts w:cs="Times New Roman"/>
          <w:spacing w:val="-7"/>
          <w:sz w:val="18"/>
          <w:szCs w:val="18"/>
          <w:lang w:val="es-ES_tradnl"/>
        </w:rPr>
        <w:t>í</w:t>
      </w:r>
      <w:r>
        <w:rPr>
          <w:spacing w:val="-7"/>
          <w:sz w:val="18"/>
          <w:szCs w:val="18"/>
          <w:lang w:val="es-ES_tradnl"/>
        </w:rPr>
        <w:t xml:space="preserve"> que este </w:t>
      </w:r>
      <w:r>
        <w:rPr>
          <w:rFonts w:cs="Times New Roman"/>
          <w:spacing w:val="-7"/>
          <w:sz w:val="18"/>
          <w:szCs w:val="18"/>
          <w:lang w:val="es-ES_tradnl"/>
        </w:rPr>
        <w:t>Ó</w:t>
      </w:r>
      <w:r>
        <w:rPr>
          <w:spacing w:val="-7"/>
          <w:sz w:val="18"/>
          <w:szCs w:val="18"/>
          <w:lang w:val="es-ES_tradnl"/>
        </w:rPr>
        <w:t>rgano establece que la jurisdicci</w:t>
      </w:r>
      <w:r>
        <w:rPr>
          <w:rFonts w:cs="Times New Roman"/>
          <w:spacing w:val="-7"/>
          <w:sz w:val="18"/>
          <w:szCs w:val="18"/>
          <w:lang w:val="es-ES_tradnl"/>
        </w:rPr>
        <w:t>ó</w:t>
      </w:r>
      <w:r>
        <w:rPr>
          <w:spacing w:val="-7"/>
          <w:sz w:val="18"/>
          <w:szCs w:val="18"/>
          <w:lang w:val="es-ES_tradnl"/>
        </w:rPr>
        <w:t xml:space="preserve">n contencioso administrativa es la encargada de determinar </w:t>
      </w:r>
      <w:r>
        <w:rPr>
          <w:spacing w:val="-5"/>
          <w:sz w:val="18"/>
          <w:szCs w:val="18"/>
          <w:lang w:val="es-ES_tradnl"/>
        </w:rPr>
        <w:t>el monto exacto que la Direcci</w:t>
      </w:r>
      <w:r>
        <w:rPr>
          <w:rFonts w:cs="Times New Roman"/>
          <w:spacing w:val="-5"/>
          <w:sz w:val="18"/>
          <w:szCs w:val="18"/>
          <w:lang w:val="es-ES_tradnl"/>
        </w:rPr>
        <w:t>ó</w:t>
      </w:r>
      <w:r>
        <w:rPr>
          <w:spacing w:val="-5"/>
          <w:sz w:val="18"/>
          <w:szCs w:val="18"/>
          <w:lang w:val="es-ES_tradnl"/>
        </w:rPr>
        <w:t xml:space="preserve">n Provincial de Salud de </w:t>
      </w:r>
      <w:r>
        <w:rPr>
          <w:spacing w:val="-6"/>
          <w:sz w:val="18"/>
          <w:szCs w:val="18"/>
          <w:lang w:val="es-ES_tradnl"/>
        </w:rPr>
        <w:t>Chimborazo y el Hospital de Colta cancelar</w:t>
      </w:r>
      <w:r>
        <w:rPr>
          <w:rFonts w:cs="Times New Roman"/>
          <w:spacing w:val="-6"/>
          <w:sz w:val="18"/>
          <w:szCs w:val="18"/>
          <w:lang w:val="es-ES_tradnl"/>
        </w:rPr>
        <w:t>á</w:t>
      </w:r>
      <w:r>
        <w:rPr>
          <w:spacing w:val="-6"/>
          <w:sz w:val="18"/>
          <w:szCs w:val="18"/>
          <w:lang w:val="es-ES_tradnl"/>
        </w:rPr>
        <w:t xml:space="preserve">n en favor de </w:t>
      </w:r>
      <w:r>
        <w:rPr>
          <w:spacing w:val="-7"/>
          <w:sz w:val="18"/>
          <w:szCs w:val="18"/>
          <w:lang w:val="es-ES_tradnl"/>
        </w:rPr>
        <w:t>la accionante, doctora Mar</w:t>
      </w:r>
      <w:r>
        <w:rPr>
          <w:rFonts w:cs="Times New Roman"/>
          <w:spacing w:val="-7"/>
          <w:sz w:val="18"/>
          <w:szCs w:val="18"/>
          <w:lang w:val="es-ES_tradnl"/>
        </w:rPr>
        <w:t>í</w:t>
      </w:r>
      <w:r>
        <w:rPr>
          <w:spacing w:val="-7"/>
          <w:sz w:val="18"/>
          <w:szCs w:val="18"/>
          <w:lang w:val="es-ES_tradnl"/>
        </w:rPr>
        <w:t xml:space="preserve">a Paca Ajitimbay, dentro de un </w:t>
      </w:r>
      <w:r>
        <w:rPr>
          <w:spacing w:val="-10"/>
          <w:sz w:val="18"/>
          <w:szCs w:val="18"/>
          <w:lang w:val="es-ES_tradnl"/>
        </w:rPr>
        <w:t xml:space="preserve">plazo razonable y observando el procedimiento determinado </w:t>
      </w:r>
      <w:r>
        <w:rPr>
          <w:spacing w:val="-8"/>
          <w:sz w:val="18"/>
          <w:szCs w:val="18"/>
          <w:lang w:val="es-ES_tradnl"/>
        </w:rPr>
        <w:t>en la sentencia signada con el N.</w:t>
      </w:r>
      <w:r>
        <w:rPr>
          <w:rFonts w:cs="Times New Roman"/>
          <w:spacing w:val="-8"/>
          <w:sz w:val="18"/>
          <w:szCs w:val="18"/>
          <w:lang w:val="es-ES_tradnl"/>
        </w:rPr>
        <w:t>º</w:t>
      </w:r>
      <w:r>
        <w:rPr>
          <w:spacing w:val="-8"/>
          <w:sz w:val="18"/>
          <w:szCs w:val="18"/>
          <w:lang w:val="es-ES_tradnl"/>
        </w:rPr>
        <w:t xml:space="preserve"> 004-13-SAN-CC</w:t>
      </w:r>
      <w:r>
        <w:rPr>
          <w:spacing w:val="-8"/>
          <w:sz w:val="18"/>
          <w:szCs w:val="18"/>
          <w:vertAlign w:val="superscript"/>
          <w:lang w:val="es-ES_tradnl"/>
        </w:rPr>
        <w:t>5</w:t>
      </w:r>
      <w:r>
        <w:rPr>
          <w:spacing w:val="-8"/>
          <w:sz w:val="18"/>
          <w:szCs w:val="18"/>
          <w:lang w:val="es-ES_tradnl"/>
        </w:rPr>
        <w:t>, luego de lo cual se deber</w:t>
      </w:r>
      <w:r>
        <w:rPr>
          <w:rFonts w:cs="Times New Roman"/>
          <w:spacing w:val="-8"/>
          <w:sz w:val="18"/>
          <w:szCs w:val="18"/>
          <w:lang w:val="es-ES_tradnl"/>
        </w:rPr>
        <w:t>á</w:t>
      </w:r>
      <w:r>
        <w:rPr>
          <w:spacing w:val="-8"/>
          <w:sz w:val="18"/>
          <w:szCs w:val="18"/>
          <w:lang w:val="es-ES_tradnl"/>
        </w:rPr>
        <w:t xml:space="preserve"> informar a esta Corte.</w:t>
      </w:r>
    </w:p>
    <w:p w14:paraId="4F67A970" w14:textId="77777777" w:rsidR="00591D54" w:rsidRDefault="00591D54">
      <w:pPr>
        <w:shd w:val="clear" w:color="auto" w:fill="FFFFFF"/>
        <w:spacing w:before="192"/>
        <w:ind w:right="5"/>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A971" w14:textId="77777777" w:rsidR="00591D54" w:rsidRDefault="00591D54">
      <w:pPr>
        <w:shd w:val="clear" w:color="auto" w:fill="FFFFFF"/>
        <w:spacing w:before="192" w:line="216" w:lineRule="exact"/>
        <w:ind w:right="5"/>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5"/>
          <w:sz w:val="18"/>
          <w:szCs w:val="18"/>
          <w:lang w:val="es-ES_tradnl"/>
        </w:rPr>
        <w:t>constitucional y por mandato de la Constituci</w:t>
      </w:r>
      <w:r>
        <w:rPr>
          <w:rFonts w:cs="Times New Roman"/>
          <w:spacing w:val="-5"/>
          <w:sz w:val="18"/>
          <w:szCs w:val="18"/>
          <w:lang w:val="es-ES_tradnl"/>
        </w:rPr>
        <w:t>ó</w:t>
      </w:r>
      <w:r>
        <w:rPr>
          <w:spacing w:val="-5"/>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 xml:space="preserve">blica del Ecuador, el Pleno de la Corte Constitucional </w:t>
      </w:r>
      <w:r>
        <w:rPr>
          <w:sz w:val="18"/>
          <w:szCs w:val="18"/>
          <w:lang w:val="es-ES_tradnl"/>
        </w:rPr>
        <w:t>expide la siguiente:</w:t>
      </w:r>
    </w:p>
    <w:p w14:paraId="4F67A972" w14:textId="77777777" w:rsidR="00591D54" w:rsidRDefault="00591D54">
      <w:pPr>
        <w:shd w:val="clear" w:color="auto" w:fill="FFFFFF"/>
        <w:spacing w:before="192"/>
        <w:ind w:right="5"/>
        <w:jc w:val="center"/>
      </w:pPr>
      <w:r>
        <w:rPr>
          <w:b/>
          <w:bCs/>
          <w:sz w:val="18"/>
          <w:szCs w:val="18"/>
          <w:lang w:val="es-ES_tradnl"/>
        </w:rPr>
        <w:t>SENTENCIA</w:t>
      </w:r>
    </w:p>
    <w:p w14:paraId="4F67A973" w14:textId="77777777" w:rsidR="00591D54" w:rsidRDefault="00591D54">
      <w:pPr>
        <w:shd w:val="clear" w:color="auto" w:fill="FFFFFF"/>
        <w:spacing w:before="192"/>
        <w:ind w:left="283"/>
      </w:pPr>
      <w:r>
        <w:rPr>
          <w:spacing w:val="-5"/>
          <w:sz w:val="18"/>
          <w:szCs w:val="18"/>
          <w:lang w:val="es-ES_tradnl"/>
        </w:rPr>
        <w:t>1.   Aceptar la acci</w:t>
      </w:r>
      <w:r>
        <w:rPr>
          <w:rFonts w:cs="Times New Roman"/>
          <w:spacing w:val="-5"/>
          <w:sz w:val="18"/>
          <w:szCs w:val="18"/>
          <w:lang w:val="es-ES_tradnl"/>
        </w:rPr>
        <w:t>ó</w:t>
      </w:r>
      <w:r>
        <w:rPr>
          <w:spacing w:val="-5"/>
          <w:sz w:val="18"/>
          <w:szCs w:val="18"/>
          <w:lang w:val="es-ES_tradnl"/>
        </w:rPr>
        <w:t>n de incumplimiento de sentencia</w:t>
      </w:r>
    </w:p>
    <w:p w14:paraId="4F67A974" w14:textId="77777777" w:rsidR="00591D54" w:rsidRDefault="00591D54">
      <w:pPr>
        <w:shd w:val="clear" w:color="auto" w:fill="FFFFFF"/>
        <w:tabs>
          <w:tab w:val="left" w:pos="144"/>
        </w:tabs>
        <w:spacing w:before="538" w:line="178" w:lineRule="exact"/>
        <w:ind w:left="144" w:right="5" w:hanging="144"/>
        <w:jc w:val="both"/>
      </w:pPr>
      <w:r>
        <w:rPr>
          <w:sz w:val="10"/>
          <w:szCs w:val="10"/>
          <w:vertAlign w:val="superscript"/>
          <w:lang w:val="es-ES_tradnl"/>
        </w:rPr>
        <w:t>3</w:t>
      </w:r>
      <w:r>
        <w:rPr>
          <w:sz w:val="18"/>
          <w:szCs w:val="18"/>
          <w:lang w:val="es-ES_tradnl"/>
        </w:rPr>
        <w:tab/>
      </w:r>
      <w:r>
        <w:rPr>
          <w:sz w:val="14"/>
          <w:szCs w:val="14"/>
          <w:lang w:val="es-ES_tradnl"/>
        </w:rPr>
        <w:t>Art.</w:t>
      </w:r>
      <w:r>
        <w:rPr>
          <w:sz w:val="18"/>
          <w:szCs w:val="18"/>
          <w:lang w:val="es-ES_tradnl"/>
        </w:rPr>
        <w:t xml:space="preserve"> </w:t>
      </w:r>
      <w:r>
        <w:rPr>
          <w:sz w:val="14"/>
          <w:szCs w:val="14"/>
          <w:lang w:val="es-ES_tradnl"/>
        </w:rPr>
        <w:t>19.-</w:t>
      </w:r>
      <w:r>
        <w:rPr>
          <w:sz w:val="18"/>
          <w:szCs w:val="18"/>
          <w:lang w:val="es-ES_tradnl"/>
        </w:rPr>
        <w:t xml:space="preserve"> </w:t>
      </w:r>
      <w:r>
        <w:rPr>
          <w:sz w:val="14"/>
          <w:szCs w:val="14"/>
          <w:lang w:val="es-ES_tradnl"/>
        </w:rPr>
        <w:t>Reparaci</w:t>
      </w:r>
      <w:r>
        <w:rPr>
          <w:rFonts w:cs="Times New Roman"/>
          <w:sz w:val="14"/>
          <w:szCs w:val="14"/>
          <w:lang w:val="es-ES_tradnl"/>
        </w:rPr>
        <w:t>ó</w:t>
      </w:r>
      <w:r>
        <w:rPr>
          <w:sz w:val="14"/>
          <w:szCs w:val="14"/>
          <w:lang w:val="es-ES_tradnl"/>
        </w:rPr>
        <w:t>n</w:t>
      </w:r>
      <w:r>
        <w:rPr>
          <w:sz w:val="18"/>
          <w:szCs w:val="18"/>
          <w:lang w:val="es-ES_tradnl"/>
        </w:rPr>
        <w:t xml:space="preserve"> </w:t>
      </w:r>
      <w:r>
        <w:rPr>
          <w:sz w:val="14"/>
          <w:szCs w:val="14"/>
          <w:lang w:val="es-ES_tradnl"/>
        </w:rPr>
        <w:t>econ</w:t>
      </w:r>
      <w:r>
        <w:rPr>
          <w:rFonts w:cs="Times New Roman"/>
          <w:sz w:val="14"/>
          <w:szCs w:val="14"/>
          <w:lang w:val="es-ES_tradnl"/>
        </w:rPr>
        <w:t>ó</w:t>
      </w:r>
      <w:r>
        <w:rPr>
          <w:sz w:val="14"/>
          <w:szCs w:val="14"/>
          <w:lang w:val="es-ES_tradnl"/>
        </w:rPr>
        <w:t>mica.-</w:t>
      </w:r>
      <w:r>
        <w:rPr>
          <w:sz w:val="18"/>
          <w:szCs w:val="18"/>
          <w:lang w:val="es-ES_tradnl"/>
        </w:rPr>
        <w:t xml:space="preserve"> </w:t>
      </w:r>
      <w:r>
        <w:rPr>
          <w:sz w:val="14"/>
          <w:szCs w:val="14"/>
          <w:lang w:val="es-ES_tradnl"/>
        </w:rPr>
        <w:t>Cuando</w:t>
      </w:r>
      <w:r>
        <w:rPr>
          <w:sz w:val="18"/>
          <w:szCs w:val="18"/>
          <w:lang w:val="es-ES_tradnl"/>
        </w:rPr>
        <w:t xml:space="preserve"> </w:t>
      </w:r>
      <w:r>
        <w:rPr>
          <w:sz w:val="14"/>
          <w:szCs w:val="14"/>
          <w:lang w:val="es-ES_tradnl"/>
        </w:rPr>
        <w:t>parte</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la</w:t>
      </w:r>
      <w:r>
        <w:rPr>
          <w:sz w:val="18"/>
          <w:szCs w:val="18"/>
          <w:lang w:val="es-ES_tradnl"/>
        </w:rPr>
        <w:t xml:space="preserve"> </w:t>
      </w:r>
      <w:r>
        <w:rPr>
          <w:sz w:val="14"/>
          <w:szCs w:val="14"/>
          <w:lang w:val="es-ES_tradnl"/>
        </w:rPr>
        <w:t>reparaci</w:t>
      </w:r>
      <w:r>
        <w:rPr>
          <w:rFonts w:cs="Times New Roman"/>
          <w:sz w:val="14"/>
          <w:szCs w:val="14"/>
          <w:lang w:val="es-ES_tradnl"/>
        </w:rPr>
        <w:t>ó</w:t>
      </w:r>
      <w:r>
        <w:rPr>
          <w:sz w:val="14"/>
          <w:szCs w:val="14"/>
          <w:lang w:val="es-ES_tradnl"/>
        </w:rPr>
        <w:t>n, por cualquier motivo, implique pago en dinero al afectado o titular del derecho violado, la determinaci</w:t>
      </w:r>
      <w:r>
        <w:rPr>
          <w:rFonts w:cs="Times New Roman"/>
          <w:sz w:val="14"/>
          <w:szCs w:val="14"/>
          <w:lang w:val="es-ES_tradnl"/>
        </w:rPr>
        <w:t>ó</w:t>
      </w:r>
      <w:r>
        <w:rPr>
          <w:sz w:val="14"/>
          <w:szCs w:val="14"/>
          <w:lang w:val="es-ES_tradnl"/>
        </w:rPr>
        <w:t>n del monto se tramitar</w:t>
      </w:r>
      <w:r>
        <w:rPr>
          <w:rFonts w:cs="Times New Roman"/>
          <w:sz w:val="14"/>
          <w:szCs w:val="14"/>
          <w:lang w:val="es-ES_tradnl"/>
        </w:rPr>
        <w:t>á</w:t>
      </w:r>
      <w:r>
        <w:rPr>
          <w:sz w:val="14"/>
          <w:szCs w:val="14"/>
          <w:lang w:val="es-ES_tradnl"/>
        </w:rPr>
        <w:t xml:space="preserve"> en </w:t>
      </w:r>
      <w:r>
        <w:rPr>
          <w:spacing w:val="-1"/>
          <w:sz w:val="14"/>
          <w:szCs w:val="14"/>
          <w:lang w:val="es-ES_tradnl"/>
        </w:rPr>
        <w:t>juicio verbal sumario ante la misma jueza o juez, si fuere contra un </w:t>
      </w:r>
      <w:r>
        <w:rPr>
          <w:sz w:val="14"/>
          <w:szCs w:val="14"/>
          <w:lang w:val="es-ES_tradnl"/>
        </w:rPr>
        <w:t>particular; y en juicio contencioso administrativo si fuere contra el </w:t>
      </w:r>
      <w:r>
        <w:rPr>
          <w:spacing w:val="-2"/>
          <w:sz w:val="14"/>
          <w:szCs w:val="14"/>
          <w:lang w:val="es-ES_tradnl"/>
        </w:rPr>
        <w:t>Estado. Solo podr</w:t>
      </w:r>
      <w:r>
        <w:rPr>
          <w:rFonts w:cs="Times New Roman"/>
          <w:spacing w:val="-2"/>
          <w:sz w:val="14"/>
          <w:szCs w:val="14"/>
          <w:lang w:val="es-ES_tradnl"/>
        </w:rPr>
        <w:t>á</w:t>
      </w:r>
      <w:r>
        <w:rPr>
          <w:spacing w:val="-2"/>
          <w:sz w:val="14"/>
          <w:szCs w:val="14"/>
          <w:lang w:val="es-ES_tradnl"/>
        </w:rPr>
        <w:t xml:space="preserve"> interponerse recurso de apelaci</w:t>
      </w:r>
      <w:r>
        <w:rPr>
          <w:rFonts w:cs="Times New Roman"/>
          <w:spacing w:val="-2"/>
          <w:sz w:val="14"/>
          <w:szCs w:val="14"/>
          <w:lang w:val="es-ES_tradnl"/>
        </w:rPr>
        <w:t>ó</w:t>
      </w:r>
      <w:r>
        <w:rPr>
          <w:spacing w:val="-2"/>
          <w:sz w:val="14"/>
          <w:szCs w:val="14"/>
          <w:lang w:val="es-ES_tradnl"/>
        </w:rPr>
        <w:t>n en los casos </w:t>
      </w:r>
      <w:r>
        <w:rPr>
          <w:sz w:val="14"/>
          <w:szCs w:val="14"/>
          <w:lang w:val="es-ES_tradnl"/>
        </w:rPr>
        <w:t>que la ley lo habilite.</w:t>
      </w:r>
    </w:p>
    <w:p w14:paraId="4F67A975" w14:textId="77777777" w:rsidR="00591D54" w:rsidRDefault="00591D54">
      <w:pPr>
        <w:shd w:val="clear" w:color="auto" w:fill="FFFFFF"/>
        <w:tabs>
          <w:tab w:val="left" w:pos="144"/>
        </w:tabs>
        <w:spacing w:before="154" w:line="178" w:lineRule="exact"/>
        <w:ind w:left="144" w:right="5" w:hanging="144"/>
        <w:jc w:val="both"/>
      </w:pPr>
      <w:r>
        <w:rPr>
          <w:sz w:val="10"/>
          <w:szCs w:val="10"/>
          <w:vertAlign w:val="superscript"/>
          <w:lang w:val="es-ES_tradnl"/>
        </w:rPr>
        <w:t>4</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No.</w:t>
      </w:r>
      <w:r>
        <w:rPr>
          <w:sz w:val="18"/>
          <w:szCs w:val="18"/>
          <w:lang w:val="es-ES_tradnl"/>
        </w:rPr>
        <w:t xml:space="preserve"> </w:t>
      </w:r>
      <w:r>
        <w:rPr>
          <w:sz w:val="14"/>
          <w:szCs w:val="14"/>
          <w:lang w:val="es-ES_tradnl"/>
        </w:rPr>
        <w:t xml:space="preserve">024-14-SIS-CC, caso No. 0023-12-IS: </w:t>
      </w:r>
      <w:r>
        <w:rPr>
          <w:rFonts w:cs="Times New Roman"/>
          <w:sz w:val="14"/>
          <w:szCs w:val="14"/>
          <w:lang w:val="es-ES_tradnl"/>
        </w:rPr>
        <w:t>“</w:t>
      </w:r>
      <w:r>
        <w:rPr>
          <w:sz w:val="14"/>
          <w:szCs w:val="14"/>
          <w:lang w:val="es-ES_tradnl"/>
        </w:rPr>
        <w:t>(</w:t>
      </w:r>
      <w:r>
        <w:rPr>
          <w:rFonts w:cs="Times New Roman"/>
          <w:sz w:val="14"/>
          <w:szCs w:val="14"/>
          <w:lang w:val="es-ES_tradnl"/>
        </w:rPr>
        <w:t>…</w:t>
      </w:r>
      <w:r>
        <w:rPr>
          <w:sz w:val="14"/>
          <w:szCs w:val="14"/>
          <w:lang w:val="es-ES_tradnl"/>
        </w:rPr>
        <w:t>) Por contrario sensu, es criterio de esta </w:t>
      </w:r>
      <w:r>
        <w:rPr>
          <w:spacing w:val="-1"/>
          <w:sz w:val="14"/>
          <w:szCs w:val="14"/>
          <w:lang w:val="es-ES_tradnl"/>
        </w:rPr>
        <w:t>Corte, que la remisi</w:t>
      </w:r>
      <w:r>
        <w:rPr>
          <w:rFonts w:cs="Times New Roman"/>
          <w:spacing w:val="-1"/>
          <w:sz w:val="14"/>
          <w:szCs w:val="14"/>
          <w:lang w:val="es-ES_tradnl"/>
        </w:rPr>
        <w:t>ó</w:t>
      </w:r>
      <w:r>
        <w:rPr>
          <w:spacing w:val="-1"/>
          <w:sz w:val="14"/>
          <w:szCs w:val="14"/>
          <w:lang w:val="es-ES_tradnl"/>
        </w:rPr>
        <w:t>n a los preindicados tr</w:t>
      </w:r>
      <w:r>
        <w:rPr>
          <w:rFonts w:cs="Times New Roman"/>
          <w:spacing w:val="-1"/>
          <w:sz w:val="14"/>
          <w:szCs w:val="14"/>
          <w:lang w:val="es-ES_tradnl"/>
        </w:rPr>
        <w:t>á</w:t>
      </w:r>
      <w:r>
        <w:rPr>
          <w:spacing w:val="-1"/>
          <w:sz w:val="14"/>
          <w:szCs w:val="14"/>
          <w:lang w:val="es-ES_tradnl"/>
        </w:rPr>
        <w:t>mites [en referencia al </w:t>
      </w:r>
      <w:r>
        <w:rPr>
          <w:sz w:val="14"/>
          <w:szCs w:val="14"/>
          <w:lang w:val="es-ES_tradnl"/>
        </w:rPr>
        <w:t>contenido del art</w:t>
      </w:r>
      <w:r>
        <w:rPr>
          <w:rFonts w:cs="Times New Roman"/>
          <w:sz w:val="14"/>
          <w:szCs w:val="14"/>
          <w:lang w:val="es-ES_tradnl"/>
        </w:rPr>
        <w:t>í</w:t>
      </w:r>
      <w:r>
        <w:rPr>
          <w:sz w:val="14"/>
          <w:szCs w:val="14"/>
          <w:lang w:val="es-ES_tradnl"/>
        </w:rPr>
        <w:t>culo 19 LOGJCC y de la sentencia 004-13-SAN- </w:t>
      </w:r>
      <w:r>
        <w:rPr>
          <w:spacing w:val="-2"/>
          <w:sz w:val="14"/>
          <w:szCs w:val="14"/>
          <w:lang w:val="es-ES_tradnl"/>
        </w:rPr>
        <w:t>CC, de 13 de junio de 2013] no procede cuando se trata de pago de </w:t>
      </w:r>
      <w:r>
        <w:rPr>
          <w:spacing w:val="-3"/>
          <w:sz w:val="14"/>
          <w:szCs w:val="14"/>
          <w:lang w:val="es-ES_tradnl"/>
        </w:rPr>
        <w:t>remuneraciones ordenado por la sentencia como parte de la medida </w:t>
      </w:r>
      <w:r>
        <w:rPr>
          <w:spacing w:val="-4"/>
          <w:sz w:val="14"/>
          <w:szCs w:val="14"/>
          <w:lang w:val="es-ES_tradnl"/>
        </w:rPr>
        <w:t>reparatoria destinada a restablecer la situaci</w:t>
      </w:r>
      <w:r>
        <w:rPr>
          <w:rFonts w:cs="Times New Roman"/>
          <w:spacing w:val="-4"/>
          <w:sz w:val="14"/>
          <w:szCs w:val="14"/>
          <w:lang w:val="es-ES_tradnl"/>
        </w:rPr>
        <w:t>ó</w:t>
      </w:r>
      <w:r>
        <w:rPr>
          <w:spacing w:val="-4"/>
          <w:sz w:val="14"/>
          <w:szCs w:val="14"/>
          <w:lang w:val="es-ES_tradnl"/>
        </w:rPr>
        <w:t>n de la v</w:t>
      </w:r>
      <w:r>
        <w:rPr>
          <w:rFonts w:cs="Times New Roman"/>
          <w:spacing w:val="-4"/>
          <w:sz w:val="14"/>
          <w:szCs w:val="14"/>
          <w:lang w:val="es-ES_tradnl"/>
        </w:rPr>
        <w:t>í</w:t>
      </w:r>
      <w:r>
        <w:rPr>
          <w:spacing w:val="-4"/>
          <w:sz w:val="14"/>
          <w:szCs w:val="14"/>
          <w:lang w:val="es-ES_tradnl"/>
        </w:rPr>
        <w:t>ctima al estado </w:t>
      </w:r>
      <w:r>
        <w:rPr>
          <w:spacing w:val="-3"/>
          <w:sz w:val="14"/>
          <w:szCs w:val="14"/>
          <w:lang w:val="es-ES_tradnl"/>
        </w:rPr>
        <w:t>preexistente a la vulneraci</w:t>
      </w:r>
      <w:r>
        <w:rPr>
          <w:rFonts w:cs="Times New Roman"/>
          <w:spacing w:val="-3"/>
          <w:sz w:val="14"/>
          <w:szCs w:val="14"/>
          <w:lang w:val="es-ES_tradnl"/>
        </w:rPr>
        <w:t>ó</w:t>
      </w:r>
      <w:r>
        <w:rPr>
          <w:spacing w:val="-3"/>
          <w:sz w:val="14"/>
          <w:szCs w:val="14"/>
          <w:lang w:val="es-ES_tradnl"/>
        </w:rPr>
        <w:t>n de derecho, por cuanto, en este caso: i) </w:t>
      </w:r>
      <w:r>
        <w:rPr>
          <w:spacing w:val="-2"/>
          <w:sz w:val="14"/>
          <w:szCs w:val="14"/>
          <w:lang w:val="es-ES_tradnl"/>
        </w:rPr>
        <w:t>No se trata de una indemnizaci</w:t>
      </w:r>
      <w:r>
        <w:rPr>
          <w:rFonts w:cs="Times New Roman"/>
          <w:spacing w:val="-2"/>
          <w:sz w:val="14"/>
          <w:szCs w:val="14"/>
          <w:lang w:val="es-ES_tradnl"/>
        </w:rPr>
        <w:t>ó</w:t>
      </w:r>
      <w:r>
        <w:rPr>
          <w:spacing w:val="-2"/>
          <w:sz w:val="14"/>
          <w:szCs w:val="14"/>
          <w:lang w:val="es-ES_tradnl"/>
        </w:rPr>
        <w:t>n de da</w:t>
      </w:r>
      <w:r>
        <w:rPr>
          <w:rFonts w:cs="Times New Roman"/>
          <w:spacing w:val="-2"/>
          <w:sz w:val="14"/>
          <w:szCs w:val="14"/>
          <w:lang w:val="es-ES_tradnl"/>
        </w:rPr>
        <w:t>ñ</w:t>
      </w:r>
      <w:r>
        <w:rPr>
          <w:spacing w:val="-2"/>
          <w:sz w:val="14"/>
          <w:szCs w:val="14"/>
          <w:lang w:val="es-ES_tradnl"/>
        </w:rPr>
        <w:t>os y perjuicios propiamente </w:t>
      </w:r>
      <w:r>
        <w:rPr>
          <w:sz w:val="14"/>
          <w:szCs w:val="14"/>
          <w:lang w:val="es-ES_tradnl"/>
        </w:rPr>
        <w:t>dicha (</w:t>
      </w:r>
      <w:r>
        <w:rPr>
          <w:rFonts w:cs="Times New Roman"/>
          <w:sz w:val="14"/>
          <w:szCs w:val="14"/>
          <w:lang w:val="es-ES_tradnl"/>
        </w:rPr>
        <w:t>…</w:t>
      </w:r>
      <w:r>
        <w:rPr>
          <w:sz w:val="14"/>
          <w:szCs w:val="14"/>
          <w:lang w:val="es-ES_tradnl"/>
        </w:rPr>
        <w:t>) ii) Porque, objetivamente, no existe un monto de dinero </w:t>
      </w:r>
      <w:r>
        <w:rPr>
          <w:spacing w:val="-2"/>
          <w:sz w:val="14"/>
          <w:szCs w:val="14"/>
          <w:lang w:val="es-ES_tradnl"/>
        </w:rPr>
        <w:t>a determinar, pues el monto de la remuneraci</w:t>
      </w:r>
      <w:r>
        <w:rPr>
          <w:rFonts w:cs="Times New Roman"/>
          <w:spacing w:val="-2"/>
          <w:sz w:val="14"/>
          <w:szCs w:val="14"/>
          <w:lang w:val="es-ES_tradnl"/>
        </w:rPr>
        <w:t>ó</w:t>
      </w:r>
      <w:r>
        <w:rPr>
          <w:spacing w:val="-2"/>
          <w:sz w:val="14"/>
          <w:szCs w:val="14"/>
          <w:lang w:val="es-ES_tradnl"/>
        </w:rPr>
        <w:t>n del afectado, es un valor conocido que ya est</w:t>
      </w:r>
      <w:r>
        <w:rPr>
          <w:rFonts w:cs="Times New Roman"/>
          <w:spacing w:val="-2"/>
          <w:sz w:val="14"/>
          <w:szCs w:val="14"/>
          <w:lang w:val="es-ES_tradnl"/>
        </w:rPr>
        <w:t>á</w:t>
      </w:r>
      <w:r>
        <w:rPr>
          <w:spacing w:val="-2"/>
          <w:sz w:val="14"/>
          <w:szCs w:val="14"/>
          <w:lang w:val="es-ES_tradnl"/>
        </w:rPr>
        <w:t xml:space="preserve"> determinado con anterioridad y absoluta precisi</w:t>
      </w:r>
      <w:r>
        <w:rPr>
          <w:rFonts w:cs="Times New Roman"/>
          <w:spacing w:val="-2"/>
          <w:sz w:val="14"/>
          <w:szCs w:val="14"/>
          <w:lang w:val="es-ES_tradnl"/>
        </w:rPr>
        <w:t>ó</w:t>
      </w:r>
      <w:r>
        <w:rPr>
          <w:spacing w:val="-2"/>
          <w:sz w:val="14"/>
          <w:szCs w:val="14"/>
          <w:lang w:val="es-ES_tradnl"/>
        </w:rPr>
        <w:t>n en la operaci</w:t>
      </w:r>
      <w:r>
        <w:rPr>
          <w:rFonts w:cs="Times New Roman"/>
          <w:spacing w:val="-2"/>
          <w:sz w:val="14"/>
          <w:szCs w:val="14"/>
          <w:lang w:val="es-ES_tradnl"/>
        </w:rPr>
        <w:t>ó</w:t>
      </w:r>
      <w:r>
        <w:rPr>
          <w:spacing w:val="-2"/>
          <w:sz w:val="14"/>
          <w:szCs w:val="14"/>
          <w:lang w:val="es-ES_tradnl"/>
        </w:rPr>
        <w:t>n econ</w:t>
      </w:r>
      <w:r>
        <w:rPr>
          <w:rFonts w:cs="Times New Roman"/>
          <w:spacing w:val="-2"/>
          <w:sz w:val="14"/>
          <w:szCs w:val="14"/>
          <w:lang w:val="es-ES_tradnl"/>
        </w:rPr>
        <w:t>ó</w:t>
      </w:r>
      <w:r>
        <w:rPr>
          <w:spacing w:val="-2"/>
          <w:sz w:val="14"/>
          <w:szCs w:val="14"/>
          <w:lang w:val="es-ES_tradnl"/>
        </w:rPr>
        <w:t>mica de la persona o entidad, p</w:t>
      </w:r>
      <w:r>
        <w:rPr>
          <w:rFonts w:cs="Times New Roman"/>
          <w:spacing w:val="-2"/>
          <w:sz w:val="14"/>
          <w:szCs w:val="14"/>
          <w:lang w:val="es-ES_tradnl"/>
        </w:rPr>
        <w:t>ú</w:t>
      </w:r>
      <w:r>
        <w:rPr>
          <w:spacing w:val="-2"/>
          <w:sz w:val="14"/>
          <w:szCs w:val="14"/>
          <w:lang w:val="es-ES_tradnl"/>
        </w:rPr>
        <w:t>blica </w:t>
      </w:r>
      <w:r>
        <w:rPr>
          <w:spacing w:val="-1"/>
          <w:sz w:val="14"/>
          <w:szCs w:val="14"/>
          <w:lang w:val="es-ES_tradnl"/>
        </w:rPr>
        <w:t>o privada, que debe cumplir lo resuelto en sentencia (</w:t>
      </w:r>
      <w:r>
        <w:rPr>
          <w:rFonts w:cs="Times New Roman"/>
          <w:spacing w:val="-1"/>
          <w:sz w:val="14"/>
          <w:szCs w:val="14"/>
          <w:lang w:val="es-ES_tradnl"/>
        </w:rPr>
        <w:t>…</w:t>
      </w:r>
      <w:r>
        <w:rPr>
          <w:spacing w:val="-1"/>
          <w:sz w:val="14"/>
          <w:szCs w:val="14"/>
          <w:lang w:val="es-ES_tradnl"/>
        </w:rPr>
        <w:t>)</w:t>
      </w:r>
      <w:r>
        <w:rPr>
          <w:rFonts w:cs="Times New Roman"/>
          <w:spacing w:val="-1"/>
          <w:sz w:val="14"/>
          <w:szCs w:val="14"/>
          <w:lang w:val="es-ES_tradnl"/>
        </w:rPr>
        <w:t>”</w:t>
      </w:r>
      <w:r>
        <w:rPr>
          <w:spacing w:val="-1"/>
          <w:sz w:val="14"/>
          <w:szCs w:val="14"/>
          <w:lang w:val="es-ES_tradnl"/>
        </w:rPr>
        <w:t>.</w:t>
      </w:r>
    </w:p>
    <w:p w14:paraId="4F67A976" w14:textId="77777777" w:rsidR="00591D54" w:rsidRDefault="00591D54">
      <w:pPr>
        <w:shd w:val="clear" w:color="auto" w:fill="FFFFFF"/>
        <w:tabs>
          <w:tab w:val="left" w:pos="144"/>
        </w:tabs>
        <w:spacing w:before="154" w:line="178" w:lineRule="exact"/>
        <w:ind w:left="144" w:right="5" w:hanging="144"/>
        <w:jc w:val="both"/>
      </w:pPr>
      <w:r>
        <w:rPr>
          <w:sz w:val="10"/>
          <w:szCs w:val="10"/>
          <w:vertAlign w:val="superscript"/>
          <w:lang w:val="es-ES_tradnl"/>
        </w:rPr>
        <w:t>5</w:t>
      </w:r>
      <w:r>
        <w:rPr>
          <w:sz w:val="18"/>
          <w:szCs w:val="18"/>
          <w:lang w:val="es-ES_tradnl"/>
        </w:rPr>
        <w:tab/>
      </w:r>
      <w:r>
        <w:rPr>
          <w:spacing w:val="-1"/>
          <w:sz w:val="14"/>
          <w:szCs w:val="14"/>
          <w:lang w:val="es-ES_tradnl"/>
        </w:rPr>
        <w:t>Corte</w:t>
      </w:r>
      <w:r>
        <w:rPr>
          <w:spacing w:val="-1"/>
          <w:sz w:val="18"/>
          <w:szCs w:val="18"/>
          <w:lang w:val="es-ES_tradnl"/>
        </w:rPr>
        <w:t xml:space="preserve"> </w:t>
      </w:r>
      <w:r>
        <w:rPr>
          <w:spacing w:val="-1"/>
          <w:sz w:val="14"/>
          <w:szCs w:val="14"/>
          <w:lang w:val="es-ES_tradnl"/>
        </w:rPr>
        <w:t>Constitucional</w:t>
      </w:r>
      <w:r>
        <w:rPr>
          <w:spacing w:val="-1"/>
          <w:sz w:val="18"/>
          <w:szCs w:val="18"/>
          <w:lang w:val="es-ES_tradnl"/>
        </w:rPr>
        <w:t xml:space="preserve"> </w:t>
      </w:r>
      <w:r>
        <w:rPr>
          <w:spacing w:val="-1"/>
          <w:sz w:val="14"/>
          <w:szCs w:val="14"/>
          <w:lang w:val="es-ES_tradnl"/>
        </w:rPr>
        <w:t>del</w:t>
      </w:r>
      <w:r>
        <w:rPr>
          <w:spacing w:val="-1"/>
          <w:sz w:val="18"/>
          <w:szCs w:val="18"/>
          <w:lang w:val="es-ES_tradnl"/>
        </w:rPr>
        <w:t xml:space="preserve"> </w:t>
      </w:r>
      <w:r>
        <w:rPr>
          <w:spacing w:val="-1"/>
          <w:sz w:val="14"/>
          <w:szCs w:val="14"/>
          <w:lang w:val="es-ES_tradnl"/>
        </w:rPr>
        <w:t>Ecuador,</w:t>
      </w:r>
      <w:r>
        <w:rPr>
          <w:spacing w:val="-1"/>
          <w:sz w:val="18"/>
          <w:szCs w:val="18"/>
          <w:lang w:val="es-ES_tradnl"/>
        </w:rPr>
        <w:t xml:space="preserve"> </w:t>
      </w:r>
      <w:r>
        <w:rPr>
          <w:spacing w:val="-1"/>
          <w:sz w:val="14"/>
          <w:szCs w:val="14"/>
          <w:lang w:val="es-ES_tradnl"/>
        </w:rPr>
        <w:t>sentencia</w:t>
      </w:r>
      <w:r>
        <w:rPr>
          <w:spacing w:val="-1"/>
          <w:sz w:val="18"/>
          <w:szCs w:val="18"/>
          <w:lang w:val="es-ES_tradnl"/>
        </w:rPr>
        <w:t xml:space="preserve"> </w:t>
      </w:r>
      <w:r>
        <w:rPr>
          <w:spacing w:val="-1"/>
          <w:sz w:val="14"/>
          <w:szCs w:val="14"/>
          <w:lang w:val="es-ES_tradnl"/>
        </w:rPr>
        <w:t>004-13-SAN-CC,</w:t>
      </w:r>
      <w:r>
        <w:rPr>
          <w:spacing w:val="-1"/>
          <w:sz w:val="18"/>
          <w:szCs w:val="18"/>
          <w:lang w:val="es-ES_tradnl"/>
        </w:rPr>
        <w:t xml:space="preserve"> </w:t>
      </w:r>
      <w:r>
        <w:rPr>
          <w:spacing w:val="-1"/>
          <w:sz w:val="14"/>
          <w:szCs w:val="14"/>
          <w:lang w:val="es-ES_tradnl"/>
        </w:rPr>
        <w:t>caso </w:t>
      </w:r>
      <w:r>
        <w:rPr>
          <w:sz w:val="14"/>
          <w:szCs w:val="14"/>
          <w:lang w:val="es-ES_tradnl"/>
        </w:rPr>
        <w:t>N</w:t>
      </w:r>
      <w:r>
        <w:rPr>
          <w:rFonts w:cs="Times New Roman"/>
          <w:sz w:val="14"/>
          <w:szCs w:val="14"/>
          <w:lang w:val="es-ES_tradnl"/>
        </w:rPr>
        <w:t>º</w:t>
      </w:r>
      <w:r>
        <w:rPr>
          <w:sz w:val="14"/>
          <w:szCs w:val="14"/>
          <w:lang w:val="es-ES_tradnl"/>
        </w:rPr>
        <w:t xml:space="preserve">. 0015-10-AN: </w:t>
      </w:r>
      <w:r>
        <w:rPr>
          <w:rFonts w:cs="Times New Roman"/>
          <w:sz w:val="14"/>
          <w:szCs w:val="14"/>
          <w:lang w:val="es-ES_tradnl"/>
        </w:rPr>
        <w:t>“</w:t>
      </w:r>
      <w:r>
        <w:rPr>
          <w:sz w:val="14"/>
          <w:szCs w:val="14"/>
          <w:lang w:val="es-ES_tradnl"/>
        </w:rPr>
        <w:t>El monto de la reparaci</w:t>
      </w:r>
      <w:r>
        <w:rPr>
          <w:rFonts w:cs="Times New Roman"/>
          <w:sz w:val="14"/>
          <w:szCs w:val="14"/>
          <w:lang w:val="es-ES_tradnl"/>
        </w:rPr>
        <w:t>ó</w:t>
      </w:r>
      <w:r>
        <w:rPr>
          <w:sz w:val="14"/>
          <w:szCs w:val="14"/>
          <w:lang w:val="es-ES_tradnl"/>
        </w:rPr>
        <w:t>n econ</w:t>
      </w:r>
      <w:r>
        <w:rPr>
          <w:rFonts w:cs="Times New Roman"/>
          <w:sz w:val="14"/>
          <w:szCs w:val="14"/>
          <w:lang w:val="es-ES_tradnl"/>
        </w:rPr>
        <w:t>ó</w:t>
      </w:r>
      <w:r>
        <w:rPr>
          <w:sz w:val="14"/>
          <w:szCs w:val="14"/>
          <w:lang w:val="es-ES_tradnl"/>
        </w:rPr>
        <w:t>mica, parte de la reparaci</w:t>
      </w:r>
      <w:r>
        <w:rPr>
          <w:rFonts w:cs="Times New Roman"/>
          <w:sz w:val="14"/>
          <w:szCs w:val="14"/>
          <w:lang w:val="es-ES_tradnl"/>
        </w:rPr>
        <w:t>ó</w:t>
      </w:r>
      <w:r>
        <w:rPr>
          <w:sz w:val="14"/>
          <w:szCs w:val="14"/>
          <w:lang w:val="es-ES_tradnl"/>
        </w:rPr>
        <w:t>n integral, como consecuencia de la declaraci</w:t>
      </w:r>
      <w:r>
        <w:rPr>
          <w:rFonts w:cs="Times New Roman"/>
          <w:sz w:val="14"/>
          <w:szCs w:val="14"/>
          <w:lang w:val="es-ES_tradnl"/>
        </w:rPr>
        <w:t>ó</w:t>
      </w:r>
      <w:r>
        <w:rPr>
          <w:sz w:val="14"/>
          <w:szCs w:val="14"/>
          <w:lang w:val="es-ES_tradnl"/>
        </w:rPr>
        <w:t>n de la vulneraci</w:t>
      </w:r>
      <w:r>
        <w:rPr>
          <w:rFonts w:cs="Times New Roman"/>
          <w:sz w:val="14"/>
          <w:szCs w:val="14"/>
          <w:lang w:val="es-ES_tradnl"/>
        </w:rPr>
        <w:t>ó</w:t>
      </w:r>
      <w:r>
        <w:rPr>
          <w:sz w:val="14"/>
          <w:szCs w:val="14"/>
          <w:lang w:val="es-ES_tradnl"/>
        </w:rPr>
        <w:t>n de un derecho reconocido en la Constituci</w:t>
      </w:r>
      <w:r>
        <w:rPr>
          <w:rFonts w:cs="Times New Roman"/>
          <w:sz w:val="14"/>
          <w:szCs w:val="14"/>
          <w:lang w:val="es-ES_tradnl"/>
        </w:rPr>
        <w:t>ó</w:t>
      </w:r>
      <w:r>
        <w:rPr>
          <w:sz w:val="14"/>
          <w:szCs w:val="14"/>
          <w:lang w:val="es-ES_tradnl"/>
        </w:rPr>
        <w:t>n, se la determinar</w:t>
      </w:r>
      <w:r>
        <w:rPr>
          <w:rFonts w:cs="Times New Roman"/>
          <w:sz w:val="14"/>
          <w:szCs w:val="14"/>
          <w:lang w:val="es-ES_tradnl"/>
        </w:rPr>
        <w:t>á</w:t>
      </w:r>
      <w:r>
        <w:rPr>
          <w:sz w:val="14"/>
          <w:szCs w:val="14"/>
          <w:lang w:val="es-ES_tradnl"/>
        </w:rPr>
        <w:t xml:space="preserve"> en la jurisdicci</w:t>
      </w:r>
      <w:r>
        <w:rPr>
          <w:rFonts w:cs="Times New Roman"/>
          <w:sz w:val="14"/>
          <w:szCs w:val="14"/>
          <w:lang w:val="es-ES_tradnl"/>
        </w:rPr>
        <w:t>ó</w:t>
      </w:r>
      <w:r>
        <w:rPr>
          <w:sz w:val="14"/>
          <w:szCs w:val="14"/>
          <w:lang w:val="es-ES_tradnl"/>
        </w:rPr>
        <w:t>n contenciosa administrativa cuando </w:t>
      </w:r>
      <w:r>
        <w:rPr>
          <w:spacing w:val="-2"/>
          <w:sz w:val="14"/>
          <w:szCs w:val="14"/>
          <w:lang w:val="es-ES_tradnl"/>
        </w:rPr>
        <w:t>la deba satisfacer el Estado y en la v</w:t>
      </w:r>
      <w:r>
        <w:rPr>
          <w:rFonts w:cs="Times New Roman"/>
          <w:spacing w:val="-2"/>
          <w:sz w:val="14"/>
          <w:szCs w:val="14"/>
          <w:lang w:val="es-ES_tradnl"/>
        </w:rPr>
        <w:t>í</w:t>
      </w:r>
      <w:r>
        <w:rPr>
          <w:spacing w:val="-2"/>
          <w:sz w:val="14"/>
          <w:szCs w:val="14"/>
          <w:lang w:val="es-ES_tradnl"/>
        </w:rPr>
        <w:t>a verbal sumaria cuando deba </w:t>
      </w:r>
      <w:r>
        <w:rPr>
          <w:sz w:val="14"/>
          <w:szCs w:val="14"/>
          <w:lang w:val="es-ES_tradnl"/>
        </w:rPr>
        <w:t>hacerlo un particular. Dicho procedimiento se constituye en un </w:t>
      </w:r>
      <w:r>
        <w:rPr>
          <w:spacing w:val="-2"/>
          <w:sz w:val="14"/>
          <w:szCs w:val="14"/>
          <w:lang w:val="es-ES_tradnl"/>
        </w:rPr>
        <w:t>proceso de ejecuci</w:t>
      </w:r>
      <w:r>
        <w:rPr>
          <w:rFonts w:cs="Times New Roman"/>
          <w:spacing w:val="-2"/>
          <w:sz w:val="14"/>
          <w:szCs w:val="14"/>
          <w:lang w:val="es-ES_tradnl"/>
        </w:rPr>
        <w:t>ó</w:t>
      </w:r>
      <w:r>
        <w:rPr>
          <w:spacing w:val="-2"/>
          <w:sz w:val="14"/>
          <w:szCs w:val="14"/>
          <w:lang w:val="es-ES_tradnl"/>
        </w:rPr>
        <w:t>n, en el que no se discutir</w:t>
      </w:r>
      <w:r>
        <w:rPr>
          <w:rFonts w:cs="Times New Roman"/>
          <w:spacing w:val="-2"/>
          <w:sz w:val="14"/>
          <w:szCs w:val="14"/>
          <w:lang w:val="es-ES_tradnl"/>
        </w:rPr>
        <w:t>á</w:t>
      </w:r>
      <w:r>
        <w:rPr>
          <w:spacing w:val="-2"/>
          <w:sz w:val="14"/>
          <w:szCs w:val="14"/>
          <w:lang w:val="es-ES_tradnl"/>
        </w:rPr>
        <w:t xml:space="preserve"> sobre la declaratoria </w:t>
      </w:r>
      <w:r>
        <w:rPr>
          <w:sz w:val="14"/>
          <w:szCs w:val="14"/>
          <w:lang w:val="es-ES_tradnl"/>
        </w:rPr>
        <w:t>de vulneraci</w:t>
      </w:r>
      <w:r>
        <w:rPr>
          <w:rFonts w:cs="Times New Roman"/>
          <w:sz w:val="14"/>
          <w:szCs w:val="14"/>
          <w:lang w:val="es-ES_tradnl"/>
        </w:rPr>
        <w:t>ó</w:t>
      </w:r>
      <w:r>
        <w:rPr>
          <w:sz w:val="14"/>
          <w:szCs w:val="14"/>
          <w:lang w:val="es-ES_tradnl"/>
        </w:rPr>
        <w:t>n de derechos.</w:t>
      </w:r>
      <w:r>
        <w:rPr>
          <w:rFonts w:cs="Times New Roman"/>
          <w:sz w:val="14"/>
          <w:szCs w:val="14"/>
          <w:lang w:val="es-ES_tradnl"/>
        </w:rPr>
        <w:t>”</w:t>
      </w:r>
    </w:p>
    <w:p w14:paraId="4F67A977" w14:textId="77777777" w:rsidR="00591D54" w:rsidRDefault="00591D54">
      <w:pPr>
        <w:shd w:val="clear" w:color="auto" w:fill="FFFFFF"/>
        <w:tabs>
          <w:tab w:val="left" w:pos="144"/>
        </w:tabs>
        <w:spacing w:before="154" w:line="178" w:lineRule="exact"/>
        <w:ind w:left="144" w:right="5" w:hanging="144"/>
        <w:jc w:val="both"/>
        <w:sectPr w:rsidR="00591D54">
          <w:type w:val="continuous"/>
          <w:pgSz w:w="11909" w:h="16834"/>
          <w:pgMar w:top="1356" w:right="1304" w:bottom="360" w:left="1308" w:header="720" w:footer="720" w:gutter="0"/>
          <w:cols w:num="2" w:space="720" w:equalWidth="0">
            <w:col w:w="4305" w:space="682"/>
            <w:col w:w="4310"/>
          </w:cols>
          <w:noEndnote/>
        </w:sectPr>
      </w:pPr>
    </w:p>
    <w:p w14:paraId="4F67A978" w14:textId="77777777" w:rsidR="00591D54" w:rsidRDefault="00591D54">
      <w:pPr>
        <w:shd w:val="clear" w:color="auto" w:fill="FFFFFF"/>
        <w:tabs>
          <w:tab w:val="left" w:pos="4814"/>
        </w:tabs>
        <w:spacing w:after="230"/>
        <w:ind w:left="10"/>
      </w:pPr>
      <w:r>
        <w:rPr>
          <w:b/>
          <w:bCs/>
          <w:sz w:val="18"/>
          <w:szCs w:val="18"/>
          <w:lang w:val="es-ES_tradnl"/>
        </w:rPr>
        <w:t xml:space="preserve">74 -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979" w14:textId="77777777" w:rsidR="00591D54" w:rsidRDefault="00591D54">
      <w:pPr>
        <w:shd w:val="clear" w:color="auto" w:fill="FFFFFF"/>
        <w:tabs>
          <w:tab w:val="left" w:pos="4814"/>
        </w:tabs>
        <w:spacing w:after="230"/>
        <w:ind w:left="10"/>
        <w:sectPr w:rsidR="00591D54">
          <w:pgSz w:w="11909" w:h="16834"/>
          <w:pgMar w:top="1368" w:right="1309" w:bottom="360" w:left="1308" w:header="720" w:footer="720" w:gutter="0"/>
          <w:cols w:space="60"/>
          <w:noEndnote/>
        </w:sectPr>
      </w:pPr>
    </w:p>
    <w:p w14:paraId="4F67A97A" w14:textId="77777777" w:rsidR="00591D54" w:rsidRDefault="00591D54">
      <w:pPr>
        <w:shd w:val="clear" w:color="auto" w:fill="FFFFFF"/>
        <w:spacing w:before="5" w:line="226" w:lineRule="exact"/>
        <w:ind w:left="566"/>
        <w:jc w:val="both"/>
      </w:pPr>
      <w:r>
        <w:rPr>
          <w:spacing w:val="-8"/>
          <w:sz w:val="18"/>
          <w:szCs w:val="18"/>
          <w:lang w:val="es-ES_tradnl"/>
        </w:rPr>
        <w:t>presentada por la doctora Mar</w:t>
      </w:r>
      <w:r>
        <w:rPr>
          <w:rFonts w:cs="Times New Roman"/>
          <w:spacing w:val="-8"/>
          <w:sz w:val="18"/>
          <w:szCs w:val="18"/>
          <w:lang w:val="es-ES_tradnl"/>
        </w:rPr>
        <w:t>í</w:t>
      </w:r>
      <w:r>
        <w:rPr>
          <w:spacing w:val="-8"/>
          <w:sz w:val="18"/>
          <w:szCs w:val="18"/>
          <w:lang w:val="es-ES_tradnl"/>
        </w:rPr>
        <w:t xml:space="preserve">a Carmen Paca </w:t>
      </w:r>
      <w:r>
        <w:rPr>
          <w:spacing w:val="-6"/>
          <w:sz w:val="18"/>
          <w:szCs w:val="18"/>
          <w:lang w:val="es-ES_tradnl"/>
        </w:rPr>
        <w:t xml:space="preserve">Ajitimbay, declarando el incumplimiento parcial de </w:t>
      </w:r>
      <w:r>
        <w:rPr>
          <w:spacing w:val="-8"/>
          <w:sz w:val="18"/>
          <w:szCs w:val="18"/>
          <w:lang w:val="es-ES_tradnl"/>
        </w:rPr>
        <w:t xml:space="preserve">la sentencia dictada por la Primera Sala de la Corte </w:t>
      </w:r>
      <w:r>
        <w:rPr>
          <w:spacing w:val="-6"/>
          <w:sz w:val="18"/>
          <w:szCs w:val="18"/>
          <w:lang w:val="es-ES_tradnl"/>
        </w:rPr>
        <w:t>Constitucional, para el per</w:t>
      </w:r>
      <w:r>
        <w:rPr>
          <w:rFonts w:cs="Times New Roman"/>
          <w:spacing w:val="-6"/>
          <w:sz w:val="18"/>
          <w:szCs w:val="18"/>
          <w:lang w:val="es-ES_tradnl"/>
        </w:rPr>
        <w:t>í</w:t>
      </w:r>
      <w:r>
        <w:rPr>
          <w:spacing w:val="-6"/>
          <w:sz w:val="18"/>
          <w:szCs w:val="18"/>
          <w:lang w:val="es-ES_tradnl"/>
        </w:rPr>
        <w:t>odo de transici</w:t>
      </w:r>
      <w:r>
        <w:rPr>
          <w:rFonts w:cs="Times New Roman"/>
          <w:spacing w:val="-6"/>
          <w:sz w:val="18"/>
          <w:szCs w:val="18"/>
          <w:lang w:val="es-ES_tradnl"/>
        </w:rPr>
        <w:t>ó</w:t>
      </w:r>
      <w:r>
        <w:rPr>
          <w:spacing w:val="-6"/>
          <w:sz w:val="18"/>
          <w:szCs w:val="18"/>
          <w:lang w:val="es-ES_tradnl"/>
        </w:rPr>
        <w:t xml:space="preserve">n, el 05 </w:t>
      </w:r>
      <w:r>
        <w:rPr>
          <w:sz w:val="18"/>
          <w:szCs w:val="18"/>
          <w:lang w:val="es-ES_tradnl"/>
        </w:rPr>
        <w:t>de marzo de 2009.</w:t>
      </w:r>
    </w:p>
    <w:p w14:paraId="4F67A97B" w14:textId="77777777" w:rsidR="00591D54" w:rsidRDefault="00591D54" w:rsidP="00251195">
      <w:pPr>
        <w:numPr>
          <w:ilvl w:val="0"/>
          <w:numId w:val="46"/>
        </w:numPr>
        <w:shd w:val="clear" w:color="auto" w:fill="FFFFFF"/>
        <w:tabs>
          <w:tab w:val="left" w:pos="566"/>
        </w:tabs>
        <w:spacing w:before="206" w:line="226" w:lineRule="exact"/>
        <w:ind w:left="566" w:right="5" w:hanging="283"/>
        <w:jc w:val="both"/>
        <w:rPr>
          <w:spacing w:val="-11"/>
          <w:sz w:val="18"/>
          <w:szCs w:val="18"/>
          <w:lang w:val="es-ES_tradnl"/>
        </w:rPr>
      </w:pPr>
      <w:r>
        <w:rPr>
          <w:sz w:val="18"/>
          <w:szCs w:val="18"/>
          <w:lang w:val="es-ES_tradnl"/>
        </w:rPr>
        <w:t>Disponer que la Direcci</w:t>
      </w:r>
      <w:r>
        <w:rPr>
          <w:rFonts w:cs="Times New Roman"/>
          <w:sz w:val="18"/>
          <w:szCs w:val="18"/>
          <w:lang w:val="es-ES_tradnl"/>
        </w:rPr>
        <w:t>ó</w:t>
      </w:r>
      <w:r>
        <w:rPr>
          <w:sz w:val="18"/>
          <w:szCs w:val="18"/>
          <w:lang w:val="es-ES_tradnl"/>
        </w:rPr>
        <w:t xml:space="preserve">n Provincial de Salud </w:t>
      </w:r>
      <w:r>
        <w:rPr>
          <w:spacing w:val="-2"/>
          <w:sz w:val="18"/>
          <w:szCs w:val="18"/>
          <w:lang w:val="es-ES_tradnl"/>
        </w:rPr>
        <w:t xml:space="preserve">de Chimborazo y el Hospital de Colta paguen a </w:t>
      </w:r>
      <w:r>
        <w:rPr>
          <w:spacing w:val="-4"/>
          <w:sz w:val="18"/>
          <w:szCs w:val="18"/>
          <w:lang w:val="es-ES_tradnl"/>
        </w:rPr>
        <w:t xml:space="preserve">la accionante las remuneraciones no canceladas </w:t>
      </w:r>
      <w:r>
        <w:rPr>
          <w:spacing w:val="-6"/>
          <w:sz w:val="18"/>
          <w:szCs w:val="18"/>
          <w:lang w:val="es-ES_tradnl"/>
        </w:rPr>
        <w:t>y beneficios de ley que dej</w:t>
      </w:r>
      <w:r>
        <w:rPr>
          <w:rFonts w:cs="Times New Roman"/>
          <w:spacing w:val="-6"/>
          <w:sz w:val="18"/>
          <w:szCs w:val="18"/>
          <w:lang w:val="es-ES_tradnl"/>
        </w:rPr>
        <w:t>ó</w:t>
      </w:r>
      <w:r>
        <w:rPr>
          <w:spacing w:val="-6"/>
          <w:sz w:val="18"/>
          <w:szCs w:val="18"/>
          <w:lang w:val="es-ES_tradnl"/>
        </w:rPr>
        <w:t xml:space="preserve"> de percibir, desde la </w:t>
      </w:r>
      <w:r>
        <w:rPr>
          <w:spacing w:val="-11"/>
          <w:sz w:val="18"/>
          <w:szCs w:val="18"/>
          <w:lang w:val="es-ES_tradnl"/>
        </w:rPr>
        <w:t>entrada en vigencia de la acci</w:t>
      </w:r>
      <w:r>
        <w:rPr>
          <w:rFonts w:cs="Times New Roman"/>
          <w:spacing w:val="-11"/>
          <w:sz w:val="18"/>
          <w:szCs w:val="18"/>
          <w:lang w:val="es-ES_tradnl"/>
        </w:rPr>
        <w:t>ó</w:t>
      </w:r>
      <w:r>
        <w:rPr>
          <w:spacing w:val="-11"/>
          <w:sz w:val="18"/>
          <w:szCs w:val="18"/>
          <w:lang w:val="es-ES_tradnl"/>
        </w:rPr>
        <w:t xml:space="preserve">n de personal signada </w:t>
      </w:r>
      <w:r>
        <w:rPr>
          <w:spacing w:val="-7"/>
          <w:sz w:val="18"/>
          <w:szCs w:val="18"/>
          <w:lang w:val="es-ES_tradnl"/>
        </w:rPr>
        <w:t>con el N.</w:t>
      </w:r>
      <w:r>
        <w:rPr>
          <w:rFonts w:cs="Times New Roman"/>
          <w:spacing w:val="-7"/>
          <w:sz w:val="18"/>
          <w:szCs w:val="18"/>
          <w:lang w:val="es-ES_tradnl"/>
        </w:rPr>
        <w:t>º</w:t>
      </w:r>
      <w:r>
        <w:rPr>
          <w:spacing w:val="-7"/>
          <w:sz w:val="18"/>
          <w:szCs w:val="18"/>
          <w:lang w:val="es-ES_tradnl"/>
        </w:rPr>
        <w:t xml:space="preserve"> 2007 DPSCH-HPEC-DP 075 del 26 de </w:t>
      </w:r>
      <w:r>
        <w:rPr>
          <w:spacing w:val="-8"/>
          <w:sz w:val="18"/>
          <w:szCs w:val="18"/>
          <w:lang w:val="es-ES_tradnl"/>
        </w:rPr>
        <w:t xml:space="preserve">febrero de 2007, hasta la entrada en vigencia de la </w:t>
      </w:r>
      <w:r>
        <w:rPr>
          <w:spacing w:val="-11"/>
          <w:sz w:val="18"/>
          <w:szCs w:val="18"/>
          <w:lang w:val="es-ES_tradnl"/>
        </w:rPr>
        <w:t>acci</w:t>
      </w:r>
      <w:r>
        <w:rPr>
          <w:rFonts w:cs="Times New Roman"/>
          <w:spacing w:val="-11"/>
          <w:sz w:val="18"/>
          <w:szCs w:val="18"/>
          <w:lang w:val="es-ES_tradnl"/>
        </w:rPr>
        <w:t>ó</w:t>
      </w:r>
      <w:r>
        <w:rPr>
          <w:spacing w:val="-11"/>
          <w:sz w:val="18"/>
          <w:szCs w:val="18"/>
          <w:lang w:val="es-ES_tradnl"/>
        </w:rPr>
        <w:t>n de personal signada con el N.</w:t>
      </w:r>
      <w:r>
        <w:rPr>
          <w:rFonts w:cs="Times New Roman"/>
          <w:spacing w:val="-11"/>
          <w:sz w:val="18"/>
          <w:szCs w:val="18"/>
          <w:lang w:val="es-ES_tradnl"/>
        </w:rPr>
        <w:t>º</w:t>
      </w:r>
      <w:r>
        <w:rPr>
          <w:spacing w:val="-11"/>
          <w:sz w:val="18"/>
          <w:szCs w:val="18"/>
          <w:lang w:val="es-ES_tradnl"/>
        </w:rPr>
        <w:t xml:space="preserve"> 2008 DPSCH-</w:t>
      </w:r>
      <w:r>
        <w:rPr>
          <w:spacing w:val="-8"/>
          <w:sz w:val="18"/>
          <w:szCs w:val="18"/>
          <w:lang w:val="es-ES_tradnl"/>
        </w:rPr>
        <w:t>HPEC-DP 0215 del 28 de mayo de 2008.</w:t>
      </w:r>
    </w:p>
    <w:p w14:paraId="4F67A97C" w14:textId="77777777" w:rsidR="00591D54" w:rsidRDefault="00591D54" w:rsidP="00251195">
      <w:pPr>
        <w:numPr>
          <w:ilvl w:val="0"/>
          <w:numId w:val="46"/>
        </w:numPr>
        <w:shd w:val="clear" w:color="auto" w:fill="FFFFFF"/>
        <w:tabs>
          <w:tab w:val="left" w:pos="566"/>
        </w:tabs>
        <w:spacing w:before="202" w:line="230" w:lineRule="exact"/>
        <w:ind w:left="566" w:right="5" w:hanging="283"/>
        <w:jc w:val="both"/>
        <w:rPr>
          <w:spacing w:val="-11"/>
          <w:sz w:val="18"/>
          <w:szCs w:val="18"/>
          <w:lang w:val="es-ES_tradnl"/>
        </w:rPr>
      </w:pPr>
      <w:r>
        <w:rPr>
          <w:spacing w:val="-1"/>
          <w:sz w:val="18"/>
          <w:szCs w:val="18"/>
          <w:lang w:val="es-ES_tradnl"/>
        </w:rPr>
        <w:t>La determinaci</w:t>
      </w:r>
      <w:r>
        <w:rPr>
          <w:rFonts w:cs="Times New Roman"/>
          <w:spacing w:val="-1"/>
          <w:sz w:val="18"/>
          <w:szCs w:val="18"/>
          <w:lang w:val="es-ES_tradnl"/>
        </w:rPr>
        <w:t>ó</w:t>
      </w:r>
      <w:r>
        <w:rPr>
          <w:spacing w:val="-1"/>
          <w:sz w:val="18"/>
          <w:szCs w:val="18"/>
          <w:lang w:val="es-ES_tradnl"/>
        </w:rPr>
        <w:t>n del monto de reparaci</w:t>
      </w:r>
      <w:r>
        <w:rPr>
          <w:rFonts w:cs="Times New Roman"/>
          <w:spacing w:val="-1"/>
          <w:sz w:val="18"/>
          <w:szCs w:val="18"/>
          <w:lang w:val="es-ES_tradnl"/>
        </w:rPr>
        <w:t>ó</w:t>
      </w:r>
      <w:r>
        <w:rPr>
          <w:spacing w:val="-1"/>
          <w:sz w:val="18"/>
          <w:szCs w:val="18"/>
          <w:lang w:val="es-ES_tradnl"/>
        </w:rPr>
        <w:t xml:space="preserve">n </w:t>
      </w:r>
      <w:r>
        <w:rPr>
          <w:sz w:val="18"/>
          <w:szCs w:val="18"/>
          <w:lang w:val="es-ES_tradnl"/>
        </w:rPr>
        <w:t>econ</w:t>
      </w:r>
      <w:r>
        <w:rPr>
          <w:rFonts w:cs="Times New Roman"/>
          <w:sz w:val="18"/>
          <w:szCs w:val="18"/>
          <w:lang w:val="es-ES_tradnl"/>
        </w:rPr>
        <w:t>ó</w:t>
      </w:r>
      <w:r>
        <w:rPr>
          <w:sz w:val="18"/>
          <w:szCs w:val="18"/>
          <w:lang w:val="es-ES_tradnl"/>
        </w:rPr>
        <w:t>mica dispuesta a favor de la doctora Mar</w:t>
      </w:r>
      <w:r>
        <w:rPr>
          <w:rFonts w:cs="Times New Roman"/>
          <w:sz w:val="18"/>
          <w:szCs w:val="18"/>
          <w:lang w:val="es-ES_tradnl"/>
        </w:rPr>
        <w:t>í</w:t>
      </w:r>
      <w:r>
        <w:rPr>
          <w:sz w:val="18"/>
          <w:szCs w:val="18"/>
          <w:lang w:val="es-ES_tradnl"/>
        </w:rPr>
        <w:t>a Carmen Paca Ajitimbay, corresponder</w:t>
      </w:r>
      <w:r>
        <w:rPr>
          <w:rFonts w:cs="Times New Roman"/>
          <w:sz w:val="18"/>
          <w:szCs w:val="18"/>
          <w:lang w:val="es-ES_tradnl"/>
        </w:rPr>
        <w:t xml:space="preserve">á </w:t>
      </w:r>
      <w:r>
        <w:rPr>
          <w:spacing w:val="-5"/>
          <w:sz w:val="18"/>
          <w:szCs w:val="18"/>
          <w:lang w:val="es-ES_tradnl"/>
        </w:rPr>
        <w:t>a la jurisdicci</w:t>
      </w:r>
      <w:r>
        <w:rPr>
          <w:rFonts w:cs="Times New Roman"/>
          <w:spacing w:val="-5"/>
          <w:sz w:val="18"/>
          <w:szCs w:val="18"/>
          <w:lang w:val="es-ES_tradnl"/>
        </w:rPr>
        <w:t>ó</w:t>
      </w:r>
      <w:r>
        <w:rPr>
          <w:spacing w:val="-5"/>
          <w:sz w:val="18"/>
          <w:szCs w:val="18"/>
          <w:lang w:val="es-ES_tradnl"/>
        </w:rPr>
        <w:t xml:space="preserve">n contencioso administrativa, de </w:t>
      </w:r>
      <w:r>
        <w:rPr>
          <w:spacing w:val="-4"/>
          <w:sz w:val="18"/>
          <w:szCs w:val="18"/>
          <w:lang w:val="es-ES_tradnl"/>
        </w:rPr>
        <w:t xml:space="preserve">conformidad con la regla jurisprudencial dictada </w:t>
      </w:r>
      <w:r>
        <w:rPr>
          <w:spacing w:val="-8"/>
          <w:sz w:val="18"/>
          <w:szCs w:val="18"/>
          <w:lang w:val="es-ES_tradnl"/>
        </w:rPr>
        <w:t xml:space="preserve">por la Corte Constitucional en la sentencia signada </w:t>
      </w:r>
      <w:r>
        <w:rPr>
          <w:spacing w:val="-4"/>
          <w:sz w:val="18"/>
          <w:szCs w:val="18"/>
          <w:lang w:val="es-ES_tradnl"/>
        </w:rPr>
        <w:t>con el N.</w:t>
      </w:r>
      <w:r>
        <w:rPr>
          <w:rFonts w:cs="Times New Roman"/>
          <w:spacing w:val="-4"/>
          <w:sz w:val="18"/>
          <w:szCs w:val="18"/>
          <w:lang w:val="es-ES_tradnl"/>
        </w:rPr>
        <w:t>º</w:t>
      </w:r>
      <w:r>
        <w:rPr>
          <w:spacing w:val="-4"/>
          <w:sz w:val="18"/>
          <w:szCs w:val="18"/>
          <w:lang w:val="es-ES_tradnl"/>
        </w:rPr>
        <w:t xml:space="preserve"> 004-13-SAN-CC, emitida dentro de la </w:t>
      </w:r>
      <w:r>
        <w:rPr>
          <w:spacing w:val="-8"/>
          <w:sz w:val="18"/>
          <w:szCs w:val="18"/>
          <w:lang w:val="es-ES_tradnl"/>
        </w:rPr>
        <w:t>causa signada con el N.</w:t>
      </w:r>
      <w:r>
        <w:rPr>
          <w:rFonts w:cs="Times New Roman"/>
          <w:spacing w:val="-8"/>
          <w:sz w:val="18"/>
          <w:szCs w:val="18"/>
          <w:lang w:val="es-ES_tradnl"/>
        </w:rPr>
        <w:t>º</w:t>
      </w:r>
      <w:r>
        <w:rPr>
          <w:spacing w:val="-8"/>
          <w:sz w:val="18"/>
          <w:szCs w:val="18"/>
          <w:lang w:val="es-ES_tradnl"/>
        </w:rPr>
        <w:t xml:space="preserve"> 0015-10-AN.</w:t>
      </w:r>
    </w:p>
    <w:p w14:paraId="4F67A97D" w14:textId="77777777" w:rsidR="00591D54" w:rsidRDefault="00591D54" w:rsidP="00251195">
      <w:pPr>
        <w:numPr>
          <w:ilvl w:val="0"/>
          <w:numId w:val="46"/>
        </w:numPr>
        <w:shd w:val="clear" w:color="auto" w:fill="FFFFFF"/>
        <w:tabs>
          <w:tab w:val="left" w:pos="566"/>
        </w:tabs>
        <w:spacing w:before="211" w:line="226" w:lineRule="exact"/>
        <w:ind w:left="566" w:right="5" w:hanging="283"/>
        <w:jc w:val="both"/>
        <w:rPr>
          <w:spacing w:val="-11"/>
          <w:sz w:val="18"/>
          <w:szCs w:val="18"/>
          <w:lang w:val="es-ES_tradnl"/>
        </w:rPr>
      </w:pPr>
      <w:r>
        <w:rPr>
          <w:spacing w:val="-2"/>
          <w:sz w:val="18"/>
          <w:szCs w:val="18"/>
          <w:lang w:val="es-ES_tradnl"/>
        </w:rPr>
        <w:t xml:space="preserve">Tanto los accionados como el Tribunal Distrital </w:t>
      </w:r>
      <w:r>
        <w:rPr>
          <w:spacing w:val="-5"/>
          <w:sz w:val="18"/>
          <w:szCs w:val="18"/>
          <w:lang w:val="es-ES_tradnl"/>
        </w:rPr>
        <w:t xml:space="preserve">de lo Contencioso Administrativo competente, </w:t>
      </w:r>
      <w:r>
        <w:rPr>
          <w:sz w:val="18"/>
          <w:szCs w:val="18"/>
          <w:lang w:val="es-ES_tradnl"/>
        </w:rPr>
        <w:t>deber</w:t>
      </w:r>
      <w:r>
        <w:rPr>
          <w:rFonts w:cs="Times New Roman"/>
          <w:sz w:val="18"/>
          <w:szCs w:val="18"/>
          <w:lang w:val="es-ES_tradnl"/>
        </w:rPr>
        <w:t>á</w:t>
      </w:r>
      <w:r>
        <w:rPr>
          <w:sz w:val="18"/>
          <w:szCs w:val="18"/>
          <w:lang w:val="es-ES_tradnl"/>
        </w:rPr>
        <w:t>n informar en el plazo de 30 d</w:t>
      </w:r>
      <w:r>
        <w:rPr>
          <w:rFonts w:cs="Times New Roman"/>
          <w:sz w:val="18"/>
          <w:szCs w:val="18"/>
          <w:lang w:val="es-ES_tradnl"/>
        </w:rPr>
        <w:t>í</w:t>
      </w:r>
      <w:r>
        <w:rPr>
          <w:sz w:val="18"/>
          <w:szCs w:val="18"/>
          <w:lang w:val="es-ES_tradnl"/>
        </w:rPr>
        <w:t xml:space="preserve">as sobre </w:t>
      </w:r>
      <w:r>
        <w:rPr>
          <w:spacing w:val="-5"/>
          <w:sz w:val="18"/>
          <w:szCs w:val="18"/>
          <w:lang w:val="es-ES_tradnl"/>
        </w:rPr>
        <w:t xml:space="preserve">el cumplimiento efectivo de lo ordenado, bajo </w:t>
      </w:r>
      <w:r>
        <w:rPr>
          <w:sz w:val="18"/>
          <w:szCs w:val="18"/>
          <w:lang w:val="es-ES_tradnl"/>
        </w:rPr>
        <w:t>prevenciones de aplicaci</w:t>
      </w:r>
      <w:r>
        <w:rPr>
          <w:rFonts w:cs="Times New Roman"/>
          <w:sz w:val="18"/>
          <w:szCs w:val="18"/>
          <w:lang w:val="es-ES_tradnl"/>
        </w:rPr>
        <w:t>ó</w:t>
      </w:r>
      <w:r>
        <w:rPr>
          <w:sz w:val="18"/>
          <w:szCs w:val="18"/>
          <w:lang w:val="es-ES_tradnl"/>
        </w:rPr>
        <w:t xml:space="preserve">n de lo dispuesto en </w:t>
      </w:r>
      <w:r>
        <w:rPr>
          <w:spacing w:val="-5"/>
          <w:sz w:val="18"/>
          <w:szCs w:val="18"/>
          <w:lang w:val="es-ES_tradnl"/>
        </w:rPr>
        <w:t>el art</w:t>
      </w:r>
      <w:r>
        <w:rPr>
          <w:rFonts w:cs="Times New Roman"/>
          <w:spacing w:val="-5"/>
          <w:sz w:val="18"/>
          <w:szCs w:val="18"/>
          <w:lang w:val="es-ES_tradnl"/>
        </w:rPr>
        <w:t>í</w:t>
      </w:r>
      <w:r>
        <w:rPr>
          <w:spacing w:val="-5"/>
          <w:sz w:val="18"/>
          <w:szCs w:val="18"/>
          <w:lang w:val="es-ES_tradnl"/>
        </w:rPr>
        <w:t>culo 86 numeral 4 de la Constituci</w:t>
      </w:r>
      <w:r>
        <w:rPr>
          <w:rFonts w:cs="Times New Roman"/>
          <w:spacing w:val="-5"/>
          <w:sz w:val="18"/>
          <w:szCs w:val="18"/>
          <w:lang w:val="es-ES_tradnl"/>
        </w:rPr>
        <w:t>ó</w:t>
      </w:r>
      <w:r>
        <w:rPr>
          <w:spacing w:val="-5"/>
          <w:sz w:val="18"/>
          <w:szCs w:val="18"/>
          <w:lang w:val="es-ES_tradnl"/>
        </w:rPr>
        <w:t xml:space="preserve">n de la </w:t>
      </w:r>
      <w:r>
        <w:rPr>
          <w:sz w:val="18"/>
          <w:szCs w:val="18"/>
          <w:lang w:val="es-ES_tradnl"/>
        </w:rPr>
        <w:t>Rep</w:t>
      </w:r>
      <w:r>
        <w:rPr>
          <w:rFonts w:cs="Times New Roman"/>
          <w:sz w:val="18"/>
          <w:szCs w:val="18"/>
          <w:lang w:val="es-ES_tradnl"/>
        </w:rPr>
        <w:t>ú</w:t>
      </w:r>
      <w:r>
        <w:rPr>
          <w:sz w:val="18"/>
          <w:szCs w:val="18"/>
          <w:lang w:val="es-ES_tradnl"/>
        </w:rPr>
        <w:t>blica.</w:t>
      </w:r>
    </w:p>
    <w:p w14:paraId="4F67A97E" w14:textId="77777777" w:rsidR="00591D54" w:rsidRDefault="00591D54" w:rsidP="00251195">
      <w:pPr>
        <w:numPr>
          <w:ilvl w:val="0"/>
          <w:numId w:val="46"/>
        </w:numPr>
        <w:shd w:val="clear" w:color="auto" w:fill="FFFFFF"/>
        <w:tabs>
          <w:tab w:val="left" w:pos="566"/>
        </w:tabs>
        <w:spacing w:before="29" w:line="446" w:lineRule="exact"/>
        <w:ind w:left="283"/>
        <w:rPr>
          <w:spacing w:val="-11"/>
          <w:sz w:val="18"/>
          <w:szCs w:val="18"/>
          <w:lang w:val="es-ES_tradnl"/>
        </w:rPr>
      </w:pPr>
      <w:r>
        <w:rPr>
          <w:spacing w:val="-7"/>
          <w:sz w:val="18"/>
          <w:szCs w:val="18"/>
          <w:lang w:val="es-ES_tradnl"/>
        </w:rPr>
        <w:t>Notif</w:t>
      </w:r>
      <w:r>
        <w:rPr>
          <w:rFonts w:cs="Times New Roman"/>
          <w:spacing w:val="-7"/>
          <w:sz w:val="18"/>
          <w:szCs w:val="18"/>
          <w:lang w:val="es-ES_tradnl"/>
        </w:rPr>
        <w:t>í</w:t>
      </w:r>
      <w:r>
        <w:rPr>
          <w:spacing w:val="-7"/>
          <w:sz w:val="18"/>
          <w:szCs w:val="18"/>
          <w:lang w:val="es-ES_tradnl"/>
        </w:rPr>
        <w:t>quese, publ</w:t>
      </w:r>
      <w:r>
        <w:rPr>
          <w:rFonts w:cs="Times New Roman"/>
          <w:spacing w:val="-7"/>
          <w:sz w:val="18"/>
          <w:szCs w:val="18"/>
          <w:lang w:val="es-ES_tradnl"/>
        </w:rPr>
        <w:t>í</w:t>
      </w:r>
      <w:r>
        <w:rPr>
          <w:spacing w:val="-7"/>
          <w:sz w:val="18"/>
          <w:szCs w:val="18"/>
          <w:lang w:val="es-ES_tradnl"/>
        </w:rPr>
        <w:t>quese y c</w:t>
      </w:r>
      <w:r>
        <w:rPr>
          <w:rFonts w:cs="Times New Roman"/>
          <w:spacing w:val="-7"/>
          <w:sz w:val="18"/>
          <w:szCs w:val="18"/>
          <w:lang w:val="es-ES_tradnl"/>
        </w:rPr>
        <w:t>ú</w:t>
      </w:r>
      <w:r>
        <w:rPr>
          <w:spacing w:val="-7"/>
          <w:sz w:val="18"/>
          <w:szCs w:val="18"/>
          <w:lang w:val="es-ES_tradnl"/>
        </w:rPr>
        <w:t>mplase.</w:t>
      </w:r>
    </w:p>
    <w:p w14:paraId="4F67A97F" w14:textId="77777777" w:rsidR="00591D54" w:rsidRDefault="00591D54">
      <w:pPr>
        <w:shd w:val="clear" w:color="auto" w:fill="FFFFFF"/>
        <w:spacing w:line="446" w:lineRule="exact"/>
      </w:pPr>
      <w:r>
        <w:rPr>
          <w:spacing w:val="-4"/>
          <w:sz w:val="18"/>
          <w:szCs w:val="18"/>
          <w:lang w:val="es-ES_tradnl"/>
        </w:rPr>
        <w:t>f.) Patricio Pazmi</w:t>
      </w:r>
      <w:r>
        <w:rPr>
          <w:rFonts w:cs="Times New Roman"/>
          <w:spacing w:val="-4"/>
          <w:sz w:val="18"/>
          <w:szCs w:val="18"/>
          <w:lang w:val="es-ES_tradnl"/>
        </w:rPr>
        <w:t>ñ</w:t>
      </w:r>
      <w:r>
        <w:rPr>
          <w:spacing w:val="-4"/>
          <w:sz w:val="18"/>
          <w:szCs w:val="18"/>
          <w:lang w:val="es-ES_tradnl"/>
        </w:rPr>
        <w:t xml:space="preserve">o Freire, </w:t>
      </w:r>
      <w:r>
        <w:rPr>
          <w:b/>
          <w:bCs/>
          <w:spacing w:val="-4"/>
          <w:sz w:val="18"/>
          <w:szCs w:val="18"/>
          <w:lang w:val="es-ES_tradnl"/>
        </w:rPr>
        <w:t>PRESIDENTE.</w:t>
      </w:r>
    </w:p>
    <w:p w14:paraId="4F67A980" w14:textId="77777777" w:rsidR="00591D54" w:rsidRDefault="00591D54">
      <w:pPr>
        <w:shd w:val="clear" w:color="auto" w:fill="FFFFFF"/>
        <w:spacing w:line="446" w:lineRule="exact"/>
      </w:pPr>
      <w:r>
        <w:rPr>
          <w:spacing w:val="-4"/>
          <w:sz w:val="18"/>
          <w:szCs w:val="18"/>
          <w:lang w:val="es-ES_tradnl"/>
        </w:rPr>
        <w:t>f.) Pa</w:t>
      </w:r>
      <w:r>
        <w:rPr>
          <w:rFonts w:cs="Times New Roman"/>
          <w:spacing w:val="-4"/>
          <w:sz w:val="18"/>
          <w:szCs w:val="18"/>
          <w:lang w:val="es-ES_tradnl"/>
        </w:rPr>
        <w:t>ú</w:t>
      </w:r>
      <w:r>
        <w:rPr>
          <w:spacing w:val="-4"/>
          <w:sz w:val="18"/>
          <w:szCs w:val="18"/>
          <w:lang w:val="es-ES_tradnl"/>
        </w:rPr>
        <w:t xml:space="preserve">l Prado Chiriboga, </w:t>
      </w:r>
      <w:r>
        <w:rPr>
          <w:b/>
          <w:bCs/>
          <w:spacing w:val="-4"/>
          <w:sz w:val="18"/>
          <w:szCs w:val="18"/>
          <w:lang w:val="es-ES_tradnl"/>
        </w:rPr>
        <w:t>SECRETARIO GENERAL (E).</w:t>
      </w:r>
    </w:p>
    <w:p w14:paraId="4F67A981" w14:textId="77777777" w:rsidR="00591D54" w:rsidRDefault="00591D54">
      <w:pPr>
        <w:shd w:val="clear" w:color="auto" w:fill="FFFFFF"/>
        <w:spacing w:before="163" w:line="230" w:lineRule="exact"/>
        <w:jc w:val="both"/>
      </w:pPr>
      <w:r>
        <w:rPr>
          <w:b/>
          <w:bCs/>
          <w:spacing w:val="-7"/>
          <w:sz w:val="18"/>
          <w:szCs w:val="18"/>
          <w:lang w:val="es-ES_tradnl"/>
        </w:rPr>
        <w:t>Raz</w:t>
      </w:r>
      <w:r>
        <w:rPr>
          <w:rFonts w:cs="Times New Roman"/>
          <w:b/>
          <w:bCs/>
          <w:spacing w:val="-7"/>
          <w:sz w:val="18"/>
          <w:szCs w:val="18"/>
          <w:lang w:val="es-ES_tradnl"/>
        </w:rPr>
        <w:t>ó</w:t>
      </w:r>
      <w:r>
        <w:rPr>
          <w:b/>
          <w:bCs/>
          <w:spacing w:val="-7"/>
          <w:sz w:val="18"/>
          <w:szCs w:val="18"/>
          <w:lang w:val="es-ES_tradnl"/>
        </w:rPr>
        <w:t xml:space="preserve">n: </w:t>
      </w:r>
      <w:r>
        <w:rPr>
          <w:spacing w:val="-7"/>
          <w:sz w:val="18"/>
          <w:szCs w:val="18"/>
          <w:lang w:val="es-ES_tradnl"/>
        </w:rPr>
        <w:t xml:space="preserve">Siento por tal, que la sentencia que antecede fue </w:t>
      </w:r>
      <w:r>
        <w:rPr>
          <w:spacing w:val="-2"/>
          <w:sz w:val="18"/>
          <w:szCs w:val="18"/>
          <w:lang w:val="es-ES_tradnl"/>
        </w:rPr>
        <w:t xml:space="preserve">aprobada por el Pleno de la Corte Constitucional, con </w:t>
      </w:r>
      <w:r>
        <w:rPr>
          <w:spacing w:val="-10"/>
          <w:sz w:val="18"/>
          <w:szCs w:val="18"/>
          <w:lang w:val="es-ES_tradnl"/>
        </w:rPr>
        <w:t>siete votos de las se</w:t>
      </w:r>
      <w:r>
        <w:rPr>
          <w:rFonts w:cs="Times New Roman"/>
          <w:spacing w:val="-10"/>
          <w:sz w:val="18"/>
          <w:szCs w:val="18"/>
          <w:lang w:val="es-ES_tradnl"/>
        </w:rPr>
        <w:t>ñ</w:t>
      </w:r>
      <w:r>
        <w:rPr>
          <w:spacing w:val="-10"/>
          <w:sz w:val="18"/>
          <w:szCs w:val="18"/>
          <w:lang w:val="es-ES_tradnl"/>
        </w:rPr>
        <w:t>oras juezas y se</w:t>
      </w:r>
      <w:r>
        <w:rPr>
          <w:rFonts w:cs="Times New Roman"/>
          <w:spacing w:val="-10"/>
          <w:sz w:val="18"/>
          <w:szCs w:val="18"/>
          <w:lang w:val="es-ES_tradnl"/>
        </w:rPr>
        <w:t>ñ</w:t>
      </w:r>
      <w:r>
        <w:rPr>
          <w:spacing w:val="-10"/>
          <w:sz w:val="18"/>
          <w:szCs w:val="18"/>
          <w:lang w:val="es-ES_tradnl"/>
        </w:rPr>
        <w:t xml:space="preserve">ores jueces: Antonio </w:t>
      </w:r>
      <w:r>
        <w:rPr>
          <w:spacing w:val="-7"/>
          <w:sz w:val="18"/>
          <w:szCs w:val="18"/>
          <w:lang w:val="es-ES_tradnl"/>
        </w:rPr>
        <w:t>Gagliardo Loor, Marcelo Jaramillo Villa, Mar</w:t>
      </w:r>
      <w:r>
        <w:rPr>
          <w:rFonts w:cs="Times New Roman"/>
          <w:spacing w:val="-7"/>
          <w:sz w:val="18"/>
          <w:szCs w:val="18"/>
          <w:lang w:val="es-ES_tradnl"/>
        </w:rPr>
        <w:t>í</w:t>
      </w:r>
      <w:r>
        <w:rPr>
          <w:spacing w:val="-7"/>
          <w:sz w:val="18"/>
          <w:szCs w:val="18"/>
          <w:lang w:val="es-ES_tradnl"/>
        </w:rPr>
        <w:t xml:space="preserve">a del Carmen </w:t>
      </w:r>
      <w:r>
        <w:rPr>
          <w:spacing w:val="-5"/>
          <w:sz w:val="18"/>
          <w:szCs w:val="18"/>
          <w:lang w:val="es-ES_tradnl"/>
        </w:rPr>
        <w:t>Maldonado S</w:t>
      </w:r>
      <w:r>
        <w:rPr>
          <w:rFonts w:cs="Times New Roman"/>
          <w:spacing w:val="-5"/>
          <w:sz w:val="18"/>
          <w:szCs w:val="18"/>
          <w:lang w:val="es-ES_tradnl"/>
        </w:rPr>
        <w:t>á</w:t>
      </w:r>
      <w:r>
        <w:rPr>
          <w:spacing w:val="-5"/>
          <w:sz w:val="18"/>
          <w:szCs w:val="18"/>
          <w:lang w:val="es-ES_tradnl"/>
        </w:rPr>
        <w:t>nchez, Tatiana Orde</w:t>
      </w:r>
      <w:r>
        <w:rPr>
          <w:rFonts w:cs="Times New Roman"/>
          <w:spacing w:val="-5"/>
          <w:sz w:val="18"/>
          <w:szCs w:val="18"/>
          <w:lang w:val="es-ES_tradnl"/>
        </w:rPr>
        <w:t>ñ</w:t>
      </w:r>
      <w:r>
        <w:rPr>
          <w:spacing w:val="-5"/>
          <w:sz w:val="18"/>
          <w:szCs w:val="18"/>
          <w:lang w:val="es-ES_tradnl"/>
        </w:rPr>
        <w:t xml:space="preserve">ana Sierra, Alfredo </w:t>
      </w:r>
      <w:r>
        <w:rPr>
          <w:spacing w:val="-4"/>
          <w:sz w:val="18"/>
          <w:szCs w:val="18"/>
          <w:lang w:val="es-ES_tradnl"/>
        </w:rPr>
        <w:t>Ruiz Guzm</w:t>
      </w:r>
      <w:r>
        <w:rPr>
          <w:rFonts w:cs="Times New Roman"/>
          <w:spacing w:val="-4"/>
          <w:sz w:val="18"/>
          <w:szCs w:val="18"/>
          <w:lang w:val="es-ES_tradnl"/>
        </w:rPr>
        <w:t>á</w:t>
      </w:r>
      <w:r>
        <w:rPr>
          <w:spacing w:val="-4"/>
          <w:sz w:val="18"/>
          <w:szCs w:val="18"/>
          <w:lang w:val="es-ES_tradnl"/>
        </w:rPr>
        <w:t>n, Manuel Viteri Olvera y Patricio Pazmi</w:t>
      </w:r>
      <w:r>
        <w:rPr>
          <w:rFonts w:cs="Times New Roman"/>
          <w:spacing w:val="-4"/>
          <w:sz w:val="18"/>
          <w:szCs w:val="18"/>
          <w:lang w:val="es-ES_tradnl"/>
        </w:rPr>
        <w:t>ñ</w:t>
      </w:r>
      <w:r>
        <w:rPr>
          <w:spacing w:val="-4"/>
          <w:sz w:val="18"/>
          <w:szCs w:val="18"/>
          <w:lang w:val="es-ES_tradnl"/>
        </w:rPr>
        <w:t xml:space="preserve">o </w:t>
      </w:r>
      <w:r>
        <w:rPr>
          <w:spacing w:val="-7"/>
          <w:sz w:val="18"/>
          <w:szCs w:val="18"/>
          <w:lang w:val="es-ES_tradnl"/>
        </w:rPr>
        <w:t xml:space="preserve">Freire, sin contar con la presencia de las juezas Wendy </w:t>
      </w:r>
      <w:r>
        <w:rPr>
          <w:spacing w:val="-6"/>
          <w:sz w:val="18"/>
          <w:szCs w:val="18"/>
          <w:lang w:val="es-ES_tradnl"/>
        </w:rPr>
        <w:t>Molina Andrade y Ruth Seni Pinoargote, en sesi</w:t>
      </w:r>
      <w:r>
        <w:rPr>
          <w:rFonts w:cs="Times New Roman"/>
          <w:spacing w:val="-6"/>
          <w:sz w:val="18"/>
          <w:szCs w:val="18"/>
          <w:lang w:val="es-ES_tradnl"/>
        </w:rPr>
        <w:t>ó</w:t>
      </w:r>
      <w:r>
        <w:rPr>
          <w:spacing w:val="-6"/>
          <w:sz w:val="18"/>
          <w:szCs w:val="18"/>
          <w:lang w:val="es-ES_tradnl"/>
        </w:rPr>
        <w:t xml:space="preserve">n del 19 </w:t>
      </w:r>
      <w:r>
        <w:rPr>
          <w:sz w:val="18"/>
          <w:szCs w:val="18"/>
          <w:lang w:val="es-ES_tradnl"/>
        </w:rPr>
        <w:t>de agosto del 2015. Lo certifico.</w:t>
      </w:r>
    </w:p>
    <w:p w14:paraId="4F67A982" w14:textId="77777777" w:rsidR="00591D54" w:rsidRDefault="00591D54">
      <w:pPr>
        <w:shd w:val="clear" w:color="auto" w:fill="FFFFFF"/>
        <w:spacing w:before="206"/>
      </w:pPr>
      <w:r>
        <w:rPr>
          <w:spacing w:val="-4"/>
          <w:sz w:val="18"/>
          <w:szCs w:val="18"/>
          <w:lang w:val="es-ES_tradnl"/>
        </w:rPr>
        <w:t>f.) Pa</w:t>
      </w:r>
      <w:r>
        <w:rPr>
          <w:rFonts w:cs="Times New Roman"/>
          <w:spacing w:val="-4"/>
          <w:sz w:val="18"/>
          <w:szCs w:val="18"/>
          <w:lang w:val="es-ES_tradnl"/>
        </w:rPr>
        <w:t>ú</w:t>
      </w:r>
      <w:r>
        <w:rPr>
          <w:spacing w:val="-4"/>
          <w:sz w:val="18"/>
          <w:szCs w:val="18"/>
          <w:lang w:val="es-ES_tradnl"/>
        </w:rPr>
        <w:t xml:space="preserve">l Prado Chiriboga, </w:t>
      </w:r>
      <w:r>
        <w:rPr>
          <w:b/>
          <w:bCs/>
          <w:spacing w:val="-4"/>
          <w:sz w:val="18"/>
          <w:szCs w:val="18"/>
          <w:lang w:val="es-ES_tradnl"/>
        </w:rPr>
        <w:t>SECRETARIO GENERAL (E).</w:t>
      </w:r>
    </w:p>
    <w:p w14:paraId="4F67A983" w14:textId="77777777" w:rsidR="00591D54" w:rsidRDefault="00591D54">
      <w:pPr>
        <w:shd w:val="clear" w:color="auto" w:fill="FFFFFF"/>
        <w:spacing w:before="202" w:line="230"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A984" w14:textId="77777777" w:rsidR="00591D54" w:rsidRDefault="00591D54">
      <w:pPr>
        <w:shd w:val="clear" w:color="auto" w:fill="FFFFFF"/>
        <w:spacing w:before="206"/>
      </w:pPr>
      <w:r>
        <w:rPr>
          <w:b/>
          <w:bCs/>
          <w:spacing w:val="-5"/>
          <w:sz w:val="18"/>
          <w:szCs w:val="18"/>
          <w:u w:val="single"/>
          <w:lang w:val="es-ES_tradnl"/>
        </w:rPr>
        <w:t>CASO Nro. 0030-14-IS</w:t>
      </w:r>
    </w:p>
    <w:p w14:paraId="4F67A985" w14:textId="77777777" w:rsidR="00591D54" w:rsidRDefault="00591D54">
      <w:pPr>
        <w:shd w:val="clear" w:color="auto" w:fill="FFFFFF"/>
        <w:spacing w:before="202" w:line="230" w:lineRule="exact"/>
        <w:ind w:right="5"/>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w:t>
      </w:r>
      <w:r>
        <w:rPr>
          <w:spacing w:val="-7"/>
          <w:sz w:val="18"/>
          <w:szCs w:val="18"/>
          <w:lang w:val="es-ES_tradnl"/>
        </w:rPr>
        <w:t>suscrita por el Juez Patricio Pazmi</w:t>
      </w:r>
      <w:r>
        <w:rPr>
          <w:rFonts w:cs="Times New Roman"/>
          <w:spacing w:val="-7"/>
          <w:sz w:val="18"/>
          <w:szCs w:val="18"/>
          <w:lang w:val="es-ES_tradnl"/>
        </w:rPr>
        <w:t>ñ</w:t>
      </w:r>
      <w:r>
        <w:rPr>
          <w:spacing w:val="-7"/>
          <w:sz w:val="18"/>
          <w:szCs w:val="18"/>
          <w:lang w:val="es-ES_tradnl"/>
        </w:rPr>
        <w:t>o Freire, Presidente de</w:t>
      </w:r>
    </w:p>
    <w:p w14:paraId="4F67A986" w14:textId="77777777" w:rsidR="00591D54" w:rsidRDefault="00591D54">
      <w:pPr>
        <w:shd w:val="clear" w:color="auto" w:fill="FFFFFF"/>
        <w:spacing w:line="230" w:lineRule="exact"/>
        <w:jc w:val="both"/>
      </w:pPr>
      <w:r>
        <w:br w:type="column"/>
      </w:r>
      <w:r>
        <w:rPr>
          <w:spacing w:val="-7"/>
          <w:sz w:val="18"/>
          <w:szCs w:val="18"/>
          <w:lang w:val="es-ES_tradnl"/>
        </w:rPr>
        <w:t>la Corte Constitucional, el d</w:t>
      </w:r>
      <w:r>
        <w:rPr>
          <w:rFonts w:cs="Times New Roman"/>
          <w:spacing w:val="-7"/>
          <w:sz w:val="18"/>
          <w:szCs w:val="18"/>
          <w:lang w:val="es-ES_tradnl"/>
        </w:rPr>
        <w:t>í</w:t>
      </w:r>
      <w:r>
        <w:rPr>
          <w:spacing w:val="-7"/>
          <w:sz w:val="18"/>
          <w:szCs w:val="18"/>
          <w:lang w:val="es-ES_tradnl"/>
        </w:rPr>
        <w:t>a mi</w:t>
      </w:r>
      <w:r>
        <w:rPr>
          <w:rFonts w:cs="Times New Roman"/>
          <w:spacing w:val="-7"/>
          <w:sz w:val="18"/>
          <w:szCs w:val="18"/>
          <w:lang w:val="es-ES_tradnl"/>
        </w:rPr>
        <w:t>é</w:t>
      </w:r>
      <w:r>
        <w:rPr>
          <w:spacing w:val="-7"/>
          <w:sz w:val="18"/>
          <w:szCs w:val="18"/>
          <w:lang w:val="es-ES_tradnl"/>
        </w:rPr>
        <w:t xml:space="preserve">rcoles 23 de septiembre </w:t>
      </w:r>
      <w:r>
        <w:rPr>
          <w:sz w:val="18"/>
          <w:szCs w:val="18"/>
          <w:lang w:val="es-ES_tradnl"/>
        </w:rPr>
        <w:t>del dos mil quince.- Lo certifico.</w:t>
      </w:r>
    </w:p>
    <w:p w14:paraId="4F67A987" w14:textId="77777777" w:rsidR="00591D54" w:rsidRDefault="00591D54">
      <w:pPr>
        <w:shd w:val="clear" w:color="auto" w:fill="FFFFFF"/>
        <w:spacing w:before="192"/>
      </w:pPr>
      <w:r>
        <w:rPr>
          <w:spacing w:val="-4"/>
          <w:sz w:val="18"/>
          <w:szCs w:val="18"/>
          <w:lang w:val="es-ES_tradnl"/>
        </w:rPr>
        <w:t xml:space="preserve">f.) Jaime Pozo Chamorro, </w:t>
      </w:r>
      <w:r>
        <w:rPr>
          <w:b/>
          <w:bCs/>
          <w:spacing w:val="-4"/>
          <w:sz w:val="18"/>
          <w:szCs w:val="18"/>
          <w:lang w:val="es-ES_tradnl"/>
        </w:rPr>
        <w:t>SECRETARIO GENERAL.</w:t>
      </w:r>
    </w:p>
    <w:p w14:paraId="4F67A988" w14:textId="77777777" w:rsidR="00591D54" w:rsidRDefault="00591D54">
      <w:pPr>
        <w:shd w:val="clear" w:color="auto" w:fill="FFFFFF"/>
        <w:spacing w:before="192"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A989" w14:textId="77777777" w:rsidR="00591D54" w:rsidRDefault="00591D54">
      <w:pPr>
        <w:shd w:val="clear" w:color="auto" w:fill="FFFFFF"/>
        <w:spacing w:before="1056" w:line="437" w:lineRule="exact"/>
      </w:pPr>
      <w:r>
        <w:rPr>
          <w:spacing w:val="-7"/>
          <w:sz w:val="18"/>
          <w:szCs w:val="18"/>
          <w:lang w:val="es-ES_tradnl"/>
        </w:rPr>
        <w:t>Quito, D. M., 02 de septiembre de 2015</w:t>
      </w:r>
    </w:p>
    <w:p w14:paraId="4F67A98A" w14:textId="77777777" w:rsidR="00591D54" w:rsidRDefault="00591D54">
      <w:pPr>
        <w:shd w:val="clear" w:color="auto" w:fill="FFFFFF"/>
        <w:spacing w:line="437" w:lineRule="exact"/>
        <w:ind w:left="878"/>
      </w:pPr>
      <w:r>
        <w:rPr>
          <w:b/>
          <w:bCs/>
          <w:spacing w:val="-3"/>
          <w:sz w:val="18"/>
          <w:szCs w:val="18"/>
          <w:u w:val="single"/>
          <w:lang w:val="es-ES_tradnl"/>
        </w:rPr>
        <w:t>SENTENCIA N.</w:t>
      </w:r>
      <w:r>
        <w:rPr>
          <w:rFonts w:cs="Times New Roman"/>
          <w:b/>
          <w:bCs/>
          <w:spacing w:val="-3"/>
          <w:sz w:val="18"/>
          <w:szCs w:val="18"/>
          <w:u w:val="single"/>
          <w:lang w:val="es-ES_tradnl"/>
        </w:rPr>
        <w:t>º</w:t>
      </w:r>
      <w:r>
        <w:rPr>
          <w:b/>
          <w:bCs/>
          <w:spacing w:val="-3"/>
          <w:sz w:val="18"/>
          <w:szCs w:val="18"/>
          <w:u w:val="single"/>
          <w:lang w:val="es-ES_tradnl"/>
        </w:rPr>
        <w:t xml:space="preserve"> 050-15-SIS-CC</w:t>
      </w:r>
    </w:p>
    <w:p w14:paraId="4F67A98B" w14:textId="77777777" w:rsidR="00591D54" w:rsidRDefault="00591D54">
      <w:pPr>
        <w:shd w:val="clear" w:color="auto" w:fill="FFFFFF"/>
        <w:spacing w:line="437" w:lineRule="exact"/>
        <w:ind w:left="1320"/>
      </w:pPr>
      <w:r>
        <w:rPr>
          <w:b/>
          <w:bCs/>
          <w:spacing w:val="-5"/>
          <w:sz w:val="18"/>
          <w:szCs w:val="18"/>
          <w:u w:val="single"/>
          <w:lang w:val="es-ES_tradnl"/>
        </w:rPr>
        <w:t>CASO N.</w:t>
      </w:r>
      <w:r>
        <w:rPr>
          <w:rFonts w:cs="Times New Roman"/>
          <w:b/>
          <w:bCs/>
          <w:spacing w:val="-5"/>
          <w:sz w:val="18"/>
          <w:szCs w:val="18"/>
          <w:u w:val="single"/>
          <w:lang w:val="es-ES_tradnl"/>
        </w:rPr>
        <w:t>º</w:t>
      </w:r>
      <w:r>
        <w:rPr>
          <w:b/>
          <w:bCs/>
          <w:spacing w:val="-5"/>
          <w:sz w:val="18"/>
          <w:szCs w:val="18"/>
          <w:u w:val="single"/>
          <w:lang w:val="es-ES_tradnl"/>
        </w:rPr>
        <w:t xml:space="preserve"> 0059-10-IS</w:t>
      </w:r>
    </w:p>
    <w:p w14:paraId="4F67A98C" w14:textId="77777777" w:rsidR="00591D54" w:rsidRDefault="00591D54">
      <w:pPr>
        <w:shd w:val="clear" w:color="auto" w:fill="FFFFFF"/>
        <w:spacing w:line="437" w:lineRule="exact"/>
        <w:ind w:left="298"/>
      </w:pPr>
      <w:r>
        <w:rPr>
          <w:b/>
          <w:bCs/>
          <w:sz w:val="18"/>
          <w:szCs w:val="18"/>
          <w:lang w:val="es-ES_tradnl"/>
        </w:rPr>
        <w:t>CORTE CONSTITUCIONAL DEL ECUADOR</w:t>
      </w:r>
    </w:p>
    <w:p w14:paraId="4F67A98D" w14:textId="77777777" w:rsidR="00591D54" w:rsidRDefault="00591D54">
      <w:pPr>
        <w:shd w:val="clear" w:color="auto" w:fill="FFFFFF"/>
        <w:spacing w:line="437" w:lineRule="exact"/>
        <w:ind w:left="1339"/>
      </w:pPr>
      <w:r>
        <w:rPr>
          <w:b/>
          <w:bCs/>
          <w:sz w:val="18"/>
          <w:szCs w:val="18"/>
          <w:lang w:val="es-ES_tradnl"/>
        </w:rPr>
        <w:t>I. ANTECEDENTES</w:t>
      </w:r>
    </w:p>
    <w:p w14:paraId="4F67A98E" w14:textId="77777777" w:rsidR="00591D54" w:rsidRDefault="00591D54">
      <w:pPr>
        <w:shd w:val="clear" w:color="auto" w:fill="FFFFFF"/>
        <w:spacing w:line="437" w:lineRule="exact"/>
      </w:pPr>
      <w:r>
        <w:rPr>
          <w:b/>
          <w:bCs/>
          <w:spacing w:val="-9"/>
          <w:sz w:val="18"/>
          <w:szCs w:val="18"/>
          <w:lang w:val="es-ES_tradnl"/>
        </w:rPr>
        <w:t>Resumen de admisibilidad</w:t>
      </w:r>
    </w:p>
    <w:p w14:paraId="4F67A98F" w14:textId="77777777" w:rsidR="00591D54" w:rsidRDefault="00591D54">
      <w:pPr>
        <w:shd w:val="clear" w:color="auto" w:fill="FFFFFF"/>
        <w:spacing w:before="163" w:line="221" w:lineRule="exact"/>
        <w:jc w:val="both"/>
      </w:pPr>
      <w:r>
        <w:rPr>
          <w:spacing w:val="-6"/>
          <w:sz w:val="18"/>
          <w:szCs w:val="18"/>
          <w:lang w:val="es-ES_tradnl"/>
        </w:rPr>
        <w:t>La presente acci</w:t>
      </w:r>
      <w:r>
        <w:rPr>
          <w:rFonts w:cs="Times New Roman"/>
          <w:spacing w:val="-6"/>
          <w:sz w:val="18"/>
          <w:szCs w:val="18"/>
          <w:lang w:val="es-ES_tradnl"/>
        </w:rPr>
        <w:t>ó</w:t>
      </w:r>
      <w:r>
        <w:rPr>
          <w:spacing w:val="-6"/>
          <w:sz w:val="18"/>
          <w:szCs w:val="18"/>
          <w:lang w:val="es-ES_tradnl"/>
        </w:rPr>
        <w:t xml:space="preserve">n de incumplimiento de sentencias y </w:t>
      </w:r>
      <w:r>
        <w:rPr>
          <w:spacing w:val="-9"/>
          <w:sz w:val="18"/>
          <w:szCs w:val="18"/>
          <w:lang w:val="es-ES_tradnl"/>
        </w:rPr>
        <w:t>dict</w:t>
      </w:r>
      <w:r>
        <w:rPr>
          <w:rFonts w:cs="Times New Roman"/>
          <w:spacing w:val="-9"/>
          <w:sz w:val="18"/>
          <w:szCs w:val="18"/>
          <w:lang w:val="es-ES_tradnl"/>
        </w:rPr>
        <w:t>á</w:t>
      </w:r>
      <w:r>
        <w:rPr>
          <w:spacing w:val="-9"/>
          <w:sz w:val="18"/>
          <w:szCs w:val="18"/>
          <w:lang w:val="es-ES_tradnl"/>
        </w:rPr>
        <w:t>menes constitucionales fue propuesta el 13 de octubre de 2010, por el doctor Leonel Segundo Mart</w:t>
      </w:r>
      <w:r>
        <w:rPr>
          <w:rFonts w:cs="Times New Roman"/>
          <w:spacing w:val="-9"/>
          <w:sz w:val="18"/>
          <w:szCs w:val="18"/>
          <w:lang w:val="es-ES_tradnl"/>
        </w:rPr>
        <w:t>í</w:t>
      </w:r>
      <w:r>
        <w:rPr>
          <w:spacing w:val="-9"/>
          <w:sz w:val="18"/>
          <w:szCs w:val="18"/>
          <w:lang w:val="es-ES_tradnl"/>
        </w:rPr>
        <w:t xml:space="preserve">nez Rosero en </w:t>
      </w:r>
      <w:r>
        <w:rPr>
          <w:spacing w:val="-6"/>
          <w:sz w:val="18"/>
          <w:szCs w:val="18"/>
          <w:lang w:val="es-ES_tradnl"/>
        </w:rPr>
        <w:t>contra de la Primera Sala del Tribunal de lo Contencioso Administrativo N.</w:t>
      </w:r>
      <w:r>
        <w:rPr>
          <w:rFonts w:cs="Times New Roman"/>
          <w:spacing w:val="-6"/>
          <w:sz w:val="18"/>
          <w:szCs w:val="18"/>
          <w:lang w:val="es-ES_tradnl"/>
        </w:rPr>
        <w:t>º</w:t>
      </w:r>
      <w:r>
        <w:rPr>
          <w:spacing w:val="-6"/>
          <w:sz w:val="18"/>
          <w:szCs w:val="18"/>
          <w:lang w:val="es-ES_tradnl"/>
        </w:rPr>
        <w:t xml:space="preserve"> 1 de Quito, alegando el incumplimiento </w:t>
      </w:r>
      <w:r>
        <w:rPr>
          <w:spacing w:val="-5"/>
          <w:sz w:val="18"/>
          <w:szCs w:val="18"/>
          <w:lang w:val="es-ES_tradnl"/>
        </w:rPr>
        <w:t>de la resoluci</w:t>
      </w:r>
      <w:r>
        <w:rPr>
          <w:rFonts w:cs="Times New Roman"/>
          <w:spacing w:val="-5"/>
          <w:sz w:val="18"/>
          <w:szCs w:val="18"/>
          <w:lang w:val="es-ES_tradnl"/>
        </w:rPr>
        <w:t>ó</w:t>
      </w:r>
      <w:r>
        <w:rPr>
          <w:spacing w:val="-5"/>
          <w:sz w:val="18"/>
          <w:szCs w:val="18"/>
          <w:lang w:val="es-ES_tradnl"/>
        </w:rPr>
        <w:t xml:space="preserve">n dictada por la Primera Sala de la Corte </w:t>
      </w:r>
      <w:r>
        <w:rPr>
          <w:spacing w:val="-8"/>
          <w:sz w:val="18"/>
          <w:szCs w:val="18"/>
          <w:lang w:val="es-ES_tradnl"/>
        </w:rPr>
        <w:t xml:space="preserve">Constitucional, el 12 de agosto de 2009, dentro del amparo </w:t>
      </w:r>
      <w:r>
        <w:rPr>
          <w:sz w:val="18"/>
          <w:szCs w:val="18"/>
          <w:lang w:val="es-ES_tradnl"/>
        </w:rPr>
        <w:t>constitucional N.</w:t>
      </w:r>
      <w:r>
        <w:rPr>
          <w:rFonts w:cs="Times New Roman"/>
          <w:sz w:val="18"/>
          <w:szCs w:val="18"/>
          <w:lang w:val="es-ES_tradnl"/>
        </w:rPr>
        <w:t>º</w:t>
      </w:r>
      <w:r>
        <w:rPr>
          <w:sz w:val="18"/>
          <w:szCs w:val="18"/>
          <w:lang w:val="es-ES_tradnl"/>
        </w:rPr>
        <w:t xml:space="preserve"> 0959-08-RA.</w:t>
      </w:r>
    </w:p>
    <w:p w14:paraId="4F67A990" w14:textId="77777777" w:rsidR="00591D54" w:rsidRDefault="00591D54">
      <w:pPr>
        <w:shd w:val="clear" w:color="auto" w:fill="FFFFFF"/>
        <w:spacing w:before="202" w:line="221" w:lineRule="exact"/>
        <w:jc w:val="both"/>
      </w:pPr>
      <w:r>
        <w:rPr>
          <w:spacing w:val="-9"/>
          <w:sz w:val="18"/>
          <w:szCs w:val="18"/>
          <w:lang w:val="es-ES_tradnl"/>
        </w:rPr>
        <w:t>El 13 de octubre de 2010 a las 17h15, la Secretar</w:t>
      </w:r>
      <w:r>
        <w:rPr>
          <w:rFonts w:cs="Times New Roman"/>
          <w:spacing w:val="-9"/>
          <w:sz w:val="18"/>
          <w:szCs w:val="18"/>
          <w:lang w:val="es-ES_tradnl"/>
        </w:rPr>
        <w:t>í</w:t>
      </w:r>
      <w:r>
        <w:rPr>
          <w:spacing w:val="-9"/>
          <w:sz w:val="18"/>
          <w:szCs w:val="18"/>
          <w:lang w:val="es-ES_tradnl"/>
        </w:rPr>
        <w:t xml:space="preserve">a General </w:t>
      </w:r>
      <w:r>
        <w:rPr>
          <w:spacing w:val="-5"/>
          <w:sz w:val="18"/>
          <w:szCs w:val="18"/>
          <w:lang w:val="es-ES_tradnl"/>
        </w:rPr>
        <w:t>de la Corte Constitucional, para el per</w:t>
      </w:r>
      <w:r>
        <w:rPr>
          <w:rFonts w:cs="Times New Roman"/>
          <w:spacing w:val="-5"/>
          <w:sz w:val="18"/>
          <w:szCs w:val="18"/>
          <w:lang w:val="es-ES_tradnl"/>
        </w:rPr>
        <w:t>í</w:t>
      </w:r>
      <w:r>
        <w:rPr>
          <w:spacing w:val="-5"/>
          <w:sz w:val="18"/>
          <w:szCs w:val="18"/>
          <w:lang w:val="es-ES_tradnl"/>
        </w:rPr>
        <w:t>odo de transici</w:t>
      </w:r>
      <w:r>
        <w:rPr>
          <w:rFonts w:cs="Times New Roman"/>
          <w:spacing w:val="-5"/>
          <w:sz w:val="18"/>
          <w:szCs w:val="18"/>
          <w:lang w:val="es-ES_tradnl"/>
        </w:rPr>
        <w:t>ó</w:t>
      </w:r>
      <w:r>
        <w:rPr>
          <w:spacing w:val="-5"/>
          <w:sz w:val="18"/>
          <w:szCs w:val="18"/>
          <w:lang w:val="es-ES_tradnl"/>
        </w:rPr>
        <w:t xml:space="preserve">n, </w:t>
      </w:r>
      <w:r>
        <w:rPr>
          <w:spacing w:val="-8"/>
          <w:sz w:val="18"/>
          <w:szCs w:val="18"/>
          <w:lang w:val="es-ES_tradnl"/>
        </w:rPr>
        <w:t xml:space="preserve">de conformidad con lo establecido en el segundo inciso del </w:t>
      </w:r>
      <w:r>
        <w:rPr>
          <w:spacing w:val="-7"/>
          <w:sz w:val="18"/>
          <w:szCs w:val="18"/>
          <w:lang w:val="es-ES_tradnl"/>
        </w:rPr>
        <w:t>art</w:t>
      </w:r>
      <w:r>
        <w:rPr>
          <w:rFonts w:cs="Times New Roman"/>
          <w:spacing w:val="-7"/>
          <w:sz w:val="18"/>
          <w:szCs w:val="18"/>
          <w:lang w:val="es-ES_tradnl"/>
        </w:rPr>
        <w:t>í</w:t>
      </w:r>
      <w:r>
        <w:rPr>
          <w:spacing w:val="-7"/>
          <w:sz w:val="18"/>
          <w:szCs w:val="18"/>
          <w:lang w:val="es-ES_tradnl"/>
        </w:rPr>
        <w:t>culo 17 del Reglamento de Sustanciaci</w:t>
      </w:r>
      <w:r>
        <w:rPr>
          <w:rFonts w:cs="Times New Roman"/>
          <w:spacing w:val="-7"/>
          <w:sz w:val="18"/>
          <w:szCs w:val="18"/>
          <w:lang w:val="es-ES_tradnl"/>
        </w:rPr>
        <w:t>ó</w:t>
      </w:r>
      <w:r>
        <w:rPr>
          <w:spacing w:val="-7"/>
          <w:sz w:val="18"/>
          <w:szCs w:val="18"/>
          <w:lang w:val="es-ES_tradnl"/>
        </w:rPr>
        <w:t xml:space="preserve">n de Procesos </w:t>
      </w:r>
      <w:r>
        <w:rPr>
          <w:spacing w:val="-6"/>
          <w:sz w:val="18"/>
          <w:szCs w:val="18"/>
          <w:lang w:val="es-ES_tradnl"/>
        </w:rPr>
        <w:t>de Competencia de la Corte Constitucional, certific</w:t>
      </w:r>
      <w:r>
        <w:rPr>
          <w:rFonts w:cs="Times New Roman"/>
          <w:spacing w:val="-6"/>
          <w:sz w:val="18"/>
          <w:szCs w:val="18"/>
          <w:lang w:val="es-ES_tradnl"/>
        </w:rPr>
        <w:t>ó</w:t>
      </w:r>
      <w:r>
        <w:rPr>
          <w:spacing w:val="-6"/>
          <w:sz w:val="18"/>
          <w:szCs w:val="18"/>
          <w:lang w:val="es-ES_tradnl"/>
        </w:rPr>
        <w:t xml:space="preserve"> que </w:t>
      </w:r>
      <w:r>
        <w:rPr>
          <w:spacing w:val="-8"/>
          <w:sz w:val="18"/>
          <w:szCs w:val="18"/>
          <w:lang w:val="es-ES_tradnl"/>
        </w:rPr>
        <w:t xml:space="preserve">no se ha presentado otra demanda con identidad de objeto </w:t>
      </w:r>
      <w:r>
        <w:rPr>
          <w:spacing w:val="-6"/>
          <w:sz w:val="18"/>
          <w:szCs w:val="18"/>
          <w:lang w:val="es-ES_tradnl"/>
        </w:rPr>
        <w:t>y acci</w:t>
      </w:r>
      <w:r>
        <w:rPr>
          <w:rFonts w:cs="Times New Roman"/>
          <w:spacing w:val="-6"/>
          <w:sz w:val="18"/>
          <w:szCs w:val="18"/>
          <w:lang w:val="es-ES_tradnl"/>
        </w:rPr>
        <w:t>ó</w:t>
      </w:r>
      <w:r>
        <w:rPr>
          <w:spacing w:val="-6"/>
          <w:sz w:val="18"/>
          <w:szCs w:val="18"/>
          <w:lang w:val="es-ES_tradnl"/>
        </w:rPr>
        <w:t xml:space="preserve">n; sin embargo, se deja constancia para los fines </w:t>
      </w:r>
      <w:r>
        <w:rPr>
          <w:spacing w:val="-10"/>
          <w:sz w:val="18"/>
          <w:szCs w:val="18"/>
          <w:lang w:val="es-ES_tradnl"/>
        </w:rPr>
        <w:t>pertinentes que la presente acci</w:t>
      </w:r>
      <w:r>
        <w:rPr>
          <w:rFonts w:cs="Times New Roman"/>
          <w:spacing w:val="-10"/>
          <w:sz w:val="18"/>
          <w:szCs w:val="18"/>
          <w:lang w:val="es-ES_tradnl"/>
        </w:rPr>
        <w:t>ó</w:t>
      </w:r>
      <w:r>
        <w:rPr>
          <w:spacing w:val="-10"/>
          <w:sz w:val="18"/>
          <w:szCs w:val="18"/>
          <w:lang w:val="es-ES_tradnl"/>
        </w:rPr>
        <w:t>n tiene relaci</w:t>
      </w:r>
      <w:r>
        <w:rPr>
          <w:rFonts w:cs="Times New Roman"/>
          <w:spacing w:val="-10"/>
          <w:sz w:val="18"/>
          <w:szCs w:val="18"/>
          <w:lang w:val="es-ES_tradnl"/>
        </w:rPr>
        <w:t>ó</w:t>
      </w:r>
      <w:r>
        <w:rPr>
          <w:spacing w:val="-10"/>
          <w:sz w:val="18"/>
          <w:szCs w:val="18"/>
          <w:lang w:val="es-ES_tradnl"/>
        </w:rPr>
        <w:t xml:space="preserve">n con el caso </w:t>
      </w:r>
      <w:r>
        <w:rPr>
          <w:sz w:val="18"/>
          <w:szCs w:val="18"/>
          <w:lang w:val="es-ES_tradnl"/>
        </w:rPr>
        <w:t>N.</w:t>
      </w:r>
      <w:r>
        <w:rPr>
          <w:rFonts w:cs="Times New Roman"/>
          <w:sz w:val="18"/>
          <w:szCs w:val="18"/>
          <w:lang w:val="es-ES_tradnl"/>
        </w:rPr>
        <w:t>º</w:t>
      </w:r>
      <w:r>
        <w:rPr>
          <w:sz w:val="18"/>
          <w:szCs w:val="18"/>
          <w:lang w:val="es-ES_tradnl"/>
        </w:rPr>
        <w:t xml:space="preserve"> 0959-08-RA.</w:t>
      </w:r>
    </w:p>
    <w:p w14:paraId="4F67A991" w14:textId="77777777" w:rsidR="00591D54" w:rsidRDefault="00591D54">
      <w:pPr>
        <w:shd w:val="clear" w:color="auto" w:fill="FFFFFF"/>
        <w:spacing w:before="202" w:line="221" w:lineRule="exact"/>
        <w:jc w:val="both"/>
      </w:pPr>
      <w:r>
        <w:rPr>
          <w:spacing w:val="-5"/>
          <w:sz w:val="18"/>
          <w:szCs w:val="18"/>
          <w:lang w:val="es-ES_tradnl"/>
        </w:rPr>
        <w:t xml:space="preserve">De conformidad con el sorteo realizado por el Pleno del </w:t>
      </w:r>
      <w:r>
        <w:rPr>
          <w:spacing w:val="-7"/>
          <w:sz w:val="18"/>
          <w:szCs w:val="18"/>
          <w:lang w:val="es-ES_tradnl"/>
        </w:rPr>
        <w:t>Organismo en sesi</w:t>
      </w:r>
      <w:r>
        <w:rPr>
          <w:rFonts w:cs="Times New Roman"/>
          <w:spacing w:val="-7"/>
          <w:sz w:val="18"/>
          <w:szCs w:val="18"/>
          <w:lang w:val="es-ES_tradnl"/>
        </w:rPr>
        <w:t>ó</w:t>
      </w:r>
      <w:r>
        <w:rPr>
          <w:spacing w:val="-7"/>
          <w:sz w:val="18"/>
          <w:szCs w:val="18"/>
          <w:lang w:val="es-ES_tradnl"/>
        </w:rPr>
        <w:t xml:space="preserve">n ordinaria del 27 de octubre de 2010l </w:t>
      </w:r>
      <w:r>
        <w:rPr>
          <w:spacing w:val="-6"/>
          <w:sz w:val="18"/>
          <w:szCs w:val="18"/>
          <w:lang w:val="es-ES_tradnl"/>
        </w:rPr>
        <w:t>el secretario general de la Corte Constitucional, para el per</w:t>
      </w:r>
      <w:r>
        <w:rPr>
          <w:rFonts w:cs="Times New Roman"/>
          <w:spacing w:val="-6"/>
          <w:sz w:val="18"/>
          <w:szCs w:val="18"/>
          <w:lang w:val="es-ES_tradnl"/>
        </w:rPr>
        <w:t>í</w:t>
      </w:r>
      <w:r>
        <w:rPr>
          <w:spacing w:val="-6"/>
          <w:sz w:val="18"/>
          <w:szCs w:val="18"/>
          <w:lang w:val="es-ES_tradnl"/>
        </w:rPr>
        <w:t>odo de transici</w:t>
      </w:r>
      <w:r>
        <w:rPr>
          <w:rFonts w:cs="Times New Roman"/>
          <w:spacing w:val="-6"/>
          <w:sz w:val="18"/>
          <w:szCs w:val="18"/>
          <w:lang w:val="es-ES_tradnl"/>
        </w:rPr>
        <w:t>ó</w:t>
      </w:r>
      <w:r>
        <w:rPr>
          <w:spacing w:val="-6"/>
          <w:sz w:val="18"/>
          <w:szCs w:val="18"/>
          <w:lang w:val="es-ES_tradnl"/>
        </w:rPr>
        <w:t>n, remite el expediente del caso N.</w:t>
      </w:r>
      <w:r>
        <w:rPr>
          <w:rFonts w:cs="Times New Roman"/>
          <w:spacing w:val="-6"/>
          <w:sz w:val="18"/>
          <w:szCs w:val="18"/>
          <w:lang w:val="es-ES_tradnl"/>
        </w:rPr>
        <w:t xml:space="preserve">º </w:t>
      </w:r>
      <w:r>
        <w:rPr>
          <w:spacing w:val="-5"/>
          <w:sz w:val="18"/>
          <w:szCs w:val="18"/>
          <w:lang w:val="es-ES_tradnl"/>
        </w:rPr>
        <w:t xml:space="preserve">0059-10-IS al ex juez constitucional Patricio Herrera </w:t>
      </w:r>
      <w:r>
        <w:rPr>
          <w:spacing w:val="-9"/>
          <w:sz w:val="18"/>
          <w:szCs w:val="18"/>
          <w:lang w:val="es-ES_tradnl"/>
        </w:rPr>
        <w:t>Betancourt, mediante oficio N.</w:t>
      </w:r>
      <w:r>
        <w:rPr>
          <w:rFonts w:cs="Times New Roman"/>
          <w:spacing w:val="-9"/>
          <w:sz w:val="18"/>
          <w:szCs w:val="18"/>
          <w:lang w:val="es-ES_tradnl"/>
        </w:rPr>
        <w:t>º</w:t>
      </w:r>
      <w:r>
        <w:rPr>
          <w:spacing w:val="-9"/>
          <w:sz w:val="18"/>
          <w:szCs w:val="18"/>
          <w:lang w:val="es-ES_tradnl"/>
        </w:rPr>
        <w:t xml:space="preserve"> 3144-CC-SG-2010 del 9 de </w:t>
      </w:r>
      <w:r>
        <w:rPr>
          <w:sz w:val="18"/>
          <w:szCs w:val="18"/>
          <w:lang w:val="es-ES_tradnl"/>
        </w:rPr>
        <w:t>noviembre de 2010.</w:t>
      </w:r>
    </w:p>
    <w:p w14:paraId="4F67A992" w14:textId="77777777" w:rsidR="00591D54" w:rsidRDefault="00591D54">
      <w:pPr>
        <w:shd w:val="clear" w:color="auto" w:fill="FFFFFF"/>
        <w:spacing w:before="202" w:line="221" w:lineRule="exact"/>
        <w:jc w:val="both"/>
      </w:pPr>
      <w:r>
        <w:rPr>
          <w:spacing w:val="-6"/>
          <w:sz w:val="18"/>
          <w:szCs w:val="18"/>
          <w:lang w:val="es-ES_tradnl"/>
        </w:rPr>
        <w:t xml:space="preserve">El 11 de noviembre de 2010 a las 14h30, el ex juez </w:t>
      </w:r>
      <w:r>
        <w:rPr>
          <w:spacing w:val="-1"/>
          <w:sz w:val="18"/>
          <w:szCs w:val="18"/>
          <w:lang w:val="es-ES_tradnl"/>
        </w:rPr>
        <w:t>constitucional Patricio Herrera Betancourt avoc</w:t>
      </w:r>
      <w:r>
        <w:rPr>
          <w:rFonts w:cs="Times New Roman"/>
          <w:spacing w:val="-1"/>
          <w:sz w:val="18"/>
          <w:szCs w:val="18"/>
          <w:lang w:val="es-ES_tradnl"/>
        </w:rPr>
        <w:t xml:space="preserve">ó </w:t>
      </w:r>
      <w:r>
        <w:rPr>
          <w:spacing w:val="-5"/>
          <w:sz w:val="18"/>
          <w:szCs w:val="18"/>
          <w:lang w:val="es-ES_tradnl"/>
        </w:rPr>
        <w:t>conocimiento de la acci</w:t>
      </w:r>
      <w:r>
        <w:rPr>
          <w:rFonts w:cs="Times New Roman"/>
          <w:spacing w:val="-5"/>
          <w:sz w:val="18"/>
          <w:szCs w:val="18"/>
          <w:lang w:val="es-ES_tradnl"/>
        </w:rPr>
        <w:t>ó</w:t>
      </w:r>
      <w:r>
        <w:rPr>
          <w:spacing w:val="-5"/>
          <w:sz w:val="18"/>
          <w:szCs w:val="18"/>
          <w:lang w:val="es-ES_tradnl"/>
        </w:rPr>
        <w:t xml:space="preserve">n de incumplimiento planteada, </w:t>
      </w:r>
      <w:r>
        <w:rPr>
          <w:spacing w:val="-10"/>
          <w:sz w:val="18"/>
          <w:szCs w:val="18"/>
          <w:lang w:val="es-ES_tradnl"/>
        </w:rPr>
        <w:t xml:space="preserve">disponiendo que se notifique a los jueces de la Primera Sala </w:t>
      </w:r>
      <w:r>
        <w:rPr>
          <w:spacing w:val="-7"/>
          <w:sz w:val="18"/>
          <w:szCs w:val="18"/>
          <w:lang w:val="es-ES_tradnl"/>
        </w:rPr>
        <w:t xml:space="preserve">del Tribunal de lo Contencioso Administrativo de Quito y al </w:t>
      </w:r>
      <w:r>
        <w:rPr>
          <w:spacing w:val="-10"/>
          <w:sz w:val="18"/>
          <w:szCs w:val="18"/>
          <w:lang w:val="es-ES_tradnl"/>
        </w:rPr>
        <w:t>procurador general del Estado, a fin de que en el t</w:t>
      </w:r>
      <w:r>
        <w:rPr>
          <w:rFonts w:cs="Times New Roman"/>
          <w:spacing w:val="-10"/>
          <w:sz w:val="18"/>
          <w:szCs w:val="18"/>
          <w:lang w:val="es-ES_tradnl"/>
        </w:rPr>
        <w:t>é</w:t>
      </w:r>
      <w:r>
        <w:rPr>
          <w:spacing w:val="-10"/>
          <w:sz w:val="18"/>
          <w:szCs w:val="18"/>
          <w:lang w:val="es-ES_tradnl"/>
        </w:rPr>
        <w:t xml:space="preserve">rmino de </w:t>
      </w:r>
      <w:r>
        <w:rPr>
          <w:spacing w:val="-8"/>
          <w:sz w:val="18"/>
          <w:szCs w:val="18"/>
          <w:lang w:val="es-ES_tradnl"/>
        </w:rPr>
        <w:t>cinco d</w:t>
      </w:r>
      <w:r>
        <w:rPr>
          <w:rFonts w:cs="Times New Roman"/>
          <w:spacing w:val="-8"/>
          <w:sz w:val="18"/>
          <w:szCs w:val="18"/>
          <w:lang w:val="es-ES_tradnl"/>
        </w:rPr>
        <w:t>í</w:t>
      </w:r>
      <w:r>
        <w:rPr>
          <w:spacing w:val="-8"/>
          <w:sz w:val="18"/>
          <w:szCs w:val="18"/>
          <w:lang w:val="es-ES_tradnl"/>
        </w:rPr>
        <w:t xml:space="preserve">as emitan un informe debidamente motivado sobre </w:t>
      </w:r>
      <w:r>
        <w:rPr>
          <w:sz w:val="18"/>
          <w:szCs w:val="18"/>
          <w:lang w:val="es-ES_tradnl"/>
        </w:rPr>
        <w:t>las razones del incumplimiento.</w:t>
      </w:r>
    </w:p>
    <w:p w14:paraId="4F67A993" w14:textId="77777777" w:rsidR="00591D54" w:rsidRDefault="00591D54">
      <w:pPr>
        <w:shd w:val="clear" w:color="auto" w:fill="FFFFFF"/>
        <w:spacing w:before="202" w:line="221" w:lineRule="exact"/>
        <w:jc w:val="both"/>
        <w:sectPr w:rsidR="00591D54">
          <w:type w:val="continuous"/>
          <w:pgSz w:w="11909" w:h="16834"/>
          <w:pgMar w:top="1368" w:right="1309" w:bottom="360" w:left="1308" w:header="720" w:footer="720" w:gutter="0"/>
          <w:cols w:num="2" w:space="720" w:equalWidth="0">
            <w:col w:w="4305" w:space="682"/>
            <w:col w:w="4305"/>
          </w:cols>
          <w:noEndnote/>
        </w:sectPr>
      </w:pPr>
    </w:p>
    <w:p w14:paraId="4F67A994" w14:textId="77777777" w:rsidR="00591D54" w:rsidRDefault="00591D54">
      <w:pPr>
        <w:shd w:val="clear" w:color="auto" w:fill="FFFFFF"/>
        <w:tabs>
          <w:tab w:val="left" w:pos="595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- 75</w:t>
      </w:r>
    </w:p>
    <w:p w14:paraId="4F67A995" w14:textId="77777777" w:rsidR="00591D54" w:rsidRDefault="00591D54">
      <w:pPr>
        <w:shd w:val="clear" w:color="auto" w:fill="FFFFFF"/>
        <w:tabs>
          <w:tab w:val="left" w:pos="5952"/>
        </w:tabs>
        <w:spacing w:after="235"/>
        <w:ind w:left="5"/>
        <w:sectPr w:rsidR="00591D54">
          <w:pgSz w:w="11909" w:h="16834"/>
          <w:pgMar w:top="1371" w:right="1299" w:bottom="360" w:left="1308" w:header="720" w:footer="720" w:gutter="0"/>
          <w:cols w:space="60"/>
          <w:noEndnote/>
        </w:sectPr>
      </w:pPr>
    </w:p>
    <w:p w14:paraId="4F67A996" w14:textId="77777777" w:rsidR="00591D54" w:rsidRDefault="00591D54">
      <w:pPr>
        <w:shd w:val="clear" w:color="auto" w:fill="FFFFFF"/>
        <w:spacing w:line="216" w:lineRule="exact"/>
        <w:jc w:val="both"/>
      </w:pPr>
      <w:r>
        <w:rPr>
          <w:spacing w:val="-9"/>
          <w:sz w:val="18"/>
          <w:szCs w:val="18"/>
          <w:lang w:val="es-ES_tradnl"/>
        </w:rPr>
        <w:t xml:space="preserve">El 06 de noviembre de 2012, se posesionaron ante el Pleno </w:t>
      </w:r>
      <w:r>
        <w:rPr>
          <w:spacing w:val="-7"/>
          <w:sz w:val="18"/>
          <w:szCs w:val="18"/>
          <w:lang w:val="es-ES_tradnl"/>
        </w:rPr>
        <w:t xml:space="preserve">de la Asamblea Nacional los jueces de la Primera Corte </w:t>
      </w:r>
      <w:r>
        <w:rPr>
          <w:spacing w:val="-6"/>
          <w:sz w:val="18"/>
          <w:szCs w:val="18"/>
          <w:lang w:val="es-ES_tradnl"/>
        </w:rPr>
        <w:t>Constitucional, integrada conforme lo dispuesto en los art</w:t>
      </w:r>
      <w:r>
        <w:rPr>
          <w:rFonts w:cs="Times New Roman"/>
          <w:spacing w:val="-6"/>
          <w:sz w:val="18"/>
          <w:szCs w:val="18"/>
          <w:lang w:val="es-ES_tradnl"/>
        </w:rPr>
        <w:t>í</w:t>
      </w:r>
      <w:r>
        <w:rPr>
          <w:spacing w:val="-6"/>
          <w:sz w:val="18"/>
          <w:szCs w:val="18"/>
          <w:lang w:val="es-ES_tradnl"/>
        </w:rPr>
        <w:t>culos 432 y 434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w:t>
      </w:r>
    </w:p>
    <w:p w14:paraId="4F67A997" w14:textId="77777777" w:rsidR="00591D54" w:rsidRDefault="00591D54">
      <w:pPr>
        <w:shd w:val="clear" w:color="auto" w:fill="FFFFFF"/>
        <w:spacing w:before="197" w:line="216" w:lineRule="exact"/>
        <w:ind w:right="5"/>
        <w:jc w:val="both"/>
      </w:pPr>
      <w:r>
        <w:rPr>
          <w:spacing w:val="-5"/>
          <w:sz w:val="18"/>
          <w:szCs w:val="18"/>
          <w:lang w:val="es-ES_tradnl"/>
        </w:rPr>
        <w:t>Mediante memorando N.</w:t>
      </w:r>
      <w:r>
        <w:rPr>
          <w:rFonts w:cs="Times New Roman"/>
          <w:spacing w:val="-5"/>
          <w:sz w:val="18"/>
          <w:szCs w:val="18"/>
          <w:lang w:val="es-ES_tradnl"/>
        </w:rPr>
        <w:t>º</w:t>
      </w:r>
      <w:r>
        <w:rPr>
          <w:spacing w:val="-5"/>
          <w:sz w:val="18"/>
          <w:szCs w:val="18"/>
          <w:lang w:val="es-ES_tradnl"/>
        </w:rPr>
        <w:t xml:space="preserve"> 001-CCE-SG-SUS-2013 y </w:t>
      </w:r>
      <w:r>
        <w:rPr>
          <w:spacing w:val="-6"/>
          <w:sz w:val="18"/>
          <w:szCs w:val="18"/>
          <w:lang w:val="es-ES_tradnl"/>
        </w:rPr>
        <w:t xml:space="preserve">conforme al sorteo realizado por el Pleno de la Corte </w:t>
      </w:r>
      <w:r>
        <w:rPr>
          <w:spacing w:val="-8"/>
          <w:sz w:val="18"/>
          <w:szCs w:val="18"/>
          <w:lang w:val="es-ES_tradnl"/>
        </w:rPr>
        <w:t>Constitucional en sesi</w:t>
      </w:r>
      <w:r>
        <w:rPr>
          <w:rFonts w:cs="Times New Roman"/>
          <w:spacing w:val="-8"/>
          <w:sz w:val="18"/>
          <w:szCs w:val="18"/>
          <w:lang w:val="es-ES_tradnl"/>
        </w:rPr>
        <w:t>ó</w:t>
      </w:r>
      <w:r>
        <w:rPr>
          <w:spacing w:val="-8"/>
          <w:sz w:val="18"/>
          <w:szCs w:val="18"/>
          <w:lang w:val="es-ES_tradnl"/>
        </w:rPr>
        <w:t>n extraordinaria de 03 de enero de 2013, la Secretar</w:t>
      </w:r>
      <w:r>
        <w:rPr>
          <w:rFonts w:cs="Times New Roman"/>
          <w:spacing w:val="-8"/>
          <w:sz w:val="18"/>
          <w:szCs w:val="18"/>
          <w:lang w:val="es-ES_tradnl"/>
        </w:rPr>
        <w:t>í</w:t>
      </w:r>
      <w:r>
        <w:rPr>
          <w:spacing w:val="-8"/>
          <w:sz w:val="18"/>
          <w:szCs w:val="18"/>
          <w:lang w:val="es-ES_tradnl"/>
        </w:rPr>
        <w:t>a General remiti</w:t>
      </w:r>
      <w:r>
        <w:rPr>
          <w:rFonts w:cs="Times New Roman"/>
          <w:spacing w:val="-8"/>
          <w:sz w:val="18"/>
          <w:szCs w:val="18"/>
          <w:lang w:val="es-ES_tradnl"/>
        </w:rPr>
        <w:t>ó</w:t>
      </w:r>
      <w:r>
        <w:rPr>
          <w:spacing w:val="-8"/>
          <w:sz w:val="18"/>
          <w:szCs w:val="18"/>
          <w:lang w:val="es-ES_tradnl"/>
        </w:rPr>
        <w:t xml:space="preserve"> la causa signada con el N.</w:t>
      </w:r>
      <w:r>
        <w:rPr>
          <w:rFonts w:cs="Times New Roman"/>
          <w:spacing w:val="-8"/>
          <w:sz w:val="18"/>
          <w:szCs w:val="18"/>
          <w:lang w:val="es-ES_tradnl"/>
        </w:rPr>
        <w:t>º</w:t>
      </w:r>
      <w:r>
        <w:rPr>
          <w:spacing w:val="-8"/>
          <w:sz w:val="18"/>
          <w:szCs w:val="18"/>
          <w:lang w:val="es-ES_tradnl"/>
        </w:rPr>
        <w:t xml:space="preserve"> 0059-10-IS, al despacho del juez constitucional Patricio </w:t>
      </w:r>
      <w:r>
        <w:rPr>
          <w:sz w:val="18"/>
          <w:szCs w:val="18"/>
          <w:lang w:val="es-ES_tradnl"/>
        </w:rPr>
        <w:t>Pazmi</w:t>
      </w:r>
      <w:r>
        <w:rPr>
          <w:rFonts w:cs="Times New Roman"/>
          <w:sz w:val="18"/>
          <w:szCs w:val="18"/>
          <w:lang w:val="es-ES_tradnl"/>
        </w:rPr>
        <w:t>ñ</w:t>
      </w:r>
      <w:r>
        <w:rPr>
          <w:sz w:val="18"/>
          <w:szCs w:val="18"/>
          <w:lang w:val="es-ES_tradnl"/>
        </w:rPr>
        <w:t>o Freire.</w:t>
      </w:r>
    </w:p>
    <w:p w14:paraId="4F67A998" w14:textId="77777777" w:rsidR="00591D54" w:rsidRDefault="00591D54">
      <w:pPr>
        <w:shd w:val="clear" w:color="auto" w:fill="FFFFFF"/>
        <w:spacing w:before="197" w:line="216" w:lineRule="exact"/>
        <w:ind w:right="5"/>
        <w:jc w:val="both"/>
      </w:pPr>
      <w:r>
        <w:rPr>
          <w:spacing w:val="-11"/>
          <w:sz w:val="18"/>
          <w:szCs w:val="18"/>
          <w:lang w:val="es-ES_tradnl"/>
        </w:rPr>
        <w:t>Consecuentemente, el juez sustanciador avoc</w:t>
      </w:r>
      <w:r>
        <w:rPr>
          <w:rFonts w:cs="Times New Roman"/>
          <w:spacing w:val="-11"/>
          <w:sz w:val="18"/>
          <w:szCs w:val="18"/>
          <w:lang w:val="es-ES_tradnl"/>
        </w:rPr>
        <w:t>ó</w:t>
      </w:r>
      <w:r>
        <w:rPr>
          <w:spacing w:val="-11"/>
          <w:sz w:val="18"/>
          <w:szCs w:val="18"/>
          <w:lang w:val="es-ES_tradnl"/>
        </w:rPr>
        <w:t xml:space="preserve"> conocimiento </w:t>
      </w:r>
      <w:r>
        <w:rPr>
          <w:spacing w:val="-12"/>
          <w:sz w:val="18"/>
          <w:szCs w:val="18"/>
          <w:lang w:val="es-ES_tradnl"/>
        </w:rPr>
        <w:t xml:space="preserve">de la causa el 13 de mayo de 2015 y dispuso que se notifique </w:t>
      </w:r>
      <w:r>
        <w:rPr>
          <w:spacing w:val="-7"/>
          <w:sz w:val="18"/>
          <w:szCs w:val="18"/>
          <w:lang w:val="es-ES_tradnl"/>
        </w:rPr>
        <w:t xml:space="preserve">con la demanda y el contenido de esta providencia a la </w:t>
      </w:r>
      <w:r>
        <w:rPr>
          <w:spacing w:val="-6"/>
          <w:sz w:val="18"/>
          <w:szCs w:val="18"/>
          <w:lang w:val="es-ES_tradnl"/>
        </w:rPr>
        <w:t>Primera Sala del Tribunal Distrital N.</w:t>
      </w:r>
      <w:r>
        <w:rPr>
          <w:rFonts w:cs="Times New Roman"/>
          <w:spacing w:val="-6"/>
          <w:sz w:val="18"/>
          <w:szCs w:val="18"/>
          <w:lang w:val="es-ES_tradnl"/>
        </w:rPr>
        <w:t>º</w:t>
      </w:r>
      <w:r>
        <w:rPr>
          <w:spacing w:val="-6"/>
          <w:sz w:val="18"/>
          <w:szCs w:val="18"/>
          <w:lang w:val="es-ES_tradnl"/>
        </w:rPr>
        <w:t xml:space="preserve"> 1 de lo Contencioso </w:t>
      </w:r>
      <w:r>
        <w:rPr>
          <w:spacing w:val="-5"/>
          <w:sz w:val="18"/>
          <w:szCs w:val="18"/>
          <w:lang w:val="es-ES_tradnl"/>
        </w:rPr>
        <w:t>Administrativo de Quito, a la Procuradur</w:t>
      </w:r>
      <w:r>
        <w:rPr>
          <w:rFonts w:cs="Times New Roman"/>
          <w:spacing w:val="-5"/>
          <w:sz w:val="18"/>
          <w:szCs w:val="18"/>
          <w:lang w:val="es-ES_tradnl"/>
        </w:rPr>
        <w:t>í</w:t>
      </w:r>
      <w:r>
        <w:rPr>
          <w:spacing w:val="-5"/>
          <w:sz w:val="18"/>
          <w:szCs w:val="18"/>
          <w:lang w:val="es-ES_tradnl"/>
        </w:rPr>
        <w:t xml:space="preserve">a General del </w:t>
      </w:r>
      <w:r>
        <w:rPr>
          <w:spacing w:val="-6"/>
          <w:sz w:val="18"/>
          <w:szCs w:val="18"/>
          <w:lang w:val="es-ES_tradnl"/>
        </w:rPr>
        <w:t xml:space="preserve">Estado y al gerente general de la Empresa Metropolitana </w:t>
      </w:r>
      <w:r>
        <w:rPr>
          <w:spacing w:val="-9"/>
          <w:sz w:val="18"/>
          <w:szCs w:val="18"/>
          <w:lang w:val="es-ES_tradnl"/>
        </w:rPr>
        <w:t>de Rastro de Quito a fin de que en el t</w:t>
      </w:r>
      <w:r>
        <w:rPr>
          <w:rFonts w:cs="Times New Roman"/>
          <w:spacing w:val="-9"/>
          <w:sz w:val="18"/>
          <w:szCs w:val="18"/>
          <w:lang w:val="es-ES_tradnl"/>
        </w:rPr>
        <w:t>é</w:t>
      </w:r>
      <w:r>
        <w:rPr>
          <w:spacing w:val="-9"/>
          <w:sz w:val="18"/>
          <w:szCs w:val="18"/>
          <w:lang w:val="es-ES_tradnl"/>
        </w:rPr>
        <w:t>rmino de cinco d</w:t>
      </w:r>
      <w:r>
        <w:rPr>
          <w:rFonts w:cs="Times New Roman"/>
          <w:spacing w:val="-9"/>
          <w:sz w:val="18"/>
          <w:szCs w:val="18"/>
          <w:lang w:val="es-ES_tradnl"/>
        </w:rPr>
        <w:t>í</w:t>
      </w:r>
      <w:r>
        <w:rPr>
          <w:spacing w:val="-9"/>
          <w:sz w:val="18"/>
          <w:szCs w:val="18"/>
          <w:lang w:val="es-ES_tradnl"/>
        </w:rPr>
        <w:t xml:space="preserve">as </w:t>
      </w:r>
      <w:r>
        <w:rPr>
          <w:spacing w:val="-10"/>
          <w:sz w:val="18"/>
          <w:szCs w:val="18"/>
          <w:lang w:val="es-ES_tradnl"/>
        </w:rPr>
        <w:t xml:space="preserve">emitan un informe argumentado respecto de las razones del </w:t>
      </w:r>
      <w:r>
        <w:rPr>
          <w:sz w:val="18"/>
          <w:szCs w:val="18"/>
          <w:lang w:val="es-ES_tradnl"/>
        </w:rPr>
        <w:t>incumplimiento.</w:t>
      </w:r>
    </w:p>
    <w:p w14:paraId="4F67A999" w14:textId="77777777" w:rsidR="00591D54" w:rsidRDefault="00591D54">
      <w:pPr>
        <w:shd w:val="clear" w:color="auto" w:fill="FFFFFF"/>
        <w:spacing w:before="192"/>
      </w:pPr>
      <w:r>
        <w:rPr>
          <w:b/>
          <w:bCs/>
          <w:spacing w:val="-11"/>
          <w:sz w:val="18"/>
          <w:szCs w:val="18"/>
          <w:lang w:val="es-ES_tradnl"/>
        </w:rPr>
        <w:t>Resoluci</w:t>
      </w:r>
      <w:r>
        <w:rPr>
          <w:rFonts w:cs="Times New Roman"/>
          <w:b/>
          <w:bCs/>
          <w:spacing w:val="-11"/>
          <w:sz w:val="18"/>
          <w:szCs w:val="18"/>
          <w:lang w:val="es-ES_tradnl"/>
        </w:rPr>
        <w:t>ó</w:t>
      </w:r>
      <w:r>
        <w:rPr>
          <w:b/>
          <w:bCs/>
          <w:spacing w:val="-11"/>
          <w:sz w:val="18"/>
          <w:szCs w:val="18"/>
          <w:lang w:val="es-ES_tradnl"/>
        </w:rPr>
        <w:t>n cuyo incumplimiento se demanda</w:t>
      </w:r>
    </w:p>
    <w:p w14:paraId="4F67A99A" w14:textId="77777777" w:rsidR="00591D54" w:rsidRDefault="00591D54">
      <w:pPr>
        <w:shd w:val="clear" w:color="auto" w:fill="FFFFFF"/>
        <w:spacing w:before="192" w:line="216" w:lineRule="exact"/>
        <w:jc w:val="both"/>
      </w:pPr>
      <w:r>
        <w:rPr>
          <w:spacing w:val="-6"/>
          <w:sz w:val="18"/>
          <w:szCs w:val="18"/>
          <w:lang w:val="es-ES_tradnl"/>
        </w:rPr>
        <w:t>El accionante se</w:t>
      </w:r>
      <w:r>
        <w:rPr>
          <w:rFonts w:cs="Times New Roman"/>
          <w:spacing w:val="-6"/>
          <w:sz w:val="18"/>
          <w:szCs w:val="18"/>
          <w:lang w:val="es-ES_tradnl"/>
        </w:rPr>
        <w:t>ñ</w:t>
      </w:r>
      <w:r>
        <w:rPr>
          <w:spacing w:val="-6"/>
          <w:sz w:val="18"/>
          <w:szCs w:val="18"/>
          <w:lang w:val="es-ES_tradnl"/>
        </w:rPr>
        <w:t>ala que se ha incumplido la resoluci</w:t>
      </w:r>
      <w:r>
        <w:rPr>
          <w:rFonts w:cs="Times New Roman"/>
          <w:spacing w:val="-6"/>
          <w:sz w:val="18"/>
          <w:szCs w:val="18"/>
          <w:lang w:val="es-ES_tradnl"/>
        </w:rPr>
        <w:t>ó</w:t>
      </w:r>
      <w:r>
        <w:rPr>
          <w:spacing w:val="-6"/>
          <w:sz w:val="18"/>
          <w:szCs w:val="18"/>
          <w:lang w:val="es-ES_tradnl"/>
        </w:rPr>
        <w:t xml:space="preserve">n dictada por la Primera Sala de la Corte Constitucional del </w:t>
      </w:r>
      <w:r>
        <w:rPr>
          <w:spacing w:val="-8"/>
          <w:sz w:val="18"/>
          <w:szCs w:val="18"/>
          <w:lang w:val="es-ES_tradnl"/>
        </w:rPr>
        <w:t>12 de agosto de 2009, dentro del amparo constitucional N.</w:t>
      </w:r>
      <w:r>
        <w:rPr>
          <w:rFonts w:cs="Times New Roman"/>
          <w:spacing w:val="-8"/>
          <w:sz w:val="18"/>
          <w:szCs w:val="18"/>
          <w:lang w:val="es-ES_tradnl"/>
        </w:rPr>
        <w:t xml:space="preserve">º </w:t>
      </w:r>
      <w:r>
        <w:rPr>
          <w:spacing w:val="-6"/>
          <w:sz w:val="18"/>
          <w:szCs w:val="18"/>
          <w:lang w:val="es-ES_tradnl"/>
        </w:rPr>
        <w:t xml:space="preserve">0959-08-RA, la cual resuelve lo siguiente: </w:t>
      </w:r>
      <w:r>
        <w:rPr>
          <w:rFonts w:cs="Times New Roman"/>
          <w:spacing w:val="-6"/>
          <w:sz w:val="18"/>
          <w:szCs w:val="18"/>
          <w:lang w:val="es-ES_tradnl"/>
        </w:rPr>
        <w:t>“</w:t>
      </w:r>
      <w:r>
        <w:rPr>
          <w:spacing w:val="-6"/>
          <w:sz w:val="18"/>
          <w:szCs w:val="18"/>
          <w:lang w:val="es-ES_tradnl"/>
        </w:rPr>
        <w:t xml:space="preserve">1.- Revocar la </w:t>
      </w:r>
      <w:r>
        <w:rPr>
          <w:spacing w:val="-9"/>
          <w:sz w:val="18"/>
          <w:szCs w:val="18"/>
          <w:lang w:val="es-ES_tradnl"/>
        </w:rPr>
        <w:t>resoluci</w:t>
      </w:r>
      <w:r>
        <w:rPr>
          <w:rFonts w:cs="Times New Roman"/>
          <w:spacing w:val="-9"/>
          <w:sz w:val="18"/>
          <w:szCs w:val="18"/>
          <w:lang w:val="es-ES_tradnl"/>
        </w:rPr>
        <w:t>ó</w:t>
      </w:r>
      <w:r>
        <w:rPr>
          <w:spacing w:val="-9"/>
          <w:sz w:val="18"/>
          <w:szCs w:val="18"/>
          <w:lang w:val="es-ES_tradnl"/>
        </w:rPr>
        <w:t>n venida en grado; y en consecuencia, conceder la acci</w:t>
      </w:r>
      <w:r>
        <w:rPr>
          <w:rFonts w:cs="Times New Roman"/>
          <w:spacing w:val="-9"/>
          <w:sz w:val="18"/>
          <w:szCs w:val="18"/>
          <w:lang w:val="es-ES_tradnl"/>
        </w:rPr>
        <w:t>ó</w:t>
      </w:r>
      <w:r>
        <w:rPr>
          <w:spacing w:val="-9"/>
          <w:sz w:val="18"/>
          <w:szCs w:val="18"/>
          <w:lang w:val="es-ES_tradnl"/>
        </w:rPr>
        <w:t xml:space="preserve">n de amparo propuesta por el doctor Leonel Segundo </w:t>
      </w:r>
      <w:r>
        <w:rPr>
          <w:spacing w:val="-7"/>
          <w:sz w:val="18"/>
          <w:szCs w:val="18"/>
          <w:lang w:val="es-ES_tradnl"/>
        </w:rPr>
        <w:t>Mart</w:t>
      </w:r>
      <w:r>
        <w:rPr>
          <w:rFonts w:cs="Times New Roman"/>
          <w:spacing w:val="-7"/>
          <w:sz w:val="18"/>
          <w:szCs w:val="18"/>
          <w:lang w:val="es-ES_tradnl"/>
        </w:rPr>
        <w:t>í</w:t>
      </w:r>
      <w:r>
        <w:rPr>
          <w:spacing w:val="-7"/>
          <w:sz w:val="18"/>
          <w:szCs w:val="18"/>
          <w:lang w:val="es-ES_tradnl"/>
        </w:rPr>
        <w:t xml:space="preserve">nez Rosero; y, 2.- Devolver el expediente al Juez de </w:t>
      </w:r>
      <w:r>
        <w:rPr>
          <w:spacing w:val="-6"/>
          <w:sz w:val="18"/>
          <w:szCs w:val="18"/>
          <w:lang w:val="es-ES_tradnl"/>
        </w:rPr>
        <w:t>instancia para los fines previstos en la Ley. Notif</w:t>
      </w:r>
      <w:r>
        <w:rPr>
          <w:rFonts w:cs="Times New Roman"/>
          <w:spacing w:val="-6"/>
          <w:sz w:val="18"/>
          <w:szCs w:val="18"/>
          <w:lang w:val="es-ES_tradnl"/>
        </w:rPr>
        <w:t>í</w:t>
      </w:r>
      <w:r>
        <w:rPr>
          <w:spacing w:val="-6"/>
          <w:sz w:val="18"/>
          <w:szCs w:val="18"/>
          <w:lang w:val="es-ES_tradnl"/>
        </w:rPr>
        <w:t xml:space="preserve">quese y </w:t>
      </w:r>
      <w:r>
        <w:rPr>
          <w:sz w:val="18"/>
          <w:szCs w:val="18"/>
          <w:lang w:val="es-ES_tradnl"/>
        </w:rPr>
        <w:t>publ</w:t>
      </w:r>
      <w:r>
        <w:rPr>
          <w:rFonts w:cs="Times New Roman"/>
          <w:sz w:val="18"/>
          <w:szCs w:val="18"/>
          <w:lang w:val="es-ES_tradnl"/>
        </w:rPr>
        <w:t>í</w:t>
      </w:r>
      <w:r>
        <w:rPr>
          <w:sz w:val="18"/>
          <w:szCs w:val="18"/>
          <w:lang w:val="es-ES_tradnl"/>
        </w:rPr>
        <w:t>quese</w:t>
      </w:r>
      <w:r>
        <w:rPr>
          <w:rFonts w:cs="Times New Roman"/>
          <w:sz w:val="18"/>
          <w:szCs w:val="18"/>
          <w:lang w:val="es-ES_tradnl"/>
        </w:rPr>
        <w:t>”</w:t>
      </w:r>
      <w:r>
        <w:rPr>
          <w:sz w:val="18"/>
          <w:szCs w:val="18"/>
          <w:lang w:val="es-ES_tradnl"/>
        </w:rPr>
        <w:t>.</w:t>
      </w:r>
    </w:p>
    <w:p w14:paraId="4F67A99B" w14:textId="77777777" w:rsidR="00591D54" w:rsidRDefault="00591D54">
      <w:pPr>
        <w:shd w:val="clear" w:color="auto" w:fill="FFFFFF"/>
        <w:spacing w:before="192"/>
      </w:pPr>
      <w:r>
        <w:rPr>
          <w:b/>
          <w:bCs/>
          <w:spacing w:val="-8"/>
          <w:sz w:val="18"/>
          <w:szCs w:val="18"/>
          <w:lang w:val="es-ES_tradnl"/>
        </w:rPr>
        <w:t>Detalle y fundamento de la demanda</w:t>
      </w:r>
    </w:p>
    <w:p w14:paraId="4F67A99C" w14:textId="77777777" w:rsidR="00591D54" w:rsidRDefault="00591D54">
      <w:pPr>
        <w:shd w:val="clear" w:color="auto" w:fill="FFFFFF"/>
        <w:spacing w:before="192" w:line="216" w:lineRule="exact"/>
        <w:jc w:val="both"/>
      </w:pPr>
      <w:r>
        <w:rPr>
          <w:spacing w:val="-4"/>
          <w:sz w:val="18"/>
          <w:szCs w:val="18"/>
          <w:lang w:val="es-ES_tradnl"/>
        </w:rPr>
        <w:t>El legitimado activo en su demanda de acci</w:t>
      </w:r>
      <w:r>
        <w:rPr>
          <w:rFonts w:cs="Times New Roman"/>
          <w:spacing w:val="-4"/>
          <w:sz w:val="18"/>
          <w:szCs w:val="18"/>
          <w:lang w:val="es-ES_tradnl"/>
        </w:rPr>
        <w:t>ó</w:t>
      </w:r>
      <w:r>
        <w:rPr>
          <w:spacing w:val="-4"/>
          <w:sz w:val="18"/>
          <w:szCs w:val="18"/>
          <w:lang w:val="es-ES_tradnl"/>
        </w:rPr>
        <w:t xml:space="preserve">n de </w:t>
      </w:r>
      <w:r>
        <w:rPr>
          <w:sz w:val="18"/>
          <w:szCs w:val="18"/>
          <w:lang w:val="es-ES_tradnl"/>
        </w:rPr>
        <w:t>incumplimiento, en lo principal, sostiene:</w:t>
      </w:r>
    </w:p>
    <w:p w14:paraId="4F67A99D" w14:textId="77777777" w:rsidR="00591D54" w:rsidRDefault="00591D54">
      <w:pPr>
        <w:shd w:val="clear" w:color="auto" w:fill="FFFFFF"/>
        <w:spacing w:before="197" w:line="216" w:lineRule="exact"/>
        <w:jc w:val="both"/>
      </w:pPr>
      <w:r>
        <w:rPr>
          <w:spacing w:val="-7"/>
          <w:sz w:val="18"/>
          <w:szCs w:val="18"/>
          <w:lang w:val="es-ES_tradnl"/>
        </w:rPr>
        <w:t xml:space="preserve">Que es empleado de la Empresa Metropolitana de Rastro </w:t>
      </w:r>
      <w:r>
        <w:rPr>
          <w:spacing w:val="-9"/>
          <w:sz w:val="18"/>
          <w:szCs w:val="18"/>
          <w:lang w:val="es-ES_tradnl"/>
        </w:rPr>
        <w:t>en donde se desempe</w:t>
      </w:r>
      <w:r>
        <w:rPr>
          <w:rFonts w:cs="Times New Roman"/>
          <w:spacing w:val="-9"/>
          <w:sz w:val="18"/>
          <w:szCs w:val="18"/>
          <w:lang w:val="es-ES_tradnl"/>
        </w:rPr>
        <w:t>ñ</w:t>
      </w:r>
      <w:r>
        <w:rPr>
          <w:spacing w:val="-9"/>
          <w:sz w:val="18"/>
          <w:szCs w:val="18"/>
          <w:lang w:val="es-ES_tradnl"/>
        </w:rPr>
        <w:t>a como m</w:t>
      </w:r>
      <w:r>
        <w:rPr>
          <w:rFonts w:cs="Times New Roman"/>
          <w:spacing w:val="-9"/>
          <w:sz w:val="18"/>
          <w:szCs w:val="18"/>
          <w:lang w:val="es-ES_tradnl"/>
        </w:rPr>
        <w:t>é</w:t>
      </w:r>
      <w:r>
        <w:rPr>
          <w:spacing w:val="-9"/>
          <w:sz w:val="18"/>
          <w:szCs w:val="18"/>
          <w:lang w:val="es-ES_tradnl"/>
        </w:rPr>
        <w:t xml:space="preserve">dico veterinario 1, desde </w:t>
      </w:r>
      <w:r>
        <w:rPr>
          <w:spacing w:val="-8"/>
          <w:sz w:val="18"/>
          <w:szCs w:val="18"/>
          <w:lang w:val="es-ES_tradnl"/>
        </w:rPr>
        <w:t xml:space="preserve">el mes de julio de 2002. Sin embargo, agrega que el 20 de </w:t>
      </w:r>
      <w:r>
        <w:rPr>
          <w:spacing w:val="-4"/>
          <w:sz w:val="18"/>
          <w:szCs w:val="18"/>
          <w:lang w:val="es-ES_tradnl"/>
        </w:rPr>
        <w:t xml:space="preserve">junio de 2007 fue destituido del cargo por parte de quien </w:t>
      </w:r>
      <w:r>
        <w:rPr>
          <w:spacing w:val="-8"/>
          <w:sz w:val="18"/>
          <w:szCs w:val="18"/>
          <w:lang w:val="es-ES_tradnl"/>
        </w:rPr>
        <w:t xml:space="preserve">a la fecha ostentaba el cargo de gerente de la empresa, lo </w:t>
      </w:r>
      <w:r>
        <w:rPr>
          <w:spacing w:val="-5"/>
          <w:sz w:val="18"/>
          <w:szCs w:val="18"/>
          <w:lang w:val="es-ES_tradnl"/>
        </w:rPr>
        <w:t>que origin</w:t>
      </w:r>
      <w:r>
        <w:rPr>
          <w:rFonts w:cs="Times New Roman"/>
          <w:spacing w:val="-5"/>
          <w:sz w:val="18"/>
          <w:szCs w:val="18"/>
          <w:lang w:val="es-ES_tradnl"/>
        </w:rPr>
        <w:t>ó</w:t>
      </w:r>
      <w:r>
        <w:rPr>
          <w:spacing w:val="-5"/>
          <w:sz w:val="18"/>
          <w:szCs w:val="18"/>
          <w:lang w:val="es-ES_tradnl"/>
        </w:rPr>
        <w:t xml:space="preserve"> que se le prive de su fuente de ingresos en </w:t>
      </w:r>
      <w:r>
        <w:rPr>
          <w:spacing w:val="-4"/>
          <w:sz w:val="18"/>
          <w:szCs w:val="18"/>
          <w:lang w:val="es-ES_tradnl"/>
        </w:rPr>
        <w:t>forma arbitraria ilegal e ileg</w:t>
      </w:r>
      <w:r>
        <w:rPr>
          <w:rFonts w:cs="Times New Roman"/>
          <w:spacing w:val="-4"/>
          <w:sz w:val="18"/>
          <w:szCs w:val="18"/>
          <w:lang w:val="es-ES_tradnl"/>
        </w:rPr>
        <w:t>í</w:t>
      </w:r>
      <w:r>
        <w:rPr>
          <w:spacing w:val="-4"/>
          <w:sz w:val="18"/>
          <w:szCs w:val="18"/>
          <w:lang w:val="es-ES_tradnl"/>
        </w:rPr>
        <w:t xml:space="preserve">tima por lo que el 23 de julio </w:t>
      </w:r>
      <w:r>
        <w:rPr>
          <w:spacing w:val="-8"/>
          <w:sz w:val="18"/>
          <w:szCs w:val="18"/>
          <w:lang w:val="es-ES_tradnl"/>
        </w:rPr>
        <w:t>de 2007, dedujo acci</w:t>
      </w:r>
      <w:r>
        <w:rPr>
          <w:rFonts w:cs="Times New Roman"/>
          <w:spacing w:val="-8"/>
          <w:sz w:val="18"/>
          <w:szCs w:val="18"/>
          <w:lang w:val="es-ES_tradnl"/>
        </w:rPr>
        <w:t>ó</w:t>
      </w:r>
      <w:r>
        <w:rPr>
          <w:spacing w:val="-8"/>
          <w:sz w:val="18"/>
          <w:szCs w:val="18"/>
          <w:lang w:val="es-ES_tradnl"/>
        </w:rPr>
        <w:t xml:space="preserve">n de amparo constitucional en contra </w:t>
      </w:r>
      <w:r>
        <w:rPr>
          <w:sz w:val="18"/>
          <w:szCs w:val="18"/>
          <w:lang w:val="es-ES_tradnl"/>
        </w:rPr>
        <w:t>de la empresa.</w:t>
      </w:r>
    </w:p>
    <w:p w14:paraId="4F67A99E" w14:textId="77777777" w:rsidR="00591D54" w:rsidRDefault="00591D54">
      <w:pPr>
        <w:shd w:val="clear" w:color="auto" w:fill="FFFFFF"/>
        <w:spacing w:before="197" w:line="216" w:lineRule="exact"/>
        <w:jc w:val="both"/>
      </w:pPr>
      <w:r>
        <w:rPr>
          <w:spacing w:val="-7"/>
          <w:sz w:val="18"/>
          <w:szCs w:val="18"/>
          <w:lang w:val="es-ES_tradnl"/>
        </w:rPr>
        <w:t>Establece que la competencia de la acci</w:t>
      </w:r>
      <w:r>
        <w:rPr>
          <w:rFonts w:cs="Times New Roman"/>
          <w:spacing w:val="-7"/>
          <w:sz w:val="18"/>
          <w:szCs w:val="18"/>
          <w:lang w:val="es-ES_tradnl"/>
        </w:rPr>
        <w:t>ó</w:t>
      </w:r>
      <w:r>
        <w:rPr>
          <w:spacing w:val="-7"/>
          <w:sz w:val="18"/>
          <w:szCs w:val="18"/>
          <w:lang w:val="es-ES_tradnl"/>
        </w:rPr>
        <w:t xml:space="preserve">n deducida se </w:t>
      </w:r>
      <w:r>
        <w:rPr>
          <w:spacing w:val="-6"/>
          <w:sz w:val="18"/>
          <w:szCs w:val="18"/>
          <w:lang w:val="es-ES_tradnl"/>
        </w:rPr>
        <w:t>radic</w:t>
      </w:r>
      <w:r>
        <w:rPr>
          <w:rFonts w:cs="Times New Roman"/>
          <w:spacing w:val="-6"/>
          <w:sz w:val="18"/>
          <w:szCs w:val="18"/>
          <w:lang w:val="es-ES_tradnl"/>
        </w:rPr>
        <w:t>ó</w:t>
      </w:r>
      <w:r>
        <w:rPr>
          <w:spacing w:val="-6"/>
          <w:sz w:val="18"/>
          <w:szCs w:val="18"/>
          <w:lang w:val="es-ES_tradnl"/>
        </w:rPr>
        <w:t xml:space="preserve"> en la Primera Sala del Tribunal de lo Contencioso Administrativo en donde se sustanci</w:t>
      </w:r>
      <w:r>
        <w:rPr>
          <w:rFonts w:cs="Times New Roman"/>
          <w:spacing w:val="-6"/>
          <w:sz w:val="18"/>
          <w:szCs w:val="18"/>
          <w:lang w:val="es-ES_tradnl"/>
        </w:rPr>
        <w:t>ó</w:t>
      </w:r>
      <w:r>
        <w:rPr>
          <w:spacing w:val="-6"/>
          <w:sz w:val="18"/>
          <w:szCs w:val="18"/>
          <w:lang w:val="es-ES_tradnl"/>
        </w:rPr>
        <w:t xml:space="preserve"> bajo el N.</w:t>
      </w:r>
      <w:r>
        <w:rPr>
          <w:rFonts w:cs="Times New Roman"/>
          <w:spacing w:val="-6"/>
          <w:sz w:val="18"/>
          <w:szCs w:val="18"/>
          <w:lang w:val="es-ES_tradnl"/>
        </w:rPr>
        <w:t>º</w:t>
      </w:r>
      <w:r>
        <w:rPr>
          <w:spacing w:val="-6"/>
          <w:sz w:val="18"/>
          <w:szCs w:val="18"/>
          <w:lang w:val="es-ES_tradnl"/>
        </w:rPr>
        <w:t xml:space="preserve"> 16.327. </w:t>
      </w:r>
      <w:r>
        <w:rPr>
          <w:spacing w:val="-9"/>
          <w:sz w:val="18"/>
          <w:szCs w:val="18"/>
          <w:lang w:val="es-ES_tradnl"/>
        </w:rPr>
        <w:t>Tal es as</w:t>
      </w:r>
      <w:r>
        <w:rPr>
          <w:rFonts w:cs="Times New Roman"/>
          <w:spacing w:val="-9"/>
          <w:sz w:val="18"/>
          <w:szCs w:val="18"/>
          <w:lang w:val="es-ES_tradnl"/>
        </w:rPr>
        <w:t>í</w:t>
      </w:r>
      <w:r>
        <w:rPr>
          <w:spacing w:val="-9"/>
          <w:sz w:val="18"/>
          <w:szCs w:val="18"/>
          <w:lang w:val="es-ES_tradnl"/>
        </w:rPr>
        <w:t>, que mediante resoluci</w:t>
      </w:r>
      <w:r>
        <w:rPr>
          <w:rFonts w:cs="Times New Roman"/>
          <w:spacing w:val="-9"/>
          <w:sz w:val="18"/>
          <w:szCs w:val="18"/>
          <w:lang w:val="es-ES_tradnl"/>
        </w:rPr>
        <w:t>ó</w:t>
      </w:r>
      <w:r>
        <w:rPr>
          <w:spacing w:val="-9"/>
          <w:sz w:val="18"/>
          <w:szCs w:val="18"/>
          <w:lang w:val="es-ES_tradnl"/>
        </w:rPr>
        <w:t xml:space="preserve">n dictada el 14 de abril de </w:t>
      </w:r>
      <w:r>
        <w:rPr>
          <w:spacing w:val="-8"/>
          <w:sz w:val="18"/>
          <w:szCs w:val="18"/>
          <w:lang w:val="es-ES_tradnl"/>
        </w:rPr>
        <w:t>2008, la Sala resolvi</w:t>
      </w:r>
      <w:r>
        <w:rPr>
          <w:rFonts w:cs="Times New Roman"/>
          <w:spacing w:val="-8"/>
          <w:sz w:val="18"/>
          <w:szCs w:val="18"/>
          <w:lang w:val="es-ES_tradnl"/>
        </w:rPr>
        <w:t>ó</w:t>
      </w:r>
      <w:r>
        <w:rPr>
          <w:spacing w:val="-8"/>
          <w:sz w:val="18"/>
          <w:szCs w:val="18"/>
          <w:lang w:val="es-ES_tradnl"/>
        </w:rPr>
        <w:t xml:space="preserve"> desestimar su demanda y por tanto negar su derecho, raz</w:t>
      </w:r>
      <w:r>
        <w:rPr>
          <w:rFonts w:cs="Times New Roman"/>
          <w:spacing w:val="-8"/>
          <w:sz w:val="18"/>
          <w:szCs w:val="18"/>
          <w:lang w:val="es-ES_tradnl"/>
        </w:rPr>
        <w:t>ó</w:t>
      </w:r>
      <w:r>
        <w:rPr>
          <w:spacing w:val="-8"/>
          <w:sz w:val="18"/>
          <w:szCs w:val="18"/>
          <w:lang w:val="es-ES_tradnl"/>
        </w:rPr>
        <w:t>n por la cual present</w:t>
      </w:r>
      <w:r>
        <w:rPr>
          <w:rFonts w:cs="Times New Roman"/>
          <w:spacing w:val="-8"/>
          <w:sz w:val="18"/>
          <w:szCs w:val="18"/>
          <w:lang w:val="es-ES_tradnl"/>
        </w:rPr>
        <w:t>ó</w:t>
      </w:r>
      <w:r>
        <w:rPr>
          <w:spacing w:val="-8"/>
          <w:sz w:val="18"/>
          <w:szCs w:val="18"/>
          <w:lang w:val="es-ES_tradnl"/>
        </w:rPr>
        <w:t xml:space="preserve"> recurso de </w:t>
      </w:r>
      <w:r>
        <w:rPr>
          <w:sz w:val="18"/>
          <w:szCs w:val="18"/>
          <w:lang w:val="es-ES_tradnl"/>
        </w:rPr>
        <w:t>apelaci</w:t>
      </w:r>
      <w:r>
        <w:rPr>
          <w:rFonts w:cs="Times New Roman"/>
          <w:sz w:val="18"/>
          <w:szCs w:val="18"/>
          <w:lang w:val="es-ES_tradnl"/>
        </w:rPr>
        <w:t>ó</w:t>
      </w:r>
      <w:r>
        <w:rPr>
          <w:sz w:val="18"/>
          <w:szCs w:val="18"/>
          <w:lang w:val="es-ES_tradnl"/>
        </w:rPr>
        <w:t>n.</w:t>
      </w:r>
    </w:p>
    <w:p w14:paraId="4F67A99F" w14:textId="77777777" w:rsidR="00591D54" w:rsidRDefault="00591D54">
      <w:pPr>
        <w:shd w:val="clear" w:color="auto" w:fill="FFFFFF"/>
        <w:spacing w:before="197" w:line="216" w:lineRule="exact"/>
        <w:jc w:val="both"/>
      </w:pPr>
      <w:r>
        <w:rPr>
          <w:spacing w:val="-5"/>
          <w:sz w:val="18"/>
          <w:szCs w:val="18"/>
          <w:lang w:val="es-ES_tradnl"/>
        </w:rPr>
        <w:t>Determina que el 12 de agosto de 2009, la Primera Sala de la Corte Constitucional revoc</w:t>
      </w:r>
      <w:r>
        <w:rPr>
          <w:rFonts w:cs="Times New Roman"/>
          <w:spacing w:val="-5"/>
          <w:sz w:val="18"/>
          <w:szCs w:val="18"/>
          <w:lang w:val="es-ES_tradnl"/>
        </w:rPr>
        <w:t>ó</w:t>
      </w:r>
      <w:r>
        <w:rPr>
          <w:spacing w:val="-5"/>
          <w:sz w:val="18"/>
          <w:szCs w:val="18"/>
          <w:lang w:val="es-ES_tradnl"/>
        </w:rPr>
        <w:t xml:space="preserve"> el fallo impugnado, </w:t>
      </w:r>
      <w:r>
        <w:rPr>
          <w:spacing w:val="-6"/>
          <w:sz w:val="18"/>
          <w:szCs w:val="18"/>
          <w:lang w:val="es-ES_tradnl"/>
        </w:rPr>
        <w:t>concediendo la acci</w:t>
      </w:r>
      <w:r>
        <w:rPr>
          <w:rFonts w:cs="Times New Roman"/>
          <w:spacing w:val="-6"/>
          <w:sz w:val="18"/>
          <w:szCs w:val="18"/>
          <w:lang w:val="es-ES_tradnl"/>
        </w:rPr>
        <w:t>ó</w:t>
      </w:r>
      <w:r>
        <w:rPr>
          <w:spacing w:val="-6"/>
          <w:sz w:val="18"/>
          <w:szCs w:val="18"/>
          <w:lang w:val="es-ES_tradnl"/>
        </w:rPr>
        <w:t xml:space="preserve">n de amparo. El accionante agrega </w:t>
      </w:r>
      <w:r>
        <w:rPr>
          <w:spacing w:val="-5"/>
          <w:sz w:val="18"/>
          <w:szCs w:val="18"/>
          <w:lang w:val="es-ES_tradnl"/>
        </w:rPr>
        <w:t>que en su acci</w:t>
      </w:r>
      <w:r>
        <w:rPr>
          <w:rFonts w:cs="Times New Roman"/>
          <w:spacing w:val="-5"/>
          <w:sz w:val="18"/>
          <w:szCs w:val="18"/>
          <w:lang w:val="es-ES_tradnl"/>
        </w:rPr>
        <w:t>ó</w:t>
      </w:r>
      <w:r>
        <w:rPr>
          <w:spacing w:val="-5"/>
          <w:sz w:val="18"/>
          <w:szCs w:val="18"/>
          <w:lang w:val="es-ES_tradnl"/>
        </w:rPr>
        <w:t>n de amparo constitucional solicit</w:t>
      </w:r>
      <w:r>
        <w:rPr>
          <w:rFonts w:cs="Times New Roman"/>
          <w:spacing w:val="-5"/>
          <w:sz w:val="18"/>
          <w:szCs w:val="18"/>
          <w:lang w:val="es-ES_tradnl"/>
        </w:rPr>
        <w:t>ó</w:t>
      </w:r>
      <w:r>
        <w:rPr>
          <w:spacing w:val="-5"/>
          <w:sz w:val="18"/>
          <w:szCs w:val="18"/>
          <w:lang w:val="es-ES_tradnl"/>
        </w:rPr>
        <w:t xml:space="preserve">: a) El </w:t>
      </w:r>
      <w:r>
        <w:rPr>
          <w:spacing w:val="-6"/>
          <w:sz w:val="18"/>
          <w:szCs w:val="18"/>
          <w:lang w:val="es-ES_tradnl"/>
        </w:rPr>
        <w:t>reintegro a su puesto de trabajo; b) La suspensi</w:t>
      </w:r>
      <w:r>
        <w:rPr>
          <w:rFonts w:cs="Times New Roman"/>
          <w:spacing w:val="-6"/>
          <w:sz w:val="18"/>
          <w:szCs w:val="18"/>
          <w:lang w:val="es-ES_tradnl"/>
        </w:rPr>
        <w:t>ó</w:t>
      </w:r>
      <w:r>
        <w:rPr>
          <w:spacing w:val="-6"/>
          <w:sz w:val="18"/>
          <w:szCs w:val="18"/>
          <w:lang w:val="es-ES_tradnl"/>
        </w:rPr>
        <w:t xml:space="preserve">n de los </w:t>
      </w:r>
      <w:r>
        <w:rPr>
          <w:spacing w:val="-9"/>
          <w:sz w:val="18"/>
          <w:szCs w:val="18"/>
          <w:lang w:val="es-ES_tradnl"/>
        </w:rPr>
        <w:t>efectos de la acci</w:t>
      </w:r>
      <w:r>
        <w:rPr>
          <w:rFonts w:cs="Times New Roman"/>
          <w:spacing w:val="-9"/>
          <w:sz w:val="18"/>
          <w:szCs w:val="18"/>
          <w:lang w:val="es-ES_tradnl"/>
        </w:rPr>
        <w:t>ó</w:t>
      </w:r>
      <w:r>
        <w:rPr>
          <w:spacing w:val="-9"/>
          <w:sz w:val="18"/>
          <w:szCs w:val="18"/>
          <w:lang w:val="es-ES_tradnl"/>
        </w:rPr>
        <w:t>n de personal elimin</w:t>
      </w:r>
      <w:r>
        <w:rPr>
          <w:rFonts w:cs="Times New Roman"/>
          <w:spacing w:val="-9"/>
          <w:sz w:val="18"/>
          <w:szCs w:val="18"/>
          <w:lang w:val="es-ES_tradnl"/>
        </w:rPr>
        <w:t>á</w:t>
      </w:r>
      <w:r>
        <w:rPr>
          <w:spacing w:val="-9"/>
          <w:sz w:val="18"/>
          <w:szCs w:val="18"/>
          <w:lang w:val="es-ES_tradnl"/>
        </w:rPr>
        <w:t>ndola de su carpeta</w:t>
      </w:r>
    </w:p>
    <w:p w14:paraId="4F67A9A0" w14:textId="77777777" w:rsidR="00591D54" w:rsidRDefault="00591D54">
      <w:pPr>
        <w:shd w:val="clear" w:color="auto" w:fill="FFFFFF"/>
        <w:spacing w:line="221" w:lineRule="exact"/>
        <w:ind w:right="10"/>
        <w:jc w:val="both"/>
      </w:pPr>
      <w:r>
        <w:br w:type="column"/>
      </w:r>
      <w:r>
        <w:rPr>
          <w:spacing w:val="-6"/>
          <w:sz w:val="18"/>
          <w:szCs w:val="18"/>
          <w:lang w:val="es-ES_tradnl"/>
        </w:rPr>
        <w:t>personal y, c) El pago de los emolumentos dejados de percibir desde la notificaci</w:t>
      </w:r>
      <w:r>
        <w:rPr>
          <w:rFonts w:cs="Times New Roman"/>
          <w:spacing w:val="-6"/>
          <w:sz w:val="18"/>
          <w:szCs w:val="18"/>
          <w:lang w:val="es-ES_tradnl"/>
        </w:rPr>
        <w:t>ó</w:t>
      </w:r>
      <w:r>
        <w:rPr>
          <w:spacing w:val="-6"/>
          <w:sz w:val="18"/>
          <w:szCs w:val="18"/>
          <w:lang w:val="es-ES_tradnl"/>
        </w:rPr>
        <w:t xml:space="preserve">n del acto ilegal hasta cuando </w:t>
      </w:r>
      <w:r>
        <w:rPr>
          <w:spacing w:val="-7"/>
          <w:sz w:val="18"/>
          <w:szCs w:val="18"/>
          <w:lang w:val="es-ES_tradnl"/>
        </w:rPr>
        <w:t>se haga efectivo el reingreso a su puesto de trabajo.</w:t>
      </w:r>
    </w:p>
    <w:p w14:paraId="4F67A9A1" w14:textId="77777777" w:rsidR="00591D54" w:rsidRDefault="00591D54">
      <w:pPr>
        <w:shd w:val="clear" w:color="auto" w:fill="FFFFFF"/>
        <w:spacing w:before="202" w:line="221" w:lineRule="exact"/>
        <w:ind w:right="10"/>
        <w:jc w:val="both"/>
      </w:pPr>
      <w:r>
        <w:rPr>
          <w:spacing w:val="-9"/>
          <w:sz w:val="18"/>
          <w:szCs w:val="18"/>
          <w:lang w:val="es-ES_tradnl"/>
        </w:rPr>
        <w:t xml:space="preserve">De tal manera, que a su criterio, la Primera Sala de la Corte </w:t>
      </w:r>
      <w:r>
        <w:rPr>
          <w:spacing w:val="-6"/>
          <w:sz w:val="18"/>
          <w:szCs w:val="18"/>
          <w:lang w:val="es-ES_tradnl"/>
        </w:rPr>
        <w:t xml:space="preserve">Constitucional al determinar que </w:t>
      </w:r>
      <w:r>
        <w:rPr>
          <w:rFonts w:cs="Times New Roman"/>
          <w:spacing w:val="-6"/>
          <w:sz w:val="18"/>
          <w:szCs w:val="18"/>
          <w:lang w:val="es-ES_tradnl"/>
        </w:rPr>
        <w:t>“</w:t>
      </w:r>
      <w:r>
        <w:rPr>
          <w:spacing w:val="-6"/>
          <w:sz w:val="18"/>
          <w:szCs w:val="18"/>
          <w:lang w:val="es-ES_tradnl"/>
        </w:rPr>
        <w:t>se acepta la demanda</w:t>
      </w:r>
      <w:r>
        <w:rPr>
          <w:rFonts w:cs="Times New Roman"/>
          <w:spacing w:val="-6"/>
          <w:sz w:val="18"/>
          <w:szCs w:val="18"/>
          <w:lang w:val="es-ES_tradnl"/>
        </w:rPr>
        <w:t>”</w:t>
      </w:r>
      <w:r>
        <w:rPr>
          <w:spacing w:val="-6"/>
          <w:sz w:val="18"/>
          <w:szCs w:val="18"/>
          <w:lang w:val="es-ES_tradnl"/>
        </w:rPr>
        <w:t xml:space="preserve">, </w:t>
      </w:r>
      <w:r>
        <w:rPr>
          <w:spacing w:val="-7"/>
          <w:sz w:val="18"/>
          <w:szCs w:val="18"/>
          <w:lang w:val="es-ES_tradnl"/>
        </w:rPr>
        <w:t xml:space="preserve">conlleva el reconocimiento expreso de todos los derechos </w:t>
      </w:r>
      <w:r>
        <w:rPr>
          <w:spacing w:val="-6"/>
          <w:sz w:val="18"/>
          <w:szCs w:val="18"/>
          <w:lang w:val="es-ES_tradnl"/>
        </w:rPr>
        <w:t xml:space="preserve">constantes en su demanda, puesto que el texto tuvo que </w:t>
      </w:r>
      <w:r>
        <w:rPr>
          <w:spacing w:val="-9"/>
          <w:sz w:val="18"/>
          <w:szCs w:val="18"/>
          <w:lang w:val="es-ES_tradnl"/>
        </w:rPr>
        <w:t xml:space="preserve">haber sido diferente de no haberse aceptado la totalidad de </w:t>
      </w:r>
      <w:r>
        <w:rPr>
          <w:sz w:val="18"/>
          <w:szCs w:val="18"/>
          <w:lang w:val="es-ES_tradnl"/>
        </w:rPr>
        <w:t>sus requerimientos.</w:t>
      </w:r>
    </w:p>
    <w:p w14:paraId="4F67A9A2" w14:textId="77777777" w:rsidR="00591D54" w:rsidRDefault="00591D54">
      <w:pPr>
        <w:shd w:val="clear" w:color="auto" w:fill="FFFFFF"/>
        <w:spacing w:before="206" w:line="221" w:lineRule="exact"/>
        <w:ind w:right="5"/>
        <w:jc w:val="both"/>
      </w:pPr>
      <w:r>
        <w:rPr>
          <w:spacing w:val="-3"/>
          <w:sz w:val="18"/>
          <w:szCs w:val="18"/>
          <w:lang w:val="es-ES_tradnl"/>
        </w:rPr>
        <w:t xml:space="preserve">Manifiesta que de forma permanente ha insistido a la </w:t>
      </w:r>
      <w:r>
        <w:rPr>
          <w:spacing w:val="-2"/>
          <w:sz w:val="18"/>
          <w:szCs w:val="18"/>
          <w:lang w:val="es-ES_tradnl"/>
        </w:rPr>
        <w:t xml:space="preserve">Sala el cumplimiento del fallo dictado por la Corte </w:t>
      </w:r>
      <w:r>
        <w:rPr>
          <w:spacing w:val="-1"/>
          <w:sz w:val="18"/>
          <w:szCs w:val="18"/>
          <w:lang w:val="es-ES_tradnl"/>
        </w:rPr>
        <w:t>Constitucional, sin embargo, en la ejecuci</w:t>
      </w:r>
      <w:r>
        <w:rPr>
          <w:rFonts w:cs="Times New Roman"/>
          <w:spacing w:val="-1"/>
          <w:sz w:val="18"/>
          <w:szCs w:val="18"/>
          <w:lang w:val="es-ES_tradnl"/>
        </w:rPr>
        <w:t>ó</w:t>
      </w:r>
      <w:r>
        <w:rPr>
          <w:spacing w:val="-1"/>
          <w:sz w:val="18"/>
          <w:szCs w:val="18"/>
          <w:lang w:val="es-ES_tradnl"/>
        </w:rPr>
        <w:t xml:space="preserve">n de la </w:t>
      </w:r>
      <w:r>
        <w:rPr>
          <w:spacing w:val="-8"/>
          <w:sz w:val="18"/>
          <w:szCs w:val="18"/>
          <w:lang w:val="es-ES_tradnl"/>
        </w:rPr>
        <w:t>resoluci</w:t>
      </w:r>
      <w:r>
        <w:rPr>
          <w:rFonts w:cs="Times New Roman"/>
          <w:spacing w:val="-8"/>
          <w:sz w:val="18"/>
          <w:szCs w:val="18"/>
          <w:lang w:val="es-ES_tradnl"/>
        </w:rPr>
        <w:t>ó</w:t>
      </w:r>
      <w:r>
        <w:rPr>
          <w:spacing w:val="-8"/>
          <w:sz w:val="18"/>
          <w:szCs w:val="18"/>
          <w:lang w:val="es-ES_tradnl"/>
        </w:rPr>
        <w:t>n, se han admitido una serie de alegaciones tanto de parte del representante de la empresa demandada as</w:t>
      </w:r>
      <w:r>
        <w:rPr>
          <w:rFonts w:cs="Times New Roman"/>
          <w:spacing w:val="-8"/>
          <w:sz w:val="18"/>
          <w:szCs w:val="18"/>
          <w:lang w:val="es-ES_tradnl"/>
        </w:rPr>
        <w:t xml:space="preserve">í </w:t>
      </w:r>
      <w:r>
        <w:rPr>
          <w:spacing w:val="-4"/>
          <w:sz w:val="18"/>
          <w:szCs w:val="18"/>
          <w:lang w:val="es-ES_tradnl"/>
        </w:rPr>
        <w:t>como de la Procuradur</w:t>
      </w:r>
      <w:r>
        <w:rPr>
          <w:rFonts w:cs="Times New Roman"/>
          <w:spacing w:val="-4"/>
          <w:sz w:val="18"/>
          <w:szCs w:val="18"/>
          <w:lang w:val="es-ES_tradnl"/>
        </w:rPr>
        <w:t>í</w:t>
      </w:r>
      <w:r>
        <w:rPr>
          <w:spacing w:val="-4"/>
          <w:sz w:val="18"/>
          <w:szCs w:val="18"/>
          <w:lang w:val="es-ES_tradnl"/>
        </w:rPr>
        <w:t xml:space="preserve">a General del Estado, con el fin </w:t>
      </w:r>
      <w:r>
        <w:rPr>
          <w:spacing w:val="-8"/>
          <w:sz w:val="18"/>
          <w:szCs w:val="18"/>
          <w:lang w:val="es-ES_tradnl"/>
        </w:rPr>
        <w:t xml:space="preserve">de vulnerar sus derechos ya que se ha negado su derecho </w:t>
      </w:r>
      <w:r>
        <w:rPr>
          <w:spacing w:val="-6"/>
          <w:sz w:val="18"/>
          <w:szCs w:val="18"/>
          <w:lang w:val="es-ES_tradnl"/>
        </w:rPr>
        <w:t>a recibir el pago de los emolumentos dejados de percibir.</w:t>
      </w:r>
    </w:p>
    <w:p w14:paraId="4F67A9A3" w14:textId="77777777" w:rsidR="00591D54" w:rsidRDefault="00591D54">
      <w:pPr>
        <w:shd w:val="clear" w:color="auto" w:fill="FFFFFF"/>
        <w:spacing w:before="197"/>
      </w:pPr>
      <w:r>
        <w:rPr>
          <w:b/>
          <w:bCs/>
          <w:spacing w:val="-9"/>
          <w:sz w:val="18"/>
          <w:szCs w:val="18"/>
          <w:lang w:val="es-ES_tradnl"/>
        </w:rPr>
        <w:t>Pretensi</w:t>
      </w:r>
      <w:r>
        <w:rPr>
          <w:rFonts w:cs="Times New Roman"/>
          <w:b/>
          <w:bCs/>
          <w:spacing w:val="-9"/>
          <w:sz w:val="18"/>
          <w:szCs w:val="18"/>
          <w:lang w:val="es-ES_tradnl"/>
        </w:rPr>
        <w:t>ó</w:t>
      </w:r>
      <w:r>
        <w:rPr>
          <w:b/>
          <w:bCs/>
          <w:spacing w:val="-9"/>
          <w:sz w:val="18"/>
          <w:szCs w:val="18"/>
          <w:lang w:val="es-ES_tradnl"/>
        </w:rPr>
        <w:t>n concreta</w:t>
      </w:r>
    </w:p>
    <w:p w14:paraId="4F67A9A4" w14:textId="77777777" w:rsidR="00591D54" w:rsidRDefault="00591D54">
      <w:pPr>
        <w:shd w:val="clear" w:color="auto" w:fill="FFFFFF"/>
        <w:spacing w:before="206" w:line="221" w:lineRule="exact"/>
        <w:ind w:right="10"/>
        <w:jc w:val="both"/>
      </w:pPr>
      <w:r>
        <w:rPr>
          <w:spacing w:val="-5"/>
          <w:sz w:val="18"/>
          <w:szCs w:val="18"/>
          <w:lang w:val="es-ES_tradnl"/>
        </w:rPr>
        <w:t xml:space="preserve">Con estos antecedentes el legitimado activo solicita lo </w:t>
      </w:r>
      <w:r>
        <w:rPr>
          <w:sz w:val="18"/>
          <w:szCs w:val="18"/>
          <w:lang w:val="es-ES_tradnl"/>
        </w:rPr>
        <w:t>siguiente:</w:t>
      </w:r>
    </w:p>
    <w:p w14:paraId="4F67A9A5" w14:textId="77777777" w:rsidR="00591D54" w:rsidRDefault="00591D54">
      <w:pPr>
        <w:shd w:val="clear" w:color="auto" w:fill="FFFFFF"/>
        <w:spacing w:before="206" w:line="221" w:lineRule="exact"/>
        <w:ind w:left="283"/>
        <w:jc w:val="both"/>
      </w:pPr>
      <w:r>
        <w:rPr>
          <w:spacing w:val="-8"/>
          <w:sz w:val="16"/>
          <w:szCs w:val="16"/>
          <w:lang w:val="es-ES_tradnl"/>
        </w:rPr>
        <w:t>En virtud de lo expuesto, encarezco a los se</w:t>
      </w:r>
      <w:r>
        <w:rPr>
          <w:rFonts w:cs="Times New Roman"/>
          <w:spacing w:val="-8"/>
          <w:sz w:val="16"/>
          <w:szCs w:val="16"/>
          <w:lang w:val="es-ES_tradnl"/>
        </w:rPr>
        <w:t>ñ</w:t>
      </w:r>
      <w:r>
        <w:rPr>
          <w:spacing w:val="-8"/>
          <w:sz w:val="16"/>
          <w:szCs w:val="16"/>
          <w:lang w:val="es-ES_tradnl"/>
        </w:rPr>
        <w:t xml:space="preserve">ores Magistrados </w:t>
      </w:r>
      <w:r>
        <w:rPr>
          <w:spacing w:val="-7"/>
          <w:sz w:val="16"/>
          <w:szCs w:val="16"/>
          <w:lang w:val="es-ES_tradnl"/>
        </w:rPr>
        <w:t xml:space="preserve">de la H. Corte Constitucional para que conforme a lo prescrito </w:t>
      </w:r>
      <w:r>
        <w:rPr>
          <w:spacing w:val="-2"/>
          <w:sz w:val="16"/>
          <w:szCs w:val="16"/>
          <w:lang w:val="es-ES_tradnl"/>
        </w:rPr>
        <w:t>en el No. 9 del Art. 436 de la Constituci</w:t>
      </w:r>
      <w:r>
        <w:rPr>
          <w:rFonts w:cs="Times New Roman"/>
          <w:spacing w:val="-2"/>
          <w:sz w:val="16"/>
          <w:szCs w:val="16"/>
          <w:lang w:val="es-ES_tradnl"/>
        </w:rPr>
        <w:t>ó</w:t>
      </w:r>
      <w:r>
        <w:rPr>
          <w:spacing w:val="-2"/>
          <w:sz w:val="16"/>
          <w:szCs w:val="16"/>
          <w:lang w:val="es-ES_tradnl"/>
        </w:rPr>
        <w:t>n de la Rep</w:t>
      </w:r>
      <w:r>
        <w:rPr>
          <w:rFonts w:cs="Times New Roman"/>
          <w:spacing w:val="-2"/>
          <w:sz w:val="16"/>
          <w:szCs w:val="16"/>
          <w:lang w:val="es-ES_tradnl"/>
        </w:rPr>
        <w:t>ú</w:t>
      </w:r>
      <w:r>
        <w:rPr>
          <w:spacing w:val="-2"/>
          <w:sz w:val="16"/>
          <w:szCs w:val="16"/>
          <w:lang w:val="es-ES_tradnl"/>
        </w:rPr>
        <w:t xml:space="preserve">blica </w:t>
      </w:r>
      <w:r>
        <w:rPr>
          <w:spacing w:val="-3"/>
          <w:sz w:val="16"/>
          <w:szCs w:val="16"/>
          <w:lang w:val="es-ES_tradnl"/>
        </w:rPr>
        <w:t>y Art. 162, 163 y 164 de la Ley Org</w:t>
      </w:r>
      <w:r>
        <w:rPr>
          <w:rFonts w:cs="Times New Roman"/>
          <w:spacing w:val="-3"/>
          <w:sz w:val="16"/>
          <w:szCs w:val="16"/>
          <w:lang w:val="es-ES_tradnl"/>
        </w:rPr>
        <w:t>á</w:t>
      </w:r>
      <w:r>
        <w:rPr>
          <w:spacing w:val="-3"/>
          <w:sz w:val="16"/>
          <w:szCs w:val="16"/>
          <w:lang w:val="es-ES_tradnl"/>
        </w:rPr>
        <w:t>nica de Garant</w:t>
      </w:r>
      <w:r>
        <w:rPr>
          <w:rFonts w:cs="Times New Roman"/>
          <w:spacing w:val="-3"/>
          <w:sz w:val="16"/>
          <w:szCs w:val="16"/>
          <w:lang w:val="es-ES_tradnl"/>
        </w:rPr>
        <w:t>í</w:t>
      </w:r>
      <w:r>
        <w:rPr>
          <w:spacing w:val="-3"/>
          <w:sz w:val="16"/>
          <w:szCs w:val="16"/>
          <w:lang w:val="es-ES_tradnl"/>
        </w:rPr>
        <w:t xml:space="preserve">as </w:t>
      </w:r>
      <w:r>
        <w:rPr>
          <w:sz w:val="16"/>
          <w:szCs w:val="16"/>
          <w:lang w:val="es-ES_tradnl"/>
        </w:rPr>
        <w:t xml:space="preserve">Jurisdiccionales y Control Constitucional, se conmine </w:t>
      </w:r>
      <w:r>
        <w:rPr>
          <w:spacing w:val="-6"/>
          <w:sz w:val="16"/>
          <w:szCs w:val="16"/>
          <w:lang w:val="es-ES_tradnl"/>
        </w:rPr>
        <w:t>a los se</w:t>
      </w:r>
      <w:r>
        <w:rPr>
          <w:rFonts w:cs="Times New Roman"/>
          <w:spacing w:val="-6"/>
          <w:sz w:val="16"/>
          <w:szCs w:val="16"/>
          <w:lang w:val="es-ES_tradnl"/>
        </w:rPr>
        <w:t>ñ</w:t>
      </w:r>
      <w:r>
        <w:rPr>
          <w:spacing w:val="-6"/>
          <w:sz w:val="16"/>
          <w:szCs w:val="16"/>
          <w:lang w:val="es-ES_tradnl"/>
        </w:rPr>
        <w:t xml:space="preserve">ores Jueces de la Primera Sala del Tribunal de lo </w:t>
      </w:r>
      <w:r>
        <w:rPr>
          <w:spacing w:val="-2"/>
          <w:sz w:val="16"/>
          <w:szCs w:val="16"/>
          <w:lang w:val="es-ES_tradnl"/>
        </w:rPr>
        <w:t xml:space="preserve">Contencioso Administrativo de este Distrito, que cumplan </w:t>
      </w:r>
      <w:r>
        <w:rPr>
          <w:spacing w:val="-4"/>
          <w:sz w:val="16"/>
          <w:szCs w:val="16"/>
          <w:lang w:val="es-ES_tradnl"/>
        </w:rPr>
        <w:t xml:space="preserve">el fallo pronunciado conforme lo ha dispuesto la PRIMERA </w:t>
      </w:r>
      <w:r>
        <w:rPr>
          <w:spacing w:val="-1"/>
          <w:sz w:val="16"/>
          <w:szCs w:val="16"/>
          <w:lang w:val="es-ES_tradnl"/>
        </w:rPr>
        <w:t>SALA DE LA CORTE CONSTITUCIONAL y adem</w:t>
      </w:r>
      <w:r>
        <w:rPr>
          <w:rFonts w:cs="Times New Roman"/>
          <w:spacing w:val="-1"/>
          <w:sz w:val="16"/>
          <w:szCs w:val="16"/>
          <w:lang w:val="es-ES_tradnl"/>
        </w:rPr>
        <w:t>á</w:t>
      </w:r>
      <w:r>
        <w:rPr>
          <w:spacing w:val="-1"/>
          <w:sz w:val="16"/>
          <w:szCs w:val="16"/>
          <w:lang w:val="es-ES_tradnl"/>
        </w:rPr>
        <w:t xml:space="preserve">s, se </w:t>
      </w:r>
      <w:r>
        <w:rPr>
          <w:spacing w:val="-6"/>
          <w:sz w:val="16"/>
          <w:szCs w:val="16"/>
          <w:lang w:val="es-ES_tradnl"/>
        </w:rPr>
        <w:t>proceda a imponerles una sanci</w:t>
      </w:r>
      <w:r>
        <w:rPr>
          <w:rFonts w:cs="Times New Roman"/>
          <w:spacing w:val="-6"/>
          <w:sz w:val="16"/>
          <w:szCs w:val="16"/>
          <w:lang w:val="es-ES_tradnl"/>
        </w:rPr>
        <w:t>ó</w:t>
      </w:r>
      <w:r>
        <w:rPr>
          <w:spacing w:val="-6"/>
          <w:sz w:val="16"/>
          <w:szCs w:val="16"/>
          <w:lang w:val="es-ES_tradnl"/>
        </w:rPr>
        <w:t xml:space="preserve">n correspondiente en virtud de que no es adecuado ni </w:t>
      </w:r>
      <w:r>
        <w:rPr>
          <w:rFonts w:cs="Times New Roman"/>
          <w:spacing w:val="-6"/>
          <w:sz w:val="16"/>
          <w:szCs w:val="16"/>
          <w:lang w:val="es-ES_tradnl"/>
        </w:rPr>
        <w:t>é</w:t>
      </w:r>
      <w:r>
        <w:rPr>
          <w:spacing w:val="-6"/>
          <w:sz w:val="16"/>
          <w:szCs w:val="16"/>
          <w:lang w:val="es-ES_tradnl"/>
        </w:rPr>
        <w:t>tico demorarse m</w:t>
      </w:r>
      <w:r>
        <w:rPr>
          <w:rFonts w:cs="Times New Roman"/>
          <w:spacing w:val="-6"/>
          <w:sz w:val="16"/>
          <w:szCs w:val="16"/>
          <w:lang w:val="es-ES_tradnl"/>
        </w:rPr>
        <w:t>á</w:t>
      </w:r>
      <w:r>
        <w:rPr>
          <w:spacing w:val="-6"/>
          <w:sz w:val="16"/>
          <w:szCs w:val="16"/>
          <w:lang w:val="es-ES_tradnl"/>
        </w:rPr>
        <w:t>s de UN A</w:t>
      </w:r>
      <w:r>
        <w:rPr>
          <w:rFonts w:cs="Times New Roman"/>
          <w:spacing w:val="-6"/>
          <w:sz w:val="16"/>
          <w:szCs w:val="16"/>
          <w:lang w:val="es-ES_tradnl"/>
        </w:rPr>
        <w:t>Ñ</w:t>
      </w:r>
      <w:r>
        <w:rPr>
          <w:spacing w:val="-6"/>
          <w:sz w:val="16"/>
          <w:szCs w:val="16"/>
          <w:lang w:val="es-ES_tradnl"/>
        </w:rPr>
        <w:t xml:space="preserve">O </w:t>
      </w:r>
      <w:r>
        <w:rPr>
          <w:spacing w:val="-5"/>
          <w:sz w:val="16"/>
          <w:szCs w:val="16"/>
          <w:lang w:val="es-ES_tradnl"/>
        </w:rPr>
        <w:t>para ejecutar en un fallo y peor a</w:t>
      </w:r>
      <w:r>
        <w:rPr>
          <w:rFonts w:cs="Times New Roman"/>
          <w:spacing w:val="-5"/>
          <w:sz w:val="16"/>
          <w:szCs w:val="16"/>
          <w:lang w:val="es-ES_tradnl"/>
        </w:rPr>
        <w:t>ú</w:t>
      </w:r>
      <w:r>
        <w:rPr>
          <w:spacing w:val="-5"/>
          <w:sz w:val="16"/>
          <w:szCs w:val="16"/>
          <w:lang w:val="es-ES_tradnl"/>
        </w:rPr>
        <w:t xml:space="preserve">n de la manera que lo ha </w:t>
      </w:r>
      <w:r>
        <w:rPr>
          <w:sz w:val="16"/>
          <w:szCs w:val="16"/>
          <w:lang w:val="es-ES_tradnl"/>
        </w:rPr>
        <w:t>hecho la Sala.</w:t>
      </w:r>
    </w:p>
    <w:p w14:paraId="4F67A9A6" w14:textId="77777777" w:rsidR="00591D54" w:rsidRDefault="00591D54">
      <w:pPr>
        <w:shd w:val="clear" w:color="auto" w:fill="FFFFFF"/>
        <w:spacing w:before="206"/>
      </w:pPr>
      <w:r>
        <w:rPr>
          <w:b/>
          <w:bCs/>
          <w:spacing w:val="-9"/>
          <w:sz w:val="18"/>
          <w:szCs w:val="18"/>
          <w:lang w:val="es-ES_tradnl"/>
        </w:rPr>
        <w:t>Contestaciones a la demanda</w:t>
      </w:r>
    </w:p>
    <w:p w14:paraId="4F67A9A7" w14:textId="77777777" w:rsidR="00591D54" w:rsidRDefault="00591D54">
      <w:pPr>
        <w:shd w:val="clear" w:color="auto" w:fill="FFFFFF"/>
        <w:spacing w:before="197" w:line="221" w:lineRule="exact"/>
        <w:ind w:right="10"/>
        <w:jc w:val="both"/>
      </w:pPr>
      <w:r>
        <w:rPr>
          <w:b/>
          <w:bCs/>
          <w:sz w:val="18"/>
          <w:szCs w:val="18"/>
          <w:lang w:val="es-ES_tradnl"/>
        </w:rPr>
        <w:t>Primera Sala del Tribunal Distrital N.</w:t>
      </w:r>
      <w:r>
        <w:rPr>
          <w:rFonts w:cs="Times New Roman"/>
          <w:b/>
          <w:bCs/>
          <w:sz w:val="18"/>
          <w:szCs w:val="18"/>
          <w:lang w:val="es-ES_tradnl"/>
        </w:rPr>
        <w:t>º</w:t>
      </w:r>
      <w:r>
        <w:rPr>
          <w:b/>
          <w:bCs/>
          <w:sz w:val="18"/>
          <w:szCs w:val="18"/>
          <w:lang w:val="es-ES_tradnl"/>
        </w:rPr>
        <w:t xml:space="preserve"> 1 de lo Contencioso Administrativo de Quito</w:t>
      </w:r>
    </w:p>
    <w:p w14:paraId="4F67A9A8" w14:textId="77777777" w:rsidR="00591D54" w:rsidRDefault="00591D54">
      <w:pPr>
        <w:shd w:val="clear" w:color="auto" w:fill="FFFFFF"/>
        <w:spacing w:before="202" w:line="221" w:lineRule="exact"/>
        <w:ind w:right="10"/>
        <w:jc w:val="both"/>
      </w:pPr>
      <w:r>
        <w:rPr>
          <w:spacing w:val="-1"/>
          <w:sz w:val="18"/>
          <w:szCs w:val="18"/>
          <w:lang w:val="es-ES_tradnl"/>
        </w:rPr>
        <w:t xml:space="preserve">A fs. 14 del expediente constitucional comparece la </w:t>
      </w:r>
      <w:r>
        <w:rPr>
          <w:spacing w:val="-6"/>
          <w:sz w:val="18"/>
          <w:szCs w:val="18"/>
          <w:lang w:val="es-ES_tradnl"/>
        </w:rPr>
        <w:t xml:space="preserve">doctora Raquel Oderay Lobato Romero de Sancho en </w:t>
      </w:r>
      <w:r>
        <w:rPr>
          <w:spacing w:val="-4"/>
          <w:sz w:val="18"/>
          <w:szCs w:val="18"/>
          <w:lang w:val="es-ES_tradnl"/>
        </w:rPr>
        <w:t xml:space="preserve">calidad de jueza de la Primera Sala del Tribunal Distrital </w:t>
      </w:r>
      <w:r>
        <w:rPr>
          <w:spacing w:val="-6"/>
          <w:sz w:val="18"/>
          <w:szCs w:val="18"/>
          <w:lang w:val="es-ES_tradnl"/>
        </w:rPr>
        <w:t>N.</w:t>
      </w:r>
      <w:r>
        <w:rPr>
          <w:rFonts w:cs="Times New Roman"/>
          <w:spacing w:val="-6"/>
          <w:sz w:val="18"/>
          <w:szCs w:val="18"/>
          <w:lang w:val="es-ES_tradnl"/>
        </w:rPr>
        <w:t>º</w:t>
      </w:r>
      <w:r>
        <w:rPr>
          <w:spacing w:val="-6"/>
          <w:sz w:val="18"/>
          <w:szCs w:val="18"/>
          <w:lang w:val="es-ES_tradnl"/>
        </w:rPr>
        <w:t xml:space="preserve"> 1 de lo Contencioso Administrativo de Quito a efectos </w:t>
      </w:r>
      <w:r>
        <w:rPr>
          <w:spacing w:val="-8"/>
          <w:sz w:val="18"/>
          <w:szCs w:val="18"/>
          <w:lang w:val="es-ES_tradnl"/>
        </w:rPr>
        <w:t>de dar contestaci</w:t>
      </w:r>
      <w:r>
        <w:rPr>
          <w:rFonts w:cs="Times New Roman"/>
          <w:spacing w:val="-8"/>
          <w:sz w:val="18"/>
          <w:szCs w:val="18"/>
          <w:lang w:val="es-ES_tradnl"/>
        </w:rPr>
        <w:t>ó</w:t>
      </w:r>
      <w:r>
        <w:rPr>
          <w:spacing w:val="-8"/>
          <w:sz w:val="18"/>
          <w:szCs w:val="18"/>
          <w:lang w:val="es-ES_tradnl"/>
        </w:rPr>
        <w:t>n a la demanda, se</w:t>
      </w:r>
      <w:r>
        <w:rPr>
          <w:rFonts w:cs="Times New Roman"/>
          <w:spacing w:val="-8"/>
          <w:sz w:val="18"/>
          <w:szCs w:val="18"/>
          <w:lang w:val="es-ES_tradnl"/>
        </w:rPr>
        <w:t>ñ</w:t>
      </w:r>
      <w:r>
        <w:rPr>
          <w:spacing w:val="-8"/>
          <w:sz w:val="18"/>
          <w:szCs w:val="18"/>
          <w:lang w:val="es-ES_tradnl"/>
        </w:rPr>
        <w:t>alando:</w:t>
      </w:r>
    </w:p>
    <w:p w14:paraId="4F67A9A9" w14:textId="77777777" w:rsidR="00591D54" w:rsidRDefault="00591D54">
      <w:pPr>
        <w:shd w:val="clear" w:color="auto" w:fill="FFFFFF"/>
        <w:spacing w:before="202" w:line="221" w:lineRule="exact"/>
        <w:ind w:right="10"/>
        <w:jc w:val="both"/>
      </w:pPr>
      <w:r>
        <w:rPr>
          <w:spacing w:val="-7"/>
          <w:sz w:val="18"/>
          <w:szCs w:val="18"/>
          <w:lang w:val="es-ES_tradnl"/>
        </w:rPr>
        <w:t>Que a fojas 141 de las copias certificadas que acompa</w:t>
      </w:r>
      <w:r>
        <w:rPr>
          <w:rFonts w:cs="Times New Roman"/>
          <w:spacing w:val="-7"/>
          <w:sz w:val="18"/>
          <w:szCs w:val="18"/>
          <w:lang w:val="es-ES_tradnl"/>
        </w:rPr>
        <w:t>ñ</w:t>
      </w:r>
      <w:r>
        <w:rPr>
          <w:spacing w:val="-7"/>
          <w:sz w:val="18"/>
          <w:szCs w:val="18"/>
          <w:lang w:val="es-ES_tradnl"/>
        </w:rPr>
        <w:t xml:space="preserve">a </w:t>
      </w:r>
      <w:r>
        <w:rPr>
          <w:spacing w:val="-1"/>
          <w:sz w:val="18"/>
          <w:szCs w:val="18"/>
          <w:lang w:val="es-ES_tradnl"/>
        </w:rPr>
        <w:t>consta que el actor present</w:t>
      </w:r>
      <w:r>
        <w:rPr>
          <w:rFonts w:cs="Times New Roman"/>
          <w:spacing w:val="-1"/>
          <w:sz w:val="18"/>
          <w:szCs w:val="18"/>
          <w:lang w:val="es-ES_tradnl"/>
        </w:rPr>
        <w:t>ó</w:t>
      </w:r>
      <w:r>
        <w:rPr>
          <w:spacing w:val="-1"/>
          <w:sz w:val="18"/>
          <w:szCs w:val="18"/>
          <w:lang w:val="es-ES_tradnl"/>
        </w:rPr>
        <w:t xml:space="preserve"> recurso de amparo </w:t>
      </w:r>
      <w:r>
        <w:rPr>
          <w:spacing w:val="-4"/>
          <w:sz w:val="18"/>
          <w:szCs w:val="18"/>
          <w:lang w:val="es-ES_tradnl"/>
        </w:rPr>
        <w:t xml:space="preserve">constitucional el 23 de julio de 2007, ante el Tribunal de </w:t>
      </w:r>
      <w:r>
        <w:rPr>
          <w:sz w:val="18"/>
          <w:szCs w:val="18"/>
          <w:lang w:val="es-ES_tradnl"/>
        </w:rPr>
        <w:t>lo Contencioso Administrativo.</w:t>
      </w:r>
    </w:p>
    <w:p w14:paraId="4F67A9AA" w14:textId="77777777" w:rsidR="00591D54" w:rsidRDefault="00591D54">
      <w:pPr>
        <w:shd w:val="clear" w:color="auto" w:fill="FFFFFF"/>
        <w:spacing w:before="202" w:line="221" w:lineRule="exact"/>
        <w:ind w:right="10"/>
        <w:jc w:val="both"/>
      </w:pPr>
      <w:r>
        <w:rPr>
          <w:spacing w:val="-6"/>
          <w:sz w:val="18"/>
          <w:szCs w:val="18"/>
          <w:lang w:val="es-ES_tradnl"/>
        </w:rPr>
        <w:t xml:space="preserve">Precisa que el 22 de noviembre de 2007, la Primera Sala </w:t>
      </w:r>
      <w:r>
        <w:rPr>
          <w:spacing w:val="-3"/>
          <w:sz w:val="18"/>
          <w:szCs w:val="18"/>
          <w:lang w:val="es-ES_tradnl"/>
        </w:rPr>
        <w:t>calific</w:t>
      </w:r>
      <w:r>
        <w:rPr>
          <w:rFonts w:cs="Times New Roman"/>
          <w:spacing w:val="-3"/>
          <w:sz w:val="18"/>
          <w:szCs w:val="18"/>
          <w:lang w:val="es-ES_tradnl"/>
        </w:rPr>
        <w:t>ó</w:t>
      </w:r>
      <w:r>
        <w:rPr>
          <w:spacing w:val="-3"/>
          <w:sz w:val="18"/>
          <w:szCs w:val="18"/>
          <w:lang w:val="es-ES_tradnl"/>
        </w:rPr>
        <w:t xml:space="preserve"> el recurso mencionado, dando por iniciado el </w:t>
      </w:r>
      <w:r>
        <w:rPr>
          <w:spacing w:val="-8"/>
          <w:sz w:val="18"/>
          <w:szCs w:val="18"/>
          <w:lang w:val="es-ES_tradnl"/>
        </w:rPr>
        <w:t>tr</w:t>
      </w:r>
      <w:r>
        <w:rPr>
          <w:rFonts w:cs="Times New Roman"/>
          <w:spacing w:val="-8"/>
          <w:sz w:val="18"/>
          <w:szCs w:val="18"/>
          <w:lang w:val="es-ES_tradnl"/>
        </w:rPr>
        <w:t>á</w:t>
      </w:r>
      <w:r>
        <w:rPr>
          <w:spacing w:val="-8"/>
          <w:sz w:val="18"/>
          <w:szCs w:val="18"/>
          <w:lang w:val="es-ES_tradnl"/>
        </w:rPr>
        <w:t>mite y convoc</w:t>
      </w:r>
      <w:r>
        <w:rPr>
          <w:rFonts w:cs="Times New Roman"/>
          <w:spacing w:val="-8"/>
          <w:sz w:val="18"/>
          <w:szCs w:val="18"/>
          <w:lang w:val="es-ES_tradnl"/>
        </w:rPr>
        <w:t>ó</w:t>
      </w:r>
      <w:r>
        <w:rPr>
          <w:spacing w:val="-8"/>
          <w:sz w:val="18"/>
          <w:szCs w:val="18"/>
          <w:lang w:val="es-ES_tradnl"/>
        </w:rPr>
        <w:t xml:space="preserve"> a las partes a audiencia p</w:t>
      </w:r>
      <w:r>
        <w:rPr>
          <w:rFonts w:cs="Times New Roman"/>
          <w:spacing w:val="-8"/>
          <w:sz w:val="18"/>
          <w:szCs w:val="18"/>
          <w:lang w:val="es-ES_tradnl"/>
        </w:rPr>
        <w:t>ú</w:t>
      </w:r>
      <w:r>
        <w:rPr>
          <w:spacing w:val="-8"/>
          <w:sz w:val="18"/>
          <w:szCs w:val="18"/>
          <w:lang w:val="es-ES_tradnl"/>
        </w:rPr>
        <w:t xml:space="preserve">blica luego de </w:t>
      </w:r>
      <w:r>
        <w:rPr>
          <w:spacing w:val="-6"/>
          <w:sz w:val="18"/>
          <w:szCs w:val="18"/>
          <w:lang w:val="es-ES_tradnl"/>
        </w:rPr>
        <w:t>lo cual, la Sala dict</w:t>
      </w:r>
      <w:r>
        <w:rPr>
          <w:rFonts w:cs="Times New Roman"/>
          <w:spacing w:val="-6"/>
          <w:sz w:val="18"/>
          <w:szCs w:val="18"/>
          <w:lang w:val="es-ES_tradnl"/>
        </w:rPr>
        <w:t>ó</w:t>
      </w:r>
      <w:r>
        <w:rPr>
          <w:spacing w:val="-6"/>
          <w:sz w:val="18"/>
          <w:szCs w:val="18"/>
          <w:lang w:val="es-ES_tradnl"/>
        </w:rPr>
        <w:t xml:space="preserve"> la resoluci</w:t>
      </w:r>
      <w:r>
        <w:rPr>
          <w:rFonts w:cs="Times New Roman"/>
          <w:spacing w:val="-6"/>
          <w:sz w:val="18"/>
          <w:szCs w:val="18"/>
          <w:lang w:val="es-ES_tradnl"/>
        </w:rPr>
        <w:t>ó</w:t>
      </w:r>
      <w:r>
        <w:rPr>
          <w:spacing w:val="-6"/>
          <w:sz w:val="18"/>
          <w:szCs w:val="18"/>
          <w:lang w:val="es-ES_tradnl"/>
        </w:rPr>
        <w:t>n del 14 de abril de 2008, en la que se neg</w:t>
      </w:r>
      <w:r>
        <w:rPr>
          <w:rFonts w:cs="Times New Roman"/>
          <w:spacing w:val="-6"/>
          <w:sz w:val="18"/>
          <w:szCs w:val="18"/>
          <w:lang w:val="es-ES_tradnl"/>
        </w:rPr>
        <w:t>ó</w:t>
      </w:r>
      <w:r>
        <w:rPr>
          <w:spacing w:val="-6"/>
          <w:sz w:val="18"/>
          <w:szCs w:val="18"/>
          <w:lang w:val="es-ES_tradnl"/>
        </w:rPr>
        <w:t xml:space="preserve"> el amparo solicitado por las razones </w:t>
      </w:r>
      <w:r>
        <w:rPr>
          <w:sz w:val="18"/>
          <w:szCs w:val="18"/>
          <w:lang w:val="es-ES_tradnl"/>
        </w:rPr>
        <w:t>constantes en la mencionada resoluci</w:t>
      </w:r>
      <w:r>
        <w:rPr>
          <w:rFonts w:cs="Times New Roman"/>
          <w:sz w:val="18"/>
          <w:szCs w:val="18"/>
          <w:lang w:val="es-ES_tradnl"/>
        </w:rPr>
        <w:t>ó</w:t>
      </w:r>
      <w:r>
        <w:rPr>
          <w:sz w:val="18"/>
          <w:szCs w:val="18"/>
          <w:lang w:val="es-ES_tradnl"/>
        </w:rPr>
        <w:t>n.</w:t>
      </w:r>
    </w:p>
    <w:p w14:paraId="4F67A9AB" w14:textId="77777777" w:rsidR="00591D54" w:rsidRDefault="00591D54">
      <w:pPr>
        <w:shd w:val="clear" w:color="auto" w:fill="FFFFFF"/>
        <w:spacing w:before="202" w:line="221" w:lineRule="exact"/>
        <w:ind w:right="10"/>
        <w:jc w:val="both"/>
        <w:sectPr w:rsidR="00591D54">
          <w:type w:val="continuous"/>
          <w:pgSz w:w="11909" w:h="16834"/>
          <w:pgMar w:top="1371" w:right="1299" w:bottom="360" w:left="1308" w:header="720" w:footer="720" w:gutter="0"/>
          <w:cols w:num="2" w:space="720" w:equalWidth="0">
            <w:col w:w="4305" w:space="682"/>
            <w:col w:w="4315"/>
          </w:cols>
          <w:noEndnote/>
        </w:sectPr>
      </w:pPr>
    </w:p>
    <w:p w14:paraId="4F67A9AC" w14:textId="77777777" w:rsidR="00591D54" w:rsidRDefault="00591D54">
      <w:pPr>
        <w:shd w:val="clear" w:color="auto" w:fill="FFFFFF"/>
        <w:tabs>
          <w:tab w:val="left" w:pos="4814"/>
        </w:tabs>
        <w:spacing w:after="235"/>
        <w:ind w:left="10"/>
      </w:pPr>
      <w:r>
        <w:rPr>
          <w:b/>
          <w:bCs/>
          <w:sz w:val="18"/>
          <w:szCs w:val="18"/>
          <w:lang w:val="es-ES_tradnl"/>
        </w:rPr>
        <w:t xml:space="preserve">76 -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9AD" w14:textId="77777777" w:rsidR="00591D54" w:rsidRDefault="00591D54">
      <w:pPr>
        <w:shd w:val="clear" w:color="auto" w:fill="FFFFFF"/>
        <w:tabs>
          <w:tab w:val="left" w:pos="4814"/>
        </w:tabs>
        <w:spacing w:after="235"/>
        <w:ind w:left="10"/>
        <w:sectPr w:rsidR="00591D54">
          <w:pgSz w:w="11909" w:h="16834"/>
          <w:pgMar w:top="1373" w:right="1309" w:bottom="360" w:left="1308" w:header="720" w:footer="720" w:gutter="0"/>
          <w:cols w:space="60"/>
          <w:noEndnote/>
        </w:sectPr>
      </w:pPr>
    </w:p>
    <w:p w14:paraId="4F67A9AE" w14:textId="77777777" w:rsidR="00591D54" w:rsidRDefault="00591D54">
      <w:pPr>
        <w:shd w:val="clear" w:color="auto" w:fill="FFFFFF"/>
        <w:spacing w:line="216" w:lineRule="exact"/>
        <w:jc w:val="both"/>
      </w:pPr>
      <w:r>
        <w:rPr>
          <w:spacing w:val="-9"/>
          <w:sz w:val="18"/>
          <w:szCs w:val="18"/>
          <w:lang w:val="es-ES_tradnl"/>
        </w:rPr>
        <w:t>Agrega que inconforme el actor con la resoluci</w:t>
      </w:r>
      <w:r>
        <w:rPr>
          <w:rFonts w:cs="Times New Roman"/>
          <w:spacing w:val="-9"/>
          <w:sz w:val="18"/>
          <w:szCs w:val="18"/>
          <w:lang w:val="es-ES_tradnl"/>
        </w:rPr>
        <w:t>ó</w:t>
      </w:r>
      <w:r>
        <w:rPr>
          <w:spacing w:val="-9"/>
          <w:sz w:val="18"/>
          <w:szCs w:val="18"/>
          <w:lang w:val="es-ES_tradnl"/>
        </w:rPr>
        <w:t xml:space="preserve">n, interpuso </w:t>
      </w:r>
      <w:r>
        <w:rPr>
          <w:spacing w:val="-6"/>
          <w:sz w:val="18"/>
          <w:szCs w:val="18"/>
          <w:lang w:val="es-ES_tradnl"/>
        </w:rPr>
        <w:t>recurso de apelaci</w:t>
      </w:r>
      <w:r>
        <w:rPr>
          <w:rFonts w:cs="Times New Roman"/>
          <w:spacing w:val="-6"/>
          <w:sz w:val="18"/>
          <w:szCs w:val="18"/>
          <w:lang w:val="es-ES_tradnl"/>
        </w:rPr>
        <w:t>ó</w:t>
      </w:r>
      <w:r>
        <w:rPr>
          <w:spacing w:val="-6"/>
          <w:sz w:val="18"/>
          <w:szCs w:val="18"/>
          <w:lang w:val="es-ES_tradnl"/>
        </w:rPr>
        <w:t xml:space="preserve">n ante el Tribunal Constitucional hoy </w:t>
      </w:r>
      <w:r>
        <w:rPr>
          <w:spacing w:val="-5"/>
          <w:sz w:val="18"/>
          <w:szCs w:val="18"/>
          <w:lang w:val="es-ES_tradnl"/>
        </w:rPr>
        <w:t xml:space="preserve">Corte Constitucional, la misma que por intermedio de la </w:t>
      </w:r>
      <w:r>
        <w:rPr>
          <w:spacing w:val="-7"/>
          <w:sz w:val="18"/>
          <w:szCs w:val="18"/>
          <w:lang w:val="es-ES_tradnl"/>
        </w:rPr>
        <w:t>Primera Sala resolvi</w:t>
      </w:r>
      <w:r>
        <w:rPr>
          <w:rFonts w:cs="Times New Roman"/>
          <w:spacing w:val="-7"/>
          <w:sz w:val="18"/>
          <w:szCs w:val="18"/>
          <w:lang w:val="es-ES_tradnl"/>
        </w:rPr>
        <w:t>ó</w:t>
      </w:r>
      <w:r>
        <w:rPr>
          <w:spacing w:val="-7"/>
          <w:sz w:val="18"/>
          <w:szCs w:val="18"/>
          <w:lang w:val="es-ES_tradnl"/>
        </w:rPr>
        <w:t xml:space="preserve"> el 12 de agosto de 2009, revocar la </w:t>
      </w:r>
      <w:r>
        <w:rPr>
          <w:spacing w:val="-9"/>
          <w:sz w:val="18"/>
          <w:szCs w:val="18"/>
          <w:lang w:val="es-ES_tradnl"/>
        </w:rPr>
        <w:t>resoluci</w:t>
      </w:r>
      <w:r>
        <w:rPr>
          <w:rFonts w:cs="Times New Roman"/>
          <w:spacing w:val="-9"/>
          <w:sz w:val="18"/>
          <w:szCs w:val="18"/>
          <w:lang w:val="es-ES_tradnl"/>
        </w:rPr>
        <w:t>ó</w:t>
      </w:r>
      <w:r>
        <w:rPr>
          <w:spacing w:val="-9"/>
          <w:sz w:val="18"/>
          <w:szCs w:val="18"/>
          <w:lang w:val="es-ES_tradnl"/>
        </w:rPr>
        <w:t>n venida en grado y concedi</w:t>
      </w:r>
      <w:r>
        <w:rPr>
          <w:rFonts w:cs="Times New Roman"/>
          <w:spacing w:val="-9"/>
          <w:sz w:val="18"/>
          <w:szCs w:val="18"/>
          <w:lang w:val="es-ES_tradnl"/>
        </w:rPr>
        <w:t>ó</w:t>
      </w:r>
      <w:r>
        <w:rPr>
          <w:spacing w:val="-9"/>
          <w:sz w:val="18"/>
          <w:szCs w:val="18"/>
          <w:lang w:val="es-ES_tradnl"/>
        </w:rPr>
        <w:t xml:space="preserve"> la acci</w:t>
      </w:r>
      <w:r>
        <w:rPr>
          <w:rFonts w:cs="Times New Roman"/>
          <w:spacing w:val="-9"/>
          <w:sz w:val="18"/>
          <w:szCs w:val="18"/>
          <w:lang w:val="es-ES_tradnl"/>
        </w:rPr>
        <w:t>ó</w:t>
      </w:r>
      <w:r>
        <w:rPr>
          <w:spacing w:val="-9"/>
          <w:sz w:val="18"/>
          <w:szCs w:val="18"/>
          <w:lang w:val="es-ES_tradnl"/>
        </w:rPr>
        <w:t>n de amparo.</w:t>
      </w:r>
    </w:p>
    <w:p w14:paraId="4F67A9AF" w14:textId="77777777" w:rsidR="00591D54" w:rsidRDefault="00591D54">
      <w:pPr>
        <w:shd w:val="clear" w:color="auto" w:fill="FFFFFF"/>
        <w:spacing w:before="197" w:line="216" w:lineRule="exact"/>
        <w:ind w:right="5"/>
        <w:jc w:val="both"/>
      </w:pPr>
      <w:r>
        <w:rPr>
          <w:spacing w:val="-6"/>
          <w:sz w:val="18"/>
          <w:szCs w:val="18"/>
          <w:lang w:val="es-ES_tradnl"/>
        </w:rPr>
        <w:t>Manifiesta que el 26 de agosto de 2009, la Primera Sala de la Corte Constitucional, para el per</w:t>
      </w:r>
      <w:r>
        <w:rPr>
          <w:rFonts w:cs="Times New Roman"/>
          <w:spacing w:val="-6"/>
          <w:sz w:val="18"/>
          <w:szCs w:val="18"/>
          <w:lang w:val="es-ES_tradnl"/>
        </w:rPr>
        <w:t>í</w:t>
      </w:r>
      <w:r>
        <w:rPr>
          <w:spacing w:val="-6"/>
          <w:sz w:val="18"/>
          <w:szCs w:val="18"/>
          <w:lang w:val="es-ES_tradnl"/>
        </w:rPr>
        <w:t>odo de transici</w:t>
      </w:r>
      <w:r>
        <w:rPr>
          <w:rFonts w:cs="Times New Roman"/>
          <w:spacing w:val="-6"/>
          <w:sz w:val="18"/>
          <w:szCs w:val="18"/>
          <w:lang w:val="es-ES_tradnl"/>
        </w:rPr>
        <w:t>ó</w:t>
      </w:r>
      <w:r>
        <w:rPr>
          <w:spacing w:val="-6"/>
          <w:sz w:val="18"/>
          <w:szCs w:val="18"/>
          <w:lang w:val="es-ES_tradnl"/>
        </w:rPr>
        <w:t>n, neg</w:t>
      </w:r>
      <w:r>
        <w:rPr>
          <w:rFonts w:cs="Times New Roman"/>
          <w:spacing w:val="-6"/>
          <w:sz w:val="18"/>
          <w:szCs w:val="18"/>
          <w:lang w:val="es-ES_tradnl"/>
        </w:rPr>
        <w:t>ó</w:t>
      </w:r>
      <w:r>
        <w:rPr>
          <w:spacing w:val="-6"/>
          <w:sz w:val="18"/>
          <w:szCs w:val="18"/>
          <w:lang w:val="es-ES_tradnl"/>
        </w:rPr>
        <w:t xml:space="preserve"> el pedido de aclaraci</w:t>
      </w:r>
      <w:r>
        <w:rPr>
          <w:rFonts w:cs="Times New Roman"/>
          <w:spacing w:val="-6"/>
          <w:sz w:val="18"/>
          <w:szCs w:val="18"/>
          <w:lang w:val="es-ES_tradnl"/>
        </w:rPr>
        <w:t>ó</w:t>
      </w:r>
      <w:r>
        <w:rPr>
          <w:spacing w:val="-6"/>
          <w:sz w:val="18"/>
          <w:szCs w:val="18"/>
          <w:lang w:val="es-ES_tradnl"/>
        </w:rPr>
        <w:t xml:space="preserve">n formulado por el actor y </w:t>
      </w:r>
      <w:r>
        <w:rPr>
          <w:spacing w:val="-7"/>
          <w:sz w:val="18"/>
          <w:szCs w:val="18"/>
          <w:lang w:val="es-ES_tradnl"/>
        </w:rPr>
        <w:t>consecuentemente, se remiti</w:t>
      </w:r>
      <w:r>
        <w:rPr>
          <w:rFonts w:cs="Times New Roman"/>
          <w:spacing w:val="-7"/>
          <w:sz w:val="18"/>
          <w:szCs w:val="18"/>
          <w:lang w:val="es-ES_tradnl"/>
        </w:rPr>
        <w:t>ó</w:t>
      </w:r>
      <w:r>
        <w:rPr>
          <w:spacing w:val="-7"/>
          <w:sz w:val="18"/>
          <w:szCs w:val="18"/>
          <w:lang w:val="es-ES_tradnl"/>
        </w:rPr>
        <w:t xml:space="preserve"> el expediente a la Primera </w:t>
      </w:r>
      <w:r>
        <w:rPr>
          <w:spacing w:val="-6"/>
          <w:sz w:val="18"/>
          <w:szCs w:val="18"/>
          <w:lang w:val="es-ES_tradnl"/>
        </w:rPr>
        <w:t xml:space="preserve">Sala para que disponga el cumplimiento por parte de la </w:t>
      </w:r>
      <w:r>
        <w:rPr>
          <w:sz w:val="18"/>
          <w:szCs w:val="18"/>
          <w:lang w:val="es-ES_tradnl"/>
        </w:rPr>
        <w:t>Empresa Metropolitana de Rastro.</w:t>
      </w:r>
    </w:p>
    <w:p w14:paraId="4F67A9B0" w14:textId="77777777" w:rsidR="00591D54" w:rsidRDefault="00591D54">
      <w:pPr>
        <w:shd w:val="clear" w:color="auto" w:fill="FFFFFF"/>
        <w:spacing w:before="197" w:line="216" w:lineRule="exact"/>
        <w:ind w:right="5"/>
        <w:jc w:val="both"/>
      </w:pPr>
      <w:r>
        <w:rPr>
          <w:spacing w:val="-10"/>
          <w:sz w:val="18"/>
          <w:szCs w:val="18"/>
          <w:lang w:val="es-ES_tradnl"/>
        </w:rPr>
        <w:t xml:space="preserve">En tal virtud, establece que la Primera Sala con providencias </w:t>
      </w:r>
      <w:r>
        <w:rPr>
          <w:spacing w:val="-3"/>
          <w:sz w:val="18"/>
          <w:szCs w:val="18"/>
          <w:lang w:val="es-ES_tradnl"/>
        </w:rPr>
        <w:t xml:space="preserve">del 10 de septiembre y 29 de octubre de 2009, dispuso </w:t>
      </w:r>
      <w:r>
        <w:rPr>
          <w:spacing w:val="-5"/>
          <w:sz w:val="18"/>
          <w:szCs w:val="18"/>
          <w:lang w:val="es-ES_tradnl"/>
        </w:rPr>
        <w:t>el cumplimiento de la resoluci</w:t>
      </w:r>
      <w:r>
        <w:rPr>
          <w:rFonts w:cs="Times New Roman"/>
          <w:spacing w:val="-5"/>
          <w:sz w:val="18"/>
          <w:szCs w:val="18"/>
          <w:lang w:val="es-ES_tradnl"/>
        </w:rPr>
        <w:t>ó</w:t>
      </w:r>
      <w:r>
        <w:rPr>
          <w:spacing w:val="-5"/>
          <w:sz w:val="18"/>
          <w:szCs w:val="18"/>
          <w:lang w:val="es-ES_tradnl"/>
        </w:rPr>
        <w:t xml:space="preserve">n dictada por la Corte </w:t>
      </w:r>
      <w:r>
        <w:rPr>
          <w:spacing w:val="-6"/>
          <w:sz w:val="18"/>
          <w:szCs w:val="18"/>
          <w:lang w:val="es-ES_tradnl"/>
        </w:rPr>
        <w:t xml:space="preserve">Constitucional y la Empresa Metropolitana de Rastro dio </w:t>
      </w:r>
      <w:r>
        <w:rPr>
          <w:sz w:val="18"/>
          <w:szCs w:val="18"/>
          <w:lang w:val="es-ES_tradnl"/>
        </w:rPr>
        <w:t xml:space="preserve">cumplimiento el 24 de noviembre de 2009, emitiendo </w:t>
      </w:r>
      <w:r>
        <w:rPr>
          <w:spacing w:val="-3"/>
          <w:sz w:val="18"/>
          <w:szCs w:val="18"/>
          <w:lang w:val="es-ES_tradnl"/>
        </w:rPr>
        <w:t>la acci</w:t>
      </w:r>
      <w:r>
        <w:rPr>
          <w:rFonts w:cs="Times New Roman"/>
          <w:spacing w:val="-3"/>
          <w:sz w:val="18"/>
          <w:szCs w:val="18"/>
          <w:lang w:val="es-ES_tradnl"/>
        </w:rPr>
        <w:t>ó</w:t>
      </w:r>
      <w:r>
        <w:rPr>
          <w:spacing w:val="-3"/>
          <w:sz w:val="18"/>
          <w:szCs w:val="18"/>
          <w:lang w:val="es-ES_tradnl"/>
        </w:rPr>
        <w:t xml:space="preserve">n de personal correspondiente mediante la cual </w:t>
      </w:r>
      <w:r>
        <w:rPr>
          <w:spacing w:val="-5"/>
          <w:sz w:val="18"/>
          <w:szCs w:val="18"/>
          <w:lang w:val="es-ES_tradnl"/>
        </w:rPr>
        <w:t>se restituy</w:t>
      </w:r>
      <w:r>
        <w:rPr>
          <w:rFonts w:cs="Times New Roman"/>
          <w:spacing w:val="-5"/>
          <w:sz w:val="18"/>
          <w:szCs w:val="18"/>
          <w:lang w:val="es-ES_tradnl"/>
        </w:rPr>
        <w:t>ó</w:t>
      </w:r>
      <w:r>
        <w:rPr>
          <w:spacing w:val="-5"/>
          <w:sz w:val="18"/>
          <w:szCs w:val="18"/>
          <w:lang w:val="es-ES_tradnl"/>
        </w:rPr>
        <w:t xml:space="preserve"> al cargo de veterinario uno al doctor Leonel </w:t>
      </w:r>
      <w:r>
        <w:rPr>
          <w:sz w:val="18"/>
          <w:szCs w:val="18"/>
          <w:lang w:val="es-ES_tradnl"/>
        </w:rPr>
        <w:t>Segundo Mart</w:t>
      </w:r>
      <w:r>
        <w:rPr>
          <w:rFonts w:cs="Times New Roman"/>
          <w:sz w:val="18"/>
          <w:szCs w:val="18"/>
          <w:lang w:val="es-ES_tradnl"/>
        </w:rPr>
        <w:t>í</w:t>
      </w:r>
      <w:r>
        <w:rPr>
          <w:sz w:val="18"/>
          <w:szCs w:val="18"/>
          <w:lang w:val="es-ES_tradnl"/>
        </w:rPr>
        <w:t>nez Rosero.</w:t>
      </w:r>
    </w:p>
    <w:p w14:paraId="4F67A9B1" w14:textId="77777777" w:rsidR="00591D54" w:rsidRDefault="00591D54">
      <w:pPr>
        <w:shd w:val="clear" w:color="auto" w:fill="FFFFFF"/>
        <w:spacing w:before="192" w:line="216" w:lineRule="exact"/>
        <w:ind w:right="5"/>
        <w:jc w:val="both"/>
      </w:pPr>
      <w:r>
        <w:rPr>
          <w:spacing w:val="-2"/>
          <w:sz w:val="18"/>
          <w:szCs w:val="18"/>
          <w:lang w:val="es-ES_tradnl"/>
        </w:rPr>
        <w:t xml:space="preserve">Considera que el accionante inconforme con la actitud </w:t>
      </w:r>
      <w:r>
        <w:rPr>
          <w:spacing w:val="-8"/>
          <w:sz w:val="18"/>
          <w:szCs w:val="18"/>
          <w:lang w:val="es-ES_tradnl"/>
        </w:rPr>
        <w:t xml:space="preserve">de la Sala, ha insistido por algunas ocasiones en que se </w:t>
      </w:r>
      <w:r>
        <w:rPr>
          <w:spacing w:val="-11"/>
          <w:sz w:val="18"/>
          <w:szCs w:val="18"/>
          <w:lang w:val="es-ES_tradnl"/>
        </w:rPr>
        <w:t xml:space="preserve">disponga por parte de la Primera Sala el pago de los haberes </w:t>
      </w:r>
      <w:r>
        <w:rPr>
          <w:spacing w:val="-8"/>
          <w:sz w:val="18"/>
          <w:szCs w:val="18"/>
          <w:lang w:val="es-ES_tradnl"/>
        </w:rPr>
        <w:t>correspondientes al per</w:t>
      </w:r>
      <w:r>
        <w:rPr>
          <w:rFonts w:cs="Times New Roman"/>
          <w:spacing w:val="-8"/>
          <w:sz w:val="18"/>
          <w:szCs w:val="18"/>
          <w:lang w:val="es-ES_tradnl"/>
        </w:rPr>
        <w:t>í</w:t>
      </w:r>
      <w:r>
        <w:rPr>
          <w:spacing w:val="-8"/>
          <w:sz w:val="18"/>
          <w:szCs w:val="18"/>
          <w:lang w:val="es-ES_tradnl"/>
        </w:rPr>
        <w:t>odo que transcurri</w:t>
      </w:r>
      <w:r>
        <w:rPr>
          <w:rFonts w:cs="Times New Roman"/>
          <w:spacing w:val="-8"/>
          <w:sz w:val="18"/>
          <w:szCs w:val="18"/>
          <w:lang w:val="es-ES_tradnl"/>
        </w:rPr>
        <w:t>ó</w:t>
      </w:r>
      <w:r>
        <w:rPr>
          <w:spacing w:val="-8"/>
          <w:sz w:val="18"/>
          <w:szCs w:val="18"/>
          <w:lang w:val="es-ES_tradnl"/>
        </w:rPr>
        <w:t xml:space="preserve"> desde cuando </w:t>
      </w:r>
      <w:r>
        <w:rPr>
          <w:spacing w:val="-9"/>
          <w:sz w:val="18"/>
          <w:szCs w:val="18"/>
          <w:lang w:val="es-ES_tradnl"/>
        </w:rPr>
        <w:t>fue destituido, petici</w:t>
      </w:r>
      <w:r>
        <w:rPr>
          <w:rFonts w:cs="Times New Roman"/>
          <w:spacing w:val="-9"/>
          <w:sz w:val="18"/>
          <w:szCs w:val="18"/>
          <w:lang w:val="es-ES_tradnl"/>
        </w:rPr>
        <w:t>ó</w:t>
      </w:r>
      <w:r>
        <w:rPr>
          <w:spacing w:val="-9"/>
          <w:sz w:val="18"/>
          <w:szCs w:val="18"/>
          <w:lang w:val="es-ES_tradnl"/>
        </w:rPr>
        <w:t>n que no ha podido ser aceptada, toda vez que dicho derecho no ha sido otorgado en la resoluci</w:t>
      </w:r>
      <w:r>
        <w:rPr>
          <w:rFonts w:cs="Times New Roman"/>
          <w:spacing w:val="-9"/>
          <w:sz w:val="18"/>
          <w:szCs w:val="18"/>
          <w:lang w:val="es-ES_tradnl"/>
        </w:rPr>
        <w:t>ó</w:t>
      </w:r>
      <w:r>
        <w:rPr>
          <w:spacing w:val="-9"/>
          <w:sz w:val="18"/>
          <w:szCs w:val="18"/>
          <w:lang w:val="es-ES_tradnl"/>
        </w:rPr>
        <w:t xml:space="preserve">n </w:t>
      </w:r>
      <w:r>
        <w:rPr>
          <w:spacing w:val="-6"/>
          <w:sz w:val="18"/>
          <w:szCs w:val="18"/>
          <w:lang w:val="es-ES_tradnl"/>
        </w:rPr>
        <w:t>que dict</w:t>
      </w:r>
      <w:r>
        <w:rPr>
          <w:rFonts w:cs="Times New Roman"/>
          <w:spacing w:val="-6"/>
          <w:sz w:val="18"/>
          <w:szCs w:val="18"/>
          <w:lang w:val="es-ES_tradnl"/>
        </w:rPr>
        <w:t>ó</w:t>
      </w:r>
      <w:r>
        <w:rPr>
          <w:spacing w:val="-6"/>
          <w:sz w:val="18"/>
          <w:szCs w:val="18"/>
          <w:lang w:val="es-ES_tradnl"/>
        </w:rPr>
        <w:t xml:space="preserve"> la Corte Constitucional, no pudiendo la Primera </w:t>
      </w:r>
      <w:r>
        <w:rPr>
          <w:spacing w:val="-7"/>
          <w:sz w:val="18"/>
          <w:szCs w:val="18"/>
          <w:lang w:val="es-ES_tradnl"/>
        </w:rPr>
        <w:t xml:space="preserve">Sala otorgar beneficios que no le fueron concedidos en la </w:t>
      </w:r>
      <w:r>
        <w:rPr>
          <w:sz w:val="18"/>
          <w:szCs w:val="18"/>
          <w:lang w:val="es-ES_tradnl"/>
        </w:rPr>
        <w:t>instancia inferior.</w:t>
      </w:r>
    </w:p>
    <w:p w14:paraId="4F67A9B2" w14:textId="77777777" w:rsidR="00591D54" w:rsidRDefault="00591D54">
      <w:pPr>
        <w:shd w:val="clear" w:color="auto" w:fill="FFFFFF"/>
        <w:spacing w:before="192" w:line="216" w:lineRule="exact"/>
        <w:ind w:right="5"/>
        <w:jc w:val="both"/>
      </w:pPr>
      <w:r>
        <w:rPr>
          <w:spacing w:val="-9"/>
          <w:sz w:val="18"/>
          <w:szCs w:val="18"/>
          <w:lang w:val="es-ES_tradnl"/>
        </w:rPr>
        <w:t xml:space="preserve">Agrega que con estos antecedentes alega falta de derecho </w:t>
      </w:r>
      <w:r>
        <w:rPr>
          <w:spacing w:val="-5"/>
          <w:sz w:val="18"/>
          <w:szCs w:val="18"/>
          <w:lang w:val="es-ES_tradnl"/>
        </w:rPr>
        <w:t>del actor para formular la acci</w:t>
      </w:r>
      <w:r>
        <w:rPr>
          <w:rFonts w:cs="Times New Roman"/>
          <w:spacing w:val="-5"/>
          <w:sz w:val="18"/>
          <w:szCs w:val="18"/>
          <w:lang w:val="es-ES_tradnl"/>
        </w:rPr>
        <w:t>ó</w:t>
      </w:r>
      <w:r>
        <w:rPr>
          <w:spacing w:val="-5"/>
          <w:sz w:val="18"/>
          <w:szCs w:val="18"/>
          <w:lang w:val="es-ES_tradnl"/>
        </w:rPr>
        <w:t>n de incumplimiento, as</w:t>
      </w:r>
      <w:r>
        <w:rPr>
          <w:rFonts w:cs="Times New Roman"/>
          <w:spacing w:val="-5"/>
          <w:sz w:val="18"/>
          <w:szCs w:val="18"/>
          <w:lang w:val="es-ES_tradnl"/>
        </w:rPr>
        <w:t xml:space="preserve">í </w:t>
      </w:r>
      <w:r>
        <w:rPr>
          <w:spacing w:val="-6"/>
          <w:sz w:val="18"/>
          <w:szCs w:val="18"/>
          <w:lang w:val="es-ES_tradnl"/>
        </w:rPr>
        <w:t>como improcedencia de la acci</w:t>
      </w:r>
      <w:r>
        <w:rPr>
          <w:rFonts w:cs="Times New Roman"/>
          <w:spacing w:val="-6"/>
          <w:sz w:val="18"/>
          <w:szCs w:val="18"/>
          <w:lang w:val="es-ES_tradnl"/>
        </w:rPr>
        <w:t>ó</w:t>
      </w:r>
      <w:r>
        <w:rPr>
          <w:spacing w:val="-6"/>
          <w:sz w:val="18"/>
          <w:szCs w:val="18"/>
          <w:lang w:val="es-ES_tradnl"/>
        </w:rPr>
        <w:t xml:space="preserve">n, por cuanto la Primera </w:t>
      </w:r>
      <w:r>
        <w:rPr>
          <w:spacing w:val="-10"/>
          <w:sz w:val="18"/>
          <w:szCs w:val="18"/>
          <w:lang w:val="es-ES_tradnl"/>
        </w:rPr>
        <w:t>Sala no est</w:t>
      </w:r>
      <w:r>
        <w:rPr>
          <w:rFonts w:cs="Times New Roman"/>
          <w:spacing w:val="-10"/>
          <w:sz w:val="18"/>
          <w:szCs w:val="18"/>
          <w:lang w:val="es-ES_tradnl"/>
        </w:rPr>
        <w:t>á</w:t>
      </w:r>
      <w:r>
        <w:rPr>
          <w:spacing w:val="-10"/>
          <w:sz w:val="18"/>
          <w:szCs w:val="18"/>
          <w:lang w:val="es-ES_tradnl"/>
        </w:rPr>
        <w:t xml:space="preserve"> autorizada para modificar las resoluciones que </w:t>
      </w:r>
      <w:r>
        <w:rPr>
          <w:sz w:val="18"/>
          <w:szCs w:val="18"/>
          <w:lang w:val="es-ES_tradnl"/>
        </w:rPr>
        <w:t xml:space="preserve">emitan los </w:t>
      </w:r>
      <w:r>
        <w:rPr>
          <w:rFonts w:cs="Times New Roman"/>
          <w:sz w:val="18"/>
          <w:szCs w:val="18"/>
          <w:lang w:val="es-ES_tradnl"/>
        </w:rPr>
        <w:t>ó</w:t>
      </w:r>
      <w:r>
        <w:rPr>
          <w:sz w:val="18"/>
          <w:szCs w:val="18"/>
          <w:lang w:val="es-ES_tradnl"/>
        </w:rPr>
        <w:t>rganos constitucionales.</w:t>
      </w:r>
    </w:p>
    <w:p w14:paraId="4F67A9B3" w14:textId="77777777" w:rsidR="00591D54" w:rsidRDefault="00591D54">
      <w:pPr>
        <w:shd w:val="clear" w:color="auto" w:fill="FFFFFF"/>
        <w:spacing w:before="192" w:line="216" w:lineRule="exact"/>
        <w:ind w:right="5"/>
        <w:jc w:val="both"/>
      </w:pPr>
      <w:r>
        <w:rPr>
          <w:b/>
          <w:bCs/>
          <w:spacing w:val="-5"/>
          <w:sz w:val="18"/>
          <w:szCs w:val="18"/>
          <w:lang w:val="es-ES_tradnl"/>
        </w:rPr>
        <w:t>Empresa P</w:t>
      </w:r>
      <w:r>
        <w:rPr>
          <w:rFonts w:cs="Times New Roman"/>
          <w:b/>
          <w:bCs/>
          <w:spacing w:val="-5"/>
          <w:sz w:val="18"/>
          <w:szCs w:val="18"/>
          <w:lang w:val="es-ES_tradnl"/>
        </w:rPr>
        <w:t>ú</w:t>
      </w:r>
      <w:r>
        <w:rPr>
          <w:b/>
          <w:bCs/>
          <w:spacing w:val="-5"/>
          <w:sz w:val="18"/>
          <w:szCs w:val="18"/>
          <w:lang w:val="es-ES_tradnl"/>
        </w:rPr>
        <w:t xml:space="preserve">blica Metropolitana de Rastro Quito </w:t>
      </w:r>
      <w:r>
        <w:rPr>
          <w:b/>
          <w:bCs/>
          <w:sz w:val="18"/>
          <w:szCs w:val="18"/>
          <w:lang w:val="es-ES_tradnl"/>
        </w:rPr>
        <w:t>(EMRAQ-EP)</w:t>
      </w:r>
    </w:p>
    <w:p w14:paraId="4F67A9B4" w14:textId="77777777" w:rsidR="00591D54" w:rsidRDefault="00591D54">
      <w:pPr>
        <w:shd w:val="clear" w:color="auto" w:fill="FFFFFF"/>
        <w:spacing w:before="192" w:line="216" w:lineRule="exact"/>
        <w:jc w:val="both"/>
      </w:pPr>
      <w:r>
        <w:rPr>
          <w:spacing w:val="-6"/>
          <w:sz w:val="18"/>
          <w:szCs w:val="18"/>
          <w:lang w:val="es-ES_tradnl"/>
        </w:rPr>
        <w:t xml:space="preserve">Mediante escrito presentado el 27 de diciembre de 2010 (fs. 189) comparece el economista Jorge Alejandro Pinto Aguirre en su calidad de gerente general y como tal </w:t>
      </w:r>
      <w:r>
        <w:rPr>
          <w:spacing w:val="-9"/>
          <w:sz w:val="18"/>
          <w:szCs w:val="18"/>
          <w:lang w:val="es-ES_tradnl"/>
        </w:rPr>
        <w:t>representante legal de la Empresa P</w:t>
      </w:r>
      <w:r>
        <w:rPr>
          <w:rFonts w:cs="Times New Roman"/>
          <w:spacing w:val="-9"/>
          <w:sz w:val="18"/>
          <w:szCs w:val="18"/>
          <w:lang w:val="es-ES_tradnl"/>
        </w:rPr>
        <w:t>ú</w:t>
      </w:r>
      <w:r>
        <w:rPr>
          <w:spacing w:val="-9"/>
          <w:sz w:val="18"/>
          <w:szCs w:val="18"/>
          <w:lang w:val="es-ES_tradnl"/>
        </w:rPr>
        <w:t xml:space="preserve">blica Metropolitana de </w:t>
      </w:r>
      <w:r>
        <w:rPr>
          <w:spacing w:val="-6"/>
          <w:sz w:val="18"/>
          <w:szCs w:val="18"/>
          <w:lang w:val="es-ES_tradnl"/>
        </w:rPr>
        <w:t>Rastro Quito (EMRAQ-EP) y en lo principal, se</w:t>
      </w:r>
      <w:r>
        <w:rPr>
          <w:rFonts w:cs="Times New Roman"/>
          <w:spacing w:val="-6"/>
          <w:sz w:val="18"/>
          <w:szCs w:val="18"/>
          <w:lang w:val="es-ES_tradnl"/>
        </w:rPr>
        <w:t>ñ</w:t>
      </w:r>
      <w:r>
        <w:rPr>
          <w:spacing w:val="-6"/>
          <w:sz w:val="18"/>
          <w:szCs w:val="18"/>
          <w:lang w:val="es-ES_tradnl"/>
        </w:rPr>
        <w:t>ala que:</w:t>
      </w:r>
    </w:p>
    <w:p w14:paraId="4F67A9B5" w14:textId="77777777" w:rsidR="00591D54" w:rsidRDefault="00591D54">
      <w:pPr>
        <w:shd w:val="clear" w:color="auto" w:fill="FFFFFF"/>
        <w:spacing w:before="197" w:line="216" w:lineRule="exact"/>
        <w:jc w:val="both"/>
      </w:pPr>
      <w:r>
        <w:rPr>
          <w:spacing w:val="-5"/>
          <w:sz w:val="18"/>
          <w:szCs w:val="18"/>
          <w:lang w:val="es-ES_tradnl"/>
        </w:rPr>
        <w:t>La Empresa P</w:t>
      </w:r>
      <w:r>
        <w:rPr>
          <w:rFonts w:cs="Times New Roman"/>
          <w:spacing w:val="-5"/>
          <w:sz w:val="18"/>
          <w:szCs w:val="18"/>
          <w:lang w:val="es-ES_tradnl"/>
        </w:rPr>
        <w:t>ú</w:t>
      </w:r>
      <w:r>
        <w:rPr>
          <w:spacing w:val="-5"/>
          <w:sz w:val="18"/>
          <w:szCs w:val="18"/>
          <w:lang w:val="es-ES_tradnl"/>
        </w:rPr>
        <w:t xml:space="preserve">blica Metropolitana de Rastro Quito </w:t>
      </w:r>
      <w:r>
        <w:rPr>
          <w:spacing w:val="-1"/>
          <w:sz w:val="18"/>
          <w:szCs w:val="18"/>
          <w:lang w:val="es-ES_tradnl"/>
        </w:rPr>
        <w:t xml:space="preserve">(EMRAQ-EP) en cumplimiento de lo resuelto por la </w:t>
      </w:r>
      <w:r>
        <w:rPr>
          <w:spacing w:val="-9"/>
          <w:sz w:val="18"/>
          <w:szCs w:val="18"/>
          <w:lang w:val="es-ES_tradnl"/>
        </w:rPr>
        <w:t xml:space="preserve">Primera Sala de la Corte Constitucional, el 24 de noviembre </w:t>
      </w:r>
      <w:r>
        <w:rPr>
          <w:spacing w:val="-4"/>
          <w:sz w:val="18"/>
          <w:szCs w:val="18"/>
          <w:lang w:val="es-ES_tradnl"/>
        </w:rPr>
        <w:t>de 2009, restituy</w:t>
      </w:r>
      <w:r>
        <w:rPr>
          <w:rFonts w:cs="Times New Roman"/>
          <w:spacing w:val="-4"/>
          <w:sz w:val="18"/>
          <w:szCs w:val="18"/>
          <w:lang w:val="es-ES_tradnl"/>
        </w:rPr>
        <w:t>ó</w:t>
      </w:r>
      <w:r>
        <w:rPr>
          <w:spacing w:val="-4"/>
          <w:sz w:val="18"/>
          <w:szCs w:val="18"/>
          <w:lang w:val="es-ES_tradnl"/>
        </w:rPr>
        <w:t xml:space="preserve"> al doctor Leonel Segundo Mart</w:t>
      </w:r>
      <w:r>
        <w:rPr>
          <w:rFonts w:cs="Times New Roman"/>
          <w:spacing w:val="-4"/>
          <w:sz w:val="18"/>
          <w:szCs w:val="18"/>
          <w:lang w:val="es-ES_tradnl"/>
        </w:rPr>
        <w:t>í</w:t>
      </w:r>
      <w:r>
        <w:rPr>
          <w:spacing w:val="-4"/>
          <w:sz w:val="18"/>
          <w:szCs w:val="18"/>
          <w:lang w:val="es-ES_tradnl"/>
        </w:rPr>
        <w:t xml:space="preserve">nez </w:t>
      </w:r>
      <w:r>
        <w:rPr>
          <w:spacing w:val="-7"/>
          <w:sz w:val="18"/>
          <w:szCs w:val="18"/>
          <w:lang w:val="es-ES_tradnl"/>
        </w:rPr>
        <w:t>Rosero al puesto de m</w:t>
      </w:r>
      <w:r>
        <w:rPr>
          <w:rFonts w:cs="Times New Roman"/>
          <w:spacing w:val="-7"/>
          <w:sz w:val="18"/>
          <w:szCs w:val="18"/>
          <w:lang w:val="es-ES_tradnl"/>
        </w:rPr>
        <w:t>é</w:t>
      </w:r>
      <w:r>
        <w:rPr>
          <w:spacing w:val="-7"/>
          <w:sz w:val="18"/>
          <w:szCs w:val="18"/>
          <w:lang w:val="es-ES_tradnl"/>
        </w:rPr>
        <w:t xml:space="preserve">dico veterinario 1 de la Empresa, </w:t>
      </w:r>
      <w:r>
        <w:rPr>
          <w:spacing w:val="-11"/>
          <w:sz w:val="18"/>
          <w:szCs w:val="18"/>
          <w:lang w:val="es-ES_tradnl"/>
        </w:rPr>
        <w:t>cuya copia certificada de la acci</w:t>
      </w:r>
      <w:r>
        <w:rPr>
          <w:rFonts w:cs="Times New Roman"/>
          <w:spacing w:val="-11"/>
          <w:sz w:val="18"/>
          <w:szCs w:val="18"/>
          <w:lang w:val="es-ES_tradnl"/>
        </w:rPr>
        <w:t>ó</w:t>
      </w:r>
      <w:r>
        <w:rPr>
          <w:spacing w:val="-11"/>
          <w:sz w:val="18"/>
          <w:szCs w:val="18"/>
          <w:lang w:val="es-ES_tradnl"/>
        </w:rPr>
        <w:t xml:space="preserve">n de personal fue puesta en </w:t>
      </w:r>
      <w:r>
        <w:rPr>
          <w:spacing w:val="-7"/>
          <w:sz w:val="18"/>
          <w:szCs w:val="18"/>
          <w:lang w:val="es-ES_tradnl"/>
        </w:rPr>
        <w:t>conocimiento de la Primera Sala del Tribunal Distrital N.</w:t>
      </w:r>
      <w:r>
        <w:rPr>
          <w:rFonts w:cs="Times New Roman"/>
          <w:spacing w:val="-7"/>
          <w:sz w:val="18"/>
          <w:szCs w:val="18"/>
          <w:lang w:val="es-ES_tradnl"/>
        </w:rPr>
        <w:t>º</w:t>
      </w:r>
      <w:r>
        <w:rPr>
          <w:spacing w:val="-7"/>
          <w:sz w:val="18"/>
          <w:szCs w:val="18"/>
          <w:lang w:val="es-ES_tradnl"/>
        </w:rPr>
        <w:t xml:space="preserve"> 1 </w:t>
      </w:r>
      <w:r>
        <w:rPr>
          <w:sz w:val="18"/>
          <w:szCs w:val="18"/>
          <w:lang w:val="es-ES_tradnl"/>
        </w:rPr>
        <w:t>de lo Contencioso Administrativo.</w:t>
      </w:r>
    </w:p>
    <w:p w14:paraId="4F67A9B6" w14:textId="77777777" w:rsidR="00591D54" w:rsidRDefault="00591D54">
      <w:pPr>
        <w:shd w:val="clear" w:color="auto" w:fill="FFFFFF"/>
        <w:spacing w:before="197" w:line="216" w:lineRule="exact"/>
        <w:jc w:val="both"/>
      </w:pPr>
      <w:r>
        <w:rPr>
          <w:spacing w:val="-7"/>
          <w:sz w:val="18"/>
          <w:szCs w:val="18"/>
          <w:lang w:val="es-ES_tradnl"/>
        </w:rPr>
        <w:t>Por consiguiente, determina que la Empresa P</w:t>
      </w:r>
      <w:r>
        <w:rPr>
          <w:rFonts w:cs="Times New Roman"/>
          <w:spacing w:val="-7"/>
          <w:sz w:val="18"/>
          <w:szCs w:val="18"/>
          <w:lang w:val="es-ES_tradnl"/>
        </w:rPr>
        <w:t>ú</w:t>
      </w:r>
      <w:r>
        <w:rPr>
          <w:spacing w:val="-7"/>
          <w:sz w:val="18"/>
          <w:szCs w:val="18"/>
          <w:lang w:val="es-ES_tradnl"/>
        </w:rPr>
        <w:t xml:space="preserve">blica </w:t>
      </w:r>
      <w:r>
        <w:rPr>
          <w:spacing w:val="-6"/>
          <w:sz w:val="18"/>
          <w:szCs w:val="18"/>
          <w:lang w:val="es-ES_tradnl"/>
        </w:rPr>
        <w:t xml:space="preserve">Metropolitana de Rastro Quito ha cumplido a cabalidad lo </w:t>
      </w:r>
      <w:r>
        <w:rPr>
          <w:spacing w:val="-10"/>
          <w:sz w:val="18"/>
          <w:szCs w:val="18"/>
          <w:lang w:val="es-ES_tradnl"/>
        </w:rPr>
        <w:t>dispuesto por la Corte Constitucional, es as</w:t>
      </w:r>
      <w:r>
        <w:rPr>
          <w:rFonts w:cs="Times New Roman"/>
          <w:spacing w:val="-10"/>
          <w:sz w:val="18"/>
          <w:szCs w:val="18"/>
          <w:lang w:val="es-ES_tradnl"/>
        </w:rPr>
        <w:t>í</w:t>
      </w:r>
      <w:r>
        <w:rPr>
          <w:spacing w:val="-10"/>
          <w:sz w:val="18"/>
          <w:szCs w:val="18"/>
          <w:lang w:val="es-ES_tradnl"/>
        </w:rPr>
        <w:t xml:space="preserve"> que en el escrito </w:t>
      </w:r>
      <w:r>
        <w:rPr>
          <w:spacing w:val="-11"/>
          <w:sz w:val="18"/>
          <w:szCs w:val="18"/>
          <w:lang w:val="es-ES_tradnl"/>
        </w:rPr>
        <w:t xml:space="preserve">ingresado el 17 de diciembre de 2009, en la Primera Sala del </w:t>
      </w:r>
      <w:r>
        <w:rPr>
          <w:spacing w:val="-4"/>
          <w:sz w:val="18"/>
          <w:szCs w:val="18"/>
          <w:lang w:val="es-ES_tradnl"/>
        </w:rPr>
        <w:t>Tribunal Distrital N.</w:t>
      </w:r>
      <w:r>
        <w:rPr>
          <w:rFonts w:cs="Times New Roman"/>
          <w:spacing w:val="-4"/>
          <w:sz w:val="18"/>
          <w:szCs w:val="18"/>
          <w:lang w:val="es-ES_tradnl"/>
        </w:rPr>
        <w:t>º</w:t>
      </w:r>
      <w:r>
        <w:rPr>
          <w:spacing w:val="-4"/>
          <w:sz w:val="18"/>
          <w:szCs w:val="18"/>
          <w:lang w:val="es-ES_tradnl"/>
        </w:rPr>
        <w:t xml:space="preserve"> 1 de lo Contencioso Administrativo, </w:t>
      </w:r>
      <w:r>
        <w:rPr>
          <w:spacing w:val="-7"/>
          <w:sz w:val="18"/>
          <w:szCs w:val="18"/>
          <w:lang w:val="es-ES_tradnl"/>
        </w:rPr>
        <w:t>solicitaron que se les indique si con la se</w:t>
      </w:r>
      <w:r>
        <w:rPr>
          <w:rFonts w:cs="Times New Roman"/>
          <w:spacing w:val="-7"/>
          <w:sz w:val="18"/>
          <w:szCs w:val="18"/>
          <w:lang w:val="es-ES_tradnl"/>
        </w:rPr>
        <w:t>ñ</w:t>
      </w:r>
      <w:r>
        <w:rPr>
          <w:spacing w:val="-7"/>
          <w:sz w:val="18"/>
          <w:szCs w:val="18"/>
          <w:lang w:val="es-ES_tradnl"/>
        </w:rPr>
        <w:t>alada resoluci</w:t>
      </w:r>
      <w:r>
        <w:rPr>
          <w:rFonts w:cs="Times New Roman"/>
          <w:spacing w:val="-7"/>
          <w:sz w:val="18"/>
          <w:szCs w:val="18"/>
          <w:lang w:val="es-ES_tradnl"/>
        </w:rPr>
        <w:t>ó</w:t>
      </w:r>
      <w:r>
        <w:rPr>
          <w:spacing w:val="-7"/>
          <w:sz w:val="18"/>
          <w:szCs w:val="18"/>
          <w:lang w:val="es-ES_tradnl"/>
        </w:rPr>
        <w:t xml:space="preserve">n </w:t>
      </w:r>
      <w:r>
        <w:rPr>
          <w:sz w:val="18"/>
          <w:szCs w:val="18"/>
          <w:lang w:val="es-ES_tradnl"/>
        </w:rPr>
        <w:t>se ha cumplido a cabalidad lo ordenado.</w:t>
      </w:r>
    </w:p>
    <w:p w14:paraId="4F67A9B7" w14:textId="77777777" w:rsidR="00591D54" w:rsidRDefault="00591D54">
      <w:pPr>
        <w:shd w:val="clear" w:color="auto" w:fill="FFFFFF"/>
        <w:spacing w:line="221" w:lineRule="exact"/>
        <w:jc w:val="both"/>
      </w:pPr>
      <w:r>
        <w:br w:type="column"/>
      </w:r>
      <w:r>
        <w:rPr>
          <w:spacing w:val="-10"/>
          <w:sz w:val="18"/>
          <w:szCs w:val="18"/>
          <w:lang w:val="es-ES_tradnl"/>
        </w:rPr>
        <w:t xml:space="preserve">Mediante escrito presentado el 21 de mayo de 2015, el Crnl. </w:t>
      </w:r>
      <w:r>
        <w:rPr>
          <w:spacing w:val="-7"/>
          <w:sz w:val="18"/>
          <w:szCs w:val="18"/>
          <w:lang w:val="es-ES_tradnl"/>
        </w:rPr>
        <w:t>Luis Enrique Montalvo Gonz</w:t>
      </w:r>
      <w:r>
        <w:rPr>
          <w:rFonts w:cs="Times New Roman"/>
          <w:spacing w:val="-7"/>
          <w:sz w:val="18"/>
          <w:szCs w:val="18"/>
          <w:lang w:val="es-ES_tradnl"/>
        </w:rPr>
        <w:t>á</w:t>
      </w:r>
      <w:r>
        <w:rPr>
          <w:spacing w:val="-7"/>
          <w:sz w:val="18"/>
          <w:szCs w:val="18"/>
          <w:lang w:val="es-ES_tradnl"/>
        </w:rPr>
        <w:t xml:space="preserve">lez en su calidad de gerente </w:t>
      </w:r>
      <w:r>
        <w:rPr>
          <w:spacing w:val="-5"/>
          <w:sz w:val="18"/>
          <w:szCs w:val="18"/>
          <w:lang w:val="es-ES_tradnl"/>
        </w:rPr>
        <w:t xml:space="preserve">general y como tal representante legal de la Empresa </w:t>
      </w:r>
      <w:r>
        <w:rPr>
          <w:spacing w:val="-8"/>
          <w:sz w:val="18"/>
          <w:szCs w:val="18"/>
          <w:lang w:val="es-ES_tradnl"/>
        </w:rPr>
        <w:t>P</w:t>
      </w:r>
      <w:r>
        <w:rPr>
          <w:rFonts w:cs="Times New Roman"/>
          <w:spacing w:val="-8"/>
          <w:sz w:val="18"/>
          <w:szCs w:val="18"/>
          <w:lang w:val="es-ES_tradnl"/>
        </w:rPr>
        <w:t>ú</w:t>
      </w:r>
      <w:r>
        <w:rPr>
          <w:spacing w:val="-8"/>
          <w:sz w:val="18"/>
          <w:szCs w:val="18"/>
          <w:lang w:val="es-ES_tradnl"/>
        </w:rPr>
        <w:t xml:space="preserve">blica Metropolitana de Rastro de Quito (EMRAQ-EP) en </w:t>
      </w:r>
      <w:r>
        <w:rPr>
          <w:sz w:val="18"/>
          <w:szCs w:val="18"/>
          <w:lang w:val="es-ES_tradnl"/>
        </w:rPr>
        <w:t>lo principal, determina:</w:t>
      </w:r>
    </w:p>
    <w:p w14:paraId="4F67A9B8" w14:textId="77777777" w:rsidR="00591D54" w:rsidRDefault="00591D54">
      <w:pPr>
        <w:shd w:val="clear" w:color="auto" w:fill="FFFFFF"/>
        <w:spacing w:before="206" w:line="221" w:lineRule="exact"/>
        <w:jc w:val="both"/>
      </w:pPr>
      <w:r>
        <w:rPr>
          <w:spacing w:val="-7"/>
          <w:sz w:val="18"/>
          <w:szCs w:val="18"/>
          <w:lang w:val="es-ES_tradnl"/>
        </w:rPr>
        <w:t>Para demostrar que la instituci</w:t>
      </w:r>
      <w:r>
        <w:rPr>
          <w:rFonts w:cs="Times New Roman"/>
          <w:spacing w:val="-7"/>
          <w:sz w:val="18"/>
          <w:szCs w:val="18"/>
          <w:lang w:val="es-ES_tradnl"/>
        </w:rPr>
        <w:t>ó</w:t>
      </w:r>
      <w:r>
        <w:rPr>
          <w:spacing w:val="-7"/>
          <w:sz w:val="18"/>
          <w:szCs w:val="18"/>
          <w:lang w:val="es-ES_tradnl"/>
        </w:rPr>
        <w:t>n cumpli</w:t>
      </w:r>
      <w:r>
        <w:rPr>
          <w:rFonts w:cs="Times New Roman"/>
          <w:spacing w:val="-7"/>
          <w:sz w:val="18"/>
          <w:szCs w:val="18"/>
          <w:lang w:val="es-ES_tradnl"/>
        </w:rPr>
        <w:t>ó</w:t>
      </w:r>
      <w:r>
        <w:rPr>
          <w:spacing w:val="-7"/>
          <w:sz w:val="18"/>
          <w:szCs w:val="18"/>
          <w:lang w:val="es-ES_tradnl"/>
        </w:rPr>
        <w:t xml:space="preserve"> con lo dispuesto </w:t>
      </w:r>
      <w:r>
        <w:rPr>
          <w:spacing w:val="-6"/>
          <w:sz w:val="18"/>
          <w:szCs w:val="18"/>
          <w:lang w:val="es-ES_tradnl"/>
        </w:rPr>
        <w:t>por la Primera Sala de la Corte Constitucional, mediante acci</w:t>
      </w:r>
      <w:r>
        <w:rPr>
          <w:rFonts w:cs="Times New Roman"/>
          <w:spacing w:val="-6"/>
          <w:sz w:val="18"/>
          <w:szCs w:val="18"/>
          <w:lang w:val="es-ES_tradnl"/>
        </w:rPr>
        <w:t>ó</w:t>
      </w:r>
      <w:r>
        <w:rPr>
          <w:spacing w:val="-6"/>
          <w:sz w:val="18"/>
          <w:szCs w:val="18"/>
          <w:lang w:val="es-ES_tradnl"/>
        </w:rPr>
        <w:t>n de personal sin n</w:t>
      </w:r>
      <w:r>
        <w:rPr>
          <w:rFonts w:cs="Times New Roman"/>
          <w:spacing w:val="-6"/>
          <w:sz w:val="18"/>
          <w:szCs w:val="18"/>
          <w:lang w:val="es-ES_tradnl"/>
        </w:rPr>
        <w:t>ú</w:t>
      </w:r>
      <w:r>
        <w:rPr>
          <w:spacing w:val="-6"/>
          <w:sz w:val="18"/>
          <w:szCs w:val="18"/>
          <w:lang w:val="es-ES_tradnl"/>
        </w:rPr>
        <w:t xml:space="preserve">mero del 09 de noviembre del </w:t>
      </w:r>
      <w:r>
        <w:rPr>
          <w:spacing w:val="-9"/>
          <w:sz w:val="18"/>
          <w:szCs w:val="18"/>
          <w:lang w:val="es-ES_tradnl"/>
        </w:rPr>
        <w:t>2009, se restituy</w:t>
      </w:r>
      <w:r>
        <w:rPr>
          <w:rFonts w:cs="Times New Roman"/>
          <w:spacing w:val="-9"/>
          <w:sz w:val="18"/>
          <w:szCs w:val="18"/>
          <w:lang w:val="es-ES_tradnl"/>
        </w:rPr>
        <w:t>ó</w:t>
      </w:r>
      <w:r>
        <w:rPr>
          <w:spacing w:val="-9"/>
          <w:sz w:val="18"/>
          <w:szCs w:val="18"/>
          <w:lang w:val="es-ES_tradnl"/>
        </w:rPr>
        <w:t xml:space="preserve"> al cargo de m</w:t>
      </w:r>
      <w:r>
        <w:rPr>
          <w:rFonts w:cs="Times New Roman"/>
          <w:spacing w:val="-9"/>
          <w:sz w:val="18"/>
          <w:szCs w:val="18"/>
          <w:lang w:val="es-ES_tradnl"/>
        </w:rPr>
        <w:t>é</w:t>
      </w:r>
      <w:r>
        <w:rPr>
          <w:spacing w:val="-9"/>
          <w:sz w:val="18"/>
          <w:szCs w:val="18"/>
          <w:lang w:val="es-ES_tradnl"/>
        </w:rPr>
        <w:t xml:space="preserve">dico veterinario 1 al doctor </w:t>
      </w:r>
      <w:r>
        <w:rPr>
          <w:sz w:val="18"/>
          <w:szCs w:val="18"/>
          <w:lang w:val="es-ES_tradnl"/>
        </w:rPr>
        <w:t>Leonel Mart</w:t>
      </w:r>
      <w:r>
        <w:rPr>
          <w:rFonts w:cs="Times New Roman"/>
          <w:sz w:val="18"/>
          <w:szCs w:val="18"/>
          <w:lang w:val="es-ES_tradnl"/>
        </w:rPr>
        <w:t>í</w:t>
      </w:r>
      <w:r>
        <w:rPr>
          <w:sz w:val="18"/>
          <w:szCs w:val="18"/>
          <w:lang w:val="es-ES_tradnl"/>
        </w:rPr>
        <w:t>nez Rosero.</w:t>
      </w:r>
    </w:p>
    <w:p w14:paraId="4F67A9B9" w14:textId="77777777" w:rsidR="00591D54" w:rsidRDefault="00591D54">
      <w:pPr>
        <w:shd w:val="clear" w:color="auto" w:fill="FFFFFF"/>
        <w:spacing w:before="202" w:line="221" w:lineRule="exact"/>
        <w:jc w:val="both"/>
      </w:pPr>
      <w:r>
        <w:rPr>
          <w:sz w:val="18"/>
          <w:szCs w:val="18"/>
          <w:lang w:val="es-ES_tradnl"/>
        </w:rPr>
        <w:t>Establece que a partir de esta restituci</w:t>
      </w:r>
      <w:r>
        <w:rPr>
          <w:rFonts w:cs="Times New Roman"/>
          <w:sz w:val="18"/>
          <w:szCs w:val="18"/>
          <w:lang w:val="es-ES_tradnl"/>
        </w:rPr>
        <w:t>ó</w:t>
      </w:r>
      <w:r>
        <w:rPr>
          <w:sz w:val="18"/>
          <w:szCs w:val="18"/>
          <w:lang w:val="es-ES_tradnl"/>
        </w:rPr>
        <w:t xml:space="preserve">n, el doctor </w:t>
      </w:r>
      <w:r>
        <w:rPr>
          <w:spacing w:val="-6"/>
          <w:sz w:val="18"/>
          <w:szCs w:val="18"/>
          <w:lang w:val="es-ES_tradnl"/>
        </w:rPr>
        <w:t>Leonel Mart</w:t>
      </w:r>
      <w:r>
        <w:rPr>
          <w:rFonts w:cs="Times New Roman"/>
          <w:spacing w:val="-6"/>
          <w:sz w:val="18"/>
          <w:szCs w:val="18"/>
          <w:lang w:val="es-ES_tradnl"/>
        </w:rPr>
        <w:t>í</w:t>
      </w:r>
      <w:r>
        <w:rPr>
          <w:spacing w:val="-6"/>
          <w:sz w:val="18"/>
          <w:szCs w:val="18"/>
          <w:lang w:val="es-ES_tradnl"/>
        </w:rPr>
        <w:t>nez Rosero labor</w:t>
      </w:r>
      <w:r>
        <w:rPr>
          <w:rFonts w:cs="Times New Roman"/>
          <w:spacing w:val="-6"/>
          <w:sz w:val="18"/>
          <w:szCs w:val="18"/>
          <w:lang w:val="es-ES_tradnl"/>
        </w:rPr>
        <w:t>ó</w:t>
      </w:r>
      <w:r>
        <w:rPr>
          <w:spacing w:val="-6"/>
          <w:sz w:val="18"/>
          <w:szCs w:val="18"/>
          <w:lang w:val="es-ES_tradnl"/>
        </w:rPr>
        <w:t xml:space="preserve"> en la Empresa P</w:t>
      </w:r>
      <w:r>
        <w:rPr>
          <w:rFonts w:cs="Times New Roman"/>
          <w:spacing w:val="-6"/>
          <w:sz w:val="18"/>
          <w:szCs w:val="18"/>
          <w:lang w:val="es-ES_tradnl"/>
        </w:rPr>
        <w:t>ú</w:t>
      </w:r>
      <w:r>
        <w:rPr>
          <w:spacing w:val="-6"/>
          <w:sz w:val="18"/>
          <w:szCs w:val="18"/>
          <w:lang w:val="es-ES_tradnl"/>
        </w:rPr>
        <w:t xml:space="preserve">blica Metropolitana de Rastro Quito ininterrumpidamente hasta </w:t>
      </w:r>
      <w:r>
        <w:rPr>
          <w:spacing w:val="-7"/>
          <w:sz w:val="18"/>
          <w:szCs w:val="18"/>
          <w:lang w:val="es-ES_tradnl"/>
        </w:rPr>
        <w:t xml:space="preserve">el 28 de diciembre del 2012, fecha en la cual es aceptada </w:t>
      </w:r>
      <w:r>
        <w:rPr>
          <w:spacing w:val="-10"/>
          <w:sz w:val="18"/>
          <w:szCs w:val="18"/>
          <w:lang w:val="es-ES_tradnl"/>
        </w:rPr>
        <w:t>su renuncia para acogerse a los beneficios de su jubilaci</w:t>
      </w:r>
      <w:r>
        <w:rPr>
          <w:rFonts w:cs="Times New Roman"/>
          <w:spacing w:val="-10"/>
          <w:sz w:val="18"/>
          <w:szCs w:val="18"/>
          <w:lang w:val="es-ES_tradnl"/>
        </w:rPr>
        <w:t>ó</w:t>
      </w:r>
      <w:r>
        <w:rPr>
          <w:spacing w:val="-10"/>
          <w:sz w:val="18"/>
          <w:szCs w:val="18"/>
          <w:lang w:val="es-ES_tradnl"/>
        </w:rPr>
        <w:t>n.</w:t>
      </w:r>
    </w:p>
    <w:p w14:paraId="4F67A9BA" w14:textId="77777777" w:rsidR="00591D54" w:rsidRDefault="00591D54">
      <w:pPr>
        <w:shd w:val="clear" w:color="auto" w:fill="FFFFFF"/>
        <w:spacing w:before="202" w:line="221" w:lineRule="exact"/>
        <w:jc w:val="both"/>
      </w:pPr>
      <w:r>
        <w:rPr>
          <w:spacing w:val="-9"/>
          <w:sz w:val="18"/>
          <w:szCs w:val="18"/>
          <w:lang w:val="es-ES_tradnl"/>
        </w:rPr>
        <w:t>Adem</w:t>
      </w:r>
      <w:r>
        <w:rPr>
          <w:rFonts w:cs="Times New Roman"/>
          <w:spacing w:val="-9"/>
          <w:sz w:val="18"/>
          <w:szCs w:val="18"/>
          <w:lang w:val="es-ES_tradnl"/>
        </w:rPr>
        <w:t>á</w:t>
      </w:r>
      <w:r>
        <w:rPr>
          <w:spacing w:val="-9"/>
          <w:sz w:val="18"/>
          <w:szCs w:val="18"/>
          <w:lang w:val="es-ES_tradnl"/>
        </w:rPr>
        <w:t>s precisa que para demostrar una vez m</w:t>
      </w:r>
      <w:r>
        <w:rPr>
          <w:rFonts w:cs="Times New Roman"/>
          <w:spacing w:val="-9"/>
          <w:sz w:val="18"/>
          <w:szCs w:val="18"/>
          <w:lang w:val="es-ES_tradnl"/>
        </w:rPr>
        <w:t>á</w:t>
      </w:r>
      <w:r>
        <w:rPr>
          <w:spacing w:val="-9"/>
          <w:sz w:val="18"/>
          <w:szCs w:val="18"/>
          <w:lang w:val="es-ES_tradnl"/>
        </w:rPr>
        <w:t xml:space="preserve">s que la </w:t>
      </w:r>
      <w:r>
        <w:rPr>
          <w:spacing w:val="-5"/>
          <w:sz w:val="18"/>
          <w:szCs w:val="18"/>
          <w:lang w:val="es-ES_tradnl"/>
        </w:rPr>
        <w:t xml:space="preserve">EMRAQ-EP, siempre ha cumplido con el ordenamiento </w:t>
      </w:r>
      <w:r>
        <w:rPr>
          <w:spacing w:val="-6"/>
          <w:sz w:val="18"/>
          <w:szCs w:val="18"/>
          <w:lang w:val="es-ES_tradnl"/>
        </w:rPr>
        <w:t>jur</w:t>
      </w:r>
      <w:r>
        <w:rPr>
          <w:rFonts w:cs="Times New Roman"/>
          <w:spacing w:val="-6"/>
          <w:sz w:val="18"/>
          <w:szCs w:val="18"/>
          <w:lang w:val="es-ES_tradnl"/>
        </w:rPr>
        <w:t>í</w:t>
      </w:r>
      <w:r>
        <w:rPr>
          <w:spacing w:val="-6"/>
          <w:sz w:val="18"/>
          <w:szCs w:val="18"/>
          <w:lang w:val="es-ES_tradnl"/>
        </w:rPr>
        <w:t xml:space="preserve">dico que regula sus actividades y el de sus servicios, </w:t>
      </w:r>
      <w:r>
        <w:rPr>
          <w:spacing w:val="-2"/>
          <w:sz w:val="18"/>
          <w:szCs w:val="18"/>
          <w:lang w:val="es-ES_tradnl"/>
        </w:rPr>
        <w:t>remite la planilla de liquidaci</w:t>
      </w:r>
      <w:r>
        <w:rPr>
          <w:rFonts w:cs="Times New Roman"/>
          <w:spacing w:val="-2"/>
          <w:sz w:val="18"/>
          <w:szCs w:val="18"/>
          <w:lang w:val="es-ES_tradnl"/>
        </w:rPr>
        <w:t>ó</w:t>
      </w:r>
      <w:r>
        <w:rPr>
          <w:spacing w:val="-2"/>
          <w:sz w:val="18"/>
          <w:szCs w:val="18"/>
          <w:lang w:val="es-ES_tradnl"/>
        </w:rPr>
        <w:t xml:space="preserve">n final y el comprobante </w:t>
      </w:r>
      <w:r>
        <w:rPr>
          <w:spacing w:val="-7"/>
          <w:sz w:val="18"/>
          <w:szCs w:val="18"/>
          <w:lang w:val="es-ES_tradnl"/>
        </w:rPr>
        <w:t>de egreso N.</w:t>
      </w:r>
      <w:r>
        <w:rPr>
          <w:rFonts w:cs="Times New Roman"/>
          <w:spacing w:val="-7"/>
          <w:sz w:val="18"/>
          <w:szCs w:val="18"/>
          <w:lang w:val="es-ES_tradnl"/>
        </w:rPr>
        <w:t>º</w:t>
      </w:r>
      <w:r>
        <w:rPr>
          <w:spacing w:val="-7"/>
          <w:sz w:val="18"/>
          <w:szCs w:val="18"/>
          <w:lang w:val="es-ES_tradnl"/>
        </w:rPr>
        <w:t xml:space="preserve"> 135 del 26 de febrero de 2013, por un valor </w:t>
      </w:r>
      <w:r>
        <w:rPr>
          <w:spacing w:val="-8"/>
          <w:sz w:val="18"/>
          <w:szCs w:val="18"/>
          <w:lang w:val="es-ES_tradnl"/>
        </w:rPr>
        <w:t xml:space="preserve">total de $ 7.761,03 USD debidamente firmado y recibido a </w:t>
      </w:r>
      <w:r>
        <w:rPr>
          <w:spacing w:val="-6"/>
          <w:sz w:val="18"/>
          <w:szCs w:val="18"/>
          <w:lang w:val="es-ES_tradnl"/>
        </w:rPr>
        <w:t>conformidad por el doctor Leonel Mart</w:t>
      </w:r>
      <w:r>
        <w:rPr>
          <w:rFonts w:cs="Times New Roman"/>
          <w:spacing w:val="-6"/>
          <w:sz w:val="18"/>
          <w:szCs w:val="18"/>
          <w:lang w:val="es-ES_tradnl"/>
        </w:rPr>
        <w:t>í</w:t>
      </w:r>
      <w:r>
        <w:rPr>
          <w:spacing w:val="-6"/>
          <w:sz w:val="18"/>
          <w:szCs w:val="18"/>
          <w:lang w:val="es-ES_tradnl"/>
        </w:rPr>
        <w:t>nez Rosero.</w:t>
      </w:r>
    </w:p>
    <w:p w14:paraId="4F67A9BB" w14:textId="77777777" w:rsidR="00591D54" w:rsidRDefault="00591D54">
      <w:pPr>
        <w:shd w:val="clear" w:color="auto" w:fill="FFFFFF"/>
        <w:spacing w:before="202"/>
      </w:pPr>
      <w:r>
        <w:rPr>
          <w:b/>
          <w:bCs/>
          <w:spacing w:val="-7"/>
          <w:sz w:val="18"/>
          <w:szCs w:val="18"/>
          <w:lang w:val="es-ES_tradnl"/>
        </w:rPr>
        <w:t>Procuradur</w:t>
      </w:r>
      <w:r>
        <w:rPr>
          <w:rFonts w:cs="Times New Roman"/>
          <w:b/>
          <w:bCs/>
          <w:spacing w:val="-7"/>
          <w:sz w:val="18"/>
          <w:szCs w:val="18"/>
          <w:lang w:val="es-ES_tradnl"/>
        </w:rPr>
        <w:t>í</w:t>
      </w:r>
      <w:r>
        <w:rPr>
          <w:b/>
          <w:bCs/>
          <w:spacing w:val="-7"/>
          <w:sz w:val="18"/>
          <w:szCs w:val="18"/>
          <w:lang w:val="es-ES_tradnl"/>
        </w:rPr>
        <w:t>a General del Estado</w:t>
      </w:r>
    </w:p>
    <w:p w14:paraId="4F67A9BC" w14:textId="77777777" w:rsidR="00591D54" w:rsidRDefault="00591D54">
      <w:pPr>
        <w:shd w:val="clear" w:color="auto" w:fill="FFFFFF"/>
        <w:spacing w:before="206" w:line="221" w:lineRule="exact"/>
        <w:jc w:val="both"/>
      </w:pPr>
      <w:r>
        <w:rPr>
          <w:spacing w:val="-7"/>
          <w:sz w:val="18"/>
          <w:szCs w:val="18"/>
          <w:lang w:val="es-ES_tradnl"/>
        </w:rPr>
        <w:t>Mediante escrito presentado el 19 de noviembre de 2010, comparece el doctor N</w:t>
      </w:r>
      <w:r>
        <w:rPr>
          <w:rFonts w:cs="Times New Roman"/>
          <w:spacing w:val="-7"/>
          <w:sz w:val="18"/>
          <w:szCs w:val="18"/>
          <w:lang w:val="es-ES_tradnl"/>
        </w:rPr>
        <w:t>é</w:t>
      </w:r>
      <w:r>
        <w:rPr>
          <w:spacing w:val="-7"/>
          <w:sz w:val="18"/>
          <w:szCs w:val="18"/>
          <w:lang w:val="es-ES_tradnl"/>
        </w:rPr>
        <w:t>stor Arboleda Ter</w:t>
      </w:r>
      <w:r>
        <w:rPr>
          <w:rFonts w:cs="Times New Roman"/>
          <w:spacing w:val="-7"/>
          <w:sz w:val="18"/>
          <w:szCs w:val="18"/>
          <w:lang w:val="es-ES_tradnl"/>
        </w:rPr>
        <w:t>á</w:t>
      </w:r>
      <w:r>
        <w:rPr>
          <w:spacing w:val="-7"/>
          <w:sz w:val="18"/>
          <w:szCs w:val="18"/>
          <w:lang w:val="es-ES_tradnl"/>
        </w:rPr>
        <w:t xml:space="preserve">n en su calidad de director nacional de Patrocinio delegado del procurador </w:t>
      </w:r>
      <w:r>
        <w:rPr>
          <w:spacing w:val="-8"/>
          <w:sz w:val="18"/>
          <w:szCs w:val="18"/>
          <w:lang w:val="es-ES_tradnl"/>
        </w:rPr>
        <w:t xml:space="preserve">general del Estado y manifiesta que el 9 de noviembre de </w:t>
      </w:r>
      <w:r>
        <w:rPr>
          <w:spacing w:val="-5"/>
          <w:sz w:val="18"/>
          <w:szCs w:val="18"/>
          <w:lang w:val="es-ES_tradnl"/>
        </w:rPr>
        <w:t>2009, la Empresa Metropolitana de Rastro ha emitido la acci</w:t>
      </w:r>
      <w:r>
        <w:rPr>
          <w:rFonts w:cs="Times New Roman"/>
          <w:spacing w:val="-5"/>
          <w:sz w:val="18"/>
          <w:szCs w:val="18"/>
          <w:lang w:val="es-ES_tradnl"/>
        </w:rPr>
        <w:t>ó</w:t>
      </w:r>
      <w:r>
        <w:rPr>
          <w:spacing w:val="-5"/>
          <w:sz w:val="18"/>
          <w:szCs w:val="18"/>
          <w:lang w:val="es-ES_tradnl"/>
        </w:rPr>
        <w:t>n de personal con la que se efectu</w:t>
      </w:r>
      <w:r>
        <w:rPr>
          <w:rFonts w:cs="Times New Roman"/>
          <w:spacing w:val="-5"/>
          <w:sz w:val="18"/>
          <w:szCs w:val="18"/>
          <w:lang w:val="es-ES_tradnl"/>
        </w:rPr>
        <w:t>ó</w:t>
      </w:r>
      <w:r>
        <w:rPr>
          <w:spacing w:val="-5"/>
          <w:sz w:val="18"/>
          <w:szCs w:val="18"/>
          <w:lang w:val="es-ES_tradnl"/>
        </w:rPr>
        <w:t xml:space="preserve"> el reintegro al </w:t>
      </w:r>
      <w:r>
        <w:rPr>
          <w:spacing w:val="-8"/>
          <w:sz w:val="18"/>
          <w:szCs w:val="18"/>
          <w:lang w:val="es-ES_tradnl"/>
        </w:rPr>
        <w:t xml:space="preserve">cargo del recurrente, por lo que se evidencia que la entidad </w:t>
      </w:r>
      <w:r>
        <w:rPr>
          <w:spacing w:val="-7"/>
          <w:sz w:val="18"/>
          <w:szCs w:val="18"/>
          <w:lang w:val="es-ES_tradnl"/>
        </w:rPr>
        <w:t xml:space="preserve">demandada dio cumplimiento a lo resuelto por la Primera </w:t>
      </w:r>
      <w:r>
        <w:rPr>
          <w:sz w:val="18"/>
          <w:szCs w:val="18"/>
          <w:lang w:val="es-ES_tradnl"/>
        </w:rPr>
        <w:t>Sala de la Corte Constitucional.</w:t>
      </w:r>
    </w:p>
    <w:p w14:paraId="4F67A9BD" w14:textId="77777777" w:rsidR="00591D54" w:rsidRDefault="00591D54">
      <w:pPr>
        <w:shd w:val="clear" w:color="auto" w:fill="FFFFFF"/>
        <w:spacing w:before="202" w:line="221" w:lineRule="exact"/>
        <w:jc w:val="both"/>
      </w:pPr>
      <w:r>
        <w:rPr>
          <w:spacing w:val="-7"/>
          <w:sz w:val="18"/>
          <w:szCs w:val="18"/>
          <w:lang w:val="es-ES_tradnl"/>
        </w:rPr>
        <w:t>Agrega que el recurrente persigue a trav</w:t>
      </w:r>
      <w:r>
        <w:rPr>
          <w:rFonts w:cs="Times New Roman"/>
          <w:spacing w:val="-7"/>
          <w:sz w:val="18"/>
          <w:szCs w:val="18"/>
          <w:lang w:val="es-ES_tradnl"/>
        </w:rPr>
        <w:t>é</w:t>
      </w:r>
      <w:r>
        <w:rPr>
          <w:spacing w:val="-7"/>
          <w:sz w:val="18"/>
          <w:szCs w:val="18"/>
          <w:lang w:val="es-ES_tradnl"/>
        </w:rPr>
        <w:t>s de esta acci</w:t>
      </w:r>
      <w:r>
        <w:rPr>
          <w:rFonts w:cs="Times New Roman"/>
          <w:spacing w:val="-7"/>
          <w:sz w:val="18"/>
          <w:szCs w:val="18"/>
          <w:lang w:val="es-ES_tradnl"/>
        </w:rPr>
        <w:t>ó</w:t>
      </w:r>
      <w:r>
        <w:rPr>
          <w:spacing w:val="-7"/>
          <w:sz w:val="18"/>
          <w:szCs w:val="18"/>
          <w:lang w:val="es-ES_tradnl"/>
        </w:rPr>
        <w:t xml:space="preserve">n </w:t>
      </w:r>
      <w:r>
        <w:rPr>
          <w:spacing w:val="-8"/>
          <w:sz w:val="18"/>
          <w:szCs w:val="18"/>
          <w:lang w:val="es-ES_tradnl"/>
        </w:rPr>
        <w:t xml:space="preserve">de incumplimiento el pago de remuneraciones dejadas de </w:t>
      </w:r>
      <w:r>
        <w:rPr>
          <w:spacing w:val="-6"/>
          <w:sz w:val="18"/>
          <w:szCs w:val="18"/>
          <w:lang w:val="es-ES_tradnl"/>
        </w:rPr>
        <w:t xml:space="preserve">percibir, lo cual no fue dispuesto por la Primera Sala de la </w:t>
      </w:r>
      <w:r>
        <w:rPr>
          <w:spacing w:val="-8"/>
          <w:sz w:val="18"/>
          <w:szCs w:val="18"/>
          <w:lang w:val="es-ES_tradnl"/>
        </w:rPr>
        <w:t>Corte Constitucional en la acci</w:t>
      </w:r>
      <w:r>
        <w:rPr>
          <w:rFonts w:cs="Times New Roman"/>
          <w:spacing w:val="-8"/>
          <w:sz w:val="18"/>
          <w:szCs w:val="18"/>
          <w:lang w:val="es-ES_tradnl"/>
        </w:rPr>
        <w:t>ó</w:t>
      </w:r>
      <w:r>
        <w:rPr>
          <w:spacing w:val="-8"/>
          <w:sz w:val="18"/>
          <w:szCs w:val="18"/>
          <w:lang w:val="es-ES_tradnl"/>
        </w:rPr>
        <w:t>n de amparo constitucional.</w:t>
      </w:r>
    </w:p>
    <w:p w14:paraId="4F67A9BE" w14:textId="77777777" w:rsidR="00591D54" w:rsidRDefault="00591D54">
      <w:pPr>
        <w:shd w:val="clear" w:color="auto" w:fill="FFFFFF"/>
        <w:spacing w:before="202" w:line="226" w:lineRule="exact"/>
        <w:jc w:val="both"/>
      </w:pPr>
      <w:r>
        <w:rPr>
          <w:spacing w:val="-8"/>
          <w:sz w:val="18"/>
          <w:szCs w:val="18"/>
          <w:lang w:val="es-ES_tradnl"/>
        </w:rPr>
        <w:t>Considera que se encuentra acatada la resoluci</w:t>
      </w:r>
      <w:r>
        <w:rPr>
          <w:rFonts w:cs="Times New Roman"/>
          <w:spacing w:val="-8"/>
          <w:sz w:val="18"/>
          <w:szCs w:val="18"/>
          <w:lang w:val="es-ES_tradnl"/>
        </w:rPr>
        <w:t>ó</w:t>
      </w:r>
      <w:r>
        <w:rPr>
          <w:spacing w:val="-8"/>
          <w:sz w:val="18"/>
          <w:szCs w:val="18"/>
          <w:lang w:val="es-ES_tradnl"/>
        </w:rPr>
        <w:t>n de la Primera Sala de la Corte Constitucional por lo tanto, solicita que se rechace la acci</w:t>
      </w:r>
      <w:r>
        <w:rPr>
          <w:rFonts w:cs="Times New Roman"/>
          <w:spacing w:val="-8"/>
          <w:sz w:val="18"/>
          <w:szCs w:val="18"/>
          <w:lang w:val="es-ES_tradnl"/>
        </w:rPr>
        <w:t>ó</w:t>
      </w:r>
      <w:r>
        <w:rPr>
          <w:spacing w:val="-8"/>
          <w:sz w:val="18"/>
          <w:szCs w:val="18"/>
          <w:lang w:val="es-ES_tradnl"/>
        </w:rPr>
        <w:t>n de incumplimiento propuesta.</w:t>
      </w:r>
    </w:p>
    <w:p w14:paraId="4F67A9BF" w14:textId="77777777" w:rsidR="00591D54" w:rsidRDefault="00591D54">
      <w:pPr>
        <w:shd w:val="clear" w:color="auto" w:fill="FFFFFF"/>
        <w:spacing w:before="202" w:line="226" w:lineRule="exact"/>
        <w:ind w:left="691" w:right="326" w:hanging="355"/>
      </w:pPr>
      <w:r>
        <w:rPr>
          <w:b/>
          <w:bCs/>
          <w:spacing w:val="-1"/>
          <w:sz w:val="18"/>
          <w:szCs w:val="18"/>
          <w:lang w:val="es-ES_tradnl"/>
        </w:rPr>
        <w:t xml:space="preserve">II. CONSIDERACIONES Y FUNDAMENTOS </w:t>
      </w:r>
      <w:r>
        <w:rPr>
          <w:b/>
          <w:bCs/>
          <w:sz w:val="18"/>
          <w:szCs w:val="18"/>
          <w:lang w:val="es-ES_tradnl"/>
        </w:rPr>
        <w:t>DE LA CORTE CONSTITUCIONAL</w:t>
      </w:r>
    </w:p>
    <w:p w14:paraId="4F67A9C0" w14:textId="77777777" w:rsidR="00591D54" w:rsidRDefault="00591D54">
      <w:pPr>
        <w:shd w:val="clear" w:color="auto" w:fill="FFFFFF"/>
        <w:spacing w:before="197"/>
      </w:pPr>
      <w:r>
        <w:rPr>
          <w:b/>
          <w:bCs/>
          <w:spacing w:val="-8"/>
          <w:sz w:val="18"/>
          <w:szCs w:val="18"/>
          <w:lang w:val="es-ES_tradnl"/>
        </w:rPr>
        <w:t>Competencia de la Corte</w:t>
      </w:r>
    </w:p>
    <w:p w14:paraId="4F67A9C1" w14:textId="77777777" w:rsidR="00591D54" w:rsidRDefault="00591D54">
      <w:pPr>
        <w:shd w:val="clear" w:color="auto" w:fill="FFFFFF"/>
        <w:spacing w:before="206" w:line="221" w:lineRule="exact"/>
        <w:jc w:val="both"/>
      </w:pPr>
      <w:r>
        <w:rPr>
          <w:spacing w:val="-7"/>
          <w:sz w:val="18"/>
          <w:szCs w:val="18"/>
          <w:lang w:val="es-ES_tradnl"/>
        </w:rPr>
        <w:t xml:space="preserve">La Corte Constitucional es competente para conocer y </w:t>
      </w:r>
      <w:r>
        <w:rPr>
          <w:spacing w:val="-9"/>
          <w:sz w:val="18"/>
          <w:szCs w:val="18"/>
          <w:lang w:val="es-ES_tradnl"/>
        </w:rPr>
        <w:t>sancionar el incumplimiento de las sentencias y dict</w:t>
      </w:r>
      <w:r>
        <w:rPr>
          <w:rFonts w:cs="Times New Roman"/>
          <w:spacing w:val="-9"/>
          <w:sz w:val="18"/>
          <w:szCs w:val="18"/>
          <w:lang w:val="es-ES_tradnl"/>
        </w:rPr>
        <w:t>á</w:t>
      </w:r>
      <w:r>
        <w:rPr>
          <w:spacing w:val="-9"/>
          <w:sz w:val="18"/>
          <w:szCs w:val="18"/>
          <w:lang w:val="es-ES_tradnl"/>
        </w:rPr>
        <w:t xml:space="preserve">menes </w:t>
      </w:r>
      <w:r>
        <w:rPr>
          <w:spacing w:val="-4"/>
          <w:sz w:val="18"/>
          <w:szCs w:val="18"/>
          <w:lang w:val="es-ES_tradnl"/>
        </w:rPr>
        <w:t xml:space="preserve">constitucionales, de conformidad con lo previsto en el </w:t>
      </w:r>
      <w:r>
        <w:rPr>
          <w:spacing w:val="-10"/>
          <w:sz w:val="18"/>
          <w:szCs w:val="18"/>
          <w:lang w:val="es-ES_tradnl"/>
        </w:rPr>
        <w:t>art</w:t>
      </w:r>
      <w:r>
        <w:rPr>
          <w:rFonts w:cs="Times New Roman"/>
          <w:spacing w:val="-10"/>
          <w:sz w:val="18"/>
          <w:szCs w:val="18"/>
          <w:lang w:val="es-ES_tradnl"/>
        </w:rPr>
        <w:t>í</w:t>
      </w:r>
      <w:r>
        <w:rPr>
          <w:spacing w:val="-10"/>
          <w:sz w:val="18"/>
          <w:szCs w:val="18"/>
          <w:lang w:val="es-ES_tradnl"/>
        </w:rPr>
        <w:t>culo 436 numeral 9 de la Constituci</w:t>
      </w:r>
      <w:r>
        <w:rPr>
          <w:rFonts w:cs="Times New Roman"/>
          <w:spacing w:val="-10"/>
          <w:sz w:val="18"/>
          <w:szCs w:val="18"/>
          <w:lang w:val="es-ES_tradnl"/>
        </w:rPr>
        <w:t>ó</w:t>
      </w:r>
      <w:r>
        <w:rPr>
          <w:spacing w:val="-10"/>
          <w:sz w:val="18"/>
          <w:szCs w:val="18"/>
          <w:lang w:val="es-ES_tradnl"/>
        </w:rPr>
        <w:t>n de la Rep</w:t>
      </w:r>
      <w:r>
        <w:rPr>
          <w:rFonts w:cs="Times New Roman"/>
          <w:spacing w:val="-10"/>
          <w:sz w:val="18"/>
          <w:szCs w:val="18"/>
          <w:lang w:val="es-ES_tradnl"/>
        </w:rPr>
        <w:t>ú</w:t>
      </w:r>
      <w:r>
        <w:rPr>
          <w:spacing w:val="-10"/>
          <w:sz w:val="18"/>
          <w:szCs w:val="18"/>
          <w:lang w:val="es-ES_tradnl"/>
        </w:rPr>
        <w:t>blica, en concordancia con los art</w:t>
      </w:r>
      <w:r>
        <w:rPr>
          <w:rFonts w:cs="Times New Roman"/>
          <w:spacing w:val="-10"/>
          <w:sz w:val="18"/>
          <w:szCs w:val="18"/>
          <w:lang w:val="es-ES_tradnl"/>
        </w:rPr>
        <w:t>í</w:t>
      </w:r>
      <w:r>
        <w:rPr>
          <w:spacing w:val="-10"/>
          <w:sz w:val="18"/>
          <w:szCs w:val="18"/>
          <w:lang w:val="es-ES_tradnl"/>
        </w:rPr>
        <w:t>culos 162 al 165 de la Ley Org</w:t>
      </w:r>
      <w:r>
        <w:rPr>
          <w:rFonts w:cs="Times New Roman"/>
          <w:spacing w:val="-10"/>
          <w:sz w:val="18"/>
          <w:szCs w:val="18"/>
          <w:lang w:val="es-ES_tradnl"/>
        </w:rPr>
        <w:t>á</w:t>
      </w:r>
      <w:r>
        <w:rPr>
          <w:spacing w:val="-10"/>
          <w:sz w:val="18"/>
          <w:szCs w:val="18"/>
          <w:lang w:val="es-ES_tradnl"/>
        </w:rPr>
        <w:t xml:space="preserve">nica </w:t>
      </w:r>
      <w:r>
        <w:rPr>
          <w:spacing w:val="-5"/>
          <w:sz w:val="18"/>
          <w:szCs w:val="18"/>
          <w:lang w:val="es-ES_tradnl"/>
        </w:rPr>
        <w:t>de Garant</w:t>
      </w:r>
      <w:r>
        <w:rPr>
          <w:rFonts w:cs="Times New Roman"/>
          <w:spacing w:val="-5"/>
          <w:sz w:val="18"/>
          <w:szCs w:val="18"/>
          <w:lang w:val="es-ES_tradnl"/>
        </w:rPr>
        <w:t>í</w:t>
      </w:r>
      <w:r>
        <w:rPr>
          <w:spacing w:val="-5"/>
          <w:sz w:val="18"/>
          <w:szCs w:val="18"/>
          <w:lang w:val="es-ES_tradnl"/>
        </w:rPr>
        <w:t>as Jurisdiccionales y Control Constitucional, y de acuerdo con el art</w:t>
      </w:r>
      <w:r>
        <w:rPr>
          <w:rFonts w:cs="Times New Roman"/>
          <w:spacing w:val="-5"/>
          <w:sz w:val="18"/>
          <w:szCs w:val="18"/>
          <w:lang w:val="es-ES_tradnl"/>
        </w:rPr>
        <w:t>í</w:t>
      </w:r>
      <w:r>
        <w:rPr>
          <w:spacing w:val="-5"/>
          <w:sz w:val="18"/>
          <w:szCs w:val="18"/>
          <w:lang w:val="es-ES_tradnl"/>
        </w:rPr>
        <w:t xml:space="preserve">culo 3 numeral 11 del Reglamento </w:t>
      </w:r>
      <w:r>
        <w:rPr>
          <w:spacing w:val="-9"/>
          <w:sz w:val="18"/>
          <w:szCs w:val="18"/>
          <w:lang w:val="es-ES_tradnl"/>
        </w:rPr>
        <w:t>de Sustanciaci</w:t>
      </w:r>
      <w:r>
        <w:rPr>
          <w:rFonts w:cs="Times New Roman"/>
          <w:spacing w:val="-9"/>
          <w:sz w:val="18"/>
          <w:szCs w:val="18"/>
          <w:lang w:val="es-ES_tradnl"/>
        </w:rPr>
        <w:t>ó</w:t>
      </w:r>
      <w:r>
        <w:rPr>
          <w:spacing w:val="-9"/>
          <w:sz w:val="18"/>
          <w:szCs w:val="18"/>
          <w:lang w:val="es-ES_tradnl"/>
        </w:rPr>
        <w:t xml:space="preserve">n de Procesos de Competencia de la Corte </w:t>
      </w:r>
      <w:r>
        <w:rPr>
          <w:sz w:val="18"/>
          <w:szCs w:val="18"/>
          <w:lang w:val="es-ES_tradnl"/>
        </w:rPr>
        <w:t>Constitucional.</w:t>
      </w:r>
    </w:p>
    <w:p w14:paraId="4F67A9C2" w14:textId="77777777" w:rsidR="00591D54" w:rsidRDefault="00591D54">
      <w:pPr>
        <w:shd w:val="clear" w:color="auto" w:fill="FFFFFF"/>
        <w:spacing w:before="206" w:line="221" w:lineRule="exact"/>
        <w:jc w:val="both"/>
        <w:sectPr w:rsidR="00591D54">
          <w:type w:val="continuous"/>
          <w:pgSz w:w="11909" w:h="16834"/>
          <w:pgMar w:top="1373" w:right="1309" w:bottom="360" w:left="1308" w:header="720" w:footer="720" w:gutter="0"/>
          <w:cols w:num="2" w:space="720" w:equalWidth="0">
            <w:col w:w="4305" w:space="682"/>
            <w:col w:w="4305"/>
          </w:cols>
          <w:noEndnote/>
        </w:sectPr>
      </w:pPr>
    </w:p>
    <w:p w14:paraId="4F67A9C3" w14:textId="77777777" w:rsidR="00591D54" w:rsidRDefault="00591D54">
      <w:pPr>
        <w:shd w:val="clear" w:color="auto" w:fill="FFFFFF"/>
        <w:tabs>
          <w:tab w:val="left" w:pos="5952"/>
        </w:tabs>
        <w:spacing w:after="206"/>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- 77</w:t>
      </w:r>
    </w:p>
    <w:p w14:paraId="4F67A9C4" w14:textId="77777777" w:rsidR="00591D54" w:rsidRDefault="00591D54">
      <w:pPr>
        <w:shd w:val="clear" w:color="auto" w:fill="FFFFFF"/>
        <w:tabs>
          <w:tab w:val="left" w:pos="5952"/>
        </w:tabs>
        <w:spacing w:after="206"/>
        <w:ind w:left="5"/>
        <w:sectPr w:rsidR="00591D54">
          <w:pgSz w:w="11909" w:h="16834"/>
          <w:pgMar w:top="1344" w:right="1299" w:bottom="360" w:left="1308" w:header="720" w:footer="720" w:gutter="0"/>
          <w:cols w:space="60"/>
          <w:noEndnote/>
        </w:sectPr>
      </w:pPr>
    </w:p>
    <w:p w14:paraId="4F67A9C5" w14:textId="77777777" w:rsidR="00591D54" w:rsidRDefault="00591D54">
      <w:pPr>
        <w:shd w:val="clear" w:color="auto" w:fill="FFFFFF"/>
      </w:pPr>
      <w:r>
        <w:rPr>
          <w:b/>
          <w:bCs/>
          <w:spacing w:val="-8"/>
          <w:sz w:val="18"/>
          <w:szCs w:val="18"/>
          <w:lang w:val="es-ES_tradnl"/>
        </w:rPr>
        <w:t>Legitimaci</w:t>
      </w:r>
      <w:r>
        <w:rPr>
          <w:rFonts w:cs="Times New Roman"/>
          <w:b/>
          <w:bCs/>
          <w:spacing w:val="-8"/>
          <w:sz w:val="18"/>
          <w:szCs w:val="18"/>
          <w:lang w:val="es-ES_tradnl"/>
        </w:rPr>
        <w:t>ó</w:t>
      </w:r>
      <w:r>
        <w:rPr>
          <w:b/>
          <w:bCs/>
          <w:spacing w:val="-8"/>
          <w:sz w:val="18"/>
          <w:szCs w:val="18"/>
          <w:lang w:val="es-ES_tradnl"/>
        </w:rPr>
        <w:t>n activa</w:t>
      </w:r>
    </w:p>
    <w:p w14:paraId="4F67A9C6" w14:textId="77777777" w:rsidR="00591D54" w:rsidRDefault="00591D54">
      <w:pPr>
        <w:shd w:val="clear" w:color="auto" w:fill="FFFFFF"/>
        <w:spacing w:before="197" w:line="216" w:lineRule="exact"/>
        <w:ind w:right="10"/>
        <w:jc w:val="both"/>
      </w:pPr>
      <w:r>
        <w:rPr>
          <w:spacing w:val="-7"/>
          <w:sz w:val="18"/>
          <w:szCs w:val="18"/>
          <w:lang w:val="es-ES_tradnl"/>
        </w:rPr>
        <w:t>El accionante Leonel Segundo Mart</w:t>
      </w:r>
      <w:r>
        <w:rPr>
          <w:rFonts w:cs="Times New Roman"/>
          <w:spacing w:val="-7"/>
          <w:sz w:val="18"/>
          <w:szCs w:val="18"/>
          <w:lang w:val="es-ES_tradnl"/>
        </w:rPr>
        <w:t>í</w:t>
      </w:r>
      <w:r>
        <w:rPr>
          <w:spacing w:val="-7"/>
          <w:sz w:val="18"/>
          <w:szCs w:val="18"/>
          <w:lang w:val="es-ES_tradnl"/>
        </w:rPr>
        <w:t xml:space="preserve">nez Rosero por sus </w:t>
      </w:r>
      <w:r>
        <w:rPr>
          <w:spacing w:val="-5"/>
          <w:sz w:val="18"/>
          <w:szCs w:val="18"/>
          <w:lang w:val="es-ES_tradnl"/>
        </w:rPr>
        <w:t>propios derechos, se encuentra legitimado para plantear la presente acci</w:t>
      </w:r>
      <w:r>
        <w:rPr>
          <w:rFonts w:cs="Times New Roman"/>
          <w:spacing w:val="-5"/>
          <w:sz w:val="18"/>
          <w:szCs w:val="18"/>
          <w:lang w:val="es-ES_tradnl"/>
        </w:rPr>
        <w:t>ó</w:t>
      </w:r>
      <w:r>
        <w:rPr>
          <w:spacing w:val="-5"/>
          <w:sz w:val="18"/>
          <w:szCs w:val="18"/>
          <w:lang w:val="es-ES_tradnl"/>
        </w:rPr>
        <w:t>n de incumplimiento de sentencia constitucional conforme lo dispone el art</w:t>
      </w:r>
      <w:r>
        <w:rPr>
          <w:rFonts w:cs="Times New Roman"/>
          <w:spacing w:val="-5"/>
          <w:sz w:val="18"/>
          <w:szCs w:val="18"/>
          <w:lang w:val="es-ES_tradnl"/>
        </w:rPr>
        <w:t>í</w:t>
      </w:r>
      <w:r>
        <w:rPr>
          <w:spacing w:val="-5"/>
          <w:sz w:val="18"/>
          <w:szCs w:val="18"/>
          <w:lang w:val="es-ES_tradnl"/>
        </w:rPr>
        <w:t xml:space="preserve">culo 439 de la </w:t>
      </w:r>
      <w:r>
        <w:rPr>
          <w:spacing w:val="-6"/>
          <w:sz w:val="18"/>
          <w:szCs w:val="18"/>
          <w:lang w:val="es-ES_tradnl"/>
        </w:rPr>
        <w:t>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 que se</w:t>
      </w:r>
      <w:r>
        <w:rPr>
          <w:rFonts w:cs="Times New Roman"/>
          <w:spacing w:val="-6"/>
          <w:sz w:val="18"/>
          <w:szCs w:val="18"/>
          <w:lang w:val="es-ES_tradnl"/>
        </w:rPr>
        <w:t>ñ</w:t>
      </w:r>
      <w:r>
        <w:rPr>
          <w:spacing w:val="-6"/>
          <w:sz w:val="18"/>
          <w:szCs w:val="18"/>
          <w:lang w:val="es-ES_tradnl"/>
        </w:rPr>
        <w:t xml:space="preserve">ala: </w:t>
      </w:r>
      <w:r>
        <w:rPr>
          <w:rFonts w:cs="Times New Roman"/>
          <w:spacing w:val="-6"/>
          <w:sz w:val="18"/>
          <w:szCs w:val="18"/>
          <w:lang w:val="es-ES_tradnl"/>
        </w:rPr>
        <w:t>“</w:t>
      </w:r>
      <w:r>
        <w:rPr>
          <w:spacing w:val="-6"/>
          <w:sz w:val="18"/>
          <w:szCs w:val="18"/>
          <w:lang w:val="es-ES_tradnl"/>
        </w:rPr>
        <w:t xml:space="preserve">Las acciones </w:t>
      </w:r>
      <w:r>
        <w:rPr>
          <w:spacing w:val="-7"/>
          <w:sz w:val="18"/>
          <w:szCs w:val="18"/>
          <w:lang w:val="es-ES_tradnl"/>
        </w:rPr>
        <w:t>constitucionales podr</w:t>
      </w:r>
      <w:r>
        <w:rPr>
          <w:rFonts w:cs="Times New Roman"/>
          <w:spacing w:val="-7"/>
          <w:sz w:val="18"/>
          <w:szCs w:val="18"/>
          <w:lang w:val="es-ES_tradnl"/>
        </w:rPr>
        <w:t>á</w:t>
      </w:r>
      <w:r>
        <w:rPr>
          <w:spacing w:val="-7"/>
          <w:sz w:val="18"/>
          <w:szCs w:val="18"/>
          <w:lang w:val="es-ES_tradnl"/>
        </w:rPr>
        <w:t xml:space="preserve">n ser presentadas por cualquier </w:t>
      </w:r>
      <w:r>
        <w:rPr>
          <w:sz w:val="18"/>
          <w:szCs w:val="18"/>
          <w:lang w:val="es-ES_tradnl"/>
        </w:rPr>
        <w:t>ciudadano o ciudadana individual o colectivamente</w:t>
      </w:r>
      <w:r>
        <w:rPr>
          <w:rFonts w:cs="Times New Roman"/>
          <w:sz w:val="18"/>
          <w:szCs w:val="18"/>
          <w:lang w:val="es-ES_tradnl"/>
        </w:rPr>
        <w:t xml:space="preserve">” </w:t>
      </w:r>
      <w:r>
        <w:rPr>
          <w:spacing w:val="-5"/>
          <w:sz w:val="18"/>
          <w:szCs w:val="18"/>
          <w:lang w:val="es-ES_tradnl"/>
        </w:rPr>
        <w:t>en concordancia con el numeral 1 del art</w:t>
      </w:r>
      <w:r>
        <w:rPr>
          <w:rFonts w:cs="Times New Roman"/>
          <w:spacing w:val="-5"/>
          <w:sz w:val="18"/>
          <w:szCs w:val="18"/>
          <w:lang w:val="es-ES_tradnl"/>
        </w:rPr>
        <w:t>í</w:t>
      </w:r>
      <w:r>
        <w:rPr>
          <w:spacing w:val="-5"/>
          <w:sz w:val="18"/>
          <w:szCs w:val="18"/>
          <w:lang w:val="es-ES_tradnl"/>
        </w:rPr>
        <w:t xml:space="preserve">culo 164 de la </w:t>
      </w:r>
      <w:r>
        <w:rPr>
          <w:spacing w:val="-6"/>
          <w:sz w:val="18"/>
          <w:szCs w:val="18"/>
          <w:lang w:val="es-ES_tradnl"/>
        </w:rPr>
        <w:t>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Control </w:t>
      </w:r>
      <w:r>
        <w:rPr>
          <w:spacing w:val="-9"/>
          <w:sz w:val="18"/>
          <w:szCs w:val="18"/>
          <w:lang w:val="es-ES_tradnl"/>
        </w:rPr>
        <w:t>Constitucional en la cual, se sostiene</w:t>
      </w:r>
      <w:r>
        <w:rPr>
          <w:i/>
          <w:iCs/>
          <w:spacing w:val="-9"/>
          <w:sz w:val="18"/>
          <w:szCs w:val="18"/>
          <w:lang w:val="es-ES_tradnl"/>
        </w:rPr>
        <w:t xml:space="preserve">: </w:t>
      </w:r>
      <w:r>
        <w:rPr>
          <w:rFonts w:cs="Times New Roman"/>
          <w:spacing w:val="-9"/>
          <w:sz w:val="18"/>
          <w:szCs w:val="18"/>
          <w:lang w:val="es-ES_tradnl"/>
        </w:rPr>
        <w:t>“</w:t>
      </w:r>
      <w:r>
        <w:rPr>
          <w:spacing w:val="-9"/>
          <w:sz w:val="18"/>
          <w:szCs w:val="18"/>
          <w:lang w:val="es-ES_tradnl"/>
        </w:rPr>
        <w:t>Podr</w:t>
      </w:r>
      <w:r>
        <w:rPr>
          <w:rFonts w:cs="Times New Roman"/>
          <w:spacing w:val="-9"/>
          <w:sz w:val="18"/>
          <w:szCs w:val="18"/>
          <w:lang w:val="es-ES_tradnl"/>
        </w:rPr>
        <w:t>á</w:t>
      </w:r>
      <w:r>
        <w:rPr>
          <w:spacing w:val="-9"/>
          <w:sz w:val="18"/>
          <w:szCs w:val="18"/>
          <w:lang w:val="es-ES_tradnl"/>
        </w:rPr>
        <w:t xml:space="preserve"> presentar esta </w:t>
      </w:r>
      <w:r>
        <w:rPr>
          <w:spacing w:val="-5"/>
          <w:sz w:val="18"/>
          <w:szCs w:val="18"/>
          <w:lang w:val="es-ES_tradnl"/>
        </w:rPr>
        <w:t>acci</w:t>
      </w:r>
      <w:r>
        <w:rPr>
          <w:rFonts w:cs="Times New Roman"/>
          <w:spacing w:val="-5"/>
          <w:sz w:val="18"/>
          <w:szCs w:val="18"/>
          <w:lang w:val="es-ES_tradnl"/>
        </w:rPr>
        <w:t>ó</w:t>
      </w:r>
      <w:r>
        <w:rPr>
          <w:spacing w:val="-5"/>
          <w:sz w:val="18"/>
          <w:szCs w:val="18"/>
          <w:lang w:val="es-ES_tradnl"/>
        </w:rPr>
        <w:t xml:space="preserve">n quien se considere afectado siempre que la jueza </w:t>
      </w:r>
      <w:r>
        <w:rPr>
          <w:spacing w:val="-7"/>
          <w:sz w:val="18"/>
          <w:szCs w:val="18"/>
          <w:lang w:val="es-ES_tradnl"/>
        </w:rPr>
        <w:t>o juez que dict</w:t>
      </w:r>
      <w:r>
        <w:rPr>
          <w:rFonts w:cs="Times New Roman"/>
          <w:spacing w:val="-7"/>
          <w:sz w:val="18"/>
          <w:szCs w:val="18"/>
          <w:lang w:val="es-ES_tradnl"/>
        </w:rPr>
        <w:t>ó</w:t>
      </w:r>
      <w:r>
        <w:rPr>
          <w:spacing w:val="-7"/>
          <w:sz w:val="18"/>
          <w:szCs w:val="18"/>
          <w:lang w:val="es-ES_tradnl"/>
        </w:rPr>
        <w:t xml:space="preserve"> la sentencia no la haya ejecutado en un </w:t>
      </w:r>
      <w:r>
        <w:rPr>
          <w:spacing w:val="-10"/>
          <w:sz w:val="18"/>
          <w:szCs w:val="18"/>
          <w:lang w:val="es-ES_tradnl"/>
        </w:rPr>
        <w:t xml:space="preserve">plazo razonable o cuando considere que no se ha ejecutado </w:t>
      </w:r>
      <w:r>
        <w:rPr>
          <w:sz w:val="18"/>
          <w:szCs w:val="18"/>
          <w:lang w:val="es-ES_tradnl"/>
        </w:rPr>
        <w:t>integral o adecuadamente</w:t>
      </w:r>
      <w:r>
        <w:rPr>
          <w:rFonts w:cs="Times New Roman"/>
          <w:sz w:val="18"/>
          <w:szCs w:val="18"/>
          <w:lang w:val="es-ES_tradnl"/>
        </w:rPr>
        <w:t>”</w:t>
      </w:r>
      <w:r>
        <w:rPr>
          <w:sz w:val="18"/>
          <w:szCs w:val="18"/>
          <w:lang w:val="es-ES_tradnl"/>
        </w:rPr>
        <w:t>.</w:t>
      </w:r>
    </w:p>
    <w:p w14:paraId="4F67A9C7" w14:textId="77777777" w:rsidR="00591D54" w:rsidRDefault="00591D54">
      <w:pPr>
        <w:shd w:val="clear" w:color="auto" w:fill="FFFFFF"/>
        <w:spacing w:before="192" w:line="216" w:lineRule="exact"/>
        <w:ind w:right="14"/>
        <w:jc w:val="both"/>
      </w:pPr>
      <w:r>
        <w:rPr>
          <w:b/>
          <w:bCs/>
          <w:spacing w:val="-7"/>
          <w:sz w:val="18"/>
          <w:szCs w:val="18"/>
          <w:lang w:val="es-ES_tradnl"/>
        </w:rPr>
        <w:t>Naturaleza jur</w:t>
      </w:r>
      <w:r>
        <w:rPr>
          <w:rFonts w:cs="Times New Roman"/>
          <w:b/>
          <w:bCs/>
          <w:spacing w:val="-7"/>
          <w:sz w:val="18"/>
          <w:szCs w:val="18"/>
          <w:lang w:val="es-ES_tradnl"/>
        </w:rPr>
        <w:t>í</w:t>
      </w:r>
      <w:r>
        <w:rPr>
          <w:b/>
          <w:bCs/>
          <w:spacing w:val="-7"/>
          <w:sz w:val="18"/>
          <w:szCs w:val="18"/>
          <w:lang w:val="es-ES_tradnl"/>
        </w:rPr>
        <w:t>dica de la acci</w:t>
      </w:r>
      <w:r>
        <w:rPr>
          <w:rFonts w:cs="Times New Roman"/>
          <w:b/>
          <w:bCs/>
          <w:spacing w:val="-7"/>
          <w:sz w:val="18"/>
          <w:szCs w:val="18"/>
          <w:lang w:val="es-ES_tradnl"/>
        </w:rPr>
        <w:t>ó</w:t>
      </w:r>
      <w:r>
        <w:rPr>
          <w:b/>
          <w:bCs/>
          <w:spacing w:val="-7"/>
          <w:sz w:val="18"/>
          <w:szCs w:val="18"/>
          <w:lang w:val="es-ES_tradnl"/>
        </w:rPr>
        <w:t xml:space="preserve">n de incumplimiento de </w:t>
      </w:r>
      <w:r>
        <w:rPr>
          <w:b/>
          <w:bCs/>
          <w:spacing w:val="-12"/>
          <w:sz w:val="18"/>
          <w:szCs w:val="18"/>
          <w:lang w:val="es-ES_tradnl"/>
        </w:rPr>
        <w:t>sentencias y dict</w:t>
      </w:r>
      <w:r>
        <w:rPr>
          <w:rFonts w:cs="Times New Roman"/>
          <w:b/>
          <w:bCs/>
          <w:spacing w:val="-12"/>
          <w:sz w:val="18"/>
          <w:szCs w:val="18"/>
          <w:lang w:val="es-ES_tradnl"/>
        </w:rPr>
        <w:t>á</w:t>
      </w:r>
      <w:r>
        <w:rPr>
          <w:b/>
          <w:bCs/>
          <w:spacing w:val="-12"/>
          <w:sz w:val="18"/>
          <w:szCs w:val="18"/>
          <w:lang w:val="es-ES_tradnl"/>
        </w:rPr>
        <w:t>menes constitucionales</w:t>
      </w:r>
    </w:p>
    <w:p w14:paraId="4F67A9C8" w14:textId="77777777" w:rsidR="00591D54" w:rsidRDefault="00591D54">
      <w:pPr>
        <w:shd w:val="clear" w:color="auto" w:fill="FFFFFF"/>
        <w:spacing w:before="197" w:line="216" w:lineRule="exact"/>
        <w:ind w:right="14"/>
        <w:jc w:val="both"/>
      </w:pPr>
      <w:r>
        <w:rPr>
          <w:spacing w:val="-7"/>
          <w:sz w:val="18"/>
          <w:szCs w:val="18"/>
          <w:lang w:val="es-ES_tradnl"/>
        </w:rPr>
        <w:t>La acci</w:t>
      </w:r>
      <w:r>
        <w:rPr>
          <w:rFonts w:cs="Times New Roman"/>
          <w:spacing w:val="-7"/>
          <w:sz w:val="18"/>
          <w:szCs w:val="18"/>
          <w:lang w:val="es-ES_tradnl"/>
        </w:rPr>
        <w:t>ó</w:t>
      </w:r>
      <w:r>
        <w:rPr>
          <w:spacing w:val="-7"/>
          <w:sz w:val="18"/>
          <w:szCs w:val="18"/>
          <w:lang w:val="es-ES_tradnl"/>
        </w:rPr>
        <w:t>n de incumplimiento de sentencias y dict</w:t>
      </w:r>
      <w:r>
        <w:rPr>
          <w:rFonts w:cs="Times New Roman"/>
          <w:spacing w:val="-7"/>
          <w:sz w:val="18"/>
          <w:szCs w:val="18"/>
          <w:lang w:val="es-ES_tradnl"/>
        </w:rPr>
        <w:t>á</w:t>
      </w:r>
      <w:r>
        <w:rPr>
          <w:spacing w:val="-7"/>
          <w:sz w:val="18"/>
          <w:szCs w:val="18"/>
          <w:lang w:val="es-ES_tradnl"/>
        </w:rPr>
        <w:t xml:space="preserve">menes </w:t>
      </w:r>
      <w:r>
        <w:rPr>
          <w:spacing w:val="-5"/>
          <w:sz w:val="18"/>
          <w:szCs w:val="18"/>
          <w:lang w:val="es-ES_tradnl"/>
        </w:rPr>
        <w:t>constitucionales establecida como una atribuci</w:t>
      </w:r>
      <w:r>
        <w:rPr>
          <w:rFonts w:cs="Times New Roman"/>
          <w:spacing w:val="-5"/>
          <w:sz w:val="18"/>
          <w:szCs w:val="18"/>
          <w:lang w:val="es-ES_tradnl"/>
        </w:rPr>
        <w:t>ó</w:t>
      </w:r>
      <w:r>
        <w:rPr>
          <w:spacing w:val="-5"/>
          <w:sz w:val="18"/>
          <w:szCs w:val="18"/>
          <w:lang w:val="es-ES_tradnl"/>
        </w:rPr>
        <w:t>n de la Corte Constitucional en el art</w:t>
      </w:r>
      <w:r>
        <w:rPr>
          <w:rFonts w:cs="Times New Roman"/>
          <w:spacing w:val="-5"/>
          <w:sz w:val="18"/>
          <w:szCs w:val="18"/>
          <w:lang w:val="es-ES_tradnl"/>
        </w:rPr>
        <w:t>í</w:t>
      </w:r>
      <w:r>
        <w:rPr>
          <w:spacing w:val="-5"/>
          <w:sz w:val="18"/>
          <w:szCs w:val="18"/>
          <w:lang w:val="es-ES_tradnl"/>
        </w:rPr>
        <w:t xml:space="preserve">culo 436 numeral 9 que </w:t>
      </w:r>
      <w:r>
        <w:rPr>
          <w:spacing w:val="-9"/>
          <w:sz w:val="18"/>
          <w:szCs w:val="18"/>
          <w:lang w:val="es-ES_tradnl"/>
        </w:rPr>
        <w:t xml:space="preserve">establece: </w:t>
      </w:r>
      <w:r>
        <w:rPr>
          <w:rFonts w:cs="Times New Roman"/>
          <w:spacing w:val="-9"/>
          <w:sz w:val="18"/>
          <w:szCs w:val="18"/>
          <w:lang w:val="es-ES_tradnl"/>
        </w:rPr>
        <w:t>“</w:t>
      </w:r>
      <w:r>
        <w:rPr>
          <w:spacing w:val="-9"/>
          <w:sz w:val="18"/>
          <w:szCs w:val="18"/>
          <w:lang w:val="es-ES_tradnl"/>
        </w:rPr>
        <w:t>La Corte Constitucional ejercer</w:t>
      </w:r>
      <w:r>
        <w:rPr>
          <w:rFonts w:cs="Times New Roman"/>
          <w:spacing w:val="-9"/>
          <w:sz w:val="18"/>
          <w:szCs w:val="18"/>
          <w:lang w:val="es-ES_tradnl"/>
        </w:rPr>
        <w:t>á</w:t>
      </w:r>
      <w:r>
        <w:rPr>
          <w:spacing w:val="-9"/>
          <w:sz w:val="18"/>
          <w:szCs w:val="18"/>
          <w:lang w:val="es-ES_tradnl"/>
        </w:rPr>
        <w:t>, adem</w:t>
      </w:r>
      <w:r>
        <w:rPr>
          <w:rFonts w:cs="Times New Roman"/>
          <w:spacing w:val="-9"/>
          <w:sz w:val="18"/>
          <w:szCs w:val="18"/>
          <w:lang w:val="es-ES_tradnl"/>
        </w:rPr>
        <w:t>á</w:t>
      </w:r>
      <w:r>
        <w:rPr>
          <w:spacing w:val="-9"/>
          <w:sz w:val="18"/>
          <w:szCs w:val="18"/>
          <w:lang w:val="es-ES_tradnl"/>
        </w:rPr>
        <w:t xml:space="preserve">s de las </w:t>
      </w:r>
      <w:r>
        <w:rPr>
          <w:spacing w:val="-5"/>
          <w:sz w:val="18"/>
          <w:szCs w:val="18"/>
          <w:lang w:val="es-ES_tradnl"/>
        </w:rPr>
        <w:t>que le confiera la ley, las siguientes atribuciones: (</w:t>
      </w:r>
      <w:r>
        <w:rPr>
          <w:rFonts w:cs="Times New Roman"/>
          <w:spacing w:val="-5"/>
          <w:sz w:val="18"/>
          <w:szCs w:val="18"/>
          <w:lang w:val="es-ES_tradnl"/>
        </w:rPr>
        <w:t>…</w:t>
      </w:r>
      <w:r>
        <w:rPr>
          <w:spacing w:val="-5"/>
          <w:sz w:val="18"/>
          <w:szCs w:val="18"/>
          <w:lang w:val="es-ES_tradnl"/>
        </w:rPr>
        <w:t xml:space="preserve">) 9. Conocer y sancionar el incumplimiento de las sentencias </w:t>
      </w:r>
      <w:r>
        <w:rPr>
          <w:spacing w:val="-6"/>
          <w:sz w:val="18"/>
          <w:szCs w:val="18"/>
          <w:lang w:val="es-ES_tradnl"/>
        </w:rPr>
        <w:t>y dict</w:t>
      </w:r>
      <w:r>
        <w:rPr>
          <w:rFonts w:cs="Times New Roman"/>
          <w:spacing w:val="-6"/>
          <w:sz w:val="18"/>
          <w:szCs w:val="18"/>
          <w:lang w:val="es-ES_tradnl"/>
        </w:rPr>
        <w:t>á</w:t>
      </w:r>
      <w:r>
        <w:rPr>
          <w:spacing w:val="-6"/>
          <w:sz w:val="18"/>
          <w:szCs w:val="18"/>
          <w:lang w:val="es-ES_tradnl"/>
        </w:rPr>
        <w:t>menes constitucionales</w:t>
      </w:r>
      <w:r>
        <w:rPr>
          <w:rFonts w:cs="Times New Roman"/>
          <w:spacing w:val="-6"/>
          <w:sz w:val="18"/>
          <w:szCs w:val="18"/>
          <w:lang w:val="es-ES_tradnl"/>
        </w:rPr>
        <w:t>”</w:t>
      </w:r>
      <w:r>
        <w:rPr>
          <w:spacing w:val="-6"/>
          <w:sz w:val="18"/>
          <w:szCs w:val="18"/>
          <w:lang w:val="es-ES_tradnl"/>
        </w:rPr>
        <w:t xml:space="preserve"> fue creada con el objetivo </w:t>
      </w:r>
      <w:r>
        <w:rPr>
          <w:spacing w:val="-7"/>
          <w:sz w:val="18"/>
          <w:szCs w:val="18"/>
          <w:lang w:val="es-ES_tradnl"/>
        </w:rPr>
        <w:t>de garantizar que las sentencias y dict</w:t>
      </w:r>
      <w:r>
        <w:rPr>
          <w:rFonts w:cs="Times New Roman"/>
          <w:spacing w:val="-7"/>
          <w:sz w:val="18"/>
          <w:szCs w:val="18"/>
          <w:lang w:val="es-ES_tradnl"/>
        </w:rPr>
        <w:t>á</w:t>
      </w:r>
      <w:r>
        <w:rPr>
          <w:spacing w:val="-7"/>
          <w:sz w:val="18"/>
          <w:szCs w:val="18"/>
          <w:lang w:val="es-ES_tradnl"/>
        </w:rPr>
        <w:t xml:space="preserve">menes emitidos </w:t>
      </w:r>
      <w:r>
        <w:rPr>
          <w:spacing w:val="-8"/>
          <w:sz w:val="18"/>
          <w:szCs w:val="18"/>
          <w:lang w:val="es-ES_tradnl"/>
        </w:rPr>
        <w:t xml:space="preserve">dentro de los procesos constitucionales sean cumplidas </w:t>
      </w:r>
      <w:r>
        <w:rPr>
          <w:sz w:val="18"/>
          <w:szCs w:val="18"/>
          <w:lang w:val="es-ES_tradnl"/>
        </w:rPr>
        <w:t>efectivamente.</w:t>
      </w:r>
    </w:p>
    <w:p w14:paraId="4F67A9C9" w14:textId="77777777" w:rsidR="00591D54" w:rsidRDefault="00591D54">
      <w:pPr>
        <w:shd w:val="clear" w:color="auto" w:fill="FFFFFF"/>
        <w:spacing w:before="197" w:line="216" w:lineRule="exact"/>
        <w:ind w:right="10"/>
        <w:jc w:val="both"/>
      </w:pPr>
      <w:r>
        <w:rPr>
          <w:spacing w:val="-6"/>
          <w:sz w:val="18"/>
          <w:szCs w:val="18"/>
          <w:lang w:val="es-ES_tradnl"/>
        </w:rPr>
        <w:t>En tal virtud, esta garant</w:t>
      </w:r>
      <w:r>
        <w:rPr>
          <w:rFonts w:cs="Times New Roman"/>
          <w:spacing w:val="-6"/>
          <w:sz w:val="18"/>
          <w:szCs w:val="18"/>
          <w:lang w:val="es-ES_tradnl"/>
        </w:rPr>
        <w:t>í</w:t>
      </w:r>
      <w:r>
        <w:rPr>
          <w:spacing w:val="-6"/>
          <w:sz w:val="18"/>
          <w:szCs w:val="18"/>
          <w:lang w:val="es-ES_tradnl"/>
        </w:rPr>
        <w:t>a jurisdiccional otorga al m</w:t>
      </w:r>
      <w:r>
        <w:rPr>
          <w:rFonts w:cs="Times New Roman"/>
          <w:spacing w:val="-6"/>
          <w:sz w:val="18"/>
          <w:szCs w:val="18"/>
          <w:lang w:val="es-ES_tradnl"/>
        </w:rPr>
        <w:t>á</w:t>
      </w:r>
      <w:r>
        <w:rPr>
          <w:spacing w:val="-6"/>
          <w:sz w:val="18"/>
          <w:szCs w:val="18"/>
          <w:lang w:val="es-ES_tradnl"/>
        </w:rPr>
        <w:t xml:space="preserve">ximo </w:t>
      </w:r>
      <w:r>
        <w:rPr>
          <w:rFonts w:cs="Times New Roman"/>
          <w:spacing w:val="-3"/>
          <w:sz w:val="18"/>
          <w:szCs w:val="18"/>
          <w:lang w:val="es-ES_tradnl"/>
        </w:rPr>
        <w:t>ó</w:t>
      </w:r>
      <w:r>
        <w:rPr>
          <w:spacing w:val="-3"/>
          <w:sz w:val="18"/>
          <w:szCs w:val="18"/>
          <w:lang w:val="es-ES_tradnl"/>
        </w:rPr>
        <w:t>rgano de interpretaci</w:t>
      </w:r>
      <w:r>
        <w:rPr>
          <w:rFonts w:cs="Times New Roman"/>
          <w:spacing w:val="-3"/>
          <w:sz w:val="18"/>
          <w:szCs w:val="18"/>
          <w:lang w:val="es-ES_tradnl"/>
        </w:rPr>
        <w:t>ó</w:t>
      </w:r>
      <w:r>
        <w:rPr>
          <w:spacing w:val="-3"/>
          <w:sz w:val="18"/>
          <w:szCs w:val="18"/>
          <w:lang w:val="es-ES_tradnl"/>
        </w:rPr>
        <w:t>n, control y administraci</w:t>
      </w:r>
      <w:r>
        <w:rPr>
          <w:rFonts w:cs="Times New Roman"/>
          <w:spacing w:val="-3"/>
          <w:sz w:val="18"/>
          <w:szCs w:val="18"/>
          <w:lang w:val="es-ES_tradnl"/>
        </w:rPr>
        <w:t>ó</w:t>
      </w:r>
      <w:r>
        <w:rPr>
          <w:spacing w:val="-3"/>
          <w:sz w:val="18"/>
          <w:szCs w:val="18"/>
          <w:lang w:val="es-ES_tradnl"/>
        </w:rPr>
        <w:t xml:space="preserve">n de </w:t>
      </w:r>
      <w:r>
        <w:rPr>
          <w:spacing w:val="-4"/>
          <w:sz w:val="18"/>
          <w:szCs w:val="18"/>
          <w:lang w:val="es-ES_tradnl"/>
        </w:rPr>
        <w:t xml:space="preserve">justicia constitucional la facultad de conocer y sancionar </w:t>
      </w:r>
      <w:r>
        <w:rPr>
          <w:spacing w:val="-8"/>
          <w:sz w:val="18"/>
          <w:szCs w:val="18"/>
          <w:lang w:val="es-ES_tradnl"/>
        </w:rPr>
        <w:t xml:space="preserve">el incumplimiento de las sentencias constitucionales con el </w:t>
      </w:r>
      <w:r>
        <w:rPr>
          <w:spacing w:val="-7"/>
          <w:sz w:val="18"/>
          <w:szCs w:val="18"/>
          <w:lang w:val="es-ES_tradnl"/>
        </w:rPr>
        <w:t xml:space="preserve">objetivo de que los derechos que hayan sido vulnerados, </w:t>
      </w:r>
      <w:r>
        <w:rPr>
          <w:spacing w:val="-11"/>
          <w:sz w:val="18"/>
          <w:szCs w:val="18"/>
          <w:lang w:val="es-ES_tradnl"/>
        </w:rPr>
        <w:t xml:space="preserve">sean reparados integralmente y que de esta forma se cumpla </w:t>
      </w:r>
      <w:r>
        <w:rPr>
          <w:sz w:val="18"/>
          <w:szCs w:val="18"/>
          <w:lang w:val="es-ES_tradnl"/>
        </w:rPr>
        <w:t>con el objetivo de dichas garant</w:t>
      </w:r>
      <w:r>
        <w:rPr>
          <w:rFonts w:cs="Times New Roman"/>
          <w:sz w:val="18"/>
          <w:szCs w:val="18"/>
          <w:lang w:val="es-ES_tradnl"/>
        </w:rPr>
        <w:t>í</w:t>
      </w:r>
      <w:r>
        <w:rPr>
          <w:sz w:val="18"/>
          <w:szCs w:val="18"/>
          <w:lang w:val="es-ES_tradnl"/>
        </w:rPr>
        <w:t>as.</w:t>
      </w:r>
    </w:p>
    <w:p w14:paraId="4F67A9CA" w14:textId="77777777" w:rsidR="00591D54" w:rsidRDefault="00591D54">
      <w:pPr>
        <w:shd w:val="clear" w:color="auto" w:fill="FFFFFF"/>
        <w:spacing w:before="197" w:line="216" w:lineRule="exact"/>
        <w:ind w:right="10"/>
        <w:jc w:val="both"/>
      </w:pPr>
      <w:r>
        <w:rPr>
          <w:spacing w:val="-8"/>
          <w:sz w:val="18"/>
          <w:szCs w:val="18"/>
          <w:lang w:val="es-ES_tradnl"/>
        </w:rPr>
        <w:t xml:space="preserve">De esta forma, los derechos constitucionales cuentan con </w:t>
      </w:r>
      <w:r>
        <w:rPr>
          <w:spacing w:val="-6"/>
          <w:sz w:val="18"/>
          <w:szCs w:val="18"/>
          <w:lang w:val="es-ES_tradnl"/>
        </w:rPr>
        <w:t>una protecci</w:t>
      </w:r>
      <w:r>
        <w:rPr>
          <w:rFonts w:cs="Times New Roman"/>
          <w:spacing w:val="-6"/>
          <w:sz w:val="18"/>
          <w:szCs w:val="18"/>
          <w:lang w:val="es-ES_tradnl"/>
        </w:rPr>
        <w:t>ó</w:t>
      </w:r>
      <w:r>
        <w:rPr>
          <w:spacing w:val="-6"/>
          <w:sz w:val="18"/>
          <w:szCs w:val="18"/>
          <w:lang w:val="es-ES_tradnl"/>
        </w:rPr>
        <w:t>n integral, incluso despu</w:t>
      </w:r>
      <w:r>
        <w:rPr>
          <w:rFonts w:cs="Times New Roman"/>
          <w:spacing w:val="-6"/>
          <w:sz w:val="18"/>
          <w:szCs w:val="18"/>
          <w:lang w:val="es-ES_tradnl"/>
        </w:rPr>
        <w:t>é</w:t>
      </w:r>
      <w:r>
        <w:rPr>
          <w:spacing w:val="-6"/>
          <w:sz w:val="18"/>
          <w:szCs w:val="18"/>
          <w:lang w:val="es-ES_tradnl"/>
        </w:rPr>
        <w:t>s de la emisi</w:t>
      </w:r>
      <w:r>
        <w:rPr>
          <w:rFonts w:cs="Times New Roman"/>
          <w:spacing w:val="-6"/>
          <w:sz w:val="18"/>
          <w:szCs w:val="18"/>
          <w:lang w:val="es-ES_tradnl"/>
        </w:rPr>
        <w:t>ó</w:t>
      </w:r>
      <w:r>
        <w:rPr>
          <w:spacing w:val="-6"/>
          <w:sz w:val="18"/>
          <w:szCs w:val="18"/>
          <w:lang w:val="es-ES_tradnl"/>
        </w:rPr>
        <w:t xml:space="preserve">n de </w:t>
      </w:r>
      <w:r>
        <w:rPr>
          <w:spacing w:val="-9"/>
          <w:sz w:val="18"/>
          <w:szCs w:val="18"/>
          <w:lang w:val="es-ES_tradnl"/>
        </w:rPr>
        <w:t>la decisi</w:t>
      </w:r>
      <w:r>
        <w:rPr>
          <w:rFonts w:cs="Times New Roman"/>
          <w:spacing w:val="-9"/>
          <w:sz w:val="18"/>
          <w:szCs w:val="18"/>
          <w:lang w:val="es-ES_tradnl"/>
        </w:rPr>
        <w:t>ó</w:t>
      </w:r>
      <w:r>
        <w:rPr>
          <w:spacing w:val="-9"/>
          <w:sz w:val="18"/>
          <w:szCs w:val="18"/>
          <w:lang w:val="es-ES_tradnl"/>
        </w:rPr>
        <w:t xml:space="preserve">n judicial, protegiendo que dichas decisiones sean </w:t>
      </w:r>
      <w:r>
        <w:rPr>
          <w:spacing w:val="-7"/>
          <w:sz w:val="18"/>
          <w:szCs w:val="18"/>
          <w:lang w:val="es-ES_tradnl"/>
        </w:rPr>
        <w:t xml:space="preserve">ejecutadas de forma oportuna y efectiva por parte de los </w:t>
      </w:r>
      <w:r>
        <w:rPr>
          <w:rFonts w:cs="Times New Roman"/>
          <w:sz w:val="18"/>
          <w:szCs w:val="18"/>
          <w:lang w:val="es-ES_tradnl"/>
        </w:rPr>
        <w:t>ó</w:t>
      </w:r>
      <w:r>
        <w:rPr>
          <w:sz w:val="18"/>
          <w:szCs w:val="18"/>
          <w:lang w:val="es-ES_tradnl"/>
        </w:rPr>
        <w:t>rganos encargados.</w:t>
      </w:r>
    </w:p>
    <w:p w14:paraId="4F67A9CB" w14:textId="77777777" w:rsidR="00591D54" w:rsidRDefault="00591D54">
      <w:pPr>
        <w:shd w:val="clear" w:color="auto" w:fill="FFFFFF"/>
        <w:spacing w:before="197" w:line="216" w:lineRule="exact"/>
        <w:ind w:right="10"/>
        <w:jc w:val="both"/>
      </w:pPr>
      <w:r>
        <w:rPr>
          <w:spacing w:val="-6"/>
          <w:sz w:val="18"/>
          <w:szCs w:val="18"/>
          <w:lang w:val="es-ES_tradnl"/>
        </w:rPr>
        <w:t>As</w:t>
      </w:r>
      <w:r>
        <w:rPr>
          <w:rFonts w:cs="Times New Roman"/>
          <w:spacing w:val="-6"/>
          <w:sz w:val="18"/>
          <w:szCs w:val="18"/>
          <w:lang w:val="es-ES_tradnl"/>
        </w:rPr>
        <w:t>í</w:t>
      </w:r>
      <w:r>
        <w:rPr>
          <w:spacing w:val="-6"/>
          <w:sz w:val="18"/>
          <w:szCs w:val="18"/>
          <w:lang w:val="es-ES_tradnl"/>
        </w:rPr>
        <w:t>, esta acci</w:t>
      </w:r>
      <w:r>
        <w:rPr>
          <w:rFonts w:cs="Times New Roman"/>
          <w:spacing w:val="-6"/>
          <w:sz w:val="18"/>
          <w:szCs w:val="18"/>
          <w:lang w:val="es-ES_tradnl"/>
        </w:rPr>
        <w:t>ó</w:t>
      </w:r>
      <w:r>
        <w:rPr>
          <w:spacing w:val="-6"/>
          <w:sz w:val="18"/>
          <w:szCs w:val="18"/>
          <w:lang w:val="es-ES_tradnl"/>
        </w:rPr>
        <w:t>n constitucional cumple una doble funci</w:t>
      </w:r>
      <w:r>
        <w:rPr>
          <w:rFonts w:cs="Times New Roman"/>
          <w:spacing w:val="-6"/>
          <w:sz w:val="18"/>
          <w:szCs w:val="18"/>
          <w:lang w:val="es-ES_tradnl"/>
        </w:rPr>
        <w:t>ó</w:t>
      </w:r>
      <w:r>
        <w:rPr>
          <w:spacing w:val="-6"/>
          <w:sz w:val="18"/>
          <w:szCs w:val="18"/>
          <w:lang w:val="es-ES_tradnl"/>
        </w:rPr>
        <w:t xml:space="preserve">n: </w:t>
      </w:r>
      <w:r>
        <w:rPr>
          <w:spacing w:val="-3"/>
          <w:sz w:val="18"/>
          <w:szCs w:val="18"/>
          <w:lang w:val="es-ES_tradnl"/>
        </w:rPr>
        <w:t xml:space="preserve">por una parte, garantiza un efectivo recurso para la </w:t>
      </w:r>
      <w:r>
        <w:rPr>
          <w:spacing w:val="-6"/>
          <w:sz w:val="18"/>
          <w:szCs w:val="18"/>
          <w:lang w:val="es-ES_tradnl"/>
        </w:rPr>
        <w:t>protecci</w:t>
      </w:r>
      <w:r>
        <w:rPr>
          <w:rFonts w:cs="Times New Roman"/>
          <w:spacing w:val="-6"/>
          <w:sz w:val="18"/>
          <w:szCs w:val="18"/>
          <w:lang w:val="es-ES_tradnl"/>
        </w:rPr>
        <w:t>ó</w:t>
      </w:r>
      <w:r>
        <w:rPr>
          <w:spacing w:val="-6"/>
          <w:sz w:val="18"/>
          <w:szCs w:val="18"/>
          <w:lang w:val="es-ES_tradnl"/>
        </w:rPr>
        <w:t xml:space="preserve">n de derechos constitucionales por medio de la </w:t>
      </w:r>
      <w:r>
        <w:rPr>
          <w:spacing w:val="-5"/>
          <w:sz w:val="18"/>
          <w:szCs w:val="18"/>
          <w:lang w:val="es-ES_tradnl"/>
        </w:rPr>
        <w:t>ejecuci</w:t>
      </w:r>
      <w:r>
        <w:rPr>
          <w:rFonts w:cs="Times New Roman"/>
          <w:spacing w:val="-5"/>
          <w:sz w:val="18"/>
          <w:szCs w:val="18"/>
          <w:lang w:val="es-ES_tradnl"/>
        </w:rPr>
        <w:t>ó</w:t>
      </w:r>
      <w:r>
        <w:rPr>
          <w:spacing w:val="-5"/>
          <w:sz w:val="18"/>
          <w:szCs w:val="18"/>
          <w:lang w:val="es-ES_tradnl"/>
        </w:rPr>
        <w:t>n de la sentencia y por otra parte, da primac</w:t>
      </w:r>
      <w:r>
        <w:rPr>
          <w:rFonts w:cs="Times New Roman"/>
          <w:spacing w:val="-5"/>
          <w:sz w:val="18"/>
          <w:szCs w:val="18"/>
          <w:lang w:val="es-ES_tradnl"/>
        </w:rPr>
        <w:t>í</w:t>
      </w:r>
      <w:r>
        <w:rPr>
          <w:spacing w:val="-5"/>
          <w:sz w:val="18"/>
          <w:szCs w:val="18"/>
          <w:lang w:val="es-ES_tradnl"/>
        </w:rPr>
        <w:t xml:space="preserve">a a </w:t>
      </w:r>
      <w:r>
        <w:rPr>
          <w:spacing w:val="-8"/>
          <w:sz w:val="18"/>
          <w:szCs w:val="18"/>
          <w:lang w:val="es-ES_tradnl"/>
        </w:rPr>
        <w:t>las normas y derechos contenidos en la Constituci</w:t>
      </w:r>
      <w:r>
        <w:rPr>
          <w:rFonts w:cs="Times New Roman"/>
          <w:spacing w:val="-8"/>
          <w:sz w:val="18"/>
          <w:szCs w:val="18"/>
          <w:lang w:val="es-ES_tradnl"/>
        </w:rPr>
        <w:t>ó</w:t>
      </w:r>
      <w:r>
        <w:rPr>
          <w:spacing w:val="-8"/>
          <w:sz w:val="18"/>
          <w:szCs w:val="18"/>
          <w:lang w:val="es-ES_tradnl"/>
        </w:rPr>
        <w:t xml:space="preserve">n de la </w:t>
      </w:r>
      <w:r>
        <w:rPr>
          <w:sz w:val="18"/>
          <w:szCs w:val="18"/>
          <w:lang w:val="es-ES_tradnl"/>
        </w:rPr>
        <w:t>Rep</w:t>
      </w:r>
      <w:r>
        <w:rPr>
          <w:rFonts w:cs="Times New Roman"/>
          <w:sz w:val="18"/>
          <w:szCs w:val="18"/>
          <w:lang w:val="es-ES_tradnl"/>
        </w:rPr>
        <w:t>ú</w:t>
      </w:r>
      <w:r>
        <w:rPr>
          <w:sz w:val="18"/>
          <w:szCs w:val="18"/>
          <w:lang w:val="es-ES_tradnl"/>
        </w:rPr>
        <w:t>blica.</w:t>
      </w:r>
    </w:p>
    <w:p w14:paraId="4F67A9CC" w14:textId="77777777" w:rsidR="00591D54" w:rsidRDefault="00591D54">
      <w:pPr>
        <w:shd w:val="clear" w:color="auto" w:fill="FFFFFF"/>
        <w:spacing w:before="192"/>
      </w:pPr>
      <w:r>
        <w:rPr>
          <w:b/>
          <w:bCs/>
          <w:spacing w:val="-7"/>
          <w:sz w:val="18"/>
          <w:szCs w:val="18"/>
          <w:lang w:val="es-ES_tradnl"/>
        </w:rPr>
        <w:t>Determinaci</w:t>
      </w:r>
      <w:r>
        <w:rPr>
          <w:rFonts w:cs="Times New Roman"/>
          <w:b/>
          <w:bCs/>
          <w:spacing w:val="-7"/>
          <w:sz w:val="18"/>
          <w:szCs w:val="18"/>
          <w:lang w:val="es-ES_tradnl"/>
        </w:rPr>
        <w:t>ó</w:t>
      </w:r>
      <w:r>
        <w:rPr>
          <w:b/>
          <w:bCs/>
          <w:spacing w:val="-7"/>
          <w:sz w:val="18"/>
          <w:szCs w:val="18"/>
          <w:lang w:val="es-ES_tradnl"/>
        </w:rPr>
        <w:t>n del problema jur</w:t>
      </w:r>
      <w:r>
        <w:rPr>
          <w:rFonts w:cs="Times New Roman"/>
          <w:b/>
          <w:bCs/>
          <w:spacing w:val="-7"/>
          <w:sz w:val="18"/>
          <w:szCs w:val="18"/>
          <w:lang w:val="es-ES_tradnl"/>
        </w:rPr>
        <w:t>í</w:t>
      </w:r>
      <w:r>
        <w:rPr>
          <w:b/>
          <w:bCs/>
          <w:spacing w:val="-7"/>
          <w:sz w:val="18"/>
          <w:szCs w:val="18"/>
          <w:lang w:val="es-ES_tradnl"/>
        </w:rPr>
        <w:t>dico</w:t>
      </w:r>
    </w:p>
    <w:p w14:paraId="4F67A9CD" w14:textId="77777777" w:rsidR="00591D54" w:rsidRDefault="00591D54">
      <w:pPr>
        <w:shd w:val="clear" w:color="auto" w:fill="FFFFFF"/>
        <w:spacing w:before="192" w:line="216" w:lineRule="exact"/>
        <w:ind w:right="10"/>
        <w:jc w:val="both"/>
      </w:pPr>
      <w:r>
        <w:rPr>
          <w:spacing w:val="-6"/>
          <w:sz w:val="18"/>
          <w:szCs w:val="18"/>
          <w:lang w:val="es-ES_tradnl"/>
        </w:rPr>
        <w:t>Para decidir el fondo de la cuesti</w:t>
      </w:r>
      <w:r>
        <w:rPr>
          <w:rFonts w:cs="Times New Roman"/>
          <w:spacing w:val="-6"/>
          <w:sz w:val="18"/>
          <w:szCs w:val="18"/>
          <w:lang w:val="es-ES_tradnl"/>
        </w:rPr>
        <w:t>ó</w:t>
      </w:r>
      <w:r>
        <w:rPr>
          <w:spacing w:val="-6"/>
          <w:sz w:val="18"/>
          <w:szCs w:val="18"/>
          <w:lang w:val="es-ES_tradnl"/>
        </w:rPr>
        <w:t xml:space="preserve">n y determinar si la </w:t>
      </w:r>
      <w:r>
        <w:rPr>
          <w:spacing w:val="-5"/>
          <w:sz w:val="18"/>
          <w:szCs w:val="18"/>
          <w:lang w:val="es-ES_tradnl"/>
        </w:rPr>
        <w:t>instituci</w:t>
      </w:r>
      <w:r>
        <w:rPr>
          <w:rFonts w:cs="Times New Roman"/>
          <w:spacing w:val="-5"/>
          <w:sz w:val="18"/>
          <w:szCs w:val="18"/>
          <w:lang w:val="es-ES_tradnl"/>
        </w:rPr>
        <w:t>ó</w:t>
      </w:r>
      <w:r>
        <w:rPr>
          <w:spacing w:val="-5"/>
          <w:sz w:val="18"/>
          <w:szCs w:val="18"/>
          <w:lang w:val="es-ES_tradnl"/>
        </w:rPr>
        <w:t xml:space="preserve">n accionada incurre en incumplimiento, el Pleno </w:t>
      </w:r>
      <w:r>
        <w:rPr>
          <w:spacing w:val="-8"/>
          <w:sz w:val="18"/>
          <w:szCs w:val="18"/>
          <w:lang w:val="es-ES_tradnl"/>
        </w:rPr>
        <w:t xml:space="preserve">de la Corte Constitucional considera necesario sistematizar </w:t>
      </w:r>
      <w:r>
        <w:rPr>
          <w:spacing w:val="-9"/>
          <w:sz w:val="18"/>
          <w:szCs w:val="18"/>
          <w:lang w:val="es-ES_tradnl"/>
        </w:rPr>
        <w:t>los argumentos planteados en el caso a partir de la soluci</w:t>
      </w:r>
      <w:r>
        <w:rPr>
          <w:rFonts w:cs="Times New Roman"/>
          <w:spacing w:val="-9"/>
          <w:sz w:val="18"/>
          <w:szCs w:val="18"/>
          <w:lang w:val="es-ES_tradnl"/>
        </w:rPr>
        <w:t>ó</w:t>
      </w:r>
      <w:r>
        <w:rPr>
          <w:spacing w:val="-9"/>
          <w:sz w:val="18"/>
          <w:szCs w:val="18"/>
          <w:lang w:val="es-ES_tradnl"/>
        </w:rPr>
        <w:t xml:space="preserve">n </w:t>
      </w:r>
      <w:r>
        <w:rPr>
          <w:sz w:val="18"/>
          <w:szCs w:val="18"/>
          <w:lang w:val="es-ES_tradnl"/>
        </w:rPr>
        <w:t>del siguiente problema jur</w:t>
      </w:r>
      <w:r>
        <w:rPr>
          <w:rFonts w:cs="Times New Roman"/>
          <w:sz w:val="18"/>
          <w:szCs w:val="18"/>
          <w:lang w:val="es-ES_tradnl"/>
        </w:rPr>
        <w:t>í</w:t>
      </w:r>
      <w:r>
        <w:rPr>
          <w:sz w:val="18"/>
          <w:szCs w:val="18"/>
          <w:lang w:val="es-ES_tradnl"/>
        </w:rPr>
        <w:t>dico:</w:t>
      </w:r>
    </w:p>
    <w:p w14:paraId="4F67A9CE" w14:textId="77777777" w:rsidR="00591D54" w:rsidRDefault="00591D54">
      <w:pPr>
        <w:shd w:val="clear" w:color="auto" w:fill="FFFFFF"/>
        <w:spacing w:before="192" w:line="216" w:lineRule="exact"/>
        <w:jc w:val="both"/>
      </w:pPr>
      <w:r>
        <w:rPr>
          <w:rFonts w:cs="Times New Roman"/>
          <w:spacing w:val="-5"/>
          <w:sz w:val="18"/>
          <w:szCs w:val="18"/>
          <w:lang w:val="es-ES_tradnl"/>
        </w:rPr>
        <w:t>¿</w:t>
      </w:r>
      <w:r>
        <w:rPr>
          <w:spacing w:val="-5"/>
          <w:sz w:val="18"/>
          <w:szCs w:val="18"/>
          <w:lang w:val="es-ES_tradnl"/>
        </w:rPr>
        <w:t>Existe incumplimiento de la Resoluci</w:t>
      </w:r>
      <w:r>
        <w:rPr>
          <w:rFonts w:cs="Times New Roman"/>
          <w:spacing w:val="-5"/>
          <w:sz w:val="18"/>
          <w:szCs w:val="18"/>
          <w:lang w:val="es-ES_tradnl"/>
        </w:rPr>
        <w:t>ó</w:t>
      </w:r>
      <w:r>
        <w:rPr>
          <w:spacing w:val="-5"/>
          <w:sz w:val="18"/>
          <w:szCs w:val="18"/>
          <w:lang w:val="es-ES_tradnl"/>
        </w:rPr>
        <w:t>n N.</w:t>
      </w:r>
      <w:r>
        <w:rPr>
          <w:rFonts w:cs="Times New Roman"/>
          <w:spacing w:val="-5"/>
          <w:sz w:val="18"/>
          <w:szCs w:val="18"/>
          <w:lang w:val="es-ES_tradnl"/>
        </w:rPr>
        <w:t>º</w:t>
      </w:r>
      <w:r>
        <w:rPr>
          <w:spacing w:val="-5"/>
          <w:sz w:val="18"/>
          <w:szCs w:val="18"/>
          <w:lang w:val="es-ES_tradnl"/>
        </w:rPr>
        <w:t xml:space="preserve"> 0959-08-RA </w:t>
      </w:r>
      <w:r>
        <w:rPr>
          <w:spacing w:val="-8"/>
          <w:sz w:val="18"/>
          <w:szCs w:val="18"/>
          <w:lang w:val="es-ES_tradnl"/>
        </w:rPr>
        <w:t xml:space="preserve">dictada por la Primera Sala de la Corte Constitucional, para </w:t>
      </w:r>
      <w:r>
        <w:rPr>
          <w:sz w:val="18"/>
          <w:szCs w:val="18"/>
          <w:lang w:val="es-ES_tradnl"/>
        </w:rPr>
        <w:t>el per</w:t>
      </w:r>
      <w:r>
        <w:rPr>
          <w:rFonts w:cs="Times New Roman"/>
          <w:sz w:val="18"/>
          <w:szCs w:val="18"/>
          <w:lang w:val="es-ES_tradnl"/>
        </w:rPr>
        <w:t>í</w:t>
      </w:r>
      <w:r>
        <w:rPr>
          <w:sz w:val="18"/>
          <w:szCs w:val="18"/>
          <w:lang w:val="es-ES_tradnl"/>
        </w:rPr>
        <w:t>odo de transici</w:t>
      </w:r>
      <w:r>
        <w:rPr>
          <w:rFonts w:cs="Times New Roman"/>
          <w:sz w:val="18"/>
          <w:szCs w:val="18"/>
          <w:lang w:val="es-ES_tradnl"/>
        </w:rPr>
        <w:t>ó</w:t>
      </w:r>
      <w:r>
        <w:rPr>
          <w:sz w:val="18"/>
          <w:szCs w:val="18"/>
          <w:lang w:val="es-ES_tradnl"/>
        </w:rPr>
        <w:t>n?</w:t>
      </w:r>
    </w:p>
    <w:p w14:paraId="4F67A9CF" w14:textId="77777777" w:rsidR="00591D54" w:rsidRDefault="00591D54">
      <w:pPr>
        <w:shd w:val="clear" w:color="auto" w:fill="FFFFFF"/>
        <w:spacing w:before="5"/>
      </w:pPr>
      <w:r>
        <w:br w:type="column"/>
      </w:r>
      <w:r>
        <w:rPr>
          <w:b/>
          <w:bCs/>
          <w:spacing w:val="-8"/>
          <w:sz w:val="18"/>
          <w:szCs w:val="18"/>
          <w:lang w:val="es-ES_tradnl"/>
        </w:rPr>
        <w:t>Resoluci</w:t>
      </w:r>
      <w:r>
        <w:rPr>
          <w:rFonts w:cs="Times New Roman"/>
          <w:b/>
          <w:bCs/>
          <w:spacing w:val="-8"/>
          <w:sz w:val="18"/>
          <w:szCs w:val="18"/>
          <w:lang w:val="es-ES_tradnl"/>
        </w:rPr>
        <w:t>ó</w:t>
      </w:r>
      <w:r>
        <w:rPr>
          <w:b/>
          <w:bCs/>
          <w:spacing w:val="-8"/>
          <w:sz w:val="18"/>
          <w:szCs w:val="18"/>
          <w:lang w:val="es-ES_tradnl"/>
        </w:rPr>
        <w:t>n del problema jur</w:t>
      </w:r>
      <w:r>
        <w:rPr>
          <w:rFonts w:cs="Times New Roman"/>
          <w:b/>
          <w:bCs/>
          <w:spacing w:val="-8"/>
          <w:sz w:val="18"/>
          <w:szCs w:val="18"/>
          <w:lang w:val="es-ES_tradnl"/>
        </w:rPr>
        <w:t>í</w:t>
      </w:r>
      <w:r>
        <w:rPr>
          <w:b/>
          <w:bCs/>
          <w:spacing w:val="-8"/>
          <w:sz w:val="18"/>
          <w:szCs w:val="18"/>
          <w:lang w:val="es-ES_tradnl"/>
        </w:rPr>
        <w:t>dico</w:t>
      </w:r>
    </w:p>
    <w:p w14:paraId="4F67A9D0" w14:textId="77777777" w:rsidR="00591D54" w:rsidRDefault="00591D54">
      <w:pPr>
        <w:shd w:val="clear" w:color="auto" w:fill="FFFFFF"/>
        <w:spacing w:before="197" w:line="221" w:lineRule="exact"/>
        <w:jc w:val="both"/>
      </w:pPr>
      <w:r>
        <w:rPr>
          <w:rFonts w:cs="Times New Roman"/>
          <w:b/>
          <w:bCs/>
          <w:spacing w:val="-10"/>
          <w:sz w:val="18"/>
          <w:szCs w:val="18"/>
          <w:lang w:val="es-ES_tradnl"/>
        </w:rPr>
        <w:t>¿</w:t>
      </w:r>
      <w:r>
        <w:rPr>
          <w:b/>
          <w:bCs/>
          <w:spacing w:val="-10"/>
          <w:sz w:val="18"/>
          <w:szCs w:val="18"/>
          <w:lang w:val="es-ES_tradnl"/>
        </w:rPr>
        <w:t>Existe incumplimiento de la Resoluci</w:t>
      </w:r>
      <w:r>
        <w:rPr>
          <w:rFonts w:cs="Times New Roman"/>
          <w:b/>
          <w:bCs/>
          <w:spacing w:val="-10"/>
          <w:sz w:val="18"/>
          <w:szCs w:val="18"/>
          <w:lang w:val="es-ES_tradnl"/>
        </w:rPr>
        <w:t>ó</w:t>
      </w:r>
      <w:r>
        <w:rPr>
          <w:b/>
          <w:bCs/>
          <w:spacing w:val="-10"/>
          <w:sz w:val="18"/>
          <w:szCs w:val="18"/>
          <w:lang w:val="es-ES_tradnl"/>
        </w:rPr>
        <w:t>n N.</w:t>
      </w:r>
      <w:r>
        <w:rPr>
          <w:rFonts w:cs="Times New Roman"/>
          <w:b/>
          <w:bCs/>
          <w:spacing w:val="-10"/>
          <w:sz w:val="18"/>
          <w:szCs w:val="18"/>
          <w:lang w:val="es-ES_tradnl"/>
        </w:rPr>
        <w:t>º</w:t>
      </w:r>
      <w:r>
        <w:rPr>
          <w:b/>
          <w:bCs/>
          <w:spacing w:val="-10"/>
          <w:sz w:val="18"/>
          <w:szCs w:val="18"/>
          <w:lang w:val="es-ES_tradnl"/>
        </w:rPr>
        <w:t xml:space="preserve"> 0959-08-RA </w:t>
      </w:r>
      <w:r>
        <w:rPr>
          <w:b/>
          <w:bCs/>
          <w:spacing w:val="-7"/>
          <w:sz w:val="18"/>
          <w:szCs w:val="18"/>
          <w:lang w:val="es-ES_tradnl"/>
        </w:rPr>
        <w:t xml:space="preserve">dictada por la Primera Sala de la Corte Constitucional, </w:t>
      </w:r>
      <w:r>
        <w:rPr>
          <w:b/>
          <w:bCs/>
          <w:sz w:val="18"/>
          <w:szCs w:val="18"/>
          <w:lang w:val="es-ES_tradnl"/>
        </w:rPr>
        <w:t>para el per</w:t>
      </w:r>
      <w:r>
        <w:rPr>
          <w:rFonts w:cs="Times New Roman"/>
          <w:b/>
          <w:bCs/>
          <w:sz w:val="18"/>
          <w:szCs w:val="18"/>
          <w:lang w:val="es-ES_tradnl"/>
        </w:rPr>
        <w:t>í</w:t>
      </w:r>
      <w:r>
        <w:rPr>
          <w:b/>
          <w:bCs/>
          <w:sz w:val="18"/>
          <w:szCs w:val="18"/>
          <w:lang w:val="es-ES_tradnl"/>
        </w:rPr>
        <w:t>odo de transici</w:t>
      </w:r>
      <w:r>
        <w:rPr>
          <w:rFonts w:cs="Times New Roman"/>
          <w:b/>
          <w:bCs/>
          <w:sz w:val="18"/>
          <w:szCs w:val="18"/>
          <w:lang w:val="es-ES_tradnl"/>
        </w:rPr>
        <w:t>ó</w:t>
      </w:r>
      <w:r>
        <w:rPr>
          <w:b/>
          <w:bCs/>
          <w:sz w:val="18"/>
          <w:szCs w:val="18"/>
          <w:lang w:val="es-ES_tradnl"/>
        </w:rPr>
        <w:t>n?</w:t>
      </w:r>
    </w:p>
    <w:p w14:paraId="4F67A9D1" w14:textId="77777777" w:rsidR="00591D54" w:rsidRDefault="00591D54">
      <w:pPr>
        <w:shd w:val="clear" w:color="auto" w:fill="FFFFFF"/>
        <w:spacing w:before="206" w:line="221" w:lineRule="exact"/>
        <w:ind w:right="10"/>
        <w:jc w:val="both"/>
      </w:pPr>
      <w:r>
        <w:rPr>
          <w:spacing w:val="-8"/>
          <w:sz w:val="18"/>
          <w:szCs w:val="18"/>
          <w:lang w:val="es-ES_tradnl"/>
        </w:rPr>
        <w:t>La Resoluci</w:t>
      </w:r>
      <w:r>
        <w:rPr>
          <w:rFonts w:cs="Times New Roman"/>
          <w:spacing w:val="-8"/>
          <w:sz w:val="18"/>
          <w:szCs w:val="18"/>
          <w:lang w:val="es-ES_tradnl"/>
        </w:rPr>
        <w:t>ó</w:t>
      </w:r>
      <w:r>
        <w:rPr>
          <w:spacing w:val="-8"/>
          <w:sz w:val="18"/>
          <w:szCs w:val="18"/>
          <w:lang w:val="es-ES_tradnl"/>
        </w:rPr>
        <w:t>n N.</w:t>
      </w:r>
      <w:r>
        <w:rPr>
          <w:rFonts w:cs="Times New Roman"/>
          <w:spacing w:val="-8"/>
          <w:sz w:val="18"/>
          <w:szCs w:val="18"/>
          <w:lang w:val="es-ES_tradnl"/>
        </w:rPr>
        <w:t>º</w:t>
      </w:r>
      <w:r>
        <w:rPr>
          <w:spacing w:val="-8"/>
          <w:sz w:val="18"/>
          <w:szCs w:val="18"/>
          <w:lang w:val="es-ES_tradnl"/>
        </w:rPr>
        <w:t xml:space="preserve"> 0959-08-RA dictada por la Primera Sala </w:t>
      </w:r>
      <w:r>
        <w:rPr>
          <w:spacing w:val="-5"/>
          <w:sz w:val="18"/>
          <w:szCs w:val="18"/>
          <w:lang w:val="es-ES_tradnl"/>
        </w:rPr>
        <w:t>de la Corte Constitucional, para el per</w:t>
      </w:r>
      <w:r>
        <w:rPr>
          <w:rFonts w:cs="Times New Roman"/>
          <w:spacing w:val="-5"/>
          <w:sz w:val="18"/>
          <w:szCs w:val="18"/>
          <w:lang w:val="es-ES_tradnl"/>
        </w:rPr>
        <w:t>í</w:t>
      </w:r>
      <w:r>
        <w:rPr>
          <w:spacing w:val="-5"/>
          <w:sz w:val="18"/>
          <w:szCs w:val="18"/>
          <w:lang w:val="es-ES_tradnl"/>
        </w:rPr>
        <w:t>odo de transici</w:t>
      </w:r>
      <w:r>
        <w:rPr>
          <w:rFonts w:cs="Times New Roman"/>
          <w:spacing w:val="-5"/>
          <w:sz w:val="18"/>
          <w:szCs w:val="18"/>
          <w:lang w:val="es-ES_tradnl"/>
        </w:rPr>
        <w:t>ó</w:t>
      </w:r>
      <w:r>
        <w:rPr>
          <w:spacing w:val="-5"/>
          <w:sz w:val="18"/>
          <w:szCs w:val="18"/>
          <w:lang w:val="es-ES_tradnl"/>
        </w:rPr>
        <w:t xml:space="preserve">n, </w:t>
      </w:r>
      <w:r>
        <w:rPr>
          <w:spacing w:val="-9"/>
          <w:sz w:val="18"/>
          <w:szCs w:val="18"/>
          <w:lang w:val="es-ES_tradnl"/>
        </w:rPr>
        <w:t>resolvi</w:t>
      </w:r>
      <w:r>
        <w:rPr>
          <w:rFonts w:cs="Times New Roman"/>
          <w:spacing w:val="-9"/>
          <w:sz w:val="18"/>
          <w:szCs w:val="18"/>
          <w:lang w:val="es-ES_tradnl"/>
        </w:rPr>
        <w:t>ó</w:t>
      </w:r>
      <w:r>
        <w:rPr>
          <w:spacing w:val="-9"/>
          <w:sz w:val="18"/>
          <w:szCs w:val="18"/>
          <w:lang w:val="es-ES_tradnl"/>
        </w:rPr>
        <w:t xml:space="preserve"> el recurso de apelaci</w:t>
      </w:r>
      <w:r>
        <w:rPr>
          <w:rFonts w:cs="Times New Roman"/>
          <w:spacing w:val="-9"/>
          <w:sz w:val="18"/>
          <w:szCs w:val="18"/>
          <w:lang w:val="es-ES_tradnl"/>
        </w:rPr>
        <w:t>ó</w:t>
      </w:r>
      <w:r>
        <w:rPr>
          <w:spacing w:val="-9"/>
          <w:sz w:val="18"/>
          <w:szCs w:val="18"/>
          <w:lang w:val="es-ES_tradnl"/>
        </w:rPr>
        <w:t xml:space="preserve">n propuesto por el accionante </w:t>
      </w:r>
      <w:r>
        <w:rPr>
          <w:spacing w:val="-6"/>
          <w:sz w:val="18"/>
          <w:szCs w:val="18"/>
          <w:lang w:val="es-ES_tradnl"/>
        </w:rPr>
        <w:t>en contra de la decisi</w:t>
      </w:r>
      <w:r>
        <w:rPr>
          <w:rFonts w:cs="Times New Roman"/>
          <w:spacing w:val="-6"/>
          <w:sz w:val="18"/>
          <w:szCs w:val="18"/>
          <w:lang w:val="es-ES_tradnl"/>
        </w:rPr>
        <w:t>ó</w:t>
      </w:r>
      <w:r>
        <w:rPr>
          <w:spacing w:val="-6"/>
          <w:sz w:val="18"/>
          <w:szCs w:val="18"/>
          <w:lang w:val="es-ES_tradnl"/>
        </w:rPr>
        <w:t xml:space="preserve">n dictada por la Primera Sala del </w:t>
      </w:r>
      <w:r>
        <w:rPr>
          <w:spacing w:val="-3"/>
          <w:sz w:val="18"/>
          <w:szCs w:val="18"/>
          <w:lang w:val="es-ES_tradnl"/>
        </w:rPr>
        <w:t>Tribunal Distrital N.</w:t>
      </w:r>
      <w:r>
        <w:rPr>
          <w:rFonts w:cs="Times New Roman"/>
          <w:spacing w:val="-3"/>
          <w:sz w:val="18"/>
          <w:szCs w:val="18"/>
          <w:lang w:val="es-ES_tradnl"/>
        </w:rPr>
        <w:t>º</w:t>
      </w:r>
      <w:r>
        <w:rPr>
          <w:spacing w:val="-3"/>
          <w:sz w:val="18"/>
          <w:szCs w:val="18"/>
          <w:lang w:val="es-ES_tradnl"/>
        </w:rPr>
        <w:t xml:space="preserve"> 1 de lo Contencioso Administrativo </w:t>
      </w:r>
      <w:r>
        <w:rPr>
          <w:spacing w:val="-7"/>
          <w:sz w:val="18"/>
          <w:szCs w:val="18"/>
          <w:lang w:val="es-ES_tradnl"/>
        </w:rPr>
        <w:t xml:space="preserve">de Quito, dentro del amparo constitucional presentado en </w:t>
      </w:r>
      <w:r>
        <w:rPr>
          <w:spacing w:val="-6"/>
          <w:sz w:val="18"/>
          <w:szCs w:val="18"/>
          <w:lang w:val="es-ES_tradnl"/>
        </w:rPr>
        <w:t>contra de la Empresa Metropolitana de Rastro (EMRAQ-</w:t>
      </w:r>
      <w:r>
        <w:rPr>
          <w:sz w:val="18"/>
          <w:szCs w:val="18"/>
          <w:lang w:val="es-ES_tradnl"/>
        </w:rPr>
        <w:t>EP).</w:t>
      </w:r>
    </w:p>
    <w:p w14:paraId="4F67A9D2" w14:textId="77777777" w:rsidR="00591D54" w:rsidRDefault="00591D54">
      <w:pPr>
        <w:shd w:val="clear" w:color="auto" w:fill="FFFFFF"/>
        <w:spacing w:before="206" w:line="221" w:lineRule="exact"/>
        <w:ind w:right="10"/>
        <w:jc w:val="both"/>
      </w:pPr>
      <w:r>
        <w:rPr>
          <w:spacing w:val="-7"/>
          <w:sz w:val="18"/>
          <w:szCs w:val="18"/>
          <w:lang w:val="es-ES_tradnl"/>
        </w:rPr>
        <w:t>Siendo as</w:t>
      </w:r>
      <w:r>
        <w:rPr>
          <w:rFonts w:cs="Times New Roman"/>
          <w:spacing w:val="-7"/>
          <w:sz w:val="18"/>
          <w:szCs w:val="18"/>
          <w:lang w:val="es-ES_tradnl"/>
        </w:rPr>
        <w:t>í</w:t>
      </w:r>
      <w:r>
        <w:rPr>
          <w:spacing w:val="-7"/>
          <w:sz w:val="18"/>
          <w:szCs w:val="18"/>
          <w:lang w:val="es-ES_tradnl"/>
        </w:rPr>
        <w:t>, la decisi</w:t>
      </w:r>
      <w:r>
        <w:rPr>
          <w:rFonts w:cs="Times New Roman"/>
          <w:spacing w:val="-7"/>
          <w:sz w:val="18"/>
          <w:szCs w:val="18"/>
          <w:lang w:val="es-ES_tradnl"/>
        </w:rPr>
        <w:t>ó</w:t>
      </w:r>
      <w:r>
        <w:rPr>
          <w:spacing w:val="-7"/>
          <w:sz w:val="18"/>
          <w:szCs w:val="18"/>
          <w:lang w:val="es-ES_tradnl"/>
        </w:rPr>
        <w:t>n supuestamente incumplida resolvi</w:t>
      </w:r>
      <w:r>
        <w:rPr>
          <w:rFonts w:cs="Times New Roman"/>
          <w:spacing w:val="-7"/>
          <w:sz w:val="18"/>
          <w:szCs w:val="18"/>
          <w:lang w:val="es-ES_tradnl"/>
        </w:rPr>
        <w:t xml:space="preserve">ó </w:t>
      </w:r>
      <w:r>
        <w:rPr>
          <w:spacing w:val="-7"/>
          <w:sz w:val="18"/>
          <w:szCs w:val="18"/>
          <w:lang w:val="es-ES_tradnl"/>
        </w:rPr>
        <w:t>una acci</w:t>
      </w:r>
      <w:r>
        <w:rPr>
          <w:rFonts w:cs="Times New Roman"/>
          <w:spacing w:val="-7"/>
          <w:sz w:val="18"/>
          <w:szCs w:val="18"/>
          <w:lang w:val="es-ES_tradnl"/>
        </w:rPr>
        <w:t>ó</w:t>
      </w:r>
      <w:r>
        <w:rPr>
          <w:spacing w:val="-7"/>
          <w:sz w:val="18"/>
          <w:szCs w:val="18"/>
          <w:lang w:val="es-ES_tradnl"/>
        </w:rPr>
        <w:t>n de amparo constitucional, la cual se constitu</w:t>
      </w:r>
      <w:r>
        <w:rPr>
          <w:rFonts w:cs="Times New Roman"/>
          <w:spacing w:val="-7"/>
          <w:sz w:val="18"/>
          <w:szCs w:val="18"/>
          <w:lang w:val="es-ES_tradnl"/>
        </w:rPr>
        <w:t>í</w:t>
      </w:r>
      <w:r>
        <w:rPr>
          <w:spacing w:val="-7"/>
          <w:sz w:val="18"/>
          <w:szCs w:val="18"/>
          <w:lang w:val="es-ES_tradnl"/>
        </w:rPr>
        <w:t xml:space="preserve">a </w:t>
      </w:r>
      <w:r>
        <w:rPr>
          <w:sz w:val="18"/>
          <w:szCs w:val="18"/>
          <w:lang w:val="es-ES_tradnl"/>
        </w:rPr>
        <w:t>en una garant</w:t>
      </w:r>
      <w:r>
        <w:rPr>
          <w:rFonts w:cs="Times New Roman"/>
          <w:sz w:val="18"/>
          <w:szCs w:val="18"/>
          <w:lang w:val="es-ES_tradnl"/>
        </w:rPr>
        <w:t>í</w:t>
      </w:r>
      <w:r>
        <w:rPr>
          <w:sz w:val="18"/>
          <w:szCs w:val="18"/>
          <w:lang w:val="es-ES_tradnl"/>
        </w:rPr>
        <w:t>a prevista en la Constituci</w:t>
      </w:r>
      <w:r>
        <w:rPr>
          <w:rFonts w:cs="Times New Roman"/>
          <w:sz w:val="18"/>
          <w:szCs w:val="18"/>
          <w:lang w:val="es-ES_tradnl"/>
        </w:rPr>
        <w:t>ó</w:t>
      </w:r>
      <w:r>
        <w:rPr>
          <w:sz w:val="18"/>
          <w:szCs w:val="18"/>
          <w:lang w:val="es-ES_tradnl"/>
        </w:rPr>
        <w:t xml:space="preserve">n de 1998 </w:t>
      </w:r>
      <w:r>
        <w:rPr>
          <w:spacing w:val="-8"/>
          <w:sz w:val="18"/>
          <w:szCs w:val="18"/>
          <w:lang w:val="es-ES_tradnl"/>
        </w:rPr>
        <w:t>como una acci</w:t>
      </w:r>
      <w:r>
        <w:rPr>
          <w:rFonts w:cs="Times New Roman"/>
          <w:spacing w:val="-8"/>
          <w:sz w:val="18"/>
          <w:szCs w:val="18"/>
          <w:lang w:val="es-ES_tradnl"/>
        </w:rPr>
        <w:t>ó</w:t>
      </w:r>
      <w:r>
        <w:rPr>
          <w:spacing w:val="-8"/>
          <w:sz w:val="18"/>
          <w:szCs w:val="18"/>
          <w:lang w:val="es-ES_tradnl"/>
        </w:rPr>
        <w:t>n sumaria encaminada a adoptar medidas urgentes destinadas a cesar, evitar la comisi</w:t>
      </w:r>
      <w:r>
        <w:rPr>
          <w:rFonts w:cs="Times New Roman"/>
          <w:spacing w:val="-8"/>
          <w:sz w:val="18"/>
          <w:szCs w:val="18"/>
          <w:lang w:val="es-ES_tradnl"/>
        </w:rPr>
        <w:t>ó</w:t>
      </w:r>
      <w:r>
        <w:rPr>
          <w:spacing w:val="-8"/>
          <w:sz w:val="18"/>
          <w:szCs w:val="18"/>
          <w:lang w:val="es-ES_tradnl"/>
        </w:rPr>
        <w:t xml:space="preserve">n o remediar </w:t>
      </w:r>
      <w:r>
        <w:rPr>
          <w:spacing w:val="-7"/>
          <w:sz w:val="18"/>
          <w:szCs w:val="18"/>
          <w:lang w:val="es-ES_tradnl"/>
        </w:rPr>
        <w:t>inmediatamente las consecuencias de un acto u omisi</w:t>
      </w:r>
      <w:r>
        <w:rPr>
          <w:rFonts w:cs="Times New Roman"/>
          <w:spacing w:val="-7"/>
          <w:sz w:val="18"/>
          <w:szCs w:val="18"/>
          <w:lang w:val="es-ES_tradnl"/>
        </w:rPr>
        <w:t>ó</w:t>
      </w:r>
      <w:r>
        <w:rPr>
          <w:spacing w:val="-7"/>
          <w:sz w:val="18"/>
          <w:szCs w:val="18"/>
          <w:lang w:val="es-ES_tradnl"/>
        </w:rPr>
        <w:t xml:space="preserve">n </w:t>
      </w:r>
      <w:r>
        <w:rPr>
          <w:spacing w:val="-8"/>
          <w:sz w:val="18"/>
          <w:szCs w:val="18"/>
          <w:lang w:val="es-ES_tradnl"/>
        </w:rPr>
        <w:t>ileg</w:t>
      </w:r>
      <w:r>
        <w:rPr>
          <w:rFonts w:cs="Times New Roman"/>
          <w:spacing w:val="-8"/>
          <w:sz w:val="18"/>
          <w:szCs w:val="18"/>
          <w:lang w:val="es-ES_tradnl"/>
        </w:rPr>
        <w:t>í</w:t>
      </w:r>
      <w:r>
        <w:rPr>
          <w:spacing w:val="-8"/>
          <w:sz w:val="18"/>
          <w:szCs w:val="18"/>
          <w:lang w:val="es-ES_tradnl"/>
        </w:rPr>
        <w:t>timos de una autoridad p</w:t>
      </w:r>
      <w:r>
        <w:rPr>
          <w:rFonts w:cs="Times New Roman"/>
          <w:spacing w:val="-8"/>
          <w:sz w:val="18"/>
          <w:szCs w:val="18"/>
          <w:lang w:val="es-ES_tradnl"/>
        </w:rPr>
        <w:t>ú</w:t>
      </w:r>
      <w:r>
        <w:rPr>
          <w:spacing w:val="-8"/>
          <w:sz w:val="18"/>
          <w:szCs w:val="18"/>
          <w:lang w:val="es-ES_tradnl"/>
        </w:rPr>
        <w:t xml:space="preserve">blica que viole o pueda violar </w:t>
      </w:r>
      <w:r>
        <w:rPr>
          <w:sz w:val="18"/>
          <w:szCs w:val="18"/>
          <w:lang w:val="es-ES_tradnl"/>
        </w:rPr>
        <w:t>derechos consagrados en la Constituci</w:t>
      </w:r>
      <w:r>
        <w:rPr>
          <w:rFonts w:cs="Times New Roman"/>
          <w:sz w:val="18"/>
          <w:szCs w:val="18"/>
          <w:lang w:val="es-ES_tradnl"/>
        </w:rPr>
        <w:t>ó</w:t>
      </w:r>
      <w:r>
        <w:rPr>
          <w:sz w:val="18"/>
          <w:szCs w:val="18"/>
          <w:lang w:val="es-ES_tradnl"/>
        </w:rPr>
        <w:t>n.</w:t>
      </w:r>
    </w:p>
    <w:p w14:paraId="4F67A9D3" w14:textId="77777777" w:rsidR="00591D54" w:rsidRDefault="00591D54">
      <w:pPr>
        <w:shd w:val="clear" w:color="auto" w:fill="FFFFFF"/>
        <w:spacing w:before="202"/>
      </w:pPr>
      <w:r>
        <w:rPr>
          <w:spacing w:val="-7"/>
          <w:sz w:val="18"/>
          <w:szCs w:val="18"/>
          <w:lang w:val="es-ES_tradnl"/>
        </w:rPr>
        <w:t>As</w:t>
      </w:r>
      <w:r>
        <w:rPr>
          <w:rFonts w:cs="Times New Roman"/>
          <w:spacing w:val="-7"/>
          <w:sz w:val="18"/>
          <w:szCs w:val="18"/>
          <w:lang w:val="es-ES_tradnl"/>
        </w:rPr>
        <w:t>í</w:t>
      </w:r>
      <w:r>
        <w:rPr>
          <w:spacing w:val="-7"/>
          <w:sz w:val="18"/>
          <w:szCs w:val="18"/>
          <w:lang w:val="es-ES_tradnl"/>
        </w:rPr>
        <w:t>, el art</w:t>
      </w:r>
      <w:r>
        <w:rPr>
          <w:rFonts w:cs="Times New Roman"/>
          <w:spacing w:val="-7"/>
          <w:sz w:val="18"/>
          <w:szCs w:val="18"/>
          <w:lang w:val="es-ES_tradnl"/>
        </w:rPr>
        <w:t>í</w:t>
      </w:r>
      <w:r>
        <w:rPr>
          <w:spacing w:val="-7"/>
          <w:sz w:val="18"/>
          <w:szCs w:val="18"/>
          <w:lang w:val="es-ES_tradnl"/>
        </w:rPr>
        <w:t>culo 95 de la Constituci</w:t>
      </w:r>
      <w:r>
        <w:rPr>
          <w:rFonts w:cs="Times New Roman"/>
          <w:spacing w:val="-7"/>
          <w:sz w:val="18"/>
          <w:szCs w:val="18"/>
          <w:lang w:val="es-ES_tradnl"/>
        </w:rPr>
        <w:t>ó</w:t>
      </w:r>
      <w:r>
        <w:rPr>
          <w:spacing w:val="-7"/>
          <w:sz w:val="18"/>
          <w:szCs w:val="18"/>
          <w:lang w:val="es-ES_tradnl"/>
        </w:rPr>
        <w:t>n de 1998 establec</w:t>
      </w:r>
      <w:r>
        <w:rPr>
          <w:rFonts w:cs="Times New Roman"/>
          <w:spacing w:val="-7"/>
          <w:sz w:val="18"/>
          <w:szCs w:val="18"/>
          <w:lang w:val="es-ES_tradnl"/>
        </w:rPr>
        <w:t>í</w:t>
      </w:r>
      <w:r>
        <w:rPr>
          <w:spacing w:val="-7"/>
          <w:sz w:val="18"/>
          <w:szCs w:val="18"/>
          <w:lang w:val="es-ES_tradnl"/>
        </w:rPr>
        <w:t>a:</w:t>
      </w:r>
    </w:p>
    <w:p w14:paraId="4F67A9D4" w14:textId="77777777" w:rsidR="00591D54" w:rsidRDefault="00591D54">
      <w:pPr>
        <w:shd w:val="clear" w:color="auto" w:fill="FFFFFF"/>
        <w:spacing w:before="206" w:line="221" w:lineRule="exact"/>
        <w:ind w:left="283" w:right="10"/>
        <w:jc w:val="both"/>
      </w:pPr>
      <w:r>
        <w:rPr>
          <w:spacing w:val="-4"/>
          <w:sz w:val="16"/>
          <w:szCs w:val="16"/>
          <w:lang w:val="es-ES_tradnl"/>
        </w:rPr>
        <w:t>Mediante esta acci</w:t>
      </w:r>
      <w:r>
        <w:rPr>
          <w:rFonts w:cs="Times New Roman"/>
          <w:spacing w:val="-4"/>
          <w:sz w:val="16"/>
          <w:szCs w:val="16"/>
          <w:lang w:val="es-ES_tradnl"/>
        </w:rPr>
        <w:t>ó</w:t>
      </w:r>
      <w:r>
        <w:rPr>
          <w:spacing w:val="-4"/>
          <w:sz w:val="16"/>
          <w:szCs w:val="16"/>
          <w:lang w:val="es-ES_tradnl"/>
        </w:rPr>
        <w:t>n, que se tramitar</w:t>
      </w:r>
      <w:r>
        <w:rPr>
          <w:rFonts w:cs="Times New Roman"/>
          <w:spacing w:val="-4"/>
          <w:sz w:val="16"/>
          <w:szCs w:val="16"/>
          <w:lang w:val="es-ES_tradnl"/>
        </w:rPr>
        <w:t>á</w:t>
      </w:r>
      <w:r>
        <w:rPr>
          <w:spacing w:val="-4"/>
          <w:sz w:val="16"/>
          <w:szCs w:val="16"/>
          <w:lang w:val="es-ES_tradnl"/>
        </w:rPr>
        <w:t xml:space="preserve"> en forma preferente </w:t>
      </w:r>
      <w:r>
        <w:rPr>
          <w:spacing w:val="-6"/>
          <w:sz w:val="16"/>
          <w:szCs w:val="16"/>
          <w:lang w:val="es-ES_tradnl"/>
        </w:rPr>
        <w:t>y sumaria, se requerir</w:t>
      </w:r>
      <w:r>
        <w:rPr>
          <w:rFonts w:cs="Times New Roman"/>
          <w:spacing w:val="-6"/>
          <w:sz w:val="16"/>
          <w:szCs w:val="16"/>
          <w:lang w:val="es-ES_tradnl"/>
        </w:rPr>
        <w:t>á</w:t>
      </w:r>
      <w:r>
        <w:rPr>
          <w:spacing w:val="-6"/>
          <w:sz w:val="16"/>
          <w:szCs w:val="16"/>
          <w:lang w:val="es-ES_tradnl"/>
        </w:rPr>
        <w:t xml:space="preserve"> la adopci</w:t>
      </w:r>
      <w:r>
        <w:rPr>
          <w:rFonts w:cs="Times New Roman"/>
          <w:spacing w:val="-6"/>
          <w:sz w:val="16"/>
          <w:szCs w:val="16"/>
          <w:lang w:val="es-ES_tradnl"/>
        </w:rPr>
        <w:t>ó</w:t>
      </w:r>
      <w:r>
        <w:rPr>
          <w:spacing w:val="-6"/>
          <w:sz w:val="16"/>
          <w:szCs w:val="16"/>
          <w:lang w:val="es-ES_tradnl"/>
        </w:rPr>
        <w:t xml:space="preserve">n de medidas urgentes </w:t>
      </w:r>
      <w:r>
        <w:rPr>
          <w:sz w:val="16"/>
          <w:szCs w:val="16"/>
          <w:lang w:val="es-ES_tradnl"/>
        </w:rPr>
        <w:t>destinadas a cesar, evitar la comisi</w:t>
      </w:r>
      <w:r>
        <w:rPr>
          <w:rFonts w:cs="Times New Roman"/>
          <w:sz w:val="16"/>
          <w:szCs w:val="16"/>
          <w:lang w:val="es-ES_tradnl"/>
        </w:rPr>
        <w:t>ó</w:t>
      </w:r>
      <w:r>
        <w:rPr>
          <w:sz w:val="16"/>
          <w:szCs w:val="16"/>
          <w:lang w:val="es-ES_tradnl"/>
        </w:rPr>
        <w:t xml:space="preserve">n o remediar </w:t>
      </w:r>
      <w:r>
        <w:rPr>
          <w:spacing w:val="-6"/>
          <w:sz w:val="16"/>
          <w:szCs w:val="16"/>
          <w:lang w:val="es-ES_tradnl"/>
        </w:rPr>
        <w:t>inmediatamente las consecuencias de un acto u omisi</w:t>
      </w:r>
      <w:r>
        <w:rPr>
          <w:rFonts w:cs="Times New Roman"/>
          <w:spacing w:val="-6"/>
          <w:sz w:val="16"/>
          <w:szCs w:val="16"/>
          <w:lang w:val="es-ES_tradnl"/>
        </w:rPr>
        <w:t>ó</w:t>
      </w:r>
      <w:r>
        <w:rPr>
          <w:spacing w:val="-6"/>
          <w:sz w:val="16"/>
          <w:szCs w:val="16"/>
          <w:lang w:val="es-ES_tradnl"/>
        </w:rPr>
        <w:t xml:space="preserve">n </w:t>
      </w:r>
      <w:r>
        <w:rPr>
          <w:spacing w:val="-5"/>
          <w:sz w:val="16"/>
          <w:szCs w:val="16"/>
          <w:lang w:val="es-ES_tradnl"/>
        </w:rPr>
        <w:t>ileg</w:t>
      </w:r>
      <w:r>
        <w:rPr>
          <w:rFonts w:cs="Times New Roman"/>
          <w:spacing w:val="-5"/>
          <w:sz w:val="16"/>
          <w:szCs w:val="16"/>
          <w:lang w:val="es-ES_tradnl"/>
        </w:rPr>
        <w:t>í</w:t>
      </w:r>
      <w:r>
        <w:rPr>
          <w:spacing w:val="-5"/>
          <w:sz w:val="16"/>
          <w:szCs w:val="16"/>
          <w:lang w:val="es-ES_tradnl"/>
        </w:rPr>
        <w:t>timos de una autoridad p</w:t>
      </w:r>
      <w:r>
        <w:rPr>
          <w:rFonts w:cs="Times New Roman"/>
          <w:spacing w:val="-5"/>
          <w:sz w:val="16"/>
          <w:szCs w:val="16"/>
          <w:lang w:val="es-ES_tradnl"/>
        </w:rPr>
        <w:t>ú</w:t>
      </w:r>
      <w:r>
        <w:rPr>
          <w:spacing w:val="-5"/>
          <w:sz w:val="16"/>
          <w:szCs w:val="16"/>
          <w:lang w:val="es-ES_tradnl"/>
        </w:rPr>
        <w:t xml:space="preserve">blica, que viole o pueda violar </w:t>
      </w:r>
      <w:r>
        <w:rPr>
          <w:spacing w:val="-4"/>
          <w:sz w:val="16"/>
          <w:szCs w:val="16"/>
          <w:lang w:val="es-ES_tradnl"/>
        </w:rPr>
        <w:t>cualquier derecho consagrado en la Constituci</w:t>
      </w:r>
      <w:r>
        <w:rPr>
          <w:rFonts w:cs="Times New Roman"/>
          <w:spacing w:val="-4"/>
          <w:sz w:val="16"/>
          <w:szCs w:val="16"/>
          <w:lang w:val="es-ES_tradnl"/>
        </w:rPr>
        <w:t>ó</w:t>
      </w:r>
      <w:r>
        <w:rPr>
          <w:spacing w:val="-4"/>
          <w:sz w:val="16"/>
          <w:szCs w:val="16"/>
          <w:lang w:val="es-ES_tradnl"/>
        </w:rPr>
        <w:t xml:space="preserve">n o en un </w:t>
      </w:r>
      <w:r>
        <w:rPr>
          <w:spacing w:val="-5"/>
          <w:sz w:val="16"/>
          <w:szCs w:val="16"/>
          <w:lang w:val="es-ES_tradnl"/>
        </w:rPr>
        <w:t xml:space="preserve">tratado o convenio internacional vigente, y que, de modo </w:t>
      </w:r>
      <w:r>
        <w:rPr>
          <w:spacing w:val="-8"/>
          <w:sz w:val="16"/>
          <w:szCs w:val="16"/>
          <w:lang w:val="es-ES_tradnl"/>
        </w:rPr>
        <w:t>inminente, amenace con causar un da</w:t>
      </w:r>
      <w:r>
        <w:rPr>
          <w:rFonts w:cs="Times New Roman"/>
          <w:spacing w:val="-8"/>
          <w:sz w:val="16"/>
          <w:szCs w:val="16"/>
          <w:lang w:val="es-ES_tradnl"/>
        </w:rPr>
        <w:t>ñ</w:t>
      </w:r>
      <w:r>
        <w:rPr>
          <w:spacing w:val="-8"/>
          <w:sz w:val="16"/>
          <w:szCs w:val="16"/>
          <w:lang w:val="es-ES_tradnl"/>
        </w:rPr>
        <w:t>o grave.</w:t>
      </w:r>
    </w:p>
    <w:p w14:paraId="4F67A9D5" w14:textId="77777777" w:rsidR="00591D54" w:rsidRDefault="00591D54">
      <w:pPr>
        <w:shd w:val="clear" w:color="auto" w:fill="FFFFFF"/>
        <w:spacing w:before="211" w:line="221" w:lineRule="exact"/>
        <w:ind w:right="10"/>
        <w:jc w:val="both"/>
      </w:pPr>
      <w:r>
        <w:rPr>
          <w:spacing w:val="-6"/>
          <w:sz w:val="18"/>
          <w:szCs w:val="18"/>
          <w:lang w:val="es-ES_tradnl"/>
        </w:rPr>
        <w:t>Por tal raz</w:t>
      </w:r>
      <w:r>
        <w:rPr>
          <w:rFonts w:cs="Times New Roman"/>
          <w:spacing w:val="-6"/>
          <w:sz w:val="18"/>
          <w:szCs w:val="18"/>
          <w:lang w:val="es-ES_tradnl"/>
        </w:rPr>
        <w:t>ó</w:t>
      </w:r>
      <w:r>
        <w:rPr>
          <w:spacing w:val="-6"/>
          <w:sz w:val="18"/>
          <w:szCs w:val="18"/>
          <w:lang w:val="es-ES_tradnl"/>
        </w:rPr>
        <w:t>n, era obligaci</w:t>
      </w:r>
      <w:r>
        <w:rPr>
          <w:rFonts w:cs="Times New Roman"/>
          <w:spacing w:val="-6"/>
          <w:sz w:val="18"/>
          <w:szCs w:val="18"/>
          <w:lang w:val="es-ES_tradnl"/>
        </w:rPr>
        <w:t>ó</w:t>
      </w:r>
      <w:r>
        <w:rPr>
          <w:spacing w:val="-6"/>
          <w:sz w:val="18"/>
          <w:szCs w:val="18"/>
          <w:lang w:val="es-ES_tradnl"/>
        </w:rPr>
        <w:t xml:space="preserve">n de los jueces garantizar que </w:t>
      </w:r>
      <w:r>
        <w:rPr>
          <w:spacing w:val="-9"/>
          <w:sz w:val="18"/>
          <w:szCs w:val="18"/>
          <w:lang w:val="es-ES_tradnl"/>
        </w:rPr>
        <w:t xml:space="preserve">las decisiones dictadas dentro de amparos constitucionales </w:t>
      </w:r>
      <w:r>
        <w:rPr>
          <w:spacing w:val="-6"/>
          <w:sz w:val="18"/>
          <w:szCs w:val="18"/>
          <w:lang w:val="es-ES_tradnl"/>
        </w:rPr>
        <w:t xml:space="preserve">sean cumplidas efectivamente, puesto que de esta forma </w:t>
      </w:r>
      <w:r>
        <w:rPr>
          <w:spacing w:val="-9"/>
          <w:sz w:val="18"/>
          <w:szCs w:val="18"/>
          <w:lang w:val="es-ES_tradnl"/>
        </w:rPr>
        <w:t xml:space="preserve">se remediaban las consecuencias de las vulneraciones a </w:t>
      </w:r>
      <w:r>
        <w:rPr>
          <w:sz w:val="18"/>
          <w:szCs w:val="18"/>
          <w:lang w:val="es-ES_tradnl"/>
        </w:rPr>
        <w:t>derechos constitucionales.</w:t>
      </w:r>
    </w:p>
    <w:p w14:paraId="4F67A9D6" w14:textId="77777777" w:rsidR="00591D54" w:rsidRDefault="00591D54">
      <w:pPr>
        <w:shd w:val="clear" w:color="auto" w:fill="FFFFFF"/>
        <w:spacing w:before="202" w:line="221" w:lineRule="exact"/>
        <w:ind w:right="10"/>
        <w:jc w:val="both"/>
      </w:pPr>
      <w:r>
        <w:rPr>
          <w:spacing w:val="-9"/>
          <w:sz w:val="18"/>
          <w:szCs w:val="18"/>
          <w:lang w:val="es-ES_tradnl"/>
        </w:rPr>
        <w:t>En el caso concreto, Leonel Segundo Mart</w:t>
      </w:r>
      <w:r>
        <w:rPr>
          <w:rFonts w:cs="Times New Roman"/>
          <w:spacing w:val="-9"/>
          <w:sz w:val="18"/>
          <w:szCs w:val="18"/>
          <w:lang w:val="es-ES_tradnl"/>
        </w:rPr>
        <w:t>í</w:t>
      </w:r>
      <w:r>
        <w:rPr>
          <w:spacing w:val="-9"/>
          <w:sz w:val="18"/>
          <w:szCs w:val="18"/>
          <w:lang w:val="es-ES_tradnl"/>
        </w:rPr>
        <w:t>nez el 23 de julio de 2007, present</w:t>
      </w:r>
      <w:r>
        <w:rPr>
          <w:rFonts w:cs="Times New Roman"/>
          <w:spacing w:val="-9"/>
          <w:sz w:val="18"/>
          <w:szCs w:val="18"/>
          <w:lang w:val="es-ES_tradnl"/>
        </w:rPr>
        <w:t>ó</w:t>
      </w:r>
      <w:r>
        <w:rPr>
          <w:spacing w:val="-9"/>
          <w:sz w:val="18"/>
          <w:szCs w:val="18"/>
          <w:lang w:val="es-ES_tradnl"/>
        </w:rPr>
        <w:t xml:space="preserve"> un amparo constitucional impugnando la </w:t>
      </w:r>
      <w:r>
        <w:rPr>
          <w:spacing w:val="-10"/>
          <w:sz w:val="18"/>
          <w:szCs w:val="18"/>
          <w:lang w:val="es-ES_tradnl"/>
        </w:rPr>
        <w:t>acci</w:t>
      </w:r>
      <w:r>
        <w:rPr>
          <w:rFonts w:cs="Times New Roman"/>
          <w:spacing w:val="-10"/>
          <w:sz w:val="18"/>
          <w:szCs w:val="18"/>
          <w:lang w:val="es-ES_tradnl"/>
        </w:rPr>
        <w:t>ó</w:t>
      </w:r>
      <w:r>
        <w:rPr>
          <w:spacing w:val="-10"/>
          <w:sz w:val="18"/>
          <w:szCs w:val="18"/>
          <w:lang w:val="es-ES_tradnl"/>
        </w:rPr>
        <w:t>n de personal por medio de la cual se lo destitu</w:t>
      </w:r>
      <w:r>
        <w:rPr>
          <w:rFonts w:cs="Times New Roman"/>
          <w:spacing w:val="-10"/>
          <w:sz w:val="18"/>
          <w:szCs w:val="18"/>
          <w:lang w:val="es-ES_tradnl"/>
        </w:rPr>
        <w:t>í</w:t>
      </w:r>
      <w:r>
        <w:rPr>
          <w:spacing w:val="-10"/>
          <w:sz w:val="18"/>
          <w:szCs w:val="18"/>
          <w:lang w:val="es-ES_tradnl"/>
        </w:rPr>
        <w:t xml:space="preserve">a de su </w:t>
      </w:r>
      <w:r>
        <w:rPr>
          <w:spacing w:val="-8"/>
          <w:sz w:val="18"/>
          <w:szCs w:val="18"/>
          <w:lang w:val="es-ES_tradnl"/>
        </w:rPr>
        <w:t>cargo (fs.58-63). En su demanda, el accionante estableci</w:t>
      </w:r>
      <w:r>
        <w:rPr>
          <w:rFonts w:cs="Times New Roman"/>
          <w:spacing w:val="-8"/>
          <w:sz w:val="18"/>
          <w:szCs w:val="18"/>
          <w:lang w:val="es-ES_tradnl"/>
        </w:rPr>
        <w:t xml:space="preserve">ó </w:t>
      </w:r>
      <w:r>
        <w:rPr>
          <w:sz w:val="18"/>
          <w:szCs w:val="18"/>
          <w:lang w:val="es-ES_tradnl"/>
        </w:rPr>
        <w:t>como pretensi</w:t>
      </w:r>
      <w:r>
        <w:rPr>
          <w:rFonts w:cs="Times New Roman"/>
          <w:sz w:val="18"/>
          <w:szCs w:val="18"/>
          <w:lang w:val="es-ES_tradnl"/>
        </w:rPr>
        <w:t>ó</w:t>
      </w:r>
      <w:r>
        <w:rPr>
          <w:sz w:val="18"/>
          <w:szCs w:val="18"/>
          <w:lang w:val="es-ES_tradnl"/>
        </w:rPr>
        <w:t>n:</w:t>
      </w:r>
    </w:p>
    <w:p w14:paraId="4F67A9D7" w14:textId="77777777" w:rsidR="00591D54" w:rsidRDefault="00591D54">
      <w:pPr>
        <w:shd w:val="clear" w:color="auto" w:fill="FFFFFF"/>
        <w:spacing w:before="206" w:line="221" w:lineRule="exact"/>
        <w:ind w:left="283" w:right="10"/>
        <w:jc w:val="both"/>
      </w:pPr>
      <w:r>
        <w:rPr>
          <w:spacing w:val="-5"/>
          <w:sz w:val="16"/>
          <w:szCs w:val="16"/>
          <w:lang w:val="es-ES_tradnl"/>
        </w:rPr>
        <w:t>Concluido el tr</w:t>
      </w:r>
      <w:r>
        <w:rPr>
          <w:rFonts w:cs="Times New Roman"/>
          <w:spacing w:val="-5"/>
          <w:sz w:val="16"/>
          <w:szCs w:val="16"/>
          <w:lang w:val="es-ES_tradnl"/>
        </w:rPr>
        <w:t>á</w:t>
      </w:r>
      <w:r>
        <w:rPr>
          <w:spacing w:val="-5"/>
          <w:sz w:val="16"/>
          <w:szCs w:val="16"/>
          <w:lang w:val="es-ES_tradnl"/>
        </w:rPr>
        <w:t>mite, solicito de Ustedes, Se</w:t>
      </w:r>
      <w:r>
        <w:rPr>
          <w:rFonts w:cs="Times New Roman"/>
          <w:spacing w:val="-5"/>
          <w:sz w:val="16"/>
          <w:szCs w:val="16"/>
          <w:lang w:val="es-ES_tradnl"/>
        </w:rPr>
        <w:t>ñ</w:t>
      </w:r>
      <w:r>
        <w:rPr>
          <w:spacing w:val="-5"/>
          <w:sz w:val="16"/>
          <w:szCs w:val="16"/>
          <w:lang w:val="es-ES_tradnl"/>
        </w:rPr>
        <w:t xml:space="preserve">ores Ministros </w:t>
      </w:r>
      <w:r>
        <w:rPr>
          <w:sz w:val="16"/>
          <w:szCs w:val="16"/>
          <w:lang w:val="es-ES_tradnl"/>
        </w:rPr>
        <w:t>(</w:t>
      </w:r>
      <w:r>
        <w:rPr>
          <w:rFonts w:cs="Times New Roman"/>
          <w:sz w:val="16"/>
          <w:szCs w:val="16"/>
          <w:lang w:val="es-ES_tradnl"/>
        </w:rPr>
        <w:t>…</w:t>
      </w:r>
      <w:r>
        <w:rPr>
          <w:sz w:val="16"/>
          <w:szCs w:val="16"/>
          <w:lang w:val="es-ES_tradnl"/>
        </w:rPr>
        <w:t>) al admitir mi ACCI</w:t>
      </w:r>
      <w:r>
        <w:rPr>
          <w:rFonts w:cs="Times New Roman"/>
          <w:sz w:val="16"/>
          <w:szCs w:val="16"/>
          <w:lang w:val="es-ES_tradnl"/>
        </w:rPr>
        <w:t>Ó</w:t>
      </w:r>
      <w:r>
        <w:rPr>
          <w:sz w:val="16"/>
          <w:szCs w:val="16"/>
          <w:lang w:val="es-ES_tradnl"/>
        </w:rPr>
        <w:t xml:space="preserve">N DE AMPARO dispongan que </w:t>
      </w:r>
      <w:r>
        <w:rPr>
          <w:spacing w:val="-6"/>
          <w:sz w:val="16"/>
          <w:szCs w:val="16"/>
          <w:lang w:val="es-ES_tradnl"/>
        </w:rPr>
        <w:t xml:space="preserve">de manera inmediata sea reintegrado a mi puesto de trabajo </w:t>
      </w:r>
      <w:r>
        <w:rPr>
          <w:spacing w:val="-7"/>
          <w:sz w:val="16"/>
          <w:szCs w:val="16"/>
          <w:lang w:val="es-ES_tradnl"/>
        </w:rPr>
        <w:t>con el pago de los emolumentos dejado de percibir desde la notificaci</w:t>
      </w:r>
      <w:r>
        <w:rPr>
          <w:rFonts w:cs="Times New Roman"/>
          <w:spacing w:val="-7"/>
          <w:sz w:val="16"/>
          <w:szCs w:val="16"/>
          <w:lang w:val="es-ES_tradnl"/>
        </w:rPr>
        <w:t>ó</w:t>
      </w:r>
      <w:r>
        <w:rPr>
          <w:spacing w:val="-7"/>
          <w:sz w:val="16"/>
          <w:szCs w:val="16"/>
          <w:lang w:val="es-ES_tradnl"/>
        </w:rPr>
        <w:t xml:space="preserve">n del ilegal acto hasta cuando opere el reingreso de </w:t>
      </w:r>
      <w:r>
        <w:rPr>
          <w:spacing w:val="-5"/>
          <w:sz w:val="16"/>
          <w:szCs w:val="16"/>
          <w:lang w:val="es-ES_tradnl"/>
        </w:rPr>
        <w:t>manera efectiva. As</w:t>
      </w:r>
      <w:r>
        <w:rPr>
          <w:rFonts w:cs="Times New Roman"/>
          <w:spacing w:val="-5"/>
          <w:sz w:val="16"/>
          <w:szCs w:val="16"/>
          <w:lang w:val="es-ES_tradnl"/>
        </w:rPr>
        <w:t>í</w:t>
      </w:r>
      <w:r>
        <w:rPr>
          <w:spacing w:val="-5"/>
          <w:sz w:val="16"/>
          <w:szCs w:val="16"/>
          <w:lang w:val="es-ES_tradnl"/>
        </w:rPr>
        <w:t xml:space="preserve"> mismo, pido que (1) DECLARE que la Acci</w:t>
      </w:r>
      <w:r>
        <w:rPr>
          <w:rFonts w:cs="Times New Roman"/>
          <w:spacing w:val="-5"/>
          <w:sz w:val="16"/>
          <w:szCs w:val="16"/>
          <w:lang w:val="es-ES_tradnl"/>
        </w:rPr>
        <w:t>ó</w:t>
      </w:r>
      <w:r>
        <w:rPr>
          <w:spacing w:val="-5"/>
          <w:sz w:val="16"/>
          <w:szCs w:val="16"/>
          <w:lang w:val="es-ES_tradnl"/>
        </w:rPr>
        <w:t xml:space="preserve">n de Personal S/N de 20 de junio de 2007 es violatoria </w:t>
      </w:r>
      <w:r>
        <w:rPr>
          <w:spacing w:val="-4"/>
          <w:sz w:val="16"/>
          <w:szCs w:val="16"/>
          <w:lang w:val="es-ES_tradnl"/>
        </w:rPr>
        <w:t>de los derechos consagrados en la Constituci</w:t>
      </w:r>
      <w:r>
        <w:rPr>
          <w:rFonts w:cs="Times New Roman"/>
          <w:spacing w:val="-4"/>
          <w:sz w:val="16"/>
          <w:szCs w:val="16"/>
          <w:lang w:val="es-ES_tradnl"/>
        </w:rPr>
        <w:t>ó</w:t>
      </w:r>
      <w:r>
        <w:rPr>
          <w:spacing w:val="-4"/>
          <w:sz w:val="16"/>
          <w:szCs w:val="16"/>
          <w:lang w:val="es-ES_tradnl"/>
        </w:rPr>
        <w:t>n Pol</w:t>
      </w:r>
      <w:r>
        <w:rPr>
          <w:rFonts w:cs="Times New Roman"/>
          <w:spacing w:val="-4"/>
          <w:sz w:val="16"/>
          <w:szCs w:val="16"/>
          <w:lang w:val="es-ES_tradnl"/>
        </w:rPr>
        <w:t>í</w:t>
      </w:r>
      <w:r>
        <w:rPr>
          <w:spacing w:val="-4"/>
          <w:sz w:val="16"/>
          <w:szCs w:val="16"/>
          <w:lang w:val="es-ES_tradnl"/>
        </w:rPr>
        <w:t>tica de la Rep</w:t>
      </w:r>
      <w:r>
        <w:rPr>
          <w:rFonts w:cs="Times New Roman"/>
          <w:spacing w:val="-4"/>
          <w:sz w:val="16"/>
          <w:szCs w:val="16"/>
          <w:lang w:val="es-ES_tradnl"/>
        </w:rPr>
        <w:t>ú</w:t>
      </w:r>
      <w:r>
        <w:rPr>
          <w:spacing w:val="-4"/>
          <w:sz w:val="16"/>
          <w:szCs w:val="16"/>
          <w:lang w:val="es-ES_tradnl"/>
        </w:rPr>
        <w:t>blica y la Ley Org</w:t>
      </w:r>
      <w:r>
        <w:rPr>
          <w:rFonts w:cs="Times New Roman"/>
          <w:spacing w:val="-4"/>
          <w:sz w:val="16"/>
          <w:szCs w:val="16"/>
          <w:lang w:val="es-ES_tradnl"/>
        </w:rPr>
        <w:t>á</w:t>
      </w:r>
      <w:r>
        <w:rPr>
          <w:spacing w:val="-4"/>
          <w:sz w:val="16"/>
          <w:szCs w:val="16"/>
          <w:lang w:val="es-ES_tradnl"/>
        </w:rPr>
        <w:t xml:space="preserve">nica de Servicio Civil y Carrera </w:t>
      </w:r>
      <w:r>
        <w:rPr>
          <w:spacing w:val="-5"/>
          <w:sz w:val="16"/>
          <w:szCs w:val="16"/>
          <w:lang w:val="es-ES_tradnl"/>
        </w:rPr>
        <w:t xml:space="preserve">Administrativa, por lo mismo ILEGAL, (2) DISPONGAN que </w:t>
      </w:r>
      <w:r>
        <w:rPr>
          <w:spacing w:val="-9"/>
          <w:sz w:val="16"/>
          <w:szCs w:val="16"/>
          <w:lang w:val="es-ES_tradnl"/>
        </w:rPr>
        <w:t xml:space="preserve">se me reintegre a mi puesto de trabajo, (3) Como consecuencia </w:t>
      </w:r>
      <w:r>
        <w:rPr>
          <w:spacing w:val="-8"/>
          <w:sz w:val="16"/>
          <w:szCs w:val="16"/>
          <w:lang w:val="es-ES_tradnl"/>
        </w:rPr>
        <w:t>l</w:t>
      </w:r>
      <w:r>
        <w:rPr>
          <w:rFonts w:cs="Times New Roman"/>
          <w:spacing w:val="-8"/>
          <w:sz w:val="16"/>
          <w:szCs w:val="16"/>
          <w:lang w:val="es-ES_tradnl"/>
        </w:rPr>
        <w:t>ó</w:t>
      </w:r>
      <w:r>
        <w:rPr>
          <w:spacing w:val="-8"/>
          <w:sz w:val="16"/>
          <w:szCs w:val="16"/>
          <w:lang w:val="es-ES_tradnl"/>
        </w:rPr>
        <w:t>gica que se suspendan los efectos de la mencionada Acci</w:t>
      </w:r>
      <w:r>
        <w:rPr>
          <w:rFonts w:cs="Times New Roman"/>
          <w:spacing w:val="-8"/>
          <w:sz w:val="16"/>
          <w:szCs w:val="16"/>
          <w:lang w:val="es-ES_tradnl"/>
        </w:rPr>
        <w:t>ó</w:t>
      </w:r>
      <w:r>
        <w:rPr>
          <w:spacing w:val="-8"/>
          <w:sz w:val="16"/>
          <w:szCs w:val="16"/>
          <w:lang w:val="es-ES_tradnl"/>
        </w:rPr>
        <w:t>n de Personal, la misma que deber</w:t>
      </w:r>
      <w:r>
        <w:rPr>
          <w:rFonts w:cs="Times New Roman"/>
          <w:spacing w:val="-8"/>
          <w:sz w:val="16"/>
          <w:szCs w:val="16"/>
          <w:lang w:val="es-ES_tradnl"/>
        </w:rPr>
        <w:t>á</w:t>
      </w:r>
      <w:r>
        <w:rPr>
          <w:spacing w:val="-8"/>
          <w:sz w:val="16"/>
          <w:szCs w:val="16"/>
          <w:lang w:val="es-ES_tradnl"/>
        </w:rPr>
        <w:t xml:space="preserve"> ser eliminada de mi carpeta </w:t>
      </w:r>
      <w:r>
        <w:rPr>
          <w:sz w:val="16"/>
          <w:szCs w:val="16"/>
          <w:lang w:val="es-ES_tradnl"/>
        </w:rPr>
        <w:t>personal.</w:t>
      </w:r>
    </w:p>
    <w:p w14:paraId="4F67A9D8" w14:textId="77777777" w:rsidR="00591D54" w:rsidRDefault="00591D54">
      <w:pPr>
        <w:shd w:val="clear" w:color="auto" w:fill="FFFFFF"/>
        <w:spacing w:before="206" w:line="221" w:lineRule="exact"/>
        <w:ind w:left="283" w:right="10"/>
        <w:jc w:val="both"/>
        <w:sectPr w:rsidR="00591D54">
          <w:type w:val="continuous"/>
          <w:pgSz w:w="11909" w:h="16834"/>
          <w:pgMar w:top="1344" w:right="1299" w:bottom="360" w:left="1308" w:header="720" w:footer="720" w:gutter="0"/>
          <w:cols w:num="2" w:space="720" w:equalWidth="0">
            <w:col w:w="4315" w:space="672"/>
            <w:col w:w="4315"/>
          </w:cols>
          <w:noEndnote/>
        </w:sectPr>
      </w:pPr>
    </w:p>
    <w:p w14:paraId="4F67A9D9" w14:textId="77777777" w:rsidR="00591D54" w:rsidRDefault="00591D54">
      <w:pPr>
        <w:shd w:val="clear" w:color="auto" w:fill="FFFFFF"/>
        <w:tabs>
          <w:tab w:val="left" w:pos="4814"/>
        </w:tabs>
        <w:spacing w:after="235"/>
        <w:ind w:left="10"/>
      </w:pPr>
      <w:r>
        <w:rPr>
          <w:b/>
          <w:bCs/>
          <w:sz w:val="18"/>
          <w:szCs w:val="18"/>
          <w:lang w:val="es-ES_tradnl"/>
        </w:rPr>
        <w:t xml:space="preserve">78 -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9DA" w14:textId="77777777" w:rsidR="00591D54" w:rsidRDefault="00591D54">
      <w:pPr>
        <w:shd w:val="clear" w:color="auto" w:fill="FFFFFF"/>
        <w:tabs>
          <w:tab w:val="left" w:pos="4814"/>
        </w:tabs>
        <w:spacing w:after="235"/>
        <w:ind w:left="10"/>
        <w:sectPr w:rsidR="00591D54">
          <w:pgSz w:w="11909" w:h="16834"/>
          <w:pgMar w:top="1373" w:right="1309" w:bottom="360" w:left="1308" w:header="720" w:footer="720" w:gutter="0"/>
          <w:cols w:space="60"/>
          <w:noEndnote/>
        </w:sectPr>
      </w:pPr>
    </w:p>
    <w:p w14:paraId="4F67A9DB" w14:textId="77777777" w:rsidR="00591D54" w:rsidRDefault="00591D54">
      <w:pPr>
        <w:shd w:val="clear" w:color="auto" w:fill="FFFFFF"/>
        <w:spacing w:line="216" w:lineRule="exact"/>
        <w:jc w:val="both"/>
      </w:pPr>
      <w:r>
        <w:rPr>
          <w:spacing w:val="-4"/>
          <w:sz w:val="18"/>
          <w:szCs w:val="18"/>
          <w:lang w:val="es-ES_tradnl"/>
        </w:rPr>
        <w:t>Mediante resoluci</w:t>
      </w:r>
      <w:r>
        <w:rPr>
          <w:rFonts w:cs="Times New Roman"/>
          <w:spacing w:val="-4"/>
          <w:sz w:val="18"/>
          <w:szCs w:val="18"/>
          <w:lang w:val="es-ES_tradnl"/>
        </w:rPr>
        <w:t>ó</w:t>
      </w:r>
      <w:r>
        <w:rPr>
          <w:spacing w:val="-4"/>
          <w:sz w:val="18"/>
          <w:szCs w:val="18"/>
          <w:lang w:val="es-ES_tradnl"/>
        </w:rPr>
        <w:t xml:space="preserve">n dictada el 14 de abril de 2008, la </w:t>
      </w:r>
      <w:r>
        <w:rPr>
          <w:spacing w:val="-6"/>
          <w:sz w:val="18"/>
          <w:szCs w:val="18"/>
          <w:lang w:val="es-ES_tradnl"/>
        </w:rPr>
        <w:t>Primera Sala del Tribunal Distrital N.</w:t>
      </w:r>
      <w:r>
        <w:rPr>
          <w:rFonts w:cs="Times New Roman"/>
          <w:spacing w:val="-6"/>
          <w:sz w:val="18"/>
          <w:szCs w:val="18"/>
          <w:lang w:val="es-ES_tradnl"/>
        </w:rPr>
        <w:t>º</w:t>
      </w:r>
      <w:r>
        <w:rPr>
          <w:spacing w:val="-6"/>
          <w:sz w:val="18"/>
          <w:szCs w:val="18"/>
          <w:lang w:val="es-ES_tradnl"/>
        </w:rPr>
        <w:t xml:space="preserve"> 1 de lo Contencioso </w:t>
      </w:r>
      <w:r>
        <w:rPr>
          <w:spacing w:val="-4"/>
          <w:sz w:val="18"/>
          <w:szCs w:val="18"/>
          <w:lang w:val="es-ES_tradnl"/>
        </w:rPr>
        <w:t>Administrativo de Quito resolvi</w:t>
      </w:r>
      <w:r>
        <w:rPr>
          <w:rFonts w:cs="Times New Roman"/>
          <w:spacing w:val="-4"/>
          <w:sz w:val="18"/>
          <w:szCs w:val="18"/>
          <w:lang w:val="es-ES_tradnl"/>
        </w:rPr>
        <w:t>ó</w:t>
      </w:r>
      <w:r>
        <w:rPr>
          <w:spacing w:val="-4"/>
          <w:sz w:val="18"/>
          <w:szCs w:val="18"/>
          <w:lang w:val="es-ES_tradnl"/>
        </w:rPr>
        <w:t xml:space="preserve">: </w:t>
      </w:r>
      <w:r>
        <w:rPr>
          <w:rFonts w:cs="Times New Roman"/>
          <w:spacing w:val="-4"/>
          <w:sz w:val="18"/>
          <w:szCs w:val="18"/>
          <w:lang w:val="es-ES_tradnl"/>
        </w:rPr>
        <w:t>“</w:t>
      </w:r>
      <w:r>
        <w:rPr>
          <w:spacing w:val="-4"/>
          <w:sz w:val="18"/>
          <w:szCs w:val="18"/>
          <w:lang w:val="es-ES_tradnl"/>
        </w:rPr>
        <w:t xml:space="preserve">negar el amparo </w:t>
      </w:r>
      <w:r>
        <w:rPr>
          <w:spacing w:val="-6"/>
          <w:sz w:val="18"/>
          <w:szCs w:val="18"/>
          <w:lang w:val="es-ES_tradnl"/>
        </w:rPr>
        <w:t>constitucional (</w:t>
      </w:r>
      <w:r>
        <w:rPr>
          <w:rFonts w:cs="Times New Roman"/>
          <w:spacing w:val="-6"/>
          <w:sz w:val="18"/>
          <w:szCs w:val="18"/>
          <w:lang w:val="es-ES_tradnl"/>
        </w:rPr>
        <w:t>…</w:t>
      </w:r>
      <w:r>
        <w:rPr>
          <w:spacing w:val="-6"/>
          <w:sz w:val="18"/>
          <w:szCs w:val="18"/>
          <w:lang w:val="es-ES_tradnl"/>
        </w:rPr>
        <w:t>)</w:t>
      </w:r>
      <w:r>
        <w:rPr>
          <w:rFonts w:cs="Times New Roman"/>
          <w:spacing w:val="-6"/>
          <w:sz w:val="18"/>
          <w:szCs w:val="18"/>
          <w:lang w:val="es-ES_tradnl"/>
        </w:rPr>
        <w:t>”</w:t>
      </w:r>
      <w:r>
        <w:rPr>
          <w:spacing w:val="-6"/>
          <w:sz w:val="18"/>
          <w:szCs w:val="18"/>
          <w:lang w:val="es-ES_tradnl"/>
        </w:rPr>
        <w:t>, Decisi</w:t>
      </w:r>
      <w:r>
        <w:rPr>
          <w:rFonts w:cs="Times New Roman"/>
          <w:spacing w:val="-6"/>
          <w:sz w:val="18"/>
          <w:szCs w:val="18"/>
          <w:lang w:val="es-ES_tradnl"/>
        </w:rPr>
        <w:t>ó</w:t>
      </w:r>
      <w:r>
        <w:rPr>
          <w:spacing w:val="-6"/>
          <w:sz w:val="18"/>
          <w:szCs w:val="18"/>
          <w:lang w:val="es-ES_tradnl"/>
        </w:rPr>
        <w:t xml:space="preserve">n contra la cual, el accionante </w:t>
      </w:r>
      <w:r>
        <w:rPr>
          <w:sz w:val="18"/>
          <w:szCs w:val="18"/>
          <w:lang w:val="es-ES_tradnl"/>
        </w:rPr>
        <w:t>interpuso recurso de apelaci</w:t>
      </w:r>
      <w:r>
        <w:rPr>
          <w:rFonts w:cs="Times New Roman"/>
          <w:sz w:val="18"/>
          <w:szCs w:val="18"/>
          <w:lang w:val="es-ES_tradnl"/>
        </w:rPr>
        <w:t>ó</w:t>
      </w:r>
      <w:r>
        <w:rPr>
          <w:sz w:val="18"/>
          <w:szCs w:val="18"/>
          <w:lang w:val="es-ES_tradnl"/>
        </w:rPr>
        <w:t>n.</w:t>
      </w:r>
    </w:p>
    <w:p w14:paraId="4F67A9DC" w14:textId="77777777" w:rsidR="00591D54" w:rsidRDefault="00591D54">
      <w:pPr>
        <w:shd w:val="clear" w:color="auto" w:fill="FFFFFF"/>
        <w:spacing w:before="197" w:line="216" w:lineRule="exact"/>
        <w:ind w:right="5"/>
        <w:jc w:val="both"/>
      </w:pPr>
      <w:r>
        <w:rPr>
          <w:spacing w:val="-7"/>
          <w:sz w:val="18"/>
          <w:szCs w:val="18"/>
          <w:lang w:val="es-ES_tradnl"/>
        </w:rPr>
        <w:t xml:space="preserve">De esta forma, la Primera Sala de la Corte Constitucional, </w:t>
      </w:r>
      <w:r>
        <w:rPr>
          <w:spacing w:val="-6"/>
          <w:sz w:val="18"/>
          <w:szCs w:val="18"/>
          <w:lang w:val="es-ES_tradnl"/>
        </w:rPr>
        <w:t>para el per</w:t>
      </w:r>
      <w:r>
        <w:rPr>
          <w:rFonts w:cs="Times New Roman"/>
          <w:spacing w:val="-6"/>
          <w:sz w:val="18"/>
          <w:szCs w:val="18"/>
          <w:lang w:val="es-ES_tradnl"/>
        </w:rPr>
        <w:t>í</w:t>
      </w:r>
      <w:r>
        <w:rPr>
          <w:spacing w:val="-6"/>
          <w:sz w:val="18"/>
          <w:szCs w:val="18"/>
          <w:lang w:val="es-ES_tradnl"/>
        </w:rPr>
        <w:t>odo de transici</w:t>
      </w:r>
      <w:r>
        <w:rPr>
          <w:rFonts w:cs="Times New Roman"/>
          <w:spacing w:val="-6"/>
          <w:sz w:val="18"/>
          <w:szCs w:val="18"/>
          <w:lang w:val="es-ES_tradnl"/>
        </w:rPr>
        <w:t>ó</w:t>
      </w:r>
      <w:r>
        <w:rPr>
          <w:spacing w:val="-6"/>
          <w:sz w:val="18"/>
          <w:szCs w:val="18"/>
          <w:lang w:val="es-ES_tradnl"/>
        </w:rPr>
        <w:t>n, el 12 de agosto de 2009, resolvi</w:t>
      </w:r>
      <w:r>
        <w:rPr>
          <w:rFonts w:cs="Times New Roman"/>
          <w:spacing w:val="-6"/>
          <w:sz w:val="18"/>
          <w:szCs w:val="18"/>
          <w:lang w:val="es-ES_tradnl"/>
        </w:rPr>
        <w:t>ó</w:t>
      </w:r>
      <w:r>
        <w:rPr>
          <w:spacing w:val="-6"/>
          <w:sz w:val="18"/>
          <w:szCs w:val="18"/>
          <w:lang w:val="es-ES_tradnl"/>
        </w:rPr>
        <w:t xml:space="preserve">: </w:t>
      </w:r>
      <w:r>
        <w:rPr>
          <w:rFonts w:cs="Times New Roman"/>
          <w:spacing w:val="-6"/>
          <w:sz w:val="18"/>
          <w:szCs w:val="18"/>
          <w:lang w:val="es-ES_tradnl"/>
        </w:rPr>
        <w:t>“</w:t>
      </w:r>
      <w:r>
        <w:rPr>
          <w:spacing w:val="-6"/>
          <w:sz w:val="18"/>
          <w:szCs w:val="18"/>
          <w:lang w:val="es-ES_tradnl"/>
        </w:rPr>
        <w:t>1</w:t>
      </w:r>
      <w:r>
        <w:rPr>
          <w:rFonts w:cs="Times New Roman"/>
          <w:spacing w:val="-6"/>
          <w:sz w:val="18"/>
          <w:szCs w:val="18"/>
          <w:lang w:val="es-ES_tradnl"/>
        </w:rPr>
        <w:t>º</w:t>
      </w:r>
      <w:r>
        <w:rPr>
          <w:spacing w:val="-6"/>
          <w:sz w:val="18"/>
          <w:szCs w:val="18"/>
          <w:lang w:val="es-ES_tradnl"/>
        </w:rPr>
        <w:t>.- Revocar la resoluci</w:t>
      </w:r>
      <w:r>
        <w:rPr>
          <w:rFonts w:cs="Times New Roman"/>
          <w:spacing w:val="-6"/>
          <w:sz w:val="18"/>
          <w:szCs w:val="18"/>
          <w:lang w:val="es-ES_tradnl"/>
        </w:rPr>
        <w:t>ó</w:t>
      </w:r>
      <w:r>
        <w:rPr>
          <w:spacing w:val="-6"/>
          <w:sz w:val="18"/>
          <w:szCs w:val="18"/>
          <w:lang w:val="es-ES_tradnl"/>
        </w:rPr>
        <w:t xml:space="preserve">n venida en grado; y en </w:t>
      </w:r>
      <w:r>
        <w:rPr>
          <w:spacing w:val="-9"/>
          <w:sz w:val="18"/>
          <w:szCs w:val="18"/>
          <w:lang w:val="es-ES_tradnl"/>
        </w:rPr>
        <w:t>consecuencia, conceder la acci</w:t>
      </w:r>
      <w:r>
        <w:rPr>
          <w:rFonts w:cs="Times New Roman"/>
          <w:spacing w:val="-9"/>
          <w:sz w:val="18"/>
          <w:szCs w:val="18"/>
          <w:lang w:val="es-ES_tradnl"/>
        </w:rPr>
        <w:t>ó</w:t>
      </w:r>
      <w:r>
        <w:rPr>
          <w:spacing w:val="-9"/>
          <w:sz w:val="18"/>
          <w:szCs w:val="18"/>
          <w:lang w:val="es-ES_tradnl"/>
        </w:rPr>
        <w:t>n de amparo propuesta por el doctor Leonel Segundo Mart</w:t>
      </w:r>
      <w:r>
        <w:rPr>
          <w:rFonts w:cs="Times New Roman"/>
          <w:spacing w:val="-9"/>
          <w:sz w:val="18"/>
          <w:szCs w:val="18"/>
          <w:lang w:val="es-ES_tradnl"/>
        </w:rPr>
        <w:t>í</w:t>
      </w:r>
      <w:r>
        <w:rPr>
          <w:spacing w:val="-9"/>
          <w:sz w:val="18"/>
          <w:szCs w:val="18"/>
          <w:lang w:val="es-ES_tradnl"/>
        </w:rPr>
        <w:t>nez Rosero; y, 2</w:t>
      </w:r>
      <w:r>
        <w:rPr>
          <w:rFonts w:cs="Times New Roman"/>
          <w:spacing w:val="-9"/>
          <w:sz w:val="18"/>
          <w:szCs w:val="18"/>
          <w:lang w:val="es-ES_tradnl"/>
        </w:rPr>
        <w:t>º</w:t>
      </w:r>
      <w:r>
        <w:rPr>
          <w:spacing w:val="-9"/>
          <w:sz w:val="18"/>
          <w:szCs w:val="18"/>
          <w:lang w:val="es-ES_tradnl"/>
        </w:rPr>
        <w:t xml:space="preserve">.- Devolver </w:t>
      </w:r>
      <w:r>
        <w:rPr>
          <w:spacing w:val="-10"/>
          <w:sz w:val="18"/>
          <w:szCs w:val="18"/>
          <w:lang w:val="es-ES_tradnl"/>
        </w:rPr>
        <w:t xml:space="preserve">el expediente al Juez de instancia para los fines previstos en </w:t>
      </w:r>
      <w:r>
        <w:rPr>
          <w:sz w:val="18"/>
          <w:szCs w:val="18"/>
          <w:lang w:val="es-ES_tradnl"/>
        </w:rPr>
        <w:t>la Ley</w:t>
      </w:r>
      <w:r>
        <w:rPr>
          <w:rFonts w:cs="Times New Roman"/>
          <w:sz w:val="18"/>
          <w:szCs w:val="18"/>
          <w:lang w:val="es-ES_tradnl"/>
        </w:rPr>
        <w:t>”</w:t>
      </w:r>
      <w:r>
        <w:rPr>
          <w:sz w:val="18"/>
          <w:szCs w:val="18"/>
          <w:lang w:val="es-ES_tradnl"/>
        </w:rPr>
        <w:t>.</w:t>
      </w:r>
    </w:p>
    <w:p w14:paraId="4F67A9DD" w14:textId="77777777" w:rsidR="00591D54" w:rsidRDefault="00591D54">
      <w:pPr>
        <w:shd w:val="clear" w:color="auto" w:fill="FFFFFF"/>
        <w:spacing w:before="197" w:line="216" w:lineRule="exact"/>
        <w:ind w:right="5"/>
        <w:jc w:val="both"/>
      </w:pPr>
      <w:r>
        <w:rPr>
          <w:sz w:val="18"/>
          <w:szCs w:val="18"/>
          <w:lang w:val="es-ES_tradnl"/>
        </w:rPr>
        <w:t>Para arribar a esta decisi</w:t>
      </w:r>
      <w:r>
        <w:rPr>
          <w:rFonts w:cs="Times New Roman"/>
          <w:sz w:val="18"/>
          <w:szCs w:val="18"/>
          <w:lang w:val="es-ES_tradnl"/>
        </w:rPr>
        <w:t>ó</w:t>
      </w:r>
      <w:r>
        <w:rPr>
          <w:sz w:val="18"/>
          <w:szCs w:val="18"/>
          <w:lang w:val="es-ES_tradnl"/>
        </w:rPr>
        <w:t xml:space="preserve">n, la Primera Sala de la </w:t>
      </w:r>
      <w:r>
        <w:rPr>
          <w:spacing w:val="-6"/>
          <w:sz w:val="18"/>
          <w:szCs w:val="18"/>
          <w:lang w:val="es-ES_tradnl"/>
        </w:rPr>
        <w:t>Corte Constitucional concluy</w:t>
      </w:r>
      <w:r>
        <w:rPr>
          <w:rFonts w:cs="Times New Roman"/>
          <w:spacing w:val="-6"/>
          <w:sz w:val="18"/>
          <w:szCs w:val="18"/>
          <w:lang w:val="es-ES_tradnl"/>
        </w:rPr>
        <w:t>ó</w:t>
      </w:r>
      <w:r>
        <w:rPr>
          <w:spacing w:val="-6"/>
          <w:sz w:val="18"/>
          <w:szCs w:val="18"/>
          <w:lang w:val="es-ES_tradnl"/>
        </w:rPr>
        <w:t xml:space="preserve"> que dentro del sumario administrativo previo a la recepci</w:t>
      </w:r>
      <w:r>
        <w:rPr>
          <w:rFonts w:cs="Times New Roman"/>
          <w:spacing w:val="-6"/>
          <w:sz w:val="18"/>
          <w:szCs w:val="18"/>
          <w:lang w:val="es-ES_tradnl"/>
        </w:rPr>
        <w:t>ó</w:t>
      </w:r>
      <w:r>
        <w:rPr>
          <w:spacing w:val="-6"/>
          <w:sz w:val="18"/>
          <w:szCs w:val="18"/>
          <w:lang w:val="es-ES_tradnl"/>
        </w:rPr>
        <w:t xml:space="preserve">n de los testimonios no </w:t>
      </w:r>
      <w:r>
        <w:rPr>
          <w:spacing w:val="-13"/>
          <w:sz w:val="18"/>
          <w:szCs w:val="18"/>
          <w:lang w:val="es-ES_tradnl"/>
        </w:rPr>
        <w:t>hubo la nominaci</w:t>
      </w:r>
      <w:r>
        <w:rPr>
          <w:rFonts w:cs="Times New Roman"/>
          <w:spacing w:val="-13"/>
          <w:sz w:val="18"/>
          <w:szCs w:val="18"/>
          <w:lang w:val="es-ES_tradnl"/>
        </w:rPr>
        <w:t>ó</w:t>
      </w:r>
      <w:r>
        <w:rPr>
          <w:spacing w:val="-13"/>
          <w:sz w:val="18"/>
          <w:szCs w:val="18"/>
          <w:lang w:val="es-ES_tradnl"/>
        </w:rPr>
        <w:t xml:space="preserve">n de las personas que iban a deponer como </w:t>
      </w:r>
      <w:r>
        <w:rPr>
          <w:spacing w:val="-9"/>
          <w:sz w:val="18"/>
          <w:szCs w:val="18"/>
          <w:lang w:val="es-ES_tradnl"/>
        </w:rPr>
        <w:t>tampoco se</w:t>
      </w:r>
      <w:r>
        <w:rPr>
          <w:rFonts w:cs="Times New Roman"/>
          <w:spacing w:val="-9"/>
          <w:sz w:val="18"/>
          <w:szCs w:val="18"/>
          <w:lang w:val="es-ES_tradnl"/>
        </w:rPr>
        <w:t>ñ</w:t>
      </w:r>
      <w:r>
        <w:rPr>
          <w:spacing w:val="-9"/>
          <w:sz w:val="18"/>
          <w:szCs w:val="18"/>
          <w:lang w:val="es-ES_tradnl"/>
        </w:rPr>
        <w:t>alamiento de d</w:t>
      </w:r>
      <w:r>
        <w:rPr>
          <w:rFonts w:cs="Times New Roman"/>
          <w:spacing w:val="-9"/>
          <w:sz w:val="18"/>
          <w:szCs w:val="18"/>
          <w:lang w:val="es-ES_tradnl"/>
        </w:rPr>
        <w:t>í</w:t>
      </w:r>
      <w:r>
        <w:rPr>
          <w:spacing w:val="-9"/>
          <w:sz w:val="18"/>
          <w:szCs w:val="18"/>
          <w:lang w:val="es-ES_tradnl"/>
        </w:rPr>
        <w:t xml:space="preserve">a y hora para que cumplan con </w:t>
      </w:r>
      <w:r>
        <w:rPr>
          <w:spacing w:val="-7"/>
          <w:sz w:val="18"/>
          <w:szCs w:val="18"/>
          <w:lang w:val="es-ES_tradnl"/>
        </w:rPr>
        <w:t>la orden, situaci</w:t>
      </w:r>
      <w:r>
        <w:rPr>
          <w:rFonts w:cs="Times New Roman"/>
          <w:spacing w:val="-7"/>
          <w:sz w:val="18"/>
          <w:szCs w:val="18"/>
          <w:lang w:val="es-ES_tradnl"/>
        </w:rPr>
        <w:t>ó</w:t>
      </w:r>
      <w:r>
        <w:rPr>
          <w:spacing w:val="-7"/>
          <w:sz w:val="18"/>
          <w:szCs w:val="18"/>
          <w:lang w:val="es-ES_tradnl"/>
        </w:rPr>
        <w:t>n que impidi</w:t>
      </w:r>
      <w:r>
        <w:rPr>
          <w:rFonts w:cs="Times New Roman"/>
          <w:spacing w:val="-7"/>
          <w:sz w:val="18"/>
          <w:szCs w:val="18"/>
          <w:lang w:val="es-ES_tradnl"/>
        </w:rPr>
        <w:t>ó</w:t>
      </w:r>
      <w:r>
        <w:rPr>
          <w:spacing w:val="-7"/>
          <w:sz w:val="18"/>
          <w:szCs w:val="18"/>
          <w:lang w:val="es-ES_tradnl"/>
        </w:rPr>
        <w:t xml:space="preserve"> al actor ejercer su derecho </w:t>
      </w:r>
      <w:r>
        <w:rPr>
          <w:spacing w:val="-8"/>
          <w:sz w:val="18"/>
          <w:szCs w:val="18"/>
          <w:lang w:val="es-ES_tradnl"/>
        </w:rPr>
        <w:t>de contradicci</w:t>
      </w:r>
      <w:r>
        <w:rPr>
          <w:rFonts w:cs="Times New Roman"/>
          <w:spacing w:val="-8"/>
          <w:sz w:val="18"/>
          <w:szCs w:val="18"/>
          <w:lang w:val="es-ES_tradnl"/>
        </w:rPr>
        <w:t>ó</w:t>
      </w:r>
      <w:r>
        <w:rPr>
          <w:spacing w:val="-8"/>
          <w:sz w:val="18"/>
          <w:szCs w:val="18"/>
          <w:lang w:val="es-ES_tradnl"/>
        </w:rPr>
        <w:t>n, por lo que se lo dej</w:t>
      </w:r>
      <w:r>
        <w:rPr>
          <w:rFonts w:cs="Times New Roman"/>
          <w:spacing w:val="-8"/>
          <w:sz w:val="18"/>
          <w:szCs w:val="18"/>
          <w:lang w:val="es-ES_tradnl"/>
        </w:rPr>
        <w:t>ó</w:t>
      </w:r>
      <w:r>
        <w:rPr>
          <w:spacing w:val="-8"/>
          <w:sz w:val="18"/>
          <w:szCs w:val="18"/>
          <w:lang w:val="es-ES_tradnl"/>
        </w:rPr>
        <w:t xml:space="preserve"> en indefensi</w:t>
      </w:r>
      <w:r>
        <w:rPr>
          <w:rFonts w:cs="Times New Roman"/>
          <w:spacing w:val="-8"/>
          <w:sz w:val="18"/>
          <w:szCs w:val="18"/>
          <w:lang w:val="es-ES_tradnl"/>
        </w:rPr>
        <w:t>ó</w:t>
      </w:r>
      <w:r>
        <w:rPr>
          <w:spacing w:val="-8"/>
          <w:sz w:val="18"/>
          <w:szCs w:val="18"/>
          <w:lang w:val="es-ES_tradnl"/>
        </w:rPr>
        <w:t>n en la parte m</w:t>
      </w:r>
      <w:r>
        <w:rPr>
          <w:rFonts w:cs="Times New Roman"/>
          <w:spacing w:val="-8"/>
          <w:sz w:val="18"/>
          <w:szCs w:val="18"/>
          <w:lang w:val="es-ES_tradnl"/>
        </w:rPr>
        <w:t>á</w:t>
      </w:r>
      <w:r>
        <w:rPr>
          <w:spacing w:val="-8"/>
          <w:sz w:val="18"/>
          <w:szCs w:val="18"/>
          <w:lang w:val="es-ES_tradnl"/>
        </w:rPr>
        <w:t>s importante del sumario, adem</w:t>
      </w:r>
      <w:r>
        <w:rPr>
          <w:rFonts w:cs="Times New Roman"/>
          <w:spacing w:val="-8"/>
          <w:sz w:val="18"/>
          <w:szCs w:val="18"/>
          <w:lang w:val="es-ES_tradnl"/>
        </w:rPr>
        <w:t>á</w:t>
      </w:r>
      <w:r>
        <w:rPr>
          <w:spacing w:val="-8"/>
          <w:sz w:val="18"/>
          <w:szCs w:val="18"/>
          <w:lang w:val="es-ES_tradnl"/>
        </w:rPr>
        <w:t xml:space="preserve">s determina que </w:t>
      </w:r>
      <w:r>
        <w:rPr>
          <w:spacing w:val="-7"/>
          <w:sz w:val="18"/>
          <w:szCs w:val="18"/>
          <w:lang w:val="es-ES_tradnl"/>
        </w:rPr>
        <w:t>no se respet</w:t>
      </w:r>
      <w:r>
        <w:rPr>
          <w:rFonts w:cs="Times New Roman"/>
          <w:spacing w:val="-7"/>
          <w:sz w:val="18"/>
          <w:szCs w:val="18"/>
          <w:lang w:val="es-ES_tradnl"/>
        </w:rPr>
        <w:t>ó</w:t>
      </w:r>
      <w:r>
        <w:rPr>
          <w:spacing w:val="-7"/>
          <w:sz w:val="18"/>
          <w:szCs w:val="18"/>
          <w:lang w:val="es-ES_tradnl"/>
        </w:rPr>
        <w:t xml:space="preserve"> el principio de publicidad de la prueba, al no </w:t>
      </w:r>
      <w:r>
        <w:rPr>
          <w:sz w:val="18"/>
          <w:szCs w:val="18"/>
          <w:lang w:val="es-ES_tradnl"/>
        </w:rPr>
        <w:t>haberse obrado como manda la ley.</w:t>
      </w:r>
    </w:p>
    <w:p w14:paraId="4F67A9DE" w14:textId="77777777" w:rsidR="00591D54" w:rsidRDefault="00591D54">
      <w:pPr>
        <w:shd w:val="clear" w:color="auto" w:fill="FFFFFF"/>
        <w:spacing w:before="192" w:line="216" w:lineRule="exact"/>
        <w:ind w:right="5"/>
        <w:jc w:val="both"/>
      </w:pPr>
      <w:r>
        <w:rPr>
          <w:spacing w:val="-11"/>
          <w:sz w:val="18"/>
          <w:szCs w:val="18"/>
          <w:lang w:val="es-ES_tradnl"/>
        </w:rPr>
        <w:t>En base a estos fundamentos, resolvi</w:t>
      </w:r>
      <w:r>
        <w:rPr>
          <w:rFonts w:cs="Times New Roman"/>
          <w:spacing w:val="-11"/>
          <w:sz w:val="18"/>
          <w:szCs w:val="18"/>
          <w:lang w:val="es-ES_tradnl"/>
        </w:rPr>
        <w:t>ó</w:t>
      </w:r>
      <w:r>
        <w:rPr>
          <w:spacing w:val="-11"/>
          <w:sz w:val="18"/>
          <w:szCs w:val="18"/>
          <w:lang w:val="es-ES_tradnl"/>
        </w:rPr>
        <w:t xml:space="preserve"> conceder la acci</w:t>
      </w:r>
      <w:r>
        <w:rPr>
          <w:rFonts w:cs="Times New Roman"/>
          <w:spacing w:val="-11"/>
          <w:sz w:val="18"/>
          <w:szCs w:val="18"/>
          <w:lang w:val="es-ES_tradnl"/>
        </w:rPr>
        <w:t>ó</w:t>
      </w:r>
      <w:r>
        <w:rPr>
          <w:spacing w:val="-11"/>
          <w:sz w:val="18"/>
          <w:szCs w:val="18"/>
          <w:lang w:val="es-ES_tradnl"/>
        </w:rPr>
        <w:t xml:space="preserve">n de </w:t>
      </w:r>
      <w:r>
        <w:rPr>
          <w:spacing w:val="-8"/>
          <w:sz w:val="18"/>
          <w:szCs w:val="18"/>
          <w:lang w:val="es-ES_tradnl"/>
        </w:rPr>
        <w:t xml:space="preserve">amparo constitucional, sin embargo la Corte Constitucional </w:t>
      </w:r>
      <w:r>
        <w:rPr>
          <w:spacing w:val="-4"/>
          <w:sz w:val="18"/>
          <w:szCs w:val="18"/>
          <w:lang w:val="es-ES_tradnl"/>
        </w:rPr>
        <w:t>no especific</w:t>
      </w:r>
      <w:r>
        <w:rPr>
          <w:rFonts w:cs="Times New Roman"/>
          <w:spacing w:val="-4"/>
          <w:sz w:val="18"/>
          <w:szCs w:val="18"/>
          <w:lang w:val="es-ES_tradnl"/>
        </w:rPr>
        <w:t>ó</w:t>
      </w:r>
      <w:r>
        <w:rPr>
          <w:spacing w:val="-4"/>
          <w:sz w:val="18"/>
          <w:szCs w:val="18"/>
          <w:lang w:val="es-ES_tradnl"/>
        </w:rPr>
        <w:t xml:space="preserve"> las obligaciones individualizadas positivas </w:t>
      </w:r>
      <w:r>
        <w:rPr>
          <w:spacing w:val="-7"/>
          <w:sz w:val="18"/>
          <w:szCs w:val="18"/>
          <w:lang w:val="es-ES_tradnl"/>
        </w:rPr>
        <w:t>y negativas que deb</w:t>
      </w:r>
      <w:r>
        <w:rPr>
          <w:rFonts w:cs="Times New Roman"/>
          <w:spacing w:val="-7"/>
          <w:sz w:val="18"/>
          <w:szCs w:val="18"/>
          <w:lang w:val="es-ES_tradnl"/>
        </w:rPr>
        <w:t>í</w:t>
      </w:r>
      <w:r>
        <w:rPr>
          <w:spacing w:val="-7"/>
          <w:sz w:val="18"/>
          <w:szCs w:val="18"/>
          <w:lang w:val="es-ES_tradnl"/>
        </w:rPr>
        <w:t xml:space="preserve">an ser cumplidas, ya que de forma </w:t>
      </w:r>
      <w:r>
        <w:rPr>
          <w:spacing w:val="-3"/>
          <w:sz w:val="18"/>
          <w:szCs w:val="18"/>
          <w:lang w:val="es-ES_tradnl"/>
        </w:rPr>
        <w:t>general revoc</w:t>
      </w:r>
      <w:r>
        <w:rPr>
          <w:rFonts w:cs="Times New Roman"/>
          <w:spacing w:val="-3"/>
          <w:sz w:val="18"/>
          <w:szCs w:val="18"/>
          <w:lang w:val="es-ES_tradnl"/>
        </w:rPr>
        <w:t>ó</w:t>
      </w:r>
      <w:r>
        <w:rPr>
          <w:spacing w:val="-3"/>
          <w:sz w:val="18"/>
          <w:szCs w:val="18"/>
          <w:lang w:val="es-ES_tradnl"/>
        </w:rPr>
        <w:t xml:space="preserve"> la decisi</w:t>
      </w:r>
      <w:r>
        <w:rPr>
          <w:rFonts w:cs="Times New Roman"/>
          <w:spacing w:val="-3"/>
          <w:sz w:val="18"/>
          <w:szCs w:val="18"/>
          <w:lang w:val="es-ES_tradnl"/>
        </w:rPr>
        <w:t>ó</w:t>
      </w:r>
      <w:r>
        <w:rPr>
          <w:spacing w:val="-3"/>
          <w:sz w:val="18"/>
          <w:szCs w:val="18"/>
          <w:lang w:val="es-ES_tradnl"/>
        </w:rPr>
        <w:t>n de instancia y concedi</w:t>
      </w:r>
      <w:r>
        <w:rPr>
          <w:rFonts w:cs="Times New Roman"/>
          <w:spacing w:val="-3"/>
          <w:sz w:val="18"/>
          <w:szCs w:val="18"/>
          <w:lang w:val="es-ES_tradnl"/>
        </w:rPr>
        <w:t>ó</w:t>
      </w:r>
      <w:r>
        <w:rPr>
          <w:spacing w:val="-3"/>
          <w:sz w:val="18"/>
          <w:szCs w:val="18"/>
          <w:lang w:val="es-ES_tradnl"/>
        </w:rPr>
        <w:t xml:space="preserve"> el </w:t>
      </w:r>
      <w:r>
        <w:rPr>
          <w:sz w:val="18"/>
          <w:szCs w:val="18"/>
          <w:lang w:val="es-ES_tradnl"/>
        </w:rPr>
        <w:t>amparo constitucional.</w:t>
      </w:r>
    </w:p>
    <w:p w14:paraId="4F67A9DF" w14:textId="77777777" w:rsidR="00591D54" w:rsidRDefault="00591D54">
      <w:pPr>
        <w:shd w:val="clear" w:color="auto" w:fill="FFFFFF"/>
        <w:spacing w:before="192" w:line="216" w:lineRule="exact"/>
        <w:jc w:val="both"/>
      </w:pPr>
      <w:r>
        <w:rPr>
          <w:spacing w:val="-7"/>
          <w:sz w:val="18"/>
          <w:szCs w:val="18"/>
          <w:lang w:val="es-ES_tradnl"/>
        </w:rPr>
        <w:t>Esta circunstancia genera un vac</w:t>
      </w:r>
      <w:r>
        <w:rPr>
          <w:rFonts w:cs="Times New Roman"/>
          <w:spacing w:val="-7"/>
          <w:sz w:val="18"/>
          <w:szCs w:val="18"/>
          <w:lang w:val="es-ES_tradnl"/>
        </w:rPr>
        <w:t>í</w:t>
      </w:r>
      <w:r>
        <w:rPr>
          <w:spacing w:val="-7"/>
          <w:sz w:val="18"/>
          <w:szCs w:val="18"/>
          <w:lang w:val="es-ES_tradnl"/>
        </w:rPr>
        <w:t>o en la decisi</w:t>
      </w:r>
      <w:r>
        <w:rPr>
          <w:rFonts w:cs="Times New Roman"/>
          <w:spacing w:val="-7"/>
          <w:sz w:val="18"/>
          <w:szCs w:val="18"/>
          <w:lang w:val="es-ES_tradnl"/>
        </w:rPr>
        <w:t>ó</w:t>
      </w:r>
      <w:r>
        <w:rPr>
          <w:spacing w:val="-7"/>
          <w:sz w:val="18"/>
          <w:szCs w:val="18"/>
          <w:lang w:val="es-ES_tradnl"/>
        </w:rPr>
        <w:t xml:space="preserve">n dictada </w:t>
      </w:r>
      <w:r>
        <w:rPr>
          <w:spacing w:val="-6"/>
          <w:sz w:val="18"/>
          <w:szCs w:val="18"/>
          <w:lang w:val="es-ES_tradnl"/>
        </w:rPr>
        <w:t xml:space="preserve">por la Corte Constitucional que dificulta su cumplimiento, </w:t>
      </w:r>
      <w:r>
        <w:rPr>
          <w:spacing w:val="-5"/>
          <w:sz w:val="18"/>
          <w:szCs w:val="18"/>
          <w:lang w:val="es-ES_tradnl"/>
        </w:rPr>
        <w:t>puesto que no existen medidas de reparaci</w:t>
      </w:r>
      <w:r>
        <w:rPr>
          <w:rFonts w:cs="Times New Roman"/>
          <w:spacing w:val="-5"/>
          <w:sz w:val="18"/>
          <w:szCs w:val="18"/>
          <w:lang w:val="es-ES_tradnl"/>
        </w:rPr>
        <w:t>ó</w:t>
      </w:r>
      <w:r>
        <w:rPr>
          <w:spacing w:val="-5"/>
          <w:sz w:val="18"/>
          <w:szCs w:val="18"/>
          <w:lang w:val="es-ES_tradnl"/>
        </w:rPr>
        <w:t xml:space="preserve">n integral </w:t>
      </w:r>
      <w:r>
        <w:rPr>
          <w:spacing w:val="-9"/>
          <w:sz w:val="18"/>
          <w:szCs w:val="18"/>
          <w:lang w:val="es-ES_tradnl"/>
        </w:rPr>
        <w:t>espec</w:t>
      </w:r>
      <w:r>
        <w:rPr>
          <w:rFonts w:cs="Times New Roman"/>
          <w:spacing w:val="-9"/>
          <w:sz w:val="18"/>
          <w:szCs w:val="18"/>
          <w:lang w:val="es-ES_tradnl"/>
        </w:rPr>
        <w:t>í</w:t>
      </w:r>
      <w:r>
        <w:rPr>
          <w:spacing w:val="-9"/>
          <w:sz w:val="18"/>
          <w:szCs w:val="18"/>
          <w:lang w:val="es-ES_tradnl"/>
        </w:rPr>
        <w:t xml:space="preserve">ficas que deban cumplirse, conforme lo dispuesto en </w:t>
      </w:r>
      <w:r>
        <w:rPr>
          <w:spacing w:val="-7"/>
          <w:sz w:val="18"/>
          <w:szCs w:val="18"/>
          <w:lang w:val="es-ES_tradnl"/>
        </w:rPr>
        <w:t>el art</w:t>
      </w:r>
      <w:r>
        <w:rPr>
          <w:rFonts w:cs="Times New Roman"/>
          <w:spacing w:val="-7"/>
          <w:sz w:val="18"/>
          <w:szCs w:val="18"/>
          <w:lang w:val="es-ES_tradnl"/>
        </w:rPr>
        <w:t>í</w:t>
      </w:r>
      <w:r>
        <w:rPr>
          <w:spacing w:val="-7"/>
          <w:sz w:val="18"/>
          <w:szCs w:val="18"/>
          <w:lang w:val="es-ES_tradnl"/>
        </w:rPr>
        <w:t>culo 86 numeral 3 de 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 xml:space="preserve">blica </w:t>
      </w:r>
      <w:r>
        <w:rPr>
          <w:spacing w:val="-9"/>
          <w:sz w:val="18"/>
          <w:szCs w:val="18"/>
          <w:lang w:val="es-ES_tradnl"/>
        </w:rPr>
        <w:t xml:space="preserve">que establece: </w:t>
      </w:r>
      <w:r>
        <w:rPr>
          <w:rFonts w:cs="Times New Roman"/>
          <w:spacing w:val="-9"/>
          <w:sz w:val="18"/>
          <w:szCs w:val="18"/>
          <w:lang w:val="es-ES_tradnl"/>
        </w:rPr>
        <w:t>“</w:t>
      </w:r>
      <w:r>
        <w:rPr>
          <w:spacing w:val="-9"/>
          <w:sz w:val="18"/>
          <w:szCs w:val="18"/>
          <w:lang w:val="es-ES_tradnl"/>
        </w:rPr>
        <w:t>La jueza o juez resolver</w:t>
      </w:r>
      <w:r>
        <w:rPr>
          <w:rFonts w:cs="Times New Roman"/>
          <w:spacing w:val="-9"/>
          <w:sz w:val="18"/>
          <w:szCs w:val="18"/>
          <w:lang w:val="es-ES_tradnl"/>
        </w:rPr>
        <w:t>á</w:t>
      </w:r>
      <w:r>
        <w:rPr>
          <w:spacing w:val="-9"/>
          <w:sz w:val="18"/>
          <w:szCs w:val="18"/>
          <w:lang w:val="es-ES_tradnl"/>
        </w:rPr>
        <w:t xml:space="preserve"> la causa mediante </w:t>
      </w:r>
      <w:r>
        <w:rPr>
          <w:spacing w:val="-5"/>
          <w:sz w:val="18"/>
          <w:szCs w:val="18"/>
          <w:lang w:val="es-ES_tradnl"/>
        </w:rPr>
        <w:t>sentencia y en caso de constatarse la vulneraci</w:t>
      </w:r>
      <w:r>
        <w:rPr>
          <w:rFonts w:cs="Times New Roman"/>
          <w:spacing w:val="-5"/>
          <w:sz w:val="18"/>
          <w:szCs w:val="18"/>
          <w:lang w:val="es-ES_tradnl"/>
        </w:rPr>
        <w:t>ó</w:t>
      </w:r>
      <w:r>
        <w:rPr>
          <w:spacing w:val="-5"/>
          <w:sz w:val="18"/>
          <w:szCs w:val="18"/>
          <w:lang w:val="es-ES_tradnl"/>
        </w:rPr>
        <w:t xml:space="preserve">n de </w:t>
      </w:r>
      <w:r>
        <w:rPr>
          <w:spacing w:val="-8"/>
          <w:sz w:val="18"/>
          <w:szCs w:val="18"/>
          <w:lang w:val="es-ES_tradnl"/>
        </w:rPr>
        <w:t>derechos, deber</w:t>
      </w:r>
      <w:r>
        <w:rPr>
          <w:rFonts w:cs="Times New Roman"/>
          <w:spacing w:val="-8"/>
          <w:sz w:val="18"/>
          <w:szCs w:val="18"/>
          <w:lang w:val="es-ES_tradnl"/>
        </w:rPr>
        <w:t>á</w:t>
      </w:r>
      <w:r>
        <w:rPr>
          <w:spacing w:val="-8"/>
          <w:sz w:val="18"/>
          <w:szCs w:val="18"/>
          <w:lang w:val="es-ES_tradnl"/>
        </w:rPr>
        <w:t xml:space="preserve"> declararla, ordenar la reparaci</w:t>
      </w:r>
      <w:r>
        <w:rPr>
          <w:rFonts w:cs="Times New Roman"/>
          <w:spacing w:val="-8"/>
          <w:sz w:val="18"/>
          <w:szCs w:val="18"/>
          <w:lang w:val="es-ES_tradnl"/>
        </w:rPr>
        <w:t>ó</w:t>
      </w:r>
      <w:r>
        <w:rPr>
          <w:spacing w:val="-8"/>
          <w:sz w:val="18"/>
          <w:szCs w:val="18"/>
          <w:lang w:val="es-ES_tradnl"/>
        </w:rPr>
        <w:t xml:space="preserve">n integral, </w:t>
      </w:r>
      <w:r>
        <w:rPr>
          <w:spacing w:val="-4"/>
          <w:sz w:val="18"/>
          <w:szCs w:val="18"/>
          <w:lang w:val="es-ES_tradnl"/>
        </w:rPr>
        <w:t xml:space="preserve">material e inmaterial, y especificar e individualizar las </w:t>
      </w:r>
      <w:r>
        <w:rPr>
          <w:spacing w:val="-8"/>
          <w:sz w:val="18"/>
          <w:szCs w:val="18"/>
          <w:lang w:val="es-ES_tradnl"/>
        </w:rPr>
        <w:t xml:space="preserve">obligaciones, positivas y negativas, a cargo del destinatario </w:t>
      </w:r>
      <w:r>
        <w:rPr>
          <w:spacing w:val="-6"/>
          <w:sz w:val="18"/>
          <w:szCs w:val="18"/>
          <w:lang w:val="es-ES_tradnl"/>
        </w:rPr>
        <w:t>de la decisi</w:t>
      </w:r>
      <w:r>
        <w:rPr>
          <w:rFonts w:cs="Times New Roman"/>
          <w:spacing w:val="-6"/>
          <w:sz w:val="18"/>
          <w:szCs w:val="18"/>
          <w:lang w:val="es-ES_tradnl"/>
        </w:rPr>
        <w:t>ó</w:t>
      </w:r>
      <w:r>
        <w:rPr>
          <w:spacing w:val="-6"/>
          <w:sz w:val="18"/>
          <w:szCs w:val="18"/>
          <w:lang w:val="es-ES_tradnl"/>
        </w:rPr>
        <w:t xml:space="preserve">n judicial, y las circunstancias en que deban </w:t>
      </w:r>
      <w:r>
        <w:rPr>
          <w:sz w:val="18"/>
          <w:szCs w:val="18"/>
          <w:lang w:val="es-ES_tradnl"/>
        </w:rPr>
        <w:t>cumplirse (</w:t>
      </w:r>
      <w:r>
        <w:rPr>
          <w:rFonts w:cs="Times New Roman"/>
          <w:sz w:val="18"/>
          <w:szCs w:val="18"/>
          <w:lang w:val="es-ES_tradnl"/>
        </w:rPr>
        <w:t>…</w:t>
      </w:r>
      <w:r>
        <w:rPr>
          <w:sz w:val="18"/>
          <w:szCs w:val="18"/>
          <w:lang w:val="es-ES_tradnl"/>
        </w:rPr>
        <w:t>)</w:t>
      </w:r>
      <w:r>
        <w:rPr>
          <w:rFonts w:cs="Times New Roman"/>
          <w:sz w:val="18"/>
          <w:szCs w:val="18"/>
          <w:lang w:val="es-ES_tradnl"/>
        </w:rPr>
        <w:t>”</w:t>
      </w:r>
      <w:r>
        <w:rPr>
          <w:sz w:val="18"/>
          <w:szCs w:val="18"/>
          <w:lang w:val="es-ES_tradnl"/>
        </w:rPr>
        <w:t>.</w:t>
      </w:r>
    </w:p>
    <w:p w14:paraId="4F67A9E0" w14:textId="77777777" w:rsidR="00591D54" w:rsidRDefault="00591D54">
      <w:pPr>
        <w:shd w:val="clear" w:color="auto" w:fill="FFFFFF"/>
        <w:spacing w:before="192" w:line="216" w:lineRule="exact"/>
        <w:jc w:val="both"/>
      </w:pPr>
      <w:r>
        <w:rPr>
          <w:spacing w:val="-5"/>
          <w:sz w:val="18"/>
          <w:szCs w:val="18"/>
          <w:lang w:val="es-ES_tradnl"/>
        </w:rPr>
        <w:t>En esta misma l</w:t>
      </w:r>
      <w:r>
        <w:rPr>
          <w:rFonts w:cs="Times New Roman"/>
          <w:spacing w:val="-5"/>
          <w:sz w:val="18"/>
          <w:szCs w:val="18"/>
          <w:lang w:val="es-ES_tradnl"/>
        </w:rPr>
        <w:t>í</w:t>
      </w:r>
      <w:r>
        <w:rPr>
          <w:spacing w:val="-5"/>
          <w:sz w:val="18"/>
          <w:szCs w:val="18"/>
          <w:lang w:val="es-ES_tradnl"/>
        </w:rPr>
        <w:t>nea, el art</w:t>
      </w:r>
      <w:r>
        <w:rPr>
          <w:rFonts w:cs="Times New Roman"/>
          <w:spacing w:val="-5"/>
          <w:sz w:val="18"/>
          <w:szCs w:val="18"/>
          <w:lang w:val="es-ES_tradnl"/>
        </w:rPr>
        <w:t>í</w:t>
      </w:r>
      <w:r>
        <w:rPr>
          <w:spacing w:val="-5"/>
          <w:sz w:val="18"/>
          <w:szCs w:val="18"/>
          <w:lang w:val="es-ES_tradnl"/>
        </w:rPr>
        <w:t xml:space="preserve">culo 51 de la Ley de Control </w:t>
      </w:r>
      <w:r>
        <w:rPr>
          <w:spacing w:val="-4"/>
          <w:sz w:val="18"/>
          <w:szCs w:val="18"/>
          <w:lang w:val="es-ES_tradnl"/>
        </w:rPr>
        <w:t>Constitucional dispon</w:t>
      </w:r>
      <w:r>
        <w:rPr>
          <w:rFonts w:cs="Times New Roman"/>
          <w:spacing w:val="-4"/>
          <w:sz w:val="18"/>
          <w:szCs w:val="18"/>
          <w:lang w:val="es-ES_tradnl"/>
        </w:rPr>
        <w:t>í</w:t>
      </w:r>
      <w:r>
        <w:rPr>
          <w:spacing w:val="-4"/>
          <w:sz w:val="18"/>
          <w:szCs w:val="18"/>
          <w:lang w:val="es-ES_tradnl"/>
        </w:rPr>
        <w:t xml:space="preserve">a: </w:t>
      </w:r>
      <w:r>
        <w:rPr>
          <w:rFonts w:cs="Times New Roman"/>
          <w:spacing w:val="-4"/>
          <w:sz w:val="18"/>
          <w:szCs w:val="18"/>
          <w:lang w:val="es-ES_tradnl"/>
        </w:rPr>
        <w:t>“</w:t>
      </w:r>
      <w:r>
        <w:rPr>
          <w:spacing w:val="-4"/>
          <w:sz w:val="18"/>
          <w:szCs w:val="18"/>
          <w:lang w:val="es-ES_tradnl"/>
        </w:rPr>
        <w:t>(</w:t>
      </w:r>
      <w:r>
        <w:rPr>
          <w:rFonts w:cs="Times New Roman"/>
          <w:spacing w:val="-4"/>
          <w:sz w:val="18"/>
          <w:szCs w:val="18"/>
          <w:lang w:val="es-ES_tradnl"/>
        </w:rPr>
        <w:t>…</w:t>
      </w:r>
      <w:r>
        <w:rPr>
          <w:spacing w:val="-4"/>
          <w:sz w:val="18"/>
          <w:szCs w:val="18"/>
          <w:lang w:val="es-ES_tradnl"/>
        </w:rPr>
        <w:t xml:space="preserve">) Dentro de las cuarenta y </w:t>
      </w:r>
      <w:r>
        <w:rPr>
          <w:spacing w:val="-5"/>
          <w:sz w:val="18"/>
          <w:szCs w:val="18"/>
          <w:lang w:val="es-ES_tradnl"/>
        </w:rPr>
        <w:t>ocho horas siguientes a la conclusi</w:t>
      </w:r>
      <w:r>
        <w:rPr>
          <w:rFonts w:cs="Times New Roman"/>
          <w:spacing w:val="-5"/>
          <w:sz w:val="18"/>
          <w:szCs w:val="18"/>
          <w:lang w:val="es-ES_tradnl"/>
        </w:rPr>
        <w:t>ó</w:t>
      </w:r>
      <w:r>
        <w:rPr>
          <w:spacing w:val="-5"/>
          <w:sz w:val="18"/>
          <w:szCs w:val="18"/>
          <w:lang w:val="es-ES_tradnl"/>
        </w:rPr>
        <w:t xml:space="preserve">n de la audiencia el </w:t>
      </w:r>
      <w:r>
        <w:rPr>
          <w:spacing w:val="-7"/>
          <w:sz w:val="18"/>
          <w:szCs w:val="18"/>
          <w:lang w:val="es-ES_tradnl"/>
        </w:rPr>
        <w:t>juez o tribunal conceder</w:t>
      </w:r>
      <w:r>
        <w:rPr>
          <w:rFonts w:cs="Times New Roman"/>
          <w:spacing w:val="-7"/>
          <w:sz w:val="18"/>
          <w:szCs w:val="18"/>
          <w:lang w:val="es-ES_tradnl"/>
        </w:rPr>
        <w:t>á</w:t>
      </w:r>
      <w:r>
        <w:rPr>
          <w:spacing w:val="-7"/>
          <w:sz w:val="18"/>
          <w:szCs w:val="18"/>
          <w:lang w:val="es-ES_tradnl"/>
        </w:rPr>
        <w:t xml:space="preserve"> o negar</w:t>
      </w:r>
      <w:r>
        <w:rPr>
          <w:rFonts w:cs="Times New Roman"/>
          <w:spacing w:val="-7"/>
          <w:sz w:val="18"/>
          <w:szCs w:val="18"/>
          <w:lang w:val="es-ES_tradnl"/>
        </w:rPr>
        <w:t>á</w:t>
      </w:r>
      <w:r>
        <w:rPr>
          <w:spacing w:val="-7"/>
          <w:sz w:val="18"/>
          <w:szCs w:val="18"/>
          <w:lang w:val="es-ES_tradnl"/>
        </w:rPr>
        <w:t xml:space="preserve"> el amparo. De admitirlo </w:t>
      </w:r>
      <w:r>
        <w:rPr>
          <w:spacing w:val="-5"/>
          <w:sz w:val="18"/>
          <w:szCs w:val="18"/>
          <w:lang w:val="es-ES_tradnl"/>
        </w:rPr>
        <w:t>ordenar</w:t>
      </w:r>
      <w:r>
        <w:rPr>
          <w:rFonts w:cs="Times New Roman"/>
          <w:spacing w:val="-5"/>
          <w:sz w:val="18"/>
          <w:szCs w:val="18"/>
          <w:lang w:val="es-ES_tradnl"/>
        </w:rPr>
        <w:t>á</w:t>
      </w:r>
      <w:r>
        <w:rPr>
          <w:spacing w:val="-5"/>
          <w:sz w:val="18"/>
          <w:szCs w:val="18"/>
          <w:lang w:val="es-ES_tradnl"/>
        </w:rPr>
        <w:t xml:space="preserve"> la suspensi</w:t>
      </w:r>
      <w:r>
        <w:rPr>
          <w:rFonts w:cs="Times New Roman"/>
          <w:spacing w:val="-5"/>
          <w:sz w:val="18"/>
          <w:szCs w:val="18"/>
          <w:lang w:val="es-ES_tradnl"/>
        </w:rPr>
        <w:t>ó</w:t>
      </w:r>
      <w:r>
        <w:rPr>
          <w:spacing w:val="-5"/>
          <w:sz w:val="18"/>
          <w:szCs w:val="18"/>
          <w:lang w:val="es-ES_tradnl"/>
        </w:rPr>
        <w:t>n definitiva del acto u omisi</w:t>
      </w:r>
      <w:r>
        <w:rPr>
          <w:rFonts w:cs="Times New Roman"/>
          <w:spacing w:val="-5"/>
          <w:sz w:val="18"/>
          <w:szCs w:val="18"/>
          <w:lang w:val="es-ES_tradnl"/>
        </w:rPr>
        <w:t>ó</w:t>
      </w:r>
      <w:r>
        <w:rPr>
          <w:spacing w:val="-5"/>
          <w:sz w:val="18"/>
          <w:szCs w:val="18"/>
          <w:lang w:val="es-ES_tradnl"/>
        </w:rPr>
        <w:t xml:space="preserve">n </w:t>
      </w:r>
      <w:r>
        <w:rPr>
          <w:spacing w:val="-7"/>
          <w:sz w:val="18"/>
          <w:szCs w:val="18"/>
          <w:lang w:val="es-ES_tradnl"/>
        </w:rPr>
        <w:t>impugnados disponiendo la ejecuci</w:t>
      </w:r>
      <w:r>
        <w:rPr>
          <w:rFonts w:cs="Times New Roman"/>
          <w:spacing w:val="-7"/>
          <w:sz w:val="18"/>
          <w:szCs w:val="18"/>
          <w:lang w:val="es-ES_tradnl"/>
        </w:rPr>
        <w:t>ó</w:t>
      </w:r>
      <w:r>
        <w:rPr>
          <w:spacing w:val="-7"/>
          <w:sz w:val="18"/>
          <w:szCs w:val="18"/>
          <w:lang w:val="es-ES_tradnl"/>
        </w:rPr>
        <w:t xml:space="preserve">n inmediata de todas </w:t>
      </w:r>
      <w:r>
        <w:rPr>
          <w:spacing w:val="-11"/>
          <w:sz w:val="18"/>
          <w:szCs w:val="18"/>
          <w:lang w:val="es-ES_tradnl"/>
        </w:rPr>
        <w:t>las medidas que considere necesarias para remediar el da</w:t>
      </w:r>
      <w:r>
        <w:rPr>
          <w:rFonts w:cs="Times New Roman"/>
          <w:spacing w:val="-11"/>
          <w:sz w:val="18"/>
          <w:szCs w:val="18"/>
          <w:lang w:val="es-ES_tradnl"/>
        </w:rPr>
        <w:t>ñ</w:t>
      </w:r>
      <w:r>
        <w:rPr>
          <w:spacing w:val="-11"/>
          <w:sz w:val="18"/>
          <w:szCs w:val="18"/>
          <w:lang w:val="es-ES_tradnl"/>
        </w:rPr>
        <w:t xml:space="preserve">o </w:t>
      </w:r>
      <w:r>
        <w:rPr>
          <w:spacing w:val="-7"/>
          <w:sz w:val="18"/>
          <w:szCs w:val="18"/>
          <w:lang w:val="es-ES_tradnl"/>
        </w:rPr>
        <w:t xml:space="preserve">o evitar el peligro sobre el derecho violado, sin perjuicio de </w:t>
      </w:r>
      <w:r>
        <w:rPr>
          <w:spacing w:val="-8"/>
          <w:sz w:val="18"/>
          <w:szCs w:val="18"/>
          <w:lang w:val="es-ES_tradnl"/>
        </w:rPr>
        <w:t>las que hayan sido adoptadas en forma preventiva</w:t>
      </w:r>
      <w:r>
        <w:rPr>
          <w:rFonts w:cs="Times New Roman"/>
          <w:spacing w:val="-8"/>
          <w:sz w:val="18"/>
          <w:szCs w:val="18"/>
          <w:lang w:val="es-ES_tradnl"/>
        </w:rPr>
        <w:t>”</w:t>
      </w:r>
      <w:r>
        <w:rPr>
          <w:spacing w:val="-8"/>
          <w:sz w:val="18"/>
          <w:szCs w:val="18"/>
          <w:lang w:val="es-ES_tradnl"/>
        </w:rPr>
        <w:t>.</w:t>
      </w:r>
    </w:p>
    <w:p w14:paraId="4F67A9E1" w14:textId="77777777" w:rsidR="00591D54" w:rsidRDefault="00591D54">
      <w:pPr>
        <w:shd w:val="clear" w:color="auto" w:fill="FFFFFF"/>
        <w:spacing w:before="192" w:line="216" w:lineRule="exact"/>
        <w:ind w:right="5"/>
        <w:jc w:val="both"/>
      </w:pPr>
      <w:r>
        <w:rPr>
          <w:spacing w:val="-7"/>
          <w:sz w:val="18"/>
          <w:szCs w:val="18"/>
          <w:lang w:val="es-ES_tradnl"/>
        </w:rPr>
        <w:t>Por consiguiente, declarada la vulneraci</w:t>
      </w:r>
      <w:r>
        <w:rPr>
          <w:rFonts w:cs="Times New Roman"/>
          <w:spacing w:val="-7"/>
          <w:sz w:val="18"/>
          <w:szCs w:val="18"/>
          <w:lang w:val="es-ES_tradnl"/>
        </w:rPr>
        <w:t>ó</w:t>
      </w:r>
      <w:r>
        <w:rPr>
          <w:spacing w:val="-7"/>
          <w:sz w:val="18"/>
          <w:szCs w:val="18"/>
          <w:lang w:val="es-ES_tradnl"/>
        </w:rPr>
        <w:t xml:space="preserve">n de un derecho constitucional, le corresponde a la jueza o juez dictar las </w:t>
      </w:r>
      <w:r>
        <w:rPr>
          <w:spacing w:val="-12"/>
          <w:sz w:val="18"/>
          <w:szCs w:val="18"/>
          <w:lang w:val="es-ES_tradnl"/>
        </w:rPr>
        <w:t xml:space="preserve">medidas que sean necesarias para resarcir las consecuencias </w:t>
      </w:r>
      <w:r>
        <w:rPr>
          <w:sz w:val="18"/>
          <w:szCs w:val="18"/>
          <w:lang w:val="es-ES_tradnl"/>
        </w:rPr>
        <w:t>de dicha vulneraci</w:t>
      </w:r>
      <w:r>
        <w:rPr>
          <w:rFonts w:cs="Times New Roman"/>
          <w:sz w:val="18"/>
          <w:szCs w:val="18"/>
          <w:lang w:val="es-ES_tradnl"/>
        </w:rPr>
        <w:t>ó</w:t>
      </w:r>
      <w:r>
        <w:rPr>
          <w:sz w:val="18"/>
          <w:szCs w:val="18"/>
          <w:lang w:val="es-ES_tradnl"/>
        </w:rPr>
        <w:t>n.</w:t>
      </w:r>
    </w:p>
    <w:p w14:paraId="4F67A9E2" w14:textId="77777777" w:rsidR="00591D54" w:rsidRDefault="00591D54">
      <w:pPr>
        <w:shd w:val="clear" w:color="auto" w:fill="FFFFFF"/>
        <w:spacing w:before="197" w:line="216" w:lineRule="exact"/>
        <w:ind w:right="5"/>
        <w:jc w:val="both"/>
      </w:pPr>
      <w:r>
        <w:rPr>
          <w:spacing w:val="-5"/>
          <w:sz w:val="18"/>
          <w:szCs w:val="18"/>
          <w:lang w:val="es-ES_tradnl"/>
        </w:rPr>
        <w:t xml:space="preserve">En este escenario, la Corte Constitucional debe destacar </w:t>
      </w:r>
      <w:r>
        <w:rPr>
          <w:spacing w:val="-7"/>
          <w:sz w:val="18"/>
          <w:szCs w:val="18"/>
          <w:lang w:val="es-ES_tradnl"/>
        </w:rPr>
        <w:t>la importancia de la reparaci</w:t>
      </w:r>
      <w:r>
        <w:rPr>
          <w:rFonts w:cs="Times New Roman"/>
          <w:spacing w:val="-7"/>
          <w:sz w:val="18"/>
          <w:szCs w:val="18"/>
          <w:lang w:val="es-ES_tradnl"/>
        </w:rPr>
        <w:t>ó</w:t>
      </w:r>
      <w:r>
        <w:rPr>
          <w:spacing w:val="-7"/>
          <w:sz w:val="18"/>
          <w:szCs w:val="18"/>
          <w:lang w:val="es-ES_tradnl"/>
        </w:rPr>
        <w:t>n integral para las garant</w:t>
      </w:r>
      <w:r>
        <w:rPr>
          <w:rFonts w:cs="Times New Roman"/>
          <w:spacing w:val="-7"/>
          <w:sz w:val="18"/>
          <w:szCs w:val="18"/>
          <w:lang w:val="es-ES_tradnl"/>
        </w:rPr>
        <w:t>í</w:t>
      </w:r>
      <w:r>
        <w:rPr>
          <w:spacing w:val="-7"/>
          <w:sz w:val="18"/>
          <w:szCs w:val="18"/>
          <w:lang w:val="es-ES_tradnl"/>
        </w:rPr>
        <w:t xml:space="preserve">as </w:t>
      </w:r>
      <w:r>
        <w:rPr>
          <w:spacing w:val="-5"/>
          <w:sz w:val="18"/>
          <w:szCs w:val="18"/>
          <w:lang w:val="es-ES_tradnl"/>
        </w:rPr>
        <w:t>jurisdiccionales, puesto que m</w:t>
      </w:r>
      <w:r>
        <w:rPr>
          <w:rFonts w:cs="Times New Roman"/>
          <w:spacing w:val="-5"/>
          <w:sz w:val="18"/>
          <w:szCs w:val="18"/>
          <w:lang w:val="es-ES_tradnl"/>
        </w:rPr>
        <w:t>á</w:t>
      </w:r>
      <w:r>
        <w:rPr>
          <w:spacing w:val="-5"/>
          <w:sz w:val="18"/>
          <w:szCs w:val="18"/>
          <w:lang w:val="es-ES_tradnl"/>
        </w:rPr>
        <w:t>s que constituirse en una</w:t>
      </w:r>
    </w:p>
    <w:p w14:paraId="4F67A9E3" w14:textId="77777777" w:rsidR="00591D54" w:rsidRDefault="00591D54">
      <w:pPr>
        <w:shd w:val="clear" w:color="auto" w:fill="FFFFFF"/>
        <w:spacing w:line="221" w:lineRule="exact"/>
        <w:jc w:val="both"/>
      </w:pPr>
      <w:r>
        <w:br w:type="column"/>
      </w:r>
      <w:r>
        <w:rPr>
          <w:spacing w:val="-8"/>
          <w:sz w:val="18"/>
          <w:szCs w:val="18"/>
          <w:lang w:val="es-ES_tradnl"/>
        </w:rPr>
        <w:t>obligaci</w:t>
      </w:r>
      <w:r>
        <w:rPr>
          <w:rFonts w:cs="Times New Roman"/>
          <w:spacing w:val="-8"/>
          <w:sz w:val="18"/>
          <w:szCs w:val="18"/>
          <w:lang w:val="es-ES_tradnl"/>
        </w:rPr>
        <w:t>ó</w:t>
      </w:r>
      <w:r>
        <w:rPr>
          <w:spacing w:val="-8"/>
          <w:sz w:val="18"/>
          <w:szCs w:val="18"/>
          <w:lang w:val="es-ES_tradnl"/>
        </w:rPr>
        <w:t>n ante una vulneraci</w:t>
      </w:r>
      <w:r>
        <w:rPr>
          <w:rFonts w:cs="Times New Roman"/>
          <w:spacing w:val="-8"/>
          <w:sz w:val="18"/>
          <w:szCs w:val="18"/>
          <w:lang w:val="es-ES_tradnl"/>
        </w:rPr>
        <w:t>ó</w:t>
      </w:r>
      <w:r>
        <w:rPr>
          <w:spacing w:val="-8"/>
          <w:sz w:val="18"/>
          <w:szCs w:val="18"/>
          <w:lang w:val="es-ES_tradnl"/>
        </w:rPr>
        <w:t xml:space="preserve">n de derechos, se constituye </w:t>
      </w:r>
      <w:r>
        <w:rPr>
          <w:spacing w:val="-2"/>
          <w:sz w:val="18"/>
          <w:szCs w:val="18"/>
          <w:lang w:val="es-ES_tradnl"/>
        </w:rPr>
        <w:t>en un verdadero derecho que asegura la raz</w:t>
      </w:r>
      <w:r>
        <w:rPr>
          <w:rFonts w:cs="Times New Roman"/>
          <w:spacing w:val="-2"/>
          <w:sz w:val="18"/>
          <w:szCs w:val="18"/>
          <w:lang w:val="es-ES_tradnl"/>
        </w:rPr>
        <w:t>ó</w:t>
      </w:r>
      <w:r>
        <w:rPr>
          <w:spacing w:val="-2"/>
          <w:sz w:val="18"/>
          <w:szCs w:val="18"/>
          <w:lang w:val="es-ES_tradnl"/>
        </w:rPr>
        <w:t xml:space="preserve">n de ser </w:t>
      </w:r>
      <w:r>
        <w:rPr>
          <w:spacing w:val="-7"/>
          <w:sz w:val="18"/>
          <w:szCs w:val="18"/>
          <w:lang w:val="es-ES_tradnl"/>
        </w:rPr>
        <w:t>de las garant</w:t>
      </w:r>
      <w:r>
        <w:rPr>
          <w:rFonts w:cs="Times New Roman"/>
          <w:spacing w:val="-7"/>
          <w:sz w:val="18"/>
          <w:szCs w:val="18"/>
          <w:lang w:val="es-ES_tradnl"/>
        </w:rPr>
        <w:t>í</w:t>
      </w:r>
      <w:r>
        <w:rPr>
          <w:spacing w:val="-7"/>
          <w:sz w:val="18"/>
          <w:szCs w:val="18"/>
          <w:lang w:val="es-ES_tradnl"/>
        </w:rPr>
        <w:t xml:space="preserve">as, ya que las mismas cumplen su objetivo </w:t>
      </w:r>
      <w:r>
        <w:rPr>
          <w:spacing w:val="-11"/>
          <w:sz w:val="18"/>
          <w:szCs w:val="18"/>
          <w:lang w:val="es-ES_tradnl"/>
        </w:rPr>
        <w:t>cuando reparan los da</w:t>
      </w:r>
      <w:r>
        <w:rPr>
          <w:rFonts w:cs="Times New Roman"/>
          <w:spacing w:val="-11"/>
          <w:sz w:val="18"/>
          <w:szCs w:val="18"/>
          <w:lang w:val="es-ES_tradnl"/>
        </w:rPr>
        <w:t>ñ</w:t>
      </w:r>
      <w:r>
        <w:rPr>
          <w:spacing w:val="-11"/>
          <w:sz w:val="18"/>
          <w:szCs w:val="18"/>
          <w:lang w:val="es-ES_tradnl"/>
        </w:rPr>
        <w:t xml:space="preserve">os generados como consecuencia de </w:t>
      </w:r>
      <w:r>
        <w:rPr>
          <w:spacing w:val="-6"/>
          <w:sz w:val="18"/>
          <w:szCs w:val="18"/>
          <w:lang w:val="es-ES_tradnl"/>
        </w:rPr>
        <w:t>una vulneraci</w:t>
      </w:r>
      <w:r>
        <w:rPr>
          <w:rFonts w:cs="Times New Roman"/>
          <w:spacing w:val="-6"/>
          <w:sz w:val="18"/>
          <w:szCs w:val="18"/>
          <w:lang w:val="es-ES_tradnl"/>
        </w:rPr>
        <w:t>ó</w:t>
      </w:r>
      <w:r>
        <w:rPr>
          <w:spacing w:val="-6"/>
          <w:sz w:val="18"/>
          <w:szCs w:val="18"/>
          <w:lang w:val="es-ES_tradnl"/>
        </w:rPr>
        <w:t xml:space="preserve">n, garantizando, por tanto, el derecho a la </w:t>
      </w:r>
      <w:r>
        <w:rPr>
          <w:sz w:val="18"/>
          <w:szCs w:val="18"/>
          <w:lang w:val="es-ES_tradnl"/>
        </w:rPr>
        <w:t>dignidad humana de las personas.</w:t>
      </w:r>
    </w:p>
    <w:p w14:paraId="4F67A9E4" w14:textId="77777777" w:rsidR="00591D54" w:rsidRDefault="00591D54">
      <w:pPr>
        <w:shd w:val="clear" w:color="auto" w:fill="FFFFFF"/>
        <w:spacing w:before="206" w:line="221" w:lineRule="exact"/>
        <w:jc w:val="both"/>
      </w:pPr>
      <w:r>
        <w:rPr>
          <w:spacing w:val="-8"/>
          <w:sz w:val="18"/>
          <w:szCs w:val="18"/>
          <w:lang w:val="es-ES_tradnl"/>
        </w:rPr>
        <w:t>Siendo as</w:t>
      </w:r>
      <w:r>
        <w:rPr>
          <w:rFonts w:cs="Times New Roman"/>
          <w:spacing w:val="-8"/>
          <w:sz w:val="18"/>
          <w:szCs w:val="18"/>
          <w:lang w:val="es-ES_tradnl"/>
        </w:rPr>
        <w:t>í</w:t>
      </w:r>
      <w:r>
        <w:rPr>
          <w:spacing w:val="-8"/>
          <w:sz w:val="18"/>
          <w:szCs w:val="18"/>
          <w:lang w:val="es-ES_tradnl"/>
        </w:rPr>
        <w:t xml:space="preserve">, al evidenciarse que en el presente caso la </w:t>
      </w:r>
      <w:r>
        <w:rPr>
          <w:spacing w:val="-9"/>
          <w:sz w:val="18"/>
          <w:szCs w:val="18"/>
          <w:lang w:val="es-ES_tradnl"/>
        </w:rPr>
        <w:t>Resoluci</w:t>
      </w:r>
      <w:r>
        <w:rPr>
          <w:rFonts w:cs="Times New Roman"/>
          <w:spacing w:val="-9"/>
          <w:sz w:val="18"/>
          <w:szCs w:val="18"/>
          <w:lang w:val="es-ES_tradnl"/>
        </w:rPr>
        <w:t>ó</w:t>
      </w:r>
      <w:r>
        <w:rPr>
          <w:spacing w:val="-9"/>
          <w:sz w:val="18"/>
          <w:szCs w:val="18"/>
          <w:lang w:val="es-ES_tradnl"/>
        </w:rPr>
        <w:t>n N.</w:t>
      </w:r>
      <w:r>
        <w:rPr>
          <w:rFonts w:cs="Times New Roman"/>
          <w:spacing w:val="-9"/>
          <w:sz w:val="18"/>
          <w:szCs w:val="18"/>
          <w:lang w:val="es-ES_tradnl"/>
        </w:rPr>
        <w:t>º</w:t>
      </w:r>
      <w:r>
        <w:rPr>
          <w:spacing w:val="-9"/>
          <w:sz w:val="18"/>
          <w:szCs w:val="18"/>
          <w:lang w:val="es-ES_tradnl"/>
        </w:rPr>
        <w:t xml:space="preserve"> 0959-08-RA no contiene una especificaci</w:t>
      </w:r>
      <w:r>
        <w:rPr>
          <w:rFonts w:cs="Times New Roman"/>
          <w:spacing w:val="-9"/>
          <w:sz w:val="18"/>
          <w:szCs w:val="18"/>
          <w:lang w:val="es-ES_tradnl"/>
        </w:rPr>
        <w:t>ó</w:t>
      </w:r>
      <w:r>
        <w:rPr>
          <w:spacing w:val="-9"/>
          <w:sz w:val="18"/>
          <w:szCs w:val="18"/>
          <w:lang w:val="es-ES_tradnl"/>
        </w:rPr>
        <w:t xml:space="preserve">n </w:t>
      </w:r>
      <w:r>
        <w:rPr>
          <w:spacing w:val="-8"/>
          <w:sz w:val="18"/>
          <w:szCs w:val="18"/>
          <w:lang w:val="es-ES_tradnl"/>
        </w:rPr>
        <w:t xml:space="preserve">de obligaciones positivas y negativas que deben cumplirse, </w:t>
      </w:r>
      <w:r>
        <w:rPr>
          <w:spacing w:val="-10"/>
          <w:sz w:val="18"/>
          <w:szCs w:val="18"/>
          <w:lang w:val="es-ES_tradnl"/>
        </w:rPr>
        <w:t xml:space="preserve">esta Corte Constitucional en su papel de </w:t>
      </w:r>
      <w:r>
        <w:rPr>
          <w:rFonts w:cs="Times New Roman"/>
          <w:spacing w:val="-10"/>
          <w:sz w:val="18"/>
          <w:szCs w:val="18"/>
          <w:lang w:val="es-ES_tradnl"/>
        </w:rPr>
        <w:t>“</w:t>
      </w:r>
      <w:r>
        <w:rPr>
          <w:spacing w:val="-10"/>
          <w:sz w:val="18"/>
          <w:szCs w:val="18"/>
          <w:lang w:val="es-ES_tradnl"/>
        </w:rPr>
        <w:t>m</w:t>
      </w:r>
      <w:r>
        <w:rPr>
          <w:rFonts w:cs="Times New Roman"/>
          <w:spacing w:val="-10"/>
          <w:sz w:val="18"/>
          <w:szCs w:val="18"/>
          <w:lang w:val="es-ES_tradnl"/>
        </w:rPr>
        <w:t>á</w:t>
      </w:r>
      <w:r>
        <w:rPr>
          <w:spacing w:val="-10"/>
          <w:sz w:val="18"/>
          <w:szCs w:val="18"/>
          <w:lang w:val="es-ES_tradnl"/>
        </w:rPr>
        <w:t xml:space="preserve">ximo </w:t>
      </w:r>
      <w:r>
        <w:rPr>
          <w:rFonts w:cs="Times New Roman"/>
          <w:spacing w:val="-10"/>
          <w:sz w:val="18"/>
          <w:szCs w:val="18"/>
          <w:lang w:val="es-ES_tradnl"/>
        </w:rPr>
        <w:t>ó</w:t>
      </w:r>
      <w:r>
        <w:rPr>
          <w:spacing w:val="-10"/>
          <w:sz w:val="18"/>
          <w:szCs w:val="18"/>
          <w:lang w:val="es-ES_tradnl"/>
        </w:rPr>
        <w:t xml:space="preserve">rgano de </w:t>
      </w:r>
      <w:r>
        <w:rPr>
          <w:spacing w:val="-4"/>
          <w:sz w:val="18"/>
          <w:szCs w:val="18"/>
          <w:lang w:val="es-ES_tradnl"/>
        </w:rPr>
        <w:t>control, interpretaci</w:t>
      </w:r>
      <w:r>
        <w:rPr>
          <w:rFonts w:cs="Times New Roman"/>
          <w:spacing w:val="-4"/>
          <w:sz w:val="18"/>
          <w:szCs w:val="18"/>
          <w:lang w:val="es-ES_tradnl"/>
        </w:rPr>
        <w:t>ó</w:t>
      </w:r>
      <w:r>
        <w:rPr>
          <w:spacing w:val="-4"/>
          <w:sz w:val="18"/>
          <w:szCs w:val="18"/>
          <w:lang w:val="es-ES_tradnl"/>
        </w:rPr>
        <w:t>n constitucional y de administraci</w:t>
      </w:r>
      <w:r>
        <w:rPr>
          <w:rFonts w:cs="Times New Roman"/>
          <w:spacing w:val="-4"/>
          <w:sz w:val="18"/>
          <w:szCs w:val="18"/>
          <w:lang w:val="es-ES_tradnl"/>
        </w:rPr>
        <w:t>ó</w:t>
      </w:r>
      <w:r>
        <w:rPr>
          <w:spacing w:val="-4"/>
          <w:sz w:val="18"/>
          <w:szCs w:val="18"/>
          <w:lang w:val="es-ES_tradnl"/>
        </w:rPr>
        <w:t xml:space="preserve">n </w:t>
      </w:r>
      <w:r>
        <w:rPr>
          <w:spacing w:val="-6"/>
          <w:sz w:val="18"/>
          <w:szCs w:val="18"/>
          <w:lang w:val="es-ES_tradnl"/>
        </w:rPr>
        <w:t>de justicia en esta materia</w:t>
      </w:r>
      <w:r>
        <w:rPr>
          <w:rFonts w:cs="Times New Roman"/>
          <w:spacing w:val="-6"/>
          <w:sz w:val="18"/>
          <w:szCs w:val="18"/>
          <w:lang w:val="es-ES_tradnl"/>
        </w:rPr>
        <w:t>”</w:t>
      </w:r>
      <w:r>
        <w:rPr>
          <w:spacing w:val="-6"/>
          <w:sz w:val="18"/>
          <w:szCs w:val="18"/>
          <w:lang w:val="es-ES_tradnl"/>
        </w:rPr>
        <w:t xml:space="preserve"> a fin de garantizar la vigencia </w:t>
      </w:r>
      <w:r>
        <w:rPr>
          <w:spacing w:val="-8"/>
          <w:sz w:val="18"/>
          <w:szCs w:val="18"/>
          <w:lang w:val="es-ES_tradnl"/>
        </w:rPr>
        <w:t xml:space="preserve">de los derechos constitucionales de las partes, estima indispensable en el presente caso determinar las medidas </w:t>
      </w:r>
      <w:r>
        <w:rPr>
          <w:spacing w:val="-12"/>
          <w:sz w:val="18"/>
          <w:szCs w:val="18"/>
          <w:lang w:val="es-ES_tradnl"/>
        </w:rPr>
        <w:t>que deben adoptarse para cumplir a cabalidad con la decisi</w:t>
      </w:r>
      <w:r>
        <w:rPr>
          <w:rFonts w:cs="Times New Roman"/>
          <w:spacing w:val="-12"/>
          <w:sz w:val="18"/>
          <w:szCs w:val="18"/>
          <w:lang w:val="es-ES_tradnl"/>
        </w:rPr>
        <w:t>ó</w:t>
      </w:r>
      <w:r>
        <w:rPr>
          <w:spacing w:val="-12"/>
          <w:sz w:val="18"/>
          <w:szCs w:val="18"/>
          <w:lang w:val="es-ES_tradnl"/>
        </w:rPr>
        <w:t xml:space="preserve">n </w:t>
      </w:r>
      <w:r>
        <w:rPr>
          <w:spacing w:val="-3"/>
          <w:sz w:val="18"/>
          <w:szCs w:val="18"/>
          <w:lang w:val="es-ES_tradnl"/>
        </w:rPr>
        <w:t xml:space="preserve">dictada por la Primera Sala de la Corte Constitucional, </w:t>
      </w:r>
      <w:r>
        <w:rPr>
          <w:spacing w:val="-9"/>
          <w:sz w:val="18"/>
          <w:szCs w:val="18"/>
          <w:lang w:val="es-ES_tradnl"/>
        </w:rPr>
        <w:t>para el per</w:t>
      </w:r>
      <w:r>
        <w:rPr>
          <w:rFonts w:cs="Times New Roman"/>
          <w:spacing w:val="-9"/>
          <w:sz w:val="18"/>
          <w:szCs w:val="18"/>
          <w:lang w:val="es-ES_tradnl"/>
        </w:rPr>
        <w:t>í</w:t>
      </w:r>
      <w:r>
        <w:rPr>
          <w:spacing w:val="-9"/>
          <w:sz w:val="18"/>
          <w:szCs w:val="18"/>
          <w:lang w:val="es-ES_tradnl"/>
        </w:rPr>
        <w:t>odo de transici</w:t>
      </w:r>
      <w:r>
        <w:rPr>
          <w:rFonts w:cs="Times New Roman"/>
          <w:spacing w:val="-9"/>
          <w:sz w:val="18"/>
          <w:szCs w:val="18"/>
          <w:lang w:val="es-ES_tradnl"/>
        </w:rPr>
        <w:t>ó</w:t>
      </w:r>
      <w:r>
        <w:rPr>
          <w:spacing w:val="-9"/>
          <w:sz w:val="18"/>
          <w:szCs w:val="18"/>
          <w:lang w:val="es-ES_tradnl"/>
        </w:rPr>
        <w:t xml:space="preserve">n, y reparar adecuadamente los </w:t>
      </w:r>
      <w:r>
        <w:rPr>
          <w:sz w:val="18"/>
          <w:szCs w:val="18"/>
          <w:lang w:val="es-ES_tradnl"/>
        </w:rPr>
        <w:t>derechos del accionante.</w:t>
      </w:r>
    </w:p>
    <w:p w14:paraId="4F67A9E5" w14:textId="77777777" w:rsidR="00591D54" w:rsidRDefault="00591D54">
      <w:pPr>
        <w:shd w:val="clear" w:color="auto" w:fill="FFFFFF"/>
        <w:spacing w:before="202" w:line="221" w:lineRule="exact"/>
        <w:jc w:val="both"/>
      </w:pPr>
      <w:r>
        <w:rPr>
          <w:spacing w:val="-3"/>
          <w:sz w:val="18"/>
          <w:szCs w:val="18"/>
          <w:lang w:val="es-ES_tradnl"/>
        </w:rPr>
        <w:t>Por consiguiente, como ya fue se</w:t>
      </w:r>
      <w:r>
        <w:rPr>
          <w:rFonts w:cs="Times New Roman"/>
          <w:spacing w:val="-3"/>
          <w:sz w:val="18"/>
          <w:szCs w:val="18"/>
          <w:lang w:val="es-ES_tradnl"/>
        </w:rPr>
        <w:t>ñ</w:t>
      </w:r>
      <w:r>
        <w:rPr>
          <w:spacing w:val="-3"/>
          <w:sz w:val="18"/>
          <w:szCs w:val="18"/>
          <w:lang w:val="es-ES_tradnl"/>
        </w:rPr>
        <w:t>alado, la pretensi</w:t>
      </w:r>
      <w:r>
        <w:rPr>
          <w:rFonts w:cs="Times New Roman"/>
          <w:spacing w:val="-3"/>
          <w:sz w:val="18"/>
          <w:szCs w:val="18"/>
          <w:lang w:val="es-ES_tradnl"/>
        </w:rPr>
        <w:t>ó</w:t>
      </w:r>
      <w:r>
        <w:rPr>
          <w:spacing w:val="-3"/>
          <w:sz w:val="18"/>
          <w:szCs w:val="18"/>
          <w:lang w:val="es-ES_tradnl"/>
        </w:rPr>
        <w:t xml:space="preserve">n </w:t>
      </w:r>
      <w:r>
        <w:rPr>
          <w:spacing w:val="-8"/>
          <w:sz w:val="18"/>
          <w:szCs w:val="18"/>
          <w:lang w:val="es-ES_tradnl"/>
        </w:rPr>
        <w:t>del accionante se circunscrib</w:t>
      </w:r>
      <w:r>
        <w:rPr>
          <w:rFonts w:cs="Times New Roman"/>
          <w:spacing w:val="-8"/>
          <w:sz w:val="18"/>
          <w:szCs w:val="18"/>
          <w:lang w:val="es-ES_tradnl"/>
        </w:rPr>
        <w:t>í</w:t>
      </w:r>
      <w:r>
        <w:rPr>
          <w:spacing w:val="-8"/>
          <w:sz w:val="18"/>
          <w:szCs w:val="18"/>
          <w:lang w:val="es-ES_tradnl"/>
        </w:rPr>
        <w:t xml:space="preserve">a a su reintegro al puesto de </w:t>
      </w:r>
      <w:r>
        <w:rPr>
          <w:spacing w:val="-4"/>
          <w:sz w:val="18"/>
          <w:szCs w:val="18"/>
          <w:lang w:val="es-ES_tradnl"/>
        </w:rPr>
        <w:t xml:space="preserve">trabajo, el pago de los emolumentos dejados de percibir </w:t>
      </w:r>
      <w:r>
        <w:rPr>
          <w:spacing w:val="-8"/>
          <w:sz w:val="18"/>
          <w:szCs w:val="18"/>
          <w:lang w:val="es-ES_tradnl"/>
        </w:rPr>
        <w:t>y la suspensi</w:t>
      </w:r>
      <w:r>
        <w:rPr>
          <w:rFonts w:cs="Times New Roman"/>
          <w:spacing w:val="-8"/>
          <w:sz w:val="18"/>
          <w:szCs w:val="18"/>
          <w:lang w:val="es-ES_tradnl"/>
        </w:rPr>
        <w:t>ó</w:t>
      </w:r>
      <w:r>
        <w:rPr>
          <w:spacing w:val="-8"/>
          <w:sz w:val="18"/>
          <w:szCs w:val="18"/>
          <w:lang w:val="es-ES_tradnl"/>
        </w:rPr>
        <w:t>n de los efectos de la acci</w:t>
      </w:r>
      <w:r>
        <w:rPr>
          <w:rFonts w:cs="Times New Roman"/>
          <w:spacing w:val="-8"/>
          <w:sz w:val="18"/>
          <w:szCs w:val="18"/>
          <w:lang w:val="es-ES_tradnl"/>
        </w:rPr>
        <w:t>ó</w:t>
      </w:r>
      <w:r>
        <w:rPr>
          <w:spacing w:val="-8"/>
          <w:sz w:val="18"/>
          <w:szCs w:val="18"/>
          <w:lang w:val="es-ES_tradnl"/>
        </w:rPr>
        <w:t xml:space="preserve">n de personal impugnada. En este contexto, la Corte Constitucional, para </w:t>
      </w:r>
      <w:r>
        <w:rPr>
          <w:spacing w:val="-6"/>
          <w:sz w:val="18"/>
          <w:szCs w:val="18"/>
          <w:lang w:val="es-ES_tradnl"/>
        </w:rPr>
        <w:t>el per</w:t>
      </w:r>
      <w:r>
        <w:rPr>
          <w:rFonts w:cs="Times New Roman"/>
          <w:spacing w:val="-6"/>
          <w:sz w:val="18"/>
          <w:szCs w:val="18"/>
          <w:lang w:val="es-ES_tradnl"/>
        </w:rPr>
        <w:t>í</w:t>
      </w:r>
      <w:r>
        <w:rPr>
          <w:spacing w:val="-6"/>
          <w:sz w:val="18"/>
          <w:szCs w:val="18"/>
          <w:lang w:val="es-ES_tradnl"/>
        </w:rPr>
        <w:t>odo de transici</w:t>
      </w:r>
      <w:r>
        <w:rPr>
          <w:rFonts w:cs="Times New Roman"/>
          <w:spacing w:val="-6"/>
          <w:sz w:val="18"/>
          <w:szCs w:val="18"/>
          <w:lang w:val="es-ES_tradnl"/>
        </w:rPr>
        <w:t>ó</w:t>
      </w:r>
      <w:r>
        <w:rPr>
          <w:spacing w:val="-6"/>
          <w:sz w:val="18"/>
          <w:szCs w:val="18"/>
          <w:lang w:val="es-ES_tradnl"/>
        </w:rPr>
        <w:t>n, al dictar la Resoluci</w:t>
      </w:r>
      <w:r>
        <w:rPr>
          <w:rFonts w:cs="Times New Roman"/>
          <w:spacing w:val="-6"/>
          <w:sz w:val="18"/>
          <w:szCs w:val="18"/>
          <w:lang w:val="es-ES_tradnl"/>
        </w:rPr>
        <w:t>ó</w:t>
      </w:r>
      <w:r>
        <w:rPr>
          <w:spacing w:val="-6"/>
          <w:sz w:val="18"/>
          <w:szCs w:val="18"/>
          <w:lang w:val="es-ES_tradnl"/>
        </w:rPr>
        <w:t>n N.</w:t>
      </w:r>
      <w:r>
        <w:rPr>
          <w:rFonts w:cs="Times New Roman"/>
          <w:spacing w:val="-6"/>
          <w:sz w:val="18"/>
          <w:szCs w:val="18"/>
          <w:lang w:val="es-ES_tradnl"/>
        </w:rPr>
        <w:t>º</w:t>
      </w:r>
      <w:r>
        <w:rPr>
          <w:spacing w:val="-6"/>
          <w:sz w:val="18"/>
          <w:szCs w:val="18"/>
          <w:lang w:val="es-ES_tradnl"/>
        </w:rPr>
        <w:t xml:space="preserve"> 0959-</w:t>
      </w:r>
      <w:r>
        <w:rPr>
          <w:spacing w:val="-8"/>
          <w:sz w:val="18"/>
          <w:szCs w:val="18"/>
          <w:lang w:val="es-ES_tradnl"/>
        </w:rPr>
        <w:t>08-RA declar</w:t>
      </w:r>
      <w:r>
        <w:rPr>
          <w:rFonts w:cs="Times New Roman"/>
          <w:spacing w:val="-8"/>
          <w:sz w:val="18"/>
          <w:szCs w:val="18"/>
          <w:lang w:val="es-ES_tradnl"/>
        </w:rPr>
        <w:t>ó</w:t>
      </w:r>
      <w:r>
        <w:rPr>
          <w:spacing w:val="-8"/>
          <w:sz w:val="18"/>
          <w:szCs w:val="18"/>
          <w:lang w:val="es-ES_tradnl"/>
        </w:rPr>
        <w:t xml:space="preserve"> la vulneraci</w:t>
      </w:r>
      <w:r>
        <w:rPr>
          <w:rFonts w:cs="Times New Roman"/>
          <w:spacing w:val="-8"/>
          <w:sz w:val="18"/>
          <w:szCs w:val="18"/>
          <w:lang w:val="es-ES_tradnl"/>
        </w:rPr>
        <w:t>ó</w:t>
      </w:r>
      <w:r>
        <w:rPr>
          <w:spacing w:val="-8"/>
          <w:sz w:val="18"/>
          <w:szCs w:val="18"/>
          <w:lang w:val="es-ES_tradnl"/>
        </w:rPr>
        <w:t xml:space="preserve">n de derechos del accionante y </w:t>
      </w:r>
      <w:r>
        <w:rPr>
          <w:spacing w:val="-6"/>
          <w:sz w:val="18"/>
          <w:szCs w:val="18"/>
          <w:lang w:val="es-ES_tradnl"/>
        </w:rPr>
        <w:t>resolvi</w:t>
      </w:r>
      <w:r>
        <w:rPr>
          <w:rFonts w:cs="Times New Roman"/>
          <w:spacing w:val="-6"/>
          <w:sz w:val="18"/>
          <w:szCs w:val="18"/>
          <w:lang w:val="es-ES_tradnl"/>
        </w:rPr>
        <w:t>ó</w:t>
      </w:r>
      <w:r>
        <w:rPr>
          <w:spacing w:val="-6"/>
          <w:sz w:val="18"/>
          <w:szCs w:val="18"/>
          <w:lang w:val="es-ES_tradnl"/>
        </w:rPr>
        <w:t xml:space="preserve"> revocar la resoluci</w:t>
      </w:r>
      <w:r>
        <w:rPr>
          <w:rFonts w:cs="Times New Roman"/>
          <w:spacing w:val="-6"/>
          <w:sz w:val="18"/>
          <w:szCs w:val="18"/>
          <w:lang w:val="es-ES_tradnl"/>
        </w:rPr>
        <w:t>ó</w:t>
      </w:r>
      <w:r>
        <w:rPr>
          <w:spacing w:val="-6"/>
          <w:sz w:val="18"/>
          <w:szCs w:val="18"/>
          <w:lang w:val="es-ES_tradnl"/>
        </w:rPr>
        <w:t xml:space="preserve">n de instancia, y conceder el </w:t>
      </w:r>
      <w:r>
        <w:rPr>
          <w:sz w:val="18"/>
          <w:szCs w:val="18"/>
          <w:lang w:val="es-ES_tradnl"/>
        </w:rPr>
        <w:t>amparo constitucional.</w:t>
      </w:r>
    </w:p>
    <w:p w14:paraId="4F67A9E6" w14:textId="77777777" w:rsidR="00591D54" w:rsidRDefault="00591D54">
      <w:pPr>
        <w:shd w:val="clear" w:color="auto" w:fill="FFFFFF"/>
        <w:spacing w:before="202" w:line="221" w:lineRule="exact"/>
        <w:jc w:val="both"/>
      </w:pPr>
      <w:r>
        <w:rPr>
          <w:spacing w:val="-1"/>
          <w:sz w:val="18"/>
          <w:szCs w:val="18"/>
          <w:lang w:val="es-ES_tradnl"/>
        </w:rPr>
        <w:t xml:space="preserve">Por tanto, la Primera Sala de la Corte Constitucional, </w:t>
      </w:r>
      <w:r>
        <w:rPr>
          <w:spacing w:val="-5"/>
          <w:sz w:val="18"/>
          <w:szCs w:val="18"/>
          <w:lang w:val="es-ES_tradnl"/>
        </w:rPr>
        <w:t>para el per</w:t>
      </w:r>
      <w:r>
        <w:rPr>
          <w:rFonts w:cs="Times New Roman"/>
          <w:spacing w:val="-5"/>
          <w:sz w:val="18"/>
          <w:szCs w:val="18"/>
          <w:lang w:val="es-ES_tradnl"/>
        </w:rPr>
        <w:t>í</w:t>
      </w:r>
      <w:r>
        <w:rPr>
          <w:spacing w:val="-5"/>
          <w:sz w:val="18"/>
          <w:szCs w:val="18"/>
          <w:lang w:val="es-ES_tradnl"/>
        </w:rPr>
        <w:t>odo de transici</w:t>
      </w:r>
      <w:r>
        <w:rPr>
          <w:rFonts w:cs="Times New Roman"/>
          <w:spacing w:val="-5"/>
          <w:sz w:val="18"/>
          <w:szCs w:val="18"/>
          <w:lang w:val="es-ES_tradnl"/>
        </w:rPr>
        <w:t>ó</w:t>
      </w:r>
      <w:r>
        <w:rPr>
          <w:spacing w:val="-5"/>
          <w:sz w:val="18"/>
          <w:szCs w:val="18"/>
          <w:lang w:val="es-ES_tradnl"/>
        </w:rPr>
        <w:t>n, al no especificar qu</w:t>
      </w:r>
      <w:r>
        <w:rPr>
          <w:rFonts w:cs="Times New Roman"/>
          <w:spacing w:val="-5"/>
          <w:sz w:val="18"/>
          <w:szCs w:val="18"/>
          <w:lang w:val="es-ES_tradnl"/>
        </w:rPr>
        <w:t>é</w:t>
      </w:r>
      <w:r>
        <w:rPr>
          <w:spacing w:val="-5"/>
          <w:sz w:val="18"/>
          <w:szCs w:val="18"/>
          <w:lang w:val="es-ES_tradnl"/>
        </w:rPr>
        <w:t xml:space="preserve"> parte </w:t>
      </w:r>
      <w:r>
        <w:rPr>
          <w:spacing w:val="-1"/>
          <w:sz w:val="18"/>
          <w:szCs w:val="18"/>
          <w:lang w:val="es-ES_tradnl"/>
        </w:rPr>
        <w:t>de la pretensi</w:t>
      </w:r>
      <w:r>
        <w:rPr>
          <w:rFonts w:cs="Times New Roman"/>
          <w:spacing w:val="-1"/>
          <w:sz w:val="18"/>
          <w:szCs w:val="18"/>
          <w:lang w:val="es-ES_tradnl"/>
        </w:rPr>
        <w:t>ó</w:t>
      </w:r>
      <w:r>
        <w:rPr>
          <w:spacing w:val="-1"/>
          <w:sz w:val="18"/>
          <w:szCs w:val="18"/>
          <w:lang w:val="es-ES_tradnl"/>
        </w:rPr>
        <w:t xml:space="preserve">n del accionante aceptaba y cual no, </w:t>
      </w:r>
      <w:r>
        <w:rPr>
          <w:spacing w:val="-6"/>
          <w:sz w:val="18"/>
          <w:szCs w:val="18"/>
          <w:lang w:val="es-ES_tradnl"/>
        </w:rPr>
        <w:t>acept</w:t>
      </w:r>
      <w:r>
        <w:rPr>
          <w:rFonts w:cs="Times New Roman"/>
          <w:spacing w:val="-6"/>
          <w:sz w:val="18"/>
          <w:szCs w:val="18"/>
          <w:lang w:val="es-ES_tradnl"/>
        </w:rPr>
        <w:t>ó</w:t>
      </w:r>
      <w:r>
        <w:rPr>
          <w:spacing w:val="-6"/>
          <w:sz w:val="18"/>
          <w:szCs w:val="18"/>
          <w:lang w:val="es-ES_tradnl"/>
        </w:rPr>
        <w:t xml:space="preserve"> en su totalidad lo solicitado por Leonel Segundo </w:t>
      </w:r>
      <w:r>
        <w:rPr>
          <w:spacing w:val="-8"/>
          <w:sz w:val="18"/>
          <w:szCs w:val="18"/>
          <w:lang w:val="es-ES_tradnl"/>
        </w:rPr>
        <w:t>Mart</w:t>
      </w:r>
      <w:r>
        <w:rPr>
          <w:rFonts w:cs="Times New Roman"/>
          <w:spacing w:val="-8"/>
          <w:sz w:val="18"/>
          <w:szCs w:val="18"/>
          <w:lang w:val="es-ES_tradnl"/>
        </w:rPr>
        <w:t>í</w:t>
      </w:r>
      <w:r>
        <w:rPr>
          <w:spacing w:val="-8"/>
          <w:sz w:val="18"/>
          <w:szCs w:val="18"/>
          <w:lang w:val="es-ES_tradnl"/>
        </w:rPr>
        <w:t xml:space="preserve">nez Rosero, puesto que la declaratoria de que el acto </w:t>
      </w:r>
      <w:r>
        <w:rPr>
          <w:spacing w:val="-9"/>
          <w:sz w:val="18"/>
          <w:szCs w:val="18"/>
          <w:lang w:val="es-ES_tradnl"/>
        </w:rPr>
        <w:t>impugnado vulneraba derechos constitucionales, generaba la suspensi</w:t>
      </w:r>
      <w:r>
        <w:rPr>
          <w:rFonts w:cs="Times New Roman"/>
          <w:spacing w:val="-9"/>
          <w:sz w:val="18"/>
          <w:szCs w:val="18"/>
          <w:lang w:val="es-ES_tradnl"/>
        </w:rPr>
        <w:t>ó</w:t>
      </w:r>
      <w:r>
        <w:rPr>
          <w:spacing w:val="-9"/>
          <w:sz w:val="18"/>
          <w:szCs w:val="18"/>
          <w:lang w:val="es-ES_tradnl"/>
        </w:rPr>
        <w:t>n del mismo, as</w:t>
      </w:r>
      <w:r>
        <w:rPr>
          <w:rFonts w:cs="Times New Roman"/>
          <w:spacing w:val="-9"/>
          <w:sz w:val="18"/>
          <w:szCs w:val="18"/>
          <w:lang w:val="es-ES_tradnl"/>
        </w:rPr>
        <w:t>í</w:t>
      </w:r>
      <w:r>
        <w:rPr>
          <w:spacing w:val="-9"/>
          <w:sz w:val="18"/>
          <w:szCs w:val="18"/>
          <w:lang w:val="es-ES_tradnl"/>
        </w:rPr>
        <w:t xml:space="preserve"> como de sus efectos. En este </w:t>
      </w:r>
      <w:r>
        <w:rPr>
          <w:spacing w:val="-7"/>
          <w:sz w:val="18"/>
          <w:szCs w:val="18"/>
          <w:lang w:val="es-ES_tradnl"/>
        </w:rPr>
        <w:t>caso, la destituci</w:t>
      </w:r>
      <w:r>
        <w:rPr>
          <w:rFonts w:cs="Times New Roman"/>
          <w:spacing w:val="-7"/>
          <w:sz w:val="18"/>
          <w:szCs w:val="18"/>
          <w:lang w:val="es-ES_tradnl"/>
        </w:rPr>
        <w:t>ó</w:t>
      </w:r>
      <w:r>
        <w:rPr>
          <w:spacing w:val="-7"/>
          <w:sz w:val="18"/>
          <w:szCs w:val="18"/>
          <w:lang w:val="es-ES_tradnl"/>
        </w:rPr>
        <w:t>n de la que fue v</w:t>
      </w:r>
      <w:r>
        <w:rPr>
          <w:rFonts w:cs="Times New Roman"/>
          <w:spacing w:val="-7"/>
          <w:sz w:val="18"/>
          <w:szCs w:val="18"/>
          <w:lang w:val="es-ES_tradnl"/>
        </w:rPr>
        <w:t>í</w:t>
      </w:r>
      <w:r>
        <w:rPr>
          <w:spacing w:val="-7"/>
          <w:sz w:val="18"/>
          <w:szCs w:val="18"/>
          <w:lang w:val="es-ES_tradnl"/>
        </w:rPr>
        <w:t xml:space="preserve">ctima el accionante, al </w:t>
      </w:r>
      <w:r>
        <w:rPr>
          <w:spacing w:val="-8"/>
          <w:sz w:val="18"/>
          <w:szCs w:val="18"/>
          <w:lang w:val="es-ES_tradnl"/>
        </w:rPr>
        <w:t>haber vulnerado sus derechos deb</w:t>
      </w:r>
      <w:r>
        <w:rPr>
          <w:rFonts w:cs="Times New Roman"/>
          <w:spacing w:val="-8"/>
          <w:sz w:val="18"/>
          <w:szCs w:val="18"/>
          <w:lang w:val="es-ES_tradnl"/>
        </w:rPr>
        <w:t>í</w:t>
      </w:r>
      <w:r>
        <w:rPr>
          <w:spacing w:val="-8"/>
          <w:sz w:val="18"/>
          <w:szCs w:val="18"/>
          <w:lang w:val="es-ES_tradnl"/>
        </w:rPr>
        <w:t xml:space="preserve">a ser dejada sin efecto, </w:t>
      </w:r>
      <w:r>
        <w:rPr>
          <w:spacing w:val="-7"/>
          <w:sz w:val="18"/>
          <w:szCs w:val="18"/>
          <w:lang w:val="es-ES_tradnl"/>
        </w:rPr>
        <w:t>as</w:t>
      </w:r>
      <w:r>
        <w:rPr>
          <w:rFonts w:cs="Times New Roman"/>
          <w:spacing w:val="-7"/>
          <w:sz w:val="18"/>
          <w:szCs w:val="18"/>
          <w:lang w:val="es-ES_tradnl"/>
        </w:rPr>
        <w:t>í</w:t>
      </w:r>
      <w:r>
        <w:rPr>
          <w:spacing w:val="-7"/>
          <w:sz w:val="18"/>
          <w:szCs w:val="18"/>
          <w:lang w:val="es-ES_tradnl"/>
        </w:rPr>
        <w:t xml:space="preserve"> como los efectos de la misma, entre los cuales se </w:t>
      </w:r>
      <w:r>
        <w:rPr>
          <w:spacing w:val="-9"/>
          <w:sz w:val="18"/>
          <w:szCs w:val="18"/>
          <w:lang w:val="es-ES_tradnl"/>
        </w:rPr>
        <w:t>encontraba la falta de pago de sus emolumentos.</w:t>
      </w:r>
    </w:p>
    <w:p w14:paraId="4F67A9E7" w14:textId="77777777" w:rsidR="00591D54" w:rsidRDefault="00591D54">
      <w:pPr>
        <w:shd w:val="clear" w:color="auto" w:fill="FFFFFF"/>
        <w:spacing w:before="202" w:line="221" w:lineRule="exact"/>
        <w:jc w:val="both"/>
      </w:pPr>
      <w:r>
        <w:rPr>
          <w:spacing w:val="-7"/>
          <w:sz w:val="18"/>
          <w:szCs w:val="18"/>
          <w:lang w:val="es-ES_tradnl"/>
        </w:rPr>
        <w:t>En raz</w:t>
      </w:r>
      <w:r>
        <w:rPr>
          <w:rFonts w:cs="Times New Roman"/>
          <w:spacing w:val="-7"/>
          <w:sz w:val="18"/>
          <w:szCs w:val="18"/>
          <w:lang w:val="es-ES_tradnl"/>
        </w:rPr>
        <w:t>ó</w:t>
      </w:r>
      <w:r>
        <w:rPr>
          <w:spacing w:val="-7"/>
          <w:sz w:val="18"/>
          <w:szCs w:val="18"/>
          <w:lang w:val="es-ES_tradnl"/>
        </w:rPr>
        <w:t>n de lo se</w:t>
      </w:r>
      <w:r>
        <w:rPr>
          <w:rFonts w:cs="Times New Roman"/>
          <w:spacing w:val="-7"/>
          <w:sz w:val="18"/>
          <w:szCs w:val="18"/>
          <w:lang w:val="es-ES_tradnl"/>
        </w:rPr>
        <w:t>ñ</w:t>
      </w:r>
      <w:r>
        <w:rPr>
          <w:spacing w:val="-7"/>
          <w:sz w:val="18"/>
          <w:szCs w:val="18"/>
          <w:lang w:val="es-ES_tradnl"/>
        </w:rPr>
        <w:t>alado, la medida adecuada, eficaz y proporcional para reparar la vulneraci</w:t>
      </w:r>
      <w:r>
        <w:rPr>
          <w:rFonts w:cs="Times New Roman"/>
          <w:spacing w:val="-7"/>
          <w:sz w:val="18"/>
          <w:szCs w:val="18"/>
          <w:lang w:val="es-ES_tradnl"/>
        </w:rPr>
        <w:t>ó</w:t>
      </w:r>
      <w:r>
        <w:rPr>
          <w:spacing w:val="-7"/>
          <w:sz w:val="18"/>
          <w:szCs w:val="18"/>
          <w:lang w:val="es-ES_tradnl"/>
        </w:rPr>
        <w:t xml:space="preserve">n de derechos del </w:t>
      </w:r>
      <w:r>
        <w:rPr>
          <w:spacing w:val="-10"/>
          <w:sz w:val="18"/>
          <w:szCs w:val="18"/>
          <w:lang w:val="es-ES_tradnl"/>
        </w:rPr>
        <w:t>accionante, es su reintegro a su puesto de trabajo, as</w:t>
      </w:r>
      <w:r>
        <w:rPr>
          <w:rFonts w:cs="Times New Roman"/>
          <w:spacing w:val="-10"/>
          <w:sz w:val="18"/>
          <w:szCs w:val="18"/>
          <w:lang w:val="es-ES_tradnl"/>
        </w:rPr>
        <w:t>í</w:t>
      </w:r>
      <w:r>
        <w:rPr>
          <w:spacing w:val="-10"/>
          <w:sz w:val="18"/>
          <w:szCs w:val="18"/>
          <w:lang w:val="es-ES_tradnl"/>
        </w:rPr>
        <w:t xml:space="preserve"> como </w:t>
      </w:r>
      <w:r>
        <w:rPr>
          <w:spacing w:val="-9"/>
          <w:sz w:val="18"/>
          <w:szCs w:val="18"/>
          <w:lang w:val="es-ES_tradnl"/>
        </w:rPr>
        <w:t xml:space="preserve">el pago de los emolumentos dejados de percibir desde que </w:t>
      </w:r>
      <w:r>
        <w:rPr>
          <w:spacing w:val="-10"/>
          <w:sz w:val="18"/>
          <w:szCs w:val="18"/>
          <w:lang w:val="es-ES_tradnl"/>
        </w:rPr>
        <w:t>fue separado de la instituci</w:t>
      </w:r>
      <w:r>
        <w:rPr>
          <w:rFonts w:cs="Times New Roman"/>
          <w:spacing w:val="-10"/>
          <w:sz w:val="18"/>
          <w:szCs w:val="18"/>
          <w:lang w:val="es-ES_tradnl"/>
        </w:rPr>
        <w:t>ó</w:t>
      </w:r>
      <w:r>
        <w:rPr>
          <w:spacing w:val="-10"/>
          <w:sz w:val="18"/>
          <w:szCs w:val="18"/>
          <w:lang w:val="es-ES_tradnl"/>
        </w:rPr>
        <w:t>n hasta que fuere reincorporado.</w:t>
      </w:r>
    </w:p>
    <w:p w14:paraId="4F67A9E8" w14:textId="77777777" w:rsidR="00591D54" w:rsidRDefault="00591D54">
      <w:pPr>
        <w:shd w:val="clear" w:color="auto" w:fill="FFFFFF"/>
        <w:spacing w:before="202" w:line="221" w:lineRule="exact"/>
        <w:jc w:val="both"/>
      </w:pPr>
      <w:r>
        <w:rPr>
          <w:spacing w:val="-7"/>
          <w:sz w:val="18"/>
          <w:szCs w:val="18"/>
          <w:lang w:val="es-ES_tradnl"/>
        </w:rPr>
        <w:t>Del an</w:t>
      </w:r>
      <w:r>
        <w:rPr>
          <w:rFonts w:cs="Times New Roman"/>
          <w:spacing w:val="-7"/>
          <w:sz w:val="18"/>
          <w:szCs w:val="18"/>
          <w:lang w:val="es-ES_tradnl"/>
        </w:rPr>
        <w:t>á</w:t>
      </w:r>
      <w:r>
        <w:rPr>
          <w:spacing w:val="-7"/>
          <w:sz w:val="18"/>
          <w:szCs w:val="18"/>
          <w:lang w:val="es-ES_tradnl"/>
        </w:rPr>
        <w:t xml:space="preserve">lisis de los recaudos procesales, se evidencia que </w:t>
      </w:r>
      <w:r>
        <w:rPr>
          <w:spacing w:val="-6"/>
          <w:sz w:val="18"/>
          <w:szCs w:val="18"/>
          <w:lang w:val="es-ES_tradnl"/>
        </w:rPr>
        <w:t>el accionante al presentar su acci</w:t>
      </w:r>
      <w:r>
        <w:rPr>
          <w:rFonts w:cs="Times New Roman"/>
          <w:spacing w:val="-6"/>
          <w:sz w:val="18"/>
          <w:szCs w:val="18"/>
          <w:lang w:val="es-ES_tradnl"/>
        </w:rPr>
        <w:t>ó</w:t>
      </w:r>
      <w:r>
        <w:rPr>
          <w:spacing w:val="-6"/>
          <w:sz w:val="18"/>
          <w:szCs w:val="18"/>
          <w:lang w:val="es-ES_tradnl"/>
        </w:rPr>
        <w:t xml:space="preserve">n de incumplimiento, </w:t>
      </w:r>
      <w:r>
        <w:rPr>
          <w:sz w:val="18"/>
          <w:szCs w:val="18"/>
          <w:lang w:val="es-ES_tradnl"/>
        </w:rPr>
        <w:t>determina que:</w:t>
      </w:r>
    </w:p>
    <w:p w14:paraId="4F67A9E9" w14:textId="77777777" w:rsidR="00591D54" w:rsidRDefault="00591D54">
      <w:pPr>
        <w:shd w:val="clear" w:color="auto" w:fill="FFFFFF"/>
        <w:spacing w:before="211" w:line="221" w:lineRule="exact"/>
        <w:ind w:left="283"/>
        <w:jc w:val="both"/>
      </w:pPr>
      <w:r>
        <w:rPr>
          <w:spacing w:val="-2"/>
          <w:sz w:val="16"/>
          <w:szCs w:val="16"/>
          <w:lang w:val="es-ES_tradnl"/>
        </w:rPr>
        <w:t xml:space="preserve">En forma permanente he venido insistiendo a la Sala que </w:t>
      </w:r>
      <w:r>
        <w:rPr>
          <w:spacing w:val="-1"/>
          <w:sz w:val="16"/>
          <w:szCs w:val="16"/>
          <w:lang w:val="es-ES_tradnl"/>
        </w:rPr>
        <w:t>d</w:t>
      </w:r>
      <w:r>
        <w:rPr>
          <w:rFonts w:cs="Times New Roman"/>
          <w:spacing w:val="-1"/>
          <w:sz w:val="16"/>
          <w:szCs w:val="16"/>
          <w:lang w:val="es-ES_tradnl"/>
        </w:rPr>
        <w:t>é</w:t>
      </w:r>
      <w:r>
        <w:rPr>
          <w:spacing w:val="-1"/>
          <w:sz w:val="16"/>
          <w:szCs w:val="16"/>
          <w:lang w:val="es-ES_tradnl"/>
        </w:rPr>
        <w:t xml:space="preserve"> cumplimiento al fallo pronunciado por la Primera Sala de la Corte Constitucional, y por decir lo menos, m</w:t>
      </w:r>
      <w:r>
        <w:rPr>
          <w:rFonts w:cs="Times New Roman"/>
          <w:spacing w:val="-1"/>
          <w:sz w:val="16"/>
          <w:szCs w:val="16"/>
          <w:lang w:val="es-ES_tradnl"/>
        </w:rPr>
        <w:t>á</w:t>
      </w:r>
      <w:r>
        <w:rPr>
          <w:spacing w:val="-1"/>
          <w:sz w:val="16"/>
          <w:szCs w:val="16"/>
          <w:lang w:val="es-ES_tradnl"/>
        </w:rPr>
        <w:t xml:space="preserve">s se </w:t>
      </w:r>
      <w:r>
        <w:rPr>
          <w:spacing w:val="-6"/>
          <w:sz w:val="16"/>
          <w:szCs w:val="16"/>
          <w:lang w:val="es-ES_tradnl"/>
        </w:rPr>
        <w:t xml:space="preserve">han constituido en los mejores aliados y defensores de los </w:t>
      </w:r>
      <w:r>
        <w:rPr>
          <w:rFonts w:cs="Times New Roman"/>
          <w:spacing w:val="-5"/>
          <w:sz w:val="16"/>
          <w:szCs w:val="16"/>
          <w:lang w:val="es-ES_tradnl"/>
        </w:rPr>
        <w:t>“</w:t>
      </w:r>
      <w:r>
        <w:rPr>
          <w:spacing w:val="-5"/>
          <w:sz w:val="16"/>
          <w:szCs w:val="16"/>
          <w:lang w:val="es-ES_tradnl"/>
        </w:rPr>
        <w:t>derechos</w:t>
      </w:r>
      <w:r>
        <w:rPr>
          <w:rFonts w:cs="Times New Roman"/>
          <w:spacing w:val="-5"/>
          <w:sz w:val="16"/>
          <w:szCs w:val="16"/>
          <w:lang w:val="es-ES_tradnl"/>
        </w:rPr>
        <w:t>”</w:t>
      </w:r>
      <w:r>
        <w:rPr>
          <w:spacing w:val="-5"/>
          <w:sz w:val="16"/>
          <w:szCs w:val="16"/>
          <w:lang w:val="es-ES_tradnl"/>
        </w:rPr>
        <w:t xml:space="preserve"> de la empresa demandada. En la ejecuci</w:t>
      </w:r>
      <w:r>
        <w:rPr>
          <w:rFonts w:cs="Times New Roman"/>
          <w:spacing w:val="-5"/>
          <w:sz w:val="16"/>
          <w:szCs w:val="16"/>
          <w:lang w:val="es-ES_tradnl"/>
        </w:rPr>
        <w:t>ó</w:t>
      </w:r>
      <w:r>
        <w:rPr>
          <w:spacing w:val="-5"/>
          <w:sz w:val="16"/>
          <w:szCs w:val="16"/>
          <w:lang w:val="es-ES_tradnl"/>
        </w:rPr>
        <w:t xml:space="preserve">n del </w:t>
      </w:r>
      <w:r>
        <w:rPr>
          <w:spacing w:val="-8"/>
          <w:sz w:val="16"/>
          <w:szCs w:val="16"/>
          <w:lang w:val="es-ES_tradnl"/>
        </w:rPr>
        <w:t>fallo, los se</w:t>
      </w:r>
      <w:r>
        <w:rPr>
          <w:rFonts w:cs="Times New Roman"/>
          <w:spacing w:val="-8"/>
          <w:sz w:val="16"/>
          <w:szCs w:val="16"/>
          <w:lang w:val="es-ES_tradnl"/>
        </w:rPr>
        <w:t>ñ</w:t>
      </w:r>
      <w:r>
        <w:rPr>
          <w:spacing w:val="-8"/>
          <w:sz w:val="16"/>
          <w:szCs w:val="16"/>
          <w:lang w:val="es-ES_tradnl"/>
        </w:rPr>
        <w:t xml:space="preserve">ores Jueces de la Sala han admitido una serie de alegaciones tanto por parte del representante de la Empresa </w:t>
      </w:r>
      <w:r>
        <w:rPr>
          <w:spacing w:val="-9"/>
          <w:sz w:val="16"/>
          <w:szCs w:val="16"/>
          <w:lang w:val="es-ES_tradnl"/>
        </w:rPr>
        <w:t>demandada, cuanto de la Procuradur</w:t>
      </w:r>
      <w:r>
        <w:rPr>
          <w:rFonts w:cs="Times New Roman"/>
          <w:spacing w:val="-9"/>
          <w:sz w:val="16"/>
          <w:szCs w:val="16"/>
          <w:lang w:val="es-ES_tradnl"/>
        </w:rPr>
        <w:t>í</w:t>
      </w:r>
      <w:r>
        <w:rPr>
          <w:spacing w:val="-9"/>
          <w:sz w:val="16"/>
          <w:szCs w:val="16"/>
          <w:lang w:val="es-ES_tradnl"/>
        </w:rPr>
        <w:t xml:space="preserve">a General del Estado con </w:t>
      </w:r>
      <w:r>
        <w:rPr>
          <w:spacing w:val="-6"/>
          <w:sz w:val="16"/>
          <w:szCs w:val="16"/>
          <w:lang w:val="es-ES_tradnl"/>
        </w:rPr>
        <w:t>el fin de soslayar mis derechos (</w:t>
      </w:r>
      <w:r>
        <w:rPr>
          <w:rFonts w:cs="Times New Roman"/>
          <w:spacing w:val="-6"/>
          <w:sz w:val="16"/>
          <w:szCs w:val="16"/>
          <w:lang w:val="es-ES_tradnl"/>
        </w:rPr>
        <w:t>…</w:t>
      </w:r>
      <w:r>
        <w:rPr>
          <w:spacing w:val="-6"/>
          <w:sz w:val="16"/>
          <w:szCs w:val="16"/>
          <w:lang w:val="es-ES_tradnl"/>
        </w:rPr>
        <w:t xml:space="preserve">) para por </w:t>
      </w:r>
      <w:r>
        <w:rPr>
          <w:rFonts w:cs="Times New Roman"/>
          <w:spacing w:val="-6"/>
          <w:sz w:val="16"/>
          <w:szCs w:val="16"/>
          <w:lang w:val="es-ES_tradnl"/>
        </w:rPr>
        <w:t>ú</w:t>
      </w:r>
      <w:r>
        <w:rPr>
          <w:spacing w:val="-6"/>
          <w:sz w:val="16"/>
          <w:szCs w:val="16"/>
          <w:lang w:val="es-ES_tradnl"/>
        </w:rPr>
        <w:t>ltimo negar mi</w:t>
      </w:r>
    </w:p>
    <w:p w14:paraId="4F67A9EA" w14:textId="77777777" w:rsidR="00591D54" w:rsidRDefault="00591D54">
      <w:pPr>
        <w:shd w:val="clear" w:color="auto" w:fill="FFFFFF"/>
        <w:spacing w:before="211" w:line="221" w:lineRule="exact"/>
        <w:ind w:left="283"/>
        <w:jc w:val="both"/>
        <w:sectPr w:rsidR="00591D54">
          <w:type w:val="continuous"/>
          <w:pgSz w:w="11909" w:h="16834"/>
          <w:pgMar w:top="1373" w:right="1309" w:bottom="360" w:left="1308" w:header="720" w:footer="720" w:gutter="0"/>
          <w:cols w:num="2" w:space="720" w:equalWidth="0">
            <w:col w:w="4305" w:space="682"/>
            <w:col w:w="4305"/>
          </w:cols>
          <w:noEndnote/>
        </w:sectPr>
      </w:pPr>
    </w:p>
    <w:p w14:paraId="4F67A9EB" w14:textId="77777777" w:rsidR="00591D54" w:rsidRDefault="00591D54">
      <w:pPr>
        <w:shd w:val="clear" w:color="auto" w:fill="FFFFFF"/>
        <w:tabs>
          <w:tab w:val="left" w:pos="5952"/>
        </w:tabs>
        <w:spacing w:after="226"/>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- 79</w:t>
      </w:r>
    </w:p>
    <w:p w14:paraId="4F67A9EC" w14:textId="77777777" w:rsidR="00591D54" w:rsidRDefault="00591D54">
      <w:pPr>
        <w:shd w:val="clear" w:color="auto" w:fill="FFFFFF"/>
        <w:tabs>
          <w:tab w:val="left" w:pos="5952"/>
        </w:tabs>
        <w:spacing w:after="226"/>
        <w:ind w:left="5"/>
        <w:sectPr w:rsidR="00591D54">
          <w:pgSz w:w="11909" w:h="16834"/>
          <w:pgMar w:top="1383" w:right="1309" w:bottom="360" w:left="1308" w:header="720" w:footer="720" w:gutter="0"/>
          <w:cols w:space="60"/>
          <w:noEndnote/>
        </w:sectPr>
      </w:pPr>
    </w:p>
    <w:p w14:paraId="4F67A9ED" w14:textId="77777777" w:rsidR="00591D54" w:rsidRDefault="00591D54">
      <w:pPr>
        <w:shd w:val="clear" w:color="auto" w:fill="FFFFFF"/>
        <w:spacing w:before="5" w:line="216" w:lineRule="exact"/>
        <w:ind w:left="283"/>
        <w:jc w:val="both"/>
      </w:pPr>
      <w:r>
        <w:rPr>
          <w:spacing w:val="-7"/>
          <w:sz w:val="16"/>
          <w:szCs w:val="16"/>
          <w:lang w:val="es-ES_tradnl"/>
        </w:rPr>
        <w:t>pedido respecto del pago de los haberes que dej</w:t>
      </w:r>
      <w:r>
        <w:rPr>
          <w:rFonts w:cs="Times New Roman"/>
          <w:spacing w:val="-7"/>
          <w:sz w:val="16"/>
          <w:szCs w:val="16"/>
          <w:lang w:val="es-ES_tradnl"/>
        </w:rPr>
        <w:t>é</w:t>
      </w:r>
      <w:r>
        <w:rPr>
          <w:spacing w:val="-7"/>
          <w:sz w:val="16"/>
          <w:szCs w:val="16"/>
          <w:lang w:val="es-ES_tradnl"/>
        </w:rPr>
        <w:t xml:space="preserve"> de percibir desde la fecha de destituci</w:t>
      </w:r>
      <w:r>
        <w:rPr>
          <w:rFonts w:cs="Times New Roman"/>
          <w:spacing w:val="-7"/>
          <w:sz w:val="16"/>
          <w:szCs w:val="16"/>
          <w:lang w:val="es-ES_tradnl"/>
        </w:rPr>
        <w:t>ó</w:t>
      </w:r>
      <w:r>
        <w:rPr>
          <w:spacing w:val="-7"/>
          <w:sz w:val="16"/>
          <w:szCs w:val="16"/>
          <w:lang w:val="es-ES_tradnl"/>
        </w:rPr>
        <w:t xml:space="preserve">n del cargo hasta cuando fue </w:t>
      </w:r>
      <w:r>
        <w:rPr>
          <w:sz w:val="16"/>
          <w:szCs w:val="16"/>
          <w:lang w:val="es-ES_tradnl"/>
        </w:rPr>
        <w:t>reintegrado a mi puesto de trabajo (</w:t>
      </w:r>
      <w:r>
        <w:rPr>
          <w:rFonts w:cs="Times New Roman"/>
          <w:sz w:val="16"/>
          <w:szCs w:val="16"/>
          <w:lang w:val="es-ES_tradnl"/>
        </w:rPr>
        <w:t>…</w:t>
      </w:r>
      <w:r>
        <w:rPr>
          <w:sz w:val="16"/>
          <w:szCs w:val="16"/>
          <w:lang w:val="es-ES_tradnl"/>
        </w:rPr>
        <w:t>).</w:t>
      </w:r>
    </w:p>
    <w:p w14:paraId="4F67A9EE" w14:textId="77777777" w:rsidR="00591D54" w:rsidRDefault="00591D54">
      <w:pPr>
        <w:shd w:val="clear" w:color="auto" w:fill="FFFFFF"/>
        <w:spacing w:before="202" w:line="216" w:lineRule="exact"/>
        <w:jc w:val="both"/>
      </w:pPr>
      <w:r>
        <w:rPr>
          <w:spacing w:val="-6"/>
          <w:sz w:val="18"/>
          <w:szCs w:val="18"/>
          <w:lang w:val="es-ES_tradnl"/>
        </w:rPr>
        <w:t>Es decir, el accionante se</w:t>
      </w:r>
      <w:r>
        <w:rPr>
          <w:rFonts w:cs="Times New Roman"/>
          <w:spacing w:val="-6"/>
          <w:sz w:val="18"/>
          <w:szCs w:val="18"/>
          <w:lang w:val="es-ES_tradnl"/>
        </w:rPr>
        <w:t>ñ</w:t>
      </w:r>
      <w:r>
        <w:rPr>
          <w:spacing w:val="-6"/>
          <w:sz w:val="18"/>
          <w:szCs w:val="18"/>
          <w:lang w:val="es-ES_tradnl"/>
        </w:rPr>
        <w:t xml:space="preserve">ala que la Primera Sala del </w:t>
      </w:r>
      <w:r>
        <w:rPr>
          <w:spacing w:val="-3"/>
          <w:sz w:val="18"/>
          <w:szCs w:val="18"/>
          <w:lang w:val="es-ES_tradnl"/>
        </w:rPr>
        <w:t>Tribunal Distrital de lo Contencioso Administrativo N.</w:t>
      </w:r>
      <w:r>
        <w:rPr>
          <w:rFonts w:cs="Times New Roman"/>
          <w:spacing w:val="-3"/>
          <w:sz w:val="18"/>
          <w:szCs w:val="18"/>
          <w:lang w:val="es-ES_tradnl"/>
        </w:rPr>
        <w:t>º</w:t>
      </w:r>
      <w:r>
        <w:rPr>
          <w:spacing w:val="-3"/>
          <w:sz w:val="18"/>
          <w:szCs w:val="18"/>
          <w:lang w:val="es-ES_tradnl"/>
        </w:rPr>
        <w:t xml:space="preserve"> 1 </w:t>
      </w:r>
      <w:r>
        <w:rPr>
          <w:spacing w:val="-5"/>
          <w:sz w:val="18"/>
          <w:szCs w:val="18"/>
          <w:lang w:val="es-ES_tradnl"/>
        </w:rPr>
        <w:t>de Quito ha incumplido la decisi</w:t>
      </w:r>
      <w:r>
        <w:rPr>
          <w:rFonts w:cs="Times New Roman"/>
          <w:spacing w:val="-5"/>
          <w:sz w:val="18"/>
          <w:szCs w:val="18"/>
          <w:lang w:val="es-ES_tradnl"/>
        </w:rPr>
        <w:t>ó</w:t>
      </w:r>
      <w:r>
        <w:rPr>
          <w:spacing w:val="-5"/>
          <w:sz w:val="18"/>
          <w:szCs w:val="18"/>
          <w:lang w:val="es-ES_tradnl"/>
        </w:rPr>
        <w:t xml:space="preserve">n de la Primera Sala de </w:t>
      </w:r>
      <w:r>
        <w:rPr>
          <w:spacing w:val="-6"/>
          <w:sz w:val="18"/>
          <w:szCs w:val="18"/>
          <w:lang w:val="es-ES_tradnl"/>
        </w:rPr>
        <w:t>la Corte Constitucional, para el per</w:t>
      </w:r>
      <w:r>
        <w:rPr>
          <w:rFonts w:cs="Times New Roman"/>
          <w:spacing w:val="-6"/>
          <w:sz w:val="18"/>
          <w:szCs w:val="18"/>
          <w:lang w:val="es-ES_tradnl"/>
        </w:rPr>
        <w:t>í</w:t>
      </w:r>
      <w:r>
        <w:rPr>
          <w:spacing w:val="-6"/>
          <w:sz w:val="18"/>
          <w:szCs w:val="18"/>
          <w:lang w:val="es-ES_tradnl"/>
        </w:rPr>
        <w:t>odo de transici</w:t>
      </w:r>
      <w:r>
        <w:rPr>
          <w:rFonts w:cs="Times New Roman"/>
          <w:spacing w:val="-6"/>
          <w:sz w:val="18"/>
          <w:szCs w:val="18"/>
          <w:lang w:val="es-ES_tradnl"/>
        </w:rPr>
        <w:t>ó</w:t>
      </w:r>
      <w:r>
        <w:rPr>
          <w:spacing w:val="-6"/>
          <w:sz w:val="18"/>
          <w:szCs w:val="18"/>
          <w:lang w:val="es-ES_tradnl"/>
        </w:rPr>
        <w:t xml:space="preserve">n, por </w:t>
      </w:r>
      <w:r>
        <w:rPr>
          <w:spacing w:val="-11"/>
          <w:sz w:val="18"/>
          <w:szCs w:val="18"/>
          <w:lang w:val="es-ES_tradnl"/>
        </w:rPr>
        <w:t xml:space="preserve">cuanto no ha dispuesto el pago de los emolumentos dejados </w:t>
      </w:r>
      <w:r>
        <w:rPr>
          <w:spacing w:val="-7"/>
          <w:sz w:val="18"/>
          <w:szCs w:val="18"/>
          <w:lang w:val="es-ES_tradnl"/>
        </w:rPr>
        <w:t xml:space="preserve">de percibir desde que fue destituido hasta el reintegro a su </w:t>
      </w:r>
      <w:r>
        <w:rPr>
          <w:sz w:val="18"/>
          <w:szCs w:val="18"/>
          <w:lang w:val="es-ES_tradnl"/>
        </w:rPr>
        <w:t>puesto de trabajo.</w:t>
      </w:r>
    </w:p>
    <w:p w14:paraId="4F67A9EF" w14:textId="77777777" w:rsidR="00591D54" w:rsidRDefault="00591D54">
      <w:pPr>
        <w:shd w:val="clear" w:color="auto" w:fill="FFFFFF"/>
        <w:spacing w:before="197" w:line="216" w:lineRule="exact"/>
        <w:jc w:val="both"/>
      </w:pPr>
      <w:r>
        <w:rPr>
          <w:spacing w:val="-5"/>
          <w:sz w:val="18"/>
          <w:szCs w:val="18"/>
          <w:lang w:val="es-ES_tradnl"/>
        </w:rPr>
        <w:t>Del an</w:t>
      </w:r>
      <w:r>
        <w:rPr>
          <w:rFonts w:cs="Times New Roman"/>
          <w:spacing w:val="-5"/>
          <w:sz w:val="18"/>
          <w:szCs w:val="18"/>
          <w:lang w:val="es-ES_tradnl"/>
        </w:rPr>
        <w:t>á</w:t>
      </w:r>
      <w:r>
        <w:rPr>
          <w:spacing w:val="-5"/>
          <w:sz w:val="18"/>
          <w:szCs w:val="18"/>
          <w:lang w:val="es-ES_tradnl"/>
        </w:rPr>
        <w:t xml:space="preserve">lisis del expediente constitucional, se desprende </w:t>
      </w:r>
      <w:r>
        <w:rPr>
          <w:spacing w:val="-10"/>
          <w:sz w:val="18"/>
          <w:szCs w:val="18"/>
          <w:lang w:val="es-ES_tradnl"/>
        </w:rPr>
        <w:t>que en escrito de contestaci</w:t>
      </w:r>
      <w:r>
        <w:rPr>
          <w:rFonts w:cs="Times New Roman"/>
          <w:spacing w:val="-10"/>
          <w:sz w:val="18"/>
          <w:szCs w:val="18"/>
          <w:lang w:val="es-ES_tradnl"/>
        </w:rPr>
        <w:t>ó</w:t>
      </w:r>
      <w:r>
        <w:rPr>
          <w:spacing w:val="-10"/>
          <w:sz w:val="18"/>
          <w:szCs w:val="18"/>
          <w:lang w:val="es-ES_tradnl"/>
        </w:rPr>
        <w:t xml:space="preserve">n a la demanda presentado por </w:t>
      </w:r>
      <w:r>
        <w:rPr>
          <w:spacing w:val="-8"/>
          <w:sz w:val="18"/>
          <w:szCs w:val="18"/>
          <w:lang w:val="es-ES_tradnl"/>
        </w:rPr>
        <w:t xml:space="preserve">los jueces de la Primera Sala el 22 de noviembre de 2010, </w:t>
      </w:r>
      <w:r>
        <w:rPr>
          <w:sz w:val="18"/>
          <w:szCs w:val="18"/>
          <w:lang w:val="es-ES_tradnl"/>
        </w:rPr>
        <w:t>se</w:t>
      </w:r>
      <w:r>
        <w:rPr>
          <w:rFonts w:cs="Times New Roman"/>
          <w:sz w:val="18"/>
          <w:szCs w:val="18"/>
          <w:lang w:val="es-ES_tradnl"/>
        </w:rPr>
        <w:t>ñ</w:t>
      </w:r>
      <w:r>
        <w:rPr>
          <w:sz w:val="18"/>
          <w:szCs w:val="18"/>
          <w:lang w:val="es-ES_tradnl"/>
        </w:rPr>
        <w:t>alan que:</w:t>
      </w:r>
    </w:p>
    <w:p w14:paraId="4F67A9F0" w14:textId="77777777" w:rsidR="00591D54" w:rsidRDefault="00591D54">
      <w:pPr>
        <w:shd w:val="clear" w:color="auto" w:fill="FFFFFF"/>
        <w:spacing w:before="206" w:line="216" w:lineRule="exact"/>
        <w:ind w:left="283" w:right="5"/>
        <w:jc w:val="both"/>
      </w:pPr>
      <w:r>
        <w:rPr>
          <w:spacing w:val="-1"/>
          <w:sz w:val="16"/>
          <w:szCs w:val="16"/>
          <w:lang w:val="es-ES_tradnl"/>
        </w:rPr>
        <w:t xml:space="preserve">La Primera Sala con providencias de 10 de septiembre y </w:t>
      </w:r>
      <w:r>
        <w:rPr>
          <w:spacing w:val="-6"/>
          <w:sz w:val="16"/>
          <w:szCs w:val="16"/>
          <w:lang w:val="es-ES_tradnl"/>
        </w:rPr>
        <w:t>29 de octubre del a</w:t>
      </w:r>
      <w:r>
        <w:rPr>
          <w:rFonts w:cs="Times New Roman"/>
          <w:spacing w:val="-6"/>
          <w:sz w:val="16"/>
          <w:szCs w:val="16"/>
          <w:lang w:val="es-ES_tradnl"/>
        </w:rPr>
        <w:t>ñ</w:t>
      </w:r>
      <w:r>
        <w:rPr>
          <w:spacing w:val="-6"/>
          <w:sz w:val="16"/>
          <w:szCs w:val="16"/>
          <w:lang w:val="es-ES_tradnl"/>
        </w:rPr>
        <w:t xml:space="preserve">o 2009, dispuso el cumplimiento de la </w:t>
      </w:r>
      <w:r>
        <w:rPr>
          <w:spacing w:val="-7"/>
          <w:sz w:val="16"/>
          <w:szCs w:val="16"/>
          <w:lang w:val="es-ES_tradnl"/>
        </w:rPr>
        <w:t>resoluci</w:t>
      </w:r>
      <w:r>
        <w:rPr>
          <w:rFonts w:cs="Times New Roman"/>
          <w:spacing w:val="-7"/>
          <w:sz w:val="16"/>
          <w:szCs w:val="16"/>
          <w:lang w:val="es-ES_tradnl"/>
        </w:rPr>
        <w:t>ó</w:t>
      </w:r>
      <w:r>
        <w:rPr>
          <w:spacing w:val="-7"/>
          <w:sz w:val="16"/>
          <w:szCs w:val="16"/>
          <w:lang w:val="es-ES_tradnl"/>
        </w:rPr>
        <w:t xml:space="preserve">n emanada por la Corte Constitucional y la Empresa Metropolitana de Rastro dio cumplimiento el 24 de noviembre </w:t>
      </w:r>
      <w:r>
        <w:rPr>
          <w:spacing w:val="-8"/>
          <w:sz w:val="16"/>
          <w:szCs w:val="16"/>
          <w:lang w:val="es-ES_tradnl"/>
        </w:rPr>
        <w:t>del a</w:t>
      </w:r>
      <w:r>
        <w:rPr>
          <w:rFonts w:cs="Times New Roman"/>
          <w:spacing w:val="-8"/>
          <w:sz w:val="16"/>
          <w:szCs w:val="16"/>
          <w:lang w:val="es-ES_tradnl"/>
        </w:rPr>
        <w:t>ñ</w:t>
      </w:r>
      <w:r>
        <w:rPr>
          <w:spacing w:val="-8"/>
          <w:sz w:val="16"/>
          <w:szCs w:val="16"/>
          <w:lang w:val="es-ES_tradnl"/>
        </w:rPr>
        <w:t>o 2009 emitiendo la acci</w:t>
      </w:r>
      <w:r>
        <w:rPr>
          <w:rFonts w:cs="Times New Roman"/>
          <w:spacing w:val="-8"/>
          <w:sz w:val="16"/>
          <w:szCs w:val="16"/>
          <w:lang w:val="es-ES_tradnl"/>
        </w:rPr>
        <w:t>ó</w:t>
      </w:r>
      <w:r>
        <w:rPr>
          <w:spacing w:val="-8"/>
          <w:sz w:val="16"/>
          <w:szCs w:val="16"/>
          <w:lang w:val="es-ES_tradnl"/>
        </w:rPr>
        <w:t xml:space="preserve">n de personal correspondiente </w:t>
      </w:r>
      <w:r>
        <w:rPr>
          <w:spacing w:val="-5"/>
          <w:sz w:val="16"/>
          <w:szCs w:val="16"/>
          <w:lang w:val="es-ES_tradnl"/>
        </w:rPr>
        <w:t xml:space="preserve">mediante la cual restituyo al cargo veterinario uno al Doctor </w:t>
      </w:r>
      <w:r>
        <w:rPr>
          <w:sz w:val="16"/>
          <w:szCs w:val="16"/>
          <w:lang w:val="es-ES_tradnl"/>
        </w:rPr>
        <w:t>Leonel Segundo Mart</w:t>
      </w:r>
      <w:r>
        <w:rPr>
          <w:rFonts w:cs="Times New Roman"/>
          <w:sz w:val="16"/>
          <w:szCs w:val="16"/>
          <w:lang w:val="es-ES_tradnl"/>
        </w:rPr>
        <w:t>í</w:t>
      </w:r>
      <w:r>
        <w:rPr>
          <w:sz w:val="16"/>
          <w:szCs w:val="16"/>
          <w:lang w:val="es-ES_tradnl"/>
        </w:rPr>
        <w:t>nez Rosero.</w:t>
      </w:r>
    </w:p>
    <w:p w14:paraId="4F67A9F1" w14:textId="77777777" w:rsidR="00591D54" w:rsidRDefault="00591D54">
      <w:pPr>
        <w:shd w:val="clear" w:color="auto" w:fill="FFFFFF"/>
        <w:spacing w:before="216" w:line="216" w:lineRule="exact"/>
        <w:ind w:left="283"/>
        <w:jc w:val="both"/>
      </w:pPr>
      <w:r>
        <w:rPr>
          <w:b/>
          <w:bCs/>
          <w:spacing w:val="-11"/>
          <w:sz w:val="16"/>
          <w:szCs w:val="16"/>
          <w:lang w:val="es-ES_tradnl"/>
        </w:rPr>
        <w:t xml:space="preserve">Inconforme el actor con la actitud de la Sala y de la Empresa </w:t>
      </w:r>
      <w:r>
        <w:rPr>
          <w:b/>
          <w:bCs/>
          <w:spacing w:val="-10"/>
          <w:sz w:val="16"/>
          <w:szCs w:val="16"/>
          <w:lang w:val="es-ES_tradnl"/>
        </w:rPr>
        <w:t xml:space="preserve">Metropolitana de Rastro ha insistido por algunas ocasiones </w:t>
      </w:r>
      <w:r>
        <w:rPr>
          <w:b/>
          <w:bCs/>
          <w:spacing w:val="-6"/>
          <w:sz w:val="16"/>
          <w:szCs w:val="16"/>
          <w:lang w:val="es-ES_tradnl"/>
        </w:rPr>
        <w:t xml:space="preserve">en que se disponga por parte de la Primera Sala el pago </w:t>
      </w:r>
      <w:r>
        <w:rPr>
          <w:b/>
          <w:bCs/>
          <w:spacing w:val="-10"/>
          <w:sz w:val="16"/>
          <w:szCs w:val="16"/>
          <w:lang w:val="es-ES_tradnl"/>
        </w:rPr>
        <w:t>de los haberes correspondientes al per</w:t>
      </w:r>
      <w:r>
        <w:rPr>
          <w:rFonts w:cs="Times New Roman"/>
          <w:b/>
          <w:bCs/>
          <w:spacing w:val="-10"/>
          <w:sz w:val="16"/>
          <w:szCs w:val="16"/>
          <w:lang w:val="es-ES_tradnl"/>
        </w:rPr>
        <w:t>í</w:t>
      </w:r>
      <w:r>
        <w:rPr>
          <w:b/>
          <w:bCs/>
          <w:spacing w:val="-10"/>
          <w:sz w:val="16"/>
          <w:szCs w:val="16"/>
          <w:lang w:val="es-ES_tradnl"/>
        </w:rPr>
        <w:t>odo que transcurri</w:t>
      </w:r>
      <w:r>
        <w:rPr>
          <w:rFonts w:cs="Times New Roman"/>
          <w:b/>
          <w:bCs/>
          <w:spacing w:val="-10"/>
          <w:sz w:val="16"/>
          <w:szCs w:val="16"/>
          <w:lang w:val="es-ES_tradnl"/>
        </w:rPr>
        <w:t xml:space="preserve">ó </w:t>
      </w:r>
      <w:r>
        <w:rPr>
          <w:b/>
          <w:bCs/>
          <w:spacing w:val="-9"/>
          <w:sz w:val="16"/>
          <w:szCs w:val="16"/>
          <w:lang w:val="es-ES_tradnl"/>
        </w:rPr>
        <w:t xml:space="preserve">desde cuando fue destituido por la Empresa Metropolitana </w:t>
      </w:r>
      <w:r>
        <w:rPr>
          <w:b/>
          <w:bCs/>
          <w:spacing w:val="-7"/>
          <w:sz w:val="16"/>
          <w:szCs w:val="16"/>
          <w:lang w:val="es-ES_tradnl"/>
        </w:rPr>
        <w:t>hasta que fue restituido, petici</w:t>
      </w:r>
      <w:r>
        <w:rPr>
          <w:rFonts w:cs="Times New Roman"/>
          <w:b/>
          <w:bCs/>
          <w:spacing w:val="-7"/>
          <w:sz w:val="16"/>
          <w:szCs w:val="16"/>
          <w:lang w:val="es-ES_tradnl"/>
        </w:rPr>
        <w:t>ó</w:t>
      </w:r>
      <w:r>
        <w:rPr>
          <w:b/>
          <w:bCs/>
          <w:spacing w:val="-7"/>
          <w:sz w:val="16"/>
          <w:szCs w:val="16"/>
          <w:lang w:val="es-ES_tradnl"/>
        </w:rPr>
        <w:t xml:space="preserve">n que no ha podido ser </w:t>
      </w:r>
      <w:r>
        <w:rPr>
          <w:b/>
          <w:bCs/>
          <w:spacing w:val="-9"/>
          <w:sz w:val="16"/>
          <w:szCs w:val="16"/>
          <w:lang w:val="es-ES_tradnl"/>
        </w:rPr>
        <w:t xml:space="preserve">aceptada, toda vez que dicho derecho no ha sido otorgado </w:t>
      </w:r>
      <w:r>
        <w:rPr>
          <w:b/>
          <w:bCs/>
          <w:spacing w:val="-8"/>
          <w:sz w:val="16"/>
          <w:szCs w:val="16"/>
          <w:lang w:val="es-ES_tradnl"/>
        </w:rPr>
        <w:t>en la Resoluci</w:t>
      </w:r>
      <w:r>
        <w:rPr>
          <w:rFonts w:cs="Times New Roman"/>
          <w:b/>
          <w:bCs/>
          <w:spacing w:val="-8"/>
          <w:sz w:val="16"/>
          <w:szCs w:val="16"/>
          <w:lang w:val="es-ES_tradnl"/>
        </w:rPr>
        <w:t>ó</w:t>
      </w:r>
      <w:r>
        <w:rPr>
          <w:b/>
          <w:bCs/>
          <w:spacing w:val="-8"/>
          <w:sz w:val="16"/>
          <w:szCs w:val="16"/>
          <w:lang w:val="es-ES_tradnl"/>
        </w:rPr>
        <w:t xml:space="preserve">n que dicto la Corte Constitucional </w:t>
      </w:r>
      <w:r>
        <w:rPr>
          <w:spacing w:val="-8"/>
          <w:sz w:val="16"/>
          <w:szCs w:val="16"/>
          <w:lang w:val="es-ES_tradnl"/>
        </w:rPr>
        <w:t xml:space="preserve">el 12 de </w:t>
      </w:r>
      <w:r>
        <w:rPr>
          <w:spacing w:val="-10"/>
          <w:sz w:val="16"/>
          <w:szCs w:val="16"/>
          <w:lang w:val="es-ES_tradnl"/>
        </w:rPr>
        <w:t xml:space="preserve">agosto de 2009, no pudiendo la Primera Sala otorgar beneficios </w:t>
      </w:r>
      <w:r>
        <w:rPr>
          <w:spacing w:val="-6"/>
          <w:sz w:val="16"/>
          <w:szCs w:val="16"/>
          <w:lang w:val="es-ES_tradnl"/>
        </w:rPr>
        <w:t>que no le fueron concedidos en la instancia superior (</w:t>
      </w:r>
      <w:r>
        <w:rPr>
          <w:rFonts w:cs="Times New Roman"/>
          <w:spacing w:val="-6"/>
          <w:sz w:val="16"/>
          <w:szCs w:val="16"/>
          <w:lang w:val="es-ES_tradnl"/>
        </w:rPr>
        <w:t>…</w:t>
      </w:r>
      <w:r>
        <w:rPr>
          <w:spacing w:val="-6"/>
          <w:sz w:val="16"/>
          <w:szCs w:val="16"/>
          <w:lang w:val="es-ES_tradnl"/>
        </w:rPr>
        <w:t>).</w:t>
      </w:r>
    </w:p>
    <w:p w14:paraId="4F67A9F2" w14:textId="77777777" w:rsidR="00591D54" w:rsidRDefault="00591D54">
      <w:pPr>
        <w:shd w:val="clear" w:color="auto" w:fill="FFFFFF"/>
        <w:spacing w:before="206" w:line="216" w:lineRule="exact"/>
        <w:ind w:right="5"/>
        <w:jc w:val="both"/>
      </w:pPr>
      <w:r>
        <w:rPr>
          <w:spacing w:val="-7"/>
          <w:sz w:val="18"/>
          <w:szCs w:val="18"/>
          <w:lang w:val="es-ES_tradnl"/>
        </w:rPr>
        <w:t xml:space="preserve">Conforme lo expuesto, los jueces de la Primera Sala del </w:t>
      </w:r>
      <w:r>
        <w:rPr>
          <w:spacing w:val="-4"/>
          <w:sz w:val="18"/>
          <w:szCs w:val="18"/>
          <w:lang w:val="es-ES_tradnl"/>
        </w:rPr>
        <w:t xml:space="preserve">Tribunal Contencioso Administrativo determinan que si </w:t>
      </w:r>
      <w:r>
        <w:rPr>
          <w:spacing w:val="-8"/>
          <w:sz w:val="18"/>
          <w:szCs w:val="18"/>
          <w:lang w:val="es-ES_tradnl"/>
        </w:rPr>
        <w:t xml:space="preserve">bien el accionante fue restituido a su puesto de trabajo, sus </w:t>
      </w:r>
      <w:r>
        <w:rPr>
          <w:spacing w:val="-6"/>
          <w:sz w:val="18"/>
          <w:szCs w:val="18"/>
          <w:lang w:val="es-ES_tradnl"/>
        </w:rPr>
        <w:t xml:space="preserve">emolumentos no han sido pagados, puesto que a criterio de dicha judicatura aquello no fue dispuesto por la Corte </w:t>
      </w:r>
      <w:r>
        <w:rPr>
          <w:sz w:val="18"/>
          <w:szCs w:val="18"/>
          <w:lang w:val="es-ES_tradnl"/>
        </w:rPr>
        <w:t>Constitucional en su decisi</w:t>
      </w:r>
      <w:r>
        <w:rPr>
          <w:rFonts w:cs="Times New Roman"/>
          <w:sz w:val="18"/>
          <w:szCs w:val="18"/>
          <w:lang w:val="es-ES_tradnl"/>
        </w:rPr>
        <w:t>ó</w:t>
      </w:r>
      <w:r>
        <w:rPr>
          <w:sz w:val="18"/>
          <w:szCs w:val="18"/>
          <w:lang w:val="es-ES_tradnl"/>
        </w:rPr>
        <w:t>n.</w:t>
      </w:r>
    </w:p>
    <w:p w14:paraId="4F67A9F3" w14:textId="77777777" w:rsidR="00591D54" w:rsidRDefault="00591D54">
      <w:pPr>
        <w:shd w:val="clear" w:color="auto" w:fill="FFFFFF"/>
        <w:spacing w:before="197" w:line="216" w:lineRule="exact"/>
        <w:ind w:right="5"/>
        <w:jc w:val="both"/>
      </w:pPr>
      <w:r>
        <w:rPr>
          <w:spacing w:val="-8"/>
          <w:sz w:val="18"/>
          <w:szCs w:val="18"/>
          <w:lang w:val="es-ES_tradnl"/>
        </w:rPr>
        <w:t>Efectivamente, del an</w:t>
      </w:r>
      <w:r>
        <w:rPr>
          <w:rFonts w:cs="Times New Roman"/>
          <w:spacing w:val="-8"/>
          <w:sz w:val="18"/>
          <w:szCs w:val="18"/>
          <w:lang w:val="es-ES_tradnl"/>
        </w:rPr>
        <w:t>á</w:t>
      </w:r>
      <w:r>
        <w:rPr>
          <w:spacing w:val="-8"/>
          <w:sz w:val="18"/>
          <w:szCs w:val="18"/>
          <w:lang w:val="es-ES_tradnl"/>
        </w:rPr>
        <w:t xml:space="preserve">lisis de los recaudos procesales, se </w:t>
      </w:r>
      <w:r>
        <w:rPr>
          <w:spacing w:val="-10"/>
          <w:sz w:val="18"/>
          <w:szCs w:val="18"/>
          <w:lang w:val="es-ES_tradnl"/>
        </w:rPr>
        <w:t>desprende que el 29 de octubre de 2009, los jueces dictaron un auto (fs. 145) en el cual concedieron el t</w:t>
      </w:r>
      <w:r>
        <w:rPr>
          <w:rFonts w:cs="Times New Roman"/>
          <w:spacing w:val="-10"/>
          <w:sz w:val="18"/>
          <w:szCs w:val="18"/>
          <w:lang w:val="es-ES_tradnl"/>
        </w:rPr>
        <w:t>é</w:t>
      </w:r>
      <w:r>
        <w:rPr>
          <w:spacing w:val="-10"/>
          <w:sz w:val="18"/>
          <w:szCs w:val="18"/>
          <w:lang w:val="es-ES_tradnl"/>
        </w:rPr>
        <w:t xml:space="preserve">rmino de quince </w:t>
      </w:r>
      <w:r>
        <w:rPr>
          <w:spacing w:val="-8"/>
          <w:sz w:val="18"/>
          <w:szCs w:val="18"/>
          <w:lang w:val="es-ES_tradnl"/>
        </w:rPr>
        <w:t>d</w:t>
      </w:r>
      <w:r>
        <w:rPr>
          <w:rFonts w:cs="Times New Roman"/>
          <w:spacing w:val="-8"/>
          <w:sz w:val="18"/>
          <w:szCs w:val="18"/>
          <w:lang w:val="es-ES_tradnl"/>
        </w:rPr>
        <w:t>í</w:t>
      </w:r>
      <w:r>
        <w:rPr>
          <w:spacing w:val="-8"/>
          <w:sz w:val="18"/>
          <w:szCs w:val="18"/>
          <w:lang w:val="es-ES_tradnl"/>
        </w:rPr>
        <w:t xml:space="preserve">as a efectos de que la Empresa Metropolitana de Rastro </w:t>
      </w:r>
      <w:r>
        <w:rPr>
          <w:spacing w:val="-6"/>
          <w:sz w:val="18"/>
          <w:szCs w:val="18"/>
          <w:lang w:val="es-ES_tradnl"/>
        </w:rPr>
        <w:t>cumpla la Resoluci</w:t>
      </w:r>
      <w:r>
        <w:rPr>
          <w:rFonts w:cs="Times New Roman"/>
          <w:spacing w:val="-6"/>
          <w:sz w:val="18"/>
          <w:szCs w:val="18"/>
          <w:lang w:val="es-ES_tradnl"/>
        </w:rPr>
        <w:t>ó</w:t>
      </w:r>
      <w:r>
        <w:rPr>
          <w:spacing w:val="-6"/>
          <w:sz w:val="18"/>
          <w:szCs w:val="18"/>
          <w:lang w:val="es-ES_tradnl"/>
        </w:rPr>
        <w:t>n N.</w:t>
      </w:r>
      <w:r>
        <w:rPr>
          <w:rFonts w:cs="Times New Roman"/>
          <w:spacing w:val="-6"/>
          <w:sz w:val="18"/>
          <w:szCs w:val="18"/>
          <w:lang w:val="es-ES_tradnl"/>
        </w:rPr>
        <w:t>º</w:t>
      </w:r>
      <w:r>
        <w:rPr>
          <w:spacing w:val="-6"/>
          <w:sz w:val="18"/>
          <w:szCs w:val="18"/>
          <w:lang w:val="es-ES_tradnl"/>
        </w:rPr>
        <w:t xml:space="preserve"> 0959-08-RA, en consecuencia, </w:t>
      </w:r>
      <w:r>
        <w:rPr>
          <w:spacing w:val="-7"/>
          <w:sz w:val="18"/>
          <w:szCs w:val="18"/>
          <w:lang w:val="es-ES_tradnl"/>
        </w:rPr>
        <w:t xml:space="preserve">mediante escrito constante a fs. 148 del expediente </w:t>
      </w:r>
      <w:r>
        <w:rPr>
          <w:spacing w:val="-5"/>
          <w:sz w:val="18"/>
          <w:szCs w:val="18"/>
          <w:lang w:val="es-ES_tradnl"/>
        </w:rPr>
        <w:t>constitucional, la instituci</w:t>
      </w:r>
      <w:r>
        <w:rPr>
          <w:rFonts w:cs="Times New Roman"/>
          <w:spacing w:val="-5"/>
          <w:sz w:val="18"/>
          <w:szCs w:val="18"/>
          <w:lang w:val="es-ES_tradnl"/>
        </w:rPr>
        <w:t>ó</w:t>
      </w:r>
      <w:r>
        <w:rPr>
          <w:spacing w:val="-5"/>
          <w:sz w:val="18"/>
          <w:szCs w:val="18"/>
          <w:lang w:val="es-ES_tradnl"/>
        </w:rPr>
        <w:t xml:space="preserve">n obligada presenta un escrito </w:t>
      </w:r>
      <w:r>
        <w:rPr>
          <w:spacing w:val="-10"/>
          <w:sz w:val="18"/>
          <w:szCs w:val="18"/>
          <w:lang w:val="es-ES_tradnl"/>
        </w:rPr>
        <w:t>en el que se</w:t>
      </w:r>
      <w:r>
        <w:rPr>
          <w:rFonts w:cs="Times New Roman"/>
          <w:spacing w:val="-10"/>
          <w:sz w:val="18"/>
          <w:szCs w:val="18"/>
          <w:lang w:val="es-ES_tradnl"/>
        </w:rPr>
        <w:t>ñ</w:t>
      </w:r>
      <w:r>
        <w:rPr>
          <w:spacing w:val="-10"/>
          <w:sz w:val="18"/>
          <w:szCs w:val="18"/>
          <w:lang w:val="es-ES_tradnl"/>
        </w:rPr>
        <w:t>ala que mediante acci</w:t>
      </w:r>
      <w:r>
        <w:rPr>
          <w:rFonts w:cs="Times New Roman"/>
          <w:spacing w:val="-10"/>
          <w:sz w:val="18"/>
          <w:szCs w:val="18"/>
          <w:lang w:val="es-ES_tradnl"/>
        </w:rPr>
        <w:t>ó</w:t>
      </w:r>
      <w:r>
        <w:rPr>
          <w:spacing w:val="-10"/>
          <w:sz w:val="18"/>
          <w:szCs w:val="18"/>
          <w:lang w:val="es-ES_tradnl"/>
        </w:rPr>
        <w:t xml:space="preserve">n de personal del 24 de </w:t>
      </w:r>
      <w:r>
        <w:rPr>
          <w:spacing w:val="-8"/>
          <w:sz w:val="18"/>
          <w:szCs w:val="18"/>
          <w:lang w:val="es-ES_tradnl"/>
        </w:rPr>
        <w:t>noviembre de 2009, se restituy</w:t>
      </w:r>
      <w:r>
        <w:rPr>
          <w:rFonts w:cs="Times New Roman"/>
          <w:spacing w:val="-8"/>
          <w:sz w:val="18"/>
          <w:szCs w:val="18"/>
          <w:lang w:val="es-ES_tradnl"/>
        </w:rPr>
        <w:t>ó</w:t>
      </w:r>
      <w:r>
        <w:rPr>
          <w:spacing w:val="-8"/>
          <w:sz w:val="18"/>
          <w:szCs w:val="18"/>
          <w:lang w:val="es-ES_tradnl"/>
        </w:rPr>
        <w:t xml:space="preserve"> al doctor Leonel Segundo </w:t>
      </w:r>
      <w:r>
        <w:rPr>
          <w:spacing w:val="-7"/>
          <w:sz w:val="18"/>
          <w:szCs w:val="18"/>
          <w:lang w:val="es-ES_tradnl"/>
        </w:rPr>
        <w:t>Mart</w:t>
      </w:r>
      <w:r>
        <w:rPr>
          <w:rFonts w:cs="Times New Roman"/>
          <w:spacing w:val="-7"/>
          <w:sz w:val="18"/>
          <w:szCs w:val="18"/>
          <w:lang w:val="es-ES_tradnl"/>
        </w:rPr>
        <w:t>í</w:t>
      </w:r>
      <w:r>
        <w:rPr>
          <w:spacing w:val="-7"/>
          <w:sz w:val="18"/>
          <w:szCs w:val="18"/>
          <w:lang w:val="es-ES_tradnl"/>
        </w:rPr>
        <w:t>nez Rosero al puesto de m</w:t>
      </w:r>
      <w:r>
        <w:rPr>
          <w:rFonts w:cs="Times New Roman"/>
          <w:spacing w:val="-7"/>
          <w:sz w:val="18"/>
          <w:szCs w:val="18"/>
          <w:lang w:val="es-ES_tradnl"/>
        </w:rPr>
        <w:t>é</w:t>
      </w:r>
      <w:r>
        <w:rPr>
          <w:spacing w:val="-7"/>
          <w:sz w:val="18"/>
          <w:szCs w:val="18"/>
          <w:lang w:val="es-ES_tradnl"/>
        </w:rPr>
        <w:t>dico veterinario 1.</w:t>
      </w:r>
    </w:p>
    <w:p w14:paraId="4F67A9F4" w14:textId="77777777" w:rsidR="00591D54" w:rsidRDefault="00591D54">
      <w:pPr>
        <w:shd w:val="clear" w:color="auto" w:fill="FFFFFF"/>
        <w:spacing w:before="197" w:line="216" w:lineRule="exact"/>
        <w:jc w:val="both"/>
      </w:pPr>
      <w:r>
        <w:rPr>
          <w:spacing w:val="-8"/>
          <w:sz w:val="18"/>
          <w:szCs w:val="18"/>
          <w:lang w:val="es-ES_tradnl"/>
        </w:rPr>
        <w:t>As</w:t>
      </w:r>
      <w:r>
        <w:rPr>
          <w:rFonts w:cs="Times New Roman"/>
          <w:spacing w:val="-8"/>
          <w:sz w:val="18"/>
          <w:szCs w:val="18"/>
          <w:lang w:val="es-ES_tradnl"/>
        </w:rPr>
        <w:t>í</w:t>
      </w:r>
      <w:r>
        <w:rPr>
          <w:spacing w:val="-8"/>
          <w:sz w:val="18"/>
          <w:szCs w:val="18"/>
          <w:lang w:val="es-ES_tradnl"/>
        </w:rPr>
        <w:t>, a fs. 150, se agrega la acci</w:t>
      </w:r>
      <w:r>
        <w:rPr>
          <w:rFonts w:cs="Times New Roman"/>
          <w:spacing w:val="-8"/>
          <w:sz w:val="18"/>
          <w:szCs w:val="18"/>
          <w:lang w:val="es-ES_tradnl"/>
        </w:rPr>
        <w:t>ó</w:t>
      </w:r>
      <w:r>
        <w:rPr>
          <w:spacing w:val="-8"/>
          <w:sz w:val="18"/>
          <w:szCs w:val="18"/>
          <w:lang w:val="es-ES_tradnl"/>
        </w:rPr>
        <w:t xml:space="preserve">n de personal mediante la cual se reintegra al accionante al puesto de veterinario. Sin </w:t>
      </w:r>
      <w:r>
        <w:rPr>
          <w:spacing w:val="-6"/>
          <w:sz w:val="18"/>
          <w:szCs w:val="18"/>
          <w:lang w:val="es-ES_tradnl"/>
        </w:rPr>
        <w:t>embargo, mediante comunicaci</w:t>
      </w:r>
      <w:r>
        <w:rPr>
          <w:rFonts w:cs="Times New Roman"/>
          <w:spacing w:val="-6"/>
          <w:sz w:val="18"/>
          <w:szCs w:val="18"/>
          <w:lang w:val="es-ES_tradnl"/>
        </w:rPr>
        <w:t>ó</w:t>
      </w:r>
      <w:r>
        <w:rPr>
          <w:spacing w:val="-6"/>
          <w:sz w:val="18"/>
          <w:szCs w:val="18"/>
          <w:lang w:val="es-ES_tradnl"/>
        </w:rPr>
        <w:t xml:space="preserve">n del gerente general de </w:t>
      </w:r>
      <w:r>
        <w:rPr>
          <w:spacing w:val="-5"/>
          <w:sz w:val="18"/>
          <w:szCs w:val="18"/>
          <w:lang w:val="es-ES_tradnl"/>
        </w:rPr>
        <w:t xml:space="preserve">la Empresa Metropolitana de Rastro del 01 de diciembre </w:t>
      </w:r>
      <w:r>
        <w:rPr>
          <w:spacing w:val="-8"/>
          <w:sz w:val="18"/>
          <w:szCs w:val="18"/>
          <w:lang w:val="es-ES_tradnl"/>
        </w:rPr>
        <w:t>de 2009, se manifiesta al accionante que la decisi</w:t>
      </w:r>
      <w:r>
        <w:rPr>
          <w:rFonts w:cs="Times New Roman"/>
          <w:spacing w:val="-8"/>
          <w:sz w:val="18"/>
          <w:szCs w:val="18"/>
          <w:lang w:val="es-ES_tradnl"/>
        </w:rPr>
        <w:t>ó</w:t>
      </w:r>
      <w:r>
        <w:rPr>
          <w:spacing w:val="-8"/>
          <w:sz w:val="18"/>
          <w:szCs w:val="18"/>
          <w:lang w:val="es-ES_tradnl"/>
        </w:rPr>
        <w:t xml:space="preserve">n de la </w:t>
      </w:r>
      <w:r>
        <w:rPr>
          <w:spacing w:val="-6"/>
          <w:sz w:val="18"/>
          <w:szCs w:val="18"/>
          <w:lang w:val="es-ES_tradnl"/>
        </w:rPr>
        <w:t xml:space="preserve">Corte Constitucional no dispuso el reconocimiento de los </w:t>
      </w:r>
      <w:r>
        <w:rPr>
          <w:spacing w:val="-7"/>
          <w:sz w:val="18"/>
          <w:szCs w:val="18"/>
          <w:lang w:val="es-ES_tradnl"/>
        </w:rPr>
        <w:t xml:space="preserve">emolumentos dejados de percibir, por lo que no se puede </w:t>
      </w:r>
      <w:r>
        <w:rPr>
          <w:sz w:val="18"/>
          <w:szCs w:val="18"/>
          <w:lang w:val="es-ES_tradnl"/>
        </w:rPr>
        <w:t>atender su pedido.</w:t>
      </w:r>
    </w:p>
    <w:p w14:paraId="4F67A9F5" w14:textId="77777777" w:rsidR="00591D54" w:rsidRDefault="00591D54">
      <w:pPr>
        <w:shd w:val="clear" w:color="auto" w:fill="FFFFFF"/>
        <w:spacing w:line="230" w:lineRule="exact"/>
        <w:jc w:val="both"/>
      </w:pPr>
      <w:r>
        <w:br w:type="column"/>
      </w:r>
      <w:r>
        <w:rPr>
          <w:spacing w:val="-10"/>
          <w:sz w:val="18"/>
          <w:szCs w:val="18"/>
          <w:lang w:val="es-ES_tradnl"/>
        </w:rPr>
        <w:t xml:space="preserve">Por lo que el accionante comparece ante la Primera Sala del </w:t>
      </w:r>
      <w:r>
        <w:rPr>
          <w:spacing w:val="-5"/>
          <w:sz w:val="18"/>
          <w:szCs w:val="18"/>
          <w:lang w:val="es-ES_tradnl"/>
        </w:rPr>
        <w:t>Tribunal Distrital N.</w:t>
      </w:r>
      <w:r>
        <w:rPr>
          <w:rFonts w:cs="Times New Roman"/>
          <w:spacing w:val="-5"/>
          <w:sz w:val="18"/>
          <w:szCs w:val="18"/>
          <w:lang w:val="es-ES_tradnl"/>
        </w:rPr>
        <w:t>º</w:t>
      </w:r>
      <w:r>
        <w:rPr>
          <w:spacing w:val="-5"/>
          <w:sz w:val="18"/>
          <w:szCs w:val="18"/>
          <w:lang w:val="es-ES_tradnl"/>
        </w:rPr>
        <w:t xml:space="preserve"> 1 de lo Contencioso Administrativo a </w:t>
      </w:r>
      <w:r>
        <w:rPr>
          <w:spacing w:val="-6"/>
          <w:sz w:val="18"/>
          <w:szCs w:val="18"/>
          <w:lang w:val="es-ES_tradnl"/>
        </w:rPr>
        <w:t>fin de solicitar la liquidaci</w:t>
      </w:r>
      <w:r>
        <w:rPr>
          <w:rFonts w:cs="Times New Roman"/>
          <w:spacing w:val="-6"/>
          <w:sz w:val="18"/>
          <w:szCs w:val="18"/>
          <w:lang w:val="es-ES_tradnl"/>
        </w:rPr>
        <w:t>ó</w:t>
      </w:r>
      <w:r>
        <w:rPr>
          <w:spacing w:val="-6"/>
          <w:sz w:val="18"/>
          <w:szCs w:val="18"/>
          <w:lang w:val="es-ES_tradnl"/>
        </w:rPr>
        <w:t xml:space="preserve">n de los emolumentos dejados de percibir, no obstante, la Sala, en auto dictado el 10 de </w:t>
      </w:r>
      <w:r>
        <w:rPr>
          <w:spacing w:val="-5"/>
          <w:sz w:val="18"/>
          <w:szCs w:val="18"/>
          <w:lang w:val="es-ES_tradnl"/>
        </w:rPr>
        <w:t>septiembre de 2010, se</w:t>
      </w:r>
      <w:r>
        <w:rPr>
          <w:rFonts w:cs="Times New Roman"/>
          <w:spacing w:val="-5"/>
          <w:sz w:val="18"/>
          <w:szCs w:val="18"/>
          <w:lang w:val="es-ES_tradnl"/>
        </w:rPr>
        <w:t>ñ</w:t>
      </w:r>
      <w:r>
        <w:rPr>
          <w:spacing w:val="-5"/>
          <w:sz w:val="18"/>
          <w:szCs w:val="18"/>
          <w:lang w:val="es-ES_tradnl"/>
        </w:rPr>
        <w:t>ala que la decisi</w:t>
      </w:r>
      <w:r>
        <w:rPr>
          <w:rFonts w:cs="Times New Roman"/>
          <w:spacing w:val="-5"/>
          <w:sz w:val="18"/>
          <w:szCs w:val="18"/>
          <w:lang w:val="es-ES_tradnl"/>
        </w:rPr>
        <w:t>ó</w:t>
      </w:r>
      <w:r>
        <w:rPr>
          <w:spacing w:val="-5"/>
          <w:sz w:val="18"/>
          <w:szCs w:val="18"/>
          <w:lang w:val="es-ES_tradnl"/>
        </w:rPr>
        <w:t xml:space="preserve">n fue cumplida </w:t>
      </w:r>
      <w:r>
        <w:rPr>
          <w:spacing w:val="-4"/>
          <w:sz w:val="18"/>
          <w:szCs w:val="18"/>
          <w:lang w:val="es-ES_tradnl"/>
        </w:rPr>
        <w:t>y que por tanto se niega la petici</w:t>
      </w:r>
      <w:r>
        <w:rPr>
          <w:rFonts w:cs="Times New Roman"/>
          <w:spacing w:val="-4"/>
          <w:sz w:val="18"/>
          <w:szCs w:val="18"/>
          <w:lang w:val="es-ES_tradnl"/>
        </w:rPr>
        <w:t>ó</w:t>
      </w:r>
      <w:r>
        <w:rPr>
          <w:spacing w:val="-4"/>
          <w:sz w:val="18"/>
          <w:szCs w:val="18"/>
          <w:lang w:val="es-ES_tradnl"/>
        </w:rPr>
        <w:t xml:space="preserve">n formulada por el </w:t>
      </w:r>
      <w:r>
        <w:rPr>
          <w:sz w:val="18"/>
          <w:szCs w:val="18"/>
          <w:lang w:val="es-ES_tradnl"/>
        </w:rPr>
        <w:t>accionante (fs. 160).</w:t>
      </w:r>
    </w:p>
    <w:p w14:paraId="4F67A9F6" w14:textId="77777777" w:rsidR="00591D54" w:rsidRDefault="00591D54">
      <w:pPr>
        <w:shd w:val="clear" w:color="auto" w:fill="FFFFFF"/>
        <w:spacing w:before="206" w:line="230" w:lineRule="exact"/>
        <w:jc w:val="both"/>
      </w:pPr>
      <w:r>
        <w:rPr>
          <w:sz w:val="18"/>
          <w:szCs w:val="18"/>
          <w:lang w:val="es-ES_tradnl"/>
        </w:rPr>
        <w:t xml:space="preserve">A fs. 189 del expediente constitucional consta la </w:t>
      </w:r>
      <w:r>
        <w:rPr>
          <w:spacing w:val="-11"/>
          <w:sz w:val="18"/>
          <w:szCs w:val="18"/>
          <w:lang w:val="es-ES_tradnl"/>
        </w:rPr>
        <w:t>contestaci</w:t>
      </w:r>
      <w:r>
        <w:rPr>
          <w:rFonts w:cs="Times New Roman"/>
          <w:spacing w:val="-11"/>
          <w:sz w:val="18"/>
          <w:szCs w:val="18"/>
          <w:lang w:val="es-ES_tradnl"/>
        </w:rPr>
        <w:t>ó</w:t>
      </w:r>
      <w:r>
        <w:rPr>
          <w:spacing w:val="-11"/>
          <w:sz w:val="18"/>
          <w:szCs w:val="18"/>
          <w:lang w:val="es-ES_tradnl"/>
        </w:rPr>
        <w:t xml:space="preserve">n a la demanda presentada el 27 de diciembre de </w:t>
      </w:r>
      <w:r>
        <w:rPr>
          <w:spacing w:val="-6"/>
          <w:sz w:val="18"/>
          <w:szCs w:val="18"/>
          <w:lang w:val="es-ES_tradnl"/>
        </w:rPr>
        <w:t xml:space="preserve">2010, por el economista Jorge Alejandro Pinto Aguirre en </w:t>
      </w:r>
      <w:r>
        <w:rPr>
          <w:spacing w:val="-10"/>
          <w:sz w:val="18"/>
          <w:szCs w:val="18"/>
          <w:lang w:val="es-ES_tradnl"/>
        </w:rPr>
        <w:t xml:space="preserve">su calidad de gerente general y como tal, representante legal </w:t>
      </w:r>
      <w:r>
        <w:rPr>
          <w:spacing w:val="-6"/>
          <w:sz w:val="18"/>
          <w:szCs w:val="18"/>
          <w:lang w:val="es-ES_tradnl"/>
        </w:rPr>
        <w:t>de la Empresa P</w:t>
      </w:r>
      <w:r>
        <w:rPr>
          <w:rFonts w:cs="Times New Roman"/>
          <w:spacing w:val="-6"/>
          <w:sz w:val="18"/>
          <w:szCs w:val="18"/>
          <w:lang w:val="es-ES_tradnl"/>
        </w:rPr>
        <w:t>ú</w:t>
      </w:r>
      <w:r>
        <w:rPr>
          <w:spacing w:val="-6"/>
          <w:sz w:val="18"/>
          <w:szCs w:val="18"/>
          <w:lang w:val="es-ES_tradnl"/>
        </w:rPr>
        <w:t xml:space="preserve">blica Metropolitana de Rastro de Quito </w:t>
      </w:r>
      <w:r>
        <w:rPr>
          <w:spacing w:val="-9"/>
          <w:sz w:val="18"/>
          <w:szCs w:val="18"/>
          <w:lang w:val="es-ES_tradnl"/>
        </w:rPr>
        <w:t xml:space="preserve">(EMRAQ-EP) en la cual, determinan que han cumplido con </w:t>
      </w:r>
      <w:r>
        <w:rPr>
          <w:spacing w:val="-6"/>
          <w:sz w:val="18"/>
          <w:szCs w:val="18"/>
          <w:lang w:val="es-ES_tradnl"/>
        </w:rPr>
        <w:t>la decisi</w:t>
      </w:r>
      <w:r>
        <w:rPr>
          <w:rFonts w:cs="Times New Roman"/>
          <w:spacing w:val="-6"/>
          <w:sz w:val="18"/>
          <w:szCs w:val="18"/>
          <w:lang w:val="es-ES_tradnl"/>
        </w:rPr>
        <w:t>ó</w:t>
      </w:r>
      <w:r>
        <w:rPr>
          <w:spacing w:val="-6"/>
          <w:sz w:val="18"/>
          <w:szCs w:val="18"/>
          <w:lang w:val="es-ES_tradnl"/>
        </w:rPr>
        <w:t xml:space="preserve">n dictada por la Corte Constitucional por cuanto </w:t>
      </w:r>
      <w:r>
        <w:rPr>
          <w:spacing w:val="-9"/>
          <w:sz w:val="18"/>
          <w:szCs w:val="18"/>
          <w:lang w:val="es-ES_tradnl"/>
        </w:rPr>
        <w:t>han restituido al accionante al cargo que desempe</w:t>
      </w:r>
      <w:r>
        <w:rPr>
          <w:rFonts w:cs="Times New Roman"/>
          <w:spacing w:val="-9"/>
          <w:sz w:val="18"/>
          <w:szCs w:val="18"/>
          <w:lang w:val="es-ES_tradnl"/>
        </w:rPr>
        <w:t>ñ</w:t>
      </w:r>
      <w:r>
        <w:rPr>
          <w:spacing w:val="-9"/>
          <w:sz w:val="18"/>
          <w:szCs w:val="18"/>
          <w:lang w:val="es-ES_tradnl"/>
        </w:rPr>
        <w:t>aba.</w:t>
      </w:r>
    </w:p>
    <w:p w14:paraId="4F67A9F7" w14:textId="77777777" w:rsidR="00591D54" w:rsidRDefault="00591D54">
      <w:pPr>
        <w:shd w:val="clear" w:color="auto" w:fill="FFFFFF"/>
        <w:spacing w:before="202" w:line="230" w:lineRule="exact"/>
        <w:jc w:val="both"/>
      </w:pPr>
      <w:r>
        <w:rPr>
          <w:spacing w:val="-10"/>
          <w:sz w:val="18"/>
          <w:szCs w:val="18"/>
          <w:lang w:val="es-ES_tradnl"/>
        </w:rPr>
        <w:t xml:space="preserve">En igual sentido, mediante escrito ingresado ante esta Corte </w:t>
      </w:r>
      <w:r>
        <w:rPr>
          <w:spacing w:val="-3"/>
          <w:sz w:val="18"/>
          <w:szCs w:val="18"/>
          <w:lang w:val="es-ES_tradnl"/>
        </w:rPr>
        <w:t xml:space="preserve">el 21 de mayo de 2015, el Crnl. Luis Enrique Montalvo </w:t>
      </w:r>
      <w:r>
        <w:rPr>
          <w:spacing w:val="-9"/>
          <w:sz w:val="18"/>
          <w:szCs w:val="18"/>
          <w:lang w:val="es-ES_tradnl"/>
        </w:rPr>
        <w:t>Gonz</w:t>
      </w:r>
      <w:r>
        <w:rPr>
          <w:rFonts w:cs="Times New Roman"/>
          <w:spacing w:val="-9"/>
          <w:sz w:val="18"/>
          <w:szCs w:val="18"/>
          <w:lang w:val="es-ES_tradnl"/>
        </w:rPr>
        <w:t>á</w:t>
      </w:r>
      <w:r>
        <w:rPr>
          <w:spacing w:val="-9"/>
          <w:sz w:val="18"/>
          <w:szCs w:val="18"/>
          <w:lang w:val="es-ES_tradnl"/>
        </w:rPr>
        <w:t xml:space="preserve">lez en calidad de gerente y representante legal de la </w:t>
      </w:r>
      <w:r>
        <w:rPr>
          <w:spacing w:val="-8"/>
          <w:sz w:val="18"/>
          <w:szCs w:val="18"/>
          <w:lang w:val="es-ES_tradnl"/>
        </w:rPr>
        <w:t>Empresa P</w:t>
      </w:r>
      <w:r>
        <w:rPr>
          <w:rFonts w:cs="Times New Roman"/>
          <w:spacing w:val="-8"/>
          <w:sz w:val="18"/>
          <w:szCs w:val="18"/>
          <w:lang w:val="es-ES_tradnl"/>
        </w:rPr>
        <w:t>ú</w:t>
      </w:r>
      <w:r>
        <w:rPr>
          <w:spacing w:val="-8"/>
          <w:sz w:val="18"/>
          <w:szCs w:val="18"/>
          <w:lang w:val="es-ES_tradnl"/>
        </w:rPr>
        <w:t xml:space="preserve">blica Metropolitana de Rastro Quito, determina </w:t>
      </w:r>
      <w:r>
        <w:rPr>
          <w:sz w:val="18"/>
          <w:szCs w:val="18"/>
          <w:lang w:val="es-ES_tradnl"/>
        </w:rPr>
        <w:t>que:</w:t>
      </w:r>
    </w:p>
    <w:p w14:paraId="4F67A9F8" w14:textId="77777777" w:rsidR="00591D54" w:rsidRDefault="00591D54">
      <w:pPr>
        <w:shd w:val="clear" w:color="auto" w:fill="FFFFFF"/>
        <w:spacing w:before="206" w:line="230" w:lineRule="exact"/>
        <w:ind w:left="283"/>
        <w:jc w:val="both"/>
      </w:pPr>
      <w:r>
        <w:rPr>
          <w:spacing w:val="-7"/>
          <w:sz w:val="16"/>
          <w:szCs w:val="16"/>
          <w:lang w:val="es-ES_tradnl"/>
        </w:rPr>
        <w:t>4.- Para demostrar que la Empresa P</w:t>
      </w:r>
      <w:r>
        <w:rPr>
          <w:rFonts w:cs="Times New Roman"/>
          <w:spacing w:val="-7"/>
          <w:sz w:val="16"/>
          <w:szCs w:val="16"/>
          <w:lang w:val="es-ES_tradnl"/>
        </w:rPr>
        <w:t>ú</w:t>
      </w:r>
      <w:r>
        <w:rPr>
          <w:spacing w:val="-7"/>
          <w:sz w:val="16"/>
          <w:szCs w:val="16"/>
          <w:lang w:val="es-ES_tradnl"/>
        </w:rPr>
        <w:t xml:space="preserve">blica Metropolitana de </w:t>
      </w:r>
      <w:r>
        <w:rPr>
          <w:spacing w:val="-3"/>
          <w:sz w:val="16"/>
          <w:szCs w:val="16"/>
          <w:lang w:val="es-ES_tradnl"/>
        </w:rPr>
        <w:t>Rastro Quito cumpli</w:t>
      </w:r>
      <w:r>
        <w:rPr>
          <w:rFonts w:cs="Times New Roman"/>
          <w:spacing w:val="-3"/>
          <w:sz w:val="16"/>
          <w:szCs w:val="16"/>
          <w:lang w:val="es-ES_tradnl"/>
        </w:rPr>
        <w:t>ó</w:t>
      </w:r>
      <w:r>
        <w:rPr>
          <w:spacing w:val="-3"/>
          <w:sz w:val="16"/>
          <w:szCs w:val="16"/>
          <w:lang w:val="es-ES_tradnl"/>
        </w:rPr>
        <w:t xml:space="preserve"> con lo dispuesto por la Primera Sala </w:t>
      </w:r>
      <w:r>
        <w:rPr>
          <w:spacing w:val="-6"/>
          <w:sz w:val="16"/>
          <w:szCs w:val="16"/>
          <w:lang w:val="es-ES_tradnl"/>
        </w:rPr>
        <w:t>de la Corte Constitucional, mediante Acci</w:t>
      </w:r>
      <w:r>
        <w:rPr>
          <w:rFonts w:cs="Times New Roman"/>
          <w:spacing w:val="-6"/>
          <w:sz w:val="16"/>
          <w:szCs w:val="16"/>
          <w:lang w:val="es-ES_tradnl"/>
        </w:rPr>
        <w:t>ó</w:t>
      </w:r>
      <w:r>
        <w:rPr>
          <w:spacing w:val="-6"/>
          <w:sz w:val="16"/>
          <w:szCs w:val="16"/>
          <w:lang w:val="es-ES_tradnl"/>
        </w:rPr>
        <w:t>n de Personal sin n</w:t>
      </w:r>
      <w:r>
        <w:rPr>
          <w:rFonts w:cs="Times New Roman"/>
          <w:spacing w:val="-6"/>
          <w:sz w:val="16"/>
          <w:szCs w:val="16"/>
          <w:lang w:val="es-ES_tradnl"/>
        </w:rPr>
        <w:t>ú</w:t>
      </w:r>
      <w:r>
        <w:rPr>
          <w:spacing w:val="-6"/>
          <w:sz w:val="16"/>
          <w:szCs w:val="16"/>
          <w:lang w:val="es-ES_tradnl"/>
        </w:rPr>
        <w:t>mero de fecha 09 de noviembre del 2009, cuya copia me permito adjuntar, RESTITUYE al cargo de M</w:t>
      </w:r>
      <w:r>
        <w:rPr>
          <w:rFonts w:cs="Times New Roman"/>
          <w:spacing w:val="-6"/>
          <w:sz w:val="16"/>
          <w:szCs w:val="16"/>
          <w:lang w:val="es-ES_tradnl"/>
        </w:rPr>
        <w:t>é</w:t>
      </w:r>
      <w:r>
        <w:rPr>
          <w:spacing w:val="-6"/>
          <w:sz w:val="16"/>
          <w:szCs w:val="16"/>
          <w:lang w:val="es-ES_tradnl"/>
        </w:rPr>
        <w:t xml:space="preserve">dico Veterinario </w:t>
      </w:r>
      <w:r>
        <w:rPr>
          <w:sz w:val="16"/>
          <w:szCs w:val="16"/>
          <w:lang w:val="es-ES_tradnl"/>
        </w:rPr>
        <w:t>1 al Dr. Leonel Mart</w:t>
      </w:r>
      <w:r>
        <w:rPr>
          <w:rFonts w:cs="Times New Roman"/>
          <w:sz w:val="16"/>
          <w:szCs w:val="16"/>
          <w:lang w:val="es-ES_tradnl"/>
        </w:rPr>
        <w:t>í</w:t>
      </w:r>
      <w:r>
        <w:rPr>
          <w:sz w:val="16"/>
          <w:szCs w:val="16"/>
          <w:lang w:val="es-ES_tradnl"/>
        </w:rPr>
        <w:t>nez Rosero.</w:t>
      </w:r>
    </w:p>
    <w:p w14:paraId="4F67A9F9" w14:textId="77777777" w:rsidR="00591D54" w:rsidRDefault="00591D54">
      <w:pPr>
        <w:shd w:val="clear" w:color="auto" w:fill="FFFFFF"/>
        <w:spacing w:line="230" w:lineRule="exact"/>
        <w:ind w:left="283"/>
        <w:jc w:val="both"/>
      </w:pPr>
      <w:r>
        <w:rPr>
          <w:spacing w:val="-5"/>
          <w:sz w:val="16"/>
          <w:szCs w:val="16"/>
          <w:lang w:val="es-ES_tradnl"/>
        </w:rPr>
        <w:t>5.- A partir de su restituci</w:t>
      </w:r>
      <w:r>
        <w:rPr>
          <w:rFonts w:cs="Times New Roman"/>
          <w:spacing w:val="-5"/>
          <w:sz w:val="16"/>
          <w:szCs w:val="16"/>
          <w:lang w:val="es-ES_tradnl"/>
        </w:rPr>
        <w:t>ó</w:t>
      </w:r>
      <w:r>
        <w:rPr>
          <w:spacing w:val="-5"/>
          <w:sz w:val="16"/>
          <w:szCs w:val="16"/>
          <w:lang w:val="es-ES_tradnl"/>
        </w:rPr>
        <w:t>n. El Dr. Leonel Mart</w:t>
      </w:r>
      <w:r>
        <w:rPr>
          <w:rFonts w:cs="Times New Roman"/>
          <w:spacing w:val="-5"/>
          <w:sz w:val="16"/>
          <w:szCs w:val="16"/>
          <w:lang w:val="es-ES_tradnl"/>
        </w:rPr>
        <w:t>í</w:t>
      </w:r>
      <w:r>
        <w:rPr>
          <w:spacing w:val="-5"/>
          <w:sz w:val="16"/>
          <w:szCs w:val="16"/>
          <w:lang w:val="es-ES_tradnl"/>
        </w:rPr>
        <w:t xml:space="preserve">nez Rosero, </w:t>
      </w:r>
      <w:r>
        <w:rPr>
          <w:spacing w:val="-6"/>
          <w:sz w:val="16"/>
          <w:szCs w:val="16"/>
          <w:lang w:val="es-ES_tradnl"/>
        </w:rPr>
        <w:t>labor</w:t>
      </w:r>
      <w:r>
        <w:rPr>
          <w:rFonts w:cs="Times New Roman"/>
          <w:spacing w:val="-6"/>
          <w:sz w:val="16"/>
          <w:szCs w:val="16"/>
          <w:lang w:val="es-ES_tradnl"/>
        </w:rPr>
        <w:t>ó</w:t>
      </w:r>
      <w:r>
        <w:rPr>
          <w:spacing w:val="-6"/>
          <w:sz w:val="16"/>
          <w:szCs w:val="16"/>
          <w:lang w:val="es-ES_tradnl"/>
        </w:rPr>
        <w:t xml:space="preserve"> en la Empresa P</w:t>
      </w:r>
      <w:r>
        <w:rPr>
          <w:rFonts w:cs="Times New Roman"/>
          <w:spacing w:val="-6"/>
          <w:sz w:val="16"/>
          <w:szCs w:val="16"/>
          <w:lang w:val="es-ES_tradnl"/>
        </w:rPr>
        <w:t>ú</w:t>
      </w:r>
      <w:r>
        <w:rPr>
          <w:spacing w:val="-6"/>
          <w:sz w:val="16"/>
          <w:szCs w:val="16"/>
          <w:lang w:val="es-ES_tradnl"/>
        </w:rPr>
        <w:t xml:space="preserve">blica Metropolitana de Rastro Quito </w:t>
      </w:r>
      <w:r>
        <w:rPr>
          <w:spacing w:val="-5"/>
          <w:sz w:val="16"/>
          <w:szCs w:val="16"/>
          <w:lang w:val="es-ES_tradnl"/>
        </w:rPr>
        <w:t>ininterrumpidamente hasta el d</w:t>
      </w:r>
      <w:r>
        <w:rPr>
          <w:rFonts w:cs="Times New Roman"/>
          <w:spacing w:val="-5"/>
          <w:sz w:val="16"/>
          <w:szCs w:val="16"/>
          <w:lang w:val="es-ES_tradnl"/>
        </w:rPr>
        <w:t>í</w:t>
      </w:r>
      <w:r>
        <w:rPr>
          <w:spacing w:val="-5"/>
          <w:sz w:val="16"/>
          <w:szCs w:val="16"/>
          <w:lang w:val="es-ES_tradnl"/>
        </w:rPr>
        <w:t xml:space="preserve">a 28 de diciembre de 2012, </w:t>
      </w:r>
      <w:r>
        <w:rPr>
          <w:spacing w:val="-8"/>
          <w:sz w:val="16"/>
          <w:szCs w:val="16"/>
          <w:lang w:val="es-ES_tradnl"/>
        </w:rPr>
        <w:t xml:space="preserve">fecha en la cual es aceptada su renuncia para acogerse a los </w:t>
      </w:r>
      <w:r>
        <w:rPr>
          <w:spacing w:val="-9"/>
          <w:sz w:val="16"/>
          <w:szCs w:val="16"/>
          <w:lang w:val="es-ES_tradnl"/>
        </w:rPr>
        <w:t>beneficios de su jubilaci</w:t>
      </w:r>
      <w:r>
        <w:rPr>
          <w:rFonts w:cs="Times New Roman"/>
          <w:spacing w:val="-9"/>
          <w:sz w:val="16"/>
          <w:szCs w:val="16"/>
          <w:lang w:val="es-ES_tradnl"/>
        </w:rPr>
        <w:t>ó</w:t>
      </w:r>
      <w:r>
        <w:rPr>
          <w:spacing w:val="-9"/>
          <w:sz w:val="16"/>
          <w:szCs w:val="16"/>
          <w:lang w:val="es-ES_tradnl"/>
        </w:rPr>
        <w:t xml:space="preserve">n, a la que tiene derecho por parte del </w:t>
      </w:r>
      <w:r>
        <w:rPr>
          <w:spacing w:val="-6"/>
          <w:sz w:val="16"/>
          <w:szCs w:val="16"/>
          <w:lang w:val="es-ES_tradnl"/>
        </w:rPr>
        <w:t>(sic) IESS. Conforme consta en la certificaci</w:t>
      </w:r>
      <w:r>
        <w:rPr>
          <w:rFonts w:cs="Times New Roman"/>
          <w:spacing w:val="-6"/>
          <w:sz w:val="16"/>
          <w:szCs w:val="16"/>
          <w:lang w:val="es-ES_tradnl"/>
        </w:rPr>
        <w:t>ó</w:t>
      </w:r>
      <w:r>
        <w:rPr>
          <w:spacing w:val="-6"/>
          <w:sz w:val="16"/>
          <w:szCs w:val="16"/>
          <w:lang w:val="es-ES_tradnl"/>
        </w:rPr>
        <w:t xml:space="preserve">n de Recursos </w:t>
      </w:r>
      <w:r>
        <w:rPr>
          <w:spacing w:val="-9"/>
          <w:sz w:val="16"/>
          <w:szCs w:val="16"/>
          <w:lang w:val="es-ES_tradnl"/>
        </w:rPr>
        <w:t xml:space="preserve">Humanos del 20 de mayo de 2015 y la renuncia presentada por </w:t>
      </w:r>
      <w:r>
        <w:rPr>
          <w:spacing w:val="-6"/>
          <w:sz w:val="16"/>
          <w:szCs w:val="16"/>
          <w:lang w:val="es-ES_tradnl"/>
        </w:rPr>
        <w:t>el Dr. Leonel Mart</w:t>
      </w:r>
      <w:r>
        <w:rPr>
          <w:rFonts w:cs="Times New Roman"/>
          <w:spacing w:val="-6"/>
          <w:sz w:val="16"/>
          <w:szCs w:val="16"/>
          <w:lang w:val="es-ES_tradnl"/>
        </w:rPr>
        <w:t>í</w:t>
      </w:r>
      <w:r>
        <w:rPr>
          <w:spacing w:val="-6"/>
          <w:sz w:val="16"/>
          <w:szCs w:val="16"/>
          <w:lang w:val="es-ES_tradnl"/>
        </w:rPr>
        <w:t>nez Rosero que me permito adjuntar (</w:t>
      </w:r>
      <w:r>
        <w:rPr>
          <w:rFonts w:cs="Times New Roman"/>
          <w:spacing w:val="-6"/>
          <w:sz w:val="16"/>
          <w:szCs w:val="16"/>
          <w:lang w:val="es-ES_tradnl"/>
        </w:rPr>
        <w:t>…</w:t>
      </w:r>
      <w:r>
        <w:rPr>
          <w:spacing w:val="-6"/>
          <w:sz w:val="16"/>
          <w:szCs w:val="16"/>
          <w:lang w:val="es-ES_tradnl"/>
        </w:rPr>
        <w:t>).</w:t>
      </w:r>
    </w:p>
    <w:p w14:paraId="4F67A9FA" w14:textId="77777777" w:rsidR="00591D54" w:rsidRDefault="00591D54">
      <w:pPr>
        <w:shd w:val="clear" w:color="auto" w:fill="FFFFFF"/>
        <w:spacing w:before="211" w:line="230" w:lineRule="exact"/>
        <w:jc w:val="both"/>
      </w:pPr>
      <w:r>
        <w:rPr>
          <w:spacing w:val="-11"/>
          <w:sz w:val="18"/>
          <w:szCs w:val="18"/>
          <w:lang w:val="es-ES_tradnl"/>
        </w:rPr>
        <w:t xml:space="preserve">De las constancias procesales referidas, se desprende que si </w:t>
      </w:r>
      <w:r>
        <w:rPr>
          <w:spacing w:val="-7"/>
          <w:sz w:val="18"/>
          <w:szCs w:val="18"/>
          <w:lang w:val="es-ES_tradnl"/>
        </w:rPr>
        <w:t>bien la Empresa P</w:t>
      </w:r>
      <w:r>
        <w:rPr>
          <w:rFonts w:cs="Times New Roman"/>
          <w:spacing w:val="-7"/>
          <w:sz w:val="18"/>
          <w:szCs w:val="18"/>
          <w:lang w:val="es-ES_tradnl"/>
        </w:rPr>
        <w:t>ú</w:t>
      </w:r>
      <w:r>
        <w:rPr>
          <w:spacing w:val="-7"/>
          <w:sz w:val="18"/>
          <w:szCs w:val="18"/>
          <w:lang w:val="es-ES_tradnl"/>
        </w:rPr>
        <w:t xml:space="preserve">blica Metropolitana de Rastro de Quito </w:t>
      </w:r>
      <w:r>
        <w:rPr>
          <w:spacing w:val="-9"/>
          <w:sz w:val="18"/>
          <w:szCs w:val="18"/>
          <w:lang w:val="es-ES_tradnl"/>
        </w:rPr>
        <w:t>reintegr</w:t>
      </w:r>
      <w:r>
        <w:rPr>
          <w:rFonts w:cs="Times New Roman"/>
          <w:spacing w:val="-9"/>
          <w:sz w:val="18"/>
          <w:szCs w:val="18"/>
          <w:lang w:val="es-ES_tradnl"/>
        </w:rPr>
        <w:t>ó</w:t>
      </w:r>
      <w:r>
        <w:rPr>
          <w:spacing w:val="-9"/>
          <w:sz w:val="18"/>
          <w:szCs w:val="18"/>
          <w:lang w:val="es-ES_tradnl"/>
        </w:rPr>
        <w:t xml:space="preserve"> al accionante al cargo de M</w:t>
      </w:r>
      <w:r>
        <w:rPr>
          <w:rFonts w:cs="Times New Roman"/>
          <w:spacing w:val="-9"/>
          <w:sz w:val="18"/>
          <w:szCs w:val="18"/>
          <w:lang w:val="es-ES_tradnl"/>
        </w:rPr>
        <w:t>é</w:t>
      </w:r>
      <w:r>
        <w:rPr>
          <w:spacing w:val="-9"/>
          <w:sz w:val="18"/>
          <w:szCs w:val="18"/>
          <w:lang w:val="es-ES_tradnl"/>
        </w:rPr>
        <w:t xml:space="preserve">dico Veterinario 1, no se pagaron los emolumentos dejados de percibir desde que </w:t>
      </w:r>
      <w:r>
        <w:rPr>
          <w:spacing w:val="-10"/>
          <w:sz w:val="18"/>
          <w:szCs w:val="18"/>
          <w:lang w:val="es-ES_tradnl"/>
        </w:rPr>
        <w:t>el accionante fue separado de la instituci</w:t>
      </w:r>
      <w:r>
        <w:rPr>
          <w:rFonts w:cs="Times New Roman"/>
          <w:spacing w:val="-10"/>
          <w:sz w:val="18"/>
          <w:szCs w:val="18"/>
          <w:lang w:val="es-ES_tradnl"/>
        </w:rPr>
        <w:t>ó</w:t>
      </w:r>
      <w:r>
        <w:rPr>
          <w:spacing w:val="-10"/>
          <w:sz w:val="18"/>
          <w:szCs w:val="18"/>
          <w:lang w:val="es-ES_tradnl"/>
        </w:rPr>
        <w:t xml:space="preserve">n en junio de 2007 </w:t>
      </w:r>
      <w:r>
        <w:rPr>
          <w:spacing w:val="-8"/>
          <w:sz w:val="18"/>
          <w:szCs w:val="18"/>
          <w:lang w:val="es-ES_tradnl"/>
        </w:rPr>
        <w:t>hasta el 09 de noviembre de 2009 en que fue reintegrado.</w:t>
      </w:r>
    </w:p>
    <w:p w14:paraId="4F67A9FB" w14:textId="77777777" w:rsidR="00591D54" w:rsidRDefault="00591D54">
      <w:pPr>
        <w:shd w:val="clear" w:color="auto" w:fill="FFFFFF"/>
        <w:spacing w:before="202" w:line="230" w:lineRule="exact"/>
        <w:jc w:val="both"/>
      </w:pPr>
      <w:r>
        <w:rPr>
          <w:sz w:val="18"/>
          <w:szCs w:val="18"/>
          <w:lang w:val="es-ES_tradnl"/>
        </w:rPr>
        <w:t xml:space="preserve">De lo expuesto, se evidencia el cumplimiento parcial </w:t>
      </w:r>
      <w:r>
        <w:rPr>
          <w:spacing w:val="-6"/>
          <w:sz w:val="18"/>
          <w:szCs w:val="18"/>
          <w:lang w:val="es-ES_tradnl"/>
        </w:rPr>
        <w:t>de la decisi</w:t>
      </w:r>
      <w:r>
        <w:rPr>
          <w:rFonts w:cs="Times New Roman"/>
          <w:spacing w:val="-6"/>
          <w:sz w:val="18"/>
          <w:szCs w:val="18"/>
          <w:lang w:val="es-ES_tradnl"/>
        </w:rPr>
        <w:t>ó</w:t>
      </w:r>
      <w:r>
        <w:rPr>
          <w:spacing w:val="-6"/>
          <w:sz w:val="18"/>
          <w:szCs w:val="18"/>
          <w:lang w:val="es-ES_tradnl"/>
        </w:rPr>
        <w:t xml:space="preserve">n dictada por la Primera Sala de la Corte </w:t>
      </w:r>
      <w:r>
        <w:rPr>
          <w:spacing w:val="-5"/>
          <w:sz w:val="18"/>
          <w:szCs w:val="18"/>
          <w:lang w:val="es-ES_tradnl"/>
        </w:rPr>
        <w:t>Constitucional, para el per</w:t>
      </w:r>
      <w:r>
        <w:rPr>
          <w:rFonts w:cs="Times New Roman"/>
          <w:spacing w:val="-5"/>
          <w:sz w:val="18"/>
          <w:szCs w:val="18"/>
          <w:lang w:val="es-ES_tradnl"/>
        </w:rPr>
        <w:t>í</w:t>
      </w:r>
      <w:r>
        <w:rPr>
          <w:spacing w:val="-5"/>
          <w:sz w:val="18"/>
          <w:szCs w:val="18"/>
          <w:lang w:val="es-ES_tradnl"/>
        </w:rPr>
        <w:t>odo de transici</w:t>
      </w:r>
      <w:r>
        <w:rPr>
          <w:rFonts w:cs="Times New Roman"/>
          <w:spacing w:val="-5"/>
          <w:sz w:val="18"/>
          <w:szCs w:val="18"/>
          <w:lang w:val="es-ES_tradnl"/>
        </w:rPr>
        <w:t>ó</w:t>
      </w:r>
      <w:r>
        <w:rPr>
          <w:spacing w:val="-5"/>
          <w:sz w:val="18"/>
          <w:szCs w:val="18"/>
          <w:lang w:val="es-ES_tradnl"/>
        </w:rPr>
        <w:t xml:space="preserve">n, por lo que </w:t>
      </w:r>
      <w:r>
        <w:rPr>
          <w:spacing w:val="-3"/>
          <w:sz w:val="18"/>
          <w:szCs w:val="18"/>
          <w:lang w:val="es-ES_tradnl"/>
        </w:rPr>
        <w:t>corresponde a esta Corte, a efectos de que la decisi</w:t>
      </w:r>
      <w:r>
        <w:rPr>
          <w:rFonts w:cs="Times New Roman"/>
          <w:spacing w:val="-3"/>
          <w:sz w:val="18"/>
          <w:szCs w:val="18"/>
          <w:lang w:val="es-ES_tradnl"/>
        </w:rPr>
        <w:t>ó</w:t>
      </w:r>
      <w:r>
        <w:rPr>
          <w:spacing w:val="-3"/>
          <w:sz w:val="18"/>
          <w:szCs w:val="18"/>
          <w:lang w:val="es-ES_tradnl"/>
        </w:rPr>
        <w:t xml:space="preserve">n </w:t>
      </w:r>
      <w:r>
        <w:rPr>
          <w:spacing w:val="-1"/>
          <w:sz w:val="18"/>
          <w:szCs w:val="18"/>
          <w:lang w:val="es-ES_tradnl"/>
        </w:rPr>
        <w:t>sea efectivamente cumplida y por tanto la vulneraci</w:t>
      </w:r>
      <w:r>
        <w:rPr>
          <w:rFonts w:cs="Times New Roman"/>
          <w:spacing w:val="-1"/>
          <w:sz w:val="18"/>
          <w:szCs w:val="18"/>
          <w:lang w:val="es-ES_tradnl"/>
        </w:rPr>
        <w:t>ó</w:t>
      </w:r>
      <w:r>
        <w:rPr>
          <w:spacing w:val="-1"/>
          <w:sz w:val="18"/>
          <w:szCs w:val="18"/>
          <w:lang w:val="es-ES_tradnl"/>
        </w:rPr>
        <w:t xml:space="preserve">n </w:t>
      </w:r>
      <w:r>
        <w:rPr>
          <w:spacing w:val="-8"/>
          <w:sz w:val="18"/>
          <w:szCs w:val="18"/>
          <w:lang w:val="es-ES_tradnl"/>
        </w:rPr>
        <w:t xml:space="preserve">de derechos constitucionales sea reparada integralmente, </w:t>
      </w:r>
      <w:r>
        <w:rPr>
          <w:spacing w:val="-6"/>
          <w:sz w:val="18"/>
          <w:szCs w:val="18"/>
          <w:lang w:val="es-ES_tradnl"/>
        </w:rPr>
        <w:t xml:space="preserve">ordenar el pago de los emolumentos dejados de percibir </w:t>
      </w:r>
      <w:r>
        <w:rPr>
          <w:spacing w:val="-11"/>
          <w:sz w:val="18"/>
          <w:szCs w:val="18"/>
          <w:lang w:val="es-ES_tradnl"/>
        </w:rPr>
        <w:t xml:space="preserve">por el accionante desde que fue separado hasta su reintegro, </w:t>
      </w:r>
      <w:r>
        <w:rPr>
          <w:spacing w:val="-3"/>
          <w:sz w:val="18"/>
          <w:szCs w:val="18"/>
          <w:lang w:val="es-ES_tradnl"/>
        </w:rPr>
        <w:t>salvo el caso que durante dicho per</w:t>
      </w:r>
      <w:r>
        <w:rPr>
          <w:rFonts w:cs="Times New Roman"/>
          <w:spacing w:val="-3"/>
          <w:sz w:val="18"/>
          <w:szCs w:val="18"/>
          <w:lang w:val="es-ES_tradnl"/>
        </w:rPr>
        <w:t>í</w:t>
      </w:r>
      <w:r>
        <w:rPr>
          <w:spacing w:val="-3"/>
          <w:sz w:val="18"/>
          <w:szCs w:val="18"/>
          <w:lang w:val="es-ES_tradnl"/>
        </w:rPr>
        <w:t xml:space="preserve">odo haya laborado </w:t>
      </w:r>
      <w:r>
        <w:rPr>
          <w:spacing w:val="-5"/>
          <w:sz w:val="18"/>
          <w:szCs w:val="18"/>
          <w:lang w:val="es-ES_tradnl"/>
        </w:rPr>
        <w:t>en otra instituci</w:t>
      </w:r>
      <w:r>
        <w:rPr>
          <w:rFonts w:cs="Times New Roman"/>
          <w:spacing w:val="-5"/>
          <w:sz w:val="18"/>
          <w:szCs w:val="18"/>
          <w:lang w:val="es-ES_tradnl"/>
        </w:rPr>
        <w:t>ó</w:t>
      </w:r>
      <w:r>
        <w:rPr>
          <w:spacing w:val="-5"/>
          <w:sz w:val="18"/>
          <w:szCs w:val="18"/>
          <w:lang w:val="es-ES_tradnl"/>
        </w:rPr>
        <w:t>n p</w:t>
      </w:r>
      <w:r>
        <w:rPr>
          <w:rFonts w:cs="Times New Roman"/>
          <w:spacing w:val="-5"/>
          <w:sz w:val="18"/>
          <w:szCs w:val="18"/>
          <w:lang w:val="es-ES_tradnl"/>
        </w:rPr>
        <w:t>ú</w:t>
      </w:r>
      <w:r>
        <w:rPr>
          <w:spacing w:val="-5"/>
          <w:sz w:val="18"/>
          <w:szCs w:val="18"/>
          <w:lang w:val="es-ES_tradnl"/>
        </w:rPr>
        <w:t xml:space="preserve">blica, aun cuando el accionante </w:t>
      </w:r>
      <w:r>
        <w:rPr>
          <w:spacing w:val="-8"/>
          <w:sz w:val="18"/>
          <w:szCs w:val="18"/>
          <w:lang w:val="es-ES_tradnl"/>
        </w:rPr>
        <w:t>actualmente se haya acogido a su derecho a la jubilaci</w:t>
      </w:r>
      <w:r>
        <w:rPr>
          <w:rFonts w:cs="Times New Roman"/>
          <w:spacing w:val="-8"/>
          <w:sz w:val="18"/>
          <w:szCs w:val="18"/>
          <w:lang w:val="es-ES_tradnl"/>
        </w:rPr>
        <w:t>ó</w:t>
      </w:r>
      <w:r>
        <w:rPr>
          <w:spacing w:val="-8"/>
          <w:sz w:val="18"/>
          <w:szCs w:val="18"/>
          <w:lang w:val="es-ES_tradnl"/>
        </w:rPr>
        <w:t>n.</w:t>
      </w:r>
    </w:p>
    <w:p w14:paraId="4F67A9FC" w14:textId="77777777" w:rsidR="00591D54" w:rsidRDefault="00591D54">
      <w:pPr>
        <w:shd w:val="clear" w:color="auto" w:fill="FFFFFF"/>
        <w:spacing w:before="206" w:line="230" w:lineRule="exact"/>
        <w:jc w:val="both"/>
      </w:pPr>
      <w:r>
        <w:rPr>
          <w:spacing w:val="-1"/>
          <w:sz w:val="18"/>
          <w:szCs w:val="18"/>
          <w:lang w:val="es-ES_tradnl"/>
        </w:rPr>
        <w:t>En tal virtud, la reparaci</w:t>
      </w:r>
      <w:r>
        <w:rPr>
          <w:rFonts w:cs="Times New Roman"/>
          <w:spacing w:val="-1"/>
          <w:sz w:val="18"/>
          <w:szCs w:val="18"/>
          <w:lang w:val="es-ES_tradnl"/>
        </w:rPr>
        <w:t>ó</w:t>
      </w:r>
      <w:r>
        <w:rPr>
          <w:spacing w:val="-1"/>
          <w:sz w:val="18"/>
          <w:szCs w:val="18"/>
          <w:lang w:val="es-ES_tradnl"/>
        </w:rPr>
        <w:t>n econ</w:t>
      </w:r>
      <w:r>
        <w:rPr>
          <w:rFonts w:cs="Times New Roman"/>
          <w:spacing w:val="-1"/>
          <w:sz w:val="18"/>
          <w:szCs w:val="18"/>
          <w:lang w:val="es-ES_tradnl"/>
        </w:rPr>
        <w:t>ó</w:t>
      </w:r>
      <w:r>
        <w:rPr>
          <w:spacing w:val="-1"/>
          <w:sz w:val="18"/>
          <w:szCs w:val="18"/>
          <w:lang w:val="es-ES_tradnl"/>
        </w:rPr>
        <w:t>mica deber</w:t>
      </w:r>
      <w:r>
        <w:rPr>
          <w:rFonts w:cs="Times New Roman"/>
          <w:spacing w:val="-1"/>
          <w:sz w:val="18"/>
          <w:szCs w:val="18"/>
          <w:lang w:val="es-ES_tradnl"/>
        </w:rPr>
        <w:t>á</w:t>
      </w:r>
      <w:r>
        <w:rPr>
          <w:spacing w:val="-1"/>
          <w:sz w:val="18"/>
          <w:szCs w:val="18"/>
          <w:lang w:val="es-ES_tradnl"/>
        </w:rPr>
        <w:t xml:space="preserve"> ser </w:t>
      </w:r>
      <w:r>
        <w:rPr>
          <w:spacing w:val="-7"/>
          <w:sz w:val="18"/>
          <w:szCs w:val="18"/>
          <w:lang w:val="es-ES_tradnl"/>
        </w:rPr>
        <w:t>determinada    en    la    v</w:t>
      </w:r>
      <w:r>
        <w:rPr>
          <w:rFonts w:cs="Times New Roman"/>
          <w:spacing w:val="-7"/>
          <w:sz w:val="18"/>
          <w:szCs w:val="18"/>
          <w:lang w:val="es-ES_tradnl"/>
        </w:rPr>
        <w:t>í</w:t>
      </w:r>
      <w:r>
        <w:rPr>
          <w:spacing w:val="-7"/>
          <w:sz w:val="18"/>
          <w:szCs w:val="18"/>
          <w:lang w:val="es-ES_tradnl"/>
        </w:rPr>
        <w:t>a    contenciosa    administrativa,</w:t>
      </w:r>
    </w:p>
    <w:p w14:paraId="4F67A9FD" w14:textId="77777777" w:rsidR="00591D54" w:rsidRDefault="00591D54">
      <w:pPr>
        <w:shd w:val="clear" w:color="auto" w:fill="FFFFFF"/>
        <w:spacing w:before="206" w:line="230" w:lineRule="exact"/>
        <w:jc w:val="both"/>
        <w:sectPr w:rsidR="00591D54">
          <w:type w:val="continuous"/>
          <w:pgSz w:w="11909" w:h="16834"/>
          <w:pgMar w:top="1383" w:right="1309" w:bottom="360" w:left="1308" w:header="720" w:footer="720" w:gutter="0"/>
          <w:cols w:num="2" w:space="720" w:equalWidth="0">
            <w:col w:w="4305" w:space="682"/>
            <w:col w:w="4305"/>
          </w:cols>
          <w:noEndnote/>
        </w:sectPr>
      </w:pPr>
    </w:p>
    <w:p w14:paraId="4F67A9FE" w14:textId="77777777" w:rsidR="00591D54" w:rsidRDefault="00591D54">
      <w:pPr>
        <w:shd w:val="clear" w:color="auto" w:fill="FFFFFF"/>
        <w:tabs>
          <w:tab w:val="left" w:pos="4814"/>
        </w:tabs>
        <w:spacing w:after="235"/>
        <w:ind w:left="5"/>
      </w:pPr>
      <w:r>
        <w:rPr>
          <w:b/>
          <w:bCs/>
          <w:sz w:val="18"/>
          <w:szCs w:val="18"/>
          <w:lang w:val="es-ES_tradnl"/>
        </w:rPr>
        <w:t xml:space="preserve">80 -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9FF" w14:textId="77777777" w:rsidR="00591D54" w:rsidRDefault="00591D54">
      <w:pPr>
        <w:shd w:val="clear" w:color="auto" w:fill="FFFFFF"/>
        <w:tabs>
          <w:tab w:val="left" w:pos="4814"/>
        </w:tabs>
        <w:spacing w:after="235"/>
        <w:ind w:left="5"/>
        <w:sectPr w:rsidR="00591D54">
          <w:pgSz w:w="11909" w:h="16834"/>
          <w:pgMar w:top="1356" w:right="1309" w:bottom="360" w:left="1308" w:header="720" w:footer="720" w:gutter="0"/>
          <w:cols w:space="60"/>
          <w:noEndnote/>
        </w:sectPr>
      </w:pPr>
    </w:p>
    <w:p w14:paraId="4F67AA00" w14:textId="77777777" w:rsidR="00591D54" w:rsidRDefault="00591D54">
      <w:pPr>
        <w:shd w:val="clear" w:color="auto" w:fill="FFFFFF"/>
        <w:spacing w:line="221" w:lineRule="exact"/>
        <w:jc w:val="both"/>
      </w:pPr>
      <w:r>
        <w:rPr>
          <w:spacing w:val="-7"/>
          <w:sz w:val="18"/>
          <w:szCs w:val="18"/>
          <w:lang w:val="es-ES_tradnl"/>
        </w:rPr>
        <w:t xml:space="preserve">observando la regla dictada por la Corte Constitucional en </w:t>
      </w:r>
      <w:r>
        <w:rPr>
          <w:spacing w:val="-8"/>
          <w:sz w:val="18"/>
          <w:szCs w:val="18"/>
          <w:lang w:val="es-ES_tradnl"/>
        </w:rPr>
        <w:t>la sentencia N.</w:t>
      </w:r>
      <w:r>
        <w:rPr>
          <w:rFonts w:cs="Times New Roman"/>
          <w:spacing w:val="-8"/>
          <w:sz w:val="18"/>
          <w:szCs w:val="18"/>
          <w:lang w:val="es-ES_tradnl"/>
        </w:rPr>
        <w:t>º</w:t>
      </w:r>
      <w:r>
        <w:rPr>
          <w:spacing w:val="-8"/>
          <w:sz w:val="18"/>
          <w:szCs w:val="18"/>
          <w:lang w:val="es-ES_tradnl"/>
        </w:rPr>
        <w:t xml:space="preserve"> 004-13-SAN-CC</w:t>
      </w:r>
      <w:r>
        <w:rPr>
          <w:spacing w:val="-8"/>
          <w:sz w:val="18"/>
          <w:szCs w:val="18"/>
          <w:vertAlign w:val="superscript"/>
          <w:lang w:val="es-ES_tradnl"/>
        </w:rPr>
        <w:t>1</w:t>
      </w:r>
      <w:r>
        <w:rPr>
          <w:spacing w:val="-8"/>
          <w:sz w:val="18"/>
          <w:szCs w:val="18"/>
          <w:lang w:val="es-ES_tradnl"/>
        </w:rPr>
        <w:t xml:space="preserve"> que determina:</w:t>
      </w:r>
    </w:p>
    <w:p w14:paraId="4F67AA01" w14:textId="77777777" w:rsidR="00591D54" w:rsidRDefault="00591D54">
      <w:pPr>
        <w:shd w:val="clear" w:color="auto" w:fill="FFFFFF"/>
        <w:spacing w:before="206" w:line="216" w:lineRule="exact"/>
        <w:ind w:left="283"/>
        <w:jc w:val="both"/>
      </w:pPr>
      <w:r>
        <w:rPr>
          <w:sz w:val="14"/>
          <w:szCs w:val="14"/>
          <w:lang w:val="es-ES_tradnl"/>
        </w:rPr>
        <w:t>El monto de la reparaci</w:t>
      </w:r>
      <w:r>
        <w:rPr>
          <w:rFonts w:cs="Times New Roman"/>
          <w:sz w:val="14"/>
          <w:szCs w:val="14"/>
          <w:lang w:val="es-ES_tradnl"/>
        </w:rPr>
        <w:t>ó</w:t>
      </w:r>
      <w:r>
        <w:rPr>
          <w:sz w:val="14"/>
          <w:szCs w:val="14"/>
          <w:lang w:val="es-ES_tradnl"/>
        </w:rPr>
        <w:t>n econ</w:t>
      </w:r>
      <w:r>
        <w:rPr>
          <w:rFonts w:cs="Times New Roman"/>
          <w:sz w:val="14"/>
          <w:szCs w:val="14"/>
          <w:lang w:val="es-ES_tradnl"/>
        </w:rPr>
        <w:t>ó</w:t>
      </w:r>
      <w:r>
        <w:rPr>
          <w:sz w:val="14"/>
          <w:szCs w:val="14"/>
          <w:lang w:val="es-ES_tradnl"/>
        </w:rPr>
        <w:t>mica, parte de la reparaci</w:t>
      </w:r>
      <w:r>
        <w:rPr>
          <w:rFonts w:cs="Times New Roman"/>
          <w:sz w:val="14"/>
          <w:szCs w:val="14"/>
          <w:lang w:val="es-ES_tradnl"/>
        </w:rPr>
        <w:t>ó</w:t>
      </w:r>
      <w:r>
        <w:rPr>
          <w:sz w:val="14"/>
          <w:szCs w:val="14"/>
          <w:lang w:val="es-ES_tradnl"/>
        </w:rPr>
        <w:t>n integral, como consecuencia de la declaraci</w:t>
      </w:r>
      <w:r>
        <w:rPr>
          <w:rFonts w:cs="Times New Roman"/>
          <w:sz w:val="14"/>
          <w:szCs w:val="14"/>
          <w:lang w:val="es-ES_tradnl"/>
        </w:rPr>
        <w:t>ó</w:t>
      </w:r>
      <w:r>
        <w:rPr>
          <w:sz w:val="14"/>
          <w:szCs w:val="14"/>
          <w:lang w:val="es-ES_tradnl"/>
        </w:rPr>
        <w:t>n de la vulneraci</w:t>
      </w:r>
      <w:r>
        <w:rPr>
          <w:rFonts w:cs="Times New Roman"/>
          <w:sz w:val="14"/>
          <w:szCs w:val="14"/>
          <w:lang w:val="es-ES_tradnl"/>
        </w:rPr>
        <w:t>ó</w:t>
      </w:r>
      <w:r>
        <w:rPr>
          <w:sz w:val="14"/>
          <w:szCs w:val="14"/>
          <w:lang w:val="es-ES_tradnl"/>
        </w:rPr>
        <w:t>n de un derecho reconocido en la Constituci</w:t>
      </w:r>
      <w:r>
        <w:rPr>
          <w:rFonts w:cs="Times New Roman"/>
          <w:sz w:val="14"/>
          <w:szCs w:val="14"/>
          <w:lang w:val="es-ES_tradnl"/>
        </w:rPr>
        <w:t>ó</w:t>
      </w:r>
      <w:r>
        <w:rPr>
          <w:sz w:val="14"/>
          <w:szCs w:val="14"/>
          <w:lang w:val="es-ES_tradnl"/>
        </w:rPr>
        <w:t>n, se la determinar</w:t>
      </w:r>
      <w:r>
        <w:rPr>
          <w:rFonts w:cs="Times New Roman"/>
          <w:sz w:val="14"/>
          <w:szCs w:val="14"/>
          <w:lang w:val="es-ES_tradnl"/>
        </w:rPr>
        <w:t xml:space="preserve">á </w:t>
      </w:r>
      <w:r>
        <w:rPr>
          <w:sz w:val="14"/>
          <w:szCs w:val="14"/>
          <w:lang w:val="es-ES_tradnl"/>
        </w:rPr>
        <w:t>en la jurisdicci</w:t>
      </w:r>
      <w:r>
        <w:rPr>
          <w:rFonts w:cs="Times New Roman"/>
          <w:sz w:val="14"/>
          <w:szCs w:val="14"/>
          <w:lang w:val="es-ES_tradnl"/>
        </w:rPr>
        <w:t>ó</w:t>
      </w:r>
      <w:r>
        <w:rPr>
          <w:sz w:val="14"/>
          <w:szCs w:val="14"/>
          <w:lang w:val="es-ES_tradnl"/>
        </w:rPr>
        <w:t>n contenciosa administrativa cuando la deba satisfacer el Estado y en la v</w:t>
      </w:r>
      <w:r>
        <w:rPr>
          <w:rFonts w:cs="Times New Roman"/>
          <w:sz w:val="14"/>
          <w:szCs w:val="14"/>
          <w:lang w:val="es-ES_tradnl"/>
        </w:rPr>
        <w:t>í</w:t>
      </w:r>
      <w:r>
        <w:rPr>
          <w:sz w:val="14"/>
          <w:szCs w:val="14"/>
          <w:lang w:val="es-ES_tradnl"/>
        </w:rPr>
        <w:t>a verbal sumaria cuando deba hacerlo un particular. Dicho procedimiento se constituye en un proceso de ejecuci</w:t>
      </w:r>
      <w:r>
        <w:rPr>
          <w:rFonts w:cs="Times New Roman"/>
          <w:sz w:val="14"/>
          <w:szCs w:val="14"/>
          <w:lang w:val="es-ES_tradnl"/>
        </w:rPr>
        <w:t>ó</w:t>
      </w:r>
      <w:r>
        <w:rPr>
          <w:sz w:val="14"/>
          <w:szCs w:val="14"/>
          <w:lang w:val="es-ES_tradnl"/>
        </w:rPr>
        <w:t>n, en el que no se discutir</w:t>
      </w:r>
      <w:r>
        <w:rPr>
          <w:rFonts w:cs="Times New Roman"/>
          <w:sz w:val="14"/>
          <w:szCs w:val="14"/>
          <w:lang w:val="es-ES_tradnl"/>
        </w:rPr>
        <w:t>á</w:t>
      </w:r>
      <w:r>
        <w:rPr>
          <w:sz w:val="14"/>
          <w:szCs w:val="14"/>
          <w:lang w:val="es-ES_tradnl"/>
        </w:rPr>
        <w:t xml:space="preserve"> sobre la declaratoria de vulneraci</w:t>
      </w:r>
      <w:r>
        <w:rPr>
          <w:rFonts w:cs="Times New Roman"/>
          <w:sz w:val="14"/>
          <w:szCs w:val="14"/>
          <w:lang w:val="es-ES_tradnl"/>
        </w:rPr>
        <w:t>ó</w:t>
      </w:r>
      <w:r>
        <w:rPr>
          <w:sz w:val="14"/>
          <w:szCs w:val="14"/>
          <w:lang w:val="es-ES_tradnl"/>
        </w:rPr>
        <w:t>n de derechos.</w:t>
      </w:r>
    </w:p>
    <w:p w14:paraId="4F67AA02" w14:textId="77777777" w:rsidR="00591D54" w:rsidRDefault="00591D54">
      <w:pPr>
        <w:shd w:val="clear" w:color="auto" w:fill="FFFFFF"/>
        <w:spacing w:before="202" w:line="216" w:lineRule="exact"/>
        <w:jc w:val="both"/>
      </w:pPr>
      <w:r>
        <w:rPr>
          <w:spacing w:val="-9"/>
          <w:sz w:val="18"/>
          <w:szCs w:val="18"/>
          <w:lang w:val="es-ES_tradnl"/>
        </w:rPr>
        <w:t>Lo cual deber</w:t>
      </w:r>
      <w:r>
        <w:rPr>
          <w:rFonts w:cs="Times New Roman"/>
          <w:spacing w:val="-9"/>
          <w:sz w:val="18"/>
          <w:szCs w:val="18"/>
          <w:lang w:val="es-ES_tradnl"/>
        </w:rPr>
        <w:t>á</w:t>
      </w:r>
      <w:r>
        <w:rPr>
          <w:spacing w:val="-9"/>
          <w:sz w:val="18"/>
          <w:szCs w:val="18"/>
          <w:lang w:val="es-ES_tradnl"/>
        </w:rPr>
        <w:t xml:space="preserve"> ser informado a esta Corte Constitucional en </w:t>
      </w:r>
      <w:r>
        <w:rPr>
          <w:sz w:val="18"/>
          <w:szCs w:val="18"/>
          <w:lang w:val="es-ES_tradnl"/>
        </w:rPr>
        <w:t>el plazo de sesenta d</w:t>
      </w:r>
      <w:r>
        <w:rPr>
          <w:rFonts w:cs="Times New Roman"/>
          <w:sz w:val="18"/>
          <w:szCs w:val="18"/>
          <w:lang w:val="es-ES_tradnl"/>
        </w:rPr>
        <w:t>í</w:t>
      </w:r>
      <w:r>
        <w:rPr>
          <w:sz w:val="18"/>
          <w:szCs w:val="18"/>
          <w:lang w:val="es-ES_tradnl"/>
        </w:rPr>
        <w:t>as.</w:t>
      </w:r>
    </w:p>
    <w:p w14:paraId="4F67AA03" w14:textId="77777777" w:rsidR="00591D54" w:rsidRDefault="00591D54">
      <w:pPr>
        <w:shd w:val="clear" w:color="auto" w:fill="FFFFFF"/>
        <w:spacing w:before="192"/>
        <w:ind w:right="5"/>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AA04" w14:textId="77777777" w:rsidR="00591D54" w:rsidRDefault="00591D54">
      <w:pPr>
        <w:shd w:val="clear" w:color="auto" w:fill="FFFFFF"/>
        <w:spacing w:before="197" w:line="216" w:lineRule="exact"/>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5"/>
          <w:sz w:val="18"/>
          <w:szCs w:val="18"/>
          <w:lang w:val="es-ES_tradnl"/>
        </w:rPr>
        <w:t>constitucional y por mandato de la Constituci</w:t>
      </w:r>
      <w:r>
        <w:rPr>
          <w:rFonts w:cs="Times New Roman"/>
          <w:spacing w:val="-5"/>
          <w:sz w:val="18"/>
          <w:szCs w:val="18"/>
          <w:lang w:val="es-ES_tradnl"/>
        </w:rPr>
        <w:t>ó</w:t>
      </w:r>
      <w:r>
        <w:rPr>
          <w:spacing w:val="-5"/>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 xml:space="preserve">blica del Ecuador, el Pleno de la Corte Constitucional </w:t>
      </w:r>
      <w:r>
        <w:rPr>
          <w:sz w:val="18"/>
          <w:szCs w:val="18"/>
          <w:lang w:val="es-ES_tradnl"/>
        </w:rPr>
        <w:t>expide la siguiente:</w:t>
      </w:r>
    </w:p>
    <w:p w14:paraId="4F67AA05" w14:textId="77777777" w:rsidR="00591D54" w:rsidRDefault="00591D54">
      <w:pPr>
        <w:shd w:val="clear" w:color="auto" w:fill="FFFFFF"/>
        <w:spacing w:before="192"/>
        <w:ind w:left="5"/>
        <w:jc w:val="center"/>
      </w:pPr>
      <w:r>
        <w:rPr>
          <w:b/>
          <w:bCs/>
          <w:sz w:val="18"/>
          <w:szCs w:val="18"/>
          <w:lang w:val="es-ES_tradnl"/>
        </w:rPr>
        <w:t>SENTENCIA</w:t>
      </w:r>
    </w:p>
    <w:p w14:paraId="4F67AA06" w14:textId="77777777" w:rsidR="00591D54" w:rsidRDefault="00591D54" w:rsidP="00251195">
      <w:pPr>
        <w:numPr>
          <w:ilvl w:val="0"/>
          <w:numId w:val="47"/>
        </w:numPr>
        <w:shd w:val="clear" w:color="auto" w:fill="FFFFFF"/>
        <w:tabs>
          <w:tab w:val="left" w:pos="566"/>
        </w:tabs>
        <w:spacing w:before="192" w:line="216" w:lineRule="exact"/>
        <w:ind w:left="566" w:hanging="283"/>
        <w:jc w:val="both"/>
        <w:rPr>
          <w:spacing w:val="-11"/>
          <w:sz w:val="18"/>
          <w:szCs w:val="18"/>
          <w:lang w:val="es-ES_tradnl"/>
        </w:rPr>
      </w:pPr>
      <w:r>
        <w:rPr>
          <w:spacing w:val="-8"/>
          <w:sz w:val="18"/>
          <w:szCs w:val="18"/>
          <w:lang w:val="es-ES_tradnl"/>
        </w:rPr>
        <w:t>Declarar el incumplimiento parcial de la Resoluci</w:t>
      </w:r>
      <w:r>
        <w:rPr>
          <w:rFonts w:cs="Times New Roman"/>
          <w:spacing w:val="-8"/>
          <w:sz w:val="18"/>
          <w:szCs w:val="18"/>
          <w:lang w:val="es-ES_tradnl"/>
        </w:rPr>
        <w:t>ó</w:t>
      </w:r>
      <w:r>
        <w:rPr>
          <w:spacing w:val="-8"/>
          <w:sz w:val="18"/>
          <w:szCs w:val="18"/>
          <w:lang w:val="es-ES_tradnl"/>
        </w:rPr>
        <w:t>n N.</w:t>
      </w:r>
      <w:r>
        <w:rPr>
          <w:rFonts w:cs="Times New Roman"/>
          <w:spacing w:val="-8"/>
          <w:sz w:val="18"/>
          <w:szCs w:val="18"/>
          <w:lang w:val="es-ES_tradnl"/>
        </w:rPr>
        <w:t>º</w:t>
      </w:r>
      <w:r>
        <w:rPr>
          <w:spacing w:val="-8"/>
          <w:sz w:val="18"/>
          <w:szCs w:val="18"/>
          <w:lang w:val="es-ES_tradnl"/>
        </w:rPr>
        <w:t xml:space="preserve"> 0959-08-RA del 12 de agosto de 2009.</w:t>
      </w:r>
    </w:p>
    <w:p w14:paraId="4F67AA07" w14:textId="77777777" w:rsidR="00591D54" w:rsidRDefault="00591D54" w:rsidP="00251195">
      <w:pPr>
        <w:numPr>
          <w:ilvl w:val="0"/>
          <w:numId w:val="47"/>
        </w:numPr>
        <w:shd w:val="clear" w:color="auto" w:fill="FFFFFF"/>
        <w:tabs>
          <w:tab w:val="left" w:pos="566"/>
        </w:tabs>
        <w:spacing w:before="192" w:line="216" w:lineRule="exact"/>
        <w:ind w:left="566" w:hanging="283"/>
        <w:jc w:val="both"/>
        <w:rPr>
          <w:spacing w:val="-11"/>
          <w:sz w:val="18"/>
          <w:szCs w:val="18"/>
          <w:lang w:val="es-ES_tradnl"/>
        </w:rPr>
      </w:pPr>
      <w:r>
        <w:rPr>
          <w:sz w:val="18"/>
          <w:szCs w:val="18"/>
          <w:lang w:val="es-ES_tradnl"/>
        </w:rPr>
        <w:t>Aceptar la acci</w:t>
      </w:r>
      <w:r>
        <w:rPr>
          <w:rFonts w:cs="Times New Roman"/>
          <w:sz w:val="18"/>
          <w:szCs w:val="18"/>
          <w:lang w:val="es-ES_tradnl"/>
        </w:rPr>
        <w:t>ó</w:t>
      </w:r>
      <w:r>
        <w:rPr>
          <w:sz w:val="18"/>
          <w:szCs w:val="18"/>
          <w:lang w:val="es-ES_tradnl"/>
        </w:rPr>
        <w:t>n de incumplimiento de la resoluci</w:t>
      </w:r>
      <w:r>
        <w:rPr>
          <w:rFonts w:cs="Times New Roman"/>
          <w:sz w:val="18"/>
          <w:szCs w:val="18"/>
          <w:lang w:val="es-ES_tradnl"/>
        </w:rPr>
        <w:t>ó</w:t>
      </w:r>
      <w:r>
        <w:rPr>
          <w:sz w:val="18"/>
          <w:szCs w:val="18"/>
          <w:lang w:val="es-ES_tradnl"/>
        </w:rPr>
        <w:t>n constitucional propuesta.</w:t>
      </w:r>
    </w:p>
    <w:p w14:paraId="4F67AA08" w14:textId="77777777" w:rsidR="00591D54" w:rsidRDefault="00591D54" w:rsidP="00251195">
      <w:pPr>
        <w:numPr>
          <w:ilvl w:val="0"/>
          <w:numId w:val="47"/>
        </w:numPr>
        <w:shd w:val="clear" w:color="auto" w:fill="FFFFFF"/>
        <w:tabs>
          <w:tab w:val="left" w:pos="566"/>
        </w:tabs>
        <w:spacing w:before="192" w:line="216" w:lineRule="exact"/>
        <w:ind w:left="566" w:hanging="283"/>
        <w:jc w:val="both"/>
        <w:rPr>
          <w:spacing w:val="-11"/>
          <w:sz w:val="18"/>
          <w:szCs w:val="18"/>
          <w:lang w:val="es-ES_tradnl"/>
        </w:rPr>
      </w:pPr>
      <w:r>
        <w:rPr>
          <w:spacing w:val="-3"/>
          <w:sz w:val="18"/>
          <w:szCs w:val="18"/>
          <w:lang w:val="es-ES_tradnl"/>
        </w:rPr>
        <w:t>Se dispone que la reparaci</w:t>
      </w:r>
      <w:r>
        <w:rPr>
          <w:rFonts w:cs="Times New Roman"/>
          <w:spacing w:val="-3"/>
          <w:sz w:val="18"/>
          <w:szCs w:val="18"/>
          <w:lang w:val="es-ES_tradnl"/>
        </w:rPr>
        <w:t>ó</w:t>
      </w:r>
      <w:r>
        <w:rPr>
          <w:spacing w:val="-3"/>
          <w:sz w:val="18"/>
          <w:szCs w:val="18"/>
          <w:lang w:val="es-ES_tradnl"/>
        </w:rPr>
        <w:t>n econ</w:t>
      </w:r>
      <w:r>
        <w:rPr>
          <w:rFonts w:cs="Times New Roman"/>
          <w:spacing w:val="-3"/>
          <w:sz w:val="18"/>
          <w:szCs w:val="18"/>
          <w:lang w:val="es-ES_tradnl"/>
        </w:rPr>
        <w:t>ó</w:t>
      </w:r>
      <w:r>
        <w:rPr>
          <w:spacing w:val="-3"/>
          <w:sz w:val="18"/>
          <w:szCs w:val="18"/>
          <w:lang w:val="es-ES_tradnl"/>
        </w:rPr>
        <w:t xml:space="preserve">mica </w:t>
      </w:r>
      <w:r>
        <w:rPr>
          <w:spacing w:val="-9"/>
          <w:sz w:val="18"/>
          <w:szCs w:val="18"/>
          <w:lang w:val="es-ES_tradnl"/>
        </w:rPr>
        <w:t>correspondiente se determine en la v</w:t>
      </w:r>
      <w:r>
        <w:rPr>
          <w:rFonts w:cs="Times New Roman"/>
          <w:spacing w:val="-9"/>
          <w:sz w:val="18"/>
          <w:szCs w:val="18"/>
          <w:lang w:val="es-ES_tradnl"/>
        </w:rPr>
        <w:t>í</w:t>
      </w:r>
      <w:r>
        <w:rPr>
          <w:spacing w:val="-9"/>
          <w:sz w:val="18"/>
          <w:szCs w:val="18"/>
          <w:lang w:val="es-ES_tradnl"/>
        </w:rPr>
        <w:t xml:space="preserve">a contencioso </w:t>
      </w:r>
      <w:r>
        <w:rPr>
          <w:spacing w:val="-6"/>
          <w:sz w:val="18"/>
          <w:szCs w:val="18"/>
          <w:lang w:val="es-ES_tradnl"/>
        </w:rPr>
        <w:t xml:space="preserve">administrativa de conformidad con lo dispuesto en </w:t>
      </w:r>
      <w:r>
        <w:rPr>
          <w:sz w:val="18"/>
          <w:szCs w:val="18"/>
          <w:lang w:val="es-ES_tradnl"/>
        </w:rPr>
        <w:t>la sentencia N.</w:t>
      </w:r>
      <w:r>
        <w:rPr>
          <w:rFonts w:cs="Times New Roman"/>
          <w:sz w:val="18"/>
          <w:szCs w:val="18"/>
          <w:lang w:val="es-ES_tradnl"/>
        </w:rPr>
        <w:t>º</w:t>
      </w:r>
      <w:r>
        <w:rPr>
          <w:sz w:val="18"/>
          <w:szCs w:val="18"/>
          <w:lang w:val="es-ES_tradnl"/>
        </w:rPr>
        <w:t xml:space="preserve"> 004-13-SAN-CC.</w:t>
      </w:r>
    </w:p>
    <w:p w14:paraId="4F67AA09" w14:textId="77777777" w:rsidR="00591D54" w:rsidRDefault="00591D54" w:rsidP="00251195">
      <w:pPr>
        <w:numPr>
          <w:ilvl w:val="0"/>
          <w:numId w:val="47"/>
        </w:numPr>
        <w:shd w:val="clear" w:color="auto" w:fill="FFFFFF"/>
        <w:tabs>
          <w:tab w:val="left" w:pos="566"/>
        </w:tabs>
        <w:spacing w:before="29" w:line="432" w:lineRule="exact"/>
        <w:ind w:left="283"/>
        <w:rPr>
          <w:spacing w:val="-11"/>
          <w:sz w:val="18"/>
          <w:szCs w:val="18"/>
          <w:lang w:val="es-ES_tradnl"/>
        </w:rPr>
      </w:pPr>
      <w:r>
        <w:rPr>
          <w:spacing w:val="-7"/>
          <w:sz w:val="18"/>
          <w:szCs w:val="18"/>
          <w:lang w:val="es-ES_tradnl"/>
        </w:rPr>
        <w:t>Notif</w:t>
      </w:r>
      <w:r>
        <w:rPr>
          <w:rFonts w:cs="Times New Roman"/>
          <w:spacing w:val="-7"/>
          <w:sz w:val="18"/>
          <w:szCs w:val="18"/>
          <w:lang w:val="es-ES_tradnl"/>
        </w:rPr>
        <w:t>í</w:t>
      </w:r>
      <w:r>
        <w:rPr>
          <w:spacing w:val="-7"/>
          <w:sz w:val="18"/>
          <w:szCs w:val="18"/>
          <w:lang w:val="es-ES_tradnl"/>
        </w:rPr>
        <w:t>quese, publ</w:t>
      </w:r>
      <w:r>
        <w:rPr>
          <w:rFonts w:cs="Times New Roman"/>
          <w:spacing w:val="-7"/>
          <w:sz w:val="18"/>
          <w:szCs w:val="18"/>
          <w:lang w:val="es-ES_tradnl"/>
        </w:rPr>
        <w:t>í</w:t>
      </w:r>
      <w:r>
        <w:rPr>
          <w:spacing w:val="-7"/>
          <w:sz w:val="18"/>
          <w:szCs w:val="18"/>
          <w:lang w:val="es-ES_tradnl"/>
        </w:rPr>
        <w:t>quese y c</w:t>
      </w:r>
      <w:r>
        <w:rPr>
          <w:rFonts w:cs="Times New Roman"/>
          <w:spacing w:val="-7"/>
          <w:sz w:val="18"/>
          <w:szCs w:val="18"/>
          <w:lang w:val="es-ES_tradnl"/>
        </w:rPr>
        <w:t>ú</w:t>
      </w:r>
      <w:r>
        <w:rPr>
          <w:spacing w:val="-7"/>
          <w:sz w:val="18"/>
          <w:szCs w:val="18"/>
          <w:lang w:val="es-ES_tradnl"/>
        </w:rPr>
        <w:t>mplase.</w:t>
      </w:r>
    </w:p>
    <w:p w14:paraId="4F67AA0A" w14:textId="77777777" w:rsidR="00591D54" w:rsidRDefault="00591D54">
      <w:pPr>
        <w:shd w:val="clear" w:color="auto" w:fill="FFFFFF"/>
        <w:spacing w:line="432" w:lineRule="exact"/>
      </w:pPr>
      <w:r>
        <w:rPr>
          <w:spacing w:val="-4"/>
          <w:sz w:val="18"/>
          <w:szCs w:val="18"/>
          <w:lang w:val="es-ES_tradnl"/>
        </w:rPr>
        <w:t>f.) Patricio Pazmi</w:t>
      </w:r>
      <w:r>
        <w:rPr>
          <w:rFonts w:cs="Times New Roman"/>
          <w:spacing w:val="-4"/>
          <w:sz w:val="18"/>
          <w:szCs w:val="18"/>
          <w:lang w:val="es-ES_tradnl"/>
        </w:rPr>
        <w:t>ñ</w:t>
      </w:r>
      <w:r>
        <w:rPr>
          <w:spacing w:val="-4"/>
          <w:sz w:val="18"/>
          <w:szCs w:val="18"/>
          <w:lang w:val="es-ES_tradnl"/>
        </w:rPr>
        <w:t xml:space="preserve">o Freire, </w:t>
      </w:r>
      <w:r>
        <w:rPr>
          <w:b/>
          <w:bCs/>
          <w:spacing w:val="-4"/>
          <w:sz w:val="18"/>
          <w:szCs w:val="18"/>
          <w:lang w:val="es-ES_tradnl"/>
        </w:rPr>
        <w:t>PRESIDENTE.</w:t>
      </w:r>
    </w:p>
    <w:p w14:paraId="4F67AA0B" w14:textId="77777777" w:rsidR="00591D54" w:rsidRDefault="00591D54">
      <w:pPr>
        <w:shd w:val="clear" w:color="auto" w:fill="FFFFFF"/>
        <w:spacing w:line="432" w:lineRule="exact"/>
      </w:pPr>
      <w:r>
        <w:rPr>
          <w:spacing w:val="-4"/>
          <w:sz w:val="18"/>
          <w:szCs w:val="18"/>
          <w:lang w:val="es-ES_tradnl"/>
        </w:rPr>
        <w:t xml:space="preserve">f.) Jaime Pozo Chamorro, </w:t>
      </w:r>
      <w:r>
        <w:rPr>
          <w:b/>
          <w:bCs/>
          <w:spacing w:val="-4"/>
          <w:sz w:val="18"/>
          <w:szCs w:val="18"/>
          <w:lang w:val="es-ES_tradnl"/>
        </w:rPr>
        <w:t>SECRETARIO GENERAL.</w:t>
      </w:r>
    </w:p>
    <w:p w14:paraId="4F67AA0C" w14:textId="77777777" w:rsidR="00591D54" w:rsidRDefault="00591D54">
      <w:pPr>
        <w:shd w:val="clear" w:color="auto" w:fill="FFFFFF"/>
        <w:spacing w:before="158" w:line="216" w:lineRule="exact"/>
        <w:ind w:right="5"/>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aprobada por el Pleno de la Corte Constitucional, con ocho </w:t>
      </w:r>
      <w:r>
        <w:rPr>
          <w:spacing w:val="-10"/>
          <w:sz w:val="18"/>
          <w:szCs w:val="18"/>
          <w:lang w:val="es-ES_tradnl"/>
        </w:rPr>
        <w:t xml:space="preserve">votos a favor, de las juezas y jueces Antonio Gagliardo Loor, </w:t>
      </w:r>
      <w:r>
        <w:rPr>
          <w:spacing w:val="-4"/>
          <w:sz w:val="18"/>
          <w:szCs w:val="18"/>
          <w:lang w:val="es-ES_tradnl"/>
        </w:rPr>
        <w:t>Marcelo Jaramillo Villa, Mar</w:t>
      </w:r>
      <w:r>
        <w:rPr>
          <w:rFonts w:cs="Times New Roman"/>
          <w:spacing w:val="-4"/>
          <w:sz w:val="18"/>
          <w:szCs w:val="18"/>
          <w:lang w:val="es-ES_tradnl"/>
        </w:rPr>
        <w:t>í</w:t>
      </w:r>
      <w:r>
        <w:rPr>
          <w:spacing w:val="-4"/>
          <w:sz w:val="18"/>
          <w:szCs w:val="18"/>
          <w:lang w:val="es-ES_tradnl"/>
        </w:rPr>
        <w:t xml:space="preserve">a del Carmen Maldonado </w:t>
      </w:r>
      <w:r>
        <w:rPr>
          <w:spacing w:val="-8"/>
          <w:sz w:val="18"/>
          <w:szCs w:val="18"/>
          <w:lang w:val="es-ES_tradnl"/>
        </w:rPr>
        <w:t>S</w:t>
      </w:r>
      <w:r>
        <w:rPr>
          <w:rFonts w:cs="Times New Roman"/>
          <w:spacing w:val="-8"/>
          <w:sz w:val="18"/>
          <w:szCs w:val="18"/>
          <w:lang w:val="es-ES_tradnl"/>
        </w:rPr>
        <w:t>á</w:t>
      </w:r>
      <w:r>
        <w:rPr>
          <w:spacing w:val="-8"/>
          <w:sz w:val="18"/>
          <w:szCs w:val="18"/>
          <w:lang w:val="es-ES_tradnl"/>
        </w:rPr>
        <w:t>nchez, Tatiana Orde</w:t>
      </w:r>
      <w:r>
        <w:rPr>
          <w:rFonts w:cs="Times New Roman"/>
          <w:spacing w:val="-8"/>
          <w:sz w:val="18"/>
          <w:szCs w:val="18"/>
          <w:lang w:val="es-ES_tradnl"/>
        </w:rPr>
        <w:t>ñ</w:t>
      </w:r>
      <w:r>
        <w:rPr>
          <w:spacing w:val="-8"/>
          <w:sz w:val="18"/>
          <w:szCs w:val="18"/>
          <w:lang w:val="es-ES_tradnl"/>
        </w:rPr>
        <w:t>ana Sierra, Alfredo Ruiz Guzm</w:t>
      </w:r>
      <w:r>
        <w:rPr>
          <w:rFonts w:cs="Times New Roman"/>
          <w:spacing w:val="-8"/>
          <w:sz w:val="18"/>
          <w:szCs w:val="18"/>
          <w:lang w:val="es-ES_tradnl"/>
        </w:rPr>
        <w:t>á</w:t>
      </w:r>
      <w:r>
        <w:rPr>
          <w:spacing w:val="-8"/>
          <w:sz w:val="18"/>
          <w:szCs w:val="18"/>
          <w:lang w:val="es-ES_tradnl"/>
        </w:rPr>
        <w:t xml:space="preserve">n, </w:t>
      </w:r>
      <w:r>
        <w:rPr>
          <w:spacing w:val="-3"/>
          <w:sz w:val="18"/>
          <w:szCs w:val="18"/>
          <w:lang w:val="es-ES_tradnl"/>
        </w:rPr>
        <w:t xml:space="preserve">Ruth Seni Pinoargote, Manuel Viteri Olvera y Patricio </w:t>
      </w:r>
      <w:r>
        <w:rPr>
          <w:spacing w:val="-6"/>
          <w:sz w:val="18"/>
          <w:szCs w:val="18"/>
          <w:lang w:val="es-ES_tradnl"/>
        </w:rPr>
        <w:t>Pazmi</w:t>
      </w:r>
      <w:r>
        <w:rPr>
          <w:rFonts w:cs="Times New Roman"/>
          <w:spacing w:val="-6"/>
          <w:sz w:val="18"/>
          <w:szCs w:val="18"/>
          <w:lang w:val="es-ES_tradnl"/>
        </w:rPr>
        <w:t>ñ</w:t>
      </w:r>
      <w:r>
        <w:rPr>
          <w:spacing w:val="-6"/>
          <w:sz w:val="18"/>
          <w:szCs w:val="18"/>
          <w:lang w:val="es-ES_tradnl"/>
        </w:rPr>
        <w:t xml:space="preserve">o Freire, sin contar con la presencia de la jueza </w:t>
      </w:r>
      <w:r>
        <w:rPr>
          <w:spacing w:val="-9"/>
          <w:sz w:val="18"/>
          <w:szCs w:val="18"/>
          <w:lang w:val="es-ES_tradnl"/>
        </w:rPr>
        <w:t>Wendy Molina Andrade, en sesi</w:t>
      </w:r>
      <w:r>
        <w:rPr>
          <w:rFonts w:cs="Times New Roman"/>
          <w:spacing w:val="-9"/>
          <w:sz w:val="18"/>
          <w:szCs w:val="18"/>
          <w:lang w:val="es-ES_tradnl"/>
        </w:rPr>
        <w:t>ó</w:t>
      </w:r>
      <w:r>
        <w:rPr>
          <w:spacing w:val="-9"/>
          <w:sz w:val="18"/>
          <w:szCs w:val="18"/>
          <w:lang w:val="es-ES_tradnl"/>
        </w:rPr>
        <w:t xml:space="preserve">n de 02 de septiembre del </w:t>
      </w:r>
      <w:r>
        <w:rPr>
          <w:sz w:val="18"/>
          <w:szCs w:val="18"/>
          <w:lang w:val="es-ES_tradnl"/>
        </w:rPr>
        <w:t>2015. Lo certifico.</w:t>
      </w:r>
    </w:p>
    <w:p w14:paraId="4F67AA0D" w14:textId="77777777" w:rsidR="00591D54" w:rsidRDefault="00591D54">
      <w:pPr>
        <w:shd w:val="clear" w:color="auto" w:fill="FFFFFF"/>
        <w:spacing w:before="192"/>
      </w:pPr>
      <w:r>
        <w:rPr>
          <w:spacing w:val="-4"/>
          <w:sz w:val="18"/>
          <w:szCs w:val="18"/>
          <w:lang w:val="es-ES_tradnl"/>
        </w:rPr>
        <w:t xml:space="preserve">f.) Jaime Pozo Chamorro, </w:t>
      </w:r>
      <w:r>
        <w:rPr>
          <w:b/>
          <w:bCs/>
          <w:spacing w:val="-4"/>
          <w:sz w:val="18"/>
          <w:szCs w:val="18"/>
          <w:lang w:val="es-ES_tradnl"/>
        </w:rPr>
        <w:t>SECRETARIO GENERAL.</w:t>
      </w:r>
    </w:p>
    <w:p w14:paraId="4F67AA0E" w14:textId="77777777" w:rsidR="00591D54" w:rsidRDefault="00591D54">
      <w:pPr>
        <w:shd w:val="clear" w:color="auto" w:fill="FFFFFF"/>
        <w:spacing w:before="178" w:line="245" w:lineRule="exact"/>
        <w:jc w:val="both"/>
      </w:pPr>
      <w:r>
        <w:rPr>
          <w:b/>
          <w:bCs/>
          <w:sz w:val="18"/>
          <w:szCs w:val="18"/>
          <w:lang w:val="es-ES_tradnl"/>
        </w:rPr>
        <w:t xml:space="preserve">CORTE CONSTITUCIONAL DEL ECUADOR.- </w:t>
      </w:r>
      <w:r>
        <w:rPr>
          <w:sz w:val="18"/>
          <w:szCs w:val="18"/>
          <w:lang w:val="es-ES_tradnl"/>
        </w:rPr>
        <w:t xml:space="preserve">Es </w:t>
      </w:r>
      <w:r>
        <w:rPr>
          <w:spacing w:val="-1"/>
          <w:sz w:val="18"/>
          <w:szCs w:val="18"/>
          <w:lang w:val="es-ES_tradnl"/>
        </w:rPr>
        <w:t xml:space="preserve">fiel copia del original.- Revisado por </w:t>
      </w:r>
      <w:r>
        <w:rPr>
          <w:rFonts w:cs="Times New Roman"/>
          <w:spacing w:val="-1"/>
          <w:sz w:val="18"/>
          <w:szCs w:val="18"/>
          <w:lang w:val="es-ES_tradnl"/>
        </w:rPr>
        <w:t>…</w:t>
      </w:r>
      <w:r>
        <w:rPr>
          <w:spacing w:val="-1"/>
          <w:sz w:val="18"/>
          <w:szCs w:val="18"/>
          <w:lang w:val="es-ES_tradnl"/>
        </w:rPr>
        <w:t xml:space="preserve"> f.) Ilegible.-</w:t>
      </w:r>
      <w:r>
        <w:rPr>
          <w:sz w:val="14"/>
          <w:szCs w:val="14"/>
          <w:vertAlign w:val="superscript"/>
          <w:lang w:val="es-ES_tradnl"/>
        </w:rPr>
        <w:t>1</w:t>
      </w:r>
      <w:r>
        <w:rPr>
          <w:sz w:val="14"/>
          <w:szCs w:val="14"/>
          <w:lang w:val="es-ES_tradnl"/>
        </w:rPr>
        <w:t xml:space="preserve"> </w:t>
      </w:r>
      <w:r>
        <w:rPr>
          <w:rFonts w:cs="Times New Roman"/>
          <w:sz w:val="14"/>
          <w:szCs w:val="14"/>
          <w:lang w:val="es-ES_tradnl"/>
        </w:rPr>
        <w:t>“</w:t>
      </w:r>
      <w:r>
        <w:rPr>
          <w:sz w:val="14"/>
          <w:szCs w:val="14"/>
          <w:lang w:val="es-ES_tradnl"/>
        </w:rPr>
        <w:t>El monto de la reparaci</w:t>
      </w:r>
      <w:r>
        <w:rPr>
          <w:rFonts w:cs="Times New Roman"/>
          <w:sz w:val="14"/>
          <w:szCs w:val="14"/>
          <w:lang w:val="es-ES_tradnl"/>
        </w:rPr>
        <w:t>ó</w:t>
      </w:r>
      <w:r>
        <w:rPr>
          <w:sz w:val="14"/>
          <w:szCs w:val="14"/>
          <w:lang w:val="es-ES_tradnl"/>
        </w:rPr>
        <w:t>n econ</w:t>
      </w:r>
      <w:r>
        <w:rPr>
          <w:rFonts w:cs="Times New Roman"/>
          <w:sz w:val="14"/>
          <w:szCs w:val="14"/>
          <w:lang w:val="es-ES_tradnl"/>
        </w:rPr>
        <w:t>ó</w:t>
      </w:r>
      <w:r>
        <w:rPr>
          <w:sz w:val="14"/>
          <w:szCs w:val="14"/>
          <w:lang w:val="es-ES_tradnl"/>
        </w:rPr>
        <w:t>mica, parte de la reparaci</w:t>
      </w:r>
      <w:r>
        <w:rPr>
          <w:rFonts w:cs="Times New Roman"/>
          <w:sz w:val="14"/>
          <w:szCs w:val="14"/>
          <w:lang w:val="es-ES_tradnl"/>
        </w:rPr>
        <w:t>ó</w:t>
      </w:r>
      <w:r>
        <w:rPr>
          <w:sz w:val="14"/>
          <w:szCs w:val="14"/>
          <w:lang w:val="es-ES_tradnl"/>
        </w:rPr>
        <w:t xml:space="preserve">n </w:t>
      </w:r>
      <w:r>
        <w:rPr>
          <w:spacing w:val="-1"/>
          <w:sz w:val="14"/>
          <w:szCs w:val="14"/>
          <w:lang w:val="es-ES_tradnl"/>
        </w:rPr>
        <w:t>integral, como consecuencia de la declaraci</w:t>
      </w:r>
      <w:r>
        <w:rPr>
          <w:rFonts w:cs="Times New Roman"/>
          <w:spacing w:val="-1"/>
          <w:sz w:val="14"/>
          <w:szCs w:val="14"/>
          <w:lang w:val="es-ES_tradnl"/>
        </w:rPr>
        <w:t>ó</w:t>
      </w:r>
      <w:r>
        <w:rPr>
          <w:spacing w:val="-1"/>
          <w:sz w:val="14"/>
          <w:szCs w:val="14"/>
          <w:lang w:val="es-ES_tradnl"/>
        </w:rPr>
        <w:t>n de la vulneraci</w:t>
      </w:r>
      <w:r>
        <w:rPr>
          <w:rFonts w:cs="Times New Roman"/>
          <w:spacing w:val="-1"/>
          <w:sz w:val="14"/>
          <w:szCs w:val="14"/>
          <w:lang w:val="es-ES_tradnl"/>
        </w:rPr>
        <w:t>ó</w:t>
      </w:r>
      <w:r>
        <w:rPr>
          <w:spacing w:val="-1"/>
          <w:sz w:val="14"/>
          <w:szCs w:val="14"/>
          <w:lang w:val="es-ES_tradnl"/>
        </w:rPr>
        <w:t>n de un derecho reconocido en la Constituci</w:t>
      </w:r>
      <w:r>
        <w:rPr>
          <w:rFonts w:cs="Times New Roman"/>
          <w:spacing w:val="-1"/>
          <w:sz w:val="14"/>
          <w:szCs w:val="14"/>
          <w:lang w:val="es-ES_tradnl"/>
        </w:rPr>
        <w:t>ó</w:t>
      </w:r>
      <w:r>
        <w:rPr>
          <w:spacing w:val="-1"/>
          <w:sz w:val="14"/>
          <w:szCs w:val="14"/>
          <w:lang w:val="es-ES_tradnl"/>
        </w:rPr>
        <w:t>n, se la determinar</w:t>
      </w:r>
      <w:r>
        <w:rPr>
          <w:rFonts w:cs="Times New Roman"/>
          <w:spacing w:val="-1"/>
          <w:sz w:val="14"/>
          <w:szCs w:val="14"/>
          <w:lang w:val="es-ES_tradnl"/>
        </w:rPr>
        <w:t>á</w:t>
      </w:r>
      <w:r>
        <w:rPr>
          <w:spacing w:val="-1"/>
          <w:sz w:val="14"/>
          <w:szCs w:val="14"/>
          <w:lang w:val="es-ES_tradnl"/>
        </w:rPr>
        <w:t xml:space="preserve"> en la jurisdicci</w:t>
      </w:r>
      <w:r>
        <w:rPr>
          <w:rFonts w:cs="Times New Roman"/>
          <w:spacing w:val="-1"/>
          <w:sz w:val="14"/>
          <w:szCs w:val="14"/>
          <w:lang w:val="es-ES_tradnl"/>
        </w:rPr>
        <w:t>ó</w:t>
      </w:r>
      <w:r>
        <w:rPr>
          <w:spacing w:val="-1"/>
          <w:sz w:val="14"/>
          <w:szCs w:val="14"/>
          <w:lang w:val="es-ES_tradnl"/>
        </w:rPr>
        <w:t xml:space="preserve">n contenciosa administrativa cuando la deba satisfacer el </w:t>
      </w:r>
      <w:r>
        <w:rPr>
          <w:spacing w:val="-2"/>
          <w:sz w:val="14"/>
          <w:szCs w:val="14"/>
          <w:lang w:val="es-ES_tradnl"/>
        </w:rPr>
        <w:t>Estado y en la v</w:t>
      </w:r>
      <w:r>
        <w:rPr>
          <w:rFonts w:cs="Times New Roman"/>
          <w:spacing w:val="-2"/>
          <w:sz w:val="14"/>
          <w:szCs w:val="14"/>
          <w:lang w:val="es-ES_tradnl"/>
        </w:rPr>
        <w:t>í</w:t>
      </w:r>
      <w:r>
        <w:rPr>
          <w:spacing w:val="-2"/>
          <w:sz w:val="14"/>
          <w:szCs w:val="14"/>
          <w:lang w:val="es-ES_tradnl"/>
        </w:rPr>
        <w:t>a verbal sumaria cuando deba hacerlo un particular. Dicho procedimiento se constituye en un proceso de ejecuci</w:t>
      </w:r>
      <w:r>
        <w:rPr>
          <w:rFonts w:cs="Times New Roman"/>
          <w:spacing w:val="-2"/>
          <w:sz w:val="14"/>
          <w:szCs w:val="14"/>
          <w:lang w:val="es-ES_tradnl"/>
        </w:rPr>
        <w:t>ó</w:t>
      </w:r>
      <w:r>
        <w:rPr>
          <w:spacing w:val="-2"/>
          <w:sz w:val="14"/>
          <w:szCs w:val="14"/>
          <w:lang w:val="es-ES_tradnl"/>
        </w:rPr>
        <w:t>n, en el que no se discutir</w:t>
      </w:r>
      <w:r>
        <w:rPr>
          <w:rFonts w:cs="Times New Roman"/>
          <w:spacing w:val="-2"/>
          <w:sz w:val="14"/>
          <w:szCs w:val="14"/>
          <w:lang w:val="es-ES_tradnl"/>
        </w:rPr>
        <w:t>á</w:t>
      </w:r>
      <w:r>
        <w:rPr>
          <w:spacing w:val="-2"/>
          <w:sz w:val="14"/>
          <w:szCs w:val="14"/>
          <w:lang w:val="es-ES_tradnl"/>
        </w:rPr>
        <w:t xml:space="preserve"> sobre la declaratoria de vulneraci</w:t>
      </w:r>
      <w:r>
        <w:rPr>
          <w:rFonts w:cs="Times New Roman"/>
          <w:spacing w:val="-2"/>
          <w:sz w:val="14"/>
          <w:szCs w:val="14"/>
          <w:lang w:val="es-ES_tradnl"/>
        </w:rPr>
        <w:t>ó</w:t>
      </w:r>
      <w:r>
        <w:rPr>
          <w:spacing w:val="-2"/>
          <w:sz w:val="14"/>
          <w:szCs w:val="14"/>
          <w:lang w:val="es-ES_tradnl"/>
        </w:rPr>
        <w:t>n de derechos</w:t>
      </w:r>
      <w:r>
        <w:rPr>
          <w:rFonts w:cs="Times New Roman"/>
          <w:spacing w:val="-2"/>
          <w:sz w:val="14"/>
          <w:szCs w:val="14"/>
          <w:lang w:val="es-ES_tradnl"/>
        </w:rPr>
        <w:t>”</w:t>
      </w:r>
      <w:r>
        <w:rPr>
          <w:spacing w:val="-2"/>
          <w:sz w:val="14"/>
          <w:szCs w:val="14"/>
          <w:lang w:val="es-ES_tradnl"/>
        </w:rPr>
        <w:t>.</w:t>
      </w:r>
    </w:p>
    <w:p w14:paraId="4F67AA0F" w14:textId="77777777" w:rsidR="00591D54" w:rsidRDefault="00591D54">
      <w:pPr>
        <w:shd w:val="clear" w:color="auto" w:fill="FFFFFF"/>
        <w:spacing w:line="216" w:lineRule="exact"/>
        <w:jc w:val="both"/>
      </w:pPr>
      <w:r>
        <w:br w:type="column"/>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AA10" w14:textId="77777777" w:rsidR="00591D54" w:rsidRDefault="00591D54">
      <w:pPr>
        <w:shd w:val="clear" w:color="auto" w:fill="FFFFFF"/>
        <w:spacing w:before="192"/>
      </w:pPr>
      <w:r>
        <w:rPr>
          <w:b/>
          <w:bCs/>
          <w:spacing w:val="-5"/>
          <w:sz w:val="18"/>
          <w:szCs w:val="18"/>
          <w:u w:val="single"/>
          <w:lang w:val="es-ES_tradnl"/>
        </w:rPr>
        <w:t>CASO Nro. 0059-10-IS</w:t>
      </w:r>
    </w:p>
    <w:p w14:paraId="4F67AA11" w14:textId="77777777" w:rsidR="00591D54" w:rsidRDefault="00591D54">
      <w:pPr>
        <w:shd w:val="clear" w:color="auto" w:fill="FFFFFF"/>
        <w:spacing w:before="192" w:line="216" w:lineRule="exact"/>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w:t>
      </w:r>
      <w:r>
        <w:rPr>
          <w:spacing w:val="-7"/>
          <w:sz w:val="18"/>
          <w:szCs w:val="18"/>
          <w:lang w:val="es-ES_tradnl"/>
        </w:rPr>
        <w:t>suscrita por el Juez Patricio Pazmi</w:t>
      </w:r>
      <w:r>
        <w:rPr>
          <w:rFonts w:cs="Times New Roman"/>
          <w:spacing w:val="-7"/>
          <w:sz w:val="18"/>
          <w:szCs w:val="18"/>
          <w:lang w:val="es-ES_tradnl"/>
        </w:rPr>
        <w:t>ñ</w:t>
      </w:r>
      <w:r>
        <w:rPr>
          <w:spacing w:val="-7"/>
          <w:sz w:val="18"/>
          <w:szCs w:val="18"/>
          <w:lang w:val="es-ES_tradnl"/>
        </w:rPr>
        <w:t xml:space="preserve">o Freire, Presidente de </w:t>
      </w:r>
      <w:r>
        <w:rPr>
          <w:spacing w:val="-6"/>
          <w:sz w:val="18"/>
          <w:szCs w:val="18"/>
          <w:lang w:val="es-ES_tradnl"/>
        </w:rPr>
        <w:t>la Corte Constitucional, el d</w:t>
      </w:r>
      <w:r>
        <w:rPr>
          <w:rFonts w:cs="Times New Roman"/>
          <w:spacing w:val="-6"/>
          <w:sz w:val="18"/>
          <w:szCs w:val="18"/>
          <w:lang w:val="es-ES_tradnl"/>
        </w:rPr>
        <w:t>í</w:t>
      </w:r>
      <w:r>
        <w:rPr>
          <w:spacing w:val="-6"/>
          <w:sz w:val="18"/>
          <w:szCs w:val="18"/>
          <w:lang w:val="es-ES_tradnl"/>
        </w:rPr>
        <w:t xml:space="preserve">a lunes 07 de septiembre del </w:t>
      </w:r>
      <w:r>
        <w:rPr>
          <w:sz w:val="18"/>
          <w:szCs w:val="18"/>
          <w:lang w:val="es-ES_tradnl"/>
        </w:rPr>
        <w:t>dos mil quince.- Lo certifico.</w:t>
      </w:r>
    </w:p>
    <w:p w14:paraId="4F67AA12" w14:textId="77777777" w:rsidR="00591D54" w:rsidRDefault="00591D54">
      <w:pPr>
        <w:shd w:val="clear" w:color="auto" w:fill="FFFFFF"/>
        <w:spacing w:before="192"/>
      </w:pPr>
      <w:r>
        <w:rPr>
          <w:spacing w:val="-7"/>
          <w:sz w:val="18"/>
          <w:szCs w:val="18"/>
          <w:lang w:val="es-ES_tradnl"/>
        </w:rPr>
        <w:t xml:space="preserve">f.) Jaime Pozo Chamorro, </w:t>
      </w:r>
      <w:r>
        <w:rPr>
          <w:b/>
          <w:bCs/>
          <w:spacing w:val="-7"/>
          <w:sz w:val="18"/>
          <w:szCs w:val="18"/>
          <w:lang w:val="es-ES_tradnl"/>
        </w:rPr>
        <w:t>Secretario General.</w:t>
      </w:r>
    </w:p>
    <w:p w14:paraId="4F67AA13" w14:textId="77777777" w:rsidR="00591D54" w:rsidRDefault="00591D54">
      <w:pPr>
        <w:shd w:val="clear" w:color="auto" w:fill="FFFFFF"/>
        <w:spacing w:before="192"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AA14" w14:textId="77777777" w:rsidR="00591D54" w:rsidRDefault="00591D54">
      <w:pPr>
        <w:shd w:val="clear" w:color="auto" w:fill="FFFFFF"/>
        <w:spacing w:before="1147" w:line="437" w:lineRule="exact"/>
      </w:pPr>
      <w:r>
        <w:rPr>
          <w:spacing w:val="-6"/>
          <w:sz w:val="18"/>
          <w:szCs w:val="18"/>
          <w:lang w:val="es-ES_tradnl"/>
        </w:rPr>
        <w:t>Quito, D. M., 02 de septiembre del 2015</w:t>
      </w:r>
    </w:p>
    <w:p w14:paraId="4F67AA15" w14:textId="77777777" w:rsidR="00591D54" w:rsidRDefault="00591D54">
      <w:pPr>
        <w:shd w:val="clear" w:color="auto" w:fill="FFFFFF"/>
        <w:spacing w:line="437" w:lineRule="exact"/>
        <w:ind w:left="874"/>
      </w:pPr>
      <w:r>
        <w:rPr>
          <w:b/>
          <w:bCs/>
          <w:spacing w:val="-2"/>
          <w:sz w:val="18"/>
          <w:szCs w:val="18"/>
          <w:u w:val="single"/>
          <w:lang w:val="es-ES_tradnl"/>
        </w:rPr>
        <w:t>SENTENCIA N.</w:t>
      </w:r>
      <w:r>
        <w:rPr>
          <w:rFonts w:cs="Times New Roman"/>
          <w:b/>
          <w:bCs/>
          <w:spacing w:val="-2"/>
          <w:sz w:val="18"/>
          <w:szCs w:val="18"/>
          <w:u w:val="single"/>
          <w:lang w:val="es-ES_tradnl"/>
        </w:rPr>
        <w:t>°</w:t>
      </w:r>
      <w:r>
        <w:rPr>
          <w:b/>
          <w:bCs/>
          <w:spacing w:val="-2"/>
          <w:sz w:val="18"/>
          <w:szCs w:val="18"/>
          <w:u w:val="single"/>
          <w:lang w:val="es-ES_tradnl"/>
        </w:rPr>
        <w:t xml:space="preserve"> 051-15-SIS-CC</w:t>
      </w:r>
    </w:p>
    <w:p w14:paraId="4F67AA16" w14:textId="77777777" w:rsidR="00591D54" w:rsidRDefault="00591D54">
      <w:pPr>
        <w:shd w:val="clear" w:color="auto" w:fill="FFFFFF"/>
        <w:spacing w:line="437" w:lineRule="exact"/>
        <w:ind w:left="1320"/>
      </w:pPr>
      <w:r>
        <w:rPr>
          <w:b/>
          <w:bCs/>
          <w:spacing w:val="-5"/>
          <w:sz w:val="18"/>
          <w:szCs w:val="18"/>
          <w:u w:val="single"/>
          <w:lang w:val="es-ES_tradnl"/>
        </w:rPr>
        <w:t>CASO N.</w:t>
      </w:r>
      <w:r>
        <w:rPr>
          <w:rFonts w:cs="Times New Roman"/>
          <w:b/>
          <w:bCs/>
          <w:spacing w:val="-5"/>
          <w:sz w:val="18"/>
          <w:szCs w:val="18"/>
          <w:u w:val="single"/>
          <w:lang w:val="es-ES_tradnl"/>
        </w:rPr>
        <w:t>°</w:t>
      </w:r>
      <w:r>
        <w:rPr>
          <w:b/>
          <w:bCs/>
          <w:spacing w:val="-5"/>
          <w:sz w:val="18"/>
          <w:szCs w:val="18"/>
          <w:u w:val="single"/>
          <w:lang w:val="es-ES_tradnl"/>
        </w:rPr>
        <w:t xml:space="preserve"> 0063-11-IS</w:t>
      </w:r>
    </w:p>
    <w:p w14:paraId="4F67AA17" w14:textId="77777777" w:rsidR="00591D54" w:rsidRDefault="00591D54">
      <w:pPr>
        <w:shd w:val="clear" w:color="auto" w:fill="FFFFFF"/>
        <w:spacing w:line="437" w:lineRule="exact"/>
        <w:ind w:left="298"/>
      </w:pPr>
      <w:r>
        <w:rPr>
          <w:b/>
          <w:bCs/>
          <w:sz w:val="18"/>
          <w:szCs w:val="18"/>
          <w:lang w:val="es-ES_tradnl"/>
        </w:rPr>
        <w:t>CORTE CONSTITUCIONAL DEL ECUADOR</w:t>
      </w:r>
    </w:p>
    <w:p w14:paraId="4F67AA18" w14:textId="77777777" w:rsidR="00591D54" w:rsidRDefault="00591D54">
      <w:pPr>
        <w:shd w:val="clear" w:color="auto" w:fill="FFFFFF"/>
        <w:spacing w:line="437" w:lineRule="exact"/>
        <w:ind w:left="1339"/>
      </w:pPr>
      <w:r>
        <w:rPr>
          <w:b/>
          <w:bCs/>
          <w:sz w:val="18"/>
          <w:szCs w:val="18"/>
          <w:lang w:val="es-ES_tradnl"/>
        </w:rPr>
        <w:t>I. ANTECEDENTES</w:t>
      </w:r>
    </w:p>
    <w:p w14:paraId="4F67AA19" w14:textId="77777777" w:rsidR="00591D54" w:rsidRDefault="00591D54">
      <w:pPr>
        <w:shd w:val="clear" w:color="auto" w:fill="FFFFFF"/>
        <w:spacing w:line="437" w:lineRule="exact"/>
      </w:pPr>
      <w:r>
        <w:rPr>
          <w:b/>
          <w:bCs/>
          <w:spacing w:val="-9"/>
          <w:sz w:val="18"/>
          <w:szCs w:val="18"/>
          <w:lang w:val="es-ES_tradnl"/>
        </w:rPr>
        <w:t>Resumen de la admisibilidad</w:t>
      </w:r>
    </w:p>
    <w:p w14:paraId="4F67AA1A" w14:textId="77777777" w:rsidR="00591D54" w:rsidRDefault="00591D54">
      <w:pPr>
        <w:shd w:val="clear" w:color="auto" w:fill="FFFFFF"/>
        <w:spacing w:before="163" w:line="221" w:lineRule="exact"/>
        <w:jc w:val="both"/>
      </w:pPr>
      <w:r>
        <w:rPr>
          <w:spacing w:val="-1"/>
          <w:sz w:val="18"/>
          <w:szCs w:val="18"/>
          <w:lang w:val="es-ES_tradnl"/>
        </w:rPr>
        <w:t>Herlinda Cris</w:t>
      </w:r>
      <w:r>
        <w:rPr>
          <w:rFonts w:cs="Times New Roman"/>
          <w:spacing w:val="-1"/>
          <w:sz w:val="18"/>
          <w:szCs w:val="18"/>
          <w:lang w:val="es-ES_tradnl"/>
        </w:rPr>
        <w:t>á</w:t>
      </w:r>
      <w:r>
        <w:rPr>
          <w:spacing w:val="-1"/>
          <w:sz w:val="18"/>
          <w:szCs w:val="18"/>
          <w:lang w:val="es-ES_tradnl"/>
        </w:rPr>
        <w:t xml:space="preserve">lida Armijos Tinoco, por sus propios </w:t>
      </w:r>
      <w:r>
        <w:rPr>
          <w:spacing w:val="-6"/>
          <w:sz w:val="18"/>
          <w:szCs w:val="18"/>
          <w:lang w:val="es-ES_tradnl"/>
        </w:rPr>
        <w:t>derechos, amparada en la disposici</w:t>
      </w:r>
      <w:r>
        <w:rPr>
          <w:rFonts w:cs="Times New Roman"/>
          <w:spacing w:val="-6"/>
          <w:sz w:val="18"/>
          <w:szCs w:val="18"/>
          <w:lang w:val="es-ES_tradnl"/>
        </w:rPr>
        <w:t>ó</w:t>
      </w:r>
      <w:r>
        <w:rPr>
          <w:spacing w:val="-6"/>
          <w:sz w:val="18"/>
          <w:szCs w:val="18"/>
          <w:lang w:val="es-ES_tradnl"/>
        </w:rPr>
        <w:t>n del art</w:t>
      </w:r>
      <w:r>
        <w:rPr>
          <w:rFonts w:cs="Times New Roman"/>
          <w:spacing w:val="-6"/>
          <w:sz w:val="18"/>
          <w:szCs w:val="18"/>
          <w:lang w:val="es-ES_tradnl"/>
        </w:rPr>
        <w:t>í</w:t>
      </w:r>
      <w:r>
        <w:rPr>
          <w:spacing w:val="-6"/>
          <w:sz w:val="18"/>
          <w:szCs w:val="18"/>
          <w:lang w:val="es-ES_tradnl"/>
        </w:rPr>
        <w:t>culo 436 numeral 9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 present</w:t>
      </w:r>
      <w:r>
        <w:rPr>
          <w:rFonts w:cs="Times New Roman"/>
          <w:spacing w:val="-6"/>
          <w:sz w:val="18"/>
          <w:szCs w:val="18"/>
          <w:lang w:val="es-ES_tradnl"/>
        </w:rPr>
        <w:t xml:space="preserve">ó </w:t>
      </w:r>
      <w:r>
        <w:rPr>
          <w:spacing w:val="-7"/>
          <w:sz w:val="18"/>
          <w:szCs w:val="18"/>
          <w:lang w:val="es-ES_tradnl"/>
        </w:rPr>
        <w:t>acci</w:t>
      </w:r>
      <w:r>
        <w:rPr>
          <w:rFonts w:cs="Times New Roman"/>
          <w:spacing w:val="-7"/>
          <w:sz w:val="18"/>
          <w:szCs w:val="18"/>
          <w:lang w:val="es-ES_tradnl"/>
        </w:rPr>
        <w:t>ó</w:t>
      </w:r>
      <w:r>
        <w:rPr>
          <w:spacing w:val="-7"/>
          <w:sz w:val="18"/>
          <w:szCs w:val="18"/>
          <w:lang w:val="es-ES_tradnl"/>
        </w:rPr>
        <w:t>n de incumplimiento de sentencias y dict</w:t>
      </w:r>
      <w:r>
        <w:rPr>
          <w:rFonts w:cs="Times New Roman"/>
          <w:spacing w:val="-7"/>
          <w:sz w:val="18"/>
          <w:szCs w:val="18"/>
          <w:lang w:val="es-ES_tradnl"/>
        </w:rPr>
        <w:t>á</w:t>
      </w:r>
      <w:r>
        <w:rPr>
          <w:spacing w:val="-7"/>
          <w:sz w:val="18"/>
          <w:szCs w:val="18"/>
          <w:lang w:val="es-ES_tradnl"/>
        </w:rPr>
        <w:t xml:space="preserve">menes constitucionales en contra de la sentencia dictada por el </w:t>
      </w:r>
      <w:r>
        <w:rPr>
          <w:spacing w:val="-6"/>
          <w:sz w:val="18"/>
          <w:szCs w:val="18"/>
          <w:lang w:val="es-ES_tradnl"/>
        </w:rPr>
        <w:t>Juzgado D</w:t>
      </w:r>
      <w:r>
        <w:rPr>
          <w:rFonts w:cs="Times New Roman"/>
          <w:spacing w:val="-6"/>
          <w:sz w:val="18"/>
          <w:szCs w:val="18"/>
          <w:lang w:val="es-ES_tradnl"/>
        </w:rPr>
        <w:t>é</w:t>
      </w:r>
      <w:r>
        <w:rPr>
          <w:spacing w:val="-6"/>
          <w:sz w:val="18"/>
          <w:szCs w:val="18"/>
          <w:lang w:val="es-ES_tradnl"/>
        </w:rPr>
        <w:t>cimo Cuarto de lo Civil de Loja en el caso N.</w:t>
      </w:r>
      <w:r>
        <w:rPr>
          <w:rFonts w:cs="Times New Roman"/>
          <w:spacing w:val="-6"/>
          <w:sz w:val="18"/>
          <w:szCs w:val="18"/>
          <w:lang w:val="es-ES_tradnl"/>
        </w:rPr>
        <w:t xml:space="preserve">° </w:t>
      </w:r>
      <w:r>
        <w:rPr>
          <w:spacing w:val="-7"/>
          <w:sz w:val="18"/>
          <w:szCs w:val="18"/>
          <w:lang w:val="es-ES_tradnl"/>
        </w:rPr>
        <w:t xml:space="preserve">013-2010, la cual fue confirmada por los jueces de la Sala </w:t>
      </w:r>
      <w:r>
        <w:rPr>
          <w:spacing w:val="-2"/>
          <w:sz w:val="18"/>
          <w:szCs w:val="18"/>
          <w:lang w:val="es-ES_tradnl"/>
        </w:rPr>
        <w:t xml:space="preserve">de lo Civil, Mercantil, Inquilinato y Materias Residuales </w:t>
      </w:r>
      <w:r>
        <w:rPr>
          <w:spacing w:val="-3"/>
          <w:sz w:val="18"/>
          <w:szCs w:val="18"/>
          <w:lang w:val="es-ES_tradnl"/>
        </w:rPr>
        <w:t xml:space="preserve">de la Corte Provincial de Justicia de Loja, en el fallo del </w:t>
      </w:r>
      <w:r>
        <w:rPr>
          <w:spacing w:val="-9"/>
          <w:sz w:val="18"/>
          <w:szCs w:val="18"/>
          <w:lang w:val="es-ES_tradnl"/>
        </w:rPr>
        <w:t>05 de marzo de 2010 a las 09h42, que acept</w:t>
      </w:r>
      <w:r>
        <w:rPr>
          <w:rFonts w:cs="Times New Roman"/>
          <w:spacing w:val="-9"/>
          <w:sz w:val="18"/>
          <w:szCs w:val="18"/>
          <w:lang w:val="es-ES_tradnl"/>
        </w:rPr>
        <w:t>ó</w:t>
      </w:r>
      <w:r>
        <w:rPr>
          <w:spacing w:val="-9"/>
          <w:sz w:val="18"/>
          <w:szCs w:val="18"/>
          <w:lang w:val="es-ES_tradnl"/>
        </w:rPr>
        <w:t xml:space="preserve"> la acci</w:t>
      </w:r>
      <w:r>
        <w:rPr>
          <w:rFonts w:cs="Times New Roman"/>
          <w:spacing w:val="-9"/>
          <w:sz w:val="18"/>
          <w:szCs w:val="18"/>
          <w:lang w:val="es-ES_tradnl"/>
        </w:rPr>
        <w:t>ó</w:t>
      </w:r>
      <w:r>
        <w:rPr>
          <w:spacing w:val="-9"/>
          <w:sz w:val="18"/>
          <w:szCs w:val="18"/>
          <w:lang w:val="es-ES_tradnl"/>
        </w:rPr>
        <w:t xml:space="preserve">n de </w:t>
      </w:r>
      <w:r>
        <w:rPr>
          <w:spacing w:val="-10"/>
          <w:sz w:val="18"/>
          <w:szCs w:val="18"/>
          <w:lang w:val="es-ES_tradnl"/>
        </w:rPr>
        <w:t>protecci</w:t>
      </w:r>
      <w:r>
        <w:rPr>
          <w:rFonts w:cs="Times New Roman"/>
          <w:spacing w:val="-10"/>
          <w:sz w:val="18"/>
          <w:szCs w:val="18"/>
          <w:lang w:val="es-ES_tradnl"/>
        </w:rPr>
        <w:t>ó</w:t>
      </w:r>
      <w:r>
        <w:rPr>
          <w:spacing w:val="-10"/>
          <w:sz w:val="18"/>
          <w:szCs w:val="18"/>
          <w:lang w:val="es-ES_tradnl"/>
        </w:rPr>
        <w:t>n y dispuso la inmediata restituci</w:t>
      </w:r>
      <w:r>
        <w:rPr>
          <w:rFonts w:cs="Times New Roman"/>
          <w:spacing w:val="-10"/>
          <w:sz w:val="18"/>
          <w:szCs w:val="18"/>
          <w:lang w:val="es-ES_tradnl"/>
        </w:rPr>
        <w:t>ó</w:t>
      </w:r>
      <w:r>
        <w:rPr>
          <w:spacing w:val="-10"/>
          <w:sz w:val="18"/>
          <w:szCs w:val="18"/>
          <w:lang w:val="es-ES_tradnl"/>
        </w:rPr>
        <w:t>n de la accionante a su lugar de trabajo que tiene en el puesto N.</w:t>
      </w:r>
      <w:r>
        <w:rPr>
          <w:rFonts w:cs="Times New Roman"/>
          <w:spacing w:val="-10"/>
          <w:sz w:val="18"/>
          <w:szCs w:val="18"/>
          <w:lang w:val="es-ES_tradnl"/>
        </w:rPr>
        <w:t>º</w:t>
      </w:r>
      <w:r>
        <w:rPr>
          <w:spacing w:val="-10"/>
          <w:sz w:val="18"/>
          <w:szCs w:val="18"/>
          <w:lang w:val="es-ES_tradnl"/>
        </w:rPr>
        <w:t xml:space="preserve"> 20 del Centro Comercial Paltense, ordenando adem</w:t>
      </w:r>
      <w:r>
        <w:rPr>
          <w:rFonts w:cs="Times New Roman"/>
          <w:spacing w:val="-10"/>
          <w:sz w:val="18"/>
          <w:szCs w:val="18"/>
          <w:lang w:val="es-ES_tradnl"/>
        </w:rPr>
        <w:t>á</w:t>
      </w:r>
      <w:r>
        <w:rPr>
          <w:spacing w:val="-10"/>
          <w:sz w:val="18"/>
          <w:szCs w:val="18"/>
          <w:lang w:val="es-ES_tradnl"/>
        </w:rPr>
        <w:t>s la comercializaci</w:t>
      </w:r>
      <w:r>
        <w:rPr>
          <w:rFonts w:cs="Times New Roman"/>
          <w:spacing w:val="-10"/>
          <w:sz w:val="18"/>
          <w:szCs w:val="18"/>
          <w:lang w:val="es-ES_tradnl"/>
        </w:rPr>
        <w:t>ó</w:t>
      </w:r>
      <w:r>
        <w:rPr>
          <w:spacing w:val="-10"/>
          <w:sz w:val="18"/>
          <w:szCs w:val="18"/>
          <w:lang w:val="es-ES_tradnl"/>
        </w:rPr>
        <w:t xml:space="preserve">n de los tickets de faenamiento al departamento financiero del </w:t>
      </w:r>
      <w:r>
        <w:rPr>
          <w:spacing w:val="-7"/>
          <w:sz w:val="18"/>
          <w:szCs w:val="18"/>
          <w:lang w:val="es-ES_tradnl"/>
        </w:rPr>
        <w:t>municipio de Paltas y el pago de la reparaci</w:t>
      </w:r>
      <w:r>
        <w:rPr>
          <w:rFonts w:cs="Times New Roman"/>
          <w:spacing w:val="-7"/>
          <w:sz w:val="18"/>
          <w:szCs w:val="18"/>
          <w:lang w:val="es-ES_tradnl"/>
        </w:rPr>
        <w:t>ó</w:t>
      </w:r>
      <w:r>
        <w:rPr>
          <w:spacing w:val="-7"/>
          <w:sz w:val="18"/>
          <w:szCs w:val="18"/>
          <w:lang w:val="es-ES_tradnl"/>
        </w:rPr>
        <w:t>n econ</w:t>
      </w:r>
      <w:r>
        <w:rPr>
          <w:rFonts w:cs="Times New Roman"/>
          <w:spacing w:val="-7"/>
          <w:sz w:val="18"/>
          <w:szCs w:val="18"/>
          <w:lang w:val="es-ES_tradnl"/>
        </w:rPr>
        <w:t>ó</w:t>
      </w:r>
      <w:r>
        <w:rPr>
          <w:spacing w:val="-7"/>
          <w:sz w:val="18"/>
          <w:szCs w:val="18"/>
          <w:lang w:val="es-ES_tradnl"/>
        </w:rPr>
        <w:t xml:space="preserve">mica </w:t>
      </w:r>
      <w:r>
        <w:rPr>
          <w:spacing w:val="-11"/>
          <w:sz w:val="18"/>
          <w:szCs w:val="18"/>
          <w:lang w:val="es-ES_tradnl"/>
        </w:rPr>
        <w:t>por el per</w:t>
      </w:r>
      <w:r>
        <w:rPr>
          <w:rFonts w:cs="Times New Roman"/>
          <w:spacing w:val="-11"/>
          <w:sz w:val="18"/>
          <w:szCs w:val="18"/>
          <w:lang w:val="es-ES_tradnl"/>
        </w:rPr>
        <w:t>í</w:t>
      </w:r>
      <w:r>
        <w:rPr>
          <w:spacing w:val="-11"/>
          <w:sz w:val="18"/>
          <w:szCs w:val="18"/>
          <w:lang w:val="es-ES_tradnl"/>
        </w:rPr>
        <w:t xml:space="preserve">odo de tiempo desde el 31 de enero de 2010 hasta </w:t>
      </w:r>
      <w:r>
        <w:rPr>
          <w:spacing w:val="-8"/>
          <w:sz w:val="18"/>
          <w:szCs w:val="18"/>
          <w:lang w:val="es-ES_tradnl"/>
        </w:rPr>
        <w:t>la fecha en la que sea reintegrada a su puesto de trabajo, resoluci</w:t>
      </w:r>
      <w:r>
        <w:rPr>
          <w:rFonts w:cs="Times New Roman"/>
          <w:spacing w:val="-8"/>
          <w:sz w:val="18"/>
          <w:szCs w:val="18"/>
          <w:lang w:val="es-ES_tradnl"/>
        </w:rPr>
        <w:t>ó</w:t>
      </w:r>
      <w:r>
        <w:rPr>
          <w:spacing w:val="-8"/>
          <w:sz w:val="18"/>
          <w:szCs w:val="18"/>
          <w:lang w:val="es-ES_tradnl"/>
        </w:rPr>
        <w:t xml:space="preserve">n que obliga a los representantes legales de la </w:t>
      </w:r>
      <w:r>
        <w:rPr>
          <w:sz w:val="18"/>
          <w:szCs w:val="18"/>
          <w:lang w:val="es-ES_tradnl"/>
        </w:rPr>
        <w:t>Municipalidad de Paltas.</w:t>
      </w:r>
    </w:p>
    <w:p w14:paraId="4F67AA1B" w14:textId="77777777" w:rsidR="00591D54" w:rsidRDefault="00591D54">
      <w:pPr>
        <w:shd w:val="clear" w:color="auto" w:fill="FFFFFF"/>
        <w:spacing w:before="202" w:line="221" w:lineRule="exact"/>
        <w:jc w:val="both"/>
      </w:pPr>
      <w:r>
        <w:rPr>
          <w:spacing w:val="-6"/>
          <w:sz w:val="18"/>
          <w:szCs w:val="18"/>
          <w:lang w:val="es-ES_tradnl"/>
        </w:rPr>
        <w:t>La Secretar</w:t>
      </w:r>
      <w:r>
        <w:rPr>
          <w:rFonts w:cs="Times New Roman"/>
          <w:spacing w:val="-6"/>
          <w:sz w:val="18"/>
          <w:szCs w:val="18"/>
          <w:lang w:val="es-ES_tradnl"/>
        </w:rPr>
        <w:t>í</w:t>
      </w:r>
      <w:r>
        <w:rPr>
          <w:spacing w:val="-6"/>
          <w:sz w:val="18"/>
          <w:szCs w:val="18"/>
          <w:lang w:val="es-ES_tradnl"/>
        </w:rPr>
        <w:t>a General de la Corte Constitucional certific</w:t>
      </w:r>
      <w:r>
        <w:rPr>
          <w:rFonts w:cs="Times New Roman"/>
          <w:spacing w:val="-6"/>
          <w:sz w:val="18"/>
          <w:szCs w:val="18"/>
          <w:lang w:val="es-ES_tradnl"/>
        </w:rPr>
        <w:t xml:space="preserve">ó </w:t>
      </w:r>
      <w:r>
        <w:rPr>
          <w:spacing w:val="-5"/>
          <w:sz w:val="18"/>
          <w:szCs w:val="18"/>
          <w:lang w:val="es-ES_tradnl"/>
        </w:rPr>
        <w:t>que en referencia a la acci</w:t>
      </w:r>
      <w:r>
        <w:rPr>
          <w:rFonts w:cs="Times New Roman"/>
          <w:spacing w:val="-5"/>
          <w:sz w:val="18"/>
          <w:szCs w:val="18"/>
          <w:lang w:val="es-ES_tradnl"/>
        </w:rPr>
        <w:t>ó</w:t>
      </w:r>
      <w:r>
        <w:rPr>
          <w:spacing w:val="-5"/>
          <w:sz w:val="18"/>
          <w:szCs w:val="18"/>
          <w:lang w:val="es-ES_tradnl"/>
        </w:rPr>
        <w:t>n N.</w:t>
      </w:r>
      <w:r>
        <w:rPr>
          <w:rFonts w:cs="Times New Roman"/>
          <w:spacing w:val="-5"/>
          <w:sz w:val="18"/>
          <w:szCs w:val="18"/>
          <w:lang w:val="es-ES_tradnl"/>
        </w:rPr>
        <w:t>°</w:t>
      </w:r>
      <w:r>
        <w:rPr>
          <w:spacing w:val="-5"/>
          <w:sz w:val="18"/>
          <w:szCs w:val="18"/>
          <w:lang w:val="es-ES_tradnl"/>
        </w:rPr>
        <w:t xml:space="preserve"> 0063-11-IS, no se ha </w:t>
      </w:r>
      <w:r>
        <w:rPr>
          <w:spacing w:val="-9"/>
          <w:sz w:val="18"/>
          <w:szCs w:val="18"/>
          <w:lang w:val="es-ES_tradnl"/>
        </w:rPr>
        <w:t>presentado otra demanda con identidad de objeto y acci</w:t>
      </w:r>
      <w:r>
        <w:rPr>
          <w:rFonts w:cs="Times New Roman"/>
          <w:spacing w:val="-9"/>
          <w:sz w:val="18"/>
          <w:szCs w:val="18"/>
          <w:lang w:val="es-ES_tradnl"/>
        </w:rPr>
        <w:t>ó</w:t>
      </w:r>
      <w:r>
        <w:rPr>
          <w:spacing w:val="-9"/>
          <w:sz w:val="18"/>
          <w:szCs w:val="18"/>
          <w:lang w:val="es-ES_tradnl"/>
        </w:rPr>
        <w:t>n.</w:t>
      </w:r>
    </w:p>
    <w:p w14:paraId="4F67AA1C" w14:textId="77777777" w:rsidR="00591D54" w:rsidRDefault="00591D54">
      <w:pPr>
        <w:shd w:val="clear" w:color="auto" w:fill="FFFFFF"/>
        <w:spacing w:before="202" w:line="221" w:lineRule="exact"/>
        <w:jc w:val="both"/>
      </w:pPr>
      <w:r>
        <w:rPr>
          <w:spacing w:val="-8"/>
          <w:sz w:val="18"/>
          <w:szCs w:val="18"/>
          <w:lang w:val="es-ES_tradnl"/>
        </w:rPr>
        <w:t xml:space="preserve">Mediante auto del 30 de agosto de 2012, el entonces juez </w:t>
      </w:r>
      <w:r>
        <w:rPr>
          <w:spacing w:val="-5"/>
          <w:sz w:val="18"/>
          <w:szCs w:val="18"/>
          <w:lang w:val="es-ES_tradnl"/>
        </w:rPr>
        <w:t>constitucional, Edgar Z</w:t>
      </w:r>
      <w:r>
        <w:rPr>
          <w:rFonts w:cs="Times New Roman"/>
          <w:spacing w:val="-5"/>
          <w:sz w:val="18"/>
          <w:szCs w:val="18"/>
          <w:lang w:val="es-ES_tradnl"/>
        </w:rPr>
        <w:t>á</w:t>
      </w:r>
      <w:r>
        <w:rPr>
          <w:spacing w:val="-5"/>
          <w:sz w:val="18"/>
          <w:szCs w:val="18"/>
          <w:lang w:val="es-ES_tradnl"/>
        </w:rPr>
        <w:t>rate Z</w:t>
      </w:r>
      <w:r>
        <w:rPr>
          <w:rFonts w:cs="Times New Roman"/>
          <w:spacing w:val="-5"/>
          <w:sz w:val="18"/>
          <w:szCs w:val="18"/>
          <w:lang w:val="es-ES_tradnl"/>
        </w:rPr>
        <w:t>á</w:t>
      </w:r>
      <w:r>
        <w:rPr>
          <w:spacing w:val="-5"/>
          <w:sz w:val="18"/>
          <w:szCs w:val="18"/>
          <w:lang w:val="es-ES_tradnl"/>
        </w:rPr>
        <w:t>rate, avoc</w:t>
      </w:r>
      <w:r>
        <w:rPr>
          <w:rFonts w:cs="Times New Roman"/>
          <w:spacing w:val="-5"/>
          <w:sz w:val="18"/>
          <w:szCs w:val="18"/>
          <w:lang w:val="es-ES_tradnl"/>
        </w:rPr>
        <w:t>ó</w:t>
      </w:r>
      <w:r>
        <w:rPr>
          <w:spacing w:val="-5"/>
          <w:sz w:val="18"/>
          <w:szCs w:val="18"/>
          <w:lang w:val="es-ES_tradnl"/>
        </w:rPr>
        <w:t xml:space="preserve"> conocimiento de la acci</w:t>
      </w:r>
      <w:r>
        <w:rPr>
          <w:rFonts w:cs="Times New Roman"/>
          <w:spacing w:val="-5"/>
          <w:sz w:val="18"/>
          <w:szCs w:val="18"/>
          <w:lang w:val="es-ES_tradnl"/>
        </w:rPr>
        <w:t>ó</w:t>
      </w:r>
      <w:r>
        <w:rPr>
          <w:spacing w:val="-5"/>
          <w:sz w:val="18"/>
          <w:szCs w:val="18"/>
          <w:lang w:val="es-ES_tradnl"/>
        </w:rPr>
        <w:t xml:space="preserve">n de incumplimiento planteada por Herlinda </w:t>
      </w:r>
      <w:r>
        <w:rPr>
          <w:sz w:val="18"/>
          <w:szCs w:val="18"/>
          <w:lang w:val="es-ES_tradnl"/>
        </w:rPr>
        <w:t>Cris</w:t>
      </w:r>
      <w:r>
        <w:rPr>
          <w:rFonts w:cs="Times New Roman"/>
          <w:sz w:val="18"/>
          <w:szCs w:val="18"/>
          <w:lang w:val="es-ES_tradnl"/>
        </w:rPr>
        <w:t>á</w:t>
      </w:r>
      <w:r>
        <w:rPr>
          <w:sz w:val="18"/>
          <w:szCs w:val="18"/>
          <w:lang w:val="es-ES_tradnl"/>
        </w:rPr>
        <w:t xml:space="preserve">lida Armijos Tinoco y dispuso: </w:t>
      </w:r>
      <w:r>
        <w:rPr>
          <w:rFonts w:cs="Times New Roman"/>
          <w:sz w:val="18"/>
          <w:szCs w:val="18"/>
          <w:lang w:val="es-ES_tradnl"/>
        </w:rPr>
        <w:t>“</w:t>
      </w:r>
      <w:r>
        <w:rPr>
          <w:sz w:val="18"/>
          <w:szCs w:val="18"/>
          <w:lang w:val="es-ES_tradnl"/>
        </w:rPr>
        <w:t>(</w:t>
      </w:r>
      <w:r>
        <w:rPr>
          <w:rFonts w:cs="Times New Roman"/>
          <w:sz w:val="18"/>
          <w:szCs w:val="18"/>
          <w:lang w:val="es-ES_tradnl"/>
        </w:rPr>
        <w:t>…</w:t>
      </w:r>
      <w:r>
        <w:rPr>
          <w:sz w:val="18"/>
          <w:szCs w:val="18"/>
          <w:lang w:val="es-ES_tradnl"/>
        </w:rPr>
        <w:t>) notif</w:t>
      </w:r>
      <w:r>
        <w:rPr>
          <w:rFonts w:cs="Times New Roman"/>
          <w:sz w:val="18"/>
          <w:szCs w:val="18"/>
          <w:lang w:val="es-ES_tradnl"/>
        </w:rPr>
        <w:t>í</w:t>
      </w:r>
      <w:r>
        <w:rPr>
          <w:sz w:val="18"/>
          <w:szCs w:val="18"/>
          <w:lang w:val="es-ES_tradnl"/>
        </w:rPr>
        <w:t>quese</w:t>
      </w:r>
    </w:p>
    <w:p w14:paraId="4F67AA1D" w14:textId="77777777" w:rsidR="00591D54" w:rsidRDefault="00591D54">
      <w:pPr>
        <w:shd w:val="clear" w:color="auto" w:fill="FFFFFF"/>
        <w:spacing w:before="202" w:line="221" w:lineRule="exact"/>
        <w:jc w:val="both"/>
        <w:sectPr w:rsidR="00591D54">
          <w:type w:val="continuous"/>
          <w:pgSz w:w="11909" w:h="16834"/>
          <w:pgMar w:top="1356" w:right="1309" w:bottom="360" w:left="1308" w:header="720" w:footer="720" w:gutter="0"/>
          <w:cols w:num="2" w:space="720" w:equalWidth="0">
            <w:col w:w="4305" w:space="682"/>
            <w:col w:w="4305"/>
          </w:cols>
          <w:noEndnote/>
        </w:sectPr>
      </w:pPr>
    </w:p>
    <w:p w14:paraId="4F67AA1E" w14:textId="77777777" w:rsidR="00591D54" w:rsidRDefault="00591D54">
      <w:pPr>
        <w:shd w:val="clear" w:color="auto" w:fill="FFFFFF"/>
        <w:tabs>
          <w:tab w:val="left" w:pos="5952"/>
        </w:tabs>
        <w:spacing w:after="226"/>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- 81</w:t>
      </w:r>
    </w:p>
    <w:p w14:paraId="4F67AA1F" w14:textId="77777777" w:rsidR="00591D54" w:rsidRDefault="00591D54">
      <w:pPr>
        <w:shd w:val="clear" w:color="auto" w:fill="FFFFFF"/>
        <w:tabs>
          <w:tab w:val="left" w:pos="5952"/>
        </w:tabs>
        <w:spacing w:after="226"/>
        <w:ind w:left="5"/>
        <w:sectPr w:rsidR="00591D54">
          <w:pgSz w:w="11909" w:h="16834"/>
          <w:pgMar w:top="1380" w:right="1304" w:bottom="360" w:left="1308" w:header="720" w:footer="720" w:gutter="0"/>
          <w:cols w:space="60"/>
          <w:noEndnote/>
        </w:sectPr>
      </w:pPr>
    </w:p>
    <w:p w14:paraId="4F67AA20" w14:textId="77777777" w:rsidR="00591D54" w:rsidRDefault="00591D54">
      <w:pPr>
        <w:shd w:val="clear" w:color="auto" w:fill="FFFFFF"/>
        <w:spacing w:before="10" w:line="216" w:lineRule="exact"/>
        <w:ind w:right="5"/>
        <w:jc w:val="both"/>
      </w:pPr>
      <w:r>
        <w:rPr>
          <w:spacing w:val="-7"/>
          <w:sz w:val="18"/>
          <w:szCs w:val="18"/>
          <w:lang w:val="es-ES_tradnl"/>
        </w:rPr>
        <w:t xml:space="preserve">con el contenido de este auto y la demanda respectiva al </w:t>
      </w:r>
      <w:r>
        <w:rPr>
          <w:spacing w:val="-5"/>
          <w:sz w:val="18"/>
          <w:szCs w:val="18"/>
          <w:lang w:val="es-ES_tradnl"/>
        </w:rPr>
        <w:t>Juez D</w:t>
      </w:r>
      <w:r>
        <w:rPr>
          <w:rFonts w:cs="Times New Roman"/>
          <w:spacing w:val="-5"/>
          <w:sz w:val="18"/>
          <w:szCs w:val="18"/>
          <w:lang w:val="es-ES_tradnl"/>
        </w:rPr>
        <w:t>é</w:t>
      </w:r>
      <w:r>
        <w:rPr>
          <w:spacing w:val="-5"/>
          <w:sz w:val="18"/>
          <w:szCs w:val="18"/>
          <w:lang w:val="es-ES_tradnl"/>
        </w:rPr>
        <w:t>cimo Cuarto de lo Civil de Loja, sede Catacocha; a Jorge Luis Feijoo Valarezo y Dr. Byron R</w:t>
      </w:r>
      <w:r>
        <w:rPr>
          <w:rFonts w:cs="Times New Roman"/>
          <w:spacing w:val="-5"/>
          <w:sz w:val="18"/>
          <w:szCs w:val="18"/>
          <w:lang w:val="es-ES_tradnl"/>
        </w:rPr>
        <w:t>í</w:t>
      </w:r>
      <w:r>
        <w:rPr>
          <w:spacing w:val="-5"/>
          <w:sz w:val="18"/>
          <w:szCs w:val="18"/>
          <w:lang w:val="es-ES_tradnl"/>
        </w:rPr>
        <w:t xml:space="preserve">os, Alcalde y </w:t>
      </w:r>
      <w:r>
        <w:rPr>
          <w:spacing w:val="-8"/>
          <w:sz w:val="18"/>
          <w:szCs w:val="18"/>
          <w:lang w:val="es-ES_tradnl"/>
        </w:rPr>
        <w:t>Procurador S</w:t>
      </w:r>
      <w:r>
        <w:rPr>
          <w:rFonts w:cs="Times New Roman"/>
          <w:spacing w:val="-8"/>
          <w:sz w:val="18"/>
          <w:szCs w:val="18"/>
          <w:lang w:val="es-ES_tradnl"/>
        </w:rPr>
        <w:t>í</w:t>
      </w:r>
      <w:r>
        <w:rPr>
          <w:spacing w:val="-8"/>
          <w:sz w:val="18"/>
          <w:szCs w:val="18"/>
          <w:lang w:val="es-ES_tradnl"/>
        </w:rPr>
        <w:t xml:space="preserve">ndico Municipal de Paltas; a: Francisco Mori, </w:t>
      </w:r>
      <w:r>
        <w:rPr>
          <w:spacing w:val="-9"/>
          <w:sz w:val="18"/>
          <w:szCs w:val="18"/>
          <w:lang w:val="es-ES_tradnl"/>
        </w:rPr>
        <w:t>Comisario Municipal de Paltas; y, a la Procuradur</w:t>
      </w:r>
      <w:r>
        <w:rPr>
          <w:rFonts w:cs="Times New Roman"/>
          <w:spacing w:val="-9"/>
          <w:sz w:val="18"/>
          <w:szCs w:val="18"/>
          <w:lang w:val="es-ES_tradnl"/>
        </w:rPr>
        <w:t>í</w:t>
      </w:r>
      <w:r>
        <w:rPr>
          <w:spacing w:val="-9"/>
          <w:sz w:val="18"/>
          <w:szCs w:val="18"/>
          <w:lang w:val="es-ES_tradnl"/>
        </w:rPr>
        <w:t xml:space="preserve">a General </w:t>
      </w:r>
      <w:r>
        <w:rPr>
          <w:spacing w:val="-8"/>
          <w:sz w:val="18"/>
          <w:szCs w:val="18"/>
          <w:lang w:val="es-ES_tradnl"/>
        </w:rPr>
        <w:t>del Estado; esto, a fin de que en el t</w:t>
      </w:r>
      <w:r>
        <w:rPr>
          <w:rFonts w:cs="Times New Roman"/>
          <w:spacing w:val="-8"/>
          <w:sz w:val="18"/>
          <w:szCs w:val="18"/>
          <w:lang w:val="es-ES_tradnl"/>
        </w:rPr>
        <w:t>é</w:t>
      </w:r>
      <w:r>
        <w:rPr>
          <w:spacing w:val="-8"/>
          <w:sz w:val="18"/>
          <w:szCs w:val="18"/>
          <w:lang w:val="es-ES_tradnl"/>
        </w:rPr>
        <w:t>rmino de quince d</w:t>
      </w:r>
      <w:r>
        <w:rPr>
          <w:rFonts w:cs="Times New Roman"/>
          <w:spacing w:val="-8"/>
          <w:sz w:val="18"/>
          <w:szCs w:val="18"/>
          <w:lang w:val="es-ES_tradnl"/>
        </w:rPr>
        <w:t>í</w:t>
      </w:r>
      <w:r>
        <w:rPr>
          <w:spacing w:val="-8"/>
          <w:sz w:val="18"/>
          <w:szCs w:val="18"/>
          <w:lang w:val="es-ES_tradnl"/>
        </w:rPr>
        <w:t xml:space="preserve">as </w:t>
      </w:r>
      <w:r>
        <w:rPr>
          <w:spacing w:val="-7"/>
          <w:sz w:val="18"/>
          <w:szCs w:val="18"/>
          <w:lang w:val="es-ES_tradnl"/>
        </w:rPr>
        <w:t xml:space="preserve">emitan un informe debidamente argumentado sobre las </w:t>
      </w:r>
      <w:r>
        <w:rPr>
          <w:spacing w:val="-8"/>
          <w:sz w:val="18"/>
          <w:szCs w:val="18"/>
          <w:lang w:val="es-ES_tradnl"/>
        </w:rPr>
        <w:t>razones del incumplimiento que se demanda, conforme lo establecido en el Art. 164 numeral 2 de la Ley Org</w:t>
      </w:r>
      <w:r>
        <w:rPr>
          <w:rFonts w:cs="Times New Roman"/>
          <w:spacing w:val="-8"/>
          <w:sz w:val="18"/>
          <w:szCs w:val="18"/>
          <w:lang w:val="es-ES_tradnl"/>
        </w:rPr>
        <w:t>á</w:t>
      </w:r>
      <w:r>
        <w:rPr>
          <w:spacing w:val="-8"/>
          <w:sz w:val="18"/>
          <w:szCs w:val="18"/>
          <w:lang w:val="es-ES_tradnl"/>
        </w:rPr>
        <w:t xml:space="preserve">nica de </w:t>
      </w:r>
      <w:r>
        <w:rPr>
          <w:spacing w:val="-5"/>
          <w:sz w:val="18"/>
          <w:szCs w:val="18"/>
          <w:lang w:val="es-ES_tradnl"/>
        </w:rPr>
        <w:t>Garant</w:t>
      </w:r>
      <w:r>
        <w:rPr>
          <w:rFonts w:cs="Times New Roman"/>
          <w:spacing w:val="-5"/>
          <w:sz w:val="18"/>
          <w:szCs w:val="18"/>
          <w:lang w:val="es-ES_tradnl"/>
        </w:rPr>
        <w:t>í</w:t>
      </w:r>
      <w:r>
        <w:rPr>
          <w:spacing w:val="-5"/>
          <w:sz w:val="18"/>
          <w:szCs w:val="18"/>
          <w:lang w:val="es-ES_tradnl"/>
        </w:rPr>
        <w:t>as Jurisdiccionales y Control Constitucional (</w:t>
      </w:r>
      <w:r>
        <w:rPr>
          <w:rFonts w:cs="Times New Roman"/>
          <w:spacing w:val="-5"/>
          <w:sz w:val="18"/>
          <w:szCs w:val="18"/>
          <w:lang w:val="es-ES_tradnl"/>
        </w:rPr>
        <w:t>…</w:t>
      </w:r>
      <w:r>
        <w:rPr>
          <w:spacing w:val="-5"/>
          <w:sz w:val="18"/>
          <w:szCs w:val="18"/>
          <w:lang w:val="es-ES_tradnl"/>
        </w:rPr>
        <w:t>)</w:t>
      </w:r>
      <w:r>
        <w:rPr>
          <w:rFonts w:cs="Times New Roman"/>
          <w:spacing w:val="-5"/>
          <w:sz w:val="18"/>
          <w:szCs w:val="18"/>
          <w:lang w:val="es-ES_tradnl"/>
        </w:rPr>
        <w:t xml:space="preserve">” </w:t>
      </w:r>
      <w:r>
        <w:rPr>
          <w:sz w:val="18"/>
          <w:szCs w:val="18"/>
          <w:lang w:val="es-ES_tradnl"/>
        </w:rPr>
        <w:t>(SIC).</w:t>
      </w:r>
    </w:p>
    <w:p w14:paraId="4F67AA21" w14:textId="77777777" w:rsidR="00591D54" w:rsidRDefault="00591D54">
      <w:pPr>
        <w:shd w:val="clear" w:color="auto" w:fill="FFFFFF"/>
        <w:spacing w:before="197" w:line="216" w:lineRule="exact"/>
        <w:ind w:right="10"/>
        <w:jc w:val="both"/>
      </w:pPr>
      <w:r>
        <w:rPr>
          <w:spacing w:val="-9"/>
          <w:sz w:val="18"/>
          <w:szCs w:val="18"/>
          <w:lang w:val="es-ES_tradnl"/>
        </w:rPr>
        <w:t xml:space="preserve">El 06 de noviembre de 2012 se posesionaron ante el Pleno </w:t>
      </w:r>
      <w:r>
        <w:rPr>
          <w:spacing w:val="-7"/>
          <w:sz w:val="18"/>
          <w:szCs w:val="18"/>
          <w:lang w:val="es-ES_tradnl"/>
        </w:rPr>
        <w:t xml:space="preserve">de la Asamblea Nacional los jueces de la primera Corte </w:t>
      </w:r>
      <w:r>
        <w:rPr>
          <w:spacing w:val="-6"/>
          <w:sz w:val="18"/>
          <w:szCs w:val="18"/>
          <w:lang w:val="es-ES_tradnl"/>
        </w:rPr>
        <w:t>Constitucional, integrada conforme lo dispuesto en los art</w:t>
      </w:r>
      <w:r>
        <w:rPr>
          <w:rFonts w:cs="Times New Roman"/>
          <w:spacing w:val="-6"/>
          <w:sz w:val="18"/>
          <w:szCs w:val="18"/>
          <w:lang w:val="es-ES_tradnl"/>
        </w:rPr>
        <w:t>í</w:t>
      </w:r>
      <w:r>
        <w:rPr>
          <w:spacing w:val="-6"/>
          <w:sz w:val="18"/>
          <w:szCs w:val="18"/>
          <w:lang w:val="es-ES_tradnl"/>
        </w:rPr>
        <w:t>culos 432 y 434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w:t>
      </w:r>
    </w:p>
    <w:p w14:paraId="4F67AA22" w14:textId="77777777" w:rsidR="00591D54" w:rsidRDefault="00591D54">
      <w:pPr>
        <w:shd w:val="clear" w:color="auto" w:fill="FFFFFF"/>
        <w:spacing w:before="197" w:line="216" w:lineRule="exact"/>
        <w:ind w:right="5"/>
        <w:jc w:val="both"/>
      </w:pPr>
      <w:r>
        <w:rPr>
          <w:spacing w:val="-3"/>
          <w:sz w:val="18"/>
          <w:szCs w:val="18"/>
          <w:lang w:val="es-ES_tradnl"/>
        </w:rPr>
        <w:t>Mediante memorando N.</w:t>
      </w:r>
      <w:r>
        <w:rPr>
          <w:rFonts w:cs="Times New Roman"/>
          <w:spacing w:val="-3"/>
          <w:sz w:val="18"/>
          <w:szCs w:val="18"/>
          <w:lang w:val="es-ES_tradnl"/>
        </w:rPr>
        <w:t>°</w:t>
      </w:r>
      <w:r>
        <w:rPr>
          <w:spacing w:val="-3"/>
          <w:sz w:val="18"/>
          <w:szCs w:val="18"/>
          <w:lang w:val="es-ES_tradnl"/>
        </w:rPr>
        <w:t xml:space="preserve"> 019-CCE-SG-SUS-2013 del </w:t>
      </w:r>
      <w:r>
        <w:rPr>
          <w:spacing w:val="-7"/>
          <w:sz w:val="18"/>
          <w:szCs w:val="18"/>
          <w:lang w:val="es-ES_tradnl"/>
        </w:rPr>
        <w:t>10 de enero de 2013, la Secretar</w:t>
      </w:r>
      <w:r>
        <w:rPr>
          <w:rFonts w:cs="Times New Roman"/>
          <w:spacing w:val="-7"/>
          <w:sz w:val="18"/>
          <w:szCs w:val="18"/>
          <w:lang w:val="es-ES_tradnl"/>
        </w:rPr>
        <w:t>í</w:t>
      </w:r>
      <w:r>
        <w:rPr>
          <w:spacing w:val="-7"/>
          <w:sz w:val="18"/>
          <w:szCs w:val="18"/>
          <w:lang w:val="es-ES_tradnl"/>
        </w:rPr>
        <w:t>a General de la Corte Constitucional, de conformidad con el sorteo realizado por el Pleno del Organismo en sesi</w:t>
      </w:r>
      <w:r>
        <w:rPr>
          <w:rFonts w:cs="Times New Roman"/>
          <w:spacing w:val="-7"/>
          <w:sz w:val="18"/>
          <w:szCs w:val="18"/>
          <w:lang w:val="es-ES_tradnl"/>
        </w:rPr>
        <w:t>ó</w:t>
      </w:r>
      <w:r>
        <w:rPr>
          <w:spacing w:val="-7"/>
          <w:sz w:val="18"/>
          <w:szCs w:val="18"/>
          <w:lang w:val="es-ES_tradnl"/>
        </w:rPr>
        <w:t xml:space="preserve">n extraordinaria del 03 de </w:t>
      </w:r>
      <w:r>
        <w:rPr>
          <w:spacing w:val="-8"/>
          <w:sz w:val="18"/>
          <w:szCs w:val="18"/>
          <w:lang w:val="es-ES_tradnl"/>
        </w:rPr>
        <w:t>enero de 2013, remiti</w:t>
      </w:r>
      <w:r>
        <w:rPr>
          <w:rFonts w:cs="Times New Roman"/>
          <w:spacing w:val="-8"/>
          <w:sz w:val="18"/>
          <w:szCs w:val="18"/>
          <w:lang w:val="es-ES_tradnl"/>
        </w:rPr>
        <w:t>ó</w:t>
      </w:r>
      <w:r>
        <w:rPr>
          <w:spacing w:val="-8"/>
          <w:sz w:val="18"/>
          <w:szCs w:val="18"/>
          <w:lang w:val="es-ES_tradnl"/>
        </w:rPr>
        <w:t xml:space="preserve"> el expediente del caso N.</w:t>
      </w:r>
      <w:r>
        <w:rPr>
          <w:rFonts w:cs="Times New Roman"/>
          <w:spacing w:val="-8"/>
          <w:sz w:val="18"/>
          <w:szCs w:val="18"/>
          <w:lang w:val="es-ES_tradnl"/>
        </w:rPr>
        <w:t>°</w:t>
      </w:r>
      <w:r>
        <w:rPr>
          <w:spacing w:val="-8"/>
          <w:sz w:val="18"/>
          <w:szCs w:val="18"/>
          <w:lang w:val="es-ES_tradnl"/>
        </w:rPr>
        <w:t xml:space="preserve"> 0063-11-</w:t>
      </w:r>
      <w:r>
        <w:rPr>
          <w:spacing w:val="-5"/>
          <w:sz w:val="18"/>
          <w:szCs w:val="18"/>
          <w:lang w:val="es-ES_tradnl"/>
        </w:rPr>
        <w:t xml:space="preserve">IS al juez constitucional Antonio Gagliardo Loor, para su </w:t>
      </w:r>
      <w:r>
        <w:rPr>
          <w:spacing w:val="-6"/>
          <w:sz w:val="18"/>
          <w:szCs w:val="18"/>
          <w:lang w:val="es-ES_tradnl"/>
        </w:rPr>
        <w:t>sustanciaci</w:t>
      </w:r>
      <w:r>
        <w:rPr>
          <w:rFonts w:cs="Times New Roman"/>
          <w:spacing w:val="-6"/>
          <w:sz w:val="18"/>
          <w:szCs w:val="18"/>
          <w:lang w:val="es-ES_tradnl"/>
        </w:rPr>
        <w:t>ó</w:t>
      </w:r>
      <w:r>
        <w:rPr>
          <w:spacing w:val="-6"/>
          <w:sz w:val="18"/>
          <w:szCs w:val="18"/>
          <w:lang w:val="es-ES_tradnl"/>
        </w:rPr>
        <w:t xml:space="preserve">n, quien mediante providencia del 03 de julio </w:t>
      </w:r>
      <w:r>
        <w:rPr>
          <w:spacing w:val="-7"/>
          <w:sz w:val="18"/>
          <w:szCs w:val="18"/>
          <w:lang w:val="es-ES_tradnl"/>
        </w:rPr>
        <w:t>de 2013, avoc</w:t>
      </w:r>
      <w:r>
        <w:rPr>
          <w:rFonts w:cs="Times New Roman"/>
          <w:spacing w:val="-7"/>
          <w:sz w:val="18"/>
          <w:szCs w:val="18"/>
          <w:lang w:val="es-ES_tradnl"/>
        </w:rPr>
        <w:t>ó</w:t>
      </w:r>
      <w:r>
        <w:rPr>
          <w:spacing w:val="-7"/>
          <w:sz w:val="18"/>
          <w:szCs w:val="18"/>
          <w:lang w:val="es-ES_tradnl"/>
        </w:rPr>
        <w:t xml:space="preserve"> conocimiento de la causa y dispuso: </w:t>
      </w:r>
      <w:r>
        <w:rPr>
          <w:rFonts w:cs="Times New Roman"/>
          <w:spacing w:val="-7"/>
          <w:sz w:val="18"/>
          <w:szCs w:val="18"/>
          <w:lang w:val="es-ES_tradnl"/>
        </w:rPr>
        <w:t>“</w:t>
      </w:r>
      <w:r>
        <w:rPr>
          <w:spacing w:val="-7"/>
          <w:sz w:val="18"/>
          <w:szCs w:val="18"/>
          <w:lang w:val="es-ES_tradnl"/>
        </w:rPr>
        <w:t>(</w:t>
      </w:r>
      <w:r>
        <w:rPr>
          <w:rFonts w:cs="Times New Roman"/>
          <w:spacing w:val="-7"/>
          <w:sz w:val="18"/>
          <w:szCs w:val="18"/>
          <w:lang w:val="es-ES_tradnl"/>
        </w:rPr>
        <w:t>…</w:t>
      </w:r>
      <w:r>
        <w:rPr>
          <w:spacing w:val="-7"/>
          <w:sz w:val="18"/>
          <w:szCs w:val="18"/>
          <w:lang w:val="es-ES_tradnl"/>
        </w:rPr>
        <w:t>) por segunda ocasi</w:t>
      </w:r>
      <w:r>
        <w:rPr>
          <w:rFonts w:cs="Times New Roman"/>
          <w:spacing w:val="-7"/>
          <w:sz w:val="18"/>
          <w:szCs w:val="18"/>
          <w:lang w:val="es-ES_tradnl"/>
        </w:rPr>
        <w:t>ó</w:t>
      </w:r>
      <w:r>
        <w:rPr>
          <w:spacing w:val="-7"/>
          <w:sz w:val="18"/>
          <w:szCs w:val="18"/>
          <w:lang w:val="es-ES_tradnl"/>
        </w:rPr>
        <w:t>n, se concede el t</w:t>
      </w:r>
      <w:r>
        <w:rPr>
          <w:rFonts w:cs="Times New Roman"/>
          <w:spacing w:val="-7"/>
          <w:sz w:val="18"/>
          <w:szCs w:val="18"/>
          <w:lang w:val="es-ES_tradnl"/>
        </w:rPr>
        <w:t>é</w:t>
      </w:r>
      <w:r>
        <w:rPr>
          <w:spacing w:val="-7"/>
          <w:sz w:val="18"/>
          <w:szCs w:val="18"/>
          <w:lang w:val="es-ES_tradnl"/>
        </w:rPr>
        <w:t>rmino de cinco d</w:t>
      </w:r>
      <w:r>
        <w:rPr>
          <w:rFonts w:cs="Times New Roman"/>
          <w:spacing w:val="-7"/>
          <w:sz w:val="18"/>
          <w:szCs w:val="18"/>
          <w:lang w:val="es-ES_tradnl"/>
        </w:rPr>
        <w:t>í</w:t>
      </w:r>
      <w:r>
        <w:rPr>
          <w:spacing w:val="-7"/>
          <w:sz w:val="18"/>
          <w:szCs w:val="18"/>
          <w:lang w:val="es-ES_tradnl"/>
        </w:rPr>
        <w:t>as al se</w:t>
      </w:r>
      <w:r>
        <w:rPr>
          <w:rFonts w:cs="Times New Roman"/>
          <w:spacing w:val="-7"/>
          <w:sz w:val="18"/>
          <w:szCs w:val="18"/>
          <w:lang w:val="es-ES_tradnl"/>
        </w:rPr>
        <w:t>ñ</w:t>
      </w:r>
      <w:r>
        <w:rPr>
          <w:spacing w:val="-7"/>
          <w:sz w:val="18"/>
          <w:szCs w:val="18"/>
          <w:lang w:val="es-ES_tradnl"/>
        </w:rPr>
        <w:t>or juez d</w:t>
      </w:r>
      <w:r>
        <w:rPr>
          <w:rFonts w:cs="Times New Roman"/>
          <w:spacing w:val="-7"/>
          <w:sz w:val="18"/>
          <w:szCs w:val="18"/>
          <w:lang w:val="es-ES_tradnl"/>
        </w:rPr>
        <w:t>é</w:t>
      </w:r>
      <w:r>
        <w:rPr>
          <w:spacing w:val="-7"/>
          <w:sz w:val="18"/>
          <w:szCs w:val="18"/>
          <w:lang w:val="es-ES_tradnl"/>
        </w:rPr>
        <w:t xml:space="preserve">cimo cuarto multicompetente de Loja, con </w:t>
      </w:r>
      <w:r>
        <w:rPr>
          <w:spacing w:val="-11"/>
          <w:sz w:val="18"/>
          <w:szCs w:val="18"/>
          <w:lang w:val="es-ES_tradnl"/>
        </w:rPr>
        <w:t>sede en Catacocha (cant</w:t>
      </w:r>
      <w:r>
        <w:rPr>
          <w:rFonts w:cs="Times New Roman"/>
          <w:spacing w:val="-11"/>
          <w:sz w:val="18"/>
          <w:szCs w:val="18"/>
          <w:lang w:val="es-ES_tradnl"/>
        </w:rPr>
        <w:t>ó</w:t>
      </w:r>
      <w:r>
        <w:rPr>
          <w:spacing w:val="-11"/>
          <w:sz w:val="18"/>
          <w:szCs w:val="18"/>
          <w:lang w:val="es-ES_tradnl"/>
        </w:rPr>
        <w:t xml:space="preserve">n Paltas), a fin de que presente un </w:t>
      </w:r>
      <w:r>
        <w:rPr>
          <w:spacing w:val="-9"/>
          <w:sz w:val="18"/>
          <w:szCs w:val="18"/>
          <w:lang w:val="es-ES_tradnl"/>
        </w:rPr>
        <w:t>informe debidamente argumentado de descargo; as</w:t>
      </w:r>
      <w:r>
        <w:rPr>
          <w:rFonts w:cs="Times New Roman"/>
          <w:spacing w:val="-9"/>
          <w:sz w:val="18"/>
          <w:szCs w:val="18"/>
          <w:lang w:val="es-ES_tradnl"/>
        </w:rPr>
        <w:t>í</w:t>
      </w:r>
      <w:r>
        <w:rPr>
          <w:spacing w:val="-9"/>
          <w:sz w:val="18"/>
          <w:szCs w:val="18"/>
          <w:lang w:val="es-ES_tradnl"/>
        </w:rPr>
        <w:t xml:space="preserve"> como, </w:t>
      </w:r>
      <w:r>
        <w:rPr>
          <w:spacing w:val="-7"/>
          <w:sz w:val="18"/>
          <w:szCs w:val="18"/>
          <w:lang w:val="es-ES_tradnl"/>
        </w:rPr>
        <w:t xml:space="preserve">remita inmediatamente a esta Corte, el expediente original </w:t>
      </w:r>
      <w:r>
        <w:rPr>
          <w:spacing w:val="-5"/>
          <w:sz w:val="18"/>
          <w:szCs w:val="18"/>
          <w:lang w:val="es-ES_tradnl"/>
        </w:rPr>
        <w:t>de la acci</w:t>
      </w:r>
      <w:r>
        <w:rPr>
          <w:rFonts w:cs="Times New Roman"/>
          <w:spacing w:val="-5"/>
          <w:sz w:val="18"/>
          <w:szCs w:val="18"/>
          <w:lang w:val="es-ES_tradnl"/>
        </w:rPr>
        <w:t>ó</w:t>
      </w:r>
      <w:r>
        <w:rPr>
          <w:spacing w:val="-5"/>
          <w:sz w:val="18"/>
          <w:szCs w:val="18"/>
          <w:lang w:val="es-ES_tradnl"/>
        </w:rPr>
        <w:t>n de protecci</w:t>
      </w:r>
      <w:r>
        <w:rPr>
          <w:rFonts w:cs="Times New Roman"/>
          <w:spacing w:val="-5"/>
          <w:sz w:val="18"/>
          <w:szCs w:val="18"/>
          <w:lang w:val="es-ES_tradnl"/>
        </w:rPr>
        <w:t>ó</w:t>
      </w:r>
      <w:r>
        <w:rPr>
          <w:spacing w:val="-5"/>
          <w:sz w:val="18"/>
          <w:szCs w:val="18"/>
          <w:lang w:val="es-ES_tradnl"/>
        </w:rPr>
        <w:t>n N.</w:t>
      </w:r>
      <w:r>
        <w:rPr>
          <w:rFonts w:cs="Times New Roman"/>
          <w:spacing w:val="-5"/>
          <w:sz w:val="18"/>
          <w:szCs w:val="18"/>
          <w:lang w:val="es-ES_tradnl"/>
        </w:rPr>
        <w:t>°</w:t>
      </w:r>
      <w:r>
        <w:rPr>
          <w:spacing w:val="-5"/>
          <w:sz w:val="18"/>
          <w:szCs w:val="18"/>
          <w:lang w:val="es-ES_tradnl"/>
        </w:rPr>
        <w:t xml:space="preserve"> 13-2010 (</w:t>
      </w:r>
      <w:r>
        <w:rPr>
          <w:rFonts w:cs="Times New Roman"/>
          <w:spacing w:val="-5"/>
          <w:sz w:val="18"/>
          <w:szCs w:val="18"/>
          <w:lang w:val="es-ES_tradnl"/>
        </w:rPr>
        <w:t>…</w:t>
      </w:r>
      <w:r>
        <w:rPr>
          <w:spacing w:val="-5"/>
          <w:sz w:val="18"/>
          <w:szCs w:val="18"/>
          <w:lang w:val="es-ES_tradnl"/>
        </w:rPr>
        <w:t>)</w:t>
      </w:r>
      <w:r>
        <w:rPr>
          <w:rFonts w:cs="Times New Roman"/>
          <w:spacing w:val="-5"/>
          <w:sz w:val="18"/>
          <w:szCs w:val="18"/>
          <w:lang w:val="es-ES_tradnl"/>
        </w:rPr>
        <w:t>”</w:t>
      </w:r>
      <w:r>
        <w:rPr>
          <w:spacing w:val="-5"/>
          <w:sz w:val="18"/>
          <w:szCs w:val="18"/>
          <w:lang w:val="es-ES_tradnl"/>
        </w:rPr>
        <w:t>.</w:t>
      </w:r>
    </w:p>
    <w:p w14:paraId="4F67AA23" w14:textId="77777777" w:rsidR="00591D54" w:rsidRDefault="00591D54">
      <w:pPr>
        <w:shd w:val="clear" w:color="auto" w:fill="FFFFFF"/>
        <w:spacing w:before="192" w:line="216" w:lineRule="exact"/>
        <w:ind w:right="5"/>
        <w:jc w:val="both"/>
      </w:pPr>
      <w:r>
        <w:rPr>
          <w:spacing w:val="-6"/>
          <w:sz w:val="18"/>
          <w:szCs w:val="18"/>
          <w:lang w:val="es-ES_tradnl"/>
        </w:rPr>
        <w:t xml:space="preserve">Mediante providencia del 07 de enero de 2015, el juez </w:t>
      </w:r>
      <w:r>
        <w:rPr>
          <w:spacing w:val="-4"/>
          <w:sz w:val="18"/>
          <w:szCs w:val="18"/>
          <w:lang w:val="es-ES_tradnl"/>
        </w:rPr>
        <w:t>sustanciador convoc</w:t>
      </w:r>
      <w:r>
        <w:rPr>
          <w:rFonts w:cs="Times New Roman"/>
          <w:spacing w:val="-4"/>
          <w:sz w:val="18"/>
          <w:szCs w:val="18"/>
          <w:lang w:val="es-ES_tradnl"/>
        </w:rPr>
        <w:t>ó</w:t>
      </w:r>
      <w:r>
        <w:rPr>
          <w:spacing w:val="-4"/>
          <w:sz w:val="18"/>
          <w:szCs w:val="18"/>
          <w:lang w:val="es-ES_tradnl"/>
        </w:rPr>
        <w:t xml:space="preserve"> a las partes procesales a una </w:t>
      </w:r>
      <w:r>
        <w:rPr>
          <w:spacing w:val="-8"/>
          <w:sz w:val="18"/>
          <w:szCs w:val="18"/>
          <w:lang w:val="es-ES_tradnl"/>
        </w:rPr>
        <w:t>audiencia p</w:t>
      </w:r>
      <w:r>
        <w:rPr>
          <w:rFonts w:cs="Times New Roman"/>
          <w:spacing w:val="-8"/>
          <w:sz w:val="18"/>
          <w:szCs w:val="18"/>
          <w:lang w:val="es-ES_tradnl"/>
        </w:rPr>
        <w:t>ú</w:t>
      </w:r>
      <w:r>
        <w:rPr>
          <w:spacing w:val="-8"/>
          <w:sz w:val="18"/>
          <w:szCs w:val="18"/>
          <w:lang w:val="es-ES_tradnl"/>
        </w:rPr>
        <w:t>blica el martes 20 de enero de 2015, habiendo comparecido a esta diligencia el doctor Jimmy Carvajal, en representaci</w:t>
      </w:r>
      <w:r>
        <w:rPr>
          <w:rFonts w:cs="Times New Roman"/>
          <w:spacing w:val="-8"/>
          <w:sz w:val="18"/>
          <w:szCs w:val="18"/>
          <w:lang w:val="es-ES_tradnl"/>
        </w:rPr>
        <w:t>ó</w:t>
      </w:r>
      <w:r>
        <w:rPr>
          <w:spacing w:val="-8"/>
          <w:sz w:val="18"/>
          <w:szCs w:val="18"/>
          <w:lang w:val="es-ES_tradnl"/>
        </w:rPr>
        <w:t>n de la Procuradur</w:t>
      </w:r>
      <w:r>
        <w:rPr>
          <w:rFonts w:cs="Times New Roman"/>
          <w:spacing w:val="-8"/>
          <w:sz w:val="18"/>
          <w:szCs w:val="18"/>
          <w:lang w:val="es-ES_tradnl"/>
        </w:rPr>
        <w:t>í</w:t>
      </w:r>
      <w:r>
        <w:rPr>
          <w:spacing w:val="-8"/>
          <w:sz w:val="18"/>
          <w:szCs w:val="18"/>
          <w:lang w:val="es-ES_tradnl"/>
        </w:rPr>
        <w:t xml:space="preserve">a General del Estado; el </w:t>
      </w:r>
      <w:r>
        <w:rPr>
          <w:spacing w:val="-6"/>
          <w:sz w:val="18"/>
          <w:szCs w:val="18"/>
          <w:lang w:val="es-ES_tradnl"/>
        </w:rPr>
        <w:t xml:space="preserve">doctor Manuel Tandazo Tacuri, en calidad de procurador </w:t>
      </w:r>
      <w:r>
        <w:rPr>
          <w:spacing w:val="-5"/>
          <w:sz w:val="18"/>
          <w:szCs w:val="18"/>
          <w:lang w:val="es-ES_tradnl"/>
        </w:rPr>
        <w:t>s</w:t>
      </w:r>
      <w:r>
        <w:rPr>
          <w:rFonts w:cs="Times New Roman"/>
          <w:spacing w:val="-5"/>
          <w:sz w:val="18"/>
          <w:szCs w:val="18"/>
          <w:lang w:val="es-ES_tradnl"/>
        </w:rPr>
        <w:t>í</w:t>
      </w:r>
      <w:r>
        <w:rPr>
          <w:spacing w:val="-5"/>
          <w:sz w:val="18"/>
          <w:szCs w:val="18"/>
          <w:lang w:val="es-ES_tradnl"/>
        </w:rPr>
        <w:t>ndico del Municipio del cant</w:t>
      </w:r>
      <w:r>
        <w:rPr>
          <w:rFonts w:cs="Times New Roman"/>
          <w:spacing w:val="-5"/>
          <w:sz w:val="18"/>
          <w:szCs w:val="18"/>
          <w:lang w:val="es-ES_tradnl"/>
        </w:rPr>
        <w:t>ó</w:t>
      </w:r>
      <w:r>
        <w:rPr>
          <w:spacing w:val="-5"/>
          <w:sz w:val="18"/>
          <w:szCs w:val="18"/>
          <w:lang w:val="es-ES_tradnl"/>
        </w:rPr>
        <w:t xml:space="preserve">n Paltas, sin que hayan concurrido la legitimada activa ni su abogado defensor, </w:t>
      </w:r>
      <w:r>
        <w:rPr>
          <w:spacing w:val="-8"/>
          <w:sz w:val="18"/>
          <w:szCs w:val="18"/>
          <w:lang w:val="es-ES_tradnl"/>
        </w:rPr>
        <w:t>pero justificaron su inasistencia, al igual que el juez d</w:t>
      </w:r>
      <w:r>
        <w:rPr>
          <w:rFonts w:cs="Times New Roman"/>
          <w:spacing w:val="-8"/>
          <w:sz w:val="18"/>
          <w:szCs w:val="18"/>
          <w:lang w:val="es-ES_tradnl"/>
        </w:rPr>
        <w:t>é</w:t>
      </w:r>
      <w:r>
        <w:rPr>
          <w:spacing w:val="-8"/>
          <w:sz w:val="18"/>
          <w:szCs w:val="18"/>
          <w:lang w:val="es-ES_tradnl"/>
        </w:rPr>
        <w:t xml:space="preserve">cimo </w:t>
      </w:r>
      <w:r>
        <w:rPr>
          <w:spacing w:val="-5"/>
          <w:sz w:val="18"/>
          <w:szCs w:val="18"/>
          <w:lang w:val="es-ES_tradnl"/>
        </w:rPr>
        <w:t xml:space="preserve">cuarto multicompetente de Loja con sede en Catacocha, </w:t>
      </w:r>
      <w:r>
        <w:rPr>
          <w:spacing w:val="-2"/>
          <w:sz w:val="18"/>
          <w:szCs w:val="18"/>
          <w:lang w:val="es-ES_tradnl"/>
        </w:rPr>
        <w:t>tal y como se desprende de la raz</w:t>
      </w:r>
      <w:r>
        <w:rPr>
          <w:rFonts w:cs="Times New Roman"/>
          <w:spacing w:val="-2"/>
          <w:sz w:val="18"/>
          <w:szCs w:val="18"/>
          <w:lang w:val="es-ES_tradnl"/>
        </w:rPr>
        <w:t>ó</w:t>
      </w:r>
      <w:r>
        <w:rPr>
          <w:spacing w:val="-2"/>
          <w:sz w:val="18"/>
          <w:szCs w:val="18"/>
          <w:lang w:val="es-ES_tradnl"/>
        </w:rPr>
        <w:t xml:space="preserve">n de la actuaria de </w:t>
      </w:r>
      <w:r>
        <w:rPr>
          <w:spacing w:val="-8"/>
          <w:sz w:val="18"/>
          <w:szCs w:val="18"/>
          <w:lang w:val="es-ES_tradnl"/>
        </w:rPr>
        <w:t xml:space="preserve">este despacho constante a fojas 329 del expediente </w:t>
      </w:r>
      <w:r>
        <w:rPr>
          <w:sz w:val="18"/>
          <w:szCs w:val="18"/>
          <w:lang w:val="es-ES_tradnl"/>
        </w:rPr>
        <w:t>constitucional.</w:t>
      </w:r>
    </w:p>
    <w:p w14:paraId="4F67AA24" w14:textId="77777777" w:rsidR="00591D54" w:rsidRDefault="00591D54">
      <w:pPr>
        <w:shd w:val="clear" w:color="auto" w:fill="FFFFFF"/>
        <w:spacing w:before="192" w:line="216" w:lineRule="exact"/>
        <w:ind w:right="10"/>
        <w:jc w:val="both"/>
      </w:pPr>
      <w:r>
        <w:rPr>
          <w:b/>
          <w:bCs/>
          <w:spacing w:val="-9"/>
          <w:sz w:val="18"/>
          <w:szCs w:val="18"/>
          <w:lang w:val="es-ES_tradnl"/>
        </w:rPr>
        <w:t xml:space="preserve">Sentencias constitucionales cuyo cumplimiento se </w:t>
      </w:r>
      <w:r>
        <w:rPr>
          <w:b/>
          <w:bCs/>
          <w:sz w:val="18"/>
          <w:szCs w:val="18"/>
          <w:lang w:val="es-ES_tradnl"/>
        </w:rPr>
        <w:t>demanda</w:t>
      </w:r>
    </w:p>
    <w:p w14:paraId="4F67AA25" w14:textId="77777777" w:rsidR="00591D54" w:rsidRDefault="00591D54">
      <w:pPr>
        <w:shd w:val="clear" w:color="auto" w:fill="FFFFFF"/>
        <w:spacing w:before="192" w:line="216" w:lineRule="exact"/>
        <w:ind w:right="5"/>
        <w:jc w:val="both"/>
      </w:pPr>
      <w:r>
        <w:rPr>
          <w:spacing w:val="-12"/>
          <w:sz w:val="18"/>
          <w:szCs w:val="18"/>
          <w:lang w:val="es-ES_tradnl"/>
        </w:rPr>
        <w:t>La accionante se</w:t>
      </w:r>
      <w:r>
        <w:rPr>
          <w:rFonts w:cs="Times New Roman"/>
          <w:spacing w:val="-12"/>
          <w:sz w:val="18"/>
          <w:szCs w:val="18"/>
          <w:lang w:val="es-ES_tradnl"/>
        </w:rPr>
        <w:t>ñ</w:t>
      </w:r>
      <w:r>
        <w:rPr>
          <w:spacing w:val="-12"/>
          <w:sz w:val="18"/>
          <w:szCs w:val="18"/>
          <w:lang w:val="es-ES_tradnl"/>
        </w:rPr>
        <w:t xml:space="preserve">ala que las sentencias demandadas son las </w:t>
      </w:r>
      <w:r>
        <w:rPr>
          <w:sz w:val="18"/>
          <w:szCs w:val="18"/>
          <w:lang w:val="es-ES_tradnl"/>
        </w:rPr>
        <w:t>emitidas:</w:t>
      </w:r>
    </w:p>
    <w:p w14:paraId="4F67AA26" w14:textId="77777777" w:rsidR="00591D54" w:rsidRDefault="00591D54">
      <w:pPr>
        <w:shd w:val="clear" w:color="auto" w:fill="FFFFFF"/>
        <w:spacing w:before="187" w:line="216" w:lineRule="exact"/>
        <w:ind w:left="566" w:right="5" w:hanging="283"/>
        <w:jc w:val="both"/>
      </w:pPr>
      <w:r>
        <w:rPr>
          <w:b/>
          <w:bCs/>
          <w:spacing w:val="-6"/>
          <w:sz w:val="18"/>
          <w:szCs w:val="18"/>
          <w:lang w:val="es-ES_tradnl"/>
        </w:rPr>
        <w:t xml:space="preserve">a) </w:t>
      </w:r>
      <w:r>
        <w:rPr>
          <w:spacing w:val="-6"/>
          <w:sz w:val="18"/>
          <w:szCs w:val="18"/>
          <w:lang w:val="es-ES_tradnl"/>
        </w:rPr>
        <w:t xml:space="preserve">El 02 de febrero de 2010 a las 17h00 por el juez </w:t>
      </w:r>
      <w:r>
        <w:rPr>
          <w:spacing w:val="-4"/>
          <w:sz w:val="18"/>
          <w:szCs w:val="18"/>
          <w:lang w:val="es-ES_tradnl"/>
        </w:rPr>
        <w:t>d</w:t>
      </w:r>
      <w:r>
        <w:rPr>
          <w:rFonts w:cs="Times New Roman"/>
          <w:spacing w:val="-4"/>
          <w:sz w:val="18"/>
          <w:szCs w:val="18"/>
          <w:lang w:val="es-ES_tradnl"/>
        </w:rPr>
        <w:t>é</w:t>
      </w:r>
      <w:r>
        <w:rPr>
          <w:spacing w:val="-4"/>
          <w:sz w:val="18"/>
          <w:szCs w:val="18"/>
          <w:lang w:val="es-ES_tradnl"/>
        </w:rPr>
        <w:t xml:space="preserve">cimo cuarto civil de Loja, actual juzgado </w:t>
      </w:r>
      <w:r>
        <w:rPr>
          <w:spacing w:val="-8"/>
          <w:sz w:val="18"/>
          <w:szCs w:val="18"/>
          <w:lang w:val="es-ES_tradnl"/>
        </w:rPr>
        <w:t>multicompetente, dentro de la acci</w:t>
      </w:r>
      <w:r>
        <w:rPr>
          <w:rFonts w:cs="Times New Roman"/>
          <w:spacing w:val="-8"/>
          <w:sz w:val="18"/>
          <w:szCs w:val="18"/>
          <w:lang w:val="es-ES_tradnl"/>
        </w:rPr>
        <w:t>ó</w:t>
      </w:r>
      <w:r>
        <w:rPr>
          <w:spacing w:val="-8"/>
          <w:sz w:val="18"/>
          <w:szCs w:val="18"/>
          <w:lang w:val="es-ES_tradnl"/>
        </w:rPr>
        <w:t>n de protecci</w:t>
      </w:r>
      <w:r>
        <w:rPr>
          <w:rFonts w:cs="Times New Roman"/>
          <w:spacing w:val="-8"/>
          <w:sz w:val="18"/>
          <w:szCs w:val="18"/>
          <w:lang w:val="es-ES_tradnl"/>
        </w:rPr>
        <w:t>ó</w:t>
      </w:r>
      <w:r>
        <w:rPr>
          <w:spacing w:val="-8"/>
          <w:sz w:val="18"/>
          <w:szCs w:val="18"/>
          <w:lang w:val="es-ES_tradnl"/>
        </w:rPr>
        <w:t xml:space="preserve">n </w:t>
      </w:r>
      <w:r>
        <w:rPr>
          <w:sz w:val="18"/>
          <w:szCs w:val="18"/>
          <w:lang w:val="es-ES_tradnl"/>
        </w:rPr>
        <w:t>N.</w:t>
      </w:r>
      <w:r>
        <w:rPr>
          <w:rFonts w:cs="Times New Roman"/>
          <w:sz w:val="18"/>
          <w:szCs w:val="18"/>
          <w:lang w:val="es-ES_tradnl"/>
        </w:rPr>
        <w:t>°</w:t>
      </w:r>
      <w:r>
        <w:rPr>
          <w:sz w:val="18"/>
          <w:szCs w:val="18"/>
          <w:lang w:val="es-ES_tradnl"/>
        </w:rPr>
        <w:t xml:space="preserve"> 013-2010, en la que dispuso:</w:t>
      </w:r>
    </w:p>
    <w:p w14:paraId="4F67AA27" w14:textId="77777777" w:rsidR="00591D54" w:rsidRDefault="00591D54">
      <w:pPr>
        <w:shd w:val="clear" w:color="auto" w:fill="FFFFFF"/>
        <w:spacing w:before="206" w:line="216" w:lineRule="exact"/>
        <w:ind w:left="566"/>
        <w:jc w:val="both"/>
      </w:pPr>
      <w:r>
        <w:rPr>
          <w:spacing w:val="-7"/>
          <w:sz w:val="16"/>
          <w:szCs w:val="16"/>
          <w:lang w:val="es-ES_tradnl"/>
        </w:rPr>
        <w:t>Catacocha. Dos de febrero del dos mil diez a las 08H00:-</w:t>
      </w:r>
      <w:r>
        <w:rPr>
          <w:sz w:val="16"/>
          <w:szCs w:val="16"/>
          <w:lang w:val="es-ES_tradnl"/>
        </w:rPr>
        <w:t>VISTOS:- (</w:t>
      </w:r>
      <w:r>
        <w:rPr>
          <w:rFonts w:cs="Times New Roman"/>
          <w:sz w:val="16"/>
          <w:szCs w:val="16"/>
          <w:lang w:val="es-ES_tradnl"/>
        </w:rPr>
        <w:t>…</w:t>
      </w:r>
      <w:r>
        <w:rPr>
          <w:sz w:val="16"/>
          <w:szCs w:val="16"/>
          <w:lang w:val="es-ES_tradnl"/>
        </w:rPr>
        <w:t xml:space="preserve">) ADMINISTRANDO JUSTICIA EN </w:t>
      </w:r>
      <w:r>
        <w:rPr>
          <w:spacing w:val="-5"/>
          <w:sz w:val="16"/>
          <w:szCs w:val="16"/>
          <w:lang w:val="es-ES_tradnl"/>
        </w:rPr>
        <w:t xml:space="preserve">NOMBRE DEL PUEBLO SOBERANO DEL ECUADOR </w:t>
      </w:r>
      <w:r>
        <w:rPr>
          <w:sz w:val="16"/>
          <w:szCs w:val="16"/>
          <w:lang w:val="es-ES_tradnl"/>
        </w:rPr>
        <w:t xml:space="preserve">Y POR AUTORIDAD DE LA CONSTITUCION Y </w:t>
      </w:r>
      <w:r>
        <w:rPr>
          <w:spacing w:val="-2"/>
          <w:sz w:val="16"/>
          <w:szCs w:val="16"/>
          <w:lang w:val="es-ES_tradnl"/>
        </w:rPr>
        <w:t>LAS LEYES DE LA REPUBLICA, se acepta la acci</w:t>
      </w:r>
      <w:r>
        <w:rPr>
          <w:rFonts w:cs="Times New Roman"/>
          <w:spacing w:val="-2"/>
          <w:sz w:val="16"/>
          <w:szCs w:val="16"/>
          <w:lang w:val="es-ES_tradnl"/>
        </w:rPr>
        <w:t>ó</w:t>
      </w:r>
      <w:r>
        <w:rPr>
          <w:spacing w:val="-2"/>
          <w:sz w:val="16"/>
          <w:szCs w:val="16"/>
          <w:lang w:val="es-ES_tradnl"/>
        </w:rPr>
        <w:t xml:space="preserve">n </w:t>
      </w:r>
      <w:r>
        <w:rPr>
          <w:spacing w:val="-6"/>
          <w:sz w:val="16"/>
          <w:szCs w:val="16"/>
          <w:lang w:val="es-ES_tradnl"/>
        </w:rPr>
        <w:t>de   protecci</w:t>
      </w:r>
      <w:r>
        <w:rPr>
          <w:rFonts w:cs="Times New Roman"/>
          <w:spacing w:val="-6"/>
          <w:sz w:val="16"/>
          <w:szCs w:val="16"/>
          <w:lang w:val="es-ES_tradnl"/>
        </w:rPr>
        <w:t>ó</w:t>
      </w:r>
      <w:r>
        <w:rPr>
          <w:spacing w:val="-6"/>
          <w:sz w:val="16"/>
          <w:szCs w:val="16"/>
          <w:lang w:val="es-ES_tradnl"/>
        </w:rPr>
        <w:t>n   propuesta   por   la   accionante   se</w:t>
      </w:r>
      <w:r>
        <w:rPr>
          <w:rFonts w:cs="Times New Roman"/>
          <w:spacing w:val="-6"/>
          <w:sz w:val="16"/>
          <w:szCs w:val="16"/>
          <w:lang w:val="es-ES_tradnl"/>
        </w:rPr>
        <w:t>ñ</w:t>
      </w:r>
      <w:r>
        <w:rPr>
          <w:spacing w:val="-6"/>
          <w:sz w:val="16"/>
          <w:szCs w:val="16"/>
          <w:lang w:val="es-ES_tradnl"/>
        </w:rPr>
        <w:t>ora</w:t>
      </w:r>
    </w:p>
    <w:p w14:paraId="4F67AA28" w14:textId="77777777" w:rsidR="00591D54" w:rsidRDefault="00591D54">
      <w:pPr>
        <w:shd w:val="clear" w:color="auto" w:fill="FFFFFF"/>
        <w:spacing w:line="221" w:lineRule="exact"/>
        <w:ind w:left="566" w:right="5"/>
        <w:jc w:val="both"/>
      </w:pPr>
      <w:r>
        <w:br w:type="column"/>
      </w:r>
      <w:r>
        <w:rPr>
          <w:spacing w:val="-4"/>
          <w:sz w:val="16"/>
          <w:szCs w:val="16"/>
          <w:lang w:val="es-ES_tradnl"/>
        </w:rPr>
        <w:t>Herlinda Cris</w:t>
      </w:r>
      <w:r>
        <w:rPr>
          <w:rFonts w:cs="Times New Roman"/>
          <w:spacing w:val="-4"/>
          <w:sz w:val="16"/>
          <w:szCs w:val="16"/>
          <w:lang w:val="es-ES_tradnl"/>
        </w:rPr>
        <w:t>á</w:t>
      </w:r>
      <w:r>
        <w:rPr>
          <w:spacing w:val="-4"/>
          <w:sz w:val="16"/>
          <w:szCs w:val="16"/>
          <w:lang w:val="es-ES_tradnl"/>
        </w:rPr>
        <w:t>lida Armijos Tinoco y se dispone que los Representantes Legales del Municipio de Paltas Srs. Jorge Luis Feijoo Valarezo y Dr. Byron R</w:t>
      </w:r>
      <w:r>
        <w:rPr>
          <w:rFonts w:cs="Times New Roman"/>
          <w:spacing w:val="-4"/>
          <w:sz w:val="16"/>
          <w:szCs w:val="16"/>
          <w:lang w:val="es-ES_tradnl"/>
        </w:rPr>
        <w:t>í</w:t>
      </w:r>
      <w:r>
        <w:rPr>
          <w:spacing w:val="-4"/>
          <w:sz w:val="16"/>
          <w:szCs w:val="16"/>
          <w:lang w:val="es-ES_tradnl"/>
        </w:rPr>
        <w:t xml:space="preserve">os; Alcalde y </w:t>
      </w:r>
      <w:r>
        <w:rPr>
          <w:spacing w:val="-3"/>
          <w:sz w:val="16"/>
          <w:szCs w:val="16"/>
          <w:lang w:val="es-ES_tradnl"/>
        </w:rPr>
        <w:t>Procurador S</w:t>
      </w:r>
      <w:r>
        <w:rPr>
          <w:rFonts w:cs="Times New Roman"/>
          <w:spacing w:val="-3"/>
          <w:sz w:val="16"/>
          <w:szCs w:val="16"/>
          <w:lang w:val="es-ES_tradnl"/>
        </w:rPr>
        <w:t>í</w:t>
      </w:r>
      <w:r>
        <w:rPr>
          <w:spacing w:val="-3"/>
          <w:sz w:val="16"/>
          <w:szCs w:val="16"/>
          <w:lang w:val="es-ES_tradnl"/>
        </w:rPr>
        <w:t xml:space="preserve">ndico Municipal; y el Sr. Francisco Mori; </w:t>
      </w:r>
      <w:r>
        <w:rPr>
          <w:spacing w:val="-7"/>
          <w:sz w:val="16"/>
          <w:szCs w:val="16"/>
          <w:lang w:val="es-ES_tradnl"/>
        </w:rPr>
        <w:t xml:space="preserve">Comisario Municipal; procedan de manera inmediata a la </w:t>
      </w:r>
      <w:r>
        <w:rPr>
          <w:spacing w:val="-8"/>
          <w:sz w:val="16"/>
          <w:szCs w:val="16"/>
          <w:lang w:val="es-ES_tradnl"/>
        </w:rPr>
        <w:t>restituci</w:t>
      </w:r>
      <w:r>
        <w:rPr>
          <w:rFonts w:cs="Times New Roman"/>
          <w:spacing w:val="-8"/>
          <w:sz w:val="16"/>
          <w:szCs w:val="16"/>
          <w:lang w:val="es-ES_tradnl"/>
        </w:rPr>
        <w:t>ó</w:t>
      </w:r>
      <w:r>
        <w:rPr>
          <w:spacing w:val="-8"/>
          <w:sz w:val="16"/>
          <w:szCs w:val="16"/>
          <w:lang w:val="es-ES_tradnl"/>
        </w:rPr>
        <w:t xml:space="preserve">n de la accionante a su lugar de trabajo que tiene </w:t>
      </w:r>
      <w:r>
        <w:rPr>
          <w:spacing w:val="-10"/>
          <w:sz w:val="16"/>
          <w:szCs w:val="16"/>
          <w:lang w:val="es-ES_tradnl"/>
        </w:rPr>
        <w:t xml:space="preserve">en el puesto Nro. 20, del Centro Comercial Paltense en esta </w:t>
      </w:r>
      <w:r>
        <w:rPr>
          <w:spacing w:val="-9"/>
          <w:sz w:val="16"/>
          <w:szCs w:val="16"/>
          <w:lang w:val="es-ES_tradnl"/>
        </w:rPr>
        <w:t xml:space="preserve">ciudad; y de igual manera se dispone que los Funcionarios </w:t>
      </w:r>
      <w:r>
        <w:rPr>
          <w:spacing w:val="-5"/>
          <w:sz w:val="16"/>
          <w:szCs w:val="16"/>
          <w:lang w:val="es-ES_tradnl"/>
        </w:rPr>
        <w:t>Municipales Srs. Dr. Marco B</w:t>
      </w:r>
      <w:r>
        <w:rPr>
          <w:rFonts w:cs="Times New Roman"/>
          <w:spacing w:val="-5"/>
          <w:sz w:val="16"/>
          <w:szCs w:val="16"/>
          <w:lang w:val="es-ES_tradnl"/>
        </w:rPr>
        <w:t>á</w:t>
      </w:r>
      <w:r>
        <w:rPr>
          <w:spacing w:val="-5"/>
          <w:sz w:val="16"/>
          <w:szCs w:val="16"/>
          <w:lang w:val="es-ES_tradnl"/>
        </w:rPr>
        <w:t xml:space="preserve">ez, Director Financiero; y </w:t>
      </w:r>
      <w:r>
        <w:rPr>
          <w:spacing w:val="-9"/>
          <w:sz w:val="16"/>
          <w:szCs w:val="16"/>
          <w:lang w:val="es-ES_tradnl"/>
        </w:rPr>
        <w:t>Maura D</w:t>
      </w:r>
      <w:r>
        <w:rPr>
          <w:rFonts w:cs="Times New Roman"/>
          <w:spacing w:val="-9"/>
          <w:sz w:val="16"/>
          <w:szCs w:val="16"/>
          <w:lang w:val="es-ES_tradnl"/>
        </w:rPr>
        <w:t>í</w:t>
      </w:r>
      <w:r>
        <w:rPr>
          <w:spacing w:val="-9"/>
          <w:sz w:val="16"/>
          <w:szCs w:val="16"/>
          <w:lang w:val="es-ES_tradnl"/>
        </w:rPr>
        <w:t xml:space="preserve">az, Recaudadora; procedan de manera inmediata </w:t>
      </w:r>
      <w:r>
        <w:rPr>
          <w:spacing w:val="-7"/>
          <w:sz w:val="16"/>
          <w:szCs w:val="16"/>
          <w:lang w:val="es-ES_tradnl"/>
        </w:rPr>
        <w:t xml:space="preserve">a la venta de los tickets a la actora para el faenamiento y </w:t>
      </w:r>
      <w:r>
        <w:rPr>
          <w:spacing w:val="-6"/>
          <w:sz w:val="16"/>
          <w:szCs w:val="16"/>
          <w:lang w:val="es-ES_tradnl"/>
        </w:rPr>
        <w:t xml:space="preserve">expendio del de carne en el mercado Centro Comercial </w:t>
      </w:r>
      <w:r>
        <w:rPr>
          <w:sz w:val="16"/>
          <w:szCs w:val="16"/>
          <w:lang w:val="es-ES_tradnl"/>
        </w:rPr>
        <w:t>(</w:t>
      </w:r>
      <w:r>
        <w:rPr>
          <w:rFonts w:cs="Times New Roman"/>
          <w:sz w:val="16"/>
          <w:szCs w:val="16"/>
          <w:lang w:val="es-ES_tradnl"/>
        </w:rPr>
        <w:t>…</w:t>
      </w:r>
      <w:r>
        <w:rPr>
          <w:sz w:val="16"/>
          <w:szCs w:val="16"/>
          <w:lang w:val="es-ES_tradnl"/>
        </w:rPr>
        <w:t>) (SIC).</w:t>
      </w:r>
    </w:p>
    <w:p w14:paraId="4F67AA29" w14:textId="77777777" w:rsidR="00591D54" w:rsidRDefault="00591D54">
      <w:pPr>
        <w:shd w:val="clear" w:color="auto" w:fill="FFFFFF"/>
        <w:spacing w:before="206" w:line="221" w:lineRule="exact"/>
        <w:ind w:left="566" w:right="5" w:hanging="283"/>
        <w:jc w:val="both"/>
      </w:pPr>
      <w:r>
        <w:rPr>
          <w:b/>
          <w:bCs/>
          <w:spacing w:val="-6"/>
          <w:sz w:val="18"/>
          <w:szCs w:val="18"/>
          <w:lang w:val="es-ES_tradnl"/>
        </w:rPr>
        <w:t xml:space="preserve">b) </w:t>
      </w:r>
      <w:r>
        <w:rPr>
          <w:spacing w:val="-6"/>
          <w:sz w:val="18"/>
          <w:szCs w:val="18"/>
          <w:lang w:val="es-ES_tradnl"/>
        </w:rPr>
        <w:t xml:space="preserve">El 05 de marzo de 2010 a las 09h42 por los jueces </w:t>
      </w:r>
      <w:r>
        <w:rPr>
          <w:spacing w:val="-2"/>
          <w:sz w:val="18"/>
          <w:szCs w:val="18"/>
          <w:lang w:val="es-ES_tradnl"/>
        </w:rPr>
        <w:t xml:space="preserve">de la Sala de lo Civil, Mercantil, Inquilinato y </w:t>
      </w:r>
      <w:r>
        <w:rPr>
          <w:spacing w:val="-8"/>
          <w:sz w:val="18"/>
          <w:szCs w:val="18"/>
          <w:lang w:val="es-ES_tradnl"/>
        </w:rPr>
        <w:t xml:space="preserve">Materias Residuales de la Corte Provincial de Loja, </w:t>
      </w:r>
      <w:r>
        <w:rPr>
          <w:sz w:val="18"/>
          <w:szCs w:val="18"/>
          <w:lang w:val="es-ES_tradnl"/>
        </w:rPr>
        <w:t>que manifiesta:</w:t>
      </w:r>
    </w:p>
    <w:p w14:paraId="4F67AA2A" w14:textId="77777777" w:rsidR="00591D54" w:rsidRDefault="00591D54">
      <w:pPr>
        <w:shd w:val="clear" w:color="auto" w:fill="FFFFFF"/>
        <w:spacing w:before="206" w:line="221" w:lineRule="exact"/>
        <w:ind w:left="566"/>
        <w:jc w:val="both"/>
      </w:pPr>
      <w:r>
        <w:rPr>
          <w:sz w:val="16"/>
          <w:szCs w:val="16"/>
          <w:lang w:val="es-ES_tradnl"/>
        </w:rPr>
        <w:t xml:space="preserve">SALA CIVIL, MERCANTIL, INQUILINATO Y MATERIAS RESIDUALES DE LOJA, Loja viernes 5 </w:t>
      </w:r>
      <w:r>
        <w:rPr>
          <w:spacing w:val="-4"/>
          <w:sz w:val="16"/>
          <w:szCs w:val="16"/>
          <w:lang w:val="es-ES_tradnl"/>
        </w:rPr>
        <w:t>de marzo del 2010, las 09h42. VISTOS: (</w:t>
      </w:r>
      <w:r>
        <w:rPr>
          <w:rFonts w:cs="Times New Roman"/>
          <w:spacing w:val="-4"/>
          <w:sz w:val="16"/>
          <w:szCs w:val="16"/>
          <w:lang w:val="es-ES_tradnl"/>
        </w:rPr>
        <w:t>…</w:t>
      </w:r>
      <w:r>
        <w:rPr>
          <w:spacing w:val="-4"/>
          <w:sz w:val="16"/>
          <w:szCs w:val="16"/>
          <w:lang w:val="es-ES_tradnl"/>
        </w:rPr>
        <w:t>) D</w:t>
      </w:r>
      <w:r>
        <w:rPr>
          <w:rFonts w:cs="Times New Roman"/>
          <w:spacing w:val="-4"/>
          <w:sz w:val="16"/>
          <w:szCs w:val="16"/>
          <w:lang w:val="es-ES_tradnl"/>
        </w:rPr>
        <w:t>È</w:t>
      </w:r>
      <w:r>
        <w:rPr>
          <w:spacing w:val="-4"/>
          <w:sz w:val="16"/>
          <w:szCs w:val="16"/>
          <w:lang w:val="es-ES_tradnl"/>
        </w:rPr>
        <w:t xml:space="preserve">CIMO </w:t>
      </w:r>
      <w:r>
        <w:rPr>
          <w:spacing w:val="-11"/>
          <w:sz w:val="16"/>
          <w:szCs w:val="16"/>
          <w:lang w:val="es-ES_tradnl"/>
        </w:rPr>
        <w:t xml:space="preserve">PRIMERO: En el presente caso, se ha declarado que se han </w:t>
      </w:r>
      <w:r>
        <w:rPr>
          <w:spacing w:val="-6"/>
          <w:sz w:val="16"/>
          <w:szCs w:val="16"/>
          <w:lang w:val="es-ES_tradnl"/>
        </w:rPr>
        <w:t xml:space="preserve">vulnerado los derechos constitucionales de la accionante </w:t>
      </w:r>
      <w:r>
        <w:rPr>
          <w:spacing w:val="-5"/>
          <w:sz w:val="16"/>
          <w:szCs w:val="16"/>
          <w:lang w:val="es-ES_tradnl"/>
        </w:rPr>
        <w:t>y a fin de que se le repare el da</w:t>
      </w:r>
      <w:r>
        <w:rPr>
          <w:rFonts w:cs="Times New Roman"/>
          <w:spacing w:val="-5"/>
          <w:sz w:val="16"/>
          <w:szCs w:val="16"/>
          <w:lang w:val="es-ES_tradnl"/>
        </w:rPr>
        <w:t>ñ</w:t>
      </w:r>
      <w:r>
        <w:rPr>
          <w:spacing w:val="-5"/>
          <w:sz w:val="16"/>
          <w:szCs w:val="16"/>
          <w:lang w:val="es-ES_tradnl"/>
        </w:rPr>
        <w:t xml:space="preserve">o material ocasionado, </w:t>
      </w:r>
      <w:r>
        <w:rPr>
          <w:spacing w:val="-4"/>
          <w:sz w:val="16"/>
          <w:szCs w:val="16"/>
          <w:lang w:val="es-ES_tradnl"/>
        </w:rPr>
        <w:t>se dispone que tiene DERECHO A LA REPARACI</w:t>
      </w:r>
      <w:r>
        <w:rPr>
          <w:rFonts w:cs="Times New Roman"/>
          <w:spacing w:val="-4"/>
          <w:sz w:val="16"/>
          <w:szCs w:val="16"/>
          <w:lang w:val="es-ES_tradnl"/>
        </w:rPr>
        <w:t>Ò</w:t>
      </w:r>
      <w:r>
        <w:rPr>
          <w:spacing w:val="-4"/>
          <w:sz w:val="16"/>
          <w:szCs w:val="16"/>
          <w:lang w:val="es-ES_tradnl"/>
        </w:rPr>
        <w:t xml:space="preserve">N </w:t>
      </w:r>
      <w:r>
        <w:rPr>
          <w:spacing w:val="-6"/>
          <w:sz w:val="16"/>
          <w:szCs w:val="16"/>
          <w:lang w:val="es-ES_tradnl"/>
        </w:rPr>
        <w:t>ECON</w:t>
      </w:r>
      <w:r>
        <w:rPr>
          <w:rFonts w:cs="Times New Roman"/>
          <w:spacing w:val="-6"/>
          <w:sz w:val="16"/>
          <w:szCs w:val="16"/>
          <w:lang w:val="es-ES_tradnl"/>
        </w:rPr>
        <w:t>Ò</w:t>
      </w:r>
      <w:r>
        <w:rPr>
          <w:spacing w:val="-6"/>
          <w:sz w:val="16"/>
          <w:szCs w:val="16"/>
          <w:lang w:val="es-ES_tradnl"/>
        </w:rPr>
        <w:t xml:space="preserve">MICA por no haber podido trabajar en su puesto </w:t>
      </w:r>
      <w:r>
        <w:rPr>
          <w:spacing w:val="-9"/>
          <w:sz w:val="16"/>
          <w:szCs w:val="16"/>
          <w:lang w:val="es-ES_tradnl"/>
        </w:rPr>
        <w:t xml:space="preserve">de trabajo y vender sus productos, desde el 31 de enero de </w:t>
      </w:r>
      <w:r>
        <w:rPr>
          <w:spacing w:val="-7"/>
          <w:sz w:val="16"/>
          <w:szCs w:val="16"/>
          <w:lang w:val="es-ES_tradnl"/>
        </w:rPr>
        <w:t>2010 hasta la fecha en la que se le permiti</w:t>
      </w:r>
      <w:r>
        <w:rPr>
          <w:rFonts w:cs="Times New Roman"/>
          <w:spacing w:val="-7"/>
          <w:sz w:val="16"/>
          <w:szCs w:val="16"/>
          <w:lang w:val="es-ES_tradnl"/>
        </w:rPr>
        <w:t>ó</w:t>
      </w:r>
      <w:r>
        <w:rPr>
          <w:spacing w:val="-7"/>
          <w:sz w:val="16"/>
          <w:szCs w:val="16"/>
          <w:lang w:val="es-ES_tradnl"/>
        </w:rPr>
        <w:t xml:space="preserve"> nuevamente laborar en el Centro Comercial Paltense. Reparaci</w:t>
      </w:r>
      <w:r>
        <w:rPr>
          <w:rFonts w:cs="Times New Roman"/>
          <w:spacing w:val="-7"/>
          <w:sz w:val="16"/>
          <w:szCs w:val="16"/>
          <w:lang w:val="es-ES_tradnl"/>
        </w:rPr>
        <w:t>ó</w:t>
      </w:r>
      <w:r>
        <w:rPr>
          <w:spacing w:val="-7"/>
          <w:sz w:val="16"/>
          <w:szCs w:val="16"/>
          <w:lang w:val="es-ES_tradnl"/>
        </w:rPr>
        <w:t xml:space="preserve">n que </w:t>
      </w:r>
      <w:r>
        <w:rPr>
          <w:spacing w:val="-4"/>
          <w:sz w:val="16"/>
          <w:szCs w:val="16"/>
          <w:lang w:val="es-ES_tradnl"/>
        </w:rPr>
        <w:t>el Municipio del Cant</w:t>
      </w:r>
      <w:r>
        <w:rPr>
          <w:rFonts w:cs="Times New Roman"/>
          <w:spacing w:val="-4"/>
          <w:sz w:val="16"/>
          <w:szCs w:val="16"/>
          <w:lang w:val="es-ES_tradnl"/>
        </w:rPr>
        <w:t>ó</w:t>
      </w:r>
      <w:r>
        <w:rPr>
          <w:spacing w:val="-4"/>
          <w:sz w:val="16"/>
          <w:szCs w:val="16"/>
          <w:lang w:val="es-ES_tradnl"/>
        </w:rPr>
        <w:t>n Paltas y que se la determinar</w:t>
      </w:r>
      <w:r>
        <w:rPr>
          <w:rFonts w:cs="Times New Roman"/>
          <w:spacing w:val="-4"/>
          <w:sz w:val="16"/>
          <w:szCs w:val="16"/>
          <w:lang w:val="es-ES_tradnl"/>
        </w:rPr>
        <w:t xml:space="preserve">á </w:t>
      </w:r>
      <w:r>
        <w:rPr>
          <w:spacing w:val="-2"/>
          <w:sz w:val="16"/>
          <w:szCs w:val="16"/>
          <w:lang w:val="es-ES_tradnl"/>
        </w:rPr>
        <w:t>en la forma que dispone el Art. 19 de la Ley Org</w:t>
      </w:r>
      <w:r>
        <w:rPr>
          <w:rFonts w:cs="Times New Roman"/>
          <w:spacing w:val="-2"/>
          <w:sz w:val="16"/>
          <w:szCs w:val="16"/>
          <w:lang w:val="es-ES_tradnl"/>
        </w:rPr>
        <w:t>á</w:t>
      </w:r>
      <w:r>
        <w:rPr>
          <w:spacing w:val="-2"/>
          <w:sz w:val="16"/>
          <w:szCs w:val="16"/>
          <w:lang w:val="es-ES_tradnl"/>
        </w:rPr>
        <w:t xml:space="preserve">nica </w:t>
      </w:r>
      <w:r>
        <w:rPr>
          <w:spacing w:val="-5"/>
          <w:sz w:val="16"/>
          <w:szCs w:val="16"/>
          <w:lang w:val="es-ES_tradnl"/>
        </w:rPr>
        <w:t>de Garant</w:t>
      </w:r>
      <w:r>
        <w:rPr>
          <w:rFonts w:cs="Times New Roman"/>
          <w:spacing w:val="-5"/>
          <w:sz w:val="16"/>
          <w:szCs w:val="16"/>
          <w:lang w:val="es-ES_tradnl"/>
        </w:rPr>
        <w:t>í</w:t>
      </w:r>
      <w:r>
        <w:rPr>
          <w:spacing w:val="-5"/>
          <w:sz w:val="16"/>
          <w:szCs w:val="16"/>
          <w:lang w:val="es-ES_tradnl"/>
        </w:rPr>
        <w:t xml:space="preserve">as Jurisdiccionales y Control Constitucional. </w:t>
      </w:r>
      <w:r>
        <w:rPr>
          <w:sz w:val="16"/>
          <w:szCs w:val="16"/>
          <w:lang w:val="es-ES_tradnl"/>
        </w:rPr>
        <w:t>(</w:t>
      </w:r>
      <w:r>
        <w:rPr>
          <w:rFonts w:cs="Times New Roman"/>
          <w:sz w:val="16"/>
          <w:szCs w:val="16"/>
          <w:lang w:val="es-ES_tradnl"/>
        </w:rPr>
        <w:t>…</w:t>
      </w:r>
      <w:r>
        <w:rPr>
          <w:sz w:val="16"/>
          <w:szCs w:val="16"/>
          <w:lang w:val="es-ES_tradnl"/>
        </w:rPr>
        <w:t xml:space="preserve">) ADMINISTRANDO JUSTICIA, EN NOMBRE </w:t>
      </w:r>
      <w:r>
        <w:rPr>
          <w:spacing w:val="-2"/>
          <w:sz w:val="16"/>
          <w:szCs w:val="16"/>
          <w:lang w:val="es-ES_tradnl"/>
        </w:rPr>
        <w:t xml:space="preserve">DEL PUEBLO SOBERANO DEL ECUADOR, Y POR AUTORIDAD DE LA CONSTITUCION Y LAS LEYES </w:t>
      </w:r>
      <w:r>
        <w:rPr>
          <w:spacing w:val="-10"/>
          <w:sz w:val="16"/>
          <w:szCs w:val="16"/>
          <w:lang w:val="es-ES_tradnl"/>
        </w:rPr>
        <w:t>DEL ECUADOR, desech</w:t>
      </w:r>
      <w:r>
        <w:rPr>
          <w:rFonts w:cs="Times New Roman"/>
          <w:spacing w:val="-10"/>
          <w:sz w:val="16"/>
          <w:szCs w:val="16"/>
          <w:lang w:val="es-ES_tradnl"/>
        </w:rPr>
        <w:t>á</w:t>
      </w:r>
      <w:r>
        <w:rPr>
          <w:spacing w:val="-10"/>
          <w:sz w:val="16"/>
          <w:szCs w:val="16"/>
          <w:lang w:val="es-ES_tradnl"/>
        </w:rPr>
        <w:t>ndose el recurso de apelaci</w:t>
      </w:r>
      <w:r>
        <w:rPr>
          <w:rFonts w:cs="Times New Roman"/>
          <w:spacing w:val="-10"/>
          <w:sz w:val="16"/>
          <w:szCs w:val="16"/>
          <w:lang w:val="es-ES_tradnl"/>
        </w:rPr>
        <w:t>ó</w:t>
      </w:r>
      <w:r>
        <w:rPr>
          <w:spacing w:val="-10"/>
          <w:sz w:val="16"/>
          <w:szCs w:val="16"/>
          <w:lang w:val="es-ES_tradnl"/>
        </w:rPr>
        <w:t xml:space="preserve">n del </w:t>
      </w:r>
      <w:r>
        <w:rPr>
          <w:spacing w:val="-8"/>
          <w:sz w:val="16"/>
          <w:szCs w:val="16"/>
          <w:lang w:val="es-ES_tradnl"/>
        </w:rPr>
        <w:t>Sr. Alcalde del Cant</w:t>
      </w:r>
      <w:r>
        <w:rPr>
          <w:rFonts w:cs="Times New Roman"/>
          <w:spacing w:val="-8"/>
          <w:sz w:val="16"/>
          <w:szCs w:val="16"/>
          <w:lang w:val="es-ES_tradnl"/>
        </w:rPr>
        <w:t>ó</w:t>
      </w:r>
      <w:r>
        <w:rPr>
          <w:spacing w:val="-8"/>
          <w:sz w:val="16"/>
          <w:szCs w:val="16"/>
          <w:lang w:val="es-ES_tradnl"/>
        </w:rPr>
        <w:t>n Paltas y acept</w:t>
      </w:r>
      <w:r>
        <w:rPr>
          <w:rFonts w:cs="Times New Roman"/>
          <w:spacing w:val="-8"/>
          <w:sz w:val="16"/>
          <w:szCs w:val="16"/>
          <w:lang w:val="es-ES_tradnl"/>
        </w:rPr>
        <w:t>á</w:t>
      </w:r>
      <w:r>
        <w:rPr>
          <w:spacing w:val="-8"/>
          <w:sz w:val="16"/>
          <w:szCs w:val="16"/>
          <w:lang w:val="es-ES_tradnl"/>
        </w:rPr>
        <w:t xml:space="preserve">ndose parcialmente </w:t>
      </w:r>
      <w:r>
        <w:rPr>
          <w:spacing w:val="-9"/>
          <w:sz w:val="16"/>
          <w:szCs w:val="16"/>
          <w:lang w:val="es-ES_tradnl"/>
        </w:rPr>
        <w:t xml:space="preserve">el de la accionante, se confirma en lo principal la sentencia </w:t>
      </w:r>
      <w:r>
        <w:rPr>
          <w:spacing w:val="-3"/>
          <w:sz w:val="16"/>
          <w:szCs w:val="16"/>
          <w:lang w:val="es-ES_tradnl"/>
        </w:rPr>
        <w:t>que vino en grado, reform</w:t>
      </w:r>
      <w:r>
        <w:rPr>
          <w:rFonts w:cs="Times New Roman"/>
          <w:spacing w:val="-3"/>
          <w:sz w:val="16"/>
          <w:szCs w:val="16"/>
          <w:lang w:val="es-ES_tradnl"/>
        </w:rPr>
        <w:t>á</w:t>
      </w:r>
      <w:r>
        <w:rPr>
          <w:spacing w:val="-3"/>
          <w:sz w:val="16"/>
          <w:szCs w:val="16"/>
          <w:lang w:val="es-ES_tradnl"/>
        </w:rPr>
        <w:t xml:space="preserve">ndosela en cuanto al pago </w:t>
      </w:r>
      <w:r>
        <w:rPr>
          <w:spacing w:val="-5"/>
          <w:sz w:val="16"/>
          <w:szCs w:val="16"/>
          <w:lang w:val="es-ES_tradnl"/>
        </w:rPr>
        <w:t>del da</w:t>
      </w:r>
      <w:r>
        <w:rPr>
          <w:rFonts w:cs="Times New Roman"/>
          <w:spacing w:val="-5"/>
          <w:sz w:val="16"/>
          <w:szCs w:val="16"/>
          <w:lang w:val="es-ES_tradnl"/>
        </w:rPr>
        <w:t>ñ</w:t>
      </w:r>
      <w:r>
        <w:rPr>
          <w:spacing w:val="-5"/>
          <w:sz w:val="16"/>
          <w:szCs w:val="16"/>
          <w:lang w:val="es-ES_tradnl"/>
        </w:rPr>
        <w:t>o material, conforme al considerando D</w:t>
      </w:r>
      <w:r>
        <w:rPr>
          <w:rFonts w:cs="Times New Roman"/>
          <w:spacing w:val="-5"/>
          <w:sz w:val="16"/>
          <w:szCs w:val="16"/>
          <w:lang w:val="es-ES_tradnl"/>
        </w:rPr>
        <w:t>È</w:t>
      </w:r>
      <w:r>
        <w:rPr>
          <w:spacing w:val="-5"/>
          <w:sz w:val="16"/>
          <w:szCs w:val="16"/>
          <w:lang w:val="es-ES_tradnl"/>
        </w:rPr>
        <w:t xml:space="preserve">CIMO </w:t>
      </w:r>
      <w:r>
        <w:rPr>
          <w:spacing w:val="-6"/>
          <w:sz w:val="16"/>
          <w:szCs w:val="16"/>
          <w:lang w:val="es-ES_tradnl"/>
        </w:rPr>
        <w:t>PRIMERO de nuestro fallo. Devu</w:t>
      </w:r>
      <w:r>
        <w:rPr>
          <w:rFonts w:cs="Times New Roman"/>
          <w:spacing w:val="-6"/>
          <w:sz w:val="16"/>
          <w:szCs w:val="16"/>
          <w:lang w:val="es-ES_tradnl"/>
        </w:rPr>
        <w:t>é</w:t>
      </w:r>
      <w:r>
        <w:rPr>
          <w:spacing w:val="-6"/>
          <w:sz w:val="16"/>
          <w:szCs w:val="16"/>
          <w:lang w:val="es-ES_tradnl"/>
        </w:rPr>
        <w:t>lvase el expediente al juez de instancia para los fines de ley (</w:t>
      </w:r>
      <w:r>
        <w:rPr>
          <w:rFonts w:cs="Times New Roman"/>
          <w:spacing w:val="-6"/>
          <w:sz w:val="16"/>
          <w:szCs w:val="16"/>
          <w:lang w:val="es-ES_tradnl"/>
        </w:rPr>
        <w:t>…</w:t>
      </w:r>
      <w:r>
        <w:rPr>
          <w:spacing w:val="-6"/>
          <w:sz w:val="16"/>
          <w:szCs w:val="16"/>
          <w:lang w:val="es-ES_tradnl"/>
        </w:rPr>
        <w:t>). (SIC).</w:t>
      </w:r>
    </w:p>
    <w:p w14:paraId="4F67AA2B" w14:textId="77777777" w:rsidR="00591D54" w:rsidRDefault="00591D54">
      <w:pPr>
        <w:shd w:val="clear" w:color="auto" w:fill="FFFFFF"/>
        <w:spacing w:before="206" w:line="221" w:lineRule="exact"/>
        <w:ind w:right="5"/>
        <w:jc w:val="both"/>
      </w:pPr>
      <w:r>
        <w:rPr>
          <w:b/>
          <w:bCs/>
          <w:spacing w:val="-6"/>
          <w:sz w:val="18"/>
          <w:szCs w:val="18"/>
          <w:lang w:val="es-ES_tradnl"/>
        </w:rPr>
        <w:t>Antecedentes que dieron origen a la acci</w:t>
      </w:r>
      <w:r>
        <w:rPr>
          <w:rFonts w:cs="Times New Roman"/>
          <w:b/>
          <w:bCs/>
          <w:spacing w:val="-6"/>
          <w:sz w:val="18"/>
          <w:szCs w:val="18"/>
          <w:lang w:val="es-ES_tradnl"/>
        </w:rPr>
        <w:t>ó</w:t>
      </w:r>
      <w:r>
        <w:rPr>
          <w:b/>
          <w:bCs/>
          <w:spacing w:val="-6"/>
          <w:sz w:val="18"/>
          <w:szCs w:val="18"/>
          <w:lang w:val="es-ES_tradnl"/>
        </w:rPr>
        <w:t xml:space="preserve">n de </w:t>
      </w:r>
      <w:r>
        <w:rPr>
          <w:b/>
          <w:bCs/>
          <w:sz w:val="18"/>
          <w:szCs w:val="18"/>
          <w:lang w:val="es-ES_tradnl"/>
        </w:rPr>
        <w:t>incumplimiento de sentencia</w:t>
      </w:r>
    </w:p>
    <w:p w14:paraId="4F67AA2C" w14:textId="77777777" w:rsidR="00591D54" w:rsidRDefault="00591D54">
      <w:pPr>
        <w:shd w:val="clear" w:color="auto" w:fill="FFFFFF"/>
        <w:spacing w:before="202" w:line="221" w:lineRule="exact"/>
        <w:ind w:right="5"/>
        <w:jc w:val="both"/>
      </w:pPr>
      <w:r>
        <w:rPr>
          <w:spacing w:val="-5"/>
          <w:sz w:val="18"/>
          <w:szCs w:val="18"/>
          <w:lang w:val="es-ES_tradnl"/>
        </w:rPr>
        <w:t>Desde el a</w:t>
      </w:r>
      <w:r>
        <w:rPr>
          <w:rFonts w:cs="Times New Roman"/>
          <w:spacing w:val="-5"/>
          <w:sz w:val="18"/>
          <w:szCs w:val="18"/>
          <w:lang w:val="es-ES_tradnl"/>
        </w:rPr>
        <w:t>ñ</w:t>
      </w:r>
      <w:r>
        <w:rPr>
          <w:spacing w:val="-5"/>
          <w:sz w:val="18"/>
          <w:szCs w:val="18"/>
          <w:lang w:val="es-ES_tradnl"/>
        </w:rPr>
        <w:t>o 2005 la se</w:t>
      </w:r>
      <w:r>
        <w:rPr>
          <w:rFonts w:cs="Times New Roman"/>
          <w:spacing w:val="-5"/>
          <w:sz w:val="18"/>
          <w:szCs w:val="18"/>
          <w:lang w:val="es-ES_tradnl"/>
        </w:rPr>
        <w:t>ñ</w:t>
      </w:r>
      <w:r>
        <w:rPr>
          <w:spacing w:val="-5"/>
          <w:sz w:val="18"/>
          <w:szCs w:val="18"/>
          <w:lang w:val="es-ES_tradnl"/>
        </w:rPr>
        <w:t>ora Herlinda Cris</w:t>
      </w:r>
      <w:r>
        <w:rPr>
          <w:rFonts w:cs="Times New Roman"/>
          <w:spacing w:val="-5"/>
          <w:sz w:val="18"/>
          <w:szCs w:val="18"/>
          <w:lang w:val="es-ES_tradnl"/>
        </w:rPr>
        <w:t>á</w:t>
      </w:r>
      <w:r>
        <w:rPr>
          <w:spacing w:val="-5"/>
          <w:sz w:val="18"/>
          <w:szCs w:val="18"/>
          <w:lang w:val="es-ES_tradnl"/>
        </w:rPr>
        <w:t xml:space="preserve">lida Armijos </w:t>
      </w:r>
      <w:r>
        <w:rPr>
          <w:spacing w:val="-6"/>
          <w:sz w:val="18"/>
          <w:szCs w:val="18"/>
          <w:lang w:val="es-ES_tradnl"/>
        </w:rPr>
        <w:t>Tinoco, arrend</w:t>
      </w:r>
      <w:r>
        <w:rPr>
          <w:rFonts w:cs="Times New Roman"/>
          <w:spacing w:val="-6"/>
          <w:sz w:val="18"/>
          <w:szCs w:val="18"/>
          <w:lang w:val="es-ES_tradnl"/>
        </w:rPr>
        <w:t>ó</w:t>
      </w:r>
      <w:r>
        <w:rPr>
          <w:spacing w:val="-6"/>
          <w:sz w:val="18"/>
          <w:szCs w:val="18"/>
          <w:lang w:val="es-ES_tradnl"/>
        </w:rPr>
        <w:t xml:space="preserve"> el local comercial N.</w:t>
      </w:r>
      <w:r>
        <w:rPr>
          <w:rFonts w:cs="Times New Roman"/>
          <w:spacing w:val="-6"/>
          <w:sz w:val="18"/>
          <w:szCs w:val="18"/>
          <w:lang w:val="es-ES_tradnl"/>
        </w:rPr>
        <w:t>º</w:t>
      </w:r>
      <w:r>
        <w:rPr>
          <w:spacing w:val="-6"/>
          <w:sz w:val="18"/>
          <w:szCs w:val="18"/>
          <w:lang w:val="es-ES_tradnl"/>
        </w:rPr>
        <w:t xml:space="preserve"> 20 en el Centro </w:t>
      </w:r>
      <w:r>
        <w:rPr>
          <w:spacing w:val="-7"/>
          <w:sz w:val="18"/>
          <w:szCs w:val="18"/>
          <w:lang w:val="es-ES_tradnl"/>
        </w:rPr>
        <w:t xml:space="preserve">Comercial Paltense, el cual fue empleado como tercena, habiendo suscrito el 01 de enero de 2009 el contrato de </w:t>
      </w:r>
      <w:r>
        <w:rPr>
          <w:sz w:val="18"/>
          <w:szCs w:val="18"/>
          <w:lang w:val="es-ES_tradnl"/>
        </w:rPr>
        <w:t>arrendamiento respectivo.</w:t>
      </w:r>
    </w:p>
    <w:p w14:paraId="4F67AA2D" w14:textId="77777777" w:rsidR="00591D54" w:rsidRDefault="00591D54">
      <w:pPr>
        <w:shd w:val="clear" w:color="auto" w:fill="FFFFFF"/>
        <w:spacing w:before="202" w:line="221" w:lineRule="exact"/>
        <w:ind w:right="5"/>
        <w:jc w:val="both"/>
      </w:pPr>
      <w:r>
        <w:rPr>
          <w:spacing w:val="-10"/>
          <w:sz w:val="18"/>
          <w:szCs w:val="18"/>
          <w:lang w:val="es-ES_tradnl"/>
        </w:rPr>
        <w:t xml:space="preserve">El 22 de septiembre de 2009, la arrendataria fue sancionada </w:t>
      </w:r>
      <w:r>
        <w:rPr>
          <w:spacing w:val="-5"/>
          <w:sz w:val="18"/>
          <w:szCs w:val="18"/>
          <w:lang w:val="es-ES_tradnl"/>
        </w:rPr>
        <w:t>a 15 d</w:t>
      </w:r>
      <w:r>
        <w:rPr>
          <w:rFonts w:cs="Times New Roman"/>
          <w:spacing w:val="-5"/>
          <w:sz w:val="18"/>
          <w:szCs w:val="18"/>
          <w:lang w:val="es-ES_tradnl"/>
        </w:rPr>
        <w:t>í</w:t>
      </w:r>
      <w:r>
        <w:rPr>
          <w:spacing w:val="-5"/>
          <w:sz w:val="18"/>
          <w:szCs w:val="18"/>
          <w:lang w:val="es-ES_tradnl"/>
        </w:rPr>
        <w:t>as de suscepci</w:t>
      </w:r>
      <w:r>
        <w:rPr>
          <w:rFonts w:cs="Times New Roman"/>
          <w:spacing w:val="-5"/>
          <w:sz w:val="18"/>
          <w:szCs w:val="18"/>
          <w:lang w:val="es-ES_tradnl"/>
        </w:rPr>
        <w:t>ó</w:t>
      </w:r>
      <w:r>
        <w:rPr>
          <w:spacing w:val="-5"/>
          <w:sz w:val="18"/>
          <w:szCs w:val="18"/>
          <w:lang w:val="es-ES_tradnl"/>
        </w:rPr>
        <w:t xml:space="preserve">n por el comisario municipal del </w:t>
      </w:r>
      <w:r>
        <w:rPr>
          <w:spacing w:val="-9"/>
          <w:sz w:val="18"/>
          <w:szCs w:val="18"/>
          <w:lang w:val="es-ES_tradnl"/>
        </w:rPr>
        <w:t>cant</w:t>
      </w:r>
      <w:r>
        <w:rPr>
          <w:rFonts w:cs="Times New Roman"/>
          <w:spacing w:val="-9"/>
          <w:sz w:val="18"/>
          <w:szCs w:val="18"/>
          <w:lang w:val="es-ES_tradnl"/>
        </w:rPr>
        <w:t>ó</w:t>
      </w:r>
      <w:r>
        <w:rPr>
          <w:spacing w:val="-9"/>
          <w:sz w:val="18"/>
          <w:szCs w:val="18"/>
          <w:lang w:val="es-ES_tradnl"/>
        </w:rPr>
        <w:t xml:space="preserve">n Paltas al haber encontrado carne porcina en estado </w:t>
      </w:r>
      <w:r>
        <w:rPr>
          <w:sz w:val="18"/>
          <w:szCs w:val="18"/>
          <w:lang w:val="es-ES_tradnl"/>
        </w:rPr>
        <w:t>de descomposici</w:t>
      </w:r>
      <w:r>
        <w:rPr>
          <w:rFonts w:cs="Times New Roman"/>
          <w:sz w:val="18"/>
          <w:szCs w:val="18"/>
          <w:lang w:val="es-ES_tradnl"/>
        </w:rPr>
        <w:t>ó</w:t>
      </w:r>
      <w:r>
        <w:rPr>
          <w:sz w:val="18"/>
          <w:szCs w:val="18"/>
          <w:lang w:val="es-ES_tradnl"/>
        </w:rPr>
        <w:t>n en dicho local.</w:t>
      </w:r>
    </w:p>
    <w:p w14:paraId="4F67AA2E" w14:textId="77777777" w:rsidR="00591D54" w:rsidRDefault="00591D54">
      <w:pPr>
        <w:shd w:val="clear" w:color="auto" w:fill="FFFFFF"/>
        <w:spacing w:before="202" w:line="226" w:lineRule="exact"/>
        <w:ind w:right="5"/>
        <w:jc w:val="both"/>
      </w:pPr>
      <w:r>
        <w:rPr>
          <w:spacing w:val="-4"/>
          <w:sz w:val="18"/>
          <w:szCs w:val="18"/>
          <w:lang w:val="es-ES_tradnl"/>
        </w:rPr>
        <w:t xml:space="preserve">El 01 de octubre de 2009, las autoridades municipales </w:t>
      </w:r>
      <w:r>
        <w:rPr>
          <w:spacing w:val="-6"/>
          <w:sz w:val="18"/>
          <w:szCs w:val="18"/>
          <w:lang w:val="es-ES_tradnl"/>
        </w:rPr>
        <w:t xml:space="preserve">notifican a la accionante el reintegro a su local de trabajo; </w:t>
      </w:r>
      <w:r>
        <w:rPr>
          <w:spacing w:val="-2"/>
          <w:sz w:val="18"/>
          <w:szCs w:val="18"/>
          <w:lang w:val="es-ES_tradnl"/>
        </w:rPr>
        <w:t>paralelamente autoriz</w:t>
      </w:r>
      <w:r>
        <w:rPr>
          <w:rFonts w:cs="Times New Roman"/>
          <w:spacing w:val="-2"/>
          <w:sz w:val="18"/>
          <w:szCs w:val="18"/>
          <w:lang w:val="es-ES_tradnl"/>
        </w:rPr>
        <w:t>ó</w:t>
      </w:r>
      <w:r>
        <w:rPr>
          <w:spacing w:val="-2"/>
          <w:sz w:val="18"/>
          <w:szCs w:val="18"/>
          <w:lang w:val="es-ES_tradnl"/>
        </w:rPr>
        <w:t xml:space="preserve"> al m</w:t>
      </w:r>
      <w:r>
        <w:rPr>
          <w:rFonts w:cs="Times New Roman"/>
          <w:spacing w:val="-2"/>
          <w:sz w:val="18"/>
          <w:szCs w:val="18"/>
          <w:lang w:val="es-ES_tradnl"/>
        </w:rPr>
        <w:t>é</w:t>
      </w:r>
      <w:r>
        <w:rPr>
          <w:spacing w:val="-2"/>
          <w:sz w:val="18"/>
          <w:szCs w:val="18"/>
          <w:lang w:val="es-ES_tradnl"/>
        </w:rPr>
        <w:t>dico veterinario del camal</w:t>
      </w:r>
    </w:p>
    <w:p w14:paraId="4F67AA2F" w14:textId="77777777" w:rsidR="00591D54" w:rsidRDefault="00591D54">
      <w:pPr>
        <w:shd w:val="clear" w:color="auto" w:fill="FFFFFF"/>
        <w:spacing w:before="202" w:line="226" w:lineRule="exact"/>
        <w:ind w:right="5"/>
        <w:jc w:val="both"/>
        <w:sectPr w:rsidR="00591D54">
          <w:type w:val="continuous"/>
          <w:pgSz w:w="11909" w:h="16834"/>
          <w:pgMar w:top="1380" w:right="1304" w:bottom="360" w:left="1308" w:header="720" w:footer="720" w:gutter="0"/>
          <w:cols w:num="2" w:space="720" w:equalWidth="0">
            <w:col w:w="4310" w:space="677"/>
            <w:col w:w="4310"/>
          </w:cols>
          <w:noEndnote/>
        </w:sectPr>
      </w:pPr>
    </w:p>
    <w:p w14:paraId="4F67AA30" w14:textId="77777777" w:rsidR="00591D54" w:rsidRDefault="00591D54">
      <w:pPr>
        <w:shd w:val="clear" w:color="auto" w:fill="FFFFFF"/>
        <w:tabs>
          <w:tab w:val="left" w:pos="4814"/>
        </w:tabs>
        <w:spacing w:after="230"/>
        <w:ind w:left="5"/>
      </w:pPr>
      <w:r>
        <w:rPr>
          <w:b/>
          <w:bCs/>
          <w:sz w:val="18"/>
          <w:szCs w:val="18"/>
          <w:lang w:val="es-ES_tradnl"/>
        </w:rPr>
        <w:t xml:space="preserve">82 -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A31" w14:textId="77777777" w:rsidR="00591D54" w:rsidRDefault="00591D54">
      <w:pPr>
        <w:shd w:val="clear" w:color="auto" w:fill="FFFFFF"/>
        <w:tabs>
          <w:tab w:val="left" w:pos="4814"/>
        </w:tabs>
        <w:spacing w:after="230"/>
        <w:ind w:left="5"/>
        <w:sectPr w:rsidR="00591D54">
          <w:pgSz w:w="11909" w:h="16834"/>
          <w:pgMar w:top="1359" w:right="1304" w:bottom="360" w:left="1308" w:header="720" w:footer="720" w:gutter="0"/>
          <w:cols w:space="60"/>
          <w:noEndnote/>
        </w:sectPr>
      </w:pPr>
    </w:p>
    <w:p w14:paraId="4F67AA32" w14:textId="77777777" w:rsidR="00591D54" w:rsidRDefault="00591D54">
      <w:pPr>
        <w:shd w:val="clear" w:color="auto" w:fill="FFFFFF"/>
        <w:spacing w:before="5" w:line="221" w:lineRule="exact"/>
        <w:jc w:val="both"/>
      </w:pPr>
      <w:r>
        <w:rPr>
          <w:spacing w:val="-4"/>
          <w:sz w:val="18"/>
          <w:szCs w:val="18"/>
          <w:lang w:val="es-ES_tradnl"/>
        </w:rPr>
        <w:t>municipal la emisi</w:t>
      </w:r>
      <w:r>
        <w:rPr>
          <w:rFonts w:cs="Times New Roman"/>
          <w:spacing w:val="-4"/>
          <w:sz w:val="18"/>
          <w:szCs w:val="18"/>
          <w:lang w:val="es-ES_tradnl"/>
        </w:rPr>
        <w:t>ó</w:t>
      </w:r>
      <w:r>
        <w:rPr>
          <w:spacing w:val="-4"/>
          <w:sz w:val="18"/>
          <w:szCs w:val="18"/>
          <w:lang w:val="es-ES_tradnl"/>
        </w:rPr>
        <w:t>n de tickets para el faenamiento del ganado porcino, a fin de que la se</w:t>
      </w:r>
      <w:r>
        <w:rPr>
          <w:rFonts w:cs="Times New Roman"/>
          <w:spacing w:val="-4"/>
          <w:sz w:val="18"/>
          <w:szCs w:val="18"/>
          <w:lang w:val="es-ES_tradnl"/>
        </w:rPr>
        <w:t>ñ</w:t>
      </w:r>
      <w:r>
        <w:rPr>
          <w:spacing w:val="-4"/>
          <w:sz w:val="18"/>
          <w:szCs w:val="18"/>
          <w:lang w:val="es-ES_tradnl"/>
        </w:rPr>
        <w:t xml:space="preserve">ora Armijos Tinoco </w:t>
      </w:r>
      <w:r>
        <w:rPr>
          <w:spacing w:val="-6"/>
          <w:sz w:val="18"/>
          <w:szCs w:val="18"/>
          <w:lang w:val="es-ES_tradnl"/>
        </w:rPr>
        <w:t>contin</w:t>
      </w:r>
      <w:r>
        <w:rPr>
          <w:rFonts w:cs="Times New Roman"/>
          <w:spacing w:val="-6"/>
          <w:sz w:val="18"/>
          <w:szCs w:val="18"/>
          <w:lang w:val="es-ES_tradnl"/>
        </w:rPr>
        <w:t>ú</w:t>
      </w:r>
      <w:r>
        <w:rPr>
          <w:spacing w:val="-6"/>
          <w:sz w:val="18"/>
          <w:szCs w:val="18"/>
          <w:lang w:val="es-ES_tradnl"/>
        </w:rPr>
        <w:t>e sus actividades de forma normal.</w:t>
      </w:r>
    </w:p>
    <w:p w14:paraId="4F67AA33" w14:textId="77777777" w:rsidR="00591D54" w:rsidRDefault="00591D54">
      <w:pPr>
        <w:shd w:val="clear" w:color="auto" w:fill="FFFFFF"/>
        <w:spacing w:before="206" w:line="221" w:lineRule="exact"/>
        <w:jc w:val="both"/>
      </w:pPr>
      <w:r>
        <w:rPr>
          <w:spacing w:val="-9"/>
          <w:sz w:val="18"/>
          <w:szCs w:val="18"/>
          <w:lang w:val="es-ES_tradnl"/>
        </w:rPr>
        <w:t>El incidente expuesto ocasion</w:t>
      </w:r>
      <w:r>
        <w:rPr>
          <w:rFonts w:cs="Times New Roman"/>
          <w:spacing w:val="-9"/>
          <w:sz w:val="18"/>
          <w:szCs w:val="18"/>
          <w:lang w:val="es-ES_tradnl"/>
        </w:rPr>
        <w:t>ó</w:t>
      </w:r>
      <w:r>
        <w:rPr>
          <w:spacing w:val="-9"/>
          <w:sz w:val="18"/>
          <w:szCs w:val="18"/>
          <w:lang w:val="es-ES_tradnl"/>
        </w:rPr>
        <w:t xml:space="preserve"> que el 12 de enero de 2010, </w:t>
      </w:r>
      <w:r>
        <w:rPr>
          <w:spacing w:val="-4"/>
          <w:sz w:val="18"/>
          <w:szCs w:val="18"/>
          <w:lang w:val="es-ES_tradnl"/>
        </w:rPr>
        <w:t xml:space="preserve">las autoridades municipales resolvieran no renovarle el </w:t>
      </w:r>
      <w:r>
        <w:rPr>
          <w:spacing w:val="-9"/>
          <w:sz w:val="18"/>
          <w:szCs w:val="18"/>
          <w:lang w:val="es-ES_tradnl"/>
        </w:rPr>
        <w:t xml:space="preserve">contrato de arrendamiento y abstenerse de venderle tickets </w:t>
      </w:r>
      <w:r>
        <w:rPr>
          <w:spacing w:val="-5"/>
          <w:sz w:val="18"/>
          <w:szCs w:val="18"/>
          <w:lang w:val="es-ES_tradnl"/>
        </w:rPr>
        <w:t xml:space="preserve">de faenamiento de ganado porcino. Disconforme con tal </w:t>
      </w:r>
      <w:r>
        <w:rPr>
          <w:spacing w:val="-4"/>
          <w:sz w:val="18"/>
          <w:szCs w:val="18"/>
          <w:lang w:val="es-ES_tradnl"/>
        </w:rPr>
        <w:t>resoluci</w:t>
      </w:r>
      <w:r>
        <w:rPr>
          <w:rFonts w:cs="Times New Roman"/>
          <w:spacing w:val="-4"/>
          <w:sz w:val="18"/>
          <w:szCs w:val="18"/>
          <w:lang w:val="es-ES_tradnl"/>
        </w:rPr>
        <w:t>ó</w:t>
      </w:r>
      <w:r>
        <w:rPr>
          <w:spacing w:val="-4"/>
          <w:sz w:val="18"/>
          <w:szCs w:val="18"/>
          <w:lang w:val="es-ES_tradnl"/>
        </w:rPr>
        <w:t>n, el 18 de enero de 2010 la se</w:t>
      </w:r>
      <w:r>
        <w:rPr>
          <w:rFonts w:cs="Times New Roman"/>
          <w:spacing w:val="-4"/>
          <w:sz w:val="18"/>
          <w:szCs w:val="18"/>
          <w:lang w:val="es-ES_tradnl"/>
        </w:rPr>
        <w:t>ñ</w:t>
      </w:r>
      <w:r>
        <w:rPr>
          <w:spacing w:val="-4"/>
          <w:sz w:val="18"/>
          <w:szCs w:val="18"/>
          <w:lang w:val="es-ES_tradnl"/>
        </w:rPr>
        <w:t xml:space="preserve">ora Herlinda </w:t>
      </w:r>
      <w:r>
        <w:rPr>
          <w:spacing w:val="-7"/>
          <w:sz w:val="18"/>
          <w:szCs w:val="18"/>
          <w:lang w:val="es-ES_tradnl"/>
        </w:rPr>
        <w:t>Crisalida Armijos Tinoco, present</w:t>
      </w:r>
      <w:r>
        <w:rPr>
          <w:rFonts w:cs="Times New Roman"/>
          <w:spacing w:val="-7"/>
          <w:sz w:val="18"/>
          <w:szCs w:val="18"/>
          <w:lang w:val="es-ES_tradnl"/>
        </w:rPr>
        <w:t>ó</w:t>
      </w:r>
      <w:r>
        <w:rPr>
          <w:spacing w:val="-7"/>
          <w:sz w:val="18"/>
          <w:szCs w:val="18"/>
          <w:lang w:val="es-ES_tradnl"/>
        </w:rPr>
        <w:t xml:space="preserve"> demanda de acci</w:t>
      </w:r>
      <w:r>
        <w:rPr>
          <w:rFonts w:cs="Times New Roman"/>
          <w:spacing w:val="-7"/>
          <w:sz w:val="18"/>
          <w:szCs w:val="18"/>
          <w:lang w:val="es-ES_tradnl"/>
        </w:rPr>
        <w:t>ó</w:t>
      </w:r>
      <w:r>
        <w:rPr>
          <w:spacing w:val="-7"/>
          <w:sz w:val="18"/>
          <w:szCs w:val="18"/>
          <w:lang w:val="es-ES_tradnl"/>
        </w:rPr>
        <w:t xml:space="preserve">n de </w:t>
      </w:r>
      <w:r>
        <w:rPr>
          <w:spacing w:val="-5"/>
          <w:sz w:val="18"/>
          <w:szCs w:val="18"/>
          <w:lang w:val="es-ES_tradnl"/>
        </w:rPr>
        <w:t>protecci</w:t>
      </w:r>
      <w:r>
        <w:rPr>
          <w:rFonts w:cs="Times New Roman"/>
          <w:spacing w:val="-5"/>
          <w:sz w:val="18"/>
          <w:szCs w:val="18"/>
          <w:lang w:val="es-ES_tradnl"/>
        </w:rPr>
        <w:t>ó</w:t>
      </w:r>
      <w:r>
        <w:rPr>
          <w:spacing w:val="-5"/>
          <w:sz w:val="18"/>
          <w:szCs w:val="18"/>
          <w:lang w:val="es-ES_tradnl"/>
        </w:rPr>
        <w:t xml:space="preserve">n en contra de los representantes del Gobierno </w:t>
      </w:r>
      <w:r>
        <w:rPr>
          <w:spacing w:val="-4"/>
          <w:sz w:val="18"/>
          <w:szCs w:val="18"/>
          <w:lang w:val="es-ES_tradnl"/>
        </w:rPr>
        <w:t>Municipal del cant</w:t>
      </w:r>
      <w:r>
        <w:rPr>
          <w:rFonts w:cs="Times New Roman"/>
          <w:spacing w:val="-4"/>
          <w:sz w:val="18"/>
          <w:szCs w:val="18"/>
          <w:lang w:val="es-ES_tradnl"/>
        </w:rPr>
        <w:t>ó</w:t>
      </w:r>
      <w:r>
        <w:rPr>
          <w:spacing w:val="-4"/>
          <w:sz w:val="18"/>
          <w:szCs w:val="18"/>
          <w:lang w:val="es-ES_tradnl"/>
        </w:rPr>
        <w:t>n Paltas, por cuanto consider</w:t>
      </w:r>
      <w:r>
        <w:rPr>
          <w:rFonts w:cs="Times New Roman"/>
          <w:spacing w:val="-4"/>
          <w:sz w:val="18"/>
          <w:szCs w:val="18"/>
          <w:lang w:val="es-ES_tradnl"/>
        </w:rPr>
        <w:t>ó</w:t>
      </w:r>
      <w:r>
        <w:rPr>
          <w:spacing w:val="-4"/>
          <w:sz w:val="18"/>
          <w:szCs w:val="18"/>
          <w:lang w:val="es-ES_tradnl"/>
        </w:rPr>
        <w:t xml:space="preserve"> que dicha decisi</w:t>
      </w:r>
      <w:r>
        <w:rPr>
          <w:rFonts w:cs="Times New Roman"/>
          <w:spacing w:val="-4"/>
          <w:sz w:val="18"/>
          <w:szCs w:val="18"/>
          <w:lang w:val="es-ES_tradnl"/>
        </w:rPr>
        <w:t>ó</w:t>
      </w:r>
      <w:r>
        <w:rPr>
          <w:spacing w:val="-4"/>
          <w:sz w:val="18"/>
          <w:szCs w:val="18"/>
          <w:lang w:val="es-ES_tradnl"/>
        </w:rPr>
        <w:t xml:space="preserve">n administrativa vulneraba su derecho </w:t>
      </w:r>
      <w:r>
        <w:rPr>
          <w:sz w:val="18"/>
          <w:szCs w:val="18"/>
          <w:lang w:val="es-ES_tradnl"/>
        </w:rPr>
        <w:t>constitucional al trabajo.</w:t>
      </w:r>
    </w:p>
    <w:p w14:paraId="4F67AA34" w14:textId="77777777" w:rsidR="00591D54" w:rsidRDefault="00591D54">
      <w:pPr>
        <w:shd w:val="clear" w:color="auto" w:fill="FFFFFF"/>
        <w:spacing w:before="202" w:line="221" w:lineRule="exact"/>
        <w:jc w:val="both"/>
      </w:pPr>
      <w:r>
        <w:rPr>
          <w:spacing w:val="-1"/>
          <w:sz w:val="18"/>
          <w:szCs w:val="18"/>
          <w:lang w:val="es-ES_tradnl"/>
        </w:rPr>
        <w:t>Esta garant</w:t>
      </w:r>
      <w:r>
        <w:rPr>
          <w:rFonts w:cs="Times New Roman"/>
          <w:spacing w:val="-1"/>
          <w:sz w:val="18"/>
          <w:szCs w:val="18"/>
          <w:lang w:val="es-ES_tradnl"/>
        </w:rPr>
        <w:t>í</w:t>
      </w:r>
      <w:r>
        <w:rPr>
          <w:spacing w:val="-1"/>
          <w:sz w:val="18"/>
          <w:szCs w:val="18"/>
          <w:lang w:val="es-ES_tradnl"/>
        </w:rPr>
        <w:t xml:space="preserve">a jurisdiccional fue resuelta en primera </w:t>
      </w:r>
      <w:r>
        <w:rPr>
          <w:spacing w:val="-3"/>
          <w:sz w:val="18"/>
          <w:szCs w:val="18"/>
          <w:lang w:val="es-ES_tradnl"/>
        </w:rPr>
        <w:t>instancia por el juez d</w:t>
      </w:r>
      <w:r>
        <w:rPr>
          <w:rFonts w:cs="Times New Roman"/>
          <w:spacing w:val="-3"/>
          <w:sz w:val="18"/>
          <w:szCs w:val="18"/>
          <w:lang w:val="es-ES_tradnl"/>
        </w:rPr>
        <w:t>é</w:t>
      </w:r>
      <w:r>
        <w:rPr>
          <w:spacing w:val="-3"/>
          <w:sz w:val="18"/>
          <w:szCs w:val="18"/>
          <w:lang w:val="es-ES_tradnl"/>
        </w:rPr>
        <w:t xml:space="preserve">cimo cuarto de lo civil de Loja el </w:t>
      </w:r>
      <w:r>
        <w:rPr>
          <w:spacing w:val="-5"/>
          <w:sz w:val="18"/>
          <w:szCs w:val="18"/>
          <w:lang w:val="es-ES_tradnl"/>
        </w:rPr>
        <w:t>02 de febrero de 2010 a las 17h00, que acept</w:t>
      </w:r>
      <w:r>
        <w:rPr>
          <w:rFonts w:cs="Times New Roman"/>
          <w:spacing w:val="-5"/>
          <w:sz w:val="18"/>
          <w:szCs w:val="18"/>
          <w:lang w:val="es-ES_tradnl"/>
        </w:rPr>
        <w:t>ó</w:t>
      </w:r>
      <w:r>
        <w:rPr>
          <w:spacing w:val="-5"/>
          <w:sz w:val="18"/>
          <w:szCs w:val="18"/>
          <w:lang w:val="es-ES_tradnl"/>
        </w:rPr>
        <w:t xml:space="preserve"> la acci</w:t>
      </w:r>
      <w:r>
        <w:rPr>
          <w:rFonts w:cs="Times New Roman"/>
          <w:spacing w:val="-5"/>
          <w:sz w:val="18"/>
          <w:szCs w:val="18"/>
          <w:lang w:val="es-ES_tradnl"/>
        </w:rPr>
        <w:t>ó</w:t>
      </w:r>
      <w:r>
        <w:rPr>
          <w:spacing w:val="-5"/>
          <w:sz w:val="18"/>
          <w:szCs w:val="18"/>
          <w:lang w:val="es-ES_tradnl"/>
        </w:rPr>
        <w:t xml:space="preserve">n </w:t>
      </w:r>
      <w:r>
        <w:rPr>
          <w:spacing w:val="-6"/>
          <w:sz w:val="18"/>
          <w:szCs w:val="18"/>
          <w:lang w:val="es-ES_tradnl"/>
        </w:rPr>
        <w:t>de protecci</w:t>
      </w:r>
      <w:r>
        <w:rPr>
          <w:rFonts w:cs="Times New Roman"/>
          <w:spacing w:val="-6"/>
          <w:sz w:val="18"/>
          <w:szCs w:val="18"/>
          <w:lang w:val="es-ES_tradnl"/>
        </w:rPr>
        <w:t>ó</w:t>
      </w:r>
      <w:r>
        <w:rPr>
          <w:spacing w:val="-6"/>
          <w:sz w:val="18"/>
          <w:szCs w:val="18"/>
          <w:lang w:val="es-ES_tradnl"/>
        </w:rPr>
        <w:t xml:space="preserve">n y dispuso a los representantes municipales </w:t>
      </w:r>
      <w:r>
        <w:rPr>
          <w:spacing w:val="-4"/>
          <w:sz w:val="18"/>
          <w:szCs w:val="18"/>
          <w:lang w:val="es-ES_tradnl"/>
        </w:rPr>
        <w:t>la inmediata restituci</w:t>
      </w:r>
      <w:r>
        <w:rPr>
          <w:rFonts w:cs="Times New Roman"/>
          <w:spacing w:val="-4"/>
          <w:sz w:val="18"/>
          <w:szCs w:val="18"/>
          <w:lang w:val="es-ES_tradnl"/>
        </w:rPr>
        <w:t>ó</w:t>
      </w:r>
      <w:r>
        <w:rPr>
          <w:spacing w:val="-4"/>
          <w:sz w:val="18"/>
          <w:szCs w:val="18"/>
          <w:lang w:val="es-ES_tradnl"/>
        </w:rPr>
        <w:t>n de la accionante a su lugar de trabajo, esto es, al puesto N.</w:t>
      </w:r>
      <w:r>
        <w:rPr>
          <w:rFonts w:cs="Times New Roman"/>
          <w:spacing w:val="-4"/>
          <w:sz w:val="18"/>
          <w:szCs w:val="18"/>
          <w:lang w:val="es-ES_tradnl"/>
        </w:rPr>
        <w:t>º</w:t>
      </w:r>
      <w:r>
        <w:rPr>
          <w:spacing w:val="-4"/>
          <w:sz w:val="18"/>
          <w:szCs w:val="18"/>
          <w:lang w:val="es-ES_tradnl"/>
        </w:rPr>
        <w:t xml:space="preserve"> 20 del Centro Comercial </w:t>
      </w:r>
      <w:r>
        <w:rPr>
          <w:spacing w:val="-6"/>
          <w:sz w:val="18"/>
          <w:szCs w:val="18"/>
          <w:lang w:val="es-ES_tradnl"/>
        </w:rPr>
        <w:t>Paltense, y la emisi</w:t>
      </w:r>
      <w:r>
        <w:rPr>
          <w:rFonts w:cs="Times New Roman"/>
          <w:spacing w:val="-6"/>
          <w:sz w:val="18"/>
          <w:szCs w:val="18"/>
          <w:lang w:val="es-ES_tradnl"/>
        </w:rPr>
        <w:t>ó</w:t>
      </w:r>
      <w:r>
        <w:rPr>
          <w:spacing w:val="-6"/>
          <w:sz w:val="18"/>
          <w:szCs w:val="18"/>
          <w:lang w:val="es-ES_tradnl"/>
        </w:rPr>
        <w:t xml:space="preserve">n de los tickets de faenamiento a su </w:t>
      </w:r>
      <w:r>
        <w:rPr>
          <w:sz w:val="18"/>
          <w:szCs w:val="18"/>
          <w:lang w:val="es-ES_tradnl"/>
        </w:rPr>
        <w:t>favor.</w:t>
      </w:r>
    </w:p>
    <w:p w14:paraId="4F67AA35" w14:textId="77777777" w:rsidR="00591D54" w:rsidRDefault="00591D54">
      <w:pPr>
        <w:shd w:val="clear" w:color="auto" w:fill="FFFFFF"/>
        <w:spacing w:before="202" w:line="221" w:lineRule="exact"/>
        <w:jc w:val="both"/>
      </w:pPr>
      <w:r>
        <w:rPr>
          <w:spacing w:val="-7"/>
          <w:sz w:val="18"/>
          <w:szCs w:val="18"/>
          <w:lang w:val="es-ES_tradnl"/>
        </w:rPr>
        <w:t>Las partes procesales interpusieron recurso de apelaci</w:t>
      </w:r>
      <w:r>
        <w:rPr>
          <w:rFonts w:cs="Times New Roman"/>
          <w:spacing w:val="-7"/>
          <w:sz w:val="18"/>
          <w:szCs w:val="18"/>
          <w:lang w:val="es-ES_tradnl"/>
        </w:rPr>
        <w:t>ó</w:t>
      </w:r>
      <w:r>
        <w:rPr>
          <w:spacing w:val="-7"/>
          <w:sz w:val="18"/>
          <w:szCs w:val="18"/>
          <w:lang w:val="es-ES_tradnl"/>
        </w:rPr>
        <w:t xml:space="preserve">n, </w:t>
      </w:r>
      <w:r>
        <w:rPr>
          <w:spacing w:val="-4"/>
          <w:sz w:val="18"/>
          <w:szCs w:val="18"/>
          <w:lang w:val="es-ES_tradnl"/>
        </w:rPr>
        <w:t xml:space="preserve">el cual fue resuelto por los jueces de la Sala de lo Civil, </w:t>
      </w:r>
      <w:r>
        <w:rPr>
          <w:spacing w:val="-3"/>
          <w:sz w:val="18"/>
          <w:szCs w:val="18"/>
          <w:lang w:val="es-ES_tradnl"/>
        </w:rPr>
        <w:t xml:space="preserve">Mercantil, Inquilinato y Materias Residuales de la Corte </w:t>
      </w:r>
      <w:r>
        <w:rPr>
          <w:spacing w:val="-8"/>
          <w:sz w:val="18"/>
          <w:szCs w:val="18"/>
          <w:lang w:val="es-ES_tradnl"/>
        </w:rPr>
        <w:t xml:space="preserve">Provincial de Justicia de Loja el 05 de marzo de 2010 a las </w:t>
      </w:r>
      <w:r>
        <w:rPr>
          <w:spacing w:val="-9"/>
          <w:sz w:val="18"/>
          <w:szCs w:val="18"/>
          <w:lang w:val="es-ES_tradnl"/>
        </w:rPr>
        <w:t>09h42, desechando el recurso de apelaci</w:t>
      </w:r>
      <w:r>
        <w:rPr>
          <w:rFonts w:cs="Times New Roman"/>
          <w:spacing w:val="-9"/>
          <w:sz w:val="18"/>
          <w:szCs w:val="18"/>
          <w:lang w:val="es-ES_tradnl"/>
        </w:rPr>
        <w:t>ó</w:t>
      </w:r>
      <w:r>
        <w:rPr>
          <w:spacing w:val="-9"/>
          <w:sz w:val="18"/>
          <w:szCs w:val="18"/>
          <w:lang w:val="es-ES_tradnl"/>
        </w:rPr>
        <w:t xml:space="preserve">n presentado por </w:t>
      </w:r>
      <w:r>
        <w:rPr>
          <w:spacing w:val="-6"/>
          <w:sz w:val="18"/>
          <w:szCs w:val="18"/>
          <w:lang w:val="es-ES_tradnl"/>
        </w:rPr>
        <w:t xml:space="preserve">los representantes municipales y aceptando parcialmente </w:t>
      </w:r>
      <w:r>
        <w:rPr>
          <w:spacing w:val="-5"/>
          <w:sz w:val="18"/>
          <w:szCs w:val="18"/>
          <w:lang w:val="es-ES_tradnl"/>
        </w:rPr>
        <w:t xml:space="preserve">el de la accionante, confirmando la sentencia venida en </w:t>
      </w:r>
      <w:r>
        <w:rPr>
          <w:spacing w:val="-7"/>
          <w:sz w:val="18"/>
          <w:szCs w:val="18"/>
          <w:lang w:val="es-ES_tradnl"/>
        </w:rPr>
        <w:t>grado y reform</w:t>
      </w:r>
      <w:r>
        <w:rPr>
          <w:rFonts w:cs="Times New Roman"/>
          <w:spacing w:val="-7"/>
          <w:sz w:val="18"/>
          <w:szCs w:val="18"/>
          <w:lang w:val="es-ES_tradnl"/>
        </w:rPr>
        <w:t>á</w:t>
      </w:r>
      <w:r>
        <w:rPr>
          <w:spacing w:val="-7"/>
          <w:sz w:val="18"/>
          <w:szCs w:val="18"/>
          <w:lang w:val="es-ES_tradnl"/>
        </w:rPr>
        <w:t>ndola en cuanto al pago del da</w:t>
      </w:r>
      <w:r>
        <w:rPr>
          <w:rFonts w:cs="Times New Roman"/>
          <w:spacing w:val="-7"/>
          <w:sz w:val="18"/>
          <w:szCs w:val="18"/>
          <w:lang w:val="es-ES_tradnl"/>
        </w:rPr>
        <w:t>ñ</w:t>
      </w:r>
      <w:r>
        <w:rPr>
          <w:spacing w:val="-7"/>
          <w:sz w:val="18"/>
          <w:szCs w:val="18"/>
          <w:lang w:val="es-ES_tradnl"/>
        </w:rPr>
        <w:t>o material.</w:t>
      </w:r>
    </w:p>
    <w:p w14:paraId="4F67AA36" w14:textId="77777777" w:rsidR="00591D54" w:rsidRDefault="00591D54">
      <w:pPr>
        <w:shd w:val="clear" w:color="auto" w:fill="FFFFFF"/>
        <w:spacing w:before="202" w:line="221" w:lineRule="exact"/>
        <w:jc w:val="both"/>
      </w:pPr>
      <w:r>
        <w:rPr>
          <w:spacing w:val="-6"/>
          <w:sz w:val="18"/>
          <w:szCs w:val="18"/>
          <w:lang w:val="es-ES_tradnl"/>
        </w:rPr>
        <w:t xml:space="preserve">La accionante, en escrito del 19 de febrero de 2010 a las </w:t>
      </w:r>
      <w:r>
        <w:rPr>
          <w:spacing w:val="-8"/>
          <w:sz w:val="18"/>
          <w:szCs w:val="18"/>
          <w:lang w:val="es-ES_tradnl"/>
        </w:rPr>
        <w:t xml:space="preserve">15h00, constante a fojas 101 del expediente constitucional, </w:t>
      </w:r>
      <w:r>
        <w:rPr>
          <w:spacing w:val="-5"/>
          <w:sz w:val="18"/>
          <w:szCs w:val="18"/>
          <w:lang w:val="es-ES_tradnl"/>
        </w:rPr>
        <w:t>ha solicitado a la autoridad jurisdiccional el cumplimiento de la sentencia, enfatizando en la restituci</w:t>
      </w:r>
      <w:r>
        <w:rPr>
          <w:rFonts w:cs="Times New Roman"/>
          <w:spacing w:val="-5"/>
          <w:sz w:val="18"/>
          <w:szCs w:val="18"/>
          <w:lang w:val="es-ES_tradnl"/>
        </w:rPr>
        <w:t>ó</w:t>
      </w:r>
      <w:r>
        <w:rPr>
          <w:spacing w:val="-5"/>
          <w:sz w:val="18"/>
          <w:szCs w:val="18"/>
          <w:lang w:val="es-ES_tradnl"/>
        </w:rPr>
        <w:t xml:space="preserve">n a su puesto </w:t>
      </w:r>
      <w:r>
        <w:rPr>
          <w:sz w:val="18"/>
          <w:szCs w:val="18"/>
          <w:lang w:val="es-ES_tradnl"/>
        </w:rPr>
        <w:t>de trabajo.</w:t>
      </w:r>
    </w:p>
    <w:p w14:paraId="4F67AA37" w14:textId="77777777" w:rsidR="00591D54" w:rsidRDefault="00591D54">
      <w:pPr>
        <w:shd w:val="clear" w:color="auto" w:fill="FFFFFF"/>
        <w:spacing w:before="202" w:line="221" w:lineRule="exact"/>
        <w:jc w:val="both"/>
      </w:pPr>
      <w:r>
        <w:rPr>
          <w:sz w:val="18"/>
          <w:szCs w:val="18"/>
          <w:lang w:val="es-ES_tradnl"/>
        </w:rPr>
        <w:t>El juez d</w:t>
      </w:r>
      <w:r>
        <w:rPr>
          <w:rFonts w:cs="Times New Roman"/>
          <w:sz w:val="18"/>
          <w:szCs w:val="18"/>
          <w:lang w:val="es-ES_tradnl"/>
        </w:rPr>
        <w:t>é</w:t>
      </w:r>
      <w:r>
        <w:rPr>
          <w:sz w:val="18"/>
          <w:szCs w:val="18"/>
          <w:lang w:val="es-ES_tradnl"/>
        </w:rPr>
        <w:t xml:space="preserve">cimo cuarto de lo civil de Loja, con sede en </w:t>
      </w:r>
      <w:r>
        <w:rPr>
          <w:spacing w:val="-4"/>
          <w:sz w:val="18"/>
          <w:szCs w:val="18"/>
          <w:lang w:val="es-ES_tradnl"/>
        </w:rPr>
        <w:t>el cant</w:t>
      </w:r>
      <w:r>
        <w:rPr>
          <w:rFonts w:cs="Times New Roman"/>
          <w:spacing w:val="-4"/>
          <w:sz w:val="18"/>
          <w:szCs w:val="18"/>
          <w:lang w:val="es-ES_tradnl"/>
        </w:rPr>
        <w:t>ó</w:t>
      </w:r>
      <w:r>
        <w:rPr>
          <w:spacing w:val="-4"/>
          <w:sz w:val="18"/>
          <w:szCs w:val="18"/>
          <w:lang w:val="es-ES_tradnl"/>
        </w:rPr>
        <w:t>n Paltas, ofici</w:t>
      </w:r>
      <w:r>
        <w:rPr>
          <w:rFonts w:cs="Times New Roman"/>
          <w:spacing w:val="-4"/>
          <w:sz w:val="18"/>
          <w:szCs w:val="18"/>
          <w:lang w:val="es-ES_tradnl"/>
        </w:rPr>
        <w:t>ó</w:t>
      </w:r>
      <w:r>
        <w:rPr>
          <w:spacing w:val="-4"/>
          <w:sz w:val="18"/>
          <w:szCs w:val="18"/>
          <w:lang w:val="es-ES_tradnl"/>
        </w:rPr>
        <w:t xml:space="preserve"> a las autoridades municipales </w:t>
      </w:r>
      <w:r>
        <w:rPr>
          <w:spacing w:val="-6"/>
          <w:sz w:val="18"/>
          <w:szCs w:val="18"/>
          <w:lang w:val="es-ES_tradnl"/>
        </w:rPr>
        <w:t>disponiendo el acatamiento de car</w:t>
      </w:r>
      <w:r>
        <w:rPr>
          <w:rFonts w:cs="Times New Roman"/>
          <w:spacing w:val="-6"/>
          <w:sz w:val="18"/>
          <w:szCs w:val="18"/>
          <w:lang w:val="es-ES_tradnl"/>
        </w:rPr>
        <w:t>á</w:t>
      </w:r>
      <w:r>
        <w:rPr>
          <w:spacing w:val="-6"/>
          <w:sz w:val="18"/>
          <w:szCs w:val="18"/>
          <w:lang w:val="es-ES_tradnl"/>
        </w:rPr>
        <w:t xml:space="preserve">cter inmediato de la </w:t>
      </w:r>
      <w:r>
        <w:rPr>
          <w:spacing w:val="-8"/>
          <w:sz w:val="18"/>
          <w:szCs w:val="18"/>
          <w:lang w:val="es-ES_tradnl"/>
        </w:rPr>
        <w:t xml:space="preserve">sentencia, la misma que fue adjuntada al oficio respectivo. </w:t>
      </w:r>
      <w:r>
        <w:rPr>
          <w:spacing w:val="-5"/>
          <w:sz w:val="18"/>
          <w:szCs w:val="18"/>
          <w:lang w:val="es-ES_tradnl"/>
        </w:rPr>
        <w:t>En respuesta a dicha disposici</w:t>
      </w:r>
      <w:r>
        <w:rPr>
          <w:rFonts w:cs="Times New Roman"/>
          <w:spacing w:val="-5"/>
          <w:sz w:val="18"/>
          <w:szCs w:val="18"/>
          <w:lang w:val="es-ES_tradnl"/>
        </w:rPr>
        <w:t>ó</w:t>
      </w:r>
      <w:r>
        <w:rPr>
          <w:spacing w:val="-5"/>
          <w:sz w:val="18"/>
          <w:szCs w:val="18"/>
          <w:lang w:val="es-ES_tradnl"/>
        </w:rPr>
        <w:t xml:space="preserve">n, la municipalidad, el 04 </w:t>
      </w:r>
      <w:r>
        <w:rPr>
          <w:spacing w:val="-8"/>
          <w:sz w:val="18"/>
          <w:szCs w:val="18"/>
          <w:lang w:val="es-ES_tradnl"/>
        </w:rPr>
        <w:t>de noviembre de 2010, notific</w:t>
      </w:r>
      <w:r>
        <w:rPr>
          <w:rFonts w:cs="Times New Roman"/>
          <w:spacing w:val="-8"/>
          <w:sz w:val="18"/>
          <w:szCs w:val="18"/>
          <w:lang w:val="es-ES_tradnl"/>
        </w:rPr>
        <w:t>ó</w:t>
      </w:r>
      <w:r>
        <w:rPr>
          <w:spacing w:val="-8"/>
          <w:sz w:val="18"/>
          <w:szCs w:val="18"/>
          <w:lang w:val="es-ES_tradnl"/>
        </w:rPr>
        <w:t xml:space="preserve"> a la accionante haci</w:t>
      </w:r>
      <w:r>
        <w:rPr>
          <w:rFonts w:cs="Times New Roman"/>
          <w:spacing w:val="-8"/>
          <w:sz w:val="18"/>
          <w:szCs w:val="18"/>
          <w:lang w:val="es-ES_tradnl"/>
        </w:rPr>
        <w:t>é</w:t>
      </w:r>
      <w:r>
        <w:rPr>
          <w:spacing w:val="-8"/>
          <w:sz w:val="18"/>
          <w:szCs w:val="18"/>
          <w:lang w:val="es-ES_tradnl"/>
        </w:rPr>
        <w:t xml:space="preserve">ndole </w:t>
      </w:r>
      <w:r>
        <w:rPr>
          <w:spacing w:val="-6"/>
          <w:sz w:val="18"/>
          <w:szCs w:val="18"/>
          <w:lang w:val="es-ES_tradnl"/>
        </w:rPr>
        <w:t>conocer que ha planificado para el a</w:t>
      </w:r>
      <w:r>
        <w:rPr>
          <w:rFonts w:cs="Times New Roman"/>
          <w:spacing w:val="-6"/>
          <w:sz w:val="18"/>
          <w:szCs w:val="18"/>
          <w:lang w:val="es-ES_tradnl"/>
        </w:rPr>
        <w:t>ñ</w:t>
      </w:r>
      <w:r>
        <w:rPr>
          <w:spacing w:val="-6"/>
          <w:sz w:val="18"/>
          <w:szCs w:val="18"/>
          <w:lang w:val="es-ES_tradnl"/>
        </w:rPr>
        <w:t xml:space="preserve">o 2011 trabajos de </w:t>
      </w:r>
      <w:r>
        <w:rPr>
          <w:spacing w:val="-5"/>
          <w:sz w:val="18"/>
          <w:szCs w:val="18"/>
          <w:lang w:val="es-ES_tradnl"/>
        </w:rPr>
        <w:t>remodelaci</w:t>
      </w:r>
      <w:r>
        <w:rPr>
          <w:rFonts w:cs="Times New Roman"/>
          <w:spacing w:val="-5"/>
          <w:sz w:val="18"/>
          <w:szCs w:val="18"/>
          <w:lang w:val="es-ES_tradnl"/>
        </w:rPr>
        <w:t>ó</w:t>
      </w:r>
      <w:r>
        <w:rPr>
          <w:spacing w:val="-5"/>
          <w:sz w:val="18"/>
          <w:szCs w:val="18"/>
          <w:lang w:val="es-ES_tradnl"/>
        </w:rPr>
        <w:t xml:space="preserve">n del mercado Centro Comercial Paltense </w:t>
      </w:r>
      <w:r>
        <w:rPr>
          <w:spacing w:val="-3"/>
          <w:sz w:val="18"/>
          <w:szCs w:val="18"/>
          <w:lang w:val="es-ES_tradnl"/>
        </w:rPr>
        <w:t>interviniendo el local N.</w:t>
      </w:r>
      <w:r>
        <w:rPr>
          <w:rFonts w:cs="Times New Roman"/>
          <w:spacing w:val="-3"/>
          <w:sz w:val="18"/>
          <w:szCs w:val="18"/>
          <w:lang w:val="es-ES_tradnl"/>
        </w:rPr>
        <w:t>º</w:t>
      </w:r>
      <w:r>
        <w:rPr>
          <w:spacing w:val="-3"/>
          <w:sz w:val="18"/>
          <w:szCs w:val="18"/>
          <w:lang w:val="es-ES_tradnl"/>
        </w:rPr>
        <w:t xml:space="preserve"> 20, por lo que dispuso la </w:t>
      </w:r>
      <w:r>
        <w:rPr>
          <w:spacing w:val="-10"/>
          <w:sz w:val="18"/>
          <w:szCs w:val="18"/>
          <w:lang w:val="es-ES_tradnl"/>
        </w:rPr>
        <w:t>desocupaci</w:t>
      </w:r>
      <w:r>
        <w:rPr>
          <w:rFonts w:cs="Times New Roman"/>
          <w:spacing w:val="-10"/>
          <w:sz w:val="18"/>
          <w:szCs w:val="18"/>
          <w:lang w:val="es-ES_tradnl"/>
        </w:rPr>
        <w:t>ó</w:t>
      </w:r>
      <w:r>
        <w:rPr>
          <w:spacing w:val="-10"/>
          <w:sz w:val="18"/>
          <w:szCs w:val="18"/>
          <w:lang w:val="es-ES_tradnl"/>
        </w:rPr>
        <w:t>n del mismo en sesenta d</w:t>
      </w:r>
      <w:r>
        <w:rPr>
          <w:rFonts w:cs="Times New Roman"/>
          <w:spacing w:val="-10"/>
          <w:sz w:val="18"/>
          <w:szCs w:val="18"/>
          <w:lang w:val="es-ES_tradnl"/>
        </w:rPr>
        <w:t>í</w:t>
      </w:r>
      <w:r>
        <w:rPr>
          <w:spacing w:val="-10"/>
          <w:sz w:val="18"/>
          <w:szCs w:val="18"/>
          <w:lang w:val="es-ES_tradnl"/>
        </w:rPr>
        <w:t>as, y no se la reubic</w:t>
      </w:r>
      <w:r>
        <w:rPr>
          <w:rFonts w:cs="Times New Roman"/>
          <w:spacing w:val="-10"/>
          <w:sz w:val="18"/>
          <w:szCs w:val="18"/>
          <w:lang w:val="es-ES_tradnl"/>
        </w:rPr>
        <w:t xml:space="preserve">ó </w:t>
      </w:r>
      <w:r>
        <w:rPr>
          <w:spacing w:val="-6"/>
          <w:sz w:val="18"/>
          <w:szCs w:val="18"/>
          <w:lang w:val="es-ES_tradnl"/>
        </w:rPr>
        <w:t>debido a que la accionante no legaliz</w:t>
      </w:r>
      <w:r>
        <w:rPr>
          <w:rFonts w:cs="Times New Roman"/>
          <w:spacing w:val="-6"/>
          <w:sz w:val="18"/>
          <w:szCs w:val="18"/>
          <w:lang w:val="es-ES_tradnl"/>
        </w:rPr>
        <w:t>ó</w:t>
      </w:r>
      <w:r>
        <w:rPr>
          <w:spacing w:val="-6"/>
          <w:sz w:val="18"/>
          <w:szCs w:val="18"/>
          <w:lang w:val="es-ES_tradnl"/>
        </w:rPr>
        <w:t xml:space="preserve"> el correspondiente contrato de arrendamiento para el a</w:t>
      </w:r>
      <w:r>
        <w:rPr>
          <w:rFonts w:cs="Times New Roman"/>
          <w:spacing w:val="-6"/>
          <w:sz w:val="18"/>
          <w:szCs w:val="18"/>
          <w:lang w:val="es-ES_tradnl"/>
        </w:rPr>
        <w:t>ñ</w:t>
      </w:r>
      <w:r>
        <w:rPr>
          <w:spacing w:val="-6"/>
          <w:sz w:val="18"/>
          <w:szCs w:val="18"/>
          <w:lang w:val="es-ES_tradnl"/>
        </w:rPr>
        <w:t>o 2010.</w:t>
      </w:r>
    </w:p>
    <w:p w14:paraId="4F67AA38" w14:textId="77777777" w:rsidR="00591D54" w:rsidRDefault="00591D54">
      <w:pPr>
        <w:shd w:val="clear" w:color="auto" w:fill="FFFFFF"/>
        <w:spacing w:before="202" w:line="221" w:lineRule="exact"/>
        <w:jc w:val="both"/>
      </w:pPr>
      <w:r>
        <w:rPr>
          <w:sz w:val="18"/>
          <w:szCs w:val="18"/>
          <w:lang w:val="es-ES_tradnl"/>
        </w:rPr>
        <w:t xml:space="preserve">La legitimada activa, el 27 de diciembre de 2010 a </w:t>
      </w:r>
      <w:r>
        <w:rPr>
          <w:spacing w:val="-5"/>
          <w:sz w:val="18"/>
          <w:szCs w:val="18"/>
          <w:lang w:val="es-ES_tradnl"/>
        </w:rPr>
        <w:t>las 09h00, requiri</w:t>
      </w:r>
      <w:r>
        <w:rPr>
          <w:rFonts w:cs="Times New Roman"/>
          <w:spacing w:val="-5"/>
          <w:sz w:val="18"/>
          <w:szCs w:val="18"/>
          <w:lang w:val="es-ES_tradnl"/>
        </w:rPr>
        <w:t>ó</w:t>
      </w:r>
      <w:r>
        <w:rPr>
          <w:spacing w:val="-5"/>
          <w:sz w:val="18"/>
          <w:szCs w:val="18"/>
          <w:lang w:val="es-ES_tradnl"/>
        </w:rPr>
        <w:t xml:space="preserve"> al juez sustanciador disponer el </w:t>
      </w:r>
      <w:r>
        <w:rPr>
          <w:spacing w:val="-6"/>
          <w:sz w:val="18"/>
          <w:szCs w:val="18"/>
          <w:lang w:val="es-ES_tradnl"/>
        </w:rPr>
        <w:t>cumplimiento del fallo, por lo que volvi</w:t>
      </w:r>
      <w:r>
        <w:rPr>
          <w:rFonts w:cs="Times New Roman"/>
          <w:spacing w:val="-6"/>
          <w:sz w:val="18"/>
          <w:szCs w:val="18"/>
          <w:lang w:val="es-ES_tradnl"/>
        </w:rPr>
        <w:t>ó</w:t>
      </w:r>
      <w:r>
        <w:rPr>
          <w:spacing w:val="-6"/>
          <w:sz w:val="18"/>
          <w:szCs w:val="18"/>
          <w:lang w:val="es-ES_tradnl"/>
        </w:rPr>
        <w:t xml:space="preserve"> a oficiar a dichos </w:t>
      </w:r>
      <w:r>
        <w:rPr>
          <w:spacing w:val="-8"/>
          <w:sz w:val="18"/>
          <w:szCs w:val="18"/>
          <w:lang w:val="es-ES_tradnl"/>
        </w:rPr>
        <w:t xml:space="preserve">funcionarios bajo prevenciones de ley, ya que no han dado </w:t>
      </w:r>
      <w:r>
        <w:rPr>
          <w:sz w:val="18"/>
          <w:szCs w:val="18"/>
          <w:lang w:val="es-ES_tradnl"/>
        </w:rPr>
        <w:t>cumplimiento al fallo.</w:t>
      </w:r>
    </w:p>
    <w:p w14:paraId="4F67AA39" w14:textId="77777777" w:rsidR="00591D54" w:rsidRDefault="00591D54">
      <w:pPr>
        <w:shd w:val="clear" w:color="auto" w:fill="FFFFFF"/>
        <w:spacing w:before="202" w:line="221" w:lineRule="exact"/>
        <w:jc w:val="both"/>
      </w:pPr>
      <w:r>
        <w:rPr>
          <w:spacing w:val="-3"/>
          <w:sz w:val="18"/>
          <w:szCs w:val="18"/>
          <w:lang w:val="es-ES_tradnl"/>
        </w:rPr>
        <w:t xml:space="preserve">La municipalidad, en escrito del 07 de enero de 2011 a las 09h00, ha reconocido expresamente que mediante </w:t>
      </w:r>
      <w:r>
        <w:rPr>
          <w:sz w:val="18"/>
          <w:szCs w:val="18"/>
          <w:lang w:val="es-ES_tradnl"/>
        </w:rPr>
        <w:t>oficio N.</w:t>
      </w:r>
      <w:r>
        <w:rPr>
          <w:rFonts w:cs="Times New Roman"/>
          <w:sz w:val="18"/>
          <w:szCs w:val="18"/>
          <w:lang w:val="es-ES_tradnl"/>
        </w:rPr>
        <w:t>º</w:t>
      </w:r>
      <w:r>
        <w:rPr>
          <w:sz w:val="18"/>
          <w:szCs w:val="18"/>
          <w:lang w:val="es-ES_tradnl"/>
        </w:rPr>
        <w:t xml:space="preserve"> 176-DP-GLP-2010, el jefe de planificaci</w:t>
      </w:r>
      <w:r>
        <w:rPr>
          <w:rFonts w:cs="Times New Roman"/>
          <w:sz w:val="18"/>
          <w:szCs w:val="18"/>
          <w:lang w:val="es-ES_tradnl"/>
        </w:rPr>
        <w:t>ó</w:t>
      </w:r>
      <w:r>
        <w:rPr>
          <w:sz w:val="18"/>
          <w:szCs w:val="18"/>
          <w:lang w:val="es-ES_tradnl"/>
        </w:rPr>
        <w:t>n</w:t>
      </w:r>
    </w:p>
    <w:p w14:paraId="4F67AA3A" w14:textId="77777777" w:rsidR="00591D54" w:rsidRDefault="00591D54">
      <w:pPr>
        <w:shd w:val="clear" w:color="auto" w:fill="FFFFFF"/>
        <w:spacing w:line="202" w:lineRule="exact"/>
        <w:ind w:right="5"/>
        <w:jc w:val="both"/>
      </w:pPr>
      <w:r>
        <w:br w:type="column"/>
      </w:r>
      <w:r>
        <w:rPr>
          <w:sz w:val="18"/>
          <w:szCs w:val="18"/>
          <w:lang w:val="es-ES_tradnl"/>
        </w:rPr>
        <w:t>orden</w:t>
      </w:r>
      <w:r>
        <w:rPr>
          <w:rFonts w:cs="Times New Roman"/>
          <w:sz w:val="18"/>
          <w:szCs w:val="18"/>
          <w:lang w:val="es-ES_tradnl"/>
        </w:rPr>
        <w:t>ó</w:t>
      </w:r>
      <w:r>
        <w:rPr>
          <w:sz w:val="18"/>
          <w:szCs w:val="18"/>
          <w:lang w:val="es-ES_tradnl"/>
        </w:rPr>
        <w:t xml:space="preserve"> al comisario municipal el desalojo de varios </w:t>
      </w:r>
      <w:r>
        <w:rPr>
          <w:spacing w:val="-6"/>
          <w:sz w:val="18"/>
          <w:szCs w:val="18"/>
          <w:lang w:val="es-ES_tradnl"/>
        </w:rPr>
        <w:t>locales comerciales, entre ellos el n</w:t>
      </w:r>
      <w:r>
        <w:rPr>
          <w:rFonts w:cs="Times New Roman"/>
          <w:spacing w:val="-6"/>
          <w:sz w:val="18"/>
          <w:szCs w:val="18"/>
          <w:lang w:val="es-ES_tradnl"/>
        </w:rPr>
        <w:t>ú</w:t>
      </w:r>
      <w:r>
        <w:rPr>
          <w:spacing w:val="-6"/>
          <w:sz w:val="18"/>
          <w:szCs w:val="18"/>
          <w:lang w:val="es-ES_tradnl"/>
        </w:rPr>
        <w:t xml:space="preserve">mero veinte, a fin de </w:t>
      </w:r>
      <w:r>
        <w:rPr>
          <w:sz w:val="18"/>
          <w:szCs w:val="18"/>
          <w:lang w:val="es-ES_tradnl"/>
        </w:rPr>
        <w:t>intervenirlos y adecuarlos.</w:t>
      </w:r>
    </w:p>
    <w:p w14:paraId="4F67AA3B" w14:textId="77777777" w:rsidR="00591D54" w:rsidRDefault="00591D54">
      <w:pPr>
        <w:shd w:val="clear" w:color="auto" w:fill="FFFFFF"/>
        <w:spacing w:before="182" w:line="202" w:lineRule="exact"/>
        <w:jc w:val="both"/>
      </w:pPr>
      <w:r>
        <w:rPr>
          <w:spacing w:val="-5"/>
          <w:sz w:val="18"/>
          <w:szCs w:val="18"/>
          <w:lang w:val="es-ES_tradnl"/>
        </w:rPr>
        <w:t xml:space="preserve">El 10 de febrero de 2011 a las 08h30, las autoridades </w:t>
      </w:r>
      <w:r>
        <w:rPr>
          <w:spacing w:val="-8"/>
          <w:sz w:val="18"/>
          <w:szCs w:val="18"/>
          <w:lang w:val="es-ES_tradnl"/>
        </w:rPr>
        <w:t xml:space="preserve">municipales hicieron la entrega del puesto en presencia del </w:t>
      </w:r>
      <w:r>
        <w:rPr>
          <w:spacing w:val="-6"/>
          <w:sz w:val="18"/>
          <w:szCs w:val="18"/>
          <w:lang w:val="es-ES_tradnl"/>
        </w:rPr>
        <w:t xml:space="preserve">juez y secretario de la judicatura; sin embargo, en escrito </w:t>
      </w:r>
      <w:r>
        <w:rPr>
          <w:spacing w:val="-9"/>
          <w:sz w:val="18"/>
          <w:szCs w:val="18"/>
          <w:lang w:val="es-ES_tradnl"/>
        </w:rPr>
        <w:t xml:space="preserve">del 24 de febrero de 2011 a las 08h00, la accionante insiste </w:t>
      </w:r>
      <w:r>
        <w:rPr>
          <w:spacing w:val="-5"/>
          <w:sz w:val="18"/>
          <w:szCs w:val="18"/>
          <w:lang w:val="es-ES_tradnl"/>
        </w:rPr>
        <w:t>en que no se la ha restituido a su lugar de trabajo, por lo que solicita la destituci</w:t>
      </w:r>
      <w:r>
        <w:rPr>
          <w:rFonts w:cs="Times New Roman"/>
          <w:spacing w:val="-5"/>
          <w:sz w:val="18"/>
          <w:szCs w:val="18"/>
          <w:lang w:val="es-ES_tradnl"/>
        </w:rPr>
        <w:t>ó</w:t>
      </w:r>
      <w:r>
        <w:rPr>
          <w:spacing w:val="-5"/>
          <w:sz w:val="18"/>
          <w:szCs w:val="18"/>
          <w:lang w:val="es-ES_tradnl"/>
        </w:rPr>
        <w:t xml:space="preserve">n del comisario municipal, puesto </w:t>
      </w:r>
      <w:r>
        <w:rPr>
          <w:spacing w:val="-3"/>
          <w:sz w:val="18"/>
          <w:szCs w:val="18"/>
          <w:lang w:val="es-ES_tradnl"/>
        </w:rPr>
        <w:t>que si bien es cierto le permitieron trabajar unos d</w:t>
      </w:r>
      <w:r>
        <w:rPr>
          <w:rFonts w:cs="Times New Roman"/>
          <w:spacing w:val="-3"/>
          <w:sz w:val="18"/>
          <w:szCs w:val="18"/>
          <w:lang w:val="es-ES_tradnl"/>
        </w:rPr>
        <w:t>í</w:t>
      </w:r>
      <w:r>
        <w:rPr>
          <w:spacing w:val="-3"/>
          <w:sz w:val="18"/>
          <w:szCs w:val="18"/>
          <w:lang w:val="es-ES_tradnl"/>
        </w:rPr>
        <w:t xml:space="preserve">as, </w:t>
      </w:r>
      <w:r>
        <w:rPr>
          <w:spacing w:val="-6"/>
          <w:sz w:val="18"/>
          <w:szCs w:val="18"/>
          <w:lang w:val="es-ES_tradnl"/>
        </w:rPr>
        <w:t>inmediatamente las autoridades una vez m</w:t>
      </w:r>
      <w:r>
        <w:rPr>
          <w:rFonts w:cs="Times New Roman"/>
          <w:spacing w:val="-6"/>
          <w:sz w:val="18"/>
          <w:szCs w:val="18"/>
          <w:lang w:val="es-ES_tradnl"/>
        </w:rPr>
        <w:t>á</w:t>
      </w:r>
      <w:r>
        <w:rPr>
          <w:spacing w:val="-6"/>
          <w:sz w:val="18"/>
          <w:szCs w:val="18"/>
          <w:lang w:val="es-ES_tradnl"/>
        </w:rPr>
        <w:t>s procedieron a perturbarla, provocando que no se logre una reparaci</w:t>
      </w:r>
      <w:r>
        <w:rPr>
          <w:rFonts w:cs="Times New Roman"/>
          <w:spacing w:val="-6"/>
          <w:sz w:val="18"/>
          <w:szCs w:val="18"/>
          <w:lang w:val="es-ES_tradnl"/>
        </w:rPr>
        <w:t>ó</w:t>
      </w:r>
      <w:r>
        <w:rPr>
          <w:spacing w:val="-6"/>
          <w:sz w:val="18"/>
          <w:szCs w:val="18"/>
          <w:lang w:val="es-ES_tradnl"/>
        </w:rPr>
        <w:t xml:space="preserve">n </w:t>
      </w:r>
      <w:r>
        <w:rPr>
          <w:sz w:val="18"/>
          <w:szCs w:val="18"/>
          <w:lang w:val="es-ES_tradnl"/>
        </w:rPr>
        <w:t>integral de sus derechos.</w:t>
      </w:r>
    </w:p>
    <w:p w14:paraId="4F67AA3C" w14:textId="77777777" w:rsidR="00591D54" w:rsidRDefault="00591D54">
      <w:pPr>
        <w:shd w:val="clear" w:color="auto" w:fill="FFFFFF"/>
        <w:spacing w:before="182" w:line="202" w:lineRule="exact"/>
        <w:jc w:val="both"/>
      </w:pPr>
      <w:r>
        <w:rPr>
          <w:sz w:val="18"/>
          <w:szCs w:val="18"/>
          <w:lang w:val="es-ES_tradnl"/>
        </w:rPr>
        <w:t>De ah</w:t>
      </w:r>
      <w:r>
        <w:rPr>
          <w:rFonts w:cs="Times New Roman"/>
          <w:sz w:val="18"/>
          <w:szCs w:val="18"/>
          <w:lang w:val="es-ES_tradnl"/>
        </w:rPr>
        <w:t>í</w:t>
      </w:r>
      <w:r>
        <w:rPr>
          <w:sz w:val="18"/>
          <w:szCs w:val="18"/>
          <w:lang w:val="es-ES_tradnl"/>
        </w:rPr>
        <w:t xml:space="preserve"> que el 18 de mayo de 2011 a las 12h40, </w:t>
      </w:r>
      <w:r>
        <w:rPr>
          <w:spacing w:val="-2"/>
          <w:sz w:val="18"/>
          <w:szCs w:val="18"/>
          <w:lang w:val="es-ES_tradnl"/>
        </w:rPr>
        <w:t>Herlinda Cris</w:t>
      </w:r>
      <w:r>
        <w:rPr>
          <w:rFonts w:cs="Times New Roman"/>
          <w:spacing w:val="-2"/>
          <w:sz w:val="18"/>
          <w:szCs w:val="18"/>
          <w:lang w:val="es-ES_tradnl"/>
        </w:rPr>
        <w:t>á</w:t>
      </w:r>
      <w:r>
        <w:rPr>
          <w:spacing w:val="-2"/>
          <w:sz w:val="18"/>
          <w:szCs w:val="18"/>
          <w:lang w:val="es-ES_tradnl"/>
        </w:rPr>
        <w:t>lida Armijos Tinoco present</w:t>
      </w:r>
      <w:r>
        <w:rPr>
          <w:rFonts w:cs="Times New Roman"/>
          <w:spacing w:val="-2"/>
          <w:sz w:val="18"/>
          <w:szCs w:val="18"/>
          <w:lang w:val="es-ES_tradnl"/>
        </w:rPr>
        <w:t>ó</w:t>
      </w:r>
      <w:r>
        <w:rPr>
          <w:spacing w:val="-2"/>
          <w:sz w:val="18"/>
          <w:szCs w:val="18"/>
          <w:lang w:val="es-ES_tradnl"/>
        </w:rPr>
        <w:t xml:space="preserve"> acci</w:t>
      </w:r>
      <w:r>
        <w:rPr>
          <w:rFonts w:cs="Times New Roman"/>
          <w:spacing w:val="-2"/>
          <w:sz w:val="18"/>
          <w:szCs w:val="18"/>
          <w:lang w:val="es-ES_tradnl"/>
        </w:rPr>
        <w:t>ó</w:t>
      </w:r>
      <w:r>
        <w:rPr>
          <w:spacing w:val="-2"/>
          <w:sz w:val="18"/>
          <w:szCs w:val="18"/>
          <w:lang w:val="es-ES_tradnl"/>
        </w:rPr>
        <w:t xml:space="preserve">n de </w:t>
      </w:r>
      <w:r>
        <w:rPr>
          <w:spacing w:val="-4"/>
          <w:sz w:val="18"/>
          <w:szCs w:val="18"/>
          <w:lang w:val="es-ES_tradnl"/>
        </w:rPr>
        <w:t xml:space="preserve">incumplimiento de sentencia ante esta Magistratura </w:t>
      </w:r>
      <w:r>
        <w:rPr>
          <w:sz w:val="18"/>
          <w:szCs w:val="18"/>
          <w:lang w:val="es-ES_tradnl"/>
        </w:rPr>
        <w:t>Constitucional.</w:t>
      </w:r>
    </w:p>
    <w:p w14:paraId="4F67AA3D" w14:textId="77777777" w:rsidR="00591D54" w:rsidRDefault="00591D54">
      <w:pPr>
        <w:shd w:val="clear" w:color="auto" w:fill="FFFFFF"/>
        <w:spacing w:before="178" w:line="202" w:lineRule="exact"/>
        <w:ind w:right="5"/>
        <w:jc w:val="both"/>
      </w:pPr>
      <w:r>
        <w:rPr>
          <w:b/>
          <w:bCs/>
          <w:spacing w:val="-11"/>
          <w:sz w:val="18"/>
          <w:szCs w:val="18"/>
          <w:lang w:val="es-ES_tradnl"/>
        </w:rPr>
        <w:t xml:space="preserve">Detalle y fundamentos de la demanda de incumplimiento </w:t>
      </w:r>
      <w:r>
        <w:rPr>
          <w:b/>
          <w:bCs/>
          <w:sz w:val="18"/>
          <w:szCs w:val="18"/>
          <w:lang w:val="es-ES_tradnl"/>
        </w:rPr>
        <w:t>de sentencia</w:t>
      </w:r>
    </w:p>
    <w:p w14:paraId="4F67AA3E" w14:textId="77777777" w:rsidR="00591D54" w:rsidRDefault="00591D54">
      <w:pPr>
        <w:shd w:val="clear" w:color="auto" w:fill="FFFFFF"/>
        <w:spacing w:before="182" w:line="202" w:lineRule="exact"/>
        <w:jc w:val="both"/>
      </w:pPr>
      <w:r>
        <w:rPr>
          <w:sz w:val="18"/>
          <w:szCs w:val="18"/>
          <w:lang w:val="es-ES_tradnl"/>
        </w:rPr>
        <w:t xml:space="preserve">La legitimada activa comparece ante la Corte </w:t>
      </w:r>
      <w:r>
        <w:rPr>
          <w:spacing w:val="-4"/>
          <w:sz w:val="18"/>
          <w:szCs w:val="18"/>
          <w:lang w:val="es-ES_tradnl"/>
        </w:rPr>
        <w:t>Constitucional, se</w:t>
      </w:r>
      <w:r>
        <w:rPr>
          <w:rFonts w:cs="Times New Roman"/>
          <w:spacing w:val="-4"/>
          <w:sz w:val="18"/>
          <w:szCs w:val="18"/>
          <w:lang w:val="es-ES_tradnl"/>
        </w:rPr>
        <w:t>ñ</w:t>
      </w:r>
      <w:r>
        <w:rPr>
          <w:spacing w:val="-4"/>
          <w:sz w:val="18"/>
          <w:szCs w:val="18"/>
          <w:lang w:val="es-ES_tradnl"/>
        </w:rPr>
        <w:t>alando que el municipio del cant</w:t>
      </w:r>
      <w:r>
        <w:rPr>
          <w:rFonts w:cs="Times New Roman"/>
          <w:spacing w:val="-4"/>
          <w:sz w:val="18"/>
          <w:szCs w:val="18"/>
          <w:lang w:val="es-ES_tradnl"/>
        </w:rPr>
        <w:t>ó</w:t>
      </w:r>
      <w:r>
        <w:rPr>
          <w:spacing w:val="-4"/>
          <w:sz w:val="18"/>
          <w:szCs w:val="18"/>
          <w:lang w:val="es-ES_tradnl"/>
        </w:rPr>
        <w:t xml:space="preserve">n </w:t>
      </w:r>
      <w:r>
        <w:rPr>
          <w:spacing w:val="-6"/>
          <w:sz w:val="18"/>
          <w:szCs w:val="18"/>
          <w:lang w:val="es-ES_tradnl"/>
        </w:rPr>
        <w:t xml:space="preserve">Paltas y el comisario municipal no han dado cumplimiento </w:t>
      </w:r>
      <w:r>
        <w:rPr>
          <w:spacing w:val="-2"/>
          <w:sz w:val="18"/>
          <w:szCs w:val="18"/>
          <w:lang w:val="es-ES_tradnl"/>
        </w:rPr>
        <w:t>a la sentencia emitida por el juez d</w:t>
      </w:r>
      <w:r>
        <w:rPr>
          <w:rFonts w:cs="Times New Roman"/>
          <w:spacing w:val="-2"/>
          <w:sz w:val="18"/>
          <w:szCs w:val="18"/>
          <w:lang w:val="es-ES_tradnl"/>
        </w:rPr>
        <w:t>é</w:t>
      </w:r>
      <w:r>
        <w:rPr>
          <w:spacing w:val="-2"/>
          <w:sz w:val="18"/>
          <w:szCs w:val="18"/>
          <w:lang w:val="es-ES_tradnl"/>
        </w:rPr>
        <w:t xml:space="preserve">cimo cuarto </w:t>
      </w:r>
      <w:r>
        <w:rPr>
          <w:spacing w:val="-7"/>
          <w:sz w:val="18"/>
          <w:szCs w:val="18"/>
          <w:lang w:val="es-ES_tradnl"/>
        </w:rPr>
        <w:t xml:space="preserve">multicompetente de Loja, que fue ratificada por la Sala de </w:t>
      </w:r>
      <w:r>
        <w:rPr>
          <w:spacing w:val="-2"/>
          <w:sz w:val="18"/>
          <w:szCs w:val="18"/>
          <w:lang w:val="es-ES_tradnl"/>
        </w:rPr>
        <w:t xml:space="preserve">lo Civil, Mercantil, Inquilinato y Materias Residuales de </w:t>
      </w:r>
      <w:r>
        <w:rPr>
          <w:sz w:val="18"/>
          <w:szCs w:val="18"/>
          <w:lang w:val="es-ES_tradnl"/>
        </w:rPr>
        <w:t>la Corte Provincial de Justicia de Loja.</w:t>
      </w:r>
    </w:p>
    <w:p w14:paraId="4F67AA3F" w14:textId="77777777" w:rsidR="00591D54" w:rsidRDefault="00591D54">
      <w:pPr>
        <w:shd w:val="clear" w:color="auto" w:fill="FFFFFF"/>
        <w:spacing w:before="182" w:line="202" w:lineRule="exact"/>
        <w:jc w:val="both"/>
      </w:pPr>
      <w:r>
        <w:rPr>
          <w:spacing w:val="-8"/>
          <w:sz w:val="18"/>
          <w:szCs w:val="18"/>
          <w:lang w:val="es-ES_tradnl"/>
        </w:rPr>
        <w:t>La accionante aduce que ejecutoriado el fallo de apelaci</w:t>
      </w:r>
      <w:r>
        <w:rPr>
          <w:rFonts w:cs="Times New Roman"/>
          <w:spacing w:val="-8"/>
          <w:sz w:val="18"/>
          <w:szCs w:val="18"/>
          <w:lang w:val="es-ES_tradnl"/>
        </w:rPr>
        <w:t>ó</w:t>
      </w:r>
      <w:r>
        <w:rPr>
          <w:spacing w:val="-8"/>
          <w:sz w:val="18"/>
          <w:szCs w:val="18"/>
          <w:lang w:val="es-ES_tradnl"/>
        </w:rPr>
        <w:t>n, el expediente regres</w:t>
      </w:r>
      <w:r>
        <w:rPr>
          <w:rFonts w:cs="Times New Roman"/>
          <w:spacing w:val="-8"/>
          <w:sz w:val="18"/>
          <w:szCs w:val="18"/>
          <w:lang w:val="es-ES_tradnl"/>
        </w:rPr>
        <w:t>ó</w:t>
      </w:r>
      <w:r>
        <w:rPr>
          <w:spacing w:val="-8"/>
          <w:sz w:val="18"/>
          <w:szCs w:val="18"/>
          <w:lang w:val="es-ES_tradnl"/>
        </w:rPr>
        <w:t xml:space="preserve"> al juzgado de origen el 27 de abril de </w:t>
      </w:r>
      <w:r>
        <w:rPr>
          <w:spacing w:val="-10"/>
          <w:sz w:val="18"/>
          <w:szCs w:val="18"/>
          <w:lang w:val="es-ES_tradnl"/>
        </w:rPr>
        <w:t xml:space="preserve">2010, para que se ejecute lo dispuesto; sin embargo, pese a </w:t>
      </w:r>
      <w:r>
        <w:rPr>
          <w:spacing w:val="-9"/>
          <w:sz w:val="18"/>
          <w:szCs w:val="18"/>
          <w:lang w:val="es-ES_tradnl"/>
        </w:rPr>
        <w:t xml:space="preserve">que el juez </w:t>
      </w:r>
      <w:r>
        <w:rPr>
          <w:i/>
          <w:iCs/>
          <w:spacing w:val="-9"/>
          <w:sz w:val="18"/>
          <w:szCs w:val="18"/>
          <w:lang w:val="es-ES_tradnl"/>
        </w:rPr>
        <w:t xml:space="preserve">a quo </w:t>
      </w:r>
      <w:r>
        <w:rPr>
          <w:spacing w:val="-9"/>
          <w:sz w:val="18"/>
          <w:szCs w:val="18"/>
          <w:lang w:val="es-ES_tradnl"/>
        </w:rPr>
        <w:t>en m</w:t>
      </w:r>
      <w:r>
        <w:rPr>
          <w:rFonts w:cs="Times New Roman"/>
          <w:spacing w:val="-9"/>
          <w:sz w:val="18"/>
          <w:szCs w:val="18"/>
          <w:lang w:val="es-ES_tradnl"/>
        </w:rPr>
        <w:t>á</w:t>
      </w:r>
      <w:r>
        <w:rPr>
          <w:spacing w:val="-9"/>
          <w:sz w:val="18"/>
          <w:szCs w:val="18"/>
          <w:lang w:val="es-ES_tradnl"/>
        </w:rPr>
        <w:t>s de una ocasi</w:t>
      </w:r>
      <w:r>
        <w:rPr>
          <w:rFonts w:cs="Times New Roman"/>
          <w:spacing w:val="-9"/>
          <w:sz w:val="18"/>
          <w:szCs w:val="18"/>
          <w:lang w:val="es-ES_tradnl"/>
        </w:rPr>
        <w:t>ó</w:t>
      </w:r>
      <w:r>
        <w:rPr>
          <w:spacing w:val="-9"/>
          <w:sz w:val="18"/>
          <w:szCs w:val="18"/>
          <w:lang w:val="es-ES_tradnl"/>
        </w:rPr>
        <w:t xml:space="preserve">n ha solicitado a las </w:t>
      </w:r>
      <w:r>
        <w:rPr>
          <w:spacing w:val="-4"/>
          <w:sz w:val="18"/>
          <w:szCs w:val="18"/>
          <w:lang w:val="es-ES_tradnl"/>
        </w:rPr>
        <w:t xml:space="preserve">autoridades municipales el acatamiento y cumplimiento </w:t>
      </w:r>
      <w:r>
        <w:rPr>
          <w:spacing w:val="-8"/>
          <w:sz w:val="18"/>
          <w:szCs w:val="18"/>
          <w:lang w:val="es-ES_tradnl"/>
        </w:rPr>
        <w:t xml:space="preserve">de las mencionadas sentencias, haciendo caso omiso a su </w:t>
      </w:r>
      <w:r>
        <w:rPr>
          <w:spacing w:val="-5"/>
          <w:sz w:val="18"/>
          <w:szCs w:val="18"/>
          <w:lang w:val="es-ES_tradnl"/>
        </w:rPr>
        <w:t>obligaci</w:t>
      </w:r>
      <w:r>
        <w:rPr>
          <w:rFonts w:cs="Times New Roman"/>
          <w:spacing w:val="-5"/>
          <w:sz w:val="18"/>
          <w:szCs w:val="18"/>
          <w:lang w:val="es-ES_tradnl"/>
        </w:rPr>
        <w:t>ó</w:t>
      </w:r>
      <w:r>
        <w:rPr>
          <w:spacing w:val="-5"/>
          <w:sz w:val="18"/>
          <w:szCs w:val="18"/>
          <w:lang w:val="es-ES_tradnl"/>
        </w:rPr>
        <w:t xml:space="preserve">n establecida de forma clara, expresa y exigible </w:t>
      </w:r>
      <w:r>
        <w:rPr>
          <w:spacing w:val="-4"/>
          <w:sz w:val="18"/>
          <w:szCs w:val="18"/>
          <w:lang w:val="es-ES_tradnl"/>
        </w:rPr>
        <w:t>en dichas sentencias. En tal virtud, la accionante solicita a esta Magistratura Constitucional, resuelva esta acci</w:t>
      </w:r>
      <w:r>
        <w:rPr>
          <w:rFonts w:cs="Times New Roman"/>
          <w:spacing w:val="-4"/>
          <w:sz w:val="18"/>
          <w:szCs w:val="18"/>
          <w:lang w:val="es-ES_tradnl"/>
        </w:rPr>
        <w:t>ó</w:t>
      </w:r>
      <w:r>
        <w:rPr>
          <w:spacing w:val="-4"/>
          <w:sz w:val="18"/>
          <w:szCs w:val="18"/>
          <w:lang w:val="es-ES_tradnl"/>
        </w:rPr>
        <w:t>n de incumplimiento planteada, sobre la necesidad de garantizar el cumplimiento del sistema jur</w:t>
      </w:r>
      <w:r>
        <w:rPr>
          <w:rFonts w:cs="Times New Roman"/>
          <w:spacing w:val="-4"/>
          <w:sz w:val="18"/>
          <w:szCs w:val="18"/>
          <w:lang w:val="es-ES_tradnl"/>
        </w:rPr>
        <w:t>í</w:t>
      </w:r>
      <w:r>
        <w:rPr>
          <w:spacing w:val="-4"/>
          <w:sz w:val="18"/>
          <w:szCs w:val="18"/>
          <w:lang w:val="es-ES_tradnl"/>
        </w:rPr>
        <w:t xml:space="preserve">dico ante la </w:t>
      </w:r>
      <w:r>
        <w:rPr>
          <w:spacing w:val="-6"/>
          <w:sz w:val="18"/>
          <w:szCs w:val="18"/>
          <w:lang w:val="es-ES_tradnl"/>
        </w:rPr>
        <w:t>presencia de omisiones en la observancia de las leyes o normas jur</w:t>
      </w:r>
      <w:r>
        <w:rPr>
          <w:rFonts w:cs="Times New Roman"/>
          <w:spacing w:val="-6"/>
          <w:sz w:val="18"/>
          <w:szCs w:val="18"/>
          <w:lang w:val="es-ES_tradnl"/>
        </w:rPr>
        <w:t>í</w:t>
      </w:r>
      <w:r>
        <w:rPr>
          <w:spacing w:val="-6"/>
          <w:sz w:val="18"/>
          <w:szCs w:val="18"/>
          <w:lang w:val="es-ES_tradnl"/>
        </w:rPr>
        <w:t xml:space="preserve">dicas, lo cual consecuentemente garantiza el </w:t>
      </w:r>
      <w:r>
        <w:rPr>
          <w:sz w:val="18"/>
          <w:szCs w:val="18"/>
          <w:lang w:val="es-ES_tradnl"/>
        </w:rPr>
        <w:t>derecho a la seguridad jur</w:t>
      </w:r>
      <w:r>
        <w:rPr>
          <w:rFonts w:cs="Times New Roman"/>
          <w:sz w:val="18"/>
          <w:szCs w:val="18"/>
          <w:lang w:val="es-ES_tradnl"/>
        </w:rPr>
        <w:t>í</w:t>
      </w:r>
      <w:r>
        <w:rPr>
          <w:sz w:val="18"/>
          <w:szCs w:val="18"/>
          <w:lang w:val="es-ES_tradnl"/>
        </w:rPr>
        <w:t>dica.</w:t>
      </w:r>
    </w:p>
    <w:p w14:paraId="4F67AA40" w14:textId="77777777" w:rsidR="00591D54" w:rsidRDefault="00591D54">
      <w:pPr>
        <w:shd w:val="clear" w:color="auto" w:fill="FFFFFF"/>
        <w:spacing w:before="178"/>
      </w:pPr>
      <w:r>
        <w:rPr>
          <w:b/>
          <w:bCs/>
          <w:spacing w:val="-10"/>
          <w:sz w:val="18"/>
          <w:szCs w:val="18"/>
          <w:lang w:val="es-ES_tradnl"/>
        </w:rPr>
        <w:t>Pretensi</w:t>
      </w:r>
      <w:r>
        <w:rPr>
          <w:rFonts w:cs="Times New Roman"/>
          <w:b/>
          <w:bCs/>
          <w:spacing w:val="-10"/>
          <w:sz w:val="18"/>
          <w:szCs w:val="18"/>
          <w:lang w:val="es-ES_tradnl"/>
        </w:rPr>
        <w:t>ó</w:t>
      </w:r>
      <w:r>
        <w:rPr>
          <w:b/>
          <w:bCs/>
          <w:spacing w:val="-10"/>
          <w:sz w:val="18"/>
          <w:szCs w:val="18"/>
          <w:lang w:val="es-ES_tradnl"/>
        </w:rPr>
        <w:t>n concreta</w:t>
      </w:r>
    </w:p>
    <w:p w14:paraId="4F67AA41" w14:textId="77777777" w:rsidR="00591D54" w:rsidRDefault="00591D54">
      <w:pPr>
        <w:shd w:val="clear" w:color="auto" w:fill="FFFFFF"/>
        <w:spacing w:before="182" w:line="202" w:lineRule="exact"/>
        <w:ind w:right="14"/>
        <w:jc w:val="both"/>
      </w:pPr>
      <w:r>
        <w:rPr>
          <w:spacing w:val="-9"/>
          <w:sz w:val="18"/>
          <w:szCs w:val="18"/>
          <w:lang w:val="es-ES_tradnl"/>
        </w:rPr>
        <w:t>En raz</w:t>
      </w:r>
      <w:r>
        <w:rPr>
          <w:rFonts w:cs="Times New Roman"/>
          <w:spacing w:val="-9"/>
          <w:sz w:val="18"/>
          <w:szCs w:val="18"/>
          <w:lang w:val="es-ES_tradnl"/>
        </w:rPr>
        <w:t>ó</w:t>
      </w:r>
      <w:r>
        <w:rPr>
          <w:spacing w:val="-9"/>
          <w:sz w:val="18"/>
          <w:szCs w:val="18"/>
          <w:lang w:val="es-ES_tradnl"/>
        </w:rPr>
        <w:t xml:space="preserve">n de los argumentos expuestos, la legitimada activa </w:t>
      </w:r>
      <w:r>
        <w:rPr>
          <w:sz w:val="18"/>
          <w:szCs w:val="18"/>
          <w:lang w:val="es-ES_tradnl"/>
        </w:rPr>
        <w:t>solicita lo siguiente:</w:t>
      </w:r>
    </w:p>
    <w:p w14:paraId="4F67AA42" w14:textId="77777777" w:rsidR="00591D54" w:rsidRDefault="00591D54">
      <w:pPr>
        <w:shd w:val="clear" w:color="auto" w:fill="FFFFFF"/>
        <w:spacing w:before="206" w:line="202" w:lineRule="exact"/>
        <w:ind w:left="283" w:right="5"/>
        <w:jc w:val="both"/>
      </w:pPr>
      <w:r>
        <w:rPr>
          <w:spacing w:val="-5"/>
          <w:sz w:val="16"/>
          <w:szCs w:val="16"/>
          <w:lang w:val="es-ES_tradnl"/>
        </w:rPr>
        <w:t>(</w:t>
      </w:r>
      <w:r>
        <w:rPr>
          <w:rFonts w:cs="Times New Roman"/>
          <w:spacing w:val="-5"/>
          <w:sz w:val="16"/>
          <w:szCs w:val="16"/>
          <w:lang w:val="es-ES_tradnl"/>
        </w:rPr>
        <w:t>…</w:t>
      </w:r>
      <w:r>
        <w:rPr>
          <w:spacing w:val="-5"/>
          <w:sz w:val="16"/>
          <w:szCs w:val="16"/>
          <w:lang w:val="es-ES_tradnl"/>
        </w:rPr>
        <w:t xml:space="preserve">) que en sentencia se ordene al Juez hacer cumplir la </w:t>
      </w:r>
      <w:r>
        <w:rPr>
          <w:spacing w:val="-7"/>
          <w:sz w:val="16"/>
          <w:szCs w:val="16"/>
          <w:lang w:val="es-ES_tradnl"/>
        </w:rPr>
        <w:t xml:space="preserve">sentencia y en caso de que las autoridades municipales desobedezcan el mandato del Juez conforme lo han venido </w:t>
      </w:r>
      <w:r>
        <w:rPr>
          <w:spacing w:val="-5"/>
          <w:sz w:val="16"/>
          <w:szCs w:val="16"/>
          <w:lang w:val="es-ES_tradnl"/>
        </w:rPr>
        <w:t>haciendo procedan a la destituci</w:t>
      </w:r>
      <w:r>
        <w:rPr>
          <w:rFonts w:cs="Times New Roman"/>
          <w:spacing w:val="-5"/>
          <w:sz w:val="16"/>
          <w:szCs w:val="16"/>
          <w:lang w:val="es-ES_tradnl"/>
        </w:rPr>
        <w:t>ó</w:t>
      </w:r>
      <w:r>
        <w:rPr>
          <w:spacing w:val="-5"/>
          <w:sz w:val="16"/>
          <w:szCs w:val="16"/>
          <w:lang w:val="es-ES_tradnl"/>
        </w:rPr>
        <w:t xml:space="preserve">n de los mismos conforme </w:t>
      </w:r>
      <w:r>
        <w:rPr>
          <w:spacing w:val="-6"/>
          <w:sz w:val="16"/>
          <w:szCs w:val="16"/>
          <w:lang w:val="es-ES_tradnl"/>
        </w:rPr>
        <w:t>lo establece nuestra Constituci</w:t>
      </w:r>
      <w:r>
        <w:rPr>
          <w:rFonts w:cs="Times New Roman"/>
          <w:spacing w:val="-6"/>
          <w:sz w:val="16"/>
          <w:szCs w:val="16"/>
          <w:lang w:val="es-ES_tradnl"/>
        </w:rPr>
        <w:t>ó</w:t>
      </w:r>
      <w:r>
        <w:rPr>
          <w:spacing w:val="-6"/>
          <w:sz w:val="16"/>
          <w:szCs w:val="16"/>
          <w:lang w:val="es-ES_tradnl"/>
        </w:rPr>
        <w:t>n Pol</w:t>
      </w:r>
      <w:r>
        <w:rPr>
          <w:rFonts w:cs="Times New Roman"/>
          <w:spacing w:val="-6"/>
          <w:sz w:val="16"/>
          <w:szCs w:val="16"/>
          <w:lang w:val="es-ES_tradnl"/>
        </w:rPr>
        <w:t>í</w:t>
      </w:r>
      <w:r>
        <w:rPr>
          <w:spacing w:val="-6"/>
          <w:sz w:val="16"/>
          <w:szCs w:val="16"/>
          <w:lang w:val="es-ES_tradnl"/>
        </w:rPr>
        <w:t>tica de la Rep</w:t>
      </w:r>
      <w:r>
        <w:rPr>
          <w:rFonts w:cs="Times New Roman"/>
          <w:spacing w:val="-6"/>
          <w:sz w:val="16"/>
          <w:szCs w:val="16"/>
          <w:lang w:val="es-ES_tradnl"/>
        </w:rPr>
        <w:t>ú</w:t>
      </w:r>
      <w:r>
        <w:rPr>
          <w:spacing w:val="-6"/>
          <w:sz w:val="16"/>
          <w:szCs w:val="16"/>
          <w:lang w:val="es-ES_tradnl"/>
        </w:rPr>
        <w:t xml:space="preserve">blica del </w:t>
      </w:r>
      <w:r>
        <w:rPr>
          <w:sz w:val="16"/>
          <w:szCs w:val="16"/>
          <w:lang w:val="es-ES_tradnl"/>
        </w:rPr>
        <w:t>Ecuador (SIC).</w:t>
      </w:r>
    </w:p>
    <w:p w14:paraId="4F67AA43" w14:textId="77777777" w:rsidR="00591D54" w:rsidRDefault="00591D54">
      <w:pPr>
        <w:shd w:val="clear" w:color="auto" w:fill="FFFFFF"/>
        <w:spacing w:before="34" w:line="418" w:lineRule="exact"/>
      </w:pPr>
      <w:r>
        <w:rPr>
          <w:b/>
          <w:bCs/>
          <w:spacing w:val="-10"/>
          <w:sz w:val="18"/>
          <w:szCs w:val="18"/>
          <w:lang w:val="es-ES_tradnl"/>
        </w:rPr>
        <w:t>Contestaci</w:t>
      </w:r>
      <w:r>
        <w:rPr>
          <w:rFonts w:cs="Times New Roman"/>
          <w:b/>
          <w:bCs/>
          <w:spacing w:val="-10"/>
          <w:sz w:val="18"/>
          <w:szCs w:val="18"/>
          <w:lang w:val="es-ES_tradnl"/>
        </w:rPr>
        <w:t>ó</w:t>
      </w:r>
      <w:r>
        <w:rPr>
          <w:b/>
          <w:bCs/>
          <w:spacing w:val="-10"/>
          <w:sz w:val="18"/>
          <w:szCs w:val="18"/>
          <w:lang w:val="es-ES_tradnl"/>
        </w:rPr>
        <w:t>n a la demanda</w:t>
      </w:r>
    </w:p>
    <w:p w14:paraId="4F67AA44" w14:textId="77777777" w:rsidR="00591D54" w:rsidRDefault="00591D54">
      <w:pPr>
        <w:shd w:val="clear" w:color="auto" w:fill="FFFFFF"/>
        <w:spacing w:line="418" w:lineRule="exact"/>
      </w:pPr>
      <w:r>
        <w:rPr>
          <w:b/>
          <w:bCs/>
          <w:spacing w:val="-11"/>
          <w:sz w:val="18"/>
          <w:szCs w:val="18"/>
          <w:lang w:val="es-ES_tradnl"/>
        </w:rPr>
        <w:t>Comparecencia de las partes procesales</w:t>
      </w:r>
    </w:p>
    <w:p w14:paraId="4F67AA45" w14:textId="77777777" w:rsidR="00591D54" w:rsidRDefault="00591D54">
      <w:pPr>
        <w:shd w:val="clear" w:color="auto" w:fill="FFFFFF"/>
        <w:spacing w:line="418" w:lineRule="exact"/>
      </w:pPr>
      <w:r>
        <w:rPr>
          <w:b/>
          <w:bCs/>
          <w:spacing w:val="-9"/>
          <w:sz w:val="18"/>
          <w:szCs w:val="18"/>
          <w:lang w:val="es-ES_tradnl"/>
        </w:rPr>
        <w:t>Autoridades municipales del cant</w:t>
      </w:r>
      <w:r>
        <w:rPr>
          <w:rFonts w:cs="Times New Roman"/>
          <w:b/>
          <w:bCs/>
          <w:spacing w:val="-9"/>
          <w:sz w:val="18"/>
          <w:szCs w:val="18"/>
          <w:lang w:val="es-ES_tradnl"/>
        </w:rPr>
        <w:t>ó</w:t>
      </w:r>
      <w:r>
        <w:rPr>
          <w:b/>
          <w:bCs/>
          <w:spacing w:val="-9"/>
          <w:sz w:val="18"/>
          <w:szCs w:val="18"/>
          <w:lang w:val="es-ES_tradnl"/>
        </w:rPr>
        <w:t>n Paltas</w:t>
      </w:r>
    </w:p>
    <w:p w14:paraId="4F67AA46" w14:textId="77777777" w:rsidR="00591D54" w:rsidRDefault="00591D54">
      <w:pPr>
        <w:shd w:val="clear" w:color="auto" w:fill="FFFFFF"/>
        <w:spacing w:before="149" w:line="216" w:lineRule="exact"/>
        <w:ind w:right="5"/>
        <w:jc w:val="both"/>
      </w:pPr>
      <w:r>
        <w:rPr>
          <w:spacing w:val="-6"/>
          <w:sz w:val="18"/>
          <w:szCs w:val="18"/>
          <w:lang w:val="es-ES_tradnl"/>
        </w:rPr>
        <w:t xml:space="preserve">Mediante escrito presentado el 17 de septiembre de 2012 </w:t>
      </w:r>
      <w:r>
        <w:rPr>
          <w:spacing w:val="-7"/>
          <w:sz w:val="18"/>
          <w:szCs w:val="18"/>
          <w:lang w:val="es-ES_tradnl"/>
        </w:rPr>
        <w:t>a las 14h25, constante a fojas 305 y vuelta del expediente</w:t>
      </w:r>
    </w:p>
    <w:p w14:paraId="4F67AA47" w14:textId="77777777" w:rsidR="00591D54" w:rsidRDefault="00591D54">
      <w:pPr>
        <w:shd w:val="clear" w:color="auto" w:fill="FFFFFF"/>
        <w:spacing w:before="149" w:line="216" w:lineRule="exact"/>
        <w:ind w:right="5"/>
        <w:jc w:val="both"/>
        <w:sectPr w:rsidR="00591D54">
          <w:type w:val="continuous"/>
          <w:pgSz w:w="11909" w:h="16834"/>
          <w:pgMar w:top="1359" w:right="1304" w:bottom="360" w:left="1308" w:header="720" w:footer="720" w:gutter="0"/>
          <w:cols w:num="2" w:space="720" w:equalWidth="0">
            <w:col w:w="4305" w:space="682"/>
            <w:col w:w="4310"/>
          </w:cols>
          <w:noEndnote/>
        </w:sectPr>
      </w:pPr>
    </w:p>
    <w:p w14:paraId="4F67AA48" w14:textId="77777777" w:rsidR="00591D54" w:rsidRDefault="00591D54">
      <w:pPr>
        <w:shd w:val="clear" w:color="auto" w:fill="FFFFFF"/>
        <w:tabs>
          <w:tab w:val="left" w:pos="5952"/>
        </w:tabs>
        <w:spacing w:after="226"/>
        <w:ind w:left="14"/>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- 83</w:t>
      </w:r>
    </w:p>
    <w:p w14:paraId="4F67AA49" w14:textId="77777777" w:rsidR="00591D54" w:rsidRDefault="00591D54">
      <w:pPr>
        <w:shd w:val="clear" w:color="auto" w:fill="FFFFFF"/>
        <w:tabs>
          <w:tab w:val="left" w:pos="5952"/>
        </w:tabs>
        <w:spacing w:after="226"/>
        <w:ind w:left="14"/>
        <w:sectPr w:rsidR="00591D54">
          <w:pgSz w:w="11909" w:h="16834"/>
          <w:pgMar w:top="1373" w:right="1309" w:bottom="360" w:left="1308" w:header="720" w:footer="720" w:gutter="0"/>
          <w:cols w:space="60"/>
          <w:noEndnote/>
        </w:sectPr>
      </w:pPr>
    </w:p>
    <w:p w14:paraId="4F67AA4A" w14:textId="77777777" w:rsidR="00591D54" w:rsidRDefault="00591D54">
      <w:pPr>
        <w:shd w:val="clear" w:color="auto" w:fill="FFFFFF"/>
        <w:spacing w:before="10" w:line="226" w:lineRule="exact"/>
        <w:jc w:val="both"/>
      </w:pPr>
      <w:r>
        <w:rPr>
          <w:spacing w:val="-3"/>
          <w:sz w:val="18"/>
          <w:szCs w:val="18"/>
          <w:lang w:val="es-ES_tradnl"/>
        </w:rPr>
        <w:t xml:space="preserve">constitucional, comparecen el doctor Joffre Valarezo </w:t>
      </w:r>
      <w:r>
        <w:rPr>
          <w:spacing w:val="-4"/>
          <w:sz w:val="18"/>
          <w:szCs w:val="18"/>
          <w:lang w:val="es-ES_tradnl"/>
        </w:rPr>
        <w:t>Vald</w:t>
      </w:r>
      <w:r>
        <w:rPr>
          <w:rFonts w:cs="Times New Roman"/>
          <w:spacing w:val="-4"/>
          <w:sz w:val="18"/>
          <w:szCs w:val="18"/>
          <w:lang w:val="es-ES_tradnl"/>
        </w:rPr>
        <w:t>é</w:t>
      </w:r>
      <w:r>
        <w:rPr>
          <w:spacing w:val="-4"/>
          <w:sz w:val="18"/>
          <w:szCs w:val="18"/>
          <w:lang w:val="es-ES_tradnl"/>
        </w:rPr>
        <w:t>z, procurador s</w:t>
      </w:r>
      <w:r>
        <w:rPr>
          <w:rFonts w:cs="Times New Roman"/>
          <w:spacing w:val="-4"/>
          <w:sz w:val="18"/>
          <w:szCs w:val="18"/>
          <w:lang w:val="es-ES_tradnl"/>
        </w:rPr>
        <w:t>í</w:t>
      </w:r>
      <w:r>
        <w:rPr>
          <w:spacing w:val="-4"/>
          <w:sz w:val="18"/>
          <w:szCs w:val="18"/>
          <w:lang w:val="es-ES_tradnl"/>
        </w:rPr>
        <w:t xml:space="preserve">ndico municipal; Francisco Mori </w:t>
      </w:r>
      <w:r>
        <w:rPr>
          <w:spacing w:val="-9"/>
          <w:sz w:val="18"/>
          <w:szCs w:val="18"/>
          <w:lang w:val="es-ES_tradnl"/>
        </w:rPr>
        <w:t>Salcedo, comisario municipal, y Jorge Luis Feijo</w:t>
      </w:r>
      <w:r>
        <w:rPr>
          <w:rFonts w:cs="Times New Roman"/>
          <w:spacing w:val="-9"/>
          <w:sz w:val="18"/>
          <w:szCs w:val="18"/>
          <w:lang w:val="es-ES_tradnl"/>
        </w:rPr>
        <w:t>ó</w:t>
      </w:r>
      <w:r>
        <w:rPr>
          <w:spacing w:val="-9"/>
          <w:sz w:val="18"/>
          <w:szCs w:val="18"/>
          <w:lang w:val="es-ES_tradnl"/>
        </w:rPr>
        <w:t xml:space="preserve"> Valarezo, </w:t>
      </w:r>
      <w:r>
        <w:rPr>
          <w:spacing w:val="-11"/>
          <w:sz w:val="18"/>
          <w:szCs w:val="18"/>
          <w:lang w:val="es-ES_tradnl"/>
        </w:rPr>
        <w:t>alcalde del cant</w:t>
      </w:r>
      <w:r>
        <w:rPr>
          <w:rFonts w:cs="Times New Roman"/>
          <w:spacing w:val="-11"/>
          <w:sz w:val="18"/>
          <w:szCs w:val="18"/>
          <w:lang w:val="es-ES_tradnl"/>
        </w:rPr>
        <w:t>ó</w:t>
      </w:r>
      <w:r>
        <w:rPr>
          <w:spacing w:val="-11"/>
          <w:sz w:val="18"/>
          <w:szCs w:val="18"/>
          <w:lang w:val="es-ES_tradnl"/>
        </w:rPr>
        <w:t xml:space="preserve">n Paltas, aduciendo que no han desacatado </w:t>
      </w:r>
      <w:r>
        <w:rPr>
          <w:spacing w:val="-6"/>
          <w:sz w:val="18"/>
          <w:szCs w:val="18"/>
          <w:lang w:val="es-ES_tradnl"/>
        </w:rPr>
        <w:t>la orden impartida por el juez d</w:t>
      </w:r>
      <w:r>
        <w:rPr>
          <w:rFonts w:cs="Times New Roman"/>
          <w:spacing w:val="-6"/>
          <w:sz w:val="18"/>
          <w:szCs w:val="18"/>
          <w:lang w:val="es-ES_tradnl"/>
        </w:rPr>
        <w:t>é</w:t>
      </w:r>
      <w:r>
        <w:rPr>
          <w:spacing w:val="-6"/>
          <w:sz w:val="18"/>
          <w:szCs w:val="18"/>
          <w:lang w:val="es-ES_tradnl"/>
        </w:rPr>
        <w:t xml:space="preserve">cimo cuarto de lo civil de </w:t>
      </w:r>
      <w:r>
        <w:rPr>
          <w:sz w:val="18"/>
          <w:szCs w:val="18"/>
          <w:lang w:val="es-ES_tradnl"/>
        </w:rPr>
        <w:t>Loja con sede en Catacocha.</w:t>
      </w:r>
    </w:p>
    <w:p w14:paraId="4F67AA4B" w14:textId="77777777" w:rsidR="00591D54" w:rsidRDefault="00591D54">
      <w:pPr>
        <w:shd w:val="clear" w:color="auto" w:fill="FFFFFF"/>
        <w:spacing w:before="206" w:line="226" w:lineRule="exact"/>
        <w:ind w:right="5"/>
        <w:jc w:val="both"/>
      </w:pPr>
      <w:r>
        <w:rPr>
          <w:spacing w:val="-7"/>
          <w:sz w:val="18"/>
          <w:szCs w:val="18"/>
          <w:lang w:val="es-ES_tradnl"/>
        </w:rPr>
        <w:t xml:space="preserve">Dicen las autoridades municipales que luego de emitida la sentencia, esto es, a partir del 02 de febrero de 2010, la </w:t>
      </w:r>
      <w:r>
        <w:rPr>
          <w:spacing w:val="-11"/>
          <w:sz w:val="18"/>
          <w:szCs w:val="18"/>
          <w:lang w:val="es-ES_tradnl"/>
        </w:rPr>
        <w:t>accionante permaneci</w:t>
      </w:r>
      <w:r>
        <w:rPr>
          <w:rFonts w:cs="Times New Roman"/>
          <w:spacing w:val="-11"/>
          <w:sz w:val="18"/>
          <w:szCs w:val="18"/>
          <w:lang w:val="es-ES_tradnl"/>
        </w:rPr>
        <w:t>ó</w:t>
      </w:r>
      <w:r>
        <w:rPr>
          <w:spacing w:val="-11"/>
          <w:sz w:val="18"/>
          <w:szCs w:val="18"/>
          <w:lang w:val="es-ES_tradnl"/>
        </w:rPr>
        <w:t xml:space="preserve"> en la tercena N.</w:t>
      </w:r>
      <w:r>
        <w:rPr>
          <w:rFonts w:cs="Times New Roman"/>
          <w:spacing w:val="-11"/>
          <w:sz w:val="18"/>
          <w:szCs w:val="18"/>
          <w:lang w:val="es-ES_tradnl"/>
        </w:rPr>
        <w:t>°</w:t>
      </w:r>
      <w:r>
        <w:rPr>
          <w:spacing w:val="-11"/>
          <w:sz w:val="18"/>
          <w:szCs w:val="18"/>
          <w:lang w:val="es-ES_tradnl"/>
        </w:rPr>
        <w:t xml:space="preserve"> 20 por m</w:t>
      </w:r>
      <w:r>
        <w:rPr>
          <w:rFonts w:cs="Times New Roman"/>
          <w:spacing w:val="-11"/>
          <w:sz w:val="18"/>
          <w:szCs w:val="18"/>
          <w:lang w:val="es-ES_tradnl"/>
        </w:rPr>
        <w:t>á</w:t>
      </w:r>
      <w:r>
        <w:rPr>
          <w:spacing w:val="-11"/>
          <w:sz w:val="18"/>
          <w:szCs w:val="18"/>
          <w:lang w:val="es-ES_tradnl"/>
        </w:rPr>
        <w:t xml:space="preserve">s de once </w:t>
      </w:r>
      <w:r>
        <w:rPr>
          <w:spacing w:val="-6"/>
          <w:sz w:val="18"/>
          <w:szCs w:val="18"/>
          <w:lang w:val="es-ES_tradnl"/>
        </w:rPr>
        <w:t xml:space="preserve">meses consecutivos, motivo por el cual no es verdad que </w:t>
      </w:r>
      <w:r>
        <w:rPr>
          <w:spacing w:val="-7"/>
          <w:sz w:val="18"/>
          <w:szCs w:val="18"/>
          <w:lang w:val="es-ES_tradnl"/>
        </w:rPr>
        <w:t>el Gobierno Aut</w:t>
      </w:r>
      <w:r>
        <w:rPr>
          <w:rFonts w:cs="Times New Roman"/>
          <w:spacing w:val="-7"/>
          <w:sz w:val="18"/>
          <w:szCs w:val="18"/>
          <w:lang w:val="es-ES_tradnl"/>
        </w:rPr>
        <w:t>ó</w:t>
      </w:r>
      <w:r>
        <w:rPr>
          <w:spacing w:val="-7"/>
          <w:sz w:val="18"/>
          <w:szCs w:val="18"/>
          <w:lang w:val="es-ES_tradnl"/>
        </w:rPr>
        <w:t xml:space="preserve">nomo Descentralizado de Paltas le haya </w:t>
      </w:r>
      <w:r>
        <w:rPr>
          <w:spacing w:val="-9"/>
          <w:sz w:val="18"/>
          <w:szCs w:val="18"/>
          <w:lang w:val="es-ES_tradnl"/>
        </w:rPr>
        <w:t>dispuesto a la se</w:t>
      </w:r>
      <w:r>
        <w:rPr>
          <w:rFonts w:cs="Times New Roman"/>
          <w:spacing w:val="-9"/>
          <w:sz w:val="18"/>
          <w:szCs w:val="18"/>
          <w:lang w:val="es-ES_tradnl"/>
        </w:rPr>
        <w:t>ñ</w:t>
      </w:r>
      <w:r>
        <w:rPr>
          <w:spacing w:val="-9"/>
          <w:sz w:val="18"/>
          <w:szCs w:val="18"/>
          <w:lang w:val="es-ES_tradnl"/>
        </w:rPr>
        <w:t xml:space="preserve">ora Armijos Tinoco desocupar la tercena </w:t>
      </w:r>
      <w:r>
        <w:rPr>
          <w:spacing w:val="-7"/>
          <w:sz w:val="18"/>
          <w:szCs w:val="18"/>
          <w:lang w:val="es-ES_tradnl"/>
        </w:rPr>
        <w:t>una vez que se conoci</w:t>
      </w:r>
      <w:r>
        <w:rPr>
          <w:rFonts w:cs="Times New Roman"/>
          <w:spacing w:val="-7"/>
          <w:sz w:val="18"/>
          <w:szCs w:val="18"/>
          <w:lang w:val="es-ES_tradnl"/>
        </w:rPr>
        <w:t>ó</w:t>
      </w:r>
      <w:r>
        <w:rPr>
          <w:spacing w:val="-7"/>
          <w:sz w:val="18"/>
          <w:szCs w:val="18"/>
          <w:lang w:val="es-ES_tradnl"/>
        </w:rPr>
        <w:t xml:space="preserve"> la decisi</w:t>
      </w:r>
      <w:r>
        <w:rPr>
          <w:rFonts w:cs="Times New Roman"/>
          <w:spacing w:val="-7"/>
          <w:sz w:val="18"/>
          <w:szCs w:val="18"/>
          <w:lang w:val="es-ES_tradnl"/>
        </w:rPr>
        <w:t>ó</w:t>
      </w:r>
      <w:r>
        <w:rPr>
          <w:spacing w:val="-7"/>
          <w:sz w:val="18"/>
          <w:szCs w:val="18"/>
          <w:lang w:val="es-ES_tradnl"/>
        </w:rPr>
        <w:t>n constitucional.</w:t>
      </w:r>
    </w:p>
    <w:p w14:paraId="4F67AA4C" w14:textId="77777777" w:rsidR="00591D54" w:rsidRDefault="00591D54">
      <w:pPr>
        <w:shd w:val="clear" w:color="auto" w:fill="FFFFFF"/>
        <w:spacing w:before="206" w:line="226" w:lineRule="exact"/>
        <w:jc w:val="both"/>
      </w:pPr>
      <w:r>
        <w:rPr>
          <w:spacing w:val="-5"/>
          <w:sz w:val="18"/>
          <w:szCs w:val="18"/>
          <w:lang w:val="es-ES_tradnl"/>
        </w:rPr>
        <w:t>Que el 24 de enero de 2011, la municipalidad del cant</w:t>
      </w:r>
      <w:r>
        <w:rPr>
          <w:rFonts w:cs="Times New Roman"/>
          <w:spacing w:val="-5"/>
          <w:sz w:val="18"/>
          <w:szCs w:val="18"/>
          <w:lang w:val="es-ES_tradnl"/>
        </w:rPr>
        <w:t>ó</w:t>
      </w:r>
      <w:r>
        <w:rPr>
          <w:spacing w:val="-5"/>
          <w:sz w:val="18"/>
          <w:szCs w:val="18"/>
          <w:lang w:val="es-ES_tradnl"/>
        </w:rPr>
        <w:t xml:space="preserve">n </w:t>
      </w:r>
      <w:r>
        <w:rPr>
          <w:spacing w:val="-6"/>
          <w:sz w:val="18"/>
          <w:szCs w:val="18"/>
          <w:lang w:val="es-ES_tradnl"/>
        </w:rPr>
        <w:t>Paltas resolvi</w:t>
      </w:r>
      <w:r>
        <w:rPr>
          <w:rFonts w:cs="Times New Roman"/>
          <w:spacing w:val="-6"/>
          <w:sz w:val="18"/>
          <w:szCs w:val="18"/>
          <w:lang w:val="es-ES_tradnl"/>
        </w:rPr>
        <w:t>ó</w:t>
      </w:r>
      <w:r>
        <w:rPr>
          <w:spacing w:val="-6"/>
          <w:sz w:val="18"/>
          <w:szCs w:val="18"/>
          <w:lang w:val="es-ES_tradnl"/>
        </w:rPr>
        <w:t xml:space="preserve"> el arreglo de algunas tercenas, entre ellas </w:t>
      </w:r>
      <w:r>
        <w:rPr>
          <w:spacing w:val="-3"/>
          <w:sz w:val="18"/>
          <w:szCs w:val="18"/>
          <w:lang w:val="es-ES_tradnl"/>
        </w:rPr>
        <w:t>la 20, 23 y 24, motivo por el cual se procedi</w:t>
      </w:r>
      <w:r>
        <w:rPr>
          <w:rFonts w:cs="Times New Roman"/>
          <w:spacing w:val="-3"/>
          <w:sz w:val="18"/>
          <w:szCs w:val="18"/>
          <w:lang w:val="es-ES_tradnl"/>
        </w:rPr>
        <w:t>ó</w:t>
      </w:r>
      <w:r>
        <w:rPr>
          <w:spacing w:val="-3"/>
          <w:sz w:val="18"/>
          <w:szCs w:val="18"/>
          <w:lang w:val="es-ES_tradnl"/>
        </w:rPr>
        <w:t xml:space="preserve"> con la </w:t>
      </w:r>
      <w:r>
        <w:rPr>
          <w:spacing w:val="-8"/>
          <w:sz w:val="18"/>
          <w:szCs w:val="18"/>
          <w:lang w:val="es-ES_tradnl"/>
        </w:rPr>
        <w:t>desocupaci</w:t>
      </w:r>
      <w:r>
        <w:rPr>
          <w:rFonts w:cs="Times New Roman"/>
          <w:spacing w:val="-8"/>
          <w:sz w:val="18"/>
          <w:szCs w:val="18"/>
          <w:lang w:val="es-ES_tradnl"/>
        </w:rPr>
        <w:t>ó</w:t>
      </w:r>
      <w:r>
        <w:rPr>
          <w:spacing w:val="-8"/>
          <w:sz w:val="18"/>
          <w:szCs w:val="18"/>
          <w:lang w:val="es-ES_tradnl"/>
        </w:rPr>
        <w:t>n de las tercenas se</w:t>
      </w:r>
      <w:r>
        <w:rPr>
          <w:rFonts w:cs="Times New Roman"/>
          <w:spacing w:val="-8"/>
          <w:sz w:val="18"/>
          <w:szCs w:val="18"/>
          <w:lang w:val="es-ES_tradnl"/>
        </w:rPr>
        <w:t>ñ</w:t>
      </w:r>
      <w:r>
        <w:rPr>
          <w:spacing w:val="-8"/>
          <w:sz w:val="18"/>
          <w:szCs w:val="18"/>
          <w:lang w:val="es-ES_tradnl"/>
        </w:rPr>
        <w:t xml:space="preserve">alas; amparados en la </w:t>
      </w:r>
      <w:r>
        <w:rPr>
          <w:spacing w:val="-4"/>
          <w:sz w:val="18"/>
          <w:szCs w:val="18"/>
          <w:lang w:val="es-ES_tradnl"/>
        </w:rPr>
        <w:t>cl</w:t>
      </w:r>
      <w:r>
        <w:rPr>
          <w:rFonts w:cs="Times New Roman"/>
          <w:spacing w:val="-4"/>
          <w:sz w:val="18"/>
          <w:szCs w:val="18"/>
          <w:lang w:val="es-ES_tradnl"/>
        </w:rPr>
        <w:t>á</w:t>
      </w:r>
      <w:r>
        <w:rPr>
          <w:spacing w:val="-4"/>
          <w:sz w:val="18"/>
          <w:szCs w:val="18"/>
          <w:lang w:val="es-ES_tradnl"/>
        </w:rPr>
        <w:t>usula d</w:t>
      </w:r>
      <w:r>
        <w:rPr>
          <w:rFonts w:cs="Times New Roman"/>
          <w:spacing w:val="-4"/>
          <w:sz w:val="18"/>
          <w:szCs w:val="18"/>
          <w:lang w:val="es-ES_tradnl"/>
        </w:rPr>
        <w:t>é</w:t>
      </w:r>
      <w:r>
        <w:rPr>
          <w:spacing w:val="-4"/>
          <w:sz w:val="18"/>
          <w:szCs w:val="18"/>
          <w:lang w:val="es-ES_tradnl"/>
        </w:rPr>
        <w:t xml:space="preserve">cima del contrato de arrendamiento, mismo </w:t>
      </w:r>
      <w:r>
        <w:rPr>
          <w:spacing w:val="-5"/>
          <w:sz w:val="18"/>
          <w:szCs w:val="18"/>
          <w:lang w:val="es-ES_tradnl"/>
        </w:rPr>
        <w:t>que textualmente se</w:t>
      </w:r>
      <w:r>
        <w:rPr>
          <w:rFonts w:cs="Times New Roman"/>
          <w:spacing w:val="-5"/>
          <w:sz w:val="18"/>
          <w:szCs w:val="18"/>
          <w:lang w:val="es-ES_tradnl"/>
        </w:rPr>
        <w:t>ñ</w:t>
      </w:r>
      <w:r>
        <w:rPr>
          <w:spacing w:val="-5"/>
          <w:sz w:val="18"/>
          <w:szCs w:val="18"/>
          <w:lang w:val="es-ES_tradnl"/>
        </w:rPr>
        <w:t xml:space="preserve">ala : </w:t>
      </w:r>
      <w:r>
        <w:rPr>
          <w:rFonts w:cs="Times New Roman"/>
          <w:spacing w:val="-5"/>
          <w:sz w:val="18"/>
          <w:szCs w:val="18"/>
          <w:lang w:val="es-ES_tradnl"/>
        </w:rPr>
        <w:t>“</w:t>
      </w:r>
      <w:r>
        <w:rPr>
          <w:spacing w:val="-5"/>
          <w:sz w:val="18"/>
          <w:szCs w:val="18"/>
          <w:lang w:val="es-ES_tradnl"/>
        </w:rPr>
        <w:t xml:space="preserve"> (</w:t>
      </w:r>
      <w:r>
        <w:rPr>
          <w:rFonts w:cs="Times New Roman"/>
          <w:spacing w:val="-5"/>
          <w:sz w:val="18"/>
          <w:szCs w:val="18"/>
          <w:lang w:val="es-ES_tradnl"/>
        </w:rPr>
        <w:t>…</w:t>
      </w:r>
      <w:r>
        <w:rPr>
          <w:spacing w:val="-5"/>
          <w:sz w:val="18"/>
          <w:szCs w:val="18"/>
          <w:lang w:val="es-ES_tradnl"/>
        </w:rPr>
        <w:t xml:space="preserve">) si por circunstancias de </w:t>
      </w:r>
      <w:r>
        <w:rPr>
          <w:spacing w:val="-6"/>
          <w:sz w:val="18"/>
          <w:szCs w:val="18"/>
          <w:lang w:val="es-ES_tradnl"/>
        </w:rPr>
        <w:t>remodelaci</w:t>
      </w:r>
      <w:r>
        <w:rPr>
          <w:rFonts w:cs="Times New Roman"/>
          <w:spacing w:val="-6"/>
          <w:sz w:val="18"/>
          <w:szCs w:val="18"/>
          <w:lang w:val="es-ES_tradnl"/>
        </w:rPr>
        <w:t>ó</w:t>
      </w:r>
      <w:r>
        <w:rPr>
          <w:spacing w:val="-6"/>
          <w:sz w:val="18"/>
          <w:szCs w:val="18"/>
          <w:lang w:val="es-ES_tradnl"/>
        </w:rPr>
        <w:t xml:space="preserve">n del Centro Comercial Paltense, el Gobierno </w:t>
      </w:r>
      <w:r>
        <w:rPr>
          <w:spacing w:val="-5"/>
          <w:sz w:val="18"/>
          <w:szCs w:val="18"/>
          <w:lang w:val="es-ES_tradnl"/>
        </w:rPr>
        <w:t xml:space="preserve">Local solicitara el puesto dado en arrendamiento, la </w:t>
      </w:r>
      <w:r>
        <w:rPr>
          <w:spacing w:val="-2"/>
          <w:sz w:val="18"/>
          <w:szCs w:val="18"/>
          <w:lang w:val="es-ES_tradnl"/>
        </w:rPr>
        <w:t>arrendataria est</w:t>
      </w:r>
      <w:r>
        <w:rPr>
          <w:rFonts w:cs="Times New Roman"/>
          <w:spacing w:val="-2"/>
          <w:sz w:val="18"/>
          <w:szCs w:val="18"/>
          <w:lang w:val="es-ES_tradnl"/>
        </w:rPr>
        <w:t>á</w:t>
      </w:r>
      <w:r>
        <w:rPr>
          <w:spacing w:val="-2"/>
          <w:sz w:val="18"/>
          <w:szCs w:val="18"/>
          <w:lang w:val="es-ES_tradnl"/>
        </w:rPr>
        <w:t xml:space="preserve"> obligada a desocuparlo en forma </w:t>
      </w:r>
      <w:r>
        <w:rPr>
          <w:spacing w:val="-3"/>
          <w:sz w:val="18"/>
          <w:szCs w:val="18"/>
          <w:lang w:val="es-ES_tradnl"/>
        </w:rPr>
        <w:t>inmediata, para cuyo efecto mediante la Comisar</w:t>
      </w:r>
      <w:r>
        <w:rPr>
          <w:rFonts w:cs="Times New Roman"/>
          <w:spacing w:val="-3"/>
          <w:sz w:val="18"/>
          <w:szCs w:val="18"/>
          <w:lang w:val="es-ES_tradnl"/>
        </w:rPr>
        <w:t>í</w:t>
      </w:r>
      <w:r>
        <w:rPr>
          <w:spacing w:val="-3"/>
          <w:sz w:val="18"/>
          <w:szCs w:val="18"/>
          <w:lang w:val="es-ES_tradnl"/>
        </w:rPr>
        <w:t>a Municipal se notificar</w:t>
      </w:r>
      <w:r>
        <w:rPr>
          <w:rFonts w:cs="Times New Roman"/>
          <w:spacing w:val="-3"/>
          <w:sz w:val="18"/>
          <w:szCs w:val="18"/>
          <w:lang w:val="es-ES_tradnl"/>
        </w:rPr>
        <w:t>á</w:t>
      </w:r>
      <w:r>
        <w:rPr>
          <w:spacing w:val="-3"/>
          <w:sz w:val="18"/>
          <w:szCs w:val="18"/>
          <w:lang w:val="es-ES_tradnl"/>
        </w:rPr>
        <w:t xml:space="preserve"> con quince d</w:t>
      </w:r>
      <w:r>
        <w:rPr>
          <w:rFonts w:cs="Times New Roman"/>
          <w:spacing w:val="-3"/>
          <w:sz w:val="18"/>
          <w:szCs w:val="18"/>
          <w:lang w:val="es-ES_tradnl"/>
        </w:rPr>
        <w:t>í</w:t>
      </w:r>
      <w:r>
        <w:rPr>
          <w:spacing w:val="-3"/>
          <w:sz w:val="18"/>
          <w:szCs w:val="18"/>
          <w:lang w:val="es-ES_tradnl"/>
        </w:rPr>
        <w:t>as de anticipaci</w:t>
      </w:r>
      <w:r>
        <w:rPr>
          <w:rFonts w:cs="Times New Roman"/>
          <w:spacing w:val="-3"/>
          <w:sz w:val="18"/>
          <w:szCs w:val="18"/>
          <w:lang w:val="es-ES_tradnl"/>
        </w:rPr>
        <w:t>ó</w:t>
      </w:r>
      <w:r>
        <w:rPr>
          <w:spacing w:val="-3"/>
          <w:sz w:val="18"/>
          <w:szCs w:val="18"/>
          <w:lang w:val="es-ES_tradnl"/>
        </w:rPr>
        <w:t xml:space="preserve">n </w:t>
      </w:r>
      <w:r>
        <w:rPr>
          <w:spacing w:val="-7"/>
          <w:sz w:val="18"/>
          <w:szCs w:val="18"/>
          <w:lang w:val="es-ES_tradnl"/>
        </w:rPr>
        <w:t>caso contrario, est</w:t>
      </w:r>
      <w:r>
        <w:rPr>
          <w:rFonts w:cs="Times New Roman"/>
          <w:spacing w:val="-7"/>
          <w:sz w:val="18"/>
          <w:szCs w:val="18"/>
          <w:lang w:val="es-ES_tradnl"/>
        </w:rPr>
        <w:t>á</w:t>
      </w:r>
      <w:r>
        <w:rPr>
          <w:spacing w:val="-7"/>
          <w:sz w:val="18"/>
          <w:szCs w:val="18"/>
          <w:lang w:val="es-ES_tradnl"/>
        </w:rPr>
        <w:t xml:space="preserve"> dependencia Municipal proceder</w:t>
      </w:r>
      <w:r>
        <w:rPr>
          <w:rFonts w:cs="Times New Roman"/>
          <w:spacing w:val="-7"/>
          <w:sz w:val="18"/>
          <w:szCs w:val="18"/>
          <w:lang w:val="es-ES_tradnl"/>
        </w:rPr>
        <w:t>á</w:t>
      </w:r>
      <w:r>
        <w:rPr>
          <w:spacing w:val="-7"/>
          <w:sz w:val="18"/>
          <w:szCs w:val="18"/>
          <w:lang w:val="es-ES_tradnl"/>
        </w:rPr>
        <w:t xml:space="preserve"> con </w:t>
      </w:r>
      <w:r>
        <w:rPr>
          <w:sz w:val="18"/>
          <w:szCs w:val="18"/>
          <w:lang w:val="es-ES_tradnl"/>
        </w:rPr>
        <w:t>el desalojo</w:t>
      </w:r>
      <w:r>
        <w:rPr>
          <w:rFonts w:cs="Times New Roman"/>
          <w:sz w:val="18"/>
          <w:szCs w:val="18"/>
          <w:lang w:val="es-ES_tradnl"/>
        </w:rPr>
        <w:t>”</w:t>
      </w:r>
      <w:r>
        <w:rPr>
          <w:sz w:val="18"/>
          <w:szCs w:val="18"/>
          <w:lang w:val="es-ES_tradnl"/>
        </w:rPr>
        <w:t>.</w:t>
      </w:r>
    </w:p>
    <w:p w14:paraId="4F67AA4D" w14:textId="77777777" w:rsidR="00591D54" w:rsidRDefault="00591D54">
      <w:pPr>
        <w:shd w:val="clear" w:color="auto" w:fill="FFFFFF"/>
        <w:spacing w:before="206" w:line="226" w:lineRule="exact"/>
        <w:jc w:val="both"/>
      </w:pPr>
      <w:r>
        <w:rPr>
          <w:spacing w:val="-5"/>
          <w:sz w:val="18"/>
          <w:szCs w:val="18"/>
          <w:lang w:val="es-ES_tradnl"/>
        </w:rPr>
        <w:t>En virtud de lo expuesto, concluyen se</w:t>
      </w:r>
      <w:r>
        <w:rPr>
          <w:rFonts w:cs="Times New Roman"/>
          <w:spacing w:val="-5"/>
          <w:sz w:val="18"/>
          <w:szCs w:val="18"/>
          <w:lang w:val="es-ES_tradnl"/>
        </w:rPr>
        <w:t>ñ</w:t>
      </w:r>
      <w:r>
        <w:rPr>
          <w:spacing w:val="-5"/>
          <w:sz w:val="18"/>
          <w:szCs w:val="18"/>
          <w:lang w:val="es-ES_tradnl"/>
        </w:rPr>
        <w:t xml:space="preserve">alando que han </w:t>
      </w:r>
      <w:r>
        <w:rPr>
          <w:spacing w:val="-6"/>
          <w:sz w:val="18"/>
          <w:szCs w:val="18"/>
          <w:lang w:val="es-ES_tradnl"/>
        </w:rPr>
        <w:t xml:space="preserve">dado cumplimiento a la sentencia dictada por la autoridad </w:t>
      </w:r>
      <w:r>
        <w:rPr>
          <w:spacing w:val="-5"/>
          <w:sz w:val="18"/>
          <w:szCs w:val="18"/>
          <w:lang w:val="es-ES_tradnl"/>
        </w:rPr>
        <w:t>jurisdiccional y adem</w:t>
      </w:r>
      <w:r>
        <w:rPr>
          <w:rFonts w:cs="Times New Roman"/>
          <w:spacing w:val="-5"/>
          <w:sz w:val="18"/>
          <w:szCs w:val="18"/>
          <w:lang w:val="es-ES_tradnl"/>
        </w:rPr>
        <w:t>á</w:t>
      </w:r>
      <w:r>
        <w:rPr>
          <w:spacing w:val="-5"/>
          <w:sz w:val="18"/>
          <w:szCs w:val="18"/>
          <w:lang w:val="es-ES_tradnl"/>
        </w:rPr>
        <w:t xml:space="preserve">s han actuado de acuerdo a lo </w:t>
      </w:r>
      <w:r>
        <w:rPr>
          <w:spacing w:val="-6"/>
          <w:sz w:val="18"/>
          <w:szCs w:val="18"/>
          <w:lang w:val="es-ES_tradnl"/>
        </w:rPr>
        <w:t>estipulado en el contrato de arrendamiento.</w:t>
      </w:r>
    </w:p>
    <w:p w14:paraId="4F67AA4E" w14:textId="77777777" w:rsidR="00591D54" w:rsidRDefault="00591D54">
      <w:pPr>
        <w:shd w:val="clear" w:color="auto" w:fill="FFFFFF"/>
        <w:spacing w:before="202"/>
      </w:pPr>
      <w:r>
        <w:rPr>
          <w:b/>
          <w:bCs/>
          <w:spacing w:val="-9"/>
          <w:sz w:val="18"/>
          <w:szCs w:val="18"/>
          <w:lang w:val="es-ES_tradnl"/>
        </w:rPr>
        <w:t>Juez d</w:t>
      </w:r>
      <w:r>
        <w:rPr>
          <w:rFonts w:cs="Times New Roman"/>
          <w:b/>
          <w:bCs/>
          <w:spacing w:val="-9"/>
          <w:sz w:val="18"/>
          <w:szCs w:val="18"/>
          <w:lang w:val="es-ES_tradnl"/>
        </w:rPr>
        <w:t>é</w:t>
      </w:r>
      <w:r>
        <w:rPr>
          <w:b/>
          <w:bCs/>
          <w:spacing w:val="-9"/>
          <w:sz w:val="18"/>
          <w:szCs w:val="18"/>
          <w:lang w:val="es-ES_tradnl"/>
        </w:rPr>
        <w:t>cimo cuarto multicompetente de Loja</w:t>
      </w:r>
    </w:p>
    <w:p w14:paraId="4F67AA4F" w14:textId="77777777" w:rsidR="00591D54" w:rsidRDefault="00591D54">
      <w:pPr>
        <w:shd w:val="clear" w:color="auto" w:fill="FFFFFF"/>
        <w:spacing w:before="206" w:line="226" w:lineRule="exact"/>
        <w:ind w:right="5"/>
        <w:jc w:val="both"/>
      </w:pPr>
      <w:r>
        <w:rPr>
          <w:spacing w:val="-5"/>
          <w:sz w:val="18"/>
          <w:szCs w:val="18"/>
          <w:lang w:val="es-ES_tradnl"/>
        </w:rPr>
        <w:t>Comparece, el doctor David Astudillo en calidad de juez del Juzgado D</w:t>
      </w:r>
      <w:r>
        <w:rPr>
          <w:rFonts w:cs="Times New Roman"/>
          <w:spacing w:val="-5"/>
          <w:sz w:val="18"/>
          <w:szCs w:val="18"/>
          <w:lang w:val="es-ES_tradnl"/>
        </w:rPr>
        <w:t>é</w:t>
      </w:r>
      <w:r>
        <w:rPr>
          <w:spacing w:val="-5"/>
          <w:sz w:val="18"/>
          <w:szCs w:val="18"/>
          <w:lang w:val="es-ES_tradnl"/>
        </w:rPr>
        <w:t xml:space="preserve">cimo Cuarto Multicompetente de Loja, </w:t>
      </w:r>
      <w:r>
        <w:rPr>
          <w:spacing w:val="-7"/>
          <w:sz w:val="18"/>
          <w:szCs w:val="18"/>
          <w:lang w:val="es-ES_tradnl"/>
        </w:rPr>
        <w:t xml:space="preserve">mediante escrito presentado el 22 de julio de 2014 a las </w:t>
      </w:r>
      <w:r>
        <w:rPr>
          <w:spacing w:val="-8"/>
          <w:sz w:val="18"/>
          <w:szCs w:val="18"/>
          <w:lang w:val="es-ES_tradnl"/>
        </w:rPr>
        <w:t xml:space="preserve">14h16, constante a fojas 318 del expediente constitucional, </w:t>
      </w:r>
      <w:r>
        <w:rPr>
          <w:sz w:val="18"/>
          <w:szCs w:val="18"/>
          <w:lang w:val="es-ES_tradnl"/>
        </w:rPr>
        <w:t>y en lo principal manifiesta:</w:t>
      </w:r>
    </w:p>
    <w:p w14:paraId="4F67AA50" w14:textId="77777777" w:rsidR="00591D54" w:rsidRDefault="00591D54">
      <w:pPr>
        <w:shd w:val="clear" w:color="auto" w:fill="FFFFFF"/>
        <w:spacing w:before="206" w:line="226" w:lineRule="exact"/>
        <w:ind w:left="283" w:right="5"/>
        <w:jc w:val="both"/>
      </w:pPr>
      <w:r>
        <w:rPr>
          <w:spacing w:val="-7"/>
          <w:sz w:val="16"/>
          <w:szCs w:val="16"/>
          <w:lang w:val="es-ES_tradnl"/>
        </w:rPr>
        <w:t>(</w:t>
      </w:r>
      <w:r>
        <w:rPr>
          <w:rFonts w:cs="Times New Roman"/>
          <w:spacing w:val="-7"/>
          <w:sz w:val="16"/>
          <w:szCs w:val="16"/>
          <w:lang w:val="es-ES_tradnl"/>
        </w:rPr>
        <w:t>…</w:t>
      </w:r>
      <w:r>
        <w:rPr>
          <w:spacing w:val="-7"/>
          <w:sz w:val="16"/>
          <w:szCs w:val="16"/>
          <w:lang w:val="es-ES_tradnl"/>
        </w:rPr>
        <w:t xml:space="preserve">) con fecha 02 de diciembre del 2013, fue designado como </w:t>
      </w:r>
      <w:r>
        <w:rPr>
          <w:spacing w:val="-4"/>
          <w:sz w:val="16"/>
          <w:szCs w:val="16"/>
          <w:lang w:val="es-ES_tradnl"/>
        </w:rPr>
        <w:t>juez titular del juzgado multicompetente d</w:t>
      </w:r>
      <w:r>
        <w:rPr>
          <w:rFonts w:cs="Times New Roman"/>
          <w:spacing w:val="-4"/>
          <w:sz w:val="16"/>
          <w:szCs w:val="16"/>
          <w:lang w:val="es-ES_tradnl"/>
        </w:rPr>
        <w:t>é</w:t>
      </w:r>
      <w:r>
        <w:rPr>
          <w:spacing w:val="-4"/>
          <w:sz w:val="16"/>
          <w:szCs w:val="16"/>
          <w:lang w:val="es-ES_tradnl"/>
        </w:rPr>
        <w:t xml:space="preserve">cimo cuarto de </w:t>
      </w:r>
      <w:r>
        <w:rPr>
          <w:spacing w:val="-7"/>
          <w:sz w:val="16"/>
          <w:szCs w:val="16"/>
          <w:lang w:val="es-ES_tradnl"/>
        </w:rPr>
        <w:t xml:space="preserve">Loja, con sede en Paltas, y sobre este caso en concreto ha </w:t>
      </w:r>
      <w:r>
        <w:rPr>
          <w:spacing w:val="-5"/>
          <w:sz w:val="16"/>
          <w:szCs w:val="16"/>
          <w:lang w:val="es-ES_tradnl"/>
        </w:rPr>
        <w:t>llegado a mi conocimiento el d</w:t>
      </w:r>
      <w:r>
        <w:rPr>
          <w:rFonts w:cs="Times New Roman"/>
          <w:spacing w:val="-5"/>
          <w:sz w:val="16"/>
          <w:szCs w:val="16"/>
          <w:lang w:val="es-ES_tradnl"/>
        </w:rPr>
        <w:t>í</w:t>
      </w:r>
      <w:r>
        <w:rPr>
          <w:spacing w:val="-5"/>
          <w:sz w:val="16"/>
          <w:szCs w:val="16"/>
          <w:lang w:val="es-ES_tradnl"/>
        </w:rPr>
        <w:t xml:space="preserve">a lunes 14 de julio de 2014, </w:t>
      </w:r>
      <w:r>
        <w:rPr>
          <w:spacing w:val="-4"/>
          <w:sz w:val="16"/>
          <w:szCs w:val="16"/>
          <w:lang w:val="es-ES_tradnl"/>
        </w:rPr>
        <w:t>ante el pedido realizado por su autoridad, inform</w:t>
      </w:r>
      <w:r>
        <w:rPr>
          <w:rFonts w:cs="Times New Roman"/>
          <w:spacing w:val="-4"/>
          <w:sz w:val="16"/>
          <w:szCs w:val="16"/>
          <w:lang w:val="es-ES_tradnl"/>
        </w:rPr>
        <w:t>á</w:t>
      </w:r>
      <w:r>
        <w:rPr>
          <w:spacing w:val="-4"/>
          <w:sz w:val="16"/>
          <w:szCs w:val="16"/>
          <w:lang w:val="es-ES_tradnl"/>
        </w:rPr>
        <w:t xml:space="preserve">ndole que </w:t>
      </w:r>
      <w:r>
        <w:rPr>
          <w:spacing w:val="-7"/>
          <w:sz w:val="16"/>
          <w:szCs w:val="16"/>
          <w:lang w:val="es-ES_tradnl"/>
        </w:rPr>
        <w:t>el presente proceso se hab</w:t>
      </w:r>
      <w:r>
        <w:rPr>
          <w:rFonts w:cs="Times New Roman"/>
          <w:spacing w:val="-7"/>
          <w:sz w:val="16"/>
          <w:szCs w:val="16"/>
          <w:lang w:val="es-ES_tradnl"/>
        </w:rPr>
        <w:t>í</w:t>
      </w:r>
      <w:r>
        <w:rPr>
          <w:spacing w:val="-7"/>
          <w:sz w:val="16"/>
          <w:szCs w:val="16"/>
          <w:lang w:val="es-ES_tradnl"/>
        </w:rPr>
        <w:t xml:space="preserve">a encontrado dentro del archivo </w:t>
      </w:r>
      <w:r>
        <w:rPr>
          <w:sz w:val="16"/>
          <w:szCs w:val="16"/>
          <w:lang w:val="es-ES_tradnl"/>
        </w:rPr>
        <w:t>pasivo de este Juzgado (</w:t>
      </w:r>
      <w:r>
        <w:rPr>
          <w:rFonts w:cs="Times New Roman"/>
          <w:sz w:val="16"/>
          <w:szCs w:val="16"/>
          <w:lang w:val="es-ES_tradnl"/>
        </w:rPr>
        <w:t>…</w:t>
      </w:r>
      <w:r>
        <w:rPr>
          <w:sz w:val="16"/>
          <w:szCs w:val="16"/>
          <w:lang w:val="es-ES_tradnl"/>
        </w:rPr>
        <w:t>).</w:t>
      </w:r>
    </w:p>
    <w:p w14:paraId="4F67AA51" w14:textId="77777777" w:rsidR="00591D54" w:rsidRDefault="00591D54">
      <w:pPr>
        <w:shd w:val="clear" w:color="auto" w:fill="FFFFFF"/>
        <w:spacing w:before="216" w:line="226" w:lineRule="exact"/>
        <w:ind w:right="5"/>
        <w:jc w:val="both"/>
      </w:pPr>
      <w:r>
        <w:rPr>
          <w:spacing w:val="-5"/>
          <w:sz w:val="18"/>
          <w:szCs w:val="18"/>
          <w:lang w:val="es-ES_tradnl"/>
        </w:rPr>
        <w:t>Adicionalmente, indica que durante el tiempo que se encuentra laborando como juez, no ha existido ning</w:t>
      </w:r>
      <w:r>
        <w:rPr>
          <w:rFonts w:cs="Times New Roman"/>
          <w:spacing w:val="-5"/>
          <w:sz w:val="18"/>
          <w:szCs w:val="18"/>
          <w:lang w:val="es-ES_tradnl"/>
        </w:rPr>
        <w:t>ú</w:t>
      </w:r>
      <w:r>
        <w:rPr>
          <w:spacing w:val="-5"/>
          <w:sz w:val="18"/>
          <w:szCs w:val="18"/>
          <w:lang w:val="es-ES_tradnl"/>
        </w:rPr>
        <w:t xml:space="preserve">n </w:t>
      </w:r>
      <w:r>
        <w:rPr>
          <w:spacing w:val="-3"/>
          <w:sz w:val="18"/>
          <w:szCs w:val="18"/>
          <w:lang w:val="es-ES_tradnl"/>
        </w:rPr>
        <w:t>pedido o solicitud respecto a la causa N.</w:t>
      </w:r>
      <w:r>
        <w:rPr>
          <w:rFonts w:cs="Times New Roman"/>
          <w:spacing w:val="-3"/>
          <w:sz w:val="18"/>
          <w:szCs w:val="18"/>
          <w:lang w:val="es-ES_tradnl"/>
        </w:rPr>
        <w:t>°</w:t>
      </w:r>
      <w:r>
        <w:rPr>
          <w:spacing w:val="-3"/>
          <w:sz w:val="18"/>
          <w:szCs w:val="18"/>
          <w:lang w:val="es-ES_tradnl"/>
        </w:rPr>
        <w:t xml:space="preserve"> 013-2010. </w:t>
      </w:r>
      <w:r>
        <w:rPr>
          <w:spacing w:val="-7"/>
          <w:sz w:val="18"/>
          <w:szCs w:val="18"/>
          <w:lang w:val="es-ES_tradnl"/>
        </w:rPr>
        <w:t>Adem</w:t>
      </w:r>
      <w:r>
        <w:rPr>
          <w:rFonts w:cs="Times New Roman"/>
          <w:spacing w:val="-7"/>
          <w:sz w:val="18"/>
          <w:szCs w:val="18"/>
          <w:lang w:val="es-ES_tradnl"/>
        </w:rPr>
        <w:t>á</w:t>
      </w:r>
      <w:r>
        <w:rPr>
          <w:spacing w:val="-7"/>
          <w:sz w:val="18"/>
          <w:szCs w:val="18"/>
          <w:lang w:val="es-ES_tradnl"/>
        </w:rPr>
        <w:t xml:space="preserve">s, recalca que: </w:t>
      </w:r>
      <w:r>
        <w:rPr>
          <w:rFonts w:cs="Times New Roman"/>
          <w:spacing w:val="-7"/>
          <w:sz w:val="18"/>
          <w:szCs w:val="18"/>
          <w:lang w:val="es-ES_tradnl"/>
        </w:rPr>
        <w:t>“</w:t>
      </w:r>
      <w:r>
        <w:rPr>
          <w:spacing w:val="-7"/>
          <w:sz w:val="18"/>
          <w:szCs w:val="18"/>
          <w:lang w:val="es-ES_tradnl"/>
        </w:rPr>
        <w:t>(</w:t>
      </w:r>
      <w:r>
        <w:rPr>
          <w:rFonts w:cs="Times New Roman"/>
          <w:spacing w:val="-7"/>
          <w:sz w:val="18"/>
          <w:szCs w:val="18"/>
          <w:lang w:val="es-ES_tradnl"/>
        </w:rPr>
        <w:t>…</w:t>
      </w:r>
      <w:r>
        <w:rPr>
          <w:spacing w:val="-7"/>
          <w:sz w:val="18"/>
          <w:szCs w:val="18"/>
          <w:lang w:val="es-ES_tradnl"/>
        </w:rPr>
        <w:t>) de la revisi</w:t>
      </w:r>
      <w:r>
        <w:rPr>
          <w:rFonts w:cs="Times New Roman"/>
          <w:spacing w:val="-7"/>
          <w:sz w:val="18"/>
          <w:szCs w:val="18"/>
          <w:lang w:val="es-ES_tradnl"/>
        </w:rPr>
        <w:t>ó</w:t>
      </w:r>
      <w:r>
        <w:rPr>
          <w:spacing w:val="-7"/>
          <w:sz w:val="18"/>
          <w:szCs w:val="18"/>
          <w:lang w:val="es-ES_tradnl"/>
        </w:rPr>
        <w:t xml:space="preserve">n del expediente a fojas 15, con fecha diez de febrero del dos mil once, a las </w:t>
      </w:r>
      <w:r>
        <w:rPr>
          <w:spacing w:val="-6"/>
          <w:sz w:val="18"/>
          <w:szCs w:val="18"/>
          <w:lang w:val="es-ES_tradnl"/>
        </w:rPr>
        <w:t xml:space="preserve">08h30, consta un acta en la cual el Dr. Homer Humberto </w:t>
      </w:r>
      <w:r>
        <w:rPr>
          <w:spacing w:val="-3"/>
          <w:sz w:val="18"/>
          <w:szCs w:val="18"/>
          <w:lang w:val="es-ES_tradnl"/>
        </w:rPr>
        <w:t>Galv</w:t>
      </w:r>
      <w:r>
        <w:rPr>
          <w:rFonts w:cs="Times New Roman"/>
          <w:spacing w:val="-3"/>
          <w:sz w:val="18"/>
          <w:szCs w:val="18"/>
          <w:lang w:val="es-ES_tradnl"/>
        </w:rPr>
        <w:t>á</w:t>
      </w:r>
      <w:r>
        <w:rPr>
          <w:spacing w:val="-3"/>
          <w:sz w:val="18"/>
          <w:szCs w:val="18"/>
          <w:lang w:val="es-ES_tradnl"/>
        </w:rPr>
        <w:t>n Calder</w:t>
      </w:r>
      <w:r>
        <w:rPr>
          <w:rFonts w:cs="Times New Roman"/>
          <w:spacing w:val="-3"/>
          <w:sz w:val="18"/>
          <w:szCs w:val="18"/>
          <w:lang w:val="es-ES_tradnl"/>
        </w:rPr>
        <w:t>ó</w:t>
      </w:r>
      <w:r>
        <w:rPr>
          <w:spacing w:val="-3"/>
          <w:sz w:val="18"/>
          <w:szCs w:val="18"/>
          <w:lang w:val="es-ES_tradnl"/>
        </w:rPr>
        <w:t>n, juez del juzgado D</w:t>
      </w:r>
      <w:r>
        <w:rPr>
          <w:rFonts w:cs="Times New Roman"/>
          <w:spacing w:val="-3"/>
          <w:sz w:val="18"/>
          <w:szCs w:val="18"/>
          <w:lang w:val="es-ES_tradnl"/>
        </w:rPr>
        <w:t>é</w:t>
      </w:r>
      <w:r>
        <w:rPr>
          <w:spacing w:val="-3"/>
          <w:sz w:val="18"/>
          <w:szCs w:val="18"/>
          <w:lang w:val="es-ES_tradnl"/>
        </w:rPr>
        <w:t xml:space="preserve">cimo Cuarto de </w:t>
      </w:r>
      <w:r>
        <w:rPr>
          <w:spacing w:val="-5"/>
          <w:sz w:val="18"/>
          <w:szCs w:val="18"/>
          <w:lang w:val="es-ES_tradnl"/>
        </w:rPr>
        <w:t xml:space="preserve">Loja, con sede en Paltas, personalmente hace la entrega </w:t>
      </w:r>
      <w:r>
        <w:rPr>
          <w:spacing w:val="-6"/>
          <w:sz w:val="18"/>
          <w:szCs w:val="18"/>
          <w:lang w:val="es-ES_tradnl"/>
        </w:rPr>
        <w:t>y recepci</w:t>
      </w:r>
      <w:r>
        <w:rPr>
          <w:rFonts w:cs="Times New Roman"/>
          <w:spacing w:val="-6"/>
          <w:sz w:val="18"/>
          <w:szCs w:val="18"/>
          <w:lang w:val="es-ES_tradnl"/>
        </w:rPr>
        <w:t>ó</w:t>
      </w:r>
      <w:r>
        <w:rPr>
          <w:spacing w:val="-6"/>
          <w:sz w:val="18"/>
          <w:szCs w:val="18"/>
          <w:lang w:val="es-ES_tradnl"/>
        </w:rPr>
        <w:t>n del puesto de trabajo de la se</w:t>
      </w:r>
      <w:r>
        <w:rPr>
          <w:rFonts w:cs="Times New Roman"/>
          <w:spacing w:val="-6"/>
          <w:sz w:val="18"/>
          <w:szCs w:val="18"/>
          <w:lang w:val="es-ES_tradnl"/>
        </w:rPr>
        <w:t>ñ</w:t>
      </w:r>
      <w:r>
        <w:rPr>
          <w:spacing w:val="-6"/>
          <w:sz w:val="18"/>
          <w:szCs w:val="18"/>
          <w:lang w:val="es-ES_tradnl"/>
        </w:rPr>
        <w:t xml:space="preserve">ora Herlinda </w:t>
      </w:r>
      <w:r>
        <w:rPr>
          <w:spacing w:val="-4"/>
          <w:sz w:val="18"/>
          <w:szCs w:val="18"/>
          <w:lang w:val="es-ES_tradnl"/>
        </w:rPr>
        <w:t>Cris</w:t>
      </w:r>
      <w:r>
        <w:rPr>
          <w:rFonts w:cs="Times New Roman"/>
          <w:spacing w:val="-4"/>
          <w:sz w:val="18"/>
          <w:szCs w:val="18"/>
          <w:lang w:val="es-ES_tradnl"/>
        </w:rPr>
        <w:t>á</w:t>
      </w:r>
      <w:r>
        <w:rPr>
          <w:spacing w:val="-4"/>
          <w:sz w:val="18"/>
          <w:szCs w:val="18"/>
          <w:lang w:val="es-ES_tradnl"/>
        </w:rPr>
        <w:t>lida Armijos Tinoco, tercena N.</w:t>
      </w:r>
      <w:r>
        <w:rPr>
          <w:rFonts w:cs="Times New Roman"/>
          <w:spacing w:val="-4"/>
          <w:sz w:val="18"/>
          <w:szCs w:val="18"/>
          <w:lang w:val="es-ES_tradnl"/>
        </w:rPr>
        <w:t>º</w:t>
      </w:r>
      <w:r>
        <w:rPr>
          <w:spacing w:val="-4"/>
          <w:sz w:val="18"/>
          <w:szCs w:val="18"/>
          <w:lang w:val="es-ES_tradnl"/>
        </w:rPr>
        <w:t xml:space="preserve"> 20 (</w:t>
      </w:r>
      <w:r>
        <w:rPr>
          <w:rFonts w:cs="Times New Roman"/>
          <w:spacing w:val="-4"/>
          <w:sz w:val="18"/>
          <w:szCs w:val="18"/>
          <w:lang w:val="es-ES_tradnl"/>
        </w:rPr>
        <w:t>…</w:t>
      </w:r>
      <w:r>
        <w:rPr>
          <w:spacing w:val="-4"/>
          <w:sz w:val="18"/>
          <w:szCs w:val="18"/>
          <w:lang w:val="es-ES_tradnl"/>
        </w:rPr>
        <w:t>)</w:t>
      </w:r>
      <w:r>
        <w:rPr>
          <w:rFonts w:cs="Times New Roman"/>
          <w:spacing w:val="-4"/>
          <w:sz w:val="18"/>
          <w:szCs w:val="18"/>
          <w:lang w:val="es-ES_tradnl"/>
        </w:rPr>
        <w:t>”</w:t>
      </w:r>
      <w:r>
        <w:rPr>
          <w:spacing w:val="-4"/>
          <w:sz w:val="18"/>
          <w:szCs w:val="18"/>
          <w:lang w:val="es-ES_tradnl"/>
        </w:rPr>
        <w:t>. (SIC).</w:t>
      </w:r>
    </w:p>
    <w:p w14:paraId="4F67AA52" w14:textId="77777777" w:rsidR="00591D54" w:rsidRDefault="00591D54">
      <w:pPr>
        <w:shd w:val="clear" w:color="auto" w:fill="FFFFFF"/>
      </w:pPr>
      <w:r>
        <w:br w:type="column"/>
      </w:r>
      <w:r>
        <w:rPr>
          <w:b/>
          <w:bCs/>
          <w:spacing w:val="-10"/>
          <w:sz w:val="18"/>
          <w:szCs w:val="18"/>
          <w:lang w:val="es-ES_tradnl"/>
        </w:rPr>
        <w:t>Comparecencia de terceros con inter</w:t>
      </w:r>
      <w:r>
        <w:rPr>
          <w:rFonts w:cs="Times New Roman"/>
          <w:b/>
          <w:bCs/>
          <w:spacing w:val="-10"/>
          <w:sz w:val="18"/>
          <w:szCs w:val="18"/>
          <w:lang w:val="es-ES_tradnl"/>
        </w:rPr>
        <w:t>é</w:t>
      </w:r>
      <w:r>
        <w:rPr>
          <w:b/>
          <w:bCs/>
          <w:spacing w:val="-10"/>
          <w:sz w:val="18"/>
          <w:szCs w:val="18"/>
          <w:lang w:val="es-ES_tradnl"/>
        </w:rPr>
        <w:t>s en la causa</w:t>
      </w:r>
    </w:p>
    <w:p w14:paraId="4F67AA53" w14:textId="77777777" w:rsidR="00591D54" w:rsidRDefault="00591D54">
      <w:pPr>
        <w:shd w:val="clear" w:color="auto" w:fill="FFFFFF"/>
        <w:spacing w:before="202"/>
      </w:pPr>
      <w:r>
        <w:rPr>
          <w:b/>
          <w:bCs/>
          <w:spacing w:val="-7"/>
          <w:sz w:val="18"/>
          <w:szCs w:val="18"/>
          <w:lang w:val="es-ES_tradnl"/>
        </w:rPr>
        <w:t>Procuradur</w:t>
      </w:r>
      <w:r>
        <w:rPr>
          <w:rFonts w:cs="Times New Roman"/>
          <w:b/>
          <w:bCs/>
          <w:spacing w:val="-7"/>
          <w:sz w:val="18"/>
          <w:szCs w:val="18"/>
          <w:lang w:val="es-ES_tradnl"/>
        </w:rPr>
        <w:t>í</w:t>
      </w:r>
      <w:r>
        <w:rPr>
          <w:b/>
          <w:bCs/>
          <w:spacing w:val="-7"/>
          <w:sz w:val="18"/>
          <w:szCs w:val="18"/>
          <w:lang w:val="es-ES_tradnl"/>
        </w:rPr>
        <w:t>a General del Estado</w:t>
      </w:r>
    </w:p>
    <w:p w14:paraId="4F67AA54" w14:textId="77777777" w:rsidR="00591D54" w:rsidRDefault="00591D54">
      <w:pPr>
        <w:shd w:val="clear" w:color="auto" w:fill="FFFFFF"/>
        <w:spacing w:before="206" w:line="221" w:lineRule="exact"/>
        <w:jc w:val="both"/>
      </w:pPr>
      <w:r>
        <w:rPr>
          <w:spacing w:val="-7"/>
          <w:sz w:val="18"/>
          <w:szCs w:val="18"/>
          <w:lang w:val="es-ES_tradnl"/>
        </w:rPr>
        <w:t xml:space="preserve">El abogado Marcos Arteaga Valenzuela, director nacional </w:t>
      </w:r>
      <w:r>
        <w:rPr>
          <w:spacing w:val="-2"/>
          <w:sz w:val="18"/>
          <w:szCs w:val="18"/>
          <w:lang w:val="es-ES_tradnl"/>
        </w:rPr>
        <w:t xml:space="preserve">de Patrocinio y delegado del procurador general del </w:t>
      </w:r>
      <w:r>
        <w:rPr>
          <w:spacing w:val="-6"/>
          <w:sz w:val="18"/>
          <w:szCs w:val="18"/>
          <w:lang w:val="es-ES_tradnl"/>
        </w:rPr>
        <w:t xml:space="preserve">Estado, comparece a foja 347 del expediente, ratificando </w:t>
      </w:r>
      <w:r>
        <w:rPr>
          <w:spacing w:val="-5"/>
          <w:sz w:val="18"/>
          <w:szCs w:val="18"/>
          <w:lang w:val="es-ES_tradnl"/>
        </w:rPr>
        <w:t>la intervenci</w:t>
      </w:r>
      <w:r>
        <w:rPr>
          <w:rFonts w:cs="Times New Roman"/>
          <w:spacing w:val="-5"/>
          <w:sz w:val="18"/>
          <w:szCs w:val="18"/>
          <w:lang w:val="es-ES_tradnl"/>
        </w:rPr>
        <w:t>ó</w:t>
      </w:r>
      <w:r>
        <w:rPr>
          <w:spacing w:val="-5"/>
          <w:sz w:val="18"/>
          <w:szCs w:val="18"/>
          <w:lang w:val="es-ES_tradnl"/>
        </w:rPr>
        <w:t>n de Jimmy Carvajal en la audiencia p</w:t>
      </w:r>
      <w:r>
        <w:rPr>
          <w:rFonts w:cs="Times New Roman"/>
          <w:spacing w:val="-5"/>
          <w:sz w:val="18"/>
          <w:szCs w:val="18"/>
          <w:lang w:val="es-ES_tradnl"/>
        </w:rPr>
        <w:t>ú</w:t>
      </w:r>
      <w:r>
        <w:rPr>
          <w:spacing w:val="-5"/>
          <w:sz w:val="18"/>
          <w:szCs w:val="18"/>
          <w:lang w:val="es-ES_tradnl"/>
        </w:rPr>
        <w:t xml:space="preserve">blica </w:t>
      </w:r>
      <w:r>
        <w:rPr>
          <w:spacing w:val="-3"/>
          <w:sz w:val="18"/>
          <w:szCs w:val="18"/>
          <w:lang w:val="es-ES_tradnl"/>
        </w:rPr>
        <w:t>y se</w:t>
      </w:r>
      <w:r>
        <w:rPr>
          <w:rFonts w:cs="Times New Roman"/>
          <w:spacing w:val="-3"/>
          <w:sz w:val="18"/>
          <w:szCs w:val="18"/>
          <w:lang w:val="es-ES_tradnl"/>
        </w:rPr>
        <w:t>ñ</w:t>
      </w:r>
      <w:r>
        <w:rPr>
          <w:spacing w:val="-3"/>
          <w:sz w:val="18"/>
          <w:szCs w:val="18"/>
          <w:lang w:val="es-ES_tradnl"/>
        </w:rPr>
        <w:t>alando casillero constitucional N.</w:t>
      </w:r>
      <w:r>
        <w:rPr>
          <w:rFonts w:cs="Times New Roman"/>
          <w:spacing w:val="-3"/>
          <w:sz w:val="18"/>
          <w:szCs w:val="18"/>
          <w:lang w:val="es-ES_tradnl"/>
        </w:rPr>
        <w:t>º</w:t>
      </w:r>
      <w:r>
        <w:rPr>
          <w:spacing w:val="-3"/>
          <w:sz w:val="18"/>
          <w:szCs w:val="18"/>
          <w:lang w:val="es-ES_tradnl"/>
        </w:rPr>
        <w:t xml:space="preserve"> 18 para las </w:t>
      </w:r>
      <w:r>
        <w:rPr>
          <w:sz w:val="18"/>
          <w:szCs w:val="18"/>
          <w:lang w:val="es-ES_tradnl"/>
        </w:rPr>
        <w:t>respectivas notificaciones.</w:t>
      </w:r>
    </w:p>
    <w:p w14:paraId="4F67AA55" w14:textId="77777777" w:rsidR="00591D54" w:rsidRDefault="00591D54">
      <w:pPr>
        <w:shd w:val="clear" w:color="auto" w:fill="FFFFFF"/>
        <w:spacing w:before="197"/>
      </w:pPr>
      <w:r>
        <w:rPr>
          <w:b/>
          <w:bCs/>
          <w:spacing w:val="-8"/>
          <w:sz w:val="18"/>
          <w:szCs w:val="18"/>
          <w:lang w:val="es-ES_tradnl"/>
        </w:rPr>
        <w:t>Audiencia p</w:t>
      </w:r>
      <w:r>
        <w:rPr>
          <w:rFonts w:cs="Times New Roman"/>
          <w:b/>
          <w:bCs/>
          <w:spacing w:val="-8"/>
          <w:sz w:val="18"/>
          <w:szCs w:val="18"/>
          <w:lang w:val="es-ES_tradnl"/>
        </w:rPr>
        <w:t>ú</w:t>
      </w:r>
      <w:r>
        <w:rPr>
          <w:b/>
          <w:bCs/>
          <w:spacing w:val="-8"/>
          <w:sz w:val="18"/>
          <w:szCs w:val="18"/>
          <w:lang w:val="es-ES_tradnl"/>
        </w:rPr>
        <w:t>blica</w:t>
      </w:r>
    </w:p>
    <w:p w14:paraId="4F67AA56" w14:textId="77777777" w:rsidR="00591D54" w:rsidRDefault="00591D54">
      <w:pPr>
        <w:shd w:val="clear" w:color="auto" w:fill="FFFFFF"/>
        <w:spacing w:before="206" w:line="221" w:lineRule="exact"/>
        <w:jc w:val="both"/>
      </w:pPr>
      <w:r>
        <w:rPr>
          <w:spacing w:val="-6"/>
          <w:sz w:val="18"/>
          <w:szCs w:val="18"/>
          <w:lang w:val="es-ES_tradnl"/>
        </w:rPr>
        <w:t xml:space="preserve">Mediante providencia del 07 de enero de 2015, el juez </w:t>
      </w:r>
      <w:r>
        <w:rPr>
          <w:spacing w:val="-2"/>
          <w:sz w:val="18"/>
          <w:szCs w:val="18"/>
          <w:lang w:val="es-ES_tradnl"/>
        </w:rPr>
        <w:t>sustanciador, Antonio Gagliardo Loor, convoc</w:t>
      </w:r>
      <w:r>
        <w:rPr>
          <w:rFonts w:cs="Times New Roman"/>
          <w:spacing w:val="-2"/>
          <w:sz w:val="18"/>
          <w:szCs w:val="18"/>
          <w:lang w:val="es-ES_tradnl"/>
        </w:rPr>
        <w:t>ó</w:t>
      </w:r>
      <w:r>
        <w:rPr>
          <w:spacing w:val="-2"/>
          <w:sz w:val="18"/>
          <w:szCs w:val="18"/>
          <w:lang w:val="es-ES_tradnl"/>
        </w:rPr>
        <w:t xml:space="preserve"> a las </w:t>
      </w:r>
      <w:r>
        <w:rPr>
          <w:spacing w:val="-8"/>
          <w:sz w:val="18"/>
          <w:szCs w:val="18"/>
          <w:lang w:val="es-ES_tradnl"/>
        </w:rPr>
        <w:t>partes procesales a la audiencia p</w:t>
      </w:r>
      <w:r>
        <w:rPr>
          <w:rFonts w:cs="Times New Roman"/>
          <w:spacing w:val="-8"/>
          <w:sz w:val="18"/>
          <w:szCs w:val="18"/>
          <w:lang w:val="es-ES_tradnl"/>
        </w:rPr>
        <w:t>ú</w:t>
      </w:r>
      <w:r>
        <w:rPr>
          <w:spacing w:val="-8"/>
          <w:sz w:val="18"/>
          <w:szCs w:val="18"/>
          <w:lang w:val="es-ES_tradnl"/>
        </w:rPr>
        <w:t xml:space="preserve">blica oral para el martes </w:t>
      </w:r>
      <w:r>
        <w:rPr>
          <w:spacing w:val="-5"/>
          <w:sz w:val="18"/>
          <w:szCs w:val="18"/>
          <w:lang w:val="es-ES_tradnl"/>
        </w:rPr>
        <w:t>20 de enero de 2015, y de la raz</w:t>
      </w:r>
      <w:r>
        <w:rPr>
          <w:rFonts w:cs="Times New Roman"/>
          <w:spacing w:val="-5"/>
          <w:sz w:val="18"/>
          <w:szCs w:val="18"/>
          <w:lang w:val="es-ES_tradnl"/>
        </w:rPr>
        <w:t>ó</w:t>
      </w:r>
      <w:r>
        <w:rPr>
          <w:spacing w:val="-5"/>
          <w:sz w:val="18"/>
          <w:szCs w:val="18"/>
          <w:lang w:val="es-ES_tradnl"/>
        </w:rPr>
        <w:t xml:space="preserve">n sentada por parte de </w:t>
      </w:r>
      <w:r>
        <w:rPr>
          <w:spacing w:val="-8"/>
          <w:sz w:val="18"/>
          <w:szCs w:val="18"/>
          <w:lang w:val="es-ES_tradnl"/>
        </w:rPr>
        <w:t xml:space="preserve">la actuaria se desprende que a la mencionada diligencia </w:t>
      </w:r>
      <w:r>
        <w:rPr>
          <w:spacing w:val="-9"/>
          <w:sz w:val="18"/>
          <w:szCs w:val="18"/>
          <w:lang w:val="es-ES_tradnl"/>
        </w:rPr>
        <w:t>comparecieron el doctor Jimmy Carvajal, en representaci</w:t>
      </w:r>
      <w:r>
        <w:rPr>
          <w:rFonts w:cs="Times New Roman"/>
          <w:spacing w:val="-9"/>
          <w:sz w:val="18"/>
          <w:szCs w:val="18"/>
          <w:lang w:val="es-ES_tradnl"/>
        </w:rPr>
        <w:t>ó</w:t>
      </w:r>
      <w:r>
        <w:rPr>
          <w:spacing w:val="-9"/>
          <w:sz w:val="18"/>
          <w:szCs w:val="18"/>
          <w:lang w:val="es-ES_tradnl"/>
        </w:rPr>
        <w:t xml:space="preserve">n </w:t>
      </w:r>
      <w:r>
        <w:rPr>
          <w:spacing w:val="-8"/>
          <w:sz w:val="18"/>
          <w:szCs w:val="18"/>
          <w:lang w:val="es-ES_tradnl"/>
        </w:rPr>
        <w:t>de la Procuradur</w:t>
      </w:r>
      <w:r>
        <w:rPr>
          <w:rFonts w:cs="Times New Roman"/>
          <w:spacing w:val="-8"/>
          <w:sz w:val="18"/>
          <w:szCs w:val="18"/>
          <w:lang w:val="es-ES_tradnl"/>
        </w:rPr>
        <w:t>í</w:t>
      </w:r>
      <w:r>
        <w:rPr>
          <w:spacing w:val="-8"/>
          <w:sz w:val="18"/>
          <w:szCs w:val="18"/>
          <w:lang w:val="es-ES_tradnl"/>
        </w:rPr>
        <w:t xml:space="preserve">a General del Estado, y el doctor Manuel </w:t>
      </w:r>
      <w:r>
        <w:rPr>
          <w:spacing w:val="-6"/>
          <w:sz w:val="18"/>
          <w:szCs w:val="18"/>
          <w:lang w:val="es-ES_tradnl"/>
        </w:rPr>
        <w:t>Tandazo Tacuri, en calidad de procurador s</w:t>
      </w:r>
      <w:r>
        <w:rPr>
          <w:rFonts w:cs="Times New Roman"/>
          <w:spacing w:val="-6"/>
          <w:sz w:val="18"/>
          <w:szCs w:val="18"/>
          <w:lang w:val="es-ES_tradnl"/>
        </w:rPr>
        <w:t>í</w:t>
      </w:r>
      <w:r>
        <w:rPr>
          <w:spacing w:val="-6"/>
          <w:sz w:val="18"/>
          <w:szCs w:val="18"/>
          <w:lang w:val="es-ES_tradnl"/>
        </w:rPr>
        <w:t xml:space="preserve">ndico del </w:t>
      </w:r>
      <w:r>
        <w:rPr>
          <w:sz w:val="18"/>
          <w:szCs w:val="18"/>
          <w:lang w:val="es-ES_tradnl"/>
        </w:rPr>
        <w:t>Municipio del cant</w:t>
      </w:r>
      <w:r>
        <w:rPr>
          <w:rFonts w:cs="Times New Roman"/>
          <w:sz w:val="18"/>
          <w:szCs w:val="18"/>
          <w:lang w:val="es-ES_tradnl"/>
        </w:rPr>
        <w:t>ó</w:t>
      </w:r>
      <w:r>
        <w:rPr>
          <w:sz w:val="18"/>
          <w:szCs w:val="18"/>
          <w:lang w:val="es-ES_tradnl"/>
        </w:rPr>
        <w:t>n Paltas.</w:t>
      </w:r>
    </w:p>
    <w:p w14:paraId="4F67AA57" w14:textId="77777777" w:rsidR="00591D54" w:rsidRDefault="00591D54">
      <w:pPr>
        <w:shd w:val="clear" w:color="auto" w:fill="FFFFFF"/>
        <w:spacing w:before="202" w:line="226" w:lineRule="exact"/>
        <w:jc w:val="both"/>
      </w:pPr>
      <w:r>
        <w:rPr>
          <w:spacing w:val="-7"/>
          <w:sz w:val="18"/>
          <w:szCs w:val="18"/>
          <w:lang w:val="es-ES_tradnl"/>
        </w:rPr>
        <w:t xml:space="preserve">Ni la legitimada activa ni su abogado defensor asistieron a </w:t>
      </w:r>
      <w:r>
        <w:rPr>
          <w:spacing w:val="-9"/>
          <w:sz w:val="18"/>
          <w:szCs w:val="18"/>
          <w:lang w:val="es-ES_tradnl"/>
        </w:rPr>
        <w:t xml:space="preserve">la audiencia oral convocada; sin embargo, mediante escrito </w:t>
      </w:r>
      <w:r>
        <w:rPr>
          <w:spacing w:val="-8"/>
          <w:sz w:val="18"/>
          <w:szCs w:val="18"/>
          <w:lang w:val="es-ES_tradnl"/>
        </w:rPr>
        <w:t xml:space="preserve">presentado el 19 de enero de 2015, ante esta judicatura, </w:t>
      </w:r>
      <w:r>
        <w:rPr>
          <w:spacing w:val="-10"/>
          <w:sz w:val="18"/>
          <w:szCs w:val="18"/>
          <w:lang w:val="es-ES_tradnl"/>
        </w:rPr>
        <w:t>justificaron su inasistencia por falta de recursos econ</w:t>
      </w:r>
      <w:r>
        <w:rPr>
          <w:rFonts w:cs="Times New Roman"/>
          <w:spacing w:val="-10"/>
          <w:sz w:val="18"/>
          <w:szCs w:val="18"/>
          <w:lang w:val="es-ES_tradnl"/>
        </w:rPr>
        <w:t>ó</w:t>
      </w:r>
      <w:r>
        <w:rPr>
          <w:spacing w:val="-10"/>
          <w:sz w:val="18"/>
          <w:szCs w:val="18"/>
          <w:lang w:val="es-ES_tradnl"/>
        </w:rPr>
        <w:t>micos.</w:t>
      </w:r>
    </w:p>
    <w:p w14:paraId="4F67AA58" w14:textId="77777777" w:rsidR="00591D54" w:rsidRDefault="00591D54">
      <w:pPr>
        <w:shd w:val="clear" w:color="auto" w:fill="FFFFFF"/>
        <w:spacing w:before="202" w:line="226" w:lineRule="exact"/>
        <w:jc w:val="both"/>
      </w:pPr>
      <w:r>
        <w:rPr>
          <w:b/>
          <w:bCs/>
          <w:spacing w:val="-4"/>
          <w:sz w:val="18"/>
          <w:szCs w:val="18"/>
          <w:lang w:val="es-ES_tradnl"/>
        </w:rPr>
        <w:t>Informe motivado posterior a la realizaci</w:t>
      </w:r>
      <w:r>
        <w:rPr>
          <w:rFonts w:cs="Times New Roman"/>
          <w:b/>
          <w:bCs/>
          <w:spacing w:val="-4"/>
          <w:sz w:val="18"/>
          <w:szCs w:val="18"/>
          <w:lang w:val="es-ES_tradnl"/>
        </w:rPr>
        <w:t>ó</w:t>
      </w:r>
      <w:r>
        <w:rPr>
          <w:b/>
          <w:bCs/>
          <w:spacing w:val="-4"/>
          <w:sz w:val="18"/>
          <w:szCs w:val="18"/>
          <w:lang w:val="es-ES_tradnl"/>
        </w:rPr>
        <w:t xml:space="preserve">n de la </w:t>
      </w:r>
      <w:r>
        <w:rPr>
          <w:b/>
          <w:bCs/>
          <w:sz w:val="18"/>
          <w:szCs w:val="18"/>
          <w:lang w:val="es-ES_tradnl"/>
        </w:rPr>
        <w:t>audiencia p</w:t>
      </w:r>
      <w:r>
        <w:rPr>
          <w:rFonts w:cs="Times New Roman"/>
          <w:b/>
          <w:bCs/>
          <w:sz w:val="18"/>
          <w:szCs w:val="18"/>
          <w:lang w:val="es-ES_tradnl"/>
        </w:rPr>
        <w:t>ú</w:t>
      </w:r>
      <w:r>
        <w:rPr>
          <w:b/>
          <w:bCs/>
          <w:sz w:val="18"/>
          <w:szCs w:val="18"/>
          <w:lang w:val="es-ES_tradnl"/>
        </w:rPr>
        <w:t>blica</w:t>
      </w:r>
    </w:p>
    <w:p w14:paraId="4F67AA59" w14:textId="77777777" w:rsidR="00591D54" w:rsidRDefault="00591D54">
      <w:pPr>
        <w:shd w:val="clear" w:color="auto" w:fill="FFFFFF"/>
        <w:spacing w:before="202" w:line="221" w:lineRule="exact"/>
        <w:jc w:val="both"/>
      </w:pPr>
      <w:r>
        <w:rPr>
          <w:spacing w:val="-10"/>
          <w:sz w:val="18"/>
          <w:szCs w:val="18"/>
          <w:lang w:val="es-ES_tradnl"/>
        </w:rPr>
        <w:t xml:space="preserve">Mediante escrito ingresado a la Corte Constitucional el 10 de </w:t>
      </w:r>
      <w:r>
        <w:rPr>
          <w:spacing w:val="-8"/>
          <w:sz w:val="18"/>
          <w:szCs w:val="18"/>
          <w:lang w:val="es-ES_tradnl"/>
        </w:rPr>
        <w:t>febrero de 2015, el doctor Manuel Agust</w:t>
      </w:r>
      <w:r>
        <w:rPr>
          <w:rFonts w:cs="Times New Roman"/>
          <w:spacing w:val="-8"/>
          <w:sz w:val="18"/>
          <w:szCs w:val="18"/>
          <w:lang w:val="es-ES_tradnl"/>
        </w:rPr>
        <w:t>í</w:t>
      </w:r>
      <w:r>
        <w:rPr>
          <w:spacing w:val="-8"/>
          <w:sz w:val="18"/>
          <w:szCs w:val="18"/>
          <w:lang w:val="es-ES_tradnl"/>
        </w:rPr>
        <w:t xml:space="preserve">n Tandazo Tacuri, </w:t>
      </w:r>
      <w:r>
        <w:rPr>
          <w:spacing w:val="-6"/>
          <w:sz w:val="18"/>
          <w:szCs w:val="18"/>
          <w:lang w:val="es-ES_tradnl"/>
        </w:rPr>
        <w:t>en calidad de actual procurador s</w:t>
      </w:r>
      <w:r>
        <w:rPr>
          <w:rFonts w:cs="Times New Roman"/>
          <w:spacing w:val="-6"/>
          <w:sz w:val="18"/>
          <w:szCs w:val="18"/>
          <w:lang w:val="es-ES_tradnl"/>
        </w:rPr>
        <w:t>í</w:t>
      </w:r>
      <w:r>
        <w:rPr>
          <w:spacing w:val="-6"/>
          <w:sz w:val="18"/>
          <w:szCs w:val="18"/>
          <w:lang w:val="es-ES_tradnl"/>
        </w:rPr>
        <w:t xml:space="preserve">ndico del Municipio del </w:t>
      </w:r>
      <w:r>
        <w:rPr>
          <w:spacing w:val="-5"/>
          <w:sz w:val="18"/>
          <w:szCs w:val="18"/>
          <w:lang w:val="es-ES_tradnl"/>
        </w:rPr>
        <w:t>cant</w:t>
      </w:r>
      <w:r>
        <w:rPr>
          <w:rFonts w:cs="Times New Roman"/>
          <w:spacing w:val="-5"/>
          <w:sz w:val="18"/>
          <w:szCs w:val="18"/>
          <w:lang w:val="es-ES_tradnl"/>
        </w:rPr>
        <w:t>ó</w:t>
      </w:r>
      <w:r>
        <w:rPr>
          <w:spacing w:val="-5"/>
          <w:sz w:val="18"/>
          <w:szCs w:val="18"/>
          <w:lang w:val="es-ES_tradnl"/>
        </w:rPr>
        <w:t xml:space="preserve">n Paltas, informa que: </w:t>
      </w:r>
      <w:r>
        <w:rPr>
          <w:rFonts w:cs="Times New Roman"/>
          <w:spacing w:val="-5"/>
          <w:sz w:val="18"/>
          <w:szCs w:val="18"/>
          <w:lang w:val="es-ES_tradnl"/>
        </w:rPr>
        <w:t>“</w:t>
      </w:r>
      <w:r>
        <w:rPr>
          <w:spacing w:val="-5"/>
          <w:sz w:val="18"/>
          <w:szCs w:val="18"/>
          <w:lang w:val="es-ES_tradnl"/>
        </w:rPr>
        <w:t>(</w:t>
      </w:r>
      <w:r>
        <w:rPr>
          <w:rFonts w:cs="Times New Roman"/>
          <w:spacing w:val="-5"/>
          <w:sz w:val="18"/>
          <w:szCs w:val="18"/>
          <w:lang w:val="es-ES_tradnl"/>
        </w:rPr>
        <w:t>…</w:t>
      </w:r>
      <w:r>
        <w:rPr>
          <w:spacing w:val="-5"/>
          <w:sz w:val="18"/>
          <w:szCs w:val="18"/>
          <w:lang w:val="es-ES_tradnl"/>
        </w:rPr>
        <w:t xml:space="preserve">) con el fin de evitar que </w:t>
      </w:r>
      <w:r>
        <w:rPr>
          <w:spacing w:val="-10"/>
          <w:sz w:val="18"/>
          <w:szCs w:val="18"/>
          <w:lang w:val="es-ES_tradnl"/>
        </w:rPr>
        <w:t>contin</w:t>
      </w:r>
      <w:r>
        <w:rPr>
          <w:rFonts w:cs="Times New Roman"/>
          <w:spacing w:val="-10"/>
          <w:sz w:val="18"/>
          <w:szCs w:val="18"/>
          <w:lang w:val="es-ES_tradnl"/>
        </w:rPr>
        <w:t>ú</w:t>
      </w:r>
      <w:r>
        <w:rPr>
          <w:spacing w:val="-10"/>
          <w:sz w:val="18"/>
          <w:szCs w:val="18"/>
          <w:lang w:val="es-ES_tradnl"/>
        </w:rPr>
        <w:t xml:space="preserve">en las agresiones a la moral y a la Ley, he mantenido </w:t>
      </w:r>
      <w:r>
        <w:rPr>
          <w:spacing w:val="-6"/>
          <w:sz w:val="18"/>
          <w:szCs w:val="18"/>
          <w:lang w:val="es-ES_tradnl"/>
        </w:rPr>
        <w:t xml:space="preserve">conversaciones con la Sra. Armijos Tinoco y para poder </w:t>
      </w:r>
      <w:r>
        <w:rPr>
          <w:spacing w:val="-8"/>
          <w:sz w:val="18"/>
          <w:szCs w:val="18"/>
          <w:lang w:val="es-ES_tradnl"/>
        </w:rPr>
        <w:t>servirle, se est</w:t>
      </w:r>
      <w:r>
        <w:rPr>
          <w:rFonts w:cs="Times New Roman"/>
          <w:spacing w:val="-8"/>
          <w:sz w:val="18"/>
          <w:szCs w:val="18"/>
          <w:lang w:val="es-ES_tradnl"/>
        </w:rPr>
        <w:t>á</w:t>
      </w:r>
      <w:r>
        <w:rPr>
          <w:spacing w:val="-8"/>
          <w:sz w:val="18"/>
          <w:szCs w:val="18"/>
          <w:lang w:val="es-ES_tradnl"/>
        </w:rPr>
        <w:t xml:space="preserve"> culminando algunos contratos de arriendo </w:t>
      </w:r>
      <w:r>
        <w:rPr>
          <w:spacing w:val="-7"/>
          <w:sz w:val="18"/>
          <w:szCs w:val="18"/>
          <w:lang w:val="es-ES_tradnl"/>
        </w:rPr>
        <w:t xml:space="preserve">en forma absolutamente legal, a fin de poder suscribir un </w:t>
      </w:r>
      <w:r>
        <w:rPr>
          <w:spacing w:val="-6"/>
          <w:sz w:val="18"/>
          <w:szCs w:val="18"/>
          <w:lang w:val="es-ES_tradnl"/>
        </w:rPr>
        <w:t>nuevo contrato con la Sra. Cris</w:t>
      </w:r>
      <w:r>
        <w:rPr>
          <w:rFonts w:cs="Times New Roman"/>
          <w:spacing w:val="-6"/>
          <w:sz w:val="18"/>
          <w:szCs w:val="18"/>
          <w:lang w:val="es-ES_tradnl"/>
        </w:rPr>
        <w:t>á</w:t>
      </w:r>
      <w:r>
        <w:rPr>
          <w:spacing w:val="-6"/>
          <w:sz w:val="18"/>
          <w:szCs w:val="18"/>
          <w:lang w:val="es-ES_tradnl"/>
        </w:rPr>
        <w:t xml:space="preserve">lida Armijos quien ha sido </w:t>
      </w:r>
      <w:r>
        <w:rPr>
          <w:spacing w:val="-8"/>
          <w:sz w:val="18"/>
          <w:szCs w:val="18"/>
          <w:lang w:val="es-ES_tradnl"/>
        </w:rPr>
        <w:t>perjudicada por las autoridades que nos precedieron</w:t>
      </w:r>
      <w:r>
        <w:rPr>
          <w:rFonts w:cs="Times New Roman"/>
          <w:spacing w:val="-8"/>
          <w:sz w:val="18"/>
          <w:szCs w:val="18"/>
          <w:lang w:val="es-ES_tradnl"/>
        </w:rPr>
        <w:t>”</w:t>
      </w:r>
      <w:r>
        <w:rPr>
          <w:spacing w:val="-8"/>
          <w:sz w:val="18"/>
          <w:szCs w:val="18"/>
          <w:lang w:val="es-ES_tradnl"/>
        </w:rPr>
        <w:t>.</w:t>
      </w:r>
    </w:p>
    <w:p w14:paraId="4F67AA5A" w14:textId="77777777" w:rsidR="00591D54" w:rsidRDefault="00591D54">
      <w:pPr>
        <w:shd w:val="clear" w:color="auto" w:fill="FFFFFF"/>
        <w:spacing w:before="202" w:line="226" w:lineRule="exact"/>
        <w:ind w:left="686" w:right="326" w:hanging="355"/>
      </w:pPr>
      <w:r>
        <w:rPr>
          <w:b/>
          <w:bCs/>
          <w:spacing w:val="-1"/>
          <w:sz w:val="18"/>
          <w:szCs w:val="18"/>
          <w:lang w:val="es-ES_tradnl"/>
        </w:rPr>
        <w:t xml:space="preserve">II. CONSIDERACIONES Y FUNDAMENTOS </w:t>
      </w:r>
      <w:r>
        <w:rPr>
          <w:b/>
          <w:bCs/>
          <w:sz w:val="18"/>
          <w:szCs w:val="18"/>
          <w:lang w:val="es-ES_tradnl"/>
        </w:rPr>
        <w:t>DE LA CORTE CONSTITUCIONAL</w:t>
      </w:r>
    </w:p>
    <w:p w14:paraId="4F67AA5B" w14:textId="77777777" w:rsidR="00591D54" w:rsidRDefault="00591D54">
      <w:pPr>
        <w:shd w:val="clear" w:color="auto" w:fill="FFFFFF"/>
        <w:spacing w:before="197"/>
      </w:pPr>
      <w:r>
        <w:rPr>
          <w:b/>
          <w:bCs/>
          <w:spacing w:val="-8"/>
          <w:sz w:val="18"/>
          <w:szCs w:val="18"/>
          <w:lang w:val="es-ES_tradnl"/>
        </w:rPr>
        <w:t>Competencia de la Corte Constitucional</w:t>
      </w:r>
    </w:p>
    <w:p w14:paraId="4F67AA5C" w14:textId="77777777" w:rsidR="00591D54" w:rsidRDefault="00591D54">
      <w:pPr>
        <w:shd w:val="clear" w:color="auto" w:fill="FFFFFF"/>
        <w:spacing w:before="206" w:line="221" w:lineRule="exact"/>
        <w:jc w:val="both"/>
      </w:pPr>
      <w:r>
        <w:rPr>
          <w:spacing w:val="-6"/>
          <w:sz w:val="18"/>
          <w:szCs w:val="18"/>
          <w:lang w:val="es-ES_tradnl"/>
        </w:rPr>
        <w:t xml:space="preserve">La Corte Constitucional es competente para conocer y </w:t>
      </w:r>
      <w:r>
        <w:rPr>
          <w:spacing w:val="-1"/>
          <w:sz w:val="18"/>
          <w:szCs w:val="18"/>
          <w:lang w:val="es-ES_tradnl"/>
        </w:rPr>
        <w:t xml:space="preserve">resolver las acciones de incumplimiento de sentencias </w:t>
      </w:r>
      <w:r>
        <w:rPr>
          <w:spacing w:val="-5"/>
          <w:sz w:val="18"/>
          <w:szCs w:val="18"/>
          <w:lang w:val="es-ES_tradnl"/>
        </w:rPr>
        <w:t>y dict</w:t>
      </w:r>
      <w:r>
        <w:rPr>
          <w:rFonts w:cs="Times New Roman"/>
          <w:spacing w:val="-5"/>
          <w:sz w:val="18"/>
          <w:szCs w:val="18"/>
          <w:lang w:val="es-ES_tradnl"/>
        </w:rPr>
        <w:t>á</w:t>
      </w:r>
      <w:r>
        <w:rPr>
          <w:spacing w:val="-5"/>
          <w:sz w:val="18"/>
          <w:szCs w:val="18"/>
          <w:lang w:val="es-ES_tradnl"/>
        </w:rPr>
        <w:t xml:space="preserve">menes constitucionales, de conformidad con lo </w:t>
      </w:r>
      <w:r>
        <w:rPr>
          <w:spacing w:val="-4"/>
          <w:sz w:val="18"/>
          <w:szCs w:val="18"/>
          <w:lang w:val="es-ES_tradnl"/>
        </w:rPr>
        <w:t>previsto en el art</w:t>
      </w:r>
      <w:r>
        <w:rPr>
          <w:rFonts w:cs="Times New Roman"/>
          <w:spacing w:val="-4"/>
          <w:sz w:val="18"/>
          <w:szCs w:val="18"/>
          <w:lang w:val="es-ES_tradnl"/>
        </w:rPr>
        <w:t>í</w:t>
      </w:r>
      <w:r>
        <w:rPr>
          <w:spacing w:val="-4"/>
          <w:sz w:val="18"/>
          <w:szCs w:val="18"/>
          <w:lang w:val="es-ES_tradnl"/>
        </w:rPr>
        <w:t>culo 436 numeral 9 de la Constituci</w:t>
      </w:r>
      <w:r>
        <w:rPr>
          <w:rFonts w:cs="Times New Roman"/>
          <w:spacing w:val="-4"/>
          <w:sz w:val="18"/>
          <w:szCs w:val="18"/>
          <w:lang w:val="es-ES_tradnl"/>
        </w:rPr>
        <w:t>ó</w:t>
      </w:r>
      <w:r>
        <w:rPr>
          <w:spacing w:val="-4"/>
          <w:sz w:val="18"/>
          <w:szCs w:val="18"/>
          <w:lang w:val="es-ES_tradnl"/>
        </w:rPr>
        <w:t xml:space="preserve">n, </w:t>
      </w:r>
      <w:r>
        <w:rPr>
          <w:spacing w:val="-9"/>
          <w:sz w:val="18"/>
          <w:szCs w:val="18"/>
          <w:lang w:val="es-ES_tradnl"/>
        </w:rPr>
        <w:t>en concordancia con lo dispuesto en los art</w:t>
      </w:r>
      <w:r>
        <w:rPr>
          <w:rFonts w:cs="Times New Roman"/>
          <w:spacing w:val="-9"/>
          <w:sz w:val="18"/>
          <w:szCs w:val="18"/>
          <w:lang w:val="es-ES_tradnl"/>
        </w:rPr>
        <w:t>í</w:t>
      </w:r>
      <w:r>
        <w:rPr>
          <w:spacing w:val="-9"/>
          <w:sz w:val="18"/>
          <w:szCs w:val="18"/>
          <w:lang w:val="es-ES_tradnl"/>
        </w:rPr>
        <w:t xml:space="preserve">culos 162 a 165 </w:t>
      </w:r>
      <w:r>
        <w:rPr>
          <w:spacing w:val="-8"/>
          <w:sz w:val="18"/>
          <w:szCs w:val="18"/>
          <w:lang w:val="es-ES_tradnl"/>
        </w:rPr>
        <w:t>de la Ley Org</w:t>
      </w:r>
      <w:r>
        <w:rPr>
          <w:rFonts w:cs="Times New Roman"/>
          <w:spacing w:val="-8"/>
          <w:sz w:val="18"/>
          <w:szCs w:val="18"/>
          <w:lang w:val="es-ES_tradnl"/>
        </w:rPr>
        <w:t>á</w:t>
      </w:r>
      <w:r>
        <w:rPr>
          <w:spacing w:val="-8"/>
          <w:sz w:val="18"/>
          <w:szCs w:val="18"/>
          <w:lang w:val="es-ES_tradnl"/>
        </w:rPr>
        <w:t>nica de Garant</w:t>
      </w:r>
      <w:r>
        <w:rPr>
          <w:rFonts w:cs="Times New Roman"/>
          <w:spacing w:val="-8"/>
          <w:sz w:val="18"/>
          <w:szCs w:val="18"/>
          <w:lang w:val="es-ES_tradnl"/>
        </w:rPr>
        <w:t>í</w:t>
      </w:r>
      <w:r>
        <w:rPr>
          <w:spacing w:val="-8"/>
          <w:sz w:val="18"/>
          <w:szCs w:val="18"/>
          <w:lang w:val="es-ES_tradnl"/>
        </w:rPr>
        <w:t xml:space="preserve">as Jurisdiccionales y Control </w:t>
      </w:r>
      <w:r>
        <w:rPr>
          <w:spacing w:val="-6"/>
          <w:sz w:val="18"/>
          <w:szCs w:val="18"/>
          <w:lang w:val="es-ES_tradnl"/>
        </w:rPr>
        <w:t>Constitucional, y el art</w:t>
      </w:r>
      <w:r>
        <w:rPr>
          <w:rFonts w:cs="Times New Roman"/>
          <w:spacing w:val="-6"/>
          <w:sz w:val="18"/>
          <w:szCs w:val="18"/>
          <w:lang w:val="es-ES_tradnl"/>
        </w:rPr>
        <w:t>í</w:t>
      </w:r>
      <w:r>
        <w:rPr>
          <w:spacing w:val="-6"/>
          <w:sz w:val="18"/>
          <w:szCs w:val="18"/>
          <w:lang w:val="es-ES_tradnl"/>
        </w:rPr>
        <w:t xml:space="preserve">culo 3 numeral 11 del Reglamento </w:t>
      </w:r>
      <w:r>
        <w:rPr>
          <w:spacing w:val="-9"/>
          <w:sz w:val="18"/>
          <w:szCs w:val="18"/>
          <w:lang w:val="es-ES_tradnl"/>
        </w:rPr>
        <w:t>de Sustanciaci</w:t>
      </w:r>
      <w:r>
        <w:rPr>
          <w:rFonts w:cs="Times New Roman"/>
          <w:spacing w:val="-9"/>
          <w:sz w:val="18"/>
          <w:szCs w:val="18"/>
          <w:lang w:val="es-ES_tradnl"/>
        </w:rPr>
        <w:t>ó</w:t>
      </w:r>
      <w:r>
        <w:rPr>
          <w:spacing w:val="-9"/>
          <w:sz w:val="18"/>
          <w:szCs w:val="18"/>
          <w:lang w:val="es-ES_tradnl"/>
        </w:rPr>
        <w:t xml:space="preserve">n de Procesos de Competencia de la Corte </w:t>
      </w:r>
      <w:r>
        <w:rPr>
          <w:sz w:val="18"/>
          <w:szCs w:val="18"/>
          <w:lang w:val="es-ES_tradnl"/>
        </w:rPr>
        <w:t>Constitucional.</w:t>
      </w:r>
    </w:p>
    <w:p w14:paraId="4F67AA5D" w14:textId="77777777" w:rsidR="00591D54" w:rsidRDefault="00591D54">
      <w:pPr>
        <w:shd w:val="clear" w:color="auto" w:fill="FFFFFF"/>
        <w:spacing w:before="202"/>
      </w:pPr>
      <w:r>
        <w:rPr>
          <w:b/>
          <w:bCs/>
          <w:spacing w:val="-8"/>
          <w:sz w:val="18"/>
          <w:szCs w:val="18"/>
          <w:lang w:val="es-ES_tradnl"/>
        </w:rPr>
        <w:t>Legitimaci</w:t>
      </w:r>
      <w:r>
        <w:rPr>
          <w:rFonts w:cs="Times New Roman"/>
          <w:b/>
          <w:bCs/>
          <w:spacing w:val="-8"/>
          <w:sz w:val="18"/>
          <w:szCs w:val="18"/>
          <w:lang w:val="es-ES_tradnl"/>
        </w:rPr>
        <w:t>ó</w:t>
      </w:r>
      <w:r>
        <w:rPr>
          <w:b/>
          <w:bCs/>
          <w:spacing w:val="-8"/>
          <w:sz w:val="18"/>
          <w:szCs w:val="18"/>
          <w:lang w:val="es-ES_tradnl"/>
        </w:rPr>
        <w:t>n activa</w:t>
      </w:r>
    </w:p>
    <w:p w14:paraId="4F67AA5E" w14:textId="77777777" w:rsidR="00591D54" w:rsidRDefault="00591D54">
      <w:pPr>
        <w:shd w:val="clear" w:color="auto" w:fill="FFFFFF"/>
        <w:spacing w:before="206" w:line="221" w:lineRule="exact"/>
        <w:jc w:val="both"/>
      </w:pPr>
      <w:r>
        <w:rPr>
          <w:spacing w:val="-2"/>
          <w:sz w:val="18"/>
          <w:szCs w:val="18"/>
          <w:lang w:val="es-ES_tradnl"/>
        </w:rPr>
        <w:t xml:space="preserve">La accionante se encuentra legitimada para interponer </w:t>
      </w:r>
      <w:r>
        <w:rPr>
          <w:spacing w:val="-8"/>
          <w:sz w:val="18"/>
          <w:szCs w:val="18"/>
          <w:lang w:val="es-ES_tradnl"/>
        </w:rPr>
        <w:t>la   presente   acci</w:t>
      </w:r>
      <w:r>
        <w:rPr>
          <w:rFonts w:cs="Times New Roman"/>
          <w:spacing w:val="-8"/>
          <w:sz w:val="18"/>
          <w:szCs w:val="18"/>
          <w:lang w:val="es-ES_tradnl"/>
        </w:rPr>
        <w:t>ó</w:t>
      </w:r>
      <w:r>
        <w:rPr>
          <w:spacing w:val="-8"/>
          <w:sz w:val="18"/>
          <w:szCs w:val="18"/>
          <w:lang w:val="es-ES_tradnl"/>
        </w:rPr>
        <w:t>n   de   incumplimiento   de   sentencias,</w:t>
      </w:r>
    </w:p>
    <w:p w14:paraId="4F67AA5F" w14:textId="77777777" w:rsidR="00591D54" w:rsidRDefault="00591D54">
      <w:pPr>
        <w:shd w:val="clear" w:color="auto" w:fill="FFFFFF"/>
        <w:spacing w:before="206" w:line="221" w:lineRule="exact"/>
        <w:jc w:val="both"/>
        <w:sectPr w:rsidR="00591D54">
          <w:type w:val="continuous"/>
          <w:pgSz w:w="11909" w:h="16834"/>
          <w:pgMar w:top="1373" w:right="1309" w:bottom="360" w:left="1308" w:header="720" w:footer="720" w:gutter="0"/>
          <w:cols w:num="2" w:space="720" w:equalWidth="0">
            <w:col w:w="4305" w:space="682"/>
            <w:col w:w="4305"/>
          </w:cols>
          <w:noEndnote/>
        </w:sectPr>
      </w:pPr>
    </w:p>
    <w:p w14:paraId="4F67AA60" w14:textId="77777777" w:rsidR="00591D54" w:rsidRDefault="00591D54">
      <w:pPr>
        <w:shd w:val="clear" w:color="auto" w:fill="FFFFFF"/>
        <w:tabs>
          <w:tab w:val="left" w:pos="4814"/>
        </w:tabs>
        <w:spacing w:after="230"/>
        <w:ind w:left="5"/>
      </w:pPr>
      <w:r>
        <w:rPr>
          <w:b/>
          <w:bCs/>
          <w:sz w:val="18"/>
          <w:szCs w:val="18"/>
          <w:lang w:val="es-ES_tradnl"/>
        </w:rPr>
        <w:t xml:space="preserve">84 -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A61" w14:textId="77777777" w:rsidR="00591D54" w:rsidRDefault="00591D54">
      <w:pPr>
        <w:shd w:val="clear" w:color="auto" w:fill="FFFFFF"/>
        <w:tabs>
          <w:tab w:val="left" w:pos="4814"/>
        </w:tabs>
        <w:spacing w:after="230"/>
        <w:ind w:left="5"/>
        <w:sectPr w:rsidR="00591D54">
          <w:pgSz w:w="11909" w:h="16834"/>
          <w:pgMar w:top="1368" w:right="1299" w:bottom="360" w:left="1308" w:header="720" w:footer="720" w:gutter="0"/>
          <w:cols w:space="60"/>
          <w:noEndnote/>
        </w:sectPr>
      </w:pPr>
    </w:p>
    <w:p w14:paraId="4F67AA62" w14:textId="77777777" w:rsidR="00591D54" w:rsidRDefault="00591D54">
      <w:pPr>
        <w:shd w:val="clear" w:color="auto" w:fill="FFFFFF"/>
        <w:spacing w:before="5" w:line="221" w:lineRule="exact"/>
        <w:jc w:val="both"/>
      </w:pPr>
      <w:r>
        <w:rPr>
          <w:spacing w:val="-5"/>
          <w:sz w:val="18"/>
          <w:szCs w:val="18"/>
          <w:lang w:val="es-ES_tradnl"/>
        </w:rPr>
        <w:t>dict</w:t>
      </w:r>
      <w:r>
        <w:rPr>
          <w:rFonts w:cs="Times New Roman"/>
          <w:spacing w:val="-5"/>
          <w:sz w:val="18"/>
          <w:szCs w:val="18"/>
          <w:lang w:val="es-ES_tradnl"/>
        </w:rPr>
        <w:t>á</w:t>
      </w:r>
      <w:r>
        <w:rPr>
          <w:spacing w:val="-5"/>
          <w:sz w:val="18"/>
          <w:szCs w:val="18"/>
          <w:lang w:val="es-ES_tradnl"/>
        </w:rPr>
        <w:t xml:space="preserve">menes y resoluciones constitucionales, en virtud del </w:t>
      </w:r>
      <w:r>
        <w:rPr>
          <w:spacing w:val="-7"/>
          <w:sz w:val="18"/>
          <w:szCs w:val="18"/>
          <w:lang w:val="es-ES_tradnl"/>
        </w:rPr>
        <w:t>el art</w:t>
      </w:r>
      <w:r>
        <w:rPr>
          <w:rFonts w:cs="Times New Roman"/>
          <w:spacing w:val="-7"/>
          <w:sz w:val="18"/>
          <w:szCs w:val="18"/>
          <w:lang w:val="es-ES_tradnl"/>
        </w:rPr>
        <w:t>í</w:t>
      </w:r>
      <w:r>
        <w:rPr>
          <w:spacing w:val="-7"/>
          <w:sz w:val="18"/>
          <w:szCs w:val="18"/>
          <w:lang w:val="es-ES_tradnl"/>
        </w:rPr>
        <w:t>culo 164 numeral 1 de la Ley Org</w:t>
      </w:r>
      <w:r>
        <w:rPr>
          <w:rFonts w:cs="Times New Roman"/>
          <w:spacing w:val="-7"/>
          <w:sz w:val="18"/>
          <w:szCs w:val="18"/>
          <w:lang w:val="es-ES_tradnl"/>
        </w:rPr>
        <w:t>á</w:t>
      </w:r>
      <w:r>
        <w:rPr>
          <w:spacing w:val="-7"/>
          <w:sz w:val="18"/>
          <w:szCs w:val="18"/>
          <w:lang w:val="es-ES_tradnl"/>
        </w:rPr>
        <w:t>nica de Garant</w:t>
      </w:r>
      <w:r>
        <w:rPr>
          <w:rFonts w:cs="Times New Roman"/>
          <w:spacing w:val="-7"/>
          <w:sz w:val="18"/>
          <w:szCs w:val="18"/>
          <w:lang w:val="es-ES_tradnl"/>
        </w:rPr>
        <w:t>í</w:t>
      </w:r>
      <w:r>
        <w:rPr>
          <w:spacing w:val="-7"/>
          <w:sz w:val="18"/>
          <w:szCs w:val="18"/>
          <w:lang w:val="es-ES_tradnl"/>
        </w:rPr>
        <w:t xml:space="preserve">as </w:t>
      </w:r>
      <w:r>
        <w:rPr>
          <w:spacing w:val="-5"/>
          <w:sz w:val="18"/>
          <w:szCs w:val="18"/>
          <w:lang w:val="es-ES_tradnl"/>
        </w:rPr>
        <w:t>Jurisdiccionales y Control Constitucional.</w:t>
      </w:r>
    </w:p>
    <w:p w14:paraId="4F67AA63" w14:textId="77777777" w:rsidR="00591D54" w:rsidRDefault="00591D54">
      <w:pPr>
        <w:shd w:val="clear" w:color="auto" w:fill="FFFFFF"/>
        <w:spacing w:before="197" w:line="221" w:lineRule="exact"/>
        <w:jc w:val="both"/>
      </w:pPr>
      <w:r>
        <w:rPr>
          <w:b/>
          <w:bCs/>
          <w:sz w:val="18"/>
          <w:szCs w:val="18"/>
          <w:lang w:val="es-ES_tradnl"/>
        </w:rPr>
        <w:t>Naturaleza jur</w:t>
      </w:r>
      <w:r>
        <w:rPr>
          <w:rFonts w:cs="Times New Roman"/>
          <w:b/>
          <w:bCs/>
          <w:sz w:val="18"/>
          <w:szCs w:val="18"/>
          <w:lang w:val="es-ES_tradnl"/>
        </w:rPr>
        <w:t>í</w:t>
      </w:r>
      <w:r>
        <w:rPr>
          <w:b/>
          <w:bCs/>
          <w:sz w:val="18"/>
          <w:szCs w:val="18"/>
          <w:lang w:val="es-ES_tradnl"/>
        </w:rPr>
        <w:t>dica y objeto de la acci</w:t>
      </w:r>
      <w:r>
        <w:rPr>
          <w:rFonts w:cs="Times New Roman"/>
          <w:b/>
          <w:bCs/>
          <w:sz w:val="18"/>
          <w:szCs w:val="18"/>
          <w:lang w:val="es-ES_tradnl"/>
        </w:rPr>
        <w:t>ó</w:t>
      </w:r>
      <w:r>
        <w:rPr>
          <w:b/>
          <w:bCs/>
          <w:sz w:val="18"/>
          <w:szCs w:val="18"/>
          <w:lang w:val="es-ES_tradnl"/>
        </w:rPr>
        <w:t xml:space="preserve">n de </w:t>
      </w:r>
      <w:r>
        <w:rPr>
          <w:b/>
          <w:bCs/>
          <w:spacing w:val="-13"/>
          <w:sz w:val="18"/>
          <w:szCs w:val="18"/>
          <w:lang w:val="es-ES_tradnl"/>
        </w:rPr>
        <w:t>incumplimiento de sentencias, dict</w:t>
      </w:r>
      <w:r>
        <w:rPr>
          <w:rFonts w:cs="Times New Roman"/>
          <w:b/>
          <w:bCs/>
          <w:spacing w:val="-13"/>
          <w:sz w:val="18"/>
          <w:szCs w:val="18"/>
          <w:lang w:val="es-ES_tradnl"/>
        </w:rPr>
        <w:t>á</w:t>
      </w:r>
      <w:r>
        <w:rPr>
          <w:b/>
          <w:bCs/>
          <w:spacing w:val="-13"/>
          <w:sz w:val="18"/>
          <w:szCs w:val="18"/>
          <w:lang w:val="es-ES_tradnl"/>
        </w:rPr>
        <w:t xml:space="preserve">menes y resoluciones </w:t>
      </w:r>
      <w:r>
        <w:rPr>
          <w:b/>
          <w:bCs/>
          <w:sz w:val="18"/>
          <w:szCs w:val="18"/>
          <w:lang w:val="es-ES_tradnl"/>
        </w:rPr>
        <w:t>constitucionales</w:t>
      </w:r>
    </w:p>
    <w:p w14:paraId="4F67AA64" w14:textId="77777777" w:rsidR="00591D54" w:rsidRDefault="00591D54">
      <w:pPr>
        <w:shd w:val="clear" w:color="auto" w:fill="FFFFFF"/>
        <w:spacing w:before="202" w:line="221" w:lineRule="exact"/>
        <w:jc w:val="both"/>
      </w:pPr>
      <w:r>
        <w:rPr>
          <w:spacing w:val="-8"/>
          <w:sz w:val="18"/>
          <w:szCs w:val="18"/>
          <w:lang w:val="es-ES_tradnl"/>
        </w:rPr>
        <w:t>La Corte Constitucional, de conformidad con el art</w:t>
      </w:r>
      <w:r>
        <w:rPr>
          <w:rFonts w:cs="Times New Roman"/>
          <w:spacing w:val="-8"/>
          <w:sz w:val="18"/>
          <w:szCs w:val="18"/>
          <w:lang w:val="es-ES_tradnl"/>
        </w:rPr>
        <w:t>í</w:t>
      </w:r>
      <w:r>
        <w:rPr>
          <w:spacing w:val="-8"/>
          <w:sz w:val="18"/>
          <w:szCs w:val="18"/>
          <w:lang w:val="es-ES_tradnl"/>
        </w:rPr>
        <w:t xml:space="preserve">culo 436 </w:t>
      </w:r>
      <w:r>
        <w:rPr>
          <w:spacing w:val="-6"/>
          <w:sz w:val="18"/>
          <w:szCs w:val="18"/>
          <w:lang w:val="es-ES_tradnl"/>
        </w:rPr>
        <w:t>numeral 9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tiene, entre </w:t>
      </w:r>
      <w:r>
        <w:rPr>
          <w:spacing w:val="-8"/>
          <w:sz w:val="18"/>
          <w:szCs w:val="18"/>
          <w:lang w:val="es-ES_tradnl"/>
        </w:rPr>
        <w:t xml:space="preserve">sus competencias: </w:t>
      </w:r>
      <w:r>
        <w:rPr>
          <w:rFonts w:cs="Times New Roman"/>
          <w:spacing w:val="-8"/>
          <w:sz w:val="18"/>
          <w:szCs w:val="18"/>
          <w:lang w:val="es-ES_tradnl"/>
        </w:rPr>
        <w:t>“</w:t>
      </w:r>
      <w:r>
        <w:rPr>
          <w:spacing w:val="-8"/>
          <w:sz w:val="18"/>
          <w:szCs w:val="18"/>
          <w:lang w:val="es-ES_tradnl"/>
        </w:rPr>
        <w:t xml:space="preserve">Conocer y sancionar el incumplimiento </w:t>
      </w:r>
      <w:r>
        <w:rPr>
          <w:spacing w:val="-7"/>
          <w:sz w:val="18"/>
          <w:szCs w:val="18"/>
          <w:lang w:val="es-ES_tradnl"/>
        </w:rPr>
        <w:t>de las sentencias y dict</w:t>
      </w:r>
      <w:r>
        <w:rPr>
          <w:rFonts w:cs="Times New Roman"/>
          <w:spacing w:val="-7"/>
          <w:sz w:val="18"/>
          <w:szCs w:val="18"/>
          <w:lang w:val="es-ES_tradnl"/>
        </w:rPr>
        <w:t>á</w:t>
      </w:r>
      <w:r>
        <w:rPr>
          <w:spacing w:val="-7"/>
          <w:sz w:val="18"/>
          <w:szCs w:val="18"/>
          <w:lang w:val="es-ES_tradnl"/>
        </w:rPr>
        <w:t>menes constitucionales</w:t>
      </w:r>
      <w:r>
        <w:rPr>
          <w:rFonts w:cs="Times New Roman"/>
          <w:spacing w:val="-7"/>
          <w:sz w:val="18"/>
          <w:szCs w:val="18"/>
          <w:lang w:val="es-ES_tradnl"/>
        </w:rPr>
        <w:t>”</w:t>
      </w:r>
      <w:r>
        <w:rPr>
          <w:spacing w:val="-7"/>
          <w:sz w:val="18"/>
          <w:szCs w:val="18"/>
          <w:lang w:val="es-ES_tradnl"/>
        </w:rPr>
        <w:t xml:space="preserve">. En este </w:t>
      </w:r>
      <w:r>
        <w:rPr>
          <w:spacing w:val="-8"/>
          <w:sz w:val="18"/>
          <w:szCs w:val="18"/>
          <w:lang w:val="es-ES_tradnl"/>
        </w:rPr>
        <w:t xml:space="preserve">sentido, cuando una sentencia de naturaleza constitucional </w:t>
      </w:r>
      <w:r>
        <w:rPr>
          <w:spacing w:val="-6"/>
          <w:sz w:val="18"/>
          <w:szCs w:val="18"/>
          <w:lang w:val="es-ES_tradnl"/>
        </w:rPr>
        <w:t xml:space="preserve">no haya sido cumplida de manera efectiva e integral, la </w:t>
      </w:r>
      <w:r>
        <w:rPr>
          <w:spacing w:val="-7"/>
          <w:sz w:val="18"/>
          <w:szCs w:val="18"/>
          <w:lang w:val="es-ES_tradnl"/>
        </w:rPr>
        <w:t>Corte, a trav</w:t>
      </w:r>
      <w:r>
        <w:rPr>
          <w:rFonts w:cs="Times New Roman"/>
          <w:spacing w:val="-7"/>
          <w:sz w:val="18"/>
          <w:szCs w:val="18"/>
          <w:lang w:val="es-ES_tradnl"/>
        </w:rPr>
        <w:t>é</w:t>
      </w:r>
      <w:r>
        <w:rPr>
          <w:spacing w:val="-7"/>
          <w:sz w:val="18"/>
          <w:szCs w:val="18"/>
          <w:lang w:val="es-ES_tradnl"/>
        </w:rPr>
        <w:t>s de los mecanismos que la Constituci</w:t>
      </w:r>
      <w:r>
        <w:rPr>
          <w:rFonts w:cs="Times New Roman"/>
          <w:spacing w:val="-7"/>
          <w:sz w:val="18"/>
          <w:szCs w:val="18"/>
          <w:lang w:val="es-ES_tradnl"/>
        </w:rPr>
        <w:t>ó</w:t>
      </w:r>
      <w:r>
        <w:rPr>
          <w:spacing w:val="-7"/>
          <w:sz w:val="18"/>
          <w:szCs w:val="18"/>
          <w:lang w:val="es-ES_tradnl"/>
        </w:rPr>
        <w:t xml:space="preserve">n </w:t>
      </w:r>
      <w:r>
        <w:rPr>
          <w:spacing w:val="-9"/>
          <w:sz w:val="18"/>
          <w:szCs w:val="18"/>
          <w:lang w:val="es-ES_tradnl"/>
        </w:rPr>
        <w:t>determina, podr</w:t>
      </w:r>
      <w:r>
        <w:rPr>
          <w:rFonts w:cs="Times New Roman"/>
          <w:spacing w:val="-9"/>
          <w:sz w:val="18"/>
          <w:szCs w:val="18"/>
          <w:lang w:val="es-ES_tradnl"/>
        </w:rPr>
        <w:t>á</w:t>
      </w:r>
      <w:r>
        <w:rPr>
          <w:spacing w:val="-9"/>
          <w:sz w:val="18"/>
          <w:szCs w:val="18"/>
          <w:lang w:val="es-ES_tradnl"/>
        </w:rPr>
        <w:t xml:space="preserve"> ordenar y hacer ejecutar su cumplimiento.</w:t>
      </w:r>
    </w:p>
    <w:p w14:paraId="4F67AA65" w14:textId="77777777" w:rsidR="00591D54" w:rsidRDefault="00591D54">
      <w:pPr>
        <w:shd w:val="clear" w:color="auto" w:fill="FFFFFF"/>
        <w:spacing w:before="206" w:line="221" w:lineRule="exact"/>
        <w:jc w:val="both"/>
      </w:pPr>
      <w:r>
        <w:rPr>
          <w:spacing w:val="-7"/>
          <w:sz w:val="18"/>
          <w:szCs w:val="18"/>
          <w:lang w:val="es-ES_tradnl"/>
        </w:rPr>
        <w:t>La acci</w:t>
      </w:r>
      <w:r>
        <w:rPr>
          <w:rFonts w:cs="Times New Roman"/>
          <w:spacing w:val="-7"/>
          <w:sz w:val="18"/>
          <w:szCs w:val="18"/>
          <w:lang w:val="es-ES_tradnl"/>
        </w:rPr>
        <w:t>ó</w:t>
      </w:r>
      <w:r>
        <w:rPr>
          <w:spacing w:val="-7"/>
          <w:sz w:val="18"/>
          <w:szCs w:val="18"/>
          <w:lang w:val="es-ES_tradnl"/>
        </w:rPr>
        <w:t>n de incumplimiento de sentencias o dict</w:t>
      </w:r>
      <w:r>
        <w:rPr>
          <w:rFonts w:cs="Times New Roman"/>
          <w:spacing w:val="-7"/>
          <w:sz w:val="18"/>
          <w:szCs w:val="18"/>
          <w:lang w:val="es-ES_tradnl"/>
        </w:rPr>
        <w:t>á</w:t>
      </w:r>
      <w:r>
        <w:rPr>
          <w:spacing w:val="-7"/>
          <w:sz w:val="18"/>
          <w:szCs w:val="18"/>
          <w:lang w:val="es-ES_tradnl"/>
        </w:rPr>
        <w:t xml:space="preserve">menes </w:t>
      </w:r>
      <w:r>
        <w:rPr>
          <w:sz w:val="18"/>
          <w:szCs w:val="18"/>
          <w:lang w:val="es-ES_tradnl"/>
        </w:rPr>
        <w:t>constitucionales, a m</w:t>
      </w:r>
      <w:r>
        <w:rPr>
          <w:rFonts w:cs="Times New Roman"/>
          <w:sz w:val="18"/>
          <w:szCs w:val="18"/>
          <w:lang w:val="es-ES_tradnl"/>
        </w:rPr>
        <w:t>á</w:t>
      </w:r>
      <w:r>
        <w:rPr>
          <w:sz w:val="18"/>
          <w:szCs w:val="18"/>
          <w:lang w:val="es-ES_tradnl"/>
        </w:rPr>
        <w:t>s de ser una atribuci</w:t>
      </w:r>
      <w:r>
        <w:rPr>
          <w:rFonts w:cs="Times New Roman"/>
          <w:sz w:val="18"/>
          <w:szCs w:val="18"/>
          <w:lang w:val="es-ES_tradnl"/>
        </w:rPr>
        <w:t>ó</w:t>
      </w:r>
      <w:r>
        <w:rPr>
          <w:sz w:val="18"/>
          <w:szCs w:val="18"/>
          <w:lang w:val="es-ES_tradnl"/>
        </w:rPr>
        <w:t xml:space="preserve">n de la </w:t>
      </w:r>
      <w:r>
        <w:rPr>
          <w:spacing w:val="-6"/>
          <w:sz w:val="18"/>
          <w:szCs w:val="18"/>
          <w:lang w:val="es-ES_tradnl"/>
        </w:rPr>
        <w:t>Corte Constitucional, constituye una aut</w:t>
      </w:r>
      <w:r>
        <w:rPr>
          <w:rFonts w:cs="Times New Roman"/>
          <w:spacing w:val="-6"/>
          <w:sz w:val="18"/>
          <w:szCs w:val="18"/>
          <w:lang w:val="es-ES_tradnl"/>
        </w:rPr>
        <w:t>é</w:t>
      </w:r>
      <w:r>
        <w:rPr>
          <w:spacing w:val="-6"/>
          <w:sz w:val="18"/>
          <w:szCs w:val="18"/>
          <w:lang w:val="es-ES_tradnl"/>
        </w:rPr>
        <w:t>ntica garant</w:t>
      </w:r>
      <w:r>
        <w:rPr>
          <w:rFonts w:cs="Times New Roman"/>
          <w:spacing w:val="-6"/>
          <w:sz w:val="18"/>
          <w:szCs w:val="18"/>
          <w:lang w:val="es-ES_tradnl"/>
        </w:rPr>
        <w:t>í</w:t>
      </w:r>
      <w:r>
        <w:rPr>
          <w:spacing w:val="-6"/>
          <w:sz w:val="18"/>
          <w:szCs w:val="18"/>
          <w:lang w:val="es-ES_tradnl"/>
        </w:rPr>
        <w:t>a jurisdiccional de protecci</w:t>
      </w:r>
      <w:r>
        <w:rPr>
          <w:rFonts w:cs="Times New Roman"/>
          <w:spacing w:val="-6"/>
          <w:sz w:val="18"/>
          <w:szCs w:val="18"/>
          <w:lang w:val="es-ES_tradnl"/>
        </w:rPr>
        <w:t>ó</w:t>
      </w:r>
      <w:r>
        <w:rPr>
          <w:spacing w:val="-6"/>
          <w:sz w:val="18"/>
          <w:szCs w:val="18"/>
          <w:lang w:val="es-ES_tradnl"/>
        </w:rPr>
        <w:t>n y reparaci</w:t>
      </w:r>
      <w:r>
        <w:rPr>
          <w:rFonts w:cs="Times New Roman"/>
          <w:spacing w:val="-6"/>
          <w:sz w:val="18"/>
          <w:szCs w:val="18"/>
          <w:lang w:val="es-ES_tradnl"/>
        </w:rPr>
        <w:t>ó</w:t>
      </w:r>
      <w:r>
        <w:rPr>
          <w:spacing w:val="-6"/>
          <w:sz w:val="18"/>
          <w:szCs w:val="18"/>
          <w:lang w:val="es-ES_tradnl"/>
        </w:rPr>
        <w:t xml:space="preserve">n de derechos </w:t>
      </w:r>
      <w:r>
        <w:rPr>
          <w:spacing w:val="-9"/>
          <w:sz w:val="18"/>
          <w:szCs w:val="18"/>
          <w:lang w:val="es-ES_tradnl"/>
        </w:rPr>
        <w:t>constitucionales, conforme lo se</w:t>
      </w:r>
      <w:r>
        <w:rPr>
          <w:rFonts w:cs="Times New Roman"/>
          <w:spacing w:val="-9"/>
          <w:sz w:val="18"/>
          <w:szCs w:val="18"/>
          <w:lang w:val="es-ES_tradnl"/>
        </w:rPr>
        <w:t>ñ</w:t>
      </w:r>
      <w:r>
        <w:rPr>
          <w:spacing w:val="-9"/>
          <w:sz w:val="18"/>
          <w:szCs w:val="18"/>
          <w:lang w:val="es-ES_tradnl"/>
        </w:rPr>
        <w:t>al</w:t>
      </w:r>
      <w:r>
        <w:rPr>
          <w:rFonts w:cs="Times New Roman"/>
          <w:spacing w:val="-9"/>
          <w:sz w:val="18"/>
          <w:szCs w:val="18"/>
          <w:lang w:val="es-ES_tradnl"/>
        </w:rPr>
        <w:t>ó</w:t>
      </w:r>
      <w:r>
        <w:rPr>
          <w:spacing w:val="-9"/>
          <w:sz w:val="18"/>
          <w:szCs w:val="18"/>
          <w:lang w:val="es-ES_tradnl"/>
        </w:rPr>
        <w:t xml:space="preserve"> este Organismo dentro </w:t>
      </w:r>
      <w:r>
        <w:rPr>
          <w:spacing w:val="-7"/>
          <w:sz w:val="18"/>
          <w:szCs w:val="18"/>
          <w:lang w:val="es-ES_tradnl"/>
        </w:rPr>
        <w:t xml:space="preserve">de la sentencia de jurisprudencia constitucional vinculante </w:t>
      </w:r>
      <w:r>
        <w:rPr>
          <w:spacing w:val="-1"/>
          <w:sz w:val="18"/>
          <w:szCs w:val="18"/>
          <w:lang w:val="es-ES_tradnl"/>
        </w:rPr>
        <w:t>N.</w:t>
      </w:r>
      <w:r>
        <w:rPr>
          <w:rFonts w:cs="Times New Roman"/>
          <w:spacing w:val="-1"/>
          <w:sz w:val="18"/>
          <w:szCs w:val="18"/>
          <w:lang w:val="es-ES_tradnl"/>
        </w:rPr>
        <w:t>°</w:t>
      </w:r>
      <w:r>
        <w:rPr>
          <w:spacing w:val="-1"/>
          <w:sz w:val="18"/>
          <w:szCs w:val="18"/>
          <w:lang w:val="es-ES_tradnl"/>
        </w:rPr>
        <w:t xml:space="preserve"> 001-10-PJO-CC. De tal manera que el objetivo </w:t>
      </w:r>
      <w:r>
        <w:rPr>
          <w:spacing w:val="-6"/>
          <w:sz w:val="18"/>
          <w:szCs w:val="18"/>
          <w:lang w:val="es-ES_tradnl"/>
        </w:rPr>
        <w:t>principal de esta acci</w:t>
      </w:r>
      <w:r>
        <w:rPr>
          <w:rFonts w:cs="Times New Roman"/>
          <w:spacing w:val="-6"/>
          <w:sz w:val="18"/>
          <w:szCs w:val="18"/>
          <w:lang w:val="es-ES_tradnl"/>
        </w:rPr>
        <w:t>ó</w:t>
      </w:r>
      <w:r>
        <w:rPr>
          <w:spacing w:val="-6"/>
          <w:sz w:val="18"/>
          <w:szCs w:val="18"/>
          <w:lang w:val="es-ES_tradnl"/>
        </w:rPr>
        <w:t xml:space="preserve">n radica en garantizar la efectiva </w:t>
      </w:r>
      <w:r>
        <w:rPr>
          <w:spacing w:val="-3"/>
          <w:sz w:val="18"/>
          <w:szCs w:val="18"/>
          <w:lang w:val="es-ES_tradnl"/>
        </w:rPr>
        <w:t>protecci</w:t>
      </w:r>
      <w:r>
        <w:rPr>
          <w:rFonts w:cs="Times New Roman"/>
          <w:spacing w:val="-3"/>
          <w:sz w:val="18"/>
          <w:szCs w:val="18"/>
          <w:lang w:val="es-ES_tradnl"/>
        </w:rPr>
        <w:t>ó</w:t>
      </w:r>
      <w:r>
        <w:rPr>
          <w:spacing w:val="-3"/>
          <w:sz w:val="18"/>
          <w:szCs w:val="18"/>
          <w:lang w:val="es-ES_tradnl"/>
        </w:rPr>
        <w:t>n de los derechos constitucionales a trav</w:t>
      </w:r>
      <w:r>
        <w:rPr>
          <w:rFonts w:cs="Times New Roman"/>
          <w:spacing w:val="-3"/>
          <w:sz w:val="18"/>
          <w:szCs w:val="18"/>
          <w:lang w:val="es-ES_tradnl"/>
        </w:rPr>
        <w:t>é</w:t>
      </w:r>
      <w:r>
        <w:rPr>
          <w:spacing w:val="-3"/>
          <w:sz w:val="18"/>
          <w:szCs w:val="18"/>
          <w:lang w:val="es-ES_tradnl"/>
        </w:rPr>
        <w:t xml:space="preserve">s de </w:t>
      </w:r>
      <w:r>
        <w:rPr>
          <w:spacing w:val="-6"/>
          <w:sz w:val="18"/>
          <w:szCs w:val="18"/>
          <w:lang w:val="es-ES_tradnl"/>
        </w:rPr>
        <w:t>la plena ejecuci</w:t>
      </w:r>
      <w:r>
        <w:rPr>
          <w:rFonts w:cs="Times New Roman"/>
          <w:spacing w:val="-6"/>
          <w:sz w:val="18"/>
          <w:szCs w:val="18"/>
          <w:lang w:val="es-ES_tradnl"/>
        </w:rPr>
        <w:t>ó</w:t>
      </w:r>
      <w:r>
        <w:rPr>
          <w:spacing w:val="-6"/>
          <w:sz w:val="18"/>
          <w:szCs w:val="18"/>
          <w:lang w:val="es-ES_tradnl"/>
        </w:rPr>
        <w:t xml:space="preserve">n de las sentencias expedidas dentro de </w:t>
      </w:r>
      <w:r>
        <w:rPr>
          <w:spacing w:val="-7"/>
          <w:sz w:val="18"/>
          <w:szCs w:val="18"/>
          <w:lang w:val="es-ES_tradnl"/>
        </w:rPr>
        <w:t xml:space="preserve">los procesos de esta naturaleza, lo que a su vez permite </w:t>
      </w:r>
      <w:r>
        <w:rPr>
          <w:spacing w:val="-5"/>
          <w:sz w:val="18"/>
          <w:szCs w:val="18"/>
          <w:lang w:val="es-ES_tradnl"/>
        </w:rPr>
        <w:t>hacer efectivo el principio de supremac</w:t>
      </w:r>
      <w:r>
        <w:rPr>
          <w:rFonts w:cs="Times New Roman"/>
          <w:spacing w:val="-5"/>
          <w:sz w:val="18"/>
          <w:szCs w:val="18"/>
          <w:lang w:val="es-ES_tradnl"/>
        </w:rPr>
        <w:t>í</w:t>
      </w:r>
      <w:r>
        <w:rPr>
          <w:spacing w:val="-5"/>
          <w:sz w:val="18"/>
          <w:szCs w:val="18"/>
          <w:lang w:val="es-ES_tradnl"/>
        </w:rPr>
        <w:t>a constitucional y el derecho a la tutela judicial efectiva, que en el contexto de las garant</w:t>
      </w:r>
      <w:r>
        <w:rPr>
          <w:rFonts w:cs="Times New Roman"/>
          <w:spacing w:val="-5"/>
          <w:sz w:val="18"/>
          <w:szCs w:val="18"/>
          <w:lang w:val="es-ES_tradnl"/>
        </w:rPr>
        <w:t>í</w:t>
      </w:r>
      <w:r>
        <w:rPr>
          <w:spacing w:val="-5"/>
          <w:sz w:val="18"/>
          <w:szCs w:val="18"/>
          <w:lang w:val="es-ES_tradnl"/>
        </w:rPr>
        <w:t>as jurisdiccionales, implica la reparaci</w:t>
      </w:r>
      <w:r>
        <w:rPr>
          <w:rFonts w:cs="Times New Roman"/>
          <w:spacing w:val="-5"/>
          <w:sz w:val="18"/>
          <w:szCs w:val="18"/>
          <w:lang w:val="es-ES_tradnl"/>
        </w:rPr>
        <w:t>ó</w:t>
      </w:r>
      <w:r>
        <w:rPr>
          <w:spacing w:val="-5"/>
          <w:sz w:val="18"/>
          <w:szCs w:val="18"/>
          <w:lang w:val="es-ES_tradnl"/>
        </w:rPr>
        <w:t xml:space="preserve">n </w:t>
      </w:r>
      <w:r>
        <w:rPr>
          <w:spacing w:val="-8"/>
          <w:sz w:val="18"/>
          <w:szCs w:val="18"/>
          <w:lang w:val="es-ES_tradnl"/>
        </w:rPr>
        <w:t>integral de los derechos vulnerados, evitando as</w:t>
      </w:r>
      <w:r>
        <w:rPr>
          <w:rFonts w:cs="Times New Roman"/>
          <w:spacing w:val="-8"/>
          <w:sz w:val="18"/>
          <w:szCs w:val="18"/>
          <w:lang w:val="es-ES_tradnl"/>
        </w:rPr>
        <w:t>í</w:t>
      </w:r>
      <w:r>
        <w:rPr>
          <w:spacing w:val="-8"/>
          <w:sz w:val="18"/>
          <w:szCs w:val="18"/>
          <w:lang w:val="es-ES_tradnl"/>
        </w:rPr>
        <w:t xml:space="preserve"> el estado </w:t>
      </w:r>
      <w:r>
        <w:rPr>
          <w:spacing w:val="-9"/>
          <w:sz w:val="18"/>
          <w:szCs w:val="18"/>
          <w:lang w:val="es-ES_tradnl"/>
        </w:rPr>
        <w:t>de indefensi</w:t>
      </w:r>
      <w:r>
        <w:rPr>
          <w:rFonts w:cs="Times New Roman"/>
          <w:spacing w:val="-9"/>
          <w:sz w:val="18"/>
          <w:szCs w:val="18"/>
          <w:lang w:val="es-ES_tradnl"/>
        </w:rPr>
        <w:t>ó</w:t>
      </w:r>
      <w:r>
        <w:rPr>
          <w:spacing w:val="-9"/>
          <w:sz w:val="18"/>
          <w:szCs w:val="18"/>
          <w:lang w:val="es-ES_tradnl"/>
        </w:rPr>
        <w:t xml:space="preserve">n y posicionando de esta forma a los derechos </w:t>
      </w:r>
      <w:r>
        <w:rPr>
          <w:spacing w:val="-8"/>
          <w:sz w:val="18"/>
          <w:szCs w:val="18"/>
          <w:lang w:val="es-ES_tradnl"/>
        </w:rPr>
        <w:t xml:space="preserve">constitucionales de las personas en el centro del accionar, </w:t>
      </w:r>
      <w:r>
        <w:rPr>
          <w:sz w:val="18"/>
          <w:szCs w:val="18"/>
          <w:lang w:val="es-ES_tradnl"/>
        </w:rPr>
        <w:t>tanto p</w:t>
      </w:r>
      <w:r>
        <w:rPr>
          <w:rFonts w:cs="Times New Roman"/>
          <w:sz w:val="18"/>
          <w:szCs w:val="18"/>
          <w:lang w:val="es-ES_tradnl"/>
        </w:rPr>
        <w:t>ú</w:t>
      </w:r>
      <w:r>
        <w:rPr>
          <w:sz w:val="18"/>
          <w:szCs w:val="18"/>
          <w:lang w:val="es-ES_tradnl"/>
        </w:rPr>
        <w:t>blico como privado.</w:t>
      </w:r>
    </w:p>
    <w:p w14:paraId="4F67AA66" w14:textId="77777777" w:rsidR="00591D54" w:rsidRDefault="00591D54">
      <w:pPr>
        <w:shd w:val="clear" w:color="auto" w:fill="FFFFFF"/>
        <w:spacing w:before="202" w:line="221" w:lineRule="exact"/>
        <w:jc w:val="both"/>
      </w:pPr>
      <w:r>
        <w:rPr>
          <w:sz w:val="18"/>
          <w:szCs w:val="18"/>
          <w:lang w:val="es-ES_tradnl"/>
        </w:rPr>
        <w:t>De ah</w:t>
      </w:r>
      <w:r>
        <w:rPr>
          <w:rFonts w:cs="Times New Roman"/>
          <w:sz w:val="18"/>
          <w:szCs w:val="18"/>
          <w:lang w:val="es-ES_tradnl"/>
        </w:rPr>
        <w:t>í</w:t>
      </w:r>
      <w:r>
        <w:rPr>
          <w:sz w:val="18"/>
          <w:szCs w:val="18"/>
          <w:lang w:val="es-ES_tradnl"/>
        </w:rPr>
        <w:t xml:space="preserve"> que la acci</w:t>
      </w:r>
      <w:r>
        <w:rPr>
          <w:rFonts w:cs="Times New Roman"/>
          <w:sz w:val="18"/>
          <w:szCs w:val="18"/>
          <w:lang w:val="es-ES_tradnl"/>
        </w:rPr>
        <w:t>ó</w:t>
      </w:r>
      <w:r>
        <w:rPr>
          <w:sz w:val="18"/>
          <w:szCs w:val="18"/>
          <w:lang w:val="es-ES_tradnl"/>
        </w:rPr>
        <w:t xml:space="preserve">n de incumplimiento se convierte </w:t>
      </w:r>
      <w:r>
        <w:rPr>
          <w:spacing w:val="-9"/>
          <w:sz w:val="18"/>
          <w:szCs w:val="18"/>
          <w:lang w:val="es-ES_tradnl"/>
        </w:rPr>
        <w:t xml:space="preserve">en un mecanismo de aseguramiento de los derechos </w:t>
      </w:r>
      <w:r>
        <w:rPr>
          <w:spacing w:val="-7"/>
          <w:sz w:val="18"/>
          <w:szCs w:val="18"/>
          <w:lang w:val="es-ES_tradnl"/>
        </w:rPr>
        <w:t xml:space="preserve">constitucionales, por medio del cual se accede a una real </w:t>
      </w:r>
      <w:r>
        <w:rPr>
          <w:spacing w:val="-9"/>
          <w:sz w:val="18"/>
          <w:szCs w:val="18"/>
          <w:lang w:val="es-ES_tradnl"/>
        </w:rPr>
        <w:t>protecci</w:t>
      </w:r>
      <w:r>
        <w:rPr>
          <w:rFonts w:cs="Times New Roman"/>
          <w:spacing w:val="-9"/>
          <w:sz w:val="18"/>
          <w:szCs w:val="18"/>
          <w:lang w:val="es-ES_tradnl"/>
        </w:rPr>
        <w:t>ó</w:t>
      </w:r>
      <w:r>
        <w:rPr>
          <w:spacing w:val="-9"/>
          <w:sz w:val="18"/>
          <w:szCs w:val="18"/>
          <w:lang w:val="es-ES_tradnl"/>
        </w:rPr>
        <w:t>n judicial y se evita un estado de plena indefensi</w:t>
      </w:r>
      <w:r>
        <w:rPr>
          <w:rFonts w:cs="Times New Roman"/>
          <w:spacing w:val="-9"/>
          <w:sz w:val="18"/>
          <w:szCs w:val="18"/>
          <w:lang w:val="es-ES_tradnl"/>
        </w:rPr>
        <w:t>ó</w:t>
      </w:r>
      <w:r>
        <w:rPr>
          <w:spacing w:val="-9"/>
          <w:sz w:val="18"/>
          <w:szCs w:val="18"/>
          <w:lang w:val="es-ES_tradnl"/>
        </w:rPr>
        <w:t xml:space="preserve">n </w:t>
      </w:r>
      <w:r>
        <w:rPr>
          <w:spacing w:val="-7"/>
          <w:sz w:val="18"/>
          <w:szCs w:val="18"/>
          <w:lang w:val="es-ES_tradnl"/>
        </w:rPr>
        <w:t>de las v</w:t>
      </w:r>
      <w:r>
        <w:rPr>
          <w:rFonts w:cs="Times New Roman"/>
          <w:spacing w:val="-7"/>
          <w:sz w:val="18"/>
          <w:szCs w:val="18"/>
          <w:lang w:val="es-ES_tradnl"/>
        </w:rPr>
        <w:t>í</w:t>
      </w:r>
      <w:r>
        <w:rPr>
          <w:spacing w:val="-7"/>
          <w:sz w:val="18"/>
          <w:szCs w:val="18"/>
          <w:lang w:val="es-ES_tradnl"/>
        </w:rPr>
        <w:t xml:space="preserve">ctimas y afectados, circunstancia que denota un </w:t>
      </w:r>
      <w:r>
        <w:rPr>
          <w:spacing w:val="-10"/>
          <w:sz w:val="18"/>
          <w:szCs w:val="18"/>
          <w:lang w:val="es-ES_tradnl"/>
        </w:rPr>
        <w:t>avance respecto a la teor</w:t>
      </w:r>
      <w:r>
        <w:rPr>
          <w:rFonts w:cs="Times New Roman"/>
          <w:spacing w:val="-10"/>
          <w:sz w:val="18"/>
          <w:szCs w:val="18"/>
          <w:lang w:val="es-ES_tradnl"/>
        </w:rPr>
        <w:t>í</w:t>
      </w:r>
      <w:r>
        <w:rPr>
          <w:spacing w:val="-10"/>
          <w:sz w:val="18"/>
          <w:szCs w:val="18"/>
          <w:lang w:val="es-ES_tradnl"/>
        </w:rPr>
        <w:t>a de las garant</w:t>
      </w:r>
      <w:r>
        <w:rPr>
          <w:rFonts w:cs="Times New Roman"/>
          <w:spacing w:val="-10"/>
          <w:sz w:val="18"/>
          <w:szCs w:val="18"/>
          <w:lang w:val="es-ES_tradnl"/>
        </w:rPr>
        <w:t>í</w:t>
      </w:r>
      <w:r>
        <w:rPr>
          <w:spacing w:val="-10"/>
          <w:sz w:val="18"/>
          <w:szCs w:val="18"/>
          <w:lang w:val="es-ES_tradnl"/>
        </w:rPr>
        <w:t xml:space="preserve">as de los derechos </w:t>
      </w:r>
      <w:r>
        <w:rPr>
          <w:sz w:val="18"/>
          <w:szCs w:val="18"/>
          <w:lang w:val="es-ES_tradnl"/>
        </w:rPr>
        <w:t>constitucionales.</w:t>
      </w:r>
    </w:p>
    <w:p w14:paraId="4F67AA67" w14:textId="77777777" w:rsidR="00591D54" w:rsidRDefault="00591D54">
      <w:pPr>
        <w:shd w:val="clear" w:color="auto" w:fill="FFFFFF"/>
        <w:spacing w:before="202"/>
      </w:pPr>
      <w:r>
        <w:rPr>
          <w:b/>
          <w:bCs/>
          <w:spacing w:val="-9"/>
          <w:sz w:val="18"/>
          <w:szCs w:val="18"/>
          <w:lang w:val="es-ES_tradnl"/>
        </w:rPr>
        <w:t>Determinaci</w:t>
      </w:r>
      <w:r>
        <w:rPr>
          <w:rFonts w:cs="Times New Roman"/>
          <w:b/>
          <w:bCs/>
          <w:spacing w:val="-9"/>
          <w:sz w:val="18"/>
          <w:szCs w:val="18"/>
          <w:lang w:val="es-ES_tradnl"/>
        </w:rPr>
        <w:t>ó</w:t>
      </w:r>
      <w:r>
        <w:rPr>
          <w:b/>
          <w:bCs/>
          <w:spacing w:val="-9"/>
          <w:sz w:val="18"/>
          <w:szCs w:val="18"/>
          <w:lang w:val="es-ES_tradnl"/>
        </w:rPr>
        <w:t>n de los problemas jur</w:t>
      </w:r>
      <w:r>
        <w:rPr>
          <w:rFonts w:cs="Times New Roman"/>
          <w:b/>
          <w:bCs/>
          <w:spacing w:val="-9"/>
          <w:sz w:val="18"/>
          <w:szCs w:val="18"/>
          <w:lang w:val="es-ES_tradnl"/>
        </w:rPr>
        <w:t>í</w:t>
      </w:r>
      <w:r>
        <w:rPr>
          <w:b/>
          <w:bCs/>
          <w:spacing w:val="-9"/>
          <w:sz w:val="18"/>
          <w:szCs w:val="18"/>
          <w:lang w:val="es-ES_tradnl"/>
        </w:rPr>
        <w:t>dicos</w:t>
      </w:r>
    </w:p>
    <w:p w14:paraId="4F67AA68" w14:textId="77777777" w:rsidR="00591D54" w:rsidRDefault="00591D54">
      <w:pPr>
        <w:shd w:val="clear" w:color="auto" w:fill="FFFFFF"/>
        <w:spacing w:before="202" w:line="226" w:lineRule="exact"/>
        <w:ind w:right="5"/>
        <w:jc w:val="both"/>
      </w:pPr>
      <w:r>
        <w:rPr>
          <w:spacing w:val="-10"/>
          <w:sz w:val="18"/>
          <w:szCs w:val="18"/>
          <w:lang w:val="es-ES_tradnl"/>
        </w:rPr>
        <w:t xml:space="preserve">Esta Magistratura Constitucional, con la finalidad de resolver </w:t>
      </w:r>
      <w:r>
        <w:rPr>
          <w:spacing w:val="-9"/>
          <w:sz w:val="18"/>
          <w:szCs w:val="18"/>
          <w:lang w:val="es-ES_tradnl"/>
        </w:rPr>
        <w:t xml:space="preserve">las contrariedades suscitadas a partir del incumplimiento de </w:t>
      </w:r>
      <w:r>
        <w:rPr>
          <w:spacing w:val="-8"/>
          <w:sz w:val="18"/>
          <w:szCs w:val="18"/>
          <w:lang w:val="es-ES_tradnl"/>
        </w:rPr>
        <w:t>las sentencias, plantea los siguientes problemas jur</w:t>
      </w:r>
      <w:r>
        <w:rPr>
          <w:rFonts w:cs="Times New Roman"/>
          <w:spacing w:val="-8"/>
          <w:sz w:val="18"/>
          <w:szCs w:val="18"/>
          <w:lang w:val="es-ES_tradnl"/>
        </w:rPr>
        <w:t>í</w:t>
      </w:r>
      <w:r>
        <w:rPr>
          <w:spacing w:val="-8"/>
          <w:sz w:val="18"/>
          <w:szCs w:val="18"/>
          <w:lang w:val="es-ES_tradnl"/>
        </w:rPr>
        <w:t>dicos:</w:t>
      </w:r>
    </w:p>
    <w:p w14:paraId="4F67AA69" w14:textId="77777777" w:rsidR="00591D54" w:rsidRDefault="00591D54">
      <w:pPr>
        <w:shd w:val="clear" w:color="auto" w:fill="FFFFFF"/>
        <w:spacing w:before="202" w:line="221" w:lineRule="exact"/>
        <w:ind w:right="5"/>
        <w:jc w:val="both"/>
      </w:pPr>
      <w:r>
        <w:rPr>
          <w:spacing w:val="-4"/>
          <w:sz w:val="18"/>
          <w:szCs w:val="18"/>
          <w:lang w:val="es-ES_tradnl"/>
        </w:rPr>
        <w:t>1.- El Gobierno Aut</w:t>
      </w:r>
      <w:r>
        <w:rPr>
          <w:rFonts w:cs="Times New Roman"/>
          <w:spacing w:val="-4"/>
          <w:sz w:val="18"/>
          <w:szCs w:val="18"/>
          <w:lang w:val="es-ES_tradnl"/>
        </w:rPr>
        <w:t>ó</w:t>
      </w:r>
      <w:r>
        <w:rPr>
          <w:spacing w:val="-4"/>
          <w:sz w:val="18"/>
          <w:szCs w:val="18"/>
          <w:lang w:val="es-ES_tradnl"/>
        </w:rPr>
        <w:t>nomo Descentralizado del cant</w:t>
      </w:r>
      <w:r>
        <w:rPr>
          <w:rFonts w:cs="Times New Roman"/>
          <w:spacing w:val="-4"/>
          <w:sz w:val="18"/>
          <w:szCs w:val="18"/>
          <w:lang w:val="es-ES_tradnl"/>
        </w:rPr>
        <w:t>ó</w:t>
      </w:r>
      <w:r>
        <w:rPr>
          <w:spacing w:val="-4"/>
          <w:sz w:val="18"/>
          <w:szCs w:val="18"/>
          <w:lang w:val="es-ES_tradnl"/>
        </w:rPr>
        <w:t xml:space="preserve">n </w:t>
      </w:r>
      <w:r>
        <w:rPr>
          <w:spacing w:val="-7"/>
          <w:sz w:val="18"/>
          <w:szCs w:val="18"/>
          <w:lang w:val="es-ES_tradnl"/>
        </w:rPr>
        <w:t xml:space="preserve">Paltas </w:t>
      </w:r>
      <w:r>
        <w:rPr>
          <w:rFonts w:cs="Times New Roman"/>
          <w:spacing w:val="-7"/>
          <w:sz w:val="18"/>
          <w:szCs w:val="18"/>
          <w:lang w:val="es-ES_tradnl"/>
        </w:rPr>
        <w:t>¿</w:t>
      </w:r>
      <w:r>
        <w:rPr>
          <w:spacing w:val="-7"/>
          <w:sz w:val="18"/>
          <w:szCs w:val="18"/>
          <w:lang w:val="es-ES_tradnl"/>
        </w:rPr>
        <w:t>incumpli</w:t>
      </w:r>
      <w:r>
        <w:rPr>
          <w:rFonts w:cs="Times New Roman"/>
          <w:spacing w:val="-7"/>
          <w:sz w:val="18"/>
          <w:szCs w:val="18"/>
          <w:lang w:val="es-ES_tradnl"/>
        </w:rPr>
        <w:t>ó</w:t>
      </w:r>
      <w:r>
        <w:rPr>
          <w:spacing w:val="-7"/>
          <w:sz w:val="18"/>
          <w:szCs w:val="18"/>
          <w:lang w:val="es-ES_tradnl"/>
        </w:rPr>
        <w:t xml:space="preserve"> la sentencia emitida el 02 de febrero de </w:t>
      </w:r>
      <w:r>
        <w:rPr>
          <w:spacing w:val="-6"/>
          <w:sz w:val="18"/>
          <w:szCs w:val="18"/>
          <w:lang w:val="es-ES_tradnl"/>
        </w:rPr>
        <w:t>2010 a las 17h00, por el juez d</w:t>
      </w:r>
      <w:r>
        <w:rPr>
          <w:rFonts w:cs="Times New Roman"/>
          <w:spacing w:val="-6"/>
          <w:sz w:val="18"/>
          <w:szCs w:val="18"/>
          <w:lang w:val="es-ES_tradnl"/>
        </w:rPr>
        <w:t>é</w:t>
      </w:r>
      <w:r>
        <w:rPr>
          <w:spacing w:val="-6"/>
          <w:sz w:val="18"/>
          <w:szCs w:val="18"/>
          <w:lang w:val="es-ES_tradnl"/>
        </w:rPr>
        <w:t>cimo cuarto civil de Loja, actual Juzgado Multicompetente, dentro de la acci</w:t>
      </w:r>
      <w:r>
        <w:rPr>
          <w:rFonts w:cs="Times New Roman"/>
          <w:spacing w:val="-6"/>
          <w:sz w:val="18"/>
          <w:szCs w:val="18"/>
          <w:lang w:val="es-ES_tradnl"/>
        </w:rPr>
        <w:t>ó</w:t>
      </w:r>
      <w:r>
        <w:rPr>
          <w:spacing w:val="-6"/>
          <w:sz w:val="18"/>
          <w:szCs w:val="18"/>
          <w:lang w:val="es-ES_tradnl"/>
        </w:rPr>
        <w:t xml:space="preserve">n de </w:t>
      </w:r>
      <w:r>
        <w:rPr>
          <w:sz w:val="18"/>
          <w:szCs w:val="18"/>
          <w:lang w:val="es-ES_tradnl"/>
        </w:rPr>
        <w:t>protecci</w:t>
      </w:r>
      <w:r>
        <w:rPr>
          <w:rFonts w:cs="Times New Roman"/>
          <w:sz w:val="18"/>
          <w:szCs w:val="18"/>
          <w:lang w:val="es-ES_tradnl"/>
        </w:rPr>
        <w:t>ó</w:t>
      </w:r>
      <w:r>
        <w:rPr>
          <w:sz w:val="18"/>
          <w:szCs w:val="18"/>
          <w:lang w:val="es-ES_tradnl"/>
        </w:rPr>
        <w:t>n N.</w:t>
      </w:r>
      <w:r>
        <w:rPr>
          <w:rFonts w:cs="Times New Roman"/>
          <w:sz w:val="18"/>
          <w:szCs w:val="18"/>
          <w:lang w:val="es-ES_tradnl"/>
        </w:rPr>
        <w:t>º</w:t>
      </w:r>
      <w:r>
        <w:rPr>
          <w:sz w:val="18"/>
          <w:szCs w:val="18"/>
          <w:lang w:val="es-ES_tradnl"/>
        </w:rPr>
        <w:t xml:space="preserve"> 013-2010?</w:t>
      </w:r>
    </w:p>
    <w:p w14:paraId="4F67AA6A" w14:textId="77777777" w:rsidR="00591D54" w:rsidRDefault="00591D54">
      <w:pPr>
        <w:shd w:val="clear" w:color="auto" w:fill="FFFFFF"/>
        <w:spacing w:before="202" w:line="221" w:lineRule="exact"/>
        <w:ind w:right="5"/>
        <w:jc w:val="both"/>
      </w:pPr>
      <w:r>
        <w:rPr>
          <w:spacing w:val="-4"/>
          <w:sz w:val="18"/>
          <w:szCs w:val="18"/>
          <w:lang w:val="es-ES_tradnl"/>
        </w:rPr>
        <w:t>2.- El Gobierno Aut</w:t>
      </w:r>
      <w:r>
        <w:rPr>
          <w:rFonts w:cs="Times New Roman"/>
          <w:spacing w:val="-4"/>
          <w:sz w:val="18"/>
          <w:szCs w:val="18"/>
          <w:lang w:val="es-ES_tradnl"/>
        </w:rPr>
        <w:t>ó</w:t>
      </w:r>
      <w:r>
        <w:rPr>
          <w:spacing w:val="-4"/>
          <w:sz w:val="18"/>
          <w:szCs w:val="18"/>
          <w:lang w:val="es-ES_tradnl"/>
        </w:rPr>
        <w:t>nomo Descentralizado del cant</w:t>
      </w:r>
      <w:r>
        <w:rPr>
          <w:rFonts w:cs="Times New Roman"/>
          <w:spacing w:val="-4"/>
          <w:sz w:val="18"/>
          <w:szCs w:val="18"/>
          <w:lang w:val="es-ES_tradnl"/>
        </w:rPr>
        <w:t>ó</w:t>
      </w:r>
      <w:r>
        <w:rPr>
          <w:spacing w:val="-4"/>
          <w:sz w:val="18"/>
          <w:szCs w:val="18"/>
          <w:lang w:val="es-ES_tradnl"/>
        </w:rPr>
        <w:t xml:space="preserve">n </w:t>
      </w:r>
      <w:r>
        <w:rPr>
          <w:spacing w:val="-7"/>
          <w:sz w:val="18"/>
          <w:szCs w:val="18"/>
          <w:lang w:val="es-ES_tradnl"/>
        </w:rPr>
        <w:t xml:space="preserve">Paltas </w:t>
      </w:r>
      <w:r>
        <w:rPr>
          <w:rFonts w:cs="Times New Roman"/>
          <w:spacing w:val="-7"/>
          <w:sz w:val="18"/>
          <w:szCs w:val="18"/>
          <w:lang w:val="es-ES_tradnl"/>
        </w:rPr>
        <w:t>¿</w:t>
      </w:r>
      <w:r>
        <w:rPr>
          <w:spacing w:val="-7"/>
          <w:sz w:val="18"/>
          <w:szCs w:val="18"/>
          <w:lang w:val="es-ES_tradnl"/>
        </w:rPr>
        <w:t xml:space="preserve">incumple la sentencia emitida el 05 de marzo de </w:t>
      </w:r>
      <w:r>
        <w:rPr>
          <w:spacing w:val="-6"/>
          <w:sz w:val="18"/>
          <w:szCs w:val="18"/>
          <w:lang w:val="es-ES_tradnl"/>
        </w:rPr>
        <w:t xml:space="preserve">2010 a las 09h42, por los jueces de la Sala de lo Civil, </w:t>
      </w:r>
      <w:r>
        <w:rPr>
          <w:spacing w:val="-4"/>
          <w:sz w:val="18"/>
          <w:szCs w:val="18"/>
          <w:lang w:val="es-ES_tradnl"/>
        </w:rPr>
        <w:t xml:space="preserve">Mercantil, Inquilinato y Materias Residuales de la Corte </w:t>
      </w:r>
      <w:r>
        <w:rPr>
          <w:sz w:val="18"/>
          <w:szCs w:val="18"/>
          <w:lang w:val="es-ES_tradnl"/>
        </w:rPr>
        <w:t>Provincial de Justicia de Loja?</w:t>
      </w:r>
    </w:p>
    <w:p w14:paraId="4F67AA6B" w14:textId="77777777" w:rsidR="00591D54" w:rsidRDefault="00591D54">
      <w:pPr>
        <w:shd w:val="clear" w:color="auto" w:fill="FFFFFF"/>
      </w:pPr>
      <w:r>
        <w:br w:type="column"/>
      </w:r>
      <w:r>
        <w:rPr>
          <w:b/>
          <w:bCs/>
          <w:spacing w:val="-9"/>
          <w:sz w:val="18"/>
          <w:szCs w:val="18"/>
          <w:lang w:val="es-ES_tradnl"/>
        </w:rPr>
        <w:t>Desarrollo de los problemas jur</w:t>
      </w:r>
      <w:r>
        <w:rPr>
          <w:rFonts w:cs="Times New Roman"/>
          <w:b/>
          <w:bCs/>
          <w:spacing w:val="-9"/>
          <w:sz w:val="18"/>
          <w:szCs w:val="18"/>
          <w:lang w:val="es-ES_tradnl"/>
        </w:rPr>
        <w:t>í</w:t>
      </w:r>
      <w:r>
        <w:rPr>
          <w:b/>
          <w:bCs/>
          <w:spacing w:val="-9"/>
          <w:sz w:val="18"/>
          <w:szCs w:val="18"/>
          <w:lang w:val="es-ES_tradnl"/>
        </w:rPr>
        <w:t>dicos planteados</w:t>
      </w:r>
    </w:p>
    <w:p w14:paraId="4F67AA6C" w14:textId="77777777" w:rsidR="00591D54" w:rsidRDefault="00591D54">
      <w:pPr>
        <w:shd w:val="clear" w:color="auto" w:fill="FFFFFF"/>
        <w:spacing w:before="192" w:line="216" w:lineRule="exact"/>
        <w:ind w:right="10"/>
        <w:jc w:val="both"/>
      </w:pPr>
      <w:r>
        <w:rPr>
          <w:b/>
          <w:bCs/>
          <w:spacing w:val="-8"/>
          <w:sz w:val="18"/>
          <w:szCs w:val="18"/>
          <w:lang w:val="es-ES_tradnl"/>
        </w:rPr>
        <w:t>1.- El Gobierno Aut</w:t>
      </w:r>
      <w:r>
        <w:rPr>
          <w:rFonts w:cs="Times New Roman"/>
          <w:b/>
          <w:bCs/>
          <w:spacing w:val="-8"/>
          <w:sz w:val="18"/>
          <w:szCs w:val="18"/>
          <w:lang w:val="es-ES_tradnl"/>
        </w:rPr>
        <w:t>ó</w:t>
      </w:r>
      <w:r>
        <w:rPr>
          <w:b/>
          <w:bCs/>
          <w:spacing w:val="-8"/>
          <w:sz w:val="18"/>
          <w:szCs w:val="18"/>
          <w:lang w:val="es-ES_tradnl"/>
        </w:rPr>
        <w:t>nomo Descentralizado del cant</w:t>
      </w:r>
      <w:r>
        <w:rPr>
          <w:rFonts w:cs="Times New Roman"/>
          <w:b/>
          <w:bCs/>
          <w:spacing w:val="-8"/>
          <w:sz w:val="18"/>
          <w:szCs w:val="18"/>
          <w:lang w:val="es-ES_tradnl"/>
        </w:rPr>
        <w:t>ó</w:t>
      </w:r>
      <w:r>
        <w:rPr>
          <w:b/>
          <w:bCs/>
          <w:spacing w:val="-8"/>
          <w:sz w:val="18"/>
          <w:szCs w:val="18"/>
          <w:lang w:val="es-ES_tradnl"/>
        </w:rPr>
        <w:t xml:space="preserve">n Paltas </w:t>
      </w:r>
      <w:r>
        <w:rPr>
          <w:rFonts w:cs="Times New Roman"/>
          <w:b/>
          <w:bCs/>
          <w:spacing w:val="-8"/>
          <w:sz w:val="18"/>
          <w:szCs w:val="18"/>
          <w:lang w:val="es-ES_tradnl"/>
        </w:rPr>
        <w:t>¿</w:t>
      </w:r>
      <w:r>
        <w:rPr>
          <w:b/>
          <w:bCs/>
          <w:spacing w:val="-8"/>
          <w:sz w:val="18"/>
          <w:szCs w:val="18"/>
          <w:lang w:val="es-ES_tradnl"/>
        </w:rPr>
        <w:t>incumpli</w:t>
      </w:r>
      <w:r>
        <w:rPr>
          <w:rFonts w:cs="Times New Roman"/>
          <w:b/>
          <w:bCs/>
          <w:spacing w:val="-8"/>
          <w:sz w:val="18"/>
          <w:szCs w:val="18"/>
          <w:lang w:val="es-ES_tradnl"/>
        </w:rPr>
        <w:t>ó</w:t>
      </w:r>
      <w:r>
        <w:rPr>
          <w:b/>
          <w:bCs/>
          <w:spacing w:val="-8"/>
          <w:sz w:val="18"/>
          <w:szCs w:val="18"/>
          <w:lang w:val="es-ES_tradnl"/>
        </w:rPr>
        <w:t xml:space="preserve"> la sentencia emitida el 02 de febrero de 2010 a las 17h00, por el juez d</w:t>
      </w:r>
      <w:r>
        <w:rPr>
          <w:rFonts w:cs="Times New Roman"/>
          <w:b/>
          <w:bCs/>
          <w:spacing w:val="-8"/>
          <w:sz w:val="18"/>
          <w:szCs w:val="18"/>
          <w:lang w:val="es-ES_tradnl"/>
        </w:rPr>
        <w:t>é</w:t>
      </w:r>
      <w:r>
        <w:rPr>
          <w:b/>
          <w:bCs/>
          <w:spacing w:val="-8"/>
          <w:sz w:val="18"/>
          <w:szCs w:val="18"/>
          <w:lang w:val="es-ES_tradnl"/>
        </w:rPr>
        <w:t xml:space="preserve">cimo cuarto civil de </w:t>
      </w:r>
      <w:r>
        <w:rPr>
          <w:b/>
          <w:bCs/>
          <w:spacing w:val="-6"/>
          <w:sz w:val="18"/>
          <w:szCs w:val="18"/>
          <w:lang w:val="es-ES_tradnl"/>
        </w:rPr>
        <w:t xml:space="preserve">Loja, actual Juzgado Multicompetente, dentro de la </w:t>
      </w:r>
      <w:r>
        <w:rPr>
          <w:b/>
          <w:bCs/>
          <w:sz w:val="18"/>
          <w:szCs w:val="18"/>
          <w:lang w:val="es-ES_tradnl"/>
        </w:rPr>
        <w:t>acci</w:t>
      </w:r>
      <w:r>
        <w:rPr>
          <w:rFonts w:cs="Times New Roman"/>
          <w:b/>
          <w:bCs/>
          <w:sz w:val="18"/>
          <w:szCs w:val="18"/>
          <w:lang w:val="es-ES_tradnl"/>
        </w:rPr>
        <w:t>ó</w:t>
      </w:r>
      <w:r>
        <w:rPr>
          <w:b/>
          <w:bCs/>
          <w:sz w:val="18"/>
          <w:szCs w:val="18"/>
          <w:lang w:val="es-ES_tradnl"/>
        </w:rPr>
        <w:t>n de protecci</w:t>
      </w:r>
      <w:r>
        <w:rPr>
          <w:rFonts w:cs="Times New Roman"/>
          <w:b/>
          <w:bCs/>
          <w:sz w:val="18"/>
          <w:szCs w:val="18"/>
          <w:lang w:val="es-ES_tradnl"/>
        </w:rPr>
        <w:t>ó</w:t>
      </w:r>
      <w:r>
        <w:rPr>
          <w:b/>
          <w:bCs/>
          <w:sz w:val="18"/>
          <w:szCs w:val="18"/>
          <w:lang w:val="es-ES_tradnl"/>
        </w:rPr>
        <w:t>n N.</w:t>
      </w:r>
      <w:r>
        <w:rPr>
          <w:rFonts w:cs="Times New Roman"/>
          <w:b/>
          <w:bCs/>
          <w:sz w:val="18"/>
          <w:szCs w:val="18"/>
          <w:lang w:val="es-ES_tradnl"/>
        </w:rPr>
        <w:t>º</w:t>
      </w:r>
      <w:r>
        <w:rPr>
          <w:b/>
          <w:bCs/>
          <w:sz w:val="18"/>
          <w:szCs w:val="18"/>
          <w:lang w:val="es-ES_tradnl"/>
        </w:rPr>
        <w:t xml:space="preserve"> 013-2010?</w:t>
      </w:r>
    </w:p>
    <w:p w14:paraId="4F67AA6D" w14:textId="77777777" w:rsidR="00591D54" w:rsidRDefault="00591D54">
      <w:pPr>
        <w:shd w:val="clear" w:color="auto" w:fill="FFFFFF"/>
        <w:spacing w:before="192" w:line="216" w:lineRule="exact"/>
        <w:ind w:right="10"/>
        <w:jc w:val="both"/>
      </w:pPr>
      <w:r>
        <w:rPr>
          <w:spacing w:val="-3"/>
          <w:sz w:val="18"/>
          <w:szCs w:val="18"/>
          <w:lang w:val="es-ES_tradnl"/>
        </w:rPr>
        <w:t>Herlinda Cris</w:t>
      </w:r>
      <w:r>
        <w:rPr>
          <w:rFonts w:cs="Times New Roman"/>
          <w:spacing w:val="-3"/>
          <w:sz w:val="18"/>
          <w:szCs w:val="18"/>
          <w:lang w:val="es-ES_tradnl"/>
        </w:rPr>
        <w:t>á</w:t>
      </w:r>
      <w:r>
        <w:rPr>
          <w:spacing w:val="-3"/>
          <w:sz w:val="18"/>
          <w:szCs w:val="18"/>
          <w:lang w:val="es-ES_tradnl"/>
        </w:rPr>
        <w:t>lida Armijos Tinoco interpuso acci</w:t>
      </w:r>
      <w:r>
        <w:rPr>
          <w:rFonts w:cs="Times New Roman"/>
          <w:spacing w:val="-3"/>
          <w:sz w:val="18"/>
          <w:szCs w:val="18"/>
          <w:lang w:val="es-ES_tradnl"/>
        </w:rPr>
        <w:t>ó</w:t>
      </w:r>
      <w:r>
        <w:rPr>
          <w:spacing w:val="-3"/>
          <w:sz w:val="18"/>
          <w:szCs w:val="18"/>
          <w:lang w:val="es-ES_tradnl"/>
        </w:rPr>
        <w:t xml:space="preserve">n de </w:t>
      </w:r>
      <w:r>
        <w:rPr>
          <w:spacing w:val="-7"/>
          <w:sz w:val="18"/>
          <w:szCs w:val="18"/>
          <w:lang w:val="es-ES_tradnl"/>
        </w:rPr>
        <w:t xml:space="preserve">incumplimiento de la sentencia dictada el 02 de febrero de </w:t>
      </w:r>
      <w:r>
        <w:rPr>
          <w:spacing w:val="-5"/>
          <w:sz w:val="18"/>
          <w:szCs w:val="18"/>
          <w:lang w:val="es-ES_tradnl"/>
        </w:rPr>
        <w:t>2010, por el juez d</w:t>
      </w:r>
      <w:r>
        <w:rPr>
          <w:rFonts w:cs="Times New Roman"/>
          <w:spacing w:val="-5"/>
          <w:sz w:val="18"/>
          <w:szCs w:val="18"/>
          <w:lang w:val="es-ES_tradnl"/>
        </w:rPr>
        <w:t>é</w:t>
      </w:r>
      <w:r>
        <w:rPr>
          <w:spacing w:val="-5"/>
          <w:sz w:val="18"/>
          <w:szCs w:val="18"/>
          <w:lang w:val="es-ES_tradnl"/>
        </w:rPr>
        <w:t xml:space="preserve">cimo cuarto de lo civil de Loja, la cual </w:t>
      </w:r>
      <w:r>
        <w:rPr>
          <w:spacing w:val="-9"/>
          <w:sz w:val="18"/>
          <w:szCs w:val="18"/>
          <w:lang w:val="es-ES_tradnl"/>
        </w:rPr>
        <w:t xml:space="preserve">fue ratificada por los jueces de la Sala de lo Civil, Mercantil, </w:t>
      </w:r>
      <w:r>
        <w:rPr>
          <w:spacing w:val="-7"/>
          <w:sz w:val="18"/>
          <w:szCs w:val="18"/>
          <w:lang w:val="es-ES_tradnl"/>
        </w:rPr>
        <w:t xml:space="preserve">Inquilinato y Materias Residuales de la Corte Provincial de </w:t>
      </w:r>
      <w:r>
        <w:rPr>
          <w:spacing w:val="-6"/>
          <w:sz w:val="18"/>
          <w:szCs w:val="18"/>
          <w:lang w:val="es-ES_tradnl"/>
        </w:rPr>
        <w:t xml:space="preserve">Justicia de Loja, en sentencia del 05 de marzo de 2010 a </w:t>
      </w:r>
      <w:r>
        <w:rPr>
          <w:sz w:val="18"/>
          <w:szCs w:val="18"/>
          <w:lang w:val="es-ES_tradnl"/>
        </w:rPr>
        <w:t>las 09h42.</w:t>
      </w:r>
    </w:p>
    <w:p w14:paraId="4F67AA6E" w14:textId="77777777" w:rsidR="00591D54" w:rsidRDefault="00591D54">
      <w:pPr>
        <w:shd w:val="clear" w:color="auto" w:fill="FFFFFF"/>
        <w:spacing w:before="192" w:line="216" w:lineRule="exact"/>
        <w:ind w:right="10"/>
        <w:jc w:val="both"/>
      </w:pPr>
      <w:r>
        <w:rPr>
          <w:spacing w:val="-8"/>
          <w:sz w:val="18"/>
          <w:szCs w:val="18"/>
          <w:lang w:val="es-ES_tradnl"/>
        </w:rPr>
        <w:t xml:space="preserve">Las disposiciones que emanan de la sentencia cuyo </w:t>
      </w:r>
      <w:r>
        <w:rPr>
          <w:spacing w:val="-7"/>
          <w:sz w:val="18"/>
          <w:szCs w:val="18"/>
          <w:lang w:val="es-ES_tradnl"/>
        </w:rPr>
        <w:t>incumplimiento se demanda, determinan que el Gobierno Aut</w:t>
      </w:r>
      <w:r>
        <w:rPr>
          <w:rFonts w:cs="Times New Roman"/>
          <w:spacing w:val="-7"/>
          <w:sz w:val="18"/>
          <w:szCs w:val="18"/>
          <w:lang w:val="es-ES_tradnl"/>
        </w:rPr>
        <w:t>ó</w:t>
      </w:r>
      <w:r>
        <w:rPr>
          <w:spacing w:val="-7"/>
          <w:sz w:val="18"/>
          <w:szCs w:val="18"/>
          <w:lang w:val="es-ES_tradnl"/>
        </w:rPr>
        <w:t>nomo Descentralizado del cant</w:t>
      </w:r>
      <w:r>
        <w:rPr>
          <w:rFonts w:cs="Times New Roman"/>
          <w:spacing w:val="-7"/>
          <w:sz w:val="18"/>
          <w:szCs w:val="18"/>
          <w:lang w:val="es-ES_tradnl"/>
        </w:rPr>
        <w:t>ó</w:t>
      </w:r>
      <w:r>
        <w:rPr>
          <w:spacing w:val="-7"/>
          <w:sz w:val="18"/>
          <w:szCs w:val="18"/>
          <w:lang w:val="es-ES_tradnl"/>
        </w:rPr>
        <w:t xml:space="preserve">n Paltas cumpla las </w:t>
      </w:r>
      <w:r>
        <w:rPr>
          <w:spacing w:val="-8"/>
          <w:sz w:val="18"/>
          <w:szCs w:val="18"/>
          <w:lang w:val="es-ES_tradnl"/>
        </w:rPr>
        <w:t>siguientes medidas de reparaci</w:t>
      </w:r>
      <w:r>
        <w:rPr>
          <w:rFonts w:cs="Times New Roman"/>
          <w:spacing w:val="-8"/>
          <w:sz w:val="18"/>
          <w:szCs w:val="18"/>
          <w:lang w:val="es-ES_tradnl"/>
        </w:rPr>
        <w:t>ó</w:t>
      </w:r>
      <w:r>
        <w:rPr>
          <w:spacing w:val="-8"/>
          <w:sz w:val="18"/>
          <w:szCs w:val="18"/>
          <w:lang w:val="es-ES_tradnl"/>
        </w:rPr>
        <w:t>n integral:</w:t>
      </w:r>
    </w:p>
    <w:p w14:paraId="4F67AA6F" w14:textId="77777777" w:rsidR="00591D54" w:rsidRDefault="00591D54" w:rsidP="00251195">
      <w:pPr>
        <w:numPr>
          <w:ilvl w:val="0"/>
          <w:numId w:val="48"/>
        </w:numPr>
        <w:shd w:val="clear" w:color="auto" w:fill="FFFFFF"/>
        <w:tabs>
          <w:tab w:val="left" w:pos="211"/>
        </w:tabs>
        <w:spacing w:before="192" w:line="216" w:lineRule="exact"/>
        <w:ind w:right="10"/>
        <w:jc w:val="both"/>
        <w:rPr>
          <w:spacing w:val="-9"/>
          <w:sz w:val="18"/>
          <w:szCs w:val="18"/>
          <w:lang w:val="es-ES_tradnl"/>
        </w:rPr>
      </w:pPr>
      <w:r>
        <w:rPr>
          <w:spacing w:val="-6"/>
          <w:sz w:val="18"/>
          <w:szCs w:val="18"/>
          <w:lang w:val="es-ES_tradnl"/>
        </w:rPr>
        <w:t xml:space="preserve">Restituir a la accionante a su puesto de trabajo en la </w:t>
      </w:r>
      <w:r>
        <w:rPr>
          <w:spacing w:val="-7"/>
          <w:sz w:val="18"/>
          <w:szCs w:val="18"/>
          <w:lang w:val="es-ES_tradnl"/>
        </w:rPr>
        <w:t>tercena N.</w:t>
      </w:r>
      <w:r>
        <w:rPr>
          <w:rFonts w:cs="Times New Roman"/>
          <w:spacing w:val="-7"/>
          <w:sz w:val="18"/>
          <w:szCs w:val="18"/>
          <w:lang w:val="es-ES_tradnl"/>
        </w:rPr>
        <w:t>°</w:t>
      </w:r>
      <w:r>
        <w:rPr>
          <w:spacing w:val="-7"/>
          <w:sz w:val="18"/>
          <w:szCs w:val="18"/>
          <w:lang w:val="es-ES_tradnl"/>
        </w:rPr>
        <w:t xml:space="preserve"> 20 del Centro Comercial Paltense;</w:t>
      </w:r>
    </w:p>
    <w:p w14:paraId="4F67AA70" w14:textId="77777777" w:rsidR="00591D54" w:rsidRDefault="00591D54" w:rsidP="00251195">
      <w:pPr>
        <w:numPr>
          <w:ilvl w:val="0"/>
          <w:numId w:val="48"/>
        </w:numPr>
        <w:shd w:val="clear" w:color="auto" w:fill="FFFFFF"/>
        <w:tabs>
          <w:tab w:val="left" w:pos="211"/>
        </w:tabs>
        <w:spacing w:before="192" w:line="216" w:lineRule="exact"/>
        <w:ind w:right="10"/>
        <w:jc w:val="both"/>
        <w:rPr>
          <w:spacing w:val="-9"/>
          <w:sz w:val="18"/>
          <w:szCs w:val="18"/>
          <w:lang w:val="es-ES_tradnl"/>
        </w:rPr>
      </w:pPr>
      <w:r>
        <w:rPr>
          <w:spacing w:val="-6"/>
          <w:sz w:val="18"/>
          <w:szCs w:val="18"/>
          <w:lang w:val="es-ES_tradnl"/>
        </w:rPr>
        <w:t xml:space="preserve">Vender los tickets para el faenamiento y expendio de </w:t>
      </w:r>
      <w:r>
        <w:rPr>
          <w:sz w:val="18"/>
          <w:szCs w:val="18"/>
          <w:lang w:val="es-ES_tradnl"/>
        </w:rPr>
        <w:t>carne porcina.</w:t>
      </w:r>
    </w:p>
    <w:p w14:paraId="4F67AA71" w14:textId="77777777" w:rsidR="00591D54" w:rsidRDefault="00591D54">
      <w:pPr>
        <w:shd w:val="clear" w:color="auto" w:fill="FFFFFF"/>
        <w:spacing w:before="197" w:line="216" w:lineRule="exact"/>
        <w:ind w:right="10"/>
        <w:jc w:val="both"/>
      </w:pPr>
      <w:r>
        <w:rPr>
          <w:spacing w:val="-6"/>
          <w:sz w:val="18"/>
          <w:szCs w:val="18"/>
          <w:lang w:val="es-ES_tradnl"/>
        </w:rPr>
        <w:t>De forma expresa, la sentencia identific</w:t>
      </w:r>
      <w:r>
        <w:rPr>
          <w:rFonts w:cs="Times New Roman"/>
          <w:spacing w:val="-6"/>
          <w:sz w:val="18"/>
          <w:szCs w:val="18"/>
          <w:lang w:val="es-ES_tradnl"/>
        </w:rPr>
        <w:t>ó</w:t>
      </w:r>
      <w:r>
        <w:rPr>
          <w:spacing w:val="-6"/>
          <w:sz w:val="18"/>
          <w:szCs w:val="18"/>
          <w:lang w:val="es-ES_tradnl"/>
        </w:rPr>
        <w:t xml:space="preserve"> que los sujetos </w:t>
      </w:r>
      <w:r>
        <w:rPr>
          <w:spacing w:val="-10"/>
          <w:sz w:val="18"/>
          <w:szCs w:val="18"/>
          <w:lang w:val="es-ES_tradnl"/>
        </w:rPr>
        <w:t>obligados al cumplimiento de lo dispuesto por el juez d</w:t>
      </w:r>
      <w:r>
        <w:rPr>
          <w:rFonts w:cs="Times New Roman"/>
          <w:spacing w:val="-10"/>
          <w:sz w:val="18"/>
          <w:szCs w:val="18"/>
          <w:lang w:val="es-ES_tradnl"/>
        </w:rPr>
        <w:t>é</w:t>
      </w:r>
      <w:r>
        <w:rPr>
          <w:spacing w:val="-10"/>
          <w:sz w:val="18"/>
          <w:szCs w:val="18"/>
          <w:lang w:val="es-ES_tradnl"/>
        </w:rPr>
        <w:t xml:space="preserve">cimo </w:t>
      </w:r>
      <w:r>
        <w:rPr>
          <w:spacing w:val="-6"/>
          <w:sz w:val="18"/>
          <w:szCs w:val="18"/>
          <w:lang w:val="es-ES_tradnl"/>
        </w:rPr>
        <w:t xml:space="preserve">cuarto multicompetente de Loja, son los representantes </w:t>
      </w:r>
      <w:r>
        <w:rPr>
          <w:spacing w:val="-10"/>
          <w:sz w:val="18"/>
          <w:szCs w:val="18"/>
          <w:lang w:val="es-ES_tradnl"/>
        </w:rPr>
        <w:t>legales de la Municipalidad del cant</w:t>
      </w:r>
      <w:r>
        <w:rPr>
          <w:rFonts w:cs="Times New Roman"/>
          <w:spacing w:val="-10"/>
          <w:sz w:val="18"/>
          <w:szCs w:val="18"/>
          <w:lang w:val="es-ES_tradnl"/>
        </w:rPr>
        <w:t>ó</w:t>
      </w:r>
      <w:r>
        <w:rPr>
          <w:spacing w:val="-10"/>
          <w:sz w:val="18"/>
          <w:szCs w:val="18"/>
          <w:lang w:val="es-ES_tradnl"/>
        </w:rPr>
        <w:t>n Paltas, se</w:t>
      </w:r>
      <w:r>
        <w:rPr>
          <w:rFonts w:cs="Times New Roman"/>
          <w:spacing w:val="-10"/>
          <w:sz w:val="18"/>
          <w:szCs w:val="18"/>
          <w:lang w:val="es-ES_tradnl"/>
        </w:rPr>
        <w:t>ñ</w:t>
      </w:r>
      <w:r>
        <w:rPr>
          <w:spacing w:val="-10"/>
          <w:sz w:val="18"/>
          <w:szCs w:val="18"/>
          <w:lang w:val="es-ES_tradnl"/>
        </w:rPr>
        <w:t xml:space="preserve">ores Jorge </w:t>
      </w:r>
      <w:r>
        <w:rPr>
          <w:spacing w:val="-6"/>
          <w:sz w:val="18"/>
          <w:szCs w:val="18"/>
          <w:lang w:val="es-ES_tradnl"/>
        </w:rPr>
        <w:t>Luis Feijoo Valarezo y doctor Byron R</w:t>
      </w:r>
      <w:r>
        <w:rPr>
          <w:rFonts w:cs="Times New Roman"/>
          <w:spacing w:val="-6"/>
          <w:sz w:val="18"/>
          <w:szCs w:val="18"/>
          <w:lang w:val="es-ES_tradnl"/>
        </w:rPr>
        <w:t>í</w:t>
      </w:r>
      <w:r>
        <w:rPr>
          <w:spacing w:val="-6"/>
          <w:sz w:val="18"/>
          <w:szCs w:val="18"/>
          <w:lang w:val="es-ES_tradnl"/>
        </w:rPr>
        <w:t>os en calidades de alcalde y procurador s</w:t>
      </w:r>
      <w:r>
        <w:rPr>
          <w:rFonts w:cs="Times New Roman"/>
          <w:spacing w:val="-6"/>
          <w:sz w:val="18"/>
          <w:szCs w:val="18"/>
          <w:lang w:val="es-ES_tradnl"/>
        </w:rPr>
        <w:t>í</w:t>
      </w:r>
      <w:r>
        <w:rPr>
          <w:spacing w:val="-6"/>
          <w:sz w:val="18"/>
          <w:szCs w:val="18"/>
          <w:lang w:val="es-ES_tradnl"/>
        </w:rPr>
        <w:t xml:space="preserve">ndico municipal, respectivamente, </w:t>
      </w:r>
      <w:r>
        <w:rPr>
          <w:spacing w:val="-7"/>
          <w:sz w:val="18"/>
          <w:szCs w:val="18"/>
          <w:lang w:val="es-ES_tradnl"/>
        </w:rPr>
        <w:t>adem</w:t>
      </w:r>
      <w:r>
        <w:rPr>
          <w:rFonts w:cs="Times New Roman"/>
          <w:spacing w:val="-7"/>
          <w:sz w:val="18"/>
          <w:szCs w:val="18"/>
          <w:lang w:val="es-ES_tradnl"/>
        </w:rPr>
        <w:t>á</w:t>
      </w:r>
      <w:r>
        <w:rPr>
          <w:spacing w:val="-7"/>
          <w:sz w:val="18"/>
          <w:szCs w:val="18"/>
          <w:lang w:val="es-ES_tradnl"/>
        </w:rPr>
        <w:t>s del se</w:t>
      </w:r>
      <w:r>
        <w:rPr>
          <w:rFonts w:cs="Times New Roman"/>
          <w:spacing w:val="-7"/>
          <w:sz w:val="18"/>
          <w:szCs w:val="18"/>
          <w:lang w:val="es-ES_tradnl"/>
        </w:rPr>
        <w:t>ñ</w:t>
      </w:r>
      <w:r>
        <w:rPr>
          <w:spacing w:val="-7"/>
          <w:sz w:val="18"/>
          <w:szCs w:val="18"/>
          <w:lang w:val="es-ES_tradnl"/>
        </w:rPr>
        <w:t xml:space="preserve">or Francisco Mori, comisario municipal del </w:t>
      </w:r>
      <w:r>
        <w:rPr>
          <w:spacing w:val="-9"/>
          <w:sz w:val="18"/>
          <w:szCs w:val="18"/>
          <w:lang w:val="es-ES_tradnl"/>
        </w:rPr>
        <w:t>cant</w:t>
      </w:r>
      <w:r>
        <w:rPr>
          <w:rFonts w:cs="Times New Roman"/>
          <w:spacing w:val="-9"/>
          <w:sz w:val="18"/>
          <w:szCs w:val="18"/>
          <w:lang w:val="es-ES_tradnl"/>
        </w:rPr>
        <w:t>ó</w:t>
      </w:r>
      <w:r>
        <w:rPr>
          <w:spacing w:val="-9"/>
          <w:sz w:val="18"/>
          <w:szCs w:val="18"/>
          <w:lang w:val="es-ES_tradnl"/>
        </w:rPr>
        <w:t xml:space="preserve">n Paltas, quienes ejercieron las funciones indicadas al </w:t>
      </w:r>
      <w:r>
        <w:rPr>
          <w:sz w:val="18"/>
          <w:szCs w:val="18"/>
          <w:lang w:val="es-ES_tradnl"/>
        </w:rPr>
        <w:t>momento de la emisi</w:t>
      </w:r>
      <w:r>
        <w:rPr>
          <w:rFonts w:cs="Times New Roman"/>
          <w:sz w:val="18"/>
          <w:szCs w:val="18"/>
          <w:lang w:val="es-ES_tradnl"/>
        </w:rPr>
        <w:t>ó</w:t>
      </w:r>
      <w:r>
        <w:rPr>
          <w:sz w:val="18"/>
          <w:szCs w:val="18"/>
          <w:lang w:val="es-ES_tradnl"/>
        </w:rPr>
        <w:t>n de la sentencia.</w:t>
      </w:r>
    </w:p>
    <w:p w14:paraId="4F67AA72" w14:textId="77777777" w:rsidR="00591D54" w:rsidRDefault="00591D54">
      <w:pPr>
        <w:shd w:val="clear" w:color="auto" w:fill="FFFFFF"/>
        <w:spacing w:before="197" w:line="216" w:lineRule="exact"/>
        <w:ind w:right="10"/>
        <w:jc w:val="both"/>
      </w:pPr>
      <w:r>
        <w:rPr>
          <w:spacing w:val="-8"/>
          <w:sz w:val="18"/>
          <w:szCs w:val="18"/>
          <w:lang w:val="es-ES_tradnl"/>
        </w:rPr>
        <w:t xml:space="preserve">En este orden de ideas, corresponde analizar el supuesto </w:t>
      </w:r>
      <w:r>
        <w:rPr>
          <w:spacing w:val="-7"/>
          <w:sz w:val="18"/>
          <w:szCs w:val="18"/>
          <w:lang w:val="es-ES_tradnl"/>
        </w:rPr>
        <w:t>incumplimiento demandado, siendo preciso dar especial atenci</w:t>
      </w:r>
      <w:r>
        <w:rPr>
          <w:rFonts w:cs="Times New Roman"/>
          <w:spacing w:val="-7"/>
          <w:sz w:val="18"/>
          <w:szCs w:val="18"/>
          <w:lang w:val="es-ES_tradnl"/>
        </w:rPr>
        <w:t>ó</w:t>
      </w:r>
      <w:r>
        <w:rPr>
          <w:spacing w:val="-7"/>
          <w:sz w:val="18"/>
          <w:szCs w:val="18"/>
          <w:lang w:val="es-ES_tradnl"/>
        </w:rPr>
        <w:t>n a la primera medida de reparaci</w:t>
      </w:r>
      <w:r>
        <w:rPr>
          <w:rFonts w:cs="Times New Roman"/>
          <w:spacing w:val="-7"/>
          <w:sz w:val="18"/>
          <w:szCs w:val="18"/>
          <w:lang w:val="es-ES_tradnl"/>
        </w:rPr>
        <w:t>ó</w:t>
      </w:r>
      <w:r>
        <w:rPr>
          <w:spacing w:val="-7"/>
          <w:sz w:val="18"/>
          <w:szCs w:val="18"/>
          <w:lang w:val="es-ES_tradnl"/>
        </w:rPr>
        <w:t>n encaminada a la restituci</w:t>
      </w:r>
      <w:r>
        <w:rPr>
          <w:rFonts w:cs="Times New Roman"/>
          <w:spacing w:val="-7"/>
          <w:sz w:val="18"/>
          <w:szCs w:val="18"/>
          <w:lang w:val="es-ES_tradnl"/>
        </w:rPr>
        <w:t>ó</w:t>
      </w:r>
      <w:r>
        <w:rPr>
          <w:spacing w:val="-7"/>
          <w:sz w:val="18"/>
          <w:szCs w:val="18"/>
          <w:lang w:val="es-ES_tradnl"/>
        </w:rPr>
        <w:t>n de la accionante a su puesto de trabajo, en el Centro Comercial Paltense en la tercena N.</w:t>
      </w:r>
      <w:r>
        <w:rPr>
          <w:rFonts w:cs="Times New Roman"/>
          <w:spacing w:val="-7"/>
          <w:sz w:val="18"/>
          <w:szCs w:val="18"/>
          <w:lang w:val="es-ES_tradnl"/>
        </w:rPr>
        <w:t>°</w:t>
      </w:r>
      <w:r>
        <w:rPr>
          <w:spacing w:val="-7"/>
          <w:sz w:val="18"/>
          <w:szCs w:val="18"/>
          <w:lang w:val="es-ES_tradnl"/>
        </w:rPr>
        <w:t xml:space="preserve"> 20, con base </w:t>
      </w:r>
      <w:r>
        <w:rPr>
          <w:spacing w:val="-11"/>
          <w:sz w:val="18"/>
          <w:szCs w:val="18"/>
          <w:lang w:val="es-ES_tradnl"/>
        </w:rPr>
        <w:t>en la documentaci</w:t>
      </w:r>
      <w:r>
        <w:rPr>
          <w:rFonts w:cs="Times New Roman"/>
          <w:spacing w:val="-11"/>
          <w:sz w:val="18"/>
          <w:szCs w:val="18"/>
          <w:lang w:val="es-ES_tradnl"/>
        </w:rPr>
        <w:t>ó</w:t>
      </w:r>
      <w:r>
        <w:rPr>
          <w:spacing w:val="-11"/>
          <w:sz w:val="18"/>
          <w:szCs w:val="18"/>
          <w:lang w:val="es-ES_tradnl"/>
        </w:rPr>
        <w:t>n agregada, de la cual se desprende que:</w:t>
      </w:r>
    </w:p>
    <w:p w14:paraId="4F67AA73" w14:textId="77777777" w:rsidR="00591D54" w:rsidRDefault="00591D54">
      <w:pPr>
        <w:shd w:val="clear" w:color="auto" w:fill="FFFFFF"/>
        <w:spacing w:before="197" w:line="216" w:lineRule="exact"/>
        <w:ind w:right="10"/>
        <w:jc w:val="both"/>
      </w:pPr>
      <w:r>
        <w:rPr>
          <w:sz w:val="18"/>
          <w:szCs w:val="18"/>
          <w:lang w:val="es-ES_tradnl"/>
        </w:rPr>
        <w:t xml:space="preserve">A fojas 01 del expediente de anexos presentados por </w:t>
      </w:r>
      <w:r>
        <w:rPr>
          <w:spacing w:val="-6"/>
          <w:sz w:val="18"/>
          <w:szCs w:val="18"/>
          <w:lang w:val="es-ES_tradnl"/>
        </w:rPr>
        <w:t>el actual procurador s</w:t>
      </w:r>
      <w:r>
        <w:rPr>
          <w:rFonts w:cs="Times New Roman"/>
          <w:spacing w:val="-6"/>
          <w:sz w:val="18"/>
          <w:szCs w:val="18"/>
          <w:lang w:val="es-ES_tradnl"/>
        </w:rPr>
        <w:t>í</w:t>
      </w:r>
      <w:r>
        <w:rPr>
          <w:spacing w:val="-6"/>
          <w:sz w:val="18"/>
          <w:szCs w:val="18"/>
          <w:lang w:val="es-ES_tradnl"/>
        </w:rPr>
        <w:t>ndico del Gobierno Aut</w:t>
      </w:r>
      <w:r>
        <w:rPr>
          <w:rFonts w:cs="Times New Roman"/>
          <w:spacing w:val="-6"/>
          <w:sz w:val="18"/>
          <w:szCs w:val="18"/>
          <w:lang w:val="es-ES_tradnl"/>
        </w:rPr>
        <w:t>ó</w:t>
      </w:r>
      <w:r>
        <w:rPr>
          <w:spacing w:val="-6"/>
          <w:sz w:val="18"/>
          <w:szCs w:val="18"/>
          <w:lang w:val="es-ES_tradnl"/>
        </w:rPr>
        <w:t xml:space="preserve">nomo </w:t>
      </w:r>
      <w:r>
        <w:rPr>
          <w:spacing w:val="-7"/>
          <w:sz w:val="18"/>
          <w:szCs w:val="18"/>
          <w:lang w:val="es-ES_tradnl"/>
        </w:rPr>
        <w:t>Descentralizado del cant</w:t>
      </w:r>
      <w:r>
        <w:rPr>
          <w:rFonts w:cs="Times New Roman"/>
          <w:spacing w:val="-7"/>
          <w:sz w:val="18"/>
          <w:szCs w:val="18"/>
          <w:lang w:val="es-ES_tradnl"/>
        </w:rPr>
        <w:t>ó</w:t>
      </w:r>
      <w:r>
        <w:rPr>
          <w:spacing w:val="-7"/>
          <w:sz w:val="18"/>
          <w:szCs w:val="18"/>
          <w:lang w:val="es-ES_tradnl"/>
        </w:rPr>
        <w:t>n Paltas, doctor Manuel Agust</w:t>
      </w:r>
      <w:r>
        <w:rPr>
          <w:rFonts w:cs="Times New Roman"/>
          <w:spacing w:val="-7"/>
          <w:sz w:val="18"/>
          <w:szCs w:val="18"/>
          <w:lang w:val="es-ES_tradnl"/>
        </w:rPr>
        <w:t>í</w:t>
      </w:r>
      <w:r>
        <w:rPr>
          <w:spacing w:val="-7"/>
          <w:sz w:val="18"/>
          <w:szCs w:val="18"/>
          <w:lang w:val="es-ES_tradnl"/>
        </w:rPr>
        <w:t xml:space="preserve">n </w:t>
      </w:r>
      <w:r>
        <w:rPr>
          <w:spacing w:val="-9"/>
          <w:sz w:val="18"/>
          <w:szCs w:val="18"/>
          <w:lang w:val="es-ES_tradnl"/>
        </w:rPr>
        <w:t>Tandazo Tacuri, comparece manifestando:</w:t>
      </w:r>
    </w:p>
    <w:p w14:paraId="4F67AA74" w14:textId="77777777" w:rsidR="00591D54" w:rsidRDefault="00591D54">
      <w:pPr>
        <w:shd w:val="clear" w:color="auto" w:fill="FFFFFF"/>
        <w:spacing w:before="202" w:line="216" w:lineRule="exact"/>
        <w:ind w:left="283"/>
        <w:jc w:val="both"/>
      </w:pPr>
      <w:r>
        <w:rPr>
          <w:spacing w:val="-9"/>
          <w:sz w:val="16"/>
          <w:szCs w:val="16"/>
          <w:lang w:val="es-ES_tradnl"/>
        </w:rPr>
        <w:t>(</w:t>
      </w:r>
      <w:r>
        <w:rPr>
          <w:rFonts w:cs="Times New Roman"/>
          <w:spacing w:val="-9"/>
          <w:sz w:val="16"/>
          <w:szCs w:val="16"/>
          <w:lang w:val="es-ES_tradnl"/>
        </w:rPr>
        <w:t>…</w:t>
      </w:r>
      <w:r>
        <w:rPr>
          <w:spacing w:val="-9"/>
          <w:sz w:val="16"/>
          <w:szCs w:val="16"/>
          <w:lang w:val="es-ES_tradnl"/>
        </w:rPr>
        <w:t>) El arriendo de Tercena no se ha emitido desde el a</w:t>
      </w:r>
      <w:r>
        <w:rPr>
          <w:rFonts w:cs="Times New Roman"/>
          <w:spacing w:val="-9"/>
          <w:sz w:val="16"/>
          <w:szCs w:val="16"/>
          <w:lang w:val="es-ES_tradnl"/>
        </w:rPr>
        <w:t>ñ</w:t>
      </w:r>
      <w:r>
        <w:rPr>
          <w:spacing w:val="-9"/>
          <w:sz w:val="16"/>
          <w:szCs w:val="16"/>
          <w:lang w:val="es-ES_tradnl"/>
        </w:rPr>
        <w:t xml:space="preserve">o 2010 </w:t>
      </w:r>
      <w:r>
        <w:rPr>
          <w:spacing w:val="-6"/>
          <w:sz w:val="16"/>
          <w:szCs w:val="16"/>
          <w:lang w:val="es-ES_tradnl"/>
        </w:rPr>
        <w:t>por no haber llegado a esta oficina el respectivo contrato del local arrendado, sin embargo la Sra. HERLINDA CRIS</w:t>
      </w:r>
      <w:r>
        <w:rPr>
          <w:rFonts w:cs="Times New Roman"/>
          <w:spacing w:val="-6"/>
          <w:sz w:val="16"/>
          <w:szCs w:val="16"/>
          <w:lang w:val="es-ES_tradnl"/>
        </w:rPr>
        <w:t>Á</w:t>
      </w:r>
      <w:r>
        <w:rPr>
          <w:spacing w:val="-6"/>
          <w:sz w:val="16"/>
          <w:szCs w:val="16"/>
          <w:lang w:val="es-ES_tradnl"/>
        </w:rPr>
        <w:t>LIDA ARMIJOS TINOCO labor</w:t>
      </w:r>
      <w:r>
        <w:rPr>
          <w:rFonts w:cs="Times New Roman"/>
          <w:spacing w:val="-6"/>
          <w:sz w:val="16"/>
          <w:szCs w:val="16"/>
          <w:lang w:val="es-ES_tradnl"/>
        </w:rPr>
        <w:t>ó</w:t>
      </w:r>
      <w:r>
        <w:rPr>
          <w:spacing w:val="-6"/>
          <w:sz w:val="16"/>
          <w:szCs w:val="16"/>
          <w:lang w:val="es-ES_tradnl"/>
        </w:rPr>
        <w:t xml:space="preserve"> todo el a</w:t>
      </w:r>
      <w:r>
        <w:rPr>
          <w:rFonts w:cs="Times New Roman"/>
          <w:spacing w:val="-6"/>
          <w:sz w:val="16"/>
          <w:szCs w:val="16"/>
          <w:lang w:val="es-ES_tradnl"/>
        </w:rPr>
        <w:t>ñ</w:t>
      </w:r>
      <w:r>
        <w:rPr>
          <w:spacing w:val="-6"/>
          <w:sz w:val="16"/>
          <w:szCs w:val="16"/>
          <w:lang w:val="es-ES_tradnl"/>
        </w:rPr>
        <w:t xml:space="preserve">o 2010 consignando el </w:t>
      </w:r>
      <w:r>
        <w:rPr>
          <w:spacing w:val="-8"/>
          <w:sz w:val="16"/>
          <w:szCs w:val="16"/>
          <w:lang w:val="es-ES_tradnl"/>
        </w:rPr>
        <w:t>dinero que no le cobraban en el Banco de Fomento (</w:t>
      </w:r>
      <w:r>
        <w:rPr>
          <w:rFonts w:cs="Times New Roman"/>
          <w:spacing w:val="-8"/>
          <w:sz w:val="16"/>
          <w:szCs w:val="16"/>
          <w:lang w:val="es-ES_tradnl"/>
        </w:rPr>
        <w:t>…</w:t>
      </w:r>
      <w:r>
        <w:rPr>
          <w:spacing w:val="-8"/>
          <w:sz w:val="16"/>
          <w:szCs w:val="16"/>
          <w:lang w:val="es-ES_tradnl"/>
        </w:rPr>
        <w:t>) (SIC).</w:t>
      </w:r>
    </w:p>
    <w:p w14:paraId="4F67AA75" w14:textId="77777777" w:rsidR="00591D54" w:rsidRDefault="00591D54">
      <w:pPr>
        <w:shd w:val="clear" w:color="auto" w:fill="FFFFFF"/>
        <w:spacing w:before="202" w:line="216" w:lineRule="exact"/>
        <w:ind w:right="10"/>
        <w:jc w:val="both"/>
      </w:pPr>
      <w:r>
        <w:rPr>
          <w:spacing w:val="-4"/>
          <w:sz w:val="18"/>
          <w:szCs w:val="18"/>
          <w:lang w:val="es-ES_tradnl"/>
        </w:rPr>
        <w:t>De la certificaci</w:t>
      </w:r>
      <w:r>
        <w:rPr>
          <w:rFonts w:cs="Times New Roman"/>
          <w:spacing w:val="-4"/>
          <w:sz w:val="18"/>
          <w:szCs w:val="18"/>
          <w:lang w:val="es-ES_tradnl"/>
        </w:rPr>
        <w:t>ó</w:t>
      </w:r>
      <w:r>
        <w:rPr>
          <w:spacing w:val="-4"/>
          <w:sz w:val="18"/>
          <w:szCs w:val="18"/>
          <w:lang w:val="es-ES_tradnl"/>
        </w:rPr>
        <w:t xml:space="preserve">n emitida el 04 de noviembre de 2010 </w:t>
      </w:r>
      <w:r>
        <w:rPr>
          <w:sz w:val="18"/>
          <w:szCs w:val="18"/>
          <w:lang w:val="es-ES_tradnl"/>
        </w:rPr>
        <w:t>por el comisario municipal del cant</w:t>
      </w:r>
      <w:r>
        <w:rPr>
          <w:rFonts w:cs="Times New Roman"/>
          <w:sz w:val="18"/>
          <w:szCs w:val="18"/>
          <w:lang w:val="es-ES_tradnl"/>
        </w:rPr>
        <w:t>ó</w:t>
      </w:r>
      <w:r>
        <w:rPr>
          <w:sz w:val="18"/>
          <w:szCs w:val="18"/>
          <w:lang w:val="es-ES_tradnl"/>
        </w:rPr>
        <w:t xml:space="preserve">n Paltas, se puso en conocimiento de la accionante que dicha entidad </w:t>
      </w:r>
      <w:r>
        <w:rPr>
          <w:spacing w:val="-5"/>
          <w:sz w:val="18"/>
          <w:szCs w:val="18"/>
          <w:lang w:val="es-ES_tradnl"/>
        </w:rPr>
        <w:t>ten</w:t>
      </w:r>
      <w:r>
        <w:rPr>
          <w:rFonts w:cs="Times New Roman"/>
          <w:spacing w:val="-5"/>
          <w:sz w:val="18"/>
          <w:szCs w:val="18"/>
          <w:lang w:val="es-ES_tradnl"/>
        </w:rPr>
        <w:t>í</w:t>
      </w:r>
      <w:r>
        <w:rPr>
          <w:spacing w:val="-5"/>
          <w:sz w:val="18"/>
          <w:szCs w:val="18"/>
          <w:lang w:val="es-ES_tradnl"/>
        </w:rPr>
        <w:t>a planificado para el a</w:t>
      </w:r>
      <w:r>
        <w:rPr>
          <w:rFonts w:cs="Times New Roman"/>
          <w:spacing w:val="-5"/>
          <w:sz w:val="18"/>
          <w:szCs w:val="18"/>
          <w:lang w:val="es-ES_tradnl"/>
        </w:rPr>
        <w:t>ñ</w:t>
      </w:r>
      <w:r>
        <w:rPr>
          <w:spacing w:val="-5"/>
          <w:sz w:val="18"/>
          <w:szCs w:val="18"/>
          <w:lang w:val="es-ES_tradnl"/>
        </w:rPr>
        <w:t xml:space="preserve">o 2011 realizar trabajos de </w:t>
      </w:r>
      <w:r>
        <w:rPr>
          <w:spacing w:val="-7"/>
          <w:sz w:val="18"/>
          <w:szCs w:val="18"/>
          <w:lang w:val="es-ES_tradnl"/>
        </w:rPr>
        <w:t>remodelaci</w:t>
      </w:r>
      <w:r>
        <w:rPr>
          <w:rFonts w:cs="Times New Roman"/>
          <w:spacing w:val="-7"/>
          <w:sz w:val="18"/>
          <w:szCs w:val="18"/>
          <w:lang w:val="es-ES_tradnl"/>
        </w:rPr>
        <w:t>ó</w:t>
      </w:r>
      <w:r>
        <w:rPr>
          <w:spacing w:val="-7"/>
          <w:sz w:val="18"/>
          <w:szCs w:val="18"/>
          <w:lang w:val="es-ES_tradnl"/>
        </w:rPr>
        <w:t xml:space="preserve">n del mercado Centro Comercial Paltense, </w:t>
      </w:r>
      <w:r>
        <w:rPr>
          <w:spacing w:val="-4"/>
          <w:sz w:val="18"/>
          <w:szCs w:val="18"/>
          <w:lang w:val="es-ES_tradnl"/>
        </w:rPr>
        <w:t>pretendiendo intervenir el local n</w:t>
      </w:r>
      <w:r>
        <w:rPr>
          <w:rFonts w:cs="Times New Roman"/>
          <w:spacing w:val="-4"/>
          <w:sz w:val="18"/>
          <w:szCs w:val="18"/>
          <w:lang w:val="es-ES_tradnl"/>
        </w:rPr>
        <w:t>ú</w:t>
      </w:r>
      <w:r>
        <w:rPr>
          <w:spacing w:val="-4"/>
          <w:sz w:val="18"/>
          <w:szCs w:val="18"/>
          <w:lang w:val="es-ES_tradnl"/>
        </w:rPr>
        <w:t>mero 20, otorg</w:t>
      </w:r>
      <w:r>
        <w:rPr>
          <w:rFonts w:cs="Times New Roman"/>
          <w:spacing w:val="-4"/>
          <w:sz w:val="18"/>
          <w:szCs w:val="18"/>
          <w:lang w:val="es-ES_tradnl"/>
        </w:rPr>
        <w:t>á</w:t>
      </w:r>
      <w:r>
        <w:rPr>
          <w:spacing w:val="-4"/>
          <w:sz w:val="18"/>
          <w:szCs w:val="18"/>
          <w:lang w:val="es-ES_tradnl"/>
        </w:rPr>
        <w:t xml:space="preserve">ndole </w:t>
      </w:r>
      <w:r>
        <w:rPr>
          <w:spacing w:val="-7"/>
          <w:sz w:val="18"/>
          <w:szCs w:val="18"/>
          <w:lang w:val="es-ES_tradnl"/>
        </w:rPr>
        <w:t>60 d</w:t>
      </w:r>
      <w:r>
        <w:rPr>
          <w:rFonts w:cs="Times New Roman"/>
          <w:spacing w:val="-7"/>
          <w:sz w:val="18"/>
          <w:szCs w:val="18"/>
          <w:lang w:val="es-ES_tradnl"/>
        </w:rPr>
        <w:t>í</w:t>
      </w:r>
      <w:r>
        <w:rPr>
          <w:spacing w:val="-7"/>
          <w:sz w:val="18"/>
          <w:szCs w:val="18"/>
          <w:lang w:val="es-ES_tradnl"/>
        </w:rPr>
        <w:t>as para su desocupaci</w:t>
      </w:r>
      <w:r>
        <w:rPr>
          <w:rFonts w:cs="Times New Roman"/>
          <w:spacing w:val="-7"/>
          <w:sz w:val="18"/>
          <w:szCs w:val="18"/>
          <w:lang w:val="es-ES_tradnl"/>
        </w:rPr>
        <w:t>ó</w:t>
      </w:r>
      <w:r>
        <w:rPr>
          <w:spacing w:val="-7"/>
          <w:sz w:val="18"/>
          <w:szCs w:val="18"/>
          <w:lang w:val="es-ES_tradnl"/>
        </w:rPr>
        <w:t xml:space="preserve">n, de lo que se colige que la </w:t>
      </w:r>
      <w:r>
        <w:rPr>
          <w:spacing w:val="-6"/>
          <w:sz w:val="18"/>
          <w:szCs w:val="18"/>
          <w:lang w:val="es-ES_tradnl"/>
        </w:rPr>
        <w:t>accionante se encontraba ocupando el local demando, tal</w:t>
      </w:r>
    </w:p>
    <w:p w14:paraId="4F67AA76" w14:textId="77777777" w:rsidR="00591D54" w:rsidRDefault="00591D54">
      <w:pPr>
        <w:shd w:val="clear" w:color="auto" w:fill="FFFFFF"/>
        <w:spacing w:before="202" w:line="216" w:lineRule="exact"/>
        <w:ind w:right="10"/>
        <w:jc w:val="both"/>
        <w:sectPr w:rsidR="00591D54">
          <w:type w:val="continuous"/>
          <w:pgSz w:w="11909" w:h="16834"/>
          <w:pgMar w:top="1368" w:right="1299" w:bottom="360" w:left="1308" w:header="720" w:footer="720" w:gutter="0"/>
          <w:cols w:num="2" w:space="720" w:equalWidth="0">
            <w:col w:w="4305" w:space="682"/>
            <w:col w:w="4315"/>
          </w:cols>
          <w:noEndnote/>
        </w:sectPr>
      </w:pPr>
    </w:p>
    <w:p w14:paraId="4F67AA77" w14:textId="77777777" w:rsidR="00591D54" w:rsidRDefault="00591D54">
      <w:pPr>
        <w:shd w:val="clear" w:color="auto" w:fill="FFFFFF"/>
        <w:tabs>
          <w:tab w:val="left" w:pos="595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- 85</w:t>
      </w:r>
    </w:p>
    <w:p w14:paraId="4F67AA78" w14:textId="77777777" w:rsidR="00591D54" w:rsidRDefault="00591D54">
      <w:pPr>
        <w:shd w:val="clear" w:color="auto" w:fill="FFFFFF"/>
        <w:tabs>
          <w:tab w:val="left" w:pos="5952"/>
        </w:tabs>
        <w:spacing w:after="235"/>
        <w:ind w:left="5"/>
        <w:sectPr w:rsidR="00591D54">
          <w:pgSz w:w="11909" w:h="16834"/>
          <w:pgMar w:top="1366" w:right="1309" w:bottom="360" w:left="1308" w:header="720" w:footer="720" w:gutter="0"/>
          <w:cols w:space="60"/>
          <w:noEndnote/>
        </w:sectPr>
      </w:pPr>
    </w:p>
    <w:p w14:paraId="4F67AA79" w14:textId="77777777" w:rsidR="00591D54" w:rsidRDefault="00591D54">
      <w:pPr>
        <w:shd w:val="clear" w:color="auto" w:fill="FFFFFF"/>
        <w:spacing w:line="216" w:lineRule="exact"/>
        <w:jc w:val="both"/>
      </w:pPr>
      <w:r>
        <w:rPr>
          <w:spacing w:val="-5"/>
          <w:sz w:val="18"/>
          <w:szCs w:val="18"/>
          <w:lang w:val="es-ES_tradnl"/>
        </w:rPr>
        <w:t xml:space="preserve">y como lo reconoce la legitimada activa en su escrito del </w:t>
      </w:r>
      <w:r>
        <w:rPr>
          <w:spacing w:val="-9"/>
          <w:sz w:val="18"/>
          <w:szCs w:val="18"/>
          <w:lang w:val="es-ES_tradnl"/>
        </w:rPr>
        <w:t xml:space="preserve">11 de enero de 2011 a las 08h40, constante a fojas 124 del </w:t>
      </w:r>
      <w:r>
        <w:rPr>
          <w:spacing w:val="-10"/>
          <w:sz w:val="18"/>
          <w:szCs w:val="18"/>
          <w:lang w:val="es-ES_tradnl"/>
        </w:rPr>
        <w:t xml:space="preserve">segundo cuerpo del expediente de primera instancia, que en </w:t>
      </w:r>
      <w:r>
        <w:rPr>
          <w:sz w:val="18"/>
          <w:szCs w:val="18"/>
          <w:lang w:val="es-ES_tradnl"/>
        </w:rPr>
        <w:t>los siguientes t</w:t>
      </w:r>
      <w:r>
        <w:rPr>
          <w:rFonts w:cs="Times New Roman"/>
          <w:sz w:val="18"/>
          <w:szCs w:val="18"/>
          <w:lang w:val="es-ES_tradnl"/>
        </w:rPr>
        <w:t>é</w:t>
      </w:r>
      <w:r>
        <w:rPr>
          <w:sz w:val="18"/>
          <w:szCs w:val="18"/>
          <w:lang w:val="es-ES_tradnl"/>
        </w:rPr>
        <w:t>rminos manifiesta:</w:t>
      </w:r>
    </w:p>
    <w:p w14:paraId="4F67AA7A" w14:textId="77777777" w:rsidR="00591D54" w:rsidRDefault="00591D54">
      <w:pPr>
        <w:shd w:val="clear" w:color="auto" w:fill="FFFFFF"/>
        <w:spacing w:before="202" w:line="216" w:lineRule="exact"/>
        <w:ind w:left="283"/>
        <w:jc w:val="both"/>
      </w:pPr>
      <w:r>
        <w:rPr>
          <w:spacing w:val="-6"/>
          <w:sz w:val="16"/>
          <w:szCs w:val="16"/>
          <w:lang w:val="es-ES_tradnl"/>
        </w:rPr>
        <w:t>(</w:t>
      </w:r>
      <w:r>
        <w:rPr>
          <w:rFonts w:cs="Times New Roman"/>
          <w:spacing w:val="-6"/>
          <w:sz w:val="16"/>
          <w:szCs w:val="16"/>
          <w:lang w:val="es-ES_tradnl"/>
        </w:rPr>
        <w:t>…</w:t>
      </w:r>
      <w:r>
        <w:rPr>
          <w:spacing w:val="-6"/>
          <w:sz w:val="16"/>
          <w:szCs w:val="16"/>
          <w:lang w:val="es-ES_tradnl"/>
        </w:rPr>
        <w:t>) si bien es cierto se</w:t>
      </w:r>
      <w:r>
        <w:rPr>
          <w:rFonts w:cs="Times New Roman"/>
          <w:spacing w:val="-6"/>
          <w:sz w:val="16"/>
          <w:szCs w:val="16"/>
          <w:lang w:val="es-ES_tradnl"/>
        </w:rPr>
        <w:t>ñ</w:t>
      </w:r>
      <w:r>
        <w:rPr>
          <w:spacing w:val="-6"/>
          <w:sz w:val="16"/>
          <w:szCs w:val="16"/>
          <w:lang w:val="es-ES_tradnl"/>
        </w:rPr>
        <w:t xml:space="preserve">or Juez que el presente contrato se </w:t>
      </w:r>
      <w:r>
        <w:rPr>
          <w:spacing w:val="-7"/>
          <w:sz w:val="16"/>
          <w:szCs w:val="16"/>
          <w:lang w:val="es-ES_tradnl"/>
        </w:rPr>
        <w:t xml:space="preserve">encuentra prorrogado y para dar por terminado el presente </w:t>
      </w:r>
      <w:r>
        <w:rPr>
          <w:spacing w:val="-3"/>
          <w:sz w:val="16"/>
          <w:szCs w:val="16"/>
          <w:lang w:val="es-ES_tradnl"/>
        </w:rPr>
        <w:t>contrato el se</w:t>
      </w:r>
      <w:r>
        <w:rPr>
          <w:rFonts w:cs="Times New Roman"/>
          <w:spacing w:val="-3"/>
          <w:sz w:val="16"/>
          <w:szCs w:val="16"/>
          <w:lang w:val="es-ES_tradnl"/>
        </w:rPr>
        <w:t>ñ</w:t>
      </w:r>
      <w:r>
        <w:rPr>
          <w:spacing w:val="-3"/>
          <w:sz w:val="16"/>
          <w:szCs w:val="16"/>
          <w:lang w:val="es-ES_tradnl"/>
        </w:rPr>
        <w:t>or Comisario ten</w:t>
      </w:r>
      <w:r>
        <w:rPr>
          <w:rFonts w:cs="Times New Roman"/>
          <w:spacing w:val="-3"/>
          <w:sz w:val="16"/>
          <w:szCs w:val="16"/>
          <w:lang w:val="es-ES_tradnl"/>
        </w:rPr>
        <w:t>í</w:t>
      </w:r>
      <w:r>
        <w:rPr>
          <w:spacing w:val="-3"/>
          <w:sz w:val="16"/>
          <w:szCs w:val="16"/>
          <w:lang w:val="es-ES_tradnl"/>
        </w:rPr>
        <w:t>a que seguir el tr</w:t>
      </w:r>
      <w:r>
        <w:rPr>
          <w:rFonts w:cs="Times New Roman"/>
          <w:spacing w:val="-3"/>
          <w:sz w:val="16"/>
          <w:szCs w:val="16"/>
          <w:lang w:val="es-ES_tradnl"/>
        </w:rPr>
        <w:t>á</w:t>
      </w:r>
      <w:r>
        <w:rPr>
          <w:spacing w:val="-3"/>
          <w:sz w:val="16"/>
          <w:szCs w:val="16"/>
          <w:lang w:val="es-ES_tradnl"/>
        </w:rPr>
        <w:t xml:space="preserve">mite </w:t>
      </w:r>
      <w:r>
        <w:rPr>
          <w:spacing w:val="-7"/>
          <w:sz w:val="16"/>
          <w:szCs w:val="16"/>
          <w:lang w:val="es-ES_tradnl"/>
        </w:rPr>
        <w:t>pertinente y de suscitarse dicha remodelaci</w:t>
      </w:r>
      <w:r>
        <w:rPr>
          <w:rFonts w:cs="Times New Roman"/>
          <w:spacing w:val="-7"/>
          <w:sz w:val="16"/>
          <w:szCs w:val="16"/>
          <w:lang w:val="es-ES_tradnl"/>
        </w:rPr>
        <w:t>ó</w:t>
      </w:r>
      <w:r>
        <w:rPr>
          <w:spacing w:val="-7"/>
          <w:sz w:val="16"/>
          <w:szCs w:val="16"/>
          <w:lang w:val="es-ES_tradnl"/>
        </w:rPr>
        <w:t xml:space="preserve">n </w:t>
      </w:r>
      <w:r>
        <w:rPr>
          <w:b/>
          <w:bCs/>
          <w:spacing w:val="-7"/>
          <w:sz w:val="16"/>
          <w:szCs w:val="16"/>
          <w:lang w:val="es-ES_tradnl"/>
        </w:rPr>
        <w:t xml:space="preserve">del puesto el </w:t>
      </w:r>
      <w:r>
        <w:rPr>
          <w:b/>
          <w:bCs/>
          <w:spacing w:val="-9"/>
          <w:sz w:val="16"/>
          <w:szCs w:val="16"/>
          <w:lang w:val="es-ES_tradnl"/>
        </w:rPr>
        <w:t>cual ocupo yo</w:t>
      </w:r>
      <w:r>
        <w:rPr>
          <w:spacing w:val="-9"/>
          <w:sz w:val="16"/>
          <w:szCs w:val="16"/>
          <w:lang w:val="es-ES_tradnl"/>
        </w:rPr>
        <w:t>, el se</w:t>
      </w:r>
      <w:r>
        <w:rPr>
          <w:rFonts w:cs="Times New Roman"/>
          <w:spacing w:val="-9"/>
          <w:sz w:val="16"/>
          <w:szCs w:val="16"/>
          <w:lang w:val="es-ES_tradnl"/>
        </w:rPr>
        <w:t>ñ</w:t>
      </w:r>
      <w:r>
        <w:rPr>
          <w:spacing w:val="-9"/>
          <w:sz w:val="16"/>
          <w:szCs w:val="16"/>
          <w:lang w:val="es-ES_tradnl"/>
        </w:rPr>
        <w:t>or Comisario deber</w:t>
      </w:r>
      <w:r>
        <w:rPr>
          <w:rFonts w:cs="Times New Roman"/>
          <w:spacing w:val="-9"/>
          <w:sz w:val="16"/>
          <w:szCs w:val="16"/>
          <w:lang w:val="es-ES_tradnl"/>
        </w:rPr>
        <w:t>í</w:t>
      </w:r>
      <w:r>
        <w:rPr>
          <w:spacing w:val="-9"/>
          <w:sz w:val="16"/>
          <w:szCs w:val="16"/>
          <w:lang w:val="es-ES_tradnl"/>
        </w:rPr>
        <w:t xml:space="preserve">a reubicarme en otro </w:t>
      </w:r>
      <w:r>
        <w:rPr>
          <w:spacing w:val="-7"/>
          <w:sz w:val="16"/>
          <w:szCs w:val="16"/>
          <w:lang w:val="es-ES_tradnl"/>
        </w:rPr>
        <w:t>lado y una vez que se haga la remodelaci</w:t>
      </w:r>
      <w:r>
        <w:rPr>
          <w:rFonts w:cs="Times New Roman"/>
          <w:spacing w:val="-7"/>
          <w:sz w:val="16"/>
          <w:szCs w:val="16"/>
          <w:lang w:val="es-ES_tradnl"/>
        </w:rPr>
        <w:t>ó</w:t>
      </w:r>
      <w:r>
        <w:rPr>
          <w:spacing w:val="-7"/>
          <w:sz w:val="16"/>
          <w:szCs w:val="16"/>
          <w:lang w:val="es-ES_tradnl"/>
        </w:rPr>
        <w:t xml:space="preserve">n se me adjudique </w:t>
      </w:r>
      <w:r>
        <w:rPr>
          <w:b/>
          <w:bCs/>
          <w:spacing w:val="-5"/>
          <w:sz w:val="16"/>
          <w:szCs w:val="16"/>
          <w:lang w:val="es-ES_tradnl"/>
        </w:rPr>
        <w:t>el puesto que he venido utiliz</w:t>
      </w:r>
      <w:r>
        <w:rPr>
          <w:rFonts w:cs="Times New Roman"/>
          <w:b/>
          <w:bCs/>
          <w:spacing w:val="-5"/>
          <w:sz w:val="16"/>
          <w:szCs w:val="16"/>
          <w:lang w:val="es-ES_tradnl"/>
        </w:rPr>
        <w:t>á</w:t>
      </w:r>
      <w:r>
        <w:rPr>
          <w:b/>
          <w:bCs/>
          <w:spacing w:val="-5"/>
          <w:sz w:val="16"/>
          <w:szCs w:val="16"/>
          <w:lang w:val="es-ES_tradnl"/>
        </w:rPr>
        <w:t>ndolo</w:t>
      </w:r>
      <w:r>
        <w:rPr>
          <w:spacing w:val="-5"/>
          <w:sz w:val="16"/>
          <w:szCs w:val="16"/>
          <w:lang w:val="es-ES_tradnl"/>
        </w:rPr>
        <w:t>, es m</w:t>
      </w:r>
      <w:r>
        <w:rPr>
          <w:rFonts w:cs="Times New Roman"/>
          <w:spacing w:val="-5"/>
          <w:sz w:val="16"/>
          <w:szCs w:val="16"/>
          <w:lang w:val="es-ES_tradnl"/>
        </w:rPr>
        <w:t>á</w:t>
      </w:r>
      <w:r>
        <w:rPr>
          <w:spacing w:val="-5"/>
          <w:sz w:val="16"/>
          <w:szCs w:val="16"/>
          <w:lang w:val="es-ES_tradnl"/>
        </w:rPr>
        <w:t>s se</w:t>
      </w:r>
      <w:r>
        <w:rPr>
          <w:rFonts w:cs="Times New Roman"/>
          <w:spacing w:val="-5"/>
          <w:sz w:val="16"/>
          <w:szCs w:val="16"/>
          <w:lang w:val="es-ES_tradnl"/>
        </w:rPr>
        <w:t>ñ</w:t>
      </w:r>
      <w:r>
        <w:rPr>
          <w:spacing w:val="-5"/>
          <w:sz w:val="16"/>
          <w:szCs w:val="16"/>
          <w:lang w:val="es-ES_tradnl"/>
        </w:rPr>
        <w:t xml:space="preserve">or Juez, </w:t>
      </w:r>
      <w:r>
        <w:rPr>
          <w:spacing w:val="-6"/>
          <w:sz w:val="16"/>
          <w:szCs w:val="16"/>
          <w:lang w:val="es-ES_tradnl"/>
        </w:rPr>
        <w:t>el se</w:t>
      </w:r>
      <w:r>
        <w:rPr>
          <w:rFonts w:cs="Times New Roman"/>
          <w:spacing w:val="-6"/>
          <w:sz w:val="16"/>
          <w:szCs w:val="16"/>
          <w:lang w:val="es-ES_tradnl"/>
        </w:rPr>
        <w:t>ñ</w:t>
      </w:r>
      <w:r>
        <w:rPr>
          <w:spacing w:val="-6"/>
          <w:sz w:val="16"/>
          <w:szCs w:val="16"/>
          <w:lang w:val="es-ES_tradnl"/>
        </w:rPr>
        <w:t>or Comisario est</w:t>
      </w:r>
      <w:r>
        <w:rPr>
          <w:rFonts w:cs="Times New Roman"/>
          <w:spacing w:val="-6"/>
          <w:sz w:val="16"/>
          <w:szCs w:val="16"/>
          <w:lang w:val="es-ES_tradnl"/>
        </w:rPr>
        <w:t>á</w:t>
      </w:r>
      <w:r>
        <w:rPr>
          <w:spacing w:val="-6"/>
          <w:sz w:val="16"/>
          <w:szCs w:val="16"/>
          <w:lang w:val="es-ES_tradnl"/>
        </w:rPr>
        <w:t xml:space="preserve"> incumpliendo la sentencia por su </w:t>
      </w:r>
      <w:r>
        <w:rPr>
          <w:spacing w:val="-7"/>
          <w:sz w:val="16"/>
          <w:szCs w:val="16"/>
          <w:lang w:val="es-ES_tradnl"/>
        </w:rPr>
        <w:t xml:space="preserve">autoridad y la sentencia de segunda instancia perturbando MI </w:t>
      </w:r>
      <w:r>
        <w:rPr>
          <w:spacing w:val="-4"/>
          <w:sz w:val="16"/>
          <w:szCs w:val="16"/>
          <w:lang w:val="es-ES_tradnl"/>
        </w:rPr>
        <w:t>DERECHO AL TRABAJO (</w:t>
      </w:r>
      <w:r>
        <w:rPr>
          <w:rFonts w:cs="Times New Roman"/>
          <w:spacing w:val="-4"/>
          <w:sz w:val="16"/>
          <w:szCs w:val="16"/>
          <w:lang w:val="es-ES_tradnl"/>
        </w:rPr>
        <w:t>…</w:t>
      </w:r>
      <w:r>
        <w:rPr>
          <w:spacing w:val="-4"/>
          <w:sz w:val="16"/>
          <w:szCs w:val="16"/>
          <w:lang w:val="es-ES_tradnl"/>
        </w:rPr>
        <w:t>) (sic) (</w:t>
      </w:r>
      <w:r>
        <w:rPr>
          <w:rFonts w:cs="Times New Roman"/>
          <w:spacing w:val="-4"/>
          <w:sz w:val="16"/>
          <w:szCs w:val="16"/>
          <w:lang w:val="es-ES_tradnl"/>
        </w:rPr>
        <w:t>É</w:t>
      </w:r>
      <w:r>
        <w:rPr>
          <w:spacing w:val="-4"/>
          <w:sz w:val="16"/>
          <w:szCs w:val="16"/>
          <w:lang w:val="es-ES_tradnl"/>
        </w:rPr>
        <w:t>nfasis a</w:t>
      </w:r>
      <w:r>
        <w:rPr>
          <w:rFonts w:cs="Times New Roman"/>
          <w:spacing w:val="-4"/>
          <w:sz w:val="16"/>
          <w:szCs w:val="16"/>
          <w:lang w:val="es-ES_tradnl"/>
        </w:rPr>
        <w:t>ñ</w:t>
      </w:r>
      <w:r>
        <w:rPr>
          <w:spacing w:val="-4"/>
          <w:sz w:val="16"/>
          <w:szCs w:val="16"/>
          <w:lang w:val="es-ES_tradnl"/>
        </w:rPr>
        <w:t>adido).</w:t>
      </w:r>
    </w:p>
    <w:p w14:paraId="4F67AA7B" w14:textId="77777777" w:rsidR="00591D54" w:rsidRDefault="00591D54">
      <w:pPr>
        <w:shd w:val="clear" w:color="auto" w:fill="FFFFFF"/>
        <w:spacing w:before="202" w:line="216" w:lineRule="exact"/>
        <w:ind w:right="5"/>
        <w:jc w:val="both"/>
      </w:pPr>
      <w:r>
        <w:rPr>
          <w:spacing w:val="-8"/>
          <w:sz w:val="18"/>
          <w:szCs w:val="18"/>
          <w:lang w:val="es-ES_tradnl"/>
        </w:rPr>
        <w:t xml:space="preserve">Lo expuesto permite deducir que el efecto de la sentencia </w:t>
      </w:r>
      <w:r>
        <w:rPr>
          <w:spacing w:val="-9"/>
          <w:sz w:val="18"/>
          <w:szCs w:val="18"/>
          <w:lang w:val="es-ES_tradnl"/>
        </w:rPr>
        <w:t xml:space="preserve">cuyo incumplimiento se demanda ha prorrogado el contrato </w:t>
      </w:r>
      <w:r>
        <w:rPr>
          <w:spacing w:val="-5"/>
          <w:sz w:val="18"/>
          <w:szCs w:val="18"/>
          <w:lang w:val="es-ES_tradnl"/>
        </w:rPr>
        <w:t>del a</w:t>
      </w:r>
      <w:r>
        <w:rPr>
          <w:rFonts w:cs="Times New Roman"/>
          <w:spacing w:val="-5"/>
          <w:sz w:val="18"/>
          <w:szCs w:val="18"/>
          <w:lang w:val="es-ES_tradnl"/>
        </w:rPr>
        <w:t>ñ</w:t>
      </w:r>
      <w:r>
        <w:rPr>
          <w:spacing w:val="-5"/>
          <w:sz w:val="18"/>
          <w:szCs w:val="18"/>
          <w:lang w:val="es-ES_tradnl"/>
        </w:rPr>
        <w:t xml:space="preserve">o 2009, suscrito entre la municipalidad y Herlinda </w:t>
      </w:r>
      <w:r>
        <w:rPr>
          <w:spacing w:val="-6"/>
          <w:sz w:val="18"/>
          <w:szCs w:val="18"/>
          <w:lang w:val="es-ES_tradnl"/>
        </w:rPr>
        <w:t>Cris</w:t>
      </w:r>
      <w:r>
        <w:rPr>
          <w:rFonts w:cs="Times New Roman"/>
          <w:spacing w:val="-6"/>
          <w:sz w:val="18"/>
          <w:szCs w:val="18"/>
          <w:lang w:val="es-ES_tradnl"/>
        </w:rPr>
        <w:t>á</w:t>
      </w:r>
      <w:r>
        <w:rPr>
          <w:spacing w:val="-6"/>
          <w:sz w:val="18"/>
          <w:szCs w:val="18"/>
          <w:lang w:val="es-ES_tradnl"/>
        </w:rPr>
        <w:t>lida Armijos Tinoco, encontr</w:t>
      </w:r>
      <w:r>
        <w:rPr>
          <w:rFonts w:cs="Times New Roman"/>
          <w:spacing w:val="-6"/>
          <w:sz w:val="18"/>
          <w:szCs w:val="18"/>
          <w:lang w:val="es-ES_tradnl"/>
        </w:rPr>
        <w:t>á</w:t>
      </w:r>
      <w:r>
        <w:rPr>
          <w:spacing w:val="-6"/>
          <w:sz w:val="18"/>
          <w:szCs w:val="18"/>
          <w:lang w:val="es-ES_tradnl"/>
        </w:rPr>
        <w:t xml:space="preserve">ndose la accionante </w:t>
      </w:r>
      <w:r>
        <w:rPr>
          <w:spacing w:val="-8"/>
          <w:sz w:val="18"/>
          <w:szCs w:val="18"/>
          <w:lang w:val="es-ES_tradnl"/>
        </w:rPr>
        <w:t>laborando en el a</w:t>
      </w:r>
      <w:r>
        <w:rPr>
          <w:rFonts w:cs="Times New Roman"/>
          <w:spacing w:val="-8"/>
          <w:sz w:val="18"/>
          <w:szCs w:val="18"/>
          <w:lang w:val="es-ES_tradnl"/>
        </w:rPr>
        <w:t>ñ</w:t>
      </w:r>
      <w:r>
        <w:rPr>
          <w:spacing w:val="-8"/>
          <w:sz w:val="18"/>
          <w:szCs w:val="18"/>
          <w:lang w:val="es-ES_tradnl"/>
        </w:rPr>
        <w:t>o 2010 en el puesto N.</w:t>
      </w:r>
      <w:r>
        <w:rPr>
          <w:rFonts w:cs="Times New Roman"/>
          <w:spacing w:val="-8"/>
          <w:sz w:val="18"/>
          <w:szCs w:val="18"/>
          <w:lang w:val="es-ES_tradnl"/>
        </w:rPr>
        <w:t>º</w:t>
      </w:r>
      <w:r>
        <w:rPr>
          <w:spacing w:val="-8"/>
          <w:sz w:val="18"/>
          <w:szCs w:val="18"/>
          <w:lang w:val="es-ES_tradnl"/>
        </w:rPr>
        <w:t xml:space="preserve"> 20 en el Centro </w:t>
      </w:r>
      <w:r>
        <w:rPr>
          <w:spacing w:val="-6"/>
          <w:sz w:val="18"/>
          <w:szCs w:val="18"/>
          <w:lang w:val="es-ES_tradnl"/>
        </w:rPr>
        <w:t>Comercial Paltense, por lo que propiamente no habr</w:t>
      </w:r>
      <w:r>
        <w:rPr>
          <w:rFonts w:cs="Times New Roman"/>
          <w:spacing w:val="-6"/>
          <w:sz w:val="18"/>
          <w:szCs w:val="18"/>
          <w:lang w:val="es-ES_tradnl"/>
        </w:rPr>
        <w:t>í</w:t>
      </w:r>
      <w:r>
        <w:rPr>
          <w:spacing w:val="-6"/>
          <w:sz w:val="18"/>
          <w:szCs w:val="18"/>
          <w:lang w:val="es-ES_tradnl"/>
        </w:rPr>
        <w:t xml:space="preserve">a </w:t>
      </w:r>
      <w:r>
        <w:rPr>
          <w:spacing w:val="-5"/>
          <w:sz w:val="18"/>
          <w:szCs w:val="18"/>
          <w:lang w:val="es-ES_tradnl"/>
        </w:rPr>
        <w:t xml:space="preserve">generado circunstancias de incumplimiento por parte de </w:t>
      </w:r>
      <w:r>
        <w:rPr>
          <w:spacing w:val="-1"/>
          <w:sz w:val="18"/>
          <w:szCs w:val="18"/>
          <w:lang w:val="es-ES_tradnl"/>
        </w:rPr>
        <w:t>los legitimados pasivos a la disposici</w:t>
      </w:r>
      <w:r>
        <w:rPr>
          <w:rFonts w:cs="Times New Roman"/>
          <w:spacing w:val="-1"/>
          <w:sz w:val="18"/>
          <w:szCs w:val="18"/>
          <w:lang w:val="es-ES_tradnl"/>
        </w:rPr>
        <w:t>ó</w:t>
      </w:r>
      <w:r>
        <w:rPr>
          <w:spacing w:val="-1"/>
          <w:sz w:val="18"/>
          <w:szCs w:val="18"/>
          <w:lang w:val="es-ES_tradnl"/>
        </w:rPr>
        <w:t xml:space="preserve">n constitucional </w:t>
      </w:r>
      <w:r>
        <w:rPr>
          <w:spacing w:val="-5"/>
          <w:sz w:val="18"/>
          <w:szCs w:val="18"/>
          <w:lang w:val="es-ES_tradnl"/>
        </w:rPr>
        <w:t>de restituci</w:t>
      </w:r>
      <w:r>
        <w:rPr>
          <w:rFonts w:cs="Times New Roman"/>
          <w:spacing w:val="-5"/>
          <w:sz w:val="18"/>
          <w:szCs w:val="18"/>
          <w:lang w:val="es-ES_tradnl"/>
        </w:rPr>
        <w:t>ó</w:t>
      </w:r>
      <w:r>
        <w:rPr>
          <w:spacing w:val="-5"/>
          <w:sz w:val="18"/>
          <w:szCs w:val="18"/>
          <w:lang w:val="es-ES_tradnl"/>
        </w:rPr>
        <w:t>n al puesto de trabajo en el referido local N.</w:t>
      </w:r>
      <w:r>
        <w:rPr>
          <w:rFonts w:cs="Times New Roman"/>
          <w:spacing w:val="-5"/>
          <w:sz w:val="18"/>
          <w:szCs w:val="18"/>
          <w:lang w:val="es-ES_tradnl"/>
        </w:rPr>
        <w:t xml:space="preserve">º </w:t>
      </w:r>
      <w:r>
        <w:rPr>
          <w:spacing w:val="-7"/>
          <w:sz w:val="18"/>
          <w:szCs w:val="18"/>
          <w:lang w:val="es-ES_tradnl"/>
        </w:rPr>
        <w:t>20, ordenado en la sentencia materia de esta acci</w:t>
      </w:r>
      <w:r>
        <w:rPr>
          <w:rFonts w:cs="Times New Roman"/>
          <w:spacing w:val="-7"/>
          <w:sz w:val="18"/>
          <w:szCs w:val="18"/>
          <w:lang w:val="es-ES_tradnl"/>
        </w:rPr>
        <w:t>ó</w:t>
      </w:r>
      <w:r>
        <w:rPr>
          <w:spacing w:val="-7"/>
          <w:sz w:val="18"/>
          <w:szCs w:val="18"/>
          <w:lang w:val="es-ES_tradnl"/>
        </w:rPr>
        <w:t xml:space="preserve">n. Sin </w:t>
      </w:r>
      <w:r>
        <w:rPr>
          <w:spacing w:val="-8"/>
          <w:sz w:val="18"/>
          <w:szCs w:val="18"/>
          <w:lang w:val="es-ES_tradnl"/>
        </w:rPr>
        <w:t>embargo, de la raz</w:t>
      </w:r>
      <w:r>
        <w:rPr>
          <w:rFonts w:cs="Times New Roman"/>
          <w:spacing w:val="-8"/>
          <w:sz w:val="18"/>
          <w:szCs w:val="18"/>
          <w:lang w:val="es-ES_tradnl"/>
        </w:rPr>
        <w:t>ó</w:t>
      </w:r>
      <w:r>
        <w:rPr>
          <w:spacing w:val="-8"/>
          <w:sz w:val="18"/>
          <w:szCs w:val="18"/>
          <w:lang w:val="es-ES_tradnl"/>
        </w:rPr>
        <w:t xml:space="preserve">n constante a fojas 153 del segundo </w:t>
      </w:r>
      <w:r>
        <w:rPr>
          <w:spacing w:val="-9"/>
          <w:sz w:val="18"/>
          <w:szCs w:val="18"/>
          <w:lang w:val="es-ES_tradnl"/>
        </w:rPr>
        <w:t xml:space="preserve">cuerpo del expediente de primera instancia, el 10 de febrero </w:t>
      </w:r>
      <w:r>
        <w:rPr>
          <w:spacing w:val="-6"/>
          <w:sz w:val="18"/>
          <w:szCs w:val="18"/>
          <w:lang w:val="es-ES_tradnl"/>
        </w:rPr>
        <w:t xml:space="preserve">de 2011 a las 08h30 las autoridades municipales hicieron </w:t>
      </w:r>
      <w:r>
        <w:rPr>
          <w:spacing w:val="-7"/>
          <w:sz w:val="18"/>
          <w:szCs w:val="18"/>
          <w:lang w:val="es-ES_tradnl"/>
        </w:rPr>
        <w:t>la entrega del puesto n</w:t>
      </w:r>
      <w:r>
        <w:rPr>
          <w:rFonts w:cs="Times New Roman"/>
          <w:spacing w:val="-7"/>
          <w:sz w:val="18"/>
          <w:szCs w:val="18"/>
          <w:lang w:val="es-ES_tradnl"/>
        </w:rPr>
        <w:t>ú</w:t>
      </w:r>
      <w:r>
        <w:rPr>
          <w:spacing w:val="-7"/>
          <w:sz w:val="18"/>
          <w:szCs w:val="18"/>
          <w:lang w:val="es-ES_tradnl"/>
        </w:rPr>
        <w:t xml:space="preserve">mero 20 del Centro Comercial </w:t>
      </w:r>
      <w:r>
        <w:rPr>
          <w:spacing w:val="-8"/>
          <w:sz w:val="18"/>
          <w:szCs w:val="18"/>
          <w:lang w:val="es-ES_tradnl"/>
        </w:rPr>
        <w:t xml:space="preserve">Paltense, en presencia del juez y secretario del Juzgado </w:t>
      </w:r>
      <w:r>
        <w:rPr>
          <w:spacing w:val="-4"/>
          <w:sz w:val="18"/>
          <w:szCs w:val="18"/>
          <w:lang w:val="es-ES_tradnl"/>
        </w:rPr>
        <w:t>D</w:t>
      </w:r>
      <w:r>
        <w:rPr>
          <w:rFonts w:cs="Times New Roman"/>
          <w:spacing w:val="-4"/>
          <w:sz w:val="18"/>
          <w:szCs w:val="18"/>
          <w:lang w:val="es-ES_tradnl"/>
        </w:rPr>
        <w:t>é</w:t>
      </w:r>
      <w:r>
        <w:rPr>
          <w:spacing w:val="-4"/>
          <w:sz w:val="18"/>
          <w:szCs w:val="18"/>
          <w:lang w:val="es-ES_tradnl"/>
        </w:rPr>
        <w:t xml:space="preserve">cimo Cuarto Multicompetente de Loja, a favor de la </w:t>
      </w:r>
      <w:r>
        <w:rPr>
          <w:spacing w:val="-8"/>
          <w:sz w:val="18"/>
          <w:szCs w:val="18"/>
          <w:lang w:val="es-ES_tradnl"/>
        </w:rPr>
        <w:t xml:space="preserve">legitimada activa. De esta manera se dio fiel cumplimiento </w:t>
      </w:r>
      <w:r>
        <w:rPr>
          <w:spacing w:val="-6"/>
          <w:sz w:val="18"/>
          <w:szCs w:val="18"/>
          <w:lang w:val="es-ES_tradnl"/>
        </w:rPr>
        <w:t>con la disposici</w:t>
      </w:r>
      <w:r>
        <w:rPr>
          <w:rFonts w:cs="Times New Roman"/>
          <w:spacing w:val="-6"/>
          <w:sz w:val="18"/>
          <w:szCs w:val="18"/>
          <w:lang w:val="es-ES_tradnl"/>
        </w:rPr>
        <w:t>ó</w:t>
      </w:r>
      <w:r>
        <w:rPr>
          <w:spacing w:val="-6"/>
          <w:sz w:val="18"/>
          <w:szCs w:val="18"/>
          <w:lang w:val="es-ES_tradnl"/>
        </w:rPr>
        <w:t xml:space="preserve">n constitucional, que es restituir al puesto </w:t>
      </w:r>
      <w:r>
        <w:rPr>
          <w:sz w:val="18"/>
          <w:szCs w:val="18"/>
          <w:lang w:val="es-ES_tradnl"/>
        </w:rPr>
        <w:t>de trabajo a la demandante.</w:t>
      </w:r>
    </w:p>
    <w:p w14:paraId="4F67AA7C" w14:textId="77777777" w:rsidR="00591D54" w:rsidRDefault="00591D54">
      <w:pPr>
        <w:shd w:val="clear" w:color="auto" w:fill="FFFFFF"/>
        <w:spacing w:before="192" w:line="216" w:lineRule="exact"/>
        <w:ind w:right="5"/>
        <w:jc w:val="both"/>
      </w:pPr>
      <w:r>
        <w:rPr>
          <w:spacing w:val="-11"/>
          <w:sz w:val="18"/>
          <w:szCs w:val="18"/>
          <w:lang w:val="es-ES_tradnl"/>
        </w:rPr>
        <w:t xml:space="preserve">No obstante, el 24 de febrero de 2011 a las 08h00, en escrito </w:t>
      </w:r>
      <w:r>
        <w:rPr>
          <w:spacing w:val="-8"/>
          <w:sz w:val="18"/>
          <w:szCs w:val="18"/>
          <w:lang w:val="es-ES_tradnl"/>
        </w:rPr>
        <w:t xml:space="preserve">constante a fojas 154 del segundo cuerpo del expediente </w:t>
      </w:r>
      <w:r>
        <w:rPr>
          <w:spacing w:val="-4"/>
          <w:sz w:val="18"/>
          <w:szCs w:val="18"/>
          <w:lang w:val="es-ES_tradnl"/>
        </w:rPr>
        <w:t>ib</w:t>
      </w:r>
      <w:r>
        <w:rPr>
          <w:rFonts w:cs="Times New Roman"/>
          <w:spacing w:val="-4"/>
          <w:sz w:val="18"/>
          <w:szCs w:val="18"/>
          <w:lang w:val="es-ES_tradnl"/>
        </w:rPr>
        <w:t>í</w:t>
      </w:r>
      <w:r>
        <w:rPr>
          <w:spacing w:val="-4"/>
          <w:sz w:val="18"/>
          <w:szCs w:val="18"/>
          <w:lang w:val="es-ES_tradnl"/>
        </w:rPr>
        <w:t xml:space="preserve">dem, la accionante aduce que no se la ha restituido a </w:t>
      </w:r>
      <w:r>
        <w:rPr>
          <w:spacing w:val="-5"/>
          <w:sz w:val="18"/>
          <w:szCs w:val="18"/>
          <w:lang w:val="es-ES_tradnl"/>
        </w:rPr>
        <w:t>su lugar de trabajo, por lo que solicit</w:t>
      </w:r>
      <w:r>
        <w:rPr>
          <w:rFonts w:cs="Times New Roman"/>
          <w:spacing w:val="-5"/>
          <w:sz w:val="18"/>
          <w:szCs w:val="18"/>
          <w:lang w:val="es-ES_tradnl"/>
        </w:rPr>
        <w:t>ó</w:t>
      </w:r>
      <w:r>
        <w:rPr>
          <w:spacing w:val="-5"/>
          <w:sz w:val="18"/>
          <w:szCs w:val="18"/>
          <w:lang w:val="es-ES_tradnl"/>
        </w:rPr>
        <w:t xml:space="preserve"> la destituci</w:t>
      </w:r>
      <w:r>
        <w:rPr>
          <w:rFonts w:cs="Times New Roman"/>
          <w:spacing w:val="-5"/>
          <w:sz w:val="18"/>
          <w:szCs w:val="18"/>
          <w:lang w:val="es-ES_tradnl"/>
        </w:rPr>
        <w:t>ó</w:t>
      </w:r>
      <w:r>
        <w:rPr>
          <w:spacing w:val="-5"/>
          <w:sz w:val="18"/>
          <w:szCs w:val="18"/>
          <w:lang w:val="es-ES_tradnl"/>
        </w:rPr>
        <w:t>n del comisario municipal, en raz</w:t>
      </w:r>
      <w:r>
        <w:rPr>
          <w:rFonts w:cs="Times New Roman"/>
          <w:spacing w:val="-5"/>
          <w:sz w:val="18"/>
          <w:szCs w:val="18"/>
          <w:lang w:val="es-ES_tradnl"/>
        </w:rPr>
        <w:t>ó</w:t>
      </w:r>
      <w:r>
        <w:rPr>
          <w:spacing w:val="-5"/>
          <w:sz w:val="18"/>
          <w:szCs w:val="18"/>
          <w:lang w:val="es-ES_tradnl"/>
        </w:rPr>
        <w:t>n de que la administraci</w:t>
      </w:r>
      <w:r>
        <w:rPr>
          <w:rFonts w:cs="Times New Roman"/>
          <w:spacing w:val="-5"/>
          <w:sz w:val="18"/>
          <w:szCs w:val="18"/>
          <w:lang w:val="es-ES_tradnl"/>
        </w:rPr>
        <w:t>ó</w:t>
      </w:r>
      <w:r>
        <w:rPr>
          <w:spacing w:val="-5"/>
          <w:sz w:val="18"/>
          <w:szCs w:val="18"/>
          <w:lang w:val="es-ES_tradnl"/>
        </w:rPr>
        <w:t xml:space="preserve">n </w:t>
      </w:r>
      <w:r>
        <w:rPr>
          <w:spacing w:val="-9"/>
          <w:sz w:val="18"/>
          <w:szCs w:val="18"/>
          <w:lang w:val="es-ES_tradnl"/>
        </w:rPr>
        <w:t>municipal iniciaba los trabajos de remodelaci</w:t>
      </w:r>
      <w:r>
        <w:rPr>
          <w:rFonts w:cs="Times New Roman"/>
          <w:spacing w:val="-9"/>
          <w:sz w:val="18"/>
          <w:szCs w:val="18"/>
          <w:lang w:val="es-ES_tradnl"/>
        </w:rPr>
        <w:t>ó</w:t>
      </w:r>
      <w:r>
        <w:rPr>
          <w:spacing w:val="-9"/>
          <w:sz w:val="18"/>
          <w:szCs w:val="18"/>
          <w:lang w:val="es-ES_tradnl"/>
        </w:rPr>
        <w:t xml:space="preserve">n en el Centro </w:t>
      </w:r>
      <w:r>
        <w:rPr>
          <w:spacing w:val="-7"/>
          <w:sz w:val="18"/>
          <w:szCs w:val="18"/>
          <w:lang w:val="es-ES_tradnl"/>
        </w:rPr>
        <w:t>Comercial Paltense, conforme a la planificaci</w:t>
      </w:r>
      <w:r>
        <w:rPr>
          <w:rFonts w:cs="Times New Roman"/>
          <w:spacing w:val="-7"/>
          <w:sz w:val="18"/>
          <w:szCs w:val="18"/>
          <w:lang w:val="es-ES_tradnl"/>
        </w:rPr>
        <w:t>ó</w:t>
      </w:r>
      <w:r>
        <w:rPr>
          <w:spacing w:val="-7"/>
          <w:sz w:val="18"/>
          <w:szCs w:val="18"/>
          <w:lang w:val="es-ES_tradnl"/>
        </w:rPr>
        <w:t xml:space="preserve">n municipal </w:t>
      </w:r>
      <w:r>
        <w:rPr>
          <w:spacing w:val="-10"/>
          <w:sz w:val="18"/>
          <w:szCs w:val="18"/>
          <w:lang w:val="es-ES_tradnl"/>
        </w:rPr>
        <w:t>para el per</w:t>
      </w:r>
      <w:r>
        <w:rPr>
          <w:rFonts w:cs="Times New Roman"/>
          <w:spacing w:val="-10"/>
          <w:sz w:val="18"/>
          <w:szCs w:val="18"/>
          <w:lang w:val="es-ES_tradnl"/>
        </w:rPr>
        <w:t>í</w:t>
      </w:r>
      <w:r>
        <w:rPr>
          <w:spacing w:val="-10"/>
          <w:sz w:val="18"/>
          <w:szCs w:val="18"/>
          <w:lang w:val="es-ES_tradnl"/>
        </w:rPr>
        <w:t>odo 2011, por lo que se suspendi</w:t>
      </w:r>
      <w:r>
        <w:rPr>
          <w:rFonts w:cs="Times New Roman"/>
          <w:spacing w:val="-10"/>
          <w:sz w:val="18"/>
          <w:szCs w:val="18"/>
          <w:lang w:val="es-ES_tradnl"/>
        </w:rPr>
        <w:t>ó</w:t>
      </w:r>
      <w:r>
        <w:rPr>
          <w:spacing w:val="-10"/>
          <w:sz w:val="18"/>
          <w:szCs w:val="18"/>
          <w:lang w:val="es-ES_tradnl"/>
        </w:rPr>
        <w:t xml:space="preserve"> la continuidad </w:t>
      </w:r>
      <w:r>
        <w:rPr>
          <w:spacing w:val="-5"/>
          <w:sz w:val="18"/>
          <w:szCs w:val="18"/>
          <w:lang w:val="es-ES_tradnl"/>
        </w:rPr>
        <w:t>del trabajo que ven</w:t>
      </w:r>
      <w:r>
        <w:rPr>
          <w:rFonts w:cs="Times New Roman"/>
          <w:spacing w:val="-5"/>
          <w:sz w:val="18"/>
          <w:szCs w:val="18"/>
          <w:lang w:val="es-ES_tradnl"/>
        </w:rPr>
        <w:t>í</w:t>
      </w:r>
      <w:r>
        <w:rPr>
          <w:spacing w:val="-5"/>
          <w:sz w:val="18"/>
          <w:szCs w:val="18"/>
          <w:lang w:val="es-ES_tradnl"/>
        </w:rPr>
        <w:t xml:space="preserve">a desarrollando la legitimada activa, </w:t>
      </w:r>
      <w:r>
        <w:rPr>
          <w:spacing w:val="-11"/>
          <w:sz w:val="18"/>
          <w:szCs w:val="18"/>
          <w:lang w:val="es-ES_tradnl"/>
        </w:rPr>
        <w:t>esto es, el expendio de productos c</w:t>
      </w:r>
      <w:r>
        <w:rPr>
          <w:rFonts w:cs="Times New Roman"/>
          <w:spacing w:val="-11"/>
          <w:sz w:val="18"/>
          <w:szCs w:val="18"/>
          <w:lang w:val="es-ES_tradnl"/>
        </w:rPr>
        <w:t>á</w:t>
      </w:r>
      <w:r>
        <w:rPr>
          <w:spacing w:val="-11"/>
          <w:sz w:val="18"/>
          <w:szCs w:val="18"/>
          <w:lang w:val="es-ES_tradnl"/>
        </w:rPr>
        <w:t>rnicos porcinos, adem</w:t>
      </w:r>
      <w:r>
        <w:rPr>
          <w:rFonts w:cs="Times New Roman"/>
          <w:spacing w:val="-11"/>
          <w:sz w:val="18"/>
          <w:szCs w:val="18"/>
          <w:lang w:val="es-ES_tradnl"/>
        </w:rPr>
        <w:t>á</w:t>
      </w:r>
      <w:r>
        <w:rPr>
          <w:spacing w:val="-11"/>
          <w:sz w:val="18"/>
          <w:szCs w:val="18"/>
          <w:lang w:val="es-ES_tradnl"/>
        </w:rPr>
        <w:t xml:space="preserve">s </w:t>
      </w:r>
      <w:r>
        <w:rPr>
          <w:spacing w:val="-9"/>
          <w:sz w:val="18"/>
          <w:szCs w:val="18"/>
          <w:lang w:val="es-ES_tradnl"/>
        </w:rPr>
        <w:t xml:space="preserve">se ha desalojado a otros trabajadores que arrendaban las </w:t>
      </w:r>
      <w:r>
        <w:rPr>
          <w:spacing w:val="-10"/>
          <w:sz w:val="18"/>
          <w:szCs w:val="18"/>
          <w:lang w:val="es-ES_tradnl"/>
        </w:rPr>
        <w:t>tercenas, ocupando los puestos n</w:t>
      </w:r>
      <w:r>
        <w:rPr>
          <w:rFonts w:cs="Times New Roman"/>
          <w:spacing w:val="-10"/>
          <w:sz w:val="18"/>
          <w:szCs w:val="18"/>
          <w:lang w:val="es-ES_tradnl"/>
        </w:rPr>
        <w:t>ú</w:t>
      </w:r>
      <w:r>
        <w:rPr>
          <w:spacing w:val="-10"/>
          <w:sz w:val="18"/>
          <w:szCs w:val="18"/>
          <w:lang w:val="es-ES_tradnl"/>
        </w:rPr>
        <w:t xml:space="preserve">meros 21, 22, 23 y 24 del </w:t>
      </w:r>
      <w:r>
        <w:rPr>
          <w:sz w:val="18"/>
          <w:szCs w:val="18"/>
          <w:lang w:val="es-ES_tradnl"/>
        </w:rPr>
        <w:t>mismo mercado.</w:t>
      </w:r>
    </w:p>
    <w:p w14:paraId="4F67AA7D" w14:textId="77777777" w:rsidR="00591D54" w:rsidRDefault="00591D54">
      <w:pPr>
        <w:shd w:val="clear" w:color="auto" w:fill="FFFFFF"/>
        <w:spacing w:before="192" w:line="216" w:lineRule="exact"/>
        <w:ind w:right="5"/>
        <w:jc w:val="both"/>
      </w:pPr>
      <w:r>
        <w:rPr>
          <w:spacing w:val="-5"/>
          <w:sz w:val="18"/>
          <w:szCs w:val="18"/>
          <w:lang w:val="es-ES_tradnl"/>
        </w:rPr>
        <w:t>Como se puede observar, la suspensi</w:t>
      </w:r>
      <w:r>
        <w:rPr>
          <w:rFonts w:cs="Times New Roman"/>
          <w:spacing w:val="-5"/>
          <w:sz w:val="18"/>
          <w:szCs w:val="18"/>
          <w:lang w:val="es-ES_tradnl"/>
        </w:rPr>
        <w:t>ó</w:t>
      </w:r>
      <w:r>
        <w:rPr>
          <w:spacing w:val="-5"/>
          <w:sz w:val="18"/>
          <w:szCs w:val="18"/>
          <w:lang w:val="es-ES_tradnl"/>
        </w:rPr>
        <w:t xml:space="preserve">n constituye un </w:t>
      </w:r>
      <w:r>
        <w:rPr>
          <w:spacing w:val="-8"/>
          <w:sz w:val="18"/>
          <w:szCs w:val="18"/>
          <w:lang w:val="es-ES_tradnl"/>
        </w:rPr>
        <w:t xml:space="preserve">nuevo hecho que obedece a fuerza mayor no imputable al </w:t>
      </w:r>
      <w:r>
        <w:rPr>
          <w:spacing w:val="-6"/>
          <w:sz w:val="18"/>
          <w:szCs w:val="18"/>
          <w:lang w:val="es-ES_tradnl"/>
        </w:rPr>
        <w:t>incumplimiento de la decisi</w:t>
      </w:r>
      <w:r>
        <w:rPr>
          <w:rFonts w:cs="Times New Roman"/>
          <w:spacing w:val="-6"/>
          <w:sz w:val="18"/>
          <w:szCs w:val="18"/>
          <w:lang w:val="es-ES_tradnl"/>
        </w:rPr>
        <w:t>ó</w:t>
      </w:r>
      <w:r>
        <w:rPr>
          <w:spacing w:val="-6"/>
          <w:sz w:val="18"/>
          <w:szCs w:val="18"/>
          <w:lang w:val="es-ES_tradnl"/>
        </w:rPr>
        <w:t xml:space="preserve">n constitucional, liberando de </w:t>
      </w:r>
      <w:r>
        <w:rPr>
          <w:spacing w:val="-11"/>
          <w:sz w:val="18"/>
          <w:szCs w:val="18"/>
          <w:lang w:val="es-ES_tradnl"/>
        </w:rPr>
        <w:t>responsabilidad a los representantes del Gobierno Aut</w:t>
      </w:r>
      <w:r>
        <w:rPr>
          <w:rFonts w:cs="Times New Roman"/>
          <w:spacing w:val="-11"/>
          <w:sz w:val="18"/>
          <w:szCs w:val="18"/>
          <w:lang w:val="es-ES_tradnl"/>
        </w:rPr>
        <w:t>ó</w:t>
      </w:r>
      <w:r>
        <w:rPr>
          <w:spacing w:val="-11"/>
          <w:sz w:val="18"/>
          <w:szCs w:val="18"/>
          <w:lang w:val="es-ES_tradnl"/>
        </w:rPr>
        <w:t>nomo Descentralizado del cant</w:t>
      </w:r>
      <w:r>
        <w:rPr>
          <w:rFonts w:cs="Times New Roman"/>
          <w:spacing w:val="-11"/>
          <w:sz w:val="18"/>
          <w:szCs w:val="18"/>
          <w:lang w:val="es-ES_tradnl"/>
        </w:rPr>
        <w:t>ó</w:t>
      </w:r>
      <w:r>
        <w:rPr>
          <w:spacing w:val="-11"/>
          <w:sz w:val="18"/>
          <w:szCs w:val="18"/>
          <w:lang w:val="es-ES_tradnl"/>
        </w:rPr>
        <w:t xml:space="preserve">n Palta, ya que de ninguna manera </w:t>
      </w:r>
      <w:r>
        <w:rPr>
          <w:spacing w:val="-5"/>
          <w:sz w:val="18"/>
          <w:szCs w:val="18"/>
          <w:lang w:val="es-ES_tradnl"/>
        </w:rPr>
        <w:t xml:space="preserve">las circunstancias supervinientes pretendieron incumplir </w:t>
      </w:r>
      <w:r>
        <w:rPr>
          <w:spacing w:val="-8"/>
          <w:sz w:val="18"/>
          <w:szCs w:val="18"/>
          <w:lang w:val="es-ES_tradnl"/>
        </w:rPr>
        <w:t>los derechos tutelados en su momento. Es as</w:t>
      </w:r>
      <w:r>
        <w:rPr>
          <w:rFonts w:cs="Times New Roman"/>
          <w:spacing w:val="-8"/>
          <w:sz w:val="18"/>
          <w:szCs w:val="18"/>
          <w:lang w:val="es-ES_tradnl"/>
        </w:rPr>
        <w:t>í</w:t>
      </w:r>
      <w:r>
        <w:rPr>
          <w:spacing w:val="-8"/>
          <w:sz w:val="18"/>
          <w:szCs w:val="18"/>
          <w:lang w:val="es-ES_tradnl"/>
        </w:rPr>
        <w:t xml:space="preserve"> que las </w:t>
      </w:r>
      <w:r>
        <w:rPr>
          <w:spacing w:val="-9"/>
          <w:sz w:val="18"/>
          <w:szCs w:val="18"/>
          <w:lang w:val="es-ES_tradnl"/>
        </w:rPr>
        <w:t xml:space="preserve">autoridades, a fin de mejorar la calidad de la infraestructura </w:t>
      </w:r>
      <w:r>
        <w:rPr>
          <w:spacing w:val="-7"/>
          <w:sz w:val="18"/>
          <w:szCs w:val="18"/>
          <w:lang w:val="es-ES_tradnl"/>
        </w:rPr>
        <w:t xml:space="preserve">del mercado, garantizando el buen vivir de vendedores y </w:t>
      </w:r>
      <w:r>
        <w:rPr>
          <w:spacing w:val="-9"/>
          <w:sz w:val="18"/>
          <w:szCs w:val="18"/>
          <w:lang w:val="es-ES_tradnl"/>
        </w:rPr>
        <w:t xml:space="preserve">compradores, estaban facultados a interrumpir los derechos </w:t>
      </w:r>
      <w:r>
        <w:rPr>
          <w:spacing w:val="-8"/>
          <w:sz w:val="18"/>
          <w:szCs w:val="18"/>
          <w:lang w:val="es-ES_tradnl"/>
        </w:rPr>
        <w:t>que emanan tanto de los contratos de arrendamiento as</w:t>
      </w:r>
      <w:r>
        <w:rPr>
          <w:rFonts w:cs="Times New Roman"/>
          <w:spacing w:val="-8"/>
          <w:sz w:val="18"/>
          <w:szCs w:val="18"/>
          <w:lang w:val="es-ES_tradnl"/>
        </w:rPr>
        <w:t xml:space="preserve">í </w:t>
      </w:r>
      <w:r>
        <w:rPr>
          <w:spacing w:val="-7"/>
          <w:sz w:val="18"/>
          <w:szCs w:val="18"/>
          <w:lang w:val="es-ES_tradnl"/>
        </w:rPr>
        <w:t xml:space="preserve">como las que surgen de la tutela constitucional, lo cual no </w:t>
      </w:r>
      <w:r>
        <w:rPr>
          <w:spacing w:val="-4"/>
          <w:sz w:val="18"/>
          <w:szCs w:val="18"/>
          <w:lang w:val="es-ES_tradnl"/>
        </w:rPr>
        <w:t>debe considerarse como un acto arbitrario o ilegal, peor</w:t>
      </w:r>
    </w:p>
    <w:p w14:paraId="4F67AA7E" w14:textId="77777777" w:rsidR="00591D54" w:rsidRDefault="00591D54">
      <w:pPr>
        <w:shd w:val="clear" w:color="auto" w:fill="FFFFFF"/>
        <w:spacing w:line="216" w:lineRule="exact"/>
        <w:jc w:val="both"/>
      </w:pPr>
      <w:r>
        <w:br w:type="column"/>
      </w:r>
      <w:r>
        <w:rPr>
          <w:spacing w:val="-5"/>
          <w:sz w:val="18"/>
          <w:szCs w:val="18"/>
          <w:lang w:val="es-ES_tradnl"/>
        </w:rPr>
        <w:t>como indicio de desacato a la resoluci</w:t>
      </w:r>
      <w:r>
        <w:rPr>
          <w:rFonts w:cs="Times New Roman"/>
          <w:spacing w:val="-5"/>
          <w:sz w:val="18"/>
          <w:szCs w:val="18"/>
          <w:lang w:val="es-ES_tradnl"/>
        </w:rPr>
        <w:t>ó</w:t>
      </w:r>
      <w:r>
        <w:rPr>
          <w:spacing w:val="-5"/>
          <w:sz w:val="18"/>
          <w:szCs w:val="18"/>
          <w:lang w:val="es-ES_tradnl"/>
        </w:rPr>
        <w:t xml:space="preserve">n judicial, ya que </w:t>
      </w:r>
      <w:r>
        <w:rPr>
          <w:spacing w:val="-6"/>
          <w:sz w:val="18"/>
          <w:szCs w:val="18"/>
          <w:lang w:val="es-ES_tradnl"/>
        </w:rPr>
        <w:t>por mandato de la Norma Suprema, la municipalidad no est</w:t>
      </w:r>
      <w:r>
        <w:rPr>
          <w:rFonts w:cs="Times New Roman"/>
          <w:spacing w:val="-6"/>
          <w:sz w:val="18"/>
          <w:szCs w:val="18"/>
          <w:lang w:val="es-ES_tradnl"/>
        </w:rPr>
        <w:t>á</w:t>
      </w:r>
      <w:r>
        <w:rPr>
          <w:spacing w:val="-6"/>
          <w:sz w:val="18"/>
          <w:szCs w:val="18"/>
          <w:lang w:val="es-ES_tradnl"/>
        </w:rPr>
        <w:t xml:space="preserve"> obligada a dejar de hacer algo no prohibido por el ordenamiento jur</w:t>
      </w:r>
      <w:r>
        <w:rPr>
          <w:rFonts w:cs="Times New Roman"/>
          <w:spacing w:val="-6"/>
          <w:sz w:val="18"/>
          <w:szCs w:val="18"/>
          <w:lang w:val="es-ES_tradnl"/>
        </w:rPr>
        <w:t>í</w:t>
      </w:r>
      <w:r>
        <w:rPr>
          <w:spacing w:val="-6"/>
          <w:sz w:val="18"/>
          <w:szCs w:val="18"/>
          <w:lang w:val="es-ES_tradnl"/>
        </w:rPr>
        <w:t xml:space="preserve">dico, tal como se encuentra establecido </w:t>
      </w:r>
      <w:r>
        <w:rPr>
          <w:spacing w:val="-5"/>
          <w:sz w:val="18"/>
          <w:szCs w:val="18"/>
          <w:lang w:val="es-ES_tradnl"/>
        </w:rPr>
        <w:t>en el inciso final del art</w:t>
      </w:r>
      <w:r>
        <w:rPr>
          <w:rFonts w:cs="Times New Roman"/>
          <w:spacing w:val="-5"/>
          <w:sz w:val="18"/>
          <w:szCs w:val="18"/>
          <w:lang w:val="es-ES_tradnl"/>
        </w:rPr>
        <w:t>í</w:t>
      </w:r>
      <w:r>
        <w:rPr>
          <w:spacing w:val="-5"/>
          <w:sz w:val="18"/>
          <w:szCs w:val="18"/>
          <w:lang w:val="es-ES_tradnl"/>
        </w:rPr>
        <w:t xml:space="preserve">culo 66 numeral 29 literal </w:t>
      </w:r>
      <w:r>
        <w:rPr>
          <w:b/>
          <w:bCs/>
          <w:spacing w:val="-5"/>
          <w:sz w:val="18"/>
          <w:szCs w:val="18"/>
          <w:lang w:val="es-ES_tradnl"/>
        </w:rPr>
        <w:t xml:space="preserve">d </w:t>
      </w:r>
      <w:r>
        <w:rPr>
          <w:spacing w:val="-5"/>
          <w:sz w:val="18"/>
          <w:szCs w:val="18"/>
          <w:lang w:val="es-ES_tradnl"/>
        </w:rPr>
        <w:t xml:space="preserve">de la </w:t>
      </w:r>
      <w:r>
        <w:rPr>
          <w:spacing w:val="-7"/>
          <w:sz w:val="18"/>
          <w:szCs w:val="18"/>
          <w:lang w:val="es-ES_tradnl"/>
        </w:rPr>
        <w:t>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blica del Ecuador.</w:t>
      </w:r>
    </w:p>
    <w:p w14:paraId="4F67AA7F" w14:textId="77777777" w:rsidR="00591D54" w:rsidRDefault="00591D54">
      <w:pPr>
        <w:shd w:val="clear" w:color="auto" w:fill="FFFFFF"/>
        <w:spacing w:before="197" w:line="216" w:lineRule="exact"/>
        <w:jc w:val="both"/>
      </w:pPr>
      <w:r>
        <w:rPr>
          <w:spacing w:val="-10"/>
          <w:sz w:val="18"/>
          <w:szCs w:val="18"/>
          <w:lang w:val="es-ES_tradnl"/>
        </w:rPr>
        <w:t>En relaci</w:t>
      </w:r>
      <w:r>
        <w:rPr>
          <w:rFonts w:cs="Times New Roman"/>
          <w:spacing w:val="-10"/>
          <w:sz w:val="18"/>
          <w:szCs w:val="18"/>
          <w:lang w:val="es-ES_tradnl"/>
        </w:rPr>
        <w:t>ó</w:t>
      </w:r>
      <w:r>
        <w:rPr>
          <w:spacing w:val="-10"/>
          <w:sz w:val="18"/>
          <w:szCs w:val="18"/>
          <w:lang w:val="es-ES_tradnl"/>
        </w:rPr>
        <w:t>n a la segunda medida de reparaci</w:t>
      </w:r>
      <w:r>
        <w:rPr>
          <w:rFonts w:cs="Times New Roman"/>
          <w:spacing w:val="-10"/>
          <w:sz w:val="18"/>
          <w:szCs w:val="18"/>
          <w:lang w:val="es-ES_tradnl"/>
        </w:rPr>
        <w:t>ó</w:t>
      </w:r>
      <w:r>
        <w:rPr>
          <w:spacing w:val="-10"/>
          <w:sz w:val="18"/>
          <w:szCs w:val="18"/>
          <w:lang w:val="es-ES_tradnl"/>
        </w:rPr>
        <w:t xml:space="preserve">n contenida en </w:t>
      </w:r>
      <w:r>
        <w:rPr>
          <w:spacing w:val="-9"/>
          <w:sz w:val="18"/>
          <w:szCs w:val="18"/>
          <w:lang w:val="es-ES_tradnl"/>
        </w:rPr>
        <w:t xml:space="preserve">la sentencia que dispuso se proceda de manera inmediata </w:t>
      </w:r>
      <w:r>
        <w:rPr>
          <w:spacing w:val="-7"/>
          <w:sz w:val="18"/>
          <w:szCs w:val="18"/>
          <w:lang w:val="es-ES_tradnl"/>
        </w:rPr>
        <w:t xml:space="preserve">con la venta de los tickets para el faenamiento y expendio </w:t>
      </w:r>
      <w:r>
        <w:rPr>
          <w:spacing w:val="-9"/>
          <w:sz w:val="18"/>
          <w:szCs w:val="18"/>
          <w:lang w:val="es-ES_tradnl"/>
        </w:rPr>
        <w:t xml:space="preserve">de carne a la actora, resulta indispensable tener presente el </w:t>
      </w:r>
      <w:r>
        <w:rPr>
          <w:spacing w:val="-6"/>
          <w:sz w:val="18"/>
          <w:szCs w:val="18"/>
          <w:lang w:val="es-ES_tradnl"/>
        </w:rPr>
        <w:t>estado de cuenta de la contribuyente, Herlinda Cris</w:t>
      </w:r>
      <w:r>
        <w:rPr>
          <w:rFonts w:cs="Times New Roman"/>
          <w:spacing w:val="-6"/>
          <w:sz w:val="18"/>
          <w:szCs w:val="18"/>
          <w:lang w:val="es-ES_tradnl"/>
        </w:rPr>
        <w:t>á</w:t>
      </w:r>
      <w:r>
        <w:rPr>
          <w:spacing w:val="-6"/>
          <w:sz w:val="18"/>
          <w:szCs w:val="18"/>
          <w:lang w:val="es-ES_tradnl"/>
        </w:rPr>
        <w:t xml:space="preserve">lida </w:t>
      </w:r>
      <w:r>
        <w:rPr>
          <w:spacing w:val="-5"/>
          <w:sz w:val="18"/>
          <w:szCs w:val="18"/>
          <w:lang w:val="es-ES_tradnl"/>
        </w:rPr>
        <w:t xml:space="preserve">Armijos Tinoco, constante a fojas 33 a 37 del expediente </w:t>
      </w:r>
      <w:r>
        <w:rPr>
          <w:spacing w:val="-6"/>
          <w:sz w:val="18"/>
          <w:szCs w:val="18"/>
          <w:lang w:val="es-ES_tradnl"/>
        </w:rPr>
        <w:t>de anexos, que comprueban que la Municipalidad emiti</w:t>
      </w:r>
      <w:r>
        <w:rPr>
          <w:rFonts w:cs="Times New Roman"/>
          <w:spacing w:val="-6"/>
          <w:sz w:val="18"/>
          <w:szCs w:val="18"/>
          <w:lang w:val="es-ES_tradnl"/>
        </w:rPr>
        <w:t xml:space="preserve">ó </w:t>
      </w:r>
      <w:r>
        <w:rPr>
          <w:rFonts w:cs="Times New Roman"/>
          <w:spacing w:val="-10"/>
          <w:sz w:val="18"/>
          <w:szCs w:val="18"/>
          <w:lang w:val="es-ES_tradnl"/>
        </w:rPr>
        <w:t>ó</w:t>
      </w:r>
      <w:r>
        <w:rPr>
          <w:spacing w:val="-10"/>
          <w:sz w:val="18"/>
          <w:szCs w:val="18"/>
          <w:lang w:val="es-ES_tradnl"/>
        </w:rPr>
        <w:t xml:space="preserve">rdenes por concepto de matanza de ganado al por mayor y </w:t>
      </w:r>
      <w:r>
        <w:rPr>
          <w:spacing w:val="-9"/>
          <w:sz w:val="18"/>
          <w:szCs w:val="18"/>
          <w:lang w:val="es-ES_tradnl"/>
        </w:rPr>
        <w:t>menor por el per</w:t>
      </w:r>
      <w:r>
        <w:rPr>
          <w:rFonts w:cs="Times New Roman"/>
          <w:spacing w:val="-9"/>
          <w:sz w:val="18"/>
          <w:szCs w:val="18"/>
          <w:lang w:val="es-ES_tradnl"/>
        </w:rPr>
        <w:t>í</w:t>
      </w:r>
      <w:r>
        <w:rPr>
          <w:spacing w:val="-9"/>
          <w:sz w:val="18"/>
          <w:szCs w:val="18"/>
          <w:lang w:val="es-ES_tradnl"/>
        </w:rPr>
        <w:t xml:space="preserve">odo comprendido desde el 05 de enero de </w:t>
      </w:r>
      <w:r>
        <w:rPr>
          <w:sz w:val="18"/>
          <w:szCs w:val="18"/>
          <w:lang w:val="es-ES_tradnl"/>
        </w:rPr>
        <w:t>2010 hasta el 16 de diciembre de 2010.</w:t>
      </w:r>
    </w:p>
    <w:p w14:paraId="4F67AA80" w14:textId="77777777" w:rsidR="00591D54" w:rsidRDefault="00591D54">
      <w:pPr>
        <w:shd w:val="clear" w:color="auto" w:fill="FFFFFF"/>
        <w:spacing w:before="197" w:line="216" w:lineRule="exact"/>
        <w:jc w:val="both"/>
      </w:pPr>
      <w:r>
        <w:rPr>
          <w:spacing w:val="-3"/>
          <w:sz w:val="18"/>
          <w:szCs w:val="18"/>
          <w:lang w:val="es-ES_tradnl"/>
        </w:rPr>
        <w:t>Lo expuesto es corroborado en el oficio N.</w:t>
      </w:r>
      <w:r>
        <w:rPr>
          <w:rFonts w:cs="Times New Roman"/>
          <w:spacing w:val="-3"/>
          <w:sz w:val="18"/>
          <w:szCs w:val="18"/>
          <w:lang w:val="es-ES_tradnl"/>
        </w:rPr>
        <w:t>°</w:t>
      </w:r>
      <w:r>
        <w:rPr>
          <w:spacing w:val="-3"/>
          <w:sz w:val="18"/>
          <w:szCs w:val="18"/>
          <w:lang w:val="es-ES_tradnl"/>
        </w:rPr>
        <w:t xml:space="preserve"> 0005 CM-</w:t>
      </w:r>
      <w:r>
        <w:rPr>
          <w:spacing w:val="-4"/>
          <w:sz w:val="18"/>
          <w:szCs w:val="18"/>
          <w:lang w:val="es-ES_tradnl"/>
        </w:rPr>
        <w:t xml:space="preserve">GADCP 2015 del 14 de enero de 2015, suscrito por el </w:t>
      </w:r>
      <w:r>
        <w:rPr>
          <w:spacing w:val="-5"/>
          <w:sz w:val="18"/>
          <w:szCs w:val="18"/>
          <w:lang w:val="es-ES_tradnl"/>
        </w:rPr>
        <w:t>actual comisario municipal, quien inform</w:t>
      </w:r>
      <w:r>
        <w:rPr>
          <w:rFonts w:cs="Times New Roman"/>
          <w:spacing w:val="-5"/>
          <w:sz w:val="18"/>
          <w:szCs w:val="18"/>
          <w:lang w:val="es-ES_tradnl"/>
        </w:rPr>
        <w:t>ó</w:t>
      </w:r>
      <w:r>
        <w:rPr>
          <w:spacing w:val="-5"/>
          <w:sz w:val="18"/>
          <w:szCs w:val="18"/>
          <w:lang w:val="es-ES_tradnl"/>
        </w:rPr>
        <w:t xml:space="preserve"> a esta Corte </w:t>
      </w:r>
      <w:r>
        <w:rPr>
          <w:sz w:val="18"/>
          <w:szCs w:val="18"/>
          <w:lang w:val="es-ES_tradnl"/>
        </w:rPr>
        <w:t>Constitucional lo siguiente:</w:t>
      </w:r>
    </w:p>
    <w:p w14:paraId="4F67AA81" w14:textId="77777777" w:rsidR="00591D54" w:rsidRDefault="00591D54">
      <w:pPr>
        <w:shd w:val="clear" w:color="auto" w:fill="FFFFFF"/>
        <w:spacing w:before="202" w:line="216" w:lineRule="exact"/>
        <w:ind w:left="283"/>
        <w:jc w:val="both"/>
      </w:pPr>
      <w:r>
        <w:rPr>
          <w:spacing w:val="-6"/>
          <w:sz w:val="16"/>
          <w:szCs w:val="16"/>
          <w:lang w:val="es-ES_tradnl"/>
        </w:rPr>
        <w:t>(</w:t>
      </w:r>
      <w:r>
        <w:rPr>
          <w:rFonts w:cs="Times New Roman"/>
          <w:spacing w:val="-6"/>
          <w:sz w:val="16"/>
          <w:szCs w:val="16"/>
          <w:lang w:val="es-ES_tradnl"/>
        </w:rPr>
        <w:t>…</w:t>
      </w:r>
      <w:r>
        <w:rPr>
          <w:spacing w:val="-6"/>
          <w:sz w:val="16"/>
          <w:szCs w:val="16"/>
          <w:lang w:val="es-ES_tradnl"/>
        </w:rPr>
        <w:t>) Por parte de la municipalidad en enero del a</w:t>
      </w:r>
      <w:r>
        <w:rPr>
          <w:rFonts w:cs="Times New Roman"/>
          <w:spacing w:val="-6"/>
          <w:sz w:val="16"/>
          <w:szCs w:val="16"/>
          <w:lang w:val="es-ES_tradnl"/>
        </w:rPr>
        <w:t>ñ</w:t>
      </w:r>
      <w:r>
        <w:rPr>
          <w:spacing w:val="-6"/>
          <w:sz w:val="16"/>
          <w:szCs w:val="16"/>
          <w:lang w:val="es-ES_tradnl"/>
        </w:rPr>
        <w:t xml:space="preserve">o 2010 se </w:t>
      </w:r>
      <w:r>
        <w:rPr>
          <w:spacing w:val="-5"/>
          <w:sz w:val="16"/>
          <w:szCs w:val="16"/>
          <w:lang w:val="es-ES_tradnl"/>
        </w:rPr>
        <w:t>resolvi</w:t>
      </w:r>
      <w:r>
        <w:rPr>
          <w:rFonts w:cs="Times New Roman"/>
          <w:spacing w:val="-5"/>
          <w:sz w:val="16"/>
          <w:szCs w:val="16"/>
          <w:lang w:val="es-ES_tradnl"/>
        </w:rPr>
        <w:t>ó</w:t>
      </w:r>
      <w:r>
        <w:rPr>
          <w:spacing w:val="-5"/>
          <w:sz w:val="16"/>
          <w:szCs w:val="16"/>
          <w:lang w:val="es-ES_tradnl"/>
        </w:rPr>
        <w:t xml:space="preserve"> ya no renovar el contrato de arrendamiento de la </w:t>
      </w:r>
      <w:r>
        <w:rPr>
          <w:spacing w:val="-8"/>
          <w:sz w:val="16"/>
          <w:szCs w:val="16"/>
          <w:lang w:val="es-ES_tradnl"/>
        </w:rPr>
        <w:t xml:space="preserve">mencionada, ni autorizar la venta de los comprobantes para el </w:t>
      </w:r>
      <w:r>
        <w:rPr>
          <w:spacing w:val="-6"/>
          <w:sz w:val="16"/>
          <w:szCs w:val="16"/>
          <w:lang w:val="es-ES_tradnl"/>
        </w:rPr>
        <w:t>ingreso de animales al camal municipal, a la se</w:t>
      </w:r>
      <w:r>
        <w:rPr>
          <w:rFonts w:cs="Times New Roman"/>
          <w:spacing w:val="-6"/>
          <w:sz w:val="16"/>
          <w:szCs w:val="16"/>
          <w:lang w:val="es-ES_tradnl"/>
        </w:rPr>
        <w:t>ñ</w:t>
      </w:r>
      <w:r>
        <w:rPr>
          <w:spacing w:val="-6"/>
          <w:sz w:val="16"/>
          <w:szCs w:val="16"/>
          <w:lang w:val="es-ES_tradnl"/>
        </w:rPr>
        <w:t xml:space="preserve">ora Armijos </w:t>
      </w:r>
      <w:r>
        <w:rPr>
          <w:spacing w:val="-2"/>
          <w:sz w:val="16"/>
          <w:szCs w:val="16"/>
          <w:lang w:val="es-ES_tradnl"/>
        </w:rPr>
        <w:t>Tinoco Herlinda Cris</w:t>
      </w:r>
      <w:r>
        <w:rPr>
          <w:rFonts w:cs="Times New Roman"/>
          <w:spacing w:val="-2"/>
          <w:sz w:val="16"/>
          <w:szCs w:val="16"/>
          <w:lang w:val="es-ES_tradnl"/>
        </w:rPr>
        <w:t>á</w:t>
      </w:r>
      <w:r>
        <w:rPr>
          <w:spacing w:val="-2"/>
          <w:sz w:val="16"/>
          <w:szCs w:val="16"/>
          <w:lang w:val="es-ES_tradnl"/>
        </w:rPr>
        <w:t>lida en vista del juicio que manten</w:t>
      </w:r>
      <w:r>
        <w:rPr>
          <w:rFonts w:cs="Times New Roman"/>
          <w:spacing w:val="-2"/>
          <w:sz w:val="16"/>
          <w:szCs w:val="16"/>
          <w:lang w:val="es-ES_tradnl"/>
        </w:rPr>
        <w:t>í</w:t>
      </w:r>
      <w:r>
        <w:rPr>
          <w:spacing w:val="-2"/>
          <w:sz w:val="16"/>
          <w:szCs w:val="16"/>
          <w:lang w:val="es-ES_tradnl"/>
        </w:rPr>
        <w:t xml:space="preserve">a </w:t>
      </w:r>
      <w:r>
        <w:rPr>
          <w:sz w:val="16"/>
          <w:szCs w:val="16"/>
          <w:lang w:val="es-ES_tradnl"/>
        </w:rPr>
        <w:t>en contra de la Municipalidad de Paltas. Aun as</w:t>
      </w:r>
      <w:r>
        <w:rPr>
          <w:rFonts w:cs="Times New Roman"/>
          <w:sz w:val="16"/>
          <w:szCs w:val="16"/>
          <w:lang w:val="es-ES_tradnl"/>
        </w:rPr>
        <w:t>í</w:t>
      </w:r>
      <w:r>
        <w:rPr>
          <w:sz w:val="16"/>
          <w:szCs w:val="16"/>
          <w:lang w:val="es-ES_tradnl"/>
        </w:rPr>
        <w:t xml:space="preserve"> como</w:t>
      </w:r>
    </w:p>
    <w:p w14:paraId="4F67AA82" w14:textId="77777777" w:rsidR="00591D54" w:rsidRDefault="00591D54">
      <w:pPr>
        <w:shd w:val="clear" w:color="auto" w:fill="FFFFFF"/>
        <w:spacing w:line="216" w:lineRule="exact"/>
        <w:ind w:left="283"/>
        <w:jc w:val="both"/>
      </w:pPr>
      <w:r>
        <w:rPr>
          <w:b/>
          <w:bCs/>
          <w:spacing w:val="-8"/>
          <w:sz w:val="16"/>
          <w:szCs w:val="16"/>
          <w:lang w:val="es-ES_tradnl"/>
        </w:rPr>
        <w:t>consecuencia de la sentencia judicial la se</w:t>
      </w:r>
      <w:r>
        <w:rPr>
          <w:rFonts w:cs="Times New Roman"/>
          <w:b/>
          <w:bCs/>
          <w:spacing w:val="-8"/>
          <w:sz w:val="16"/>
          <w:szCs w:val="16"/>
          <w:lang w:val="es-ES_tradnl"/>
        </w:rPr>
        <w:t>ñ</w:t>
      </w:r>
      <w:r>
        <w:rPr>
          <w:b/>
          <w:bCs/>
          <w:spacing w:val="-8"/>
          <w:sz w:val="16"/>
          <w:szCs w:val="16"/>
          <w:lang w:val="es-ES_tradnl"/>
        </w:rPr>
        <w:t xml:space="preserve">ora Armijos </w:t>
      </w:r>
      <w:r>
        <w:rPr>
          <w:b/>
          <w:bCs/>
          <w:spacing w:val="-10"/>
          <w:sz w:val="16"/>
          <w:szCs w:val="16"/>
          <w:lang w:val="es-ES_tradnl"/>
        </w:rPr>
        <w:t>contin</w:t>
      </w:r>
      <w:r>
        <w:rPr>
          <w:rFonts w:cs="Times New Roman"/>
          <w:b/>
          <w:bCs/>
          <w:spacing w:val="-10"/>
          <w:sz w:val="16"/>
          <w:szCs w:val="16"/>
          <w:lang w:val="es-ES_tradnl"/>
        </w:rPr>
        <w:t>ú</w:t>
      </w:r>
      <w:r>
        <w:rPr>
          <w:b/>
          <w:bCs/>
          <w:spacing w:val="-10"/>
          <w:sz w:val="16"/>
          <w:szCs w:val="16"/>
          <w:lang w:val="es-ES_tradnl"/>
        </w:rPr>
        <w:t>a durante este a</w:t>
      </w:r>
      <w:r>
        <w:rPr>
          <w:rFonts w:cs="Times New Roman"/>
          <w:b/>
          <w:bCs/>
          <w:spacing w:val="-10"/>
          <w:sz w:val="16"/>
          <w:szCs w:val="16"/>
          <w:lang w:val="es-ES_tradnl"/>
        </w:rPr>
        <w:t>ñ</w:t>
      </w:r>
      <w:r>
        <w:rPr>
          <w:b/>
          <w:bCs/>
          <w:spacing w:val="-10"/>
          <w:sz w:val="16"/>
          <w:szCs w:val="16"/>
          <w:lang w:val="es-ES_tradnl"/>
        </w:rPr>
        <w:t xml:space="preserve">o ingresando y faenando animales </w:t>
      </w:r>
      <w:r>
        <w:rPr>
          <w:b/>
          <w:bCs/>
          <w:spacing w:val="-8"/>
          <w:sz w:val="16"/>
          <w:szCs w:val="16"/>
          <w:lang w:val="es-ES_tradnl"/>
        </w:rPr>
        <w:t xml:space="preserve">en el Camal Municipal y realizando el expendio de la carne </w:t>
      </w:r>
      <w:r>
        <w:rPr>
          <w:b/>
          <w:bCs/>
          <w:spacing w:val="-5"/>
          <w:sz w:val="16"/>
          <w:szCs w:val="16"/>
          <w:lang w:val="es-ES_tradnl"/>
        </w:rPr>
        <w:t>en la tercena n.</w:t>
      </w:r>
      <w:r>
        <w:rPr>
          <w:rFonts w:cs="Times New Roman"/>
          <w:b/>
          <w:bCs/>
          <w:spacing w:val="-5"/>
          <w:sz w:val="16"/>
          <w:szCs w:val="16"/>
          <w:lang w:val="es-ES_tradnl"/>
        </w:rPr>
        <w:t>°</w:t>
      </w:r>
      <w:r>
        <w:rPr>
          <w:b/>
          <w:bCs/>
          <w:spacing w:val="-5"/>
          <w:sz w:val="16"/>
          <w:szCs w:val="16"/>
          <w:lang w:val="es-ES_tradnl"/>
        </w:rPr>
        <w:t xml:space="preserve"> 20 del Centro Comercial Paltense, </w:t>
      </w:r>
      <w:r>
        <w:rPr>
          <w:spacing w:val="-5"/>
          <w:sz w:val="16"/>
          <w:szCs w:val="16"/>
          <w:lang w:val="es-ES_tradnl"/>
        </w:rPr>
        <w:t xml:space="preserve">y no </w:t>
      </w:r>
      <w:r>
        <w:rPr>
          <w:spacing w:val="-9"/>
          <w:sz w:val="16"/>
          <w:szCs w:val="16"/>
          <w:lang w:val="es-ES_tradnl"/>
        </w:rPr>
        <w:t>realiz</w:t>
      </w:r>
      <w:r>
        <w:rPr>
          <w:rFonts w:cs="Times New Roman"/>
          <w:spacing w:val="-9"/>
          <w:sz w:val="16"/>
          <w:szCs w:val="16"/>
          <w:lang w:val="es-ES_tradnl"/>
        </w:rPr>
        <w:t>ó</w:t>
      </w:r>
      <w:r>
        <w:rPr>
          <w:spacing w:val="-9"/>
          <w:sz w:val="16"/>
          <w:szCs w:val="16"/>
          <w:lang w:val="es-ES_tradnl"/>
        </w:rPr>
        <w:t xml:space="preserve"> el pago correspondiente al arriendo de la tercena de este </w:t>
      </w:r>
      <w:r>
        <w:rPr>
          <w:spacing w:val="-7"/>
          <w:sz w:val="16"/>
          <w:szCs w:val="16"/>
          <w:lang w:val="es-ES_tradnl"/>
        </w:rPr>
        <w:t>a</w:t>
      </w:r>
      <w:r>
        <w:rPr>
          <w:rFonts w:cs="Times New Roman"/>
          <w:spacing w:val="-7"/>
          <w:sz w:val="16"/>
          <w:szCs w:val="16"/>
          <w:lang w:val="es-ES_tradnl"/>
        </w:rPr>
        <w:t>ñ</w:t>
      </w:r>
      <w:r>
        <w:rPr>
          <w:spacing w:val="-7"/>
          <w:sz w:val="16"/>
          <w:szCs w:val="16"/>
          <w:lang w:val="es-ES_tradnl"/>
        </w:rPr>
        <w:t>o ya que la se</w:t>
      </w:r>
      <w:r>
        <w:rPr>
          <w:rFonts w:cs="Times New Roman"/>
          <w:spacing w:val="-7"/>
          <w:sz w:val="16"/>
          <w:szCs w:val="16"/>
          <w:lang w:val="es-ES_tradnl"/>
        </w:rPr>
        <w:t>ñ</w:t>
      </w:r>
      <w:r>
        <w:rPr>
          <w:spacing w:val="-7"/>
          <w:sz w:val="16"/>
          <w:szCs w:val="16"/>
          <w:lang w:val="es-ES_tradnl"/>
        </w:rPr>
        <w:t>ora no contaba con el documento habilitante que es el contrato de arrendamiento. (sic) (</w:t>
      </w:r>
      <w:r>
        <w:rPr>
          <w:rFonts w:cs="Times New Roman"/>
          <w:spacing w:val="-7"/>
          <w:sz w:val="16"/>
          <w:szCs w:val="16"/>
          <w:lang w:val="es-ES_tradnl"/>
        </w:rPr>
        <w:t>É</w:t>
      </w:r>
      <w:r>
        <w:rPr>
          <w:spacing w:val="-7"/>
          <w:sz w:val="16"/>
          <w:szCs w:val="16"/>
          <w:lang w:val="es-ES_tradnl"/>
        </w:rPr>
        <w:t>nfasis a</w:t>
      </w:r>
      <w:r>
        <w:rPr>
          <w:rFonts w:cs="Times New Roman"/>
          <w:spacing w:val="-7"/>
          <w:sz w:val="16"/>
          <w:szCs w:val="16"/>
          <w:lang w:val="es-ES_tradnl"/>
        </w:rPr>
        <w:t>ñ</w:t>
      </w:r>
      <w:r>
        <w:rPr>
          <w:spacing w:val="-7"/>
          <w:sz w:val="16"/>
          <w:szCs w:val="16"/>
          <w:lang w:val="es-ES_tradnl"/>
        </w:rPr>
        <w:t>adido)</w:t>
      </w:r>
    </w:p>
    <w:p w14:paraId="4F67AA83" w14:textId="77777777" w:rsidR="00591D54" w:rsidRDefault="00591D54">
      <w:pPr>
        <w:shd w:val="clear" w:color="auto" w:fill="FFFFFF"/>
        <w:spacing w:before="202" w:line="216" w:lineRule="exact"/>
        <w:jc w:val="both"/>
      </w:pPr>
      <w:r>
        <w:rPr>
          <w:sz w:val="18"/>
          <w:szCs w:val="18"/>
          <w:lang w:val="es-ES_tradnl"/>
        </w:rPr>
        <w:t xml:space="preserve">Bajo estas consideraciones, se determina que la </w:t>
      </w:r>
      <w:r>
        <w:rPr>
          <w:spacing w:val="-8"/>
          <w:sz w:val="18"/>
          <w:szCs w:val="18"/>
          <w:lang w:val="es-ES_tradnl"/>
        </w:rPr>
        <w:t>accionante durante el a</w:t>
      </w:r>
      <w:r>
        <w:rPr>
          <w:rFonts w:cs="Times New Roman"/>
          <w:spacing w:val="-8"/>
          <w:sz w:val="18"/>
          <w:szCs w:val="18"/>
          <w:lang w:val="es-ES_tradnl"/>
        </w:rPr>
        <w:t>ñ</w:t>
      </w:r>
      <w:r>
        <w:rPr>
          <w:spacing w:val="-8"/>
          <w:sz w:val="18"/>
          <w:szCs w:val="18"/>
          <w:lang w:val="es-ES_tradnl"/>
        </w:rPr>
        <w:t xml:space="preserve">o 2010 efectivamente faenaba de </w:t>
      </w:r>
      <w:r>
        <w:rPr>
          <w:spacing w:val="-6"/>
          <w:sz w:val="18"/>
          <w:szCs w:val="18"/>
          <w:lang w:val="es-ES_tradnl"/>
        </w:rPr>
        <w:t>forma habitual en el camal municipal y posteriormente comercializ</w:t>
      </w:r>
      <w:r>
        <w:rPr>
          <w:rFonts w:cs="Times New Roman"/>
          <w:spacing w:val="-6"/>
          <w:sz w:val="18"/>
          <w:szCs w:val="18"/>
          <w:lang w:val="es-ES_tradnl"/>
        </w:rPr>
        <w:t>ó</w:t>
      </w:r>
      <w:r>
        <w:rPr>
          <w:spacing w:val="-6"/>
          <w:sz w:val="18"/>
          <w:szCs w:val="18"/>
          <w:lang w:val="es-ES_tradnl"/>
        </w:rPr>
        <w:t xml:space="preserve"> la carne en el local n</w:t>
      </w:r>
      <w:r>
        <w:rPr>
          <w:rFonts w:cs="Times New Roman"/>
          <w:spacing w:val="-6"/>
          <w:sz w:val="18"/>
          <w:szCs w:val="18"/>
          <w:lang w:val="es-ES_tradnl"/>
        </w:rPr>
        <w:t>ú</w:t>
      </w:r>
      <w:r>
        <w:rPr>
          <w:spacing w:val="-6"/>
          <w:sz w:val="18"/>
          <w:szCs w:val="18"/>
          <w:lang w:val="es-ES_tradnl"/>
        </w:rPr>
        <w:t xml:space="preserve">mero 20 del Centro </w:t>
      </w:r>
      <w:r>
        <w:rPr>
          <w:spacing w:val="-8"/>
          <w:sz w:val="18"/>
          <w:szCs w:val="18"/>
          <w:lang w:val="es-ES_tradnl"/>
        </w:rPr>
        <w:t>Comercial Paltense, dando as</w:t>
      </w:r>
      <w:r>
        <w:rPr>
          <w:rFonts w:cs="Times New Roman"/>
          <w:spacing w:val="-8"/>
          <w:sz w:val="18"/>
          <w:szCs w:val="18"/>
          <w:lang w:val="es-ES_tradnl"/>
        </w:rPr>
        <w:t>í</w:t>
      </w:r>
      <w:r>
        <w:rPr>
          <w:spacing w:val="-8"/>
          <w:sz w:val="18"/>
          <w:szCs w:val="18"/>
          <w:lang w:val="es-ES_tradnl"/>
        </w:rPr>
        <w:t xml:space="preserve"> cumplimiento a lo dispuesto </w:t>
      </w:r>
      <w:r>
        <w:rPr>
          <w:spacing w:val="-2"/>
          <w:sz w:val="18"/>
          <w:szCs w:val="18"/>
          <w:lang w:val="es-ES_tradnl"/>
        </w:rPr>
        <w:t xml:space="preserve">por el juez constitucional; sin embargo, el desalojo con </w:t>
      </w:r>
      <w:r>
        <w:rPr>
          <w:spacing w:val="-4"/>
          <w:sz w:val="18"/>
          <w:szCs w:val="18"/>
          <w:lang w:val="es-ES_tradnl"/>
        </w:rPr>
        <w:t>fines de remodelaci</w:t>
      </w:r>
      <w:r>
        <w:rPr>
          <w:rFonts w:cs="Times New Roman"/>
          <w:spacing w:val="-4"/>
          <w:sz w:val="18"/>
          <w:szCs w:val="18"/>
          <w:lang w:val="es-ES_tradnl"/>
        </w:rPr>
        <w:t>ó</w:t>
      </w:r>
      <w:r>
        <w:rPr>
          <w:spacing w:val="-4"/>
          <w:sz w:val="18"/>
          <w:szCs w:val="18"/>
          <w:lang w:val="es-ES_tradnl"/>
        </w:rPr>
        <w:t>n imposibilit</w:t>
      </w:r>
      <w:r>
        <w:rPr>
          <w:rFonts w:cs="Times New Roman"/>
          <w:spacing w:val="-4"/>
          <w:sz w:val="18"/>
          <w:szCs w:val="18"/>
          <w:lang w:val="es-ES_tradnl"/>
        </w:rPr>
        <w:t>ó</w:t>
      </w:r>
      <w:r>
        <w:rPr>
          <w:spacing w:val="-4"/>
          <w:sz w:val="18"/>
          <w:szCs w:val="18"/>
          <w:lang w:val="es-ES_tradnl"/>
        </w:rPr>
        <w:t xml:space="preserve"> a la se</w:t>
      </w:r>
      <w:r>
        <w:rPr>
          <w:rFonts w:cs="Times New Roman"/>
          <w:spacing w:val="-4"/>
          <w:sz w:val="18"/>
          <w:szCs w:val="18"/>
          <w:lang w:val="es-ES_tradnl"/>
        </w:rPr>
        <w:t>ñ</w:t>
      </w:r>
      <w:r>
        <w:rPr>
          <w:spacing w:val="-4"/>
          <w:sz w:val="18"/>
          <w:szCs w:val="18"/>
          <w:lang w:val="es-ES_tradnl"/>
        </w:rPr>
        <w:t xml:space="preserve">ora Armijos </w:t>
      </w:r>
      <w:r>
        <w:rPr>
          <w:spacing w:val="-8"/>
          <w:sz w:val="18"/>
          <w:szCs w:val="18"/>
          <w:lang w:val="es-ES_tradnl"/>
        </w:rPr>
        <w:t xml:space="preserve">Tinoco continuar con sus actividades comerciales en dicho </w:t>
      </w:r>
      <w:r>
        <w:rPr>
          <w:sz w:val="18"/>
          <w:szCs w:val="18"/>
          <w:lang w:val="es-ES_tradnl"/>
        </w:rPr>
        <w:t>mercado.</w:t>
      </w:r>
    </w:p>
    <w:p w14:paraId="4F67AA84" w14:textId="77777777" w:rsidR="00591D54" w:rsidRDefault="00591D54">
      <w:pPr>
        <w:shd w:val="clear" w:color="auto" w:fill="FFFFFF"/>
        <w:spacing w:before="192" w:line="216" w:lineRule="exact"/>
        <w:jc w:val="both"/>
      </w:pPr>
      <w:r>
        <w:rPr>
          <w:spacing w:val="-1"/>
          <w:sz w:val="18"/>
          <w:szCs w:val="18"/>
          <w:lang w:val="es-ES_tradnl"/>
        </w:rPr>
        <w:t>Analizadas las dos medidas de reparaci</w:t>
      </w:r>
      <w:r>
        <w:rPr>
          <w:rFonts w:cs="Times New Roman"/>
          <w:spacing w:val="-1"/>
          <w:sz w:val="18"/>
          <w:szCs w:val="18"/>
          <w:lang w:val="es-ES_tradnl"/>
        </w:rPr>
        <w:t>ó</w:t>
      </w:r>
      <w:r>
        <w:rPr>
          <w:spacing w:val="-1"/>
          <w:sz w:val="18"/>
          <w:szCs w:val="18"/>
          <w:lang w:val="es-ES_tradnl"/>
        </w:rPr>
        <w:t xml:space="preserve">n dispuestas </w:t>
      </w:r>
      <w:r>
        <w:rPr>
          <w:spacing w:val="-4"/>
          <w:sz w:val="18"/>
          <w:szCs w:val="18"/>
          <w:lang w:val="es-ES_tradnl"/>
        </w:rPr>
        <w:t xml:space="preserve">en sentencia del 02 de febrero de 2010 a las 17h00, por </w:t>
      </w:r>
      <w:r>
        <w:rPr>
          <w:spacing w:val="-5"/>
          <w:sz w:val="18"/>
          <w:szCs w:val="18"/>
          <w:lang w:val="es-ES_tradnl"/>
        </w:rPr>
        <w:t>el juez d</w:t>
      </w:r>
      <w:r>
        <w:rPr>
          <w:rFonts w:cs="Times New Roman"/>
          <w:spacing w:val="-5"/>
          <w:sz w:val="18"/>
          <w:szCs w:val="18"/>
          <w:lang w:val="es-ES_tradnl"/>
        </w:rPr>
        <w:t>é</w:t>
      </w:r>
      <w:r>
        <w:rPr>
          <w:spacing w:val="-5"/>
          <w:sz w:val="18"/>
          <w:szCs w:val="18"/>
          <w:lang w:val="es-ES_tradnl"/>
        </w:rPr>
        <w:t xml:space="preserve">cimo cuarto de lo civil de Loja, actual Juzgado </w:t>
      </w:r>
      <w:r>
        <w:rPr>
          <w:spacing w:val="-3"/>
          <w:sz w:val="18"/>
          <w:szCs w:val="18"/>
          <w:lang w:val="es-ES_tradnl"/>
        </w:rPr>
        <w:t xml:space="preserve">Multicompetente, permite concluir que su cumplimiento </w:t>
      </w:r>
      <w:r>
        <w:rPr>
          <w:spacing w:val="-1"/>
          <w:sz w:val="18"/>
          <w:szCs w:val="18"/>
          <w:lang w:val="es-ES_tradnl"/>
        </w:rPr>
        <w:t xml:space="preserve">ha sido interdependiente, puesto que dichas medidas </w:t>
      </w:r>
      <w:r>
        <w:rPr>
          <w:spacing w:val="-8"/>
          <w:sz w:val="18"/>
          <w:szCs w:val="18"/>
          <w:lang w:val="es-ES_tradnl"/>
        </w:rPr>
        <w:t xml:space="preserve">se complementan con el objeto de reparar el derecho </w:t>
      </w:r>
      <w:r>
        <w:rPr>
          <w:spacing w:val="-6"/>
          <w:sz w:val="18"/>
          <w:szCs w:val="18"/>
          <w:lang w:val="es-ES_tradnl"/>
        </w:rPr>
        <w:t>constitucional al trabajo de la legitimada activa.</w:t>
      </w:r>
    </w:p>
    <w:p w14:paraId="4F67AA85" w14:textId="77777777" w:rsidR="00591D54" w:rsidRDefault="00591D54">
      <w:pPr>
        <w:shd w:val="clear" w:color="auto" w:fill="FFFFFF"/>
        <w:spacing w:before="187" w:line="216" w:lineRule="exact"/>
        <w:jc w:val="both"/>
      </w:pPr>
      <w:r>
        <w:rPr>
          <w:b/>
          <w:bCs/>
          <w:spacing w:val="-8"/>
          <w:sz w:val="18"/>
          <w:szCs w:val="18"/>
          <w:lang w:val="es-ES_tradnl"/>
        </w:rPr>
        <w:t>2.- El Gobierno Aut</w:t>
      </w:r>
      <w:r>
        <w:rPr>
          <w:rFonts w:cs="Times New Roman"/>
          <w:b/>
          <w:bCs/>
          <w:spacing w:val="-8"/>
          <w:sz w:val="18"/>
          <w:szCs w:val="18"/>
          <w:lang w:val="es-ES_tradnl"/>
        </w:rPr>
        <w:t>ó</w:t>
      </w:r>
      <w:r>
        <w:rPr>
          <w:b/>
          <w:bCs/>
          <w:spacing w:val="-8"/>
          <w:sz w:val="18"/>
          <w:szCs w:val="18"/>
          <w:lang w:val="es-ES_tradnl"/>
        </w:rPr>
        <w:t>nomo Descentralizado del cant</w:t>
      </w:r>
      <w:r>
        <w:rPr>
          <w:rFonts w:cs="Times New Roman"/>
          <w:b/>
          <w:bCs/>
          <w:spacing w:val="-8"/>
          <w:sz w:val="18"/>
          <w:szCs w:val="18"/>
          <w:lang w:val="es-ES_tradnl"/>
        </w:rPr>
        <w:t>ó</w:t>
      </w:r>
      <w:r>
        <w:rPr>
          <w:b/>
          <w:bCs/>
          <w:spacing w:val="-8"/>
          <w:sz w:val="18"/>
          <w:szCs w:val="18"/>
          <w:lang w:val="es-ES_tradnl"/>
        </w:rPr>
        <w:t xml:space="preserve">n </w:t>
      </w:r>
      <w:r>
        <w:rPr>
          <w:b/>
          <w:bCs/>
          <w:spacing w:val="-10"/>
          <w:sz w:val="18"/>
          <w:szCs w:val="18"/>
          <w:lang w:val="es-ES_tradnl"/>
        </w:rPr>
        <w:t xml:space="preserve">Paltas </w:t>
      </w:r>
      <w:r>
        <w:rPr>
          <w:rFonts w:cs="Times New Roman"/>
          <w:b/>
          <w:bCs/>
          <w:spacing w:val="-10"/>
          <w:sz w:val="18"/>
          <w:szCs w:val="18"/>
          <w:lang w:val="es-ES_tradnl"/>
        </w:rPr>
        <w:t>¿</w:t>
      </w:r>
      <w:r>
        <w:rPr>
          <w:b/>
          <w:bCs/>
          <w:spacing w:val="-10"/>
          <w:sz w:val="18"/>
          <w:szCs w:val="18"/>
          <w:lang w:val="es-ES_tradnl"/>
        </w:rPr>
        <w:t xml:space="preserve">incumple la sentencia emitida el 05 de marzo de </w:t>
      </w:r>
      <w:r>
        <w:rPr>
          <w:b/>
          <w:bCs/>
          <w:spacing w:val="-7"/>
          <w:sz w:val="18"/>
          <w:szCs w:val="18"/>
          <w:lang w:val="es-ES_tradnl"/>
        </w:rPr>
        <w:t xml:space="preserve">2010 a las 09h42, por los jueces de la Sala de lo Civil, </w:t>
      </w:r>
      <w:r>
        <w:rPr>
          <w:b/>
          <w:bCs/>
          <w:spacing w:val="-2"/>
          <w:sz w:val="18"/>
          <w:szCs w:val="18"/>
          <w:lang w:val="es-ES_tradnl"/>
        </w:rPr>
        <w:t xml:space="preserve">Mercantil, Inquilinato y Materias Residuales de la </w:t>
      </w:r>
      <w:r>
        <w:rPr>
          <w:b/>
          <w:bCs/>
          <w:sz w:val="18"/>
          <w:szCs w:val="18"/>
          <w:lang w:val="es-ES_tradnl"/>
        </w:rPr>
        <w:t>Corte Provincial de Justicia de Loja?</w:t>
      </w:r>
    </w:p>
    <w:p w14:paraId="4F67AA86" w14:textId="77777777" w:rsidR="00591D54" w:rsidRDefault="00591D54">
      <w:pPr>
        <w:shd w:val="clear" w:color="auto" w:fill="FFFFFF"/>
        <w:spacing w:before="197" w:line="216" w:lineRule="exact"/>
        <w:jc w:val="both"/>
      </w:pPr>
      <w:r>
        <w:rPr>
          <w:spacing w:val="-10"/>
          <w:sz w:val="18"/>
          <w:szCs w:val="18"/>
          <w:lang w:val="es-ES_tradnl"/>
        </w:rPr>
        <w:t>La sentencia de apelaci</w:t>
      </w:r>
      <w:r>
        <w:rPr>
          <w:rFonts w:cs="Times New Roman"/>
          <w:spacing w:val="-10"/>
          <w:sz w:val="18"/>
          <w:szCs w:val="18"/>
          <w:lang w:val="es-ES_tradnl"/>
        </w:rPr>
        <w:t>ó</w:t>
      </w:r>
      <w:r>
        <w:rPr>
          <w:spacing w:val="-10"/>
          <w:sz w:val="18"/>
          <w:szCs w:val="18"/>
          <w:lang w:val="es-ES_tradnl"/>
        </w:rPr>
        <w:t xml:space="preserve">n cuyo incumplimiento se demanda </w:t>
      </w:r>
      <w:r>
        <w:rPr>
          <w:spacing w:val="-9"/>
          <w:sz w:val="18"/>
          <w:szCs w:val="18"/>
          <w:lang w:val="es-ES_tradnl"/>
        </w:rPr>
        <w:t>ha ratificado las medidas de reparaci</w:t>
      </w:r>
      <w:r>
        <w:rPr>
          <w:rFonts w:cs="Times New Roman"/>
          <w:spacing w:val="-9"/>
          <w:sz w:val="18"/>
          <w:szCs w:val="18"/>
          <w:lang w:val="es-ES_tradnl"/>
        </w:rPr>
        <w:t>ó</w:t>
      </w:r>
      <w:r>
        <w:rPr>
          <w:spacing w:val="-9"/>
          <w:sz w:val="18"/>
          <w:szCs w:val="18"/>
          <w:lang w:val="es-ES_tradnl"/>
        </w:rPr>
        <w:t>n dictadas por el juez</w:t>
      </w:r>
    </w:p>
    <w:p w14:paraId="4F67AA87" w14:textId="77777777" w:rsidR="00591D54" w:rsidRDefault="00591D54">
      <w:pPr>
        <w:shd w:val="clear" w:color="auto" w:fill="FFFFFF"/>
        <w:spacing w:before="197" w:line="216" w:lineRule="exact"/>
        <w:jc w:val="both"/>
        <w:sectPr w:rsidR="00591D54">
          <w:type w:val="continuous"/>
          <w:pgSz w:w="11909" w:h="16834"/>
          <w:pgMar w:top="1366" w:right="1309" w:bottom="360" w:left="1308" w:header="720" w:footer="720" w:gutter="0"/>
          <w:cols w:num="2" w:space="720" w:equalWidth="0">
            <w:col w:w="4305" w:space="682"/>
            <w:col w:w="4305"/>
          </w:cols>
          <w:noEndnote/>
        </w:sectPr>
      </w:pPr>
    </w:p>
    <w:p w14:paraId="4F67AA88" w14:textId="77777777" w:rsidR="00591D54" w:rsidRDefault="00591D54">
      <w:pPr>
        <w:shd w:val="clear" w:color="auto" w:fill="FFFFFF"/>
        <w:tabs>
          <w:tab w:val="left" w:pos="4814"/>
        </w:tabs>
        <w:spacing w:after="235"/>
        <w:ind w:left="5"/>
      </w:pPr>
      <w:r>
        <w:rPr>
          <w:b/>
          <w:bCs/>
          <w:sz w:val="18"/>
          <w:szCs w:val="18"/>
          <w:lang w:val="es-ES_tradnl"/>
        </w:rPr>
        <w:t xml:space="preserve">86 -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A89" w14:textId="77777777" w:rsidR="00591D54" w:rsidRDefault="00591D54">
      <w:pPr>
        <w:shd w:val="clear" w:color="auto" w:fill="FFFFFF"/>
        <w:tabs>
          <w:tab w:val="left" w:pos="4814"/>
        </w:tabs>
        <w:spacing w:after="235"/>
        <w:ind w:left="5"/>
        <w:sectPr w:rsidR="00591D54">
          <w:pgSz w:w="11909" w:h="16834"/>
          <w:pgMar w:top="1359" w:right="1309" w:bottom="360" w:left="1308" w:header="720" w:footer="720" w:gutter="0"/>
          <w:cols w:space="60"/>
          <w:noEndnote/>
        </w:sectPr>
      </w:pPr>
    </w:p>
    <w:p w14:paraId="4F67AA8A" w14:textId="77777777" w:rsidR="00591D54" w:rsidRDefault="00591D54">
      <w:pPr>
        <w:shd w:val="clear" w:color="auto" w:fill="FFFFFF"/>
        <w:spacing w:line="216" w:lineRule="exact"/>
        <w:jc w:val="both"/>
      </w:pPr>
      <w:r>
        <w:rPr>
          <w:spacing w:val="-8"/>
          <w:sz w:val="18"/>
          <w:szCs w:val="18"/>
          <w:lang w:val="es-ES_tradnl"/>
        </w:rPr>
        <w:t>de primera instancia, que fueron analizadas en el problema jur</w:t>
      </w:r>
      <w:r>
        <w:rPr>
          <w:rFonts w:cs="Times New Roman"/>
          <w:spacing w:val="-8"/>
          <w:sz w:val="18"/>
          <w:szCs w:val="18"/>
          <w:lang w:val="es-ES_tradnl"/>
        </w:rPr>
        <w:t>í</w:t>
      </w:r>
      <w:r>
        <w:rPr>
          <w:spacing w:val="-8"/>
          <w:sz w:val="18"/>
          <w:szCs w:val="18"/>
          <w:lang w:val="es-ES_tradnl"/>
        </w:rPr>
        <w:t>dico anterior, reformul</w:t>
      </w:r>
      <w:r>
        <w:rPr>
          <w:rFonts w:cs="Times New Roman"/>
          <w:spacing w:val="-8"/>
          <w:sz w:val="18"/>
          <w:szCs w:val="18"/>
          <w:lang w:val="es-ES_tradnl"/>
        </w:rPr>
        <w:t>á</w:t>
      </w:r>
      <w:r>
        <w:rPr>
          <w:spacing w:val="-8"/>
          <w:sz w:val="18"/>
          <w:szCs w:val="18"/>
          <w:lang w:val="es-ES_tradnl"/>
        </w:rPr>
        <w:t>ndolas respecto de la reparaci</w:t>
      </w:r>
      <w:r>
        <w:rPr>
          <w:rFonts w:cs="Times New Roman"/>
          <w:spacing w:val="-8"/>
          <w:sz w:val="18"/>
          <w:szCs w:val="18"/>
          <w:lang w:val="es-ES_tradnl"/>
        </w:rPr>
        <w:t>ó</w:t>
      </w:r>
      <w:r>
        <w:rPr>
          <w:spacing w:val="-8"/>
          <w:sz w:val="18"/>
          <w:szCs w:val="18"/>
          <w:lang w:val="es-ES_tradnl"/>
        </w:rPr>
        <w:t>n material del da</w:t>
      </w:r>
      <w:r>
        <w:rPr>
          <w:rFonts w:cs="Times New Roman"/>
          <w:spacing w:val="-8"/>
          <w:sz w:val="18"/>
          <w:szCs w:val="18"/>
          <w:lang w:val="es-ES_tradnl"/>
        </w:rPr>
        <w:t>ñ</w:t>
      </w:r>
      <w:r>
        <w:rPr>
          <w:spacing w:val="-8"/>
          <w:sz w:val="18"/>
          <w:szCs w:val="18"/>
          <w:lang w:val="es-ES_tradnl"/>
        </w:rPr>
        <w:t xml:space="preserve">o causado, reconociendo el derecho de la </w:t>
      </w:r>
      <w:r>
        <w:rPr>
          <w:spacing w:val="-7"/>
          <w:sz w:val="18"/>
          <w:szCs w:val="18"/>
          <w:lang w:val="es-ES_tradnl"/>
        </w:rPr>
        <w:t>accionante a la indemnizaci</w:t>
      </w:r>
      <w:r>
        <w:rPr>
          <w:rFonts w:cs="Times New Roman"/>
          <w:spacing w:val="-7"/>
          <w:sz w:val="18"/>
          <w:szCs w:val="18"/>
          <w:lang w:val="es-ES_tradnl"/>
        </w:rPr>
        <w:t>ó</w:t>
      </w:r>
      <w:r>
        <w:rPr>
          <w:spacing w:val="-7"/>
          <w:sz w:val="18"/>
          <w:szCs w:val="18"/>
          <w:lang w:val="es-ES_tradnl"/>
        </w:rPr>
        <w:t>n econ</w:t>
      </w:r>
      <w:r>
        <w:rPr>
          <w:rFonts w:cs="Times New Roman"/>
          <w:spacing w:val="-7"/>
          <w:sz w:val="18"/>
          <w:szCs w:val="18"/>
          <w:lang w:val="es-ES_tradnl"/>
        </w:rPr>
        <w:t>ó</w:t>
      </w:r>
      <w:r>
        <w:rPr>
          <w:spacing w:val="-7"/>
          <w:sz w:val="18"/>
          <w:szCs w:val="18"/>
          <w:lang w:val="es-ES_tradnl"/>
        </w:rPr>
        <w:t xml:space="preserve">mica por no haber podido trabajar en su local desde el 31 de enero de 2010 </w:t>
      </w:r>
      <w:r>
        <w:rPr>
          <w:spacing w:val="-9"/>
          <w:sz w:val="18"/>
          <w:szCs w:val="18"/>
          <w:lang w:val="es-ES_tradnl"/>
        </w:rPr>
        <w:t>hasta la fecha en la que se le permiti</w:t>
      </w:r>
      <w:r>
        <w:rPr>
          <w:rFonts w:cs="Times New Roman"/>
          <w:spacing w:val="-9"/>
          <w:sz w:val="18"/>
          <w:szCs w:val="18"/>
          <w:lang w:val="es-ES_tradnl"/>
        </w:rPr>
        <w:t>ó</w:t>
      </w:r>
      <w:r>
        <w:rPr>
          <w:spacing w:val="-9"/>
          <w:sz w:val="18"/>
          <w:szCs w:val="18"/>
          <w:lang w:val="es-ES_tradnl"/>
        </w:rPr>
        <w:t xml:space="preserve"> volver a trabajar en el </w:t>
      </w:r>
      <w:r>
        <w:rPr>
          <w:sz w:val="18"/>
          <w:szCs w:val="18"/>
          <w:lang w:val="es-ES_tradnl"/>
        </w:rPr>
        <w:t>Centro Comercial Paltense.</w:t>
      </w:r>
    </w:p>
    <w:p w14:paraId="4F67AA8B" w14:textId="77777777" w:rsidR="00591D54" w:rsidRDefault="00591D54">
      <w:pPr>
        <w:shd w:val="clear" w:color="auto" w:fill="FFFFFF"/>
        <w:spacing w:before="197" w:line="216" w:lineRule="exact"/>
        <w:ind w:right="5"/>
        <w:jc w:val="both"/>
      </w:pPr>
      <w:r>
        <w:rPr>
          <w:spacing w:val="-9"/>
          <w:sz w:val="18"/>
          <w:szCs w:val="18"/>
          <w:lang w:val="es-ES_tradnl"/>
        </w:rPr>
        <w:t>Para que la ejecuci</w:t>
      </w:r>
      <w:r>
        <w:rPr>
          <w:rFonts w:cs="Times New Roman"/>
          <w:spacing w:val="-9"/>
          <w:sz w:val="18"/>
          <w:szCs w:val="18"/>
          <w:lang w:val="es-ES_tradnl"/>
        </w:rPr>
        <w:t>ó</w:t>
      </w:r>
      <w:r>
        <w:rPr>
          <w:spacing w:val="-9"/>
          <w:sz w:val="18"/>
          <w:szCs w:val="18"/>
          <w:lang w:val="es-ES_tradnl"/>
        </w:rPr>
        <w:t xml:space="preserve">n de la sentencia sea considera eficaz, </w:t>
      </w:r>
      <w:r>
        <w:rPr>
          <w:spacing w:val="-6"/>
          <w:sz w:val="18"/>
          <w:szCs w:val="18"/>
          <w:lang w:val="es-ES_tradnl"/>
        </w:rPr>
        <w:t>es indispensable determinar las medidas espec</w:t>
      </w:r>
      <w:r>
        <w:rPr>
          <w:rFonts w:cs="Times New Roman"/>
          <w:spacing w:val="-6"/>
          <w:sz w:val="18"/>
          <w:szCs w:val="18"/>
          <w:lang w:val="es-ES_tradnl"/>
        </w:rPr>
        <w:t>í</w:t>
      </w:r>
      <w:r>
        <w:rPr>
          <w:spacing w:val="-6"/>
          <w:sz w:val="18"/>
          <w:szCs w:val="18"/>
          <w:lang w:val="es-ES_tradnl"/>
        </w:rPr>
        <w:t xml:space="preserve">ficas </w:t>
      </w:r>
      <w:r>
        <w:rPr>
          <w:spacing w:val="-4"/>
          <w:sz w:val="18"/>
          <w:szCs w:val="18"/>
          <w:lang w:val="es-ES_tradnl"/>
        </w:rPr>
        <w:t>ordenadas por los jueces de apelaci</w:t>
      </w:r>
      <w:r>
        <w:rPr>
          <w:rFonts w:cs="Times New Roman"/>
          <w:spacing w:val="-4"/>
          <w:sz w:val="18"/>
          <w:szCs w:val="18"/>
          <w:lang w:val="es-ES_tradnl"/>
        </w:rPr>
        <w:t>ó</w:t>
      </w:r>
      <w:r>
        <w:rPr>
          <w:spacing w:val="-4"/>
          <w:sz w:val="18"/>
          <w:szCs w:val="18"/>
          <w:lang w:val="es-ES_tradnl"/>
        </w:rPr>
        <w:t xml:space="preserve">n con el objeto de </w:t>
      </w:r>
      <w:r>
        <w:rPr>
          <w:spacing w:val="-3"/>
          <w:sz w:val="18"/>
          <w:szCs w:val="18"/>
          <w:lang w:val="es-ES_tradnl"/>
        </w:rPr>
        <w:t xml:space="preserve">que este Organismo pueda, de forma posterior, realizar </w:t>
      </w:r>
      <w:r>
        <w:rPr>
          <w:spacing w:val="-6"/>
          <w:sz w:val="18"/>
          <w:szCs w:val="18"/>
          <w:lang w:val="es-ES_tradnl"/>
        </w:rPr>
        <w:t xml:space="preserve">el seguimiento al cumplimiento de dichas resoluciones, </w:t>
      </w:r>
      <w:r>
        <w:rPr>
          <w:spacing w:val="-9"/>
          <w:sz w:val="18"/>
          <w:szCs w:val="18"/>
          <w:lang w:val="es-ES_tradnl"/>
        </w:rPr>
        <w:t>pretendiendo subsanar el da</w:t>
      </w:r>
      <w:r>
        <w:rPr>
          <w:rFonts w:cs="Times New Roman"/>
          <w:spacing w:val="-9"/>
          <w:sz w:val="18"/>
          <w:szCs w:val="18"/>
          <w:lang w:val="es-ES_tradnl"/>
        </w:rPr>
        <w:t>ñ</w:t>
      </w:r>
      <w:r>
        <w:rPr>
          <w:spacing w:val="-9"/>
          <w:sz w:val="18"/>
          <w:szCs w:val="18"/>
          <w:lang w:val="es-ES_tradnl"/>
        </w:rPr>
        <w:t>o ocasionado.</w:t>
      </w:r>
    </w:p>
    <w:p w14:paraId="4F67AA8C" w14:textId="77777777" w:rsidR="00591D54" w:rsidRDefault="00591D54">
      <w:pPr>
        <w:shd w:val="clear" w:color="auto" w:fill="FFFFFF"/>
        <w:spacing w:before="197" w:line="216" w:lineRule="exact"/>
        <w:ind w:right="5"/>
        <w:jc w:val="both"/>
      </w:pPr>
      <w:r>
        <w:rPr>
          <w:spacing w:val="-9"/>
          <w:sz w:val="18"/>
          <w:szCs w:val="18"/>
          <w:lang w:val="es-ES_tradnl"/>
        </w:rPr>
        <w:t>Las medidas de reparaci</w:t>
      </w:r>
      <w:r>
        <w:rPr>
          <w:rFonts w:cs="Times New Roman"/>
          <w:spacing w:val="-9"/>
          <w:sz w:val="18"/>
          <w:szCs w:val="18"/>
          <w:lang w:val="es-ES_tradnl"/>
        </w:rPr>
        <w:t>ó</w:t>
      </w:r>
      <w:r>
        <w:rPr>
          <w:spacing w:val="-9"/>
          <w:sz w:val="18"/>
          <w:szCs w:val="18"/>
          <w:lang w:val="es-ES_tradnl"/>
        </w:rPr>
        <w:t>n en el caso sub j</w:t>
      </w:r>
      <w:r>
        <w:rPr>
          <w:rFonts w:cs="Times New Roman"/>
          <w:spacing w:val="-9"/>
          <w:sz w:val="18"/>
          <w:szCs w:val="18"/>
          <w:lang w:val="es-ES_tradnl"/>
        </w:rPr>
        <w:t>ú</w:t>
      </w:r>
      <w:r>
        <w:rPr>
          <w:spacing w:val="-9"/>
          <w:sz w:val="18"/>
          <w:szCs w:val="18"/>
          <w:lang w:val="es-ES_tradnl"/>
        </w:rPr>
        <w:t xml:space="preserve">dice deben ser </w:t>
      </w:r>
      <w:r>
        <w:rPr>
          <w:spacing w:val="-11"/>
          <w:sz w:val="18"/>
          <w:szCs w:val="18"/>
          <w:lang w:val="es-ES_tradnl"/>
        </w:rPr>
        <w:t xml:space="preserve">analizadas desde dos perspectivas: la primera respecto de la </w:t>
      </w:r>
      <w:r>
        <w:rPr>
          <w:spacing w:val="-7"/>
          <w:sz w:val="18"/>
          <w:szCs w:val="18"/>
          <w:lang w:val="es-ES_tradnl"/>
        </w:rPr>
        <w:t>determinaci</w:t>
      </w:r>
      <w:r>
        <w:rPr>
          <w:rFonts w:cs="Times New Roman"/>
          <w:spacing w:val="-7"/>
          <w:sz w:val="18"/>
          <w:szCs w:val="18"/>
          <w:lang w:val="es-ES_tradnl"/>
        </w:rPr>
        <w:t>ó</w:t>
      </w:r>
      <w:r>
        <w:rPr>
          <w:spacing w:val="-7"/>
          <w:sz w:val="18"/>
          <w:szCs w:val="18"/>
          <w:lang w:val="es-ES_tradnl"/>
        </w:rPr>
        <w:t xml:space="preserve">n del tiempo en el que la accionante no pudo </w:t>
      </w:r>
      <w:r>
        <w:rPr>
          <w:spacing w:val="-10"/>
          <w:sz w:val="18"/>
          <w:szCs w:val="18"/>
          <w:lang w:val="es-ES_tradnl"/>
        </w:rPr>
        <w:t>trabajar en mercado; y la segunda respecto de la reparaci</w:t>
      </w:r>
      <w:r>
        <w:rPr>
          <w:rFonts w:cs="Times New Roman"/>
          <w:spacing w:val="-10"/>
          <w:sz w:val="18"/>
          <w:szCs w:val="18"/>
          <w:lang w:val="es-ES_tradnl"/>
        </w:rPr>
        <w:t>ó</w:t>
      </w:r>
      <w:r>
        <w:rPr>
          <w:spacing w:val="-10"/>
          <w:sz w:val="18"/>
          <w:szCs w:val="18"/>
          <w:lang w:val="es-ES_tradnl"/>
        </w:rPr>
        <w:t xml:space="preserve">n </w:t>
      </w:r>
      <w:r>
        <w:rPr>
          <w:spacing w:val="-7"/>
          <w:sz w:val="18"/>
          <w:szCs w:val="18"/>
          <w:lang w:val="es-ES_tradnl"/>
        </w:rPr>
        <w:t>econ</w:t>
      </w:r>
      <w:r>
        <w:rPr>
          <w:rFonts w:cs="Times New Roman"/>
          <w:spacing w:val="-7"/>
          <w:sz w:val="18"/>
          <w:szCs w:val="18"/>
          <w:lang w:val="es-ES_tradnl"/>
        </w:rPr>
        <w:t>ó</w:t>
      </w:r>
      <w:r>
        <w:rPr>
          <w:spacing w:val="-7"/>
          <w:sz w:val="18"/>
          <w:szCs w:val="18"/>
          <w:lang w:val="es-ES_tradnl"/>
        </w:rPr>
        <w:t>mica que deb</w:t>
      </w:r>
      <w:r>
        <w:rPr>
          <w:rFonts w:cs="Times New Roman"/>
          <w:spacing w:val="-7"/>
          <w:sz w:val="18"/>
          <w:szCs w:val="18"/>
          <w:lang w:val="es-ES_tradnl"/>
        </w:rPr>
        <w:t>í</w:t>
      </w:r>
      <w:r>
        <w:rPr>
          <w:spacing w:val="-7"/>
          <w:sz w:val="18"/>
          <w:szCs w:val="18"/>
          <w:lang w:val="es-ES_tradnl"/>
        </w:rPr>
        <w:t>a percibir la legitimada activa.</w:t>
      </w:r>
    </w:p>
    <w:p w14:paraId="4F67AA8D" w14:textId="77777777" w:rsidR="00591D54" w:rsidRDefault="00591D54">
      <w:pPr>
        <w:shd w:val="clear" w:color="auto" w:fill="FFFFFF"/>
        <w:spacing w:before="192" w:line="216" w:lineRule="exact"/>
        <w:ind w:right="5"/>
        <w:jc w:val="both"/>
      </w:pPr>
      <w:r>
        <w:rPr>
          <w:spacing w:val="-8"/>
          <w:sz w:val="18"/>
          <w:szCs w:val="18"/>
          <w:lang w:val="es-ES_tradnl"/>
        </w:rPr>
        <w:t>En este orden de ideas, respecto del primer elemento, esto es, la determinaci</w:t>
      </w:r>
      <w:r>
        <w:rPr>
          <w:rFonts w:cs="Times New Roman"/>
          <w:spacing w:val="-8"/>
          <w:sz w:val="18"/>
          <w:szCs w:val="18"/>
          <w:lang w:val="es-ES_tradnl"/>
        </w:rPr>
        <w:t>ó</w:t>
      </w:r>
      <w:r>
        <w:rPr>
          <w:spacing w:val="-8"/>
          <w:sz w:val="18"/>
          <w:szCs w:val="18"/>
          <w:lang w:val="es-ES_tradnl"/>
        </w:rPr>
        <w:t xml:space="preserve">n del tiempo en el que la accionante no </w:t>
      </w:r>
      <w:r>
        <w:rPr>
          <w:spacing w:val="-9"/>
          <w:sz w:val="18"/>
          <w:szCs w:val="18"/>
          <w:lang w:val="es-ES_tradnl"/>
        </w:rPr>
        <w:t xml:space="preserve">pudo trabajar en el mercado desde el 31 de enero de 2010 </w:t>
      </w:r>
      <w:r>
        <w:rPr>
          <w:spacing w:val="-6"/>
          <w:sz w:val="18"/>
          <w:szCs w:val="18"/>
          <w:lang w:val="es-ES_tradnl"/>
        </w:rPr>
        <w:t>hasta la fecha en la que se le permiti</w:t>
      </w:r>
      <w:r>
        <w:rPr>
          <w:rFonts w:cs="Times New Roman"/>
          <w:spacing w:val="-6"/>
          <w:sz w:val="18"/>
          <w:szCs w:val="18"/>
          <w:lang w:val="es-ES_tradnl"/>
        </w:rPr>
        <w:t>ó</w:t>
      </w:r>
      <w:r>
        <w:rPr>
          <w:spacing w:val="-6"/>
          <w:sz w:val="18"/>
          <w:szCs w:val="18"/>
          <w:lang w:val="es-ES_tradnl"/>
        </w:rPr>
        <w:t xml:space="preserve"> volver a trabajar en </w:t>
      </w:r>
      <w:r>
        <w:rPr>
          <w:spacing w:val="-9"/>
          <w:sz w:val="18"/>
          <w:szCs w:val="18"/>
          <w:lang w:val="es-ES_tradnl"/>
        </w:rPr>
        <w:t xml:space="preserve">el Centro Comercial Paltense, resulta necesario analizar los </w:t>
      </w:r>
      <w:r>
        <w:rPr>
          <w:sz w:val="18"/>
          <w:szCs w:val="18"/>
          <w:lang w:val="es-ES_tradnl"/>
        </w:rPr>
        <w:t>siguientes documentos:</w:t>
      </w:r>
    </w:p>
    <w:p w14:paraId="4F67AA8E" w14:textId="77777777" w:rsidR="00591D54" w:rsidRDefault="00591D54">
      <w:pPr>
        <w:shd w:val="clear" w:color="auto" w:fill="FFFFFF"/>
        <w:spacing w:before="192" w:line="216" w:lineRule="exact"/>
        <w:ind w:right="5"/>
        <w:jc w:val="both"/>
      </w:pPr>
      <w:r>
        <w:rPr>
          <w:spacing w:val="-9"/>
          <w:sz w:val="18"/>
          <w:szCs w:val="18"/>
          <w:lang w:val="es-ES_tradnl"/>
        </w:rPr>
        <w:t xml:space="preserve">A fojas 33 del expediente de anexos se desprende que de conformidad al registro de matanza de ganado por mayor o </w:t>
      </w:r>
      <w:r>
        <w:rPr>
          <w:spacing w:val="-8"/>
          <w:sz w:val="18"/>
          <w:szCs w:val="18"/>
          <w:lang w:val="es-ES_tradnl"/>
        </w:rPr>
        <w:t xml:space="preserve">menor, el </w:t>
      </w:r>
      <w:r>
        <w:rPr>
          <w:rFonts w:cs="Times New Roman"/>
          <w:spacing w:val="-8"/>
          <w:sz w:val="18"/>
          <w:szCs w:val="18"/>
          <w:lang w:val="es-ES_tradnl"/>
        </w:rPr>
        <w:t>ú</w:t>
      </w:r>
      <w:r>
        <w:rPr>
          <w:spacing w:val="-8"/>
          <w:sz w:val="18"/>
          <w:szCs w:val="18"/>
          <w:lang w:val="es-ES_tradnl"/>
        </w:rPr>
        <w:t xml:space="preserve">ltimo pago correspondiente al mes de enero de </w:t>
      </w:r>
      <w:r>
        <w:rPr>
          <w:spacing w:val="-10"/>
          <w:sz w:val="18"/>
          <w:szCs w:val="18"/>
          <w:lang w:val="es-ES_tradnl"/>
        </w:rPr>
        <w:t>2010 fue realizado el 08 de enero de ese a</w:t>
      </w:r>
      <w:r>
        <w:rPr>
          <w:rFonts w:cs="Times New Roman"/>
          <w:spacing w:val="-10"/>
          <w:sz w:val="18"/>
          <w:szCs w:val="18"/>
          <w:lang w:val="es-ES_tradnl"/>
        </w:rPr>
        <w:t>ñ</w:t>
      </w:r>
      <w:r>
        <w:rPr>
          <w:spacing w:val="-10"/>
          <w:sz w:val="18"/>
          <w:szCs w:val="18"/>
          <w:lang w:val="es-ES_tradnl"/>
        </w:rPr>
        <w:t>o con el n</w:t>
      </w:r>
      <w:r>
        <w:rPr>
          <w:rFonts w:cs="Times New Roman"/>
          <w:spacing w:val="-10"/>
          <w:sz w:val="18"/>
          <w:szCs w:val="18"/>
          <w:lang w:val="es-ES_tradnl"/>
        </w:rPr>
        <w:t>ú</w:t>
      </w:r>
      <w:r>
        <w:rPr>
          <w:spacing w:val="-10"/>
          <w:sz w:val="18"/>
          <w:szCs w:val="18"/>
          <w:lang w:val="es-ES_tradnl"/>
        </w:rPr>
        <w:t xml:space="preserve">mero </w:t>
      </w:r>
      <w:r>
        <w:rPr>
          <w:spacing w:val="-5"/>
          <w:sz w:val="18"/>
          <w:szCs w:val="18"/>
          <w:lang w:val="es-ES_tradnl"/>
        </w:rPr>
        <w:t>de registro 025706, y retorn</w:t>
      </w:r>
      <w:r>
        <w:rPr>
          <w:rFonts w:cs="Times New Roman"/>
          <w:spacing w:val="-5"/>
          <w:sz w:val="18"/>
          <w:szCs w:val="18"/>
          <w:lang w:val="es-ES_tradnl"/>
        </w:rPr>
        <w:t>ó</w:t>
      </w:r>
      <w:r>
        <w:rPr>
          <w:spacing w:val="-5"/>
          <w:sz w:val="18"/>
          <w:szCs w:val="18"/>
          <w:lang w:val="es-ES_tradnl"/>
        </w:rPr>
        <w:t xml:space="preserve"> a sus actividades normales </w:t>
      </w:r>
      <w:r>
        <w:rPr>
          <w:spacing w:val="-2"/>
          <w:sz w:val="18"/>
          <w:szCs w:val="18"/>
          <w:lang w:val="es-ES_tradnl"/>
        </w:rPr>
        <w:t>la se</w:t>
      </w:r>
      <w:r>
        <w:rPr>
          <w:rFonts w:cs="Times New Roman"/>
          <w:spacing w:val="-2"/>
          <w:sz w:val="18"/>
          <w:szCs w:val="18"/>
          <w:lang w:val="es-ES_tradnl"/>
        </w:rPr>
        <w:t>ñ</w:t>
      </w:r>
      <w:r>
        <w:rPr>
          <w:spacing w:val="-2"/>
          <w:sz w:val="18"/>
          <w:szCs w:val="18"/>
          <w:lang w:val="es-ES_tradnl"/>
        </w:rPr>
        <w:t>ora Herlinda Cris</w:t>
      </w:r>
      <w:r>
        <w:rPr>
          <w:rFonts w:cs="Times New Roman"/>
          <w:spacing w:val="-2"/>
          <w:sz w:val="18"/>
          <w:szCs w:val="18"/>
          <w:lang w:val="es-ES_tradnl"/>
        </w:rPr>
        <w:t>á</w:t>
      </w:r>
      <w:r>
        <w:rPr>
          <w:spacing w:val="-2"/>
          <w:sz w:val="18"/>
          <w:szCs w:val="18"/>
          <w:lang w:val="es-ES_tradnl"/>
        </w:rPr>
        <w:t xml:space="preserve">lida Armijos Tinoco a partir del </w:t>
      </w:r>
      <w:r>
        <w:rPr>
          <w:spacing w:val="-8"/>
          <w:sz w:val="18"/>
          <w:szCs w:val="18"/>
          <w:lang w:val="es-ES_tradnl"/>
        </w:rPr>
        <w:t xml:space="preserve">23 de febrero de 2010, conforme se desprende del registro </w:t>
      </w:r>
      <w:r>
        <w:rPr>
          <w:spacing w:val="-7"/>
          <w:sz w:val="18"/>
          <w:szCs w:val="18"/>
          <w:lang w:val="es-ES_tradnl"/>
        </w:rPr>
        <w:t>n</w:t>
      </w:r>
      <w:r>
        <w:rPr>
          <w:rFonts w:cs="Times New Roman"/>
          <w:spacing w:val="-7"/>
          <w:sz w:val="18"/>
          <w:szCs w:val="18"/>
          <w:lang w:val="es-ES_tradnl"/>
        </w:rPr>
        <w:t>ú</w:t>
      </w:r>
      <w:r>
        <w:rPr>
          <w:spacing w:val="-7"/>
          <w:sz w:val="18"/>
          <w:szCs w:val="18"/>
          <w:lang w:val="es-ES_tradnl"/>
        </w:rPr>
        <w:t xml:space="preserve">mero 026454, siendo posterior a la fecha en la que se </w:t>
      </w:r>
      <w:r>
        <w:rPr>
          <w:spacing w:val="-8"/>
          <w:sz w:val="18"/>
          <w:szCs w:val="18"/>
          <w:lang w:val="es-ES_tradnl"/>
        </w:rPr>
        <w:t>emiti</w:t>
      </w:r>
      <w:r>
        <w:rPr>
          <w:rFonts w:cs="Times New Roman"/>
          <w:spacing w:val="-8"/>
          <w:sz w:val="18"/>
          <w:szCs w:val="18"/>
          <w:lang w:val="es-ES_tradnl"/>
        </w:rPr>
        <w:t>ó</w:t>
      </w:r>
      <w:r>
        <w:rPr>
          <w:spacing w:val="-8"/>
          <w:sz w:val="18"/>
          <w:szCs w:val="18"/>
          <w:lang w:val="es-ES_tradnl"/>
        </w:rPr>
        <w:t xml:space="preserve"> el fallo de primera instancia, que fue el 02 de febrero </w:t>
      </w:r>
      <w:r>
        <w:rPr>
          <w:sz w:val="18"/>
          <w:szCs w:val="18"/>
          <w:lang w:val="es-ES_tradnl"/>
        </w:rPr>
        <w:t>de 2010 a las 17h00.</w:t>
      </w:r>
    </w:p>
    <w:p w14:paraId="4F67AA8F" w14:textId="77777777" w:rsidR="00591D54" w:rsidRDefault="00591D54">
      <w:pPr>
        <w:shd w:val="clear" w:color="auto" w:fill="FFFFFF"/>
        <w:spacing w:before="192" w:line="216" w:lineRule="exact"/>
        <w:ind w:right="5"/>
        <w:jc w:val="both"/>
      </w:pPr>
      <w:r>
        <w:rPr>
          <w:spacing w:val="-3"/>
          <w:sz w:val="18"/>
          <w:szCs w:val="18"/>
          <w:lang w:val="es-ES_tradnl"/>
        </w:rPr>
        <w:t xml:space="preserve">Las consideraciones antes anotadas permiten concluir </w:t>
      </w:r>
      <w:r>
        <w:rPr>
          <w:spacing w:val="-2"/>
          <w:sz w:val="18"/>
          <w:szCs w:val="18"/>
          <w:lang w:val="es-ES_tradnl"/>
        </w:rPr>
        <w:t>que el tiempo en el que la legitimada activa no realiz</w:t>
      </w:r>
      <w:r>
        <w:rPr>
          <w:rFonts w:cs="Times New Roman"/>
          <w:spacing w:val="-2"/>
          <w:sz w:val="18"/>
          <w:szCs w:val="18"/>
          <w:lang w:val="es-ES_tradnl"/>
        </w:rPr>
        <w:t xml:space="preserve">ó </w:t>
      </w:r>
      <w:r>
        <w:rPr>
          <w:spacing w:val="-6"/>
          <w:sz w:val="18"/>
          <w:szCs w:val="18"/>
          <w:lang w:val="es-ES_tradnl"/>
        </w:rPr>
        <w:t>sus actividades comerciales en el local N.</w:t>
      </w:r>
      <w:r>
        <w:rPr>
          <w:rFonts w:cs="Times New Roman"/>
          <w:spacing w:val="-6"/>
          <w:sz w:val="18"/>
          <w:szCs w:val="18"/>
          <w:lang w:val="es-ES_tradnl"/>
        </w:rPr>
        <w:t>º</w:t>
      </w:r>
      <w:r>
        <w:rPr>
          <w:spacing w:val="-6"/>
          <w:sz w:val="18"/>
          <w:szCs w:val="18"/>
          <w:lang w:val="es-ES_tradnl"/>
        </w:rPr>
        <w:t xml:space="preserve"> 20 del Centro </w:t>
      </w:r>
      <w:r>
        <w:rPr>
          <w:sz w:val="18"/>
          <w:szCs w:val="18"/>
          <w:lang w:val="es-ES_tradnl"/>
        </w:rPr>
        <w:t xml:space="preserve">Comercial Paltense estuvo comprendido desde el 31 </w:t>
      </w:r>
      <w:r>
        <w:rPr>
          <w:spacing w:val="-2"/>
          <w:sz w:val="18"/>
          <w:szCs w:val="18"/>
          <w:lang w:val="es-ES_tradnl"/>
        </w:rPr>
        <w:t>de enero al 23 de febrero de 2010, siendo 23 d</w:t>
      </w:r>
      <w:r>
        <w:rPr>
          <w:rFonts w:cs="Times New Roman"/>
          <w:spacing w:val="-2"/>
          <w:sz w:val="18"/>
          <w:szCs w:val="18"/>
          <w:lang w:val="es-ES_tradnl"/>
        </w:rPr>
        <w:t>í</w:t>
      </w:r>
      <w:r>
        <w:rPr>
          <w:spacing w:val="-2"/>
          <w:sz w:val="18"/>
          <w:szCs w:val="18"/>
          <w:lang w:val="es-ES_tradnl"/>
        </w:rPr>
        <w:t xml:space="preserve">as los </w:t>
      </w:r>
      <w:r>
        <w:rPr>
          <w:spacing w:val="-9"/>
          <w:sz w:val="18"/>
          <w:szCs w:val="18"/>
          <w:lang w:val="es-ES_tradnl"/>
        </w:rPr>
        <w:t>que deber</w:t>
      </w:r>
      <w:r>
        <w:rPr>
          <w:rFonts w:cs="Times New Roman"/>
          <w:spacing w:val="-9"/>
          <w:sz w:val="18"/>
          <w:szCs w:val="18"/>
          <w:lang w:val="es-ES_tradnl"/>
        </w:rPr>
        <w:t>á</w:t>
      </w:r>
      <w:r>
        <w:rPr>
          <w:spacing w:val="-9"/>
          <w:sz w:val="18"/>
          <w:szCs w:val="18"/>
          <w:lang w:val="es-ES_tradnl"/>
        </w:rPr>
        <w:t xml:space="preserve">n ser tomados en cuenta a fin de establecer la </w:t>
      </w:r>
      <w:r>
        <w:rPr>
          <w:spacing w:val="-7"/>
          <w:sz w:val="18"/>
          <w:szCs w:val="18"/>
          <w:lang w:val="es-ES_tradnl"/>
        </w:rPr>
        <w:t>cuantificaci</w:t>
      </w:r>
      <w:r>
        <w:rPr>
          <w:rFonts w:cs="Times New Roman"/>
          <w:spacing w:val="-7"/>
          <w:sz w:val="18"/>
          <w:szCs w:val="18"/>
          <w:lang w:val="es-ES_tradnl"/>
        </w:rPr>
        <w:t>ó</w:t>
      </w:r>
      <w:r>
        <w:rPr>
          <w:spacing w:val="-7"/>
          <w:sz w:val="18"/>
          <w:szCs w:val="18"/>
          <w:lang w:val="es-ES_tradnl"/>
        </w:rPr>
        <w:t>n de la indemnizaci</w:t>
      </w:r>
      <w:r>
        <w:rPr>
          <w:rFonts w:cs="Times New Roman"/>
          <w:spacing w:val="-7"/>
          <w:sz w:val="18"/>
          <w:szCs w:val="18"/>
          <w:lang w:val="es-ES_tradnl"/>
        </w:rPr>
        <w:t>ó</w:t>
      </w:r>
      <w:r>
        <w:rPr>
          <w:spacing w:val="-7"/>
          <w:sz w:val="18"/>
          <w:szCs w:val="18"/>
          <w:lang w:val="es-ES_tradnl"/>
        </w:rPr>
        <w:t>n econ</w:t>
      </w:r>
      <w:r>
        <w:rPr>
          <w:rFonts w:cs="Times New Roman"/>
          <w:spacing w:val="-7"/>
          <w:sz w:val="18"/>
          <w:szCs w:val="18"/>
          <w:lang w:val="es-ES_tradnl"/>
        </w:rPr>
        <w:t>ó</w:t>
      </w:r>
      <w:r>
        <w:rPr>
          <w:spacing w:val="-7"/>
          <w:sz w:val="18"/>
          <w:szCs w:val="18"/>
          <w:lang w:val="es-ES_tradnl"/>
        </w:rPr>
        <w:t>mica.</w:t>
      </w:r>
    </w:p>
    <w:p w14:paraId="4F67AA90" w14:textId="77777777" w:rsidR="00591D54" w:rsidRDefault="00591D54">
      <w:pPr>
        <w:shd w:val="clear" w:color="auto" w:fill="FFFFFF"/>
        <w:spacing w:before="192" w:line="216" w:lineRule="exact"/>
        <w:jc w:val="both"/>
      </w:pPr>
      <w:r>
        <w:rPr>
          <w:spacing w:val="-8"/>
          <w:sz w:val="18"/>
          <w:szCs w:val="18"/>
          <w:lang w:val="es-ES_tradnl"/>
        </w:rPr>
        <w:t>Respecto del segundo par</w:t>
      </w:r>
      <w:r>
        <w:rPr>
          <w:rFonts w:cs="Times New Roman"/>
          <w:spacing w:val="-8"/>
          <w:sz w:val="18"/>
          <w:szCs w:val="18"/>
          <w:lang w:val="es-ES_tradnl"/>
        </w:rPr>
        <w:t>á</w:t>
      </w:r>
      <w:r>
        <w:rPr>
          <w:spacing w:val="-8"/>
          <w:sz w:val="18"/>
          <w:szCs w:val="18"/>
          <w:lang w:val="es-ES_tradnl"/>
        </w:rPr>
        <w:t>metro, esto es, la reparaci</w:t>
      </w:r>
      <w:r>
        <w:rPr>
          <w:rFonts w:cs="Times New Roman"/>
          <w:spacing w:val="-8"/>
          <w:sz w:val="18"/>
          <w:szCs w:val="18"/>
          <w:lang w:val="es-ES_tradnl"/>
        </w:rPr>
        <w:t>ó</w:t>
      </w:r>
      <w:r>
        <w:rPr>
          <w:spacing w:val="-8"/>
          <w:sz w:val="18"/>
          <w:szCs w:val="18"/>
          <w:lang w:val="es-ES_tradnl"/>
        </w:rPr>
        <w:t xml:space="preserve">n </w:t>
      </w:r>
      <w:r>
        <w:rPr>
          <w:spacing w:val="-10"/>
          <w:sz w:val="18"/>
          <w:szCs w:val="18"/>
          <w:lang w:val="es-ES_tradnl"/>
        </w:rPr>
        <w:t>econ</w:t>
      </w:r>
      <w:r>
        <w:rPr>
          <w:rFonts w:cs="Times New Roman"/>
          <w:spacing w:val="-10"/>
          <w:sz w:val="18"/>
          <w:szCs w:val="18"/>
          <w:lang w:val="es-ES_tradnl"/>
        </w:rPr>
        <w:t>ó</w:t>
      </w:r>
      <w:r>
        <w:rPr>
          <w:spacing w:val="-10"/>
          <w:sz w:val="18"/>
          <w:szCs w:val="18"/>
          <w:lang w:val="es-ES_tradnl"/>
        </w:rPr>
        <w:t>mica que deb</w:t>
      </w:r>
      <w:r>
        <w:rPr>
          <w:rFonts w:cs="Times New Roman"/>
          <w:spacing w:val="-10"/>
          <w:sz w:val="18"/>
          <w:szCs w:val="18"/>
          <w:lang w:val="es-ES_tradnl"/>
        </w:rPr>
        <w:t>í</w:t>
      </w:r>
      <w:r>
        <w:rPr>
          <w:spacing w:val="-10"/>
          <w:sz w:val="18"/>
          <w:szCs w:val="18"/>
          <w:lang w:val="es-ES_tradnl"/>
        </w:rPr>
        <w:t xml:space="preserve">a percibir la accionante en cumplimiento </w:t>
      </w:r>
      <w:r>
        <w:rPr>
          <w:spacing w:val="-6"/>
          <w:sz w:val="18"/>
          <w:szCs w:val="18"/>
          <w:lang w:val="es-ES_tradnl"/>
        </w:rPr>
        <w:t>a lo dispuesto en el art</w:t>
      </w:r>
      <w:r>
        <w:rPr>
          <w:rFonts w:cs="Times New Roman"/>
          <w:spacing w:val="-6"/>
          <w:sz w:val="18"/>
          <w:szCs w:val="18"/>
          <w:lang w:val="es-ES_tradnl"/>
        </w:rPr>
        <w:t>í</w:t>
      </w:r>
      <w:r>
        <w:rPr>
          <w:spacing w:val="-6"/>
          <w:sz w:val="18"/>
          <w:szCs w:val="18"/>
          <w:lang w:val="es-ES_tradnl"/>
        </w:rPr>
        <w:t>culo 19 de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Control Constitucional que </w:t>
      </w:r>
      <w:r>
        <w:rPr>
          <w:sz w:val="18"/>
          <w:szCs w:val="18"/>
          <w:lang w:val="es-ES_tradnl"/>
        </w:rPr>
        <w:t>establece:</w:t>
      </w:r>
    </w:p>
    <w:p w14:paraId="4F67AA91" w14:textId="77777777" w:rsidR="00591D54" w:rsidRDefault="00591D54">
      <w:pPr>
        <w:shd w:val="clear" w:color="auto" w:fill="FFFFFF"/>
        <w:spacing w:before="206" w:line="216" w:lineRule="exact"/>
        <w:ind w:left="283" w:right="5"/>
        <w:jc w:val="both"/>
      </w:pPr>
      <w:r>
        <w:rPr>
          <w:spacing w:val="-6"/>
          <w:sz w:val="16"/>
          <w:szCs w:val="16"/>
          <w:lang w:val="es-ES_tradnl"/>
        </w:rPr>
        <w:t>Reparaci</w:t>
      </w:r>
      <w:r>
        <w:rPr>
          <w:rFonts w:cs="Times New Roman"/>
          <w:spacing w:val="-6"/>
          <w:sz w:val="16"/>
          <w:szCs w:val="16"/>
          <w:lang w:val="es-ES_tradnl"/>
        </w:rPr>
        <w:t>ó</w:t>
      </w:r>
      <w:r>
        <w:rPr>
          <w:spacing w:val="-6"/>
          <w:sz w:val="16"/>
          <w:szCs w:val="16"/>
          <w:lang w:val="es-ES_tradnl"/>
        </w:rPr>
        <w:t>n econ</w:t>
      </w:r>
      <w:r>
        <w:rPr>
          <w:rFonts w:cs="Times New Roman"/>
          <w:spacing w:val="-6"/>
          <w:sz w:val="16"/>
          <w:szCs w:val="16"/>
          <w:lang w:val="es-ES_tradnl"/>
        </w:rPr>
        <w:t>ó</w:t>
      </w:r>
      <w:r>
        <w:rPr>
          <w:spacing w:val="-6"/>
          <w:sz w:val="16"/>
          <w:szCs w:val="16"/>
          <w:lang w:val="es-ES_tradnl"/>
        </w:rPr>
        <w:t>mica.- Cuando parte de la reparaci</w:t>
      </w:r>
      <w:r>
        <w:rPr>
          <w:rFonts w:cs="Times New Roman"/>
          <w:spacing w:val="-6"/>
          <w:sz w:val="16"/>
          <w:szCs w:val="16"/>
          <w:lang w:val="es-ES_tradnl"/>
        </w:rPr>
        <w:t>ó</w:t>
      </w:r>
      <w:r>
        <w:rPr>
          <w:spacing w:val="-6"/>
          <w:sz w:val="16"/>
          <w:szCs w:val="16"/>
          <w:lang w:val="es-ES_tradnl"/>
        </w:rPr>
        <w:t>n, por cualquier motivo, implique pago en dinero al afectado o titular del derecho violado, la determinaci</w:t>
      </w:r>
      <w:r>
        <w:rPr>
          <w:rFonts w:cs="Times New Roman"/>
          <w:spacing w:val="-6"/>
          <w:sz w:val="16"/>
          <w:szCs w:val="16"/>
          <w:lang w:val="es-ES_tradnl"/>
        </w:rPr>
        <w:t>ó</w:t>
      </w:r>
      <w:r>
        <w:rPr>
          <w:spacing w:val="-6"/>
          <w:sz w:val="16"/>
          <w:szCs w:val="16"/>
          <w:lang w:val="es-ES_tradnl"/>
        </w:rPr>
        <w:t>n del monto se tramitar</w:t>
      </w:r>
      <w:r>
        <w:rPr>
          <w:rFonts w:cs="Times New Roman"/>
          <w:spacing w:val="-6"/>
          <w:sz w:val="16"/>
          <w:szCs w:val="16"/>
          <w:lang w:val="es-ES_tradnl"/>
        </w:rPr>
        <w:t xml:space="preserve">á </w:t>
      </w:r>
      <w:r>
        <w:rPr>
          <w:spacing w:val="-5"/>
          <w:sz w:val="16"/>
          <w:szCs w:val="16"/>
          <w:lang w:val="es-ES_tradnl"/>
        </w:rPr>
        <w:t xml:space="preserve">en juicio verbal sumario ante la misma jueza o juez, si fuere </w:t>
      </w:r>
      <w:r>
        <w:rPr>
          <w:spacing w:val="-6"/>
          <w:sz w:val="16"/>
          <w:szCs w:val="16"/>
          <w:lang w:val="es-ES_tradnl"/>
        </w:rPr>
        <w:t xml:space="preserve">contra un particular; y en </w:t>
      </w:r>
      <w:r>
        <w:rPr>
          <w:b/>
          <w:bCs/>
          <w:spacing w:val="-6"/>
          <w:sz w:val="16"/>
          <w:szCs w:val="16"/>
          <w:lang w:val="es-ES_tradnl"/>
        </w:rPr>
        <w:t xml:space="preserve">juicio contencioso administrativo </w:t>
      </w:r>
      <w:r>
        <w:rPr>
          <w:b/>
          <w:bCs/>
          <w:spacing w:val="-8"/>
          <w:sz w:val="16"/>
          <w:szCs w:val="16"/>
          <w:lang w:val="es-ES_tradnl"/>
        </w:rPr>
        <w:t>si fuere contra el Estado</w:t>
      </w:r>
      <w:r>
        <w:rPr>
          <w:spacing w:val="-8"/>
          <w:sz w:val="16"/>
          <w:szCs w:val="16"/>
          <w:lang w:val="es-ES_tradnl"/>
        </w:rPr>
        <w:t>. Solo podr</w:t>
      </w:r>
      <w:r>
        <w:rPr>
          <w:rFonts w:cs="Times New Roman"/>
          <w:spacing w:val="-8"/>
          <w:sz w:val="16"/>
          <w:szCs w:val="16"/>
          <w:lang w:val="es-ES_tradnl"/>
        </w:rPr>
        <w:t>á</w:t>
      </w:r>
      <w:r>
        <w:rPr>
          <w:spacing w:val="-8"/>
          <w:sz w:val="16"/>
          <w:szCs w:val="16"/>
          <w:lang w:val="es-ES_tradnl"/>
        </w:rPr>
        <w:t xml:space="preserve"> interponerse recurso de </w:t>
      </w:r>
      <w:r>
        <w:rPr>
          <w:spacing w:val="-7"/>
          <w:sz w:val="16"/>
          <w:szCs w:val="16"/>
          <w:lang w:val="es-ES_tradnl"/>
        </w:rPr>
        <w:t>apelaci</w:t>
      </w:r>
      <w:r>
        <w:rPr>
          <w:rFonts w:cs="Times New Roman"/>
          <w:spacing w:val="-7"/>
          <w:sz w:val="16"/>
          <w:szCs w:val="16"/>
          <w:lang w:val="es-ES_tradnl"/>
        </w:rPr>
        <w:t>ó</w:t>
      </w:r>
      <w:r>
        <w:rPr>
          <w:spacing w:val="-7"/>
          <w:sz w:val="16"/>
          <w:szCs w:val="16"/>
          <w:lang w:val="es-ES_tradnl"/>
        </w:rPr>
        <w:t>n en los casos que la ley lo habilite. (</w:t>
      </w:r>
      <w:r>
        <w:rPr>
          <w:rFonts w:cs="Times New Roman"/>
          <w:spacing w:val="-7"/>
          <w:sz w:val="16"/>
          <w:szCs w:val="16"/>
          <w:lang w:val="es-ES_tradnl"/>
        </w:rPr>
        <w:t>É</w:t>
      </w:r>
      <w:r>
        <w:rPr>
          <w:spacing w:val="-7"/>
          <w:sz w:val="16"/>
          <w:szCs w:val="16"/>
          <w:lang w:val="es-ES_tradnl"/>
        </w:rPr>
        <w:t>nfasis a</w:t>
      </w:r>
      <w:r>
        <w:rPr>
          <w:rFonts w:cs="Times New Roman"/>
          <w:spacing w:val="-7"/>
          <w:sz w:val="16"/>
          <w:szCs w:val="16"/>
          <w:lang w:val="es-ES_tradnl"/>
        </w:rPr>
        <w:t>ñ</w:t>
      </w:r>
      <w:r>
        <w:rPr>
          <w:spacing w:val="-7"/>
          <w:sz w:val="16"/>
          <w:szCs w:val="16"/>
          <w:lang w:val="es-ES_tradnl"/>
        </w:rPr>
        <w:t>adido)</w:t>
      </w:r>
    </w:p>
    <w:p w14:paraId="4F67AA92" w14:textId="77777777" w:rsidR="00591D54" w:rsidRDefault="00591D54">
      <w:pPr>
        <w:shd w:val="clear" w:color="auto" w:fill="FFFFFF"/>
        <w:spacing w:before="202" w:line="216" w:lineRule="exact"/>
        <w:ind w:right="5"/>
        <w:jc w:val="both"/>
      </w:pPr>
      <w:r>
        <w:rPr>
          <w:spacing w:val="-6"/>
          <w:sz w:val="18"/>
          <w:szCs w:val="18"/>
          <w:lang w:val="es-ES_tradnl"/>
        </w:rPr>
        <w:t>El mencionado art</w:t>
      </w:r>
      <w:r>
        <w:rPr>
          <w:rFonts w:cs="Times New Roman"/>
          <w:spacing w:val="-6"/>
          <w:sz w:val="18"/>
          <w:szCs w:val="18"/>
          <w:lang w:val="es-ES_tradnl"/>
        </w:rPr>
        <w:t>í</w:t>
      </w:r>
      <w:r>
        <w:rPr>
          <w:spacing w:val="-6"/>
          <w:sz w:val="18"/>
          <w:szCs w:val="18"/>
          <w:lang w:val="es-ES_tradnl"/>
        </w:rPr>
        <w:t xml:space="preserve">culo ha sido analizado en la sentencia </w:t>
      </w:r>
      <w:r>
        <w:rPr>
          <w:spacing w:val="-1"/>
          <w:sz w:val="18"/>
          <w:szCs w:val="18"/>
          <w:lang w:val="es-ES_tradnl"/>
        </w:rPr>
        <w:t>N.</w:t>
      </w:r>
      <w:r>
        <w:rPr>
          <w:rFonts w:cs="Times New Roman"/>
          <w:spacing w:val="-1"/>
          <w:sz w:val="18"/>
          <w:szCs w:val="18"/>
          <w:lang w:val="es-ES_tradnl"/>
        </w:rPr>
        <w:t>º</w:t>
      </w:r>
      <w:r>
        <w:rPr>
          <w:spacing w:val="-1"/>
          <w:sz w:val="18"/>
          <w:szCs w:val="18"/>
          <w:lang w:val="es-ES_tradnl"/>
        </w:rPr>
        <w:t xml:space="preserve"> 004-13-SAN-CC, dentro del caso N.</w:t>
      </w:r>
      <w:r>
        <w:rPr>
          <w:rFonts w:cs="Times New Roman"/>
          <w:spacing w:val="-1"/>
          <w:sz w:val="18"/>
          <w:szCs w:val="18"/>
          <w:lang w:val="es-ES_tradnl"/>
        </w:rPr>
        <w:t>º</w:t>
      </w:r>
      <w:r>
        <w:rPr>
          <w:spacing w:val="-1"/>
          <w:sz w:val="18"/>
          <w:szCs w:val="18"/>
          <w:lang w:val="es-ES_tradnl"/>
        </w:rPr>
        <w:t xml:space="preserve"> 0015-10-AN,</w:t>
      </w:r>
    </w:p>
    <w:p w14:paraId="4F67AA93" w14:textId="77777777" w:rsidR="00591D54" w:rsidRDefault="00591D54">
      <w:pPr>
        <w:shd w:val="clear" w:color="auto" w:fill="FFFFFF"/>
        <w:spacing w:line="226" w:lineRule="exact"/>
        <w:jc w:val="both"/>
      </w:pPr>
      <w:r>
        <w:br w:type="column"/>
      </w:r>
      <w:r>
        <w:rPr>
          <w:spacing w:val="-7"/>
          <w:sz w:val="18"/>
          <w:szCs w:val="18"/>
          <w:lang w:val="es-ES_tradnl"/>
        </w:rPr>
        <w:t xml:space="preserve">aprobado por el Pleno de la Corte Constitucional, el 13 de </w:t>
      </w:r>
      <w:r>
        <w:rPr>
          <w:spacing w:val="-8"/>
          <w:sz w:val="18"/>
          <w:szCs w:val="18"/>
          <w:lang w:val="es-ES_tradnl"/>
        </w:rPr>
        <w:t>junio de 2013 que en su parte pertinente dice:</w:t>
      </w:r>
    </w:p>
    <w:p w14:paraId="4F67AA94" w14:textId="77777777" w:rsidR="00591D54" w:rsidRDefault="00591D54">
      <w:pPr>
        <w:shd w:val="clear" w:color="auto" w:fill="FFFFFF"/>
        <w:spacing w:before="202" w:line="226" w:lineRule="exact"/>
        <w:ind w:left="283"/>
        <w:jc w:val="both"/>
      </w:pPr>
      <w:r>
        <w:rPr>
          <w:spacing w:val="-6"/>
          <w:sz w:val="16"/>
          <w:szCs w:val="16"/>
          <w:lang w:val="es-ES_tradnl"/>
        </w:rPr>
        <w:t>La norma es clara al determinar que todo tipo de reparaci</w:t>
      </w:r>
      <w:r>
        <w:rPr>
          <w:rFonts w:cs="Times New Roman"/>
          <w:spacing w:val="-6"/>
          <w:sz w:val="16"/>
          <w:szCs w:val="16"/>
          <w:lang w:val="es-ES_tradnl"/>
        </w:rPr>
        <w:t>ó</w:t>
      </w:r>
      <w:r>
        <w:rPr>
          <w:spacing w:val="-6"/>
          <w:sz w:val="16"/>
          <w:szCs w:val="16"/>
          <w:lang w:val="es-ES_tradnl"/>
        </w:rPr>
        <w:t>n econ</w:t>
      </w:r>
      <w:r>
        <w:rPr>
          <w:rFonts w:cs="Times New Roman"/>
          <w:spacing w:val="-6"/>
          <w:sz w:val="16"/>
          <w:szCs w:val="16"/>
          <w:lang w:val="es-ES_tradnl"/>
        </w:rPr>
        <w:t>ó</w:t>
      </w:r>
      <w:r>
        <w:rPr>
          <w:spacing w:val="-6"/>
          <w:sz w:val="16"/>
          <w:szCs w:val="16"/>
          <w:lang w:val="es-ES_tradnl"/>
        </w:rPr>
        <w:t xml:space="preserve">mica, cuando tenga que satisfacerlo un particular, la </w:t>
      </w:r>
      <w:r>
        <w:rPr>
          <w:spacing w:val="-7"/>
          <w:sz w:val="16"/>
          <w:szCs w:val="16"/>
          <w:lang w:val="es-ES_tradnl"/>
        </w:rPr>
        <w:t>determinaci</w:t>
      </w:r>
      <w:r>
        <w:rPr>
          <w:rFonts w:cs="Times New Roman"/>
          <w:spacing w:val="-7"/>
          <w:sz w:val="16"/>
          <w:szCs w:val="16"/>
          <w:lang w:val="es-ES_tradnl"/>
        </w:rPr>
        <w:t>ó</w:t>
      </w:r>
      <w:r>
        <w:rPr>
          <w:spacing w:val="-7"/>
          <w:sz w:val="16"/>
          <w:szCs w:val="16"/>
          <w:lang w:val="es-ES_tradnl"/>
        </w:rPr>
        <w:t>n del monto se tramitar</w:t>
      </w:r>
      <w:r>
        <w:rPr>
          <w:rFonts w:cs="Times New Roman"/>
          <w:spacing w:val="-7"/>
          <w:sz w:val="16"/>
          <w:szCs w:val="16"/>
          <w:lang w:val="es-ES_tradnl"/>
        </w:rPr>
        <w:t>á</w:t>
      </w:r>
      <w:r>
        <w:rPr>
          <w:spacing w:val="-7"/>
          <w:sz w:val="16"/>
          <w:szCs w:val="16"/>
          <w:lang w:val="es-ES_tradnl"/>
        </w:rPr>
        <w:t xml:space="preserve"> v</w:t>
      </w:r>
      <w:r>
        <w:rPr>
          <w:rFonts w:cs="Times New Roman"/>
          <w:spacing w:val="-7"/>
          <w:sz w:val="16"/>
          <w:szCs w:val="16"/>
          <w:lang w:val="es-ES_tradnl"/>
        </w:rPr>
        <w:t>í</w:t>
      </w:r>
      <w:r>
        <w:rPr>
          <w:spacing w:val="-7"/>
          <w:sz w:val="16"/>
          <w:szCs w:val="16"/>
          <w:lang w:val="es-ES_tradnl"/>
        </w:rPr>
        <w:t xml:space="preserve">a juicio verbal sumario </w:t>
      </w:r>
      <w:r>
        <w:rPr>
          <w:spacing w:val="-5"/>
          <w:sz w:val="16"/>
          <w:szCs w:val="16"/>
          <w:lang w:val="es-ES_tradnl"/>
        </w:rPr>
        <w:t xml:space="preserve">ante la misma jueza o juez; mas cuando la debe compensar </w:t>
      </w:r>
      <w:r>
        <w:rPr>
          <w:spacing w:val="-7"/>
          <w:sz w:val="16"/>
          <w:szCs w:val="16"/>
          <w:lang w:val="es-ES_tradnl"/>
        </w:rPr>
        <w:t>el Estado, la cuantificaci</w:t>
      </w:r>
      <w:r>
        <w:rPr>
          <w:rFonts w:cs="Times New Roman"/>
          <w:spacing w:val="-7"/>
          <w:sz w:val="16"/>
          <w:szCs w:val="16"/>
          <w:lang w:val="es-ES_tradnl"/>
        </w:rPr>
        <w:t>ó</w:t>
      </w:r>
      <w:r>
        <w:rPr>
          <w:spacing w:val="-7"/>
          <w:sz w:val="16"/>
          <w:szCs w:val="16"/>
          <w:lang w:val="es-ES_tradnl"/>
        </w:rPr>
        <w:t>n deber</w:t>
      </w:r>
      <w:r>
        <w:rPr>
          <w:rFonts w:cs="Times New Roman"/>
          <w:spacing w:val="-7"/>
          <w:sz w:val="16"/>
          <w:szCs w:val="16"/>
          <w:lang w:val="es-ES_tradnl"/>
        </w:rPr>
        <w:t>á</w:t>
      </w:r>
      <w:r>
        <w:rPr>
          <w:spacing w:val="-7"/>
          <w:sz w:val="16"/>
          <w:szCs w:val="16"/>
          <w:lang w:val="es-ES_tradnl"/>
        </w:rPr>
        <w:t xml:space="preserve"> realizarse v</w:t>
      </w:r>
      <w:r>
        <w:rPr>
          <w:rFonts w:cs="Times New Roman"/>
          <w:spacing w:val="-7"/>
          <w:sz w:val="16"/>
          <w:szCs w:val="16"/>
          <w:lang w:val="es-ES_tradnl"/>
        </w:rPr>
        <w:t>í</w:t>
      </w:r>
      <w:r>
        <w:rPr>
          <w:spacing w:val="-7"/>
          <w:sz w:val="16"/>
          <w:szCs w:val="16"/>
          <w:lang w:val="es-ES_tradnl"/>
        </w:rPr>
        <w:t xml:space="preserve">a contencioso </w:t>
      </w:r>
      <w:r>
        <w:rPr>
          <w:spacing w:val="-5"/>
          <w:sz w:val="16"/>
          <w:szCs w:val="16"/>
          <w:lang w:val="es-ES_tradnl"/>
        </w:rPr>
        <w:t>administrativo. Si bien podr</w:t>
      </w:r>
      <w:r>
        <w:rPr>
          <w:rFonts w:cs="Times New Roman"/>
          <w:spacing w:val="-5"/>
          <w:sz w:val="16"/>
          <w:szCs w:val="16"/>
          <w:lang w:val="es-ES_tradnl"/>
        </w:rPr>
        <w:t>í</w:t>
      </w:r>
      <w:r>
        <w:rPr>
          <w:spacing w:val="-5"/>
          <w:sz w:val="16"/>
          <w:szCs w:val="16"/>
          <w:lang w:val="es-ES_tradnl"/>
        </w:rPr>
        <w:t>a pensarse que esta regulaci</w:t>
      </w:r>
      <w:r>
        <w:rPr>
          <w:rFonts w:cs="Times New Roman"/>
          <w:spacing w:val="-5"/>
          <w:sz w:val="16"/>
          <w:szCs w:val="16"/>
          <w:lang w:val="es-ES_tradnl"/>
        </w:rPr>
        <w:t>ó</w:t>
      </w:r>
      <w:r>
        <w:rPr>
          <w:spacing w:val="-5"/>
          <w:sz w:val="16"/>
          <w:szCs w:val="16"/>
          <w:lang w:val="es-ES_tradnl"/>
        </w:rPr>
        <w:t xml:space="preserve">n </w:t>
      </w:r>
      <w:r>
        <w:rPr>
          <w:spacing w:val="-9"/>
          <w:sz w:val="16"/>
          <w:szCs w:val="16"/>
          <w:lang w:val="es-ES_tradnl"/>
        </w:rPr>
        <w:t>restringe el derecho a la reparaci</w:t>
      </w:r>
      <w:r>
        <w:rPr>
          <w:rFonts w:cs="Times New Roman"/>
          <w:spacing w:val="-9"/>
          <w:sz w:val="16"/>
          <w:szCs w:val="16"/>
          <w:lang w:val="es-ES_tradnl"/>
        </w:rPr>
        <w:t>ó</w:t>
      </w:r>
      <w:r>
        <w:rPr>
          <w:spacing w:val="-9"/>
          <w:sz w:val="16"/>
          <w:szCs w:val="16"/>
          <w:lang w:val="es-ES_tradnl"/>
        </w:rPr>
        <w:t>n integral, debe interpret</w:t>
      </w:r>
      <w:r>
        <w:rPr>
          <w:rFonts w:cs="Times New Roman"/>
          <w:spacing w:val="-9"/>
          <w:sz w:val="16"/>
          <w:szCs w:val="16"/>
          <w:lang w:val="es-ES_tradnl"/>
        </w:rPr>
        <w:t>á</w:t>
      </w:r>
      <w:r>
        <w:rPr>
          <w:spacing w:val="-9"/>
          <w:sz w:val="16"/>
          <w:szCs w:val="16"/>
          <w:lang w:val="es-ES_tradnl"/>
        </w:rPr>
        <w:t xml:space="preserve">rsela </w:t>
      </w:r>
      <w:r>
        <w:rPr>
          <w:spacing w:val="-4"/>
          <w:sz w:val="16"/>
          <w:szCs w:val="16"/>
          <w:lang w:val="es-ES_tradnl"/>
        </w:rPr>
        <w:t>a la luz de la l</w:t>
      </w:r>
      <w:r>
        <w:rPr>
          <w:rFonts w:cs="Times New Roman"/>
          <w:spacing w:val="-4"/>
          <w:sz w:val="16"/>
          <w:szCs w:val="16"/>
          <w:lang w:val="es-ES_tradnl"/>
        </w:rPr>
        <w:t>ó</w:t>
      </w:r>
      <w:r>
        <w:rPr>
          <w:spacing w:val="-4"/>
          <w:sz w:val="16"/>
          <w:szCs w:val="16"/>
          <w:lang w:val="es-ES_tradnl"/>
        </w:rPr>
        <w:t>gica de las garant</w:t>
      </w:r>
      <w:r>
        <w:rPr>
          <w:rFonts w:cs="Times New Roman"/>
          <w:spacing w:val="-4"/>
          <w:sz w:val="16"/>
          <w:szCs w:val="16"/>
          <w:lang w:val="es-ES_tradnl"/>
        </w:rPr>
        <w:t>í</w:t>
      </w:r>
      <w:r>
        <w:rPr>
          <w:spacing w:val="-4"/>
          <w:sz w:val="16"/>
          <w:szCs w:val="16"/>
          <w:lang w:val="es-ES_tradnl"/>
        </w:rPr>
        <w:t xml:space="preserve">as jurisdiccionales dentro del Estado Constitucional de derechos y justicia. En efecto, </w:t>
      </w:r>
      <w:r>
        <w:rPr>
          <w:spacing w:val="-3"/>
          <w:sz w:val="16"/>
          <w:szCs w:val="16"/>
          <w:lang w:val="es-ES_tradnl"/>
        </w:rPr>
        <w:t xml:space="preserve">lo que propende la norma es controlar los excesos en los </w:t>
      </w:r>
      <w:r>
        <w:rPr>
          <w:spacing w:val="-4"/>
          <w:sz w:val="16"/>
          <w:szCs w:val="16"/>
          <w:lang w:val="es-ES_tradnl"/>
        </w:rPr>
        <w:t xml:space="preserve">que el juez constitucional puede incurrir al determinar los </w:t>
      </w:r>
      <w:r>
        <w:rPr>
          <w:spacing w:val="-7"/>
          <w:sz w:val="16"/>
          <w:szCs w:val="16"/>
          <w:lang w:val="es-ES_tradnl"/>
        </w:rPr>
        <w:t>montos concernientes a la reparaci</w:t>
      </w:r>
      <w:r>
        <w:rPr>
          <w:rFonts w:cs="Times New Roman"/>
          <w:spacing w:val="-7"/>
          <w:sz w:val="16"/>
          <w:szCs w:val="16"/>
          <w:lang w:val="es-ES_tradnl"/>
        </w:rPr>
        <w:t>ó</w:t>
      </w:r>
      <w:r>
        <w:rPr>
          <w:spacing w:val="-7"/>
          <w:sz w:val="16"/>
          <w:szCs w:val="16"/>
          <w:lang w:val="es-ES_tradnl"/>
        </w:rPr>
        <w:t>n econ</w:t>
      </w:r>
      <w:r>
        <w:rPr>
          <w:rFonts w:cs="Times New Roman"/>
          <w:spacing w:val="-7"/>
          <w:sz w:val="16"/>
          <w:szCs w:val="16"/>
          <w:lang w:val="es-ES_tradnl"/>
        </w:rPr>
        <w:t>ó</w:t>
      </w:r>
      <w:r>
        <w:rPr>
          <w:spacing w:val="-7"/>
          <w:sz w:val="16"/>
          <w:szCs w:val="16"/>
          <w:lang w:val="es-ES_tradnl"/>
        </w:rPr>
        <w:t xml:space="preserve">mica y tutelar de </w:t>
      </w:r>
      <w:r>
        <w:rPr>
          <w:spacing w:val="-8"/>
          <w:sz w:val="16"/>
          <w:szCs w:val="16"/>
          <w:lang w:val="es-ES_tradnl"/>
        </w:rPr>
        <w:t xml:space="preserve">los derechos constitucionales de la contraparte, para que esta </w:t>
      </w:r>
      <w:r>
        <w:rPr>
          <w:spacing w:val="-10"/>
          <w:sz w:val="16"/>
          <w:szCs w:val="16"/>
          <w:lang w:val="es-ES_tradnl"/>
        </w:rPr>
        <w:t xml:space="preserve">pueda ejercerlos dentro del marco del debido proceso. / Empero </w:t>
      </w:r>
      <w:r>
        <w:rPr>
          <w:spacing w:val="-7"/>
          <w:sz w:val="16"/>
          <w:szCs w:val="16"/>
          <w:lang w:val="es-ES_tradnl"/>
        </w:rPr>
        <w:t>esta Corte deja en claro que la determinaci</w:t>
      </w:r>
      <w:r>
        <w:rPr>
          <w:rFonts w:cs="Times New Roman"/>
          <w:spacing w:val="-7"/>
          <w:sz w:val="16"/>
          <w:szCs w:val="16"/>
          <w:lang w:val="es-ES_tradnl"/>
        </w:rPr>
        <w:t>ó</w:t>
      </w:r>
      <w:r>
        <w:rPr>
          <w:spacing w:val="-7"/>
          <w:sz w:val="16"/>
          <w:szCs w:val="16"/>
          <w:lang w:val="es-ES_tradnl"/>
        </w:rPr>
        <w:t xml:space="preserve">n del monto de la </w:t>
      </w:r>
      <w:r>
        <w:rPr>
          <w:spacing w:val="-8"/>
          <w:sz w:val="16"/>
          <w:szCs w:val="16"/>
          <w:lang w:val="es-ES_tradnl"/>
        </w:rPr>
        <w:t>reparaci</w:t>
      </w:r>
      <w:r>
        <w:rPr>
          <w:rFonts w:cs="Times New Roman"/>
          <w:spacing w:val="-8"/>
          <w:sz w:val="16"/>
          <w:szCs w:val="16"/>
          <w:lang w:val="es-ES_tradnl"/>
        </w:rPr>
        <w:t>ó</w:t>
      </w:r>
      <w:r>
        <w:rPr>
          <w:spacing w:val="-8"/>
          <w:sz w:val="16"/>
          <w:szCs w:val="16"/>
          <w:lang w:val="es-ES_tradnl"/>
        </w:rPr>
        <w:t>n econ</w:t>
      </w:r>
      <w:r>
        <w:rPr>
          <w:rFonts w:cs="Times New Roman"/>
          <w:spacing w:val="-8"/>
          <w:sz w:val="16"/>
          <w:szCs w:val="16"/>
          <w:lang w:val="es-ES_tradnl"/>
        </w:rPr>
        <w:t>ó</w:t>
      </w:r>
      <w:r>
        <w:rPr>
          <w:spacing w:val="-8"/>
          <w:sz w:val="16"/>
          <w:szCs w:val="16"/>
          <w:lang w:val="es-ES_tradnl"/>
        </w:rPr>
        <w:t>mica, consecuencia de la declaraci</w:t>
      </w:r>
      <w:r>
        <w:rPr>
          <w:rFonts w:cs="Times New Roman"/>
          <w:spacing w:val="-8"/>
          <w:sz w:val="16"/>
          <w:szCs w:val="16"/>
          <w:lang w:val="es-ES_tradnl"/>
        </w:rPr>
        <w:t>ó</w:t>
      </w:r>
      <w:r>
        <w:rPr>
          <w:spacing w:val="-8"/>
          <w:sz w:val="16"/>
          <w:szCs w:val="16"/>
          <w:lang w:val="es-ES_tradnl"/>
        </w:rPr>
        <w:t xml:space="preserve">n de una </w:t>
      </w:r>
      <w:r>
        <w:rPr>
          <w:spacing w:val="-7"/>
          <w:sz w:val="16"/>
          <w:szCs w:val="16"/>
          <w:lang w:val="es-ES_tradnl"/>
        </w:rPr>
        <w:t>vulneraci</w:t>
      </w:r>
      <w:r>
        <w:rPr>
          <w:rFonts w:cs="Times New Roman"/>
          <w:spacing w:val="-7"/>
          <w:sz w:val="16"/>
          <w:szCs w:val="16"/>
          <w:lang w:val="es-ES_tradnl"/>
        </w:rPr>
        <w:t>ó</w:t>
      </w:r>
      <w:r>
        <w:rPr>
          <w:spacing w:val="-7"/>
          <w:sz w:val="16"/>
          <w:szCs w:val="16"/>
          <w:lang w:val="es-ES_tradnl"/>
        </w:rPr>
        <w:t>n de derechos, no generar</w:t>
      </w:r>
      <w:r>
        <w:rPr>
          <w:rFonts w:cs="Times New Roman"/>
          <w:spacing w:val="-7"/>
          <w:sz w:val="16"/>
          <w:szCs w:val="16"/>
          <w:lang w:val="es-ES_tradnl"/>
        </w:rPr>
        <w:t>á</w:t>
      </w:r>
      <w:r>
        <w:rPr>
          <w:spacing w:val="-7"/>
          <w:sz w:val="16"/>
          <w:szCs w:val="16"/>
          <w:lang w:val="es-ES_tradnl"/>
        </w:rPr>
        <w:t xml:space="preserve"> un nuevo proceso de </w:t>
      </w:r>
      <w:r>
        <w:rPr>
          <w:spacing w:val="-6"/>
          <w:sz w:val="16"/>
          <w:szCs w:val="16"/>
          <w:lang w:val="es-ES_tradnl"/>
        </w:rPr>
        <w:t>conocimiento, sino exclusivamente una cuantificaci</w:t>
      </w:r>
      <w:r>
        <w:rPr>
          <w:rFonts w:cs="Times New Roman"/>
          <w:spacing w:val="-6"/>
          <w:sz w:val="16"/>
          <w:szCs w:val="16"/>
          <w:lang w:val="es-ES_tradnl"/>
        </w:rPr>
        <w:t>ó</w:t>
      </w:r>
      <w:r>
        <w:rPr>
          <w:spacing w:val="-6"/>
          <w:sz w:val="16"/>
          <w:szCs w:val="16"/>
          <w:lang w:val="es-ES_tradnl"/>
        </w:rPr>
        <w:t xml:space="preserve">n dentro </w:t>
      </w:r>
      <w:r>
        <w:rPr>
          <w:spacing w:val="-8"/>
          <w:sz w:val="16"/>
          <w:szCs w:val="16"/>
          <w:lang w:val="es-ES_tradnl"/>
        </w:rPr>
        <w:t>de un tr</w:t>
      </w:r>
      <w:r>
        <w:rPr>
          <w:rFonts w:cs="Times New Roman"/>
          <w:spacing w:val="-8"/>
          <w:sz w:val="16"/>
          <w:szCs w:val="16"/>
          <w:lang w:val="es-ES_tradnl"/>
        </w:rPr>
        <w:t>á</w:t>
      </w:r>
      <w:r>
        <w:rPr>
          <w:spacing w:val="-8"/>
          <w:sz w:val="16"/>
          <w:szCs w:val="16"/>
          <w:lang w:val="es-ES_tradnl"/>
        </w:rPr>
        <w:t>mite de ejecuci</w:t>
      </w:r>
      <w:r>
        <w:rPr>
          <w:rFonts w:cs="Times New Roman"/>
          <w:spacing w:val="-8"/>
          <w:sz w:val="16"/>
          <w:szCs w:val="16"/>
          <w:lang w:val="es-ES_tradnl"/>
        </w:rPr>
        <w:t>ó</w:t>
      </w:r>
      <w:r>
        <w:rPr>
          <w:spacing w:val="-8"/>
          <w:sz w:val="16"/>
          <w:szCs w:val="16"/>
          <w:lang w:val="es-ES_tradnl"/>
        </w:rPr>
        <w:t xml:space="preserve">n de la sentencia constitucional, pues </w:t>
      </w:r>
      <w:r>
        <w:rPr>
          <w:spacing w:val="-7"/>
          <w:sz w:val="16"/>
          <w:szCs w:val="16"/>
          <w:lang w:val="es-ES_tradnl"/>
        </w:rPr>
        <w:t>de lo contrario, la ejecuci</w:t>
      </w:r>
      <w:r>
        <w:rPr>
          <w:rFonts w:cs="Times New Roman"/>
          <w:spacing w:val="-7"/>
          <w:sz w:val="16"/>
          <w:szCs w:val="16"/>
          <w:lang w:val="es-ES_tradnl"/>
        </w:rPr>
        <w:t>ó</w:t>
      </w:r>
      <w:r>
        <w:rPr>
          <w:spacing w:val="-7"/>
          <w:sz w:val="16"/>
          <w:szCs w:val="16"/>
          <w:lang w:val="es-ES_tradnl"/>
        </w:rPr>
        <w:t xml:space="preserve">n de las decisiones constitucionales </w:t>
      </w:r>
      <w:r>
        <w:rPr>
          <w:spacing w:val="-9"/>
          <w:sz w:val="16"/>
          <w:szCs w:val="16"/>
          <w:lang w:val="es-ES_tradnl"/>
        </w:rPr>
        <w:t>quedar</w:t>
      </w:r>
      <w:r>
        <w:rPr>
          <w:rFonts w:cs="Times New Roman"/>
          <w:spacing w:val="-9"/>
          <w:sz w:val="16"/>
          <w:szCs w:val="16"/>
          <w:lang w:val="es-ES_tradnl"/>
        </w:rPr>
        <w:t>í</w:t>
      </w:r>
      <w:r>
        <w:rPr>
          <w:spacing w:val="-9"/>
          <w:sz w:val="16"/>
          <w:szCs w:val="16"/>
          <w:lang w:val="es-ES_tradnl"/>
        </w:rPr>
        <w:t xml:space="preserve">an a la expensa de que estas se ratifiquen en un nuevo </w:t>
      </w:r>
      <w:r>
        <w:rPr>
          <w:spacing w:val="-6"/>
          <w:sz w:val="16"/>
          <w:szCs w:val="16"/>
          <w:lang w:val="es-ES_tradnl"/>
        </w:rPr>
        <w:t>proceso en la justicia ordinaria que declare la vulneraci</w:t>
      </w:r>
      <w:r>
        <w:rPr>
          <w:rFonts w:cs="Times New Roman"/>
          <w:spacing w:val="-6"/>
          <w:sz w:val="16"/>
          <w:szCs w:val="16"/>
          <w:lang w:val="es-ES_tradnl"/>
        </w:rPr>
        <w:t>ó</w:t>
      </w:r>
      <w:r>
        <w:rPr>
          <w:spacing w:val="-6"/>
          <w:sz w:val="16"/>
          <w:szCs w:val="16"/>
          <w:lang w:val="es-ES_tradnl"/>
        </w:rPr>
        <w:t xml:space="preserve">n del </w:t>
      </w:r>
      <w:r>
        <w:rPr>
          <w:sz w:val="16"/>
          <w:szCs w:val="16"/>
          <w:lang w:val="es-ES_tradnl"/>
        </w:rPr>
        <w:t>derecho</w:t>
      </w:r>
      <w:r>
        <w:rPr>
          <w:sz w:val="16"/>
          <w:szCs w:val="16"/>
          <w:vertAlign w:val="superscript"/>
          <w:lang w:val="es-ES_tradnl"/>
        </w:rPr>
        <w:t>1</w:t>
      </w:r>
      <w:r>
        <w:rPr>
          <w:sz w:val="16"/>
          <w:szCs w:val="16"/>
          <w:lang w:val="es-ES_tradnl"/>
        </w:rPr>
        <w:t>.</w:t>
      </w:r>
    </w:p>
    <w:p w14:paraId="4F67AA95" w14:textId="77777777" w:rsidR="00591D54" w:rsidRDefault="00591D54">
      <w:pPr>
        <w:shd w:val="clear" w:color="auto" w:fill="FFFFFF"/>
        <w:spacing w:before="211" w:line="226" w:lineRule="exact"/>
        <w:jc w:val="both"/>
      </w:pPr>
      <w:r>
        <w:rPr>
          <w:spacing w:val="-5"/>
          <w:sz w:val="18"/>
          <w:szCs w:val="18"/>
          <w:lang w:val="es-ES_tradnl"/>
        </w:rPr>
        <w:t>Al ser el Gobierno Aut</w:t>
      </w:r>
      <w:r>
        <w:rPr>
          <w:rFonts w:cs="Times New Roman"/>
          <w:spacing w:val="-5"/>
          <w:sz w:val="18"/>
          <w:szCs w:val="18"/>
          <w:lang w:val="es-ES_tradnl"/>
        </w:rPr>
        <w:t>ó</w:t>
      </w:r>
      <w:r>
        <w:rPr>
          <w:spacing w:val="-5"/>
          <w:sz w:val="18"/>
          <w:szCs w:val="18"/>
          <w:lang w:val="es-ES_tradnl"/>
        </w:rPr>
        <w:t xml:space="preserve">nomo Descentralizado de Paltas </w:t>
      </w:r>
      <w:r>
        <w:rPr>
          <w:sz w:val="18"/>
          <w:szCs w:val="18"/>
          <w:lang w:val="es-ES_tradnl"/>
        </w:rPr>
        <w:t>una persona jur</w:t>
      </w:r>
      <w:r>
        <w:rPr>
          <w:rFonts w:cs="Times New Roman"/>
          <w:sz w:val="18"/>
          <w:szCs w:val="18"/>
          <w:lang w:val="es-ES_tradnl"/>
        </w:rPr>
        <w:t>í</w:t>
      </w:r>
      <w:r>
        <w:rPr>
          <w:sz w:val="18"/>
          <w:szCs w:val="18"/>
          <w:lang w:val="es-ES_tradnl"/>
        </w:rPr>
        <w:t>dica de derecho p</w:t>
      </w:r>
      <w:r>
        <w:rPr>
          <w:rFonts w:cs="Times New Roman"/>
          <w:sz w:val="18"/>
          <w:szCs w:val="18"/>
          <w:lang w:val="es-ES_tradnl"/>
        </w:rPr>
        <w:t>ú</w:t>
      </w:r>
      <w:r>
        <w:rPr>
          <w:sz w:val="18"/>
          <w:szCs w:val="18"/>
          <w:lang w:val="es-ES_tradnl"/>
        </w:rPr>
        <w:t xml:space="preserve">blico que forma </w:t>
      </w:r>
      <w:r>
        <w:rPr>
          <w:spacing w:val="-7"/>
          <w:sz w:val="18"/>
          <w:szCs w:val="18"/>
          <w:lang w:val="es-ES_tradnl"/>
        </w:rPr>
        <w:t>parte del Estado, la indemnizaci</w:t>
      </w:r>
      <w:r>
        <w:rPr>
          <w:rFonts w:cs="Times New Roman"/>
          <w:spacing w:val="-7"/>
          <w:sz w:val="18"/>
          <w:szCs w:val="18"/>
          <w:lang w:val="es-ES_tradnl"/>
        </w:rPr>
        <w:t>ó</w:t>
      </w:r>
      <w:r>
        <w:rPr>
          <w:spacing w:val="-7"/>
          <w:sz w:val="18"/>
          <w:szCs w:val="18"/>
          <w:lang w:val="es-ES_tradnl"/>
        </w:rPr>
        <w:t>n econ</w:t>
      </w:r>
      <w:r>
        <w:rPr>
          <w:rFonts w:cs="Times New Roman"/>
          <w:spacing w:val="-7"/>
          <w:sz w:val="18"/>
          <w:szCs w:val="18"/>
          <w:lang w:val="es-ES_tradnl"/>
        </w:rPr>
        <w:t>ó</w:t>
      </w:r>
      <w:r>
        <w:rPr>
          <w:spacing w:val="-7"/>
          <w:sz w:val="18"/>
          <w:szCs w:val="18"/>
          <w:lang w:val="es-ES_tradnl"/>
        </w:rPr>
        <w:t>mica debi</w:t>
      </w:r>
      <w:r>
        <w:rPr>
          <w:rFonts w:cs="Times New Roman"/>
          <w:spacing w:val="-7"/>
          <w:sz w:val="18"/>
          <w:szCs w:val="18"/>
          <w:lang w:val="es-ES_tradnl"/>
        </w:rPr>
        <w:t>ó</w:t>
      </w:r>
      <w:r>
        <w:rPr>
          <w:spacing w:val="-7"/>
          <w:sz w:val="18"/>
          <w:szCs w:val="18"/>
          <w:lang w:val="es-ES_tradnl"/>
        </w:rPr>
        <w:t xml:space="preserve"> ser demandada por la legitimada activa en juicio contencioso administrativo; al no existir constancia alguna respecto de este particular en el expediente judicial y constitucional, se declara el incumplimiento de la indemnizaci</w:t>
      </w:r>
      <w:r>
        <w:rPr>
          <w:rFonts w:cs="Times New Roman"/>
          <w:spacing w:val="-7"/>
          <w:sz w:val="18"/>
          <w:szCs w:val="18"/>
          <w:lang w:val="es-ES_tradnl"/>
        </w:rPr>
        <w:t>ó</w:t>
      </w:r>
      <w:r>
        <w:rPr>
          <w:spacing w:val="-7"/>
          <w:sz w:val="18"/>
          <w:szCs w:val="18"/>
          <w:lang w:val="es-ES_tradnl"/>
        </w:rPr>
        <w:t>n econ</w:t>
      </w:r>
      <w:r>
        <w:rPr>
          <w:rFonts w:cs="Times New Roman"/>
          <w:spacing w:val="-7"/>
          <w:sz w:val="18"/>
          <w:szCs w:val="18"/>
          <w:lang w:val="es-ES_tradnl"/>
        </w:rPr>
        <w:t>ó</w:t>
      </w:r>
      <w:r>
        <w:rPr>
          <w:spacing w:val="-7"/>
          <w:sz w:val="18"/>
          <w:szCs w:val="18"/>
          <w:lang w:val="es-ES_tradnl"/>
        </w:rPr>
        <w:t>mica.</w:t>
      </w:r>
    </w:p>
    <w:p w14:paraId="4F67AA96" w14:textId="77777777" w:rsidR="00591D54" w:rsidRDefault="00591D54">
      <w:pPr>
        <w:shd w:val="clear" w:color="auto" w:fill="FFFFFF"/>
        <w:spacing w:before="206" w:line="226" w:lineRule="exact"/>
        <w:jc w:val="both"/>
      </w:pPr>
      <w:r>
        <w:rPr>
          <w:spacing w:val="-10"/>
          <w:sz w:val="18"/>
          <w:szCs w:val="18"/>
          <w:lang w:val="es-ES_tradnl"/>
        </w:rPr>
        <w:t xml:space="preserve">Con estas consideraciones se concluye que las autoridades </w:t>
      </w:r>
      <w:r>
        <w:rPr>
          <w:spacing w:val="-3"/>
          <w:sz w:val="18"/>
          <w:szCs w:val="18"/>
          <w:lang w:val="es-ES_tradnl"/>
        </w:rPr>
        <w:t xml:space="preserve">competentes, es decir el alcalde, el comisario municipal </w:t>
      </w:r>
      <w:r>
        <w:rPr>
          <w:spacing w:val="-1"/>
          <w:sz w:val="18"/>
          <w:szCs w:val="18"/>
          <w:lang w:val="es-ES_tradnl"/>
        </w:rPr>
        <w:t>y el procurador s</w:t>
      </w:r>
      <w:r>
        <w:rPr>
          <w:rFonts w:cs="Times New Roman"/>
          <w:spacing w:val="-1"/>
          <w:sz w:val="18"/>
          <w:szCs w:val="18"/>
          <w:lang w:val="es-ES_tradnl"/>
        </w:rPr>
        <w:t>í</w:t>
      </w:r>
      <w:r>
        <w:rPr>
          <w:spacing w:val="-1"/>
          <w:sz w:val="18"/>
          <w:szCs w:val="18"/>
          <w:lang w:val="es-ES_tradnl"/>
        </w:rPr>
        <w:t>ndico del Gobierno Aut</w:t>
      </w:r>
      <w:r>
        <w:rPr>
          <w:rFonts w:cs="Times New Roman"/>
          <w:spacing w:val="-1"/>
          <w:sz w:val="18"/>
          <w:szCs w:val="18"/>
          <w:lang w:val="es-ES_tradnl"/>
        </w:rPr>
        <w:t>ó</w:t>
      </w:r>
      <w:r>
        <w:rPr>
          <w:spacing w:val="-1"/>
          <w:sz w:val="18"/>
          <w:szCs w:val="18"/>
          <w:lang w:val="es-ES_tradnl"/>
        </w:rPr>
        <w:t xml:space="preserve">nomo </w:t>
      </w:r>
      <w:r>
        <w:rPr>
          <w:spacing w:val="-6"/>
          <w:sz w:val="18"/>
          <w:szCs w:val="18"/>
          <w:lang w:val="es-ES_tradnl"/>
        </w:rPr>
        <w:t>Descentralizado del cant</w:t>
      </w:r>
      <w:r>
        <w:rPr>
          <w:rFonts w:cs="Times New Roman"/>
          <w:spacing w:val="-6"/>
          <w:sz w:val="18"/>
          <w:szCs w:val="18"/>
          <w:lang w:val="es-ES_tradnl"/>
        </w:rPr>
        <w:t>ó</w:t>
      </w:r>
      <w:r>
        <w:rPr>
          <w:spacing w:val="-6"/>
          <w:sz w:val="18"/>
          <w:szCs w:val="18"/>
          <w:lang w:val="es-ES_tradnl"/>
        </w:rPr>
        <w:t xml:space="preserve">n Paltas, cumplieron con las </w:t>
      </w:r>
      <w:r>
        <w:rPr>
          <w:spacing w:val="-10"/>
          <w:sz w:val="18"/>
          <w:szCs w:val="18"/>
          <w:lang w:val="es-ES_tradnl"/>
        </w:rPr>
        <w:t>medidas de reparaci</w:t>
      </w:r>
      <w:r>
        <w:rPr>
          <w:rFonts w:cs="Times New Roman"/>
          <w:spacing w:val="-10"/>
          <w:sz w:val="18"/>
          <w:szCs w:val="18"/>
          <w:lang w:val="es-ES_tradnl"/>
        </w:rPr>
        <w:t>ó</w:t>
      </w:r>
      <w:r>
        <w:rPr>
          <w:spacing w:val="-10"/>
          <w:sz w:val="18"/>
          <w:szCs w:val="18"/>
          <w:lang w:val="es-ES_tradnl"/>
        </w:rPr>
        <w:t xml:space="preserve">n constantes en la sentencia emitida el </w:t>
      </w:r>
      <w:r>
        <w:rPr>
          <w:spacing w:val="-7"/>
          <w:sz w:val="18"/>
          <w:szCs w:val="18"/>
          <w:lang w:val="es-ES_tradnl"/>
        </w:rPr>
        <w:t>02 de febrero de 2010, por el juez d</w:t>
      </w:r>
      <w:r>
        <w:rPr>
          <w:rFonts w:cs="Times New Roman"/>
          <w:spacing w:val="-7"/>
          <w:sz w:val="18"/>
          <w:szCs w:val="18"/>
          <w:lang w:val="es-ES_tradnl"/>
        </w:rPr>
        <w:t>é</w:t>
      </w:r>
      <w:r>
        <w:rPr>
          <w:spacing w:val="-7"/>
          <w:sz w:val="18"/>
          <w:szCs w:val="18"/>
          <w:lang w:val="es-ES_tradnl"/>
        </w:rPr>
        <w:t xml:space="preserve">cimo cuarto de lo civil </w:t>
      </w:r>
      <w:r>
        <w:rPr>
          <w:spacing w:val="-9"/>
          <w:sz w:val="18"/>
          <w:szCs w:val="18"/>
          <w:lang w:val="es-ES_tradnl"/>
        </w:rPr>
        <w:t>de Loja; no obstante, existe incumplimiento de la reparaci</w:t>
      </w:r>
      <w:r>
        <w:rPr>
          <w:rFonts w:cs="Times New Roman"/>
          <w:spacing w:val="-9"/>
          <w:sz w:val="18"/>
          <w:szCs w:val="18"/>
          <w:lang w:val="es-ES_tradnl"/>
        </w:rPr>
        <w:t>ó</w:t>
      </w:r>
      <w:r>
        <w:rPr>
          <w:spacing w:val="-9"/>
          <w:sz w:val="18"/>
          <w:szCs w:val="18"/>
          <w:lang w:val="es-ES_tradnl"/>
        </w:rPr>
        <w:t xml:space="preserve">n </w:t>
      </w:r>
      <w:r>
        <w:rPr>
          <w:spacing w:val="-5"/>
          <w:sz w:val="18"/>
          <w:szCs w:val="18"/>
          <w:lang w:val="es-ES_tradnl"/>
        </w:rPr>
        <w:t>econ</w:t>
      </w:r>
      <w:r>
        <w:rPr>
          <w:rFonts w:cs="Times New Roman"/>
          <w:spacing w:val="-5"/>
          <w:sz w:val="18"/>
          <w:szCs w:val="18"/>
          <w:lang w:val="es-ES_tradnl"/>
        </w:rPr>
        <w:t>ó</w:t>
      </w:r>
      <w:r>
        <w:rPr>
          <w:spacing w:val="-5"/>
          <w:sz w:val="18"/>
          <w:szCs w:val="18"/>
          <w:lang w:val="es-ES_tradnl"/>
        </w:rPr>
        <w:t>mica dispuesta en el fallo de apelaci</w:t>
      </w:r>
      <w:r>
        <w:rPr>
          <w:rFonts w:cs="Times New Roman"/>
          <w:spacing w:val="-5"/>
          <w:sz w:val="18"/>
          <w:szCs w:val="18"/>
          <w:lang w:val="es-ES_tradnl"/>
        </w:rPr>
        <w:t>ó</w:t>
      </w:r>
      <w:r>
        <w:rPr>
          <w:spacing w:val="-5"/>
          <w:sz w:val="18"/>
          <w:szCs w:val="18"/>
          <w:lang w:val="es-ES_tradnl"/>
        </w:rPr>
        <w:t xml:space="preserve">n del 05 de </w:t>
      </w:r>
      <w:r>
        <w:rPr>
          <w:spacing w:val="-6"/>
          <w:sz w:val="18"/>
          <w:szCs w:val="18"/>
          <w:lang w:val="es-ES_tradnl"/>
        </w:rPr>
        <w:t xml:space="preserve">marzo de 2010, por los jueces de la Sala Civil, Mercantil, </w:t>
      </w:r>
      <w:r>
        <w:rPr>
          <w:spacing w:val="-7"/>
          <w:sz w:val="18"/>
          <w:szCs w:val="18"/>
          <w:lang w:val="es-ES_tradnl"/>
        </w:rPr>
        <w:t xml:space="preserve">Inquilinato y Materias Residuales de la Corte Provincial de </w:t>
      </w:r>
      <w:r>
        <w:rPr>
          <w:spacing w:val="-6"/>
          <w:sz w:val="18"/>
          <w:szCs w:val="18"/>
          <w:lang w:val="es-ES_tradnl"/>
        </w:rPr>
        <w:t xml:space="preserve">Loja, por lo que para la Corte Constitucional ha quedado evidenciado el incumplimiento parcial de las medidas de </w:t>
      </w:r>
      <w:r>
        <w:rPr>
          <w:spacing w:val="-9"/>
          <w:sz w:val="18"/>
          <w:szCs w:val="18"/>
          <w:lang w:val="es-ES_tradnl"/>
        </w:rPr>
        <w:t>reparaci</w:t>
      </w:r>
      <w:r>
        <w:rPr>
          <w:rFonts w:cs="Times New Roman"/>
          <w:spacing w:val="-9"/>
          <w:sz w:val="18"/>
          <w:szCs w:val="18"/>
          <w:lang w:val="es-ES_tradnl"/>
        </w:rPr>
        <w:t>ó</w:t>
      </w:r>
      <w:r>
        <w:rPr>
          <w:spacing w:val="-9"/>
          <w:sz w:val="18"/>
          <w:szCs w:val="18"/>
          <w:lang w:val="es-ES_tradnl"/>
        </w:rPr>
        <w:t>n dispuestas por las judicaturas correspondientes.</w:t>
      </w:r>
    </w:p>
    <w:p w14:paraId="4F67AA97" w14:textId="77777777" w:rsidR="00591D54" w:rsidRDefault="00591D54">
      <w:pPr>
        <w:shd w:val="clear" w:color="auto" w:fill="FFFFFF"/>
        <w:spacing w:before="202"/>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AA98" w14:textId="77777777" w:rsidR="00591D54" w:rsidRDefault="00591D54">
      <w:pPr>
        <w:shd w:val="clear" w:color="auto" w:fill="FFFFFF"/>
        <w:spacing w:before="206" w:line="226" w:lineRule="exact"/>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5"/>
          <w:sz w:val="18"/>
          <w:szCs w:val="18"/>
          <w:lang w:val="es-ES_tradnl"/>
        </w:rPr>
        <w:t>constitucional y por mandato de la Constituci</w:t>
      </w:r>
      <w:r>
        <w:rPr>
          <w:rFonts w:cs="Times New Roman"/>
          <w:spacing w:val="-5"/>
          <w:sz w:val="18"/>
          <w:szCs w:val="18"/>
          <w:lang w:val="es-ES_tradnl"/>
        </w:rPr>
        <w:t>ó</w:t>
      </w:r>
      <w:r>
        <w:rPr>
          <w:spacing w:val="-5"/>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 xml:space="preserve">blica del Ecuador, el Pleno de la Corte Constitucional </w:t>
      </w:r>
      <w:r>
        <w:rPr>
          <w:sz w:val="18"/>
          <w:szCs w:val="18"/>
          <w:lang w:val="es-ES_tradnl"/>
        </w:rPr>
        <w:t>expide la siguiente:</w:t>
      </w:r>
    </w:p>
    <w:p w14:paraId="4F67AA99" w14:textId="77777777" w:rsidR="00591D54" w:rsidRDefault="00591D54">
      <w:pPr>
        <w:shd w:val="clear" w:color="auto" w:fill="FFFFFF"/>
        <w:spacing w:before="787" w:line="178" w:lineRule="exact"/>
        <w:ind w:left="144" w:hanging="144"/>
      </w:pPr>
      <w:r>
        <w:rPr>
          <w:sz w:val="16"/>
          <w:szCs w:val="16"/>
          <w:vertAlign w:val="superscript"/>
          <w:lang w:val="es-ES_tradnl"/>
        </w:rPr>
        <w:t>1</w:t>
      </w:r>
      <w:r>
        <w:rPr>
          <w:sz w:val="16"/>
          <w:szCs w:val="16"/>
          <w:lang w:val="es-ES_tradnl"/>
        </w:rPr>
        <w:t xml:space="preserve">  </w:t>
      </w:r>
      <w:r>
        <w:rPr>
          <w:spacing w:val="-9"/>
          <w:sz w:val="16"/>
          <w:szCs w:val="16"/>
          <w:lang w:val="es-ES_tradnl"/>
        </w:rPr>
        <w:t>Corte Constitucional del Ecuador, caso N.</w:t>
      </w:r>
      <w:r>
        <w:rPr>
          <w:rFonts w:cs="Times New Roman"/>
          <w:spacing w:val="-9"/>
          <w:sz w:val="16"/>
          <w:szCs w:val="16"/>
          <w:lang w:val="es-ES_tradnl"/>
        </w:rPr>
        <w:t>º</w:t>
      </w:r>
      <w:r>
        <w:rPr>
          <w:spacing w:val="-9"/>
          <w:sz w:val="16"/>
          <w:szCs w:val="16"/>
          <w:lang w:val="es-ES_tradnl"/>
        </w:rPr>
        <w:t xml:space="preserve"> 0015-10-AN, sentencia </w:t>
      </w:r>
      <w:r>
        <w:rPr>
          <w:sz w:val="16"/>
          <w:szCs w:val="16"/>
          <w:lang w:val="es-ES_tradnl"/>
        </w:rPr>
        <w:t>N.</w:t>
      </w:r>
      <w:r>
        <w:rPr>
          <w:rFonts w:cs="Times New Roman"/>
          <w:sz w:val="16"/>
          <w:szCs w:val="16"/>
          <w:lang w:val="es-ES_tradnl"/>
        </w:rPr>
        <w:t>º</w:t>
      </w:r>
      <w:r>
        <w:rPr>
          <w:sz w:val="16"/>
          <w:szCs w:val="16"/>
          <w:lang w:val="es-ES_tradnl"/>
        </w:rPr>
        <w:t xml:space="preserve"> 004-13-SAN-CC, del 13 de junio de 2013.</w:t>
      </w:r>
    </w:p>
    <w:p w14:paraId="4F67AA9A" w14:textId="77777777" w:rsidR="00591D54" w:rsidRDefault="00591D54">
      <w:pPr>
        <w:shd w:val="clear" w:color="auto" w:fill="FFFFFF"/>
        <w:spacing w:before="787" w:line="178" w:lineRule="exact"/>
        <w:ind w:left="144" w:hanging="144"/>
        <w:sectPr w:rsidR="00591D54">
          <w:type w:val="continuous"/>
          <w:pgSz w:w="11909" w:h="16834"/>
          <w:pgMar w:top="1359" w:right="1309" w:bottom="360" w:left="1308" w:header="720" w:footer="720" w:gutter="0"/>
          <w:cols w:num="2" w:space="720" w:equalWidth="0">
            <w:col w:w="4305" w:space="682"/>
            <w:col w:w="4305"/>
          </w:cols>
          <w:noEndnote/>
        </w:sectPr>
      </w:pPr>
    </w:p>
    <w:p w14:paraId="4F67AA9B" w14:textId="77777777" w:rsidR="00591D54" w:rsidRDefault="00591D54">
      <w:pPr>
        <w:shd w:val="clear" w:color="auto" w:fill="FFFFFF"/>
        <w:tabs>
          <w:tab w:val="left" w:pos="5952"/>
        </w:tabs>
        <w:spacing w:after="226"/>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- 87</w:t>
      </w:r>
    </w:p>
    <w:p w14:paraId="4F67AA9C" w14:textId="77777777" w:rsidR="00591D54" w:rsidRDefault="00591D54">
      <w:pPr>
        <w:shd w:val="clear" w:color="auto" w:fill="FFFFFF"/>
        <w:tabs>
          <w:tab w:val="left" w:pos="5952"/>
        </w:tabs>
        <w:spacing w:after="226"/>
        <w:ind w:left="5"/>
        <w:sectPr w:rsidR="00591D54">
          <w:pgSz w:w="11909" w:h="16834"/>
          <w:pgMar w:top="1373" w:right="1309" w:bottom="360" w:left="1308" w:header="720" w:footer="720" w:gutter="0"/>
          <w:cols w:space="60"/>
          <w:noEndnote/>
        </w:sectPr>
      </w:pPr>
    </w:p>
    <w:p w14:paraId="4F67AA9D" w14:textId="77777777" w:rsidR="00591D54" w:rsidRDefault="00591D54">
      <w:pPr>
        <w:shd w:val="clear" w:color="auto" w:fill="FFFFFF"/>
        <w:ind w:left="5"/>
        <w:jc w:val="center"/>
      </w:pPr>
      <w:r>
        <w:rPr>
          <w:b/>
          <w:bCs/>
          <w:sz w:val="18"/>
          <w:szCs w:val="18"/>
          <w:lang w:val="es-ES_tradnl"/>
        </w:rPr>
        <w:t>SENTENCIA</w:t>
      </w:r>
    </w:p>
    <w:p w14:paraId="4F67AA9E" w14:textId="77777777" w:rsidR="00591D54" w:rsidRDefault="00591D54" w:rsidP="00251195">
      <w:pPr>
        <w:numPr>
          <w:ilvl w:val="0"/>
          <w:numId w:val="49"/>
        </w:numPr>
        <w:shd w:val="clear" w:color="auto" w:fill="FFFFFF"/>
        <w:tabs>
          <w:tab w:val="left" w:pos="283"/>
        </w:tabs>
        <w:spacing w:before="197" w:line="216" w:lineRule="exact"/>
        <w:ind w:left="283" w:hanging="283"/>
        <w:jc w:val="both"/>
        <w:rPr>
          <w:spacing w:val="-11"/>
          <w:sz w:val="18"/>
          <w:szCs w:val="18"/>
          <w:lang w:val="es-ES_tradnl"/>
        </w:rPr>
      </w:pPr>
      <w:r>
        <w:rPr>
          <w:spacing w:val="-6"/>
          <w:sz w:val="18"/>
          <w:szCs w:val="18"/>
          <w:lang w:val="es-ES_tradnl"/>
        </w:rPr>
        <w:t xml:space="preserve">Declarar que existe incumplimiento de la sentencia </w:t>
      </w:r>
      <w:r>
        <w:rPr>
          <w:spacing w:val="-11"/>
          <w:sz w:val="18"/>
          <w:szCs w:val="18"/>
          <w:lang w:val="es-ES_tradnl"/>
        </w:rPr>
        <w:t xml:space="preserve">emitida el 05 de marzo de 2010, por los jueces de la Sala </w:t>
      </w:r>
      <w:r>
        <w:rPr>
          <w:spacing w:val="-4"/>
          <w:sz w:val="18"/>
          <w:szCs w:val="18"/>
          <w:lang w:val="es-ES_tradnl"/>
        </w:rPr>
        <w:t xml:space="preserve">Civil, Mercantil, Inquilinato y Materias Residuales de </w:t>
      </w:r>
      <w:r>
        <w:rPr>
          <w:spacing w:val="-6"/>
          <w:sz w:val="18"/>
          <w:szCs w:val="18"/>
          <w:lang w:val="es-ES_tradnl"/>
        </w:rPr>
        <w:t xml:space="preserve">la Corte Provincial de Loja, en lo concerniente al pago </w:t>
      </w:r>
      <w:r>
        <w:rPr>
          <w:spacing w:val="-7"/>
          <w:sz w:val="18"/>
          <w:szCs w:val="18"/>
          <w:lang w:val="es-ES_tradnl"/>
        </w:rPr>
        <w:t>de la reparaci</w:t>
      </w:r>
      <w:r>
        <w:rPr>
          <w:rFonts w:cs="Times New Roman"/>
          <w:spacing w:val="-7"/>
          <w:sz w:val="18"/>
          <w:szCs w:val="18"/>
          <w:lang w:val="es-ES_tradnl"/>
        </w:rPr>
        <w:t>ó</w:t>
      </w:r>
      <w:r>
        <w:rPr>
          <w:spacing w:val="-7"/>
          <w:sz w:val="18"/>
          <w:szCs w:val="18"/>
          <w:lang w:val="es-ES_tradnl"/>
        </w:rPr>
        <w:t>n econ</w:t>
      </w:r>
      <w:r>
        <w:rPr>
          <w:rFonts w:cs="Times New Roman"/>
          <w:spacing w:val="-7"/>
          <w:sz w:val="18"/>
          <w:szCs w:val="18"/>
          <w:lang w:val="es-ES_tradnl"/>
        </w:rPr>
        <w:t>ó</w:t>
      </w:r>
      <w:r>
        <w:rPr>
          <w:spacing w:val="-7"/>
          <w:sz w:val="18"/>
          <w:szCs w:val="18"/>
          <w:lang w:val="es-ES_tradnl"/>
        </w:rPr>
        <w:t xml:space="preserve">mica comprendida desde el 31 </w:t>
      </w:r>
      <w:r>
        <w:rPr>
          <w:spacing w:val="-9"/>
          <w:sz w:val="18"/>
          <w:szCs w:val="18"/>
          <w:lang w:val="es-ES_tradnl"/>
        </w:rPr>
        <w:t xml:space="preserve">de enero de 2010 hasta la fecha en la que la legitimada activa fue reincorporada a su puesto de trabajo, que fue </w:t>
      </w:r>
      <w:r>
        <w:rPr>
          <w:sz w:val="18"/>
          <w:szCs w:val="18"/>
          <w:lang w:val="es-ES_tradnl"/>
        </w:rPr>
        <w:t>el 23 de febrero de 2010.</w:t>
      </w:r>
    </w:p>
    <w:p w14:paraId="4F67AA9F" w14:textId="77777777" w:rsidR="00591D54" w:rsidRDefault="00591D54" w:rsidP="00251195">
      <w:pPr>
        <w:numPr>
          <w:ilvl w:val="0"/>
          <w:numId w:val="49"/>
        </w:numPr>
        <w:shd w:val="clear" w:color="auto" w:fill="FFFFFF"/>
        <w:tabs>
          <w:tab w:val="left" w:pos="283"/>
        </w:tabs>
        <w:spacing w:before="197" w:line="216" w:lineRule="exact"/>
        <w:ind w:left="283" w:right="5" w:hanging="283"/>
        <w:jc w:val="both"/>
        <w:rPr>
          <w:spacing w:val="-11"/>
          <w:sz w:val="18"/>
          <w:szCs w:val="18"/>
          <w:lang w:val="es-ES_tradnl"/>
        </w:rPr>
      </w:pPr>
      <w:r>
        <w:rPr>
          <w:spacing w:val="-6"/>
          <w:sz w:val="18"/>
          <w:szCs w:val="18"/>
          <w:lang w:val="es-ES_tradnl"/>
        </w:rPr>
        <w:t>Aceptar la acci</w:t>
      </w:r>
      <w:r>
        <w:rPr>
          <w:rFonts w:cs="Times New Roman"/>
          <w:spacing w:val="-6"/>
          <w:sz w:val="18"/>
          <w:szCs w:val="18"/>
          <w:lang w:val="es-ES_tradnl"/>
        </w:rPr>
        <w:t>ó</w:t>
      </w:r>
      <w:r>
        <w:rPr>
          <w:spacing w:val="-6"/>
          <w:sz w:val="18"/>
          <w:szCs w:val="18"/>
          <w:lang w:val="es-ES_tradnl"/>
        </w:rPr>
        <w:t xml:space="preserve">n de incumplimiento de sentencia </w:t>
      </w:r>
      <w:r>
        <w:rPr>
          <w:sz w:val="18"/>
          <w:szCs w:val="18"/>
          <w:lang w:val="es-ES_tradnl"/>
        </w:rPr>
        <w:t>planteada.</w:t>
      </w:r>
    </w:p>
    <w:p w14:paraId="4F67AAA0" w14:textId="77777777" w:rsidR="00591D54" w:rsidRDefault="00591D54" w:rsidP="00251195">
      <w:pPr>
        <w:numPr>
          <w:ilvl w:val="0"/>
          <w:numId w:val="49"/>
        </w:numPr>
        <w:shd w:val="clear" w:color="auto" w:fill="FFFFFF"/>
        <w:tabs>
          <w:tab w:val="left" w:pos="283"/>
        </w:tabs>
        <w:spacing w:before="197"/>
        <w:rPr>
          <w:spacing w:val="-11"/>
          <w:sz w:val="18"/>
          <w:szCs w:val="18"/>
          <w:lang w:val="es-ES_tradnl"/>
        </w:rPr>
      </w:pPr>
      <w:r>
        <w:rPr>
          <w:spacing w:val="-8"/>
          <w:sz w:val="18"/>
          <w:szCs w:val="18"/>
          <w:lang w:val="es-ES_tradnl"/>
        </w:rPr>
        <w:t>Como medidas de reparaci</w:t>
      </w:r>
      <w:r>
        <w:rPr>
          <w:rFonts w:cs="Times New Roman"/>
          <w:spacing w:val="-8"/>
          <w:sz w:val="18"/>
          <w:szCs w:val="18"/>
          <w:lang w:val="es-ES_tradnl"/>
        </w:rPr>
        <w:t>ó</w:t>
      </w:r>
      <w:r>
        <w:rPr>
          <w:spacing w:val="-8"/>
          <w:sz w:val="18"/>
          <w:szCs w:val="18"/>
          <w:lang w:val="es-ES_tradnl"/>
        </w:rPr>
        <w:t>n integral se dispone:</w:t>
      </w:r>
    </w:p>
    <w:p w14:paraId="4F67AAA1" w14:textId="77777777" w:rsidR="00591D54" w:rsidRDefault="00591D54">
      <w:pPr>
        <w:shd w:val="clear" w:color="auto" w:fill="FFFFFF"/>
        <w:tabs>
          <w:tab w:val="left" w:pos="595"/>
        </w:tabs>
        <w:spacing w:before="197" w:line="216" w:lineRule="exact"/>
        <w:ind w:left="283"/>
        <w:jc w:val="both"/>
      </w:pPr>
      <w:r>
        <w:rPr>
          <w:spacing w:val="-9"/>
          <w:sz w:val="18"/>
          <w:szCs w:val="18"/>
          <w:lang w:val="es-ES_tradnl"/>
        </w:rPr>
        <w:t>3.1.</w:t>
      </w:r>
      <w:r>
        <w:rPr>
          <w:sz w:val="18"/>
          <w:szCs w:val="18"/>
          <w:lang w:val="es-ES_tradnl"/>
        </w:rPr>
        <w:tab/>
      </w:r>
      <w:r>
        <w:rPr>
          <w:spacing w:val="-8"/>
          <w:sz w:val="18"/>
          <w:szCs w:val="18"/>
          <w:lang w:val="es-ES_tradnl"/>
        </w:rPr>
        <w:t>En virtud de las atribuciones previstas en el art</w:t>
      </w:r>
      <w:r>
        <w:rPr>
          <w:rFonts w:cs="Times New Roman"/>
          <w:spacing w:val="-8"/>
          <w:sz w:val="18"/>
          <w:szCs w:val="18"/>
          <w:lang w:val="es-ES_tradnl"/>
        </w:rPr>
        <w:t>í</w:t>
      </w:r>
      <w:r>
        <w:rPr>
          <w:spacing w:val="-8"/>
          <w:sz w:val="18"/>
          <w:szCs w:val="18"/>
          <w:lang w:val="es-ES_tradnl"/>
        </w:rPr>
        <w:t>culo </w:t>
      </w:r>
      <w:r>
        <w:rPr>
          <w:sz w:val="18"/>
          <w:szCs w:val="18"/>
          <w:lang w:val="es-ES_tradnl"/>
        </w:rPr>
        <w:t>436 numeral 9 de 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 </w:t>
      </w:r>
      <w:r>
        <w:rPr>
          <w:spacing w:val="-7"/>
          <w:sz w:val="18"/>
          <w:szCs w:val="18"/>
          <w:lang w:val="es-ES_tradnl"/>
        </w:rPr>
        <w:t>se dispone que el alcalde del Gobierno Aut</w:t>
      </w:r>
      <w:r>
        <w:rPr>
          <w:rFonts w:cs="Times New Roman"/>
          <w:spacing w:val="-7"/>
          <w:sz w:val="18"/>
          <w:szCs w:val="18"/>
          <w:lang w:val="es-ES_tradnl"/>
        </w:rPr>
        <w:t>ó</w:t>
      </w:r>
      <w:r>
        <w:rPr>
          <w:spacing w:val="-7"/>
          <w:sz w:val="18"/>
          <w:szCs w:val="18"/>
          <w:lang w:val="es-ES_tradnl"/>
        </w:rPr>
        <w:t>nomo </w:t>
      </w:r>
      <w:r>
        <w:rPr>
          <w:spacing w:val="-4"/>
          <w:sz w:val="18"/>
          <w:szCs w:val="18"/>
          <w:lang w:val="es-ES_tradnl"/>
        </w:rPr>
        <w:t>Descentralizado del cant</w:t>
      </w:r>
      <w:r>
        <w:rPr>
          <w:rFonts w:cs="Times New Roman"/>
          <w:spacing w:val="-4"/>
          <w:sz w:val="18"/>
          <w:szCs w:val="18"/>
          <w:lang w:val="es-ES_tradnl"/>
        </w:rPr>
        <w:t>ó</w:t>
      </w:r>
      <w:r>
        <w:rPr>
          <w:spacing w:val="-4"/>
          <w:sz w:val="18"/>
          <w:szCs w:val="18"/>
          <w:lang w:val="es-ES_tradnl"/>
        </w:rPr>
        <w:t>n Paltas cumpla con lo </w:t>
      </w:r>
      <w:r>
        <w:rPr>
          <w:spacing w:val="-9"/>
          <w:sz w:val="18"/>
          <w:szCs w:val="18"/>
          <w:lang w:val="es-ES_tradnl"/>
        </w:rPr>
        <w:t>se</w:t>
      </w:r>
      <w:r>
        <w:rPr>
          <w:rFonts w:cs="Times New Roman"/>
          <w:spacing w:val="-9"/>
          <w:sz w:val="18"/>
          <w:szCs w:val="18"/>
          <w:lang w:val="es-ES_tradnl"/>
        </w:rPr>
        <w:t>ñ</w:t>
      </w:r>
      <w:r>
        <w:rPr>
          <w:spacing w:val="-9"/>
          <w:sz w:val="18"/>
          <w:szCs w:val="18"/>
          <w:lang w:val="es-ES_tradnl"/>
        </w:rPr>
        <w:t>alado en el numeral 1 de la presente sentencia, bajo </w:t>
      </w:r>
      <w:r>
        <w:rPr>
          <w:spacing w:val="-8"/>
          <w:sz w:val="18"/>
          <w:szCs w:val="18"/>
          <w:lang w:val="es-ES_tradnl"/>
        </w:rPr>
        <w:t>las prevenciones establecidas en el art</w:t>
      </w:r>
      <w:r>
        <w:rPr>
          <w:rFonts w:cs="Times New Roman"/>
          <w:spacing w:val="-8"/>
          <w:sz w:val="18"/>
          <w:szCs w:val="18"/>
          <w:lang w:val="es-ES_tradnl"/>
        </w:rPr>
        <w:t>í</w:t>
      </w:r>
      <w:r>
        <w:rPr>
          <w:spacing w:val="-8"/>
          <w:sz w:val="18"/>
          <w:szCs w:val="18"/>
          <w:lang w:val="es-ES_tradnl"/>
        </w:rPr>
        <w:t>culo 86 numeral </w:t>
      </w:r>
      <w:r>
        <w:rPr>
          <w:sz w:val="18"/>
          <w:szCs w:val="18"/>
          <w:lang w:val="es-ES_tradnl"/>
        </w:rPr>
        <w:t>4 de 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AAA2" w14:textId="77777777" w:rsidR="00591D54" w:rsidRDefault="00591D54">
      <w:pPr>
        <w:shd w:val="clear" w:color="auto" w:fill="FFFFFF"/>
        <w:tabs>
          <w:tab w:val="left" w:pos="682"/>
        </w:tabs>
        <w:spacing w:before="197" w:line="216" w:lineRule="exact"/>
        <w:ind w:left="283" w:right="5"/>
        <w:jc w:val="both"/>
      </w:pPr>
      <w:r>
        <w:rPr>
          <w:spacing w:val="-9"/>
          <w:sz w:val="18"/>
          <w:szCs w:val="18"/>
          <w:lang w:val="es-ES_tradnl"/>
        </w:rPr>
        <w:t>3.2.</w:t>
      </w:r>
      <w:r>
        <w:rPr>
          <w:sz w:val="18"/>
          <w:szCs w:val="18"/>
          <w:lang w:val="es-ES_tradnl"/>
        </w:rPr>
        <w:tab/>
        <w:t>La reparaci</w:t>
      </w:r>
      <w:r>
        <w:rPr>
          <w:rFonts w:cs="Times New Roman"/>
          <w:sz w:val="18"/>
          <w:szCs w:val="18"/>
          <w:lang w:val="es-ES_tradnl"/>
        </w:rPr>
        <w:t>ó</w:t>
      </w:r>
      <w:r>
        <w:rPr>
          <w:sz w:val="18"/>
          <w:szCs w:val="18"/>
          <w:lang w:val="es-ES_tradnl"/>
        </w:rPr>
        <w:t>n econ</w:t>
      </w:r>
      <w:r>
        <w:rPr>
          <w:rFonts w:cs="Times New Roman"/>
          <w:sz w:val="18"/>
          <w:szCs w:val="18"/>
          <w:lang w:val="es-ES_tradnl"/>
        </w:rPr>
        <w:t>ó</w:t>
      </w:r>
      <w:r>
        <w:rPr>
          <w:sz w:val="18"/>
          <w:szCs w:val="18"/>
          <w:lang w:val="es-ES_tradnl"/>
        </w:rPr>
        <w:t>mica que corresponde a </w:t>
      </w:r>
      <w:r>
        <w:rPr>
          <w:spacing w:val="-5"/>
          <w:sz w:val="18"/>
          <w:szCs w:val="18"/>
          <w:lang w:val="es-ES_tradnl"/>
        </w:rPr>
        <w:t>la se</w:t>
      </w:r>
      <w:r>
        <w:rPr>
          <w:rFonts w:cs="Times New Roman"/>
          <w:spacing w:val="-5"/>
          <w:sz w:val="18"/>
          <w:szCs w:val="18"/>
          <w:lang w:val="es-ES_tradnl"/>
        </w:rPr>
        <w:t>ñ</w:t>
      </w:r>
      <w:r>
        <w:rPr>
          <w:spacing w:val="-5"/>
          <w:sz w:val="18"/>
          <w:szCs w:val="18"/>
          <w:lang w:val="es-ES_tradnl"/>
        </w:rPr>
        <w:t>ora Herlinda Cris</w:t>
      </w:r>
      <w:r>
        <w:rPr>
          <w:rFonts w:cs="Times New Roman"/>
          <w:spacing w:val="-5"/>
          <w:sz w:val="18"/>
          <w:szCs w:val="18"/>
          <w:lang w:val="es-ES_tradnl"/>
        </w:rPr>
        <w:t>á</w:t>
      </w:r>
      <w:r>
        <w:rPr>
          <w:spacing w:val="-5"/>
          <w:sz w:val="18"/>
          <w:szCs w:val="18"/>
          <w:lang w:val="es-ES_tradnl"/>
        </w:rPr>
        <w:t>lida Armijos Tinoco se la </w:t>
      </w:r>
      <w:r>
        <w:rPr>
          <w:spacing w:val="-6"/>
          <w:sz w:val="18"/>
          <w:szCs w:val="18"/>
          <w:lang w:val="es-ES_tradnl"/>
        </w:rPr>
        <w:t>determinar</w:t>
      </w:r>
      <w:r>
        <w:rPr>
          <w:rFonts w:cs="Times New Roman"/>
          <w:spacing w:val="-6"/>
          <w:sz w:val="18"/>
          <w:szCs w:val="18"/>
          <w:lang w:val="es-ES_tradnl"/>
        </w:rPr>
        <w:t>á</w:t>
      </w:r>
      <w:r>
        <w:rPr>
          <w:spacing w:val="-6"/>
          <w:sz w:val="18"/>
          <w:szCs w:val="18"/>
          <w:lang w:val="es-ES_tradnl"/>
        </w:rPr>
        <w:t xml:space="preserve"> en la v</w:t>
      </w:r>
      <w:r>
        <w:rPr>
          <w:rFonts w:cs="Times New Roman"/>
          <w:spacing w:val="-6"/>
          <w:sz w:val="18"/>
          <w:szCs w:val="18"/>
          <w:lang w:val="es-ES_tradnl"/>
        </w:rPr>
        <w:t>í</w:t>
      </w:r>
      <w:r>
        <w:rPr>
          <w:spacing w:val="-6"/>
          <w:sz w:val="18"/>
          <w:szCs w:val="18"/>
          <w:lang w:val="es-ES_tradnl"/>
        </w:rPr>
        <w:t>a contencioso administrativa, de conformidad con el art</w:t>
      </w:r>
      <w:r>
        <w:rPr>
          <w:rFonts w:cs="Times New Roman"/>
          <w:spacing w:val="-6"/>
          <w:sz w:val="18"/>
          <w:szCs w:val="18"/>
          <w:lang w:val="es-ES_tradnl"/>
        </w:rPr>
        <w:t>í</w:t>
      </w:r>
      <w:r>
        <w:rPr>
          <w:spacing w:val="-6"/>
          <w:sz w:val="18"/>
          <w:szCs w:val="18"/>
          <w:lang w:val="es-ES_tradnl"/>
        </w:rPr>
        <w:t>culo 19 de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as Jurisdiccionales y la regla jurisprudencial </w:t>
      </w:r>
      <w:r>
        <w:rPr>
          <w:spacing w:val="-7"/>
          <w:sz w:val="18"/>
          <w:szCs w:val="18"/>
          <w:lang w:val="es-ES_tradnl"/>
        </w:rPr>
        <w:t>dictada por la Corte Constitucional en la sentencia N.</w:t>
      </w:r>
      <w:r>
        <w:rPr>
          <w:rFonts w:cs="Times New Roman"/>
          <w:spacing w:val="-7"/>
          <w:sz w:val="18"/>
          <w:szCs w:val="18"/>
          <w:lang w:val="es-ES_tradnl"/>
        </w:rPr>
        <w:t>º </w:t>
      </w:r>
      <w:r>
        <w:rPr>
          <w:spacing w:val="-5"/>
          <w:sz w:val="18"/>
          <w:szCs w:val="18"/>
          <w:lang w:val="es-ES_tradnl"/>
        </w:rPr>
        <w:t>004-13-SAN-CC, dentro del caso N.</w:t>
      </w:r>
      <w:r>
        <w:rPr>
          <w:rFonts w:cs="Times New Roman"/>
          <w:spacing w:val="-5"/>
          <w:sz w:val="18"/>
          <w:szCs w:val="18"/>
          <w:lang w:val="es-ES_tradnl"/>
        </w:rPr>
        <w:t>º</w:t>
      </w:r>
      <w:r>
        <w:rPr>
          <w:spacing w:val="-5"/>
          <w:sz w:val="18"/>
          <w:szCs w:val="18"/>
          <w:lang w:val="es-ES_tradnl"/>
        </w:rPr>
        <w:t xml:space="preserve"> 0015-10-AN, </w:t>
      </w:r>
      <w:r>
        <w:rPr>
          <w:spacing w:val="-7"/>
          <w:sz w:val="18"/>
          <w:szCs w:val="18"/>
          <w:lang w:val="es-ES_tradnl"/>
        </w:rPr>
        <w:t>aprobada por el Pleno de la Corte Constitucional el 13 </w:t>
      </w:r>
      <w:r>
        <w:rPr>
          <w:spacing w:val="-9"/>
          <w:sz w:val="18"/>
          <w:szCs w:val="18"/>
          <w:lang w:val="es-ES_tradnl"/>
        </w:rPr>
        <w:t>de junio del 2013. En consecuencia, se dispone al juez </w:t>
      </w:r>
      <w:r>
        <w:rPr>
          <w:spacing w:val="-7"/>
          <w:sz w:val="18"/>
          <w:szCs w:val="18"/>
          <w:lang w:val="es-ES_tradnl"/>
        </w:rPr>
        <w:t>d</w:t>
      </w:r>
      <w:r>
        <w:rPr>
          <w:rFonts w:cs="Times New Roman"/>
          <w:spacing w:val="-7"/>
          <w:sz w:val="18"/>
          <w:szCs w:val="18"/>
          <w:lang w:val="es-ES_tradnl"/>
        </w:rPr>
        <w:t>é</w:t>
      </w:r>
      <w:r>
        <w:rPr>
          <w:spacing w:val="-7"/>
          <w:sz w:val="18"/>
          <w:szCs w:val="18"/>
          <w:lang w:val="es-ES_tradnl"/>
        </w:rPr>
        <w:t>cimo cuarto de Loja remita el expediente al Tribunal de lo Contencioso Administrativo, debiendo informar a </w:t>
      </w:r>
      <w:r>
        <w:rPr>
          <w:spacing w:val="-10"/>
          <w:sz w:val="18"/>
          <w:szCs w:val="18"/>
          <w:lang w:val="es-ES_tradnl"/>
        </w:rPr>
        <w:t>esta Corte en el t</w:t>
      </w:r>
      <w:r>
        <w:rPr>
          <w:rFonts w:cs="Times New Roman"/>
          <w:spacing w:val="-10"/>
          <w:sz w:val="18"/>
          <w:szCs w:val="18"/>
          <w:lang w:val="es-ES_tradnl"/>
        </w:rPr>
        <w:t>é</w:t>
      </w:r>
      <w:r>
        <w:rPr>
          <w:spacing w:val="-10"/>
          <w:sz w:val="18"/>
          <w:szCs w:val="18"/>
          <w:lang w:val="es-ES_tradnl"/>
        </w:rPr>
        <w:t>rmino de 30 d</w:t>
      </w:r>
      <w:r>
        <w:rPr>
          <w:rFonts w:cs="Times New Roman"/>
          <w:spacing w:val="-10"/>
          <w:sz w:val="18"/>
          <w:szCs w:val="18"/>
          <w:lang w:val="es-ES_tradnl"/>
        </w:rPr>
        <w:t>í</w:t>
      </w:r>
      <w:r>
        <w:rPr>
          <w:spacing w:val="-10"/>
          <w:sz w:val="18"/>
          <w:szCs w:val="18"/>
          <w:lang w:val="es-ES_tradnl"/>
        </w:rPr>
        <w:t>as desde la notificaci</w:t>
      </w:r>
      <w:r>
        <w:rPr>
          <w:rFonts w:cs="Times New Roman"/>
          <w:spacing w:val="-10"/>
          <w:sz w:val="18"/>
          <w:szCs w:val="18"/>
          <w:lang w:val="es-ES_tradnl"/>
        </w:rPr>
        <w:t>ó</w:t>
      </w:r>
      <w:r>
        <w:rPr>
          <w:spacing w:val="-10"/>
          <w:sz w:val="18"/>
          <w:szCs w:val="18"/>
          <w:lang w:val="es-ES_tradnl"/>
        </w:rPr>
        <w:t>n </w:t>
      </w:r>
      <w:r>
        <w:rPr>
          <w:spacing w:val="-8"/>
          <w:sz w:val="18"/>
          <w:szCs w:val="18"/>
          <w:lang w:val="es-ES_tradnl"/>
        </w:rPr>
        <w:t>de la presente sentencia, respecto del cumplimiento de </w:t>
      </w:r>
      <w:r>
        <w:rPr>
          <w:spacing w:val="-9"/>
          <w:sz w:val="18"/>
          <w:szCs w:val="18"/>
          <w:lang w:val="es-ES_tradnl"/>
        </w:rPr>
        <w:t>la decisi</w:t>
      </w:r>
      <w:r>
        <w:rPr>
          <w:rFonts w:cs="Times New Roman"/>
          <w:spacing w:val="-9"/>
          <w:sz w:val="18"/>
          <w:szCs w:val="18"/>
          <w:lang w:val="es-ES_tradnl"/>
        </w:rPr>
        <w:t>ó</w:t>
      </w:r>
      <w:r>
        <w:rPr>
          <w:spacing w:val="-9"/>
          <w:sz w:val="18"/>
          <w:szCs w:val="18"/>
          <w:lang w:val="es-ES_tradnl"/>
        </w:rPr>
        <w:t>n emanada por este organismo.</w:t>
      </w:r>
    </w:p>
    <w:p w14:paraId="4F67AAA3" w14:textId="77777777" w:rsidR="00591D54" w:rsidRDefault="00591D54">
      <w:pPr>
        <w:shd w:val="clear" w:color="auto" w:fill="FFFFFF"/>
        <w:tabs>
          <w:tab w:val="left" w:pos="634"/>
        </w:tabs>
        <w:spacing w:before="197" w:line="216" w:lineRule="exact"/>
        <w:ind w:left="283" w:right="5"/>
        <w:jc w:val="both"/>
      </w:pPr>
      <w:r>
        <w:rPr>
          <w:spacing w:val="-9"/>
          <w:sz w:val="18"/>
          <w:szCs w:val="18"/>
          <w:lang w:val="es-ES_tradnl"/>
        </w:rPr>
        <w:t>3.3.</w:t>
      </w:r>
      <w:r>
        <w:rPr>
          <w:sz w:val="18"/>
          <w:szCs w:val="18"/>
          <w:lang w:val="es-ES_tradnl"/>
        </w:rPr>
        <w:tab/>
      </w:r>
      <w:r>
        <w:rPr>
          <w:spacing w:val="-4"/>
          <w:sz w:val="18"/>
          <w:szCs w:val="18"/>
          <w:lang w:val="es-ES_tradnl"/>
        </w:rPr>
        <w:t>El Tribunal Contencioso Administrativo que por </w:t>
      </w:r>
      <w:r>
        <w:rPr>
          <w:spacing w:val="-8"/>
          <w:sz w:val="18"/>
          <w:szCs w:val="18"/>
          <w:lang w:val="es-ES_tradnl"/>
        </w:rPr>
        <w:t>sorteo conozca el caso, deber</w:t>
      </w:r>
      <w:r>
        <w:rPr>
          <w:rFonts w:cs="Times New Roman"/>
          <w:spacing w:val="-8"/>
          <w:sz w:val="18"/>
          <w:szCs w:val="18"/>
          <w:lang w:val="es-ES_tradnl"/>
        </w:rPr>
        <w:t>á</w:t>
      </w:r>
      <w:r>
        <w:rPr>
          <w:spacing w:val="-8"/>
          <w:sz w:val="18"/>
          <w:szCs w:val="18"/>
          <w:lang w:val="es-ES_tradnl"/>
        </w:rPr>
        <w:t xml:space="preserve"> informar a esta Corte </w:t>
      </w:r>
      <w:r>
        <w:rPr>
          <w:sz w:val="18"/>
          <w:szCs w:val="18"/>
          <w:lang w:val="es-ES_tradnl"/>
        </w:rPr>
        <w:t>sobre la ejecuci</w:t>
      </w:r>
      <w:r>
        <w:rPr>
          <w:rFonts w:cs="Times New Roman"/>
          <w:sz w:val="18"/>
          <w:szCs w:val="18"/>
          <w:lang w:val="es-ES_tradnl"/>
        </w:rPr>
        <w:t>ó</w:t>
      </w:r>
      <w:r>
        <w:rPr>
          <w:sz w:val="18"/>
          <w:szCs w:val="18"/>
          <w:lang w:val="es-ES_tradnl"/>
        </w:rPr>
        <w:t>n del proceso.</w:t>
      </w:r>
    </w:p>
    <w:p w14:paraId="4F67AAA4" w14:textId="77777777" w:rsidR="00591D54" w:rsidRDefault="00591D54">
      <w:pPr>
        <w:shd w:val="clear" w:color="auto" w:fill="FFFFFF"/>
        <w:tabs>
          <w:tab w:val="left" w:pos="283"/>
        </w:tabs>
        <w:spacing w:before="29" w:line="432" w:lineRule="exact"/>
      </w:pPr>
      <w:r>
        <w:rPr>
          <w:spacing w:val="-11"/>
          <w:sz w:val="18"/>
          <w:szCs w:val="18"/>
          <w:lang w:val="es-ES_tradnl"/>
        </w:rPr>
        <w:t>4.</w:t>
      </w:r>
      <w:r>
        <w:rPr>
          <w:sz w:val="18"/>
          <w:szCs w:val="18"/>
          <w:lang w:val="es-ES_tradnl"/>
        </w:rPr>
        <w:tab/>
      </w:r>
      <w:r>
        <w:rPr>
          <w:spacing w:val="-7"/>
          <w:sz w:val="18"/>
          <w:szCs w:val="18"/>
          <w:lang w:val="es-ES_tradnl"/>
        </w:rPr>
        <w:t>Notif</w:t>
      </w:r>
      <w:r>
        <w:rPr>
          <w:rFonts w:cs="Times New Roman"/>
          <w:spacing w:val="-7"/>
          <w:sz w:val="18"/>
          <w:szCs w:val="18"/>
          <w:lang w:val="es-ES_tradnl"/>
        </w:rPr>
        <w:t>í</w:t>
      </w:r>
      <w:r>
        <w:rPr>
          <w:spacing w:val="-7"/>
          <w:sz w:val="18"/>
          <w:szCs w:val="18"/>
          <w:lang w:val="es-ES_tradnl"/>
        </w:rPr>
        <w:t>quese, publ</w:t>
      </w:r>
      <w:r>
        <w:rPr>
          <w:rFonts w:cs="Times New Roman"/>
          <w:spacing w:val="-7"/>
          <w:sz w:val="18"/>
          <w:szCs w:val="18"/>
          <w:lang w:val="es-ES_tradnl"/>
        </w:rPr>
        <w:t>í</w:t>
      </w:r>
      <w:r>
        <w:rPr>
          <w:spacing w:val="-7"/>
          <w:sz w:val="18"/>
          <w:szCs w:val="18"/>
          <w:lang w:val="es-ES_tradnl"/>
        </w:rPr>
        <w:t>quese y c</w:t>
      </w:r>
      <w:r>
        <w:rPr>
          <w:rFonts w:cs="Times New Roman"/>
          <w:spacing w:val="-7"/>
          <w:sz w:val="18"/>
          <w:szCs w:val="18"/>
          <w:lang w:val="es-ES_tradnl"/>
        </w:rPr>
        <w:t>ú</w:t>
      </w:r>
      <w:r>
        <w:rPr>
          <w:spacing w:val="-7"/>
          <w:sz w:val="18"/>
          <w:szCs w:val="18"/>
          <w:lang w:val="es-ES_tradnl"/>
        </w:rPr>
        <w:t>mplase.</w:t>
      </w:r>
    </w:p>
    <w:p w14:paraId="4F67AAA5" w14:textId="77777777" w:rsidR="00591D54" w:rsidRDefault="00591D54">
      <w:pPr>
        <w:shd w:val="clear" w:color="auto" w:fill="FFFFFF"/>
        <w:spacing w:line="432" w:lineRule="exact"/>
      </w:pPr>
      <w:r>
        <w:rPr>
          <w:spacing w:val="-4"/>
          <w:sz w:val="18"/>
          <w:szCs w:val="18"/>
          <w:lang w:val="es-ES_tradnl"/>
        </w:rPr>
        <w:t>f.) Patricio Pazmi</w:t>
      </w:r>
      <w:r>
        <w:rPr>
          <w:rFonts w:cs="Times New Roman"/>
          <w:spacing w:val="-4"/>
          <w:sz w:val="18"/>
          <w:szCs w:val="18"/>
          <w:lang w:val="es-ES_tradnl"/>
        </w:rPr>
        <w:t>ñ</w:t>
      </w:r>
      <w:r>
        <w:rPr>
          <w:spacing w:val="-4"/>
          <w:sz w:val="18"/>
          <w:szCs w:val="18"/>
          <w:lang w:val="es-ES_tradnl"/>
        </w:rPr>
        <w:t xml:space="preserve">o Freire, </w:t>
      </w:r>
      <w:r>
        <w:rPr>
          <w:b/>
          <w:bCs/>
          <w:spacing w:val="-4"/>
          <w:sz w:val="18"/>
          <w:szCs w:val="18"/>
          <w:lang w:val="es-ES_tradnl"/>
        </w:rPr>
        <w:t>PRESIDENTE.</w:t>
      </w:r>
    </w:p>
    <w:p w14:paraId="4F67AAA6" w14:textId="77777777" w:rsidR="00591D54" w:rsidRDefault="00591D54">
      <w:pPr>
        <w:shd w:val="clear" w:color="auto" w:fill="FFFFFF"/>
        <w:spacing w:line="432" w:lineRule="exact"/>
      </w:pPr>
      <w:r>
        <w:rPr>
          <w:spacing w:val="-4"/>
          <w:sz w:val="18"/>
          <w:szCs w:val="18"/>
          <w:lang w:val="es-ES_tradnl"/>
        </w:rPr>
        <w:t xml:space="preserve">f.) Jaime Pozo Chamorro, </w:t>
      </w:r>
      <w:r>
        <w:rPr>
          <w:b/>
          <w:bCs/>
          <w:spacing w:val="-4"/>
          <w:sz w:val="18"/>
          <w:szCs w:val="18"/>
          <w:lang w:val="es-ES_tradnl"/>
        </w:rPr>
        <w:t>SECRETARIO GENERAL.</w:t>
      </w:r>
    </w:p>
    <w:p w14:paraId="4F67AAA7" w14:textId="77777777" w:rsidR="00591D54" w:rsidRDefault="00591D54">
      <w:pPr>
        <w:shd w:val="clear" w:color="auto" w:fill="FFFFFF"/>
        <w:spacing w:before="158" w:line="216" w:lineRule="exact"/>
        <w:ind w:right="5"/>
        <w:jc w:val="both"/>
      </w:pPr>
      <w:r>
        <w:rPr>
          <w:b/>
          <w:bCs/>
          <w:spacing w:val="-7"/>
          <w:sz w:val="18"/>
          <w:szCs w:val="18"/>
          <w:lang w:val="es-ES_tradnl"/>
        </w:rPr>
        <w:t>Raz</w:t>
      </w:r>
      <w:r>
        <w:rPr>
          <w:rFonts w:cs="Times New Roman"/>
          <w:b/>
          <w:bCs/>
          <w:spacing w:val="-7"/>
          <w:sz w:val="18"/>
          <w:szCs w:val="18"/>
          <w:lang w:val="es-ES_tradnl"/>
        </w:rPr>
        <w:t>ó</w:t>
      </w:r>
      <w:r>
        <w:rPr>
          <w:b/>
          <w:bCs/>
          <w:spacing w:val="-7"/>
          <w:sz w:val="18"/>
          <w:szCs w:val="18"/>
          <w:lang w:val="es-ES_tradnl"/>
        </w:rPr>
        <w:t xml:space="preserve">n: </w:t>
      </w:r>
      <w:r>
        <w:rPr>
          <w:spacing w:val="-7"/>
          <w:sz w:val="18"/>
          <w:szCs w:val="18"/>
          <w:lang w:val="es-ES_tradnl"/>
        </w:rPr>
        <w:t xml:space="preserve">Siento por tal, que la sentencia que antecede fue </w:t>
      </w:r>
      <w:r>
        <w:rPr>
          <w:spacing w:val="-3"/>
          <w:sz w:val="18"/>
          <w:szCs w:val="18"/>
          <w:lang w:val="es-ES_tradnl"/>
        </w:rPr>
        <w:t xml:space="preserve">aprobada por el Pleno de la Corte Constitucional, con </w:t>
      </w:r>
      <w:r>
        <w:rPr>
          <w:spacing w:val="-10"/>
          <w:sz w:val="18"/>
          <w:szCs w:val="18"/>
          <w:lang w:val="es-ES_tradnl"/>
        </w:rPr>
        <w:t>ocho votos de las se</w:t>
      </w:r>
      <w:r>
        <w:rPr>
          <w:rFonts w:cs="Times New Roman"/>
          <w:spacing w:val="-10"/>
          <w:sz w:val="18"/>
          <w:szCs w:val="18"/>
          <w:lang w:val="es-ES_tradnl"/>
        </w:rPr>
        <w:t>ñ</w:t>
      </w:r>
      <w:r>
        <w:rPr>
          <w:spacing w:val="-10"/>
          <w:sz w:val="18"/>
          <w:szCs w:val="18"/>
          <w:lang w:val="es-ES_tradnl"/>
        </w:rPr>
        <w:t>oras juezas y se</w:t>
      </w:r>
      <w:r>
        <w:rPr>
          <w:rFonts w:cs="Times New Roman"/>
          <w:spacing w:val="-10"/>
          <w:sz w:val="18"/>
          <w:szCs w:val="18"/>
          <w:lang w:val="es-ES_tradnl"/>
        </w:rPr>
        <w:t>ñ</w:t>
      </w:r>
      <w:r>
        <w:rPr>
          <w:spacing w:val="-10"/>
          <w:sz w:val="18"/>
          <w:szCs w:val="18"/>
          <w:lang w:val="es-ES_tradnl"/>
        </w:rPr>
        <w:t xml:space="preserve">ores jueces: Antonio </w:t>
      </w:r>
      <w:r>
        <w:rPr>
          <w:spacing w:val="-7"/>
          <w:sz w:val="18"/>
          <w:szCs w:val="18"/>
          <w:lang w:val="es-ES_tradnl"/>
        </w:rPr>
        <w:t>Gagliardo Loor, Marcelo Jaramillo Villa, Mar</w:t>
      </w:r>
      <w:r>
        <w:rPr>
          <w:rFonts w:cs="Times New Roman"/>
          <w:spacing w:val="-7"/>
          <w:sz w:val="18"/>
          <w:szCs w:val="18"/>
          <w:lang w:val="es-ES_tradnl"/>
        </w:rPr>
        <w:t>í</w:t>
      </w:r>
      <w:r>
        <w:rPr>
          <w:spacing w:val="-7"/>
          <w:sz w:val="18"/>
          <w:szCs w:val="18"/>
          <w:lang w:val="es-ES_tradnl"/>
        </w:rPr>
        <w:t xml:space="preserve">a del Carmen </w:t>
      </w:r>
      <w:r>
        <w:rPr>
          <w:spacing w:val="-5"/>
          <w:sz w:val="18"/>
          <w:szCs w:val="18"/>
          <w:lang w:val="es-ES_tradnl"/>
        </w:rPr>
        <w:t>Maldonado S</w:t>
      </w:r>
      <w:r>
        <w:rPr>
          <w:rFonts w:cs="Times New Roman"/>
          <w:spacing w:val="-5"/>
          <w:sz w:val="18"/>
          <w:szCs w:val="18"/>
          <w:lang w:val="es-ES_tradnl"/>
        </w:rPr>
        <w:t>á</w:t>
      </w:r>
      <w:r>
        <w:rPr>
          <w:spacing w:val="-5"/>
          <w:sz w:val="18"/>
          <w:szCs w:val="18"/>
          <w:lang w:val="es-ES_tradnl"/>
        </w:rPr>
        <w:t>nchez, Tatiana Orde</w:t>
      </w:r>
      <w:r>
        <w:rPr>
          <w:rFonts w:cs="Times New Roman"/>
          <w:spacing w:val="-5"/>
          <w:sz w:val="18"/>
          <w:szCs w:val="18"/>
          <w:lang w:val="es-ES_tradnl"/>
        </w:rPr>
        <w:t>ñ</w:t>
      </w:r>
      <w:r>
        <w:rPr>
          <w:spacing w:val="-5"/>
          <w:sz w:val="18"/>
          <w:szCs w:val="18"/>
          <w:lang w:val="es-ES_tradnl"/>
        </w:rPr>
        <w:t xml:space="preserve">ana Sierra, Alfredo </w:t>
      </w:r>
      <w:r>
        <w:rPr>
          <w:spacing w:val="-7"/>
          <w:sz w:val="18"/>
          <w:szCs w:val="18"/>
          <w:lang w:val="es-ES_tradnl"/>
        </w:rPr>
        <w:t>Ruiz Guzm</w:t>
      </w:r>
      <w:r>
        <w:rPr>
          <w:rFonts w:cs="Times New Roman"/>
          <w:spacing w:val="-7"/>
          <w:sz w:val="18"/>
          <w:szCs w:val="18"/>
          <w:lang w:val="es-ES_tradnl"/>
        </w:rPr>
        <w:t>á</w:t>
      </w:r>
      <w:r>
        <w:rPr>
          <w:spacing w:val="-7"/>
          <w:sz w:val="18"/>
          <w:szCs w:val="18"/>
          <w:lang w:val="es-ES_tradnl"/>
        </w:rPr>
        <w:t xml:space="preserve">n, Ruth Seni Pinoargote, Manuel Viteri Olvera </w:t>
      </w:r>
      <w:r>
        <w:rPr>
          <w:spacing w:val="-1"/>
          <w:sz w:val="18"/>
          <w:szCs w:val="18"/>
          <w:lang w:val="es-ES_tradnl"/>
        </w:rPr>
        <w:t>y Patricio Pazmi</w:t>
      </w:r>
      <w:r>
        <w:rPr>
          <w:rFonts w:cs="Times New Roman"/>
          <w:spacing w:val="-1"/>
          <w:sz w:val="18"/>
          <w:szCs w:val="18"/>
          <w:lang w:val="es-ES_tradnl"/>
        </w:rPr>
        <w:t>ñ</w:t>
      </w:r>
      <w:r>
        <w:rPr>
          <w:spacing w:val="-1"/>
          <w:sz w:val="18"/>
          <w:szCs w:val="18"/>
          <w:lang w:val="es-ES_tradnl"/>
        </w:rPr>
        <w:t xml:space="preserve">o Freire, sin contar con la presencia </w:t>
      </w:r>
      <w:r>
        <w:rPr>
          <w:spacing w:val="-7"/>
          <w:sz w:val="18"/>
          <w:szCs w:val="18"/>
          <w:lang w:val="es-ES_tradnl"/>
        </w:rPr>
        <w:t>de la jueza Wendy Molina Andrade, en sesi</w:t>
      </w:r>
      <w:r>
        <w:rPr>
          <w:rFonts w:cs="Times New Roman"/>
          <w:spacing w:val="-7"/>
          <w:sz w:val="18"/>
          <w:szCs w:val="18"/>
          <w:lang w:val="es-ES_tradnl"/>
        </w:rPr>
        <w:t>ó</w:t>
      </w:r>
      <w:r>
        <w:rPr>
          <w:spacing w:val="-7"/>
          <w:sz w:val="18"/>
          <w:szCs w:val="18"/>
          <w:lang w:val="es-ES_tradnl"/>
        </w:rPr>
        <w:t xml:space="preserve">n del 02 de </w:t>
      </w:r>
      <w:r>
        <w:rPr>
          <w:sz w:val="18"/>
          <w:szCs w:val="18"/>
          <w:lang w:val="es-ES_tradnl"/>
        </w:rPr>
        <w:t>septiembre del 2015. Lo certifico.</w:t>
      </w:r>
    </w:p>
    <w:p w14:paraId="4F67AAA8" w14:textId="77777777" w:rsidR="00591D54" w:rsidRDefault="00591D54">
      <w:pPr>
        <w:shd w:val="clear" w:color="auto" w:fill="FFFFFF"/>
        <w:spacing w:before="192"/>
      </w:pPr>
      <w:r>
        <w:rPr>
          <w:spacing w:val="-4"/>
          <w:sz w:val="18"/>
          <w:szCs w:val="18"/>
          <w:lang w:val="es-ES_tradnl"/>
        </w:rPr>
        <w:t xml:space="preserve">f.) Jaime Pozo Chamorro, </w:t>
      </w:r>
      <w:r>
        <w:rPr>
          <w:b/>
          <w:bCs/>
          <w:spacing w:val="-4"/>
          <w:sz w:val="18"/>
          <w:szCs w:val="18"/>
          <w:lang w:val="es-ES_tradnl"/>
        </w:rPr>
        <w:t>SECRETARIO GENERAL.</w:t>
      </w:r>
    </w:p>
    <w:p w14:paraId="4F67AAA9" w14:textId="77777777" w:rsidR="00591D54" w:rsidRDefault="00591D54">
      <w:pPr>
        <w:shd w:val="clear" w:color="auto" w:fill="FFFFFF"/>
        <w:spacing w:before="192"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p>
    <w:p w14:paraId="4F67AAAA" w14:textId="77777777" w:rsidR="00591D54" w:rsidRDefault="00591D54">
      <w:pPr>
        <w:shd w:val="clear" w:color="auto" w:fill="FFFFFF"/>
        <w:spacing w:before="10" w:line="216" w:lineRule="exact"/>
        <w:jc w:val="both"/>
      </w:pPr>
      <w:r>
        <w:br w:type="column"/>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AAAB" w14:textId="77777777" w:rsidR="00591D54" w:rsidRDefault="00591D54">
      <w:pPr>
        <w:shd w:val="clear" w:color="auto" w:fill="FFFFFF"/>
        <w:spacing w:before="192"/>
      </w:pPr>
      <w:r>
        <w:rPr>
          <w:b/>
          <w:bCs/>
          <w:spacing w:val="-5"/>
          <w:sz w:val="18"/>
          <w:szCs w:val="18"/>
          <w:u w:val="single"/>
          <w:lang w:val="es-ES_tradnl"/>
        </w:rPr>
        <w:t>CASO Nro. 0063-11-IS</w:t>
      </w:r>
    </w:p>
    <w:p w14:paraId="4F67AAAC" w14:textId="77777777" w:rsidR="00591D54" w:rsidRDefault="00591D54">
      <w:pPr>
        <w:shd w:val="clear" w:color="auto" w:fill="FFFFFF"/>
        <w:spacing w:before="192" w:line="216" w:lineRule="exact"/>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w:t>
      </w:r>
      <w:r>
        <w:rPr>
          <w:spacing w:val="-7"/>
          <w:sz w:val="18"/>
          <w:szCs w:val="18"/>
          <w:lang w:val="es-ES_tradnl"/>
        </w:rPr>
        <w:t>suscrita por el Juez Patricio Pazmi</w:t>
      </w:r>
      <w:r>
        <w:rPr>
          <w:rFonts w:cs="Times New Roman"/>
          <w:spacing w:val="-7"/>
          <w:sz w:val="18"/>
          <w:szCs w:val="18"/>
          <w:lang w:val="es-ES_tradnl"/>
        </w:rPr>
        <w:t>ñ</w:t>
      </w:r>
      <w:r>
        <w:rPr>
          <w:spacing w:val="-7"/>
          <w:sz w:val="18"/>
          <w:szCs w:val="18"/>
          <w:lang w:val="es-ES_tradnl"/>
        </w:rPr>
        <w:t>o Freire, Presidente de la Corte Constitucional, el d</w:t>
      </w:r>
      <w:r>
        <w:rPr>
          <w:rFonts w:cs="Times New Roman"/>
          <w:spacing w:val="-7"/>
          <w:sz w:val="18"/>
          <w:szCs w:val="18"/>
          <w:lang w:val="es-ES_tradnl"/>
        </w:rPr>
        <w:t>í</w:t>
      </w:r>
      <w:r>
        <w:rPr>
          <w:spacing w:val="-7"/>
          <w:sz w:val="18"/>
          <w:szCs w:val="18"/>
          <w:lang w:val="es-ES_tradnl"/>
        </w:rPr>
        <w:t>a mi</w:t>
      </w:r>
      <w:r>
        <w:rPr>
          <w:rFonts w:cs="Times New Roman"/>
          <w:spacing w:val="-7"/>
          <w:sz w:val="18"/>
          <w:szCs w:val="18"/>
          <w:lang w:val="es-ES_tradnl"/>
        </w:rPr>
        <w:t>é</w:t>
      </w:r>
      <w:r>
        <w:rPr>
          <w:spacing w:val="-7"/>
          <w:sz w:val="18"/>
          <w:szCs w:val="18"/>
          <w:lang w:val="es-ES_tradnl"/>
        </w:rPr>
        <w:t xml:space="preserve">rcoles 23 de septiembre </w:t>
      </w:r>
      <w:r>
        <w:rPr>
          <w:sz w:val="18"/>
          <w:szCs w:val="18"/>
          <w:lang w:val="es-ES_tradnl"/>
        </w:rPr>
        <w:t>del dos mil quince.- Lo certifico.</w:t>
      </w:r>
    </w:p>
    <w:p w14:paraId="4F67AAAD" w14:textId="77777777" w:rsidR="00591D54" w:rsidRDefault="00591D54">
      <w:pPr>
        <w:shd w:val="clear" w:color="auto" w:fill="FFFFFF"/>
        <w:spacing w:before="192"/>
      </w:pPr>
      <w:r>
        <w:rPr>
          <w:spacing w:val="-7"/>
          <w:sz w:val="18"/>
          <w:szCs w:val="18"/>
          <w:lang w:val="es-ES_tradnl"/>
        </w:rPr>
        <w:t xml:space="preserve">f.) Jaime Pozo Chamorro, </w:t>
      </w:r>
      <w:r>
        <w:rPr>
          <w:b/>
          <w:bCs/>
          <w:spacing w:val="-7"/>
          <w:sz w:val="18"/>
          <w:szCs w:val="18"/>
          <w:lang w:val="es-ES_tradnl"/>
        </w:rPr>
        <w:t>Secretario General.</w:t>
      </w:r>
    </w:p>
    <w:p w14:paraId="4F67AAAE" w14:textId="77777777" w:rsidR="00591D54" w:rsidRDefault="00591D54">
      <w:pPr>
        <w:shd w:val="clear" w:color="auto" w:fill="FFFFFF"/>
        <w:spacing w:before="192"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AAAF" w14:textId="77777777" w:rsidR="00591D54" w:rsidRDefault="00591D54">
      <w:pPr>
        <w:shd w:val="clear" w:color="auto" w:fill="FFFFFF"/>
        <w:spacing w:before="1109" w:line="427" w:lineRule="exact"/>
      </w:pPr>
      <w:r>
        <w:rPr>
          <w:spacing w:val="-7"/>
          <w:sz w:val="18"/>
          <w:szCs w:val="18"/>
          <w:lang w:val="es-ES_tradnl"/>
        </w:rPr>
        <w:t>Quito, D. M., 2 de septiembre de 2015</w:t>
      </w:r>
    </w:p>
    <w:p w14:paraId="4F67AAB0" w14:textId="77777777" w:rsidR="00591D54" w:rsidRDefault="00591D54">
      <w:pPr>
        <w:shd w:val="clear" w:color="auto" w:fill="FFFFFF"/>
        <w:spacing w:line="427" w:lineRule="exact"/>
        <w:ind w:left="878"/>
      </w:pPr>
      <w:r>
        <w:rPr>
          <w:b/>
          <w:bCs/>
          <w:spacing w:val="-3"/>
          <w:sz w:val="18"/>
          <w:szCs w:val="18"/>
          <w:u w:val="single"/>
          <w:lang w:val="es-ES_tradnl"/>
        </w:rPr>
        <w:t>SENTENCIA N.</w:t>
      </w:r>
      <w:r>
        <w:rPr>
          <w:rFonts w:cs="Times New Roman"/>
          <w:b/>
          <w:bCs/>
          <w:spacing w:val="-3"/>
          <w:sz w:val="18"/>
          <w:szCs w:val="18"/>
          <w:u w:val="single"/>
          <w:lang w:val="es-ES_tradnl"/>
        </w:rPr>
        <w:t>º</w:t>
      </w:r>
      <w:r>
        <w:rPr>
          <w:b/>
          <w:bCs/>
          <w:spacing w:val="-3"/>
          <w:sz w:val="18"/>
          <w:szCs w:val="18"/>
          <w:u w:val="single"/>
          <w:lang w:val="es-ES_tradnl"/>
        </w:rPr>
        <w:t xml:space="preserve"> 052-15-SIS-CC</w:t>
      </w:r>
    </w:p>
    <w:p w14:paraId="4F67AAB1" w14:textId="77777777" w:rsidR="00591D54" w:rsidRDefault="00591D54">
      <w:pPr>
        <w:shd w:val="clear" w:color="auto" w:fill="FFFFFF"/>
        <w:spacing w:line="427" w:lineRule="exact"/>
        <w:ind w:left="1325"/>
      </w:pPr>
      <w:r>
        <w:rPr>
          <w:b/>
          <w:bCs/>
          <w:spacing w:val="-5"/>
          <w:sz w:val="18"/>
          <w:szCs w:val="18"/>
          <w:u w:val="single"/>
          <w:lang w:val="es-ES_tradnl"/>
        </w:rPr>
        <w:t>CASO N.</w:t>
      </w:r>
      <w:r>
        <w:rPr>
          <w:rFonts w:cs="Times New Roman"/>
          <w:b/>
          <w:bCs/>
          <w:spacing w:val="-5"/>
          <w:sz w:val="18"/>
          <w:szCs w:val="18"/>
          <w:u w:val="single"/>
          <w:lang w:val="es-ES_tradnl"/>
        </w:rPr>
        <w:t>º</w:t>
      </w:r>
      <w:r>
        <w:rPr>
          <w:b/>
          <w:bCs/>
          <w:spacing w:val="-5"/>
          <w:sz w:val="18"/>
          <w:szCs w:val="18"/>
          <w:u w:val="single"/>
          <w:lang w:val="es-ES_tradnl"/>
        </w:rPr>
        <w:t xml:space="preserve"> 0005-11-IS</w:t>
      </w:r>
    </w:p>
    <w:p w14:paraId="4F67AAB2" w14:textId="77777777" w:rsidR="00591D54" w:rsidRDefault="00591D54">
      <w:pPr>
        <w:shd w:val="clear" w:color="auto" w:fill="FFFFFF"/>
        <w:spacing w:line="427" w:lineRule="exact"/>
        <w:ind w:left="298"/>
      </w:pPr>
      <w:r>
        <w:rPr>
          <w:b/>
          <w:bCs/>
          <w:sz w:val="18"/>
          <w:szCs w:val="18"/>
          <w:lang w:val="es-ES_tradnl"/>
        </w:rPr>
        <w:t>CORTE CONSTITUCIONAL DEL ECUADOR</w:t>
      </w:r>
    </w:p>
    <w:p w14:paraId="4F67AAB3" w14:textId="77777777" w:rsidR="00591D54" w:rsidRDefault="00591D54">
      <w:pPr>
        <w:shd w:val="clear" w:color="auto" w:fill="FFFFFF"/>
        <w:spacing w:line="427" w:lineRule="exact"/>
        <w:ind w:left="1339"/>
      </w:pPr>
      <w:r>
        <w:rPr>
          <w:b/>
          <w:bCs/>
          <w:sz w:val="18"/>
          <w:szCs w:val="18"/>
          <w:lang w:val="es-ES_tradnl"/>
        </w:rPr>
        <w:t>I. ANTECEDENTES</w:t>
      </w:r>
    </w:p>
    <w:p w14:paraId="4F67AAB4" w14:textId="77777777" w:rsidR="00591D54" w:rsidRDefault="00591D54">
      <w:pPr>
        <w:shd w:val="clear" w:color="auto" w:fill="FFFFFF"/>
        <w:spacing w:line="427" w:lineRule="exact"/>
      </w:pPr>
      <w:r>
        <w:rPr>
          <w:b/>
          <w:bCs/>
          <w:spacing w:val="-9"/>
          <w:sz w:val="18"/>
          <w:szCs w:val="18"/>
          <w:lang w:val="es-ES_tradnl"/>
        </w:rPr>
        <w:t>Resumen de admisibilidad</w:t>
      </w:r>
    </w:p>
    <w:p w14:paraId="4F67AAB5" w14:textId="77777777" w:rsidR="00591D54" w:rsidRDefault="00591D54">
      <w:pPr>
        <w:shd w:val="clear" w:color="auto" w:fill="FFFFFF"/>
        <w:spacing w:before="163" w:line="216" w:lineRule="exact"/>
        <w:jc w:val="both"/>
      </w:pPr>
      <w:r>
        <w:rPr>
          <w:spacing w:val="-6"/>
          <w:sz w:val="18"/>
          <w:szCs w:val="18"/>
          <w:lang w:val="es-ES_tradnl"/>
        </w:rPr>
        <w:t xml:space="preserve">Edison Ernesto Piguave Panchana por sus propios y </w:t>
      </w:r>
      <w:r>
        <w:rPr>
          <w:spacing w:val="-7"/>
          <w:sz w:val="18"/>
          <w:szCs w:val="18"/>
          <w:lang w:val="es-ES_tradnl"/>
        </w:rPr>
        <w:t>personales derechos, el 11 de enero de 2011, present</w:t>
      </w:r>
      <w:r>
        <w:rPr>
          <w:rFonts w:cs="Times New Roman"/>
          <w:spacing w:val="-7"/>
          <w:sz w:val="18"/>
          <w:szCs w:val="18"/>
          <w:lang w:val="es-ES_tradnl"/>
        </w:rPr>
        <w:t xml:space="preserve">ó </w:t>
      </w:r>
      <w:r>
        <w:rPr>
          <w:spacing w:val="-2"/>
          <w:sz w:val="18"/>
          <w:szCs w:val="18"/>
          <w:lang w:val="es-ES_tradnl"/>
        </w:rPr>
        <w:t>acci</w:t>
      </w:r>
      <w:r>
        <w:rPr>
          <w:rFonts w:cs="Times New Roman"/>
          <w:spacing w:val="-2"/>
          <w:sz w:val="18"/>
          <w:szCs w:val="18"/>
          <w:lang w:val="es-ES_tradnl"/>
        </w:rPr>
        <w:t>ó</w:t>
      </w:r>
      <w:r>
        <w:rPr>
          <w:spacing w:val="-2"/>
          <w:sz w:val="18"/>
          <w:szCs w:val="18"/>
          <w:lang w:val="es-ES_tradnl"/>
        </w:rPr>
        <w:t xml:space="preserve">n de incumplimiento de la sentencia dictada el 15 </w:t>
      </w:r>
      <w:r>
        <w:rPr>
          <w:spacing w:val="-5"/>
          <w:sz w:val="18"/>
          <w:szCs w:val="18"/>
          <w:lang w:val="es-ES_tradnl"/>
        </w:rPr>
        <w:t>de noviembre de 2010, por el Juzgado D</w:t>
      </w:r>
      <w:r>
        <w:rPr>
          <w:rFonts w:cs="Times New Roman"/>
          <w:spacing w:val="-5"/>
          <w:sz w:val="18"/>
          <w:szCs w:val="18"/>
          <w:lang w:val="es-ES_tradnl"/>
        </w:rPr>
        <w:t>é</w:t>
      </w:r>
      <w:r>
        <w:rPr>
          <w:spacing w:val="-5"/>
          <w:sz w:val="18"/>
          <w:szCs w:val="18"/>
          <w:lang w:val="es-ES_tradnl"/>
        </w:rPr>
        <w:t>cimo Sexto de lo Civil de Salinas, dentro de la acci</w:t>
      </w:r>
      <w:r>
        <w:rPr>
          <w:rFonts w:cs="Times New Roman"/>
          <w:spacing w:val="-5"/>
          <w:sz w:val="18"/>
          <w:szCs w:val="18"/>
          <w:lang w:val="es-ES_tradnl"/>
        </w:rPr>
        <w:t>ó</w:t>
      </w:r>
      <w:r>
        <w:rPr>
          <w:spacing w:val="-5"/>
          <w:sz w:val="18"/>
          <w:szCs w:val="18"/>
          <w:lang w:val="es-ES_tradnl"/>
        </w:rPr>
        <w:t>n de protecci</w:t>
      </w:r>
      <w:r>
        <w:rPr>
          <w:rFonts w:cs="Times New Roman"/>
          <w:spacing w:val="-5"/>
          <w:sz w:val="18"/>
          <w:szCs w:val="18"/>
          <w:lang w:val="es-ES_tradnl"/>
        </w:rPr>
        <w:t>ó</w:t>
      </w:r>
      <w:r>
        <w:rPr>
          <w:spacing w:val="-5"/>
          <w:sz w:val="18"/>
          <w:szCs w:val="18"/>
          <w:lang w:val="es-ES_tradnl"/>
        </w:rPr>
        <w:t>n N.</w:t>
      </w:r>
      <w:r>
        <w:rPr>
          <w:rFonts w:cs="Times New Roman"/>
          <w:spacing w:val="-5"/>
          <w:sz w:val="18"/>
          <w:szCs w:val="18"/>
          <w:lang w:val="es-ES_tradnl"/>
        </w:rPr>
        <w:t xml:space="preserve">º </w:t>
      </w:r>
      <w:r>
        <w:rPr>
          <w:sz w:val="18"/>
          <w:szCs w:val="18"/>
          <w:lang w:val="es-ES_tradnl"/>
        </w:rPr>
        <w:t>773-2010.</w:t>
      </w:r>
    </w:p>
    <w:p w14:paraId="4F67AAB6" w14:textId="77777777" w:rsidR="00591D54" w:rsidRDefault="00591D54">
      <w:pPr>
        <w:shd w:val="clear" w:color="auto" w:fill="FFFFFF"/>
        <w:spacing w:before="192" w:line="216" w:lineRule="exact"/>
        <w:jc w:val="both"/>
      </w:pPr>
      <w:r>
        <w:rPr>
          <w:spacing w:val="-6"/>
          <w:sz w:val="18"/>
          <w:szCs w:val="18"/>
          <w:lang w:val="es-ES_tradnl"/>
        </w:rPr>
        <w:t>La Secretar</w:t>
      </w:r>
      <w:r>
        <w:rPr>
          <w:rFonts w:cs="Times New Roman"/>
          <w:spacing w:val="-6"/>
          <w:sz w:val="18"/>
          <w:szCs w:val="18"/>
          <w:lang w:val="es-ES_tradnl"/>
        </w:rPr>
        <w:t>í</w:t>
      </w:r>
      <w:r>
        <w:rPr>
          <w:spacing w:val="-6"/>
          <w:sz w:val="18"/>
          <w:szCs w:val="18"/>
          <w:lang w:val="es-ES_tradnl"/>
        </w:rPr>
        <w:t xml:space="preserve">a General de la Corte Constitucional, para el </w:t>
      </w:r>
      <w:r>
        <w:rPr>
          <w:spacing w:val="-8"/>
          <w:sz w:val="18"/>
          <w:szCs w:val="18"/>
          <w:lang w:val="es-ES_tradnl"/>
        </w:rPr>
        <w:t>per</w:t>
      </w:r>
      <w:r>
        <w:rPr>
          <w:rFonts w:cs="Times New Roman"/>
          <w:spacing w:val="-8"/>
          <w:sz w:val="18"/>
          <w:szCs w:val="18"/>
          <w:lang w:val="es-ES_tradnl"/>
        </w:rPr>
        <w:t>í</w:t>
      </w:r>
      <w:r>
        <w:rPr>
          <w:spacing w:val="-8"/>
          <w:sz w:val="18"/>
          <w:szCs w:val="18"/>
          <w:lang w:val="es-ES_tradnl"/>
        </w:rPr>
        <w:t>odo de transici</w:t>
      </w:r>
      <w:r>
        <w:rPr>
          <w:rFonts w:cs="Times New Roman"/>
          <w:spacing w:val="-8"/>
          <w:sz w:val="18"/>
          <w:szCs w:val="18"/>
          <w:lang w:val="es-ES_tradnl"/>
        </w:rPr>
        <w:t>ó</w:t>
      </w:r>
      <w:r>
        <w:rPr>
          <w:spacing w:val="-8"/>
          <w:sz w:val="18"/>
          <w:szCs w:val="18"/>
          <w:lang w:val="es-ES_tradnl"/>
        </w:rPr>
        <w:t>n, certific</w:t>
      </w:r>
      <w:r>
        <w:rPr>
          <w:rFonts w:cs="Times New Roman"/>
          <w:spacing w:val="-8"/>
          <w:sz w:val="18"/>
          <w:szCs w:val="18"/>
          <w:lang w:val="es-ES_tradnl"/>
        </w:rPr>
        <w:t>ó</w:t>
      </w:r>
      <w:r>
        <w:rPr>
          <w:spacing w:val="-8"/>
          <w:sz w:val="18"/>
          <w:szCs w:val="18"/>
          <w:lang w:val="es-ES_tradnl"/>
        </w:rPr>
        <w:t xml:space="preserve"> el 11 de enero de 2011, que </w:t>
      </w:r>
      <w:r>
        <w:rPr>
          <w:spacing w:val="-6"/>
          <w:sz w:val="18"/>
          <w:szCs w:val="18"/>
          <w:lang w:val="es-ES_tradnl"/>
        </w:rPr>
        <w:t>en referencia a la acci</w:t>
      </w:r>
      <w:r>
        <w:rPr>
          <w:rFonts w:cs="Times New Roman"/>
          <w:spacing w:val="-6"/>
          <w:sz w:val="18"/>
          <w:szCs w:val="18"/>
          <w:lang w:val="es-ES_tradnl"/>
        </w:rPr>
        <w:t>ó</w:t>
      </w:r>
      <w:r>
        <w:rPr>
          <w:spacing w:val="-6"/>
          <w:sz w:val="18"/>
          <w:szCs w:val="18"/>
          <w:lang w:val="es-ES_tradnl"/>
        </w:rPr>
        <w:t xml:space="preserve">n de incumplimiento de sentencia </w:t>
      </w:r>
      <w:r>
        <w:rPr>
          <w:spacing w:val="-5"/>
          <w:sz w:val="18"/>
          <w:szCs w:val="18"/>
          <w:lang w:val="es-ES_tradnl"/>
        </w:rPr>
        <w:t>N.</w:t>
      </w:r>
      <w:r>
        <w:rPr>
          <w:rFonts w:cs="Times New Roman"/>
          <w:spacing w:val="-5"/>
          <w:sz w:val="18"/>
          <w:szCs w:val="18"/>
          <w:lang w:val="es-ES_tradnl"/>
        </w:rPr>
        <w:t>º</w:t>
      </w:r>
      <w:r>
        <w:rPr>
          <w:spacing w:val="-5"/>
          <w:sz w:val="18"/>
          <w:szCs w:val="18"/>
          <w:lang w:val="es-ES_tradnl"/>
        </w:rPr>
        <w:t xml:space="preserve"> 0005-11-IS, no se ha presentado otra solicitud con </w:t>
      </w:r>
      <w:r>
        <w:rPr>
          <w:sz w:val="18"/>
          <w:szCs w:val="18"/>
          <w:lang w:val="es-ES_tradnl"/>
        </w:rPr>
        <w:t>identidad de objeto y acci</w:t>
      </w:r>
      <w:r>
        <w:rPr>
          <w:rFonts w:cs="Times New Roman"/>
          <w:sz w:val="18"/>
          <w:szCs w:val="18"/>
          <w:lang w:val="es-ES_tradnl"/>
        </w:rPr>
        <w:t>ó</w:t>
      </w:r>
      <w:r>
        <w:rPr>
          <w:sz w:val="18"/>
          <w:szCs w:val="18"/>
          <w:lang w:val="es-ES_tradnl"/>
        </w:rPr>
        <w:t>n.</w:t>
      </w:r>
    </w:p>
    <w:p w14:paraId="4F67AAB7" w14:textId="77777777" w:rsidR="00591D54" w:rsidRDefault="00591D54">
      <w:pPr>
        <w:shd w:val="clear" w:color="auto" w:fill="FFFFFF"/>
        <w:spacing w:before="197" w:line="216" w:lineRule="exact"/>
        <w:jc w:val="both"/>
      </w:pPr>
      <w:r>
        <w:rPr>
          <w:spacing w:val="-6"/>
          <w:sz w:val="18"/>
          <w:szCs w:val="18"/>
          <w:lang w:val="es-ES_tradnl"/>
        </w:rPr>
        <w:t xml:space="preserve">Mediante auto del 30 de agosto de 2012, el ex juez </w:t>
      </w:r>
      <w:r>
        <w:rPr>
          <w:spacing w:val="-9"/>
          <w:sz w:val="18"/>
          <w:szCs w:val="18"/>
          <w:lang w:val="es-ES_tradnl"/>
        </w:rPr>
        <w:t>constitucional Edgar Z</w:t>
      </w:r>
      <w:r>
        <w:rPr>
          <w:rFonts w:cs="Times New Roman"/>
          <w:spacing w:val="-9"/>
          <w:sz w:val="18"/>
          <w:szCs w:val="18"/>
          <w:lang w:val="es-ES_tradnl"/>
        </w:rPr>
        <w:t>á</w:t>
      </w:r>
      <w:r>
        <w:rPr>
          <w:spacing w:val="-9"/>
          <w:sz w:val="18"/>
          <w:szCs w:val="18"/>
          <w:lang w:val="es-ES_tradnl"/>
        </w:rPr>
        <w:t>rate avoc</w:t>
      </w:r>
      <w:r>
        <w:rPr>
          <w:rFonts w:cs="Times New Roman"/>
          <w:spacing w:val="-9"/>
          <w:sz w:val="18"/>
          <w:szCs w:val="18"/>
          <w:lang w:val="es-ES_tradnl"/>
        </w:rPr>
        <w:t>ó</w:t>
      </w:r>
      <w:r>
        <w:rPr>
          <w:spacing w:val="-9"/>
          <w:sz w:val="18"/>
          <w:szCs w:val="18"/>
          <w:lang w:val="es-ES_tradnl"/>
        </w:rPr>
        <w:t xml:space="preserve"> conocimiento de la causa </w:t>
      </w:r>
      <w:r>
        <w:rPr>
          <w:spacing w:val="-7"/>
          <w:sz w:val="18"/>
          <w:szCs w:val="18"/>
          <w:lang w:val="es-ES_tradnl"/>
        </w:rPr>
        <w:t>y solicit</w:t>
      </w:r>
      <w:r>
        <w:rPr>
          <w:rFonts w:cs="Times New Roman"/>
          <w:spacing w:val="-7"/>
          <w:sz w:val="18"/>
          <w:szCs w:val="18"/>
          <w:lang w:val="es-ES_tradnl"/>
        </w:rPr>
        <w:t>ó</w:t>
      </w:r>
      <w:r>
        <w:rPr>
          <w:spacing w:val="-7"/>
          <w:sz w:val="18"/>
          <w:szCs w:val="18"/>
          <w:lang w:val="es-ES_tradnl"/>
        </w:rPr>
        <w:t xml:space="preserve"> el informe correspondiente al alcalde, procurador </w:t>
      </w:r>
      <w:r>
        <w:rPr>
          <w:spacing w:val="-5"/>
          <w:sz w:val="18"/>
          <w:szCs w:val="18"/>
          <w:lang w:val="es-ES_tradnl"/>
        </w:rPr>
        <w:t>s</w:t>
      </w:r>
      <w:r>
        <w:rPr>
          <w:rFonts w:cs="Times New Roman"/>
          <w:spacing w:val="-5"/>
          <w:sz w:val="18"/>
          <w:szCs w:val="18"/>
          <w:lang w:val="es-ES_tradnl"/>
        </w:rPr>
        <w:t>í</w:t>
      </w:r>
      <w:r>
        <w:rPr>
          <w:spacing w:val="-5"/>
          <w:sz w:val="18"/>
          <w:szCs w:val="18"/>
          <w:lang w:val="es-ES_tradnl"/>
        </w:rPr>
        <w:t xml:space="preserve">ndico municipal y jefe de la unidad administrativa de </w:t>
      </w:r>
      <w:r>
        <w:rPr>
          <w:spacing w:val="-10"/>
          <w:sz w:val="18"/>
          <w:szCs w:val="18"/>
          <w:lang w:val="es-ES_tradnl"/>
        </w:rPr>
        <w:t>recursos humanos del Gobierno Aut</w:t>
      </w:r>
      <w:r>
        <w:rPr>
          <w:rFonts w:cs="Times New Roman"/>
          <w:spacing w:val="-10"/>
          <w:sz w:val="18"/>
          <w:szCs w:val="18"/>
          <w:lang w:val="es-ES_tradnl"/>
        </w:rPr>
        <w:t>ó</w:t>
      </w:r>
      <w:r>
        <w:rPr>
          <w:spacing w:val="-10"/>
          <w:sz w:val="18"/>
          <w:szCs w:val="18"/>
          <w:lang w:val="es-ES_tradnl"/>
        </w:rPr>
        <w:t xml:space="preserve">nomo Descentralizado </w:t>
      </w:r>
      <w:r>
        <w:rPr>
          <w:spacing w:val="-1"/>
          <w:sz w:val="18"/>
          <w:szCs w:val="18"/>
          <w:lang w:val="es-ES_tradnl"/>
        </w:rPr>
        <w:t>Municipal del cant</w:t>
      </w:r>
      <w:r>
        <w:rPr>
          <w:rFonts w:cs="Times New Roman"/>
          <w:spacing w:val="-1"/>
          <w:sz w:val="18"/>
          <w:szCs w:val="18"/>
          <w:lang w:val="es-ES_tradnl"/>
        </w:rPr>
        <w:t>ó</w:t>
      </w:r>
      <w:r>
        <w:rPr>
          <w:spacing w:val="-1"/>
          <w:sz w:val="18"/>
          <w:szCs w:val="18"/>
          <w:lang w:val="es-ES_tradnl"/>
        </w:rPr>
        <w:t xml:space="preserve">n Salinas, sobre el incumplimiento </w:t>
      </w:r>
      <w:r>
        <w:rPr>
          <w:spacing w:val="-9"/>
          <w:sz w:val="18"/>
          <w:szCs w:val="18"/>
          <w:lang w:val="es-ES_tradnl"/>
        </w:rPr>
        <w:t>de sentencia que se demanda, para lo cual se concedi</w:t>
      </w:r>
      <w:r>
        <w:rPr>
          <w:rFonts w:cs="Times New Roman"/>
          <w:spacing w:val="-9"/>
          <w:sz w:val="18"/>
          <w:szCs w:val="18"/>
          <w:lang w:val="es-ES_tradnl"/>
        </w:rPr>
        <w:t>ó</w:t>
      </w:r>
      <w:r>
        <w:rPr>
          <w:spacing w:val="-9"/>
          <w:sz w:val="18"/>
          <w:szCs w:val="18"/>
          <w:lang w:val="es-ES_tradnl"/>
        </w:rPr>
        <w:t xml:space="preserve"> el </w:t>
      </w:r>
      <w:r>
        <w:rPr>
          <w:sz w:val="18"/>
          <w:szCs w:val="18"/>
          <w:lang w:val="es-ES_tradnl"/>
        </w:rPr>
        <w:t>t</w:t>
      </w:r>
      <w:r>
        <w:rPr>
          <w:rFonts w:cs="Times New Roman"/>
          <w:sz w:val="18"/>
          <w:szCs w:val="18"/>
          <w:lang w:val="es-ES_tradnl"/>
        </w:rPr>
        <w:t>é</w:t>
      </w:r>
      <w:r>
        <w:rPr>
          <w:sz w:val="18"/>
          <w:szCs w:val="18"/>
          <w:lang w:val="es-ES_tradnl"/>
        </w:rPr>
        <w:t>rmino de quince d</w:t>
      </w:r>
      <w:r>
        <w:rPr>
          <w:rFonts w:cs="Times New Roman"/>
          <w:sz w:val="18"/>
          <w:szCs w:val="18"/>
          <w:lang w:val="es-ES_tradnl"/>
        </w:rPr>
        <w:t>í</w:t>
      </w:r>
      <w:r>
        <w:rPr>
          <w:sz w:val="18"/>
          <w:szCs w:val="18"/>
          <w:lang w:val="es-ES_tradnl"/>
        </w:rPr>
        <w:t>as.</w:t>
      </w:r>
    </w:p>
    <w:p w14:paraId="4F67AAB8" w14:textId="77777777" w:rsidR="00591D54" w:rsidRDefault="00591D54">
      <w:pPr>
        <w:shd w:val="clear" w:color="auto" w:fill="FFFFFF"/>
        <w:spacing w:before="197" w:line="216" w:lineRule="exact"/>
        <w:jc w:val="both"/>
      </w:pPr>
      <w:r>
        <w:rPr>
          <w:spacing w:val="-3"/>
          <w:sz w:val="18"/>
          <w:szCs w:val="18"/>
          <w:lang w:val="es-ES_tradnl"/>
        </w:rPr>
        <w:t xml:space="preserve">El 06 de noviembre de 2012, se posesionaron ante el </w:t>
      </w:r>
      <w:r>
        <w:rPr>
          <w:spacing w:val="-7"/>
          <w:sz w:val="18"/>
          <w:szCs w:val="18"/>
          <w:lang w:val="es-ES_tradnl"/>
        </w:rPr>
        <w:t xml:space="preserve">Pleno de la Asamblea Nacional los jueces de la Primera </w:t>
      </w:r>
      <w:r>
        <w:rPr>
          <w:spacing w:val="-6"/>
          <w:sz w:val="18"/>
          <w:szCs w:val="18"/>
          <w:lang w:val="es-ES_tradnl"/>
        </w:rPr>
        <w:t>Corte Constitucional del Ecuador, de conformidad con los art</w:t>
      </w:r>
      <w:r>
        <w:rPr>
          <w:rFonts w:cs="Times New Roman"/>
          <w:spacing w:val="-6"/>
          <w:sz w:val="18"/>
          <w:szCs w:val="18"/>
          <w:lang w:val="es-ES_tradnl"/>
        </w:rPr>
        <w:t>í</w:t>
      </w:r>
      <w:r>
        <w:rPr>
          <w:spacing w:val="-6"/>
          <w:sz w:val="18"/>
          <w:szCs w:val="18"/>
          <w:lang w:val="es-ES_tradnl"/>
        </w:rPr>
        <w:t>culos 432 y 434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w:t>
      </w:r>
    </w:p>
    <w:p w14:paraId="4F67AAB9" w14:textId="77777777" w:rsidR="00591D54" w:rsidRDefault="00591D54">
      <w:pPr>
        <w:shd w:val="clear" w:color="auto" w:fill="FFFFFF"/>
        <w:spacing w:before="197" w:line="216" w:lineRule="exact"/>
        <w:jc w:val="both"/>
      </w:pPr>
      <w:r>
        <w:rPr>
          <w:spacing w:val="-6"/>
          <w:sz w:val="18"/>
          <w:szCs w:val="18"/>
          <w:lang w:val="es-ES_tradnl"/>
        </w:rPr>
        <w:t xml:space="preserve">Una vez posesionada la Primera Corte Constitucional, al </w:t>
      </w:r>
      <w:r>
        <w:rPr>
          <w:spacing w:val="-12"/>
          <w:sz w:val="18"/>
          <w:szCs w:val="18"/>
          <w:lang w:val="es-ES_tradnl"/>
        </w:rPr>
        <w:t>haberse realizado el sorteo de las causas que se encontraban</w:t>
      </w:r>
    </w:p>
    <w:p w14:paraId="4F67AABA" w14:textId="77777777" w:rsidR="00591D54" w:rsidRDefault="00591D54">
      <w:pPr>
        <w:shd w:val="clear" w:color="auto" w:fill="FFFFFF"/>
        <w:spacing w:before="197" w:line="216" w:lineRule="exact"/>
        <w:jc w:val="both"/>
        <w:sectPr w:rsidR="00591D54">
          <w:type w:val="continuous"/>
          <w:pgSz w:w="11909" w:h="16834"/>
          <w:pgMar w:top="1373" w:right="1309" w:bottom="360" w:left="1308" w:header="720" w:footer="720" w:gutter="0"/>
          <w:cols w:num="2" w:space="720" w:equalWidth="0">
            <w:col w:w="4305" w:space="682"/>
            <w:col w:w="4305"/>
          </w:cols>
          <w:noEndnote/>
        </w:sectPr>
      </w:pPr>
    </w:p>
    <w:p w14:paraId="4F67AABB" w14:textId="77777777" w:rsidR="00591D54" w:rsidRDefault="00591D54">
      <w:pPr>
        <w:shd w:val="clear" w:color="auto" w:fill="FFFFFF"/>
        <w:tabs>
          <w:tab w:val="left" w:pos="4814"/>
        </w:tabs>
        <w:spacing w:after="235"/>
        <w:ind w:left="5"/>
      </w:pPr>
      <w:r>
        <w:rPr>
          <w:b/>
          <w:bCs/>
          <w:sz w:val="18"/>
          <w:szCs w:val="18"/>
          <w:lang w:val="es-ES_tradnl"/>
        </w:rPr>
        <w:t xml:space="preserve">88 -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ABC" w14:textId="77777777" w:rsidR="00591D54" w:rsidRDefault="00591D54">
      <w:pPr>
        <w:shd w:val="clear" w:color="auto" w:fill="FFFFFF"/>
        <w:tabs>
          <w:tab w:val="left" w:pos="4814"/>
        </w:tabs>
        <w:spacing w:after="235"/>
        <w:ind w:left="5"/>
        <w:sectPr w:rsidR="00591D54">
          <w:pgSz w:w="11909" w:h="16834"/>
          <w:pgMar w:top="1371" w:right="1309" w:bottom="360" w:left="1308" w:header="720" w:footer="720" w:gutter="0"/>
          <w:cols w:space="60"/>
          <w:noEndnote/>
        </w:sectPr>
      </w:pPr>
    </w:p>
    <w:p w14:paraId="4F67AABD" w14:textId="77777777" w:rsidR="00591D54" w:rsidRDefault="00591D54">
      <w:pPr>
        <w:shd w:val="clear" w:color="auto" w:fill="FFFFFF"/>
        <w:spacing w:line="216" w:lineRule="exact"/>
        <w:jc w:val="both"/>
      </w:pPr>
      <w:r>
        <w:rPr>
          <w:spacing w:val="-8"/>
          <w:sz w:val="18"/>
          <w:szCs w:val="18"/>
          <w:lang w:val="es-ES_tradnl"/>
        </w:rPr>
        <w:t>en conocimiento de la Corte Constitucional, para el per</w:t>
      </w:r>
      <w:r>
        <w:rPr>
          <w:rFonts w:cs="Times New Roman"/>
          <w:spacing w:val="-8"/>
          <w:sz w:val="18"/>
          <w:szCs w:val="18"/>
          <w:lang w:val="es-ES_tradnl"/>
        </w:rPr>
        <w:t>í</w:t>
      </w:r>
      <w:r>
        <w:rPr>
          <w:spacing w:val="-8"/>
          <w:sz w:val="18"/>
          <w:szCs w:val="18"/>
          <w:lang w:val="es-ES_tradnl"/>
        </w:rPr>
        <w:t xml:space="preserve">odo </w:t>
      </w:r>
      <w:r>
        <w:rPr>
          <w:spacing w:val="-4"/>
          <w:sz w:val="18"/>
          <w:szCs w:val="18"/>
          <w:lang w:val="es-ES_tradnl"/>
        </w:rPr>
        <w:t>de transici</w:t>
      </w:r>
      <w:r>
        <w:rPr>
          <w:rFonts w:cs="Times New Roman"/>
          <w:spacing w:val="-4"/>
          <w:sz w:val="18"/>
          <w:szCs w:val="18"/>
          <w:lang w:val="es-ES_tradnl"/>
        </w:rPr>
        <w:t>ó</w:t>
      </w:r>
      <w:r>
        <w:rPr>
          <w:spacing w:val="-4"/>
          <w:sz w:val="18"/>
          <w:szCs w:val="18"/>
          <w:lang w:val="es-ES_tradnl"/>
        </w:rPr>
        <w:t>n, conforme el art</w:t>
      </w:r>
      <w:r>
        <w:rPr>
          <w:rFonts w:cs="Times New Roman"/>
          <w:spacing w:val="-4"/>
          <w:sz w:val="18"/>
          <w:szCs w:val="18"/>
          <w:lang w:val="es-ES_tradnl"/>
        </w:rPr>
        <w:t>í</w:t>
      </w:r>
      <w:r>
        <w:rPr>
          <w:spacing w:val="-4"/>
          <w:sz w:val="18"/>
          <w:szCs w:val="18"/>
          <w:lang w:val="es-ES_tradnl"/>
        </w:rPr>
        <w:t>culo 195 y la disposici</w:t>
      </w:r>
      <w:r>
        <w:rPr>
          <w:rFonts w:cs="Times New Roman"/>
          <w:spacing w:val="-4"/>
          <w:sz w:val="18"/>
          <w:szCs w:val="18"/>
          <w:lang w:val="es-ES_tradnl"/>
        </w:rPr>
        <w:t>ó</w:t>
      </w:r>
      <w:r>
        <w:rPr>
          <w:spacing w:val="-4"/>
          <w:sz w:val="18"/>
          <w:szCs w:val="18"/>
          <w:lang w:val="es-ES_tradnl"/>
        </w:rPr>
        <w:t xml:space="preserve">n </w:t>
      </w:r>
      <w:r>
        <w:rPr>
          <w:spacing w:val="-6"/>
          <w:sz w:val="18"/>
          <w:szCs w:val="18"/>
          <w:lang w:val="es-ES_tradnl"/>
        </w:rPr>
        <w:t>transitoria octava de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as Jurisdiccionales y Control Constitucional, correspondi</w:t>
      </w:r>
      <w:r>
        <w:rPr>
          <w:rFonts w:cs="Times New Roman"/>
          <w:spacing w:val="-6"/>
          <w:sz w:val="18"/>
          <w:szCs w:val="18"/>
          <w:lang w:val="es-ES_tradnl"/>
        </w:rPr>
        <w:t>ó</w:t>
      </w:r>
      <w:r>
        <w:rPr>
          <w:spacing w:val="-6"/>
          <w:sz w:val="18"/>
          <w:szCs w:val="18"/>
          <w:lang w:val="es-ES_tradnl"/>
        </w:rPr>
        <w:t xml:space="preserve"> la </w:t>
      </w:r>
      <w:r>
        <w:rPr>
          <w:spacing w:val="-8"/>
          <w:sz w:val="18"/>
          <w:szCs w:val="18"/>
          <w:lang w:val="es-ES_tradnl"/>
        </w:rPr>
        <w:t>sustanciaci</w:t>
      </w:r>
      <w:r>
        <w:rPr>
          <w:rFonts w:cs="Times New Roman"/>
          <w:spacing w:val="-8"/>
          <w:sz w:val="18"/>
          <w:szCs w:val="18"/>
          <w:lang w:val="es-ES_tradnl"/>
        </w:rPr>
        <w:t>ó</w:t>
      </w:r>
      <w:r>
        <w:rPr>
          <w:spacing w:val="-8"/>
          <w:sz w:val="18"/>
          <w:szCs w:val="18"/>
          <w:lang w:val="es-ES_tradnl"/>
        </w:rPr>
        <w:t xml:space="preserve">n del presente caso a la jueza constitucional </w:t>
      </w:r>
      <w:r>
        <w:rPr>
          <w:spacing w:val="-6"/>
          <w:sz w:val="18"/>
          <w:szCs w:val="18"/>
          <w:lang w:val="es-ES_tradnl"/>
        </w:rPr>
        <w:t>Mar</w:t>
      </w:r>
      <w:r>
        <w:rPr>
          <w:rFonts w:cs="Times New Roman"/>
          <w:spacing w:val="-6"/>
          <w:sz w:val="18"/>
          <w:szCs w:val="18"/>
          <w:lang w:val="es-ES_tradnl"/>
        </w:rPr>
        <w:t>í</w:t>
      </w:r>
      <w:r>
        <w:rPr>
          <w:spacing w:val="-6"/>
          <w:sz w:val="18"/>
          <w:szCs w:val="18"/>
          <w:lang w:val="es-ES_tradnl"/>
        </w:rPr>
        <w:t>a del Carmen Maldonado S</w:t>
      </w:r>
      <w:r>
        <w:rPr>
          <w:rFonts w:cs="Times New Roman"/>
          <w:spacing w:val="-6"/>
          <w:sz w:val="18"/>
          <w:szCs w:val="18"/>
          <w:lang w:val="es-ES_tradnl"/>
        </w:rPr>
        <w:t>á</w:t>
      </w:r>
      <w:r>
        <w:rPr>
          <w:spacing w:val="-6"/>
          <w:sz w:val="18"/>
          <w:szCs w:val="18"/>
          <w:lang w:val="es-ES_tradnl"/>
        </w:rPr>
        <w:t xml:space="preserve">nchez, quien mediante </w:t>
      </w:r>
      <w:r>
        <w:rPr>
          <w:spacing w:val="-8"/>
          <w:sz w:val="18"/>
          <w:szCs w:val="18"/>
          <w:lang w:val="es-ES_tradnl"/>
        </w:rPr>
        <w:t>auto del 24 de marzo de 2015, avoc</w:t>
      </w:r>
      <w:r>
        <w:rPr>
          <w:rFonts w:cs="Times New Roman"/>
          <w:spacing w:val="-8"/>
          <w:sz w:val="18"/>
          <w:szCs w:val="18"/>
          <w:lang w:val="es-ES_tradnl"/>
        </w:rPr>
        <w:t>ó</w:t>
      </w:r>
      <w:r>
        <w:rPr>
          <w:spacing w:val="-8"/>
          <w:sz w:val="18"/>
          <w:szCs w:val="18"/>
          <w:lang w:val="es-ES_tradnl"/>
        </w:rPr>
        <w:t xml:space="preserve"> conocimiento.</w:t>
      </w:r>
    </w:p>
    <w:p w14:paraId="4F67AABE" w14:textId="77777777" w:rsidR="00591D54" w:rsidRDefault="00591D54">
      <w:pPr>
        <w:shd w:val="clear" w:color="auto" w:fill="FFFFFF"/>
        <w:spacing w:before="192"/>
      </w:pPr>
      <w:r>
        <w:rPr>
          <w:b/>
          <w:bCs/>
          <w:spacing w:val="-9"/>
          <w:sz w:val="18"/>
          <w:szCs w:val="18"/>
          <w:lang w:val="es-ES_tradnl"/>
        </w:rPr>
        <w:t>Decisi</w:t>
      </w:r>
      <w:r>
        <w:rPr>
          <w:rFonts w:cs="Times New Roman"/>
          <w:b/>
          <w:bCs/>
          <w:spacing w:val="-9"/>
          <w:sz w:val="18"/>
          <w:szCs w:val="18"/>
          <w:lang w:val="es-ES_tradnl"/>
        </w:rPr>
        <w:t>ó</w:t>
      </w:r>
      <w:r>
        <w:rPr>
          <w:b/>
          <w:bCs/>
          <w:spacing w:val="-9"/>
          <w:sz w:val="18"/>
          <w:szCs w:val="18"/>
          <w:lang w:val="es-ES_tradnl"/>
        </w:rPr>
        <w:t>n judicial cuyo incumplimiento se demanda</w:t>
      </w:r>
    </w:p>
    <w:p w14:paraId="4F67AABF" w14:textId="77777777" w:rsidR="00591D54" w:rsidRDefault="00591D54">
      <w:pPr>
        <w:shd w:val="clear" w:color="auto" w:fill="FFFFFF"/>
        <w:spacing w:before="197" w:line="216" w:lineRule="exact"/>
        <w:jc w:val="both"/>
      </w:pPr>
      <w:r>
        <w:rPr>
          <w:sz w:val="18"/>
          <w:szCs w:val="18"/>
          <w:lang w:val="es-ES_tradnl"/>
        </w:rPr>
        <w:t>La decisi</w:t>
      </w:r>
      <w:r>
        <w:rPr>
          <w:rFonts w:cs="Times New Roman"/>
          <w:sz w:val="18"/>
          <w:szCs w:val="18"/>
          <w:lang w:val="es-ES_tradnl"/>
        </w:rPr>
        <w:t>ó</w:t>
      </w:r>
      <w:r>
        <w:rPr>
          <w:sz w:val="18"/>
          <w:szCs w:val="18"/>
          <w:lang w:val="es-ES_tradnl"/>
        </w:rPr>
        <w:t xml:space="preserve">n judicial cuyo incumplimiento se alega, es </w:t>
      </w:r>
      <w:r>
        <w:rPr>
          <w:spacing w:val="-6"/>
          <w:sz w:val="18"/>
          <w:szCs w:val="18"/>
          <w:lang w:val="es-ES_tradnl"/>
        </w:rPr>
        <w:t xml:space="preserve">la sentencia dictada el 15 de noviembre de 2010, p or el </w:t>
      </w:r>
      <w:r>
        <w:rPr>
          <w:spacing w:val="-3"/>
          <w:sz w:val="18"/>
          <w:szCs w:val="18"/>
          <w:lang w:val="es-ES_tradnl"/>
        </w:rPr>
        <w:t>Juzgado D</w:t>
      </w:r>
      <w:r>
        <w:rPr>
          <w:rFonts w:cs="Times New Roman"/>
          <w:spacing w:val="-3"/>
          <w:sz w:val="18"/>
          <w:szCs w:val="18"/>
          <w:lang w:val="es-ES_tradnl"/>
        </w:rPr>
        <w:t>é</w:t>
      </w:r>
      <w:r>
        <w:rPr>
          <w:spacing w:val="-3"/>
          <w:sz w:val="18"/>
          <w:szCs w:val="18"/>
          <w:lang w:val="es-ES_tradnl"/>
        </w:rPr>
        <w:t xml:space="preserve">cimo Sexto de lo Civil de Salinas, dentro de </w:t>
      </w:r>
      <w:r>
        <w:rPr>
          <w:spacing w:val="-6"/>
          <w:sz w:val="18"/>
          <w:szCs w:val="18"/>
          <w:lang w:val="es-ES_tradnl"/>
        </w:rPr>
        <w:t>la acci</w:t>
      </w:r>
      <w:r>
        <w:rPr>
          <w:rFonts w:cs="Times New Roman"/>
          <w:spacing w:val="-6"/>
          <w:sz w:val="18"/>
          <w:szCs w:val="18"/>
          <w:lang w:val="es-ES_tradnl"/>
        </w:rPr>
        <w:t>ó</w:t>
      </w:r>
      <w:r>
        <w:rPr>
          <w:spacing w:val="-6"/>
          <w:sz w:val="18"/>
          <w:szCs w:val="18"/>
          <w:lang w:val="es-ES_tradnl"/>
        </w:rPr>
        <w:t>n de protecci</w:t>
      </w:r>
      <w:r>
        <w:rPr>
          <w:rFonts w:cs="Times New Roman"/>
          <w:spacing w:val="-6"/>
          <w:sz w:val="18"/>
          <w:szCs w:val="18"/>
          <w:lang w:val="es-ES_tradnl"/>
        </w:rPr>
        <w:t>ó</w:t>
      </w:r>
      <w:r>
        <w:rPr>
          <w:spacing w:val="-6"/>
          <w:sz w:val="18"/>
          <w:szCs w:val="18"/>
          <w:lang w:val="es-ES_tradnl"/>
        </w:rPr>
        <w:t>n N.</w:t>
      </w:r>
      <w:r>
        <w:rPr>
          <w:rFonts w:cs="Times New Roman"/>
          <w:spacing w:val="-6"/>
          <w:sz w:val="18"/>
          <w:szCs w:val="18"/>
          <w:lang w:val="es-ES_tradnl"/>
        </w:rPr>
        <w:t>º</w:t>
      </w:r>
      <w:r>
        <w:rPr>
          <w:spacing w:val="-6"/>
          <w:sz w:val="18"/>
          <w:szCs w:val="18"/>
          <w:lang w:val="es-ES_tradnl"/>
        </w:rPr>
        <w:t xml:space="preserve"> 773-2010, la misma que en su </w:t>
      </w:r>
      <w:r>
        <w:rPr>
          <w:sz w:val="18"/>
          <w:szCs w:val="18"/>
          <w:lang w:val="es-ES_tradnl"/>
        </w:rPr>
        <w:t>parte pertinente, se</w:t>
      </w:r>
      <w:r>
        <w:rPr>
          <w:rFonts w:cs="Times New Roman"/>
          <w:sz w:val="18"/>
          <w:szCs w:val="18"/>
          <w:lang w:val="es-ES_tradnl"/>
        </w:rPr>
        <w:t>ñ</w:t>
      </w:r>
      <w:r>
        <w:rPr>
          <w:sz w:val="18"/>
          <w:szCs w:val="18"/>
          <w:lang w:val="es-ES_tradnl"/>
        </w:rPr>
        <w:t>ala:</w:t>
      </w:r>
    </w:p>
    <w:p w14:paraId="4F67AAC0" w14:textId="77777777" w:rsidR="00591D54" w:rsidRDefault="00591D54">
      <w:pPr>
        <w:shd w:val="clear" w:color="auto" w:fill="FFFFFF"/>
        <w:spacing w:before="202" w:line="216" w:lineRule="exact"/>
        <w:ind w:left="283"/>
        <w:jc w:val="both"/>
      </w:pPr>
      <w:r>
        <w:rPr>
          <w:b/>
          <w:bCs/>
          <w:spacing w:val="-1"/>
          <w:sz w:val="16"/>
          <w:szCs w:val="16"/>
          <w:lang w:val="es-ES_tradnl"/>
        </w:rPr>
        <w:t xml:space="preserve">SEXTO: </w:t>
      </w:r>
      <w:r>
        <w:rPr>
          <w:spacing w:val="-1"/>
          <w:sz w:val="16"/>
          <w:szCs w:val="16"/>
          <w:lang w:val="es-ES_tradnl"/>
        </w:rPr>
        <w:t xml:space="preserve">No consta en el proceso que los demandados </w:t>
      </w:r>
      <w:r>
        <w:rPr>
          <w:sz w:val="16"/>
          <w:szCs w:val="16"/>
          <w:lang w:val="es-ES_tradnl"/>
        </w:rPr>
        <w:t xml:space="preserve">hayan probado haber seguido los procesos previstos en </w:t>
      </w:r>
      <w:r>
        <w:rPr>
          <w:spacing w:val="-7"/>
          <w:sz w:val="16"/>
          <w:szCs w:val="16"/>
          <w:lang w:val="es-ES_tradnl"/>
        </w:rPr>
        <w:t>la ley para la supresi</w:t>
      </w:r>
      <w:r>
        <w:rPr>
          <w:rFonts w:cs="Times New Roman"/>
          <w:spacing w:val="-7"/>
          <w:sz w:val="16"/>
          <w:szCs w:val="16"/>
          <w:lang w:val="es-ES_tradnl"/>
        </w:rPr>
        <w:t>ó</w:t>
      </w:r>
      <w:r>
        <w:rPr>
          <w:spacing w:val="-7"/>
          <w:sz w:val="16"/>
          <w:szCs w:val="16"/>
          <w:lang w:val="es-ES_tradnl"/>
        </w:rPr>
        <w:t xml:space="preserve">n de puestos, compra de renuncias, </w:t>
      </w:r>
      <w:r>
        <w:rPr>
          <w:spacing w:val="-2"/>
          <w:sz w:val="16"/>
          <w:szCs w:val="16"/>
          <w:lang w:val="es-ES_tradnl"/>
        </w:rPr>
        <w:t xml:space="preserve">evaluaciones, ni auditorias de personal que demuestren </w:t>
      </w:r>
      <w:r>
        <w:rPr>
          <w:spacing w:val="-6"/>
          <w:sz w:val="16"/>
          <w:szCs w:val="16"/>
          <w:lang w:val="es-ES_tradnl"/>
        </w:rPr>
        <w:t>haber seguido el debido proceso para determinar la relaci</w:t>
      </w:r>
      <w:r>
        <w:rPr>
          <w:rFonts w:cs="Times New Roman"/>
          <w:spacing w:val="-6"/>
          <w:sz w:val="16"/>
          <w:szCs w:val="16"/>
          <w:lang w:val="es-ES_tradnl"/>
        </w:rPr>
        <w:t>ó</w:t>
      </w:r>
      <w:r>
        <w:rPr>
          <w:spacing w:val="-6"/>
          <w:sz w:val="16"/>
          <w:szCs w:val="16"/>
          <w:lang w:val="es-ES_tradnl"/>
        </w:rPr>
        <w:t xml:space="preserve">n </w:t>
      </w:r>
      <w:r>
        <w:rPr>
          <w:spacing w:val="-7"/>
          <w:sz w:val="16"/>
          <w:szCs w:val="16"/>
          <w:lang w:val="es-ES_tradnl"/>
        </w:rPr>
        <w:t xml:space="preserve">con el actor. En consecuencia, el suscrito Juez Temporal, el </w:t>
      </w:r>
      <w:r>
        <w:rPr>
          <w:spacing w:val="-4"/>
          <w:sz w:val="16"/>
          <w:szCs w:val="16"/>
          <w:lang w:val="es-ES_tradnl"/>
        </w:rPr>
        <w:t>Juzgado D</w:t>
      </w:r>
      <w:r>
        <w:rPr>
          <w:rFonts w:cs="Times New Roman"/>
          <w:spacing w:val="-4"/>
          <w:sz w:val="16"/>
          <w:szCs w:val="16"/>
          <w:lang w:val="es-ES_tradnl"/>
        </w:rPr>
        <w:t>é</w:t>
      </w:r>
      <w:r>
        <w:rPr>
          <w:spacing w:val="-4"/>
          <w:sz w:val="16"/>
          <w:szCs w:val="16"/>
          <w:lang w:val="es-ES_tradnl"/>
        </w:rPr>
        <w:t>cimo Sexto de lo Civil y Mercantil del Cant</w:t>
      </w:r>
      <w:r>
        <w:rPr>
          <w:rFonts w:cs="Times New Roman"/>
          <w:spacing w:val="-4"/>
          <w:sz w:val="16"/>
          <w:szCs w:val="16"/>
          <w:lang w:val="es-ES_tradnl"/>
        </w:rPr>
        <w:t>ó</w:t>
      </w:r>
      <w:r>
        <w:rPr>
          <w:spacing w:val="-4"/>
          <w:sz w:val="16"/>
          <w:szCs w:val="16"/>
          <w:lang w:val="es-ES_tradnl"/>
        </w:rPr>
        <w:t xml:space="preserve">n </w:t>
      </w:r>
      <w:r>
        <w:rPr>
          <w:sz w:val="16"/>
          <w:szCs w:val="16"/>
          <w:lang w:val="es-ES_tradnl"/>
        </w:rPr>
        <w:t xml:space="preserve">Salinas, </w:t>
      </w:r>
      <w:r>
        <w:rPr>
          <w:rFonts w:cs="Times New Roman"/>
          <w:b/>
          <w:bCs/>
          <w:sz w:val="16"/>
          <w:szCs w:val="16"/>
          <w:lang w:val="es-ES_tradnl"/>
        </w:rPr>
        <w:t>‘</w:t>
      </w:r>
      <w:r>
        <w:rPr>
          <w:b/>
          <w:bCs/>
          <w:sz w:val="16"/>
          <w:szCs w:val="16"/>
          <w:lang w:val="es-ES_tradnl"/>
        </w:rPr>
        <w:t>ADMINISTRANDO JUSTICIA EN NOMBRE DEL PUEBLO SOBERANO DEL ECUADOR Y POR AUTORIDAD DE LA CONSTITUCI</w:t>
      </w:r>
      <w:r>
        <w:rPr>
          <w:rFonts w:cs="Times New Roman"/>
          <w:b/>
          <w:bCs/>
          <w:sz w:val="16"/>
          <w:szCs w:val="16"/>
          <w:lang w:val="es-ES_tradnl"/>
        </w:rPr>
        <w:t>Ó</w:t>
      </w:r>
      <w:r>
        <w:rPr>
          <w:b/>
          <w:bCs/>
          <w:sz w:val="16"/>
          <w:szCs w:val="16"/>
          <w:lang w:val="es-ES_tradnl"/>
        </w:rPr>
        <w:t xml:space="preserve">N Y LEYES DE </w:t>
      </w:r>
      <w:r>
        <w:rPr>
          <w:b/>
          <w:bCs/>
          <w:spacing w:val="-4"/>
          <w:sz w:val="16"/>
          <w:szCs w:val="16"/>
          <w:lang w:val="es-ES_tradnl"/>
        </w:rPr>
        <w:t>LA REPUBLICA</w:t>
      </w:r>
      <w:r>
        <w:rPr>
          <w:rFonts w:cs="Times New Roman"/>
          <w:b/>
          <w:bCs/>
          <w:spacing w:val="-4"/>
          <w:sz w:val="16"/>
          <w:szCs w:val="16"/>
          <w:lang w:val="es-ES_tradnl"/>
        </w:rPr>
        <w:t>’</w:t>
      </w:r>
      <w:r>
        <w:rPr>
          <w:b/>
          <w:bCs/>
          <w:spacing w:val="-4"/>
          <w:sz w:val="16"/>
          <w:szCs w:val="16"/>
          <w:lang w:val="es-ES_tradnl"/>
        </w:rPr>
        <w:t xml:space="preserve"> </w:t>
      </w:r>
      <w:r>
        <w:rPr>
          <w:spacing w:val="-4"/>
          <w:sz w:val="16"/>
          <w:szCs w:val="16"/>
          <w:lang w:val="es-ES_tradnl"/>
        </w:rPr>
        <w:t>declara con lugar la demanda de Acci</w:t>
      </w:r>
      <w:r>
        <w:rPr>
          <w:rFonts w:cs="Times New Roman"/>
          <w:spacing w:val="-4"/>
          <w:sz w:val="16"/>
          <w:szCs w:val="16"/>
          <w:lang w:val="es-ES_tradnl"/>
        </w:rPr>
        <w:t>ó</w:t>
      </w:r>
      <w:r>
        <w:rPr>
          <w:spacing w:val="-4"/>
          <w:sz w:val="16"/>
          <w:szCs w:val="16"/>
          <w:lang w:val="es-ES_tradnl"/>
        </w:rPr>
        <w:t xml:space="preserve">n </w:t>
      </w:r>
      <w:r>
        <w:rPr>
          <w:spacing w:val="-5"/>
          <w:sz w:val="16"/>
          <w:szCs w:val="16"/>
          <w:lang w:val="es-ES_tradnl"/>
        </w:rPr>
        <w:t>de Protecci</w:t>
      </w:r>
      <w:r>
        <w:rPr>
          <w:rFonts w:cs="Times New Roman"/>
          <w:spacing w:val="-5"/>
          <w:sz w:val="16"/>
          <w:szCs w:val="16"/>
          <w:lang w:val="es-ES_tradnl"/>
        </w:rPr>
        <w:t>ó</w:t>
      </w:r>
      <w:r>
        <w:rPr>
          <w:spacing w:val="-5"/>
          <w:sz w:val="16"/>
          <w:szCs w:val="16"/>
          <w:lang w:val="es-ES_tradnl"/>
        </w:rPr>
        <w:t>n Constitucional, deducida por Edison Ernesto Piguave Panchana, con la Muy I. Municipalidad del Cant</w:t>
      </w:r>
      <w:r>
        <w:rPr>
          <w:rFonts w:cs="Times New Roman"/>
          <w:spacing w:val="-5"/>
          <w:sz w:val="16"/>
          <w:szCs w:val="16"/>
          <w:lang w:val="es-ES_tradnl"/>
        </w:rPr>
        <w:t>ó</w:t>
      </w:r>
      <w:r>
        <w:rPr>
          <w:spacing w:val="-5"/>
          <w:sz w:val="16"/>
          <w:szCs w:val="16"/>
          <w:lang w:val="es-ES_tradnl"/>
        </w:rPr>
        <w:t xml:space="preserve">n </w:t>
      </w:r>
      <w:r>
        <w:rPr>
          <w:spacing w:val="-8"/>
          <w:sz w:val="16"/>
          <w:szCs w:val="16"/>
          <w:lang w:val="es-ES_tradnl"/>
        </w:rPr>
        <w:t xml:space="preserve">Salinas, en las interpuestas personas de sus representantes </w:t>
      </w:r>
      <w:r>
        <w:rPr>
          <w:spacing w:val="-3"/>
          <w:sz w:val="16"/>
          <w:szCs w:val="16"/>
          <w:lang w:val="es-ES_tradnl"/>
        </w:rPr>
        <w:t>legales Ab. Vicente Pa</w:t>
      </w:r>
      <w:r>
        <w:rPr>
          <w:rFonts w:cs="Times New Roman"/>
          <w:spacing w:val="-3"/>
          <w:sz w:val="16"/>
          <w:szCs w:val="16"/>
          <w:lang w:val="es-ES_tradnl"/>
        </w:rPr>
        <w:t>ú</w:t>
      </w:r>
      <w:r>
        <w:rPr>
          <w:spacing w:val="-3"/>
          <w:sz w:val="16"/>
          <w:szCs w:val="16"/>
          <w:lang w:val="es-ES_tradnl"/>
        </w:rPr>
        <w:t xml:space="preserve">l Borbor Mite y Ab. Carlos Julio </w:t>
      </w:r>
      <w:r>
        <w:rPr>
          <w:spacing w:val="-6"/>
          <w:sz w:val="16"/>
          <w:szCs w:val="16"/>
          <w:lang w:val="es-ES_tradnl"/>
        </w:rPr>
        <w:t>Guevara Alarc</w:t>
      </w:r>
      <w:r>
        <w:rPr>
          <w:rFonts w:cs="Times New Roman"/>
          <w:spacing w:val="-6"/>
          <w:sz w:val="16"/>
          <w:szCs w:val="16"/>
          <w:lang w:val="es-ES_tradnl"/>
        </w:rPr>
        <w:t>ó</w:t>
      </w:r>
      <w:r>
        <w:rPr>
          <w:spacing w:val="-6"/>
          <w:sz w:val="16"/>
          <w:szCs w:val="16"/>
          <w:lang w:val="es-ES_tradnl"/>
        </w:rPr>
        <w:t>n, en sus calidades de Alcalde y Procurador S</w:t>
      </w:r>
      <w:r>
        <w:rPr>
          <w:rFonts w:cs="Times New Roman"/>
          <w:spacing w:val="-6"/>
          <w:sz w:val="16"/>
          <w:szCs w:val="16"/>
          <w:lang w:val="es-ES_tradnl"/>
        </w:rPr>
        <w:t>í</w:t>
      </w:r>
      <w:r>
        <w:rPr>
          <w:spacing w:val="-6"/>
          <w:sz w:val="16"/>
          <w:szCs w:val="16"/>
          <w:lang w:val="es-ES_tradnl"/>
        </w:rPr>
        <w:t xml:space="preserve">ndico de la misma; y, se dispone que el recurrente sea </w:t>
      </w:r>
      <w:r>
        <w:rPr>
          <w:spacing w:val="-4"/>
          <w:sz w:val="16"/>
          <w:szCs w:val="16"/>
          <w:lang w:val="es-ES_tradnl"/>
        </w:rPr>
        <w:t>restituido inmediatamente a sus funciones que ven</w:t>
      </w:r>
      <w:r>
        <w:rPr>
          <w:rFonts w:cs="Times New Roman"/>
          <w:spacing w:val="-4"/>
          <w:sz w:val="16"/>
          <w:szCs w:val="16"/>
          <w:lang w:val="es-ES_tradnl"/>
        </w:rPr>
        <w:t>í</w:t>
      </w:r>
      <w:r>
        <w:rPr>
          <w:spacing w:val="-4"/>
          <w:sz w:val="16"/>
          <w:szCs w:val="16"/>
          <w:lang w:val="es-ES_tradnl"/>
        </w:rPr>
        <w:t xml:space="preserve">a </w:t>
      </w:r>
      <w:r>
        <w:rPr>
          <w:spacing w:val="-9"/>
          <w:sz w:val="16"/>
          <w:szCs w:val="16"/>
          <w:lang w:val="es-ES_tradnl"/>
        </w:rPr>
        <w:t>desempe</w:t>
      </w:r>
      <w:r>
        <w:rPr>
          <w:rFonts w:cs="Times New Roman"/>
          <w:spacing w:val="-9"/>
          <w:sz w:val="16"/>
          <w:szCs w:val="16"/>
          <w:lang w:val="es-ES_tradnl"/>
        </w:rPr>
        <w:t>ñ</w:t>
      </w:r>
      <w:r>
        <w:rPr>
          <w:spacing w:val="-9"/>
          <w:sz w:val="16"/>
          <w:szCs w:val="16"/>
          <w:lang w:val="es-ES_tradnl"/>
        </w:rPr>
        <w:t>ando antes de su separaci</w:t>
      </w:r>
      <w:r>
        <w:rPr>
          <w:rFonts w:cs="Times New Roman"/>
          <w:spacing w:val="-9"/>
          <w:sz w:val="16"/>
          <w:szCs w:val="16"/>
          <w:lang w:val="es-ES_tradnl"/>
        </w:rPr>
        <w:t>ó</w:t>
      </w:r>
      <w:r>
        <w:rPr>
          <w:spacing w:val="-9"/>
          <w:sz w:val="16"/>
          <w:szCs w:val="16"/>
          <w:lang w:val="es-ES_tradnl"/>
        </w:rPr>
        <w:t xml:space="preserve">n de la entidad recurrida, debiendo la misma bajo prevenciones de Ley, pagar los valores </w:t>
      </w:r>
      <w:r>
        <w:rPr>
          <w:spacing w:val="-11"/>
          <w:sz w:val="16"/>
          <w:szCs w:val="16"/>
          <w:lang w:val="es-ES_tradnl"/>
        </w:rPr>
        <w:t xml:space="preserve">que por su sueldo, ha dejado de percibir desde que fue separado </w:t>
      </w:r>
      <w:r>
        <w:rPr>
          <w:sz w:val="16"/>
          <w:szCs w:val="16"/>
          <w:lang w:val="es-ES_tradnl"/>
        </w:rPr>
        <w:t>de su cargo.- (</w:t>
      </w:r>
      <w:r>
        <w:rPr>
          <w:rFonts w:cs="Times New Roman"/>
          <w:sz w:val="16"/>
          <w:szCs w:val="16"/>
          <w:lang w:val="es-ES_tradnl"/>
        </w:rPr>
        <w:t>…</w:t>
      </w:r>
      <w:r>
        <w:rPr>
          <w:sz w:val="16"/>
          <w:szCs w:val="16"/>
          <w:lang w:val="es-ES_tradnl"/>
        </w:rPr>
        <w:t>).</w:t>
      </w:r>
    </w:p>
    <w:p w14:paraId="4F67AAC1" w14:textId="77777777" w:rsidR="00591D54" w:rsidRDefault="00591D54">
      <w:pPr>
        <w:shd w:val="clear" w:color="auto" w:fill="FFFFFF"/>
        <w:spacing w:before="202"/>
      </w:pPr>
      <w:r>
        <w:rPr>
          <w:b/>
          <w:bCs/>
          <w:spacing w:val="-13"/>
          <w:sz w:val="18"/>
          <w:szCs w:val="18"/>
          <w:lang w:val="es-ES_tradnl"/>
        </w:rPr>
        <w:t>Antecedentes del caso</w:t>
      </w:r>
    </w:p>
    <w:p w14:paraId="4F67AAC2" w14:textId="77777777" w:rsidR="00591D54" w:rsidRDefault="00591D54">
      <w:pPr>
        <w:shd w:val="clear" w:color="auto" w:fill="FFFFFF"/>
        <w:spacing w:before="192" w:line="216" w:lineRule="exact"/>
        <w:jc w:val="both"/>
      </w:pPr>
      <w:r>
        <w:rPr>
          <w:spacing w:val="-3"/>
          <w:sz w:val="18"/>
          <w:szCs w:val="18"/>
          <w:lang w:val="es-ES_tradnl"/>
        </w:rPr>
        <w:t>El se</w:t>
      </w:r>
      <w:r>
        <w:rPr>
          <w:rFonts w:cs="Times New Roman"/>
          <w:spacing w:val="-3"/>
          <w:sz w:val="18"/>
          <w:szCs w:val="18"/>
          <w:lang w:val="es-ES_tradnl"/>
        </w:rPr>
        <w:t>ñ</w:t>
      </w:r>
      <w:r>
        <w:rPr>
          <w:spacing w:val="-3"/>
          <w:sz w:val="18"/>
          <w:szCs w:val="18"/>
          <w:lang w:val="es-ES_tradnl"/>
        </w:rPr>
        <w:t xml:space="preserve">or Edison Ernesto Piguave Panchana laboraba </w:t>
      </w:r>
      <w:r>
        <w:rPr>
          <w:spacing w:val="-7"/>
          <w:sz w:val="18"/>
          <w:szCs w:val="18"/>
          <w:lang w:val="es-ES_tradnl"/>
        </w:rPr>
        <w:t xml:space="preserve">como asistente administrativo B de la Jefatura de Justicia, </w:t>
      </w:r>
      <w:r>
        <w:rPr>
          <w:spacing w:val="-3"/>
          <w:sz w:val="18"/>
          <w:szCs w:val="18"/>
          <w:lang w:val="es-ES_tradnl"/>
        </w:rPr>
        <w:t>Vigilancia y Polic</w:t>
      </w:r>
      <w:r>
        <w:rPr>
          <w:rFonts w:cs="Times New Roman"/>
          <w:spacing w:val="-3"/>
          <w:sz w:val="18"/>
          <w:szCs w:val="18"/>
          <w:lang w:val="es-ES_tradnl"/>
        </w:rPr>
        <w:t>í</w:t>
      </w:r>
      <w:r>
        <w:rPr>
          <w:spacing w:val="-3"/>
          <w:sz w:val="18"/>
          <w:szCs w:val="18"/>
          <w:lang w:val="es-ES_tradnl"/>
        </w:rPr>
        <w:t>a Municipal del Gobierno Aut</w:t>
      </w:r>
      <w:r>
        <w:rPr>
          <w:rFonts w:cs="Times New Roman"/>
          <w:spacing w:val="-3"/>
          <w:sz w:val="18"/>
          <w:szCs w:val="18"/>
          <w:lang w:val="es-ES_tradnl"/>
        </w:rPr>
        <w:t>ó</w:t>
      </w:r>
      <w:r>
        <w:rPr>
          <w:spacing w:val="-3"/>
          <w:sz w:val="18"/>
          <w:szCs w:val="18"/>
          <w:lang w:val="es-ES_tradnl"/>
        </w:rPr>
        <w:t xml:space="preserve">nomo </w:t>
      </w:r>
      <w:r>
        <w:rPr>
          <w:spacing w:val="-4"/>
          <w:sz w:val="18"/>
          <w:szCs w:val="18"/>
          <w:lang w:val="es-ES_tradnl"/>
        </w:rPr>
        <w:t>Descentralizado Municipal del cant</w:t>
      </w:r>
      <w:r>
        <w:rPr>
          <w:rFonts w:cs="Times New Roman"/>
          <w:spacing w:val="-4"/>
          <w:sz w:val="18"/>
          <w:szCs w:val="18"/>
          <w:lang w:val="es-ES_tradnl"/>
        </w:rPr>
        <w:t>ó</w:t>
      </w:r>
      <w:r>
        <w:rPr>
          <w:spacing w:val="-4"/>
          <w:sz w:val="18"/>
          <w:szCs w:val="18"/>
          <w:lang w:val="es-ES_tradnl"/>
        </w:rPr>
        <w:t xml:space="preserve">n Salinas en la </w:t>
      </w:r>
      <w:r>
        <w:rPr>
          <w:sz w:val="18"/>
          <w:szCs w:val="18"/>
          <w:lang w:val="es-ES_tradnl"/>
        </w:rPr>
        <w:t>Supervisi</w:t>
      </w:r>
      <w:r>
        <w:rPr>
          <w:rFonts w:cs="Times New Roman"/>
          <w:sz w:val="18"/>
          <w:szCs w:val="18"/>
          <w:lang w:val="es-ES_tradnl"/>
        </w:rPr>
        <w:t>ó</w:t>
      </w:r>
      <w:r>
        <w:rPr>
          <w:sz w:val="18"/>
          <w:szCs w:val="18"/>
          <w:lang w:val="es-ES_tradnl"/>
        </w:rPr>
        <w:t>n de la parroquia Anconcito.</w:t>
      </w:r>
    </w:p>
    <w:p w14:paraId="4F67AAC3" w14:textId="77777777" w:rsidR="00591D54" w:rsidRDefault="00591D54">
      <w:pPr>
        <w:shd w:val="clear" w:color="auto" w:fill="FFFFFF"/>
        <w:spacing w:before="192" w:line="216" w:lineRule="exact"/>
        <w:ind w:right="5"/>
        <w:jc w:val="both"/>
      </w:pPr>
      <w:r>
        <w:rPr>
          <w:spacing w:val="-9"/>
          <w:sz w:val="18"/>
          <w:szCs w:val="18"/>
          <w:lang w:val="es-ES_tradnl"/>
        </w:rPr>
        <w:t>Mediante oficio N.</w:t>
      </w:r>
      <w:r>
        <w:rPr>
          <w:rFonts w:cs="Times New Roman"/>
          <w:spacing w:val="-9"/>
          <w:sz w:val="18"/>
          <w:szCs w:val="18"/>
          <w:lang w:val="es-ES_tradnl"/>
        </w:rPr>
        <w:t>º</w:t>
      </w:r>
      <w:r>
        <w:rPr>
          <w:spacing w:val="-9"/>
          <w:sz w:val="18"/>
          <w:szCs w:val="18"/>
          <w:lang w:val="es-ES_tradnl"/>
        </w:rPr>
        <w:t xml:space="preserve"> 021-JRH-2009 del 02 de septiembre de </w:t>
      </w:r>
      <w:r>
        <w:rPr>
          <w:spacing w:val="-5"/>
          <w:sz w:val="18"/>
          <w:szCs w:val="18"/>
          <w:lang w:val="es-ES_tradnl"/>
        </w:rPr>
        <w:t xml:space="preserve">2009, suscrito por el jefe de la Unidad Administrativa de </w:t>
      </w:r>
      <w:r>
        <w:rPr>
          <w:spacing w:val="-7"/>
          <w:sz w:val="18"/>
          <w:szCs w:val="18"/>
          <w:lang w:val="es-ES_tradnl"/>
        </w:rPr>
        <w:t xml:space="preserve">Recursos Humanos de la Ilustre Municipalidad de Salinas, </w:t>
      </w:r>
      <w:r>
        <w:rPr>
          <w:spacing w:val="-6"/>
          <w:sz w:val="18"/>
          <w:szCs w:val="18"/>
          <w:lang w:val="es-ES_tradnl"/>
        </w:rPr>
        <w:t xml:space="preserve">el hoy accionante fue removido de su cargo; frente a ello, </w:t>
      </w:r>
      <w:r>
        <w:rPr>
          <w:spacing w:val="-7"/>
          <w:sz w:val="18"/>
          <w:szCs w:val="18"/>
          <w:lang w:val="es-ES_tradnl"/>
        </w:rPr>
        <w:t>present</w:t>
      </w:r>
      <w:r>
        <w:rPr>
          <w:rFonts w:cs="Times New Roman"/>
          <w:spacing w:val="-7"/>
          <w:sz w:val="18"/>
          <w:szCs w:val="18"/>
          <w:lang w:val="es-ES_tradnl"/>
        </w:rPr>
        <w:t>ó</w:t>
      </w:r>
      <w:r>
        <w:rPr>
          <w:spacing w:val="-7"/>
          <w:sz w:val="18"/>
          <w:szCs w:val="18"/>
          <w:lang w:val="es-ES_tradnl"/>
        </w:rPr>
        <w:t xml:space="preserve">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 xml:space="preserve">n, la misma que fue conocida </w:t>
      </w:r>
      <w:r>
        <w:rPr>
          <w:spacing w:val="-9"/>
          <w:sz w:val="18"/>
          <w:szCs w:val="18"/>
          <w:lang w:val="es-ES_tradnl"/>
        </w:rPr>
        <w:t>por el Juzgado D</w:t>
      </w:r>
      <w:r>
        <w:rPr>
          <w:rFonts w:cs="Times New Roman"/>
          <w:spacing w:val="-9"/>
          <w:sz w:val="18"/>
          <w:szCs w:val="18"/>
          <w:lang w:val="es-ES_tradnl"/>
        </w:rPr>
        <w:t>é</w:t>
      </w:r>
      <w:r>
        <w:rPr>
          <w:spacing w:val="-9"/>
          <w:sz w:val="18"/>
          <w:szCs w:val="18"/>
          <w:lang w:val="es-ES_tradnl"/>
        </w:rPr>
        <w:t>cimo Sexto de lo Civil del cant</w:t>
      </w:r>
      <w:r>
        <w:rPr>
          <w:rFonts w:cs="Times New Roman"/>
          <w:spacing w:val="-9"/>
          <w:sz w:val="18"/>
          <w:szCs w:val="18"/>
          <w:lang w:val="es-ES_tradnl"/>
        </w:rPr>
        <w:t>ó</w:t>
      </w:r>
      <w:r>
        <w:rPr>
          <w:spacing w:val="-9"/>
          <w:sz w:val="18"/>
          <w:szCs w:val="18"/>
          <w:lang w:val="es-ES_tradnl"/>
        </w:rPr>
        <w:t xml:space="preserve">n Salinas, </w:t>
      </w:r>
      <w:r>
        <w:rPr>
          <w:spacing w:val="-7"/>
          <w:sz w:val="18"/>
          <w:szCs w:val="18"/>
          <w:lang w:val="es-ES_tradnl"/>
        </w:rPr>
        <w:t>el cual mediante sentencia del 15 de noviembre de 2010, acept</w:t>
      </w:r>
      <w:r>
        <w:rPr>
          <w:rFonts w:cs="Times New Roman"/>
          <w:spacing w:val="-7"/>
          <w:sz w:val="18"/>
          <w:szCs w:val="18"/>
          <w:lang w:val="es-ES_tradnl"/>
        </w:rPr>
        <w:t>ó</w:t>
      </w:r>
      <w:r>
        <w:rPr>
          <w:spacing w:val="-7"/>
          <w:sz w:val="18"/>
          <w:szCs w:val="18"/>
          <w:lang w:val="es-ES_tradnl"/>
        </w:rPr>
        <w:t xml:space="preserve"> la acci</w:t>
      </w:r>
      <w:r>
        <w:rPr>
          <w:rFonts w:cs="Times New Roman"/>
          <w:spacing w:val="-7"/>
          <w:sz w:val="18"/>
          <w:szCs w:val="18"/>
          <w:lang w:val="es-ES_tradnl"/>
        </w:rPr>
        <w:t>ó</w:t>
      </w:r>
      <w:r>
        <w:rPr>
          <w:spacing w:val="-7"/>
          <w:sz w:val="18"/>
          <w:szCs w:val="18"/>
          <w:lang w:val="es-ES_tradnl"/>
        </w:rPr>
        <w:t>n propuesta y dispuso la restituci</w:t>
      </w:r>
      <w:r>
        <w:rPr>
          <w:rFonts w:cs="Times New Roman"/>
          <w:spacing w:val="-7"/>
          <w:sz w:val="18"/>
          <w:szCs w:val="18"/>
          <w:lang w:val="es-ES_tradnl"/>
        </w:rPr>
        <w:t>ó</w:t>
      </w:r>
      <w:r>
        <w:rPr>
          <w:spacing w:val="-7"/>
          <w:sz w:val="18"/>
          <w:szCs w:val="18"/>
          <w:lang w:val="es-ES_tradnl"/>
        </w:rPr>
        <w:t xml:space="preserve">n laboral, </w:t>
      </w:r>
      <w:r>
        <w:rPr>
          <w:spacing w:val="-10"/>
          <w:sz w:val="18"/>
          <w:szCs w:val="18"/>
          <w:lang w:val="es-ES_tradnl"/>
        </w:rPr>
        <w:t>as</w:t>
      </w:r>
      <w:r>
        <w:rPr>
          <w:rFonts w:cs="Times New Roman"/>
          <w:spacing w:val="-10"/>
          <w:sz w:val="18"/>
          <w:szCs w:val="18"/>
          <w:lang w:val="es-ES_tradnl"/>
        </w:rPr>
        <w:t>í</w:t>
      </w:r>
      <w:r>
        <w:rPr>
          <w:spacing w:val="-10"/>
          <w:sz w:val="18"/>
          <w:szCs w:val="18"/>
          <w:lang w:val="es-ES_tradnl"/>
        </w:rPr>
        <w:t xml:space="preserve"> como el pago de lo no percibido desde el momento de la </w:t>
      </w:r>
      <w:r>
        <w:rPr>
          <w:sz w:val="18"/>
          <w:szCs w:val="18"/>
          <w:lang w:val="es-ES_tradnl"/>
        </w:rPr>
        <w:t>separaci</w:t>
      </w:r>
      <w:r>
        <w:rPr>
          <w:rFonts w:cs="Times New Roman"/>
          <w:sz w:val="18"/>
          <w:szCs w:val="18"/>
          <w:lang w:val="es-ES_tradnl"/>
        </w:rPr>
        <w:t>ó</w:t>
      </w:r>
      <w:r>
        <w:rPr>
          <w:sz w:val="18"/>
          <w:szCs w:val="18"/>
          <w:lang w:val="es-ES_tradnl"/>
        </w:rPr>
        <w:t>n laboral.</w:t>
      </w:r>
    </w:p>
    <w:p w14:paraId="4F67AAC4" w14:textId="77777777" w:rsidR="00591D54" w:rsidRDefault="00591D54">
      <w:pPr>
        <w:shd w:val="clear" w:color="auto" w:fill="FFFFFF"/>
        <w:spacing w:before="192"/>
      </w:pPr>
      <w:r>
        <w:rPr>
          <w:b/>
          <w:bCs/>
          <w:spacing w:val="-10"/>
          <w:sz w:val="18"/>
          <w:szCs w:val="18"/>
          <w:lang w:val="es-ES_tradnl"/>
        </w:rPr>
        <w:t>Argumentos planteados en la demanda</w:t>
      </w:r>
    </w:p>
    <w:p w14:paraId="4F67AAC5" w14:textId="77777777" w:rsidR="00591D54" w:rsidRDefault="00591D54">
      <w:pPr>
        <w:shd w:val="clear" w:color="auto" w:fill="FFFFFF"/>
        <w:spacing w:before="197" w:line="216" w:lineRule="exact"/>
        <w:ind w:right="5"/>
        <w:jc w:val="both"/>
      </w:pPr>
      <w:r>
        <w:rPr>
          <w:spacing w:val="-9"/>
          <w:sz w:val="18"/>
          <w:szCs w:val="18"/>
          <w:lang w:val="es-ES_tradnl"/>
        </w:rPr>
        <w:t xml:space="preserve">El legitimado activo afirma que no se ha dado cumplimiento </w:t>
      </w:r>
      <w:r>
        <w:rPr>
          <w:spacing w:val="-7"/>
          <w:sz w:val="18"/>
          <w:szCs w:val="18"/>
          <w:lang w:val="es-ES_tradnl"/>
        </w:rPr>
        <w:t xml:space="preserve">a la sentencia dictada el 15 de noviembre de 2010, por el </w:t>
      </w:r>
      <w:r>
        <w:rPr>
          <w:spacing w:val="-3"/>
          <w:sz w:val="18"/>
          <w:szCs w:val="18"/>
          <w:lang w:val="es-ES_tradnl"/>
        </w:rPr>
        <w:t>Juzgado D</w:t>
      </w:r>
      <w:r>
        <w:rPr>
          <w:rFonts w:cs="Times New Roman"/>
          <w:spacing w:val="-3"/>
          <w:sz w:val="18"/>
          <w:szCs w:val="18"/>
          <w:lang w:val="es-ES_tradnl"/>
        </w:rPr>
        <w:t>é</w:t>
      </w:r>
      <w:r>
        <w:rPr>
          <w:spacing w:val="-3"/>
          <w:sz w:val="18"/>
          <w:szCs w:val="18"/>
          <w:lang w:val="es-ES_tradnl"/>
        </w:rPr>
        <w:t>cimo Sexto de lo Civil de Salinas, dentro de</w:t>
      </w:r>
    </w:p>
    <w:p w14:paraId="4F67AAC6" w14:textId="77777777" w:rsidR="00591D54" w:rsidRDefault="00591D54">
      <w:pPr>
        <w:shd w:val="clear" w:color="auto" w:fill="FFFFFF"/>
        <w:spacing w:line="221" w:lineRule="exact"/>
        <w:jc w:val="both"/>
      </w:pPr>
      <w:r>
        <w:br w:type="column"/>
      </w:r>
      <w:r>
        <w:rPr>
          <w:spacing w:val="-5"/>
          <w:sz w:val="18"/>
          <w:szCs w:val="18"/>
          <w:lang w:val="es-ES_tradnl"/>
        </w:rPr>
        <w:t>la acci</w:t>
      </w:r>
      <w:r>
        <w:rPr>
          <w:rFonts w:cs="Times New Roman"/>
          <w:spacing w:val="-5"/>
          <w:sz w:val="18"/>
          <w:szCs w:val="18"/>
          <w:lang w:val="es-ES_tradnl"/>
        </w:rPr>
        <w:t>ó</w:t>
      </w:r>
      <w:r>
        <w:rPr>
          <w:spacing w:val="-5"/>
          <w:sz w:val="18"/>
          <w:szCs w:val="18"/>
          <w:lang w:val="es-ES_tradnl"/>
        </w:rPr>
        <w:t>n de protecci</w:t>
      </w:r>
      <w:r>
        <w:rPr>
          <w:rFonts w:cs="Times New Roman"/>
          <w:spacing w:val="-5"/>
          <w:sz w:val="18"/>
          <w:szCs w:val="18"/>
          <w:lang w:val="es-ES_tradnl"/>
        </w:rPr>
        <w:t>ó</w:t>
      </w:r>
      <w:r>
        <w:rPr>
          <w:spacing w:val="-5"/>
          <w:sz w:val="18"/>
          <w:szCs w:val="18"/>
          <w:lang w:val="es-ES_tradnl"/>
        </w:rPr>
        <w:t>n N.</w:t>
      </w:r>
      <w:r>
        <w:rPr>
          <w:rFonts w:cs="Times New Roman"/>
          <w:spacing w:val="-5"/>
          <w:sz w:val="18"/>
          <w:szCs w:val="18"/>
          <w:lang w:val="es-ES_tradnl"/>
        </w:rPr>
        <w:t>º</w:t>
      </w:r>
      <w:r>
        <w:rPr>
          <w:spacing w:val="-5"/>
          <w:sz w:val="18"/>
          <w:szCs w:val="18"/>
          <w:lang w:val="es-ES_tradnl"/>
        </w:rPr>
        <w:t xml:space="preserve"> 773-2010, pues asegura que los accionados </w:t>
      </w:r>
      <w:r>
        <w:rPr>
          <w:rFonts w:cs="Times New Roman"/>
          <w:spacing w:val="-5"/>
          <w:sz w:val="18"/>
          <w:szCs w:val="18"/>
          <w:lang w:val="es-ES_tradnl"/>
        </w:rPr>
        <w:t>“</w:t>
      </w:r>
      <w:r>
        <w:rPr>
          <w:spacing w:val="-5"/>
          <w:sz w:val="18"/>
          <w:szCs w:val="18"/>
          <w:lang w:val="es-ES_tradnl"/>
        </w:rPr>
        <w:t>(</w:t>
      </w:r>
      <w:r>
        <w:rPr>
          <w:rFonts w:cs="Times New Roman"/>
          <w:spacing w:val="-5"/>
          <w:sz w:val="18"/>
          <w:szCs w:val="18"/>
          <w:lang w:val="es-ES_tradnl"/>
        </w:rPr>
        <w:t>…</w:t>
      </w:r>
      <w:r>
        <w:rPr>
          <w:spacing w:val="-5"/>
          <w:sz w:val="18"/>
          <w:szCs w:val="18"/>
          <w:lang w:val="es-ES_tradnl"/>
        </w:rPr>
        <w:t xml:space="preserve">) no han cumplido cabalmente con la sentencia emitida por el mismo Juez, porque no me han </w:t>
      </w:r>
      <w:r>
        <w:rPr>
          <w:spacing w:val="-6"/>
          <w:sz w:val="18"/>
          <w:szCs w:val="18"/>
          <w:lang w:val="es-ES_tradnl"/>
        </w:rPr>
        <w:t xml:space="preserve">reintegrado a mi puesto de trabajo, ni me han pagado los </w:t>
      </w:r>
      <w:r>
        <w:rPr>
          <w:spacing w:val="-5"/>
          <w:sz w:val="18"/>
          <w:szCs w:val="18"/>
          <w:lang w:val="es-ES_tradnl"/>
        </w:rPr>
        <w:t xml:space="preserve">valores que me corresponden por sueldos no percibidos </w:t>
      </w:r>
      <w:r>
        <w:rPr>
          <w:spacing w:val="-3"/>
          <w:sz w:val="18"/>
          <w:szCs w:val="18"/>
          <w:lang w:val="es-ES_tradnl"/>
        </w:rPr>
        <w:t xml:space="preserve">desde que fui ilegalmente separado de mi puesto de </w:t>
      </w:r>
      <w:r>
        <w:rPr>
          <w:sz w:val="18"/>
          <w:szCs w:val="18"/>
          <w:lang w:val="es-ES_tradnl"/>
        </w:rPr>
        <w:t>trabajo (</w:t>
      </w:r>
      <w:r>
        <w:rPr>
          <w:rFonts w:cs="Times New Roman"/>
          <w:sz w:val="18"/>
          <w:szCs w:val="18"/>
          <w:lang w:val="es-ES_tradnl"/>
        </w:rPr>
        <w:t>…</w:t>
      </w:r>
      <w:r>
        <w:rPr>
          <w:sz w:val="18"/>
          <w:szCs w:val="18"/>
          <w:lang w:val="es-ES_tradnl"/>
        </w:rPr>
        <w:t>)</w:t>
      </w:r>
      <w:r>
        <w:rPr>
          <w:rFonts w:cs="Times New Roman"/>
          <w:sz w:val="18"/>
          <w:szCs w:val="18"/>
          <w:lang w:val="es-ES_tradnl"/>
        </w:rPr>
        <w:t>”</w:t>
      </w:r>
      <w:r>
        <w:rPr>
          <w:sz w:val="18"/>
          <w:szCs w:val="18"/>
          <w:lang w:val="es-ES_tradnl"/>
        </w:rPr>
        <w:t>.</w:t>
      </w:r>
    </w:p>
    <w:p w14:paraId="4F67AAC7" w14:textId="77777777" w:rsidR="00591D54" w:rsidRDefault="00591D54">
      <w:pPr>
        <w:shd w:val="clear" w:color="auto" w:fill="FFFFFF"/>
        <w:spacing w:before="206" w:line="221" w:lineRule="exact"/>
        <w:jc w:val="both"/>
      </w:pPr>
      <w:r>
        <w:rPr>
          <w:spacing w:val="-8"/>
          <w:sz w:val="18"/>
          <w:szCs w:val="18"/>
          <w:lang w:val="es-ES_tradnl"/>
        </w:rPr>
        <w:t>Asegura adem</w:t>
      </w:r>
      <w:r>
        <w:rPr>
          <w:rFonts w:cs="Times New Roman"/>
          <w:spacing w:val="-8"/>
          <w:sz w:val="18"/>
          <w:szCs w:val="18"/>
          <w:lang w:val="es-ES_tradnl"/>
        </w:rPr>
        <w:t>á</w:t>
      </w:r>
      <w:r>
        <w:rPr>
          <w:spacing w:val="-8"/>
          <w:sz w:val="18"/>
          <w:szCs w:val="18"/>
          <w:lang w:val="es-ES_tradnl"/>
        </w:rPr>
        <w:t xml:space="preserve">s que ha presentado varios escritos ante el </w:t>
      </w:r>
      <w:r>
        <w:rPr>
          <w:spacing w:val="-7"/>
          <w:sz w:val="18"/>
          <w:szCs w:val="18"/>
          <w:lang w:val="es-ES_tradnl"/>
        </w:rPr>
        <w:t xml:space="preserve">referido juzgado en los cuales, ha puesto en conocimiento </w:t>
      </w:r>
      <w:r>
        <w:rPr>
          <w:spacing w:val="-5"/>
          <w:sz w:val="18"/>
          <w:szCs w:val="18"/>
          <w:lang w:val="es-ES_tradnl"/>
        </w:rPr>
        <w:t xml:space="preserve">la negativa de los accionados a cumplir con la sentencia </w:t>
      </w:r>
      <w:r>
        <w:rPr>
          <w:spacing w:val="-7"/>
          <w:sz w:val="18"/>
          <w:szCs w:val="18"/>
          <w:lang w:val="es-ES_tradnl"/>
        </w:rPr>
        <w:t xml:space="preserve">dictada, </w:t>
      </w:r>
      <w:r>
        <w:rPr>
          <w:rFonts w:cs="Times New Roman"/>
          <w:spacing w:val="-7"/>
          <w:sz w:val="18"/>
          <w:szCs w:val="18"/>
          <w:lang w:val="es-ES_tradnl"/>
        </w:rPr>
        <w:t>“</w:t>
      </w:r>
      <w:r>
        <w:rPr>
          <w:spacing w:val="-7"/>
          <w:sz w:val="18"/>
          <w:szCs w:val="18"/>
          <w:lang w:val="es-ES_tradnl"/>
        </w:rPr>
        <w:t>(</w:t>
      </w:r>
      <w:r>
        <w:rPr>
          <w:rFonts w:cs="Times New Roman"/>
          <w:spacing w:val="-7"/>
          <w:sz w:val="18"/>
          <w:szCs w:val="18"/>
          <w:lang w:val="es-ES_tradnl"/>
        </w:rPr>
        <w:t>…</w:t>
      </w:r>
      <w:r>
        <w:rPr>
          <w:spacing w:val="-7"/>
          <w:sz w:val="18"/>
          <w:szCs w:val="18"/>
          <w:lang w:val="es-ES_tradnl"/>
        </w:rPr>
        <w:t>) poniendo como pretexto que hab</w:t>
      </w:r>
      <w:r>
        <w:rPr>
          <w:rFonts w:cs="Times New Roman"/>
          <w:spacing w:val="-7"/>
          <w:sz w:val="18"/>
          <w:szCs w:val="18"/>
          <w:lang w:val="es-ES_tradnl"/>
        </w:rPr>
        <w:t>í</w:t>
      </w:r>
      <w:r>
        <w:rPr>
          <w:spacing w:val="-7"/>
          <w:sz w:val="18"/>
          <w:szCs w:val="18"/>
          <w:lang w:val="es-ES_tradnl"/>
        </w:rPr>
        <w:t>an apelado y que no me reincorporar</w:t>
      </w:r>
      <w:r>
        <w:rPr>
          <w:rFonts w:cs="Times New Roman"/>
          <w:spacing w:val="-7"/>
          <w:sz w:val="18"/>
          <w:szCs w:val="18"/>
          <w:lang w:val="es-ES_tradnl"/>
        </w:rPr>
        <w:t>í</w:t>
      </w:r>
      <w:r>
        <w:rPr>
          <w:spacing w:val="-7"/>
          <w:sz w:val="18"/>
          <w:szCs w:val="18"/>
          <w:lang w:val="es-ES_tradnl"/>
        </w:rPr>
        <w:t xml:space="preserve">an hasta que la Sala de la Corte </w:t>
      </w:r>
      <w:r>
        <w:rPr>
          <w:spacing w:val="-8"/>
          <w:sz w:val="18"/>
          <w:szCs w:val="18"/>
          <w:lang w:val="es-ES_tradnl"/>
        </w:rPr>
        <w:t xml:space="preserve">Provincial de Justicia de Santa Elena resuelva en Segunda </w:t>
      </w:r>
      <w:r>
        <w:rPr>
          <w:sz w:val="18"/>
          <w:szCs w:val="18"/>
          <w:lang w:val="es-ES_tradnl"/>
        </w:rPr>
        <w:t>Instancia</w:t>
      </w:r>
      <w:r>
        <w:rPr>
          <w:rFonts w:cs="Times New Roman"/>
          <w:sz w:val="18"/>
          <w:szCs w:val="18"/>
          <w:lang w:val="es-ES_tradnl"/>
        </w:rPr>
        <w:t>”</w:t>
      </w:r>
      <w:r>
        <w:rPr>
          <w:sz w:val="18"/>
          <w:szCs w:val="18"/>
          <w:lang w:val="es-ES_tradnl"/>
        </w:rPr>
        <w:t>.</w:t>
      </w:r>
    </w:p>
    <w:p w14:paraId="4F67AAC8" w14:textId="77777777" w:rsidR="00591D54" w:rsidRDefault="00591D54">
      <w:pPr>
        <w:shd w:val="clear" w:color="auto" w:fill="FFFFFF"/>
        <w:spacing w:before="206" w:line="221" w:lineRule="exact"/>
        <w:jc w:val="both"/>
      </w:pPr>
      <w:r>
        <w:rPr>
          <w:spacing w:val="-1"/>
          <w:sz w:val="18"/>
          <w:szCs w:val="18"/>
          <w:lang w:val="es-ES_tradnl"/>
        </w:rPr>
        <w:t>A decir del accionante, el juez que dict</w:t>
      </w:r>
      <w:r>
        <w:rPr>
          <w:rFonts w:cs="Times New Roman"/>
          <w:spacing w:val="-1"/>
          <w:sz w:val="18"/>
          <w:szCs w:val="18"/>
          <w:lang w:val="es-ES_tradnl"/>
        </w:rPr>
        <w:t>ó</w:t>
      </w:r>
      <w:r>
        <w:rPr>
          <w:spacing w:val="-1"/>
          <w:sz w:val="18"/>
          <w:szCs w:val="18"/>
          <w:lang w:val="es-ES_tradnl"/>
        </w:rPr>
        <w:t xml:space="preserve"> la sentencia </w:t>
      </w:r>
      <w:r>
        <w:rPr>
          <w:spacing w:val="-6"/>
          <w:sz w:val="18"/>
          <w:szCs w:val="18"/>
          <w:lang w:val="es-ES_tradnl"/>
        </w:rPr>
        <w:t>cuyo incumplimiento se demanda, no ha hecho m</w:t>
      </w:r>
      <w:r>
        <w:rPr>
          <w:rFonts w:cs="Times New Roman"/>
          <w:spacing w:val="-6"/>
          <w:sz w:val="18"/>
          <w:szCs w:val="18"/>
          <w:lang w:val="es-ES_tradnl"/>
        </w:rPr>
        <w:t>á</w:t>
      </w:r>
      <w:r>
        <w:rPr>
          <w:spacing w:val="-6"/>
          <w:sz w:val="18"/>
          <w:szCs w:val="18"/>
          <w:lang w:val="es-ES_tradnl"/>
        </w:rPr>
        <w:t xml:space="preserve">s que </w:t>
      </w:r>
      <w:r>
        <w:rPr>
          <w:spacing w:val="-3"/>
          <w:sz w:val="18"/>
          <w:szCs w:val="18"/>
          <w:lang w:val="es-ES_tradnl"/>
        </w:rPr>
        <w:t xml:space="preserve">emitir una providencia el 23 de diciembre de 2010, </w:t>
      </w:r>
      <w:r>
        <w:rPr>
          <w:rFonts w:cs="Times New Roman"/>
          <w:spacing w:val="-3"/>
          <w:sz w:val="18"/>
          <w:szCs w:val="18"/>
          <w:lang w:val="es-ES_tradnl"/>
        </w:rPr>
        <w:t>“</w:t>
      </w:r>
      <w:r>
        <w:rPr>
          <w:spacing w:val="-3"/>
          <w:sz w:val="18"/>
          <w:szCs w:val="18"/>
          <w:lang w:val="es-ES_tradnl"/>
        </w:rPr>
        <w:t>(</w:t>
      </w:r>
      <w:r>
        <w:rPr>
          <w:rFonts w:cs="Times New Roman"/>
          <w:spacing w:val="-3"/>
          <w:sz w:val="18"/>
          <w:szCs w:val="18"/>
          <w:lang w:val="es-ES_tradnl"/>
        </w:rPr>
        <w:t>…</w:t>
      </w:r>
      <w:r>
        <w:rPr>
          <w:spacing w:val="-3"/>
          <w:sz w:val="18"/>
          <w:szCs w:val="18"/>
          <w:lang w:val="es-ES_tradnl"/>
        </w:rPr>
        <w:t xml:space="preserve">) en la que dispone oficiar a la Municipalidad de Salinas </w:t>
      </w:r>
      <w:r>
        <w:rPr>
          <w:spacing w:val="-6"/>
          <w:sz w:val="18"/>
          <w:szCs w:val="18"/>
          <w:lang w:val="es-ES_tradnl"/>
        </w:rPr>
        <w:t>para que informe en el t</w:t>
      </w:r>
      <w:r>
        <w:rPr>
          <w:rFonts w:cs="Times New Roman"/>
          <w:spacing w:val="-6"/>
          <w:sz w:val="18"/>
          <w:szCs w:val="18"/>
          <w:lang w:val="es-ES_tradnl"/>
        </w:rPr>
        <w:t>é</w:t>
      </w:r>
      <w:r>
        <w:rPr>
          <w:spacing w:val="-6"/>
          <w:sz w:val="18"/>
          <w:szCs w:val="18"/>
          <w:lang w:val="es-ES_tradnl"/>
        </w:rPr>
        <w:t xml:space="preserve">rmino de 48 horas si se ha dado </w:t>
      </w:r>
      <w:r>
        <w:rPr>
          <w:sz w:val="18"/>
          <w:szCs w:val="18"/>
          <w:lang w:val="es-ES_tradnl"/>
        </w:rPr>
        <w:t>cumplimiento a la sentencia</w:t>
      </w:r>
      <w:r>
        <w:rPr>
          <w:rFonts w:cs="Times New Roman"/>
          <w:sz w:val="18"/>
          <w:szCs w:val="18"/>
          <w:lang w:val="es-ES_tradnl"/>
        </w:rPr>
        <w:t>”</w:t>
      </w:r>
      <w:r>
        <w:rPr>
          <w:sz w:val="18"/>
          <w:szCs w:val="18"/>
          <w:lang w:val="es-ES_tradnl"/>
        </w:rPr>
        <w:t>.</w:t>
      </w:r>
    </w:p>
    <w:p w14:paraId="4F67AAC9" w14:textId="77777777" w:rsidR="00591D54" w:rsidRDefault="00591D54">
      <w:pPr>
        <w:shd w:val="clear" w:color="auto" w:fill="FFFFFF"/>
        <w:spacing w:before="197"/>
      </w:pPr>
      <w:r>
        <w:rPr>
          <w:b/>
          <w:bCs/>
          <w:spacing w:val="-9"/>
          <w:sz w:val="18"/>
          <w:szCs w:val="18"/>
          <w:lang w:val="es-ES_tradnl"/>
        </w:rPr>
        <w:t>Pretensi</w:t>
      </w:r>
      <w:r>
        <w:rPr>
          <w:rFonts w:cs="Times New Roman"/>
          <w:b/>
          <w:bCs/>
          <w:spacing w:val="-9"/>
          <w:sz w:val="18"/>
          <w:szCs w:val="18"/>
          <w:lang w:val="es-ES_tradnl"/>
        </w:rPr>
        <w:t>ó</w:t>
      </w:r>
      <w:r>
        <w:rPr>
          <w:b/>
          <w:bCs/>
          <w:spacing w:val="-9"/>
          <w:sz w:val="18"/>
          <w:szCs w:val="18"/>
          <w:lang w:val="es-ES_tradnl"/>
        </w:rPr>
        <w:t>n concreta</w:t>
      </w:r>
    </w:p>
    <w:p w14:paraId="4F67AACA" w14:textId="77777777" w:rsidR="00591D54" w:rsidRDefault="00591D54">
      <w:pPr>
        <w:shd w:val="clear" w:color="auto" w:fill="FFFFFF"/>
        <w:spacing w:before="206" w:line="221" w:lineRule="exact"/>
        <w:jc w:val="both"/>
      </w:pPr>
      <w:r>
        <w:rPr>
          <w:spacing w:val="-8"/>
          <w:sz w:val="18"/>
          <w:szCs w:val="18"/>
          <w:lang w:val="es-ES_tradnl"/>
        </w:rPr>
        <w:t>De manera espec</w:t>
      </w:r>
      <w:r>
        <w:rPr>
          <w:rFonts w:cs="Times New Roman"/>
          <w:spacing w:val="-8"/>
          <w:sz w:val="18"/>
          <w:szCs w:val="18"/>
          <w:lang w:val="es-ES_tradnl"/>
        </w:rPr>
        <w:t>í</w:t>
      </w:r>
      <w:r>
        <w:rPr>
          <w:spacing w:val="-8"/>
          <w:sz w:val="18"/>
          <w:szCs w:val="18"/>
          <w:lang w:val="es-ES_tradnl"/>
        </w:rPr>
        <w:t xml:space="preserve">fica, el accionante solicita que mediante </w:t>
      </w:r>
      <w:r>
        <w:rPr>
          <w:spacing w:val="-3"/>
          <w:sz w:val="18"/>
          <w:szCs w:val="18"/>
          <w:lang w:val="es-ES_tradnl"/>
        </w:rPr>
        <w:t xml:space="preserve">sentencia, la Corte Constitucional disponga: </w:t>
      </w:r>
      <w:r>
        <w:rPr>
          <w:rFonts w:cs="Times New Roman"/>
          <w:spacing w:val="-3"/>
          <w:sz w:val="18"/>
          <w:szCs w:val="18"/>
          <w:lang w:val="es-ES_tradnl"/>
        </w:rPr>
        <w:t>“</w:t>
      </w:r>
      <w:r>
        <w:rPr>
          <w:spacing w:val="-3"/>
          <w:sz w:val="18"/>
          <w:szCs w:val="18"/>
          <w:lang w:val="es-ES_tradnl"/>
        </w:rPr>
        <w:t>(</w:t>
      </w:r>
      <w:r>
        <w:rPr>
          <w:rFonts w:cs="Times New Roman"/>
          <w:spacing w:val="-3"/>
          <w:sz w:val="18"/>
          <w:szCs w:val="18"/>
          <w:lang w:val="es-ES_tradnl"/>
        </w:rPr>
        <w:t>…</w:t>
      </w:r>
      <w:r>
        <w:rPr>
          <w:spacing w:val="-3"/>
          <w:sz w:val="18"/>
          <w:szCs w:val="18"/>
          <w:lang w:val="es-ES_tradnl"/>
        </w:rPr>
        <w:t>) de conformidad a lo dispuesto en el numeral 4 del art</w:t>
      </w:r>
      <w:r>
        <w:rPr>
          <w:rFonts w:cs="Times New Roman"/>
          <w:spacing w:val="-3"/>
          <w:sz w:val="18"/>
          <w:szCs w:val="18"/>
          <w:lang w:val="es-ES_tradnl"/>
        </w:rPr>
        <w:t>í</w:t>
      </w:r>
      <w:r>
        <w:rPr>
          <w:spacing w:val="-3"/>
          <w:sz w:val="18"/>
          <w:szCs w:val="18"/>
          <w:lang w:val="es-ES_tradnl"/>
        </w:rPr>
        <w:t xml:space="preserve">culo </w:t>
      </w:r>
      <w:r>
        <w:rPr>
          <w:sz w:val="18"/>
          <w:szCs w:val="18"/>
          <w:lang w:val="es-ES_tradnl"/>
        </w:rPr>
        <w:t>86 de la Constituci</w:t>
      </w:r>
      <w:r>
        <w:rPr>
          <w:rFonts w:cs="Times New Roman"/>
          <w:sz w:val="18"/>
          <w:szCs w:val="18"/>
          <w:lang w:val="es-ES_tradnl"/>
        </w:rPr>
        <w:t>ó</w:t>
      </w:r>
      <w:r>
        <w:rPr>
          <w:sz w:val="18"/>
          <w:szCs w:val="18"/>
          <w:lang w:val="es-ES_tradnl"/>
        </w:rPr>
        <w:t xml:space="preserve">n, ordenen la </w:t>
      </w:r>
      <w:r>
        <w:rPr>
          <w:b/>
          <w:bCs/>
          <w:sz w:val="18"/>
          <w:szCs w:val="18"/>
          <w:lang w:val="es-ES_tradnl"/>
        </w:rPr>
        <w:t>DESTITUCI</w:t>
      </w:r>
      <w:r>
        <w:rPr>
          <w:rFonts w:cs="Times New Roman"/>
          <w:b/>
          <w:bCs/>
          <w:sz w:val="18"/>
          <w:szCs w:val="18"/>
          <w:lang w:val="es-ES_tradnl"/>
        </w:rPr>
        <w:t>Ó</w:t>
      </w:r>
      <w:r>
        <w:rPr>
          <w:b/>
          <w:bCs/>
          <w:sz w:val="18"/>
          <w:szCs w:val="18"/>
          <w:lang w:val="es-ES_tradnl"/>
        </w:rPr>
        <w:t xml:space="preserve">N DE </w:t>
      </w:r>
      <w:r>
        <w:rPr>
          <w:b/>
          <w:bCs/>
          <w:spacing w:val="-3"/>
          <w:sz w:val="18"/>
          <w:szCs w:val="18"/>
          <w:lang w:val="es-ES_tradnl"/>
        </w:rPr>
        <w:t xml:space="preserve">LOS ACCIONADOS y hagan efectiva la sentencia </w:t>
      </w:r>
      <w:r>
        <w:rPr>
          <w:b/>
          <w:bCs/>
          <w:spacing w:val="-4"/>
          <w:sz w:val="18"/>
          <w:szCs w:val="18"/>
          <w:lang w:val="es-ES_tradnl"/>
        </w:rPr>
        <w:t>incumplida, para lograr la reparaci</w:t>
      </w:r>
      <w:r>
        <w:rPr>
          <w:rFonts w:cs="Times New Roman"/>
          <w:b/>
          <w:bCs/>
          <w:spacing w:val="-4"/>
          <w:sz w:val="18"/>
          <w:szCs w:val="18"/>
          <w:lang w:val="es-ES_tradnl"/>
        </w:rPr>
        <w:t>ó</w:t>
      </w:r>
      <w:r>
        <w:rPr>
          <w:b/>
          <w:bCs/>
          <w:spacing w:val="-4"/>
          <w:sz w:val="18"/>
          <w:szCs w:val="18"/>
          <w:lang w:val="es-ES_tradnl"/>
        </w:rPr>
        <w:t xml:space="preserve">n integral de los </w:t>
      </w:r>
      <w:r>
        <w:rPr>
          <w:b/>
          <w:bCs/>
          <w:spacing w:val="-11"/>
          <w:sz w:val="18"/>
          <w:szCs w:val="18"/>
          <w:lang w:val="es-ES_tradnl"/>
        </w:rPr>
        <w:t>da</w:t>
      </w:r>
      <w:r>
        <w:rPr>
          <w:rFonts w:cs="Times New Roman"/>
          <w:b/>
          <w:bCs/>
          <w:spacing w:val="-11"/>
          <w:sz w:val="18"/>
          <w:szCs w:val="18"/>
          <w:lang w:val="es-ES_tradnl"/>
        </w:rPr>
        <w:t>ñ</w:t>
      </w:r>
      <w:r>
        <w:rPr>
          <w:b/>
          <w:bCs/>
          <w:spacing w:val="-11"/>
          <w:sz w:val="18"/>
          <w:szCs w:val="18"/>
          <w:lang w:val="es-ES_tradnl"/>
        </w:rPr>
        <w:t xml:space="preserve">os causados al solicitante, y se sancione al Juez que </w:t>
      </w:r>
      <w:r>
        <w:rPr>
          <w:b/>
          <w:bCs/>
          <w:spacing w:val="-8"/>
          <w:sz w:val="18"/>
          <w:szCs w:val="18"/>
          <w:lang w:val="es-ES_tradnl"/>
        </w:rPr>
        <w:t>no cumple con su obligaci</w:t>
      </w:r>
      <w:r>
        <w:rPr>
          <w:rFonts w:cs="Times New Roman"/>
          <w:b/>
          <w:bCs/>
          <w:spacing w:val="-8"/>
          <w:sz w:val="18"/>
          <w:szCs w:val="18"/>
          <w:lang w:val="es-ES_tradnl"/>
        </w:rPr>
        <w:t>ó</w:t>
      </w:r>
      <w:r>
        <w:rPr>
          <w:b/>
          <w:bCs/>
          <w:spacing w:val="-8"/>
          <w:sz w:val="18"/>
          <w:szCs w:val="18"/>
          <w:lang w:val="es-ES_tradnl"/>
        </w:rPr>
        <w:t>n constitucional</w:t>
      </w:r>
      <w:r>
        <w:rPr>
          <w:rFonts w:cs="Times New Roman"/>
          <w:spacing w:val="-8"/>
          <w:sz w:val="18"/>
          <w:szCs w:val="18"/>
          <w:lang w:val="es-ES_tradnl"/>
        </w:rPr>
        <w:t>”</w:t>
      </w:r>
      <w:r>
        <w:rPr>
          <w:spacing w:val="-8"/>
          <w:sz w:val="18"/>
          <w:szCs w:val="18"/>
          <w:lang w:val="es-ES_tradnl"/>
        </w:rPr>
        <w:t>.</w:t>
      </w:r>
    </w:p>
    <w:p w14:paraId="4F67AACB" w14:textId="77777777" w:rsidR="00591D54" w:rsidRDefault="00591D54">
      <w:pPr>
        <w:shd w:val="clear" w:color="auto" w:fill="FFFFFF"/>
        <w:spacing w:before="202"/>
      </w:pPr>
      <w:r>
        <w:rPr>
          <w:b/>
          <w:bCs/>
          <w:spacing w:val="-8"/>
          <w:sz w:val="18"/>
          <w:szCs w:val="18"/>
          <w:lang w:val="es-ES_tradnl"/>
        </w:rPr>
        <w:t>Contestaci</w:t>
      </w:r>
      <w:r>
        <w:rPr>
          <w:rFonts w:cs="Times New Roman"/>
          <w:b/>
          <w:bCs/>
          <w:spacing w:val="-8"/>
          <w:sz w:val="18"/>
          <w:szCs w:val="18"/>
          <w:lang w:val="es-ES_tradnl"/>
        </w:rPr>
        <w:t>ó</w:t>
      </w:r>
      <w:r>
        <w:rPr>
          <w:b/>
          <w:bCs/>
          <w:spacing w:val="-8"/>
          <w:sz w:val="18"/>
          <w:szCs w:val="18"/>
          <w:lang w:val="es-ES_tradnl"/>
        </w:rPr>
        <w:t>n a la demanda</w:t>
      </w:r>
    </w:p>
    <w:p w14:paraId="4F67AACC" w14:textId="77777777" w:rsidR="00591D54" w:rsidRDefault="00591D54">
      <w:pPr>
        <w:shd w:val="clear" w:color="auto" w:fill="FFFFFF"/>
        <w:spacing w:before="202" w:line="226" w:lineRule="exact"/>
        <w:jc w:val="both"/>
      </w:pPr>
      <w:r>
        <w:rPr>
          <w:b/>
          <w:bCs/>
          <w:spacing w:val="-5"/>
          <w:sz w:val="18"/>
          <w:szCs w:val="18"/>
          <w:lang w:val="es-ES_tradnl"/>
        </w:rPr>
        <w:t>Gobierno Aut</w:t>
      </w:r>
      <w:r>
        <w:rPr>
          <w:rFonts w:cs="Times New Roman"/>
          <w:b/>
          <w:bCs/>
          <w:spacing w:val="-5"/>
          <w:sz w:val="18"/>
          <w:szCs w:val="18"/>
          <w:lang w:val="es-ES_tradnl"/>
        </w:rPr>
        <w:t>ó</w:t>
      </w:r>
      <w:r>
        <w:rPr>
          <w:b/>
          <w:bCs/>
          <w:spacing w:val="-5"/>
          <w:sz w:val="18"/>
          <w:szCs w:val="18"/>
          <w:lang w:val="es-ES_tradnl"/>
        </w:rPr>
        <w:t xml:space="preserve">nomo Descentralizado Municipal del </w:t>
      </w:r>
      <w:r>
        <w:rPr>
          <w:b/>
          <w:bCs/>
          <w:sz w:val="18"/>
          <w:szCs w:val="18"/>
          <w:lang w:val="es-ES_tradnl"/>
        </w:rPr>
        <w:t>cant</w:t>
      </w:r>
      <w:r>
        <w:rPr>
          <w:rFonts w:cs="Times New Roman"/>
          <w:b/>
          <w:bCs/>
          <w:sz w:val="18"/>
          <w:szCs w:val="18"/>
          <w:lang w:val="es-ES_tradnl"/>
        </w:rPr>
        <w:t>ó</w:t>
      </w:r>
      <w:r>
        <w:rPr>
          <w:b/>
          <w:bCs/>
          <w:sz w:val="18"/>
          <w:szCs w:val="18"/>
          <w:lang w:val="es-ES_tradnl"/>
        </w:rPr>
        <w:t>n Salinas</w:t>
      </w:r>
    </w:p>
    <w:p w14:paraId="4F67AACD" w14:textId="77777777" w:rsidR="00591D54" w:rsidRDefault="00591D54">
      <w:pPr>
        <w:shd w:val="clear" w:color="auto" w:fill="FFFFFF"/>
        <w:spacing w:before="202" w:line="221" w:lineRule="exact"/>
        <w:jc w:val="both"/>
      </w:pPr>
      <w:r>
        <w:rPr>
          <w:sz w:val="18"/>
          <w:szCs w:val="18"/>
          <w:lang w:val="es-ES_tradnl"/>
        </w:rPr>
        <w:t xml:space="preserve">Mediante escrito presentado el 21 de marzo de 2014 </w:t>
      </w:r>
      <w:r>
        <w:rPr>
          <w:spacing w:val="-3"/>
          <w:sz w:val="18"/>
          <w:szCs w:val="18"/>
          <w:lang w:val="es-ES_tradnl"/>
        </w:rPr>
        <w:t>a las 13h13, comparecen los abogados Vicente Pa</w:t>
      </w:r>
      <w:r>
        <w:rPr>
          <w:rFonts w:cs="Times New Roman"/>
          <w:spacing w:val="-3"/>
          <w:sz w:val="18"/>
          <w:szCs w:val="18"/>
          <w:lang w:val="es-ES_tradnl"/>
        </w:rPr>
        <w:t>ú</w:t>
      </w:r>
      <w:r>
        <w:rPr>
          <w:spacing w:val="-3"/>
          <w:sz w:val="18"/>
          <w:szCs w:val="18"/>
          <w:lang w:val="es-ES_tradnl"/>
        </w:rPr>
        <w:t xml:space="preserve">l </w:t>
      </w:r>
      <w:r>
        <w:rPr>
          <w:sz w:val="18"/>
          <w:szCs w:val="18"/>
          <w:lang w:val="es-ES_tradnl"/>
        </w:rPr>
        <w:t>Borbor Mite y Carlos Julio Guevara Alarc</w:t>
      </w:r>
      <w:r>
        <w:rPr>
          <w:rFonts w:cs="Times New Roman"/>
          <w:sz w:val="18"/>
          <w:szCs w:val="18"/>
          <w:lang w:val="es-ES_tradnl"/>
        </w:rPr>
        <w:t>ó</w:t>
      </w:r>
      <w:r>
        <w:rPr>
          <w:sz w:val="18"/>
          <w:szCs w:val="18"/>
          <w:lang w:val="es-ES_tradnl"/>
        </w:rPr>
        <w:t xml:space="preserve">n en </w:t>
      </w:r>
      <w:r>
        <w:rPr>
          <w:spacing w:val="-4"/>
          <w:sz w:val="18"/>
          <w:szCs w:val="18"/>
          <w:lang w:val="es-ES_tradnl"/>
        </w:rPr>
        <w:t>calidad de alcalde y procurador s</w:t>
      </w:r>
      <w:r>
        <w:rPr>
          <w:rFonts w:cs="Times New Roman"/>
          <w:spacing w:val="-4"/>
          <w:sz w:val="18"/>
          <w:szCs w:val="18"/>
          <w:lang w:val="es-ES_tradnl"/>
        </w:rPr>
        <w:t>í</w:t>
      </w:r>
      <w:r>
        <w:rPr>
          <w:spacing w:val="-4"/>
          <w:sz w:val="18"/>
          <w:szCs w:val="18"/>
          <w:lang w:val="es-ES_tradnl"/>
        </w:rPr>
        <w:t xml:space="preserve">ndico del Gobierno </w:t>
      </w:r>
      <w:r>
        <w:rPr>
          <w:spacing w:val="-5"/>
          <w:sz w:val="18"/>
          <w:szCs w:val="18"/>
          <w:lang w:val="es-ES_tradnl"/>
        </w:rPr>
        <w:t>Aut</w:t>
      </w:r>
      <w:r>
        <w:rPr>
          <w:rFonts w:cs="Times New Roman"/>
          <w:spacing w:val="-5"/>
          <w:sz w:val="18"/>
          <w:szCs w:val="18"/>
          <w:lang w:val="es-ES_tradnl"/>
        </w:rPr>
        <w:t>ó</w:t>
      </w:r>
      <w:r>
        <w:rPr>
          <w:spacing w:val="-5"/>
          <w:sz w:val="18"/>
          <w:szCs w:val="18"/>
          <w:lang w:val="es-ES_tradnl"/>
        </w:rPr>
        <w:t>nomo Descentralizado Municipal del cant</w:t>
      </w:r>
      <w:r>
        <w:rPr>
          <w:rFonts w:cs="Times New Roman"/>
          <w:spacing w:val="-5"/>
          <w:sz w:val="18"/>
          <w:szCs w:val="18"/>
          <w:lang w:val="es-ES_tradnl"/>
        </w:rPr>
        <w:t>ó</w:t>
      </w:r>
      <w:r>
        <w:rPr>
          <w:spacing w:val="-5"/>
          <w:sz w:val="18"/>
          <w:szCs w:val="18"/>
          <w:lang w:val="es-ES_tradnl"/>
        </w:rPr>
        <w:t xml:space="preserve">n Salinas, </w:t>
      </w:r>
      <w:r>
        <w:rPr>
          <w:spacing w:val="-2"/>
          <w:sz w:val="18"/>
          <w:szCs w:val="18"/>
          <w:lang w:val="es-ES_tradnl"/>
        </w:rPr>
        <w:t>respectivamente, y se limitan a se</w:t>
      </w:r>
      <w:r>
        <w:rPr>
          <w:rFonts w:cs="Times New Roman"/>
          <w:spacing w:val="-2"/>
          <w:sz w:val="18"/>
          <w:szCs w:val="18"/>
          <w:lang w:val="es-ES_tradnl"/>
        </w:rPr>
        <w:t>ñ</w:t>
      </w:r>
      <w:r>
        <w:rPr>
          <w:spacing w:val="-2"/>
          <w:sz w:val="18"/>
          <w:szCs w:val="18"/>
          <w:lang w:val="es-ES_tradnl"/>
        </w:rPr>
        <w:t xml:space="preserve">alar casilla judicial </w:t>
      </w:r>
      <w:r>
        <w:rPr>
          <w:sz w:val="18"/>
          <w:szCs w:val="18"/>
          <w:lang w:val="es-ES_tradnl"/>
        </w:rPr>
        <w:t>para futuras notificaciones.</w:t>
      </w:r>
    </w:p>
    <w:p w14:paraId="4F67AACE" w14:textId="77777777" w:rsidR="00591D54" w:rsidRDefault="00591D54">
      <w:pPr>
        <w:shd w:val="clear" w:color="auto" w:fill="FFFFFF"/>
        <w:spacing w:before="202" w:line="221" w:lineRule="exact"/>
        <w:jc w:val="both"/>
      </w:pPr>
      <w:r>
        <w:rPr>
          <w:spacing w:val="-2"/>
          <w:sz w:val="18"/>
          <w:szCs w:val="18"/>
          <w:lang w:val="es-ES_tradnl"/>
        </w:rPr>
        <w:t>Posterior a ello, el 31 de marzo de 2015, env</w:t>
      </w:r>
      <w:r>
        <w:rPr>
          <w:rFonts w:cs="Times New Roman"/>
          <w:spacing w:val="-2"/>
          <w:sz w:val="18"/>
          <w:szCs w:val="18"/>
          <w:lang w:val="es-ES_tradnl"/>
        </w:rPr>
        <w:t>í</w:t>
      </w:r>
      <w:r>
        <w:rPr>
          <w:spacing w:val="-2"/>
          <w:sz w:val="18"/>
          <w:szCs w:val="18"/>
          <w:lang w:val="es-ES_tradnl"/>
        </w:rPr>
        <w:t>an documentaci</w:t>
      </w:r>
      <w:r>
        <w:rPr>
          <w:rFonts w:cs="Times New Roman"/>
          <w:spacing w:val="-2"/>
          <w:sz w:val="18"/>
          <w:szCs w:val="18"/>
          <w:lang w:val="es-ES_tradnl"/>
        </w:rPr>
        <w:t>ó</w:t>
      </w:r>
      <w:r>
        <w:rPr>
          <w:spacing w:val="-2"/>
          <w:sz w:val="18"/>
          <w:szCs w:val="18"/>
          <w:lang w:val="es-ES_tradnl"/>
        </w:rPr>
        <w:t xml:space="preserve">n relativa al caso, en la cual se hace </w:t>
      </w:r>
      <w:r>
        <w:rPr>
          <w:spacing w:val="-7"/>
          <w:sz w:val="18"/>
          <w:szCs w:val="18"/>
          <w:lang w:val="es-ES_tradnl"/>
        </w:rPr>
        <w:t>referencia al reintegro laboral del accionante, as</w:t>
      </w:r>
      <w:r>
        <w:rPr>
          <w:rFonts w:cs="Times New Roman"/>
          <w:spacing w:val="-7"/>
          <w:sz w:val="18"/>
          <w:szCs w:val="18"/>
          <w:lang w:val="es-ES_tradnl"/>
        </w:rPr>
        <w:t>í</w:t>
      </w:r>
      <w:r>
        <w:rPr>
          <w:spacing w:val="-7"/>
          <w:sz w:val="18"/>
          <w:szCs w:val="18"/>
          <w:lang w:val="es-ES_tradnl"/>
        </w:rPr>
        <w:t xml:space="preserve"> como de </w:t>
      </w:r>
      <w:r>
        <w:rPr>
          <w:sz w:val="18"/>
          <w:szCs w:val="18"/>
          <w:lang w:val="es-ES_tradnl"/>
        </w:rPr>
        <w:t>los pagos efectuados a su favor.</w:t>
      </w:r>
    </w:p>
    <w:p w14:paraId="4F67AACF" w14:textId="77777777" w:rsidR="00591D54" w:rsidRDefault="00591D54">
      <w:pPr>
        <w:shd w:val="clear" w:color="auto" w:fill="FFFFFF"/>
        <w:spacing w:before="202"/>
      </w:pPr>
      <w:r>
        <w:rPr>
          <w:b/>
          <w:bCs/>
          <w:spacing w:val="-9"/>
          <w:sz w:val="18"/>
          <w:szCs w:val="18"/>
          <w:lang w:val="es-ES_tradnl"/>
        </w:rPr>
        <w:t>Comparecencia de terceros interesados</w:t>
      </w:r>
    </w:p>
    <w:p w14:paraId="4F67AAD0" w14:textId="77777777" w:rsidR="00591D54" w:rsidRDefault="00591D54">
      <w:pPr>
        <w:shd w:val="clear" w:color="auto" w:fill="FFFFFF"/>
        <w:spacing w:before="197"/>
      </w:pPr>
      <w:r>
        <w:rPr>
          <w:b/>
          <w:bCs/>
          <w:spacing w:val="-5"/>
          <w:sz w:val="18"/>
          <w:szCs w:val="18"/>
          <w:lang w:val="es-ES_tradnl"/>
        </w:rPr>
        <w:t>Procuradur</w:t>
      </w:r>
      <w:r>
        <w:rPr>
          <w:rFonts w:cs="Times New Roman"/>
          <w:b/>
          <w:bCs/>
          <w:spacing w:val="-5"/>
          <w:sz w:val="18"/>
          <w:szCs w:val="18"/>
          <w:lang w:val="es-ES_tradnl"/>
        </w:rPr>
        <w:t>í</w:t>
      </w:r>
      <w:r>
        <w:rPr>
          <w:b/>
          <w:bCs/>
          <w:spacing w:val="-5"/>
          <w:sz w:val="18"/>
          <w:szCs w:val="18"/>
          <w:lang w:val="es-ES_tradnl"/>
        </w:rPr>
        <w:t>a General del Estado</w:t>
      </w:r>
    </w:p>
    <w:p w14:paraId="4F67AAD1" w14:textId="77777777" w:rsidR="00591D54" w:rsidRDefault="00591D54">
      <w:pPr>
        <w:shd w:val="clear" w:color="auto" w:fill="FFFFFF"/>
        <w:spacing w:before="206" w:line="221" w:lineRule="exact"/>
        <w:jc w:val="both"/>
      </w:pPr>
      <w:r>
        <w:rPr>
          <w:spacing w:val="-6"/>
          <w:sz w:val="18"/>
          <w:szCs w:val="18"/>
          <w:lang w:val="es-ES_tradnl"/>
        </w:rPr>
        <w:t xml:space="preserve">El abogado Marcos Arteaga Valenzuela, director nacional </w:t>
      </w:r>
      <w:r>
        <w:rPr>
          <w:spacing w:val="-8"/>
          <w:sz w:val="18"/>
          <w:szCs w:val="18"/>
          <w:lang w:val="es-ES_tradnl"/>
        </w:rPr>
        <w:t xml:space="preserve">de Patrocinio, delegado del procurador general del Estado, </w:t>
      </w:r>
      <w:r>
        <w:rPr>
          <w:spacing w:val="-6"/>
          <w:sz w:val="18"/>
          <w:szCs w:val="18"/>
          <w:lang w:val="es-ES_tradnl"/>
        </w:rPr>
        <w:t xml:space="preserve">mediante escrito ingresado el 05 de septiembre de 2012, </w:t>
      </w:r>
      <w:r>
        <w:rPr>
          <w:spacing w:val="-4"/>
          <w:sz w:val="18"/>
          <w:szCs w:val="18"/>
          <w:lang w:val="es-ES_tradnl"/>
        </w:rPr>
        <w:t>se limit</w:t>
      </w:r>
      <w:r>
        <w:rPr>
          <w:rFonts w:cs="Times New Roman"/>
          <w:spacing w:val="-4"/>
          <w:sz w:val="18"/>
          <w:szCs w:val="18"/>
          <w:lang w:val="es-ES_tradnl"/>
        </w:rPr>
        <w:t>ó</w:t>
      </w:r>
      <w:r>
        <w:rPr>
          <w:spacing w:val="-4"/>
          <w:sz w:val="18"/>
          <w:szCs w:val="18"/>
          <w:lang w:val="es-ES_tradnl"/>
        </w:rPr>
        <w:t xml:space="preserve"> a se</w:t>
      </w:r>
      <w:r>
        <w:rPr>
          <w:rFonts w:cs="Times New Roman"/>
          <w:spacing w:val="-4"/>
          <w:sz w:val="18"/>
          <w:szCs w:val="18"/>
          <w:lang w:val="es-ES_tradnl"/>
        </w:rPr>
        <w:t>ñ</w:t>
      </w:r>
      <w:r>
        <w:rPr>
          <w:spacing w:val="-4"/>
          <w:sz w:val="18"/>
          <w:szCs w:val="18"/>
          <w:lang w:val="es-ES_tradnl"/>
        </w:rPr>
        <w:t xml:space="preserve">alar la casilla constitucional para futuras </w:t>
      </w:r>
      <w:r>
        <w:rPr>
          <w:sz w:val="18"/>
          <w:szCs w:val="18"/>
          <w:lang w:val="es-ES_tradnl"/>
        </w:rPr>
        <w:t>notificaciones.</w:t>
      </w:r>
    </w:p>
    <w:p w14:paraId="4F67AAD2" w14:textId="77777777" w:rsidR="00591D54" w:rsidRDefault="00591D54">
      <w:pPr>
        <w:shd w:val="clear" w:color="auto" w:fill="FFFFFF"/>
        <w:spacing w:before="206" w:line="221" w:lineRule="exact"/>
        <w:jc w:val="both"/>
        <w:sectPr w:rsidR="00591D54">
          <w:type w:val="continuous"/>
          <w:pgSz w:w="11909" w:h="16834"/>
          <w:pgMar w:top="1371" w:right="1309" w:bottom="360" w:left="1308" w:header="720" w:footer="720" w:gutter="0"/>
          <w:cols w:num="2" w:space="720" w:equalWidth="0">
            <w:col w:w="4305" w:space="682"/>
            <w:col w:w="4305"/>
          </w:cols>
          <w:noEndnote/>
        </w:sectPr>
      </w:pPr>
    </w:p>
    <w:p w14:paraId="4F67AAD3" w14:textId="77777777" w:rsidR="00591D54" w:rsidRDefault="00591D54">
      <w:pPr>
        <w:shd w:val="clear" w:color="auto" w:fill="FFFFFF"/>
        <w:tabs>
          <w:tab w:val="left" w:pos="5952"/>
        </w:tabs>
        <w:spacing w:after="226"/>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- 89</w:t>
      </w:r>
    </w:p>
    <w:p w14:paraId="4F67AAD4" w14:textId="77777777" w:rsidR="00591D54" w:rsidRDefault="00591D54">
      <w:pPr>
        <w:shd w:val="clear" w:color="auto" w:fill="FFFFFF"/>
        <w:tabs>
          <w:tab w:val="left" w:pos="5952"/>
        </w:tabs>
        <w:spacing w:after="226"/>
        <w:ind w:left="5"/>
        <w:sectPr w:rsidR="00591D54">
          <w:pgSz w:w="11909" w:h="16834"/>
          <w:pgMar w:top="1371" w:right="1309" w:bottom="360" w:left="1308" w:header="720" w:footer="720" w:gutter="0"/>
          <w:cols w:space="60"/>
          <w:noEndnote/>
        </w:sectPr>
      </w:pPr>
    </w:p>
    <w:p w14:paraId="4F67AAD5" w14:textId="77777777" w:rsidR="00591D54" w:rsidRDefault="00591D54">
      <w:pPr>
        <w:shd w:val="clear" w:color="auto" w:fill="FFFFFF"/>
      </w:pPr>
      <w:r>
        <w:rPr>
          <w:b/>
          <w:bCs/>
          <w:spacing w:val="-8"/>
          <w:sz w:val="18"/>
          <w:szCs w:val="18"/>
          <w:lang w:val="es-ES_tradnl"/>
        </w:rPr>
        <w:t>Audiencia p</w:t>
      </w:r>
      <w:r>
        <w:rPr>
          <w:rFonts w:cs="Times New Roman"/>
          <w:b/>
          <w:bCs/>
          <w:spacing w:val="-8"/>
          <w:sz w:val="18"/>
          <w:szCs w:val="18"/>
          <w:lang w:val="es-ES_tradnl"/>
        </w:rPr>
        <w:t>ú</w:t>
      </w:r>
      <w:r>
        <w:rPr>
          <w:b/>
          <w:bCs/>
          <w:spacing w:val="-8"/>
          <w:sz w:val="18"/>
          <w:szCs w:val="18"/>
          <w:lang w:val="es-ES_tradnl"/>
        </w:rPr>
        <w:t>blica</w:t>
      </w:r>
    </w:p>
    <w:p w14:paraId="4F67AAD6" w14:textId="77777777" w:rsidR="00591D54" w:rsidRDefault="00591D54">
      <w:pPr>
        <w:shd w:val="clear" w:color="auto" w:fill="FFFFFF"/>
        <w:spacing w:before="197" w:line="216" w:lineRule="exact"/>
        <w:jc w:val="both"/>
      </w:pPr>
      <w:r>
        <w:rPr>
          <w:spacing w:val="-6"/>
          <w:sz w:val="18"/>
          <w:szCs w:val="18"/>
          <w:lang w:val="es-ES_tradnl"/>
        </w:rPr>
        <w:t xml:space="preserve">Mediante providencia del 24 de marzo de 2015, la jueza </w:t>
      </w:r>
      <w:r>
        <w:rPr>
          <w:spacing w:val="-1"/>
          <w:sz w:val="18"/>
          <w:szCs w:val="18"/>
          <w:lang w:val="es-ES_tradnl"/>
        </w:rPr>
        <w:t>constitucional Mar</w:t>
      </w:r>
      <w:r>
        <w:rPr>
          <w:rFonts w:cs="Times New Roman"/>
          <w:spacing w:val="-1"/>
          <w:sz w:val="18"/>
          <w:szCs w:val="18"/>
          <w:lang w:val="es-ES_tradnl"/>
        </w:rPr>
        <w:t>í</w:t>
      </w:r>
      <w:r>
        <w:rPr>
          <w:spacing w:val="-1"/>
          <w:sz w:val="18"/>
          <w:szCs w:val="18"/>
          <w:lang w:val="es-ES_tradnl"/>
        </w:rPr>
        <w:t>a del Carmen Maldonado S</w:t>
      </w:r>
      <w:r>
        <w:rPr>
          <w:rFonts w:cs="Times New Roman"/>
          <w:spacing w:val="-1"/>
          <w:sz w:val="18"/>
          <w:szCs w:val="18"/>
          <w:lang w:val="es-ES_tradnl"/>
        </w:rPr>
        <w:t>á</w:t>
      </w:r>
      <w:r>
        <w:rPr>
          <w:spacing w:val="-1"/>
          <w:sz w:val="18"/>
          <w:szCs w:val="18"/>
          <w:lang w:val="es-ES_tradnl"/>
        </w:rPr>
        <w:t>nchez de conformidad con lo establecido en el art</w:t>
      </w:r>
      <w:r>
        <w:rPr>
          <w:rFonts w:cs="Times New Roman"/>
          <w:spacing w:val="-1"/>
          <w:sz w:val="18"/>
          <w:szCs w:val="18"/>
          <w:lang w:val="es-ES_tradnl"/>
        </w:rPr>
        <w:t>í</w:t>
      </w:r>
      <w:r>
        <w:rPr>
          <w:spacing w:val="-1"/>
          <w:sz w:val="18"/>
          <w:szCs w:val="18"/>
          <w:lang w:val="es-ES_tradnl"/>
        </w:rPr>
        <w:t xml:space="preserve">culo 14 de </w:t>
      </w:r>
      <w:r>
        <w:rPr>
          <w:spacing w:val="-6"/>
          <w:sz w:val="18"/>
          <w:szCs w:val="18"/>
          <w:lang w:val="es-ES_tradnl"/>
        </w:rPr>
        <w:t>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Control </w:t>
      </w:r>
      <w:r>
        <w:rPr>
          <w:spacing w:val="-8"/>
          <w:sz w:val="18"/>
          <w:szCs w:val="18"/>
          <w:lang w:val="es-ES_tradnl"/>
        </w:rPr>
        <w:t>Constitucional, convoc</w:t>
      </w:r>
      <w:r>
        <w:rPr>
          <w:rFonts w:cs="Times New Roman"/>
          <w:spacing w:val="-8"/>
          <w:sz w:val="18"/>
          <w:szCs w:val="18"/>
          <w:lang w:val="es-ES_tradnl"/>
        </w:rPr>
        <w:t>ó</w:t>
      </w:r>
      <w:r>
        <w:rPr>
          <w:spacing w:val="-8"/>
          <w:sz w:val="18"/>
          <w:szCs w:val="18"/>
          <w:lang w:val="es-ES_tradnl"/>
        </w:rPr>
        <w:t xml:space="preserve"> a las partes a ser escuchadas en </w:t>
      </w:r>
      <w:r>
        <w:rPr>
          <w:spacing w:val="-4"/>
          <w:sz w:val="18"/>
          <w:szCs w:val="18"/>
          <w:lang w:val="es-ES_tradnl"/>
        </w:rPr>
        <w:t>audiencia p</w:t>
      </w:r>
      <w:r>
        <w:rPr>
          <w:rFonts w:cs="Times New Roman"/>
          <w:spacing w:val="-4"/>
          <w:sz w:val="18"/>
          <w:szCs w:val="18"/>
          <w:lang w:val="es-ES_tradnl"/>
        </w:rPr>
        <w:t>ú</w:t>
      </w:r>
      <w:r>
        <w:rPr>
          <w:spacing w:val="-4"/>
          <w:sz w:val="18"/>
          <w:szCs w:val="18"/>
          <w:lang w:val="es-ES_tradnl"/>
        </w:rPr>
        <w:t>blica, misma que se llev</w:t>
      </w:r>
      <w:r>
        <w:rPr>
          <w:rFonts w:cs="Times New Roman"/>
          <w:spacing w:val="-4"/>
          <w:sz w:val="18"/>
          <w:szCs w:val="18"/>
          <w:lang w:val="es-ES_tradnl"/>
        </w:rPr>
        <w:t>ó</w:t>
      </w:r>
      <w:r>
        <w:rPr>
          <w:spacing w:val="-4"/>
          <w:sz w:val="18"/>
          <w:szCs w:val="18"/>
          <w:lang w:val="es-ES_tradnl"/>
        </w:rPr>
        <w:t xml:space="preserve"> a cabo el 31 de </w:t>
      </w:r>
      <w:r>
        <w:rPr>
          <w:spacing w:val="-7"/>
          <w:sz w:val="18"/>
          <w:szCs w:val="18"/>
          <w:lang w:val="es-ES_tradnl"/>
        </w:rPr>
        <w:t>marzo de 2015 a las 11h15, contando con la participaci</w:t>
      </w:r>
      <w:r>
        <w:rPr>
          <w:rFonts w:cs="Times New Roman"/>
          <w:spacing w:val="-7"/>
          <w:sz w:val="18"/>
          <w:szCs w:val="18"/>
          <w:lang w:val="es-ES_tradnl"/>
        </w:rPr>
        <w:t>ó</w:t>
      </w:r>
      <w:r>
        <w:rPr>
          <w:spacing w:val="-7"/>
          <w:sz w:val="18"/>
          <w:szCs w:val="18"/>
          <w:lang w:val="es-ES_tradnl"/>
        </w:rPr>
        <w:t>n del abogado Alejandro Su</w:t>
      </w:r>
      <w:r>
        <w:rPr>
          <w:rFonts w:cs="Times New Roman"/>
          <w:spacing w:val="-7"/>
          <w:sz w:val="18"/>
          <w:szCs w:val="18"/>
          <w:lang w:val="es-ES_tradnl"/>
        </w:rPr>
        <w:t>á</w:t>
      </w:r>
      <w:r>
        <w:rPr>
          <w:spacing w:val="-7"/>
          <w:sz w:val="18"/>
          <w:szCs w:val="18"/>
          <w:lang w:val="es-ES_tradnl"/>
        </w:rPr>
        <w:t>rez, quien compareci</w:t>
      </w:r>
      <w:r>
        <w:rPr>
          <w:rFonts w:cs="Times New Roman"/>
          <w:spacing w:val="-7"/>
          <w:sz w:val="18"/>
          <w:szCs w:val="18"/>
          <w:lang w:val="es-ES_tradnl"/>
        </w:rPr>
        <w:t>ó</w:t>
      </w:r>
      <w:r>
        <w:rPr>
          <w:spacing w:val="-7"/>
          <w:sz w:val="18"/>
          <w:szCs w:val="18"/>
          <w:lang w:val="es-ES_tradnl"/>
        </w:rPr>
        <w:t xml:space="preserve"> en representaci</w:t>
      </w:r>
      <w:r>
        <w:rPr>
          <w:rFonts w:cs="Times New Roman"/>
          <w:spacing w:val="-7"/>
          <w:sz w:val="18"/>
          <w:szCs w:val="18"/>
          <w:lang w:val="es-ES_tradnl"/>
        </w:rPr>
        <w:t>ó</w:t>
      </w:r>
      <w:r>
        <w:rPr>
          <w:spacing w:val="-7"/>
          <w:sz w:val="18"/>
          <w:szCs w:val="18"/>
          <w:lang w:val="es-ES_tradnl"/>
        </w:rPr>
        <w:t>n del Gobierno Aut</w:t>
      </w:r>
      <w:r>
        <w:rPr>
          <w:rFonts w:cs="Times New Roman"/>
          <w:spacing w:val="-7"/>
          <w:sz w:val="18"/>
          <w:szCs w:val="18"/>
          <w:lang w:val="es-ES_tradnl"/>
        </w:rPr>
        <w:t>ó</w:t>
      </w:r>
      <w:r>
        <w:rPr>
          <w:spacing w:val="-7"/>
          <w:sz w:val="18"/>
          <w:szCs w:val="18"/>
          <w:lang w:val="es-ES_tradnl"/>
        </w:rPr>
        <w:t xml:space="preserve">nomo Descentralizado </w:t>
      </w:r>
      <w:r>
        <w:rPr>
          <w:spacing w:val="-6"/>
          <w:sz w:val="18"/>
          <w:szCs w:val="18"/>
          <w:lang w:val="es-ES_tradnl"/>
        </w:rPr>
        <w:t>Municipal del cant</w:t>
      </w:r>
      <w:r>
        <w:rPr>
          <w:rFonts w:cs="Times New Roman"/>
          <w:spacing w:val="-6"/>
          <w:sz w:val="18"/>
          <w:szCs w:val="18"/>
          <w:lang w:val="es-ES_tradnl"/>
        </w:rPr>
        <w:t>ó</w:t>
      </w:r>
      <w:r>
        <w:rPr>
          <w:spacing w:val="-6"/>
          <w:sz w:val="18"/>
          <w:szCs w:val="18"/>
          <w:lang w:val="es-ES_tradnl"/>
        </w:rPr>
        <w:t xml:space="preserve">n Salinas y, de la doctora Susana </w:t>
      </w:r>
      <w:r>
        <w:rPr>
          <w:sz w:val="18"/>
          <w:szCs w:val="18"/>
          <w:lang w:val="es-ES_tradnl"/>
        </w:rPr>
        <w:t>Pachacama, quien compareci</w:t>
      </w:r>
      <w:r>
        <w:rPr>
          <w:rFonts w:cs="Times New Roman"/>
          <w:sz w:val="18"/>
          <w:szCs w:val="18"/>
          <w:lang w:val="es-ES_tradnl"/>
        </w:rPr>
        <w:t>ó</w:t>
      </w:r>
      <w:r>
        <w:rPr>
          <w:sz w:val="18"/>
          <w:szCs w:val="18"/>
          <w:lang w:val="es-ES_tradnl"/>
        </w:rPr>
        <w:t xml:space="preserve"> en representaci</w:t>
      </w:r>
      <w:r>
        <w:rPr>
          <w:rFonts w:cs="Times New Roman"/>
          <w:sz w:val="18"/>
          <w:szCs w:val="18"/>
          <w:lang w:val="es-ES_tradnl"/>
        </w:rPr>
        <w:t>ó</w:t>
      </w:r>
      <w:r>
        <w:rPr>
          <w:sz w:val="18"/>
          <w:szCs w:val="18"/>
          <w:lang w:val="es-ES_tradnl"/>
        </w:rPr>
        <w:t xml:space="preserve">n de </w:t>
      </w:r>
      <w:r>
        <w:rPr>
          <w:spacing w:val="-6"/>
          <w:sz w:val="18"/>
          <w:szCs w:val="18"/>
          <w:lang w:val="es-ES_tradnl"/>
        </w:rPr>
        <w:t>la Procuradur</w:t>
      </w:r>
      <w:r>
        <w:rPr>
          <w:rFonts w:cs="Times New Roman"/>
          <w:spacing w:val="-6"/>
          <w:sz w:val="18"/>
          <w:szCs w:val="18"/>
          <w:lang w:val="es-ES_tradnl"/>
        </w:rPr>
        <w:t>í</w:t>
      </w:r>
      <w:r>
        <w:rPr>
          <w:spacing w:val="-6"/>
          <w:sz w:val="18"/>
          <w:szCs w:val="18"/>
          <w:lang w:val="es-ES_tradnl"/>
        </w:rPr>
        <w:t xml:space="preserve">a General del Estado; en lo principal, el </w:t>
      </w:r>
      <w:r>
        <w:rPr>
          <w:spacing w:val="-5"/>
          <w:sz w:val="18"/>
          <w:szCs w:val="18"/>
          <w:lang w:val="es-ES_tradnl"/>
        </w:rPr>
        <w:t>legitimado pasivo indic</w:t>
      </w:r>
      <w:r>
        <w:rPr>
          <w:rFonts w:cs="Times New Roman"/>
          <w:spacing w:val="-5"/>
          <w:sz w:val="18"/>
          <w:szCs w:val="18"/>
          <w:lang w:val="es-ES_tradnl"/>
        </w:rPr>
        <w:t>ó</w:t>
      </w:r>
      <w:r>
        <w:rPr>
          <w:spacing w:val="-5"/>
          <w:sz w:val="18"/>
          <w:szCs w:val="18"/>
          <w:lang w:val="es-ES_tradnl"/>
        </w:rPr>
        <w:t xml:space="preserve"> que se hab</w:t>
      </w:r>
      <w:r>
        <w:rPr>
          <w:rFonts w:cs="Times New Roman"/>
          <w:spacing w:val="-5"/>
          <w:sz w:val="18"/>
          <w:szCs w:val="18"/>
          <w:lang w:val="es-ES_tradnl"/>
        </w:rPr>
        <w:t>í</w:t>
      </w:r>
      <w:r>
        <w:rPr>
          <w:spacing w:val="-5"/>
          <w:sz w:val="18"/>
          <w:szCs w:val="18"/>
          <w:lang w:val="es-ES_tradnl"/>
        </w:rPr>
        <w:t xml:space="preserve">a dado cumplimiento </w:t>
      </w:r>
      <w:r>
        <w:rPr>
          <w:spacing w:val="-7"/>
          <w:sz w:val="18"/>
          <w:szCs w:val="18"/>
          <w:lang w:val="es-ES_tradnl"/>
        </w:rPr>
        <w:t xml:space="preserve">a la sentencia dictada el 15 de noviembre de 2010, por el </w:t>
      </w:r>
      <w:r>
        <w:rPr>
          <w:spacing w:val="-3"/>
          <w:sz w:val="18"/>
          <w:szCs w:val="18"/>
          <w:lang w:val="es-ES_tradnl"/>
        </w:rPr>
        <w:t>Juzgado D</w:t>
      </w:r>
      <w:r>
        <w:rPr>
          <w:rFonts w:cs="Times New Roman"/>
          <w:spacing w:val="-3"/>
          <w:sz w:val="18"/>
          <w:szCs w:val="18"/>
          <w:lang w:val="es-ES_tradnl"/>
        </w:rPr>
        <w:t>é</w:t>
      </w:r>
      <w:r>
        <w:rPr>
          <w:spacing w:val="-3"/>
          <w:sz w:val="18"/>
          <w:szCs w:val="18"/>
          <w:lang w:val="es-ES_tradnl"/>
        </w:rPr>
        <w:t xml:space="preserve">cimo Sexto de lo Civil de Salinas, dentro de </w:t>
      </w:r>
      <w:r>
        <w:rPr>
          <w:spacing w:val="-6"/>
          <w:sz w:val="18"/>
          <w:szCs w:val="18"/>
          <w:lang w:val="es-ES_tradnl"/>
        </w:rPr>
        <w:t>la acci</w:t>
      </w:r>
      <w:r>
        <w:rPr>
          <w:rFonts w:cs="Times New Roman"/>
          <w:spacing w:val="-6"/>
          <w:sz w:val="18"/>
          <w:szCs w:val="18"/>
          <w:lang w:val="es-ES_tradnl"/>
        </w:rPr>
        <w:t>ó</w:t>
      </w:r>
      <w:r>
        <w:rPr>
          <w:spacing w:val="-6"/>
          <w:sz w:val="18"/>
          <w:szCs w:val="18"/>
          <w:lang w:val="es-ES_tradnl"/>
        </w:rPr>
        <w:t>n de protecci</w:t>
      </w:r>
      <w:r>
        <w:rPr>
          <w:rFonts w:cs="Times New Roman"/>
          <w:spacing w:val="-6"/>
          <w:sz w:val="18"/>
          <w:szCs w:val="18"/>
          <w:lang w:val="es-ES_tradnl"/>
        </w:rPr>
        <w:t>ó</w:t>
      </w:r>
      <w:r>
        <w:rPr>
          <w:spacing w:val="-6"/>
          <w:sz w:val="18"/>
          <w:szCs w:val="18"/>
          <w:lang w:val="es-ES_tradnl"/>
        </w:rPr>
        <w:t>n N.</w:t>
      </w:r>
      <w:r>
        <w:rPr>
          <w:rFonts w:cs="Times New Roman"/>
          <w:spacing w:val="-6"/>
          <w:sz w:val="18"/>
          <w:szCs w:val="18"/>
          <w:lang w:val="es-ES_tradnl"/>
        </w:rPr>
        <w:t>º</w:t>
      </w:r>
      <w:r>
        <w:rPr>
          <w:spacing w:val="-6"/>
          <w:sz w:val="18"/>
          <w:szCs w:val="18"/>
          <w:lang w:val="es-ES_tradnl"/>
        </w:rPr>
        <w:t xml:space="preserve"> 773-2010, pues afirm</w:t>
      </w:r>
      <w:r>
        <w:rPr>
          <w:rFonts w:cs="Times New Roman"/>
          <w:spacing w:val="-6"/>
          <w:sz w:val="18"/>
          <w:szCs w:val="18"/>
          <w:lang w:val="es-ES_tradnl"/>
        </w:rPr>
        <w:t>ó</w:t>
      </w:r>
      <w:r>
        <w:rPr>
          <w:spacing w:val="-6"/>
          <w:sz w:val="18"/>
          <w:szCs w:val="18"/>
          <w:lang w:val="es-ES_tradnl"/>
        </w:rPr>
        <w:t xml:space="preserve"> que el </w:t>
      </w:r>
      <w:r>
        <w:rPr>
          <w:spacing w:val="-5"/>
          <w:sz w:val="18"/>
          <w:szCs w:val="18"/>
          <w:lang w:val="es-ES_tradnl"/>
        </w:rPr>
        <w:t>accionante hab</w:t>
      </w:r>
      <w:r>
        <w:rPr>
          <w:rFonts w:cs="Times New Roman"/>
          <w:spacing w:val="-5"/>
          <w:sz w:val="18"/>
          <w:szCs w:val="18"/>
          <w:lang w:val="es-ES_tradnl"/>
        </w:rPr>
        <w:t>í</w:t>
      </w:r>
      <w:r>
        <w:rPr>
          <w:spacing w:val="-5"/>
          <w:sz w:val="18"/>
          <w:szCs w:val="18"/>
          <w:lang w:val="es-ES_tradnl"/>
        </w:rPr>
        <w:t xml:space="preserve">a sido reintegrado a su puesto de trabajo </w:t>
      </w:r>
      <w:r>
        <w:rPr>
          <w:spacing w:val="-8"/>
          <w:sz w:val="18"/>
          <w:szCs w:val="18"/>
          <w:lang w:val="es-ES_tradnl"/>
        </w:rPr>
        <w:t>y que se le hab</w:t>
      </w:r>
      <w:r>
        <w:rPr>
          <w:rFonts w:cs="Times New Roman"/>
          <w:spacing w:val="-8"/>
          <w:sz w:val="18"/>
          <w:szCs w:val="18"/>
          <w:lang w:val="es-ES_tradnl"/>
        </w:rPr>
        <w:t>í</w:t>
      </w:r>
      <w:r>
        <w:rPr>
          <w:spacing w:val="-8"/>
          <w:sz w:val="18"/>
          <w:szCs w:val="18"/>
          <w:lang w:val="es-ES_tradnl"/>
        </w:rPr>
        <w:t>an cancelado los valores dispuestos en la referida sentencia, para lo cual presenta la documentaci</w:t>
      </w:r>
      <w:r>
        <w:rPr>
          <w:rFonts w:cs="Times New Roman"/>
          <w:spacing w:val="-8"/>
          <w:sz w:val="18"/>
          <w:szCs w:val="18"/>
          <w:lang w:val="es-ES_tradnl"/>
        </w:rPr>
        <w:t>ó</w:t>
      </w:r>
      <w:r>
        <w:rPr>
          <w:spacing w:val="-8"/>
          <w:sz w:val="18"/>
          <w:szCs w:val="18"/>
          <w:lang w:val="es-ES_tradnl"/>
        </w:rPr>
        <w:t xml:space="preserve">n </w:t>
      </w:r>
      <w:r>
        <w:rPr>
          <w:spacing w:val="-7"/>
          <w:sz w:val="18"/>
          <w:szCs w:val="18"/>
          <w:lang w:val="es-ES_tradnl"/>
        </w:rPr>
        <w:t>pertinente que permite comprobar tal afirmaci</w:t>
      </w:r>
      <w:r>
        <w:rPr>
          <w:rFonts w:cs="Times New Roman"/>
          <w:spacing w:val="-7"/>
          <w:sz w:val="18"/>
          <w:szCs w:val="18"/>
          <w:lang w:val="es-ES_tradnl"/>
        </w:rPr>
        <w:t>ó</w:t>
      </w:r>
      <w:r>
        <w:rPr>
          <w:spacing w:val="-7"/>
          <w:sz w:val="18"/>
          <w:szCs w:val="18"/>
          <w:lang w:val="es-ES_tradnl"/>
        </w:rPr>
        <w:t>n.</w:t>
      </w:r>
    </w:p>
    <w:p w14:paraId="4F67AAD7" w14:textId="77777777" w:rsidR="00591D54" w:rsidRDefault="00591D54">
      <w:pPr>
        <w:shd w:val="clear" w:color="auto" w:fill="FFFFFF"/>
        <w:spacing w:before="197" w:line="216" w:lineRule="exact"/>
        <w:ind w:right="5"/>
        <w:jc w:val="both"/>
      </w:pPr>
      <w:r>
        <w:rPr>
          <w:spacing w:val="-5"/>
          <w:sz w:val="18"/>
          <w:szCs w:val="18"/>
          <w:lang w:val="es-ES_tradnl"/>
        </w:rPr>
        <w:t>Cabe mencionar, que a pesar de haber sido legal y debidamente notificado en el casillero constitucional N.</w:t>
      </w:r>
      <w:r>
        <w:rPr>
          <w:rFonts w:cs="Times New Roman"/>
          <w:spacing w:val="-5"/>
          <w:sz w:val="18"/>
          <w:szCs w:val="18"/>
          <w:lang w:val="es-ES_tradnl"/>
        </w:rPr>
        <w:t xml:space="preserve">º </w:t>
      </w:r>
      <w:r>
        <w:rPr>
          <w:spacing w:val="-6"/>
          <w:sz w:val="18"/>
          <w:szCs w:val="18"/>
          <w:lang w:val="es-ES_tradnl"/>
        </w:rPr>
        <w:t>0465, conforme consta en el expediente en la gu</w:t>
      </w:r>
      <w:r>
        <w:rPr>
          <w:rFonts w:cs="Times New Roman"/>
          <w:spacing w:val="-6"/>
          <w:sz w:val="18"/>
          <w:szCs w:val="18"/>
          <w:lang w:val="es-ES_tradnl"/>
        </w:rPr>
        <w:t>í</w:t>
      </w:r>
      <w:r>
        <w:rPr>
          <w:spacing w:val="-6"/>
          <w:sz w:val="18"/>
          <w:szCs w:val="18"/>
          <w:lang w:val="es-ES_tradnl"/>
        </w:rPr>
        <w:t xml:space="preserve">a de casilleros constitucionales del 25 de marzo de 2015, el </w:t>
      </w:r>
      <w:r>
        <w:rPr>
          <w:spacing w:val="-7"/>
          <w:sz w:val="18"/>
          <w:szCs w:val="18"/>
          <w:lang w:val="es-ES_tradnl"/>
        </w:rPr>
        <w:t>accionante no asisti</w:t>
      </w:r>
      <w:r>
        <w:rPr>
          <w:rFonts w:cs="Times New Roman"/>
          <w:spacing w:val="-7"/>
          <w:sz w:val="18"/>
          <w:szCs w:val="18"/>
          <w:lang w:val="es-ES_tradnl"/>
        </w:rPr>
        <w:t>ó</w:t>
      </w:r>
      <w:r>
        <w:rPr>
          <w:spacing w:val="-7"/>
          <w:sz w:val="18"/>
          <w:szCs w:val="18"/>
          <w:lang w:val="es-ES_tradnl"/>
        </w:rPr>
        <w:t xml:space="preserve"> a la presente diligencia.</w:t>
      </w:r>
    </w:p>
    <w:p w14:paraId="4F67AAD8" w14:textId="77777777" w:rsidR="00591D54" w:rsidRDefault="00591D54">
      <w:pPr>
        <w:shd w:val="clear" w:color="auto" w:fill="FFFFFF"/>
        <w:spacing w:before="192" w:line="216" w:lineRule="exact"/>
        <w:ind w:left="686" w:right="326" w:hanging="355"/>
      </w:pPr>
      <w:r>
        <w:rPr>
          <w:b/>
          <w:bCs/>
          <w:spacing w:val="-1"/>
          <w:sz w:val="18"/>
          <w:szCs w:val="18"/>
          <w:lang w:val="es-ES_tradnl"/>
        </w:rPr>
        <w:t xml:space="preserve">II. CONSIDERACIONES Y FUNDAMENTOS </w:t>
      </w:r>
      <w:r>
        <w:rPr>
          <w:b/>
          <w:bCs/>
          <w:sz w:val="18"/>
          <w:szCs w:val="18"/>
          <w:lang w:val="es-ES_tradnl"/>
        </w:rPr>
        <w:t>DE LA CORTE CONSTITUCIONAL</w:t>
      </w:r>
    </w:p>
    <w:p w14:paraId="4F67AAD9" w14:textId="77777777" w:rsidR="00591D54" w:rsidRDefault="00591D54">
      <w:pPr>
        <w:shd w:val="clear" w:color="auto" w:fill="FFFFFF"/>
        <w:spacing w:before="192"/>
      </w:pPr>
      <w:r>
        <w:rPr>
          <w:b/>
          <w:bCs/>
          <w:spacing w:val="-8"/>
          <w:sz w:val="18"/>
          <w:szCs w:val="18"/>
          <w:lang w:val="es-ES_tradnl"/>
        </w:rPr>
        <w:t>Competencia de la Corte</w:t>
      </w:r>
    </w:p>
    <w:p w14:paraId="4F67AADA" w14:textId="77777777" w:rsidR="00591D54" w:rsidRDefault="00591D54">
      <w:pPr>
        <w:shd w:val="clear" w:color="auto" w:fill="FFFFFF"/>
        <w:spacing w:before="197" w:line="216" w:lineRule="exact"/>
        <w:ind w:right="5"/>
        <w:jc w:val="both"/>
      </w:pPr>
      <w:r>
        <w:rPr>
          <w:sz w:val="18"/>
          <w:szCs w:val="18"/>
          <w:lang w:val="es-ES_tradnl"/>
        </w:rPr>
        <w:t xml:space="preserve">La Corte Constitucional es competente para conocer </w:t>
      </w:r>
      <w:r>
        <w:rPr>
          <w:spacing w:val="-1"/>
          <w:sz w:val="18"/>
          <w:szCs w:val="18"/>
          <w:lang w:val="es-ES_tradnl"/>
        </w:rPr>
        <w:t xml:space="preserve">y resolver la presente causa de incumplimiento de </w:t>
      </w:r>
      <w:r>
        <w:rPr>
          <w:spacing w:val="-5"/>
          <w:sz w:val="18"/>
          <w:szCs w:val="18"/>
          <w:lang w:val="es-ES_tradnl"/>
        </w:rPr>
        <w:t>sentencia, de conformidad con el art</w:t>
      </w:r>
      <w:r>
        <w:rPr>
          <w:rFonts w:cs="Times New Roman"/>
          <w:spacing w:val="-5"/>
          <w:sz w:val="18"/>
          <w:szCs w:val="18"/>
          <w:lang w:val="es-ES_tradnl"/>
        </w:rPr>
        <w:t>í</w:t>
      </w:r>
      <w:r>
        <w:rPr>
          <w:spacing w:val="-5"/>
          <w:sz w:val="18"/>
          <w:szCs w:val="18"/>
          <w:lang w:val="es-ES_tradnl"/>
        </w:rPr>
        <w:t xml:space="preserve">culo 436 numeral 9 </w:t>
      </w:r>
      <w:r>
        <w:rPr>
          <w:spacing w:val="-4"/>
          <w:sz w:val="18"/>
          <w:szCs w:val="18"/>
          <w:lang w:val="es-ES_tradnl"/>
        </w:rPr>
        <w:t>de la Constituci</w:t>
      </w:r>
      <w:r>
        <w:rPr>
          <w:rFonts w:cs="Times New Roman"/>
          <w:spacing w:val="-4"/>
          <w:sz w:val="18"/>
          <w:szCs w:val="18"/>
          <w:lang w:val="es-ES_tradnl"/>
        </w:rPr>
        <w:t>ó</w:t>
      </w:r>
      <w:r>
        <w:rPr>
          <w:spacing w:val="-4"/>
          <w:sz w:val="18"/>
          <w:szCs w:val="18"/>
          <w:lang w:val="es-ES_tradnl"/>
        </w:rPr>
        <w:t>n de la Rep</w:t>
      </w:r>
      <w:r>
        <w:rPr>
          <w:rFonts w:cs="Times New Roman"/>
          <w:spacing w:val="-4"/>
          <w:sz w:val="18"/>
          <w:szCs w:val="18"/>
          <w:lang w:val="es-ES_tradnl"/>
        </w:rPr>
        <w:t>ú</w:t>
      </w:r>
      <w:r>
        <w:rPr>
          <w:spacing w:val="-4"/>
          <w:sz w:val="18"/>
          <w:szCs w:val="18"/>
          <w:lang w:val="es-ES_tradnl"/>
        </w:rPr>
        <w:t>blica y art</w:t>
      </w:r>
      <w:r>
        <w:rPr>
          <w:rFonts w:cs="Times New Roman"/>
          <w:spacing w:val="-4"/>
          <w:sz w:val="18"/>
          <w:szCs w:val="18"/>
          <w:lang w:val="es-ES_tradnl"/>
        </w:rPr>
        <w:t>í</w:t>
      </w:r>
      <w:r>
        <w:rPr>
          <w:spacing w:val="-4"/>
          <w:sz w:val="18"/>
          <w:szCs w:val="18"/>
          <w:lang w:val="es-ES_tradnl"/>
        </w:rPr>
        <w:t xml:space="preserve">culos 162 a 164 </w:t>
      </w:r>
      <w:r>
        <w:rPr>
          <w:spacing w:val="-8"/>
          <w:sz w:val="18"/>
          <w:szCs w:val="18"/>
          <w:lang w:val="es-ES_tradnl"/>
        </w:rPr>
        <w:t>de la Ley Org</w:t>
      </w:r>
      <w:r>
        <w:rPr>
          <w:rFonts w:cs="Times New Roman"/>
          <w:spacing w:val="-8"/>
          <w:sz w:val="18"/>
          <w:szCs w:val="18"/>
          <w:lang w:val="es-ES_tradnl"/>
        </w:rPr>
        <w:t>á</w:t>
      </w:r>
      <w:r>
        <w:rPr>
          <w:spacing w:val="-8"/>
          <w:sz w:val="18"/>
          <w:szCs w:val="18"/>
          <w:lang w:val="es-ES_tradnl"/>
        </w:rPr>
        <w:t>nica de Garant</w:t>
      </w:r>
      <w:r>
        <w:rPr>
          <w:rFonts w:cs="Times New Roman"/>
          <w:spacing w:val="-8"/>
          <w:sz w:val="18"/>
          <w:szCs w:val="18"/>
          <w:lang w:val="es-ES_tradnl"/>
        </w:rPr>
        <w:t>í</w:t>
      </w:r>
      <w:r>
        <w:rPr>
          <w:spacing w:val="-8"/>
          <w:sz w:val="18"/>
          <w:szCs w:val="18"/>
          <w:lang w:val="es-ES_tradnl"/>
        </w:rPr>
        <w:t xml:space="preserve">as Jurisdiccionales y Control </w:t>
      </w:r>
      <w:r>
        <w:rPr>
          <w:sz w:val="18"/>
          <w:szCs w:val="18"/>
          <w:lang w:val="es-ES_tradnl"/>
        </w:rPr>
        <w:t>Constitucional.</w:t>
      </w:r>
    </w:p>
    <w:p w14:paraId="4F67AADB" w14:textId="77777777" w:rsidR="00591D54" w:rsidRDefault="00591D54">
      <w:pPr>
        <w:shd w:val="clear" w:color="auto" w:fill="FFFFFF"/>
        <w:spacing w:before="192" w:line="216" w:lineRule="exact"/>
        <w:ind w:right="5"/>
        <w:jc w:val="both"/>
      </w:pPr>
      <w:r>
        <w:rPr>
          <w:b/>
          <w:bCs/>
          <w:spacing w:val="-7"/>
          <w:sz w:val="18"/>
          <w:szCs w:val="18"/>
          <w:lang w:val="es-ES_tradnl"/>
        </w:rPr>
        <w:t>Naturaleza jur</w:t>
      </w:r>
      <w:r>
        <w:rPr>
          <w:rFonts w:cs="Times New Roman"/>
          <w:b/>
          <w:bCs/>
          <w:spacing w:val="-7"/>
          <w:sz w:val="18"/>
          <w:szCs w:val="18"/>
          <w:lang w:val="es-ES_tradnl"/>
        </w:rPr>
        <w:t>í</w:t>
      </w:r>
      <w:r>
        <w:rPr>
          <w:b/>
          <w:bCs/>
          <w:spacing w:val="-7"/>
          <w:sz w:val="18"/>
          <w:szCs w:val="18"/>
          <w:lang w:val="es-ES_tradnl"/>
        </w:rPr>
        <w:t>dica de la acci</w:t>
      </w:r>
      <w:r>
        <w:rPr>
          <w:rFonts w:cs="Times New Roman"/>
          <w:b/>
          <w:bCs/>
          <w:spacing w:val="-7"/>
          <w:sz w:val="18"/>
          <w:szCs w:val="18"/>
          <w:lang w:val="es-ES_tradnl"/>
        </w:rPr>
        <w:t>ó</w:t>
      </w:r>
      <w:r>
        <w:rPr>
          <w:b/>
          <w:bCs/>
          <w:spacing w:val="-7"/>
          <w:sz w:val="18"/>
          <w:szCs w:val="18"/>
          <w:lang w:val="es-ES_tradnl"/>
        </w:rPr>
        <w:t xml:space="preserve">n de incumplimiento de </w:t>
      </w:r>
      <w:r>
        <w:rPr>
          <w:b/>
          <w:bCs/>
          <w:sz w:val="18"/>
          <w:szCs w:val="18"/>
          <w:lang w:val="es-ES_tradnl"/>
        </w:rPr>
        <w:t>sentencia constitucional</w:t>
      </w:r>
    </w:p>
    <w:p w14:paraId="4F67AADC" w14:textId="77777777" w:rsidR="00591D54" w:rsidRDefault="00591D54">
      <w:pPr>
        <w:shd w:val="clear" w:color="auto" w:fill="FFFFFF"/>
        <w:spacing w:before="192" w:line="216" w:lineRule="exact"/>
        <w:ind w:right="5"/>
        <w:jc w:val="both"/>
      </w:pPr>
      <w:r>
        <w:rPr>
          <w:sz w:val="18"/>
          <w:szCs w:val="18"/>
          <w:lang w:val="es-ES_tradnl"/>
        </w:rPr>
        <w:t>En el actual marco jur</w:t>
      </w:r>
      <w:r>
        <w:rPr>
          <w:rFonts w:cs="Times New Roman"/>
          <w:sz w:val="18"/>
          <w:szCs w:val="18"/>
          <w:lang w:val="es-ES_tradnl"/>
        </w:rPr>
        <w:t>í</w:t>
      </w:r>
      <w:r>
        <w:rPr>
          <w:sz w:val="18"/>
          <w:szCs w:val="18"/>
          <w:lang w:val="es-ES_tradnl"/>
        </w:rPr>
        <w:t>dico del Estado, el m</w:t>
      </w:r>
      <w:r>
        <w:rPr>
          <w:rFonts w:cs="Times New Roman"/>
          <w:sz w:val="18"/>
          <w:szCs w:val="18"/>
          <w:lang w:val="es-ES_tradnl"/>
        </w:rPr>
        <w:t>á</w:t>
      </w:r>
      <w:r>
        <w:rPr>
          <w:sz w:val="18"/>
          <w:szCs w:val="18"/>
          <w:lang w:val="es-ES_tradnl"/>
        </w:rPr>
        <w:t xml:space="preserve">ximo </w:t>
      </w:r>
      <w:r>
        <w:rPr>
          <w:rFonts w:cs="Times New Roman"/>
          <w:spacing w:val="-4"/>
          <w:sz w:val="18"/>
          <w:szCs w:val="18"/>
          <w:lang w:val="es-ES_tradnl"/>
        </w:rPr>
        <w:t>ó</w:t>
      </w:r>
      <w:r>
        <w:rPr>
          <w:spacing w:val="-4"/>
          <w:sz w:val="18"/>
          <w:szCs w:val="18"/>
          <w:lang w:val="es-ES_tradnl"/>
        </w:rPr>
        <w:t>rgano de justicia constitucional es un ente activo frente a incumplimientos de decisiones de la jurisdicci</w:t>
      </w:r>
      <w:r>
        <w:rPr>
          <w:rFonts w:cs="Times New Roman"/>
          <w:spacing w:val="-4"/>
          <w:sz w:val="18"/>
          <w:szCs w:val="18"/>
          <w:lang w:val="es-ES_tradnl"/>
        </w:rPr>
        <w:t>ó</w:t>
      </w:r>
      <w:r>
        <w:rPr>
          <w:spacing w:val="-4"/>
          <w:sz w:val="18"/>
          <w:szCs w:val="18"/>
          <w:lang w:val="es-ES_tradnl"/>
        </w:rPr>
        <w:t xml:space="preserve">n </w:t>
      </w:r>
      <w:r>
        <w:rPr>
          <w:spacing w:val="-6"/>
          <w:sz w:val="18"/>
          <w:szCs w:val="18"/>
          <w:lang w:val="es-ES_tradnl"/>
        </w:rPr>
        <w:t>constitucional, por lo que la garant</w:t>
      </w:r>
      <w:r>
        <w:rPr>
          <w:rFonts w:cs="Times New Roman"/>
          <w:spacing w:val="-6"/>
          <w:sz w:val="18"/>
          <w:szCs w:val="18"/>
          <w:lang w:val="es-ES_tradnl"/>
        </w:rPr>
        <w:t>í</w:t>
      </w:r>
      <w:r>
        <w:rPr>
          <w:spacing w:val="-6"/>
          <w:sz w:val="18"/>
          <w:szCs w:val="18"/>
          <w:lang w:val="es-ES_tradnl"/>
        </w:rPr>
        <w:t xml:space="preserve">a constitucional de </w:t>
      </w:r>
      <w:r>
        <w:rPr>
          <w:spacing w:val="-10"/>
          <w:sz w:val="18"/>
          <w:szCs w:val="18"/>
          <w:lang w:val="es-ES_tradnl"/>
        </w:rPr>
        <w:t>incumplimiento de sentencias y dict</w:t>
      </w:r>
      <w:r>
        <w:rPr>
          <w:rFonts w:cs="Times New Roman"/>
          <w:spacing w:val="-10"/>
          <w:sz w:val="18"/>
          <w:szCs w:val="18"/>
          <w:lang w:val="es-ES_tradnl"/>
        </w:rPr>
        <w:t>á</w:t>
      </w:r>
      <w:r>
        <w:rPr>
          <w:spacing w:val="-10"/>
          <w:sz w:val="18"/>
          <w:szCs w:val="18"/>
          <w:lang w:val="es-ES_tradnl"/>
        </w:rPr>
        <w:t xml:space="preserve">menes constitucionales </w:t>
      </w:r>
      <w:r>
        <w:rPr>
          <w:sz w:val="18"/>
          <w:szCs w:val="18"/>
          <w:lang w:val="es-ES_tradnl"/>
        </w:rPr>
        <w:t>constituye un mecanismo jur</w:t>
      </w:r>
      <w:r>
        <w:rPr>
          <w:rFonts w:cs="Times New Roman"/>
          <w:sz w:val="18"/>
          <w:szCs w:val="18"/>
          <w:lang w:val="es-ES_tradnl"/>
        </w:rPr>
        <w:t>í</w:t>
      </w:r>
      <w:r>
        <w:rPr>
          <w:sz w:val="18"/>
          <w:szCs w:val="18"/>
          <w:lang w:val="es-ES_tradnl"/>
        </w:rPr>
        <w:t>dico-procesal id</w:t>
      </w:r>
      <w:r>
        <w:rPr>
          <w:rFonts w:cs="Times New Roman"/>
          <w:sz w:val="18"/>
          <w:szCs w:val="18"/>
          <w:lang w:val="es-ES_tradnl"/>
        </w:rPr>
        <w:t>ó</w:t>
      </w:r>
      <w:r>
        <w:rPr>
          <w:sz w:val="18"/>
          <w:szCs w:val="18"/>
          <w:lang w:val="es-ES_tradnl"/>
        </w:rPr>
        <w:t xml:space="preserve">neo, </w:t>
      </w:r>
      <w:r>
        <w:rPr>
          <w:rFonts w:cs="Times New Roman"/>
          <w:spacing w:val="-6"/>
          <w:sz w:val="18"/>
          <w:szCs w:val="18"/>
          <w:lang w:val="es-ES_tradnl"/>
        </w:rPr>
        <w:t>á</w:t>
      </w:r>
      <w:r>
        <w:rPr>
          <w:spacing w:val="-6"/>
          <w:sz w:val="18"/>
          <w:szCs w:val="18"/>
          <w:lang w:val="es-ES_tradnl"/>
        </w:rPr>
        <w:t xml:space="preserve">gil y efectivo para hacer cumplir dichas decisiones </w:t>
      </w:r>
      <w:r>
        <w:rPr>
          <w:sz w:val="18"/>
          <w:szCs w:val="18"/>
          <w:lang w:val="es-ES_tradnl"/>
        </w:rPr>
        <w:t>jurisdiccionales.</w:t>
      </w:r>
    </w:p>
    <w:p w14:paraId="4F67AADD" w14:textId="77777777" w:rsidR="00591D54" w:rsidRDefault="00591D54">
      <w:pPr>
        <w:shd w:val="clear" w:color="auto" w:fill="FFFFFF"/>
        <w:spacing w:before="192" w:line="216" w:lineRule="exact"/>
        <w:ind w:right="5"/>
        <w:jc w:val="both"/>
      </w:pPr>
      <w:r>
        <w:rPr>
          <w:sz w:val="18"/>
          <w:szCs w:val="18"/>
          <w:lang w:val="es-ES_tradnl"/>
        </w:rPr>
        <w:t>El art</w:t>
      </w:r>
      <w:r>
        <w:rPr>
          <w:rFonts w:cs="Times New Roman"/>
          <w:sz w:val="18"/>
          <w:szCs w:val="18"/>
          <w:lang w:val="es-ES_tradnl"/>
        </w:rPr>
        <w:t>í</w:t>
      </w:r>
      <w:r>
        <w:rPr>
          <w:sz w:val="18"/>
          <w:szCs w:val="18"/>
          <w:lang w:val="es-ES_tradnl"/>
        </w:rPr>
        <w:t>culo 436 numeral 9 de la Constituci</w:t>
      </w:r>
      <w:r>
        <w:rPr>
          <w:rFonts w:cs="Times New Roman"/>
          <w:sz w:val="18"/>
          <w:szCs w:val="18"/>
          <w:lang w:val="es-ES_tradnl"/>
        </w:rPr>
        <w:t>ó</w:t>
      </w:r>
      <w:r>
        <w:rPr>
          <w:sz w:val="18"/>
          <w:szCs w:val="18"/>
          <w:lang w:val="es-ES_tradnl"/>
        </w:rPr>
        <w:t xml:space="preserve">n atribuye </w:t>
      </w:r>
      <w:r>
        <w:rPr>
          <w:spacing w:val="-4"/>
          <w:sz w:val="18"/>
          <w:szCs w:val="18"/>
          <w:lang w:val="es-ES_tradnl"/>
        </w:rPr>
        <w:t xml:space="preserve">la competencia exclusiva y excluyente de la Corte </w:t>
      </w:r>
      <w:r>
        <w:rPr>
          <w:spacing w:val="-1"/>
          <w:sz w:val="18"/>
          <w:szCs w:val="18"/>
          <w:lang w:val="es-ES_tradnl"/>
        </w:rPr>
        <w:t xml:space="preserve">Constitucional para conocer, sustanciar, resolver y </w:t>
      </w:r>
      <w:r>
        <w:rPr>
          <w:spacing w:val="-7"/>
          <w:sz w:val="18"/>
          <w:szCs w:val="18"/>
          <w:lang w:val="es-ES_tradnl"/>
        </w:rPr>
        <w:t>sancionar el incumplimiento de sentencias y dict</w:t>
      </w:r>
      <w:r>
        <w:rPr>
          <w:rFonts w:cs="Times New Roman"/>
          <w:spacing w:val="-7"/>
          <w:sz w:val="18"/>
          <w:szCs w:val="18"/>
          <w:lang w:val="es-ES_tradnl"/>
        </w:rPr>
        <w:t>á</w:t>
      </w:r>
      <w:r>
        <w:rPr>
          <w:spacing w:val="-7"/>
          <w:sz w:val="18"/>
          <w:szCs w:val="18"/>
          <w:lang w:val="es-ES_tradnl"/>
        </w:rPr>
        <w:t>menes constitucionales y as</w:t>
      </w:r>
      <w:r>
        <w:rPr>
          <w:rFonts w:cs="Times New Roman"/>
          <w:spacing w:val="-7"/>
          <w:sz w:val="18"/>
          <w:szCs w:val="18"/>
          <w:lang w:val="es-ES_tradnl"/>
        </w:rPr>
        <w:t>í</w:t>
      </w:r>
      <w:r>
        <w:rPr>
          <w:spacing w:val="-7"/>
          <w:sz w:val="18"/>
          <w:szCs w:val="18"/>
          <w:lang w:val="es-ES_tradnl"/>
        </w:rPr>
        <w:t xml:space="preserve"> asegurar la materializaci</w:t>
      </w:r>
      <w:r>
        <w:rPr>
          <w:rFonts w:cs="Times New Roman"/>
          <w:spacing w:val="-7"/>
          <w:sz w:val="18"/>
          <w:szCs w:val="18"/>
          <w:lang w:val="es-ES_tradnl"/>
        </w:rPr>
        <w:t>ó</w:t>
      </w:r>
      <w:r>
        <w:rPr>
          <w:spacing w:val="-7"/>
          <w:sz w:val="18"/>
          <w:szCs w:val="18"/>
          <w:lang w:val="es-ES_tradnl"/>
        </w:rPr>
        <w:t xml:space="preserve">n de una </w:t>
      </w:r>
      <w:r>
        <w:rPr>
          <w:spacing w:val="-6"/>
          <w:sz w:val="18"/>
          <w:szCs w:val="18"/>
          <w:lang w:val="es-ES_tradnl"/>
        </w:rPr>
        <w:t>correcta administraci</w:t>
      </w:r>
      <w:r>
        <w:rPr>
          <w:rFonts w:cs="Times New Roman"/>
          <w:spacing w:val="-6"/>
          <w:sz w:val="18"/>
          <w:szCs w:val="18"/>
          <w:lang w:val="es-ES_tradnl"/>
        </w:rPr>
        <w:t>ó</w:t>
      </w:r>
      <w:r>
        <w:rPr>
          <w:spacing w:val="-6"/>
          <w:sz w:val="18"/>
          <w:szCs w:val="18"/>
          <w:lang w:val="es-ES_tradnl"/>
        </w:rPr>
        <w:t xml:space="preserve">n de la justicia constitucional y de la </w:t>
      </w:r>
      <w:r>
        <w:rPr>
          <w:sz w:val="18"/>
          <w:szCs w:val="18"/>
          <w:lang w:val="es-ES_tradnl"/>
        </w:rPr>
        <w:t>tutela de los derechos.</w:t>
      </w:r>
    </w:p>
    <w:p w14:paraId="4F67AADE" w14:textId="77777777" w:rsidR="00591D54" w:rsidRDefault="00591D54">
      <w:pPr>
        <w:shd w:val="clear" w:color="auto" w:fill="FFFFFF"/>
        <w:spacing w:before="192" w:line="216" w:lineRule="exact"/>
        <w:ind w:right="5"/>
        <w:jc w:val="both"/>
      </w:pPr>
      <w:r>
        <w:rPr>
          <w:spacing w:val="-5"/>
          <w:sz w:val="18"/>
          <w:szCs w:val="18"/>
          <w:lang w:val="es-ES_tradnl"/>
        </w:rPr>
        <w:t>En este sentido, esta Corte ha se</w:t>
      </w:r>
      <w:r>
        <w:rPr>
          <w:rFonts w:cs="Times New Roman"/>
          <w:spacing w:val="-5"/>
          <w:sz w:val="18"/>
          <w:szCs w:val="18"/>
          <w:lang w:val="es-ES_tradnl"/>
        </w:rPr>
        <w:t>ñ</w:t>
      </w:r>
      <w:r>
        <w:rPr>
          <w:spacing w:val="-5"/>
          <w:sz w:val="18"/>
          <w:szCs w:val="18"/>
          <w:lang w:val="es-ES_tradnl"/>
        </w:rPr>
        <w:t xml:space="preserve">alado reiteradamente </w:t>
      </w:r>
      <w:r>
        <w:rPr>
          <w:spacing w:val="-1"/>
          <w:sz w:val="18"/>
          <w:szCs w:val="18"/>
          <w:lang w:val="es-ES_tradnl"/>
        </w:rPr>
        <w:t>que la titularidad de un derecho constitucional no solo</w:t>
      </w:r>
    </w:p>
    <w:p w14:paraId="4F67AADF" w14:textId="77777777" w:rsidR="00591D54" w:rsidRDefault="00591D54">
      <w:pPr>
        <w:shd w:val="clear" w:color="auto" w:fill="FFFFFF"/>
        <w:spacing w:before="10" w:line="216" w:lineRule="exact"/>
        <w:jc w:val="both"/>
      </w:pPr>
      <w:r>
        <w:br w:type="column"/>
      </w:r>
      <w:r>
        <w:rPr>
          <w:spacing w:val="-7"/>
          <w:sz w:val="18"/>
          <w:szCs w:val="18"/>
          <w:lang w:val="es-ES_tradnl"/>
        </w:rPr>
        <w:t xml:space="preserve">significa que una norma del derecho positivo lo reconozca </w:t>
      </w:r>
      <w:r>
        <w:rPr>
          <w:spacing w:val="-5"/>
          <w:sz w:val="18"/>
          <w:szCs w:val="18"/>
          <w:lang w:val="es-ES_tradnl"/>
        </w:rPr>
        <w:t xml:space="preserve">o que implique la posibilidad de acceder a un </w:t>
      </w:r>
      <w:r>
        <w:rPr>
          <w:rFonts w:cs="Times New Roman"/>
          <w:spacing w:val="-5"/>
          <w:sz w:val="18"/>
          <w:szCs w:val="18"/>
          <w:lang w:val="es-ES_tradnl"/>
        </w:rPr>
        <w:t>ó</w:t>
      </w:r>
      <w:r>
        <w:rPr>
          <w:spacing w:val="-5"/>
          <w:sz w:val="18"/>
          <w:szCs w:val="18"/>
          <w:lang w:val="es-ES_tradnl"/>
        </w:rPr>
        <w:t xml:space="preserve">rgano </w:t>
      </w:r>
      <w:r>
        <w:rPr>
          <w:spacing w:val="-1"/>
          <w:sz w:val="18"/>
          <w:szCs w:val="18"/>
          <w:lang w:val="es-ES_tradnl"/>
        </w:rPr>
        <w:t xml:space="preserve">jurisdiccional a entablar un proceso judicial y obtener </w:t>
      </w:r>
      <w:r>
        <w:rPr>
          <w:spacing w:val="-7"/>
          <w:sz w:val="18"/>
          <w:szCs w:val="18"/>
          <w:lang w:val="es-ES_tradnl"/>
        </w:rPr>
        <w:t>una sentencia en forma oportuna sino, que, el verdadero ejercicio de ese derecho se materializar</w:t>
      </w:r>
      <w:r>
        <w:rPr>
          <w:rFonts w:cs="Times New Roman"/>
          <w:spacing w:val="-7"/>
          <w:sz w:val="18"/>
          <w:szCs w:val="18"/>
          <w:lang w:val="es-ES_tradnl"/>
        </w:rPr>
        <w:t>á</w:t>
      </w:r>
      <w:r>
        <w:rPr>
          <w:spacing w:val="-7"/>
          <w:sz w:val="18"/>
          <w:szCs w:val="18"/>
          <w:lang w:val="es-ES_tradnl"/>
        </w:rPr>
        <w:t xml:space="preserve"> en la medida en </w:t>
      </w:r>
      <w:r>
        <w:rPr>
          <w:spacing w:val="-6"/>
          <w:sz w:val="18"/>
          <w:szCs w:val="18"/>
          <w:lang w:val="es-ES_tradnl"/>
        </w:rPr>
        <w:t xml:space="preserve">que los fallos dictados se cumplan de forma inmediata, </w:t>
      </w:r>
      <w:r>
        <w:rPr>
          <w:spacing w:val="-3"/>
          <w:sz w:val="18"/>
          <w:szCs w:val="18"/>
          <w:lang w:val="es-ES_tradnl"/>
        </w:rPr>
        <w:t>integral y efectiva pues, mientras la decisi</w:t>
      </w:r>
      <w:r>
        <w:rPr>
          <w:rFonts w:cs="Times New Roman"/>
          <w:spacing w:val="-3"/>
          <w:sz w:val="18"/>
          <w:szCs w:val="18"/>
          <w:lang w:val="es-ES_tradnl"/>
        </w:rPr>
        <w:t>ó</w:t>
      </w:r>
      <w:r>
        <w:rPr>
          <w:spacing w:val="-3"/>
          <w:sz w:val="18"/>
          <w:szCs w:val="18"/>
          <w:lang w:val="es-ES_tradnl"/>
        </w:rPr>
        <w:t xml:space="preserve">n judicial no </w:t>
      </w:r>
      <w:r>
        <w:rPr>
          <w:spacing w:val="-8"/>
          <w:sz w:val="18"/>
          <w:szCs w:val="18"/>
          <w:lang w:val="es-ES_tradnl"/>
        </w:rPr>
        <w:t xml:space="preserve">se ejecute, los derechos de acceso a la justicia, a la tutela </w:t>
      </w:r>
      <w:r>
        <w:rPr>
          <w:spacing w:val="-4"/>
          <w:sz w:val="18"/>
          <w:szCs w:val="18"/>
          <w:lang w:val="es-ES_tradnl"/>
        </w:rPr>
        <w:t>judicial efectiva y la seguridad jur</w:t>
      </w:r>
      <w:r>
        <w:rPr>
          <w:rFonts w:cs="Times New Roman"/>
          <w:spacing w:val="-4"/>
          <w:sz w:val="18"/>
          <w:szCs w:val="18"/>
          <w:lang w:val="es-ES_tradnl"/>
        </w:rPr>
        <w:t>í</w:t>
      </w:r>
      <w:r>
        <w:rPr>
          <w:spacing w:val="-4"/>
          <w:sz w:val="18"/>
          <w:szCs w:val="18"/>
          <w:lang w:val="es-ES_tradnl"/>
        </w:rPr>
        <w:t xml:space="preserve">dica en la realidad, no </w:t>
      </w:r>
      <w:r>
        <w:rPr>
          <w:spacing w:val="-7"/>
          <w:sz w:val="18"/>
          <w:szCs w:val="18"/>
          <w:lang w:val="es-ES_tradnl"/>
        </w:rPr>
        <w:t>tendr</w:t>
      </w:r>
      <w:r>
        <w:rPr>
          <w:rFonts w:cs="Times New Roman"/>
          <w:spacing w:val="-7"/>
          <w:sz w:val="18"/>
          <w:szCs w:val="18"/>
          <w:lang w:val="es-ES_tradnl"/>
        </w:rPr>
        <w:t>í</w:t>
      </w:r>
      <w:r>
        <w:rPr>
          <w:spacing w:val="-7"/>
          <w:sz w:val="18"/>
          <w:szCs w:val="18"/>
          <w:lang w:val="es-ES_tradnl"/>
        </w:rPr>
        <w:t xml:space="preserve">an vigencia; en tal virtud, acciones como el caso </w:t>
      </w:r>
      <w:r>
        <w:rPr>
          <w:i/>
          <w:iCs/>
          <w:spacing w:val="-7"/>
          <w:sz w:val="18"/>
          <w:szCs w:val="18"/>
          <w:lang w:val="es-ES_tradnl"/>
        </w:rPr>
        <w:t xml:space="preserve">sub </w:t>
      </w:r>
      <w:r>
        <w:rPr>
          <w:i/>
          <w:iCs/>
          <w:spacing w:val="-6"/>
          <w:sz w:val="18"/>
          <w:szCs w:val="18"/>
          <w:lang w:val="es-ES_tradnl"/>
        </w:rPr>
        <w:t xml:space="preserve">judice </w:t>
      </w:r>
      <w:r>
        <w:rPr>
          <w:spacing w:val="-6"/>
          <w:sz w:val="18"/>
          <w:szCs w:val="18"/>
          <w:lang w:val="es-ES_tradnl"/>
        </w:rPr>
        <w:t>resultan imprescindibles para la concreci</w:t>
      </w:r>
      <w:r>
        <w:rPr>
          <w:rFonts w:cs="Times New Roman"/>
          <w:spacing w:val="-6"/>
          <w:sz w:val="18"/>
          <w:szCs w:val="18"/>
          <w:lang w:val="es-ES_tradnl"/>
        </w:rPr>
        <w:t>ó</w:t>
      </w:r>
      <w:r>
        <w:rPr>
          <w:spacing w:val="-6"/>
          <w:sz w:val="18"/>
          <w:szCs w:val="18"/>
          <w:lang w:val="es-ES_tradnl"/>
        </w:rPr>
        <w:t xml:space="preserve">n de los </w:t>
      </w:r>
      <w:r>
        <w:rPr>
          <w:sz w:val="18"/>
          <w:szCs w:val="18"/>
          <w:lang w:val="es-ES_tradnl"/>
        </w:rPr>
        <w:t>derechos y garant</w:t>
      </w:r>
      <w:r>
        <w:rPr>
          <w:rFonts w:cs="Times New Roman"/>
          <w:sz w:val="18"/>
          <w:szCs w:val="18"/>
          <w:lang w:val="es-ES_tradnl"/>
        </w:rPr>
        <w:t>í</w:t>
      </w:r>
      <w:r>
        <w:rPr>
          <w:sz w:val="18"/>
          <w:szCs w:val="18"/>
          <w:lang w:val="es-ES_tradnl"/>
        </w:rPr>
        <w:t>as constitucionales.</w:t>
      </w:r>
    </w:p>
    <w:p w14:paraId="4F67AAE0" w14:textId="77777777" w:rsidR="00591D54" w:rsidRDefault="00591D54">
      <w:pPr>
        <w:shd w:val="clear" w:color="auto" w:fill="FFFFFF"/>
        <w:spacing w:before="192"/>
      </w:pPr>
      <w:r>
        <w:rPr>
          <w:b/>
          <w:bCs/>
          <w:spacing w:val="-7"/>
          <w:sz w:val="18"/>
          <w:szCs w:val="18"/>
          <w:lang w:val="es-ES_tradnl"/>
        </w:rPr>
        <w:t>Determinaci</w:t>
      </w:r>
      <w:r>
        <w:rPr>
          <w:rFonts w:cs="Times New Roman"/>
          <w:b/>
          <w:bCs/>
          <w:spacing w:val="-7"/>
          <w:sz w:val="18"/>
          <w:szCs w:val="18"/>
          <w:lang w:val="es-ES_tradnl"/>
        </w:rPr>
        <w:t>ó</w:t>
      </w:r>
      <w:r>
        <w:rPr>
          <w:b/>
          <w:bCs/>
          <w:spacing w:val="-7"/>
          <w:sz w:val="18"/>
          <w:szCs w:val="18"/>
          <w:lang w:val="es-ES_tradnl"/>
        </w:rPr>
        <w:t>n del problema jur</w:t>
      </w:r>
      <w:r>
        <w:rPr>
          <w:rFonts w:cs="Times New Roman"/>
          <w:b/>
          <w:bCs/>
          <w:spacing w:val="-7"/>
          <w:sz w:val="18"/>
          <w:szCs w:val="18"/>
          <w:lang w:val="es-ES_tradnl"/>
        </w:rPr>
        <w:t>í</w:t>
      </w:r>
      <w:r>
        <w:rPr>
          <w:b/>
          <w:bCs/>
          <w:spacing w:val="-7"/>
          <w:sz w:val="18"/>
          <w:szCs w:val="18"/>
          <w:lang w:val="es-ES_tradnl"/>
        </w:rPr>
        <w:t>dico</w:t>
      </w:r>
    </w:p>
    <w:p w14:paraId="4F67AAE1" w14:textId="77777777" w:rsidR="00591D54" w:rsidRDefault="00591D54">
      <w:pPr>
        <w:shd w:val="clear" w:color="auto" w:fill="FFFFFF"/>
        <w:spacing w:before="197" w:line="216" w:lineRule="exact"/>
        <w:jc w:val="both"/>
      </w:pPr>
      <w:r>
        <w:rPr>
          <w:spacing w:val="-6"/>
          <w:sz w:val="18"/>
          <w:szCs w:val="18"/>
          <w:lang w:val="es-ES_tradnl"/>
        </w:rPr>
        <w:t>Para resolver el presunto incumplimiento de sentencia, materia de esta acci</w:t>
      </w:r>
      <w:r>
        <w:rPr>
          <w:rFonts w:cs="Times New Roman"/>
          <w:spacing w:val="-6"/>
          <w:sz w:val="18"/>
          <w:szCs w:val="18"/>
          <w:lang w:val="es-ES_tradnl"/>
        </w:rPr>
        <w:t>ó</w:t>
      </w:r>
      <w:r>
        <w:rPr>
          <w:spacing w:val="-6"/>
          <w:sz w:val="18"/>
          <w:szCs w:val="18"/>
          <w:lang w:val="es-ES_tradnl"/>
        </w:rPr>
        <w:t xml:space="preserve">n, la Corte Constitucional estima </w:t>
      </w:r>
      <w:r>
        <w:rPr>
          <w:spacing w:val="-8"/>
          <w:sz w:val="18"/>
          <w:szCs w:val="18"/>
          <w:lang w:val="es-ES_tradnl"/>
        </w:rPr>
        <w:t>necesario plantear y resolver el siguiente problema jur</w:t>
      </w:r>
      <w:r>
        <w:rPr>
          <w:rFonts w:cs="Times New Roman"/>
          <w:spacing w:val="-8"/>
          <w:sz w:val="18"/>
          <w:szCs w:val="18"/>
          <w:lang w:val="es-ES_tradnl"/>
        </w:rPr>
        <w:t>í</w:t>
      </w:r>
      <w:r>
        <w:rPr>
          <w:spacing w:val="-8"/>
          <w:sz w:val="18"/>
          <w:szCs w:val="18"/>
          <w:lang w:val="es-ES_tradnl"/>
        </w:rPr>
        <w:t>dico:</w:t>
      </w:r>
    </w:p>
    <w:p w14:paraId="4F67AAE2" w14:textId="77777777" w:rsidR="00591D54" w:rsidRDefault="00591D54">
      <w:pPr>
        <w:shd w:val="clear" w:color="auto" w:fill="FFFFFF"/>
        <w:spacing w:before="197" w:line="216" w:lineRule="exact"/>
        <w:jc w:val="both"/>
      </w:pPr>
      <w:r>
        <w:rPr>
          <w:rFonts w:cs="Times New Roman"/>
          <w:spacing w:val="-8"/>
          <w:sz w:val="18"/>
          <w:szCs w:val="18"/>
          <w:lang w:val="es-ES_tradnl"/>
        </w:rPr>
        <w:t>¿</w:t>
      </w:r>
      <w:r>
        <w:rPr>
          <w:spacing w:val="-8"/>
          <w:sz w:val="18"/>
          <w:szCs w:val="18"/>
          <w:lang w:val="es-ES_tradnl"/>
        </w:rPr>
        <w:t xml:space="preserve">Se ha dado cumplimiento a la sentencia dictada el 15 de </w:t>
      </w:r>
      <w:r>
        <w:rPr>
          <w:spacing w:val="-6"/>
          <w:sz w:val="18"/>
          <w:szCs w:val="18"/>
          <w:lang w:val="es-ES_tradnl"/>
        </w:rPr>
        <w:t>noviembre de 2010, por el Juzgado D</w:t>
      </w:r>
      <w:r>
        <w:rPr>
          <w:rFonts w:cs="Times New Roman"/>
          <w:spacing w:val="-6"/>
          <w:sz w:val="18"/>
          <w:szCs w:val="18"/>
          <w:lang w:val="es-ES_tradnl"/>
        </w:rPr>
        <w:t>é</w:t>
      </w:r>
      <w:r>
        <w:rPr>
          <w:spacing w:val="-6"/>
          <w:sz w:val="18"/>
          <w:szCs w:val="18"/>
          <w:lang w:val="es-ES_tradnl"/>
        </w:rPr>
        <w:t xml:space="preserve">cimo Sexto de lo </w:t>
      </w:r>
      <w:r>
        <w:rPr>
          <w:spacing w:val="-7"/>
          <w:sz w:val="18"/>
          <w:szCs w:val="18"/>
          <w:lang w:val="es-ES_tradnl"/>
        </w:rPr>
        <w:t>Civil de Salinas, dentro de la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n N.</w:t>
      </w:r>
      <w:r>
        <w:rPr>
          <w:rFonts w:cs="Times New Roman"/>
          <w:spacing w:val="-7"/>
          <w:sz w:val="18"/>
          <w:szCs w:val="18"/>
          <w:lang w:val="es-ES_tradnl"/>
        </w:rPr>
        <w:t>º</w:t>
      </w:r>
      <w:r>
        <w:rPr>
          <w:spacing w:val="-7"/>
          <w:sz w:val="18"/>
          <w:szCs w:val="18"/>
          <w:lang w:val="es-ES_tradnl"/>
        </w:rPr>
        <w:t xml:space="preserve"> 773-</w:t>
      </w:r>
      <w:r>
        <w:rPr>
          <w:sz w:val="18"/>
          <w:szCs w:val="18"/>
          <w:lang w:val="es-ES_tradnl"/>
        </w:rPr>
        <w:t>2010?</w:t>
      </w:r>
    </w:p>
    <w:p w14:paraId="4F67AAE3" w14:textId="77777777" w:rsidR="00591D54" w:rsidRDefault="00591D54">
      <w:pPr>
        <w:shd w:val="clear" w:color="auto" w:fill="FFFFFF"/>
        <w:spacing w:before="192"/>
      </w:pPr>
      <w:r>
        <w:rPr>
          <w:b/>
          <w:bCs/>
          <w:spacing w:val="-8"/>
          <w:sz w:val="18"/>
          <w:szCs w:val="18"/>
          <w:lang w:val="es-ES_tradnl"/>
        </w:rPr>
        <w:t>Resoluci</w:t>
      </w:r>
      <w:r>
        <w:rPr>
          <w:rFonts w:cs="Times New Roman"/>
          <w:b/>
          <w:bCs/>
          <w:spacing w:val="-8"/>
          <w:sz w:val="18"/>
          <w:szCs w:val="18"/>
          <w:lang w:val="es-ES_tradnl"/>
        </w:rPr>
        <w:t>ó</w:t>
      </w:r>
      <w:r>
        <w:rPr>
          <w:b/>
          <w:bCs/>
          <w:spacing w:val="-8"/>
          <w:sz w:val="18"/>
          <w:szCs w:val="18"/>
          <w:lang w:val="es-ES_tradnl"/>
        </w:rPr>
        <w:t>n del problema jur</w:t>
      </w:r>
      <w:r>
        <w:rPr>
          <w:rFonts w:cs="Times New Roman"/>
          <w:b/>
          <w:bCs/>
          <w:spacing w:val="-8"/>
          <w:sz w:val="18"/>
          <w:szCs w:val="18"/>
          <w:lang w:val="es-ES_tradnl"/>
        </w:rPr>
        <w:t>í</w:t>
      </w:r>
      <w:r>
        <w:rPr>
          <w:b/>
          <w:bCs/>
          <w:spacing w:val="-8"/>
          <w:sz w:val="18"/>
          <w:szCs w:val="18"/>
          <w:lang w:val="es-ES_tradnl"/>
        </w:rPr>
        <w:t>dico</w:t>
      </w:r>
    </w:p>
    <w:p w14:paraId="4F67AAE4" w14:textId="77777777" w:rsidR="00591D54" w:rsidRDefault="00591D54">
      <w:pPr>
        <w:shd w:val="clear" w:color="auto" w:fill="FFFFFF"/>
        <w:spacing w:before="192" w:line="216" w:lineRule="exact"/>
        <w:jc w:val="both"/>
      </w:pPr>
      <w:r>
        <w:rPr>
          <w:rFonts w:cs="Times New Roman"/>
          <w:b/>
          <w:bCs/>
          <w:spacing w:val="-8"/>
          <w:sz w:val="18"/>
          <w:szCs w:val="18"/>
          <w:lang w:val="es-ES_tradnl"/>
        </w:rPr>
        <w:t>¿</w:t>
      </w:r>
      <w:r>
        <w:rPr>
          <w:b/>
          <w:bCs/>
          <w:spacing w:val="-8"/>
          <w:sz w:val="18"/>
          <w:szCs w:val="18"/>
          <w:lang w:val="es-ES_tradnl"/>
        </w:rPr>
        <w:t xml:space="preserve">Se ha dado cumplimiento a la sentencia dictada el 15 </w:t>
      </w:r>
      <w:r>
        <w:rPr>
          <w:b/>
          <w:bCs/>
          <w:spacing w:val="-10"/>
          <w:sz w:val="18"/>
          <w:szCs w:val="18"/>
          <w:lang w:val="es-ES_tradnl"/>
        </w:rPr>
        <w:t>de noviembre de 2010, por el Juzgado D</w:t>
      </w:r>
      <w:r>
        <w:rPr>
          <w:rFonts w:cs="Times New Roman"/>
          <w:b/>
          <w:bCs/>
          <w:spacing w:val="-10"/>
          <w:sz w:val="18"/>
          <w:szCs w:val="18"/>
          <w:lang w:val="es-ES_tradnl"/>
        </w:rPr>
        <w:t>é</w:t>
      </w:r>
      <w:r>
        <w:rPr>
          <w:b/>
          <w:bCs/>
          <w:spacing w:val="-10"/>
          <w:sz w:val="18"/>
          <w:szCs w:val="18"/>
          <w:lang w:val="es-ES_tradnl"/>
        </w:rPr>
        <w:t xml:space="preserve">cimo Sexto de </w:t>
      </w:r>
      <w:r>
        <w:rPr>
          <w:b/>
          <w:bCs/>
          <w:spacing w:val="-9"/>
          <w:sz w:val="18"/>
          <w:szCs w:val="18"/>
          <w:lang w:val="es-ES_tradnl"/>
        </w:rPr>
        <w:t>lo Civil de Salinas, dentro de la acci</w:t>
      </w:r>
      <w:r>
        <w:rPr>
          <w:rFonts w:cs="Times New Roman"/>
          <w:b/>
          <w:bCs/>
          <w:spacing w:val="-9"/>
          <w:sz w:val="18"/>
          <w:szCs w:val="18"/>
          <w:lang w:val="es-ES_tradnl"/>
        </w:rPr>
        <w:t>ó</w:t>
      </w:r>
      <w:r>
        <w:rPr>
          <w:b/>
          <w:bCs/>
          <w:spacing w:val="-9"/>
          <w:sz w:val="18"/>
          <w:szCs w:val="18"/>
          <w:lang w:val="es-ES_tradnl"/>
        </w:rPr>
        <w:t>n de protecci</w:t>
      </w:r>
      <w:r>
        <w:rPr>
          <w:rFonts w:cs="Times New Roman"/>
          <w:b/>
          <w:bCs/>
          <w:spacing w:val="-9"/>
          <w:sz w:val="18"/>
          <w:szCs w:val="18"/>
          <w:lang w:val="es-ES_tradnl"/>
        </w:rPr>
        <w:t>ó</w:t>
      </w:r>
      <w:r>
        <w:rPr>
          <w:b/>
          <w:bCs/>
          <w:spacing w:val="-9"/>
          <w:sz w:val="18"/>
          <w:szCs w:val="18"/>
          <w:lang w:val="es-ES_tradnl"/>
        </w:rPr>
        <w:t>n N.</w:t>
      </w:r>
      <w:r>
        <w:rPr>
          <w:rFonts w:cs="Times New Roman"/>
          <w:b/>
          <w:bCs/>
          <w:spacing w:val="-9"/>
          <w:sz w:val="18"/>
          <w:szCs w:val="18"/>
          <w:lang w:val="es-ES_tradnl"/>
        </w:rPr>
        <w:t xml:space="preserve">º </w:t>
      </w:r>
      <w:r>
        <w:rPr>
          <w:b/>
          <w:bCs/>
          <w:sz w:val="18"/>
          <w:szCs w:val="18"/>
          <w:lang w:val="es-ES_tradnl"/>
        </w:rPr>
        <w:t>773-2010?</w:t>
      </w:r>
    </w:p>
    <w:p w14:paraId="4F67AAE5" w14:textId="77777777" w:rsidR="00591D54" w:rsidRDefault="00591D54">
      <w:pPr>
        <w:shd w:val="clear" w:color="auto" w:fill="FFFFFF"/>
        <w:spacing w:before="192" w:line="216" w:lineRule="exact"/>
        <w:jc w:val="both"/>
      </w:pPr>
      <w:r>
        <w:rPr>
          <w:sz w:val="18"/>
          <w:szCs w:val="18"/>
          <w:lang w:val="es-ES_tradnl"/>
        </w:rPr>
        <w:t>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 xml:space="preserve">blica del Ecuador en su </w:t>
      </w:r>
      <w:r>
        <w:rPr>
          <w:spacing w:val="-6"/>
          <w:sz w:val="18"/>
          <w:szCs w:val="18"/>
          <w:lang w:val="es-ES_tradnl"/>
        </w:rPr>
        <w:t>art</w:t>
      </w:r>
      <w:r>
        <w:rPr>
          <w:rFonts w:cs="Times New Roman"/>
          <w:spacing w:val="-6"/>
          <w:sz w:val="18"/>
          <w:szCs w:val="18"/>
          <w:lang w:val="es-ES_tradnl"/>
        </w:rPr>
        <w:t>í</w:t>
      </w:r>
      <w:r>
        <w:rPr>
          <w:spacing w:val="-6"/>
          <w:sz w:val="18"/>
          <w:szCs w:val="18"/>
          <w:lang w:val="es-ES_tradnl"/>
        </w:rPr>
        <w:t xml:space="preserve">culo 436 numeral 9, ha establecido como una de las </w:t>
      </w:r>
      <w:r>
        <w:rPr>
          <w:spacing w:val="-4"/>
          <w:sz w:val="18"/>
          <w:szCs w:val="18"/>
          <w:lang w:val="es-ES_tradnl"/>
        </w:rPr>
        <w:t xml:space="preserve">atribuciones de la Corte Constitucional, el conocer y </w:t>
      </w:r>
      <w:r>
        <w:rPr>
          <w:spacing w:val="-7"/>
          <w:sz w:val="18"/>
          <w:szCs w:val="18"/>
          <w:lang w:val="es-ES_tradnl"/>
        </w:rPr>
        <w:t>sancionar el incumplimiento de sentencias y dict</w:t>
      </w:r>
      <w:r>
        <w:rPr>
          <w:rFonts w:cs="Times New Roman"/>
          <w:spacing w:val="-7"/>
          <w:sz w:val="18"/>
          <w:szCs w:val="18"/>
          <w:lang w:val="es-ES_tradnl"/>
        </w:rPr>
        <w:t>á</w:t>
      </w:r>
      <w:r>
        <w:rPr>
          <w:spacing w:val="-7"/>
          <w:sz w:val="18"/>
          <w:szCs w:val="18"/>
          <w:lang w:val="es-ES_tradnl"/>
        </w:rPr>
        <w:t xml:space="preserve">menes </w:t>
      </w:r>
      <w:r>
        <w:rPr>
          <w:spacing w:val="-3"/>
          <w:sz w:val="18"/>
          <w:szCs w:val="18"/>
          <w:lang w:val="es-ES_tradnl"/>
        </w:rPr>
        <w:t>constitucionales, ello con el prop</w:t>
      </w:r>
      <w:r>
        <w:rPr>
          <w:rFonts w:cs="Times New Roman"/>
          <w:spacing w:val="-3"/>
          <w:sz w:val="18"/>
          <w:szCs w:val="18"/>
          <w:lang w:val="es-ES_tradnl"/>
        </w:rPr>
        <w:t>ó</w:t>
      </w:r>
      <w:r>
        <w:rPr>
          <w:spacing w:val="-3"/>
          <w:sz w:val="18"/>
          <w:szCs w:val="18"/>
          <w:lang w:val="es-ES_tradnl"/>
        </w:rPr>
        <w:t xml:space="preserve">sito de asegurar el </w:t>
      </w:r>
      <w:r>
        <w:rPr>
          <w:spacing w:val="-2"/>
          <w:sz w:val="18"/>
          <w:szCs w:val="18"/>
          <w:lang w:val="es-ES_tradnl"/>
        </w:rPr>
        <w:t xml:space="preserve">efectivo cumplimiento de los derechos y la correcta </w:t>
      </w:r>
      <w:r>
        <w:rPr>
          <w:spacing w:val="-9"/>
          <w:sz w:val="18"/>
          <w:szCs w:val="18"/>
          <w:lang w:val="es-ES_tradnl"/>
        </w:rPr>
        <w:t>ejecuci</w:t>
      </w:r>
      <w:r>
        <w:rPr>
          <w:rFonts w:cs="Times New Roman"/>
          <w:spacing w:val="-9"/>
          <w:sz w:val="18"/>
          <w:szCs w:val="18"/>
          <w:lang w:val="es-ES_tradnl"/>
        </w:rPr>
        <w:t>ó</w:t>
      </w:r>
      <w:r>
        <w:rPr>
          <w:spacing w:val="-9"/>
          <w:sz w:val="18"/>
          <w:szCs w:val="18"/>
          <w:lang w:val="es-ES_tradnl"/>
        </w:rPr>
        <w:t>n de la justicia constitucional, siendo as</w:t>
      </w:r>
      <w:r>
        <w:rPr>
          <w:rFonts w:cs="Times New Roman"/>
          <w:spacing w:val="-9"/>
          <w:sz w:val="18"/>
          <w:szCs w:val="18"/>
          <w:lang w:val="es-ES_tradnl"/>
        </w:rPr>
        <w:t>í</w:t>
      </w:r>
      <w:r>
        <w:rPr>
          <w:spacing w:val="-9"/>
          <w:sz w:val="18"/>
          <w:szCs w:val="18"/>
          <w:lang w:val="es-ES_tradnl"/>
        </w:rPr>
        <w:t xml:space="preserve">, en el caso </w:t>
      </w:r>
      <w:r>
        <w:rPr>
          <w:i/>
          <w:iCs/>
          <w:spacing w:val="-7"/>
          <w:sz w:val="18"/>
          <w:szCs w:val="18"/>
          <w:lang w:val="es-ES_tradnl"/>
        </w:rPr>
        <w:t>sub examine</w:t>
      </w:r>
      <w:r>
        <w:rPr>
          <w:spacing w:val="-7"/>
          <w:sz w:val="18"/>
          <w:szCs w:val="18"/>
          <w:lang w:val="es-ES_tradnl"/>
        </w:rPr>
        <w:t>, se debe analizar si se ha dado cumplimiento a la sentencia dictada el 15 de noviembre de 2010, por el Juzgado D</w:t>
      </w:r>
      <w:r>
        <w:rPr>
          <w:rFonts w:cs="Times New Roman"/>
          <w:spacing w:val="-7"/>
          <w:sz w:val="18"/>
          <w:szCs w:val="18"/>
          <w:lang w:val="es-ES_tradnl"/>
        </w:rPr>
        <w:t>é</w:t>
      </w:r>
      <w:r>
        <w:rPr>
          <w:spacing w:val="-7"/>
          <w:sz w:val="18"/>
          <w:szCs w:val="18"/>
          <w:lang w:val="es-ES_tradnl"/>
        </w:rPr>
        <w:t>cimo Sexto de lo Civil de Salinas, dentro de la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n N.</w:t>
      </w:r>
      <w:r>
        <w:rPr>
          <w:rFonts w:cs="Times New Roman"/>
          <w:spacing w:val="-7"/>
          <w:sz w:val="18"/>
          <w:szCs w:val="18"/>
          <w:lang w:val="es-ES_tradnl"/>
        </w:rPr>
        <w:t>º</w:t>
      </w:r>
      <w:r>
        <w:rPr>
          <w:spacing w:val="-7"/>
          <w:sz w:val="18"/>
          <w:szCs w:val="18"/>
          <w:lang w:val="es-ES_tradnl"/>
        </w:rPr>
        <w:t xml:space="preserve"> 773-2010 en la cual, se dispon</w:t>
      </w:r>
      <w:r>
        <w:rPr>
          <w:rFonts w:cs="Times New Roman"/>
          <w:spacing w:val="-7"/>
          <w:sz w:val="18"/>
          <w:szCs w:val="18"/>
          <w:lang w:val="es-ES_tradnl"/>
        </w:rPr>
        <w:t>í</w:t>
      </w:r>
      <w:r>
        <w:rPr>
          <w:spacing w:val="-7"/>
          <w:sz w:val="18"/>
          <w:szCs w:val="18"/>
          <w:lang w:val="es-ES_tradnl"/>
        </w:rPr>
        <w:t xml:space="preserve">a </w:t>
      </w:r>
      <w:r>
        <w:rPr>
          <w:sz w:val="18"/>
          <w:szCs w:val="18"/>
          <w:lang w:val="es-ES_tradnl"/>
        </w:rPr>
        <w:t xml:space="preserve">que: </w:t>
      </w:r>
      <w:r>
        <w:rPr>
          <w:rFonts w:cs="Times New Roman"/>
          <w:sz w:val="18"/>
          <w:szCs w:val="18"/>
          <w:lang w:val="es-ES_tradnl"/>
        </w:rPr>
        <w:t>“</w:t>
      </w:r>
      <w:r>
        <w:rPr>
          <w:sz w:val="18"/>
          <w:szCs w:val="18"/>
          <w:lang w:val="es-ES_tradnl"/>
        </w:rPr>
        <w:t>(</w:t>
      </w:r>
      <w:r>
        <w:rPr>
          <w:rFonts w:cs="Times New Roman"/>
          <w:sz w:val="18"/>
          <w:szCs w:val="18"/>
          <w:lang w:val="es-ES_tradnl"/>
        </w:rPr>
        <w:t>…</w:t>
      </w:r>
      <w:r>
        <w:rPr>
          <w:sz w:val="18"/>
          <w:szCs w:val="18"/>
          <w:lang w:val="es-ES_tradnl"/>
        </w:rPr>
        <w:t xml:space="preserve">) el recurrente sea restituido inmediatamente </w:t>
      </w:r>
      <w:r>
        <w:rPr>
          <w:spacing w:val="-9"/>
          <w:sz w:val="18"/>
          <w:szCs w:val="18"/>
          <w:lang w:val="es-ES_tradnl"/>
        </w:rPr>
        <w:t>a sus funciones que ven</w:t>
      </w:r>
      <w:r>
        <w:rPr>
          <w:rFonts w:cs="Times New Roman"/>
          <w:spacing w:val="-9"/>
          <w:sz w:val="18"/>
          <w:szCs w:val="18"/>
          <w:lang w:val="es-ES_tradnl"/>
        </w:rPr>
        <w:t>í</w:t>
      </w:r>
      <w:r>
        <w:rPr>
          <w:spacing w:val="-9"/>
          <w:sz w:val="18"/>
          <w:szCs w:val="18"/>
          <w:lang w:val="es-ES_tradnl"/>
        </w:rPr>
        <w:t>a desempe</w:t>
      </w:r>
      <w:r>
        <w:rPr>
          <w:rFonts w:cs="Times New Roman"/>
          <w:spacing w:val="-9"/>
          <w:sz w:val="18"/>
          <w:szCs w:val="18"/>
          <w:lang w:val="es-ES_tradnl"/>
        </w:rPr>
        <w:t>ñ</w:t>
      </w:r>
      <w:r>
        <w:rPr>
          <w:spacing w:val="-9"/>
          <w:sz w:val="18"/>
          <w:szCs w:val="18"/>
          <w:lang w:val="es-ES_tradnl"/>
        </w:rPr>
        <w:t xml:space="preserve">ando antes de su </w:t>
      </w:r>
      <w:r>
        <w:rPr>
          <w:spacing w:val="-8"/>
          <w:sz w:val="18"/>
          <w:szCs w:val="18"/>
          <w:lang w:val="es-ES_tradnl"/>
        </w:rPr>
        <w:t>separaci</w:t>
      </w:r>
      <w:r>
        <w:rPr>
          <w:rFonts w:cs="Times New Roman"/>
          <w:spacing w:val="-8"/>
          <w:sz w:val="18"/>
          <w:szCs w:val="18"/>
          <w:lang w:val="es-ES_tradnl"/>
        </w:rPr>
        <w:t>ó</w:t>
      </w:r>
      <w:r>
        <w:rPr>
          <w:spacing w:val="-8"/>
          <w:sz w:val="18"/>
          <w:szCs w:val="18"/>
          <w:lang w:val="es-ES_tradnl"/>
        </w:rPr>
        <w:t xml:space="preserve">n de la entidad recurrida, debiendo la misma bajo prevenciones de Ley, pagar los valores que por su sueldo, ha dejado de percibir desde que fue separado de su cargo </w:t>
      </w:r>
      <w:r>
        <w:rPr>
          <w:sz w:val="18"/>
          <w:szCs w:val="18"/>
          <w:lang w:val="es-ES_tradnl"/>
        </w:rPr>
        <w:t>(</w:t>
      </w:r>
      <w:r>
        <w:rPr>
          <w:rFonts w:cs="Times New Roman"/>
          <w:sz w:val="18"/>
          <w:szCs w:val="18"/>
          <w:lang w:val="es-ES_tradnl"/>
        </w:rPr>
        <w:t>…</w:t>
      </w:r>
      <w:r>
        <w:rPr>
          <w:sz w:val="18"/>
          <w:szCs w:val="18"/>
          <w:lang w:val="es-ES_tradnl"/>
        </w:rPr>
        <w:t>)</w:t>
      </w:r>
      <w:r>
        <w:rPr>
          <w:rFonts w:cs="Times New Roman"/>
          <w:sz w:val="18"/>
          <w:szCs w:val="18"/>
          <w:lang w:val="es-ES_tradnl"/>
        </w:rPr>
        <w:t>”</w:t>
      </w:r>
      <w:r>
        <w:rPr>
          <w:sz w:val="18"/>
          <w:szCs w:val="18"/>
          <w:lang w:val="es-ES_tradnl"/>
        </w:rPr>
        <w:t>.</w:t>
      </w:r>
    </w:p>
    <w:p w14:paraId="4F67AAE6" w14:textId="77777777" w:rsidR="00591D54" w:rsidRDefault="00591D54">
      <w:pPr>
        <w:shd w:val="clear" w:color="auto" w:fill="FFFFFF"/>
        <w:spacing w:before="197" w:line="216" w:lineRule="exact"/>
        <w:jc w:val="both"/>
      </w:pPr>
      <w:r>
        <w:rPr>
          <w:spacing w:val="-6"/>
          <w:sz w:val="18"/>
          <w:szCs w:val="18"/>
          <w:lang w:val="es-ES_tradnl"/>
        </w:rPr>
        <w:t>La referida sentencia establec</w:t>
      </w:r>
      <w:r>
        <w:rPr>
          <w:rFonts w:cs="Times New Roman"/>
          <w:spacing w:val="-6"/>
          <w:sz w:val="18"/>
          <w:szCs w:val="18"/>
          <w:lang w:val="es-ES_tradnl"/>
        </w:rPr>
        <w:t>í</w:t>
      </w:r>
      <w:r>
        <w:rPr>
          <w:spacing w:val="-6"/>
          <w:sz w:val="18"/>
          <w:szCs w:val="18"/>
          <w:lang w:val="es-ES_tradnl"/>
        </w:rPr>
        <w:t>a dos disposiciones que deb</w:t>
      </w:r>
      <w:r>
        <w:rPr>
          <w:rFonts w:cs="Times New Roman"/>
          <w:spacing w:val="-6"/>
          <w:sz w:val="18"/>
          <w:szCs w:val="18"/>
          <w:lang w:val="es-ES_tradnl"/>
        </w:rPr>
        <w:t>í</w:t>
      </w:r>
      <w:r>
        <w:rPr>
          <w:spacing w:val="-6"/>
          <w:sz w:val="18"/>
          <w:szCs w:val="18"/>
          <w:lang w:val="es-ES_tradnl"/>
        </w:rPr>
        <w:t xml:space="preserve">an ser cumplidas: la primera, el reintegro laboral del </w:t>
      </w:r>
      <w:r>
        <w:rPr>
          <w:spacing w:val="-11"/>
          <w:sz w:val="18"/>
          <w:szCs w:val="18"/>
          <w:lang w:val="es-ES_tradnl"/>
        </w:rPr>
        <w:t xml:space="preserve">accionante y la segunda, el pago de los valores no percibidos </w:t>
      </w:r>
      <w:r>
        <w:rPr>
          <w:spacing w:val="-8"/>
          <w:sz w:val="18"/>
          <w:szCs w:val="18"/>
          <w:lang w:val="es-ES_tradnl"/>
        </w:rPr>
        <w:t>desde la fecha de la separaci</w:t>
      </w:r>
      <w:r>
        <w:rPr>
          <w:rFonts w:cs="Times New Roman"/>
          <w:spacing w:val="-8"/>
          <w:sz w:val="18"/>
          <w:szCs w:val="18"/>
          <w:lang w:val="es-ES_tradnl"/>
        </w:rPr>
        <w:t>ó</w:t>
      </w:r>
      <w:r>
        <w:rPr>
          <w:spacing w:val="-8"/>
          <w:sz w:val="18"/>
          <w:szCs w:val="18"/>
          <w:lang w:val="es-ES_tradnl"/>
        </w:rPr>
        <w:t xml:space="preserve">n de su cargo. Frente a ello, </w:t>
      </w:r>
      <w:r>
        <w:rPr>
          <w:spacing w:val="-5"/>
          <w:sz w:val="18"/>
          <w:szCs w:val="18"/>
          <w:lang w:val="es-ES_tradnl"/>
        </w:rPr>
        <w:t xml:space="preserve">para poder afirmar que ha existido cumplimiento de la </w:t>
      </w:r>
      <w:r>
        <w:rPr>
          <w:spacing w:val="-9"/>
          <w:sz w:val="18"/>
          <w:szCs w:val="18"/>
          <w:lang w:val="es-ES_tradnl"/>
        </w:rPr>
        <w:t>mencionada sentencia, ser</w:t>
      </w:r>
      <w:r>
        <w:rPr>
          <w:rFonts w:cs="Times New Roman"/>
          <w:spacing w:val="-9"/>
          <w:sz w:val="18"/>
          <w:szCs w:val="18"/>
          <w:lang w:val="es-ES_tradnl"/>
        </w:rPr>
        <w:t>á</w:t>
      </w:r>
      <w:r>
        <w:rPr>
          <w:spacing w:val="-9"/>
          <w:sz w:val="18"/>
          <w:szCs w:val="18"/>
          <w:lang w:val="es-ES_tradnl"/>
        </w:rPr>
        <w:t xml:space="preserve"> necesario analizar si ambas </w:t>
      </w:r>
      <w:r>
        <w:rPr>
          <w:sz w:val="18"/>
          <w:szCs w:val="18"/>
          <w:lang w:val="es-ES_tradnl"/>
        </w:rPr>
        <w:t>disposiciones han sido cumplidas.</w:t>
      </w:r>
    </w:p>
    <w:p w14:paraId="4F67AAE7" w14:textId="77777777" w:rsidR="00591D54" w:rsidRDefault="00591D54">
      <w:pPr>
        <w:shd w:val="clear" w:color="auto" w:fill="FFFFFF"/>
        <w:spacing w:before="192"/>
      </w:pPr>
      <w:r>
        <w:rPr>
          <w:b/>
          <w:bCs/>
          <w:spacing w:val="-9"/>
          <w:sz w:val="18"/>
          <w:szCs w:val="18"/>
          <w:lang w:val="es-ES_tradnl"/>
        </w:rPr>
        <w:t>Respecto del reintegro laboral del accionante</w:t>
      </w:r>
    </w:p>
    <w:p w14:paraId="4F67AAE8" w14:textId="77777777" w:rsidR="00591D54" w:rsidRDefault="00591D54">
      <w:pPr>
        <w:shd w:val="clear" w:color="auto" w:fill="FFFFFF"/>
        <w:spacing w:before="197" w:line="216" w:lineRule="exact"/>
        <w:jc w:val="both"/>
      </w:pPr>
      <w:r>
        <w:rPr>
          <w:spacing w:val="-9"/>
          <w:sz w:val="18"/>
          <w:szCs w:val="18"/>
          <w:lang w:val="es-ES_tradnl"/>
        </w:rPr>
        <w:t xml:space="preserve">Conforme consta en el texto de la demanda presentada, el </w:t>
      </w:r>
      <w:r>
        <w:rPr>
          <w:spacing w:val="-8"/>
          <w:sz w:val="18"/>
          <w:szCs w:val="18"/>
          <w:lang w:val="es-ES_tradnl"/>
        </w:rPr>
        <w:t xml:space="preserve">accionante asegura no haber sido reintegrado a su puesto </w:t>
      </w:r>
      <w:r>
        <w:rPr>
          <w:spacing w:val="-7"/>
          <w:sz w:val="18"/>
          <w:szCs w:val="18"/>
          <w:lang w:val="es-ES_tradnl"/>
        </w:rPr>
        <w:t xml:space="preserve">de trabajo; sin embargo, a fojas 47 del expediente, consta </w:t>
      </w:r>
      <w:r>
        <w:rPr>
          <w:spacing w:val="-6"/>
          <w:sz w:val="18"/>
          <w:szCs w:val="18"/>
          <w:lang w:val="es-ES_tradnl"/>
        </w:rPr>
        <w:t>el memorando N.</w:t>
      </w:r>
      <w:r>
        <w:rPr>
          <w:rFonts w:cs="Times New Roman"/>
          <w:spacing w:val="-6"/>
          <w:sz w:val="18"/>
          <w:szCs w:val="18"/>
          <w:lang w:val="es-ES_tradnl"/>
        </w:rPr>
        <w:t>º</w:t>
      </w:r>
      <w:r>
        <w:rPr>
          <w:spacing w:val="-6"/>
          <w:sz w:val="18"/>
          <w:szCs w:val="18"/>
          <w:lang w:val="es-ES_tradnl"/>
        </w:rPr>
        <w:t xml:space="preserve"> ASJU-2022-2010 del 30 de noviembre</w:t>
      </w:r>
    </w:p>
    <w:p w14:paraId="4F67AAE9" w14:textId="77777777" w:rsidR="00591D54" w:rsidRDefault="00591D54">
      <w:pPr>
        <w:shd w:val="clear" w:color="auto" w:fill="FFFFFF"/>
        <w:spacing w:before="197" w:line="216" w:lineRule="exact"/>
        <w:jc w:val="both"/>
        <w:sectPr w:rsidR="00591D54">
          <w:type w:val="continuous"/>
          <w:pgSz w:w="11909" w:h="16834"/>
          <w:pgMar w:top="1371" w:right="1309" w:bottom="360" w:left="1308" w:header="720" w:footer="720" w:gutter="0"/>
          <w:cols w:num="2" w:space="720" w:equalWidth="0">
            <w:col w:w="4305" w:space="682"/>
            <w:col w:w="4305"/>
          </w:cols>
          <w:noEndnote/>
        </w:sectPr>
      </w:pPr>
    </w:p>
    <w:p w14:paraId="4F67AAEA" w14:textId="77777777" w:rsidR="00591D54" w:rsidRDefault="00591D54">
      <w:pPr>
        <w:shd w:val="clear" w:color="auto" w:fill="FFFFFF"/>
        <w:tabs>
          <w:tab w:val="left" w:pos="4814"/>
        </w:tabs>
        <w:spacing w:after="235"/>
        <w:ind w:left="5"/>
      </w:pPr>
      <w:r>
        <w:rPr>
          <w:b/>
          <w:bCs/>
          <w:sz w:val="18"/>
          <w:szCs w:val="18"/>
          <w:lang w:val="es-ES_tradnl"/>
        </w:rPr>
        <w:t xml:space="preserve">90 -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AEB" w14:textId="77777777" w:rsidR="00591D54" w:rsidRDefault="00591D54">
      <w:pPr>
        <w:shd w:val="clear" w:color="auto" w:fill="FFFFFF"/>
        <w:tabs>
          <w:tab w:val="left" w:pos="4814"/>
        </w:tabs>
        <w:spacing w:after="235"/>
        <w:ind w:left="5"/>
        <w:sectPr w:rsidR="00591D54">
          <w:pgSz w:w="11909" w:h="16834"/>
          <w:pgMar w:top="1368" w:right="1309" w:bottom="360" w:left="1308" w:header="720" w:footer="720" w:gutter="0"/>
          <w:cols w:space="60"/>
          <w:noEndnote/>
        </w:sectPr>
      </w:pPr>
    </w:p>
    <w:p w14:paraId="4F67AAEC" w14:textId="77777777" w:rsidR="00591D54" w:rsidRDefault="00591D54">
      <w:pPr>
        <w:shd w:val="clear" w:color="auto" w:fill="FFFFFF"/>
        <w:spacing w:line="216" w:lineRule="exact"/>
        <w:ind w:right="5"/>
        <w:jc w:val="both"/>
      </w:pPr>
      <w:r>
        <w:rPr>
          <w:sz w:val="18"/>
          <w:szCs w:val="18"/>
          <w:lang w:val="es-ES_tradnl"/>
        </w:rPr>
        <w:t>de 2010, suscrito por el procurador s</w:t>
      </w:r>
      <w:r>
        <w:rPr>
          <w:rFonts w:cs="Times New Roman"/>
          <w:sz w:val="18"/>
          <w:szCs w:val="18"/>
          <w:lang w:val="es-ES_tradnl"/>
        </w:rPr>
        <w:t>í</w:t>
      </w:r>
      <w:r>
        <w:rPr>
          <w:sz w:val="18"/>
          <w:szCs w:val="18"/>
          <w:lang w:val="es-ES_tradnl"/>
        </w:rPr>
        <w:t xml:space="preserve">ndico municipal </w:t>
      </w:r>
      <w:r>
        <w:rPr>
          <w:spacing w:val="-5"/>
          <w:sz w:val="18"/>
          <w:szCs w:val="18"/>
          <w:lang w:val="es-ES_tradnl"/>
        </w:rPr>
        <w:t>del Gobierno Aut</w:t>
      </w:r>
      <w:r>
        <w:rPr>
          <w:rFonts w:cs="Times New Roman"/>
          <w:spacing w:val="-5"/>
          <w:sz w:val="18"/>
          <w:szCs w:val="18"/>
          <w:lang w:val="es-ES_tradnl"/>
        </w:rPr>
        <w:t>ó</w:t>
      </w:r>
      <w:r>
        <w:rPr>
          <w:spacing w:val="-5"/>
          <w:sz w:val="18"/>
          <w:szCs w:val="18"/>
          <w:lang w:val="es-ES_tradnl"/>
        </w:rPr>
        <w:t xml:space="preserve">nomo Descentralizado Municipal del </w:t>
      </w:r>
      <w:r>
        <w:rPr>
          <w:spacing w:val="-7"/>
          <w:sz w:val="18"/>
          <w:szCs w:val="18"/>
          <w:lang w:val="es-ES_tradnl"/>
        </w:rPr>
        <w:t>cant</w:t>
      </w:r>
      <w:r>
        <w:rPr>
          <w:rFonts w:cs="Times New Roman"/>
          <w:spacing w:val="-7"/>
          <w:sz w:val="18"/>
          <w:szCs w:val="18"/>
          <w:lang w:val="es-ES_tradnl"/>
        </w:rPr>
        <w:t>ó</w:t>
      </w:r>
      <w:r>
        <w:rPr>
          <w:spacing w:val="-7"/>
          <w:sz w:val="18"/>
          <w:szCs w:val="18"/>
          <w:lang w:val="es-ES_tradnl"/>
        </w:rPr>
        <w:t xml:space="preserve">n Salinas y dirigido al jefe de Recursos Humanos de </w:t>
      </w:r>
      <w:r>
        <w:rPr>
          <w:spacing w:val="-6"/>
          <w:sz w:val="18"/>
          <w:szCs w:val="18"/>
          <w:lang w:val="es-ES_tradnl"/>
        </w:rPr>
        <w:t>la referida instituci</w:t>
      </w:r>
      <w:r>
        <w:rPr>
          <w:rFonts w:cs="Times New Roman"/>
          <w:spacing w:val="-6"/>
          <w:sz w:val="18"/>
          <w:szCs w:val="18"/>
          <w:lang w:val="es-ES_tradnl"/>
        </w:rPr>
        <w:t>ó</w:t>
      </w:r>
      <w:r>
        <w:rPr>
          <w:spacing w:val="-6"/>
          <w:sz w:val="18"/>
          <w:szCs w:val="18"/>
          <w:lang w:val="es-ES_tradnl"/>
        </w:rPr>
        <w:t xml:space="preserve">n, en el cual se pone en conocimiento la sentencia dictada el 15 de noviembre de 2010, por el </w:t>
      </w:r>
      <w:r>
        <w:rPr>
          <w:spacing w:val="-3"/>
          <w:sz w:val="18"/>
          <w:szCs w:val="18"/>
          <w:lang w:val="es-ES_tradnl"/>
        </w:rPr>
        <w:t>Juzgado D</w:t>
      </w:r>
      <w:r>
        <w:rPr>
          <w:rFonts w:cs="Times New Roman"/>
          <w:spacing w:val="-3"/>
          <w:sz w:val="18"/>
          <w:szCs w:val="18"/>
          <w:lang w:val="es-ES_tradnl"/>
        </w:rPr>
        <w:t>é</w:t>
      </w:r>
      <w:r>
        <w:rPr>
          <w:spacing w:val="-3"/>
          <w:sz w:val="18"/>
          <w:szCs w:val="18"/>
          <w:lang w:val="es-ES_tradnl"/>
        </w:rPr>
        <w:t>cimo Sexto de lo Civil de Salinas, dentro de la acci</w:t>
      </w:r>
      <w:r>
        <w:rPr>
          <w:rFonts w:cs="Times New Roman"/>
          <w:spacing w:val="-3"/>
          <w:sz w:val="18"/>
          <w:szCs w:val="18"/>
          <w:lang w:val="es-ES_tradnl"/>
        </w:rPr>
        <w:t>ó</w:t>
      </w:r>
      <w:r>
        <w:rPr>
          <w:spacing w:val="-3"/>
          <w:sz w:val="18"/>
          <w:szCs w:val="18"/>
          <w:lang w:val="es-ES_tradnl"/>
        </w:rPr>
        <w:t>n de protecci</w:t>
      </w:r>
      <w:r>
        <w:rPr>
          <w:rFonts w:cs="Times New Roman"/>
          <w:spacing w:val="-3"/>
          <w:sz w:val="18"/>
          <w:szCs w:val="18"/>
          <w:lang w:val="es-ES_tradnl"/>
        </w:rPr>
        <w:t>ó</w:t>
      </w:r>
      <w:r>
        <w:rPr>
          <w:spacing w:val="-3"/>
          <w:sz w:val="18"/>
          <w:szCs w:val="18"/>
          <w:lang w:val="es-ES_tradnl"/>
        </w:rPr>
        <w:t>n N.</w:t>
      </w:r>
      <w:r>
        <w:rPr>
          <w:rFonts w:cs="Times New Roman"/>
          <w:spacing w:val="-3"/>
          <w:sz w:val="18"/>
          <w:szCs w:val="18"/>
          <w:lang w:val="es-ES_tradnl"/>
        </w:rPr>
        <w:t>º</w:t>
      </w:r>
      <w:r>
        <w:rPr>
          <w:spacing w:val="-3"/>
          <w:sz w:val="18"/>
          <w:szCs w:val="18"/>
          <w:lang w:val="es-ES_tradnl"/>
        </w:rPr>
        <w:t xml:space="preserve"> 773-2010, disponiendo que </w:t>
      </w:r>
      <w:r>
        <w:rPr>
          <w:spacing w:val="-5"/>
          <w:sz w:val="18"/>
          <w:szCs w:val="18"/>
          <w:lang w:val="es-ES_tradnl"/>
        </w:rPr>
        <w:t xml:space="preserve">se cumpla de manera inmediata con lo resuelto por la </w:t>
      </w:r>
      <w:r>
        <w:rPr>
          <w:spacing w:val="-6"/>
          <w:sz w:val="18"/>
          <w:szCs w:val="18"/>
          <w:lang w:val="es-ES_tradnl"/>
        </w:rPr>
        <w:t>referida judicatura; de igual manera, a fojas 49 consta el memorando N.</w:t>
      </w:r>
      <w:r>
        <w:rPr>
          <w:rFonts w:cs="Times New Roman"/>
          <w:spacing w:val="-6"/>
          <w:sz w:val="18"/>
          <w:szCs w:val="18"/>
          <w:lang w:val="es-ES_tradnl"/>
        </w:rPr>
        <w:t>º</w:t>
      </w:r>
      <w:r>
        <w:rPr>
          <w:spacing w:val="-6"/>
          <w:sz w:val="18"/>
          <w:szCs w:val="18"/>
          <w:lang w:val="es-ES_tradnl"/>
        </w:rPr>
        <w:t xml:space="preserve"> 2465-JUARHs-2010 del 27 de diciembre de 2010, firmado por el entonces jefe de la Unidad </w:t>
      </w:r>
      <w:r>
        <w:rPr>
          <w:spacing w:val="-4"/>
          <w:sz w:val="18"/>
          <w:szCs w:val="18"/>
          <w:lang w:val="es-ES_tradnl"/>
        </w:rPr>
        <w:t xml:space="preserve">Administrativa de Recursos Humanos del Gobierno </w:t>
      </w:r>
      <w:r>
        <w:rPr>
          <w:spacing w:val="-6"/>
          <w:sz w:val="18"/>
          <w:szCs w:val="18"/>
          <w:lang w:val="es-ES_tradnl"/>
        </w:rPr>
        <w:t>Aut</w:t>
      </w:r>
      <w:r>
        <w:rPr>
          <w:rFonts w:cs="Times New Roman"/>
          <w:spacing w:val="-6"/>
          <w:sz w:val="18"/>
          <w:szCs w:val="18"/>
          <w:lang w:val="es-ES_tradnl"/>
        </w:rPr>
        <w:t>ó</w:t>
      </w:r>
      <w:r>
        <w:rPr>
          <w:spacing w:val="-6"/>
          <w:sz w:val="18"/>
          <w:szCs w:val="18"/>
          <w:lang w:val="es-ES_tradnl"/>
        </w:rPr>
        <w:t>nomo Descentralizado Municipal del cant</w:t>
      </w:r>
      <w:r>
        <w:rPr>
          <w:rFonts w:cs="Times New Roman"/>
          <w:spacing w:val="-6"/>
          <w:sz w:val="18"/>
          <w:szCs w:val="18"/>
          <w:lang w:val="es-ES_tradnl"/>
        </w:rPr>
        <w:t>ó</w:t>
      </w:r>
      <w:r>
        <w:rPr>
          <w:spacing w:val="-6"/>
          <w:sz w:val="18"/>
          <w:szCs w:val="18"/>
          <w:lang w:val="es-ES_tradnl"/>
        </w:rPr>
        <w:t xml:space="preserve">n Salinas, </w:t>
      </w:r>
      <w:r>
        <w:rPr>
          <w:spacing w:val="-10"/>
          <w:sz w:val="18"/>
          <w:szCs w:val="18"/>
          <w:lang w:val="es-ES_tradnl"/>
        </w:rPr>
        <w:t>en el cual se le comunic</w:t>
      </w:r>
      <w:r>
        <w:rPr>
          <w:rFonts w:cs="Times New Roman"/>
          <w:spacing w:val="-10"/>
          <w:sz w:val="18"/>
          <w:szCs w:val="18"/>
          <w:lang w:val="es-ES_tradnl"/>
        </w:rPr>
        <w:t>ó</w:t>
      </w:r>
      <w:r>
        <w:rPr>
          <w:spacing w:val="-10"/>
          <w:sz w:val="18"/>
          <w:szCs w:val="18"/>
          <w:lang w:val="es-ES_tradnl"/>
        </w:rPr>
        <w:t xml:space="preserve"> al accionante que </w:t>
      </w:r>
      <w:r>
        <w:rPr>
          <w:rFonts w:cs="Times New Roman"/>
          <w:spacing w:val="-10"/>
          <w:sz w:val="18"/>
          <w:szCs w:val="18"/>
          <w:lang w:val="es-ES_tradnl"/>
        </w:rPr>
        <w:t>“</w:t>
      </w:r>
      <w:r>
        <w:rPr>
          <w:spacing w:val="-10"/>
          <w:sz w:val="18"/>
          <w:szCs w:val="18"/>
          <w:lang w:val="es-ES_tradnl"/>
        </w:rPr>
        <w:t>(</w:t>
      </w:r>
      <w:r>
        <w:rPr>
          <w:rFonts w:cs="Times New Roman"/>
          <w:spacing w:val="-10"/>
          <w:sz w:val="18"/>
          <w:szCs w:val="18"/>
          <w:lang w:val="es-ES_tradnl"/>
        </w:rPr>
        <w:t>…</w:t>
      </w:r>
      <w:r>
        <w:rPr>
          <w:spacing w:val="-10"/>
          <w:sz w:val="18"/>
          <w:szCs w:val="18"/>
          <w:lang w:val="es-ES_tradnl"/>
        </w:rPr>
        <w:t xml:space="preserve">) se ha dado </w:t>
      </w:r>
      <w:r>
        <w:rPr>
          <w:spacing w:val="-6"/>
          <w:sz w:val="18"/>
          <w:szCs w:val="18"/>
          <w:lang w:val="es-ES_tradnl"/>
        </w:rPr>
        <w:t>cumplimiento con la resoluci</w:t>
      </w:r>
      <w:r>
        <w:rPr>
          <w:rFonts w:cs="Times New Roman"/>
          <w:spacing w:val="-6"/>
          <w:sz w:val="18"/>
          <w:szCs w:val="18"/>
          <w:lang w:val="es-ES_tradnl"/>
        </w:rPr>
        <w:t>ó</w:t>
      </w:r>
      <w:r>
        <w:rPr>
          <w:spacing w:val="-6"/>
          <w:sz w:val="18"/>
          <w:szCs w:val="18"/>
          <w:lang w:val="es-ES_tradnl"/>
        </w:rPr>
        <w:t xml:space="preserve">n dictada por el Juzgado </w:t>
      </w:r>
      <w:r>
        <w:rPr>
          <w:spacing w:val="-5"/>
          <w:sz w:val="18"/>
          <w:szCs w:val="18"/>
          <w:lang w:val="es-ES_tradnl"/>
        </w:rPr>
        <w:t>Inferior D</w:t>
      </w:r>
      <w:r>
        <w:rPr>
          <w:rFonts w:cs="Times New Roman"/>
          <w:spacing w:val="-5"/>
          <w:sz w:val="18"/>
          <w:szCs w:val="18"/>
          <w:lang w:val="es-ES_tradnl"/>
        </w:rPr>
        <w:t>é</w:t>
      </w:r>
      <w:r>
        <w:rPr>
          <w:spacing w:val="-5"/>
          <w:sz w:val="18"/>
          <w:szCs w:val="18"/>
          <w:lang w:val="es-ES_tradnl"/>
        </w:rPr>
        <w:t xml:space="preserve">cimo Sexto de lo Civil de Salinas, de fecha 15 </w:t>
      </w:r>
      <w:r>
        <w:rPr>
          <w:spacing w:val="-7"/>
          <w:sz w:val="18"/>
          <w:szCs w:val="18"/>
          <w:lang w:val="es-ES_tradnl"/>
        </w:rPr>
        <w:t>de noviembre de 2010 (</w:t>
      </w:r>
      <w:r>
        <w:rPr>
          <w:rFonts w:cs="Times New Roman"/>
          <w:spacing w:val="-7"/>
          <w:sz w:val="18"/>
          <w:szCs w:val="18"/>
          <w:lang w:val="es-ES_tradnl"/>
        </w:rPr>
        <w:t>…</w:t>
      </w:r>
      <w:r>
        <w:rPr>
          <w:spacing w:val="-7"/>
          <w:sz w:val="18"/>
          <w:szCs w:val="18"/>
          <w:lang w:val="es-ES_tradnl"/>
        </w:rPr>
        <w:t>)</w:t>
      </w:r>
      <w:r>
        <w:rPr>
          <w:rFonts w:cs="Times New Roman"/>
          <w:spacing w:val="-7"/>
          <w:sz w:val="18"/>
          <w:szCs w:val="18"/>
          <w:lang w:val="es-ES_tradnl"/>
        </w:rPr>
        <w:t>”</w:t>
      </w:r>
      <w:r>
        <w:rPr>
          <w:spacing w:val="-7"/>
          <w:sz w:val="18"/>
          <w:szCs w:val="18"/>
          <w:lang w:val="es-ES_tradnl"/>
        </w:rPr>
        <w:t>; por lo tanto, se le solicit</w:t>
      </w:r>
      <w:r>
        <w:rPr>
          <w:rFonts w:cs="Times New Roman"/>
          <w:spacing w:val="-7"/>
          <w:sz w:val="18"/>
          <w:szCs w:val="18"/>
          <w:lang w:val="es-ES_tradnl"/>
        </w:rPr>
        <w:t>ó</w:t>
      </w:r>
      <w:r>
        <w:rPr>
          <w:spacing w:val="-7"/>
          <w:sz w:val="18"/>
          <w:szCs w:val="18"/>
          <w:lang w:val="es-ES_tradnl"/>
        </w:rPr>
        <w:t xml:space="preserve"> que </w:t>
      </w:r>
      <w:r>
        <w:rPr>
          <w:sz w:val="18"/>
          <w:szCs w:val="18"/>
          <w:lang w:val="es-ES_tradnl"/>
        </w:rPr>
        <w:t xml:space="preserve">se ponga a </w:t>
      </w:r>
      <w:r>
        <w:rPr>
          <w:rFonts w:cs="Times New Roman"/>
          <w:sz w:val="18"/>
          <w:szCs w:val="18"/>
          <w:lang w:val="es-ES_tradnl"/>
        </w:rPr>
        <w:t>ó</w:t>
      </w:r>
      <w:r>
        <w:rPr>
          <w:sz w:val="18"/>
          <w:szCs w:val="18"/>
          <w:lang w:val="es-ES_tradnl"/>
        </w:rPr>
        <w:t>rdenes de su superior.</w:t>
      </w:r>
    </w:p>
    <w:p w14:paraId="4F67AAED" w14:textId="77777777" w:rsidR="00591D54" w:rsidRDefault="00591D54">
      <w:pPr>
        <w:shd w:val="clear" w:color="auto" w:fill="FFFFFF"/>
        <w:spacing w:before="197" w:line="216" w:lineRule="exact"/>
        <w:ind w:right="10"/>
        <w:jc w:val="both"/>
      </w:pPr>
      <w:r>
        <w:rPr>
          <w:spacing w:val="-4"/>
          <w:sz w:val="18"/>
          <w:szCs w:val="18"/>
          <w:lang w:val="es-ES_tradnl"/>
        </w:rPr>
        <w:t xml:space="preserve">Adicional a ello, consta de fojas 50 y 51 del expediente, </w:t>
      </w:r>
      <w:r>
        <w:rPr>
          <w:spacing w:val="-2"/>
          <w:sz w:val="18"/>
          <w:szCs w:val="18"/>
          <w:lang w:val="es-ES_tradnl"/>
        </w:rPr>
        <w:t xml:space="preserve">las acciones de personal Nros. 2738-JRH-2010 del 27 </w:t>
      </w:r>
      <w:r>
        <w:rPr>
          <w:spacing w:val="-5"/>
          <w:sz w:val="18"/>
          <w:szCs w:val="18"/>
          <w:lang w:val="es-ES_tradnl"/>
        </w:rPr>
        <w:t xml:space="preserve">de diciembre de 2010 y 2818-JRH-2011 del 01 de enero </w:t>
      </w:r>
      <w:r>
        <w:rPr>
          <w:spacing w:val="-3"/>
          <w:sz w:val="18"/>
          <w:szCs w:val="18"/>
          <w:lang w:val="es-ES_tradnl"/>
        </w:rPr>
        <w:t xml:space="preserve">de 2011, respectivamente, las mismas que pertenecen </w:t>
      </w:r>
      <w:r>
        <w:rPr>
          <w:spacing w:val="-6"/>
          <w:sz w:val="18"/>
          <w:szCs w:val="18"/>
          <w:lang w:val="es-ES_tradnl"/>
        </w:rPr>
        <w:t>al legitimado activo y corresponden al cargo de servidor p</w:t>
      </w:r>
      <w:r>
        <w:rPr>
          <w:rFonts w:cs="Times New Roman"/>
          <w:spacing w:val="-6"/>
          <w:sz w:val="18"/>
          <w:szCs w:val="18"/>
          <w:lang w:val="es-ES_tradnl"/>
        </w:rPr>
        <w:t>ú</w:t>
      </w:r>
      <w:r>
        <w:rPr>
          <w:spacing w:val="-6"/>
          <w:sz w:val="18"/>
          <w:szCs w:val="18"/>
          <w:lang w:val="es-ES_tradnl"/>
        </w:rPr>
        <w:t xml:space="preserve">blico de apoyo 2 de la Jefatura de Justicia, Vigilancia y </w:t>
      </w:r>
      <w:r>
        <w:rPr>
          <w:spacing w:val="-4"/>
          <w:sz w:val="18"/>
          <w:szCs w:val="18"/>
          <w:lang w:val="es-ES_tradnl"/>
        </w:rPr>
        <w:t>Polic</w:t>
      </w:r>
      <w:r>
        <w:rPr>
          <w:rFonts w:cs="Times New Roman"/>
          <w:spacing w:val="-4"/>
          <w:sz w:val="18"/>
          <w:szCs w:val="18"/>
          <w:lang w:val="es-ES_tradnl"/>
        </w:rPr>
        <w:t>í</w:t>
      </w:r>
      <w:r>
        <w:rPr>
          <w:spacing w:val="-4"/>
          <w:sz w:val="18"/>
          <w:szCs w:val="18"/>
          <w:lang w:val="es-ES_tradnl"/>
        </w:rPr>
        <w:t>a Municipal, y a fojas 51 y vta., consta la posesi</w:t>
      </w:r>
      <w:r>
        <w:rPr>
          <w:rFonts w:cs="Times New Roman"/>
          <w:spacing w:val="-4"/>
          <w:sz w:val="18"/>
          <w:szCs w:val="18"/>
          <w:lang w:val="es-ES_tradnl"/>
        </w:rPr>
        <w:t>ó</w:t>
      </w:r>
      <w:r>
        <w:rPr>
          <w:spacing w:val="-4"/>
          <w:sz w:val="18"/>
          <w:szCs w:val="18"/>
          <w:lang w:val="es-ES_tradnl"/>
        </w:rPr>
        <w:t xml:space="preserve">n </w:t>
      </w:r>
      <w:r>
        <w:rPr>
          <w:spacing w:val="-8"/>
          <w:sz w:val="18"/>
          <w:szCs w:val="18"/>
          <w:lang w:val="es-ES_tradnl"/>
        </w:rPr>
        <w:t xml:space="preserve">del cargo suscrita por el hoy accionante, el 01 de enero de 2011, y por el jefe de la Unidad Administrativa de Recursos </w:t>
      </w:r>
      <w:r>
        <w:rPr>
          <w:spacing w:val="-3"/>
          <w:sz w:val="18"/>
          <w:szCs w:val="18"/>
          <w:lang w:val="es-ES_tradnl"/>
        </w:rPr>
        <w:t>Humanos del Gobierno Aut</w:t>
      </w:r>
      <w:r>
        <w:rPr>
          <w:rFonts w:cs="Times New Roman"/>
          <w:spacing w:val="-3"/>
          <w:sz w:val="18"/>
          <w:szCs w:val="18"/>
          <w:lang w:val="es-ES_tradnl"/>
        </w:rPr>
        <w:t>ó</w:t>
      </w:r>
      <w:r>
        <w:rPr>
          <w:spacing w:val="-3"/>
          <w:sz w:val="18"/>
          <w:szCs w:val="18"/>
          <w:lang w:val="es-ES_tradnl"/>
        </w:rPr>
        <w:t xml:space="preserve">nomo Descentralizado </w:t>
      </w:r>
      <w:r>
        <w:rPr>
          <w:sz w:val="18"/>
          <w:szCs w:val="18"/>
          <w:lang w:val="es-ES_tradnl"/>
        </w:rPr>
        <w:t>Municipal del cant</w:t>
      </w:r>
      <w:r>
        <w:rPr>
          <w:rFonts w:cs="Times New Roman"/>
          <w:sz w:val="18"/>
          <w:szCs w:val="18"/>
          <w:lang w:val="es-ES_tradnl"/>
        </w:rPr>
        <w:t>ó</w:t>
      </w:r>
      <w:r>
        <w:rPr>
          <w:sz w:val="18"/>
          <w:szCs w:val="18"/>
          <w:lang w:val="es-ES_tradnl"/>
        </w:rPr>
        <w:t>n Salinas.</w:t>
      </w:r>
    </w:p>
    <w:p w14:paraId="4F67AAEE" w14:textId="77777777" w:rsidR="00591D54" w:rsidRDefault="00591D54">
      <w:pPr>
        <w:shd w:val="clear" w:color="auto" w:fill="FFFFFF"/>
        <w:spacing w:before="197" w:line="216" w:lineRule="exact"/>
        <w:jc w:val="both"/>
      </w:pPr>
      <w:r>
        <w:rPr>
          <w:spacing w:val="-1"/>
          <w:sz w:val="18"/>
          <w:szCs w:val="18"/>
          <w:lang w:val="es-ES_tradnl"/>
        </w:rPr>
        <w:t>Cabe mencionar tambi</w:t>
      </w:r>
      <w:r>
        <w:rPr>
          <w:rFonts w:cs="Times New Roman"/>
          <w:spacing w:val="-1"/>
          <w:sz w:val="18"/>
          <w:szCs w:val="18"/>
          <w:lang w:val="es-ES_tradnl"/>
        </w:rPr>
        <w:t>é</w:t>
      </w:r>
      <w:r>
        <w:rPr>
          <w:spacing w:val="-1"/>
          <w:sz w:val="18"/>
          <w:szCs w:val="18"/>
          <w:lang w:val="es-ES_tradnl"/>
        </w:rPr>
        <w:t xml:space="preserve">n que de fojas 52 a 62 consta </w:t>
      </w:r>
      <w:r>
        <w:rPr>
          <w:sz w:val="18"/>
          <w:szCs w:val="18"/>
          <w:lang w:val="es-ES_tradnl"/>
        </w:rPr>
        <w:t>la declaraci</w:t>
      </w:r>
      <w:r>
        <w:rPr>
          <w:rFonts w:cs="Times New Roman"/>
          <w:sz w:val="18"/>
          <w:szCs w:val="18"/>
          <w:lang w:val="es-ES_tradnl"/>
        </w:rPr>
        <w:t>ó</w:t>
      </w:r>
      <w:r>
        <w:rPr>
          <w:sz w:val="18"/>
          <w:szCs w:val="18"/>
          <w:lang w:val="es-ES_tradnl"/>
        </w:rPr>
        <w:t>n patrimonial juramentada otorgada por el legitimado activo ante el notario tercero del cant</w:t>
      </w:r>
      <w:r>
        <w:rPr>
          <w:rFonts w:cs="Times New Roman"/>
          <w:sz w:val="18"/>
          <w:szCs w:val="18"/>
          <w:lang w:val="es-ES_tradnl"/>
        </w:rPr>
        <w:t>ó</w:t>
      </w:r>
      <w:r>
        <w:rPr>
          <w:sz w:val="18"/>
          <w:szCs w:val="18"/>
          <w:lang w:val="es-ES_tradnl"/>
        </w:rPr>
        <w:t xml:space="preserve">n </w:t>
      </w:r>
      <w:r>
        <w:rPr>
          <w:spacing w:val="-1"/>
          <w:sz w:val="18"/>
          <w:szCs w:val="18"/>
          <w:lang w:val="es-ES_tradnl"/>
        </w:rPr>
        <w:t xml:space="preserve">La Libertad, el 16 de julio de 2014, dentro de la cual </w:t>
      </w:r>
      <w:r>
        <w:rPr>
          <w:sz w:val="18"/>
          <w:szCs w:val="18"/>
          <w:lang w:val="es-ES_tradnl"/>
        </w:rPr>
        <w:t xml:space="preserve">manifiesta: </w:t>
      </w:r>
      <w:r>
        <w:rPr>
          <w:rFonts w:cs="Times New Roman"/>
          <w:sz w:val="18"/>
          <w:szCs w:val="18"/>
          <w:lang w:val="es-ES_tradnl"/>
        </w:rPr>
        <w:t>“</w:t>
      </w:r>
      <w:r>
        <w:rPr>
          <w:sz w:val="18"/>
          <w:szCs w:val="18"/>
          <w:lang w:val="es-ES_tradnl"/>
        </w:rPr>
        <w:t>(</w:t>
      </w:r>
      <w:r>
        <w:rPr>
          <w:rFonts w:cs="Times New Roman"/>
          <w:sz w:val="18"/>
          <w:szCs w:val="18"/>
          <w:lang w:val="es-ES_tradnl"/>
        </w:rPr>
        <w:t>…</w:t>
      </w:r>
      <w:r>
        <w:rPr>
          <w:sz w:val="18"/>
          <w:szCs w:val="18"/>
          <w:lang w:val="es-ES_tradnl"/>
        </w:rPr>
        <w:t>) YO, Se</w:t>
      </w:r>
      <w:r>
        <w:rPr>
          <w:rFonts w:cs="Times New Roman"/>
          <w:sz w:val="18"/>
          <w:szCs w:val="18"/>
          <w:lang w:val="es-ES_tradnl"/>
        </w:rPr>
        <w:t>ñ</w:t>
      </w:r>
      <w:r>
        <w:rPr>
          <w:sz w:val="18"/>
          <w:szCs w:val="18"/>
          <w:lang w:val="es-ES_tradnl"/>
        </w:rPr>
        <w:t xml:space="preserve">or </w:t>
      </w:r>
      <w:r>
        <w:rPr>
          <w:b/>
          <w:bCs/>
          <w:sz w:val="18"/>
          <w:szCs w:val="18"/>
          <w:lang w:val="es-ES_tradnl"/>
        </w:rPr>
        <w:t xml:space="preserve">EDISON ERNESTO PIGUAVE PANCHANA </w:t>
      </w:r>
      <w:r>
        <w:rPr>
          <w:sz w:val="18"/>
          <w:szCs w:val="18"/>
          <w:lang w:val="es-ES_tradnl"/>
        </w:rPr>
        <w:t xml:space="preserve">PARA CONTINUAR EN EL </w:t>
      </w:r>
      <w:r>
        <w:rPr>
          <w:spacing w:val="-6"/>
          <w:sz w:val="18"/>
          <w:szCs w:val="18"/>
          <w:lang w:val="es-ES_tradnl"/>
        </w:rPr>
        <w:t xml:space="preserve">CARGO SE DERVIDOR PUBLICO DE APOYO DOS EN </w:t>
      </w:r>
      <w:r>
        <w:rPr>
          <w:sz w:val="18"/>
          <w:szCs w:val="18"/>
          <w:lang w:val="es-ES_tradnl"/>
        </w:rPr>
        <w:t>EL GOBIERNO AUTONOMO DESCENTRALIZADO DEL CANTON SALINAS (</w:t>
      </w:r>
      <w:r>
        <w:rPr>
          <w:rFonts w:cs="Times New Roman"/>
          <w:sz w:val="18"/>
          <w:szCs w:val="18"/>
          <w:lang w:val="es-ES_tradnl"/>
        </w:rPr>
        <w:t>…</w:t>
      </w:r>
      <w:r>
        <w:rPr>
          <w:sz w:val="18"/>
          <w:szCs w:val="18"/>
          <w:lang w:val="es-ES_tradnl"/>
        </w:rPr>
        <w:t>)</w:t>
      </w:r>
      <w:r>
        <w:rPr>
          <w:rFonts w:cs="Times New Roman"/>
          <w:sz w:val="18"/>
          <w:szCs w:val="18"/>
          <w:lang w:val="es-ES_tradnl"/>
        </w:rPr>
        <w:t>”</w:t>
      </w:r>
      <w:r>
        <w:rPr>
          <w:sz w:val="18"/>
          <w:szCs w:val="18"/>
          <w:lang w:val="es-ES_tradnl"/>
        </w:rPr>
        <w:t xml:space="preserve">, el referido documento </w:t>
      </w:r>
      <w:r>
        <w:rPr>
          <w:spacing w:val="-8"/>
          <w:sz w:val="18"/>
          <w:szCs w:val="18"/>
          <w:lang w:val="es-ES_tradnl"/>
        </w:rPr>
        <w:t xml:space="preserve">evidencia que el accionante se encuentra integrado a su </w:t>
      </w:r>
      <w:r>
        <w:rPr>
          <w:spacing w:val="-7"/>
          <w:sz w:val="18"/>
          <w:szCs w:val="18"/>
          <w:lang w:val="es-ES_tradnl"/>
        </w:rPr>
        <w:t>puesto de trabajo, tal es as</w:t>
      </w:r>
      <w:r>
        <w:rPr>
          <w:rFonts w:cs="Times New Roman"/>
          <w:spacing w:val="-7"/>
          <w:sz w:val="18"/>
          <w:szCs w:val="18"/>
          <w:lang w:val="es-ES_tradnl"/>
        </w:rPr>
        <w:t>í</w:t>
      </w:r>
      <w:r>
        <w:rPr>
          <w:spacing w:val="-7"/>
          <w:sz w:val="18"/>
          <w:szCs w:val="18"/>
          <w:lang w:val="es-ES_tradnl"/>
        </w:rPr>
        <w:t xml:space="preserve"> que efect</w:t>
      </w:r>
      <w:r>
        <w:rPr>
          <w:rFonts w:cs="Times New Roman"/>
          <w:spacing w:val="-7"/>
          <w:sz w:val="18"/>
          <w:szCs w:val="18"/>
          <w:lang w:val="es-ES_tradnl"/>
        </w:rPr>
        <w:t>ú</w:t>
      </w:r>
      <w:r>
        <w:rPr>
          <w:spacing w:val="-7"/>
          <w:sz w:val="18"/>
          <w:szCs w:val="18"/>
          <w:lang w:val="es-ES_tradnl"/>
        </w:rPr>
        <w:t>a la declaraci</w:t>
      </w:r>
      <w:r>
        <w:rPr>
          <w:rFonts w:cs="Times New Roman"/>
          <w:spacing w:val="-7"/>
          <w:sz w:val="18"/>
          <w:szCs w:val="18"/>
          <w:lang w:val="es-ES_tradnl"/>
        </w:rPr>
        <w:t>ó</w:t>
      </w:r>
      <w:r>
        <w:rPr>
          <w:spacing w:val="-7"/>
          <w:sz w:val="18"/>
          <w:szCs w:val="18"/>
          <w:lang w:val="es-ES_tradnl"/>
        </w:rPr>
        <w:t xml:space="preserve">n </w:t>
      </w:r>
      <w:r>
        <w:rPr>
          <w:spacing w:val="-5"/>
          <w:sz w:val="18"/>
          <w:szCs w:val="18"/>
          <w:lang w:val="es-ES_tradnl"/>
        </w:rPr>
        <w:t>juramentada peri</w:t>
      </w:r>
      <w:r>
        <w:rPr>
          <w:rFonts w:cs="Times New Roman"/>
          <w:spacing w:val="-5"/>
          <w:sz w:val="18"/>
          <w:szCs w:val="18"/>
          <w:lang w:val="es-ES_tradnl"/>
        </w:rPr>
        <w:t>ó</w:t>
      </w:r>
      <w:r>
        <w:rPr>
          <w:spacing w:val="-5"/>
          <w:sz w:val="18"/>
          <w:szCs w:val="18"/>
          <w:lang w:val="es-ES_tradnl"/>
        </w:rPr>
        <w:t xml:space="preserve">dica para continuar en el cargo que </w:t>
      </w:r>
      <w:r>
        <w:rPr>
          <w:sz w:val="18"/>
          <w:szCs w:val="18"/>
          <w:lang w:val="es-ES_tradnl"/>
        </w:rPr>
        <w:t>ostenta.</w:t>
      </w:r>
    </w:p>
    <w:p w14:paraId="4F67AAEF" w14:textId="77777777" w:rsidR="00591D54" w:rsidRDefault="00591D54">
      <w:pPr>
        <w:shd w:val="clear" w:color="auto" w:fill="FFFFFF"/>
        <w:spacing w:before="192" w:line="216" w:lineRule="exact"/>
        <w:ind w:right="5"/>
        <w:jc w:val="both"/>
      </w:pPr>
      <w:r>
        <w:rPr>
          <w:spacing w:val="-7"/>
          <w:sz w:val="18"/>
          <w:szCs w:val="18"/>
          <w:lang w:val="es-ES_tradnl"/>
        </w:rPr>
        <w:t>Frente a la existencia de tales documentos, mal se podr</w:t>
      </w:r>
      <w:r>
        <w:rPr>
          <w:rFonts w:cs="Times New Roman"/>
          <w:spacing w:val="-7"/>
          <w:sz w:val="18"/>
          <w:szCs w:val="18"/>
          <w:lang w:val="es-ES_tradnl"/>
        </w:rPr>
        <w:t>í</w:t>
      </w:r>
      <w:r>
        <w:rPr>
          <w:spacing w:val="-7"/>
          <w:sz w:val="18"/>
          <w:szCs w:val="18"/>
          <w:lang w:val="es-ES_tradnl"/>
        </w:rPr>
        <w:t xml:space="preserve">a </w:t>
      </w:r>
      <w:r>
        <w:rPr>
          <w:spacing w:val="-6"/>
          <w:sz w:val="18"/>
          <w:szCs w:val="18"/>
          <w:lang w:val="es-ES_tradnl"/>
        </w:rPr>
        <w:t>afirmar que la disposici</w:t>
      </w:r>
      <w:r>
        <w:rPr>
          <w:rFonts w:cs="Times New Roman"/>
          <w:spacing w:val="-6"/>
          <w:sz w:val="18"/>
          <w:szCs w:val="18"/>
          <w:lang w:val="es-ES_tradnl"/>
        </w:rPr>
        <w:t>ó</w:t>
      </w:r>
      <w:r>
        <w:rPr>
          <w:spacing w:val="-6"/>
          <w:sz w:val="18"/>
          <w:szCs w:val="18"/>
          <w:lang w:val="es-ES_tradnl"/>
        </w:rPr>
        <w:t xml:space="preserve">n correspondiente al reintegro laboral del accionante ha sido incumplida por parte del </w:t>
      </w:r>
      <w:r>
        <w:rPr>
          <w:spacing w:val="-7"/>
          <w:sz w:val="18"/>
          <w:szCs w:val="18"/>
          <w:lang w:val="es-ES_tradnl"/>
        </w:rPr>
        <w:t>Gobierno Aut</w:t>
      </w:r>
      <w:r>
        <w:rPr>
          <w:rFonts w:cs="Times New Roman"/>
          <w:spacing w:val="-7"/>
          <w:sz w:val="18"/>
          <w:szCs w:val="18"/>
          <w:lang w:val="es-ES_tradnl"/>
        </w:rPr>
        <w:t>ó</w:t>
      </w:r>
      <w:r>
        <w:rPr>
          <w:spacing w:val="-7"/>
          <w:sz w:val="18"/>
          <w:szCs w:val="18"/>
          <w:lang w:val="es-ES_tradnl"/>
        </w:rPr>
        <w:t>nomo Descentralizado Municipal del cant</w:t>
      </w:r>
      <w:r>
        <w:rPr>
          <w:rFonts w:cs="Times New Roman"/>
          <w:spacing w:val="-7"/>
          <w:sz w:val="18"/>
          <w:szCs w:val="18"/>
          <w:lang w:val="es-ES_tradnl"/>
        </w:rPr>
        <w:t>ó</w:t>
      </w:r>
      <w:r>
        <w:rPr>
          <w:spacing w:val="-7"/>
          <w:sz w:val="18"/>
          <w:szCs w:val="18"/>
          <w:lang w:val="es-ES_tradnl"/>
        </w:rPr>
        <w:t xml:space="preserve">n </w:t>
      </w:r>
      <w:r>
        <w:rPr>
          <w:spacing w:val="-10"/>
          <w:sz w:val="18"/>
          <w:szCs w:val="18"/>
          <w:lang w:val="es-ES_tradnl"/>
        </w:rPr>
        <w:t xml:space="preserve">Salinas, pues, se ha cumplido con el reintegro del legitimado </w:t>
      </w:r>
      <w:r>
        <w:rPr>
          <w:spacing w:val="-9"/>
          <w:sz w:val="18"/>
          <w:szCs w:val="18"/>
          <w:lang w:val="es-ES_tradnl"/>
        </w:rPr>
        <w:t>activo al puesto de trabajo que ven</w:t>
      </w:r>
      <w:r>
        <w:rPr>
          <w:rFonts w:cs="Times New Roman"/>
          <w:spacing w:val="-9"/>
          <w:sz w:val="18"/>
          <w:szCs w:val="18"/>
          <w:lang w:val="es-ES_tradnl"/>
        </w:rPr>
        <w:t>í</w:t>
      </w:r>
      <w:r>
        <w:rPr>
          <w:spacing w:val="-9"/>
          <w:sz w:val="18"/>
          <w:szCs w:val="18"/>
          <w:lang w:val="es-ES_tradnl"/>
        </w:rPr>
        <w:t>a desempe</w:t>
      </w:r>
      <w:r>
        <w:rPr>
          <w:rFonts w:cs="Times New Roman"/>
          <w:spacing w:val="-9"/>
          <w:sz w:val="18"/>
          <w:szCs w:val="18"/>
          <w:lang w:val="es-ES_tradnl"/>
        </w:rPr>
        <w:t>ñ</w:t>
      </w:r>
      <w:r>
        <w:rPr>
          <w:spacing w:val="-9"/>
          <w:sz w:val="18"/>
          <w:szCs w:val="18"/>
          <w:lang w:val="es-ES_tradnl"/>
        </w:rPr>
        <w:t xml:space="preserve">ando antes </w:t>
      </w:r>
      <w:r>
        <w:rPr>
          <w:spacing w:val="-6"/>
          <w:sz w:val="18"/>
          <w:szCs w:val="18"/>
          <w:lang w:val="es-ES_tradnl"/>
        </w:rPr>
        <w:t>de su separaci</w:t>
      </w:r>
      <w:r>
        <w:rPr>
          <w:rFonts w:cs="Times New Roman"/>
          <w:spacing w:val="-6"/>
          <w:sz w:val="18"/>
          <w:szCs w:val="18"/>
          <w:lang w:val="es-ES_tradnl"/>
        </w:rPr>
        <w:t>ó</w:t>
      </w:r>
      <w:r>
        <w:rPr>
          <w:spacing w:val="-6"/>
          <w:sz w:val="18"/>
          <w:szCs w:val="18"/>
          <w:lang w:val="es-ES_tradnl"/>
        </w:rPr>
        <w:t xml:space="preserve">n, conforme se puede verificar en los </w:t>
      </w:r>
      <w:r>
        <w:rPr>
          <w:sz w:val="18"/>
          <w:szCs w:val="18"/>
          <w:lang w:val="es-ES_tradnl"/>
        </w:rPr>
        <w:t>referidos documentos.</w:t>
      </w:r>
    </w:p>
    <w:p w14:paraId="4F67AAF0" w14:textId="77777777" w:rsidR="00591D54" w:rsidRDefault="00591D54">
      <w:pPr>
        <w:shd w:val="clear" w:color="auto" w:fill="FFFFFF"/>
        <w:spacing w:before="192"/>
      </w:pPr>
      <w:r>
        <w:rPr>
          <w:b/>
          <w:bCs/>
          <w:spacing w:val="-11"/>
          <w:sz w:val="18"/>
          <w:szCs w:val="18"/>
          <w:lang w:val="es-ES_tradnl"/>
        </w:rPr>
        <w:t>Respecto del pago de los valores no percibidos</w:t>
      </w:r>
    </w:p>
    <w:p w14:paraId="4F67AAF1" w14:textId="77777777" w:rsidR="00591D54" w:rsidRDefault="00591D54">
      <w:pPr>
        <w:shd w:val="clear" w:color="auto" w:fill="FFFFFF"/>
        <w:spacing w:before="192" w:line="216" w:lineRule="exact"/>
        <w:ind w:right="5"/>
        <w:jc w:val="both"/>
      </w:pPr>
      <w:r>
        <w:rPr>
          <w:spacing w:val="-6"/>
          <w:sz w:val="18"/>
          <w:szCs w:val="18"/>
          <w:lang w:val="es-ES_tradnl"/>
        </w:rPr>
        <w:t>El accionante en el escrito de su demanda, presentado el 11 de enero de 2011, afirm</w:t>
      </w:r>
      <w:r>
        <w:rPr>
          <w:rFonts w:cs="Times New Roman"/>
          <w:spacing w:val="-6"/>
          <w:sz w:val="18"/>
          <w:szCs w:val="18"/>
          <w:lang w:val="es-ES_tradnl"/>
        </w:rPr>
        <w:t>ó</w:t>
      </w:r>
      <w:r>
        <w:rPr>
          <w:spacing w:val="-6"/>
          <w:sz w:val="18"/>
          <w:szCs w:val="18"/>
          <w:lang w:val="es-ES_tradnl"/>
        </w:rPr>
        <w:t xml:space="preserve"> que </w:t>
      </w:r>
      <w:r>
        <w:rPr>
          <w:rFonts w:cs="Times New Roman"/>
          <w:spacing w:val="-6"/>
          <w:sz w:val="18"/>
          <w:szCs w:val="18"/>
          <w:lang w:val="es-ES_tradnl"/>
        </w:rPr>
        <w:t>“</w:t>
      </w:r>
      <w:r>
        <w:rPr>
          <w:spacing w:val="-6"/>
          <w:sz w:val="18"/>
          <w:szCs w:val="18"/>
          <w:lang w:val="es-ES_tradnl"/>
        </w:rPr>
        <w:t>(</w:t>
      </w:r>
      <w:r>
        <w:rPr>
          <w:rFonts w:cs="Times New Roman"/>
          <w:spacing w:val="-6"/>
          <w:sz w:val="18"/>
          <w:szCs w:val="18"/>
          <w:lang w:val="es-ES_tradnl"/>
        </w:rPr>
        <w:t>…</w:t>
      </w:r>
      <w:r>
        <w:rPr>
          <w:spacing w:val="-6"/>
          <w:sz w:val="18"/>
          <w:szCs w:val="18"/>
          <w:lang w:val="es-ES_tradnl"/>
        </w:rPr>
        <w:t xml:space="preserve">) ni me han pagado </w:t>
      </w:r>
      <w:r>
        <w:rPr>
          <w:spacing w:val="-9"/>
          <w:sz w:val="18"/>
          <w:szCs w:val="18"/>
          <w:lang w:val="es-ES_tradnl"/>
        </w:rPr>
        <w:t xml:space="preserve">los valores que me corresponden por sueldos no percibidos </w:t>
      </w:r>
      <w:r>
        <w:rPr>
          <w:spacing w:val="-4"/>
          <w:sz w:val="18"/>
          <w:szCs w:val="18"/>
          <w:lang w:val="es-ES_tradnl"/>
        </w:rPr>
        <w:t xml:space="preserve">desde que fui ilegalmente separado de mi puesto de </w:t>
      </w:r>
      <w:r>
        <w:rPr>
          <w:spacing w:val="-3"/>
          <w:sz w:val="18"/>
          <w:szCs w:val="18"/>
          <w:lang w:val="es-ES_tradnl"/>
        </w:rPr>
        <w:t>trabajo</w:t>
      </w:r>
      <w:r>
        <w:rPr>
          <w:rFonts w:cs="Times New Roman"/>
          <w:spacing w:val="-3"/>
          <w:sz w:val="18"/>
          <w:szCs w:val="18"/>
          <w:lang w:val="es-ES_tradnl"/>
        </w:rPr>
        <w:t>”</w:t>
      </w:r>
      <w:r>
        <w:rPr>
          <w:spacing w:val="-3"/>
          <w:sz w:val="18"/>
          <w:szCs w:val="18"/>
          <w:lang w:val="es-ES_tradnl"/>
        </w:rPr>
        <w:t>; frente a dicha afirmaci</w:t>
      </w:r>
      <w:r>
        <w:rPr>
          <w:rFonts w:cs="Times New Roman"/>
          <w:spacing w:val="-3"/>
          <w:sz w:val="18"/>
          <w:szCs w:val="18"/>
          <w:lang w:val="es-ES_tradnl"/>
        </w:rPr>
        <w:t>ó</w:t>
      </w:r>
      <w:r>
        <w:rPr>
          <w:spacing w:val="-3"/>
          <w:sz w:val="18"/>
          <w:szCs w:val="18"/>
          <w:lang w:val="es-ES_tradnl"/>
        </w:rPr>
        <w:t xml:space="preserve">n, se debe mencionar </w:t>
      </w:r>
      <w:r>
        <w:rPr>
          <w:sz w:val="18"/>
          <w:szCs w:val="18"/>
          <w:lang w:val="es-ES_tradnl"/>
        </w:rPr>
        <w:t xml:space="preserve">que a fojas 66 del expediente, consta el memorando </w:t>
      </w:r>
      <w:r>
        <w:rPr>
          <w:spacing w:val="-5"/>
          <w:sz w:val="18"/>
          <w:szCs w:val="18"/>
          <w:lang w:val="es-ES_tradnl"/>
        </w:rPr>
        <w:t>N.</w:t>
      </w:r>
      <w:r>
        <w:rPr>
          <w:rFonts w:cs="Times New Roman"/>
          <w:spacing w:val="-5"/>
          <w:sz w:val="18"/>
          <w:szCs w:val="18"/>
          <w:lang w:val="es-ES_tradnl"/>
        </w:rPr>
        <w:t>º</w:t>
      </w:r>
      <w:r>
        <w:rPr>
          <w:spacing w:val="-5"/>
          <w:sz w:val="18"/>
          <w:szCs w:val="18"/>
          <w:lang w:val="es-ES_tradnl"/>
        </w:rPr>
        <w:t xml:space="preserve">  0213-HST-DFIN-2015  del  30  de  marzo  de  2015,</w:t>
      </w:r>
    </w:p>
    <w:p w14:paraId="4F67AAF2" w14:textId="77777777" w:rsidR="00591D54" w:rsidRDefault="00591D54">
      <w:pPr>
        <w:shd w:val="clear" w:color="auto" w:fill="FFFFFF"/>
        <w:spacing w:line="216" w:lineRule="exact"/>
        <w:jc w:val="both"/>
      </w:pPr>
      <w:r>
        <w:br w:type="column"/>
      </w:r>
      <w:r>
        <w:rPr>
          <w:spacing w:val="-6"/>
          <w:sz w:val="18"/>
          <w:szCs w:val="18"/>
          <w:lang w:val="es-ES_tradnl"/>
        </w:rPr>
        <w:t>suscrito por el director financiero del Gobierno Aut</w:t>
      </w:r>
      <w:r>
        <w:rPr>
          <w:rFonts w:cs="Times New Roman"/>
          <w:spacing w:val="-6"/>
          <w:sz w:val="18"/>
          <w:szCs w:val="18"/>
          <w:lang w:val="es-ES_tradnl"/>
        </w:rPr>
        <w:t>ó</w:t>
      </w:r>
      <w:r>
        <w:rPr>
          <w:spacing w:val="-6"/>
          <w:sz w:val="18"/>
          <w:szCs w:val="18"/>
          <w:lang w:val="es-ES_tradnl"/>
        </w:rPr>
        <w:t xml:space="preserve">nomo </w:t>
      </w:r>
      <w:r>
        <w:rPr>
          <w:spacing w:val="-5"/>
          <w:sz w:val="18"/>
          <w:szCs w:val="18"/>
          <w:lang w:val="es-ES_tradnl"/>
        </w:rPr>
        <w:t>Descentralizado Municipal del cant</w:t>
      </w:r>
      <w:r>
        <w:rPr>
          <w:rFonts w:cs="Times New Roman"/>
          <w:spacing w:val="-5"/>
          <w:sz w:val="18"/>
          <w:szCs w:val="18"/>
          <w:lang w:val="es-ES_tradnl"/>
        </w:rPr>
        <w:t>ó</w:t>
      </w:r>
      <w:r>
        <w:rPr>
          <w:spacing w:val="-5"/>
          <w:sz w:val="18"/>
          <w:szCs w:val="18"/>
          <w:lang w:val="es-ES_tradnl"/>
        </w:rPr>
        <w:t xml:space="preserve">n Salinas en el cual, </w:t>
      </w:r>
      <w:r>
        <w:rPr>
          <w:spacing w:val="-9"/>
          <w:sz w:val="18"/>
          <w:szCs w:val="18"/>
          <w:lang w:val="es-ES_tradnl"/>
        </w:rPr>
        <w:t>se refiere a la liquidaci</w:t>
      </w:r>
      <w:r>
        <w:rPr>
          <w:rFonts w:cs="Times New Roman"/>
          <w:spacing w:val="-9"/>
          <w:sz w:val="18"/>
          <w:szCs w:val="18"/>
          <w:lang w:val="es-ES_tradnl"/>
        </w:rPr>
        <w:t>ó</w:t>
      </w:r>
      <w:r>
        <w:rPr>
          <w:spacing w:val="-9"/>
          <w:sz w:val="18"/>
          <w:szCs w:val="18"/>
          <w:lang w:val="es-ES_tradnl"/>
        </w:rPr>
        <w:t xml:space="preserve">n y haberes pagados al accionante; </w:t>
      </w:r>
      <w:r>
        <w:rPr>
          <w:spacing w:val="-7"/>
          <w:sz w:val="18"/>
          <w:szCs w:val="18"/>
          <w:lang w:val="es-ES_tradnl"/>
        </w:rPr>
        <w:t xml:space="preserve">en los adjuntos presentados con el referido memorando, </w:t>
      </w:r>
      <w:r>
        <w:rPr>
          <w:spacing w:val="-8"/>
          <w:sz w:val="18"/>
          <w:szCs w:val="18"/>
          <w:lang w:val="es-ES_tradnl"/>
        </w:rPr>
        <w:t xml:space="preserve">constante a fojas 65 del expediente se encuentra el detalle </w:t>
      </w:r>
      <w:r>
        <w:rPr>
          <w:spacing w:val="-9"/>
          <w:sz w:val="18"/>
          <w:szCs w:val="18"/>
          <w:lang w:val="es-ES_tradnl"/>
        </w:rPr>
        <w:t xml:space="preserve">de las transferencias efectuadas al legitimado activo, dentro </w:t>
      </w:r>
      <w:r>
        <w:rPr>
          <w:spacing w:val="-8"/>
          <w:sz w:val="18"/>
          <w:szCs w:val="18"/>
          <w:lang w:val="es-ES_tradnl"/>
        </w:rPr>
        <w:t xml:space="preserve">de las cuales se observa la correspondiente al periodo de </w:t>
      </w:r>
      <w:r>
        <w:rPr>
          <w:spacing w:val="-5"/>
          <w:sz w:val="18"/>
          <w:szCs w:val="18"/>
          <w:lang w:val="es-ES_tradnl"/>
        </w:rPr>
        <w:t xml:space="preserve">septiembre del 2009 a diciembre del 2010, por un valor </w:t>
      </w:r>
      <w:r>
        <w:rPr>
          <w:spacing w:val="-8"/>
          <w:sz w:val="18"/>
          <w:szCs w:val="18"/>
          <w:lang w:val="es-ES_tradnl"/>
        </w:rPr>
        <w:t xml:space="preserve">total de $ 9.466,02 USD, dicho pago corresponde al tiempo </w:t>
      </w:r>
      <w:r>
        <w:rPr>
          <w:spacing w:val="-7"/>
          <w:sz w:val="18"/>
          <w:szCs w:val="18"/>
          <w:lang w:val="es-ES_tradnl"/>
        </w:rPr>
        <w:t>que el accionante dej</w:t>
      </w:r>
      <w:r>
        <w:rPr>
          <w:rFonts w:cs="Times New Roman"/>
          <w:spacing w:val="-7"/>
          <w:sz w:val="18"/>
          <w:szCs w:val="18"/>
          <w:lang w:val="es-ES_tradnl"/>
        </w:rPr>
        <w:t>ó</w:t>
      </w:r>
      <w:r>
        <w:rPr>
          <w:spacing w:val="-7"/>
          <w:sz w:val="18"/>
          <w:szCs w:val="18"/>
          <w:lang w:val="es-ES_tradnl"/>
        </w:rPr>
        <w:t xml:space="preserve"> de trabajar en la referida instituci</w:t>
      </w:r>
      <w:r>
        <w:rPr>
          <w:rFonts w:cs="Times New Roman"/>
          <w:spacing w:val="-7"/>
          <w:sz w:val="18"/>
          <w:szCs w:val="18"/>
          <w:lang w:val="es-ES_tradnl"/>
        </w:rPr>
        <w:t>ó</w:t>
      </w:r>
      <w:r>
        <w:rPr>
          <w:spacing w:val="-7"/>
          <w:sz w:val="18"/>
          <w:szCs w:val="18"/>
          <w:lang w:val="es-ES_tradnl"/>
        </w:rPr>
        <w:t xml:space="preserve">n </w:t>
      </w:r>
      <w:r>
        <w:rPr>
          <w:spacing w:val="-10"/>
          <w:sz w:val="18"/>
          <w:szCs w:val="18"/>
          <w:lang w:val="es-ES_tradnl"/>
        </w:rPr>
        <w:t xml:space="preserve">de igual manera, constan los pagos efectuados desde enero </w:t>
      </w:r>
      <w:r>
        <w:rPr>
          <w:spacing w:val="-9"/>
          <w:sz w:val="18"/>
          <w:szCs w:val="18"/>
          <w:lang w:val="es-ES_tradnl"/>
        </w:rPr>
        <w:t>del a</w:t>
      </w:r>
      <w:r>
        <w:rPr>
          <w:rFonts w:cs="Times New Roman"/>
          <w:spacing w:val="-9"/>
          <w:sz w:val="18"/>
          <w:szCs w:val="18"/>
          <w:lang w:val="es-ES_tradnl"/>
        </w:rPr>
        <w:t>ñ</w:t>
      </w:r>
      <w:r>
        <w:rPr>
          <w:spacing w:val="-9"/>
          <w:sz w:val="18"/>
          <w:szCs w:val="18"/>
          <w:lang w:val="es-ES_tradnl"/>
        </w:rPr>
        <w:t>o 2011 hasta febrero del a</w:t>
      </w:r>
      <w:r>
        <w:rPr>
          <w:rFonts w:cs="Times New Roman"/>
          <w:spacing w:val="-9"/>
          <w:sz w:val="18"/>
          <w:szCs w:val="18"/>
          <w:lang w:val="es-ES_tradnl"/>
        </w:rPr>
        <w:t>ñ</w:t>
      </w:r>
      <w:r>
        <w:rPr>
          <w:spacing w:val="-9"/>
          <w:sz w:val="18"/>
          <w:szCs w:val="18"/>
          <w:lang w:val="es-ES_tradnl"/>
        </w:rPr>
        <w:t xml:space="preserve">o 2015, periodo en el cual el accionante ya se encontraba reintegrado a su puesto de </w:t>
      </w:r>
      <w:r>
        <w:rPr>
          <w:spacing w:val="-6"/>
          <w:sz w:val="18"/>
          <w:szCs w:val="18"/>
          <w:lang w:val="es-ES_tradnl"/>
        </w:rPr>
        <w:t xml:space="preserve">trabajo y dentro del cual se ha desarrollado la presente </w:t>
      </w:r>
      <w:r>
        <w:rPr>
          <w:sz w:val="18"/>
          <w:szCs w:val="18"/>
          <w:lang w:val="es-ES_tradnl"/>
        </w:rPr>
        <w:t>causa.</w:t>
      </w:r>
    </w:p>
    <w:p w14:paraId="4F67AAF3" w14:textId="77777777" w:rsidR="00591D54" w:rsidRDefault="00591D54">
      <w:pPr>
        <w:shd w:val="clear" w:color="auto" w:fill="FFFFFF"/>
        <w:spacing w:before="197" w:line="216" w:lineRule="exact"/>
        <w:jc w:val="both"/>
      </w:pPr>
      <w:r>
        <w:rPr>
          <w:spacing w:val="-5"/>
          <w:sz w:val="18"/>
          <w:szCs w:val="18"/>
          <w:lang w:val="es-ES_tradnl"/>
        </w:rPr>
        <w:t>Como se puede observar, el Gobierno Aut</w:t>
      </w:r>
      <w:r>
        <w:rPr>
          <w:rFonts w:cs="Times New Roman"/>
          <w:spacing w:val="-5"/>
          <w:sz w:val="18"/>
          <w:szCs w:val="18"/>
          <w:lang w:val="es-ES_tradnl"/>
        </w:rPr>
        <w:t>ó</w:t>
      </w:r>
      <w:r>
        <w:rPr>
          <w:spacing w:val="-5"/>
          <w:sz w:val="18"/>
          <w:szCs w:val="18"/>
          <w:lang w:val="es-ES_tradnl"/>
        </w:rPr>
        <w:t xml:space="preserve">nomo </w:t>
      </w:r>
      <w:r>
        <w:rPr>
          <w:spacing w:val="-7"/>
          <w:sz w:val="18"/>
          <w:szCs w:val="18"/>
          <w:lang w:val="es-ES_tradnl"/>
        </w:rPr>
        <w:t>Descentralizado Municipal del cant</w:t>
      </w:r>
      <w:r>
        <w:rPr>
          <w:rFonts w:cs="Times New Roman"/>
          <w:spacing w:val="-7"/>
          <w:sz w:val="18"/>
          <w:szCs w:val="18"/>
          <w:lang w:val="es-ES_tradnl"/>
        </w:rPr>
        <w:t>ó</w:t>
      </w:r>
      <w:r>
        <w:rPr>
          <w:spacing w:val="-7"/>
          <w:sz w:val="18"/>
          <w:szCs w:val="18"/>
          <w:lang w:val="es-ES_tradnl"/>
        </w:rPr>
        <w:t xml:space="preserve">n Salinas ha cumplido </w:t>
      </w:r>
      <w:r>
        <w:rPr>
          <w:spacing w:val="-5"/>
          <w:sz w:val="18"/>
          <w:szCs w:val="18"/>
          <w:lang w:val="es-ES_tradnl"/>
        </w:rPr>
        <w:t>con el pago de los valores adeudados desde la fecha de la separaci</w:t>
      </w:r>
      <w:r>
        <w:rPr>
          <w:rFonts w:cs="Times New Roman"/>
          <w:spacing w:val="-5"/>
          <w:sz w:val="18"/>
          <w:szCs w:val="18"/>
          <w:lang w:val="es-ES_tradnl"/>
        </w:rPr>
        <w:t>ó</w:t>
      </w:r>
      <w:r>
        <w:rPr>
          <w:spacing w:val="-5"/>
          <w:sz w:val="18"/>
          <w:szCs w:val="18"/>
          <w:lang w:val="es-ES_tradnl"/>
        </w:rPr>
        <w:t xml:space="preserve">n laboral del accionante hasta el reintegro </w:t>
      </w:r>
      <w:r>
        <w:rPr>
          <w:spacing w:val="-6"/>
          <w:sz w:val="18"/>
          <w:szCs w:val="18"/>
          <w:lang w:val="es-ES_tradnl"/>
        </w:rPr>
        <w:t xml:space="preserve">efectivo a su lugar de trabajo. Por lo expuesto, no queda </w:t>
      </w:r>
      <w:r>
        <w:rPr>
          <w:spacing w:val="-10"/>
          <w:sz w:val="18"/>
          <w:szCs w:val="18"/>
          <w:lang w:val="es-ES_tradnl"/>
        </w:rPr>
        <w:t>duda alguna de que el Gobierno Aut</w:t>
      </w:r>
      <w:r>
        <w:rPr>
          <w:rFonts w:cs="Times New Roman"/>
          <w:spacing w:val="-10"/>
          <w:sz w:val="18"/>
          <w:szCs w:val="18"/>
          <w:lang w:val="es-ES_tradnl"/>
        </w:rPr>
        <w:t>ó</w:t>
      </w:r>
      <w:r>
        <w:rPr>
          <w:spacing w:val="-10"/>
          <w:sz w:val="18"/>
          <w:szCs w:val="18"/>
          <w:lang w:val="es-ES_tradnl"/>
        </w:rPr>
        <w:t xml:space="preserve">nomo Descentralizado </w:t>
      </w:r>
      <w:r>
        <w:rPr>
          <w:spacing w:val="-6"/>
          <w:sz w:val="18"/>
          <w:szCs w:val="18"/>
          <w:lang w:val="es-ES_tradnl"/>
        </w:rPr>
        <w:t>Municipal del cant</w:t>
      </w:r>
      <w:r>
        <w:rPr>
          <w:rFonts w:cs="Times New Roman"/>
          <w:spacing w:val="-6"/>
          <w:sz w:val="18"/>
          <w:szCs w:val="18"/>
          <w:lang w:val="es-ES_tradnl"/>
        </w:rPr>
        <w:t>ó</w:t>
      </w:r>
      <w:r>
        <w:rPr>
          <w:spacing w:val="-6"/>
          <w:sz w:val="18"/>
          <w:szCs w:val="18"/>
          <w:lang w:val="es-ES_tradnl"/>
        </w:rPr>
        <w:t xml:space="preserve">n Salinas ha dado cabal cumplimiento </w:t>
      </w:r>
      <w:r>
        <w:rPr>
          <w:spacing w:val="-7"/>
          <w:sz w:val="18"/>
          <w:szCs w:val="18"/>
          <w:lang w:val="es-ES_tradnl"/>
        </w:rPr>
        <w:t>a la sentencia dictada el 15 de noviembre de 2010, por el Juzgado D</w:t>
      </w:r>
      <w:r>
        <w:rPr>
          <w:rFonts w:cs="Times New Roman"/>
          <w:spacing w:val="-7"/>
          <w:sz w:val="18"/>
          <w:szCs w:val="18"/>
          <w:lang w:val="es-ES_tradnl"/>
        </w:rPr>
        <w:t>é</w:t>
      </w:r>
      <w:r>
        <w:rPr>
          <w:spacing w:val="-7"/>
          <w:sz w:val="18"/>
          <w:szCs w:val="18"/>
          <w:lang w:val="es-ES_tradnl"/>
        </w:rPr>
        <w:t xml:space="preserve">cimo Sexto de lo Civil de Salinas, dentro de la </w:t>
      </w:r>
      <w:r>
        <w:rPr>
          <w:spacing w:val="-6"/>
          <w:sz w:val="18"/>
          <w:szCs w:val="18"/>
          <w:lang w:val="es-ES_tradnl"/>
        </w:rPr>
        <w:t>acci</w:t>
      </w:r>
      <w:r>
        <w:rPr>
          <w:rFonts w:cs="Times New Roman"/>
          <w:spacing w:val="-6"/>
          <w:sz w:val="18"/>
          <w:szCs w:val="18"/>
          <w:lang w:val="es-ES_tradnl"/>
        </w:rPr>
        <w:t>ó</w:t>
      </w:r>
      <w:r>
        <w:rPr>
          <w:spacing w:val="-6"/>
          <w:sz w:val="18"/>
          <w:szCs w:val="18"/>
          <w:lang w:val="es-ES_tradnl"/>
        </w:rPr>
        <w:t>n de protecci</w:t>
      </w:r>
      <w:r>
        <w:rPr>
          <w:rFonts w:cs="Times New Roman"/>
          <w:spacing w:val="-6"/>
          <w:sz w:val="18"/>
          <w:szCs w:val="18"/>
          <w:lang w:val="es-ES_tradnl"/>
        </w:rPr>
        <w:t>ó</w:t>
      </w:r>
      <w:r>
        <w:rPr>
          <w:spacing w:val="-6"/>
          <w:sz w:val="18"/>
          <w:szCs w:val="18"/>
          <w:lang w:val="es-ES_tradnl"/>
        </w:rPr>
        <w:t>n N.</w:t>
      </w:r>
      <w:r>
        <w:rPr>
          <w:rFonts w:cs="Times New Roman"/>
          <w:spacing w:val="-6"/>
          <w:sz w:val="18"/>
          <w:szCs w:val="18"/>
          <w:lang w:val="es-ES_tradnl"/>
        </w:rPr>
        <w:t>º</w:t>
      </w:r>
      <w:r>
        <w:rPr>
          <w:spacing w:val="-6"/>
          <w:sz w:val="18"/>
          <w:szCs w:val="18"/>
          <w:lang w:val="es-ES_tradnl"/>
        </w:rPr>
        <w:t xml:space="preserve"> 773-2010, pues ha cumplido con </w:t>
      </w:r>
      <w:r>
        <w:rPr>
          <w:spacing w:val="-8"/>
          <w:sz w:val="18"/>
          <w:szCs w:val="18"/>
          <w:lang w:val="es-ES_tradnl"/>
        </w:rPr>
        <w:t>el reintegro laboral del accionante as</w:t>
      </w:r>
      <w:r>
        <w:rPr>
          <w:rFonts w:cs="Times New Roman"/>
          <w:spacing w:val="-8"/>
          <w:sz w:val="18"/>
          <w:szCs w:val="18"/>
          <w:lang w:val="es-ES_tradnl"/>
        </w:rPr>
        <w:t>í</w:t>
      </w:r>
      <w:r>
        <w:rPr>
          <w:spacing w:val="-8"/>
          <w:sz w:val="18"/>
          <w:szCs w:val="18"/>
          <w:lang w:val="es-ES_tradnl"/>
        </w:rPr>
        <w:t xml:space="preserve"> como con el pago de los valores ordenados en la referida sentencia.</w:t>
      </w:r>
    </w:p>
    <w:p w14:paraId="4F67AAF4" w14:textId="77777777" w:rsidR="00591D54" w:rsidRDefault="00591D54">
      <w:pPr>
        <w:shd w:val="clear" w:color="auto" w:fill="FFFFFF"/>
        <w:spacing w:before="197" w:line="216" w:lineRule="exact"/>
        <w:jc w:val="both"/>
      </w:pPr>
      <w:r>
        <w:rPr>
          <w:spacing w:val="-4"/>
          <w:sz w:val="18"/>
          <w:szCs w:val="18"/>
          <w:lang w:val="es-ES_tradnl"/>
        </w:rPr>
        <w:t>En conclusi</w:t>
      </w:r>
      <w:r>
        <w:rPr>
          <w:rFonts w:cs="Times New Roman"/>
          <w:spacing w:val="-4"/>
          <w:sz w:val="18"/>
          <w:szCs w:val="18"/>
          <w:lang w:val="es-ES_tradnl"/>
        </w:rPr>
        <w:t>ó</w:t>
      </w:r>
      <w:r>
        <w:rPr>
          <w:spacing w:val="-4"/>
          <w:sz w:val="18"/>
          <w:szCs w:val="18"/>
          <w:lang w:val="es-ES_tradnl"/>
        </w:rPr>
        <w:t xml:space="preserve">n, esta Corte Constitucional determina que </w:t>
      </w:r>
      <w:r>
        <w:rPr>
          <w:spacing w:val="-6"/>
          <w:sz w:val="18"/>
          <w:szCs w:val="18"/>
          <w:lang w:val="es-ES_tradnl"/>
        </w:rPr>
        <w:t>no existe incumplimiento de la sentencia dictada el 15 de noviembre de 2010, por el Juzgado D</w:t>
      </w:r>
      <w:r>
        <w:rPr>
          <w:rFonts w:cs="Times New Roman"/>
          <w:spacing w:val="-6"/>
          <w:sz w:val="18"/>
          <w:szCs w:val="18"/>
          <w:lang w:val="es-ES_tradnl"/>
        </w:rPr>
        <w:t>é</w:t>
      </w:r>
      <w:r>
        <w:rPr>
          <w:spacing w:val="-6"/>
          <w:sz w:val="18"/>
          <w:szCs w:val="18"/>
          <w:lang w:val="es-ES_tradnl"/>
        </w:rPr>
        <w:t xml:space="preserve">cimo Sexto de lo </w:t>
      </w:r>
      <w:r>
        <w:rPr>
          <w:spacing w:val="-7"/>
          <w:sz w:val="18"/>
          <w:szCs w:val="18"/>
          <w:lang w:val="es-ES_tradnl"/>
        </w:rPr>
        <w:t>Civil de Salinas, dentro de la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n N.</w:t>
      </w:r>
      <w:r>
        <w:rPr>
          <w:rFonts w:cs="Times New Roman"/>
          <w:spacing w:val="-7"/>
          <w:sz w:val="18"/>
          <w:szCs w:val="18"/>
          <w:lang w:val="es-ES_tradnl"/>
        </w:rPr>
        <w:t>º</w:t>
      </w:r>
      <w:r>
        <w:rPr>
          <w:spacing w:val="-7"/>
          <w:sz w:val="18"/>
          <w:szCs w:val="18"/>
          <w:lang w:val="es-ES_tradnl"/>
        </w:rPr>
        <w:t xml:space="preserve"> 773-</w:t>
      </w:r>
      <w:r>
        <w:rPr>
          <w:sz w:val="18"/>
          <w:szCs w:val="18"/>
          <w:lang w:val="es-ES_tradnl"/>
        </w:rPr>
        <w:t>2010.</w:t>
      </w:r>
    </w:p>
    <w:p w14:paraId="4F67AAF5" w14:textId="77777777" w:rsidR="00591D54" w:rsidRDefault="00591D54">
      <w:pPr>
        <w:shd w:val="clear" w:color="auto" w:fill="FFFFFF"/>
        <w:spacing w:before="192"/>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AAF6" w14:textId="77777777" w:rsidR="00591D54" w:rsidRDefault="00591D54">
      <w:pPr>
        <w:shd w:val="clear" w:color="auto" w:fill="FFFFFF"/>
        <w:spacing w:before="192" w:line="216" w:lineRule="exact"/>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5"/>
          <w:sz w:val="18"/>
          <w:szCs w:val="18"/>
          <w:lang w:val="es-ES_tradnl"/>
        </w:rPr>
        <w:t>constitucional y por mandato de la Constituci</w:t>
      </w:r>
      <w:r>
        <w:rPr>
          <w:rFonts w:cs="Times New Roman"/>
          <w:spacing w:val="-5"/>
          <w:sz w:val="18"/>
          <w:szCs w:val="18"/>
          <w:lang w:val="es-ES_tradnl"/>
        </w:rPr>
        <w:t>ó</w:t>
      </w:r>
      <w:r>
        <w:rPr>
          <w:spacing w:val="-5"/>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 xml:space="preserve">blica del Ecuador, el Pleno de la Corte Constitucional </w:t>
      </w:r>
      <w:r>
        <w:rPr>
          <w:sz w:val="18"/>
          <w:szCs w:val="18"/>
          <w:lang w:val="es-ES_tradnl"/>
        </w:rPr>
        <w:t>expide la siguiente:</w:t>
      </w:r>
    </w:p>
    <w:p w14:paraId="4F67AAF7" w14:textId="77777777" w:rsidR="00591D54" w:rsidRDefault="00591D54">
      <w:pPr>
        <w:shd w:val="clear" w:color="auto" w:fill="FFFFFF"/>
        <w:spacing w:before="192"/>
        <w:ind w:left="10"/>
        <w:jc w:val="center"/>
      </w:pPr>
      <w:r>
        <w:rPr>
          <w:b/>
          <w:bCs/>
          <w:sz w:val="18"/>
          <w:szCs w:val="18"/>
          <w:lang w:val="es-ES_tradnl"/>
        </w:rPr>
        <w:t>SENTENCIA</w:t>
      </w:r>
    </w:p>
    <w:p w14:paraId="4F67AAF8" w14:textId="77777777" w:rsidR="00591D54" w:rsidRDefault="00591D54" w:rsidP="00251195">
      <w:pPr>
        <w:numPr>
          <w:ilvl w:val="0"/>
          <w:numId w:val="50"/>
        </w:numPr>
        <w:shd w:val="clear" w:color="auto" w:fill="FFFFFF"/>
        <w:tabs>
          <w:tab w:val="left" w:pos="566"/>
        </w:tabs>
        <w:spacing w:before="192" w:line="216" w:lineRule="exact"/>
        <w:ind w:left="566" w:hanging="283"/>
        <w:jc w:val="both"/>
        <w:rPr>
          <w:spacing w:val="-9"/>
          <w:sz w:val="18"/>
          <w:szCs w:val="18"/>
          <w:lang w:val="es-ES_tradnl"/>
        </w:rPr>
      </w:pPr>
      <w:r>
        <w:rPr>
          <w:spacing w:val="-2"/>
          <w:sz w:val="18"/>
          <w:szCs w:val="18"/>
          <w:lang w:val="es-ES_tradnl"/>
        </w:rPr>
        <w:t xml:space="preserve">Declarar que no existe incumplimiento de la </w:t>
      </w:r>
      <w:r>
        <w:rPr>
          <w:spacing w:val="-7"/>
          <w:sz w:val="18"/>
          <w:szCs w:val="18"/>
          <w:lang w:val="es-ES_tradnl"/>
        </w:rPr>
        <w:t xml:space="preserve">sentencia dictada el 15 de noviembre de 2010, por </w:t>
      </w:r>
      <w:r>
        <w:rPr>
          <w:spacing w:val="-5"/>
          <w:sz w:val="18"/>
          <w:szCs w:val="18"/>
          <w:lang w:val="es-ES_tradnl"/>
        </w:rPr>
        <w:t>el Juzgado D</w:t>
      </w:r>
      <w:r>
        <w:rPr>
          <w:rFonts w:cs="Times New Roman"/>
          <w:spacing w:val="-5"/>
          <w:sz w:val="18"/>
          <w:szCs w:val="18"/>
          <w:lang w:val="es-ES_tradnl"/>
        </w:rPr>
        <w:t>é</w:t>
      </w:r>
      <w:r>
        <w:rPr>
          <w:spacing w:val="-5"/>
          <w:sz w:val="18"/>
          <w:szCs w:val="18"/>
          <w:lang w:val="es-ES_tradnl"/>
        </w:rPr>
        <w:t xml:space="preserve">cimo Sexto de lo Civil de Salinas, </w:t>
      </w:r>
      <w:r>
        <w:rPr>
          <w:spacing w:val="-7"/>
          <w:sz w:val="18"/>
          <w:szCs w:val="18"/>
          <w:lang w:val="es-ES_tradnl"/>
        </w:rPr>
        <w:t>dentro de la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n N.</w:t>
      </w:r>
      <w:r>
        <w:rPr>
          <w:rFonts w:cs="Times New Roman"/>
          <w:spacing w:val="-7"/>
          <w:sz w:val="18"/>
          <w:szCs w:val="18"/>
          <w:lang w:val="es-ES_tradnl"/>
        </w:rPr>
        <w:t>º</w:t>
      </w:r>
      <w:r>
        <w:rPr>
          <w:spacing w:val="-7"/>
          <w:sz w:val="18"/>
          <w:szCs w:val="18"/>
          <w:lang w:val="es-ES_tradnl"/>
        </w:rPr>
        <w:t xml:space="preserve"> 773-2010.</w:t>
      </w:r>
    </w:p>
    <w:p w14:paraId="4F67AAF9" w14:textId="77777777" w:rsidR="00591D54" w:rsidRDefault="00591D54" w:rsidP="00251195">
      <w:pPr>
        <w:numPr>
          <w:ilvl w:val="0"/>
          <w:numId w:val="50"/>
        </w:numPr>
        <w:shd w:val="clear" w:color="auto" w:fill="FFFFFF"/>
        <w:tabs>
          <w:tab w:val="left" w:pos="566"/>
        </w:tabs>
        <w:spacing w:before="197" w:line="216" w:lineRule="exact"/>
        <w:ind w:left="566" w:hanging="283"/>
        <w:jc w:val="both"/>
        <w:rPr>
          <w:spacing w:val="-9"/>
          <w:sz w:val="18"/>
          <w:szCs w:val="18"/>
          <w:lang w:val="es-ES_tradnl"/>
        </w:rPr>
      </w:pPr>
      <w:r>
        <w:rPr>
          <w:spacing w:val="-7"/>
          <w:sz w:val="18"/>
          <w:szCs w:val="18"/>
          <w:lang w:val="es-ES_tradnl"/>
        </w:rPr>
        <w:t>Negar la acci</w:t>
      </w:r>
      <w:r>
        <w:rPr>
          <w:rFonts w:cs="Times New Roman"/>
          <w:spacing w:val="-7"/>
          <w:sz w:val="18"/>
          <w:szCs w:val="18"/>
          <w:lang w:val="es-ES_tradnl"/>
        </w:rPr>
        <w:t>ó</w:t>
      </w:r>
      <w:r>
        <w:rPr>
          <w:spacing w:val="-7"/>
          <w:sz w:val="18"/>
          <w:szCs w:val="18"/>
          <w:lang w:val="es-ES_tradnl"/>
        </w:rPr>
        <w:t xml:space="preserve">n de incumplimiento de la sentencia </w:t>
      </w:r>
      <w:r>
        <w:rPr>
          <w:sz w:val="18"/>
          <w:szCs w:val="18"/>
          <w:lang w:val="es-ES_tradnl"/>
        </w:rPr>
        <w:t>planteada.</w:t>
      </w:r>
    </w:p>
    <w:p w14:paraId="4F67AAFA" w14:textId="77777777" w:rsidR="00591D54" w:rsidRDefault="00591D54">
      <w:pPr>
        <w:shd w:val="clear" w:color="auto" w:fill="FFFFFF"/>
        <w:tabs>
          <w:tab w:val="left" w:pos="566"/>
        </w:tabs>
        <w:spacing w:before="34" w:line="427" w:lineRule="exact"/>
        <w:ind w:right="979" w:firstLine="283"/>
      </w:pPr>
      <w:r>
        <w:rPr>
          <w:spacing w:val="-9"/>
          <w:sz w:val="18"/>
          <w:szCs w:val="18"/>
          <w:lang w:val="es-ES_tradnl"/>
        </w:rPr>
        <w:t>3.</w:t>
      </w:r>
      <w:r>
        <w:rPr>
          <w:sz w:val="18"/>
          <w:szCs w:val="18"/>
          <w:lang w:val="es-ES_tradnl"/>
        </w:rPr>
        <w:tab/>
      </w:r>
      <w:r>
        <w:rPr>
          <w:spacing w:val="-8"/>
          <w:sz w:val="18"/>
          <w:szCs w:val="18"/>
          <w:lang w:val="es-ES_tradnl"/>
        </w:rPr>
        <w:t>Notif</w:t>
      </w:r>
      <w:r>
        <w:rPr>
          <w:rFonts w:cs="Times New Roman"/>
          <w:spacing w:val="-8"/>
          <w:sz w:val="18"/>
          <w:szCs w:val="18"/>
          <w:lang w:val="es-ES_tradnl"/>
        </w:rPr>
        <w:t>í</w:t>
      </w:r>
      <w:r>
        <w:rPr>
          <w:spacing w:val="-8"/>
          <w:sz w:val="18"/>
          <w:szCs w:val="18"/>
          <w:lang w:val="es-ES_tradnl"/>
        </w:rPr>
        <w:t>quese, publ</w:t>
      </w:r>
      <w:r>
        <w:rPr>
          <w:rFonts w:cs="Times New Roman"/>
          <w:spacing w:val="-8"/>
          <w:sz w:val="18"/>
          <w:szCs w:val="18"/>
          <w:lang w:val="es-ES_tradnl"/>
        </w:rPr>
        <w:t>í</w:t>
      </w:r>
      <w:r>
        <w:rPr>
          <w:spacing w:val="-8"/>
          <w:sz w:val="18"/>
          <w:szCs w:val="18"/>
          <w:lang w:val="es-ES_tradnl"/>
        </w:rPr>
        <w:t>quese y c</w:t>
      </w:r>
      <w:r>
        <w:rPr>
          <w:rFonts w:cs="Times New Roman"/>
          <w:spacing w:val="-8"/>
          <w:sz w:val="18"/>
          <w:szCs w:val="18"/>
          <w:lang w:val="es-ES_tradnl"/>
        </w:rPr>
        <w:t>ú</w:t>
      </w:r>
      <w:r>
        <w:rPr>
          <w:spacing w:val="-8"/>
          <w:sz w:val="18"/>
          <w:szCs w:val="18"/>
          <w:lang w:val="es-ES_tradnl"/>
        </w:rPr>
        <w:t>mplase. </w:t>
      </w:r>
      <w:r>
        <w:rPr>
          <w:spacing w:val="-5"/>
          <w:sz w:val="18"/>
          <w:szCs w:val="18"/>
          <w:lang w:val="es-ES_tradnl"/>
        </w:rPr>
        <w:t>f.) Patricio Pazmi</w:t>
      </w:r>
      <w:r>
        <w:rPr>
          <w:rFonts w:cs="Times New Roman"/>
          <w:spacing w:val="-5"/>
          <w:sz w:val="18"/>
          <w:szCs w:val="18"/>
          <w:lang w:val="es-ES_tradnl"/>
        </w:rPr>
        <w:t>ñ</w:t>
      </w:r>
      <w:r>
        <w:rPr>
          <w:spacing w:val="-5"/>
          <w:sz w:val="18"/>
          <w:szCs w:val="18"/>
          <w:lang w:val="es-ES_tradnl"/>
        </w:rPr>
        <w:t xml:space="preserve">o Freire, </w:t>
      </w:r>
      <w:r>
        <w:rPr>
          <w:b/>
          <w:bCs/>
          <w:spacing w:val="-5"/>
          <w:sz w:val="18"/>
          <w:szCs w:val="18"/>
          <w:lang w:val="es-ES_tradnl"/>
        </w:rPr>
        <w:t>PRESIDENTE.</w:t>
      </w:r>
    </w:p>
    <w:p w14:paraId="4F67AAFB" w14:textId="77777777" w:rsidR="00591D54" w:rsidRDefault="00591D54">
      <w:pPr>
        <w:shd w:val="clear" w:color="auto" w:fill="FFFFFF"/>
        <w:spacing w:line="427" w:lineRule="exact"/>
      </w:pPr>
      <w:r>
        <w:rPr>
          <w:spacing w:val="-4"/>
          <w:sz w:val="18"/>
          <w:szCs w:val="18"/>
          <w:lang w:val="es-ES_tradnl"/>
        </w:rPr>
        <w:t xml:space="preserve">f.) Jaime Pozo Chamorro, </w:t>
      </w:r>
      <w:r>
        <w:rPr>
          <w:b/>
          <w:bCs/>
          <w:spacing w:val="-4"/>
          <w:sz w:val="18"/>
          <w:szCs w:val="18"/>
          <w:lang w:val="es-ES_tradnl"/>
        </w:rPr>
        <w:t>SECRETARIO GENERAL.</w:t>
      </w:r>
    </w:p>
    <w:p w14:paraId="4F67AAFC" w14:textId="77777777" w:rsidR="00591D54" w:rsidRDefault="00591D54">
      <w:pPr>
        <w:shd w:val="clear" w:color="auto" w:fill="FFFFFF"/>
        <w:spacing w:before="163" w:line="216" w:lineRule="exact"/>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aprobada por el Pleno de la Corte Constitucional, con ocho </w:t>
      </w:r>
      <w:r>
        <w:rPr>
          <w:spacing w:val="-10"/>
          <w:sz w:val="18"/>
          <w:szCs w:val="18"/>
          <w:lang w:val="es-ES_tradnl"/>
        </w:rPr>
        <w:t xml:space="preserve">votos a favor, de las juezas y jueces Antonio Gagliardo Loor, </w:t>
      </w:r>
      <w:r>
        <w:rPr>
          <w:spacing w:val="-4"/>
          <w:sz w:val="18"/>
          <w:szCs w:val="18"/>
          <w:lang w:val="es-ES_tradnl"/>
        </w:rPr>
        <w:t>Marcelo Jaramillo Villa, Mar</w:t>
      </w:r>
      <w:r>
        <w:rPr>
          <w:rFonts w:cs="Times New Roman"/>
          <w:spacing w:val="-4"/>
          <w:sz w:val="18"/>
          <w:szCs w:val="18"/>
          <w:lang w:val="es-ES_tradnl"/>
        </w:rPr>
        <w:t>í</w:t>
      </w:r>
      <w:r>
        <w:rPr>
          <w:spacing w:val="-4"/>
          <w:sz w:val="18"/>
          <w:szCs w:val="18"/>
          <w:lang w:val="es-ES_tradnl"/>
        </w:rPr>
        <w:t xml:space="preserve">a del Carmen Maldonado </w:t>
      </w:r>
      <w:r>
        <w:rPr>
          <w:spacing w:val="-7"/>
          <w:sz w:val="18"/>
          <w:szCs w:val="18"/>
          <w:lang w:val="es-ES_tradnl"/>
        </w:rPr>
        <w:t>S</w:t>
      </w:r>
      <w:r>
        <w:rPr>
          <w:rFonts w:cs="Times New Roman"/>
          <w:spacing w:val="-7"/>
          <w:sz w:val="18"/>
          <w:szCs w:val="18"/>
          <w:lang w:val="es-ES_tradnl"/>
        </w:rPr>
        <w:t>á</w:t>
      </w:r>
      <w:r>
        <w:rPr>
          <w:spacing w:val="-7"/>
          <w:sz w:val="18"/>
          <w:szCs w:val="18"/>
          <w:lang w:val="es-ES_tradnl"/>
        </w:rPr>
        <w:t>nchez, Tatiana Orde</w:t>
      </w:r>
      <w:r>
        <w:rPr>
          <w:rFonts w:cs="Times New Roman"/>
          <w:spacing w:val="-7"/>
          <w:sz w:val="18"/>
          <w:szCs w:val="18"/>
          <w:lang w:val="es-ES_tradnl"/>
        </w:rPr>
        <w:t>ñ</w:t>
      </w:r>
      <w:r>
        <w:rPr>
          <w:spacing w:val="-7"/>
          <w:sz w:val="18"/>
          <w:szCs w:val="18"/>
          <w:lang w:val="es-ES_tradnl"/>
        </w:rPr>
        <w:t>ana Sierra, Alfredo Ruiz Guzm</w:t>
      </w:r>
      <w:r>
        <w:rPr>
          <w:rFonts w:cs="Times New Roman"/>
          <w:spacing w:val="-7"/>
          <w:sz w:val="18"/>
          <w:szCs w:val="18"/>
          <w:lang w:val="es-ES_tradnl"/>
        </w:rPr>
        <w:t>á</w:t>
      </w:r>
      <w:r>
        <w:rPr>
          <w:spacing w:val="-7"/>
          <w:sz w:val="18"/>
          <w:szCs w:val="18"/>
          <w:lang w:val="es-ES_tradnl"/>
        </w:rPr>
        <w:t>n,</w:t>
      </w:r>
    </w:p>
    <w:p w14:paraId="4F67AAFD" w14:textId="77777777" w:rsidR="00591D54" w:rsidRDefault="00591D54">
      <w:pPr>
        <w:shd w:val="clear" w:color="auto" w:fill="FFFFFF"/>
        <w:spacing w:before="163" w:line="216" w:lineRule="exact"/>
        <w:jc w:val="both"/>
        <w:sectPr w:rsidR="00591D54">
          <w:type w:val="continuous"/>
          <w:pgSz w:w="11909" w:h="16834"/>
          <w:pgMar w:top="1368" w:right="1309" w:bottom="360" w:left="1308" w:header="720" w:footer="720" w:gutter="0"/>
          <w:cols w:num="2" w:space="720" w:equalWidth="0">
            <w:col w:w="4310" w:space="677"/>
            <w:col w:w="4305"/>
          </w:cols>
          <w:noEndnote/>
        </w:sectPr>
      </w:pPr>
    </w:p>
    <w:p w14:paraId="4F67AAFE" w14:textId="77777777" w:rsidR="00591D54" w:rsidRDefault="00591D54">
      <w:pPr>
        <w:shd w:val="clear" w:color="auto" w:fill="FFFFFF"/>
        <w:tabs>
          <w:tab w:val="left" w:pos="595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- 91</w:t>
      </w:r>
    </w:p>
    <w:p w14:paraId="4F67AAFF" w14:textId="77777777" w:rsidR="00591D54" w:rsidRDefault="00591D54">
      <w:pPr>
        <w:shd w:val="clear" w:color="auto" w:fill="FFFFFF"/>
        <w:tabs>
          <w:tab w:val="left" w:pos="5952"/>
        </w:tabs>
        <w:spacing w:after="235"/>
        <w:ind w:left="5"/>
        <w:sectPr w:rsidR="00591D54">
          <w:pgSz w:w="11909" w:h="16834"/>
          <w:pgMar w:top="1371" w:right="1309" w:bottom="360" w:left="1308" w:header="720" w:footer="720" w:gutter="0"/>
          <w:cols w:space="60"/>
          <w:noEndnote/>
        </w:sectPr>
      </w:pPr>
    </w:p>
    <w:p w14:paraId="4F67AB00" w14:textId="77777777" w:rsidR="00591D54" w:rsidRDefault="00591D54">
      <w:pPr>
        <w:shd w:val="clear" w:color="auto" w:fill="FFFFFF"/>
        <w:spacing w:line="216" w:lineRule="exact"/>
        <w:ind w:right="14"/>
        <w:jc w:val="both"/>
      </w:pPr>
      <w:r>
        <w:rPr>
          <w:spacing w:val="-3"/>
          <w:sz w:val="18"/>
          <w:szCs w:val="18"/>
          <w:lang w:val="es-ES_tradnl"/>
        </w:rPr>
        <w:t xml:space="preserve">Ruth Seni Pinoargote, Manuel Viteri Olvera y Patricio </w:t>
      </w:r>
      <w:r>
        <w:rPr>
          <w:spacing w:val="-6"/>
          <w:sz w:val="18"/>
          <w:szCs w:val="18"/>
          <w:lang w:val="es-ES_tradnl"/>
        </w:rPr>
        <w:t>Pazmi</w:t>
      </w:r>
      <w:r>
        <w:rPr>
          <w:rFonts w:cs="Times New Roman"/>
          <w:spacing w:val="-6"/>
          <w:sz w:val="18"/>
          <w:szCs w:val="18"/>
          <w:lang w:val="es-ES_tradnl"/>
        </w:rPr>
        <w:t>ñ</w:t>
      </w:r>
      <w:r>
        <w:rPr>
          <w:spacing w:val="-6"/>
          <w:sz w:val="18"/>
          <w:szCs w:val="18"/>
          <w:lang w:val="es-ES_tradnl"/>
        </w:rPr>
        <w:t xml:space="preserve">o Freire, sin contar con la presencia de la jueza </w:t>
      </w:r>
      <w:r>
        <w:rPr>
          <w:spacing w:val="-9"/>
          <w:sz w:val="18"/>
          <w:szCs w:val="18"/>
          <w:lang w:val="es-ES_tradnl"/>
        </w:rPr>
        <w:t>Wendy Molina Andrade, en sesi</w:t>
      </w:r>
      <w:r>
        <w:rPr>
          <w:rFonts w:cs="Times New Roman"/>
          <w:spacing w:val="-9"/>
          <w:sz w:val="18"/>
          <w:szCs w:val="18"/>
          <w:lang w:val="es-ES_tradnl"/>
        </w:rPr>
        <w:t>ó</w:t>
      </w:r>
      <w:r>
        <w:rPr>
          <w:spacing w:val="-9"/>
          <w:sz w:val="18"/>
          <w:szCs w:val="18"/>
          <w:lang w:val="es-ES_tradnl"/>
        </w:rPr>
        <w:t xml:space="preserve">n de 02 de septiembre del </w:t>
      </w:r>
      <w:r>
        <w:rPr>
          <w:sz w:val="18"/>
          <w:szCs w:val="18"/>
          <w:lang w:val="es-ES_tradnl"/>
        </w:rPr>
        <w:t>2015. Lo certifico.</w:t>
      </w:r>
    </w:p>
    <w:p w14:paraId="4F67AB01" w14:textId="77777777" w:rsidR="00591D54" w:rsidRDefault="00591D54">
      <w:pPr>
        <w:shd w:val="clear" w:color="auto" w:fill="FFFFFF"/>
        <w:spacing w:before="192"/>
      </w:pPr>
      <w:r>
        <w:rPr>
          <w:spacing w:val="-4"/>
          <w:sz w:val="18"/>
          <w:szCs w:val="18"/>
          <w:lang w:val="es-ES_tradnl"/>
        </w:rPr>
        <w:t xml:space="preserve">f.) Jaime Pozo Chamorro, </w:t>
      </w:r>
      <w:r>
        <w:rPr>
          <w:b/>
          <w:bCs/>
          <w:spacing w:val="-4"/>
          <w:sz w:val="18"/>
          <w:szCs w:val="18"/>
          <w:lang w:val="es-ES_tradnl"/>
        </w:rPr>
        <w:t>SECRETARIO GENERAL.</w:t>
      </w:r>
    </w:p>
    <w:p w14:paraId="4F67AB02" w14:textId="77777777" w:rsidR="00591D54" w:rsidRDefault="00591D54">
      <w:pPr>
        <w:shd w:val="clear" w:color="auto" w:fill="FFFFFF"/>
        <w:spacing w:before="192" w:line="216" w:lineRule="exact"/>
        <w:ind w:right="14"/>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AB03" w14:textId="77777777" w:rsidR="00591D54" w:rsidRDefault="00591D54">
      <w:pPr>
        <w:shd w:val="clear" w:color="auto" w:fill="FFFFFF"/>
        <w:spacing w:before="192"/>
      </w:pPr>
      <w:r>
        <w:rPr>
          <w:b/>
          <w:bCs/>
          <w:spacing w:val="-5"/>
          <w:sz w:val="18"/>
          <w:szCs w:val="18"/>
          <w:u w:val="single"/>
          <w:lang w:val="es-ES_tradnl"/>
        </w:rPr>
        <w:t>CASO Nro. 0005-11-IS</w:t>
      </w:r>
    </w:p>
    <w:p w14:paraId="4F67AB04" w14:textId="77777777" w:rsidR="00591D54" w:rsidRDefault="00591D54">
      <w:pPr>
        <w:shd w:val="clear" w:color="auto" w:fill="FFFFFF"/>
        <w:spacing w:before="192" w:line="216" w:lineRule="exact"/>
        <w:ind w:right="19"/>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w:t>
      </w:r>
      <w:r>
        <w:rPr>
          <w:spacing w:val="-7"/>
          <w:sz w:val="18"/>
          <w:szCs w:val="18"/>
          <w:lang w:val="es-ES_tradnl"/>
        </w:rPr>
        <w:t>suscrita por el Juez Patricio Pazmi</w:t>
      </w:r>
      <w:r>
        <w:rPr>
          <w:rFonts w:cs="Times New Roman"/>
          <w:spacing w:val="-7"/>
          <w:sz w:val="18"/>
          <w:szCs w:val="18"/>
          <w:lang w:val="es-ES_tradnl"/>
        </w:rPr>
        <w:t>ñ</w:t>
      </w:r>
      <w:r>
        <w:rPr>
          <w:spacing w:val="-7"/>
          <w:sz w:val="18"/>
          <w:szCs w:val="18"/>
          <w:lang w:val="es-ES_tradnl"/>
        </w:rPr>
        <w:t>o Freire, Presidente de la Corte Constitucional, el d</w:t>
      </w:r>
      <w:r>
        <w:rPr>
          <w:rFonts w:cs="Times New Roman"/>
          <w:spacing w:val="-7"/>
          <w:sz w:val="18"/>
          <w:szCs w:val="18"/>
          <w:lang w:val="es-ES_tradnl"/>
        </w:rPr>
        <w:t>í</w:t>
      </w:r>
      <w:r>
        <w:rPr>
          <w:spacing w:val="-7"/>
          <w:sz w:val="18"/>
          <w:szCs w:val="18"/>
          <w:lang w:val="es-ES_tradnl"/>
        </w:rPr>
        <w:t xml:space="preserve">a lunes 07 de septiembre del </w:t>
      </w:r>
      <w:r>
        <w:rPr>
          <w:sz w:val="18"/>
          <w:szCs w:val="18"/>
          <w:lang w:val="es-ES_tradnl"/>
        </w:rPr>
        <w:t>dos mil quince.- Lo certifico.</w:t>
      </w:r>
    </w:p>
    <w:p w14:paraId="4F67AB05" w14:textId="77777777" w:rsidR="00591D54" w:rsidRDefault="00591D54">
      <w:pPr>
        <w:shd w:val="clear" w:color="auto" w:fill="FFFFFF"/>
        <w:spacing w:before="192"/>
      </w:pPr>
      <w:r>
        <w:rPr>
          <w:spacing w:val="-7"/>
          <w:sz w:val="18"/>
          <w:szCs w:val="18"/>
          <w:lang w:val="es-ES_tradnl"/>
        </w:rPr>
        <w:t xml:space="preserve">f.) Jaime Pozo Chamorro, </w:t>
      </w:r>
      <w:r>
        <w:rPr>
          <w:b/>
          <w:bCs/>
          <w:spacing w:val="-7"/>
          <w:sz w:val="18"/>
          <w:szCs w:val="18"/>
          <w:lang w:val="es-ES_tradnl"/>
        </w:rPr>
        <w:t>Secretario General.</w:t>
      </w:r>
    </w:p>
    <w:p w14:paraId="4F67AB06" w14:textId="77777777" w:rsidR="00591D54" w:rsidRDefault="00591D54">
      <w:pPr>
        <w:shd w:val="clear" w:color="auto" w:fill="FFFFFF"/>
        <w:spacing w:before="187" w:line="216" w:lineRule="exact"/>
        <w:ind w:right="14"/>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AB07" w14:textId="77777777" w:rsidR="00591D54" w:rsidRDefault="00591D54">
      <w:pPr>
        <w:shd w:val="clear" w:color="auto" w:fill="FFFFFF"/>
        <w:spacing w:before="1070" w:line="442" w:lineRule="exact"/>
        <w:ind w:left="14"/>
      </w:pPr>
      <w:r>
        <w:rPr>
          <w:spacing w:val="-6"/>
          <w:sz w:val="18"/>
          <w:szCs w:val="18"/>
          <w:lang w:val="es-ES_tradnl"/>
        </w:rPr>
        <w:t>Quito, D. M., 25 de marzo del 2015</w:t>
      </w:r>
    </w:p>
    <w:p w14:paraId="4F67AB08" w14:textId="77777777" w:rsidR="00591D54" w:rsidRDefault="00591D54">
      <w:pPr>
        <w:shd w:val="clear" w:color="auto" w:fill="FFFFFF"/>
        <w:spacing w:line="442" w:lineRule="exact"/>
        <w:ind w:left="854"/>
      </w:pPr>
      <w:r>
        <w:rPr>
          <w:b/>
          <w:bCs/>
          <w:spacing w:val="-3"/>
          <w:sz w:val="18"/>
          <w:szCs w:val="18"/>
          <w:u w:val="single"/>
          <w:lang w:val="es-ES_tradnl"/>
        </w:rPr>
        <w:t>SENTENCIA N.</w:t>
      </w:r>
      <w:r>
        <w:rPr>
          <w:rFonts w:cs="Times New Roman"/>
          <w:b/>
          <w:bCs/>
          <w:spacing w:val="-3"/>
          <w:sz w:val="18"/>
          <w:szCs w:val="18"/>
          <w:u w:val="single"/>
          <w:lang w:val="es-ES_tradnl"/>
        </w:rPr>
        <w:t>°</w:t>
      </w:r>
      <w:r>
        <w:rPr>
          <w:b/>
          <w:bCs/>
          <w:spacing w:val="-3"/>
          <w:sz w:val="18"/>
          <w:szCs w:val="18"/>
          <w:u w:val="single"/>
          <w:lang w:val="es-ES_tradnl"/>
        </w:rPr>
        <w:t xml:space="preserve"> 078-15-SEP-CC</w:t>
      </w:r>
    </w:p>
    <w:p w14:paraId="4F67AB09" w14:textId="77777777" w:rsidR="00591D54" w:rsidRDefault="00591D54">
      <w:pPr>
        <w:shd w:val="clear" w:color="auto" w:fill="FFFFFF"/>
        <w:spacing w:line="442" w:lineRule="exact"/>
        <w:ind w:left="1301"/>
      </w:pPr>
      <w:r>
        <w:rPr>
          <w:b/>
          <w:bCs/>
          <w:spacing w:val="-5"/>
          <w:sz w:val="18"/>
          <w:szCs w:val="18"/>
          <w:u w:val="single"/>
          <w:lang w:val="es-ES_tradnl"/>
        </w:rPr>
        <w:t>CASO N.</w:t>
      </w:r>
      <w:r>
        <w:rPr>
          <w:rFonts w:cs="Times New Roman"/>
          <w:b/>
          <w:bCs/>
          <w:spacing w:val="-5"/>
          <w:sz w:val="18"/>
          <w:szCs w:val="18"/>
          <w:u w:val="single"/>
          <w:lang w:val="es-ES_tradnl"/>
        </w:rPr>
        <w:t>°</w:t>
      </w:r>
      <w:r>
        <w:rPr>
          <w:b/>
          <w:bCs/>
          <w:spacing w:val="-5"/>
          <w:sz w:val="18"/>
          <w:szCs w:val="18"/>
          <w:u w:val="single"/>
          <w:lang w:val="es-ES_tradnl"/>
        </w:rPr>
        <w:t xml:space="preserve"> 0788-14-EP</w:t>
      </w:r>
    </w:p>
    <w:p w14:paraId="4F67AB0A" w14:textId="77777777" w:rsidR="00591D54" w:rsidRDefault="00591D54">
      <w:pPr>
        <w:shd w:val="clear" w:color="auto" w:fill="FFFFFF"/>
        <w:spacing w:line="442" w:lineRule="exact"/>
        <w:ind w:left="307"/>
      </w:pPr>
      <w:r>
        <w:rPr>
          <w:b/>
          <w:bCs/>
          <w:sz w:val="18"/>
          <w:szCs w:val="18"/>
          <w:lang w:val="es-ES_tradnl"/>
        </w:rPr>
        <w:t>CORTE CONSTITUCIONAL DEL ECUADOR</w:t>
      </w:r>
    </w:p>
    <w:p w14:paraId="4F67AB0B" w14:textId="77777777" w:rsidR="00591D54" w:rsidRDefault="00591D54">
      <w:pPr>
        <w:shd w:val="clear" w:color="auto" w:fill="FFFFFF"/>
        <w:spacing w:line="442" w:lineRule="exact"/>
        <w:ind w:left="1349"/>
      </w:pPr>
      <w:r>
        <w:rPr>
          <w:b/>
          <w:bCs/>
          <w:sz w:val="18"/>
          <w:szCs w:val="18"/>
          <w:lang w:val="es-ES_tradnl"/>
        </w:rPr>
        <w:t>I. ANTECEDENTES</w:t>
      </w:r>
    </w:p>
    <w:p w14:paraId="4F67AB0C" w14:textId="77777777" w:rsidR="00591D54" w:rsidRDefault="00591D54">
      <w:pPr>
        <w:shd w:val="clear" w:color="auto" w:fill="FFFFFF"/>
        <w:spacing w:line="442" w:lineRule="exact"/>
        <w:ind w:left="14"/>
      </w:pPr>
      <w:r>
        <w:rPr>
          <w:b/>
          <w:bCs/>
          <w:spacing w:val="-9"/>
          <w:sz w:val="18"/>
          <w:szCs w:val="18"/>
          <w:lang w:val="es-ES_tradnl"/>
        </w:rPr>
        <w:t>Resumen de admisibilidad</w:t>
      </w:r>
    </w:p>
    <w:p w14:paraId="4F67AB0D" w14:textId="77777777" w:rsidR="00591D54" w:rsidRDefault="00591D54">
      <w:pPr>
        <w:shd w:val="clear" w:color="auto" w:fill="FFFFFF"/>
        <w:spacing w:before="173" w:line="226" w:lineRule="exact"/>
        <w:ind w:left="14"/>
        <w:jc w:val="both"/>
      </w:pPr>
      <w:r>
        <w:rPr>
          <w:spacing w:val="-5"/>
          <w:sz w:val="18"/>
          <w:szCs w:val="18"/>
          <w:lang w:val="es-ES_tradnl"/>
        </w:rPr>
        <w:t>El 07 de mayo de 2014, el se</w:t>
      </w:r>
      <w:r>
        <w:rPr>
          <w:rFonts w:cs="Times New Roman"/>
          <w:spacing w:val="-5"/>
          <w:sz w:val="18"/>
          <w:szCs w:val="18"/>
          <w:lang w:val="es-ES_tradnl"/>
        </w:rPr>
        <w:t>ñ</w:t>
      </w:r>
      <w:r>
        <w:rPr>
          <w:spacing w:val="-5"/>
          <w:sz w:val="18"/>
          <w:szCs w:val="18"/>
          <w:lang w:val="es-ES_tradnl"/>
        </w:rPr>
        <w:t>or Henry An</w:t>
      </w:r>
      <w:r>
        <w:rPr>
          <w:rFonts w:cs="Times New Roman"/>
          <w:spacing w:val="-5"/>
          <w:sz w:val="18"/>
          <w:szCs w:val="18"/>
          <w:lang w:val="es-ES_tradnl"/>
        </w:rPr>
        <w:t>í</w:t>
      </w:r>
      <w:r>
        <w:rPr>
          <w:spacing w:val="-5"/>
          <w:sz w:val="18"/>
          <w:szCs w:val="18"/>
          <w:lang w:val="es-ES_tradnl"/>
        </w:rPr>
        <w:t xml:space="preserve">bal Ayala </w:t>
      </w:r>
      <w:r>
        <w:rPr>
          <w:spacing w:val="-7"/>
          <w:sz w:val="18"/>
          <w:szCs w:val="18"/>
          <w:lang w:val="es-ES_tradnl"/>
        </w:rPr>
        <w:t>Espinoza, en calidad de gerente general y representante legal de la compa</w:t>
      </w:r>
      <w:r>
        <w:rPr>
          <w:rFonts w:cs="Times New Roman"/>
          <w:spacing w:val="-7"/>
          <w:sz w:val="18"/>
          <w:szCs w:val="18"/>
          <w:lang w:val="es-ES_tradnl"/>
        </w:rPr>
        <w:t>ñí</w:t>
      </w:r>
      <w:r>
        <w:rPr>
          <w:spacing w:val="-7"/>
          <w:sz w:val="18"/>
          <w:szCs w:val="18"/>
          <w:lang w:val="es-ES_tradnl"/>
        </w:rPr>
        <w:t>a Denegsa S. A., present</w:t>
      </w:r>
      <w:r>
        <w:rPr>
          <w:rFonts w:cs="Times New Roman"/>
          <w:spacing w:val="-7"/>
          <w:sz w:val="18"/>
          <w:szCs w:val="18"/>
          <w:lang w:val="es-ES_tradnl"/>
        </w:rPr>
        <w:t>ó</w:t>
      </w:r>
      <w:r>
        <w:rPr>
          <w:spacing w:val="-7"/>
          <w:sz w:val="18"/>
          <w:szCs w:val="18"/>
          <w:lang w:val="es-ES_tradnl"/>
        </w:rPr>
        <w:t xml:space="preserve"> acci</w:t>
      </w:r>
      <w:r>
        <w:rPr>
          <w:rFonts w:cs="Times New Roman"/>
          <w:spacing w:val="-7"/>
          <w:sz w:val="18"/>
          <w:szCs w:val="18"/>
          <w:lang w:val="es-ES_tradnl"/>
        </w:rPr>
        <w:t>ó</w:t>
      </w:r>
      <w:r>
        <w:rPr>
          <w:spacing w:val="-7"/>
          <w:sz w:val="18"/>
          <w:szCs w:val="18"/>
          <w:lang w:val="es-ES_tradnl"/>
        </w:rPr>
        <w:t xml:space="preserve">n </w:t>
      </w:r>
      <w:r>
        <w:rPr>
          <w:spacing w:val="-3"/>
          <w:sz w:val="18"/>
          <w:szCs w:val="18"/>
          <w:lang w:val="es-ES_tradnl"/>
        </w:rPr>
        <w:t>extraordinaria de protecci</w:t>
      </w:r>
      <w:r>
        <w:rPr>
          <w:rFonts w:cs="Times New Roman"/>
          <w:spacing w:val="-3"/>
          <w:sz w:val="18"/>
          <w:szCs w:val="18"/>
          <w:lang w:val="es-ES_tradnl"/>
        </w:rPr>
        <w:t>ó</w:t>
      </w:r>
      <w:r>
        <w:rPr>
          <w:spacing w:val="-3"/>
          <w:sz w:val="18"/>
          <w:szCs w:val="18"/>
          <w:lang w:val="es-ES_tradnl"/>
        </w:rPr>
        <w:t>n en contra de la decisi</w:t>
      </w:r>
      <w:r>
        <w:rPr>
          <w:rFonts w:cs="Times New Roman"/>
          <w:spacing w:val="-3"/>
          <w:sz w:val="18"/>
          <w:szCs w:val="18"/>
          <w:lang w:val="es-ES_tradnl"/>
        </w:rPr>
        <w:t>ó</w:t>
      </w:r>
      <w:r>
        <w:rPr>
          <w:spacing w:val="-3"/>
          <w:sz w:val="18"/>
          <w:szCs w:val="18"/>
          <w:lang w:val="es-ES_tradnl"/>
        </w:rPr>
        <w:t xml:space="preserve">n </w:t>
      </w:r>
      <w:r>
        <w:rPr>
          <w:spacing w:val="-8"/>
          <w:sz w:val="18"/>
          <w:szCs w:val="18"/>
          <w:lang w:val="es-ES_tradnl"/>
        </w:rPr>
        <w:t xml:space="preserve">judicial del 12 de febrero de 2014, dictada por la Sala </w:t>
      </w:r>
      <w:r>
        <w:rPr>
          <w:rFonts w:cs="Times New Roman"/>
          <w:spacing w:val="-8"/>
          <w:sz w:val="18"/>
          <w:szCs w:val="18"/>
          <w:lang w:val="es-ES_tradnl"/>
        </w:rPr>
        <w:t>Ú</w:t>
      </w:r>
      <w:r>
        <w:rPr>
          <w:spacing w:val="-8"/>
          <w:sz w:val="18"/>
          <w:szCs w:val="18"/>
          <w:lang w:val="es-ES_tradnl"/>
        </w:rPr>
        <w:t xml:space="preserve">nica </w:t>
      </w:r>
      <w:r>
        <w:rPr>
          <w:spacing w:val="-7"/>
          <w:sz w:val="18"/>
          <w:szCs w:val="18"/>
          <w:lang w:val="es-ES_tradnl"/>
        </w:rPr>
        <w:t xml:space="preserve">de la Corte Provincial de Justicia de Santo Domingo de los </w:t>
      </w:r>
      <w:r>
        <w:rPr>
          <w:spacing w:val="-5"/>
          <w:sz w:val="18"/>
          <w:szCs w:val="18"/>
          <w:lang w:val="es-ES_tradnl"/>
        </w:rPr>
        <w:t>Ts</w:t>
      </w:r>
      <w:r>
        <w:rPr>
          <w:rFonts w:cs="Times New Roman"/>
          <w:spacing w:val="-5"/>
          <w:sz w:val="18"/>
          <w:szCs w:val="18"/>
          <w:lang w:val="es-ES_tradnl"/>
        </w:rPr>
        <w:t>á</w:t>
      </w:r>
      <w:r>
        <w:rPr>
          <w:spacing w:val="-5"/>
          <w:sz w:val="18"/>
          <w:szCs w:val="18"/>
          <w:lang w:val="es-ES_tradnl"/>
        </w:rPr>
        <w:t>chilas, en el juicio ordinario signado con el N.</w:t>
      </w:r>
      <w:r>
        <w:rPr>
          <w:rFonts w:cs="Times New Roman"/>
          <w:spacing w:val="-5"/>
          <w:sz w:val="18"/>
          <w:szCs w:val="18"/>
          <w:lang w:val="es-ES_tradnl"/>
        </w:rPr>
        <w:t>°</w:t>
      </w:r>
      <w:r>
        <w:rPr>
          <w:spacing w:val="-5"/>
          <w:sz w:val="18"/>
          <w:szCs w:val="18"/>
          <w:lang w:val="es-ES_tradnl"/>
        </w:rPr>
        <w:t xml:space="preserve"> 0029-</w:t>
      </w:r>
      <w:r>
        <w:rPr>
          <w:sz w:val="18"/>
          <w:szCs w:val="18"/>
          <w:lang w:val="es-ES_tradnl"/>
        </w:rPr>
        <w:t>2013.</w:t>
      </w:r>
    </w:p>
    <w:p w14:paraId="4F67AB0E" w14:textId="77777777" w:rsidR="00591D54" w:rsidRDefault="00591D54">
      <w:pPr>
        <w:shd w:val="clear" w:color="auto" w:fill="FFFFFF"/>
        <w:spacing w:before="202" w:line="226" w:lineRule="exact"/>
        <w:ind w:left="14"/>
        <w:jc w:val="both"/>
      </w:pPr>
      <w:r>
        <w:rPr>
          <w:spacing w:val="-6"/>
          <w:sz w:val="18"/>
          <w:szCs w:val="18"/>
          <w:lang w:val="es-ES_tradnl"/>
        </w:rPr>
        <w:t>La Secretar</w:t>
      </w:r>
      <w:r>
        <w:rPr>
          <w:rFonts w:cs="Times New Roman"/>
          <w:spacing w:val="-6"/>
          <w:sz w:val="18"/>
          <w:szCs w:val="18"/>
          <w:lang w:val="es-ES_tradnl"/>
        </w:rPr>
        <w:t>í</w:t>
      </w:r>
      <w:r>
        <w:rPr>
          <w:spacing w:val="-6"/>
          <w:sz w:val="18"/>
          <w:szCs w:val="18"/>
          <w:lang w:val="es-ES_tradnl"/>
        </w:rPr>
        <w:t xml:space="preserve">a General de la Corte Constitucional, de conformidad con lo establecido en el segundo inciso del </w:t>
      </w:r>
      <w:r>
        <w:rPr>
          <w:spacing w:val="-11"/>
          <w:sz w:val="18"/>
          <w:szCs w:val="18"/>
          <w:lang w:val="es-ES_tradnl"/>
        </w:rPr>
        <w:t>art</w:t>
      </w:r>
      <w:r>
        <w:rPr>
          <w:rFonts w:cs="Times New Roman"/>
          <w:spacing w:val="-11"/>
          <w:sz w:val="18"/>
          <w:szCs w:val="18"/>
          <w:lang w:val="es-ES_tradnl"/>
        </w:rPr>
        <w:t>í</w:t>
      </w:r>
      <w:r>
        <w:rPr>
          <w:spacing w:val="-11"/>
          <w:sz w:val="18"/>
          <w:szCs w:val="18"/>
          <w:lang w:val="es-ES_tradnl"/>
        </w:rPr>
        <w:t>culo 17 del Reglamento de Sustanciaci</w:t>
      </w:r>
      <w:r>
        <w:rPr>
          <w:rFonts w:cs="Times New Roman"/>
          <w:spacing w:val="-11"/>
          <w:sz w:val="18"/>
          <w:szCs w:val="18"/>
          <w:lang w:val="es-ES_tradnl"/>
        </w:rPr>
        <w:t>ó</w:t>
      </w:r>
      <w:r>
        <w:rPr>
          <w:spacing w:val="-11"/>
          <w:sz w:val="18"/>
          <w:szCs w:val="18"/>
          <w:lang w:val="es-ES_tradnl"/>
        </w:rPr>
        <w:t xml:space="preserve">n de Procesos de </w:t>
      </w:r>
      <w:r>
        <w:rPr>
          <w:spacing w:val="-7"/>
          <w:sz w:val="18"/>
          <w:szCs w:val="18"/>
          <w:lang w:val="es-ES_tradnl"/>
        </w:rPr>
        <w:t xml:space="preserve">Competencia de la Corte Constitucional, el 19 de mayo de </w:t>
      </w:r>
      <w:r>
        <w:rPr>
          <w:spacing w:val="-6"/>
          <w:sz w:val="18"/>
          <w:szCs w:val="18"/>
          <w:lang w:val="es-ES_tradnl"/>
        </w:rPr>
        <w:t>2014 certific</w:t>
      </w:r>
      <w:r>
        <w:rPr>
          <w:rFonts w:cs="Times New Roman"/>
          <w:spacing w:val="-6"/>
          <w:sz w:val="18"/>
          <w:szCs w:val="18"/>
          <w:lang w:val="es-ES_tradnl"/>
        </w:rPr>
        <w:t>ó</w:t>
      </w:r>
      <w:r>
        <w:rPr>
          <w:spacing w:val="-6"/>
          <w:sz w:val="18"/>
          <w:szCs w:val="18"/>
          <w:lang w:val="es-ES_tradnl"/>
        </w:rPr>
        <w:t xml:space="preserve"> que en referencia a la acci</w:t>
      </w:r>
      <w:r>
        <w:rPr>
          <w:rFonts w:cs="Times New Roman"/>
          <w:spacing w:val="-6"/>
          <w:sz w:val="18"/>
          <w:szCs w:val="18"/>
          <w:lang w:val="es-ES_tradnl"/>
        </w:rPr>
        <w:t>ó</w:t>
      </w:r>
      <w:r>
        <w:rPr>
          <w:spacing w:val="-6"/>
          <w:sz w:val="18"/>
          <w:szCs w:val="18"/>
          <w:lang w:val="es-ES_tradnl"/>
        </w:rPr>
        <w:t xml:space="preserve">n constitucional </w:t>
      </w:r>
      <w:r>
        <w:rPr>
          <w:spacing w:val="-8"/>
          <w:sz w:val="18"/>
          <w:szCs w:val="18"/>
          <w:lang w:val="es-ES_tradnl"/>
        </w:rPr>
        <w:t>N.</w:t>
      </w:r>
      <w:r>
        <w:rPr>
          <w:rFonts w:cs="Times New Roman"/>
          <w:spacing w:val="-8"/>
          <w:sz w:val="18"/>
          <w:szCs w:val="18"/>
          <w:lang w:val="es-ES_tradnl"/>
        </w:rPr>
        <w:t>°</w:t>
      </w:r>
      <w:r>
        <w:rPr>
          <w:spacing w:val="-8"/>
          <w:sz w:val="18"/>
          <w:szCs w:val="18"/>
          <w:lang w:val="es-ES_tradnl"/>
        </w:rPr>
        <w:t xml:space="preserve"> 0788-14-EP no se present</w:t>
      </w:r>
      <w:r>
        <w:rPr>
          <w:rFonts w:cs="Times New Roman"/>
          <w:spacing w:val="-8"/>
          <w:sz w:val="18"/>
          <w:szCs w:val="18"/>
          <w:lang w:val="es-ES_tradnl"/>
        </w:rPr>
        <w:t>ó</w:t>
      </w:r>
      <w:r>
        <w:rPr>
          <w:spacing w:val="-8"/>
          <w:sz w:val="18"/>
          <w:szCs w:val="18"/>
          <w:lang w:val="es-ES_tradnl"/>
        </w:rPr>
        <w:t xml:space="preserve"> previamente otra demanda </w:t>
      </w:r>
      <w:r>
        <w:rPr>
          <w:sz w:val="18"/>
          <w:szCs w:val="18"/>
          <w:lang w:val="es-ES_tradnl"/>
        </w:rPr>
        <w:t>con identidad de objeto y acci</w:t>
      </w:r>
      <w:r>
        <w:rPr>
          <w:rFonts w:cs="Times New Roman"/>
          <w:sz w:val="18"/>
          <w:szCs w:val="18"/>
          <w:lang w:val="es-ES_tradnl"/>
        </w:rPr>
        <w:t>ó</w:t>
      </w:r>
      <w:r>
        <w:rPr>
          <w:sz w:val="18"/>
          <w:szCs w:val="18"/>
          <w:lang w:val="es-ES_tradnl"/>
        </w:rPr>
        <w:t>n.</w:t>
      </w:r>
    </w:p>
    <w:p w14:paraId="4F67AB0F" w14:textId="77777777" w:rsidR="00591D54" w:rsidRDefault="00591D54">
      <w:pPr>
        <w:shd w:val="clear" w:color="auto" w:fill="FFFFFF"/>
        <w:spacing w:before="206" w:line="226" w:lineRule="exact"/>
        <w:ind w:left="14" w:right="5"/>
        <w:jc w:val="both"/>
      </w:pPr>
      <w:r>
        <w:rPr>
          <w:sz w:val="18"/>
          <w:szCs w:val="18"/>
          <w:lang w:val="es-ES_tradnl"/>
        </w:rPr>
        <w:t>La Sala de Admisi</w:t>
      </w:r>
      <w:r>
        <w:rPr>
          <w:rFonts w:cs="Times New Roman"/>
          <w:sz w:val="18"/>
          <w:szCs w:val="18"/>
          <w:lang w:val="es-ES_tradnl"/>
        </w:rPr>
        <w:t>ó</w:t>
      </w:r>
      <w:r>
        <w:rPr>
          <w:sz w:val="18"/>
          <w:szCs w:val="18"/>
          <w:lang w:val="es-ES_tradnl"/>
        </w:rPr>
        <w:t xml:space="preserve">n de la Corte Constitucional, </w:t>
      </w:r>
      <w:r>
        <w:rPr>
          <w:spacing w:val="-3"/>
          <w:sz w:val="18"/>
          <w:szCs w:val="18"/>
          <w:lang w:val="es-ES_tradnl"/>
        </w:rPr>
        <w:t>conformada por los jueces  constitucionales  Ruth  Seni</w:t>
      </w:r>
    </w:p>
    <w:p w14:paraId="4F67AB10" w14:textId="77777777" w:rsidR="00591D54" w:rsidRDefault="00591D54">
      <w:pPr>
        <w:shd w:val="clear" w:color="auto" w:fill="FFFFFF"/>
        <w:spacing w:line="216" w:lineRule="exact"/>
        <w:jc w:val="both"/>
      </w:pPr>
      <w:r>
        <w:br w:type="column"/>
      </w:r>
      <w:r>
        <w:rPr>
          <w:spacing w:val="-4"/>
          <w:sz w:val="18"/>
          <w:szCs w:val="18"/>
          <w:lang w:val="es-ES_tradnl"/>
        </w:rPr>
        <w:t>Pinoargote, Alfredo Ruiz Guzm</w:t>
      </w:r>
      <w:r>
        <w:rPr>
          <w:rFonts w:cs="Times New Roman"/>
          <w:spacing w:val="-4"/>
          <w:sz w:val="18"/>
          <w:szCs w:val="18"/>
          <w:lang w:val="es-ES_tradnl"/>
        </w:rPr>
        <w:t>á</w:t>
      </w:r>
      <w:r>
        <w:rPr>
          <w:spacing w:val="-4"/>
          <w:sz w:val="18"/>
          <w:szCs w:val="18"/>
          <w:lang w:val="es-ES_tradnl"/>
        </w:rPr>
        <w:t xml:space="preserve">n y Antonio Gagliardo </w:t>
      </w:r>
      <w:r>
        <w:rPr>
          <w:spacing w:val="-6"/>
          <w:sz w:val="18"/>
          <w:szCs w:val="18"/>
          <w:lang w:val="es-ES_tradnl"/>
        </w:rPr>
        <w:t xml:space="preserve">Loor, mediante providencia dictada el 31 de julio de 2014 </w:t>
      </w:r>
      <w:r>
        <w:rPr>
          <w:spacing w:val="-5"/>
          <w:sz w:val="18"/>
          <w:szCs w:val="18"/>
          <w:lang w:val="es-ES_tradnl"/>
        </w:rPr>
        <w:t>avoc</w:t>
      </w:r>
      <w:r>
        <w:rPr>
          <w:rFonts w:cs="Times New Roman"/>
          <w:spacing w:val="-5"/>
          <w:sz w:val="18"/>
          <w:szCs w:val="18"/>
          <w:lang w:val="es-ES_tradnl"/>
        </w:rPr>
        <w:t>ó</w:t>
      </w:r>
      <w:r>
        <w:rPr>
          <w:spacing w:val="-5"/>
          <w:sz w:val="18"/>
          <w:szCs w:val="18"/>
          <w:lang w:val="es-ES_tradnl"/>
        </w:rPr>
        <w:t xml:space="preserve"> conocimiento de la causa y admiti</w:t>
      </w:r>
      <w:r>
        <w:rPr>
          <w:rFonts w:cs="Times New Roman"/>
          <w:spacing w:val="-5"/>
          <w:sz w:val="18"/>
          <w:szCs w:val="18"/>
          <w:lang w:val="es-ES_tradnl"/>
        </w:rPr>
        <w:t>ó</w:t>
      </w:r>
      <w:r>
        <w:rPr>
          <w:spacing w:val="-5"/>
          <w:sz w:val="18"/>
          <w:szCs w:val="18"/>
          <w:lang w:val="es-ES_tradnl"/>
        </w:rPr>
        <w:t xml:space="preserve"> a tr</w:t>
      </w:r>
      <w:r>
        <w:rPr>
          <w:rFonts w:cs="Times New Roman"/>
          <w:spacing w:val="-5"/>
          <w:sz w:val="18"/>
          <w:szCs w:val="18"/>
          <w:lang w:val="es-ES_tradnl"/>
        </w:rPr>
        <w:t>á</w:t>
      </w:r>
      <w:r>
        <w:rPr>
          <w:spacing w:val="-5"/>
          <w:sz w:val="18"/>
          <w:szCs w:val="18"/>
          <w:lang w:val="es-ES_tradnl"/>
        </w:rPr>
        <w:t>mite la presente acci</w:t>
      </w:r>
      <w:r>
        <w:rPr>
          <w:rFonts w:cs="Times New Roman"/>
          <w:spacing w:val="-5"/>
          <w:sz w:val="18"/>
          <w:szCs w:val="18"/>
          <w:lang w:val="es-ES_tradnl"/>
        </w:rPr>
        <w:t>ó</w:t>
      </w:r>
      <w:r>
        <w:rPr>
          <w:spacing w:val="-5"/>
          <w:sz w:val="18"/>
          <w:szCs w:val="18"/>
          <w:lang w:val="es-ES_tradnl"/>
        </w:rPr>
        <w:t xml:space="preserve">n, sin que ello implique pronunciamiento </w:t>
      </w:r>
      <w:r>
        <w:rPr>
          <w:sz w:val="18"/>
          <w:szCs w:val="18"/>
          <w:lang w:val="es-ES_tradnl"/>
        </w:rPr>
        <w:t>respecto de la pretensi</w:t>
      </w:r>
      <w:r>
        <w:rPr>
          <w:rFonts w:cs="Times New Roman"/>
          <w:sz w:val="18"/>
          <w:szCs w:val="18"/>
          <w:lang w:val="es-ES_tradnl"/>
        </w:rPr>
        <w:t>ó</w:t>
      </w:r>
      <w:r>
        <w:rPr>
          <w:sz w:val="18"/>
          <w:szCs w:val="18"/>
          <w:lang w:val="es-ES_tradnl"/>
        </w:rPr>
        <w:t>n.</w:t>
      </w:r>
    </w:p>
    <w:p w14:paraId="4F67AB11" w14:textId="77777777" w:rsidR="00591D54" w:rsidRDefault="00591D54">
      <w:pPr>
        <w:shd w:val="clear" w:color="auto" w:fill="FFFFFF"/>
        <w:spacing w:before="197" w:line="216" w:lineRule="exact"/>
        <w:jc w:val="both"/>
      </w:pPr>
      <w:r>
        <w:rPr>
          <w:spacing w:val="-3"/>
          <w:sz w:val="18"/>
          <w:szCs w:val="18"/>
          <w:lang w:val="es-ES_tradnl"/>
        </w:rPr>
        <w:t>Mediante memorando N.</w:t>
      </w:r>
      <w:r>
        <w:rPr>
          <w:rFonts w:cs="Times New Roman"/>
          <w:spacing w:val="-3"/>
          <w:sz w:val="18"/>
          <w:szCs w:val="18"/>
          <w:lang w:val="es-ES_tradnl"/>
        </w:rPr>
        <w:t>°</w:t>
      </w:r>
      <w:r>
        <w:rPr>
          <w:spacing w:val="-3"/>
          <w:sz w:val="18"/>
          <w:szCs w:val="18"/>
          <w:lang w:val="es-ES_tradnl"/>
        </w:rPr>
        <w:t xml:space="preserve"> 397-CCE-SG-SUS-2014 del </w:t>
      </w:r>
      <w:r>
        <w:rPr>
          <w:spacing w:val="-7"/>
          <w:sz w:val="18"/>
          <w:szCs w:val="18"/>
          <w:lang w:val="es-ES_tradnl"/>
        </w:rPr>
        <w:t xml:space="preserve">20 de agosto de 2014, el doctor Jaime Pozo Chamorro, </w:t>
      </w:r>
      <w:r>
        <w:rPr>
          <w:spacing w:val="-6"/>
          <w:sz w:val="18"/>
          <w:szCs w:val="18"/>
          <w:lang w:val="es-ES_tradnl"/>
        </w:rPr>
        <w:t>secretario general de la Corte Constitucional, remiti</w:t>
      </w:r>
      <w:r>
        <w:rPr>
          <w:rFonts w:cs="Times New Roman"/>
          <w:spacing w:val="-6"/>
          <w:sz w:val="18"/>
          <w:szCs w:val="18"/>
          <w:lang w:val="es-ES_tradnl"/>
        </w:rPr>
        <w:t>ó</w:t>
      </w:r>
      <w:r>
        <w:rPr>
          <w:spacing w:val="-6"/>
          <w:sz w:val="18"/>
          <w:szCs w:val="18"/>
          <w:lang w:val="es-ES_tradnl"/>
        </w:rPr>
        <w:t xml:space="preserve"> a la </w:t>
      </w:r>
      <w:r>
        <w:rPr>
          <w:spacing w:val="-9"/>
          <w:sz w:val="18"/>
          <w:szCs w:val="18"/>
          <w:lang w:val="es-ES_tradnl"/>
        </w:rPr>
        <w:t>jueza constitucional Tatiana Orde</w:t>
      </w:r>
      <w:r>
        <w:rPr>
          <w:rFonts w:cs="Times New Roman"/>
          <w:spacing w:val="-9"/>
          <w:sz w:val="18"/>
          <w:szCs w:val="18"/>
          <w:lang w:val="es-ES_tradnl"/>
        </w:rPr>
        <w:t>ñ</w:t>
      </w:r>
      <w:r>
        <w:rPr>
          <w:spacing w:val="-9"/>
          <w:sz w:val="18"/>
          <w:szCs w:val="18"/>
          <w:lang w:val="es-ES_tradnl"/>
        </w:rPr>
        <w:t xml:space="preserve">ana Sierra los casos que </w:t>
      </w:r>
      <w:r>
        <w:rPr>
          <w:spacing w:val="-6"/>
          <w:sz w:val="18"/>
          <w:szCs w:val="18"/>
          <w:lang w:val="es-ES_tradnl"/>
        </w:rPr>
        <w:t xml:space="preserve">se sortearon por el Pleno de la Corte Constitucional, en </w:t>
      </w:r>
      <w:r>
        <w:rPr>
          <w:spacing w:val="-7"/>
          <w:sz w:val="18"/>
          <w:szCs w:val="18"/>
          <w:lang w:val="es-ES_tradnl"/>
        </w:rPr>
        <w:t>sesi</w:t>
      </w:r>
      <w:r>
        <w:rPr>
          <w:rFonts w:cs="Times New Roman"/>
          <w:spacing w:val="-7"/>
          <w:sz w:val="18"/>
          <w:szCs w:val="18"/>
          <w:lang w:val="es-ES_tradnl"/>
        </w:rPr>
        <w:t>ó</w:t>
      </w:r>
      <w:r>
        <w:rPr>
          <w:spacing w:val="-7"/>
          <w:sz w:val="18"/>
          <w:szCs w:val="18"/>
          <w:lang w:val="es-ES_tradnl"/>
        </w:rPr>
        <w:t xml:space="preserve">n extraordinaria del 20 de agosto de 2014, entre los </w:t>
      </w:r>
      <w:r>
        <w:rPr>
          <w:spacing w:val="-10"/>
          <w:sz w:val="18"/>
          <w:szCs w:val="18"/>
          <w:lang w:val="es-ES_tradnl"/>
        </w:rPr>
        <w:t>cuales se encuentra el caso signado con el N.</w:t>
      </w:r>
      <w:r>
        <w:rPr>
          <w:rFonts w:cs="Times New Roman"/>
          <w:spacing w:val="-10"/>
          <w:sz w:val="18"/>
          <w:szCs w:val="18"/>
          <w:lang w:val="es-ES_tradnl"/>
        </w:rPr>
        <w:t>°</w:t>
      </w:r>
      <w:r>
        <w:rPr>
          <w:spacing w:val="-10"/>
          <w:sz w:val="18"/>
          <w:szCs w:val="18"/>
          <w:lang w:val="es-ES_tradnl"/>
        </w:rPr>
        <w:t xml:space="preserve"> 0788-14-EP.</w:t>
      </w:r>
    </w:p>
    <w:p w14:paraId="4F67AB12" w14:textId="77777777" w:rsidR="00591D54" w:rsidRDefault="00591D54">
      <w:pPr>
        <w:shd w:val="clear" w:color="auto" w:fill="FFFFFF"/>
        <w:spacing w:before="197" w:line="216" w:lineRule="exact"/>
        <w:jc w:val="both"/>
      </w:pPr>
      <w:r>
        <w:rPr>
          <w:spacing w:val="-10"/>
          <w:sz w:val="18"/>
          <w:szCs w:val="18"/>
          <w:lang w:val="es-ES_tradnl"/>
        </w:rPr>
        <w:t xml:space="preserve">Con providencia dictada el 02 de diciembre de 2014, la jueza </w:t>
      </w:r>
      <w:r>
        <w:rPr>
          <w:spacing w:val="-6"/>
          <w:sz w:val="18"/>
          <w:szCs w:val="18"/>
          <w:lang w:val="es-ES_tradnl"/>
        </w:rPr>
        <w:t>constitucional avoc</w:t>
      </w:r>
      <w:r>
        <w:rPr>
          <w:rFonts w:cs="Times New Roman"/>
          <w:spacing w:val="-6"/>
          <w:sz w:val="18"/>
          <w:szCs w:val="18"/>
          <w:lang w:val="es-ES_tradnl"/>
        </w:rPr>
        <w:t>ó</w:t>
      </w:r>
      <w:r>
        <w:rPr>
          <w:spacing w:val="-6"/>
          <w:sz w:val="18"/>
          <w:szCs w:val="18"/>
          <w:lang w:val="es-ES_tradnl"/>
        </w:rPr>
        <w:t xml:space="preserve"> conocimiento de la causa y dispuso </w:t>
      </w:r>
      <w:r>
        <w:rPr>
          <w:spacing w:val="-11"/>
          <w:sz w:val="18"/>
          <w:szCs w:val="18"/>
          <w:lang w:val="es-ES_tradnl"/>
        </w:rPr>
        <w:t xml:space="preserve">que se notifique con el contenido de la demanda respectiva a </w:t>
      </w:r>
      <w:r>
        <w:rPr>
          <w:spacing w:val="-9"/>
          <w:sz w:val="18"/>
          <w:szCs w:val="18"/>
          <w:lang w:val="es-ES_tradnl"/>
        </w:rPr>
        <w:t xml:space="preserve">los jueces de la Sala </w:t>
      </w:r>
      <w:r>
        <w:rPr>
          <w:rFonts w:cs="Times New Roman"/>
          <w:spacing w:val="-9"/>
          <w:sz w:val="18"/>
          <w:szCs w:val="18"/>
          <w:lang w:val="es-ES_tradnl"/>
        </w:rPr>
        <w:t>Ú</w:t>
      </w:r>
      <w:r>
        <w:rPr>
          <w:spacing w:val="-9"/>
          <w:sz w:val="18"/>
          <w:szCs w:val="18"/>
          <w:lang w:val="es-ES_tradnl"/>
        </w:rPr>
        <w:t>nica de la Corte Provincial de Justicia de Santo Domingo de los Ts</w:t>
      </w:r>
      <w:r>
        <w:rPr>
          <w:rFonts w:cs="Times New Roman"/>
          <w:spacing w:val="-9"/>
          <w:sz w:val="18"/>
          <w:szCs w:val="18"/>
          <w:lang w:val="es-ES_tradnl"/>
        </w:rPr>
        <w:t>á</w:t>
      </w:r>
      <w:r>
        <w:rPr>
          <w:spacing w:val="-9"/>
          <w:sz w:val="18"/>
          <w:szCs w:val="18"/>
          <w:lang w:val="es-ES_tradnl"/>
        </w:rPr>
        <w:t xml:space="preserve">chilas, con la finalidad de que </w:t>
      </w:r>
      <w:r>
        <w:rPr>
          <w:spacing w:val="-7"/>
          <w:sz w:val="18"/>
          <w:szCs w:val="18"/>
          <w:lang w:val="es-ES_tradnl"/>
        </w:rPr>
        <w:t xml:space="preserve">presenten un informe de descargo debidamente motivado </w:t>
      </w:r>
      <w:r>
        <w:rPr>
          <w:spacing w:val="-9"/>
          <w:sz w:val="18"/>
          <w:szCs w:val="18"/>
          <w:lang w:val="es-ES_tradnl"/>
        </w:rPr>
        <w:t>en el t</w:t>
      </w:r>
      <w:r>
        <w:rPr>
          <w:rFonts w:cs="Times New Roman"/>
          <w:spacing w:val="-9"/>
          <w:sz w:val="18"/>
          <w:szCs w:val="18"/>
          <w:lang w:val="es-ES_tradnl"/>
        </w:rPr>
        <w:t>é</w:t>
      </w:r>
      <w:r>
        <w:rPr>
          <w:spacing w:val="-9"/>
          <w:sz w:val="18"/>
          <w:szCs w:val="18"/>
          <w:lang w:val="es-ES_tradnl"/>
        </w:rPr>
        <w:t>rmino de 5 d</w:t>
      </w:r>
      <w:r>
        <w:rPr>
          <w:rFonts w:cs="Times New Roman"/>
          <w:spacing w:val="-9"/>
          <w:sz w:val="18"/>
          <w:szCs w:val="18"/>
          <w:lang w:val="es-ES_tradnl"/>
        </w:rPr>
        <w:t>í</w:t>
      </w:r>
      <w:r>
        <w:rPr>
          <w:spacing w:val="-9"/>
          <w:sz w:val="18"/>
          <w:szCs w:val="18"/>
          <w:lang w:val="es-ES_tradnl"/>
        </w:rPr>
        <w:t xml:space="preserve">as, en respuesta a los fundamentos de </w:t>
      </w:r>
      <w:r>
        <w:rPr>
          <w:sz w:val="18"/>
          <w:szCs w:val="18"/>
          <w:lang w:val="es-ES_tradnl"/>
        </w:rPr>
        <w:t>la demanda referida.</w:t>
      </w:r>
    </w:p>
    <w:p w14:paraId="4F67AB13" w14:textId="77777777" w:rsidR="00591D54" w:rsidRDefault="00591D54">
      <w:pPr>
        <w:shd w:val="clear" w:color="auto" w:fill="FFFFFF"/>
        <w:spacing w:before="192"/>
      </w:pPr>
      <w:r>
        <w:rPr>
          <w:b/>
          <w:bCs/>
          <w:spacing w:val="-12"/>
          <w:sz w:val="18"/>
          <w:szCs w:val="18"/>
          <w:lang w:val="es-ES_tradnl"/>
        </w:rPr>
        <w:t>Antecedentes f</w:t>
      </w:r>
      <w:r>
        <w:rPr>
          <w:rFonts w:cs="Times New Roman"/>
          <w:b/>
          <w:bCs/>
          <w:spacing w:val="-12"/>
          <w:sz w:val="18"/>
          <w:szCs w:val="18"/>
          <w:lang w:val="es-ES_tradnl"/>
        </w:rPr>
        <w:t>á</w:t>
      </w:r>
      <w:r>
        <w:rPr>
          <w:b/>
          <w:bCs/>
          <w:spacing w:val="-12"/>
          <w:sz w:val="18"/>
          <w:szCs w:val="18"/>
          <w:lang w:val="es-ES_tradnl"/>
        </w:rPr>
        <w:t>cticos</w:t>
      </w:r>
    </w:p>
    <w:p w14:paraId="4F67AB14" w14:textId="77777777" w:rsidR="00591D54" w:rsidRDefault="00591D54">
      <w:pPr>
        <w:shd w:val="clear" w:color="auto" w:fill="FFFFFF"/>
        <w:spacing w:before="192" w:line="216" w:lineRule="exact"/>
        <w:jc w:val="both"/>
      </w:pPr>
      <w:r>
        <w:rPr>
          <w:spacing w:val="-11"/>
          <w:sz w:val="18"/>
          <w:szCs w:val="18"/>
          <w:lang w:val="es-ES_tradnl"/>
        </w:rPr>
        <w:t>El se</w:t>
      </w:r>
      <w:r>
        <w:rPr>
          <w:rFonts w:cs="Times New Roman"/>
          <w:spacing w:val="-11"/>
          <w:sz w:val="18"/>
          <w:szCs w:val="18"/>
          <w:lang w:val="es-ES_tradnl"/>
        </w:rPr>
        <w:t>ñ</w:t>
      </w:r>
      <w:r>
        <w:rPr>
          <w:spacing w:val="-11"/>
          <w:sz w:val="18"/>
          <w:szCs w:val="18"/>
          <w:lang w:val="es-ES_tradnl"/>
        </w:rPr>
        <w:t>or Henry An</w:t>
      </w:r>
      <w:r>
        <w:rPr>
          <w:rFonts w:cs="Times New Roman"/>
          <w:spacing w:val="-11"/>
          <w:sz w:val="18"/>
          <w:szCs w:val="18"/>
          <w:lang w:val="es-ES_tradnl"/>
        </w:rPr>
        <w:t>í</w:t>
      </w:r>
      <w:r>
        <w:rPr>
          <w:spacing w:val="-11"/>
          <w:sz w:val="18"/>
          <w:szCs w:val="18"/>
          <w:lang w:val="es-ES_tradnl"/>
        </w:rPr>
        <w:t>bal Ayala Espinoza, en calidad de gerente general y representante legal de la compa</w:t>
      </w:r>
      <w:r>
        <w:rPr>
          <w:rFonts w:cs="Times New Roman"/>
          <w:spacing w:val="-11"/>
          <w:sz w:val="18"/>
          <w:szCs w:val="18"/>
          <w:lang w:val="es-ES_tradnl"/>
        </w:rPr>
        <w:t>ñí</w:t>
      </w:r>
      <w:r>
        <w:rPr>
          <w:spacing w:val="-11"/>
          <w:sz w:val="18"/>
          <w:szCs w:val="18"/>
          <w:lang w:val="es-ES_tradnl"/>
        </w:rPr>
        <w:t xml:space="preserve">a Denegsa S. A., </w:t>
      </w:r>
      <w:r>
        <w:rPr>
          <w:spacing w:val="-7"/>
          <w:sz w:val="18"/>
          <w:szCs w:val="18"/>
          <w:lang w:val="es-ES_tradnl"/>
        </w:rPr>
        <w:t>present</w:t>
      </w:r>
      <w:r>
        <w:rPr>
          <w:rFonts w:cs="Times New Roman"/>
          <w:spacing w:val="-7"/>
          <w:sz w:val="18"/>
          <w:szCs w:val="18"/>
          <w:lang w:val="es-ES_tradnl"/>
        </w:rPr>
        <w:t>ó</w:t>
      </w:r>
      <w:r>
        <w:rPr>
          <w:spacing w:val="-7"/>
          <w:sz w:val="18"/>
          <w:szCs w:val="18"/>
          <w:lang w:val="es-ES_tradnl"/>
        </w:rPr>
        <w:t xml:space="preserve"> demanda ordinaria en contra de la se</w:t>
      </w:r>
      <w:r>
        <w:rPr>
          <w:rFonts w:cs="Times New Roman"/>
          <w:spacing w:val="-7"/>
          <w:sz w:val="18"/>
          <w:szCs w:val="18"/>
          <w:lang w:val="es-ES_tradnl"/>
        </w:rPr>
        <w:t>ñ</w:t>
      </w:r>
      <w:r>
        <w:rPr>
          <w:spacing w:val="-7"/>
          <w:sz w:val="18"/>
          <w:szCs w:val="18"/>
          <w:lang w:val="es-ES_tradnl"/>
        </w:rPr>
        <w:t xml:space="preserve">ora Frella </w:t>
      </w:r>
      <w:r>
        <w:rPr>
          <w:spacing w:val="-5"/>
          <w:sz w:val="18"/>
          <w:szCs w:val="18"/>
          <w:lang w:val="es-ES_tradnl"/>
        </w:rPr>
        <w:t xml:space="preserve">Isabel Intriago Montes, en virtud de la cual solicita que se </w:t>
      </w:r>
      <w:r>
        <w:rPr>
          <w:spacing w:val="-7"/>
          <w:sz w:val="18"/>
          <w:szCs w:val="18"/>
          <w:lang w:val="es-ES_tradnl"/>
        </w:rPr>
        <w:t xml:space="preserve">declare la nulidad de la sentencia ejecutoriada dictada por </w:t>
      </w:r>
      <w:r>
        <w:rPr>
          <w:spacing w:val="-6"/>
          <w:sz w:val="18"/>
          <w:szCs w:val="18"/>
          <w:lang w:val="es-ES_tradnl"/>
        </w:rPr>
        <w:t>el Juzgado D</w:t>
      </w:r>
      <w:r>
        <w:rPr>
          <w:rFonts w:cs="Times New Roman"/>
          <w:spacing w:val="-6"/>
          <w:sz w:val="18"/>
          <w:szCs w:val="18"/>
          <w:lang w:val="es-ES_tradnl"/>
        </w:rPr>
        <w:t>é</w:t>
      </w:r>
      <w:r>
        <w:rPr>
          <w:spacing w:val="-6"/>
          <w:sz w:val="18"/>
          <w:szCs w:val="18"/>
          <w:lang w:val="es-ES_tradnl"/>
        </w:rPr>
        <w:t xml:space="preserve">cimo Noveno de lo Civil de Santo Domingo </w:t>
      </w:r>
      <w:r>
        <w:rPr>
          <w:spacing w:val="-3"/>
          <w:sz w:val="18"/>
          <w:szCs w:val="18"/>
          <w:lang w:val="es-ES_tradnl"/>
        </w:rPr>
        <w:t>de los Ts</w:t>
      </w:r>
      <w:r>
        <w:rPr>
          <w:rFonts w:cs="Times New Roman"/>
          <w:spacing w:val="-3"/>
          <w:sz w:val="18"/>
          <w:szCs w:val="18"/>
          <w:lang w:val="es-ES_tradnl"/>
        </w:rPr>
        <w:t>á</w:t>
      </w:r>
      <w:r>
        <w:rPr>
          <w:spacing w:val="-3"/>
          <w:sz w:val="18"/>
          <w:szCs w:val="18"/>
          <w:lang w:val="es-ES_tradnl"/>
        </w:rPr>
        <w:t xml:space="preserve">chilas, en el juicio ejecutivo seguido por la </w:t>
      </w:r>
      <w:r>
        <w:rPr>
          <w:spacing w:val="-7"/>
          <w:sz w:val="18"/>
          <w:szCs w:val="18"/>
          <w:lang w:val="es-ES_tradnl"/>
        </w:rPr>
        <w:t>referida se</w:t>
      </w:r>
      <w:r>
        <w:rPr>
          <w:rFonts w:cs="Times New Roman"/>
          <w:spacing w:val="-7"/>
          <w:sz w:val="18"/>
          <w:szCs w:val="18"/>
          <w:lang w:val="es-ES_tradnl"/>
        </w:rPr>
        <w:t>ñ</w:t>
      </w:r>
      <w:r>
        <w:rPr>
          <w:spacing w:val="-7"/>
          <w:sz w:val="18"/>
          <w:szCs w:val="18"/>
          <w:lang w:val="es-ES_tradnl"/>
        </w:rPr>
        <w:t>ora en su contra, que le conden</w:t>
      </w:r>
      <w:r>
        <w:rPr>
          <w:rFonts w:cs="Times New Roman"/>
          <w:spacing w:val="-7"/>
          <w:sz w:val="18"/>
          <w:szCs w:val="18"/>
          <w:lang w:val="es-ES_tradnl"/>
        </w:rPr>
        <w:t>ó</w:t>
      </w:r>
      <w:r>
        <w:rPr>
          <w:spacing w:val="-7"/>
          <w:sz w:val="18"/>
          <w:szCs w:val="18"/>
          <w:lang w:val="es-ES_tradnl"/>
        </w:rPr>
        <w:t xml:space="preserve"> al pago del </w:t>
      </w:r>
      <w:r>
        <w:rPr>
          <w:spacing w:val="-6"/>
          <w:sz w:val="18"/>
          <w:szCs w:val="18"/>
          <w:lang w:val="es-ES_tradnl"/>
        </w:rPr>
        <w:t xml:space="preserve">capital importe de la letra de cambio por la suma de US$ </w:t>
      </w:r>
      <w:r>
        <w:rPr>
          <w:spacing w:val="-8"/>
          <w:sz w:val="18"/>
          <w:szCs w:val="18"/>
          <w:lang w:val="es-ES_tradnl"/>
        </w:rPr>
        <w:t>600.000,00 (Seiscientos Mil D</w:t>
      </w:r>
      <w:r>
        <w:rPr>
          <w:rFonts w:cs="Times New Roman"/>
          <w:spacing w:val="-8"/>
          <w:sz w:val="18"/>
          <w:szCs w:val="18"/>
          <w:lang w:val="es-ES_tradnl"/>
        </w:rPr>
        <w:t>ó</w:t>
      </w:r>
      <w:r>
        <w:rPr>
          <w:spacing w:val="-8"/>
          <w:sz w:val="18"/>
          <w:szCs w:val="18"/>
          <w:lang w:val="es-ES_tradnl"/>
        </w:rPr>
        <w:t xml:space="preserve">lares de los Estados Unidos </w:t>
      </w:r>
      <w:r>
        <w:rPr>
          <w:sz w:val="18"/>
          <w:szCs w:val="18"/>
          <w:lang w:val="es-ES_tradnl"/>
        </w:rPr>
        <w:t>de Am</w:t>
      </w:r>
      <w:r>
        <w:rPr>
          <w:rFonts w:cs="Times New Roman"/>
          <w:sz w:val="18"/>
          <w:szCs w:val="18"/>
          <w:lang w:val="es-ES_tradnl"/>
        </w:rPr>
        <w:t>é</w:t>
      </w:r>
      <w:r>
        <w:rPr>
          <w:sz w:val="18"/>
          <w:szCs w:val="18"/>
          <w:lang w:val="es-ES_tradnl"/>
        </w:rPr>
        <w:t>rica).</w:t>
      </w:r>
    </w:p>
    <w:p w14:paraId="4F67AB15" w14:textId="77777777" w:rsidR="00591D54" w:rsidRDefault="00591D54">
      <w:pPr>
        <w:shd w:val="clear" w:color="auto" w:fill="FFFFFF"/>
        <w:spacing w:before="192" w:line="216" w:lineRule="exact"/>
        <w:jc w:val="both"/>
      </w:pPr>
      <w:r>
        <w:rPr>
          <w:spacing w:val="-7"/>
          <w:sz w:val="18"/>
          <w:szCs w:val="18"/>
          <w:lang w:val="es-ES_tradnl"/>
        </w:rPr>
        <w:t>El legitimado activo alega que por la naturaleza jur</w:t>
      </w:r>
      <w:r>
        <w:rPr>
          <w:rFonts w:cs="Times New Roman"/>
          <w:spacing w:val="-7"/>
          <w:sz w:val="18"/>
          <w:szCs w:val="18"/>
          <w:lang w:val="es-ES_tradnl"/>
        </w:rPr>
        <w:t>í</w:t>
      </w:r>
      <w:r>
        <w:rPr>
          <w:spacing w:val="-7"/>
          <w:sz w:val="18"/>
          <w:szCs w:val="18"/>
          <w:lang w:val="es-ES_tradnl"/>
        </w:rPr>
        <w:t xml:space="preserve">dica de </w:t>
      </w:r>
      <w:r>
        <w:rPr>
          <w:spacing w:val="-6"/>
          <w:sz w:val="18"/>
          <w:szCs w:val="18"/>
          <w:lang w:val="es-ES_tradnl"/>
        </w:rPr>
        <w:t>la acci</w:t>
      </w:r>
      <w:r>
        <w:rPr>
          <w:rFonts w:cs="Times New Roman"/>
          <w:spacing w:val="-6"/>
          <w:sz w:val="18"/>
          <w:szCs w:val="18"/>
          <w:lang w:val="es-ES_tradnl"/>
        </w:rPr>
        <w:t>ó</w:t>
      </w:r>
      <w:r>
        <w:rPr>
          <w:spacing w:val="-6"/>
          <w:sz w:val="18"/>
          <w:szCs w:val="18"/>
          <w:lang w:val="es-ES_tradnl"/>
        </w:rPr>
        <w:t>n ejecutiva no pudo discutir los asuntos de fondo relacionados con la causa de la obligaci</w:t>
      </w:r>
      <w:r>
        <w:rPr>
          <w:rFonts w:cs="Times New Roman"/>
          <w:spacing w:val="-6"/>
          <w:sz w:val="18"/>
          <w:szCs w:val="18"/>
          <w:lang w:val="es-ES_tradnl"/>
        </w:rPr>
        <w:t>ó</w:t>
      </w:r>
      <w:r>
        <w:rPr>
          <w:spacing w:val="-6"/>
          <w:sz w:val="18"/>
          <w:szCs w:val="18"/>
          <w:lang w:val="es-ES_tradnl"/>
        </w:rPr>
        <w:t xml:space="preserve">n, circunstancia </w:t>
      </w:r>
      <w:r>
        <w:rPr>
          <w:spacing w:val="-7"/>
          <w:sz w:val="18"/>
          <w:szCs w:val="18"/>
          <w:lang w:val="es-ES_tradnl"/>
        </w:rPr>
        <w:t>que limit</w:t>
      </w:r>
      <w:r>
        <w:rPr>
          <w:rFonts w:cs="Times New Roman"/>
          <w:spacing w:val="-7"/>
          <w:sz w:val="18"/>
          <w:szCs w:val="18"/>
          <w:lang w:val="es-ES_tradnl"/>
        </w:rPr>
        <w:t>ó</w:t>
      </w:r>
      <w:r>
        <w:rPr>
          <w:spacing w:val="-7"/>
          <w:sz w:val="18"/>
          <w:szCs w:val="18"/>
          <w:lang w:val="es-ES_tradnl"/>
        </w:rPr>
        <w:t xml:space="preserve"> su derecho constitucional a la defensa.</w:t>
      </w:r>
    </w:p>
    <w:p w14:paraId="4F67AB16" w14:textId="77777777" w:rsidR="00591D54" w:rsidRDefault="00591D54">
      <w:pPr>
        <w:shd w:val="clear" w:color="auto" w:fill="FFFFFF"/>
        <w:spacing w:before="192" w:line="216" w:lineRule="exact"/>
        <w:jc w:val="both"/>
      </w:pPr>
      <w:r>
        <w:rPr>
          <w:spacing w:val="-4"/>
          <w:sz w:val="18"/>
          <w:szCs w:val="18"/>
          <w:lang w:val="es-ES_tradnl"/>
        </w:rPr>
        <w:t xml:space="preserve">Mediante providencia dictada el 29 de octubre de 2010, </w:t>
      </w:r>
      <w:r>
        <w:rPr>
          <w:spacing w:val="-5"/>
          <w:sz w:val="18"/>
          <w:szCs w:val="18"/>
          <w:lang w:val="es-ES_tradnl"/>
        </w:rPr>
        <w:t xml:space="preserve">el Juzgado Primero de lo Civil de Santo Domingo de los </w:t>
      </w:r>
      <w:r>
        <w:rPr>
          <w:spacing w:val="-8"/>
          <w:sz w:val="18"/>
          <w:szCs w:val="18"/>
          <w:lang w:val="es-ES_tradnl"/>
        </w:rPr>
        <w:t>Ts</w:t>
      </w:r>
      <w:r>
        <w:rPr>
          <w:rFonts w:cs="Times New Roman"/>
          <w:spacing w:val="-8"/>
          <w:sz w:val="18"/>
          <w:szCs w:val="18"/>
          <w:lang w:val="es-ES_tradnl"/>
        </w:rPr>
        <w:t>á</w:t>
      </w:r>
      <w:r>
        <w:rPr>
          <w:spacing w:val="-8"/>
          <w:sz w:val="18"/>
          <w:szCs w:val="18"/>
          <w:lang w:val="es-ES_tradnl"/>
        </w:rPr>
        <w:t>chilas acept</w:t>
      </w:r>
      <w:r>
        <w:rPr>
          <w:rFonts w:cs="Times New Roman"/>
          <w:spacing w:val="-8"/>
          <w:sz w:val="18"/>
          <w:szCs w:val="18"/>
          <w:lang w:val="es-ES_tradnl"/>
        </w:rPr>
        <w:t>ó</w:t>
      </w:r>
      <w:r>
        <w:rPr>
          <w:spacing w:val="-8"/>
          <w:sz w:val="18"/>
          <w:szCs w:val="18"/>
          <w:lang w:val="es-ES_tradnl"/>
        </w:rPr>
        <w:t xml:space="preserve"> la demanda a tr</w:t>
      </w:r>
      <w:r>
        <w:rPr>
          <w:rFonts w:cs="Times New Roman"/>
          <w:spacing w:val="-8"/>
          <w:sz w:val="18"/>
          <w:szCs w:val="18"/>
          <w:lang w:val="es-ES_tradnl"/>
        </w:rPr>
        <w:t>á</w:t>
      </w:r>
      <w:r>
        <w:rPr>
          <w:spacing w:val="-8"/>
          <w:sz w:val="18"/>
          <w:szCs w:val="18"/>
          <w:lang w:val="es-ES_tradnl"/>
        </w:rPr>
        <w:t xml:space="preserve">mite, por cumplir con los </w:t>
      </w:r>
      <w:r>
        <w:rPr>
          <w:spacing w:val="-9"/>
          <w:sz w:val="18"/>
          <w:szCs w:val="18"/>
          <w:lang w:val="es-ES_tradnl"/>
        </w:rPr>
        <w:t>requisitos establecidos por la ley, y se le asign</w:t>
      </w:r>
      <w:r>
        <w:rPr>
          <w:rFonts w:cs="Times New Roman"/>
          <w:spacing w:val="-9"/>
          <w:sz w:val="18"/>
          <w:szCs w:val="18"/>
          <w:lang w:val="es-ES_tradnl"/>
        </w:rPr>
        <w:t>ó</w:t>
      </w:r>
      <w:r>
        <w:rPr>
          <w:spacing w:val="-9"/>
          <w:sz w:val="18"/>
          <w:szCs w:val="18"/>
          <w:lang w:val="es-ES_tradnl"/>
        </w:rPr>
        <w:t xml:space="preserve"> el N.</w:t>
      </w:r>
      <w:r>
        <w:rPr>
          <w:rFonts w:cs="Times New Roman"/>
          <w:spacing w:val="-9"/>
          <w:sz w:val="18"/>
          <w:szCs w:val="18"/>
          <w:lang w:val="es-ES_tradnl"/>
        </w:rPr>
        <w:t>°</w:t>
      </w:r>
      <w:r>
        <w:rPr>
          <w:spacing w:val="-9"/>
          <w:sz w:val="18"/>
          <w:szCs w:val="18"/>
          <w:lang w:val="es-ES_tradnl"/>
        </w:rPr>
        <w:t xml:space="preserve"> 1477-2010. Luego del tr</w:t>
      </w:r>
      <w:r>
        <w:rPr>
          <w:rFonts w:cs="Times New Roman"/>
          <w:spacing w:val="-9"/>
          <w:sz w:val="18"/>
          <w:szCs w:val="18"/>
          <w:lang w:val="es-ES_tradnl"/>
        </w:rPr>
        <w:t>á</w:t>
      </w:r>
      <w:r>
        <w:rPr>
          <w:spacing w:val="-9"/>
          <w:sz w:val="18"/>
          <w:szCs w:val="18"/>
          <w:lang w:val="es-ES_tradnl"/>
        </w:rPr>
        <w:t xml:space="preserve">mite respectivo, por sentencia dictada el </w:t>
      </w:r>
      <w:r>
        <w:rPr>
          <w:spacing w:val="-5"/>
          <w:sz w:val="18"/>
          <w:szCs w:val="18"/>
          <w:lang w:val="es-ES_tradnl"/>
        </w:rPr>
        <w:t xml:space="preserve">08 de noviembre de 2012, el Juzgado Primero de lo Civil </w:t>
      </w:r>
      <w:r>
        <w:rPr>
          <w:spacing w:val="-9"/>
          <w:sz w:val="18"/>
          <w:szCs w:val="18"/>
          <w:lang w:val="es-ES_tradnl"/>
        </w:rPr>
        <w:t>de Santo Domingo de los Ts</w:t>
      </w:r>
      <w:r>
        <w:rPr>
          <w:rFonts w:cs="Times New Roman"/>
          <w:spacing w:val="-9"/>
          <w:sz w:val="18"/>
          <w:szCs w:val="18"/>
          <w:lang w:val="es-ES_tradnl"/>
        </w:rPr>
        <w:t>á</w:t>
      </w:r>
      <w:r>
        <w:rPr>
          <w:spacing w:val="-9"/>
          <w:sz w:val="18"/>
          <w:szCs w:val="18"/>
          <w:lang w:val="es-ES_tradnl"/>
        </w:rPr>
        <w:t>chilas desestim</w:t>
      </w:r>
      <w:r>
        <w:rPr>
          <w:rFonts w:cs="Times New Roman"/>
          <w:spacing w:val="-9"/>
          <w:sz w:val="18"/>
          <w:szCs w:val="18"/>
          <w:lang w:val="es-ES_tradnl"/>
        </w:rPr>
        <w:t>ó</w:t>
      </w:r>
      <w:r>
        <w:rPr>
          <w:spacing w:val="-9"/>
          <w:sz w:val="18"/>
          <w:szCs w:val="18"/>
          <w:lang w:val="es-ES_tradnl"/>
        </w:rPr>
        <w:t xml:space="preserve"> la demanda </w:t>
      </w:r>
      <w:r>
        <w:rPr>
          <w:spacing w:val="-10"/>
          <w:sz w:val="18"/>
          <w:szCs w:val="18"/>
          <w:lang w:val="es-ES_tradnl"/>
        </w:rPr>
        <w:t>presentada por extempor</w:t>
      </w:r>
      <w:r>
        <w:rPr>
          <w:rFonts w:cs="Times New Roman"/>
          <w:spacing w:val="-10"/>
          <w:sz w:val="18"/>
          <w:szCs w:val="18"/>
          <w:lang w:val="es-ES_tradnl"/>
        </w:rPr>
        <w:t>á</w:t>
      </w:r>
      <w:r>
        <w:rPr>
          <w:spacing w:val="-10"/>
          <w:sz w:val="18"/>
          <w:szCs w:val="18"/>
          <w:lang w:val="es-ES_tradnl"/>
        </w:rPr>
        <w:t>nea e improcedente.</w:t>
      </w:r>
    </w:p>
    <w:p w14:paraId="4F67AB17" w14:textId="77777777" w:rsidR="00591D54" w:rsidRDefault="00591D54">
      <w:pPr>
        <w:shd w:val="clear" w:color="auto" w:fill="FFFFFF"/>
        <w:spacing w:before="197" w:line="216" w:lineRule="exact"/>
        <w:jc w:val="both"/>
      </w:pPr>
      <w:r>
        <w:rPr>
          <w:spacing w:val="-6"/>
          <w:sz w:val="18"/>
          <w:szCs w:val="18"/>
          <w:lang w:val="es-ES_tradnl"/>
        </w:rPr>
        <w:t>Contra esta decisi</w:t>
      </w:r>
      <w:r>
        <w:rPr>
          <w:rFonts w:cs="Times New Roman"/>
          <w:spacing w:val="-6"/>
          <w:sz w:val="18"/>
          <w:szCs w:val="18"/>
          <w:lang w:val="es-ES_tradnl"/>
        </w:rPr>
        <w:t>ó</w:t>
      </w:r>
      <w:r>
        <w:rPr>
          <w:spacing w:val="-6"/>
          <w:sz w:val="18"/>
          <w:szCs w:val="18"/>
          <w:lang w:val="es-ES_tradnl"/>
        </w:rPr>
        <w:t>n judicial, el se</w:t>
      </w:r>
      <w:r>
        <w:rPr>
          <w:rFonts w:cs="Times New Roman"/>
          <w:spacing w:val="-6"/>
          <w:sz w:val="18"/>
          <w:szCs w:val="18"/>
          <w:lang w:val="es-ES_tradnl"/>
        </w:rPr>
        <w:t>ñ</w:t>
      </w:r>
      <w:r>
        <w:rPr>
          <w:spacing w:val="-6"/>
          <w:sz w:val="18"/>
          <w:szCs w:val="18"/>
          <w:lang w:val="es-ES_tradnl"/>
        </w:rPr>
        <w:t>or Henry An</w:t>
      </w:r>
      <w:r>
        <w:rPr>
          <w:rFonts w:cs="Times New Roman"/>
          <w:spacing w:val="-6"/>
          <w:sz w:val="18"/>
          <w:szCs w:val="18"/>
          <w:lang w:val="es-ES_tradnl"/>
        </w:rPr>
        <w:t>í</w:t>
      </w:r>
      <w:r>
        <w:rPr>
          <w:spacing w:val="-6"/>
          <w:sz w:val="18"/>
          <w:szCs w:val="18"/>
          <w:lang w:val="es-ES_tradnl"/>
        </w:rPr>
        <w:t xml:space="preserve">bal Ayala </w:t>
      </w:r>
      <w:r>
        <w:rPr>
          <w:spacing w:val="-7"/>
          <w:sz w:val="18"/>
          <w:szCs w:val="18"/>
          <w:lang w:val="es-ES_tradnl"/>
        </w:rPr>
        <w:t xml:space="preserve">Espinoza, en calidad de gerente general y representante </w:t>
      </w:r>
      <w:r>
        <w:rPr>
          <w:spacing w:val="-8"/>
          <w:sz w:val="18"/>
          <w:szCs w:val="18"/>
          <w:lang w:val="es-ES_tradnl"/>
        </w:rPr>
        <w:t>legal de la compa</w:t>
      </w:r>
      <w:r>
        <w:rPr>
          <w:rFonts w:cs="Times New Roman"/>
          <w:spacing w:val="-8"/>
          <w:sz w:val="18"/>
          <w:szCs w:val="18"/>
          <w:lang w:val="es-ES_tradnl"/>
        </w:rPr>
        <w:t>ñí</w:t>
      </w:r>
      <w:r>
        <w:rPr>
          <w:spacing w:val="-8"/>
          <w:sz w:val="18"/>
          <w:szCs w:val="18"/>
          <w:lang w:val="es-ES_tradnl"/>
        </w:rPr>
        <w:t xml:space="preserve">a Denegsa S. A., interpuso recurso de </w:t>
      </w:r>
      <w:r>
        <w:rPr>
          <w:spacing w:val="-7"/>
          <w:sz w:val="18"/>
          <w:szCs w:val="18"/>
          <w:lang w:val="es-ES_tradnl"/>
        </w:rPr>
        <w:t>apelaci</w:t>
      </w:r>
      <w:r>
        <w:rPr>
          <w:rFonts w:cs="Times New Roman"/>
          <w:spacing w:val="-7"/>
          <w:sz w:val="18"/>
          <w:szCs w:val="18"/>
          <w:lang w:val="es-ES_tradnl"/>
        </w:rPr>
        <w:t>ó</w:t>
      </w:r>
      <w:r>
        <w:rPr>
          <w:spacing w:val="-7"/>
          <w:sz w:val="18"/>
          <w:szCs w:val="18"/>
          <w:lang w:val="es-ES_tradnl"/>
        </w:rPr>
        <w:t>n el 12 de noviembre de 2012, mismo que recay</w:t>
      </w:r>
      <w:r>
        <w:rPr>
          <w:rFonts w:cs="Times New Roman"/>
          <w:spacing w:val="-7"/>
          <w:sz w:val="18"/>
          <w:szCs w:val="18"/>
          <w:lang w:val="es-ES_tradnl"/>
        </w:rPr>
        <w:t xml:space="preserve">ó </w:t>
      </w:r>
      <w:r>
        <w:rPr>
          <w:spacing w:val="-4"/>
          <w:sz w:val="18"/>
          <w:szCs w:val="18"/>
          <w:lang w:val="es-ES_tradnl"/>
        </w:rPr>
        <w:t xml:space="preserve">en conocimiento de la Sala </w:t>
      </w:r>
      <w:r>
        <w:rPr>
          <w:rFonts w:cs="Times New Roman"/>
          <w:spacing w:val="-4"/>
          <w:sz w:val="18"/>
          <w:szCs w:val="18"/>
          <w:lang w:val="es-ES_tradnl"/>
        </w:rPr>
        <w:t>Ú</w:t>
      </w:r>
      <w:r>
        <w:rPr>
          <w:spacing w:val="-4"/>
          <w:sz w:val="18"/>
          <w:szCs w:val="18"/>
          <w:lang w:val="es-ES_tradnl"/>
        </w:rPr>
        <w:t xml:space="preserve">nica de la Corte Provincial </w:t>
      </w:r>
      <w:r>
        <w:rPr>
          <w:spacing w:val="-7"/>
          <w:sz w:val="18"/>
          <w:szCs w:val="18"/>
          <w:lang w:val="es-ES_tradnl"/>
        </w:rPr>
        <w:t>de Justicia de Santo Domingo de los Ts</w:t>
      </w:r>
      <w:r>
        <w:rPr>
          <w:rFonts w:cs="Times New Roman"/>
          <w:spacing w:val="-7"/>
          <w:sz w:val="18"/>
          <w:szCs w:val="18"/>
          <w:lang w:val="es-ES_tradnl"/>
        </w:rPr>
        <w:t>á</w:t>
      </w:r>
      <w:r>
        <w:rPr>
          <w:spacing w:val="-7"/>
          <w:sz w:val="18"/>
          <w:szCs w:val="18"/>
          <w:lang w:val="es-ES_tradnl"/>
        </w:rPr>
        <w:t xml:space="preserve">chilas. Mediante </w:t>
      </w:r>
      <w:r>
        <w:rPr>
          <w:spacing w:val="-6"/>
          <w:sz w:val="18"/>
          <w:szCs w:val="18"/>
          <w:lang w:val="es-ES_tradnl"/>
        </w:rPr>
        <w:t xml:space="preserve">sentencia dictada el 09 de enero de 2014, este </w:t>
      </w:r>
      <w:r>
        <w:rPr>
          <w:rFonts w:cs="Times New Roman"/>
          <w:spacing w:val="-6"/>
          <w:sz w:val="18"/>
          <w:szCs w:val="18"/>
          <w:lang w:val="es-ES_tradnl"/>
        </w:rPr>
        <w:t>ó</w:t>
      </w:r>
      <w:r>
        <w:rPr>
          <w:spacing w:val="-6"/>
          <w:sz w:val="18"/>
          <w:szCs w:val="18"/>
          <w:lang w:val="es-ES_tradnl"/>
        </w:rPr>
        <w:t xml:space="preserve">rgano </w:t>
      </w:r>
      <w:r>
        <w:rPr>
          <w:spacing w:val="-7"/>
          <w:sz w:val="18"/>
          <w:szCs w:val="18"/>
          <w:lang w:val="es-ES_tradnl"/>
        </w:rPr>
        <w:t>judicial rechaz</w:t>
      </w:r>
      <w:r>
        <w:rPr>
          <w:rFonts w:cs="Times New Roman"/>
          <w:spacing w:val="-7"/>
          <w:sz w:val="18"/>
          <w:szCs w:val="18"/>
          <w:lang w:val="es-ES_tradnl"/>
        </w:rPr>
        <w:t>ó</w:t>
      </w:r>
      <w:r>
        <w:rPr>
          <w:spacing w:val="-7"/>
          <w:sz w:val="18"/>
          <w:szCs w:val="18"/>
          <w:lang w:val="es-ES_tradnl"/>
        </w:rPr>
        <w:t xml:space="preserve"> el recurso de apelaci</w:t>
      </w:r>
      <w:r>
        <w:rPr>
          <w:rFonts w:cs="Times New Roman"/>
          <w:spacing w:val="-7"/>
          <w:sz w:val="18"/>
          <w:szCs w:val="18"/>
          <w:lang w:val="es-ES_tradnl"/>
        </w:rPr>
        <w:t>ó</w:t>
      </w:r>
      <w:r>
        <w:rPr>
          <w:spacing w:val="-7"/>
          <w:sz w:val="18"/>
          <w:szCs w:val="18"/>
          <w:lang w:val="es-ES_tradnl"/>
        </w:rPr>
        <w:t xml:space="preserve">n interpuesto por el </w:t>
      </w:r>
      <w:r>
        <w:rPr>
          <w:spacing w:val="-8"/>
          <w:sz w:val="18"/>
          <w:szCs w:val="18"/>
          <w:lang w:val="es-ES_tradnl"/>
        </w:rPr>
        <w:t>accionante y confirm</w:t>
      </w:r>
      <w:r>
        <w:rPr>
          <w:rFonts w:cs="Times New Roman"/>
          <w:spacing w:val="-8"/>
          <w:sz w:val="18"/>
          <w:szCs w:val="18"/>
          <w:lang w:val="es-ES_tradnl"/>
        </w:rPr>
        <w:t>ó</w:t>
      </w:r>
      <w:r>
        <w:rPr>
          <w:spacing w:val="-8"/>
          <w:sz w:val="18"/>
          <w:szCs w:val="18"/>
          <w:lang w:val="es-ES_tradnl"/>
        </w:rPr>
        <w:t xml:space="preserve"> la sentencia venida en grado.</w:t>
      </w:r>
    </w:p>
    <w:p w14:paraId="4F67AB18" w14:textId="77777777" w:rsidR="00591D54" w:rsidRDefault="00591D54">
      <w:pPr>
        <w:shd w:val="clear" w:color="auto" w:fill="FFFFFF"/>
        <w:spacing w:before="197" w:line="216" w:lineRule="exact"/>
        <w:jc w:val="both"/>
      </w:pPr>
      <w:r>
        <w:rPr>
          <w:spacing w:val="-10"/>
          <w:sz w:val="18"/>
          <w:szCs w:val="18"/>
          <w:lang w:val="es-ES_tradnl"/>
        </w:rPr>
        <w:t>Ante aquello, el accionante present</w:t>
      </w:r>
      <w:r>
        <w:rPr>
          <w:rFonts w:cs="Times New Roman"/>
          <w:spacing w:val="-10"/>
          <w:sz w:val="18"/>
          <w:szCs w:val="18"/>
          <w:lang w:val="es-ES_tradnl"/>
        </w:rPr>
        <w:t>ó</w:t>
      </w:r>
      <w:r>
        <w:rPr>
          <w:spacing w:val="-10"/>
          <w:sz w:val="18"/>
          <w:szCs w:val="18"/>
          <w:lang w:val="es-ES_tradnl"/>
        </w:rPr>
        <w:t xml:space="preserve"> el 14 de enero de 2014, </w:t>
      </w:r>
      <w:r>
        <w:rPr>
          <w:spacing w:val="-6"/>
          <w:sz w:val="18"/>
          <w:szCs w:val="18"/>
          <w:lang w:val="es-ES_tradnl"/>
        </w:rPr>
        <w:t>recurso de aclaraci</w:t>
      </w:r>
      <w:r>
        <w:rPr>
          <w:rFonts w:cs="Times New Roman"/>
          <w:spacing w:val="-6"/>
          <w:sz w:val="18"/>
          <w:szCs w:val="18"/>
          <w:lang w:val="es-ES_tradnl"/>
        </w:rPr>
        <w:t>ó</w:t>
      </w:r>
      <w:r>
        <w:rPr>
          <w:spacing w:val="-6"/>
          <w:sz w:val="18"/>
          <w:szCs w:val="18"/>
          <w:lang w:val="es-ES_tradnl"/>
        </w:rPr>
        <w:t>n de la sentencia; tal recurso se neg</w:t>
      </w:r>
      <w:r>
        <w:rPr>
          <w:rFonts w:cs="Times New Roman"/>
          <w:spacing w:val="-6"/>
          <w:sz w:val="18"/>
          <w:szCs w:val="18"/>
          <w:lang w:val="es-ES_tradnl"/>
        </w:rPr>
        <w:t>ó</w:t>
      </w:r>
    </w:p>
    <w:p w14:paraId="4F67AB19" w14:textId="77777777" w:rsidR="00591D54" w:rsidRDefault="00591D54">
      <w:pPr>
        <w:shd w:val="clear" w:color="auto" w:fill="FFFFFF"/>
        <w:spacing w:before="197" w:line="216" w:lineRule="exact"/>
        <w:jc w:val="both"/>
        <w:sectPr w:rsidR="00591D54">
          <w:type w:val="continuous"/>
          <w:pgSz w:w="11909" w:h="16834"/>
          <w:pgMar w:top="1371" w:right="1309" w:bottom="360" w:left="1308" w:header="720" w:footer="720" w:gutter="0"/>
          <w:cols w:num="2" w:space="720" w:equalWidth="0">
            <w:col w:w="4320" w:space="667"/>
            <w:col w:w="4305"/>
          </w:cols>
          <w:noEndnote/>
        </w:sectPr>
      </w:pPr>
    </w:p>
    <w:p w14:paraId="4F67AB1A" w14:textId="77777777" w:rsidR="00591D54" w:rsidRDefault="00591D54">
      <w:pPr>
        <w:shd w:val="clear" w:color="auto" w:fill="FFFFFF"/>
        <w:tabs>
          <w:tab w:val="left" w:pos="4814"/>
        </w:tabs>
        <w:spacing w:after="230"/>
        <w:ind w:left="5"/>
      </w:pPr>
      <w:r>
        <w:rPr>
          <w:b/>
          <w:bCs/>
          <w:sz w:val="18"/>
          <w:szCs w:val="18"/>
          <w:lang w:val="es-ES_tradnl"/>
        </w:rPr>
        <w:t xml:space="preserve">92 -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B1B" w14:textId="77777777" w:rsidR="00591D54" w:rsidRDefault="00591D54">
      <w:pPr>
        <w:shd w:val="clear" w:color="auto" w:fill="FFFFFF"/>
        <w:tabs>
          <w:tab w:val="left" w:pos="4814"/>
        </w:tabs>
        <w:spacing w:after="230"/>
        <w:ind w:left="5"/>
        <w:sectPr w:rsidR="00591D54">
          <w:pgSz w:w="11909" w:h="16834"/>
          <w:pgMar w:top="1356" w:right="1309" w:bottom="360" w:left="1308" w:header="720" w:footer="720" w:gutter="0"/>
          <w:cols w:space="60"/>
          <w:noEndnote/>
        </w:sectPr>
      </w:pPr>
    </w:p>
    <w:p w14:paraId="4F67AB1C" w14:textId="77777777" w:rsidR="00591D54" w:rsidRDefault="00591D54">
      <w:pPr>
        <w:shd w:val="clear" w:color="auto" w:fill="FFFFFF"/>
        <w:spacing w:before="5" w:line="211" w:lineRule="exact"/>
        <w:jc w:val="both"/>
      </w:pPr>
      <w:r>
        <w:rPr>
          <w:spacing w:val="-8"/>
          <w:sz w:val="18"/>
          <w:szCs w:val="18"/>
          <w:lang w:val="es-ES_tradnl"/>
        </w:rPr>
        <w:t xml:space="preserve">por providencia dictada el 27 de enero de 2014. Ante este </w:t>
      </w:r>
      <w:r>
        <w:rPr>
          <w:spacing w:val="-6"/>
          <w:sz w:val="18"/>
          <w:szCs w:val="18"/>
          <w:lang w:val="es-ES_tradnl"/>
        </w:rPr>
        <w:t>escenario jur</w:t>
      </w:r>
      <w:r>
        <w:rPr>
          <w:rFonts w:cs="Times New Roman"/>
          <w:spacing w:val="-6"/>
          <w:sz w:val="18"/>
          <w:szCs w:val="18"/>
          <w:lang w:val="es-ES_tradnl"/>
        </w:rPr>
        <w:t>í</w:t>
      </w:r>
      <w:r>
        <w:rPr>
          <w:spacing w:val="-6"/>
          <w:sz w:val="18"/>
          <w:szCs w:val="18"/>
          <w:lang w:val="es-ES_tradnl"/>
        </w:rPr>
        <w:t>dico, en escrito presentado el 03 de febrero de 2014, el abogado V</w:t>
      </w:r>
      <w:r>
        <w:rPr>
          <w:rFonts w:cs="Times New Roman"/>
          <w:spacing w:val="-6"/>
          <w:sz w:val="18"/>
          <w:szCs w:val="18"/>
          <w:lang w:val="es-ES_tradnl"/>
        </w:rPr>
        <w:t>í</w:t>
      </w:r>
      <w:r>
        <w:rPr>
          <w:spacing w:val="-6"/>
          <w:sz w:val="18"/>
          <w:szCs w:val="18"/>
          <w:lang w:val="es-ES_tradnl"/>
        </w:rPr>
        <w:t xml:space="preserve">ctor Valencia Espinoza interpuso </w:t>
      </w:r>
      <w:r>
        <w:rPr>
          <w:spacing w:val="-3"/>
          <w:sz w:val="18"/>
          <w:szCs w:val="18"/>
          <w:lang w:val="es-ES_tradnl"/>
        </w:rPr>
        <w:t>recurso de casaci</w:t>
      </w:r>
      <w:r>
        <w:rPr>
          <w:rFonts w:cs="Times New Roman"/>
          <w:spacing w:val="-3"/>
          <w:sz w:val="18"/>
          <w:szCs w:val="18"/>
          <w:lang w:val="es-ES_tradnl"/>
        </w:rPr>
        <w:t>ó</w:t>
      </w:r>
      <w:r>
        <w:rPr>
          <w:spacing w:val="-3"/>
          <w:sz w:val="18"/>
          <w:szCs w:val="18"/>
          <w:lang w:val="es-ES_tradnl"/>
        </w:rPr>
        <w:t>n, a trav</w:t>
      </w:r>
      <w:r>
        <w:rPr>
          <w:rFonts w:cs="Times New Roman"/>
          <w:spacing w:val="-3"/>
          <w:sz w:val="18"/>
          <w:szCs w:val="18"/>
          <w:lang w:val="es-ES_tradnl"/>
        </w:rPr>
        <w:t>é</w:t>
      </w:r>
      <w:r>
        <w:rPr>
          <w:spacing w:val="-3"/>
          <w:sz w:val="18"/>
          <w:szCs w:val="18"/>
          <w:lang w:val="es-ES_tradnl"/>
        </w:rPr>
        <w:t>s del cual ofreci</w:t>
      </w:r>
      <w:r>
        <w:rPr>
          <w:rFonts w:cs="Times New Roman"/>
          <w:spacing w:val="-3"/>
          <w:sz w:val="18"/>
          <w:szCs w:val="18"/>
          <w:lang w:val="es-ES_tradnl"/>
        </w:rPr>
        <w:t>ó</w:t>
      </w:r>
      <w:r>
        <w:rPr>
          <w:spacing w:val="-3"/>
          <w:sz w:val="18"/>
          <w:szCs w:val="18"/>
          <w:lang w:val="es-ES_tradnl"/>
        </w:rPr>
        <w:t xml:space="preserve"> poder o </w:t>
      </w:r>
      <w:r>
        <w:rPr>
          <w:spacing w:val="-7"/>
          <w:sz w:val="18"/>
          <w:szCs w:val="18"/>
          <w:lang w:val="es-ES_tradnl"/>
        </w:rPr>
        <w:t>ratificaci</w:t>
      </w:r>
      <w:r>
        <w:rPr>
          <w:rFonts w:cs="Times New Roman"/>
          <w:spacing w:val="-7"/>
          <w:sz w:val="18"/>
          <w:szCs w:val="18"/>
          <w:lang w:val="es-ES_tradnl"/>
        </w:rPr>
        <w:t>ó</w:t>
      </w:r>
      <w:r>
        <w:rPr>
          <w:spacing w:val="-7"/>
          <w:sz w:val="18"/>
          <w:szCs w:val="18"/>
          <w:lang w:val="es-ES_tradnl"/>
        </w:rPr>
        <w:t>n de gestiones de parte del se</w:t>
      </w:r>
      <w:r>
        <w:rPr>
          <w:rFonts w:cs="Times New Roman"/>
          <w:spacing w:val="-7"/>
          <w:sz w:val="18"/>
          <w:szCs w:val="18"/>
          <w:lang w:val="es-ES_tradnl"/>
        </w:rPr>
        <w:t>ñ</w:t>
      </w:r>
      <w:r>
        <w:rPr>
          <w:spacing w:val="-7"/>
          <w:sz w:val="18"/>
          <w:szCs w:val="18"/>
          <w:lang w:val="es-ES_tradnl"/>
        </w:rPr>
        <w:t>or Henry An</w:t>
      </w:r>
      <w:r>
        <w:rPr>
          <w:rFonts w:cs="Times New Roman"/>
          <w:spacing w:val="-7"/>
          <w:sz w:val="18"/>
          <w:szCs w:val="18"/>
          <w:lang w:val="es-ES_tradnl"/>
        </w:rPr>
        <w:t>í</w:t>
      </w:r>
      <w:r>
        <w:rPr>
          <w:spacing w:val="-7"/>
          <w:sz w:val="18"/>
          <w:szCs w:val="18"/>
          <w:lang w:val="es-ES_tradnl"/>
        </w:rPr>
        <w:t xml:space="preserve">bal </w:t>
      </w:r>
      <w:r>
        <w:rPr>
          <w:sz w:val="18"/>
          <w:szCs w:val="18"/>
          <w:lang w:val="es-ES_tradnl"/>
        </w:rPr>
        <w:t>Ayala Espinoza.</w:t>
      </w:r>
    </w:p>
    <w:p w14:paraId="4F67AB1D" w14:textId="77777777" w:rsidR="00591D54" w:rsidRDefault="00591D54">
      <w:pPr>
        <w:shd w:val="clear" w:color="auto" w:fill="FFFFFF"/>
        <w:spacing w:before="187" w:line="211" w:lineRule="exact"/>
        <w:ind w:right="5"/>
        <w:jc w:val="both"/>
      </w:pPr>
      <w:r>
        <w:rPr>
          <w:spacing w:val="-6"/>
          <w:sz w:val="18"/>
          <w:szCs w:val="18"/>
          <w:lang w:val="es-ES_tradnl"/>
        </w:rPr>
        <w:t xml:space="preserve">Posteriormente, mediante providencia dictada el 12 de </w:t>
      </w:r>
      <w:r>
        <w:rPr>
          <w:spacing w:val="-5"/>
          <w:sz w:val="18"/>
          <w:szCs w:val="18"/>
          <w:lang w:val="es-ES_tradnl"/>
        </w:rPr>
        <w:t xml:space="preserve">febrero de 2014, la Sala </w:t>
      </w:r>
      <w:r>
        <w:rPr>
          <w:rFonts w:cs="Times New Roman"/>
          <w:spacing w:val="-5"/>
          <w:sz w:val="18"/>
          <w:szCs w:val="18"/>
          <w:lang w:val="es-ES_tradnl"/>
        </w:rPr>
        <w:t>Ú</w:t>
      </w:r>
      <w:r>
        <w:rPr>
          <w:spacing w:val="-5"/>
          <w:sz w:val="18"/>
          <w:szCs w:val="18"/>
          <w:lang w:val="es-ES_tradnl"/>
        </w:rPr>
        <w:t xml:space="preserve">nica de la Corte Provincial de </w:t>
      </w:r>
      <w:r>
        <w:rPr>
          <w:spacing w:val="-6"/>
          <w:sz w:val="18"/>
          <w:szCs w:val="18"/>
          <w:lang w:val="es-ES_tradnl"/>
        </w:rPr>
        <w:t>Justicia de Santo Domingo de los Ts</w:t>
      </w:r>
      <w:r>
        <w:rPr>
          <w:rFonts w:cs="Times New Roman"/>
          <w:spacing w:val="-6"/>
          <w:sz w:val="18"/>
          <w:szCs w:val="18"/>
          <w:lang w:val="es-ES_tradnl"/>
        </w:rPr>
        <w:t>á</w:t>
      </w:r>
      <w:r>
        <w:rPr>
          <w:spacing w:val="-6"/>
          <w:sz w:val="18"/>
          <w:szCs w:val="18"/>
          <w:lang w:val="es-ES_tradnl"/>
        </w:rPr>
        <w:t>chilas inadmiti</w:t>
      </w:r>
      <w:r>
        <w:rPr>
          <w:rFonts w:cs="Times New Roman"/>
          <w:spacing w:val="-6"/>
          <w:sz w:val="18"/>
          <w:szCs w:val="18"/>
          <w:lang w:val="es-ES_tradnl"/>
        </w:rPr>
        <w:t>ó</w:t>
      </w:r>
      <w:r>
        <w:rPr>
          <w:spacing w:val="-6"/>
          <w:sz w:val="18"/>
          <w:szCs w:val="18"/>
          <w:lang w:val="es-ES_tradnl"/>
        </w:rPr>
        <w:t xml:space="preserve"> el </w:t>
      </w:r>
      <w:r>
        <w:rPr>
          <w:spacing w:val="-11"/>
          <w:sz w:val="18"/>
          <w:szCs w:val="18"/>
          <w:lang w:val="es-ES_tradnl"/>
        </w:rPr>
        <w:t>recurso de casaci</w:t>
      </w:r>
      <w:r>
        <w:rPr>
          <w:rFonts w:cs="Times New Roman"/>
          <w:spacing w:val="-11"/>
          <w:sz w:val="18"/>
          <w:szCs w:val="18"/>
          <w:lang w:val="es-ES_tradnl"/>
        </w:rPr>
        <w:t>ó</w:t>
      </w:r>
      <w:r>
        <w:rPr>
          <w:spacing w:val="-11"/>
          <w:sz w:val="18"/>
          <w:szCs w:val="18"/>
          <w:lang w:val="es-ES_tradnl"/>
        </w:rPr>
        <w:t xml:space="preserve">n interpuesto, dado que </w:t>
      </w:r>
      <w:r>
        <w:rPr>
          <w:rFonts w:cs="Times New Roman"/>
          <w:spacing w:val="-11"/>
          <w:sz w:val="18"/>
          <w:szCs w:val="18"/>
          <w:lang w:val="es-ES_tradnl"/>
        </w:rPr>
        <w:t>ú</w:t>
      </w:r>
      <w:r>
        <w:rPr>
          <w:spacing w:val="-11"/>
          <w:sz w:val="18"/>
          <w:szCs w:val="18"/>
          <w:lang w:val="es-ES_tradnl"/>
        </w:rPr>
        <w:t>nicamente cont</w:t>
      </w:r>
      <w:r>
        <w:rPr>
          <w:rFonts w:cs="Times New Roman"/>
          <w:spacing w:val="-11"/>
          <w:sz w:val="18"/>
          <w:szCs w:val="18"/>
          <w:lang w:val="es-ES_tradnl"/>
        </w:rPr>
        <w:t xml:space="preserve">ó </w:t>
      </w:r>
      <w:r>
        <w:rPr>
          <w:spacing w:val="-9"/>
          <w:sz w:val="18"/>
          <w:szCs w:val="18"/>
          <w:lang w:val="es-ES_tradnl"/>
        </w:rPr>
        <w:t>con la firma del abogado y no tuvo la autorizaci</w:t>
      </w:r>
      <w:r>
        <w:rPr>
          <w:rFonts w:cs="Times New Roman"/>
          <w:spacing w:val="-9"/>
          <w:sz w:val="18"/>
          <w:szCs w:val="18"/>
          <w:lang w:val="es-ES_tradnl"/>
        </w:rPr>
        <w:t>ó</w:t>
      </w:r>
      <w:r>
        <w:rPr>
          <w:spacing w:val="-9"/>
          <w:sz w:val="18"/>
          <w:szCs w:val="18"/>
          <w:lang w:val="es-ES_tradnl"/>
        </w:rPr>
        <w:t>n conferida por el recurrente Henry An</w:t>
      </w:r>
      <w:r>
        <w:rPr>
          <w:rFonts w:cs="Times New Roman"/>
          <w:spacing w:val="-9"/>
          <w:sz w:val="18"/>
          <w:szCs w:val="18"/>
          <w:lang w:val="es-ES_tradnl"/>
        </w:rPr>
        <w:t>í</w:t>
      </w:r>
      <w:r>
        <w:rPr>
          <w:spacing w:val="-9"/>
          <w:sz w:val="18"/>
          <w:szCs w:val="18"/>
          <w:lang w:val="es-ES_tradnl"/>
        </w:rPr>
        <w:t>bal Ayala Espinoza, raz</w:t>
      </w:r>
      <w:r>
        <w:rPr>
          <w:rFonts w:cs="Times New Roman"/>
          <w:spacing w:val="-9"/>
          <w:sz w:val="18"/>
          <w:szCs w:val="18"/>
          <w:lang w:val="es-ES_tradnl"/>
        </w:rPr>
        <w:t>ó</w:t>
      </w:r>
      <w:r>
        <w:rPr>
          <w:spacing w:val="-9"/>
          <w:sz w:val="18"/>
          <w:szCs w:val="18"/>
          <w:lang w:val="es-ES_tradnl"/>
        </w:rPr>
        <w:t>n por la que, seg</w:t>
      </w:r>
      <w:r>
        <w:rPr>
          <w:rFonts w:cs="Times New Roman"/>
          <w:spacing w:val="-9"/>
          <w:sz w:val="18"/>
          <w:szCs w:val="18"/>
          <w:lang w:val="es-ES_tradnl"/>
        </w:rPr>
        <w:t>ú</w:t>
      </w:r>
      <w:r>
        <w:rPr>
          <w:spacing w:val="-9"/>
          <w:sz w:val="18"/>
          <w:szCs w:val="18"/>
          <w:lang w:val="es-ES_tradnl"/>
        </w:rPr>
        <w:t xml:space="preserve">n el </w:t>
      </w:r>
      <w:r>
        <w:rPr>
          <w:rFonts w:cs="Times New Roman"/>
          <w:spacing w:val="-9"/>
          <w:sz w:val="18"/>
          <w:szCs w:val="18"/>
          <w:lang w:val="es-ES_tradnl"/>
        </w:rPr>
        <w:t>ó</w:t>
      </w:r>
      <w:r>
        <w:rPr>
          <w:spacing w:val="-9"/>
          <w:sz w:val="18"/>
          <w:szCs w:val="18"/>
          <w:lang w:val="es-ES_tradnl"/>
        </w:rPr>
        <w:t>rgano judicial, se irrespetaron los derechos y garant</w:t>
      </w:r>
      <w:r>
        <w:rPr>
          <w:rFonts w:cs="Times New Roman"/>
          <w:spacing w:val="-9"/>
          <w:sz w:val="18"/>
          <w:szCs w:val="18"/>
          <w:lang w:val="es-ES_tradnl"/>
        </w:rPr>
        <w:t>í</w:t>
      </w:r>
      <w:r>
        <w:rPr>
          <w:spacing w:val="-9"/>
          <w:sz w:val="18"/>
          <w:szCs w:val="18"/>
          <w:lang w:val="es-ES_tradnl"/>
        </w:rPr>
        <w:t>as de las partes y se incumpli</w:t>
      </w:r>
      <w:r>
        <w:rPr>
          <w:rFonts w:cs="Times New Roman"/>
          <w:spacing w:val="-9"/>
          <w:sz w:val="18"/>
          <w:szCs w:val="18"/>
          <w:lang w:val="es-ES_tradnl"/>
        </w:rPr>
        <w:t>ó</w:t>
      </w:r>
      <w:r>
        <w:rPr>
          <w:spacing w:val="-9"/>
          <w:sz w:val="18"/>
          <w:szCs w:val="18"/>
          <w:lang w:val="es-ES_tradnl"/>
        </w:rPr>
        <w:t xml:space="preserve"> con las solemnidades legales, de conformidad a lo se</w:t>
      </w:r>
      <w:r>
        <w:rPr>
          <w:rFonts w:cs="Times New Roman"/>
          <w:spacing w:val="-9"/>
          <w:sz w:val="18"/>
          <w:szCs w:val="18"/>
          <w:lang w:val="es-ES_tradnl"/>
        </w:rPr>
        <w:t>ñ</w:t>
      </w:r>
      <w:r>
        <w:rPr>
          <w:spacing w:val="-9"/>
          <w:sz w:val="18"/>
          <w:szCs w:val="18"/>
          <w:lang w:val="es-ES_tradnl"/>
        </w:rPr>
        <w:t>alado por el art</w:t>
      </w:r>
      <w:r>
        <w:rPr>
          <w:rFonts w:cs="Times New Roman"/>
          <w:spacing w:val="-9"/>
          <w:sz w:val="18"/>
          <w:szCs w:val="18"/>
          <w:lang w:val="es-ES_tradnl"/>
        </w:rPr>
        <w:t>í</w:t>
      </w:r>
      <w:r>
        <w:rPr>
          <w:spacing w:val="-9"/>
          <w:sz w:val="18"/>
          <w:szCs w:val="18"/>
          <w:lang w:val="es-ES_tradnl"/>
        </w:rPr>
        <w:t xml:space="preserve">culo 7 de la </w:t>
      </w:r>
      <w:r>
        <w:rPr>
          <w:spacing w:val="-7"/>
          <w:sz w:val="18"/>
          <w:szCs w:val="18"/>
          <w:lang w:val="es-ES_tradnl"/>
        </w:rPr>
        <w:t>Ley de Casaci</w:t>
      </w:r>
      <w:r>
        <w:rPr>
          <w:rFonts w:cs="Times New Roman"/>
          <w:spacing w:val="-7"/>
          <w:sz w:val="18"/>
          <w:szCs w:val="18"/>
          <w:lang w:val="es-ES_tradnl"/>
        </w:rPr>
        <w:t>ó</w:t>
      </w:r>
      <w:r>
        <w:rPr>
          <w:spacing w:val="-7"/>
          <w:sz w:val="18"/>
          <w:szCs w:val="18"/>
          <w:lang w:val="es-ES_tradnl"/>
        </w:rPr>
        <w:t xml:space="preserve">n, que obliga al </w:t>
      </w:r>
      <w:r>
        <w:rPr>
          <w:rFonts w:cs="Times New Roman"/>
          <w:spacing w:val="-7"/>
          <w:sz w:val="18"/>
          <w:szCs w:val="18"/>
          <w:lang w:val="es-ES_tradnl"/>
        </w:rPr>
        <w:t>ó</w:t>
      </w:r>
      <w:r>
        <w:rPr>
          <w:spacing w:val="-7"/>
          <w:sz w:val="18"/>
          <w:szCs w:val="18"/>
          <w:lang w:val="es-ES_tradnl"/>
        </w:rPr>
        <w:t xml:space="preserve">rgano judicial competente </w:t>
      </w:r>
      <w:r>
        <w:rPr>
          <w:spacing w:val="-5"/>
          <w:sz w:val="18"/>
          <w:szCs w:val="18"/>
          <w:lang w:val="es-ES_tradnl"/>
        </w:rPr>
        <w:t xml:space="preserve">a examinar si concurren las circunstancias legales para </w:t>
      </w:r>
      <w:r>
        <w:rPr>
          <w:spacing w:val="-7"/>
          <w:sz w:val="18"/>
          <w:szCs w:val="18"/>
          <w:lang w:val="es-ES_tradnl"/>
        </w:rPr>
        <w:t>que se pudiere admitir o denegar el recurso de casaci</w:t>
      </w:r>
      <w:r>
        <w:rPr>
          <w:rFonts w:cs="Times New Roman"/>
          <w:spacing w:val="-7"/>
          <w:sz w:val="18"/>
          <w:szCs w:val="18"/>
          <w:lang w:val="es-ES_tradnl"/>
        </w:rPr>
        <w:t>ó</w:t>
      </w:r>
      <w:r>
        <w:rPr>
          <w:spacing w:val="-7"/>
          <w:sz w:val="18"/>
          <w:szCs w:val="18"/>
          <w:lang w:val="es-ES_tradnl"/>
        </w:rPr>
        <w:t>n. Ante este escenario jur</w:t>
      </w:r>
      <w:r>
        <w:rPr>
          <w:rFonts w:cs="Times New Roman"/>
          <w:spacing w:val="-7"/>
          <w:sz w:val="18"/>
          <w:szCs w:val="18"/>
          <w:lang w:val="es-ES_tradnl"/>
        </w:rPr>
        <w:t>í</w:t>
      </w:r>
      <w:r>
        <w:rPr>
          <w:spacing w:val="-7"/>
          <w:sz w:val="18"/>
          <w:szCs w:val="18"/>
          <w:lang w:val="es-ES_tradnl"/>
        </w:rPr>
        <w:t xml:space="preserve">dico, el legitimado activo interpuso </w:t>
      </w:r>
      <w:r>
        <w:rPr>
          <w:spacing w:val="-8"/>
          <w:sz w:val="18"/>
          <w:szCs w:val="18"/>
          <w:lang w:val="es-ES_tradnl"/>
        </w:rPr>
        <w:t>demanda de acci</w:t>
      </w:r>
      <w:r>
        <w:rPr>
          <w:rFonts w:cs="Times New Roman"/>
          <w:spacing w:val="-8"/>
          <w:sz w:val="18"/>
          <w:szCs w:val="18"/>
          <w:lang w:val="es-ES_tradnl"/>
        </w:rPr>
        <w:t>ó</w:t>
      </w:r>
      <w:r>
        <w:rPr>
          <w:spacing w:val="-8"/>
          <w:sz w:val="18"/>
          <w:szCs w:val="18"/>
          <w:lang w:val="es-ES_tradnl"/>
        </w:rPr>
        <w:t>n extraordinaria de protecci</w:t>
      </w:r>
      <w:r>
        <w:rPr>
          <w:rFonts w:cs="Times New Roman"/>
          <w:spacing w:val="-8"/>
          <w:sz w:val="18"/>
          <w:szCs w:val="18"/>
          <w:lang w:val="es-ES_tradnl"/>
        </w:rPr>
        <w:t>ó</w:t>
      </w:r>
      <w:r>
        <w:rPr>
          <w:spacing w:val="-8"/>
          <w:sz w:val="18"/>
          <w:szCs w:val="18"/>
          <w:lang w:val="es-ES_tradnl"/>
        </w:rPr>
        <w:t>n.</w:t>
      </w:r>
    </w:p>
    <w:p w14:paraId="4F67AB1E" w14:textId="77777777" w:rsidR="00591D54" w:rsidRDefault="00591D54">
      <w:pPr>
        <w:shd w:val="clear" w:color="auto" w:fill="FFFFFF"/>
        <w:spacing w:before="192"/>
      </w:pPr>
      <w:r>
        <w:rPr>
          <w:b/>
          <w:bCs/>
          <w:spacing w:val="-10"/>
          <w:sz w:val="18"/>
          <w:szCs w:val="18"/>
          <w:lang w:val="es-ES_tradnl"/>
        </w:rPr>
        <w:t>De la solicitud y sus argumentos</w:t>
      </w:r>
    </w:p>
    <w:p w14:paraId="4F67AB1F" w14:textId="77777777" w:rsidR="00591D54" w:rsidRDefault="00591D54">
      <w:pPr>
        <w:shd w:val="clear" w:color="auto" w:fill="FFFFFF"/>
        <w:spacing w:before="192" w:line="211" w:lineRule="exact"/>
        <w:ind w:right="5"/>
        <w:jc w:val="both"/>
      </w:pPr>
      <w:r>
        <w:rPr>
          <w:spacing w:val="-11"/>
          <w:sz w:val="18"/>
          <w:szCs w:val="18"/>
          <w:lang w:val="es-ES_tradnl"/>
        </w:rPr>
        <w:t>El se</w:t>
      </w:r>
      <w:r>
        <w:rPr>
          <w:rFonts w:cs="Times New Roman"/>
          <w:spacing w:val="-11"/>
          <w:sz w:val="18"/>
          <w:szCs w:val="18"/>
          <w:lang w:val="es-ES_tradnl"/>
        </w:rPr>
        <w:t>ñ</w:t>
      </w:r>
      <w:r>
        <w:rPr>
          <w:spacing w:val="-11"/>
          <w:sz w:val="18"/>
          <w:szCs w:val="18"/>
          <w:lang w:val="es-ES_tradnl"/>
        </w:rPr>
        <w:t>or Henry An</w:t>
      </w:r>
      <w:r>
        <w:rPr>
          <w:rFonts w:cs="Times New Roman"/>
          <w:spacing w:val="-11"/>
          <w:sz w:val="18"/>
          <w:szCs w:val="18"/>
          <w:lang w:val="es-ES_tradnl"/>
        </w:rPr>
        <w:t>í</w:t>
      </w:r>
      <w:r>
        <w:rPr>
          <w:spacing w:val="-11"/>
          <w:sz w:val="18"/>
          <w:szCs w:val="18"/>
          <w:lang w:val="es-ES_tradnl"/>
        </w:rPr>
        <w:t>bal Ayala Espinoza, en calidad de gerente general y representante legal de la compa</w:t>
      </w:r>
      <w:r>
        <w:rPr>
          <w:rFonts w:cs="Times New Roman"/>
          <w:spacing w:val="-11"/>
          <w:sz w:val="18"/>
          <w:szCs w:val="18"/>
          <w:lang w:val="es-ES_tradnl"/>
        </w:rPr>
        <w:t>ñí</w:t>
      </w:r>
      <w:r>
        <w:rPr>
          <w:spacing w:val="-11"/>
          <w:sz w:val="18"/>
          <w:szCs w:val="18"/>
          <w:lang w:val="es-ES_tradnl"/>
        </w:rPr>
        <w:t xml:space="preserve">a Denegsa S. A., </w:t>
      </w:r>
      <w:r>
        <w:rPr>
          <w:spacing w:val="-9"/>
          <w:sz w:val="18"/>
          <w:szCs w:val="18"/>
          <w:lang w:val="es-ES_tradnl"/>
        </w:rPr>
        <w:t>formul</w:t>
      </w:r>
      <w:r>
        <w:rPr>
          <w:rFonts w:cs="Times New Roman"/>
          <w:spacing w:val="-9"/>
          <w:sz w:val="18"/>
          <w:szCs w:val="18"/>
          <w:lang w:val="es-ES_tradnl"/>
        </w:rPr>
        <w:t>ó</w:t>
      </w:r>
      <w:r>
        <w:rPr>
          <w:spacing w:val="-9"/>
          <w:sz w:val="18"/>
          <w:szCs w:val="18"/>
          <w:lang w:val="es-ES_tradnl"/>
        </w:rPr>
        <w:t xml:space="preserve"> demanda de acci</w:t>
      </w:r>
      <w:r>
        <w:rPr>
          <w:rFonts w:cs="Times New Roman"/>
          <w:spacing w:val="-9"/>
          <w:sz w:val="18"/>
          <w:szCs w:val="18"/>
          <w:lang w:val="es-ES_tradnl"/>
        </w:rPr>
        <w:t>ó</w:t>
      </w:r>
      <w:r>
        <w:rPr>
          <w:spacing w:val="-9"/>
          <w:sz w:val="18"/>
          <w:szCs w:val="18"/>
          <w:lang w:val="es-ES_tradnl"/>
        </w:rPr>
        <w:t>n extraordinaria de protecci</w:t>
      </w:r>
      <w:r>
        <w:rPr>
          <w:rFonts w:cs="Times New Roman"/>
          <w:spacing w:val="-9"/>
          <w:sz w:val="18"/>
          <w:szCs w:val="18"/>
          <w:lang w:val="es-ES_tradnl"/>
        </w:rPr>
        <w:t>ó</w:t>
      </w:r>
      <w:r>
        <w:rPr>
          <w:spacing w:val="-9"/>
          <w:sz w:val="18"/>
          <w:szCs w:val="18"/>
          <w:lang w:val="es-ES_tradnl"/>
        </w:rPr>
        <w:t xml:space="preserve">n en </w:t>
      </w:r>
      <w:r>
        <w:rPr>
          <w:spacing w:val="-6"/>
          <w:sz w:val="18"/>
          <w:szCs w:val="18"/>
          <w:lang w:val="es-ES_tradnl"/>
        </w:rPr>
        <w:t>contra de la decisi</w:t>
      </w:r>
      <w:r>
        <w:rPr>
          <w:rFonts w:cs="Times New Roman"/>
          <w:spacing w:val="-6"/>
          <w:sz w:val="18"/>
          <w:szCs w:val="18"/>
          <w:lang w:val="es-ES_tradnl"/>
        </w:rPr>
        <w:t>ó</w:t>
      </w:r>
      <w:r>
        <w:rPr>
          <w:spacing w:val="-6"/>
          <w:sz w:val="18"/>
          <w:szCs w:val="18"/>
          <w:lang w:val="es-ES_tradnl"/>
        </w:rPr>
        <w:t xml:space="preserve">n judicial dictada el 12 de febrero de </w:t>
      </w:r>
      <w:r>
        <w:rPr>
          <w:spacing w:val="-9"/>
          <w:sz w:val="18"/>
          <w:szCs w:val="18"/>
          <w:lang w:val="es-ES_tradnl"/>
        </w:rPr>
        <w:t xml:space="preserve">2014, por la Sala </w:t>
      </w:r>
      <w:r>
        <w:rPr>
          <w:rFonts w:cs="Times New Roman"/>
          <w:spacing w:val="-9"/>
          <w:sz w:val="18"/>
          <w:szCs w:val="18"/>
          <w:lang w:val="es-ES_tradnl"/>
        </w:rPr>
        <w:t>Ú</w:t>
      </w:r>
      <w:r>
        <w:rPr>
          <w:spacing w:val="-9"/>
          <w:sz w:val="18"/>
          <w:szCs w:val="18"/>
          <w:lang w:val="es-ES_tradnl"/>
        </w:rPr>
        <w:t xml:space="preserve">nica de la Corte Provincial de Justicia de </w:t>
      </w:r>
      <w:r>
        <w:rPr>
          <w:spacing w:val="-10"/>
          <w:sz w:val="18"/>
          <w:szCs w:val="18"/>
          <w:lang w:val="es-ES_tradnl"/>
        </w:rPr>
        <w:t>Santo Domingo de los Ts</w:t>
      </w:r>
      <w:r>
        <w:rPr>
          <w:rFonts w:cs="Times New Roman"/>
          <w:spacing w:val="-10"/>
          <w:sz w:val="18"/>
          <w:szCs w:val="18"/>
          <w:lang w:val="es-ES_tradnl"/>
        </w:rPr>
        <w:t>á</w:t>
      </w:r>
      <w:r>
        <w:rPr>
          <w:spacing w:val="-10"/>
          <w:sz w:val="18"/>
          <w:szCs w:val="18"/>
          <w:lang w:val="es-ES_tradnl"/>
        </w:rPr>
        <w:t>chilas, la que inadmiti</w:t>
      </w:r>
      <w:r>
        <w:rPr>
          <w:rFonts w:cs="Times New Roman"/>
          <w:spacing w:val="-10"/>
          <w:sz w:val="18"/>
          <w:szCs w:val="18"/>
          <w:lang w:val="es-ES_tradnl"/>
        </w:rPr>
        <w:t>ó</w:t>
      </w:r>
      <w:r>
        <w:rPr>
          <w:spacing w:val="-10"/>
          <w:sz w:val="18"/>
          <w:szCs w:val="18"/>
          <w:lang w:val="es-ES_tradnl"/>
        </w:rPr>
        <w:t xml:space="preserve"> su recurso </w:t>
      </w:r>
      <w:r>
        <w:rPr>
          <w:spacing w:val="-9"/>
          <w:sz w:val="18"/>
          <w:szCs w:val="18"/>
          <w:lang w:val="es-ES_tradnl"/>
        </w:rPr>
        <w:t>de casaci</w:t>
      </w:r>
      <w:r>
        <w:rPr>
          <w:rFonts w:cs="Times New Roman"/>
          <w:spacing w:val="-9"/>
          <w:sz w:val="18"/>
          <w:szCs w:val="18"/>
          <w:lang w:val="es-ES_tradnl"/>
        </w:rPr>
        <w:t>ó</w:t>
      </w:r>
      <w:r>
        <w:rPr>
          <w:spacing w:val="-9"/>
          <w:sz w:val="18"/>
          <w:szCs w:val="18"/>
          <w:lang w:val="es-ES_tradnl"/>
        </w:rPr>
        <w:t>n y confirm</w:t>
      </w:r>
      <w:r>
        <w:rPr>
          <w:rFonts w:cs="Times New Roman"/>
          <w:spacing w:val="-9"/>
          <w:sz w:val="18"/>
          <w:szCs w:val="18"/>
          <w:lang w:val="es-ES_tradnl"/>
        </w:rPr>
        <w:t>ó</w:t>
      </w:r>
      <w:r>
        <w:rPr>
          <w:spacing w:val="-9"/>
          <w:sz w:val="18"/>
          <w:szCs w:val="18"/>
          <w:lang w:val="es-ES_tradnl"/>
        </w:rPr>
        <w:t xml:space="preserve"> la sentencia venida en grado.</w:t>
      </w:r>
    </w:p>
    <w:p w14:paraId="4F67AB20" w14:textId="77777777" w:rsidR="00591D54" w:rsidRDefault="00591D54">
      <w:pPr>
        <w:shd w:val="clear" w:color="auto" w:fill="FFFFFF"/>
        <w:spacing w:before="187" w:line="216" w:lineRule="exact"/>
        <w:ind w:right="5"/>
        <w:jc w:val="both"/>
      </w:pPr>
      <w:r>
        <w:rPr>
          <w:spacing w:val="-4"/>
          <w:sz w:val="18"/>
          <w:szCs w:val="18"/>
          <w:lang w:val="es-ES_tradnl"/>
        </w:rPr>
        <w:t xml:space="preserve">En lo principal, el legitimado activo manifiesta que la </w:t>
      </w:r>
      <w:r>
        <w:rPr>
          <w:sz w:val="18"/>
          <w:szCs w:val="18"/>
          <w:lang w:val="es-ES_tradnl"/>
        </w:rPr>
        <w:t>decisi</w:t>
      </w:r>
      <w:r>
        <w:rPr>
          <w:rFonts w:cs="Times New Roman"/>
          <w:sz w:val="18"/>
          <w:szCs w:val="18"/>
          <w:lang w:val="es-ES_tradnl"/>
        </w:rPr>
        <w:t>ó</w:t>
      </w:r>
      <w:r>
        <w:rPr>
          <w:sz w:val="18"/>
          <w:szCs w:val="18"/>
          <w:lang w:val="es-ES_tradnl"/>
        </w:rPr>
        <w:t>n judicial impugnada:</w:t>
      </w:r>
    </w:p>
    <w:p w14:paraId="4F67AB21" w14:textId="77777777" w:rsidR="00591D54" w:rsidRDefault="00591D54">
      <w:pPr>
        <w:shd w:val="clear" w:color="auto" w:fill="FFFFFF"/>
        <w:spacing w:before="202" w:line="211" w:lineRule="exact"/>
        <w:ind w:left="283"/>
        <w:jc w:val="both"/>
      </w:pPr>
      <w:r>
        <w:rPr>
          <w:spacing w:val="-6"/>
          <w:sz w:val="16"/>
          <w:szCs w:val="16"/>
          <w:lang w:val="es-ES_tradnl"/>
        </w:rPr>
        <w:t>(</w:t>
      </w:r>
      <w:r>
        <w:rPr>
          <w:rFonts w:cs="Times New Roman"/>
          <w:spacing w:val="-6"/>
          <w:sz w:val="16"/>
          <w:szCs w:val="16"/>
          <w:lang w:val="es-ES_tradnl"/>
        </w:rPr>
        <w:t>…</w:t>
      </w:r>
      <w:r>
        <w:rPr>
          <w:spacing w:val="-6"/>
          <w:sz w:val="16"/>
          <w:szCs w:val="16"/>
          <w:lang w:val="es-ES_tradnl"/>
        </w:rPr>
        <w:t>) violent</w:t>
      </w:r>
      <w:r>
        <w:rPr>
          <w:rFonts w:cs="Times New Roman"/>
          <w:spacing w:val="-6"/>
          <w:sz w:val="16"/>
          <w:szCs w:val="16"/>
          <w:lang w:val="es-ES_tradnl"/>
        </w:rPr>
        <w:t>ó</w:t>
      </w:r>
      <w:r>
        <w:rPr>
          <w:spacing w:val="-6"/>
          <w:sz w:val="16"/>
          <w:szCs w:val="16"/>
          <w:lang w:val="es-ES_tradnl"/>
        </w:rPr>
        <w:t xml:space="preserve"> mi Derecho a la Defensa, el Acceso a la Justicia, a la de recibir resoluciones debidamente motivadas con </w:t>
      </w:r>
      <w:r>
        <w:rPr>
          <w:spacing w:val="-7"/>
          <w:sz w:val="16"/>
          <w:szCs w:val="16"/>
          <w:lang w:val="es-ES_tradnl"/>
        </w:rPr>
        <w:t>enunciaci</w:t>
      </w:r>
      <w:r>
        <w:rPr>
          <w:rFonts w:cs="Times New Roman"/>
          <w:spacing w:val="-7"/>
          <w:sz w:val="16"/>
          <w:szCs w:val="16"/>
          <w:lang w:val="es-ES_tradnl"/>
        </w:rPr>
        <w:t>ó</w:t>
      </w:r>
      <w:r>
        <w:rPr>
          <w:spacing w:val="-7"/>
          <w:sz w:val="16"/>
          <w:szCs w:val="16"/>
          <w:lang w:val="es-ES_tradnl"/>
        </w:rPr>
        <w:t>n de las normas o principios jur</w:t>
      </w:r>
      <w:r>
        <w:rPr>
          <w:rFonts w:cs="Times New Roman"/>
          <w:spacing w:val="-7"/>
          <w:sz w:val="16"/>
          <w:szCs w:val="16"/>
          <w:lang w:val="es-ES_tradnl"/>
        </w:rPr>
        <w:t>í</w:t>
      </w:r>
      <w:r>
        <w:rPr>
          <w:spacing w:val="-7"/>
          <w:sz w:val="16"/>
          <w:szCs w:val="16"/>
          <w:lang w:val="es-ES_tradnl"/>
        </w:rPr>
        <w:t xml:space="preserve">dicos, y mi Derecho </w:t>
      </w:r>
      <w:r>
        <w:rPr>
          <w:spacing w:val="-6"/>
          <w:sz w:val="16"/>
          <w:szCs w:val="16"/>
          <w:lang w:val="es-ES_tradnl"/>
        </w:rPr>
        <w:t>a la Seguridad Jur</w:t>
      </w:r>
      <w:r>
        <w:rPr>
          <w:rFonts w:cs="Times New Roman"/>
          <w:spacing w:val="-6"/>
          <w:sz w:val="16"/>
          <w:szCs w:val="16"/>
          <w:lang w:val="es-ES_tradnl"/>
        </w:rPr>
        <w:t>í</w:t>
      </w:r>
      <w:r>
        <w:rPr>
          <w:spacing w:val="-6"/>
          <w:sz w:val="16"/>
          <w:szCs w:val="16"/>
          <w:lang w:val="es-ES_tradnl"/>
        </w:rPr>
        <w:t>dica, ya que mediante una resoluci</w:t>
      </w:r>
      <w:r>
        <w:rPr>
          <w:rFonts w:cs="Times New Roman"/>
          <w:spacing w:val="-6"/>
          <w:sz w:val="16"/>
          <w:szCs w:val="16"/>
          <w:lang w:val="es-ES_tradnl"/>
        </w:rPr>
        <w:t>ó</w:t>
      </w:r>
      <w:r>
        <w:rPr>
          <w:spacing w:val="-6"/>
          <w:sz w:val="16"/>
          <w:szCs w:val="16"/>
          <w:lang w:val="es-ES_tradnl"/>
        </w:rPr>
        <w:t xml:space="preserve">n con </w:t>
      </w:r>
      <w:r>
        <w:rPr>
          <w:spacing w:val="-5"/>
          <w:sz w:val="16"/>
          <w:szCs w:val="16"/>
          <w:lang w:val="es-ES_tradnl"/>
        </w:rPr>
        <w:t>la cual se me inadmiti</w:t>
      </w:r>
      <w:r>
        <w:rPr>
          <w:rFonts w:cs="Times New Roman"/>
          <w:spacing w:val="-5"/>
          <w:sz w:val="16"/>
          <w:szCs w:val="16"/>
          <w:lang w:val="es-ES_tradnl"/>
        </w:rPr>
        <w:t>ó</w:t>
      </w:r>
      <w:r>
        <w:rPr>
          <w:spacing w:val="-5"/>
          <w:sz w:val="16"/>
          <w:szCs w:val="16"/>
          <w:lang w:val="es-ES_tradnl"/>
        </w:rPr>
        <w:t xml:space="preserve"> el Recurso de Casaci</w:t>
      </w:r>
      <w:r>
        <w:rPr>
          <w:rFonts w:cs="Times New Roman"/>
          <w:spacing w:val="-5"/>
          <w:sz w:val="16"/>
          <w:szCs w:val="16"/>
          <w:lang w:val="es-ES_tradnl"/>
        </w:rPr>
        <w:t>ó</w:t>
      </w:r>
      <w:r>
        <w:rPr>
          <w:spacing w:val="-5"/>
          <w:sz w:val="16"/>
          <w:szCs w:val="16"/>
          <w:lang w:val="es-ES_tradnl"/>
        </w:rPr>
        <w:t xml:space="preserve">n, la Sala dijo </w:t>
      </w:r>
      <w:r>
        <w:rPr>
          <w:spacing w:val="-6"/>
          <w:sz w:val="16"/>
          <w:szCs w:val="16"/>
          <w:lang w:val="es-ES_tradnl"/>
        </w:rPr>
        <w:t>que lo hac</w:t>
      </w:r>
      <w:r>
        <w:rPr>
          <w:rFonts w:cs="Times New Roman"/>
          <w:spacing w:val="-6"/>
          <w:sz w:val="16"/>
          <w:szCs w:val="16"/>
          <w:lang w:val="es-ES_tradnl"/>
        </w:rPr>
        <w:t>í</w:t>
      </w:r>
      <w:r>
        <w:rPr>
          <w:spacing w:val="-6"/>
          <w:sz w:val="16"/>
          <w:szCs w:val="16"/>
          <w:lang w:val="es-ES_tradnl"/>
        </w:rPr>
        <w:t>a en vista de que el escrito de casaci</w:t>
      </w:r>
      <w:r>
        <w:rPr>
          <w:rFonts w:cs="Times New Roman"/>
          <w:spacing w:val="-6"/>
          <w:sz w:val="16"/>
          <w:szCs w:val="16"/>
          <w:lang w:val="es-ES_tradnl"/>
        </w:rPr>
        <w:t>ó</w:t>
      </w:r>
      <w:r>
        <w:rPr>
          <w:spacing w:val="-6"/>
          <w:sz w:val="16"/>
          <w:szCs w:val="16"/>
          <w:lang w:val="es-ES_tradnl"/>
        </w:rPr>
        <w:t xml:space="preserve">n no estaba </w:t>
      </w:r>
      <w:r>
        <w:rPr>
          <w:spacing w:val="-5"/>
          <w:sz w:val="16"/>
          <w:szCs w:val="16"/>
          <w:lang w:val="es-ES_tradnl"/>
        </w:rPr>
        <w:t xml:space="preserve">firmado por el suscrito, es decir solamente estaba firmado </w:t>
      </w:r>
      <w:r>
        <w:rPr>
          <w:spacing w:val="-7"/>
          <w:sz w:val="16"/>
          <w:szCs w:val="16"/>
          <w:lang w:val="es-ES_tradnl"/>
        </w:rPr>
        <w:t>por mi abogado defensor, y los dem</w:t>
      </w:r>
      <w:r>
        <w:rPr>
          <w:rFonts w:cs="Times New Roman"/>
          <w:spacing w:val="-7"/>
          <w:sz w:val="16"/>
          <w:szCs w:val="16"/>
          <w:lang w:val="es-ES_tradnl"/>
        </w:rPr>
        <w:t>á</w:t>
      </w:r>
      <w:r>
        <w:rPr>
          <w:spacing w:val="-7"/>
          <w:sz w:val="16"/>
          <w:szCs w:val="16"/>
          <w:lang w:val="es-ES_tradnl"/>
        </w:rPr>
        <w:t xml:space="preserve">s escritos por haberlos </w:t>
      </w:r>
      <w:r>
        <w:rPr>
          <w:spacing w:val="-8"/>
          <w:sz w:val="16"/>
          <w:szCs w:val="16"/>
          <w:lang w:val="es-ES_tradnl"/>
        </w:rPr>
        <w:t>interpuesto de forma extempor</w:t>
      </w:r>
      <w:r>
        <w:rPr>
          <w:rFonts w:cs="Times New Roman"/>
          <w:spacing w:val="-8"/>
          <w:sz w:val="16"/>
          <w:szCs w:val="16"/>
          <w:lang w:val="es-ES_tradnl"/>
        </w:rPr>
        <w:t>á</w:t>
      </w:r>
      <w:r>
        <w:rPr>
          <w:spacing w:val="-8"/>
          <w:sz w:val="16"/>
          <w:szCs w:val="16"/>
          <w:lang w:val="es-ES_tradnl"/>
        </w:rPr>
        <w:t>nea, pero la Sala no consider</w:t>
      </w:r>
      <w:r>
        <w:rPr>
          <w:rFonts w:cs="Times New Roman"/>
          <w:spacing w:val="-8"/>
          <w:sz w:val="16"/>
          <w:szCs w:val="16"/>
          <w:lang w:val="es-ES_tradnl"/>
        </w:rPr>
        <w:t xml:space="preserve">ó </w:t>
      </w:r>
      <w:r>
        <w:rPr>
          <w:spacing w:val="-9"/>
          <w:sz w:val="16"/>
          <w:szCs w:val="16"/>
          <w:lang w:val="es-ES_tradnl"/>
        </w:rPr>
        <w:t xml:space="preserve">que mis Derechos entre otros son el de contar con un abogado </w:t>
      </w:r>
      <w:r>
        <w:rPr>
          <w:spacing w:val="-2"/>
          <w:sz w:val="16"/>
          <w:szCs w:val="16"/>
          <w:lang w:val="es-ES_tradnl"/>
        </w:rPr>
        <w:t>de mi elecci</w:t>
      </w:r>
      <w:r>
        <w:rPr>
          <w:rFonts w:cs="Times New Roman"/>
          <w:spacing w:val="-2"/>
          <w:sz w:val="16"/>
          <w:szCs w:val="16"/>
          <w:lang w:val="es-ES_tradnl"/>
        </w:rPr>
        <w:t>ó</w:t>
      </w:r>
      <w:r>
        <w:rPr>
          <w:spacing w:val="-2"/>
          <w:sz w:val="16"/>
          <w:szCs w:val="16"/>
          <w:lang w:val="es-ES_tradnl"/>
        </w:rPr>
        <w:t>n, el de no quedar en indefensi</w:t>
      </w:r>
      <w:r>
        <w:rPr>
          <w:rFonts w:cs="Times New Roman"/>
          <w:spacing w:val="-2"/>
          <w:sz w:val="16"/>
          <w:szCs w:val="16"/>
          <w:lang w:val="es-ES_tradnl"/>
        </w:rPr>
        <w:t>ó</w:t>
      </w:r>
      <w:r>
        <w:rPr>
          <w:spacing w:val="-2"/>
          <w:sz w:val="16"/>
          <w:szCs w:val="16"/>
          <w:lang w:val="es-ES_tradnl"/>
        </w:rPr>
        <w:t xml:space="preserve">n, el de que </w:t>
      </w:r>
      <w:r>
        <w:rPr>
          <w:spacing w:val="-7"/>
          <w:sz w:val="16"/>
          <w:szCs w:val="16"/>
          <w:lang w:val="es-ES_tradnl"/>
        </w:rPr>
        <w:t>se respete la Seguridad Jur</w:t>
      </w:r>
      <w:r>
        <w:rPr>
          <w:rFonts w:cs="Times New Roman"/>
          <w:spacing w:val="-7"/>
          <w:sz w:val="16"/>
          <w:szCs w:val="16"/>
          <w:lang w:val="es-ES_tradnl"/>
        </w:rPr>
        <w:t>í</w:t>
      </w:r>
      <w:r>
        <w:rPr>
          <w:spacing w:val="-7"/>
          <w:sz w:val="16"/>
          <w:szCs w:val="16"/>
          <w:lang w:val="es-ES_tradnl"/>
        </w:rPr>
        <w:t>dica (</w:t>
      </w:r>
      <w:r>
        <w:rPr>
          <w:rFonts w:cs="Times New Roman"/>
          <w:spacing w:val="-7"/>
          <w:sz w:val="16"/>
          <w:szCs w:val="16"/>
          <w:lang w:val="es-ES_tradnl"/>
        </w:rPr>
        <w:t>…</w:t>
      </w:r>
      <w:r>
        <w:rPr>
          <w:spacing w:val="-7"/>
          <w:sz w:val="16"/>
          <w:szCs w:val="16"/>
          <w:lang w:val="es-ES_tradnl"/>
        </w:rPr>
        <w:t xml:space="preserve">) como es el de que los </w:t>
      </w:r>
      <w:r>
        <w:rPr>
          <w:spacing w:val="-6"/>
          <w:sz w:val="16"/>
          <w:szCs w:val="16"/>
          <w:lang w:val="es-ES_tradnl"/>
        </w:rPr>
        <w:t xml:space="preserve">abogados en libre ejercicio profesional, pueden intervenir en </w:t>
      </w:r>
      <w:r>
        <w:rPr>
          <w:spacing w:val="-7"/>
          <w:sz w:val="16"/>
          <w:szCs w:val="16"/>
          <w:lang w:val="es-ES_tradnl"/>
        </w:rPr>
        <w:t>los juicios, a nombre y representaci</w:t>
      </w:r>
      <w:r>
        <w:rPr>
          <w:rFonts w:cs="Times New Roman"/>
          <w:spacing w:val="-7"/>
          <w:sz w:val="16"/>
          <w:szCs w:val="16"/>
          <w:lang w:val="es-ES_tradnl"/>
        </w:rPr>
        <w:t>ó</w:t>
      </w:r>
      <w:r>
        <w:rPr>
          <w:spacing w:val="-7"/>
          <w:sz w:val="16"/>
          <w:szCs w:val="16"/>
          <w:lang w:val="es-ES_tradnl"/>
        </w:rPr>
        <w:t xml:space="preserve">n de las partes y pueden </w:t>
      </w:r>
      <w:r>
        <w:rPr>
          <w:spacing w:val="-9"/>
          <w:sz w:val="16"/>
          <w:szCs w:val="16"/>
          <w:lang w:val="es-ES_tradnl"/>
        </w:rPr>
        <w:t xml:space="preserve">ser ratificados en el tiempo oportuno, pero la Sala nuevamente </w:t>
      </w:r>
      <w:r>
        <w:rPr>
          <w:spacing w:val="-5"/>
          <w:sz w:val="16"/>
          <w:szCs w:val="16"/>
          <w:lang w:val="es-ES_tradnl"/>
        </w:rPr>
        <w:t>no me atendi</w:t>
      </w:r>
      <w:r>
        <w:rPr>
          <w:rFonts w:cs="Times New Roman"/>
          <w:spacing w:val="-5"/>
          <w:sz w:val="16"/>
          <w:szCs w:val="16"/>
          <w:lang w:val="es-ES_tradnl"/>
        </w:rPr>
        <w:t>ó</w:t>
      </w:r>
      <w:r>
        <w:rPr>
          <w:spacing w:val="-5"/>
          <w:sz w:val="16"/>
          <w:szCs w:val="16"/>
          <w:lang w:val="es-ES_tradnl"/>
        </w:rPr>
        <w:t xml:space="preserve"> (</w:t>
      </w:r>
      <w:r>
        <w:rPr>
          <w:rFonts w:cs="Times New Roman"/>
          <w:spacing w:val="-5"/>
          <w:sz w:val="16"/>
          <w:szCs w:val="16"/>
          <w:lang w:val="es-ES_tradnl"/>
        </w:rPr>
        <w:t>…</w:t>
      </w:r>
      <w:r>
        <w:rPr>
          <w:spacing w:val="-5"/>
          <w:sz w:val="16"/>
          <w:szCs w:val="16"/>
          <w:lang w:val="es-ES_tradnl"/>
        </w:rPr>
        <w:t xml:space="preserve">) En vista de que me encontraba fuera de </w:t>
      </w:r>
      <w:r>
        <w:rPr>
          <w:spacing w:val="-6"/>
          <w:sz w:val="16"/>
          <w:szCs w:val="16"/>
          <w:lang w:val="es-ES_tradnl"/>
        </w:rPr>
        <w:t>la ciudad, en mis ocupaciones de Gerente, no pude estar presente en el momento de firmar mi Recurso de Casaci</w:t>
      </w:r>
      <w:r>
        <w:rPr>
          <w:rFonts w:cs="Times New Roman"/>
          <w:spacing w:val="-6"/>
          <w:sz w:val="16"/>
          <w:szCs w:val="16"/>
          <w:lang w:val="es-ES_tradnl"/>
        </w:rPr>
        <w:t>ó</w:t>
      </w:r>
      <w:r>
        <w:rPr>
          <w:spacing w:val="-6"/>
          <w:sz w:val="16"/>
          <w:szCs w:val="16"/>
          <w:lang w:val="es-ES_tradnl"/>
        </w:rPr>
        <w:t xml:space="preserve">n, </w:t>
      </w:r>
      <w:r>
        <w:rPr>
          <w:spacing w:val="-9"/>
          <w:sz w:val="16"/>
          <w:szCs w:val="16"/>
          <w:lang w:val="es-ES_tradnl"/>
        </w:rPr>
        <w:t xml:space="preserve">ya que haciendo uso de mi Derecho de elegir a un abogado de </w:t>
      </w:r>
      <w:r>
        <w:rPr>
          <w:spacing w:val="-5"/>
          <w:sz w:val="16"/>
          <w:szCs w:val="16"/>
          <w:lang w:val="es-ES_tradnl"/>
        </w:rPr>
        <w:t>mi predilecci</w:t>
      </w:r>
      <w:r>
        <w:rPr>
          <w:rFonts w:cs="Times New Roman"/>
          <w:spacing w:val="-5"/>
          <w:sz w:val="16"/>
          <w:szCs w:val="16"/>
          <w:lang w:val="es-ES_tradnl"/>
        </w:rPr>
        <w:t>ó</w:t>
      </w:r>
      <w:r>
        <w:rPr>
          <w:spacing w:val="-5"/>
          <w:sz w:val="16"/>
          <w:szCs w:val="16"/>
          <w:lang w:val="es-ES_tradnl"/>
        </w:rPr>
        <w:t>n, ped</w:t>
      </w:r>
      <w:r>
        <w:rPr>
          <w:rFonts w:cs="Times New Roman"/>
          <w:spacing w:val="-5"/>
          <w:sz w:val="16"/>
          <w:szCs w:val="16"/>
          <w:lang w:val="es-ES_tradnl"/>
        </w:rPr>
        <w:t>í</w:t>
      </w:r>
      <w:r>
        <w:rPr>
          <w:spacing w:val="-5"/>
          <w:sz w:val="16"/>
          <w:szCs w:val="16"/>
          <w:lang w:val="es-ES_tradnl"/>
        </w:rPr>
        <w:t xml:space="preserve"> a otro que no fue el que al principio me </w:t>
      </w:r>
      <w:r>
        <w:rPr>
          <w:spacing w:val="-7"/>
          <w:sz w:val="16"/>
          <w:szCs w:val="16"/>
          <w:lang w:val="es-ES_tradnl"/>
        </w:rPr>
        <w:t>patrocin</w:t>
      </w:r>
      <w:r>
        <w:rPr>
          <w:rFonts w:cs="Times New Roman"/>
          <w:spacing w:val="-7"/>
          <w:sz w:val="16"/>
          <w:szCs w:val="16"/>
          <w:lang w:val="es-ES_tradnl"/>
        </w:rPr>
        <w:t>ó</w:t>
      </w:r>
      <w:r>
        <w:rPr>
          <w:spacing w:val="-7"/>
          <w:sz w:val="16"/>
          <w:szCs w:val="16"/>
          <w:lang w:val="es-ES_tradnl"/>
        </w:rPr>
        <w:t xml:space="preserve"> para que presente el recurso de casaci</w:t>
      </w:r>
      <w:r>
        <w:rPr>
          <w:rFonts w:cs="Times New Roman"/>
          <w:spacing w:val="-7"/>
          <w:sz w:val="16"/>
          <w:szCs w:val="16"/>
          <w:lang w:val="es-ES_tradnl"/>
        </w:rPr>
        <w:t>ó</w:t>
      </w:r>
      <w:r>
        <w:rPr>
          <w:spacing w:val="-7"/>
          <w:sz w:val="16"/>
          <w:szCs w:val="16"/>
          <w:lang w:val="es-ES_tradnl"/>
        </w:rPr>
        <w:t>n; mi nuevo abogado, haciendo uso del Derecho a la Seguridad Jur</w:t>
      </w:r>
      <w:r>
        <w:rPr>
          <w:rFonts w:cs="Times New Roman"/>
          <w:spacing w:val="-7"/>
          <w:sz w:val="16"/>
          <w:szCs w:val="16"/>
          <w:lang w:val="es-ES_tradnl"/>
        </w:rPr>
        <w:t>í</w:t>
      </w:r>
      <w:r>
        <w:rPr>
          <w:spacing w:val="-7"/>
          <w:sz w:val="16"/>
          <w:szCs w:val="16"/>
          <w:lang w:val="es-ES_tradnl"/>
        </w:rPr>
        <w:t xml:space="preserve">dica, </w:t>
      </w:r>
      <w:r>
        <w:rPr>
          <w:spacing w:val="-6"/>
          <w:sz w:val="16"/>
          <w:szCs w:val="16"/>
          <w:lang w:val="es-ES_tradnl"/>
        </w:rPr>
        <w:t>present</w:t>
      </w:r>
      <w:r>
        <w:rPr>
          <w:rFonts w:cs="Times New Roman"/>
          <w:spacing w:val="-6"/>
          <w:sz w:val="16"/>
          <w:szCs w:val="16"/>
          <w:lang w:val="es-ES_tradnl"/>
        </w:rPr>
        <w:t>ó</w:t>
      </w:r>
      <w:r>
        <w:rPr>
          <w:spacing w:val="-6"/>
          <w:sz w:val="16"/>
          <w:szCs w:val="16"/>
          <w:lang w:val="es-ES_tradnl"/>
        </w:rPr>
        <w:t xml:space="preserve"> a mi nombre y representaci</w:t>
      </w:r>
      <w:r>
        <w:rPr>
          <w:rFonts w:cs="Times New Roman"/>
          <w:spacing w:val="-6"/>
          <w:sz w:val="16"/>
          <w:szCs w:val="16"/>
          <w:lang w:val="es-ES_tradnl"/>
        </w:rPr>
        <w:t>ó</w:t>
      </w:r>
      <w:r>
        <w:rPr>
          <w:spacing w:val="-6"/>
          <w:sz w:val="16"/>
          <w:szCs w:val="16"/>
          <w:lang w:val="es-ES_tradnl"/>
        </w:rPr>
        <w:t xml:space="preserve">n, ofreciendo Poder o </w:t>
      </w:r>
      <w:r>
        <w:rPr>
          <w:sz w:val="16"/>
          <w:szCs w:val="16"/>
          <w:lang w:val="es-ES_tradnl"/>
        </w:rPr>
        <w:t>Ratificaci</w:t>
      </w:r>
      <w:r>
        <w:rPr>
          <w:rFonts w:cs="Times New Roman"/>
          <w:sz w:val="16"/>
          <w:szCs w:val="16"/>
          <w:lang w:val="es-ES_tradnl"/>
        </w:rPr>
        <w:t>ó</w:t>
      </w:r>
      <w:r>
        <w:rPr>
          <w:sz w:val="16"/>
          <w:szCs w:val="16"/>
          <w:lang w:val="es-ES_tradnl"/>
        </w:rPr>
        <w:t>n, el recurso de casaci</w:t>
      </w:r>
      <w:r>
        <w:rPr>
          <w:rFonts w:cs="Times New Roman"/>
          <w:sz w:val="16"/>
          <w:szCs w:val="16"/>
          <w:lang w:val="es-ES_tradnl"/>
        </w:rPr>
        <w:t>ó</w:t>
      </w:r>
      <w:r>
        <w:rPr>
          <w:sz w:val="16"/>
          <w:szCs w:val="16"/>
          <w:lang w:val="es-ES_tradnl"/>
        </w:rPr>
        <w:t>n .</w:t>
      </w:r>
    </w:p>
    <w:p w14:paraId="4F67AB22" w14:textId="77777777" w:rsidR="00591D54" w:rsidRDefault="00591D54">
      <w:pPr>
        <w:shd w:val="clear" w:color="auto" w:fill="FFFFFF"/>
        <w:spacing w:before="192"/>
      </w:pPr>
      <w:r>
        <w:rPr>
          <w:b/>
          <w:bCs/>
          <w:spacing w:val="-11"/>
          <w:sz w:val="18"/>
          <w:szCs w:val="18"/>
          <w:lang w:val="es-ES_tradnl"/>
        </w:rPr>
        <w:t>Pretensi</w:t>
      </w:r>
      <w:r>
        <w:rPr>
          <w:rFonts w:cs="Times New Roman"/>
          <w:b/>
          <w:bCs/>
          <w:spacing w:val="-11"/>
          <w:sz w:val="18"/>
          <w:szCs w:val="18"/>
          <w:lang w:val="es-ES_tradnl"/>
        </w:rPr>
        <w:t>ó</w:t>
      </w:r>
      <w:r>
        <w:rPr>
          <w:b/>
          <w:bCs/>
          <w:spacing w:val="-11"/>
          <w:sz w:val="18"/>
          <w:szCs w:val="18"/>
          <w:lang w:val="es-ES_tradnl"/>
        </w:rPr>
        <w:t>n concreta</w:t>
      </w:r>
    </w:p>
    <w:p w14:paraId="4F67AB23" w14:textId="77777777" w:rsidR="00591D54" w:rsidRDefault="00591D54">
      <w:pPr>
        <w:shd w:val="clear" w:color="auto" w:fill="FFFFFF"/>
        <w:spacing w:before="192" w:line="211" w:lineRule="exact"/>
        <w:jc w:val="both"/>
      </w:pPr>
      <w:r>
        <w:rPr>
          <w:spacing w:val="-10"/>
          <w:sz w:val="18"/>
          <w:szCs w:val="18"/>
          <w:lang w:val="es-ES_tradnl"/>
        </w:rPr>
        <w:t>En m</w:t>
      </w:r>
      <w:r>
        <w:rPr>
          <w:rFonts w:cs="Times New Roman"/>
          <w:spacing w:val="-10"/>
          <w:sz w:val="18"/>
          <w:szCs w:val="18"/>
          <w:lang w:val="es-ES_tradnl"/>
        </w:rPr>
        <w:t>é</w:t>
      </w:r>
      <w:r>
        <w:rPr>
          <w:spacing w:val="-10"/>
          <w:sz w:val="18"/>
          <w:szCs w:val="18"/>
          <w:lang w:val="es-ES_tradnl"/>
        </w:rPr>
        <w:t xml:space="preserve">rito de lo expuesto, el accionante solicita textualmente </w:t>
      </w:r>
      <w:r>
        <w:rPr>
          <w:sz w:val="18"/>
          <w:szCs w:val="18"/>
          <w:lang w:val="es-ES_tradnl"/>
        </w:rPr>
        <w:t>lo siguiente:</w:t>
      </w:r>
    </w:p>
    <w:p w14:paraId="4F67AB24" w14:textId="77777777" w:rsidR="00591D54" w:rsidRDefault="00591D54">
      <w:pPr>
        <w:shd w:val="clear" w:color="auto" w:fill="FFFFFF"/>
        <w:spacing w:line="216" w:lineRule="exact"/>
        <w:ind w:left="283"/>
        <w:jc w:val="both"/>
      </w:pPr>
      <w:r>
        <w:br w:type="column"/>
      </w:r>
      <w:r>
        <w:rPr>
          <w:spacing w:val="-8"/>
          <w:sz w:val="16"/>
          <w:szCs w:val="16"/>
          <w:lang w:val="es-ES_tradnl"/>
        </w:rPr>
        <w:t>(</w:t>
      </w:r>
      <w:r>
        <w:rPr>
          <w:rFonts w:cs="Times New Roman"/>
          <w:spacing w:val="-8"/>
          <w:sz w:val="16"/>
          <w:szCs w:val="16"/>
          <w:lang w:val="es-ES_tradnl"/>
        </w:rPr>
        <w:t>…</w:t>
      </w:r>
      <w:r>
        <w:rPr>
          <w:spacing w:val="-8"/>
          <w:sz w:val="16"/>
          <w:szCs w:val="16"/>
          <w:lang w:val="es-ES_tradnl"/>
        </w:rPr>
        <w:t xml:space="preserve">) a) Que se deje sin efecto o se declare Nulo el Auto dictado del 12 de febrero 2014 dictado por los Jueces de la </w:t>
      </w:r>
      <w:r>
        <w:rPr>
          <w:rFonts w:cs="Times New Roman"/>
          <w:spacing w:val="-8"/>
          <w:sz w:val="16"/>
          <w:szCs w:val="16"/>
          <w:lang w:val="es-ES_tradnl"/>
        </w:rPr>
        <w:t>Ú</w:t>
      </w:r>
      <w:r>
        <w:rPr>
          <w:spacing w:val="-8"/>
          <w:sz w:val="16"/>
          <w:szCs w:val="16"/>
          <w:lang w:val="es-ES_tradnl"/>
        </w:rPr>
        <w:t xml:space="preserve">nica Sala </w:t>
      </w:r>
      <w:r>
        <w:rPr>
          <w:spacing w:val="-5"/>
          <w:sz w:val="16"/>
          <w:szCs w:val="16"/>
          <w:lang w:val="es-ES_tradnl"/>
        </w:rPr>
        <w:t xml:space="preserve">de la Corte Provincial de Justicia de Santo Domingo de los </w:t>
      </w:r>
      <w:r>
        <w:rPr>
          <w:spacing w:val="-7"/>
          <w:sz w:val="16"/>
          <w:szCs w:val="16"/>
          <w:lang w:val="es-ES_tradnl"/>
        </w:rPr>
        <w:t>Ts</w:t>
      </w:r>
      <w:r>
        <w:rPr>
          <w:rFonts w:cs="Times New Roman"/>
          <w:spacing w:val="-7"/>
          <w:sz w:val="16"/>
          <w:szCs w:val="16"/>
          <w:lang w:val="es-ES_tradnl"/>
        </w:rPr>
        <w:t>á</w:t>
      </w:r>
      <w:r>
        <w:rPr>
          <w:spacing w:val="-7"/>
          <w:sz w:val="16"/>
          <w:szCs w:val="16"/>
          <w:lang w:val="es-ES_tradnl"/>
        </w:rPr>
        <w:t>chilas. b) Que se respete mis Garant</w:t>
      </w:r>
      <w:r>
        <w:rPr>
          <w:rFonts w:cs="Times New Roman"/>
          <w:spacing w:val="-7"/>
          <w:sz w:val="16"/>
          <w:szCs w:val="16"/>
          <w:lang w:val="es-ES_tradnl"/>
        </w:rPr>
        <w:t>í</w:t>
      </w:r>
      <w:r>
        <w:rPr>
          <w:spacing w:val="-7"/>
          <w:sz w:val="16"/>
          <w:szCs w:val="16"/>
          <w:lang w:val="es-ES_tradnl"/>
        </w:rPr>
        <w:t xml:space="preserve">as Constitucionales </w:t>
      </w:r>
      <w:r>
        <w:rPr>
          <w:spacing w:val="-8"/>
          <w:sz w:val="16"/>
          <w:szCs w:val="16"/>
          <w:lang w:val="es-ES_tradnl"/>
        </w:rPr>
        <w:t xml:space="preserve">como es el de derecho al acceso a la justicia, el de ser asistido </w:t>
      </w:r>
      <w:r>
        <w:rPr>
          <w:spacing w:val="-7"/>
          <w:sz w:val="16"/>
          <w:szCs w:val="16"/>
          <w:lang w:val="es-ES_tradnl"/>
        </w:rPr>
        <w:t>por un abogado de mi libre elecci</w:t>
      </w:r>
      <w:r>
        <w:rPr>
          <w:rFonts w:cs="Times New Roman"/>
          <w:spacing w:val="-7"/>
          <w:sz w:val="16"/>
          <w:szCs w:val="16"/>
          <w:lang w:val="es-ES_tradnl"/>
        </w:rPr>
        <w:t>ó</w:t>
      </w:r>
      <w:r>
        <w:rPr>
          <w:spacing w:val="-7"/>
          <w:sz w:val="16"/>
          <w:szCs w:val="16"/>
          <w:lang w:val="es-ES_tradnl"/>
        </w:rPr>
        <w:t xml:space="preserve">n, de que mis pedidos sean </w:t>
      </w:r>
      <w:r>
        <w:rPr>
          <w:spacing w:val="-8"/>
          <w:sz w:val="16"/>
          <w:szCs w:val="16"/>
          <w:lang w:val="es-ES_tradnl"/>
        </w:rPr>
        <w:t>contestados motivadamente con enunciaci</w:t>
      </w:r>
      <w:r>
        <w:rPr>
          <w:rFonts w:cs="Times New Roman"/>
          <w:spacing w:val="-8"/>
          <w:sz w:val="16"/>
          <w:szCs w:val="16"/>
          <w:lang w:val="es-ES_tradnl"/>
        </w:rPr>
        <w:t>ó</w:t>
      </w:r>
      <w:r>
        <w:rPr>
          <w:spacing w:val="-8"/>
          <w:sz w:val="16"/>
          <w:szCs w:val="16"/>
          <w:lang w:val="es-ES_tradnl"/>
        </w:rPr>
        <w:t xml:space="preserve">n de las normas y </w:t>
      </w:r>
      <w:r>
        <w:rPr>
          <w:spacing w:val="-5"/>
          <w:sz w:val="16"/>
          <w:szCs w:val="16"/>
          <w:lang w:val="es-ES_tradnl"/>
        </w:rPr>
        <w:t>principios jur</w:t>
      </w:r>
      <w:r>
        <w:rPr>
          <w:rFonts w:cs="Times New Roman"/>
          <w:spacing w:val="-5"/>
          <w:sz w:val="16"/>
          <w:szCs w:val="16"/>
          <w:lang w:val="es-ES_tradnl"/>
        </w:rPr>
        <w:t>í</w:t>
      </w:r>
      <w:r>
        <w:rPr>
          <w:spacing w:val="-5"/>
          <w:sz w:val="16"/>
          <w:szCs w:val="16"/>
          <w:lang w:val="es-ES_tradnl"/>
        </w:rPr>
        <w:t xml:space="preserve">dicos, de modo que no queden vulnerados, de </w:t>
      </w:r>
      <w:r>
        <w:rPr>
          <w:spacing w:val="-6"/>
          <w:sz w:val="16"/>
          <w:szCs w:val="16"/>
          <w:lang w:val="es-ES_tradnl"/>
        </w:rPr>
        <w:t>recurrir el fallo ante el Superior. As</w:t>
      </w:r>
      <w:r>
        <w:rPr>
          <w:rFonts w:cs="Times New Roman"/>
          <w:spacing w:val="-6"/>
          <w:sz w:val="16"/>
          <w:szCs w:val="16"/>
          <w:lang w:val="es-ES_tradnl"/>
        </w:rPr>
        <w:t>í</w:t>
      </w:r>
      <w:r>
        <w:rPr>
          <w:spacing w:val="-6"/>
          <w:sz w:val="16"/>
          <w:szCs w:val="16"/>
          <w:lang w:val="es-ES_tradnl"/>
        </w:rPr>
        <w:t xml:space="preserve"> como tambi</w:t>
      </w:r>
      <w:r>
        <w:rPr>
          <w:rFonts w:cs="Times New Roman"/>
          <w:spacing w:val="-6"/>
          <w:sz w:val="16"/>
          <w:szCs w:val="16"/>
          <w:lang w:val="es-ES_tradnl"/>
        </w:rPr>
        <w:t>é</w:t>
      </w:r>
      <w:r>
        <w:rPr>
          <w:spacing w:val="-6"/>
          <w:sz w:val="16"/>
          <w:szCs w:val="16"/>
          <w:lang w:val="es-ES_tradnl"/>
        </w:rPr>
        <w:t xml:space="preserve">n se respete </w:t>
      </w:r>
      <w:r>
        <w:rPr>
          <w:spacing w:val="-8"/>
          <w:sz w:val="16"/>
          <w:szCs w:val="16"/>
          <w:lang w:val="es-ES_tradnl"/>
        </w:rPr>
        <w:t xml:space="preserve">mis Derechos consagrados en los Tratados Internacionales; c) </w:t>
      </w:r>
      <w:r>
        <w:rPr>
          <w:spacing w:val="-9"/>
          <w:sz w:val="16"/>
          <w:szCs w:val="16"/>
          <w:lang w:val="es-ES_tradnl"/>
        </w:rPr>
        <w:t>Solicito en definitiva se</w:t>
      </w:r>
      <w:r>
        <w:rPr>
          <w:rFonts w:cs="Times New Roman"/>
          <w:spacing w:val="-9"/>
          <w:sz w:val="16"/>
          <w:szCs w:val="16"/>
          <w:lang w:val="es-ES_tradnl"/>
        </w:rPr>
        <w:t>ñ</w:t>
      </w:r>
      <w:r>
        <w:rPr>
          <w:spacing w:val="-9"/>
          <w:sz w:val="16"/>
          <w:szCs w:val="16"/>
          <w:lang w:val="es-ES_tradnl"/>
        </w:rPr>
        <w:t xml:space="preserve">ores Jueces de la Corte Constitucional, </w:t>
      </w:r>
      <w:r>
        <w:rPr>
          <w:spacing w:val="-7"/>
          <w:sz w:val="16"/>
          <w:szCs w:val="16"/>
          <w:lang w:val="es-ES_tradnl"/>
        </w:rPr>
        <w:t>que en la Sentencia que ustedes dicten se declare la violaci</w:t>
      </w:r>
      <w:r>
        <w:rPr>
          <w:rFonts w:cs="Times New Roman"/>
          <w:spacing w:val="-7"/>
          <w:sz w:val="16"/>
          <w:szCs w:val="16"/>
          <w:lang w:val="es-ES_tradnl"/>
        </w:rPr>
        <w:t>ó</w:t>
      </w:r>
      <w:r>
        <w:rPr>
          <w:spacing w:val="-7"/>
          <w:sz w:val="16"/>
          <w:szCs w:val="16"/>
          <w:lang w:val="es-ES_tradnl"/>
        </w:rPr>
        <w:t xml:space="preserve">n </w:t>
      </w:r>
      <w:r>
        <w:rPr>
          <w:spacing w:val="-6"/>
          <w:sz w:val="16"/>
          <w:szCs w:val="16"/>
          <w:lang w:val="es-ES_tradnl"/>
        </w:rPr>
        <w:t>de mis Derechos constitucionales y la reparaci</w:t>
      </w:r>
      <w:r>
        <w:rPr>
          <w:rFonts w:cs="Times New Roman"/>
          <w:spacing w:val="-6"/>
          <w:sz w:val="16"/>
          <w:szCs w:val="16"/>
          <w:lang w:val="es-ES_tradnl"/>
        </w:rPr>
        <w:t>ó</w:t>
      </w:r>
      <w:r>
        <w:rPr>
          <w:spacing w:val="-6"/>
          <w:sz w:val="16"/>
          <w:szCs w:val="16"/>
          <w:lang w:val="es-ES_tradnl"/>
        </w:rPr>
        <w:t>n integral.</w:t>
      </w:r>
    </w:p>
    <w:p w14:paraId="4F67AB25" w14:textId="77777777" w:rsidR="00591D54" w:rsidRDefault="00591D54">
      <w:pPr>
        <w:shd w:val="clear" w:color="auto" w:fill="FFFFFF"/>
        <w:spacing w:before="197"/>
      </w:pPr>
      <w:r>
        <w:rPr>
          <w:b/>
          <w:bCs/>
          <w:spacing w:val="-9"/>
          <w:sz w:val="18"/>
          <w:szCs w:val="18"/>
          <w:lang w:val="es-ES_tradnl"/>
        </w:rPr>
        <w:t>Decisi</w:t>
      </w:r>
      <w:r>
        <w:rPr>
          <w:rFonts w:cs="Times New Roman"/>
          <w:b/>
          <w:bCs/>
          <w:spacing w:val="-9"/>
          <w:sz w:val="18"/>
          <w:szCs w:val="18"/>
          <w:lang w:val="es-ES_tradnl"/>
        </w:rPr>
        <w:t>ó</w:t>
      </w:r>
      <w:r>
        <w:rPr>
          <w:b/>
          <w:bCs/>
          <w:spacing w:val="-9"/>
          <w:sz w:val="18"/>
          <w:szCs w:val="18"/>
          <w:lang w:val="es-ES_tradnl"/>
        </w:rPr>
        <w:t>n judicial que se impugna</w:t>
      </w:r>
    </w:p>
    <w:p w14:paraId="4F67AB26" w14:textId="77777777" w:rsidR="00591D54" w:rsidRDefault="00591D54">
      <w:pPr>
        <w:shd w:val="clear" w:color="auto" w:fill="FFFFFF"/>
        <w:spacing w:before="192" w:line="216" w:lineRule="exact"/>
        <w:jc w:val="both"/>
      </w:pPr>
      <w:r>
        <w:rPr>
          <w:spacing w:val="-5"/>
          <w:sz w:val="18"/>
          <w:szCs w:val="18"/>
          <w:lang w:val="es-ES_tradnl"/>
        </w:rPr>
        <w:t>La decisi</w:t>
      </w:r>
      <w:r>
        <w:rPr>
          <w:rFonts w:cs="Times New Roman"/>
          <w:spacing w:val="-5"/>
          <w:sz w:val="18"/>
          <w:szCs w:val="18"/>
          <w:lang w:val="es-ES_tradnl"/>
        </w:rPr>
        <w:t>ó</w:t>
      </w:r>
      <w:r>
        <w:rPr>
          <w:spacing w:val="-5"/>
          <w:sz w:val="18"/>
          <w:szCs w:val="18"/>
          <w:lang w:val="es-ES_tradnl"/>
        </w:rPr>
        <w:t xml:space="preserve">n judicial que se impugna fue dictada el 12 de febrero de 2014, por la Sala </w:t>
      </w:r>
      <w:r>
        <w:rPr>
          <w:rFonts w:cs="Times New Roman"/>
          <w:spacing w:val="-5"/>
          <w:sz w:val="18"/>
          <w:szCs w:val="18"/>
          <w:lang w:val="es-ES_tradnl"/>
        </w:rPr>
        <w:t>Ú</w:t>
      </w:r>
      <w:r>
        <w:rPr>
          <w:spacing w:val="-5"/>
          <w:sz w:val="18"/>
          <w:szCs w:val="18"/>
          <w:lang w:val="es-ES_tradnl"/>
        </w:rPr>
        <w:t xml:space="preserve">nica de la Corte Provincial </w:t>
      </w:r>
      <w:r>
        <w:rPr>
          <w:spacing w:val="-7"/>
          <w:sz w:val="18"/>
          <w:szCs w:val="18"/>
          <w:lang w:val="es-ES_tradnl"/>
        </w:rPr>
        <w:t>de Justicia de Santo Domingo de los Ts</w:t>
      </w:r>
      <w:r>
        <w:rPr>
          <w:rFonts w:cs="Times New Roman"/>
          <w:spacing w:val="-7"/>
          <w:sz w:val="18"/>
          <w:szCs w:val="18"/>
          <w:lang w:val="es-ES_tradnl"/>
        </w:rPr>
        <w:t>á</w:t>
      </w:r>
      <w:r>
        <w:rPr>
          <w:spacing w:val="-7"/>
          <w:sz w:val="18"/>
          <w:szCs w:val="18"/>
          <w:lang w:val="es-ES_tradnl"/>
        </w:rPr>
        <w:t xml:space="preserve">chilas, la misma </w:t>
      </w:r>
      <w:r>
        <w:rPr>
          <w:sz w:val="18"/>
          <w:szCs w:val="18"/>
          <w:lang w:val="es-ES_tradnl"/>
        </w:rPr>
        <w:t>que se</w:t>
      </w:r>
      <w:r>
        <w:rPr>
          <w:rFonts w:cs="Times New Roman"/>
          <w:sz w:val="18"/>
          <w:szCs w:val="18"/>
          <w:lang w:val="es-ES_tradnl"/>
        </w:rPr>
        <w:t>ñ</w:t>
      </w:r>
      <w:r>
        <w:rPr>
          <w:sz w:val="18"/>
          <w:szCs w:val="18"/>
          <w:lang w:val="es-ES_tradnl"/>
        </w:rPr>
        <w:t>ala:</w:t>
      </w:r>
    </w:p>
    <w:p w14:paraId="4F67AB27" w14:textId="77777777" w:rsidR="00591D54" w:rsidRDefault="00591D54">
      <w:pPr>
        <w:shd w:val="clear" w:color="auto" w:fill="FFFFFF"/>
        <w:spacing w:before="206" w:line="216" w:lineRule="exact"/>
        <w:jc w:val="both"/>
      </w:pPr>
      <w:r>
        <w:rPr>
          <w:spacing w:val="-2"/>
          <w:sz w:val="16"/>
          <w:szCs w:val="16"/>
          <w:lang w:val="es-ES_tradnl"/>
        </w:rPr>
        <w:t xml:space="preserve">SALA </w:t>
      </w:r>
      <w:r>
        <w:rPr>
          <w:rFonts w:cs="Times New Roman"/>
          <w:spacing w:val="-2"/>
          <w:sz w:val="16"/>
          <w:szCs w:val="16"/>
          <w:lang w:val="es-ES_tradnl"/>
        </w:rPr>
        <w:t>Ú</w:t>
      </w:r>
      <w:r>
        <w:rPr>
          <w:spacing w:val="-2"/>
          <w:sz w:val="16"/>
          <w:szCs w:val="16"/>
          <w:lang w:val="es-ES_tradnl"/>
        </w:rPr>
        <w:t xml:space="preserve">NICA DE LA CORTE PROVINCIAL DE JUSTICIA DE </w:t>
      </w:r>
      <w:r>
        <w:rPr>
          <w:spacing w:val="-1"/>
          <w:sz w:val="16"/>
          <w:szCs w:val="16"/>
          <w:lang w:val="es-ES_tradnl"/>
        </w:rPr>
        <w:t>SANTO DOMINGO DE LOS TS</w:t>
      </w:r>
      <w:r>
        <w:rPr>
          <w:rFonts w:cs="Times New Roman"/>
          <w:spacing w:val="-1"/>
          <w:sz w:val="16"/>
          <w:szCs w:val="16"/>
          <w:lang w:val="es-ES_tradnl"/>
        </w:rPr>
        <w:t>Á</w:t>
      </w:r>
      <w:r>
        <w:rPr>
          <w:spacing w:val="-1"/>
          <w:sz w:val="16"/>
          <w:szCs w:val="16"/>
          <w:lang w:val="es-ES_tradnl"/>
        </w:rPr>
        <w:t xml:space="preserve">CHILAS. Santo Domingo, </w:t>
      </w:r>
      <w:r>
        <w:rPr>
          <w:spacing w:val="-5"/>
          <w:sz w:val="16"/>
          <w:szCs w:val="16"/>
          <w:lang w:val="es-ES_tradnl"/>
        </w:rPr>
        <w:t>mi</w:t>
      </w:r>
      <w:r>
        <w:rPr>
          <w:rFonts w:cs="Times New Roman"/>
          <w:spacing w:val="-5"/>
          <w:sz w:val="16"/>
          <w:szCs w:val="16"/>
          <w:lang w:val="es-ES_tradnl"/>
        </w:rPr>
        <w:t>é</w:t>
      </w:r>
      <w:r>
        <w:rPr>
          <w:spacing w:val="-5"/>
          <w:sz w:val="16"/>
          <w:szCs w:val="16"/>
          <w:lang w:val="es-ES_tradnl"/>
        </w:rPr>
        <w:t>rcoles 12 de febrero del 2014, las 13h02 (</w:t>
      </w:r>
      <w:r>
        <w:rPr>
          <w:rFonts w:cs="Times New Roman"/>
          <w:spacing w:val="-5"/>
          <w:sz w:val="16"/>
          <w:szCs w:val="16"/>
          <w:lang w:val="es-ES_tradnl"/>
        </w:rPr>
        <w:t>…</w:t>
      </w:r>
      <w:r>
        <w:rPr>
          <w:spacing w:val="-5"/>
          <w:sz w:val="16"/>
          <w:szCs w:val="16"/>
          <w:lang w:val="es-ES_tradnl"/>
        </w:rPr>
        <w:t xml:space="preserve">) VISTOS.- De la </w:t>
      </w:r>
      <w:r>
        <w:rPr>
          <w:spacing w:val="-8"/>
          <w:sz w:val="16"/>
          <w:szCs w:val="16"/>
          <w:lang w:val="es-ES_tradnl"/>
        </w:rPr>
        <w:t>revisi</w:t>
      </w:r>
      <w:r>
        <w:rPr>
          <w:rFonts w:cs="Times New Roman"/>
          <w:spacing w:val="-8"/>
          <w:sz w:val="16"/>
          <w:szCs w:val="16"/>
          <w:lang w:val="es-ES_tradnl"/>
        </w:rPr>
        <w:t>ó</w:t>
      </w:r>
      <w:r>
        <w:rPr>
          <w:spacing w:val="-8"/>
          <w:sz w:val="16"/>
          <w:szCs w:val="16"/>
          <w:lang w:val="es-ES_tradnl"/>
        </w:rPr>
        <w:t xml:space="preserve">n del expediente se establece que, con fecha 9 de enero del </w:t>
      </w:r>
      <w:r>
        <w:rPr>
          <w:spacing w:val="-9"/>
          <w:sz w:val="16"/>
          <w:szCs w:val="16"/>
          <w:lang w:val="es-ES_tradnl"/>
        </w:rPr>
        <w:t>2014 a las 15h49, la Sala dicta Sentencia confirmando la resoluci</w:t>
      </w:r>
      <w:r>
        <w:rPr>
          <w:rFonts w:cs="Times New Roman"/>
          <w:spacing w:val="-9"/>
          <w:sz w:val="16"/>
          <w:szCs w:val="16"/>
          <w:lang w:val="es-ES_tradnl"/>
        </w:rPr>
        <w:t>ó</w:t>
      </w:r>
      <w:r>
        <w:rPr>
          <w:spacing w:val="-9"/>
          <w:sz w:val="16"/>
          <w:szCs w:val="16"/>
          <w:lang w:val="es-ES_tradnl"/>
        </w:rPr>
        <w:t xml:space="preserve">n </w:t>
      </w:r>
      <w:r>
        <w:rPr>
          <w:spacing w:val="-5"/>
          <w:sz w:val="16"/>
          <w:szCs w:val="16"/>
          <w:lang w:val="es-ES_tradnl"/>
        </w:rPr>
        <w:t>subida en grado dentro de la presente causa; el d</w:t>
      </w:r>
      <w:r>
        <w:rPr>
          <w:rFonts w:cs="Times New Roman"/>
          <w:spacing w:val="-5"/>
          <w:sz w:val="16"/>
          <w:szCs w:val="16"/>
          <w:lang w:val="es-ES_tradnl"/>
        </w:rPr>
        <w:t>í</w:t>
      </w:r>
      <w:r>
        <w:rPr>
          <w:spacing w:val="-5"/>
          <w:sz w:val="16"/>
          <w:szCs w:val="16"/>
          <w:lang w:val="es-ES_tradnl"/>
        </w:rPr>
        <w:t xml:space="preserve">a 27 de enero </w:t>
      </w:r>
      <w:r>
        <w:rPr>
          <w:spacing w:val="-7"/>
          <w:sz w:val="16"/>
          <w:szCs w:val="16"/>
          <w:lang w:val="es-ES_tradnl"/>
        </w:rPr>
        <w:t xml:space="preserve">del 2014 a las 15h09, se notifica a las partes con el auto definitivo </w:t>
      </w:r>
      <w:r>
        <w:rPr>
          <w:spacing w:val="-3"/>
          <w:sz w:val="16"/>
          <w:szCs w:val="16"/>
          <w:lang w:val="es-ES_tradnl"/>
        </w:rPr>
        <w:t>que negaba la aclaraci</w:t>
      </w:r>
      <w:r>
        <w:rPr>
          <w:rFonts w:cs="Times New Roman"/>
          <w:spacing w:val="-3"/>
          <w:sz w:val="16"/>
          <w:szCs w:val="16"/>
          <w:lang w:val="es-ES_tradnl"/>
        </w:rPr>
        <w:t>ó</w:t>
      </w:r>
      <w:r>
        <w:rPr>
          <w:spacing w:val="-3"/>
          <w:sz w:val="16"/>
          <w:szCs w:val="16"/>
          <w:lang w:val="es-ES_tradnl"/>
        </w:rPr>
        <w:t xml:space="preserve">n a la misma; con fecha 03 de febrero </w:t>
      </w:r>
      <w:r>
        <w:rPr>
          <w:spacing w:val="-5"/>
          <w:sz w:val="16"/>
          <w:szCs w:val="16"/>
          <w:lang w:val="es-ES_tradnl"/>
        </w:rPr>
        <w:t>del 2014 a las 16h23, dentro del t</w:t>
      </w:r>
      <w:r>
        <w:rPr>
          <w:rFonts w:cs="Times New Roman"/>
          <w:spacing w:val="-5"/>
          <w:sz w:val="16"/>
          <w:szCs w:val="16"/>
          <w:lang w:val="es-ES_tradnl"/>
        </w:rPr>
        <w:t>é</w:t>
      </w:r>
      <w:r>
        <w:rPr>
          <w:spacing w:val="-5"/>
          <w:sz w:val="16"/>
          <w:szCs w:val="16"/>
          <w:lang w:val="es-ES_tradnl"/>
        </w:rPr>
        <w:t xml:space="preserve">rmino correspondiente, se </w:t>
      </w:r>
      <w:r>
        <w:rPr>
          <w:spacing w:val="-7"/>
          <w:sz w:val="16"/>
          <w:szCs w:val="16"/>
          <w:lang w:val="es-ES_tradnl"/>
        </w:rPr>
        <w:t>interpone Recurso de Casaci</w:t>
      </w:r>
      <w:r>
        <w:rPr>
          <w:rFonts w:cs="Times New Roman"/>
          <w:spacing w:val="-7"/>
          <w:sz w:val="16"/>
          <w:szCs w:val="16"/>
          <w:lang w:val="es-ES_tradnl"/>
        </w:rPr>
        <w:t>ó</w:t>
      </w:r>
      <w:r>
        <w:rPr>
          <w:spacing w:val="-7"/>
          <w:sz w:val="16"/>
          <w:szCs w:val="16"/>
          <w:lang w:val="es-ES_tradnl"/>
        </w:rPr>
        <w:t>n firmado por el Abogado V</w:t>
      </w:r>
      <w:r>
        <w:rPr>
          <w:rFonts w:cs="Times New Roman"/>
          <w:spacing w:val="-7"/>
          <w:sz w:val="16"/>
          <w:szCs w:val="16"/>
          <w:lang w:val="es-ES_tradnl"/>
        </w:rPr>
        <w:t>Í</w:t>
      </w:r>
      <w:r>
        <w:rPr>
          <w:spacing w:val="-7"/>
          <w:sz w:val="16"/>
          <w:szCs w:val="16"/>
          <w:lang w:val="es-ES_tradnl"/>
        </w:rPr>
        <w:t xml:space="preserve">CTOR </w:t>
      </w:r>
      <w:r>
        <w:rPr>
          <w:spacing w:val="-5"/>
          <w:sz w:val="16"/>
          <w:szCs w:val="16"/>
          <w:lang w:val="es-ES_tradnl"/>
        </w:rPr>
        <w:t>VALENCIA E. sin la debida autorizaci</w:t>
      </w:r>
      <w:r>
        <w:rPr>
          <w:rFonts w:cs="Times New Roman"/>
          <w:spacing w:val="-5"/>
          <w:sz w:val="16"/>
          <w:szCs w:val="16"/>
          <w:lang w:val="es-ES_tradnl"/>
        </w:rPr>
        <w:t>ó</w:t>
      </w:r>
      <w:r>
        <w:rPr>
          <w:spacing w:val="-5"/>
          <w:sz w:val="16"/>
          <w:szCs w:val="16"/>
          <w:lang w:val="es-ES_tradnl"/>
        </w:rPr>
        <w:t xml:space="preserve">n conferida por recurrente </w:t>
      </w:r>
      <w:r>
        <w:rPr>
          <w:sz w:val="16"/>
          <w:szCs w:val="16"/>
          <w:lang w:val="es-ES_tradnl"/>
        </w:rPr>
        <w:t>HENRY AN</w:t>
      </w:r>
      <w:r>
        <w:rPr>
          <w:rFonts w:cs="Times New Roman"/>
          <w:sz w:val="16"/>
          <w:szCs w:val="16"/>
          <w:lang w:val="es-ES_tradnl"/>
        </w:rPr>
        <w:t>Í</w:t>
      </w:r>
      <w:r>
        <w:rPr>
          <w:sz w:val="16"/>
          <w:szCs w:val="16"/>
          <w:lang w:val="es-ES_tradnl"/>
        </w:rPr>
        <w:t xml:space="preserve">BAL AYALA ESPINOZA. Posteriormente y de </w:t>
      </w:r>
      <w:r>
        <w:rPr>
          <w:spacing w:val="-8"/>
          <w:sz w:val="16"/>
          <w:szCs w:val="16"/>
          <w:lang w:val="es-ES_tradnl"/>
        </w:rPr>
        <w:t>forma extempor</w:t>
      </w:r>
      <w:r>
        <w:rPr>
          <w:rFonts w:cs="Times New Roman"/>
          <w:spacing w:val="-8"/>
          <w:sz w:val="16"/>
          <w:szCs w:val="16"/>
          <w:lang w:val="es-ES_tradnl"/>
        </w:rPr>
        <w:t>á</w:t>
      </w:r>
      <w:r>
        <w:rPr>
          <w:spacing w:val="-8"/>
          <w:sz w:val="16"/>
          <w:szCs w:val="16"/>
          <w:lang w:val="es-ES_tradnl"/>
        </w:rPr>
        <w:t xml:space="preserve">nea presenta varios escritos referentes al recurso </w:t>
      </w:r>
      <w:r>
        <w:rPr>
          <w:spacing w:val="-7"/>
          <w:sz w:val="16"/>
          <w:szCs w:val="16"/>
          <w:lang w:val="es-ES_tradnl"/>
        </w:rPr>
        <w:t>planteado. El Art. 7 de la Ley de Casaci</w:t>
      </w:r>
      <w:r>
        <w:rPr>
          <w:rFonts w:cs="Times New Roman"/>
          <w:spacing w:val="-7"/>
          <w:sz w:val="16"/>
          <w:szCs w:val="16"/>
          <w:lang w:val="es-ES_tradnl"/>
        </w:rPr>
        <w:t>ó</w:t>
      </w:r>
      <w:r>
        <w:rPr>
          <w:spacing w:val="-7"/>
          <w:sz w:val="16"/>
          <w:szCs w:val="16"/>
          <w:lang w:val="es-ES_tradnl"/>
        </w:rPr>
        <w:t xml:space="preserve">n obliga al </w:t>
      </w:r>
      <w:r>
        <w:rPr>
          <w:rFonts w:cs="Times New Roman"/>
          <w:spacing w:val="-7"/>
          <w:sz w:val="16"/>
          <w:szCs w:val="16"/>
          <w:lang w:val="es-ES_tradnl"/>
        </w:rPr>
        <w:t>ó</w:t>
      </w:r>
      <w:r>
        <w:rPr>
          <w:spacing w:val="-7"/>
          <w:sz w:val="16"/>
          <w:szCs w:val="16"/>
          <w:lang w:val="es-ES_tradnl"/>
        </w:rPr>
        <w:t xml:space="preserve">rgano judicial respectivo a examinar si concurren las circunstancias legales para </w:t>
      </w:r>
      <w:r>
        <w:rPr>
          <w:spacing w:val="-8"/>
          <w:sz w:val="16"/>
          <w:szCs w:val="16"/>
          <w:lang w:val="es-ES_tradnl"/>
        </w:rPr>
        <w:t>que sea admitido o denegado el recurso de casaci</w:t>
      </w:r>
      <w:r>
        <w:rPr>
          <w:rFonts w:cs="Times New Roman"/>
          <w:spacing w:val="-8"/>
          <w:sz w:val="16"/>
          <w:szCs w:val="16"/>
          <w:lang w:val="es-ES_tradnl"/>
        </w:rPr>
        <w:t>ó</w:t>
      </w:r>
      <w:r>
        <w:rPr>
          <w:spacing w:val="-8"/>
          <w:sz w:val="16"/>
          <w:szCs w:val="16"/>
          <w:lang w:val="es-ES_tradnl"/>
        </w:rPr>
        <w:t xml:space="preserve">n, dentro de las </w:t>
      </w:r>
      <w:r>
        <w:rPr>
          <w:spacing w:val="-6"/>
          <w:sz w:val="16"/>
          <w:szCs w:val="16"/>
          <w:lang w:val="es-ES_tradnl"/>
        </w:rPr>
        <w:t>cuales precisa si el mismo ha sido presentado dentro del t</w:t>
      </w:r>
      <w:r>
        <w:rPr>
          <w:rFonts w:cs="Times New Roman"/>
          <w:spacing w:val="-6"/>
          <w:sz w:val="16"/>
          <w:szCs w:val="16"/>
          <w:lang w:val="es-ES_tradnl"/>
        </w:rPr>
        <w:t>é</w:t>
      </w:r>
      <w:r>
        <w:rPr>
          <w:spacing w:val="-6"/>
          <w:sz w:val="16"/>
          <w:szCs w:val="16"/>
          <w:lang w:val="es-ES_tradnl"/>
        </w:rPr>
        <w:t>rmino legal. Tomando en consideraci</w:t>
      </w:r>
      <w:r>
        <w:rPr>
          <w:rFonts w:cs="Times New Roman"/>
          <w:spacing w:val="-6"/>
          <w:sz w:val="16"/>
          <w:szCs w:val="16"/>
          <w:lang w:val="es-ES_tradnl"/>
        </w:rPr>
        <w:t>ó</w:t>
      </w:r>
      <w:r>
        <w:rPr>
          <w:spacing w:val="-6"/>
          <w:sz w:val="16"/>
          <w:szCs w:val="16"/>
          <w:lang w:val="es-ES_tradnl"/>
        </w:rPr>
        <w:t>n lo estipulado en el Art. 76 de la Constituci</w:t>
      </w:r>
      <w:r>
        <w:rPr>
          <w:rFonts w:cs="Times New Roman"/>
          <w:spacing w:val="-6"/>
          <w:sz w:val="16"/>
          <w:szCs w:val="16"/>
          <w:lang w:val="es-ES_tradnl"/>
        </w:rPr>
        <w:t>ó</w:t>
      </w:r>
      <w:r>
        <w:rPr>
          <w:spacing w:val="-6"/>
          <w:sz w:val="16"/>
          <w:szCs w:val="16"/>
          <w:lang w:val="es-ES_tradnl"/>
        </w:rPr>
        <w:t>n de la Rep</w:t>
      </w:r>
      <w:r>
        <w:rPr>
          <w:rFonts w:cs="Times New Roman"/>
          <w:spacing w:val="-6"/>
          <w:sz w:val="16"/>
          <w:szCs w:val="16"/>
          <w:lang w:val="es-ES_tradnl"/>
        </w:rPr>
        <w:t>ú</w:t>
      </w:r>
      <w:r>
        <w:rPr>
          <w:spacing w:val="-6"/>
          <w:sz w:val="16"/>
          <w:szCs w:val="16"/>
          <w:lang w:val="es-ES_tradnl"/>
        </w:rPr>
        <w:t xml:space="preserve">blica del Ecuador en concordancia con lo </w:t>
      </w:r>
      <w:r>
        <w:rPr>
          <w:spacing w:val="-7"/>
          <w:sz w:val="16"/>
          <w:szCs w:val="16"/>
          <w:lang w:val="es-ES_tradnl"/>
        </w:rPr>
        <w:t>dispuesto en los numerales 1 y 2 del Art. 130 del C</w:t>
      </w:r>
      <w:r>
        <w:rPr>
          <w:rFonts w:cs="Times New Roman"/>
          <w:spacing w:val="-7"/>
          <w:sz w:val="16"/>
          <w:szCs w:val="16"/>
          <w:lang w:val="es-ES_tradnl"/>
        </w:rPr>
        <w:t>ó</w:t>
      </w:r>
      <w:r>
        <w:rPr>
          <w:spacing w:val="-7"/>
          <w:sz w:val="16"/>
          <w:szCs w:val="16"/>
          <w:lang w:val="es-ES_tradnl"/>
        </w:rPr>
        <w:t>digo Org</w:t>
      </w:r>
      <w:r>
        <w:rPr>
          <w:rFonts w:cs="Times New Roman"/>
          <w:spacing w:val="-7"/>
          <w:sz w:val="16"/>
          <w:szCs w:val="16"/>
          <w:lang w:val="es-ES_tradnl"/>
        </w:rPr>
        <w:t>á</w:t>
      </w:r>
      <w:r>
        <w:rPr>
          <w:spacing w:val="-7"/>
          <w:sz w:val="16"/>
          <w:szCs w:val="16"/>
          <w:lang w:val="es-ES_tradnl"/>
        </w:rPr>
        <w:t xml:space="preserve">nico </w:t>
      </w:r>
      <w:r>
        <w:rPr>
          <w:spacing w:val="-5"/>
          <w:sz w:val="16"/>
          <w:szCs w:val="16"/>
          <w:lang w:val="es-ES_tradnl"/>
        </w:rPr>
        <w:t>de la Funci</w:t>
      </w:r>
      <w:r>
        <w:rPr>
          <w:rFonts w:cs="Times New Roman"/>
          <w:spacing w:val="-5"/>
          <w:sz w:val="16"/>
          <w:szCs w:val="16"/>
          <w:lang w:val="es-ES_tradnl"/>
        </w:rPr>
        <w:t>ó</w:t>
      </w:r>
      <w:r>
        <w:rPr>
          <w:spacing w:val="-5"/>
          <w:sz w:val="16"/>
          <w:szCs w:val="16"/>
          <w:lang w:val="es-ES_tradnl"/>
        </w:rPr>
        <w:t xml:space="preserve">n Judicial, es facultad jurisdiccional esencial, cuidar </w:t>
      </w:r>
      <w:r>
        <w:rPr>
          <w:spacing w:val="-8"/>
          <w:sz w:val="16"/>
          <w:szCs w:val="16"/>
          <w:lang w:val="es-ES_tradnl"/>
        </w:rPr>
        <w:t>que se respeten los derechos y garant</w:t>
      </w:r>
      <w:r>
        <w:rPr>
          <w:rFonts w:cs="Times New Roman"/>
          <w:spacing w:val="-8"/>
          <w:sz w:val="16"/>
          <w:szCs w:val="16"/>
          <w:lang w:val="es-ES_tradnl"/>
        </w:rPr>
        <w:t>í</w:t>
      </w:r>
      <w:r>
        <w:rPr>
          <w:spacing w:val="-8"/>
          <w:sz w:val="16"/>
          <w:szCs w:val="16"/>
          <w:lang w:val="es-ES_tradnl"/>
        </w:rPr>
        <w:t xml:space="preserve">as de las partes; por cuanto </w:t>
      </w:r>
      <w:r>
        <w:rPr>
          <w:spacing w:val="-9"/>
          <w:sz w:val="16"/>
          <w:szCs w:val="16"/>
          <w:lang w:val="es-ES_tradnl"/>
        </w:rPr>
        <w:t xml:space="preserve">no se ha dado cumplimiento con las solemnidades legales esta Sala </w:t>
      </w:r>
      <w:r>
        <w:rPr>
          <w:spacing w:val="-6"/>
          <w:sz w:val="16"/>
          <w:szCs w:val="16"/>
          <w:lang w:val="es-ES_tradnl"/>
        </w:rPr>
        <w:t>inadmite el Recurso de Casaci</w:t>
      </w:r>
      <w:r>
        <w:rPr>
          <w:rFonts w:cs="Times New Roman"/>
          <w:spacing w:val="-6"/>
          <w:sz w:val="16"/>
          <w:szCs w:val="16"/>
          <w:lang w:val="es-ES_tradnl"/>
        </w:rPr>
        <w:t>ó</w:t>
      </w:r>
      <w:r>
        <w:rPr>
          <w:spacing w:val="-6"/>
          <w:sz w:val="16"/>
          <w:szCs w:val="16"/>
          <w:lang w:val="es-ES_tradnl"/>
        </w:rPr>
        <w:t>n interpuesto.- T</w:t>
      </w:r>
      <w:r>
        <w:rPr>
          <w:rFonts w:cs="Times New Roman"/>
          <w:spacing w:val="-6"/>
          <w:sz w:val="16"/>
          <w:szCs w:val="16"/>
          <w:lang w:val="es-ES_tradnl"/>
        </w:rPr>
        <w:t>ó</w:t>
      </w:r>
      <w:r>
        <w:rPr>
          <w:spacing w:val="-6"/>
          <w:sz w:val="16"/>
          <w:szCs w:val="16"/>
          <w:lang w:val="es-ES_tradnl"/>
        </w:rPr>
        <w:t>mese en cuenta la autorizaci</w:t>
      </w:r>
      <w:r>
        <w:rPr>
          <w:rFonts w:cs="Times New Roman"/>
          <w:spacing w:val="-6"/>
          <w:sz w:val="16"/>
          <w:szCs w:val="16"/>
          <w:lang w:val="es-ES_tradnl"/>
        </w:rPr>
        <w:t>ó</w:t>
      </w:r>
      <w:r>
        <w:rPr>
          <w:spacing w:val="-6"/>
          <w:sz w:val="16"/>
          <w:szCs w:val="16"/>
          <w:lang w:val="es-ES_tradnl"/>
        </w:rPr>
        <w:t xml:space="preserve">n que en escrito presentado con fecha 6 de febrero </w:t>
      </w:r>
      <w:r>
        <w:rPr>
          <w:spacing w:val="-7"/>
          <w:sz w:val="16"/>
          <w:szCs w:val="16"/>
          <w:lang w:val="es-ES_tradnl"/>
        </w:rPr>
        <w:t>del 2014 a las 11h52 se confiere a los Abogados V</w:t>
      </w:r>
      <w:r>
        <w:rPr>
          <w:rFonts w:cs="Times New Roman"/>
          <w:spacing w:val="-7"/>
          <w:sz w:val="16"/>
          <w:szCs w:val="16"/>
          <w:lang w:val="es-ES_tradnl"/>
        </w:rPr>
        <w:t>í</w:t>
      </w:r>
      <w:r>
        <w:rPr>
          <w:spacing w:val="-7"/>
          <w:sz w:val="16"/>
          <w:szCs w:val="16"/>
          <w:lang w:val="es-ES_tradnl"/>
        </w:rPr>
        <w:t>ctor Valencia Espinoza y Francisco Nickel Ponce, as</w:t>
      </w:r>
      <w:r>
        <w:rPr>
          <w:rFonts w:cs="Times New Roman"/>
          <w:spacing w:val="-7"/>
          <w:sz w:val="16"/>
          <w:szCs w:val="16"/>
          <w:lang w:val="es-ES_tradnl"/>
        </w:rPr>
        <w:t>í</w:t>
      </w:r>
      <w:r>
        <w:rPr>
          <w:spacing w:val="-7"/>
          <w:sz w:val="16"/>
          <w:szCs w:val="16"/>
          <w:lang w:val="es-ES_tradnl"/>
        </w:rPr>
        <w:t xml:space="preserve"> como el correo electr</w:t>
      </w:r>
      <w:r>
        <w:rPr>
          <w:rFonts w:cs="Times New Roman"/>
          <w:spacing w:val="-7"/>
          <w:sz w:val="16"/>
          <w:szCs w:val="16"/>
          <w:lang w:val="es-ES_tradnl"/>
        </w:rPr>
        <w:t>ó</w:t>
      </w:r>
      <w:r>
        <w:rPr>
          <w:spacing w:val="-7"/>
          <w:sz w:val="16"/>
          <w:szCs w:val="16"/>
          <w:lang w:val="es-ES_tradnl"/>
        </w:rPr>
        <w:t>nico (</w:t>
      </w:r>
      <w:r>
        <w:rPr>
          <w:rFonts w:cs="Times New Roman"/>
          <w:spacing w:val="-7"/>
          <w:sz w:val="16"/>
          <w:szCs w:val="16"/>
          <w:lang w:val="es-ES_tradnl"/>
        </w:rPr>
        <w:t>…</w:t>
      </w:r>
      <w:r>
        <w:rPr>
          <w:spacing w:val="-7"/>
          <w:sz w:val="16"/>
          <w:szCs w:val="16"/>
          <w:lang w:val="es-ES_tradnl"/>
        </w:rPr>
        <w:t>) que se</w:t>
      </w:r>
      <w:r>
        <w:rPr>
          <w:rFonts w:cs="Times New Roman"/>
          <w:spacing w:val="-7"/>
          <w:sz w:val="16"/>
          <w:szCs w:val="16"/>
          <w:lang w:val="es-ES_tradnl"/>
        </w:rPr>
        <w:t>ñ</w:t>
      </w:r>
      <w:r>
        <w:rPr>
          <w:spacing w:val="-7"/>
          <w:sz w:val="16"/>
          <w:szCs w:val="16"/>
          <w:lang w:val="es-ES_tradnl"/>
        </w:rPr>
        <w:t>ala para posteriores notificaciones. NOTIF</w:t>
      </w:r>
      <w:r>
        <w:rPr>
          <w:rFonts w:cs="Times New Roman"/>
          <w:spacing w:val="-7"/>
          <w:sz w:val="16"/>
          <w:szCs w:val="16"/>
          <w:lang w:val="es-ES_tradnl"/>
        </w:rPr>
        <w:t>Í</w:t>
      </w:r>
      <w:r>
        <w:rPr>
          <w:spacing w:val="-7"/>
          <w:sz w:val="16"/>
          <w:szCs w:val="16"/>
          <w:lang w:val="es-ES_tradnl"/>
        </w:rPr>
        <w:t>QUESE.</w:t>
      </w:r>
    </w:p>
    <w:p w14:paraId="4F67AB28" w14:textId="77777777" w:rsidR="00591D54" w:rsidRDefault="00591D54">
      <w:pPr>
        <w:shd w:val="clear" w:color="auto" w:fill="FFFFFF"/>
        <w:spacing w:before="197"/>
      </w:pPr>
      <w:r>
        <w:rPr>
          <w:b/>
          <w:bCs/>
          <w:spacing w:val="-10"/>
          <w:sz w:val="18"/>
          <w:szCs w:val="18"/>
          <w:lang w:val="es-ES_tradnl"/>
        </w:rPr>
        <w:t>Contestaci</w:t>
      </w:r>
      <w:r>
        <w:rPr>
          <w:rFonts w:cs="Times New Roman"/>
          <w:b/>
          <w:bCs/>
          <w:spacing w:val="-10"/>
          <w:sz w:val="18"/>
          <w:szCs w:val="18"/>
          <w:lang w:val="es-ES_tradnl"/>
        </w:rPr>
        <w:t>ó</w:t>
      </w:r>
      <w:r>
        <w:rPr>
          <w:b/>
          <w:bCs/>
          <w:spacing w:val="-10"/>
          <w:sz w:val="18"/>
          <w:szCs w:val="18"/>
          <w:lang w:val="es-ES_tradnl"/>
        </w:rPr>
        <w:t>n a la demanda y argumentos</w:t>
      </w:r>
    </w:p>
    <w:p w14:paraId="4F67AB29" w14:textId="77777777" w:rsidR="00591D54" w:rsidRDefault="00591D54">
      <w:pPr>
        <w:shd w:val="clear" w:color="auto" w:fill="FFFFFF"/>
        <w:spacing w:before="192" w:line="216" w:lineRule="exact"/>
        <w:jc w:val="both"/>
      </w:pPr>
      <w:r>
        <w:rPr>
          <w:b/>
          <w:bCs/>
          <w:spacing w:val="-3"/>
          <w:sz w:val="18"/>
          <w:szCs w:val="18"/>
          <w:lang w:val="es-ES_tradnl"/>
        </w:rPr>
        <w:t>Doctor Galo Efra</w:t>
      </w:r>
      <w:r>
        <w:rPr>
          <w:rFonts w:cs="Times New Roman"/>
          <w:b/>
          <w:bCs/>
          <w:spacing w:val="-3"/>
          <w:sz w:val="18"/>
          <w:szCs w:val="18"/>
          <w:lang w:val="es-ES_tradnl"/>
        </w:rPr>
        <w:t>í</w:t>
      </w:r>
      <w:r>
        <w:rPr>
          <w:b/>
          <w:bCs/>
          <w:spacing w:val="-3"/>
          <w:sz w:val="18"/>
          <w:szCs w:val="18"/>
          <w:lang w:val="es-ES_tradnl"/>
        </w:rPr>
        <w:t xml:space="preserve">n Luzuriaga Guerrero, juez de la </w:t>
      </w:r>
      <w:r>
        <w:rPr>
          <w:b/>
          <w:bCs/>
          <w:spacing w:val="-7"/>
          <w:sz w:val="18"/>
          <w:szCs w:val="18"/>
          <w:lang w:val="es-ES_tradnl"/>
        </w:rPr>
        <w:t xml:space="preserve">Corte Provincial de Justicia de Santo Domingo de los </w:t>
      </w:r>
      <w:r>
        <w:rPr>
          <w:b/>
          <w:bCs/>
          <w:sz w:val="18"/>
          <w:szCs w:val="18"/>
          <w:lang w:val="es-ES_tradnl"/>
        </w:rPr>
        <w:t>Ts</w:t>
      </w:r>
      <w:r>
        <w:rPr>
          <w:rFonts w:cs="Times New Roman"/>
          <w:b/>
          <w:bCs/>
          <w:sz w:val="18"/>
          <w:szCs w:val="18"/>
          <w:lang w:val="es-ES_tradnl"/>
        </w:rPr>
        <w:t>á</w:t>
      </w:r>
      <w:r>
        <w:rPr>
          <w:b/>
          <w:bCs/>
          <w:sz w:val="18"/>
          <w:szCs w:val="18"/>
          <w:lang w:val="es-ES_tradnl"/>
        </w:rPr>
        <w:t>chilas</w:t>
      </w:r>
    </w:p>
    <w:p w14:paraId="4F67AB2A" w14:textId="77777777" w:rsidR="00591D54" w:rsidRDefault="00591D54">
      <w:pPr>
        <w:shd w:val="clear" w:color="auto" w:fill="FFFFFF"/>
        <w:spacing w:before="192" w:line="216" w:lineRule="exact"/>
        <w:jc w:val="both"/>
      </w:pPr>
      <w:r>
        <w:rPr>
          <w:spacing w:val="-2"/>
          <w:sz w:val="18"/>
          <w:szCs w:val="18"/>
          <w:lang w:val="es-ES_tradnl"/>
        </w:rPr>
        <w:t xml:space="preserve">A foja 23 del expediente constitucional comparece, </w:t>
      </w:r>
      <w:r>
        <w:rPr>
          <w:spacing w:val="-5"/>
          <w:sz w:val="18"/>
          <w:szCs w:val="18"/>
          <w:lang w:val="es-ES_tradnl"/>
        </w:rPr>
        <w:t xml:space="preserve">mediante escrito presentado el 05 de diciembre de 2014, </w:t>
      </w:r>
      <w:r>
        <w:rPr>
          <w:spacing w:val="-6"/>
          <w:sz w:val="18"/>
          <w:szCs w:val="18"/>
          <w:lang w:val="es-ES_tradnl"/>
        </w:rPr>
        <w:t>el doctor Galo Efra</w:t>
      </w:r>
      <w:r>
        <w:rPr>
          <w:rFonts w:cs="Times New Roman"/>
          <w:spacing w:val="-6"/>
          <w:sz w:val="18"/>
          <w:szCs w:val="18"/>
          <w:lang w:val="es-ES_tradnl"/>
        </w:rPr>
        <w:t>í</w:t>
      </w:r>
      <w:r>
        <w:rPr>
          <w:spacing w:val="-6"/>
          <w:sz w:val="18"/>
          <w:szCs w:val="18"/>
          <w:lang w:val="es-ES_tradnl"/>
        </w:rPr>
        <w:t>n Luzuriaga Guerrero, juez de la Corte Provincial de Justicia de Santo Domingo de los Ts</w:t>
      </w:r>
      <w:r>
        <w:rPr>
          <w:rFonts w:cs="Times New Roman"/>
          <w:spacing w:val="-6"/>
          <w:sz w:val="18"/>
          <w:szCs w:val="18"/>
          <w:lang w:val="es-ES_tradnl"/>
        </w:rPr>
        <w:t>á</w:t>
      </w:r>
      <w:r>
        <w:rPr>
          <w:spacing w:val="-6"/>
          <w:sz w:val="18"/>
          <w:szCs w:val="18"/>
          <w:lang w:val="es-ES_tradnl"/>
        </w:rPr>
        <w:t xml:space="preserve">chilas, </w:t>
      </w:r>
      <w:r>
        <w:rPr>
          <w:spacing w:val="-7"/>
          <w:sz w:val="18"/>
          <w:szCs w:val="18"/>
          <w:lang w:val="es-ES_tradnl"/>
        </w:rPr>
        <w:t>a trav</w:t>
      </w:r>
      <w:r>
        <w:rPr>
          <w:rFonts w:cs="Times New Roman"/>
          <w:spacing w:val="-7"/>
          <w:sz w:val="18"/>
          <w:szCs w:val="18"/>
          <w:lang w:val="es-ES_tradnl"/>
        </w:rPr>
        <w:t>é</w:t>
      </w:r>
      <w:r>
        <w:rPr>
          <w:spacing w:val="-7"/>
          <w:sz w:val="18"/>
          <w:szCs w:val="18"/>
          <w:lang w:val="es-ES_tradnl"/>
        </w:rPr>
        <w:t>s del cual indica que la decisi</w:t>
      </w:r>
      <w:r>
        <w:rPr>
          <w:rFonts w:cs="Times New Roman"/>
          <w:spacing w:val="-7"/>
          <w:sz w:val="18"/>
          <w:szCs w:val="18"/>
          <w:lang w:val="es-ES_tradnl"/>
        </w:rPr>
        <w:t>ó</w:t>
      </w:r>
      <w:r>
        <w:rPr>
          <w:spacing w:val="-7"/>
          <w:sz w:val="18"/>
          <w:szCs w:val="18"/>
          <w:lang w:val="es-ES_tradnl"/>
        </w:rPr>
        <w:t xml:space="preserve">n judicial impugnada </w:t>
      </w:r>
      <w:r>
        <w:rPr>
          <w:spacing w:val="-8"/>
          <w:sz w:val="18"/>
          <w:szCs w:val="18"/>
          <w:lang w:val="es-ES_tradnl"/>
        </w:rPr>
        <w:t>no es de su autor</w:t>
      </w:r>
      <w:r>
        <w:rPr>
          <w:rFonts w:cs="Times New Roman"/>
          <w:spacing w:val="-8"/>
          <w:sz w:val="18"/>
          <w:szCs w:val="18"/>
          <w:lang w:val="es-ES_tradnl"/>
        </w:rPr>
        <w:t>í</w:t>
      </w:r>
      <w:r>
        <w:rPr>
          <w:spacing w:val="-8"/>
          <w:sz w:val="18"/>
          <w:szCs w:val="18"/>
          <w:lang w:val="es-ES_tradnl"/>
        </w:rPr>
        <w:t xml:space="preserve">a, ya que desde el 14 de enero de 2014 </w:t>
      </w:r>
      <w:r>
        <w:rPr>
          <w:spacing w:val="-4"/>
          <w:sz w:val="18"/>
          <w:szCs w:val="18"/>
          <w:lang w:val="es-ES_tradnl"/>
        </w:rPr>
        <w:t>ejerce las funciones de presidente de la Corte Provincial</w:t>
      </w:r>
    </w:p>
    <w:p w14:paraId="4F67AB2B" w14:textId="77777777" w:rsidR="00591D54" w:rsidRDefault="00591D54">
      <w:pPr>
        <w:shd w:val="clear" w:color="auto" w:fill="FFFFFF"/>
        <w:spacing w:before="192" w:line="216" w:lineRule="exact"/>
        <w:jc w:val="both"/>
        <w:sectPr w:rsidR="00591D54">
          <w:type w:val="continuous"/>
          <w:pgSz w:w="11909" w:h="16834"/>
          <w:pgMar w:top="1356" w:right="1309" w:bottom="360" w:left="1308" w:header="720" w:footer="720" w:gutter="0"/>
          <w:cols w:num="2" w:space="720" w:equalWidth="0">
            <w:col w:w="4305" w:space="682"/>
            <w:col w:w="4305"/>
          </w:cols>
          <w:noEndnote/>
        </w:sectPr>
      </w:pPr>
    </w:p>
    <w:p w14:paraId="4F67AB2C" w14:textId="77777777" w:rsidR="00591D54" w:rsidRDefault="00591D54">
      <w:pPr>
        <w:shd w:val="clear" w:color="auto" w:fill="FFFFFF"/>
        <w:tabs>
          <w:tab w:val="left" w:pos="595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- 93</w:t>
      </w:r>
    </w:p>
    <w:p w14:paraId="4F67AB2D" w14:textId="77777777" w:rsidR="00591D54" w:rsidRDefault="00591D54">
      <w:pPr>
        <w:shd w:val="clear" w:color="auto" w:fill="FFFFFF"/>
        <w:tabs>
          <w:tab w:val="left" w:pos="5952"/>
        </w:tabs>
        <w:spacing w:after="230"/>
        <w:ind w:left="5"/>
        <w:sectPr w:rsidR="00591D54">
          <w:pgSz w:w="11909" w:h="16834"/>
          <w:pgMar w:top="1356" w:right="1309" w:bottom="360" w:left="1308" w:header="720" w:footer="720" w:gutter="0"/>
          <w:cols w:space="60"/>
          <w:noEndnote/>
        </w:sectPr>
      </w:pPr>
    </w:p>
    <w:p w14:paraId="4F67AB2E" w14:textId="77777777" w:rsidR="00591D54" w:rsidRDefault="00591D54">
      <w:pPr>
        <w:shd w:val="clear" w:color="auto" w:fill="FFFFFF"/>
        <w:spacing w:before="5" w:line="216" w:lineRule="exact"/>
        <w:jc w:val="both"/>
      </w:pPr>
      <w:r>
        <w:rPr>
          <w:spacing w:val="-5"/>
          <w:sz w:val="18"/>
          <w:szCs w:val="18"/>
          <w:lang w:val="es-ES_tradnl"/>
        </w:rPr>
        <w:t>de Justicia de Santo Domingo de los Ts</w:t>
      </w:r>
      <w:r>
        <w:rPr>
          <w:rFonts w:cs="Times New Roman"/>
          <w:spacing w:val="-5"/>
          <w:sz w:val="18"/>
          <w:szCs w:val="18"/>
          <w:lang w:val="es-ES_tradnl"/>
        </w:rPr>
        <w:t>á</w:t>
      </w:r>
      <w:r>
        <w:rPr>
          <w:spacing w:val="-5"/>
          <w:sz w:val="18"/>
          <w:szCs w:val="18"/>
          <w:lang w:val="es-ES_tradnl"/>
        </w:rPr>
        <w:t xml:space="preserve">chilas; en </w:t>
      </w:r>
      <w:r>
        <w:rPr>
          <w:spacing w:val="-6"/>
          <w:sz w:val="18"/>
          <w:szCs w:val="18"/>
          <w:lang w:val="es-ES_tradnl"/>
        </w:rPr>
        <w:t xml:space="preserve">consecuencia, desde la fecha referida, no integra la Sala </w:t>
      </w:r>
      <w:r>
        <w:rPr>
          <w:rFonts w:cs="Times New Roman"/>
          <w:spacing w:val="-4"/>
          <w:sz w:val="18"/>
          <w:szCs w:val="18"/>
          <w:lang w:val="es-ES_tradnl"/>
        </w:rPr>
        <w:t>Ú</w:t>
      </w:r>
      <w:r>
        <w:rPr>
          <w:spacing w:val="-4"/>
          <w:sz w:val="18"/>
          <w:szCs w:val="18"/>
          <w:lang w:val="es-ES_tradnl"/>
        </w:rPr>
        <w:t xml:space="preserve">nica de la Corte Provincial de Justicia, actualmente </w:t>
      </w:r>
      <w:r>
        <w:rPr>
          <w:spacing w:val="-5"/>
          <w:sz w:val="18"/>
          <w:szCs w:val="18"/>
          <w:lang w:val="es-ES_tradnl"/>
        </w:rPr>
        <w:t xml:space="preserve">denominada Sala Multicompetente de la Corte Provincial </w:t>
      </w:r>
      <w:r>
        <w:rPr>
          <w:spacing w:val="-6"/>
          <w:sz w:val="18"/>
          <w:szCs w:val="18"/>
          <w:lang w:val="es-ES_tradnl"/>
        </w:rPr>
        <w:t>de Justicia de Santo Domingo de los Ts</w:t>
      </w:r>
      <w:r>
        <w:rPr>
          <w:rFonts w:cs="Times New Roman"/>
          <w:spacing w:val="-6"/>
          <w:sz w:val="18"/>
          <w:szCs w:val="18"/>
          <w:lang w:val="es-ES_tradnl"/>
        </w:rPr>
        <w:t>á</w:t>
      </w:r>
      <w:r>
        <w:rPr>
          <w:spacing w:val="-6"/>
          <w:sz w:val="18"/>
          <w:szCs w:val="18"/>
          <w:lang w:val="es-ES_tradnl"/>
        </w:rPr>
        <w:t>chilas.</w:t>
      </w:r>
    </w:p>
    <w:p w14:paraId="4F67AB2F" w14:textId="77777777" w:rsidR="00591D54" w:rsidRDefault="00591D54">
      <w:pPr>
        <w:shd w:val="clear" w:color="auto" w:fill="FFFFFF"/>
        <w:spacing w:before="197" w:line="216" w:lineRule="exact"/>
        <w:jc w:val="both"/>
      </w:pPr>
      <w:r>
        <w:rPr>
          <w:b/>
          <w:bCs/>
          <w:spacing w:val="-1"/>
          <w:sz w:val="18"/>
          <w:szCs w:val="18"/>
          <w:lang w:val="es-ES_tradnl"/>
        </w:rPr>
        <w:t>Doctores Iv</w:t>
      </w:r>
      <w:r>
        <w:rPr>
          <w:rFonts w:cs="Times New Roman"/>
          <w:b/>
          <w:bCs/>
          <w:spacing w:val="-1"/>
          <w:sz w:val="18"/>
          <w:szCs w:val="18"/>
          <w:lang w:val="es-ES_tradnl"/>
        </w:rPr>
        <w:t>á</w:t>
      </w:r>
      <w:r>
        <w:rPr>
          <w:b/>
          <w:bCs/>
          <w:spacing w:val="-1"/>
          <w:sz w:val="18"/>
          <w:szCs w:val="18"/>
          <w:lang w:val="es-ES_tradnl"/>
        </w:rPr>
        <w:t>n Xavier Le</w:t>
      </w:r>
      <w:r>
        <w:rPr>
          <w:rFonts w:cs="Times New Roman"/>
          <w:b/>
          <w:bCs/>
          <w:spacing w:val="-1"/>
          <w:sz w:val="18"/>
          <w:szCs w:val="18"/>
          <w:lang w:val="es-ES_tradnl"/>
        </w:rPr>
        <w:t>ó</w:t>
      </w:r>
      <w:r>
        <w:rPr>
          <w:b/>
          <w:bCs/>
          <w:spacing w:val="-1"/>
          <w:sz w:val="18"/>
          <w:szCs w:val="18"/>
          <w:lang w:val="es-ES_tradnl"/>
        </w:rPr>
        <w:t>n Rodr</w:t>
      </w:r>
      <w:r>
        <w:rPr>
          <w:rFonts w:cs="Times New Roman"/>
          <w:b/>
          <w:bCs/>
          <w:spacing w:val="-1"/>
          <w:sz w:val="18"/>
          <w:szCs w:val="18"/>
          <w:lang w:val="es-ES_tradnl"/>
        </w:rPr>
        <w:t>í</w:t>
      </w:r>
      <w:r>
        <w:rPr>
          <w:b/>
          <w:bCs/>
          <w:spacing w:val="-1"/>
          <w:sz w:val="18"/>
          <w:szCs w:val="18"/>
          <w:lang w:val="es-ES_tradnl"/>
        </w:rPr>
        <w:t xml:space="preserve">guez y Arturo </w:t>
      </w:r>
      <w:r>
        <w:rPr>
          <w:b/>
          <w:bCs/>
          <w:spacing w:val="-2"/>
          <w:sz w:val="18"/>
          <w:szCs w:val="18"/>
          <w:lang w:val="es-ES_tradnl"/>
        </w:rPr>
        <w:t xml:space="preserve">Alexander Brito Centeno, Jueces de la Sala </w:t>
      </w:r>
      <w:r>
        <w:rPr>
          <w:b/>
          <w:bCs/>
          <w:spacing w:val="-6"/>
          <w:sz w:val="18"/>
          <w:szCs w:val="18"/>
          <w:lang w:val="es-ES_tradnl"/>
        </w:rPr>
        <w:t xml:space="preserve">Multicompetente de la Corte Provincial de Justicia de </w:t>
      </w:r>
      <w:r>
        <w:rPr>
          <w:b/>
          <w:bCs/>
          <w:sz w:val="18"/>
          <w:szCs w:val="18"/>
          <w:lang w:val="es-ES_tradnl"/>
        </w:rPr>
        <w:t>Santo Domingo de los Ts</w:t>
      </w:r>
      <w:r>
        <w:rPr>
          <w:rFonts w:cs="Times New Roman"/>
          <w:b/>
          <w:bCs/>
          <w:sz w:val="18"/>
          <w:szCs w:val="18"/>
          <w:lang w:val="es-ES_tradnl"/>
        </w:rPr>
        <w:t>á</w:t>
      </w:r>
      <w:r>
        <w:rPr>
          <w:b/>
          <w:bCs/>
          <w:sz w:val="18"/>
          <w:szCs w:val="18"/>
          <w:lang w:val="es-ES_tradnl"/>
        </w:rPr>
        <w:t>chilas</w:t>
      </w:r>
    </w:p>
    <w:p w14:paraId="4F67AB30" w14:textId="77777777" w:rsidR="00591D54" w:rsidRDefault="00591D54">
      <w:pPr>
        <w:shd w:val="clear" w:color="auto" w:fill="FFFFFF"/>
        <w:spacing w:before="197" w:line="216" w:lineRule="exact"/>
        <w:jc w:val="both"/>
      </w:pPr>
      <w:r>
        <w:rPr>
          <w:spacing w:val="-4"/>
          <w:sz w:val="18"/>
          <w:szCs w:val="18"/>
          <w:lang w:val="es-ES_tradnl"/>
        </w:rPr>
        <w:t xml:space="preserve">A foja 29 del expediente constitucional comparecen, </w:t>
      </w:r>
      <w:r>
        <w:rPr>
          <w:spacing w:val="-10"/>
          <w:sz w:val="18"/>
          <w:szCs w:val="18"/>
          <w:lang w:val="es-ES_tradnl"/>
        </w:rPr>
        <w:t xml:space="preserve">mediante escrito presentado el 09 de diciembre de 2014, los </w:t>
      </w:r>
      <w:r>
        <w:rPr>
          <w:spacing w:val="-5"/>
          <w:sz w:val="18"/>
          <w:szCs w:val="18"/>
          <w:lang w:val="es-ES_tradnl"/>
        </w:rPr>
        <w:t>doctores Iv</w:t>
      </w:r>
      <w:r>
        <w:rPr>
          <w:rFonts w:cs="Times New Roman"/>
          <w:spacing w:val="-5"/>
          <w:sz w:val="18"/>
          <w:szCs w:val="18"/>
          <w:lang w:val="es-ES_tradnl"/>
        </w:rPr>
        <w:t>á</w:t>
      </w:r>
      <w:r>
        <w:rPr>
          <w:spacing w:val="-5"/>
          <w:sz w:val="18"/>
          <w:szCs w:val="18"/>
          <w:lang w:val="es-ES_tradnl"/>
        </w:rPr>
        <w:t>n Xavier Le</w:t>
      </w:r>
      <w:r>
        <w:rPr>
          <w:rFonts w:cs="Times New Roman"/>
          <w:spacing w:val="-5"/>
          <w:sz w:val="18"/>
          <w:szCs w:val="18"/>
          <w:lang w:val="es-ES_tradnl"/>
        </w:rPr>
        <w:t>ó</w:t>
      </w:r>
      <w:r>
        <w:rPr>
          <w:spacing w:val="-5"/>
          <w:sz w:val="18"/>
          <w:szCs w:val="18"/>
          <w:lang w:val="es-ES_tradnl"/>
        </w:rPr>
        <w:t>n Rodr</w:t>
      </w:r>
      <w:r>
        <w:rPr>
          <w:rFonts w:cs="Times New Roman"/>
          <w:spacing w:val="-5"/>
          <w:sz w:val="18"/>
          <w:szCs w:val="18"/>
          <w:lang w:val="es-ES_tradnl"/>
        </w:rPr>
        <w:t>í</w:t>
      </w:r>
      <w:r>
        <w:rPr>
          <w:spacing w:val="-5"/>
          <w:sz w:val="18"/>
          <w:szCs w:val="18"/>
          <w:lang w:val="es-ES_tradnl"/>
        </w:rPr>
        <w:t xml:space="preserve">guez y Arturo Alexander </w:t>
      </w:r>
      <w:r>
        <w:rPr>
          <w:spacing w:val="-4"/>
          <w:sz w:val="18"/>
          <w:szCs w:val="18"/>
          <w:lang w:val="es-ES_tradnl"/>
        </w:rPr>
        <w:t xml:space="preserve">Brito Centeno, jueces de la Sala Multicompetente de la </w:t>
      </w:r>
      <w:r>
        <w:rPr>
          <w:sz w:val="18"/>
          <w:szCs w:val="18"/>
          <w:lang w:val="es-ES_tradnl"/>
        </w:rPr>
        <w:t>Corte Provincial de Santo Domingo de los Ts</w:t>
      </w:r>
      <w:r>
        <w:rPr>
          <w:rFonts w:cs="Times New Roman"/>
          <w:sz w:val="18"/>
          <w:szCs w:val="18"/>
          <w:lang w:val="es-ES_tradnl"/>
        </w:rPr>
        <w:t>á</w:t>
      </w:r>
      <w:r>
        <w:rPr>
          <w:sz w:val="18"/>
          <w:szCs w:val="18"/>
          <w:lang w:val="es-ES_tradnl"/>
        </w:rPr>
        <w:t xml:space="preserve">chilas, </w:t>
      </w:r>
      <w:r>
        <w:rPr>
          <w:spacing w:val="-3"/>
          <w:sz w:val="18"/>
          <w:szCs w:val="18"/>
          <w:lang w:val="es-ES_tradnl"/>
        </w:rPr>
        <w:t>por medio del cual exponen que la decisi</w:t>
      </w:r>
      <w:r>
        <w:rPr>
          <w:rFonts w:cs="Times New Roman"/>
          <w:spacing w:val="-3"/>
          <w:sz w:val="18"/>
          <w:szCs w:val="18"/>
          <w:lang w:val="es-ES_tradnl"/>
        </w:rPr>
        <w:t>ó</w:t>
      </w:r>
      <w:r>
        <w:rPr>
          <w:spacing w:val="-3"/>
          <w:sz w:val="18"/>
          <w:szCs w:val="18"/>
          <w:lang w:val="es-ES_tradnl"/>
        </w:rPr>
        <w:t xml:space="preserve">n judicial </w:t>
      </w:r>
      <w:r>
        <w:rPr>
          <w:spacing w:val="-6"/>
          <w:sz w:val="18"/>
          <w:szCs w:val="18"/>
          <w:lang w:val="es-ES_tradnl"/>
        </w:rPr>
        <w:t>impugnada cumpli</w:t>
      </w:r>
      <w:r>
        <w:rPr>
          <w:rFonts w:cs="Times New Roman"/>
          <w:spacing w:val="-6"/>
          <w:sz w:val="18"/>
          <w:szCs w:val="18"/>
          <w:lang w:val="es-ES_tradnl"/>
        </w:rPr>
        <w:t>ó</w:t>
      </w:r>
      <w:r>
        <w:rPr>
          <w:spacing w:val="-6"/>
          <w:sz w:val="18"/>
          <w:szCs w:val="18"/>
          <w:lang w:val="es-ES_tradnl"/>
        </w:rPr>
        <w:t xml:space="preserve"> con todos los requerimientos legales, </w:t>
      </w:r>
      <w:r>
        <w:rPr>
          <w:spacing w:val="-5"/>
          <w:sz w:val="18"/>
          <w:szCs w:val="18"/>
          <w:lang w:val="es-ES_tradnl"/>
        </w:rPr>
        <w:t>por ende, no se vulneraron derechos constitucionales. A</w:t>
      </w:r>
      <w:r>
        <w:rPr>
          <w:rFonts w:cs="Times New Roman"/>
          <w:spacing w:val="-5"/>
          <w:sz w:val="18"/>
          <w:szCs w:val="18"/>
          <w:lang w:val="es-ES_tradnl"/>
        </w:rPr>
        <w:t>ñ</w:t>
      </w:r>
      <w:r>
        <w:rPr>
          <w:spacing w:val="-5"/>
          <w:sz w:val="18"/>
          <w:szCs w:val="18"/>
          <w:lang w:val="es-ES_tradnl"/>
        </w:rPr>
        <w:t>aden los comparecientes que la acci</w:t>
      </w:r>
      <w:r>
        <w:rPr>
          <w:rFonts w:cs="Times New Roman"/>
          <w:spacing w:val="-5"/>
          <w:sz w:val="18"/>
          <w:szCs w:val="18"/>
          <w:lang w:val="es-ES_tradnl"/>
        </w:rPr>
        <w:t>ó</w:t>
      </w:r>
      <w:r>
        <w:rPr>
          <w:spacing w:val="-5"/>
          <w:sz w:val="18"/>
          <w:szCs w:val="18"/>
          <w:lang w:val="es-ES_tradnl"/>
        </w:rPr>
        <w:t>n extraordinaria de protecci</w:t>
      </w:r>
      <w:r>
        <w:rPr>
          <w:rFonts w:cs="Times New Roman"/>
          <w:spacing w:val="-5"/>
          <w:sz w:val="18"/>
          <w:szCs w:val="18"/>
          <w:lang w:val="es-ES_tradnl"/>
        </w:rPr>
        <w:t>ó</w:t>
      </w:r>
      <w:r>
        <w:rPr>
          <w:spacing w:val="-5"/>
          <w:sz w:val="18"/>
          <w:szCs w:val="18"/>
          <w:lang w:val="es-ES_tradnl"/>
        </w:rPr>
        <w:t>n es de car</w:t>
      </w:r>
      <w:r>
        <w:rPr>
          <w:rFonts w:cs="Times New Roman"/>
          <w:spacing w:val="-5"/>
          <w:sz w:val="18"/>
          <w:szCs w:val="18"/>
          <w:lang w:val="es-ES_tradnl"/>
        </w:rPr>
        <w:t>á</w:t>
      </w:r>
      <w:r>
        <w:rPr>
          <w:spacing w:val="-5"/>
          <w:sz w:val="18"/>
          <w:szCs w:val="18"/>
          <w:lang w:val="es-ES_tradnl"/>
        </w:rPr>
        <w:t xml:space="preserve">cter excepcional, puesto que no </w:t>
      </w:r>
      <w:r>
        <w:rPr>
          <w:spacing w:val="-6"/>
          <w:sz w:val="18"/>
          <w:szCs w:val="18"/>
          <w:lang w:val="es-ES_tradnl"/>
        </w:rPr>
        <w:t xml:space="preserve">se trata de una instancia sobrepuesta a las existentes, ni </w:t>
      </w:r>
      <w:r>
        <w:rPr>
          <w:spacing w:val="-4"/>
          <w:sz w:val="18"/>
          <w:szCs w:val="18"/>
          <w:lang w:val="es-ES_tradnl"/>
        </w:rPr>
        <w:t>tampoco tiene como prop</w:t>
      </w:r>
      <w:r>
        <w:rPr>
          <w:rFonts w:cs="Times New Roman"/>
          <w:spacing w:val="-4"/>
          <w:sz w:val="18"/>
          <w:szCs w:val="18"/>
          <w:lang w:val="es-ES_tradnl"/>
        </w:rPr>
        <w:t>ó</w:t>
      </w:r>
      <w:r>
        <w:rPr>
          <w:spacing w:val="-4"/>
          <w:sz w:val="18"/>
          <w:szCs w:val="18"/>
          <w:lang w:val="es-ES_tradnl"/>
        </w:rPr>
        <w:t>sito deslegitimar la actuaci</w:t>
      </w:r>
      <w:r>
        <w:rPr>
          <w:rFonts w:cs="Times New Roman"/>
          <w:spacing w:val="-4"/>
          <w:sz w:val="18"/>
          <w:szCs w:val="18"/>
          <w:lang w:val="es-ES_tradnl"/>
        </w:rPr>
        <w:t>ó</w:t>
      </w:r>
      <w:r>
        <w:rPr>
          <w:spacing w:val="-4"/>
          <w:sz w:val="18"/>
          <w:szCs w:val="18"/>
          <w:lang w:val="es-ES_tradnl"/>
        </w:rPr>
        <w:t xml:space="preserve">n </w:t>
      </w:r>
      <w:r>
        <w:rPr>
          <w:spacing w:val="-3"/>
          <w:sz w:val="18"/>
          <w:szCs w:val="18"/>
          <w:lang w:val="es-ES_tradnl"/>
        </w:rPr>
        <w:t>de los jueces, sino m</w:t>
      </w:r>
      <w:r>
        <w:rPr>
          <w:rFonts w:cs="Times New Roman"/>
          <w:spacing w:val="-3"/>
          <w:sz w:val="18"/>
          <w:szCs w:val="18"/>
          <w:lang w:val="es-ES_tradnl"/>
        </w:rPr>
        <w:t>á</w:t>
      </w:r>
      <w:r>
        <w:rPr>
          <w:spacing w:val="-3"/>
          <w:sz w:val="18"/>
          <w:szCs w:val="18"/>
          <w:lang w:val="es-ES_tradnl"/>
        </w:rPr>
        <w:t xml:space="preserve">s bien se trata de un mecanismo </w:t>
      </w:r>
      <w:r>
        <w:rPr>
          <w:spacing w:val="-6"/>
          <w:sz w:val="18"/>
          <w:szCs w:val="18"/>
          <w:lang w:val="es-ES_tradnl"/>
        </w:rPr>
        <w:t>de car</w:t>
      </w:r>
      <w:r>
        <w:rPr>
          <w:rFonts w:cs="Times New Roman"/>
          <w:spacing w:val="-6"/>
          <w:sz w:val="18"/>
          <w:szCs w:val="18"/>
          <w:lang w:val="es-ES_tradnl"/>
        </w:rPr>
        <w:t>á</w:t>
      </w:r>
      <w:r>
        <w:rPr>
          <w:spacing w:val="-6"/>
          <w:sz w:val="18"/>
          <w:szCs w:val="18"/>
          <w:lang w:val="es-ES_tradnl"/>
        </w:rPr>
        <w:t>cter subsidiario que no se debe pronunciar sobre consideraciones legales o valoraciones probatorias.</w:t>
      </w:r>
    </w:p>
    <w:p w14:paraId="4F67AB31" w14:textId="77777777" w:rsidR="00591D54" w:rsidRDefault="00591D54">
      <w:pPr>
        <w:shd w:val="clear" w:color="auto" w:fill="FFFFFF"/>
        <w:spacing w:before="197"/>
      </w:pPr>
      <w:r>
        <w:rPr>
          <w:b/>
          <w:bCs/>
          <w:spacing w:val="-5"/>
          <w:sz w:val="18"/>
          <w:szCs w:val="18"/>
          <w:lang w:val="es-ES_tradnl"/>
        </w:rPr>
        <w:t>Procuradur</w:t>
      </w:r>
      <w:r>
        <w:rPr>
          <w:rFonts w:cs="Times New Roman"/>
          <w:b/>
          <w:bCs/>
          <w:spacing w:val="-5"/>
          <w:sz w:val="18"/>
          <w:szCs w:val="18"/>
          <w:lang w:val="es-ES_tradnl"/>
        </w:rPr>
        <w:t>í</w:t>
      </w:r>
      <w:r>
        <w:rPr>
          <w:b/>
          <w:bCs/>
          <w:spacing w:val="-5"/>
          <w:sz w:val="18"/>
          <w:szCs w:val="18"/>
          <w:lang w:val="es-ES_tradnl"/>
        </w:rPr>
        <w:t>a General del Estado</w:t>
      </w:r>
    </w:p>
    <w:p w14:paraId="4F67AB32" w14:textId="77777777" w:rsidR="00591D54" w:rsidRDefault="00591D54">
      <w:pPr>
        <w:shd w:val="clear" w:color="auto" w:fill="FFFFFF"/>
        <w:spacing w:before="197" w:line="216" w:lineRule="exact"/>
        <w:jc w:val="both"/>
      </w:pPr>
      <w:r>
        <w:rPr>
          <w:spacing w:val="-4"/>
          <w:sz w:val="18"/>
          <w:szCs w:val="18"/>
          <w:lang w:val="es-ES_tradnl"/>
        </w:rPr>
        <w:t xml:space="preserve">A foja 26 del expediente constitucional comparece el </w:t>
      </w:r>
      <w:r>
        <w:rPr>
          <w:spacing w:val="-7"/>
          <w:sz w:val="18"/>
          <w:szCs w:val="18"/>
          <w:lang w:val="es-ES_tradnl"/>
        </w:rPr>
        <w:t xml:space="preserve">abogado Marcos Arteaga Valenzuela, director nacional de </w:t>
      </w:r>
      <w:r>
        <w:rPr>
          <w:spacing w:val="-5"/>
          <w:sz w:val="18"/>
          <w:szCs w:val="18"/>
          <w:lang w:val="es-ES_tradnl"/>
        </w:rPr>
        <w:t>patrocinio de la Procuradur</w:t>
      </w:r>
      <w:r>
        <w:rPr>
          <w:rFonts w:cs="Times New Roman"/>
          <w:spacing w:val="-5"/>
          <w:sz w:val="18"/>
          <w:szCs w:val="18"/>
          <w:lang w:val="es-ES_tradnl"/>
        </w:rPr>
        <w:t>í</w:t>
      </w:r>
      <w:r>
        <w:rPr>
          <w:spacing w:val="-5"/>
          <w:sz w:val="18"/>
          <w:szCs w:val="18"/>
          <w:lang w:val="es-ES_tradnl"/>
        </w:rPr>
        <w:t xml:space="preserve">a General del Estado, quien </w:t>
      </w:r>
      <w:r>
        <w:rPr>
          <w:spacing w:val="-6"/>
          <w:sz w:val="18"/>
          <w:szCs w:val="18"/>
          <w:lang w:val="es-ES_tradnl"/>
        </w:rPr>
        <w:t>se</w:t>
      </w:r>
      <w:r>
        <w:rPr>
          <w:rFonts w:cs="Times New Roman"/>
          <w:spacing w:val="-6"/>
          <w:sz w:val="18"/>
          <w:szCs w:val="18"/>
          <w:lang w:val="es-ES_tradnl"/>
        </w:rPr>
        <w:t>ñ</w:t>
      </w:r>
      <w:r>
        <w:rPr>
          <w:spacing w:val="-6"/>
          <w:sz w:val="18"/>
          <w:szCs w:val="18"/>
          <w:lang w:val="es-ES_tradnl"/>
        </w:rPr>
        <w:t xml:space="preserve">ala para futuras notificaciones la casilla constitucional </w:t>
      </w:r>
      <w:r>
        <w:rPr>
          <w:sz w:val="18"/>
          <w:szCs w:val="18"/>
          <w:lang w:val="es-ES_tradnl"/>
        </w:rPr>
        <w:t>N.</w:t>
      </w:r>
      <w:r>
        <w:rPr>
          <w:rFonts w:cs="Times New Roman"/>
          <w:sz w:val="18"/>
          <w:szCs w:val="18"/>
          <w:lang w:val="es-ES_tradnl"/>
        </w:rPr>
        <w:t>°</w:t>
      </w:r>
      <w:r>
        <w:rPr>
          <w:sz w:val="18"/>
          <w:szCs w:val="18"/>
          <w:lang w:val="es-ES_tradnl"/>
        </w:rPr>
        <w:t xml:space="preserve"> 18.</w:t>
      </w:r>
    </w:p>
    <w:p w14:paraId="4F67AB33" w14:textId="77777777" w:rsidR="00591D54" w:rsidRDefault="00591D54">
      <w:pPr>
        <w:shd w:val="clear" w:color="auto" w:fill="FFFFFF"/>
        <w:spacing w:before="192" w:line="221" w:lineRule="exact"/>
        <w:ind w:left="662" w:hanging="360"/>
      </w:pPr>
      <w:r>
        <w:rPr>
          <w:b/>
          <w:bCs/>
          <w:sz w:val="18"/>
          <w:szCs w:val="18"/>
          <w:lang w:val="es-ES_tradnl"/>
        </w:rPr>
        <w:t>II. CONSIDERACIONES Y FUNDAMENTOS DE LA CORTE CONSTITUCIONAL</w:t>
      </w:r>
    </w:p>
    <w:p w14:paraId="4F67AB34" w14:textId="77777777" w:rsidR="00591D54" w:rsidRDefault="00591D54">
      <w:pPr>
        <w:shd w:val="clear" w:color="auto" w:fill="FFFFFF"/>
        <w:spacing w:before="197"/>
      </w:pPr>
      <w:r>
        <w:rPr>
          <w:b/>
          <w:bCs/>
          <w:spacing w:val="-7"/>
          <w:sz w:val="18"/>
          <w:szCs w:val="18"/>
          <w:lang w:val="es-ES_tradnl"/>
        </w:rPr>
        <w:t>Competencia de la Corte</w:t>
      </w:r>
    </w:p>
    <w:p w14:paraId="4F67AB35" w14:textId="77777777" w:rsidR="00591D54" w:rsidRDefault="00591D54">
      <w:pPr>
        <w:shd w:val="clear" w:color="auto" w:fill="FFFFFF"/>
        <w:spacing w:before="197" w:line="216" w:lineRule="exact"/>
        <w:jc w:val="both"/>
      </w:pPr>
      <w:r>
        <w:rPr>
          <w:spacing w:val="-7"/>
          <w:sz w:val="18"/>
          <w:szCs w:val="18"/>
          <w:lang w:val="es-ES_tradnl"/>
        </w:rPr>
        <w:t>El Pleno de la Corte Constitucional, seg</w:t>
      </w:r>
      <w:r>
        <w:rPr>
          <w:rFonts w:cs="Times New Roman"/>
          <w:spacing w:val="-7"/>
          <w:sz w:val="18"/>
          <w:szCs w:val="18"/>
          <w:lang w:val="es-ES_tradnl"/>
        </w:rPr>
        <w:t>ú</w:t>
      </w:r>
      <w:r>
        <w:rPr>
          <w:spacing w:val="-7"/>
          <w:sz w:val="18"/>
          <w:szCs w:val="18"/>
          <w:lang w:val="es-ES_tradnl"/>
        </w:rPr>
        <w:t xml:space="preserve">n las atribuciones </w:t>
      </w:r>
      <w:r>
        <w:rPr>
          <w:spacing w:val="-8"/>
          <w:sz w:val="18"/>
          <w:szCs w:val="18"/>
          <w:lang w:val="es-ES_tradnl"/>
        </w:rPr>
        <w:t>establecidas en los art</w:t>
      </w:r>
      <w:r>
        <w:rPr>
          <w:rFonts w:cs="Times New Roman"/>
          <w:spacing w:val="-8"/>
          <w:sz w:val="18"/>
          <w:szCs w:val="18"/>
          <w:lang w:val="es-ES_tradnl"/>
        </w:rPr>
        <w:t>í</w:t>
      </w:r>
      <w:r>
        <w:rPr>
          <w:spacing w:val="-8"/>
          <w:sz w:val="18"/>
          <w:szCs w:val="18"/>
          <w:lang w:val="es-ES_tradnl"/>
        </w:rPr>
        <w:t>culos 94 y 437 de la Constituci</w:t>
      </w:r>
      <w:r>
        <w:rPr>
          <w:rFonts w:cs="Times New Roman"/>
          <w:spacing w:val="-8"/>
          <w:sz w:val="18"/>
          <w:szCs w:val="18"/>
          <w:lang w:val="es-ES_tradnl"/>
        </w:rPr>
        <w:t>ó</w:t>
      </w:r>
      <w:r>
        <w:rPr>
          <w:spacing w:val="-8"/>
          <w:sz w:val="18"/>
          <w:szCs w:val="18"/>
          <w:lang w:val="es-ES_tradnl"/>
        </w:rPr>
        <w:t xml:space="preserve">n de </w:t>
      </w:r>
      <w:r>
        <w:rPr>
          <w:spacing w:val="-4"/>
          <w:sz w:val="18"/>
          <w:szCs w:val="18"/>
          <w:lang w:val="es-ES_tradnl"/>
        </w:rPr>
        <w:t>la Rep</w:t>
      </w:r>
      <w:r>
        <w:rPr>
          <w:rFonts w:cs="Times New Roman"/>
          <w:spacing w:val="-4"/>
          <w:sz w:val="18"/>
          <w:szCs w:val="18"/>
          <w:lang w:val="es-ES_tradnl"/>
        </w:rPr>
        <w:t>ú</w:t>
      </w:r>
      <w:r>
        <w:rPr>
          <w:spacing w:val="-4"/>
          <w:sz w:val="18"/>
          <w:szCs w:val="18"/>
          <w:lang w:val="es-ES_tradnl"/>
        </w:rPr>
        <w:t>blica, art</w:t>
      </w:r>
      <w:r>
        <w:rPr>
          <w:rFonts w:cs="Times New Roman"/>
          <w:spacing w:val="-4"/>
          <w:sz w:val="18"/>
          <w:szCs w:val="18"/>
          <w:lang w:val="es-ES_tradnl"/>
        </w:rPr>
        <w:t>í</w:t>
      </w:r>
      <w:r>
        <w:rPr>
          <w:spacing w:val="-4"/>
          <w:sz w:val="18"/>
          <w:szCs w:val="18"/>
          <w:lang w:val="es-ES_tradnl"/>
        </w:rPr>
        <w:t>culo 58 y siguientes de la Ley Org</w:t>
      </w:r>
      <w:r>
        <w:rPr>
          <w:rFonts w:cs="Times New Roman"/>
          <w:spacing w:val="-4"/>
          <w:sz w:val="18"/>
          <w:szCs w:val="18"/>
          <w:lang w:val="es-ES_tradnl"/>
        </w:rPr>
        <w:t>á</w:t>
      </w:r>
      <w:r>
        <w:rPr>
          <w:spacing w:val="-4"/>
          <w:sz w:val="18"/>
          <w:szCs w:val="18"/>
          <w:lang w:val="es-ES_tradnl"/>
        </w:rPr>
        <w:t xml:space="preserve">nica </w:t>
      </w:r>
      <w:r>
        <w:rPr>
          <w:spacing w:val="-5"/>
          <w:sz w:val="18"/>
          <w:szCs w:val="18"/>
          <w:lang w:val="es-ES_tradnl"/>
        </w:rPr>
        <w:t>de Garant</w:t>
      </w:r>
      <w:r>
        <w:rPr>
          <w:rFonts w:cs="Times New Roman"/>
          <w:spacing w:val="-5"/>
          <w:sz w:val="18"/>
          <w:szCs w:val="18"/>
          <w:lang w:val="es-ES_tradnl"/>
        </w:rPr>
        <w:t>í</w:t>
      </w:r>
      <w:r>
        <w:rPr>
          <w:spacing w:val="-5"/>
          <w:sz w:val="18"/>
          <w:szCs w:val="18"/>
          <w:lang w:val="es-ES_tradnl"/>
        </w:rPr>
        <w:t xml:space="preserve">as Jurisdiccionales y Control Constitucional, y </w:t>
      </w:r>
      <w:r>
        <w:rPr>
          <w:spacing w:val="-7"/>
          <w:sz w:val="18"/>
          <w:szCs w:val="18"/>
          <w:lang w:val="es-ES_tradnl"/>
        </w:rPr>
        <w:t>art</w:t>
      </w:r>
      <w:r>
        <w:rPr>
          <w:rFonts w:cs="Times New Roman"/>
          <w:spacing w:val="-7"/>
          <w:sz w:val="18"/>
          <w:szCs w:val="18"/>
          <w:lang w:val="es-ES_tradnl"/>
        </w:rPr>
        <w:t>í</w:t>
      </w:r>
      <w:r>
        <w:rPr>
          <w:spacing w:val="-7"/>
          <w:sz w:val="18"/>
          <w:szCs w:val="18"/>
          <w:lang w:val="es-ES_tradnl"/>
        </w:rPr>
        <w:t>culo 35 del Reglamento de Sustanciaci</w:t>
      </w:r>
      <w:r>
        <w:rPr>
          <w:rFonts w:cs="Times New Roman"/>
          <w:spacing w:val="-7"/>
          <w:sz w:val="18"/>
          <w:szCs w:val="18"/>
          <w:lang w:val="es-ES_tradnl"/>
        </w:rPr>
        <w:t>ó</w:t>
      </w:r>
      <w:r>
        <w:rPr>
          <w:spacing w:val="-7"/>
          <w:sz w:val="18"/>
          <w:szCs w:val="18"/>
          <w:lang w:val="es-ES_tradnl"/>
        </w:rPr>
        <w:t xml:space="preserve">n de Procesos </w:t>
      </w:r>
      <w:r>
        <w:rPr>
          <w:spacing w:val="-8"/>
          <w:sz w:val="18"/>
          <w:szCs w:val="18"/>
          <w:lang w:val="es-ES_tradnl"/>
        </w:rPr>
        <w:t>de Competencia de la Corte Constitucional, es competente para conocer y pronunciarse sobre la acci</w:t>
      </w:r>
      <w:r>
        <w:rPr>
          <w:rFonts w:cs="Times New Roman"/>
          <w:spacing w:val="-8"/>
          <w:sz w:val="18"/>
          <w:szCs w:val="18"/>
          <w:lang w:val="es-ES_tradnl"/>
        </w:rPr>
        <w:t>ó</w:t>
      </w:r>
      <w:r>
        <w:rPr>
          <w:spacing w:val="-8"/>
          <w:sz w:val="18"/>
          <w:szCs w:val="18"/>
          <w:lang w:val="es-ES_tradnl"/>
        </w:rPr>
        <w:t xml:space="preserve">n extraordinaria </w:t>
      </w:r>
      <w:r>
        <w:rPr>
          <w:spacing w:val="-3"/>
          <w:sz w:val="18"/>
          <w:szCs w:val="18"/>
          <w:lang w:val="es-ES_tradnl"/>
        </w:rPr>
        <w:t>de protecci</w:t>
      </w:r>
      <w:r>
        <w:rPr>
          <w:rFonts w:cs="Times New Roman"/>
          <w:spacing w:val="-3"/>
          <w:sz w:val="18"/>
          <w:szCs w:val="18"/>
          <w:lang w:val="es-ES_tradnl"/>
        </w:rPr>
        <w:t>ó</w:t>
      </w:r>
      <w:r>
        <w:rPr>
          <w:spacing w:val="-3"/>
          <w:sz w:val="18"/>
          <w:szCs w:val="18"/>
          <w:lang w:val="es-ES_tradnl"/>
        </w:rPr>
        <w:t>n contenida en la causa N.</w:t>
      </w:r>
      <w:r>
        <w:rPr>
          <w:rFonts w:cs="Times New Roman"/>
          <w:spacing w:val="-3"/>
          <w:sz w:val="18"/>
          <w:szCs w:val="18"/>
          <w:lang w:val="es-ES_tradnl"/>
        </w:rPr>
        <w:t>°</w:t>
      </w:r>
      <w:r>
        <w:rPr>
          <w:spacing w:val="-3"/>
          <w:sz w:val="18"/>
          <w:szCs w:val="18"/>
          <w:lang w:val="es-ES_tradnl"/>
        </w:rPr>
        <w:t xml:space="preserve"> 0788-14-EP, a fin de determinar si la decisi</w:t>
      </w:r>
      <w:r>
        <w:rPr>
          <w:rFonts w:cs="Times New Roman"/>
          <w:spacing w:val="-3"/>
          <w:sz w:val="18"/>
          <w:szCs w:val="18"/>
          <w:lang w:val="es-ES_tradnl"/>
        </w:rPr>
        <w:t>ó</w:t>
      </w:r>
      <w:r>
        <w:rPr>
          <w:spacing w:val="-3"/>
          <w:sz w:val="18"/>
          <w:szCs w:val="18"/>
          <w:lang w:val="es-ES_tradnl"/>
        </w:rPr>
        <w:t xml:space="preserve">n judicial dictada el 12 de </w:t>
      </w:r>
      <w:r>
        <w:rPr>
          <w:spacing w:val="-4"/>
          <w:sz w:val="18"/>
          <w:szCs w:val="18"/>
          <w:lang w:val="es-ES_tradnl"/>
        </w:rPr>
        <w:t xml:space="preserve">febrero de 2014, por la Sala </w:t>
      </w:r>
      <w:r>
        <w:rPr>
          <w:rFonts w:cs="Times New Roman"/>
          <w:spacing w:val="-4"/>
          <w:sz w:val="18"/>
          <w:szCs w:val="18"/>
          <w:lang w:val="es-ES_tradnl"/>
        </w:rPr>
        <w:t>Ú</w:t>
      </w:r>
      <w:r>
        <w:rPr>
          <w:spacing w:val="-4"/>
          <w:sz w:val="18"/>
          <w:szCs w:val="18"/>
          <w:lang w:val="es-ES_tradnl"/>
        </w:rPr>
        <w:t xml:space="preserve">nica de la Corte Provincial </w:t>
      </w:r>
      <w:r>
        <w:rPr>
          <w:spacing w:val="-3"/>
          <w:sz w:val="18"/>
          <w:szCs w:val="18"/>
          <w:lang w:val="es-ES_tradnl"/>
        </w:rPr>
        <w:t>de Justicia de Santo Domingo de los Ts</w:t>
      </w:r>
      <w:r>
        <w:rPr>
          <w:rFonts w:cs="Times New Roman"/>
          <w:spacing w:val="-3"/>
          <w:sz w:val="18"/>
          <w:szCs w:val="18"/>
          <w:lang w:val="es-ES_tradnl"/>
        </w:rPr>
        <w:t>á</w:t>
      </w:r>
      <w:r>
        <w:rPr>
          <w:spacing w:val="-3"/>
          <w:sz w:val="18"/>
          <w:szCs w:val="18"/>
          <w:lang w:val="es-ES_tradnl"/>
        </w:rPr>
        <w:t>chilas, vulner</w:t>
      </w:r>
      <w:r>
        <w:rPr>
          <w:rFonts w:cs="Times New Roman"/>
          <w:spacing w:val="-3"/>
          <w:sz w:val="18"/>
          <w:szCs w:val="18"/>
          <w:lang w:val="es-ES_tradnl"/>
        </w:rPr>
        <w:t xml:space="preserve">ó </w:t>
      </w:r>
      <w:r>
        <w:rPr>
          <w:spacing w:val="-2"/>
          <w:sz w:val="18"/>
          <w:szCs w:val="18"/>
          <w:lang w:val="es-ES_tradnl"/>
        </w:rPr>
        <w:t xml:space="preserve">o no los derechos constitucionales alegados por el </w:t>
      </w:r>
      <w:r>
        <w:rPr>
          <w:sz w:val="18"/>
          <w:szCs w:val="18"/>
          <w:lang w:val="es-ES_tradnl"/>
        </w:rPr>
        <w:t>legitimado activo.</w:t>
      </w:r>
    </w:p>
    <w:p w14:paraId="4F67AB36" w14:textId="77777777" w:rsidR="00591D54" w:rsidRDefault="00591D54">
      <w:pPr>
        <w:shd w:val="clear" w:color="auto" w:fill="FFFFFF"/>
        <w:spacing w:before="197"/>
      </w:pPr>
      <w:r>
        <w:rPr>
          <w:b/>
          <w:bCs/>
          <w:spacing w:val="-6"/>
          <w:sz w:val="18"/>
          <w:szCs w:val="18"/>
          <w:lang w:val="es-ES_tradnl"/>
        </w:rPr>
        <w:t>Legitimaci</w:t>
      </w:r>
      <w:r>
        <w:rPr>
          <w:rFonts w:cs="Times New Roman"/>
          <w:b/>
          <w:bCs/>
          <w:spacing w:val="-6"/>
          <w:sz w:val="18"/>
          <w:szCs w:val="18"/>
          <w:lang w:val="es-ES_tradnl"/>
        </w:rPr>
        <w:t>ó</w:t>
      </w:r>
      <w:r>
        <w:rPr>
          <w:b/>
          <w:bCs/>
          <w:spacing w:val="-6"/>
          <w:sz w:val="18"/>
          <w:szCs w:val="18"/>
          <w:lang w:val="es-ES_tradnl"/>
        </w:rPr>
        <w:t>n activa</w:t>
      </w:r>
    </w:p>
    <w:p w14:paraId="4F67AB37" w14:textId="77777777" w:rsidR="00591D54" w:rsidRDefault="00591D54">
      <w:pPr>
        <w:shd w:val="clear" w:color="auto" w:fill="FFFFFF"/>
        <w:spacing w:before="202" w:line="216" w:lineRule="exact"/>
        <w:jc w:val="both"/>
      </w:pPr>
      <w:r>
        <w:rPr>
          <w:spacing w:val="-3"/>
          <w:sz w:val="18"/>
          <w:szCs w:val="18"/>
          <w:lang w:val="es-ES_tradnl"/>
        </w:rPr>
        <w:t>El peticionario se encuentra legitimado para presentar esta acci</w:t>
      </w:r>
      <w:r>
        <w:rPr>
          <w:rFonts w:cs="Times New Roman"/>
          <w:spacing w:val="-3"/>
          <w:sz w:val="18"/>
          <w:szCs w:val="18"/>
          <w:lang w:val="es-ES_tradnl"/>
        </w:rPr>
        <w:t>ó</w:t>
      </w:r>
      <w:r>
        <w:rPr>
          <w:spacing w:val="-3"/>
          <w:sz w:val="18"/>
          <w:szCs w:val="18"/>
          <w:lang w:val="es-ES_tradnl"/>
        </w:rPr>
        <w:t>n extraordinaria de protecci</w:t>
      </w:r>
      <w:r>
        <w:rPr>
          <w:rFonts w:cs="Times New Roman"/>
          <w:spacing w:val="-3"/>
          <w:sz w:val="18"/>
          <w:szCs w:val="18"/>
          <w:lang w:val="es-ES_tradnl"/>
        </w:rPr>
        <w:t>ó</w:t>
      </w:r>
      <w:r>
        <w:rPr>
          <w:spacing w:val="-3"/>
          <w:sz w:val="18"/>
          <w:szCs w:val="18"/>
          <w:lang w:val="es-ES_tradnl"/>
        </w:rPr>
        <w:t xml:space="preserve">n, en virtud de </w:t>
      </w:r>
      <w:r>
        <w:rPr>
          <w:spacing w:val="-6"/>
          <w:sz w:val="18"/>
          <w:szCs w:val="18"/>
          <w:lang w:val="es-ES_tradnl"/>
        </w:rPr>
        <w:t>cumplir con los requerimientos establecidos en el art</w:t>
      </w:r>
      <w:r>
        <w:rPr>
          <w:rFonts w:cs="Times New Roman"/>
          <w:spacing w:val="-6"/>
          <w:sz w:val="18"/>
          <w:szCs w:val="18"/>
          <w:lang w:val="es-ES_tradnl"/>
        </w:rPr>
        <w:t>í</w:t>
      </w:r>
      <w:r>
        <w:rPr>
          <w:spacing w:val="-6"/>
          <w:sz w:val="18"/>
          <w:szCs w:val="18"/>
          <w:lang w:val="es-ES_tradnl"/>
        </w:rPr>
        <w:t xml:space="preserve">culo </w:t>
      </w:r>
      <w:r>
        <w:rPr>
          <w:spacing w:val="-4"/>
          <w:sz w:val="18"/>
          <w:szCs w:val="18"/>
          <w:lang w:val="es-ES_tradnl"/>
        </w:rPr>
        <w:t>437 de la Constituci</w:t>
      </w:r>
      <w:r>
        <w:rPr>
          <w:rFonts w:cs="Times New Roman"/>
          <w:spacing w:val="-4"/>
          <w:sz w:val="18"/>
          <w:szCs w:val="18"/>
          <w:lang w:val="es-ES_tradnl"/>
        </w:rPr>
        <w:t>ó</w:t>
      </w:r>
      <w:r>
        <w:rPr>
          <w:spacing w:val="-4"/>
          <w:sz w:val="18"/>
          <w:szCs w:val="18"/>
          <w:lang w:val="es-ES_tradnl"/>
        </w:rPr>
        <w:t>n de la Rep</w:t>
      </w:r>
      <w:r>
        <w:rPr>
          <w:rFonts w:cs="Times New Roman"/>
          <w:spacing w:val="-4"/>
          <w:sz w:val="18"/>
          <w:szCs w:val="18"/>
          <w:lang w:val="es-ES_tradnl"/>
        </w:rPr>
        <w:t>ú</w:t>
      </w:r>
      <w:r>
        <w:rPr>
          <w:spacing w:val="-4"/>
          <w:sz w:val="18"/>
          <w:szCs w:val="18"/>
          <w:lang w:val="es-ES_tradnl"/>
        </w:rPr>
        <w:t xml:space="preserve">blica, los mismos que </w:t>
      </w:r>
      <w:r>
        <w:rPr>
          <w:spacing w:val="-6"/>
          <w:sz w:val="18"/>
          <w:szCs w:val="18"/>
          <w:lang w:val="es-ES_tradnl"/>
        </w:rPr>
        <w:t>expresan que las acciones constitucionales se podr</w:t>
      </w:r>
      <w:r>
        <w:rPr>
          <w:rFonts w:cs="Times New Roman"/>
          <w:spacing w:val="-6"/>
          <w:sz w:val="18"/>
          <w:szCs w:val="18"/>
          <w:lang w:val="es-ES_tradnl"/>
        </w:rPr>
        <w:t>á</w:t>
      </w:r>
      <w:r>
        <w:rPr>
          <w:spacing w:val="-6"/>
          <w:sz w:val="18"/>
          <w:szCs w:val="18"/>
          <w:lang w:val="es-ES_tradnl"/>
        </w:rPr>
        <w:t>n presentar por cualquier ciudadana o ciudadano, individual</w:t>
      </w:r>
    </w:p>
    <w:p w14:paraId="4F67AB38" w14:textId="77777777" w:rsidR="00591D54" w:rsidRDefault="00591D54">
      <w:pPr>
        <w:shd w:val="clear" w:color="auto" w:fill="FFFFFF"/>
        <w:tabs>
          <w:tab w:val="left" w:pos="178"/>
        </w:tabs>
        <w:spacing w:line="216" w:lineRule="exact"/>
        <w:jc w:val="both"/>
      </w:pPr>
      <w:r>
        <w:br w:type="column"/>
      </w:r>
      <w:r>
        <w:rPr>
          <w:sz w:val="18"/>
          <w:szCs w:val="18"/>
          <w:lang w:val="es-ES_tradnl"/>
        </w:rPr>
        <w:t>0</w:t>
      </w:r>
      <w:r>
        <w:rPr>
          <w:sz w:val="18"/>
          <w:szCs w:val="18"/>
          <w:lang w:val="es-ES_tradnl"/>
        </w:rPr>
        <w:tab/>
      </w:r>
      <w:r>
        <w:rPr>
          <w:spacing w:val="-4"/>
          <w:sz w:val="18"/>
          <w:szCs w:val="18"/>
          <w:lang w:val="es-ES_tradnl"/>
        </w:rPr>
        <w:t>colectivamente, en concordancia con lo dispuesto por </w:t>
      </w:r>
      <w:r>
        <w:rPr>
          <w:spacing w:val="-6"/>
          <w:sz w:val="18"/>
          <w:szCs w:val="18"/>
          <w:lang w:val="es-ES_tradnl"/>
        </w:rPr>
        <w:t>el art</w:t>
      </w:r>
      <w:r>
        <w:rPr>
          <w:rFonts w:cs="Times New Roman"/>
          <w:spacing w:val="-6"/>
          <w:sz w:val="18"/>
          <w:szCs w:val="18"/>
          <w:lang w:val="es-ES_tradnl"/>
        </w:rPr>
        <w:t>í</w:t>
      </w:r>
      <w:r>
        <w:rPr>
          <w:spacing w:val="-6"/>
          <w:sz w:val="18"/>
          <w:szCs w:val="18"/>
          <w:lang w:val="es-ES_tradnl"/>
        </w:rPr>
        <w:t>culo 59 de la Ley de Garant</w:t>
      </w:r>
      <w:r>
        <w:rPr>
          <w:rFonts w:cs="Times New Roman"/>
          <w:spacing w:val="-6"/>
          <w:sz w:val="18"/>
          <w:szCs w:val="18"/>
          <w:lang w:val="es-ES_tradnl"/>
        </w:rPr>
        <w:t>í</w:t>
      </w:r>
      <w:r>
        <w:rPr>
          <w:spacing w:val="-6"/>
          <w:sz w:val="18"/>
          <w:szCs w:val="18"/>
          <w:lang w:val="es-ES_tradnl"/>
        </w:rPr>
        <w:t>as Jurisdiccionales y </w:t>
      </w:r>
      <w:r>
        <w:rPr>
          <w:sz w:val="18"/>
          <w:szCs w:val="18"/>
          <w:lang w:val="es-ES_tradnl"/>
        </w:rPr>
        <w:t>Control Constitucional.</w:t>
      </w:r>
    </w:p>
    <w:p w14:paraId="4F67AB39" w14:textId="77777777" w:rsidR="00591D54" w:rsidRDefault="00591D54">
      <w:pPr>
        <w:shd w:val="clear" w:color="auto" w:fill="FFFFFF"/>
        <w:spacing w:before="192" w:line="216" w:lineRule="exact"/>
        <w:jc w:val="both"/>
      </w:pPr>
      <w:r>
        <w:rPr>
          <w:b/>
          <w:bCs/>
          <w:spacing w:val="-5"/>
          <w:sz w:val="18"/>
          <w:szCs w:val="18"/>
          <w:lang w:val="es-ES_tradnl"/>
        </w:rPr>
        <w:t>Naturaleza jur</w:t>
      </w:r>
      <w:r>
        <w:rPr>
          <w:rFonts w:cs="Times New Roman"/>
          <w:b/>
          <w:bCs/>
          <w:spacing w:val="-5"/>
          <w:sz w:val="18"/>
          <w:szCs w:val="18"/>
          <w:lang w:val="es-ES_tradnl"/>
        </w:rPr>
        <w:t>í</w:t>
      </w:r>
      <w:r>
        <w:rPr>
          <w:b/>
          <w:bCs/>
          <w:spacing w:val="-5"/>
          <w:sz w:val="18"/>
          <w:szCs w:val="18"/>
          <w:lang w:val="es-ES_tradnl"/>
        </w:rPr>
        <w:t>dica de la acci</w:t>
      </w:r>
      <w:r>
        <w:rPr>
          <w:rFonts w:cs="Times New Roman"/>
          <w:b/>
          <w:bCs/>
          <w:spacing w:val="-5"/>
          <w:sz w:val="18"/>
          <w:szCs w:val="18"/>
          <w:lang w:val="es-ES_tradnl"/>
        </w:rPr>
        <w:t>ó</w:t>
      </w:r>
      <w:r>
        <w:rPr>
          <w:b/>
          <w:bCs/>
          <w:spacing w:val="-5"/>
          <w:sz w:val="18"/>
          <w:szCs w:val="18"/>
          <w:lang w:val="es-ES_tradnl"/>
        </w:rPr>
        <w:t xml:space="preserve">n extraordinaria de </w:t>
      </w:r>
      <w:r>
        <w:rPr>
          <w:b/>
          <w:bCs/>
          <w:sz w:val="18"/>
          <w:szCs w:val="18"/>
          <w:lang w:val="es-ES_tradnl"/>
        </w:rPr>
        <w:t>protecci</w:t>
      </w:r>
      <w:r>
        <w:rPr>
          <w:rFonts w:cs="Times New Roman"/>
          <w:b/>
          <w:bCs/>
          <w:sz w:val="18"/>
          <w:szCs w:val="18"/>
          <w:lang w:val="es-ES_tradnl"/>
        </w:rPr>
        <w:t>ó</w:t>
      </w:r>
      <w:r>
        <w:rPr>
          <w:b/>
          <w:bCs/>
          <w:sz w:val="18"/>
          <w:szCs w:val="18"/>
          <w:lang w:val="es-ES_tradnl"/>
        </w:rPr>
        <w:t>n</w:t>
      </w:r>
    </w:p>
    <w:p w14:paraId="4F67AB3A" w14:textId="77777777" w:rsidR="00591D54" w:rsidRDefault="00591D54">
      <w:pPr>
        <w:shd w:val="clear" w:color="auto" w:fill="FFFFFF"/>
        <w:spacing w:before="192" w:line="216" w:lineRule="exact"/>
        <w:jc w:val="both"/>
      </w:pPr>
      <w:r>
        <w:rPr>
          <w:spacing w:val="-6"/>
          <w:sz w:val="18"/>
          <w:szCs w:val="18"/>
          <w:lang w:val="es-ES_tradnl"/>
        </w:rPr>
        <w:t>La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procede en contra </w:t>
      </w:r>
      <w:r>
        <w:rPr>
          <w:spacing w:val="-10"/>
          <w:sz w:val="18"/>
          <w:szCs w:val="18"/>
          <w:lang w:val="es-ES_tradnl"/>
        </w:rPr>
        <w:t xml:space="preserve">de sentencias, autos en firme o ejecutoriados y resoluciones </w:t>
      </w:r>
      <w:r>
        <w:rPr>
          <w:spacing w:val="-7"/>
          <w:sz w:val="18"/>
          <w:szCs w:val="18"/>
          <w:lang w:val="es-ES_tradnl"/>
        </w:rPr>
        <w:t xml:space="preserve">judiciales que pongan fin al proceso; en esencia, la Corte </w:t>
      </w:r>
      <w:r>
        <w:rPr>
          <w:spacing w:val="-1"/>
          <w:sz w:val="18"/>
          <w:szCs w:val="18"/>
          <w:lang w:val="es-ES_tradnl"/>
        </w:rPr>
        <w:t>Constitucional, por medio de esta acci</w:t>
      </w:r>
      <w:r>
        <w:rPr>
          <w:rFonts w:cs="Times New Roman"/>
          <w:spacing w:val="-1"/>
          <w:sz w:val="18"/>
          <w:szCs w:val="18"/>
          <w:lang w:val="es-ES_tradnl"/>
        </w:rPr>
        <w:t>ó</w:t>
      </w:r>
      <w:r>
        <w:rPr>
          <w:spacing w:val="-1"/>
          <w:sz w:val="18"/>
          <w:szCs w:val="18"/>
          <w:lang w:val="es-ES_tradnl"/>
        </w:rPr>
        <w:t xml:space="preserve">n excepcional, </w:t>
      </w:r>
      <w:r>
        <w:rPr>
          <w:spacing w:val="-7"/>
          <w:sz w:val="18"/>
          <w:szCs w:val="18"/>
          <w:lang w:val="es-ES_tradnl"/>
        </w:rPr>
        <w:t>se pronunciar</w:t>
      </w:r>
      <w:r>
        <w:rPr>
          <w:rFonts w:cs="Times New Roman"/>
          <w:spacing w:val="-7"/>
          <w:sz w:val="18"/>
          <w:szCs w:val="18"/>
          <w:lang w:val="es-ES_tradnl"/>
        </w:rPr>
        <w:t>á</w:t>
      </w:r>
      <w:r>
        <w:rPr>
          <w:spacing w:val="-7"/>
          <w:sz w:val="18"/>
          <w:szCs w:val="18"/>
          <w:lang w:val="es-ES_tradnl"/>
        </w:rPr>
        <w:t xml:space="preserve"> respecto a dos cuestiones principales: la </w:t>
      </w:r>
      <w:r>
        <w:rPr>
          <w:spacing w:val="-8"/>
          <w:sz w:val="18"/>
          <w:szCs w:val="18"/>
          <w:lang w:val="es-ES_tradnl"/>
        </w:rPr>
        <w:t>vulneraci</w:t>
      </w:r>
      <w:r>
        <w:rPr>
          <w:rFonts w:cs="Times New Roman"/>
          <w:spacing w:val="-8"/>
          <w:sz w:val="18"/>
          <w:szCs w:val="18"/>
          <w:lang w:val="es-ES_tradnl"/>
        </w:rPr>
        <w:t>ó</w:t>
      </w:r>
      <w:r>
        <w:rPr>
          <w:spacing w:val="-8"/>
          <w:sz w:val="18"/>
          <w:szCs w:val="18"/>
          <w:lang w:val="es-ES_tradnl"/>
        </w:rPr>
        <w:t xml:space="preserve">n de derechos constitucionales sustanciales o la </w:t>
      </w:r>
      <w:r>
        <w:rPr>
          <w:sz w:val="18"/>
          <w:szCs w:val="18"/>
          <w:lang w:val="es-ES_tradnl"/>
        </w:rPr>
        <w:t>violaci</w:t>
      </w:r>
      <w:r>
        <w:rPr>
          <w:rFonts w:cs="Times New Roman"/>
          <w:sz w:val="18"/>
          <w:szCs w:val="18"/>
          <w:lang w:val="es-ES_tradnl"/>
        </w:rPr>
        <w:t>ó</w:t>
      </w:r>
      <w:r>
        <w:rPr>
          <w:sz w:val="18"/>
          <w:szCs w:val="18"/>
          <w:lang w:val="es-ES_tradnl"/>
        </w:rPr>
        <w:t>n de normas del debido proceso.</w:t>
      </w:r>
    </w:p>
    <w:p w14:paraId="4F67AB3B" w14:textId="77777777" w:rsidR="00591D54" w:rsidRDefault="00591D54">
      <w:pPr>
        <w:shd w:val="clear" w:color="auto" w:fill="FFFFFF"/>
        <w:spacing w:before="197" w:line="216" w:lineRule="exact"/>
        <w:jc w:val="both"/>
      </w:pPr>
      <w:r>
        <w:rPr>
          <w:spacing w:val="-2"/>
          <w:sz w:val="18"/>
          <w:szCs w:val="18"/>
          <w:lang w:val="es-ES_tradnl"/>
        </w:rPr>
        <w:t>La Corte Constitucional, respecto a esta garant</w:t>
      </w:r>
      <w:r>
        <w:rPr>
          <w:rFonts w:cs="Times New Roman"/>
          <w:spacing w:val="-2"/>
          <w:sz w:val="18"/>
          <w:szCs w:val="18"/>
          <w:lang w:val="es-ES_tradnl"/>
        </w:rPr>
        <w:t>í</w:t>
      </w:r>
      <w:r>
        <w:rPr>
          <w:spacing w:val="-2"/>
          <w:sz w:val="18"/>
          <w:szCs w:val="18"/>
          <w:lang w:val="es-ES_tradnl"/>
        </w:rPr>
        <w:t xml:space="preserve">a </w:t>
      </w:r>
      <w:r>
        <w:rPr>
          <w:sz w:val="18"/>
          <w:szCs w:val="18"/>
          <w:lang w:val="es-ES_tradnl"/>
        </w:rPr>
        <w:t>jurisdiccional, expres</w:t>
      </w:r>
      <w:r>
        <w:rPr>
          <w:rFonts w:cs="Times New Roman"/>
          <w:sz w:val="18"/>
          <w:szCs w:val="18"/>
          <w:lang w:val="es-ES_tradnl"/>
        </w:rPr>
        <w:t>ó</w:t>
      </w:r>
      <w:r>
        <w:rPr>
          <w:sz w:val="18"/>
          <w:szCs w:val="18"/>
          <w:lang w:val="es-ES_tradnl"/>
        </w:rPr>
        <w:t xml:space="preserve"> previamente que:</w:t>
      </w:r>
    </w:p>
    <w:p w14:paraId="4F67AB3C" w14:textId="77777777" w:rsidR="00591D54" w:rsidRDefault="00591D54">
      <w:pPr>
        <w:shd w:val="clear" w:color="auto" w:fill="FFFFFF"/>
        <w:spacing w:before="206" w:line="211" w:lineRule="exact"/>
        <w:ind w:left="283"/>
        <w:jc w:val="both"/>
      </w:pPr>
      <w:r>
        <w:rPr>
          <w:sz w:val="14"/>
          <w:szCs w:val="14"/>
          <w:lang w:val="es-ES_tradnl"/>
        </w:rPr>
        <w:t>La acci</w:t>
      </w:r>
      <w:r>
        <w:rPr>
          <w:rFonts w:cs="Times New Roman"/>
          <w:sz w:val="14"/>
          <w:szCs w:val="14"/>
          <w:lang w:val="es-ES_tradnl"/>
        </w:rPr>
        <w:t>ó</w:t>
      </w:r>
      <w:r>
        <w:rPr>
          <w:sz w:val="14"/>
          <w:szCs w:val="14"/>
          <w:lang w:val="es-ES_tradnl"/>
        </w:rPr>
        <w:t>n extraordinaria de protecci</w:t>
      </w:r>
      <w:r>
        <w:rPr>
          <w:rFonts w:cs="Times New Roman"/>
          <w:sz w:val="14"/>
          <w:szCs w:val="14"/>
          <w:lang w:val="es-ES_tradnl"/>
        </w:rPr>
        <w:t>ó</w:t>
      </w:r>
      <w:r>
        <w:rPr>
          <w:sz w:val="14"/>
          <w:szCs w:val="14"/>
          <w:lang w:val="es-ES_tradnl"/>
        </w:rPr>
        <w:t>n se incorpor</w:t>
      </w:r>
      <w:r>
        <w:rPr>
          <w:rFonts w:cs="Times New Roman"/>
          <w:sz w:val="14"/>
          <w:szCs w:val="14"/>
          <w:lang w:val="es-ES_tradnl"/>
        </w:rPr>
        <w:t>ó</w:t>
      </w:r>
      <w:r>
        <w:rPr>
          <w:sz w:val="14"/>
          <w:szCs w:val="14"/>
          <w:lang w:val="es-ES_tradnl"/>
        </w:rPr>
        <w:t xml:space="preserve"> para tutelar, proteger y remediar las situaciones que devengan de los errores de los jueces, (</w:t>
      </w:r>
      <w:r>
        <w:rPr>
          <w:rFonts w:cs="Times New Roman"/>
          <w:sz w:val="14"/>
          <w:szCs w:val="14"/>
          <w:lang w:val="es-ES_tradnl"/>
        </w:rPr>
        <w:t>…</w:t>
      </w:r>
      <w:r>
        <w:rPr>
          <w:sz w:val="14"/>
          <w:szCs w:val="14"/>
          <w:lang w:val="es-ES_tradnl"/>
        </w:rPr>
        <w:t>) que resulta nueva en la legislaci</w:t>
      </w:r>
      <w:r>
        <w:rPr>
          <w:rFonts w:cs="Times New Roman"/>
          <w:sz w:val="14"/>
          <w:szCs w:val="14"/>
          <w:lang w:val="es-ES_tradnl"/>
        </w:rPr>
        <w:t>ó</w:t>
      </w:r>
      <w:r>
        <w:rPr>
          <w:sz w:val="14"/>
          <w:szCs w:val="14"/>
          <w:lang w:val="es-ES_tradnl"/>
        </w:rPr>
        <w:t>n constitucional del pa</w:t>
      </w:r>
      <w:r>
        <w:rPr>
          <w:rFonts w:cs="Times New Roman"/>
          <w:sz w:val="14"/>
          <w:szCs w:val="14"/>
          <w:lang w:val="es-ES_tradnl"/>
        </w:rPr>
        <w:t>í</w:t>
      </w:r>
      <w:r>
        <w:rPr>
          <w:sz w:val="14"/>
          <w:szCs w:val="14"/>
          <w:lang w:val="es-ES_tradnl"/>
        </w:rPr>
        <w:t>s y que responde, sin duda alguna, al anhelo de la sociedad que busca protecci</w:t>
      </w:r>
      <w:r>
        <w:rPr>
          <w:rFonts w:cs="Times New Roman"/>
          <w:sz w:val="14"/>
          <w:szCs w:val="14"/>
          <w:lang w:val="es-ES_tradnl"/>
        </w:rPr>
        <w:t>ó</w:t>
      </w:r>
      <w:r>
        <w:rPr>
          <w:sz w:val="14"/>
          <w:szCs w:val="14"/>
          <w:lang w:val="es-ES_tradnl"/>
        </w:rPr>
        <w:t xml:space="preserve">n efectiva, </w:t>
      </w:r>
      <w:r>
        <w:rPr>
          <w:spacing w:val="-1"/>
          <w:sz w:val="14"/>
          <w:szCs w:val="14"/>
          <w:lang w:val="es-ES_tradnl"/>
        </w:rPr>
        <w:t>imparcial y expedita de sus derechos e intereses, puesto que as</w:t>
      </w:r>
      <w:r>
        <w:rPr>
          <w:rFonts w:cs="Times New Roman"/>
          <w:spacing w:val="-1"/>
          <w:sz w:val="14"/>
          <w:szCs w:val="14"/>
          <w:lang w:val="es-ES_tradnl"/>
        </w:rPr>
        <w:t xml:space="preserve">í </w:t>
      </w:r>
      <w:r>
        <w:rPr>
          <w:sz w:val="14"/>
          <w:szCs w:val="14"/>
          <w:lang w:val="es-ES_tradnl"/>
        </w:rPr>
        <w:t>los jueces ordinarios, cuya labor de manera general radica en la aplicaci</w:t>
      </w:r>
      <w:r>
        <w:rPr>
          <w:rFonts w:cs="Times New Roman"/>
          <w:sz w:val="14"/>
          <w:szCs w:val="14"/>
          <w:lang w:val="es-ES_tradnl"/>
        </w:rPr>
        <w:t>ó</w:t>
      </w:r>
      <w:r>
        <w:rPr>
          <w:sz w:val="14"/>
          <w:szCs w:val="14"/>
          <w:lang w:val="es-ES_tradnl"/>
        </w:rPr>
        <w:t>n del derecho com</w:t>
      </w:r>
      <w:r>
        <w:rPr>
          <w:rFonts w:cs="Times New Roman"/>
          <w:sz w:val="14"/>
          <w:szCs w:val="14"/>
          <w:lang w:val="es-ES_tradnl"/>
        </w:rPr>
        <w:t>ú</w:t>
      </w:r>
      <w:r>
        <w:rPr>
          <w:sz w:val="14"/>
          <w:szCs w:val="14"/>
          <w:lang w:val="es-ES_tradnl"/>
        </w:rPr>
        <w:t>n, tendr</w:t>
      </w:r>
      <w:r>
        <w:rPr>
          <w:rFonts w:cs="Times New Roman"/>
          <w:sz w:val="14"/>
          <w:szCs w:val="14"/>
          <w:lang w:val="es-ES_tradnl"/>
        </w:rPr>
        <w:t>í</w:t>
      </w:r>
      <w:r>
        <w:rPr>
          <w:sz w:val="14"/>
          <w:szCs w:val="14"/>
          <w:lang w:val="es-ES_tradnl"/>
        </w:rPr>
        <w:t>an un control que deviene de jueces constitucionales en el m</w:t>
      </w:r>
      <w:r>
        <w:rPr>
          <w:rFonts w:cs="Times New Roman"/>
          <w:sz w:val="14"/>
          <w:szCs w:val="14"/>
          <w:lang w:val="es-ES_tradnl"/>
        </w:rPr>
        <w:t>á</w:t>
      </w:r>
      <w:r>
        <w:rPr>
          <w:sz w:val="14"/>
          <w:szCs w:val="14"/>
          <w:lang w:val="es-ES_tradnl"/>
        </w:rPr>
        <w:t>s alto nivel, cuya labor se centrar</w:t>
      </w:r>
      <w:r>
        <w:rPr>
          <w:rFonts w:cs="Times New Roman"/>
          <w:sz w:val="14"/>
          <w:szCs w:val="14"/>
          <w:lang w:val="es-ES_tradnl"/>
        </w:rPr>
        <w:t>í</w:t>
      </w:r>
      <w:r>
        <w:rPr>
          <w:sz w:val="14"/>
          <w:szCs w:val="14"/>
          <w:lang w:val="es-ES_tradnl"/>
        </w:rPr>
        <w:t>a a verificar que dichos jueces, en la tramitaci</w:t>
      </w:r>
      <w:r>
        <w:rPr>
          <w:rFonts w:cs="Times New Roman"/>
          <w:sz w:val="14"/>
          <w:szCs w:val="14"/>
          <w:lang w:val="es-ES_tradnl"/>
        </w:rPr>
        <w:t>ó</w:t>
      </w:r>
      <w:r>
        <w:rPr>
          <w:sz w:val="14"/>
          <w:szCs w:val="14"/>
          <w:lang w:val="es-ES_tradnl"/>
        </w:rPr>
        <w:t>n de las causas, hayan observado las normas del debido proceso, la seguridad jur</w:t>
      </w:r>
      <w:r>
        <w:rPr>
          <w:rFonts w:cs="Times New Roman"/>
          <w:sz w:val="14"/>
          <w:szCs w:val="14"/>
          <w:lang w:val="es-ES_tradnl"/>
        </w:rPr>
        <w:t>í</w:t>
      </w:r>
      <w:r>
        <w:rPr>
          <w:sz w:val="14"/>
          <w:szCs w:val="14"/>
          <w:lang w:val="es-ES_tradnl"/>
        </w:rPr>
        <w:t>dica y otros derechos constitucionales, en uso del principio de la supremac</w:t>
      </w:r>
      <w:r>
        <w:rPr>
          <w:rFonts w:cs="Times New Roman"/>
          <w:sz w:val="14"/>
          <w:szCs w:val="14"/>
          <w:lang w:val="es-ES_tradnl"/>
        </w:rPr>
        <w:t>í</w:t>
      </w:r>
      <w:r>
        <w:rPr>
          <w:sz w:val="14"/>
          <w:szCs w:val="14"/>
          <w:lang w:val="es-ES_tradnl"/>
        </w:rPr>
        <w:t>a constitucional</w:t>
      </w:r>
      <w:r>
        <w:rPr>
          <w:sz w:val="14"/>
          <w:szCs w:val="14"/>
          <w:vertAlign w:val="superscript"/>
          <w:lang w:val="es-ES_tradnl"/>
        </w:rPr>
        <w:t>1</w:t>
      </w:r>
      <w:r>
        <w:rPr>
          <w:sz w:val="14"/>
          <w:szCs w:val="14"/>
          <w:lang w:val="es-ES_tradnl"/>
        </w:rPr>
        <w:t>.</w:t>
      </w:r>
    </w:p>
    <w:p w14:paraId="4F67AB3D" w14:textId="77777777" w:rsidR="00591D54" w:rsidRDefault="00591D54">
      <w:pPr>
        <w:shd w:val="clear" w:color="auto" w:fill="FFFFFF"/>
        <w:spacing w:before="202" w:line="216" w:lineRule="exact"/>
        <w:jc w:val="both"/>
      </w:pPr>
      <w:r>
        <w:rPr>
          <w:spacing w:val="-4"/>
          <w:sz w:val="18"/>
          <w:szCs w:val="18"/>
          <w:lang w:val="es-ES_tradnl"/>
        </w:rPr>
        <w:t>En este contexto, la acci</w:t>
      </w:r>
      <w:r>
        <w:rPr>
          <w:rFonts w:cs="Times New Roman"/>
          <w:spacing w:val="-4"/>
          <w:sz w:val="18"/>
          <w:szCs w:val="18"/>
          <w:lang w:val="es-ES_tradnl"/>
        </w:rPr>
        <w:t>ó</w:t>
      </w:r>
      <w:r>
        <w:rPr>
          <w:spacing w:val="-4"/>
          <w:sz w:val="18"/>
          <w:szCs w:val="18"/>
          <w:lang w:val="es-ES_tradnl"/>
        </w:rPr>
        <w:t>n extraordinaria de protecci</w:t>
      </w:r>
      <w:r>
        <w:rPr>
          <w:rFonts w:cs="Times New Roman"/>
          <w:spacing w:val="-4"/>
          <w:sz w:val="18"/>
          <w:szCs w:val="18"/>
          <w:lang w:val="es-ES_tradnl"/>
        </w:rPr>
        <w:t>ó</w:t>
      </w:r>
      <w:r>
        <w:rPr>
          <w:spacing w:val="-4"/>
          <w:sz w:val="18"/>
          <w:szCs w:val="18"/>
          <w:lang w:val="es-ES_tradnl"/>
        </w:rPr>
        <w:t xml:space="preserve">n </w:t>
      </w:r>
      <w:r>
        <w:rPr>
          <w:sz w:val="18"/>
          <w:szCs w:val="18"/>
          <w:lang w:val="es-ES_tradnl"/>
        </w:rPr>
        <w:t xml:space="preserve">se origina como un mecanismo de control respecto a </w:t>
      </w:r>
      <w:r>
        <w:rPr>
          <w:spacing w:val="-7"/>
          <w:sz w:val="18"/>
          <w:szCs w:val="18"/>
          <w:lang w:val="es-ES_tradnl"/>
        </w:rPr>
        <w:t xml:space="preserve">la constitucionalidad de las actuaciones de los </w:t>
      </w:r>
      <w:r>
        <w:rPr>
          <w:rFonts w:cs="Times New Roman"/>
          <w:spacing w:val="-7"/>
          <w:sz w:val="18"/>
          <w:szCs w:val="18"/>
          <w:lang w:val="es-ES_tradnl"/>
        </w:rPr>
        <w:t>ó</w:t>
      </w:r>
      <w:r>
        <w:rPr>
          <w:spacing w:val="-7"/>
          <w:sz w:val="18"/>
          <w:szCs w:val="18"/>
          <w:lang w:val="es-ES_tradnl"/>
        </w:rPr>
        <w:t xml:space="preserve">rganos </w:t>
      </w:r>
      <w:r>
        <w:rPr>
          <w:spacing w:val="-2"/>
          <w:sz w:val="18"/>
          <w:szCs w:val="18"/>
          <w:lang w:val="es-ES_tradnl"/>
        </w:rPr>
        <w:t xml:space="preserve">judiciales, en lo que compete al presente caso, a la </w:t>
      </w:r>
      <w:r>
        <w:rPr>
          <w:spacing w:val="-9"/>
          <w:sz w:val="18"/>
          <w:szCs w:val="18"/>
          <w:lang w:val="es-ES_tradnl"/>
        </w:rPr>
        <w:t>actuaci</w:t>
      </w:r>
      <w:r>
        <w:rPr>
          <w:rFonts w:cs="Times New Roman"/>
          <w:spacing w:val="-9"/>
          <w:sz w:val="18"/>
          <w:szCs w:val="18"/>
          <w:lang w:val="es-ES_tradnl"/>
        </w:rPr>
        <w:t>ó</w:t>
      </w:r>
      <w:r>
        <w:rPr>
          <w:spacing w:val="-9"/>
          <w:sz w:val="18"/>
          <w:szCs w:val="18"/>
          <w:lang w:val="es-ES_tradnl"/>
        </w:rPr>
        <w:t xml:space="preserve">n de la Sala </w:t>
      </w:r>
      <w:r>
        <w:rPr>
          <w:rFonts w:cs="Times New Roman"/>
          <w:spacing w:val="-9"/>
          <w:sz w:val="18"/>
          <w:szCs w:val="18"/>
          <w:lang w:val="es-ES_tradnl"/>
        </w:rPr>
        <w:t>Ú</w:t>
      </w:r>
      <w:r>
        <w:rPr>
          <w:spacing w:val="-9"/>
          <w:sz w:val="18"/>
          <w:szCs w:val="18"/>
          <w:lang w:val="es-ES_tradnl"/>
        </w:rPr>
        <w:t xml:space="preserve">nica de la Corte Provincial de Justicia </w:t>
      </w:r>
      <w:r>
        <w:rPr>
          <w:spacing w:val="-7"/>
          <w:sz w:val="18"/>
          <w:szCs w:val="18"/>
          <w:lang w:val="es-ES_tradnl"/>
        </w:rPr>
        <w:t>de Santo Domingo de los Ts</w:t>
      </w:r>
      <w:r>
        <w:rPr>
          <w:rFonts w:cs="Times New Roman"/>
          <w:spacing w:val="-7"/>
          <w:sz w:val="18"/>
          <w:szCs w:val="18"/>
          <w:lang w:val="es-ES_tradnl"/>
        </w:rPr>
        <w:t>á</w:t>
      </w:r>
      <w:r>
        <w:rPr>
          <w:spacing w:val="-7"/>
          <w:sz w:val="18"/>
          <w:szCs w:val="18"/>
          <w:lang w:val="es-ES_tradnl"/>
        </w:rPr>
        <w:t>chilas, cuya decisi</w:t>
      </w:r>
      <w:r>
        <w:rPr>
          <w:rFonts w:cs="Times New Roman"/>
          <w:spacing w:val="-7"/>
          <w:sz w:val="18"/>
          <w:szCs w:val="18"/>
          <w:lang w:val="es-ES_tradnl"/>
        </w:rPr>
        <w:t>ó</w:t>
      </w:r>
      <w:r>
        <w:rPr>
          <w:spacing w:val="-7"/>
          <w:sz w:val="18"/>
          <w:szCs w:val="18"/>
          <w:lang w:val="es-ES_tradnl"/>
        </w:rPr>
        <w:t xml:space="preserve">n judicial </w:t>
      </w:r>
      <w:r>
        <w:rPr>
          <w:spacing w:val="-6"/>
          <w:sz w:val="18"/>
          <w:szCs w:val="18"/>
          <w:lang w:val="es-ES_tradnl"/>
        </w:rPr>
        <w:t xml:space="preserve">se impugna, la misma que en ejercicio de la potestad </w:t>
      </w:r>
      <w:r>
        <w:rPr>
          <w:spacing w:val="-4"/>
          <w:sz w:val="18"/>
          <w:szCs w:val="18"/>
          <w:lang w:val="es-ES_tradnl"/>
        </w:rPr>
        <w:t xml:space="preserve">jurisdiccional, conferida constitucional y legalmente, </w:t>
      </w:r>
      <w:r>
        <w:rPr>
          <w:spacing w:val="-9"/>
          <w:sz w:val="18"/>
          <w:szCs w:val="18"/>
          <w:lang w:val="es-ES_tradnl"/>
        </w:rPr>
        <w:t xml:space="preserve">administra justicia y se encuentra llamada a asegurar que el </w:t>
      </w:r>
      <w:r>
        <w:rPr>
          <w:spacing w:val="-8"/>
          <w:sz w:val="18"/>
          <w:szCs w:val="18"/>
          <w:lang w:val="es-ES_tradnl"/>
        </w:rPr>
        <w:t>sistema procesal tiene que ser un medio para la realizaci</w:t>
      </w:r>
      <w:r>
        <w:rPr>
          <w:rFonts w:cs="Times New Roman"/>
          <w:spacing w:val="-8"/>
          <w:sz w:val="18"/>
          <w:szCs w:val="18"/>
          <w:lang w:val="es-ES_tradnl"/>
        </w:rPr>
        <w:t>ó</w:t>
      </w:r>
      <w:r>
        <w:rPr>
          <w:spacing w:val="-8"/>
          <w:sz w:val="18"/>
          <w:szCs w:val="18"/>
          <w:lang w:val="es-ES_tradnl"/>
        </w:rPr>
        <w:t xml:space="preserve">n </w:t>
      </w:r>
      <w:r>
        <w:rPr>
          <w:spacing w:val="-6"/>
          <w:sz w:val="18"/>
          <w:szCs w:val="18"/>
          <w:lang w:val="es-ES_tradnl"/>
        </w:rPr>
        <w:t>de la justicia y hacer efectivas las garant</w:t>
      </w:r>
      <w:r>
        <w:rPr>
          <w:rFonts w:cs="Times New Roman"/>
          <w:spacing w:val="-6"/>
          <w:sz w:val="18"/>
          <w:szCs w:val="18"/>
          <w:lang w:val="es-ES_tradnl"/>
        </w:rPr>
        <w:t>í</w:t>
      </w:r>
      <w:r>
        <w:rPr>
          <w:spacing w:val="-6"/>
          <w:sz w:val="18"/>
          <w:szCs w:val="18"/>
          <w:lang w:val="es-ES_tradnl"/>
        </w:rPr>
        <w:t xml:space="preserve">as del debido </w:t>
      </w:r>
      <w:r>
        <w:rPr>
          <w:sz w:val="18"/>
          <w:szCs w:val="18"/>
          <w:lang w:val="es-ES_tradnl"/>
        </w:rPr>
        <w:t>proceso.</w:t>
      </w:r>
    </w:p>
    <w:p w14:paraId="4F67AB3E" w14:textId="77777777" w:rsidR="00591D54" w:rsidRDefault="00591D54">
      <w:pPr>
        <w:shd w:val="clear" w:color="auto" w:fill="FFFFFF"/>
        <w:spacing w:before="197" w:line="216" w:lineRule="exact"/>
        <w:jc w:val="both"/>
      </w:pPr>
      <w:r>
        <w:rPr>
          <w:spacing w:val="-9"/>
          <w:sz w:val="18"/>
          <w:szCs w:val="18"/>
          <w:lang w:val="es-ES_tradnl"/>
        </w:rPr>
        <w:t>En tal virtud, la Corte Constitucional, en raz</w:t>
      </w:r>
      <w:r>
        <w:rPr>
          <w:rFonts w:cs="Times New Roman"/>
          <w:spacing w:val="-9"/>
          <w:sz w:val="18"/>
          <w:szCs w:val="18"/>
          <w:lang w:val="es-ES_tradnl"/>
        </w:rPr>
        <w:t>ó</w:t>
      </w:r>
      <w:r>
        <w:rPr>
          <w:spacing w:val="-9"/>
          <w:sz w:val="18"/>
          <w:szCs w:val="18"/>
          <w:lang w:val="es-ES_tradnl"/>
        </w:rPr>
        <w:t xml:space="preserve">n de lo prescrito </w:t>
      </w:r>
      <w:r>
        <w:rPr>
          <w:spacing w:val="-4"/>
          <w:sz w:val="18"/>
          <w:szCs w:val="18"/>
          <w:lang w:val="es-ES_tradnl"/>
        </w:rPr>
        <w:t>en el art</w:t>
      </w:r>
      <w:r>
        <w:rPr>
          <w:rFonts w:cs="Times New Roman"/>
          <w:spacing w:val="-4"/>
          <w:sz w:val="18"/>
          <w:szCs w:val="18"/>
          <w:lang w:val="es-ES_tradnl"/>
        </w:rPr>
        <w:t>í</w:t>
      </w:r>
      <w:r>
        <w:rPr>
          <w:spacing w:val="-4"/>
          <w:sz w:val="18"/>
          <w:szCs w:val="18"/>
          <w:lang w:val="es-ES_tradnl"/>
        </w:rPr>
        <w:t>culo 429 de la Constituci</w:t>
      </w:r>
      <w:r>
        <w:rPr>
          <w:rFonts w:cs="Times New Roman"/>
          <w:spacing w:val="-4"/>
          <w:sz w:val="18"/>
          <w:szCs w:val="18"/>
          <w:lang w:val="es-ES_tradnl"/>
        </w:rPr>
        <w:t>ó</w:t>
      </w:r>
      <w:r>
        <w:rPr>
          <w:spacing w:val="-4"/>
          <w:sz w:val="18"/>
          <w:szCs w:val="18"/>
          <w:lang w:val="es-ES_tradnl"/>
        </w:rPr>
        <w:t>n de la Rep</w:t>
      </w:r>
      <w:r>
        <w:rPr>
          <w:rFonts w:cs="Times New Roman"/>
          <w:spacing w:val="-4"/>
          <w:sz w:val="18"/>
          <w:szCs w:val="18"/>
          <w:lang w:val="es-ES_tradnl"/>
        </w:rPr>
        <w:t>ú</w:t>
      </w:r>
      <w:r>
        <w:rPr>
          <w:spacing w:val="-4"/>
          <w:sz w:val="18"/>
          <w:szCs w:val="18"/>
          <w:lang w:val="es-ES_tradnl"/>
        </w:rPr>
        <w:t xml:space="preserve">blica, en </w:t>
      </w:r>
      <w:r>
        <w:rPr>
          <w:spacing w:val="-2"/>
          <w:sz w:val="18"/>
          <w:szCs w:val="18"/>
          <w:lang w:val="es-ES_tradnl"/>
        </w:rPr>
        <w:t>el tr</w:t>
      </w:r>
      <w:r>
        <w:rPr>
          <w:rFonts w:cs="Times New Roman"/>
          <w:spacing w:val="-2"/>
          <w:sz w:val="18"/>
          <w:szCs w:val="18"/>
          <w:lang w:val="es-ES_tradnl"/>
        </w:rPr>
        <w:t>á</w:t>
      </w:r>
      <w:r>
        <w:rPr>
          <w:spacing w:val="-2"/>
          <w:sz w:val="18"/>
          <w:szCs w:val="18"/>
          <w:lang w:val="es-ES_tradnl"/>
        </w:rPr>
        <w:t>mite de una acci</w:t>
      </w:r>
      <w:r>
        <w:rPr>
          <w:rFonts w:cs="Times New Roman"/>
          <w:spacing w:val="-2"/>
          <w:sz w:val="18"/>
          <w:szCs w:val="18"/>
          <w:lang w:val="es-ES_tradnl"/>
        </w:rPr>
        <w:t>ó</w:t>
      </w:r>
      <w:r>
        <w:rPr>
          <w:spacing w:val="-2"/>
          <w:sz w:val="18"/>
          <w:szCs w:val="18"/>
          <w:lang w:val="es-ES_tradnl"/>
        </w:rPr>
        <w:t>n extraordinaria de protecci</w:t>
      </w:r>
      <w:r>
        <w:rPr>
          <w:rFonts w:cs="Times New Roman"/>
          <w:spacing w:val="-2"/>
          <w:sz w:val="18"/>
          <w:szCs w:val="18"/>
          <w:lang w:val="es-ES_tradnl"/>
        </w:rPr>
        <w:t>ó</w:t>
      </w:r>
      <w:r>
        <w:rPr>
          <w:spacing w:val="-2"/>
          <w:sz w:val="18"/>
          <w:szCs w:val="18"/>
          <w:lang w:val="es-ES_tradnl"/>
        </w:rPr>
        <w:t xml:space="preserve">n, </w:t>
      </w:r>
      <w:r>
        <w:rPr>
          <w:spacing w:val="-9"/>
          <w:sz w:val="18"/>
          <w:szCs w:val="18"/>
          <w:lang w:val="es-ES_tradnl"/>
        </w:rPr>
        <w:t xml:space="preserve">debe constatar que, efectivamente, las sentencias, autos y </w:t>
      </w:r>
      <w:r>
        <w:rPr>
          <w:spacing w:val="-11"/>
          <w:sz w:val="18"/>
          <w:szCs w:val="18"/>
          <w:lang w:val="es-ES_tradnl"/>
        </w:rPr>
        <w:t xml:space="preserve">resoluciones con fuerza de sentencia se encuentran firmes o </w:t>
      </w:r>
      <w:r>
        <w:rPr>
          <w:spacing w:val="-8"/>
          <w:sz w:val="18"/>
          <w:szCs w:val="18"/>
          <w:lang w:val="es-ES_tradnl"/>
        </w:rPr>
        <w:t>ejecutoriados y que, durante el juzgamiento, no se vulner</w:t>
      </w:r>
      <w:r>
        <w:rPr>
          <w:rFonts w:cs="Times New Roman"/>
          <w:spacing w:val="-8"/>
          <w:sz w:val="18"/>
          <w:szCs w:val="18"/>
          <w:lang w:val="es-ES_tradnl"/>
        </w:rPr>
        <w:t>ó</w:t>
      </w:r>
      <w:r>
        <w:rPr>
          <w:spacing w:val="-8"/>
          <w:sz w:val="18"/>
          <w:szCs w:val="18"/>
          <w:lang w:val="es-ES_tradnl"/>
        </w:rPr>
        <w:t xml:space="preserve">, </w:t>
      </w:r>
      <w:r>
        <w:rPr>
          <w:spacing w:val="-6"/>
          <w:sz w:val="18"/>
          <w:szCs w:val="18"/>
          <w:lang w:val="es-ES_tradnl"/>
        </w:rPr>
        <w:t>por acci</w:t>
      </w:r>
      <w:r>
        <w:rPr>
          <w:rFonts w:cs="Times New Roman"/>
          <w:spacing w:val="-6"/>
          <w:sz w:val="18"/>
          <w:szCs w:val="18"/>
          <w:lang w:val="es-ES_tradnl"/>
        </w:rPr>
        <w:t>ó</w:t>
      </w:r>
      <w:r>
        <w:rPr>
          <w:spacing w:val="-6"/>
          <w:sz w:val="18"/>
          <w:szCs w:val="18"/>
          <w:lang w:val="es-ES_tradnl"/>
        </w:rPr>
        <w:t>n u omisi</w:t>
      </w:r>
      <w:r>
        <w:rPr>
          <w:rFonts w:cs="Times New Roman"/>
          <w:spacing w:val="-6"/>
          <w:sz w:val="18"/>
          <w:szCs w:val="18"/>
          <w:lang w:val="es-ES_tradnl"/>
        </w:rPr>
        <w:t>ó</w:t>
      </w:r>
      <w:r>
        <w:rPr>
          <w:spacing w:val="-6"/>
          <w:sz w:val="18"/>
          <w:szCs w:val="18"/>
          <w:lang w:val="es-ES_tradnl"/>
        </w:rPr>
        <w:t xml:space="preserve">n, el derecho constitucional al debido </w:t>
      </w:r>
      <w:r>
        <w:rPr>
          <w:sz w:val="18"/>
          <w:szCs w:val="18"/>
          <w:lang w:val="es-ES_tradnl"/>
        </w:rPr>
        <w:t>proceso u otro derecho constitucional.</w:t>
      </w:r>
    </w:p>
    <w:p w14:paraId="4F67AB3F" w14:textId="77777777" w:rsidR="00591D54" w:rsidRDefault="00591D54">
      <w:pPr>
        <w:shd w:val="clear" w:color="auto" w:fill="FFFFFF"/>
        <w:spacing w:before="197" w:line="216" w:lineRule="exact"/>
        <w:jc w:val="both"/>
      </w:pPr>
      <w:r>
        <w:rPr>
          <w:spacing w:val="-4"/>
          <w:sz w:val="18"/>
          <w:szCs w:val="18"/>
          <w:lang w:val="es-ES_tradnl"/>
        </w:rPr>
        <w:t>Finalmente, este m</w:t>
      </w:r>
      <w:r>
        <w:rPr>
          <w:rFonts w:cs="Times New Roman"/>
          <w:spacing w:val="-4"/>
          <w:sz w:val="18"/>
          <w:szCs w:val="18"/>
          <w:lang w:val="es-ES_tradnl"/>
        </w:rPr>
        <w:t>á</w:t>
      </w:r>
      <w:r>
        <w:rPr>
          <w:spacing w:val="-4"/>
          <w:sz w:val="18"/>
          <w:szCs w:val="18"/>
          <w:lang w:val="es-ES_tradnl"/>
        </w:rPr>
        <w:t xml:space="preserve">ximo </w:t>
      </w:r>
      <w:r>
        <w:rPr>
          <w:rFonts w:cs="Times New Roman"/>
          <w:spacing w:val="-4"/>
          <w:sz w:val="18"/>
          <w:szCs w:val="18"/>
          <w:lang w:val="es-ES_tradnl"/>
        </w:rPr>
        <w:t>ó</w:t>
      </w:r>
      <w:r>
        <w:rPr>
          <w:spacing w:val="-4"/>
          <w:sz w:val="18"/>
          <w:szCs w:val="18"/>
          <w:lang w:val="es-ES_tradnl"/>
        </w:rPr>
        <w:t>rgano de interpretaci</w:t>
      </w:r>
      <w:r>
        <w:rPr>
          <w:rFonts w:cs="Times New Roman"/>
          <w:spacing w:val="-4"/>
          <w:sz w:val="18"/>
          <w:szCs w:val="18"/>
          <w:lang w:val="es-ES_tradnl"/>
        </w:rPr>
        <w:t>ó</w:t>
      </w:r>
      <w:r>
        <w:rPr>
          <w:spacing w:val="-4"/>
          <w:sz w:val="18"/>
          <w:szCs w:val="18"/>
          <w:lang w:val="es-ES_tradnl"/>
        </w:rPr>
        <w:t xml:space="preserve">n </w:t>
      </w:r>
      <w:r>
        <w:rPr>
          <w:spacing w:val="-6"/>
          <w:sz w:val="18"/>
          <w:szCs w:val="18"/>
          <w:lang w:val="es-ES_tradnl"/>
        </w:rPr>
        <w:t>constitucional considera oportuno recordar que la acci</w:t>
      </w:r>
      <w:r>
        <w:rPr>
          <w:rFonts w:cs="Times New Roman"/>
          <w:spacing w:val="-6"/>
          <w:sz w:val="18"/>
          <w:szCs w:val="18"/>
          <w:lang w:val="es-ES_tradnl"/>
        </w:rPr>
        <w:t>ó</w:t>
      </w:r>
      <w:r>
        <w:rPr>
          <w:spacing w:val="-6"/>
          <w:sz w:val="18"/>
          <w:szCs w:val="18"/>
          <w:lang w:val="es-ES_tradnl"/>
        </w:rPr>
        <w:t xml:space="preserve">n </w:t>
      </w:r>
      <w:r>
        <w:rPr>
          <w:spacing w:val="-7"/>
          <w:sz w:val="18"/>
          <w:szCs w:val="18"/>
          <w:lang w:val="es-ES_tradnl"/>
        </w:rPr>
        <w:t>extraordinaria de protecci</w:t>
      </w:r>
      <w:r>
        <w:rPr>
          <w:rFonts w:cs="Times New Roman"/>
          <w:spacing w:val="-7"/>
          <w:sz w:val="18"/>
          <w:szCs w:val="18"/>
          <w:lang w:val="es-ES_tradnl"/>
        </w:rPr>
        <w:t>ó</w:t>
      </w:r>
      <w:r>
        <w:rPr>
          <w:spacing w:val="-7"/>
          <w:sz w:val="18"/>
          <w:szCs w:val="18"/>
          <w:lang w:val="es-ES_tradnl"/>
        </w:rPr>
        <w:t xml:space="preserve">n no es una instancia adicional, </w:t>
      </w:r>
      <w:r>
        <w:rPr>
          <w:spacing w:val="-9"/>
          <w:sz w:val="18"/>
          <w:szCs w:val="18"/>
          <w:lang w:val="es-ES_tradnl"/>
        </w:rPr>
        <w:t>es decir, a partir de ella no se puede pretender el an</w:t>
      </w:r>
      <w:r>
        <w:rPr>
          <w:rFonts w:cs="Times New Roman"/>
          <w:spacing w:val="-9"/>
          <w:sz w:val="18"/>
          <w:szCs w:val="18"/>
          <w:lang w:val="es-ES_tradnl"/>
        </w:rPr>
        <w:t>á</w:t>
      </w:r>
      <w:r>
        <w:rPr>
          <w:spacing w:val="-9"/>
          <w:sz w:val="18"/>
          <w:szCs w:val="18"/>
          <w:lang w:val="es-ES_tradnl"/>
        </w:rPr>
        <w:t xml:space="preserve">lisis de </w:t>
      </w:r>
      <w:r>
        <w:rPr>
          <w:spacing w:val="-10"/>
          <w:sz w:val="18"/>
          <w:szCs w:val="18"/>
          <w:lang w:val="es-ES_tradnl"/>
        </w:rPr>
        <w:t>asuntos de mera legalidad propios e inherentes de la justicia</w:t>
      </w:r>
    </w:p>
    <w:p w14:paraId="4F67AB40" w14:textId="77777777" w:rsidR="00591D54" w:rsidRDefault="00591D54">
      <w:pPr>
        <w:shd w:val="clear" w:color="auto" w:fill="FFFFFF"/>
        <w:tabs>
          <w:tab w:val="left" w:pos="72"/>
        </w:tabs>
        <w:spacing w:before="514" w:line="178" w:lineRule="exact"/>
        <w:ind w:left="144" w:hanging="144"/>
      </w:pPr>
      <w:r>
        <w:rPr>
          <w:sz w:val="16"/>
          <w:szCs w:val="16"/>
          <w:vertAlign w:val="superscript"/>
          <w:lang w:val="es-ES_tradnl"/>
        </w:rPr>
        <w:t>1</w:t>
      </w:r>
      <w:r>
        <w:rPr>
          <w:sz w:val="18"/>
          <w:szCs w:val="18"/>
          <w:lang w:val="es-ES_tradnl"/>
        </w:rPr>
        <w:tab/>
      </w:r>
      <w:r>
        <w:rPr>
          <w:spacing w:val="-3"/>
          <w:sz w:val="14"/>
          <w:szCs w:val="14"/>
          <w:lang w:val="es-ES_tradnl"/>
        </w:rPr>
        <w:t>Corte</w:t>
      </w:r>
      <w:r>
        <w:rPr>
          <w:spacing w:val="-3"/>
          <w:sz w:val="18"/>
          <w:szCs w:val="18"/>
          <w:lang w:val="es-ES_tradnl"/>
        </w:rPr>
        <w:t xml:space="preserve"> </w:t>
      </w:r>
      <w:r>
        <w:rPr>
          <w:spacing w:val="-3"/>
          <w:sz w:val="14"/>
          <w:szCs w:val="14"/>
          <w:lang w:val="es-ES_tradnl"/>
        </w:rPr>
        <w:t>Constitucional</w:t>
      </w:r>
      <w:r>
        <w:rPr>
          <w:spacing w:val="-3"/>
          <w:sz w:val="18"/>
          <w:szCs w:val="18"/>
          <w:lang w:val="es-ES_tradnl"/>
        </w:rPr>
        <w:t xml:space="preserve"> </w:t>
      </w:r>
      <w:r>
        <w:rPr>
          <w:spacing w:val="-3"/>
          <w:sz w:val="14"/>
          <w:szCs w:val="14"/>
          <w:lang w:val="es-ES_tradnl"/>
        </w:rPr>
        <w:t>del</w:t>
      </w:r>
      <w:r>
        <w:rPr>
          <w:spacing w:val="-3"/>
          <w:sz w:val="18"/>
          <w:szCs w:val="18"/>
          <w:lang w:val="es-ES_tradnl"/>
        </w:rPr>
        <w:t xml:space="preserve"> </w:t>
      </w:r>
      <w:r>
        <w:rPr>
          <w:spacing w:val="-3"/>
          <w:sz w:val="14"/>
          <w:szCs w:val="14"/>
          <w:lang w:val="es-ES_tradnl"/>
        </w:rPr>
        <w:t>Ecuador,</w:t>
      </w:r>
      <w:r>
        <w:rPr>
          <w:spacing w:val="-3"/>
          <w:sz w:val="18"/>
          <w:szCs w:val="18"/>
          <w:lang w:val="es-ES_tradnl"/>
        </w:rPr>
        <w:t xml:space="preserve"> </w:t>
      </w:r>
      <w:r>
        <w:rPr>
          <w:spacing w:val="-3"/>
          <w:sz w:val="14"/>
          <w:szCs w:val="14"/>
          <w:lang w:val="es-ES_tradnl"/>
        </w:rPr>
        <w:t>sentencia</w:t>
      </w:r>
      <w:r>
        <w:rPr>
          <w:spacing w:val="-3"/>
          <w:sz w:val="18"/>
          <w:szCs w:val="18"/>
          <w:lang w:val="es-ES_tradnl"/>
        </w:rPr>
        <w:t xml:space="preserve"> </w:t>
      </w:r>
      <w:r>
        <w:rPr>
          <w:spacing w:val="-3"/>
          <w:sz w:val="14"/>
          <w:szCs w:val="14"/>
          <w:lang w:val="es-ES_tradnl"/>
        </w:rPr>
        <w:t>N.</w:t>
      </w:r>
      <w:r>
        <w:rPr>
          <w:rFonts w:cs="Times New Roman"/>
          <w:spacing w:val="-3"/>
          <w:sz w:val="14"/>
          <w:szCs w:val="14"/>
          <w:lang w:val="es-ES_tradnl"/>
        </w:rPr>
        <w:t>°</w:t>
      </w:r>
      <w:r>
        <w:rPr>
          <w:spacing w:val="-3"/>
          <w:sz w:val="18"/>
          <w:szCs w:val="18"/>
          <w:lang w:val="es-ES_tradnl"/>
        </w:rPr>
        <w:t xml:space="preserve"> </w:t>
      </w:r>
      <w:r>
        <w:rPr>
          <w:spacing w:val="-3"/>
          <w:sz w:val="14"/>
          <w:szCs w:val="14"/>
          <w:lang w:val="es-ES_tradnl"/>
        </w:rPr>
        <w:t>193-14-SEP-CC,</w:t>
      </w:r>
      <w:r>
        <w:rPr>
          <w:spacing w:val="-3"/>
          <w:sz w:val="18"/>
          <w:szCs w:val="18"/>
          <w:lang w:val="es-ES_tradnl"/>
        </w:rPr>
        <w:t xml:space="preserve"> </w:t>
      </w:r>
      <w:r>
        <w:rPr>
          <w:spacing w:val="-3"/>
          <w:sz w:val="14"/>
          <w:szCs w:val="14"/>
          <w:lang w:val="es-ES_tradnl"/>
        </w:rPr>
        <w:t>caso </w:t>
      </w:r>
      <w:r>
        <w:rPr>
          <w:sz w:val="14"/>
          <w:szCs w:val="14"/>
          <w:lang w:val="es-ES_tradnl"/>
        </w:rPr>
        <w:t>N.</w:t>
      </w:r>
      <w:r>
        <w:rPr>
          <w:rFonts w:cs="Times New Roman"/>
          <w:sz w:val="14"/>
          <w:szCs w:val="14"/>
          <w:lang w:val="es-ES_tradnl"/>
        </w:rPr>
        <w:t>°</w:t>
      </w:r>
      <w:r>
        <w:rPr>
          <w:sz w:val="14"/>
          <w:szCs w:val="14"/>
          <w:lang w:val="es-ES_tradnl"/>
        </w:rPr>
        <w:t xml:space="preserve"> 2040-11-EP.</w:t>
      </w:r>
    </w:p>
    <w:p w14:paraId="4F67AB41" w14:textId="77777777" w:rsidR="00591D54" w:rsidRDefault="00591D54">
      <w:pPr>
        <w:shd w:val="clear" w:color="auto" w:fill="FFFFFF"/>
        <w:tabs>
          <w:tab w:val="left" w:pos="72"/>
        </w:tabs>
        <w:spacing w:before="514" w:line="178" w:lineRule="exact"/>
        <w:ind w:left="144" w:hanging="144"/>
        <w:sectPr w:rsidR="00591D54">
          <w:type w:val="continuous"/>
          <w:pgSz w:w="11909" w:h="16834"/>
          <w:pgMar w:top="1356" w:right="1309" w:bottom="360" w:left="1308" w:header="720" w:footer="720" w:gutter="0"/>
          <w:cols w:num="2" w:space="720" w:equalWidth="0">
            <w:col w:w="4305" w:space="682"/>
            <w:col w:w="4305"/>
          </w:cols>
          <w:noEndnote/>
        </w:sectPr>
      </w:pPr>
    </w:p>
    <w:p w14:paraId="4F67AB42" w14:textId="77777777" w:rsidR="00591D54" w:rsidRDefault="00591D54">
      <w:pPr>
        <w:shd w:val="clear" w:color="auto" w:fill="FFFFFF"/>
        <w:tabs>
          <w:tab w:val="left" w:pos="4814"/>
        </w:tabs>
        <w:spacing w:after="235"/>
        <w:ind w:left="5"/>
      </w:pPr>
      <w:r>
        <w:rPr>
          <w:b/>
          <w:bCs/>
          <w:sz w:val="18"/>
          <w:szCs w:val="18"/>
          <w:lang w:val="es-ES_tradnl"/>
        </w:rPr>
        <w:t xml:space="preserve">94 -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B43" w14:textId="77777777" w:rsidR="00591D54" w:rsidRDefault="00591D54">
      <w:pPr>
        <w:shd w:val="clear" w:color="auto" w:fill="FFFFFF"/>
        <w:tabs>
          <w:tab w:val="left" w:pos="4814"/>
        </w:tabs>
        <w:spacing w:after="235"/>
        <w:ind w:left="5"/>
        <w:sectPr w:rsidR="00591D54">
          <w:pgSz w:w="11909" w:h="16834"/>
          <w:pgMar w:top="1359" w:right="1309" w:bottom="360" w:left="1308" w:header="720" w:footer="720" w:gutter="0"/>
          <w:cols w:space="60"/>
          <w:noEndnote/>
        </w:sectPr>
      </w:pPr>
    </w:p>
    <w:p w14:paraId="4F67AB44" w14:textId="77777777" w:rsidR="00591D54" w:rsidRDefault="00591D54">
      <w:pPr>
        <w:shd w:val="clear" w:color="auto" w:fill="FFFFFF"/>
        <w:spacing w:line="216" w:lineRule="exact"/>
        <w:jc w:val="both"/>
      </w:pPr>
      <w:r>
        <w:rPr>
          <w:spacing w:val="-9"/>
          <w:sz w:val="18"/>
          <w:szCs w:val="18"/>
          <w:lang w:val="es-ES_tradnl"/>
        </w:rPr>
        <w:t xml:space="preserve">ordinaria. Por lo tanto, no se puede entrar a analizar, menos </w:t>
      </w:r>
      <w:r>
        <w:rPr>
          <w:spacing w:val="-11"/>
          <w:sz w:val="18"/>
          <w:szCs w:val="18"/>
          <w:lang w:val="es-ES_tradnl"/>
        </w:rPr>
        <w:t>a</w:t>
      </w:r>
      <w:r>
        <w:rPr>
          <w:rFonts w:cs="Times New Roman"/>
          <w:spacing w:val="-11"/>
          <w:sz w:val="18"/>
          <w:szCs w:val="18"/>
          <w:lang w:val="es-ES_tradnl"/>
        </w:rPr>
        <w:t>ú</w:t>
      </w:r>
      <w:r>
        <w:rPr>
          <w:spacing w:val="-11"/>
          <w:sz w:val="18"/>
          <w:szCs w:val="18"/>
          <w:lang w:val="es-ES_tradnl"/>
        </w:rPr>
        <w:t xml:space="preserve">n resolver, cuestiones eminentemente legales. El objeto de </w:t>
      </w:r>
      <w:r>
        <w:rPr>
          <w:spacing w:val="-8"/>
          <w:sz w:val="18"/>
          <w:szCs w:val="18"/>
          <w:lang w:val="es-ES_tradnl"/>
        </w:rPr>
        <w:t>su an</w:t>
      </w:r>
      <w:r>
        <w:rPr>
          <w:rFonts w:cs="Times New Roman"/>
          <w:spacing w:val="-8"/>
          <w:sz w:val="18"/>
          <w:szCs w:val="18"/>
          <w:lang w:val="es-ES_tradnl"/>
        </w:rPr>
        <w:t>á</w:t>
      </w:r>
      <w:r>
        <w:rPr>
          <w:spacing w:val="-8"/>
          <w:sz w:val="18"/>
          <w:szCs w:val="18"/>
          <w:lang w:val="es-ES_tradnl"/>
        </w:rPr>
        <w:t>lisis se dirige directamente a la presunta vulneraci</w:t>
      </w:r>
      <w:r>
        <w:rPr>
          <w:rFonts w:cs="Times New Roman"/>
          <w:spacing w:val="-8"/>
          <w:sz w:val="18"/>
          <w:szCs w:val="18"/>
          <w:lang w:val="es-ES_tradnl"/>
        </w:rPr>
        <w:t>ó</w:t>
      </w:r>
      <w:r>
        <w:rPr>
          <w:spacing w:val="-8"/>
          <w:sz w:val="18"/>
          <w:szCs w:val="18"/>
          <w:lang w:val="es-ES_tradnl"/>
        </w:rPr>
        <w:t xml:space="preserve">n de derechos constitucionales y normas del debido proceso </w:t>
      </w:r>
      <w:r>
        <w:rPr>
          <w:spacing w:val="-6"/>
          <w:sz w:val="18"/>
          <w:szCs w:val="18"/>
          <w:lang w:val="es-ES_tradnl"/>
        </w:rPr>
        <w:t>en el curso de la decisi</w:t>
      </w:r>
      <w:r>
        <w:rPr>
          <w:rFonts w:cs="Times New Roman"/>
          <w:spacing w:val="-6"/>
          <w:sz w:val="18"/>
          <w:szCs w:val="18"/>
          <w:lang w:val="es-ES_tradnl"/>
        </w:rPr>
        <w:t>ó</w:t>
      </w:r>
      <w:r>
        <w:rPr>
          <w:spacing w:val="-6"/>
          <w:sz w:val="18"/>
          <w:szCs w:val="18"/>
          <w:lang w:val="es-ES_tradnl"/>
        </w:rPr>
        <w:t>n judicial impugnada.</w:t>
      </w:r>
    </w:p>
    <w:p w14:paraId="4F67AB45" w14:textId="77777777" w:rsidR="00591D54" w:rsidRDefault="00591D54">
      <w:pPr>
        <w:shd w:val="clear" w:color="auto" w:fill="FFFFFF"/>
        <w:spacing w:before="192"/>
      </w:pPr>
      <w:r>
        <w:rPr>
          <w:b/>
          <w:bCs/>
          <w:spacing w:val="-9"/>
          <w:sz w:val="18"/>
          <w:szCs w:val="18"/>
          <w:lang w:val="es-ES_tradnl"/>
        </w:rPr>
        <w:t>Determinaci</w:t>
      </w:r>
      <w:r>
        <w:rPr>
          <w:rFonts w:cs="Times New Roman"/>
          <w:b/>
          <w:bCs/>
          <w:spacing w:val="-9"/>
          <w:sz w:val="18"/>
          <w:szCs w:val="18"/>
          <w:lang w:val="es-ES_tradnl"/>
        </w:rPr>
        <w:t>ó</w:t>
      </w:r>
      <w:r>
        <w:rPr>
          <w:b/>
          <w:bCs/>
          <w:spacing w:val="-9"/>
          <w:sz w:val="18"/>
          <w:szCs w:val="18"/>
          <w:lang w:val="es-ES_tradnl"/>
        </w:rPr>
        <w:t>n de los problemas jur</w:t>
      </w:r>
      <w:r>
        <w:rPr>
          <w:rFonts w:cs="Times New Roman"/>
          <w:b/>
          <w:bCs/>
          <w:spacing w:val="-9"/>
          <w:sz w:val="18"/>
          <w:szCs w:val="18"/>
          <w:lang w:val="es-ES_tradnl"/>
        </w:rPr>
        <w:t>í</w:t>
      </w:r>
      <w:r>
        <w:rPr>
          <w:b/>
          <w:bCs/>
          <w:spacing w:val="-9"/>
          <w:sz w:val="18"/>
          <w:szCs w:val="18"/>
          <w:lang w:val="es-ES_tradnl"/>
        </w:rPr>
        <w:t>dicos</w:t>
      </w:r>
    </w:p>
    <w:p w14:paraId="4F67AB46" w14:textId="77777777" w:rsidR="00591D54" w:rsidRDefault="00591D54">
      <w:pPr>
        <w:shd w:val="clear" w:color="auto" w:fill="FFFFFF"/>
        <w:spacing w:before="197" w:line="216" w:lineRule="exact"/>
        <w:jc w:val="both"/>
      </w:pPr>
      <w:r>
        <w:rPr>
          <w:spacing w:val="-8"/>
          <w:sz w:val="18"/>
          <w:szCs w:val="18"/>
          <w:lang w:val="es-ES_tradnl"/>
        </w:rPr>
        <w:t xml:space="preserve">Con las consideraciones anotadas, la Corte Constitucional </w:t>
      </w:r>
      <w:r>
        <w:rPr>
          <w:spacing w:val="-6"/>
          <w:sz w:val="18"/>
          <w:szCs w:val="18"/>
          <w:lang w:val="es-ES_tradnl"/>
        </w:rPr>
        <w:t>sistematizar</w:t>
      </w:r>
      <w:r>
        <w:rPr>
          <w:rFonts w:cs="Times New Roman"/>
          <w:spacing w:val="-6"/>
          <w:sz w:val="18"/>
          <w:szCs w:val="18"/>
          <w:lang w:val="es-ES_tradnl"/>
        </w:rPr>
        <w:t>á</w:t>
      </w:r>
      <w:r>
        <w:rPr>
          <w:spacing w:val="-6"/>
          <w:sz w:val="18"/>
          <w:szCs w:val="18"/>
          <w:lang w:val="es-ES_tradnl"/>
        </w:rPr>
        <w:t xml:space="preserve"> el an</w:t>
      </w:r>
      <w:r>
        <w:rPr>
          <w:rFonts w:cs="Times New Roman"/>
          <w:spacing w:val="-6"/>
          <w:sz w:val="18"/>
          <w:szCs w:val="18"/>
          <w:lang w:val="es-ES_tradnl"/>
        </w:rPr>
        <w:t>á</w:t>
      </w:r>
      <w:r>
        <w:rPr>
          <w:spacing w:val="-6"/>
          <w:sz w:val="18"/>
          <w:szCs w:val="18"/>
          <w:lang w:val="es-ES_tradnl"/>
        </w:rPr>
        <w:t xml:space="preserve">lisis de las circunstancias del caso </w:t>
      </w:r>
      <w:r>
        <w:rPr>
          <w:spacing w:val="-3"/>
          <w:sz w:val="18"/>
          <w:szCs w:val="18"/>
          <w:lang w:val="es-ES_tradnl"/>
        </w:rPr>
        <w:t>concreto a partir de la formulaci</w:t>
      </w:r>
      <w:r>
        <w:rPr>
          <w:rFonts w:cs="Times New Roman"/>
          <w:spacing w:val="-3"/>
          <w:sz w:val="18"/>
          <w:szCs w:val="18"/>
          <w:lang w:val="es-ES_tradnl"/>
        </w:rPr>
        <w:t>ó</w:t>
      </w:r>
      <w:r>
        <w:rPr>
          <w:spacing w:val="-3"/>
          <w:sz w:val="18"/>
          <w:szCs w:val="18"/>
          <w:lang w:val="es-ES_tradnl"/>
        </w:rPr>
        <w:t>n y soluci</w:t>
      </w:r>
      <w:r>
        <w:rPr>
          <w:rFonts w:cs="Times New Roman"/>
          <w:spacing w:val="-3"/>
          <w:sz w:val="18"/>
          <w:szCs w:val="18"/>
          <w:lang w:val="es-ES_tradnl"/>
        </w:rPr>
        <w:t>ó</w:t>
      </w:r>
      <w:r>
        <w:rPr>
          <w:spacing w:val="-3"/>
          <w:sz w:val="18"/>
          <w:szCs w:val="18"/>
          <w:lang w:val="es-ES_tradnl"/>
        </w:rPr>
        <w:t xml:space="preserve">n de los </w:t>
      </w:r>
      <w:r>
        <w:rPr>
          <w:sz w:val="18"/>
          <w:szCs w:val="18"/>
          <w:lang w:val="es-ES_tradnl"/>
        </w:rPr>
        <w:t>siguientes problemas jur</w:t>
      </w:r>
      <w:r>
        <w:rPr>
          <w:rFonts w:cs="Times New Roman"/>
          <w:sz w:val="18"/>
          <w:szCs w:val="18"/>
          <w:lang w:val="es-ES_tradnl"/>
        </w:rPr>
        <w:t>í</w:t>
      </w:r>
      <w:r>
        <w:rPr>
          <w:sz w:val="18"/>
          <w:szCs w:val="18"/>
          <w:lang w:val="es-ES_tradnl"/>
        </w:rPr>
        <w:t>dicos:</w:t>
      </w:r>
    </w:p>
    <w:p w14:paraId="4F67AB47" w14:textId="77777777" w:rsidR="00591D54" w:rsidRDefault="00591D54" w:rsidP="00251195">
      <w:pPr>
        <w:numPr>
          <w:ilvl w:val="0"/>
          <w:numId w:val="51"/>
        </w:numPr>
        <w:shd w:val="clear" w:color="auto" w:fill="FFFFFF"/>
        <w:tabs>
          <w:tab w:val="left" w:pos="566"/>
        </w:tabs>
        <w:spacing w:before="192" w:line="216" w:lineRule="exact"/>
        <w:ind w:left="566" w:hanging="283"/>
        <w:jc w:val="both"/>
        <w:rPr>
          <w:spacing w:val="-9"/>
          <w:sz w:val="18"/>
          <w:szCs w:val="18"/>
          <w:lang w:val="es-ES_tradnl"/>
        </w:rPr>
      </w:pPr>
      <w:r>
        <w:rPr>
          <w:spacing w:val="-10"/>
          <w:sz w:val="18"/>
          <w:szCs w:val="18"/>
          <w:lang w:val="es-ES_tradnl"/>
        </w:rPr>
        <w:t>La decisi</w:t>
      </w:r>
      <w:r>
        <w:rPr>
          <w:rFonts w:cs="Times New Roman"/>
          <w:spacing w:val="-10"/>
          <w:sz w:val="18"/>
          <w:szCs w:val="18"/>
          <w:lang w:val="es-ES_tradnl"/>
        </w:rPr>
        <w:t>ó</w:t>
      </w:r>
      <w:r>
        <w:rPr>
          <w:spacing w:val="-10"/>
          <w:sz w:val="18"/>
          <w:szCs w:val="18"/>
          <w:lang w:val="es-ES_tradnl"/>
        </w:rPr>
        <w:t xml:space="preserve">n judicial dictada el 12 de febrero de 2014, </w:t>
      </w:r>
      <w:r>
        <w:rPr>
          <w:spacing w:val="-7"/>
          <w:sz w:val="18"/>
          <w:szCs w:val="18"/>
          <w:lang w:val="es-ES_tradnl"/>
        </w:rPr>
        <w:t xml:space="preserve">por la Sala </w:t>
      </w:r>
      <w:r>
        <w:rPr>
          <w:rFonts w:cs="Times New Roman"/>
          <w:spacing w:val="-7"/>
          <w:sz w:val="18"/>
          <w:szCs w:val="18"/>
          <w:lang w:val="es-ES_tradnl"/>
        </w:rPr>
        <w:t>Ú</w:t>
      </w:r>
      <w:r>
        <w:rPr>
          <w:spacing w:val="-7"/>
          <w:sz w:val="18"/>
          <w:szCs w:val="18"/>
          <w:lang w:val="es-ES_tradnl"/>
        </w:rPr>
        <w:t>nica de la Corte Provincial de Justicia de Santo Domingo de los Ts</w:t>
      </w:r>
      <w:r>
        <w:rPr>
          <w:rFonts w:cs="Times New Roman"/>
          <w:spacing w:val="-7"/>
          <w:sz w:val="18"/>
          <w:szCs w:val="18"/>
          <w:lang w:val="es-ES_tradnl"/>
        </w:rPr>
        <w:t>á</w:t>
      </w:r>
      <w:r>
        <w:rPr>
          <w:spacing w:val="-7"/>
          <w:sz w:val="18"/>
          <w:szCs w:val="18"/>
          <w:lang w:val="es-ES_tradnl"/>
        </w:rPr>
        <w:t xml:space="preserve">chilas, </w:t>
      </w:r>
      <w:r>
        <w:rPr>
          <w:rFonts w:cs="Times New Roman"/>
          <w:spacing w:val="-7"/>
          <w:sz w:val="18"/>
          <w:szCs w:val="18"/>
          <w:lang w:val="es-ES_tradnl"/>
        </w:rPr>
        <w:t>¿</w:t>
      </w:r>
      <w:r>
        <w:rPr>
          <w:spacing w:val="-7"/>
          <w:sz w:val="18"/>
          <w:szCs w:val="18"/>
          <w:lang w:val="es-ES_tradnl"/>
        </w:rPr>
        <w:t xml:space="preserve">vulnera el </w:t>
      </w:r>
      <w:r>
        <w:rPr>
          <w:spacing w:val="-6"/>
          <w:sz w:val="18"/>
          <w:szCs w:val="18"/>
          <w:lang w:val="es-ES_tradnl"/>
        </w:rPr>
        <w:t xml:space="preserve">derecho constitucional a la tutela judicial efectiva, </w:t>
      </w:r>
      <w:r>
        <w:rPr>
          <w:spacing w:val="-7"/>
          <w:sz w:val="18"/>
          <w:szCs w:val="18"/>
          <w:lang w:val="es-ES_tradnl"/>
        </w:rPr>
        <w:t>consagrado en el art</w:t>
      </w:r>
      <w:r>
        <w:rPr>
          <w:rFonts w:cs="Times New Roman"/>
          <w:spacing w:val="-7"/>
          <w:sz w:val="18"/>
          <w:szCs w:val="18"/>
          <w:lang w:val="es-ES_tradnl"/>
        </w:rPr>
        <w:t>í</w:t>
      </w:r>
      <w:r>
        <w:rPr>
          <w:spacing w:val="-7"/>
          <w:sz w:val="18"/>
          <w:szCs w:val="18"/>
          <w:lang w:val="es-ES_tradnl"/>
        </w:rPr>
        <w:t>culo 75 de la Constituci</w:t>
      </w:r>
      <w:r>
        <w:rPr>
          <w:rFonts w:cs="Times New Roman"/>
          <w:spacing w:val="-7"/>
          <w:sz w:val="18"/>
          <w:szCs w:val="18"/>
          <w:lang w:val="es-ES_tradnl"/>
        </w:rPr>
        <w:t>ó</w:t>
      </w:r>
      <w:r>
        <w:rPr>
          <w:spacing w:val="-7"/>
          <w:sz w:val="18"/>
          <w:szCs w:val="18"/>
          <w:lang w:val="es-ES_tradnl"/>
        </w:rPr>
        <w:t xml:space="preserve">n de </w:t>
      </w:r>
      <w:r>
        <w:rPr>
          <w:sz w:val="18"/>
          <w:szCs w:val="18"/>
          <w:lang w:val="es-ES_tradnl"/>
        </w:rPr>
        <w:t>la Rep</w:t>
      </w:r>
      <w:r>
        <w:rPr>
          <w:rFonts w:cs="Times New Roman"/>
          <w:sz w:val="18"/>
          <w:szCs w:val="18"/>
          <w:lang w:val="es-ES_tradnl"/>
        </w:rPr>
        <w:t>ú</w:t>
      </w:r>
      <w:r>
        <w:rPr>
          <w:sz w:val="18"/>
          <w:szCs w:val="18"/>
          <w:lang w:val="es-ES_tradnl"/>
        </w:rPr>
        <w:t>blica?</w:t>
      </w:r>
    </w:p>
    <w:p w14:paraId="4F67AB48" w14:textId="77777777" w:rsidR="00591D54" w:rsidRDefault="00591D54" w:rsidP="00251195">
      <w:pPr>
        <w:numPr>
          <w:ilvl w:val="0"/>
          <w:numId w:val="51"/>
        </w:numPr>
        <w:shd w:val="clear" w:color="auto" w:fill="FFFFFF"/>
        <w:tabs>
          <w:tab w:val="left" w:pos="566"/>
        </w:tabs>
        <w:spacing w:before="192" w:line="216" w:lineRule="exact"/>
        <w:ind w:left="566" w:hanging="283"/>
        <w:jc w:val="both"/>
        <w:rPr>
          <w:spacing w:val="-9"/>
          <w:sz w:val="18"/>
          <w:szCs w:val="18"/>
          <w:lang w:val="es-ES_tradnl"/>
        </w:rPr>
      </w:pPr>
      <w:r>
        <w:rPr>
          <w:spacing w:val="-10"/>
          <w:sz w:val="18"/>
          <w:szCs w:val="18"/>
          <w:lang w:val="es-ES_tradnl"/>
        </w:rPr>
        <w:t>La decisi</w:t>
      </w:r>
      <w:r>
        <w:rPr>
          <w:rFonts w:cs="Times New Roman"/>
          <w:spacing w:val="-10"/>
          <w:sz w:val="18"/>
          <w:szCs w:val="18"/>
          <w:lang w:val="es-ES_tradnl"/>
        </w:rPr>
        <w:t>ó</w:t>
      </w:r>
      <w:r>
        <w:rPr>
          <w:spacing w:val="-10"/>
          <w:sz w:val="18"/>
          <w:szCs w:val="18"/>
          <w:lang w:val="es-ES_tradnl"/>
        </w:rPr>
        <w:t xml:space="preserve">n judicial dictada el 12 de febrero de 2014, </w:t>
      </w:r>
      <w:r>
        <w:rPr>
          <w:spacing w:val="-7"/>
          <w:sz w:val="18"/>
          <w:szCs w:val="18"/>
          <w:lang w:val="es-ES_tradnl"/>
        </w:rPr>
        <w:t xml:space="preserve">por la Sala </w:t>
      </w:r>
      <w:r>
        <w:rPr>
          <w:rFonts w:cs="Times New Roman"/>
          <w:spacing w:val="-7"/>
          <w:sz w:val="18"/>
          <w:szCs w:val="18"/>
          <w:lang w:val="es-ES_tradnl"/>
        </w:rPr>
        <w:t>Ú</w:t>
      </w:r>
      <w:r>
        <w:rPr>
          <w:spacing w:val="-7"/>
          <w:sz w:val="18"/>
          <w:szCs w:val="18"/>
          <w:lang w:val="es-ES_tradnl"/>
        </w:rPr>
        <w:t>nica de la Corte Provincial de Justicia de Santo Domingo de los Ts</w:t>
      </w:r>
      <w:r>
        <w:rPr>
          <w:rFonts w:cs="Times New Roman"/>
          <w:spacing w:val="-7"/>
          <w:sz w:val="18"/>
          <w:szCs w:val="18"/>
          <w:lang w:val="es-ES_tradnl"/>
        </w:rPr>
        <w:t>á</w:t>
      </w:r>
      <w:r>
        <w:rPr>
          <w:spacing w:val="-7"/>
          <w:sz w:val="18"/>
          <w:szCs w:val="18"/>
          <w:lang w:val="es-ES_tradnl"/>
        </w:rPr>
        <w:t xml:space="preserve">chilas, </w:t>
      </w:r>
      <w:r>
        <w:rPr>
          <w:rFonts w:cs="Times New Roman"/>
          <w:spacing w:val="-7"/>
          <w:sz w:val="18"/>
          <w:szCs w:val="18"/>
          <w:lang w:val="es-ES_tradnl"/>
        </w:rPr>
        <w:t>¿</w:t>
      </w:r>
      <w:r>
        <w:rPr>
          <w:spacing w:val="-7"/>
          <w:sz w:val="18"/>
          <w:szCs w:val="18"/>
          <w:lang w:val="es-ES_tradnl"/>
        </w:rPr>
        <w:t xml:space="preserve">vulnera el </w:t>
      </w:r>
      <w:r>
        <w:rPr>
          <w:spacing w:val="-6"/>
          <w:sz w:val="18"/>
          <w:szCs w:val="18"/>
          <w:lang w:val="es-ES_tradnl"/>
        </w:rPr>
        <w:t>derecho constitucional a la seguridad jur</w:t>
      </w:r>
      <w:r>
        <w:rPr>
          <w:rFonts w:cs="Times New Roman"/>
          <w:spacing w:val="-6"/>
          <w:sz w:val="18"/>
          <w:szCs w:val="18"/>
          <w:lang w:val="es-ES_tradnl"/>
        </w:rPr>
        <w:t>í</w:t>
      </w:r>
      <w:r>
        <w:rPr>
          <w:spacing w:val="-6"/>
          <w:sz w:val="18"/>
          <w:szCs w:val="18"/>
          <w:lang w:val="es-ES_tradnl"/>
        </w:rPr>
        <w:t xml:space="preserve">dica, </w:t>
      </w:r>
      <w:r>
        <w:rPr>
          <w:spacing w:val="-7"/>
          <w:sz w:val="18"/>
          <w:szCs w:val="18"/>
          <w:lang w:val="es-ES_tradnl"/>
        </w:rPr>
        <w:t>consagrado en el art</w:t>
      </w:r>
      <w:r>
        <w:rPr>
          <w:rFonts w:cs="Times New Roman"/>
          <w:spacing w:val="-7"/>
          <w:sz w:val="18"/>
          <w:szCs w:val="18"/>
          <w:lang w:val="es-ES_tradnl"/>
        </w:rPr>
        <w:t>í</w:t>
      </w:r>
      <w:r>
        <w:rPr>
          <w:spacing w:val="-7"/>
          <w:sz w:val="18"/>
          <w:szCs w:val="18"/>
          <w:lang w:val="es-ES_tradnl"/>
        </w:rPr>
        <w:t>culo 82 de la Constituci</w:t>
      </w:r>
      <w:r>
        <w:rPr>
          <w:rFonts w:cs="Times New Roman"/>
          <w:spacing w:val="-7"/>
          <w:sz w:val="18"/>
          <w:szCs w:val="18"/>
          <w:lang w:val="es-ES_tradnl"/>
        </w:rPr>
        <w:t>ó</w:t>
      </w:r>
      <w:r>
        <w:rPr>
          <w:spacing w:val="-7"/>
          <w:sz w:val="18"/>
          <w:szCs w:val="18"/>
          <w:lang w:val="es-ES_tradnl"/>
        </w:rPr>
        <w:t xml:space="preserve">n de </w:t>
      </w:r>
      <w:r>
        <w:rPr>
          <w:sz w:val="18"/>
          <w:szCs w:val="18"/>
          <w:lang w:val="es-ES_tradnl"/>
        </w:rPr>
        <w:t>la Rep</w:t>
      </w:r>
      <w:r>
        <w:rPr>
          <w:rFonts w:cs="Times New Roman"/>
          <w:sz w:val="18"/>
          <w:szCs w:val="18"/>
          <w:lang w:val="es-ES_tradnl"/>
        </w:rPr>
        <w:t>ú</w:t>
      </w:r>
      <w:r>
        <w:rPr>
          <w:sz w:val="18"/>
          <w:szCs w:val="18"/>
          <w:lang w:val="es-ES_tradnl"/>
        </w:rPr>
        <w:t>blica?</w:t>
      </w:r>
    </w:p>
    <w:p w14:paraId="4F67AB49" w14:textId="77777777" w:rsidR="00591D54" w:rsidRDefault="00591D54">
      <w:pPr>
        <w:shd w:val="clear" w:color="auto" w:fill="FFFFFF"/>
        <w:spacing w:before="192"/>
      </w:pPr>
      <w:r>
        <w:rPr>
          <w:b/>
          <w:bCs/>
          <w:spacing w:val="-10"/>
          <w:sz w:val="18"/>
          <w:szCs w:val="18"/>
          <w:lang w:val="es-ES_tradnl"/>
        </w:rPr>
        <w:t>Resoluci</w:t>
      </w:r>
      <w:r>
        <w:rPr>
          <w:rFonts w:cs="Times New Roman"/>
          <w:b/>
          <w:bCs/>
          <w:spacing w:val="-10"/>
          <w:sz w:val="18"/>
          <w:szCs w:val="18"/>
          <w:lang w:val="es-ES_tradnl"/>
        </w:rPr>
        <w:t>ó</w:t>
      </w:r>
      <w:r>
        <w:rPr>
          <w:b/>
          <w:bCs/>
          <w:spacing w:val="-10"/>
          <w:sz w:val="18"/>
          <w:szCs w:val="18"/>
          <w:lang w:val="es-ES_tradnl"/>
        </w:rPr>
        <w:t>n de los problemas jur</w:t>
      </w:r>
      <w:r>
        <w:rPr>
          <w:rFonts w:cs="Times New Roman"/>
          <w:b/>
          <w:bCs/>
          <w:spacing w:val="-10"/>
          <w:sz w:val="18"/>
          <w:szCs w:val="18"/>
          <w:lang w:val="es-ES_tradnl"/>
        </w:rPr>
        <w:t>í</w:t>
      </w:r>
      <w:r>
        <w:rPr>
          <w:b/>
          <w:bCs/>
          <w:spacing w:val="-10"/>
          <w:sz w:val="18"/>
          <w:szCs w:val="18"/>
          <w:lang w:val="es-ES_tradnl"/>
        </w:rPr>
        <w:t>dicos</w:t>
      </w:r>
    </w:p>
    <w:p w14:paraId="4F67AB4A" w14:textId="77777777" w:rsidR="00591D54" w:rsidRDefault="00591D54">
      <w:pPr>
        <w:shd w:val="clear" w:color="auto" w:fill="FFFFFF"/>
        <w:spacing w:before="187" w:line="216" w:lineRule="exact"/>
        <w:ind w:left="566" w:right="5" w:hanging="283"/>
        <w:jc w:val="both"/>
      </w:pPr>
      <w:r>
        <w:rPr>
          <w:b/>
          <w:bCs/>
          <w:spacing w:val="-6"/>
          <w:sz w:val="18"/>
          <w:szCs w:val="18"/>
          <w:lang w:val="es-ES_tradnl"/>
        </w:rPr>
        <w:t>1) La decisi</w:t>
      </w:r>
      <w:r>
        <w:rPr>
          <w:rFonts w:cs="Times New Roman"/>
          <w:b/>
          <w:bCs/>
          <w:spacing w:val="-6"/>
          <w:sz w:val="18"/>
          <w:szCs w:val="18"/>
          <w:lang w:val="es-ES_tradnl"/>
        </w:rPr>
        <w:t>ó</w:t>
      </w:r>
      <w:r>
        <w:rPr>
          <w:b/>
          <w:bCs/>
          <w:spacing w:val="-6"/>
          <w:sz w:val="18"/>
          <w:szCs w:val="18"/>
          <w:lang w:val="es-ES_tradnl"/>
        </w:rPr>
        <w:t xml:space="preserve">n judicial dictada el 12 de febrero de </w:t>
      </w:r>
      <w:r>
        <w:rPr>
          <w:b/>
          <w:bCs/>
          <w:spacing w:val="-4"/>
          <w:sz w:val="18"/>
          <w:szCs w:val="18"/>
          <w:lang w:val="es-ES_tradnl"/>
        </w:rPr>
        <w:t xml:space="preserve">2014, por la Sala </w:t>
      </w:r>
      <w:r>
        <w:rPr>
          <w:rFonts w:cs="Times New Roman"/>
          <w:b/>
          <w:bCs/>
          <w:spacing w:val="-4"/>
          <w:sz w:val="18"/>
          <w:szCs w:val="18"/>
          <w:lang w:val="es-ES_tradnl"/>
        </w:rPr>
        <w:t>Ú</w:t>
      </w:r>
      <w:r>
        <w:rPr>
          <w:b/>
          <w:bCs/>
          <w:spacing w:val="-4"/>
          <w:sz w:val="18"/>
          <w:szCs w:val="18"/>
          <w:lang w:val="es-ES_tradnl"/>
        </w:rPr>
        <w:t xml:space="preserve">nica de la Corte Provincial </w:t>
      </w:r>
      <w:r>
        <w:rPr>
          <w:b/>
          <w:bCs/>
          <w:spacing w:val="-9"/>
          <w:sz w:val="18"/>
          <w:szCs w:val="18"/>
          <w:lang w:val="es-ES_tradnl"/>
        </w:rPr>
        <w:t>de Justicia de Santo Domingo de los Ts</w:t>
      </w:r>
      <w:r>
        <w:rPr>
          <w:rFonts w:cs="Times New Roman"/>
          <w:b/>
          <w:bCs/>
          <w:spacing w:val="-9"/>
          <w:sz w:val="18"/>
          <w:szCs w:val="18"/>
          <w:lang w:val="es-ES_tradnl"/>
        </w:rPr>
        <w:t>á</w:t>
      </w:r>
      <w:r>
        <w:rPr>
          <w:b/>
          <w:bCs/>
          <w:spacing w:val="-9"/>
          <w:sz w:val="18"/>
          <w:szCs w:val="18"/>
          <w:lang w:val="es-ES_tradnl"/>
        </w:rPr>
        <w:t xml:space="preserve">chilas, </w:t>
      </w:r>
      <w:r>
        <w:rPr>
          <w:rFonts w:cs="Times New Roman"/>
          <w:b/>
          <w:bCs/>
          <w:spacing w:val="-8"/>
          <w:sz w:val="18"/>
          <w:szCs w:val="18"/>
          <w:lang w:val="es-ES_tradnl"/>
        </w:rPr>
        <w:t>¿</w:t>
      </w:r>
      <w:r>
        <w:rPr>
          <w:b/>
          <w:bCs/>
          <w:spacing w:val="-8"/>
          <w:sz w:val="18"/>
          <w:szCs w:val="18"/>
          <w:lang w:val="es-ES_tradnl"/>
        </w:rPr>
        <w:t xml:space="preserve">vulnera el derecho constitucional a la tutela </w:t>
      </w:r>
      <w:r>
        <w:rPr>
          <w:b/>
          <w:bCs/>
          <w:spacing w:val="-9"/>
          <w:sz w:val="18"/>
          <w:szCs w:val="18"/>
          <w:lang w:val="es-ES_tradnl"/>
        </w:rPr>
        <w:t>judicial efectiva, consagrado en el art</w:t>
      </w:r>
      <w:r>
        <w:rPr>
          <w:rFonts w:cs="Times New Roman"/>
          <w:b/>
          <w:bCs/>
          <w:spacing w:val="-9"/>
          <w:sz w:val="18"/>
          <w:szCs w:val="18"/>
          <w:lang w:val="es-ES_tradnl"/>
        </w:rPr>
        <w:t>í</w:t>
      </w:r>
      <w:r>
        <w:rPr>
          <w:b/>
          <w:bCs/>
          <w:spacing w:val="-9"/>
          <w:sz w:val="18"/>
          <w:szCs w:val="18"/>
          <w:lang w:val="es-ES_tradnl"/>
        </w:rPr>
        <w:t xml:space="preserve">culo 75 de </w:t>
      </w:r>
      <w:r>
        <w:rPr>
          <w:b/>
          <w:bCs/>
          <w:sz w:val="18"/>
          <w:szCs w:val="18"/>
          <w:lang w:val="es-ES_tradnl"/>
        </w:rPr>
        <w:t>la Constituci</w:t>
      </w:r>
      <w:r>
        <w:rPr>
          <w:rFonts w:cs="Times New Roman"/>
          <w:b/>
          <w:bCs/>
          <w:sz w:val="18"/>
          <w:szCs w:val="18"/>
          <w:lang w:val="es-ES_tradnl"/>
        </w:rPr>
        <w:t>ó</w:t>
      </w:r>
      <w:r>
        <w:rPr>
          <w:b/>
          <w:bCs/>
          <w:sz w:val="18"/>
          <w:szCs w:val="18"/>
          <w:lang w:val="es-ES_tradnl"/>
        </w:rPr>
        <w:t>n de la Rep</w:t>
      </w:r>
      <w:r>
        <w:rPr>
          <w:rFonts w:cs="Times New Roman"/>
          <w:b/>
          <w:bCs/>
          <w:sz w:val="18"/>
          <w:szCs w:val="18"/>
          <w:lang w:val="es-ES_tradnl"/>
        </w:rPr>
        <w:t>ú</w:t>
      </w:r>
      <w:r>
        <w:rPr>
          <w:b/>
          <w:bCs/>
          <w:sz w:val="18"/>
          <w:szCs w:val="18"/>
          <w:lang w:val="es-ES_tradnl"/>
        </w:rPr>
        <w:t>blica?</w:t>
      </w:r>
    </w:p>
    <w:p w14:paraId="4F67AB4B" w14:textId="77777777" w:rsidR="00591D54" w:rsidRDefault="00591D54">
      <w:pPr>
        <w:shd w:val="clear" w:color="auto" w:fill="FFFFFF"/>
        <w:spacing w:before="197" w:line="216" w:lineRule="exact"/>
        <w:ind w:right="5"/>
        <w:jc w:val="both"/>
      </w:pPr>
      <w:r>
        <w:rPr>
          <w:spacing w:val="-5"/>
          <w:sz w:val="18"/>
          <w:szCs w:val="18"/>
          <w:lang w:val="es-ES_tradnl"/>
        </w:rPr>
        <w:t>Previo a responder el primer problema jur</w:t>
      </w:r>
      <w:r>
        <w:rPr>
          <w:rFonts w:cs="Times New Roman"/>
          <w:spacing w:val="-5"/>
          <w:sz w:val="18"/>
          <w:szCs w:val="18"/>
          <w:lang w:val="es-ES_tradnl"/>
        </w:rPr>
        <w:t>í</w:t>
      </w:r>
      <w:r>
        <w:rPr>
          <w:spacing w:val="-5"/>
          <w:sz w:val="18"/>
          <w:szCs w:val="18"/>
          <w:lang w:val="es-ES_tradnl"/>
        </w:rPr>
        <w:t xml:space="preserve">dico que se </w:t>
      </w:r>
      <w:r>
        <w:rPr>
          <w:spacing w:val="-8"/>
          <w:sz w:val="18"/>
          <w:szCs w:val="18"/>
          <w:lang w:val="es-ES_tradnl"/>
        </w:rPr>
        <w:t>plantea, resulta necesario afirmar que la Constituci</w:t>
      </w:r>
      <w:r>
        <w:rPr>
          <w:rFonts w:cs="Times New Roman"/>
          <w:spacing w:val="-8"/>
          <w:sz w:val="18"/>
          <w:szCs w:val="18"/>
          <w:lang w:val="es-ES_tradnl"/>
        </w:rPr>
        <w:t>ó</w:t>
      </w:r>
      <w:r>
        <w:rPr>
          <w:spacing w:val="-8"/>
          <w:sz w:val="18"/>
          <w:szCs w:val="18"/>
          <w:lang w:val="es-ES_tradnl"/>
        </w:rPr>
        <w:t>n de la Rep</w:t>
      </w:r>
      <w:r>
        <w:rPr>
          <w:rFonts w:cs="Times New Roman"/>
          <w:spacing w:val="-8"/>
          <w:sz w:val="18"/>
          <w:szCs w:val="18"/>
          <w:lang w:val="es-ES_tradnl"/>
        </w:rPr>
        <w:t>ú</w:t>
      </w:r>
      <w:r>
        <w:rPr>
          <w:spacing w:val="-8"/>
          <w:sz w:val="18"/>
          <w:szCs w:val="18"/>
          <w:lang w:val="es-ES_tradnl"/>
        </w:rPr>
        <w:t>blica consagra en el art</w:t>
      </w:r>
      <w:r>
        <w:rPr>
          <w:rFonts w:cs="Times New Roman"/>
          <w:spacing w:val="-8"/>
          <w:sz w:val="18"/>
          <w:szCs w:val="18"/>
          <w:lang w:val="es-ES_tradnl"/>
        </w:rPr>
        <w:t>í</w:t>
      </w:r>
      <w:r>
        <w:rPr>
          <w:spacing w:val="-8"/>
          <w:sz w:val="18"/>
          <w:szCs w:val="18"/>
          <w:lang w:val="es-ES_tradnl"/>
        </w:rPr>
        <w:t xml:space="preserve">culo 75, el derecho a la tutela </w:t>
      </w:r>
      <w:r>
        <w:rPr>
          <w:spacing w:val="-6"/>
          <w:sz w:val="18"/>
          <w:szCs w:val="18"/>
          <w:lang w:val="es-ES_tradnl"/>
        </w:rPr>
        <w:t>judicial efectiva, en los siguientes t</w:t>
      </w:r>
      <w:r>
        <w:rPr>
          <w:rFonts w:cs="Times New Roman"/>
          <w:spacing w:val="-6"/>
          <w:sz w:val="18"/>
          <w:szCs w:val="18"/>
          <w:lang w:val="es-ES_tradnl"/>
        </w:rPr>
        <w:t>é</w:t>
      </w:r>
      <w:r>
        <w:rPr>
          <w:spacing w:val="-6"/>
          <w:sz w:val="18"/>
          <w:szCs w:val="18"/>
          <w:lang w:val="es-ES_tradnl"/>
        </w:rPr>
        <w:t>rminos:</w:t>
      </w:r>
    </w:p>
    <w:p w14:paraId="4F67AB4C" w14:textId="77777777" w:rsidR="00591D54" w:rsidRDefault="00591D54">
      <w:pPr>
        <w:shd w:val="clear" w:color="auto" w:fill="FFFFFF"/>
        <w:spacing w:before="206" w:line="216" w:lineRule="exact"/>
        <w:ind w:left="283" w:right="5"/>
        <w:jc w:val="both"/>
      </w:pPr>
      <w:r>
        <w:rPr>
          <w:spacing w:val="-6"/>
          <w:sz w:val="16"/>
          <w:szCs w:val="16"/>
          <w:lang w:val="es-ES_tradnl"/>
        </w:rPr>
        <w:t xml:space="preserve">Art. 75.- Toda persona tiene derecho al acceso gratuito a la </w:t>
      </w:r>
      <w:r>
        <w:rPr>
          <w:spacing w:val="-1"/>
          <w:sz w:val="16"/>
          <w:szCs w:val="16"/>
          <w:lang w:val="es-ES_tradnl"/>
        </w:rPr>
        <w:t xml:space="preserve">justicia y a la tutela judicial efectiva, imparcial y expedita </w:t>
      </w:r>
      <w:r>
        <w:rPr>
          <w:spacing w:val="-2"/>
          <w:sz w:val="16"/>
          <w:szCs w:val="16"/>
          <w:lang w:val="es-ES_tradnl"/>
        </w:rPr>
        <w:t>de sus derechos e intereses, con sujeci</w:t>
      </w:r>
      <w:r>
        <w:rPr>
          <w:rFonts w:cs="Times New Roman"/>
          <w:spacing w:val="-2"/>
          <w:sz w:val="16"/>
          <w:szCs w:val="16"/>
          <w:lang w:val="es-ES_tradnl"/>
        </w:rPr>
        <w:t>ó</w:t>
      </w:r>
      <w:r>
        <w:rPr>
          <w:spacing w:val="-2"/>
          <w:sz w:val="16"/>
          <w:szCs w:val="16"/>
          <w:lang w:val="es-ES_tradnl"/>
        </w:rPr>
        <w:t xml:space="preserve">n a los principios </w:t>
      </w:r>
      <w:r>
        <w:rPr>
          <w:spacing w:val="-5"/>
          <w:sz w:val="16"/>
          <w:szCs w:val="16"/>
          <w:lang w:val="es-ES_tradnl"/>
        </w:rPr>
        <w:t>de inmediaci</w:t>
      </w:r>
      <w:r>
        <w:rPr>
          <w:rFonts w:cs="Times New Roman"/>
          <w:spacing w:val="-5"/>
          <w:sz w:val="16"/>
          <w:szCs w:val="16"/>
          <w:lang w:val="es-ES_tradnl"/>
        </w:rPr>
        <w:t>ó</w:t>
      </w:r>
      <w:r>
        <w:rPr>
          <w:spacing w:val="-5"/>
          <w:sz w:val="16"/>
          <w:szCs w:val="16"/>
          <w:lang w:val="es-ES_tradnl"/>
        </w:rPr>
        <w:t>n y celeridad; en ning</w:t>
      </w:r>
      <w:r>
        <w:rPr>
          <w:rFonts w:cs="Times New Roman"/>
          <w:spacing w:val="-5"/>
          <w:sz w:val="16"/>
          <w:szCs w:val="16"/>
          <w:lang w:val="es-ES_tradnl"/>
        </w:rPr>
        <w:t>ú</w:t>
      </w:r>
      <w:r>
        <w:rPr>
          <w:spacing w:val="-5"/>
          <w:sz w:val="16"/>
          <w:szCs w:val="16"/>
          <w:lang w:val="es-ES_tradnl"/>
        </w:rPr>
        <w:t>n caso quedar</w:t>
      </w:r>
      <w:r>
        <w:rPr>
          <w:rFonts w:cs="Times New Roman"/>
          <w:spacing w:val="-5"/>
          <w:sz w:val="16"/>
          <w:szCs w:val="16"/>
          <w:lang w:val="es-ES_tradnl"/>
        </w:rPr>
        <w:t>á</w:t>
      </w:r>
      <w:r>
        <w:rPr>
          <w:spacing w:val="-5"/>
          <w:sz w:val="16"/>
          <w:szCs w:val="16"/>
          <w:lang w:val="es-ES_tradnl"/>
        </w:rPr>
        <w:t xml:space="preserve"> en indefensi</w:t>
      </w:r>
      <w:r>
        <w:rPr>
          <w:rFonts w:cs="Times New Roman"/>
          <w:spacing w:val="-5"/>
          <w:sz w:val="16"/>
          <w:szCs w:val="16"/>
          <w:lang w:val="es-ES_tradnl"/>
        </w:rPr>
        <w:t>ó</w:t>
      </w:r>
      <w:r>
        <w:rPr>
          <w:spacing w:val="-5"/>
          <w:sz w:val="16"/>
          <w:szCs w:val="16"/>
          <w:lang w:val="es-ES_tradnl"/>
        </w:rPr>
        <w:t xml:space="preserve">n. El incumplimiento de las resoluciones judiciales </w:t>
      </w:r>
      <w:r>
        <w:rPr>
          <w:sz w:val="16"/>
          <w:szCs w:val="16"/>
          <w:lang w:val="es-ES_tradnl"/>
        </w:rPr>
        <w:t>ser</w:t>
      </w:r>
      <w:r>
        <w:rPr>
          <w:rFonts w:cs="Times New Roman"/>
          <w:sz w:val="16"/>
          <w:szCs w:val="16"/>
          <w:lang w:val="es-ES_tradnl"/>
        </w:rPr>
        <w:t>á</w:t>
      </w:r>
      <w:r>
        <w:rPr>
          <w:sz w:val="16"/>
          <w:szCs w:val="16"/>
          <w:lang w:val="es-ES_tradnl"/>
        </w:rPr>
        <w:t xml:space="preserve"> sancionado por la ley.</w:t>
      </w:r>
    </w:p>
    <w:p w14:paraId="4F67AB4D" w14:textId="77777777" w:rsidR="00591D54" w:rsidRDefault="00591D54">
      <w:pPr>
        <w:shd w:val="clear" w:color="auto" w:fill="FFFFFF"/>
        <w:spacing w:before="202" w:line="216" w:lineRule="exact"/>
        <w:jc w:val="both"/>
      </w:pPr>
      <w:r>
        <w:rPr>
          <w:spacing w:val="-1"/>
          <w:sz w:val="18"/>
          <w:szCs w:val="18"/>
          <w:lang w:val="es-ES_tradnl"/>
        </w:rPr>
        <w:t>La Corte Constitucional reiter</w:t>
      </w:r>
      <w:r>
        <w:rPr>
          <w:rFonts w:cs="Times New Roman"/>
          <w:spacing w:val="-1"/>
          <w:sz w:val="18"/>
          <w:szCs w:val="18"/>
          <w:lang w:val="es-ES_tradnl"/>
        </w:rPr>
        <w:t>ó</w:t>
      </w:r>
      <w:r>
        <w:rPr>
          <w:spacing w:val="-1"/>
          <w:sz w:val="18"/>
          <w:szCs w:val="18"/>
          <w:lang w:val="es-ES_tradnl"/>
        </w:rPr>
        <w:t xml:space="preserve">, desde temprana </w:t>
      </w:r>
      <w:r>
        <w:rPr>
          <w:spacing w:val="-6"/>
          <w:sz w:val="18"/>
          <w:szCs w:val="18"/>
          <w:lang w:val="es-ES_tradnl"/>
        </w:rPr>
        <w:t xml:space="preserve">jurisprudencia, que el derecho constitucional a la tutela </w:t>
      </w:r>
      <w:r>
        <w:rPr>
          <w:spacing w:val="-7"/>
          <w:sz w:val="18"/>
          <w:szCs w:val="18"/>
          <w:lang w:val="es-ES_tradnl"/>
        </w:rPr>
        <w:t xml:space="preserve">judicial efectiva es un derecho consustancial en nuestro </w:t>
      </w:r>
      <w:r>
        <w:rPr>
          <w:spacing w:val="-9"/>
          <w:sz w:val="18"/>
          <w:szCs w:val="18"/>
          <w:lang w:val="es-ES_tradnl"/>
        </w:rPr>
        <w:t>Estado constitucional de derechos y justicia</w:t>
      </w:r>
      <w:r>
        <w:rPr>
          <w:spacing w:val="-9"/>
          <w:sz w:val="18"/>
          <w:szCs w:val="18"/>
          <w:vertAlign w:val="superscript"/>
          <w:lang w:val="es-ES_tradnl"/>
        </w:rPr>
        <w:t>2</w:t>
      </w:r>
      <w:r>
        <w:rPr>
          <w:spacing w:val="-9"/>
          <w:sz w:val="18"/>
          <w:szCs w:val="18"/>
          <w:lang w:val="es-ES_tradnl"/>
        </w:rPr>
        <w:t xml:space="preserve">, que garantiza </w:t>
      </w:r>
      <w:r>
        <w:rPr>
          <w:spacing w:val="-7"/>
          <w:sz w:val="18"/>
          <w:szCs w:val="18"/>
          <w:lang w:val="es-ES_tradnl"/>
        </w:rPr>
        <w:t>que todas las personas, sin discriminaci</w:t>
      </w:r>
      <w:r>
        <w:rPr>
          <w:rFonts w:cs="Times New Roman"/>
          <w:spacing w:val="-7"/>
          <w:sz w:val="18"/>
          <w:szCs w:val="18"/>
          <w:lang w:val="es-ES_tradnl"/>
        </w:rPr>
        <w:t>ó</w:t>
      </w:r>
      <w:r>
        <w:rPr>
          <w:spacing w:val="-7"/>
          <w:sz w:val="18"/>
          <w:szCs w:val="18"/>
          <w:lang w:val="es-ES_tradnl"/>
        </w:rPr>
        <w:t>n, tengan acceso a una justicia gratuita, a trav</w:t>
      </w:r>
      <w:r>
        <w:rPr>
          <w:rFonts w:cs="Times New Roman"/>
          <w:spacing w:val="-7"/>
          <w:sz w:val="18"/>
          <w:szCs w:val="18"/>
          <w:lang w:val="es-ES_tradnl"/>
        </w:rPr>
        <w:t>é</w:t>
      </w:r>
      <w:r>
        <w:rPr>
          <w:spacing w:val="-7"/>
          <w:sz w:val="18"/>
          <w:szCs w:val="18"/>
          <w:lang w:val="es-ES_tradnl"/>
        </w:rPr>
        <w:t xml:space="preserve">s de la cual se tutelen los derechos de forma efectiva, expedita e imparcial, bajo los </w:t>
      </w:r>
      <w:r>
        <w:rPr>
          <w:sz w:val="18"/>
          <w:szCs w:val="18"/>
          <w:lang w:val="es-ES_tradnl"/>
        </w:rPr>
        <w:t>principios de inmediaci</w:t>
      </w:r>
      <w:r>
        <w:rPr>
          <w:rFonts w:cs="Times New Roman"/>
          <w:sz w:val="18"/>
          <w:szCs w:val="18"/>
          <w:lang w:val="es-ES_tradnl"/>
        </w:rPr>
        <w:t>ó</w:t>
      </w:r>
      <w:r>
        <w:rPr>
          <w:sz w:val="18"/>
          <w:szCs w:val="18"/>
          <w:lang w:val="es-ES_tradnl"/>
        </w:rPr>
        <w:t>n y celeridad.</w:t>
      </w:r>
    </w:p>
    <w:p w14:paraId="4F67AB4E" w14:textId="77777777" w:rsidR="00591D54" w:rsidRDefault="00591D54">
      <w:pPr>
        <w:shd w:val="clear" w:color="auto" w:fill="FFFFFF"/>
        <w:spacing w:before="197" w:line="216" w:lineRule="exact"/>
        <w:ind w:right="5"/>
        <w:jc w:val="both"/>
      </w:pPr>
      <w:r>
        <w:rPr>
          <w:spacing w:val="-7"/>
          <w:sz w:val="18"/>
          <w:szCs w:val="18"/>
          <w:lang w:val="es-ES_tradnl"/>
        </w:rPr>
        <w:t xml:space="preserve">De esta forma, el derecho constitucional a la tutela judicial </w:t>
      </w:r>
      <w:r>
        <w:rPr>
          <w:spacing w:val="-2"/>
          <w:sz w:val="18"/>
          <w:szCs w:val="18"/>
          <w:lang w:val="es-ES_tradnl"/>
        </w:rPr>
        <w:t>efectiva comprende determinadas garant</w:t>
      </w:r>
      <w:r>
        <w:rPr>
          <w:rFonts w:cs="Times New Roman"/>
          <w:spacing w:val="-2"/>
          <w:sz w:val="18"/>
          <w:szCs w:val="18"/>
          <w:lang w:val="es-ES_tradnl"/>
        </w:rPr>
        <w:t>í</w:t>
      </w:r>
      <w:r>
        <w:rPr>
          <w:spacing w:val="-2"/>
          <w:sz w:val="18"/>
          <w:szCs w:val="18"/>
          <w:lang w:val="es-ES_tradnl"/>
        </w:rPr>
        <w:t xml:space="preserve">as como son </w:t>
      </w:r>
      <w:r>
        <w:rPr>
          <w:sz w:val="18"/>
          <w:szCs w:val="18"/>
          <w:lang w:val="es-ES_tradnl"/>
        </w:rPr>
        <w:t>la libertad de acceso a la justicia; la obtenci</w:t>
      </w:r>
      <w:r>
        <w:rPr>
          <w:rFonts w:cs="Times New Roman"/>
          <w:sz w:val="18"/>
          <w:szCs w:val="18"/>
          <w:lang w:val="es-ES_tradnl"/>
        </w:rPr>
        <w:t>ó</w:t>
      </w:r>
      <w:r>
        <w:rPr>
          <w:sz w:val="18"/>
          <w:szCs w:val="18"/>
          <w:lang w:val="es-ES_tradnl"/>
        </w:rPr>
        <w:t>n de una</w:t>
      </w:r>
    </w:p>
    <w:p w14:paraId="4F67AB4F" w14:textId="77777777" w:rsidR="00591D54" w:rsidRDefault="00591D54">
      <w:pPr>
        <w:shd w:val="clear" w:color="auto" w:fill="FFFFFF"/>
        <w:spacing w:before="480"/>
      </w:pPr>
      <w:r>
        <w:rPr>
          <w:sz w:val="16"/>
          <w:szCs w:val="16"/>
          <w:vertAlign w:val="superscript"/>
          <w:lang w:val="es-ES_tradnl"/>
        </w:rPr>
        <w:t>2</w:t>
      </w:r>
      <w:r>
        <w:rPr>
          <w:sz w:val="16"/>
          <w:szCs w:val="16"/>
          <w:lang w:val="es-ES_tradnl"/>
        </w:rPr>
        <w:t xml:space="preserve">  </w:t>
      </w:r>
      <w:r>
        <w:rPr>
          <w:spacing w:val="-9"/>
          <w:sz w:val="16"/>
          <w:szCs w:val="16"/>
          <w:lang w:val="es-ES_tradnl"/>
        </w:rPr>
        <w:t>Constituci</w:t>
      </w:r>
      <w:r>
        <w:rPr>
          <w:rFonts w:cs="Times New Roman"/>
          <w:spacing w:val="-9"/>
          <w:sz w:val="16"/>
          <w:szCs w:val="16"/>
          <w:lang w:val="es-ES_tradnl"/>
        </w:rPr>
        <w:t>ó</w:t>
      </w:r>
      <w:r>
        <w:rPr>
          <w:spacing w:val="-9"/>
          <w:sz w:val="16"/>
          <w:szCs w:val="16"/>
          <w:lang w:val="es-ES_tradnl"/>
        </w:rPr>
        <w:t>n de la Rep</w:t>
      </w:r>
      <w:r>
        <w:rPr>
          <w:rFonts w:cs="Times New Roman"/>
          <w:spacing w:val="-9"/>
          <w:sz w:val="16"/>
          <w:szCs w:val="16"/>
          <w:lang w:val="es-ES_tradnl"/>
        </w:rPr>
        <w:t>ú</w:t>
      </w:r>
      <w:r>
        <w:rPr>
          <w:spacing w:val="-9"/>
          <w:sz w:val="16"/>
          <w:szCs w:val="16"/>
          <w:lang w:val="es-ES_tradnl"/>
        </w:rPr>
        <w:t>blica, art</w:t>
      </w:r>
      <w:r>
        <w:rPr>
          <w:rFonts w:cs="Times New Roman"/>
          <w:spacing w:val="-9"/>
          <w:sz w:val="16"/>
          <w:szCs w:val="16"/>
          <w:lang w:val="es-ES_tradnl"/>
        </w:rPr>
        <w:t>í</w:t>
      </w:r>
      <w:r>
        <w:rPr>
          <w:spacing w:val="-9"/>
          <w:sz w:val="16"/>
          <w:szCs w:val="16"/>
          <w:lang w:val="es-ES_tradnl"/>
        </w:rPr>
        <w:t>culo 1</w:t>
      </w:r>
    </w:p>
    <w:p w14:paraId="4F67AB50" w14:textId="77777777" w:rsidR="00591D54" w:rsidRDefault="00591D54">
      <w:pPr>
        <w:shd w:val="clear" w:color="auto" w:fill="FFFFFF"/>
        <w:spacing w:line="216" w:lineRule="exact"/>
        <w:jc w:val="both"/>
      </w:pPr>
      <w:r>
        <w:br w:type="column"/>
      </w:r>
      <w:r>
        <w:rPr>
          <w:spacing w:val="-7"/>
          <w:sz w:val="18"/>
          <w:szCs w:val="18"/>
          <w:lang w:val="es-ES_tradnl"/>
        </w:rPr>
        <w:t xml:space="preserve">sentencia debidamente motivada en un tiempo razonable </w:t>
      </w:r>
      <w:r>
        <w:rPr>
          <w:spacing w:val="-3"/>
          <w:sz w:val="18"/>
          <w:szCs w:val="18"/>
          <w:lang w:val="es-ES_tradnl"/>
        </w:rPr>
        <w:t xml:space="preserve">con el consiguiente cumplimiento efectivo de la misma; </w:t>
      </w:r>
      <w:r>
        <w:rPr>
          <w:spacing w:val="-8"/>
          <w:sz w:val="18"/>
          <w:szCs w:val="18"/>
          <w:lang w:val="es-ES_tradnl"/>
        </w:rPr>
        <w:t xml:space="preserve">el derecho a acceder a los </w:t>
      </w:r>
      <w:r>
        <w:rPr>
          <w:rFonts w:cs="Times New Roman"/>
          <w:spacing w:val="-8"/>
          <w:sz w:val="18"/>
          <w:szCs w:val="18"/>
          <w:lang w:val="es-ES_tradnl"/>
        </w:rPr>
        <w:t>ó</w:t>
      </w:r>
      <w:r>
        <w:rPr>
          <w:spacing w:val="-8"/>
          <w:sz w:val="18"/>
          <w:szCs w:val="18"/>
          <w:lang w:val="es-ES_tradnl"/>
        </w:rPr>
        <w:t xml:space="preserve">rganos jurisdiccionales para la </w:t>
      </w:r>
      <w:r>
        <w:rPr>
          <w:spacing w:val="-9"/>
          <w:sz w:val="18"/>
          <w:szCs w:val="18"/>
          <w:lang w:val="es-ES_tradnl"/>
        </w:rPr>
        <w:t>defensa de los derechos e intereses leg</w:t>
      </w:r>
      <w:r>
        <w:rPr>
          <w:rFonts w:cs="Times New Roman"/>
          <w:spacing w:val="-9"/>
          <w:sz w:val="18"/>
          <w:szCs w:val="18"/>
          <w:lang w:val="es-ES_tradnl"/>
        </w:rPr>
        <w:t>í</w:t>
      </w:r>
      <w:r>
        <w:rPr>
          <w:spacing w:val="-9"/>
          <w:sz w:val="18"/>
          <w:szCs w:val="18"/>
          <w:lang w:val="es-ES_tradnl"/>
        </w:rPr>
        <w:t xml:space="preserve">timos de las partes </w:t>
      </w:r>
      <w:r>
        <w:rPr>
          <w:spacing w:val="-4"/>
          <w:sz w:val="18"/>
          <w:szCs w:val="18"/>
          <w:lang w:val="es-ES_tradnl"/>
        </w:rPr>
        <w:t>procesales, entre otras. As</w:t>
      </w:r>
      <w:r>
        <w:rPr>
          <w:rFonts w:cs="Times New Roman"/>
          <w:spacing w:val="-4"/>
          <w:sz w:val="18"/>
          <w:szCs w:val="18"/>
          <w:lang w:val="es-ES_tradnl"/>
        </w:rPr>
        <w:t>í</w:t>
      </w:r>
      <w:r>
        <w:rPr>
          <w:spacing w:val="-4"/>
          <w:sz w:val="18"/>
          <w:szCs w:val="18"/>
          <w:lang w:val="es-ES_tradnl"/>
        </w:rPr>
        <w:t xml:space="preserve"> lo manifest</w:t>
      </w:r>
      <w:r>
        <w:rPr>
          <w:rFonts w:cs="Times New Roman"/>
          <w:spacing w:val="-4"/>
          <w:sz w:val="18"/>
          <w:szCs w:val="18"/>
          <w:lang w:val="es-ES_tradnl"/>
        </w:rPr>
        <w:t>ó</w:t>
      </w:r>
      <w:r>
        <w:rPr>
          <w:spacing w:val="-4"/>
          <w:sz w:val="18"/>
          <w:szCs w:val="18"/>
          <w:lang w:val="es-ES_tradnl"/>
        </w:rPr>
        <w:t xml:space="preserve"> este m</w:t>
      </w:r>
      <w:r>
        <w:rPr>
          <w:rFonts w:cs="Times New Roman"/>
          <w:spacing w:val="-4"/>
          <w:sz w:val="18"/>
          <w:szCs w:val="18"/>
          <w:lang w:val="es-ES_tradnl"/>
        </w:rPr>
        <w:t>á</w:t>
      </w:r>
      <w:r>
        <w:rPr>
          <w:spacing w:val="-4"/>
          <w:sz w:val="18"/>
          <w:szCs w:val="18"/>
          <w:lang w:val="es-ES_tradnl"/>
        </w:rPr>
        <w:t xml:space="preserve">ximo </w:t>
      </w:r>
      <w:r>
        <w:rPr>
          <w:rFonts w:cs="Times New Roman"/>
          <w:spacing w:val="-9"/>
          <w:sz w:val="18"/>
          <w:szCs w:val="18"/>
          <w:lang w:val="es-ES_tradnl"/>
        </w:rPr>
        <w:t>ó</w:t>
      </w:r>
      <w:r>
        <w:rPr>
          <w:spacing w:val="-9"/>
          <w:sz w:val="18"/>
          <w:szCs w:val="18"/>
          <w:lang w:val="es-ES_tradnl"/>
        </w:rPr>
        <w:t>rgano constitucional, mediante sentencia N.</w:t>
      </w:r>
      <w:r>
        <w:rPr>
          <w:rFonts w:cs="Times New Roman"/>
          <w:spacing w:val="-9"/>
          <w:sz w:val="18"/>
          <w:szCs w:val="18"/>
          <w:lang w:val="es-ES_tradnl"/>
        </w:rPr>
        <w:t>°</w:t>
      </w:r>
      <w:r>
        <w:rPr>
          <w:spacing w:val="-9"/>
          <w:sz w:val="18"/>
          <w:szCs w:val="18"/>
          <w:lang w:val="es-ES_tradnl"/>
        </w:rPr>
        <w:t xml:space="preserve"> 006-14-SEP-</w:t>
      </w:r>
      <w:r>
        <w:rPr>
          <w:sz w:val="18"/>
          <w:szCs w:val="18"/>
          <w:lang w:val="es-ES_tradnl"/>
        </w:rPr>
        <w:t>CC, al se</w:t>
      </w:r>
      <w:r>
        <w:rPr>
          <w:rFonts w:cs="Times New Roman"/>
          <w:sz w:val="18"/>
          <w:szCs w:val="18"/>
          <w:lang w:val="es-ES_tradnl"/>
        </w:rPr>
        <w:t>ñ</w:t>
      </w:r>
      <w:r>
        <w:rPr>
          <w:sz w:val="18"/>
          <w:szCs w:val="18"/>
          <w:lang w:val="es-ES_tradnl"/>
        </w:rPr>
        <w:t>alar textualmente:</w:t>
      </w:r>
    </w:p>
    <w:p w14:paraId="4F67AB51" w14:textId="77777777" w:rsidR="00591D54" w:rsidRDefault="00591D54">
      <w:pPr>
        <w:shd w:val="clear" w:color="auto" w:fill="FFFFFF"/>
        <w:spacing w:before="202" w:line="211" w:lineRule="exact"/>
        <w:ind w:left="283"/>
        <w:jc w:val="both"/>
      </w:pPr>
      <w:r>
        <w:rPr>
          <w:spacing w:val="-8"/>
          <w:sz w:val="16"/>
          <w:szCs w:val="16"/>
          <w:lang w:val="es-ES_tradnl"/>
        </w:rPr>
        <w:t xml:space="preserve">El derecho a la tutela judicial efectiva debe ser entendido como el derecho de toda persona a que se le haga justicia, mediante </w:t>
      </w:r>
      <w:r>
        <w:rPr>
          <w:spacing w:val="-7"/>
          <w:sz w:val="16"/>
          <w:szCs w:val="16"/>
          <w:lang w:val="es-ES_tradnl"/>
        </w:rPr>
        <w:t>un proceso que reconozca un conjunto de garant</w:t>
      </w:r>
      <w:r>
        <w:rPr>
          <w:rFonts w:cs="Times New Roman"/>
          <w:spacing w:val="-7"/>
          <w:sz w:val="16"/>
          <w:szCs w:val="16"/>
          <w:lang w:val="es-ES_tradnl"/>
        </w:rPr>
        <w:t>í</w:t>
      </w:r>
      <w:r>
        <w:rPr>
          <w:spacing w:val="-7"/>
          <w:sz w:val="16"/>
          <w:szCs w:val="16"/>
          <w:lang w:val="es-ES_tradnl"/>
        </w:rPr>
        <w:t>as b</w:t>
      </w:r>
      <w:r>
        <w:rPr>
          <w:rFonts w:cs="Times New Roman"/>
          <w:spacing w:val="-7"/>
          <w:sz w:val="16"/>
          <w:szCs w:val="16"/>
          <w:lang w:val="es-ES_tradnl"/>
        </w:rPr>
        <w:t>á</w:t>
      </w:r>
      <w:r>
        <w:rPr>
          <w:spacing w:val="-7"/>
          <w:sz w:val="16"/>
          <w:szCs w:val="16"/>
          <w:lang w:val="es-ES_tradnl"/>
        </w:rPr>
        <w:t xml:space="preserve">sicas. </w:t>
      </w:r>
      <w:r>
        <w:rPr>
          <w:spacing w:val="-5"/>
          <w:sz w:val="16"/>
          <w:szCs w:val="16"/>
          <w:lang w:val="es-ES_tradnl"/>
        </w:rPr>
        <w:t>Este es un concepto abierto (</w:t>
      </w:r>
      <w:r>
        <w:rPr>
          <w:rFonts w:cs="Times New Roman"/>
          <w:spacing w:val="-5"/>
          <w:sz w:val="16"/>
          <w:szCs w:val="16"/>
          <w:lang w:val="es-ES_tradnl"/>
        </w:rPr>
        <w:t>…</w:t>
      </w:r>
      <w:r>
        <w:rPr>
          <w:spacing w:val="-5"/>
          <w:sz w:val="16"/>
          <w:szCs w:val="16"/>
          <w:lang w:val="es-ES_tradnl"/>
        </w:rPr>
        <w:t xml:space="preserve">) cuyo alcance y contenido </w:t>
      </w:r>
      <w:r>
        <w:rPr>
          <w:spacing w:val="-8"/>
          <w:sz w:val="16"/>
          <w:szCs w:val="16"/>
          <w:lang w:val="es-ES_tradnl"/>
        </w:rPr>
        <w:t xml:space="preserve">comprende: i) recurrir ante los tribunales de justicia y a obtener </w:t>
      </w:r>
      <w:r>
        <w:rPr>
          <w:spacing w:val="-6"/>
          <w:sz w:val="16"/>
          <w:szCs w:val="16"/>
          <w:lang w:val="es-ES_tradnl"/>
        </w:rPr>
        <w:t xml:space="preserve">de ellos una sentencia </w:t>
      </w:r>
      <w:r>
        <w:rPr>
          <w:rFonts w:cs="Times New Roman"/>
          <w:spacing w:val="-6"/>
          <w:sz w:val="16"/>
          <w:szCs w:val="16"/>
          <w:lang w:val="es-ES_tradnl"/>
        </w:rPr>
        <w:t>ú</w:t>
      </w:r>
      <w:r>
        <w:rPr>
          <w:spacing w:val="-6"/>
          <w:sz w:val="16"/>
          <w:szCs w:val="16"/>
          <w:lang w:val="es-ES_tradnl"/>
        </w:rPr>
        <w:t xml:space="preserve">til; ii) acceder a una instancia judicial </w:t>
      </w:r>
      <w:r>
        <w:rPr>
          <w:spacing w:val="-4"/>
          <w:sz w:val="16"/>
          <w:szCs w:val="16"/>
          <w:lang w:val="es-ES_tradnl"/>
        </w:rPr>
        <w:t xml:space="preserve">ordinaria y a lograr un control judicial suficiente sobre lo </w:t>
      </w:r>
      <w:r>
        <w:rPr>
          <w:spacing w:val="-5"/>
          <w:sz w:val="16"/>
          <w:szCs w:val="16"/>
          <w:lang w:val="es-ES_tradnl"/>
        </w:rPr>
        <w:t>actuado; iii) a un juez natural e imparcial; iv) a la eliminaci</w:t>
      </w:r>
      <w:r>
        <w:rPr>
          <w:rFonts w:cs="Times New Roman"/>
          <w:spacing w:val="-5"/>
          <w:sz w:val="16"/>
          <w:szCs w:val="16"/>
          <w:lang w:val="es-ES_tradnl"/>
        </w:rPr>
        <w:t>ó</w:t>
      </w:r>
      <w:r>
        <w:rPr>
          <w:spacing w:val="-5"/>
          <w:sz w:val="16"/>
          <w:szCs w:val="16"/>
          <w:lang w:val="es-ES_tradnl"/>
        </w:rPr>
        <w:t xml:space="preserve">n </w:t>
      </w:r>
      <w:r>
        <w:rPr>
          <w:spacing w:val="-6"/>
          <w:sz w:val="16"/>
          <w:szCs w:val="16"/>
          <w:lang w:val="es-ES_tradnl"/>
        </w:rPr>
        <w:t xml:space="preserve">de las trabas que impidan u obstaculicen el acceso a la </w:t>
      </w:r>
      <w:r>
        <w:rPr>
          <w:spacing w:val="-5"/>
          <w:sz w:val="16"/>
          <w:szCs w:val="16"/>
          <w:lang w:val="es-ES_tradnl"/>
        </w:rPr>
        <w:t>jurisdicci</w:t>
      </w:r>
      <w:r>
        <w:rPr>
          <w:rFonts w:cs="Times New Roman"/>
          <w:spacing w:val="-5"/>
          <w:sz w:val="16"/>
          <w:szCs w:val="16"/>
          <w:lang w:val="es-ES_tradnl"/>
        </w:rPr>
        <w:t>ó</w:t>
      </w:r>
      <w:r>
        <w:rPr>
          <w:spacing w:val="-5"/>
          <w:sz w:val="16"/>
          <w:szCs w:val="16"/>
          <w:lang w:val="es-ES_tradnl"/>
        </w:rPr>
        <w:t>n; v) a la interpretaci</w:t>
      </w:r>
      <w:r>
        <w:rPr>
          <w:rFonts w:cs="Times New Roman"/>
          <w:spacing w:val="-5"/>
          <w:sz w:val="16"/>
          <w:szCs w:val="16"/>
          <w:lang w:val="es-ES_tradnl"/>
        </w:rPr>
        <w:t>ó</w:t>
      </w:r>
      <w:r>
        <w:rPr>
          <w:spacing w:val="-5"/>
          <w:sz w:val="16"/>
          <w:szCs w:val="16"/>
          <w:lang w:val="es-ES_tradnl"/>
        </w:rPr>
        <w:t xml:space="preserve">n de las normas reguladores </w:t>
      </w:r>
      <w:r>
        <w:rPr>
          <w:spacing w:val="-7"/>
          <w:sz w:val="16"/>
          <w:szCs w:val="16"/>
          <w:lang w:val="es-ES_tradnl"/>
        </w:rPr>
        <w:t>de los requisitos de acceso a la jurisdicci</w:t>
      </w:r>
      <w:r>
        <w:rPr>
          <w:rFonts w:cs="Times New Roman"/>
          <w:spacing w:val="-7"/>
          <w:sz w:val="16"/>
          <w:szCs w:val="16"/>
          <w:lang w:val="es-ES_tradnl"/>
        </w:rPr>
        <w:t>ó</w:t>
      </w:r>
      <w:r>
        <w:rPr>
          <w:spacing w:val="-7"/>
          <w:sz w:val="16"/>
          <w:szCs w:val="16"/>
          <w:lang w:val="es-ES_tradnl"/>
        </w:rPr>
        <w:t xml:space="preserve">n en forma favorable </w:t>
      </w:r>
      <w:r>
        <w:rPr>
          <w:spacing w:val="-3"/>
          <w:sz w:val="16"/>
          <w:szCs w:val="16"/>
          <w:lang w:val="es-ES_tradnl"/>
        </w:rPr>
        <w:t>a la admisi</w:t>
      </w:r>
      <w:r>
        <w:rPr>
          <w:rFonts w:cs="Times New Roman"/>
          <w:spacing w:val="-3"/>
          <w:sz w:val="16"/>
          <w:szCs w:val="16"/>
          <w:lang w:val="es-ES_tradnl"/>
        </w:rPr>
        <w:t>ó</w:t>
      </w:r>
      <w:r>
        <w:rPr>
          <w:spacing w:val="-3"/>
          <w:sz w:val="16"/>
          <w:szCs w:val="16"/>
          <w:lang w:val="es-ES_tradnl"/>
        </w:rPr>
        <w:t>n de la pretensi</w:t>
      </w:r>
      <w:r>
        <w:rPr>
          <w:rFonts w:cs="Times New Roman"/>
          <w:spacing w:val="-3"/>
          <w:sz w:val="16"/>
          <w:szCs w:val="16"/>
          <w:lang w:val="es-ES_tradnl"/>
        </w:rPr>
        <w:t>ó</w:t>
      </w:r>
      <w:r>
        <w:rPr>
          <w:spacing w:val="-3"/>
          <w:sz w:val="16"/>
          <w:szCs w:val="16"/>
          <w:lang w:val="es-ES_tradnl"/>
        </w:rPr>
        <w:t>n, evit</w:t>
      </w:r>
      <w:r>
        <w:rPr>
          <w:rFonts w:cs="Times New Roman"/>
          <w:spacing w:val="-3"/>
          <w:sz w:val="16"/>
          <w:szCs w:val="16"/>
          <w:lang w:val="es-ES_tradnl"/>
        </w:rPr>
        <w:t>á</w:t>
      </w:r>
      <w:r>
        <w:rPr>
          <w:spacing w:val="-3"/>
          <w:sz w:val="16"/>
          <w:szCs w:val="16"/>
          <w:lang w:val="es-ES_tradnl"/>
        </w:rPr>
        <w:t xml:space="preserve">ndose incurrir en </w:t>
      </w:r>
      <w:r>
        <w:rPr>
          <w:spacing w:val="-5"/>
          <w:sz w:val="16"/>
          <w:szCs w:val="16"/>
          <w:lang w:val="es-ES_tradnl"/>
        </w:rPr>
        <w:t>hermen</w:t>
      </w:r>
      <w:r>
        <w:rPr>
          <w:rFonts w:cs="Times New Roman"/>
          <w:spacing w:val="-5"/>
          <w:sz w:val="16"/>
          <w:szCs w:val="16"/>
          <w:lang w:val="es-ES_tradnl"/>
        </w:rPr>
        <w:t>é</w:t>
      </w:r>
      <w:r>
        <w:rPr>
          <w:spacing w:val="-5"/>
          <w:sz w:val="16"/>
          <w:szCs w:val="16"/>
          <w:lang w:val="es-ES_tradnl"/>
        </w:rPr>
        <w:t xml:space="preserve">uticas ritualistas (in dubio pro actione); vi) a que no </w:t>
      </w:r>
      <w:r>
        <w:rPr>
          <w:spacing w:val="-9"/>
          <w:sz w:val="16"/>
          <w:szCs w:val="16"/>
          <w:lang w:val="es-ES_tradnl"/>
        </w:rPr>
        <w:t xml:space="preserve">se desestimen aquellas pretensiones que padecen de defectos </w:t>
      </w:r>
      <w:r>
        <w:rPr>
          <w:spacing w:val="-6"/>
          <w:sz w:val="16"/>
          <w:szCs w:val="16"/>
          <w:lang w:val="es-ES_tradnl"/>
        </w:rPr>
        <w:t>que pueden ser subsanados; vii) a la no aplicaci</w:t>
      </w:r>
      <w:r>
        <w:rPr>
          <w:rFonts w:cs="Times New Roman"/>
          <w:spacing w:val="-6"/>
          <w:sz w:val="16"/>
          <w:szCs w:val="16"/>
          <w:lang w:val="es-ES_tradnl"/>
        </w:rPr>
        <w:t>ó</w:t>
      </w:r>
      <w:r>
        <w:rPr>
          <w:spacing w:val="-6"/>
          <w:sz w:val="16"/>
          <w:szCs w:val="16"/>
          <w:lang w:val="es-ES_tradnl"/>
        </w:rPr>
        <w:t xml:space="preserve">n en forma </w:t>
      </w:r>
      <w:r>
        <w:rPr>
          <w:spacing w:val="-7"/>
          <w:sz w:val="16"/>
          <w:szCs w:val="16"/>
          <w:lang w:val="es-ES_tradnl"/>
        </w:rPr>
        <w:t>retroactiva de nuevas pautas jurisprudenciales con relaci</w:t>
      </w:r>
      <w:r>
        <w:rPr>
          <w:rFonts w:cs="Times New Roman"/>
          <w:spacing w:val="-7"/>
          <w:sz w:val="16"/>
          <w:szCs w:val="16"/>
          <w:lang w:val="es-ES_tradnl"/>
        </w:rPr>
        <w:t>ó</w:t>
      </w:r>
      <w:r>
        <w:rPr>
          <w:spacing w:val="-7"/>
          <w:sz w:val="16"/>
          <w:szCs w:val="16"/>
          <w:lang w:val="es-ES_tradnl"/>
        </w:rPr>
        <w:t xml:space="preserve">n a </w:t>
      </w:r>
      <w:r>
        <w:rPr>
          <w:spacing w:val="-5"/>
          <w:sz w:val="16"/>
          <w:szCs w:val="16"/>
          <w:lang w:val="es-ES_tradnl"/>
        </w:rPr>
        <w:t xml:space="preserve">los requisitos de admisibilidad, a fin de evitar situaciones de </w:t>
      </w:r>
      <w:r>
        <w:rPr>
          <w:spacing w:val="-6"/>
          <w:sz w:val="16"/>
          <w:szCs w:val="16"/>
          <w:lang w:val="es-ES_tradnl"/>
        </w:rPr>
        <w:t xml:space="preserve">desamparo judicial; viii) a peticionar y obtener tutela cautelar </w:t>
      </w:r>
      <w:r>
        <w:rPr>
          <w:spacing w:val="-8"/>
          <w:sz w:val="16"/>
          <w:szCs w:val="16"/>
          <w:lang w:val="es-ES_tradnl"/>
        </w:rPr>
        <w:t xml:space="preserve">para que no se torne ilusorio el derecho que se defiende; ix) al </w:t>
      </w:r>
      <w:r>
        <w:rPr>
          <w:spacing w:val="-9"/>
          <w:sz w:val="16"/>
          <w:szCs w:val="16"/>
          <w:lang w:val="es-ES_tradnl"/>
        </w:rPr>
        <w:t xml:space="preserve">cumplimiento de todas las etapas del procedimiento legalmente </w:t>
      </w:r>
      <w:r>
        <w:rPr>
          <w:spacing w:val="-5"/>
          <w:sz w:val="16"/>
          <w:szCs w:val="16"/>
          <w:lang w:val="es-ES_tradnl"/>
        </w:rPr>
        <w:t>previsto, el cual deber</w:t>
      </w:r>
      <w:r>
        <w:rPr>
          <w:rFonts w:cs="Times New Roman"/>
          <w:spacing w:val="-5"/>
          <w:sz w:val="16"/>
          <w:szCs w:val="16"/>
          <w:lang w:val="es-ES_tradnl"/>
        </w:rPr>
        <w:t>á</w:t>
      </w:r>
      <w:r>
        <w:rPr>
          <w:spacing w:val="-5"/>
          <w:sz w:val="16"/>
          <w:szCs w:val="16"/>
          <w:lang w:val="es-ES_tradnl"/>
        </w:rPr>
        <w:t xml:space="preserve"> asegurar la posibilidad del justiciable </w:t>
      </w:r>
      <w:r>
        <w:rPr>
          <w:spacing w:val="-7"/>
          <w:sz w:val="16"/>
          <w:szCs w:val="16"/>
          <w:lang w:val="es-ES_tradnl"/>
        </w:rPr>
        <w:t>a ser o</w:t>
      </w:r>
      <w:r>
        <w:rPr>
          <w:rFonts w:cs="Times New Roman"/>
          <w:spacing w:val="-7"/>
          <w:sz w:val="16"/>
          <w:szCs w:val="16"/>
          <w:lang w:val="es-ES_tradnl"/>
        </w:rPr>
        <w:t>í</w:t>
      </w:r>
      <w:r>
        <w:rPr>
          <w:spacing w:val="-7"/>
          <w:sz w:val="16"/>
          <w:szCs w:val="16"/>
          <w:lang w:val="es-ES_tradnl"/>
        </w:rPr>
        <w:t>do, y a ofrecer y producir la prueba pertinente antes de dictarse sentencia; x) a una decisi</w:t>
      </w:r>
      <w:r>
        <w:rPr>
          <w:rFonts w:cs="Times New Roman"/>
          <w:spacing w:val="-7"/>
          <w:sz w:val="16"/>
          <w:szCs w:val="16"/>
          <w:lang w:val="es-ES_tradnl"/>
        </w:rPr>
        <w:t>ó</w:t>
      </w:r>
      <w:r>
        <w:rPr>
          <w:spacing w:val="-7"/>
          <w:sz w:val="16"/>
          <w:szCs w:val="16"/>
          <w:lang w:val="es-ES_tradnl"/>
        </w:rPr>
        <w:t>n fundada que haga m</w:t>
      </w:r>
      <w:r>
        <w:rPr>
          <w:rFonts w:cs="Times New Roman"/>
          <w:spacing w:val="-7"/>
          <w:sz w:val="16"/>
          <w:szCs w:val="16"/>
          <w:lang w:val="es-ES_tradnl"/>
        </w:rPr>
        <w:t>é</w:t>
      </w:r>
      <w:r>
        <w:rPr>
          <w:spacing w:val="-7"/>
          <w:sz w:val="16"/>
          <w:szCs w:val="16"/>
          <w:lang w:val="es-ES_tradnl"/>
        </w:rPr>
        <w:t xml:space="preserve">rito </w:t>
      </w:r>
      <w:r>
        <w:rPr>
          <w:spacing w:val="-6"/>
          <w:sz w:val="16"/>
          <w:szCs w:val="16"/>
          <w:lang w:val="es-ES_tradnl"/>
        </w:rPr>
        <w:t xml:space="preserve">de las principales cuestiones planteadas; xi) a impugnar la </w:t>
      </w:r>
      <w:r>
        <w:rPr>
          <w:spacing w:val="-5"/>
          <w:sz w:val="16"/>
          <w:szCs w:val="16"/>
          <w:lang w:val="es-ES_tradnl"/>
        </w:rPr>
        <w:t xml:space="preserve">sentencia definitiva; xii) a tener la posibilidad de ejecutar en </w:t>
      </w:r>
      <w:r>
        <w:rPr>
          <w:spacing w:val="-8"/>
          <w:sz w:val="16"/>
          <w:szCs w:val="16"/>
          <w:lang w:val="es-ES_tradnl"/>
        </w:rPr>
        <w:t xml:space="preserve">tiempo y forma la sentencia y, por ende, a su cumplimiento por </w:t>
      </w:r>
      <w:r>
        <w:rPr>
          <w:spacing w:val="-7"/>
          <w:sz w:val="16"/>
          <w:szCs w:val="16"/>
          <w:lang w:val="es-ES_tradnl"/>
        </w:rPr>
        <w:t xml:space="preserve">parte de la autoridad condenada; xiii) al desarrollo del proceso </w:t>
      </w:r>
      <w:r>
        <w:rPr>
          <w:spacing w:val="-5"/>
          <w:sz w:val="16"/>
          <w:szCs w:val="16"/>
          <w:lang w:val="es-ES_tradnl"/>
        </w:rPr>
        <w:t>en una dimensi</w:t>
      </w:r>
      <w:r>
        <w:rPr>
          <w:rFonts w:cs="Times New Roman"/>
          <w:spacing w:val="-5"/>
          <w:sz w:val="16"/>
          <w:szCs w:val="16"/>
          <w:lang w:val="es-ES_tradnl"/>
        </w:rPr>
        <w:t>ó</w:t>
      </w:r>
      <w:r>
        <w:rPr>
          <w:spacing w:val="-5"/>
          <w:sz w:val="16"/>
          <w:szCs w:val="16"/>
          <w:lang w:val="es-ES_tradnl"/>
        </w:rPr>
        <w:t xml:space="preserve">n temporal razonable; y, xiv) a contar con </w:t>
      </w:r>
      <w:r>
        <w:rPr>
          <w:sz w:val="16"/>
          <w:szCs w:val="16"/>
          <w:lang w:val="es-ES_tradnl"/>
        </w:rPr>
        <w:t>asistencia letrada</w:t>
      </w:r>
      <w:r>
        <w:rPr>
          <w:sz w:val="16"/>
          <w:szCs w:val="16"/>
          <w:vertAlign w:val="superscript"/>
          <w:lang w:val="es-ES_tradnl"/>
        </w:rPr>
        <w:t>3</w:t>
      </w:r>
      <w:r>
        <w:rPr>
          <w:sz w:val="16"/>
          <w:szCs w:val="16"/>
          <w:lang w:val="es-ES_tradnl"/>
        </w:rPr>
        <w:t>.</w:t>
      </w:r>
    </w:p>
    <w:p w14:paraId="4F67AB52" w14:textId="77777777" w:rsidR="00591D54" w:rsidRDefault="00591D54">
      <w:pPr>
        <w:shd w:val="clear" w:color="auto" w:fill="FFFFFF"/>
        <w:spacing w:before="202" w:line="216" w:lineRule="exact"/>
        <w:jc w:val="both"/>
      </w:pPr>
      <w:r>
        <w:rPr>
          <w:spacing w:val="-14"/>
          <w:sz w:val="18"/>
          <w:szCs w:val="18"/>
          <w:lang w:val="es-ES_tradnl"/>
        </w:rPr>
        <w:t>En armon</w:t>
      </w:r>
      <w:r>
        <w:rPr>
          <w:rFonts w:cs="Times New Roman"/>
          <w:spacing w:val="-14"/>
          <w:sz w:val="18"/>
          <w:szCs w:val="18"/>
          <w:lang w:val="es-ES_tradnl"/>
        </w:rPr>
        <w:t>í</w:t>
      </w:r>
      <w:r>
        <w:rPr>
          <w:spacing w:val="-14"/>
          <w:sz w:val="18"/>
          <w:szCs w:val="18"/>
          <w:lang w:val="es-ES_tradnl"/>
        </w:rPr>
        <w:t>a a lo que se afirma, es un derecho de configuraci</w:t>
      </w:r>
      <w:r>
        <w:rPr>
          <w:rFonts w:cs="Times New Roman"/>
          <w:spacing w:val="-14"/>
          <w:sz w:val="18"/>
          <w:szCs w:val="18"/>
          <w:lang w:val="es-ES_tradnl"/>
        </w:rPr>
        <w:t>ó</w:t>
      </w:r>
      <w:r>
        <w:rPr>
          <w:spacing w:val="-14"/>
          <w:sz w:val="18"/>
          <w:szCs w:val="18"/>
          <w:lang w:val="es-ES_tradnl"/>
        </w:rPr>
        <w:t xml:space="preserve">n </w:t>
      </w:r>
      <w:r>
        <w:rPr>
          <w:spacing w:val="-9"/>
          <w:sz w:val="18"/>
          <w:szCs w:val="18"/>
          <w:lang w:val="es-ES_tradnl"/>
        </w:rPr>
        <w:t>legal que permite la viabilidad de todos los dem</w:t>
      </w:r>
      <w:r>
        <w:rPr>
          <w:rFonts w:cs="Times New Roman"/>
          <w:spacing w:val="-9"/>
          <w:sz w:val="18"/>
          <w:szCs w:val="18"/>
          <w:lang w:val="es-ES_tradnl"/>
        </w:rPr>
        <w:t>á</w:t>
      </w:r>
      <w:r>
        <w:rPr>
          <w:spacing w:val="-9"/>
          <w:sz w:val="18"/>
          <w:szCs w:val="18"/>
          <w:lang w:val="es-ES_tradnl"/>
        </w:rPr>
        <w:t>s derechos constitucionales, as</w:t>
      </w:r>
      <w:r>
        <w:rPr>
          <w:rFonts w:cs="Times New Roman"/>
          <w:spacing w:val="-9"/>
          <w:sz w:val="18"/>
          <w:szCs w:val="18"/>
          <w:lang w:val="es-ES_tradnl"/>
        </w:rPr>
        <w:t>í</w:t>
      </w:r>
      <w:r>
        <w:rPr>
          <w:spacing w:val="-9"/>
          <w:sz w:val="18"/>
          <w:szCs w:val="18"/>
          <w:lang w:val="es-ES_tradnl"/>
        </w:rPr>
        <w:t xml:space="preserve"> como de aquellos derivados de fuentes </w:t>
      </w:r>
      <w:r>
        <w:rPr>
          <w:spacing w:val="-5"/>
          <w:sz w:val="18"/>
          <w:szCs w:val="18"/>
          <w:lang w:val="es-ES_tradnl"/>
        </w:rPr>
        <w:t>inferiores, siempre que se requiriere la intervenci</w:t>
      </w:r>
      <w:r>
        <w:rPr>
          <w:rFonts w:cs="Times New Roman"/>
          <w:spacing w:val="-5"/>
          <w:sz w:val="18"/>
          <w:szCs w:val="18"/>
          <w:lang w:val="es-ES_tradnl"/>
        </w:rPr>
        <w:t>ó</w:t>
      </w:r>
      <w:r>
        <w:rPr>
          <w:spacing w:val="-5"/>
          <w:sz w:val="18"/>
          <w:szCs w:val="18"/>
          <w:lang w:val="es-ES_tradnl"/>
        </w:rPr>
        <w:t xml:space="preserve">n del </w:t>
      </w:r>
      <w:r>
        <w:rPr>
          <w:sz w:val="18"/>
          <w:szCs w:val="18"/>
          <w:lang w:val="es-ES_tradnl"/>
        </w:rPr>
        <w:t>Estado para su protecci</w:t>
      </w:r>
      <w:r>
        <w:rPr>
          <w:rFonts w:cs="Times New Roman"/>
          <w:sz w:val="18"/>
          <w:szCs w:val="18"/>
          <w:lang w:val="es-ES_tradnl"/>
        </w:rPr>
        <w:t>ó</w:t>
      </w:r>
      <w:r>
        <w:rPr>
          <w:sz w:val="18"/>
          <w:szCs w:val="18"/>
          <w:lang w:val="es-ES_tradnl"/>
        </w:rPr>
        <w:t>n. En tal sentido:</w:t>
      </w:r>
    </w:p>
    <w:p w14:paraId="4F67AB53" w14:textId="77777777" w:rsidR="00591D54" w:rsidRDefault="00591D54">
      <w:pPr>
        <w:shd w:val="clear" w:color="auto" w:fill="FFFFFF"/>
        <w:spacing w:before="202" w:line="211" w:lineRule="exact"/>
        <w:ind w:left="283"/>
        <w:jc w:val="both"/>
      </w:pPr>
      <w:r>
        <w:rPr>
          <w:rFonts w:cs="Times New Roman"/>
          <w:spacing w:val="-5"/>
          <w:sz w:val="16"/>
          <w:szCs w:val="16"/>
          <w:lang w:val="es-ES_tradnl"/>
        </w:rPr>
        <w:t>…</w:t>
      </w:r>
      <w:r>
        <w:rPr>
          <w:spacing w:val="-5"/>
          <w:sz w:val="16"/>
          <w:szCs w:val="16"/>
          <w:lang w:val="es-ES_tradnl"/>
        </w:rPr>
        <w:t>su satisfacci</w:t>
      </w:r>
      <w:r>
        <w:rPr>
          <w:rFonts w:cs="Times New Roman"/>
          <w:spacing w:val="-5"/>
          <w:sz w:val="16"/>
          <w:szCs w:val="16"/>
          <w:lang w:val="es-ES_tradnl"/>
        </w:rPr>
        <w:t>ó</w:t>
      </w:r>
      <w:r>
        <w:rPr>
          <w:spacing w:val="-5"/>
          <w:sz w:val="16"/>
          <w:szCs w:val="16"/>
          <w:lang w:val="es-ES_tradnl"/>
        </w:rPr>
        <w:t xml:space="preserve">n no se agota en la existencia de la justicia </w:t>
      </w:r>
      <w:r>
        <w:rPr>
          <w:spacing w:val="-6"/>
          <w:sz w:val="16"/>
          <w:szCs w:val="16"/>
          <w:lang w:val="es-ES_tradnl"/>
        </w:rPr>
        <w:t>constitucional, sino en la puesta a disposici</w:t>
      </w:r>
      <w:r>
        <w:rPr>
          <w:rFonts w:cs="Times New Roman"/>
          <w:spacing w:val="-6"/>
          <w:sz w:val="16"/>
          <w:szCs w:val="16"/>
          <w:lang w:val="es-ES_tradnl"/>
        </w:rPr>
        <w:t>ó</w:t>
      </w:r>
      <w:r>
        <w:rPr>
          <w:spacing w:val="-6"/>
          <w:sz w:val="16"/>
          <w:szCs w:val="16"/>
          <w:lang w:val="es-ES_tradnl"/>
        </w:rPr>
        <w:t xml:space="preserve">n de todas las </w:t>
      </w:r>
      <w:r>
        <w:rPr>
          <w:spacing w:val="-4"/>
          <w:sz w:val="16"/>
          <w:szCs w:val="16"/>
          <w:lang w:val="es-ES_tradnl"/>
        </w:rPr>
        <w:t>personas de un sistema jur</w:t>
      </w:r>
      <w:r>
        <w:rPr>
          <w:rFonts w:cs="Times New Roman"/>
          <w:spacing w:val="-4"/>
          <w:sz w:val="16"/>
          <w:szCs w:val="16"/>
          <w:lang w:val="es-ES_tradnl"/>
        </w:rPr>
        <w:t>í</w:t>
      </w:r>
      <w:r>
        <w:rPr>
          <w:spacing w:val="-4"/>
          <w:sz w:val="16"/>
          <w:szCs w:val="16"/>
          <w:lang w:val="es-ES_tradnl"/>
        </w:rPr>
        <w:t xml:space="preserve">dico institucional encargado de </w:t>
      </w:r>
      <w:r>
        <w:rPr>
          <w:spacing w:val="-5"/>
          <w:sz w:val="16"/>
          <w:szCs w:val="16"/>
          <w:lang w:val="es-ES_tradnl"/>
        </w:rPr>
        <w:t>dar protecci</w:t>
      </w:r>
      <w:r>
        <w:rPr>
          <w:rFonts w:cs="Times New Roman"/>
          <w:spacing w:val="-5"/>
          <w:sz w:val="16"/>
          <w:szCs w:val="16"/>
          <w:lang w:val="es-ES_tradnl"/>
        </w:rPr>
        <w:t>ó</w:t>
      </w:r>
      <w:r>
        <w:rPr>
          <w:spacing w:val="-5"/>
          <w:sz w:val="16"/>
          <w:szCs w:val="16"/>
          <w:lang w:val="es-ES_tradnl"/>
        </w:rPr>
        <w:t xml:space="preserve">n judicial en todas las materias. Por lo tanto, la </w:t>
      </w:r>
      <w:r>
        <w:rPr>
          <w:spacing w:val="-8"/>
          <w:sz w:val="16"/>
          <w:szCs w:val="16"/>
          <w:lang w:val="es-ES_tradnl"/>
        </w:rPr>
        <w:t>existencia de recursos en v</w:t>
      </w:r>
      <w:r>
        <w:rPr>
          <w:rFonts w:cs="Times New Roman"/>
          <w:spacing w:val="-8"/>
          <w:sz w:val="16"/>
          <w:szCs w:val="16"/>
          <w:lang w:val="es-ES_tradnl"/>
        </w:rPr>
        <w:t>í</w:t>
      </w:r>
      <w:r>
        <w:rPr>
          <w:spacing w:val="-8"/>
          <w:sz w:val="16"/>
          <w:szCs w:val="16"/>
          <w:lang w:val="es-ES_tradnl"/>
        </w:rPr>
        <w:t>a ordinaria tambi</w:t>
      </w:r>
      <w:r>
        <w:rPr>
          <w:rFonts w:cs="Times New Roman"/>
          <w:spacing w:val="-8"/>
          <w:sz w:val="16"/>
          <w:szCs w:val="16"/>
          <w:lang w:val="es-ES_tradnl"/>
        </w:rPr>
        <w:t>é</w:t>
      </w:r>
      <w:r>
        <w:rPr>
          <w:spacing w:val="-8"/>
          <w:sz w:val="16"/>
          <w:szCs w:val="16"/>
          <w:lang w:val="es-ES_tradnl"/>
        </w:rPr>
        <w:t xml:space="preserve">n constituye una </w:t>
      </w:r>
      <w:r>
        <w:rPr>
          <w:spacing w:val="-6"/>
          <w:sz w:val="16"/>
          <w:szCs w:val="16"/>
          <w:lang w:val="es-ES_tradnl"/>
        </w:rPr>
        <w:t>medida de garant</w:t>
      </w:r>
      <w:r>
        <w:rPr>
          <w:rFonts w:cs="Times New Roman"/>
          <w:spacing w:val="-6"/>
          <w:sz w:val="16"/>
          <w:szCs w:val="16"/>
          <w:lang w:val="es-ES_tradnl"/>
        </w:rPr>
        <w:t>í</w:t>
      </w:r>
      <w:r>
        <w:rPr>
          <w:spacing w:val="-6"/>
          <w:sz w:val="16"/>
          <w:szCs w:val="16"/>
          <w:lang w:val="es-ES_tradnl"/>
        </w:rPr>
        <w:t>a del derecho a la tutela judicial efectiva</w:t>
      </w:r>
      <w:r>
        <w:rPr>
          <w:spacing w:val="-6"/>
          <w:sz w:val="16"/>
          <w:szCs w:val="16"/>
          <w:vertAlign w:val="superscript"/>
          <w:lang w:val="es-ES_tradnl"/>
        </w:rPr>
        <w:t>4</w:t>
      </w:r>
      <w:r>
        <w:rPr>
          <w:spacing w:val="-6"/>
          <w:sz w:val="16"/>
          <w:szCs w:val="16"/>
          <w:lang w:val="es-ES_tradnl"/>
        </w:rPr>
        <w:t>.</w:t>
      </w:r>
    </w:p>
    <w:p w14:paraId="4F67AB54" w14:textId="77777777" w:rsidR="00591D54" w:rsidRDefault="00591D54">
      <w:pPr>
        <w:shd w:val="clear" w:color="auto" w:fill="FFFFFF"/>
        <w:spacing w:before="202" w:line="216" w:lineRule="exact"/>
        <w:jc w:val="both"/>
      </w:pPr>
      <w:r>
        <w:rPr>
          <w:sz w:val="18"/>
          <w:szCs w:val="18"/>
          <w:lang w:val="es-ES_tradnl"/>
        </w:rPr>
        <w:t xml:space="preserve">Por un lado, la tutela judicial efectiva constituye el </w:t>
      </w:r>
      <w:r>
        <w:rPr>
          <w:spacing w:val="-4"/>
          <w:sz w:val="18"/>
          <w:szCs w:val="18"/>
          <w:lang w:val="es-ES_tradnl"/>
        </w:rPr>
        <w:t xml:space="preserve">derecho constitucional que tiene toda persona de acudir </w:t>
      </w:r>
      <w:r>
        <w:rPr>
          <w:spacing w:val="-7"/>
          <w:sz w:val="18"/>
          <w:szCs w:val="18"/>
          <w:lang w:val="es-ES_tradnl"/>
        </w:rPr>
        <w:t xml:space="preserve">a los </w:t>
      </w:r>
      <w:r>
        <w:rPr>
          <w:rFonts w:cs="Times New Roman"/>
          <w:spacing w:val="-7"/>
          <w:sz w:val="18"/>
          <w:szCs w:val="18"/>
          <w:lang w:val="es-ES_tradnl"/>
        </w:rPr>
        <w:t>ó</w:t>
      </w:r>
      <w:r>
        <w:rPr>
          <w:spacing w:val="-7"/>
          <w:sz w:val="18"/>
          <w:szCs w:val="18"/>
          <w:lang w:val="es-ES_tradnl"/>
        </w:rPr>
        <w:t xml:space="preserve">rganos jurisdiccionales para que, por medio de los </w:t>
      </w:r>
      <w:r>
        <w:rPr>
          <w:spacing w:val="-8"/>
          <w:sz w:val="18"/>
          <w:szCs w:val="18"/>
          <w:lang w:val="es-ES_tradnl"/>
        </w:rPr>
        <w:t>debidos cauces procesales y con unas garant</w:t>
      </w:r>
      <w:r>
        <w:rPr>
          <w:rFonts w:cs="Times New Roman"/>
          <w:spacing w:val="-8"/>
          <w:sz w:val="18"/>
          <w:szCs w:val="18"/>
          <w:lang w:val="es-ES_tradnl"/>
        </w:rPr>
        <w:t>í</w:t>
      </w:r>
      <w:r>
        <w:rPr>
          <w:spacing w:val="-8"/>
          <w:sz w:val="18"/>
          <w:szCs w:val="18"/>
          <w:lang w:val="es-ES_tradnl"/>
        </w:rPr>
        <w:t>as m</w:t>
      </w:r>
      <w:r>
        <w:rPr>
          <w:rFonts w:cs="Times New Roman"/>
          <w:spacing w:val="-8"/>
          <w:sz w:val="18"/>
          <w:szCs w:val="18"/>
          <w:lang w:val="es-ES_tradnl"/>
        </w:rPr>
        <w:t>í</w:t>
      </w:r>
      <w:r>
        <w:rPr>
          <w:spacing w:val="-8"/>
          <w:sz w:val="18"/>
          <w:szCs w:val="18"/>
          <w:lang w:val="es-ES_tradnl"/>
        </w:rPr>
        <w:t xml:space="preserve">nimas, </w:t>
      </w:r>
      <w:r>
        <w:rPr>
          <w:spacing w:val="-9"/>
          <w:sz w:val="18"/>
          <w:szCs w:val="18"/>
          <w:lang w:val="es-ES_tradnl"/>
        </w:rPr>
        <w:t>se obtenga una decisi</w:t>
      </w:r>
      <w:r>
        <w:rPr>
          <w:rFonts w:cs="Times New Roman"/>
          <w:spacing w:val="-9"/>
          <w:sz w:val="18"/>
          <w:szCs w:val="18"/>
          <w:lang w:val="es-ES_tradnl"/>
        </w:rPr>
        <w:t>ó</w:t>
      </w:r>
      <w:r>
        <w:rPr>
          <w:spacing w:val="-9"/>
          <w:sz w:val="18"/>
          <w:szCs w:val="18"/>
          <w:lang w:val="es-ES_tradnl"/>
        </w:rPr>
        <w:t xml:space="preserve">n fundada en derecho sobre las </w:t>
      </w:r>
      <w:r>
        <w:rPr>
          <w:spacing w:val="-7"/>
          <w:sz w:val="18"/>
          <w:szCs w:val="18"/>
          <w:lang w:val="es-ES_tradnl"/>
        </w:rPr>
        <w:t>pretensiones y alegaciones propuestas y, por otro lado, es</w:t>
      </w:r>
    </w:p>
    <w:p w14:paraId="4F67AB55" w14:textId="77777777" w:rsidR="00591D54" w:rsidRDefault="00591D54">
      <w:pPr>
        <w:shd w:val="clear" w:color="auto" w:fill="FFFFFF"/>
        <w:tabs>
          <w:tab w:val="left" w:pos="144"/>
        </w:tabs>
        <w:spacing w:before="413" w:line="182" w:lineRule="exact"/>
        <w:ind w:left="144" w:hanging="144"/>
      </w:pPr>
      <w:r>
        <w:rPr>
          <w:sz w:val="10"/>
          <w:szCs w:val="10"/>
          <w:vertAlign w:val="superscript"/>
          <w:lang w:val="es-ES_tradnl"/>
        </w:rPr>
        <w:t>3</w:t>
      </w:r>
      <w:r>
        <w:rPr>
          <w:sz w:val="18"/>
          <w:szCs w:val="18"/>
          <w:lang w:val="es-ES_tradnl"/>
        </w:rPr>
        <w:tab/>
      </w:r>
      <w:r>
        <w:rPr>
          <w:spacing w:val="-8"/>
          <w:sz w:val="16"/>
          <w:szCs w:val="16"/>
          <w:lang w:val="es-ES_tradnl"/>
        </w:rPr>
        <w:t>Corte</w:t>
      </w:r>
      <w:r>
        <w:rPr>
          <w:spacing w:val="-8"/>
          <w:sz w:val="18"/>
          <w:szCs w:val="18"/>
          <w:lang w:val="es-ES_tradnl"/>
        </w:rPr>
        <w:t xml:space="preserve"> </w:t>
      </w:r>
      <w:r>
        <w:rPr>
          <w:spacing w:val="-8"/>
          <w:sz w:val="16"/>
          <w:szCs w:val="16"/>
          <w:lang w:val="es-ES_tradnl"/>
        </w:rPr>
        <w:t>Constitucional</w:t>
      </w:r>
      <w:r>
        <w:rPr>
          <w:spacing w:val="-8"/>
          <w:sz w:val="18"/>
          <w:szCs w:val="18"/>
          <w:lang w:val="es-ES_tradnl"/>
        </w:rPr>
        <w:t xml:space="preserve"> </w:t>
      </w:r>
      <w:r>
        <w:rPr>
          <w:spacing w:val="-8"/>
          <w:sz w:val="16"/>
          <w:szCs w:val="16"/>
          <w:lang w:val="es-ES_tradnl"/>
        </w:rPr>
        <w:t>del</w:t>
      </w:r>
      <w:r>
        <w:rPr>
          <w:spacing w:val="-8"/>
          <w:sz w:val="18"/>
          <w:szCs w:val="18"/>
          <w:lang w:val="es-ES_tradnl"/>
        </w:rPr>
        <w:t xml:space="preserve"> </w:t>
      </w:r>
      <w:r>
        <w:rPr>
          <w:spacing w:val="-8"/>
          <w:sz w:val="16"/>
          <w:szCs w:val="16"/>
          <w:lang w:val="es-ES_tradnl"/>
        </w:rPr>
        <w:t>Ecuador,</w:t>
      </w:r>
      <w:r>
        <w:rPr>
          <w:spacing w:val="-8"/>
          <w:sz w:val="18"/>
          <w:szCs w:val="18"/>
          <w:lang w:val="es-ES_tradnl"/>
        </w:rPr>
        <w:t xml:space="preserve"> </w:t>
      </w:r>
      <w:r>
        <w:rPr>
          <w:spacing w:val="-8"/>
          <w:sz w:val="16"/>
          <w:szCs w:val="16"/>
          <w:lang w:val="es-ES_tradnl"/>
        </w:rPr>
        <w:t>sentencia</w:t>
      </w:r>
      <w:r>
        <w:rPr>
          <w:spacing w:val="-8"/>
          <w:sz w:val="18"/>
          <w:szCs w:val="18"/>
          <w:lang w:val="es-ES_tradnl"/>
        </w:rPr>
        <w:t xml:space="preserve"> </w:t>
      </w:r>
      <w:r>
        <w:rPr>
          <w:spacing w:val="-8"/>
          <w:sz w:val="16"/>
          <w:szCs w:val="16"/>
          <w:lang w:val="es-ES_tradnl"/>
        </w:rPr>
        <w:t>N.</w:t>
      </w:r>
      <w:r>
        <w:rPr>
          <w:rFonts w:cs="Times New Roman"/>
          <w:spacing w:val="-8"/>
          <w:sz w:val="16"/>
          <w:szCs w:val="16"/>
          <w:lang w:val="es-ES_tradnl"/>
        </w:rPr>
        <w:t>°</w:t>
      </w:r>
      <w:r>
        <w:rPr>
          <w:spacing w:val="-8"/>
          <w:sz w:val="18"/>
          <w:szCs w:val="18"/>
          <w:lang w:val="es-ES_tradnl"/>
        </w:rPr>
        <w:t xml:space="preserve"> </w:t>
      </w:r>
      <w:r>
        <w:rPr>
          <w:spacing w:val="-8"/>
          <w:sz w:val="16"/>
          <w:szCs w:val="16"/>
          <w:lang w:val="es-ES_tradnl"/>
        </w:rPr>
        <w:t>006-14-SEP-CC, </w:t>
      </w:r>
      <w:r>
        <w:rPr>
          <w:sz w:val="16"/>
          <w:szCs w:val="16"/>
          <w:lang w:val="es-ES_tradnl"/>
        </w:rPr>
        <w:t>caso N.</w:t>
      </w:r>
      <w:r>
        <w:rPr>
          <w:rFonts w:cs="Times New Roman"/>
          <w:sz w:val="16"/>
          <w:szCs w:val="16"/>
          <w:lang w:val="es-ES_tradnl"/>
        </w:rPr>
        <w:t>°</w:t>
      </w:r>
      <w:r>
        <w:rPr>
          <w:sz w:val="16"/>
          <w:szCs w:val="16"/>
          <w:lang w:val="es-ES_tradnl"/>
        </w:rPr>
        <w:t xml:space="preserve"> 1026-12-EP</w:t>
      </w:r>
    </w:p>
    <w:p w14:paraId="4F67AB56" w14:textId="77777777" w:rsidR="00591D54" w:rsidRDefault="00591D54">
      <w:pPr>
        <w:shd w:val="clear" w:color="auto" w:fill="FFFFFF"/>
        <w:tabs>
          <w:tab w:val="left" w:pos="144"/>
        </w:tabs>
        <w:spacing w:before="149" w:line="178" w:lineRule="exact"/>
        <w:ind w:left="144" w:hanging="144"/>
      </w:pPr>
      <w:r>
        <w:rPr>
          <w:sz w:val="10"/>
          <w:szCs w:val="10"/>
          <w:vertAlign w:val="superscript"/>
          <w:lang w:val="es-ES_tradnl"/>
        </w:rPr>
        <w:t>4</w:t>
      </w:r>
      <w:r>
        <w:rPr>
          <w:sz w:val="18"/>
          <w:szCs w:val="18"/>
          <w:lang w:val="es-ES_tradnl"/>
        </w:rPr>
        <w:tab/>
      </w:r>
      <w:r>
        <w:rPr>
          <w:spacing w:val="-8"/>
          <w:sz w:val="16"/>
          <w:szCs w:val="16"/>
          <w:lang w:val="es-ES_tradnl"/>
        </w:rPr>
        <w:t>Corte</w:t>
      </w:r>
      <w:r>
        <w:rPr>
          <w:spacing w:val="-8"/>
          <w:sz w:val="18"/>
          <w:szCs w:val="18"/>
          <w:lang w:val="es-ES_tradnl"/>
        </w:rPr>
        <w:t xml:space="preserve"> </w:t>
      </w:r>
      <w:r>
        <w:rPr>
          <w:spacing w:val="-8"/>
          <w:sz w:val="16"/>
          <w:szCs w:val="16"/>
          <w:lang w:val="es-ES_tradnl"/>
        </w:rPr>
        <w:t>Constitucional</w:t>
      </w:r>
      <w:r>
        <w:rPr>
          <w:spacing w:val="-8"/>
          <w:sz w:val="18"/>
          <w:szCs w:val="18"/>
          <w:lang w:val="es-ES_tradnl"/>
        </w:rPr>
        <w:t xml:space="preserve"> </w:t>
      </w:r>
      <w:r>
        <w:rPr>
          <w:spacing w:val="-8"/>
          <w:sz w:val="16"/>
          <w:szCs w:val="16"/>
          <w:lang w:val="es-ES_tradnl"/>
        </w:rPr>
        <w:t>del</w:t>
      </w:r>
      <w:r>
        <w:rPr>
          <w:spacing w:val="-8"/>
          <w:sz w:val="18"/>
          <w:szCs w:val="18"/>
          <w:lang w:val="es-ES_tradnl"/>
        </w:rPr>
        <w:t xml:space="preserve"> </w:t>
      </w:r>
      <w:r>
        <w:rPr>
          <w:spacing w:val="-8"/>
          <w:sz w:val="16"/>
          <w:szCs w:val="16"/>
          <w:lang w:val="es-ES_tradnl"/>
        </w:rPr>
        <w:t>Ecuador,</w:t>
      </w:r>
      <w:r>
        <w:rPr>
          <w:spacing w:val="-8"/>
          <w:sz w:val="18"/>
          <w:szCs w:val="18"/>
          <w:lang w:val="es-ES_tradnl"/>
        </w:rPr>
        <w:t xml:space="preserve"> </w:t>
      </w:r>
      <w:r>
        <w:rPr>
          <w:spacing w:val="-8"/>
          <w:sz w:val="16"/>
          <w:szCs w:val="16"/>
          <w:lang w:val="es-ES_tradnl"/>
        </w:rPr>
        <w:t>sentencia</w:t>
      </w:r>
      <w:r>
        <w:rPr>
          <w:spacing w:val="-8"/>
          <w:sz w:val="18"/>
          <w:szCs w:val="18"/>
          <w:lang w:val="es-ES_tradnl"/>
        </w:rPr>
        <w:t xml:space="preserve"> </w:t>
      </w:r>
      <w:r>
        <w:rPr>
          <w:spacing w:val="-8"/>
          <w:sz w:val="16"/>
          <w:szCs w:val="16"/>
          <w:lang w:val="es-ES_tradnl"/>
        </w:rPr>
        <w:t>N.</w:t>
      </w:r>
      <w:r>
        <w:rPr>
          <w:rFonts w:cs="Times New Roman"/>
          <w:spacing w:val="-8"/>
          <w:sz w:val="16"/>
          <w:szCs w:val="16"/>
          <w:lang w:val="es-ES_tradnl"/>
        </w:rPr>
        <w:t>°</w:t>
      </w:r>
      <w:r>
        <w:rPr>
          <w:spacing w:val="-8"/>
          <w:sz w:val="18"/>
          <w:szCs w:val="18"/>
          <w:lang w:val="es-ES_tradnl"/>
        </w:rPr>
        <w:t xml:space="preserve"> </w:t>
      </w:r>
      <w:r>
        <w:rPr>
          <w:spacing w:val="-8"/>
          <w:sz w:val="16"/>
          <w:szCs w:val="16"/>
          <w:lang w:val="es-ES_tradnl"/>
        </w:rPr>
        <w:t>041-13-SEP-CC, </w:t>
      </w:r>
      <w:r>
        <w:rPr>
          <w:sz w:val="16"/>
          <w:szCs w:val="16"/>
          <w:lang w:val="es-ES_tradnl"/>
        </w:rPr>
        <w:t>caso N.</w:t>
      </w:r>
      <w:r>
        <w:rPr>
          <w:rFonts w:cs="Times New Roman"/>
          <w:sz w:val="16"/>
          <w:szCs w:val="16"/>
          <w:lang w:val="es-ES_tradnl"/>
        </w:rPr>
        <w:t>°</w:t>
      </w:r>
      <w:r>
        <w:rPr>
          <w:sz w:val="16"/>
          <w:szCs w:val="16"/>
          <w:lang w:val="es-ES_tradnl"/>
        </w:rPr>
        <w:t xml:space="preserve"> 0470-12-EP</w:t>
      </w:r>
    </w:p>
    <w:p w14:paraId="4F67AB57" w14:textId="77777777" w:rsidR="00591D54" w:rsidRDefault="00591D54">
      <w:pPr>
        <w:shd w:val="clear" w:color="auto" w:fill="FFFFFF"/>
        <w:tabs>
          <w:tab w:val="left" w:pos="144"/>
        </w:tabs>
        <w:spacing w:before="149" w:line="178" w:lineRule="exact"/>
        <w:ind w:left="144" w:hanging="144"/>
        <w:sectPr w:rsidR="00591D54">
          <w:type w:val="continuous"/>
          <w:pgSz w:w="11909" w:h="16834"/>
          <w:pgMar w:top="1359" w:right="1309" w:bottom="360" w:left="1308" w:header="720" w:footer="720" w:gutter="0"/>
          <w:cols w:num="2" w:space="720" w:equalWidth="0">
            <w:col w:w="4305" w:space="682"/>
            <w:col w:w="4305"/>
          </w:cols>
          <w:noEndnote/>
        </w:sectPr>
      </w:pPr>
    </w:p>
    <w:p w14:paraId="4F67AB58" w14:textId="77777777" w:rsidR="00591D54" w:rsidRDefault="00591D54">
      <w:pPr>
        <w:shd w:val="clear" w:color="auto" w:fill="FFFFFF"/>
        <w:tabs>
          <w:tab w:val="left" w:pos="595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- 95</w:t>
      </w:r>
    </w:p>
    <w:p w14:paraId="4F67AB59" w14:textId="77777777" w:rsidR="00591D54" w:rsidRDefault="00591D54">
      <w:pPr>
        <w:shd w:val="clear" w:color="auto" w:fill="FFFFFF"/>
        <w:tabs>
          <w:tab w:val="left" w:pos="5952"/>
        </w:tabs>
        <w:spacing w:after="235"/>
        <w:ind w:left="5"/>
        <w:sectPr w:rsidR="00591D54">
          <w:pgSz w:w="11909" w:h="16834"/>
          <w:pgMar w:top="1356" w:right="1309" w:bottom="360" w:left="1308" w:header="720" w:footer="720" w:gutter="0"/>
          <w:cols w:space="60"/>
          <w:noEndnote/>
        </w:sectPr>
      </w:pPr>
    </w:p>
    <w:p w14:paraId="4F67AB5A" w14:textId="77777777" w:rsidR="00591D54" w:rsidRDefault="00591D54">
      <w:pPr>
        <w:shd w:val="clear" w:color="auto" w:fill="FFFFFF"/>
        <w:spacing w:line="211" w:lineRule="exact"/>
        <w:jc w:val="both"/>
      </w:pPr>
      <w:r>
        <w:rPr>
          <w:spacing w:val="-12"/>
          <w:sz w:val="18"/>
          <w:szCs w:val="18"/>
          <w:lang w:val="es-ES_tradnl"/>
        </w:rPr>
        <w:t>tambi</w:t>
      </w:r>
      <w:r>
        <w:rPr>
          <w:rFonts w:cs="Times New Roman"/>
          <w:spacing w:val="-12"/>
          <w:sz w:val="18"/>
          <w:szCs w:val="18"/>
          <w:lang w:val="es-ES_tradnl"/>
        </w:rPr>
        <w:t>é</w:t>
      </w:r>
      <w:r>
        <w:rPr>
          <w:spacing w:val="-12"/>
          <w:sz w:val="18"/>
          <w:szCs w:val="18"/>
          <w:lang w:val="es-ES_tradnl"/>
        </w:rPr>
        <w:t>n un derecho de prestaci</w:t>
      </w:r>
      <w:r>
        <w:rPr>
          <w:rFonts w:cs="Times New Roman"/>
          <w:spacing w:val="-12"/>
          <w:sz w:val="18"/>
          <w:szCs w:val="18"/>
          <w:lang w:val="es-ES_tradnl"/>
        </w:rPr>
        <w:t>ó</w:t>
      </w:r>
      <w:r>
        <w:rPr>
          <w:spacing w:val="-12"/>
          <w:sz w:val="18"/>
          <w:szCs w:val="18"/>
          <w:lang w:val="es-ES_tradnl"/>
        </w:rPr>
        <w:t>n, dado que a trav</w:t>
      </w:r>
      <w:r>
        <w:rPr>
          <w:rFonts w:cs="Times New Roman"/>
          <w:spacing w:val="-12"/>
          <w:sz w:val="18"/>
          <w:szCs w:val="18"/>
          <w:lang w:val="es-ES_tradnl"/>
        </w:rPr>
        <w:t>é</w:t>
      </w:r>
      <w:r>
        <w:rPr>
          <w:spacing w:val="-12"/>
          <w:sz w:val="18"/>
          <w:szCs w:val="18"/>
          <w:lang w:val="es-ES_tradnl"/>
        </w:rPr>
        <w:t xml:space="preserve">s de </w:t>
      </w:r>
      <w:r>
        <w:rPr>
          <w:rFonts w:cs="Times New Roman"/>
          <w:spacing w:val="-12"/>
          <w:sz w:val="18"/>
          <w:szCs w:val="18"/>
          <w:lang w:val="es-ES_tradnl"/>
        </w:rPr>
        <w:t>é</w:t>
      </w:r>
      <w:r>
        <w:rPr>
          <w:spacing w:val="-12"/>
          <w:sz w:val="18"/>
          <w:szCs w:val="18"/>
          <w:lang w:val="es-ES_tradnl"/>
        </w:rPr>
        <w:t xml:space="preserve">l se </w:t>
      </w:r>
      <w:r>
        <w:rPr>
          <w:spacing w:val="-11"/>
          <w:sz w:val="18"/>
          <w:szCs w:val="18"/>
          <w:lang w:val="es-ES_tradnl"/>
        </w:rPr>
        <w:t xml:space="preserve">pueden obtener beneficios por parte del Estado, bien porque </w:t>
      </w:r>
      <w:r>
        <w:rPr>
          <w:spacing w:val="-7"/>
          <w:sz w:val="18"/>
          <w:szCs w:val="18"/>
          <w:lang w:val="es-ES_tradnl"/>
        </w:rPr>
        <w:t>impone la actuaci</w:t>
      </w:r>
      <w:r>
        <w:rPr>
          <w:rFonts w:cs="Times New Roman"/>
          <w:spacing w:val="-7"/>
          <w:sz w:val="18"/>
          <w:szCs w:val="18"/>
          <w:lang w:val="es-ES_tradnl"/>
        </w:rPr>
        <w:t>ó</w:t>
      </w:r>
      <w:r>
        <w:rPr>
          <w:spacing w:val="-7"/>
          <w:sz w:val="18"/>
          <w:szCs w:val="18"/>
          <w:lang w:val="es-ES_tradnl"/>
        </w:rPr>
        <w:t>n de la jurisdicci</w:t>
      </w:r>
      <w:r>
        <w:rPr>
          <w:rFonts w:cs="Times New Roman"/>
          <w:spacing w:val="-7"/>
          <w:sz w:val="18"/>
          <w:szCs w:val="18"/>
          <w:lang w:val="es-ES_tradnl"/>
        </w:rPr>
        <w:t>ó</w:t>
      </w:r>
      <w:r>
        <w:rPr>
          <w:spacing w:val="-7"/>
          <w:sz w:val="18"/>
          <w:szCs w:val="18"/>
          <w:lang w:val="es-ES_tradnl"/>
        </w:rPr>
        <w:t xml:space="preserve">n en el caso concreto, </w:t>
      </w:r>
      <w:r>
        <w:rPr>
          <w:spacing w:val="-8"/>
          <w:sz w:val="18"/>
          <w:szCs w:val="18"/>
          <w:lang w:val="es-ES_tradnl"/>
        </w:rPr>
        <w:t xml:space="preserve">o bien porque exige que el Estado genere los instrumentos </w:t>
      </w:r>
      <w:r>
        <w:rPr>
          <w:spacing w:val="-9"/>
          <w:sz w:val="18"/>
          <w:szCs w:val="18"/>
          <w:lang w:val="es-ES_tradnl"/>
        </w:rPr>
        <w:t xml:space="preserve">necesarios para que este derecho constitucional se pueda </w:t>
      </w:r>
      <w:r>
        <w:rPr>
          <w:spacing w:val="-8"/>
          <w:sz w:val="18"/>
          <w:szCs w:val="18"/>
          <w:lang w:val="es-ES_tradnl"/>
        </w:rPr>
        <w:t>ejercer, de modo que ser</w:t>
      </w:r>
      <w:r>
        <w:rPr>
          <w:rFonts w:cs="Times New Roman"/>
          <w:spacing w:val="-8"/>
          <w:sz w:val="18"/>
          <w:szCs w:val="18"/>
          <w:lang w:val="es-ES_tradnl"/>
        </w:rPr>
        <w:t>á</w:t>
      </w:r>
      <w:r>
        <w:rPr>
          <w:spacing w:val="-8"/>
          <w:sz w:val="18"/>
          <w:szCs w:val="18"/>
          <w:lang w:val="es-ES_tradnl"/>
        </w:rPr>
        <w:t xml:space="preserve"> responsabilidad de aquel los </w:t>
      </w:r>
      <w:r>
        <w:rPr>
          <w:spacing w:val="-7"/>
          <w:sz w:val="18"/>
          <w:szCs w:val="18"/>
          <w:lang w:val="es-ES_tradnl"/>
        </w:rPr>
        <w:t xml:space="preserve">defectos y anormalidades en las prestaciones que se le </w:t>
      </w:r>
      <w:r>
        <w:rPr>
          <w:sz w:val="18"/>
          <w:szCs w:val="18"/>
          <w:lang w:val="es-ES_tradnl"/>
        </w:rPr>
        <w:t xml:space="preserve">exijan. </w:t>
      </w:r>
      <w:r>
        <w:rPr>
          <w:sz w:val="18"/>
          <w:szCs w:val="18"/>
          <w:vertAlign w:val="superscript"/>
          <w:lang w:val="es-ES_tradnl"/>
        </w:rPr>
        <w:t>5</w:t>
      </w:r>
      <w:r>
        <w:rPr>
          <w:sz w:val="18"/>
          <w:szCs w:val="18"/>
          <w:lang w:val="es-ES_tradnl"/>
        </w:rPr>
        <w:t>.</w:t>
      </w:r>
    </w:p>
    <w:p w14:paraId="4F67AB5B" w14:textId="77777777" w:rsidR="00591D54" w:rsidRDefault="00591D54">
      <w:pPr>
        <w:shd w:val="clear" w:color="auto" w:fill="FFFFFF"/>
        <w:spacing w:before="192" w:line="216" w:lineRule="exact"/>
        <w:jc w:val="both"/>
      </w:pPr>
      <w:r>
        <w:rPr>
          <w:spacing w:val="-7"/>
          <w:sz w:val="18"/>
          <w:szCs w:val="18"/>
          <w:lang w:val="es-ES_tradnl"/>
        </w:rPr>
        <w:t xml:space="preserve">En el caso </w:t>
      </w:r>
      <w:r>
        <w:rPr>
          <w:i/>
          <w:iCs/>
          <w:spacing w:val="-7"/>
          <w:sz w:val="18"/>
          <w:szCs w:val="18"/>
          <w:lang w:val="es-ES_tradnl"/>
        </w:rPr>
        <w:t>sub j</w:t>
      </w:r>
      <w:r>
        <w:rPr>
          <w:rFonts w:cs="Times New Roman"/>
          <w:i/>
          <w:iCs/>
          <w:spacing w:val="-7"/>
          <w:sz w:val="18"/>
          <w:szCs w:val="18"/>
          <w:lang w:val="es-ES_tradnl"/>
        </w:rPr>
        <w:t>ú</w:t>
      </w:r>
      <w:r>
        <w:rPr>
          <w:i/>
          <w:iCs/>
          <w:spacing w:val="-7"/>
          <w:sz w:val="18"/>
          <w:szCs w:val="18"/>
          <w:lang w:val="es-ES_tradnl"/>
        </w:rPr>
        <w:t>dice</w:t>
      </w:r>
      <w:r>
        <w:rPr>
          <w:spacing w:val="-7"/>
          <w:sz w:val="18"/>
          <w:szCs w:val="18"/>
          <w:lang w:val="es-ES_tradnl"/>
        </w:rPr>
        <w:t xml:space="preserve">, la Sala </w:t>
      </w:r>
      <w:r>
        <w:rPr>
          <w:rFonts w:cs="Times New Roman"/>
          <w:spacing w:val="-7"/>
          <w:sz w:val="18"/>
          <w:szCs w:val="18"/>
          <w:lang w:val="es-ES_tradnl"/>
        </w:rPr>
        <w:t>Ú</w:t>
      </w:r>
      <w:r>
        <w:rPr>
          <w:spacing w:val="-7"/>
          <w:sz w:val="18"/>
          <w:szCs w:val="18"/>
          <w:lang w:val="es-ES_tradnl"/>
        </w:rPr>
        <w:t xml:space="preserve">nica de la Corte Provincial </w:t>
      </w:r>
      <w:r>
        <w:rPr>
          <w:spacing w:val="-5"/>
          <w:sz w:val="18"/>
          <w:szCs w:val="18"/>
          <w:lang w:val="es-ES_tradnl"/>
        </w:rPr>
        <w:t>de Justicia de Santo Domingo de los Ts</w:t>
      </w:r>
      <w:r>
        <w:rPr>
          <w:rFonts w:cs="Times New Roman"/>
          <w:spacing w:val="-5"/>
          <w:sz w:val="18"/>
          <w:szCs w:val="18"/>
          <w:lang w:val="es-ES_tradnl"/>
        </w:rPr>
        <w:t>á</w:t>
      </w:r>
      <w:r>
        <w:rPr>
          <w:spacing w:val="-5"/>
          <w:sz w:val="18"/>
          <w:szCs w:val="18"/>
          <w:lang w:val="es-ES_tradnl"/>
        </w:rPr>
        <w:t>chilas inadmiti</w:t>
      </w:r>
      <w:r>
        <w:rPr>
          <w:rFonts w:cs="Times New Roman"/>
          <w:spacing w:val="-5"/>
          <w:sz w:val="18"/>
          <w:szCs w:val="18"/>
          <w:lang w:val="es-ES_tradnl"/>
        </w:rPr>
        <w:t xml:space="preserve">ó </w:t>
      </w:r>
      <w:r>
        <w:rPr>
          <w:spacing w:val="-4"/>
          <w:sz w:val="18"/>
          <w:szCs w:val="18"/>
          <w:lang w:val="es-ES_tradnl"/>
        </w:rPr>
        <w:t>el recurso de casaci</w:t>
      </w:r>
      <w:r>
        <w:rPr>
          <w:rFonts w:cs="Times New Roman"/>
          <w:spacing w:val="-4"/>
          <w:sz w:val="18"/>
          <w:szCs w:val="18"/>
          <w:lang w:val="es-ES_tradnl"/>
        </w:rPr>
        <w:t>ó</w:t>
      </w:r>
      <w:r>
        <w:rPr>
          <w:spacing w:val="-4"/>
          <w:sz w:val="18"/>
          <w:szCs w:val="18"/>
          <w:lang w:val="es-ES_tradnl"/>
        </w:rPr>
        <w:t>n interpuesto por el se</w:t>
      </w:r>
      <w:r>
        <w:rPr>
          <w:rFonts w:cs="Times New Roman"/>
          <w:spacing w:val="-4"/>
          <w:sz w:val="18"/>
          <w:szCs w:val="18"/>
          <w:lang w:val="es-ES_tradnl"/>
        </w:rPr>
        <w:t>ñ</w:t>
      </w:r>
      <w:r>
        <w:rPr>
          <w:spacing w:val="-4"/>
          <w:sz w:val="18"/>
          <w:szCs w:val="18"/>
          <w:lang w:val="es-ES_tradnl"/>
        </w:rPr>
        <w:t xml:space="preserve">or Henry </w:t>
      </w:r>
      <w:r>
        <w:rPr>
          <w:spacing w:val="-7"/>
          <w:sz w:val="18"/>
          <w:szCs w:val="18"/>
          <w:lang w:val="es-ES_tradnl"/>
        </w:rPr>
        <w:t>An</w:t>
      </w:r>
      <w:r>
        <w:rPr>
          <w:rFonts w:cs="Times New Roman"/>
          <w:spacing w:val="-7"/>
          <w:sz w:val="18"/>
          <w:szCs w:val="18"/>
          <w:lang w:val="es-ES_tradnl"/>
        </w:rPr>
        <w:t>í</w:t>
      </w:r>
      <w:r>
        <w:rPr>
          <w:spacing w:val="-7"/>
          <w:sz w:val="18"/>
          <w:szCs w:val="18"/>
          <w:lang w:val="es-ES_tradnl"/>
        </w:rPr>
        <w:t xml:space="preserve">bal Ayala Espinoza, en calidad de gerente general y </w:t>
      </w:r>
      <w:r>
        <w:rPr>
          <w:spacing w:val="-5"/>
          <w:sz w:val="18"/>
          <w:szCs w:val="18"/>
          <w:lang w:val="es-ES_tradnl"/>
        </w:rPr>
        <w:t>representante legal de la compa</w:t>
      </w:r>
      <w:r>
        <w:rPr>
          <w:rFonts w:cs="Times New Roman"/>
          <w:spacing w:val="-5"/>
          <w:sz w:val="18"/>
          <w:szCs w:val="18"/>
          <w:lang w:val="es-ES_tradnl"/>
        </w:rPr>
        <w:t>ñí</w:t>
      </w:r>
      <w:r>
        <w:rPr>
          <w:spacing w:val="-5"/>
          <w:sz w:val="18"/>
          <w:szCs w:val="18"/>
          <w:lang w:val="es-ES_tradnl"/>
        </w:rPr>
        <w:t xml:space="preserve">a Denegsa S. A. por </w:t>
      </w:r>
      <w:r>
        <w:rPr>
          <w:spacing w:val="-11"/>
          <w:sz w:val="18"/>
          <w:szCs w:val="18"/>
          <w:lang w:val="es-ES_tradnl"/>
        </w:rPr>
        <w:t>medio de escrito presentado por su abogado patrocinador, al considerar en su examen de calificaci</w:t>
      </w:r>
      <w:r>
        <w:rPr>
          <w:rFonts w:cs="Times New Roman"/>
          <w:spacing w:val="-11"/>
          <w:sz w:val="18"/>
          <w:szCs w:val="18"/>
          <w:lang w:val="es-ES_tradnl"/>
        </w:rPr>
        <w:t>ó</w:t>
      </w:r>
      <w:r>
        <w:rPr>
          <w:spacing w:val="-11"/>
          <w:sz w:val="18"/>
          <w:szCs w:val="18"/>
          <w:lang w:val="es-ES_tradnl"/>
        </w:rPr>
        <w:t xml:space="preserve">n que no concurrieron </w:t>
      </w:r>
      <w:r>
        <w:rPr>
          <w:spacing w:val="-6"/>
          <w:sz w:val="18"/>
          <w:szCs w:val="18"/>
          <w:lang w:val="es-ES_tradnl"/>
        </w:rPr>
        <w:t>las circunstancias previstas en el art</w:t>
      </w:r>
      <w:r>
        <w:rPr>
          <w:rFonts w:cs="Times New Roman"/>
          <w:spacing w:val="-6"/>
          <w:sz w:val="18"/>
          <w:szCs w:val="18"/>
          <w:lang w:val="es-ES_tradnl"/>
        </w:rPr>
        <w:t>í</w:t>
      </w:r>
      <w:r>
        <w:rPr>
          <w:spacing w:val="-6"/>
          <w:sz w:val="18"/>
          <w:szCs w:val="18"/>
          <w:lang w:val="es-ES_tradnl"/>
        </w:rPr>
        <w:t xml:space="preserve">culo 7 de la Ley de </w:t>
      </w:r>
      <w:r>
        <w:rPr>
          <w:spacing w:val="-7"/>
          <w:sz w:val="18"/>
          <w:szCs w:val="18"/>
          <w:lang w:val="es-ES_tradnl"/>
        </w:rPr>
        <w:t>Casaci</w:t>
      </w:r>
      <w:r>
        <w:rPr>
          <w:rFonts w:cs="Times New Roman"/>
          <w:spacing w:val="-7"/>
          <w:sz w:val="18"/>
          <w:szCs w:val="18"/>
          <w:lang w:val="es-ES_tradnl"/>
        </w:rPr>
        <w:t>ó</w:t>
      </w:r>
      <w:r>
        <w:rPr>
          <w:spacing w:val="-7"/>
          <w:sz w:val="18"/>
          <w:szCs w:val="18"/>
          <w:lang w:val="es-ES_tradnl"/>
        </w:rPr>
        <w:t xml:space="preserve">n para que este se pudiese admitir, por cuanto el </w:t>
      </w:r>
      <w:r>
        <w:rPr>
          <w:spacing w:val="-8"/>
          <w:sz w:val="18"/>
          <w:szCs w:val="18"/>
          <w:lang w:val="es-ES_tradnl"/>
        </w:rPr>
        <w:t>abogado V</w:t>
      </w:r>
      <w:r>
        <w:rPr>
          <w:rFonts w:cs="Times New Roman"/>
          <w:spacing w:val="-8"/>
          <w:sz w:val="18"/>
          <w:szCs w:val="18"/>
          <w:lang w:val="es-ES_tradnl"/>
        </w:rPr>
        <w:t>í</w:t>
      </w:r>
      <w:r>
        <w:rPr>
          <w:spacing w:val="-8"/>
          <w:sz w:val="18"/>
          <w:szCs w:val="18"/>
          <w:lang w:val="es-ES_tradnl"/>
        </w:rPr>
        <w:t xml:space="preserve">ctor Valencia Espinoza interpuso dicho recurso </w:t>
      </w:r>
      <w:r>
        <w:rPr>
          <w:spacing w:val="-7"/>
          <w:sz w:val="18"/>
          <w:szCs w:val="18"/>
          <w:lang w:val="es-ES_tradnl"/>
        </w:rPr>
        <w:t>de casaci</w:t>
      </w:r>
      <w:r>
        <w:rPr>
          <w:rFonts w:cs="Times New Roman"/>
          <w:spacing w:val="-7"/>
          <w:sz w:val="18"/>
          <w:szCs w:val="18"/>
          <w:lang w:val="es-ES_tradnl"/>
        </w:rPr>
        <w:t>ó</w:t>
      </w:r>
      <w:r>
        <w:rPr>
          <w:spacing w:val="-7"/>
          <w:sz w:val="18"/>
          <w:szCs w:val="18"/>
          <w:lang w:val="es-ES_tradnl"/>
        </w:rPr>
        <w:t>n sin la autorizaci</w:t>
      </w:r>
      <w:r>
        <w:rPr>
          <w:rFonts w:cs="Times New Roman"/>
          <w:spacing w:val="-7"/>
          <w:sz w:val="18"/>
          <w:szCs w:val="18"/>
          <w:lang w:val="es-ES_tradnl"/>
        </w:rPr>
        <w:t>ó</w:t>
      </w:r>
      <w:r>
        <w:rPr>
          <w:spacing w:val="-7"/>
          <w:sz w:val="18"/>
          <w:szCs w:val="18"/>
          <w:lang w:val="es-ES_tradnl"/>
        </w:rPr>
        <w:t>n conferida por aquel.</w:t>
      </w:r>
    </w:p>
    <w:p w14:paraId="4F67AB5C" w14:textId="77777777" w:rsidR="00591D54" w:rsidRDefault="00591D54">
      <w:pPr>
        <w:shd w:val="clear" w:color="auto" w:fill="FFFFFF"/>
        <w:spacing w:before="197" w:line="216" w:lineRule="exact"/>
        <w:jc w:val="both"/>
      </w:pPr>
      <w:r>
        <w:rPr>
          <w:spacing w:val="-4"/>
          <w:sz w:val="18"/>
          <w:szCs w:val="18"/>
          <w:lang w:val="es-ES_tradnl"/>
        </w:rPr>
        <w:t xml:space="preserve">Al respecto, la Corte Constitucional considera que para </w:t>
      </w:r>
      <w:r>
        <w:rPr>
          <w:spacing w:val="-5"/>
          <w:sz w:val="18"/>
          <w:szCs w:val="18"/>
          <w:lang w:val="es-ES_tradnl"/>
        </w:rPr>
        <w:t xml:space="preserve">dar estricto cumplimiento al derecho constitucional a la </w:t>
      </w:r>
      <w:r>
        <w:rPr>
          <w:spacing w:val="-7"/>
          <w:sz w:val="18"/>
          <w:szCs w:val="18"/>
          <w:lang w:val="es-ES_tradnl"/>
        </w:rPr>
        <w:t xml:space="preserve">tutela judicial efectiva, se tiene que analizar si el legitimado </w:t>
      </w:r>
      <w:r>
        <w:rPr>
          <w:spacing w:val="-9"/>
          <w:sz w:val="18"/>
          <w:szCs w:val="18"/>
          <w:lang w:val="es-ES_tradnl"/>
        </w:rPr>
        <w:t>activo tuvo derecho a obtener una resoluci</w:t>
      </w:r>
      <w:r>
        <w:rPr>
          <w:rFonts w:cs="Times New Roman"/>
          <w:spacing w:val="-9"/>
          <w:sz w:val="18"/>
          <w:szCs w:val="18"/>
          <w:lang w:val="es-ES_tradnl"/>
        </w:rPr>
        <w:t>ó</w:t>
      </w:r>
      <w:r>
        <w:rPr>
          <w:spacing w:val="-9"/>
          <w:sz w:val="18"/>
          <w:szCs w:val="18"/>
          <w:lang w:val="es-ES_tradnl"/>
        </w:rPr>
        <w:t xml:space="preserve">n sobre el fondo del asunto planteado oportunamente ante el </w:t>
      </w:r>
      <w:r>
        <w:rPr>
          <w:rFonts w:cs="Times New Roman"/>
          <w:spacing w:val="-9"/>
          <w:sz w:val="18"/>
          <w:szCs w:val="18"/>
          <w:lang w:val="es-ES_tradnl"/>
        </w:rPr>
        <w:t>ó</w:t>
      </w:r>
      <w:r>
        <w:rPr>
          <w:spacing w:val="-9"/>
          <w:sz w:val="18"/>
          <w:szCs w:val="18"/>
          <w:lang w:val="es-ES_tradnl"/>
        </w:rPr>
        <w:t xml:space="preserve">rgano judicial, </w:t>
      </w:r>
      <w:r>
        <w:rPr>
          <w:spacing w:val="-7"/>
          <w:sz w:val="18"/>
          <w:szCs w:val="18"/>
          <w:lang w:val="es-ES_tradnl"/>
        </w:rPr>
        <w:t>que le haya permitido , en este caso espec</w:t>
      </w:r>
      <w:r>
        <w:rPr>
          <w:rFonts w:cs="Times New Roman"/>
          <w:spacing w:val="-7"/>
          <w:sz w:val="18"/>
          <w:szCs w:val="18"/>
          <w:lang w:val="es-ES_tradnl"/>
        </w:rPr>
        <w:t>í</w:t>
      </w:r>
      <w:r>
        <w:rPr>
          <w:spacing w:val="-7"/>
          <w:sz w:val="18"/>
          <w:szCs w:val="18"/>
          <w:lang w:val="es-ES_tradnl"/>
        </w:rPr>
        <w:t xml:space="preserve">fico, a la Corte </w:t>
      </w:r>
      <w:r>
        <w:rPr>
          <w:spacing w:val="-9"/>
          <w:sz w:val="18"/>
          <w:szCs w:val="18"/>
          <w:lang w:val="es-ES_tradnl"/>
        </w:rPr>
        <w:t>Nacional de Justicia, con el objetivo de lograr, por su inter</w:t>
      </w:r>
      <w:r>
        <w:rPr>
          <w:rFonts w:cs="Times New Roman"/>
          <w:spacing w:val="-9"/>
          <w:sz w:val="18"/>
          <w:szCs w:val="18"/>
          <w:lang w:val="es-ES_tradnl"/>
        </w:rPr>
        <w:t>é</w:t>
      </w:r>
      <w:r>
        <w:rPr>
          <w:spacing w:val="-9"/>
          <w:sz w:val="18"/>
          <w:szCs w:val="18"/>
          <w:lang w:val="es-ES_tradnl"/>
        </w:rPr>
        <w:t xml:space="preserve">s </w:t>
      </w:r>
      <w:r>
        <w:rPr>
          <w:spacing w:val="-5"/>
          <w:sz w:val="18"/>
          <w:szCs w:val="18"/>
          <w:lang w:val="es-ES_tradnl"/>
        </w:rPr>
        <w:t>leg</w:t>
      </w:r>
      <w:r>
        <w:rPr>
          <w:rFonts w:cs="Times New Roman"/>
          <w:spacing w:val="-5"/>
          <w:sz w:val="18"/>
          <w:szCs w:val="18"/>
          <w:lang w:val="es-ES_tradnl"/>
        </w:rPr>
        <w:t>í</w:t>
      </w:r>
      <w:r>
        <w:rPr>
          <w:spacing w:val="-5"/>
          <w:sz w:val="18"/>
          <w:szCs w:val="18"/>
          <w:lang w:val="es-ES_tradnl"/>
        </w:rPr>
        <w:t xml:space="preserve">timo, un control judicial suficiente sobre lo actuado o, </w:t>
      </w:r>
      <w:r>
        <w:rPr>
          <w:spacing w:val="-7"/>
          <w:sz w:val="18"/>
          <w:szCs w:val="18"/>
          <w:lang w:val="es-ES_tradnl"/>
        </w:rPr>
        <w:t>si por el contrario, encontr</w:t>
      </w:r>
      <w:r>
        <w:rPr>
          <w:rFonts w:cs="Times New Roman"/>
          <w:spacing w:val="-7"/>
          <w:sz w:val="18"/>
          <w:szCs w:val="18"/>
          <w:lang w:val="es-ES_tradnl"/>
        </w:rPr>
        <w:t>ó</w:t>
      </w:r>
      <w:r>
        <w:rPr>
          <w:spacing w:val="-7"/>
          <w:sz w:val="18"/>
          <w:szCs w:val="18"/>
          <w:lang w:val="es-ES_tradnl"/>
        </w:rPr>
        <w:t xml:space="preserve"> trabas o limitaciones por parte </w:t>
      </w:r>
      <w:r>
        <w:rPr>
          <w:spacing w:val="-8"/>
          <w:sz w:val="18"/>
          <w:szCs w:val="18"/>
          <w:lang w:val="es-ES_tradnl"/>
        </w:rPr>
        <w:t xml:space="preserve">de la Sala </w:t>
      </w:r>
      <w:r>
        <w:rPr>
          <w:rFonts w:cs="Times New Roman"/>
          <w:spacing w:val="-8"/>
          <w:sz w:val="18"/>
          <w:szCs w:val="18"/>
          <w:lang w:val="es-ES_tradnl"/>
        </w:rPr>
        <w:t>Ú</w:t>
      </w:r>
      <w:r>
        <w:rPr>
          <w:spacing w:val="-8"/>
          <w:sz w:val="18"/>
          <w:szCs w:val="18"/>
          <w:lang w:val="es-ES_tradnl"/>
        </w:rPr>
        <w:t>nica de la Corte Provincial de Justicia de Santo Domingo de los Ts</w:t>
      </w:r>
      <w:r>
        <w:rPr>
          <w:rFonts w:cs="Times New Roman"/>
          <w:spacing w:val="-8"/>
          <w:sz w:val="18"/>
          <w:szCs w:val="18"/>
          <w:lang w:val="es-ES_tradnl"/>
        </w:rPr>
        <w:t>á</w:t>
      </w:r>
      <w:r>
        <w:rPr>
          <w:spacing w:val="-8"/>
          <w:sz w:val="18"/>
          <w:szCs w:val="18"/>
          <w:lang w:val="es-ES_tradnl"/>
        </w:rPr>
        <w:t>chilas, que impidieron su posibilidad de acceder razonable y suficientemente a la justicia, garant</w:t>
      </w:r>
      <w:r>
        <w:rPr>
          <w:rFonts w:cs="Times New Roman"/>
          <w:spacing w:val="-8"/>
          <w:sz w:val="18"/>
          <w:szCs w:val="18"/>
          <w:lang w:val="es-ES_tradnl"/>
        </w:rPr>
        <w:t>í</w:t>
      </w:r>
      <w:r>
        <w:rPr>
          <w:spacing w:val="-8"/>
          <w:sz w:val="18"/>
          <w:szCs w:val="18"/>
          <w:lang w:val="es-ES_tradnl"/>
        </w:rPr>
        <w:t xml:space="preserve">a </w:t>
      </w:r>
      <w:r>
        <w:rPr>
          <w:spacing w:val="-7"/>
          <w:sz w:val="18"/>
          <w:szCs w:val="18"/>
          <w:lang w:val="es-ES_tradnl"/>
        </w:rPr>
        <w:t xml:space="preserve">del derecho constitucional que se enjuicia en el presente </w:t>
      </w:r>
      <w:r>
        <w:rPr>
          <w:sz w:val="18"/>
          <w:szCs w:val="18"/>
          <w:lang w:val="es-ES_tradnl"/>
        </w:rPr>
        <w:t>problema jur</w:t>
      </w:r>
      <w:r>
        <w:rPr>
          <w:rFonts w:cs="Times New Roman"/>
          <w:sz w:val="18"/>
          <w:szCs w:val="18"/>
          <w:lang w:val="es-ES_tradnl"/>
        </w:rPr>
        <w:t>í</w:t>
      </w:r>
      <w:r>
        <w:rPr>
          <w:sz w:val="18"/>
          <w:szCs w:val="18"/>
          <w:lang w:val="es-ES_tradnl"/>
        </w:rPr>
        <w:t>dico.</w:t>
      </w:r>
    </w:p>
    <w:p w14:paraId="4F67AB5D" w14:textId="77777777" w:rsidR="00591D54" w:rsidRDefault="00591D54">
      <w:pPr>
        <w:shd w:val="clear" w:color="auto" w:fill="FFFFFF"/>
        <w:spacing w:before="192" w:line="216" w:lineRule="exact"/>
        <w:jc w:val="both"/>
      </w:pPr>
      <w:r>
        <w:rPr>
          <w:spacing w:val="-6"/>
          <w:sz w:val="18"/>
          <w:szCs w:val="18"/>
          <w:lang w:val="es-ES_tradnl"/>
        </w:rPr>
        <w:t xml:space="preserve">Por la importancia que para el derecho a la tutela judicial </w:t>
      </w:r>
      <w:r>
        <w:rPr>
          <w:spacing w:val="-11"/>
          <w:sz w:val="18"/>
          <w:szCs w:val="18"/>
          <w:lang w:val="es-ES_tradnl"/>
        </w:rPr>
        <w:t xml:space="preserve">efectiva tienen las decisiones judiciales en virtud de las cuales </w:t>
      </w:r>
      <w:r>
        <w:rPr>
          <w:spacing w:val="-7"/>
          <w:sz w:val="18"/>
          <w:szCs w:val="18"/>
          <w:lang w:val="es-ES_tradnl"/>
        </w:rPr>
        <w:t xml:space="preserve">se priva el acceso a la justicia, su control constitucional se </w:t>
      </w:r>
      <w:r>
        <w:rPr>
          <w:spacing w:val="-10"/>
          <w:sz w:val="18"/>
          <w:szCs w:val="18"/>
          <w:lang w:val="es-ES_tradnl"/>
        </w:rPr>
        <w:t>deber</w:t>
      </w:r>
      <w:r>
        <w:rPr>
          <w:rFonts w:cs="Times New Roman"/>
          <w:spacing w:val="-10"/>
          <w:sz w:val="18"/>
          <w:szCs w:val="18"/>
          <w:lang w:val="es-ES_tradnl"/>
        </w:rPr>
        <w:t>á</w:t>
      </w:r>
      <w:r>
        <w:rPr>
          <w:spacing w:val="-10"/>
          <w:sz w:val="18"/>
          <w:szCs w:val="18"/>
          <w:lang w:val="es-ES_tradnl"/>
        </w:rPr>
        <w:t xml:space="preserve"> verificar de manera particularmente intensa, a trav</w:t>
      </w:r>
      <w:r>
        <w:rPr>
          <w:rFonts w:cs="Times New Roman"/>
          <w:spacing w:val="-10"/>
          <w:sz w:val="18"/>
          <w:szCs w:val="18"/>
          <w:lang w:val="es-ES_tradnl"/>
        </w:rPr>
        <w:t>é</w:t>
      </w:r>
      <w:r>
        <w:rPr>
          <w:spacing w:val="-10"/>
          <w:sz w:val="18"/>
          <w:szCs w:val="18"/>
          <w:lang w:val="es-ES_tradnl"/>
        </w:rPr>
        <w:t xml:space="preserve">s </w:t>
      </w:r>
      <w:r>
        <w:rPr>
          <w:spacing w:val="-8"/>
          <w:sz w:val="18"/>
          <w:szCs w:val="18"/>
          <w:lang w:val="es-ES_tradnl"/>
        </w:rPr>
        <w:t>de la aplicaci</w:t>
      </w:r>
      <w:r>
        <w:rPr>
          <w:rFonts w:cs="Times New Roman"/>
          <w:spacing w:val="-8"/>
          <w:sz w:val="18"/>
          <w:szCs w:val="18"/>
          <w:lang w:val="es-ES_tradnl"/>
        </w:rPr>
        <w:t>ó</w:t>
      </w:r>
      <w:r>
        <w:rPr>
          <w:spacing w:val="-8"/>
          <w:sz w:val="18"/>
          <w:szCs w:val="18"/>
          <w:lang w:val="es-ES_tradnl"/>
        </w:rPr>
        <w:t xml:space="preserve">n del </w:t>
      </w:r>
      <w:r>
        <w:rPr>
          <w:rFonts w:cs="Times New Roman"/>
          <w:spacing w:val="-8"/>
          <w:sz w:val="18"/>
          <w:szCs w:val="18"/>
          <w:lang w:val="es-ES_tradnl"/>
        </w:rPr>
        <w:t>“</w:t>
      </w:r>
      <w:r>
        <w:rPr>
          <w:spacing w:val="-8"/>
          <w:sz w:val="18"/>
          <w:szCs w:val="18"/>
          <w:lang w:val="es-ES_tradnl"/>
        </w:rPr>
        <w:t>principio m</w:t>
      </w:r>
      <w:r>
        <w:rPr>
          <w:rFonts w:cs="Times New Roman"/>
          <w:spacing w:val="-8"/>
          <w:sz w:val="18"/>
          <w:szCs w:val="18"/>
          <w:lang w:val="es-ES_tradnl"/>
        </w:rPr>
        <w:t>á</w:t>
      </w:r>
      <w:r>
        <w:rPr>
          <w:spacing w:val="-8"/>
          <w:sz w:val="18"/>
          <w:szCs w:val="18"/>
          <w:lang w:val="es-ES_tradnl"/>
        </w:rPr>
        <w:t xml:space="preserve">s favorable a los derechos </w:t>
      </w:r>
      <w:r>
        <w:rPr>
          <w:spacing w:val="-10"/>
          <w:sz w:val="18"/>
          <w:szCs w:val="18"/>
          <w:lang w:val="es-ES_tradnl"/>
        </w:rPr>
        <w:t>constitucionales</w:t>
      </w:r>
      <w:r>
        <w:rPr>
          <w:spacing w:val="-10"/>
          <w:sz w:val="18"/>
          <w:szCs w:val="18"/>
          <w:vertAlign w:val="superscript"/>
          <w:lang w:val="es-ES_tradnl"/>
        </w:rPr>
        <w:t>6</w:t>
      </w:r>
      <w:r>
        <w:rPr>
          <w:rFonts w:cs="Times New Roman"/>
          <w:spacing w:val="-10"/>
          <w:sz w:val="18"/>
          <w:szCs w:val="18"/>
          <w:lang w:val="es-ES_tradnl"/>
        </w:rPr>
        <w:t>”</w:t>
      </w:r>
      <w:r>
        <w:rPr>
          <w:spacing w:val="-10"/>
          <w:sz w:val="18"/>
          <w:szCs w:val="18"/>
          <w:lang w:val="es-ES_tradnl"/>
        </w:rPr>
        <w:t>, comprendido como la exclusi</w:t>
      </w:r>
      <w:r>
        <w:rPr>
          <w:rFonts w:cs="Times New Roman"/>
          <w:spacing w:val="-10"/>
          <w:sz w:val="18"/>
          <w:szCs w:val="18"/>
          <w:lang w:val="es-ES_tradnl"/>
        </w:rPr>
        <w:t>ó</w:t>
      </w:r>
      <w:r>
        <w:rPr>
          <w:spacing w:val="-10"/>
          <w:sz w:val="18"/>
          <w:szCs w:val="18"/>
          <w:lang w:val="es-ES_tradnl"/>
        </w:rPr>
        <w:t xml:space="preserve">n de todas </w:t>
      </w:r>
      <w:r>
        <w:rPr>
          <w:spacing w:val="-7"/>
          <w:sz w:val="18"/>
          <w:szCs w:val="18"/>
          <w:lang w:val="es-ES_tradnl"/>
        </w:rPr>
        <w:t xml:space="preserve">las decisiones judiciales que por su formalismo o excesiva </w:t>
      </w:r>
      <w:r>
        <w:rPr>
          <w:spacing w:val="-6"/>
          <w:sz w:val="18"/>
          <w:szCs w:val="18"/>
          <w:lang w:val="es-ES_tradnl"/>
        </w:rPr>
        <w:t>rigurosidad evidencien una evidente desproporci</w:t>
      </w:r>
      <w:r>
        <w:rPr>
          <w:rFonts w:cs="Times New Roman"/>
          <w:spacing w:val="-6"/>
          <w:sz w:val="18"/>
          <w:szCs w:val="18"/>
          <w:lang w:val="es-ES_tradnl"/>
        </w:rPr>
        <w:t>ó</w:t>
      </w:r>
      <w:r>
        <w:rPr>
          <w:spacing w:val="-6"/>
          <w:sz w:val="18"/>
          <w:szCs w:val="18"/>
          <w:lang w:val="es-ES_tradnl"/>
        </w:rPr>
        <w:t xml:space="preserve">n entre </w:t>
      </w:r>
      <w:r>
        <w:rPr>
          <w:spacing w:val="-8"/>
          <w:sz w:val="18"/>
          <w:szCs w:val="18"/>
          <w:lang w:val="es-ES_tradnl"/>
        </w:rPr>
        <w:t xml:space="preserve">los fines que aquellas causas protegen y los intereses que </w:t>
      </w:r>
      <w:r>
        <w:rPr>
          <w:sz w:val="18"/>
          <w:szCs w:val="18"/>
          <w:lang w:val="es-ES_tradnl"/>
        </w:rPr>
        <w:t>se sacrifican.</w:t>
      </w:r>
    </w:p>
    <w:p w14:paraId="4F67AB5E" w14:textId="77777777" w:rsidR="00591D54" w:rsidRDefault="00591D54">
      <w:pPr>
        <w:shd w:val="clear" w:color="auto" w:fill="FFFFFF"/>
        <w:spacing w:before="192" w:line="216" w:lineRule="exact"/>
        <w:ind w:right="5"/>
        <w:jc w:val="both"/>
      </w:pPr>
      <w:r>
        <w:rPr>
          <w:spacing w:val="-4"/>
          <w:sz w:val="18"/>
          <w:szCs w:val="18"/>
          <w:lang w:val="es-ES_tradnl"/>
        </w:rPr>
        <w:t>Al ingresar en el n</w:t>
      </w:r>
      <w:r>
        <w:rPr>
          <w:rFonts w:cs="Times New Roman"/>
          <w:spacing w:val="-4"/>
          <w:sz w:val="18"/>
          <w:szCs w:val="18"/>
          <w:lang w:val="es-ES_tradnl"/>
        </w:rPr>
        <w:t>ú</w:t>
      </w:r>
      <w:r>
        <w:rPr>
          <w:spacing w:val="-4"/>
          <w:sz w:val="18"/>
          <w:szCs w:val="18"/>
          <w:lang w:val="es-ES_tradnl"/>
        </w:rPr>
        <w:t xml:space="preserve">cleo del problema constitucional </w:t>
      </w:r>
      <w:r>
        <w:rPr>
          <w:spacing w:val="-6"/>
          <w:sz w:val="18"/>
          <w:szCs w:val="18"/>
          <w:lang w:val="es-ES_tradnl"/>
        </w:rPr>
        <w:t>planteado, la decisi</w:t>
      </w:r>
      <w:r>
        <w:rPr>
          <w:rFonts w:cs="Times New Roman"/>
          <w:spacing w:val="-6"/>
          <w:sz w:val="18"/>
          <w:szCs w:val="18"/>
          <w:lang w:val="es-ES_tradnl"/>
        </w:rPr>
        <w:t>ó</w:t>
      </w:r>
      <w:r>
        <w:rPr>
          <w:spacing w:val="-6"/>
          <w:sz w:val="18"/>
          <w:szCs w:val="18"/>
          <w:lang w:val="es-ES_tradnl"/>
        </w:rPr>
        <w:t xml:space="preserve">n judicial impugnada, a pesar de </w:t>
      </w:r>
      <w:r>
        <w:rPr>
          <w:spacing w:val="-12"/>
          <w:sz w:val="18"/>
          <w:szCs w:val="18"/>
          <w:lang w:val="es-ES_tradnl"/>
        </w:rPr>
        <w:t>determinar que el recurso de casaci</w:t>
      </w:r>
      <w:r>
        <w:rPr>
          <w:rFonts w:cs="Times New Roman"/>
          <w:spacing w:val="-12"/>
          <w:sz w:val="18"/>
          <w:szCs w:val="18"/>
          <w:lang w:val="es-ES_tradnl"/>
        </w:rPr>
        <w:t>ó</w:t>
      </w:r>
      <w:r>
        <w:rPr>
          <w:spacing w:val="-12"/>
          <w:sz w:val="18"/>
          <w:szCs w:val="18"/>
          <w:lang w:val="es-ES_tradnl"/>
        </w:rPr>
        <w:t>n se interpuso dentro del</w:t>
      </w:r>
    </w:p>
    <w:p w14:paraId="4F67AB5F" w14:textId="77777777" w:rsidR="00591D54" w:rsidRDefault="00591D54">
      <w:pPr>
        <w:shd w:val="clear" w:color="auto" w:fill="FFFFFF"/>
        <w:tabs>
          <w:tab w:val="left" w:pos="139"/>
        </w:tabs>
        <w:spacing w:before="485" w:line="182" w:lineRule="exact"/>
        <w:ind w:left="139" w:right="5" w:hanging="139"/>
        <w:jc w:val="both"/>
      </w:pPr>
      <w:r>
        <w:rPr>
          <w:sz w:val="10"/>
          <w:szCs w:val="10"/>
          <w:vertAlign w:val="superscript"/>
          <w:lang w:val="es-ES_tradnl"/>
        </w:rPr>
        <w:t>5</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w:t>
      </w:r>
      <w:r>
        <w:rPr>
          <w:sz w:val="18"/>
          <w:szCs w:val="18"/>
          <w:lang w:val="es-ES_tradnl"/>
        </w:rPr>
        <w:t xml:space="preserve"> </w:t>
      </w:r>
      <w:r>
        <w:rPr>
          <w:sz w:val="14"/>
          <w:szCs w:val="14"/>
          <w:lang w:val="es-ES_tradnl"/>
        </w:rPr>
        <w:t>035-14-SEP-CC, caso N.</w:t>
      </w:r>
      <w:r>
        <w:rPr>
          <w:rFonts w:cs="Times New Roman"/>
          <w:sz w:val="14"/>
          <w:szCs w:val="14"/>
          <w:lang w:val="es-ES_tradnl"/>
        </w:rPr>
        <w:t>°</w:t>
      </w:r>
      <w:r>
        <w:rPr>
          <w:sz w:val="14"/>
          <w:szCs w:val="14"/>
          <w:lang w:val="es-ES_tradnl"/>
        </w:rPr>
        <w:t xml:space="preserve"> 1989-12-EP</w:t>
      </w:r>
    </w:p>
    <w:p w14:paraId="4F67AB60" w14:textId="77777777" w:rsidR="00591D54" w:rsidRDefault="00591D54">
      <w:pPr>
        <w:shd w:val="clear" w:color="auto" w:fill="FFFFFF"/>
        <w:tabs>
          <w:tab w:val="left" w:pos="139"/>
        </w:tabs>
        <w:spacing w:before="149" w:line="178" w:lineRule="exact"/>
        <w:ind w:left="139" w:right="5" w:hanging="139"/>
        <w:jc w:val="both"/>
      </w:pPr>
      <w:r>
        <w:rPr>
          <w:sz w:val="10"/>
          <w:szCs w:val="10"/>
          <w:vertAlign w:val="superscript"/>
          <w:lang w:val="es-ES_tradnl"/>
        </w:rPr>
        <w:t>6</w:t>
      </w:r>
      <w:r>
        <w:rPr>
          <w:sz w:val="18"/>
          <w:szCs w:val="18"/>
          <w:lang w:val="es-ES_tradnl"/>
        </w:rPr>
        <w:tab/>
      </w:r>
      <w:r>
        <w:rPr>
          <w:spacing w:val="-3"/>
          <w:sz w:val="14"/>
          <w:szCs w:val="14"/>
          <w:lang w:val="es-ES_tradnl"/>
        </w:rPr>
        <w:t>Ley</w:t>
      </w:r>
      <w:r>
        <w:rPr>
          <w:spacing w:val="-3"/>
          <w:sz w:val="18"/>
          <w:szCs w:val="18"/>
          <w:lang w:val="es-ES_tradnl"/>
        </w:rPr>
        <w:t xml:space="preserve"> </w:t>
      </w:r>
      <w:r>
        <w:rPr>
          <w:spacing w:val="-3"/>
          <w:sz w:val="14"/>
          <w:szCs w:val="14"/>
          <w:lang w:val="es-ES_tradnl"/>
        </w:rPr>
        <w:t>Org</w:t>
      </w:r>
      <w:r>
        <w:rPr>
          <w:rFonts w:cs="Times New Roman"/>
          <w:spacing w:val="-3"/>
          <w:sz w:val="14"/>
          <w:szCs w:val="14"/>
          <w:lang w:val="es-ES_tradnl"/>
        </w:rPr>
        <w:t>á</w:t>
      </w:r>
      <w:r>
        <w:rPr>
          <w:spacing w:val="-3"/>
          <w:sz w:val="14"/>
          <w:szCs w:val="14"/>
          <w:lang w:val="es-ES_tradnl"/>
        </w:rPr>
        <w:t>nica</w:t>
      </w:r>
      <w:r>
        <w:rPr>
          <w:spacing w:val="-3"/>
          <w:sz w:val="18"/>
          <w:szCs w:val="18"/>
          <w:lang w:val="es-ES_tradnl"/>
        </w:rPr>
        <w:t xml:space="preserve"> </w:t>
      </w:r>
      <w:r>
        <w:rPr>
          <w:spacing w:val="-3"/>
          <w:sz w:val="14"/>
          <w:szCs w:val="14"/>
          <w:lang w:val="es-ES_tradnl"/>
        </w:rPr>
        <w:t>de</w:t>
      </w:r>
      <w:r>
        <w:rPr>
          <w:spacing w:val="-3"/>
          <w:sz w:val="18"/>
          <w:szCs w:val="18"/>
          <w:lang w:val="es-ES_tradnl"/>
        </w:rPr>
        <w:t xml:space="preserve"> </w:t>
      </w:r>
      <w:r>
        <w:rPr>
          <w:spacing w:val="-3"/>
          <w:sz w:val="14"/>
          <w:szCs w:val="14"/>
          <w:lang w:val="es-ES_tradnl"/>
        </w:rPr>
        <w:t>Garant</w:t>
      </w:r>
      <w:r>
        <w:rPr>
          <w:rFonts w:cs="Times New Roman"/>
          <w:spacing w:val="-3"/>
          <w:sz w:val="14"/>
          <w:szCs w:val="14"/>
          <w:lang w:val="es-ES_tradnl"/>
        </w:rPr>
        <w:t>í</w:t>
      </w:r>
      <w:r>
        <w:rPr>
          <w:spacing w:val="-3"/>
          <w:sz w:val="14"/>
          <w:szCs w:val="14"/>
          <w:lang w:val="es-ES_tradnl"/>
        </w:rPr>
        <w:t>as</w:t>
      </w:r>
      <w:r>
        <w:rPr>
          <w:spacing w:val="-3"/>
          <w:sz w:val="18"/>
          <w:szCs w:val="18"/>
          <w:lang w:val="es-ES_tradnl"/>
        </w:rPr>
        <w:t xml:space="preserve"> </w:t>
      </w:r>
      <w:r>
        <w:rPr>
          <w:spacing w:val="-3"/>
          <w:sz w:val="14"/>
          <w:szCs w:val="14"/>
          <w:lang w:val="es-ES_tradnl"/>
        </w:rPr>
        <w:t>Jurisdiccionales</w:t>
      </w:r>
      <w:r>
        <w:rPr>
          <w:spacing w:val="-3"/>
          <w:sz w:val="18"/>
          <w:szCs w:val="18"/>
          <w:lang w:val="es-ES_tradnl"/>
        </w:rPr>
        <w:t xml:space="preserve"> </w:t>
      </w:r>
      <w:r>
        <w:rPr>
          <w:spacing w:val="-3"/>
          <w:sz w:val="14"/>
          <w:szCs w:val="14"/>
          <w:lang w:val="es-ES_tradnl"/>
        </w:rPr>
        <w:t>y</w:t>
      </w:r>
      <w:r>
        <w:rPr>
          <w:spacing w:val="-3"/>
          <w:sz w:val="18"/>
          <w:szCs w:val="18"/>
          <w:lang w:val="es-ES_tradnl"/>
        </w:rPr>
        <w:t xml:space="preserve"> </w:t>
      </w:r>
      <w:r>
        <w:rPr>
          <w:spacing w:val="-3"/>
          <w:sz w:val="14"/>
          <w:szCs w:val="14"/>
          <w:lang w:val="es-ES_tradnl"/>
        </w:rPr>
        <w:t>Control</w:t>
      </w:r>
      <w:r>
        <w:rPr>
          <w:spacing w:val="-3"/>
          <w:sz w:val="18"/>
          <w:szCs w:val="18"/>
          <w:lang w:val="es-ES_tradnl"/>
        </w:rPr>
        <w:t xml:space="preserve"> </w:t>
      </w:r>
      <w:r>
        <w:rPr>
          <w:spacing w:val="-3"/>
          <w:sz w:val="14"/>
          <w:szCs w:val="14"/>
          <w:lang w:val="es-ES_tradnl"/>
        </w:rPr>
        <w:t>Constitucional, </w:t>
      </w:r>
      <w:r>
        <w:rPr>
          <w:spacing w:val="-2"/>
          <w:sz w:val="14"/>
          <w:szCs w:val="14"/>
          <w:lang w:val="es-ES_tradnl"/>
        </w:rPr>
        <w:t>art</w:t>
      </w:r>
      <w:r>
        <w:rPr>
          <w:rFonts w:cs="Times New Roman"/>
          <w:spacing w:val="-2"/>
          <w:sz w:val="14"/>
          <w:szCs w:val="14"/>
          <w:lang w:val="es-ES_tradnl"/>
        </w:rPr>
        <w:t>í</w:t>
      </w:r>
      <w:r>
        <w:rPr>
          <w:spacing w:val="-2"/>
          <w:sz w:val="14"/>
          <w:szCs w:val="14"/>
          <w:lang w:val="es-ES_tradnl"/>
        </w:rPr>
        <w:t xml:space="preserve">culo 2, numeral 1: </w:t>
      </w:r>
      <w:r>
        <w:rPr>
          <w:rFonts w:cs="Times New Roman"/>
          <w:spacing w:val="-2"/>
          <w:sz w:val="14"/>
          <w:szCs w:val="14"/>
          <w:lang w:val="es-ES_tradnl"/>
        </w:rPr>
        <w:t>“</w:t>
      </w:r>
      <w:r>
        <w:rPr>
          <w:spacing w:val="-2"/>
          <w:sz w:val="14"/>
          <w:szCs w:val="14"/>
          <w:lang w:val="es-ES_tradnl"/>
        </w:rPr>
        <w:t>Art. 2.- Principios de la justicia constitucional.- </w:t>
      </w:r>
      <w:r>
        <w:rPr>
          <w:spacing w:val="-3"/>
          <w:sz w:val="14"/>
          <w:szCs w:val="14"/>
          <w:lang w:val="es-ES_tradnl"/>
        </w:rPr>
        <w:t>Adem</w:t>
      </w:r>
      <w:r>
        <w:rPr>
          <w:rFonts w:cs="Times New Roman"/>
          <w:spacing w:val="-3"/>
          <w:sz w:val="14"/>
          <w:szCs w:val="14"/>
          <w:lang w:val="es-ES_tradnl"/>
        </w:rPr>
        <w:t>á</w:t>
      </w:r>
      <w:r>
        <w:rPr>
          <w:spacing w:val="-3"/>
          <w:sz w:val="14"/>
          <w:szCs w:val="14"/>
          <w:lang w:val="es-ES_tradnl"/>
        </w:rPr>
        <w:t>s de los principios establecidos en la Constituci</w:t>
      </w:r>
      <w:r>
        <w:rPr>
          <w:rFonts w:cs="Times New Roman"/>
          <w:spacing w:val="-3"/>
          <w:sz w:val="14"/>
          <w:szCs w:val="14"/>
          <w:lang w:val="es-ES_tradnl"/>
        </w:rPr>
        <w:t>ó</w:t>
      </w:r>
      <w:r>
        <w:rPr>
          <w:spacing w:val="-3"/>
          <w:sz w:val="14"/>
          <w:szCs w:val="14"/>
          <w:lang w:val="es-ES_tradnl"/>
        </w:rPr>
        <w:t>n, se tendr</w:t>
      </w:r>
      <w:r>
        <w:rPr>
          <w:rFonts w:cs="Times New Roman"/>
          <w:spacing w:val="-3"/>
          <w:sz w:val="14"/>
          <w:szCs w:val="14"/>
          <w:lang w:val="es-ES_tradnl"/>
        </w:rPr>
        <w:t>á</w:t>
      </w:r>
      <w:r>
        <w:rPr>
          <w:spacing w:val="-3"/>
          <w:sz w:val="14"/>
          <w:szCs w:val="14"/>
          <w:lang w:val="es-ES_tradnl"/>
        </w:rPr>
        <w:t>n </w:t>
      </w:r>
      <w:r>
        <w:rPr>
          <w:spacing w:val="-4"/>
          <w:sz w:val="14"/>
          <w:szCs w:val="14"/>
          <w:lang w:val="es-ES_tradnl"/>
        </w:rPr>
        <w:t>en cuenta los siguientes principios generales para resolver las causas </w:t>
      </w:r>
      <w:r>
        <w:rPr>
          <w:sz w:val="14"/>
          <w:szCs w:val="14"/>
          <w:lang w:val="es-ES_tradnl"/>
        </w:rPr>
        <w:t>que se sometan a su conocimiento: 1. Principio de aplicaci</w:t>
      </w:r>
      <w:r>
        <w:rPr>
          <w:rFonts w:cs="Times New Roman"/>
          <w:sz w:val="14"/>
          <w:szCs w:val="14"/>
          <w:lang w:val="es-ES_tradnl"/>
        </w:rPr>
        <w:t>ó</w:t>
      </w:r>
      <w:r>
        <w:rPr>
          <w:sz w:val="14"/>
          <w:szCs w:val="14"/>
          <w:lang w:val="es-ES_tradnl"/>
        </w:rPr>
        <w:t>n m</w:t>
      </w:r>
      <w:r>
        <w:rPr>
          <w:rFonts w:cs="Times New Roman"/>
          <w:sz w:val="14"/>
          <w:szCs w:val="14"/>
          <w:lang w:val="es-ES_tradnl"/>
        </w:rPr>
        <w:t>á</w:t>
      </w:r>
      <w:r>
        <w:rPr>
          <w:sz w:val="14"/>
          <w:szCs w:val="14"/>
          <w:lang w:val="es-ES_tradnl"/>
        </w:rPr>
        <w:t>s </w:t>
      </w:r>
      <w:r>
        <w:rPr>
          <w:spacing w:val="-1"/>
          <w:sz w:val="14"/>
          <w:szCs w:val="14"/>
          <w:lang w:val="es-ES_tradnl"/>
        </w:rPr>
        <w:t>favorable a los derechos.- Si hay varias normas o interpretaciones </w:t>
      </w:r>
      <w:r>
        <w:rPr>
          <w:spacing w:val="-2"/>
          <w:sz w:val="14"/>
          <w:szCs w:val="14"/>
          <w:lang w:val="es-ES_tradnl"/>
        </w:rPr>
        <w:t>aplicables a un caso concreto, se debe elegir la que m</w:t>
      </w:r>
      <w:r>
        <w:rPr>
          <w:rFonts w:cs="Times New Roman"/>
          <w:spacing w:val="-2"/>
          <w:sz w:val="14"/>
          <w:szCs w:val="14"/>
          <w:lang w:val="es-ES_tradnl"/>
        </w:rPr>
        <w:t>á</w:t>
      </w:r>
      <w:r>
        <w:rPr>
          <w:spacing w:val="-2"/>
          <w:sz w:val="14"/>
          <w:szCs w:val="14"/>
          <w:lang w:val="es-ES_tradnl"/>
        </w:rPr>
        <w:t>s proteja los derechos de la persona. Si hay varias normas o interpretaciones aplicables a un caso concreto, se debe elegir la que m</w:t>
      </w:r>
      <w:r>
        <w:rPr>
          <w:rFonts w:cs="Times New Roman"/>
          <w:spacing w:val="-2"/>
          <w:sz w:val="14"/>
          <w:szCs w:val="14"/>
          <w:lang w:val="es-ES_tradnl"/>
        </w:rPr>
        <w:t>á</w:t>
      </w:r>
      <w:r>
        <w:rPr>
          <w:spacing w:val="-2"/>
          <w:sz w:val="14"/>
          <w:szCs w:val="14"/>
          <w:lang w:val="es-ES_tradnl"/>
        </w:rPr>
        <w:t>s proteja los </w:t>
      </w:r>
      <w:r>
        <w:rPr>
          <w:sz w:val="14"/>
          <w:szCs w:val="14"/>
          <w:lang w:val="es-ES_tradnl"/>
        </w:rPr>
        <w:t>derechos de la persona</w:t>
      </w:r>
      <w:r>
        <w:rPr>
          <w:rFonts w:cs="Times New Roman"/>
          <w:sz w:val="14"/>
          <w:szCs w:val="14"/>
          <w:lang w:val="es-ES_tradnl"/>
        </w:rPr>
        <w:t>”</w:t>
      </w:r>
      <w:r>
        <w:rPr>
          <w:sz w:val="14"/>
          <w:szCs w:val="14"/>
          <w:lang w:val="es-ES_tradnl"/>
        </w:rPr>
        <w:t>.</w:t>
      </w:r>
    </w:p>
    <w:p w14:paraId="4F67AB61" w14:textId="77777777" w:rsidR="00591D54" w:rsidRDefault="00591D54">
      <w:pPr>
        <w:shd w:val="clear" w:color="auto" w:fill="FFFFFF"/>
        <w:spacing w:line="216" w:lineRule="exact"/>
        <w:jc w:val="both"/>
      </w:pPr>
      <w:r>
        <w:br w:type="column"/>
      </w:r>
      <w:r>
        <w:rPr>
          <w:spacing w:val="-8"/>
          <w:sz w:val="18"/>
          <w:szCs w:val="18"/>
          <w:lang w:val="es-ES_tradnl"/>
        </w:rPr>
        <w:t>respectivo t</w:t>
      </w:r>
      <w:r>
        <w:rPr>
          <w:rFonts w:cs="Times New Roman"/>
          <w:spacing w:val="-8"/>
          <w:sz w:val="18"/>
          <w:szCs w:val="18"/>
          <w:lang w:val="es-ES_tradnl"/>
        </w:rPr>
        <w:t>é</w:t>
      </w:r>
      <w:r>
        <w:rPr>
          <w:spacing w:val="-8"/>
          <w:sz w:val="18"/>
          <w:szCs w:val="18"/>
          <w:lang w:val="es-ES_tradnl"/>
        </w:rPr>
        <w:t>rmino legal, lo inadmiti</w:t>
      </w:r>
      <w:r>
        <w:rPr>
          <w:rFonts w:cs="Times New Roman"/>
          <w:spacing w:val="-8"/>
          <w:sz w:val="18"/>
          <w:szCs w:val="18"/>
          <w:lang w:val="es-ES_tradnl"/>
        </w:rPr>
        <w:t>ó</w:t>
      </w:r>
      <w:r>
        <w:rPr>
          <w:spacing w:val="-8"/>
          <w:sz w:val="18"/>
          <w:szCs w:val="18"/>
          <w:lang w:val="es-ES_tradnl"/>
        </w:rPr>
        <w:t xml:space="preserve"> por una supuesta falta de solemnidad legal, la misma que consisti</w:t>
      </w:r>
      <w:r>
        <w:rPr>
          <w:rFonts w:cs="Times New Roman"/>
          <w:spacing w:val="-8"/>
          <w:sz w:val="18"/>
          <w:szCs w:val="18"/>
          <w:lang w:val="es-ES_tradnl"/>
        </w:rPr>
        <w:t>ó</w:t>
      </w:r>
      <w:r>
        <w:rPr>
          <w:spacing w:val="-8"/>
          <w:sz w:val="18"/>
          <w:szCs w:val="18"/>
          <w:lang w:val="es-ES_tradnl"/>
        </w:rPr>
        <w:t xml:space="preserve"> precisamente en la falta de autorizaci</w:t>
      </w:r>
      <w:r>
        <w:rPr>
          <w:rFonts w:cs="Times New Roman"/>
          <w:spacing w:val="-8"/>
          <w:sz w:val="18"/>
          <w:szCs w:val="18"/>
          <w:lang w:val="es-ES_tradnl"/>
        </w:rPr>
        <w:t>ó</w:t>
      </w:r>
      <w:r>
        <w:rPr>
          <w:spacing w:val="-8"/>
          <w:sz w:val="18"/>
          <w:szCs w:val="18"/>
          <w:lang w:val="es-ES_tradnl"/>
        </w:rPr>
        <w:t xml:space="preserve">n otorgada por el legitimado activo </w:t>
      </w:r>
      <w:r>
        <w:rPr>
          <w:spacing w:val="-10"/>
          <w:sz w:val="18"/>
          <w:szCs w:val="18"/>
          <w:lang w:val="es-ES_tradnl"/>
        </w:rPr>
        <w:t xml:space="preserve">al abogado defensor para que pudiere interponer recurso de </w:t>
      </w:r>
      <w:r>
        <w:rPr>
          <w:spacing w:val="-7"/>
          <w:sz w:val="18"/>
          <w:szCs w:val="18"/>
          <w:lang w:val="es-ES_tradnl"/>
        </w:rPr>
        <w:t>casaci</w:t>
      </w:r>
      <w:r>
        <w:rPr>
          <w:rFonts w:cs="Times New Roman"/>
          <w:spacing w:val="-7"/>
          <w:sz w:val="18"/>
          <w:szCs w:val="18"/>
          <w:lang w:val="es-ES_tradnl"/>
        </w:rPr>
        <w:t>ó</w:t>
      </w:r>
      <w:r>
        <w:rPr>
          <w:spacing w:val="-7"/>
          <w:sz w:val="18"/>
          <w:szCs w:val="18"/>
          <w:lang w:val="es-ES_tradnl"/>
        </w:rPr>
        <w:t xml:space="preserve">n, es decir, el </w:t>
      </w:r>
      <w:r>
        <w:rPr>
          <w:rFonts w:cs="Times New Roman"/>
          <w:spacing w:val="-7"/>
          <w:sz w:val="18"/>
          <w:szCs w:val="18"/>
          <w:lang w:val="es-ES_tradnl"/>
        </w:rPr>
        <w:t>ó</w:t>
      </w:r>
      <w:r>
        <w:rPr>
          <w:spacing w:val="-7"/>
          <w:sz w:val="18"/>
          <w:szCs w:val="18"/>
          <w:lang w:val="es-ES_tradnl"/>
        </w:rPr>
        <w:t>rgano judicial inadmiti</w:t>
      </w:r>
      <w:r>
        <w:rPr>
          <w:rFonts w:cs="Times New Roman"/>
          <w:spacing w:val="-7"/>
          <w:sz w:val="18"/>
          <w:szCs w:val="18"/>
          <w:lang w:val="es-ES_tradnl"/>
        </w:rPr>
        <w:t>ó</w:t>
      </w:r>
      <w:r>
        <w:rPr>
          <w:spacing w:val="-7"/>
          <w:sz w:val="18"/>
          <w:szCs w:val="18"/>
          <w:lang w:val="es-ES_tradnl"/>
        </w:rPr>
        <w:t xml:space="preserve">, sin ingresar </w:t>
      </w:r>
      <w:r>
        <w:rPr>
          <w:spacing w:val="-8"/>
          <w:sz w:val="18"/>
          <w:szCs w:val="18"/>
          <w:lang w:val="es-ES_tradnl"/>
        </w:rPr>
        <w:t>a examinar los requisitos legales se</w:t>
      </w:r>
      <w:r>
        <w:rPr>
          <w:rFonts w:cs="Times New Roman"/>
          <w:spacing w:val="-8"/>
          <w:sz w:val="18"/>
          <w:szCs w:val="18"/>
          <w:lang w:val="es-ES_tradnl"/>
        </w:rPr>
        <w:t>ñ</w:t>
      </w:r>
      <w:r>
        <w:rPr>
          <w:spacing w:val="-8"/>
          <w:sz w:val="18"/>
          <w:szCs w:val="18"/>
          <w:lang w:val="es-ES_tradnl"/>
        </w:rPr>
        <w:t>alados en la ley de la materia, un recurso que le correspond</w:t>
      </w:r>
      <w:r>
        <w:rPr>
          <w:rFonts w:cs="Times New Roman"/>
          <w:spacing w:val="-8"/>
          <w:sz w:val="18"/>
          <w:szCs w:val="18"/>
          <w:lang w:val="es-ES_tradnl"/>
        </w:rPr>
        <w:t>í</w:t>
      </w:r>
      <w:r>
        <w:rPr>
          <w:spacing w:val="-8"/>
          <w:sz w:val="18"/>
          <w:szCs w:val="18"/>
          <w:lang w:val="es-ES_tradnl"/>
        </w:rPr>
        <w:t xml:space="preserve">a conocer a la Corte </w:t>
      </w:r>
      <w:r>
        <w:rPr>
          <w:sz w:val="18"/>
          <w:szCs w:val="18"/>
          <w:lang w:val="es-ES_tradnl"/>
        </w:rPr>
        <w:t>Nacional de Justicia.</w:t>
      </w:r>
    </w:p>
    <w:p w14:paraId="4F67AB62" w14:textId="77777777" w:rsidR="00591D54" w:rsidRDefault="00591D54">
      <w:pPr>
        <w:shd w:val="clear" w:color="auto" w:fill="FFFFFF"/>
        <w:spacing w:before="197" w:line="216" w:lineRule="exact"/>
        <w:jc w:val="both"/>
      </w:pPr>
      <w:r>
        <w:rPr>
          <w:spacing w:val="-10"/>
          <w:sz w:val="18"/>
          <w:szCs w:val="18"/>
          <w:lang w:val="es-ES_tradnl"/>
        </w:rPr>
        <w:t>Es preciso afirmar, una vez m</w:t>
      </w:r>
      <w:r>
        <w:rPr>
          <w:rFonts w:cs="Times New Roman"/>
          <w:spacing w:val="-10"/>
          <w:sz w:val="18"/>
          <w:szCs w:val="18"/>
          <w:lang w:val="es-ES_tradnl"/>
        </w:rPr>
        <w:t>á</w:t>
      </w:r>
      <w:r>
        <w:rPr>
          <w:spacing w:val="-10"/>
          <w:sz w:val="18"/>
          <w:szCs w:val="18"/>
          <w:lang w:val="es-ES_tradnl"/>
        </w:rPr>
        <w:t>s, que el recurso de casaci</w:t>
      </w:r>
      <w:r>
        <w:rPr>
          <w:rFonts w:cs="Times New Roman"/>
          <w:spacing w:val="-10"/>
          <w:sz w:val="18"/>
          <w:szCs w:val="18"/>
          <w:lang w:val="es-ES_tradnl"/>
        </w:rPr>
        <w:t>ó</w:t>
      </w:r>
      <w:r>
        <w:rPr>
          <w:spacing w:val="-10"/>
          <w:sz w:val="18"/>
          <w:szCs w:val="18"/>
          <w:lang w:val="es-ES_tradnl"/>
        </w:rPr>
        <w:t xml:space="preserve">n </w:t>
      </w:r>
      <w:r>
        <w:rPr>
          <w:spacing w:val="-8"/>
          <w:sz w:val="18"/>
          <w:szCs w:val="18"/>
          <w:lang w:val="es-ES_tradnl"/>
        </w:rPr>
        <w:t>es de car</w:t>
      </w:r>
      <w:r>
        <w:rPr>
          <w:rFonts w:cs="Times New Roman"/>
          <w:spacing w:val="-8"/>
          <w:sz w:val="18"/>
          <w:szCs w:val="18"/>
          <w:lang w:val="es-ES_tradnl"/>
        </w:rPr>
        <w:t>á</w:t>
      </w:r>
      <w:r>
        <w:rPr>
          <w:spacing w:val="-8"/>
          <w:sz w:val="18"/>
          <w:szCs w:val="18"/>
          <w:lang w:val="es-ES_tradnl"/>
        </w:rPr>
        <w:t xml:space="preserve">cter extraordinario, que procede exclusivamente </w:t>
      </w:r>
      <w:r>
        <w:rPr>
          <w:sz w:val="18"/>
          <w:szCs w:val="18"/>
          <w:lang w:val="es-ES_tradnl"/>
        </w:rPr>
        <w:t>por la vulneraci</w:t>
      </w:r>
      <w:r>
        <w:rPr>
          <w:rFonts w:cs="Times New Roman"/>
          <w:sz w:val="18"/>
          <w:szCs w:val="18"/>
          <w:lang w:val="es-ES_tradnl"/>
        </w:rPr>
        <w:t>ó</w:t>
      </w:r>
      <w:r>
        <w:rPr>
          <w:sz w:val="18"/>
          <w:szCs w:val="18"/>
          <w:lang w:val="es-ES_tradnl"/>
        </w:rPr>
        <w:t>n, contravenci</w:t>
      </w:r>
      <w:r>
        <w:rPr>
          <w:rFonts w:cs="Times New Roman"/>
          <w:sz w:val="18"/>
          <w:szCs w:val="18"/>
          <w:lang w:val="es-ES_tradnl"/>
        </w:rPr>
        <w:t>ó</w:t>
      </w:r>
      <w:r>
        <w:rPr>
          <w:sz w:val="18"/>
          <w:szCs w:val="18"/>
          <w:lang w:val="es-ES_tradnl"/>
        </w:rPr>
        <w:t>n o inaplicaci</w:t>
      </w:r>
      <w:r>
        <w:rPr>
          <w:rFonts w:cs="Times New Roman"/>
          <w:sz w:val="18"/>
          <w:szCs w:val="18"/>
          <w:lang w:val="es-ES_tradnl"/>
        </w:rPr>
        <w:t>ó</w:t>
      </w:r>
      <w:r>
        <w:rPr>
          <w:sz w:val="18"/>
          <w:szCs w:val="18"/>
          <w:lang w:val="es-ES_tradnl"/>
        </w:rPr>
        <w:t xml:space="preserve">n de la </w:t>
      </w:r>
      <w:r>
        <w:rPr>
          <w:spacing w:val="-6"/>
          <w:sz w:val="18"/>
          <w:szCs w:val="18"/>
          <w:lang w:val="es-ES_tradnl"/>
        </w:rPr>
        <w:t xml:space="preserve">ley dentro de las decisiones judiciales. En tal sentido, el </w:t>
      </w:r>
      <w:r>
        <w:rPr>
          <w:spacing w:val="-2"/>
          <w:sz w:val="18"/>
          <w:szCs w:val="18"/>
          <w:lang w:val="es-ES_tradnl"/>
        </w:rPr>
        <w:t>ordenamiento jur</w:t>
      </w:r>
      <w:r>
        <w:rPr>
          <w:rFonts w:cs="Times New Roman"/>
          <w:spacing w:val="-2"/>
          <w:sz w:val="18"/>
          <w:szCs w:val="18"/>
          <w:lang w:val="es-ES_tradnl"/>
        </w:rPr>
        <w:t>í</w:t>
      </w:r>
      <w:r>
        <w:rPr>
          <w:spacing w:val="-2"/>
          <w:sz w:val="18"/>
          <w:szCs w:val="18"/>
          <w:lang w:val="es-ES_tradnl"/>
        </w:rPr>
        <w:t>dico, para conservar la caracter</w:t>
      </w:r>
      <w:r>
        <w:rPr>
          <w:rFonts w:cs="Times New Roman"/>
          <w:spacing w:val="-2"/>
          <w:sz w:val="18"/>
          <w:szCs w:val="18"/>
          <w:lang w:val="es-ES_tradnl"/>
        </w:rPr>
        <w:t>í</w:t>
      </w:r>
      <w:r>
        <w:rPr>
          <w:spacing w:val="-2"/>
          <w:sz w:val="18"/>
          <w:szCs w:val="18"/>
          <w:lang w:val="es-ES_tradnl"/>
        </w:rPr>
        <w:t xml:space="preserve">stica </w:t>
      </w:r>
      <w:r>
        <w:rPr>
          <w:spacing w:val="-5"/>
          <w:sz w:val="18"/>
          <w:szCs w:val="18"/>
          <w:lang w:val="es-ES_tradnl"/>
        </w:rPr>
        <w:t xml:space="preserve">de </w:t>
      </w:r>
      <w:r>
        <w:rPr>
          <w:rFonts w:cs="Times New Roman"/>
          <w:spacing w:val="-5"/>
          <w:sz w:val="18"/>
          <w:szCs w:val="18"/>
          <w:lang w:val="es-ES_tradnl"/>
        </w:rPr>
        <w:t>“</w:t>
      </w:r>
      <w:r>
        <w:rPr>
          <w:spacing w:val="-5"/>
          <w:sz w:val="18"/>
          <w:szCs w:val="18"/>
          <w:lang w:val="es-ES_tradnl"/>
        </w:rPr>
        <w:t>extraordinario</w:t>
      </w:r>
      <w:r>
        <w:rPr>
          <w:rFonts w:cs="Times New Roman"/>
          <w:spacing w:val="-5"/>
          <w:sz w:val="18"/>
          <w:szCs w:val="18"/>
          <w:lang w:val="es-ES_tradnl"/>
        </w:rPr>
        <w:t>”</w:t>
      </w:r>
      <w:r>
        <w:rPr>
          <w:spacing w:val="-5"/>
          <w:sz w:val="18"/>
          <w:szCs w:val="18"/>
          <w:lang w:val="es-ES_tradnl"/>
        </w:rPr>
        <w:t xml:space="preserve"> del recurso, estableci</w:t>
      </w:r>
      <w:r>
        <w:rPr>
          <w:rFonts w:cs="Times New Roman"/>
          <w:spacing w:val="-5"/>
          <w:sz w:val="18"/>
          <w:szCs w:val="18"/>
          <w:lang w:val="es-ES_tradnl"/>
        </w:rPr>
        <w:t>ó</w:t>
      </w:r>
      <w:r>
        <w:rPr>
          <w:spacing w:val="-5"/>
          <w:sz w:val="18"/>
          <w:szCs w:val="18"/>
          <w:lang w:val="es-ES_tradnl"/>
        </w:rPr>
        <w:t xml:space="preserve"> rigurosos </w:t>
      </w:r>
      <w:r>
        <w:rPr>
          <w:spacing w:val="-6"/>
          <w:sz w:val="18"/>
          <w:szCs w:val="18"/>
          <w:lang w:val="es-ES_tradnl"/>
        </w:rPr>
        <w:t xml:space="preserve">condicionamientos formales para su procedencia, con el </w:t>
      </w:r>
      <w:r>
        <w:rPr>
          <w:spacing w:val="-7"/>
          <w:sz w:val="18"/>
          <w:szCs w:val="18"/>
          <w:lang w:val="es-ES_tradnl"/>
        </w:rPr>
        <w:t>objetivo de precautelar su esencia jur</w:t>
      </w:r>
      <w:r>
        <w:rPr>
          <w:rFonts w:cs="Times New Roman"/>
          <w:spacing w:val="-7"/>
          <w:sz w:val="18"/>
          <w:szCs w:val="18"/>
          <w:lang w:val="es-ES_tradnl"/>
        </w:rPr>
        <w:t>í</w:t>
      </w:r>
      <w:r>
        <w:rPr>
          <w:spacing w:val="-7"/>
          <w:sz w:val="18"/>
          <w:szCs w:val="18"/>
          <w:lang w:val="es-ES_tradnl"/>
        </w:rPr>
        <w:t xml:space="preserve">dica. A todo esto, la </w:t>
      </w:r>
      <w:r>
        <w:rPr>
          <w:spacing w:val="-8"/>
          <w:sz w:val="18"/>
          <w:szCs w:val="18"/>
          <w:lang w:val="es-ES_tradnl"/>
        </w:rPr>
        <w:t>Corte Constitucional, mediante sentencia N.</w:t>
      </w:r>
      <w:r>
        <w:rPr>
          <w:rFonts w:cs="Times New Roman"/>
          <w:spacing w:val="-8"/>
          <w:sz w:val="18"/>
          <w:szCs w:val="18"/>
          <w:lang w:val="es-ES_tradnl"/>
        </w:rPr>
        <w:t>°</w:t>
      </w:r>
      <w:r>
        <w:rPr>
          <w:spacing w:val="-8"/>
          <w:sz w:val="18"/>
          <w:szCs w:val="18"/>
          <w:lang w:val="es-ES_tradnl"/>
        </w:rPr>
        <w:t xml:space="preserve"> 001-13-SEP-</w:t>
      </w:r>
      <w:r>
        <w:rPr>
          <w:sz w:val="18"/>
          <w:szCs w:val="18"/>
          <w:lang w:val="es-ES_tradnl"/>
        </w:rPr>
        <w:t>CC, determin</w:t>
      </w:r>
      <w:r>
        <w:rPr>
          <w:rFonts w:cs="Times New Roman"/>
          <w:sz w:val="18"/>
          <w:szCs w:val="18"/>
          <w:lang w:val="es-ES_tradnl"/>
        </w:rPr>
        <w:t>ó</w:t>
      </w:r>
      <w:r>
        <w:rPr>
          <w:sz w:val="18"/>
          <w:szCs w:val="18"/>
          <w:lang w:val="es-ES_tradnl"/>
        </w:rPr>
        <w:t>:</w:t>
      </w:r>
    </w:p>
    <w:p w14:paraId="4F67AB63" w14:textId="77777777" w:rsidR="00591D54" w:rsidRDefault="00591D54">
      <w:pPr>
        <w:shd w:val="clear" w:color="auto" w:fill="FFFFFF"/>
        <w:spacing w:before="206" w:line="216" w:lineRule="exact"/>
        <w:ind w:left="283"/>
        <w:jc w:val="both"/>
      </w:pPr>
      <w:r>
        <w:rPr>
          <w:sz w:val="14"/>
          <w:szCs w:val="14"/>
          <w:lang w:val="es-ES_tradnl"/>
        </w:rPr>
        <w:t>La casaci</w:t>
      </w:r>
      <w:r>
        <w:rPr>
          <w:rFonts w:cs="Times New Roman"/>
          <w:sz w:val="14"/>
          <w:szCs w:val="14"/>
          <w:lang w:val="es-ES_tradnl"/>
        </w:rPr>
        <w:t>ó</w:t>
      </w:r>
      <w:r>
        <w:rPr>
          <w:sz w:val="14"/>
          <w:szCs w:val="14"/>
          <w:lang w:val="es-ES_tradnl"/>
        </w:rPr>
        <w:t>n es un recurso extraordinario que fue establecido en el ordenamiento jur</w:t>
      </w:r>
      <w:r>
        <w:rPr>
          <w:rFonts w:cs="Times New Roman"/>
          <w:sz w:val="14"/>
          <w:szCs w:val="14"/>
          <w:lang w:val="es-ES_tradnl"/>
        </w:rPr>
        <w:t>í</w:t>
      </w:r>
      <w:r>
        <w:rPr>
          <w:sz w:val="14"/>
          <w:szCs w:val="14"/>
          <w:lang w:val="es-ES_tradnl"/>
        </w:rPr>
        <w:t>dico ecuatoriano, cuyo objetivo principal el de analizar si en la sentencia existen violaciones a la ley, ya sea por contravenci</w:t>
      </w:r>
      <w:r>
        <w:rPr>
          <w:rFonts w:cs="Times New Roman"/>
          <w:sz w:val="14"/>
          <w:szCs w:val="14"/>
          <w:lang w:val="es-ES_tradnl"/>
        </w:rPr>
        <w:t>ó</w:t>
      </w:r>
      <w:r>
        <w:rPr>
          <w:sz w:val="14"/>
          <w:szCs w:val="14"/>
          <w:lang w:val="es-ES_tradnl"/>
        </w:rPr>
        <w:t>n expresa de su texto, por indebida aplicaci</w:t>
      </w:r>
      <w:r>
        <w:rPr>
          <w:rFonts w:cs="Times New Roman"/>
          <w:sz w:val="14"/>
          <w:szCs w:val="14"/>
          <w:lang w:val="es-ES_tradnl"/>
        </w:rPr>
        <w:t>ó</w:t>
      </w:r>
      <w:r>
        <w:rPr>
          <w:sz w:val="14"/>
          <w:szCs w:val="14"/>
          <w:lang w:val="es-ES_tradnl"/>
        </w:rPr>
        <w:t>n o por err</w:t>
      </w:r>
      <w:r>
        <w:rPr>
          <w:rFonts w:cs="Times New Roman"/>
          <w:sz w:val="14"/>
          <w:szCs w:val="14"/>
          <w:lang w:val="es-ES_tradnl"/>
        </w:rPr>
        <w:t>ó</w:t>
      </w:r>
      <w:r>
        <w:rPr>
          <w:sz w:val="14"/>
          <w:szCs w:val="14"/>
          <w:lang w:val="es-ES_tradnl"/>
        </w:rPr>
        <w:t>nea interpretaci</w:t>
      </w:r>
      <w:r>
        <w:rPr>
          <w:rFonts w:cs="Times New Roman"/>
          <w:sz w:val="14"/>
          <w:szCs w:val="14"/>
          <w:lang w:val="es-ES_tradnl"/>
        </w:rPr>
        <w:t>ó</w:t>
      </w:r>
      <w:r>
        <w:rPr>
          <w:sz w:val="14"/>
          <w:szCs w:val="14"/>
          <w:lang w:val="es-ES_tradnl"/>
        </w:rPr>
        <w:t xml:space="preserve">n de la misma. </w:t>
      </w:r>
      <w:r>
        <w:rPr>
          <w:spacing w:val="-1"/>
          <w:sz w:val="14"/>
          <w:szCs w:val="14"/>
          <w:lang w:val="es-ES_tradnl"/>
        </w:rPr>
        <w:t>De esta forma, no debe concebirse al recurso de casaci</w:t>
      </w:r>
      <w:r>
        <w:rPr>
          <w:rFonts w:cs="Times New Roman"/>
          <w:spacing w:val="-1"/>
          <w:sz w:val="14"/>
          <w:szCs w:val="14"/>
          <w:lang w:val="es-ES_tradnl"/>
        </w:rPr>
        <w:t>ó</w:t>
      </w:r>
      <w:r>
        <w:rPr>
          <w:spacing w:val="-1"/>
          <w:sz w:val="14"/>
          <w:szCs w:val="14"/>
          <w:lang w:val="es-ES_tradnl"/>
        </w:rPr>
        <w:t xml:space="preserve">n como </w:t>
      </w:r>
      <w:r>
        <w:rPr>
          <w:sz w:val="14"/>
          <w:szCs w:val="14"/>
          <w:lang w:val="es-ES_tradnl"/>
        </w:rPr>
        <w:t>un recurso ordinario m</w:t>
      </w:r>
      <w:r>
        <w:rPr>
          <w:rFonts w:cs="Times New Roman"/>
          <w:sz w:val="14"/>
          <w:szCs w:val="14"/>
          <w:lang w:val="es-ES_tradnl"/>
        </w:rPr>
        <w:t>á</w:t>
      </w:r>
      <w:r>
        <w:rPr>
          <w:sz w:val="14"/>
          <w:szCs w:val="14"/>
          <w:lang w:val="es-ES_tradnl"/>
        </w:rPr>
        <w:t>s, sino al contrario los usuarios y los operadores de justicia deben tener presente que la casaci</w:t>
      </w:r>
      <w:r>
        <w:rPr>
          <w:rFonts w:cs="Times New Roman"/>
          <w:sz w:val="14"/>
          <w:szCs w:val="14"/>
          <w:lang w:val="es-ES_tradnl"/>
        </w:rPr>
        <w:t>ó</w:t>
      </w:r>
      <w:r>
        <w:rPr>
          <w:sz w:val="14"/>
          <w:szCs w:val="14"/>
          <w:lang w:val="es-ES_tradnl"/>
        </w:rPr>
        <w:t>n es aquel recurso de car</w:t>
      </w:r>
      <w:r>
        <w:rPr>
          <w:rFonts w:cs="Times New Roman"/>
          <w:sz w:val="14"/>
          <w:szCs w:val="14"/>
          <w:lang w:val="es-ES_tradnl"/>
        </w:rPr>
        <w:t>á</w:t>
      </w:r>
      <w:r>
        <w:rPr>
          <w:sz w:val="14"/>
          <w:szCs w:val="14"/>
          <w:lang w:val="es-ES_tradnl"/>
        </w:rPr>
        <w:t xml:space="preserve">cter extraordinario que </w:t>
      </w:r>
      <w:r>
        <w:rPr>
          <w:rFonts w:cs="Times New Roman"/>
          <w:sz w:val="14"/>
          <w:szCs w:val="14"/>
          <w:lang w:val="es-ES_tradnl"/>
        </w:rPr>
        <w:t>ú</w:t>
      </w:r>
      <w:r>
        <w:rPr>
          <w:sz w:val="14"/>
          <w:szCs w:val="14"/>
          <w:lang w:val="es-ES_tradnl"/>
        </w:rPr>
        <w:t>nicamente procede respecto de una sentencia, m</w:t>
      </w:r>
      <w:r>
        <w:rPr>
          <w:rFonts w:cs="Times New Roman"/>
          <w:sz w:val="14"/>
          <w:szCs w:val="14"/>
          <w:lang w:val="es-ES_tradnl"/>
        </w:rPr>
        <w:t>á</w:t>
      </w:r>
      <w:r>
        <w:rPr>
          <w:sz w:val="14"/>
          <w:szCs w:val="14"/>
          <w:lang w:val="es-ES_tradnl"/>
        </w:rPr>
        <w:t>s no una instancia en la cual se puedan analizar temas de legalidad que ya fueron resueltos por jueces inferiores</w:t>
      </w:r>
      <w:r>
        <w:rPr>
          <w:rFonts w:cs="Times New Roman"/>
          <w:sz w:val="14"/>
          <w:szCs w:val="14"/>
          <w:lang w:val="es-ES_tradnl"/>
        </w:rPr>
        <w:t>”</w:t>
      </w:r>
      <w:r>
        <w:rPr>
          <w:sz w:val="14"/>
          <w:szCs w:val="14"/>
          <w:vertAlign w:val="superscript"/>
          <w:lang w:val="es-ES_tradnl"/>
        </w:rPr>
        <w:t>7</w:t>
      </w:r>
      <w:r>
        <w:rPr>
          <w:sz w:val="14"/>
          <w:szCs w:val="14"/>
          <w:lang w:val="es-ES_tradnl"/>
        </w:rPr>
        <w:t>.</w:t>
      </w:r>
    </w:p>
    <w:p w14:paraId="4F67AB64" w14:textId="77777777" w:rsidR="00591D54" w:rsidRDefault="00591D54">
      <w:pPr>
        <w:shd w:val="clear" w:color="auto" w:fill="FFFFFF"/>
        <w:spacing w:before="202" w:line="216" w:lineRule="exact"/>
        <w:jc w:val="both"/>
      </w:pPr>
      <w:r>
        <w:rPr>
          <w:spacing w:val="-6"/>
          <w:sz w:val="18"/>
          <w:szCs w:val="18"/>
          <w:lang w:val="es-ES_tradnl"/>
        </w:rPr>
        <w:t>En este contexto, la actuaci</w:t>
      </w:r>
      <w:r>
        <w:rPr>
          <w:rFonts w:cs="Times New Roman"/>
          <w:spacing w:val="-6"/>
          <w:sz w:val="18"/>
          <w:szCs w:val="18"/>
          <w:lang w:val="es-ES_tradnl"/>
        </w:rPr>
        <w:t>ó</w:t>
      </w:r>
      <w:r>
        <w:rPr>
          <w:spacing w:val="-6"/>
          <w:sz w:val="18"/>
          <w:szCs w:val="18"/>
          <w:lang w:val="es-ES_tradnl"/>
        </w:rPr>
        <w:t xml:space="preserve">n de la Corte Nacional de </w:t>
      </w:r>
      <w:r>
        <w:rPr>
          <w:spacing w:val="-4"/>
          <w:sz w:val="18"/>
          <w:szCs w:val="18"/>
          <w:lang w:val="es-ES_tradnl"/>
        </w:rPr>
        <w:t xml:space="preserve">Justicia es fundamental en la medida que debe verificar </w:t>
      </w:r>
      <w:r>
        <w:rPr>
          <w:sz w:val="18"/>
          <w:szCs w:val="18"/>
          <w:lang w:val="es-ES_tradnl"/>
        </w:rPr>
        <w:t xml:space="preserve">el cumplimiento de este recurso, por medio de la </w:t>
      </w:r>
      <w:r>
        <w:rPr>
          <w:spacing w:val="-6"/>
          <w:sz w:val="18"/>
          <w:szCs w:val="18"/>
          <w:lang w:val="es-ES_tradnl"/>
        </w:rPr>
        <w:t>verificaci</w:t>
      </w:r>
      <w:r>
        <w:rPr>
          <w:rFonts w:cs="Times New Roman"/>
          <w:spacing w:val="-6"/>
          <w:sz w:val="18"/>
          <w:szCs w:val="18"/>
          <w:lang w:val="es-ES_tradnl"/>
        </w:rPr>
        <w:t>ó</w:t>
      </w:r>
      <w:r>
        <w:rPr>
          <w:spacing w:val="-6"/>
          <w:sz w:val="18"/>
          <w:szCs w:val="18"/>
          <w:lang w:val="es-ES_tradnl"/>
        </w:rPr>
        <w:t>n del cumplimiento de los requisitos necesarios e indispensables para su admisibilidad; as</w:t>
      </w:r>
      <w:r>
        <w:rPr>
          <w:rFonts w:cs="Times New Roman"/>
          <w:spacing w:val="-6"/>
          <w:sz w:val="18"/>
          <w:szCs w:val="18"/>
          <w:lang w:val="es-ES_tradnl"/>
        </w:rPr>
        <w:t>í</w:t>
      </w:r>
      <w:r>
        <w:rPr>
          <w:spacing w:val="-6"/>
          <w:sz w:val="18"/>
          <w:szCs w:val="18"/>
          <w:lang w:val="es-ES_tradnl"/>
        </w:rPr>
        <w:t xml:space="preserve">, la Corte </w:t>
      </w:r>
      <w:r>
        <w:rPr>
          <w:spacing w:val="-7"/>
          <w:sz w:val="18"/>
          <w:szCs w:val="18"/>
          <w:lang w:val="es-ES_tradnl"/>
        </w:rPr>
        <w:t>Constitucional afirm</w:t>
      </w:r>
      <w:r>
        <w:rPr>
          <w:rFonts w:cs="Times New Roman"/>
          <w:spacing w:val="-7"/>
          <w:sz w:val="18"/>
          <w:szCs w:val="18"/>
          <w:lang w:val="es-ES_tradnl"/>
        </w:rPr>
        <w:t>ó</w:t>
      </w:r>
      <w:r>
        <w:rPr>
          <w:spacing w:val="-7"/>
          <w:sz w:val="18"/>
          <w:szCs w:val="18"/>
          <w:lang w:val="es-ES_tradnl"/>
        </w:rPr>
        <w:t xml:space="preserve"> en reiterados pronunciamientos que </w:t>
      </w:r>
      <w:r>
        <w:rPr>
          <w:rFonts w:cs="Times New Roman"/>
          <w:spacing w:val="-8"/>
          <w:sz w:val="18"/>
          <w:szCs w:val="18"/>
          <w:lang w:val="es-ES_tradnl"/>
        </w:rPr>
        <w:t>“</w:t>
      </w:r>
      <w:r>
        <w:rPr>
          <w:spacing w:val="-8"/>
          <w:sz w:val="18"/>
          <w:szCs w:val="18"/>
          <w:lang w:val="es-ES_tradnl"/>
        </w:rPr>
        <w:t>tiene como su objetivo o raz</w:t>
      </w:r>
      <w:r>
        <w:rPr>
          <w:rFonts w:cs="Times New Roman"/>
          <w:spacing w:val="-8"/>
          <w:sz w:val="18"/>
          <w:szCs w:val="18"/>
          <w:lang w:val="es-ES_tradnl"/>
        </w:rPr>
        <w:t>ó</w:t>
      </w:r>
      <w:r>
        <w:rPr>
          <w:spacing w:val="-8"/>
          <w:sz w:val="18"/>
          <w:szCs w:val="18"/>
          <w:lang w:val="es-ES_tradnl"/>
        </w:rPr>
        <w:t xml:space="preserve">n de ser el revisar los errores </w:t>
      </w:r>
      <w:r>
        <w:rPr>
          <w:spacing w:val="-2"/>
          <w:sz w:val="18"/>
          <w:szCs w:val="18"/>
          <w:lang w:val="es-ES_tradnl"/>
        </w:rPr>
        <w:t xml:space="preserve">de procedimiento o errores judiciales de la sentencia, </w:t>
      </w:r>
      <w:r>
        <w:rPr>
          <w:spacing w:val="-8"/>
          <w:sz w:val="18"/>
          <w:szCs w:val="18"/>
          <w:lang w:val="es-ES_tradnl"/>
        </w:rPr>
        <w:t>cabe precisar que este recurso est</w:t>
      </w:r>
      <w:r>
        <w:rPr>
          <w:rFonts w:cs="Times New Roman"/>
          <w:spacing w:val="-8"/>
          <w:sz w:val="18"/>
          <w:szCs w:val="18"/>
          <w:lang w:val="es-ES_tradnl"/>
        </w:rPr>
        <w:t>á</w:t>
      </w:r>
      <w:r>
        <w:rPr>
          <w:spacing w:val="-8"/>
          <w:sz w:val="18"/>
          <w:szCs w:val="18"/>
          <w:lang w:val="es-ES_tradnl"/>
        </w:rPr>
        <w:t xml:space="preserve"> debida y formalmente </w:t>
      </w:r>
      <w:r>
        <w:rPr>
          <w:spacing w:val="-9"/>
          <w:sz w:val="18"/>
          <w:szCs w:val="18"/>
          <w:lang w:val="es-ES_tradnl"/>
        </w:rPr>
        <w:t>tratado en nuestro ordenamiento jur</w:t>
      </w:r>
      <w:r>
        <w:rPr>
          <w:rFonts w:cs="Times New Roman"/>
          <w:spacing w:val="-9"/>
          <w:sz w:val="18"/>
          <w:szCs w:val="18"/>
          <w:lang w:val="es-ES_tradnl"/>
        </w:rPr>
        <w:t>í</w:t>
      </w:r>
      <w:r>
        <w:rPr>
          <w:spacing w:val="-9"/>
          <w:sz w:val="18"/>
          <w:szCs w:val="18"/>
          <w:lang w:val="es-ES_tradnl"/>
        </w:rPr>
        <w:t>dico por una normativa espec</w:t>
      </w:r>
      <w:r>
        <w:rPr>
          <w:rFonts w:cs="Times New Roman"/>
          <w:spacing w:val="-9"/>
          <w:sz w:val="18"/>
          <w:szCs w:val="18"/>
          <w:lang w:val="es-ES_tradnl"/>
        </w:rPr>
        <w:t>í</w:t>
      </w:r>
      <w:r>
        <w:rPr>
          <w:spacing w:val="-9"/>
          <w:sz w:val="18"/>
          <w:szCs w:val="18"/>
          <w:lang w:val="es-ES_tradnl"/>
        </w:rPr>
        <w:t>fica creada para el efecto en la Ley de Casaci</w:t>
      </w:r>
      <w:r>
        <w:rPr>
          <w:rFonts w:cs="Times New Roman"/>
          <w:spacing w:val="-9"/>
          <w:sz w:val="18"/>
          <w:szCs w:val="18"/>
          <w:lang w:val="es-ES_tradnl"/>
        </w:rPr>
        <w:t>ó</w:t>
      </w:r>
      <w:r>
        <w:rPr>
          <w:spacing w:val="-9"/>
          <w:sz w:val="18"/>
          <w:szCs w:val="18"/>
          <w:lang w:val="es-ES_tradnl"/>
        </w:rPr>
        <w:t>n</w:t>
      </w:r>
      <w:r>
        <w:rPr>
          <w:rFonts w:cs="Times New Roman"/>
          <w:spacing w:val="-9"/>
          <w:sz w:val="18"/>
          <w:szCs w:val="18"/>
          <w:lang w:val="es-ES_tradnl"/>
        </w:rPr>
        <w:t>”</w:t>
      </w:r>
      <w:r>
        <w:rPr>
          <w:spacing w:val="-9"/>
          <w:sz w:val="18"/>
          <w:szCs w:val="18"/>
          <w:vertAlign w:val="superscript"/>
          <w:lang w:val="es-ES_tradnl"/>
        </w:rPr>
        <w:t>8</w:t>
      </w:r>
      <w:r>
        <w:rPr>
          <w:spacing w:val="-9"/>
          <w:sz w:val="18"/>
          <w:szCs w:val="18"/>
          <w:lang w:val="es-ES_tradnl"/>
        </w:rPr>
        <w:t>.</w:t>
      </w:r>
    </w:p>
    <w:p w14:paraId="4F67AB65" w14:textId="77777777" w:rsidR="00591D54" w:rsidRDefault="00591D54">
      <w:pPr>
        <w:shd w:val="clear" w:color="auto" w:fill="FFFFFF"/>
        <w:spacing w:before="202" w:line="216" w:lineRule="exact"/>
        <w:jc w:val="both"/>
      </w:pPr>
      <w:r>
        <w:rPr>
          <w:spacing w:val="-8"/>
          <w:sz w:val="18"/>
          <w:szCs w:val="18"/>
          <w:lang w:val="es-ES_tradnl"/>
        </w:rPr>
        <w:t>Por lo tanto, el recurso de casaci</w:t>
      </w:r>
      <w:r>
        <w:rPr>
          <w:rFonts w:cs="Times New Roman"/>
          <w:spacing w:val="-8"/>
          <w:sz w:val="18"/>
          <w:szCs w:val="18"/>
          <w:lang w:val="es-ES_tradnl"/>
        </w:rPr>
        <w:t>ó</w:t>
      </w:r>
      <w:r>
        <w:rPr>
          <w:spacing w:val="-8"/>
          <w:sz w:val="18"/>
          <w:szCs w:val="18"/>
          <w:lang w:val="es-ES_tradnl"/>
        </w:rPr>
        <w:t xml:space="preserve">n se encuentra regulado </w:t>
      </w:r>
      <w:r>
        <w:rPr>
          <w:spacing w:val="-7"/>
          <w:sz w:val="18"/>
          <w:szCs w:val="18"/>
          <w:lang w:val="es-ES_tradnl"/>
        </w:rPr>
        <w:t>por la Ley de Casaci</w:t>
      </w:r>
      <w:r>
        <w:rPr>
          <w:rFonts w:cs="Times New Roman"/>
          <w:spacing w:val="-7"/>
          <w:sz w:val="18"/>
          <w:szCs w:val="18"/>
          <w:lang w:val="es-ES_tradnl"/>
        </w:rPr>
        <w:t>ó</w:t>
      </w:r>
      <w:r>
        <w:rPr>
          <w:spacing w:val="-7"/>
          <w:sz w:val="18"/>
          <w:szCs w:val="18"/>
          <w:lang w:val="es-ES_tradnl"/>
        </w:rPr>
        <w:t xml:space="preserve">n, cuerpo legal que determina </w:t>
      </w:r>
      <w:r>
        <w:rPr>
          <w:spacing w:val="-4"/>
          <w:sz w:val="18"/>
          <w:szCs w:val="18"/>
          <w:lang w:val="es-ES_tradnl"/>
        </w:rPr>
        <w:t xml:space="preserve">taxativamente las causales de admisibilidad del recurso </w:t>
      </w:r>
      <w:r>
        <w:rPr>
          <w:spacing w:val="-6"/>
          <w:sz w:val="18"/>
          <w:szCs w:val="18"/>
          <w:lang w:val="es-ES_tradnl"/>
        </w:rPr>
        <w:t xml:space="preserve">y, de igual forma, las competencias y atribuciones de la </w:t>
      </w:r>
      <w:r>
        <w:rPr>
          <w:spacing w:val="-5"/>
          <w:sz w:val="18"/>
          <w:szCs w:val="18"/>
          <w:lang w:val="es-ES_tradnl"/>
        </w:rPr>
        <w:t xml:space="preserve">Corte Nacional de Justicia. En otras palabras, la Ley de </w:t>
      </w:r>
      <w:r>
        <w:rPr>
          <w:spacing w:val="-8"/>
          <w:sz w:val="18"/>
          <w:szCs w:val="18"/>
          <w:lang w:val="es-ES_tradnl"/>
        </w:rPr>
        <w:t>Casaci</w:t>
      </w:r>
      <w:r>
        <w:rPr>
          <w:rFonts w:cs="Times New Roman"/>
          <w:spacing w:val="-8"/>
          <w:sz w:val="18"/>
          <w:szCs w:val="18"/>
          <w:lang w:val="es-ES_tradnl"/>
        </w:rPr>
        <w:t>ó</w:t>
      </w:r>
      <w:r>
        <w:rPr>
          <w:spacing w:val="-8"/>
          <w:sz w:val="18"/>
          <w:szCs w:val="18"/>
          <w:lang w:val="es-ES_tradnl"/>
        </w:rPr>
        <w:t>n instituye que una vez que el recurso de casaci</w:t>
      </w:r>
      <w:r>
        <w:rPr>
          <w:rFonts w:cs="Times New Roman"/>
          <w:spacing w:val="-8"/>
          <w:sz w:val="18"/>
          <w:szCs w:val="18"/>
          <w:lang w:val="es-ES_tradnl"/>
        </w:rPr>
        <w:t>ó</w:t>
      </w:r>
      <w:r>
        <w:rPr>
          <w:spacing w:val="-8"/>
          <w:sz w:val="18"/>
          <w:szCs w:val="18"/>
          <w:lang w:val="es-ES_tradnl"/>
        </w:rPr>
        <w:t xml:space="preserve">n </w:t>
      </w:r>
      <w:r>
        <w:rPr>
          <w:spacing w:val="-9"/>
          <w:sz w:val="18"/>
          <w:szCs w:val="18"/>
          <w:lang w:val="es-ES_tradnl"/>
        </w:rPr>
        <w:t xml:space="preserve">es remitido por parte del juez de instancia, le corresponde a </w:t>
      </w:r>
      <w:r>
        <w:rPr>
          <w:spacing w:val="-8"/>
          <w:sz w:val="18"/>
          <w:szCs w:val="18"/>
          <w:lang w:val="es-ES_tradnl"/>
        </w:rPr>
        <w:t xml:space="preserve">la Sala de la Corte Nacional de Justicia pertinente verificar </w:t>
      </w:r>
      <w:r>
        <w:rPr>
          <w:spacing w:val="-9"/>
          <w:sz w:val="18"/>
          <w:szCs w:val="18"/>
          <w:lang w:val="es-ES_tradnl"/>
        </w:rPr>
        <w:t xml:space="preserve">la concurrencia de los siguientes tres requisitos establecidos </w:t>
      </w:r>
      <w:r>
        <w:rPr>
          <w:spacing w:val="-6"/>
          <w:sz w:val="18"/>
          <w:szCs w:val="18"/>
          <w:lang w:val="es-ES_tradnl"/>
        </w:rPr>
        <w:t>en su art</w:t>
      </w:r>
      <w:r>
        <w:rPr>
          <w:rFonts w:cs="Times New Roman"/>
          <w:spacing w:val="-6"/>
          <w:sz w:val="18"/>
          <w:szCs w:val="18"/>
          <w:lang w:val="es-ES_tradnl"/>
        </w:rPr>
        <w:t>í</w:t>
      </w:r>
      <w:r>
        <w:rPr>
          <w:spacing w:val="-6"/>
          <w:sz w:val="18"/>
          <w:szCs w:val="18"/>
          <w:lang w:val="es-ES_tradnl"/>
        </w:rPr>
        <w:t xml:space="preserve">culo 7, que dispone: 1) Que la sentencia o auto </w:t>
      </w:r>
      <w:r>
        <w:rPr>
          <w:spacing w:val="-8"/>
          <w:sz w:val="18"/>
          <w:szCs w:val="18"/>
          <w:lang w:val="es-ES_tradnl"/>
        </w:rPr>
        <w:t>objeto del recurso es de aquellos contra los cuales procede</w:t>
      </w:r>
    </w:p>
    <w:p w14:paraId="4F67AB66" w14:textId="77777777" w:rsidR="00591D54" w:rsidRDefault="00591D54">
      <w:pPr>
        <w:shd w:val="clear" w:color="auto" w:fill="FFFFFF"/>
        <w:tabs>
          <w:tab w:val="left" w:pos="144"/>
        </w:tabs>
        <w:spacing w:before="427" w:line="182" w:lineRule="exact"/>
        <w:ind w:left="144" w:hanging="144"/>
      </w:pPr>
      <w:r>
        <w:rPr>
          <w:sz w:val="10"/>
          <w:szCs w:val="10"/>
          <w:vertAlign w:val="superscript"/>
          <w:lang w:val="es-ES_tradnl"/>
        </w:rPr>
        <w:t>7</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w:t>
      </w:r>
      <w:r>
        <w:rPr>
          <w:sz w:val="18"/>
          <w:szCs w:val="18"/>
          <w:lang w:val="es-ES_tradnl"/>
        </w:rPr>
        <w:t xml:space="preserve"> </w:t>
      </w:r>
      <w:r>
        <w:rPr>
          <w:sz w:val="14"/>
          <w:szCs w:val="14"/>
          <w:lang w:val="es-ES_tradnl"/>
        </w:rPr>
        <w:t>001-13-SEP-CC, caso N.</w:t>
      </w:r>
      <w:r>
        <w:rPr>
          <w:rFonts w:cs="Times New Roman"/>
          <w:sz w:val="14"/>
          <w:szCs w:val="14"/>
          <w:lang w:val="es-ES_tradnl"/>
        </w:rPr>
        <w:t>°</w:t>
      </w:r>
      <w:r>
        <w:rPr>
          <w:sz w:val="14"/>
          <w:szCs w:val="14"/>
          <w:lang w:val="es-ES_tradnl"/>
        </w:rPr>
        <w:t xml:space="preserve"> 1647-11-EP</w:t>
      </w:r>
    </w:p>
    <w:p w14:paraId="4F67AB67" w14:textId="77777777" w:rsidR="00591D54" w:rsidRDefault="00591D54">
      <w:pPr>
        <w:shd w:val="clear" w:color="auto" w:fill="FFFFFF"/>
        <w:tabs>
          <w:tab w:val="left" w:pos="144"/>
        </w:tabs>
        <w:spacing w:before="149" w:line="178" w:lineRule="exact"/>
        <w:ind w:left="144" w:hanging="144"/>
      </w:pPr>
      <w:r>
        <w:rPr>
          <w:sz w:val="10"/>
          <w:szCs w:val="10"/>
          <w:vertAlign w:val="superscript"/>
          <w:lang w:val="es-ES_tradnl"/>
        </w:rPr>
        <w:t>8</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para</w:t>
      </w:r>
      <w:r>
        <w:rPr>
          <w:sz w:val="18"/>
          <w:szCs w:val="18"/>
          <w:lang w:val="es-ES_tradnl"/>
        </w:rPr>
        <w:t xml:space="preserve"> </w:t>
      </w:r>
      <w:r>
        <w:rPr>
          <w:sz w:val="14"/>
          <w:szCs w:val="14"/>
          <w:lang w:val="es-ES_tradnl"/>
        </w:rPr>
        <w:t>el</w:t>
      </w:r>
      <w:r>
        <w:rPr>
          <w:sz w:val="18"/>
          <w:szCs w:val="18"/>
          <w:lang w:val="es-ES_tradnl"/>
        </w:rPr>
        <w:t xml:space="preserve"> </w:t>
      </w:r>
      <w:r>
        <w:rPr>
          <w:sz w:val="14"/>
          <w:szCs w:val="14"/>
          <w:lang w:val="es-ES_tradnl"/>
        </w:rPr>
        <w:t>per</w:t>
      </w:r>
      <w:r>
        <w:rPr>
          <w:rFonts w:cs="Times New Roman"/>
          <w:sz w:val="14"/>
          <w:szCs w:val="14"/>
          <w:lang w:val="es-ES_tradnl"/>
        </w:rPr>
        <w:t>í</w:t>
      </w:r>
      <w:r>
        <w:rPr>
          <w:sz w:val="14"/>
          <w:szCs w:val="14"/>
          <w:lang w:val="es-ES_tradnl"/>
        </w:rPr>
        <w:t>odo</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transici</w:t>
      </w:r>
      <w:r>
        <w:rPr>
          <w:rFonts w:cs="Times New Roman"/>
          <w:sz w:val="14"/>
          <w:szCs w:val="14"/>
          <w:lang w:val="es-ES_tradnl"/>
        </w:rPr>
        <w:t>ó</w:t>
      </w:r>
      <w:r>
        <w:rPr>
          <w:sz w:val="14"/>
          <w:szCs w:val="14"/>
          <w:lang w:val="es-ES_tradnl"/>
        </w:rPr>
        <w:t>n, </w:t>
      </w:r>
      <w:r>
        <w:rPr>
          <w:spacing w:val="-2"/>
          <w:sz w:val="14"/>
          <w:szCs w:val="14"/>
          <w:lang w:val="es-ES_tradnl"/>
        </w:rPr>
        <w:t>sentencia N.</w:t>
      </w:r>
      <w:r>
        <w:rPr>
          <w:rFonts w:cs="Times New Roman"/>
          <w:spacing w:val="-2"/>
          <w:sz w:val="14"/>
          <w:szCs w:val="14"/>
          <w:lang w:val="es-ES_tradnl"/>
        </w:rPr>
        <w:t>°</w:t>
      </w:r>
      <w:r>
        <w:rPr>
          <w:spacing w:val="-2"/>
          <w:sz w:val="14"/>
          <w:szCs w:val="14"/>
          <w:lang w:val="es-ES_tradnl"/>
        </w:rPr>
        <w:t xml:space="preserve"> 003-09-SEP-CC, caso N.</w:t>
      </w:r>
      <w:r>
        <w:rPr>
          <w:rFonts w:cs="Times New Roman"/>
          <w:spacing w:val="-2"/>
          <w:sz w:val="14"/>
          <w:szCs w:val="14"/>
          <w:lang w:val="es-ES_tradnl"/>
        </w:rPr>
        <w:t>°</w:t>
      </w:r>
      <w:r>
        <w:rPr>
          <w:spacing w:val="-2"/>
          <w:sz w:val="14"/>
          <w:szCs w:val="14"/>
          <w:lang w:val="es-ES_tradnl"/>
        </w:rPr>
        <w:t xml:space="preserve"> 0064-08-EP</w:t>
      </w:r>
    </w:p>
    <w:p w14:paraId="4F67AB68" w14:textId="77777777" w:rsidR="00591D54" w:rsidRDefault="00591D54">
      <w:pPr>
        <w:shd w:val="clear" w:color="auto" w:fill="FFFFFF"/>
        <w:tabs>
          <w:tab w:val="left" w:pos="144"/>
        </w:tabs>
        <w:spacing w:before="149" w:line="178" w:lineRule="exact"/>
        <w:ind w:left="144" w:hanging="144"/>
        <w:sectPr w:rsidR="00591D54">
          <w:type w:val="continuous"/>
          <w:pgSz w:w="11909" w:h="16834"/>
          <w:pgMar w:top="1356" w:right="1309" w:bottom="360" w:left="1308" w:header="720" w:footer="720" w:gutter="0"/>
          <w:cols w:num="2" w:space="720" w:equalWidth="0">
            <w:col w:w="4305" w:space="682"/>
            <w:col w:w="4305"/>
          </w:cols>
          <w:noEndnote/>
        </w:sectPr>
      </w:pPr>
    </w:p>
    <w:p w14:paraId="4F67AB69" w14:textId="77777777" w:rsidR="00591D54" w:rsidRDefault="00591D54">
      <w:pPr>
        <w:shd w:val="clear" w:color="auto" w:fill="FFFFFF"/>
        <w:tabs>
          <w:tab w:val="left" w:pos="4814"/>
        </w:tabs>
        <w:spacing w:after="235"/>
        <w:ind w:left="5"/>
      </w:pPr>
      <w:r>
        <w:rPr>
          <w:b/>
          <w:bCs/>
          <w:sz w:val="18"/>
          <w:szCs w:val="18"/>
          <w:lang w:val="es-ES_tradnl"/>
        </w:rPr>
        <w:t xml:space="preserve">96 -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B6A" w14:textId="77777777" w:rsidR="00591D54" w:rsidRDefault="00591D54">
      <w:pPr>
        <w:shd w:val="clear" w:color="auto" w:fill="FFFFFF"/>
        <w:tabs>
          <w:tab w:val="left" w:pos="4814"/>
        </w:tabs>
        <w:spacing w:after="235"/>
        <w:ind w:left="5"/>
        <w:sectPr w:rsidR="00591D54">
          <w:pgSz w:w="11909" w:h="16834"/>
          <w:pgMar w:top="1359" w:right="1309" w:bottom="360" w:left="1308" w:header="720" w:footer="720" w:gutter="0"/>
          <w:cols w:space="60"/>
          <w:noEndnote/>
        </w:sectPr>
      </w:pPr>
    </w:p>
    <w:p w14:paraId="4F67AB6B" w14:textId="77777777" w:rsidR="00591D54" w:rsidRDefault="00591D54">
      <w:pPr>
        <w:shd w:val="clear" w:color="auto" w:fill="FFFFFF"/>
        <w:spacing w:line="216" w:lineRule="exact"/>
        <w:jc w:val="both"/>
      </w:pPr>
      <w:r>
        <w:rPr>
          <w:spacing w:val="-6"/>
          <w:sz w:val="18"/>
          <w:szCs w:val="18"/>
          <w:lang w:val="es-ES_tradnl"/>
        </w:rPr>
        <w:t>de acuerdo con el art</w:t>
      </w:r>
      <w:r>
        <w:rPr>
          <w:rFonts w:cs="Times New Roman"/>
          <w:spacing w:val="-6"/>
          <w:sz w:val="18"/>
          <w:szCs w:val="18"/>
          <w:lang w:val="es-ES_tradnl"/>
        </w:rPr>
        <w:t>í</w:t>
      </w:r>
      <w:r>
        <w:rPr>
          <w:spacing w:val="-6"/>
          <w:sz w:val="18"/>
          <w:szCs w:val="18"/>
          <w:lang w:val="es-ES_tradnl"/>
        </w:rPr>
        <w:t xml:space="preserve">culo 2; 2) Si se ha interpuesto en </w:t>
      </w:r>
      <w:r>
        <w:rPr>
          <w:spacing w:val="-5"/>
          <w:sz w:val="18"/>
          <w:szCs w:val="18"/>
          <w:lang w:val="es-ES_tradnl"/>
        </w:rPr>
        <w:t xml:space="preserve">tiempo; y, 3) Si el escrito mediante el cual se lo deduce </w:t>
      </w:r>
      <w:r>
        <w:rPr>
          <w:spacing w:val="-7"/>
          <w:sz w:val="18"/>
          <w:szCs w:val="18"/>
          <w:lang w:val="es-ES_tradnl"/>
        </w:rPr>
        <w:t>re</w:t>
      </w:r>
      <w:r>
        <w:rPr>
          <w:rFonts w:cs="Times New Roman"/>
          <w:spacing w:val="-7"/>
          <w:sz w:val="18"/>
          <w:szCs w:val="18"/>
          <w:lang w:val="es-ES_tradnl"/>
        </w:rPr>
        <w:t>ú</w:t>
      </w:r>
      <w:r>
        <w:rPr>
          <w:spacing w:val="-7"/>
          <w:sz w:val="18"/>
          <w:szCs w:val="18"/>
          <w:lang w:val="es-ES_tradnl"/>
        </w:rPr>
        <w:t>ne los requisitos se</w:t>
      </w:r>
      <w:r>
        <w:rPr>
          <w:rFonts w:cs="Times New Roman"/>
          <w:spacing w:val="-7"/>
          <w:sz w:val="18"/>
          <w:szCs w:val="18"/>
          <w:lang w:val="es-ES_tradnl"/>
        </w:rPr>
        <w:t>ñ</w:t>
      </w:r>
      <w:r>
        <w:rPr>
          <w:spacing w:val="-7"/>
          <w:sz w:val="18"/>
          <w:szCs w:val="18"/>
          <w:lang w:val="es-ES_tradnl"/>
        </w:rPr>
        <w:t>alados en el art</w:t>
      </w:r>
      <w:r>
        <w:rPr>
          <w:rFonts w:cs="Times New Roman"/>
          <w:spacing w:val="-7"/>
          <w:sz w:val="18"/>
          <w:szCs w:val="18"/>
          <w:lang w:val="es-ES_tradnl"/>
        </w:rPr>
        <w:t>í</w:t>
      </w:r>
      <w:r>
        <w:rPr>
          <w:spacing w:val="-7"/>
          <w:sz w:val="18"/>
          <w:szCs w:val="18"/>
          <w:lang w:val="es-ES_tradnl"/>
        </w:rPr>
        <w:t>culo anterior.</w:t>
      </w:r>
    </w:p>
    <w:p w14:paraId="4F67AB6C" w14:textId="77777777" w:rsidR="00591D54" w:rsidRDefault="00591D54">
      <w:pPr>
        <w:shd w:val="clear" w:color="auto" w:fill="FFFFFF"/>
        <w:spacing w:before="197" w:line="216" w:lineRule="exact"/>
        <w:ind w:right="5"/>
        <w:jc w:val="both"/>
      </w:pPr>
      <w:r>
        <w:rPr>
          <w:spacing w:val="-3"/>
          <w:sz w:val="18"/>
          <w:szCs w:val="18"/>
          <w:lang w:val="es-ES_tradnl"/>
        </w:rPr>
        <w:t xml:space="preserve">De esta forma, una vez recibido el proceso judicial y en </w:t>
      </w:r>
      <w:r>
        <w:rPr>
          <w:spacing w:val="-7"/>
          <w:sz w:val="18"/>
          <w:szCs w:val="18"/>
          <w:lang w:val="es-ES_tradnl"/>
        </w:rPr>
        <w:t>el t</w:t>
      </w:r>
      <w:r>
        <w:rPr>
          <w:rFonts w:cs="Times New Roman"/>
          <w:spacing w:val="-7"/>
          <w:sz w:val="18"/>
          <w:szCs w:val="18"/>
          <w:lang w:val="es-ES_tradnl"/>
        </w:rPr>
        <w:t>é</w:t>
      </w:r>
      <w:r>
        <w:rPr>
          <w:spacing w:val="-7"/>
          <w:sz w:val="18"/>
          <w:szCs w:val="18"/>
          <w:lang w:val="es-ES_tradnl"/>
        </w:rPr>
        <w:t>rmino de quince d</w:t>
      </w:r>
      <w:r>
        <w:rPr>
          <w:rFonts w:cs="Times New Roman"/>
          <w:spacing w:val="-7"/>
          <w:sz w:val="18"/>
          <w:szCs w:val="18"/>
          <w:lang w:val="es-ES_tradnl"/>
        </w:rPr>
        <w:t>í</w:t>
      </w:r>
      <w:r>
        <w:rPr>
          <w:spacing w:val="-7"/>
          <w:sz w:val="18"/>
          <w:szCs w:val="18"/>
          <w:lang w:val="es-ES_tradnl"/>
        </w:rPr>
        <w:t xml:space="preserve">as, la Sala competente de la Corte </w:t>
      </w:r>
      <w:r>
        <w:rPr>
          <w:spacing w:val="-6"/>
          <w:sz w:val="18"/>
          <w:szCs w:val="18"/>
          <w:lang w:val="es-ES_tradnl"/>
        </w:rPr>
        <w:t>Nacional de Justicia examinar</w:t>
      </w:r>
      <w:r>
        <w:rPr>
          <w:rFonts w:cs="Times New Roman"/>
          <w:spacing w:val="-6"/>
          <w:sz w:val="18"/>
          <w:szCs w:val="18"/>
          <w:lang w:val="es-ES_tradnl"/>
        </w:rPr>
        <w:t>á</w:t>
      </w:r>
      <w:r>
        <w:rPr>
          <w:spacing w:val="-6"/>
          <w:sz w:val="18"/>
          <w:szCs w:val="18"/>
          <w:lang w:val="es-ES_tradnl"/>
        </w:rPr>
        <w:t xml:space="preserve"> si el recurso de casaci</w:t>
      </w:r>
      <w:r>
        <w:rPr>
          <w:rFonts w:cs="Times New Roman"/>
          <w:spacing w:val="-6"/>
          <w:sz w:val="18"/>
          <w:szCs w:val="18"/>
          <w:lang w:val="es-ES_tradnl"/>
        </w:rPr>
        <w:t>ó</w:t>
      </w:r>
      <w:r>
        <w:rPr>
          <w:spacing w:val="-6"/>
          <w:sz w:val="18"/>
          <w:szCs w:val="18"/>
          <w:lang w:val="es-ES_tradnl"/>
        </w:rPr>
        <w:t xml:space="preserve">n fue debidamente concedido, y en la primera providencia </w:t>
      </w:r>
      <w:r>
        <w:rPr>
          <w:sz w:val="18"/>
          <w:szCs w:val="18"/>
          <w:lang w:val="es-ES_tradnl"/>
        </w:rPr>
        <w:t>declarar</w:t>
      </w:r>
      <w:r>
        <w:rPr>
          <w:rFonts w:cs="Times New Roman"/>
          <w:sz w:val="18"/>
          <w:szCs w:val="18"/>
          <w:lang w:val="es-ES_tradnl"/>
        </w:rPr>
        <w:t>á</w:t>
      </w:r>
      <w:r>
        <w:rPr>
          <w:sz w:val="18"/>
          <w:szCs w:val="18"/>
          <w:lang w:val="es-ES_tradnl"/>
        </w:rPr>
        <w:t xml:space="preserve"> si lo admite o rechaza</w:t>
      </w:r>
      <w:r>
        <w:rPr>
          <w:sz w:val="18"/>
          <w:szCs w:val="18"/>
          <w:vertAlign w:val="superscript"/>
          <w:lang w:val="es-ES_tradnl"/>
        </w:rPr>
        <w:t>9</w:t>
      </w:r>
      <w:r>
        <w:rPr>
          <w:sz w:val="18"/>
          <w:szCs w:val="18"/>
          <w:lang w:val="es-ES_tradnl"/>
        </w:rPr>
        <w:t>.</w:t>
      </w:r>
    </w:p>
    <w:p w14:paraId="4F67AB6D" w14:textId="77777777" w:rsidR="00591D54" w:rsidRDefault="00591D54">
      <w:pPr>
        <w:shd w:val="clear" w:color="auto" w:fill="FFFFFF"/>
        <w:spacing w:before="197" w:line="216" w:lineRule="exact"/>
        <w:jc w:val="both"/>
      </w:pPr>
      <w:r>
        <w:rPr>
          <w:spacing w:val="-10"/>
          <w:sz w:val="18"/>
          <w:szCs w:val="18"/>
          <w:lang w:val="es-ES_tradnl"/>
        </w:rPr>
        <w:t xml:space="preserve">En el caso </w:t>
      </w:r>
      <w:r>
        <w:rPr>
          <w:i/>
          <w:iCs/>
          <w:spacing w:val="-10"/>
          <w:sz w:val="18"/>
          <w:szCs w:val="18"/>
          <w:lang w:val="es-ES_tradnl"/>
        </w:rPr>
        <w:t>sub examine</w:t>
      </w:r>
      <w:r>
        <w:rPr>
          <w:spacing w:val="-10"/>
          <w:sz w:val="18"/>
          <w:szCs w:val="18"/>
          <w:lang w:val="es-ES_tradnl"/>
        </w:rPr>
        <w:t>, se advierte del an</w:t>
      </w:r>
      <w:r>
        <w:rPr>
          <w:rFonts w:cs="Times New Roman"/>
          <w:spacing w:val="-10"/>
          <w:sz w:val="18"/>
          <w:szCs w:val="18"/>
          <w:lang w:val="es-ES_tradnl"/>
        </w:rPr>
        <w:t>á</w:t>
      </w:r>
      <w:r>
        <w:rPr>
          <w:spacing w:val="-10"/>
          <w:sz w:val="18"/>
          <w:szCs w:val="18"/>
          <w:lang w:val="es-ES_tradnl"/>
        </w:rPr>
        <w:t>lisis a la decisi</w:t>
      </w:r>
      <w:r>
        <w:rPr>
          <w:rFonts w:cs="Times New Roman"/>
          <w:spacing w:val="-10"/>
          <w:sz w:val="18"/>
          <w:szCs w:val="18"/>
          <w:lang w:val="es-ES_tradnl"/>
        </w:rPr>
        <w:t>ó</w:t>
      </w:r>
      <w:r>
        <w:rPr>
          <w:spacing w:val="-10"/>
          <w:sz w:val="18"/>
          <w:szCs w:val="18"/>
          <w:lang w:val="es-ES_tradnl"/>
        </w:rPr>
        <w:t xml:space="preserve">n </w:t>
      </w:r>
      <w:r>
        <w:rPr>
          <w:spacing w:val="-2"/>
          <w:sz w:val="18"/>
          <w:szCs w:val="18"/>
          <w:lang w:val="es-ES_tradnl"/>
        </w:rPr>
        <w:t xml:space="preserve">judicial impugnada que el </w:t>
      </w:r>
      <w:r>
        <w:rPr>
          <w:rFonts w:cs="Times New Roman"/>
          <w:spacing w:val="-2"/>
          <w:sz w:val="18"/>
          <w:szCs w:val="18"/>
          <w:lang w:val="es-ES_tradnl"/>
        </w:rPr>
        <w:t>ó</w:t>
      </w:r>
      <w:r>
        <w:rPr>
          <w:spacing w:val="-2"/>
          <w:sz w:val="18"/>
          <w:szCs w:val="18"/>
          <w:lang w:val="es-ES_tradnl"/>
        </w:rPr>
        <w:t>rgano judicial efectu</w:t>
      </w:r>
      <w:r>
        <w:rPr>
          <w:rFonts w:cs="Times New Roman"/>
          <w:spacing w:val="-2"/>
          <w:sz w:val="18"/>
          <w:szCs w:val="18"/>
          <w:lang w:val="es-ES_tradnl"/>
        </w:rPr>
        <w:t>ó</w:t>
      </w:r>
      <w:r>
        <w:rPr>
          <w:spacing w:val="-2"/>
          <w:sz w:val="18"/>
          <w:szCs w:val="18"/>
          <w:lang w:val="es-ES_tradnl"/>
        </w:rPr>
        <w:t xml:space="preserve"> un </w:t>
      </w:r>
      <w:r>
        <w:rPr>
          <w:spacing w:val="-7"/>
          <w:sz w:val="18"/>
          <w:szCs w:val="18"/>
          <w:lang w:val="es-ES_tradnl"/>
        </w:rPr>
        <w:t>examen de calificaci</w:t>
      </w:r>
      <w:r>
        <w:rPr>
          <w:rFonts w:cs="Times New Roman"/>
          <w:spacing w:val="-7"/>
          <w:sz w:val="18"/>
          <w:szCs w:val="18"/>
          <w:lang w:val="es-ES_tradnl"/>
        </w:rPr>
        <w:t>ó</w:t>
      </w:r>
      <w:r>
        <w:rPr>
          <w:spacing w:val="-7"/>
          <w:sz w:val="18"/>
          <w:szCs w:val="18"/>
          <w:lang w:val="es-ES_tradnl"/>
        </w:rPr>
        <w:t>n al recurso de casaci</w:t>
      </w:r>
      <w:r>
        <w:rPr>
          <w:rFonts w:cs="Times New Roman"/>
          <w:spacing w:val="-7"/>
          <w:sz w:val="18"/>
          <w:szCs w:val="18"/>
          <w:lang w:val="es-ES_tradnl"/>
        </w:rPr>
        <w:t>ó</w:t>
      </w:r>
      <w:r>
        <w:rPr>
          <w:spacing w:val="-7"/>
          <w:sz w:val="18"/>
          <w:szCs w:val="18"/>
          <w:lang w:val="es-ES_tradnl"/>
        </w:rPr>
        <w:t xml:space="preserve">n interpuesto </w:t>
      </w:r>
      <w:r>
        <w:rPr>
          <w:spacing w:val="-4"/>
          <w:sz w:val="18"/>
          <w:szCs w:val="18"/>
          <w:lang w:val="es-ES_tradnl"/>
        </w:rPr>
        <w:t>por el abogado V</w:t>
      </w:r>
      <w:r>
        <w:rPr>
          <w:rFonts w:cs="Times New Roman"/>
          <w:spacing w:val="-4"/>
          <w:sz w:val="18"/>
          <w:szCs w:val="18"/>
          <w:lang w:val="es-ES_tradnl"/>
        </w:rPr>
        <w:t>í</w:t>
      </w:r>
      <w:r>
        <w:rPr>
          <w:spacing w:val="-4"/>
          <w:sz w:val="18"/>
          <w:szCs w:val="18"/>
          <w:lang w:val="es-ES_tradnl"/>
        </w:rPr>
        <w:t>ctor Valencia Espinoza, que deriv</w:t>
      </w:r>
      <w:r>
        <w:rPr>
          <w:rFonts w:cs="Times New Roman"/>
          <w:spacing w:val="-4"/>
          <w:sz w:val="18"/>
          <w:szCs w:val="18"/>
          <w:lang w:val="es-ES_tradnl"/>
        </w:rPr>
        <w:t>ó</w:t>
      </w:r>
      <w:r>
        <w:rPr>
          <w:spacing w:val="-4"/>
          <w:sz w:val="18"/>
          <w:szCs w:val="18"/>
          <w:lang w:val="es-ES_tradnl"/>
        </w:rPr>
        <w:t xml:space="preserve"> en la inadmisi</w:t>
      </w:r>
      <w:r>
        <w:rPr>
          <w:rFonts w:cs="Times New Roman"/>
          <w:spacing w:val="-4"/>
          <w:sz w:val="18"/>
          <w:szCs w:val="18"/>
          <w:lang w:val="es-ES_tradnl"/>
        </w:rPr>
        <w:t>ó</w:t>
      </w:r>
      <w:r>
        <w:rPr>
          <w:spacing w:val="-4"/>
          <w:sz w:val="18"/>
          <w:szCs w:val="18"/>
          <w:lang w:val="es-ES_tradnl"/>
        </w:rPr>
        <w:t>n del mismo por la falta de cumplimiento de las solemnidades legales contempladas en el art</w:t>
      </w:r>
      <w:r>
        <w:rPr>
          <w:rFonts w:cs="Times New Roman"/>
          <w:spacing w:val="-4"/>
          <w:sz w:val="18"/>
          <w:szCs w:val="18"/>
          <w:lang w:val="es-ES_tradnl"/>
        </w:rPr>
        <w:t>í</w:t>
      </w:r>
      <w:r>
        <w:rPr>
          <w:spacing w:val="-4"/>
          <w:sz w:val="18"/>
          <w:szCs w:val="18"/>
          <w:lang w:val="es-ES_tradnl"/>
        </w:rPr>
        <w:t xml:space="preserve">culo 7 </w:t>
      </w:r>
      <w:r>
        <w:rPr>
          <w:spacing w:val="-7"/>
          <w:sz w:val="18"/>
          <w:szCs w:val="18"/>
          <w:lang w:val="es-ES_tradnl"/>
        </w:rPr>
        <w:t>de la Ley de Casaci</w:t>
      </w:r>
      <w:r>
        <w:rPr>
          <w:rFonts w:cs="Times New Roman"/>
          <w:spacing w:val="-7"/>
          <w:sz w:val="18"/>
          <w:szCs w:val="18"/>
          <w:lang w:val="es-ES_tradnl"/>
        </w:rPr>
        <w:t>ó</w:t>
      </w:r>
      <w:r>
        <w:rPr>
          <w:spacing w:val="-7"/>
          <w:sz w:val="18"/>
          <w:szCs w:val="18"/>
          <w:lang w:val="es-ES_tradnl"/>
        </w:rPr>
        <w:t>n, las cuales bajo ning</w:t>
      </w:r>
      <w:r>
        <w:rPr>
          <w:rFonts w:cs="Times New Roman"/>
          <w:spacing w:val="-7"/>
          <w:sz w:val="18"/>
          <w:szCs w:val="18"/>
          <w:lang w:val="es-ES_tradnl"/>
        </w:rPr>
        <w:t>ú</w:t>
      </w:r>
      <w:r>
        <w:rPr>
          <w:spacing w:val="-7"/>
          <w:sz w:val="18"/>
          <w:szCs w:val="18"/>
          <w:lang w:val="es-ES_tradnl"/>
        </w:rPr>
        <w:t xml:space="preserve">n concepto </w:t>
      </w:r>
      <w:r>
        <w:rPr>
          <w:spacing w:val="-6"/>
          <w:sz w:val="18"/>
          <w:szCs w:val="18"/>
          <w:lang w:val="es-ES_tradnl"/>
        </w:rPr>
        <w:t>determinan la inadmisi</w:t>
      </w:r>
      <w:r>
        <w:rPr>
          <w:rFonts w:cs="Times New Roman"/>
          <w:spacing w:val="-6"/>
          <w:sz w:val="18"/>
          <w:szCs w:val="18"/>
          <w:lang w:val="es-ES_tradnl"/>
        </w:rPr>
        <w:t>ó</w:t>
      </w:r>
      <w:r>
        <w:rPr>
          <w:spacing w:val="-6"/>
          <w:sz w:val="18"/>
          <w:szCs w:val="18"/>
          <w:lang w:val="es-ES_tradnl"/>
        </w:rPr>
        <w:t xml:space="preserve">n por falta de comparecencia de </w:t>
      </w:r>
      <w:r>
        <w:rPr>
          <w:spacing w:val="-10"/>
          <w:sz w:val="18"/>
          <w:szCs w:val="18"/>
          <w:lang w:val="es-ES_tradnl"/>
        </w:rPr>
        <w:t xml:space="preserve">todas las personas que son titulares de derechos e intereses </w:t>
      </w:r>
      <w:r>
        <w:rPr>
          <w:spacing w:val="-8"/>
          <w:sz w:val="18"/>
          <w:szCs w:val="18"/>
          <w:lang w:val="es-ES_tradnl"/>
        </w:rPr>
        <w:t>leg</w:t>
      </w:r>
      <w:r>
        <w:rPr>
          <w:rFonts w:cs="Times New Roman"/>
          <w:spacing w:val="-8"/>
          <w:sz w:val="18"/>
          <w:szCs w:val="18"/>
          <w:lang w:val="es-ES_tradnl"/>
        </w:rPr>
        <w:t>í</w:t>
      </w:r>
      <w:r>
        <w:rPr>
          <w:spacing w:val="-8"/>
          <w:sz w:val="18"/>
          <w:szCs w:val="18"/>
          <w:lang w:val="es-ES_tradnl"/>
        </w:rPr>
        <w:t>timos en la presentaci</w:t>
      </w:r>
      <w:r>
        <w:rPr>
          <w:rFonts w:cs="Times New Roman"/>
          <w:spacing w:val="-8"/>
          <w:sz w:val="18"/>
          <w:szCs w:val="18"/>
          <w:lang w:val="es-ES_tradnl"/>
        </w:rPr>
        <w:t>ó</w:t>
      </w:r>
      <w:r>
        <w:rPr>
          <w:spacing w:val="-8"/>
          <w:sz w:val="18"/>
          <w:szCs w:val="18"/>
          <w:lang w:val="es-ES_tradnl"/>
        </w:rPr>
        <w:t>n del recurso de casaci</w:t>
      </w:r>
      <w:r>
        <w:rPr>
          <w:rFonts w:cs="Times New Roman"/>
          <w:spacing w:val="-8"/>
          <w:sz w:val="18"/>
          <w:szCs w:val="18"/>
          <w:lang w:val="es-ES_tradnl"/>
        </w:rPr>
        <w:t>ó</w:t>
      </w:r>
      <w:r>
        <w:rPr>
          <w:spacing w:val="-8"/>
          <w:sz w:val="18"/>
          <w:szCs w:val="18"/>
          <w:lang w:val="es-ES_tradnl"/>
        </w:rPr>
        <w:t>n.</w:t>
      </w:r>
    </w:p>
    <w:p w14:paraId="4F67AB6E" w14:textId="77777777" w:rsidR="00591D54" w:rsidRDefault="00591D54">
      <w:pPr>
        <w:shd w:val="clear" w:color="auto" w:fill="FFFFFF"/>
        <w:spacing w:before="197" w:line="216" w:lineRule="exact"/>
        <w:ind w:right="5"/>
        <w:jc w:val="both"/>
      </w:pPr>
      <w:r>
        <w:rPr>
          <w:spacing w:val="-5"/>
          <w:sz w:val="18"/>
          <w:szCs w:val="18"/>
          <w:lang w:val="es-ES_tradnl"/>
        </w:rPr>
        <w:t>Al contrario, este m</w:t>
      </w:r>
      <w:r>
        <w:rPr>
          <w:rFonts w:cs="Times New Roman"/>
          <w:spacing w:val="-5"/>
          <w:sz w:val="18"/>
          <w:szCs w:val="18"/>
          <w:lang w:val="es-ES_tradnl"/>
        </w:rPr>
        <w:t>á</w:t>
      </w:r>
      <w:r>
        <w:rPr>
          <w:spacing w:val="-5"/>
          <w:sz w:val="18"/>
          <w:szCs w:val="18"/>
          <w:lang w:val="es-ES_tradnl"/>
        </w:rPr>
        <w:t xml:space="preserve">ximo </w:t>
      </w:r>
      <w:r>
        <w:rPr>
          <w:rFonts w:cs="Times New Roman"/>
          <w:spacing w:val="-5"/>
          <w:sz w:val="18"/>
          <w:szCs w:val="18"/>
          <w:lang w:val="es-ES_tradnl"/>
        </w:rPr>
        <w:t>ó</w:t>
      </w:r>
      <w:r>
        <w:rPr>
          <w:spacing w:val="-5"/>
          <w:sz w:val="18"/>
          <w:szCs w:val="18"/>
          <w:lang w:val="es-ES_tradnl"/>
        </w:rPr>
        <w:t>rgano de interpretaci</w:t>
      </w:r>
      <w:r>
        <w:rPr>
          <w:rFonts w:cs="Times New Roman"/>
          <w:spacing w:val="-5"/>
          <w:sz w:val="18"/>
          <w:szCs w:val="18"/>
          <w:lang w:val="es-ES_tradnl"/>
        </w:rPr>
        <w:t>ó</w:t>
      </w:r>
      <w:r>
        <w:rPr>
          <w:spacing w:val="-5"/>
          <w:sz w:val="18"/>
          <w:szCs w:val="18"/>
          <w:lang w:val="es-ES_tradnl"/>
        </w:rPr>
        <w:t xml:space="preserve">n </w:t>
      </w:r>
      <w:r>
        <w:rPr>
          <w:spacing w:val="-8"/>
          <w:sz w:val="18"/>
          <w:szCs w:val="18"/>
          <w:lang w:val="es-ES_tradnl"/>
        </w:rPr>
        <w:t>constitucional advierte que el abogado patrocinador, indic</w:t>
      </w:r>
      <w:r>
        <w:rPr>
          <w:rFonts w:cs="Times New Roman"/>
          <w:spacing w:val="-8"/>
          <w:sz w:val="18"/>
          <w:szCs w:val="18"/>
          <w:lang w:val="es-ES_tradnl"/>
        </w:rPr>
        <w:t>ó</w:t>
      </w:r>
      <w:r>
        <w:rPr>
          <w:spacing w:val="-8"/>
          <w:sz w:val="18"/>
          <w:szCs w:val="18"/>
          <w:lang w:val="es-ES_tradnl"/>
        </w:rPr>
        <w:t xml:space="preserve">, </w:t>
      </w:r>
      <w:r>
        <w:rPr>
          <w:spacing w:val="-9"/>
          <w:sz w:val="18"/>
          <w:szCs w:val="18"/>
          <w:lang w:val="es-ES_tradnl"/>
        </w:rPr>
        <w:t>en el escrito contentivo del recurso de casaci</w:t>
      </w:r>
      <w:r>
        <w:rPr>
          <w:rFonts w:cs="Times New Roman"/>
          <w:spacing w:val="-9"/>
          <w:sz w:val="18"/>
          <w:szCs w:val="18"/>
          <w:lang w:val="es-ES_tradnl"/>
        </w:rPr>
        <w:t>ó</w:t>
      </w:r>
      <w:r>
        <w:rPr>
          <w:spacing w:val="-9"/>
          <w:sz w:val="18"/>
          <w:szCs w:val="18"/>
          <w:lang w:val="es-ES_tradnl"/>
        </w:rPr>
        <w:t>n, que ofrec</w:t>
      </w:r>
      <w:r>
        <w:rPr>
          <w:rFonts w:cs="Times New Roman"/>
          <w:spacing w:val="-9"/>
          <w:sz w:val="18"/>
          <w:szCs w:val="18"/>
          <w:lang w:val="es-ES_tradnl"/>
        </w:rPr>
        <w:t>í</w:t>
      </w:r>
      <w:r>
        <w:rPr>
          <w:spacing w:val="-9"/>
          <w:sz w:val="18"/>
          <w:szCs w:val="18"/>
          <w:lang w:val="es-ES_tradnl"/>
        </w:rPr>
        <w:t xml:space="preserve">a </w:t>
      </w:r>
      <w:r>
        <w:rPr>
          <w:spacing w:val="-6"/>
          <w:sz w:val="18"/>
          <w:szCs w:val="18"/>
          <w:lang w:val="es-ES_tradnl"/>
        </w:rPr>
        <w:t>poder o ratificaci</w:t>
      </w:r>
      <w:r>
        <w:rPr>
          <w:rFonts w:cs="Times New Roman"/>
          <w:spacing w:val="-6"/>
          <w:sz w:val="18"/>
          <w:szCs w:val="18"/>
          <w:lang w:val="es-ES_tradnl"/>
        </w:rPr>
        <w:t>ó</w:t>
      </w:r>
      <w:r>
        <w:rPr>
          <w:spacing w:val="-6"/>
          <w:sz w:val="18"/>
          <w:szCs w:val="18"/>
          <w:lang w:val="es-ES_tradnl"/>
        </w:rPr>
        <w:t xml:space="preserve">n de gestiones de parte del legitimado </w:t>
      </w:r>
      <w:r>
        <w:rPr>
          <w:spacing w:val="-4"/>
          <w:sz w:val="18"/>
          <w:szCs w:val="18"/>
          <w:lang w:val="es-ES_tradnl"/>
        </w:rPr>
        <w:t>activo, Henry An</w:t>
      </w:r>
      <w:r>
        <w:rPr>
          <w:rFonts w:cs="Times New Roman"/>
          <w:spacing w:val="-4"/>
          <w:sz w:val="18"/>
          <w:szCs w:val="18"/>
          <w:lang w:val="es-ES_tradnl"/>
        </w:rPr>
        <w:t>í</w:t>
      </w:r>
      <w:r>
        <w:rPr>
          <w:spacing w:val="-4"/>
          <w:sz w:val="18"/>
          <w:szCs w:val="18"/>
          <w:lang w:val="es-ES_tradnl"/>
        </w:rPr>
        <w:t xml:space="preserve">bal Ayala Espinoza, motivo por el cual, </w:t>
      </w:r>
      <w:r>
        <w:rPr>
          <w:spacing w:val="-5"/>
          <w:sz w:val="18"/>
          <w:szCs w:val="18"/>
          <w:lang w:val="es-ES_tradnl"/>
        </w:rPr>
        <w:t xml:space="preserve">el </w:t>
      </w:r>
      <w:r>
        <w:rPr>
          <w:rFonts w:cs="Times New Roman"/>
          <w:spacing w:val="-5"/>
          <w:sz w:val="18"/>
          <w:szCs w:val="18"/>
          <w:lang w:val="es-ES_tradnl"/>
        </w:rPr>
        <w:t>ó</w:t>
      </w:r>
      <w:r>
        <w:rPr>
          <w:spacing w:val="-5"/>
          <w:sz w:val="18"/>
          <w:szCs w:val="18"/>
          <w:lang w:val="es-ES_tradnl"/>
        </w:rPr>
        <w:t>rgano judicial ten</w:t>
      </w:r>
      <w:r>
        <w:rPr>
          <w:rFonts w:cs="Times New Roman"/>
          <w:spacing w:val="-5"/>
          <w:sz w:val="18"/>
          <w:szCs w:val="18"/>
          <w:lang w:val="es-ES_tradnl"/>
        </w:rPr>
        <w:t>í</w:t>
      </w:r>
      <w:r>
        <w:rPr>
          <w:spacing w:val="-5"/>
          <w:sz w:val="18"/>
          <w:szCs w:val="18"/>
          <w:lang w:val="es-ES_tradnl"/>
        </w:rPr>
        <w:t>a la obligaci</w:t>
      </w:r>
      <w:r>
        <w:rPr>
          <w:rFonts w:cs="Times New Roman"/>
          <w:spacing w:val="-5"/>
          <w:sz w:val="18"/>
          <w:szCs w:val="18"/>
          <w:lang w:val="es-ES_tradnl"/>
        </w:rPr>
        <w:t>ó</w:t>
      </w:r>
      <w:r>
        <w:rPr>
          <w:spacing w:val="-5"/>
          <w:sz w:val="18"/>
          <w:szCs w:val="18"/>
          <w:lang w:val="es-ES_tradnl"/>
        </w:rPr>
        <w:t xml:space="preserve">n de interpretar con </w:t>
      </w:r>
      <w:r>
        <w:rPr>
          <w:spacing w:val="-7"/>
          <w:sz w:val="18"/>
          <w:szCs w:val="18"/>
          <w:lang w:val="es-ES_tradnl"/>
        </w:rPr>
        <w:t>amplitud las f</w:t>
      </w:r>
      <w:r>
        <w:rPr>
          <w:rFonts w:cs="Times New Roman"/>
          <w:spacing w:val="-7"/>
          <w:sz w:val="18"/>
          <w:szCs w:val="18"/>
          <w:lang w:val="es-ES_tradnl"/>
        </w:rPr>
        <w:t>ó</w:t>
      </w:r>
      <w:r>
        <w:rPr>
          <w:spacing w:val="-7"/>
          <w:sz w:val="18"/>
          <w:szCs w:val="18"/>
          <w:lang w:val="es-ES_tradnl"/>
        </w:rPr>
        <w:t xml:space="preserve">rmulas que las leyes procesales utilizan en </w:t>
      </w:r>
      <w:r>
        <w:rPr>
          <w:spacing w:val="-4"/>
          <w:sz w:val="18"/>
          <w:szCs w:val="18"/>
          <w:lang w:val="es-ES_tradnl"/>
        </w:rPr>
        <w:t>orden a la atribuci</w:t>
      </w:r>
      <w:r>
        <w:rPr>
          <w:rFonts w:cs="Times New Roman"/>
          <w:spacing w:val="-4"/>
          <w:sz w:val="18"/>
          <w:szCs w:val="18"/>
          <w:lang w:val="es-ES_tradnl"/>
        </w:rPr>
        <w:t>ó</w:t>
      </w:r>
      <w:r>
        <w:rPr>
          <w:spacing w:val="-4"/>
          <w:sz w:val="18"/>
          <w:szCs w:val="18"/>
          <w:lang w:val="es-ES_tradnl"/>
        </w:rPr>
        <w:t>n de legitimaci</w:t>
      </w:r>
      <w:r>
        <w:rPr>
          <w:rFonts w:cs="Times New Roman"/>
          <w:spacing w:val="-4"/>
          <w:sz w:val="18"/>
          <w:szCs w:val="18"/>
          <w:lang w:val="es-ES_tradnl"/>
        </w:rPr>
        <w:t>ó</w:t>
      </w:r>
      <w:r>
        <w:rPr>
          <w:spacing w:val="-4"/>
          <w:sz w:val="18"/>
          <w:szCs w:val="18"/>
          <w:lang w:val="es-ES_tradnl"/>
        </w:rPr>
        <w:t xml:space="preserve">n activa para acceder </w:t>
      </w:r>
      <w:r>
        <w:rPr>
          <w:spacing w:val="-3"/>
          <w:sz w:val="18"/>
          <w:szCs w:val="18"/>
          <w:lang w:val="es-ES_tradnl"/>
        </w:rPr>
        <w:t>a los procesos judiciales. Por ello, no se pod</w:t>
      </w:r>
      <w:r>
        <w:rPr>
          <w:rFonts w:cs="Times New Roman"/>
          <w:spacing w:val="-3"/>
          <w:sz w:val="18"/>
          <w:szCs w:val="18"/>
          <w:lang w:val="es-ES_tradnl"/>
        </w:rPr>
        <w:t>í</w:t>
      </w:r>
      <w:r>
        <w:rPr>
          <w:spacing w:val="-3"/>
          <w:sz w:val="18"/>
          <w:szCs w:val="18"/>
          <w:lang w:val="es-ES_tradnl"/>
        </w:rPr>
        <w:t xml:space="preserve">a inadmitir </w:t>
      </w:r>
      <w:r>
        <w:rPr>
          <w:spacing w:val="-8"/>
          <w:sz w:val="18"/>
          <w:szCs w:val="18"/>
          <w:lang w:val="es-ES_tradnl"/>
        </w:rPr>
        <w:t>el recurso de casaci</w:t>
      </w:r>
      <w:r>
        <w:rPr>
          <w:rFonts w:cs="Times New Roman"/>
          <w:spacing w:val="-8"/>
          <w:sz w:val="18"/>
          <w:szCs w:val="18"/>
          <w:lang w:val="es-ES_tradnl"/>
        </w:rPr>
        <w:t>ó</w:t>
      </w:r>
      <w:r>
        <w:rPr>
          <w:spacing w:val="-8"/>
          <w:sz w:val="18"/>
          <w:szCs w:val="18"/>
          <w:lang w:val="es-ES_tradnl"/>
        </w:rPr>
        <w:t xml:space="preserve">n debidamente interpuesto, en virtud </w:t>
      </w:r>
      <w:r>
        <w:rPr>
          <w:spacing w:val="-5"/>
          <w:sz w:val="18"/>
          <w:szCs w:val="18"/>
          <w:lang w:val="es-ES_tradnl"/>
        </w:rPr>
        <w:t>que la potestad para su admisi</w:t>
      </w:r>
      <w:r>
        <w:rPr>
          <w:rFonts w:cs="Times New Roman"/>
          <w:spacing w:val="-5"/>
          <w:sz w:val="18"/>
          <w:szCs w:val="18"/>
          <w:lang w:val="es-ES_tradnl"/>
        </w:rPr>
        <w:t>ó</w:t>
      </w:r>
      <w:r>
        <w:rPr>
          <w:spacing w:val="-5"/>
          <w:sz w:val="18"/>
          <w:szCs w:val="18"/>
          <w:lang w:val="es-ES_tradnl"/>
        </w:rPr>
        <w:t>n o denegaci</w:t>
      </w:r>
      <w:r>
        <w:rPr>
          <w:rFonts w:cs="Times New Roman"/>
          <w:spacing w:val="-5"/>
          <w:sz w:val="18"/>
          <w:szCs w:val="18"/>
          <w:lang w:val="es-ES_tradnl"/>
        </w:rPr>
        <w:t>ó</w:t>
      </w:r>
      <w:r>
        <w:rPr>
          <w:spacing w:val="-5"/>
          <w:sz w:val="18"/>
          <w:szCs w:val="18"/>
          <w:lang w:val="es-ES_tradnl"/>
        </w:rPr>
        <w:t xml:space="preserve">n, incluso </w:t>
      </w:r>
      <w:r>
        <w:rPr>
          <w:spacing w:val="-7"/>
          <w:sz w:val="18"/>
          <w:szCs w:val="18"/>
          <w:lang w:val="es-ES_tradnl"/>
        </w:rPr>
        <w:t xml:space="preserve">para pronunciarse sobre la circunstancia legal presentada, </w:t>
      </w:r>
      <w:r>
        <w:rPr>
          <w:spacing w:val="-2"/>
          <w:sz w:val="18"/>
          <w:szCs w:val="18"/>
          <w:lang w:val="es-ES_tradnl"/>
        </w:rPr>
        <w:t xml:space="preserve">le corresponde directamente a la Corte Nacional de </w:t>
      </w:r>
      <w:r>
        <w:rPr>
          <w:spacing w:val="-8"/>
          <w:sz w:val="18"/>
          <w:szCs w:val="18"/>
          <w:lang w:val="es-ES_tradnl"/>
        </w:rPr>
        <w:t xml:space="preserve">Justicia, </w:t>
      </w:r>
      <w:r>
        <w:rPr>
          <w:rFonts w:cs="Times New Roman"/>
          <w:spacing w:val="-8"/>
          <w:sz w:val="18"/>
          <w:szCs w:val="18"/>
          <w:lang w:val="es-ES_tradnl"/>
        </w:rPr>
        <w:t>ó</w:t>
      </w:r>
      <w:r>
        <w:rPr>
          <w:spacing w:val="-8"/>
          <w:sz w:val="18"/>
          <w:szCs w:val="18"/>
          <w:lang w:val="es-ES_tradnl"/>
        </w:rPr>
        <w:t>rgano jurisdiccional competente encargado de la examinaci</w:t>
      </w:r>
      <w:r>
        <w:rPr>
          <w:rFonts w:cs="Times New Roman"/>
          <w:spacing w:val="-8"/>
          <w:sz w:val="18"/>
          <w:szCs w:val="18"/>
          <w:lang w:val="es-ES_tradnl"/>
        </w:rPr>
        <w:t>ó</w:t>
      </w:r>
      <w:r>
        <w:rPr>
          <w:spacing w:val="-8"/>
          <w:sz w:val="18"/>
          <w:szCs w:val="18"/>
          <w:lang w:val="es-ES_tradnl"/>
        </w:rPr>
        <w:t>n de este recurso de car</w:t>
      </w:r>
      <w:r>
        <w:rPr>
          <w:rFonts w:cs="Times New Roman"/>
          <w:spacing w:val="-8"/>
          <w:sz w:val="18"/>
          <w:szCs w:val="18"/>
          <w:lang w:val="es-ES_tradnl"/>
        </w:rPr>
        <w:t>á</w:t>
      </w:r>
      <w:r>
        <w:rPr>
          <w:spacing w:val="-8"/>
          <w:sz w:val="18"/>
          <w:szCs w:val="18"/>
          <w:lang w:val="es-ES_tradnl"/>
        </w:rPr>
        <w:t>cter excepcional que propende a proceder en el solo inter</w:t>
      </w:r>
      <w:r>
        <w:rPr>
          <w:rFonts w:cs="Times New Roman"/>
          <w:spacing w:val="-8"/>
          <w:sz w:val="18"/>
          <w:szCs w:val="18"/>
          <w:lang w:val="es-ES_tradnl"/>
        </w:rPr>
        <w:t>é</w:t>
      </w:r>
      <w:r>
        <w:rPr>
          <w:spacing w:val="-8"/>
          <w:sz w:val="18"/>
          <w:szCs w:val="18"/>
          <w:lang w:val="es-ES_tradnl"/>
        </w:rPr>
        <w:t>s de la ley.</w:t>
      </w:r>
    </w:p>
    <w:p w14:paraId="4F67AB6F" w14:textId="77777777" w:rsidR="00591D54" w:rsidRDefault="00591D54">
      <w:pPr>
        <w:shd w:val="clear" w:color="auto" w:fill="FFFFFF"/>
        <w:spacing w:before="197" w:line="216" w:lineRule="exact"/>
        <w:ind w:right="5"/>
        <w:jc w:val="both"/>
      </w:pPr>
      <w:r>
        <w:rPr>
          <w:spacing w:val="-8"/>
          <w:sz w:val="18"/>
          <w:szCs w:val="18"/>
          <w:lang w:val="es-ES_tradnl"/>
        </w:rPr>
        <w:t>En consecuencia, esta actuaci</w:t>
      </w:r>
      <w:r>
        <w:rPr>
          <w:rFonts w:cs="Times New Roman"/>
          <w:spacing w:val="-8"/>
          <w:sz w:val="18"/>
          <w:szCs w:val="18"/>
          <w:lang w:val="es-ES_tradnl"/>
        </w:rPr>
        <w:t>ó</w:t>
      </w:r>
      <w:r>
        <w:rPr>
          <w:spacing w:val="-8"/>
          <w:sz w:val="18"/>
          <w:szCs w:val="18"/>
          <w:lang w:val="es-ES_tradnl"/>
        </w:rPr>
        <w:t>n judicial priv</w:t>
      </w:r>
      <w:r>
        <w:rPr>
          <w:rFonts w:cs="Times New Roman"/>
          <w:spacing w:val="-8"/>
          <w:sz w:val="18"/>
          <w:szCs w:val="18"/>
          <w:lang w:val="es-ES_tradnl"/>
        </w:rPr>
        <w:t>ó</w:t>
      </w:r>
      <w:r>
        <w:rPr>
          <w:spacing w:val="-8"/>
          <w:sz w:val="18"/>
          <w:szCs w:val="18"/>
          <w:lang w:val="es-ES_tradnl"/>
        </w:rPr>
        <w:t xml:space="preserve"> al legitimado </w:t>
      </w:r>
      <w:r>
        <w:rPr>
          <w:spacing w:val="-9"/>
          <w:sz w:val="18"/>
          <w:szCs w:val="18"/>
          <w:lang w:val="es-ES_tradnl"/>
        </w:rPr>
        <w:t>activo de ejercer su derecho constitucional a la tutela judicial efectiva, ya que se restringi</w:t>
      </w:r>
      <w:r>
        <w:rPr>
          <w:rFonts w:cs="Times New Roman"/>
          <w:spacing w:val="-9"/>
          <w:sz w:val="18"/>
          <w:szCs w:val="18"/>
          <w:lang w:val="es-ES_tradnl"/>
        </w:rPr>
        <w:t>ó</w:t>
      </w:r>
      <w:r>
        <w:rPr>
          <w:spacing w:val="-9"/>
          <w:sz w:val="18"/>
          <w:szCs w:val="18"/>
          <w:lang w:val="es-ES_tradnl"/>
        </w:rPr>
        <w:t>, sin ninguna justificaci</w:t>
      </w:r>
      <w:r>
        <w:rPr>
          <w:rFonts w:cs="Times New Roman"/>
          <w:spacing w:val="-9"/>
          <w:sz w:val="18"/>
          <w:szCs w:val="18"/>
          <w:lang w:val="es-ES_tradnl"/>
        </w:rPr>
        <w:t>ó</w:t>
      </w:r>
      <w:r>
        <w:rPr>
          <w:spacing w:val="-9"/>
          <w:sz w:val="18"/>
          <w:szCs w:val="18"/>
          <w:lang w:val="es-ES_tradnl"/>
        </w:rPr>
        <w:t xml:space="preserve">n legal, </w:t>
      </w:r>
      <w:r>
        <w:rPr>
          <w:spacing w:val="-10"/>
          <w:sz w:val="18"/>
          <w:szCs w:val="18"/>
          <w:lang w:val="es-ES_tradnl"/>
        </w:rPr>
        <w:t xml:space="preserve">su derecho de acceso a la justicia, consistente en demostrar </w:t>
      </w:r>
      <w:r>
        <w:rPr>
          <w:spacing w:val="-6"/>
          <w:sz w:val="18"/>
          <w:szCs w:val="18"/>
          <w:lang w:val="es-ES_tradnl"/>
        </w:rPr>
        <w:t>su pretensi</w:t>
      </w:r>
      <w:r>
        <w:rPr>
          <w:rFonts w:cs="Times New Roman"/>
          <w:spacing w:val="-6"/>
          <w:sz w:val="18"/>
          <w:szCs w:val="18"/>
          <w:lang w:val="es-ES_tradnl"/>
        </w:rPr>
        <w:t>ó</w:t>
      </w:r>
      <w:r>
        <w:rPr>
          <w:spacing w:val="-6"/>
          <w:sz w:val="18"/>
          <w:szCs w:val="18"/>
          <w:lang w:val="es-ES_tradnl"/>
        </w:rPr>
        <w:t>n por el inter</w:t>
      </w:r>
      <w:r>
        <w:rPr>
          <w:rFonts w:cs="Times New Roman"/>
          <w:spacing w:val="-6"/>
          <w:sz w:val="18"/>
          <w:szCs w:val="18"/>
          <w:lang w:val="es-ES_tradnl"/>
        </w:rPr>
        <w:t>é</w:t>
      </w:r>
      <w:r>
        <w:rPr>
          <w:spacing w:val="-6"/>
          <w:sz w:val="18"/>
          <w:szCs w:val="18"/>
          <w:lang w:val="es-ES_tradnl"/>
        </w:rPr>
        <w:t>s leg</w:t>
      </w:r>
      <w:r>
        <w:rPr>
          <w:rFonts w:cs="Times New Roman"/>
          <w:spacing w:val="-6"/>
          <w:sz w:val="18"/>
          <w:szCs w:val="18"/>
          <w:lang w:val="es-ES_tradnl"/>
        </w:rPr>
        <w:t>í</w:t>
      </w:r>
      <w:r>
        <w:rPr>
          <w:spacing w:val="-6"/>
          <w:sz w:val="18"/>
          <w:szCs w:val="18"/>
          <w:lang w:val="es-ES_tradnl"/>
        </w:rPr>
        <w:t xml:space="preserve">timo que ostentaba, para </w:t>
      </w:r>
      <w:r>
        <w:rPr>
          <w:spacing w:val="-7"/>
          <w:sz w:val="18"/>
          <w:szCs w:val="18"/>
          <w:lang w:val="es-ES_tradnl"/>
        </w:rPr>
        <w:t xml:space="preserve">que la Corte Nacional de Justicia pudiere conocer los </w:t>
      </w:r>
      <w:r>
        <w:rPr>
          <w:spacing w:val="-9"/>
          <w:sz w:val="18"/>
          <w:szCs w:val="18"/>
          <w:lang w:val="es-ES_tradnl"/>
        </w:rPr>
        <w:t>argumentos jur</w:t>
      </w:r>
      <w:r>
        <w:rPr>
          <w:rFonts w:cs="Times New Roman"/>
          <w:spacing w:val="-9"/>
          <w:sz w:val="18"/>
          <w:szCs w:val="18"/>
          <w:lang w:val="es-ES_tradnl"/>
        </w:rPr>
        <w:t>í</w:t>
      </w:r>
      <w:r>
        <w:rPr>
          <w:spacing w:val="-9"/>
          <w:sz w:val="18"/>
          <w:szCs w:val="18"/>
          <w:lang w:val="es-ES_tradnl"/>
        </w:rPr>
        <w:t>dicos expuestos en el recurso de casaci</w:t>
      </w:r>
      <w:r>
        <w:rPr>
          <w:rFonts w:cs="Times New Roman"/>
          <w:spacing w:val="-9"/>
          <w:sz w:val="18"/>
          <w:szCs w:val="18"/>
          <w:lang w:val="es-ES_tradnl"/>
        </w:rPr>
        <w:t>ó</w:t>
      </w:r>
      <w:r>
        <w:rPr>
          <w:spacing w:val="-9"/>
          <w:sz w:val="18"/>
          <w:szCs w:val="18"/>
          <w:lang w:val="es-ES_tradnl"/>
        </w:rPr>
        <w:t>n.</w:t>
      </w:r>
    </w:p>
    <w:p w14:paraId="4F67AB70" w14:textId="77777777" w:rsidR="00591D54" w:rsidRDefault="00591D54">
      <w:pPr>
        <w:shd w:val="clear" w:color="auto" w:fill="FFFFFF"/>
        <w:spacing w:before="197" w:line="216" w:lineRule="exact"/>
        <w:ind w:right="5"/>
        <w:jc w:val="both"/>
      </w:pPr>
      <w:r>
        <w:rPr>
          <w:spacing w:val="-8"/>
          <w:sz w:val="18"/>
          <w:szCs w:val="18"/>
          <w:lang w:val="es-ES_tradnl"/>
        </w:rPr>
        <w:t>El derecho de acceso a la justicia es una garant</w:t>
      </w:r>
      <w:r>
        <w:rPr>
          <w:rFonts w:cs="Times New Roman"/>
          <w:spacing w:val="-8"/>
          <w:sz w:val="18"/>
          <w:szCs w:val="18"/>
          <w:lang w:val="es-ES_tradnl"/>
        </w:rPr>
        <w:t>í</w:t>
      </w:r>
      <w:r>
        <w:rPr>
          <w:spacing w:val="-8"/>
          <w:sz w:val="18"/>
          <w:szCs w:val="18"/>
          <w:lang w:val="es-ES_tradnl"/>
        </w:rPr>
        <w:t xml:space="preserve">a para los </w:t>
      </w:r>
      <w:r>
        <w:rPr>
          <w:spacing w:val="-5"/>
          <w:sz w:val="18"/>
          <w:szCs w:val="18"/>
          <w:lang w:val="es-ES_tradnl"/>
        </w:rPr>
        <w:t xml:space="preserve">justiciables que permite el esclarecimiento de un hecho, </w:t>
      </w:r>
      <w:r>
        <w:rPr>
          <w:sz w:val="18"/>
          <w:szCs w:val="18"/>
          <w:lang w:val="es-ES_tradnl"/>
        </w:rPr>
        <w:t>por los medios previstos en el ordenamiento jur</w:t>
      </w:r>
      <w:r>
        <w:rPr>
          <w:rFonts w:cs="Times New Roman"/>
          <w:sz w:val="18"/>
          <w:szCs w:val="18"/>
          <w:lang w:val="es-ES_tradnl"/>
        </w:rPr>
        <w:t>í</w:t>
      </w:r>
      <w:r>
        <w:rPr>
          <w:sz w:val="18"/>
          <w:szCs w:val="18"/>
          <w:lang w:val="es-ES_tradnl"/>
        </w:rPr>
        <w:t xml:space="preserve">dico </w:t>
      </w:r>
      <w:r>
        <w:rPr>
          <w:spacing w:val="-6"/>
          <w:sz w:val="18"/>
          <w:szCs w:val="18"/>
          <w:lang w:val="es-ES_tradnl"/>
        </w:rPr>
        <w:t>para su respectiva resoluci</w:t>
      </w:r>
      <w:r>
        <w:rPr>
          <w:rFonts w:cs="Times New Roman"/>
          <w:spacing w:val="-6"/>
          <w:sz w:val="18"/>
          <w:szCs w:val="18"/>
          <w:lang w:val="es-ES_tradnl"/>
        </w:rPr>
        <w:t>ó</w:t>
      </w:r>
      <w:r>
        <w:rPr>
          <w:spacing w:val="-6"/>
          <w:sz w:val="18"/>
          <w:szCs w:val="18"/>
          <w:lang w:val="es-ES_tradnl"/>
        </w:rPr>
        <w:t>n, que involucra la protecci</w:t>
      </w:r>
      <w:r>
        <w:rPr>
          <w:rFonts w:cs="Times New Roman"/>
          <w:spacing w:val="-6"/>
          <w:sz w:val="18"/>
          <w:szCs w:val="18"/>
          <w:lang w:val="es-ES_tradnl"/>
        </w:rPr>
        <w:t>ó</w:t>
      </w:r>
      <w:r>
        <w:rPr>
          <w:spacing w:val="-6"/>
          <w:sz w:val="18"/>
          <w:szCs w:val="18"/>
          <w:lang w:val="es-ES_tradnl"/>
        </w:rPr>
        <w:t xml:space="preserve">n </w:t>
      </w:r>
      <w:r>
        <w:rPr>
          <w:spacing w:val="-9"/>
          <w:sz w:val="18"/>
          <w:szCs w:val="18"/>
          <w:lang w:val="es-ES_tradnl"/>
        </w:rPr>
        <w:t>efectiva de los derechos y garant</w:t>
      </w:r>
      <w:r>
        <w:rPr>
          <w:rFonts w:cs="Times New Roman"/>
          <w:spacing w:val="-9"/>
          <w:sz w:val="18"/>
          <w:szCs w:val="18"/>
          <w:lang w:val="es-ES_tradnl"/>
        </w:rPr>
        <w:t>í</w:t>
      </w:r>
      <w:r>
        <w:rPr>
          <w:spacing w:val="-9"/>
          <w:sz w:val="18"/>
          <w:szCs w:val="18"/>
          <w:lang w:val="es-ES_tradnl"/>
        </w:rPr>
        <w:t xml:space="preserve">as ciudadanas, tendientes </w:t>
      </w:r>
      <w:r>
        <w:rPr>
          <w:spacing w:val="-3"/>
          <w:sz w:val="18"/>
          <w:szCs w:val="18"/>
          <w:lang w:val="es-ES_tradnl"/>
        </w:rPr>
        <w:t xml:space="preserve">a materializar, de forma real, sus derechos individuales </w:t>
      </w:r>
      <w:r>
        <w:rPr>
          <w:spacing w:val="-4"/>
          <w:sz w:val="18"/>
          <w:szCs w:val="18"/>
          <w:lang w:val="es-ES_tradnl"/>
        </w:rPr>
        <w:t>y sociales, en divergencia a la aplicaci</w:t>
      </w:r>
      <w:r>
        <w:rPr>
          <w:rFonts w:cs="Times New Roman"/>
          <w:spacing w:val="-4"/>
          <w:sz w:val="18"/>
          <w:szCs w:val="18"/>
          <w:lang w:val="es-ES_tradnl"/>
        </w:rPr>
        <w:t>ó</w:t>
      </w:r>
      <w:r>
        <w:rPr>
          <w:spacing w:val="-4"/>
          <w:sz w:val="18"/>
          <w:szCs w:val="18"/>
          <w:lang w:val="es-ES_tradnl"/>
        </w:rPr>
        <w:t xml:space="preserve">n de meros </w:t>
      </w:r>
      <w:r>
        <w:rPr>
          <w:spacing w:val="-8"/>
          <w:sz w:val="18"/>
          <w:szCs w:val="18"/>
          <w:lang w:val="es-ES_tradnl"/>
        </w:rPr>
        <w:t>formalismos que no tienen justificaci</w:t>
      </w:r>
      <w:r>
        <w:rPr>
          <w:rFonts w:cs="Times New Roman"/>
          <w:spacing w:val="-8"/>
          <w:sz w:val="18"/>
          <w:szCs w:val="18"/>
          <w:lang w:val="es-ES_tradnl"/>
        </w:rPr>
        <w:t>ó</w:t>
      </w:r>
      <w:r>
        <w:rPr>
          <w:spacing w:val="-8"/>
          <w:sz w:val="18"/>
          <w:szCs w:val="18"/>
          <w:lang w:val="es-ES_tradnl"/>
        </w:rPr>
        <w:t>n racional en nuestro Estado constitucional de derechos y justicia, m</w:t>
      </w:r>
      <w:r>
        <w:rPr>
          <w:rFonts w:cs="Times New Roman"/>
          <w:spacing w:val="-8"/>
          <w:sz w:val="18"/>
          <w:szCs w:val="18"/>
          <w:lang w:val="es-ES_tradnl"/>
        </w:rPr>
        <w:t>á</w:t>
      </w:r>
      <w:r>
        <w:rPr>
          <w:spacing w:val="-8"/>
          <w:sz w:val="18"/>
          <w:szCs w:val="18"/>
          <w:lang w:val="es-ES_tradnl"/>
        </w:rPr>
        <w:t>s a</w:t>
      </w:r>
      <w:r>
        <w:rPr>
          <w:rFonts w:cs="Times New Roman"/>
          <w:spacing w:val="-8"/>
          <w:sz w:val="18"/>
          <w:szCs w:val="18"/>
          <w:lang w:val="es-ES_tradnl"/>
        </w:rPr>
        <w:t>ú</w:t>
      </w:r>
      <w:r>
        <w:rPr>
          <w:spacing w:val="-8"/>
          <w:sz w:val="18"/>
          <w:szCs w:val="18"/>
          <w:lang w:val="es-ES_tradnl"/>
        </w:rPr>
        <w:t xml:space="preserve">n si se </w:t>
      </w:r>
      <w:r>
        <w:rPr>
          <w:spacing w:val="-9"/>
          <w:sz w:val="18"/>
          <w:szCs w:val="18"/>
          <w:lang w:val="es-ES_tradnl"/>
        </w:rPr>
        <w:t>dirigen a vulnerar derechos constitucionales</w:t>
      </w:r>
      <w:r>
        <w:rPr>
          <w:spacing w:val="-9"/>
          <w:sz w:val="18"/>
          <w:szCs w:val="18"/>
          <w:vertAlign w:val="superscript"/>
          <w:lang w:val="es-ES_tradnl"/>
        </w:rPr>
        <w:t>10</w:t>
      </w:r>
      <w:r>
        <w:rPr>
          <w:spacing w:val="-9"/>
          <w:sz w:val="18"/>
          <w:szCs w:val="18"/>
          <w:lang w:val="es-ES_tradnl"/>
        </w:rPr>
        <w:t>.</w:t>
      </w:r>
    </w:p>
    <w:p w14:paraId="4F67AB71" w14:textId="77777777" w:rsidR="00591D54" w:rsidRDefault="00591D54">
      <w:pPr>
        <w:shd w:val="clear" w:color="auto" w:fill="FFFFFF"/>
        <w:tabs>
          <w:tab w:val="left" w:pos="139"/>
        </w:tabs>
        <w:spacing w:before="614"/>
      </w:pPr>
      <w:r>
        <w:rPr>
          <w:sz w:val="8"/>
          <w:szCs w:val="8"/>
          <w:vertAlign w:val="superscript"/>
          <w:lang w:val="es-ES_tradnl"/>
        </w:rPr>
        <w:t>9</w:t>
      </w:r>
      <w:r>
        <w:rPr>
          <w:sz w:val="18"/>
          <w:szCs w:val="18"/>
          <w:lang w:val="es-ES_tradnl"/>
        </w:rPr>
        <w:tab/>
      </w:r>
      <w:r>
        <w:rPr>
          <w:spacing w:val="-1"/>
          <w:sz w:val="14"/>
          <w:szCs w:val="14"/>
          <w:lang w:val="es-ES_tradnl"/>
        </w:rPr>
        <w:t>Ley</w:t>
      </w:r>
      <w:r>
        <w:rPr>
          <w:spacing w:val="-1"/>
          <w:sz w:val="18"/>
          <w:szCs w:val="18"/>
          <w:lang w:val="es-ES_tradnl"/>
        </w:rPr>
        <w:t xml:space="preserve"> </w:t>
      </w:r>
      <w:r>
        <w:rPr>
          <w:spacing w:val="-1"/>
          <w:sz w:val="14"/>
          <w:szCs w:val="14"/>
          <w:lang w:val="es-ES_tradnl"/>
        </w:rPr>
        <w:t>de</w:t>
      </w:r>
      <w:r>
        <w:rPr>
          <w:spacing w:val="-1"/>
          <w:sz w:val="18"/>
          <w:szCs w:val="18"/>
          <w:lang w:val="es-ES_tradnl"/>
        </w:rPr>
        <w:t xml:space="preserve"> </w:t>
      </w:r>
      <w:r>
        <w:rPr>
          <w:spacing w:val="-1"/>
          <w:sz w:val="14"/>
          <w:szCs w:val="14"/>
          <w:lang w:val="es-ES_tradnl"/>
        </w:rPr>
        <w:t>Casaci</w:t>
      </w:r>
      <w:r>
        <w:rPr>
          <w:rFonts w:cs="Times New Roman"/>
          <w:spacing w:val="-1"/>
          <w:sz w:val="14"/>
          <w:szCs w:val="14"/>
          <w:lang w:val="es-ES_tradnl"/>
        </w:rPr>
        <w:t>ó</w:t>
      </w:r>
      <w:r>
        <w:rPr>
          <w:spacing w:val="-1"/>
          <w:sz w:val="14"/>
          <w:szCs w:val="14"/>
          <w:lang w:val="es-ES_tradnl"/>
        </w:rPr>
        <w:t>n,</w:t>
      </w:r>
      <w:r>
        <w:rPr>
          <w:spacing w:val="-1"/>
          <w:sz w:val="18"/>
          <w:szCs w:val="18"/>
          <w:lang w:val="es-ES_tradnl"/>
        </w:rPr>
        <w:t xml:space="preserve"> </w:t>
      </w:r>
      <w:r>
        <w:rPr>
          <w:spacing w:val="-1"/>
          <w:sz w:val="14"/>
          <w:szCs w:val="14"/>
          <w:lang w:val="es-ES_tradnl"/>
        </w:rPr>
        <w:t>art</w:t>
      </w:r>
      <w:r>
        <w:rPr>
          <w:rFonts w:cs="Times New Roman"/>
          <w:spacing w:val="-1"/>
          <w:sz w:val="14"/>
          <w:szCs w:val="14"/>
          <w:lang w:val="es-ES_tradnl"/>
        </w:rPr>
        <w:t>í</w:t>
      </w:r>
      <w:r>
        <w:rPr>
          <w:spacing w:val="-1"/>
          <w:sz w:val="14"/>
          <w:szCs w:val="14"/>
          <w:lang w:val="es-ES_tradnl"/>
        </w:rPr>
        <w:t>culo</w:t>
      </w:r>
      <w:r>
        <w:rPr>
          <w:spacing w:val="-1"/>
          <w:sz w:val="18"/>
          <w:szCs w:val="18"/>
          <w:lang w:val="es-ES_tradnl"/>
        </w:rPr>
        <w:t xml:space="preserve"> </w:t>
      </w:r>
      <w:r>
        <w:rPr>
          <w:spacing w:val="-1"/>
          <w:sz w:val="14"/>
          <w:szCs w:val="14"/>
          <w:lang w:val="es-ES_tradnl"/>
        </w:rPr>
        <w:t>8</w:t>
      </w:r>
    </w:p>
    <w:p w14:paraId="4F67AB72" w14:textId="77777777" w:rsidR="00591D54" w:rsidRDefault="00591D54">
      <w:pPr>
        <w:shd w:val="clear" w:color="auto" w:fill="FFFFFF"/>
        <w:tabs>
          <w:tab w:val="left" w:pos="139"/>
        </w:tabs>
        <w:spacing w:before="149" w:line="178" w:lineRule="exact"/>
        <w:ind w:left="139" w:hanging="139"/>
      </w:pPr>
      <w:r>
        <w:rPr>
          <w:spacing w:val="-5"/>
          <w:sz w:val="8"/>
          <w:szCs w:val="8"/>
          <w:vertAlign w:val="superscript"/>
          <w:lang w:val="es-ES_tradnl"/>
        </w:rPr>
        <w:t>10</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w:t>
      </w:r>
      <w:r>
        <w:rPr>
          <w:sz w:val="18"/>
          <w:szCs w:val="18"/>
          <w:lang w:val="es-ES_tradnl"/>
        </w:rPr>
        <w:t xml:space="preserve"> </w:t>
      </w:r>
      <w:r>
        <w:rPr>
          <w:sz w:val="14"/>
          <w:szCs w:val="14"/>
          <w:lang w:val="es-ES_tradnl"/>
        </w:rPr>
        <w:t>201-12-SEP-CC, caso N.</w:t>
      </w:r>
      <w:r>
        <w:rPr>
          <w:rFonts w:cs="Times New Roman"/>
          <w:sz w:val="14"/>
          <w:szCs w:val="14"/>
          <w:lang w:val="es-ES_tradnl"/>
        </w:rPr>
        <w:t>°</w:t>
      </w:r>
      <w:r>
        <w:rPr>
          <w:sz w:val="14"/>
          <w:szCs w:val="14"/>
          <w:lang w:val="es-ES_tradnl"/>
        </w:rPr>
        <w:t xml:space="preserve"> 0643-09-EP</w:t>
      </w:r>
    </w:p>
    <w:p w14:paraId="4F67AB73" w14:textId="77777777" w:rsidR="00591D54" w:rsidRDefault="00591D54">
      <w:pPr>
        <w:shd w:val="clear" w:color="auto" w:fill="FFFFFF"/>
        <w:spacing w:line="216" w:lineRule="exact"/>
        <w:jc w:val="both"/>
      </w:pPr>
      <w:r>
        <w:br w:type="column"/>
      </w:r>
      <w:r>
        <w:rPr>
          <w:spacing w:val="-11"/>
          <w:sz w:val="18"/>
          <w:szCs w:val="18"/>
          <w:lang w:val="es-ES_tradnl"/>
        </w:rPr>
        <w:t>Por tal justificaci</w:t>
      </w:r>
      <w:r>
        <w:rPr>
          <w:rFonts w:cs="Times New Roman"/>
          <w:spacing w:val="-11"/>
          <w:sz w:val="18"/>
          <w:szCs w:val="18"/>
          <w:lang w:val="es-ES_tradnl"/>
        </w:rPr>
        <w:t>ó</w:t>
      </w:r>
      <w:r>
        <w:rPr>
          <w:spacing w:val="-11"/>
          <w:sz w:val="18"/>
          <w:szCs w:val="18"/>
          <w:lang w:val="es-ES_tradnl"/>
        </w:rPr>
        <w:t>n, es necesario recordar, una vez m</w:t>
      </w:r>
      <w:r>
        <w:rPr>
          <w:rFonts w:cs="Times New Roman"/>
          <w:spacing w:val="-11"/>
          <w:sz w:val="18"/>
          <w:szCs w:val="18"/>
          <w:lang w:val="es-ES_tradnl"/>
        </w:rPr>
        <w:t>á</w:t>
      </w:r>
      <w:r>
        <w:rPr>
          <w:spacing w:val="-11"/>
          <w:sz w:val="18"/>
          <w:szCs w:val="18"/>
          <w:lang w:val="es-ES_tradnl"/>
        </w:rPr>
        <w:t xml:space="preserve">s, que </w:t>
      </w:r>
      <w:r>
        <w:rPr>
          <w:spacing w:val="-8"/>
          <w:sz w:val="18"/>
          <w:szCs w:val="18"/>
          <w:lang w:val="es-ES_tradnl"/>
        </w:rPr>
        <w:t xml:space="preserve">el nuevo concepto de Estado constitucional de derechos y </w:t>
      </w:r>
      <w:r>
        <w:rPr>
          <w:spacing w:val="-4"/>
          <w:sz w:val="18"/>
          <w:szCs w:val="18"/>
          <w:lang w:val="es-ES_tradnl"/>
        </w:rPr>
        <w:t xml:space="preserve">justicia impone una nueva forma de administrar justicia, </w:t>
      </w:r>
      <w:r>
        <w:rPr>
          <w:spacing w:val="-7"/>
          <w:sz w:val="18"/>
          <w:szCs w:val="18"/>
          <w:lang w:val="es-ES_tradnl"/>
        </w:rPr>
        <w:t xml:space="preserve">por parte de los </w:t>
      </w:r>
      <w:r>
        <w:rPr>
          <w:rFonts w:cs="Times New Roman"/>
          <w:spacing w:val="-7"/>
          <w:sz w:val="18"/>
          <w:szCs w:val="18"/>
          <w:lang w:val="es-ES_tradnl"/>
        </w:rPr>
        <w:t>ó</w:t>
      </w:r>
      <w:r>
        <w:rPr>
          <w:spacing w:val="-7"/>
          <w:sz w:val="18"/>
          <w:szCs w:val="18"/>
          <w:lang w:val="es-ES_tradnl"/>
        </w:rPr>
        <w:t xml:space="preserve">rganos judiciales, en calidad de primeros </w:t>
      </w:r>
      <w:r>
        <w:rPr>
          <w:spacing w:val="-9"/>
          <w:sz w:val="18"/>
          <w:szCs w:val="18"/>
          <w:lang w:val="es-ES_tradnl"/>
        </w:rPr>
        <w:t>garantes de los derechos reconocidos en la Constituci</w:t>
      </w:r>
      <w:r>
        <w:rPr>
          <w:rFonts w:cs="Times New Roman"/>
          <w:spacing w:val="-9"/>
          <w:sz w:val="18"/>
          <w:szCs w:val="18"/>
          <w:lang w:val="es-ES_tradnl"/>
        </w:rPr>
        <w:t>ó</w:t>
      </w:r>
      <w:r>
        <w:rPr>
          <w:spacing w:val="-9"/>
          <w:sz w:val="18"/>
          <w:szCs w:val="18"/>
          <w:lang w:val="es-ES_tradnl"/>
        </w:rPr>
        <w:t xml:space="preserve">n de </w:t>
      </w:r>
      <w:r>
        <w:rPr>
          <w:spacing w:val="-10"/>
          <w:sz w:val="18"/>
          <w:szCs w:val="18"/>
          <w:lang w:val="es-ES_tradnl"/>
        </w:rPr>
        <w:t>la Rep</w:t>
      </w:r>
      <w:r>
        <w:rPr>
          <w:rFonts w:cs="Times New Roman"/>
          <w:spacing w:val="-10"/>
          <w:sz w:val="18"/>
          <w:szCs w:val="18"/>
          <w:lang w:val="es-ES_tradnl"/>
        </w:rPr>
        <w:t>ú</w:t>
      </w:r>
      <w:r>
        <w:rPr>
          <w:spacing w:val="-10"/>
          <w:sz w:val="18"/>
          <w:szCs w:val="18"/>
          <w:lang w:val="es-ES_tradnl"/>
        </w:rPr>
        <w:t xml:space="preserve">blica, con prevalencia de los contenidos sustanciales y de validez de los derechos, por sobre los meros legalismos </w:t>
      </w:r>
      <w:r>
        <w:rPr>
          <w:spacing w:val="-7"/>
          <w:sz w:val="18"/>
          <w:szCs w:val="18"/>
          <w:lang w:val="es-ES_tradnl"/>
        </w:rPr>
        <w:t>y formalismos vigentes en las normas secundarias del ordenamiento jur</w:t>
      </w:r>
      <w:r>
        <w:rPr>
          <w:rFonts w:cs="Times New Roman"/>
          <w:spacing w:val="-7"/>
          <w:sz w:val="18"/>
          <w:szCs w:val="18"/>
          <w:lang w:val="es-ES_tradnl"/>
        </w:rPr>
        <w:t>í</w:t>
      </w:r>
      <w:r>
        <w:rPr>
          <w:spacing w:val="-7"/>
          <w:sz w:val="18"/>
          <w:szCs w:val="18"/>
          <w:lang w:val="es-ES_tradnl"/>
        </w:rPr>
        <w:t>dico</w:t>
      </w:r>
      <w:r>
        <w:rPr>
          <w:spacing w:val="-7"/>
          <w:sz w:val="18"/>
          <w:szCs w:val="18"/>
          <w:vertAlign w:val="superscript"/>
          <w:lang w:val="es-ES_tradnl"/>
        </w:rPr>
        <w:t>11</w:t>
      </w:r>
      <w:r>
        <w:rPr>
          <w:spacing w:val="-7"/>
          <w:sz w:val="18"/>
          <w:szCs w:val="18"/>
          <w:lang w:val="es-ES_tradnl"/>
        </w:rPr>
        <w:t>. De esta manera, es funci</w:t>
      </w:r>
      <w:r>
        <w:rPr>
          <w:rFonts w:cs="Times New Roman"/>
          <w:spacing w:val="-7"/>
          <w:sz w:val="18"/>
          <w:szCs w:val="18"/>
          <w:lang w:val="es-ES_tradnl"/>
        </w:rPr>
        <w:t>ó</w:t>
      </w:r>
      <w:r>
        <w:rPr>
          <w:spacing w:val="-7"/>
          <w:sz w:val="18"/>
          <w:szCs w:val="18"/>
          <w:lang w:val="es-ES_tradnl"/>
        </w:rPr>
        <w:t xml:space="preserve">n de la Corte Constitucional controlar que las decisiones judiciales </w:t>
      </w:r>
      <w:r>
        <w:rPr>
          <w:spacing w:val="-6"/>
          <w:sz w:val="18"/>
          <w:szCs w:val="18"/>
          <w:lang w:val="es-ES_tradnl"/>
        </w:rPr>
        <w:t>inadmitidas por una supuesta falta de autorizaci</w:t>
      </w:r>
      <w:r>
        <w:rPr>
          <w:rFonts w:cs="Times New Roman"/>
          <w:spacing w:val="-6"/>
          <w:sz w:val="18"/>
          <w:szCs w:val="18"/>
          <w:lang w:val="es-ES_tradnl"/>
        </w:rPr>
        <w:t>ó</w:t>
      </w:r>
      <w:r>
        <w:rPr>
          <w:spacing w:val="-6"/>
          <w:sz w:val="18"/>
          <w:szCs w:val="18"/>
          <w:lang w:val="es-ES_tradnl"/>
        </w:rPr>
        <w:t xml:space="preserve">n del </w:t>
      </w:r>
      <w:r>
        <w:rPr>
          <w:spacing w:val="-7"/>
          <w:sz w:val="18"/>
          <w:szCs w:val="18"/>
          <w:lang w:val="es-ES_tradnl"/>
        </w:rPr>
        <w:t xml:space="preserve">legitimado activo tuviesen base legal y no supusiesen, </w:t>
      </w:r>
      <w:r>
        <w:rPr>
          <w:spacing w:val="-8"/>
          <w:sz w:val="18"/>
          <w:szCs w:val="18"/>
          <w:lang w:val="es-ES_tradnl"/>
        </w:rPr>
        <w:t>consecuentemente, una interpretaci</w:t>
      </w:r>
      <w:r>
        <w:rPr>
          <w:rFonts w:cs="Times New Roman"/>
          <w:spacing w:val="-8"/>
          <w:sz w:val="18"/>
          <w:szCs w:val="18"/>
          <w:lang w:val="es-ES_tradnl"/>
        </w:rPr>
        <w:t>ó</w:t>
      </w:r>
      <w:r>
        <w:rPr>
          <w:spacing w:val="-8"/>
          <w:sz w:val="18"/>
          <w:szCs w:val="18"/>
          <w:lang w:val="es-ES_tradnl"/>
        </w:rPr>
        <w:t xml:space="preserve">n excesivamente </w:t>
      </w:r>
      <w:r>
        <w:rPr>
          <w:spacing w:val="-7"/>
          <w:sz w:val="18"/>
          <w:szCs w:val="18"/>
          <w:lang w:val="es-ES_tradnl"/>
        </w:rPr>
        <w:t>restrictiva, como ocurri</w:t>
      </w:r>
      <w:r>
        <w:rPr>
          <w:rFonts w:cs="Times New Roman"/>
          <w:spacing w:val="-7"/>
          <w:sz w:val="18"/>
          <w:szCs w:val="18"/>
          <w:lang w:val="es-ES_tradnl"/>
        </w:rPr>
        <w:t>ó</w:t>
      </w:r>
      <w:r>
        <w:rPr>
          <w:spacing w:val="-7"/>
          <w:sz w:val="18"/>
          <w:szCs w:val="18"/>
          <w:lang w:val="es-ES_tradnl"/>
        </w:rPr>
        <w:t xml:space="preserve"> en el caso </w:t>
      </w:r>
      <w:r>
        <w:rPr>
          <w:i/>
          <w:iCs/>
          <w:spacing w:val="-7"/>
          <w:sz w:val="18"/>
          <w:szCs w:val="18"/>
          <w:lang w:val="es-ES_tradnl"/>
        </w:rPr>
        <w:t>sub examine</w:t>
      </w:r>
      <w:r>
        <w:rPr>
          <w:spacing w:val="-7"/>
          <w:sz w:val="18"/>
          <w:szCs w:val="18"/>
          <w:lang w:val="es-ES_tradnl"/>
        </w:rPr>
        <w:t>.</w:t>
      </w:r>
    </w:p>
    <w:p w14:paraId="4F67AB74" w14:textId="77777777" w:rsidR="00591D54" w:rsidRDefault="00591D54">
      <w:pPr>
        <w:shd w:val="clear" w:color="auto" w:fill="FFFFFF"/>
        <w:spacing w:before="197" w:line="216" w:lineRule="exact"/>
        <w:jc w:val="both"/>
      </w:pPr>
      <w:r>
        <w:rPr>
          <w:spacing w:val="-10"/>
          <w:sz w:val="18"/>
          <w:szCs w:val="18"/>
          <w:lang w:val="es-ES_tradnl"/>
        </w:rPr>
        <w:t>Dicho lo cual, es evidente que la decisi</w:t>
      </w:r>
      <w:r>
        <w:rPr>
          <w:rFonts w:cs="Times New Roman"/>
          <w:spacing w:val="-10"/>
          <w:sz w:val="18"/>
          <w:szCs w:val="18"/>
          <w:lang w:val="es-ES_tradnl"/>
        </w:rPr>
        <w:t>ó</w:t>
      </w:r>
      <w:r>
        <w:rPr>
          <w:spacing w:val="-10"/>
          <w:sz w:val="18"/>
          <w:szCs w:val="18"/>
          <w:lang w:val="es-ES_tradnl"/>
        </w:rPr>
        <w:t xml:space="preserve">n judicial impugnada </w:t>
      </w:r>
      <w:r>
        <w:rPr>
          <w:spacing w:val="-9"/>
          <w:sz w:val="18"/>
          <w:szCs w:val="18"/>
          <w:lang w:val="es-ES_tradnl"/>
        </w:rPr>
        <w:t>no se ajust</w:t>
      </w:r>
      <w:r>
        <w:rPr>
          <w:rFonts w:cs="Times New Roman"/>
          <w:spacing w:val="-9"/>
          <w:sz w:val="18"/>
          <w:szCs w:val="18"/>
          <w:lang w:val="es-ES_tradnl"/>
        </w:rPr>
        <w:t>ó</w:t>
      </w:r>
      <w:r>
        <w:rPr>
          <w:spacing w:val="-9"/>
          <w:sz w:val="18"/>
          <w:szCs w:val="18"/>
          <w:lang w:val="es-ES_tradnl"/>
        </w:rPr>
        <w:t xml:space="preserve"> a derecho ni respet</w:t>
      </w:r>
      <w:r>
        <w:rPr>
          <w:rFonts w:cs="Times New Roman"/>
          <w:spacing w:val="-9"/>
          <w:sz w:val="18"/>
          <w:szCs w:val="18"/>
          <w:lang w:val="es-ES_tradnl"/>
        </w:rPr>
        <w:t>ó</w:t>
      </w:r>
      <w:r>
        <w:rPr>
          <w:spacing w:val="-9"/>
          <w:sz w:val="18"/>
          <w:szCs w:val="18"/>
          <w:lang w:val="es-ES_tradnl"/>
        </w:rPr>
        <w:t xml:space="preserve"> la normal legal aplicable al </w:t>
      </w:r>
      <w:r>
        <w:rPr>
          <w:spacing w:val="-10"/>
          <w:sz w:val="18"/>
          <w:szCs w:val="18"/>
          <w:lang w:val="es-ES_tradnl"/>
        </w:rPr>
        <w:t>caso concreto, esta es, la contenida en el art</w:t>
      </w:r>
      <w:r>
        <w:rPr>
          <w:rFonts w:cs="Times New Roman"/>
          <w:spacing w:val="-10"/>
          <w:sz w:val="18"/>
          <w:szCs w:val="18"/>
          <w:lang w:val="es-ES_tradnl"/>
        </w:rPr>
        <w:t>í</w:t>
      </w:r>
      <w:r>
        <w:rPr>
          <w:spacing w:val="-10"/>
          <w:sz w:val="18"/>
          <w:szCs w:val="18"/>
          <w:lang w:val="es-ES_tradnl"/>
        </w:rPr>
        <w:t xml:space="preserve">culo 7 de la Ley </w:t>
      </w:r>
      <w:r>
        <w:rPr>
          <w:spacing w:val="-8"/>
          <w:sz w:val="18"/>
          <w:szCs w:val="18"/>
          <w:lang w:val="es-ES_tradnl"/>
        </w:rPr>
        <w:t>de Casaci</w:t>
      </w:r>
      <w:r>
        <w:rPr>
          <w:rFonts w:cs="Times New Roman"/>
          <w:spacing w:val="-8"/>
          <w:sz w:val="18"/>
          <w:szCs w:val="18"/>
          <w:lang w:val="es-ES_tradnl"/>
        </w:rPr>
        <w:t>ó</w:t>
      </w:r>
      <w:r>
        <w:rPr>
          <w:spacing w:val="-8"/>
          <w:sz w:val="18"/>
          <w:szCs w:val="18"/>
          <w:lang w:val="es-ES_tradnl"/>
        </w:rPr>
        <w:t>n; de igual forma, se considera que la actuaci</w:t>
      </w:r>
      <w:r>
        <w:rPr>
          <w:rFonts w:cs="Times New Roman"/>
          <w:spacing w:val="-8"/>
          <w:sz w:val="18"/>
          <w:szCs w:val="18"/>
          <w:lang w:val="es-ES_tradnl"/>
        </w:rPr>
        <w:t>ó</w:t>
      </w:r>
      <w:r>
        <w:rPr>
          <w:spacing w:val="-8"/>
          <w:sz w:val="18"/>
          <w:szCs w:val="18"/>
          <w:lang w:val="es-ES_tradnl"/>
        </w:rPr>
        <w:t xml:space="preserve">n </w:t>
      </w:r>
      <w:r>
        <w:rPr>
          <w:spacing w:val="-5"/>
          <w:sz w:val="18"/>
          <w:szCs w:val="18"/>
          <w:lang w:val="es-ES_tradnl"/>
        </w:rPr>
        <w:t xml:space="preserve">del </w:t>
      </w:r>
      <w:r>
        <w:rPr>
          <w:rFonts w:cs="Times New Roman"/>
          <w:spacing w:val="-5"/>
          <w:sz w:val="18"/>
          <w:szCs w:val="18"/>
          <w:lang w:val="es-ES_tradnl"/>
        </w:rPr>
        <w:t>ó</w:t>
      </w:r>
      <w:r>
        <w:rPr>
          <w:spacing w:val="-5"/>
          <w:sz w:val="18"/>
          <w:szCs w:val="18"/>
          <w:lang w:val="es-ES_tradnl"/>
        </w:rPr>
        <w:t>rgano judicial inobserv</w:t>
      </w:r>
      <w:r>
        <w:rPr>
          <w:rFonts w:cs="Times New Roman"/>
          <w:spacing w:val="-5"/>
          <w:sz w:val="18"/>
          <w:szCs w:val="18"/>
          <w:lang w:val="es-ES_tradnl"/>
        </w:rPr>
        <w:t>ó</w:t>
      </w:r>
      <w:r>
        <w:rPr>
          <w:spacing w:val="-5"/>
          <w:sz w:val="18"/>
          <w:szCs w:val="18"/>
          <w:lang w:val="es-ES_tradnl"/>
        </w:rPr>
        <w:t xml:space="preserve"> la disposici</w:t>
      </w:r>
      <w:r>
        <w:rPr>
          <w:rFonts w:cs="Times New Roman"/>
          <w:spacing w:val="-5"/>
          <w:sz w:val="18"/>
          <w:szCs w:val="18"/>
          <w:lang w:val="es-ES_tradnl"/>
        </w:rPr>
        <w:t>ó</w:t>
      </w:r>
      <w:r>
        <w:rPr>
          <w:spacing w:val="-5"/>
          <w:sz w:val="18"/>
          <w:szCs w:val="18"/>
          <w:lang w:val="es-ES_tradnl"/>
        </w:rPr>
        <w:t xml:space="preserve">n normativa </w:t>
      </w:r>
      <w:r>
        <w:rPr>
          <w:spacing w:val="-6"/>
          <w:sz w:val="18"/>
          <w:szCs w:val="18"/>
          <w:lang w:val="es-ES_tradnl"/>
        </w:rPr>
        <w:t>consagrada en el art</w:t>
      </w:r>
      <w:r>
        <w:rPr>
          <w:rFonts w:cs="Times New Roman"/>
          <w:spacing w:val="-6"/>
          <w:sz w:val="18"/>
          <w:szCs w:val="18"/>
          <w:lang w:val="es-ES_tradnl"/>
        </w:rPr>
        <w:t>í</w:t>
      </w:r>
      <w:r>
        <w:rPr>
          <w:spacing w:val="-6"/>
          <w:sz w:val="18"/>
          <w:szCs w:val="18"/>
          <w:lang w:val="es-ES_tradnl"/>
        </w:rPr>
        <w:t>culo 169 de la Constituci</w:t>
      </w:r>
      <w:r>
        <w:rPr>
          <w:rFonts w:cs="Times New Roman"/>
          <w:spacing w:val="-6"/>
          <w:sz w:val="18"/>
          <w:szCs w:val="18"/>
          <w:lang w:val="es-ES_tradnl"/>
        </w:rPr>
        <w:t>ó</w:t>
      </w:r>
      <w:r>
        <w:rPr>
          <w:spacing w:val="-6"/>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 xml:space="preserve">blica, que dispone: </w:t>
      </w:r>
      <w:r>
        <w:rPr>
          <w:rFonts w:cs="Times New Roman"/>
          <w:spacing w:val="-7"/>
          <w:sz w:val="18"/>
          <w:szCs w:val="18"/>
          <w:lang w:val="es-ES_tradnl"/>
        </w:rPr>
        <w:t>“</w:t>
      </w:r>
      <w:r>
        <w:rPr>
          <w:spacing w:val="-7"/>
          <w:sz w:val="18"/>
          <w:szCs w:val="18"/>
          <w:lang w:val="es-ES_tradnl"/>
        </w:rPr>
        <w:t>El sistema procesal es un medio para la realizaci</w:t>
      </w:r>
      <w:r>
        <w:rPr>
          <w:rFonts w:cs="Times New Roman"/>
          <w:spacing w:val="-7"/>
          <w:sz w:val="18"/>
          <w:szCs w:val="18"/>
          <w:lang w:val="es-ES_tradnl"/>
        </w:rPr>
        <w:t>ó</w:t>
      </w:r>
      <w:r>
        <w:rPr>
          <w:spacing w:val="-7"/>
          <w:sz w:val="18"/>
          <w:szCs w:val="18"/>
          <w:lang w:val="es-ES_tradnl"/>
        </w:rPr>
        <w:t xml:space="preserve">n de la justicia. Las normas procesales </w:t>
      </w:r>
      <w:r>
        <w:rPr>
          <w:spacing w:val="-6"/>
          <w:sz w:val="18"/>
          <w:szCs w:val="18"/>
          <w:lang w:val="es-ES_tradnl"/>
        </w:rPr>
        <w:t>consagrar</w:t>
      </w:r>
      <w:r>
        <w:rPr>
          <w:rFonts w:cs="Times New Roman"/>
          <w:spacing w:val="-6"/>
          <w:sz w:val="18"/>
          <w:szCs w:val="18"/>
          <w:lang w:val="es-ES_tradnl"/>
        </w:rPr>
        <w:t>á</w:t>
      </w:r>
      <w:r>
        <w:rPr>
          <w:spacing w:val="-6"/>
          <w:sz w:val="18"/>
          <w:szCs w:val="18"/>
          <w:lang w:val="es-ES_tradnl"/>
        </w:rPr>
        <w:t>n los principios de simplificaci</w:t>
      </w:r>
      <w:r>
        <w:rPr>
          <w:rFonts w:cs="Times New Roman"/>
          <w:spacing w:val="-6"/>
          <w:sz w:val="18"/>
          <w:szCs w:val="18"/>
          <w:lang w:val="es-ES_tradnl"/>
        </w:rPr>
        <w:t>ó</w:t>
      </w:r>
      <w:r>
        <w:rPr>
          <w:spacing w:val="-6"/>
          <w:sz w:val="18"/>
          <w:szCs w:val="18"/>
          <w:lang w:val="es-ES_tradnl"/>
        </w:rPr>
        <w:t xml:space="preserve">n, uniformidad, </w:t>
      </w:r>
      <w:r>
        <w:rPr>
          <w:spacing w:val="-5"/>
          <w:sz w:val="18"/>
          <w:szCs w:val="18"/>
          <w:lang w:val="es-ES_tradnl"/>
        </w:rPr>
        <w:t>eficacia, inmediaci</w:t>
      </w:r>
      <w:r>
        <w:rPr>
          <w:rFonts w:cs="Times New Roman"/>
          <w:spacing w:val="-5"/>
          <w:sz w:val="18"/>
          <w:szCs w:val="18"/>
          <w:lang w:val="es-ES_tradnl"/>
        </w:rPr>
        <w:t>ó</w:t>
      </w:r>
      <w:r>
        <w:rPr>
          <w:spacing w:val="-5"/>
          <w:sz w:val="18"/>
          <w:szCs w:val="18"/>
          <w:lang w:val="es-ES_tradnl"/>
        </w:rPr>
        <w:t>n, celeridad y econom</w:t>
      </w:r>
      <w:r>
        <w:rPr>
          <w:rFonts w:cs="Times New Roman"/>
          <w:spacing w:val="-5"/>
          <w:sz w:val="18"/>
          <w:szCs w:val="18"/>
          <w:lang w:val="es-ES_tradnl"/>
        </w:rPr>
        <w:t>í</w:t>
      </w:r>
      <w:r>
        <w:rPr>
          <w:spacing w:val="-5"/>
          <w:sz w:val="18"/>
          <w:szCs w:val="18"/>
          <w:lang w:val="es-ES_tradnl"/>
        </w:rPr>
        <w:t xml:space="preserve">a procesal, y </w:t>
      </w:r>
      <w:r>
        <w:rPr>
          <w:spacing w:val="-7"/>
          <w:sz w:val="18"/>
          <w:szCs w:val="18"/>
          <w:lang w:val="es-ES_tradnl"/>
        </w:rPr>
        <w:t>har</w:t>
      </w:r>
      <w:r>
        <w:rPr>
          <w:rFonts w:cs="Times New Roman"/>
          <w:spacing w:val="-7"/>
          <w:sz w:val="18"/>
          <w:szCs w:val="18"/>
          <w:lang w:val="es-ES_tradnl"/>
        </w:rPr>
        <w:t>á</w:t>
      </w:r>
      <w:r>
        <w:rPr>
          <w:spacing w:val="-7"/>
          <w:sz w:val="18"/>
          <w:szCs w:val="18"/>
          <w:lang w:val="es-ES_tradnl"/>
        </w:rPr>
        <w:t>n efectivas las garant</w:t>
      </w:r>
      <w:r>
        <w:rPr>
          <w:rFonts w:cs="Times New Roman"/>
          <w:spacing w:val="-7"/>
          <w:sz w:val="18"/>
          <w:szCs w:val="18"/>
          <w:lang w:val="es-ES_tradnl"/>
        </w:rPr>
        <w:t>í</w:t>
      </w:r>
      <w:r>
        <w:rPr>
          <w:spacing w:val="-7"/>
          <w:sz w:val="18"/>
          <w:szCs w:val="18"/>
          <w:lang w:val="es-ES_tradnl"/>
        </w:rPr>
        <w:t>as del debido proceso. No se sacrificar</w:t>
      </w:r>
      <w:r>
        <w:rPr>
          <w:rFonts w:cs="Times New Roman"/>
          <w:spacing w:val="-7"/>
          <w:sz w:val="18"/>
          <w:szCs w:val="18"/>
          <w:lang w:val="es-ES_tradnl"/>
        </w:rPr>
        <w:t>á</w:t>
      </w:r>
      <w:r>
        <w:rPr>
          <w:spacing w:val="-7"/>
          <w:sz w:val="18"/>
          <w:szCs w:val="18"/>
          <w:lang w:val="es-ES_tradnl"/>
        </w:rPr>
        <w:t xml:space="preserve"> la justicia por la sola omisi</w:t>
      </w:r>
      <w:r>
        <w:rPr>
          <w:rFonts w:cs="Times New Roman"/>
          <w:spacing w:val="-7"/>
          <w:sz w:val="18"/>
          <w:szCs w:val="18"/>
          <w:lang w:val="es-ES_tradnl"/>
        </w:rPr>
        <w:t>ó</w:t>
      </w:r>
      <w:r>
        <w:rPr>
          <w:spacing w:val="-7"/>
          <w:sz w:val="18"/>
          <w:szCs w:val="18"/>
          <w:lang w:val="es-ES_tradnl"/>
        </w:rPr>
        <w:t>n de formalidades</w:t>
      </w:r>
      <w:r>
        <w:rPr>
          <w:rFonts w:cs="Times New Roman"/>
          <w:spacing w:val="-7"/>
          <w:sz w:val="18"/>
          <w:szCs w:val="18"/>
          <w:lang w:val="es-ES_tradnl"/>
        </w:rPr>
        <w:t>”</w:t>
      </w:r>
      <w:r>
        <w:rPr>
          <w:spacing w:val="-7"/>
          <w:sz w:val="18"/>
          <w:szCs w:val="18"/>
          <w:lang w:val="es-ES_tradnl"/>
        </w:rPr>
        <w:t>.</w:t>
      </w:r>
    </w:p>
    <w:p w14:paraId="4F67AB75" w14:textId="77777777" w:rsidR="00591D54" w:rsidRDefault="00591D54">
      <w:pPr>
        <w:shd w:val="clear" w:color="auto" w:fill="FFFFFF"/>
        <w:spacing w:before="197" w:line="216" w:lineRule="exact"/>
        <w:jc w:val="both"/>
      </w:pPr>
      <w:r>
        <w:rPr>
          <w:spacing w:val="-1"/>
          <w:sz w:val="18"/>
          <w:szCs w:val="18"/>
          <w:lang w:val="es-ES_tradnl"/>
        </w:rPr>
        <w:t xml:space="preserve">Por lo expuesto, esta Corte Constitucional determina </w:t>
      </w:r>
      <w:r>
        <w:rPr>
          <w:spacing w:val="-6"/>
          <w:sz w:val="18"/>
          <w:szCs w:val="18"/>
          <w:lang w:val="es-ES_tradnl"/>
        </w:rPr>
        <w:t>que la decisi</w:t>
      </w:r>
      <w:r>
        <w:rPr>
          <w:rFonts w:cs="Times New Roman"/>
          <w:spacing w:val="-6"/>
          <w:sz w:val="18"/>
          <w:szCs w:val="18"/>
          <w:lang w:val="es-ES_tradnl"/>
        </w:rPr>
        <w:t>ó</w:t>
      </w:r>
      <w:r>
        <w:rPr>
          <w:spacing w:val="-6"/>
          <w:sz w:val="18"/>
          <w:szCs w:val="18"/>
          <w:lang w:val="es-ES_tradnl"/>
        </w:rPr>
        <w:t>n judicial impugnada vulner</w:t>
      </w:r>
      <w:r>
        <w:rPr>
          <w:rFonts w:cs="Times New Roman"/>
          <w:spacing w:val="-6"/>
          <w:sz w:val="18"/>
          <w:szCs w:val="18"/>
          <w:lang w:val="es-ES_tradnl"/>
        </w:rPr>
        <w:t>ó</w:t>
      </w:r>
      <w:r>
        <w:rPr>
          <w:spacing w:val="-6"/>
          <w:sz w:val="18"/>
          <w:szCs w:val="18"/>
          <w:lang w:val="es-ES_tradnl"/>
        </w:rPr>
        <w:t xml:space="preserve"> el derecho </w:t>
      </w:r>
      <w:r>
        <w:rPr>
          <w:spacing w:val="-3"/>
          <w:sz w:val="18"/>
          <w:szCs w:val="18"/>
          <w:lang w:val="es-ES_tradnl"/>
        </w:rPr>
        <w:t xml:space="preserve">constitucional a la tutela judicial efectiva, imparcial y </w:t>
      </w:r>
      <w:r>
        <w:rPr>
          <w:spacing w:val="-8"/>
          <w:sz w:val="18"/>
          <w:szCs w:val="18"/>
          <w:lang w:val="es-ES_tradnl"/>
        </w:rPr>
        <w:t>expedita del legitimado activo, dado que no se le garantiz</w:t>
      </w:r>
      <w:r>
        <w:rPr>
          <w:rFonts w:cs="Times New Roman"/>
          <w:spacing w:val="-8"/>
          <w:sz w:val="18"/>
          <w:szCs w:val="18"/>
          <w:lang w:val="es-ES_tradnl"/>
        </w:rPr>
        <w:t>ó</w:t>
      </w:r>
      <w:r>
        <w:rPr>
          <w:spacing w:val="-8"/>
          <w:sz w:val="18"/>
          <w:szCs w:val="18"/>
          <w:lang w:val="es-ES_tradnl"/>
        </w:rPr>
        <w:t xml:space="preserve">, </w:t>
      </w:r>
      <w:r>
        <w:rPr>
          <w:spacing w:val="-10"/>
          <w:sz w:val="18"/>
          <w:szCs w:val="18"/>
          <w:lang w:val="es-ES_tradnl"/>
        </w:rPr>
        <w:t>por la existencia de un inter</w:t>
      </w:r>
      <w:r>
        <w:rPr>
          <w:rFonts w:cs="Times New Roman"/>
          <w:spacing w:val="-10"/>
          <w:sz w:val="18"/>
          <w:szCs w:val="18"/>
          <w:lang w:val="es-ES_tradnl"/>
        </w:rPr>
        <w:t>é</w:t>
      </w:r>
      <w:r>
        <w:rPr>
          <w:spacing w:val="-10"/>
          <w:sz w:val="18"/>
          <w:szCs w:val="18"/>
          <w:lang w:val="es-ES_tradnl"/>
        </w:rPr>
        <w:t>s leg</w:t>
      </w:r>
      <w:r>
        <w:rPr>
          <w:rFonts w:cs="Times New Roman"/>
          <w:spacing w:val="-10"/>
          <w:sz w:val="18"/>
          <w:szCs w:val="18"/>
          <w:lang w:val="es-ES_tradnl"/>
        </w:rPr>
        <w:t>í</w:t>
      </w:r>
      <w:r>
        <w:rPr>
          <w:spacing w:val="-10"/>
          <w:sz w:val="18"/>
          <w:szCs w:val="18"/>
          <w:lang w:val="es-ES_tradnl"/>
        </w:rPr>
        <w:t xml:space="preserve">timo en el proceso judicial, </w:t>
      </w:r>
      <w:r>
        <w:rPr>
          <w:spacing w:val="-8"/>
          <w:sz w:val="18"/>
          <w:szCs w:val="18"/>
          <w:lang w:val="es-ES_tradnl"/>
        </w:rPr>
        <w:t>la garant</w:t>
      </w:r>
      <w:r>
        <w:rPr>
          <w:rFonts w:cs="Times New Roman"/>
          <w:spacing w:val="-8"/>
          <w:sz w:val="18"/>
          <w:szCs w:val="18"/>
          <w:lang w:val="es-ES_tradnl"/>
        </w:rPr>
        <w:t>í</w:t>
      </w:r>
      <w:r>
        <w:rPr>
          <w:spacing w:val="-8"/>
          <w:sz w:val="18"/>
          <w:szCs w:val="18"/>
          <w:lang w:val="es-ES_tradnl"/>
        </w:rPr>
        <w:t xml:space="preserve">a de acceso a la justicia para que pudiere acudir, </w:t>
      </w:r>
      <w:r>
        <w:rPr>
          <w:spacing w:val="-4"/>
          <w:sz w:val="18"/>
          <w:szCs w:val="18"/>
          <w:lang w:val="es-ES_tradnl"/>
        </w:rPr>
        <w:t>por medio de la interposici</w:t>
      </w:r>
      <w:r>
        <w:rPr>
          <w:rFonts w:cs="Times New Roman"/>
          <w:spacing w:val="-4"/>
          <w:sz w:val="18"/>
          <w:szCs w:val="18"/>
          <w:lang w:val="es-ES_tradnl"/>
        </w:rPr>
        <w:t>ó</w:t>
      </w:r>
      <w:r>
        <w:rPr>
          <w:spacing w:val="-4"/>
          <w:sz w:val="18"/>
          <w:szCs w:val="18"/>
          <w:lang w:val="es-ES_tradnl"/>
        </w:rPr>
        <w:t>n del recurso de casaci</w:t>
      </w:r>
      <w:r>
        <w:rPr>
          <w:rFonts w:cs="Times New Roman"/>
          <w:spacing w:val="-4"/>
          <w:sz w:val="18"/>
          <w:szCs w:val="18"/>
          <w:lang w:val="es-ES_tradnl"/>
        </w:rPr>
        <w:t>ó</w:t>
      </w:r>
      <w:r>
        <w:rPr>
          <w:spacing w:val="-4"/>
          <w:sz w:val="18"/>
          <w:szCs w:val="18"/>
          <w:lang w:val="es-ES_tradnl"/>
        </w:rPr>
        <w:t xml:space="preserve">n, a </w:t>
      </w:r>
      <w:r>
        <w:rPr>
          <w:spacing w:val="-5"/>
          <w:sz w:val="18"/>
          <w:szCs w:val="18"/>
          <w:lang w:val="es-ES_tradnl"/>
        </w:rPr>
        <w:t>la Corte Nacional de Justicia sin ning</w:t>
      </w:r>
      <w:r>
        <w:rPr>
          <w:rFonts w:cs="Times New Roman"/>
          <w:spacing w:val="-5"/>
          <w:sz w:val="18"/>
          <w:szCs w:val="18"/>
          <w:lang w:val="es-ES_tradnl"/>
        </w:rPr>
        <w:t>ú</w:t>
      </w:r>
      <w:r>
        <w:rPr>
          <w:spacing w:val="-5"/>
          <w:sz w:val="18"/>
          <w:szCs w:val="18"/>
          <w:lang w:val="es-ES_tradnl"/>
        </w:rPr>
        <w:t xml:space="preserve">n tipo de trabas y </w:t>
      </w:r>
      <w:r>
        <w:rPr>
          <w:sz w:val="18"/>
          <w:szCs w:val="18"/>
          <w:lang w:val="es-ES_tradnl"/>
        </w:rPr>
        <w:t>obst</w:t>
      </w:r>
      <w:r>
        <w:rPr>
          <w:rFonts w:cs="Times New Roman"/>
          <w:sz w:val="18"/>
          <w:szCs w:val="18"/>
          <w:lang w:val="es-ES_tradnl"/>
        </w:rPr>
        <w:t>á</w:t>
      </w:r>
      <w:r>
        <w:rPr>
          <w:sz w:val="18"/>
          <w:szCs w:val="18"/>
          <w:lang w:val="es-ES_tradnl"/>
        </w:rPr>
        <w:t>culos.</w:t>
      </w:r>
    </w:p>
    <w:p w14:paraId="4F67AB76" w14:textId="77777777" w:rsidR="00591D54" w:rsidRDefault="00591D54">
      <w:pPr>
        <w:shd w:val="clear" w:color="auto" w:fill="FFFFFF"/>
        <w:spacing w:before="197" w:line="216" w:lineRule="exact"/>
        <w:ind w:left="566" w:hanging="283"/>
        <w:jc w:val="both"/>
      </w:pPr>
      <w:r>
        <w:rPr>
          <w:b/>
          <w:bCs/>
          <w:spacing w:val="-6"/>
          <w:sz w:val="18"/>
          <w:szCs w:val="18"/>
          <w:lang w:val="es-ES_tradnl"/>
        </w:rPr>
        <w:t>2) La decisi</w:t>
      </w:r>
      <w:r>
        <w:rPr>
          <w:rFonts w:cs="Times New Roman"/>
          <w:b/>
          <w:bCs/>
          <w:spacing w:val="-6"/>
          <w:sz w:val="18"/>
          <w:szCs w:val="18"/>
          <w:lang w:val="es-ES_tradnl"/>
        </w:rPr>
        <w:t>ó</w:t>
      </w:r>
      <w:r>
        <w:rPr>
          <w:b/>
          <w:bCs/>
          <w:spacing w:val="-6"/>
          <w:sz w:val="18"/>
          <w:szCs w:val="18"/>
          <w:lang w:val="es-ES_tradnl"/>
        </w:rPr>
        <w:t xml:space="preserve">n judicial dictada el 12 de febrero de </w:t>
      </w:r>
      <w:r>
        <w:rPr>
          <w:b/>
          <w:bCs/>
          <w:spacing w:val="-4"/>
          <w:sz w:val="18"/>
          <w:szCs w:val="18"/>
          <w:lang w:val="es-ES_tradnl"/>
        </w:rPr>
        <w:t xml:space="preserve">2014, por la Sala </w:t>
      </w:r>
      <w:r>
        <w:rPr>
          <w:rFonts w:cs="Times New Roman"/>
          <w:b/>
          <w:bCs/>
          <w:spacing w:val="-4"/>
          <w:sz w:val="18"/>
          <w:szCs w:val="18"/>
          <w:lang w:val="es-ES_tradnl"/>
        </w:rPr>
        <w:t>Ú</w:t>
      </w:r>
      <w:r>
        <w:rPr>
          <w:b/>
          <w:bCs/>
          <w:spacing w:val="-4"/>
          <w:sz w:val="18"/>
          <w:szCs w:val="18"/>
          <w:lang w:val="es-ES_tradnl"/>
        </w:rPr>
        <w:t xml:space="preserve">nica de la Corte Provincial </w:t>
      </w:r>
      <w:r>
        <w:rPr>
          <w:b/>
          <w:bCs/>
          <w:spacing w:val="-9"/>
          <w:sz w:val="18"/>
          <w:szCs w:val="18"/>
          <w:lang w:val="es-ES_tradnl"/>
        </w:rPr>
        <w:t>de Justicia de Santo Domingo de los Ts</w:t>
      </w:r>
      <w:r>
        <w:rPr>
          <w:rFonts w:cs="Times New Roman"/>
          <w:b/>
          <w:bCs/>
          <w:spacing w:val="-9"/>
          <w:sz w:val="18"/>
          <w:szCs w:val="18"/>
          <w:lang w:val="es-ES_tradnl"/>
        </w:rPr>
        <w:t>á</w:t>
      </w:r>
      <w:r>
        <w:rPr>
          <w:b/>
          <w:bCs/>
          <w:spacing w:val="-9"/>
          <w:sz w:val="18"/>
          <w:szCs w:val="18"/>
          <w:lang w:val="es-ES_tradnl"/>
        </w:rPr>
        <w:t xml:space="preserve">chilas, </w:t>
      </w:r>
      <w:r>
        <w:rPr>
          <w:rFonts w:cs="Times New Roman"/>
          <w:b/>
          <w:bCs/>
          <w:spacing w:val="-11"/>
          <w:sz w:val="18"/>
          <w:szCs w:val="18"/>
          <w:lang w:val="es-ES_tradnl"/>
        </w:rPr>
        <w:t>¿</w:t>
      </w:r>
      <w:r>
        <w:rPr>
          <w:b/>
          <w:bCs/>
          <w:spacing w:val="-11"/>
          <w:sz w:val="18"/>
          <w:szCs w:val="18"/>
          <w:lang w:val="es-ES_tradnl"/>
        </w:rPr>
        <w:t xml:space="preserve">vulnera el derecho constitucional a la seguridad </w:t>
      </w:r>
      <w:r>
        <w:rPr>
          <w:b/>
          <w:bCs/>
          <w:spacing w:val="-7"/>
          <w:sz w:val="18"/>
          <w:szCs w:val="18"/>
          <w:lang w:val="es-ES_tradnl"/>
        </w:rPr>
        <w:t>jur</w:t>
      </w:r>
      <w:r>
        <w:rPr>
          <w:rFonts w:cs="Times New Roman"/>
          <w:b/>
          <w:bCs/>
          <w:spacing w:val="-7"/>
          <w:sz w:val="18"/>
          <w:szCs w:val="18"/>
          <w:lang w:val="es-ES_tradnl"/>
        </w:rPr>
        <w:t>í</w:t>
      </w:r>
      <w:r>
        <w:rPr>
          <w:b/>
          <w:bCs/>
          <w:spacing w:val="-7"/>
          <w:sz w:val="18"/>
          <w:szCs w:val="18"/>
          <w:lang w:val="es-ES_tradnl"/>
        </w:rPr>
        <w:t>dica, consagrado en el art</w:t>
      </w:r>
      <w:r>
        <w:rPr>
          <w:rFonts w:cs="Times New Roman"/>
          <w:b/>
          <w:bCs/>
          <w:spacing w:val="-7"/>
          <w:sz w:val="18"/>
          <w:szCs w:val="18"/>
          <w:lang w:val="es-ES_tradnl"/>
        </w:rPr>
        <w:t>í</w:t>
      </w:r>
      <w:r>
        <w:rPr>
          <w:b/>
          <w:bCs/>
          <w:spacing w:val="-7"/>
          <w:sz w:val="18"/>
          <w:szCs w:val="18"/>
          <w:lang w:val="es-ES_tradnl"/>
        </w:rPr>
        <w:t xml:space="preserve">culo 82 de la </w:t>
      </w:r>
      <w:r>
        <w:rPr>
          <w:b/>
          <w:bCs/>
          <w:sz w:val="18"/>
          <w:szCs w:val="18"/>
          <w:lang w:val="es-ES_tradnl"/>
        </w:rPr>
        <w:t>Constituci</w:t>
      </w:r>
      <w:r>
        <w:rPr>
          <w:rFonts w:cs="Times New Roman"/>
          <w:b/>
          <w:bCs/>
          <w:sz w:val="18"/>
          <w:szCs w:val="18"/>
          <w:lang w:val="es-ES_tradnl"/>
        </w:rPr>
        <w:t>ó</w:t>
      </w:r>
      <w:r>
        <w:rPr>
          <w:b/>
          <w:bCs/>
          <w:sz w:val="18"/>
          <w:szCs w:val="18"/>
          <w:lang w:val="es-ES_tradnl"/>
        </w:rPr>
        <w:t>n de la Rep</w:t>
      </w:r>
      <w:r>
        <w:rPr>
          <w:rFonts w:cs="Times New Roman"/>
          <w:b/>
          <w:bCs/>
          <w:sz w:val="18"/>
          <w:szCs w:val="18"/>
          <w:lang w:val="es-ES_tradnl"/>
        </w:rPr>
        <w:t>ú</w:t>
      </w:r>
      <w:r>
        <w:rPr>
          <w:b/>
          <w:bCs/>
          <w:sz w:val="18"/>
          <w:szCs w:val="18"/>
          <w:lang w:val="es-ES_tradnl"/>
        </w:rPr>
        <w:t>blica?</w:t>
      </w:r>
    </w:p>
    <w:p w14:paraId="4F67AB77" w14:textId="77777777" w:rsidR="00591D54" w:rsidRDefault="00591D54">
      <w:pPr>
        <w:shd w:val="clear" w:color="auto" w:fill="FFFFFF"/>
        <w:spacing w:before="197" w:line="216" w:lineRule="exact"/>
        <w:jc w:val="both"/>
      </w:pPr>
      <w:r>
        <w:rPr>
          <w:spacing w:val="-1"/>
          <w:sz w:val="18"/>
          <w:szCs w:val="18"/>
          <w:lang w:val="es-ES_tradnl"/>
        </w:rPr>
        <w:t>Una vez que se determin</w:t>
      </w:r>
      <w:r>
        <w:rPr>
          <w:rFonts w:cs="Times New Roman"/>
          <w:spacing w:val="-1"/>
          <w:sz w:val="18"/>
          <w:szCs w:val="18"/>
          <w:lang w:val="es-ES_tradnl"/>
        </w:rPr>
        <w:t>ó</w:t>
      </w:r>
      <w:r>
        <w:rPr>
          <w:spacing w:val="-1"/>
          <w:sz w:val="18"/>
          <w:szCs w:val="18"/>
          <w:lang w:val="es-ES_tradnl"/>
        </w:rPr>
        <w:t xml:space="preserve"> que la decisi</w:t>
      </w:r>
      <w:r>
        <w:rPr>
          <w:rFonts w:cs="Times New Roman"/>
          <w:spacing w:val="-1"/>
          <w:sz w:val="18"/>
          <w:szCs w:val="18"/>
          <w:lang w:val="es-ES_tradnl"/>
        </w:rPr>
        <w:t>ó</w:t>
      </w:r>
      <w:r>
        <w:rPr>
          <w:spacing w:val="-1"/>
          <w:sz w:val="18"/>
          <w:szCs w:val="18"/>
          <w:lang w:val="es-ES_tradnl"/>
        </w:rPr>
        <w:t xml:space="preserve">n judicial </w:t>
      </w:r>
      <w:r>
        <w:rPr>
          <w:spacing w:val="-6"/>
          <w:sz w:val="18"/>
          <w:szCs w:val="18"/>
          <w:lang w:val="es-ES_tradnl"/>
        </w:rPr>
        <w:t>impugnada vulner</w:t>
      </w:r>
      <w:r>
        <w:rPr>
          <w:rFonts w:cs="Times New Roman"/>
          <w:spacing w:val="-6"/>
          <w:sz w:val="18"/>
          <w:szCs w:val="18"/>
          <w:lang w:val="es-ES_tradnl"/>
        </w:rPr>
        <w:t>ó</w:t>
      </w:r>
      <w:r>
        <w:rPr>
          <w:spacing w:val="-6"/>
          <w:sz w:val="18"/>
          <w:szCs w:val="18"/>
          <w:lang w:val="es-ES_tradnl"/>
        </w:rPr>
        <w:t xml:space="preserve"> el derecho constitucional a la tutela </w:t>
      </w:r>
      <w:r>
        <w:rPr>
          <w:spacing w:val="-3"/>
          <w:sz w:val="18"/>
          <w:szCs w:val="18"/>
          <w:lang w:val="es-ES_tradnl"/>
        </w:rPr>
        <w:t>judicial efectiva, este m</w:t>
      </w:r>
      <w:r>
        <w:rPr>
          <w:rFonts w:cs="Times New Roman"/>
          <w:spacing w:val="-3"/>
          <w:sz w:val="18"/>
          <w:szCs w:val="18"/>
          <w:lang w:val="es-ES_tradnl"/>
        </w:rPr>
        <w:t>á</w:t>
      </w:r>
      <w:r>
        <w:rPr>
          <w:spacing w:val="-3"/>
          <w:sz w:val="18"/>
          <w:szCs w:val="18"/>
          <w:lang w:val="es-ES_tradnl"/>
        </w:rPr>
        <w:t xml:space="preserve">ximo </w:t>
      </w:r>
      <w:r>
        <w:rPr>
          <w:rFonts w:cs="Times New Roman"/>
          <w:spacing w:val="-3"/>
          <w:sz w:val="18"/>
          <w:szCs w:val="18"/>
          <w:lang w:val="es-ES_tradnl"/>
        </w:rPr>
        <w:t>ó</w:t>
      </w:r>
      <w:r>
        <w:rPr>
          <w:spacing w:val="-3"/>
          <w:sz w:val="18"/>
          <w:szCs w:val="18"/>
          <w:lang w:val="es-ES_tradnl"/>
        </w:rPr>
        <w:t xml:space="preserve">rgano de control e </w:t>
      </w:r>
      <w:r>
        <w:rPr>
          <w:spacing w:val="-2"/>
          <w:sz w:val="18"/>
          <w:szCs w:val="18"/>
          <w:lang w:val="es-ES_tradnl"/>
        </w:rPr>
        <w:t>interpretaci</w:t>
      </w:r>
      <w:r>
        <w:rPr>
          <w:rFonts w:cs="Times New Roman"/>
          <w:spacing w:val="-2"/>
          <w:sz w:val="18"/>
          <w:szCs w:val="18"/>
          <w:lang w:val="es-ES_tradnl"/>
        </w:rPr>
        <w:t>ó</w:t>
      </w:r>
      <w:r>
        <w:rPr>
          <w:spacing w:val="-2"/>
          <w:sz w:val="18"/>
          <w:szCs w:val="18"/>
          <w:lang w:val="es-ES_tradnl"/>
        </w:rPr>
        <w:t>n constitucional, adicionalmente, analizar</w:t>
      </w:r>
      <w:r>
        <w:rPr>
          <w:rFonts w:cs="Times New Roman"/>
          <w:spacing w:val="-2"/>
          <w:sz w:val="18"/>
          <w:szCs w:val="18"/>
          <w:lang w:val="es-ES_tradnl"/>
        </w:rPr>
        <w:t xml:space="preserve">á </w:t>
      </w:r>
      <w:r>
        <w:rPr>
          <w:spacing w:val="-5"/>
          <w:sz w:val="18"/>
          <w:szCs w:val="18"/>
          <w:lang w:val="es-ES_tradnl"/>
        </w:rPr>
        <w:t>si existi</w:t>
      </w:r>
      <w:r>
        <w:rPr>
          <w:rFonts w:cs="Times New Roman"/>
          <w:spacing w:val="-5"/>
          <w:sz w:val="18"/>
          <w:szCs w:val="18"/>
          <w:lang w:val="es-ES_tradnl"/>
        </w:rPr>
        <w:t>ó</w:t>
      </w:r>
      <w:r>
        <w:rPr>
          <w:spacing w:val="-5"/>
          <w:sz w:val="18"/>
          <w:szCs w:val="18"/>
          <w:lang w:val="es-ES_tradnl"/>
        </w:rPr>
        <w:t xml:space="preserve"> transgresi</w:t>
      </w:r>
      <w:r>
        <w:rPr>
          <w:rFonts w:cs="Times New Roman"/>
          <w:spacing w:val="-5"/>
          <w:sz w:val="18"/>
          <w:szCs w:val="18"/>
          <w:lang w:val="es-ES_tradnl"/>
        </w:rPr>
        <w:t>ó</w:t>
      </w:r>
      <w:r>
        <w:rPr>
          <w:spacing w:val="-5"/>
          <w:sz w:val="18"/>
          <w:szCs w:val="18"/>
          <w:lang w:val="es-ES_tradnl"/>
        </w:rPr>
        <w:t xml:space="preserve">n del derecho constitucional a la </w:t>
      </w:r>
      <w:r>
        <w:rPr>
          <w:sz w:val="18"/>
          <w:szCs w:val="18"/>
          <w:lang w:val="es-ES_tradnl"/>
        </w:rPr>
        <w:t>seguridad jur</w:t>
      </w:r>
      <w:r>
        <w:rPr>
          <w:rFonts w:cs="Times New Roman"/>
          <w:sz w:val="18"/>
          <w:szCs w:val="18"/>
          <w:lang w:val="es-ES_tradnl"/>
        </w:rPr>
        <w:t>í</w:t>
      </w:r>
      <w:r>
        <w:rPr>
          <w:sz w:val="18"/>
          <w:szCs w:val="18"/>
          <w:lang w:val="es-ES_tradnl"/>
        </w:rPr>
        <w:t>dica.</w:t>
      </w:r>
    </w:p>
    <w:p w14:paraId="4F67AB78" w14:textId="77777777" w:rsidR="00591D54" w:rsidRDefault="00591D54">
      <w:pPr>
        <w:shd w:val="clear" w:color="auto" w:fill="FFFFFF"/>
        <w:spacing w:before="197" w:line="216" w:lineRule="exact"/>
        <w:jc w:val="both"/>
      </w:pPr>
      <w:r>
        <w:rPr>
          <w:spacing w:val="-9"/>
          <w:sz w:val="18"/>
          <w:szCs w:val="18"/>
          <w:lang w:val="es-ES_tradnl"/>
        </w:rPr>
        <w:t>De acuerdo a lo prescrito en el art</w:t>
      </w:r>
      <w:r>
        <w:rPr>
          <w:rFonts w:cs="Times New Roman"/>
          <w:spacing w:val="-9"/>
          <w:sz w:val="18"/>
          <w:szCs w:val="18"/>
          <w:lang w:val="es-ES_tradnl"/>
        </w:rPr>
        <w:t>í</w:t>
      </w:r>
      <w:r>
        <w:rPr>
          <w:spacing w:val="-9"/>
          <w:sz w:val="18"/>
          <w:szCs w:val="18"/>
          <w:lang w:val="es-ES_tradnl"/>
        </w:rPr>
        <w:t>culo 82 de la Constituci</w:t>
      </w:r>
      <w:r>
        <w:rPr>
          <w:rFonts w:cs="Times New Roman"/>
          <w:spacing w:val="-9"/>
          <w:sz w:val="18"/>
          <w:szCs w:val="18"/>
          <w:lang w:val="es-ES_tradnl"/>
        </w:rPr>
        <w:t>ó</w:t>
      </w:r>
      <w:r>
        <w:rPr>
          <w:spacing w:val="-9"/>
          <w:sz w:val="18"/>
          <w:szCs w:val="18"/>
          <w:lang w:val="es-ES_tradnl"/>
        </w:rPr>
        <w:t xml:space="preserve">n </w:t>
      </w:r>
      <w:r>
        <w:rPr>
          <w:spacing w:val="-6"/>
          <w:sz w:val="18"/>
          <w:szCs w:val="18"/>
          <w:lang w:val="es-ES_tradnl"/>
        </w:rPr>
        <w:t>de la Rep</w:t>
      </w:r>
      <w:r>
        <w:rPr>
          <w:rFonts w:cs="Times New Roman"/>
          <w:spacing w:val="-6"/>
          <w:sz w:val="18"/>
          <w:szCs w:val="18"/>
          <w:lang w:val="es-ES_tradnl"/>
        </w:rPr>
        <w:t>ú</w:t>
      </w:r>
      <w:r>
        <w:rPr>
          <w:spacing w:val="-6"/>
          <w:sz w:val="18"/>
          <w:szCs w:val="18"/>
          <w:lang w:val="es-ES_tradnl"/>
        </w:rPr>
        <w:t>blica, la seguridad jur</w:t>
      </w:r>
      <w:r>
        <w:rPr>
          <w:rFonts w:cs="Times New Roman"/>
          <w:spacing w:val="-6"/>
          <w:sz w:val="18"/>
          <w:szCs w:val="18"/>
          <w:lang w:val="es-ES_tradnl"/>
        </w:rPr>
        <w:t>í</w:t>
      </w:r>
      <w:r>
        <w:rPr>
          <w:spacing w:val="-6"/>
          <w:sz w:val="18"/>
          <w:szCs w:val="18"/>
          <w:lang w:val="es-ES_tradnl"/>
        </w:rPr>
        <w:t xml:space="preserve">dica, como derecho </w:t>
      </w:r>
      <w:r>
        <w:rPr>
          <w:spacing w:val="-5"/>
          <w:sz w:val="18"/>
          <w:szCs w:val="18"/>
          <w:lang w:val="es-ES_tradnl"/>
        </w:rPr>
        <w:t>constitucional, tiene una doble dimensi</w:t>
      </w:r>
      <w:r>
        <w:rPr>
          <w:rFonts w:cs="Times New Roman"/>
          <w:spacing w:val="-5"/>
          <w:sz w:val="18"/>
          <w:szCs w:val="18"/>
          <w:lang w:val="es-ES_tradnl"/>
        </w:rPr>
        <w:t>ó</w:t>
      </w:r>
      <w:r>
        <w:rPr>
          <w:spacing w:val="-5"/>
          <w:sz w:val="18"/>
          <w:szCs w:val="18"/>
          <w:lang w:val="es-ES_tradnl"/>
        </w:rPr>
        <w:t xml:space="preserve">n: por un lado, </w:t>
      </w:r>
      <w:r>
        <w:rPr>
          <w:spacing w:val="-7"/>
          <w:sz w:val="18"/>
          <w:szCs w:val="18"/>
          <w:lang w:val="es-ES_tradnl"/>
        </w:rPr>
        <w:t xml:space="preserve">cuando se garantiza este derecho mediante el respeto, </w:t>
      </w:r>
      <w:r>
        <w:rPr>
          <w:spacing w:val="-8"/>
          <w:sz w:val="18"/>
          <w:szCs w:val="18"/>
          <w:lang w:val="es-ES_tradnl"/>
        </w:rPr>
        <w:t>sujeci</w:t>
      </w:r>
      <w:r>
        <w:rPr>
          <w:rFonts w:cs="Times New Roman"/>
          <w:spacing w:val="-8"/>
          <w:sz w:val="18"/>
          <w:szCs w:val="18"/>
          <w:lang w:val="es-ES_tradnl"/>
        </w:rPr>
        <w:t>ó</w:t>
      </w:r>
      <w:r>
        <w:rPr>
          <w:spacing w:val="-8"/>
          <w:sz w:val="18"/>
          <w:szCs w:val="18"/>
          <w:lang w:val="es-ES_tradnl"/>
        </w:rPr>
        <w:t xml:space="preserve">n y cumplimiento a los principios y reglas contenidos </w:t>
      </w:r>
      <w:r>
        <w:rPr>
          <w:sz w:val="18"/>
          <w:szCs w:val="18"/>
          <w:lang w:val="es-ES_tradnl"/>
        </w:rPr>
        <w:t>en 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 xml:space="preserve">blica, lo cual equivale a </w:t>
      </w:r>
      <w:r>
        <w:rPr>
          <w:spacing w:val="-2"/>
          <w:sz w:val="18"/>
          <w:szCs w:val="18"/>
          <w:lang w:val="es-ES_tradnl"/>
        </w:rPr>
        <w:t>afirmar la importancia que posee la ley como veh</w:t>
      </w:r>
      <w:r>
        <w:rPr>
          <w:rFonts w:cs="Times New Roman"/>
          <w:spacing w:val="-2"/>
          <w:sz w:val="18"/>
          <w:szCs w:val="18"/>
          <w:lang w:val="es-ES_tradnl"/>
        </w:rPr>
        <w:t>í</w:t>
      </w:r>
      <w:r>
        <w:rPr>
          <w:spacing w:val="-2"/>
          <w:sz w:val="18"/>
          <w:szCs w:val="18"/>
          <w:lang w:val="es-ES_tradnl"/>
        </w:rPr>
        <w:t>culo</w:t>
      </w:r>
    </w:p>
    <w:p w14:paraId="4F67AB79" w14:textId="77777777" w:rsidR="00591D54" w:rsidRDefault="00591D54">
      <w:pPr>
        <w:shd w:val="clear" w:color="auto" w:fill="FFFFFF"/>
        <w:spacing w:before="480"/>
      </w:pPr>
      <w:r>
        <w:rPr>
          <w:spacing w:val="-39"/>
          <w:sz w:val="14"/>
          <w:szCs w:val="14"/>
          <w:vertAlign w:val="superscript"/>
          <w:lang w:val="es-ES_tradnl"/>
        </w:rPr>
        <w:t>11</w:t>
      </w:r>
      <w:r>
        <w:rPr>
          <w:spacing w:val="-39"/>
          <w:sz w:val="14"/>
          <w:szCs w:val="14"/>
          <w:lang w:val="es-ES_tradnl"/>
        </w:rPr>
        <w:t xml:space="preserve"> </w:t>
      </w:r>
      <w:r>
        <w:rPr>
          <w:i/>
          <w:iCs/>
          <w:spacing w:val="-3"/>
          <w:sz w:val="14"/>
          <w:szCs w:val="14"/>
          <w:lang w:val="es-ES_tradnl"/>
        </w:rPr>
        <w:t>Ib</w:t>
      </w:r>
      <w:r>
        <w:rPr>
          <w:rFonts w:cs="Times New Roman"/>
          <w:i/>
          <w:iCs/>
          <w:spacing w:val="-3"/>
          <w:sz w:val="14"/>
          <w:szCs w:val="14"/>
          <w:lang w:val="es-ES_tradnl"/>
        </w:rPr>
        <w:t>í</w:t>
      </w:r>
      <w:r>
        <w:rPr>
          <w:i/>
          <w:iCs/>
          <w:spacing w:val="-3"/>
          <w:sz w:val="14"/>
          <w:szCs w:val="14"/>
          <w:lang w:val="es-ES_tradnl"/>
        </w:rPr>
        <w:t>dem</w:t>
      </w:r>
    </w:p>
    <w:p w14:paraId="4F67AB7A" w14:textId="77777777" w:rsidR="00591D54" w:rsidRDefault="00591D54">
      <w:pPr>
        <w:shd w:val="clear" w:color="auto" w:fill="FFFFFF"/>
        <w:spacing w:before="480"/>
        <w:sectPr w:rsidR="00591D54">
          <w:type w:val="continuous"/>
          <w:pgSz w:w="11909" w:h="16834"/>
          <w:pgMar w:top="1359" w:right="1309" w:bottom="360" w:left="1308" w:header="720" w:footer="720" w:gutter="0"/>
          <w:cols w:num="2" w:space="720" w:equalWidth="0">
            <w:col w:w="4305" w:space="682"/>
            <w:col w:w="4305"/>
          </w:cols>
          <w:noEndnote/>
        </w:sectPr>
      </w:pPr>
    </w:p>
    <w:p w14:paraId="4F67AB7B" w14:textId="77777777" w:rsidR="00591D54" w:rsidRDefault="00591D54">
      <w:pPr>
        <w:shd w:val="clear" w:color="auto" w:fill="FFFFFF"/>
        <w:tabs>
          <w:tab w:val="left" w:pos="595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- 97</w:t>
      </w:r>
    </w:p>
    <w:p w14:paraId="4F67AB7C" w14:textId="77777777" w:rsidR="00591D54" w:rsidRDefault="00591D54">
      <w:pPr>
        <w:shd w:val="clear" w:color="auto" w:fill="FFFFFF"/>
        <w:tabs>
          <w:tab w:val="left" w:pos="5952"/>
        </w:tabs>
        <w:spacing w:after="230"/>
        <w:ind w:left="5"/>
        <w:sectPr w:rsidR="00591D54">
          <w:pgSz w:w="11909" w:h="16834"/>
          <w:pgMar w:top="1356" w:right="1309" w:bottom="360" w:left="1308" w:header="720" w:footer="720" w:gutter="0"/>
          <w:cols w:space="60"/>
          <w:noEndnote/>
        </w:sectPr>
      </w:pPr>
    </w:p>
    <w:p w14:paraId="4F67AB7D" w14:textId="77777777" w:rsidR="00591D54" w:rsidRDefault="00591D54">
      <w:pPr>
        <w:shd w:val="clear" w:color="auto" w:fill="FFFFFF"/>
        <w:spacing w:before="5" w:line="216" w:lineRule="exact"/>
        <w:jc w:val="both"/>
      </w:pPr>
      <w:r>
        <w:rPr>
          <w:spacing w:val="-8"/>
          <w:sz w:val="18"/>
          <w:szCs w:val="18"/>
          <w:lang w:val="es-ES_tradnl"/>
        </w:rPr>
        <w:t>generador de certeza, y por otro, cuando las autoridades p</w:t>
      </w:r>
      <w:r>
        <w:rPr>
          <w:rFonts w:cs="Times New Roman"/>
          <w:spacing w:val="-8"/>
          <w:sz w:val="18"/>
          <w:szCs w:val="18"/>
          <w:lang w:val="es-ES_tradnl"/>
        </w:rPr>
        <w:t>ú</w:t>
      </w:r>
      <w:r>
        <w:rPr>
          <w:spacing w:val="-8"/>
          <w:sz w:val="18"/>
          <w:szCs w:val="18"/>
          <w:lang w:val="es-ES_tradnl"/>
        </w:rPr>
        <w:t xml:space="preserve">blicas, en ejercicio de sus competencias, aplican normas </w:t>
      </w:r>
      <w:r>
        <w:rPr>
          <w:sz w:val="18"/>
          <w:szCs w:val="18"/>
          <w:lang w:val="es-ES_tradnl"/>
        </w:rPr>
        <w:t>previas, claras y p</w:t>
      </w:r>
      <w:r>
        <w:rPr>
          <w:rFonts w:cs="Times New Roman"/>
          <w:sz w:val="18"/>
          <w:szCs w:val="18"/>
          <w:lang w:val="es-ES_tradnl"/>
        </w:rPr>
        <w:t>ú</w:t>
      </w:r>
      <w:r>
        <w:rPr>
          <w:sz w:val="18"/>
          <w:szCs w:val="18"/>
          <w:lang w:val="es-ES_tradnl"/>
        </w:rPr>
        <w:t>blicas.</w:t>
      </w:r>
    </w:p>
    <w:p w14:paraId="4F67AB7E" w14:textId="77777777" w:rsidR="00591D54" w:rsidRDefault="00591D54">
      <w:pPr>
        <w:shd w:val="clear" w:color="auto" w:fill="FFFFFF"/>
        <w:spacing w:before="197" w:line="216" w:lineRule="exact"/>
        <w:jc w:val="both"/>
      </w:pPr>
      <w:r>
        <w:rPr>
          <w:spacing w:val="-7"/>
          <w:sz w:val="18"/>
          <w:szCs w:val="18"/>
          <w:lang w:val="es-ES_tradnl"/>
        </w:rPr>
        <w:t>Por tal motivo, la transgresi</w:t>
      </w:r>
      <w:r>
        <w:rPr>
          <w:rFonts w:cs="Times New Roman"/>
          <w:spacing w:val="-7"/>
          <w:sz w:val="18"/>
          <w:szCs w:val="18"/>
          <w:lang w:val="es-ES_tradnl"/>
        </w:rPr>
        <w:t>ó</w:t>
      </w:r>
      <w:r>
        <w:rPr>
          <w:spacing w:val="-7"/>
          <w:sz w:val="18"/>
          <w:szCs w:val="18"/>
          <w:lang w:val="es-ES_tradnl"/>
        </w:rPr>
        <w:t xml:space="preserve">n del derecho a la seguridad </w:t>
      </w:r>
      <w:r>
        <w:rPr>
          <w:spacing w:val="-4"/>
          <w:sz w:val="18"/>
          <w:szCs w:val="18"/>
          <w:lang w:val="es-ES_tradnl"/>
        </w:rPr>
        <w:t>jur</w:t>
      </w:r>
      <w:r>
        <w:rPr>
          <w:rFonts w:cs="Times New Roman"/>
          <w:spacing w:val="-4"/>
          <w:sz w:val="18"/>
          <w:szCs w:val="18"/>
          <w:lang w:val="es-ES_tradnl"/>
        </w:rPr>
        <w:t>í</w:t>
      </w:r>
      <w:r>
        <w:rPr>
          <w:spacing w:val="-4"/>
          <w:sz w:val="18"/>
          <w:szCs w:val="18"/>
          <w:lang w:val="es-ES_tradnl"/>
        </w:rPr>
        <w:t xml:space="preserve">dica implica no solo el irrespeto a nuestro texto </w:t>
      </w:r>
      <w:r>
        <w:rPr>
          <w:spacing w:val="-8"/>
          <w:sz w:val="18"/>
          <w:szCs w:val="18"/>
          <w:lang w:val="es-ES_tradnl"/>
        </w:rPr>
        <w:t>constitucional, sino la afectaci</w:t>
      </w:r>
      <w:r>
        <w:rPr>
          <w:rFonts w:cs="Times New Roman"/>
          <w:spacing w:val="-8"/>
          <w:sz w:val="18"/>
          <w:szCs w:val="18"/>
          <w:lang w:val="es-ES_tradnl"/>
        </w:rPr>
        <w:t>ó</w:t>
      </w:r>
      <w:r>
        <w:rPr>
          <w:spacing w:val="-8"/>
          <w:sz w:val="18"/>
          <w:szCs w:val="18"/>
          <w:lang w:val="es-ES_tradnl"/>
        </w:rPr>
        <w:t xml:space="preserve">n a la legitimidad de nuestro sistema constitucional, por lo cual se da cabida a diversos </w:t>
      </w:r>
      <w:r>
        <w:rPr>
          <w:spacing w:val="-9"/>
          <w:sz w:val="18"/>
          <w:szCs w:val="18"/>
          <w:lang w:val="es-ES_tradnl"/>
        </w:rPr>
        <w:t>escenarios que generar</w:t>
      </w:r>
      <w:r>
        <w:rPr>
          <w:rFonts w:cs="Times New Roman"/>
          <w:spacing w:val="-9"/>
          <w:sz w:val="18"/>
          <w:szCs w:val="18"/>
          <w:lang w:val="es-ES_tradnl"/>
        </w:rPr>
        <w:t>í</w:t>
      </w:r>
      <w:r>
        <w:rPr>
          <w:spacing w:val="-9"/>
          <w:sz w:val="18"/>
          <w:szCs w:val="18"/>
          <w:lang w:val="es-ES_tradnl"/>
        </w:rPr>
        <w:t xml:space="preserve">an vulneraciones a otros derechos </w:t>
      </w:r>
      <w:r>
        <w:rPr>
          <w:sz w:val="18"/>
          <w:szCs w:val="18"/>
          <w:lang w:val="es-ES_tradnl"/>
        </w:rPr>
        <w:t>constitucionales.</w:t>
      </w:r>
    </w:p>
    <w:p w14:paraId="4F67AB7F" w14:textId="77777777" w:rsidR="00591D54" w:rsidRDefault="00591D54">
      <w:pPr>
        <w:shd w:val="clear" w:color="auto" w:fill="FFFFFF"/>
        <w:spacing w:before="197" w:line="211" w:lineRule="exact"/>
        <w:ind w:right="5"/>
        <w:jc w:val="both"/>
      </w:pPr>
      <w:r>
        <w:rPr>
          <w:spacing w:val="-6"/>
          <w:sz w:val="18"/>
          <w:szCs w:val="18"/>
          <w:lang w:val="es-ES_tradnl"/>
        </w:rPr>
        <w:t>La seguridad jur</w:t>
      </w:r>
      <w:r>
        <w:rPr>
          <w:rFonts w:cs="Times New Roman"/>
          <w:spacing w:val="-6"/>
          <w:sz w:val="18"/>
          <w:szCs w:val="18"/>
          <w:lang w:val="es-ES_tradnl"/>
        </w:rPr>
        <w:t>í</w:t>
      </w:r>
      <w:r>
        <w:rPr>
          <w:spacing w:val="-6"/>
          <w:sz w:val="18"/>
          <w:szCs w:val="18"/>
          <w:lang w:val="es-ES_tradnl"/>
        </w:rPr>
        <w:t xml:space="preserve">dica, por tanto, proscribe la arbitrariedad </w:t>
      </w:r>
      <w:r>
        <w:rPr>
          <w:spacing w:val="-7"/>
          <w:sz w:val="18"/>
          <w:szCs w:val="18"/>
          <w:lang w:val="es-ES_tradnl"/>
        </w:rPr>
        <w:t>en funci</w:t>
      </w:r>
      <w:r>
        <w:rPr>
          <w:rFonts w:cs="Times New Roman"/>
          <w:spacing w:val="-7"/>
          <w:sz w:val="18"/>
          <w:szCs w:val="18"/>
          <w:lang w:val="es-ES_tradnl"/>
        </w:rPr>
        <w:t>ó</w:t>
      </w:r>
      <w:r>
        <w:rPr>
          <w:spacing w:val="-7"/>
          <w:sz w:val="18"/>
          <w:szCs w:val="18"/>
          <w:lang w:val="es-ES_tradnl"/>
        </w:rPr>
        <w:t xml:space="preserve">n del relevante papel que se concede a la ley </w:t>
      </w:r>
      <w:r>
        <w:rPr>
          <w:spacing w:val="-5"/>
          <w:sz w:val="18"/>
          <w:szCs w:val="18"/>
          <w:lang w:val="es-ES_tradnl"/>
        </w:rPr>
        <w:t>(principio de jerarqu</w:t>
      </w:r>
      <w:r>
        <w:rPr>
          <w:rFonts w:cs="Times New Roman"/>
          <w:spacing w:val="-5"/>
          <w:sz w:val="18"/>
          <w:szCs w:val="18"/>
          <w:lang w:val="es-ES_tradnl"/>
        </w:rPr>
        <w:t>í</w:t>
      </w:r>
      <w:r>
        <w:rPr>
          <w:spacing w:val="-5"/>
          <w:sz w:val="18"/>
          <w:szCs w:val="18"/>
          <w:lang w:val="es-ES_tradnl"/>
        </w:rPr>
        <w:t xml:space="preserve">a normativa) como mecanismo de </w:t>
      </w:r>
      <w:r>
        <w:rPr>
          <w:spacing w:val="-9"/>
          <w:sz w:val="18"/>
          <w:szCs w:val="18"/>
          <w:lang w:val="es-ES_tradnl"/>
        </w:rPr>
        <w:t xml:space="preserve">defensa que asegura un trato igual de todos los ciudadanos </w:t>
      </w:r>
      <w:r>
        <w:rPr>
          <w:spacing w:val="-8"/>
          <w:sz w:val="18"/>
          <w:szCs w:val="18"/>
          <w:lang w:val="es-ES_tradnl"/>
        </w:rPr>
        <w:t xml:space="preserve">ante la misma, frente a los posibles abusos de los </w:t>
      </w:r>
      <w:r>
        <w:rPr>
          <w:rFonts w:cs="Times New Roman"/>
          <w:spacing w:val="-8"/>
          <w:sz w:val="18"/>
          <w:szCs w:val="18"/>
          <w:lang w:val="es-ES_tradnl"/>
        </w:rPr>
        <w:t>ó</w:t>
      </w:r>
      <w:r>
        <w:rPr>
          <w:spacing w:val="-8"/>
          <w:sz w:val="18"/>
          <w:szCs w:val="18"/>
          <w:lang w:val="es-ES_tradnl"/>
        </w:rPr>
        <w:t xml:space="preserve">rganos </w:t>
      </w:r>
      <w:r>
        <w:rPr>
          <w:spacing w:val="-9"/>
          <w:sz w:val="18"/>
          <w:szCs w:val="18"/>
          <w:lang w:val="es-ES_tradnl"/>
        </w:rPr>
        <w:t xml:space="preserve">del Estado. De esta forma se garantiza como fin </w:t>
      </w:r>
      <w:r>
        <w:rPr>
          <w:rFonts w:cs="Times New Roman"/>
          <w:spacing w:val="-9"/>
          <w:sz w:val="18"/>
          <w:szCs w:val="18"/>
          <w:lang w:val="es-ES_tradnl"/>
        </w:rPr>
        <w:t>ú</w:t>
      </w:r>
      <w:r>
        <w:rPr>
          <w:spacing w:val="-9"/>
          <w:sz w:val="18"/>
          <w:szCs w:val="18"/>
          <w:lang w:val="es-ES_tradnl"/>
        </w:rPr>
        <w:t xml:space="preserve">ltimo que los derechos constitucionales se tutelen adecuadamente al </w:t>
      </w:r>
      <w:r>
        <w:rPr>
          <w:spacing w:val="-10"/>
          <w:sz w:val="18"/>
          <w:szCs w:val="18"/>
          <w:lang w:val="es-ES_tradnl"/>
        </w:rPr>
        <w:t>circunscribir los l</w:t>
      </w:r>
      <w:r>
        <w:rPr>
          <w:rFonts w:cs="Times New Roman"/>
          <w:spacing w:val="-10"/>
          <w:sz w:val="18"/>
          <w:szCs w:val="18"/>
          <w:lang w:val="es-ES_tradnl"/>
        </w:rPr>
        <w:t>í</w:t>
      </w:r>
      <w:r>
        <w:rPr>
          <w:spacing w:val="-10"/>
          <w:sz w:val="18"/>
          <w:szCs w:val="18"/>
          <w:lang w:val="es-ES_tradnl"/>
        </w:rPr>
        <w:t xml:space="preserve">mites de las actuaciones de las autoridades </w:t>
      </w:r>
      <w:r>
        <w:rPr>
          <w:spacing w:val="-8"/>
          <w:sz w:val="18"/>
          <w:szCs w:val="18"/>
          <w:lang w:val="es-ES_tradnl"/>
        </w:rPr>
        <w:t>p</w:t>
      </w:r>
      <w:r>
        <w:rPr>
          <w:rFonts w:cs="Times New Roman"/>
          <w:spacing w:val="-8"/>
          <w:sz w:val="18"/>
          <w:szCs w:val="18"/>
          <w:lang w:val="es-ES_tradnl"/>
        </w:rPr>
        <w:t>ú</w:t>
      </w:r>
      <w:r>
        <w:rPr>
          <w:spacing w:val="-8"/>
          <w:sz w:val="18"/>
          <w:szCs w:val="18"/>
          <w:lang w:val="es-ES_tradnl"/>
        </w:rPr>
        <w:t>blicas que determina la Constituci</w:t>
      </w:r>
      <w:r>
        <w:rPr>
          <w:rFonts w:cs="Times New Roman"/>
          <w:spacing w:val="-8"/>
          <w:sz w:val="18"/>
          <w:szCs w:val="18"/>
          <w:lang w:val="es-ES_tradnl"/>
        </w:rPr>
        <w:t>ó</w:t>
      </w:r>
      <w:r>
        <w:rPr>
          <w:spacing w:val="-8"/>
          <w:sz w:val="18"/>
          <w:szCs w:val="18"/>
          <w:lang w:val="es-ES_tradnl"/>
        </w:rPr>
        <w:t>n de la Rep</w:t>
      </w:r>
      <w:r>
        <w:rPr>
          <w:rFonts w:cs="Times New Roman"/>
          <w:spacing w:val="-8"/>
          <w:sz w:val="18"/>
          <w:szCs w:val="18"/>
          <w:lang w:val="es-ES_tradnl"/>
        </w:rPr>
        <w:t>ú</w:t>
      </w:r>
      <w:r>
        <w:rPr>
          <w:spacing w:val="-8"/>
          <w:sz w:val="18"/>
          <w:szCs w:val="18"/>
          <w:lang w:val="es-ES_tradnl"/>
        </w:rPr>
        <w:t>blica</w:t>
      </w:r>
      <w:r>
        <w:rPr>
          <w:spacing w:val="-8"/>
          <w:sz w:val="18"/>
          <w:szCs w:val="18"/>
          <w:vertAlign w:val="superscript"/>
          <w:lang w:val="es-ES_tradnl"/>
        </w:rPr>
        <w:t>12</w:t>
      </w:r>
      <w:r>
        <w:rPr>
          <w:spacing w:val="-8"/>
          <w:sz w:val="18"/>
          <w:szCs w:val="18"/>
          <w:lang w:val="es-ES_tradnl"/>
        </w:rPr>
        <w:t>.</w:t>
      </w:r>
    </w:p>
    <w:p w14:paraId="4F67AB80" w14:textId="77777777" w:rsidR="00591D54" w:rsidRDefault="00591D54">
      <w:pPr>
        <w:shd w:val="clear" w:color="auto" w:fill="FFFFFF"/>
        <w:spacing w:before="192" w:line="211" w:lineRule="exact"/>
        <w:ind w:right="5"/>
        <w:jc w:val="both"/>
      </w:pPr>
      <w:r>
        <w:rPr>
          <w:spacing w:val="-2"/>
          <w:sz w:val="18"/>
          <w:szCs w:val="18"/>
          <w:lang w:val="es-ES_tradnl"/>
        </w:rPr>
        <w:t xml:space="preserve">Este concepto se tiene que examinar y cumplir por </w:t>
      </w:r>
      <w:r>
        <w:rPr>
          <w:spacing w:val="-11"/>
          <w:sz w:val="18"/>
          <w:szCs w:val="18"/>
          <w:lang w:val="es-ES_tradnl"/>
        </w:rPr>
        <w:t xml:space="preserve">cualquier Estado que se considere </w:t>
      </w:r>
      <w:r>
        <w:rPr>
          <w:rFonts w:cs="Times New Roman"/>
          <w:spacing w:val="-11"/>
          <w:sz w:val="18"/>
          <w:szCs w:val="18"/>
          <w:lang w:val="es-ES_tradnl"/>
        </w:rPr>
        <w:t>“</w:t>
      </w:r>
      <w:r>
        <w:rPr>
          <w:spacing w:val="-11"/>
          <w:sz w:val="18"/>
          <w:szCs w:val="18"/>
          <w:lang w:val="es-ES_tradnl"/>
        </w:rPr>
        <w:t>de derecho</w:t>
      </w:r>
      <w:r>
        <w:rPr>
          <w:rFonts w:cs="Times New Roman"/>
          <w:spacing w:val="-11"/>
          <w:sz w:val="18"/>
          <w:szCs w:val="18"/>
          <w:lang w:val="es-ES_tradnl"/>
        </w:rPr>
        <w:t>”</w:t>
      </w:r>
      <w:r>
        <w:rPr>
          <w:spacing w:val="-11"/>
          <w:sz w:val="18"/>
          <w:szCs w:val="18"/>
          <w:lang w:val="es-ES_tradnl"/>
        </w:rPr>
        <w:t>, m</w:t>
      </w:r>
      <w:r>
        <w:rPr>
          <w:rFonts w:cs="Times New Roman"/>
          <w:spacing w:val="-11"/>
          <w:sz w:val="18"/>
          <w:szCs w:val="18"/>
          <w:lang w:val="es-ES_tradnl"/>
        </w:rPr>
        <w:t>á</w:t>
      </w:r>
      <w:r>
        <w:rPr>
          <w:spacing w:val="-11"/>
          <w:sz w:val="18"/>
          <w:szCs w:val="18"/>
          <w:lang w:val="es-ES_tradnl"/>
        </w:rPr>
        <w:t>s a</w:t>
      </w:r>
      <w:r>
        <w:rPr>
          <w:rFonts w:cs="Times New Roman"/>
          <w:spacing w:val="-11"/>
          <w:sz w:val="18"/>
          <w:szCs w:val="18"/>
          <w:lang w:val="es-ES_tradnl"/>
        </w:rPr>
        <w:t>ú</w:t>
      </w:r>
      <w:r>
        <w:rPr>
          <w:spacing w:val="-11"/>
          <w:sz w:val="18"/>
          <w:szCs w:val="18"/>
          <w:lang w:val="es-ES_tradnl"/>
        </w:rPr>
        <w:t xml:space="preserve">n en </w:t>
      </w:r>
      <w:r>
        <w:rPr>
          <w:spacing w:val="-7"/>
          <w:sz w:val="18"/>
          <w:szCs w:val="18"/>
          <w:lang w:val="es-ES_tradnl"/>
        </w:rPr>
        <w:t>la concepci</w:t>
      </w:r>
      <w:r>
        <w:rPr>
          <w:rFonts w:cs="Times New Roman"/>
          <w:spacing w:val="-7"/>
          <w:sz w:val="18"/>
          <w:szCs w:val="18"/>
          <w:lang w:val="es-ES_tradnl"/>
        </w:rPr>
        <w:t>ó</w:t>
      </w:r>
      <w:r>
        <w:rPr>
          <w:spacing w:val="-7"/>
          <w:sz w:val="18"/>
          <w:szCs w:val="18"/>
          <w:lang w:val="es-ES_tradnl"/>
        </w:rPr>
        <w:t>n y filosof</w:t>
      </w:r>
      <w:r>
        <w:rPr>
          <w:rFonts w:cs="Times New Roman"/>
          <w:spacing w:val="-7"/>
          <w:sz w:val="18"/>
          <w:szCs w:val="18"/>
          <w:lang w:val="es-ES_tradnl"/>
        </w:rPr>
        <w:t>í</w:t>
      </w:r>
      <w:r>
        <w:rPr>
          <w:spacing w:val="-7"/>
          <w:sz w:val="18"/>
          <w:szCs w:val="18"/>
          <w:lang w:val="es-ES_tradnl"/>
        </w:rPr>
        <w:t xml:space="preserve">a de nuestro Estado constitucional, </w:t>
      </w:r>
      <w:r>
        <w:rPr>
          <w:spacing w:val="-6"/>
          <w:sz w:val="18"/>
          <w:szCs w:val="18"/>
          <w:lang w:val="es-ES_tradnl"/>
        </w:rPr>
        <w:t xml:space="preserve">cuya finalidad es la tutela efectiva de los derechos </w:t>
      </w:r>
      <w:r>
        <w:rPr>
          <w:spacing w:val="-7"/>
          <w:sz w:val="18"/>
          <w:szCs w:val="18"/>
          <w:lang w:val="es-ES_tradnl"/>
        </w:rPr>
        <w:t xml:space="preserve">constitucionales, consagrados en la Carta Magna y en el </w:t>
      </w:r>
      <w:r>
        <w:rPr>
          <w:sz w:val="18"/>
          <w:szCs w:val="18"/>
          <w:lang w:val="es-ES_tradnl"/>
        </w:rPr>
        <w:t>ordenamiento jur</w:t>
      </w:r>
      <w:r>
        <w:rPr>
          <w:rFonts w:cs="Times New Roman"/>
          <w:sz w:val="18"/>
          <w:szCs w:val="18"/>
          <w:lang w:val="es-ES_tradnl"/>
        </w:rPr>
        <w:t>í</w:t>
      </w:r>
      <w:r>
        <w:rPr>
          <w:sz w:val="18"/>
          <w:szCs w:val="18"/>
          <w:lang w:val="es-ES_tradnl"/>
        </w:rPr>
        <w:t>dico</w:t>
      </w:r>
      <w:r>
        <w:rPr>
          <w:sz w:val="18"/>
          <w:szCs w:val="18"/>
          <w:vertAlign w:val="superscript"/>
          <w:lang w:val="es-ES_tradnl"/>
        </w:rPr>
        <w:t>13</w:t>
      </w:r>
      <w:r>
        <w:rPr>
          <w:sz w:val="18"/>
          <w:szCs w:val="18"/>
          <w:lang w:val="es-ES_tradnl"/>
        </w:rPr>
        <w:t>.</w:t>
      </w:r>
    </w:p>
    <w:p w14:paraId="4F67AB81" w14:textId="77777777" w:rsidR="00591D54" w:rsidRDefault="00591D54">
      <w:pPr>
        <w:shd w:val="clear" w:color="auto" w:fill="FFFFFF"/>
        <w:spacing w:before="192" w:line="216" w:lineRule="exact"/>
        <w:ind w:right="5"/>
        <w:jc w:val="both"/>
      </w:pPr>
      <w:r>
        <w:rPr>
          <w:sz w:val="18"/>
          <w:szCs w:val="18"/>
          <w:lang w:val="es-ES_tradnl"/>
        </w:rPr>
        <w:t>Adicionalmente, la seguridad jur</w:t>
      </w:r>
      <w:r>
        <w:rPr>
          <w:rFonts w:cs="Times New Roman"/>
          <w:sz w:val="18"/>
          <w:szCs w:val="18"/>
          <w:lang w:val="es-ES_tradnl"/>
        </w:rPr>
        <w:t>í</w:t>
      </w:r>
      <w:r>
        <w:rPr>
          <w:sz w:val="18"/>
          <w:szCs w:val="18"/>
          <w:lang w:val="es-ES_tradnl"/>
        </w:rPr>
        <w:t>dica tiene el efecto de generar en los ciudadanos la percepci</w:t>
      </w:r>
      <w:r>
        <w:rPr>
          <w:rFonts w:cs="Times New Roman"/>
          <w:sz w:val="18"/>
          <w:szCs w:val="18"/>
          <w:lang w:val="es-ES_tradnl"/>
        </w:rPr>
        <w:t>ó</w:t>
      </w:r>
      <w:r>
        <w:rPr>
          <w:sz w:val="18"/>
          <w:szCs w:val="18"/>
          <w:lang w:val="es-ES_tradnl"/>
        </w:rPr>
        <w:t xml:space="preserve">n racional </w:t>
      </w:r>
      <w:r>
        <w:rPr>
          <w:spacing w:val="-7"/>
          <w:sz w:val="18"/>
          <w:szCs w:val="18"/>
          <w:lang w:val="es-ES_tradnl"/>
        </w:rPr>
        <w:t>de coherencia entre aquello que est</w:t>
      </w:r>
      <w:r>
        <w:rPr>
          <w:rFonts w:cs="Times New Roman"/>
          <w:spacing w:val="-7"/>
          <w:sz w:val="18"/>
          <w:szCs w:val="18"/>
          <w:lang w:val="es-ES_tradnl"/>
        </w:rPr>
        <w:t>á</w:t>
      </w:r>
      <w:r>
        <w:rPr>
          <w:spacing w:val="-7"/>
          <w:sz w:val="18"/>
          <w:szCs w:val="18"/>
          <w:lang w:val="es-ES_tradnl"/>
        </w:rPr>
        <w:t xml:space="preserve"> regulado por el </w:t>
      </w:r>
      <w:r>
        <w:rPr>
          <w:spacing w:val="-8"/>
          <w:sz w:val="18"/>
          <w:szCs w:val="18"/>
          <w:lang w:val="es-ES_tradnl"/>
        </w:rPr>
        <w:t>ordenamiento jur</w:t>
      </w:r>
      <w:r>
        <w:rPr>
          <w:rFonts w:cs="Times New Roman"/>
          <w:spacing w:val="-8"/>
          <w:sz w:val="18"/>
          <w:szCs w:val="18"/>
          <w:lang w:val="es-ES_tradnl"/>
        </w:rPr>
        <w:t>í</w:t>
      </w:r>
      <w:r>
        <w:rPr>
          <w:spacing w:val="-8"/>
          <w:sz w:val="18"/>
          <w:szCs w:val="18"/>
          <w:lang w:val="es-ES_tradnl"/>
        </w:rPr>
        <w:t xml:space="preserve">dico, con lo que efectivamente se cumple </w:t>
      </w:r>
      <w:r>
        <w:rPr>
          <w:spacing w:val="-6"/>
          <w:sz w:val="18"/>
          <w:szCs w:val="18"/>
          <w:lang w:val="es-ES_tradnl"/>
        </w:rPr>
        <w:t>en la realidad material a trav</w:t>
      </w:r>
      <w:r>
        <w:rPr>
          <w:rFonts w:cs="Times New Roman"/>
          <w:spacing w:val="-6"/>
          <w:sz w:val="18"/>
          <w:szCs w:val="18"/>
          <w:lang w:val="es-ES_tradnl"/>
        </w:rPr>
        <w:t>é</w:t>
      </w:r>
      <w:r>
        <w:rPr>
          <w:spacing w:val="-6"/>
          <w:sz w:val="18"/>
          <w:szCs w:val="18"/>
          <w:lang w:val="es-ES_tradnl"/>
        </w:rPr>
        <w:t>s de aquella regulaci</w:t>
      </w:r>
      <w:r>
        <w:rPr>
          <w:rFonts w:cs="Times New Roman"/>
          <w:spacing w:val="-6"/>
          <w:sz w:val="18"/>
          <w:szCs w:val="18"/>
          <w:lang w:val="es-ES_tradnl"/>
        </w:rPr>
        <w:t>ó</w:t>
      </w:r>
      <w:r>
        <w:rPr>
          <w:spacing w:val="-6"/>
          <w:sz w:val="18"/>
          <w:szCs w:val="18"/>
          <w:lang w:val="es-ES_tradnl"/>
        </w:rPr>
        <w:t xml:space="preserve">n </w:t>
      </w:r>
      <w:r>
        <w:rPr>
          <w:spacing w:val="-10"/>
          <w:sz w:val="18"/>
          <w:szCs w:val="18"/>
          <w:lang w:val="es-ES_tradnl"/>
        </w:rPr>
        <w:t>normativa. Los ciudadanos, a trav</w:t>
      </w:r>
      <w:r>
        <w:rPr>
          <w:rFonts w:cs="Times New Roman"/>
          <w:spacing w:val="-10"/>
          <w:sz w:val="18"/>
          <w:szCs w:val="18"/>
          <w:lang w:val="es-ES_tradnl"/>
        </w:rPr>
        <w:t>é</w:t>
      </w:r>
      <w:r>
        <w:rPr>
          <w:spacing w:val="-10"/>
          <w:sz w:val="18"/>
          <w:szCs w:val="18"/>
          <w:lang w:val="es-ES_tradnl"/>
        </w:rPr>
        <w:t>s de la seguridad jur</w:t>
      </w:r>
      <w:r>
        <w:rPr>
          <w:rFonts w:cs="Times New Roman"/>
          <w:spacing w:val="-10"/>
          <w:sz w:val="18"/>
          <w:szCs w:val="18"/>
          <w:lang w:val="es-ES_tradnl"/>
        </w:rPr>
        <w:t>í</w:t>
      </w:r>
      <w:r>
        <w:rPr>
          <w:spacing w:val="-10"/>
          <w:sz w:val="18"/>
          <w:szCs w:val="18"/>
          <w:lang w:val="es-ES_tradnl"/>
        </w:rPr>
        <w:t xml:space="preserve">dica, </w:t>
      </w:r>
      <w:r>
        <w:rPr>
          <w:spacing w:val="-7"/>
          <w:sz w:val="18"/>
          <w:szCs w:val="18"/>
          <w:lang w:val="es-ES_tradnl"/>
        </w:rPr>
        <w:t>saben qu</w:t>
      </w:r>
      <w:r>
        <w:rPr>
          <w:rFonts w:cs="Times New Roman"/>
          <w:spacing w:val="-7"/>
          <w:sz w:val="18"/>
          <w:szCs w:val="18"/>
          <w:lang w:val="es-ES_tradnl"/>
        </w:rPr>
        <w:t>é</w:t>
      </w:r>
      <w:r>
        <w:rPr>
          <w:spacing w:val="-7"/>
          <w:sz w:val="18"/>
          <w:szCs w:val="18"/>
          <w:lang w:val="es-ES_tradnl"/>
        </w:rPr>
        <w:t xml:space="preserve"> esperar, lo cual supone un conocimiento cierto de las leyes vigentes; a partir de dicho conocimiento, se </w:t>
      </w:r>
      <w:r>
        <w:rPr>
          <w:spacing w:val="-8"/>
          <w:sz w:val="18"/>
          <w:szCs w:val="18"/>
          <w:lang w:val="es-ES_tradnl"/>
        </w:rPr>
        <w:t>construye su confianza en relaci</w:t>
      </w:r>
      <w:r>
        <w:rPr>
          <w:rFonts w:cs="Times New Roman"/>
          <w:spacing w:val="-8"/>
          <w:sz w:val="18"/>
          <w:szCs w:val="18"/>
          <w:lang w:val="es-ES_tradnl"/>
        </w:rPr>
        <w:t>ó</w:t>
      </w:r>
      <w:r>
        <w:rPr>
          <w:spacing w:val="-8"/>
          <w:sz w:val="18"/>
          <w:szCs w:val="18"/>
          <w:lang w:val="es-ES_tradnl"/>
        </w:rPr>
        <w:t xml:space="preserve">n con las actuaciones del </w:t>
      </w:r>
      <w:r>
        <w:rPr>
          <w:spacing w:val="-6"/>
          <w:sz w:val="18"/>
          <w:szCs w:val="18"/>
          <w:lang w:val="es-ES_tradnl"/>
        </w:rPr>
        <w:t>poder p</w:t>
      </w:r>
      <w:r>
        <w:rPr>
          <w:rFonts w:cs="Times New Roman"/>
          <w:spacing w:val="-6"/>
          <w:sz w:val="18"/>
          <w:szCs w:val="18"/>
          <w:lang w:val="es-ES_tradnl"/>
        </w:rPr>
        <w:t>ú</w:t>
      </w:r>
      <w:r>
        <w:rPr>
          <w:spacing w:val="-6"/>
          <w:sz w:val="18"/>
          <w:szCs w:val="18"/>
          <w:lang w:val="es-ES_tradnl"/>
        </w:rPr>
        <w:t>blico. As</w:t>
      </w:r>
      <w:r>
        <w:rPr>
          <w:rFonts w:cs="Times New Roman"/>
          <w:spacing w:val="-6"/>
          <w:sz w:val="18"/>
          <w:szCs w:val="18"/>
          <w:lang w:val="es-ES_tradnl"/>
        </w:rPr>
        <w:t>í</w:t>
      </w:r>
      <w:r>
        <w:rPr>
          <w:spacing w:val="-6"/>
          <w:sz w:val="18"/>
          <w:szCs w:val="18"/>
          <w:lang w:val="es-ES_tradnl"/>
        </w:rPr>
        <w:t xml:space="preserve"> lo manifest</w:t>
      </w:r>
      <w:r>
        <w:rPr>
          <w:rFonts w:cs="Times New Roman"/>
          <w:spacing w:val="-6"/>
          <w:sz w:val="18"/>
          <w:szCs w:val="18"/>
          <w:lang w:val="es-ES_tradnl"/>
        </w:rPr>
        <w:t>ó</w:t>
      </w:r>
      <w:r>
        <w:rPr>
          <w:spacing w:val="-6"/>
          <w:sz w:val="18"/>
          <w:szCs w:val="18"/>
          <w:lang w:val="es-ES_tradnl"/>
        </w:rPr>
        <w:t xml:space="preserve"> esta Corte Constitucional, </w:t>
      </w:r>
      <w:r>
        <w:rPr>
          <w:spacing w:val="-5"/>
          <w:sz w:val="18"/>
          <w:szCs w:val="18"/>
          <w:lang w:val="es-ES_tradnl"/>
        </w:rPr>
        <w:t>mediante sentencia N.</w:t>
      </w:r>
      <w:r>
        <w:rPr>
          <w:rFonts w:cs="Times New Roman"/>
          <w:spacing w:val="-5"/>
          <w:sz w:val="18"/>
          <w:szCs w:val="18"/>
          <w:lang w:val="es-ES_tradnl"/>
        </w:rPr>
        <w:t>°</w:t>
      </w:r>
      <w:r>
        <w:rPr>
          <w:spacing w:val="-5"/>
          <w:sz w:val="18"/>
          <w:szCs w:val="18"/>
          <w:lang w:val="es-ES_tradnl"/>
        </w:rPr>
        <w:t xml:space="preserve"> 121-13-SEP-CC, al se</w:t>
      </w:r>
      <w:r>
        <w:rPr>
          <w:rFonts w:cs="Times New Roman"/>
          <w:spacing w:val="-5"/>
          <w:sz w:val="18"/>
          <w:szCs w:val="18"/>
          <w:lang w:val="es-ES_tradnl"/>
        </w:rPr>
        <w:t>ñ</w:t>
      </w:r>
      <w:r>
        <w:rPr>
          <w:spacing w:val="-5"/>
          <w:sz w:val="18"/>
          <w:szCs w:val="18"/>
          <w:lang w:val="es-ES_tradnl"/>
        </w:rPr>
        <w:t xml:space="preserve">alar </w:t>
      </w:r>
      <w:r>
        <w:rPr>
          <w:sz w:val="18"/>
          <w:szCs w:val="18"/>
          <w:lang w:val="es-ES_tradnl"/>
        </w:rPr>
        <w:t>textualmente que:</w:t>
      </w:r>
    </w:p>
    <w:p w14:paraId="4F67AB82" w14:textId="77777777" w:rsidR="00591D54" w:rsidRDefault="00591D54">
      <w:pPr>
        <w:shd w:val="clear" w:color="auto" w:fill="FFFFFF"/>
        <w:tabs>
          <w:tab w:val="left" w:pos="139"/>
        </w:tabs>
        <w:spacing w:before="667" w:line="178" w:lineRule="exact"/>
        <w:ind w:left="139" w:right="5" w:hanging="139"/>
        <w:jc w:val="both"/>
      </w:pPr>
      <w:r>
        <w:rPr>
          <w:spacing w:val="-5"/>
          <w:sz w:val="8"/>
          <w:szCs w:val="8"/>
          <w:vertAlign w:val="superscript"/>
          <w:lang w:val="es-ES_tradnl"/>
        </w:rPr>
        <w:t>12</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w:t>
      </w:r>
      <w:r>
        <w:rPr>
          <w:sz w:val="18"/>
          <w:szCs w:val="18"/>
          <w:lang w:val="es-ES_tradnl"/>
        </w:rPr>
        <w:t xml:space="preserve"> </w:t>
      </w:r>
      <w:r>
        <w:rPr>
          <w:sz w:val="14"/>
          <w:szCs w:val="14"/>
          <w:lang w:val="es-ES_tradnl"/>
        </w:rPr>
        <w:t>193-14-SEP-CC, caso N.</w:t>
      </w:r>
      <w:r>
        <w:rPr>
          <w:rFonts w:cs="Times New Roman"/>
          <w:sz w:val="14"/>
          <w:szCs w:val="14"/>
          <w:lang w:val="es-ES_tradnl"/>
        </w:rPr>
        <w:t>°</w:t>
      </w:r>
      <w:r>
        <w:rPr>
          <w:sz w:val="14"/>
          <w:szCs w:val="14"/>
          <w:lang w:val="es-ES_tradnl"/>
        </w:rPr>
        <w:t xml:space="preserve"> 2040-11-EP</w:t>
      </w:r>
    </w:p>
    <w:p w14:paraId="4F67AB83" w14:textId="77777777" w:rsidR="00591D54" w:rsidRDefault="00591D54">
      <w:pPr>
        <w:shd w:val="clear" w:color="auto" w:fill="FFFFFF"/>
        <w:tabs>
          <w:tab w:val="left" w:pos="139"/>
        </w:tabs>
        <w:spacing w:before="154" w:line="178" w:lineRule="exact"/>
        <w:ind w:left="139" w:right="5" w:hanging="139"/>
        <w:jc w:val="both"/>
      </w:pPr>
      <w:r>
        <w:rPr>
          <w:spacing w:val="-5"/>
          <w:sz w:val="8"/>
          <w:szCs w:val="8"/>
          <w:vertAlign w:val="superscript"/>
          <w:lang w:val="es-ES_tradnl"/>
        </w:rPr>
        <w:t>13</w:t>
      </w:r>
      <w:r>
        <w:rPr>
          <w:sz w:val="18"/>
          <w:szCs w:val="18"/>
          <w:lang w:val="es-ES_tradnl"/>
        </w:rPr>
        <w:tab/>
      </w:r>
      <w:r>
        <w:rPr>
          <w:spacing w:val="-1"/>
          <w:sz w:val="14"/>
          <w:szCs w:val="14"/>
          <w:lang w:val="es-ES_tradnl"/>
        </w:rPr>
        <w:t>Un</w:t>
      </w:r>
      <w:r>
        <w:rPr>
          <w:spacing w:val="-1"/>
          <w:sz w:val="18"/>
          <w:szCs w:val="18"/>
          <w:lang w:val="es-ES_tradnl"/>
        </w:rPr>
        <w:t xml:space="preserve"> </w:t>
      </w:r>
      <w:r>
        <w:rPr>
          <w:spacing w:val="-1"/>
          <w:sz w:val="14"/>
          <w:szCs w:val="14"/>
          <w:lang w:val="es-ES_tradnl"/>
        </w:rPr>
        <w:t>sector</w:t>
      </w:r>
      <w:r>
        <w:rPr>
          <w:spacing w:val="-1"/>
          <w:sz w:val="18"/>
          <w:szCs w:val="18"/>
          <w:lang w:val="es-ES_tradnl"/>
        </w:rPr>
        <w:t xml:space="preserve"> </w:t>
      </w:r>
      <w:r>
        <w:rPr>
          <w:spacing w:val="-1"/>
          <w:sz w:val="14"/>
          <w:szCs w:val="14"/>
          <w:lang w:val="es-ES_tradnl"/>
        </w:rPr>
        <w:t>de</w:t>
      </w:r>
      <w:r>
        <w:rPr>
          <w:spacing w:val="-1"/>
          <w:sz w:val="18"/>
          <w:szCs w:val="18"/>
          <w:lang w:val="es-ES_tradnl"/>
        </w:rPr>
        <w:t xml:space="preserve"> </w:t>
      </w:r>
      <w:r>
        <w:rPr>
          <w:spacing w:val="-1"/>
          <w:sz w:val="14"/>
          <w:szCs w:val="14"/>
          <w:lang w:val="es-ES_tradnl"/>
        </w:rPr>
        <w:t>la</w:t>
      </w:r>
      <w:r>
        <w:rPr>
          <w:spacing w:val="-1"/>
          <w:sz w:val="18"/>
          <w:szCs w:val="18"/>
          <w:lang w:val="es-ES_tradnl"/>
        </w:rPr>
        <w:t xml:space="preserve"> </w:t>
      </w:r>
      <w:r>
        <w:rPr>
          <w:spacing w:val="-1"/>
          <w:sz w:val="14"/>
          <w:szCs w:val="14"/>
          <w:lang w:val="es-ES_tradnl"/>
        </w:rPr>
        <w:t>doctrina</w:t>
      </w:r>
      <w:r>
        <w:rPr>
          <w:spacing w:val="-1"/>
          <w:sz w:val="18"/>
          <w:szCs w:val="18"/>
          <w:lang w:val="es-ES_tradnl"/>
        </w:rPr>
        <w:t xml:space="preserve"> </w:t>
      </w:r>
      <w:r>
        <w:rPr>
          <w:spacing w:val="-1"/>
          <w:sz w:val="14"/>
          <w:szCs w:val="14"/>
          <w:lang w:val="es-ES_tradnl"/>
        </w:rPr>
        <w:t>cient</w:t>
      </w:r>
      <w:r>
        <w:rPr>
          <w:rFonts w:cs="Times New Roman"/>
          <w:spacing w:val="-1"/>
          <w:sz w:val="14"/>
          <w:szCs w:val="14"/>
          <w:lang w:val="es-ES_tradnl"/>
        </w:rPr>
        <w:t>í</w:t>
      </w:r>
      <w:r>
        <w:rPr>
          <w:spacing w:val="-1"/>
          <w:sz w:val="14"/>
          <w:szCs w:val="14"/>
          <w:lang w:val="es-ES_tradnl"/>
        </w:rPr>
        <w:t>fica,</w:t>
      </w:r>
      <w:r>
        <w:rPr>
          <w:spacing w:val="-1"/>
          <w:sz w:val="18"/>
          <w:szCs w:val="18"/>
          <w:lang w:val="es-ES_tradnl"/>
        </w:rPr>
        <w:t xml:space="preserve"> </w:t>
      </w:r>
      <w:r>
        <w:rPr>
          <w:spacing w:val="-1"/>
          <w:sz w:val="14"/>
          <w:szCs w:val="14"/>
          <w:lang w:val="es-ES_tradnl"/>
        </w:rPr>
        <w:t>distingue</w:t>
      </w:r>
      <w:r>
        <w:rPr>
          <w:spacing w:val="-1"/>
          <w:sz w:val="18"/>
          <w:szCs w:val="18"/>
          <w:lang w:val="es-ES_tradnl"/>
        </w:rPr>
        <w:t xml:space="preserve"> </w:t>
      </w:r>
      <w:r>
        <w:rPr>
          <w:spacing w:val="-1"/>
          <w:sz w:val="14"/>
          <w:szCs w:val="14"/>
          <w:lang w:val="es-ES_tradnl"/>
        </w:rPr>
        <w:t>de</w:t>
      </w:r>
      <w:r>
        <w:rPr>
          <w:spacing w:val="-1"/>
          <w:sz w:val="18"/>
          <w:szCs w:val="18"/>
          <w:lang w:val="es-ES_tradnl"/>
        </w:rPr>
        <w:t xml:space="preserve"> </w:t>
      </w:r>
      <w:r>
        <w:rPr>
          <w:spacing w:val="-1"/>
          <w:sz w:val="14"/>
          <w:szCs w:val="14"/>
          <w:lang w:val="es-ES_tradnl"/>
        </w:rPr>
        <w:t>forma</w:t>
      </w:r>
      <w:r>
        <w:rPr>
          <w:spacing w:val="-1"/>
          <w:sz w:val="18"/>
          <w:szCs w:val="18"/>
          <w:lang w:val="es-ES_tradnl"/>
        </w:rPr>
        <w:t xml:space="preserve"> </w:t>
      </w:r>
      <w:r>
        <w:rPr>
          <w:spacing w:val="-1"/>
          <w:sz w:val="14"/>
          <w:szCs w:val="14"/>
          <w:lang w:val="es-ES_tradnl"/>
        </w:rPr>
        <w:t>expresa</w:t>
      </w:r>
      <w:r>
        <w:rPr>
          <w:spacing w:val="-1"/>
          <w:sz w:val="18"/>
          <w:szCs w:val="18"/>
          <w:lang w:val="es-ES_tradnl"/>
        </w:rPr>
        <w:t xml:space="preserve"> </w:t>
      </w:r>
      <w:r>
        <w:rPr>
          <w:spacing w:val="-1"/>
          <w:sz w:val="14"/>
          <w:szCs w:val="14"/>
          <w:lang w:val="es-ES_tradnl"/>
        </w:rPr>
        <w:t xml:space="preserve">tres modelos de Estado, a saber: </w:t>
      </w:r>
      <w:r>
        <w:rPr>
          <w:i/>
          <w:iCs/>
          <w:spacing w:val="-1"/>
          <w:sz w:val="14"/>
          <w:szCs w:val="14"/>
          <w:lang w:val="es-ES_tradnl"/>
        </w:rPr>
        <w:t>i</w:t>
      </w:r>
      <w:r>
        <w:rPr>
          <w:spacing w:val="-1"/>
          <w:sz w:val="14"/>
          <w:szCs w:val="14"/>
          <w:lang w:val="es-ES_tradnl"/>
        </w:rPr>
        <w:t xml:space="preserve">. El Estado absoluto; </w:t>
      </w:r>
      <w:r>
        <w:rPr>
          <w:i/>
          <w:iCs/>
          <w:spacing w:val="-1"/>
          <w:sz w:val="14"/>
          <w:szCs w:val="14"/>
          <w:lang w:val="es-ES_tradnl"/>
        </w:rPr>
        <w:t xml:space="preserve">ii. </w:t>
      </w:r>
      <w:r>
        <w:rPr>
          <w:spacing w:val="-1"/>
          <w:sz w:val="14"/>
          <w:szCs w:val="14"/>
          <w:lang w:val="es-ES_tradnl"/>
        </w:rPr>
        <w:t xml:space="preserve">El Estado de derecho, en donde </w:t>
      </w:r>
      <w:r>
        <w:rPr>
          <w:rFonts w:cs="Times New Roman"/>
          <w:spacing w:val="-1"/>
          <w:sz w:val="14"/>
          <w:szCs w:val="14"/>
          <w:lang w:val="es-ES_tradnl"/>
        </w:rPr>
        <w:t>“</w:t>
      </w:r>
      <w:r>
        <w:rPr>
          <w:spacing w:val="-1"/>
          <w:sz w:val="14"/>
          <w:szCs w:val="14"/>
          <w:lang w:val="es-ES_tradnl"/>
        </w:rPr>
        <w:t>la ley determina la autoridad y la estructura del </w:t>
      </w:r>
      <w:r>
        <w:rPr>
          <w:sz w:val="14"/>
          <w:szCs w:val="14"/>
          <w:lang w:val="es-ES_tradnl"/>
        </w:rPr>
        <w:t>poder</w:t>
      </w:r>
      <w:r>
        <w:rPr>
          <w:rFonts w:cs="Times New Roman"/>
          <w:sz w:val="14"/>
          <w:szCs w:val="14"/>
          <w:lang w:val="es-ES_tradnl"/>
        </w:rPr>
        <w:t>”</w:t>
      </w:r>
      <w:r>
        <w:rPr>
          <w:sz w:val="14"/>
          <w:szCs w:val="14"/>
          <w:lang w:val="es-ES_tradnl"/>
        </w:rPr>
        <w:t xml:space="preserve">; y, iii. El estado constitucional, en el que </w:t>
      </w:r>
      <w:r>
        <w:rPr>
          <w:rFonts w:cs="Times New Roman"/>
          <w:sz w:val="14"/>
          <w:szCs w:val="14"/>
          <w:lang w:val="es-ES_tradnl"/>
        </w:rPr>
        <w:t>“</w:t>
      </w:r>
      <w:r>
        <w:rPr>
          <w:sz w:val="14"/>
          <w:szCs w:val="14"/>
          <w:lang w:val="es-ES_tradnl"/>
        </w:rPr>
        <w:t>la constituci</w:t>
      </w:r>
      <w:r>
        <w:rPr>
          <w:rFonts w:cs="Times New Roman"/>
          <w:sz w:val="14"/>
          <w:szCs w:val="14"/>
          <w:lang w:val="es-ES_tradnl"/>
        </w:rPr>
        <w:t>ó</w:t>
      </w:r>
      <w:r>
        <w:rPr>
          <w:sz w:val="14"/>
          <w:szCs w:val="14"/>
          <w:lang w:val="es-ES_tradnl"/>
        </w:rPr>
        <w:t>n determina el contenido de la ley, el acceso y el ejercicio de la autoridad y la estructura del poder</w:t>
      </w:r>
      <w:r>
        <w:rPr>
          <w:rFonts w:cs="Times New Roman"/>
          <w:sz w:val="14"/>
          <w:szCs w:val="14"/>
          <w:lang w:val="es-ES_tradnl"/>
        </w:rPr>
        <w:t>”</w:t>
      </w:r>
      <w:r>
        <w:rPr>
          <w:sz w:val="14"/>
          <w:szCs w:val="14"/>
          <w:lang w:val="es-ES_tradnl"/>
        </w:rPr>
        <w:t xml:space="preserve">. De lo expuesto, la Corte Constitucional considera que si bien el Estado ecuatoriano se autodefine como </w:t>
      </w:r>
      <w:r>
        <w:rPr>
          <w:rFonts w:cs="Times New Roman"/>
          <w:sz w:val="14"/>
          <w:szCs w:val="14"/>
          <w:lang w:val="es-ES_tradnl"/>
        </w:rPr>
        <w:t>“</w:t>
      </w:r>
      <w:r>
        <w:rPr>
          <w:sz w:val="14"/>
          <w:szCs w:val="14"/>
          <w:lang w:val="es-ES_tradnl"/>
        </w:rPr>
        <w:t>constitucional de derechos y justicia</w:t>
      </w:r>
      <w:r>
        <w:rPr>
          <w:rFonts w:cs="Times New Roman"/>
          <w:sz w:val="14"/>
          <w:szCs w:val="14"/>
          <w:lang w:val="es-ES_tradnl"/>
        </w:rPr>
        <w:t>”</w:t>
      </w:r>
      <w:r>
        <w:rPr>
          <w:sz w:val="14"/>
          <w:szCs w:val="14"/>
          <w:lang w:val="es-ES_tradnl"/>
        </w:rPr>
        <w:t>, esto no </w:t>
      </w:r>
      <w:r>
        <w:rPr>
          <w:spacing w:val="-4"/>
          <w:sz w:val="14"/>
          <w:szCs w:val="14"/>
          <w:lang w:val="es-ES_tradnl"/>
        </w:rPr>
        <w:t>significa necesariamente que la importancia de las reglas normativas, </w:t>
      </w:r>
      <w:r>
        <w:rPr>
          <w:sz w:val="14"/>
          <w:szCs w:val="14"/>
          <w:lang w:val="es-ES_tradnl"/>
        </w:rPr>
        <w:t>muy presentes y relevantes en el Estado de derecho, pierdan vigencia o legitimidad. Por el contrario, el Estado constitucional </w:t>
      </w:r>
      <w:r>
        <w:rPr>
          <w:spacing w:val="-2"/>
          <w:sz w:val="14"/>
          <w:szCs w:val="14"/>
          <w:lang w:val="es-ES_tradnl"/>
        </w:rPr>
        <w:t>de derechos y justicia se refuerza cuando, adem</w:t>
      </w:r>
      <w:r>
        <w:rPr>
          <w:rFonts w:cs="Times New Roman"/>
          <w:spacing w:val="-2"/>
          <w:sz w:val="14"/>
          <w:szCs w:val="14"/>
          <w:lang w:val="es-ES_tradnl"/>
        </w:rPr>
        <w:t>á</w:t>
      </w:r>
      <w:r>
        <w:rPr>
          <w:spacing w:val="-2"/>
          <w:sz w:val="14"/>
          <w:szCs w:val="14"/>
          <w:lang w:val="es-ES_tradnl"/>
        </w:rPr>
        <w:t>s de promover la </w:t>
      </w:r>
      <w:r>
        <w:rPr>
          <w:spacing w:val="-1"/>
          <w:sz w:val="14"/>
          <w:szCs w:val="14"/>
          <w:lang w:val="es-ES_tradnl"/>
        </w:rPr>
        <w:t>supremac</w:t>
      </w:r>
      <w:r>
        <w:rPr>
          <w:rFonts w:cs="Times New Roman"/>
          <w:spacing w:val="-1"/>
          <w:sz w:val="14"/>
          <w:szCs w:val="14"/>
          <w:lang w:val="es-ES_tradnl"/>
        </w:rPr>
        <w:t>í</w:t>
      </w:r>
      <w:r>
        <w:rPr>
          <w:spacing w:val="-1"/>
          <w:sz w:val="14"/>
          <w:szCs w:val="14"/>
          <w:lang w:val="es-ES_tradnl"/>
        </w:rPr>
        <w:t>a y aplicaci</w:t>
      </w:r>
      <w:r>
        <w:rPr>
          <w:rFonts w:cs="Times New Roman"/>
          <w:spacing w:val="-1"/>
          <w:sz w:val="14"/>
          <w:szCs w:val="14"/>
          <w:lang w:val="es-ES_tradnl"/>
        </w:rPr>
        <w:t>ó</w:t>
      </w:r>
      <w:r>
        <w:rPr>
          <w:spacing w:val="-1"/>
          <w:sz w:val="14"/>
          <w:szCs w:val="14"/>
          <w:lang w:val="es-ES_tradnl"/>
        </w:rPr>
        <w:t>n directa de la Constituci</w:t>
      </w:r>
      <w:r>
        <w:rPr>
          <w:rFonts w:cs="Times New Roman"/>
          <w:spacing w:val="-1"/>
          <w:sz w:val="14"/>
          <w:szCs w:val="14"/>
          <w:lang w:val="es-ES_tradnl"/>
        </w:rPr>
        <w:t>ó</w:t>
      </w:r>
      <w:r>
        <w:rPr>
          <w:spacing w:val="-1"/>
          <w:sz w:val="14"/>
          <w:szCs w:val="14"/>
          <w:lang w:val="es-ES_tradnl"/>
        </w:rPr>
        <w:t>n de la Rep</w:t>
      </w:r>
      <w:r>
        <w:rPr>
          <w:rFonts w:cs="Times New Roman"/>
          <w:spacing w:val="-1"/>
          <w:sz w:val="14"/>
          <w:szCs w:val="14"/>
          <w:lang w:val="es-ES_tradnl"/>
        </w:rPr>
        <w:t>ú</w:t>
      </w:r>
      <w:r>
        <w:rPr>
          <w:spacing w:val="-1"/>
          <w:sz w:val="14"/>
          <w:szCs w:val="14"/>
          <w:lang w:val="es-ES_tradnl"/>
        </w:rPr>
        <w:t>blica, </w:t>
      </w:r>
      <w:r>
        <w:rPr>
          <w:spacing w:val="-2"/>
          <w:sz w:val="14"/>
          <w:szCs w:val="14"/>
          <w:lang w:val="es-ES_tradnl"/>
        </w:rPr>
        <w:t>se reconoce a la seguridad jur</w:t>
      </w:r>
      <w:r>
        <w:rPr>
          <w:rFonts w:cs="Times New Roman"/>
          <w:spacing w:val="-2"/>
          <w:sz w:val="14"/>
          <w:szCs w:val="14"/>
          <w:lang w:val="es-ES_tradnl"/>
        </w:rPr>
        <w:t>í</w:t>
      </w:r>
      <w:r>
        <w:rPr>
          <w:spacing w:val="-2"/>
          <w:sz w:val="14"/>
          <w:szCs w:val="14"/>
          <w:lang w:val="es-ES_tradnl"/>
        </w:rPr>
        <w:t>dica como derecho constitucional, el </w:t>
      </w:r>
      <w:r>
        <w:rPr>
          <w:sz w:val="14"/>
          <w:szCs w:val="14"/>
          <w:lang w:val="es-ES_tradnl"/>
        </w:rPr>
        <w:t>cual se fundamenta en el respeto a nuestro texto constitucional y </w:t>
      </w:r>
      <w:r>
        <w:rPr>
          <w:spacing w:val="-1"/>
          <w:sz w:val="14"/>
          <w:szCs w:val="14"/>
          <w:lang w:val="es-ES_tradnl"/>
        </w:rPr>
        <w:t>en la existencia de normas jur</w:t>
      </w:r>
      <w:r>
        <w:rPr>
          <w:rFonts w:cs="Times New Roman"/>
          <w:spacing w:val="-1"/>
          <w:sz w:val="14"/>
          <w:szCs w:val="14"/>
          <w:lang w:val="es-ES_tradnl"/>
        </w:rPr>
        <w:t>í</w:t>
      </w:r>
      <w:r>
        <w:rPr>
          <w:spacing w:val="-1"/>
          <w:sz w:val="14"/>
          <w:szCs w:val="14"/>
          <w:lang w:val="es-ES_tradnl"/>
        </w:rPr>
        <w:t>dicas claras, previas y p</w:t>
      </w:r>
      <w:r>
        <w:rPr>
          <w:rFonts w:cs="Times New Roman"/>
          <w:spacing w:val="-1"/>
          <w:sz w:val="14"/>
          <w:szCs w:val="14"/>
          <w:lang w:val="es-ES_tradnl"/>
        </w:rPr>
        <w:t>ú</w:t>
      </w:r>
      <w:r>
        <w:rPr>
          <w:spacing w:val="-1"/>
          <w:sz w:val="14"/>
          <w:szCs w:val="14"/>
          <w:lang w:val="es-ES_tradnl"/>
        </w:rPr>
        <w:t>blicas por </w:t>
      </w:r>
      <w:r>
        <w:rPr>
          <w:sz w:val="14"/>
          <w:szCs w:val="14"/>
          <w:lang w:val="es-ES_tradnl"/>
        </w:rPr>
        <w:t xml:space="preserve">parte de las autoridades competentes. Ver </w:t>
      </w:r>
      <w:r>
        <w:rPr>
          <w:rFonts w:cs="Times New Roman"/>
          <w:sz w:val="14"/>
          <w:szCs w:val="14"/>
          <w:lang w:val="es-ES_tradnl"/>
        </w:rPr>
        <w:t>Á</w:t>
      </w:r>
      <w:r>
        <w:rPr>
          <w:sz w:val="14"/>
          <w:szCs w:val="14"/>
          <w:lang w:val="es-ES_tradnl"/>
        </w:rPr>
        <w:t>VILA SANTAMAR</w:t>
      </w:r>
      <w:r>
        <w:rPr>
          <w:rFonts w:cs="Times New Roman"/>
          <w:sz w:val="14"/>
          <w:szCs w:val="14"/>
          <w:lang w:val="es-ES_tradnl"/>
        </w:rPr>
        <w:t>Í</w:t>
      </w:r>
      <w:r>
        <w:rPr>
          <w:sz w:val="14"/>
          <w:szCs w:val="14"/>
          <w:lang w:val="es-ES_tradnl"/>
        </w:rPr>
        <w:t xml:space="preserve">A, R.: </w:t>
      </w:r>
      <w:r>
        <w:rPr>
          <w:rFonts w:cs="Times New Roman"/>
          <w:sz w:val="14"/>
          <w:szCs w:val="14"/>
          <w:lang w:val="es-ES_tradnl"/>
        </w:rPr>
        <w:t>“</w:t>
      </w:r>
      <w:r>
        <w:rPr>
          <w:sz w:val="14"/>
          <w:szCs w:val="14"/>
          <w:lang w:val="es-ES_tradnl"/>
        </w:rPr>
        <w:t>Ecuador: Estado constitucional de derechos y justicia</w:t>
      </w:r>
      <w:r>
        <w:rPr>
          <w:rFonts w:cs="Times New Roman"/>
          <w:sz w:val="14"/>
          <w:szCs w:val="14"/>
          <w:lang w:val="es-ES_tradnl"/>
        </w:rPr>
        <w:t>”</w:t>
      </w:r>
      <w:r>
        <w:rPr>
          <w:sz w:val="14"/>
          <w:szCs w:val="14"/>
          <w:lang w:val="es-ES_tradnl"/>
        </w:rPr>
        <w:t>, Constituci</w:t>
      </w:r>
      <w:r>
        <w:rPr>
          <w:rFonts w:cs="Times New Roman"/>
          <w:sz w:val="14"/>
          <w:szCs w:val="14"/>
          <w:lang w:val="es-ES_tradnl"/>
        </w:rPr>
        <w:t>ó</w:t>
      </w:r>
      <w:r>
        <w:rPr>
          <w:sz w:val="14"/>
          <w:szCs w:val="14"/>
          <w:lang w:val="es-ES_tradnl"/>
        </w:rPr>
        <w:t>n del 2008 en el contexto Andino, An</w:t>
      </w:r>
      <w:r>
        <w:rPr>
          <w:rFonts w:cs="Times New Roman"/>
          <w:sz w:val="14"/>
          <w:szCs w:val="14"/>
          <w:lang w:val="es-ES_tradnl"/>
        </w:rPr>
        <w:t>á</w:t>
      </w:r>
      <w:r>
        <w:rPr>
          <w:sz w:val="14"/>
          <w:szCs w:val="14"/>
          <w:lang w:val="es-ES_tradnl"/>
        </w:rPr>
        <w:t>lisis de doctrina </w:t>
      </w:r>
      <w:r>
        <w:rPr>
          <w:spacing w:val="-1"/>
          <w:sz w:val="14"/>
          <w:szCs w:val="14"/>
          <w:lang w:val="es-ES_tradnl"/>
        </w:rPr>
        <w:t>y derecho comparado, Ministerio de Justicia y Derechos Humanos, </w:t>
      </w:r>
      <w:r>
        <w:rPr>
          <w:spacing w:val="-2"/>
          <w:sz w:val="14"/>
          <w:szCs w:val="14"/>
          <w:lang w:val="es-ES_tradnl"/>
        </w:rPr>
        <w:t>Serie Justicia y Derechos Humanos, Tomo 3, 2008, p</w:t>
      </w:r>
      <w:r>
        <w:rPr>
          <w:rFonts w:cs="Times New Roman"/>
          <w:spacing w:val="-2"/>
          <w:sz w:val="14"/>
          <w:szCs w:val="14"/>
          <w:lang w:val="es-ES_tradnl"/>
        </w:rPr>
        <w:t>á</w:t>
      </w:r>
      <w:r>
        <w:rPr>
          <w:spacing w:val="-2"/>
          <w:sz w:val="14"/>
          <w:szCs w:val="14"/>
          <w:lang w:val="es-ES_tradnl"/>
        </w:rPr>
        <w:t>gs. 20 y 21.</w:t>
      </w:r>
    </w:p>
    <w:p w14:paraId="4F67AB84" w14:textId="77777777" w:rsidR="00591D54" w:rsidRDefault="00591D54">
      <w:pPr>
        <w:shd w:val="clear" w:color="auto" w:fill="FFFFFF"/>
        <w:spacing w:line="211" w:lineRule="exact"/>
        <w:ind w:left="283"/>
        <w:jc w:val="both"/>
      </w:pPr>
      <w:r>
        <w:br w:type="column"/>
      </w:r>
      <w:r>
        <w:rPr>
          <w:sz w:val="14"/>
          <w:szCs w:val="14"/>
          <w:lang w:val="es-ES_tradnl"/>
        </w:rPr>
        <w:t>El derecho a la seguridad jur</w:t>
      </w:r>
      <w:r>
        <w:rPr>
          <w:rFonts w:cs="Times New Roman"/>
          <w:sz w:val="14"/>
          <w:szCs w:val="14"/>
          <w:lang w:val="es-ES_tradnl"/>
        </w:rPr>
        <w:t>í</w:t>
      </w:r>
      <w:r>
        <w:rPr>
          <w:sz w:val="14"/>
          <w:szCs w:val="14"/>
          <w:lang w:val="es-ES_tradnl"/>
        </w:rPr>
        <w:t xml:space="preserve">dica constituye el pilar sobre el cual se asienta la confianza ciudadana respecto de las </w:t>
      </w:r>
      <w:r>
        <w:rPr>
          <w:spacing w:val="-1"/>
          <w:sz w:val="14"/>
          <w:szCs w:val="14"/>
          <w:lang w:val="es-ES_tradnl"/>
        </w:rPr>
        <w:t>actuaciones de los poderes p</w:t>
      </w:r>
      <w:r>
        <w:rPr>
          <w:rFonts w:cs="Times New Roman"/>
          <w:spacing w:val="-1"/>
          <w:sz w:val="14"/>
          <w:szCs w:val="14"/>
          <w:lang w:val="es-ES_tradnl"/>
        </w:rPr>
        <w:t>ú</w:t>
      </w:r>
      <w:r>
        <w:rPr>
          <w:spacing w:val="-1"/>
          <w:sz w:val="14"/>
          <w:szCs w:val="14"/>
          <w:lang w:val="es-ES_tradnl"/>
        </w:rPr>
        <w:t xml:space="preserve">blicos, pues brinda a las personas </w:t>
      </w:r>
      <w:r>
        <w:rPr>
          <w:sz w:val="14"/>
          <w:szCs w:val="14"/>
          <w:lang w:val="es-ES_tradnl"/>
        </w:rPr>
        <w:t>certeza de que la aplicaci</w:t>
      </w:r>
      <w:r>
        <w:rPr>
          <w:rFonts w:cs="Times New Roman"/>
          <w:sz w:val="14"/>
          <w:szCs w:val="14"/>
          <w:lang w:val="es-ES_tradnl"/>
        </w:rPr>
        <w:t>ó</w:t>
      </w:r>
      <w:r>
        <w:rPr>
          <w:sz w:val="14"/>
          <w:szCs w:val="14"/>
          <w:lang w:val="es-ES_tradnl"/>
        </w:rPr>
        <w:t>n normativa se realizar</w:t>
      </w:r>
      <w:r>
        <w:rPr>
          <w:rFonts w:cs="Times New Roman"/>
          <w:sz w:val="14"/>
          <w:szCs w:val="14"/>
          <w:lang w:val="es-ES_tradnl"/>
        </w:rPr>
        <w:t>á</w:t>
      </w:r>
      <w:r>
        <w:rPr>
          <w:sz w:val="14"/>
          <w:szCs w:val="14"/>
          <w:lang w:val="es-ES_tradnl"/>
        </w:rPr>
        <w:t xml:space="preserve"> acorde a la Constituci</w:t>
      </w:r>
      <w:r>
        <w:rPr>
          <w:rFonts w:cs="Times New Roman"/>
          <w:sz w:val="14"/>
          <w:szCs w:val="14"/>
          <w:lang w:val="es-ES_tradnl"/>
        </w:rPr>
        <w:t>ó</w:t>
      </w:r>
      <w:r>
        <w:rPr>
          <w:sz w:val="14"/>
          <w:szCs w:val="14"/>
          <w:lang w:val="es-ES_tradnl"/>
        </w:rPr>
        <w:t>n y que las normas aplicables al caso concreto han sido determinadas previamente, son claras y p</w:t>
      </w:r>
      <w:r>
        <w:rPr>
          <w:rFonts w:cs="Times New Roman"/>
          <w:sz w:val="14"/>
          <w:szCs w:val="14"/>
          <w:lang w:val="es-ES_tradnl"/>
        </w:rPr>
        <w:t>ú</w:t>
      </w:r>
      <w:r>
        <w:rPr>
          <w:sz w:val="14"/>
          <w:szCs w:val="14"/>
          <w:lang w:val="es-ES_tradnl"/>
        </w:rPr>
        <w:t xml:space="preserve">blicas, y aplicadas </w:t>
      </w:r>
      <w:r>
        <w:rPr>
          <w:rFonts w:cs="Times New Roman"/>
          <w:sz w:val="14"/>
          <w:szCs w:val="14"/>
          <w:lang w:val="es-ES_tradnl"/>
        </w:rPr>
        <w:t>ú</w:t>
      </w:r>
      <w:r>
        <w:rPr>
          <w:sz w:val="14"/>
          <w:szCs w:val="14"/>
          <w:lang w:val="es-ES_tradnl"/>
        </w:rPr>
        <w:t>nicamente por autoridad competente. Solo de esta manera se logra conformar una certeza de que la normativa existente en la legislaci</w:t>
      </w:r>
      <w:r>
        <w:rPr>
          <w:rFonts w:cs="Times New Roman"/>
          <w:sz w:val="14"/>
          <w:szCs w:val="14"/>
          <w:lang w:val="es-ES_tradnl"/>
        </w:rPr>
        <w:t>ó</w:t>
      </w:r>
      <w:r>
        <w:rPr>
          <w:sz w:val="14"/>
          <w:szCs w:val="14"/>
          <w:lang w:val="es-ES_tradnl"/>
        </w:rPr>
        <w:t>n ser</w:t>
      </w:r>
      <w:r>
        <w:rPr>
          <w:rFonts w:cs="Times New Roman"/>
          <w:sz w:val="14"/>
          <w:szCs w:val="14"/>
          <w:lang w:val="es-ES_tradnl"/>
        </w:rPr>
        <w:t>á</w:t>
      </w:r>
      <w:r>
        <w:rPr>
          <w:sz w:val="14"/>
          <w:szCs w:val="14"/>
          <w:lang w:val="es-ES_tradnl"/>
        </w:rPr>
        <w:t xml:space="preserve"> aplicada cumpliendo ciertos lineamientos que garantizan el acceso a la justicia y una tutela efectiva, imparcial y expedita de sus derechos e intereses</w:t>
      </w:r>
      <w:r>
        <w:rPr>
          <w:sz w:val="14"/>
          <w:szCs w:val="14"/>
          <w:vertAlign w:val="superscript"/>
          <w:lang w:val="es-ES_tradnl"/>
        </w:rPr>
        <w:t>14</w:t>
      </w:r>
      <w:r>
        <w:rPr>
          <w:sz w:val="14"/>
          <w:szCs w:val="14"/>
          <w:lang w:val="es-ES_tradnl"/>
        </w:rPr>
        <w:t>.</w:t>
      </w:r>
    </w:p>
    <w:p w14:paraId="4F67AB85" w14:textId="77777777" w:rsidR="00591D54" w:rsidRDefault="00591D54">
      <w:pPr>
        <w:shd w:val="clear" w:color="auto" w:fill="FFFFFF"/>
        <w:spacing w:before="202" w:line="211" w:lineRule="exact"/>
        <w:jc w:val="both"/>
      </w:pPr>
      <w:r>
        <w:rPr>
          <w:spacing w:val="-7"/>
          <w:sz w:val="18"/>
          <w:szCs w:val="18"/>
          <w:lang w:val="es-ES_tradnl"/>
        </w:rPr>
        <w:t>De esta forma, la seguridad jur</w:t>
      </w:r>
      <w:r>
        <w:rPr>
          <w:rFonts w:cs="Times New Roman"/>
          <w:spacing w:val="-7"/>
          <w:sz w:val="18"/>
          <w:szCs w:val="18"/>
          <w:lang w:val="es-ES_tradnl"/>
        </w:rPr>
        <w:t>í</w:t>
      </w:r>
      <w:r>
        <w:rPr>
          <w:spacing w:val="-7"/>
          <w:sz w:val="18"/>
          <w:szCs w:val="18"/>
          <w:lang w:val="es-ES_tradnl"/>
        </w:rPr>
        <w:t xml:space="preserve">dica, para los ciudadanos, </w:t>
      </w:r>
      <w:r>
        <w:rPr>
          <w:spacing w:val="-2"/>
          <w:sz w:val="18"/>
          <w:szCs w:val="18"/>
          <w:lang w:val="es-ES_tradnl"/>
        </w:rPr>
        <w:t>implica un conocimiento cierto de las leyes vigentes y una percepci</w:t>
      </w:r>
      <w:r>
        <w:rPr>
          <w:rFonts w:cs="Times New Roman"/>
          <w:spacing w:val="-2"/>
          <w:sz w:val="18"/>
          <w:szCs w:val="18"/>
          <w:lang w:val="es-ES_tradnl"/>
        </w:rPr>
        <w:t>ó</w:t>
      </w:r>
      <w:r>
        <w:rPr>
          <w:spacing w:val="-2"/>
          <w:sz w:val="18"/>
          <w:szCs w:val="18"/>
          <w:lang w:val="es-ES_tradnl"/>
        </w:rPr>
        <w:t>n racional de certeza sobre la aplicaci</w:t>
      </w:r>
      <w:r>
        <w:rPr>
          <w:rFonts w:cs="Times New Roman"/>
          <w:spacing w:val="-2"/>
          <w:sz w:val="18"/>
          <w:szCs w:val="18"/>
          <w:lang w:val="es-ES_tradnl"/>
        </w:rPr>
        <w:t>ó</w:t>
      </w:r>
      <w:r>
        <w:rPr>
          <w:spacing w:val="-2"/>
          <w:sz w:val="18"/>
          <w:szCs w:val="18"/>
          <w:lang w:val="es-ES_tradnl"/>
        </w:rPr>
        <w:t xml:space="preserve">n </w:t>
      </w:r>
      <w:r>
        <w:rPr>
          <w:spacing w:val="-5"/>
          <w:sz w:val="18"/>
          <w:szCs w:val="18"/>
          <w:lang w:val="es-ES_tradnl"/>
        </w:rPr>
        <w:t>de las normas por parte de las autoridades p</w:t>
      </w:r>
      <w:r>
        <w:rPr>
          <w:rFonts w:cs="Times New Roman"/>
          <w:spacing w:val="-5"/>
          <w:sz w:val="18"/>
          <w:szCs w:val="18"/>
          <w:lang w:val="es-ES_tradnl"/>
        </w:rPr>
        <w:t>ú</w:t>
      </w:r>
      <w:r>
        <w:rPr>
          <w:spacing w:val="-5"/>
          <w:sz w:val="18"/>
          <w:szCs w:val="18"/>
          <w:lang w:val="es-ES_tradnl"/>
        </w:rPr>
        <w:t xml:space="preserve">blicas, que </w:t>
      </w:r>
      <w:r>
        <w:rPr>
          <w:spacing w:val="-7"/>
          <w:sz w:val="18"/>
          <w:szCs w:val="18"/>
          <w:lang w:val="es-ES_tradnl"/>
        </w:rPr>
        <w:t>se garantiza tambi</w:t>
      </w:r>
      <w:r>
        <w:rPr>
          <w:rFonts w:cs="Times New Roman"/>
          <w:spacing w:val="-7"/>
          <w:sz w:val="18"/>
          <w:szCs w:val="18"/>
          <w:lang w:val="es-ES_tradnl"/>
        </w:rPr>
        <w:t>é</w:t>
      </w:r>
      <w:r>
        <w:rPr>
          <w:spacing w:val="-7"/>
          <w:sz w:val="18"/>
          <w:szCs w:val="18"/>
          <w:lang w:val="es-ES_tradnl"/>
        </w:rPr>
        <w:t>n por el principio de legalidad</w:t>
      </w:r>
      <w:r>
        <w:rPr>
          <w:spacing w:val="-7"/>
          <w:sz w:val="18"/>
          <w:szCs w:val="18"/>
          <w:vertAlign w:val="superscript"/>
          <w:lang w:val="es-ES_tradnl"/>
        </w:rPr>
        <w:t>15</w:t>
      </w:r>
      <w:r>
        <w:rPr>
          <w:spacing w:val="-7"/>
          <w:sz w:val="18"/>
          <w:szCs w:val="18"/>
          <w:lang w:val="es-ES_tradnl"/>
        </w:rPr>
        <w:t xml:space="preserve">. Este </w:t>
      </w:r>
      <w:r>
        <w:rPr>
          <w:spacing w:val="-5"/>
          <w:sz w:val="18"/>
          <w:szCs w:val="18"/>
          <w:lang w:val="es-ES_tradnl"/>
        </w:rPr>
        <w:t>m</w:t>
      </w:r>
      <w:r>
        <w:rPr>
          <w:rFonts w:cs="Times New Roman"/>
          <w:spacing w:val="-5"/>
          <w:sz w:val="18"/>
          <w:szCs w:val="18"/>
          <w:lang w:val="es-ES_tradnl"/>
        </w:rPr>
        <w:t>á</w:t>
      </w:r>
      <w:r>
        <w:rPr>
          <w:spacing w:val="-5"/>
          <w:sz w:val="18"/>
          <w:szCs w:val="18"/>
          <w:lang w:val="es-ES_tradnl"/>
        </w:rPr>
        <w:t xml:space="preserve">ximo </w:t>
      </w:r>
      <w:r>
        <w:rPr>
          <w:rFonts w:cs="Times New Roman"/>
          <w:spacing w:val="-5"/>
          <w:sz w:val="18"/>
          <w:szCs w:val="18"/>
          <w:lang w:val="es-ES_tradnl"/>
        </w:rPr>
        <w:t>ó</w:t>
      </w:r>
      <w:r>
        <w:rPr>
          <w:spacing w:val="-5"/>
          <w:sz w:val="18"/>
          <w:szCs w:val="18"/>
          <w:lang w:val="es-ES_tradnl"/>
        </w:rPr>
        <w:t xml:space="preserve">rgano de justicia constitucional considera que </w:t>
      </w:r>
      <w:r>
        <w:rPr>
          <w:rFonts w:cs="Times New Roman"/>
          <w:spacing w:val="-4"/>
          <w:sz w:val="18"/>
          <w:szCs w:val="18"/>
          <w:lang w:val="es-ES_tradnl"/>
        </w:rPr>
        <w:t>“</w:t>
      </w:r>
      <w:r>
        <w:rPr>
          <w:spacing w:val="-4"/>
          <w:sz w:val="18"/>
          <w:szCs w:val="18"/>
          <w:lang w:val="es-ES_tradnl"/>
        </w:rPr>
        <w:t>las Constituciones de nuestros pa</w:t>
      </w:r>
      <w:r>
        <w:rPr>
          <w:rFonts w:cs="Times New Roman"/>
          <w:spacing w:val="-4"/>
          <w:sz w:val="18"/>
          <w:szCs w:val="18"/>
          <w:lang w:val="es-ES_tradnl"/>
        </w:rPr>
        <w:t>í</w:t>
      </w:r>
      <w:r>
        <w:rPr>
          <w:spacing w:val="-4"/>
          <w:sz w:val="18"/>
          <w:szCs w:val="18"/>
          <w:lang w:val="es-ES_tradnl"/>
        </w:rPr>
        <w:t xml:space="preserve">ses garantizan la </w:t>
      </w:r>
      <w:r>
        <w:rPr>
          <w:spacing w:val="-8"/>
          <w:sz w:val="18"/>
          <w:szCs w:val="18"/>
          <w:lang w:val="es-ES_tradnl"/>
        </w:rPr>
        <w:t>seguridad jur</w:t>
      </w:r>
      <w:r>
        <w:rPr>
          <w:rFonts w:cs="Times New Roman"/>
          <w:spacing w:val="-8"/>
          <w:sz w:val="18"/>
          <w:szCs w:val="18"/>
          <w:lang w:val="es-ES_tradnl"/>
        </w:rPr>
        <w:t>í</w:t>
      </w:r>
      <w:r>
        <w:rPr>
          <w:spacing w:val="-8"/>
          <w:sz w:val="18"/>
          <w:szCs w:val="18"/>
          <w:lang w:val="es-ES_tradnl"/>
        </w:rPr>
        <w:t>dica a trav</w:t>
      </w:r>
      <w:r>
        <w:rPr>
          <w:rFonts w:cs="Times New Roman"/>
          <w:spacing w:val="-8"/>
          <w:sz w:val="18"/>
          <w:szCs w:val="18"/>
          <w:lang w:val="es-ES_tradnl"/>
        </w:rPr>
        <w:t>é</w:t>
      </w:r>
      <w:r>
        <w:rPr>
          <w:spacing w:val="-8"/>
          <w:sz w:val="18"/>
          <w:szCs w:val="18"/>
          <w:lang w:val="es-ES_tradnl"/>
        </w:rPr>
        <w:t xml:space="preserve">s de algunas concreciones como: </w:t>
      </w:r>
      <w:r>
        <w:rPr>
          <w:spacing w:val="-3"/>
          <w:sz w:val="18"/>
          <w:szCs w:val="18"/>
          <w:lang w:val="es-ES_tradnl"/>
        </w:rPr>
        <w:t xml:space="preserve">el principio de la legalidad, la publicidad de las normas, </w:t>
      </w:r>
      <w:r>
        <w:rPr>
          <w:spacing w:val="-6"/>
          <w:sz w:val="18"/>
          <w:szCs w:val="18"/>
          <w:lang w:val="es-ES_tradnl"/>
        </w:rPr>
        <w:t xml:space="preserve">la irretroactividad de las disposiciones sancionadoras no </w:t>
      </w:r>
      <w:r>
        <w:rPr>
          <w:spacing w:val="-7"/>
          <w:sz w:val="18"/>
          <w:szCs w:val="18"/>
          <w:lang w:val="es-ES_tradnl"/>
        </w:rPr>
        <w:t>favorables o restrictivas de derechos individuales (</w:t>
      </w:r>
      <w:r>
        <w:rPr>
          <w:rFonts w:cs="Times New Roman"/>
          <w:spacing w:val="-7"/>
          <w:sz w:val="18"/>
          <w:szCs w:val="18"/>
          <w:lang w:val="es-ES_tradnl"/>
        </w:rPr>
        <w:t>…</w:t>
      </w:r>
      <w:r>
        <w:rPr>
          <w:spacing w:val="-7"/>
          <w:sz w:val="18"/>
          <w:szCs w:val="18"/>
          <w:lang w:val="es-ES_tradnl"/>
        </w:rPr>
        <w:t>)</w:t>
      </w:r>
      <w:r>
        <w:rPr>
          <w:rFonts w:cs="Times New Roman"/>
          <w:spacing w:val="-7"/>
          <w:sz w:val="18"/>
          <w:szCs w:val="18"/>
          <w:lang w:val="es-ES_tradnl"/>
        </w:rPr>
        <w:t>”</w:t>
      </w:r>
      <w:r>
        <w:rPr>
          <w:spacing w:val="-7"/>
          <w:sz w:val="18"/>
          <w:szCs w:val="18"/>
          <w:vertAlign w:val="superscript"/>
          <w:lang w:val="es-ES_tradnl"/>
        </w:rPr>
        <w:t>16</w:t>
      </w:r>
      <w:r>
        <w:rPr>
          <w:spacing w:val="-7"/>
          <w:sz w:val="18"/>
          <w:szCs w:val="18"/>
          <w:lang w:val="es-ES_tradnl"/>
        </w:rPr>
        <w:t>.</w:t>
      </w:r>
    </w:p>
    <w:p w14:paraId="4F67AB86" w14:textId="77777777" w:rsidR="00591D54" w:rsidRDefault="00591D54">
      <w:pPr>
        <w:shd w:val="clear" w:color="auto" w:fill="FFFFFF"/>
        <w:spacing w:before="197" w:line="216" w:lineRule="exact"/>
        <w:jc w:val="both"/>
      </w:pPr>
      <w:r>
        <w:rPr>
          <w:spacing w:val="-9"/>
          <w:sz w:val="18"/>
          <w:szCs w:val="18"/>
          <w:lang w:val="es-ES_tradnl"/>
        </w:rPr>
        <w:t xml:space="preserve">Sobre la base de este axioma, la Corte Constitucional debe </w:t>
      </w:r>
      <w:r>
        <w:rPr>
          <w:spacing w:val="-8"/>
          <w:sz w:val="18"/>
          <w:szCs w:val="18"/>
          <w:lang w:val="es-ES_tradnl"/>
        </w:rPr>
        <w:t>identificar en el presente problema jur</w:t>
      </w:r>
      <w:r>
        <w:rPr>
          <w:rFonts w:cs="Times New Roman"/>
          <w:spacing w:val="-8"/>
          <w:sz w:val="18"/>
          <w:szCs w:val="18"/>
          <w:lang w:val="es-ES_tradnl"/>
        </w:rPr>
        <w:t>í</w:t>
      </w:r>
      <w:r>
        <w:rPr>
          <w:spacing w:val="-8"/>
          <w:sz w:val="18"/>
          <w:szCs w:val="18"/>
          <w:lang w:val="es-ES_tradnl"/>
        </w:rPr>
        <w:t>dico, en qu</w:t>
      </w:r>
      <w:r>
        <w:rPr>
          <w:rFonts w:cs="Times New Roman"/>
          <w:spacing w:val="-8"/>
          <w:sz w:val="18"/>
          <w:szCs w:val="18"/>
          <w:lang w:val="es-ES_tradnl"/>
        </w:rPr>
        <w:t>é</w:t>
      </w:r>
      <w:r>
        <w:rPr>
          <w:spacing w:val="-8"/>
          <w:sz w:val="18"/>
          <w:szCs w:val="18"/>
          <w:lang w:val="es-ES_tradnl"/>
        </w:rPr>
        <w:t xml:space="preserve"> medida </w:t>
      </w:r>
      <w:r>
        <w:rPr>
          <w:spacing w:val="-4"/>
          <w:sz w:val="18"/>
          <w:szCs w:val="18"/>
          <w:lang w:val="es-ES_tradnl"/>
        </w:rPr>
        <w:t>este derecho constitucional se vulner</w:t>
      </w:r>
      <w:r>
        <w:rPr>
          <w:rFonts w:cs="Times New Roman"/>
          <w:spacing w:val="-4"/>
          <w:sz w:val="18"/>
          <w:szCs w:val="18"/>
          <w:lang w:val="es-ES_tradnl"/>
        </w:rPr>
        <w:t>ó</w:t>
      </w:r>
      <w:r>
        <w:rPr>
          <w:spacing w:val="-4"/>
          <w:sz w:val="18"/>
          <w:szCs w:val="18"/>
          <w:lang w:val="es-ES_tradnl"/>
        </w:rPr>
        <w:t xml:space="preserve"> por la emisi</w:t>
      </w:r>
      <w:r>
        <w:rPr>
          <w:rFonts w:cs="Times New Roman"/>
          <w:spacing w:val="-4"/>
          <w:sz w:val="18"/>
          <w:szCs w:val="18"/>
          <w:lang w:val="es-ES_tradnl"/>
        </w:rPr>
        <w:t>ó</w:t>
      </w:r>
      <w:r>
        <w:rPr>
          <w:spacing w:val="-4"/>
          <w:sz w:val="18"/>
          <w:szCs w:val="18"/>
          <w:lang w:val="es-ES_tradnl"/>
        </w:rPr>
        <w:t>n de la decisi</w:t>
      </w:r>
      <w:r>
        <w:rPr>
          <w:rFonts w:cs="Times New Roman"/>
          <w:spacing w:val="-4"/>
          <w:sz w:val="18"/>
          <w:szCs w:val="18"/>
          <w:lang w:val="es-ES_tradnl"/>
        </w:rPr>
        <w:t>ó</w:t>
      </w:r>
      <w:r>
        <w:rPr>
          <w:spacing w:val="-4"/>
          <w:sz w:val="18"/>
          <w:szCs w:val="18"/>
          <w:lang w:val="es-ES_tradnl"/>
        </w:rPr>
        <w:t xml:space="preserve">n judicial del 12 de febrero de 2014, dictada en </w:t>
      </w:r>
      <w:r>
        <w:rPr>
          <w:spacing w:val="-5"/>
          <w:sz w:val="18"/>
          <w:szCs w:val="18"/>
          <w:lang w:val="es-ES_tradnl"/>
        </w:rPr>
        <w:t xml:space="preserve">el juicio ordinario de nulidad de sentencia ejecutoriada </w:t>
      </w:r>
      <w:r>
        <w:rPr>
          <w:sz w:val="18"/>
          <w:szCs w:val="18"/>
          <w:lang w:val="es-ES_tradnl"/>
        </w:rPr>
        <w:t>propuesto por el se</w:t>
      </w:r>
      <w:r>
        <w:rPr>
          <w:rFonts w:cs="Times New Roman"/>
          <w:sz w:val="18"/>
          <w:szCs w:val="18"/>
          <w:lang w:val="es-ES_tradnl"/>
        </w:rPr>
        <w:t>ñ</w:t>
      </w:r>
      <w:r>
        <w:rPr>
          <w:sz w:val="18"/>
          <w:szCs w:val="18"/>
          <w:lang w:val="es-ES_tradnl"/>
        </w:rPr>
        <w:t>or Henry An</w:t>
      </w:r>
      <w:r>
        <w:rPr>
          <w:rFonts w:cs="Times New Roman"/>
          <w:sz w:val="18"/>
          <w:szCs w:val="18"/>
          <w:lang w:val="es-ES_tradnl"/>
        </w:rPr>
        <w:t>í</w:t>
      </w:r>
      <w:r>
        <w:rPr>
          <w:sz w:val="18"/>
          <w:szCs w:val="18"/>
          <w:lang w:val="es-ES_tradnl"/>
        </w:rPr>
        <w:t xml:space="preserve">bal Ayala Espinoza, </w:t>
      </w:r>
      <w:r>
        <w:rPr>
          <w:spacing w:val="-8"/>
          <w:sz w:val="18"/>
          <w:szCs w:val="18"/>
          <w:lang w:val="es-ES_tradnl"/>
        </w:rPr>
        <w:t xml:space="preserve">en calidad de gerente general y representante legal de la </w:t>
      </w:r>
      <w:r>
        <w:rPr>
          <w:spacing w:val="-6"/>
          <w:sz w:val="18"/>
          <w:szCs w:val="18"/>
          <w:lang w:val="es-ES_tradnl"/>
        </w:rPr>
        <w:t>compa</w:t>
      </w:r>
      <w:r>
        <w:rPr>
          <w:rFonts w:cs="Times New Roman"/>
          <w:spacing w:val="-6"/>
          <w:sz w:val="18"/>
          <w:szCs w:val="18"/>
          <w:lang w:val="es-ES_tradnl"/>
        </w:rPr>
        <w:t>ñí</w:t>
      </w:r>
      <w:r>
        <w:rPr>
          <w:spacing w:val="-6"/>
          <w:sz w:val="18"/>
          <w:szCs w:val="18"/>
          <w:lang w:val="es-ES_tradnl"/>
        </w:rPr>
        <w:t>a Denegsa S. A., en contra de la se</w:t>
      </w:r>
      <w:r>
        <w:rPr>
          <w:rFonts w:cs="Times New Roman"/>
          <w:spacing w:val="-6"/>
          <w:sz w:val="18"/>
          <w:szCs w:val="18"/>
          <w:lang w:val="es-ES_tradnl"/>
        </w:rPr>
        <w:t>ñ</w:t>
      </w:r>
      <w:r>
        <w:rPr>
          <w:spacing w:val="-6"/>
          <w:sz w:val="18"/>
          <w:szCs w:val="18"/>
          <w:lang w:val="es-ES_tradnl"/>
        </w:rPr>
        <w:t xml:space="preserve">ora Frella </w:t>
      </w:r>
      <w:r>
        <w:rPr>
          <w:sz w:val="18"/>
          <w:szCs w:val="18"/>
          <w:lang w:val="es-ES_tradnl"/>
        </w:rPr>
        <w:t>Isabel Intriago Montes.</w:t>
      </w:r>
    </w:p>
    <w:p w14:paraId="4F67AB87" w14:textId="77777777" w:rsidR="00591D54" w:rsidRDefault="00591D54">
      <w:pPr>
        <w:shd w:val="clear" w:color="auto" w:fill="FFFFFF"/>
        <w:spacing w:before="197" w:line="216" w:lineRule="exact"/>
        <w:jc w:val="both"/>
      </w:pPr>
      <w:r>
        <w:rPr>
          <w:spacing w:val="-6"/>
          <w:sz w:val="18"/>
          <w:szCs w:val="18"/>
          <w:lang w:val="es-ES_tradnl"/>
        </w:rPr>
        <w:t>En tal sentido, se analizar</w:t>
      </w:r>
      <w:r>
        <w:rPr>
          <w:rFonts w:cs="Times New Roman"/>
          <w:spacing w:val="-6"/>
          <w:sz w:val="18"/>
          <w:szCs w:val="18"/>
          <w:lang w:val="es-ES_tradnl"/>
        </w:rPr>
        <w:t>á</w:t>
      </w:r>
      <w:r>
        <w:rPr>
          <w:spacing w:val="-6"/>
          <w:sz w:val="18"/>
          <w:szCs w:val="18"/>
          <w:lang w:val="es-ES_tradnl"/>
        </w:rPr>
        <w:t xml:space="preserve"> si la Sala </w:t>
      </w:r>
      <w:r>
        <w:rPr>
          <w:rFonts w:cs="Times New Roman"/>
          <w:spacing w:val="-6"/>
          <w:sz w:val="18"/>
          <w:szCs w:val="18"/>
          <w:lang w:val="es-ES_tradnl"/>
        </w:rPr>
        <w:t>Ú</w:t>
      </w:r>
      <w:r>
        <w:rPr>
          <w:spacing w:val="-6"/>
          <w:sz w:val="18"/>
          <w:szCs w:val="18"/>
          <w:lang w:val="es-ES_tradnl"/>
        </w:rPr>
        <w:t>nica de la Corte Provincial de Justicia de Santo Domingo de los Ts</w:t>
      </w:r>
      <w:r>
        <w:rPr>
          <w:rFonts w:cs="Times New Roman"/>
          <w:spacing w:val="-6"/>
          <w:sz w:val="18"/>
          <w:szCs w:val="18"/>
          <w:lang w:val="es-ES_tradnl"/>
        </w:rPr>
        <w:t>á</w:t>
      </w:r>
      <w:r>
        <w:rPr>
          <w:spacing w:val="-6"/>
          <w:sz w:val="18"/>
          <w:szCs w:val="18"/>
          <w:lang w:val="es-ES_tradnl"/>
        </w:rPr>
        <w:t xml:space="preserve">chilas </w:t>
      </w:r>
      <w:r>
        <w:rPr>
          <w:spacing w:val="-7"/>
          <w:sz w:val="18"/>
          <w:szCs w:val="18"/>
          <w:lang w:val="es-ES_tradnl"/>
        </w:rPr>
        <w:t>no aplic</w:t>
      </w:r>
      <w:r>
        <w:rPr>
          <w:rFonts w:cs="Times New Roman"/>
          <w:spacing w:val="-7"/>
          <w:sz w:val="18"/>
          <w:szCs w:val="18"/>
          <w:lang w:val="es-ES_tradnl"/>
        </w:rPr>
        <w:t>ó</w:t>
      </w:r>
      <w:r>
        <w:rPr>
          <w:spacing w:val="-7"/>
          <w:sz w:val="18"/>
          <w:szCs w:val="18"/>
          <w:lang w:val="es-ES_tradnl"/>
        </w:rPr>
        <w:t xml:space="preserve"> una norma clara, previa y p</w:t>
      </w:r>
      <w:r>
        <w:rPr>
          <w:rFonts w:cs="Times New Roman"/>
          <w:spacing w:val="-7"/>
          <w:sz w:val="18"/>
          <w:szCs w:val="18"/>
          <w:lang w:val="es-ES_tradnl"/>
        </w:rPr>
        <w:t>ú</w:t>
      </w:r>
      <w:r>
        <w:rPr>
          <w:spacing w:val="-7"/>
          <w:sz w:val="18"/>
          <w:szCs w:val="18"/>
          <w:lang w:val="es-ES_tradnl"/>
        </w:rPr>
        <w:t xml:space="preserve">blica al momento de </w:t>
      </w:r>
      <w:r>
        <w:rPr>
          <w:sz w:val="18"/>
          <w:szCs w:val="18"/>
          <w:lang w:val="es-ES_tradnl"/>
        </w:rPr>
        <w:t>expedir la decisi</w:t>
      </w:r>
      <w:r>
        <w:rPr>
          <w:rFonts w:cs="Times New Roman"/>
          <w:sz w:val="18"/>
          <w:szCs w:val="18"/>
          <w:lang w:val="es-ES_tradnl"/>
        </w:rPr>
        <w:t>ó</w:t>
      </w:r>
      <w:r>
        <w:rPr>
          <w:sz w:val="18"/>
          <w:szCs w:val="18"/>
          <w:lang w:val="es-ES_tradnl"/>
        </w:rPr>
        <w:t>n judicial impugnada.</w:t>
      </w:r>
    </w:p>
    <w:p w14:paraId="4F67AB88" w14:textId="77777777" w:rsidR="00591D54" w:rsidRDefault="00591D54">
      <w:pPr>
        <w:shd w:val="clear" w:color="auto" w:fill="FFFFFF"/>
        <w:spacing w:before="192" w:line="216" w:lineRule="exact"/>
        <w:jc w:val="both"/>
      </w:pPr>
      <w:r>
        <w:rPr>
          <w:spacing w:val="-3"/>
          <w:sz w:val="18"/>
          <w:szCs w:val="18"/>
          <w:lang w:val="es-ES_tradnl"/>
        </w:rPr>
        <w:t>Este m</w:t>
      </w:r>
      <w:r>
        <w:rPr>
          <w:rFonts w:cs="Times New Roman"/>
          <w:spacing w:val="-3"/>
          <w:sz w:val="18"/>
          <w:szCs w:val="18"/>
          <w:lang w:val="es-ES_tradnl"/>
        </w:rPr>
        <w:t>á</w:t>
      </w:r>
      <w:r>
        <w:rPr>
          <w:spacing w:val="-3"/>
          <w:sz w:val="18"/>
          <w:szCs w:val="18"/>
          <w:lang w:val="es-ES_tradnl"/>
        </w:rPr>
        <w:t xml:space="preserve">ximo </w:t>
      </w:r>
      <w:r>
        <w:rPr>
          <w:rFonts w:cs="Times New Roman"/>
          <w:spacing w:val="-3"/>
          <w:sz w:val="18"/>
          <w:szCs w:val="18"/>
          <w:lang w:val="es-ES_tradnl"/>
        </w:rPr>
        <w:t>ó</w:t>
      </w:r>
      <w:r>
        <w:rPr>
          <w:spacing w:val="-3"/>
          <w:sz w:val="18"/>
          <w:szCs w:val="18"/>
          <w:lang w:val="es-ES_tradnl"/>
        </w:rPr>
        <w:t>rgano de interpretaci</w:t>
      </w:r>
      <w:r>
        <w:rPr>
          <w:rFonts w:cs="Times New Roman"/>
          <w:spacing w:val="-3"/>
          <w:sz w:val="18"/>
          <w:szCs w:val="18"/>
          <w:lang w:val="es-ES_tradnl"/>
        </w:rPr>
        <w:t>ó</w:t>
      </w:r>
      <w:r>
        <w:rPr>
          <w:spacing w:val="-3"/>
          <w:sz w:val="18"/>
          <w:szCs w:val="18"/>
          <w:lang w:val="es-ES_tradnl"/>
        </w:rPr>
        <w:t xml:space="preserve">n constitucional </w:t>
      </w:r>
      <w:r>
        <w:rPr>
          <w:spacing w:val="-10"/>
          <w:sz w:val="18"/>
          <w:szCs w:val="18"/>
          <w:lang w:val="es-ES_tradnl"/>
        </w:rPr>
        <w:t>precisa que el an</w:t>
      </w:r>
      <w:r>
        <w:rPr>
          <w:rFonts w:cs="Times New Roman"/>
          <w:spacing w:val="-10"/>
          <w:sz w:val="18"/>
          <w:szCs w:val="18"/>
          <w:lang w:val="es-ES_tradnl"/>
        </w:rPr>
        <w:t>á</w:t>
      </w:r>
      <w:r>
        <w:rPr>
          <w:spacing w:val="-10"/>
          <w:sz w:val="18"/>
          <w:szCs w:val="18"/>
          <w:lang w:val="es-ES_tradnl"/>
        </w:rPr>
        <w:t>lisis no se dirigir</w:t>
      </w:r>
      <w:r>
        <w:rPr>
          <w:rFonts w:cs="Times New Roman"/>
          <w:spacing w:val="-10"/>
          <w:sz w:val="18"/>
          <w:szCs w:val="18"/>
          <w:lang w:val="es-ES_tradnl"/>
        </w:rPr>
        <w:t>á</w:t>
      </w:r>
      <w:r>
        <w:rPr>
          <w:spacing w:val="-10"/>
          <w:sz w:val="18"/>
          <w:szCs w:val="18"/>
          <w:lang w:val="es-ES_tradnl"/>
        </w:rPr>
        <w:t xml:space="preserve"> a examinar la naturaleza </w:t>
      </w:r>
      <w:r>
        <w:rPr>
          <w:spacing w:val="-7"/>
          <w:sz w:val="18"/>
          <w:szCs w:val="18"/>
          <w:lang w:val="es-ES_tradnl"/>
        </w:rPr>
        <w:t xml:space="preserve">de una norma infraconstitucional o interpretar sus efectos, </w:t>
      </w:r>
      <w:r>
        <w:rPr>
          <w:spacing w:val="-9"/>
          <w:sz w:val="18"/>
          <w:szCs w:val="18"/>
          <w:lang w:val="es-ES_tradnl"/>
        </w:rPr>
        <w:t>tal como efectivamente competer</w:t>
      </w:r>
      <w:r>
        <w:rPr>
          <w:rFonts w:cs="Times New Roman"/>
          <w:spacing w:val="-9"/>
          <w:sz w:val="18"/>
          <w:szCs w:val="18"/>
          <w:lang w:val="es-ES_tradnl"/>
        </w:rPr>
        <w:t>í</w:t>
      </w:r>
      <w:r>
        <w:rPr>
          <w:spacing w:val="-9"/>
          <w:sz w:val="18"/>
          <w:szCs w:val="18"/>
          <w:lang w:val="es-ES_tradnl"/>
        </w:rPr>
        <w:t xml:space="preserve">a a los </w:t>
      </w:r>
      <w:r>
        <w:rPr>
          <w:rFonts w:cs="Times New Roman"/>
          <w:spacing w:val="-9"/>
          <w:sz w:val="18"/>
          <w:szCs w:val="18"/>
          <w:lang w:val="es-ES_tradnl"/>
        </w:rPr>
        <w:t>ó</w:t>
      </w:r>
      <w:r>
        <w:rPr>
          <w:spacing w:val="-9"/>
          <w:sz w:val="18"/>
          <w:szCs w:val="18"/>
          <w:lang w:val="es-ES_tradnl"/>
        </w:rPr>
        <w:t xml:space="preserve">rganos de justicia </w:t>
      </w:r>
      <w:r>
        <w:rPr>
          <w:spacing w:val="-6"/>
          <w:sz w:val="18"/>
          <w:szCs w:val="18"/>
          <w:lang w:val="es-ES_tradnl"/>
        </w:rPr>
        <w:t>ordinaria mediante la interposici</w:t>
      </w:r>
      <w:r>
        <w:rPr>
          <w:rFonts w:cs="Times New Roman"/>
          <w:spacing w:val="-6"/>
          <w:sz w:val="18"/>
          <w:szCs w:val="18"/>
          <w:lang w:val="es-ES_tradnl"/>
        </w:rPr>
        <w:t>ó</w:t>
      </w:r>
      <w:r>
        <w:rPr>
          <w:spacing w:val="-6"/>
          <w:sz w:val="18"/>
          <w:szCs w:val="18"/>
          <w:lang w:val="es-ES_tradnl"/>
        </w:rPr>
        <w:t xml:space="preserve">n de los mecanismos y </w:t>
      </w:r>
      <w:r>
        <w:rPr>
          <w:spacing w:val="-9"/>
          <w:sz w:val="18"/>
          <w:szCs w:val="18"/>
          <w:lang w:val="es-ES_tradnl"/>
        </w:rPr>
        <w:t xml:space="preserve">recursos judiciales previstos en la ley. El rol fundamental de </w:t>
      </w:r>
      <w:r>
        <w:rPr>
          <w:spacing w:val="-8"/>
          <w:sz w:val="18"/>
          <w:szCs w:val="18"/>
          <w:lang w:val="es-ES_tradnl"/>
        </w:rPr>
        <w:t>esta Corte Constitucional, conforme lo determina el art</w:t>
      </w:r>
      <w:r>
        <w:rPr>
          <w:rFonts w:cs="Times New Roman"/>
          <w:spacing w:val="-8"/>
          <w:sz w:val="18"/>
          <w:szCs w:val="18"/>
          <w:lang w:val="es-ES_tradnl"/>
        </w:rPr>
        <w:t>í</w:t>
      </w:r>
      <w:r>
        <w:rPr>
          <w:spacing w:val="-8"/>
          <w:sz w:val="18"/>
          <w:szCs w:val="18"/>
          <w:lang w:val="es-ES_tradnl"/>
        </w:rPr>
        <w:t xml:space="preserve">culo </w:t>
      </w:r>
      <w:r>
        <w:rPr>
          <w:spacing w:val="-5"/>
          <w:sz w:val="18"/>
          <w:szCs w:val="18"/>
          <w:lang w:val="es-ES_tradnl"/>
        </w:rPr>
        <w:t>436 numeral 1 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 xml:space="preserve">blica, es ser </w:t>
      </w:r>
      <w:r>
        <w:rPr>
          <w:spacing w:val="-6"/>
          <w:sz w:val="18"/>
          <w:szCs w:val="18"/>
          <w:lang w:val="es-ES_tradnl"/>
        </w:rPr>
        <w:t>la m</w:t>
      </w:r>
      <w:r>
        <w:rPr>
          <w:rFonts w:cs="Times New Roman"/>
          <w:spacing w:val="-6"/>
          <w:sz w:val="18"/>
          <w:szCs w:val="18"/>
          <w:lang w:val="es-ES_tradnl"/>
        </w:rPr>
        <w:t>á</w:t>
      </w:r>
      <w:r>
        <w:rPr>
          <w:spacing w:val="-6"/>
          <w:sz w:val="18"/>
          <w:szCs w:val="18"/>
          <w:lang w:val="es-ES_tradnl"/>
        </w:rPr>
        <w:t>xima instancia de interpretaci</w:t>
      </w:r>
      <w:r>
        <w:rPr>
          <w:rFonts w:cs="Times New Roman"/>
          <w:spacing w:val="-6"/>
          <w:sz w:val="18"/>
          <w:szCs w:val="18"/>
          <w:lang w:val="es-ES_tradnl"/>
        </w:rPr>
        <w:t>ó</w:t>
      </w:r>
      <w:r>
        <w:rPr>
          <w:spacing w:val="-6"/>
          <w:sz w:val="18"/>
          <w:szCs w:val="18"/>
          <w:lang w:val="es-ES_tradnl"/>
        </w:rPr>
        <w:t xml:space="preserve">n de nuestro texto </w:t>
      </w:r>
      <w:r>
        <w:rPr>
          <w:spacing w:val="-7"/>
          <w:sz w:val="18"/>
          <w:szCs w:val="18"/>
          <w:lang w:val="es-ES_tradnl"/>
        </w:rPr>
        <w:t>constitucional, con el objetivo de garantizar su supremac</w:t>
      </w:r>
      <w:r>
        <w:rPr>
          <w:rFonts w:cs="Times New Roman"/>
          <w:spacing w:val="-7"/>
          <w:sz w:val="18"/>
          <w:szCs w:val="18"/>
          <w:lang w:val="es-ES_tradnl"/>
        </w:rPr>
        <w:t>í</w:t>
      </w:r>
      <w:r>
        <w:rPr>
          <w:spacing w:val="-7"/>
          <w:sz w:val="18"/>
          <w:szCs w:val="18"/>
          <w:lang w:val="es-ES_tradnl"/>
        </w:rPr>
        <w:t xml:space="preserve">a </w:t>
      </w:r>
      <w:r>
        <w:rPr>
          <w:spacing w:val="-10"/>
          <w:sz w:val="18"/>
          <w:szCs w:val="18"/>
          <w:lang w:val="es-ES_tradnl"/>
        </w:rPr>
        <w:t xml:space="preserve">y de tutelar los derechos constitucionales de los ciudadanos, </w:t>
      </w:r>
      <w:r>
        <w:rPr>
          <w:spacing w:val="-7"/>
          <w:sz w:val="18"/>
          <w:szCs w:val="18"/>
          <w:lang w:val="es-ES_tradnl"/>
        </w:rPr>
        <w:t>entre ellos, el derecho a la seguridad jur</w:t>
      </w:r>
      <w:r>
        <w:rPr>
          <w:rFonts w:cs="Times New Roman"/>
          <w:spacing w:val="-7"/>
          <w:sz w:val="18"/>
          <w:szCs w:val="18"/>
          <w:lang w:val="es-ES_tradnl"/>
        </w:rPr>
        <w:t>í</w:t>
      </w:r>
      <w:r>
        <w:rPr>
          <w:spacing w:val="-7"/>
          <w:sz w:val="18"/>
          <w:szCs w:val="18"/>
          <w:lang w:val="es-ES_tradnl"/>
        </w:rPr>
        <w:t>dica.</w:t>
      </w:r>
    </w:p>
    <w:p w14:paraId="4F67AB89" w14:textId="77777777" w:rsidR="00591D54" w:rsidRDefault="00591D54">
      <w:pPr>
        <w:shd w:val="clear" w:color="auto" w:fill="FFFFFF"/>
        <w:tabs>
          <w:tab w:val="left" w:pos="144"/>
        </w:tabs>
        <w:spacing w:before="475" w:line="182" w:lineRule="exact"/>
        <w:ind w:left="144" w:hanging="144"/>
        <w:jc w:val="both"/>
      </w:pPr>
      <w:r>
        <w:rPr>
          <w:spacing w:val="-5"/>
          <w:sz w:val="8"/>
          <w:szCs w:val="8"/>
          <w:vertAlign w:val="superscript"/>
          <w:lang w:val="es-ES_tradnl"/>
        </w:rPr>
        <w:t>14</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w:t>
      </w:r>
      <w:r>
        <w:rPr>
          <w:sz w:val="18"/>
          <w:szCs w:val="18"/>
          <w:lang w:val="es-ES_tradnl"/>
        </w:rPr>
        <w:t xml:space="preserve"> </w:t>
      </w:r>
      <w:r>
        <w:rPr>
          <w:sz w:val="14"/>
          <w:szCs w:val="14"/>
          <w:lang w:val="es-ES_tradnl"/>
        </w:rPr>
        <w:t>121-13-SEP-CC, caso N.</w:t>
      </w:r>
      <w:r>
        <w:rPr>
          <w:rFonts w:cs="Times New Roman"/>
          <w:sz w:val="14"/>
          <w:szCs w:val="14"/>
          <w:lang w:val="es-ES_tradnl"/>
        </w:rPr>
        <w:t>°</w:t>
      </w:r>
      <w:r>
        <w:rPr>
          <w:sz w:val="14"/>
          <w:szCs w:val="14"/>
          <w:lang w:val="es-ES_tradnl"/>
        </w:rPr>
        <w:t xml:space="preserve"> 0586-11-EP</w:t>
      </w:r>
    </w:p>
    <w:p w14:paraId="4F67AB8A" w14:textId="77777777" w:rsidR="00591D54" w:rsidRDefault="00591D54">
      <w:pPr>
        <w:shd w:val="clear" w:color="auto" w:fill="FFFFFF"/>
        <w:tabs>
          <w:tab w:val="left" w:pos="144"/>
        </w:tabs>
        <w:spacing w:before="154" w:line="178" w:lineRule="exact"/>
        <w:ind w:left="144" w:hanging="144"/>
        <w:jc w:val="both"/>
      </w:pPr>
      <w:r>
        <w:rPr>
          <w:spacing w:val="-5"/>
          <w:sz w:val="8"/>
          <w:szCs w:val="8"/>
          <w:vertAlign w:val="superscript"/>
          <w:lang w:val="es-ES_tradnl"/>
        </w:rPr>
        <w:t>15</w:t>
      </w:r>
      <w:r>
        <w:rPr>
          <w:sz w:val="18"/>
          <w:szCs w:val="18"/>
          <w:lang w:val="es-ES_tradnl"/>
        </w:rPr>
        <w:tab/>
      </w:r>
      <w:r>
        <w:rPr>
          <w:sz w:val="14"/>
          <w:szCs w:val="14"/>
          <w:lang w:val="es-ES_tradnl"/>
        </w:rPr>
        <w:t>El</w:t>
      </w:r>
      <w:r>
        <w:rPr>
          <w:sz w:val="18"/>
          <w:szCs w:val="18"/>
          <w:lang w:val="es-ES_tradnl"/>
        </w:rPr>
        <w:t xml:space="preserve"> </w:t>
      </w:r>
      <w:r>
        <w:rPr>
          <w:sz w:val="14"/>
          <w:szCs w:val="14"/>
          <w:lang w:val="es-ES_tradnl"/>
        </w:rPr>
        <w:t>principio</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legalidad</w:t>
      </w:r>
      <w:r>
        <w:rPr>
          <w:sz w:val="18"/>
          <w:szCs w:val="18"/>
          <w:lang w:val="es-ES_tradnl"/>
        </w:rPr>
        <w:t xml:space="preserve"> </w:t>
      </w:r>
      <w:r>
        <w:rPr>
          <w:sz w:val="14"/>
          <w:szCs w:val="14"/>
          <w:lang w:val="es-ES_tradnl"/>
        </w:rPr>
        <w:t>se</w:t>
      </w:r>
      <w:r>
        <w:rPr>
          <w:sz w:val="18"/>
          <w:szCs w:val="18"/>
          <w:lang w:val="es-ES_tradnl"/>
        </w:rPr>
        <w:t xml:space="preserve"> </w:t>
      </w:r>
      <w:r>
        <w:rPr>
          <w:sz w:val="14"/>
          <w:szCs w:val="14"/>
          <w:lang w:val="es-ES_tradnl"/>
        </w:rPr>
        <w:t>consagra</w:t>
      </w:r>
      <w:r>
        <w:rPr>
          <w:sz w:val="18"/>
          <w:szCs w:val="18"/>
          <w:lang w:val="es-ES_tradnl"/>
        </w:rPr>
        <w:t xml:space="preserve"> </w:t>
      </w:r>
      <w:r>
        <w:rPr>
          <w:sz w:val="14"/>
          <w:szCs w:val="14"/>
          <w:lang w:val="es-ES_tradnl"/>
        </w:rPr>
        <w:t>en</w:t>
      </w:r>
      <w:r>
        <w:rPr>
          <w:sz w:val="18"/>
          <w:szCs w:val="18"/>
          <w:lang w:val="es-ES_tradnl"/>
        </w:rPr>
        <w:t xml:space="preserve"> </w:t>
      </w:r>
      <w:r>
        <w:rPr>
          <w:sz w:val="14"/>
          <w:szCs w:val="14"/>
          <w:lang w:val="es-ES_tradnl"/>
        </w:rPr>
        <w:t>el</w:t>
      </w:r>
      <w:r>
        <w:rPr>
          <w:sz w:val="18"/>
          <w:szCs w:val="18"/>
          <w:lang w:val="es-ES_tradnl"/>
        </w:rPr>
        <w:t xml:space="preserve"> </w:t>
      </w:r>
      <w:r>
        <w:rPr>
          <w:sz w:val="14"/>
          <w:szCs w:val="14"/>
          <w:lang w:val="es-ES_tradnl"/>
        </w:rPr>
        <w:t>art</w:t>
      </w:r>
      <w:r>
        <w:rPr>
          <w:rFonts w:cs="Times New Roman"/>
          <w:sz w:val="14"/>
          <w:szCs w:val="14"/>
          <w:lang w:val="es-ES_tradnl"/>
        </w:rPr>
        <w:t>í</w:t>
      </w:r>
      <w:r>
        <w:rPr>
          <w:sz w:val="14"/>
          <w:szCs w:val="14"/>
          <w:lang w:val="es-ES_tradnl"/>
        </w:rPr>
        <w:t>culo</w:t>
      </w:r>
      <w:r>
        <w:rPr>
          <w:sz w:val="18"/>
          <w:szCs w:val="18"/>
          <w:lang w:val="es-ES_tradnl"/>
        </w:rPr>
        <w:t xml:space="preserve"> </w:t>
      </w:r>
      <w:r>
        <w:rPr>
          <w:sz w:val="14"/>
          <w:szCs w:val="14"/>
          <w:lang w:val="es-ES_tradnl"/>
        </w:rPr>
        <w:t>226</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la </w:t>
      </w:r>
      <w:r>
        <w:rPr>
          <w:spacing w:val="-1"/>
          <w:sz w:val="14"/>
          <w:szCs w:val="14"/>
          <w:lang w:val="es-ES_tradnl"/>
        </w:rPr>
        <w:t>Constituci</w:t>
      </w:r>
      <w:r>
        <w:rPr>
          <w:rFonts w:cs="Times New Roman"/>
          <w:spacing w:val="-1"/>
          <w:sz w:val="14"/>
          <w:szCs w:val="14"/>
          <w:lang w:val="es-ES_tradnl"/>
        </w:rPr>
        <w:t>ó</w:t>
      </w:r>
      <w:r>
        <w:rPr>
          <w:spacing w:val="-1"/>
          <w:sz w:val="14"/>
          <w:szCs w:val="14"/>
          <w:lang w:val="es-ES_tradnl"/>
        </w:rPr>
        <w:t>n de la Rep</w:t>
      </w:r>
      <w:r>
        <w:rPr>
          <w:rFonts w:cs="Times New Roman"/>
          <w:spacing w:val="-1"/>
          <w:sz w:val="14"/>
          <w:szCs w:val="14"/>
          <w:lang w:val="es-ES_tradnl"/>
        </w:rPr>
        <w:t>ú</w:t>
      </w:r>
      <w:r>
        <w:rPr>
          <w:spacing w:val="-1"/>
          <w:sz w:val="14"/>
          <w:szCs w:val="14"/>
          <w:lang w:val="es-ES_tradnl"/>
        </w:rPr>
        <w:t xml:space="preserve">blica, que determina: </w:t>
      </w:r>
      <w:r>
        <w:rPr>
          <w:rFonts w:cs="Times New Roman"/>
          <w:spacing w:val="-1"/>
          <w:sz w:val="14"/>
          <w:szCs w:val="14"/>
          <w:lang w:val="es-ES_tradnl"/>
        </w:rPr>
        <w:t>“</w:t>
      </w:r>
      <w:r>
        <w:rPr>
          <w:spacing w:val="-1"/>
          <w:sz w:val="14"/>
          <w:szCs w:val="14"/>
          <w:lang w:val="es-ES_tradnl"/>
        </w:rPr>
        <w:t>Las instituciones del </w:t>
      </w:r>
      <w:r>
        <w:rPr>
          <w:spacing w:val="-3"/>
          <w:sz w:val="14"/>
          <w:szCs w:val="14"/>
          <w:lang w:val="es-ES_tradnl"/>
        </w:rPr>
        <w:t>Estado, sus organismos, dependencias, las servidoras o servidores p</w:t>
      </w:r>
      <w:r>
        <w:rPr>
          <w:rFonts w:cs="Times New Roman"/>
          <w:spacing w:val="-3"/>
          <w:sz w:val="14"/>
          <w:szCs w:val="14"/>
          <w:lang w:val="es-ES_tradnl"/>
        </w:rPr>
        <w:t>ú</w:t>
      </w:r>
      <w:r>
        <w:rPr>
          <w:spacing w:val="-3"/>
          <w:sz w:val="14"/>
          <w:szCs w:val="14"/>
          <w:lang w:val="es-ES_tradnl"/>
        </w:rPr>
        <w:t>blicos y las personas que act</w:t>
      </w:r>
      <w:r>
        <w:rPr>
          <w:rFonts w:cs="Times New Roman"/>
          <w:spacing w:val="-3"/>
          <w:sz w:val="14"/>
          <w:szCs w:val="14"/>
          <w:lang w:val="es-ES_tradnl"/>
        </w:rPr>
        <w:t>ú</w:t>
      </w:r>
      <w:r>
        <w:rPr>
          <w:spacing w:val="-3"/>
          <w:sz w:val="14"/>
          <w:szCs w:val="14"/>
          <w:lang w:val="es-ES_tradnl"/>
        </w:rPr>
        <w:t>en en virtud de una potestad estatal </w:t>
      </w:r>
      <w:r>
        <w:rPr>
          <w:spacing w:val="-2"/>
          <w:sz w:val="14"/>
          <w:szCs w:val="14"/>
          <w:lang w:val="es-ES_tradnl"/>
        </w:rPr>
        <w:t>ejercer</w:t>
      </w:r>
      <w:r>
        <w:rPr>
          <w:rFonts w:cs="Times New Roman"/>
          <w:spacing w:val="-2"/>
          <w:sz w:val="14"/>
          <w:szCs w:val="14"/>
          <w:lang w:val="es-ES_tradnl"/>
        </w:rPr>
        <w:t>á</w:t>
      </w:r>
      <w:r>
        <w:rPr>
          <w:spacing w:val="-2"/>
          <w:sz w:val="14"/>
          <w:szCs w:val="14"/>
          <w:lang w:val="es-ES_tradnl"/>
        </w:rPr>
        <w:t>n solamente las competencias y facultades que les sean </w:t>
      </w:r>
      <w:r>
        <w:rPr>
          <w:sz w:val="14"/>
          <w:szCs w:val="14"/>
          <w:lang w:val="es-ES_tradnl"/>
        </w:rPr>
        <w:t>atribuidas en la Constituci</w:t>
      </w:r>
      <w:r>
        <w:rPr>
          <w:rFonts w:cs="Times New Roman"/>
          <w:sz w:val="14"/>
          <w:szCs w:val="14"/>
          <w:lang w:val="es-ES_tradnl"/>
        </w:rPr>
        <w:t>ó</w:t>
      </w:r>
      <w:r>
        <w:rPr>
          <w:sz w:val="14"/>
          <w:szCs w:val="14"/>
          <w:lang w:val="es-ES_tradnl"/>
        </w:rPr>
        <w:t>n y la ley (</w:t>
      </w:r>
      <w:r>
        <w:rPr>
          <w:rFonts w:cs="Times New Roman"/>
          <w:sz w:val="14"/>
          <w:szCs w:val="14"/>
          <w:lang w:val="es-ES_tradnl"/>
        </w:rPr>
        <w:t>…</w:t>
      </w:r>
      <w:r>
        <w:rPr>
          <w:sz w:val="14"/>
          <w:szCs w:val="14"/>
          <w:lang w:val="es-ES_tradnl"/>
        </w:rPr>
        <w:t>)</w:t>
      </w:r>
      <w:r>
        <w:rPr>
          <w:rFonts w:cs="Times New Roman"/>
          <w:sz w:val="14"/>
          <w:szCs w:val="14"/>
          <w:lang w:val="es-ES_tradnl"/>
        </w:rPr>
        <w:t>”</w:t>
      </w:r>
      <w:r>
        <w:rPr>
          <w:sz w:val="14"/>
          <w:szCs w:val="14"/>
          <w:lang w:val="es-ES_tradnl"/>
        </w:rPr>
        <w:t>.</w:t>
      </w:r>
    </w:p>
    <w:p w14:paraId="4F67AB8B" w14:textId="77777777" w:rsidR="00591D54" w:rsidRDefault="00591D54">
      <w:pPr>
        <w:shd w:val="clear" w:color="auto" w:fill="FFFFFF"/>
        <w:tabs>
          <w:tab w:val="left" w:pos="144"/>
        </w:tabs>
        <w:spacing w:before="149" w:line="178" w:lineRule="exact"/>
        <w:ind w:left="144" w:hanging="144"/>
        <w:jc w:val="both"/>
      </w:pPr>
      <w:r>
        <w:rPr>
          <w:spacing w:val="-5"/>
          <w:sz w:val="8"/>
          <w:szCs w:val="8"/>
          <w:vertAlign w:val="superscript"/>
          <w:lang w:val="es-ES_tradnl"/>
        </w:rPr>
        <w:t>16</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para</w:t>
      </w:r>
      <w:r>
        <w:rPr>
          <w:sz w:val="18"/>
          <w:szCs w:val="18"/>
          <w:lang w:val="es-ES_tradnl"/>
        </w:rPr>
        <w:t xml:space="preserve"> </w:t>
      </w:r>
      <w:r>
        <w:rPr>
          <w:sz w:val="14"/>
          <w:szCs w:val="14"/>
          <w:lang w:val="es-ES_tradnl"/>
        </w:rPr>
        <w:t>el</w:t>
      </w:r>
      <w:r>
        <w:rPr>
          <w:sz w:val="18"/>
          <w:szCs w:val="18"/>
          <w:lang w:val="es-ES_tradnl"/>
        </w:rPr>
        <w:t xml:space="preserve"> </w:t>
      </w:r>
      <w:r>
        <w:rPr>
          <w:sz w:val="14"/>
          <w:szCs w:val="14"/>
          <w:lang w:val="es-ES_tradnl"/>
        </w:rPr>
        <w:t>per</w:t>
      </w:r>
      <w:r>
        <w:rPr>
          <w:rFonts w:cs="Times New Roman"/>
          <w:sz w:val="14"/>
          <w:szCs w:val="14"/>
          <w:lang w:val="es-ES_tradnl"/>
        </w:rPr>
        <w:t>í</w:t>
      </w:r>
      <w:r>
        <w:rPr>
          <w:sz w:val="14"/>
          <w:szCs w:val="14"/>
          <w:lang w:val="es-ES_tradnl"/>
        </w:rPr>
        <w:t>odo</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transici</w:t>
      </w:r>
      <w:r>
        <w:rPr>
          <w:rFonts w:cs="Times New Roman"/>
          <w:sz w:val="14"/>
          <w:szCs w:val="14"/>
          <w:lang w:val="es-ES_tradnl"/>
        </w:rPr>
        <w:t>ó</w:t>
      </w:r>
      <w:r>
        <w:rPr>
          <w:sz w:val="14"/>
          <w:szCs w:val="14"/>
          <w:lang w:val="es-ES_tradnl"/>
        </w:rPr>
        <w:t>n, </w:t>
      </w:r>
      <w:r>
        <w:rPr>
          <w:spacing w:val="-2"/>
          <w:sz w:val="14"/>
          <w:szCs w:val="14"/>
          <w:lang w:val="es-ES_tradnl"/>
        </w:rPr>
        <w:t>sentencia N.</w:t>
      </w:r>
      <w:r>
        <w:rPr>
          <w:rFonts w:cs="Times New Roman"/>
          <w:spacing w:val="-2"/>
          <w:sz w:val="14"/>
          <w:szCs w:val="14"/>
          <w:lang w:val="es-ES_tradnl"/>
        </w:rPr>
        <w:t>°</w:t>
      </w:r>
      <w:r>
        <w:rPr>
          <w:spacing w:val="-2"/>
          <w:sz w:val="14"/>
          <w:szCs w:val="14"/>
          <w:lang w:val="es-ES_tradnl"/>
        </w:rPr>
        <w:t xml:space="preserve"> 015-10-SEP-CC, caso N.</w:t>
      </w:r>
      <w:r>
        <w:rPr>
          <w:rFonts w:cs="Times New Roman"/>
          <w:spacing w:val="-2"/>
          <w:sz w:val="14"/>
          <w:szCs w:val="14"/>
          <w:lang w:val="es-ES_tradnl"/>
        </w:rPr>
        <w:t>°</w:t>
      </w:r>
      <w:r>
        <w:rPr>
          <w:spacing w:val="-2"/>
          <w:sz w:val="14"/>
          <w:szCs w:val="14"/>
          <w:lang w:val="es-ES_tradnl"/>
        </w:rPr>
        <w:t xml:space="preserve"> 0135-09-EP</w:t>
      </w:r>
    </w:p>
    <w:p w14:paraId="4F67AB8C" w14:textId="77777777" w:rsidR="00591D54" w:rsidRDefault="00591D54">
      <w:pPr>
        <w:shd w:val="clear" w:color="auto" w:fill="FFFFFF"/>
        <w:tabs>
          <w:tab w:val="left" w:pos="144"/>
        </w:tabs>
        <w:spacing w:before="149" w:line="178" w:lineRule="exact"/>
        <w:ind w:left="144" w:hanging="144"/>
        <w:jc w:val="both"/>
        <w:sectPr w:rsidR="00591D54">
          <w:type w:val="continuous"/>
          <w:pgSz w:w="11909" w:h="16834"/>
          <w:pgMar w:top="1356" w:right="1309" w:bottom="360" w:left="1308" w:header="720" w:footer="720" w:gutter="0"/>
          <w:cols w:num="2" w:space="720" w:equalWidth="0">
            <w:col w:w="4305" w:space="682"/>
            <w:col w:w="4305"/>
          </w:cols>
          <w:noEndnote/>
        </w:sectPr>
      </w:pPr>
    </w:p>
    <w:p w14:paraId="4F67AB8D" w14:textId="77777777" w:rsidR="00591D54" w:rsidRDefault="00591D54">
      <w:pPr>
        <w:shd w:val="clear" w:color="auto" w:fill="FFFFFF"/>
        <w:tabs>
          <w:tab w:val="left" w:pos="4814"/>
        </w:tabs>
        <w:spacing w:after="230"/>
        <w:ind w:left="5"/>
      </w:pPr>
      <w:r>
        <w:rPr>
          <w:b/>
          <w:bCs/>
          <w:sz w:val="18"/>
          <w:szCs w:val="18"/>
          <w:lang w:val="es-ES_tradnl"/>
        </w:rPr>
        <w:t xml:space="preserve">98 -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B8E" w14:textId="77777777" w:rsidR="00591D54" w:rsidRDefault="00591D54">
      <w:pPr>
        <w:shd w:val="clear" w:color="auto" w:fill="FFFFFF"/>
        <w:tabs>
          <w:tab w:val="left" w:pos="4814"/>
        </w:tabs>
        <w:spacing w:after="230"/>
        <w:ind w:left="5"/>
        <w:sectPr w:rsidR="00591D54">
          <w:pgSz w:w="11909" w:h="16834"/>
          <w:pgMar w:top="1359" w:right="1309" w:bottom="360" w:left="1308" w:header="720" w:footer="720" w:gutter="0"/>
          <w:cols w:space="60"/>
          <w:noEndnote/>
        </w:sectPr>
      </w:pPr>
    </w:p>
    <w:p w14:paraId="4F67AB8F" w14:textId="77777777" w:rsidR="00591D54" w:rsidRDefault="00591D54">
      <w:pPr>
        <w:shd w:val="clear" w:color="auto" w:fill="FFFFFF"/>
        <w:spacing w:before="5" w:line="197" w:lineRule="exact"/>
        <w:jc w:val="both"/>
      </w:pPr>
      <w:r>
        <w:rPr>
          <w:spacing w:val="-8"/>
          <w:sz w:val="18"/>
          <w:szCs w:val="18"/>
          <w:lang w:val="es-ES_tradnl"/>
        </w:rPr>
        <w:t>A partir de esta precisi</w:t>
      </w:r>
      <w:r>
        <w:rPr>
          <w:rFonts w:cs="Times New Roman"/>
          <w:spacing w:val="-8"/>
          <w:sz w:val="18"/>
          <w:szCs w:val="18"/>
          <w:lang w:val="es-ES_tradnl"/>
        </w:rPr>
        <w:t>ó</w:t>
      </w:r>
      <w:r>
        <w:rPr>
          <w:spacing w:val="-8"/>
          <w:sz w:val="18"/>
          <w:szCs w:val="18"/>
          <w:lang w:val="es-ES_tradnl"/>
        </w:rPr>
        <w:t>n, en el caso sub j</w:t>
      </w:r>
      <w:r>
        <w:rPr>
          <w:rFonts w:cs="Times New Roman"/>
          <w:spacing w:val="-8"/>
          <w:sz w:val="18"/>
          <w:szCs w:val="18"/>
          <w:lang w:val="es-ES_tradnl"/>
        </w:rPr>
        <w:t>ú</w:t>
      </w:r>
      <w:r>
        <w:rPr>
          <w:spacing w:val="-8"/>
          <w:sz w:val="18"/>
          <w:szCs w:val="18"/>
          <w:lang w:val="es-ES_tradnl"/>
        </w:rPr>
        <w:t>dice, el abogado V</w:t>
      </w:r>
      <w:r>
        <w:rPr>
          <w:rFonts w:cs="Times New Roman"/>
          <w:spacing w:val="-8"/>
          <w:sz w:val="18"/>
          <w:szCs w:val="18"/>
          <w:lang w:val="es-ES_tradnl"/>
        </w:rPr>
        <w:t>í</w:t>
      </w:r>
      <w:r>
        <w:rPr>
          <w:spacing w:val="-8"/>
          <w:sz w:val="18"/>
          <w:szCs w:val="18"/>
          <w:lang w:val="es-ES_tradnl"/>
        </w:rPr>
        <w:t>ctor Valencia Espinoza interpuso recurso de casaci</w:t>
      </w:r>
      <w:r>
        <w:rPr>
          <w:rFonts w:cs="Times New Roman"/>
          <w:spacing w:val="-8"/>
          <w:sz w:val="18"/>
          <w:szCs w:val="18"/>
          <w:lang w:val="es-ES_tradnl"/>
        </w:rPr>
        <w:t>ó</w:t>
      </w:r>
      <w:r>
        <w:rPr>
          <w:spacing w:val="-8"/>
          <w:sz w:val="18"/>
          <w:szCs w:val="18"/>
          <w:lang w:val="es-ES_tradnl"/>
        </w:rPr>
        <w:t xml:space="preserve">n en </w:t>
      </w:r>
      <w:r>
        <w:rPr>
          <w:spacing w:val="-7"/>
          <w:sz w:val="18"/>
          <w:szCs w:val="18"/>
          <w:lang w:val="es-ES_tradnl"/>
        </w:rPr>
        <w:t xml:space="preserve">contra de la sentencia dictada el 09 de enero de 2014, por </w:t>
      </w:r>
      <w:r>
        <w:rPr>
          <w:spacing w:val="-6"/>
          <w:sz w:val="18"/>
          <w:szCs w:val="18"/>
          <w:lang w:val="es-ES_tradnl"/>
        </w:rPr>
        <w:t xml:space="preserve">la Sala </w:t>
      </w:r>
      <w:r>
        <w:rPr>
          <w:rFonts w:cs="Times New Roman"/>
          <w:spacing w:val="-6"/>
          <w:sz w:val="18"/>
          <w:szCs w:val="18"/>
          <w:lang w:val="es-ES_tradnl"/>
        </w:rPr>
        <w:t>Ú</w:t>
      </w:r>
      <w:r>
        <w:rPr>
          <w:spacing w:val="-6"/>
          <w:sz w:val="18"/>
          <w:szCs w:val="18"/>
          <w:lang w:val="es-ES_tradnl"/>
        </w:rPr>
        <w:t xml:space="preserve">nica de la Corte Provincial de Justicia de Santo </w:t>
      </w:r>
      <w:r>
        <w:rPr>
          <w:spacing w:val="-9"/>
          <w:sz w:val="18"/>
          <w:szCs w:val="18"/>
          <w:lang w:val="es-ES_tradnl"/>
        </w:rPr>
        <w:t>Domingo de los Ts</w:t>
      </w:r>
      <w:r>
        <w:rPr>
          <w:rFonts w:cs="Times New Roman"/>
          <w:spacing w:val="-9"/>
          <w:sz w:val="18"/>
          <w:szCs w:val="18"/>
          <w:lang w:val="es-ES_tradnl"/>
        </w:rPr>
        <w:t>á</w:t>
      </w:r>
      <w:r>
        <w:rPr>
          <w:spacing w:val="-9"/>
          <w:sz w:val="18"/>
          <w:szCs w:val="18"/>
          <w:lang w:val="es-ES_tradnl"/>
        </w:rPr>
        <w:t xml:space="preserve">chilas, en base a las causales primera, </w:t>
      </w:r>
      <w:r>
        <w:rPr>
          <w:spacing w:val="-5"/>
          <w:sz w:val="18"/>
          <w:szCs w:val="18"/>
          <w:lang w:val="es-ES_tradnl"/>
        </w:rPr>
        <w:t>segunda, tercera, cuarta y quinta del art</w:t>
      </w:r>
      <w:r>
        <w:rPr>
          <w:rFonts w:cs="Times New Roman"/>
          <w:spacing w:val="-5"/>
          <w:sz w:val="18"/>
          <w:szCs w:val="18"/>
          <w:lang w:val="es-ES_tradnl"/>
        </w:rPr>
        <w:t>í</w:t>
      </w:r>
      <w:r>
        <w:rPr>
          <w:spacing w:val="-5"/>
          <w:sz w:val="18"/>
          <w:szCs w:val="18"/>
          <w:lang w:val="es-ES_tradnl"/>
        </w:rPr>
        <w:t xml:space="preserve">culo 3 de la Ley </w:t>
      </w:r>
      <w:r>
        <w:rPr>
          <w:spacing w:val="-3"/>
          <w:sz w:val="18"/>
          <w:szCs w:val="18"/>
          <w:lang w:val="es-ES_tradnl"/>
        </w:rPr>
        <w:t>de Casaci</w:t>
      </w:r>
      <w:r>
        <w:rPr>
          <w:rFonts w:cs="Times New Roman"/>
          <w:spacing w:val="-3"/>
          <w:sz w:val="18"/>
          <w:szCs w:val="18"/>
          <w:lang w:val="es-ES_tradnl"/>
        </w:rPr>
        <w:t>ó</w:t>
      </w:r>
      <w:r>
        <w:rPr>
          <w:spacing w:val="-3"/>
          <w:sz w:val="18"/>
          <w:szCs w:val="18"/>
          <w:lang w:val="es-ES_tradnl"/>
        </w:rPr>
        <w:t xml:space="preserve">n, con sus respectivas normas procesales y </w:t>
      </w:r>
      <w:r>
        <w:rPr>
          <w:spacing w:val="-2"/>
          <w:sz w:val="18"/>
          <w:szCs w:val="18"/>
          <w:lang w:val="es-ES_tradnl"/>
        </w:rPr>
        <w:t>de derecho que consider</w:t>
      </w:r>
      <w:r>
        <w:rPr>
          <w:rFonts w:cs="Times New Roman"/>
          <w:spacing w:val="-2"/>
          <w:sz w:val="18"/>
          <w:szCs w:val="18"/>
          <w:lang w:val="es-ES_tradnl"/>
        </w:rPr>
        <w:t>ó</w:t>
      </w:r>
      <w:r>
        <w:rPr>
          <w:spacing w:val="-2"/>
          <w:sz w:val="18"/>
          <w:szCs w:val="18"/>
          <w:lang w:val="es-ES_tradnl"/>
        </w:rPr>
        <w:t xml:space="preserve"> infringidas. Al no contar con </w:t>
      </w:r>
      <w:r>
        <w:rPr>
          <w:spacing w:val="-5"/>
          <w:sz w:val="18"/>
          <w:szCs w:val="18"/>
          <w:lang w:val="es-ES_tradnl"/>
        </w:rPr>
        <w:t>la presencia del legitimado activo, Henry An</w:t>
      </w:r>
      <w:r>
        <w:rPr>
          <w:rFonts w:cs="Times New Roman"/>
          <w:spacing w:val="-5"/>
          <w:sz w:val="18"/>
          <w:szCs w:val="18"/>
          <w:lang w:val="es-ES_tradnl"/>
        </w:rPr>
        <w:t>í</w:t>
      </w:r>
      <w:r>
        <w:rPr>
          <w:spacing w:val="-5"/>
          <w:sz w:val="18"/>
          <w:szCs w:val="18"/>
          <w:lang w:val="es-ES_tradnl"/>
        </w:rPr>
        <w:t xml:space="preserve">bal Ayala </w:t>
      </w:r>
      <w:r>
        <w:rPr>
          <w:spacing w:val="-7"/>
          <w:sz w:val="18"/>
          <w:szCs w:val="18"/>
          <w:lang w:val="es-ES_tradnl"/>
        </w:rPr>
        <w:t>Espinoza, el abogado patrocinador en el escrito contentivo del recurso ofreci</w:t>
      </w:r>
      <w:r>
        <w:rPr>
          <w:rFonts w:cs="Times New Roman"/>
          <w:spacing w:val="-7"/>
          <w:sz w:val="18"/>
          <w:szCs w:val="18"/>
          <w:lang w:val="es-ES_tradnl"/>
        </w:rPr>
        <w:t>ó</w:t>
      </w:r>
      <w:r>
        <w:rPr>
          <w:spacing w:val="-7"/>
          <w:sz w:val="18"/>
          <w:szCs w:val="18"/>
          <w:lang w:val="es-ES_tradnl"/>
        </w:rPr>
        <w:t xml:space="preserve"> poder o ratificaci</w:t>
      </w:r>
      <w:r>
        <w:rPr>
          <w:rFonts w:cs="Times New Roman"/>
          <w:spacing w:val="-7"/>
          <w:sz w:val="18"/>
          <w:szCs w:val="18"/>
          <w:lang w:val="es-ES_tradnl"/>
        </w:rPr>
        <w:t>ó</w:t>
      </w:r>
      <w:r>
        <w:rPr>
          <w:spacing w:val="-7"/>
          <w:sz w:val="18"/>
          <w:szCs w:val="18"/>
          <w:lang w:val="es-ES_tradnl"/>
        </w:rPr>
        <w:t xml:space="preserve">n de gestiones de su </w:t>
      </w:r>
      <w:r>
        <w:rPr>
          <w:sz w:val="18"/>
          <w:szCs w:val="18"/>
          <w:lang w:val="es-ES_tradnl"/>
        </w:rPr>
        <w:t>parte.</w:t>
      </w:r>
    </w:p>
    <w:p w14:paraId="4F67AB90" w14:textId="77777777" w:rsidR="00591D54" w:rsidRDefault="00591D54">
      <w:pPr>
        <w:shd w:val="clear" w:color="auto" w:fill="FFFFFF"/>
        <w:spacing w:before="182" w:line="197" w:lineRule="exact"/>
        <w:ind w:right="5"/>
        <w:jc w:val="both"/>
      </w:pPr>
      <w:r>
        <w:rPr>
          <w:spacing w:val="-1"/>
          <w:sz w:val="18"/>
          <w:szCs w:val="18"/>
          <w:lang w:val="es-ES_tradnl"/>
        </w:rPr>
        <w:t xml:space="preserve">Por este impedimento, el </w:t>
      </w:r>
      <w:r>
        <w:rPr>
          <w:rFonts w:cs="Times New Roman"/>
          <w:spacing w:val="-1"/>
          <w:sz w:val="18"/>
          <w:szCs w:val="18"/>
          <w:lang w:val="es-ES_tradnl"/>
        </w:rPr>
        <w:t>ó</w:t>
      </w:r>
      <w:r>
        <w:rPr>
          <w:spacing w:val="-1"/>
          <w:sz w:val="18"/>
          <w:szCs w:val="18"/>
          <w:lang w:val="es-ES_tradnl"/>
        </w:rPr>
        <w:t>rgano judicial inadmiti</w:t>
      </w:r>
      <w:r>
        <w:rPr>
          <w:rFonts w:cs="Times New Roman"/>
          <w:spacing w:val="-1"/>
          <w:sz w:val="18"/>
          <w:szCs w:val="18"/>
          <w:lang w:val="es-ES_tradnl"/>
        </w:rPr>
        <w:t>ó</w:t>
      </w:r>
      <w:r>
        <w:rPr>
          <w:spacing w:val="-1"/>
          <w:sz w:val="18"/>
          <w:szCs w:val="18"/>
          <w:lang w:val="es-ES_tradnl"/>
        </w:rPr>
        <w:t xml:space="preserve">, </w:t>
      </w:r>
      <w:r>
        <w:rPr>
          <w:spacing w:val="-4"/>
          <w:sz w:val="18"/>
          <w:szCs w:val="18"/>
          <w:lang w:val="es-ES_tradnl"/>
        </w:rPr>
        <w:t>mediante la decisi</w:t>
      </w:r>
      <w:r>
        <w:rPr>
          <w:rFonts w:cs="Times New Roman"/>
          <w:spacing w:val="-4"/>
          <w:sz w:val="18"/>
          <w:szCs w:val="18"/>
          <w:lang w:val="es-ES_tradnl"/>
        </w:rPr>
        <w:t>ó</w:t>
      </w:r>
      <w:r>
        <w:rPr>
          <w:spacing w:val="-4"/>
          <w:sz w:val="18"/>
          <w:szCs w:val="18"/>
          <w:lang w:val="es-ES_tradnl"/>
        </w:rPr>
        <w:t xml:space="preserve">n judicial que se impugna, el recurso </w:t>
      </w:r>
      <w:r>
        <w:rPr>
          <w:spacing w:val="-3"/>
          <w:sz w:val="18"/>
          <w:szCs w:val="18"/>
          <w:lang w:val="es-ES_tradnl"/>
        </w:rPr>
        <w:t>de casaci</w:t>
      </w:r>
      <w:r>
        <w:rPr>
          <w:rFonts w:cs="Times New Roman"/>
          <w:spacing w:val="-3"/>
          <w:sz w:val="18"/>
          <w:szCs w:val="18"/>
          <w:lang w:val="es-ES_tradnl"/>
        </w:rPr>
        <w:t>ó</w:t>
      </w:r>
      <w:r>
        <w:rPr>
          <w:spacing w:val="-3"/>
          <w:sz w:val="18"/>
          <w:szCs w:val="18"/>
          <w:lang w:val="es-ES_tradnl"/>
        </w:rPr>
        <w:t>n interpuesto por aplicaci</w:t>
      </w:r>
      <w:r>
        <w:rPr>
          <w:rFonts w:cs="Times New Roman"/>
          <w:spacing w:val="-3"/>
          <w:sz w:val="18"/>
          <w:szCs w:val="18"/>
          <w:lang w:val="es-ES_tradnl"/>
        </w:rPr>
        <w:t>ó</w:t>
      </w:r>
      <w:r>
        <w:rPr>
          <w:spacing w:val="-3"/>
          <w:sz w:val="18"/>
          <w:szCs w:val="18"/>
          <w:lang w:val="es-ES_tradnl"/>
        </w:rPr>
        <w:t>n del art</w:t>
      </w:r>
      <w:r>
        <w:rPr>
          <w:rFonts w:cs="Times New Roman"/>
          <w:spacing w:val="-3"/>
          <w:sz w:val="18"/>
          <w:szCs w:val="18"/>
          <w:lang w:val="es-ES_tradnl"/>
        </w:rPr>
        <w:t>í</w:t>
      </w:r>
      <w:r>
        <w:rPr>
          <w:spacing w:val="-3"/>
          <w:sz w:val="18"/>
          <w:szCs w:val="18"/>
          <w:lang w:val="es-ES_tradnl"/>
        </w:rPr>
        <w:t xml:space="preserve">culo 7 de </w:t>
      </w:r>
      <w:r>
        <w:rPr>
          <w:spacing w:val="-6"/>
          <w:sz w:val="18"/>
          <w:szCs w:val="18"/>
          <w:lang w:val="es-ES_tradnl"/>
        </w:rPr>
        <w:t>la Ley de Casaci</w:t>
      </w:r>
      <w:r>
        <w:rPr>
          <w:rFonts w:cs="Times New Roman"/>
          <w:spacing w:val="-6"/>
          <w:sz w:val="18"/>
          <w:szCs w:val="18"/>
          <w:lang w:val="es-ES_tradnl"/>
        </w:rPr>
        <w:t>ó</w:t>
      </w:r>
      <w:r>
        <w:rPr>
          <w:spacing w:val="-6"/>
          <w:sz w:val="18"/>
          <w:szCs w:val="18"/>
          <w:lang w:val="es-ES_tradnl"/>
        </w:rPr>
        <w:t>n, sin tener en consideraci</w:t>
      </w:r>
      <w:r>
        <w:rPr>
          <w:rFonts w:cs="Times New Roman"/>
          <w:spacing w:val="-6"/>
          <w:sz w:val="18"/>
          <w:szCs w:val="18"/>
          <w:lang w:val="es-ES_tradnl"/>
        </w:rPr>
        <w:t>ó</w:t>
      </w:r>
      <w:r>
        <w:rPr>
          <w:spacing w:val="-6"/>
          <w:sz w:val="18"/>
          <w:szCs w:val="18"/>
          <w:lang w:val="es-ES_tradnl"/>
        </w:rPr>
        <w:t>n inclusive que, conforme se observa de la revisi</w:t>
      </w:r>
      <w:r>
        <w:rPr>
          <w:rFonts w:cs="Times New Roman"/>
          <w:spacing w:val="-6"/>
          <w:sz w:val="18"/>
          <w:szCs w:val="18"/>
          <w:lang w:val="es-ES_tradnl"/>
        </w:rPr>
        <w:t>ó</w:t>
      </w:r>
      <w:r>
        <w:rPr>
          <w:spacing w:val="-6"/>
          <w:sz w:val="18"/>
          <w:szCs w:val="18"/>
          <w:lang w:val="es-ES_tradnl"/>
        </w:rPr>
        <w:t>n al expediente judicial, tal recurso se present</w:t>
      </w:r>
      <w:r>
        <w:rPr>
          <w:rFonts w:cs="Times New Roman"/>
          <w:spacing w:val="-6"/>
          <w:sz w:val="18"/>
          <w:szCs w:val="18"/>
          <w:lang w:val="es-ES_tradnl"/>
        </w:rPr>
        <w:t>ó</w:t>
      </w:r>
      <w:r>
        <w:rPr>
          <w:spacing w:val="-6"/>
          <w:sz w:val="18"/>
          <w:szCs w:val="18"/>
          <w:lang w:val="es-ES_tradnl"/>
        </w:rPr>
        <w:t xml:space="preserve"> dentro del t</w:t>
      </w:r>
      <w:r>
        <w:rPr>
          <w:rFonts w:cs="Times New Roman"/>
          <w:spacing w:val="-6"/>
          <w:sz w:val="18"/>
          <w:szCs w:val="18"/>
          <w:lang w:val="es-ES_tradnl"/>
        </w:rPr>
        <w:t>é</w:t>
      </w:r>
      <w:r>
        <w:rPr>
          <w:spacing w:val="-6"/>
          <w:sz w:val="18"/>
          <w:szCs w:val="18"/>
          <w:lang w:val="es-ES_tradnl"/>
        </w:rPr>
        <w:t xml:space="preserve">rmino de ley </w:t>
      </w:r>
      <w:r>
        <w:rPr>
          <w:sz w:val="18"/>
          <w:szCs w:val="18"/>
          <w:lang w:val="es-ES_tradnl"/>
        </w:rPr>
        <w:t>correspondiente.</w:t>
      </w:r>
    </w:p>
    <w:p w14:paraId="4F67AB91" w14:textId="77777777" w:rsidR="00591D54" w:rsidRDefault="00591D54">
      <w:pPr>
        <w:shd w:val="clear" w:color="auto" w:fill="FFFFFF"/>
        <w:spacing w:before="178" w:line="197" w:lineRule="exact"/>
        <w:ind w:right="5"/>
        <w:jc w:val="both"/>
      </w:pPr>
      <w:r>
        <w:rPr>
          <w:spacing w:val="-5"/>
          <w:sz w:val="18"/>
          <w:szCs w:val="18"/>
          <w:lang w:val="es-ES_tradnl"/>
        </w:rPr>
        <w:t>En efecto, el art</w:t>
      </w:r>
      <w:r>
        <w:rPr>
          <w:rFonts w:cs="Times New Roman"/>
          <w:spacing w:val="-5"/>
          <w:sz w:val="18"/>
          <w:szCs w:val="18"/>
          <w:lang w:val="es-ES_tradnl"/>
        </w:rPr>
        <w:t>í</w:t>
      </w:r>
      <w:r>
        <w:rPr>
          <w:spacing w:val="-5"/>
          <w:sz w:val="18"/>
          <w:szCs w:val="18"/>
          <w:lang w:val="es-ES_tradnl"/>
        </w:rPr>
        <w:t>culo 7 de la Ley de Casaci</w:t>
      </w:r>
      <w:r>
        <w:rPr>
          <w:rFonts w:cs="Times New Roman"/>
          <w:spacing w:val="-5"/>
          <w:sz w:val="18"/>
          <w:szCs w:val="18"/>
          <w:lang w:val="es-ES_tradnl"/>
        </w:rPr>
        <w:t>ó</w:t>
      </w:r>
      <w:r>
        <w:rPr>
          <w:spacing w:val="-5"/>
          <w:sz w:val="18"/>
          <w:szCs w:val="18"/>
          <w:lang w:val="es-ES_tradnl"/>
        </w:rPr>
        <w:t xml:space="preserve">n establece </w:t>
      </w:r>
      <w:r>
        <w:rPr>
          <w:spacing w:val="-7"/>
          <w:sz w:val="18"/>
          <w:szCs w:val="18"/>
          <w:lang w:val="es-ES_tradnl"/>
        </w:rPr>
        <w:t xml:space="preserve">tres circunstancias que tienen que concurrir luego de la </w:t>
      </w:r>
      <w:r>
        <w:rPr>
          <w:spacing w:val="-11"/>
          <w:sz w:val="18"/>
          <w:szCs w:val="18"/>
          <w:lang w:val="es-ES_tradnl"/>
        </w:rPr>
        <w:t>interposici</w:t>
      </w:r>
      <w:r>
        <w:rPr>
          <w:rFonts w:cs="Times New Roman"/>
          <w:spacing w:val="-11"/>
          <w:sz w:val="18"/>
          <w:szCs w:val="18"/>
          <w:lang w:val="es-ES_tradnl"/>
        </w:rPr>
        <w:t>ó</w:t>
      </w:r>
      <w:r>
        <w:rPr>
          <w:spacing w:val="-11"/>
          <w:sz w:val="18"/>
          <w:szCs w:val="18"/>
          <w:lang w:val="es-ES_tradnl"/>
        </w:rPr>
        <w:t xml:space="preserve">n de este recurso para que se admita o deniegue. </w:t>
      </w:r>
      <w:r>
        <w:rPr>
          <w:spacing w:val="-6"/>
          <w:sz w:val="18"/>
          <w:szCs w:val="18"/>
          <w:lang w:val="es-ES_tradnl"/>
        </w:rPr>
        <w:t>Estas circunstancias se detallan a continuaci</w:t>
      </w:r>
      <w:r>
        <w:rPr>
          <w:rFonts w:cs="Times New Roman"/>
          <w:spacing w:val="-6"/>
          <w:sz w:val="18"/>
          <w:szCs w:val="18"/>
          <w:lang w:val="es-ES_tradnl"/>
        </w:rPr>
        <w:t>ó</w:t>
      </w:r>
      <w:r>
        <w:rPr>
          <w:spacing w:val="-6"/>
          <w:sz w:val="18"/>
          <w:szCs w:val="18"/>
          <w:lang w:val="es-ES_tradnl"/>
        </w:rPr>
        <w:t xml:space="preserve">n: 1) Si la sentencia o auto objeto del recurso es de aquellos contra </w:t>
      </w:r>
      <w:r>
        <w:rPr>
          <w:spacing w:val="-8"/>
          <w:sz w:val="18"/>
          <w:szCs w:val="18"/>
          <w:lang w:val="es-ES_tradnl"/>
        </w:rPr>
        <w:t>los cuales procede de acuerdo con el art</w:t>
      </w:r>
      <w:r>
        <w:rPr>
          <w:rFonts w:cs="Times New Roman"/>
          <w:spacing w:val="-8"/>
          <w:sz w:val="18"/>
          <w:szCs w:val="18"/>
          <w:lang w:val="es-ES_tradnl"/>
        </w:rPr>
        <w:t>í</w:t>
      </w:r>
      <w:r>
        <w:rPr>
          <w:spacing w:val="-8"/>
          <w:sz w:val="18"/>
          <w:szCs w:val="18"/>
          <w:lang w:val="es-ES_tradnl"/>
        </w:rPr>
        <w:t xml:space="preserve">culo 2; 2) Si se ha </w:t>
      </w:r>
      <w:r>
        <w:rPr>
          <w:spacing w:val="-6"/>
          <w:sz w:val="18"/>
          <w:szCs w:val="18"/>
          <w:lang w:val="es-ES_tradnl"/>
        </w:rPr>
        <w:t xml:space="preserve">interpuesto en tiempo; y, 3).- Si el escrito mediante el cual </w:t>
      </w:r>
      <w:r>
        <w:rPr>
          <w:spacing w:val="-7"/>
          <w:sz w:val="18"/>
          <w:szCs w:val="18"/>
          <w:lang w:val="es-ES_tradnl"/>
        </w:rPr>
        <w:t>se lo deduce re</w:t>
      </w:r>
      <w:r>
        <w:rPr>
          <w:rFonts w:cs="Times New Roman"/>
          <w:spacing w:val="-7"/>
          <w:sz w:val="18"/>
          <w:szCs w:val="18"/>
          <w:lang w:val="es-ES_tradnl"/>
        </w:rPr>
        <w:t>ú</w:t>
      </w:r>
      <w:r>
        <w:rPr>
          <w:spacing w:val="-7"/>
          <w:sz w:val="18"/>
          <w:szCs w:val="18"/>
          <w:lang w:val="es-ES_tradnl"/>
        </w:rPr>
        <w:t>ne los requisitos se</w:t>
      </w:r>
      <w:r>
        <w:rPr>
          <w:rFonts w:cs="Times New Roman"/>
          <w:spacing w:val="-7"/>
          <w:sz w:val="18"/>
          <w:szCs w:val="18"/>
          <w:lang w:val="es-ES_tradnl"/>
        </w:rPr>
        <w:t>ñ</w:t>
      </w:r>
      <w:r>
        <w:rPr>
          <w:spacing w:val="-7"/>
          <w:sz w:val="18"/>
          <w:szCs w:val="18"/>
          <w:lang w:val="es-ES_tradnl"/>
        </w:rPr>
        <w:t>alados en el art</w:t>
      </w:r>
      <w:r>
        <w:rPr>
          <w:rFonts w:cs="Times New Roman"/>
          <w:spacing w:val="-7"/>
          <w:sz w:val="18"/>
          <w:szCs w:val="18"/>
          <w:lang w:val="es-ES_tradnl"/>
        </w:rPr>
        <w:t>í</w:t>
      </w:r>
      <w:r>
        <w:rPr>
          <w:spacing w:val="-7"/>
          <w:sz w:val="18"/>
          <w:szCs w:val="18"/>
          <w:lang w:val="es-ES_tradnl"/>
        </w:rPr>
        <w:t xml:space="preserve">culo </w:t>
      </w:r>
      <w:r>
        <w:rPr>
          <w:sz w:val="18"/>
          <w:szCs w:val="18"/>
          <w:lang w:val="es-ES_tradnl"/>
        </w:rPr>
        <w:t>anterior.</w:t>
      </w:r>
    </w:p>
    <w:p w14:paraId="4F67AB92" w14:textId="77777777" w:rsidR="00591D54" w:rsidRDefault="00591D54">
      <w:pPr>
        <w:shd w:val="clear" w:color="auto" w:fill="FFFFFF"/>
        <w:spacing w:before="178" w:line="197" w:lineRule="exact"/>
        <w:ind w:right="5"/>
        <w:jc w:val="both"/>
      </w:pPr>
      <w:r>
        <w:rPr>
          <w:spacing w:val="-8"/>
          <w:sz w:val="18"/>
          <w:szCs w:val="18"/>
          <w:lang w:val="es-ES_tradnl"/>
        </w:rPr>
        <w:t xml:space="preserve">Por lo visto, es factible comprobar que ninguna de aquellas </w:t>
      </w:r>
      <w:r>
        <w:rPr>
          <w:spacing w:val="-6"/>
          <w:sz w:val="18"/>
          <w:szCs w:val="18"/>
          <w:lang w:val="es-ES_tradnl"/>
        </w:rPr>
        <w:t>circunstancias indica expresamente como requisito legal para la inadmisi</w:t>
      </w:r>
      <w:r>
        <w:rPr>
          <w:rFonts w:cs="Times New Roman"/>
          <w:spacing w:val="-6"/>
          <w:sz w:val="18"/>
          <w:szCs w:val="18"/>
          <w:lang w:val="es-ES_tradnl"/>
        </w:rPr>
        <w:t>ó</w:t>
      </w:r>
      <w:r>
        <w:rPr>
          <w:spacing w:val="-6"/>
          <w:sz w:val="18"/>
          <w:szCs w:val="18"/>
          <w:lang w:val="es-ES_tradnl"/>
        </w:rPr>
        <w:t>n del recurso de casaci</w:t>
      </w:r>
      <w:r>
        <w:rPr>
          <w:rFonts w:cs="Times New Roman"/>
          <w:spacing w:val="-6"/>
          <w:sz w:val="18"/>
          <w:szCs w:val="18"/>
          <w:lang w:val="es-ES_tradnl"/>
        </w:rPr>
        <w:t>ó</w:t>
      </w:r>
      <w:r>
        <w:rPr>
          <w:spacing w:val="-6"/>
          <w:sz w:val="18"/>
          <w:szCs w:val="18"/>
          <w:lang w:val="es-ES_tradnl"/>
        </w:rPr>
        <w:t xml:space="preserve">n, la falta de </w:t>
      </w:r>
      <w:r>
        <w:rPr>
          <w:spacing w:val="-9"/>
          <w:sz w:val="18"/>
          <w:szCs w:val="18"/>
          <w:lang w:val="es-ES_tradnl"/>
        </w:rPr>
        <w:t>autorizaci</w:t>
      </w:r>
      <w:r>
        <w:rPr>
          <w:rFonts w:cs="Times New Roman"/>
          <w:spacing w:val="-9"/>
          <w:sz w:val="18"/>
          <w:szCs w:val="18"/>
          <w:lang w:val="es-ES_tradnl"/>
        </w:rPr>
        <w:t>ó</w:t>
      </w:r>
      <w:r>
        <w:rPr>
          <w:spacing w:val="-9"/>
          <w:sz w:val="18"/>
          <w:szCs w:val="18"/>
          <w:lang w:val="es-ES_tradnl"/>
        </w:rPr>
        <w:t xml:space="preserve">n de la parte actora o demandada en supuestos legales en los que comparece, </w:t>
      </w:r>
      <w:r>
        <w:rPr>
          <w:rFonts w:cs="Times New Roman"/>
          <w:spacing w:val="-9"/>
          <w:sz w:val="18"/>
          <w:szCs w:val="18"/>
          <w:lang w:val="es-ES_tradnl"/>
        </w:rPr>
        <w:t>ú</w:t>
      </w:r>
      <w:r>
        <w:rPr>
          <w:spacing w:val="-9"/>
          <w:sz w:val="18"/>
          <w:szCs w:val="18"/>
          <w:lang w:val="es-ES_tradnl"/>
        </w:rPr>
        <w:t xml:space="preserve">nicamente, el abogado </w:t>
      </w:r>
      <w:r>
        <w:rPr>
          <w:sz w:val="18"/>
          <w:szCs w:val="18"/>
          <w:lang w:val="es-ES_tradnl"/>
        </w:rPr>
        <w:t>patrocinador, quien incluso, como ocurri</w:t>
      </w:r>
      <w:r>
        <w:rPr>
          <w:rFonts w:cs="Times New Roman"/>
          <w:sz w:val="18"/>
          <w:szCs w:val="18"/>
          <w:lang w:val="es-ES_tradnl"/>
        </w:rPr>
        <w:t>ó</w:t>
      </w:r>
      <w:r>
        <w:rPr>
          <w:sz w:val="18"/>
          <w:szCs w:val="18"/>
          <w:lang w:val="es-ES_tradnl"/>
        </w:rPr>
        <w:t xml:space="preserve"> en el caso </w:t>
      </w:r>
      <w:r>
        <w:rPr>
          <w:i/>
          <w:iCs/>
          <w:spacing w:val="-6"/>
          <w:sz w:val="18"/>
          <w:szCs w:val="18"/>
          <w:lang w:val="es-ES_tradnl"/>
        </w:rPr>
        <w:t>sub examine</w:t>
      </w:r>
      <w:r>
        <w:rPr>
          <w:spacing w:val="-6"/>
          <w:sz w:val="18"/>
          <w:szCs w:val="18"/>
          <w:lang w:val="es-ES_tradnl"/>
        </w:rPr>
        <w:t>, ofreci</w:t>
      </w:r>
      <w:r>
        <w:rPr>
          <w:rFonts w:cs="Times New Roman"/>
          <w:spacing w:val="-6"/>
          <w:sz w:val="18"/>
          <w:szCs w:val="18"/>
          <w:lang w:val="es-ES_tradnl"/>
        </w:rPr>
        <w:t>ó</w:t>
      </w:r>
      <w:r>
        <w:rPr>
          <w:spacing w:val="-6"/>
          <w:sz w:val="18"/>
          <w:szCs w:val="18"/>
          <w:lang w:val="es-ES_tradnl"/>
        </w:rPr>
        <w:t xml:space="preserve"> poder o ratificaci</w:t>
      </w:r>
      <w:r>
        <w:rPr>
          <w:rFonts w:cs="Times New Roman"/>
          <w:spacing w:val="-6"/>
          <w:sz w:val="18"/>
          <w:szCs w:val="18"/>
          <w:lang w:val="es-ES_tradnl"/>
        </w:rPr>
        <w:t>ó</w:t>
      </w:r>
      <w:r>
        <w:rPr>
          <w:spacing w:val="-6"/>
          <w:sz w:val="18"/>
          <w:szCs w:val="18"/>
          <w:lang w:val="es-ES_tradnl"/>
        </w:rPr>
        <w:t xml:space="preserve">n de gestiones a </w:t>
      </w:r>
      <w:r>
        <w:rPr>
          <w:spacing w:val="-8"/>
          <w:sz w:val="18"/>
          <w:szCs w:val="18"/>
          <w:lang w:val="es-ES_tradnl"/>
        </w:rPr>
        <w:t xml:space="preserve">nombre del legitimado activo para legitimar posteriormente </w:t>
      </w:r>
      <w:r>
        <w:rPr>
          <w:spacing w:val="-5"/>
          <w:sz w:val="18"/>
          <w:szCs w:val="18"/>
          <w:lang w:val="es-ES_tradnl"/>
        </w:rPr>
        <w:t>su  intervenci</w:t>
      </w:r>
      <w:r>
        <w:rPr>
          <w:rFonts w:cs="Times New Roman"/>
          <w:spacing w:val="-5"/>
          <w:sz w:val="18"/>
          <w:szCs w:val="18"/>
          <w:lang w:val="es-ES_tradnl"/>
        </w:rPr>
        <w:t>ó</w:t>
      </w:r>
      <w:r>
        <w:rPr>
          <w:spacing w:val="-5"/>
          <w:sz w:val="18"/>
          <w:szCs w:val="18"/>
          <w:lang w:val="es-ES_tradnl"/>
        </w:rPr>
        <w:t>n  dentro  del  proceso  judicial</w:t>
      </w:r>
      <w:r>
        <w:rPr>
          <w:spacing w:val="-5"/>
          <w:sz w:val="18"/>
          <w:szCs w:val="18"/>
          <w:vertAlign w:val="superscript"/>
          <w:lang w:val="es-ES_tradnl"/>
        </w:rPr>
        <w:t>17</w:t>
      </w:r>
      <w:r>
        <w:rPr>
          <w:spacing w:val="-5"/>
          <w:sz w:val="18"/>
          <w:szCs w:val="18"/>
          <w:lang w:val="es-ES_tradnl"/>
        </w:rPr>
        <w:t>,  lo  cual</w:t>
      </w:r>
    </w:p>
    <w:p w14:paraId="4F67AB93" w14:textId="77777777" w:rsidR="00591D54" w:rsidRDefault="00591D54">
      <w:pPr>
        <w:shd w:val="clear" w:color="auto" w:fill="FFFFFF"/>
        <w:spacing w:before="509" w:line="178" w:lineRule="exact"/>
        <w:ind w:left="139" w:hanging="139"/>
        <w:jc w:val="both"/>
      </w:pPr>
      <w:r>
        <w:rPr>
          <w:spacing w:val="-4"/>
          <w:sz w:val="14"/>
          <w:szCs w:val="14"/>
          <w:vertAlign w:val="superscript"/>
          <w:lang w:val="es-ES_tradnl"/>
        </w:rPr>
        <w:t>17</w:t>
      </w:r>
      <w:r>
        <w:rPr>
          <w:spacing w:val="-4"/>
          <w:sz w:val="14"/>
          <w:szCs w:val="14"/>
          <w:lang w:val="es-ES_tradnl"/>
        </w:rPr>
        <w:t xml:space="preserve"> </w:t>
      </w:r>
      <w:r>
        <w:rPr>
          <w:sz w:val="14"/>
          <w:szCs w:val="14"/>
          <w:lang w:val="es-ES_tradnl"/>
        </w:rPr>
        <w:t xml:space="preserve">Los procuradores judiciales son mandatarios que tienen poder </w:t>
      </w:r>
      <w:r>
        <w:rPr>
          <w:spacing w:val="-1"/>
          <w:sz w:val="14"/>
          <w:szCs w:val="14"/>
          <w:lang w:val="es-ES_tradnl"/>
        </w:rPr>
        <w:t xml:space="preserve">suficiente para comparecer en juicio a nombre del actor o del </w:t>
      </w:r>
      <w:r>
        <w:rPr>
          <w:spacing w:val="-3"/>
          <w:sz w:val="14"/>
          <w:szCs w:val="14"/>
          <w:lang w:val="es-ES_tradnl"/>
        </w:rPr>
        <w:t>demandado, que requiere su servicio profesional. El C</w:t>
      </w:r>
      <w:r>
        <w:rPr>
          <w:rFonts w:cs="Times New Roman"/>
          <w:spacing w:val="-3"/>
          <w:sz w:val="14"/>
          <w:szCs w:val="14"/>
          <w:lang w:val="es-ES_tradnl"/>
        </w:rPr>
        <w:t>ó</w:t>
      </w:r>
      <w:r>
        <w:rPr>
          <w:spacing w:val="-3"/>
          <w:sz w:val="14"/>
          <w:szCs w:val="14"/>
          <w:lang w:val="es-ES_tradnl"/>
        </w:rPr>
        <w:t>digo Org</w:t>
      </w:r>
      <w:r>
        <w:rPr>
          <w:rFonts w:cs="Times New Roman"/>
          <w:spacing w:val="-3"/>
          <w:sz w:val="14"/>
          <w:szCs w:val="14"/>
          <w:lang w:val="es-ES_tradnl"/>
        </w:rPr>
        <w:t>á</w:t>
      </w:r>
      <w:r>
        <w:rPr>
          <w:spacing w:val="-3"/>
          <w:sz w:val="14"/>
          <w:szCs w:val="14"/>
          <w:lang w:val="es-ES_tradnl"/>
        </w:rPr>
        <w:t xml:space="preserve">nico </w:t>
      </w:r>
      <w:r>
        <w:rPr>
          <w:spacing w:val="-1"/>
          <w:sz w:val="14"/>
          <w:szCs w:val="14"/>
          <w:lang w:val="es-ES_tradnl"/>
        </w:rPr>
        <w:t>de la Funci</w:t>
      </w:r>
      <w:r>
        <w:rPr>
          <w:rFonts w:cs="Times New Roman"/>
          <w:spacing w:val="-1"/>
          <w:sz w:val="14"/>
          <w:szCs w:val="14"/>
          <w:lang w:val="es-ES_tradnl"/>
        </w:rPr>
        <w:t>ó</w:t>
      </w:r>
      <w:r>
        <w:rPr>
          <w:spacing w:val="-1"/>
          <w:sz w:val="14"/>
          <w:szCs w:val="14"/>
          <w:lang w:val="es-ES_tradnl"/>
        </w:rPr>
        <w:t>n Judicial en su art</w:t>
      </w:r>
      <w:r>
        <w:rPr>
          <w:rFonts w:cs="Times New Roman"/>
          <w:spacing w:val="-1"/>
          <w:sz w:val="14"/>
          <w:szCs w:val="14"/>
          <w:lang w:val="es-ES_tradnl"/>
        </w:rPr>
        <w:t>í</w:t>
      </w:r>
      <w:r>
        <w:rPr>
          <w:spacing w:val="-1"/>
          <w:sz w:val="14"/>
          <w:szCs w:val="14"/>
          <w:lang w:val="es-ES_tradnl"/>
        </w:rPr>
        <w:t>culo 333. Presentaci</w:t>
      </w:r>
      <w:r>
        <w:rPr>
          <w:rFonts w:cs="Times New Roman"/>
          <w:spacing w:val="-1"/>
          <w:sz w:val="14"/>
          <w:szCs w:val="14"/>
          <w:lang w:val="es-ES_tradnl"/>
        </w:rPr>
        <w:t>ó</w:t>
      </w:r>
      <w:r>
        <w:rPr>
          <w:spacing w:val="-1"/>
          <w:sz w:val="14"/>
          <w:szCs w:val="14"/>
          <w:lang w:val="es-ES_tradnl"/>
        </w:rPr>
        <w:t xml:space="preserve">n de escritos </w:t>
      </w:r>
      <w:r>
        <w:rPr>
          <w:spacing w:val="-4"/>
          <w:sz w:val="14"/>
          <w:szCs w:val="14"/>
          <w:lang w:val="es-ES_tradnl"/>
        </w:rPr>
        <w:t>para abogados se</w:t>
      </w:r>
      <w:r>
        <w:rPr>
          <w:rFonts w:cs="Times New Roman"/>
          <w:spacing w:val="-4"/>
          <w:sz w:val="14"/>
          <w:szCs w:val="14"/>
          <w:lang w:val="es-ES_tradnl"/>
        </w:rPr>
        <w:t>ñ</w:t>
      </w:r>
      <w:r>
        <w:rPr>
          <w:spacing w:val="-4"/>
          <w:sz w:val="14"/>
          <w:szCs w:val="14"/>
          <w:lang w:val="es-ES_tradnl"/>
        </w:rPr>
        <w:t xml:space="preserve">ala: </w:t>
      </w:r>
      <w:r>
        <w:rPr>
          <w:rFonts w:cs="Times New Roman"/>
          <w:spacing w:val="-4"/>
          <w:sz w:val="14"/>
          <w:szCs w:val="14"/>
          <w:lang w:val="es-ES_tradnl"/>
        </w:rPr>
        <w:t>“</w:t>
      </w:r>
      <w:r>
        <w:rPr>
          <w:spacing w:val="-4"/>
          <w:sz w:val="14"/>
          <w:szCs w:val="14"/>
          <w:lang w:val="es-ES_tradnl"/>
        </w:rPr>
        <w:t xml:space="preserve">El abogado que fuere designado patrocinador </w:t>
      </w:r>
      <w:r>
        <w:rPr>
          <w:spacing w:val="-2"/>
          <w:sz w:val="14"/>
          <w:szCs w:val="14"/>
          <w:lang w:val="es-ES_tradnl"/>
        </w:rPr>
        <w:t>presentar</w:t>
      </w:r>
      <w:r>
        <w:rPr>
          <w:rFonts w:cs="Times New Roman"/>
          <w:spacing w:val="-2"/>
          <w:sz w:val="14"/>
          <w:szCs w:val="14"/>
          <w:lang w:val="es-ES_tradnl"/>
        </w:rPr>
        <w:t>á</w:t>
      </w:r>
      <w:r>
        <w:rPr>
          <w:spacing w:val="-2"/>
          <w:sz w:val="14"/>
          <w:szCs w:val="14"/>
          <w:lang w:val="es-ES_tradnl"/>
        </w:rPr>
        <w:t xml:space="preserve"> escrito con tal designaci</w:t>
      </w:r>
      <w:r>
        <w:rPr>
          <w:rFonts w:cs="Times New Roman"/>
          <w:spacing w:val="-2"/>
          <w:sz w:val="14"/>
          <w:szCs w:val="14"/>
          <w:lang w:val="es-ES_tradnl"/>
        </w:rPr>
        <w:t>ó</w:t>
      </w:r>
      <w:r>
        <w:rPr>
          <w:spacing w:val="-2"/>
          <w:sz w:val="14"/>
          <w:szCs w:val="14"/>
          <w:lang w:val="es-ES_tradnl"/>
        </w:rPr>
        <w:t xml:space="preserve">n suscrito por su cliente cuando </w:t>
      </w:r>
      <w:r>
        <w:rPr>
          <w:sz w:val="14"/>
          <w:szCs w:val="14"/>
          <w:lang w:val="es-ES_tradnl"/>
        </w:rPr>
        <w:t>intervenga por primera vez; pero en lo posterior podr</w:t>
      </w:r>
      <w:r>
        <w:rPr>
          <w:rFonts w:cs="Times New Roman"/>
          <w:sz w:val="14"/>
          <w:szCs w:val="14"/>
          <w:lang w:val="es-ES_tradnl"/>
        </w:rPr>
        <w:t>á</w:t>
      </w:r>
      <w:r>
        <w:rPr>
          <w:sz w:val="14"/>
          <w:szCs w:val="14"/>
          <w:lang w:val="es-ES_tradnl"/>
        </w:rPr>
        <w:t xml:space="preserve"> presentar, </w:t>
      </w:r>
      <w:r>
        <w:rPr>
          <w:spacing w:val="-1"/>
          <w:sz w:val="14"/>
          <w:szCs w:val="14"/>
          <w:lang w:val="es-ES_tradnl"/>
        </w:rPr>
        <w:t>suscribir y ofrecer por su cliente y sin necesidad de la intervenci</w:t>
      </w:r>
      <w:r>
        <w:rPr>
          <w:rFonts w:cs="Times New Roman"/>
          <w:spacing w:val="-1"/>
          <w:sz w:val="14"/>
          <w:szCs w:val="14"/>
          <w:lang w:val="es-ES_tradnl"/>
        </w:rPr>
        <w:t>ó</w:t>
      </w:r>
      <w:r>
        <w:rPr>
          <w:spacing w:val="-1"/>
          <w:sz w:val="14"/>
          <w:szCs w:val="14"/>
          <w:lang w:val="es-ES_tradnl"/>
        </w:rPr>
        <w:t xml:space="preserve">n </w:t>
      </w:r>
      <w:r>
        <w:rPr>
          <w:spacing w:val="-3"/>
          <w:sz w:val="14"/>
          <w:szCs w:val="14"/>
          <w:lang w:val="es-ES_tradnl"/>
        </w:rPr>
        <w:t>del mismo, todo tipo de escritos, con excepci</w:t>
      </w:r>
      <w:r>
        <w:rPr>
          <w:rFonts w:cs="Times New Roman"/>
          <w:spacing w:val="-3"/>
          <w:sz w:val="14"/>
          <w:szCs w:val="14"/>
          <w:lang w:val="es-ES_tradnl"/>
        </w:rPr>
        <w:t>ó</w:t>
      </w:r>
      <w:r>
        <w:rPr>
          <w:spacing w:val="-3"/>
          <w:sz w:val="14"/>
          <w:szCs w:val="14"/>
          <w:lang w:val="es-ES_tradnl"/>
        </w:rPr>
        <w:t xml:space="preserve">n de aquellos, para los </w:t>
      </w:r>
      <w:r>
        <w:rPr>
          <w:spacing w:val="-2"/>
          <w:sz w:val="14"/>
          <w:szCs w:val="14"/>
          <w:lang w:val="es-ES_tradnl"/>
        </w:rPr>
        <w:t>que se requiere poder especial con arreglo a la ley.</w:t>
      </w:r>
    </w:p>
    <w:p w14:paraId="4F67AB94" w14:textId="77777777" w:rsidR="00591D54" w:rsidRDefault="00591D54">
      <w:pPr>
        <w:shd w:val="clear" w:color="auto" w:fill="FFFFFF"/>
        <w:spacing w:before="163" w:line="178" w:lineRule="exact"/>
        <w:ind w:left="139" w:right="5"/>
        <w:jc w:val="both"/>
      </w:pPr>
      <w:r>
        <w:rPr>
          <w:sz w:val="14"/>
          <w:szCs w:val="14"/>
          <w:lang w:val="es-ES_tradnl"/>
        </w:rPr>
        <w:t>El abogado no requiere poder especial para interponer medios impugnatorios, en representaci</w:t>
      </w:r>
      <w:r>
        <w:rPr>
          <w:rFonts w:cs="Times New Roman"/>
          <w:sz w:val="14"/>
          <w:szCs w:val="14"/>
          <w:lang w:val="es-ES_tradnl"/>
        </w:rPr>
        <w:t>ó</w:t>
      </w:r>
      <w:r>
        <w:rPr>
          <w:sz w:val="14"/>
          <w:szCs w:val="14"/>
          <w:lang w:val="es-ES_tradnl"/>
        </w:rPr>
        <w:t xml:space="preserve">n de su cliente. </w:t>
      </w:r>
      <w:r>
        <w:rPr>
          <w:spacing w:val="-3"/>
          <w:sz w:val="14"/>
          <w:szCs w:val="14"/>
          <w:lang w:val="es-ES_tradnl"/>
        </w:rPr>
        <w:t>No se admitir</w:t>
      </w:r>
      <w:r>
        <w:rPr>
          <w:rFonts w:cs="Times New Roman"/>
          <w:spacing w:val="-3"/>
          <w:sz w:val="14"/>
          <w:szCs w:val="14"/>
          <w:lang w:val="es-ES_tradnl"/>
        </w:rPr>
        <w:t>á</w:t>
      </w:r>
      <w:r>
        <w:rPr>
          <w:spacing w:val="-3"/>
          <w:sz w:val="14"/>
          <w:szCs w:val="14"/>
          <w:lang w:val="es-ES_tradnl"/>
        </w:rPr>
        <w:t xml:space="preserve"> la intervenci</w:t>
      </w:r>
      <w:r>
        <w:rPr>
          <w:rFonts w:cs="Times New Roman"/>
          <w:spacing w:val="-3"/>
          <w:sz w:val="14"/>
          <w:szCs w:val="14"/>
          <w:lang w:val="es-ES_tradnl"/>
        </w:rPr>
        <w:t>ó</w:t>
      </w:r>
      <w:r>
        <w:rPr>
          <w:spacing w:val="-3"/>
          <w:sz w:val="14"/>
          <w:szCs w:val="14"/>
          <w:lang w:val="es-ES_tradnl"/>
        </w:rPr>
        <w:t>n en causa de una persona como gestor de negocios ajenos; los abogados en ejercicio de la profesi</w:t>
      </w:r>
      <w:r>
        <w:rPr>
          <w:rFonts w:cs="Times New Roman"/>
          <w:spacing w:val="-3"/>
          <w:sz w:val="14"/>
          <w:szCs w:val="14"/>
          <w:lang w:val="es-ES_tradnl"/>
        </w:rPr>
        <w:t>ó</w:t>
      </w:r>
      <w:r>
        <w:rPr>
          <w:spacing w:val="-3"/>
          <w:sz w:val="14"/>
          <w:szCs w:val="14"/>
          <w:lang w:val="es-ES_tradnl"/>
        </w:rPr>
        <w:t>n podr</w:t>
      </w:r>
      <w:r>
        <w:rPr>
          <w:rFonts w:cs="Times New Roman"/>
          <w:spacing w:val="-3"/>
          <w:sz w:val="14"/>
          <w:szCs w:val="14"/>
          <w:lang w:val="es-ES_tradnl"/>
        </w:rPr>
        <w:t>á</w:t>
      </w:r>
      <w:r>
        <w:rPr>
          <w:spacing w:val="-3"/>
          <w:sz w:val="14"/>
          <w:szCs w:val="14"/>
          <w:lang w:val="es-ES_tradnl"/>
        </w:rPr>
        <w:t xml:space="preserve">n </w:t>
      </w:r>
      <w:r>
        <w:rPr>
          <w:sz w:val="14"/>
          <w:szCs w:val="14"/>
          <w:lang w:val="es-ES_tradnl"/>
        </w:rPr>
        <w:t>concurrir a los actos procesales ofreciendo poder o ratificaci</w:t>
      </w:r>
      <w:r>
        <w:rPr>
          <w:rFonts w:cs="Times New Roman"/>
          <w:sz w:val="14"/>
          <w:szCs w:val="14"/>
          <w:lang w:val="es-ES_tradnl"/>
        </w:rPr>
        <w:t>ó</w:t>
      </w:r>
      <w:r>
        <w:rPr>
          <w:sz w:val="14"/>
          <w:szCs w:val="14"/>
          <w:lang w:val="es-ES_tradnl"/>
        </w:rPr>
        <w:t xml:space="preserve">n </w:t>
      </w:r>
      <w:r>
        <w:rPr>
          <w:spacing w:val="-3"/>
          <w:sz w:val="14"/>
          <w:szCs w:val="14"/>
          <w:lang w:val="es-ES_tradnl"/>
        </w:rPr>
        <w:t>debiendo legitimar su personer</w:t>
      </w:r>
      <w:r>
        <w:rPr>
          <w:rFonts w:cs="Times New Roman"/>
          <w:spacing w:val="-3"/>
          <w:sz w:val="14"/>
          <w:szCs w:val="14"/>
          <w:lang w:val="es-ES_tradnl"/>
        </w:rPr>
        <w:t>í</w:t>
      </w:r>
      <w:r>
        <w:rPr>
          <w:spacing w:val="-3"/>
          <w:sz w:val="14"/>
          <w:szCs w:val="14"/>
          <w:lang w:val="es-ES_tradnl"/>
        </w:rPr>
        <w:t>a en los t</w:t>
      </w:r>
      <w:r>
        <w:rPr>
          <w:rFonts w:cs="Times New Roman"/>
          <w:spacing w:val="-3"/>
          <w:sz w:val="14"/>
          <w:szCs w:val="14"/>
          <w:lang w:val="es-ES_tradnl"/>
        </w:rPr>
        <w:t>é</w:t>
      </w:r>
      <w:r>
        <w:rPr>
          <w:spacing w:val="-3"/>
          <w:sz w:val="14"/>
          <w:szCs w:val="14"/>
          <w:lang w:val="es-ES_tradnl"/>
        </w:rPr>
        <w:t>rminos se</w:t>
      </w:r>
      <w:r>
        <w:rPr>
          <w:rFonts w:cs="Times New Roman"/>
          <w:spacing w:val="-3"/>
          <w:sz w:val="14"/>
          <w:szCs w:val="14"/>
          <w:lang w:val="es-ES_tradnl"/>
        </w:rPr>
        <w:t>ñ</w:t>
      </w:r>
      <w:r>
        <w:rPr>
          <w:spacing w:val="-3"/>
          <w:sz w:val="14"/>
          <w:szCs w:val="14"/>
          <w:lang w:val="es-ES_tradnl"/>
        </w:rPr>
        <w:t>alados en la ley.</w:t>
      </w:r>
    </w:p>
    <w:p w14:paraId="4F67AB95" w14:textId="77777777" w:rsidR="00591D54" w:rsidRDefault="00591D54">
      <w:pPr>
        <w:shd w:val="clear" w:color="auto" w:fill="FFFFFF"/>
        <w:spacing w:before="158" w:line="178" w:lineRule="exact"/>
        <w:ind w:left="139"/>
        <w:jc w:val="both"/>
      </w:pPr>
      <w:r>
        <w:rPr>
          <w:spacing w:val="-3"/>
          <w:sz w:val="14"/>
          <w:szCs w:val="14"/>
          <w:lang w:val="es-ES_tradnl"/>
        </w:rPr>
        <w:t>Bastar</w:t>
      </w:r>
      <w:r>
        <w:rPr>
          <w:rFonts w:cs="Times New Roman"/>
          <w:spacing w:val="-3"/>
          <w:sz w:val="14"/>
          <w:szCs w:val="14"/>
          <w:lang w:val="es-ES_tradnl"/>
        </w:rPr>
        <w:t>á</w:t>
      </w:r>
      <w:r>
        <w:rPr>
          <w:spacing w:val="-3"/>
          <w:sz w:val="14"/>
          <w:szCs w:val="14"/>
          <w:lang w:val="es-ES_tradnl"/>
        </w:rPr>
        <w:t xml:space="preserve"> que en los poderes de procuraci</w:t>
      </w:r>
      <w:r>
        <w:rPr>
          <w:rFonts w:cs="Times New Roman"/>
          <w:spacing w:val="-3"/>
          <w:sz w:val="14"/>
          <w:szCs w:val="14"/>
          <w:lang w:val="es-ES_tradnl"/>
        </w:rPr>
        <w:t>ó</w:t>
      </w:r>
      <w:r>
        <w:rPr>
          <w:spacing w:val="-3"/>
          <w:sz w:val="14"/>
          <w:szCs w:val="14"/>
          <w:lang w:val="es-ES_tradnl"/>
        </w:rPr>
        <w:t xml:space="preserve">n judicial se haga constar el </w:t>
      </w:r>
      <w:r>
        <w:rPr>
          <w:spacing w:val="-2"/>
          <w:sz w:val="14"/>
          <w:szCs w:val="14"/>
          <w:lang w:val="es-ES_tradnl"/>
        </w:rPr>
        <w:t>encargo de patrocinar en causa o de ejercer la procuraci</w:t>
      </w:r>
      <w:r>
        <w:rPr>
          <w:rFonts w:cs="Times New Roman"/>
          <w:spacing w:val="-2"/>
          <w:sz w:val="14"/>
          <w:szCs w:val="14"/>
          <w:lang w:val="es-ES_tradnl"/>
        </w:rPr>
        <w:t>ó</w:t>
      </w:r>
      <w:r>
        <w:rPr>
          <w:spacing w:val="-2"/>
          <w:sz w:val="14"/>
          <w:szCs w:val="14"/>
          <w:lang w:val="es-ES_tradnl"/>
        </w:rPr>
        <w:t xml:space="preserve">n judicial, para que sea suficiente. </w:t>
      </w:r>
      <w:r>
        <w:rPr>
          <w:rFonts w:cs="Times New Roman"/>
          <w:spacing w:val="-2"/>
          <w:sz w:val="14"/>
          <w:szCs w:val="14"/>
          <w:lang w:val="es-ES_tradnl"/>
        </w:rPr>
        <w:t>Ú</w:t>
      </w:r>
      <w:r>
        <w:rPr>
          <w:spacing w:val="-2"/>
          <w:sz w:val="14"/>
          <w:szCs w:val="14"/>
          <w:lang w:val="es-ES_tradnl"/>
        </w:rPr>
        <w:t xml:space="preserve">nicamente por mandato expreso de la ley </w:t>
      </w:r>
      <w:r>
        <w:rPr>
          <w:sz w:val="14"/>
          <w:szCs w:val="14"/>
          <w:lang w:val="es-ES_tradnl"/>
        </w:rPr>
        <w:t>se podr</w:t>
      </w:r>
      <w:r>
        <w:rPr>
          <w:rFonts w:cs="Times New Roman"/>
          <w:sz w:val="14"/>
          <w:szCs w:val="14"/>
          <w:lang w:val="es-ES_tradnl"/>
        </w:rPr>
        <w:t>á</w:t>
      </w:r>
      <w:r>
        <w:rPr>
          <w:sz w:val="14"/>
          <w:szCs w:val="14"/>
          <w:lang w:val="es-ES_tradnl"/>
        </w:rPr>
        <w:t xml:space="preserve"> exigir que en el texto del poder de procuraci</w:t>
      </w:r>
      <w:r>
        <w:rPr>
          <w:rFonts w:cs="Times New Roman"/>
          <w:sz w:val="14"/>
          <w:szCs w:val="14"/>
          <w:lang w:val="es-ES_tradnl"/>
        </w:rPr>
        <w:t>ó</w:t>
      </w:r>
      <w:r>
        <w:rPr>
          <w:sz w:val="14"/>
          <w:szCs w:val="14"/>
          <w:lang w:val="es-ES_tradnl"/>
        </w:rPr>
        <w:t>n judicial conste detalladamente el encargo, con indicaci</w:t>
      </w:r>
      <w:r>
        <w:rPr>
          <w:rFonts w:cs="Times New Roman"/>
          <w:sz w:val="14"/>
          <w:szCs w:val="14"/>
          <w:lang w:val="es-ES_tradnl"/>
        </w:rPr>
        <w:t>ó</w:t>
      </w:r>
      <w:r>
        <w:rPr>
          <w:sz w:val="14"/>
          <w:szCs w:val="14"/>
          <w:lang w:val="es-ES_tradnl"/>
        </w:rPr>
        <w:t xml:space="preserve">n expresa del tipo </w:t>
      </w:r>
      <w:r>
        <w:rPr>
          <w:spacing w:val="-3"/>
          <w:sz w:val="14"/>
          <w:szCs w:val="14"/>
          <w:lang w:val="es-ES_tradnl"/>
        </w:rPr>
        <w:t xml:space="preserve">de proceso, las partes, los antecedentes de hecho y de derecho, las </w:t>
      </w:r>
      <w:r>
        <w:rPr>
          <w:spacing w:val="-4"/>
          <w:sz w:val="14"/>
          <w:szCs w:val="14"/>
          <w:lang w:val="es-ES_tradnl"/>
        </w:rPr>
        <w:t>facultades de las que se dota al procurador y m</w:t>
      </w:r>
      <w:r>
        <w:rPr>
          <w:rFonts w:cs="Times New Roman"/>
          <w:spacing w:val="-4"/>
          <w:sz w:val="14"/>
          <w:szCs w:val="14"/>
          <w:lang w:val="es-ES_tradnl"/>
        </w:rPr>
        <w:t>á</w:t>
      </w:r>
      <w:r>
        <w:rPr>
          <w:spacing w:val="-4"/>
          <w:sz w:val="14"/>
          <w:szCs w:val="14"/>
          <w:lang w:val="es-ES_tradnl"/>
        </w:rPr>
        <w:t xml:space="preserve">s circunstancias para </w:t>
      </w:r>
      <w:r>
        <w:rPr>
          <w:spacing w:val="-1"/>
          <w:sz w:val="14"/>
          <w:szCs w:val="14"/>
          <w:lang w:val="es-ES_tradnl"/>
        </w:rPr>
        <w:t>proponer o continuar la acci</w:t>
      </w:r>
      <w:r>
        <w:rPr>
          <w:rFonts w:cs="Times New Roman"/>
          <w:spacing w:val="-1"/>
          <w:sz w:val="14"/>
          <w:szCs w:val="14"/>
          <w:lang w:val="es-ES_tradnl"/>
        </w:rPr>
        <w:t>ó</w:t>
      </w:r>
      <w:r>
        <w:rPr>
          <w:spacing w:val="-1"/>
          <w:sz w:val="14"/>
          <w:szCs w:val="14"/>
          <w:lang w:val="es-ES_tradnl"/>
        </w:rPr>
        <w:t>n. No se podr</w:t>
      </w:r>
      <w:r>
        <w:rPr>
          <w:rFonts w:cs="Times New Roman"/>
          <w:spacing w:val="-1"/>
          <w:sz w:val="14"/>
          <w:szCs w:val="14"/>
          <w:lang w:val="es-ES_tradnl"/>
        </w:rPr>
        <w:t>á</w:t>
      </w:r>
      <w:r>
        <w:rPr>
          <w:spacing w:val="-1"/>
          <w:sz w:val="14"/>
          <w:szCs w:val="14"/>
          <w:lang w:val="es-ES_tradnl"/>
        </w:rPr>
        <w:t xml:space="preserve"> exigir formalidades no </w:t>
      </w:r>
      <w:r>
        <w:rPr>
          <w:spacing w:val="-3"/>
          <w:sz w:val="14"/>
          <w:szCs w:val="14"/>
          <w:lang w:val="es-ES_tradnl"/>
        </w:rPr>
        <w:t xml:space="preserve">establecidas en la ley para impedir o dificultar el ejercicio del derecho </w:t>
      </w:r>
      <w:r>
        <w:rPr>
          <w:sz w:val="14"/>
          <w:szCs w:val="14"/>
          <w:lang w:val="es-ES_tradnl"/>
        </w:rPr>
        <w:t>de los abogados al libre patrocinio en causa</w:t>
      </w:r>
      <w:r>
        <w:rPr>
          <w:rFonts w:cs="Times New Roman"/>
          <w:sz w:val="14"/>
          <w:szCs w:val="14"/>
          <w:lang w:val="es-ES_tradnl"/>
        </w:rPr>
        <w:t>”</w:t>
      </w:r>
      <w:r>
        <w:rPr>
          <w:sz w:val="14"/>
          <w:szCs w:val="14"/>
          <w:lang w:val="es-ES_tradnl"/>
        </w:rPr>
        <w:t>.</w:t>
      </w:r>
    </w:p>
    <w:p w14:paraId="4F67AB96" w14:textId="77777777" w:rsidR="00591D54" w:rsidRDefault="00591D54">
      <w:pPr>
        <w:shd w:val="clear" w:color="auto" w:fill="FFFFFF"/>
        <w:spacing w:line="230" w:lineRule="exact"/>
        <w:jc w:val="both"/>
      </w:pPr>
      <w:r>
        <w:br w:type="column"/>
      </w:r>
      <w:r>
        <w:rPr>
          <w:spacing w:val="-7"/>
          <w:sz w:val="18"/>
          <w:szCs w:val="18"/>
          <w:lang w:val="es-ES_tradnl"/>
        </w:rPr>
        <w:t>evidentemente produjo una vulneraci</w:t>
      </w:r>
      <w:r>
        <w:rPr>
          <w:rFonts w:cs="Times New Roman"/>
          <w:spacing w:val="-7"/>
          <w:sz w:val="18"/>
          <w:szCs w:val="18"/>
          <w:lang w:val="es-ES_tradnl"/>
        </w:rPr>
        <w:t>ó</w:t>
      </w:r>
      <w:r>
        <w:rPr>
          <w:spacing w:val="-7"/>
          <w:sz w:val="18"/>
          <w:szCs w:val="18"/>
          <w:lang w:val="es-ES_tradnl"/>
        </w:rPr>
        <w:t>n del derecho a la seguridad jur</w:t>
      </w:r>
      <w:r>
        <w:rPr>
          <w:rFonts w:cs="Times New Roman"/>
          <w:spacing w:val="-7"/>
          <w:sz w:val="18"/>
          <w:szCs w:val="18"/>
          <w:lang w:val="es-ES_tradnl"/>
        </w:rPr>
        <w:t>í</w:t>
      </w:r>
      <w:r>
        <w:rPr>
          <w:spacing w:val="-7"/>
          <w:sz w:val="18"/>
          <w:szCs w:val="18"/>
          <w:lang w:val="es-ES_tradnl"/>
        </w:rPr>
        <w:t xml:space="preserve">dica porque los operadores de justicia se </w:t>
      </w:r>
      <w:r>
        <w:rPr>
          <w:spacing w:val="-9"/>
          <w:sz w:val="18"/>
          <w:szCs w:val="18"/>
          <w:lang w:val="es-ES_tradnl"/>
        </w:rPr>
        <w:t xml:space="preserve">privaron de aplicar adecuadamente una norma clara, previa </w:t>
      </w:r>
      <w:r>
        <w:rPr>
          <w:spacing w:val="-6"/>
          <w:sz w:val="18"/>
          <w:szCs w:val="18"/>
          <w:lang w:val="es-ES_tradnl"/>
        </w:rPr>
        <w:t>y p</w:t>
      </w:r>
      <w:r>
        <w:rPr>
          <w:rFonts w:cs="Times New Roman"/>
          <w:spacing w:val="-6"/>
          <w:sz w:val="18"/>
          <w:szCs w:val="18"/>
          <w:lang w:val="es-ES_tradnl"/>
        </w:rPr>
        <w:t>ú</w:t>
      </w:r>
      <w:r>
        <w:rPr>
          <w:spacing w:val="-6"/>
          <w:sz w:val="18"/>
          <w:szCs w:val="18"/>
          <w:lang w:val="es-ES_tradnl"/>
        </w:rPr>
        <w:t xml:space="preserve">blica que garantice como fin </w:t>
      </w:r>
      <w:r>
        <w:rPr>
          <w:rFonts w:cs="Times New Roman"/>
          <w:spacing w:val="-6"/>
          <w:sz w:val="18"/>
          <w:szCs w:val="18"/>
          <w:lang w:val="es-ES_tradnl"/>
        </w:rPr>
        <w:t>ú</w:t>
      </w:r>
      <w:r>
        <w:rPr>
          <w:spacing w:val="-6"/>
          <w:sz w:val="18"/>
          <w:szCs w:val="18"/>
          <w:lang w:val="es-ES_tradnl"/>
        </w:rPr>
        <w:t xml:space="preserve">ltimo que los derechos </w:t>
      </w:r>
      <w:r>
        <w:rPr>
          <w:spacing w:val="-9"/>
          <w:sz w:val="18"/>
          <w:szCs w:val="18"/>
          <w:lang w:val="es-ES_tradnl"/>
        </w:rPr>
        <w:t>constitucionales se tutelen adecuadamente.</w:t>
      </w:r>
    </w:p>
    <w:p w14:paraId="4F67AB97" w14:textId="77777777" w:rsidR="00591D54" w:rsidRDefault="00591D54">
      <w:pPr>
        <w:shd w:val="clear" w:color="auto" w:fill="FFFFFF"/>
        <w:spacing w:before="206" w:line="230" w:lineRule="exact"/>
        <w:jc w:val="both"/>
      </w:pPr>
      <w:r>
        <w:rPr>
          <w:spacing w:val="-6"/>
          <w:sz w:val="18"/>
          <w:szCs w:val="18"/>
          <w:lang w:val="es-ES_tradnl"/>
        </w:rPr>
        <w:t xml:space="preserve">Adicionalmente, los operadores de justicia, al inadmitir el </w:t>
      </w:r>
      <w:r>
        <w:rPr>
          <w:spacing w:val="-3"/>
          <w:sz w:val="18"/>
          <w:szCs w:val="18"/>
          <w:lang w:val="es-ES_tradnl"/>
        </w:rPr>
        <w:t>recurso de casaci</w:t>
      </w:r>
      <w:r>
        <w:rPr>
          <w:rFonts w:cs="Times New Roman"/>
          <w:spacing w:val="-3"/>
          <w:sz w:val="18"/>
          <w:szCs w:val="18"/>
          <w:lang w:val="es-ES_tradnl"/>
        </w:rPr>
        <w:t>ó</w:t>
      </w:r>
      <w:r>
        <w:rPr>
          <w:spacing w:val="-3"/>
          <w:sz w:val="18"/>
          <w:szCs w:val="18"/>
          <w:lang w:val="es-ES_tradnl"/>
        </w:rPr>
        <w:t>n, producto de la aplicaci</w:t>
      </w:r>
      <w:r>
        <w:rPr>
          <w:rFonts w:cs="Times New Roman"/>
          <w:spacing w:val="-3"/>
          <w:sz w:val="18"/>
          <w:szCs w:val="18"/>
          <w:lang w:val="es-ES_tradnl"/>
        </w:rPr>
        <w:t>ó</w:t>
      </w:r>
      <w:r>
        <w:rPr>
          <w:spacing w:val="-3"/>
          <w:sz w:val="18"/>
          <w:szCs w:val="18"/>
          <w:lang w:val="es-ES_tradnl"/>
        </w:rPr>
        <w:t xml:space="preserve">n arbitraria </w:t>
      </w:r>
      <w:r>
        <w:rPr>
          <w:spacing w:val="-1"/>
          <w:sz w:val="18"/>
          <w:szCs w:val="18"/>
          <w:lang w:val="es-ES_tradnl"/>
        </w:rPr>
        <w:t xml:space="preserve">y desproporcionada de la norma legal, impidieron que </w:t>
      </w:r>
      <w:r>
        <w:rPr>
          <w:spacing w:val="-4"/>
          <w:sz w:val="18"/>
          <w:szCs w:val="18"/>
          <w:lang w:val="es-ES_tradnl"/>
        </w:rPr>
        <w:t>se cumpliere con lo dispuesto por el art</w:t>
      </w:r>
      <w:r>
        <w:rPr>
          <w:rFonts w:cs="Times New Roman"/>
          <w:spacing w:val="-4"/>
          <w:sz w:val="18"/>
          <w:szCs w:val="18"/>
          <w:lang w:val="es-ES_tradnl"/>
        </w:rPr>
        <w:t>í</w:t>
      </w:r>
      <w:r>
        <w:rPr>
          <w:spacing w:val="-4"/>
          <w:sz w:val="18"/>
          <w:szCs w:val="18"/>
          <w:lang w:val="es-ES_tradnl"/>
        </w:rPr>
        <w:t>culo 8 de la Ley de Casaci</w:t>
      </w:r>
      <w:r>
        <w:rPr>
          <w:rFonts w:cs="Times New Roman"/>
          <w:spacing w:val="-4"/>
          <w:sz w:val="18"/>
          <w:szCs w:val="18"/>
          <w:lang w:val="es-ES_tradnl"/>
        </w:rPr>
        <w:t>ó</w:t>
      </w:r>
      <w:r>
        <w:rPr>
          <w:spacing w:val="-4"/>
          <w:sz w:val="18"/>
          <w:szCs w:val="18"/>
          <w:lang w:val="es-ES_tradnl"/>
        </w:rPr>
        <w:t xml:space="preserve">n que faculta a la Corte Nacional de Justica para que una vez recibido el proceso judicial examinare </w:t>
      </w:r>
      <w:r>
        <w:rPr>
          <w:spacing w:val="-7"/>
          <w:sz w:val="18"/>
          <w:szCs w:val="18"/>
          <w:lang w:val="es-ES_tradnl"/>
        </w:rPr>
        <w:t>si el recurso de casaci</w:t>
      </w:r>
      <w:r>
        <w:rPr>
          <w:rFonts w:cs="Times New Roman"/>
          <w:spacing w:val="-7"/>
          <w:sz w:val="18"/>
          <w:szCs w:val="18"/>
          <w:lang w:val="es-ES_tradnl"/>
        </w:rPr>
        <w:t>ó</w:t>
      </w:r>
      <w:r>
        <w:rPr>
          <w:spacing w:val="-7"/>
          <w:sz w:val="18"/>
          <w:szCs w:val="18"/>
          <w:lang w:val="es-ES_tradnl"/>
        </w:rPr>
        <w:t xml:space="preserve">n fue debidamente concedido, de </w:t>
      </w:r>
      <w:r>
        <w:rPr>
          <w:spacing w:val="-6"/>
          <w:sz w:val="18"/>
          <w:szCs w:val="18"/>
          <w:lang w:val="es-ES_tradnl"/>
        </w:rPr>
        <w:t>conformidad con lo dispuesto en el art</w:t>
      </w:r>
      <w:r>
        <w:rPr>
          <w:rFonts w:cs="Times New Roman"/>
          <w:spacing w:val="-6"/>
          <w:sz w:val="18"/>
          <w:szCs w:val="18"/>
          <w:lang w:val="es-ES_tradnl"/>
        </w:rPr>
        <w:t>í</w:t>
      </w:r>
      <w:r>
        <w:rPr>
          <w:spacing w:val="-6"/>
          <w:sz w:val="18"/>
          <w:szCs w:val="18"/>
          <w:lang w:val="es-ES_tradnl"/>
        </w:rPr>
        <w:t>culo 7 ib</w:t>
      </w:r>
      <w:r>
        <w:rPr>
          <w:rFonts w:cs="Times New Roman"/>
          <w:spacing w:val="-6"/>
          <w:sz w:val="18"/>
          <w:szCs w:val="18"/>
          <w:lang w:val="es-ES_tradnl"/>
        </w:rPr>
        <w:t>í</w:t>
      </w:r>
      <w:r>
        <w:rPr>
          <w:spacing w:val="-6"/>
          <w:sz w:val="18"/>
          <w:szCs w:val="18"/>
          <w:lang w:val="es-ES_tradnl"/>
        </w:rPr>
        <w:t xml:space="preserve">dem, para </w:t>
      </w:r>
      <w:r>
        <w:rPr>
          <w:spacing w:val="-8"/>
          <w:sz w:val="18"/>
          <w:szCs w:val="18"/>
          <w:lang w:val="es-ES_tradnl"/>
        </w:rPr>
        <w:t>declarar su admisi</w:t>
      </w:r>
      <w:r>
        <w:rPr>
          <w:rFonts w:cs="Times New Roman"/>
          <w:spacing w:val="-8"/>
          <w:sz w:val="18"/>
          <w:szCs w:val="18"/>
          <w:lang w:val="es-ES_tradnl"/>
        </w:rPr>
        <w:t>ó</w:t>
      </w:r>
      <w:r>
        <w:rPr>
          <w:spacing w:val="-8"/>
          <w:sz w:val="18"/>
          <w:szCs w:val="18"/>
          <w:lang w:val="es-ES_tradnl"/>
        </w:rPr>
        <w:t>n o denegaci</w:t>
      </w:r>
      <w:r>
        <w:rPr>
          <w:rFonts w:cs="Times New Roman"/>
          <w:spacing w:val="-8"/>
          <w:sz w:val="18"/>
          <w:szCs w:val="18"/>
          <w:lang w:val="es-ES_tradnl"/>
        </w:rPr>
        <w:t>ó</w:t>
      </w:r>
      <w:r>
        <w:rPr>
          <w:spacing w:val="-8"/>
          <w:sz w:val="18"/>
          <w:szCs w:val="18"/>
          <w:lang w:val="es-ES_tradnl"/>
        </w:rPr>
        <w:t>n. Por ello, no se gener</w:t>
      </w:r>
      <w:r>
        <w:rPr>
          <w:rFonts w:cs="Times New Roman"/>
          <w:spacing w:val="-8"/>
          <w:sz w:val="18"/>
          <w:szCs w:val="18"/>
          <w:lang w:val="es-ES_tradnl"/>
        </w:rPr>
        <w:t xml:space="preserve">ó </w:t>
      </w:r>
      <w:r>
        <w:rPr>
          <w:spacing w:val="-7"/>
          <w:sz w:val="18"/>
          <w:szCs w:val="18"/>
          <w:lang w:val="es-ES_tradnl"/>
        </w:rPr>
        <w:t>una percepci</w:t>
      </w:r>
      <w:r>
        <w:rPr>
          <w:rFonts w:cs="Times New Roman"/>
          <w:spacing w:val="-7"/>
          <w:sz w:val="18"/>
          <w:szCs w:val="18"/>
          <w:lang w:val="es-ES_tradnl"/>
        </w:rPr>
        <w:t>ó</w:t>
      </w:r>
      <w:r>
        <w:rPr>
          <w:spacing w:val="-7"/>
          <w:sz w:val="18"/>
          <w:szCs w:val="18"/>
          <w:lang w:val="es-ES_tradnl"/>
        </w:rPr>
        <w:t xml:space="preserve">n racional de coherencia y certeza entre la </w:t>
      </w:r>
      <w:r>
        <w:rPr>
          <w:spacing w:val="-11"/>
          <w:sz w:val="18"/>
          <w:szCs w:val="18"/>
          <w:lang w:val="es-ES_tradnl"/>
        </w:rPr>
        <w:t>norma que est</w:t>
      </w:r>
      <w:r>
        <w:rPr>
          <w:rFonts w:cs="Times New Roman"/>
          <w:spacing w:val="-11"/>
          <w:sz w:val="18"/>
          <w:szCs w:val="18"/>
          <w:lang w:val="es-ES_tradnl"/>
        </w:rPr>
        <w:t>á</w:t>
      </w:r>
      <w:r>
        <w:rPr>
          <w:spacing w:val="-11"/>
          <w:sz w:val="18"/>
          <w:szCs w:val="18"/>
          <w:lang w:val="es-ES_tradnl"/>
        </w:rPr>
        <w:t xml:space="preserve"> regulada por la ley, con lo que efectivamente </w:t>
      </w:r>
      <w:r>
        <w:rPr>
          <w:spacing w:val="-7"/>
          <w:sz w:val="18"/>
          <w:szCs w:val="18"/>
          <w:lang w:val="es-ES_tradnl"/>
        </w:rPr>
        <w:t>se cumple en la realidad material a trav</w:t>
      </w:r>
      <w:r>
        <w:rPr>
          <w:rFonts w:cs="Times New Roman"/>
          <w:spacing w:val="-7"/>
          <w:sz w:val="18"/>
          <w:szCs w:val="18"/>
          <w:lang w:val="es-ES_tradnl"/>
        </w:rPr>
        <w:t>é</w:t>
      </w:r>
      <w:r>
        <w:rPr>
          <w:spacing w:val="-7"/>
          <w:sz w:val="18"/>
          <w:szCs w:val="18"/>
          <w:lang w:val="es-ES_tradnl"/>
        </w:rPr>
        <w:t xml:space="preserve">s de la normativa </w:t>
      </w:r>
      <w:r>
        <w:rPr>
          <w:spacing w:val="-8"/>
          <w:sz w:val="18"/>
          <w:szCs w:val="18"/>
          <w:lang w:val="es-ES_tradnl"/>
        </w:rPr>
        <w:t>aplicable al caso concreto. As</w:t>
      </w:r>
      <w:r>
        <w:rPr>
          <w:rFonts w:cs="Times New Roman"/>
          <w:spacing w:val="-8"/>
          <w:sz w:val="18"/>
          <w:szCs w:val="18"/>
          <w:lang w:val="es-ES_tradnl"/>
        </w:rPr>
        <w:t>í</w:t>
      </w:r>
      <w:r>
        <w:rPr>
          <w:spacing w:val="-8"/>
          <w:sz w:val="18"/>
          <w:szCs w:val="18"/>
          <w:lang w:val="es-ES_tradnl"/>
        </w:rPr>
        <w:t xml:space="preserve"> tambi</w:t>
      </w:r>
      <w:r>
        <w:rPr>
          <w:rFonts w:cs="Times New Roman"/>
          <w:spacing w:val="-8"/>
          <w:sz w:val="18"/>
          <w:szCs w:val="18"/>
          <w:lang w:val="es-ES_tradnl"/>
        </w:rPr>
        <w:t>é</w:t>
      </w:r>
      <w:r>
        <w:rPr>
          <w:spacing w:val="-8"/>
          <w:sz w:val="18"/>
          <w:szCs w:val="18"/>
          <w:lang w:val="es-ES_tradnl"/>
        </w:rPr>
        <w:t>n, se desnaturaliz</w:t>
      </w:r>
      <w:r>
        <w:rPr>
          <w:rFonts w:cs="Times New Roman"/>
          <w:spacing w:val="-8"/>
          <w:sz w:val="18"/>
          <w:szCs w:val="18"/>
          <w:lang w:val="es-ES_tradnl"/>
        </w:rPr>
        <w:t>ó</w:t>
      </w:r>
      <w:r>
        <w:rPr>
          <w:spacing w:val="-8"/>
          <w:sz w:val="18"/>
          <w:szCs w:val="18"/>
          <w:lang w:val="es-ES_tradnl"/>
        </w:rPr>
        <w:t xml:space="preserve"> la esencia del recurso de casaci</w:t>
      </w:r>
      <w:r>
        <w:rPr>
          <w:rFonts w:cs="Times New Roman"/>
          <w:spacing w:val="-8"/>
          <w:sz w:val="18"/>
          <w:szCs w:val="18"/>
          <w:lang w:val="es-ES_tradnl"/>
        </w:rPr>
        <w:t>ó</w:t>
      </w:r>
      <w:r>
        <w:rPr>
          <w:spacing w:val="-8"/>
          <w:sz w:val="18"/>
          <w:szCs w:val="18"/>
          <w:lang w:val="es-ES_tradnl"/>
        </w:rPr>
        <w:t>n que, tal como se indic</w:t>
      </w:r>
      <w:r>
        <w:rPr>
          <w:rFonts w:cs="Times New Roman"/>
          <w:spacing w:val="-8"/>
          <w:sz w:val="18"/>
          <w:szCs w:val="18"/>
          <w:lang w:val="es-ES_tradnl"/>
        </w:rPr>
        <w:t>ó</w:t>
      </w:r>
      <w:r>
        <w:rPr>
          <w:spacing w:val="-8"/>
          <w:sz w:val="18"/>
          <w:szCs w:val="18"/>
          <w:lang w:val="es-ES_tradnl"/>
        </w:rPr>
        <w:t xml:space="preserve"> en </w:t>
      </w:r>
      <w:r>
        <w:rPr>
          <w:spacing w:val="-6"/>
          <w:sz w:val="18"/>
          <w:szCs w:val="18"/>
          <w:lang w:val="es-ES_tradnl"/>
        </w:rPr>
        <w:t>el problema jur</w:t>
      </w:r>
      <w:r>
        <w:rPr>
          <w:rFonts w:cs="Times New Roman"/>
          <w:spacing w:val="-6"/>
          <w:sz w:val="18"/>
          <w:szCs w:val="18"/>
          <w:lang w:val="es-ES_tradnl"/>
        </w:rPr>
        <w:t>í</w:t>
      </w:r>
      <w:r>
        <w:rPr>
          <w:spacing w:val="-6"/>
          <w:sz w:val="18"/>
          <w:szCs w:val="18"/>
          <w:lang w:val="es-ES_tradnl"/>
        </w:rPr>
        <w:t xml:space="preserve">dico anterior, es un recurso de naturaleza extraordinaria que no constituye una nueva instancia de </w:t>
      </w:r>
      <w:r>
        <w:rPr>
          <w:spacing w:val="-5"/>
          <w:sz w:val="18"/>
          <w:szCs w:val="18"/>
          <w:lang w:val="es-ES_tradnl"/>
        </w:rPr>
        <w:t>discusi</w:t>
      </w:r>
      <w:r>
        <w:rPr>
          <w:rFonts w:cs="Times New Roman"/>
          <w:spacing w:val="-5"/>
          <w:sz w:val="18"/>
          <w:szCs w:val="18"/>
          <w:lang w:val="es-ES_tradnl"/>
        </w:rPr>
        <w:t>ó</w:t>
      </w:r>
      <w:r>
        <w:rPr>
          <w:spacing w:val="-5"/>
          <w:sz w:val="18"/>
          <w:szCs w:val="18"/>
          <w:lang w:val="es-ES_tradnl"/>
        </w:rPr>
        <w:t>n sobre alegaciones de orden f</w:t>
      </w:r>
      <w:r>
        <w:rPr>
          <w:rFonts w:cs="Times New Roman"/>
          <w:spacing w:val="-5"/>
          <w:sz w:val="18"/>
          <w:szCs w:val="18"/>
          <w:lang w:val="es-ES_tradnl"/>
        </w:rPr>
        <w:t>á</w:t>
      </w:r>
      <w:r>
        <w:rPr>
          <w:spacing w:val="-5"/>
          <w:sz w:val="18"/>
          <w:szCs w:val="18"/>
          <w:lang w:val="es-ES_tradnl"/>
        </w:rPr>
        <w:t xml:space="preserve">ctico, sino un </w:t>
      </w:r>
      <w:r>
        <w:rPr>
          <w:spacing w:val="-6"/>
          <w:sz w:val="18"/>
          <w:szCs w:val="18"/>
          <w:lang w:val="es-ES_tradnl"/>
        </w:rPr>
        <w:t>examen sobre la prolijidad en la aplicaci</w:t>
      </w:r>
      <w:r>
        <w:rPr>
          <w:rFonts w:cs="Times New Roman"/>
          <w:spacing w:val="-6"/>
          <w:sz w:val="18"/>
          <w:szCs w:val="18"/>
          <w:lang w:val="es-ES_tradnl"/>
        </w:rPr>
        <w:t>ó</w:t>
      </w:r>
      <w:r>
        <w:rPr>
          <w:spacing w:val="-6"/>
          <w:sz w:val="18"/>
          <w:szCs w:val="18"/>
          <w:lang w:val="es-ES_tradnl"/>
        </w:rPr>
        <w:t xml:space="preserve">n de las normas </w:t>
      </w:r>
      <w:r>
        <w:rPr>
          <w:spacing w:val="-8"/>
          <w:sz w:val="18"/>
          <w:szCs w:val="18"/>
          <w:lang w:val="es-ES_tradnl"/>
        </w:rPr>
        <w:t>jur</w:t>
      </w:r>
      <w:r>
        <w:rPr>
          <w:rFonts w:cs="Times New Roman"/>
          <w:spacing w:val="-8"/>
          <w:sz w:val="18"/>
          <w:szCs w:val="18"/>
          <w:lang w:val="es-ES_tradnl"/>
        </w:rPr>
        <w:t>í</w:t>
      </w:r>
      <w:r>
        <w:rPr>
          <w:spacing w:val="-8"/>
          <w:sz w:val="18"/>
          <w:szCs w:val="18"/>
          <w:lang w:val="es-ES_tradnl"/>
        </w:rPr>
        <w:t>dicas que pusieren fin a un proceso de conocimiento.</w:t>
      </w:r>
    </w:p>
    <w:p w14:paraId="4F67AB98" w14:textId="77777777" w:rsidR="00591D54" w:rsidRDefault="00591D54">
      <w:pPr>
        <w:shd w:val="clear" w:color="auto" w:fill="FFFFFF"/>
        <w:spacing w:before="206" w:line="230" w:lineRule="exact"/>
        <w:jc w:val="both"/>
      </w:pPr>
      <w:r>
        <w:rPr>
          <w:spacing w:val="-5"/>
          <w:sz w:val="18"/>
          <w:szCs w:val="18"/>
          <w:lang w:val="es-ES_tradnl"/>
        </w:rPr>
        <w:t xml:space="preserve">Por todo lo anterior, la Corte Constitucional concluye que </w:t>
      </w:r>
      <w:r>
        <w:rPr>
          <w:spacing w:val="-4"/>
          <w:sz w:val="18"/>
          <w:szCs w:val="18"/>
          <w:lang w:val="es-ES_tradnl"/>
        </w:rPr>
        <w:t>la decisi</w:t>
      </w:r>
      <w:r>
        <w:rPr>
          <w:rFonts w:cs="Times New Roman"/>
          <w:spacing w:val="-4"/>
          <w:sz w:val="18"/>
          <w:szCs w:val="18"/>
          <w:lang w:val="es-ES_tradnl"/>
        </w:rPr>
        <w:t>ó</w:t>
      </w:r>
      <w:r>
        <w:rPr>
          <w:spacing w:val="-4"/>
          <w:sz w:val="18"/>
          <w:szCs w:val="18"/>
          <w:lang w:val="es-ES_tradnl"/>
        </w:rPr>
        <w:t xml:space="preserve">n judicial dictada el 12 de febrero de 2014, por </w:t>
      </w:r>
      <w:r>
        <w:rPr>
          <w:spacing w:val="-6"/>
          <w:sz w:val="18"/>
          <w:szCs w:val="18"/>
          <w:lang w:val="es-ES_tradnl"/>
        </w:rPr>
        <w:t xml:space="preserve">la Sala </w:t>
      </w:r>
      <w:r>
        <w:rPr>
          <w:rFonts w:cs="Times New Roman"/>
          <w:spacing w:val="-6"/>
          <w:sz w:val="18"/>
          <w:szCs w:val="18"/>
          <w:lang w:val="es-ES_tradnl"/>
        </w:rPr>
        <w:t>Ú</w:t>
      </w:r>
      <w:r>
        <w:rPr>
          <w:spacing w:val="-6"/>
          <w:sz w:val="18"/>
          <w:szCs w:val="18"/>
          <w:lang w:val="es-ES_tradnl"/>
        </w:rPr>
        <w:t xml:space="preserve">nica de la Corte Provincial de Justicia de Santo </w:t>
      </w:r>
      <w:r>
        <w:rPr>
          <w:spacing w:val="-2"/>
          <w:sz w:val="18"/>
          <w:szCs w:val="18"/>
          <w:lang w:val="es-ES_tradnl"/>
        </w:rPr>
        <w:t>Domingo de los Ts</w:t>
      </w:r>
      <w:r>
        <w:rPr>
          <w:rFonts w:cs="Times New Roman"/>
          <w:spacing w:val="-2"/>
          <w:sz w:val="18"/>
          <w:szCs w:val="18"/>
          <w:lang w:val="es-ES_tradnl"/>
        </w:rPr>
        <w:t>á</w:t>
      </w:r>
      <w:r>
        <w:rPr>
          <w:spacing w:val="-2"/>
          <w:sz w:val="18"/>
          <w:szCs w:val="18"/>
          <w:lang w:val="es-ES_tradnl"/>
        </w:rPr>
        <w:t xml:space="preserve">chilas produjo una falta de certeza </w:t>
      </w:r>
      <w:r>
        <w:rPr>
          <w:spacing w:val="-7"/>
          <w:sz w:val="18"/>
          <w:szCs w:val="18"/>
          <w:lang w:val="es-ES_tradnl"/>
        </w:rPr>
        <w:t>en la aplicaci</w:t>
      </w:r>
      <w:r>
        <w:rPr>
          <w:rFonts w:cs="Times New Roman"/>
          <w:spacing w:val="-7"/>
          <w:sz w:val="18"/>
          <w:szCs w:val="18"/>
          <w:lang w:val="es-ES_tradnl"/>
        </w:rPr>
        <w:t>ó</w:t>
      </w:r>
      <w:r>
        <w:rPr>
          <w:spacing w:val="-7"/>
          <w:sz w:val="18"/>
          <w:szCs w:val="18"/>
          <w:lang w:val="es-ES_tradnl"/>
        </w:rPr>
        <w:t xml:space="preserve">n debida de la norma y de las situaciones </w:t>
      </w:r>
      <w:r>
        <w:rPr>
          <w:spacing w:val="-6"/>
          <w:sz w:val="18"/>
          <w:szCs w:val="18"/>
          <w:lang w:val="es-ES_tradnl"/>
        </w:rPr>
        <w:t>jur</w:t>
      </w:r>
      <w:r>
        <w:rPr>
          <w:rFonts w:cs="Times New Roman"/>
          <w:spacing w:val="-6"/>
          <w:sz w:val="18"/>
          <w:szCs w:val="18"/>
          <w:lang w:val="es-ES_tradnl"/>
        </w:rPr>
        <w:t>í</w:t>
      </w:r>
      <w:r>
        <w:rPr>
          <w:spacing w:val="-6"/>
          <w:sz w:val="18"/>
          <w:szCs w:val="18"/>
          <w:lang w:val="es-ES_tradnl"/>
        </w:rPr>
        <w:t>dicas que en ella se definen, que vulner</w:t>
      </w:r>
      <w:r>
        <w:rPr>
          <w:rFonts w:cs="Times New Roman"/>
          <w:spacing w:val="-6"/>
          <w:sz w:val="18"/>
          <w:szCs w:val="18"/>
          <w:lang w:val="es-ES_tradnl"/>
        </w:rPr>
        <w:t>ó</w:t>
      </w:r>
      <w:r>
        <w:rPr>
          <w:spacing w:val="-6"/>
          <w:sz w:val="18"/>
          <w:szCs w:val="18"/>
          <w:lang w:val="es-ES_tradnl"/>
        </w:rPr>
        <w:t xml:space="preserve"> el derecho </w:t>
      </w:r>
      <w:r>
        <w:rPr>
          <w:spacing w:val="-7"/>
          <w:sz w:val="18"/>
          <w:szCs w:val="18"/>
          <w:lang w:val="es-ES_tradnl"/>
        </w:rPr>
        <w:t>constitucional a la seguridad jur</w:t>
      </w:r>
      <w:r>
        <w:rPr>
          <w:rFonts w:cs="Times New Roman"/>
          <w:spacing w:val="-7"/>
          <w:sz w:val="18"/>
          <w:szCs w:val="18"/>
          <w:lang w:val="es-ES_tradnl"/>
        </w:rPr>
        <w:t>í</w:t>
      </w:r>
      <w:r>
        <w:rPr>
          <w:spacing w:val="-7"/>
          <w:sz w:val="18"/>
          <w:szCs w:val="18"/>
          <w:lang w:val="es-ES_tradnl"/>
        </w:rPr>
        <w:t>dica, previsto en el art</w:t>
      </w:r>
      <w:r>
        <w:rPr>
          <w:rFonts w:cs="Times New Roman"/>
          <w:spacing w:val="-7"/>
          <w:sz w:val="18"/>
          <w:szCs w:val="18"/>
          <w:lang w:val="es-ES_tradnl"/>
        </w:rPr>
        <w:t>í</w:t>
      </w:r>
      <w:r>
        <w:rPr>
          <w:spacing w:val="-7"/>
          <w:sz w:val="18"/>
          <w:szCs w:val="18"/>
          <w:lang w:val="es-ES_tradnl"/>
        </w:rPr>
        <w:t xml:space="preserve">culo </w:t>
      </w:r>
      <w:r>
        <w:rPr>
          <w:sz w:val="18"/>
          <w:szCs w:val="18"/>
          <w:lang w:val="es-ES_tradnl"/>
        </w:rPr>
        <w:t>82 de 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AB99" w14:textId="77777777" w:rsidR="00591D54" w:rsidRDefault="00591D54">
      <w:pPr>
        <w:shd w:val="clear" w:color="auto" w:fill="FFFFFF"/>
        <w:spacing w:before="211"/>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AB9A" w14:textId="77777777" w:rsidR="00591D54" w:rsidRDefault="00591D54">
      <w:pPr>
        <w:shd w:val="clear" w:color="auto" w:fill="FFFFFF"/>
        <w:spacing w:before="206" w:line="230" w:lineRule="exact"/>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5"/>
          <w:sz w:val="18"/>
          <w:szCs w:val="18"/>
          <w:lang w:val="es-ES_tradnl"/>
        </w:rPr>
        <w:t>constitucional y por mandato de la Constituci</w:t>
      </w:r>
      <w:r>
        <w:rPr>
          <w:rFonts w:cs="Times New Roman"/>
          <w:spacing w:val="-5"/>
          <w:sz w:val="18"/>
          <w:szCs w:val="18"/>
          <w:lang w:val="es-ES_tradnl"/>
        </w:rPr>
        <w:t>ó</w:t>
      </w:r>
      <w:r>
        <w:rPr>
          <w:spacing w:val="-5"/>
          <w:sz w:val="18"/>
          <w:szCs w:val="18"/>
          <w:lang w:val="es-ES_tradnl"/>
        </w:rPr>
        <w:t xml:space="preserve">n de la </w:t>
      </w:r>
      <w:r>
        <w:rPr>
          <w:spacing w:val="-8"/>
          <w:sz w:val="18"/>
          <w:szCs w:val="18"/>
          <w:lang w:val="es-ES_tradnl"/>
        </w:rPr>
        <w:t>Rep</w:t>
      </w:r>
      <w:r>
        <w:rPr>
          <w:rFonts w:cs="Times New Roman"/>
          <w:spacing w:val="-8"/>
          <w:sz w:val="18"/>
          <w:szCs w:val="18"/>
          <w:lang w:val="es-ES_tradnl"/>
        </w:rPr>
        <w:t>ú</w:t>
      </w:r>
      <w:r>
        <w:rPr>
          <w:spacing w:val="-8"/>
          <w:sz w:val="18"/>
          <w:szCs w:val="18"/>
          <w:lang w:val="es-ES_tradnl"/>
        </w:rPr>
        <w:t xml:space="preserve">blica, el Pleno de la Corte Constitucional del Ecuador, </w:t>
      </w:r>
      <w:r>
        <w:rPr>
          <w:sz w:val="18"/>
          <w:szCs w:val="18"/>
          <w:lang w:val="es-ES_tradnl"/>
        </w:rPr>
        <w:t>expide la siguiente:</w:t>
      </w:r>
    </w:p>
    <w:p w14:paraId="4F67AB9B" w14:textId="77777777" w:rsidR="00591D54" w:rsidRDefault="00591D54">
      <w:pPr>
        <w:shd w:val="clear" w:color="auto" w:fill="FFFFFF"/>
        <w:spacing w:before="206"/>
        <w:ind w:left="10"/>
        <w:jc w:val="center"/>
      </w:pPr>
      <w:r>
        <w:rPr>
          <w:b/>
          <w:bCs/>
          <w:sz w:val="18"/>
          <w:szCs w:val="18"/>
          <w:lang w:val="es-ES_tradnl"/>
        </w:rPr>
        <w:t>SENTENCIA</w:t>
      </w:r>
    </w:p>
    <w:p w14:paraId="4F67AB9C" w14:textId="77777777" w:rsidR="00591D54" w:rsidRDefault="00591D54" w:rsidP="00251195">
      <w:pPr>
        <w:numPr>
          <w:ilvl w:val="0"/>
          <w:numId w:val="52"/>
        </w:numPr>
        <w:shd w:val="clear" w:color="auto" w:fill="FFFFFF"/>
        <w:tabs>
          <w:tab w:val="left" w:pos="566"/>
        </w:tabs>
        <w:spacing w:before="202" w:line="235" w:lineRule="exact"/>
        <w:ind w:left="566" w:hanging="283"/>
        <w:jc w:val="both"/>
        <w:rPr>
          <w:spacing w:val="-9"/>
          <w:sz w:val="18"/>
          <w:szCs w:val="18"/>
          <w:lang w:val="es-ES_tradnl"/>
        </w:rPr>
      </w:pPr>
      <w:r>
        <w:rPr>
          <w:sz w:val="18"/>
          <w:szCs w:val="18"/>
          <w:lang w:val="es-ES_tradnl"/>
        </w:rPr>
        <w:t>Declarar la vulneraci</w:t>
      </w:r>
      <w:r>
        <w:rPr>
          <w:rFonts w:cs="Times New Roman"/>
          <w:sz w:val="18"/>
          <w:szCs w:val="18"/>
          <w:lang w:val="es-ES_tradnl"/>
        </w:rPr>
        <w:t>ó</w:t>
      </w:r>
      <w:r>
        <w:rPr>
          <w:sz w:val="18"/>
          <w:szCs w:val="18"/>
          <w:lang w:val="es-ES_tradnl"/>
        </w:rPr>
        <w:t xml:space="preserve">n de los derechos </w:t>
      </w:r>
      <w:r>
        <w:rPr>
          <w:spacing w:val="-5"/>
          <w:sz w:val="18"/>
          <w:szCs w:val="18"/>
          <w:lang w:val="es-ES_tradnl"/>
        </w:rPr>
        <w:t xml:space="preserve">constitucionales a la tutela judicial efectiva y a la </w:t>
      </w:r>
      <w:r>
        <w:rPr>
          <w:sz w:val="18"/>
          <w:szCs w:val="18"/>
          <w:lang w:val="es-ES_tradnl"/>
        </w:rPr>
        <w:t>seguridad jur</w:t>
      </w:r>
      <w:r>
        <w:rPr>
          <w:rFonts w:cs="Times New Roman"/>
          <w:sz w:val="18"/>
          <w:szCs w:val="18"/>
          <w:lang w:val="es-ES_tradnl"/>
        </w:rPr>
        <w:t>í</w:t>
      </w:r>
      <w:r>
        <w:rPr>
          <w:sz w:val="18"/>
          <w:szCs w:val="18"/>
          <w:lang w:val="es-ES_tradnl"/>
        </w:rPr>
        <w:t>dica.</w:t>
      </w:r>
    </w:p>
    <w:p w14:paraId="4F67AB9D" w14:textId="77777777" w:rsidR="00591D54" w:rsidRDefault="00591D54" w:rsidP="00251195">
      <w:pPr>
        <w:numPr>
          <w:ilvl w:val="0"/>
          <w:numId w:val="52"/>
        </w:numPr>
        <w:shd w:val="clear" w:color="auto" w:fill="FFFFFF"/>
        <w:tabs>
          <w:tab w:val="left" w:pos="566"/>
        </w:tabs>
        <w:spacing w:before="211" w:line="230" w:lineRule="exact"/>
        <w:ind w:left="566" w:hanging="283"/>
        <w:jc w:val="both"/>
        <w:rPr>
          <w:spacing w:val="-9"/>
          <w:sz w:val="18"/>
          <w:szCs w:val="18"/>
          <w:lang w:val="es-ES_tradnl"/>
        </w:rPr>
      </w:pPr>
      <w:r>
        <w:rPr>
          <w:spacing w:val="-6"/>
          <w:sz w:val="18"/>
          <w:szCs w:val="18"/>
          <w:lang w:val="es-ES_tradnl"/>
        </w:rPr>
        <w:t>Aceptar la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w:t>
      </w:r>
      <w:r>
        <w:rPr>
          <w:sz w:val="18"/>
          <w:szCs w:val="18"/>
          <w:lang w:val="es-ES_tradnl"/>
        </w:rPr>
        <w:t>presentada.</w:t>
      </w:r>
    </w:p>
    <w:p w14:paraId="4F67AB9E" w14:textId="77777777" w:rsidR="00591D54" w:rsidRDefault="00591D54" w:rsidP="00251195">
      <w:pPr>
        <w:numPr>
          <w:ilvl w:val="0"/>
          <w:numId w:val="52"/>
        </w:numPr>
        <w:shd w:val="clear" w:color="auto" w:fill="FFFFFF"/>
        <w:tabs>
          <w:tab w:val="left" w:pos="566"/>
        </w:tabs>
        <w:spacing w:before="202" w:line="235" w:lineRule="exact"/>
        <w:ind w:left="566" w:hanging="283"/>
        <w:jc w:val="both"/>
        <w:rPr>
          <w:spacing w:val="-9"/>
          <w:sz w:val="18"/>
          <w:szCs w:val="18"/>
          <w:lang w:val="es-ES_tradnl"/>
        </w:rPr>
      </w:pPr>
      <w:r>
        <w:rPr>
          <w:spacing w:val="-9"/>
          <w:sz w:val="18"/>
          <w:szCs w:val="18"/>
          <w:lang w:val="es-ES_tradnl"/>
        </w:rPr>
        <w:t>Como medidas de reparaci</w:t>
      </w:r>
      <w:r>
        <w:rPr>
          <w:rFonts w:cs="Times New Roman"/>
          <w:spacing w:val="-9"/>
          <w:sz w:val="18"/>
          <w:szCs w:val="18"/>
          <w:lang w:val="es-ES_tradnl"/>
        </w:rPr>
        <w:t>ó</w:t>
      </w:r>
      <w:r>
        <w:rPr>
          <w:spacing w:val="-9"/>
          <w:sz w:val="18"/>
          <w:szCs w:val="18"/>
          <w:lang w:val="es-ES_tradnl"/>
        </w:rPr>
        <w:t xml:space="preserve">n integral, se dispone lo </w:t>
      </w:r>
      <w:r>
        <w:rPr>
          <w:sz w:val="18"/>
          <w:szCs w:val="18"/>
          <w:lang w:val="es-ES_tradnl"/>
        </w:rPr>
        <w:t>siguiente:</w:t>
      </w:r>
    </w:p>
    <w:p w14:paraId="4F67AB9F" w14:textId="77777777" w:rsidR="00591D54" w:rsidRDefault="00591D54">
      <w:pPr>
        <w:shd w:val="clear" w:color="auto" w:fill="FFFFFF"/>
        <w:spacing w:before="206" w:line="230" w:lineRule="exact"/>
        <w:ind w:left="850"/>
        <w:jc w:val="both"/>
      </w:pPr>
      <w:r>
        <w:rPr>
          <w:spacing w:val="-7"/>
          <w:sz w:val="18"/>
          <w:szCs w:val="18"/>
          <w:lang w:val="es-ES_tradnl"/>
        </w:rPr>
        <w:t>3.1. Dejar sin efecto la decisi</w:t>
      </w:r>
      <w:r>
        <w:rPr>
          <w:rFonts w:cs="Times New Roman"/>
          <w:spacing w:val="-7"/>
          <w:sz w:val="18"/>
          <w:szCs w:val="18"/>
          <w:lang w:val="es-ES_tradnl"/>
        </w:rPr>
        <w:t>ó</w:t>
      </w:r>
      <w:r>
        <w:rPr>
          <w:spacing w:val="-7"/>
          <w:sz w:val="18"/>
          <w:szCs w:val="18"/>
          <w:lang w:val="es-ES_tradnl"/>
        </w:rPr>
        <w:t xml:space="preserve">n judicial dictada </w:t>
      </w:r>
      <w:r>
        <w:rPr>
          <w:spacing w:val="-9"/>
          <w:sz w:val="18"/>
          <w:szCs w:val="18"/>
          <w:lang w:val="es-ES_tradnl"/>
        </w:rPr>
        <w:t xml:space="preserve">el 12 de febrero de 2014, por la Sala </w:t>
      </w:r>
      <w:r>
        <w:rPr>
          <w:rFonts w:cs="Times New Roman"/>
          <w:spacing w:val="-9"/>
          <w:sz w:val="18"/>
          <w:szCs w:val="18"/>
          <w:lang w:val="es-ES_tradnl"/>
        </w:rPr>
        <w:t>Ú</w:t>
      </w:r>
      <w:r>
        <w:rPr>
          <w:spacing w:val="-9"/>
          <w:sz w:val="18"/>
          <w:szCs w:val="18"/>
          <w:lang w:val="es-ES_tradnl"/>
        </w:rPr>
        <w:t xml:space="preserve">nica de la </w:t>
      </w:r>
      <w:r>
        <w:rPr>
          <w:spacing w:val="-7"/>
          <w:sz w:val="18"/>
          <w:szCs w:val="18"/>
          <w:lang w:val="es-ES_tradnl"/>
        </w:rPr>
        <w:t xml:space="preserve">Corte Provincial de Justicia de Santo Domingo </w:t>
      </w:r>
      <w:r>
        <w:rPr>
          <w:spacing w:val="-4"/>
          <w:sz w:val="18"/>
          <w:szCs w:val="18"/>
          <w:lang w:val="es-ES_tradnl"/>
        </w:rPr>
        <w:t>de los Ts</w:t>
      </w:r>
      <w:r>
        <w:rPr>
          <w:rFonts w:cs="Times New Roman"/>
          <w:spacing w:val="-4"/>
          <w:sz w:val="18"/>
          <w:szCs w:val="18"/>
          <w:lang w:val="es-ES_tradnl"/>
        </w:rPr>
        <w:t>á</w:t>
      </w:r>
      <w:r>
        <w:rPr>
          <w:spacing w:val="-4"/>
          <w:sz w:val="18"/>
          <w:szCs w:val="18"/>
          <w:lang w:val="es-ES_tradnl"/>
        </w:rPr>
        <w:t>chilas, en el juicio ordinario N.</w:t>
      </w:r>
      <w:r>
        <w:rPr>
          <w:rFonts w:cs="Times New Roman"/>
          <w:spacing w:val="-4"/>
          <w:sz w:val="18"/>
          <w:szCs w:val="18"/>
          <w:lang w:val="es-ES_tradnl"/>
        </w:rPr>
        <w:t xml:space="preserve">° </w:t>
      </w:r>
      <w:r>
        <w:rPr>
          <w:spacing w:val="-10"/>
          <w:sz w:val="18"/>
          <w:szCs w:val="18"/>
          <w:lang w:val="es-ES_tradnl"/>
        </w:rPr>
        <w:t>0029-2013, as</w:t>
      </w:r>
      <w:r>
        <w:rPr>
          <w:rFonts w:cs="Times New Roman"/>
          <w:spacing w:val="-10"/>
          <w:sz w:val="18"/>
          <w:szCs w:val="18"/>
          <w:lang w:val="es-ES_tradnl"/>
        </w:rPr>
        <w:t>í</w:t>
      </w:r>
      <w:r>
        <w:rPr>
          <w:spacing w:val="-10"/>
          <w:sz w:val="18"/>
          <w:szCs w:val="18"/>
          <w:lang w:val="es-ES_tradnl"/>
        </w:rPr>
        <w:t xml:space="preserve"> como todos los actos procesales</w:t>
      </w:r>
    </w:p>
    <w:p w14:paraId="4F67ABA0" w14:textId="77777777" w:rsidR="00591D54" w:rsidRDefault="00591D54">
      <w:pPr>
        <w:shd w:val="clear" w:color="auto" w:fill="FFFFFF"/>
        <w:spacing w:before="206" w:line="230" w:lineRule="exact"/>
        <w:ind w:left="850"/>
        <w:jc w:val="both"/>
        <w:sectPr w:rsidR="00591D54">
          <w:type w:val="continuous"/>
          <w:pgSz w:w="11909" w:h="16834"/>
          <w:pgMar w:top="1359" w:right="1309" w:bottom="360" w:left="1308" w:header="720" w:footer="720" w:gutter="0"/>
          <w:cols w:num="2" w:space="720" w:equalWidth="0">
            <w:col w:w="4305" w:space="682"/>
            <w:col w:w="4305"/>
          </w:cols>
          <w:noEndnote/>
        </w:sectPr>
      </w:pPr>
    </w:p>
    <w:p w14:paraId="4F67ABA1" w14:textId="77777777" w:rsidR="00591D54" w:rsidRDefault="00591D54">
      <w:pPr>
        <w:shd w:val="clear" w:color="auto" w:fill="FFFFFF"/>
        <w:tabs>
          <w:tab w:val="left" w:pos="595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- 99</w:t>
      </w:r>
    </w:p>
    <w:p w14:paraId="4F67ABA2" w14:textId="77777777" w:rsidR="00591D54" w:rsidRDefault="00591D54">
      <w:pPr>
        <w:shd w:val="clear" w:color="auto" w:fill="FFFFFF"/>
        <w:tabs>
          <w:tab w:val="left" w:pos="5952"/>
        </w:tabs>
        <w:spacing w:after="235"/>
        <w:ind w:left="5"/>
        <w:sectPr w:rsidR="00591D54">
          <w:pgSz w:w="11909" w:h="16834"/>
          <w:pgMar w:top="1368" w:right="1304" w:bottom="360" w:left="1308" w:header="720" w:footer="720" w:gutter="0"/>
          <w:cols w:space="60"/>
          <w:noEndnote/>
        </w:sectPr>
      </w:pPr>
    </w:p>
    <w:p w14:paraId="4F67ABA3" w14:textId="77777777" w:rsidR="00591D54" w:rsidRDefault="00591D54">
      <w:pPr>
        <w:shd w:val="clear" w:color="auto" w:fill="FFFFFF"/>
        <w:spacing w:line="216" w:lineRule="exact"/>
        <w:ind w:left="850" w:right="10"/>
        <w:jc w:val="both"/>
      </w:pPr>
      <w:r>
        <w:rPr>
          <w:sz w:val="18"/>
          <w:szCs w:val="18"/>
          <w:lang w:val="es-ES_tradnl"/>
        </w:rPr>
        <w:t>y dem</w:t>
      </w:r>
      <w:r>
        <w:rPr>
          <w:rFonts w:cs="Times New Roman"/>
          <w:sz w:val="18"/>
          <w:szCs w:val="18"/>
          <w:lang w:val="es-ES_tradnl"/>
        </w:rPr>
        <w:t>á</w:t>
      </w:r>
      <w:r>
        <w:rPr>
          <w:sz w:val="18"/>
          <w:szCs w:val="18"/>
          <w:lang w:val="es-ES_tradnl"/>
        </w:rPr>
        <w:t xml:space="preserve">s providencias judiciales dictadas </w:t>
      </w:r>
      <w:r>
        <w:rPr>
          <w:spacing w:val="-9"/>
          <w:sz w:val="18"/>
          <w:szCs w:val="18"/>
          <w:lang w:val="es-ES_tradnl"/>
        </w:rPr>
        <w:t>como consecuencia de la mencionada decisi</w:t>
      </w:r>
      <w:r>
        <w:rPr>
          <w:rFonts w:cs="Times New Roman"/>
          <w:spacing w:val="-9"/>
          <w:sz w:val="18"/>
          <w:szCs w:val="18"/>
          <w:lang w:val="es-ES_tradnl"/>
        </w:rPr>
        <w:t>ó</w:t>
      </w:r>
      <w:r>
        <w:rPr>
          <w:spacing w:val="-9"/>
          <w:sz w:val="18"/>
          <w:szCs w:val="18"/>
          <w:lang w:val="es-ES_tradnl"/>
        </w:rPr>
        <w:t xml:space="preserve">n </w:t>
      </w:r>
      <w:r>
        <w:rPr>
          <w:sz w:val="18"/>
          <w:szCs w:val="18"/>
          <w:lang w:val="es-ES_tradnl"/>
        </w:rPr>
        <w:t>judicial.</w:t>
      </w:r>
    </w:p>
    <w:p w14:paraId="4F67ABA4" w14:textId="77777777" w:rsidR="00591D54" w:rsidRDefault="00591D54" w:rsidP="00251195">
      <w:pPr>
        <w:numPr>
          <w:ilvl w:val="0"/>
          <w:numId w:val="53"/>
        </w:numPr>
        <w:shd w:val="clear" w:color="auto" w:fill="FFFFFF"/>
        <w:tabs>
          <w:tab w:val="left" w:pos="1238"/>
        </w:tabs>
        <w:spacing w:before="197" w:line="216" w:lineRule="exact"/>
        <w:ind w:left="850" w:right="14"/>
        <w:jc w:val="both"/>
        <w:rPr>
          <w:spacing w:val="-9"/>
          <w:sz w:val="18"/>
          <w:szCs w:val="18"/>
          <w:lang w:val="es-ES_tradnl"/>
        </w:rPr>
      </w:pPr>
      <w:r>
        <w:rPr>
          <w:spacing w:val="-6"/>
          <w:sz w:val="18"/>
          <w:szCs w:val="18"/>
          <w:lang w:val="es-ES_tradnl"/>
        </w:rPr>
        <w:t>Retrotraer el proceso judicial hasta el momento en el cual se produjo la vulneraci</w:t>
      </w:r>
      <w:r>
        <w:rPr>
          <w:rFonts w:cs="Times New Roman"/>
          <w:spacing w:val="-6"/>
          <w:sz w:val="18"/>
          <w:szCs w:val="18"/>
          <w:lang w:val="es-ES_tradnl"/>
        </w:rPr>
        <w:t>ó</w:t>
      </w:r>
      <w:r>
        <w:rPr>
          <w:spacing w:val="-6"/>
          <w:sz w:val="18"/>
          <w:szCs w:val="18"/>
          <w:lang w:val="es-ES_tradnl"/>
        </w:rPr>
        <w:t xml:space="preserve">n </w:t>
      </w:r>
      <w:r>
        <w:rPr>
          <w:sz w:val="18"/>
          <w:szCs w:val="18"/>
          <w:lang w:val="es-ES_tradnl"/>
        </w:rPr>
        <w:t>de derechos constitucionales.</w:t>
      </w:r>
    </w:p>
    <w:p w14:paraId="4F67ABA5" w14:textId="77777777" w:rsidR="00591D54" w:rsidRDefault="00591D54" w:rsidP="00251195">
      <w:pPr>
        <w:numPr>
          <w:ilvl w:val="0"/>
          <w:numId w:val="53"/>
        </w:numPr>
        <w:shd w:val="clear" w:color="auto" w:fill="FFFFFF"/>
        <w:tabs>
          <w:tab w:val="left" w:pos="1238"/>
        </w:tabs>
        <w:spacing w:before="197" w:line="216" w:lineRule="exact"/>
        <w:ind w:left="850" w:right="10"/>
        <w:jc w:val="both"/>
        <w:rPr>
          <w:spacing w:val="-9"/>
          <w:sz w:val="18"/>
          <w:szCs w:val="18"/>
          <w:lang w:val="es-ES_tradnl"/>
        </w:rPr>
      </w:pPr>
      <w:r>
        <w:rPr>
          <w:spacing w:val="-8"/>
          <w:sz w:val="18"/>
          <w:szCs w:val="18"/>
          <w:lang w:val="es-ES_tradnl"/>
        </w:rPr>
        <w:t xml:space="preserve">Disponer que otros jueces de la Sala </w:t>
      </w:r>
      <w:r>
        <w:rPr>
          <w:spacing w:val="-4"/>
          <w:sz w:val="18"/>
          <w:szCs w:val="18"/>
          <w:lang w:val="es-ES_tradnl"/>
        </w:rPr>
        <w:t xml:space="preserve">Multicompetente de la Corte Provincial de </w:t>
      </w:r>
      <w:r>
        <w:rPr>
          <w:spacing w:val="-2"/>
          <w:sz w:val="18"/>
          <w:szCs w:val="18"/>
          <w:lang w:val="es-ES_tradnl"/>
        </w:rPr>
        <w:t>Justicia de Santo Domingo de los Ts</w:t>
      </w:r>
      <w:r>
        <w:rPr>
          <w:rFonts w:cs="Times New Roman"/>
          <w:spacing w:val="-2"/>
          <w:sz w:val="18"/>
          <w:szCs w:val="18"/>
          <w:lang w:val="es-ES_tradnl"/>
        </w:rPr>
        <w:t>á</w:t>
      </w:r>
      <w:r>
        <w:rPr>
          <w:spacing w:val="-2"/>
          <w:sz w:val="18"/>
          <w:szCs w:val="18"/>
          <w:lang w:val="es-ES_tradnl"/>
        </w:rPr>
        <w:t xml:space="preserve">chilas </w:t>
      </w:r>
      <w:r>
        <w:rPr>
          <w:spacing w:val="-5"/>
          <w:sz w:val="18"/>
          <w:szCs w:val="18"/>
          <w:lang w:val="es-ES_tradnl"/>
        </w:rPr>
        <w:t>se pronuncien judicialmente con relaci</w:t>
      </w:r>
      <w:r>
        <w:rPr>
          <w:rFonts w:cs="Times New Roman"/>
          <w:spacing w:val="-5"/>
          <w:sz w:val="18"/>
          <w:szCs w:val="18"/>
          <w:lang w:val="es-ES_tradnl"/>
        </w:rPr>
        <w:t>ó</w:t>
      </w:r>
      <w:r>
        <w:rPr>
          <w:spacing w:val="-5"/>
          <w:sz w:val="18"/>
          <w:szCs w:val="18"/>
          <w:lang w:val="es-ES_tradnl"/>
        </w:rPr>
        <w:t xml:space="preserve">n al </w:t>
      </w:r>
      <w:r>
        <w:rPr>
          <w:spacing w:val="-11"/>
          <w:sz w:val="18"/>
          <w:szCs w:val="18"/>
          <w:lang w:val="es-ES_tradnl"/>
        </w:rPr>
        <w:t>recurso de casaci</w:t>
      </w:r>
      <w:r>
        <w:rPr>
          <w:rFonts w:cs="Times New Roman"/>
          <w:spacing w:val="-11"/>
          <w:sz w:val="18"/>
          <w:szCs w:val="18"/>
          <w:lang w:val="es-ES_tradnl"/>
        </w:rPr>
        <w:t>ó</w:t>
      </w:r>
      <w:r>
        <w:rPr>
          <w:spacing w:val="-11"/>
          <w:sz w:val="18"/>
          <w:szCs w:val="18"/>
          <w:lang w:val="es-ES_tradnl"/>
        </w:rPr>
        <w:t xml:space="preserve">n interpuesto por el legitimado </w:t>
      </w:r>
      <w:r>
        <w:rPr>
          <w:sz w:val="18"/>
          <w:szCs w:val="18"/>
          <w:lang w:val="es-ES_tradnl"/>
        </w:rPr>
        <w:t>activo, Henry An</w:t>
      </w:r>
      <w:r>
        <w:rPr>
          <w:rFonts w:cs="Times New Roman"/>
          <w:sz w:val="18"/>
          <w:szCs w:val="18"/>
          <w:lang w:val="es-ES_tradnl"/>
        </w:rPr>
        <w:t>í</w:t>
      </w:r>
      <w:r>
        <w:rPr>
          <w:sz w:val="18"/>
          <w:szCs w:val="18"/>
          <w:lang w:val="es-ES_tradnl"/>
        </w:rPr>
        <w:t xml:space="preserve">bal Ayala Espinoza, en </w:t>
      </w:r>
      <w:r>
        <w:rPr>
          <w:spacing w:val="-10"/>
          <w:sz w:val="18"/>
          <w:szCs w:val="18"/>
          <w:lang w:val="es-ES_tradnl"/>
        </w:rPr>
        <w:t xml:space="preserve">calidad de gerente general y representante legal </w:t>
      </w:r>
      <w:r>
        <w:rPr>
          <w:spacing w:val="-7"/>
          <w:sz w:val="18"/>
          <w:szCs w:val="18"/>
          <w:lang w:val="es-ES_tradnl"/>
        </w:rPr>
        <w:t>de la compa</w:t>
      </w:r>
      <w:r>
        <w:rPr>
          <w:rFonts w:cs="Times New Roman"/>
          <w:spacing w:val="-7"/>
          <w:sz w:val="18"/>
          <w:szCs w:val="18"/>
          <w:lang w:val="es-ES_tradnl"/>
        </w:rPr>
        <w:t>ñí</w:t>
      </w:r>
      <w:r>
        <w:rPr>
          <w:spacing w:val="-7"/>
          <w:sz w:val="18"/>
          <w:szCs w:val="18"/>
          <w:lang w:val="es-ES_tradnl"/>
        </w:rPr>
        <w:t xml:space="preserve">a Denegsa S. A. por medio de </w:t>
      </w:r>
      <w:r>
        <w:rPr>
          <w:spacing w:val="-10"/>
          <w:sz w:val="18"/>
          <w:szCs w:val="18"/>
          <w:lang w:val="es-ES_tradnl"/>
        </w:rPr>
        <w:t xml:space="preserve">escrito presentado por su abogado patrocinador, </w:t>
      </w:r>
      <w:r>
        <w:rPr>
          <w:spacing w:val="-7"/>
          <w:sz w:val="18"/>
          <w:szCs w:val="18"/>
          <w:lang w:val="es-ES_tradnl"/>
        </w:rPr>
        <w:t xml:space="preserve">en observancia irrestricta de los derechos </w:t>
      </w:r>
      <w:r>
        <w:rPr>
          <w:spacing w:val="-6"/>
          <w:sz w:val="18"/>
          <w:szCs w:val="18"/>
          <w:lang w:val="es-ES_tradnl"/>
        </w:rPr>
        <w:t xml:space="preserve">constitucionales a la tutela judicial efectiva y a </w:t>
      </w:r>
      <w:r>
        <w:rPr>
          <w:sz w:val="18"/>
          <w:szCs w:val="18"/>
          <w:lang w:val="es-ES_tradnl"/>
        </w:rPr>
        <w:t>la seguridad jur</w:t>
      </w:r>
      <w:r>
        <w:rPr>
          <w:rFonts w:cs="Times New Roman"/>
          <w:sz w:val="18"/>
          <w:szCs w:val="18"/>
          <w:lang w:val="es-ES_tradnl"/>
        </w:rPr>
        <w:t>í</w:t>
      </w:r>
      <w:r>
        <w:rPr>
          <w:sz w:val="18"/>
          <w:szCs w:val="18"/>
          <w:lang w:val="es-ES_tradnl"/>
        </w:rPr>
        <w:t>dica.</w:t>
      </w:r>
    </w:p>
    <w:p w14:paraId="4F67ABA6" w14:textId="77777777" w:rsidR="00591D54" w:rsidRDefault="00591D54">
      <w:pPr>
        <w:shd w:val="clear" w:color="auto" w:fill="FFFFFF"/>
        <w:spacing w:before="29" w:line="432" w:lineRule="exact"/>
        <w:ind w:left="283"/>
      </w:pPr>
      <w:r>
        <w:rPr>
          <w:spacing w:val="-7"/>
          <w:sz w:val="18"/>
          <w:szCs w:val="18"/>
          <w:lang w:val="es-ES_tradnl"/>
        </w:rPr>
        <w:t>4.   Notif</w:t>
      </w:r>
      <w:r>
        <w:rPr>
          <w:rFonts w:cs="Times New Roman"/>
          <w:spacing w:val="-7"/>
          <w:sz w:val="18"/>
          <w:szCs w:val="18"/>
          <w:lang w:val="es-ES_tradnl"/>
        </w:rPr>
        <w:t>í</w:t>
      </w:r>
      <w:r>
        <w:rPr>
          <w:spacing w:val="-7"/>
          <w:sz w:val="18"/>
          <w:szCs w:val="18"/>
          <w:lang w:val="es-ES_tradnl"/>
        </w:rPr>
        <w:t>quese, publ</w:t>
      </w:r>
      <w:r>
        <w:rPr>
          <w:rFonts w:cs="Times New Roman"/>
          <w:spacing w:val="-7"/>
          <w:sz w:val="18"/>
          <w:szCs w:val="18"/>
          <w:lang w:val="es-ES_tradnl"/>
        </w:rPr>
        <w:t>í</w:t>
      </w:r>
      <w:r>
        <w:rPr>
          <w:spacing w:val="-7"/>
          <w:sz w:val="18"/>
          <w:szCs w:val="18"/>
          <w:lang w:val="es-ES_tradnl"/>
        </w:rPr>
        <w:t>quese y c</w:t>
      </w:r>
      <w:r>
        <w:rPr>
          <w:rFonts w:cs="Times New Roman"/>
          <w:spacing w:val="-7"/>
          <w:sz w:val="18"/>
          <w:szCs w:val="18"/>
          <w:lang w:val="es-ES_tradnl"/>
        </w:rPr>
        <w:t>ú</w:t>
      </w:r>
      <w:r>
        <w:rPr>
          <w:spacing w:val="-7"/>
          <w:sz w:val="18"/>
          <w:szCs w:val="18"/>
          <w:lang w:val="es-ES_tradnl"/>
        </w:rPr>
        <w:t>mplase.</w:t>
      </w:r>
    </w:p>
    <w:p w14:paraId="4F67ABA7" w14:textId="77777777" w:rsidR="00591D54" w:rsidRDefault="00591D54">
      <w:pPr>
        <w:shd w:val="clear" w:color="auto" w:fill="FFFFFF"/>
        <w:spacing w:line="432" w:lineRule="exact"/>
      </w:pPr>
      <w:r>
        <w:rPr>
          <w:spacing w:val="-4"/>
          <w:sz w:val="18"/>
          <w:szCs w:val="18"/>
          <w:lang w:val="es-ES_tradnl"/>
        </w:rPr>
        <w:t>f.) Patricio Pazmi</w:t>
      </w:r>
      <w:r>
        <w:rPr>
          <w:rFonts w:cs="Times New Roman"/>
          <w:spacing w:val="-4"/>
          <w:sz w:val="18"/>
          <w:szCs w:val="18"/>
          <w:lang w:val="es-ES_tradnl"/>
        </w:rPr>
        <w:t>ñ</w:t>
      </w:r>
      <w:r>
        <w:rPr>
          <w:spacing w:val="-4"/>
          <w:sz w:val="18"/>
          <w:szCs w:val="18"/>
          <w:lang w:val="es-ES_tradnl"/>
        </w:rPr>
        <w:t xml:space="preserve">o Freire, </w:t>
      </w:r>
      <w:r>
        <w:rPr>
          <w:b/>
          <w:bCs/>
          <w:spacing w:val="-4"/>
          <w:sz w:val="18"/>
          <w:szCs w:val="18"/>
          <w:lang w:val="es-ES_tradnl"/>
        </w:rPr>
        <w:t>PRESIDENTE.</w:t>
      </w:r>
    </w:p>
    <w:p w14:paraId="4F67ABA8" w14:textId="77777777" w:rsidR="00591D54" w:rsidRDefault="00591D54">
      <w:pPr>
        <w:shd w:val="clear" w:color="auto" w:fill="FFFFFF"/>
        <w:spacing w:line="432" w:lineRule="exact"/>
      </w:pPr>
      <w:r>
        <w:rPr>
          <w:spacing w:val="-4"/>
          <w:sz w:val="18"/>
          <w:szCs w:val="18"/>
          <w:lang w:val="es-ES_tradnl"/>
        </w:rPr>
        <w:t xml:space="preserve">f.) Jaime Pozo Chamorro, </w:t>
      </w:r>
      <w:r>
        <w:rPr>
          <w:b/>
          <w:bCs/>
          <w:spacing w:val="-4"/>
          <w:sz w:val="18"/>
          <w:szCs w:val="18"/>
          <w:lang w:val="es-ES_tradnl"/>
        </w:rPr>
        <w:t>SECRETARIO GENERAL.</w:t>
      </w:r>
    </w:p>
    <w:p w14:paraId="4F67ABA9" w14:textId="77777777" w:rsidR="00591D54" w:rsidRDefault="00591D54">
      <w:pPr>
        <w:shd w:val="clear" w:color="auto" w:fill="FFFFFF"/>
        <w:spacing w:before="158" w:line="216" w:lineRule="exact"/>
        <w:ind w:right="14"/>
        <w:jc w:val="both"/>
      </w:pPr>
      <w:r>
        <w:rPr>
          <w:b/>
          <w:bCs/>
          <w:spacing w:val="-7"/>
          <w:sz w:val="18"/>
          <w:szCs w:val="18"/>
          <w:lang w:val="es-ES_tradnl"/>
        </w:rPr>
        <w:t>Raz</w:t>
      </w:r>
      <w:r>
        <w:rPr>
          <w:rFonts w:cs="Times New Roman"/>
          <w:b/>
          <w:bCs/>
          <w:spacing w:val="-7"/>
          <w:sz w:val="18"/>
          <w:szCs w:val="18"/>
          <w:lang w:val="es-ES_tradnl"/>
        </w:rPr>
        <w:t>ó</w:t>
      </w:r>
      <w:r>
        <w:rPr>
          <w:b/>
          <w:bCs/>
          <w:spacing w:val="-7"/>
          <w:sz w:val="18"/>
          <w:szCs w:val="18"/>
          <w:lang w:val="es-ES_tradnl"/>
        </w:rPr>
        <w:t xml:space="preserve">n: </w:t>
      </w:r>
      <w:r>
        <w:rPr>
          <w:spacing w:val="-7"/>
          <w:sz w:val="18"/>
          <w:szCs w:val="18"/>
          <w:lang w:val="es-ES_tradnl"/>
        </w:rPr>
        <w:t xml:space="preserve">Siento por tal, que la sentencia que antecede fue </w:t>
      </w:r>
      <w:r>
        <w:rPr>
          <w:spacing w:val="-3"/>
          <w:sz w:val="18"/>
          <w:szCs w:val="18"/>
          <w:lang w:val="es-ES_tradnl"/>
        </w:rPr>
        <w:t xml:space="preserve">aprobada por el Pleno de la Corte Constitucional, con </w:t>
      </w:r>
      <w:r>
        <w:rPr>
          <w:spacing w:val="-10"/>
          <w:sz w:val="18"/>
          <w:szCs w:val="18"/>
          <w:lang w:val="es-ES_tradnl"/>
        </w:rPr>
        <w:t>ocho votos de las se</w:t>
      </w:r>
      <w:r>
        <w:rPr>
          <w:rFonts w:cs="Times New Roman"/>
          <w:spacing w:val="-10"/>
          <w:sz w:val="18"/>
          <w:szCs w:val="18"/>
          <w:lang w:val="es-ES_tradnl"/>
        </w:rPr>
        <w:t>ñ</w:t>
      </w:r>
      <w:r>
        <w:rPr>
          <w:spacing w:val="-10"/>
          <w:sz w:val="18"/>
          <w:szCs w:val="18"/>
          <w:lang w:val="es-ES_tradnl"/>
        </w:rPr>
        <w:t>oras juezas y se</w:t>
      </w:r>
      <w:r>
        <w:rPr>
          <w:rFonts w:cs="Times New Roman"/>
          <w:spacing w:val="-10"/>
          <w:sz w:val="18"/>
          <w:szCs w:val="18"/>
          <w:lang w:val="es-ES_tradnl"/>
        </w:rPr>
        <w:t>ñ</w:t>
      </w:r>
      <w:r>
        <w:rPr>
          <w:spacing w:val="-10"/>
          <w:sz w:val="18"/>
          <w:szCs w:val="18"/>
          <w:lang w:val="es-ES_tradnl"/>
        </w:rPr>
        <w:t xml:space="preserve">ores jueces: Antonio </w:t>
      </w:r>
      <w:r>
        <w:rPr>
          <w:spacing w:val="-7"/>
          <w:sz w:val="18"/>
          <w:szCs w:val="18"/>
          <w:lang w:val="es-ES_tradnl"/>
        </w:rPr>
        <w:t>Gagliardo Loor, Marcelo Jaramillo Villa, Mar</w:t>
      </w:r>
      <w:r>
        <w:rPr>
          <w:rFonts w:cs="Times New Roman"/>
          <w:spacing w:val="-7"/>
          <w:sz w:val="18"/>
          <w:szCs w:val="18"/>
          <w:lang w:val="es-ES_tradnl"/>
        </w:rPr>
        <w:t>í</w:t>
      </w:r>
      <w:r>
        <w:rPr>
          <w:spacing w:val="-7"/>
          <w:sz w:val="18"/>
          <w:szCs w:val="18"/>
          <w:lang w:val="es-ES_tradnl"/>
        </w:rPr>
        <w:t xml:space="preserve">a del Carmen </w:t>
      </w:r>
      <w:r>
        <w:rPr>
          <w:spacing w:val="-5"/>
          <w:sz w:val="18"/>
          <w:szCs w:val="18"/>
          <w:lang w:val="es-ES_tradnl"/>
        </w:rPr>
        <w:t>Maldonado S</w:t>
      </w:r>
      <w:r>
        <w:rPr>
          <w:rFonts w:cs="Times New Roman"/>
          <w:spacing w:val="-5"/>
          <w:sz w:val="18"/>
          <w:szCs w:val="18"/>
          <w:lang w:val="es-ES_tradnl"/>
        </w:rPr>
        <w:t>á</w:t>
      </w:r>
      <w:r>
        <w:rPr>
          <w:spacing w:val="-5"/>
          <w:sz w:val="18"/>
          <w:szCs w:val="18"/>
          <w:lang w:val="es-ES_tradnl"/>
        </w:rPr>
        <w:t>nchez, Tatiana Orde</w:t>
      </w:r>
      <w:r>
        <w:rPr>
          <w:rFonts w:cs="Times New Roman"/>
          <w:spacing w:val="-5"/>
          <w:sz w:val="18"/>
          <w:szCs w:val="18"/>
          <w:lang w:val="es-ES_tradnl"/>
        </w:rPr>
        <w:t>ñ</w:t>
      </w:r>
      <w:r>
        <w:rPr>
          <w:spacing w:val="-5"/>
          <w:sz w:val="18"/>
          <w:szCs w:val="18"/>
          <w:lang w:val="es-ES_tradnl"/>
        </w:rPr>
        <w:t xml:space="preserve">ana Sierra, Alfredo </w:t>
      </w:r>
      <w:r>
        <w:rPr>
          <w:spacing w:val="-7"/>
          <w:sz w:val="18"/>
          <w:szCs w:val="18"/>
          <w:lang w:val="es-ES_tradnl"/>
        </w:rPr>
        <w:t>Ruiz Guzm</w:t>
      </w:r>
      <w:r>
        <w:rPr>
          <w:rFonts w:cs="Times New Roman"/>
          <w:spacing w:val="-7"/>
          <w:sz w:val="18"/>
          <w:szCs w:val="18"/>
          <w:lang w:val="es-ES_tradnl"/>
        </w:rPr>
        <w:t>á</w:t>
      </w:r>
      <w:r>
        <w:rPr>
          <w:spacing w:val="-7"/>
          <w:sz w:val="18"/>
          <w:szCs w:val="18"/>
          <w:lang w:val="es-ES_tradnl"/>
        </w:rPr>
        <w:t xml:space="preserve">n, Ruth Seni Pinoargote, Manuel Viteri Olvera </w:t>
      </w:r>
      <w:r>
        <w:rPr>
          <w:spacing w:val="-8"/>
          <w:sz w:val="18"/>
          <w:szCs w:val="18"/>
          <w:lang w:val="es-ES_tradnl"/>
        </w:rPr>
        <w:t>y Patricio Pazmi</w:t>
      </w:r>
      <w:r>
        <w:rPr>
          <w:rFonts w:cs="Times New Roman"/>
          <w:spacing w:val="-8"/>
          <w:sz w:val="18"/>
          <w:szCs w:val="18"/>
          <w:lang w:val="es-ES_tradnl"/>
        </w:rPr>
        <w:t>ñ</w:t>
      </w:r>
      <w:r>
        <w:rPr>
          <w:spacing w:val="-8"/>
          <w:sz w:val="18"/>
          <w:szCs w:val="18"/>
          <w:lang w:val="es-ES_tradnl"/>
        </w:rPr>
        <w:t xml:space="preserve">o Freire, sin contar con la presencia de la </w:t>
      </w:r>
      <w:r>
        <w:rPr>
          <w:spacing w:val="-7"/>
          <w:sz w:val="18"/>
          <w:szCs w:val="18"/>
          <w:lang w:val="es-ES_tradnl"/>
        </w:rPr>
        <w:t>jueza Wendy Molina Andrade, en sesi</w:t>
      </w:r>
      <w:r>
        <w:rPr>
          <w:rFonts w:cs="Times New Roman"/>
          <w:spacing w:val="-7"/>
          <w:sz w:val="18"/>
          <w:szCs w:val="18"/>
          <w:lang w:val="es-ES_tradnl"/>
        </w:rPr>
        <w:t>ó</w:t>
      </w:r>
      <w:r>
        <w:rPr>
          <w:spacing w:val="-7"/>
          <w:sz w:val="18"/>
          <w:szCs w:val="18"/>
          <w:lang w:val="es-ES_tradnl"/>
        </w:rPr>
        <w:t xml:space="preserve">n del 25 de marzo </w:t>
      </w:r>
      <w:r>
        <w:rPr>
          <w:sz w:val="18"/>
          <w:szCs w:val="18"/>
          <w:lang w:val="es-ES_tradnl"/>
        </w:rPr>
        <w:t>del 2015. Lo certifico.</w:t>
      </w:r>
    </w:p>
    <w:p w14:paraId="4F67ABAA" w14:textId="77777777" w:rsidR="00591D54" w:rsidRDefault="00591D54">
      <w:pPr>
        <w:shd w:val="clear" w:color="auto" w:fill="FFFFFF"/>
        <w:spacing w:before="192"/>
      </w:pPr>
      <w:r>
        <w:rPr>
          <w:spacing w:val="-4"/>
          <w:sz w:val="18"/>
          <w:szCs w:val="18"/>
          <w:lang w:val="es-ES_tradnl"/>
        </w:rPr>
        <w:t xml:space="preserve">f.) Jaime Pozo Chamorro, </w:t>
      </w:r>
      <w:r>
        <w:rPr>
          <w:b/>
          <w:bCs/>
          <w:spacing w:val="-4"/>
          <w:sz w:val="18"/>
          <w:szCs w:val="18"/>
          <w:lang w:val="es-ES_tradnl"/>
        </w:rPr>
        <w:t>SECRETARIO GENERAL.</w:t>
      </w:r>
    </w:p>
    <w:p w14:paraId="4F67ABAB" w14:textId="77777777" w:rsidR="00591D54" w:rsidRDefault="00591D54">
      <w:pPr>
        <w:shd w:val="clear" w:color="auto" w:fill="FFFFFF"/>
        <w:spacing w:before="192" w:line="216" w:lineRule="exact"/>
        <w:ind w:right="10"/>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ABAC" w14:textId="77777777" w:rsidR="00591D54" w:rsidRDefault="00591D54">
      <w:pPr>
        <w:shd w:val="clear" w:color="auto" w:fill="FFFFFF"/>
        <w:spacing w:before="192"/>
      </w:pPr>
      <w:r>
        <w:rPr>
          <w:b/>
          <w:bCs/>
          <w:spacing w:val="-5"/>
          <w:sz w:val="18"/>
          <w:szCs w:val="18"/>
          <w:u w:val="single"/>
          <w:lang w:val="es-ES_tradnl"/>
        </w:rPr>
        <w:t>CASO Nro. 0788-14-EP</w:t>
      </w:r>
    </w:p>
    <w:p w14:paraId="4F67ABAD" w14:textId="77777777" w:rsidR="00591D54" w:rsidRDefault="00591D54">
      <w:pPr>
        <w:shd w:val="clear" w:color="auto" w:fill="FFFFFF"/>
        <w:spacing w:before="192" w:line="216" w:lineRule="exact"/>
        <w:ind w:right="14"/>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w:t>
      </w:r>
      <w:r>
        <w:rPr>
          <w:spacing w:val="-7"/>
          <w:sz w:val="18"/>
          <w:szCs w:val="18"/>
          <w:lang w:val="es-ES_tradnl"/>
        </w:rPr>
        <w:t>suscrita por el Juez Patricio Pazmi</w:t>
      </w:r>
      <w:r>
        <w:rPr>
          <w:rFonts w:cs="Times New Roman"/>
          <w:spacing w:val="-7"/>
          <w:sz w:val="18"/>
          <w:szCs w:val="18"/>
          <w:lang w:val="es-ES_tradnl"/>
        </w:rPr>
        <w:t>ñ</w:t>
      </w:r>
      <w:r>
        <w:rPr>
          <w:spacing w:val="-7"/>
          <w:sz w:val="18"/>
          <w:szCs w:val="18"/>
          <w:lang w:val="es-ES_tradnl"/>
        </w:rPr>
        <w:t xml:space="preserve">o Freire, Presidente de </w:t>
      </w:r>
      <w:r>
        <w:rPr>
          <w:spacing w:val="-8"/>
          <w:sz w:val="18"/>
          <w:szCs w:val="18"/>
          <w:lang w:val="es-ES_tradnl"/>
        </w:rPr>
        <w:t>la Corte Constitucional, el d</w:t>
      </w:r>
      <w:r>
        <w:rPr>
          <w:rFonts w:cs="Times New Roman"/>
          <w:spacing w:val="-8"/>
          <w:sz w:val="18"/>
          <w:szCs w:val="18"/>
          <w:lang w:val="es-ES_tradnl"/>
        </w:rPr>
        <w:t>í</w:t>
      </w:r>
      <w:r>
        <w:rPr>
          <w:spacing w:val="-8"/>
          <w:sz w:val="18"/>
          <w:szCs w:val="18"/>
          <w:lang w:val="es-ES_tradnl"/>
        </w:rPr>
        <w:t xml:space="preserve">a jueves 09 de abril del dos mil </w:t>
      </w:r>
      <w:r>
        <w:rPr>
          <w:sz w:val="18"/>
          <w:szCs w:val="18"/>
          <w:lang w:val="es-ES_tradnl"/>
        </w:rPr>
        <w:t>quince.- Lo certifico.</w:t>
      </w:r>
    </w:p>
    <w:p w14:paraId="4F67ABAE" w14:textId="77777777" w:rsidR="00591D54" w:rsidRDefault="00591D54">
      <w:pPr>
        <w:shd w:val="clear" w:color="auto" w:fill="FFFFFF"/>
        <w:spacing w:before="192"/>
      </w:pPr>
      <w:r>
        <w:rPr>
          <w:spacing w:val="-7"/>
          <w:sz w:val="18"/>
          <w:szCs w:val="18"/>
          <w:lang w:val="es-ES_tradnl"/>
        </w:rPr>
        <w:t xml:space="preserve">f.) Jaime Pozo Chamorro, </w:t>
      </w:r>
      <w:r>
        <w:rPr>
          <w:b/>
          <w:bCs/>
          <w:spacing w:val="-7"/>
          <w:sz w:val="18"/>
          <w:szCs w:val="18"/>
          <w:lang w:val="es-ES_tradnl"/>
        </w:rPr>
        <w:t>Secretario General.</w:t>
      </w:r>
    </w:p>
    <w:p w14:paraId="4F67ABAF" w14:textId="77777777" w:rsidR="00591D54" w:rsidRDefault="00591D54">
      <w:pPr>
        <w:shd w:val="clear" w:color="auto" w:fill="FFFFFF"/>
        <w:spacing w:before="192" w:line="216" w:lineRule="exact"/>
        <w:ind w:right="10"/>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ABB0" w14:textId="77777777" w:rsidR="00591D54" w:rsidRDefault="00591D54">
      <w:pPr>
        <w:shd w:val="clear" w:color="auto" w:fill="FFFFFF"/>
        <w:spacing w:before="192"/>
      </w:pPr>
      <w:r>
        <w:rPr>
          <w:b/>
          <w:bCs/>
          <w:spacing w:val="-5"/>
          <w:sz w:val="18"/>
          <w:szCs w:val="18"/>
          <w:lang w:val="es-ES_tradnl"/>
        </w:rPr>
        <w:t>CAUSA N.</w:t>
      </w:r>
      <w:r>
        <w:rPr>
          <w:rFonts w:cs="Times New Roman"/>
          <w:b/>
          <w:bCs/>
          <w:spacing w:val="-5"/>
          <w:sz w:val="18"/>
          <w:szCs w:val="18"/>
          <w:lang w:val="es-ES_tradnl"/>
        </w:rPr>
        <w:t>°</w:t>
      </w:r>
      <w:r>
        <w:rPr>
          <w:b/>
          <w:bCs/>
          <w:spacing w:val="-5"/>
          <w:sz w:val="18"/>
          <w:szCs w:val="18"/>
          <w:lang w:val="es-ES_tradnl"/>
        </w:rPr>
        <w:t xml:space="preserve"> 0788-14-EP</w:t>
      </w:r>
    </w:p>
    <w:p w14:paraId="4F67ABB1" w14:textId="77777777" w:rsidR="00591D54" w:rsidRDefault="00591D54">
      <w:pPr>
        <w:shd w:val="clear" w:color="auto" w:fill="FFFFFF"/>
        <w:spacing w:before="192" w:line="216" w:lineRule="exact"/>
        <w:jc w:val="both"/>
      </w:pPr>
      <w:r>
        <w:rPr>
          <w:b/>
          <w:bCs/>
          <w:sz w:val="18"/>
          <w:szCs w:val="18"/>
          <w:lang w:val="es-ES_tradnl"/>
        </w:rPr>
        <w:t xml:space="preserve">PLENO DE LA CORTE CONSTITUCIONAL DEL </w:t>
      </w:r>
      <w:r>
        <w:rPr>
          <w:b/>
          <w:bCs/>
          <w:spacing w:val="-8"/>
          <w:sz w:val="18"/>
          <w:szCs w:val="18"/>
          <w:lang w:val="es-ES_tradnl"/>
        </w:rPr>
        <w:t xml:space="preserve">ECUADOR.- </w:t>
      </w:r>
      <w:r>
        <w:rPr>
          <w:spacing w:val="-8"/>
          <w:sz w:val="18"/>
          <w:szCs w:val="18"/>
          <w:lang w:val="es-ES_tradnl"/>
        </w:rPr>
        <w:t xml:space="preserve">Quito, D. M., 09 de septiembre de 2015, a las </w:t>
      </w:r>
      <w:r>
        <w:rPr>
          <w:spacing w:val="-6"/>
          <w:sz w:val="18"/>
          <w:szCs w:val="18"/>
          <w:lang w:val="es-ES_tradnl"/>
        </w:rPr>
        <w:t xml:space="preserve">14:00.- </w:t>
      </w:r>
      <w:r>
        <w:rPr>
          <w:b/>
          <w:bCs/>
          <w:spacing w:val="-6"/>
          <w:sz w:val="18"/>
          <w:szCs w:val="18"/>
          <w:lang w:val="es-ES_tradnl"/>
        </w:rPr>
        <w:t>VISTOS</w:t>
      </w:r>
      <w:r>
        <w:rPr>
          <w:spacing w:val="-6"/>
          <w:sz w:val="18"/>
          <w:szCs w:val="18"/>
          <w:lang w:val="es-ES_tradnl"/>
        </w:rPr>
        <w:t>.- Agr</w:t>
      </w:r>
      <w:r>
        <w:rPr>
          <w:rFonts w:cs="Times New Roman"/>
          <w:spacing w:val="-6"/>
          <w:sz w:val="18"/>
          <w:szCs w:val="18"/>
          <w:lang w:val="es-ES_tradnl"/>
        </w:rPr>
        <w:t>é</w:t>
      </w:r>
      <w:r>
        <w:rPr>
          <w:spacing w:val="-6"/>
          <w:sz w:val="18"/>
          <w:szCs w:val="18"/>
          <w:lang w:val="es-ES_tradnl"/>
        </w:rPr>
        <w:t>guese al expediente constitucional</w:t>
      </w:r>
    </w:p>
    <w:p w14:paraId="4F67ABB2" w14:textId="77777777" w:rsidR="00591D54" w:rsidRDefault="00591D54">
      <w:pPr>
        <w:shd w:val="clear" w:color="auto" w:fill="FFFFFF"/>
        <w:spacing w:line="216" w:lineRule="exact"/>
        <w:jc w:val="both"/>
      </w:pPr>
      <w:r>
        <w:br w:type="column"/>
      </w:r>
      <w:r>
        <w:rPr>
          <w:spacing w:val="-6"/>
          <w:sz w:val="18"/>
          <w:szCs w:val="18"/>
          <w:lang w:val="es-ES_tradnl"/>
        </w:rPr>
        <w:t>el escrito presentado, el 14 de abril de 2015, por el se</w:t>
      </w:r>
      <w:r>
        <w:rPr>
          <w:rFonts w:cs="Times New Roman"/>
          <w:spacing w:val="-6"/>
          <w:sz w:val="18"/>
          <w:szCs w:val="18"/>
          <w:lang w:val="es-ES_tradnl"/>
        </w:rPr>
        <w:t>ñ</w:t>
      </w:r>
      <w:r>
        <w:rPr>
          <w:spacing w:val="-6"/>
          <w:sz w:val="18"/>
          <w:szCs w:val="18"/>
          <w:lang w:val="es-ES_tradnl"/>
        </w:rPr>
        <w:t xml:space="preserve">or </w:t>
      </w:r>
      <w:r>
        <w:rPr>
          <w:spacing w:val="-3"/>
          <w:sz w:val="18"/>
          <w:szCs w:val="18"/>
          <w:lang w:val="es-ES_tradnl"/>
        </w:rPr>
        <w:t>Henry An</w:t>
      </w:r>
      <w:r>
        <w:rPr>
          <w:rFonts w:cs="Times New Roman"/>
          <w:spacing w:val="-3"/>
          <w:sz w:val="18"/>
          <w:szCs w:val="18"/>
          <w:lang w:val="es-ES_tradnl"/>
        </w:rPr>
        <w:t>í</w:t>
      </w:r>
      <w:r>
        <w:rPr>
          <w:spacing w:val="-3"/>
          <w:sz w:val="18"/>
          <w:szCs w:val="18"/>
          <w:lang w:val="es-ES_tradnl"/>
        </w:rPr>
        <w:t xml:space="preserve">bal Ayala Espinoza, en calidad de gerente </w:t>
      </w:r>
      <w:r>
        <w:rPr>
          <w:spacing w:val="-5"/>
          <w:sz w:val="18"/>
          <w:szCs w:val="18"/>
          <w:lang w:val="es-ES_tradnl"/>
        </w:rPr>
        <w:t>general y representante legal de la compa</w:t>
      </w:r>
      <w:r>
        <w:rPr>
          <w:rFonts w:cs="Times New Roman"/>
          <w:spacing w:val="-5"/>
          <w:sz w:val="18"/>
          <w:szCs w:val="18"/>
          <w:lang w:val="es-ES_tradnl"/>
        </w:rPr>
        <w:t>ñí</w:t>
      </w:r>
      <w:r>
        <w:rPr>
          <w:spacing w:val="-5"/>
          <w:sz w:val="18"/>
          <w:szCs w:val="18"/>
          <w:lang w:val="es-ES_tradnl"/>
        </w:rPr>
        <w:t>a Denegsa S.A., en virtud del cual solicita ampliaci</w:t>
      </w:r>
      <w:r>
        <w:rPr>
          <w:rFonts w:cs="Times New Roman"/>
          <w:spacing w:val="-5"/>
          <w:sz w:val="18"/>
          <w:szCs w:val="18"/>
          <w:lang w:val="es-ES_tradnl"/>
        </w:rPr>
        <w:t>ó</w:t>
      </w:r>
      <w:r>
        <w:rPr>
          <w:spacing w:val="-5"/>
          <w:sz w:val="18"/>
          <w:szCs w:val="18"/>
          <w:lang w:val="es-ES_tradnl"/>
        </w:rPr>
        <w:t xml:space="preserve">n de la sentencia </w:t>
      </w:r>
      <w:r>
        <w:rPr>
          <w:spacing w:val="-4"/>
          <w:sz w:val="18"/>
          <w:szCs w:val="18"/>
          <w:lang w:val="es-ES_tradnl"/>
        </w:rPr>
        <w:t xml:space="preserve">dictada por el Pleno de la Corte Constitucional, el 25 de marzo de 2015. Al respecto, esta Corte Constitucional </w:t>
      </w:r>
      <w:r>
        <w:rPr>
          <w:sz w:val="18"/>
          <w:szCs w:val="18"/>
          <w:lang w:val="es-ES_tradnl"/>
        </w:rPr>
        <w:t xml:space="preserve">realiza las siguientes </w:t>
      </w:r>
      <w:r>
        <w:rPr>
          <w:b/>
          <w:bCs/>
          <w:sz w:val="18"/>
          <w:szCs w:val="18"/>
          <w:lang w:val="es-ES_tradnl"/>
        </w:rPr>
        <w:t>CONSIDERACIONES</w:t>
      </w:r>
      <w:r>
        <w:rPr>
          <w:sz w:val="18"/>
          <w:szCs w:val="18"/>
          <w:lang w:val="es-ES_tradnl"/>
        </w:rPr>
        <w:t xml:space="preserve">: </w:t>
      </w:r>
      <w:r>
        <w:rPr>
          <w:b/>
          <w:bCs/>
          <w:spacing w:val="-2"/>
          <w:sz w:val="18"/>
          <w:szCs w:val="18"/>
          <w:lang w:val="es-ES_tradnl"/>
        </w:rPr>
        <w:t xml:space="preserve">PRIMERA.- </w:t>
      </w:r>
      <w:r>
        <w:rPr>
          <w:spacing w:val="-2"/>
          <w:sz w:val="18"/>
          <w:szCs w:val="18"/>
          <w:lang w:val="es-ES_tradnl"/>
        </w:rPr>
        <w:t xml:space="preserve">El Pleno de la Corte Constitucional es </w:t>
      </w:r>
      <w:r>
        <w:rPr>
          <w:spacing w:val="-1"/>
          <w:sz w:val="18"/>
          <w:szCs w:val="18"/>
          <w:lang w:val="es-ES_tradnl"/>
        </w:rPr>
        <w:t xml:space="preserve">competente para conocer y resolver sobre la solicitud </w:t>
      </w:r>
      <w:r>
        <w:rPr>
          <w:spacing w:val="-3"/>
          <w:sz w:val="18"/>
          <w:szCs w:val="18"/>
          <w:lang w:val="es-ES_tradnl"/>
        </w:rPr>
        <w:t>de ampliaci</w:t>
      </w:r>
      <w:r>
        <w:rPr>
          <w:rFonts w:cs="Times New Roman"/>
          <w:spacing w:val="-3"/>
          <w:sz w:val="18"/>
          <w:szCs w:val="18"/>
          <w:lang w:val="es-ES_tradnl"/>
        </w:rPr>
        <w:t>ó</w:t>
      </w:r>
      <w:r>
        <w:rPr>
          <w:spacing w:val="-3"/>
          <w:sz w:val="18"/>
          <w:szCs w:val="18"/>
          <w:lang w:val="es-ES_tradnl"/>
        </w:rPr>
        <w:t xml:space="preserve">n interpuesta por el legitimado activo, de </w:t>
      </w:r>
      <w:r>
        <w:rPr>
          <w:sz w:val="18"/>
          <w:szCs w:val="18"/>
          <w:lang w:val="es-ES_tradnl"/>
        </w:rPr>
        <w:t>conformidad con lo previsto en el art</w:t>
      </w:r>
      <w:r>
        <w:rPr>
          <w:rFonts w:cs="Times New Roman"/>
          <w:sz w:val="18"/>
          <w:szCs w:val="18"/>
          <w:lang w:val="es-ES_tradnl"/>
        </w:rPr>
        <w:t>í</w:t>
      </w:r>
      <w:r>
        <w:rPr>
          <w:sz w:val="18"/>
          <w:szCs w:val="18"/>
          <w:lang w:val="es-ES_tradnl"/>
        </w:rPr>
        <w:t xml:space="preserve">culo 162 de la </w:t>
      </w:r>
      <w:r>
        <w:rPr>
          <w:spacing w:val="-4"/>
          <w:sz w:val="18"/>
          <w:szCs w:val="18"/>
          <w:lang w:val="es-ES_tradnl"/>
        </w:rPr>
        <w:t>Ley Org</w:t>
      </w:r>
      <w:r>
        <w:rPr>
          <w:rFonts w:cs="Times New Roman"/>
          <w:spacing w:val="-4"/>
          <w:sz w:val="18"/>
          <w:szCs w:val="18"/>
          <w:lang w:val="es-ES_tradnl"/>
        </w:rPr>
        <w:t>á</w:t>
      </w:r>
      <w:r>
        <w:rPr>
          <w:spacing w:val="-4"/>
          <w:sz w:val="18"/>
          <w:szCs w:val="18"/>
          <w:lang w:val="es-ES_tradnl"/>
        </w:rPr>
        <w:t>nica de Garant</w:t>
      </w:r>
      <w:r>
        <w:rPr>
          <w:rFonts w:cs="Times New Roman"/>
          <w:spacing w:val="-4"/>
          <w:sz w:val="18"/>
          <w:szCs w:val="18"/>
          <w:lang w:val="es-ES_tradnl"/>
        </w:rPr>
        <w:t>í</w:t>
      </w:r>
      <w:r>
        <w:rPr>
          <w:spacing w:val="-4"/>
          <w:sz w:val="18"/>
          <w:szCs w:val="18"/>
          <w:lang w:val="es-ES_tradnl"/>
        </w:rPr>
        <w:t>as Jurisdiccionales y Control Constitucional, en armon</w:t>
      </w:r>
      <w:r>
        <w:rPr>
          <w:rFonts w:cs="Times New Roman"/>
          <w:spacing w:val="-4"/>
          <w:sz w:val="18"/>
          <w:szCs w:val="18"/>
          <w:lang w:val="es-ES_tradnl"/>
        </w:rPr>
        <w:t>í</w:t>
      </w:r>
      <w:r>
        <w:rPr>
          <w:spacing w:val="-4"/>
          <w:sz w:val="18"/>
          <w:szCs w:val="18"/>
          <w:lang w:val="es-ES_tradnl"/>
        </w:rPr>
        <w:t>a a lo dispuesto por el art</w:t>
      </w:r>
      <w:r>
        <w:rPr>
          <w:rFonts w:cs="Times New Roman"/>
          <w:spacing w:val="-4"/>
          <w:sz w:val="18"/>
          <w:szCs w:val="18"/>
          <w:lang w:val="es-ES_tradnl"/>
        </w:rPr>
        <w:t>í</w:t>
      </w:r>
      <w:r>
        <w:rPr>
          <w:spacing w:val="-4"/>
          <w:sz w:val="18"/>
          <w:szCs w:val="18"/>
          <w:lang w:val="es-ES_tradnl"/>
        </w:rPr>
        <w:t xml:space="preserve">culo </w:t>
      </w:r>
      <w:r>
        <w:rPr>
          <w:spacing w:val="-7"/>
          <w:sz w:val="18"/>
          <w:szCs w:val="18"/>
          <w:lang w:val="es-ES_tradnl"/>
        </w:rPr>
        <w:t>29 del Reglamento de Sustanciaci</w:t>
      </w:r>
      <w:r>
        <w:rPr>
          <w:rFonts w:cs="Times New Roman"/>
          <w:spacing w:val="-7"/>
          <w:sz w:val="18"/>
          <w:szCs w:val="18"/>
          <w:lang w:val="es-ES_tradnl"/>
        </w:rPr>
        <w:t>ó</w:t>
      </w:r>
      <w:r>
        <w:rPr>
          <w:spacing w:val="-7"/>
          <w:sz w:val="18"/>
          <w:szCs w:val="18"/>
          <w:lang w:val="es-ES_tradnl"/>
        </w:rPr>
        <w:t xml:space="preserve">n de Procesos de </w:t>
      </w:r>
      <w:r>
        <w:rPr>
          <w:spacing w:val="-3"/>
          <w:sz w:val="18"/>
          <w:szCs w:val="18"/>
          <w:lang w:val="es-ES_tradnl"/>
        </w:rPr>
        <w:t xml:space="preserve">Competencia de la Corte Constitucional. </w:t>
      </w:r>
      <w:r>
        <w:rPr>
          <w:b/>
          <w:bCs/>
          <w:spacing w:val="-3"/>
          <w:sz w:val="18"/>
          <w:szCs w:val="18"/>
          <w:lang w:val="es-ES_tradnl"/>
        </w:rPr>
        <w:t>SEGUNDA.-</w:t>
      </w:r>
      <w:r>
        <w:rPr>
          <w:spacing w:val="-5"/>
          <w:sz w:val="18"/>
          <w:szCs w:val="18"/>
          <w:lang w:val="es-ES_tradnl"/>
        </w:rPr>
        <w:t>Conforme lo se</w:t>
      </w:r>
      <w:r>
        <w:rPr>
          <w:rFonts w:cs="Times New Roman"/>
          <w:spacing w:val="-5"/>
          <w:sz w:val="18"/>
          <w:szCs w:val="18"/>
          <w:lang w:val="es-ES_tradnl"/>
        </w:rPr>
        <w:t>ñ</w:t>
      </w:r>
      <w:r>
        <w:rPr>
          <w:spacing w:val="-5"/>
          <w:sz w:val="18"/>
          <w:szCs w:val="18"/>
          <w:lang w:val="es-ES_tradnl"/>
        </w:rPr>
        <w:t>ala el art</w:t>
      </w:r>
      <w:r>
        <w:rPr>
          <w:rFonts w:cs="Times New Roman"/>
          <w:spacing w:val="-5"/>
          <w:sz w:val="18"/>
          <w:szCs w:val="18"/>
          <w:lang w:val="es-ES_tradnl"/>
        </w:rPr>
        <w:t>í</w:t>
      </w:r>
      <w:r>
        <w:rPr>
          <w:spacing w:val="-5"/>
          <w:sz w:val="18"/>
          <w:szCs w:val="18"/>
          <w:lang w:val="es-ES_tradnl"/>
        </w:rPr>
        <w:t>culo 162 de la Ley Org</w:t>
      </w:r>
      <w:r>
        <w:rPr>
          <w:rFonts w:cs="Times New Roman"/>
          <w:spacing w:val="-5"/>
          <w:sz w:val="18"/>
          <w:szCs w:val="18"/>
          <w:lang w:val="es-ES_tradnl"/>
        </w:rPr>
        <w:t>á</w:t>
      </w:r>
      <w:r>
        <w:rPr>
          <w:spacing w:val="-5"/>
          <w:sz w:val="18"/>
          <w:szCs w:val="18"/>
          <w:lang w:val="es-ES_tradnl"/>
        </w:rPr>
        <w:t>nica de Garant</w:t>
      </w:r>
      <w:r>
        <w:rPr>
          <w:rFonts w:cs="Times New Roman"/>
          <w:spacing w:val="-5"/>
          <w:sz w:val="18"/>
          <w:szCs w:val="18"/>
          <w:lang w:val="es-ES_tradnl"/>
        </w:rPr>
        <w:t>í</w:t>
      </w:r>
      <w:r>
        <w:rPr>
          <w:spacing w:val="-5"/>
          <w:sz w:val="18"/>
          <w:szCs w:val="18"/>
          <w:lang w:val="es-ES_tradnl"/>
        </w:rPr>
        <w:t xml:space="preserve">as Jurisdiccionales y Control Constitucional: </w:t>
      </w:r>
      <w:r>
        <w:rPr>
          <w:rFonts w:cs="Times New Roman"/>
          <w:spacing w:val="-5"/>
          <w:sz w:val="18"/>
          <w:szCs w:val="18"/>
          <w:lang w:val="es-ES_tradnl"/>
        </w:rPr>
        <w:t>“</w:t>
      </w:r>
      <w:r>
        <w:rPr>
          <w:spacing w:val="-5"/>
          <w:sz w:val="18"/>
          <w:szCs w:val="18"/>
          <w:lang w:val="es-ES_tradnl"/>
        </w:rPr>
        <w:t xml:space="preserve">Las </w:t>
      </w:r>
      <w:r>
        <w:rPr>
          <w:spacing w:val="-8"/>
          <w:sz w:val="18"/>
          <w:szCs w:val="18"/>
          <w:lang w:val="es-ES_tradnl"/>
        </w:rPr>
        <w:t>sentencias y dict</w:t>
      </w:r>
      <w:r>
        <w:rPr>
          <w:rFonts w:cs="Times New Roman"/>
          <w:spacing w:val="-8"/>
          <w:sz w:val="18"/>
          <w:szCs w:val="18"/>
          <w:lang w:val="es-ES_tradnl"/>
        </w:rPr>
        <w:t>á</w:t>
      </w:r>
      <w:r>
        <w:rPr>
          <w:spacing w:val="-8"/>
          <w:sz w:val="18"/>
          <w:szCs w:val="18"/>
          <w:lang w:val="es-ES_tradnl"/>
        </w:rPr>
        <w:t xml:space="preserve">menes constitucionales son de inmediato </w:t>
      </w:r>
      <w:r>
        <w:rPr>
          <w:spacing w:val="-2"/>
          <w:sz w:val="18"/>
          <w:szCs w:val="18"/>
          <w:lang w:val="es-ES_tradnl"/>
        </w:rPr>
        <w:t>cumplimiento, sin perjuicio de la interposici</w:t>
      </w:r>
      <w:r>
        <w:rPr>
          <w:rFonts w:cs="Times New Roman"/>
          <w:spacing w:val="-2"/>
          <w:sz w:val="18"/>
          <w:szCs w:val="18"/>
          <w:lang w:val="es-ES_tradnl"/>
        </w:rPr>
        <w:t>ó</w:t>
      </w:r>
      <w:r>
        <w:rPr>
          <w:spacing w:val="-2"/>
          <w:sz w:val="18"/>
          <w:szCs w:val="18"/>
          <w:lang w:val="es-ES_tradnl"/>
        </w:rPr>
        <w:t xml:space="preserve">n de los </w:t>
      </w:r>
      <w:r>
        <w:rPr>
          <w:spacing w:val="-5"/>
          <w:sz w:val="18"/>
          <w:szCs w:val="18"/>
          <w:lang w:val="es-ES_tradnl"/>
        </w:rPr>
        <w:t>recursos de aclaraci</w:t>
      </w:r>
      <w:r>
        <w:rPr>
          <w:rFonts w:cs="Times New Roman"/>
          <w:spacing w:val="-5"/>
          <w:sz w:val="18"/>
          <w:szCs w:val="18"/>
          <w:lang w:val="es-ES_tradnl"/>
        </w:rPr>
        <w:t>ó</w:t>
      </w:r>
      <w:r>
        <w:rPr>
          <w:spacing w:val="-5"/>
          <w:sz w:val="18"/>
          <w:szCs w:val="18"/>
          <w:lang w:val="es-ES_tradnl"/>
        </w:rPr>
        <w:t>n o ampliaci</w:t>
      </w:r>
      <w:r>
        <w:rPr>
          <w:rFonts w:cs="Times New Roman"/>
          <w:spacing w:val="-5"/>
          <w:sz w:val="18"/>
          <w:szCs w:val="18"/>
          <w:lang w:val="es-ES_tradnl"/>
        </w:rPr>
        <w:t>ó</w:t>
      </w:r>
      <w:r>
        <w:rPr>
          <w:spacing w:val="-5"/>
          <w:sz w:val="18"/>
          <w:szCs w:val="18"/>
          <w:lang w:val="es-ES_tradnl"/>
        </w:rPr>
        <w:t xml:space="preserve">n, y sin perjuicio de su </w:t>
      </w:r>
      <w:r>
        <w:rPr>
          <w:spacing w:val="-3"/>
          <w:sz w:val="18"/>
          <w:szCs w:val="18"/>
          <w:lang w:val="es-ES_tradnl"/>
        </w:rPr>
        <w:t>modulaci</w:t>
      </w:r>
      <w:r>
        <w:rPr>
          <w:rFonts w:cs="Times New Roman"/>
          <w:spacing w:val="-3"/>
          <w:sz w:val="18"/>
          <w:szCs w:val="18"/>
          <w:lang w:val="es-ES_tradnl"/>
        </w:rPr>
        <w:t>ó</w:t>
      </w:r>
      <w:r>
        <w:rPr>
          <w:spacing w:val="-3"/>
          <w:sz w:val="18"/>
          <w:szCs w:val="18"/>
          <w:lang w:val="es-ES_tradnl"/>
        </w:rPr>
        <w:t>n</w:t>
      </w:r>
      <w:r>
        <w:rPr>
          <w:rFonts w:cs="Times New Roman"/>
          <w:spacing w:val="-3"/>
          <w:sz w:val="18"/>
          <w:szCs w:val="18"/>
          <w:lang w:val="es-ES_tradnl"/>
        </w:rPr>
        <w:t>”</w:t>
      </w:r>
      <w:r>
        <w:rPr>
          <w:spacing w:val="-3"/>
          <w:sz w:val="18"/>
          <w:szCs w:val="18"/>
          <w:lang w:val="es-ES_tradnl"/>
        </w:rPr>
        <w:t>. En este sentido, el recurso de ampliaci</w:t>
      </w:r>
      <w:r>
        <w:rPr>
          <w:rFonts w:cs="Times New Roman"/>
          <w:spacing w:val="-3"/>
          <w:sz w:val="18"/>
          <w:szCs w:val="18"/>
          <w:lang w:val="es-ES_tradnl"/>
        </w:rPr>
        <w:t>ó</w:t>
      </w:r>
      <w:r>
        <w:rPr>
          <w:spacing w:val="-3"/>
          <w:sz w:val="18"/>
          <w:szCs w:val="18"/>
          <w:lang w:val="es-ES_tradnl"/>
        </w:rPr>
        <w:t xml:space="preserve">n </w:t>
      </w:r>
      <w:r>
        <w:rPr>
          <w:spacing w:val="-4"/>
          <w:sz w:val="18"/>
          <w:szCs w:val="18"/>
          <w:lang w:val="es-ES_tradnl"/>
        </w:rPr>
        <w:t>tiene por objeto suplir cualquier omisi</w:t>
      </w:r>
      <w:r>
        <w:rPr>
          <w:rFonts w:cs="Times New Roman"/>
          <w:spacing w:val="-4"/>
          <w:sz w:val="18"/>
          <w:szCs w:val="18"/>
          <w:lang w:val="es-ES_tradnl"/>
        </w:rPr>
        <w:t>ó</w:t>
      </w:r>
      <w:r>
        <w:rPr>
          <w:spacing w:val="-4"/>
          <w:sz w:val="18"/>
          <w:szCs w:val="18"/>
          <w:lang w:val="es-ES_tradnl"/>
        </w:rPr>
        <w:t xml:space="preserve">n que se hubiese </w:t>
      </w:r>
      <w:r>
        <w:rPr>
          <w:spacing w:val="-6"/>
          <w:sz w:val="18"/>
          <w:szCs w:val="18"/>
          <w:lang w:val="es-ES_tradnl"/>
        </w:rPr>
        <w:t xml:space="preserve">incurrido respecto de las alegaciones y pretensiones </w:t>
      </w:r>
      <w:r>
        <w:rPr>
          <w:spacing w:val="-7"/>
          <w:sz w:val="18"/>
          <w:szCs w:val="18"/>
          <w:lang w:val="es-ES_tradnl"/>
        </w:rPr>
        <w:t>debidamente planteadas o, resolver alg</w:t>
      </w:r>
      <w:r>
        <w:rPr>
          <w:rFonts w:cs="Times New Roman"/>
          <w:spacing w:val="-7"/>
          <w:sz w:val="18"/>
          <w:szCs w:val="18"/>
          <w:lang w:val="es-ES_tradnl"/>
        </w:rPr>
        <w:t>ú</w:t>
      </w:r>
      <w:r>
        <w:rPr>
          <w:spacing w:val="-7"/>
          <w:sz w:val="18"/>
          <w:szCs w:val="18"/>
          <w:lang w:val="es-ES_tradnl"/>
        </w:rPr>
        <w:t xml:space="preserve">n punto sometido </w:t>
      </w:r>
      <w:r>
        <w:rPr>
          <w:spacing w:val="-5"/>
          <w:sz w:val="18"/>
          <w:szCs w:val="18"/>
          <w:lang w:val="es-ES_tradnl"/>
        </w:rPr>
        <w:t>a consideraci</w:t>
      </w:r>
      <w:r>
        <w:rPr>
          <w:rFonts w:cs="Times New Roman"/>
          <w:spacing w:val="-5"/>
          <w:sz w:val="18"/>
          <w:szCs w:val="18"/>
          <w:lang w:val="es-ES_tradnl"/>
        </w:rPr>
        <w:t>ó</w:t>
      </w:r>
      <w:r>
        <w:rPr>
          <w:spacing w:val="-5"/>
          <w:sz w:val="18"/>
          <w:szCs w:val="18"/>
          <w:lang w:val="es-ES_tradnl"/>
        </w:rPr>
        <w:t xml:space="preserve">n de esta Corte Constitucional que no se </w:t>
      </w:r>
      <w:r>
        <w:rPr>
          <w:spacing w:val="-8"/>
          <w:sz w:val="18"/>
          <w:szCs w:val="18"/>
          <w:lang w:val="es-ES_tradnl"/>
        </w:rPr>
        <w:t xml:space="preserve">hubiese resuelto mediante sentencia. No obstante, en caso </w:t>
      </w:r>
      <w:r>
        <w:rPr>
          <w:spacing w:val="-5"/>
          <w:sz w:val="18"/>
          <w:szCs w:val="18"/>
          <w:lang w:val="es-ES_tradnl"/>
        </w:rPr>
        <w:t>de proceder la ampliaci</w:t>
      </w:r>
      <w:r>
        <w:rPr>
          <w:rFonts w:cs="Times New Roman"/>
          <w:spacing w:val="-5"/>
          <w:sz w:val="18"/>
          <w:szCs w:val="18"/>
          <w:lang w:val="es-ES_tradnl"/>
        </w:rPr>
        <w:t>ó</w:t>
      </w:r>
      <w:r>
        <w:rPr>
          <w:spacing w:val="-5"/>
          <w:sz w:val="18"/>
          <w:szCs w:val="18"/>
          <w:lang w:val="es-ES_tradnl"/>
        </w:rPr>
        <w:t>n, aquella no podr</w:t>
      </w:r>
      <w:r>
        <w:rPr>
          <w:rFonts w:cs="Times New Roman"/>
          <w:spacing w:val="-5"/>
          <w:sz w:val="18"/>
          <w:szCs w:val="18"/>
          <w:lang w:val="es-ES_tradnl"/>
        </w:rPr>
        <w:t>á</w:t>
      </w:r>
      <w:r>
        <w:rPr>
          <w:spacing w:val="-5"/>
          <w:sz w:val="18"/>
          <w:szCs w:val="18"/>
          <w:lang w:val="es-ES_tradnl"/>
        </w:rPr>
        <w:t xml:space="preserve"> modificar el </w:t>
      </w:r>
      <w:r>
        <w:rPr>
          <w:spacing w:val="-6"/>
          <w:sz w:val="18"/>
          <w:szCs w:val="18"/>
          <w:lang w:val="es-ES_tradnl"/>
        </w:rPr>
        <w:t>alcance o contenido de la decisi</w:t>
      </w:r>
      <w:r>
        <w:rPr>
          <w:rFonts w:cs="Times New Roman"/>
          <w:spacing w:val="-6"/>
          <w:sz w:val="18"/>
          <w:szCs w:val="18"/>
          <w:lang w:val="es-ES_tradnl"/>
        </w:rPr>
        <w:t>ó</w:t>
      </w:r>
      <w:r>
        <w:rPr>
          <w:spacing w:val="-6"/>
          <w:sz w:val="18"/>
          <w:szCs w:val="18"/>
          <w:lang w:val="es-ES_tradnl"/>
        </w:rPr>
        <w:t xml:space="preserve">n porque las sentencias </w:t>
      </w:r>
      <w:r>
        <w:rPr>
          <w:spacing w:val="-5"/>
          <w:sz w:val="18"/>
          <w:szCs w:val="18"/>
          <w:lang w:val="es-ES_tradnl"/>
        </w:rPr>
        <w:t>constitucionales no pueden ser objeto de modificaci</w:t>
      </w:r>
      <w:r>
        <w:rPr>
          <w:rFonts w:cs="Times New Roman"/>
          <w:spacing w:val="-5"/>
          <w:sz w:val="18"/>
          <w:szCs w:val="18"/>
          <w:lang w:val="es-ES_tradnl"/>
        </w:rPr>
        <w:t>ó</w:t>
      </w:r>
      <w:r>
        <w:rPr>
          <w:spacing w:val="-5"/>
          <w:sz w:val="18"/>
          <w:szCs w:val="18"/>
          <w:lang w:val="es-ES_tradnl"/>
        </w:rPr>
        <w:t xml:space="preserve">n o reforma. Sin embargo, cabe la posibilidad que estas se </w:t>
      </w:r>
      <w:r>
        <w:rPr>
          <w:spacing w:val="-7"/>
          <w:sz w:val="18"/>
          <w:szCs w:val="18"/>
          <w:lang w:val="es-ES_tradnl"/>
        </w:rPr>
        <w:t>pudieren ampliar o aclarar, en raz</w:t>
      </w:r>
      <w:r>
        <w:rPr>
          <w:rFonts w:cs="Times New Roman"/>
          <w:spacing w:val="-7"/>
          <w:sz w:val="18"/>
          <w:szCs w:val="18"/>
          <w:lang w:val="es-ES_tradnl"/>
        </w:rPr>
        <w:t>ó</w:t>
      </w:r>
      <w:r>
        <w:rPr>
          <w:spacing w:val="-7"/>
          <w:sz w:val="18"/>
          <w:szCs w:val="18"/>
          <w:lang w:val="es-ES_tradnl"/>
        </w:rPr>
        <w:t>n de la presentaci</w:t>
      </w:r>
      <w:r>
        <w:rPr>
          <w:rFonts w:cs="Times New Roman"/>
          <w:spacing w:val="-7"/>
          <w:sz w:val="18"/>
          <w:szCs w:val="18"/>
          <w:lang w:val="es-ES_tradnl"/>
        </w:rPr>
        <w:t>ó</w:t>
      </w:r>
      <w:r>
        <w:rPr>
          <w:spacing w:val="-7"/>
          <w:sz w:val="18"/>
          <w:szCs w:val="18"/>
          <w:lang w:val="es-ES_tradnl"/>
        </w:rPr>
        <w:t xml:space="preserve">n de </w:t>
      </w:r>
      <w:r>
        <w:rPr>
          <w:spacing w:val="-6"/>
          <w:sz w:val="18"/>
          <w:szCs w:val="18"/>
          <w:lang w:val="es-ES_tradnl"/>
        </w:rPr>
        <w:t xml:space="preserve">los respectivos recursos horizontales y siempre que haya </w:t>
      </w:r>
      <w:r>
        <w:rPr>
          <w:spacing w:val="-4"/>
          <w:sz w:val="18"/>
          <w:szCs w:val="18"/>
          <w:lang w:val="es-ES_tradnl"/>
        </w:rPr>
        <w:t xml:space="preserve">lugar. </w:t>
      </w:r>
      <w:r>
        <w:rPr>
          <w:b/>
          <w:bCs/>
          <w:spacing w:val="-4"/>
          <w:sz w:val="18"/>
          <w:szCs w:val="18"/>
          <w:lang w:val="es-ES_tradnl"/>
        </w:rPr>
        <w:t xml:space="preserve">TERCERA.- </w:t>
      </w:r>
      <w:r>
        <w:rPr>
          <w:spacing w:val="-4"/>
          <w:sz w:val="18"/>
          <w:szCs w:val="18"/>
          <w:lang w:val="es-ES_tradnl"/>
        </w:rPr>
        <w:t>La sentencia dictada por el Pleno de la Corte Constitucional, el 25 de marzo de 2015, acept</w:t>
      </w:r>
      <w:r>
        <w:rPr>
          <w:rFonts w:cs="Times New Roman"/>
          <w:spacing w:val="-4"/>
          <w:sz w:val="18"/>
          <w:szCs w:val="18"/>
          <w:lang w:val="es-ES_tradnl"/>
        </w:rPr>
        <w:t xml:space="preserve">ó </w:t>
      </w:r>
      <w:r>
        <w:rPr>
          <w:spacing w:val="-4"/>
          <w:sz w:val="18"/>
          <w:szCs w:val="18"/>
          <w:lang w:val="es-ES_tradnl"/>
        </w:rPr>
        <w:t>la acci</w:t>
      </w:r>
      <w:r>
        <w:rPr>
          <w:rFonts w:cs="Times New Roman"/>
          <w:spacing w:val="-4"/>
          <w:sz w:val="18"/>
          <w:szCs w:val="18"/>
          <w:lang w:val="es-ES_tradnl"/>
        </w:rPr>
        <w:t>ó</w:t>
      </w:r>
      <w:r>
        <w:rPr>
          <w:spacing w:val="-4"/>
          <w:sz w:val="18"/>
          <w:szCs w:val="18"/>
          <w:lang w:val="es-ES_tradnl"/>
        </w:rPr>
        <w:t>n extraordinaria de protecci</w:t>
      </w:r>
      <w:r>
        <w:rPr>
          <w:rFonts w:cs="Times New Roman"/>
          <w:spacing w:val="-4"/>
          <w:sz w:val="18"/>
          <w:szCs w:val="18"/>
          <w:lang w:val="es-ES_tradnl"/>
        </w:rPr>
        <w:t>ó</w:t>
      </w:r>
      <w:r>
        <w:rPr>
          <w:spacing w:val="-4"/>
          <w:sz w:val="18"/>
          <w:szCs w:val="18"/>
          <w:lang w:val="es-ES_tradnl"/>
        </w:rPr>
        <w:t xml:space="preserve">n propuesta por el </w:t>
      </w:r>
      <w:r>
        <w:rPr>
          <w:spacing w:val="-7"/>
          <w:sz w:val="18"/>
          <w:szCs w:val="18"/>
          <w:lang w:val="es-ES_tradnl"/>
        </w:rPr>
        <w:t>se</w:t>
      </w:r>
      <w:r>
        <w:rPr>
          <w:rFonts w:cs="Times New Roman"/>
          <w:spacing w:val="-7"/>
          <w:sz w:val="18"/>
          <w:szCs w:val="18"/>
          <w:lang w:val="es-ES_tradnl"/>
        </w:rPr>
        <w:t>ñ</w:t>
      </w:r>
      <w:r>
        <w:rPr>
          <w:spacing w:val="-7"/>
          <w:sz w:val="18"/>
          <w:szCs w:val="18"/>
          <w:lang w:val="es-ES_tradnl"/>
        </w:rPr>
        <w:t>or Henry An</w:t>
      </w:r>
      <w:r>
        <w:rPr>
          <w:rFonts w:cs="Times New Roman"/>
          <w:spacing w:val="-7"/>
          <w:sz w:val="18"/>
          <w:szCs w:val="18"/>
          <w:lang w:val="es-ES_tradnl"/>
        </w:rPr>
        <w:t>í</w:t>
      </w:r>
      <w:r>
        <w:rPr>
          <w:spacing w:val="-7"/>
          <w:sz w:val="18"/>
          <w:szCs w:val="18"/>
          <w:lang w:val="es-ES_tradnl"/>
        </w:rPr>
        <w:t xml:space="preserve">bal Ayala Espinoza, en calidad de gerente </w:t>
      </w:r>
      <w:r>
        <w:rPr>
          <w:spacing w:val="-5"/>
          <w:sz w:val="18"/>
          <w:szCs w:val="18"/>
          <w:lang w:val="es-ES_tradnl"/>
        </w:rPr>
        <w:t>general y representante legal de la compa</w:t>
      </w:r>
      <w:r>
        <w:rPr>
          <w:rFonts w:cs="Times New Roman"/>
          <w:spacing w:val="-5"/>
          <w:sz w:val="18"/>
          <w:szCs w:val="18"/>
          <w:lang w:val="es-ES_tradnl"/>
        </w:rPr>
        <w:t>ñí</w:t>
      </w:r>
      <w:r>
        <w:rPr>
          <w:spacing w:val="-5"/>
          <w:sz w:val="18"/>
          <w:szCs w:val="18"/>
          <w:lang w:val="es-ES_tradnl"/>
        </w:rPr>
        <w:t xml:space="preserve">a Denegsa </w:t>
      </w:r>
      <w:r>
        <w:rPr>
          <w:spacing w:val="-3"/>
          <w:sz w:val="18"/>
          <w:szCs w:val="18"/>
          <w:lang w:val="es-ES_tradnl"/>
        </w:rPr>
        <w:t>S.A., al se</w:t>
      </w:r>
      <w:r>
        <w:rPr>
          <w:rFonts w:cs="Times New Roman"/>
          <w:spacing w:val="-3"/>
          <w:sz w:val="18"/>
          <w:szCs w:val="18"/>
          <w:lang w:val="es-ES_tradnl"/>
        </w:rPr>
        <w:t>ñ</w:t>
      </w:r>
      <w:r>
        <w:rPr>
          <w:spacing w:val="-3"/>
          <w:sz w:val="18"/>
          <w:szCs w:val="18"/>
          <w:lang w:val="es-ES_tradnl"/>
        </w:rPr>
        <w:t xml:space="preserve">alar en su parte resolutiva: </w:t>
      </w:r>
      <w:r>
        <w:rPr>
          <w:rFonts w:cs="Times New Roman"/>
          <w:spacing w:val="-3"/>
          <w:sz w:val="18"/>
          <w:szCs w:val="18"/>
          <w:lang w:val="es-ES_tradnl"/>
        </w:rPr>
        <w:t>“</w:t>
      </w:r>
      <w:r>
        <w:rPr>
          <w:spacing w:val="-3"/>
          <w:sz w:val="18"/>
          <w:szCs w:val="18"/>
          <w:lang w:val="es-ES_tradnl"/>
        </w:rPr>
        <w:t xml:space="preserve">1. Declarar la </w:t>
      </w:r>
      <w:r>
        <w:rPr>
          <w:spacing w:val="-5"/>
          <w:sz w:val="18"/>
          <w:szCs w:val="18"/>
          <w:lang w:val="es-ES_tradnl"/>
        </w:rPr>
        <w:t>vulneraci</w:t>
      </w:r>
      <w:r>
        <w:rPr>
          <w:rFonts w:cs="Times New Roman"/>
          <w:spacing w:val="-5"/>
          <w:sz w:val="18"/>
          <w:szCs w:val="18"/>
          <w:lang w:val="es-ES_tradnl"/>
        </w:rPr>
        <w:t>ó</w:t>
      </w:r>
      <w:r>
        <w:rPr>
          <w:spacing w:val="-5"/>
          <w:sz w:val="18"/>
          <w:szCs w:val="18"/>
          <w:lang w:val="es-ES_tradnl"/>
        </w:rPr>
        <w:t xml:space="preserve">n de los derechos constitucionales a la tutela </w:t>
      </w:r>
      <w:r>
        <w:rPr>
          <w:spacing w:val="-3"/>
          <w:sz w:val="18"/>
          <w:szCs w:val="18"/>
          <w:lang w:val="es-ES_tradnl"/>
        </w:rPr>
        <w:t>judicial efectiva y a la seguridad jur</w:t>
      </w:r>
      <w:r>
        <w:rPr>
          <w:rFonts w:cs="Times New Roman"/>
          <w:spacing w:val="-3"/>
          <w:sz w:val="18"/>
          <w:szCs w:val="18"/>
          <w:lang w:val="es-ES_tradnl"/>
        </w:rPr>
        <w:t>í</w:t>
      </w:r>
      <w:r>
        <w:rPr>
          <w:spacing w:val="-3"/>
          <w:sz w:val="18"/>
          <w:szCs w:val="18"/>
          <w:lang w:val="es-ES_tradnl"/>
        </w:rPr>
        <w:t xml:space="preserve">dica. 2. Aceptar la </w:t>
      </w:r>
      <w:r>
        <w:rPr>
          <w:spacing w:val="-5"/>
          <w:sz w:val="18"/>
          <w:szCs w:val="18"/>
          <w:lang w:val="es-ES_tradnl"/>
        </w:rPr>
        <w:t>acci</w:t>
      </w:r>
      <w:r>
        <w:rPr>
          <w:rFonts w:cs="Times New Roman"/>
          <w:spacing w:val="-5"/>
          <w:sz w:val="18"/>
          <w:szCs w:val="18"/>
          <w:lang w:val="es-ES_tradnl"/>
        </w:rPr>
        <w:t>ó</w:t>
      </w:r>
      <w:r>
        <w:rPr>
          <w:spacing w:val="-5"/>
          <w:sz w:val="18"/>
          <w:szCs w:val="18"/>
          <w:lang w:val="es-ES_tradnl"/>
        </w:rPr>
        <w:t>n extraordinaria de protecci</w:t>
      </w:r>
      <w:r>
        <w:rPr>
          <w:rFonts w:cs="Times New Roman"/>
          <w:spacing w:val="-5"/>
          <w:sz w:val="18"/>
          <w:szCs w:val="18"/>
          <w:lang w:val="es-ES_tradnl"/>
        </w:rPr>
        <w:t>ó</w:t>
      </w:r>
      <w:r>
        <w:rPr>
          <w:spacing w:val="-5"/>
          <w:sz w:val="18"/>
          <w:szCs w:val="18"/>
          <w:lang w:val="es-ES_tradnl"/>
        </w:rPr>
        <w:t>n presentada. 3. Como medidas de reparaci</w:t>
      </w:r>
      <w:r>
        <w:rPr>
          <w:rFonts w:cs="Times New Roman"/>
          <w:spacing w:val="-5"/>
          <w:sz w:val="18"/>
          <w:szCs w:val="18"/>
          <w:lang w:val="es-ES_tradnl"/>
        </w:rPr>
        <w:t>ó</w:t>
      </w:r>
      <w:r>
        <w:rPr>
          <w:spacing w:val="-5"/>
          <w:sz w:val="18"/>
          <w:szCs w:val="18"/>
          <w:lang w:val="es-ES_tradnl"/>
        </w:rPr>
        <w:t xml:space="preserve">n integral, se dispone lo siguiente: </w:t>
      </w:r>
      <w:r>
        <w:rPr>
          <w:spacing w:val="-3"/>
          <w:sz w:val="18"/>
          <w:szCs w:val="18"/>
          <w:lang w:val="es-ES_tradnl"/>
        </w:rPr>
        <w:t>3.1. Dejar sin efecto la decisi</w:t>
      </w:r>
      <w:r>
        <w:rPr>
          <w:rFonts w:cs="Times New Roman"/>
          <w:spacing w:val="-3"/>
          <w:sz w:val="18"/>
          <w:szCs w:val="18"/>
          <w:lang w:val="es-ES_tradnl"/>
        </w:rPr>
        <w:t>ó</w:t>
      </w:r>
      <w:r>
        <w:rPr>
          <w:spacing w:val="-3"/>
          <w:sz w:val="18"/>
          <w:szCs w:val="18"/>
          <w:lang w:val="es-ES_tradnl"/>
        </w:rPr>
        <w:t xml:space="preserve">n judicial dictada el 12 de </w:t>
      </w:r>
      <w:r>
        <w:rPr>
          <w:spacing w:val="-4"/>
          <w:sz w:val="18"/>
          <w:szCs w:val="18"/>
          <w:lang w:val="es-ES_tradnl"/>
        </w:rPr>
        <w:t xml:space="preserve">febrero de 2014, por la Sala </w:t>
      </w:r>
      <w:r>
        <w:rPr>
          <w:rFonts w:cs="Times New Roman"/>
          <w:spacing w:val="-4"/>
          <w:sz w:val="18"/>
          <w:szCs w:val="18"/>
          <w:lang w:val="es-ES_tradnl"/>
        </w:rPr>
        <w:t>Ú</w:t>
      </w:r>
      <w:r>
        <w:rPr>
          <w:spacing w:val="-4"/>
          <w:sz w:val="18"/>
          <w:szCs w:val="18"/>
          <w:lang w:val="es-ES_tradnl"/>
        </w:rPr>
        <w:t xml:space="preserve">nica de la Corte Provincial </w:t>
      </w:r>
      <w:r>
        <w:rPr>
          <w:spacing w:val="-2"/>
          <w:sz w:val="18"/>
          <w:szCs w:val="18"/>
          <w:lang w:val="es-ES_tradnl"/>
        </w:rPr>
        <w:t>de Justicia de Santo Domingo de los Ts</w:t>
      </w:r>
      <w:r>
        <w:rPr>
          <w:rFonts w:cs="Times New Roman"/>
          <w:spacing w:val="-2"/>
          <w:sz w:val="18"/>
          <w:szCs w:val="18"/>
          <w:lang w:val="es-ES_tradnl"/>
        </w:rPr>
        <w:t>á</w:t>
      </w:r>
      <w:r>
        <w:rPr>
          <w:spacing w:val="-2"/>
          <w:sz w:val="18"/>
          <w:szCs w:val="18"/>
          <w:lang w:val="es-ES_tradnl"/>
        </w:rPr>
        <w:t xml:space="preserve">chilas, en el </w:t>
      </w:r>
      <w:r>
        <w:rPr>
          <w:spacing w:val="-4"/>
          <w:sz w:val="18"/>
          <w:szCs w:val="18"/>
          <w:lang w:val="es-ES_tradnl"/>
        </w:rPr>
        <w:t>juicio ordinario N.</w:t>
      </w:r>
      <w:r>
        <w:rPr>
          <w:rFonts w:cs="Times New Roman"/>
          <w:spacing w:val="-4"/>
          <w:sz w:val="18"/>
          <w:szCs w:val="18"/>
          <w:lang w:val="es-ES_tradnl"/>
        </w:rPr>
        <w:t>°</w:t>
      </w:r>
      <w:r>
        <w:rPr>
          <w:spacing w:val="-4"/>
          <w:sz w:val="18"/>
          <w:szCs w:val="18"/>
          <w:lang w:val="es-ES_tradnl"/>
        </w:rPr>
        <w:t xml:space="preserve"> 0029-2013, as</w:t>
      </w:r>
      <w:r>
        <w:rPr>
          <w:rFonts w:cs="Times New Roman"/>
          <w:spacing w:val="-4"/>
          <w:sz w:val="18"/>
          <w:szCs w:val="18"/>
          <w:lang w:val="es-ES_tradnl"/>
        </w:rPr>
        <w:t>í</w:t>
      </w:r>
      <w:r>
        <w:rPr>
          <w:spacing w:val="-4"/>
          <w:sz w:val="18"/>
          <w:szCs w:val="18"/>
          <w:lang w:val="es-ES_tradnl"/>
        </w:rPr>
        <w:t xml:space="preserve"> como todos los actos </w:t>
      </w:r>
      <w:r>
        <w:rPr>
          <w:spacing w:val="-7"/>
          <w:sz w:val="18"/>
          <w:szCs w:val="18"/>
          <w:lang w:val="es-ES_tradnl"/>
        </w:rPr>
        <w:t>procesales y dem</w:t>
      </w:r>
      <w:r>
        <w:rPr>
          <w:rFonts w:cs="Times New Roman"/>
          <w:spacing w:val="-7"/>
          <w:sz w:val="18"/>
          <w:szCs w:val="18"/>
          <w:lang w:val="es-ES_tradnl"/>
        </w:rPr>
        <w:t>á</w:t>
      </w:r>
      <w:r>
        <w:rPr>
          <w:spacing w:val="-7"/>
          <w:sz w:val="18"/>
          <w:szCs w:val="18"/>
          <w:lang w:val="es-ES_tradnl"/>
        </w:rPr>
        <w:t xml:space="preserve">s providencias judiciales dictadas como </w:t>
      </w:r>
      <w:r>
        <w:rPr>
          <w:spacing w:val="-5"/>
          <w:sz w:val="18"/>
          <w:szCs w:val="18"/>
          <w:lang w:val="es-ES_tradnl"/>
        </w:rPr>
        <w:t>consecuencia de la mencionada decisi</w:t>
      </w:r>
      <w:r>
        <w:rPr>
          <w:rFonts w:cs="Times New Roman"/>
          <w:spacing w:val="-5"/>
          <w:sz w:val="18"/>
          <w:szCs w:val="18"/>
          <w:lang w:val="es-ES_tradnl"/>
        </w:rPr>
        <w:t>ó</w:t>
      </w:r>
      <w:r>
        <w:rPr>
          <w:spacing w:val="-5"/>
          <w:sz w:val="18"/>
          <w:szCs w:val="18"/>
          <w:lang w:val="es-ES_tradnl"/>
        </w:rPr>
        <w:t xml:space="preserve">n judicial. 3.2. </w:t>
      </w:r>
      <w:r>
        <w:rPr>
          <w:spacing w:val="-6"/>
          <w:sz w:val="18"/>
          <w:szCs w:val="18"/>
          <w:lang w:val="es-ES_tradnl"/>
        </w:rPr>
        <w:t xml:space="preserve">Retrotraer el proceso judicial hasta el momento en el cual </w:t>
      </w:r>
      <w:r>
        <w:rPr>
          <w:spacing w:val="-5"/>
          <w:sz w:val="18"/>
          <w:szCs w:val="18"/>
          <w:lang w:val="es-ES_tradnl"/>
        </w:rPr>
        <w:t>se produjo la vulneraci</w:t>
      </w:r>
      <w:r>
        <w:rPr>
          <w:rFonts w:cs="Times New Roman"/>
          <w:spacing w:val="-5"/>
          <w:sz w:val="18"/>
          <w:szCs w:val="18"/>
          <w:lang w:val="es-ES_tradnl"/>
        </w:rPr>
        <w:t>ó</w:t>
      </w:r>
      <w:r>
        <w:rPr>
          <w:spacing w:val="-5"/>
          <w:sz w:val="18"/>
          <w:szCs w:val="18"/>
          <w:lang w:val="es-ES_tradnl"/>
        </w:rPr>
        <w:t xml:space="preserve">n de derechos constitucionales. </w:t>
      </w:r>
      <w:r>
        <w:rPr>
          <w:spacing w:val="-7"/>
          <w:sz w:val="18"/>
          <w:szCs w:val="18"/>
          <w:lang w:val="es-ES_tradnl"/>
        </w:rPr>
        <w:t xml:space="preserve">3.3. Disponer que otros jueces de la Sala Multicompetente </w:t>
      </w:r>
      <w:r>
        <w:rPr>
          <w:spacing w:val="-4"/>
          <w:sz w:val="18"/>
          <w:szCs w:val="18"/>
          <w:lang w:val="es-ES_tradnl"/>
        </w:rPr>
        <w:t xml:space="preserve">de la Corte Provincial de Justicia de Santo Domingo de </w:t>
      </w:r>
      <w:r>
        <w:rPr>
          <w:spacing w:val="-5"/>
          <w:sz w:val="18"/>
          <w:szCs w:val="18"/>
          <w:lang w:val="es-ES_tradnl"/>
        </w:rPr>
        <w:t>los Ts</w:t>
      </w:r>
      <w:r>
        <w:rPr>
          <w:rFonts w:cs="Times New Roman"/>
          <w:spacing w:val="-5"/>
          <w:sz w:val="18"/>
          <w:szCs w:val="18"/>
          <w:lang w:val="es-ES_tradnl"/>
        </w:rPr>
        <w:t>á</w:t>
      </w:r>
      <w:r>
        <w:rPr>
          <w:spacing w:val="-5"/>
          <w:sz w:val="18"/>
          <w:szCs w:val="18"/>
          <w:lang w:val="es-ES_tradnl"/>
        </w:rPr>
        <w:t>chilas se pronuncien judicialmente con relaci</w:t>
      </w:r>
      <w:r>
        <w:rPr>
          <w:rFonts w:cs="Times New Roman"/>
          <w:spacing w:val="-5"/>
          <w:sz w:val="18"/>
          <w:szCs w:val="18"/>
          <w:lang w:val="es-ES_tradnl"/>
        </w:rPr>
        <w:t>ó</w:t>
      </w:r>
      <w:r>
        <w:rPr>
          <w:spacing w:val="-5"/>
          <w:sz w:val="18"/>
          <w:szCs w:val="18"/>
          <w:lang w:val="es-ES_tradnl"/>
        </w:rPr>
        <w:t>n al recurso de casaci</w:t>
      </w:r>
      <w:r>
        <w:rPr>
          <w:rFonts w:cs="Times New Roman"/>
          <w:spacing w:val="-5"/>
          <w:sz w:val="18"/>
          <w:szCs w:val="18"/>
          <w:lang w:val="es-ES_tradnl"/>
        </w:rPr>
        <w:t>ó</w:t>
      </w:r>
      <w:r>
        <w:rPr>
          <w:spacing w:val="-5"/>
          <w:sz w:val="18"/>
          <w:szCs w:val="18"/>
          <w:lang w:val="es-ES_tradnl"/>
        </w:rPr>
        <w:t xml:space="preserve">n interpuesto por el legitimado activo, </w:t>
      </w:r>
      <w:r>
        <w:rPr>
          <w:spacing w:val="-9"/>
          <w:sz w:val="18"/>
          <w:szCs w:val="18"/>
          <w:lang w:val="es-ES_tradnl"/>
        </w:rPr>
        <w:t>Henry An</w:t>
      </w:r>
      <w:r>
        <w:rPr>
          <w:rFonts w:cs="Times New Roman"/>
          <w:spacing w:val="-9"/>
          <w:sz w:val="18"/>
          <w:szCs w:val="18"/>
          <w:lang w:val="es-ES_tradnl"/>
        </w:rPr>
        <w:t>í</w:t>
      </w:r>
      <w:r>
        <w:rPr>
          <w:spacing w:val="-9"/>
          <w:sz w:val="18"/>
          <w:szCs w:val="18"/>
          <w:lang w:val="es-ES_tradnl"/>
        </w:rPr>
        <w:t xml:space="preserve">bal Ayala Espinoza, en calidad de gerente general </w:t>
      </w:r>
      <w:r>
        <w:rPr>
          <w:spacing w:val="-6"/>
          <w:sz w:val="18"/>
          <w:szCs w:val="18"/>
          <w:lang w:val="es-ES_tradnl"/>
        </w:rPr>
        <w:t>y representante legal de la compa</w:t>
      </w:r>
      <w:r>
        <w:rPr>
          <w:rFonts w:cs="Times New Roman"/>
          <w:spacing w:val="-6"/>
          <w:sz w:val="18"/>
          <w:szCs w:val="18"/>
          <w:lang w:val="es-ES_tradnl"/>
        </w:rPr>
        <w:t>ñí</w:t>
      </w:r>
      <w:r>
        <w:rPr>
          <w:spacing w:val="-6"/>
          <w:sz w:val="18"/>
          <w:szCs w:val="18"/>
          <w:lang w:val="es-ES_tradnl"/>
        </w:rPr>
        <w:t xml:space="preserve">a Denegsa S. A. por </w:t>
      </w:r>
      <w:r>
        <w:rPr>
          <w:spacing w:val="-8"/>
          <w:sz w:val="18"/>
          <w:szCs w:val="18"/>
          <w:lang w:val="es-ES_tradnl"/>
        </w:rPr>
        <w:t xml:space="preserve">medio de escrito presentado por su abogado patrocinador, </w:t>
      </w:r>
      <w:r>
        <w:rPr>
          <w:spacing w:val="-7"/>
          <w:sz w:val="18"/>
          <w:szCs w:val="18"/>
          <w:lang w:val="es-ES_tradnl"/>
        </w:rPr>
        <w:t xml:space="preserve">en observancia irrestricta de los derechos constitucionales </w:t>
      </w:r>
      <w:r>
        <w:rPr>
          <w:spacing w:val="-2"/>
          <w:sz w:val="18"/>
          <w:szCs w:val="18"/>
          <w:lang w:val="es-ES_tradnl"/>
        </w:rPr>
        <w:t>a la tutela judicial efectiva y a la seguridad jur</w:t>
      </w:r>
      <w:r>
        <w:rPr>
          <w:rFonts w:cs="Times New Roman"/>
          <w:spacing w:val="-2"/>
          <w:sz w:val="18"/>
          <w:szCs w:val="18"/>
          <w:lang w:val="es-ES_tradnl"/>
        </w:rPr>
        <w:t>í</w:t>
      </w:r>
      <w:r>
        <w:rPr>
          <w:spacing w:val="-2"/>
          <w:sz w:val="18"/>
          <w:szCs w:val="18"/>
          <w:lang w:val="es-ES_tradnl"/>
        </w:rPr>
        <w:t>dica</w:t>
      </w:r>
      <w:r>
        <w:rPr>
          <w:rFonts w:cs="Times New Roman"/>
          <w:spacing w:val="-2"/>
          <w:sz w:val="18"/>
          <w:szCs w:val="18"/>
          <w:lang w:val="es-ES_tradnl"/>
        </w:rPr>
        <w:t>”</w:t>
      </w:r>
      <w:r>
        <w:rPr>
          <w:spacing w:val="-2"/>
          <w:sz w:val="18"/>
          <w:szCs w:val="18"/>
          <w:lang w:val="es-ES_tradnl"/>
        </w:rPr>
        <w:t xml:space="preserve">. </w:t>
      </w:r>
      <w:r>
        <w:rPr>
          <w:b/>
          <w:bCs/>
          <w:sz w:val="18"/>
          <w:szCs w:val="18"/>
          <w:lang w:val="es-ES_tradnl"/>
        </w:rPr>
        <w:t xml:space="preserve">CUARTA.- </w:t>
      </w:r>
      <w:r>
        <w:rPr>
          <w:sz w:val="18"/>
          <w:szCs w:val="18"/>
          <w:lang w:val="es-ES_tradnl"/>
        </w:rPr>
        <w:t>La solicitud de ampliaci</w:t>
      </w:r>
      <w:r>
        <w:rPr>
          <w:rFonts w:cs="Times New Roman"/>
          <w:sz w:val="18"/>
          <w:szCs w:val="18"/>
          <w:lang w:val="es-ES_tradnl"/>
        </w:rPr>
        <w:t>ó</w:t>
      </w:r>
      <w:r>
        <w:rPr>
          <w:sz w:val="18"/>
          <w:szCs w:val="18"/>
          <w:lang w:val="es-ES_tradnl"/>
        </w:rPr>
        <w:t xml:space="preserve">n presentada por </w:t>
      </w:r>
      <w:r>
        <w:rPr>
          <w:spacing w:val="-3"/>
          <w:sz w:val="18"/>
          <w:szCs w:val="18"/>
          <w:lang w:val="es-ES_tradnl"/>
        </w:rPr>
        <w:t>el se</w:t>
      </w:r>
      <w:r>
        <w:rPr>
          <w:rFonts w:cs="Times New Roman"/>
          <w:spacing w:val="-3"/>
          <w:sz w:val="18"/>
          <w:szCs w:val="18"/>
          <w:lang w:val="es-ES_tradnl"/>
        </w:rPr>
        <w:t>ñ</w:t>
      </w:r>
      <w:r>
        <w:rPr>
          <w:spacing w:val="-3"/>
          <w:sz w:val="18"/>
          <w:szCs w:val="18"/>
          <w:lang w:val="es-ES_tradnl"/>
        </w:rPr>
        <w:t>or Henry An</w:t>
      </w:r>
      <w:r>
        <w:rPr>
          <w:rFonts w:cs="Times New Roman"/>
          <w:spacing w:val="-3"/>
          <w:sz w:val="18"/>
          <w:szCs w:val="18"/>
          <w:lang w:val="es-ES_tradnl"/>
        </w:rPr>
        <w:t>í</w:t>
      </w:r>
      <w:r>
        <w:rPr>
          <w:spacing w:val="-3"/>
          <w:sz w:val="18"/>
          <w:szCs w:val="18"/>
          <w:lang w:val="es-ES_tradnl"/>
        </w:rPr>
        <w:t xml:space="preserve">bal Ayala Espinoza, en calidad de </w:t>
      </w:r>
      <w:r>
        <w:rPr>
          <w:spacing w:val="-5"/>
          <w:sz w:val="18"/>
          <w:szCs w:val="18"/>
          <w:lang w:val="es-ES_tradnl"/>
        </w:rPr>
        <w:t>gerente general y representante legal de la compa</w:t>
      </w:r>
      <w:r>
        <w:rPr>
          <w:rFonts w:cs="Times New Roman"/>
          <w:spacing w:val="-5"/>
          <w:sz w:val="18"/>
          <w:szCs w:val="18"/>
          <w:lang w:val="es-ES_tradnl"/>
        </w:rPr>
        <w:t>ñí</w:t>
      </w:r>
      <w:r>
        <w:rPr>
          <w:spacing w:val="-5"/>
          <w:sz w:val="18"/>
          <w:szCs w:val="18"/>
          <w:lang w:val="es-ES_tradnl"/>
        </w:rPr>
        <w:t>a Denegsa S.A., en relaci</w:t>
      </w:r>
      <w:r>
        <w:rPr>
          <w:rFonts w:cs="Times New Roman"/>
          <w:spacing w:val="-5"/>
          <w:sz w:val="18"/>
          <w:szCs w:val="18"/>
          <w:lang w:val="es-ES_tradnl"/>
        </w:rPr>
        <w:t>ó</w:t>
      </w:r>
      <w:r>
        <w:rPr>
          <w:spacing w:val="-5"/>
          <w:sz w:val="18"/>
          <w:szCs w:val="18"/>
          <w:lang w:val="es-ES_tradnl"/>
        </w:rPr>
        <w:t>n con el presente caso, se basa</w:t>
      </w:r>
    </w:p>
    <w:p w14:paraId="4F67ABB3" w14:textId="77777777" w:rsidR="00591D54" w:rsidRDefault="00591D54">
      <w:pPr>
        <w:shd w:val="clear" w:color="auto" w:fill="FFFFFF"/>
        <w:spacing w:line="216" w:lineRule="exact"/>
        <w:jc w:val="both"/>
        <w:sectPr w:rsidR="00591D54">
          <w:type w:val="continuous"/>
          <w:pgSz w:w="11909" w:h="16834"/>
          <w:pgMar w:top="1368" w:right="1304" w:bottom="360" w:left="1308" w:header="720" w:footer="720" w:gutter="0"/>
          <w:cols w:num="2" w:space="720" w:equalWidth="0">
            <w:col w:w="4315" w:space="672"/>
            <w:col w:w="4310"/>
          </w:cols>
          <w:noEndnote/>
        </w:sectPr>
      </w:pPr>
    </w:p>
    <w:p w14:paraId="4F67ABB4" w14:textId="77777777" w:rsidR="00591D54" w:rsidRDefault="00591D54">
      <w:pPr>
        <w:shd w:val="clear" w:color="auto" w:fill="FFFFFF"/>
        <w:tabs>
          <w:tab w:val="left" w:pos="4814"/>
        </w:tabs>
        <w:spacing w:after="226"/>
        <w:ind w:left="14"/>
      </w:pPr>
      <w:r>
        <w:rPr>
          <w:b/>
          <w:bCs/>
          <w:sz w:val="18"/>
          <w:szCs w:val="18"/>
          <w:lang w:val="es-ES_tradnl"/>
        </w:rPr>
        <w:t xml:space="preserve">100 -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BB5" w14:textId="77777777" w:rsidR="00591D54" w:rsidRDefault="00591D54">
      <w:pPr>
        <w:shd w:val="clear" w:color="auto" w:fill="FFFFFF"/>
        <w:tabs>
          <w:tab w:val="left" w:pos="4814"/>
        </w:tabs>
        <w:spacing w:after="226"/>
        <w:ind w:left="14"/>
        <w:sectPr w:rsidR="00591D54">
          <w:pgSz w:w="11909" w:h="16834"/>
          <w:pgMar w:top="1363" w:right="1309" w:bottom="360" w:left="1308" w:header="720" w:footer="720" w:gutter="0"/>
          <w:cols w:space="60"/>
          <w:noEndnote/>
        </w:sectPr>
      </w:pPr>
    </w:p>
    <w:p w14:paraId="4F67ABB6" w14:textId="77777777" w:rsidR="00591D54" w:rsidRDefault="00591D54">
      <w:pPr>
        <w:shd w:val="clear" w:color="auto" w:fill="FFFFFF"/>
        <w:spacing w:line="235" w:lineRule="exact"/>
        <w:jc w:val="both"/>
      </w:pPr>
      <w:r>
        <w:rPr>
          <w:spacing w:val="-6"/>
          <w:sz w:val="18"/>
          <w:szCs w:val="18"/>
          <w:lang w:val="es-ES_tradnl"/>
        </w:rPr>
        <w:t xml:space="preserve">en los siguientes argumentos y peticiones: </w:t>
      </w:r>
      <w:r>
        <w:rPr>
          <w:b/>
          <w:bCs/>
          <w:spacing w:val="-6"/>
          <w:sz w:val="18"/>
          <w:szCs w:val="18"/>
          <w:lang w:val="es-ES_tradnl"/>
        </w:rPr>
        <w:t xml:space="preserve">1. </w:t>
      </w:r>
      <w:r>
        <w:rPr>
          <w:spacing w:val="-6"/>
          <w:sz w:val="18"/>
          <w:szCs w:val="18"/>
          <w:lang w:val="es-ES_tradnl"/>
        </w:rPr>
        <w:t xml:space="preserve">Solicita que </w:t>
      </w:r>
      <w:r>
        <w:rPr>
          <w:spacing w:val="-5"/>
          <w:sz w:val="18"/>
          <w:szCs w:val="18"/>
          <w:lang w:val="es-ES_tradnl"/>
        </w:rPr>
        <w:t>la Corte Constitucional, por mandato expreso del art</w:t>
      </w:r>
      <w:r>
        <w:rPr>
          <w:rFonts w:cs="Times New Roman"/>
          <w:spacing w:val="-5"/>
          <w:sz w:val="18"/>
          <w:szCs w:val="18"/>
          <w:lang w:val="es-ES_tradnl"/>
        </w:rPr>
        <w:t>í</w:t>
      </w:r>
      <w:r>
        <w:rPr>
          <w:spacing w:val="-5"/>
          <w:sz w:val="18"/>
          <w:szCs w:val="18"/>
          <w:lang w:val="es-ES_tradnl"/>
        </w:rPr>
        <w:t xml:space="preserve">culo </w:t>
      </w:r>
      <w:r>
        <w:rPr>
          <w:sz w:val="18"/>
          <w:szCs w:val="18"/>
          <w:lang w:val="es-ES_tradnl"/>
        </w:rPr>
        <w:t>18 de la Ley Org</w:t>
      </w:r>
      <w:r>
        <w:rPr>
          <w:rFonts w:cs="Times New Roman"/>
          <w:sz w:val="18"/>
          <w:szCs w:val="18"/>
          <w:lang w:val="es-ES_tradnl"/>
        </w:rPr>
        <w:t>á</w:t>
      </w:r>
      <w:r>
        <w:rPr>
          <w:sz w:val="18"/>
          <w:szCs w:val="18"/>
          <w:lang w:val="es-ES_tradnl"/>
        </w:rPr>
        <w:t>nica de Garant</w:t>
      </w:r>
      <w:r>
        <w:rPr>
          <w:rFonts w:cs="Times New Roman"/>
          <w:sz w:val="18"/>
          <w:szCs w:val="18"/>
          <w:lang w:val="es-ES_tradnl"/>
        </w:rPr>
        <w:t>í</w:t>
      </w:r>
      <w:r>
        <w:rPr>
          <w:sz w:val="18"/>
          <w:szCs w:val="18"/>
          <w:lang w:val="es-ES_tradnl"/>
        </w:rPr>
        <w:t xml:space="preserve">as Jurisdiccionales </w:t>
      </w:r>
      <w:r>
        <w:rPr>
          <w:spacing w:val="-1"/>
          <w:sz w:val="18"/>
          <w:szCs w:val="18"/>
          <w:lang w:val="es-ES_tradnl"/>
        </w:rPr>
        <w:t xml:space="preserve">y Control Constitucional, ordene como parte de la </w:t>
      </w:r>
      <w:r>
        <w:rPr>
          <w:spacing w:val="-9"/>
          <w:sz w:val="18"/>
          <w:szCs w:val="18"/>
          <w:lang w:val="es-ES_tradnl"/>
        </w:rPr>
        <w:t>reparaci</w:t>
      </w:r>
      <w:r>
        <w:rPr>
          <w:rFonts w:cs="Times New Roman"/>
          <w:spacing w:val="-9"/>
          <w:sz w:val="18"/>
          <w:szCs w:val="18"/>
          <w:lang w:val="es-ES_tradnl"/>
        </w:rPr>
        <w:t>ó</w:t>
      </w:r>
      <w:r>
        <w:rPr>
          <w:spacing w:val="-9"/>
          <w:sz w:val="18"/>
          <w:szCs w:val="18"/>
          <w:lang w:val="es-ES_tradnl"/>
        </w:rPr>
        <w:t>n a su representada, la suspensi</w:t>
      </w:r>
      <w:r>
        <w:rPr>
          <w:rFonts w:cs="Times New Roman"/>
          <w:spacing w:val="-9"/>
          <w:sz w:val="18"/>
          <w:szCs w:val="18"/>
          <w:lang w:val="es-ES_tradnl"/>
        </w:rPr>
        <w:t>ó</w:t>
      </w:r>
      <w:r>
        <w:rPr>
          <w:spacing w:val="-9"/>
          <w:sz w:val="18"/>
          <w:szCs w:val="18"/>
          <w:lang w:val="es-ES_tradnl"/>
        </w:rPr>
        <w:t>n de la ejecuci</w:t>
      </w:r>
      <w:r>
        <w:rPr>
          <w:rFonts w:cs="Times New Roman"/>
          <w:spacing w:val="-9"/>
          <w:sz w:val="18"/>
          <w:szCs w:val="18"/>
          <w:lang w:val="es-ES_tradnl"/>
        </w:rPr>
        <w:t>ó</w:t>
      </w:r>
      <w:r>
        <w:rPr>
          <w:spacing w:val="-9"/>
          <w:sz w:val="18"/>
          <w:szCs w:val="18"/>
          <w:lang w:val="es-ES_tradnl"/>
        </w:rPr>
        <w:t xml:space="preserve">n </w:t>
      </w:r>
      <w:r>
        <w:rPr>
          <w:spacing w:val="-6"/>
          <w:sz w:val="18"/>
          <w:szCs w:val="18"/>
          <w:lang w:val="es-ES_tradnl"/>
        </w:rPr>
        <w:t>del juicio signado con el N.</w:t>
      </w:r>
      <w:r>
        <w:rPr>
          <w:rFonts w:cs="Times New Roman"/>
          <w:spacing w:val="-6"/>
          <w:sz w:val="18"/>
          <w:szCs w:val="18"/>
          <w:lang w:val="es-ES_tradnl"/>
        </w:rPr>
        <w:t>°</w:t>
      </w:r>
      <w:r>
        <w:rPr>
          <w:spacing w:val="-6"/>
          <w:sz w:val="18"/>
          <w:szCs w:val="18"/>
          <w:lang w:val="es-ES_tradnl"/>
        </w:rPr>
        <w:t xml:space="preserve"> 6745-2013, que se sustancia </w:t>
      </w:r>
      <w:r>
        <w:rPr>
          <w:spacing w:val="-3"/>
          <w:sz w:val="18"/>
          <w:szCs w:val="18"/>
          <w:lang w:val="es-ES_tradnl"/>
        </w:rPr>
        <w:t xml:space="preserve">en la Unidad Judicial de lo Civil, Mercantil y Laboral del </w:t>
      </w:r>
      <w:r>
        <w:rPr>
          <w:spacing w:val="-5"/>
          <w:sz w:val="18"/>
          <w:szCs w:val="18"/>
          <w:lang w:val="es-ES_tradnl"/>
        </w:rPr>
        <w:t>cant</w:t>
      </w:r>
      <w:r>
        <w:rPr>
          <w:rFonts w:cs="Times New Roman"/>
          <w:spacing w:val="-5"/>
          <w:sz w:val="18"/>
          <w:szCs w:val="18"/>
          <w:lang w:val="es-ES_tradnl"/>
        </w:rPr>
        <w:t>ó</w:t>
      </w:r>
      <w:r>
        <w:rPr>
          <w:spacing w:val="-5"/>
          <w:sz w:val="18"/>
          <w:szCs w:val="18"/>
          <w:lang w:val="es-ES_tradnl"/>
        </w:rPr>
        <w:t>n Santo Domingo de los Ts</w:t>
      </w:r>
      <w:r>
        <w:rPr>
          <w:rFonts w:cs="Times New Roman"/>
          <w:spacing w:val="-5"/>
          <w:sz w:val="18"/>
          <w:szCs w:val="18"/>
          <w:lang w:val="es-ES_tradnl"/>
        </w:rPr>
        <w:t>á</w:t>
      </w:r>
      <w:r>
        <w:rPr>
          <w:spacing w:val="-5"/>
          <w:sz w:val="18"/>
          <w:szCs w:val="18"/>
          <w:lang w:val="es-ES_tradnl"/>
        </w:rPr>
        <w:t xml:space="preserve">chilas. </w:t>
      </w:r>
      <w:r>
        <w:rPr>
          <w:b/>
          <w:bCs/>
          <w:spacing w:val="-5"/>
          <w:sz w:val="18"/>
          <w:szCs w:val="18"/>
          <w:lang w:val="es-ES_tradnl"/>
        </w:rPr>
        <w:t xml:space="preserve">2.- </w:t>
      </w:r>
      <w:r>
        <w:rPr>
          <w:spacing w:val="-5"/>
          <w:sz w:val="18"/>
          <w:szCs w:val="18"/>
          <w:lang w:val="es-ES_tradnl"/>
        </w:rPr>
        <w:t>Solicita, as</w:t>
      </w:r>
      <w:r>
        <w:rPr>
          <w:rFonts w:cs="Times New Roman"/>
          <w:spacing w:val="-5"/>
          <w:sz w:val="18"/>
          <w:szCs w:val="18"/>
          <w:lang w:val="es-ES_tradnl"/>
        </w:rPr>
        <w:t xml:space="preserve">í </w:t>
      </w:r>
      <w:r>
        <w:rPr>
          <w:spacing w:val="-7"/>
          <w:sz w:val="18"/>
          <w:szCs w:val="18"/>
          <w:lang w:val="es-ES_tradnl"/>
        </w:rPr>
        <w:t>tambi</w:t>
      </w:r>
      <w:r>
        <w:rPr>
          <w:rFonts w:cs="Times New Roman"/>
          <w:spacing w:val="-7"/>
          <w:sz w:val="18"/>
          <w:szCs w:val="18"/>
          <w:lang w:val="es-ES_tradnl"/>
        </w:rPr>
        <w:t>é</w:t>
      </w:r>
      <w:r>
        <w:rPr>
          <w:spacing w:val="-7"/>
          <w:sz w:val="18"/>
          <w:szCs w:val="18"/>
          <w:lang w:val="es-ES_tradnl"/>
        </w:rPr>
        <w:t xml:space="preserve">n, que los transgresores expresen las respectivas </w:t>
      </w:r>
      <w:r>
        <w:rPr>
          <w:sz w:val="18"/>
          <w:szCs w:val="18"/>
          <w:lang w:val="es-ES_tradnl"/>
        </w:rPr>
        <w:t>medidas de reconocimiento y disculpas p</w:t>
      </w:r>
      <w:r>
        <w:rPr>
          <w:rFonts w:cs="Times New Roman"/>
          <w:sz w:val="18"/>
          <w:szCs w:val="18"/>
          <w:lang w:val="es-ES_tradnl"/>
        </w:rPr>
        <w:t>ú</w:t>
      </w:r>
      <w:r>
        <w:rPr>
          <w:sz w:val="18"/>
          <w:szCs w:val="18"/>
          <w:lang w:val="es-ES_tradnl"/>
        </w:rPr>
        <w:t xml:space="preserve">blicas. </w:t>
      </w:r>
      <w:r>
        <w:rPr>
          <w:b/>
          <w:bCs/>
          <w:sz w:val="18"/>
          <w:szCs w:val="18"/>
          <w:lang w:val="es-ES_tradnl"/>
        </w:rPr>
        <w:t xml:space="preserve">QUINTA.- </w:t>
      </w:r>
      <w:r>
        <w:rPr>
          <w:sz w:val="18"/>
          <w:szCs w:val="18"/>
          <w:lang w:val="es-ES_tradnl"/>
        </w:rPr>
        <w:t>De la revisi</w:t>
      </w:r>
      <w:r>
        <w:rPr>
          <w:rFonts w:cs="Times New Roman"/>
          <w:sz w:val="18"/>
          <w:szCs w:val="18"/>
          <w:lang w:val="es-ES_tradnl"/>
        </w:rPr>
        <w:t>ó</w:t>
      </w:r>
      <w:r>
        <w:rPr>
          <w:sz w:val="18"/>
          <w:szCs w:val="18"/>
          <w:lang w:val="es-ES_tradnl"/>
        </w:rPr>
        <w:t>n a la solicitud de ampliaci</w:t>
      </w:r>
      <w:r>
        <w:rPr>
          <w:rFonts w:cs="Times New Roman"/>
          <w:sz w:val="18"/>
          <w:szCs w:val="18"/>
          <w:lang w:val="es-ES_tradnl"/>
        </w:rPr>
        <w:t>ó</w:t>
      </w:r>
      <w:r>
        <w:rPr>
          <w:sz w:val="18"/>
          <w:szCs w:val="18"/>
          <w:lang w:val="es-ES_tradnl"/>
        </w:rPr>
        <w:t xml:space="preserve">n </w:t>
      </w:r>
      <w:r>
        <w:rPr>
          <w:spacing w:val="-6"/>
          <w:sz w:val="18"/>
          <w:szCs w:val="18"/>
          <w:lang w:val="es-ES_tradnl"/>
        </w:rPr>
        <w:t xml:space="preserve">presentada por el recurrente, se verifica que la misma no </w:t>
      </w:r>
      <w:r>
        <w:rPr>
          <w:spacing w:val="-7"/>
          <w:sz w:val="18"/>
          <w:szCs w:val="18"/>
          <w:lang w:val="es-ES_tradnl"/>
        </w:rPr>
        <w:t>tiene por objeto la ampliaci</w:t>
      </w:r>
      <w:r>
        <w:rPr>
          <w:rFonts w:cs="Times New Roman"/>
          <w:spacing w:val="-7"/>
          <w:sz w:val="18"/>
          <w:szCs w:val="18"/>
          <w:lang w:val="es-ES_tradnl"/>
        </w:rPr>
        <w:t>ó</w:t>
      </w:r>
      <w:r>
        <w:rPr>
          <w:spacing w:val="-7"/>
          <w:sz w:val="18"/>
          <w:szCs w:val="18"/>
          <w:lang w:val="es-ES_tradnl"/>
        </w:rPr>
        <w:t xml:space="preserve">n de lo resuelto por esta Corte </w:t>
      </w:r>
      <w:r>
        <w:rPr>
          <w:spacing w:val="-6"/>
          <w:sz w:val="18"/>
          <w:szCs w:val="18"/>
          <w:lang w:val="es-ES_tradnl"/>
        </w:rPr>
        <w:t xml:space="preserve">Constitucional en la sentencia dictada el 25 de marzo de </w:t>
      </w:r>
      <w:r>
        <w:rPr>
          <w:spacing w:val="-5"/>
          <w:sz w:val="18"/>
          <w:szCs w:val="18"/>
          <w:lang w:val="es-ES_tradnl"/>
        </w:rPr>
        <w:t>2015, debido a que, se solicita la adopci</w:t>
      </w:r>
      <w:r>
        <w:rPr>
          <w:rFonts w:cs="Times New Roman"/>
          <w:spacing w:val="-5"/>
          <w:sz w:val="18"/>
          <w:szCs w:val="18"/>
          <w:lang w:val="es-ES_tradnl"/>
        </w:rPr>
        <w:t>ó</w:t>
      </w:r>
      <w:r>
        <w:rPr>
          <w:spacing w:val="-5"/>
          <w:sz w:val="18"/>
          <w:szCs w:val="18"/>
          <w:lang w:val="es-ES_tradnl"/>
        </w:rPr>
        <w:t>n de nuevas medidas de reparaci</w:t>
      </w:r>
      <w:r>
        <w:rPr>
          <w:rFonts w:cs="Times New Roman"/>
          <w:spacing w:val="-5"/>
          <w:sz w:val="18"/>
          <w:szCs w:val="18"/>
          <w:lang w:val="es-ES_tradnl"/>
        </w:rPr>
        <w:t>ó</w:t>
      </w:r>
      <w:r>
        <w:rPr>
          <w:spacing w:val="-5"/>
          <w:sz w:val="18"/>
          <w:szCs w:val="18"/>
          <w:lang w:val="es-ES_tradnl"/>
        </w:rPr>
        <w:t>n integral, lo cual, evidentemente, implicar</w:t>
      </w:r>
      <w:r>
        <w:rPr>
          <w:rFonts w:cs="Times New Roman"/>
          <w:spacing w:val="-5"/>
          <w:sz w:val="18"/>
          <w:szCs w:val="18"/>
          <w:lang w:val="es-ES_tradnl"/>
        </w:rPr>
        <w:t>í</w:t>
      </w:r>
      <w:r>
        <w:rPr>
          <w:spacing w:val="-5"/>
          <w:sz w:val="18"/>
          <w:szCs w:val="18"/>
          <w:lang w:val="es-ES_tradnl"/>
        </w:rPr>
        <w:t>a una nueva valoraci</w:t>
      </w:r>
      <w:r>
        <w:rPr>
          <w:rFonts w:cs="Times New Roman"/>
          <w:spacing w:val="-5"/>
          <w:sz w:val="18"/>
          <w:szCs w:val="18"/>
          <w:lang w:val="es-ES_tradnl"/>
        </w:rPr>
        <w:t>ó</w:t>
      </w:r>
      <w:r>
        <w:rPr>
          <w:spacing w:val="-5"/>
          <w:sz w:val="18"/>
          <w:szCs w:val="18"/>
          <w:lang w:val="es-ES_tradnl"/>
        </w:rPr>
        <w:t>n del da</w:t>
      </w:r>
      <w:r>
        <w:rPr>
          <w:rFonts w:cs="Times New Roman"/>
          <w:spacing w:val="-5"/>
          <w:sz w:val="18"/>
          <w:szCs w:val="18"/>
          <w:lang w:val="es-ES_tradnl"/>
        </w:rPr>
        <w:t>ñ</w:t>
      </w:r>
      <w:r>
        <w:rPr>
          <w:spacing w:val="-5"/>
          <w:sz w:val="18"/>
          <w:szCs w:val="18"/>
          <w:lang w:val="es-ES_tradnl"/>
        </w:rPr>
        <w:t xml:space="preserve">o ocasionado por </w:t>
      </w:r>
      <w:r>
        <w:rPr>
          <w:spacing w:val="-6"/>
          <w:sz w:val="18"/>
          <w:szCs w:val="18"/>
          <w:lang w:val="es-ES_tradnl"/>
        </w:rPr>
        <w:t>la vulneraci</w:t>
      </w:r>
      <w:r>
        <w:rPr>
          <w:rFonts w:cs="Times New Roman"/>
          <w:spacing w:val="-6"/>
          <w:sz w:val="18"/>
          <w:szCs w:val="18"/>
          <w:lang w:val="es-ES_tradnl"/>
        </w:rPr>
        <w:t>ó</w:t>
      </w:r>
      <w:r>
        <w:rPr>
          <w:spacing w:val="-6"/>
          <w:sz w:val="18"/>
          <w:szCs w:val="18"/>
          <w:lang w:val="es-ES_tradnl"/>
        </w:rPr>
        <w:t>n de los derechos constitucionales a la tutela judicial efectiva y a la seguridad jur</w:t>
      </w:r>
      <w:r>
        <w:rPr>
          <w:rFonts w:cs="Times New Roman"/>
          <w:spacing w:val="-6"/>
          <w:sz w:val="18"/>
          <w:szCs w:val="18"/>
          <w:lang w:val="es-ES_tradnl"/>
        </w:rPr>
        <w:t>í</w:t>
      </w:r>
      <w:r>
        <w:rPr>
          <w:spacing w:val="-6"/>
          <w:sz w:val="18"/>
          <w:szCs w:val="18"/>
          <w:lang w:val="es-ES_tradnl"/>
        </w:rPr>
        <w:t>dica, debi</w:t>
      </w:r>
      <w:r>
        <w:rPr>
          <w:rFonts w:cs="Times New Roman"/>
          <w:spacing w:val="-6"/>
          <w:sz w:val="18"/>
          <w:szCs w:val="18"/>
          <w:lang w:val="es-ES_tradnl"/>
        </w:rPr>
        <w:t>é</w:t>
      </w:r>
      <w:r>
        <w:rPr>
          <w:spacing w:val="-6"/>
          <w:sz w:val="18"/>
          <w:szCs w:val="18"/>
          <w:lang w:val="es-ES_tradnl"/>
        </w:rPr>
        <w:t xml:space="preserve">ndose para </w:t>
      </w:r>
      <w:r>
        <w:rPr>
          <w:spacing w:val="-7"/>
          <w:sz w:val="18"/>
          <w:szCs w:val="18"/>
          <w:lang w:val="es-ES_tradnl"/>
        </w:rPr>
        <w:t xml:space="preserve">ello conocer nuevamente el fondo de la causa y modificar </w:t>
      </w:r>
      <w:r>
        <w:rPr>
          <w:spacing w:val="-5"/>
          <w:sz w:val="18"/>
          <w:szCs w:val="18"/>
          <w:lang w:val="es-ES_tradnl"/>
        </w:rPr>
        <w:t xml:space="preserve">la sentencia constitucional para disponer nuevas formas </w:t>
      </w:r>
      <w:r>
        <w:rPr>
          <w:sz w:val="18"/>
          <w:szCs w:val="18"/>
          <w:lang w:val="es-ES_tradnl"/>
        </w:rPr>
        <w:t>de reparaci</w:t>
      </w:r>
      <w:r>
        <w:rPr>
          <w:rFonts w:cs="Times New Roman"/>
          <w:sz w:val="18"/>
          <w:szCs w:val="18"/>
          <w:lang w:val="es-ES_tradnl"/>
        </w:rPr>
        <w:t>ó</w:t>
      </w:r>
      <w:r>
        <w:rPr>
          <w:sz w:val="18"/>
          <w:szCs w:val="18"/>
          <w:lang w:val="es-ES_tradnl"/>
        </w:rPr>
        <w:t xml:space="preserve">n integral, como las solicitadas por parte </w:t>
      </w:r>
      <w:r>
        <w:rPr>
          <w:spacing w:val="-4"/>
          <w:sz w:val="18"/>
          <w:szCs w:val="18"/>
          <w:lang w:val="es-ES_tradnl"/>
        </w:rPr>
        <w:t>del legitimado activo. Esta pretensi</w:t>
      </w:r>
      <w:r>
        <w:rPr>
          <w:rFonts w:cs="Times New Roman"/>
          <w:spacing w:val="-4"/>
          <w:sz w:val="18"/>
          <w:szCs w:val="18"/>
          <w:lang w:val="es-ES_tradnl"/>
        </w:rPr>
        <w:t>ó</w:t>
      </w:r>
      <w:r>
        <w:rPr>
          <w:spacing w:val="-4"/>
          <w:sz w:val="18"/>
          <w:szCs w:val="18"/>
          <w:lang w:val="es-ES_tradnl"/>
        </w:rPr>
        <w:t>n del recurrente es improcedente mediante la solicitud de ampliaci</w:t>
      </w:r>
      <w:r>
        <w:rPr>
          <w:rFonts w:cs="Times New Roman"/>
          <w:spacing w:val="-4"/>
          <w:sz w:val="18"/>
          <w:szCs w:val="18"/>
          <w:lang w:val="es-ES_tradnl"/>
        </w:rPr>
        <w:t>ó</w:t>
      </w:r>
      <w:r>
        <w:rPr>
          <w:spacing w:val="-4"/>
          <w:sz w:val="18"/>
          <w:szCs w:val="18"/>
          <w:lang w:val="es-ES_tradnl"/>
        </w:rPr>
        <w:t>n de sentencia, ya que la ampliaci</w:t>
      </w:r>
      <w:r>
        <w:rPr>
          <w:rFonts w:cs="Times New Roman"/>
          <w:spacing w:val="-4"/>
          <w:sz w:val="18"/>
          <w:szCs w:val="18"/>
          <w:lang w:val="es-ES_tradnl"/>
        </w:rPr>
        <w:t>ó</w:t>
      </w:r>
      <w:r>
        <w:rPr>
          <w:spacing w:val="-4"/>
          <w:sz w:val="18"/>
          <w:szCs w:val="18"/>
          <w:lang w:val="es-ES_tradnl"/>
        </w:rPr>
        <w:t xml:space="preserve">n tiene por finalidad suplir </w:t>
      </w:r>
      <w:r>
        <w:rPr>
          <w:spacing w:val="-7"/>
          <w:sz w:val="18"/>
          <w:szCs w:val="18"/>
          <w:lang w:val="es-ES_tradnl"/>
        </w:rPr>
        <w:t>cualquier omisi</w:t>
      </w:r>
      <w:r>
        <w:rPr>
          <w:rFonts w:cs="Times New Roman"/>
          <w:spacing w:val="-7"/>
          <w:sz w:val="18"/>
          <w:szCs w:val="18"/>
          <w:lang w:val="es-ES_tradnl"/>
        </w:rPr>
        <w:t>ó</w:t>
      </w:r>
      <w:r>
        <w:rPr>
          <w:spacing w:val="-7"/>
          <w:sz w:val="18"/>
          <w:szCs w:val="18"/>
          <w:lang w:val="es-ES_tradnl"/>
        </w:rPr>
        <w:t xml:space="preserve">n en que se hubiese incurrido respecto de </w:t>
      </w:r>
      <w:r>
        <w:rPr>
          <w:spacing w:val="-8"/>
          <w:sz w:val="18"/>
          <w:szCs w:val="18"/>
          <w:lang w:val="es-ES_tradnl"/>
        </w:rPr>
        <w:t xml:space="preserve">las alegaciones y pretensiones debidamente planteadas o, </w:t>
      </w:r>
      <w:r>
        <w:rPr>
          <w:spacing w:val="-6"/>
          <w:sz w:val="18"/>
          <w:szCs w:val="18"/>
          <w:lang w:val="es-ES_tradnl"/>
        </w:rPr>
        <w:t xml:space="preserve">cuando no se hubiese resulto todos los puntos sometidos </w:t>
      </w:r>
      <w:r>
        <w:rPr>
          <w:spacing w:val="-5"/>
          <w:sz w:val="18"/>
          <w:szCs w:val="18"/>
          <w:lang w:val="es-ES_tradnl"/>
        </w:rPr>
        <w:t>a consideraci</w:t>
      </w:r>
      <w:r>
        <w:rPr>
          <w:rFonts w:cs="Times New Roman"/>
          <w:spacing w:val="-5"/>
          <w:sz w:val="18"/>
          <w:szCs w:val="18"/>
          <w:lang w:val="es-ES_tradnl"/>
        </w:rPr>
        <w:t>ó</w:t>
      </w:r>
      <w:r>
        <w:rPr>
          <w:spacing w:val="-5"/>
          <w:sz w:val="18"/>
          <w:szCs w:val="18"/>
          <w:lang w:val="es-ES_tradnl"/>
        </w:rPr>
        <w:t>n de esta Corte Constitucional, pero no la modificaci</w:t>
      </w:r>
      <w:r>
        <w:rPr>
          <w:rFonts w:cs="Times New Roman"/>
          <w:spacing w:val="-5"/>
          <w:sz w:val="18"/>
          <w:szCs w:val="18"/>
          <w:lang w:val="es-ES_tradnl"/>
        </w:rPr>
        <w:t>ó</w:t>
      </w:r>
      <w:r>
        <w:rPr>
          <w:spacing w:val="-5"/>
          <w:sz w:val="18"/>
          <w:szCs w:val="18"/>
          <w:lang w:val="es-ES_tradnl"/>
        </w:rPr>
        <w:t>n del alcance o contenido de la decisi</w:t>
      </w:r>
      <w:r>
        <w:rPr>
          <w:rFonts w:cs="Times New Roman"/>
          <w:spacing w:val="-5"/>
          <w:sz w:val="18"/>
          <w:szCs w:val="18"/>
          <w:lang w:val="es-ES_tradnl"/>
        </w:rPr>
        <w:t>ó</w:t>
      </w:r>
      <w:r>
        <w:rPr>
          <w:spacing w:val="-5"/>
          <w:sz w:val="18"/>
          <w:szCs w:val="18"/>
          <w:lang w:val="es-ES_tradnl"/>
        </w:rPr>
        <w:t xml:space="preserve">n. Por </w:t>
      </w:r>
      <w:r>
        <w:rPr>
          <w:spacing w:val="-4"/>
          <w:sz w:val="18"/>
          <w:szCs w:val="18"/>
          <w:lang w:val="es-ES_tradnl"/>
        </w:rPr>
        <w:t>tanto, la solicitud de ampliaci</w:t>
      </w:r>
      <w:r>
        <w:rPr>
          <w:rFonts w:cs="Times New Roman"/>
          <w:spacing w:val="-4"/>
          <w:sz w:val="18"/>
          <w:szCs w:val="18"/>
          <w:lang w:val="es-ES_tradnl"/>
        </w:rPr>
        <w:t>ó</w:t>
      </w:r>
      <w:r>
        <w:rPr>
          <w:spacing w:val="-4"/>
          <w:sz w:val="18"/>
          <w:szCs w:val="18"/>
          <w:lang w:val="es-ES_tradnl"/>
        </w:rPr>
        <w:t>n no suple una omisi</w:t>
      </w:r>
      <w:r>
        <w:rPr>
          <w:rFonts w:cs="Times New Roman"/>
          <w:spacing w:val="-4"/>
          <w:sz w:val="18"/>
          <w:szCs w:val="18"/>
          <w:lang w:val="es-ES_tradnl"/>
        </w:rPr>
        <w:t>ó</w:t>
      </w:r>
      <w:r>
        <w:rPr>
          <w:spacing w:val="-4"/>
          <w:sz w:val="18"/>
          <w:szCs w:val="18"/>
          <w:lang w:val="es-ES_tradnl"/>
        </w:rPr>
        <w:t xml:space="preserve">n en </w:t>
      </w:r>
      <w:r>
        <w:rPr>
          <w:spacing w:val="-9"/>
          <w:sz w:val="18"/>
          <w:szCs w:val="18"/>
          <w:lang w:val="es-ES_tradnl"/>
        </w:rPr>
        <w:t>relaci</w:t>
      </w:r>
      <w:r>
        <w:rPr>
          <w:rFonts w:cs="Times New Roman"/>
          <w:spacing w:val="-9"/>
          <w:sz w:val="18"/>
          <w:szCs w:val="18"/>
          <w:lang w:val="es-ES_tradnl"/>
        </w:rPr>
        <w:t>ó</w:t>
      </w:r>
      <w:r>
        <w:rPr>
          <w:spacing w:val="-9"/>
          <w:sz w:val="18"/>
          <w:szCs w:val="18"/>
          <w:lang w:val="es-ES_tradnl"/>
        </w:rPr>
        <w:t xml:space="preserve">n con las pretensiones o alegaciones planteadas sino </w:t>
      </w:r>
      <w:r>
        <w:rPr>
          <w:spacing w:val="-6"/>
          <w:sz w:val="18"/>
          <w:szCs w:val="18"/>
          <w:lang w:val="es-ES_tradnl"/>
        </w:rPr>
        <w:t>que intenta la modificaci</w:t>
      </w:r>
      <w:r>
        <w:rPr>
          <w:rFonts w:cs="Times New Roman"/>
          <w:spacing w:val="-6"/>
          <w:sz w:val="18"/>
          <w:szCs w:val="18"/>
          <w:lang w:val="es-ES_tradnl"/>
        </w:rPr>
        <w:t>ó</w:t>
      </w:r>
      <w:r>
        <w:rPr>
          <w:spacing w:val="-6"/>
          <w:sz w:val="18"/>
          <w:szCs w:val="18"/>
          <w:lang w:val="es-ES_tradnl"/>
        </w:rPr>
        <w:t xml:space="preserve">n de la sentencia constitucional. </w:t>
      </w:r>
      <w:r>
        <w:rPr>
          <w:spacing w:val="-1"/>
          <w:sz w:val="18"/>
          <w:szCs w:val="18"/>
          <w:lang w:val="es-ES_tradnl"/>
        </w:rPr>
        <w:t xml:space="preserve">En base a las consideraciones expuestas, el Pleno de </w:t>
      </w:r>
      <w:r>
        <w:rPr>
          <w:sz w:val="18"/>
          <w:szCs w:val="18"/>
          <w:lang w:val="es-ES_tradnl"/>
        </w:rPr>
        <w:t xml:space="preserve">la Corte Constitucional considera que la sentencia </w:t>
      </w:r>
      <w:r>
        <w:rPr>
          <w:spacing w:val="-5"/>
          <w:sz w:val="18"/>
          <w:szCs w:val="18"/>
          <w:lang w:val="es-ES_tradnl"/>
        </w:rPr>
        <w:t xml:space="preserve">dictada el 25 de marzo de 2015, en virtud de la cual se </w:t>
      </w:r>
      <w:r>
        <w:rPr>
          <w:spacing w:val="-2"/>
          <w:sz w:val="18"/>
          <w:szCs w:val="18"/>
          <w:lang w:val="es-ES_tradnl"/>
        </w:rPr>
        <w:t>declar</w:t>
      </w:r>
      <w:r>
        <w:rPr>
          <w:rFonts w:cs="Times New Roman"/>
          <w:spacing w:val="-2"/>
          <w:sz w:val="18"/>
          <w:szCs w:val="18"/>
          <w:lang w:val="es-ES_tradnl"/>
        </w:rPr>
        <w:t>ó</w:t>
      </w:r>
      <w:r>
        <w:rPr>
          <w:spacing w:val="-2"/>
          <w:sz w:val="18"/>
          <w:szCs w:val="18"/>
          <w:lang w:val="es-ES_tradnl"/>
        </w:rPr>
        <w:t xml:space="preserve"> la vulneraci</w:t>
      </w:r>
      <w:r>
        <w:rPr>
          <w:rFonts w:cs="Times New Roman"/>
          <w:spacing w:val="-2"/>
          <w:sz w:val="18"/>
          <w:szCs w:val="18"/>
          <w:lang w:val="es-ES_tradnl"/>
        </w:rPr>
        <w:t>ó</w:t>
      </w:r>
      <w:r>
        <w:rPr>
          <w:spacing w:val="-2"/>
          <w:sz w:val="18"/>
          <w:szCs w:val="18"/>
          <w:lang w:val="es-ES_tradnl"/>
        </w:rPr>
        <w:t xml:space="preserve">n de los derechos constitucionales </w:t>
      </w:r>
      <w:r>
        <w:rPr>
          <w:spacing w:val="-3"/>
          <w:sz w:val="18"/>
          <w:szCs w:val="18"/>
          <w:lang w:val="es-ES_tradnl"/>
        </w:rPr>
        <w:t>a la tutela judicial efectiva y a la seguridad jur</w:t>
      </w:r>
      <w:r>
        <w:rPr>
          <w:rFonts w:cs="Times New Roman"/>
          <w:spacing w:val="-3"/>
          <w:sz w:val="18"/>
          <w:szCs w:val="18"/>
          <w:lang w:val="es-ES_tradnl"/>
        </w:rPr>
        <w:t>í</w:t>
      </w:r>
      <w:r>
        <w:rPr>
          <w:spacing w:val="-3"/>
          <w:sz w:val="18"/>
          <w:szCs w:val="18"/>
          <w:lang w:val="es-ES_tradnl"/>
        </w:rPr>
        <w:t xml:space="preserve">dica, no </w:t>
      </w:r>
      <w:r>
        <w:rPr>
          <w:spacing w:val="-5"/>
          <w:sz w:val="18"/>
          <w:szCs w:val="18"/>
          <w:lang w:val="es-ES_tradnl"/>
        </w:rPr>
        <w:t>amerita ampliaci</w:t>
      </w:r>
      <w:r>
        <w:rPr>
          <w:rFonts w:cs="Times New Roman"/>
          <w:spacing w:val="-5"/>
          <w:sz w:val="18"/>
          <w:szCs w:val="18"/>
          <w:lang w:val="es-ES_tradnl"/>
        </w:rPr>
        <w:t>ó</w:t>
      </w:r>
      <w:r>
        <w:rPr>
          <w:spacing w:val="-5"/>
          <w:sz w:val="18"/>
          <w:szCs w:val="18"/>
          <w:lang w:val="es-ES_tradnl"/>
        </w:rPr>
        <w:t xml:space="preserve">n. En consecuencia, se resuelve negar </w:t>
      </w:r>
      <w:r>
        <w:rPr>
          <w:spacing w:val="-3"/>
          <w:sz w:val="18"/>
          <w:szCs w:val="18"/>
          <w:lang w:val="es-ES_tradnl"/>
        </w:rPr>
        <w:t>la solicitud formulada por el se</w:t>
      </w:r>
      <w:r>
        <w:rPr>
          <w:rFonts w:cs="Times New Roman"/>
          <w:spacing w:val="-3"/>
          <w:sz w:val="18"/>
          <w:szCs w:val="18"/>
          <w:lang w:val="es-ES_tradnl"/>
        </w:rPr>
        <w:t>ñ</w:t>
      </w:r>
      <w:r>
        <w:rPr>
          <w:spacing w:val="-3"/>
          <w:sz w:val="18"/>
          <w:szCs w:val="18"/>
          <w:lang w:val="es-ES_tradnl"/>
        </w:rPr>
        <w:t>or Henry An</w:t>
      </w:r>
      <w:r>
        <w:rPr>
          <w:rFonts w:cs="Times New Roman"/>
          <w:spacing w:val="-3"/>
          <w:sz w:val="18"/>
          <w:szCs w:val="18"/>
          <w:lang w:val="es-ES_tradnl"/>
        </w:rPr>
        <w:t>í</w:t>
      </w:r>
      <w:r>
        <w:rPr>
          <w:spacing w:val="-3"/>
          <w:sz w:val="18"/>
          <w:szCs w:val="18"/>
          <w:lang w:val="es-ES_tradnl"/>
        </w:rPr>
        <w:t xml:space="preserve">bal Ayala </w:t>
      </w:r>
      <w:r>
        <w:rPr>
          <w:spacing w:val="-6"/>
          <w:sz w:val="18"/>
          <w:szCs w:val="18"/>
          <w:lang w:val="es-ES_tradnl"/>
        </w:rPr>
        <w:t xml:space="preserve">Espinoza, en calidad de gerente general y representante </w:t>
      </w:r>
      <w:r>
        <w:rPr>
          <w:spacing w:val="-7"/>
          <w:sz w:val="18"/>
          <w:szCs w:val="18"/>
          <w:lang w:val="es-ES_tradnl"/>
        </w:rPr>
        <w:t>legal de la compa</w:t>
      </w:r>
      <w:r>
        <w:rPr>
          <w:rFonts w:cs="Times New Roman"/>
          <w:spacing w:val="-7"/>
          <w:sz w:val="18"/>
          <w:szCs w:val="18"/>
          <w:lang w:val="es-ES_tradnl"/>
        </w:rPr>
        <w:t>ñí</w:t>
      </w:r>
      <w:r>
        <w:rPr>
          <w:spacing w:val="-7"/>
          <w:sz w:val="18"/>
          <w:szCs w:val="18"/>
          <w:lang w:val="es-ES_tradnl"/>
        </w:rPr>
        <w:t xml:space="preserve">a Denegsa S.A., y se dispone que se </w:t>
      </w:r>
      <w:r>
        <w:rPr>
          <w:spacing w:val="-8"/>
          <w:sz w:val="18"/>
          <w:szCs w:val="18"/>
          <w:lang w:val="es-ES_tradnl"/>
        </w:rPr>
        <w:t>est</w:t>
      </w:r>
      <w:r>
        <w:rPr>
          <w:rFonts w:cs="Times New Roman"/>
          <w:spacing w:val="-8"/>
          <w:sz w:val="18"/>
          <w:szCs w:val="18"/>
          <w:lang w:val="es-ES_tradnl"/>
        </w:rPr>
        <w:t>é</w:t>
      </w:r>
      <w:r>
        <w:rPr>
          <w:spacing w:val="-8"/>
          <w:sz w:val="18"/>
          <w:szCs w:val="18"/>
          <w:lang w:val="es-ES_tradnl"/>
        </w:rPr>
        <w:t xml:space="preserve"> a lo resuelto en la sentencia dictada el 25 de marzo de </w:t>
      </w:r>
      <w:r>
        <w:rPr>
          <w:sz w:val="18"/>
          <w:szCs w:val="18"/>
          <w:lang w:val="es-ES_tradnl"/>
        </w:rPr>
        <w:t xml:space="preserve">2015. </w:t>
      </w:r>
      <w:r>
        <w:rPr>
          <w:b/>
          <w:bCs/>
          <w:sz w:val="18"/>
          <w:szCs w:val="18"/>
          <w:lang w:val="es-ES_tradnl"/>
        </w:rPr>
        <w:t>NOTIF</w:t>
      </w:r>
      <w:r>
        <w:rPr>
          <w:rFonts w:cs="Times New Roman"/>
          <w:b/>
          <w:bCs/>
          <w:sz w:val="18"/>
          <w:szCs w:val="18"/>
          <w:lang w:val="es-ES_tradnl"/>
        </w:rPr>
        <w:t>Í</w:t>
      </w:r>
      <w:r>
        <w:rPr>
          <w:b/>
          <w:bCs/>
          <w:sz w:val="18"/>
          <w:szCs w:val="18"/>
          <w:lang w:val="es-ES_tradnl"/>
        </w:rPr>
        <w:t>QUESE.-</w:t>
      </w:r>
      <w:r>
        <w:rPr>
          <w:spacing w:val="-2"/>
          <w:sz w:val="18"/>
          <w:szCs w:val="18"/>
          <w:lang w:val="es-ES_tradnl"/>
        </w:rPr>
        <w:t xml:space="preserve">f.) Wendy Molina Andrade, </w:t>
      </w:r>
      <w:r>
        <w:rPr>
          <w:b/>
          <w:bCs/>
          <w:spacing w:val="-2"/>
          <w:sz w:val="18"/>
          <w:szCs w:val="18"/>
          <w:lang w:val="es-ES_tradnl"/>
        </w:rPr>
        <w:t xml:space="preserve">PRESIDENTA (E). </w:t>
      </w:r>
      <w:r>
        <w:rPr>
          <w:spacing w:val="-2"/>
          <w:sz w:val="18"/>
          <w:szCs w:val="18"/>
          <w:lang w:val="es-ES_tradnl"/>
        </w:rPr>
        <w:t xml:space="preserve">f.) Jaime Pozo Chamorro, </w:t>
      </w:r>
      <w:r>
        <w:rPr>
          <w:b/>
          <w:bCs/>
          <w:spacing w:val="-2"/>
          <w:sz w:val="18"/>
          <w:szCs w:val="18"/>
          <w:lang w:val="es-ES_tradnl"/>
        </w:rPr>
        <w:t>SECRETARIO GENERAL.</w:t>
      </w:r>
    </w:p>
    <w:p w14:paraId="4F67ABB7" w14:textId="77777777" w:rsidR="00591D54" w:rsidRDefault="00591D54">
      <w:pPr>
        <w:shd w:val="clear" w:color="auto" w:fill="FFFFFF"/>
        <w:spacing w:before="202" w:line="226" w:lineRule="exact"/>
        <w:jc w:val="both"/>
      </w:pPr>
      <w:r>
        <w:rPr>
          <w:b/>
          <w:bCs/>
          <w:spacing w:val="-4"/>
          <w:sz w:val="18"/>
          <w:szCs w:val="18"/>
          <w:lang w:val="es-ES_tradnl"/>
        </w:rPr>
        <w:t>RAZ</w:t>
      </w:r>
      <w:r>
        <w:rPr>
          <w:rFonts w:cs="Times New Roman"/>
          <w:b/>
          <w:bCs/>
          <w:spacing w:val="-4"/>
          <w:sz w:val="18"/>
          <w:szCs w:val="18"/>
          <w:lang w:val="es-ES_tradnl"/>
        </w:rPr>
        <w:t>Ó</w:t>
      </w:r>
      <w:r>
        <w:rPr>
          <w:b/>
          <w:bCs/>
          <w:spacing w:val="-4"/>
          <w:sz w:val="18"/>
          <w:szCs w:val="18"/>
          <w:lang w:val="es-ES_tradnl"/>
        </w:rPr>
        <w:t xml:space="preserve">N.- </w:t>
      </w:r>
      <w:r>
        <w:rPr>
          <w:spacing w:val="-4"/>
          <w:sz w:val="18"/>
          <w:szCs w:val="18"/>
          <w:lang w:val="es-ES_tradnl"/>
        </w:rPr>
        <w:t xml:space="preserve">Siento por tal, que el auto que antecede fue aprobado por el Pleno de la Corte Constitucional, con 6 </w:t>
      </w:r>
      <w:r>
        <w:rPr>
          <w:spacing w:val="-5"/>
          <w:sz w:val="18"/>
          <w:szCs w:val="18"/>
          <w:lang w:val="es-ES_tradnl"/>
        </w:rPr>
        <w:t>votos a favor de los jueces Marcelo Jaramillo Villa, Mar</w:t>
      </w:r>
      <w:r>
        <w:rPr>
          <w:rFonts w:cs="Times New Roman"/>
          <w:spacing w:val="-5"/>
          <w:sz w:val="18"/>
          <w:szCs w:val="18"/>
          <w:lang w:val="es-ES_tradnl"/>
        </w:rPr>
        <w:t>í</w:t>
      </w:r>
      <w:r>
        <w:rPr>
          <w:spacing w:val="-5"/>
          <w:sz w:val="18"/>
          <w:szCs w:val="18"/>
          <w:lang w:val="es-ES_tradnl"/>
        </w:rPr>
        <w:t xml:space="preserve">a </w:t>
      </w:r>
      <w:r>
        <w:rPr>
          <w:spacing w:val="-9"/>
          <w:sz w:val="18"/>
          <w:szCs w:val="18"/>
          <w:lang w:val="es-ES_tradnl"/>
        </w:rPr>
        <w:t>del Carmen Maldonado S</w:t>
      </w:r>
      <w:r>
        <w:rPr>
          <w:rFonts w:cs="Times New Roman"/>
          <w:spacing w:val="-9"/>
          <w:sz w:val="18"/>
          <w:szCs w:val="18"/>
          <w:lang w:val="es-ES_tradnl"/>
        </w:rPr>
        <w:t>á</w:t>
      </w:r>
      <w:r>
        <w:rPr>
          <w:spacing w:val="-9"/>
          <w:sz w:val="18"/>
          <w:szCs w:val="18"/>
          <w:lang w:val="es-ES_tradnl"/>
        </w:rPr>
        <w:t>nchez, Tatiana Orde</w:t>
      </w:r>
      <w:r>
        <w:rPr>
          <w:rFonts w:cs="Times New Roman"/>
          <w:spacing w:val="-9"/>
          <w:sz w:val="18"/>
          <w:szCs w:val="18"/>
          <w:lang w:val="es-ES_tradnl"/>
        </w:rPr>
        <w:t>ñ</w:t>
      </w:r>
      <w:r>
        <w:rPr>
          <w:spacing w:val="-9"/>
          <w:sz w:val="18"/>
          <w:szCs w:val="18"/>
          <w:lang w:val="es-ES_tradnl"/>
        </w:rPr>
        <w:t xml:space="preserve">ana Sierra, </w:t>
      </w:r>
      <w:r>
        <w:rPr>
          <w:spacing w:val="-3"/>
          <w:sz w:val="18"/>
          <w:szCs w:val="18"/>
          <w:lang w:val="es-ES_tradnl"/>
        </w:rPr>
        <w:t>Alfredo Ruiz Guzm</w:t>
      </w:r>
      <w:r>
        <w:rPr>
          <w:rFonts w:cs="Times New Roman"/>
          <w:spacing w:val="-3"/>
          <w:sz w:val="18"/>
          <w:szCs w:val="18"/>
          <w:lang w:val="es-ES_tradnl"/>
        </w:rPr>
        <w:t>á</w:t>
      </w:r>
      <w:r>
        <w:rPr>
          <w:spacing w:val="-3"/>
          <w:sz w:val="18"/>
          <w:szCs w:val="18"/>
          <w:lang w:val="es-ES_tradnl"/>
        </w:rPr>
        <w:t xml:space="preserve">n, Ruth Seni Pinoargote y Wendy </w:t>
      </w:r>
      <w:r>
        <w:rPr>
          <w:spacing w:val="-6"/>
          <w:sz w:val="18"/>
          <w:szCs w:val="18"/>
          <w:lang w:val="es-ES_tradnl"/>
        </w:rPr>
        <w:t xml:space="preserve">Molina Andrade, sin contar con la presencia de los jueces </w:t>
      </w:r>
      <w:r>
        <w:rPr>
          <w:spacing w:val="-2"/>
          <w:sz w:val="18"/>
          <w:szCs w:val="18"/>
          <w:lang w:val="es-ES_tradnl"/>
        </w:rPr>
        <w:t xml:space="preserve">Antonio Gagliardo Loor, Manuel Viteri Olvera y Patricio </w:t>
      </w:r>
      <w:r>
        <w:rPr>
          <w:spacing w:val="-6"/>
          <w:sz w:val="18"/>
          <w:szCs w:val="18"/>
          <w:lang w:val="es-ES_tradnl"/>
        </w:rPr>
        <w:t>Pazmi</w:t>
      </w:r>
      <w:r>
        <w:rPr>
          <w:rFonts w:cs="Times New Roman"/>
          <w:spacing w:val="-6"/>
          <w:sz w:val="18"/>
          <w:szCs w:val="18"/>
          <w:lang w:val="es-ES_tradnl"/>
        </w:rPr>
        <w:t>ñ</w:t>
      </w:r>
      <w:r>
        <w:rPr>
          <w:spacing w:val="-6"/>
          <w:sz w:val="18"/>
          <w:szCs w:val="18"/>
          <w:lang w:val="es-ES_tradnl"/>
        </w:rPr>
        <w:t>o Freire, en sesi</w:t>
      </w:r>
      <w:r>
        <w:rPr>
          <w:rFonts w:cs="Times New Roman"/>
          <w:spacing w:val="-6"/>
          <w:sz w:val="18"/>
          <w:szCs w:val="18"/>
          <w:lang w:val="es-ES_tradnl"/>
        </w:rPr>
        <w:t>ó</w:t>
      </w:r>
      <w:r>
        <w:rPr>
          <w:spacing w:val="-6"/>
          <w:sz w:val="18"/>
          <w:szCs w:val="18"/>
          <w:lang w:val="es-ES_tradnl"/>
        </w:rPr>
        <w:t xml:space="preserve">n de 09 de septiembre de 2015. </w:t>
      </w:r>
      <w:r>
        <w:rPr>
          <w:sz w:val="18"/>
          <w:szCs w:val="18"/>
          <w:lang w:val="es-ES_tradnl"/>
        </w:rPr>
        <w:t>Lo certifico.</w:t>
      </w:r>
    </w:p>
    <w:p w14:paraId="4F67ABB8" w14:textId="77777777" w:rsidR="00591D54" w:rsidRDefault="00591D54">
      <w:pPr>
        <w:shd w:val="clear" w:color="auto" w:fill="FFFFFF"/>
        <w:spacing w:before="206"/>
      </w:pPr>
      <w:r>
        <w:rPr>
          <w:spacing w:val="-6"/>
          <w:sz w:val="18"/>
          <w:szCs w:val="18"/>
          <w:lang w:val="es-ES_tradnl"/>
        </w:rPr>
        <w:t xml:space="preserve">f.) Jaime Pozo Chamorro, </w:t>
      </w:r>
      <w:r>
        <w:rPr>
          <w:b/>
          <w:bCs/>
          <w:spacing w:val="-6"/>
          <w:sz w:val="18"/>
          <w:szCs w:val="18"/>
          <w:lang w:val="es-ES_tradnl"/>
        </w:rPr>
        <w:t>Secretario General.</w:t>
      </w:r>
    </w:p>
    <w:p w14:paraId="4F67ABB9" w14:textId="77777777" w:rsidR="00591D54" w:rsidRDefault="00591D54">
      <w:pPr>
        <w:shd w:val="clear" w:color="auto" w:fill="FFFFFF"/>
        <w:spacing w:before="10" w:line="216" w:lineRule="exact"/>
        <w:jc w:val="both"/>
      </w:pPr>
      <w:r>
        <w:br w:type="column"/>
      </w: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3"/>
          <w:sz w:val="18"/>
          <w:szCs w:val="18"/>
          <w:lang w:val="es-ES_tradnl"/>
        </w:rPr>
        <w:t>Quito, a 05 de octubre de 2015.- f.) Ilegible, Secretar</w:t>
      </w:r>
      <w:r>
        <w:rPr>
          <w:rFonts w:cs="Times New Roman"/>
          <w:spacing w:val="-3"/>
          <w:sz w:val="18"/>
          <w:szCs w:val="18"/>
          <w:lang w:val="es-ES_tradnl"/>
        </w:rPr>
        <w:t>í</w:t>
      </w:r>
      <w:r>
        <w:rPr>
          <w:spacing w:val="-3"/>
          <w:sz w:val="18"/>
          <w:szCs w:val="18"/>
          <w:lang w:val="es-ES_tradnl"/>
        </w:rPr>
        <w:t xml:space="preserve">a </w:t>
      </w:r>
      <w:r>
        <w:rPr>
          <w:sz w:val="18"/>
          <w:szCs w:val="18"/>
          <w:lang w:val="es-ES_tradnl"/>
        </w:rPr>
        <w:t>General.</w:t>
      </w:r>
    </w:p>
    <w:p w14:paraId="4F67ABBA" w14:textId="77777777" w:rsidR="00591D54" w:rsidRDefault="00591D54">
      <w:pPr>
        <w:shd w:val="clear" w:color="auto" w:fill="FFFFFF"/>
        <w:spacing w:before="1114" w:line="432" w:lineRule="exact"/>
      </w:pPr>
      <w:r>
        <w:rPr>
          <w:spacing w:val="-5"/>
          <w:sz w:val="18"/>
          <w:szCs w:val="18"/>
          <w:lang w:val="es-ES_tradnl"/>
        </w:rPr>
        <w:t>Quito, D. M., 03 de junio de 2015</w:t>
      </w:r>
    </w:p>
    <w:p w14:paraId="4F67ABBB" w14:textId="77777777" w:rsidR="00591D54" w:rsidRDefault="00591D54">
      <w:pPr>
        <w:shd w:val="clear" w:color="auto" w:fill="FFFFFF"/>
        <w:spacing w:line="432" w:lineRule="exact"/>
        <w:ind w:left="850"/>
      </w:pPr>
      <w:r>
        <w:rPr>
          <w:b/>
          <w:bCs/>
          <w:spacing w:val="-3"/>
          <w:sz w:val="18"/>
          <w:szCs w:val="18"/>
          <w:u w:val="single"/>
          <w:lang w:val="es-ES_tradnl"/>
        </w:rPr>
        <w:t>SENTENCIA N.</w:t>
      </w:r>
      <w:r>
        <w:rPr>
          <w:rFonts w:cs="Times New Roman"/>
          <w:b/>
          <w:bCs/>
          <w:spacing w:val="-3"/>
          <w:sz w:val="18"/>
          <w:szCs w:val="18"/>
          <w:u w:val="single"/>
          <w:lang w:val="es-ES_tradnl"/>
        </w:rPr>
        <w:t>º</w:t>
      </w:r>
      <w:r>
        <w:rPr>
          <w:b/>
          <w:bCs/>
          <w:spacing w:val="-3"/>
          <w:sz w:val="18"/>
          <w:szCs w:val="18"/>
          <w:u w:val="single"/>
          <w:lang w:val="es-ES_tradnl"/>
        </w:rPr>
        <w:t xml:space="preserve"> 182-15-SEP-CC</w:t>
      </w:r>
    </w:p>
    <w:p w14:paraId="4F67ABBC" w14:textId="77777777" w:rsidR="00591D54" w:rsidRDefault="00591D54">
      <w:pPr>
        <w:shd w:val="clear" w:color="auto" w:fill="FFFFFF"/>
        <w:spacing w:line="432" w:lineRule="exact"/>
        <w:ind w:left="1296"/>
      </w:pPr>
      <w:r>
        <w:rPr>
          <w:b/>
          <w:bCs/>
          <w:spacing w:val="-5"/>
          <w:sz w:val="18"/>
          <w:szCs w:val="18"/>
          <w:u w:val="single"/>
          <w:lang w:val="es-ES_tradnl"/>
        </w:rPr>
        <w:t>CASO N.</w:t>
      </w:r>
      <w:r>
        <w:rPr>
          <w:rFonts w:cs="Times New Roman"/>
          <w:b/>
          <w:bCs/>
          <w:spacing w:val="-5"/>
          <w:sz w:val="18"/>
          <w:szCs w:val="18"/>
          <w:u w:val="single"/>
          <w:lang w:val="es-ES_tradnl"/>
        </w:rPr>
        <w:t>º</w:t>
      </w:r>
      <w:r>
        <w:rPr>
          <w:b/>
          <w:bCs/>
          <w:spacing w:val="-5"/>
          <w:sz w:val="18"/>
          <w:szCs w:val="18"/>
          <w:u w:val="single"/>
          <w:lang w:val="es-ES_tradnl"/>
        </w:rPr>
        <w:t xml:space="preserve"> 1493-10-EP</w:t>
      </w:r>
    </w:p>
    <w:p w14:paraId="4F67ABBD" w14:textId="77777777" w:rsidR="00591D54" w:rsidRDefault="00591D54">
      <w:pPr>
        <w:shd w:val="clear" w:color="auto" w:fill="FFFFFF"/>
        <w:spacing w:line="432" w:lineRule="exact"/>
        <w:ind w:left="298"/>
      </w:pPr>
      <w:r>
        <w:rPr>
          <w:b/>
          <w:bCs/>
          <w:sz w:val="18"/>
          <w:szCs w:val="18"/>
          <w:lang w:val="es-ES_tradnl"/>
        </w:rPr>
        <w:t>CORTE CONSTITUCIONAL DEL ECUADOR</w:t>
      </w:r>
    </w:p>
    <w:p w14:paraId="4F67ABBE" w14:textId="77777777" w:rsidR="00591D54" w:rsidRDefault="00591D54">
      <w:pPr>
        <w:shd w:val="clear" w:color="auto" w:fill="FFFFFF"/>
        <w:spacing w:line="432" w:lineRule="exact"/>
        <w:ind w:left="1339"/>
      </w:pPr>
      <w:r>
        <w:rPr>
          <w:b/>
          <w:bCs/>
          <w:sz w:val="18"/>
          <w:szCs w:val="18"/>
          <w:lang w:val="es-ES_tradnl"/>
        </w:rPr>
        <w:t>I. ANTECEDENTES</w:t>
      </w:r>
    </w:p>
    <w:p w14:paraId="4F67ABBF" w14:textId="77777777" w:rsidR="00591D54" w:rsidRDefault="00591D54">
      <w:pPr>
        <w:shd w:val="clear" w:color="auto" w:fill="FFFFFF"/>
        <w:spacing w:line="432" w:lineRule="exact"/>
      </w:pPr>
      <w:r>
        <w:rPr>
          <w:b/>
          <w:bCs/>
          <w:spacing w:val="-9"/>
          <w:sz w:val="18"/>
          <w:szCs w:val="18"/>
          <w:lang w:val="es-ES_tradnl"/>
        </w:rPr>
        <w:t>Resumen de admisibilidad</w:t>
      </w:r>
    </w:p>
    <w:p w14:paraId="4F67ABC0" w14:textId="77777777" w:rsidR="00591D54" w:rsidRDefault="00591D54">
      <w:pPr>
        <w:shd w:val="clear" w:color="auto" w:fill="FFFFFF"/>
        <w:spacing w:before="163" w:line="216" w:lineRule="exact"/>
        <w:jc w:val="both"/>
      </w:pPr>
      <w:r>
        <w:rPr>
          <w:spacing w:val="-4"/>
          <w:sz w:val="18"/>
          <w:szCs w:val="18"/>
          <w:lang w:val="es-ES_tradnl"/>
        </w:rPr>
        <w:t>La presente acci</w:t>
      </w:r>
      <w:r>
        <w:rPr>
          <w:rFonts w:cs="Times New Roman"/>
          <w:spacing w:val="-4"/>
          <w:sz w:val="18"/>
          <w:szCs w:val="18"/>
          <w:lang w:val="es-ES_tradnl"/>
        </w:rPr>
        <w:t>ó</w:t>
      </w:r>
      <w:r>
        <w:rPr>
          <w:spacing w:val="-4"/>
          <w:sz w:val="18"/>
          <w:szCs w:val="18"/>
          <w:lang w:val="es-ES_tradnl"/>
        </w:rPr>
        <w:t>n extraordinaria de protecci</w:t>
      </w:r>
      <w:r>
        <w:rPr>
          <w:rFonts w:cs="Times New Roman"/>
          <w:spacing w:val="-4"/>
          <w:sz w:val="18"/>
          <w:szCs w:val="18"/>
          <w:lang w:val="es-ES_tradnl"/>
        </w:rPr>
        <w:t>ó</w:t>
      </w:r>
      <w:r>
        <w:rPr>
          <w:spacing w:val="-4"/>
          <w:sz w:val="18"/>
          <w:szCs w:val="18"/>
          <w:lang w:val="es-ES_tradnl"/>
        </w:rPr>
        <w:t xml:space="preserve">n fue </w:t>
      </w:r>
      <w:r>
        <w:rPr>
          <w:spacing w:val="-8"/>
          <w:sz w:val="18"/>
          <w:szCs w:val="18"/>
          <w:lang w:val="es-ES_tradnl"/>
        </w:rPr>
        <w:t>presentada ante la Corte Constitucional, para el per</w:t>
      </w:r>
      <w:r>
        <w:rPr>
          <w:rFonts w:cs="Times New Roman"/>
          <w:spacing w:val="-8"/>
          <w:sz w:val="18"/>
          <w:szCs w:val="18"/>
          <w:lang w:val="es-ES_tradnl"/>
        </w:rPr>
        <w:t>í</w:t>
      </w:r>
      <w:r>
        <w:rPr>
          <w:spacing w:val="-8"/>
          <w:sz w:val="18"/>
          <w:szCs w:val="18"/>
          <w:lang w:val="es-ES_tradnl"/>
        </w:rPr>
        <w:t xml:space="preserve">odo de </w:t>
      </w:r>
      <w:r>
        <w:rPr>
          <w:spacing w:val="-5"/>
          <w:sz w:val="18"/>
          <w:szCs w:val="18"/>
          <w:lang w:val="es-ES_tradnl"/>
        </w:rPr>
        <w:t>transici</w:t>
      </w:r>
      <w:r>
        <w:rPr>
          <w:rFonts w:cs="Times New Roman"/>
          <w:spacing w:val="-5"/>
          <w:sz w:val="18"/>
          <w:szCs w:val="18"/>
          <w:lang w:val="es-ES_tradnl"/>
        </w:rPr>
        <w:t>ó</w:t>
      </w:r>
      <w:r>
        <w:rPr>
          <w:spacing w:val="-5"/>
          <w:sz w:val="18"/>
          <w:szCs w:val="18"/>
          <w:lang w:val="es-ES_tradnl"/>
        </w:rPr>
        <w:t>n, por Leandro Rufino Ull</w:t>
      </w:r>
      <w:r>
        <w:rPr>
          <w:rFonts w:cs="Times New Roman"/>
          <w:spacing w:val="-5"/>
          <w:sz w:val="18"/>
          <w:szCs w:val="18"/>
          <w:lang w:val="es-ES_tradnl"/>
        </w:rPr>
        <w:t>ó</w:t>
      </w:r>
      <w:r>
        <w:rPr>
          <w:spacing w:val="-5"/>
          <w:sz w:val="18"/>
          <w:szCs w:val="18"/>
          <w:lang w:val="es-ES_tradnl"/>
        </w:rPr>
        <w:t>n Rodr</w:t>
      </w:r>
      <w:r>
        <w:rPr>
          <w:rFonts w:cs="Times New Roman"/>
          <w:spacing w:val="-5"/>
          <w:sz w:val="18"/>
          <w:szCs w:val="18"/>
          <w:lang w:val="es-ES_tradnl"/>
        </w:rPr>
        <w:t>í</w:t>
      </w:r>
      <w:r>
        <w:rPr>
          <w:spacing w:val="-5"/>
          <w:sz w:val="18"/>
          <w:szCs w:val="18"/>
          <w:lang w:val="es-ES_tradnl"/>
        </w:rPr>
        <w:t xml:space="preserve">guez y Walter </w:t>
      </w:r>
      <w:r>
        <w:rPr>
          <w:spacing w:val="-6"/>
          <w:sz w:val="18"/>
          <w:szCs w:val="18"/>
          <w:lang w:val="es-ES_tradnl"/>
        </w:rPr>
        <w:t xml:space="preserve">Eduardo Armijos Orellana en sus calidades de alcalde y </w:t>
      </w:r>
      <w:r>
        <w:rPr>
          <w:spacing w:val="-5"/>
          <w:sz w:val="18"/>
          <w:szCs w:val="18"/>
          <w:lang w:val="es-ES_tradnl"/>
        </w:rPr>
        <w:t>procurador s</w:t>
      </w:r>
      <w:r>
        <w:rPr>
          <w:rFonts w:cs="Times New Roman"/>
          <w:spacing w:val="-5"/>
          <w:sz w:val="18"/>
          <w:szCs w:val="18"/>
          <w:lang w:val="es-ES_tradnl"/>
        </w:rPr>
        <w:t>í</w:t>
      </w:r>
      <w:r>
        <w:rPr>
          <w:spacing w:val="-5"/>
          <w:sz w:val="18"/>
          <w:szCs w:val="18"/>
          <w:lang w:val="es-ES_tradnl"/>
        </w:rPr>
        <w:t>ndico del Gobierno Municipal del cant</w:t>
      </w:r>
      <w:r>
        <w:rPr>
          <w:rFonts w:cs="Times New Roman"/>
          <w:spacing w:val="-5"/>
          <w:sz w:val="18"/>
          <w:szCs w:val="18"/>
          <w:lang w:val="es-ES_tradnl"/>
        </w:rPr>
        <w:t>ó</w:t>
      </w:r>
      <w:r>
        <w:rPr>
          <w:spacing w:val="-5"/>
          <w:sz w:val="18"/>
          <w:szCs w:val="18"/>
          <w:lang w:val="es-ES_tradnl"/>
        </w:rPr>
        <w:t xml:space="preserve">n </w:t>
      </w:r>
      <w:r>
        <w:rPr>
          <w:spacing w:val="-9"/>
          <w:sz w:val="18"/>
          <w:szCs w:val="18"/>
          <w:lang w:val="es-ES_tradnl"/>
        </w:rPr>
        <w:t xml:space="preserve">Mocache, en contra de la sentencia dictada el 27 de agosto </w:t>
      </w:r>
      <w:r>
        <w:rPr>
          <w:spacing w:val="-8"/>
          <w:sz w:val="18"/>
          <w:szCs w:val="18"/>
          <w:lang w:val="es-ES_tradnl"/>
        </w:rPr>
        <w:t>de 2010, por la Sala Penal, Colusorio y Tr</w:t>
      </w:r>
      <w:r>
        <w:rPr>
          <w:rFonts w:cs="Times New Roman"/>
          <w:spacing w:val="-8"/>
          <w:sz w:val="18"/>
          <w:szCs w:val="18"/>
          <w:lang w:val="es-ES_tradnl"/>
        </w:rPr>
        <w:t>á</w:t>
      </w:r>
      <w:r>
        <w:rPr>
          <w:spacing w:val="-8"/>
          <w:sz w:val="18"/>
          <w:szCs w:val="18"/>
          <w:lang w:val="es-ES_tradnl"/>
        </w:rPr>
        <w:t xml:space="preserve">nsito de la Corte </w:t>
      </w:r>
      <w:r>
        <w:rPr>
          <w:spacing w:val="-5"/>
          <w:sz w:val="18"/>
          <w:szCs w:val="18"/>
          <w:lang w:val="es-ES_tradnl"/>
        </w:rPr>
        <w:t>Provincial de Justicia de Los R</w:t>
      </w:r>
      <w:r>
        <w:rPr>
          <w:rFonts w:cs="Times New Roman"/>
          <w:spacing w:val="-5"/>
          <w:sz w:val="18"/>
          <w:szCs w:val="18"/>
          <w:lang w:val="es-ES_tradnl"/>
        </w:rPr>
        <w:t>í</w:t>
      </w:r>
      <w:r>
        <w:rPr>
          <w:spacing w:val="-5"/>
          <w:sz w:val="18"/>
          <w:szCs w:val="18"/>
          <w:lang w:val="es-ES_tradnl"/>
        </w:rPr>
        <w:t xml:space="preserve">os; la que tiene origen en </w:t>
      </w:r>
      <w:r>
        <w:rPr>
          <w:spacing w:val="-9"/>
          <w:sz w:val="18"/>
          <w:szCs w:val="18"/>
          <w:lang w:val="es-ES_tradnl"/>
        </w:rPr>
        <w:t>el proceso de acci</w:t>
      </w:r>
      <w:r>
        <w:rPr>
          <w:rFonts w:cs="Times New Roman"/>
          <w:spacing w:val="-9"/>
          <w:sz w:val="18"/>
          <w:szCs w:val="18"/>
          <w:lang w:val="es-ES_tradnl"/>
        </w:rPr>
        <w:t>ó</w:t>
      </w:r>
      <w:r>
        <w:rPr>
          <w:spacing w:val="-9"/>
          <w:sz w:val="18"/>
          <w:szCs w:val="18"/>
          <w:lang w:val="es-ES_tradnl"/>
        </w:rPr>
        <w:t>n de h</w:t>
      </w:r>
      <w:r>
        <w:rPr>
          <w:rFonts w:cs="Times New Roman"/>
          <w:spacing w:val="-9"/>
          <w:sz w:val="18"/>
          <w:szCs w:val="18"/>
          <w:lang w:val="es-ES_tradnl"/>
        </w:rPr>
        <w:t>á</w:t>
      </w:r>
      <w:r>
        <w:rPr>
          <w:spacing w:val="-9"/>
          <w:sz w:val="18"/>
          <w:szCs w:val="18"/>
          <w:lang w:val="es-ES_tradnl"/>
        </w:rPr>
        <w:t xml:space="preserve">beas data presentada por Emilio </w:t>
      </w:r>
      <w:r>
        <w:rPr>
          <w:spacing w:val="-4"/>
          <w:sz w:val="18"/>
          <w:szCs w:val="18"/>
          <w:lang w:val="es-ES_tradnl"/>
        </w:rPr>
        <w:t>Vicente D</w:t>
      </w:r>
      <w:r>
        <w:rPr>
          <w:rFonts w:cs="Times New Roman"/>
          <w:spacing w:val="-4"/>
          <w:sz w:val="18"/>
          <w:szCs w:val="18"/>
          <w:lang w:val="es-ES_tradnl"/>
        </w:rPr>
        <w:t>í</w:t>
      </w:r>
      <w:r>
        <w:rPr>
          <w:spacing w:val="-4"/>
          <w:sz w:val="18"/>
          <w:szCs w:val="18"/>
          <w:lang w:val="es-ES_tradnl"/>
        </w:rPr>
        <w:t>az Ter</w:t>
      </w:r>
      <w:r>
        <w:rPr>
          <w:rFonts w:cs="Times New Roman"/>
          <w:spacing w:val="-4"/>
          <w:sz w:val="18"/>
          <w:szCs w:val="18"/>
          <w:lang w:val="es-ES_tradnl"/>
        </w:rPr>
        <w:t>á</w:t>
      </w:r>
      <w:r>
        <w:rPr>
          <w:spacing w:val="-4"/>
          <w:sz w:val="18"/>
          <w:szCs w:val="18"/>
          <w:lang w:val="es-ES_tradnl"/>
        </w:rPr>
        <w:t xml:space="preserve">n en contra de la Municipalidad de </w:t>
      </w:r>
      <w:r>
        <w:rPr>
          <w:sz w:val="18"/>
          <w:szCs w:val="18"/>
          <w:lang w:val="es-ES_tradnl"/>
        </w:rPr>
        <w:t>Mocache.</w:t>
      </w:r>
    </w:p>
    <w:p w14:paraId="4F67ABC1" w14:textId="77777777" w:rsidR="00591D54" w:rsidRDefault="00591D54">
      <w:pPr>
        <w:shd w:val="clear" w:color="auto" w:fill="FFFFFF"/>
        <w:spacing w:before="197" w:line="216" w:lineRule="exact"/>
        <w:jc w:val="both"/>
      </w:pPr>
      <w:r>
        <w:rPr>
          <w:spacing w:val="-6"/>
          <w:sz w:val="18"/>
          <w:szCs w:val="18"/>
          <w:lang w:val="es-ES_tradnl"/>
        </w:rPr>
        <w:t>La Secretar</w:t>
      </w:r>
      <w:r>
        <w:rPr>
          <w:rFonts w:cs="Times New Roman"/>
          <w:spacing w:val="-6"/>
          <w:sz w:val="18"/>
          <w:szCs w:val="18"/>
          <w:lang w:val="es-ES_tradnl"/>
        </w:rPr>
        <w:t>í</w:t>
      </w:r>
      <w:r>
        <w:rPr>
          <w:spacing w:val="-6"/>
          <w:sz w:val="18"/>
          <w:szCs w:val="18"/>
          <w:lang w:val="es-ES_tradnl"/>
        </w:rPr>
        <w:t xml:space="preserve">a General de la Corte Constitucional, para el </w:t>
      </w:r>
      <w:r>
        <w:rPr>
          <w:spacing w:val="-5"/>
          <w:sz w:val="18"/>
          <w:szCs w:val="18"/>
          <w:lang w:val="es-ES_tradnl"/>
        </w:rPr>
        <w:t>per</w:t>
      </w:r>
      <w:r>
        <w:rPr>
          <w:rFonts w:cs="Times New Roman"/>
          <w:spacing w:val="-5"/>
          <w:sz w:val="18"/>
          <w:szCs w:val="18"/>
          <w:lang w:val="es-ES_tradnl"/>
        </w:rPr>
        <w:t>í</w:t>
      </w:r>
      <w:r>
        <w:rPr>
          <w:spacing w:val="-5"/>
          <w:sz w:val="18"/>
          <w:szCs w:val="18"/>
          <w:lang w:val="es-ES_tradnl"/>
        </w:rPr>
        <w:t>odo de transici</w:t>
      </w:r>
      <w:r>
        <w:rPr>
          <w:rFonts w:cs="Times New Roman"/>
          <w:spacing w:val="-5"/>
          <w:sz w:val="18"/>
          <w:szCs w:val="18"/>
          <w:lang w:val="es-ES_tradnl"/>
        </w:rPr>
        <w:t>ó</w:t>
      </w:r>
      <w:r>
        <w:rPr>
          <w:spacing w:val="-5"/>
          <w:sz w:val="18"/>
          <w:szCs w:val="18"/>
          <w:lang w:val="es-ES_tradnl"/>
        </w:rPr>
        <w:t xml:space="preserve">n, de conformidad con lo establecido </w:t>
      </w:r>
      <w:r>
        <w:rPr>
          <w:spacing w:val="-6"/>
          <w:sz w:val="18"/>
          <w:szCs w:val="18"/>
          <w:lang w:val="es-ES_tradnl"/>
        </w:rPr>
        <w:t>en el segundo inciso del art</w:t>
      </w:r>
      <w:r>
        <w:rPr>
          <w:rFonts w:cs="Times New Roman"/>
          <w:spacing w:val="-6"/>
          <w:sz w:val="18"/>
          <w:szCs w:val="18"/>
          <w:lang w:val="es-ES_tradnl"/>
        </w:rPr>
        <w:t>í</w:t>
      </w:r>
      <w:r>
        <w:rPr>
          <w:spacing w:val="-6"/>
          <w:sz w:val="18"/>
          <w:szCs w:val="18"/>
          <w:lang w:val="es-ES_tradnl"/>
        </w:rPr>
        <w:t xml:space="preserve">culo 17 del Reglamento de </w:t>
      </w:r>
      <w:r>
        <w:rPr>
          <w:spacing w:val="-8"/>
          <w:sz w:val="18"/>
          <w:szCs w:val="18"/>
          <w:lang w:val="es-ES_tradnl"/>
        </w:rPr>
        <w:t>Sustanciaci</w:t>
      </w:r>
      <w:r>
        <w:rPr>
          <w:rFonts w:cs="Times New Roman"/>
          <w:spacing w:val="-8"/>
          <w:sz w:val="18"/>
          <w:szCs w:val="18"/>
          <w:lang w:val="es-ES_tradnl"/>
        </w:rPr>
        <w:t>ó</w:t>
      </w:r>
      <w:r>
        <w:rPr>
          <w:spacing w:val="-8"/>
          <w:sz w:val="18"/>
          <w:szCs w:val="18"/>
          <w:lang w:val="es-ES_tradnl"/>
        </w:rPr>
        <w:t xml:space="preserve">n de Procesos de Competencia de la Corte </w:t>
      </w:r>
      <w:r>
        <w:rPr>
          <w:spacing w:val="-6"/>
          <w:sz w:val="18"/>
          <w:szCs w:val="18"/>
          <w:lang w:val="es-ES_tradnl"/>
        </w:rPr>
        <w:t>Constitucional, el 15 de octubre de 2010, certific</w:t>
      </w:r>
      <w:r>
        <w:rPr>
          <w:rFonts w:cs="Times New Roman"/>
          <w:spacing w:val="-6"/>
          <w:sz w:val="18"/>
          <w:szCs w:val="18"/>
          <w:lang w:val="es-ES_tradnl"/>
        </w:rPr>
        <w:t>ó</w:t>
      </w:r>
      <w:r>
        <w:rPr>
          <w:spacing w:val="-6"/>
          <w:sz w:val="18"/>
          <w:szCs w:val="18"/>
          <w:lang w:val="es-ES_tradnl"/>
        </w:rPr>
        <w:t xml:space="preserve"> que en </w:t>
      </w:r>
      <w:r>
        <w:rPr>
          <w:spacing w:val="-9"/>
          <w:sz w:val="18"/>
          <w:szCs w:val="18"/>
          <w:lang w:val="es-ES_tradnl"/>
        </w:rPr>
        <w:t>referencia a la acci</w:t>
      </w:r>
      <w:r>
        <w:rPr>
          <w:rFonts w:cs="Times New Roman"/>
          <w:spacing w:val="-9"/>
          <w:sz w:val="18"/>
          <w:szCs w:val="18"/>
          <w:lang w:val="es-ES_tradnl"/>
        </w:rPr>
        <w:t>ó</w:t>
      </w:r>
      <w:r>
        <w:rPr>
          <w:spacing w:val="-9"/>
          <w:sz w:val="18"/>
          <w:szCs w:val="18"/>
          <w:lang w:val="es-ES_tradnl"/>
        </w:rPr>
        <w:t>n N.</w:t>
      </w:r>
      <w:r>
        <w:rPr>
          <w:rFonts w:cs="Times New Roman"/>
          <w:spacing w:val="-9"/>
          <w:sz w:val="18"/>
          <w:szCs w:val="18"/>
          <w:lang w:val="es-ES_tradnl"/>
        </w:rPr>
        <w:t>º</w:t>
      </w:r>
      <w:r>
        <w:rPr>
          <w:spacing w:val="-9"/>
          <w:sz w:val="18"/>
          <w:szCs w:val="18"/>
          <w:lang w:val="es-ES_tradnl"/>
        </w:rPr>
        <w:t xml:space="preserve"> 1493-10-EP, no se ha presentado </w:t>
      </w:r>
      <w:r>
        <w:rPr>
          <w:spacing w:val="-10"/>
          <w:sz w:val="18"/>
          <w:szCs w:val="18"/>
          <w:lang w:val="es-ES_tradnl"/>
        </w:rPr>
        <w:t>otra demanda con identidad de objeto y acci</w:t>
      </w:r>
      <w:r>
        <w:rPr>
          <w:rFonts w:cs="Times New Roman"/>
          <w:spacing w:val="-10"/>
          <w:sz w:val="18"/>
          <w:szCs w:val="18"/>
          <w:lang w:val="es-ES_tradnl"/>
        </w:rPr>
        <w:t>ó</w:t>
      </w:r>
      <w:r>
        <w:rPr>
          <w:spacing w:val="-10"/>
          <w:sz w:val="18"/>
          <w:szCs w:val="18"/>
          <w:lang w:val="es-ES_tradnl"/>
        </w:rPr>
        <w:t xml:space="preserve">n. Sin embargo </w:t>
      </w:r>
      <w:r>
        <w:rPr>
          <w:spacing w:val="-11"/>
          <w:sz w:val="18"/>
          <w:szCs w:val="18"/>
          <w:lang w:val="es-ES_tradnl"/>
        </w:rPr>
        <w:t xml:space="preserve">de lo expuesto, se deja constancia para los fines pertinentes, </w:t>
      </w:r>
      <w:r>
        <w:rPr>
          <w:spacing w:val="-8"/>
          <w:sz w:val="18"/>
          <w:szCs w:val="18"/>
          <w:lang w:val="es-ES_tradnl"/>
        </w:rPr>
        <w:t>que la presente causa tiene relaci</w:t>
      </w:r>
      <w:r>
        <w:rPr>
          <w:rFonts w:cs="Times New Roman"/>
          <w:spacing w:val="-8"/>
          <w:sz w:val="18"/>
          <w:szCs w:val="18"/>
          <w:lang w:val="es-ES_tradnl"/>
        </w:rPr>
        <w:t>ó</w:t>
      </w:r>
      <w:r>
        <w:rPr>
          <w:spacing w:val="-8"/>
          <w:sz w:val="18"/>
          <w:szCs w:val="18"/>
          <w:lang w:val="es-ES_tradnl"/>
        </w:rPr>
        <w:t>n con el caso N.</w:t>
      </w:r>
      <w:r>
        <w:rPr>
          <w:rFonts w:cs="Times New Roman"/>
          <w:spacing w:val="-8"/>
          <w:sz w:val="18"/>
          <w:szCs w:val="18"/>
          <w:lang w:val="es-ES_tradnl"/>
        </w:rPr>
        <w:t>º</w:t>
      </w:r>
      <w:r>
        <w:rPr>
          <w:spacing w:val="-8"/>
          <w:sz w:val="18"/>
          <w:szCs w:val="18"/>
          <w:lang w:val="es-ES_tradnl"/>
        </w:rPr>
        <w:t xml:space="preserve"> 0031-</w:t>
      </w:r>
      <w:r>
        <w:rPr>
          <w:sz w:val="18"/>
          <w:szCs w:val="18"/>
          <w:lang w:val="es-ES_tradnl"/>
        </w:rPr>
        <w:t>10-JD.</w:t>
      </w:r>
    </w:p>
    <w:p w14:paraId="4F67ABC2" w14:textId="77777777" w:rsidR="00591D54" w:rsidRDefault="00591D54">
      <w:pPr>
        <w:shd w:val="clear" w:color="auto" w:fill="FFFFFF"/>
        <w:spacing w:before="197" w:line="216" w:lineRule="exact"/>
        <w:jc w:val="both"/>
      </w:pPr>
      <w:r>
        <w:rPr>
          <w:sz w:val="18"/>
          <w:szCs w:val="18"/>
          <w:lang w:val="es-ES_tradnl"/>
        </w:rPr>
        <w:t>La Sala de Admisi</w:t>
      </w:r>
      <w:r>
        <w:rPr>
          <w:rFonts w:cs="Times New Roman"/>
          <w:sz w:val="18"/>
          <w:szCs w:val="18"/>
          <w:lang w:val="es-ES_tradnl"/>
        </w:rPr>
        <w:t>ó</w:t>
      </w:r>
      <w:r>
        <w:rPr>
          <w:sz w:val="18"/>
          <w:szCs w:val="18"/>
          <w:lang w:val="es-ES_tradnl"/>
        </w:rPr>
        <w:t xml:space="preserve">n de la Corte Constitucional, para </w:t>
      </w:r>
      <w:r>
        <w:rPr>
          <w:spacing w:val="-6"/>
          <w:sz w:val="18"/>
          <w:szCs w:val="18"/>
          <w:lang w:val="es-ES_tradnl"/>
        </w:rPr>
        <w:t>el per</w:t>
      </w:r>
      <w:r>
        <w:rPr>
          <w:rFonts w:cs="Times New Roman"/>
          <w:spacing w:val="-6"/>
          <w:sz w:val="18"/>
          <w:szCs w:val="18"/>
          <w:lang w:val="es-ES_tradnl"/>
        </w:rPr>
        <w:t>í</w:t>
      </w:r>
      <w:r>
        <w:rPr>
          <w:spacing w:val="-6"/>
          <w:sz w:val="18"/>
          <w:szCs w:val="18"/>
          <w:lang w:val="es-ES_tradnl"/>
        </w:rPr>
        <w:t>odo de transici</w:t>
      </w:r>
      <w:r>
        <w:rPr>
          <w:rFonts w:cs="Times New Roman"/>
          <w:spacing w:val="-6"/>
          <w:sz w:val="18"/>
          <w:szCs w:val="18"/>
          <w:lang w:val="es-ES_tradnl"/>
        </w:rPr>
        <w:t>ó</w:t>
      </w:r>
      <w:r>
        <w:rPr>
          <w:spacing w:val="-6"/>
          <w:sz w:val="18"/>
          <w:szCs w:val="18"/>
          <w:lang w:val="es-ES_tradnl"/>
        </w:rPr>
        <w:t xml:space="preserve">n, conformada por los jueces </w:t>
      </w:r>
      <w:r>
        <w:rPr>
          <w:spacing w:val="-5"/>
          <w:sz w:val="18"/>
          <w:szCs w:val="18"/>
          <w:lang w:val="es-ES_tradnl"/>
        </w:rPr>
        <w:t>constitucionales Patricio Pazmi</w:t>
      </w:r>
      <w:r>
        <w:rPr>
          <w:rFonts w:cs="Times New Roman"/>
          <w:spacing w:val="-5"/>
          <w:sz w:val="18"/>
          <w:szCs w:val="18"/>
          <w:lang w:val="es-ES_tradnl"/>
        </w:rPr>
        <w:t>ñ</w:t>
      </w:r>
      <w:r>
        <w:rPr>
          <w:spacing w:val="-5"/>
          <w:sz w:val="18"/>
          <w:szCs w:val="18"/>
          <w:lang w:val="es-ES_tradnl"/>
        </w:rPr>
        <w:t xml:space="preserve">o Freire, Patricio Herrera Betancourt y Alfonso Luz Yunes, el 07 de diciembre de </w:t>
      </w:r>
      <w:r>
        <w:rPr>
          <w:spacing w:val="-8"/>
          <w:sz w:val="18"/>
          <w:szCs w:val="18"/>
          <w:lang w:val="es-ES_tradnl"/>
        </w:rPr>
        <w:t>2010 a las 15h27, admiti</w:t>
      </w:r>
      <w:r>
        <w:rPr>
          <w:rFonts w:cs="Times New Roman"/>
          <w:spacing w:val="-8"/>
          <w:sz w:val="18"/>
          <w:szCs w:val="18"/>
          <w:lang w:val="es-ES_tradnl"/>
        </w:rPr>
        <w:t>ó</w:t>
      </w:r>
      <w:r>
        <w:rPr>
          <w:spacing w:val="-8"/>
          <w:sz w:val="18"/>
          <w:szCs w:val="18"/>
          <w:lang w:val="es-ES_tradnl"/>
        </w:rPr>
        <w:t xml:space="preserve"> a tr</w:t>
      </w:r>
      <w:r>
        <w:rPr>
          <w:rFonts w:cs="Times New Roman"/>
          <w:spacing w:val="-8"/>
          <w:sz w:val="18"/>
          <w:szCs w:val="18"/>
          <w:lang w:val="es-ES_tradnl"/>
        </w:rPr>
        <w:t>á</w:t>
      </w:r>
      <w:r>
        <w:rPr>
          <w:spacing w:val="-8"/>
          <w:sz w:val="18"/>
          <w:szCs w:val="18"/>
          <w:lang w:val="es-ES_tradnl"/>
        </w:rPr>
        <w:t>mite la acci</w:t>
      </w:r>
      <w:r>
        <w:rPr>
          <w:rFonts w:cs="Times New Roman"/>
          <w:spacing w:val="-8"/>
          <w:sz w:val="18"/>
          <w:szCs w:val="18"/>
          <w:lang w:val="es-ES_tradnl"/>
        </w:rPr>
        <w:t>ó</w:t>
      </w:r>
      <w:r>
        <w:rPr>
          <w:spacing w:val="-8"/>
          <w:sz w:val="18"/>
          <w:szCs w:val="18"/>
          <w:lang w:val="es-ES_tradnl"/>
        </w:rPr>
        <w:t xml:space="preserve">n extraordinaria </w:t>
      </w:r>
      <w:r>
        <w:rPr>
          <w:spacing w:val="-5"/>
          <w:sz w:val="18"/>
          <w:szCs w:val="18"/>
          <w:lang w:val="es-ES_tradnl"/>
        </w:rPr>
        <w:t>de protecci</w:t>
      </w:r>
      <w:r>
        <w:rPr>
          <w:rFonts w:cs="Times New Roman"/>
          <w:spacing w:val="-5"/>
          <w:sz w:val="18"/>
          <w:szCs w:val="18"/>
          <w:lang w:val="es-ES_tradnl"/>
        </w:rPr>
        <w:t>ó</w:t>
      </w:r>
      <w:r>
        <w:rPr>
          <w:spacing w:val="-5"/>
          <w:sz w:val="18"/>
          <w:szCs w:val="18"/>
          <w:lang w:val="es-ES_tradnl"/>
        </w:rPr>
        <w:t>n N.</w:t>
      </w:r>
      <w:r>
        <w:rPr>
          <w:rFonts w:cs="Times New Roman"/>
          <w:spacing w:val="-5"/>
          <w:sz w:val="18"/>
          <w:szCs w:val="18"/>
          <w:lang w:val="es-ES_tradnl"/>
        </w:rPr>
        <w:t>º</w:t>
      </w:r>
      <w:r>
        <w:rPr>
          <w:spacing w:val="-5"/>
          <w:sz w:val="18"/>
          <w:szCs w:val="18"/>
          <w:lang w:val="es-ES_tradnl"/>
        </w:rPr>
        <w:t xml:space="preserve"> 1493-10-EP. Mediante providencia del </w:t>
      </w:r>
      <w:r>
        <w:rPr>
          <w:spacing w:val="-8"/>
          <w:sz w:val="18"/>
          <w:szCs w:val="18"/>
          <w:lang w:val="es-ES_tradnl"/>
        </w:rPr>
        <w:t xml:space="preserve">03 de febrero de 2011, el ex juez sustanciador Alfonso Luz </w:t>
      </w:r>
      <w:r>
        <w:rPr>
          <w:spacing w:val="-9"/>
          <w:sz w:val="18"/>
          <w:szCs w:val="18"/>
          <w:lang w:val="es-ES_tradnl"/>
        </w:rPr>
        <w:t>Yunes avoc</w:t>
      </w:r>
      <w:r>
        <w:rPr>
          <w:rFonts w:cs="Times New Roman"/>
          <w:spacing w:val="-9"/>
          <w:sz w:val="18"/>
          <w:szCs w:val="18"/>
          <w:lang w:val="es-ES_tradnl"/>
        </w:rPr>
        <w:t>ó</w:t>
      </w:r>
      <w:r>
        <w:rPr>
          <w:spacing w:val="-9"/>
          <w:sz w:val="18"/>
          <w:szCs w:val="18"/>
          <w:lang w:val="es-ES_tradnl"/>
        </w:rPr>
        <w:t xml:space="preserve"> conocimiento de la presente causa.</w:t>
      </w:r>
    </w:p>
    <w:p w14:paraId="4F67ABC3" w14:textId="77777777" w:rsidR="00591D54" w:rsidRDefault="00591D54">
      <w:pPr>
        <w:shd w:val="clear" w:color="auto" w:fill="FFFFFF"/>
        <w:spacing w:before="197" w:line="216" w:lineRule="exact"/>
        <w:jc w:val="both"/>
      </w:pPr>
      <w:r>
        <w:rPr>
          <w:spacing w:val="-9"/>
          <w:sz w:val="18"/>
          <w:szCs w:val="18"/>
          <w:lang w:val="es-ES_tradnl"/>
        </w:rPr>
        <w:t xml:space="preserve">El 06 de noviembre de 2012, se posesionaron ante el Pleno </w:t>
      </w:r>
      <w:r>
        <w:rPr>
          <w:spacing w:val="-7"/>
          <w:sz w:val="18"/>
          <w:szCs w:val="18"/>
          <w:lang w:val="es-ES_tradnl"/>
        </w:rPr>
        <w:t xml:space="preserve">de la Asamblea Nacional los jueces de la Primera Corte </w:t>
      </w:r>
      <w:r>
        <w:rPr>
          <w:spacing w:val="-6"/>
          <w:sz w:val="18"/>
          <w:szCs w:val="18"/>
          <w:lang w:val="es-ES_tradnl"/>
        </w:rPr>
        <w:t>Constitucional, integrada conforme lo dispuesto en los art</w:t>
      </w:r>
      <w:r>
        <w:rPr>
          <w:rFonts w:cs="Times New Roman"/>
          <w:spacing w:val="-6"/>
          <w:sz w:val="18"/>
          <w:szCs w:val="18"/>
          <w:lang w:val="es-ES_tradnl"/>
        </w:rPr>
        <w:t>í</w:t>
      </w:r>
      <w:r>
        <w:rPr>
          <w:spacing w:val="-6"/>
          <w:sz w:val="18"/>
          <w:szCs w:val="18"/>
          <w:lang w:val="es-ES_tradnl"/>
        </w:rPr>
        <w:t>culos 432 y 434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w:t>
      </w:r>
    </w:p>
    <w:p w14:paraId="4F67ABC4" w14:textId="77777777" w:rsidR="00591D54" w:rsidRDefault="00591D54">
      <w:pPr>
        <w:shd w:val="clear" w:color="auto" w:fill="FFFFFF"/>
        <w:spacing w:before="192" w:line="216" w:lineRule="exact"/>
        <w:jc w:val="both"/>
      </w:pPr>
      <w:r>
        <w:rPr>
          <w:spacing w:val="-8"/>
          <w:sz w:val="18"/>
          <w:szCs w:val="18"/>
          <w:lang w:val="es-ES_tradnl"/>
        </w:rPr>
        <w:t>El 03 de enero de 2013, se efectu</w:t>
      </w:r>
      <w:r>
        <w:rPr>
          <w:rFonts w:cs="Times New Roman"/>
          <w:spacing w:val="-8"/>
          <w:sz w:val="18"/>
          <w:szCs w:val="18"/>
          <w:lang w:val="es-ES_tradnl"/>
        </w:rPr>
        <w:t>ó</w:t>
      </w:r>
      <w:r>
        <w:rPr>
          <w:spacing w:val="-8"/>
          <w:sz w:val="18"/>
          <w:szCs w:val="18"/>
          <w:lang w:val="es-ES_tradnl"/>
        </w:rPr>
        <w:t xml:space="preserve"> por el Pleno de la Corte </w:t>
      </w:r>
      <w:r>
        <w:rPr>
          <w:spacing w:val="-6"/>
          <w:sz w:val="18"/>
          <w:szCs w:val="18"/>
          <w:lang w:val="es-ES_tradnl"/>
        </w:rPr>
        <w:t xml:space="preserve">Constitucional el sorteo correspondiente de conformidad </w:t>
      </w:r>
      <w:r>
        <w:rPr>
          <w:spacing w:val="-7"/>
          <w:sz w:val="18"/>
          <w:szCs w:val="18"/>
          <w:lang w:val="es-ES_tradnl"/>
        </w:rPr>
        <w:t>con lo establecido en la Ley Org</w:t>
      </w:r>
      <w:r>
        <w:rPr>
          <w:rFonts w:cs="Times New Roman"/>
          <w:spacing w:val="-7"/>
          <w:sz w:val="18"/>
          <w:szCs w:val="18"/>
          <w:lang w:val="es-ES_tradnl"/>
        </w:rPr>
        <w:t>á</w:t>
      </w:r>
      <w:r>
        <w:rPr>
          <w:spacing w:val="-7"/>
          <w:sz w:val="18"/>
          <w:szCs w:val="18"/>
          <w:lang w:val="es-ES_tradnl"/>
        </w:rPr>
        <w:t>nica de Garant</w:t>
      </w:r>
      <w:r>
        <w:rPr>
          <w:rFonts w:cs="Times New Roman"/>
          <w:spacing w:val="-7"/>
          <w:sz w:val="18"/>
          <w:szCs w:val="18"/>
          <w:lang w:val="es-ES_tradnl"/>
        </w:rPr>
        <w:t>í</w:t>
      </w:r>
      <w:r>
        <w:rPr>
          <w:spacing w:val="-7"/>
          <w:sz w:val="18"/>
          <w:szCs w:val="18"/>
          <w:lang w:val="es-ES_tradnl"/>
        </w:rPr>
        <w:t xml:space="preserve">as </w:t>
      </w:r>
      <w:r>
        <w:rPr>
          <w:spacing w:val="-6"/>
          <w:sz w:val="18"/>
          <w:szCs w:val="18"/>
          <w:lang w:val="es-ES_tradnl"/>
        </w:rPr>
        <w:t>Jurisdiccionales y Control Constitucional y el Reglamento</w:t>
      </w:r>
    </w:p>
    <w:p w14:paraId="4F67ABC5" w14:textId="77777777" w:rsidR="00591D54" w:rsidRDefault="00591D54">
      <w:pPr>
        <w:shd w:val="clear" w:color="auto" w:fill="FFFFFF"/>
        <w:spacing w:before="192" w:line="216" w:lineRule="exact"/>
        <w:jc w:val="both"/>
        <w:sectPr w:rsidR="00591D54">
          <w:type w:val="continuous"/>
          <w:pgSz w:w="11909" w:h="16834"/>
          <w:pgMar w:top="1363" w:right="1309" w:bottom="360" w:left="1308" w:header="720" w:footer="720" w:gutter="0"/>
          <w:cols w:num="2" w:space="720" w:equalWidth="0">
            <w:col w:w="4305" w:space="682"/>
            <w:col w:w="4305"/>
          </w:cols>
          <w:noEndnote/>
        </w:sectPr>
      </w:pPr>
    </w:p>
    <w:p w14:paraId="4F67ABC6" w14:textId="77777777" w:rsidR="00591D54" w:rsidRDefault="00591D54">
      <w:pPr>
        <w:shd w:val="clear" w:color="auto" w:fill="FFFFFF"/>
        <w:tabs>
          <w:tab w:val="left" w:pos="584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- 101</w:t>
      </w:r>
    </w:p>
    <w:p w14:paraId="4F67ABC7" w14:textId="77777777" w:rsidR="00591D54" w:rsidRDefault="00591D54">
      <w:pPr>
        <w:shd w:val="clear" w:color="auto" w:fill="FFFFFF"/>
        <w:tabs>
          <w:tab w:val="left" w:pos="5842"/>
        </w:tabs>
        <w:spacing w:after="230"/>
        <w:ind w:left="5"/>
        <w:sectPr w:rsidR="00591D54">
          <w:pgSz w:w="11909" w:h="16834"/>
          <w:pgMar w:top="1373" w:right="1304" w:bottom="360" w:left="1308" w:header="720" w:footer="720" w:gutter="0"/>
          <w:cols w:space="60"/>
          <w:noEndnote/>
        </w:sectPr>
      </w:pPr>
    </w:p>
    <w:p w14:paraId="4F67ABC8" w14:textId="77777777" w:rsidR="00591D54" w:rsidRDefault="00591D54">
      <w:pPr>
        <w:shd w:val="clear" w:color="auto" w:fill="FFFFFF"/>
        <w:spacing w:before="5" w:line="216" w:lineRule="exact"/>
        <w:jc w:val="both"/>
      </w:pPr>
      <w:r>
        <w:rPr>
          <w:spacing w:val="-9"/>
          <w:sz w:val="18"/>
          <w:szCs w:val="18"/>
          <w:lang w:val="es-ES_tradnl"/>
        </w:rPr>
        <w:t>de Sustanciaci</w:t>
      </w:r>
      <w:r>
        <w:rPr>
          <w:rFonts w:cs="Times New Roman"/>
          <w:spacing w:val="-9"/>
          <w:sz w:val="18"/>
          <w:szCs w:val="18"/>
          <w:lang w:val="es-ES_tradnl"/>
        </w:rPr>
        <w:t>ó</w:t>
      </w:r>
      <w:r>
        <w:rPr>
          <w:spacing w:val="-9"/>
          <w:sz w:val="18"/>
          <w:szCs w:val="18"/>
          <w:lang w:val="es-ES_tradnl"/>
        </w:rPr>
        <w:t xml:space="preserve">n de Procesos de Competencia de la Corte </w:t>
      </w:r>
      <w:r>
        <w:rPr>
          <w:spacing w:val="-7"/>
          <w:sz w:val="18"/>
          <w:szCs w:val="18"/>
          <w:lang w:val="es-ES_tradnl"/>
        </w:rPr>
        <w:t>Constitucional, el presente caso signado con el N.</w:t>
      </w:r>
      <w:r>
        <w:rPr>
          <w:rFonts w:cs="Times New Roman"/>
          <w:spacing w:val="-7"/>
          <w:sz w:val="18"/>
          <w:szCs w:val="18"/>
          <w:lang w:val="es-ES_tradnl"/>
        </w:rPr>
        <w:t>º</w:t>
      </w:r>
      <w:r>
        <w:rPr>
          <w:spacing w:val="-7"/>
          <w:sz w:val="18"/>
          <w:szCs w:val="18"/>
          <w:lang w:val="es-ES_tradnl"/>
        </w:rPr>
        <w:t xml:space="preserve"> 1493-</w:t>
      </w:r>
      <w:r>
        <w:rPr>
          <w:spacing w:val="-6"/>
          <w:sz w:val="18"/>
          <w:szCs w:val="18"/>
          <w:lang w:val="es-ES_tradnl"/>
        </w:rPr>
        <w:t>10-EP correspondi</w:t>
      </w:r>
      <w:r>
        <w:rPr>
          <w:rFonts w:cs="Times New Roman"/>
          <w:spacing w:val="-6"/>
          <w:sz w:val="18"/>
          <w:szCs w:val="18"/>
          <w:lang w:val="es-ES_tradnl"/>
        </w:rPr>
        <w:t>ó</w:t>
      </w:r>
      <w:r>
        <w:rPr>
          <w:spacing w:val="-6"/>
          <w:sz w:val="18"/>
          <w:szCs w:val="18"/>
          <w:lang w:val="es-ES_tradnl"/>
        </w:rPr>
        <w:t xml:space="preserve"> a la jueza constitucional Mar</w:t>
      </w:r>
      <w:r>
        <w:rPr>
          <w:rFonts w:cs="Times New Roman"/>
          <w:spacing w:val="-6"/>
          <w:sz w:val="18"/>
          <w:szCs w:val="18"/>
          <w:lang w:val="es-ES_tradnl"/>
        </w:rPr>
        <w:t>í</w:t>
      </w:r>
      <w:r>
        <w:rPr>
          <w:spacing w:val="-6"/>
          <w:sz w:val="18"/>
          <w:szCs w:val="18"/>
          <w:lang w:val="es-ES_tradnl"/>
        </w:rPr>
        <w:t xml:space="preserve">a del </w:t>
      </w:r>
      <w:r>
        <w:rPr>
          <w:spacing w:val="-9"/>
          <w:sz w:val="18"/>
          <w:szCs w:val="18"/>
          <w:lang w:val="es-ES_tradnl"/>
        </w:rPr>
        <w:t>Carmen Maldonado como jueza sustanciadora.</w:t>
      </w:r>
    </w:p>
    <w:p w14:paraId="4F67ABC9" w14:textId="77777777" w:rsidR="00591D54" w:rsidRDefault="00591D54">
      <w:pPr>
        <w:shd w:val="clear" w:color="auto" w:fill="FFFFFF"/>
        <w:spacing w:before="197" w:line="216" w:lineRule="exact"/>
        <w:jc w:val="both"/>
      </w:pPr>
      <w:r>
        <w:rPr>
          <w:spacing w:val="-8"/>
          <w:sz w:val="18"/>
          <w:szCs w:val="18"/>
          <w:lang w:val="es-ES_tradnl"/>
        </w:rPr>
        <w:t xml:space="preserve">El 27 de noviembre de 2014 a las 14h00, la jueza ponente </w:t>
      </w:r>
      <w:r>
        <w:rPr>
          <w:spacing w:val="-10"/>
          <w:sz w:val="18"/>
          <w:szCs w:val="18"/>
          <w:lang w:val="es-ES_tradnl"/>
        </w:rPr>
        <w:t>Mar</w:t>
      </w:r>
      <w:r>
        <w:rPr>
          <w:rFonts w:cs="Times New Roman"/>
          <w:spacing w:val="-10"/>
          <w:sz w:val="18"/>
          <w:szCs w:val="18"/>
          <w:lang w:val="es-ES_tradnl"/>
        </w:rPr>
        <w:t>í</w:t>
      </w:r>
      <w:r>
        <w:rPr>
          <w:spacing w:val="-10"/>
          <w:sz w:val="18"/>
          <w:szCs w:val="18"/>
          <w:lang w:val="es-ES_tradnl"/>
        </w:rPr>
        <w:t>a del Carmen Maldonado S</w:t>
      </w:r>
      <w:r>
        <w:rPr>
          <w:rFonts w:cs="Times New Roman"/>
          <w:spacing w:val="-10"/>
          <w:sz w:val="18"/>
          <w:szCs w:val="18"/>
          <w:lang w:val="es-ES_tradnl"/>
        </w:rPr>
        <w:t>á</w:t>
      </w:r>
      <w:r>
        <w:rPr>
          <w:spacing w:val="-10"/>
          <w:sz w:val="18"/>
          <w:szCs w:val="18"/>
          <w:lang w:val="es-ES_tradnl"/>
        </w:rPr>
        <w:t>nchez avoc</w:t>
      </w:r>
      <w:r>
        <w:rPr>
          <w:rFonts w:cs="Times New Roman"/>
          <w:spacing w:val="-10"/>
          <w:sz w:val="18"/>
          <w:szCs w:val="18"/>
          <w:lang w:val="es-ES_tradnl"/>
        </w:rPr>
        <w:t>ó</w:t>
      </w:r>
      <w:r>
        <w:rPr>
          <w:spacing w:val="-10"/>
          <w:sz w:val="18"/>
          <w:szCs w:val="18"/>
          <w:lang w:val="es-ES_tradnl"/>
        </w:rPr>
        <w:t xml:space="preserve"> conocimiento </w:t>
      </w:r>
      <w:r>
        <w:rPr>
          <w:sz w:val="18"/>
          <w:szCs w:val="18"/>
          <w:lang w:val="es-ES_tradnl"/>
        </w:rPr>
        <w:t>de la causa.</w:t>
      </w:r>
    </w:p>
    <w:p w14:paraId="4F67ABCA" w14:textId="77777777" w:rsidR="00591D54" w:rsidRDefault="00591D54">
      <w:pPr>
        <w:shd w:val="clear" w:color="auto" w:fill="FFFFFF"/>
        <w:spacing w:before="192"/>
      </w:pPr>
      <w:r>
        <w:rPr>
          <w:b/>
          <w:bCs/>
          <w:spacing w:val="-11"/>
          <w:sz w:val="18"/>
          <w:szCs w:val="18"/>
          <w:lang w:val="es-ES_tradnl"/>
        </w:rPr>
        <w:t>Breve descripci</w:t>
      </w:r>
      <w:r>
        <w:rPr>
          <w:rFonts w:cs="Times New Roman"/>
          <w:b/>
          <w:bCs/>
          <w:spacing w:val="-11"/>
          <w:sz w:val="18"/>
          <w:szCs w:val="18"/>
          <w:lang w:val="es-ES_tradnl"/>
        </w:rPr>
        <w:t>ó</w:t>
      </w:r>
      <w:r>
        <w:rPr>
          <w:b/>
          <w:bCs/>
          <w:spacing w:val="-11"/>
          <w:sz w:val="18"/>
          <w:szCs w:val="18"/>
          <w:lang w:val="es-ES_tradnl"/>
        </w:rPr>
        <w:t>n del caso</w:t>
      </w:r>
    </w:p>
    <w:p w14:paraId="4F67ABCB" w14:textId="77777777" w:rsidR="00591D54" w:rsidRDefault="00591D54">
      <w:pPr>
        <w:shd w:val="clear" w:color="auto" w:fill="FFFFFF"/>
        <w:spacing w:before="192" w:line="216" w:lineRule="exact"/>
        <w:jc w:val="both"/>
      </w:pPr>
      <w:r>
        <w:rPr>
          <w:spacing w:val="-4"/>
          <w:sz w:val="18"/>
          <w:szCs w:val="18"/>
          <w:lang w:val="es-ES_tradnl"/>
        </w:rPr>
        <w:t>El se</w:t>
      </w:r>
      <w:r>
        <w:rPr>
          <w:rFonts w:cs="Times New Roman"/>
          <w:spacing w:val="-4"/>
          <w:sz w:val="18"/>
          <w:szCs w:val="18"/>
          <w:lang w:val="es-ES_tradnl"/>
        </w:rPr>
        <w:t>ñ</w:t>
      </w:r>
      <w:r>
        <w:rPr>
          <w:spacing w:val="-4"/>
          <w:sz w:val="18"/>
          <w:szCs w:val="18"/>
          <w:lang w:val="es-ES_tradnl"/>
        </w:rPr>
        <w:t>or Emilio Vicente D</w:t>
      </w:r>
      <w:r>
        <w:rPr>
          <w:rFonts w:cs="Times New Roman"/>
          <w:spacing w:val="-4"/>
          <w:sz w:val="18"/>
          <w:szCs w:val="18"/>
          <w:lang w:val="es-ES_tradnl"/>
        </w:rPr>
        <w:t>í</w:t>
      </w:r>
      <w:r>
        <w:rPr>
          <w:spacing w:val="-4"/>
          <w:sz w:val="18"/>
          <w:szCs w:val="18"/>
          <w:lang w:val="es-ES_tradnl"/>
        </w:rPr>
        <w:t>az Ter</w:t>
      </w:r>
      <w:r>
        <w:rPr>
          <w:rFonts w:cs="Times New Roman"/>
          <w:spacing w:val="-4"/>
          <w:sz w:val="18"/>
          <w:szCs w:val="18"/>
          <w:lang w:val="es-ES_tradnl"/>
        </w:rPr>
        <w:t>á</w:t>
      </w:r>
      <w:r>
        <w:rPr>
          <w:spacing w:val="-4"/>
          <w:sz w:val="18"/>
          <w:szCs w:val="18"/>
          <w:lang w:val="es-ES_tradnl"/>
        </w:rPr>
        <w:t xml:space="preserve">n, exfuncionario del </w:t>
      </w:r>
      <w:r>
        <w:rPr>
          <w:spacing w:val="-8"/>
          <w:sz w:val="18"/>
          <w:szCs w:val="18"/>
          <w:lang w:val="es-ES_tradnl"/>
        </w:rPr>
        <w:t>Gobierno Aut</w:t>
      </w:r>
      <w:r>
        <w:rPr>
          <w:rFonts w:cs="Times New Roman"/>
          <w:spacing w:val="-8"/>
          <w:sz w:val="18"/>
          <w:szCs w:val="18"/>
          <w:lang w:val="es-ES_tradnl"/>
        </w:rPr>
        <w:t>ó</w:t>
      </w:r>
      <w:r>
        <w:rPr>
          <w:spacing w:val="-8"/>
          <w:sz w:val="18"/>
          <w:szCs w:val="18"/>
          <w:lang w:val="es-ES_tradnl"/>
        </w:rPr>
        <w:t>nomo Descentralizado del cant</w:t>
      </w:r>
      <w:r>
        <w:rPr>
          <w:rFonts w:cs="Times New Roman"/>
          <w:spacing w:val="-8"/>
          <w:sz w:val="18"/>
          <w:szCs w:val="18"/>
          <w:lang w:val="es-ES_tradnl"/>
        </w:rPr>
        <w:t>ó</w:t>
      </w:r>
      <w:r>
        <w:rPr>
          <w:spacing w:val="-8"/>
          <w:sz w:val="18"/>
          <w:szCs w:val="18"/>
          <w:lang w:val="es-ES_tradnl"/>
        </w:rPr>
        <w:t xml:space="preserve">n Mocache, </w:t>
      </w:r>
      <w:r>
        <w:rPr>
          <w:spacing w:val="-6"/>
          <w:sz w:val="18"/>
          <w:szCs w:val="18"/>
          <w:lang w:val="es-ES_tradnl"/>
        </w:rPr>
        <w:t xml:space="preserve">mediante oficios Nros. 030-DPUR-EDT, 032-DPUR-EDT </w:t>
      </w:r>
      <w:r>
        <w:rPr>
          <w:spacing w:val="-3"/>
          <w:sz w:val="18"/>
          <w:szCs w:val="18"/>
          <w:lang w:val="es-ES_tradnl"/>
        </w:rPr>
        <w:t>y 035-DPUR-EDT, solicit</w:t>
      </w:r>
      <w:r>
        <w:rPr>
          <w:rFonts w:cs="Times New Roman"/>
          <w:spacing w:val="-3"/>
          <w:sz w:val="18"/>
          <w:szCs w:val="18"/>
          <w:lang w:val="es-ES_tradnl"/>
        </w:rPr>
        <w:t>ó</w:t>
      </w:r>
      <w:r>
        <w:rPr>
          <w:spacing w:val="-3"/>
          <w:sz w:val="18"/>
          <w:szCs w:val="18"/>
          <w:lang w:val="es-ES_tradnl"/>
        </w:rPr>
        <w:t xml:space="preserve"> a la Alcald</w:t>
      </w:r>
      <w:r>
        <w:rPr>
          <w:rFonts w:cs="Times New Roman"/>
          <w:spacing w:val="-3"/>
          <w:sz w:val="18"/>
          <w:szCs w:val="18"/>
          <w:lang w:val="es-ES_tradnl"/>
        </w:rPr>
        <w:t>í</w:t>
      </w:r>
      <w:r>
        <w:rPr>
          <w:spacing w:val="-3"/>
          <w:sz w:val="18"/>
          <w:szCs w:val="18"/>
          <w:lang w:val="es-ES_tradnl"/>
        </w:rPr>
        <w:t>a y a la Direcci</w:t>
      </w:r>
      <w:r>
        <w:rPr>
          <w:rFonts w:cs="Times New Roman"/>
          <w:spacing w:val="-3"/>
          <w:sz w:val="18"/>
          <w:szCs w:val="18"/>
          <w:lang w:val="es-ES_tradnl"/>
        </w:rPr>
        <w:t>ó</w:t>
      </w:r>
      <w:r>
        <w:rPr>
          <w:spacing w:val="-3"/>
          <w:sz w:val="18"/>
          <w:szCs w:val="18"/>
          <w:lang w:val="es-ES_tradnl"/>
        </w:rPr>
        <w:t xml:space="preserve">n </w:t>
      </w:r>
      <w:r>
        <w:rPr>
          <w:spacing w:val="-10"/>
          <w:sz w:val="18"/>
          <w:szCs w:val="18"/>
          <w:lang w:val="es-ES_tradnl"/>
        </w:rPr>
        <w:t>de Recursos Humanos del cant</w:t>
      </w:r>
      <w:r>
        <w:rPr>
          <w:rFonts w:cs="Times New Roman"/>
          <w:spacing w:val="-10"/>
          <w:sz w:val="18"/>
          <w:szCs w:val="18"/>
          <w:lang w:val="es-ES_tradnl"/>
        </w:rPr>
        <w:t>ó</w:t>
      </w:r>
      <w:r>
        <w:rPr>
          <w:spacing w:val="-10"/>
          <w:sz w:val="18"/>
          <w:szCs w:val="18"/>
          <w:lang w:val="es-ES_tradnl"/>
        </w:rPr>
        <w:t xml:space="preserve">n Mocache, sendas copias </w:t>
      </w:r>
      <w:r>
        <w:rPr>
          <w:spacing w:val="-6"/>
          <w:sz w:val="18"/>
          <w:szCs w:val="18"/>
          <w:lang w:val="es-ES_tradnl"/>
        </w:rPr>
        <w:t>certificadas del Presupuesto General Municipal del a</w:t>
      </w:r>
      <w:r>
        <w:rPr>
          <w:rFonts w:cs="Times New Roman"/>
          <w:spacing w:val="-6"/>
          <w:sz w:val="18"/>
          <w:szCs w:val="18"/>
          <w:lang w:val="es-ES_tradnl"/>
        </w:rPr>
        <w:t>ñ</w:t>
      </w:r>
      <w:r>
        <w:rPr>
          <w:spacing w:val="-6"/>
          <w:sz w:val="18"/>
          <w:szCs w:val="18"/>
          <w:lang w:val="es-ES_tradnl"/>
        </w:rPr>
        <w:t xml:space="preserve">o </w:t>
      </w:r>
      <w:r>
        <w:rPr>
          <w:spacing w:val="-1"/>
          <w:sz w:val="18"/>
          <w:szCs w:val="18"/>
          <w:lang w:val="es-ES_tradnl"/>
        </w:rPr>
        <w:t>2010, del Distributivo de Sueldos del mismo a</w:t>
      </w:r>
      <w:r>
        <w:rPr>
          <w:rFonts w:cs="Times New Roman"/>
          <w:spacing w:val="-1"/>
          <w:sz w:val="18"/>
          <w:szCs w:val="18"/>
          <w:lang w:val="es-ES_tradnl"/>
        </w:rPr>
        <w:t>ñ</w:t>
      </w:r>
      <w:r>
        <w:rPr>
          <w:spacing w:val="-1"/>
          <w:sz w:val="18"/>
          <w:szCs w:val="18"/>
          <w:lang w:val="es-ES_tradnl"/>
        </w:rPr>
        <w:t xml:space="preserve">o y de </w:t>
      </w:r>
      <w:r>
        <w:rPr>
          <w:spacing w:val="-8"/>
          <w:sz w:val="18"/>
          <w:szCs w:val="18"/>
          <w:lang w:val="es-ES_tradnl"/>
        </w:rPr>
        <w:t>las actas de las sesiones del Concejo Municipal en que se aprobaron estos instrumentos p</w:t>
      </w:r>
      <w:r>
        <w:rPr>
          <w:rFonts w:cs="Times New Roman"/>
          <w:spacing w:val="-8"/>
          <w:sz w:val="18"/>
          <w:szCs w:val="18"/>
          <w:lang w:val="es-ES_tradnl"/>
        </w:rPr>
        <w:t>ú</w:t>
      </w:r>
      <w:r>
        <w:rPr>
          <w:spacing w:val="-8"/>
          <w:sz w:val="18"/>
          <w:szCs w:val="18"/>
          <w:lang w:val="es-ES_tradnl"/>
        </w:rPr>
        <w:t xml:space="preserve">blicos, mismos en que se </w:t>
      </w:r>
      <w:r>
        <w:rPr>
          <w:spacing w:val="-7"/>
          <w:sz w:val="18"/>
          <w:szCs w:val="18"/>
          <w:lang w:val="es-ES_tradnl"/>
        </w:rPr>
        <w:t>resolvi</w:t>
      </w:r>
      <w:r>
        <w:rPr>
          <w:rFonts w:cs="Times New Roman"/>
          <w:spacing w:val="-7"/>
          <w:sz w:val="18"/>
          <w:szCs w:val="18"/>
          <w:lang w:val="es-ES_tradnl"/>
        </w:rPr>
        <w:t>ó</w:t>
      </w:r>
      <w:r>
        <w:rPr>
          <w:spacing w:val="-7"/>
          <w:sz w:val="18"/>
          <w:szCs w:val="18"/>
          <w:lang w:val="es-ES_tradnl"/>
        </w:rPr>
        <w:t xml:space="preserve"> e instrumentaliz</w:t>
      </w:r>
      <w:r>
        <w:rPr>
          <w:rFonts w:cs="Times New Roman"/>
          <w:spacing w:val="-7"/>
          <w:sz w:val="18"/>
          <w:szCs w:val="18"/>
          <w:lang w:val="es-ES_tradnl"/>
        </w:rPr>
        <w:t>ó</w:t>
      </w:r>
      <w:r>
        <w:rPr>
          <w:spacing w:val="-7"/>
          <w:sz w:val="18"/>
          <w:szCs w:val="18"/>
          <w:lang w:val="es-ES_tradnl"/>
        </w:rPr>
        <w:t xml:space="preserve"> su separaci</w:t>
      </w:r>
      <w:r>
        <w:rPr>
          <w:rFonts w:cs="Times New Roman"/>
          <w:spacing w:val="-7"/>
          <w:sz w:val="18"/>
          <w:szCs w:val="18"/>
          <w:lang w:val="es-ES_tradnl"/>
        </w:rPr>
        <w:t>ó</w:t>
      </w:r>
      <w:r>
        <w:rPr>
          <w:spacing w:val="-7"/>
          <w:sz w:val="18"/>
          <w:szCs w:val="18"/>
          <w:lang w:val="es-ES_tradnl"/>
        </w:rPr>
        <w:t xml:space="preserve">n como funcionario </w:t>
      </w:r>
      <w:r>
        <w:rPr>
          <w:sz w:val="18"/>
          <w:szCs w:val="18"/>
          <w:lang w:val="es-ES_tradnl"/>
        </w:rPr>
        <w:t>de dicha instituci</w:t>
      </w:r>
      <w:r>
        <w:rPr>
          <w:rFonts w:cs="Times New Roman"/>
          <w:sz w:val="18"/>
          <w:szCs w:val="18"/>
          <w:lang w:val="es-ES_tradnl"/>
        </w:rPr>
        <w:t>ó</w:t>
      </w:r>
      <w:r>
        <w:rPr>
          <w:sz w:val="18"/>
          <w:szCs w:val="18"/>
          <w:lang w:val="es-ES_tradnl"/>
        </w:rPr>
        <w:t>n.</w:t>
      </w:r>
    </w:p>
    <w:p w14:paraId="4F67ABCC" w14:textId="77777777" w:rsidR="00591D54" w:rsidRDefault="00591D54">
      <w:pPr>
        <w:shd w:val="clear" w:color="auto" w:fill="FFFFFF"/>
        <w:spacing w:before="192" w:line="216" w:lineRule="exact"/>
        <w:ind w:right="5"/>
        <w:jc w:val="both"/>
      </w:pPr>
      <w:r>
        <w:rPr>
          <w:spacing w:val="-9"/>
          <w:sz w:val="18"/>
          <w:szCs w:val="18"/>
          <w:lang w:val="es-ES_tradnl"/>
        </w:rPr>
        <w:t>El se</w:t>
      </w:r>
      <w:r>
        <w:rPr>
          <w:rFonts w:cs="Times New Roman"/>
          <w:spacing w:val="-9"/>
          <w:sz w:val="18"/>
          <w:szCs w:val="18"/>
          <w:lang w:val="es-ES_tradnl"/>
        </w:rPr>
        <w:t>ñ</w:t>
      </w:r>
      <w:r>
        <w:rPr>
          <w:spacing w:val="-9"/>
          <w:sz w:val="18"/>
          <w:szCs w:val="18"/>
          <w:lang w:val="es-ES_tradnl"/>
        </w:rPr>
        <w:t>or Emilio Vicente D</w:t>
      </w:r>
      <w:r>
        <w:rPr>
          <w:rFonts w:cs="Times New Roman"/>
          <w:spacing w:val="-9"/>
          <w:sz w:val="18"/>
          <w:szCs w:val="18"/>
          <w:lang w:val="es-ES_tradnl"/>
        </w:rPr>
        <w:t>í</w:t>
      </w:r>
      <w:r>
        <w:rPr>
          <w:spacing w:val="-9"/>
          <w:sz w:val="18"/>
          <w:szCs w:val="18"/>
          <w:lang w:val="es-ES_tradnl"/>
        </w:rPr>
        <w:t>az Ter</w:t>
      </w:r>
      <w:r>
        <w:rPr>
          <w:rFonts w:cs="Times New Roman"/>
          <w:spacing w:val="-9"/>
          <w:sz w:val="18"/>
          <w:szCs w:val="18"/>
          <w:lang w:val="es-ES_tradnl"/>
        </w:rPr>
        <w:t>á</w:t>
      </w:r>
      <w:r>
        <w:rPr>
          <w:spacing w:val="-9"/>
          <w:sz w:val="18"/>
          <w:szCs w:val="18"/>
          <w:lang w:val="es-ES_tradnl"/>
        </w:rPr>
        <w:t>n inco</w:t>
      </w:r>
      <w:r>
        <w:rPr>
          <w:rFonts w:cs="Times New Roman"/>
          <w:spacing w:val="-9"/>
          <w:sz w:val="18"/>
          <w:szCs w:val="18"/>
          <w:lang w:val="es-ES_tradnl"/>
        </w:rPr>
        <w:t>ó</w:t>
      </w:r>
      <w:r>
        <w:rPr>
          <w:spacing w:val="-9"/>
          <w:sz w:val="18"/>
          <w:szCs w:val="18"/>
          <w:lang w:val="es-ES_tradnl"/>
        </w:rPr>
        <w:t xml:space="preserve"> acci</w:t>
      </w:r>
      <w:r>
        <w:rPr>
          <w:rFonts w:cs="Times New Roman"/>
          <w:spacing w:val="-9"/>
          <w:sz w:val="18"/>
          <w:szCs w:val="18"/>
          <w:lang w:val="es-ES_tradnl"/>
        </w:rPr>
        <w:t>ó</w:t>
      </w:r>
      <w:r>
        <w:rPr>
          <w:spacing w:val="-9"/>
          <w:sz w:val="18"/>
          <w:szCs w:val="18"/>
          <w:lang w:val="es-ES_tradnl"/>
        </w:rPr>
        <w:t>n de h</w:t>
      </w:r>
      <w:r>
        <w:rPr>
          <w:rFonts w:cs="Times New Roman"/>
          <w:spacing w:val="-9"/>
          <w:sz w:val="18"/>
          <w:szCs w:val="18"/>
          <w:lang w:val="es-ES_tradnl"/>
        </w:rPr>
        <w:t>á</w:t>
      </w:r>
      <w:r>
        <w:rPr>
          <w:spacing w:val="-9"/>
          <w:sz w:val="18"/>
          <w:szCs w:val="18"/>
          <w:lang w:val="es-ES_tradnl"/>
        </w:rPr>
        <w:t>beas data en contra de Leandro Rufino Ull</w:t>
      </w:r>
      <w:r>
        <w:rPr>
          <w:rFonts w:cs="Times New Roman"/>
          <w:spacing w:val="-9"/>
          <w:sz w:val="18"/>
          <w:szCs w:val="18"/>
          <w:lang w:val="es-ES_tradnl"/>
        </w:rPr>
        <w:t>ó</w:t>
      </w:r>
      <w:r>
        <w:rPr>
          <w:spacing w:val="-9"/>
          <w:sz w:val="18"/>
          <w:szCs w:val="18"/>
          <w:lang w:val="es-ES_tradnl"/>
        </w:rPr>
        <w:t>n Rodr</w:t>
      </w:r>
      <w:r>
        <w:rPr>
          <w:rFonts w:cs="Times New Roman"/>
          <w:spacing w:val="-9"/>
          <w:sz w:val="18"/>
          <w:szCs w:val="18"/>
          <w:lang w:val="es-ES_tradnl"/>
        </w:rPr>
        <w:t>í</w:t>
      </w:r>
      <w:r>
        <w:rPr>
          <w:spacing w:val="-9"/>
          <w:sz w:val="18"/>
          <w:szCs w:val="18"/>
          <w:lang w:val="es-ES_tradnl"/>
        </w:rPr>
        <w:t xml:space="preserve">guez y Walter </w:t>
      </w:r>
      <w:r>
        <w:rPr>
          <w:spacing w:val="-6"/>
          <w:sz w:val="18"/>
          <w:szCs w:val="18"/>
          <w:lang w:val="es-ES_tradnl"/>
        </w:rPr>
        <w:t xml:space="preserve">Eduardo Armijos Orellana en sus calidades de alcalde y </w:t>
      </w:r>
      <w:r>
        <w:rPr>
          <w:spacing w:val="-5"/>
          <w:sz w:val="18"/>
          <w:szCs w:val="18"/>
          <w:lang w:val="es-ES_tradnl"/>
        </w:rPr>
        <w:t>procurador s</w:t>
      </w:r>
      <w:r>
        <w:rPr>
          <w:rFonts w:cs="Times New Roman"/>
          <w:spacing w:val="-5"/>
          <w:sz w:val="18"/>
          <w:szCs w:val="18"/>
          <w:lang w:val="es-ES_tradnl"/>
        </w:rPr>
        <w:t>í</w:t>
      </w:r>
      <w:r>
        <w:rPr>
          <w:spacing w:val="-5"/>
          <w:sz w:val="18"/>
          <w:szCs w:val="18"/>
          <w:lang w:val="es-ES_tradnl"/>
        </w:rPr>
        <w:t>ndico del Municipio del cant</w:t>
      </w:r>
      <w:r>
        <w:rPr>
          <w:rFonts w:cs="Times New Roman"/>
          <w:spacing w:val="-5"/>
          <w:sz w:val="18"/>
          <w:szCs w:val="18"/>
          <w:lang w:val="es-ES_tradnl"/>
        </w:rPr>
        <w:t>ó</w:t>
      </w:r>
      <w:r>
        <w:rPr>
          <w:spacing w:val="-5"/>
          <w:sz w:val="18"/>
          <w:szCs w:val="18"/>
          <w:lang w:val="es-ES_tradnl"/>
        </w:rPr>
        <w:t>n Mocache, provincia de Los R</w:t>
      </w:r>
      <w:r>
        <w:rPr>
          <w:rFonts w:cs="Times New Roman"/>
          <w:spacing w:val="-5"/>
          <w:sz w:val="18"/>
          <w:szCs w:val="18"/>
          <w:lang w:val="es-ES_tradnl"/>
        </w:rPr>
        <w:t>í</w:t>
      </w:r>
      <w:r>
        <w:rPr>
          <w:spacing w:val="-5"/>
          <w:sz w:val="18"/>
          <w:szCs w:val="18"/>
          <w:lang w:val="es-ES_tradnl"/>
        </w:rPr>
        <w:t xml:space="preserve">os el 12 de febrero de 2010, es decir, </w:t>
      </w:r>
      <w:r>
        <w:rPr>
          <w:spacing w:val="-8"/>
          <w:sz w:val="18"/>
          <w:szCs w:val="18"/>
          <w:lang w:val="es-ES_tradnl"/>
        </w:rPr>
        <w:t>2 d</w:t>
      </w:r>
      <w:r>
        <w:rPr>
          <w:rFonts w:cs="Times New Roman"/>
          <w:spacing w:val="-8"/>
          <w:sz w:val="18"/>
          <w:szCs w:val="18"/>
          <w:lang w:val="es-ES_tradnl"/>
        </w:rPr>
        <w:t>í</w:t>
      </w:r>
      <w:r>
        <w:rPr>
          <w:spacing w:val="-8"/>
          <w:sz w:val="18"/>
          <w:szCs w:val="18"/>
          <w:lang w:val="es-ES_tradnl"/>
        </w:rPr>
        <w:t>as despu</w:t>
      </w:r>
      <w:r>
        <w:rPr>
          <w:rFonts w:cs="Times New Roman"/>
          <w:spacing w:val="-8"/>
          <w:sz w:val="18"/>
          <w:szCs w:val="18"/>
          <w:lang w:val="es-ES_tradnl"/>
        </w:rPr>
        <w:t>é</w:t>
      </w:r>
      <w:r>
        <w:rPr>
          <w:spacing w:val="-8"/>
          <w:sz w:val="18"/>
          <w:szCs w:val="18"/>
          <w:lang w:val="es-ES_tradnl"/>
        </w:rPr>
        <w:t xml:space="preserve">s de haber presentado su solicitud a la </w:t>
      </w:r>
      <w:r>
        <w:rPr>
          <w:spacing w:val="-7"/>
          <w:sz w:val="18"/>
          <w:szCs w:val="18"/>
          <w:lang w:val="es-ES_tradnl"/>
        </w:rPr>
        <w:t>municipalidad requerida. La acci</w:t>
      </w:r>
      <w:r>
        <w:rPr>
          <w:rFonts w:cs="Times New Roman"/>
          <w:spacing w:val="-7"/>
          <w:sz w:val="18"/>
          <w:szCs w:val="18"/>
          <w:lang w:val="es-ES_tradnl"/>
        </w:rPr>
        <w:t>ó</w:t>
      </w:r>
      <w:r>
        <w:rPr>
          <w:spacing w:val="-7"/>
          <w:sz w:val="18"/>
          <w:szCs w:val="18"/>
          <w:lang w:val="es-ES_tradnl"/>
        </w:rPr>
        <w:t>n de h</w:t>
      </w:r>
      <w:r>
        <w:rPr>
          <w:rFonts w:cs="Times New Roman"/>
          <w:spacing w:val="-7"/>
          <w:sz w:val="18"/>
          <w:szCs w:val="18"/>
          <w:lang w:val="es-ES_tradnl"/>
        </w:rPr>
        <w:t>á</w:t>
      </w:r>
      <w:r>
        <w:rPr>
          <w:spacing w:val="-7"/>
          <w:sz w:val="18"/>
          <w:szCs w:val="18"/>
          <w:lang w:val="es-ES_tradnl"/>
        </w:rPr>
        <w:t>beas data qued</w:t>
      </w:r>
      <w:r>
        <w:rPr>
          <w:rFonts w:cs="Times New Roman"/>
          <w:spacing w:val="-7"/>
          <w:sz w:val="18"/>
          <w:szCs w:val="18"/>
          <w:lang w:val="es-ES_tradnl"/>
        </w:rPr>
        <w:t xml:space="preserve">ó </w:t>
      </w:r>
      <w:r>
        <w:rPr>
          <w:spacing w:val="-6"/>
          <w:sz w:val="18"/>
          <w:szCs w:val="18"/>
          <w:lang w:val="es-ES_tradnl"/>
        </w:rPr>
        <w:t>radicada en el Juzgado D</w:t>
      </w:r>
      <w:r>
        <w:rPr>
          <w:rFonts w:cs="Times New Roman"/>
          <w:spacing w:val="-6"/>
          <w:sz w:val="18"/>
          <w:szCs w:val="18"/>
          <w:lang w:val="es-ES_tradnl"/>
        </w:rPr>
        <w:t>é</w:t>
      </w:r>
      <w:r>
        <w:rPr>
          <w:spacing w:val="-6"/>
          <w:sz w:val="18"/>
          <w:szCs w:val="18"/>
          <w:lang w:val="es-ES_tradnl"/>
        </w:rPr>
        <w:t xml:space="preserve">cimo Cuarto de lo Civil de Los </w:t>
      </w:r>
      <w:r>
        <w:rPr>
          <w:sz w:val="18"/>
          <w:szCs w:val="18"/>
          <w:lang w:val="es-ES_tradnl"/>
        </w:rPr>
        <w:t>R</w:t>
      </w:r>
      <w:r>
        <w:rPr>
          <w:rFonts w:cs="Times New Roman"/>
          <w:sz w:val="18"/>
          <w:szCs w:val="18"/>
          <w:lang w:val="es-ES_tradnl"/>
        </w:rPr>
        <w:t>í</w:t>
      </w:r>
      <w:r>
        <w:rPr>
          <w:sz w:val="18"/>
          <w:szCs w:val="18"/>
          <w:lang w:val="es-ES_tradnl"/>
        </w:rPr>
        <w:t>os.</w:t>
      </w:r>
    </w:p>
    <w:p w14:paraId="4F67ABCD" w14:textId="77777777" w:rsidR="00591D54" w:rsidRDefault="00591D54">
      <w:pPr>
        <w:shd w:val="clear" w:color="auto" w:fill="FFFFFF"/>
        <w:spacing w:before="192" w:line="216" w:lineRule="exact"/>
        <w:jc w:val="both"/>
      </w:pPr>
      <w:r>
        <w:rPr>
          <w:spacing w:val="-7"/>
          <w:sz w:val="18"/>
          <w:szCs w:val="18"/>
          <w:lang w:val="es-ES_tradnl"/>
        </w:rPr>
        <w:t xml:space="preserve">Mediante sentencia del 18 de marzo de 2010 a las 15h40, </w:t>
      </w:r>
      <w:r>
        <w:rPr>
          <w:spacing w:val="-6"/>
          <w:sz w:val="18"/>
          <w:szCs w:val="18"/>
          <w:lang w:val="es-ES_tradnl"/>
        </w:rPr>
        <w:t>el Juzgado D</w:t>
      </w:r>
      <w:r>
        <w:rPr>
          <w:rFonts w:cs="Times New Roman"/>
          <w:spacing w:val="-6"/>
          <w:sz w:val="18"/>
          <w:szCs w:val="18"/>
          <w:lang w:val="es-ES_tradnl"/>
        </w:rPr>
        <w:t>é</w:t>
      </w:r>
      <w:r>
        <w:rPr>
          <w:spacing w:val="-6"/>
          <w:sz w:val="18"/>
          <w:szCs w:val="18"/>
          <w:lang w:val="es-ES_tradnl"/>
        </w:rPr>
        <w:t>cimo Cuarto de lo Civil de Los R</w:t>
      </w:r>
      <w:r>
        <w:rPr>
          <w:rFonts w:cs="Times New Roman"/>
          <w:spacing w:val="-6"/>
          <w:sz w:val="18"/>
          <w:szCs w:val="18"/>
          <w:lang w:val="es-ES_tradnl"/>
        </w:rPr>
        <w:t>í</w:t>
      </w:r>
      <w:r>
        <w:rPr>
          <w:spacing w:val="-6"/>
          <w:sz w:val="18"/>
          <w:szCs w:val="18"/>
          <w:lang w:val="es-ES_tradnl"/>
        </w:rPr>
        <w:t>os acept</w:t>
      </w:r>
      <w:r>
        <w:rPr>
          <w:rFonts w:cs="Times New Roman"/>
          <w:spacing w:val="-6"/>
          <w:sz w:val="18"/>
          <w:szCs w:val="18"/>
          <w:lang w:val="es-ES_tradnl"/>
        </w:rPr>
        <w:t xml:space="preserve">ó </w:t>
      </w:r>
      <w:r>
        <w:rPr>
          <w:spacing w:val="-7"/>
          <w:sz w:val="18"/>
          <w:szCs w:val="18"/>
          <w:lang w:val="es-ES_tradnl"/>
        </w:rPr>
        <w:t>la demanda planteada y orden</w:t>
      </w:r>
      <w:r>
        <w:rPr>
          <w:rFonts w:cs="Times New Roman"/>
          <w:spacing w:val="-7"/>
          <w:sz w:val="18"/>
          <w:szCs w:val="18"/>
          <w:lang w:val="es-ES_tradnl"/>
        </w:rPr>
        <w:t>ó</w:t>
      </w:r>
      <w:r>
        <w:rPr>
          <w:spacing w:val="-7"/>
          <w:sz w:val="18"/>
          <w:szCs w:val="18"/>
          <w:lang w:val="es-ES_tradnl"/>
        </w:rPr>
        <w:t xml:space="preserve"> al Gobierno Aut</w:t>
      </w:r>
      <w:r>
        <w:rPr>
          <w:rFonts w:cs="Times New Roman"/>
          <w:spacing w:val="-7"/>
          <w:sz w:val="18"/>
          <w:szCs w:val="18"/>
          <w:lang w:val="es-ES_tradnl"/>
        </w:rPr>
        <w:t>ó</w:t>
      </w:r>
      <w:r>
        <w:rPr>
          <w:spacing w:val="-7"/>
          <w:sz w:val="18"/>
          <w:szCs w:val="18"/>
          <w:lang w:val="es-ES_tradnl"/>
        </w:rPr>
        <w:t>nomo Descentralizado Municipal del cant</w:t>
      </w:r>
      <w:r>
        <w:rPr>
          <w:rFonts w:cs="Times New Roman"/>
          <w:spacing w:val="-7"/>
          <w:sz w:val="18"/>
          <w:szCs w:val="18"/>
          <w:lang w:val="es-ES_tradnl"/>
        </w:rPr>
        <w:t>ó</w:t>
      </w:r>
      <w:r>
        <w:rPr>
          <w:spacing w:val="-7"/>
          <w:sz w:val="18"/>
          <w:szCs w:val="18"/>
          <w:lang w:val="es-ES_tradnl"/>
        </w:rPr>
        <w:t>n Mocache a entregar de manera inmediata la informaci</w:t>
      </w:r>
      <w:r>
        <w:rPr>
          <w:rFonts w:cs="Times New Roman"/>
          <w:spacing w:val="-7"/>
          <w:sz w:val="18"/>
          <w:szCs w:val="18"/>
          <w:lang w:val="es-ES_tradnl"/>
        </w:rPr>
        <w:t>ó</w:t>
      </w:r>
      <w:r>
        <w:rPr>
          <w:spacing w:val="-7"/>
          <w:sz w:val="18"/>
          <w:szCs w:val="18"/>
          <w:lang w:val="es-ES_tradnl"/>
        </w:rPr>
        <w:t>n requerida.</w:t>
      </w:r>
    </w:p>
    <w:p w14:paraId="4F67ABCE" w14:textId="77777777" w:rsidR="00591D54" w:rsidRDefault="00591D54">
      <w:pPr>
        <w:shd w:val="clear" w:color="auto" w:fill="FFFFFF"/>
        <w:spacing w:before="192" w:line="216" w:lineRule="exact"/>
        <w:jc w:val="both"/>
      </w:pPr>
      <w:r>
        <w:rPr>
          <w:spacing w:val="-7"/>
          <w:sz w:val="18"/>
          <w:szCs w:val="18"/>
          <w:lang w:val="es-ES_tradnl"/>
        </w:rPr>
        <w:t xml:space="preserve">Mediante escrito del 22 de marzo de 2010 a las 14h15, los </w:t>
      </w:r>
      <w:r>
        <w:rPr>
          <w:spacing w:val="-9"/>
          <w:sz w:val="18"/>
          <w:szCs w:val="18"/>
          <w:lang w:val="es-ES_tradnl"/>
        </w:rPr>
        <w:t>se</w:t>
      </w:r>
      <w:r>
        <w:rPr>
          <w:rFonts w:cs="Times New Roman"/>
          <w:spacing w:val="-9"/>
          <w:sz w:val="18"/>
          <w:szCs w:val="18"/>
          <w:lang w:val="es-ES_tradnl"/>
        </w:rPr>
        <w:t>ñ</w:t>
      </w:r>
      <w:r>
        <w:rPr>
          <w:spacing w:val="-9"/>
          <w:sz w:val="18"/>
          <w:szCs w:val="18"/>
          <w:lang w:val="es-ES_tradnl"/>
        </w:rPr>
        <w:t>ores Leandro Rufino Ull</w:t>
      </w:r>
      <w:r>
        <w:rPr>
          <w:rFonts w:cs="Times New Roman"/>
          <w:spacing w:val="-9"/>
          <w:sz w:val="18"/>
          <w:szCs w:val="18"/>
          <w:lang w:val="es-ES_tradnl"/>
        </w:rPr>
        <w:t>ó</w:t>
      </w:r>
      <w:r>
        <w:rPr>
          <w:spacing w:val="-9"/>
          <w:sz w:val="18"/>
          <w:szCs w:val="18"/>
          <w:lang w:val="es-ES_tradnl"/>
        </w:rPr>
        <w:t>n Rodr</w:t>
      </w:r>
      <w:r>
        <w:rPr>
          <w:rFonts w:cs="Times New Roman"/>
          <w:spacing w:val="-9"/>
          <w:sz w:val="18"/>
          <w:szCs w:val="18"/>
          <w:lang w:val="es-ES_tradnl"/>
        </w:rPr>
        <w:t>í</w:t>
      </w:r>
      <w:r>
        <w:rPr>
          <w:spacing w:val="-9"/>
          <w:sz w:val="18"/>
          <w:szCs w:val="18"/>
          <w:lang w:val="es-ES_tradnl"/>
        </w:rPr>
        <w:t xml:space="preserve">guez y Walter Eduardo </w:t>
      </w:r>
      <w:r>
        <w:rPr>
          <w:spacing w:val="-7"/>
          <w:sz w:val="18"/>
          <w:szCs w:val="18"/>
          <w:lang w:val="es-ES_tradnl"/>
        </w:rPr>
        <w:t xml:space="preserve">Armijos Orellana en sus calidades de alcalde y procurador </w:t>
      </w:r>
      <w:r>
        <w:rPr>
          <w:spacing w:val="-5"/>
          <w:sz w:val="18"/>
          <w:szCs w:val="18"/>
          <w:lang w:val="es-ES_tradnl"/>
        </w:rPr>
        <w:t>s</w:t>
      </w:r>
      <w:r>
        <w:rPr>
          <w:rFonts w:cs="Times New Roman"/>
          <w:spacing w:val="-5"/>
          <w:sz w:val="18"/>
          <w:szCs w:val="18"/>
          <w:lang w:val="es-ES_tradnl"/>
        </w:rPr>
        <w:t>í</w:t>
      </w:r>
      <w:r>
        <w:rPr>
          <w:spacing w:val="-5"/>
          <w:sz w:val="18"/>
          <w:szCs w:val="18"/>
          <w:lang w:val="es-ES_tradnl"/>
        </w:rPr>
        <w:t>ndico del Gobierno Municipal del cant</w:t>
      </w:r>
      <w:r>
        <w:rPr>
          <w:rFonts w:cs="Times New Roman"/>
          <w:spacing w:val="-5"/>
          <w:sz w:val="18"/>
          <w:szCs w:val="18"/>
          <w:lang w:val="es-ES_tradnl"/>
        </w:rPr>
        <w:t>ó</w:t>
      </w:r>
      <w:r>
        <w:rPr>
          <w:spacing w:val="-5"/>
          <w:sz w:val="18"/>
          <w:szCs w:val="18"/>
          <w:lang w:val="es-ES_tradnl"/>
        </w:rPr>
        <w:t xml:space="preserve">n Mocache, </w:t>
      </w:r>
      <w:r>
        <w:rPr>
          <w:spacing w:val="-6"/>
          <w:sz w:val="18"/>
          <w:szCs w:val="18"/>
          <w:lang w:val="es-ES_tradnl"/>
        </w:rPr>
        <w:t>interpusieron recurso de apelaci</w:t>
      </w:r>
      <w:r>
        <w:rPr>
          <w:rFonts w:cs="Times New Roman"/>
          <w:spacing w:val="-6"/>
          <w:sz w:val="18"/>
          <w:szCs w:val="18"/>
          <w:lang w:val="es-ES_tradnl"/>
        </w:rPr>
        <w:t>ó</w:t>
      </w:r>
      <w:r>
        <w:rPr>
          <w:spacing w:val="-6"/>
          <w:sz w:val="18"/>
          <w:szCs w:val="18"/>
          <w:lang w:val="es-ES_tradnl"/>
        </w:rPr>
        <w:t xml:space="preserve">n de la sentencia de </w:t>
      </w:r>
      <w:r>
        <w:rPr>
          <w:spacing w:val="-7"/>
          <w:sz w:val="18"/>
          <w:szCs w:val="18"/>
          <w:lang w:val="es-ES_tradnl"/>
        </w:rPr>
        <w:t xml:space="preserve">instancia, recurso que fue negado por la Sala de lo Penal, </w:t>
      </w:r>
      <w:r>
        <w:rPr>
          <w:spacing w:val="-6"/>
          <w:sz w:val="18"/>
          <w:szCs w:val="18"/>
          <w:lang w:val="es-ES_tradnl"/>
        </w:rPr>
        <w:t>Colusorio y Tr</w:t>
      </w:r>
      <w:r>
        <w:rPr>
          <w:rFonts w:cs="Times New Roman"/>
          <w:spacing w:val="-6"/>
          <w:sz w:val="18"/>
          <w:szCs w:val="18"/>
          <w:lang w:val="es-ES_tradnl"/>
        </w:rPr>
        <w:t>á</w:t>
      </w:r>
      <w:r>
        <w:rPr>
          <w:spacing w:val="-6"/>
          <w:sz w:val="18"/>
          <w:szCs w:val="18"/>
          <w:lang w:val="es-ES_tradnl"/>
        </w:rPr>
        <w:t>nsito de la Corte Provincial de Justicia de Los R</w:t>
      </w:r>
      <w:r>
        <w:rPr>
          <w:rFonts w:cs="Times New Roman"/>
          <w:spacing w:val="-6"/>
          <w:sz w:val="18"/>
          <w:szCs w:val="18"/>
          <w:lang w:val="es-ES_tradnl"/>
        </w:rPr>
        <w:t>í</w:t>
      </w:r>
      <w:r>
        <w:rPr>
          <w:spacing w:val="-6"/>
          <w:sz w:val="18"/>
          <w:szCs w:val="18"/>
          <w:lang w:val="es-ES_tradnl"/>
        </w:rPr>
        <w:t xml:space="preserve">os mediante sentencia del 27 de agosto de 2010 a </w:t>
      </w:r>
      <w:r>
        <w:rPr>
          <w:sz w:val="18"/>
          <w:szCs w:val="18"/>
          <w:lang w:val="es-ES_tradnl"/>
        </w:rPr>
        <w:t>las 09h18.</w:t>
      </w:r>
    </w:p>
    <w:p w14:paraId="4F67ABCF" w14:textId="77777777" w:rsidR="00591D54" w:rsidRDefault="00591D54">
      <w:pPr>
        <w:shd w:val="clear" w:color="auto" w:fill="FFFFFF"/>
        <w:spacing w:before="192"/>
      </w:pPr>
      <w:r>
        <w:rPr>
          <w:b/>
          <w:bCs/>
          <w:spacing w:val="-8"/>
          <w:sz w:val="18"/>
          <w:szCs w:val="18"/>
          <w:lang w:val="es-ES_tradnl"/>
        </w:rPr>
        <w:t>Decisi</w:t>
      </w:r>
      <w:r>
        <w:rPr>
          <w:rFonts w:cs="Times New Roman"/>
          <w:b/>
          <w:bCs/>
          <w:spacing w:val="-8"/>
          <w:sz w:val="18"/>
          <w:szCs w:val="18"/>
          <w:lang w:val="es-ES_tradnl"/>
        </w:rPr>
        <w:t>ó</w:t>
      </w:r>
      <w:r>
        <w:rPr>
          <w:b/>
          <w:bCs/>
          <w:spacing w:val="-8"/>
          <w:sz w:val="18"/>
          <w:szCs w:val="18"/>
          <w:lang w:val="es-ES_tradnl"/>
        </w:rPr>
        <w:t>n judicial impugnada</w:t>
      </w:r>
    </w:p>
    <w:p w14:paraId="4F67ABD0" w14:textId="77777777" w:rsidR="00591D54" w:rsidRDefault="00591D54">
      <w:pPr>
        <w:shd w:val="clear" w:color="auto" w:fill="FFFFFF"/>
        <w:spacing w:before="197" w:line="216" w:lineRule="exact"/>
        <w:jc w:val="both"/>
      </w:pPr>
      <w:r>
        <w:rPr>
          <w:spacing w:val="-7"/>
          <w:sz w:val="18"/>
          <w:szCs w:val="18"/>
          <w:lang w:val="es-ES_tradnl"/>
        </w:rPr>
        <w:t>La decisi</w:t>
      </w:r>
      <w:r>
        <w:rPr>
          <w:rFonts w:cs="Times New Roman"/>
          <w:spacing w:val="-7"/>
          <w:sz w:val="18"/>
          <w:szCs w:val="18"/>
          <w:lang w:val="es-ES_tradnl"/>
        </w:rPr>
        <w:t>ó</w:t>
      </w:r>
      <w:r>
        <w:rPr>
          <w:spacing w:val="-7"/>
          <w:sz w:val="18"/>
          <w:szCs w:val="18"/>
          <w:lang w:val="es-ES_tradnl"/>
        </w:rPr>
        <w:t xml:space="preserve">n judicial que se impugna mediante la presente </w:t>
      </w:r>
      <w:r>
        <w:rPr>
          <w:spacing w:val="-4"/>
          <w:sz w:val="18"/>
          <w:szCs w:val="18"/>
          <w:lang w:val="es-ES_tradnl"/>
        </w:rPr>
        <w:t>acci</w:t>
      </w:r>
      <w:r>
        <w:rPr>
          <w:rFonts w:cs="Times New Roman"/>
          <w:spacing w:val="-4"/>
          <w:sz w:val="18"/>
          <w:szCs w:val="18"/>
          <w:lang w:val="es-ES_tradnl"/>
        </w:rPr>
        <w:t>ó</w:t>
      </w:r>
      <w:r>
        <w:rPr>
          <w:spacing w:val="-4"/>
          <w:sz w:val="18"/>
          <w:szCs w:val="18"/>
          <w:lang w:val="es-ES_tradnl"/>
        </w:rPr>
        <w:t>n extraordinaria de protecci</w:t>
      </w:r>
      <w:r>
        <w:rPr>
          <w:rFonts w:cs="Times New Roman"/>
          <w:spacing w:val="-4"/>
          <w:sz w:val="18"/>
          <w:szCs w:val="18"/>
          <w:lang w:val="es-ES_tradnl"/>
        </w:rPr>
        <w:t>ó</w:t>
      </w:r>
      <w:r>
        <w:rPr>
          <w:spacing w:val="-4"/>
          <w:sz w:val="18"/>
          <w:szCs w:val="18"/>
          <w:lang w:val="es-ES_tradnl"/>
        </w:rPr>
        <w:t xml:space="preserve">n, la sentencia dictada </w:t>
      </w:r>
      <w:r>
        <w:rPr>
          <w:spacing w:val="-6"/>
          <w:sz w:val="18"/>
          <w:szCs w:val="18"/>
          <w:lang w:val="es-ES_tradnl"/>
        </w:rPr>
        <w:t>el 27 de agosto de 2010, por la Sala Penal, Colusorio y Tr</w:t>
      </w:r>
      <w:r>
        <w:rPr>
          <w:rFonts w:cs="Times New Roman"/>
          <w:spacing w:val="-6"/>
          <w:sz w:val="18"/>
          <w:szCs w:val="18"/>
          <w:lang w:val="es-ES_tradnl"/>
        </w:rPr>
        <w:t>á</w:t>
      </w:r>
      <w:r>
        <w:rPr>
          <w:spacing w:val="-6"/>
          <w:sz w:val="18"/>
          <w:szCs w:val="18"/>
          <w:lang w:val="es-ES_tradnl"/>
        </w:rPr>
        <w:t>nsito de la Corte Provincial de Justicia de Los R</w:t>
      </w:r>
      <w:r>
        <w:rPr>
          <w:rFonts w:cs="Times New Roman"/>
          <w:spacing w:val="-6"/>
          <w:sz w:val="18"/>
          <w:szCs w:val="18"/>
          <w:lang w:val="es-ES_tradnl"/>
        </w:rPr>
        <w:t>í</w:t>
      </w:r>
      <w:r>
        <w:rPr>
          <w:spacing w:val="-6"/>
          <w:sz w:val="18"/>
          <w:szCs w:val="18"/>
          <w:lang w:val="es-ES_tradnl"/>
        </w:rPr>
        <w:t xml:space="preserve">os en </w:t>
      </w:r>
      <w:r>
        <w:rPr>
          <w:sz w:val="18"/>
          <w:szCs w:val="18"/>
          <w:lang w:val="es-ES_tradnl"/>
        </w:rPr>
        <w:t>su parte resolutiva, dispuso lo siguiente:</w:t>
      </w:r>
    </w:p>
    <w:p w14:paraId="4F67ABD1" w14:textId="77777777" w:rsidR="00591D54" w:rsidRDefault="00591D54">
      <w:pPr>
        <w:shd w:val="clear" w:color="auto" w:fill="FFFFFF"/>
        <w:spacing w:before="206" w:line="216" w:lineRule="exact"/>
        <w:ind w:left="283" w:right="5"/>
        <w:jc w:val="both"/>
      </w:pPr>
      <w:r>
        <w:rPr>
          <w:spacing w:val="-4"/>
          <w:sz w:val="16"/>
          <w:szCs w:val="16"/>
          <w:lang w:val="es-ES_tradnl"/>
        </w:rPr>
        <w:t>La Sala considera que la protecci</w:t>
      </w:r>
      <w:r>
        <w:rPr>
          <w:rFonts w:cs="Times New Roman"/>
          <w:spacing w:val="-4"/>
          <w:sz w:val="16"/>
          <w:szCs w:val="16"/>
          <w:lang w:val="es-ES_tradnl"/>
        </w:rPr>
        <w:t>ó</w:t>
      </w:r>
      <w:r>
        <w:rPr>
          <w:spacing w:val="-4"/>
          <w:sz w:val="16"/>
          <w:szCs w:val="16"/>
          <w:lang w:val="es-ES_tradnl"/>
        </w:rPr>
        <w:t xml:space="preserve">n de los derechos se </w:t>
      </w:r>
      <w:r>
        <w:rPr>
          <w:spacing w:val="-9"/>
          <w:sz w:val="16"/>
          <w:szCs w:val="16"/>
          <w:lang w:val="es-ES_tradnl"/>
        </w:rPr>
        <w:t>extendi</w:t>
      </w:r>
      <w:r>
        <w:rPr>
          <w:rFonts w:cs="Times New Roman"/>
          <w:spacing w:val="-9"/>
          <w:sz w:val="16"/>
          <w:szCs w:val="16"/>
          <w:lang w:val="es-ES_tradnl"/>
        </w:rPr>
        <w:t>ó</w:t>
      </w:r>
      <w:r>
        <w:rPr>
          <w:spacing w:val="-9"/>
          <w:sz w:val="16"/>
          <w:szCs w:val="16"/>
          <w:lang w:val="es-ES_tradnl"/>
        </w:rPr>
        <w:t xml:space="preserve"> no s</w:t>
      </w:r>
      <w:r>
        <w:rPr>
          <w:rFonts w:cs="Times New Roman"/>
          <w:spacing w:val="-9"/>
          <w:sz w:val="16"/>
          <w:szCs w:val="16"/>
          <w:lang w:val="es-ES_tradnl"/>
        </w:rPr>
        <w:t>ó</w:t>
      </w:r>
      <w:r>
        <w:rPr>
          <w:spacing w:val="-9"/>
          <w:sz w:val="16"/>
          <w:szCs w:val="16"/>
          <w:lang w:val="es-ES_tradnl"/>
        </w:rPr>
        <w:t xml:space="preserve">lo a los concebidos en los pactos y convenciones </w:t>
      </w:r>
      <w:r>
        <w:rPr>
          <w:sz w:val="16"/>
          <w:szCs w:val="16"/>
          <w:lang w:val="es-ES_tradnl"/>
        </w:rPr>
        <w:t xml:space="preserve">internacionales relacionados con la libertad personal y </w:t>
      </w:r>
      <w:r>
        <w:rPr>
          <w:spacing w:val="-1"/>
          <w:sz w:val="16"/>
          <w:szCs w:val="16"/>
          <w:lang w:val="es-ES_tradnl"/>
        </w:rPr>
        <w:t>el debido proceso, sino que tambi</w:t>
      </w:r>
      <w:r>
        <w:rPr>
          <w:rFonts w:cs="Times New Roman"/>
          <w:spacing w:val="-1"/>
          <w:sz w:val="16"/>
          <w:szCs w:val="16"/>
          <w:lang w:val="es-ES_tradnl"/>
        </w:rPr>
        <w:t>é</w:t>
      </w:r>
      <w:r>
        <w:rPr>
          <w:spacing w:val="-1"/>
          <w:sz w:val="16"/>
          <w:szCs w:val="16"/>
          <w:lang w:val="es-ES_tradnl"/>
        </w:rPr>
        <w:t>n a la protecci</w:t>
      </w:r>
      <w:r>
        <w:rPr>
          <w:rFonts w:cs="Times New Roman"/>
          <w:spacing w:val="-1"/>
          <w:sz w:val="16"/>
          <w:szCs w:val="16"/>
          <w:lang w:val="es-ES_tradnl"/>
        </w:rPr>
        <w:t>ó</w:t>
      </w:r>
      <w:r>
        <w:rPr>
          <w:spacing w:val="-1"/>
          <w:sz w:val="16"/>
          <w:szCs w:val="16"/>
          <w:lang w:val="es-ES_tradnl"/>
        </w:rPr>
        <w:t xml:space="preserve">n de </w:t>
      </w:r>
      <w:r>
        <w:rPr>
          <w:spacing w:val="-8"/>
          <w:sz w:val="16"/>
          <w:szCs w:val="16"/>
          <w:lang w:val="es-ES_tradnl"/>
        </w:rPr>
        <w:t>datos personales del ser humano o que se vinculen con sus derechos, de manera que siendo el H</w:t>
      </w:r>
      <w:r>
        <w:rPr>
          <w:rFonts w:cs="Times New Roman"/>
          <w:spacing w:val="-8"/>
          <w:sz w:val="16"/>
          <w:szCs w:val="16"/>
          <w:lang w:val="es-ES_tradnl"/>
        </w:rPr>
        <w:t>á</w:t>
      </w:r>
      <w:r>
        <w:rPr>
          <w:spacing w:val="-8"/>
          <w:sz w:val="16"/>
          <w:szCs w:val="16"/>
          <w:lang w:val="es-ES_tradnl"/>
        </w:rPr>
        <w:t>beas Data una garant</w:t>
      </w:r>
      <w:r>
        <w:rPr>
          <w:rFonts w:cs="Times New Roman"/>
          <w:spacing w:val="-8"/>
          <w:sz w:val="16"/>
          <w:szCs w:val="16"/>
          <w:lang w:val="es-ES_tradnl"/>
        </w:rPr>
        <w:t>í</w:t>
      </w:r>
      <w:r>
        <w:rPr>
          <w:spacing w:val="-8"/>
          <w:sz w:val="16"/>
          <w:szCs w:val="16"/>
          <w:lang w:val="es-ES_tradnl"/>
        </w:rPr>
        <w:t>a</w:t>
      </w:r>
    </w:p>
    <w:p w14:paraId="4F67ABD2" w14:textId="77777777" w:rsidR="00591D54" w:rsidRDefault="00591D54">
      <w:pPr>
        <w:shd w:val="clear" w:color="auto" w:fill="FFFFFF"/>
        <w:spacing w:line="216" w:lineRule="exact"/>
        <w:ind w:left="283"/>
        <w:jc w:val="both"/>
      </w:pPr>
      <w:r>
        <w:br w:type="column"/>
      </w:r>
      <w:r>
        <w:rPr>
          <w:sz w:val="16"/>
          <w:szCs w:val="16"/>
          <w:lang w:val="es-ES_tradnl"/>
        </w:rPr>
        <w:t xml:space="preserve">constitucional creada para proteger el derecho humano </w:t>
      </w:r>
      <w:r>
        <w:rPr>
          <w:spacing w:val="-4"/>
          <w:sz w:val="16"/>
          <w:szCs w:val="16"/>
          <w:lang w:val="es-ES_tradnl"/>
        </w:rPr>
        <w:t xml:space="preserve">de mantener el control de los datos que existan sobre su </w:t>
      </w:r>
      <w:r>
        <w:rPr>
          <w:spacing w:val="-6"/>
          <w:sz w:val="16"/>
          <w:szCs w:val="16"/>
          <w:lang w:val="es-ES_tradnl"/>
        </w:rPr>
        <w:t xml:space="preserve">persona o sus bienes y para preservar sobre todo el derecho </w:t>
      </w:r>
      <w:r>
        <w:rPr>
          <w:spacing w:val="-5"/>
          <w:sz w:val="16"/>
          <w:szCs w:val="16"/>
          <w:lang w:val="es-ES_tradnl"/>
        </w:rPr>
        <w:t>a la honra, a la buena reputaci</w:t>
      </w:r>
      <w:r>
        <w:rPr>
          <w:rFonts w:cs="Times New Roman"/>
          <w:spacing w:val="-5"/>
          <w:sz w:val="16"/>
          <w:szCs w:val="16"/>
          <w:lang w:val="es-ES_tradnl"/>
        </w:rPr>
        <w:t>ó</w:t>
      </w:r>
      <w:r>
        <w:rPr>
          <w:spacing w:val="-5"/>
          <w:sz w:val="16"/>
          <w:szCs w:val="16"/>
          <w:lang w:val="es-ES_tradnl"/>
        </w:rPr>
        <w:t xml:space="preserve">n y a la intimidad personal y </w:t>
      </w:r>
      <w:r>
        <w:rPr>
          <w:spacing w:val="-7"/>
          <w:sz w:val="16"/>
          <w:szCs w:val="16"/>
          <w:lang w:val="es-ES_tradnl"/>
        </w:rPr>
        <w:t>familiar, consagrado en los numerales 18, 19 y 20 del art</w:t>
      </w:r>
      <w:r>
        <w:rPr>
          <w:rFonts w:cs="Times New Roman"/>
          <w:spacing w:val="-7"/>
          <w:sz w:val="16"/>
          <w:szCs w:val="16"/>
          <w:lang w:val="es-ES_tradnl"/>
        </w:rPr>
        <w:t>í</w:t>
      </w:r>
      <w:r>
        <w:rPr>
          <w:spacing w:val="-7"/>
          <w:sz w:val="16"/>
          <w:szCs w:val="16"/>
          <w:lang w:val="es-ES_tradnl"/>
        </w:rPr>
        <w:t xml:space="preserve">culo </w:t>
      </w:r>
      <w:r>
        <w:rPr>
          <w:spacing w:val="-6"/>
          <w:sz w:val="16"/>
          <w:szCs w:val="16"/>
          <w:lang w:val="es-ES_tradnl"/>
        </w:rPr>
        <w:t>66 de la Constituci</w:t>
      </w:r>
      <w:r>
        <w:rPr>
          <w:rFonts w:cs="Times New Roman"/>
          <w:spacing w:val="-6"/>
          <w:sz w:val="16"/>
          <w:szCs w:val="16"/>
          <w:lang w:val="es-ES_tradnl"/>
        </w:rPr>
        <w:t>ó</w:t>
      </w:r>
      <w:r>
        <w:rPr>
          <w:spacing w:val="-6"/>
          <w:sz w:val="16"/>
          <w:szCs w:val="16"/>
          <w:lang w:val="es-ES_tradnl"/>
        </w:rPr>
        <w:t>n de la Rep</w:t>
      </w:r>
      <w:r>
        <w:rPr>
          <w:rFonts w:cs="Times New Roman"/>
          <w:spacing w:val="-6"/>
          <w:sz w:val="16"/>
          <w:szCs w:val="16"/>
          <w:lang w:val="es-ES_tradnl"/>
        </w:rPr>
        <w:t>ú</w:t>
      </w:r>
      <w:r>
        <w:rPr>
          <w:spacing w:val="-6"/>
          <w:sz w:val="16"/>
          <w:szCs w:val="16"/>
          <w:lang w:val="es-ES_tradnl"/>
        </w:rPr>
        <w:t xml:space="preserve">blica al no haberse dado la </w:t>
      </w:r>
      <w:r>
        <w:rPr>
          <w:spacing w:val="-4"/>
          <w:sz w:val="16"/>
          <w:szCs w:val="16"/>
          <w:lang w:val="es-ES_tradnl"/>
        </w:rPr>
        <w:t xml:space="preserve">oportunidad o celeridad para atender tales requerimientos </w:t>
      </w:r>
      <w:r>
        <w:rPr>
          <w:spacing w:val="-5"/>
          <w:sz w:val="16"/>
          <w:szCs w:val="16"/>
          <w:lang w:val="es-ES_tradnl"/>
        </w:rPr>
        <w:t>que van en perjuicio del derecho a la informaci</w:t>
      </w:r>
      <w:r>
        <w:rPr>
          <w:rFonts w:cs="Times New Roman"/>
          <w:spacing w:val="-5"/>
          <w:sz w:val="16"/>
          <w:szCs w:val="16"/>
          <w:lang w:val="es-ES_tradnl"/>
        </w:rPr>
        <w:t>ó</w:t>
      </w:r>
      <w:r>
        <w:rPr>
          <w:spacing w:val="-5"/>
          <w:sz w:val="16"/>
          <w:szCs w:val="16"/>
          <w:lang w:val="es-ES_tradnl"/>
        </w:rPr>
        <w:t xml:space="preserve">n de la cual </w:t>
      </w:r>
      <w:r>
        <w:rPr>
          <w:spacing w:val="-4"/>
          <w:sz w:val="16"/>
          <w:szCs w:val="16"/>
          <w:lang w:val="es-ES_tradnl"/>
        </w:rPr>
        <w:t>est</w:t>
      </w:r>
      <w:r>
        <w:rPr>
          <w:rFonts w:cs="Times New Roman"/>
          <w:spacing w:val="-4"/>
          <w:sz w:val="16"/>
          <w:szCs w:val="16"/>
          <w:lang w:val="es-ES_tradnl"/>
        </w:rPr>
        <w:t>á</w:t>
      </w:r>
      <w:r>
        <w:rPr>
          <w:spacing w:val="-4"/>
          <w:sz w:val="16"/>
          <w:szCs w:val="16"/>
          <w:lang w:val="es-ES_tradnl"/>
        </w:rPr>
        <w:t xml:space="preserve"> asistido quien lo solicita como lo dispone el art</w:t>
      </w:r>
      <w:r>
        <w:rPr>
          <w:rFonts w:cs="Times New Roman"/>
          <w:spacing w:val="-4"/>
          <w:sz w:val="16"/>
          <w:szCs w:val="16"/>
          <w:lang w:val="es-ES_tradnl"/>
        </w:rPr>
        <w:t>í</w:t>
      </w:r>
      <w:r>
        <w:rPr>
          <w:spacing w:val="-4"/>
          <w:sz w:val="16"/>
          <w:szCs w:val="16"/>
          <w:lang w:val="es-ES_tradnl"/>
        </w:rPr>
        <w:t xml:space="preserve">culo 92 </w:t>
      </w:r>
      <w:r>
        <w:rPr>
          <w:spacing w:val="-6"/>
          <w:sz w:val="16"/>
          <w:szCs w:val="16"/>
          <w:lang w:val="es-ES_tradnl"/>
        </w:rPr>
        <w:t>de la Constituci</w:t>
      </w:r>
      <w:r>
        <w:rPr>
          <w:rFonts w:cs="Times New Roman"/>
          <w:spacing w:val="-6"/>
          <w:sz w:val="16"/>
          <w:szCs w:val="16"/>
          <w:lang w:val="es-ES_tradnl"/>
        </w:rPr>
        <w:t>ó</w:t>
      </w:r>
      <w:r>
        <w:rPr>
          <w:spacing w:val="-6"/>
          <w:sz w:val="16"/>
          <w:szCs w:val="16"/>
          <w:lang w:val="es-ES_tradnl"/>
        </w:rPr>
        <w:t>n de la Rep</w:t>
      </w:r>
      <w:r>
        <w:rPr>
          <w:rFonts w:cs="Times New Roman"/>
          <w:spacing w:val="-6"/>
          <w:sz w:val="16"/>
          <w:szCs w:val="16"/>
          <w:lang w:val="es-ES_tradnl"/>
        </w:rPr>
        <w:t>ú</w:t>
      </w:r>
      <w:r>
        <w:rPr>
          <w:spacing w:val="-6"/>
          <w:sz w:val="16"/>
          <w:szCs w:val="16"/>
          <w:lang w:val="es-ES_tradnl"/>
        </w:rPr>
        <w:t xml:space="preserve">blica. La Sala Penal de la Corte </w:t>
      </w:r>
      <w:r>
        <w:rPr>
          <w:spacing w:val="-2"/>
          <w:sz w:val="16"/>
          <w:szCs w:val="16"/>
          <w:lang w:val="es-ES_tradnl"/>
        </w:rPr>
        <w:t>Provincial de Justicia de Los R</w:t>
      </w:r>
      <w:r>
        <w:rPr>
          <w:rFonts w:cs="Times New Roman"/>
          <w:spacing w:val="-2"/>
          <w:sz w:val="16"/>
          <w:szCs w:val="16"/>
          <w:lang w:val="es-ES_tradnl"/>
        </w:rPr>
        <w:t>í</w:t>
      </w:r>
      <w:r>
        <w:rPr>
          <w:spacing w:val="-2"/>
          <w:sz w:val="16"/>
          <w:szCs w:val="16"/>
          <w:lang w:val="es-ES_tradnl"/>
        </w:rPr>
        <w:t xml:space="preserve">os ADMINISTRANDO </w:t>
      </w:r>
      <w:r>
        <w:rPr>
          <w:spacing w:val="-7"/>
          <w:sz w:val="16"/>
          <w:szCs w:val="16"/>
          <w:lang w:val="es-ES_tradnl"/>
        </w:rPr>
        <w:t xml:space="preserve">JUSTICIA EN NOMBRE DEL PUEBLO SOBERANO Y POR </w:t>
      </w:r>
      <w:r>
        <w:rPr>
          <w:spacing w:val="-2"/>
          <w:sz w:val="16"/>
          <w:szCs w:val="16"/>
          <w:lang w:val="es-ES_tradnl"/>
        </w:rPr>
        <w:t>AUTORIDAD DE LA CONSTITUCI</w:t>
      </w:r>
      <w:r>
        <w:rPr>
          <w:rFonts w:cs="Times New Roman"/>
          <w:spacing w:val="-2"/>
          <w:sz w:val="16"/>
          <w:szCs w:val="16"/>
          <w:lang w:val="es-ES_tradnl"/>
        </w:rPr>
        <w:t>Ó</w:t>
      </w:r>
      <w:r>
        <w:rPr>
          <w:spacing w:val="-2"/>
          <w:sz w:val="16"/>
          <w:szCs w:val="16"/>
          <w:lang w:val="es-ES_tradnl"/>
        </w:rPr>
        <w:t xml:space="preserve">N DEL ECUADOR Y </w:t>
      </w:r>
      <w:r>
        <w:rPr>
          <w:spacing w:val="-4"/>
          <w:sz w:val="16"/>
          <w:szCs w:val="16"/>
          <w:lang w:val="es-ES_tradnl"/>
        </w:rPr>
        <w:t xml:space="preserve">LAS LEYES DE LA REPUBLICA resuelve negar el recurso </w:t>
      </w:r>
      <w:r>
        <w:rPr>
          <w:spacing w:val="-7"/>
          <w:sz w:val="16"/>
          <w:szCs w:val="16"/>
          <w:lang w:val="es-ES_tradnl"/>
        </w:rPr>
        <w:t>de apelaci</w:t>
      </w:r>
      <w:r>
        <w:rPr>
          <w:rFonts w:cs="Times New Roman"/>
          <w:spacing w:val="-7"/>
          <w:sz w:val="16"/>
          <w:szCs w:val="16"/>
          <w:lang w:val="es-ES_tradnl"/>
        </w:rPr>
        <w:t>ó</w:t>
      </w:r>
      <w:r>
        <w:rPr>
          <w:spacing w:val="-7"/>
          <w:sz w:val="16"/>
          <w:szCs w:val="16"/>
          <w:lang w:val="es-ES_tradnl"/>
        </w:rPr>
        <w:t xml:space="preserve">n interpuesto por los representantes del Municipio </w:t>
      </w:r>
      <w:r>
        <w:rPr>
          <w:spacing w:val="-5"/>
          <w:sz w:val="16"/>
          <w:szCs w:val="16"/>
          <w:lang w:val="es-ES_tradnl"/>
        </w:rPr>
        <w:t>del cant</w:t>
      </w:r>
      <w:r>
        <w:rPr>
          <w:rFonts w:cs="Times New Roman"/>
          <w:spacing w:val="-5"/>
          <w:sz w:val="16"/>
          <w:szCs w:val="16"/>
          <w:lang w:val="es-ES_tradnl"/>
        </w:rPr>
        <w:t>ó</w:t>
      </w:r>
      <w:r>
        <w:rPr>
          <w:spacing w:val="-5"/>
          <w:sz w:val="16"/>
          <w:szCs w:val="16"/>
          <w:lang w:val="es-ES_tradnl"/>
        </w:rPr>
        <w:t xml:space="preserve">n Mocache y CONFIRMA en todas sus partes la </w:t>
      </w:r>
      <w:r>
        <w:rPr>
          <w:spacing w:val="-8"/>
          <w:sz w:val="16"/>
          <w:szCs w:val="16"/>
          <w:lang w:val="es-ES_tradnl"/>
        </w:rPr>
        <w:t xml:space="preserve">sentencia venida en grado, disponiendo devolver el proceso al </w:t>
      </w:r>
      <w:r>
        <w:rPr>
          <w:spacing w:val="-6"/>
          <w:sz w:val="16"/>
          <w:szCs w:val="16"/>
          <w:lang w:val="es-ES_tradnl"/>
        </w:rPr>
        <w:t xml:space="preserve">juzgado de instancia inferior para que se ejecute lo ordenado </w:t>
      </w:r>
      <w:r>
        <w:rPr>
          <w:sz w:val="16"/>
          <w:szCs w:val="16"/>
          <w:lang w:val="es-ES_tradnl"/>
        </w:rPr>
        <w:t>en sentencia (</w:t>
      </w:r>
      <w:r>
        <w:rPr>
          <w:rFonts w:cs="Times New Roman"/>
          <w:sz w:val="16"/>
          <w:szCs w:val="16"/>
          <w:lang w:val="es-ES_tradnl"/>
        </w:rPr>
        <w:t>…</w:t>
      </w:r>
      <w:r>
        <w:rPr>
          <w:sz w:val="16"/>
          <w:szCs w:val="16"/>
          <w:lang w:val="es-ES_tradnl"/>
        </w:rPr>
        <w:t>).</w:t>
      </w:r>
    </w:p>
    <w:p w14:paraId="4F67ABD3" w14:textId="77777777" w:rsidR="00591D54" w:rsidRDefault="00591D54">
      <w:pPr>
        <w:shd w:val="clear" w:color="auto" w:fill="FFFFFF"/>
        <w:spacing w:before="197"/>
      </w:pPr>
      <w:r>
        <w:rPr>
          <w:b/>
          <w:bCs/>
          <w:spacing w:val="-10"/>
          <w:sz w:val="18"/>
          <w:szCs w:val="18"/>
          <w:lang w:val="es-ES_tradnl"/>
        </w:rPr>
        <w:t>Argumentos planteados en la demanda</w:t>
      </w:r>
    </w:p>
    <w:p w14:paraId="4F67ABD4" w14:textId="77777777" w:rsidR="00591D54" w:rsidRDefault="00591D54">
      <w:pPr>
        <w:shd w:val="clear" w:color="auto" w:fill="FFFFFF"/>
        <w:spacing w:before="197" w:line="216" w:lineRule="exact"/>
        <w:ind w:right="5"/>
        <w:jc w:val="both"/>
      </w:pPr>
      <w:r>
        <w:rPr>
          <w:spacing w:val="-8"/>
          <w:sz w:val="18"/>
          <w:szCs w:val="18"/>
          <w:lang w:val="es-ES_tradnl"/>
        </w:rPr>
        <w:t>Los accionantes Leandro Rufino Ull</w:t>
      </w:r>
      <w:r>
        <w:rPr>
          <w:rFonts w:cs="Times New Roman"/>
          <w:spacing w:val="-8"/>
          <w:sz w:val="18"/>
          <w:szCs w:val="18"/>
          <w:lang w:val="es-ES_tradnl"/>
        </w:rPr>
        <w:t>ó</w:t>
      </w:r>
      <w:r>
        <w:rPr>
          <w:spacing w:val="-8"/>
          <w:sz w:val="18"/>
          <w:szCs w:val="18"/>
          <w:lang w:val="es-ES_tradnl"/>
        </w:rPr>
        <w:t>n Rodr</w:t>
      </w:r>
      <w:r>
        <w:rPr>
          <w:rFonts w:cs="Times New Roman"/>
          <w:spacing w:val="-8"/>
          <w:sz w:val="18"/>
          <w:szCs w:val="18"/>
          <w:lang w:val="es-ES_tradnl"/>
        </w:rPr>
        <w:t>í</w:t>
      </w:r>
      <w:r>
        <w:rPr>
          <w:spacing w:val="-8"/>
          <w:sz w:val="18"/>
          <w:szCs w:val="18"/>
          <w:lang w:val="es-ES_tradnl"/>
        </w:rPr>
        <w:t xml:space="preserve">guez y Walter </w:t>
      </w:r>
      <w:r>
        <w:rPr>
          <w:spacing w:val="-6"/>
          <w:sz w:val="18"/>
          <w:szCs w:val="18"/>
          <w:lang w:val="es-ES_tradnl"/>
        </w:rPr>
        <w:t xml:space="preserve">Eduardo Armijos Orellana en sus calidades de alcalde y </w:t>
      </w:r>
      <w:r>
        <w:rPr>
          <w:spacing w:val="-5"/>
          <w:sz w:val="18"/>
          <w:szCs w:val="18"/>
          <w:lang w:val="es-ES_tradnl"/>
        </w:rPr>
        <w:t>procurador s</w:t>
      </w:r>
      <w:r>
        <w:rPr>
          <w:rFonts w:cs="Times New Roman"/>
          <w:spacing w:val="-5"/>
          <w:sz w:val="18"/>
          <w:szCs w:val="18"/>
          <w:lang w:val="es-ES_tradnl"/>
        </w:rPr>
        <w:t>í</w:t>
      </w:r>
      <w:r>
        <w:rPr>
          <w:spacing w:val="-5"/>
          <w:sz w:val="18"/>
          <w:szCs w:val="18"/>
          <w:lang w:val="es-ES_tradnl"/>
        </w:rPr>
        <w:t>ndico del Gobierno Municipal del cant</w:t>
      </w:r>
      <w:r>
        <w:rPr>
          <w:rFonts w:cs="Times New Roman"/>
          <w:spacing w:val="-5"/>
          <w:sz w:val="18"/>
          <w:szCs w:val="18"/>
          <w:lang w:val="es-ES_tradnl"/>
        </w:rPr>
        <w:t>ó</w:t>
      </w:r>
      <w:r>
        <w:rPr>
          <w:spacing w:val="-5"/>
          <w:sz w:val="18"/>
          <w:szCs w:val="18"/>
          <w:lang w:val="es-ES_tradnl"/>
        </w:rPr>
        <w:t>n Mocache en lo principal, se</w:t>
      </w:r>
      <w:r>
        <w:rPr>
          <w:rFonts w:cs="Times New Roman"/>
          <w:spacing w:val="-5"/>
          <w:sz w:val="18"/>
          <w:szCs w:val="18"/>
          <w:lang w:val="es-ES_tradnl"/>
        </w:rPr>
        <w:t>ñ</w:t>
      </w:r>
      <w:r>
        <w:rPr>
          <w:spacing w:val="-5"/>
          <w:sz w:val="18"/>
          <w:szCs w:val="18"/>
          <w:lang w:val="es-ES_tradnl"/>
        </w:rPr>
        <w:t xml:space="preserve">alan que la Sala de lo Penal </w:t>
      </w:r>
      <w:r>
        <w:rPr>
          <w:spacing w:val="-6"/>
          <w:sz w:val="18"/>
          <w:szCs w:val="18"/>
          <w:lang w:val="es-ES_tradnl"/>
        </w:rPr>
        <w:t>de la Corte Provincial de Justicia de Los R</w:t>
      </w:r>
      <w:r>
        <w:rPr>
          <w:rFonts w:cs="Times New Roman"/>
          <w:spacing w:val="-6"/>
          <w:sz w:val="18"/>
          <w:szCs w:val="18"/>
          <w:lang w:val="es-ES_tradnl"/>
        </w:rPr>
        <w:t>í</w:t>
      </w:r>
      <w:r>
        <w:rPr>
          <w:spacing w:val="-6"/>
          <w:sz w:val="18"/>
          <w:szCs w:val="18"/>
          <w:lang w:val="es-ES_tradnl"/>
        </w:rPr>
        <w:t>os violent</w:t>
      </w:r>
      <w:r>
        <w:rPr>
          <w:rFonts w:cs="Times New Roman"/>
          <w:spacing w:val="-6"/>
          <w:sz w:val="18"/>
          <w:szCs w:val="18"/>
          <w:lang w:val="es-ES_tradnl"/>
        </w:rPr>
        <w:t>ó</w:t>
      </w:r>
      <w:r>
        <w:rPr>
          <w:spacing w:val="-6"/>
          <w:sz w:val="18"/>
          <w:szCs w:val="18"/>
          <w:lang w:val="es-ES_tradnl"/>
        </w:rPr>
        <w:t xml:space="preserve"> su </w:t>
      </w:r>
      <w:r>
        <w:rPr>
          <w:spacing w:val="-9"/>
          <w:sz w:val="18"/>
          <w:szCs w:val="18"/>
          <w:lang w:val="es-ES_tradnl"/>
        </w:rPr>
        <w:t>derecho a la seguridad jur</w:t>
      </w:r>
      <w:r>
        <w:rPr>
          <w:rFonts w:cs="Times New Roman"/>
          <w:spacing w:val="-9"/>
          <w:sz w:val="18"/>
          <w:szCs w:val="18"/>
          <w:lang w:val="es-ES_tradnl"/>
        </w:rPr>
        <w:t>í</w:t>
      </w:r>
      <w:r>
        <w:rPr>
          <w:spacing w:val="-9"/>
          <w:sz w:val="18"/>
          <w:szCs w:val="18"/>
          <w:lang w:val="es-ES_tradnl"/>
        </w:rPr>
        <w:t>dica, al haber confirmado el fallo que daba con lugar la acci</w:t>
      </w:r>
      <w:r>
        <w:rPr>
          <w:rFonts w:cs="Times New Roman"/>
          <w:spacing w:val="-9"/>
          <w:sz w:val="18"/>
          <w:szCs w:val="18"/>
          <w:lang w:val="es-ES_tradnl"/>
        </w:rPr>
        <w:t>ó</w:t>
      </w:r>
      <w:r>
        <w:rPr>
          <w:spacing w:val="-9"/>
          <w:sz w:val="18"/>
          <w:szCs w:val="18"/>
          <w:lang w:val="es-ES_tradnl"/>
        </w:rPr>
        <w:t>n de h</w:t>
      </w:r>
      <w:r>
        <w:rPr>
          <w:rFonts w:cs="Times New Roman"/>
          <w:spacing w:val="-9"/>
          <w:sz w:val="18"/>
          <w:szCs w:val="18"/>
          <w:lang w:val="es-ES_tradnl"/>
        </w:rPr>
        <w:t>á</w:t>
      </w:r>
      <w:r>
        <w:rPr>
          <w:spacing w:val="-9"/>
          <w:sz w:val="18"/>
          <w:szCs w:val="18"/>
          <w:lang w:val="es-ES_tradnl"/>
        </w:rPr>
        <w:t xml:space="preserve">beas data propuesto en </w:t>
      </w:r>
      <w:r>
        <w:rPr>
          <w:spacing w:val="-8"/>
          <w:sz w:val="18"/>
          <w:szCs w:val="18"/>
          <w:lang w:val="es-ES_tradnl"/>
        </w:rPr>
        <w:t xml:space="preserve">contra de la Municipalidad de Mocache por parte de Emilio </w:t>
      </w:r>
      <w:r>
        <w:rPr>
          <w:sz w:val="18"/>
          <w:szCs w:val="18"/>
          <w:lang w:val="es-ES_tradnl"/>
        </w:rPr>
        <w:t>Vicente D</w:t>
      </w:r>
      <w:r>
        <w:rPr>
          <w:rFonts w:cs="Times New Roman"/>
          <w:sz w:val="18"/>
          <w:szCs w:val="18"/>
          <w:lang w:val="es-ES_tradnl"/>
        </w:rPr>
        <w:t>í</w:t>
      </w:r>
      <w:r>
        <w:rPr>
          <w:sz w:val="18"/>
          <w:szCs w:val="18"/>
          <w:lang w:val="es-ES_tradnl"/>
        </w:rPr>
        <w:t>az Ter</w:t>
      </w:r>
      <w:r>
        <w:rPr>
          <w:rFonts w:cs="Times New Roman"/>
          <w:sz w:val="18"/>
          <w:szCs w:val="18"/>
          <w:lang w:val="es-ES_tradnl"/>
        </w:rPr>
        <w:t>á</w:t>
      </w:r>
      <w:r>
        <w:rPr>
          <w:sz w:val="18"/>
          <w:szCs w:val="18"/>
          <w:lang w:val="es-ES_tradnl"/>
        </w:rPr>
        <w:t>n.</w:t>
      </w:r>
    </w:p>
    <w:p w14:paraId="4F67ABD5" w14:textId="77777777" w:rsidR="00591D54" w:rsidRDefault="00591D54">
      <w:pPr>
        <w:shd w:val="clear" w:color="auto" w:fill="FFFFFF"/>
        <w:spacing w:before="197" w:line="216" w:lineRule="exact"/>
        <w:ind w:right="5"/>
        <w:jc w:val="both"/>
      </w:pPr>
      <w:r>
        <w:rPr>
          <w:spacing w:val="-8"/>
          <w:sz w:val="18"/>
          <w:szCs w:val="18"/>
          <w:lang w:val="es-ES_tradnl"/>
        </w:rPr>
        <w:t>Seg</w:t>
      </w:r>
      <w:r>
        <w:rPr>
          <w:rFonts w:cs="Times New Roman"/>
          <w:spacing w:val="-8"/>
          <w:sz w:val="18"/>
          <w:szCs w:val="18"/>
          <w:lang w:val="es-ES_tradnl"/>
        </w:rPr>
        <w:t>ú</w:t>
      </w:r>
      <w:r>
        <w:rPr>
          <w:spacing w:val="-8"/>
          <w:sz w:val="18"/>
          <w:szCs w:val="18"/>
          <w:lang w:val="es-ES_tradnl"/>
        </w:rPr>
        <w:t>n lo dicho por los accionantes, el se</w:t>
      </w:r>
      <w:r>
        <w:rPr>
          <w:rFonts w:cs="Times New Roman"/>
          <w:spacing w:val="-8"/>
          <w:sz w:val="18"/>
          <w:szCs w:val="18"/>
          <w:lang w:val="es-ES_tradnl"/>
        </w:rPr>
        <w:t>ñ</w:t>
      </w:r>
      <w:r>
        <w:rPr>
          <w:spacing w:val="-8"/>
          <w:sz w:val="18"/>
          <w:szCs w:val="18"/>
          <w:lang w:val="es-ES_tradnl"/>
        </w:rPr>
        <w:t>or D</w:t>
      </w:r>
      <w:r>
        <w:rPr>
          <w:rFonts w:cs="Times New Roman"/>
          <w:spacing w:val="-8"/>
          <w:sz w:val="18"/>
          <w:szCs w:val="18"/>
          <w:lang w:val="es-ES_tradnl"/>
        </w:rPr>
        <w:t>í</w:t>
      </w:r>
      <w:r>
        <w:rPr>
          <w:spacing w:val="-8"/>
          <w:sz w:val="18"/>
          <w:szCs w:val="18"/>
          <w:lang w:val="es-ES_tradnl"/>
        </w:rPr>
        <w:t>az Ter</w:t>
      </w:r>
      <w:r>
        <w:rPr>
          <w:rFonts w:cs="Times New Roman"/>
          <w:spacing w:val="-8"/>
          <w:sz w:val="18"/>
          <w:szCs w:val="18"/>
          <w:lang w:val="es-ES_tradnl"/>
        </w:rPr>
        <w:t>á</w:t>
      </w:r>
      <w:r>
        <w:rPr>
          <w:spacing w:val="-8"/>
          <w:sz w:val="18"/>
          <w:szCs w:val="18"/>
          <w:lang w:val="es-ES_tradnl"/>
        </w:rPr>
        <w:t>n, al haber presentado la acci</w:t>
      </w:r>
      <w:r>
        <w:rPr>
          <w:rFonts w:cs="Times New Roman"/>
          <w:spacing w:val="-8"/>
          <w:sz w:val="18"/>
          <w:szCs w:val="18"/>
          <w:lang w:val="es-ES_tradnl"/>
        </w:rPr>
        <w:t>ó</w:t>
      </w:r>
      <w:r>
        <w:rPr>
          <w:spacing w:val="-8"/>
          <w:sz w:val="18"/>
          <w:szCs w:val="18"/>
          <w:lang w:val="es-ES_tradnl"/>
        </w:rPr>
        <w:t>n de h</w:t>
      </w:r>
      <w:r>
        <w:rPr>
          <w:rFonts w:cs="Times New Roman"/>
          <w:spacing w:val="-8"/>
          <w:sz w:val="18"/>
          <w:szCs w:val="18"/>
          <w:lang w:val="es-ES_tradnl"/>
        </w:rPr>
        <w:t>á</w:t>
      </w:r>
      <w:r>
        <w:rPr>
          <w:spacing w:val="-8"/>
          <w:sz w:val="18"/>
          <w:szCs w:val="18"/>
          <w:lang w:val="es-ES_tradnl"/>
        </w:rPr>
        <w:t xml:space="preserve">beas data </w:t>
      </w:r>
      <w:r>
        <w:rPr>
          <w:rFonts w:cs="Times New Roman"/>
          <w:spacing w:val="-8"/>
          <w:sz w:val="18"/>
          <w:szCs w:val="18"/>
          <w:lang w:val="es-ES_tradnl"/>
        </w:rPr>
        <w:t>“</w:t>
      </w:r>
      <w:r>
        <w:rPr>
          <w:spacing w:val="-8"/>
          <w:sz w:val="18"/>
          <w:szCs w:val="18"/>
          <w:lang w:val="es-ES_tradnl"/>
        </w:rPr>
        <w:t>(</w:t>
      </w:r>
      <w:r>
        <w:rPr>
          <w:rFonts w:cs="Times New Roman"/>
          <w:spacing w:val="-8"/>
          <w:sz w:val="18"/>
          <w:szCs w:val="18"/>
          <w:lang w:val="es-ES_tradnl"/>
        </w:rPr>
        <w:t>…</w:t>
      </w:r>
      <w:r>
        <w:rPr>
          <w:spacing w:val="-8"/>
          <w:sz w:val="18"/>
          <w:szCs w:val="18"/>
          <w:lang w:val="es-ES_tradnl"/>
        </w:rPr>
        <w:t>) violent</w:t>
      </w:r>
      <w:r>
        <w:rPr>
          <w:rFonts w:cs="Times New Roman"/>
          <w:spacing w:val="-8"/>
          <w:sz w:val="18"/>
          <w:szCs w:val="18"/>
          <w:lang w:val="es-ES_tradnl"/>
        </w:rPr>
        <w:t>ó</w:t>
      </w:r>
      <w:r>
        <w:rPr>
          <w:spacing w:val="-8"/>
          <w:sz w:val="18"/>
          <w:szCs w:val="18"/>
          <w:lang w:val="es-ES_tradnl"/>
        </w:rPr>
        <w:t xml:space="preserve"> el </w:t>
      </w:r>
      <w:r>
        <w:rPr>
          <w:spacing w:val="-7"/>
          <w:sz w:val="18"/>
          <w:szCs w:val="18"/>
          <w:lang w:val="es-ES_tradnl"/>
        </w:rPr>
        <w:t xml:space="preserve">procedimiento a que todos los ecuatorianos y extranjeros </w:t>
      </w:r>
      <w:r>
        <w:rPr>
          <w:spacing w:val="-8"/>
          <w:sz w:val="18"/>
          <w:szCs w:val="18"/>
          <w:lang w:val="es-ES_tradnl"/>
        </w:rPr>
        <w:t>residentes en el pa</w:t>
      </w:r>
      <w:r>
        <w:rPr>
          <w:rFonts w:cs="Times New Roman"/>
          <w:spacing w:val="-8"/>
          <w:sz w:val="18"/>
          <w:szCs w:val="18"/>
          <w:lang w:val="es-ES_tradnl"/>
        </w:rPr>
        <w:t>í</w:t>
      </w:r>
      <w:r>
        <w:rPr>
          <w:spacing w:val="-8"/>
          <w:sz w:val="18"/>
          <w:szCs w:val="18"/>
          <w:lang w:val="es-ES_tradnl"/>
        </w:rPr>
        <w:t xml:space="preserve">s estamos obligados a respetar por la </w:t>
      </w:r>
      <w:r>
        <w:rPr>
          <w:spacing w:val="-6"/>
          <w:sz w:val="18"/>
          <w:szCs w:val="18"/>
          <w:lang w:val="es-ES_tradnl"/>
        </w:rPr>
        <w:t>norma consagrada en el Art. 76 de la Constituci</w:t>
      </w:r>
      <w:r>
        <w:rPr>
          <w:rFonts w:cs="Times New Roman"/>
          <w:spacing w:val="-6"/>
          <w:sz w:val="18"/>
          <w:szCs w:val="18"/>
          <w:lang w:val="es-ES_tradnl"/>
        </w:rPr>
        <w:t>ó</w:t>
      </w:r>
      <w:r>
        <w:rPr>
          <w:spacing w:val="-6"/>
          <w:sz w:val="18"/>
          <w:szCs w:val="18"/>
          <w:lang w:val="es-ES_tradnl"/>
        </w:rPr>
        <w:t xml:space="preserve">n del </w:t>
      </w:r>
      <w:r>
        <w:rPr>
          <w:spacing w:val="-7"/>
          <w:sz w:val="18"/>
          <w:szCs w:val="18"/>
          <w:lang w:val="es-ES_tradnl"/>
        </w:rPr>
        <w:t>Ecuador</w:t>
      </w:r>
      <w:r>
        <w:rPr>
          <w:rFonts w:cs="Times New Roman"/>
          <w:spacing w:val="-7"/>
          <w:sz w:val="18"/>
          <w:szCs w:val="18"/>
          <w:lang w:val="es-ES_tradnl"/>
        </w:rPr>
        <w:t>”</w:t>
      </w:r>
      <w:r>
        <w:rPr>
          <w:spacing w:val="-7"/>
          <w:sz w:val="18"/>
          <w:szCs w:val="18"/>
          <w:lang w:val="es-ES_tradnl"/>
        </w:rPr>
        <w:t xml:space="preserve"> por las siguientes consideraciones</w:t>
      </w:r>
      <w:r>
        <w:rPr>
          <w:i/>
          <w:iCs/>
          <w:spacing w:val="-7"/>
          <w:sz w:val="18"/>
          <w:szCs w:val="18"/>
          <w:lang w:val="es-ES_tradnl"/>
        </w:rPr>
        <w:t>:</w:t>
      </w:r>
    </w:p>
    <w:p w14:paraId="4F67ABD6" w14:textId="77777777" w:rsidR="00591D54" w:rsidRDefault="00591D54">
      <w:pPr>
        <w:shd w:val="clear" w:color="auto" w:fill="FFFFFF"/>
        <w:spacing w:before="192" w:line="216" w:lineRule="exact"/>
        <w:ind w:right="5"/>
        <w:jc w:val="both"/>
      </w:pPr>
      <w:r>
        <w:rPr>
          <w:spacing w:val="-1"/>
          <w:sz w:val="18"/>
          <w:szCs w:val="18"/>
          <w:lang w:val="es-ES_tradnl"/>
        </w:rPr>
        <w:t xml:space="preserve">El Gobierno Municipal de Mocache en uso de sus </w:t>
      </w:r>
      <w:r>
        <w:rPr>
          <w:spacing w:val="-8"/>
          <w:sz w:val="18"/>
          <w:szCs w:val="18"/>
          <w:lang w:val="es-ES_tradnl"/>
        </w:rPr>
        <w:t>facultades constitucionales y legales, procedi</w:t>
      </w:r>
      <w:r>
        <w:rPr>
          <w:rFonts w:cs="Times New Roman"/>
          <w:spacing w:val="-8"/>
          <w:sz w:val="18"/>
          <w:szCs w:val="18"/>
          <w:lang w:val="es-ES_tradnl"/>
        </w:rPr>
        <w:t>ó</w:t>
      </w:r>
      <w:r>
        <w:rPr>
          <w:spacing w:val="-8"/>
          <w:sz w:val="18"/>
          <w:szCs w:val="18"/>
          <w:lang w:val="es-ES_tradnl"/>
        </w:rPr>
        <w:t xml:space="preserve"> a suprimir el </w:t>
      </w:r>
      <w:r>
        <w:rPr>
          <w:spacing w:val="-10"/>
          <w:sz w:val="18"/>
          <w:szCs w:val="18"/>
          <w:lang w:val="es-ES_tradnl"/>
        </w:rPr>
        <w:t>puesto de trabajo en el que ven</w:t>
      </w:r>
      <w:r>
        <w:rPr>
          <w:rFonts w:cs="Times New Roman"/>
          <w:spacing w:val="-10"/>
          <w:sz w:val="18"/>
          <w:szCs w:val="18"/>
          <w:lang w:val="es-ES_tradnl"/>
        </w:rPr>
        <w:t>í</w:t>
      </w:r>
      <w:r>
        <w:rPr>
          <w:spacing w:val="-10"/>
          <w:sz w:val="18"/>
          <w:szCs w:val="18"/>
          <w:lang w:val="es-ES_tradnl"/>
        </w:rPr>
        <w:t>a desempe</w:t>
      </w:r>
      <w:r>
        <w:rPr>
          <w:rFonts w:cs="Times New Roman"/>
          <w:spacing w:val="-10"/>
          <w:sz w:val="18"/>
          <w:szCs w:val="18"/>
          <w:lang w:val="es-ES_tradnl"/>
        </w:rPr>
        <w:t>ñá</w:t>
      </w:r>
      <w:r>
        <w:rPr>
          <w:spacing w:val="-10"/>
          <w:sz w:val="18"/>
          <w:szCs w:val="18"/>
          <w:lang w:val="es-ES_tradnl"/>
        </w:rPr>
        <w:t xml:space="preserve">ndose, para lo </w:t>
      </w:r>
      <w:r>
        <w:rPr>
          <w:spacing w:val="-7"/>
          <w:sz w:val="18"/>
          <w:szCs w:val="18"/>
          <w:lang w:val="es-ES_tradnl"/>
        </w:rPr>
        <w:t>cual cont</w:t>
      </w:r>
      <w:r>
        <w:rPr>
          <w:rFonts w:cs="Times New Roman"/>
          <w:spacing w:val="-7"/>
          <w:sz w:val="18"/>
          <w:szCs w:val="18"/>
          <w:lang w:val="es-ES_tradnl"/>
        </w:rPr>
        <w:t>ó</w:t>
      </w:r>
      <w:r>
        <w:rPr>
          <w:spacing w:val="-7"/>
          <w:sz w:val="18"/>
          <w:szCs w:val="18"/>
          <w:lang w:val="es-ES_tradnl"/>
        </w:rPr>
        <w:t xml:space="preserve"> con las opiniones del jefe de recursos humanos </w:t>
      </w:r>
      <w:r>
        <w:rPr>
          <w:spacing w:val="-5"/>
          <w:sz w:val="18"/>
          <w:szCs w:val="18"/>
          <w:lang w:val="es-ES_tradnl"/>
        </w:rPr>
        <w:t xml:space="preserve">y del director financiero municipal, tal como lo manda la </w:t>
      </w:r>
      <w:r>
        <w:rPr>
          <w:spacing w:val="-3"/>
          <w:sz w:val="18"/>
          <w:szCs w:val="18"/>
          <w:lang w:val="es-ES_tradnl"/>
        </w:rPr>
        <w:t>Ley Org</w:t>
      </w:r>
      <w:r>
        <w:rPr>
          <w:rFonts w:cs="Times New Roman"/>
          <w:spacing w:val="-3"/>
          <w:sz w:val="18"/>
          <w:szCs w:val="18"/>
          <w:lang w:val="es-ES_tradnl"/>
        </w:rPr>
        <w:t>á</w:t>
      </w:r>
      <w:r>
        <w:rPr>
          <w:spacing w:val="-3"/>
          <w:sz w:val="18"/>
          <w:szCs w:val="18"/>
          <w:lang w:val="es-ES_tradnl"/>
        </w:rPr>
        <w:t xml:space="preserve">nica de Servicio Civil y Carrera Administrativa </w:t>
      </w:r>
      <w:r>
        <w:rPr>
          <w:spacing w:val="-7"/>
          <w:sz w:val="18"/>
          <w:szCs w:val="18"/>
          <w:lang w:val="es-ES_tradnl"/>
        </w:rPr>
        <w:t>(LOSSCA), habi</w:t>
      </w:r>
      <w:r>
        <w:rPr>
          <w:rFonts w:cs="Times New Roman"/>
          <w:spacing w:val="-7"/>
          <w:sz w:val="18"/>
          <w:szCs w:val="18"/>
          <w:lang w:val="es-ES_tradnl"/>
        </w:rPr>
        <w:t>é</w:t>
      </w:r>
      <w:r>
        <w:rPr>
          <w:spacing w:val="-7"/>
          <w:sz w:val="18"/>
          <w:szCs w:val="18"/>
          <w:lang w:val="es-ES_tradnl"/>
        </w:rPr>
        <w:t xml:space="preserve">ndosele cancelado los valores que en </w:t>
      </w:r>
      <w:r>
        <w:rPr>
          <w:sz w:val="18"/>
          <w:szCs w:val="18"/>
          <w:lang w:val="es-ES_tradnl"/>
        </w:rPr>
        <w:t>derecho le correspond</w:t>
      </w:r>
      <w:r>
        <w:rPr>
          <w:rFonts w:cs="Times New Roman"/>
          <w:sz w:val="18"/>
          <w:szCs w:val="18"/>
          <w:lang w:val="es-ES_tradnl"/>
        </w:rPr>
        <w:t>í</w:t>
      </w:r>
      <w:r>
        <w:rPr>
          <w:sz w:val="18"/>
          <w:szCs w:val="18"/>
          <w:lang w:val="es-ES_tradnl"/>
        </w:rPr>
        <w:t>an.</w:t>
      </w:r>
    </w:p>
    <w:p w14:paraId="4F67ABD7" w14:textId="77777777" w:rsidR="00591D54" w:rsidRDefault="00591D54">
      <w:pPr>
        <w:shd w:val="clear" w:color="auto" w:fill="FFFFFF"/>
        <w:spacing w:before="192" w:line="216" w:lineRule="exact"/>
        <w:ind w:right="5"/>
        <w:jc w:val="both"/>
      </w:pPr>
      <w:r>
        <w:rPr>
          <w:spacing w:val="-10"/>
          <w:sz w:val="18"/>
          <w:szCs w:val="18"/>
          <w:lang w:val="es-ES_tradnl"/>
        </w:rPr>
        <w:t>Emilio Vicente D</w:t>
      </w:r>
      <w:r>
        <w:rPr>
          <w:rFonts w:cs="Times New Roman"/>
          <w:spacing w:val="-10"/>
          <w:sz w:val="18"/>
          <w:szCs w:val="18"/>
          <w:lang w:val="es-ES_tradnl"/>
        </w:rPr>
        <w:t>í</w:t>
      </w:r>
      <w:r>
        <w:rPr>
          <w:spacing w:val="-10"/>
          <w:sz w:val="18"/>
          <w:szCs w:val="18"/>
          <w:lang w:val="es-ES_tradnl"/>
        </w:rPr>
        <w:t>az Ter</w:t>
      </w:r>
      <w:r>
        <w:rPr>
          <w:rFonts w:cs="Times New Roman"/>
          <w:spacing w:val="-10"/>
          <w:sz w:val="18"/>
          <w:szCs w:val="18"/>
          <w:lang w:val="es-ES_tradnl"/>
        </w:rPr>
        <w:t>á</w:t>
      </w:r>
      <w:r>
        <w:rPr>
          <w:spacing w:val="-10"/>
          <w:sz w:val="18"/>
          <w:szCs w:val="18"/>
          <w:lang w:val="es-ES_tradnl"/>
        </w:rPr>
        <w:t>n present</w:t>
      </w:r>
      <w:r>
        <w:rPr>
          <w:rFonts w:cs="Times New Roman"/>
          <w:spacing w:val="-10"/>
          <w:sz w:val="18"/>
          <w:szCs w:val="18"/>
          <w:lang w:val="es-ES_tradnl"/>
        </w:rPr>
        <w:t>ó</w:t>
      </w:r>
      <w:r>
        <w:rPr>
          <w:spacing w:val="-10"/>
          <w:sz w:val="18"/>
          <w:szCs w:val="18"/>
          <w:lang w:val="es-ES_tradnl"/>
        </w:rPr>
        <w:t xml:space="preserve"> petitorio en la Secretar</w:t>
      </w:r>
      <w:r>
        <w:rPr>
          <w:rFonts w:cs="Times New Roman"/>
          <w:spacing w:val="-10"/>
          <w:sz w:val="18"/>
          <w:szCs w:val="18"/>
          <w:lang w:val="es-ES_tradnl"/>
        </w:rPr>
        <w:t>í</w:t>
      </w:r>
      <w:r>
        <w:rPr>
          <w:spacing w:val="-10"/>
          <w:sz w:val="18"/>
          <w:szCs w:val="18"/>
          <w:lang w:val="es-ES_tradnl"/>
        </w:rPr>
        <w:t xml:space="preserve">a </w:t>
      </w:r>
      <w:r>
        <w:rPr>
          <w:spacing w:val="-5"/>
          <w:sz w:val="18"/>
          <w:szCs w:val="18"/>
          <w:lang w:val="es-ES_tradnl"/>
        </w:rPr>
        <w:t>General del Municipio de Mocache, el 10 de febrero del 2010 (fecha en la que se le notific</w:t>
      </w:r>
      <w:r>
        <w:rPr>
          <w:rFonts w:cs="Times New Roman"/>
          <w:spacing w:val="-5"/>
          <w:sz w:val="18"/>
          <w:szCs w:val="18"/>
          <w:lang w:val="es-ES_tradnl"/>
        </w:rPr>
        <w:t>ó</w:t>
      </w:r>
      <w:r>
        <w:rPr>
          <w:spacing w:val="-5"/>
          <w:sz w:val="18"/>
          <w:szCs w:val="18"/>
          <w:lang w:val="es-ES_tradnl"/>
        </w:rPr>
        <w:t xml:space="preserve"> con la resoluci</w:t>
      </w:r>
      <w:r>
        <w:rPr>
          <w:rFonts w:cs="Times New Roman"/>
          <w:spacing w:val="-5"/>
          <w:sz w:val="18"/>
          <w:szCs w:val="18"/>
          <w:lang w:val="es-ES_tradnl"/>
        </w:rPr>
        <w:t>ó</w:t>
      </w:r>
      <w:r>
        <w:rPr>
          <w:spacing w:val="-5"/>
          <w:sz w:val="18"/>
          <w:szCs w:val="18"/>
          <w:lang w:val="es-ES_tradnl"/>
        </w:rPr>
        <w:t xml:space="preserve">n), </w:t>
      </w:r>
      <w:r>
        <w:rPr>
          <w:spacing w:val="-3"/>
          <w:sz w:val="18"/>
          <w:szCs w:val="18"/>
          <w:lang w:val="es-ES_tradnl"/>
        </w:rPr>
        <w:t>solicitaba documentaci</w:t>
      </w:r>
      <w:r>
        <w:rPr>
          <w:rFonts w:cs="Times New Roman"/>
          <w:spacing w:val="-3"/>
          <w:sz w:val="18"/>
          <w:szCs w:val="18"/>
          <w:lang w:val="es-ES_tradnl"/>
        </w:rPr>
        <w:t>ó</w:t>
      </w:r>
      <w:r>
        <w:rPr>
          <w:spacing w:val="-3"/>
          <w:sz w:val="18"/>
          <w:szCs w:val="18"/>
          <w:lang w:val="es-ES_tradnl"/>
        </w:rPr>
        <w:t>n que seg</w:t>
      </w:r>
      <w:r>
        <w:rPr>
          <w:rFonts w:cs="Times New Roman"/>
          <w:spacing w:val="-3"/>
          <w:sz w:val="18"/>
          <w:szCs w:val="18"/>
          <w:lang w:val="es-ES_tradnl"/>
        </w:rPr>
        <w:t>ú</w:t>
      </w:r>
      <w:r>
        <w:rPr>
          <w:spacing w:val="-3"/>
          <w:sz w:val="18"/>
          <w:szCs w:val="18"/>
          <w:lang w:val="es-ES_tradnl"/>
        </w:rPr>
        <w:t xml:space="preserve">n </w:t>
      </w:r>
      <w:r>
        <w:rPr>
          <w:rFonts w:cs="Times New Roman"/>
          <w:spacing w:val="-3"/>
          <w:sz w:val="18"/>
          <w:szCs w:val="18"/>
          <w:lang w:val="es-ES_tradnl"/>
        </w:rPr>
        <w:t>é</w:t>
      </w:r>
      <w:r>
        <w:rPr>
          <w:spacing w:val="-3"/>
          <w:sz w:val="18"/>
          <w:szCs w:val="18"/>
          <w:lang w:val="es-ES_tradnl"/>
        </w:rPr>
        <w:t xml:space="preserve">l era </w:t>
      </w:r>
      <w:r>
        <w:rPr>
          <w:rFonts w:cs="Times New Roman"/>
          <w:spacing w:val="-3"/>
          <w:sz w:val="18"/>
          <w:szCs w:val="18"/>
          <w:lang w:val="es-ES_tradnl"/>
        </w:rPr>
        <w:t>“</w:t>
      </w:r>
      <w:r>
        <w:rPr>
          <w:spacing w:val="-3"/>
          <w:sz w:val="18"/>
          <w:szCs w:val="18"/>
          <w:lang w:val="es-ES_tradnl"/>
        </w:rPr>
        <w:t>inherente</w:t>
      </w:r>
      <w:r>
        <w:rPr>
          <w:rFonts w:cs="Times New Roman"/>
          <w:spacing w:val="-3"/>
          <w:sz w:val="18"/>
          <w:szCs w:val="18"/>
          <w:lang w:val="es-ES_tradnl"/>
        </w:rPr>
        <w:t>”</w:t>
      </w:r>
      <w:r>
        <w:rPr>
          <w:spacing w:val="-3"/>
          <w:sz w:val="18"/>
          <w:szCs w:val="18"/>
          <w:lang w:val="es-ES_tradnl"/>
        </w:rPr>
        <w:t xml:space="preserve">; </w:t>
      </w:r>
      <w:r>
        <w:rPr>
          <w:spacing w:val="-8"/>
          <w:sz w:val="18"/>
          <w:szCs w:val="18"/>
          <w:lang w:val="es-ES_tradnl"/>
        </w:rPr>
        <w:t xml:space="preserve">sin embargo, </w:t>
      </w:r>
      <w:r>
        <w:rPr>
          <w:rFonts w:cs="Times New Roman"/>
          <w:spacing w:val="-8"/>
          <w:sz w:val="18"/>
          <w:szCs w:val="18"/>
          <w:lang w:val="es-ES_tradnl"/>
        </w:rPr>
        <w:t>“</w:t>
      </w:r>
      <w:r>
        <w:rPr>
          <w:spacing w:val="-8"/>
          <w:sz w:val="18"/>
          <w:szCs w:val="18"/>
          <w:lang w:val="es-ES_tradnl"/>
        </w:rPr>
        <w:t>(</w:t>
      </w:r>
      <w:r>
        <w:rPr>
          <w:rFonts w:cs="Times New Roman"/>
          <w:spacing w:val="-8"/>
          <w:sz w:val="18"/>
          <w:szCs w:val="18"/>
          <w:lang w:val="es-ES_tradnl"/>
        </w:rPr>
        <w:t>…</w:t>
      </w:r>
      <w:r>
        <w:rPr>
          <w:spacing w:val="-8"/>
          <w:sz w:val="18"/>
          <w:szCs w:val="18"/>
          <w:lang w:val="es-ES_tradnl"/>
        </w:rPr>
        <w:t>) deb</w:t>
      </w:r>
      <w:r>
        <w:rPr>
          <w:rFonts w:cs="Times New Roman"/>
          <w:spacing w:val="-8"/>
          <w:sz w:val="18"/>
          <w:szCs w:val="18"/>
          <w:lang w:val="es-ES_tradnl"/>
        </w:rPr>
        <w:t>í</w:t>
      </w:r>
      <w:r>
        <w:rPr>
          <w:spacing w:val="-8"/>
          <w:sz w:val="18"/>
          <w:szCs w:val="18"/>
          <w:lang w:val="es-ES_tradnl"/>
        </w:rPr>
        <w:t>a esperar 15 d</w:t>
      </w:r>
      <w:r>
        <w:rPr>
          <w:rFonts w:cs="Times New Roman"/>
          <w:spacing w:val="-8"/>
          <w:sz w:val="18"/>
          <w:szCs w:val="18"/>
          <w:lang w:val="es-ES_tradnl"/>
        </w:rPr>
        <w:t>í</w:t>
      </w:r>
      <w:r>
        <w:rPr>
          <w:spacing w:val="-8"/>
          <w:sz w:val="18"/>
          <w:szCs w:val="18"/>
          <w:lang w:val="es-ES_tradnl"/>
        </w:rPr>
        <w:t xml:space="preserve">as que establece el </w:t>
      </w:r>
      <w:r>
        <w:rPr>
          <w:spacing w:val="-5"/>
          <w:sz w:val="18"/>
          <w:szCs w:val="18"/>
          <w:lang w:val="es-ES_tradnl"/>
        </w:rPr>
        <w:t>art</w:t>
      </w:r>
      <w:r>
        <w:rPr>
          <w:rFonts w:cs="Times New Roman"/>
          <w:spacing w:val="-5"/>
          <w:sz w:val="18"/>
          <w:szCs w:val="18"/>
          <w:lang w:val="es-ES_tradnl"/>
        </w:rPr>
        <w:t>í</w:t>
      </w:r>
      <w:r>
        <w:rPr>
          <w:spacing w:val="-5"/>
          <w:sz w:val="18"/>
          <w:szCs w:val="18"/>
          <w:lang w:val="es-ES_tradnl"/>
        </w:rPr>
        <w:t>culo 28 de la Ley de Modernizaci</w:t>
      </w:r>
      <w:r>
        <w:rPr>
          <w:rFonts w:cs="Times New Roman"/>
          <w:spacing w:val="-5"/>
          <w:sz w:val="18"/>
          <w:szCs w:val="18"/>
          <w:lang w:val="es-ES_tradnl"/>
        </w:rPr>
        <w:t>ó</w:t>
      </w:r>
      <w:r>
        <w:rPr>
          <w:spacing w:val="-5"/>
          <w:sz w:val="18"/>
          <w:szCs w:val="18"/>
          <w:lang w:val="es-ES_tradnl"/>
        </w:rPr>
        <w:t xml:space="preserve">n y si acaso no se </w:t>
      </w:r>
      <w:r>
        <w:rPr>
          <w:spacing w:val="-9"/>
          <w:sz w:val="18"/>
          <w:szCs w:val="18"/>
          <w:lang w:val="es-ES_tradnl"/>
        </w:rPr>
        <w:t xml:space="preserve">hubiera despachado dentro de ese tiempo, en ese instante </w:t>
      </w:r>
      <w:r>
        <w:rPr>
          <w:spacing w:val="-5"/>
          <w:sz w:val="18"/>
          <w:szCs w:val="18"/>
          <w:lang w:val="es-ES_tradnl"/>
        </w:rPr>
        <w:t>recurrir ante el juez y solicitar H</w:t>
      </w:r>
      <w:r>
        <w:rPr>
          <w:rFonts w:cs="Times New Roman"/>
          <w:spacing w:val="-5"/>
          <w:sz w:val="18"/>
          <w:szCs w:val="18"/>
          <w:lang w:val="es-ES_tradnl"/>
        </w:rPr>
        <w:t>á</w:t>
      </w:r>
      <w:r>
        <w:rPr>
          <w:spacing w:val="-5"/>
          <w:sz w:val="18"/>
          <w:szCs w:val="18"/>
          <w:lang w:val="es-ES_tradnl"/>
        </w:rPr>
        <w:t xml:space="preserve">beas Data, tal como lo </w:t>
      </w:r>
      <w:r>
        <w:rPr>
          <w:sz w:val="18"/>
          <w:szCs w:val="18"/>
          <w:lang w:val="es-ES_tradnl"/>
        </w:rPr>
        <w:t>se</w:t>
      </w:r>
      <w:r>
        <w:rPr>
          <w:rFonts w:cs="Times New Roman"/>
          <w:sz w:val="18"/>
          <w:szCs w:val="18"/>
          <w:lang w:val="es-ES_tradnl"/>
        </w:rPr>
        <w:t>ñ</w:t>
      </w:r>
      <w:r>
        <w:rPr>
          <w:sz w:val="18"/>
          <w:szCs w:val="18"/>
          <w:lang w:val="es-ES_tradnl"/>
        </w:rPr>
        <w:t>ala el art. 92 de la Constituci</w:t>
      </w:r>
      <w:r>
        <w:rPr>
          <w:rFonts w:cs="Times New Roman"/>
          <w:sz w:val="18"/>
          <w:szCs w:val="18"/>
          <w:lang w:val="es-ES_tradnl"/>
        </w:rPr>
        <w:t>ó</w:t>
      </w:r>
      <w:r>
        <w:rPr>
          <w:sz w:val="18"/>
          <w:szCs w:val="18"/>
          <w:lang w:val="es-ES_tradnl"/>
        </w:rPr>
        <w:t>n</w:t>
      </w:r>
      <w:r>
        <w:rPr>
          <w:rFonts w:cs="Times New Roman"/>
          <w:sz w:val="18"/>
          <w:szCs w:val="18"/>
          <w:lang w:val="es-ES_tradnl"/>
        </w:rPr>
        <w:t>”</w:t>
      </w:r>
      <w:r>
        <w:rPr>
          <w:sz w:val="18"/>
          <w:szCs w:val="18"/>
          <w:lang w:val="es-ES_tradnl"/>
        </w:rPr>
        <w:t>.</w:t>
      </w:r>
    </w:p>
    <w:p w14:paraId="4F67ABD8" w14:textId="77777777" w:rsidR="00591D54" w:rsidRDefault="00591D54">
      <w:pPr>
        <w:shd w:val="clear" w:color="auto" w:fill="FFFFFF"/>
        <w:spacing w:before="192" w:line="216" w:lineRule="exact"/>
        <w:ind w:right="5"/>
        <w:jc w:val="both"/>
      </w:pPr>
      <w:r>
        <w:rPr>
          <w:spacing w:val="-8"/>
          <w:sz w:val="18"/>
          <w:szCs w:val="18"/>
          <w:lang w:val="es-ES_tradnl"/>
        </w:rPr>
        <w:t>A criterio de los accionantes, la Corte Provincial de Justicia de Los R</w:t>
      </w:r>
      <w:r>
        <w:rPr>
          <w:rFonts w:cs="Times New Roman"/>
          <w:spacing w:val="-8"/>
          <w:sz w:val="18"/>
          <w:szCs w:val="18"/>
          <w:lang w:val="es-ES_tradnl"/>
        </w:rPr>
        <w:t>í</w:t>
      </w:r>
      <w:r>
        <w:rPr>
          <w:spacing w:val="-8"/>
          <w:sz w:val="18"/>
          <w:szCs w:val="18"/>
          <w:lang w:val="es-ES_tradnl"/>
        </w:rPr>
        <w:t>os se</w:t>
      </w:r>
      <w:r>
        <w:rPr>
          <w:rFonts w:cs="Times New Roman"/>
          <w:spacing w:val="-8"/>
          <w:sz w:val="18"/>
          <w:szCs w:val="18"/>
          <w:lang w:val="es-ES_tradnl"/>
        </w:rPr>
        <w:t>ñ</w:t>
      </w:r>
      <w:r>
        <w:rPr>
          <w:spacing w:val="-8"/>
          <w:sz w:val="18"/>
          <w:szCs w:val="18"/>
          <w:lang w:val="es-ES_tradnl"/>
        </w:rPr>
        <w:t>ala que de la vulneraci</w:t>
      </w:r>
      <w:r>
        <w:rPr>
          <w:rFonts w:cs="Times New Roman"/>
          <w:spacing w:val="-8"/>
          <w:sz w:val="18"/>
          <w:szCs w:val="18"/>
          <w:lang w:val="es-ES_tradnl"/>
        </w:rPr>
        <w:t>ó</w:t>
      </w:r>
      <w:r>
        <w:rPr>
          <w:spacing w:val="-8"/>
          <w:sz w:val="18"/>
          <w:szCs w:val="18"/>
          <w:lang w:val="es-ES_tradnl"/>
        </w:rPr>
        <w:t xml:space="preserve">n de derechos se </w:t>
      </w:r>
      <w:r>
        <w:rPr>
          <w:spacing w:val="-7"/>
          <w:sz w:val="18"/>
          <w:szCs w:val="18"/>
          <w:lang w:val="es-ES_tradnl"/>
        </w:rPr>
        <w:t xml:space="preserve">produjo por cuanto </w:t>
      </w:r>
      <w:r>
        <w:rPr>
          <w:rFonts w:cs="Times New Roman"/>
          <w:spacing w:val="-7"/>
          <w:sz w:val="18"/>
          <w:szCs w:val="18"/>
          <w:lang w:val="es-ES_tradnl"/>
        </w:rPr>
        <w:t>“</w:t>
      </w:r>
      <w:r>
        <w:rPr>
          <w:spacing w:val="-7"/>
          <w:sz w:val="18"/>
          <w:szCs w:val="18"/>
          <w:lang w:val="es-ES_tradnl"/>
        </w:rPr>
        <w:t xml:space="preserve">el demandante no espera (como lo </w:t>
      </w:r>
      <w:r>
        <w:rPr>
          <w:spacing w:val="-10"/>
          <w:sz w:val="18"/>
          <w:szCs w:val="18"/>
          <w:lang w:val="es-ES_tradnl"/>
        </w:rPr>
        <w:t>debemos hacer todos) que decurrieran los t</w:t>
      </w:r>
      <w:r>
        <w:rPr>
          <w:rFonts w:cs="Times New Roman"/>
          <w:spacing w:val="-10"/>
          <w:sz w:val="18"/>
          <w:szCs w:val="18"/>
          <w:lang w:val="es-ES_tradnl"/>
        </w:rPr>
        <w:t>é</w:t>
      </w:r>
      <w:r>
        <w:rPr>
          <w:spacing w:val="-10"/>
          <w:sz w:val="18"/>
          <w:szCs w:val="18"/>
          <w:lang w:val="es-ES_tradnl"/>
        </w:rPr>
        <w:t>rminos y plazos que dicta la ley que se debe esperar para ser atendidos, sino</w:t>
      </w:r>
    </w:p>
    <w:p w14:paraId="4F67ABD9" w14:textId="77777777" w:rsidR="00591D54" w:rsidRDefault="00591D54">
      <w:pPr>
        <w:shd w:val="clear" w:color="auto" w:fill="FFFFFF"/>
        <w:spacing w:before="192" w:line="216" w:lineRule="exact"/>
        <w:ind w:right="5"/>
        <w:jc w:val="both"/>
        <w:sectPr w:rsidR="00591D54">
          <w:type w:val="continuous"/>
          <w:pgSz w:w="11909" w:h="16834"/>
          <w:pgMar w:top="1373" w:right="1304" w:bottom="360" w:left="1308" w:header="720" w:footer="720" w:gutter="0"/>
          <w:cols w:num="2" w:space="720" w:equalWidth="0">
            <w:col w:w="4305" w:space="682"/>
            <w:col w:w="4310"/>
          </w:cols>
          <w:noEndnote/>
        </w:sectPr>
      </w:pPr>
    </w:p>
    <w:p w14:paraId="4F67ABDA" w14:textId="77777777" w:rsidR="00591D54" w:rsidRDefault="00591D54">
      <w:pPr>
        <w:shd w:val="clear" w:color="auto" w:fill="FFFFFF"/>
        <w:tabs>
          <w:tab w:val="left" w:pos="4814"/>
        </w:tabs>
        <w:spacing w:after="235"/>
        <w:ind w:left="14"/>
      </w:pPr>
      <w:r>
        <w:rPr>
          <w:b/>
          <w:bCs/>
          <w:sz w:val="18"/>
          <w:szCs w:val="18"/>
          <w:lang w:val="es-ES_tradnl"/>
        </w:rPr>
        <w:t xml:space="preserve">102 -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BDB" w14:textId="77777777" w:rsidR="00591D54" w:rsidRDefault="00591D54">
      <w:pPr>
        <w:shd w:val="clear" w:color="auto" w:fill="FFFFFF"/>
        <w:tabs>
          <w:tab w:val="left" w:pos="4814"/>
        </w:tabs>
        <w:spacing w:after="235"/>
        <w:ind w:left="14"/>
        <w:sectPr w:rsidR="00591D54">
          <w:pgSz w:w="11909" w:h="16834"/>
          <w:pgMar w:top="1371" w:right="1309" w:bottom="360" w:left="1308" w:header="720" w:footer="720" w:gutter="0"/>
          <w:cols w:space="60"/>
          <w:noEndnote/>
        </w:sectPr>
      </w:pPr>
    </w:p>
    <w:p w14:paraId="4F67ABDC" w14:textId="77777777" w:rsidR="00591D54" w:rsidRDefault="00591D54">
      <w:pPr>
        <w:shd w:val="clear" w:color="auto" w:fill="FFFFFF"/>
        <w:spacing w:line="216" w:lineRule="exact"/>
        <w:jc w:val="both"/>
      </w:pPr>
      <w:r>
        <w:rPr>
          <w:spacing w:val="-9"/>
          <w:sz w:val="18"/>
          <w:szCs w:val="18"/>
          <w:lang w:val="es-ES_tradnl"/>
        </w:rPr>
        <w:t>que en su apresuramiento hace que el juez 14 de lo Civil de Los R</w:t>
      </w:r>
      <w:r>
        <w:rPr>
          <w:rFonts w:cs="Times New Roman"/>
          <w:spacing w:val="-9"/>
          <w:sz w:val="18"/>
          <w:szCs w:val="18"/>
          <w:lang w:val="es-ES_tradnl"/>
        </w:rPr>
        <w:t>í</w:t>
      </w:r>
      <w:r>
        <w:rPr>
          <w:spacing w:val="-9"/>
          <w:sz w:val="18"/>
          <w:szCs w:val="18"/>
          <w:lang w:val="es-ES_tradnl"/>
        </w:rPr>
        <w:t>os y la Sala Penal de la Corte de Justicia de Los R</w:t>
      </w:r>
      <w:r>
        <w:rPr>
          <w:rFonts w:cs="Times New Roman"/>
          <w:spacing w:val="-9"/>
          <w:sz w:val="18"/>
          <w:szCs w:val="18"/>
          <w:lang w:val="es-ES_tradnl"/>
        </w:rPr>
        <w:t>í</w:t>
      </w:r>
      <w:r>
        <w:rPr>
          <w:spacing w:val="-9"/>
          <w:sz w:val="18"/>
          <w:szCs w:val="18"/>
          <w:lang w:val="es-ES_tradnl"/>
        </w:rPr>
        <w:t xml:space="preserve">os </w:t>
      </w:r>
      <w:r>
        <w:rPr>
          <w:spacing w:val="-3"/>
          <w:sz w:val="18"/>
          <w:szCs w:val="18"/>
          <w:lang w:val="es-ES_tradnl"/>
        </w:rPr>
        <w:t>apliquen el art</w:t>
      </w:r>
      <w:r>
        <w:rPr>
          <w:rFonts w:cs="Times New Roman"/>
          <w:spacing w:val="-3"/>
          <w:sz w:val="18"/>
          <w:szCs w:val="18"/>
          <w:lang w:val="es-ES_tradnl"/>
        </w:rPr>
        <w:t>í</w:t>
      </w:r>
      <w:r>
        <w:rPr>
          <w:spacing w:val="-3"/>
          <w:sz w:val="18"/>
          <w:szCs w:val="18"/>
          <w:lang w:val="es-ES_tradnl"/>
        </w:rPr>
        <w:t>culo 92 (ib</w:t>
      </w:r>
      <w:r>
        <w:rPr>
          <w:rFonts w:cs="Times New Roman"/>
          <w:spacing w:val="-3"/>
          <w:sz w:val="18"/>
          <w:szCs w:val="18"/>
          <w:lang w:val="es-ES_tradnl"/>
        </w:rPr>
        <w:t>í</w:t>
      </w:r>
      <w:r>
        <w:rPr>
          <w:spacing w:val="-3"/>
          <w:sz w:val="18"/>
          <w:szCs w:val="18"/>
          <w:lang w:val="es-ES_tradnl"/>
        </w:rPr>
        <w:t>dem) porque el art</w:t>
      </w:r>
      <w:r>
        <w:rPr>
          <w:rFonts w:cs="Times New Roman"/>
          <w:spacing w:val="-3"/>
          <w:sz w:val="18"/>
          <w:szCs w:val="18"/>
          <w:lang w:val="es-ES_tradnl"/>
        </w:rPr>
        <w:t>í</w:t>
      </w:r>
      <w:r>
        <w:rPr>
          <w:spacing w:val="-3"/>
          <w:sz w:val="18"/>
          <w:szCs w:val="18"/>
          <w:lang w:val="es-ES_tradnl"/>
        </w:rPr>
        <w:t xml:space="preserve">culo 28 de </w:t>
      </w:r>
      <w:r>
        <w:rPr>
          <w:spacing w:val="-8"/>
          <w:sz w:val="18"/>
          <w:szCs w:val="18"/>
          <w:lang w:val="es-ES_tradnl"/>
        </w:rPr>
        <w:t>la Ley de Modernizaci</w:t>
      </w:r>
      <w:r>
        <w:rPr>
          <w:rFonts w:cs="Times New Roman"/>
          <w:spacing w:val="-8"/>
          <w:sz w:val="18"/>
          <w:szCs w:val="18"/>
          <w:lang w:val="es-ES_tradnl"/>
        </w:rPr>
        <w:t>ó</w:t>
      </w:r>
      <w:r>
        <w:rPr>
          <w:spacing w:val="-8"/>
          <w:sz w:val="18"/>
          <w:szCs w:val="18"/>
          <w:lang w:val="es-ES_tradnl"/>
        </w:rPr>
        <w:t>n establece par</w:t>
      </w:r>
      <w:r>
        <w:rPr>
          <w:rFonts w:cs="Times New Roman"/>
          <w:spacing w:val="-8"/>
          <w:sz w:val="18"/>
          <w:szCs w:val="18"/>
          <w:lang w:val="es-ES_tradnl"/>
        </w:rPr>
        <w:t>á</w:t>
      </w:r>
      <w:r>
        <w:rPr>
          <w:spacing w:val="-8"/>
          <w:sz w:val="18"/>
          <w:szCs w:val="18"/>
          <w:lang w:val="es-ES_tradnl"/>
        </w:rPr>
        <w:t>metros del t</w:t>
      </w:r>
      <w:r>
        <w:rPr>
          <w:rFonts w:cs="Times New Roman"/>
          <w:spacing w:val="-8"/>
          <w:sz w:val="18"/>
          <w:szCs w:val="18"/>
          <w:lang w:val="es-ES_tradnl"/>
        </w:rPr>
        <w:t>é</w:t>
      </w:r>
      <w:r>
        <w:rPr>
          <w:spacing w:val="-8"/>
          <w:sz w:val="18"/>
          <w:szCs w:val="18"/>
          <w:lang w:val="es-ES_tradnl"/>
        </w:rPr>
        <w:t xml:space="preserve">rmino </w:t>
      </w:r>
      <w:r>
        <w:rPr>
          <w:spacing w:val="-9"/>
          <w:sz w:val="18"/>
          <w:szCs w:val="18"/>
          <w:lang w:val="es-ES_tradnl"/>
        </w:rPr>
        <w:t>en que se considere una petici</w:t>
      </w:r>
      <w:r>
        <w:rPr>
          <w:rFonts w:cs="Times New Roman"/>
          <w:spacing w:val="-9"/>
          <w:sz w:val="18"/>
          <w:szCs w:val="18"/>
          <w:lang w:val="es-ES_tradnl"/>
        </w:rPr>
        <w:t>ó</w:t>
      </w:r>
      <w:r>
        <w:rPr>
          <w:spacing w:val="-9"/>
          <w:sz w:val="18"/>
          <w:szCs w:val="18"/>
          <w:lang w:val="es-ES_tradnl"/>
        </w:rPr>
        <w:t xml:space="preserve">n negada, caso contrario no </w:t>
      </w:r>
      <w:r>
        <w:rPr>
          <w:spacing w:val="-8"/>
          <w:sz w:val="18"/>
          <w:szCs w:val="18"/>
          <w:lang w:val="es-ES_tradnl"/>
        </w:rPr>
        <w:t>deber</w:t>
      </w:r>
      <w:r>
        <w:rPr>
          <w:rFonts w:cs="Times New Roman"/>
          <w:spacing w:val="-8"/>
          <w:sz w:val="18"/>
          <w:szCs w:val="18"/>
          <w:lang w:val="es-ES_tradnl"/>
        </w:rPr>
        <w:t>í</w:t>
      </w:r>
      <w:r>
        <w:rPr>
          <w:spacing w:val="-8"/>
          <w:sz w:val="18"/>
          <w:szCs w:val="18"/>
          <w:lang w:val="es-ES_tradnl"/>
        </w:rPr>
        <w:t>a haber t</w:t>
      </w:r>
      <w:r>
        <w:rPr>
          <w:rFonts w:cs="Times New Roman"/>
          <w:spacing w:val="-8"/>
          <w:sz w:val="18"/>
          <w:szCs w:val="18"/>
          <w:lang w:val="es-ES_tradnl"/>
        </w:rPr>
        <w:t>é</w:t>
      </w:r>
      <w:r>
        <w:rPr>
          <w:spacing w:val="-8"/>
          <w:sz w:val="18"/>
          <w:szCs w:val="18"/>
          <w:lang w:val="es-ES_tradnl"/>
        </w:rPr>
        <w:t xml:space="preserve">rminos ni plazos, sino que inmediatamente </w:t>
      </w:r>
      <w:r>
        <w:rPr>
          <w:sz w:val="18"/>
          <w:szCs w:val="18"/>
          <w:lang w:val="es-ES_tradnl"/>
        </w:rPr>
        <w:t>se debe atender todo</w:t>
      </w:r>
      <w:r>
        <w:rPr>
          <w:rFonts w:cs="Times New Roman"/>
          <w:sz w:val="18"/>
          <w:szCs w:val="18"/>
          <w:lang w:val="es-ES_tradnl"/>
        </w:rPr>
        <w:t>”</w:t>
      </w:r>
      <w:r>
        <w:rPr>
          <w:sz w:val="18"/>
          <w:szCs w:val="18"/>
          <w:lang w:val="es-ES_tradnl"/>
        </w:rPr>
        <w:t>.</w:t>
      </w:r>
    </w:p>
    <w:p w14:paraId="4F67ABDD" w14:textId="77777777" w:rsidR="00591D54" w:rsidRDefault="00591D54">
      <w:pPr>
        <w:shd w:val="clear" w:color="auto" w:fill="FFFFFF"/>
        <w:spacing w:before="197" w:line="216" w:lineRule="exact"/>
        <w:jc w:val="both"/>
      </w:pPr>
      <w:r>
        <w:rPr>
          <w:spacing w:val="-8"/>
          <w:sz w:val="18"/>
          <w:szCs w:val="18"/>
          <w:lang w:val="es-ES_tradnl"/>
        </w:rPr>
        <w:t xml:space="preserve">Finalmente los accionantes solicitan que </w:t>
      </w:r>
      <w:r>
        <w:rPr>
          <w:rFonts w:cs="Times New Roman"/>
          <w:spacing w:val="-8"/>
          <w:sz w:val="18"/>
          <w:szCs w:val="18"/>
          <w:lang w:val="es-ES_tradnl"/>
        </w:rPr>
        <w:t>“</w:t>
      </w:r>
      <w:r>
        <w:rPr>
          <w:spacing w:val="-8"/>
          <w:sz w:val="18"/>
          <w:szCs w:val="18"/>
          <w:lang w:val="es-ES_tradnl"/>
        </w:rPr>
        <w:t xml:space="preserve">se deje sin efecto </w:t>
      </w:r>
      <w:r>
        <w:rPr>
          <w:spacing w:val="-6"/>
          <w:sz w:val="18"/>
          <w:szCs w:val="18"/>
          <w:lang w:val="es-ES_tradnl"/>
        </w:rPr>
        <w:t xml:space="preserve">(se revoque) la sentencia dictada dentro del juicio No. </w:t>
      </w:r>
      <w:r>
        <w:rPr>
          <w:spacing w:val="-5"/>
          <w:sz w:val="18"/>
          <w:szCs w:val="18"/>
          <w:lang w:val="es-ES_tradnl"/>
        </w:rPr>
        <w:t>12102-2010-0329 de Acci</w:t>
      </w:r>
      <w:r>
        <w:rPr>
          <w:rFonts w:cs="Times New Roman"/>
          <w:spacing w:val="-5"/>
          <w:sz w:val="18"/>
          <w:szCs w:val="18"/>
          <w:lang w:val="es-ES_tradnl"/>
        </w:rPr>
        <w:t>ó</w:t>
      </w:r>
      <w:r>
        <w:rPr>
          <w:spacing w:val="-5"/>
          <w:sz w:val="18"/>
          <w:szCs w:val="18"/>
          <w:lang w:val="es-ES_tradnl"/>
        </w:rPr>
        <w:t>n de H</w:t>
      </w:r>
      <w:r>
        <w:rPr>
          <w:rFonts w:cs="Times New Roman"/>
          <w:spacing w:val="-5"/>
          <w:sz w:val="18"/>
          <w:szCs w:val="18"/>
          <w:lang w:val="es-ES_tradnl"/>
        </w:rPr>
        <w:t>á</w:t>
      </w:r>
      <w:r>
        <w:rPr>
          <w:spacing w:val="-5"/>
          <w:sz w:val="18"/>
          <w:szCs w:val="18"/>
          <w:lang w:val="es-ES_tradnl"/>
        </w:rPr>
        <w:t xml:space="preserve">beas Data por Emilio </w:t>
      </w:r>
      <w:r>
        <w:rPr>
          <w:spacing w:val="-4"/>
          <w:sz w:val="18"/>
          <w:szCs w:val="18"/>
          <w:lang w:val="es-ES_tradnl"/>
        </w:rPr>
        <w:t>Vicente D</w:t>
      </w:r>
      <w:r>
        <w:rPr>
          <w:rFonts w:cs="Times New Roman"/>
          <w:spacing w:val="-4"/>
          <w:sz w:val="18"/>
          <w:szCs w:val="18"/>
          <w:lang w:val="es-ES_tradnl"/>
        </w:rPr>
        <w:t>í</w:t>
      </w:r>
      <w:r>
        <w:rPr>
          <w:spacing w:val="-4"/>
          <w:sz w:val="18"/>
          <w:szCs w:val="18"/>
          <w:lang w:val="es-ES_tradnl"/>
        </w:rPr>
        <w:t>az Ter</w:t>
      </w:r>
      <w:r>
        <w:rPr>
          <w:rFonts w:cs="Times New Roman"/>
          <w:spacing w:val="-4"/>
          <w:sz w:val="18"/>
          <w:szCs w:val="18"/>
          <w:lang w:val="es-ES_tradnl"/>
        </w:rPr>
        <w:t>á</w:t>
      </w:r>
      <w:r>
        <w:rPr>
          <w:spacing w:val="-4"/>
          <w:sz w:val="18"/>
          <w:szCs w:val="18"/>
          <w:lang w:val="es-ES_tradnl"/>
        </w:rPr>
        <w:t xml:space="preserve">n contra el Gobierno Municipal de </w:t>
      </w:r>
      <w:r>
        <w:rPr>
          <w:spacing w:val="-10"/>
          <w:sz w:val="18"/>
          <w:szCs w:val="18"/>
          <w:lang w:val="es-ES_tradnl"/>
        </w:rPr>
        <w:t xml:space="preserve">Mocache, el 27 de agosto de 2010, a las 09h18 y notificada </w:t>
      </w:r>
      <w:r>
        <w:rPr>
          <w:spacing w:val="-7"/>
          <w:sz w:val="18"/>
          <w:szCs w:val="18"/>
          <w:lang w:val="es-ES_tradnl"/>
        </w:rPr>
        <w:t xml:space="preserve">en la misma fecha, por parte de los jueces provinciales de </w:t>
      </w:r>
      <w:r>
        <w:rPr>
          <w:spacing w:val="-8"/>
          <w:sz w:val="18"/>
          <w:szCs w:val="18"/>
          <w:lang w:val="es-ES_tradnl"/>
        </w:rPr>
        <w:t xml:space="preserve">la Sala de lo Penal de la Corte Provincial de Justicia de Los </w:t>
      </w:r>
      <w:r>
        <w:rPr>
          <w:sz w:val="18"/>
          <w:szCs w:val="18"/>
          <w:lang w:val="es-ES_tradnl"/>
        </w:rPr>
        <w:t>R</w:t>
      </w:r>
      <w:r>
        <w:rPr>
          <w:rFonts w:cs="Times New Roman"/>
          <w:sz w:val="18"/>
          <w:szCs w:val="18"/>
          <w:lang w:val="es-ES_tradnl"/>
        </w:rPr>
        <w:t>í</w:t>
      </w:r>
      <w:r>
        <w:rPr>
          <w:sz w:val="18"/>
          <w:szCs w:val="18"/>
          <w:lang w:val="es-ES_tradnl"/>
        </w:rPr>
        <w:t>os</w:t>
      </w:r>
      <w:r>
        <w:rPr>
          <w:rFonts w:cs="Times New Roman"/>
          <w:sz w:val="18"/>
          <w:szCs w:val="18"/>
          <w:lang w:val="es-ES_tradnl"/>
        </w:rPr>
        <w:t>”</w:t>
      </w:r>
      <w:r>
        <w:rPr>
          <w:sz w:val="18"/>
          <w:szCs w:val="18"/>
          <w:lang w:val="es-ES_tradnl"/>
        </w:rPr>
        <w:t>.</w:t>
      </w:r>
    </w:p>
    <w:p w14:paraId="4F67ABDE" w14:textId="77777777" w:rsidR="00591D54" w:rsidRDefault="00591D54">
      <w:pPr>
        <w:shd w:val="clear" w:color="auto" w:fill="FFFFFF"/>
        <w:spacing w:before="192"/>
      </w:pPr>
      <w:r>
        <w:rPr>
          <w:b/>
          <w:bCs/>
          <w:spacing w:val="-11"/>
          <w:sz w:val="18"/>
          <w:szCs w:val="18"/>
          <w:lang w:val="es-ES_tradnl"/>
        </w:rPr>
        <w:t>Derechos presuntamente vulnerados</w:t>
      </w:r>
    </w:p>
    <w:p w14:paraId="4F67ABDF" w14:textId="77777777" w:rsidR="00591D54" w:rsidRDefault="00591D54">
      <w:pPr>
        <w:shd w:val="clear" w:color="auto" w:fill="FFFFFF"/>
        <w:spacing w:before="192" w:line="216" w:lineRule="exact"/>
        <w:ind w:right="5"/>
        <w:jc w:val="both"/>
      </w:pPr>
      <w:r>
        <w:rPr>
          <w:spacing w:val="-4"/>
          <w:sz w:val="18"/>
          <w:szCs w:val="18"/>
          <w:lang w:val="es-ES_tradnl"/>
        </w:rPr>
        <w:t xml:space="preserve">El accionante considera que le fue vulnerado el derecho </w:t>
      </w:r>
      <w:r>
        <w:rPr>
          <w:spacing w:val="-5"/>
          <w:sz w:val="18"/>
          <w:szCs w:val="18"/>
          <w:lang w:val="es-ES_tradnl"/>
        </w:rPr>
        <w:t>a la seguridad jur</w:t>
      </w:r>
      <w:r>
        <w:rPr>
          <w:rFonts w:cs="Times New Roman"/>
          <w:spacing w:val="-5"/>
          <w:sz w:val="18"/>
          <w:szCs w:val="18"/>
          <w:lang w:val="es-ES_tradnl"/>
        </w:rPr>
        <w:t>í</w:t>
      </w:r>
      <w:r>
        <w:rPr>
          <w:spacing w:val="-5"/>
          <w:sz w:val="18"/>
          <w:szCs w:val="18"/>
          <w:lang w:val="es-ES_tradnl"/>
        </w:rPr>
        <w:t>dica previsto en el art</w:t>
      </w:r>
      <w:r>
        <w:rPr>
          <w:rFonts w:cs="Times New Roman"/>
          <w:spacing w:val="-5"/>
          <w:sz w:val="18"/>
          <w:szCs w:val="18"/>
          <w:lang w:val="es-ES_tradnl"/>
        </w:rPr>
        <w:t>í</w:t>
      </w:r>
      <w:r>
        <w:rPr>
          <w:spacing w:val="-5"/>
          <w:sz w:val="18"/>
          <w:szCs w:val="18"/>
          <w:lang w:val="es-ES_tradnl"/>
        </w:rPr>
        <w:t xml:space="preserve">culo 82 de la </w:t>
      </w:r>
      <w:r>
        <w:rPr>
          <w:spacing w:val="-7"/>
          <w:sz w:val="18"/>
          <w:szCs w:val="18"/>
          <w:lang w:val="es-ES_tradnl"/>
        </w:rPr>
        <w:t>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blica del Ecuador.</w:t>
      </w:r>
    </w:p>
    <w:p w14:paraId="4F67ABE0" w14:textId="77777777" w:rsidR="00591D54" w:rsidRDefault="00591D54">
      <w:pPr>
        <w:shd w:val="clear" w:color="auto" w:fill="FFFFFF"/>
        <w:spacing w:before="192"/>
      </w:pPr>
      <w:r>
        <w:rPr>
          <w:b/>
          <w:bCs/>
          <w:spacing w:val="-11"/>
          <w:sz w:val="18"/>
          <w:szCs w:val="18"/>
          <w:lang w:val="es-ES_tradnl"/>
        </w:rPr>
        <w:t>Pretensi</w:t>
      </w:r>
      <w:r>
        <w:rPr>
          <w:rFonts w:cs="Times New Roman"/>
          <w:b/>
          <w:bCs/>
          <w:spacing w:val="-11"/>
          <w:sz w:val="18"/>
          <w:szCs w:val="18"/>
          <w:lang w:val="es-ES_tradnl"/>
        </w:rPr>
        <w:t>ó</w:t>
      </w:r>
      <w:r>
        <w:rPr>
          <w:b/>
          <w:bCs/>
          <w:spacing w:val="-11"/>
          <w:sz w:val="18"/>
          <w:szCs w:val="18"/>
          <w:lang w:val="es-ES_tradnl"/>
        </w:rPr>
        <w:t>n concreta</w:t>
      </w:r>
    </w:p>
    <w:p w14:paraId="4F67ABE1" w14:textId="77777777" w:rsidR="00591D54" w:rsidRDefault="00591D54">
      <w:pPr>
        <w:shd w:val="clear" w:color="auto" w:fill="FFFFFF"/>
        <w:spacing w:before="192" w:line="216" w:lineRule="exact"/>
        <w:ind w:right="5"/>
        <w:jc w:val="both"/>
      </w:pPr>
      <w:r>
        <w:rPr>
          <w:spacing w:val="-5"/>
          <w:sz w:val="18"/>
          <w:szCs w:val="18"/>
          <w:lang w:val="es-ES_tradnl"/>
        </w:rPr>
        <w:t>El accionante en su demanda como pretensi</w:t>
      </w:r>
      <w:r>
        <w:rPr>
          <w:rFonts w:cs="Times New Roman"/>
          <w:spacing w:val="-5"/>
          <w:sz w:val="18"/>
          <w:szCs w:val="18"/>
          <w:lang w:val="es-ES_tradnl"/>
        </w:rPr>
        <w:t>ó</w:t>
      </w:r>
      <w:r>
        <w:rPr>
          <w:spacing w:val="-5"/>
          <w:sz w:val="18"/>
          <w:szCs w:val="18"/>
          <w:lang w:val="es-ES_tradnl"/>
        </w:rPr>
        <w:t xml:space="preserve">n solicita: </w:t>
      </w:r>
      <w:r>
        <w:rPr>
          <w:rFonts w:cs="Times New Roman"/>
          <w:spacing w:val="-6"/>
          <w:sz w:val="18"/>
          <w:szCs w:val="18"/>
          <w:lang w:val="es-ES_tradnl"/>
        </w:rPr>
        <w:t>“</w:t>
      </w:r>
      <w:r>
        <w:rPr>
          <w:spacing w:val="-6"/>
          <w:sz w:val="18"/>
          <w:szCs w:val="18"/>
          <w:lang w:val="es-ES_tradnl"/>
        </w:rPr>
        <w:t>(</w:t>
      </w:r>
      <w:r>
        <w:rPr>
          <w:rFonts w:cs="Times New Roman"/>
          <w:spacing w:val="-6"/>
          <w:sz w:val="18"/>
          <w:szCs w:val="18"/>
          <w:lang w:val="es-ES_tradnl"/>
        </w:rPr>
        <w:t>…</w:t>
      </w:r>
      <w:r>
        <w:rPr>
          <w:spacing w:val="-6"/>
          <w:sz w:val="18"/>
          <w:szCs w:val="18"/>
          <w:lang w:val="es-ES_tradnl"/>
        </w:rPr>
        <w:t xml:space="preserve">) se deje sin efecto (se revoque) la sentencia dictada </w:t>
      </w:r>
      <w:r>
        <w:rPr>
          <w:spacing w:val="-2"/>
          <w:sz w:val="18"/>
          <w:szCs w:val="18"/>
          <w:lang w:val="es-ES_tradnl"/>
        </w:rPr>
        <w:t>dentro del juicio No. 12102-2010-0329 de Acci</w:t>
      </w:r>
      <w:r>
        <w:rPr>
          <w:rFonts w:cs="Times New Roman"/>
          <w:spacing w:val="-2"/>
          <w:sz w:val="18"/>
          <w:szCs w:val="18"/>
          <w:lang w:val="es-ES_tradnl"/>
        </w:rPr>
        <w:t>ó</w:t>
      </w:r>
      <w:r>
        <w:rPr>
          <w:spacing w:val="-2"/>
          <w:sz w:val="18"/>
          <w:szCs w:val="18"/>
          <w:lang w:val="es-ES_tradnl"/>
        </w:rPr>
        <w:t xml:space="preserve">n de </w:t>
      </w:r>
      <w:r>
        <w:rPr>
          <w:spacing w:val="-5"/>
          <w:sz w:val="18"/>
          <w:szCs w:val="18"/>
          <w:lang w:val="es-ES_tradnl"/>
        </w:rPr>
        <w:t>H</w:t>
      </w:r>
      <w:r>
        <w:rPr>
          <w:rFonts w:cs="Times New Roman"/>
          <w:spacing w:val="-5"/>
          <w:sz w:val="18"/>
          <w:szCs w:val="18"/>
          <w:lang w:val="es-ES_tradnl"/>
        </w:rPr>
        <w:t>á</w:t>
      </w:r>
      <w:r>
        <w:rPr>
          <w:spacing w:val="-5"/>
          <w:sz w:val="18"/>
          <w:szCs w:val="18"/>
          <w:lang w:val="es-ES_tradnl"/>
        </w:rPr>
        <w:t>beas Data por Emilio Vicente D</w:t>
      </w:r>
      <w:r>
        <w:rPr>
          <w:rFonts w:cs="Times New Roman"/>
          <w:spacing w:val="-5"/>
          <w:sz w:val="18"/>
          <w:szCs w:val="18"/>
          <w:lang w:val="es-ES_tradnl"/>
        </w:rPr>
        <w:t>í</w:t>
      </w:r>
      <w:r>
        <w:rPr>
          <w:spacing w:val="-5"/>
          <w:sz w:val="18"/>
          <w:szCs w:val="18"/>
          <w:lang w:val="es-ES_tradnl"/>
        </w:rPr>
        <w:t>az Ter</w:t>
      </w:r>
      <w:r>
        <w:rPr>
          <w:rFonts w:cs="Times New Roman"/>
          <w:spacing w:val="-5"/>
          <w:sz w:val="18"/>
          <w:szCs w:val="18"/>
          <w:lang w:val="es-ES_tradnl"/>
        </w:rPr>
        <w:t>á</w:t>
      </w:r>
      <w:r>
        <w:rPr>
          <w:spacing w:val="-5"/>
          <w:sz w:val="18"/>
          <w:szCs w:val="18"/>
          <w:lang w:val="es-ES_tradnl"/>
        </w:rPr>
        <w:t xml:space="preserve">n contra el </w:t>
      </w:r>
      <w:r>
        <w:rPr>
          <w:spacing w:val="-7"/>
          <w:sz w:val="18"/>
          <w:szCs w:val="18"/>
          <w:lang w:val="es-ES_tradnl"/>
        </w:rPr>
        <w:t xml:space="preserve">Gobierno Municipal de Mocache, el 27 de agosto de 2010, </w:t>
      </w:r>
      <w:r>
        <w:rPr>
          <w:spacing w:val="-6"/>
          <w:sz w:val="18"/>
          <w:szCs w:val="18"/>
          <w:lang w:val="es-ES_tradnl"/>
        </w:rPr>
        <w:t xml:space="preserve">a las 09h18 y notificada en la misma fecha, por parte de </w:t>
      </w:r>
      <w:r>
        <w:rPr>
          <w:spacing w:val="-7"/>
          <w:sz w:val="18"/>
          <w:szCs w:val="18"/>
          <w:lang w:val="es-ES_tradnl"/>
        </w:rPr>
        <w:t xml:space="preserve">los jueces provinciales de la Sala de lo Penal de la Corte </w:t>
      </w:r>
      <w:r>
        <w:rPr>
          <w:sz w:val="18"/>
          <w:szCs w:val="18"/>
          <w:lang w:val="es-ES_tradnl"/>
        </w:rPr>
        <w:t>Provincial de Justicia de Los R</w:t>
      </w:r>
      <w:r>
        <w:rPr>
          <w:rFonts w:cs="Times New Roman"/>
          <w:sz w:val="18"/>
          <w:szCs w:val="18"/>
          <w:lang w:val="es-ES_tradnl"/>
        </w:rPr>
        <w:t>í</w:t>
      </w:r>
      <w:r>
        <w:rPr>
          <w:sz w:val="18"/>
          <w:szCs w:val="18"/>
          <w:lang w:val="es-ES_tradnl"/>
        </w:rPr>
        <w:t>os</w:t>
      </w:r>
      <w:r>
        <w:rPr>
          <w:rFonts w:cs="Times New Roman"/>
          <w:sz w:val="18"/>
          <w:szCs w:val="18"/>
          <w:lang w:val="es-ES_tradnl"/>
        </w:rPr>
        <w:t>”</w:t>
      </w:r>
      <w:r>
        <w:rPr>
          <w:sz w:val="18"/>
          <w:szCs w:val="18"/>
          <w:lang w:val="es-ES_tradnl"/>
        </w:rPr>
        <w:t>.</w:t>
      </w:r>
    </w:p>
    <w:p w14:paraId="4F67ABE2" w14:textId="77777777" w:rsidR="00591D54" w:rsidRDefault="00591D54">
      <w:pPr>
        <w:shd w:val="clear" w:color="auto" w:fill="FFFFFF"/>
        <w:spacing w:before="187"/>
      </w:pPr>
      <w:r>
        <w:rPr>
          <w:b/>
          <w:bCs/>
          <w:spacing w:val="-10"/>
          <w:sz w:val="18"/>
          <w:szCs w:val="18"/>
          <w:lang w:val="es-ES_tradnl"/>
        </w:rPr>
        <w:t>Contestaci</w:t>
      </w:r>
      <w:r>
        <w:rPr>
          <w:rFonts w:cs="Times New Roman"/>
          <w:b/>
          <w:bCs/>
          <w:spacing w:val="-10"/>
          <w:sz w:val="18"/>
          <w:szCs w:val="18"/>
          <w:lang w:val="es-ES_tradnl"/>
        </w:rPr>
        <w:t>ó</w:t>
      </w:r>
      <w:r>
        <w:rPr>
          <w:b/>
          <w:bCs/>
          <w:spacing w:val="-10"/>
          <w:sz w:val="18"/>
          <w:szCs w:val="18"/>
          <w:lang w:val="es-ES_tradnl"/>
        </w:rPr>
        <w:t>n a la demanda</w:t>
      </w:r>
    </w:p>
    <w:p w14:paraId="4F67ABE3" w14:textId="77777777" w:rsidR="00591D54" w:rsidRDefault="00591D54">
      <w:pPr>
        <w:shd w:val="clear" w:color="auto" w:fill="FFFFFF"/>
        <w:spacing w:before="192" w:line="216" w:lineRule="exact"/>
        <w:ind w:right="5"/>
        <w:jc w:val="both"/>
      </w:pPr>
      <w:r>
        <w:rPr>
          <w:b/>
          <w:bCs/>
          <w:spacing w:val="-8"/>
          <w:sz w:val="18"/>
          <w:szCs w:val="18"/>
          <w:lang w:val="es-ES_tradnl"/>
        </w:rPr>
        <w:t xml:space="preserve">Juezas y conjuez permanente de la Sala Especializada </w:t>
      </w:r>
      <w:r>
        <w:rPr>
          <w:b/>
          <w:bCs/>
          <w:spacing w:val="-7"/>
          <w:sz w:val="18"/>
          <w:szCs w:val="18"/>
          <w:lang w:val="es-ES_tradnl"/>
        </w:rPr>
        <w:t xml:space="preserve">de lo Penal de la Corte Penal de la Corte Provincial de </w:t>
      </w:r>
      <w:r>
        <w:rPr>
          <w:b/>
          <w:bCs/>
          <w:sz w:val="18"/>
          <w:szCs w:val="18"/>
          <w:lang w:val="es-ES_tradnl"/>
        </w:rPr>
        <w:t>Justicia de Los R</w:t>
      </w:r>
      <w:r>
        <w:rPr>
          <w:rFonts w:cs="Times New Roman"/>
          <w:b/>
          <w:bCs/>
          <w:sz w:val="18"/>
          <w:szCs w:val="18"/>
          <w:lang w:val="es-ES_tradnl"/>
        </w:rPr>
        <w:t>í</w:t>
      </w:r>
      <w:r>
        <w:rPr>
          <w:b/>
          <w:bCs/>
          <w:sz w:val="18"/>
          <w:szCs w:val="18"/>
          <w:lang w:val="es-ES_tradnl"/>
        </w:rPr>
        <w:t>os</w:t>
      </w:r>
    </w:p>
    <w:p w14:paraId="4F67ABE4" w14:textId="77777777" w:rsidR="00591D54" w:rsidRDefault="00591D54">
      <w:pPr>
        <w:shd w:val="clear" w:color="auto" w:fill="FFFFFF"/>
        <w:spacing w:before="197" w:line="216" w:lineRule="exact"/>
        <w:ind w:right="5"/>
        <w:jc w:val="both"/>
      </w:pPr>
      <w:r>
        <w:rPr>
          <w:spacing w:val="-6"/>
          <w:sz w:val="18"/>
          <w:szCs w:val="18"/>
          <w:lang w:val="es-ES_tradnl"/>
        </w:rPr>
        <w:t xml:space="preserve">Mediante escrito del 21 de febrero del 2011, la abogada </w:t>
      </w:r>
      <w:r>
        <w:rPr>
          <w:spacing w:val="-5"/>
          <w:sz w:val="18"/>
          <w:szCs w:val="18"/>
          <w:lang w:val="es-ES_tradnl"/>
        </w:rPr>
        <w:t xml:space="preserve">Nelly Saavedra Lemos, doctora Modesta Navia Vera y </w:t>
      </w:r>
      <w:r>
        <w:rPr>
          <w:spacing w:val="-7"/>
          <w:sz w:val="18"/>
          <w:szCs w:val="18"/>
          <w:lang w:val="es-ES_tradnl"/>
        </w:rPr>
        <w:t>doctor Horacio V</w:t>
      </w:r>
      <w:r>
        <w:rPr>
          <w:rFonts w:cs="Times New Roman"/>
          <w:spacing w:val="-7"/>
          <w:sz w:val="18"/>
          <w:szCs w:val="18"/>
          <w:lang w:val="es-ES_tradnl"/>
        </w:rPr>
        <w:t>á</w:t>
      </w:r>
      <w:r>
        <w:rPr>
          <w:spacing w:val="-7"/>
          <w:sz w:val="18"/>
          <w:szCs w:val="18"/>
          <w:lang w:val="es-ES_tradnl"/>
        </w:rPr>
        <w:t xml:space="preserve">sconez Bustamante, juezas provinciales </w:t>
      </w:r>
      <w:r>
        <w:rPr>
          <w:spacing w:val="-2"/>
          <w:sz w:val="18"/>
          <w:szCs w:val="18"/>
          <w:lang w:val="es-ES_tradnl"/>
        </w:rPr>
        <w:t xml:space="preserve">y conjuez permanente de la Sala Especializada de lo </w:t>
      </w:r>
      <w:r>
        <w:rPr>
          <w:spacing w:val="-6"/>
          <w:sz w:val="18"/>
          <w:szCs w:val="18"/>
          <w:lang w:val="es-ES_tradnl"/>
        </w:rPr>
        <w:t>Penal de la Corte Provincial de Justicia de Los R</w:t>
      </w:r>
      <w:r>
        <w:rPr>
          <w:rFonts w:cs="Times New Roman"/>
          <w:spacing w:val="-6"/>
          <w:sz w:val="18"/>
          <w:szCs w:val="18"/>
          <w:lang w:val="es-ES_tradnl"/>
        </w:rPr>
        <w:t>í</w:t>
      </w:r>
      <w:r>
        <w:rPr>
          <w:spacing w:val="-6"/>
          <w:sz w:val="18"/>
          <w:szCs w:val="18"/>
          <w:lang w:val="es-ES_tradnl"/>
        </w:rPr>
        <w:t xml:space="preserve">os en lo </w:t>
      </w:r>
      <w:r>
        <w:rPr>
          <w:spacing w:val="-7"/>
          <w:sz w:val="18"/>
          <w:szCs w:val="18"/>
          <w:lang w:val="es-ES_tradnl"/>
        </w:rPr>
        <w:t>principal se</w:t>
      </w:r>
      <w:r>
        <w:rPr>
          <w:rFonts w:cs="Times New Roman"/>
          <w:spacing w:val="-7"/>
          <w:sz w:val="18"/>
          <w:szCs w:val="18"/>
          <w:lang w:val="es-ES_tradnl"/>
        </w:rPr>
        <w:t>ñ</w:t>
      </w:r>
      <w:r>
        <w:rPr>
          <w:spacing w:val="-7"/>
          <w:sz w:val="18"/>
          <w:szCs w:val="18"/>
          <w:lang w:val="es-ES_tradnl"/>
        </w:rPr>
        <w:t xml:space="preserve">alan que por el correspondiente sorteo de ley </w:t>
      </w:r>
      <w:r>
        <w:rPr>
          <w:spacing w:val="-8"/>
          <w:sz w:val="18"/>
          <w:szCs w:val="18"/>
          <w:lang w:val="es-ES_tradnl"/>
        </w:rPr>
        <w:t>les correspondi</w:t>
      </w:r>
      <w:r>
        <w:rPr>
          <w:rFonts w:cs="Times New Roman"/>
          <w:spacing w:val="-8"/>
          <w:sz w:val="18"/>
          <w:szCs w:val="18"/>
          <w:lang w:val="es-ES_tradnl"/>
        </w:rPr>
        <w:t>ó</w:t>
      </w:r>
      <w:r>
        <w:rPr>
          <w:spacing w:val="-8"/>
          <w:sz w:val="18"/>
          <w:szCs w:val="18"/>
          <w:lang w:val="es-ES_tradnl"/>
        </w:rPr>
        <w:t xml:space="preserve"> conocer y resolver la apelaci</w:t>
      </w:r>
      <w:r>
        <w:rPr>
          <w:rFonts w:cs="Times New Roman"/>
          <w:spacing w:val="-8"/>
          <w:sz w:val="18"/>
          <w:szCs w:val="18"/>
          <w:lang w:val="es-ES_tradnl"/>
        </w:rPr>
        <w:t>ó</w:t>
      </w:r>
      <w:r>
        <w:rPr>
          <w:spacing w:val="-8"/>
          <w:sz w:val="18"/>
          <w:szCs w:val="18"/>
          <w:lang w:val="es-ES_tradnl"/>
        </w:rPr>
        <w:t xml:space="preserve">n propuesta </w:t>
      </w:r>
      <w:r>
        <w:rPr>
          <w:spacing w:val="-3"/>
          <w:sz w:val="18"/>
          <w:szCs w:val="18"/>
          <w:lang w:val="es-ES_tradnl"/>
        </w:rPr>
        <w:t>por el alcalde y procurador s</w:t>
      </w:r>
      <w:r>
        <w:rPr>
          <w:rFonts w:cs="Times New Roman"/>
          <w:spacing w:val="-3"/>
          <w:sz w:val="18"/>
          <w:szCs w:val="18"/>
          <w:lang w:val="es-ES_tradnl"/>
        </w:rPr>
        <w:t>í</w:t>
      </w:r>
      <w:r>
        <w:rPr>
          <w:spacing w:val="-3"/>
          <w:sz w:val="18"/>
          <w:szCs w:val="18"/>
          <w:lang w:val="es-ES_tradnl"/>
        </w:rPr>
        <w:t xml:space="preserve">ndico del Municipio de </w:t>
      </w:r>
      <w:r>
        <w:rPr>
          <w:spacing w:val="-7"/>
          <w:sz w:val="18"/>
          <w:szCs w:val="18"/>
          <w:lang w:val="es-ES_tradnl"/>
        </w:rPr>
        <w:t xml:space="preserve">Mocache, de la sentencia dictada por el juez temporal del </w:t>
      </w:r>
      <w:r>
        <w:rPr>
          <w:spacing w:val="-6"/>
          <w:sz w:val="18"/>
          <w:szCs w:val="18"/>
          <w:lang w:val="es-ES_tradnl"/>
        </w:rPr>
        <w:t>Juzgado D</w:t>
      </w:r>
      <w:r>
        <w:rPr>
          <w:rFonts w:cs="Times New Roman"/>
          <w:spacing w:val="-6"/>
          <w:sz w:val="18"/>
          <w:szCs w:val="18"/>
          <w:lang w:val="es-ES_tradnl"/>
        </w:rPr>
        <w:t>é</w:t>
      </w:r>
      <w:r>
        <w:rPr>
          <w:spacing w:val="-6"/>
          <w:sz w:val="18"/>
          <w:szCs w:val="18"/>
          <w:lang w:val="es-ES_tradnl"/>
        </w:rPr>
        <w:t>cimo Cuarto de lo Civil de Los R</w:t>
      </w:r>
      <w:r>
        <w:rPr>
          <w:rFonts w:cs="Times New Roman"/>
          <w:spacing w:val="-6"/>
          <w:sz w:val="18"/>
          <w:szCs w:val="18"/>
          <w:lang w:val="es-ES_tradnl"/>
        </w:rPr>
        <w:t>í</w:t>
      </w:r>
      <w:r>
        <w:rPr>
          <w:spacing w:val="-6"/>
          <w:sz w:val="18"/>
          <w:szCs w:val="18"/>
          <w:lang w:val="es-ES_tradnl"/>
        </w:rPr>
        <w:t xml:space="preserve">os con sede </w:t>
      </w:r>
      <w:r>
        <w:rPr>
          <w:spacing w:val="-8"/>
          <w:sz w:val="18"/>
          <w:szCs w:val="18"/>
          <w:lang w:val="es-ES_tradnl"/>
        </w:rPr>
        <w:t>en Quevedo, mediante la cual dicho juez declar</w:t>
      </w:r>
      <w:r>
        <w:rPr>
          <w:rFonts w:cs="Times New Roman"/>
          <w:spacing w:val="-8"/>
          <w:sz w:val="18"/>
          <w:szCs w:val="18"/>
          <w:lang w:val="es-ES_tradnl"/>
        </w:rPr>
        <w:t>ó</w:t>
      </w:r>
      <w:r>
        <w:rPr>
          <w:spacing w:val="-8"/>
          <w:sz w:val="18"/>
          <w:szCs w:val="18"/>
          <w:lang w:val="es-ES_tradnl"/>
        </w:rPr>
        <w:t xml:space="preserve"> con lugar </w:t>
      </w:r>
      <w:r>
        <w:rPr>
          <w:spacing w:val="-9"/>
          <w:sz w:val="18"/>
          <w:szCs w:val="18"/>
          <w:lang w:val="es-ES_tradnl"/>
        </w:rPr>
        <w:t>la acci</w:t>
      </w:r>
      <w:r>
        <w:rPr>
          <w:rFonts w:cs="Times New Roman"/>
          <w:spacing w:val="-9"/>
          <w:sz w:val="18"/>
          <w:szCs w:val="18"/>
          <w:lang w:val="es-ES_tradnl"/>
        </w:rPr>
        <w:t>ó</w:t>
      </w:r>
      <w:r>
        <w:rPr>
          <w:spacing w:val="-9"/>
          <w:sz w:val="18"/>
          <w:szCs w:val="18"/>
          <w:lang w:val="es-ES_tradnl"/>
        </w:rPr>
        <w:t>n de h</w:t>
      </w:r>
      <w:r>
        <w:rPr>
          <w:rFonts w:cs="Times New Roman"/>
          <w:spacing w:val="-9"/>
          <w:sz w:val="18"/>
          <w:szCs w:val="18"/>
          <w:lang w:val="es-ES_tradnl"/>
        </w:rPr>
        <w:t>á</w:t>
      </w:r>
      <w:r>
        <w:rPr>
          <w:spacing w:val="-9"/>
          <w:sz w:val="18"/>
          <w:szCs w:val="18"/>
          <w:lang w:val="es-ES_tradnl"/>
        </w:rPr>
        <w:t>beas data propuesta por Emilio Vicente D</w:t>
      </w:r>
      <w:r>
        <w:rPr>
          <w:rFonts w:cs="Times New Roman"/>
          <w:spacing w:val="-9"/>
          <w:sz w:val="18"/>
          <w:szCs w:val="18"/>
          <w:lang w:val="es-ES_tradnl"/>
        </w:rPr>
        <w:t>í</w:t>
      </w:r>
      <w:r>
        <w:rPr>
          <w:spacing w:val="-9"/>
          <w:sz w:val="18"/>
          <w:szCs w:val="18"/>
          <w:lang w:val="es-ES_tradnl"/>
        </w:rPr>
        <w:t xml:space="preserve">az </w:t>
      </w:r>
      <w:r>
        <w:rPr>
          <w:sz w:val="18"/>
          <w:szCs w:val="18"/>
          <w:lang w:val="es-ES_tradnl"/>
        </w:rPr>
        <w:t>Ter</w:t>
      </w:r>
      <w:r>
        <w:rPr>
          <w:rFonts w:cs="Times New Roman"/>
          <w:sz w:val="18"/>
          <w:szCs w:val="18"/>
          <w:lang w:val="es-ES_tradnl"/>
        </w:rPr>
        <w:t>á</w:t>
      </w:r>
      <w:r>
        <w:rPr>
          <w:sz w:val="18"/>
          <w:szCs w:val="18"/>
          <w:lang w:val="es-ES_tradnl"/>
        </w:rPr>
        <w:t>n.</w:t>
      </w:r>
    </w:p>
    <w:p w14:paraId="4F67ABE5" w14:textId="77777777" w:rsidR="00591D54" w:rsidRDefault="00591D54">
      <w:pPr>
        <w:shd w:val="clear" w:color="auto" w:fill="FFFFFF"/>
        <w:spacing w:before="197" w:line="216" w:lineRule="exact"/>
        <w:ind w:right="5"/>
        <w:jc w:val="both"/>
      </w:pPr>
      <w:r>
        <w:rPr>
          <w:spacing w:val="-6"/>
          <w:sz w:val="18"/>
          <w:szCs w:val="18"/>
          <w:lang w:val="es-ES_tradnl"/>
        </w:rPr>
        <w:t>Sostienen que el fallo se encuentra absolutamente fundamentado, bajo el argumento del art</w:t>
      </w:r>
      <w:r>
        <w:rPr>
          <w:rFonts w:cs="Times New Roman"/>
          <w:spacing w:val="-6"/>
          <w:sz w:val="18"/>
          <w:szCs w:val="18"/>
          <w:lang w:val="es-ES_tradnl"/>
        </w:rPr>
        <w:t>í</w:t>
      </w:r>
      <w:r>
        <w:rPr>
          <w:spacing w:val="-6"/>
          <w:sz w:val="18"/>
          <w:szCs w:val="18"/>
          <w:lang w:val="es-ES_tradnl"/>
        </w:rPr>
        <w:t xml:space="preserve">culo 92 de la </w:t>
      </w:r>
      <w:r>
        <w:rPr>
          <w:sz w:val="18"/>
          <w:szCs w:val="18"/>
          <w:lang w:val="es-ES_tradnl"/>
        </w:rPr>
        <w:t>Constituci</w:t>
      </w:r>
      <w:r>
        <w:rPr>
          <w:rFonts w:cs="Times New Roman"/>
          <w:sz w:val="18"/>
          <w:szCs w:val="18"/>
          <w:lang w:val="es-ES_tradnl"/>
        </w:rPr>
        <w:t>ó</w:t>
      </w:r>
      <w:r>
        <w:rPr>
          <w:sz w:val="18"/>
          <w:szCs w:val="18"/>
          <w:lang w:val="es-ES_tradnl"/>
        </w:rPr>
        <w:t>n.</w:t>
      </w:r>
    </w:p>
    <w:p w14:paraId="4F67ABE6" w14:textId="77777777" w:rsidR="00591D54" w:rsidRDefault="00591D54">
      <w:pPr>
        <w:shd w:val="clear" w:color="auto" w:fill="FFFFFF"/>
        <w:spacing w:before="197" w:line="216" w:lineRule="exact"/>
        <w:ind w:right="5"/>
        <w:jc w:val="both"/>
      </w:pPr>
      <w:r>
        <w:rPr>
          <w:spacing w:val="-9"/>
          <w:sz w:val="18"/>
          <w:szCs w:val="18"/>
          <w:lang w:val="es-ES_tradnl"/>
        </w:rPr>
        <w:t>Manifiestan que dicha disposici</w:t>
      </w:r>
      <w:r>
        <w:rPr>
          <w:rFonts w:cs="Times New Roman"/>
          <w:spacing w:val="-9"/>
          <w:sz w:val="18"/>
          <w:szCs w:val="18"/>
          <w:lang w:val="es-ES_tradnl"/>
        </w:rPr>
        <w:t>ó</w:t>
      </w:r>
      <w:r>
        <w:rPr>
          <w:spacing w:val="-9"/>
          <w:sz w:val="18"/>
          <w:szCs w:val="18"/>
          <w:lang w:val="es-ES_tradnl"/>
        </w:rPr>
        <w:t xml:space="preserve">n constitucional se halla en </w:t>
      </w:r>
      <w:r>
        <w:rPr>
          <w:spacing w:val="-7"/>
          <w:sz w:val="18"/>
          <w:szCs w:val="18"/>
          <w:lang w:val="es-ES_tradnl"/>
        </w:rPr>
        <w:t>concordancia directa con el art</w:t>
      </w:r>
      <w:r>
        <w:rPr>
          <w:rFonts w:cs="Times New Roman"/>
          <w:spacing w:val="-7"/>
          <w:sz w:val="18"/>
          <w:szCs w:val="18"/>
          <w:lang w:val="es-ES_tradnl"/>
        </w:rPr>
        <w:t>í</w:t>
      </w:r>
      <w:r>
        <w:rPr>
          <w:spacing w:val="-7"/>
          <w:sz w:val="18"/>
          <w:szCs w:val="18"/>
          <w:lang w:val="es-ES_tradnl"/>
        </w:rPr>
        <w:t>culo 50 de la Ley Org</w:t>
      </w:r>
      <w:r>
        <w:rPr>
          <w:rFonts w:cs="Times New Roman"/>
          <w:spacing w:val="-7"/>
          <w:sz w:val="18"/>
          <w:szCs w:val="18"/>
          <w:lang w:val="es-ES_tradnl"/>
        </w:rPr>
        <w:t>á</w:t>
      </w:r>
      <w:r>
        <w:rPr>
          <w:spacing w:val="-7"/>
          <w:sz w:val="18"/>
          <w:szCs w:val="18"/>
          <w:lang w:val="es-ES_tradnl"/>
        </w:rPr>
        <w:t>nica de Garant</w:t>
      </w:r>
      <w:r>
        <w:rPr>
          <w:rFonts w:cs="Times New Roman"/>
          <w:spacing w:val="-7"/>
          <w:sz w:val="18"/>
          <w:szCs w:val="18"/>
          <w:lang w:val="es-ES_tradnl"/>
        </w:rPr>
        <w:t>í</w:t>
      </w:r>
      <w:r>
        <w:rPr>
          <w:spacing w:val="-7"/>
          <w:sz w:val="18"/>
          <w:szCs w:val="18"/>
          <w:lang w:val="es-ES_tradnl"/>
        </w:rPr>
        <w:t xml:space="preserve">as Jurisdiccionales y Control Constitucional, por </w:t>
      </w:r>
      <w:r>
        <w:rPr>
          <w:spacing w:val="-9"/>
          <w:sz w:val="18"/>
          <w:szCs w:val="18"/>
          <w:lang w:val="es-ES_tradnl"/>
        </w:rPr>
        <w:t xml:space="preserve">lo cual se rechazaron las alegaciones hechas por los ahora </w:t>
      </w:r>
      <w:r>
        <w:rPr>
          <w:spacing w:val="-7"/>
          <w:sz w:val="18"/>
          <w:szCs w:val="18"/>
          <w:lang w:val="es-ES_tradnl"/>
        </w:rPr>
        <w:t>accionantes, dada la supremac</w:t>
      </w:r>
      <w:r>
        <w:rPr>
          <w:rFonts w:cs="Times New Roman"/>
          <w:spacing w:val="-7"/>
          <w:sz w:val="18"/>
          <w:szCs w:val="18"/>
          <w:lang w:val="es-ES_tradnl"/>
        </w:rPr>
        <w:t>í</w:t>
      </w:r>
      <w:r>
        <w:rPr>
          <w:spacing w:val="-7"/>
          <w:sz w:val="18"/>
          <w:szCs w:val="18"/>
          <w:lang w:val="es-ES_tradnl"/>
        </w:rPr>
        <w:t>a de la Constituci</w:t>
      </w:r>
      <w:r>
        <w:rPr>
          <w:rFonts w:cs="Times New Roman"/>
          <w:spacing w:val="-7"/>
          <w:sz w:val="18"/>
          <w:szCs w:val="18"/>
          <w:lang w:val="es-ES_tradnl"/>
        </w:rPr>
        <w:t>ó</w:t>
      </w:r>
      <w:r>
        <w:rPr>
          <w:spacing w:val="-7"/>
          <w:sz w:val="18"/>
          <w:szCs w:val="18"/>
          <w:lang w:val="es-ES_tradnl"/>
        </w:rPr>
        <w:t>n seg</w:t>
      </w:r>
      <w:r>
        <w:rPr>
          <w:rFonts w:cs="Times New Roman"/>
          <w:spacing w:val="-7"/>
          <w:sz w:val="18"/>
          <w:szCs w:val="18"/>
          <w:lang w:val="es-ES_tradnl"/>
        </w:rPr>
        <w:t>ú</w:t>
      </w:r>
      <w:r>
        <w:rPr>
          <w:spacing w:val="-7"/>
          <w:sz w:val="18"/>
          <w:szCs w:val="18"/>
          <w:lang w:val="es-ES_tradnl"/>
        </w:rPr>
        <w:t>n</w:t>
      </w:r>
    </w:p>
    <w:p w14:paraId="4F67ABE7" w14:textId="77777777" w:rsidR="00591D54" w:rsidRDefault="00591D54">
      <w:pPr>
        <w:shd w:val="clear" w:color="auto" w:fill="FFFFFF"/>
        <w:spacing w:line="216" w:lineRule="exact"/>
        <w:jc w:val="both"/>
      </w:pPr>
      <w:r>
        <w:br w:type="column"/>
      </w:r>
      <w:r>
        <w:rPr>
          <w:spacing w:val="-8"/>
          <w:sz w:val="18"/>
          <w:szCs w:val="18"/>
          <w:lang w:val="es-ES_tradnl"/>
        </w:rPr>
        <w:t>lo dispone el art</w:t>
      </w:r>
      <w:r>
        <w:rPr>
          <w:rFonts w:cs="Times New Roman"/>
          <w:spacing w:val="-8"/>
          <w:sz w:val="18"/>
          <w:szCs w:val="18"/>
          <w:lang w:val="es-ES_tradnl"/>
        </w:rPr>
        <w:t>í</w:t>
      </w:r>
      <w:r>
        <w:rPr>
          <w:spacing w:val="-8"/>
          <w:sz w:val="18"/>
          <w:szCs w:val="18"/>
          <w:lang w:val="es-ES_tradnl"/>
        </w:rPr>
        <w:t>culo 424 de la Carta Magna, efectu</w:t>
      </w:r>
      <w:r>
        <w:rPr>
          <w:rFonts w:cs="Times New Roman"/>
          <w:spacing w:val="-8"/>
          <w:sz w:val="18"/>
          <w:szCs w:val="18"/>
          <w:lang w:val="es-ES_tradnl"/>
        </w:rPr>
        <w:t>á</w:t>
      </w:r>
      <w:r>
        <w:rPr>
          <w:spacing w:val="-8"/>
          <w:sz w:val="18"/>
          <w:szCs w:val="18"/>
          <w:lang w:val="es-ES_tradnl"/>
        </w:rPr>
        <w:t xml:space="preserve">ndose </w:t>
      </w:r>
      <w:r>
        <w:rPr>
          <w:spacing w:val="-5"/>
          <w:sz w:val="18"/>
          <w:szCs w:val="18"/>
          <w:lang w:val="es-ES_tradnl"/>
        </w:rPr>
        <w:t>en el considerando cuarto del fallo una explicaci</w:t>
      </w:r>
      <w:r>
        <w:rPr>
          <w:rFonts w:cs="Times New Roman"/>
          <w:spacing w:val="-5"/>
          <w:sz w:val="18"/>
          <w:szCs w:val="18"/>
          <w:lang w:val="es-ES_tradnl"/>
        </w:rPr>
        <w:t>ó</w:t>
      </w:r>
      <w:r>
        <w:rPr>
          <w:spacing w:val="-5"/>
          <w:sz w:val="18"/>
          <w:szCs w:val="18"/>
          <w:lang w:val="es-ES_tradnl"/>
        </w:rPr>
        <w:t xml:space="preserve">n </w:t>
      </w:r>
      <w:r>
        <w:rPr>
          <w:spacing w:val="-9"/>
          <w:sz w:val="18"/>
          <w:szCs w:val="18"/>
          <w:lang w:val="es-ES_tradnl"/>
        </w:rPr>
        <w:t>absolutamente completa, clara y jur</w:t>
      </w:r>
      <w:r>
        <w:rPr>
          <w:rFonts w:cs="Times New Roman"/>
          <w:spacing w:val="-9"/>
          <w:sz w:val="18"/>
          <w:szCs w:val="18"/>
          <w:lang w:val="es-ES_tradnl"/>
        </w:rPr>
        <w:t>í</w:t>
      </w:r>
      <w:r>
        <w:rPr>
          <w:spacing w:val="-9"/>
          <w:sz w:val="18"/>
          <w:szCs w:val="18"/>
          <w:lang w:val="es-ES_tradnl"/>
        </w:rPr>
        <w:t xml:space="preserve">dica de las razones por </w:t>
      </w:r>
      <w:r>
        <w:rPr>
          <w:spacing w:val="-8"/>
          <w:sz w:val="18"/>
          <w:szCs w:val="18"/>
          <w:lang w:val="es-ES_tradnl"/>
        </w:rPr>
        <w:t>las cuales confirmaron la sentencia de primer nivel.</w:t>
      </w:r>
    </w:p>
    <w:p w14:paraId="4F67ABE8" w14:textId="77777777" w:rsidR="00591D54" w:rsidRDefault="00591D54">
      <w:pPr>
        <w:shd w:val="clear" w:color="auto" w:fill="FFFFFF"/>
        <w:spacing w:before="197" w:line="216" w:lineRule="exact"/>
        <w:jc w:val="both"/>
      </w:pPr>
      <w:r>
        <w:rPr>
          <w:spacing w:val="-6"/>
          <w:sz w:val="18"/>
          <w:szCs w:val="18"/>
          <w:lang w:val="es-ES_tradnl"/>
        </w:rPr>
        <w:t xml:space="preserve">Manifiestan que </w:t>
      </w:r>
      <w:r>
        <w:rPr>
          <w:rFonts w:cs="Times New Roman"/>
          <w:spacing w:val="-6"/>
          <w:sz w:val="18"/>
          <w:szCs w:val="18"/>
          <w:lang w:val="es-ES_tradnl"/>
        </w:rPr>
        <w:t>“</w:t>
      </w:r>
      <w:r>
        <w:rPr>
          <w:spacing w:val="-6"/>
          <w:sz w:val="18"/>
          <w:szCs w:val="18"/>
          <w:lang w:val="es-ES_tradnl"/>
        </w:rPr>
        <w:t>de manera absurda</w:t>
      </w:r>
      <w:r>
        <w:rPr>
          <w:rFonts w:cs="Times New Roman"/>
          <w:spacing w:val="-6"/>
          <w:sz w:val="18"/>
          <w:szCs w:val="18"/>
          <w:lang w:val="es-ES_tradnl"/>
        </w:rPr>
        <w:t>”</w:t>
      </w:r>
      <w:r>
        <w:rPr>
          <w:spacing w:val="-6"/>
          <w:sz w:val="18"/>
          <w:szCs w:val="18"/>
          <w:lang w:val="es-ES_tradnl"/>
        </w:rPr>
        <w:t xml:space="preserve"> los accionantes </w:t>
      </w:r>
      <w:r>
        <w:rPr>
          <w:spacing w:val="-4"/>
          <w:sz w:val="18"/>
          <w:szCs w:val="18"/>
          <w:lang w:val="es-ES_tradnl"/>
        </w:rPr>
        <w:t xml:space="preserve">pretenden sostener que se ha violado el principio de </w:t>
      </w:r>
      <w:r>
        <w:rPr>
          <w:spacing w:val="-1"/>
          <w:sz w:val="18"/>
          <w:szCs w:val="18"/>
          <w:lang w:val="es-ES_tradnl"/>
        </w:rPr>
        <w:t>seguridad jur</w:t>
      </w:r>
      <w:r>
        <w:rPr>
          <w:rFonts w:cs="Times New Roman"/>
          <w:spacing w:val="-1"/>
          <w:sz w:val="18"/>
          <w:szCs w:val="18"/>
          <w:lang w:val="es-ES_tradnl"/>
        </w:rPr>
        <w:t>í</w:t>
      </w:r>
      <w:r>
        <w:rPr>
          <w:spacing w:val="-1"/>
          <w:sz w:val="18"/>
          <w:szCs w:val="18"/>
          <w:lang w:val="es-ES_tradnl"/>
        </w:rPr>
        <w:t xml:space="preserve">dica y debido proceso, lo cual carece en </w:t>
      </w:r>
      <w:r>
        <w:rPr>
          <w:spacing w:val="-7"/>
          <w:sz w:val="18"/>
          <w:szCs w:val="18"/>
          <w:lang w:val="es-ES_tradnl"/>
        </w:rPr>
        <w:t>lo absoluto de sustento legal y constitucional ya que la seguridad jur</w:t>
      </w:r>
      <w:r>
        <w:rPr>
          <w:rFonts w:cs="Times New Roman"/>
          <w:spacing w:val="-7"/>
          <w:sz w:val="18"/>
          <w:szCs w:val="18"/>
          <w:lang w:val="es-ES_tradnl"/>
        </w:rPr>
        <w:t>í</w:t>
      </w:r>
      <w:r>
        <w:rPr>
          <w:spacing w:val="-7"/>
          <w:sz w:val="18"/>
          <w:szCs w:val="18"/>
          <w:lang w:val="es-ES_tradnl"/>
        </w:rPr>
        <w:t xml:space="preserve">dica a la que se refieren, no hace otra cosa </w:t>
      </w:r>
      <w:r>
        <w:rPr>
          <w:spacing w:val="-9"/>
          <w:sz w:val="18"/>
          <w:szCs w:val="18"/>
          <w:lang w:val="es-ES_tradnl"/>
        </w:rPr>
        <w:t xml:space="preserve">que garantizar a los individuos que en sus relaciones con el </w:t>
      </w:r>
      <w:r>
        <w:rPr>
          <w:spacing w:val="-7"/>
          <w:sz w:val="18"/>
          <w:szCs w:val="18"/>
          <w:lang w:val="es-ES_tradnl"/>
        </w:rPr>
        <w:t>poder p</w:t>
      </w:r>
      <w:r>
        <w:rPr>
          <w:rFonts w:cs="Times New Roman"/>
          <w:spacing w:val="-7"/>
          <w:sz w:val="18"/>
          <w:szCs w:val="18"/>
          <w:lang w:val="es-ES_tradnl"/>
        </w:rPr>
        <w:t>ú</w:t>
      </w:r>
      <w:r>
        <w:rPr>
          <w:spacing w:val="-7"/>
          <w:sz w:val="18"/>
          <w:szCs w:val="18"/>
          <w:lang w:val="es-ES_tradnl"/>
        </w:rPr>
        <w:t>blico, sus titulares no proceder</w:t>
      </w:r>
      <w:r>
        <w:rPr>
          <w:rFonts w:cs="Times New Roman"/>
          <w:spacing w:val="-7"/>
          <w:sz w:val="18"/>
          <w:szCs w:val="18"/>
          <w:lang w:val="es-ES_tradnl"/>
        </w:rPr>
        <w:t>á</w:t>
      </w:r>
      <w:r>
        <w:rPr>
          <w:spacing w:val="-7"/>
          <w:sz w:val="18"/>
          <w:szCs w:val="18"/>
          <w:lang w:val="es-ES_tradnl"/>
        </w:rPr>
        <w:t xml:space="preserve">n arbitrariamente sino de conformidad con las normas establecidas en la </w:t>
      </w:r>
      <w:r>
        <w:rPr>
          <w:spacing w:val="-6"/>
          <w:sz w:val="18"/>
          <w:szCs w:val="18"/>
          <w:lang w:val="es-ES_tradnl"/>
        </w:rPr>
        <w:t>Constituci</w:t>
      </w:r>
      <w:r>
        <w:rPr>
          <w:rFonts w:cs="Times New Roman"/>
          <w:spacing w:val="-6"/>
          <w:sz w:val="18"/>
          <w:szCs w:val="18"/>
          <w:lang w:val="es-ES_tradnl"/>
        </w:rPr>
        <w:t>ó</w:t>
      </w:r>
      <w:r>
        <w:rPr>
          <w:spacing w:val="-6"/>
          <w:sz w:val="18"/>
          <w:szCs w:val="18"/>
          <w:lang w:val="es-ES_tradnl"/>
        </w:rPr>
        <w:t xml:space="preserve">n y la ley, lo cual acrecienta la confianza en el </w:t>
      </w:r>
      <w:r>
        <w:rPr>
          <w:sz w:val="18"/>
          <w:szCs w:val="18"/>
          <w:lang w:val="es-ES_tradnl"/>
        </w:rPr>
        <w:t>sistema jur</w:t>
      </w:r>
      <w:r>
        <w:rPr>
          <w:rFonts w:cs="Times New Roman"/>
          <w:sz w:val="18"/>
          <w:szCs w:val="18"/>
          <w:lang w:val="es-ES_tradnl"/>
        </w:rPr>
        <w:t>í</w:t>
      </w:r>
      <w:r>
        <w:rPr>
          <w:sz w:val="18"/>
          <w:szCs w:val="18"/>
          <w:lang w:val="es-ES_tradnl"/>
        </w:rPr>
        <w:t>dico.</w:t>
      </w:r>
    </w:p>
    <w:p w14:paraId="4F67ABE9" w14:textId="77777777" w:rsidR="00591D54" w:rsidRDefault="00591D54">
      <w:pPr>
        <w:shd w:val="clear" w:color="auto" w:fill="FFFFFF"/>
        <w:spacing w:before="197" w:line="216" w:lineRule="exact"/>
        <w:jc w:val="both"/>
      </w:pPr>
      <w:r>
        <w:rPr>
          <w:spacing w:val="-5"/>
          <w:sz w:val="18"/>
          <w:szCs w:val="18"/>
          <w:lang w:val="es-ES_tradnl"/>
        </w:rPr>
        <w:t>Finalmente dicen que han ce</w:t>
      </w:r>
      <w:r>
        <w:rPr>
          <w:rFonts w:cs="Times New Roman"/>
          <w:spacing w:val="-5"/>
          <w:sz w:val="18"/>
          <w:szCs w:val="18"/>
          <w:lang w:val="es-ES_tradnl"/>
        </w:rPr>
        <w:t>ñ</w:t>
      </w:r>
      <w:r>
        <w:rPr>
          <w:spacing w:val="-5"/>
          <w:sz w:val="18"/>
          <w:szCs w:val="18"/>
          <w:lang w:val="es-ES_tradnl"/>
        </w:rPr>
        <w:t xml:space="preserve">ido su conducta a los </w:t>
      </w:r>
      <w:r>
        <w:rPr>
          <w:spacing w:val="-8"/>
          <w:sz w:val="18"/>
          <w:szCs w:val="18"/>
          <w:lang w:val="es-ES_tradnl"/>
        </w:rPr>
        <w:t xml:space="preserve">lineamientos constitucionales y legales vigentes, habiendo </w:t>
      </w:r>
      <w:r>
        <w:rPr>
          <w:spacing w:val="-7"/>
          <w:sz w:val="18"/>
          <w:szCs w:val="18"/>
          <w:lang w:val="es-ES_tradnl"/>
        </w:rPr>
        <w:t xml:space="preserve">ejercido los accionantes de manera plena y absoluta el </w:t>
      </w:r>
      <w:r>
        <w:rPr>
          <w:spacing w:val="-8"/>
          <w:sz w:val="18"/>
          <w:szCs w:val="18"/>
          <w:lang w:val="es-ES_tradnl"/>
        </w:rPr>
        <w:t xml:space="preserve">derecho a la defensa, motivos por los cuales de manera </w:t>
      </w:r>
      <w:r>
        <w:rPr>
          <w:spacing w:val="-7"/>
          <w:sz w:val="18"/>
          <w:szCs w:val="18"/>
          <w:lang w:val="es-ES_tradnl"/>
        </w:rPr>
        <w:t>respetuosa le solicitan que se sirvan rechazar la acci</w:t>
      </w:r>
      <w:r>
        <w:rPr>
          <w:rFonts w:cs="Times New Roman"/>
          <w:spacing w:val="-7"/>
          <w:sz w:val="18"/>
          <w:szCs w:val="18"/>
          <w:lang w:val="es-ES_tradnl"/>
        </w:rPr>
        <w:t>ó</w:t>
      </w:r>
      <w:r>
        <w:rPr>
          <w:spacing w:val="-7"/>
          <w:sz w:val="18"/>
          <w:szCs w:val="18"/>
          <w:lang w:val="es-ES_tradnl"/>
        </w:rPr>
        <w:t xml:space="preserve">n </w:t>
      </w:r>
      <w:r>
        <w:rPr>
          <w:sz w:val="18"/>
          <w:szCs w:val="18"/>
          <w:lang w:val="es-ES_tradnl"/>
        </w:rPr>
        <w:t>propuesta por improcedente.</w:t>
      </w:r>
    </w:p>
    <w:p w14:paraId="4F67ABEA" w14:textId="77777777" w:rsidR="00591D54" w:rsidRDefault="00591D54">
      <w:pPr>
        <w:shd w:val="clear" w:color="auto" w:fill="FFFFFF"/>
        <w:spacing w:before="192"/>
      </w:pPr>
      <w:r>
        <w:rPr>
          <w:b/>
          <w:bCs/>
          <w:spacing w:val="-8"/>
          <w:sz w:val="18"/>
          <w:szCs w:val="18"/>
          <w:lang w:val="es-ES_tradnl"/>
        </w:rPr>
        <w:t>Juzgado D</w:t>
      </w:r>
      <w:r>
        <w:rPr>
          <w:rFonts w:cs="Times New Roman"/>
          <w:b/>
          <w:bCs/>
          <w:spacing w:val="-8"/>
          <w:sz w:val="18"/>
          <w:szCs w:val="18"/>
          <w:lang w:val="es-ES_tradnl"/>
        </w:rPr>
        <w:t>é</w:t>
      </w:r>
      <w:r>
        <w:rPr>
          <w:b/>
          <w:bCs/>
          <w:spacing w:val="-8"/>
          <w:sz w:val="18"/>
          <w:szCs w:val="18"/>
          <w:lang w:val="es-ES_tradnl"/>
        </w:rPr>
        <w:t>cimo Cuarto de lo Civil de Los R</w:t>
      </w:r>
      <w:r>
        <w:rPr>
          <w:rFonts w:cs="Times New Roman"/>
          <w:b/>
          <w:bCs/>
          <w:spacing w:val="-8"/>
          <w:sz w:val="18"/>
          <w:szCs w:val="18"/>
          <w:lang w:val="es-ES_tradnl"/>
        </w:rPr>
        <w:t>í</w:t>
      </w:r>
      <w:r>
        <w:rPr>
          <w:b/>
          <w:bCs/>
          <w:spacing w:val="-8"/>
          <w:sz w:val="18"/>
          <w:szCs w:val="18"/>
          <w:lang w:val="es-ES_tradnl"/>
        </w:rPr>
        <w:t>os</w:t>
      </w:r>
    </w:p>
    <w:p w14:paraId="4F67ABEB" w14:textId="77777777" w:rsidR="00591D54" w:rsidRDefault="00591D54">
      <w:pPr>
        <w:shd w:val="clear" w:color="auto" w:fill="FFFFFF"/>
        <w:spacing w:before="192" w:line="216" w:lineRule="exact"/>
        <w:jc w:val="both"/>
      </w:pPr>
      <w:r>
        <w:rPr>
          <w:spacing w:val="-6"/>
          <w:sz w:val="18"/>
          <w:szCs w:val="18"/>
          <w:lang w:val="es-ES_tradnl"/>
        </w:rPr>
        <w:t xml:space="preserve">Mediante escrito del 23 de febrero de 2011, el abogado </w:t>
      </w:r>
      <w:r>
        <w:rPr>
          <w:spacing w:val="-8"/>
          <w:sz w:val="18"/>
          <w:szCs w:val="18"/>
          <w:lang w:val="es-ES_tradnl"/>
        </w:rPr>
        <w:t>H</w:t>
      </w:r>
      <w:r>
        <w:rPr>
          <w:rFonts w:cs="Times New Roman"/>
          <w:spacing w:val="-8"/>
          <w:sz w:val="18"/>
          <w:szCs w:val="18"/>
          <w:lang w:val="es-ES_tradnl"/>
        </w:rPr>
        <w:t>é</w:t>
      </w:r>
      <w:r>
        <w:rPr>
          <w:spacing w:val="-8"/>
          <w:sz w:val="18"/>
          <w:szCs w:val="18"/>
          <w:lang w:val="es-ES_tradnl"/>
        </w:rPr>
        <w:t>ctor Jos</w:t>
      </w:r>
      <w:r>
        <w:rPr>
          <w:rFonts w:cs="Times New Roman"/>
          <w:spacing w:val="-8"/>
          <w:sz w:val="18"/>
          <w:szCs w:val="18"/>
          <w:lang w:val="es-ES_tradnl"/>
        </w:rPr>
        <w:t>é</w:t>
      </w:r>
      <w:r>
        <w:rPr>
          <w:spacing w:val="-8"/>
          <w:sz w:val="18"/>
          <w:szCs w:val="18"/>
          <w:lang w:val="es-ES_tradnl"/>
        </w:rPr>
        <w:t xml:space="preserve"> Baja</w:t>
      </w:r>
      <w:r>
        <w:rPr>
          <w:rFonts w:cs="Times New Roman"/>
          <w:spacing w:val="-8"/>
          <w:sz w:val="18"/>
          <w:szCs w:val="18"/>
          <w:lang w:val="es-ES_tradnl"/>
        </w:rPr>
        <w:t>ñ</w:t>
      </w:r>
      <w:r>
        <w:rPr>
          <w:spacing w:val="-8"/>
          <w:sz w:val="18"/>
          <w:szCs w:val="18"/>
          <w:lang w:val="es-ES_tradnl"/>
        </w:rPr>
        <w:t xml:space="preserve">a Vega, juez temporal encargado del </w:t>
      </w:r>
      <w:r>
        <w:rPr>
          <w:spacing w:val="-4"/>
          <w:sz w:val="18"/>
          <w:szCs w:val="18"/>
          <w:lang w:val="es-ES_tradnl"/>
        </w:rPr>
        <w:t>Juzgado D</w:t>
      </w:r>
      <w:r>
        <w:rPr>
          <w:rFonts w:cs="Times New Roman"/>
          <w:spacing w:val="-4"/>
          <w:sz w:val="18"/>
          <w:szCs w:val="18"/>
          <w:lang w:val="es-ES_tradnl"/>
        </w:rPr>
        <w:t>é</w:t>
      </w:r>
      <w:r>
        <w:rPr>
          <w:spacing w:val="-4"/>
          <w:sz w:val="18"/>
          <w:szCs w:val="18"/>
          <w:lang w:val="es-ES_tradnl"/>
        </w:rPr>
        <w:t>cimo Cuarto de lo Civil de Los R</w:t>
      </w:r>
      <w:r>
        <w:rPr>
          <w:rFonts w:cs="Times New Roman"/>
          <w:spacing w:val="-4"/>
          <w:sz w:val="18"/>
          <w:szCs w:val="18"/>
          <w:lang w:val="es-ES_tradnl"/>
        </w:rPr>
        <w:t>í</w:t>
      </w:r>
      <w:r>
        <w:rPr>
          <w:spacing w:val="-4"/>
          <w:sz w:val="18"/>
          <w:szCs w:val="18"/>
          <w:lang w:val="es-ES_tradnl"/>
        </w:rPr>
        <w:t xml:space="preserve">os en lo </w:t>
      </w:r>
      <w:r>
        <w:rPr>
          <w:spacing w:val="-6"/>
          <w:sz w:val="18"/>
          <w:szCs w:val="18"/>
          <w:lang w:val="es-ES_tradnl"/>
        </w:rPr>
        <w:t>principal, se</w:t>
      </w:r>
      <w:r>
        <w:rPr>
          <w:rFonts w:cs="Times New Roman"/>
          <w:spacing w:val="-6"/>
          <w:sz w:val="18"/>
          <w:szCs w:val="18"/>
          <w:lang w:val="es-ES_tradnl"/>
        </w:rPr>
        <w:t>ñ</w:t>
      </w:r>
      <w:r>
        <w:rPr>
          <w:spacing w:val="-6"/>
          <w:sz w:val="18"/>
          <w:szCs w:val="18"/>
          <w:lang w:val="es-ES_tradnl"/>
        </w:rPr>
        <w:t>ala que el art</w:t>
      </w:r>
      <w:r>
        <w:rPr>
          <w:rFonts w:cs="Times New Roman"/>
          <w:spacing w:val="-6"/>
          <w:sz w:val="18"/>
          <w:szCs w:val="18"/>
          <w:lang w:val="es-ES_tradnl"/>
        </w:rPr>
        <w:t>í</w:t>
      </w:r>
      <w:r>
        <w:rPr>
          <w:spacing w:val="-6"/>
          <w:sz w:val="18"/>
          <w:szCs w:val="18"/>
          <w:lang w:val="es-ES_tradnl"/>
        </w:rPr>
        <w:t>culo 49 de la Ley Org</w:t>
      </w:r>
      <w:r>
        <w:rPr>
          <w:rFonts w:cs="Times New Roman"/>
          <w:spacing w:val="-6"/>
          <w:sz w:val="18"/>
          <w:szCs w:val="18"/>
          <w:lang w:val="es-ES_tradnl"/>
        </w:rPr>
        <w:t>á</w:t>
      </w:r>
      <w:r>
        <w:rPr>
          <w:spacing w:val="-6"/>
          <w:sz w:val="18"/>
          <w:szCs w:val="18"/>
          <w:lang w:val="es-ES_tradnl"/>
        </w:rPr>
        <w:t xml:space="preserve">nica de </w:t>
      </w:r>
      <w:r>
        <w:rPr>
          <w:spacing w:val="-7"/>
          <w:sz w:val="18"/>
          <w:szCs w:val="18"/>
          <w:lang w:val="es-ES_tradnl"/>
        </w:rPr>
        <w:t>Garant</w:t>
      </w:r>
      <w:r>
        <w:rPr>
          <w:rFonts w:cs="Times New Roman"/>
          <w:spacing w:val="-7"/>
          <w:sz w:val="18"/>
          <w:szCs w:val="18"/>
          <w:lang w:val="es-ES_tradnl"/>
        </w:rPr>
        <w:t>í</w:t>
      </w:r>
      <w:r>
        <w:rPr>
          <w:spacing w:val="-7"/>
          <w:sz w:val="18"/>
          <w:szCs w:val="18"/>
          <w:lang w:val="es-ES_tradnl"/>
        </w:rPr>
        <w:t>as Jurisdiccionales y Control Constitucional se</w:t>
      </w:r>
      <w:r>
        <w:rPr>
          <w:rFonts w:cs="Times New Roman"/>
          <w:spacing w:val="-7"/>
          <w:sz w:val="18"/>
          <w:szCs w:val="18"/>
          <w:lang w:val="es-ES_tradnl"/>
        </w:rPr>
        <w:t>ñ</w:t>
      </w:r>
      <w:r>
        <w:rPr>
          <w:spacing w:val="-7"/>
          <w:sz w:val="18"/>
          <w:szCs w:val="18"/>
          <w:lang w:val="es-ES_tradnl"/>
        </w:rPr>
        <w:t>ala que la acci</w:t>
      </w:r>
      <w:r>
        <w:rPr>
          <w:rFonts w:cs="Times New Roman"/>
          <w:spacing w:val="-7"/>
          <w:sz w:val="18"/>
          <w:szCs w:val="18"/>
          <w:lang w:val="es-ES_tradnl"/>
        </w:rPr>
        <w:t>ó</w:t>
      </w:r>
      <w:r>
        <w:rPr>
          <w:spacing w:val="-7"/>
          <w:sz w:val="18"/>
          <w:szCs w:val="18"/>
          <w:lang w:val="es-ES_tradnl"/>
        </w:rPr>
        <w:t>n de h</w:t>
      </w:r>
      <w:r>
        <w:rPr>
          <w:rFonts w:cs="Times New Roman"/>
          <w:spacing w:val="-7"/>
          <w:sz w:val="18"/>
          <w:szCs w:val="18"/>
          <w:lang w:val="es-ES_tradnl"/>
        </w:rPr>
        <w:t>á</w:t>
      </w:r>
      <w:r>
        <w:rPr>
          <w:spacing w:val="-7"/>
          <w:sz w:val="18"/>
          <w:szCs w:val="18"/>
          <w:lang w:val="es-ES_tradnl"/>
        </w:rPr>
        <w:t xml:space="preserve">beas data tiene por objeto garantizar </w:t>
      </w:r>
      <w:r>
        <w:rPr>
          <w:spacing w:val="-8"/>
          <w:sz w:val="18"/>
          <w:szCs w:val="18"/>
          <w:lang w:val="es-ES_tradnl"/>
        </w:rPr>
        <w:t xml:space="preserve">judicialmente a toda persona el acceso a los documentos, </w:t>
      </w:r>
      <w:r>
        <w:rPr>
          <w:spacing w:val="-4"/>
          <w:sz w:val="18"/>
          <w:szCs w:val="18"/>
          <w:lang w:val="es-ES_tradnl"/>
        </w:rPr>
        <w:t>datos gen</w:t>
      </w:r>
      <w:r>
        <w:rPr>
          <w:rFonts w:cs="Times New Roman"/>
          <w:spacing w:val="-4"/>
          <w:sz w:val="18"/>
          <w:szCs w:val="18"/>
          <w:lang w:val="es-ES_tradnl"/>
        </w:rPr>
        <w:t>é</w:t>
      </w:r>
      <w:r>
        <w:rPr>
          <w:spacing w:val="-4"/>
          <w:sz w:val="18"/>
          <w:szCs w:val="18"/>
          <w:lang w:val="es-ES_tradnl"/>
        </w:rPr>
        <w:t xml:space="preserve">ticos, bancos o archivos de datos personales </w:t>
      </w:r>
      <w:r>
        <w:rPr>
          <w:spacing w:val="-6"/>
          <w:sz w:val="18"/>
          <w:szCs w:val="18"/>
          <w:lang w:val="es-ES_tradnl"/>
        </w:rPr>
        <w:t>e informes que sobre s</w:t>
      </w:r>
      <w:r>
        <w:rPr>
          <w:rFonts w:cs="Times New Roman"/>
          <w:spacing w:val="-6"/>
          <w:sz w:val="18"/>
          <w:szCs w:val="18"/>
          <w:lang w:val="es-ES_tradnl"/>
        </w:rPr>
        <w:t>í</w:t>
      </w:r>
      <w:r>
        <w:rPr>
          <w:spacing w:val="-6"/>
          <w:sz w:val="18"/>
          <w:szCs w:val="18"/>
          <w:lang w:val="es-ES_tradnl"/>
        </w:rPr>
        <w:t xml:space="preserve"> misma o sobre sus bienes, est</w:t>
      </w:r>
      <w:r>
        <w:rPr>
          <w:rFonts w:cs="Times New Roman"/>
          <w:spacing w:val="-6"/>
          <w:sz w:val="18"/>
          <w:szCs w:val="18"/>
          <w:lang w:val="es-ES_tradnl"/>
        </w:rPr>
        <w:t>é</w:t>
      </w:r>
      <w:r>
        <w:rPr>
          <w:spacing w:val="-6"/>
          <w:sz w:val="18"/>
          <w:szCs w:val="18"/>
          <w:lang w:val="es-ES_tradnl"/>
        </w:rPr>
        <w:t xml:space="preserve">n </w:t>
      </w:r>
      <w:r>
        <w:rPr>
          <w:spacing w:val="-4"/>
          <w:sz w:val="18"/>
          <w:szCs w:val="18"/>
          <w:lang w:val="es-ES_tradnl"/>
        </w:rPr>
        <w:t>en poder de entidades p</w:t>
      </w:r>
      <w:r>
        <w:rPr>
          <w:rFonts w:cs="Times New Roman"/>
          <w:spacing w:val="-4"/>
          <w:sz w:val="18"/>
          <w:szCs w:val="18"/>
          <w:lang w:val="es-ES_tradnl"/>
        </w:rPr>
        <w:t>ú</w:t>
      </w:r>
      <w:r>
        <w:rPr>
          <w:spacing w:val="-4"/>
          <w:sz w:val="18"/>
          <w:szCs w:val="18"/>
          <w:lang w:val="es-ES_tradnl"/>
        </w:rPr>
        <w:t xml:space="preserve">blicas o de personas naturales </w:t>
      </w:r>
      <w:r>
        <w:rPr>
          <w:spacing w:val="-5"/>
          <w:sz w:val="18"/>
          <w:szCs w:val="18"/>
          <w:lang w:val="es-ES_tradnl"/>
        </w:rPr>
        <w:t>o jur</w:t>
      </w:r>
      <w:r>
        <w:rPr>
          <w:rFonts w:cs="Times New Roman"/>
          <w:spacing w:val="-5"/>
          <w:sz w:val="18"/>
          <w:szCs w:val="18"/>
          <w:lang w:val="es-ES_tradnl"/>
        </w:rPr>
        <w:t>í</w:t>
      </w:r>
      <w:r>
        <w:rPr>
          <w:spacing w:val="-5"/>
          <w:sz w:val="18"/>
          <w:szCs w:val="18"/>
          <w:lang w:val="es-ES_tradnl"/>
        </w:rPr>
        <w:t>dicas privadas en soporte material o electr</w:t>
      </w:r>
      <w:r>
        <w:rPr>
          <w:rFonts w:cs="Times New Roman"/>
          <w:spacing w:val="-5"/>
          <w:sz w:val="18"/>
          <w:szCs w:val="18"/>
          <w:lang w:val="es-ES_tradnl"/>
        </w:rPr>
        <w:t>ó</w:t>
      </w:r>
      <w:r>
        <w:rPr>
          <w:spacing w:val="-5"/>
          <w:sz w:val="18"/>
          <w:szCs w:val="18"/>
          <w:lang w:val="es-ES_tradnl"/>
        </w:rPr>
        <w:t>nico. Asimismo, toda persona tiene derecho a conocer el uso que se haga de dicha informaci</w:t>
      </w:r>
      <w:r>
        <w:rPr>
          <w:rFonts w:cs="Times New Roman"/>
          <w:spacing w:val="-5"/>
          <w:sz w:val="18"/>
          <w:szCs w:val="18"/>
          <w:lang w:val="es-ES_tradnl"/>
        </w:rPr>
        <w:t>ó</w:t>
      </w:r>
      <w:r>
        <w:rPr>
          <w:spacing w:val="-5"/>
          <w:sz w:val="18"/>
          <w:szCs w:val="18"/>
          <w:lang w:val="es-ES_tradnl"/>
        </w:rPr>
        <w:t xml:space="preserve">n, su finalidad, el origen </w:t>
      </w:r>
      <w:r>
        <w:rPr>
          <w:spacing w:val="-6"/>
          <w:sz w:val="18"/>
          <w:szCs w:val="18"/>
          <w:lang w:val="es-ES_tradnl"/>
        </w:rPr>
        <w:t xml:space="preserve">y destino, y el tiempo de vigencia del archivo o banco de </w:t>
      </w:r>
      <w:r>
        <w:rPr>
          <w:spacing w:val="-9"/>
          <w:sz w:val="18"/>
          <w:szCs w:val="18"/>
          <w:lang w:val="es-ES_tradnl"/>
        </w:rPr>
        <w:t>datos, fundamentaci</w:t>
      </w:r>
      <w:r>
        <w:rPr>
          <w:rFonts w:cs="Times New Roman"/>
          <w:spacing w:val="-9"/>
          <w:sz w:val="18"/>
          <w:szCs w:val="18"/>
          <w:lang w:val="es-ES_tradnl"/>
        </w:rPr>
        <w:t>ó</w:t>
      </w:r>
      <w:r>
        <w:rPr>
          <w:spacing w:val="-9"/>
          <w:sz w:val="18"/>
          <w:szCs w:val="18"/>
          <w:lang w:val="es-ES_tradnl"/>
        </w:rPr>
        <w:t xml:space="preserve">n legal concordante con lo previsto en </w:t>
      </w:r>
      <w:r>
        <w:rPr>
          <w:sz w:val="18"/>
          <w:szCs w:val="18"/>
          <w:lang w:val="es-ES_tradnl"/>
        </w:rPr>
        <w:t>el art</w:t>
      </w:r>
      <w:r>
        <w:rPr>
          <w:rFonts w:cs="Times New Roman"/>
          <w:sz w:val="18"/>
          <w:szCs w:val="18"/>
          <w:lang w:val="es-ES_tradnl"/>
        </w:rPr>
        <w:t>í</w:t>
      </w:r>
      <w:r>
        <w:rPr>
          <w:sz w:val="18"/>
          <w:szCs w:val="18"/>
          <w:lang w:val="es-ES_tradnl"/>
        </w:rPr>
        <w:t>culo 92 de la Constituci</w:t>
      </w:r>
      <w:r>
        <w:rPr>
          <w:rFonts w:cs="Times New Roman"/>
          <w:sz w:val="18"/>
          <w:szCs w:val="18"/>
          <w:lang w:val="es-ES_tradnl"/>
        </w:rPr>
        <w:t>ó</w:t>
      </w:r>
      <w:r>
        <w:rPr>
          <w:sz w:val="18"/>
          <w:szCs w:val="18"/>
          <w:lang w:val="es-ES_tradnl"/>
        </w:rPr>
        <w:t>n.</w:t>
      </w:r>
    </w:p>
    <w:p w14:paraId="4F67ABEC" w14:textId="77777777" w:rsidR="00591D54" w:rsidRDefault="00591D54">
      <w:pPr>
        <w:shd w:val="clear" w:color="auto" w:fill="FFFFFF"/>
        <w:spacing w:before="192" w:line="216" w:lineRule="exact"/>
        <w:jc w:val="both"/>
      </w:pPr>
      <w:r>
        <w:rPr>
          <w:spacing w:val="-10"/>
          <w:sz w:val="18"/>
          <w:szCs w:val="18"/>
          <w:lang w:val="es-ES_tradnl"/>
        </w:rPr>
        <w:t xml:space="preserve">A su criterio, el argumento esgrimido por los personeros que </w:t>
      </w:r>
      <w:r>
        <w:rPr>
          <w:spacing w:val="-8"/>
          <w:sz w:val="18"/>
          <w:szCs w:val="18"/>
          <w:lang w:val="es-ES_tradnl"/>
        </w:rPr>
        <w:t>representan el Gobierno Municipal del cant</w:t>
      </w:r>
      <w:r>
        <w:rPr>
          <w:rFonts w:cs="Times New Roman"/>
          <w:spacing w:val="-8"/>
          <w:sz w:val="18"/>
          <w:szCs w:val="18"/>
          <w:lang w:val="es-ES_tradnl"/>
        </w:rPr>
        <w:t>ó</w:t>
      </w:r>
      <w:r>
        <w:rPr>
          <w:spacing w:val="-8"/>
          <w:sz w:val="18"/>
          <w:szCs w:val="18"/>
          <w:lang w:val="es-ES_tradnl"/>
        </w:rPr>
        <w:t xml:space="preserve">n Mocache, es </w:t>
      </w:r>
      <w:r>
        <w:rPr>
          <w:spacing w:val="-5"/>
          <w:sz w:val="18"/>
          <w:szCs w:val="18"/>
          <w:lang w:val="es-ES_tradnl"/>
        </w:rPr>
        <w:t>contrario al contenido del numeral 4 del art</w:t>
      </w:r>
      <w:r>
        <w:rPr>
          <w:rFonts w:cs="Times New Roman"/>
          <w:spacing w:val="-5"/>
          <w:sz w:val="18"/>
          <w:szCs w:val="18"/>
          <w:lang w:val="es-ES_tradnl"/>
        </w:rPr>
        <w:t>í</w:t>
      </w:r>
      <w:r>
        <w:rPr>
          <w:spacing w:val="-5"/>
          <w:sz w:val="18"/>
          <w:szCs w:val="18"/>
          <w:lang w:val="es-ES_tradnl"/>
        </w:rPr>
        <w:t xml:space="preserve">culo 11 de la </w:t>
      </w:r>
      <w:r>
        <w:rPr>
          <w:spacing w:val="-8"/>
          <w:sz w:val="18"/>
          <w:szCs w:val="18"/>
          <w:lang w:val="es-ES_tradnl"/>
        </w:rPr>
        <w:t>Constituci</w:t>
      </w:r>
      <w:r>
        <w:rPr>
          <w:rFonts w:cs="Times New Roman"/>
          <w:spacing w:val="-8"/>
          <w:sz w:val="18"/>
          <w:szCs w:val="18"/>
          <w:lang w:val="es-ES_tradnl"/>
        </w:rPr>
        <w:t>ó</w:t>
      </w:r>
      <w:r>
        <w:rPr>
          <w:spacing w:val="-8"/>
          <w:sz w:val="18"/>
          <w:szCs w:val="18"/>
          <w:lang w:val="es-ES_tradnl"/>
        </w:rPr>
        <w:t xml:space="preserve">n, y que para el caso es aplicable la parte </w:t>
      </w:r>
      <w:r>
        <w:rPr>
          <w:rFonts w:cs="Times New Roman"/>
          <w:spacing w:val="-8"/>
          <w:sz w:val="18"/>
          <w:szCs w:val="18"/>
          <w:lang w:val="es-ES_tradnl"/>
        </w:rPr>
        <w:t>ú</w:t>
      </w:r>
      <w:r>
        <w:rPr>
          <w:spacing w:val="-8"/>
          <w:sz w:val="18"/>
          <w:szCs w:val="18"/>
          <w:lang w:val="es-ES_tradnl"/>
        </w:rPr>
        <w:t xml:space="preserve">ltima </w:t>
      </w:r>
      <w:r>
        <w:rPr>
          <w:spacing w:val="-4"/>
          <w:sz w:val="18"/>
          <w:szCs w:val="18"/>
          <w:lang w:val="es-ES_tradnl"/>
        </w:rPr>
        <w:t>del art</w:t>
      </w:r>
      <w:r>
        <w:rPr>
          <w:rFonts w:cs="Times New Roman"/>
          <w:spacing w:val="-4"/>
          <w:sz w:val="18"/>
          <w:szCs w:val="18"/>
          <w:lang w:val="es-ES_tradnl"/>
        </w:rPr>
        <w:t>í</w:t>
      </w:r>
      <w:r>
        <w:rPr>
          <w:spacing w:val="-4"/>
          <w:sz w:val="18"/>
          <w:szCs w:val="18"/>
          <w:lang w:val="es-ES_tradnl"/>
        </w:rPr>
        <w:t>culo 169 de la Constituci</w:t>
      </w:r>
      <w:r>
        <w:rPr>
          <w:rFonts w:cs="Times New Roman"/>
          <w:spacing w:val="-4"/>
          <w:sz w:val="18"/>
          <w:szCs w:val="18"/>
          <w:lang w:val="es-ES_tradnl"/>
        </w:rPr>
        <w:t>ó</w:t>
      </w:r>
      <w:r>
        <w:rPr>
          <w:spacing w:val="-4"/>
          <w:sz w:val="18"/>
          <w:szCs w:val="18"/>
          <w:lang w:val="es-ES_tradnl"/>
        </w:rPr>
        <w:t xml:space="preserve">n que dice que no se </w:t>
      </w:r>
      <w:r>
        <w:rPr>
          <w:spacing w:val="-6"/>
          <w:sz w:val="18"/>
          <w:szCs w:val="18"/>
          <w:lang w:val="es-ES_tradnl"/>
        </w:rPr>
        <w:t>sacrificar</w:t>
      </w:r>
      <w:r>
        <w:rPr>
          <w:rFonts w:cs="Times New Roman"/>
          <w:spacing w:val="-6"/>
          <w:sz w:val="18"/>
          <w:szCs w:val="18"/>
          <w:lang w:val="es-ES_tradnl"/>
        </w:rPr>
        <w:t>á</w:t>
      </w:r>
      <w:r>
        <w:rPr>
          <w:spacing w:val="-6"/>
          <w:sz w:val="18"/>
          <w:szCs w:val="18"/>
          <w:lang w:val="es-ES_tradnl"/>
        </w:rPr>
        <w:t xml:space="preserve"> la justicia por la sola omisi</w:t>
      </w:r>
      <w:r>
        <w:rPr>
          <w:rFonts w:cs="Times New Roman"/>
          <w:spacing w:val="-6"/>
          <w:sz w:val="18"/>
          <w:szCs w:val="18"/>
          <w:lang w:val="es-ES_tradnl"/>
        </w:rPr>
        <w:t>ó</w:t>
      </w:r>
      <w:r>
        <w:rPr>
          <w:spacing w:val="-6"/>
          <w:sz w:val="18"/>
          <w:szCs w:val="18"/>
          <w:lang w:val="es-ES_tradnl"/>
        </w:rPr>
        <w:t xml:space="preserve">n de formalidades, </w:t>
      </w:r>
      <w:r>
        <w:rPr>
          <w:spacing w:val="-9"/>
          <w:sz w:val="18"/>
          <w:szCs w:val="18"/>
          <w:lang w:val="es-ES_tradnl"/>
        </w:rPr>
        <w:t>esto, por cuanto con la acci</w:t>
      </w:r>
      <w:r>
        <w:rPr>
          <w:rFonts w:cs="Times New Roman"/>
          <w:spacing w:val="-9"/>
          <w:sz w:val="18"/>
          <w:szCs w:val="18"/>
          <w:lang w:val="es-ES_tradnl"/>
        </w:rPr>
        <w:t>ó</w:t>
      </w:r>
      <w:r>
        <w:rPr>
          <w:spacing w:val="-9"/>
          <w:sz w:val="18"/>
          <w:szCs w:val="18"/>
          <w:lang w:val="es-ES_tradnl"/>
        </w:rPr>
        <w:t>n de h</w:t>
      </w:r>
      <w:r>
        <w:rPr>
          <w:rFonts w:cs="Times New Roman"/>
          <w:spacing w:val="-9"/>
          <w:sz w:val="18"/>
          <w:szCs w:val="18"/>
          <w:lang w:val="es-ES_tradnl"/>
        </w:rPr>
        <w:t>á</w:t>
      </w:r>
      <w:r>
        <w:rPr>
          <w:spacing w:val="-9"/>
          <w:sz w:val="18"/>
          <w:szCs w:val="18"/>
          <w:lang w:val="es-ES_tradnl"/>
        </w:rPr>
        <w:t xml:space="preserve">beas data propuesta en </w:t>
      </w:r>
      <w:r>
        <w:rPr>
          <w:spacing w:val="-7"/>
          <w:sz w:val="18"/>
          <w:szCs w:val="18"/>
          <w:lang w:val="es-ES_tradnl"/>
        </w:rPr>
        <w:t>su contra, alegaron que no hab</w:t>
      </w:r>
      <w:r>
        <w:rPr>
          <w:rFonts w:cs="Times New Roman"/>
          <w:spacing w:val="-7"/>
          <w:sz w:val="18"/>
          <w:szCs w:val="18"/>
          <w:lang w:val="es-ES_tradnl"/>
        </w:rPr>
        <w:t>í</w:t>
      </w:r>
      <w:r>
        <w:rPr>
          <w:spacing w:val="-7"/>
          <w:sz w:val="18"/>
          <w:szCs w:val="18"/>
          <w:lang w:val="es-ES_tradnl"/>
        </w:rPr>
        <w:t>an transcurrido los 15 d</w:t>
      </w:r>
      <w:r>
        <w:rPr>
          <w:rFonts w:cs="Times New Roman"/>
          <w:spacing w:val="-7"/>
          <w:sz w:val="18"/>
          <w:szCs w:val="18"/>
          <w:lang w:val="es-ES_tradnl"/>
        </w:rPr>
        <w:t>í</w:t>
      </w:r>
      <w:r>
        <w:rPr>
          <w:spacing w:val="-7"/>
          <w:sz w:val="18"/>
          <w:szCs w:val="18"/>
          <w:lang w:val="es-ES_tradnl"/>
        </w:rPr>
        <w:t xml:space="preserve">as </w:t>
      </w:r>
      <w:r>
        <w:rPr>
          <w:spacing w:val="-5"/>
          <w:sz w:val="18"/>
          <w:szCs w:val="18"/>
          <w:lang w:val="es-ES_tradnl"/>
        </w:rPr>
        <w:t>que determina el art</w:t>
      </w:r>
      <w:r>
        <w:rPr>
          <w:rFonts w:cs="Times New Roman"/>
          <w:spacing w:val="-5"/>
          <w:sz w:val="18"/>
          <w:szCs w:val="18"/>
          <w:lang w:val="es-ES_tradnl"/>
        </w:rPr>
        <w:t>í</w:t>
      </w:r>
      <w:r>
        <w:rPr>
          <w:spacing w:val="-5"/>
          <w:sz w:val="18"/>
          <w:szCs w:val="18"/>
          <w:lang w:val="es-ES_tradnl"/>
        </w:rPr>
        <w:t>culo 28 de la Ley de Modernizaci</w:t>
      </w:r>
      <w:r>
        <w:rPr>
          <w:rFonts w:cs="Times New Roman"/>
          <w:spacing w:val="-5"/>
          <w:sz w:val="18"/>
          <w:szCs w:val="18"/>
          <w:lang w:val="es-ES_tradnl"/>
        </w:rPr>
        <w:t>ó</w:t>
      </w:r>
      <w:r>
        <w:rPr>
          <w:spacing w:val="-5"/>
          <w:sz w:val="18"/>
          <w:szCs w:val="18"/>
          <w:lang w:val="es-ES_tradnl"/>
        </w:rPr>
        <w:t xml:space="preserve">n </w:t>
      </w:r>
      <w:r>
        <w:rPr>
          <w:sz w:val="18"/>
          <w:szCs w:val="18"/>
          <w:lang w:val="es-ES_tradnl"/>
        </w:rPr>
        <w:t>del Estado</w:t>
      </w:r>
    </w:p>
    <w:p w14:paraId="4F67ABED" w14:textId="77777777" w:rsidR="00591D54" w:rsidRDefault="00591D54">
      <w:pPr>
        <w:shd w:val="clear" w:color="auto" w:fill="FFFFFF"/>
        <w:spacing w:before="192" w:line="216" w:lineRule="exact"/>
        <w:jc w:val="both"/>
      </w:pPr>
      <w:r>
        <w:rPr>
          <w:spacing w:val="-6"/>
          <w:sz w:val="18"/>
          <w:szCs w:val="18"/>
          <w:lang w:val="es-ES_tradnl"/>
        </w:rPr>
        <w:t>En conclusi</w:t>
      </w:r>
      <w:r>
        <w:rPr>
          <w:rFonts w:cs="Times New Roman"/>
          <w:spacing w:val="-6"/>
          <w:sz w:val="18"/>
          <w:szCs w:val="18"/>
          <w:lang w:val="es-ES_tradnl"/>
        </w:rPr>
        <w:t>ó</w:t>
      </w:r>
      <w:r>
        <w:rPr>
          <w:spacing w:val="-6"/>
          <w:sz w:val="18"/>
          <w:szCs w:val="18"/>
          <w:lang w:val="es-ES_tradnl"/>
        </w:rPr>
        <w:t>n se</w:t>
      </w:r>
      <w:r>
        <w:rPr>
          <w:rFonts w:cs="Times New Roman"/>
          <w:spacing w:val="-6"/>
          <w:sz w:val="18"/>
          <w:szCs w:val="18"/>
          <w:lang w:val="es-ES_tradnl"/>
        </w:rPr>
        <w:t>ñ</w:t>
      </w:r>
      <w:r>
        <w:rPr>
          <w:spacing w:val="-6"/>
          <w:sz w:val="18"/>
          <w:szCs w:val="18"/>
          <w:lang w:val="es-ES_tradnl"/>
        </w:rPr>
        <w:t>ala que el fallo dictado en la acci</w:t>
      </w:r>
      <w:r>
        <w:rPr>
          <w:rFonts w:cs="Times New Roman"/>
          <w:spacing w:val="-6"/>
          <w:sz w:val="18"/>
          <w:szCs w:val="18"/>
          <w:lang w:val="es-ES_tradnl"/>
        </w:rPr>
        <w:t>ó</w:t>
      </w:r>
      <w:r>
        <w:rPr>
          <w:spacing w:val="-6"/>
          <w:sz w:val="18"/>
          <w:szCs w:val="18"/>
          <w:lang w:val="es-ES_tradnl"/>
        </w:rPr>
        <w:t xml:space="preserve">n de </w:t>
      </w:r>
      <w:r>
        <w:rPr>
          <w:spacing w:val="-9"/>
          <w:sz w:val="18"/>
          <w:szCs w:val="18"/>
          <w:lang w:val="es-ES_tradnl"/>
        </w:rPr>
        <w:t>h</w:t>
      </w:r>
      <w:r>
        <w:rPr>
          <w:rFonts w:cs="Times New Roman"/>
          <w:spacing w:val="-9"/>
          <w:sz w:val="18"/>
          <w:szCs w:val="18"/>
          <w:lang w:val="es-ES_tradnl"/>
        </w:rPr>
        <w:t>á</w:t>
      </w:r>
      <w:r>
        <w:rPr>
          <w:spacing w:val="-9"/>
          <w:sz w:val="18"/>
          <w:szCs w:val="18"/>
          <w:lang w:val="es-ES_tradnl"/>
        </w:rPr>
        <w:t>beas data en referencia, se hizo con sujeci</w:t>
      </w:r>
      <w:r>
        <w:rPr>
          <w:rFonts w:cs="Times New Roman"/>
          <w:spacing w:val="-9"/>
          <w:sz w:val="18"/>
          <w:szCs w:val="18"/>
          <w:lang w:val="es-ES_tradnl"/>
        </w:rPr>
        <w:t>ó</w:t>
      </w:r>
      <w:r>
        <w:rPr>
          <w:spacing w:val="-9"/>
          <w:sz w:val="18"/>
          <w:szCs w:val="18"/>
          <w:lang w:val="es-ES_tradnl"/>
        </w:rPr>
        <w:t xml:space="preserve">n expresa de </w:t>
      </w:r>
      <w:r>
        <w:rPr>
          <w:spacing w:val="-8"/>
          <w:sz w:val="18"/>
          <w:szCs w:val="18"/>
          <w:lang w:val="es-ES_tradnl"/>
        </w:rPr>
        <w:t>las normas establecidas en la Ley Org</w:t>
      </w:r>
      <w:r>
        <w:rPr>
          <w:rFonts w:cs="Times New Roman"/>
          <w:spacing w:val="-8"/>
          <w:sz w:val="18"/>
          <w:szCs w:val="18"/>
          <w:lang w:val="es-ES_tradnl"/>
        </w:rPr>
        <w:t>á</w:t>
      </w:r>
      <w:r>
        <w:rPr>
          <w:spacing w:val="-8"/>
          <w:sz w:val="18"/>
          <w:szCs w:val="18"/>
          <w:lang w:val="es-ES_tradnl"/>
        </w:rPr>
        <w:t>nica de Garant</w:t>
      </w:r>
      <w:r>
        <w:rPr>
          <w:rFonts w:cs="Times New Roman"/>
          <w:spacing w:val="-8"/>
          <w:sz w:val="18"/>
          <w:szCs w:val="18"/>
          <w:lang w:val="es-ES_tradnl"/>
        </w:rPr>
        <w:t>í</w:t>
      </w:r>
      <w:r>
        <w:rPr>
          <w:spacing w:val="-8"/>
          <w:sz w:val="18"/>
          <w:szCs w:val="18"/>
          <w:lang w:val="es-ES_tradnl"/>
        </w:rPr>
        <w:t xml:space="preserve">as </w:t>
      </w:r>
      <w:r>
        <w:rPr>
          <w:sz w:val="18"/>
          <w:szCs w:val="18"/>
          <w:lang w:val="es-ES_tradnl"/>
        </w:rPr>
        <w:t>Jurisdiccionales y Control Constitucional, y en 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ABEE" w14:textId="77777777" w:rsidR="00591D54" w:rsidRDefault="00591D54">
      <w:pPr>
        <w:shd w:val="clear" w:color="auto" w:fill="FFFFFF"/>
        <w:spacing w:before="192"/>
      </w:pPr>
      <w:r>
        <w:rPr>
          <w:b/>
          <w:bCs/>
          <w:spacing w:val="-9"/>
          <w:sz w:val="18"/>
          <w:szCs w:val="18"/>
          <w:lang w:val="es-ES_tradnl"/>
        </w:rPr>
        <w:t>Audiencia</w:t>
      </w:r>
    </w:p>
    <w:p w14:paraId="4F67ABEF" w14:textId="77777777" w:rsidR="00591D54" w:rsidRDefault="00591D54">
      <w:pPr>
        <w:shd w:val="clear" w:color="auto" w:fill="FFFFFF"/>
        <w:spacing w:before="197" w:line="216" w:lineRule="exact"/>
        <w:jc w:val="both"/>
      </w:pPr>
      <w:r>
        <w:rPr>
          <w:spacing w:val="-3"/>
          <w:sz w:val="18"/>
          <w:szCs w:val="18"/>
          <w:lang w:val="es-ES_tradnl"/>
        </w:rPr>
        <w:t xml:space="preserve">A foja 40 del proceso de la Corte Constitucional consta </w:t>
      </w:r>
      <w:r>
        <w:rPr>
          <w:spacing w:val="-6"/>
          <w:sz w:val="18"/>
          <w:szCs w:val="18"/>
          <w:lang w:val="es-ES_tradnl"/>
        </w:rPr>
        <w:t>la raz</w:t>
      </w:r>
      <w:r>
        <w:rPr>
          <w:rFonts w:cs="Times New Roman"/>
          <w:spacing w:val="-6"/>
          <w:sz w:val="18"/>
          <w:szCs w:val="18"/>
          <w:lang w:val="es-ES_tradnl"/>
        </w:rPr>
        <w:t>ó</w:t>
      </w:r>
      <w:r>
        <w:rPr>
          <w:spacing w:val="-6"/>
          <w:sz w:val="18"/>
          <w:szCs w:val="18"/>
          <w:lang w:val="es-ES_tradnl"/>
        </w:rPr>
        <w:t>n del 2 de marzo de 2011 en la cual, se manifiesta</w:t>
      </w:r>
    </w:p>
    <w:p w14:paraId="4F67ABF0" w14:textId="77777777" w:rsidR="00591D54" w:rsidRDefault="00591D54">
      <w:pPr>
        <w:shd w:val="clear" w:color="auto" w:fill="FFFFFF"/>
        <w:spacing w:before="197" w:line="216" w:lineRule="exact"/>
        <w:jc w:val="both"/>
        <w:sectPr w:rsidR="00591D54">
          <w:type w:val="continuous"/>
          <w:pgSz w:w="11909" w:h="16834"/>
          <w:pgMar w:top="1371" w:right="1309" w:bottom="360" w:left="1308" w:header="720" w:footer="720" w:gutter="0"/>
          <w:cols w:num="2" w:space="720" w:equalWidth="0">
            <w:col w:w="4305" w:space="682"/>
            <w:col w:w="4305"/>
          </w:cols>
          <w:noEndnote/>
        </w:sectPr>
      </w:pPr>
    </w:p>
    <w:p w14:paraId="4F67ABF1"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- 103</w:t>
      </w:r>
    </w:p>
    <w:p w14:paraId="4F67ABF2" w14:textId="77777777" w:rsidR="00591D54" w:rsidRDefault="00591D54">
      <w:pPr>
        <w:shd w:val="clear" w:color="auto" w:fill="FFFFFF"/>
        <w:tabs>
          <w:tab w:val="left" w:pos="5842"/>
        </w:tabs>
        <w:spacing w:after="235"/>
        <w:ind w:left="5"/>
        <w:sectPr w:rsidR="00591D54">
          <w:pgSz w:w="11909" w:h="16834"/>
          <w:pgMar w:top="1356" w:right="1309" w:bottom="360" w:left="1308" w:header="720" w:footer="720" w:gutter="0"/>
          <w:cols w:space="60"/>
          <w:noEndnote/>
        </w:sectPr>
      </w:pPr>
    </w:p>
    <w:p w14:paraId="4F67ABF3" w14:textId="77777777" w:rsidR="00591D54" w:rsidRDefault="00591D54">
      <w:pPr>
        <w:shd w:val="clear" w:color="auto" w:fill="FFFFFF"/>
        <w:spacing w:line="206" w:lineRule="exact"/>
        <w:jc w:val="both"/>
      </w:pPr>
      <w:r>
        <w:rPr>
          <w:spacing w:val="-8"/>
          <w:sz w:val="18"/>
          <w:szCs w:val="18"/>
          <w:lang w:val="es-ES_tradnl"/>
        </w:rPr>
        <w:t>que no se llev</w:t>
      </w:r>
      <w:r>
        <w:rPr>
          <w:rFonts w:cs="Times New Roman"/>
          <w:spacing w:val="-8"/>
          <w:sz w:val="18"/>
          <w:szCs w:val="18"/>
          <w:lang w:val="es-ES_tradnl"/>
        </w:rPr>
        <w:t>ó</w:t>
      </w:r>
      <w:r>
        <w:rPr>
          <w:spacing w:val="-8"/>
          <w:sz w:val="18"/>
          <w:szCs w:val="18"/>
          <w:lang w:val="es-ES_tradnl"/>
        </w:rPr>
        <w:t xml:space="preserve"> a cabo la audiencia p</w:t>
      </w:r>
      <w:r>
        <w:rPr>
          <w:rFonts w:cs="Times New Roman"/>
          <w:spacing w:val="-8"/>
          <w:sz w:val="18"/>
          <w:szCs w:val="18"/>
          <w:lang w:val="es-ES_tradnl"/>
        </w:rPr>
        <w:t>ú</w:t>
      </w:r>
      <w:r>
        <w:rPr>
          <w:spacing w:val="-8"/>
          <w:sz w:val="18"/>
          <w:szCs w:val="18"/>
          <w:lang w:val="es-ES_tradnl"/>
        </w:rPr>
        <w:t>blica se</w:t>
      </w:r>
      <w:r>
        <w:rPr>
          <w:rFonts w:cs="Times New Roman"/>
          <w:spacing w:val="-8"/>
          <w:sz w:val="18"/>
          <w:szCs w:val="18"/>
          <w:lang w:val="es-ES_tradnl"/>
        </w:rPr>
        <w:t>ñ</w:t>
      </w:r>
      <w:r>
        <w:rPr>
          <w:spacing w:val="-8"/>
          <w:sz w:val="18"/>
          <w:szCs w:val="18"/>
          <w:lang w:val="es-ES_tradnl"/>
        </w:rPr>
        <w:t xml:space="preserve">alada en la </w:t>
      </w:r>
      <w:r>
        <w:rPr>
          <w:spacing w:val="-9"/>
          <w:sz w:val="18"/>
          <w:szCs w:val="18"/>
          <w:lang w:val="es-ES_tradnl"/>
        </w:rPr>
        <w:t>presente acci</w:t>
      </w:r>
      <w:r>
        <w:rPr>
          <w:rFonts w:cs="Times New Roman"/>
          <w:spacing w:val="-9"/>
          <w:sz w:val="18"/>
          <w:szCs w:val="18"/>
          <w:lang w:val="es-ES_tradnl"/>
        </w:rPr>
        <w:t>ó</w:t>
      </w:r>
      <w:r>
        <w:rPr>
          <w:spacing w:val="-9"/>
          <w:sz w:val="18"/>
          <w:szCs w:val="18"/>
          <w:lang w:val="es-ES_tradnl"/>
        </w:rPr>
        <w:t>n extraordinaria de protecci</w:t>
      </w:r>
      <w:r>
        <w:rPr>
          <w:rFonts w:cs="Times New Roman"/>
          <w:spacing w:val="-9"/>
          <w:sz w:val="18"/>
          <w:szCs w:val="18"/>
          <w:lang w:val="es-ES_tradnl"/>
        </w:rPr>
        <w:t>ó</w:t>
      </w:r>
      <w:r>
        <w:rPr>
          <w:spacing w:val="-9"/>
          <w:sz w:val="18"/>
          <w:szCs w:val="18"/>
          <w:lang w:val="es-ES_tradnl"/>
        </w:rPr>
        <w:t xml:space="preserve">n por cuanto, no </w:t>
      </w:r>
      <w:r>
        <w:rPr>
          <w:sz w:val="18"/>
          <w:szCs w:val="18"/>
          <w:lang w:val="es-ES_tradnl"/>
        </w:rPr>
        <w:t>comparecieron ninguna de las partes.</w:t>
      </w:r>
    </w:p>
    <w:p w14:paraId="4F67ABF4" w14:textId="77777777" w:rsidR="00591D54" w:rsidRDefault="00591D54">
      <w:pPr>
        <w:shd w:val="clear" w:color="auto" w:fill="FFFFFF"/>
        <w:spacing w:before="182" w:line="211" w:lineRule="exact"/>
        <w:ind w:left="686" w:right="326" w:hanging="355"/>
      </w:pPr>
      <w:r>
        <w:rPr>
          <w:b/>
          <w:bCs/>
          <w:spacing w:val="-1"/>
          <w:sz w:val="18"/>
          <w:szCs w:val="18"/>
          <w:lang w:val="es-ES_tradnl"/>
        </w:rPr>
        <w:t xml:space="preserve">II. CONSIDERACIONES Y FUNDAMENTOS </w:t>
      </w:r>
      <w:r>
        <w:rPr>
          <w:b/>
          <w:bCs/>
          <w:sz w:val="18"/>
          <w:szCs w:val="18"/>
          <w:lang w:val="es-ES_tradnl"/>
        </w:rPr>
        <w:t>DE LA CORTE CONSTITUCIONAL</w:t>
      </w:r>
    </w:p>
    <w:p w14:paraId="4F67ABF5" w14:textId="77777777" w:rsidR="00591D54" w:rsidRDefault="00591D54">
      <w:pPr>
        <w:shd w:val="clear" w:color="auto" w:fill="FFFFFF"/>
        <w:spacing w:before="187"/>
      </w:pPr>
      <w:r>
        <w:rPr>
          <w:b/>
          <w:bCs/>
          <w:spacing w:val="-8"/>
          <w:sz w:val="18"/>
          <w:szCs w:val="18"/>
          <w:lang w:val="es-ES_tradnl"/>
        </w:rPr>
        <w:t>Competencia de la Corte Constitucional</w:t>
      </w:r>
    </w:p>
    <w:p w14:paraId="4F67ABF6" w14:textId="77777777" w:rsidR="00591D54" w:rsidRDefault="00591D54">
      <w:pPr>
        <w:shd w:val="clear" w:color="auto" w:fill="FFFFFF"/>
        <w:spacing w:before="182" w:line="206" w:lineRule="exact"/>
        <w:jc w:val="both"/>
      </w:pPr>
      <w:r>
        <w:rPr>
          <w:spacing w:val="-7"/>
          <w:sz w:val="18"/>
          <w:szCs w:val="18"/>
          <w:lang w:val="es-ES_tradnl"/>
        </w:rPr>
        <w:t>De conformidad con lo dispuesto en los art</w:t>
      </w:r>
      <w:r>
        <w:rPr>
          <w:rFonts w:cs="Times New Roman"/>
          <w:spacing w:val="-7"/>
          <w:sz w:val="18"/>
          <w:szCs w:val="18"/>
          <w:lang w:val="es-ES_tradnl"/>
        </w:rPr>
        <w:t>í</w:t>
      </w:r>
      <w:r>
        <w:rPr>
          <w:spacing w:val="-7"/>
          <w:sz w:val="18"/>
          <w:szCs w:val="18"/>
          <w:lang w:val="es-ES_tradnl"/>
        </w:rPr>
        <w:t xml:space="preserve">culos 94 y 437 </w:t>
      </w:r>
      <w:r>
        <w:rPr>
          <w:spacing w:val="-5"/>
          <w:sz w:val="18"/>
          <w:szCs w:val="18"/>
          <w:lang w:val="es-ES_tradnl"/>
        </w:rPr>
        <w:t>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 xml:space="preserve">blica, el Pleno de la Corte </w:t>
      </w:r>
      <w:r>
        <w:rPr>
          <w:spacing w:val="-3"/>
          <w:sz w:val="18"/>
          <w:szCs w:val="18"/>
          <w:lang w:val="es-ES_tradnl"/>
        </w:rPr>
        <w:t xml:space="preserve">Constitucional es competente para conocer y resolver </w:t>
      </w:r>
      <w:r>
        <w:rPr>
          <w:spacing w:val="-7"/>
          <w:sz w:val="18"/>
          <w:szCs w:val="18"/>
          <w:lang w:val="es-ES_tradnl"/>
        </w:rPr>
        <w:t>sobre las acciones extraordinarias de protecci</w:t>
      </w:r>
      <w:r>
        <w:rPr>
          <w:rFonts w:cs="Times New Roman"/>
          <w:spacing w:val="-7"/>
          <w:sz w:val="18"/>
          <w:szCs w:val="18"/>
          <w:lang w:val="es-ES_tradnl"/>
        </w:rPr>
        <w:t>ó</w:t>
      </w:r>
      <w:r>
        <w:rPr>
          <w:spacing w:val="-7"/>
          <w:sz w:val="18"/>
          <w:szCs w:val="18"/>
          <w:lang w:val="es-ES_tradnl"/>
        </w:rPr>
        <w:t xml:space="preserve">n contra </w:t>
      </w:r>
      <w:r>
        <w:rPr>
          <w:spacing w:val="-3"/>
          <w:sz w:val="18"/>
          <w:szCs w:val="18"/>
          <w:lang w:val="es-ES_tradnl"/>
        </w:rPr>
        <w:t xml:space="preserve">sentencias, autos definitivos y resoluciones con fuerza </w:t>
      </w:r>
      <w:r>
        <w:rPr>
          <w:spacing w:val="-6"/>
          <w:sz w:val="18"/>
          <w:szCs w:val="18"/>
          <w:lang w:val="es-ES_tradnl"/>
        </w:rPr>
        <w:t>de sentencia, en concordancia con los art</w:t>
      </w:r>
      <w:r>
        <w:rPr>
          <w:rFonts w:cs="Times New Roman"/>
          <w:spacing w:val="-6"/>
          <w:sz w:val="18"/>
          <w:szCs w:val="18"/>
          <w:lang w:val="es-ES_tradnl"/>
        </w:rPr>
        <w:t>í</w:t>
      </w:r>
      <w:r>
        <w:rPr>
          <w:spacing w:val="-6"/>
          <w:sz w:val="18"/>
          <w:szCs w:val="18"/>
          <w:lang w:val="es-ES_tradnl"/>
        </w:rPr>
        <w:t xml:space="preserve">culos 63 y 191 </w:t>
      </w:r>
      <w:r>
        <w:rPr>
          <w:spacing w:val="-9"/>
          <w:sz w:val="18"/>
          <w:szCs w:val="18"/>
          <w:lang w:val="es-ES_tradnl"/>
        </w:rPr>
        <w:t>numeral 2 de la Ley Org</w:t>
      </w:r>
      <w:r>
        <w:rPr>
          <w:rFonts w:cs="Times New Roman"/>
          <w:spacing w:val="-9"/>
          <w:sz w:val="18"/>
          <w:szCs w:val="18"/>
          <w:lang w:val="es-ES_tradnl"/>
        </w:rPr>
        <w:t>á</w:t>
      </w:r>
      <w:r>
        <w:rPr>
          <w:spacing w:val="-9"/>
          <w:sz w:val="18"/>
          <w:szCs w:val="18"/>
          <w:lang w:val="es-ES_tradnl"/>
        </w:rPr>
        <w:t>nica de Garant</w:t>
      </w:r>
      <w:r>
        <w:rPr>
          <w:rFonts w:cs="Times New Roman"/>
          <w:spacing w:val="-9"/>
          <w:sz w:val="18"/>
          <w:szCs w:val="18"/>
          <w:lang w:val="es-ES_tradnl"/>
        </w:rPr>
        <w:t>í</w:t>
      </w:r>
      <w:r>
        <w:rPr>
          <w:spacing w:val="-9"/>
          <w:sz w:val="18"/>
          <w:szCs w:val="18"/>
          <w:lang w:val="es-ES_tradnl"/>
        </w:rPr>
        <w:t xml:space="preserve">as Jurisdiccionales </w:t>
      </w:r>
      <w:r>
        <w:rPr>
          <w:sz w:val="18"/>
          <w:szCs w:val="18"/>
          <w:lang w:val="es-ES_tradnl"/>
        </w:rPr>
        <w:t>y Control Constitucional.</w:t>
      </w:r>
    </w:p>
    <w:p w14:paraId="4F67ABF7" w14:textId="77777777" w:rsidR="00591D54" w:rsidRDefault="00591D54">
      <w:pPr>
        <w:shd w:val="clear" w:color="auto" w:fill="FFFFFF"/>
        <w:spacing w:before="182" w:line="206" w:lineRule="exact"/>
        <w:jc w:val="both"/>
      </w:pPr>
      <w:r>
        <w:rPr>
          <w:b/>
          <w:bCs/>
          <w:spacing w:val="-5"/>
          <w:sz w:val="18"/>
          <w:szCs w:val="18"/>
          <w:lang w:val="es-ES_tradnl"/>
        </w:rPr>
        <w:t>Naturaleza jur</w:t>
      </w:r>
      <w:r>
        <w:rPr>
          <w:rFonts w:cs="Times New Roman"/>
          <w:b/>
          <w:bCs/>
          <w:spacing w:val="-5"/>
          <w:sz w:val="18"/>
          <w:szCs w:val="18"/>
          <w:lang w:val="es-ES_tradnl"/>
        </w:rPr>
        <w:t>í</w:t>
      </w:r>
      <w:r>
        <w:rPr>
          <w:b/>
          <w:bCs/>
          <w:spacing w:val="-5"/>
          <w:sz w:val="18"/>
          <w:szCs w:val="18"/>
          <w:lang w:val="es-ES_tradnl"/>
        </w:rPr>
        <w:t>dica de la acci</w:t>
      </w:r>
      <w:r>
        <w:rPr>
          <w:rFonts w:cs="Times New Roman"/>
          <w:b/>
          <w:bCs/>
          <w:spacing w:val="-5"/>
          <w:sz w:val="18"/>
          <w:szCs w:val="18"/>
          <w:lang w:val="es-ES_tradnl"/>
        </w:rPr>
        <w:t>ó</w:t>
      </w:r>
      <w:r>
        <w:rPr>
          <w:b/>
          <w:bCs/>
          <w:spacing w:val="-5"/>
          <w:sz w:val="18"/>
          <w:szCs w:val="18"/>
          <w:lang w:val="es-ES_tradnl"/>
        </w:rPr>
        <w:t xml:space="preserve">n extraordinaria de </w:t>
      </w:r>
      <w:r>
        <w:rPr>
          <w:b/>
          <w:bCs/>
          <w:sz w:val="18"/>
          <w:szCs w:val="18"/>
          <w:lang w:val="es-ES_tradnl"/>
        </w:rPr>
        <w:t>protecci</w:t>
      </w:r>
      <w:r>
        <w:rPr>
          <w:rFonts w:cs="Times New Roman"/>
          <w:b/>
          <w:bCs/>
          <w:sz w:val="18"/>
          <w:szCs w:val="18"/>
          <w:lang w:val="es-ES_tradnl"/>
        </w:rPr>
        <w:t>ó</w:t>
      </w:r>
      <w:r>
        <w:rPr>
          <w:b/>
          <w:bCs/>
          <w:sz w:val="18"/>
          <w:szCs w:val="18"/>
          <w:lang w:val="es-ES_tradnl"/>
        </w:rPr>
        <w:t>n</w:t>
      </w:r>
    </w:p>
    <w:p w14:paraId="4F67ABF8" w14:textId="77777777" w:rsidR="00591D54" w:rsidRDefault="00591D54">
      <w:pPr>
        <w:shd w:val="clear" w:color="auto" w:fill="FFFFFF"/>
        <w:spacing w:before="187" w:line="206" w:lineRule="exact"/>
        <w:jc w:val="both"/>
      </w:pPr>
      <w:r>
        <w:rPr>
          <w:sz w:val="18"/>
          <w:szCs w:val="18"/>
          <w:lang w:val="es-ES_tradnl"/>
        </w:rPr>
        <w:t>La acci</w:t>
      </w:r>
      <w:r>
        <w:rPr>
          <w:rFonts w:cs="Times New Roman"/>
          <w:sz w:val="18"/>
          <w:szCs w:val="18"/>
          <w:lang w:val="es-ES_tradnl"/>
        </w:rPr>
        <w:t>ó</w:t>
      </w:r>
      <w:r>
        <w:rPr>
          <w:sz w:val="18"/>
          <w:szCs w:val="18"/>
          <w:lang w:val="es-ES_tradnl"/>
        </w:rPr>
        <w:t>n extraordinaria de protecci</w:t>
      </w:r>
      <w:r>
        <w:rPr>
          <w:rFonts w:cs="Times New Roman"/>
          <w:sz w:val="18"/>
          <w:szCs w:val="18"/>
          <w:lang w:val="es-ES_tradnl"/>
        </w:rPr>
        <w:t>ó</w:t>
      </w:r>
      <w:r>
        <w:rPr>
          <w:sz w:val="18"/>
          <w:szCs w:val="18"/>
          <w:lang w:val="es-ES_tradnl"/>
        </w:rPr>
        <w:t xml:space="preserve">n procede </w:t>
      </w:r>
      <w:r>
        <w:rPr>
          <w:spacing w:val="-6"/>
          <w:sz w:val="18"/>
          <w:szCs w:val="18"/>
          <w:lang w:val="es-ES_tradnl"/>
        </w:rPr>
        <w:t>exclusivamente en contra de sentencias o autos en firme o ejecutoriados en los que se haya violado por acci</w:t>
      </w:r>
      <w:r>
        <w:rPr>
          <w:rFonts w:cs="Times New Roman"/>
          <w:spacing w:val="-6"/>
          <w:sz w:val="18"/>
          <w:szCs w:val="18"/>
          <w:lang w:val="es-ES_tradnl"/>
        </w:rPr>
        <w:t>ó</w:t>
      </w:r>
      <w:r>
        <w:rPr>
          <w:spacing w:val="-6"/>
          <w:sz w:val="18"/>
          <w:szCs w:val="18"/>
          <w:lang w:val="es-ES_tradnl"/>
        </w:rPr>
        <w:t>n u omisi</w:t>
      </w:r>
      <w:r>
        <w:rPr>
          <w:rFonts w:cs="Times New Roman"/>
          <w:spacing w:val="-6"/>
          <w:sz w:val="18"/>
          <w:szCs w:val="18"/>
          <w:lang w:val="es-ES_tradnl"/>
        </w:rPr>
        <w:t>ó</w:t>
      </w:r>
      <w:r>
        <w:rPr>
          <w:spacing w:val="-6"/>
          <w:sz w:val="18"/>
          <w:szCs w:val="18"/>
          <w:lang w:val="es-ES_tradnl"/>
        </w:rPr>
        <w:t>n, derechos reconocidos en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en esencia, la Corte Constitucional, por medio </w:t>
      </w:r>
      <w:r>
        <w:rPr>
          <w:spacing w:val="-5"/>
          <w:sz w:val="18"/>
          <w:szCs w:val="18"/>
          <w:lang w:val="es-ES_tradnl"/>
        </w:rPr>
        <w:t>de esta acci</w:t>
      </w:r>
      <w:r>
        <w:rPr>
          <w:rFonts w:cs="Times New Roman"/>
          <w:spacing w:val="-5"/>
          <w:sz w:val="18"/>
          <w:szCs w:val="18"/>
          <w:lang w:val="es-ES_tradnl"/>
        </w:rPr>
        <w:t>ó</w:t>
      </w:r>
      <w:r>
        <w:rPr>
          <w:spacing w:val="-5"/>
          <w:sz w:val="18"/>
          <w:szCs w:val="18"/>
          <w:lang w:val="es-ES_tradnl"/>
        </w:rPr>
        <w:t>n excepcional, solo se pronunciar</w:t>
      </w:r>
      <w:r>
        <w:rPr>
          <w:rFonts w:cs="Times New Roman"/>
          <w:spacing w:val="-5"/>
          <w:sz w:val="18"/>
          <w:szCs w:val="18"/>
          <w:lang w:val="es-ES_tradnl"/>
        </w:rPr>
        <w:t>á</w:t>
      </w:r>
      <w:r>
        <w:rPr>
          <w:spacing w:val="-5"/>
          <w:sz w:val="18"/>
          <w:szCs w:val="18"/>
          <w:lang w:val="es-ES_tradnl"/>
        </w:rPr>
        <w:t xml:space="preserve"> respecto </w:t>
      </w:r>
      <w:r>
        <w:rPr>
          <w:spacing w:val="-7"/>
          <w:sz w:val="18"/>
          <w:szCs w:val="18"/>
          <w:lang w:val="es-ES_tradnl"/>
        </w:rPr>
        <w:t>a dos cuestiones principales: la vulneraci</w:t>
      </w:r>
      <w:r>
        <w:rPr>
          <w:rFonts w:cs="Times New Roman"/>
          <w:spacing w:val="-7"/>
          <w:sz w:val="18"/>
          <w:szCs w:val="18"/>
          <w:lang w:val="es-ES_tradnl"/>
        </w:rPr>
        <w:t>ó</w:t>
      </w:r>
      <w:r>
        <w:rPr>
          <w:spacing w:val="-7"/>
          <w:sz w:val="18"/>
          <w:szCs w:val="18"/>
          <w:lang w:val="es-ES_tradnl"/>
        </w:rPr>
        <w:t xml:space="preserve">n de derechos </w:t>
      </w:r>
      <w:r>
        <w:rPr>
          <w:spacing w:val="-3"/>
          <w:sz w:val="18"/>
          <w:szCs w:val="18"/>
          <w:lang w:val="es-ES_tradnl"/>
        </w:rPr>
        <w:t>constitucionales o la violaci</w:t>
      </w:r>
      <w:r>
        <w:rPr>
          <w:rFonts w:cs="Times New Roman"/>
          <w:spacing w:val="-3"/>
          <w:sz w:val="18"/>
          <w:szCs w:val="18"/>
          <w:lang w:val="es-ES_tradnl"/>
        </w:rPr>
        <w:t>ó</w:t>
      </w:r>
      <w:r>
        <w:rPr>
          <w:spacing w:val="-3"/>
          <w:sz w:val="18"/>
          <w:szCs w:val="18"/>
          <w:lang w:val="es-ES_tradnl"/>
        </w:rPr>
        <w:t xml:space="preserve">n de normas del debido </w:t>
      </w:r>
      <w:r>
        <w:rPr>
          <w:sz w:val="18"/>
          <w:szCs w:val="18"/>
          <w:lang w:val="es-ES_tradnl"/>
        </w:rPr>
        <w:t>proceso.</w:t>
      </w:r>
    </w:p>
    <w:p w14:paraId="4F67ABF9" w14:textId="77777777" w:rsidR="00591D54" w:rsidRDefault="00591D54">
      <w:pPr>
        <w:shd w:val="clear" w:color="auto" w:fill="FFFFFF"/>
        <w:spacing w:before="187" w:line="206" w:lineRule="exact"/>
        <w:ind w:right="5"/>
        <w:jc w:val="both"/>
      </w:pPr>
      <w:r>
        <w:rPr>
          <w:spacing w:val="-9"/>
          <w:sz w:val="18"/>
          <w:szCs w:val="18"/>
          <w:lang w:val="es-ES_tradnl"/>
        </w:rPr>
        <w:t>La acci</w:t>
      </w:r>
      <w:r>
        <w:rPr>
          <w:rFonts w:cs="Times New Roman"/>
          <w:spacing w:val="-9"/>
          <w:sz w:val="18"/>
          <w:szCs w:val="18"/>
          <w:lang w:val="es-ES_tradnl"/>
        </w:rPr>
        <w:t>ó</w:t>
      </w:r>
      <w:r>
        <w:rPr>
          <w:spacing w:val="-9"/>
          <w:sz w:val="18"/>
          <w:szCs w:val="18"/>
          <w:lang w:val="es-ES_tradnl"/>
        </w:rPr>
        <w:t>n extraordinaria de protecci</w:t>
      </w:r>
      <w:r>
        <w:rPr>
          <w:rFonts w:cs="Times New Roman"/>
          <w:spacing w:val="-9"/>
          <w:sz w:val="18"/>
          <w:szCs w:val="18"/>
          <w:lang w:val="es-ES_tradnl"/>
        </w:rPr>
        <w:t>ó</w:t>
      </w:r>
      <w:r>
        <w:rPr>
          <w:spacing w:val="-9"/>
          <w:sz w:val="18"/>
          <w:szCs w:val="18"/>
          <w:lang w:val="es-ES_tradnl"/>
        </w:rPr>
        <w:t xml:space="preserve">n tiene como finalidad </w:t>
      </w:r>
      <w:r>
        <w:rPr>
          <w:spacing w:val="-4"/>
          <w:sz w:val="18"/>
          <w:szCs w:val="18"/>
          <w:lang w:val="es-ES_tradnl"/>
        </w:rPr>
        <w:t>que la vulneraci</w:t>
      </w:r>
      <w:r>
        <w:rPr>
          <w:rFonts w:cs="Times New Roman"/>
          <w:spacing w:val="-4"/>
          <w:sz w:val="18"/>
          <w:szCs w:val="18"/>
          <w:lang w:val="es-ES_tradnl"/>
        </w:rPr>
        <w:t>ó</w:t>
      </w:r>
      <w:r>
        <w:rPr>
          <w:spacing w:val="-4"/>
          <w:sz w:val="18"/>
          <w:szCs w:val="18"/>
          <w:lang w:val="es-ES_tradnl"/>
        </w:rPr>
        <w:t xml:space="preserve">n de derechos constitucionales o la </w:t>
      </w:r>
      <w:r>
        <w:rPr>
          <w:spacing w:val="-7"/>
          <w:sz w:val="18"/>
          <w:szCs w:val="18"/>
          <w:lang w:val="es-ES_tradnl"/>
        </w:rPr>
        <w:t>violaci</w:t>
      </w:r>
      <w:r>
        <w:rPr>
          <w:rFonts w:cs="Times New Roman"/>
          <w:spacing w:val="-7"/>
          <w:sz w:val="18"/>
          <w:szCs w:val="18"/>
          <w:lang w:val="es-ES_tradnl"/>
        </w:rPr>
        <w:t>ó</w:t>
      </w:r>
      <w:r>
        <w:rPr>
          <w:spacing w:val="-7"/>
          <w:sz w:val="18"/>
          <w:szCs w:val="18"/>
          <w:lang w:val="es-ES_tradnl"/>
        </w:rPr>
        <w:t xml:space="preserve">n de normas del debido proceso no queden en la </w:t>
      </w:r>
      <w:r>
        <w:rPr>
          <w:spacing w:val="-2"/>
          <w:sz w:val="18"/>
          <w:szCs w:val="18"/>
          <w:lang w:val="es-ES_tradnl"/>
        </w:rPr>
        <w:t>impunidad, por lo que asumiendo el esp</w:t>
      </w:r>
      <w:r>
        <w:rPr>
          <w:rFonts w:cs="Times New Roman"/>
          <w:spacing w:val="-2"/>
          <w:sz w:val="18"/>
          <w:szCs w:val="18"/>
          <w:lang w:val="es-ES_tradnl"/>
        </w:rPr>
        <w:t>í</w:t>
      </w:r>
      <w:r>
        <w:rPr>
          <w:spacing w:val="-2"/>
          <w:sz w:val="18"/>
          <w:szCs w:val="18"/>
          <w:lang w:val="es-ES_tradnl"/>
        </w:rPr>
        <w:t xml:space="preserve">ritu garantista </w:t>
      </w:r>
      <w:r>
        <w:rPr>
          <w:spacing w:val="-6"/>
          <w:sz w:val="18"/>
          <w:szCs w:val="18"/>
          <w:lang w:val="es-ES_tradnl"/>
        </w:rPr>
        <w:t>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 mediante esta acci</w:t>
      </w:r>
      <w:r>
        <w:rPr>
          <w:rFonts w:cs="Times New Roman"/>
          <w:spacing w:val="-6"/>
          <w:sz w:val="18"/>
          <w:szCs w:val="18"/>
          <w:lang w:val="es-ES_tradnl"/>
        </w:rPr>
        <w:t>ó</w:t>
      </w:r>
      <w:r>
        <w:rPr>
          <w:spacing w:val="-6"/>
          <w:sz w:val="18"/>
          <w:szCs w:val="18"/>
          <w:lang w:val="es-ES_tradnl"/>
        </w:rPr>
        <w:t xml:space="preserve">n </w:t>
      </w:r>
      <w:r>
        <w:rPr>
          <w:spacing w:val="-5"/>
          <w:sz w:val="18"/>
          <w:szCs w:val="18"/>
          <w:lang w:val="es-ES_tradnl"/>
        </w:rPr>
        <w:t xml:space="preserve">excepcional, se permite que las sentencias, autos y </w:t>
      </w:r>
      <w:r>
        <w:rPr>
          <w:spacing w:val="-2"/>
          <w:sz w:val="18"/>
          <w:szCs w:val="18"/>
          <w:lang w:val="es-ES_tradnl"/>
        </w:rPr>
        <w:t xml:space="preserve">resoluciones firmes y ejecutoriados puedan ser objeto </w:t>
      </w:r>
      <w:r>
        <w:rPr>
          <w:spacing w:val="-6"/>
          <w:sz w:val="18"/>
          <w:szCs w:val="18"/>
          <w:lang w:val="es-ES_tradnl"/>
        </w:rPr>
        <w:t>de revisi</w:t>
      </w:r>
      <w:r>
        <w:rPr>
          <w:rFonts w:cs="Times New Roman"/>
          <w:spacing w:val="-6"/>
          <w:sz w:val="18"/>
          <w:szCs w:val="18"/>
          <w:lang w:val="es-ES_tradnl"/>
        </w:rPr>
        <w:t>ó</w:t>
      </w:r>
      <w:r>
        <w:rPr>
          <w:spacing w:val="-6"/>
          <w:sz w:val="18"/>
          <w:szCs w:val="18"/>
          <w:lang w:val="es-ES_tradnl"/>
        </w:rPr>
        <w:t>n por parte del m</w:t>
      </w:r>
      <w:r>
        <w:rPr>
          <w:rFonts w:cs="Times New Roman"/>
          <w:spacing w:val="-6"/>
          <w:sz w:val="18"/>
          <w:szCs w:val="18"/>
          <w:lang w:val="es-ES_tradnl"/>
        </w:rPr>
        <w:t>á</w:t>
      </w:r>
      <w:r>
        <w:rPr>
          <w:spacing w:val="-6"/>
          <w:sz w:val="18"/>
          <w:szCs w:val="18"/>
          <w:lang w:val="es-ES_tradnl"/>
        </w:rPr>
        <w:t xml:space="preserve">s alto </w:t>
      </w:r>
      <w:r>
        <w:rPr>
          <w:rFonts w:cs="Times New Roman"/>
          <w:spacing w:val="-6"/>
          <w:sz w:val="18"/>
          <w:szCs w:val="18"/>
          <w:lang w:val="es-ES_tradnl"/>
        </w:rPr>
        <w:t>ó</w:t>
      </w:r>
      <w:r>
        <w:rPr>
          <w:spacing w:val="-6"/>
          <w:sz w:val="18"/>
          <w:szCs w:val="18"/>
          <w:lang w:val="es-ES_tradnl"/>
        </w:rPr>
        <w:t xml:space="preserve">rgano de control de </w:t>
      </w:r>
      <w:r>
        <w:rPr>
          <w:sz w:val="18"/>
          <w:szCs w:val="18"/>
          <w:lang w:val="es-ES_tradnl"/>
        </w:rPr>
        <w:t>constitucionalidad en el pa</w:t>
      </w:r>
      <w:r>
        <w:rPr>
          <w:rFonts w:cs="Times New Roman"/>
          <w:sz w:val="18"/>
          <w:szCs w:val="18"/>
          <w:lang w:val="es-ES_tradnl"/>
        </w:rPr>
        <w:t>í</w:t>
      </w:r>
      <w:r>
        <w:rPr>
          <w:sz w:val="18"/>
          <w:szCs w:val="18"/>
          <w:lang w:val="es-ES_tradnl"/>
        </w:rPr>
        <w:t>s.</w:t>
      </w:r>
    </w:p>
    <w:p w14:paraId="4F67ABFA" w14:textId="77777777" w:rsidR="00591D54" w:rsidRDefault="00591D54">
      <w:pPr>
        <w:shd w:val="clear" w:color="auto" w:fill="FFFFFF"/>
        <w:spacing w:before="182"/>
      </w:pPr>
      <w:r>
        <w:rPr>
          <w:b/>
          <w:bCs/>
          <w:spacing w:val="-7"/>
          <w:sz w:val="18"/>
          <w:szCs w:val="18"/>
          <w:lang w:val="es-ES_tradnl"/>
        </w:rPr>
        <w:t>Determinaci</w:t>
      </w:r>
      <w:r>
        <w:rPr>
          <w:rFonts w:cs="Times New Roman"/>
          <w:b/>
          <w:bCs/>
          <w:spacing w:val="-7"/>
          <w:sz w:val="18"/>
          <w:szCs w:val="18"/>
          <w:lang w:val="es-ES_tradnl"/>
        </w:rPr>
        <w:t>ó</w:t>
      </w:r>
      <w:r>
        <w:rPr>
          <w:b/>
          <w:bCs/>
          <w:spacing w:val="-7"/>
          <w:sz w:val="18"/>
          <w:szCs w:val="18"/>
          <w:lang w:val="es-ES_tradnl"/>
        </w:rPr>
        <w:t>n del problema jur</w:t>
      </w:r>
      <w:r>
        <w:rPr>
          <w:rFonts w:cs="Times New Roman"/>
          <w:b/>
          <w:bCs/>
          <w:spacing w:val="-7"/>
          <w:sz w:val="18"/>
          <w:szCs w:val="18"/>
          <w:lang w:val="es-ES_tradnl"/>
        </w:rPr>
        <w:t>í</w:t>
      </w:r>
      <w:r>
        <w:rPr>
          <w:b/>
          <w:bCs/>
          <w:spacing w:val="-7"/>
          <w:sz w:val="18"/>
          <w:szCs w:val="18"/>
          <w:lang w:val="es-ES_tradnl"/>
        </w:rPr>
        <w:t>dico</w:t>
      </w:r>
    </w:p>
    <w:p w14:paraId="4F67ABFB" w14:textId="77777777" w:rsidR="00591D54" w:rsidRDefault="00591D54">
      <w:pPr>
        <w:shd w:val="clear" w:color="auto" w:fill="FFFFFF"/>
        <w:spacing w:before="187" w:line="206" w:lineRule="exact"/>
        <w:ind w:right="5"/>
        <w:jc w:val="both"/>
      </w:pPr>
      <w:r>
        <w:rPr>
          <w:spacing w:val="-6"/>
          <w:sz w:val="18"/>
          <w:szCs w:val="18"/>
          <w:lang w:val="es-ES_tradnl"/>
        </w:rPr>
        <w:t xml:space="preserve">Al ser el estado de la causa el de resolver, la Corte </w:t>
      </w:r>
      <w:r>
        <w:rPr>
          <w:spacing w:val="-7"/>
          <w:sz w:val="18"/>
          <w:szCs w:val="18"/>
          <w:lang w:val="es-ES_tradnl"/>
        </w:rPr>
        <w:t>Constitucional procede a efectuar el an</w:t>
      </w:r>
      <w:r>
        <w:rPr>
          <w:rFonts w:cs="Times New Roman"/>
          <w:spacing w:val="-7"/>
          <w:sz w:val="18"/>
          <w:szCs w:val="18"/>
          <w:lang w:val="es-ES_tradnl"/>
        </w:rPr>
        <w:t>á</w:t>
      </w:r>
      <w:r>
        <w:rPr>
          <w:spacing w:val="-7"/>
          <w:sz w:val="18"/>
          <w:szCs w:val="18"/>
          <w:lang w:val="es-ES_tradnl"/>
        </w:rPr>
        <w:t xml:space="preserve">lisis de fondo en </w:t>
      </w:r>
      <w:r>
        <w:rPr>
          <w:spacing w:val="-6"/>
          <w:sz w:val="18"/>
          <w:szCs w:val="18"/>
          <w:lang w:val="es-ES_tradnl"/>
        </w:rPr>
        <w:t>base al desarrollo del siguiente problema jur</w:t>
      </w:r>
      <w:r>
        <w:rPr>
          <w:rFonts w:cs="Times New Roman"/>
          <w:spacing w:val="-6"/>
          <w:sz w:val="18"/>
          <w:szCs w:val="18"/>
          <w:lang w:val="es-ES_tradnl"/>
        </w:rPr>
        <w:t>í</w:t>
      </w:r>
      <w:r>
        <w:rPr>
          <w:spacing w:val="-6"/>
          <w:sz w:val="18"/>
          <w:szCs w:val="18"/>
          <w:lang w:val="es-ES_tradnl"/>
        </w:rPr>
        <w:t>dico:</w:t>
      </w:r>
    </w:p>
    <w:p w14:paraId="4F67ABFC" w14:textId="77777777" w:rsidR="00591D54" w:rsidRDefault="00591D54">
      <w:pPr>
        <w:shd w:val="clear" w:color="auto" w:fill="FFFFFF"/>
        <w:spacing w:before="187" w:line="206" w:lineRule="exact"/>
        <w:ind w:right="5"/>
        <w:jc w:val="both"/>
      </w:pPr>
      <w:r>
        <w:rPr>
          <w:spacing w:val="-9"/>
          <w:sz w:val="18"/>
          <w:szCs w:val="18"/>
          <w:lang w:val="es-ES_tradnl"/>
        </w:rPr>
        <w:t>La sentencia dictada por la Sala Penal, Colusorio y Tr</w:t>
      </w:r>
      <w:r>
        <w:rPr>
          <w:rFonts w:cs="Times New Roman"/>
          <w:spacing w:val="-9"/>
          <w:sz w:val="18"/>
          <w:szCs w:val="18"/>
          <w:lang w:val="es-ES_tradnl"/>
        </w:rPr>
        <w:t>á</w:t>
      </w:r>
      <w:r>
        <w:rPr>
          <w:spacing w:val="-9"/>
          <w:sz w:val="18"/>
          <w:szCs w:val="18"/>
          <w:lang w:val="es-ES_tradnl"/>
        </w:rPr>
        <w:t xml:space="preserve">nsito </w:t>
      </w:r>
      <w:r>
        <w:rPr>
          <w:spacing w:val="-7"/>
          <w:sz w:val="18"/>
          <w:szCs w:val="18"/>
          <w:lang w:val="es-ES_tradnl"/>
        </w:rPr>
        <w:t>de la Corte Provincial de Justicia de Los R</w:t>
      </w:r>
      <w:r>
        <w:rPr>
          <w:rFonts w:cs="Times New Roman"/>
          <w:spacing w:val="-7"/>
          <w:sz w:val="18"/>
          <w:szCs w:val="18"/>
          <w:lang w:val="es-ES_tradnl"/>
        </w:rPr>
        <w:t>í</w:t>
      </w:r>
      <w:r>
        <w:rPr>
          <w:spacing w:val="-7"/>
          <w:sz w:val="18"/>
          <w:szCs w:val="18"/>
          <w:lang w:val="es-ES_tradnl"/>
        </w:rPr>
        <w:t xml:space="preserve">os, expedida el </w:t>
      </w:r>
      <w:r>
        <w:rPr>
          <w:spacing w:val="-11"/>
          <w:sz w:val="18"/>
          <w:szCs w:val="18"/>
          <w:lang w:val="es-ES_tradnl"/>
        </w:rPr>
        <w:t>el 27 de agosto de 2010, mediante la cual neg</w:t>
      </w:r>
      <w:r>
        <w:rPr>
          <w:rFonts w:cs="Times New Roman"/>
          <w:spacing w:val="-11"/>
          <w:sz w:val="18"/>
          <w:szCs w:val="18"/>
          <w:lang w:val="es-ES_tradnl"/>
        </w:rPr>
        <w:t>ó</w:t>
      </w:r>
      <w:r>
        <w:rPr>
          <w:spacing w:val="-11"/>
          <w:sz w:val="18"/>
          <w:szCs w:val="18"/>
          <w:lang w:val="es-ES_tradnl"/>
        </w:rPr>
        <w:t xml:space="preserve"> el recurso de </w:t>
      </w:r>
      <w:r>
        <w:rPr>
          <w:spacing w:val="-7"/>
          <w:sz w:val="18"/>
          <w:szCs w:val="18"/>
          <w:lang w:val="es-ES_tradnl"/>
        </w:rPr>
        <w:t>apelaci</w:t>
      </w:r>
      <w:r>
        <w:rPr>
          <w:rFonts w:cs="Times New Roman"/>
          <w:spacing w:val="-7"/>
          <w:sz w:val="18"/>
          <w:szCs w:val="18"/>
          <w:lang w:val="es-ES_tradnl"/>
        </w:rPr>
        <w:t>ó</w:t>
      </w:r>
      <w:r>
        <w:rPr>
          <w:spacing w:val="-7"/>
          <w:sz w:val="18"/>
          <w:szCs w:val="18"/>
          <w:lang w:val="es-ES_tradnl"/>
        </w:rPr>
        <w:t>n interpuesto por los representantes del Municipio del cant</w:t>
      </w:r>
      <w:r>
        <w:rPr>
          <w:rFonts w:cs="Times New Roman"/>
          <w:spacing w:val="-7"/>
          <w:sz w:val="18"/>
          <w:szCs w:val="18"/>
          <w:lang w:val="es-ES_tradnl"/>
        </w:rPr>
        <w:t>ó</w:t>
      </w:r>
      <w:r>
        <w:rPr>
          <w:spacing w:val="-7"/>
          <w:sz w:val="18"/>
          <w:szCs w:val="18"/>
          <w:lang w:val="es-ES_tradnl"/>
        </w:rPr>
        <w:t xml:space="preserve">n Mocache y que ratifica la sentencia venida en </w:t>
      </w:r>
      <w:r>
        <w:rPr>
          <w:spacing w:val="-9"/>
          <w:sz w:val="18"/>
          <w:szCs w:val="18"/>
          <w:lang w:val="es-ES_tradnl"/>
        </w:rPr>
        <w:t xml:space="preserve">grado, </w:t>
      </w:r>
      <w:r>
        <w:rPr>
          <w:rFonts w:cs="Times New Roman"/>
          <w:spacing w:val="-9"/>
          <w:sz w:val="18"/>
          <w:szCs w:val="18"/>
          <w:lang w:val="es-ES_tradnl"/>
        </w:rPr>
        <w:t>¿</w:t>
      </w:r>
      <w:r>
        <w:rPr>
          <w:spacing w:val="-9"/>
          <w:sz w:val="18"/>
          <w:szCs w:val="18"/>
          <w:lang w:val="es-ES_tradnl"/>
        </w:rPr>
        <w:t>vulnera el derecho a la seguridad jur</w:t>
      </w:r>
      <w:r>
        <w:rPr>
          <w:rFonts w:cs="Times New Roman"/>
          <w:spacing w:val="-9"/>
          <w:sz w:val="18"/>
          <w:szCs w:val="18"/>
          <w:lang w:val="es-ES_tradnl"/>
        </w:rPr>
        <w:t>í</w:t>
      </w:r>
      <w:r>
        <w:rPr>
          <w:spacing w:val="-9"/>
          <w:sz w:val="18"/>
          <w:szCs w:val="18"/>
          <w:lang w:val="es-ES_tradnl"/>
        </w:rPr>
        <w:t xml:space="preserve">dica contenido </w:t>
      </w:r>
      <w:r>
        <w:rPr>
          <w:spacing w:val="-7"/>
          <w:sz w:val="18"/>
          <w:szCs w:val="18"/>
          <w:lang w:val="es-ES_tradnl"/>
        </w:rPr>
        <w:t>en el art</w:t>
      </w:r>
      <w:r>
        <w:rPr>
          <w:rFonts w:cs="Times New Roman"/>
          <w:spacing w:val="-7"/>
          <w:sz w:val="18"/>
          <w:szCs w:val="18"/>
          <w:lang w:val="es-ES_tradnl"/>
        </w:rPr>
        <w:t>í</w:t>
      </w:r>
      <w:r>
        <w:rPr>
          <w:spacing w:val="-7"/>
          <w:sz w:val="18"/>
          <w:szCs w:val="18"/>
          <w:lang w:val="es-ES_tradnl"/>
        </w:rPr>
        <w:t>culo 82 de 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blica?</w:t>
      </w:r>
    </w:p>
    <w:p w14:paraId="4F67ABFD" w14:textId="77777777" w:rsidR="00591D54" w:rsidRDefault="00591D54">
      <w:pPr>
        <w:shd w:val="clear" w:color="auto" w:fill="FFFFFF"/>
        <w:spacing w:before="182"/>
      </w:pPr>
      <w:r>
        <w:rPr>
          <w:b/>
          <w:bCs/>
          <w:spacing w:val="-8"/>
          <w:sz w:val="18"/>
          <w:szCs w:val="18"/>
          <w:lang w:val="es-ES_tradnl"/>
        </w:rPr>
        <w:t>Resoluci</w:t>
      </w:r>
      <w:r>
        <w:rPr>
          <w:rFonts w:cs="Times New Roman"/>
          <w:b/>
          <w:bCs/>
          <w:spacing w:val="-8"/>
          <w:sz w:val="18"/>
          <w:szCs w:val="18"/>
          <w:lang w:val="es-ES_tradnl"/>
        </w:rPr>
        <w:t>ó</w:t>
      </w:r>
      <w:r>
        <w:rPr>
          <w:b/>
          <w:bCs/>
          <w:spacing w:val="-8"/>
          <w:sz w:val="18"/>
          <w:szCs w:val="18"/>
          <w:lang w:val="es-ES_tradnl"/>
        </w:rPr>
        <w:t>n del problema jur</w:t>
      </w:r>
      <w:r>
        <w:rPr>
          <w:rFonts w:cs="Times New Roman"/>
          <w:b/>
          <w:bCs/>
          <w:spacing w:val="-8"/>
          <w:sz w:val="18"/>
          <w:szCs w:val="18"/>
          <w:lang w:val="es-ES_tradnl"/>
        </w:rPr>
        <w:t>í</w:t>
      </w:r>
      <w:r>
        <w:rPr>
          <w:b/>
          <w:bCs/>
          <w:spacing w:val="-8"/>
          <w:sz w:val="18"/>
          <w:szCs w:val="18"/>
          <w:lang w:val="es-ES_tradnl"/>
        </w:rPr>
        <w:t>dico</w:t>
      </w:r>
    </w:p>
    <w:p w14:paraId="4F67ABFE" w14:textId="77777777" w:rsidR="00591D54" w:rsidRDefault="00591D54">
      <w:pPr>
        <w:shd w:val="clear" w:color="auto" w:fill="FFFFFF"/>
        <w:spacing w:before="187" w:line="206" w:lineRule="exact"/>
        <w:ind w:right="5"/>
        <w:jc w:val="both"/>
      </w:pPr>
      <w:r>
        <w:rPr>
          <w:b/>
          <w:bCs/>
          <w:spacing w:val="-7"/>
          <w:sz w:val="18"/>
          <w:szCs w:val="18"/>
          <w:lang w:val="es-ES_tradnl"/>
        </w:rPr>
        <w:t xml:space="preserve">La sentencia dictada por la Sala Penal, Colusorio y </w:t>
      </w:r>
      <w:r>
        <w:rPr>
          <w:b/>
          <w:bCs/>
          <w:spacing w:val="-2"/>
          <w:sz w:val="18"/>
          <w:szCs w:val="18"/>
          <w:lang w:val="es-ES_tradnl"/>
        </w:rPr>
        <w:t>Tr</w:t>
      </w:r>
      <w:r>
        <w:rPr>
          <w:rFonts w:cs="Times New Roman"/>
          <w:b/>
          <w:bCs/>
          <w:spacing w:val="-2"/>
          <w:sz w:val="18"/>
          <w:szCs w:val="18"/>
          <w:lang w:val="es-ES_tradnl"/>
        </w:rPr>
        <w:t>á</w:t>
      </w:r>
      <w:r>
        <w:rPr>
          <w:b/>
          <w:bCs/>
          <w:spacing w:val="-2"/>
          <w:sz w:val="18"/>
          <w:szCs w:val="18"/>
          <w:lang w:val="es-ES_tradnl"/>
        </w:rPr>
        <w:t xml:space="preserve">nsito de la Corte Provincial de Justicia de Los </w:t>
      </w:r>
      <w:r>
        <w:rPr>
          <w:b/>
          <w:bCs/>
          <w:spacing w:val="-8"/>
          <w:sz w:val="18"/>
          <w:szCs w:val="18"/>
          <w:lang w:val="es-ES_tradnl"/>
        </w:rPr>
        <w:t>R</w:t>
      </w:r>
      <w:r>
        <w:rPr>
          <w:rFonts w:cs="Times New Roman"/>
          <w:b/>
          <w:bCs/>
          <w:spacing w:val="-8"/>
          <w:sz w:val="18"/>
          <w:szCs w:val="18"/>
          <w:lang w:val="es-ES_tradnl"/>
        </w:rPr>
        <w:t>í</w:t>
      </w:r>
      <w:r>
        <w:rPr>
          <w:b/>
          <w:bCs/>
          <w:spacing w:val="-8"/>
          <w:sz w:val="18"/>
          <w:szCs w:val="18"/>
          <w:lang w:val="es-ES_tradnl"/>
        </w:rPr>
        <w:t xml:space="preserve">os, expedida el el 27 de agosto de 2010, mediante la </w:t>
      </w:r>
      <w:r>
        <w:rPr>
          <w:b/>
          <w:bCs/>
          <w:spacing w:val="-9"/>
          <w:sz w:val="18"/>
          <w:szCs w:val="18"/>
          <w:lang w:val="es-ES_tradnl"/>
        </w:rPr>
        <w:t>cual neg</w:t>
      </w:r>
      <w:r>
        <w:rPr>
          <w:rFonts w:cs="Times New Roman"/>
          <w:b/>
          <w:bCs/>
          <w:spacing w:val="-9"/>
          <w:sz w:val="18"/>
          <w:szCs w:val="18"/>
          <w:lang w:val="es-ES_tradnl"/>
        </w:rPr>
        <w:t>ó</w:t>
      </w:r>
      <w:r>
        <w:rPr>
          <w:b/>
          <w:bCs/>
          <w:spacing w:val="-9"/>
          <w:sz w:val="18"/>
          <w:szCs w:val="18"/>
          <w:lang w:val="es-ES_tradnl"/>
        </w:rPr>
        <w:t xml:space="preserve"> el recurso de apelaci</w:t>
      </w:r>
      <w:r>
        <w:rPr>
          <w:rFonts w:cs="Times New Roman"/>
          <w:b/>
          <w:bCs/>
          <w:spacing w:val="-9"/>
          <w:sz w:val="18"/>
          <w:szCs w:val="18"/>
          <w:lang w:val="es-ES_tradnl"/>
        </w:rPr>
        <w:t>ó</w:t>
      </w:r>
      <w:r>
        <w:rPr>
          <w:b/>
          <w:bCs/>
          <w:spacing w:val="-9"/>
          <w:sz w:val="18"/>
          <w:szCs w:val="18"/>
          <w:lang w:val="es-ES_tradnl"/>
        </w:rPr>
        <w:t xml:space="preserve">n interpuesto por los </w:t>
      </w:r>
      <w:r>
        <w:rPr>
          <w:b/>
          <w:bCs/>
          <w:spacing w:val="-5"/>
          <w:sz w:val="18"/>
          <w:szCs w:val="18"/>
          <w:lang w:val="es-ES_tradnl"/>
        </w:rPr>
        <w:t>representantes del Municipio del cant</w:t>
      </w:r>
      <w:r>
        <w:rPr>
          <w:rFonts w:cs="Times New Roman"/>
          <w:b/>
          <w:bCs/>
          <w:spacing w:val="-5"/>
          <w:sz w:val="18"/>
          <w:szCs w:val="18"/>
          <w:lang w:val="es-ES_tradnl"/>
        </w:rPr>
        <w:t>ó</w:t>
      </w:r>
      <w:r>
        <w:rPr>
          <w:b/>
          <w:bCs/>
          <w:spacing w:val="-5"/>
          <w:sz w:val="18"/>
          <w:szCs w:val="18"/>
          <w:lang w:val="es-ES_tradnl"/>
        </w:rPr>
        <w:t xml:space="preserve">n Mocache y </w:t>
      </w:r>
      <w:r>
        <w:rPr>
          <w:b/>
          <w:bCs/>
          <w:spacing w:val="-7"/>
          <w:sz w:val="18"/>
          <w:szCs w:val="18"/>
          <w:lang w:val="es-ES_tradnl"/>
        </w:rPr>
        <w:t xml:space="preserve">que ratifica la sentencia venida en grado, </w:t>
      </w:r>
      <w:r>
        <w:rPr>
          <w:rFonts w:cs="Times New Roman"/>
          <w:b/>
          <w:bCs/>
          <w:spacing w:val="-7"/>
          <w:sz w:val="18"/>
          <w:szCs w:val="18"/>
          <w:lang w:val="es-ES_tradnl"/>
        </w:rPr>
        <w:t>¿</w:t>
      </w:r>
      <w:r>
        <w:rPr>
          <w:b/>
          <w:bCs/>
          <w:spacing w:val="-7"/>
          <w:sz w:val="18"/>
          <w:szCs w:val="18"/>
          <w:lang w:val="es-ES_tradnl"/>
        </w:rPr>
        <w:t xml:space="preserve">vulnera el </w:t>
      </w:r>
      <w:r>
        <w:rPr>
          <w:b/>
          <w:bCs/>
          <w:spacing w:val="-9"/>
          <w:sz w:val="18"/>
          <w:szCs w:val="18"/>
          <w:lang w:val="es-ES_tradnl"/>
        </w:rPr>
        <w:t>derecho a la seguridad jur</w:t>
      </w:r>
      <w:r>
        <w:rPr>
          <w:rFonts w:cs="Times New Roman"/>
          <w:b/>
          <w:bCs/>
          <w:spacing w:val="-9"/>
          <w:sz w:val="18"/>
          <w:szCs w:val="18"/>
          <w:lang w:val="es-ES_tradnl"/>
        </w:rPr>
        <w:t>í</w:t>
      </w:r>
      <w:r>
        <w:rPr>
          <w:b/>
          <w:bCs/>
          <w:spacing w:val="-9"/>
          <w:sz w:val="18"/>
          <w:szCs w:val="18"/>
          <w:lang w:val="es-ES_tradnl"/>
        </w:rPr>
        <w:t>dica contenido en el art</w:t>
      </w:r>
      <w:r>
        <w:rPr>
          <w:rFonts w:cs="Times New Roman"/>
          <w:b/>
          <w:bCs/>
          <w:spacing w:val="-9"/>
          <w:sz w:val="18"/>
          <w:szCs w:val="18"/>
          <w:lang w:val="es-ES_tradnl"/>
        </w:rPr>
        <w:t>í</w:t>
      </w:r>
      <w:r>
        <w:rPr>
          <w:b/>
          <w:bCs/>
          <w:spacing w:val="-9"/>
          <w:sz w:val="18"/>
          <w:szCs w:val="18"/>
          <w:lang w:val="es-ES_tradnl"/>
        </w:rPr>
        <w:t xml:space="preserve">culo </w:t>
      </w:r>
      <w:r>
        <w:rPr>
          <w:b/>
          <w:bCs/>
          <w:sz w:val="18"/>
          <w:szCs w:val="18"/>
          <w:lang w:val="es-ES_tradnl"/>
        </w:rPr>
        <w:t>82 de la Constituci</w:t>
      </w:r>
      <w:r>
        <w:rPr>
          <w:rFonts w:cs="Times New Roman"/>
          <w:b/>
          <w:bCs/>
          <w:sz w:val="18"/>
          <w:szCs w:val="18"/>
          <w:lang w:val="es-ES_tradnl"/>
        </w:rPr>
        <w:t>ó</w:t>
      </w:r>
      <w:r>
        <w:rPr>
          <w:b/>
          <w:bCs/>
          <w:sz w:val="18"/>
          <w:szCs w:val="18"/>
          <w:lang w:val="es-ES_tradnl"/>
        </w:rPr>
        <w:t>n de la Rep</w:t>
      </w:r>
      <w:r>
        <w:rPr>
          <w:rFonts w:cs="Times New Roman"/>
          <w:b/>
          <w:bCs/>
          <w:sz w:val="18"/>
          <w:szCs w:val="18"/>
          <w:lang w:val="es-ES_tradnl"/>
        </w:rPr>
        <w:t>ú</w:t>
      </w:r>
      <w:r>
        <w:rPr>
          <w:b/>
          <w:bCs/>
          <w:sz w:val="18"/>
          <w:szCs w:val="18"/>
          <w:lang w:val="es-ES_tradnl"/>
        </w:rPr>
        <w:t>blica?</w:t>
      </w:r>
    </w:p>
    <w:p w14:paraId="4F67ABFF" w14:textId="77777777" w:rsidR="00591D54" w:rsidRDefault="00591D54">
      <w:pPr>
        <w:shd w:val="clear" w:color="auto" w:fill="FFFFFF"/>
        <w:spacing w:line="216" w:lineRule="exact"/>
        <w:jc w:val="both"/>
      </w:pPr>
      <w:r>
        <w:br w:type="column"/>
      </w:r>
      <w:r>
        <w:rPr>
          <w:spacing w:val="-2"/>
          <w:sz w:val="18"/>
          <w:szCs w:val="18"/>
          <w:lang w:val="es-ES_tradnl"/>
        </w:rPr>
        <w:t>El art</w:t>
      </w:r>
      <w:r>
        <w:rPr>
          <w:rFonts w:cs="Times New Roman"/>
          <w:spacing w:val="-2"/>
          <w:sz w:val="18"/>
          <w:szCs w:val="18"/>
          <w:lang w:val="es-ES_tradnl"/>
        </w:rPr>
        <w:t>í</w:t>
      </w:r>
      <w:r>
        <w:rPr>
          <w:spacing w:val="-2"/>
          <w:sz w:val="18"/>
          <w:szCs w:val="18"/>
          <w:lang w:val="es-ES_tradnl"/>
        </w:rPr>
        <w:t>culo 82 de la Constituci</w:t>
      </w:r>
      <w:r>
        <w:rPr>
          <w:rFonts w:cs="Times New Roman"/>
          <w:spacing w:val="-2"/>
          <w:sz w:val="18"/>
          <w:szCs w:val="18"/>
          <w:lang w:val="es-ES_tradnl"/>
        </w:rPr>
        <w:t>ó</w:t>
      </w:r>
      <w:r>
        <w:rPr>
          <w:spacing w:val="-2"/>
          <w:sz w:val="18"/>
          <w:szCs w:val="18"/>
          <w:lang w:val="es-ES_tradnl"/>
        </w:rPr>
        <w:t>n de la Rep</w:t>
      </w:r>
      <w:r>
        <w:rPr>
          <w:rFonts w:cs="Times New Roman"/>
          <w:spacing w:val="-2"/>
          <w:sz w:val="18"/>
          <w:szCs w:val="18"/>
          <w:lang w:val="es-ES_tradnl"/>
        </w:rPr>
        <w:t>ú</w:t>
      </w:r>
      <w:r>
        <w:rPr>
          <w:spacing w:val="-2"/>
          <w:sz w:val="18"/>
          <w:szCs w:val="18"/>
          <w:lang w:val="es-ES_tradnl"/>
        </w:rPr>
        <w:t xml:space="preserve">blica del </w:t>
      </w:r>
      <w:r>
        <w:rPr>
          <w:spacing w:val="-9"/>
          <w:sz w:val="18"/>
          <w:szCs w:val="18"/>
          <w:lang w:val="es-ES_tradnl"/>
        </w:rPr>
        <w:t>Ecuador, dentro de los derechos de protecci</w:t>
      </w:r>
      <w:r>
        <w:rPr>
          <w:rFonts w:cs="Times New Roman"/>
          <w:spacing w:val="-9"/>
          <w:sz w:val="18"/>
          <w:szCs w:val="18"/>
          <w:lang w:val="es-ES_tradnl"/>
        </w:rPr>
        <w:t>ó</w:t>
      </w:r>
      <w:r>
        <w:rPr>
          <w:spacing w:val="-9"/>
          <w:sz w:val="18"/>
          <w:szCs w:val="18"/>
          <w:lang w:val="es-ES_tradnl"/>
        </w:rPr>
        <w:t xml:space="preserve">n, garantiza el </w:t>
      </w:r>
      <w:r>
        <w:rPr>
          <w:spacing w:val="-7"/>
          <w:sz w:val="18"/>
          <w:szCs w:val="18"/>
          <w:lang w:val="es-ES_tradnl"/>
        </w:rPr>
        <w:t>derecho a la seguridad jur</w:t>
      </w:r>
      <w:r>
        <w:rPr>
          <w:rFonts w:cs="Times New Roman"/>
          <w:spacing w:val="-7"/>
          <w:sz w:val="18"/>
          <w:szCs w:val="18"/>
          <w:lang w:val="es-ES_tradnl"/>
        </w:rPr>
        <w:t>í</w:t>
      </w:r>
      <w:r>
        <w:rPr>
          <w:spacing w:val="-7"/>
          <w:sz w:val="18"/>
          <w:szCs w:val="18"/>
          <w:lang w:val="es-ES_tradnl"/>
        </w:rPr>
        <w:t xml:space="preserve">dica, el mismo que conforme lo </w:t>
      </w:r>
      <w:r>
        <w:rPr>
          <w:spacing w:val="-10"/>
          <w:sz w:val="18"/>
          <w:szCs w:val="18"/>
          <w:lang w:val="es-ES_tradnl"/>
        </w:rPr>
        <w:t xml:space="preserve">dispuesto en la norma constitucional tiene como fundamento </w:t>
      </w:r>
      <w:r>
        <w:rPr>
          <w:spacing w:val="-6"/>
          <w:sz w:val="18"/>
          <w:szCs w:val="18"/>
          <w:lang w:val="es-ES_tradnl"/>
        </w:rPr>
        <w:t>el respeto a la Constituci</w:t>
      </w:r>
      <w:r>
        <w:rPr>
          <w:rFonts w:cs="Times New Roman"/>
          <w:spacing w:val="-6"/>
          <w:sz w:val="18"/>
          <w:szCs w:val="18"/>
          <w:lang w:val="es-ES_tradnl"/>
        </w:rPr>
        <w:t>ó</w:t>
      </w:r>
      <w:r>
        <w:rPr>
          <w:spacing w:val="-6"/>
          <w:sz w:val="18"/>
          <w:szCs w:val="18"/>
          <w:lang w:val="es-ES_tradnl"/>
        </w:rPr>
        <w:t xml:space="preserve">n como norma suprema dentro </w:t>
      </w:r>
      <w:r>
        <w:rPr>
          <w:spacing w:val="-8"/>
          <w:sz w:val="18"/>
          <w:szCs w:val="18"/>
          <w:lang w:val="es-ES_tradnl"/>
        </w:rPr>
        <w:t>del ordenamiento jur</w:t>
      </w:r>
      <w:r>
        <w:rPr>
          <w:rFonts w:cs="Times New Roman"/>
          <w:spacing w:val="-8"/>
          <w:sz w:val="18"/>
          <w:szCs w:val="18"/>
          <w:lang w:val="es-ES_tradnl"/>
        </w:rPr>
        <w:t>í</w:t>
      </w:r>
      <w:r>
        <w:rPr>
          <w:spacing w:val="-8"/>
          <w:sz w:val="18"/>
          <w:szCs w:val="18"/>
          <w:lang w:val="es-ES_tradnl"/>
        </w:rPr>
        <w:t>dico ecuatoriano, reconoci</w:t>
      </w:r>
      <w:r>
        <w:rPr>
          <w:rFonts w:cs="Times New Roman"/>
          <w:spacing w:val="-8"/>
          <w:sz w:val="18"/>
          <w:szCs w:val="18"/>
          <w:lang w:val="es-ES_tradnl"/>
        </w:rPr>
        <w:t>é</w:t>
      </w:r>
      <w:r>
        <w:rPr>
          <w:spacing w:val="-8"/>
          <w:sz w:val="18"/>
          <w:szCs w:val="18"/>
          <w:lang w:val="es-ES_tradnl"/>
        </w:rPr>
        <w:t xml:space="preserve">ndose por </w:t>
      </w:r>
      <w:r>
        <w:rPr>
          <w:spacing w:val="-7"/>
          <w:sz w:val="18"/>
          <w:szCs w:val="18"/>
          <w:lang w:val="es-ES_tradnl"/>
        </w:rPr>
        <w:t>medio de aquel la existencia de normas jur</w:t>
      </w:r>
      <w:r>
        <w:rPr>
          <w:rFonts w:cs="Times New Roman"/>
          <w:spacing w:val="-7"/>
          <w:sz w:val="18"/>
          <w:szCs w:val="18"/>
          <w:lang w:val="es-ES_tradnl"/>
        </w:rPr>
        <w:t>í</w:t>
      </w:r>
      <w:r>
        <w:rPr>
          <w:spacing w:val="-7"/>
          <w:sz w:val="18"/>
          <w:szCs w:val="18"/>
          <w:lang w:val="es-ES_tradnl"/>
        </w:rPr>
        <w:t xml:space="preserve">dicas previas, </w:t>
      </w:r>
      <w:r>
        <w:rPr>
          <w:spacing w:val="-11"/>
          <w:sz w:val="18"/>
          <w:szCs w:val="18"/>
          <w:lang w:val="es-ES_tradnl"/>
        </w:rPr>
        <w:t>claras, p</w:t>
      </w:r>
      <w:r>
        <w:rPr>
          <w:rFonts w:cs="Times New Roman"/>
          <w:spacing w:val="-11"/>
          <w:sz w:val="18"/>
          <w:szCs w:val="18"/>
          <w:lang w:val="es-ES_tradnl"/>
        </w:rPr>
        <w:t>ú</w:t>
      </w:r>
      <w:r>
        <w:rPr>
          <w:spacing w:val="-11"/>
          <w:sz w:val="18"/>
          <w:szCs w:val="18"/>
          <w:lang w:val="es-ES_tradnl"/>
        </w:rPr>
        <w:t>blicas y aplicadas por las autoridades competentes.</w:t>
      </w:r>
    </w:p>
    <w:p w14:paraId="4F67AC00" w14:textId="77777777" w:rsidR="00591D54" w:rsidRDefault="00591D54">
      <w:pPr>
        <w:shd w:val="clear" w:color="auto" w:fill="FFFFFF"/>
        <w:spacing w:before="192" w:line="216" w:lineRule="exact"/>
        <w:jc w:val="both"/>
      </w:pPr>
      <w:r>
        <w:rPr>
          <w:spacing w:val="-6"/>
          <w:sz w:val="18"/>
          <w:szCs w:val="18"/>
          <w:lang w:val="es-ES_tradnl"/>
        </w:rPr>
        <w:t>El objetivo de la seguridad jur</w:t>
      </w:r>
      <w:r>
        <w:rPr>
          <w:rFonts w:cs="Times New Roman"/>
          <w:spacing w:val="-6"/>
          <w:sz w:val="18"/>
          <w:szCs w:val="18"/>
          <w:lang w:val="es-ES_tradnl"/>
        </w:rPr>
        <w:t>í</w:t>
      </w:r>
      <w:r>
        <w:rPr>
          <w:spacing w:val="-6"/>
          <w:sz w:val="18"/>
          <w:szCs w:val="18"/>
          <w:lang w:val="es-ES_tradnl"/>
        </w:rPr>
        <w:t xml:space="preserve">dica es brindar certeza y </w:t>
      </w:r>
      <w:r>
        <w:rPr>
          <w:spacing w:val="-10"/>
          <w:sz w:val="18"/>
          <w:szCs w:val="18"/>
          <w:lang w:val="es-ES_tradnl"/>
        </w:rPr>
        <w:t>seguridad a los ciudadanos que la autoridad p</w:t>
      </w:r>
      <w:r>
        <w:rPr>
          <w:rFonts w:cs="Times New Roman"/>
          <w:spacing w:val="-10"/>
          <w:sz w:val="18"/>
          <w:szCs w:val="18"/>
          <w:lang w:val="es-ES_tradnl"/>
        </w:rPr>
        <w:t>ú</w:t>
      </w:r>
      <w:r>
        <w:rPr>
          <w:spacing w:val="-10"/>
          <w:sz w:val="18"/>
          <w:szCs w:val="18"/>
          <w:lang w:val="es-ES_tradnl"/>
        </w:rPr>
        <w:t>blica aplicar</w:t>
      </w:r>
      <w:r>
        <w:rPr>
          <w:rFonts w:cs="Times New Roman"/>
          <w:spacing w:val="-10"/>
          <w:sz w:val="18"/>
          <w:szCs w:val="18"/>
          <w:lang w:val="es-ES_tradnl"/>
        </w:rPr>
        <w:t xml:space="preserve">á </w:t>
      </w:r>
      <w:r>
        <w:rPr>
          <w:sz w:val="18"/>
          <w:szCs w:val="18"/>
          <w:lang w:val="es-ES_tradnl"/>
        </w:rPr>
        <w:t>con respeto el ordenamiento jur</w:t>
      </w:r>
      <w:r>
        <w:rPr>
          <w:rFonts w:cs="Times New Roman"/>
          <w:sz w:val="18"/>
          <w:szCs w:val="18"/>
          <w:lang w:val="es-ES_tradnl"/>
        </w:rPr>
        <w:t>í</w:t>
      </w:r>
      <w:r>
        <w:rPr>
          <w:sz w:val="18"/>
          <w:szCs w:val="18"/>
          <w:lang w:val="es-ES_tradnl"/>
        </w:rPr>
        <w:t>dico.</w:t>
      </w:r>
    </w:p>
    <w:p w14:paraId="4F67AC01" w14:textId="77777777" w:rsidR="00591D54" w:rsidRDefault="00591D54">
      <w:pPr>
        <w:shd w:val="clear" w:color="auto" w:fill="FFFFFF"/>
        <w:spacing w:before="178" w:line="226" w:lineRule="exact"/>
        <w:jc w:val="both"/>
      </w:pPr>
      <w:r>
        <w:rPr>
          <w:spacing w:val="-6"/>
          <w:sz w:val="18"/>
          <w:szCs w:val="18"/>
          <w:lang w:val="es-ES_tradnl"/>
        </w:rPr>
        <w:t>La Corte Constitucional</w:t>
      </w:r>
      <w:r>
        <w:rPr>
          <w:spacing w:val="-6"/>
          <w:sz w:val="18"/>
          <w:szCs w:val="18"/>
          <w:vertAlign w:val="superscript"/>
          <w:lang w:val="es-ES_tradnl"/>
        </w:rPr>
        <w:t>1</w:t>
      </w:r>
      <w:r>
        <w:rPr>
          <w:spacing w:val="-6"/>
          <w:sz w:val="18"/>
          <w:szCs w:val="18"/>
          <w:lang w:val="es-ES_tradnl"/>
        </w:rPr>
        <w:t xml:space="preserve"> respecto a la seguridad jur</w:t>
      </w:r>
      <w:r>
        <w:rPr>
          <w:rFonts w:cs="Times New Roman"/>
          <w:spacing w:val="-6"/>
          <w:sz w:val="18"/>
          <w:szCs w:val="18"/>
          <w:lang w:val="es-ES_tradnl"/>
        </w:rPr>
        <w:t>í</w:t>
      </w:r>
      <w:r>
        <w:rPr>
          <w:spacing w:val="-6"/>
          <w:sz w:val="18"/>
          <w:szCs w:val="18"/>
          <w:lang w:val="es-ES_tradnl"/>
        </w:rPr>
        <w:t xml:space="preserve">dica, </w:t>
      </w:r>
      <w:r>
        <w:rPr>
          <w:sz w:val="18"/>
          <w:szCs w:val="18"/>
          <w:lang w:val="es-ES_tradnl"/>
        </w:rPr>
        <w:t>ha manifestado:</w:t>
      </w:r>
    </w:p>
    <w:p w14:paraId="4F67AC02" w14:textId="77777777" w:rsidR="00591D54" w:rsidRDefault="00591D54">
      <w:pPr>
        <w:shd w:val="clear" w:color="auto" w:fill="FFFFFF"/>
        <w:spacing w:before="202" w:line="216" w:lineRule="exact"/>
        <w:ind w:left="283"/>
        <w:jc w:val="both"/>
      </w:pPr>
      <w:r>
        <w:rPr>
          <w:sz w:val="14"/>
          <w:szCs w:val="14"/>
          <w:lang w:val="es-ES_tradnl"/>
        </w:rPr>
        <w:t>Mediante un ejercicio de interpretaci</w:t>
      </w:r>
      <w:r>
        <w:rPr>
          <w:rFonts w:cs="Times New Roman"/>
          <w:sz w:val="14"/>
          <w:szCs w:val="14"/>
          <w:lang w:val="es-ES_tradnl"/>
        </w:rPr>
        <w:t>ó</w:t>
      </w:r>
      <w:r>
        <w:rPr>
          <w:sz w:val="14"/>
          <w:szCs w:val="14"/>
          <w:lang w:val="es-ES_tradnl"/>
        </w:rPr>
        <w:t>n integral del texto constitucional se determina que el derecho a la seguridad jur</w:t>
      </w:r>
      <w:r>
        <w:rPr>
          <w:rFonts w:cs="Times New Roman"/>
          <w:sz w:val="14"/>
          <w:szCs w:val="14"/>
          <w:lang w:val="es-ES_tradnl"/>
        </w:rPr>
        <w:t>í</w:t>
      </w:r>
      <w:r>
        <w:rPr>
          <w:sz w:val="14"/>
          <w:szCs w:val="14"/>
          <w:lang w:val="es-ES_tradnl"/>
        </w:rPr>
        <w:t>dica es el pilar sobre el cual se asienta la confianza ciudadana en cuanto a las actuaciones de los distintos poderes p</w:t>
      </w:r>
      <w:r>
        <w:rPr>
          <w:rFonts w:cs="Times New Roman"/>
          <w:sz w:val="14"/>
          <w:szCs w:val="14"/>
          <w:lang w:val="es-ES_tradnl"/>
        </w:rPr>
        <w:t>ú</w:t>
      </w:r>
      <w:r>
        <w:rPr>
          <w:sz w:val="14"/>
          <w:szCs w:val="14"/>
          <w:lang w:val="es-ES_tradnl"/>
        </w:rPr>
        <w:t>blicos; en virtud de aquello, los actos emanados de dichas autoridades p</w:t>
      </w:r>
      <w:r>
        <w:rPr>
          <w:rFonts w:cs="Times New Roman"/>
          <w:sz w:val="14"/>
          <w:szCs w:val="14"/>
          <w:lang w:val="es-ES_tradnl"/>
        </w:rPr>
        <w:t>ú</w:t>
      </w:r>
      <w:r>
        <w:rPr>
          <w:sz w:val="14"/>
          <w:szCs w:val="14"/>
          <w:lang w:val="es-ES_tradnl"/>
        </w:rPr>
        <w:t>blicas deben contener un apego a los preceptos constitucionales, reconociendo la existencia de las normas que integran el ordenamiento jur</w:t>
      </w:r>
      <w:r>
        <w:rPr>
          <w:rFonts w:cs="Times New Roman"/>
          <w:sz w:val="14"/>
          <w:szCs w:val="14"/>
          <w:lang w:val="es-ES_tradnl"/>
        </w:rPr>
        <w:t>í</w:t>
      </w:r>
      <w:r>
        <w:rPr>
          <w:sz w:val="14"/>
          <w:szCs w:val="14"/>
          <w:lang w:val="es-ES_tradnl"/>
        </w:rPr>
        <w:t>dico ecuatoriano, las mismas que deben ser claras y precisas, sujet</w:t>
      </w:r>
      <w:r>
        <w:rPr>
          <w:rFonts w:cs="Times New Roman"/>
          <w:sz w:val="14"/>
          <w:szCs w:val="14"/>
          <w:lang w:val="es-ES_tradnl"/>
        </w:rPr>
        <w:t>á</w:t>
      </w:r>
      <w:r>
        <w:rPr>
          <w:sz w:val="14"/>
          <w:szCs w:val="14"/>
          <w:lang w:val="es-ES_tradnl"/>
        </w:rPr>
        <w:t xml:space="preserve">ndose a las atribuciones que le compete a cada </w:t>
      </w:r>
      <w:r>
        <w:rPr>
          <w:rFonts w:cs="Times New Roman"/>
          <w:sz w:val="14"/>
          <w:szCs w:val="14"/>
          <w:lang w:val="es-ES_tradnl"/>
        </w:rPr>
        <w:t>ó</w:t>
      </w:r>
      <w:r>
        <w:rPr>
          <w:sz w:val="14"/>
          <w:szCs w:val="14"/>
          <w:lang w:val="es-ES_tradnl"/>
        </w:rPr>
        <w:t>rgano.</w:t>
      </w:r>
    </w:p>
    <w:p w14:paraId="4F67AC03" w14:textId="77777777" w:rsidR="00591D54" w:rsidRDefault="00591D54">
      <w:pPr>
        <w:shd w:val="clear" w:color="auto" w:fill="FFFFFF"/>
        <w:spacing w:before="202"/>
      </w:pPr>
      <w:r>
        <w:rPr>
          <w:spacing w:val="-8"/>
          <w:sz w:val="18"/>
          <w:szCs w:val="18"/>
          <w:lang w:val="es-ES_tradnl"/>
        </w:rPr>
        <w:t>Tambi</w:t>
      </w:r>
      <w:r>
        <w:rPr>
          <w:rFonts w:cs="Times New Roman"/>
          <w:spacing w:val="-8"/>
          <w:sz w:val="18"/>
          <w:szCs w:val="18"/>
          <w:lang w:val="es-ES_tradnl"/>
        </w:rPr>
        <w:t>é</w:t>
      </w:r>
      <w:r>
        <w:rPr>
          <w:spacing w:val="-8"/>
          <w:sz w:val="18"/>
          <w:szCs w:val="18"/>
          <w:lang w:val="es-ES_tradnl"/>
        </w:rPr>
        <w:t>n al referirse a la seguridad jur</w:t>
      </w:r>
      <w:r>
        <w:rPr>
          <w:rFonts w:cs="Times New Roman"/>
          <w:spacing w:val="-8"/>
          <w:sz w:val="18"/>
          <w:szCs w:val="18"/>
          <w:lang w:val="es-ES_tradnl"/>
        </w:rPr>
        <w:t>í</w:t>
      </w:r>
      <w:r>
        <w:rPr>
          <w:spacing w:val="-8"/>
          <w:sz w:val="18"/>
          <w:szCs w:val="18"/>
          <w:lang w:val="es-ES_tradnl"/>
        </w:rPr>
        <w:t>dica, ha se</w:t>
      </w:r>
      <w:r>
        <w:rPr>
          <w:rFonts w:cs="Times New Roman"/>
          <w:spacing w:val="-8"/>
          <w:sz w:val="18"/>
          <w:szCs w:val="18"/>
          <w:lang w:val="es-ES_tradnl"/>
        </w:rPr>
        <w:t>ñ</w:t>
      </w:r>
      <w:r>
        <w:rPr>
          <w:spacing w:val="-8"/>
          <w:sz w:val="18"/>
          <w:szCs w:val="18"/>
          <w:lang w:val="es-ES_tradnl"/>
        </w:rPr>
        <w:t>alado</w:t>
      </w:r>
      <w:r>
        <w:rPr>
          <w:i/>
          <w:iCs/>
          <w:spacing w:val="-8"/>
          <w:sz w:val="18"/>
          <w:szCs w:val="18"/>
          <w:vertAlign w:val="superscript"/>
          <w:lang w:val="es-ES_tradnl"/>
        </w:rPr>
        <w:t>2</w:t>
      </w:r>
      <w:r>
        <w:rPr>
          <w:spacing w:val="-8"/>
          <w:sz w:val="18"/>
          <w:szCs w:val="18"/>
          <w:lang w:val="es-ES_tradnl"/>
        </w:rPr>
        <w:t>:</w:t>
      </w:r>
    </w:p>
    <w:p w14:paraId="4F67AC04" w14:textId="77777777" w:rsidR="00591D54" w:rsidRDefault="00591D54">
      <w:pPr>
        <w:shd w:val="clear" w:color="auto" w:fill="FFFFFF"/>
        <w:spacing w:before="202" w:line="216" w:lineRule="exact"/>
        <w:ind w:left="283"/>
        <w:jc w:val="both"/>
      </w:pPr>
      <w:r>
        <w:rPr>
          <w:sz w:val="14"/>
          <w:szCs w:val="14"/>
          <w:lang w:val="es-ES_tradnl"/>
        </w:rPr>
        <w:t>(</w:t>
      </w:r>
      <w:r>
        <w:rPr>
          <w:rFonts w:cs="Times New Roman"/>
          <w:sz w:val="14"/>
          <w:szCs w:val="14"/>
          <w:lang w:val="es-ES_tradnl"/>
        </w:rPr>
        <w:t>…</w:t>
      </w:r>
      <w:r>
        <w:rPr>
          <w:sz w:val="14"/>
          <w:szCs w:val="14"/>
          <w:lang w:val="es-ES_tradnl"/>
        </w:rPr>
        <w:t>) como certeza pr</w:t>
      </w:r>
      <w:r>
        <w:rPr>
          <w:rFonts w:cs="Times New Roman"/>
          <w:sz w:val="14"/>
          <w:szCs w:val="14"/>
          <w:lang w:val="es-ES_tradnl"/>
        </w:rPr>
        <w:t>á</w:t>
      </w:r>
      <w:r>
        <w:rPr>
          <w:sz w:val="14"/>
          <w:szCs w:val="14"/>
          <w:lang w:val="es-ES_tradnl"/>
        </w:rPr>
        <w:t>ctica del derecho y se traduce en la seguridad de que se conoce lo previsto como lo prohibido, lo permitido, y lo mandado por el poder p</w:t>
      </w:r>
      <w:r>
        <w:rPr>
          <w:rFonts w:cs="Times New Roman"/>
          <w:sz w:val="14"/>
          <w:szCs w:val="14"/>
          <w:lang w:val="es-ES_tradnl"/>
        </w:rPr>
        <w:t>ú</w:t>
      </w:r>
      <w:r>
        <w:rPr>
          <w:sz w:val="14"/>
          <w:szCs w:val="14"/>
          <w:lang w:val="es-ES_tradnl"/>
        </w:rPr>
        <w:t>blico respecto de las relaciones entre particulares y de estos con el Estado, de lo que se colige que la seguridad jur</w:t>
      </w:r>
      <w:r>
        <w:rPr>
          <w:rFonts w:cs="Times New Roman"/>
          <w:sz w:val="14"/>
          <w:szCs w:val="14"/>
          <w:lang w:val="es-ES_tradnl"/>
        </w:rPr>
        <w:t>í</w:t>
      </w:r>
      <w:r>
        <w:rPr>
          <w:sz w:val="14"/>
          <w:szCs w:val="14"/>
          <w:lang w:val="es-ES_tradnl"/>
        </w:rPr>
        <w:t>dica es una garant</w:t>
      </w:r>
      <w:r>
        <w:rPr>
          <w:rFonts w:cs="Times New Roman"/>
          <w:sz w:val="14"/>
          <w:szCs w:val="14"/>
          <w:lang w:val="es-ES_tradnl"/>
        </w:rPr>
        <w:t>í</w:t>
      </w:r>
      <w:r>
        <w:rPr>
          <w:sz w:val="14"/>
          <w:szCs w:val="14"/>
          <w:lang w:val="es-ES_tradnl"/>
        </w:rPr>
        <w:t xml:space="preserve">a que el Estado reconoce a la persona para que su integridad, sus </w:t>
      </w:r>
      <w:r>
        <w:rPr>
          <w:spacing w:val="-2"/>
          <w:sz w:val="14"/>
          <w:szCs w:val="14"/>
          <w:lang w:val="es-ES_tradnl"/>
        </w:rPr>
        <w:t xml:space="preserve">derechos y sus bienes no sean violentados y que en caso de que </w:t>
      </w:r>
      <w:r>
        <w:rPr>
          <w:sz w:val="14"/>
          <w:szCs w:val="14"/>
          <w:lang w:val="es-ES_tradnl"/>
        </w:rPr>
        <w:t>esto se produzca, se establezcan los mecanismos adecuados para su tutela (</w:t>
      </w:r>
      <w:r>
        <w:rPr>
          <w:rFonts w:cs="Times New Roman"/>
          <w:sz w:val="14"/>
          <w:szCs w:val="14"/>
          <w:lang w:val="es-ES_tradnl"/>
        </w:rPr>
        <w:t>…</w:t>
      </w:r>
      <w:r>
        <w:rPr>
          <w:sz w:val="14"/>
          <w:szCs w:val="14"/>
          <w:lang w:val="es-ES_tradnl"/>
        </w:rPr>
        <w:t>).</w:t>
      </w:r>
    </w:p>
    <w:p w14:paraId="4F67AC05" w14:textId="77777777" w:rsidR="00591D54" w:rsidRDefault="00591D54">
      <w:pPr>
        <w:shd w:val="clear" w:color="auto" w:fill="FFFFFF"/>
        <w:spacing w:before="202" w:line="216" w:lineRule="exact"/>
        <w:jc w:val="both"/>
      </w:pPr>
      <w:r>
        <w:rPr>
          <w:spacing w:val="-4"/>
          <w:sz w:val="18"/>
          <w:szCs w:val="18"/>
          <w:lang w:val="es-ES_tradnl"/>
        </w:rPr>
        <w:t>De esta forma se colige que la seguridad jur</w:t>
      </w:r>
      <w:r>
        <w:rPr>
          <w:rFonts w:cs="Times New Roman"/>
          <w:spacing w:val="-4"/>
          <w:sz w:val="18"/>
          <w:szCs w:val="18"/>
          <w:lang w:val="es-ES_tradnl"/>
        </w:rPr>
        <w:t>í</w:t>
      </w:r>
      <w:r>
        <w:rPr>
          <w:spacing w:val="-4"/>
          <w:sz w:val="18"/>
          <w:szCs w:val="18"/>
          <w:lang w:val="es-ES_tradnl"/>
        </w:rPr>
        <w:t xml:space="preserve">dica radica </w:t>
      </w:r>
      <w:r>
        <w:rPr>
          <w:sz w:val="18"/>
          <w:szCs w:val="18"/>
          <w:lang w:val="es-ES_tradnl"/>
        </w:rPr>
        <w:t xml:space="preserve">en que las actuaciones de las diversas instituciones </w:t>
      </w:r>
      <w:r>
        <w:rPr>
          <w:spacing w:val="-4"/>
          <w:sz w:val="18"/>
          <w:szCs w:val="18"/>
          <w:lang w:val="es-ES_tradnl"/>
        </w:rPr>
        <w:t>y autoridades se fundamenten en normas jur</w:t>
      </w:r>
      <w:r>
        <w:rPr>
          <w:rFonts w:cs="Times New Roman"/>
          <w:spacing w:val="-4"/>
          <w:sz w:val="18"/>
          <w:szCs w:val="18"/>
          <w:lang w:val="es-ES_tradnl"/>
        </w:rPr>
        <w:t>í</w:t>
      </w:r>
      <w:r>
        <w:rPr>
          <w:spacing w:val="-4"/>
          <w:sz w:val="18"/>
          <w:szCs w:val="18"/>
          <w:lang w:val="es-ES_tradnl"/>
        </w:rPr>
        <w:t xml:space="preserve">dicas </w:t>
      </w:r>
      <w:r>
        <w:rPr>
          <w:spacing w:val="-8"/>
          <w:sz w:val="18"/>
          <w:szCs w:val="18"/>
          <w:lang w:val="es-ES_tradnl"/>
        </w:rPr>
        <w:t>previamente determinadas, aprobadas de manera leg</w:t>
      </w:r>
      <w:r>
        <w:rPr>
          <w:rFonts w:cs="Times New Roman"/>
          <w:spacing w:val="-8"/>
          <w:sz w:val="18"/>
          <w:szCs w:val="18"/>
          <w:lang w:val="es-ES_tradnl"/>
        </w:rPr>
        <w:t>í</w:t>
      </w:r>
      <w:r>
        <w:rPr>
          <w:spacing w:val="-8"/>
          <w:sz w:val="18"/>
          <w:szCs w:val="18"/>
          <w:lang w:val="es-ES_tradnl"/>
        </w:rPr>
        <w:t xml:space="preserve">tima </w:t>
      </w:r>
      <w:r>
        <w:rPr>
          <w:spacing w:val="-7"/>
          <w:sz w:val="18"/>
          <w:szCs w:val="18"/>
          <w:lang w:val="es-ES_tradnl"/>
        </w:rPr>
        <w:t>y p</w:t>
      </w:r>
      <w:r>
        <w:rPr>
          <w:rFonts w:cs="Times New Roman"/>
          <w:spacing w:val="-7"/>
          <w:sz w:val="18"/>
          <w:szCs w:val="18"/>
          <w:lang w:val="es-ES_tradnl"/>
        </w:rPr>
        <w:t>ú</w:t>
      </w:r>
      <w:r>
        <w:rPr>
          <w:spacing w:val="-7"/>
          <w:sz w:val="18"/>
          <w:szCs w:val="18"/>
          <w:lang w:val="es-ES_tradnl"/>
        </w:rPr>
        <w:t xml:space="preserve">blica, y por ende se enmarcan dentro de las normas </w:t>
      </w:r>
      <w:r>
        <w:rPr>
          <w:spacing w:val="-5"/>
          <w:sz w:val="18"/>
          <w:szCs w:val="18"/>
          <w:lang w:val="es-ES_tradnl"/>
        </w:rPr>
        <w:t>constitucionales y legales, verific</w:t>
      </w:r>
      <w:r>
        <w:rPr>
          <w:rFonts w:cs="Times New Roman"/>
          <w:spacing w:val="-5"/>
          <w:sz w:val="18"/>
          <w:szCs w:val="18"/>
          <w:lang w:val="es-ES_tradnl"/>
        </w:rPr>
        <w:t>á</w:t>
      </w:r>
      <w:r>
        <w:rPr>
          <w:spacing w:val="-5"/>
          <w:sz w:val="18"/>
          <w:szCs w:val="18"/>
          <w:lang w:val="es-ES_tradnl"/>
        </w:rPr>
        <w:t xml:space="preserve">ndose de esta manera </w:t>
      </w:r>
      <w:r>
        <w:rPr>
          <w:spacing w:val="-6"/>
          <w:sz w:val="18"/>
          <w:szCs w:val="18"/>
          <w:lang w:val="es-ES_tradnl"/>
        </w:rPr>
        <w:t>la validez del actuar de la autoridad. Esta actuaci</w:t>
      </w:r>
      <w:r>
        <w:rPr>
          <w:rFonts w:cs="Times New Roman"/>
          <w:spacing w:val="-6"/>
          <w:sz w:val="18"/>
          <w:szCs w:val="18"/>
          <w:lang w:val="es-ES_tradnl"/>
        </w:rPr>
        <w:t>ó</w:t>
      </w:r>
      <w:r>
        <w:rPr>
          <w:spacing w:val="-6"/>
          <w:sz w:val="18"/>
          <w:szCs w:val="18"/>
          <w:lang w:val="es-ES_tradnl"/>
        </w:rPr>
        <w:t xml:space="preserve">n de </w:t>
      </w:r>
      <w:r>
        <w:rPr>
          <w:spacing w:val="-2"/>
          <w:sz w:val="18"/>
          <w:szCs w:val="18"/>
          <w:lang w:val="es-ES_tradnl"/>
        </w:rPr>
        <w:t xml:space="preserve">juridicidad tiene como consecuencia el conocimiento y </w:t>
      </w:r>
      <w:r>
        <w:rPr>
          <w:spacing w:val="-5"/>
          <w:sz w:val="18"/>
          <w:szCs w:val="18"/>
          <w:lang w:val="es-ES_tradnl"/>
        </w:rPr>
        <w:t xml:space="preserve">la confianza que tienen los ciudadanos respecto de que </w:t>
      </w:r>
      <w:r>
        <w:rPr>
          <w:spacing w:val="-7"/>
          <w:sz w:val="18"/>
          <w:szCs w:val="18"/>
          <w:lang w:val="es-ES_tradnl"/>
        </w:rPr>
        <w:t xml:space="preserve">los diferentes aspectos y situaciones de la vida social se </w:t>
      </w:r>
      <w:r>
        <w:rPr>
          <w:spacing w:val="-9"/>
          <w:sz w:val="18"/>
          <w:szCs w:val="18"/>
          <w:lang w:val="es-ES_tradnl"/>
        </w:rPr>
        <w:t xml:space="preserve">encuentran regulados y resueltos por normas y previstas en </w:t>
      </w:r>
      <w:r>
        <w:rPr>
          <w:sz w:val="18"/>
          <w:szCs w:val="18"/>
          <w:lang w:val="es-ES_tradnl"/>
        </w:rPr>
        <w:t>el ordenamiento jur</w:t>
      </w:r>
      <w:r>
        <w:rPr>
          <w:rFonts w:cs="Times New Roman"/>
          <w:sz w:val="18"/>
          <w:szCs w:val="18"/>
          <w:lang w:val="es-ES_tradnl"/>
        </w:rPr>
        <w:t>í</w:t>
      </w:r>
      <w:r>
        <w:rPr>
          <w:sz w:val="18"/>
          <w:szCs w:val="18"/>
          <w:lang w:val="es-ES_tradnl"/>
        </w:rPr>
        <w:t>dico.</w:t>
      </w:r>
    </w:p>
    <w:p w14:paraId="4F67AC06" w14:textId="77777777" w:rsidR="00591D54" w:rsidRDefault="00591D54">
      <w:pPr>
        <w:shd w:val="clear" w:color="auto" w:fill="FFFFFF"/>
        <w:spacing w:before="197" w:line="216" w:lineRule="exact"/>
        <w:jc w:val="both"/>
      </w:pPr>
      <w:r>
        <w:rPr>
          <w:spacing w:val="-9"/>
          <w:sz w:val="18"/>
          <w:szCs w:val="18"/>
          <w:lang w:val="es-ES_tradnl"/>
        </w:rPr>
        <w:t>Es necesario precisar que el h</w:t>
      </w:r>
      <w:r>
        <w:rPr>
          <w:rFonts w:cs="Times New Roman"/>
          <w:spacing w:val="-9"/>
          <w:sz w:val="18"/>
          <w:szCs w:val="18"/>
          <w:lang w:val="es-ES_tradnl"/>
        </w:rPr>
        <w:t>á</w:t>
      </w:r>
      <w:r>
        <w:rPr>
          <w:spacing w:val="-9"/>
          <w:sz w:val="18"/>
          <w:szCs w:val="18"/>
          <w:lang w:val="es-ES_tradnl"/>
        </w:rPr>
        <w:t>beas data es una garant</w:t>
      </w:r>
      <w:r>
        <w:rPr>
          <w:rFonts w:cs="Times New Roman"/>
          <w:spacing w:val="-9"/>
          <w:sz w:val="18"/>
          <w:szCs w:val="18"/>
          <w:lang w:val="es-ES_tradnl"/>
        </w:rPr>
        <w:t>í</w:t>
      </w:r>
      <w:r>
        <w:rPr>
          <w:spacing w:val="-9"/>
          <w:sz w:val="18"/>
          <w:szCs w:val="18"/>
          <w:lang w:val="es-ES_tradnl"/>
        </w:rPr>
        <w:t xml:space="preserve">a </w:t>
      </w:r>
      <w:r>
        <w:rPr>
          <w:spacing w:val="-6"/>
          <w:sz w:val="18"/>
          <w:szCs w:val="18"/>
          <w:lang w:val="es-ES_tradnl"/>
        </w:rPr>
        <w:t xml:space="preserve">jurisdiccional que tiene su origen en el principio contenido </w:t>
      </w:r>
      <w:r>
        <w:rPr>
          <w:spacing w:val="-3"/>
          <w:sz w:val="18"/>
          <w:szCs w:val="18"/>
          <w:lang w:val="es-ES_tradnl"/>
        </w:rPr>
        <w:t>en el art</w:t>
      </w:r>
      <w:r>
        <w:rPr>
          <w:rFonts w:cs="Times New Roman"/>
          <w:spacing w:val="-3"/>
          <w:sz w:val="18"/>
          <w:szCs w:val="18"/>
          <w:lang w:val="es-ES_tradnl"/>
        </w:rPr>
        <w:t>í</w:t>
      </w:r>
      <w:r>
        <w:rPr>
          <w:spacing w:val="-3"/>
          <w:sz w:val="18"/>
          <w:szCs w:val="18"/>
          <w:lang w:val="es-ES_tradnl"/>
        </w:rPr>
        <w:t>culo 66 numeral 19 de la Constituci</w:t>
      </w:r>
      <w:r>
        <w:rPr>
          <w:rFonts w:cs="Times New Roman"/>
          <w:spacing w:val="-3"/>
          <w:sz w:val="18"/>
          <w:szCs w:val="18"/>
          <w:lang w:val="es-ES_tradnl"/>
        </w:rPr>
        <w:t>ó</w:t>
      </w:r>
      <w:r>
        <w:rPr>
          <w:spacing w:val="-3"/>
          <w:sz w:val="18"/>
          <w:szCs w:val="18"/>
          <w:lang w:val="es-ES_tradnl"/>
        </w:rPr>
        <w:t xml:space="preserve">n, mismo </w:t>
      </w:r>
      <w:r>
        <w:rPr>
          <w:sz w:val="18"/>
          <w:szCs w:val="18"/>
          <w:lang w:val="es-ES_tradnl"/>
        </w:rPr>
        <w:t xml:space="preserve">que prescribe que el Estado reconoce y garantiza a </w:t>
      </w:r>
      <w:r>
        <w:rPr>
          <w:spacing w:val="-2"/>
          <w:sz w:val="18"/>
          <w:szCs w:val="18"/>
          <w:lang w:val="es-ES_tradnl"/>
        </w:rPr>
        <w:t>todas las personas el derecho a la protecci</w:t>
      </w:r>
      <w:r>
        <w:rPr>
          <w:rFonts w:cs="Times New Roman"/>
          <w:spacing w:val="-2"/>
          <w:sz w:val="18"/>
          <w:szCs w:val="18"/>
          <w:lang w:val="es-ES_tradnl"/>
        </w:rPr>
        <w:t>ó</w:t>
      </w:r>
      <w:r>
        <w:rPr>
          <w:spacing w:val="-2"/>
          <w:sz w:val="18"/>
          <w:szCs w:val="18"/>
          <w:lang w:val="es-ES_tradnl"/>
        </w:rPr>
        <w:t>n de datos</w:t>
      </w:r>
    </w:p>
    <w:p w14:paraId="4F67AC07" w14:textId="77777777" w:rsidR="00591D54" w:rsidRDefault="00591D54">
      <w:pPr>
        <w:shd w:val="clear" w:color="auto" w:fill="FFFFFF"/>
        <w:tabs>
          <w:tab w:val="left" w:pos="144"/>
        </w:tabs>
        <w:spacing w:before="418" w:line="182" w:lineRule="exact"/>
        <w:ind w:left="144" w:hanging="144"/>
      </w:pPr>
      <w:r>
        <w:rPr>
          <w:sz w:val="16"/>
          <w:szCs w:val="16"/>
          <w:vertAlign w:val="superscript"/>
          <w:lang w:val="es-ES_tradnl"/>
        </w:rPr>
        <w:t>1</w:t>
      </w:r>
      <w:r>
        <w:rPr>
          <w:sz w:val="18"/>
          <w:szCs w:val="18"/>
          <w:lang w:val="es-ES_tradnl"/>
        </w:rPr>
        <w:tab/>
      </w:r>
      <w:r>
        <w:rPr>
          <w:spacing w:val="-1"/>
          <w:sz w:val="14"/>
          <w:szCs w:val="14"/>
          <w:lang w:val="es-ES_tradnl"/>
        </w:rPr>
        <w:t>Corte</w:t>
      </w:r>
      <w:r>
        <w:rPr>
          <w:spacing w:val="-1"/>
          <w:sz w:val="18"/>
          <w:szCs w:val="18"/>
          <w:lang w:val="es-ES_tradnl"/>
        </w:rPr>
        <w:t xml:space="preserve"> </w:t>
      </w:r>
      <w:r>
        <w:rPr>
          <w:spacing w:val="-1"/>
          <w:sz w:val="14"/>
          <w:szCs w:val="14"/>
          <w:lang w:val="es-ES_tradnl"/>
        </w:rPr>
        <w:t>Constitucional</w:t>
      </w:r>
      <w:r>
        <w:rPr>
          <w:spacing w:val="-1"/>
          <w:sz w:val="18"/>
          <w:szCs w:val="18"/>
          <w:lang w:val="es-ES_tradnl"/>
        </w:rPr>
        <w:t xml:space="preserve"> </w:t>
      </w:r>
      <w:r>
        <w:rPr>
          <w:spacing w:val="-1"/>
          <w:sz w:val="14"/>
          <w:szCs w:val="14"/>
          <w:lang w:val="es-ES_tradnl"/>
        </w:rPr>
        <w:t>del</w:t>
      </w:r>
      <w:r>
        <w:rPr>
          <w:spacing w:val="-1"/>
          <w:sz w:val="18"/>
          <w:szCs w:val="18"/>
          <w:lang w:val="es-ES_tradnl"/>
        </w:rPr>
        <w:t xml:space="preserve"> </w:t>
      </w:r>
      <w:r>
        <w:rPr>
          <w:spacing w:val="-1"/>
          <w:sz w:val="14"/>
          <w:szCs w:val="14"/>
          <w:lang w:val="es-ES_tradnl"/>
        </w:rPr>
        <w:t>Ecuador,</w:t>
      </w:r>
      <w:r>
        <w:rPr>
          <w:spacing w:val="-1"/>
          <w:sz w:val="18"/>
          <w:szCs w:val="18"/>
          <w:lang w:val="es-ES_tradnl"/>
        </w:rPr>
        <w:t xml:space="preserve">   </w:t>
      </w:r>
      <w:r>
        <w:rPr>
          <w:spacing w:val="-1"/>
          <w:sz w:val="14"/>
          <w:szCs w:val="14"/>
          <w:lang w:val="es-ES_tradnl"/>
        </w:rPr>
        <w:t>sentencia</w:t>
      </w:r>
      <w:r>
        <w:rPr>
          <w:spacing w:val="-1"/>
          <w:sz w:val="18"/>
          <w:szCs w:val="18"/>
          <w:lang w:val="es-ES_tradnl"/>
        </w:rPr>
        <w:t xml:space="preserve"> </w:t>
      </w:r>
      <w:r>
        <w:rPr>
          <w:spacing w:val="-1"/>
          <w:sz w:val="14"/>
          <w:szCs w:val="14"/>
          <w:lang w:val="es-ES_tradnl"/>
        </w:rPr>
        <w:t>N.</w:t>
      </w:r>
      <w:r>
        <w:rPr>
          <w:rFonts w:cs="Times New Roman"/>
          <w:spacing w:val="-1"/>
          <w:sz w:val="14"/>
          <w:szCs w:val="14"/>
          <w:lang w:val="es-ES_tradnl"/>
        </w:rPr>
        <w:t>º</w:t>
      </w:r>
      <w:r>
        <w:rPr>
          <w:spacing w:val="-1"/>
          <w:sz w:val="18"/>
          <w:szCs w:val="18"/>
          <w:lang w:val="es-ES_tradnl"/>
        </w:rPr>
        <w:t xml:space="preserve"> </w:t>
      </w:r>
      <w:r>
        <w:rPr>
          <w:spacing w:val="-1"/>
          <w:sz w:val="14"/>
          <w:szCs w:val="14"/>
          <w:lang w:val="es-ES_tradnl"/>
        </w:rPr>
        <w:t>119-13-SEP-CC</w:t>
      </w:r>
      <w:r>
        <w:rPr>
          <w:spacing w:val="-1"/>
          <w:sz w:val="18"/>
          <w:szCs w:val="18"/>
          <w:lang w:val="es-ES_tradnl"/>
        </w:rPr>
        <w:t xml:space="preserve"> </w:t>
      </w:r>
      <w:r>
        <w:rPr>
          <w:spacing w:val="-1"/>
          <w:sz w:val="14"/>
          <w:szCs w:val="14"/>
          <w:lang w:val="es-ES_tradnl"/>
        </w:rPr>
        <w:t>, </w:t>
      </w:r>
      <w:r>
        <w:rPr>
          <w:sz w:val="14"/>
          <w:szCs w:val="14"/>
          <w:lang w:val="es-ES_tradnl"/>
        </w:rPr>
        <w:t>caso N.</w:t>
      </w:r>
      <w:r>
        <w:rPr>
          <w:rFonts w:cs="Times New Roman"/>
          <w:sz w:val="14"/>
          <w:szCs w:val="14"/>
          <w:lang w:val="es-ES_tradnl"/>
        </w:rPr>
        <w:t>º</w:t>
      </w:r>
      <w:r>
        <w:rPr>
          <w:sz w:val="14"/>
          <w:szCs w:val="14"/>
          <w:lang w:val="es-ES_tradnl"/>
        </w:rPr>
        <w:t xml:space="preserve"> 1310-10-EP</w:t>
      </w:r>
    </w:p>
    <w:p w14:paraId="4F67AC08" w14:textId="77777777" w:rsidR="00591D54" w:rsidRDefault="00591D54">
      <w:pPr>
        <w:shd w:val="clear" w:color="auto" w:fill="FFFFFF"/>
        <w:tabs>
          <w:tab w:val="left" w:pos="144"/>
        </w:tabs>
        <w:spacing w:before="149" w:line="178" w:lineRule="exact"/>
        <w:ind w:left="144" w:hanging="144"/>
      </w:pPr>
      <w:r>
        <w:rPr>
          <w:sz w:val="10"/>
          <w:szCs w:val="10"/>
          <w:vertAlign w:val="superscript"/>
          <w:lang w:val="es-ES_tradnl"/>
        </w:rPr>
        <w:t>2</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º</w:t>
      </w:r>
      <w:r>
        <w:rPr>
          <w:sz w:val="18"/>
          <w:szCs w:val="18"/>
          <w:lang w:val="es-ES_tradnl"/>
        </w:rPr>
        <w:t xml:space="preserve"> </w:t>
      </w:r>
      <w:r>
        <w:rPr>
          <w:sz w:val="14"/>
          <w:szCs w:val="14"/>
          <w:lang w:val="es-ES_tradnl"/>
        </w:rPr>
        <w:t>115-13-SEP-CC, caso N.</w:t>
      </w:r>
      <w:r>
        <w:rPr>
          <w:rFonts w:cs="Times New Roman"/>
          <w:sz w:val="14"/>
          <w:szCs w:val="14"/>
          <w:lang w:val="es-ES_tradnl"/>
        </w:rPr>
        <w:t>º</w:t>
      </w:r>
      <w:r>
        <w:rPr>
          <w:sz w:val="14"/>
          <w:szCs w:val="14"/>
          <w:lang w:val="es-ES_tradnl"/>
        </w:rPr>
        <w:t xml:space="preserve"> 1922-11-EP</w:t>
      </w:r>
    </w:p>
    <w:p w14:paraId="4F67AC09" w14:textId="77777777" w:rsidR="00591D54" w:rsidRDefault="00591D54">
      <w:pPr>
        <w:shd w:val="clear" w:color="auto" w:fill="FFFFFF"/>
        <w:tabs>
          <w:tab w:val="left" w:pos="144"/>
        </w:tabs>
        <w:spacing w:before="149" w:line="178" w:lineRule="exact"/>
        <w:ind w:left="144" w:hanging="144"/>
        <w:sectPr w:rsidR="00591D54">
          <w:type w:val="continuous"/>
          <w:pgSz w:w="11909" w:h="16834"/>
          <w:pgMar w:top="1356" w:right="1309" w:bottom="360" w:left="1308" w:header="720" w:footer="720" w:gutter="0"/>
          <w:cols w:num="2" w:space="720" w:equalWidth="0">
            <w:col w:w="4305" w:space="682"/>
            <w:col w:w="4305"/>
          </w:cols>
          <w:noEndnote/>
        </w:sectPr>
      </w:pPr>
    </w:p>
    <w:p w14:paraId="4F67AC0A" w14:textId="77777777" w:rsidR="00591D54" w:rsidRDefault="00591D54">
      <w:pPr>
        <w:shd w:val="clear" w:color="auto" w:fill="FFFFFF"/>
        <w:tabs>
          <w:tab w:val="left" w:pos="4814"/>
        </w:tabs>
        <w:spacing w:after="235"/>
        <w:ind w:left="14"/>
      </w:pPr>
      <w:r>
        <w:rPr>
          <w:b/>
          <w:bCs/>
          <w:sz w:val="18"/>
          <w:szCs w:val="18"/>
          <w:lang w:val="es-ES_tradnl"/>
        </w:rPr>
        <w:t xml:space="preserve">104 -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C0B" w14:textId="77777777" w:rsidR="00591D54" w:rsidRDefault="00591D54">
      <w:pPr>
        <w:shd w:val="clear" w:color="auto" w:fill="FFFFFF"/>
        <w:tabs>
          <w:tab w:val="left" w:pos="4814"/>
        </w:tabs>
        <w:spacing w:after="235"/>
        <w:ind w:left="14"/>
        <w:sectPr w:rsidR="00591D54">
          <w:pgSz w:w="11909" w:h="16834"/>
          <w:pgMar w:top="1356" w:right="1304" w:bottom="360" w:left="1308" w:header="720" w:footer="720" w:gutter="0"/>
          <w:cols w:space="60"/>
          <w:noEndnote/>
        </w:sectPr>
      </w:pPr>
    </w:p>
    <w:p w14:paraId="4F67AC0C" w14:textId="77777777" w:rsidR="00591D54" w:rsidRDefault="00591D54">
      <w:pPr>
        <w:shd w:val="clear" w:color="auto" w:fill="FFFFFF"/>
        <w:spacing w:line="216" w:lineRule="exact"/>
        <w:jc w:val="both"/>
      </w:pPr>
      <w:r>
        <w:rPr>
          <w:spacing w:val="-7"/>
          <w:sz w:val="18"/>
          <w:szCs w:val="18"/>
          <w:lang w:val="es-ES_tradnl"/>
        </w:rPr>
        <w:t>de car</w:t>
      </w:r>
      <w:r>
        <w:rPr>
          <w:rFonts w:cs="Times New Roman"/>
          <w:spacing w:val="-7"/>
          <w:sz w:val="18"/>
          <w:szCs w:val="18"/>
          <w:lang w:val="es-ES_tradnl"/>
        </w:rPr>
        <w:t>á</w:t>
      </w:r>
      <w:r>
        <w:rPr>
          <w:spacing w:val="-7"/>
          <w:sz w:val="18"/>
          <w:szCs w:val="18"/>
          <w:lang w:val="es-ES_tradnl"/>
        </w:rPr>
        <w:t>cter personal, que incluye el acceso y la decisi</w:t>
      </w:r>
      <w:r>
        <w:rPr>
          <w:rFonts w:cs="Times New Roman"/>
          <w:spacing w:val="-7"/>
          <w:sz w:val="18"/>
          <w:szCs w:val="18"/>
          <w:lang w:val="es-ES_tradnl"/>
        </w:rPr>
        <w:t>ó</w:t>
      </w:r>
      <w:r>
        <w:rPr>
          <w:spacing w:val="-7"/>
          <w:sz w:val="18"/>
          <w:szCs w:val="18"/>
          <w:lang w:val="es-ES_tradnl"/>
        </w:rPr>
        <w:t>n sobre informaci</w:t>
      </w:r>
      <w:r>
        <w:rPr>
          <w:rFonts w:cs="Times New Roman"/>
          <w:spacing w:val="-7"/>
          <w:sz w:val="18"/>
          <w:szCs w:val="18"/>
          <w:lang w:val="es-ES_tradnl"/>
        </w:rPr>
        <w:t>ó</w:t>
      </w:r>
      <w:r>
        <w:rPr>
          <w:spacing w:val="-7"/>
          <w:sz w:val="18"/>
          <w:szCs w:val="18"/>
          <w:lang w:val="es-ES_tradnl"/>
        </w:rPr>
        <w:t>n y datos de este car</w:t>
      </w:r>
      <w:r>
        <w:rPr>
          <w:rFonts w:cs="Times New Roman"/>
          <w:spacing w:val="-7"/>
          <w:sz w:val="18"/>
          <w:szCs w:val="18"/>
          <w:lang w:val="es-ES_tradnl"/>
        </w:rPr>
        <w:t>á</w:t>
      </w:r>
      <w:r>
        <w:rPr>
          <w:spacing w:val="-7"/>
          <w:sz w:val="18"/>
          <w:szCs w:val="18"/>
          <w:lang w:val="es-ES_tradnl"/>
        </w:rPr>
        <w:t>cter, as</w:t>
      </w:r>
      <w:r>
        <w:rPr>
          <w:rFonts w:cs="Times New Roman"/>
          <w:spacing w:val="-7"/>
          <w:sz w:val="18"/>
          <w:szCs w:val="18"/>
          <w:lang w:val="es-ES_tradnl"/>
        </w:rPr>
        <w:t>í</w:t>
      </w:r>
      <w:r>
        <w:rPr>
          <w:spacing w:val="-7"/>
          <w:sz w:val="18"/>
          <w:szCs w:val="18"/>
          <w:lang w:val="es-ES_tradnl"/>
        </w:rPr>
        <w:t xml:space="preserve"> como su </w:t>
      </w:r>
      <w:r>
        <w:rPr>
          <w:spacing w:val="-5"/>
          <w:sz w:val="18"/>
          <w:szCs w:val="18"/>
          <w:lang w:val="es-ES_tradnl"/>
        </w:rPr>
        <w:t>correspondiente protecci</w:t>
      </w:r>
      <w:r>
        <w:rPr>
          <w:rFonts w:cs="Times New Roman"/>
          <w:spacing w:val="-5"/>
          <w:sz w:val="18"/>
          <w:szCs w:val="18"/>
          <w:lang w:val="es-ES_tradnl"/>
        </w:rPr>
        <w:t>ó</w:t>
      </w:r>
      <w:r>
        <w:rPr>
          <w:spacing w:val="-5"/>
          <w:sz w:val="18"/>
          <w:szCs w:val="18"/>
          <w:lang w:val="es-ES_tradnl"/>
        </w:rPr>
        <w:t>n. La recolecci</w:t>
      </w:r>
      <w:r>
        <w:rPr>
          <w:rFonts w:cs="Times New Roman"/>
          <w:spacing w:val="-5"/>
          <w:sz w:val="18"/>
          <w:szCs w:val="18"/>
          <w:lang w:val="es-ES_tradnl"/>
        </w:rPr>
        <w:t>ó</w:t>
      </w:r>
      <w:r>
        <w:rPr>
          <w:spacing w:val="-5"/>
          <w:sz w:val="18"/>
          <w:szCs w:val="18"/>
          <w:lang w:val="es-ES_tradnl"/>
        </w:rPr>
        <w:t xml:space="preserve">n, archivo, </w:t>
      </w:r>
      <w:r>
        <w:rPr>
          <w:spacing w:val="-6"/>
          <w:sz w:val="18"/>
          <w:szCs w:val="18"/>
          <w:lang w:val="es-ES_tradnl"/>
        </w:rPr>
        <w:t>procesamiento, distribuci</w:t>
      </w:r>
      <w:r>
        <w:rPr>
          <w:rFonts w:cs="Times New Roman"/>
          <w:spacing w:val="-6"/>
          <w:sz w:val="18"/>
          <w:szCs w:val="18"/>
          <w:lang w:val="es-ES_tradnl"/>
        </w:rPr>
        <w:t>ó</w:t>
      </w:r>
      <w:r>
        <w:rPr>
          <w:spacing w:val="-6"/>
          <w:sz w:val="18"/>
          <w:szCs w:val="18"/>
          <w:lang w:val="es-ES_tradnl"/>
        </w:rPr>
        <w:t>n o difusi</w:t>
      </w:r>
      <w:r>
        <w:rPr>
          <w:rFonts w:cs="Times New Roman"/>
          <w:spacing w:val="-6"/>
          <w:sz w:val="18"/>
          <w:szCs w:val="18"/>
          <w:lang w:val="es-ES_tradnl"/>
        </w:rPr>
        <w:t>ó</w:t>
      </w:r>
      <w:r>
        <w:rPr>
          <w:spacing w:val="-6"/>
          <w:sz w:val="18"/>
          <w:szCs w:val="18"/>
          <w:lang w:val="es-ES_tradnl"/>
        </w:rPr>
        <w:t xml:space="preserve">n de estos datos o </w:t>
      </w:r>
      <w:r>
        <w:rPr>
          <w:spacing w:val="-3"/>
          <w:sz w:val="18"/>
          <w:szCs w:val="18"/>
          <w:lang w:val="es-ES_tradnl"/>
        </w:rPr>
        <w:t>informaci</w:t>
      </w:r>
      <w:r>
        <w:rPr>
          <w:rFonts w:cs="Times New Roman"/>
          <w:spacing w:val="-3"/>
          <w:sz w:val="18"/>
          <w:szCs w:val="18"/>
          <w:lang w:val="es-ES_tradnl"/>
        </w:rPr>
        <w:t>ó</w:t>
      </w:r>
      <w:r>
        <w:rPr>
          <w:spacing w:val="-3"/>
          <w:sz w:val="18"/>
          <w:szCs w:val="18"/>
          <w:lang w:val="es-ES_tradnl"/>
        </w:rPr>
        <w:t>n requerir</w:t>
      </w:r>
      <w:r>
        <w:rPr>
          <w:rFonts w:cs="Times New Roman"/>
          <w:spacing w:val="-3"/>
          <w:sz w:val="18"/>
          <w:szCs w:val="18"/>
          <w:lang w:val="es-ES_tradnl"/>
        </w:rPr>
        <w:t>á</w:t>
      </w:r>
      <w:r>
        <w:rPr>
          <w:spacing w:val="-3"/>
          <w:sz w:val="18"/>
          <w:szCs w:val="18"/>
          <w:lang w:val="es-ES_tradnl"/>
        </w:rPr>
        <w:t>n la autorizaci</w:t>
      </w:r>
      <w:r>
        <w:rPr>
          <w:rFonts w:cs="Times New Roman"/>
          <w:spacing w:val="-3"/>
          <w:sz w:val="18"/>
          <w:szCs w:val="18"/>
          <w:lang w:val="es-ES_tradnl"/>
        </w:rPr>
        <w:t>ó</w:t>
      </w:r>
      <w:r>
        <w:rPr>
          <w:spacing w:val="-3"/>
          <w:sz w:val="18"/>
          <w:szCs w:val="18"/>
          <w:lang w:val="es-ES_tradnl"/>
        </w:rPr>
        <w:t xml:space="preserve">n del titular o el </w:t>
      </w:r>
      <w:r>
        <w:rPr>
          <w:sz w:val="18"/>
          <w:szCs w:val="18"/>
          <w:lang w:val="es-ES_tradnl"/>
        </w:rPr>
        <w:t>mandato de la ley.</w:t>
      </w:r>
    </w:p>
    <w:p w14:paraId="4F67AC0D" w14:textId="77777777" w:rsidR="00591D54" w:rsidRDefault="00591D54">
      <w:pPr>
        <w:shd w:val="clear" w:color="auto" w:fill="FFFFFF"/>
        <w:spacing w:before="197" w:line="216" w:lineRule="exact"/>
        <w:ind w:right="5"/>
        <w:jc w:val="both"/>
      </w:pPr>
      <w:r>
        <w:rPr>
          <w:spacing w:val="-3"/>
          <w:sz w:val="18"/>
          <w:szCs w:val="18"/>
          <w:lang w:val="es-ES_tradnl"/>
        </w:rPr>
        <w:t>El texto constitucional al referirse espec</w:t>
      </w:r>
      <w:r>
        <w:rPr>
          <w:rFonts w:cs="Times New Roman"/>
          <w:spacing w:val="-3"/>
          <w:sz w:val="18"/>
          <w:szCs w:val="18"/>
          <w:lang w:val="es-ES_tradnl"/>
        </w:rPr>
        <w:t>í</w:t>
      </w:r>
      <w:r>
        <w:rPr>
          <w:spacing w:val="-3"/>
          <w:sz w:val="18"/>
          <w:szCs w:val="18"/>
          <w:lang w:val="es-ES_tradnl"/>
        </w:rPr>
        <w:t xml:space="preserve">ficamente al </w:t>
      </w:r>
      <w:r>
        <w:rPr>
          <w:sz w:val="18"/>
          <w:szCs w:val="18"/>
          <w:lang w:val="es-ES_tradnl"/>
        </w:rPr>
        <w:t>h</w:t>
      </w:r>
      <w:r>
        <w:rPr>
          <w:rFonts w:cs="Times New Roman"/>
          <w:sz w:val="18"/>
          <w:szCs w:val="18"/>
          <w:lang w:val="es-ES_tradnl"/>
        </w:rPr>
        <w:t>á</w:t>
      </w:r>
      <w:r>
        <w:rPr>
          <w:sz w:val="18"/>
          <w:szCs w:val="18"/>
          <w:lang w:val="es-ES_tradnl"/>
        </w:rPr>
        <w:t>beas data, se</w:t>
      </w:r>
      <w:r>
        <w:rPr>
          <w:rFonts w:cs="Times New Roman"/>
          <w:sz w:val="18"/>
          <w:szCs w:val="18"/>
          <w:lang w:val="es-ES_tradnl"/>
        </w:rPr>
        <w:t>ñ</w:t>
      </w:r>
      <w:r>
        <w:rPr>
          <w:sz w:val="18"/>
          <w:szCs w:val="18"/>
          <w:lang w:val="es-ES_tradnl"/>
        </w:rPr>
        <w:t>ala lo siguiente:</w:t>
      </w:r>
    </w:p>
    <w:p w14:paraId="4F67AC0E" w14:textId="77777777" w:rsidR="00591D54" w:rsidRDefault="00591D54">
      <w:pPr>
        <w:shd w:val="clear" w:color="auto" w:fill="FFFFFF"/>
        <w:spacing w:before="202" w:line="216" w:lineRule="exact"/>
        <w:ind w:left="283"/>
        <w:jc w:val="both"/>
      </w:pPr>
      <w:r>
        <w:rPr>
          <w:b/>
          <w:bCs/>
          <w:sz w:val="14"/>
          <w:szCs w:val="14"/>
          <w:lang w:val="es-ES_tradnl"/>
        </w:rPr>
        <w:t xml:space="preserve">Art. 92.- </w:t>
      </w:r>
      <w:r>
        <w:rPr>
          <w:sz w:val="14"/>
          <w:szCs w:val="14"/>
          <w:lang w:val="es-ES_tradnl"/>
        </w:rPr>
        <w:t>Toda persona, por sus propios derechos o como representante legitimado para el efecto, tendr</w:t>
      </w:r>
      <w:r>
        <w:rPr>
          <w:rFonts w:cs="Times New Roman"/>
          <w:sz w:val="14"/>
          <w:szCs w:val="14"/>
          <w:lang w:val="es-ES_tradnl"/>
        </w:rPr>
        <w:t>á</w:t>
      </w:r>
      <w:r>
        <w:rPr>
          <w:sz w:val="14"/>
          <w:szCs w:val="14"/>
          <w:lang w:val="es-ES_tradnl"/>
        </w:rPr>
        <w:t xml:space="preserve"> derecho a conocer de la existencia y a acceder a los documentos, datos gen</w:t>
      </w:r>
      <w:r>
        <w:rPr>
          <w:rFonts w:cs="Times New Roman"/>
          <w:sz w:val="14"/>
          <w:szCs w:val="14"/>
          <w:lang w:val="es-ES_tradnl"/>
        </w:rPr>
        <w:t>é</w:t>
      </w:r>
      <w:r>
        <w:rPr>
          <w:sz w:val="14"/>
          <w:szCs w:val="14"/>
          <w:lang w:val="es-ES_tradnl"/>
        </w:rPr>
        <w:t>ticos, bancos o archivos de datos personales e informes que sobre s</w:t>
      </w:r>
      <w:r>
        <w:rPr>
          <w:rFonts w:cs="Times New Roman"/>
          <w:sz w:val="14"/>
          <w:szCs w:val="14"/>
          <w:lang w:val="es-ES_tradnl"/>
        </w:rPr>
        <w:t>í</w:t>
      </w:r>
      <w:r>
        <w:rPr>
          <w:sz w:val="14"/>
          <w:szCs w:val="14"/>
          <w:lang w:val="es-ES_tradnl"/>
        </w:rPr>
        <w:t xml:space="preserve"> misma, o sobre sus bienes, consten en entidades p</w:t>
      </w:r>
      <w:r>
        <w:rPr>
          <w:rFonts w:cs="Times New Roman"/>
          <w:sz w:val="14"/>
          <w:szCs w:val="14"/>
          <w:lang w:val="es-ES_tradnl"/>
        </w:rPr>
        <w:t>ú</w:t>
      </w:r>
      <w:r>
        <w:rPr>
          <w:sz w:val="14"/>
          <w:szCs w:val="14"/>
          <w:lang w:val="es-ES_tradnl"/>
        </w:rPr>
        <w:t>blicas o privadas, en soporte material o electr</w:t>
      </w:r>
      <w:r>
        <w:rPr>
          <w:rFonts w:cs="Times New Roman"/>
          <w:sz w:val="14"/>
          <w:szCs w:val="14"/>
          <w:lang w:val="es-ES_tradnl"/>
        </w:rPr>
        <w:t>ó</w:t>
      </w:r>
      <w:r>
        <w:rPr>
          <w:sz w:val="14"/>
          <w:szCs w:val="14"/>
          <w:lang w:val="es-ES_tradnl"/>
        </w:rPr>
        <w:t>nico. Asimismo tendr</w:t>
      </w:r>
      <w:r>
        <w:rPr>
          <w:rFonts w:cs="Times New Roman"/>
          <w:sz w:val="14"/>
          <w:szCs w:val="14"/>
          <w:lang w:val="es-ES_tradnl"/>
        </w:rPr>
        <w:t>á</w:t>
      </w:r>
      <w:r>
        <w:rPr>
          <w:sz w:val="14"/>
          <w:szCs w:val="14"/>
          <w:lang w:val="es-ES_tradnl"/>
        </w:rPr>
        <w:t xml:space="preserve"> derecho a conocer el uso que se haga de ellos, su finalidad, el origen y destino de informaci</w:t>
      </w:r>
      <w:r>
        <w:rPr>
          <w:rFonts w:cs="Times New Roman"/>
          <w:sz w:val="14"/>
          <w:szCs w:val="14"/>
          <w:lang w:val="es-ES_tradnl"/>
        </w:rPr>
        <w:t>ó</w:t>
      </w:r>
      <w:r>
        <w:rPr>
          <w:sz w:val="14"/>
          <w:szCs w:val="14"/>
          <w:lang w:val="es-ES_tradnl"/>
        </w:rPr>
        <w:t>n personal y el tiempo de vigencia del archivo o banco de datos.</w:t>
      </w:r>
    </w:p>
    <w:p w14:paraId="4F67AC0F" w14:textId="77777777" w:rsidR="00591D54" w:rsidRDefault="00591D54">
      <w:pPr>
        <w:shd w:val="clear" w:color="auto" w:fill="FFFFFF"/>
        <w:spacing w:before="206" w:line="216" w:lineRule="exact"/>
        <w:ind w:left="283" w:right="5"/>
        <w:jc w:val="both"/>
      </w:pPr>
      <w:r>
        <w:rPr>
          <w:sz w:val="14"/>
          <w:szCs w:val="14"/>
          <w:lang w:val="es-ES_tradnl"/>
        </w:rPr>
        <w:t>Las personas responsables de los bancos o archivos de datos personales podr</w:t>
      </w:r>
      <w:r>
        <w:rPr>
          <w:rFonts w:cs="Times New Roman"/>
          <w:sz w:val="14"/>
          <w:szCs w:val="14"/>
          <w:lang w:val="es-ES_tradnl"/>
        </w:rPr>
        <w:t>á</w:t>
      </w:r>
      <w:r>
        <w:rPr>
          <w:sz w:val="14"/>
          <w:szCs w:val="14"/>
          <w:lang w:val="es-ES_tradnl"/>
        </w:rPr>
        <w:t>n difundir la informaci</w:t>
      </w:r>
      <w:r>
        <w:rPr>
          <w:rFonts w:cs="Times New Roman"/>
          <w:sz w:val="14"/>
          <w:szCs w:val="14"/>
          <w:lang w:val="es-ES_tradnl"/>
        </w:rPr>
        <w:t>ó</w:t>
      </w:r>
      <w:r>
        <w:rPr>
          <w:sz w:val="14"/>
          <w:szCs w:val="14"/>
          <w:lang w:val="es-ES_tradnl"/>
        </w:rPr>
        <w:t>n archivada con autorizaci</w:t>
      </w:r>
      <w:r>
        <w:rPr>
          <w:rFonts w:cs="Times New Roman"/>
          <w:sz w:val="14"/>
          <w:szCs w:val="14"/>
          <w:lang w:val="es-ES_tradnl"/>
        </w:rPr>
        <w:t>ó</w:t>
      </w:r>
      <w:r>
        <w:rPr>
          <w:sz w:val="14"/>
          <w:szCs w:val="14"/>
          <w:lang w:val="es-ES_tradnl"/>
        </w:rPr>
        <w:t>n de su titular o de la ley.</w:t>
      </w:r>
    </w:p>
    <w:p w14:paraId="4F67AC10" w14:textId="77777777" w:rsidR="00591D54" w:rsidRDefault="00591D54">
      <w:pPr>
        <w:shd w:val="clear" w:color="auto" w:fill="FFFFFF"/>
        <w:spacing w:before="211" w:line="216" w:lineRule="exact"/>
        <w:ind w:left="283" w:right="5"/>
        <w:jc w:val="both"/>
      </w:pPr>
      <w:r>
        <w:rPr>
          <w:sz w:val="14"/>
          <w:szCs w:val="14"/>
          <w:lang w:val="es-ES_tradnl"/>
        </w:rPr>
        <w:t>La persona titular de los datos podr</w:t>
      </w:r>
      <w:r>
        <w:rPr>
          <w:rFonts w:cs="Times New Roman"/>
          <w:sz w:val="14"/>
          <w:szCs w:val="14"/>
          <w:lang w:val="es-ES_tradnl"/>
        </w:rPr>
        <w:t>á</w:t>
      </w:r>
      <w:r>
        <w:rPr>
          <w:sz w:val="14"/>
          <w:szCs w:val="14"/>
          <w:lang w:val="es-ES_tradnl"/>
        </w:rPr>
        <w:t xml:space="preserve"> solicitar al responsable el acceso sin costo al archivo, as</w:t>
      </w:r>
      <w:r>
        <w:rPr>
          <w:rFonts w:cs="Times New Roman"/>
          <w:sz w:val="14"/>
          <w:szCs w:val="14"/>
          <w:lang w:val="es-ES_tradnl"/>
        </w:rPr>
        <w:t>í</w:t>
      </w:r>
      <w:r>
        <w:rPr>
          <w:sz w:val="14"/>
          <w:szCs w:val="14"/>
          <w:lang w:val="es-ES_tradnl"/>
        </w:rPr>
        <w:t xml:space="preserve"> como la actualizaci</w:t>
      </w:r>
      <w:r>
        <w:rPr>
          <w:rFonts w:cs="Times New Roman"/>
          <w:sz w:val="14"/>
          <w:szCs w:val="14"/>
          <w:lang w:val="es-ES_tradnl"/>
        </w:rPr>
        <w:t>ó</w:t>
      </w:r>
      <w:r>
        <w:rPr>
          <w:sz w:val="14"/>
          <w:szCs w:val="14"/>
          <w:lang w:val="es-ES_tradnl"/>
        </w:rPr>
        <w:t>n de los datos, su rectificaci</w:t>
      </w:r>
      <w:r>
        <w:rPr>
          <w:rFonts w:cs="Times New Roman"/>
          <w:sz w:val="14"/>
          <w:szCs w:val="14"/>
          <w:lang w:val="es-ES_tradnl"/>
        </w:rPr>
        <w:t>ó</w:t>
      </w:r>
      <w:r>
        <w:rPr>
          <w:sz w:val="14"/>
          <w:szCs w:val="14"/>
          <w:lang w:val="es-ES_tradnl"/>
        </w:rPr>
        <w:t>n, eliminaci</w:t>
      </w:r>
      <w:r>
        <w:rPr>
          <w:rFonts w:cs="Times New Roman"/>
          <w:sz w:val="14"/>
          <w:szCs w:val="14"/>
          <w:lang w:val="es-ES_tradnl"/>
        </w:rPr>
        <w:t>ó</w:t>
      </w:r>
      <w:r>
        <w:rPr>
          <w:sz w:val="14"/>
          <w:szCs w:val="14"/>
          <w:lang w:val="es-ES_tradnl"/>
        </w:rPr>
        <w:t>n o anulaci</w:t>
      </w:r>
      <w:r>
        <w:rPr>
          <w:rFonts w:cs="Times New Roman"/>
          <w:sz w:val="14"/>
          <w:szCs w:val="14"/>
          <w:lang w:val="es-ES_tradnl"/>
        </w:rPr>
        <w:t>ó</w:t>
      </w:r>
      <w:r>
        <w:rPr>
          <w:sz w:val="14"/>
          <w:szCs w:val="14"/>
          <w:lang w:val="es-ES_tradnl"/>
        </w:rPr>
        <w:t>n. En el caso de datos sensibles, cuyo archivo deber</w:t>
      </w:r>
      <w:r>
        <w:rPr>
          <w:rFonts w:cs="Times New Roman"/>
          <w:sz w:val="14"/>
          <w:szCs w:val="14"/>
          <w:lang w:val="es-ES_tradnl"/>
        </w:rPr>
        <w:t>á</w:t>
      </w:r>
      <w:r>
        <w:rPr>
          <w:sz w:val="14"/>
          <w:szCs w:val="14"/>
          <w:lang w:val="es-ES_tradnl"/>
        </w:rPr>
        <w:t xml:space="preserve"> estar autorizado por la ley o por la persona titular, se exigir</w:t>
      </w:r>
      <w:r>
        <w:rPr>
          <w:rFonts w:cs="Times New Roman"/>
          <w:sz w:val="14"/>
          <w:szCs w:val="14"/>
          <w:lang w:val="es-ES_tradnl"/>
        </w:rPr>
        <w:t>á</w:t>
      </w:r>
      <w:r>
        <w:rPr>
          <w:sz w:val="14"/>
          <w:szCs w:val="14"/>
          <w:lang w:val="es-ES_tradnl"/>
        </w:rPr>
        <w:t xml:space="preserve"> la adopci</w:t>
      </w:r>
      <w:r>
        <w:rPr>
          <w:rFonts w:cs="Times New Roman"/>
          <w:sz w:val="14"/>
          <w:szCs w:val="14"/>
          <w:lang w:val="es-ES_tradnl"/>
        </w:rPr>
        <w:t>ó</w:t>
      </w:r>
      <w:r>
        <w:rPr>
          <w:sz w:val="14"/>
          <w:szCs w:val="14"/>
          <w:lang w:val="es-ES_tradnl"/>
        </w:rPr>
        <w:t xml:space="preserve">n de las medidas de seguridad necesarias. </w:t>
      </w:r>
      <w:r>
        <w:rPr>
          <w:b/>
          <w:bCs/>
          <w:sz w:val="14"/>
          <w:szCs w:val="14"/>
          <w:lang w:val="es-ES_tradnl"/>
        </w:rPr>
        <w:t xml:space="preserve">Si no se atendiera su solicitud, </w:t>
      </w:r>
      <w:r>
        <w:rPr>
          <w:rFonts w:cs="Times New Roman"/>
          <w:b/>
          <w:bCs/>
          <w:sz w:val="14"/>
          <w:szCs w:val="14"/>
          <w:lang w:val="es-ES_tradnl"/>
        </w:rPr>
        <w:t>é</w:t>
      </w:r>
      <w:r>
        <w:rPr>
          <w:b/>
          <w:bCs/>
          <w:sz w:val="14"/>
          <w:szCs w:val="14"/>
          <w:lang w:val="es-ES_tradnl"/>
        </w:rPr>
        <w:t>sta podr</w:t>
      </w:r>
      <w:r>
        <w:rPr>
          <w:rFonts w:cs="Times New Roman"/>
          <w:b/>
          <w:bCs/>
          <w:sz w:val="14"/>
          <w:szCs w:val="14"/>
          <w:lang w:val="es-ES_tradnl"/>
        </w:rPr>
        <w:t>á</w:t>
      </w:r>
      <w:r>
        <w:rPr>
          <w:b/>
          <w:bCs/>
          <w:sz w:val="14"/>
          <w:szCs w:val="14"/>
          <w:lang w:val="es-ES_tradnl"/>
        </w:rPr>
        <w:t xml:space="preserve"> acudir a la jueza o juez. La persona afectada podr</w:t>
      </w:r>
      <w:r>
        <w:rPr>
          <w:rFonts w:cs="Times New Roman"/>
          <w:b/>
          <w:bCs/>
          <w:sz w:val="14"/>
          <w:szCs w:val="14"/>
          <w:lang w:val="es-ES_tradnl"/>
        </w:rPr>
        <w:t xml:space="preserve">á </w:t>
      </w:r>
      <w:r>
        <w:rPr>
          <w:b/>
          <w:bCs/>
          <w:sz w:val="14"/>
          <w:szCs w:val="14"/>
          <w:lang w:val="es-ES_tradnl"/>
        </w:rPr>
        <w:t>demandar por los perjuicios ocasionados</w:t>
      </w:r>
      <w:r>
        <w:rPr>
          <w:sz w:val="14"/>
          <w:szCs w:val="14"/>
          <w:lang w:val="es-ES_tradnl"/>
        </w:rPr>
        <w:t>. (El resaltado no corresponde a la transcripci</w:t>
      </w:r>
      <w:r>
        <w:rPr>
          <w:rFonts w:cs="Times New Roman"/>
          <w:sz w:val="14"/>
          <w:szCs w:val="14"/>
          <w:lang w:val="es-ES_tradnl"/>
        </w:rPr>
        <w:t>ó</w:t>
      </w:r>
      <w:r>
        <w:rPr>
          <w:sz w:val="14"/>
          <w:szCs w:val="14"/>
          <w:lang w:val="es-ES_tradnl"/>
        </w:rPr>
        <w:t>n).</w:t>
      </w:r>
    </w:p>
    <w:p w14:paraId="4F67AC11" w14:textId="77777777" w:rsidR="00591D54" w:rsidRDefault="00591D54">
      <w:pPr>
        <w:shd w:val="clear" w:color="auto" w:fill="FFFFFF"/>
        <w:spacing w:before="202" w:line="216" w:lineRule="exact"/>
        <w:ind w:right="5"/>
        <w:jc w:val="both"/>
      </w:pPr>
      <w:r>
        <w:rPr>
          <w:spacing w:val="-4"/>
          <w:sz w:val="18"/>
          <w:szCs w:val="18"/>
          <w:lang w:val="es-ES_tradnl"/>
        </w:rPr>
        <w:t xml:space="preserve">El inciso final de la norma constitucional citada delimita </w:t>
      </w:r>
      <w:r>
        <w:rPr>
          <w:spacing w:val="-7"/>
          <w:sz w:val="18"/>
          <w:szCs w:val="18"/>
          <w:lang w:val="es-ES_tradnl"/>
        </w:rPr>
        <w:t xml:space="preserve">en primera instancia el </w:t>
      </w:r>
      <w:r>
        <w:rPr>
          <w:rFonts w:cs="Times New Roman"/>
          <w:spacing w:val="-7"/>
          <w:sz w:val="18"/>
          <w:szCs w:val="18"/>
          <w:lang w:val="es-ES_tradnl"/>
        </w:rPr>
        <w:t>á</w:t>
      </w:r>
      <w:r>
        <w:rPr>
          <w:spacing w:val="-7"/>
          <w:sz w:val="18"/>
          <w:szCs w:val="18"/>
          <w:lang w:val="es-ES_tradnl"/>
        </w:rPr>
        <w:t>mbito de protecci</w:t>
      </w:r>
      <w:r>
        <w:rPr>
          <w:rFonts w:cs="Times New Roman"/>
          <w:spacing w:val="-7"/>
          <w:sz w:val="18"/>
          <w:szCs w:val="18"/>
          <w:lang w:val="es-ES_tradnl"/>
        </w:rPr>
        <w:t>ó</w:t>
      </w:r>
      <w:r>
        <w:rPr>
          <w:spacing w:val="-7"/>
          <w:sz w:val="18"/>
          <w:szCs w:val="18"/>
          <w:lang w:val="es-ES_tradnl"/>
        </w:rPr>
        <w:t xml:space="preserve">n en el que se </w:t>
      </w:r>
      <w:r>
        <w:rPr>
          <w:spacing w:val="-8"/>
          <w:sz w:val="18"/>
          <w:szCs w:val="18"/>
          <w:lang w:val="es-ES_tradnl"/>
        </w:rPr>
        <w:t>puede iniciar esta garant</w:t>
      </w:r>
      <w:r>
        <w:rPr>
          <w:rFonts w:cs="Times New Roman"/>
          <w:spacing w:val="-8"/>
          <w:sz w:val="18"/>
          <w:szCs w:val="18"/>
          <w:lang w:val="es-ES_tradnl"/>
        </w:rPr>
        <w:t>í</w:t>
      </w:r>
      <w:r>
        <w:rPr>
          <w:spacing w:val="-8"/>
          <w:sz w:val="18"/>
          <w:szCs w:val="18"/>
          <w:lang w:val="es-ES_tradnl"/>
        </w:rPr>
        <w:t xml:space="preserve">a jurisdiccional y que se enmarca </w:t>
      </w:r>
      <w:r>
        <w:rPr>
          <w:spacing w:val="-9"/>
          <w:sz w:val="18"/>
          <w:szCs w:val="18"/>
          <w:lang w:val="es-ES_tradnl"/>
        </w:rPr>
        <w:t>en la denegatoria de la solicitud de informaci</w:t>
      </w:r>
      <w:r>
        <w:rPr>
          <w:rFonts w:cs="Times New Roman"/>
          <w:spacing w:val="-9"/>
          <w:sz w:val="18"/>
          <w:szCs w:val="18"/>
          <w:lang w:val="es-ES_tradnl"/>
        </w:rPr>
        <w:t>ó</w:t>
      </w:r>
      <w:r>
        <w:rPr>
          <w:spacing w:val="-9"/>
          <w:sz w:val="18"/>
          <w:szCs w:val="18"/>
          <w:lang w:val="es-ES_tradnl"/>
        </w:rPr>
        <w:t xml:space="preserve">n por parte de </w:t>
      </w:r>
      <w:r>
        <w:rPr>
          <w:spacing w:val="-6"/>
          <w:sz w:val="18"/>
          <w:szCs w:val="18"/>
          <w:lang w:val="es-ES_tradnl"/>
        </w:rPr>
        <w:t>la entidad p</w:t>
      </w:r>
      <w:r>
        <w:rPr>
          <w:rFonts w:cs="Times New Roman"/>
          <w:spacing w:val="-6"/>
          <w:sz w:val="18"/>
          <w:szCs w:val="18"/>
          <w:lang w:val="es-ES_tradnl"/>
        </w:rPr>
        <w:t>ú</w:t>
      </w:r>
      <w:r>
        <w:rPr>
          <w:spacing w:val="-6"/>
          <w:sz w:val="18"/>
          <w:szCs w:val="18"/>
          <w:lang w:val="es-ES_tradnl"/>
        </w:rPr>
        <w:t xml:space="preserve">blica o privada que tiene bajo su custodia los </w:t>
      </w:r>
      <w:r>
        <w:rPr>
          <w:sz w:val="18"/>
          <w:szCs w:val="18"/>
          <w:lang w:val="es-ES_tradnl"/>
        </w:rPr>
        <w:t>datos, documentos o archivos requeridos.</w:t>
      </w:r>
    </w:p>
    <w:p w14:paraId="4F67AC12" w14:textId="77777777" w:rsidR="00591D54" w:rsidRDefault="00591D54">
      <w:pPr>
        <w:shd w:val="clear" w:color="auto" w:fill="FFFFFF"/>
        <w:spacing w:before="197" w:line="216" w:lineRule="exact"/>
        <w:ind w:right="5"/>
        <w:jc w:val="both"/>
      </w:pPr>
      <w:r>
        <w:rPr>
          <w:sz w:val="18"/>
          <w:szCs w:val="18"/>
          <w:lang w:val="es-ES_tradnl"/>
        </w:rPr>
        <w:t>Complementariamente a lo se</w:t>
      </w:r>
      <w:r>
        <w:rPr>
          <w:rFonts w:cs="Times New Roman"/>
          <w:sz w:val="18"/>
          <w:szCs w:val="18"/>
          <w:lang w:val="es-ES_tradnl"/>
        </w:rPr>
        <w:t>ñ</w:t>
      </w:r>
      <w:r>
        <w:rPr>
          <w:sz w:val="18"/>
          <w:szCs w:val="18"/>
          <w:lang w:val="es-ES_tradnl"/>
        </w:rPr>
        <w:t>alado, el art</w:t>
      </w:r>
      <w:r>
        <w:rPr>
          <w:rFonts w:cs="Times New Roman"/>
          <w:sz w:val="18"/>
          <w:szCs w:val="18"/>
          <w:lang w:val="es-ES_tradnl"/>
        </w:rPr>
        <w:t>í</w:t>
      </w:r>
      <w:r>
        <w:rPr>
          <w:sz w:val="18"/>
          <w:szCs w:val="18"/>
          <w:lang w:val="es-ES_tradnl"/>
        </w:rPr>
        <w:t xml:space="preserve">culo 50 </w:t>
      </w:r>
      <w:r>
        <w:rPr>
          <w:spacing w:val="-1"/>
          <w:sz w:val="18"/>
          <w:szCs w:val="18"/>
          <w:lang w:val="es-ES_tradnl"/>
        </w:rPr>
        <w:t>de la Ley Org</w:t>
      </w:r>
      <w:r>
        <w:rPr>
          <w:rFonts w:cs="Times New Roman"/>
          <w:spacing w:val="-1"/>
          <w:sz w:val="18"/>
          <w:szCs w:val="18"/>
          <w:lang w:val="es-ES_tradnl"/>
        </w:rPr>
        <w:t>á</w:t>
      </w:r>
      <w:r>
        <w:rPr>
          <w:spacing w:val="-1"/>
          <w:sz w:val="18"/>
          <w:szCs w:val="18"/>
          <w:lang w:val="es-ES_tradnl"/>
        </w:rPr>
        <w:t>nica de Garant</w:t>
      </w:r>
      <w:r>
        <w:rPr>
          <w:rFonts w:cs="Times New Roman"/>
          <w:spacing w:val="-1"/>
          <w:sz w:val="18"/>
          <w:szCs w:val="18"/>
          <w:lang w:val="es-ES_tradnl"/>
        </w:rPr>
        <w:t>í</w:t>
      </w:r>
      <w:r>
        <w:rPr>
          <w:spacing w:val="-1"/>
          <w:sz w:val="18"/>
          <w:szCs w:val="18"/>
          <w:lang w:val="es-ES_tradnl"/>
        </w:rPr>
        <w:t xml:space="preserve">as Jurisdiccionales y </w:t>
      </w:r>
      <w:r>
        <w:rPr>
          <w:spacing w:val="-7"/>
          <w:sz w:val="18"/>
          <w:szCs w:val="18"/>
          <w:lang w:val="es-ES_tradnl"/>
        </w:rPr>
        <w:t xml:space="preserve">Control Constitucional establece de manera detallada las </w:t>
      </w:r>
      <w:r>
        <w:rPr>
          <w:spacing w:val="-8"/>
          <w:sz w:val="18"/>
          <w:szCs w:val="18"/>
          <w:lang w:val="es-ES_tradnl"/>
        </w:rPr>
        <w:t xml:space="preserve">circunstancias en que el legitimado activo puede hacer uso </w:t>
      </w:r>
      <w:r>
        <w:rPr>
          <w:spacing w:val="-12"/>
          <w:sz w:val="18"/>
          <w:szCs w:val="18"/>
          <w:lang w:val="es-ES_tradnl"/>
        </w:rPr>
        <w:t>de la garant</w:t>
      </w:r>
      <w:r>
        <w:rPr>
          <w:rFonts w:cs="Times New Roman"/>
          <w:spacing w:val="-12"/>
          <w:sz w:val="18"/>
          <w:szCs w:val="18"/>
          <w:lang w:val="es-ES_tradnl"/>
        </w:rPr>
        <w:t>í</w:t>
      </w:r>
      <w:r>
        <w:rPr>
          <w:spacing w:val="-12"/>
          <w:sz w:val="18"/>
          <w:szCs w:val="18"/>
          <w:lang w:val="es-ES_tradnl"/>
        </w:rPr>
        <w:t>a de h</w:t>
      </w:r>
      <w:r>
        <w:rPr>
          <w:rFonts w:cs="Times New Roman"/>
          <w:spacing w:val="-12"/>
          <w:sz w:val="18"/>
          <w:szCs w:val="18"/>
          <w:lang w:val="es-ES_tradnl"/>
        </w:rPr>
        <w:t>á</w:t>
      </w:r>
      <w:r>
        <w:rPr>
          <w:spacing w:val="-12"/>
          <w:sz w:val="18"/>
          <w:szCs w:val="18"/>
          <w:lang w:val="es-ES_tradnl"/>
        </w:rPr>
        <w:t>beas data, mismas que son las siguientes:</w:t>
      </w:r>
    </w:p>
    <w:p w14:paraId="4F67AC13" w14:textId="77777777" w:rsidR="00591D54" w:rsidRDefault="00591D54" w:rsidP="00251195">
      <w:pPr>
        <w:numPr>
          <w:ilvl w:val="0"/>
          <w:numId w:val="54"/>
        </w:numPr>
        <w:shd w:val="clear" w:color="auto" w:fill="FFFFFF"/>
        <w:tabs>
          <w:tab w:val="left" w:pos="432"/>
        </w:tabs>
        <w:spacing w:before="206" w:line="216" w:lineRule="exact"/>
        <w:ind w:left="283" w:right="5"/>
        <w:jc w:val="both"/>
        <w:rPr>
          <w:spacing w:val="-2"/>
          <w:sz w:val="14"/>
          <w:szCs w:val="14"/>
          <w:lang w:val="es-ES_tradnl"/>
        </w:rPr>
      </w:pPr>
      <w:r>
        <w:rPr>
          <w:spacing w:val="-2"/>
          <w:sz w:val="14"/>
          <w:szCs w:val="14"/>
          <w:lang w:val="es-ES_tradnl"/>
        </w:rPr>
        <w:t>Cuando</w:t>
      </w:r>
      <w:r>
        <w:rPr>
          <w:spacing w:val="-2"/>
          <w:sz w:val="18"/>
          <w:szCs w:val="18"/>
          <w:lang w:val="es-ES_tradnl"/>
        </w:rPr>
        <w:t xml:space="preserve"> </w:t>
      </w:r>
      <w:r>
        <w:rPr>
          <w:spacing w:val="-2"/>
          <w:sz w:val="14"/>
          <w:szCs w:val="14"/>
          <w:lang w:val="es-ES_tradnl"/>
        </w:rPr>
        <w:t>se</w:t>
      </w:r>
      <w:r>
        <w:rPr>
          <w:spacing w:val="-2"/>
          <w:sz w:val="18"/>
          <w:szCs w:val="18"/>
          <w:lang w:val="es-ES_tradnl"/>
        </w:rPr>
        <w:t xml:space="preserve"> </w:t>
      </w:r>
      <w:r>
        <w:rPr>
          <w:spacing w:val="-2"/>
          <w:sz w:val="14"/>
          <w:szCs w:val="14"/>
          <w:lang w:val="es-ES_tradnl"/>
        </w:rPr>
        <w:t>niega</w:t>
      </w:r>
      <w:r>
        <w:rPr>
          <w:spacing w:val="-2"/>
          <w:sz w:val="18"/>
          <w:szCs w:val="18"/>
          <w:lang w:val="es-ES_tradnl"/>
        </w:rPr>
        <w:t xml:space="preserve"> </w:t>
      </w:r>
      <w:r>
        <w:rPr>
          <w:spacing w:val="-2"/>
          <w:sz w:val="14"/>
          <w:szCs w:val="14"/>
          <w:lang w:val="es-ES_tradnl"/>
        </w:rPr>
        <w:t>el</w:t>
      </w:r>
      <w:r>
        <w:rPr>
          <w:spacing w:val="-2"/>
          <w:sz w:val="18"/>
          <w:szCs w:val="18"/>
          <w:lang w:val="es-ES_tradnl"/>
        </w:rPr>
        <w:t xml:space="preserve"> </w:t>
      </w:r>
      <w:r>
        <w:rPr>
          <w:spacing w:val="-2"/>
          <w:sz w:val="14"/>
          <w:szCs w:val="14"/>
          <w:lang w:val="es-ES_tradnl"/>
        </w:rPr>
        <w:t>acceso</w:t>
      </w:r>
      <w:r>
        <w:rPr>
          <w:spacing w:val="-2"/>
          <w:sz w:val="18"/>
          <w:szCs w:val="18"/>
          <w:lang w:val="es-ES_tradnl"/>
        </w:rPr>
        <w:t xml:space="preserve"> </w:t>
      </w:r>
      <w:r>
        <w:rPr>
          <w:spacing w:val="-2"/>
          <w:sz w:val="14"/>
          <w:szCs w:val="14"/>
          <w:lang w:val="es-ES_tradnl"/>
        </w:rPr>
        <w:t>a</w:t>
      </w:r>
      <w:r>
        <w:rPr>
          <w:spacing w:val="-2"/>
          <w:sz w:val="18"/>
          <w:szCs w:val="18"/>
          <w:lang w:val="es-ES_tradnl"/>
        </w:rPr>
        <w:t xml:space="preserve"> </w:t>
      </w:r>
      <w:r>
        <w:rPr>
          <w:spacing w:val="-2"/>
          <w:sz w:val="14"/>
          <w:szCs w:val="14"/>
          <w:lang w:val="es-ES_tradnl"/>
        </w:rPr>
        <w:t>los</w:t>
      </w:r>
      <w:r>
        <w:rPr>
          <w:spacing w:val="-2"/>
          <w:sz w:val="18"/>
          <w:szCs w:val="18"/>
          <w:lang w:val="es-ES_tradnl"/>
        </w:rPr>
        <w:t xml:space="preserve"> </w:t>
      </w:r>
      <w:r>
        <w:rPr>
          <w:spacing w:val="-2"/>
          <w:sz w:val="14"/>
          <w:szCs w:val="14"/>
          <w:lang w:val="es-ES_tradnl"/>
        </w:rPr>
        <w:t>documentos,</w:t>
      </w:r>
      <w:r>
        <w:rPr>
          <w:spacing w:val="-2"/>
          <w:sz w:val="18"/>
          <w:szCs w:val="18"/>
          <w:lang w:val="es-ES_tradnl"/>
        </w:rPr>
        <w:t xml:space="preserve"> </w:t>
      </w:r>
      <w:r>
        <w:rPr>
          <w:spacing w:val="-2"/>
          <w:sz w:val="14"/>
          <w:szCs w:val="14"/>
          <w:lang w:val="es-ES_tradnl"/>
        </w:rPr>
        <w:t>datos</w:t>
      </w:r>
      <w:r>
        <w:rPr>
          <w:spacing w:val="-2"/>
          <w:sz w:val="18"/>
          <w:szCs w:val="18"/>
          <w:lang w:val="es-ES_tradnl"/>
        </w:rPr>
        <w:t xml:space="preserve"> </w:t>
      </w:r>
      <w:r>
        <w:rPr>
          <w:spacing w:val="-2"/>
          <w:sz w:val="14"/>
          <w:szCs w:val="14"/>
          <w:lang w:val="es-ES_tradnl"/>
        </w:rPr>
        <w:t>gen</w:t>
      </w:r>
      <w:r>
        <w:rPr>
          <w:rFonts w:cs="Times New Roman"/>
          <w:spacing w:val="-2"/>
          <w:sz w:val="14"/>
          <w:szCs w:val="14"/>
          <w:lang w:val="es-ES_tradnl"/>
        </w:rPr>
        <w:t>é</w:t>
      </w:r>
      <w:r>
        <w:rPr>
          <w:spacing w:val="-2"/>
          <w:sz w:val="14"/>
          <w:szCs w:val="14"/>
          <w:lang w:val="es-ES_tradnl"/>
        </w:rPr>
        <w:t xml:space="preserve">ticos, </w:t>
      </w:r>
      <w:r>
        <w:rPr>
          <w:sz w:val="14"/>
          <w:szCs w:val="14"/>
          <w:lang w:val="es-ES_tradnl"/>
        </w:rPr>
        <w:t>bancos o archivos de datos personales e informes que consten en entidades p</w:t>
      </w:r>
      <w:r>
        <w:rPr>
          <w:rFonts w:cs="Times New Roman"/>
          <w:sz w:val="14"/>
          <w:szCs w:val="14"/>
          <w:lang w:val="es-ES_tradnl"/>
        </w:rPr>
        <w:t>ú</w:t>
      </w:r>
      <w:r>
        <w:rPr>
          <w:sz w:val="14"/>
          <w:szCs w:val="14"/>
          <w:lang w:val="es-ES_tradnl"/>
        </w:rPr>
        <w:t>blicas o est</w:t>
      </w:r>
      <w:r>
        <w:rPr>
          <w:rFonts w:cs="Times New Roman"/>
          <w:sz w:val="14"/>
          <w:szCs w:val="14"/>
          <w:lang w:val="es-ES_tradnl"/>
        </w:rPr>
        <w:t>é</w:t>
      </w:r>
      <w:r>
        <w:rPr>
          <w:sz w:val="14"/>
          <w:szCs w:val="14"/>
          <w:lang w:val="es-ES_tradnl"/>
        </w:rPr>
        <w:t>n en poder de personas naturales o jur</w:t>
      </w:r>
      <w:r>
        <w:rPr>
          <w:rFonts w:cs="Times New Roman"/>
          <w:sz w:val="14"/>
          <w:szCs w:val="14"/>
          <w:lang w:val="es-ES_tradnl"/>
        </w:rPr>
        <w:t>í</w:t>
      </w:r>
      <w:r>
        <w:rPr>
          <w:sz w:val="14"/>
          <w:szCs w:val="14"/>
          <w:lang w:val="es-ES_tradnl"/>
        </w:rPr>
        <w:t>dicas privadas.</w:t>
      </w:r>
    </w:p>
    <w:p w14:paraId="4F67AC14" w14:textId="77777777" w:rsidR="00591D54" w:rsidRDefault="00591D54" w:rsidP="00251195">
      <w:pPr>
        <w:numPr>
          <w:ilvl w:val="0"/>
          <w:numId w:val="54"/>
        </w:numPr>
        <w:shd w:val="clear" w:color="auto" w:fill="FFFFFF"/>
        <w:tabs>
          <w:tab w:val="left" w:pos="432"/>
        </w:tabs>
        <w:spacing w:line="216" w:lineRule="exact"/>
        <w:ind w:left="283" w:right="5"/>
        <w:jc w:val="both"/>
        <w:rPr>
          <w:spacing w:val="-2"/>
          <w:sz w:val="14"/>
          <w:szCs w:val="14"/>
          <w:lang w:val="es-ES_tradnl"/>
        </w:rPr>
      </w:pPr>
      <w:r>
        <w:rPr>
          <w:sz w:val="14"/>
          <w:szCs w:val="14"/>
          <w:lang w:val="es-ES_tradnl"/>
        </w:rPr>
        <w:t>Cuando</w:t>
      </w:r>
      <w:r>
        <w:rPr>
          <w:sz w:val="18"/>
          <w:szCs w:val="18"/>
          <w:lang w:val="es-ES_tradnl"/>
        </w:rPr>
        <w:t xml:space="preserve"> </w:t>
      </w:r>
      <w:r>
        <w:rPr>
          <w:sz w:val="14"/>
          <w:szCs w:val="14"/>
          <w:lang w:val="es-ES_tradnl"/>
        </w:rPr>
        <w:t>se</w:t>
      </w:r>
      <w:r>
        <w:rPr>
          <w:sz w:val="18"/>
          <w:szCs w:val="18"/>
          <w:lang w:val="es-ES_tradnl"/>
        </w:rPr>
        <w:t xml:space="preserve"> </w:t>
      </w:r>
      <w:r>
        <w:rPr>
          <w:sz w:val="14"/>
          <w:szCs w:val="14"/>
          <w:lang w:val="es-ES_tradnl"/>
        </w:rPr>
        <w:t>niega</w:t>
      </w:r>
      <w:r>
        <w:rPr>
          <w:sz w:val="18"/>
          <w:szCs w:val="18"/>
          <w:lang w:val="es-ES_tradnl"/>
        </w:rPr>
        <w:t xml:space="preserve"> </w:t>
      </w:r>
      <w:r>
        <w:rPr>
          <w:sz w:val="14"/>
          <w:szCs w:val="14"/>
          <w:lang w:val="es-ES_tradnl"/>
        </w:rPr>
        <w:t>la</w:t>
      </w:r>
      <w:r>
        <w:rPr>
          <w:sz w:val="18"/>
          <w:szCs w:val="18"/>
          <w:lang w:val="es-ES_tradnl"/>
        </w:rPr>
        <w:t xml:space="preserve"> </w:t>
      </w:r>
      <w:r>
        <w:rPr>
          <w:sz w:val="14"/>
          <w:szCs w:val="14"/>
          <w:lang w:val="es-ES_tradnl"/>
        </w:rPr>
        <w:t>solicitud</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actualizaci</w:t>
      </w:r>
      <w:r>
        <w:rPr>
          <w:rFonts w:cs="Times New Roman"/>
          <w:sz w:val="14"/>
          <w:szCs w:val="14"/>
          <w:lang w:val="es-ES_tradnl"/>
        </w:rPr>
        <w:t>ó</w:t>
      </w:r>
      <w:r>
        <w:rPr>
          <w:sz w:val="14"/>
          <w:szCs w:val="14"/>
          <w:lang w:val="es-ES_tradnl"/>
        </w:rPr>
        <w:t>n,</w:t>
      </w:r>
      <w:r>
        <w:rPr>
          <w:sz w:val="18"/>
          <w:szCs w:val="18"/>
          <w:lang w:val="es-ES_tradnl"/>
        </w:rPr>
        <w:t xml:space="preserve"> </w:t>
      </w:r>
      <w:r>
        <w:rPr>
          <w:sz w:val="14"/>
          <w:szCs w:val="14"/>
          <w:lang w:val="es-ES_tradnl"/>
        </w:rPr>
        <w:t>rectificaci</w:t>
      </w:r>
      <w:r>
        <w:rPr>
          <w:rFonts w:cs="Times New Roman"/>
          <w:sz w:val="14"/>
          <w:szCs w:val="14"/>
          <w:lang w:val="es-ES_tradnl"/>
        </w:rPr>
        <w:t>ó</w:t>
      </w:r>
      <w:r>
        <w:rPr>
          <w:sz w:val="14"/>
          <w:szCs w:val="14"/>
          <w:lang w:val="es-ES_tradnl"/>
        </w:rPr>
        <w:t>n, eliminaci</w:t>
      </w:r>
      <w:r>
        <w:rPr>
          <w:rFonts w:cs="Times New Roman"/>
          <w:sz w:val="14"/>
          <w:szCs w:val="14"/>
          <w:lang w:val="es-ES_tradnl"/>
        </w:rPr>
        <w:t>ó</w:t>
      </w:r>
      <w:r>
        <w:rPr>
          <w:sz w:val="14"/>
          <w:szCs w:val="14"/>
          <w:lang w:val="es-ES_tradnl"/>
        </w:rPr>
        <w:t>n o anulaci</w:t>
      </w:r>
      <w:r>
        <w:rPr>
          <w:rFonts w:cs="Times New Roman"/>
          <w:sz w:val="14"/>
          <w:szCs w:val="14"/>
          <w:lang w:val="es-ES_tradnl"/>
        </w:rPr>
        <w:t>ó</w:t>
      </w:r>
      <w:r>
        <w:rPr>
          <w:sz w:val="14"/>
          <w:szCs w:val="14"/>
          <w:lang w:val="es-ES_tradnl"/>
        </w:rPr>
        <w:t>n de datos que fueren err</w:t>
      </w:r>
      <w:r>
        <w:rPr>
          <w:rFonts w:cs="Times New Roman"/>
          <w:sz w:val="14"/>
          <w:szCs w:val="14"/>
          <w:lang w:val="es-ES_tradnl"/>
        </w:rPr>
        <w:t>ó</w:t>
      </w:r>
      <w:r>
        <w:rPr>
          <w:sz w:val="14"/>
          <w:szCs w:val="14"/>
          <w:lang w:val="es-ES_tradnl"/>
        </w:rPr>
        <w:t>neos o afecten sus derechos.</w:t>
      </w:r>
    </w:p>
    <w:p w14:paraId="4F67AC15" w14:textId="77777777" w:rsidR="00591D54" w:rsidRDefault="00591D54" w:rsidP="00251195">
      <w:pPr>
        <w:numPr>
          <w:ilvl w:val="0"/>
          <w:numId w:val="54"/>
        </w:numPr>
        <w:shd w:val="clear" w:color="auto" w:fill="FFFFFF"/>
        <w:tabs>
          <w:tab w:val="left" w:pos="432"/>
        </w:tabs>
        <w:spacing w:line="216" w:lineRule="exact"/>
        <w:ind w:left="283" w:right="5"/>
        <w:jc w:val="both"/>
        <w:rPr>
          <w:spacing w:val="-2"/>
          <w:sz w:val="14"/>
          <w:szCs w:val="14"/>
          <w:lang w:val="es-ES_tradnl"/>
        </w:rPr>
      </w:pPr>
      <w:r>
        <w:rPr>
          <w:sz w:val="14"/>
          <w:szCs w:val="14"/>
          <w:lang w:val="es-ES_tradnl"/>
        </w:rPr>
        <w:t>Cuando</w:t>
      </w:r>
      <w:r>
        <w:rPr>
          <w:sz w:val="18"/>
          <w:szCs w:val="18"/>
          <w:lang w:val="es-ES_tradnl"/>
        </w:rPr>
        <w:t xml:space="preserve"> </w:t>
      </w:r>
      <w:r>
        <w:rPr>
          <w:sz w:val="14"/>
          <w:szCs w:val="14"/>
          <w:lang w:val="es-ES_tradnl"/>
        </w:rPr>
        <w:t>se</w:t>
      </w:r>
      <w:r>
        <w:rPr>
          <w:sz w:val="18"/>
          <w:szCs w:val="18"/>
          <w:lang w:val="es-ES_tradnl"/>
        </w:rPr>
        <w:t xml:space="preserve"> </w:t>
      </w:r>
      <w:r>
        <w:rPr>
          <w:sz w:val="14"/>
          <w:szCs w:val="14"/>
          <w:lang w:val="es-ES_tradnl"/>
        </w:rPr>
        <w:t>da</w:t>
      </w:r>
      <w:r>
        <w:rPr>
          <w:sz w:val="18"/>
          <w:szCs w:val="18"/>
          <w:lang w:val="es-ES_tradnl"/>
        </w:rPr>
        <w:t xml:space="preserve"> </w:t>
      </w:r>
      <w:r>
        <w:rPr>
          <w:sz w:val="14"/>
          <w:szCs w:val="14"/>
          <w:lang w:val="es-ES_tradnl"/>
        </w:rPr>
        <w:t>un</w:t>
      </w:r>
      <w:r>
        <w:rPr>
          <w:sz w:val="18"/>
          <w:szCs w:val="18"/>
          <w:lang w:val="es-ES_tradnl"/>
        </w:rPr>
        <w:t xml:space="preserve"> </w:t>
      </w:r>
      <w:r>
        <w:rPr>
          <w:sz w:val="14"/>
          <w:szCs w:val="14"/>
          <w:lang w:val="es-ES_tradnl"/>
        </w:rPr>
        <w:t>uso</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la</w:t>
      </w:r>
      <w:r>
        <w:rPr>
          <w:sz w:val="18"/>
          <w:szCs w:val="18"/>
          <w:lang w:val="es-ES_tradnl"/>
        </w:rPr>
        <w:t xml:space="preserve"> </w:t>
      </w:r>
      <w:r>
        <w:rPr>
          <w:sz w:val="14"/>
          <w:szCs w:val="14"/>
          <w:lang w:val="es-ES_tradnl"/>
        </w:rPr>
        <w:t>informaci</w:t>
      </w:r>
      <w:r>
        <w:rPr>
          <w:rFonts w:cs="Times New Roman"/>
          <w:sz w:val="14"/>
          <w:szCs w:val="14"/>
          <w:lang w:val="es-ES_tradnl"/>
        </w:rPr>
        <w:t>ó</w:t>
      </w:r>
      <w:r>
        <w:rPr>
          <w:sz w:val="14"/>
          <w:szCs w:val="14"/>
          <w:lang w:val="es-ES_tradnl"/>
        </w:rPr>
        <w:t>n</w:t>
      </w:r>
      <w:r>
        <w:rPr>
          <w:sz w:val="18"/>
          <w:szCs w:val="18"/>
          <w:lang w:val="es-ES_tradnl"/>
        </w:rPr>
        <w:t xml:space="preserve"> </w:t>
      </w:r>
      <w:r>
        <w:rPr>
          <w:sz w:val="14"/>
          <w:szCs w:val="14"/>
          <w:lang w:val="es-ES_tradnl"/>
        </w:rPr>
        <w:t>personal</w:t>
      </w:r>
      <w:r>
        <w:rPr>
          <w:sz w:val="18"/>
          <w:szCs w:val="18"/>
          <w:lang w:val="es-ES_tradnl"/>
        </w:rPr>
        <w:t xml:space="preserve"> </w:t>
      </w:r>
      <w:r>
        <w:rPr>
          <w:sz w:val="14"/>
          <w:szCs w:val="14"/>
          <w:lang w:val="es-ES_tradnl"/>
        </w:rPr>
        <w:t>que</w:t>
      </w:r>
      <w:r>
        <w:rPr>
          <w:sz w:val="18"/>
          <w:szCs w:val="18"/>
          <w:lang w:val="es-ES_tradnl"/>
        </w:rPr>
        <w:t xml:space="preserve"> </w:t>
      </w:r>
      <w:r>
        <w:rPr>
          <w:sz w:val="14"/>
          <w:szCs w:val="14"/>
          <w:lang w:val="es-ES_tradnl"/>
        </w:rPr>
        <w:t>viole</w:t>
      </w:r>
      <w:r>
        <w:rPr>
          <w:sz w:val="18"/>
          <w:szCs w:val="18"/>
          <w:lang w:val="es-ES_tradnl"/>
        </w:rPr>
        <w:t xml:space="preserve"> </w:t>
      </w:r>
      <w:r>
        <w:rPr>
          <w:sz w:val="14"/>
          <w:szCs w:val="14"/>
          <w:lang w:val="es-ES_tradnl"/>
        </w:rPr>
        <w:t>un derecho constitucional, sin autorizaci</w:t>
      </w:r>
      <w:r>
        <w:rPr>
          <w:rFonts w:cs="Times New Roman"/>
          <w:sz w:val="14"/>
          <w:szCs w:val="14"/>
          <w:lang w:val="es-ES_tradnl"/>
        </w:rPr>
        <w:t>ó</w:t>
      </w:r>
      <w:r>
        <w:rPr>
          <w:sz w:val="14"/>
          <w:szCs w:val="14"/>
          <w:lang w:val="es-ES_tradnl"/>
        </w:rPr>
        <w:t>n expresa, salvo cuando exista orden de jueza o juez competente.</w:t>
      </w:r>
    </w:p>
    <w:p w14:paraId="4F67AC16" w14:textId="77777777" w:rsidR="00591D54" w:rsidRDefault="00591D54">
      <w:pPr>
        <w:shd w:val="clear" w:color="auto" w:fill="FFFFFF"/>
        <w:spacing w:before="197" w:line="216" w:lineRule="exact"/>
        <w:ind w:right="5"/>
        <w:jc w:val="both"/>
      </w:pPr>
      <w:r>
        <w:rPr>
          <w:spacing w:val="-7"/>
          <w:sz w:val="18"/>
          <w:szCs w:val="18"/>
          <w:lang w:val="es-ES_tradnl"/>
        </w:rPr>
        <w:t xml:space="preserve">En el caso </w:t>
      </w:r>
      <w:r>
        <w:rPr>
          <w:i/>
          <w:iCs/>
          <w:spacing w:val="-7"/>
          <w:sz w:val="18"/>
          <w:szCs w:val="18"/>
          <w:lang w:val="es-ES_tradnl"/>
        </w:rPr>
        <w:t>sub examine</w:t>
      </w:r>
      <w:r>
        <w:rPr>
          <w:spacing w:val="-7"/>
          <w:sz w:val="18"/>
          <w:szCs w:val="18"/>
          <w:lang w:val="es-ES_tradnl"/>
        </w:rPr>
        <w:t xml:space="preserve">, los accionantes afirman que la </w:t>
      </w:r>
      <w:r>
        <w:rPr>
          <w:spacing w:val="-2"/>
          <w:sz w:val="18"/>
          <w:szCs w:val="18"/>
          <w:lang w:val="es-ES_tradnl"/>
        </w:rPr>
        <w:t xml:space="preserve">sentencia dictada por los jueces de la Corte Provincial </w:t>
      </w:r>
      <w:r>
        <w:rPr>
          <w:spacing w:val="-7"/>
          <w:sz w:val="18"/>
          <w:szCs w:val="18"/>
          <w:lang w:val="es-ES_tradnl"/>
        </w:rPr>
        <w:t>de Justicia de Los R</w:t>
      </w:r>
      <w:r>
        <w:rPr>
          <w:rFonts w:cs="Times New Roman"/>
          <w:spacing w:val="-7"/>
          <w:sz w:val="18"/>
          <w:szCs w:val="18"/>
          <w:lang w:val="es-ES_tradnl"/>
        </w:rPr>
        <w:t>í</w:t>
      </w:r>
      <w:r>
        <w:rPr>
          <w:spacing w:val="-7"/>
          <w:sz w:val="18"/>
          <w:szCs w:val="18"/>
          <w:lang w:val="es-ES_tradnl"/>
        </w:rPr>
        <w:t>os vulner</w:t>
      </w:r>
      <w:r>
        <w:rPr>
          <w:rFonts w:cs="Times New Roman"/>
          <w:spacing w:val="-7"/>
          <w:sz w:val="18"/>
          <w:szCs w:val="18"/>
          <w:lang w:val="es-ES_tradnl"/>
        </w:rPr>
        <w:t>ó</w:t>
      </w:r>
      <w:r>
        <w:rPr>
          <w:spacing w:val="-7"/>
          <w:sz w:val="18"/>
          <w:szCs w:val="18"/>
          <w:lang w:val="es-ES_tradnl"/>
        </w:rPr>
        <w:t xml:space="preserve"> el derecho a la seguridad </w:t>
      </w:r>
      <w:r>
        <w:rPr>
          <w:spacing w:val="-2"/>
          <w:sz w:val="18"/>
          <w:szCs w:val="18"/>
          <w:lang w:val="es-ES_tradnl"/>
        </w:rPr>
        <w:t>jur</w:t>
      </w:r>
      <w:r>
        <w:rPr>
          <w:rFonts w:cs="Times New Roman"/>
          <w:spacing w:val="-2"/>
          <w:sz w:val="18"/>
          <w:szCs w:val="18"/>
          <w:lang w:val="es-ES_tradnl"/>
        </w:rPr>
        <w:t>í</w:t>
      </w:r>
      <w:r>
        <w:rPr>
          <w:spacing w:val="-2"/>
          <w:sz w:val="18"/>
          <w:szCs w:val="18"/>
          <w:lang w:val="es-ES_tradnl"/>
        </w:rPr>
        <w:t>dica, al haber confirmado el fallo que declar</w:t>
      </w:r>
      <w:r>
        <w:rPr>
          <w:rFonts w:cs="Times New Roman"/>
          <w:spacing w:val="-2"/>
          <w:sz w:val="18"/>
          <w:szCs w:val="18"/>
          <w:lang w:val="es-ES_tradnl"/>
        </w:rPr>
        <w:t>ó</w:t>
      </w:r>
      <w:r>
        <w:rPr>
          <w:spacing w:val="-2"/>
          <w:sz w:val="18"/>
          <w:szCs w:val="18"/>
          <w:lang w:val="es-ES_tradnl"/>
        </w:rPr>
        <w:t xml:space="preserve"> con </w:t>
      </w:r>
      <w:r>
        <w:rPr>
          <w:spacing w:val="-6"/>
          <w:sz w:val="18"/>
          <w:szCs w:val="18"/>
          <w:lang w:val="es-ES_tradnl"/>
        </w:rPr>
        <w:t>lugar la acci</w:t>
      </w:r>
      <w:r>
        <w:rPr>
          <w:rFonts w:cs="Times New Roman"/>
          <w:spacing w:val="-6"/>
          <w:sz w:val="18"/>
          <w:szCs w:val="18"/>
          <w:lang w:val="es-ES_tradnl"/>
        </w:rPr>
        <w:t>ó</w:t>
      </w:r>
      <w:r>
        <w:rPr>
          <w:spacing w:val="-6"/>
          <w:sz w:val="18"/>
          <w:szCs w:val="18"/>
          <w:lang w:val="es-ES_tradnl"/>
        </w:rPr>
        <w:t>n de h</w:t>
      </w:r>
      <w:r>
        <w:rPr>
          <w:rFonts w:cs="Times New Roman"/>
          <w:spacing w:val="-6"/>
          <w:sz w:val="18"/>
          <w:szCs w:val="18"/>
          <w:lang w:val="es-ES_tradnl"/>
        </w:rPr>
        <w:t>á</w:t>
      </w:r>
      <w:r>
        <w:rPr>
          <w:spacing w:val="-6"/>
          <w:sz w:val="18"/>
          <w:szCs w:val="18"/>
          <w:lang w:val="es-ES_tradnl"/>
        </w:rPr>
        <w:t>beas data, esto, porque a su criterio,</w:t>
      </w:r>
    </w:p>
    <w:p w14:paraId="4F67AC17" w14:textId="77777777" w:rsidR="00591D54" w:rsidRDefault="00591D54">
      <w:pPr>
        <w:shd w:val="clear" w:color="auto" w:fill="FFFFFF"/>
        <w:spacing w:line="216" w:lineRule="exact"/>
        <w:jc w:val="both"/>
      </w:pPr>
      <w:r>
        <w:br w:type="column"/>
      </w:r>
      <w:r>
        <w:rPr>
          <w:spacing w:val="-8"/>
          <w:sz w:val="18"/>
          <w:szCs w:val="18"/>
          <w:lang w:val="es-ES_tradnl"/>
        </w:rPr>
        <w:t>no se consider</w:t>
      </w:r>
      <w:r>
        <w:rPr>
          <w:rFonts w:cs="Times New Roman"/>
          <w:spacing w:val="-8"/>
          <w:sz w:val="18"/>
          <w:szCs w:val="18"/>
          <w:lang w:val="es-ES_tradnl"/>
        </w:rPr>
        <w:t>ó</w:t>
      </w:r>
      <w:r>
        <w:rPr>
          <w:spacing w:val="-8"/>
          <w:sz w:val="18"/>
          <w:szCs w:val="18"/>
          <w:lang w:val="es-ES_tradnl"/>
        </w:rPr>
        <w:t xml:space="preserve"> que para que el se</w:t>
      </w:r>
      <w:r>
        <w:rPr>
          <w:rFonts w:cs="Times New Roman"/>
          <w:spacing w:val="-8"/>
          <w:sz w:val="18"/>
          <w:szCs w:val="18"/>
          <w:lang w:val="es-ES_tradnl"/>
        </w:rPr>
        <w:t>ñ</w:t>
      </w:r>
      <w:r>
        <w:rPr>
          <w:spacing w:val="-8"/>
          <w:sz w:val="18"/>
          <w:szCs w:val="18"/>
          <w:lang w:val="es-ES_tradnl"/>
        </w:rPr>
        <w:t>or Emilio Vicente D</w:t>
      </w:r>
      <w:r>
        <w:rPr>
          <w:rFonts w:cs="Times New Roman"/>
          <w:spacing w:val="-8"/>
          <w:sz w:val="18"/>
          <w:szCs w:val="18"/>
          <w:lang w:val="es-ES_tradnl"/>
        </w:rPr>
        <w:t>í</w:t>
      </w:r>
      <w:r>
        <w:rPr>
          <w:spacing w:val="-8"/>
          <w:sz w:val="18"/>
          <w:szCs w:val="18"/>
          <w:lang w:val="es-ES_tradnl"/>
        </w:rPr>
        <w:t>az Ter</w:t>
      </w:r>
      <w:r>
        <w:rPr>
          <w:rFonts w:cs="Times New Roman"/>
          <w:spacing w:val="-8"/>
          <w:sz w:val="18"/>
          <w:szCs w:val="18"/>
          <w:lang w:val="es-ES_tradnl"/>
        </w:rPr>
        <w:t>á</w:t>
      </w:r>
      <w:r>
        <w:rPr>
          <w:spacing w:val="-8"/>
          <w:sz w:val="18"/>
          <w:szCs w:val="18"/>
          <w:lang w:val="es-ES_tradnl"/>
        </w:rPr>
        <w:t>n incoe esta acci</w:t>
      </w:r>
      <w:r>
        <w:rPr>
          <w:rFonts w:cs="Times New Roman"/>
          <w:spacing w:val="-8"/>
          <w:sz w:val="18"/>
          <w:szCs w:val="18"/>
          <w:lang w:val="es-ES_tradnl"/>
        </w:rPr>
        <w:t>ó</w:t>
      </w:r>
      <w:r>
        <w:rPr>
          <w:spacing w:val="-8"/>
          <w:sz w:val="18"/>
          <w:szCs w:val="18"/>
          <w:lang w:val="es-ES_tradnl"/>
        </w:rPr>
        <w:t xml:space="preserve">n constitucional, la Municipalidad de </w:t>
      </w:r>
      <w:r>
        <w:rPr>
          <w:spacing w:val="-7"/>
          <w:sz w:val="18"/>
          <w:szCs w:val="18"/>
          <w:lang w:val="es-ES_tradnl"/>
        </w:rPr>
        <w:t>Mocache deb</w:t>
      </w:r>
      <w:r>
        <w:rPr>
          <w:rFonts w:cs="Times New Roman"/>
          <w:spacing w:val="-7"/>
          <w:sz w:val="18"/>
          <w:szCs w:val="18"/>
          <w:lang w:val="es-ES_tradnl"/>
        </w:rPr>
        <w:t>í</w:t>
      </w:r>
      <w:r>
        <w:rPr>
          <w:spacing w:val="-7"/>
          <w:sz w:val="18"/>
          <w:szCs w:val="18"/>
          <w:lang w:val="es-ES_tradnl"/>
        </w:rPr>
        <w:t>a haber negado su solicitud de informaci</w:t>
      </w:r>
      <w:r>
        <w:rPr>
          <w:rFonts w:cs="Times New Roman"/>
          <w:spacing w:val="-7"/>
          <w:sz w:val="18"/>
          <w:szCs w:val="18"/>
          <w:lang w:val="es-ES_tradnl"/>
        </w:rPr>
        <w:t>ó</w:t>
      </w:r>
      <w:r>
        <w:rPr>
          <w:spacing w:val="-7"/>
          <w:sz w:val="18"/>
          <w:szCs w:val="18"/>
          <w:lang w:val="es-ES_tradnl"/>
        </w:rPr>
        <w:t xml:space="preserve">n </w:t>
      </w:r>
      <w:r>
        <w:rPr>
          <w:spacing w:val="-6"/>
          <w:sz w:val="18"/>
          <w:szCs w:val="18"/>
          <w:lang w:val="es-ES_tradnl"/>
        </w:rPr>
        <w:t>luego de transcurrido el t</w:t>
      </w:r>
      <w:r>
        <w:rPr>
          <w:rFonts w:cs="Times New Roman"/>
          <w:spacing w:val="-6"/>
          <w:sz w:val="18"/>
          <w:szCs w:val="18"/>
          <w:lang w:val="es-ES_tradnl"/>
        </w:rPr>
        <w:t>é</w:t>
      </w:r>
      <w:r>
        <w:rPr>
          <w:spacing w:val="-6"/>
          <w:sz w:val="18"/>
          <w:szCs w:val="18"/>
          <w:lang w:val="es-ES_tradnl"/>
        </w:rPr>
        <w:t>rmino de 15 d</w:t>
      </w:r>
      <w:r>
        <w:rPr>
          <w:rFonts w:cs="Times New Roman"/>
          <w:spacing w:val="-6"/>
          <w:sz w:val="18"/>
          <w:szCs w:val="18"/>
          <w:lang w:val="es-ES_tradnl"/>
        </w:rPr>
        <w:t>í</w:t>
      </w:r>
      <w:r>
        <w:rPr>
          <w:spacing w:val="-6"/>
          <w:sz w:val="18"/>
          <w:szCs w:val="18"/>
          <w:lang w:val="es-ES_tradnl"/>
        </w:rPr>
        <w:t xml:space="preserve">as que establece </w:t>
      </w:r>
      <w:r>
        <w:rPr>
          <w:spacing w:val="-3"/>
          <w:sz w:val="18"/>
          <w:szCs w:val="18"/>
          <w:lang w:val="es-ES_tradnl"/>
        </w:rPr>
        <w:t>el art</w:t>
      </w:r>
      <w:r>
        <w:rPr>
          <w:rFonts w:cs="Times New Roman"/>
          <w:spacing w:val="-3"/>
          <w:sz w:val="18"/>
          <w:szCs w:val="18"/>
          <w:lang w:val="es-ES_tradnl"/>
        </w:rPr>
        <w:t>í</w:t>
      </w:r>
      <w:r>
        <w:rPr>
          <w:spacing w:val="-3"/>
          <w:sz w:val="18"/>
          <w:szCs w:val="18"/>
          <w:lang w:val="es-ES_tradnl"/>
        </w:rPr>
        <w:t>culo 28 de la Ley de Modernizaci</w:t>
      </w:r>
      <w:r>
        <w:rPr>
          <w:rFonts w:cs="Times New Roman"/>
          <w:spacing w:val="-3"/>
          <w:sz w:val="18"/>
          <w:szCs w:val="18"/>
          <w:lang w:val="es-ES_tradnl"/>
        </w:rPr>
        <w:t>ó</w:t>
      </w:r>
      <w:r>
        <w:rPr>
          <w:spacing w:val="-3"/>
          <w:sz w:val="18"/>
          <w:szCs w:val="18"/>
          <w:lang w:val="es-ES_tradnl"/>
        </w:rPr>
        <w:t>n del Estado</w:t>
      </w:r>
      <w:r>
        <w:rPr>
          <w:spacing w:val="-3"/>
          <w:sz w:val="18"/>
          <w:szCs w:val="18"/>
          <w:vertAlign w:val="superscript"/>
          <w:lang w:val="es-ES_tradnl"/>
        </w:rPr>
        <w:t>3</w:t>
      </w:r>
      <w:r>
        <w:rPr>
          <w:spacing w:val="-3"/>
          <w:sz w:val="18"/>
          <w:szCs w:val="18"/>
          <w:lang w:val="es-ES_tradnl"/>
        </w:rPr>
        <w:t xml:space="preserve">, </w:t>
      </w:r>
      <w:r>
        <w:rPr>
          <w:spacing w:val="-7"/>
          <w:sz w:val="18"/>
          <w:szCs w:val="18"/>
          <w:lang w:val="es-ES_tradnl"/>
        </w:rPr>
        <w:t>por lo que no se hab</w:t>
      </w:r>
      <w:r>
        <w:rPr>
          <w:rFonts w:cs="Times New Roman"/>
          <w:spacing w:val="-7"/>
          <w:sz w:val="18"/>
          <w:szCs w:val="18"/>
          <w:lang w:val="es-ES_tradnl"/>
        </w:rPr>
        <w:t>í</w:t>
      </w:r>
      <w:r>
        <w:rPr>
          <w:spacing w:val="-7"/>
          <w:sz w:val="18"/>
          <w:szCs w:val="18"/>
          <w:lang w:val="es-ES_tradnl"/>
        </w:rPr>
        <w:t xml:space="preserve">a configurado ninguno de los casos </w:t>
      </w:r>
      <w:r>
        <w:rPr>
          <w:spacing w:val="-8"/>
          <w:sz w:val="18"/>
          <w:szCs w:val="18"/>
          <w:lang w:val="es-ES_tradnl"/>
        </w:rPr>
        <w:t>previstos en el art</w:t>
      </w:r>
      <w:r>
        <w:rPr>
          <w:rFonts w:cs="Times New Roman"/>
          <w:spacing w:val="-8"/>
          <w:sz w:val="18"/>
          <w:szCs w:val="18"/>
          <w:lang w:val="es-ES_tradnl"/>
        </w:rPr>
        <w:t>í</w:t>
      </w:r>
      <w:r>
        <w:rPr>
          <w:spacing w:val="-8"/>
          <w:sz w:val="18"/>
          <w:szCs w:val="18"/>
          <w:lang w:val="es-ES_tradnl"/>
        </w:rPr>
        <w:t>culo 50 de la Ley Org</w:t>
      </w:r>
      <w:r>
        <w:rPr>
          <w:rFonts w:cs="Times New Roman"/>
          <w:spacing w:val="-8"/>
          <w:sz w:val="18"/>
          <w:szCs w:val="18"/>
          <w:lang w:val="es-ES_tradnl"/>
        </w:rPr>
        <w:t>á</w:t>
      </w:r>
      <w:r>
        <w:rPr>
          <w:spacing w:val="-8"/>
          <w:sz w:val="18"/>
          <w:szCs w:val="18"/>
          <w:lang w:val="es-ES_tradnl"/>
        </w:rPr>
        <w:t>nica de Garant</w:t>
      </w:r>
      <w:r>
        <w:rPr>
          <w:rFonts w:cs="Times New Roman"/>
          <w:spacing w:val="-8"/>
          <w:sz w:val="18"/>
          <w:szCs w:val="18"/>
          <w:lang w:val="es-ES_tradnl"/>
        </w:rPr>
        <w:t>í</w:t>
      </w:r>
      <w:r>
        <w:rPr>
          <w:spacing w:val="-8"/>
          <w:sz w:val="18"/>
          <w:szCs w:val="18"/>
          <w:lang w:val="es-ES_tradnl"/>
        </w:rPr>
        <w:t xml:space="preserve">as </w:t>
      </w:r>
      <w:r>
        <w:rPr>
          <w:sz w:val="18"/>
          <w:szCs w:val="18"/>
          <w:lang w:val="es-ES_tradnl"/>
        </w:rPr>
        <w:t>Jurisdiccionales y Control Constitucional.</w:t>
      </w:r>
    </w:p>
    <w:p w14:paraId="4F67AC18" w14:textId="77777777" w:rsidR="00591D54" w:rsidRDefault="00591D54">
      <w:pPr>
        <w:shd w:val="clear" w:color="auto" w:fill="FFFFFF"/>
        <w:spacing w:before="197" w:line="216" w:lineRule="exact"/>
        <w:ind w:right="5"/>
        <w:jc w:val="both"/>
      </w:pPr>
      <w:r>
        <w:rPr>
          <w:spacing w:val="-11"/>
          <w:sz w:val="18"/>
          <w:szCs w:val="18"/>
          <w:lang w:val="es-ES_tradnl"/>
        </w:rPr>
        <w:t>De la revisi</w:t>
      </w:r>
      <w:r>
        <w:rPr>
          <w:rFonts w:cs="Times New Roman"/>
          <w:spacing w:val="-11"/>
          <w:sz w:val="18"/>
          <w:szCs w:val="18"/>
          <w:lang w:val="es-ES_tradnl"/>
        </w:rPr>
        <w:t>ó</w:t>
      </w:r>
      <w:r>
        <w:rPr>
          <w:spacing w:val="-11"/>
          <w:sz w:val="18"/>
          <w:szCs w:val="18"/>
          <w:lang w:val="es-ES_tradnl"/>
        </w:rPr>
        <w:t xml:space="preserve">n del expediente de instancia se puede constatar </w:t>
      </w:r>
      <w:r>
        <w:rPr>
          <w:spacing w:val="-9"/>
          <w:sz w:val="18"/>
          <w:szCs w:val="18"/>
          <w:lang w:val="es-ES_tradnl"/>
        </w:rPr>
        <w:t xml:space="preserve">que el accionante, mediante oficios Nros. 030-DPUR-EDT, </w:t>
      </w:r>
      <w:r>
        <w:rPr>
          <w:spacing w:val="-6"/>
          <w:sz w:val="18"/>
          <w:szCs w:val="18"/>
          <w:lang w:val="es-ES_tradnl"/>
        </w:rPr>
        <w:t>032-DPUR-EDT y 035-DPUR-EDT, solicit</w:t>
      </w:r>
      <w:r>
        <w:rPr>
          <w:rFonts w:cs="Times New Roman"/>
          <w:spacing w:val="-6"/>
          <w:sz w:val="18"/>
          <w:szCs w:val="18"/>
          <w:lang w:val="es-ES_tradnl"/>
        </w:rPr>
        <w:t>ó</w:t>
      </w:r>
      <w:r>
        <w:rPr>
          <w:spacing w:val="-6"/>
          <w:sz w:val="18"/>
          <w:szCs w:val="18"/>
          <w:lang w:val="es-ES_tradnl"/>
        </w:rPr>
        <w:t xml:space="preserve"> a la Alcald</w:t>
      </w:r>
      <w:r>
        <w:rPr>
          <w:rFonts w:cs="Times New Roman"/>
          <w:spacing w:val="-6"/>
          <w:sz w:val="18"/>
          <w:szCs w:val="18"/>
          <w:lang w:val="es-ES_tradnl"/>
        </w:rPr>
        <w:t>í</w:t>
      </w:r>
      <w:r>
        <w:rPr>
          <w:spacing w:val="-6"/>
          <w:sz w:val="18"/>
          <w:szCs w:val="18"/>
          <w:lang w:val="es-ES_tradnl"/>
        </w:rPr>
        <w:t xml:space="preserve">a y </w:t>
      </w:r>
      <w:r>
        <w:rPr>
          <w:spacing w:val="-9"/>
          <w:sz w:val="18"/>
          <w:szCs w:val="18"/>
          <w:lang w:val="es-ES_tradnl"/>
        </w:rPr>
        <w:t>a la Direcci</w:t>
      </w:r>
      <w:r>
        <w:rPr>
          <w:rFonts w:cs="Times New Roman"/>
          <w:spacing w:val="-9"/>
          <w:sz w:val="18"/>
          <w:szCs w:val="18"/>
          <w:lang w:val="es-ES_tradnl"/>
        </w:rPr>
        <w:t>ó</w:t>
      </w:r>
      <w:r>
        <w:rPr>
          <w:spacing w:val="-9"/>
          <w:sz w:val="18"/>
          <w:szCs w:val="18"/>
          <w:lang w:val="es-ES_tradnl"/>
        </w:rPr>
        <w:t>n de Recursos Humanos del Cant</w:t>
      </w:r>
      <w:r>
        <w:rPr>
          <w:rFonts w:cs="Times New Roman"/>
          <w:spacing w:val="-9"/>
          <w:sz w:val="18"/>
          <w:szCs w:val="18"/>
          <w:lang w:val="es-ES_tradnl"/>
        </w:rPr>
        <w:t>ó</w:t>
      </w:r>
      <w:r>
        <w:rPr>
          <w:spacing w:val="-9"/>
          <w:sz w:val="18"/>
          <w:szCs w:val="18"/>
          <w:lang w:val="es-ES_tradnl"/>
        </w:rPr>
        <w:t xml:space="preserve">n Mocache, </w:t>
      </w:r>
      <w:r>
        <w:rPr>
          <w:spacing w:val="-5"/>
          <w:sz w:val="18"/>
          <w:szCs w:val="18"/>
          <w:lang w:val="es-ES_tradnl"/>
        </w:rPr>
        <w:t xml:space="preserve">sendas copias certificadas del Presupuesto General </w:t>
      </w:r>
      <w:r>
        <w:rPr>
          <w:spacing w:val="-4"/>
          <w:sz w:val="18"/>
          <w:szCs w:val="18"/>
          <w:lang w:val="es-ES_tradnl"/>
        </w:rPr>
        <w:t>Municipal del a</w:t>
      </w:r>
      <w:r>
        <w:rPr>
          <w:rFonts w:cs="Times New Roman"/>
          <w:spacing w:val="-4"/>
          <w:sz w:val="18"/>
          <w:szCs w:val="18"/>
          <w:lang w:val="es-ES_tradnl"/>
        </w:rPr>
        <w:t>ñ</w:t>
      </w:r>
      <w:r>
        <w:rPr>
          <w:spacing w:val="-4"/>
          <w:sz w:val="18"/>
          <w:szCs w:val="18"/>
          <w:lang w:val="es-ES_tradnl"/>
        </w:rPr>
        <w:t xml:space="preserve">o 2010, del Distributivo de Sueldos del </w:t>
      </w:r>
      <w:r>
        <w:rPr>
          <w:spacing w:val="-7"/>
          <w:sz w:val="18"/>
          <w:szCs w:val="18"/>
          <w:lang w:val="es-ES_tradnl"/>
        </w:rPr>
        <w:t>mismo a</w:t>
      </w:r>
      <w:r>
        <w:rPr>
          <w:rFonts w:cs="Times New Roman"/>
          <w:spacing w:val="-7"/>
          <w:sz w:val="18"/>
          <w:szCs w:val="18"/>
          <w:lang w:val="es-ES_tradnl"/>
        </w:rPr>
        <w:t>ñ</w:t>
      </w:r>
      <w:r>
        <w:rPr>
          <w:spacing w:val="-7"/>
          <w:sz w:val="18"/>
          <w:szCs w:val="18"/>
          <w:lang w:val="es-ES_tradnl"/>
        </w:rPr>
        <w:t xml:space="preserve">o y de las actas de las sesiones del Concejo </w:t>
      </w:r>
      <w:r>
        <w:rPr>
          <w:spacing w:val="-9"/>
          <w:sz w:val="18"/>
          <w:szCs w:val="18"/>
          <w:lang w:val="es-ES_tradnl"/>
        </w:rPr>
        <w:t>Municipal en que se aprobaron estos instrumentos p</w:t>
      </w:r>
      <w:r>
        <w:rPr>
          <w:rFonts w:cs="Times New Roman"/>
          <w:spacing w:val="-9"/>
          <w:sz w:val="18"/>
          <w:szCs w:val="18"/>
          <w:lang w:val="es-ES_tradnl"/>
        </w:rPr>
        <w:t>ú</w:t>
      </w:r>
      <w:r>
        <w:rPr>
          <w:spacing w:val="-9"/>
          <w:sz w:val="18"/>
          <w:szCs w:val="18"/>
          <w:lang w:val="es-ES_tradnl"/>
        </w:rPr>
        <w:t xml:space="preserve">blicos. </w:t>
      </w:r>
      <w:r>
        <w:rPr>
          <w:spacing w:val="-2"/>
          <w:sz w:val="18"/>
          <w:szCs w:val="18"/>
          <w:lang w:val="es-ES_tradnl"/>
        </w:rPr>
        <w:t>As</w:t>
      </w:r>
      <w:r>
        <w:rPr>
          <w:rFonts w:cs="Times New Roman"/>
          <w:spacing w:val="-2"/>
          <w:sz w:val="18"/>
          <w:szCs w:val="18"/>
          <w:lang w:val="es-ES_tradnl"/>
        </w:rPr>
        <w:t>í</w:t>
      </w:r>
      <w:r>
        <w:rPr>
          <w:spacing w:val="-2"/>
          <w:sz w:val="18"/>
          <w:szCs w:val="18"/>
          <w:lang w:val="es-ES_tradnl"/>
        </w:rPr>
        <w:t xml:space="preserve"> tambi</w:t>
      </w:r>
      <w:r>
        <w:rPr>
          <w:rFonts w:cs="Times New Roman"/>
          <w:spacing w:val="-2"/>
          <w:sz w:val="18"/>
          <w:szCs w:val="18"/>
          <w:lang w:val="es-ES_tradnl"/>
        </w:rPr>
        <w:t>é</w:t>
      </w:r>
      <w:r>
        <w:rPr>
          <w:spacing w:val="-2"/>
          <w:sz w:val="18"/>
          <w:szCs w:val="18"/>
          <w:lang w:val="es-ES_tradnl"/>
        </w:rPr>
        <w:t>n, de la revisi</w:t>
      </w:r>
      <w:r>
        <w:rPr>
          <w:rFonts w:cs="Times New Roman"/>
          <w:spacing w:val="-2"/>
          <w:sz w:val="18"/>
          <w:szCs w:val="18"/>
          <w:lang w:val="es-ES_tradnl"/>
        </w:rPr>
        <w:t>ó</w:t>
      </w:r>
      <w:r>
        <w:rPr>
          <w:spacing w:val="-2"/>
          <w:sz w:val="18"/>
          <w:szCs w:val="18"/>
          <w:lang w:val="es-ES_tradnl"/>
        </w:rPr>
        <w:t xml:space="preserve">n del expediente de instancia </w:t>
      </w:r>
      <w:r>
        <w:rPr>
          <w:spacing w:val="-5"/>
          <w:sz w:val="18"/>
          <w:szCs w:val="18"/>
          <w:lang w:val="es-ES_tradnl"/>
        </w:rPr>
        <w:t>se puede evidenciar que el se</w:t>
      </w:r>
      <w:r>
        <w:rPr>
          <w:rFonts w:cs="Times New Roman"/>
          <w:spacing w:val="-5"/>
          <w:sz w:val="18"/>
          <w:szCs w:val="18"/>
          <w:lang w:val="es-ES_tradnl"/>
        </w:rPr>
        <w:t>ñ</w:t>
      </w:r>
      <w:r>
        <w:rPr>
          <w:spacing w:val="-5"/>
          <w:sz w:val="18"/>
          <w:szCs w:val="18"/>
          <w:lang w:val="es-ES_tradnl"/>
        </w:rPr>
        <w:t>or Emilio D</w:t>
      </w:r>
      <w:r>
        <w:rPr>
          <w:rFonts w:cs="Times New Roman"/>
          <w:spacing w:val="-5"/>
          <w:sz w:val="18"/>
          <w:szCs w:val="18"/>
          <w:lang w:val="es-ES_tradnl"/>
        </w:rPr>
        <w:t>í</w:t>
      </w:r>
      <w:r>
        <w:rPr>
          <w:spacing w:val="-5"/>
          <w:sz w:val="18"/>
          <w:szCs w:val="18"/>
          <w:lang w:val="es-ES_tradnl"/>
        </w:rPr>
        <w:t>az Ter</w:t>
      </w:r>
      <w:r>
        <w:rPr>
          <w:rFonts w:cs="Times New Roman"/>
          <w:spacing w:val="-5"/>
          <w:sz w:val="18"/>
          <w:szCs w:val="18"/>
          <w:lang w:val="es-ES_tradnl"/>
        </w:rPr>
        <w:t>á</w:t>
      </w:r>
      <w:r>
        <w:rPr>
          <w:spacing w:val="-5"/>
          <w:sz w:val="18"/>
          <w:szCs w:val="18"/>
          <w:lang w:val="es-ES_tradnl"/>
        </w:rPr>
        <w:t xml:space="preserve">n, </w:t>
      </w:r>
      <w:r>
        <w:rPr>
          <w:spacing w:val="-11"/>
          <w:sz w:val="18"/>
          <w:szCs w:val="18"/>
          <w:lang w:val="es-ES_tradnl"/>
        </w:rPr>
        <w:t>accionante del h</w:t>
      </w:r>
      <w:r>
        <w:rPr>
          <w:rFonts w:cs="Times New Roman"/>
          <w:spacing w:val="-11"/>
          <w:sz w:val="18"/>
          <w:szCs w:val="18"/>
          <w:lang w:val="es-ES_tradnl"/>
        </w:rPr>
        <w:t>á</w:t>
      </w:r>
      <w:r>
        <w:rPr>
          <w:spacing w:val="-11"/>
          <w:sz w:val="18"/>
          <w:szCs w:val="18"/>
          <w:lang w:val="es-ES_tradnl"/>
        </w:rPr>
        <w:t xml:space="preserve">beas data que es materia del expediente de </w:t>
      </w:r>
      <w:r>
        <w:rPr>
          <w:spacing w:val="-9"/>
          <w:sz w:val="18"/>
          <w:szCs w:val="18"/>
          <w:lang w:val="es-ES_tradnl"/>
        </w:rPr>
        <w:t>instancia, inco</w:t>
      </w:r>
      <w:r>
        <w:rPr>
          <w:rFonts w:cs="Times New Roman"/>
          <w:spacing w:val="-9"/>
          <w:sz w:val="18"/>
          <w:szCs w:val="18"/>
          <w:lang w:val="es-ES_tradnl"/>
        </w:rPr>
        <w:t>ó</w:t>
      </w:r>
      <w:r>
        <w:rPr>
          <w:spacing w:val="-9"/>
          <w:sz w:val="18"/>
          <w:szCs w:val="18"/>
          <w:lang w:val="es-ES_tradnl"/>
        </w:rPr>
        <w:t xml:space="preserve"> su acci</w:t>
      </w:r>
      <w:r>
        <w:rPr>
          <w:rFonts w:cs="Times New Roman"/>
          <w:spacing w:val="-9"/>
          <w:sz w:val="18"/>
          <w:szCs w:val="18"/>
          <w:lang w:val="es-ES_tradnl"/>
        </w:rPr>
        <w:t>ó</w:t>
      </w:r>
      <w:r>
        <w:rPr>
          <w:spacing w:val="-9"/>
          <w:sz w:val="18"/>
          <w:szCs w:val="18"/>
          <w:lang w:val="es-ES_tradnl"/>
        </w:rPr>
        <w:t xml:space="preserve">n el 12 de febrero de 2010, es decir </w:t>
      </w:r>
      <w:r>
        <w:rPr>
          <w:spacing w:val="-8"/>
          <w:sz w:val="18"/>
          <w:szCs w:val="18"/>
          <w:lang w:val="es-ES_tradnl"/>
        </w:rPr>
        <w:t>dos d</w:t>
      </w:r>
      <w:r>
        <w:rPr>
          <w:rFonts w:cs="Times New Roman"/>
          <w:spacing w:val="-8"/>
          <w:sz w:val="18"/>
          <w:szCs w:val="18"/>
          <w:lang w:val="es-ES_tradnl"/>
        </w:rPr>
        <w:t>í</w:t>
      </w:r>
      <w:r>
        <w:rPr>
          <w:spacing w:val="-8"/>
          <w:sz w:val="18"/>
          <w:szCs w:val="18"/>
          <w:lang w:val="es-ES_tradnl"/>
        </w:rPr>
        <w:t>as despu</w:t>
      </w:r>
      <w:r>
        <w:rPr>
          <w:rFonts w:cs="Times New Roman"/>
          <w:spacing w:val="-8"/>
          <w:sz w:val="18"/>
          <w:szCs w:val="18"/>
          <w:lang w:val="es-ES_tradnl"/>
        </w:rPr>
        <w:t>é</w:t>
      </w:r>
      <w:r>
        <w:rPr>
          <w:spacing w:val="-8"/>
          <w:sz w:val="18"/>
          <w:szCs w:val="18"/>
          <w:lang w:val="es-ES_tradnl"/>
        </w:rPr>
        <w:t>s de que hab</w:t>
      </w:r>
      <w:r>
        <w:rPr>
          <w:rFonts w:cs="Times New Roman"/>
          <w:spacing w:val="-8"/>
          <w:sz w:val="18"/>
          <w:szCs w:val="18"/>
          <w:lang w:val="es-ES_tradnl"/>
        </w:rPr>
        <w:t>í</w:t>
      </w:r>
      <w:r>
        <w:rPr>
          <w:spacing w:val="-8"/>
          <w:sz w:val="18"/>
          <w:szCs w:val="18"/>
          <w:lang w:val="es-ES_tradnl"/>
        </w:rPr>
        <w:t xml:space="preserve">a solicitado el requerimiento </w:t>
      </w:r>
      <w:r>
        <w:rPr>
          <w:spacing w:val="-9"/>
          <w:sz w:val="18"/>
          <w:szCs w:val="18"/>
          <w:lang w:val="es-ES_tradnl"/>
        </w:rPr>
        <w:t>de informaci</w:t>
      </w:r>
      <w:r>
        <w:rPr>
          <w:rFonts w:cs="Times New Roman"/>
          <w:spacing w:val="-9"/>
          <w:sz w:val="18"/>
          <w:szCs w:val="18"/>
          <w:lang w:val="es-ES_tradnl"/>
        </w:rPr>
        <w:t>ó</w:t>
      </w:r>
      <w:r>
        <w:rPr>
          <w:spacing w:val="-9"/>
          <w:sz w:val="18"/>
          <w:szCs w:val="18"/>
          <w:lang w:val="es-ES_tradnl"/>
        </w:rPr>
        <w:t>n a las dependencias del Gobierno Aut</w:t>
      </w:r>
      <w:r>
        <w:rPr>
          <w:rFonts w:cs="Times New Roman"/>
          <w:spacing w:val="-9"/>
          <w:sz w:val="18"/>
          <w:szCs w:val="18"/>
          <w:lang w:val="es-ES_tradnl"/>
        </w:rPr>
        <w:t>ó</w:t>
      </w:r>
      <w:r>
        <w:rPr>
          <w:spacing w:val="-9"/>
          <w:sz w:val="18"/>
          <w:szCs w:val="18"/>
          <w:lang w:val="es-ES_tradnl"/>
        </w:rPr>
        <w:t xml:space="preserve">nomo </w:t>
      </w:r>
      <w:r>
        <w:rPr>
          <w:spacing w:val="-8"/>
          <w:sz w:val="18"/>
          <w:szCs w:val="18"/>
          <w:lang w:val="es-ES_tradnl"/>
        </w:rPr>
        <w:t>Descentralizado Municipal del Cant</w:t>
      </w:r>
      <w:r>
        <w:rPr>
          <w:rFonts w:cs="Times New Roman"/>
          <w:spacing w:val="-8"/>
          <w:sz w:val="18"/>
          <w:szCs w:val="18"/>
          <w:lang w:val="es-ES_tradnl"/>
        </w:rPr>
        <w:t>ó</w:t>
      </w:r>
      <w:r>
        <w:rPr>
          <w:spacing w:val="-8"/>
          <w:sz w:val="18"/>
          <w:szCs w:val="18"/>
          <w:lang w:val="es-ES_tradnl"/>
        </w:rPr>
        <w:t xml:space="preserve">n Mocache, sin que se </w:t>
      </w:r>
      <w:r>
        <w:rPr>
          <w:spacing w:val="-6"/>
          <w:sz w:val="18"/>
          <w:szCs w:val="18"/>
          <w:lang w:val="es-ES_tradnl"/>
        </w:rPr>
        <w:t>produzca la denegaci</w:t>
      </w:r>
      <w:r>
        <w:rPr>
          <w:rFonts w:cs="Times New Roman"/>
          <w:spacing w:val="-6"/>
          <w:sz w:val="18"/>
          <w:szCs w:val="18"/>
          <w:lang w:val="es-ES_tradnl"/>
        </w:rPr>
        <w:t>ó</w:t>
      </w:r>
      <w:r>
        <w:rPr>
          <w:spacing w:val="-6"/>
          <w:sz w:val="18"/>
          <w:szCs w:val="18"/>
          <w:lang w:val="es-ES_tradnl"/>
        </w:rPr>
        <w:t>n de la informaci</w:t>
      </w:r>
      <w:r>
        <w:rPr>
          <w:rFonts w:cs="Times New Roman"/>
          <w:spacing w:val="-6"/>
          <w:sz w:val="18"/>
          <w:szCs w:val="18"/>
          <w:lang w:val="es-ES_tradnl"/>
        </w:rPr>
        <w:t>ó</w:t>
      </w:r>
      <w:r>
        <w:rPr>
          <w:spacing w:val="-6"/>
          <w:sz w:val="18"/>
          <w:szCs w:val="18"/>
          <w:lang w:val="es-ES_tradnl"/>
        </w:rPr>
        <w:t xml:space="preserve">n solicitada o la </w:t>
      </w:r>
      <w:r>
        <w:rPr>
          <w:spacing w:val="-9"/>
          <w:sz w:val="18"/>
          <w:szCs w:val="18"/>
          <w:lang w:val="es-ES_tradnl"/>
        </w:rPr>
        <w:t>falta de respuesta por parte de las administraci</w:t>
      </w:r>
      <w:r>
        <w:rPr>
          <w:rFonts w:cs="Times New Roman"/>
          <w:spacing w:val="-9"/>
          <w:sz w:val="18"/>
          <w:szCs w:val="18"/>
          <w:lang w:val="es-ES_tradnl"/>
        </w:rPr>
        <w:t>ó</w:t>
      </w:r>
      <w:r>
        <w:rPr>
          <w:spacing w:val="-9"/>
          <w:sz w:val="18"/>
          <w:szCs w:val="18"/>
          <w:lang w:val="es-ES_tradnl"/>
        </w:rPr>
        <w:t>n municipal.</w:t>
      </w:r>
    </w:p>
    <w:p w14:paraId="4F67AC19" w14:textId="77777777" w:rsidR="00591D54" w:rsidRDefault="00591D54">
      <w:pPr>
        <w:shd w:val="clear" w:color="auto" w:fill="FFFFFF"/>
        <w:spacing w:before="192" w:line="216" w:lineRule="exact"/>
        <w:ind w:right="5"/>
        <w:jc w:val="both"/>
      </w:pPr>
      <w:r>
        <w:rPr>
          <w:spacing w:val="-6"/>
          <w:sz w:val="18"/>
          <w:szCs w:val="18"/>
          <w:lang w:val="es-ES_tradnl"/>
        </w:rPr>
        <w:t xml:space="preserve">En la </w:t>
      </w:r>
      <w:r>
        <w:rPr>
          <w:i/>
          <w:iCs/>
          <w:spacing w:val="-6"/>
          <w:sz w:val="18"/>
          <w:szCs w:val="18"/>
          <w:lang w:val="es-ES_tradnl"/>
        </w:rPr>
        <w:t xml:space="preserve">ratio decidendi </w:t>
      </w:r>
      <w:r>
        <w:rPr>
          <w:spacing w:val="-6"/>
          <w:sz w:val="18"/>
          <w:szCs w:val="18"/>
          <w:lang w:val="es-ES_tradnl"/>
        </w:rPr>
        <w:t>de la decisi</w:t>
      </w:r>
      <w:r>
        <w:rPr>
          <w:rFonts w:cs="Times New Roman"/>
          <w:spacing w:val="-6"/>
          <w:sz w:val="18"/>
          <w:szCs w:val="18"/>
          <w:lang w:val="es-ES_tradnl"/>
        </w:rPr>
        <w:t>ó</w:t>
      </w:r>
      <w:r>
        <w:rPr>
          <w:spacing w:val="-6"/>
          <w:sz w:val="18"/>
          <w:szCs w:val="18"/>
          <w:lang w:val="es-ES_tradnl"/>
        </w:rPr>
        <w:t xml:space="preserve">n judicial impugnada, la Sala de lo Penal de la Corte Provincial de Justicia de Los </w:t>
      </w:r>
      <w:r>
        <w:rPr>
          <w:sz w:val="18"/>
          <w:szCs w:val="18"/>
          <w:lang w:val="es-ES_tradnl"/>
        </w:rPr>
        <w:t>R</w:t>
      </w:r>
      <w:r>
        <w:rPr>
          <w:rFonts w:cs="Times New Roman"/>
          <w:sz w:val="18"/>
          <w:szCs w:val="18"/>
          <w:lang w:val="es-ES_tradnl"/>
        </w:rPr>
        <w:t>í</w:t>
      </w:r>
      <w:r>
        <w:rPr>
          <w:sz w:val="18"/>
          <w:szCs w:val="18"/>
          <w:lang w:val="es-ES_tradnl"/>
        </w:rPr>
        <w:t>os afirma lo siguiente:</w:t>
      </w:r>
    </w:p>
    <w:p w14:paraId="4F67AC1A" w14:textId="77777777" w:rsidR="00591D54" w:rsidRDefault="00591D54">
      <w:pPr>
        <w:shd w:val="clear" w:color="auto" w:fill="FFFFFF"/>
        <w:spacing w:before="202" w:line="216" w:lineRule="exact"/>
        <w:ind w:left="283" w:right="5"/>
        <w:jc w:val="both"/>
      </w:pPr>
      <w:r>
        <w:rPr>
          <w:sz w:val="14"/>
          <w:szCs w:val="14"/>
          <w:lang w:val="es-ES_tradnl"/>
        </w:rPr>
        <w:t>(</w:t>
      </w:r>
      <w:r>
        <w:rPr>
          <w:rFonts w:cs="Times New Roman"/>
          <w:sz w:val="14"/>
          <w:szCs w:val="14"/>
          <w:lang w:val="es-ES_tradnl"/>
        </w:rPr>
        <w:t>…</w:t>
      </w:r>
      <w:r>
        <w:rPr>
          <w:sz w:val="14"/>
          <w:szCs w:val="14"/>
          <w:lang w:val="es-ES_tradnl"/>
        </w:rPr>
        <w:t>) se aleg</w:t>
      </w:r>
      <w:r>
        <w:rPr>
          <w:rFonts w:cs="Times New Roman"/>
          <w:sz w:val="14"/>
          <w:szCs w:val="14"/>
          <w:lang w:val="es-ES_tradnl"/>
        </w:rPr>
        <w:t>ó</w:t>
      </w:r>
      <w:r>
        <w:rPr>
          <w:sz w:val="14"/>
          <w:szCs w:val="14"/>
          <w:lang w:val="es-ES_tradnl"/>
        </w:rPr>
        <w:t xml:space="preserve"> que el tiempo a</w:t>
      </w:r>
      <w:r>
        <w:rPr>
          <w:rFonts w:cs="Times New Roman"/>
          <w:sz w:val="14"/>
          <w:szCs w:val="14"/>
          <w:lang w:val="es-ES_tradnl"/>
        </w:rPr>
        <w:t>ú</w:t>
      </w:r>
      <w:r>
        <w:rPr>
          <w:sz w:val="14"/>
          <w:szCs w:val="14"/>
          <w:lang w:val="es-ES_tradnl"/>
        </w:rPr>
        <w:t>n no hab</w:t>
      </w:r>
      <w:r>
        <w:rPr>
          <w:rFonts w:cs="Times New Roman"/>
          <w:sz w:val="14"/>
          <w:szCs w:val="14"/>
          <w:lang w:val="es-ES_tradnl"/>
        </w:rPr>
        <w:t>í</w:t>
      </w:r>
      <w:r>
        <w:rPr>
          <w:sz w:val="14"/>
          <w:szCs w:val="14"/>
          <w:lang w:val="es-ES_tradnl"/>
        </w:rPr>
        <w:t>a fenecido seg</w:t>
      </w:r>
      <w:r>
        <w:rPr>
          <w:rFonts w:cs="Times New Roman"/>
          <w:sz w:val="14"/>
          <w:szCs w:val="14"/>
          <w:lang w:val="es-ES_tradnl"/>
        </w:rPr>
        <w:t>ú</w:t>
      </w:r>
      <w:r>
        <w:rPr>
          <w:sz w:val="14"/>
          <w:szCs w:val="14"/>
          <w:lang w:val="es-ES_tradnl"/>
        </w:rPr>
        <w:t>n lo dispone el Art. 28 de la Ley de Modernizaci</w:t>
      </w:r>
      <w:r>
        <w:rPr>
          <w:rFonts w:cs="Times New Roman"/>
          <w:sz w:val="14"/>
          <w:szCs w:val="14"/>
          <w:lang w:val="es-ES_tradnl"/>
        </w:rPr>
        <w:t>ó</w:t>
      </w:r>
      <w:r>
        <w:rPr>
          <w:sz w:val="14"/>
          <w:szCs w:val="14"/>
          <w:lang w:val="es-ES_tradnl"/>
        </w:rPr>
        <w:t>n del Estado, para que les sean despachadas, alegando adem</w:t>
      </w:r>
      <w:r>
        <w:rPr>
          <w:rFonts w:cs="Times New Roman"/>
          <w:sz w:val="14"/>
          <w:szCs w:val="14"/>
          <w:lang w:val="es-ES_tradnl"/>
        </w:rPr>
        <w:t>á</w:t>
      </w:r>
      <w:r>
        <w:rPr>
          <w:sz w:val="14"/>
          <w:szCs w:val="14"/>
          <w:lang w:val="es-ES_tradnl"/>
        </w:rPr>
        <w:t xml:space="preserve">s que dentro del </w:t>
      </w:r>
      <w:r>
        <w:rPr>
          <w:rFonts w:cs="Times New Roman"/>
          <w:sz w:val="14"/>
          <w:szCs w:val="14"/>
          <w:lang w:val="es-ES_tradnl"/>
        </w:rPr>
        <w:t>á</w:t>
      </w:r>
      <w:r>
        <w:rPr>
          <w:sz w:val="14"/>
          <w:szCs w:val="14"/>
          <w:lang w:val="es-ES_tradnl"/>
        </w:rPr>
        <w:t>mbito de protecci</w:t>
      </w:r>
      <w:r>
        <w:rPr>
          <w:rFonts w:cs="Times New Roman"/>
          <w:sz w:val="14"/>
          <w:szCs w:val="14"/>
          <w:lang w:val="es-ES_tradnl"/>
        </w:rPr>
        <w:t>ó</w:t>
      </w:r>
      <w:r>
        <w:rPr>
          <w:sz w:val="14"/>
          <w:szCs w:val="14"/>
          <w:lang w:val="es-ES_tradnl"/>
        </w:rPr>
        <w:t>n (de la acci</w:t>
      </w:r>
      <w:r>
        <w:rPr>
          <w:rFonts w:cs="Times New Roman"/>
          <w:sz w:val="14"/>
          <w:szCs w:val="14"/>
          <w:lang w:val="es-ES_tradnl"/>
        </w:rPr>
        <w:t>ó</w:t>
      </w:r>
      <w:r>
        <w:rPr>
          <w:sz w:val="14"/>
          <w:szCs w:val="14"/>
          <w:lang w:val="es-ES_tradnl"/>
        </w:rPr>
        <w:t>n de H</w:t>
      </w:r>
      <w:r>
        <w:rPr>
          <w:rFonts w:cs="Times New Roman"/>
          <w:sz w:val="14"/>
          <w:szCs w:val="14"/>
          <w:lang w:val="es-ES_tradnl"/>
        </w:rPr>
        <w:t>á</w:t>
      </w:r>
      <w:r>
        <w:rPr>
          <w:sz w:val="14"/>
          <w:szCs w:val="14"/>
          <w:lang w:val="es-ES_tradnl"/>
        </w:rPr>
        <w:t xml:space="preserve">beas Data), consta </w:t>
      </w:r>
      <w:r>
        <w:rPr>
          <w:spacing w:val="-1"/>
          <w:sz w:val="14"/>
          <w:szCs w:val="14"/>
          <w:lang w:val="es-ES_tradnl"/>
        </w:rPr>
        <w:t xml:space="preserve">como presupuesto cuando se niega el acceso a los documentos, </w:t>
      </w:r>
      <w:r>
        <w:rPr>
          <w:sz w:val="14"/>
          <w:szCs w:val="14"/>
          <w:lang w:val="es-ES_tradnl"/>
        </w:rPr>
        <w:t>datos gen</w:t>
      </w:r>
      <w:r>
        <w:rPr>
          <w:rFonts w:cs="Times New Roman"/>
          <w:sz w:val="14"/>
          <w:szCs w:val="14"/>
          <w:lang w:val="es-ES_tradnl"/>
        </w:rPr>
        <w:t>é</w:t>
      </w:r>
      <w:r>
        <w:rPr>
          <w:sz w:val="14"/>
          <w:szCs w:val="14"/>
          <w:lang w:val="es-ES_tradnl"/>
        </w:rPr>
        <w:t>ricos y otros conforme lo provee el numeral 1 del Art. 50 de la Ley Org</w:t>
      </w:r>
      <w:r>
        <w:rPr>
          <w:rFonts w:cs="Times New Roman"/>
          <w:sz w:val="14"/>
          <w:szCs w:val="14"/>
          <w:lang w:val="es-ES_tradnl"/>
        </w:rPr>
        <w:t>á</w:t>
      </w:r>
      <w:r>
        <w:rPr>
          <w:sz w:val="14"/>
          <w:szCs w:val="14"/>
          <w:lang w:val="es-ES_tradnl"/>
        </w:rPr>
        <w:t>nica de Garant</w:t>
      </w:r>
      <w:r>
        <w:rPr>
          <w:rFonts w:cs="Times New Roman"/>
          <w:sz w:val="14"/>
          <w:szCs w:val="14"/>
          <w:lang w:val="es-ES_tradnl"/>
        </w:rPr>
        <w:t>í</w:t>
      </w:r>
      <w:r>
        <w:rPr>
          <w:sz w:val="14"/>
          <w:szCs w:val="14"/>
          <w:lang w:val="es-ES_tradnl"/>
        </w:rPr>
        <w:t xml:space="preserve">as Jurisdiccionales y Control Constitucional que es cuando puede recurrir a la tutela judicial. </w:t>
      </w:r>
      <w:r>
        <w:rPr>
          <w:b/>
          <w:bCs/>
          <w:sz w:val="14"/>
          <w:szCs w:val="14"/>
          <w:lang w:val="es-ES_tradnl"/>
        </w:rPr>
        <w:t>La Sala considera que la protecci</w:t>
      </w:r>
      <w:r>
        <w:rPr>
          <w:rFonts w:cs="Times New Roman"/>
          <w:b/>
          <w:bCs/>
          <w:sz w:val="14"/>
          <w:szCs w:val="14"/>
          <w:lang w:val="es-ES_tradnl"/>
        </w:rPr>
        <w:t>ó</w:t>
      </w:r>
      <w:r>
        <w:rPr>
          <w:b/>
          <w:bCs/>
          <w:sz w:val="14"/>
          <w:szCs w:val="14"/>
          <w:lang w:val="es-ES_tradnl"/>
        </w:rPr>
        <w:t>n de los derechos se extendi</w:t>
      </w:r>
      <w:r>
        <w:rPr>
          <w:rFonts w:cs="Times New Roman"/>
          <w:b/>
          <w:bCs/>
          <w:sz w:val="14"/>
          <w:szCs w:val="14"/>
          <w:lang w:val="es-ES_tradnl"/>
        </w:rPr>
        <w:t>ó</w:t>
      </w:r>
      <w:r>
        <w:rPr>
          <w:b/>
          <w:bCs/>
          <w:sz w:val="14"/>
          <w:szCs w:val="14"/>
          <w:lang w:val="es-ES_tradnl"/>
        </w:rPr>
        <w:t xml:space="preserve"> no s</w:t>
      </w:r>
      <w:r>
        <w:rPr>
          <w:rFonts w:cs="Times New Roman"/>
          <w:b/>
          <w:bCs/>
          <w:sz w:val="14"/>
          <w:szCs w:val="14"/>
          <w:lang w:val="es-ES_tradnl"/>
        </w:rPr>
        <w:t>ó</w:t>
      </w:r>
      <w:r>
        <w:rPr>
          <w:b/>
          <w:bCs/>
          <w:sz w:val="14"/>
          <w:szCs w:val="14"/>
          <w:lang w:val="es-ES_tradnl"/>
        </w:rPr>
        <w:t>lo a las concebidos en los pactos y convenciones internacionales relacionados con la libertad personal y el debido proceso, sino que tambi</w:t>
      </w:r>
      <w:r>
        <w:rPr>
          <w:rFonts w:cs="Times New Roman"/>
          <w:b/>
          <w:bCs/>
          <w:sz w:val="14"/>
          <w:szCs w:val="14"/>
          <w:lang w:val="es-ES_tradnl"/>
        </w:rPr>
        <w:t>é</w:t>
      </w:r>
      <w:r>
        <w:rPr>
          <w:b/>
          <w:bCs/>
          <w:sz w:val="14"/>
          <w:szCs w:val="14"/>
          <w:lang w:val="es-ES_tradnl"/>
        </w:rPr>
        <w:t>n a la protecci</w:t>
      </w:r>
      <w:r>
        <w:rPr>
          <w:rFonts w:cs="Times New Roman"/>
          <w:b/>
          <w:bCs/>
          <w:sz w:val="14"/>
          <w:szCs w:val="14"/>
          <w:lang w:val="es-ES_tradnl"/>
        </w:rPr>
        <w:t>ó</w:t>
      </w:r>
      <w:r>
        <w:rPr>
          <w:b/>
          <w:bCs/>
          <w:sz w:val="14"/>
          <w:szCs w:val="14"/>
          <w:lang w:val="es-ES_tradnl"/>
        </w:rPr>
        <w:t>n de los datos personales del ser humano o que se vinculen con sus derechos, de manera que siendo el H</w:t>
      </w:r>
      <w:r>
        <w:rPr>
          <w:rFonts w:cs="Times New Roman"/>
          <w:b/>
          <w:bCs/>
          <w:sz w:val="14"/>
          <w:szCs w:val="14"/>
          <w:lang w:val="es-ES_tradnl"/>
        </w:rPr>
        <w:t>á</w:t>
      </w:r>
      <w:r>
        <w:rPr>
          <w:b/>
          <w:bCs/>
          <w:sz w:val="14"/>
          <w:szCs w:val="14"/>
          <w:lang w:val="es-ES_tradnl"/>
        </w:rPr>
        <w:t>beas Data una Garant</w:t>
      </w:r>
      <w:r>
        <w:rPr>
          <w:rFonts w:cs="Times New Roman"/>
          <w:b/>
          <w:bCs/>
          <w:sz w:val="14"/>
          <w:szCs w:val="14"/>
          <w:lang w:val="es-ES_tradnl"/>
        </w:rPr>
        <w:t>í</w:t>
      </w:r>
      <w:r>
        <w:rPr>
          <w:b/>
          <w:bCs/>
          <w:sz w:val="14"/>
          <w:szCs w:val="14"/>
          <w:lang w:val="es-ES_tradnl"/>
        </w:rPr>
        <w:t>a Constitucional creada para proteger el derecho humano de mantener el control de los datos que existan sobre su persona o sobre sus bienes,</w:t>
      </w:r>
    </w:p>
    <w:p w14:paraId="4F67AC1B" w14:textId="77777777" w:rsidR="00591D54" w:rsidRDefault="00591D54">
      <w:pPr>
        <w:shd w:val="clear" w:color="auto" w:fill="FFFFFF"/>
        <w:spacing w:before="557" w:line="178" w:lineRule="exact"/>
        <w:ind w:left="144" w:right="5" w:hanging="144"/>
        <w:jc w:val="both"/>
      </w:pPr>
      <w:r>
        <w:rPr>
          <w:sz w:val="14"/>
          <w:szCs w:val="14"/>
          <w:vertAlign w:val="superscript"/>
          <w:lang w:val="es-ES_tradnl"/>
        </w:rPr>
        <w:t>3</w:t>
      </w:r>
      <w:r>
        <w:rPr>
          <w:sz w:val="14"/>
          <w:szCs w:val="14"/>
          <w:lang w:val="es-ES_tradnl"/>
        </w:rPr>
        <w:t xml:space="preserve"> El Art</w:t>
      </w:r>
      <w:r>
        <w:rPr>
          <w:rFonts w:cs="Times New Roman"/>
          <w:sz w:val="14"/>
          <w:szCs w:val="14"/>
          <w:lang w:val="es-ES_tradnl"/>
        </w:rPr>
        <w:t>í</w:t>
      </w:r>
      <w:r>
        <w:rPr>
          <w:sz w:val="14"/>
          <w:szCs w:val="14"/>
          <w:lang w:val="es-ES_tradnl"/>
        </w:rPr>
        <w:t>culo 28 de la Ley de Modernizaci</w:t>
      </w:r>
      <w:r>
        <w:rPr>
          <w:rFonts w:cs="Times New Roman"/>
          <w:sz w:val="14"/>
          <w:szCs w:val="14"/>
          <w:lang w:val="es-ES_tradnl"/>
        </w:rPr>
        <w:t>ó</w:t>
      </w:r>
      <w:r>
        <w:rPr>
          <w:sz w:val="14"/>
          <w:szCs w:val="14"/>
          <w:lang w:val="es-ES_tradnl"/>
        </w:rPr>
        <w:t xml:space="preserve">n establece lo siguiente: </w:t>
      </w:r>
      <w:r>
        <w:rPr>
          <w:b/>
          <w:bCs/>
          <w:sz w:val="14"/>
          <w:szCs w:val="14"/>
          <w:lang w:val="es-ES_tradnl"/>
        </w:rPr>
        <w:t xml:space="preserve">Art. 28.- </w:t>
      </w:r>
      <w:r>
        <w:rPr>
          <w:sz w:val="14"/>
          <w:szCs w:val="14"/>
          <w:lang w:val="es-ES_tradnl"/>
        </w:rPr>
        <w:t xml:space="preserve">DERECHO DE PETICION.- Todo reclamo, solicitud o </w:t>
      </w:r>
      <w:r>
        <w:rPr>
          <w:spacing w:val="-2"/>
          <w:sz w:val="14"/>
          <w:szCs w:val="14"/>
          <w:lang w:val="es-ES_tradnl"/>
        </w:rPr>
        <w:t>pedido a una autoridad p</w:t>
      </w:r>
      <w:r>
        <w:rPr>
          <w:rFonts w:cs="Times New Roman"/>
          <w:spacing w:val="-2"/>
          <w:sz w:val="14"/>
          <w:szCs w:val="14"/>
          <w:lang w:val="es-ES_tradnl"/>
        </w:rPr>
        <w:t>ú</w:t>
      </w:r>
      <w:r>
        <w:rPr>
          <w:spacing w:val="-2"/>
          <w:sz w:val="14"/>
          <w:szCs w:val="14"/>
          <w:lang w:val="es-ES_tradnl"/>
        </w:rPr>
        <w:t>blica deber</w:t>
      </w:r>
      <w:r>
        <w:rPr>
          <w:rFonts w:cs="Times New Roman"/>
          <w:spacing w:val="-2"/>
          <w:sz w:val="14"/>
          <w:szCs w:val="14"/>
          <w:lang w:val="es-ES_tradnl"/>
        </w:rPr>
        <w:t>á</w:t>
      </w:r>
      <w:r>
        <w:rPr>
          <w:spacing w:val="-2"/>
          <w:sz w:val="14"/>
          <w:szCs w:val="14"/>
          <w:lang w:val="es-ES_tradnl"/>
        </w:rPr>
        <w:t xml:space="preserve"> ser resuelto en un t</w:t>
      </w:r>
      <w:r>
        <w:rPr>
          <w:rFonts w:cs="Times New Roman"/>
          <w:spacing w:val="-2"/>
          <w:sz w:val="14"/>
          <w:szCs w:val="14"/>
          <w:lang w:val="es-ES_tradnl"/>
        </w:rPr>
        <w:t>é</w:t>
      </w:r>
      <w:r>
        <w:rPr>
          <w:spacing w:val="-2"/>
          <w:sz w:val="14"/>
          <w:szCs w:val="14"/>
          <w:lang w:val="es-ES_tradnl"/>
        </w:rPr>
        <w:t xml:space="preserve">rmino no </w:t>
      </w:r>
      <w:r>
        <w:rPr>
          <w:spacing w:val="-4"/>
          <w:sz w:val="14"/>
          <w:szCs w:val="14"/>
          <w:lang w:val="es-ES_tradnl"/>
        </w:rPr>
        <w:t>mayor a quince d</w:t>
      </w:r>
      <w:r>
        <w:rPr>
          <w:rFonts w:cs="Times New Roman"/>
          <w:spacing w:val="-4"/>
          <w:sz w:val="14"/>
          <w:szCs w:val="14"/>
          <w:lang w:val="es-ES_tradnl"/>
        </w:rPr>
        <w:t>í</w:t>
      </w:r>
      <w:r>
        <w:rPr>
          <w:spacing w:val="-4"/>
          <w:sz w:val="14"/>
          <w:szCs w:val="14"/>
          <w:lang w:val="es-ES_tradnl"/>
        </w:rPr>
        <w:t>as, contados a partir de la fecha de su presentaci</w:t>
      </w:r>
      <w:r>
        <w:rPr>
          <w:rFonts w:cs="Times New Roman"/>
          <w:spacing w:val="-4"/>
          <w:sz w:val="14"/>
          <w:szCs w:val="14"/>
          <w:lang w:val="es-ES_tradnl"/>
        </w:rPr>
        <w:t>ó</w:t>
      </w:r>
      <w:r>
        <w:rPr>
          <w:spacing w:val="-4"/>
          <w:sz w:val="14"/>
          <w:szCs w:val="14"/>
          <w:lang w:val="es-ES_tradnl"/>
        </w:rPr>
        <w:t xml:space="preserve">n, </w:t>
      </w:r>
      <w:r>
        <w:rPr>
          <w:spacing w:val="-1"/>
          <w:sz w:val="14"/>
          <w:szCs w:val="14"/>
          <w:lang w:val="es-ES_tradnl"/>
        </w:rPr>
        <w:t>salvo que una norma legal expresamente se</w:t>
      </w:r>
      <w:r>
        <w:rPr>
          <w:rFonts w:cs="Times New Roman"/>
          <w:spacing w:val="-1"/>
          <w:sz w:val="14"/>
          <w:szCs w:val="14"/>
          <w:lang w:val="es-ES_tradnl"/>
        </w:rPr>
        <w:t>ñ</w:t>
      </w:r>
      <w:r>
        <w:rPr>
          <w:spacing w:val="-1"/>
          <w:sz w:val="14"/>
          <w:szCs w:val="14"/>
          <w:lang w:val="es-ES_tradnl"/>
        </w:rPr>
        <w:t>ale otro distinto. (</w:t>
      </w:r>
      <w:r>
        <w:rPr>
          <w:rFonts w:cs="Times New Roman"/>
          <w:spacing w:val="-1"/>
          <w:sz w:val="14"/>
          <w:szCs w:val="14"/>
          <w:lang w:val="es-ES_tradnl"/>
        </w:rPr>
        <w:t>…</w:t>
      </w:r>
      <w:r>
        <w:rPr>
          <w:spacing w:val="-1"/>
          <w:sz w:val="14"/>
          <w:szCs w:val="14"/>
          <w:lang w:val="es-ES_tradnl"/>
        </w:rPr>
        <w:t xml:space="preserve">). </w:t>
      </w:r>
      <w:r>
        <w:rPr>
          <w:spacing w:val="-3"/>
          <w:sz w:val="14"/>
          <w:szCs w:val="14"/>
          <w:lang w:val="es-ES_tradnl"/>
        </w:rPr>
        <w:t>En todos los casos vencido el respectivo t</w:t>
      </w:r>
      <w:r>
        <w:rPr>
          <w:rFonts w:cs="Times New Roman"/>
          <w:spacing w:val="-3"/>
          <w:sz w:val="14"/>
          <w:szCs w:val="14"/>
          <w:lang w:val="es-ES_tradnl"/>
        </w:rPr>
        <w:t>é</w:t>
      </w:r>
      <w:r>
        <w:rPr>
          <w:spacing w:val="-3"/>
          <w:sz w:val="14"/>
          <w:szCs w:val="14"/>
          <w:lang w:val="es-ES_tradnl"/>
        </w:rPr>
        <w:t>rmino se entender</w:t>
      </w:r>
      <w:r>
        <w:rPr>
          <w:rFonts w:cs="Times New Roman"/>
          <w:spacing w:val="-3"/>
          <w:sz w:val="14"/>
          <w:szCs w:val="14"/>
          <w:lang w:val="es-ES_tradnl"/>
        </w:rPr>
        <w:t>á</w:t>
      </w:r>
      <w:r>
        <w:rPr>
          <w:spacing w:val="-3"/>
          <w:sz w:val="14"/>
          <w:szCs w:val="14"/>
          <w:lang w:val="es-ES_tradnl"/>
        </w:rPr>
        <w:t xml:space="preserve"> por el </w:t>
      </w:r>
      <w:r>
        <w:rPr>
          <w:sz w:val="14"/>
          <w:szCs w:val="14"/>
          <w:lang w:val="es-ES_tradnl"/>
        </w:rPr>
        <w:t xml:space="preserve">silencio administrativo, que la solicitud o pedido ha sido aprobada </w:t>
      </w:r>
      <w:r>
        <w:rPr>
          <w:spacing w:val="-2"/>
          <w:sz w:val="14"/>
          <w:szCs w:val="14"/>
          <w:lang w:val="es-ES_tradnl"/>
        </w:rPr>
        <w:t>o que la reclamaci</w:t>
      </w:r>
      <w:r>
        <w:rPr>
          <w:rFonts w:cs="Times New Roman"/>
          <w:spacing w:val="-2"/>
          <w:sz w:val="14"/>
          <w:szCs w:val="14"/>
          <w:lang w:val="es-ES_tradnl"/>
        </w:rPr>
        <w:t>ó</w:t>
      </w:r>
      <w:r>
        <w:rPr>
          <w:spacing w:val="-2"/>
          <w:sz w:val="14"/>
          <w:szCs w:val="14"/>
          <w:lang w:val="es-ES_tradnl"/>
        </w:rPr>
        <w:t xml:space="preserve">n ha sido resuelta en favor del reclamante. Para </w:t>
      </w:r>
      <w:r>
        <w:rPr>
          <w:spacing w:val="-1"/>
          <w:sz w:val="14"/>
          <w:szCs w:val="14"/>
          <w:lang w:val="es-ES_tradnl"/>
        </w:rPr>
        <w:t>este efecto, el funcionario competente de la instituci</w:t>
      </w:r>
      <w:r>
        <w:rPr>
          <w:rFonts w:cs="Times New Roman"/>
          <w:spacing w:val="-1"/>
          <w:sz w:val="14"/>
          <w:szCs w:val="14"/>
          <w:lang w:val="es-ES_tradnl"/>
        </w:rPr>
        <w:t>ó</w:t>
      </w:r>
      <w:r>
        <w:rPr>
          <w:spacing w:val="-1"/>
          <w:sz w:val="14"/>
          <w:szCs w:val="14"/>
          <w:lang w:val="es-ES_tradnl"/>
        </w:rPr>
        <w:t>n del Estado tendr</w:t>
      </w:r>
      <w:r>
        <w:rPr>
          <w:rFonts w:cs="Times New Roman"/>
          <w:spacing w:val="-1"/>
          <w:sz w:val="14"/>
          <w:szCs w:val="14"/>
          <w:lang w:val="es-ES_tradnl"/>
        </w:rPr>
        <w:t>á</w:t>
      </w:r>
      <w:r>
        <w:rPr>
          <w:spacing w:val="-1"/>
          <w:sz w:val="14"/>
          <w:szCs w:val="14"/>
          <w:lang w:val="es-ES_tradnl"/>
        </w:rPr>
        <w:t xml:space="preserve"> la obligaci</w:t>
      </w:r>
      <w:r>
        <w:rPr>
          <w:rFonts w:cs="Times New Roman"/>
          <w:spacing w:val="-1"/>
          <w:sz w:val="14"/>
          <w:szCs w:val="14"/>
          <w:lang w:val="es-ES_tradnl"/>
        </w:rPr>
        <w:t>ó</w:t>
      </w:r>
      <w:r>
        <w:rPr>
          <w:spacing w:val="-1"/>
          <w:sz w:val="14"/>
          <w:szCs w:val="14"/>
          <w:lang w:val="es-ES_tradnl"/>
        </w:rPr>
        <w:t xml:space="preserve">n de entregar, a pedido del interesado, bajo pena </w:t>
      </w:r>
      <w:r>
        <w:rPr>
          <w:sz w:val="14"/>
          <w:szCs w:val="14"/>
          <w:lang w:val="es-ES_tradnl"/>
        </w:rPr>
        <w:t>de destituci</w:t>
      </w:r>
      <w:r>
        <w:rPr>
          <w:rFonts w:cs="Times New Roman"/>
          <w:sz w:val="14"/>
          <w:szCs w:val="14"/>
          <w:lang w:val="es-ES_tradnl"/>
        </w:rPr>
        <w:t>ó</w:t>
      </w:r>
      <w:r>
        <w:rPr>
          <w:sz w:val="14"/>
          <w:szCs w:val="14"/>
          <w:lang w:val="es-ES_tradnl"/>
        </w:rPr>
        <w:t>n, una certificaci</w:t>
      </w:r>
      <w:r>
        <w:rPr>
          <w:rFonts w:cs="Times New Roman"/>
          <w:sz w:val="14"/>
          <w:szCs w:val="14"/>
          <w:lang w:val="es-ES_tradnl"/>
        </w:rPr>
        <w:t>ó</w:t>
      </w:r>
      <w:r>
        <w:rPr>
          <w:sz w:val="14"/>
          <w:szCs w:val="14"/>
          <w:lang w:val="es-ES_tradnl"/>
        </w:rPr>
        <w:t>n que indique el vencimiento del t</w:t>
      </w:r>
      <w:r>
        <w:rPr>
          <w:rFonts w:cs="Times New Roman"/>
          <w:sz w:val="14"/>
          <w:szCs w:val="14"/>
          <w:lang w:val="es-ES_tradnl"/>
        </w:rPr>
        <w:t>é</w:t>
      </w:r>
      <w:r>
        <w:rPr>
          <w:sz w:val="14"/>
          <w:szCs w:val="14"/>
          <w:lang w:val="es-ES_tradnl"/>
        </w:rPr>
        <w:t>rmino antes mencionado, que servir</w:t>
      </w:r>
      <w:r>
        <w:rPr>
          <w:rFonts w:cs="Times New Roman"/>
          <w:sz w:val="14"/>
          <w:szCs w:val="14"/>
          <w:lang w:val="es-ES_tradnl"/>
        </w:rPr>
        <w:t>á</w:t>
      </w:r>
      <w:r>
        <w:rPr>
          <w:sz w:val="14"/>
          <w:szCs w:val="14"/>
          <w:lang w:val="es-ES_tradnl"/>
        </w:rPr>
        <w:t xml:space="preserve"> como instrumento p</w:t>
      </w:r>
      <w:r>
        <w:rPr>
          <w:rFonts w:cs="Times New Roman"/>
          <w:sz w:val="14"/>
          <w:szCs w:val="14"/>
          <w:lang w:val="es-ES_tradnl"/>
        </w:rPr>
        <w:t>ú</w:t>
      </w:r>
      <w:r>
        <w:rPr>
          <w:sz w:val="14"/>
          <w:szCs w:val="14"/>
          <w:lang w:val="es-ES_tradnl"/>
        </w:rPr>
        <w:t xml:space="preserve">blico para demostrar que el reclamo, solicitud o pedido ha sido resuelto </w:t>
      </w:r>
      <w:r>
        <w:rPr>
          <w:spacing w:val="-2"/>
          <w:sz w:val="14"/>
          <w:szCs w:val="14"/>
          <w:lang w:val="es-ES_tradnl"/>
        </w:rPr>
        <w:t xml:space="preserve">favorablemente por silencio administrativo, a fin de permitir al titular </w:t>
      </w:r>
      <w:r>
        <w:rPr>
          <w:sz w:val="14"/>
          <w:szCs w:val="14"/>
          <w:lang w:val="es-ES_tradnl"/>
        </w:rPr>
        <w:t>el ejercicio de los derechos que correspondan.</w:t>
      </w:r>
    </w:p>
    <w:p w14:paraId="4F67AC1C" w14:textId="77777777" w:rsidR="00591D54" w:rsidRDefault="00591D54">
      <w:pPr>
        <w:shd w:val="clear" w:color="auto" w:fill="FFFFFF"/>
        <w:spacing w:before="557" w:line="178" w:lineRule="exact"/>
        <w:ind w:left="144" w:right="5" w:hanging="144"/>
        <w:jc w:val="both"/>
        <w:sectPr w:rsidR="00591D54">
          <w:type w:val="continuous"/>
          <w:pgSz w:w="11909" w:h="16834"/>
          <w:pgMar w:top="1356" w:right="1304" w:bottom="360" w:left="1308" w:header="720" w:footer="720" w:gutter="0"/>
          <w:cols w:num="2" w:space="720" w:equalWidth="0">
            <w:col w:w="4305" w:space="682"/>
            <w:col w:w="4310"/>
          </w:cols>
          <w:noEndnote/>
        </w:sectPr>
      </w:pPr>
    </w:p>
    <w:p w14:paraId="4F67AC1D" w14:textId="77777777" w:rsidR="00591D54" w:rsidRDefault="00591D54">
      <w:pPr>
        <w:shd w:val="clear" w:color="auto" w:fill="FFFFFF"/>
        <w:tabs>
          <w:tab w:val="left" w:pos="5842"/>
        </w:tabs>
        <w:spacing w:after="226"/>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- 105</w:t>
      </w:r>
    </w:p>
    <w:p w14:paraId="4F67AC1E" w14:textId="77777777" w:rsidR="00591D54" w:rsidRDefault="00591D54">
      <w:pPr>
        <w:shd w:val="clear" w:color="auto" w:fill="FFFFFF"/>
        <w:tabs>
          <w:tab w:val="left" w:pos="5842"/>
        </w:tabs>
        <w:spacing w:after="226"/>
        <w:ind w:left="5"/>
        <w:sectPr w:rsidR="00591D54">
          <w:pgSz w:w="11909" w:h="16834"/>
          <w:pgMar w:top="1356" w:right="1309" w:bottom="360" w:left="1308" w:header="720" w:footer="720" w:gutter="0"/>
          <w:cols w:space="60"/>
          <w:noEndnote/>
        </w:sectPr>
      </w:pPr>
    </w:p>
    <w:p w14:paraId="4F67AC1F" w14:textId="77777777" w:rsidR="00591D54" w:rsidRDefault="00591D54">
      <w:pPr>
        <w:shd w:val="clear" w:color="auto" w:fill="FFFFFF"/>
        <w:spacing w:line="216" w:lineRule="exact"/>
        <w:ind w:left="283"/>
        <w:jc w:val="both"/>
      </w:pPr>
      <w:r>
        <w:rPr>
          <w:b/>
          <w:bCs/>
          <w:spacing w:val="-5"/>
          <w:sz w:val="16"/>
          <w:szCs w:val="16"/>
          <w:lang w:val="es-ES_tradnl"/>
        </w:rPr>
        <w:t xml:space="preserve">y para preservar sobre todo el derecho a la honra, a la </w:t>
      </w:r>
      <w:r>
        <w:rPr>
          <w:b/>
          <w:bCs/>
          <w:spacing w:val="-3"/>
          <w:sz w:val="16"/>
          <w:szCs w:val="16"/>
          <w:lang w:val="es-ES_tradnl"/>
        </w:rPr>
        <w:t>buena reputaci</w:t>
      </w:r>
      <w:r>
        <w:rPr>
          <w:rFonts w:cs="Times New Roman"/>
          <w:b/>
          <w:bCs/>
          <w:spacing w:val="-3"/>
          <w:sz w:val="16"/>
          <w:szCs w:val="16"/>
          <w:lang w:val="es-ES_tradnl"/>
        </w:rPr>
        <w:t>ó</w:t>
      </w:r>
      <w:r>
        <w:rPr>
          <w:b/>
          <w:bCs/>
          <w:spacing w:val="-3"/>
          <w:sz w:val="16"/>
          <w:szCs w:val="16"/>
          <w:lang w:val="es-ES_tradnl"/>
        </w:rPr>
        <w:t xml:space="preserve">n y a la intimidad personal y familiar, </w:t>
      </w:r>
      <w:r>
        <w:rPr>
          <w:b/>
          <w:bCs/>
          <w:spacing w:val="-4"/>
          <w:sz w:val="16"/>
          <w:szCs w:val="16"/>
          <w:lang w:val="es-ES_tradnl"/>
        </w:rPr>
        <w:t xml:space="preserve">consagrado en los numerales 18, 19 y 20 del Art. 66 de </w:t>
      </w:r>
      <w:r>
        <w:rPr>
          <w:b/>
          <w:bCs/>
          <w:spacing w:val="-5"/>
          <w:sz w:val="16"/>
          <w:szCs w:val="16"/>
          <w:lang w:val="es-ES_tradnl"/>
        </w:rPr>
        <w:t>la Constituci</w:t>
      </w:r>
      <w:r>
        <w:rPr>
          <w:rFonts w:cs="Times New Roman"/>
          <w:b/>
          <w:bCs/>
          <w:spacing w:val="-5"/>
          <w:sz w:val="16"/>
          <w:szCs w:val="16"/>
          <w:lang w:val="es-ES_tradnl"/>
        </w:rPr>
        <w:t>ó</w:t>
      </w:r>
      <w:r>
        <w:rPr>
          <w:b/>
          <w:bCs/>
          <w:spacing w:val="-5"/>
          <w:sz w:val="16"/>
          <w:szCs w:val="16"/>
          <w:lang w:val="es-ES_tradnl"/>
        </w:rPr>
        <w:t>n de la Rep</w:t>
      </w:r>
      <w:r>
        <w:rPr>
          <w:rFonts w:cs="Times New Roman"/>
          <w:b/>
          <w:bCs/>
          <w:spacing w:val="-5"/>
          <w:sz w:val="16"/>
          <w:szCs w:val="16"/>
          <w:lang w:val="es-ES_tradnl"/>
        </w:rPr>
        <w:t>ú</w:t>
      </w:r>
      <w:r>
        <w:rPr>
          <w:b/>
          <w:bCs/>
          <w:spacing w:val="-5"/>
          <w:sz w:val="16"/>
          <w:szCs w:val="16"/>
          <w:lang w:val="es-ES_tradnl"/>
        </w:rPr>
        <w:t xml:space="preserve">blica, al no haberse dado la </w:t>
      </w:r>
      <w:r>
        <w:rPr>
          <w:b/>
          <w:bCs/>
          <w:spacing w:val="-8"/>
          <w:sz w:val="16"/>
          <w:szCs w:val="16"/>
          <w:lang w:val="es-ES_tradnl"/>
        </w:rPr>
        <w:t xml:space="preserve">oportunidad o celeridad para atender tales requerimientos </w:t>
      </w:r>
      <w:r>
        <w:rPr>
          <w:b/>
          <w:bCs/>
          <w:spacing w:val="-6"/>
          <w:sz w:val="16"/>
          <w:szCs w:val="16"/>
          <w:lang w:val="es-ES_tradnl"/>
        </w:rPr>
        <w:t>que van en perjuicios del derecho a la informaci</w:t>
      </w:r>
      <w:r>
        <w:rPr>
          <w:rFonts w:cs="Times New Roman"/>
          <w:b/>
          <w:bCs/>
          <w:spacing w:val="-6"/>
          <w:sz w:val="16"/>
          <w:szCs w:val="16"/>
          <w:lang w:val="es-ES_tradnl"/>
        </w:rPr>
        <w:t>ó</w:t>
      </w:r>
      <w:r>
        <w:rPr>
          <w:b/>
          <w:bCs/>
          <w:spacing w:val="-6"/>
          <w:sz w:val="16"/>
          <w:szCs w:val="16"/>
          <w:lang w:val="es-ES_tradnl"/>
        </w:rPr>
        <w:t xml:space="preserve">n </w:t>
      </w:r>
      <w:r>
        <w:rPr>
          <w:spacing w:val="-6"/>
          <w:sz w:val="16"/>
          <w:szCs w:val="16"/>
          <w:lang w:val="es-ES_tradnl"/>
        </w:rPr>
        <w:t xml:space="preserve">de la </w:t>
      </w:r>
      <w:r>
        <w:rPr>
          <w:spacing w:val="-5"/>
          <w:sz w:val="16"/>
          <w:szCs w:val="16"/>
          <w:lang w:val="es-ES_tradnl"/>
        </w:rPr>
        <w:t>cual est</w:t>
      </w:r>
      <w:r>
        <w:rPr>
          <w:rFonts w:cs="Times New Roman"/>
          <w:spacing w:val="-5"/>
          <w:sz w:val="16"/>
          <w:szCs w:val="16"/>
          <w:lang w:val="es-ES_tradnl"/>
        </w:rPr>
        <w:t>á</w:t>
      </w:r>
      <w:r>
        <w:rPr>
          <w:spacing w:val="-5"/>
          <w:sz w:val="16"/>
          <w:szCs w:val="16"/>
          <w:lang w:val="es-ES_tradnl"/>
        </w:rPr>
        <w:t xml:space="preserve"> asistido quien lo solicita como lo dispone el Art. 92 de la Constituci</w:t>
      </w:r>
      <w:r>
        <w:rPr>
          <w:rFonts w:cs="Times New Roman"/>
          <w:spacing w:val="-5"/>
          <w:sz w:val="16"/>
          <w:szCs w:val="16"/>
          <w:lang w:val="es-ES_tradnl"/>
        </w:rPr>
        <w:t>ó</w:t>
      </w:r>
      <w:r>
        <w:rPr>
          <w:spacing w:val="-5"/>
          <w:sz w:val="16"/>
          <w:szCs w:val="16"/>
          <w:lang w:val="es-ES_tradnl"/>
        </w:rPr>
        <w:t>n de la Rep</w:t>
      </w:r>
      <w:r>
        <w:rPr>
          <w:rFonts w:cs="Times New Roman"/>
          <w:spacing w:val="-5"/>
          <w:sz w:val="16"/>
          <w:szCs w:val="16"/>
          <w:lang w:val="es-ES_tradnl"/>
        </w:rPr>
        <w:t>ú</w:t>
      </w:r>
      <w:r>
        <w:rPr>
          <w:spacing w:val="-5"/>
          <w:sz w:val="16"/>
          <w:szCs w:val="16"/>
          <w:lang w:val="es-ES_tradnl"/>
        </w:rPr>
        <w:t xml:space="preserve">blica, la Sala Penal de la Corte </w:t>
      </w:r>
      <w:r>
        <w:rPr>
          <w:spacing w:val="-1"/>
          <w:sz w:val="16"/>
          <w:szCs w:val="16"/>
          <w:lang w:val="es-ES_tradnl"/>
        </w:rPr>
        <w:t>Provincial de Justicia de Los R</w:t>
      </w:r>
      <w:r>
        <w:rPr>
          <w:rFonts w:cs="Times New Roman"/>
          <w:spacing w:val="-1"/>
          <w:sz w:val="16"/>
          <w:szCs w:val="16"/>
          <w:lang w:val="es-ES_tradnl"/>
        </w:rPr>
        <w:t>í</w:t>
      </w:r>
      <w:r>
        <w:rPr>
          <w:spacing w:val="-1"/>
          <w:sz w:val="16"/>
          <w:szCs w:val="16"/>
          <w:lang w:val="es-ES_tradnl"/>
        </w:rPr>
        <w:t xml:space="preserve">os, ADMINISTRANDO </w:t>
      </w:r>
      <w:r>
        <w:rPr>
          <w:spacing w:val="-2"/>
          <w:sz w:val="16"/>
          <w:szCs w:val="16"/>
          <w:lang w:val="es-ES_tradnl"/>
        </w:rPr>
        <w:t xml:space="preserve">JUSTICIA EN NOMBRE DEL PUEBLO SOBERANO DEL </w:t>
      </w:r>
      <w:r>
        <w:rPr>
          <w:spacing w:val="-3"/>
          <w:sz w:val="16"/>
          <w:szCs w:val="16"/>
          <w:lang w:val="es-ES_tradnl"/>
        </w:rPr>
        <w:t>ECUADOR Y POR AUTORIDAD DE LA CONSTITUCI</w:t>
      </w:r>
      <w:r>
        <w:rPr>
          <w:rFonts w:cs="Times New Roman"/>
          <w:spacing w:val="-3"/>
          <w:sz w:val="16"/>
          <w:szCs w:val="16"/>
          <w:lang w:val="es-ES_tradnl"/>
        </w:rPr>
        <w:t>Ó</w:t>
      </w:r>
      <w:r>
        <w:rPr>
          <w:spacing w:val="-3"/>
          <w:sz w:val="16"/>
          <w:szCs w:val="16"/>
          <w:lang w:val="es-ES_tradnl"/>
        </w:rPr>
        <w:t xml:space="preserve">N </w:t>
      </w:r>
      <w:r>
        <w:rPr>
          <w:spacing w:val="-5"/>
          <w:sz w:val="16"/>
          <w:szCs w:val="16"/>
          <w:lang w:val="es-ES_tradnl"/>
        </w:rPr>
        <w:t>Y LEYES DE LA REP</w:t>
      </w:r>
      <w:r>
        <w:rPr>
          <w:rFonts w:cs="Times New Roman"/>
          <w:spacing w:val="-5"/>
          <w:sz w:val="16"/>
          <w:szCs w:val="16"/>
          <w:lang w:val="es-ES_tradnl"/>
        </w:rPr>
        <w:t>Ú</w:t>
      </w:r>
      <w:r>
        <w:rPr>
          <w:spacing w:val="-5"/>
          <w:sz w:val="16"/>
          <w:szCs w:val="16"/>
          <w:lang w:val="es-ES_tradnl"/>
        </w:rPr>
        <w:t xml:space="preserve">BLICA, resuelve negar el recurso de </w:t>
      </w:r>
      <w:r>
        <w:rPr>
          <w:spacing w:val="-4"/>
          <w:sz w:val="16"/>
          <w:szCs w:val="16"/>
          <w:lang w:val="es-ES_tradnl"/>
        </w:rPr>
        <w:t>apelaci</w:t>
      </w:r>
      <w:r>
        <w:rPr>
          <w:rFonts w:cs="Times New Roman"/>
          <w:spacing w:val="-4"/>
          <w:sz w:val="16"/>
          <w:szCs w:val="16"/>
          <w:lang w:val="es-ES_tradnl"/>
        </w:rPr>
        <w:t>ó</w:t>
      </w:r>
      <w:r>
        <w:rPr>
          <w:spacing w:val="-4"/>
          <w:sz w:val="16"/>
          <w:szCs w:val="16"/>
          <w:lang w:val="es-ES_tradnl"/>
        </w:rPr>
        <w:t>n interpuesto por los representantes del Municipio del cant</w:t>
      </w:r>
      <w:r>
        <w:rPr>
          <w:rFonts w:cs="Times New Roman"/>
          <w:spacing w:val="-4"/>
          <w:sz w:val="16"/>
          <w:szCs w:val="16"/>
          <w:lang w:val="es-ES_tradnl"/>
        </w:rPr>
        <w:t>ó</w:t>
      </w:r>
      <w:r>
        <w:rPr>
          <w:spacing w:val="-4"/>
          <w:sz w:val="16"/>
          <w:szCs w:val="16"/>
          <w:lang w:val="es-ES_tradnl"/>
        </w:rPr>
        <w:t xml:space="preserve">n Mocache, y CONFIRMA en todas sus partes la </w:t>
      </w:r>
      <w:r>
        <w:rPr>
          <w:spacing w:val="-8"/>
          <w:sz w:val="16"/>
          <w:szCs w:val="16"/>
          <w:lang w:val="es-ES_tradnl"/>
        </w:rPr>
        <w:t xml:space="preserve">sentencia venida en grado, disponiendo devolver el proceso al </w:t>
      </w:r>
      <w:r>
        <w:rPr>
          <w:spacing w:val="-7"/>
          <w:sz w:val="16"/>
          <w:szCs w:val="16"/>
          <w:lang w:val="es-ES_tradnl"/>
        </w:rPr>
        <w:t xml:space="preserve">Juzgado de instancia inferior para que se ejecute lo ordenado </w:t>
      </w:r>
      <w:r>
        <w:rPr>
          <w:spacing w:val="-8"/>
          <w:sz w:val="16"/>
          <w:szCs w:val="16"/>
          <w:lang w:val="es-ES_tradnl"/>
        </w:rPr>
        <w:t>en sentencia. Rem</w:t>
      </w:r>
      <w:r>
        <w:rPr>
          <w:rFonts w:cs="Times New Roman"/>
          <w:spacing w:val="-8"/>
          <w:sz w:val="16"/>
          <w:szCs w:val="16"/>
          <w:lang w:val="es-ES_tradnl"/>
        </w:rPr>
        <w:t>í</w:t>
      </w:r>
      <w:r>
        <w:rPr>
          <w:spacing w:val="-8"/>
          <w:sz w:val="16"/>
          <w:szCs w:val="16"/>
          <w:lang w:val="es-ES_tradnl"/>
        </w:rPr>
        <w:t xml:space="preserve">tase las copias de esta sentencia a la Corte </w:t>
      </w:r>
      <w:r>
        <w:rPr>
          <w:spacing w:val="-3"/>
          <w:sz w:val="16"/>
          <w:szCs w:val="16"/>
          <w:lang w:val="es-ES_tradnl"/>
        </w:rPr>
        <w:t xml:space="preserve">Constitucional para los fines contemplados en el Art. 86.5 </w:t>
      </w:r>
      <w:r>
        <w:rPr>
          <w:spacing w:val="-4"/>
          <w:sz w:val="16"/>
          <w:szCs w:val="16"/>
          <w:lang w:val="es-ES_tradnl"/>
        </w:rPr>
        <w:t>de la Constituci</w:t>
      </w:r>
      <w:r>
        <w:rPr>
          <w:rFonts w:cs="Times New Roman"/>
          <w:spacing w:val="-4"/>
          <w:sz w:val="16"/>
          <w:szCs w:val="16"/>
          <w:lang w:val="es-ES_tradnl"/>
        </w:rPr>
        <w:t>ó</w:t>
      </w:r>
      <w:r>
        <w:rPr>
          <w:spacing w:val="-4"/>
          <w:sz w:val="16"/>
          <w:szCs w:val="16"/>
          <w:lang w:val="es-ES_tradnl"/>
        </w:rPr>
        <w:t>n de la Rep</w:t>
      </w:r>
      <w:r>
        <w:rPr>
          <w:rFonts w:cs="Times New Roman"/>
          <w:spacing w:val="-4"/>
          <w:sz w:val="16"/>
          <w:szCs w:val="16"/>
          <w:lang w:val="es-ES_tradnl"/>
        </w:rPr>
        <w:t>ú</w:t>
      </w:r>
      <w:r>
        <w:rPr>
          <w:spacing w:val="-4"/>
          <w:sz w:val="16"/>
          <w:szCs w:val="16"/>
          <w:lang w:val="es-ES_tradnl"/>
        </w:rPr>
        <w:t>blica. L</w:t>
      </w:r>
      <w:r>
        <w:rPr>
          <w:rFonts w:cs="Times New Roman"/>
          <w:spacing w:val="-4"/>
          <w:sz w:val="16"/>
          <w:szCs w:val="16"/>
          <w:lang w:val="es-ES_tradnl"/>
        </w:rPr>
        <w:t>é</w:t>
      </w:r>
      <w:r>
        <w:rPr>
          <w:spacing w:val="-4"/>
          <w:sz w:val="16"/>
          <w:szCs w:val="16"/>
          <w:lang w:val="es-ES_tradnl"/>
        </w:rPr>
        <w:t>ase y notif</w:t>
      </w:r>
      <w:r>
        <w:rPr>
          <w:rFonts w:cs="Times New Roman"/>
          <w:spacing w:val="-4"/>
          <w:sz w:val="16"/>
          <w:szCs w:val="16"/>
          <w:lang w:val="es-ES_tradnl"/>
        </w:rPr>
        <w:t>í</w:t>
      </w:r>
      <w:r>
        <w:rPr>
          <w:spacing w:val="-4"/>
          <w:sz w:val="16"/>
          <w:szCs w:val="16"/>
          <w:lang w:val="es-ES_tradnl"/>
        </w:rPr>
        <w:t xml:space="preserve">quese. (El </w:t>
      </w:r>
      <w:r>
        <w:rPr>
          <w:spacing w:val="-5"/>
          <w:sz w:val="16"/>
          <w:szCs w:val="16"/>
          <w:lang w:val="es-ES_tradnl"/>
        </w:rPr>
        <w:t>resaltado no corresponde a la transcripci</w:t>
      </w:r>
      <w:r>
        <w:rPr>
          <w:rFonts w:cs="Times New Roman"/>
          <w:spacing w:val="-5"/>
          <w:sz w:val="16"/>
          <w:szCs w:val="16"/>
          <w:lang w:val="es-ES_tradnl"/>
        </w:rPr>
        <w:t>ó</w:t>
      </w:r>
      <w:r>
        <w:rPr>
          <w:spacing w:val="-5"/>
          <w:sz w:val="16"/>
          <w:szCs w:val="16"/>
          <w:lang w:val="es-ES_tradnl"/>
        </w:rPr>
        <w:t>n).</w:t>
      </w:r>
    </w:p>
    <w:p w14:paraId="4F67AC20" w14:textId="77777777" w:rsidR="00591D54" w:rsidRDefault="00591D54">
      <w:pPr>
        <w:shd w:val="clear" w:color="auto" w:fill="FFFFFF"/>
        <w:spacing w:before="206" w:line="216" w:lineRule="exact"/>
        <w:ind w:right="5"/>
        <w:jc w:val="both"/>
      </w:pPr>
      <w:r>
        <w:rPr>
          <w:spacing w:val="-8"/>
          <w:sz w:val="18"/>
          <w:szCs w:val="18"/>
          <w:lang w:val="es-ES_tradnl"/>
        </w:rPr>
        <w:t xml:space="preserve">Del texto citado se puede colegir que los jueces de la Corte </w:t>
      </w:r>
      <w:r>
        <w:rPr>
          <w:spacing w:val="-3"/>
          <w:sz w:val="18"/>
          <w:szCs w:val="18"/>
          <w:lang w:val="es-ES_tradnl"/>
        </w:rPr>
        <w:t>Provincial de Justicia de Los R</w:t>
      </w:r>
      <w:r>
        <w:rPr>
          <w:rFonts w:cs="Times New Roman"/>
          <w:spacing w:val="-3"/>
          <w:sz w:val="18"/>
          <w:szCs w:val="18"/>
          <w:lang w:val="es-ES_tradnl"/>
        </w:rPr>
        <w:t>í</w:t>
      </w:r>
      <w:r>
        <w:rPr>
          <w:spacing w:val="-3"/>
          <w:sz w:val="18"/>
          <w:szCs w:val="18"/>
          <w:lang w:val="es-ES_tradnl"/>
        </w:rPr>
        <w:t xml:space="preserve">os concluyeron falta de </w:t>
      </w:r>
      <w:r>
        <w:rPr>
          <w:spacing w:val="-5"/>
          <w:sz w:val="18"/>
          <w:szCs w:val="18"/>
          <w:lang w:val="es-ES_tradnl"/>
        </w:rPr>
        <w:t>oportunidad y de celeridad por parte de la administraci</w:t>
      </w:r>
      <w:r>
        <w:rPr>
          <w:rFonts w:cs="Times New Roman"/>
          <w:spacing w:val="-5"/>
          <w:sz w:val="18"/>
          <w:szCs w:val="18"/>
          <w:lang w:val="es-ES_tradnl"/>
        </w:rPr>
        <w:t>ó</w:t>
      </w:r>
      <w:r>
        <w:rPr>
          <w:spacing w:val="-5"/>
          <w:sz w:val="18"/>
          <w:szCs w:val="18"/>
          <w:lang w:val="es-ES_tradnl"/>
        </w:rPr>
        <w:t xml:space="preserve">n </w:t>
      </w:r>
      <w:r>
        <w:rPr>
          <w:spacing w:val="-6"/>
          <w:sz w:val="18"/>
          <w:szCs w:val="18"/>
          <w:lang w:val="es-ES_tradnl"/>
        </w:rPr>
        <w:t xml:space="preserve">municipal para atender los requerimientos del legitimado </w:t>
      </w:r>
      <w:r>
        <w:rPr>
          <w:spacing w:val="-5"/>
          <w:sz w:val="18"/>
          <w:szCs w:val="18"/>
          <w:lang w:val="es-ES_tradnl"/>
        </w:rPr>
        <w:t>activo del h</w:t>
      </w:r>
      <w:r>
        <w:rPr>
          <w:rFonts w:cs="Times New Roman"/>
          <w:spacing w:val="-5"/>
          <w:sz w:val="18"/>
          <w:szCs w:val="18"/>
          <w:lang w:val="es-ES_tradnl"/>
        </w:rPr>
        <w:t>á</w:t>
      </w:r>
      <w:r>
        <w:rPr>
          <w:spacing w:val="-5"/>
          <w:sz w:val="18"/>
          <w:szCs w:val="18"/>
          <w:lang w:val="es-ES_tradnl"/>
        </w:rPr>
        <w:t xml:space="preserve">beas data en virtud del contenido </w:t>
      </w:r>
      <w:r>
        <w:rPr>
          <w:rFonts w:cs="Times New Roman"/>
          <w:spacing w:val="-5"/>
          <w:sz w:val="18"/>
          <w:szCs w:val="18"/>
          <w:lang w:val="es-ES_tradnl"/>
        </w:rPr>
        <w:t>ó</w:t>
      </w:r>
      <w:r>
        <w:rPr>
          <w:spacing w:val="-5"/>
          <w:sz w:val="18"/>
          <w:szCs w:val="18"/>
          <w:lang w:val="es-ES_tradnl"/>
        </w:rPr>
        <w:t xml:space="preserve">ntico del </w:t>
      </w:r>
      <w:r>
        <w:rPr>
          <w:spacing w:val="-9"/>
          <w:sz w:val="18"/>
          <w:szCs w:val="18"/>
          <w:lang w:val="es-ES_tradnl"/>
        </w:rPr>
        <w:t>derecho a la protecci</w:t>
      </w:r>
      <w:r>
        <w:rPr>
          <w:rFonts w:cs="Times New Roman"/>
          <w:spacing w:val="-9"/>
          <w:sz w:val="18"/>
          <w:szCs w:val="18"/>
          <w:lang w:val="es-ES_tradnl"/>
        </w:rPr>
        <w:t>ó</w:t>
      </w:r>
      <w:r>
        <w:rPr>
          <w:spacing w:val="-9"/>
          <w:sz w:val="18"/>
          <w:szCs w:val="18"/>
          <w:lang w:val="es-ES_tradnl"/>
        </w:rPr>
        <w:t xml:space="preserve">n de los datos personales, a la buena </w:t>
      </w:r>
      <w:r>
        <w:rPr>
          <w:spacing w:val="-1"/>
          <w:sz w:val="18"/>
          <w:szCs w:val="18"/>
          <w:lang w:val="es-ES_tradnl"/>
        </w:rPr>
        <w:t>reputaci</w:t>
      </w:r>
      <w:r>
        <w:rPr>
          <w:rFonts w:cs="Times New Roman"/>
          <w:spacing w:val="-1"/>
          <w:sz w:val="18"/>
          <w:szCs w:val="18"/>
          <w:lang w:val="es-ES_tradnl"/>
        </w:rPr>
        <w:t>ó</w:t>
      </w:r>
      <w:r>
        <w:rPr>
          <w:spacing w:val="-1"/>
          <w:sz w:val="18"/>
          <w:szCs w:val="18"/>
          <w:lang w:val="es-ES_tradnl"/>
        </w:rPr>
        <w:t xml:space="preserve">n y a la intimidad personal y familiar, sin que </w:t>
      </w:r>
      <w:r>
        <w:rPr>
          <w:spacing w:val="-3"/>
          <w:sz w:val="18"/>
          <w:szCs w:val="18"/>
          <w:lang w:val="es-ES_tradnl"/>
        </w:rPr>
        <w:t>se efect</w:t>
      </w:r>
      <w:r>
        <w:rPr>
          <w:rFonts w:cs="Times New Roman"/>
          <w:spacing w:val="-3"/>
          <w:sz w:val="18"/>
          <w:szCs w:val="18"/>
          <w:lang w:val="es-ES_tradnl"/>
        </w:rPr>
        <w:t>ú</w:t>
      </w:r>
      <w:r>
        <w:rPr>
          <w:spacing w:val="-3"/>
          <w:sz w:val="18"/>
          <w:szCs w:val="18"/>
          <w:lang w:val="es-ES_tradnl"/>
        </w:rPr>
        <w:t>e una verificaci</w:t>
      </w:r>
      <w:r>
        <w:rPr>
          <w:rFonts w:cs="Times New Roman"/>
          <w:spacing w:val="-3"/>
          <w:sz w:val="18"/>
          <w:szCs w:val="18"/>
          <w:lang w:val="es-ES_tradnl"/>
        </w:rPr>
        <w:t>ó</w:t>
      </w:r>
      <w:r>
        <w:rPr>
          <w:spacing w:val="-3"/>
          <w:sz w:val="18"/>
          <w:szCs w:val="18"/>
          <w:lang w:val="es-ES_tradnl"/>
        </w:rPr>
        <w:t xml:space="preserve">n de estos presupuestos con </w:t>
      </w:r>
      <w:r>
        <w:rPr>
          <w:spacing w:val="-5"/>
          <w:sz w:val="18"/>
          <w:szCs w:val="18"/>
          <w:lang w:val="es-ES_tradnl"/>
        </w:rPr>
        <w:t>los hechos alegados y demostrados que en el presente caso evidencian de manera inequ</w:t>
      </w:r>
      <w:r>
        <w:rPr>
          <w:rFonts w:cs="Times New Roman"/>
          <w:spacing w:val="-5"/>
          <w:sz w:val="18"/>
          <w:szCs w:val="18"/>
          <w:lang w:val="es-ES_tradnl"/>
        </w:rPr>
        <w:t>í</w:t>
      </w:r>
      <w:r>
        <w:rPr>
          <w:spacing w:val="-5"/>
          <w:sz w:val="18"/>
          <w:szCs w:val="18"/>
          <w:lang w:val="es-ES_tradnl"/>
        </w:rPr>
        <w:t xml:space="preserve">voca que el Gobierno </w:t>
      </w:r>
      <w:r>
        <w:rPr>
          <w:spacing w:val="-7"/>
          <w:sz w:val="18"/>
          <w:szCs w:val="18"/>
          <w:lang w:val="es-ES_tradnl"/>
        </w:rPr>
        <w:t>Aut</w:t>
      </w:r>
      <w:r>
        <w:rPr>
          <w:rFonts w:cs="Times New Roman"/>
          <w:spacing w:val="-7"/>
          <w:sz w:val="18"/>
          <w:szCs w:val="18"/>
          <w:lang w:val="es-ES_tradnl"/>
        </w:rPr>
        <w:t>ó</w:t>
      </w:r>
      <w:r>
        <w:rPr>
          <w:spacing w:val="-7"/>
          <w:sz w:val="18"/>
          <w:szCs w:val="18"/>
          <w:lang w:val="es-ES_tradnl"/>
        </w:rPr>
        <w:t>nomo Descentralizado Municipal del cant</w:t>
      </w:r>
      <w:r>
        <w:rPr>
          <w:rFonts w:cs="Times New Roman"/>
          <w:spacing w:val="-7"/>
          <w:sz w:val="18"/>
          <w:szCs w:val="18"/>
          <w:lang w:val="es-ES_tradnl"/>
        </w:rPr>
        <w:t>ó</w:t>
      </w:r>
      <w:r>
        <w:rPr>
          <w:spacing w:val="-7"/>
          <w:sz w:val="18"/>
          <w:szCs w:val="18"/>
          <w:lang w:val="es-ES_tradnl"/>
        </w:rPr>
        <w:t xml:space="preserve">n Mocache </w:t>
      </w:r>
      <w:r>
        <w:rPr>
          <w:spacing w:val="-6"/>
          <w:sz w:val="18"/>
          <w:szCs w:val="18"/>
          <w:lang w:val="es-ES_tradnl"/>
        </w:rPr>
        <w:t>jam</w:t>
      </w:r>
      <w:r>
        <w:rPr>
          <w:rFonts w:cs="Times New Roman"/>
          <w:spacing w:val="-6"/>
          <w:sz w:val="18"/>
          <w:szCs w:val="18"/>
          <w:lang w:val="es-ES_tradnl"/>
        </w:rPr>
        <w:t>á</w:t>
      </w:r>
      <w:r>
        <w:rPr>
          <w:spacing w:val="-6"/>
          <w:sz w:val="18"/>
          <w:szCs w:val="18"/>
          <w:lang w:val="es-ES_tradnl"/>
        </w:rPr>
        <w:t>s emiti</w:t>
      </w:r>
      <w:r>
        <w:rPr>
          <w:rFonts w:cs="Times New Roman"/>
          <w:spacing w:val="-6"/>
          <w:sz w:val="18"/>
          <w:szCs w:val="18"/>
          <w:lang w:val="es-ES_tradnl"/>
        </w:rPr>
        <w:t>ó</w:t>
      </w:r>
      <w:r>
        <w:rPr>
          <w:spacing w:val="-6"/>
          <w:sz w:val="18"/>
          <w:szCs w:val="18"/>
          <w:lang w:val="es-ES_tradnl"/>
        </w:rPr>
        <w:t xml:space="preserve"> negativa alguna a la solicitud de informaci</w:t>
      </w:r>
      <w:r>
        <w:rPr>
          <w:rFonts w:cs="Times New Roman"/>
          <w:spacing w:val="-6"/>
          <w:sz w:val="18"/>
          <w:szCs w:val="18"/>
          <w:lang w:val="es-ES_tradnl"/>
        </w:rPr>
        <w:t>ó</w:t>
      </w:r>
      <w:r>
        <w:rPr>
          <w:spacing w:val="-6"/>
          <w:sz w:val="18"/>
          <w:szCs w:val="18"/>
          <w:lang w:val="es-ES_tradnl"/>
        </w:rPr>
        <w:t xml:space="preserve">n </w:t>
      </w:r>
      <w:r>
        <w:rPr>
          <w:spacing w:val="-8"/>
          <w:sz w:val="18"/>
          <w:szCs w:val="18"/>
          <w:lang w:val="es-ES_tradnl"/>
        </w:rPr>
        <w:t>presentada por el accionante del h</w:t>
      </w:r>
      <w:r>
        <w:rPr>
          <w:rFonts w:cs="Times New Roman"/>
          <w:spacing w:val="-8"/>
          <w:sz w:val="18"/>
          <w:szCs w:val="18"/>
          <w:lang w:val="es-ES_tradnl"/>
        </w:rPr>
        <w:t>á</w:t>
      </w:r>
      <w:r>
        <w:rPr>
          <w:spacing w:val="-8"/>
          <w:sz w:val="18"/>
          <w:szCs w:val="18"/>
          <w:lang w:val="es-ES_tradnl"/>
        </w:rPr>
        <w:t xml:space="preserve">beas data y que esta </w:t>
      </w:r>
      <w:r>
        <w:rPr>
          <w:spacing w:val="-7"/>
          <w:sz w:val="18"/>
          <w:szCs w:val="18"/>
          <w:lang w:val="es-ES_tradnl"/>
        </w:rPr>
        <w:t>acci</w:t>
      </w:r>
      <w:r>
        <w:rPr>
          <w:rFonts w:cs="Times New Roman"/>
          <w:spacing w:val="-7"/>
          <w:sz w:val="18"/>
          <w:szCs w:val="18"/>
          <w:lang w:val="es-ES_tradnl"/>
        </w:rPr>
        <w:t>ó</w:t>
      </w:r>
      <w:r>
        <w:rPr>
          <w:spacing w:val="-7"/>
          <w:sz w:val="18"/>
          <w:szCs w:val="18"/>
          <w:lang w:val="es-ES_tradnl"/>
        </w:rPr>
        <w:t>n fue iniciada apenas dos d</w:t>
      </w:r>
      <w:r>
        <w:rPr>
          <w:rFonts w:cs="Times New Roman"/>
          <w:spacing w:val="-7"/>
          <w:sz w:val="18"/>
          <w:szCs w:val="18"/>
          <w:lang w:val="es-ES_tradnl"/>
        </w:rPr>
        <w:t>í</w:t>
      </w:r>
      <w:r>
        <w:rPr>
          <w:spacing w:val="-7"/>
          <w:sz w:val="18"/>
          <w:szCs w:val="18"/>
          <w:lang w:val="es-ES_tradnl"/>
        </w:rPr>
        <w:t>as despu</w:t>
      </w:r>
      <w:r>
        <w:rPr>
          <w:rFonts w:cs="Times New Roman"/>
          <w:spacing w:val="-7"/>
          <w:sz w:val="18"/>
          <w:szCs w:val="18"/>
          <w:lang w:val="es-ES_tradnl"/>
        </w:rPr>
        <w:t>é</w:t>
      </w:r>
      <w:r>
        <w:rPr>
          <w:spacing w:val="-7"/>
          <w:sz w:val="18"/>
          <w:szCs w:val="18"/>
          <w:lang w:val="es-ES_tradnl"/>
        </w:rPr>
        <w:t xml:space="preserve">s de haberse </w:t>
      </w:r>
      <w:r>
        <w:rPr>
          <w:spacing w:val="-4"/>
          <w:sz w:val="18"/>
          <w:szCs w:val="18"/>
          <w:lang w:val="es-ES_tradnl"/>
        </w:rPr>
        <w:t>efectuado el petitorio de informaci</w:t>
      </w:r>
      <w:r>
        <w:rPr>
          <w:rFonts w:cs="Times New Roman"/>
          <w:spacing w:val="-4"/>
          <w:sz w:val="18"/>
          <w:szCs w:val="18"/>
          <w:lang w:val="es-ES_tradnl"/>
        </w:rPr>
        <w:t>ó</w:t>
      </w:r>
      <w:r>
        <w:rPr>
          <w:spacing w:val="-4"/>
          <w:sz w:val="18"/>
          <w:szCs w:val="18"/>
          <w:lang w:val="es-ES_tradnl"/>
        </w:rPr>
        <w:t>n a la entidad p</w:t>
      </w:r>
      <w:r>
        <w:rPr>
          <w:rFonts w:cs="Times New Roman"/>
          <w:spacing w:val="-4"/>
          <w:sz w:val="18"/>
          <w:szCs w:val="18"/>
          <w:lang w:val="es-ES_tradnl"/>
        </w:rPr>
        <w:t>ú</w:t>
      </w:r>
      <w:r>
        <w:rPr>
          <w:spacing w:val="-4"/>
          <w:sz w:val="18"/>
          <w:szCs w:val="18"/>
          <w:lang w:val="es-ES_tradnl"/>
        </w:rPr>
        <w:t xml:space="preserve">blica demandada sin permitirle a la misma el estructurar una </w:t>
      </w:r>
      <w:r>
        <w:rPr>
          <w:spacing w:val="-5"/>
          <w:sz w:val="18"/>
          <w:szCs w:val="18"/>
          <w:lang w:val="es-ES_tradnl"/>
        </w:rPr>
        <w:t>respuesta debidamente fundamentada ni la recopilaci</w:t>
      </w:r>
      <w:r>
        <w:rPr>
          <w:rFonts w:cs="Times New Roman"/>
          <w:spacing w:val="-5"/>
          <w:sz w:val="18"/>
          <w:szCs w:val="18"/>
          <w:lang w:val="es-ES_tradnl"/>
        </w:rPr>
        <w:t>ó</w:t>
      </w:r>
      <w:r>
        <w:rPr>
          <w:spacing w:val="-5"/>
          <w:sz w:val="18"/>
          <w:szCs w:val="18"/>
          <w:lang w:val="es-ES_tradnl"/>
        </w:rPr>
        <w:t xml:space="preserve">n </w:t>
      </w:r>
      <w:r>
        <w:rPr>
          <w:spacing w:val="-4"/>
          <w:sz w:val="18"/>
          <w:szCs w:val="18"/>
          <w:lang w:val="es-ES_tradnl"/>
        </w:rPr>
        <w:t xml:space="preserve">de los instrumentos solicitados, lo que evidencia una </w:t>
      </w:r>
      <w:r>
        <w:rPr>
          <w:spacing w:val="-3"/>
          <w:sz w:val="18"/>
          <w:szCs w:val="18"/>
          <w:lang w:val="es-ES_tradnl"/>
        </w:rPr>
        <w:t xml:space="preserve">incoherencia entre los hechos sometidos al examen </w:t>
      </w:r>
      <w:r>
        <w:rPr>
          <w:spacing w:val="-4"/>
          <w:sz w:val="18"/>
          <w:szCs w:val="18"/>
          <w:lang w:val="es-ES_tradnl"/>
        </w:rPr>
        <w:t>jur</w:t>
      </w:r>
      <w:r>
        <w:rPr>
          <w:rFonts w:cs="Times New Roman"/>
          <w:spacing w:val="-4"/>
          <w:sz w:val="18"/>
          <w:szCs w:val="18"/>
          <w:lang w:val="es-ES_tradnl"/>
        </w:rPr>
        <w:t>í</w:t>
      </w:r>
      <w:r>
        <w:rPr>
          <w:spacing w:val="-4"/>
          <w:sz w:val="18"/>
          <w:szCs w:val="18"/>
          <w:lang w:val="es-ES_tradnl"/>
        </w:rPr>
        <w:t>dico de los juzgadores frente a la norma jur</w:t>
      </w:r>
      <w:r>
        <w:rPr>
          <w:rFonts w:cs="Times New Roman"/>
          <w:spacing w:val="-4"/>
          <w:sz w:val="18"/>
          <w:szCs w:val="18"/>
          <w:lang w:val="es-ES_tradnl"/>
        </w:rPr>
        <w:t>í</w:t>
      </w:r>
      <w:r>
        <w:rPr>
          <w:spacing w:val="-4"/>
          <w:sz w:val="18"/>
          <w:szCs w:val="18"/>
          <w:lang w:val="es-ES_tradnl"/>
        </w:rPr>
        <w:t xml:space="preserve">dica que </w:t>
      </w:r>
      <w:r>
        <w:rPr>
          <w:spacing w:val="-5"/>
          <w:sz w:val="18"/>
          <w:szCs w:val="18"/>
          <w:lang w:val="es-ES_tradnl"/>
        </w:rPr>
        <w:t xml:space="preserve">se pretende aplicar en especial, en lo relacionado con el </w:t>
      </w:r>
      <w:r>
        <w:rPr>
          <w:spacing w:val="-8"/>
          <w:sz w:val="18"/>
          <w:szCs w:val="18"/>
          <w:lang w:val="es-ES_tradnl"/>
        </w:rPr>
        <w:t>acto que da origen a la presunta vulneraci</w:t>
      </w:r>
      <w:r>
        <w:rPr>
          <w:rFonts w:cs="Times New Roman"/>
          <w:spacing w:val="-8"/>
          <w:sz w:val="18"/>
          <w:szCs w:val="18"/>
          <w:lang w:val="es-ES_tradnl"/>
        </w:rPr>
        <w:t>ó</w:t>
      </w:r>
      <w:r>
        <w:rPr>
          <w:spacing w:val="-8"/>
          <w:sz w:val="18"/>
          <w:szCs w:val="18"/>
          <w:lang w:val="es-ES_tradnl"/>
        </w:rPr>
        <w:t xml:space="preserve">n de derechos y </w:t>
      </w:r>
      <w:r>
        <w:rPr>
          <w:spacing w:val="-5"/>
          <w:sz w:val="18"/>
          <w:szCs w:val="18"/>
          <w:lang w:val="es-ES_tradnl"/>
        </w:rPr>
        <w:t>que permite iniciar la garant</w:t>
      </w:r>
      <w:r>
        <w:rPr>
          <w:rFonts w:cs="Times New Roman"/>
          <w:spacing w:val="-5"/>
          <w:sz w:val="18"/>
          <w:szCs w:val="18"/>
          <w:lang w:val="es-ES_tradnl"/>
        </w:rPr>
        <w:t>í</w:t>
      </w:r>
      <w:r>
        <w:rPr>
          <w:spacing w:val="-5"/>
          <w:sz w:val="18"/>
          <w:szCs w:val="18"/>
          <w:lang w:val="es-ES_tradnl"/>
        </w:rPr>
        <w:t xml:space="preserve">a jurisdiccional activada, que </w:t>
      </w:r>
      <w:r>
        <w:rPr>
          <w:spacing w:val="-7"/>
          <w:sz w:val="18"/>
          <w:szCs w:val="18"/>
          <w:lang w:val="es-ES_tradnl"/>
        </w:rPr>
        <w:t>es presupuesto inevitable para la procedencia de la acci</w:t>
      </w:r>
      <w:r>
        <w:rPr>
          <w:rFonts w:cs="Times New Roman"/>
          <w:spacing w:val="-7"/>
          <w:sz w:val="18"/>
          <w:szCs w:val="18"/>
          <w:lang w:val="es-ES_tradnl"/>
        </w:rPr>
        <w:t>ó</w:t>
      </w:r>
      <w:r>
        <w:rPr>
          <w:spacing w:val="-7"/>
          <w:sz w:val="18"/>
          <w:szCs w:val="18"/>
          <w:lang w:val="es-ES_tradnl"/>
        </w:rPr>
        <w:t xml:space="preserve">n </w:t>
      </w:r>
      <w:r>
        <w:rPr>
          <w:spacing w:val="-5"/>
          <w:sz w:val="18"/>
          <w:szCs w:val="18"/>
          <w:lang w:val="es-ES_tradnl"/>
        </w:rPr>
        <w:t xml:space="preserve">constitucional en este caso, la denegatoria de la solicitud </w:t>
      </w:r>
      <w:r>
        <w:rPr>
          <w:spacing w:val="-3"/>
          <w:sz w:val="18"/>
          <w:szCs w:val="18"/>
          <w:lang w:val="es-ES_tradnl"/>
        </w:rPr>
        <w:t>de informaci</w:t>
      </w:r>
      <w:r>
        <w:rPr>
          <w:rFonts w:cs="Times New Roman"/>
          <w:spacing w:val="-3"/>
          <w:sz w:val="18"/>
          <w:szCs w:val="18"/>
          <w:lang w:val="es-ES_tradnl"/>
        </w:rPr>
        <w:t>ó</w:t>
      </w:r>
      <w:r>
        <w:rPr>
          <w:spacing w:val="-3"/>
          <w:sz w:val="18"/>
          <w:szCs w:val="18"/>
          <w:lang w:val="es-ES_tradnl"/>
        </w:rPr>
        <w:t>n de conformidad con el art</w:t>
      </w:r>
      <w:r>
        <w:rPr>
          <w:rFonts w:cs="Times New Roman"/>
          <w:spacing w:val="-3"/>
          <w:sz w:val="18"/>
          <w:szCs w:val="18"/>
          <w:lang w:val="es-ES_tradnl"/>
        </w:rPr>
        <w:t>í</w:t>
      </w:r>
      <w:r>
        <w:rPr>
          <w:spacing w:val="-3"/>
          <w:sz w:val="18"/>
          <w:szCs w:val="18"/>
          <w:lang w:val="es-ES_tradnl"/>
        </w:rPr>
        <w:t xml:space="preserve">culo 50 de la </w:t>
      </w:r>
      <w:r>
        <w:rPr>
          <w:spacing w:val="-4"/>
          <w:sz w:val="18"/>
          <w:szCs w:val="18"/>
          <w:lang w:val="es-ES_tradnl"/>
        </w:rPr>
        <w:t>Ley Org</w:t>
      </w:r>
      <w:r>
        <w:rPr>
          <w:rFonts w:cs="Times New Roman"/>
          <w:spacing w:val="-4"/>
          <w:sz w:val="18"/>
          <w:szCs w:val="18"/>
          <w:lang w:val="es-ES_tradnl"/>
        </w:rPr>
        <w:t>á</w:t>
      </w:r>
      <w:r>
        <w:rPr>
          <w:spacing w:val="-4"/>
          <w:sz w:val="18"/>
          <w:szCs w:val="18"/>
          <w:lang w:val="es-ES_tradnl"/>
        </w:rPr>
        <w:t>nica de Garant</w:t>
      </w:r>
      <w:r>
        <w:rPr>
          <w:rFonts w:cs="Times New Roman"/>
          <w:spacing w:val="-4"/>
          <w:sz w:val="18"/>
          <w:szCs w:val="18"/>
          <w:lang w:val="es-ES_tradnl"/>
        </w:rPr>
        <w:t>í</w:t>
      </w:r>
      <w:r>
        <w:rPr>
          <w:spacing w:val="-4"/>
          <w:sz w:val="18"/>
          <w:szCs w:val="18"/>
          <w:lang w:val="es-ES_tradnl"/>
        </w:rPr>
        <w:t xml:space="preserve">as Jurisdiccionales y Control </w:t>
      </w:r>
      <w:r>
        <w:rPr>
          <w:spacing w:val="-3"/>
          <w:sz w:val="18"/>
          <w:szCs w:val="18"/>
          <w:lang w:val="es-ES_tradnl"/>
        </w:rPr>
        <w:t xml:space="preserve">Constitucional. De esta forma se puede determinar que </w:t>
      </w:r>
      <w:r>
        <w:rPr>
          <w:spacing w:val="-4"/>
          <w:sz w:val="18"/>
          <w:szCs w:val="18"/>
          <w:lang w:val="es-ES_tradnl"/>
        </w:rPr>
        <w:t>la sentencia que es objeto de la presente acci</w:t>
      </w:r>
      <w:r>
        <w:rPr>
          <w:rFonts w:cs="Times New Roman"/>
          <w:spacing w:val="-4"/>
          <w:sz w:val="18"/>
          <w:szCs w:val="18"/>
          <w:lang w:val="es-ES_tradnl"/>
        </w:rPr>
        <w:t>ó</w:t>
      </w:r>
      <w:r>
        <w:rPr>
          <w:spacing w:val="-4"/>
          <w:sz w:val="18"/>
          <w:szCs w:val="18"/>
          <w:lang w:val="es-ES_tradnl"/>
        </w:rPr>
        <w:t>n carece de juridicidad, cuesti</w:t>
      </w:r>
      <w:r>
        <w:rPr>
          <w:rFonts w:cs="Times New Roman"/>
          <w:spacing w:val="-4"/>
          <w:sz w:val="18"/>
          <w:szCs w:val="18"/>
          <w:lang w:val="es-ES_tradnl"/>
        </w:rPr>
        <w:t>ó</w:t>
      </w:r>
      <w:r>
        <w:rPr>
          <w:spacing w:val="-4"/>
          <w:sz w:val="18"/>
          <w:szCs w:val="18"/>
          <w:lang w:val="es-ES_tradnl"/>
        </w:rPr>
        <w:t>n que produce una vulneraci</w:t>
      </w:r>
      <w:r>
        <w:rPr>
          <w:rFonts w:cs="Times New Roman"/>
          <w:spacing w:val="-4"/>
          <w:sz w:val="18"/>
          <w:szCs w:val="18"/>
          <w:lang w:val="es-ES_tradnl"/>
        </w:rPr>
        <w:t>ó</w:t>
      </w:r>
      <w:r>
        <w:rPr>
          <w:spacing w:val="-4"/>
          <w:sz w:val="18"/>
          <w:szCs w:val="18"/>
          <w:lang w:val="es-ES_tradnl"/>
        </w:rPr>
        <w:t xml:space="preserve">n al </w:t>
      </w:r>
      <w:r>
        <w:rPr>
          <w:sz w:val="18"/>
          <w:szCs w:val="18"/>
          <w:lang w:val="es-ES_tradnl"/>
        </w:rPr>
        <w:t>derecho a la seguridad jur</w:t>
      </w:r>
      <w:r>
        <w:rPr>
          <w:rFonts w:cs="Times New Roman"/>
          <w:sz w:val="18"/>
          <w:szCs w:val="18"/>
          <w:lang w:val="es-ES_tradnl"/>
        </w:rPr>
        <w:t>í</w:t>
      </w:r>
      <w:r>
        <w:rPr>
          <w:sz w:val="18"/>
          <w:szCs w:val="18"/>
          <w:lang w:val="es-ES_tradnl"/>
        </w:rPr>
        <w:t>dica.</w:t>
      </w:r>
    </w:p>
    <w:p w14:paraId="4F67AC21" w14:textId="77777777" w:rsidR="00591D54" w:rsidRDefault="00591D54">
      <w:pPr>
        <w:shd w:val="clear" w:color="auto" w:fill="FFFFFF"/>
        <w:spacing w:before="197" w:line="216" w:lineRule="exact"/>
        <w:ind w:right="5"/>
        <w:jc w:val="both"/>
      </w:pPr>
      <w:r>
        <w:rPr>
          <w:spacing w:val="-2"/>
          <w:sz w:val="18"/>
          <w:szCs w:val="18"/>
          <w:lang w:val="es-ES_tradnl"/>
        </w:rPr>
        <w:t>En conclusi</w:t>
      </w:r>
      <w:r>
        <w:rPr>
          <w:rFonts w:cs="Times New Roman"/>
          <w:spacing w:val="-2"/>
          <w:sz w:val="18"/>
          <w:szCs w:val="18"/>
          <w:lang w:val="es-ES_tradnl"/>
        </w:rPr>
        <w:t>ó</w:t>
      </w:r>
      <w:r>
        <w:rPr>
          <w:spacing w:val="-2"/>
          <w:sz w:val="18"/>
          <w:szCs w:val="18"/>
          <w:lang w:val="es-ES_tradnl"/>
        </w:rPr>
        <w:t>n, de todo el an</w:t>
      </w:r>
      <w:r>
        <w:rPr>
          <w:rFonts w:cs="Times New Roman"/>
          <w:spacing w:val="-2"/>
          <w:sz w:val="18"/>
          <w:szCs w:val="18"/>
          <w:lang w:val="es-ES_tradnl"/>
        </w:rPr>
        <w:t>á</w:t>
      </w:r>
      <w:r>
        <w:rPr>
          <w:spacing w:val="-2"/>
          <w:sz w:val="18"/>
          <w:szCs w:val="18"/>
          <w:lang w:val="es-ES_tradnl"/>
        </w:rPr>
        <w:t xml:space="preserve">lisis efectuado </w:t>
      </w:r>
      <w:r>
        <w:rPr>
          <w:i/>
          <w:iCs/>
          <w:spacing w:val="-2"/>
          <w:sz w:val="18"/>
          <w:szCs w:val="18"/>
          <w:lang w:val="es-ES_tradnl"/>
        </w:rPr>
        <w:t>ut supra</w:t>
      </w:r>
      <w:r>
        <w:rPr>
          <w:spacing w:val="-2"/>
          <w:sz w:val="18"/>
          <w:szCs w:val="18"/>
          <w:lang w:val="es-ES_tradnl"/>
        </w:rPr>
        <w:t xml:space="preserve">, </w:t>
      </w:r>
      <w:r>
        <w:rPr>
          <w:spacing w:val="-3"/>
          <w:sz w:val="18"/>
          <w:szCs w:val="18"/>
          <w:lang w:val="es-ES_tradnl"/>
        </w:rPr>
        <w:t xml:space="preserve">esta Corte determina que la sentencia expedida por la </w:t>
      </w:r>
      <w:r>
        <w:rPr>
          <w:spacing w:val="-5"/>
          <w:sz w:val="18"/>
          <w:szCs w:val="18"/>
          <w:lang w:val="es-ES_tradnl"/>
        </w:rPr>
        <w:t>Sala Especializada de lo Penal de la Corte Provincial de Justicia de Los R</w:t>
      </w:r>
      <w:r>
        <w:rPr>
          <w:rFonts w:cs="Times New Roman"/>
          <w:spacing w:val="-5"/>
          <w:sz w:val="18"/>
          <w:szCs w:val="18"/>
          <w:lang w:val="es-ES_tradnl"/>
        </w:rPr>
        <w:t>í</w:t>
      </w:r>
      <w:r>
        <w:rPr>
          <w:spacing w:val="-5"/>
          <w:sz w:val="18"/>
          <w:szCs w:val="18"/>
          <w:lang w:val="es-ES_tradnl"/>
        </w:rPr>
        <w:t xml:space="preserve">os vulnera el derecho a la seguridad </w:t>
      </w:r>
      <w:r>
        <w:rPr>
          <w:sz w:val="18"/>
          <w:szCs w:val="18"/>
          <w:lang w:val="es-ES_tradnl"/>
        </w:rPr>
        <w:t>jur</w:t>
      </w:r>
      <w:r>
        <w:rPr>
          <w:rFonts w:cs="Times New Roman"/>
          <w:sz w:val="18"/>
          <w:szCs w:val="18"/>
          <w:lang w:val="es-ES_tradnl"/>
        </w:rPr>
        <w:t>í</w:t>
      </w:r>
      <w:r>
        <w:rPr>
          <w:sz w:val="18"/>
          <w:szCs w:val="18"/>
          <w:lang w:val="es-ES_tradnl"/>
        </w:rPr>
        <w:t>dica contenido en el art</w:t>
      </w:r>
      <w:r>
        <w:rPr>
          <w:rFonts w:cs="Times New Roman"/>
          <w:sz w:val="18"/>
          <w:szCs w:val="18"/>
          <w:lang w:val="es-ES_tradnl"/>
        </w:rPr>
        <w:t>í</w:t>
      </w:r>
      <w:r>
        <w:rPr>
          <w:sz w:val="18"/>
          <w:szCs w:val="18"/>
          <w:lang w:val="es-ES_tradnl"/>
        </w:rPr>
        <w:t>culo 82 de la Constituci</w:t>
      </w:r>
      <w:r>
        <w:rPr>
          <w:rFonts w:cs="Times New Roman"/>
          <w:sz w:val="18"/>
          <w:szCs w:val="18"/>
          <w:lang w:val="es-ES_tradnl"/>
        </w:rPr>
        <w:t>ó</w:t>
      </w:r>
      <w:r>
        <w:rPr>
          <w:sz w:val="18"/>
          <w:szCs w:val="18"/>
          <w:lang w:val="es-ES_tradnl"/>
        </w:rPr>
        <w:t xml:space="preserve">n </w:t>
      </w:r>
      <w:r>
        <w:rPr>
          <w:spacing w:val="-2"/>
          <w:sz w:val="18"/>
          <w:szCs w:val="18"/>
          <w:lang w:val="es-ES_tradnl"/>
        </w:rPr>
        <w:t>de la Rep</w:t>
      </w:r>
      <w:r>
        <w:rPr>
          <w:rFonts w:cs="Times New Roman"/>
          <w:spacing w:val="-2"/>
          <w:sz w:val="18"/>
          <w:szCs w:val="18"/>
          <w:lang w:val="es-ES_tradnl"/>
        </w:rPr>
        <w:t>ú</w:t>
      </w:r>
      <w:r>
        <w:rPr>
          <w:spacing w:val="-2"/>
          <w:sz w:val="18"/>
          <w:szCs w:val="18"/>
          <w:lang w:val="es-ES_tradnl"/>
        </w:rPr>
        <w:t xml:space="preserve">blica del Ecuador por cuanto ratifica el fallo </w:t>
      </w:r>
      <w:r>
        <w:rPr>
          <w:spacing w:val="-5"/>
          <w:sz w:val="18"/>
          <w:szCs w:val="18"/>
          <w:lang w:val="es-ES_tradnl"/>
        </w:rPr>
        <w:t>de primera instancia que declara con lugar la acci</w:t>
      </w:r>
      <w:r>
        <w:rPr>
          <w:rFonts w:cs="Times New Roman"/>
          <w:spacing w:val="-5"/>
          <w:sz w:val="18"/>
          <w:szCs w:val="18"/>
          <w:lang w:val="es-ES_tradnl"/>
        </w:rPr>
        <w:t>ó</w:t>
      </w:r>
      <w:r>
        <w:rPr>
          <w:spacing w:val="-5"/>
          <w:sz w:val="18"/>
          <w:szCs w:val="18"/>
          <w:lang w:val="es-ES_tradnl"/>
        </w:rPr>
        <w:t xml:space="preserve">n de </w:t>
      </w:r>
      <w:r>
        <w:rPr>
          <w:spacing w:val="-6"/>
          <w:sz w:val="18"/>
          <w:szCs w:val="18"/>
          <w:lang w:val="es-ES_tradnl"/>
        </w:rPr>
        <w:t>h</w:t>
      </w:r>
      <w:r>
        <w:rPr>
          <w:rFonts w:cs="Times New Roman"/>
          <w:spacing w:val="-6"/>
          <w:sz w:val="18"/>
          <w:szCs w:val="18"/>
          <w:lang w:val="es-ES_tradnl"/>
        </w:rPr>
        <w:t>á</w:t>
      </w:r>
      <w:r>
        <w:rPr>
          <w:spacing w:val="-6"/>
          <w:sz w:val="18"/>
          <w:szCs w:val="18"/>
          <w:lang w:val="es-ES_tradnl"/>
        </w:rPr>
        <w:t xml:space="preserve">beas data sin considerar los presupuestos que dan a </w:t>
      </w:r>
      <w:r>
        <w:rPr>
          <w:spacing w:val="-7"/>
          <w:sz w:val="18"/>
          <w:szCs w:val="18"/>
          <w:lang w:val="es-ES_tradnl"/>
        </w:rPr>
        <w:t>lugar a la interposici</w:t>
      </w:r>
      <w:r>
        <w:rPr>
          <w:rFonts w:cs="Times New Roman"/>
          <w:spacing w:val="-7"/>
          <w:sz w:val="18"/>
          <w:szCs w:val="18"/>
          <w:lang w:val="es-ES_tradnl"/>
        </w:rPr>
        <w:t>ó</w:t>
      </w:r>
      <w:r>
        <w:rPr>
          <w:spacing w:val="-7"/>
          <w:sz w:val="18"/>
          <w:szCs w:val="18"/>
          <w:lang w:val="es-ES_tradnl"/>
        </w:rPr>
        <w:t>n de la garant</w:t>
      </w:r>
      <w:r>
        <w:rPr>
          <w:rFonts w:cs="Times New Roman"/>
          <w:spacing w:val="-7"/>
          <w:sz w:val="18"/>
          <w:szCs w:val="18"/>
          <w:lang w:val="es-ES_tradnl"/>
        </w:rPr>
        <w:t>í</w:t>
      </w:r>
      <w:r>
        <w:rPr>
          <w:spacing w:val="-7"/>
          <w:sz w:val="18"/>
          <w:szCs w:val="18"/>
          <w:lang w:val="es-ES_tradnl"/>
        </w:rPr>
        <w:t>a jurisdiccional, que se</w:t>
      </w:r>
    </w:p>
    <w:p w14:paraId="4F67AC22" w14:textId="77777777" w:rsidR="00591D54" w:rsidRDefault="00591D54">
      <w:pPr>
        <w:shd w:val="clear" w:color="auto" w:fill="FFFFFF"/>
        <w:spacing w:before="5" w:line="226" w:lineRule="exact"/>
        <w:jc w:val="both"/>
      </w:pPr>
      <w:r>
        <w:br w:type="column"/>
      </w:r>
      <w:r>
        <w:rPr>
          <w:spacing w:val="-7"/>
          <w:sz w:val="18"/>
          <w:szCs w:val="18"/>
          <w:lang w:val="es-ES_tradnl"/>
        </w:rPr>
        <w:t>encuentran contenidos en el art</w:t>
      </w:r>
      <w:r>
        <w:rPr>
          <w:rFonts w:cs="Times New Roman"/>
          <w:spacing w:val="-7"/>
          <w:sz w:val="18"/>
          <w:szCs w:val="18"/>
          <w:lang w:val="es-ES_tradnl"/>
        </w:rPr>
        <w:t>í</w:t>
      </w:r>
      <w:r>
        <w:rPr>
          <w:spacing w:val="-7"/>
          <w:sz w:val="18"/>
          <w:szCs w:val="18"/>
          <w:lang w:val="es-ES_tradnl"/>
        </w:rPr>
        <w:t>culo 92 de la Constituci</w:t>
      </w:r>
      <w:r>
        <w:rPr>
          <w:rFonts w:cs="Times New Roman"/>
          <w:spacing w:val="-7"/>
          <w:sz w:val="18"/>
          <w:szCs w:val="18"/>
          <w:lang w:val="es-ES_tradnl"/>
        </w:rPr>
        <w:t>ó</w:t>
      </w:r>
      <w:r>
        <w:rPr>
          <w:spacing w:val="-7"/>
          <w:sz w:val="18"/>
          <w:szCs w:val="18"/>
          <w:lang w:val="es-ES_tradnl"/>
        </w:rPr>
        <w:t xml:space="preserve">n </w:t>
      </w:r>
      <w:r>
        <w:rPr>
          <w:spacing w:val="-5"/>
          <w:sz w:val="18"/>
          <w:szCs w:val="18"/>
          <w:lang w:val="es-ES_tradnl"/>
        </w:rPr>
        <w:t>de la Rep</w:t>
      </w:r>
      <w:r>
        <w:rPr>
          <w:rFonts w:cs="Times New Roman"/>
          <w:spacing w:val="-5"/>
          <w:sz w:val="18"/>
          <w:szCs w:val="18"/>
          <w:lang w:val="es-ES_tradnl"/>
        </w:rPr>
        <w:t>ú</w:t>
      </w:r>
      <w:r>
        <w:rPr>
          <w:spacing w:val="-5"/>
          <w:sz w:val="18"/>
          <w:szCs w:val="18"/>
          <w:lang w:val="es-ES_tradnl"/>
        </w:rPr>
        <w:t>blica y el art</w:t>
      </w:r>
      <w:r>
        <w:rPr>
          <w:rFonts w:cs="Times New Roman"/>
          <w:spacing w:val="-5"/>
          <w:sz w:val="18"/>
          <w:szCs w:val="18"/>
          <w:lang w:val="es-ES_tradnl"/>
        </w:rPr>
        <w:t>í</w:t>
      </w:r>
      <w:r>
        <w:rPr>
          <w:spacing w:val="-5"/>
          <w:sz w:val="18"/>
          <w:szCs w:val="18"/>
          <w:lang w:val="es-ES_tradnl"/>
        </w:rPr>
        <w:t>culo 50 de la Ley Org</w:t>
      </w:r>
      <w:r>
        <w:rPr>
          <w:rFonts w:cs="Times New Roman"/>
          <w:spacing w:val="-5"/>
          <w:sz w:val="18"/>
          <w:szCs w:val="18"/>
          <w:lang w:val="es-ES_tradnl"/>
        </w:rPr>
        <w:t>á</w:t>
      </w:r>
      <w:r>
        <w:rPr>
          <w:spacing w:val="-5"/>
          <w:sz w:val="18"/>
          <w:szCs w:val="18"/>
          <w:lang w:val="es-ES_tradnl"/>
        </w:rPr>
        <w:t xml:space="preserve">nica de </w:t>
      </w:r>
      <w:r>
        <w:rPr>
          <w:spacing w:val="-6"/>
          <w:sz w:val="18"/>
          <w:szCs w:val="18"/>
          <w:lang w:val="es-ES_tradnl"/>
        </w:rPr>
        <w:t>Garant</w:t>
      </w:r>
      <w:r>
        <w:rPr>
          <w:rFonts w:cs="Times New Roman"/>
          <w:spacing w:val="-6"/>
          <w:sz w:val="18"/>
          <w:szCs w:val="18"/>
          <w:lang w:val="es-ES_tradnl"/>
        </w:rPr>
        <w:t>í</w:t>
      </w:r>
      <w:r>
        <w:rPr>
          <w:spacing w:val="-6"/>
          <w:sz w:val="18"/>
          <w:szCs w:val="18"/>
          <w:lang w:val="es-ES_tradnl"/>
        </w:rPr>
        <w:t>as Jurisdiccionales y Control Constitucional.</w:t>
      </w:r>
    </w:p>
    <w:p w14:paraId="4F67AC23" w14:textId="77777777" w:rsidR="00591D54" w:rsidRDefault="00591D54">
      <w:pPr>
        <w:shd w:val="clear" w:color="auto" w:fill="FFFFFF"/>
        <w:spacing w:before="202"/>
      </w:pPr>
      <w:r>
        <w:rPr>
          <w:b/>
          <w:bCs/>
          <w:spacing w:val="-11"/>
          <w:sz w:val="18"/>
          <w:szCs w:val="18"/>
          <w:lang w:val="es-ES_tradnl"/>
        </w:rPr>
        <w:t>Consideraciones adicionales</w:t>
      </w:r>
    </w:p>
    <w:p w14:paraId="4F67AC24" w14:textId="77777777" w:rsidR="00591D54" w:rsidRDefault="00591D54">
      <w:pPr>
        <w:shd w:val="clear" w:color="auto" w:fill="FFFFFF"/>
        <w:spacing w:before="202" w:line="221" w:lineRule="exact"/>
        <w:jc w:val="both"/>
      </w:pPr>
      <w:r>
        <w:rPr>
          <w:spacing w:val="-8"/>
          <w:sz w:val="18"/>
          <w:szCs w:val="18"/>
          <w:lang w:val="es-ES_tradnl"/>
        </w:rPr>
        <w:t>Previo al an</w:t>
      </w:r>
      <w:r>
        <w:rPr>
          <w:rFonts w:cs="Times New Roman"/>
          <w:spacing w:val="-8"/>
          <w:sz w:val="18"/>
          <w:szCs w:val="18"/>
          <w:lang w:val="es-ES_tradnl"/>
        </w:rPr>
        <w:t>á</w:t>
      </w:r>
      <w:r>
        <w:rPr>
          <w:spacing w:val="-8"/>
          <w:sz w:val="18"/>
          <w:szCs w:val="18"/>
          <w:lang w:val="es-ES_tradnl"/>
        </w:rPr>
        <w:t>lisis de la cuesti</w:t>
      </w:r>
      <w:r>
        <w:rPr>
          <w:rFonts w:cs="Times New Roman"/>
          <w:spacing w:val="-8"/>
          <w:sz w:val="18"/>
          <w:szCs w:val="18"/>
          <w:lang w:val="es-ES_tradnl"/>
        </w:rPr>
        <w:t>ó</w:t>
      </w:r>
      <w:r>
        <w:rPr>
          <w:spacing w:val="-8"/>
          <w:sz w:val="18"/>
          <w:szCs w:val="18"/>
          <w:lang w:val="es-ES_tradnl"/>
        </w:rPr>
        <w:t>n que se abordar</w:t>
      </w:r>
      <w:r>
        <w:rPr>
          <w:rFonts w:cs="Times New Roman"/>
          <w:spacing w:val="-8"/>
          <w:sz w:val="18"/>
          <w:szCs w:val="18"/>
          <w:lang w:val="es-ES_tradnl"/>
        </w:rPr>
        <w:t>á</w:t>
      </w:r>
      <w:r>
        <w:rPr>
          <w:spacing w:val="-8"/>
          <w:sz w:val="18"/>
          <w:szCs w:val="18"/>
          <w:lang w:val="es-ES_tradnl"/>
        </w:rPr>
        <w:t xml:space="preserve"> en este </w:t>
      </w:r>
      <w:r>
        <w:rPr>
          <w:spacing w:val="-4"/>
          <w:sz w:val="18"/>
          <w:szCs w:val="18"/>
          <w:lang w:val="es-ES_tradnl"/>
        </w:rPr>
        <w:t xml:space="preserve">apartado, es importante determinar: a) La naturaleza, b) </w:t>
      </w:r>
      <w:r>
        <w:rPr>
          <w:spacing w:val="-3"/>
          <w:sz w:val="18"/>
          <w:szCs w:val="18"/>
          <w:lang w:val="es-ES_tradnl"/>
        </w:rPr>
        <w:t>El contenido y c) El alcance de la acci</w:t>
      </w:r>
      <w:r>
        <w:rPr>
          <w:rFonts w:cs="Times New Roman"/>
          <w:spacing w:val="-3"/>
          <w:sz w:val="18"/>
          <w:szCs w:val="18"/>
          <w:lang w:val="es-ES_tradnl"/>
        </w:rPr>
        <w:t>ó</w:t>
      </w:r>
      <w:r>
        <w:rPr>
          <w:spacing w:val="-3"/>
          <w:sz w:val="18"/>
          <w:szCs w:val="18"/>
          <w:lang w:val="es-ES_tradnl"/>
        </w:rPr>
        <w:t xml:space="preserve">n constitucional </w:t>
      </w:r>
      <w:r>
        <w:rPr>
          <w:spacing w:val="-10"/>
          <w:sz w:val="18"/>
          <w:szCs w:val="18"/>
          <w:lang w:val="es-ES_tradnl"/>
        </w:rPr>
        <w:t>de h</w:t>
      </w:r>
      <w:r>
        <w:rPr>
          <w:rFonts w:cs="Times New Roman"/>
          <w:spacing w:val="-10"/>
          <w:sz w:val="18"/>
          <w:szCs w:val="18"/>
          <w:lang w:val="es-ES_tradnl"/>
        </w:rPr>
        <w:t>á</w:t>
      </w:r>
      <w:r>
        <w:rPr>
          <w:spacing w:val="-10"/>
          <w:sz w:val="18"/>
          <w:szCs w:val="18"/>
          <w:lang w:val="es-ES_tradnl"/>
        </w:rPr>
        <w:t>beas data</w:t>
      </w:r>
      <w:r>
        <w:rPr>
          <w:spacing w:val="-10"/>
          <w:sz w:val="18"/>
          <w:szCs w:val="18"/>
          <w:vertAlign w:val="superscript"/>
          <w:lang w:val="es-ES_tradnl"/>
        </w:rPr>
        <w:t>4</w:t>
      </w:r>
      <w:r>
        <w:rPr>
          <w:spacing w:val="-10"/>
          <w:sz w:val="18"/>
          <w:szCs w:val="18"/>
          <w:lang w:val="es-ES_tradnl"/>
        </w:rPr>
        <w:t xml:space="preserve">, puesto que aquello puede presentar </w:t>
      </w:r>
      <w:r>
        <w:rPr>
          <w:spacing w:val="-6"/>
          <w:sz w:val="18"/>
          <w:szCs w:val="18"/>
          <w:lang w:val="es-ES_tradnl"/>
        </w:rPr>
        <w:t>inconvenientes en la utilizaci</w:t>
      </w:r>
      <w:r>
        <w:rPr>
          <w:rFonts w:cs="Times New Roman"/>
          <w:spacing w:val="-6"/>
          <w:sz w:val="18"/>
          <w:szCs w:val="18"/>
          <w:lang w:val="es-ES_tradnl"/>
        </w:rPr>
        <w:t>ó</w:t>
      </w:r>
      <w:r>
        <w:rPr>
          <w:spacing w:val="-6"/>
          <w:sz w:val="18"/>
          <w:szCs w:val="18"/>
          <w:lang w:val="es-ES_tradnl"/>
        </w:rPr>
        <w:t>n de la referida acci</w:t>
      </w:r>
      <w:r>
        <w:rPr>
          <w:rFonts w:cs="Times New Roman"/>
          <w:spacing w:val="-6"/>
          <w:sz w:val="18"/>
          <w:szCs w:val="18"/>
          <w:lang w:val="es-ES_tradnl"/>
        </w:rPr>
        <w:t>ó</w:t>
      </w:r>
      <w:r>
        <w:rPr>
          <w:spacing w:val="-6"/>
          <w:sz w:val="18"/>
          <w:szCs w:val="18"/>
          <w:lang w:val="es-ES_tradnl"/>
        </w:rPr>
        <w:t>n.</w:t>
      </w:r>
    </w:p>
    <w:p w14:paraId="4F67AC25" w14:textId="77777777" w:rsidR="00591D54" w:rsidRDefault="00591D54">
      <w:pPr>
        <w:shd w:val="clear" w:color="auto" w:fill="FFFFFF"/>
        <w:spacing w:before="202"/>
      </w:pPr>
      <w:r>
        <w:rPr>
          <w:b/>
          <w:bCs/>
          <w:spacing w:val="-9"/>
          <w:sz w:val="18"/>
          <w:szCs w:val="18"/>
          <w:lang w:val="es-ES_tradnl"/>
        </w:rPr>
        <w:t>Naturaleza de la acci</w:t>
      </w:r>
      <w:r>
        <w:rPr>
          <w:rFonts w:cs="Times New Roman"/>
          <w:b/>
          <w:bCs/>
          <w:spacing w:val="-9"/>
          <w:sz w:val="18"/>
          <w:szCs w:val="18"/>
          <w:lang w:val="es-ES_tradnl"/>
        </w:rPr>
        <w:t>ó</w:t>
      </w:r>
      <w:r>
        <w:rPr>
          <w:b/>
          <w:bCs/>
          <w:spacing w:val="-9"/>
          <w:sz w:val="18"/>
          <w:szCs w:val="18"/>
          <w:lang w:val="es-ES_tradnl"/>
        </w:rPr>
        <w:t>n constitucional de h</w:t>
      </w:r>
      <w:r>
        <w:rPr>
          <w:rFonts w:cs="Times New Roman"/>
          <w:b/>
          <w:bCs/>
          <w:spacing w:val="-9"/>
          <w:sz w:val="18"/>
          <w:szCs w:val="18"/>
          <w:lang w:val="es-ES_tradnl"/>
        </w:rPr>
        <w:t>á</w:t>
      </w:r>
      <w:r>
        <w:rPr>
          <w:b/>
          <w:bCs/>
          <w:spacing w:val="-9"/>
          <w:sz w:val="18"/>
          <w:szCs w:val="18"/>
          <w:lang w:val="es-ES_tradnl"/>
        </w:rPr>
        <w:t>beas data</w:t>
      </w:r>
    </w:p>
    <w:p w14:paraId="4F67AC26" w14:textId="77777777" w:rsidR="00591D54" w:rsidRDefault="00591D54">
      <w:pPr>
        <w:shd w:val="clear" w:color="auto" w:fill="FFFFFF"/>
        <w:spacing w:before="202" w:line="221" w:lineRule="exact"/>
        <w:jc w:val="both"/>
      </w:pPr>
      <w:r>
        <w:rPr>
          <w:spacing w:val="-6"/>
          <w:sz w:val="18"/>
          <w:szCs w:val="18"/>
          <w:lang w:val="es-ES_tradnl"/>
        </w:rPr>
        <w:t>Sin duda, para comprender el significado de la instituci</w:t>
      </w:r>
      <w:r>
        <w:rPr>
          <w:rFonts w:cs="Times New Roman"/>
          <w:spacing w:val="-6"/>
          <w:sz w:val="18"/>
          <w:szCs w:val="18"/>
          <w:lang w:val="es-ES_tradnl"/>
        </w:rPr>
        <w:t>ó</w:t>
      </w:r>
      <w:r>
        <w:rPr>
          <w:spacing w:val="-6"/>
          <w:sz w:val="18"/>
          <w:szCs w:val="18"/>
          <w:lang w:val="es-ES_tradnl"/>
        </w:rPr>
        <w:t>n jur</w:t>
      </w:r>
      <w:r>
        <w:rPr>
          <w:rFonts w:cs="Times New Roman"/>
          <w:spacing w:val="-6"/>
          <w:sz w:val="18"/>
          <w:szCs w:val="18"/>
          <w:lang w:val="es-ES_tradnl"/>
        </w:rPr>
        <w:t>í</w:t>
      </w:r>
      <w:r>
        <w:rPr>
          <w:spacing w:val="-6"/>
          <w:sz w:val="18"/>
          <w:szCs w:val="18"/>
          <w:lang w:val="es-ES_tradnl"/>
        </w:rPr>
        <w:t>dico-constitucional del h</w:t>
      </w:r>
      <w:r>
        <w:rPr>
          <w:rFonts w:cs="Times New Roman"/>
          <w:spacing w:val="-6"/>
          <w:sz w:val="18"/>
          <w:szCs w:val="18"/>
          <w:lang w:val="es-ES_tradnl"/>
        </w:rPr>
        <w:t>á</w:t>
      </w:r>
      <w:r>
        <w:rPr>
          <w:spacing w:val="-6"/>
          <w:sz w:val="18"/>
          <w:szCs w:val="18"/>
          <w:lang w:val="es-ES_tradnl"/>
        </w:rPr>
        <w:t xml:space="preserve">beas data es imprescindible </w:t>
      </w:r>
      <w:r>
        <w:rPr>
          <w:spacing w:val="-7"/>
          <w:sz w:val="18"/>
          <w:szCs w:val="18"/>
          <w:lang w:val="es-ES_tradnl"/>
        </w:rPr>
        <w:t>conocer su origen. En este contexto, cabe se</w:t>
      </w:r>
      <w:r>
        <w:rPr>
          <w:rFonts w:cs="Times New Roman"/>
          <w:spacing w:val="-7"/>
          <w:sz w:val="18"/>
          <w:szCs w:val="18"/>
          <w:lang w:val="es-ES_tradnl"/>
        </w:rPr>
        <w:t>ñ</w:t>
      </w:r>
      <w:r>
        <w:rPr>
          <w:spacing w:val="-7"/>
          <w:sz w:val="18"/>
          <w:szCs w:val="18"/>
          <w:lang w:val="es-ES_tradnl"/>
        </w:rPr>
        <w:t>alar que el t</w:t>
      </w:r>
      <w:r>
        <w:rPr>
          <w:rFonts w:cs="Times New Roman"/>
          <w:spacing w:val="-7"/>
          <w:sz w:val="18"/>
          <w:szCs w:val="18"/>
          <w:lang w:val="es-ES_tradnl"/>
        </w:rPr>
        <w:t>é</w:t>
      </w:r>
      <w:r>
        <w:rPr>
          <w:spacing w:val="-7"/>
          <w:sz w:val="18"/>
          <w:szCs w:val="18"/>
          <w:lang w:val="es-ES_tradnl"/>
        </w:rPr>
        <w:t xml:space="preserve">rmino </w:t>
      </w:r>
      <w:r>
        <w:rPr>
          <w:rFonts w:cs="Times New Roman"/>
          <w:spacing w:val="-7"/>
          <w:sz w:val="18"/>
          <w:szCs w:val="18"/>
          <w:lang w:val="es-ES_tradnl"/>
        </w:rPr>
        <w:t>“</w:t>
      </w:r>
      <w:r>
        <w:rPr>
          <w:spacing w:val="-7"/>
          <w:sz w:val="18"/>
          <w:szCs w:val="18"/>
          <w:lang w:val="es-ES_tradnl"/>
        </w:rPr>
        <w:t>H</w:t>
      </w:r>
      <w:r>
        <w:rPr>
          <w:rFonts w:cs="Times New Roman"/>
          <w:spacing w:val="-7"/>
          <w:sz w:val="18"/>
          <w:szCs w:val="18"/>
          <w:lang w:val="es-ES_tradnl"/>
        </w:rPr>
        <w:t>á</w:t>
      </w:r>
      <w:r>
        <w:rPr>
          <w:spacing w:val="-7"/>
          <w:sz w:val="18"/>
          <w:szCs w:val="18"/>
          <w:lang w:val="es-ES_tradnl"/>
        </w:rPr>
        <w:t>beas</w:t>
      </w:r>
      <w:r>
        <w:rPr>
          <w:rFonts w:cs="Times New Roman"/>
          <w:spacing w:val="-7"/>
          <w:sz w:val="18"/>
          <w:szCs w:val="18"/>
          <w:lang w:val="es-ES_tradnl"/>
        </w:rPr>
        <w:t>”</w:t>
      </w:r>
      <w:r>
        <w:rPr>
          <w:spacing w:val="-7"/>
          <w:sz w:val="18"/>
          <w:szCs w:val="18"/>
          <w:lang w:val="es-ES_tradnl"/>
        </w:rPr>
        <w:t xml:space="preserve"> proviene de los or</w:t>
      </w:r>
      <w:r>
        <w:rPr>
          <w:rFonts w:cs="Times New Roman"/>
          <w:spacing w:val="-7"/>
          <w:sz w:val="18"/>
          <w:szCs w:val="18"/>
          <w:lang w:val="es-ES_tradnl"/>
        </w:rPr>
        <w:t>í</w:t>
      </w:r>
      <w:r>
        <w:rPr>
          <w:spacing w:val="-7"/>
          <w:sz w:val="18"/>
          <w:szCs w:val="18"/>
          <w:lang w:val="es-ES_tradnl"/>
        </w:rPr>
        <w:t xml:space="preserve">genes latinos </w:t>
      </w:r>
      <w:r>
        <w:rPr>
          <w:rFonts w:cs="Times New Roman"/>
          <w:spacing w:val="-7"/>
          <w:sz w:val="18"/>
          <w:szCs w:val="18"/>
          <w:lang w:val="es-ES_tradnl"/>
        </w:rPr>
        <w:t>“</w:t>
      </w:r>
      <w:r>
        <w:rPr>
          <w:spacing w:val="-7"/>
          <w:sz w:val="18"/>
          <w:szCs w:val="18"/>
          <w:lang w:val="es-ES_tradnl"/>
        </w:rPr>
        <w:t>Habeo</w:t>
      </w:r>
      <w:r>
        <w:rPr>
          <w:rFonts w:cs="Times New Roman"/>
          <w:spacing w:val="-7"/>
          <w:sz w:val="18"/>
          <w:szCs w:val="18"/>
          <w:lang w:val="es-ES_tradnl"/>
        </w:rPr>
        <w:t xml:space="preserve">” </w:t>
      </w:r>
      <w:r>
        <w:rPr>
          <w:spacing w:val="-9"/>
          <w:sz w:val="18"/>
          <w:szCs w:val="18"/>
          <w:lang w:val="es-ES_tradnl"/>
        </w:rPr>
        <w:t xml:space="preserve">o </w:t>
      </w:r>
      <w:r>
        <w:rPr>
          <w:rFonts w:cs="Times New Roman"/>
          <w:spacing w:val="-9"/>
          <w:sz w:val="18"/>
          <w:szCs w:val="18"/>
          <w:lang w:val="es-ES_tradnl"/>
        </w:rPr>
        <w:t>“</w:t>
      </w:r>
      <w:r>
        <w:rPr>
          <w:spacing w:val="-9"/>
          <w:sz w:val="18"/>
          <w:szCs w:val="18"/>
          <w:lang w:val="es-ES_tradnl"/>
        </w:rPr>
        <w:t>Habere</w:t>
      </w:r>
      <w:r>
        <w:rPr>
          <w:rFonts w:cs="Times New Roman"/>
          <w:spacing w:val="-9"/>
          <w:sz w:val="18"/>
          <w:szCs w:val="18"/>
          <w:lang w:val="es-ES_tradnl"/>
        </w:rPr>
        <w:t>”</w:t>
      </w:r>
      <w:r>
        <w:rPr>
          <w:spacing w:val="-9"/>
          <w:sz w:val="18"/>
          <w:szCs w:val="18"/>
          <w:lang w:val="es-ES_tradnl"/>
        </w:rPr>
        <w:t>, cuyos m</w:t>
      </w:r>
      <w:r>
        <w:rPr>
          <w:rFonts w:cs="Times New Roman"/>
          <w:spacing w:val="-9"/>
          <w:sz w:val="18"/>
          <w:szCs w:val="18"/>
          <w:lang w:val="es-ES_tradnl"/>
        </w:rPr>
        <w:t>ú</w:t>
      </w:r>
      <w:r>
        <w:rPr>
          <w:spacing w:val="-9"/>
          <w:sz w:val="18"/>
          <w:szCs w:val="18"/>
          <w:lang w:val="es-ES_tradnl"/>
        </w:rPr>
        <w:t xml:space="preserve">ltiples significados son: tener, poseer, gozar, disfrutar, exhibir, presentar, tomar, aprehender, traer, </w:t>
      </w:r>
      <w:r>
        <w:rPr>
          <w:spacing w:val="-6"/>
          <w:sz w:val="18"/>
          <w:szCs w:val="18"/>
          <w:lang w:val="es-ES_tradnl"/>
        </w:rPr>
        <w:t>trasladar, transportar, entre otros t</w:t>
      </w:r>
      <w:r>
        <w:rPr>
          <w:rFonts w:cs="Times New Roman"/>
          <w:spacing w:val="-6"/>
          <w:sz w:val="18"/>
          <w:szCs w:val="18"/>
          <w:lang w:val="es-ES_tradnl"/>
        </w:rPr>
        <w:t>é</w:t>
      </w:r>
      <w:r>
        <w:rPr>
          <w:spacing w:val="-6"/>
          <w:sz w:val="18"/>
          <w:szCs w:val="18"/>
          <w:lang w:val="es-ES_tradnl"/>
        </w:rPr>
        <w:t>rminos sin</w:t>
      </w:r>
      <w:r>
        <w:rPr>
          <w:rFonts w:cs="Times New Roman"/>
          <w:spacing w:val="-6"/>
          <w:sz w:val="18"/>
          <w:szCs w:val="18"/>
          <w:lang w:val="es-ES_tradnl"/>
        </w:rPr>
        <w:t>ó</w:t>
      </w:r>
      <w:r>
        <w:rPr>
          <w:spacing w:val="-6"/>
          <w:sz w:val="18"/>
          <w:szCs w:val="18"/>
          <w:lang w:val="es-ES_tradnl"/>
        </w:rPr>
        <w:t xml:space="preserve">nimos. Asimismo, </w:t>
      </w:r>
      <w:r>
        <w:rPr>
          <w:rFonts w:cs="Times New Roman"/>
          <w:spacing w:val="-6"/>
          <w:sz w:val="18"/>
          <w:szCs w:val="18"/>
          <w:lang w:val="es-ES_tradnl"/>
        </w:rPr>
        <w:t>“</w:t>
      </w:r>
      <w:r>
        <w:rPr>
          <w:spacing w:val="-6"/>
          <w:sz w:val="18"/>
          <w:szCs w:val="18"/>
          <w:lang w:val="es-ES_tradnl"/>
        </w:rPr>
        <w:t>Data</w:t>
      </w:r>
      <w:r>
        <w:rPr>
          <w:rFonts w:cs="Times New Roman"/>
          <w:spacing w:val="-6"/>
          <w:sz w:val="18"/>
          <w:szCs w:val="18"/>
          <w:lang w:val="es-ES_tradnl"/>
        </w:rPr>
        <w:t>”</w:t>
      </w:r>
      <w:r>
        <w:rPr>
          <w:spacing w:val="-6"/>
          <w:sz w:val="18"/>
          <w:szCs w:val="18"/>
          <w:lang w:val="es-ES_tradnl"/>
        </w:rPr>
        <w:t xml:space="preserve"> proviene del lat</w:t>
      </w:r>
      <w:r>
        <w:rPr>
          <w:rFonts w:cs="Times New Roman"/>
          <w:spacing w:val="-6"/>
          <w:sz w:val="18"/>
          <w:szCs w:val="18"/>
          <w:lang w:val="es-ES_tradnl"/>
        </w:rPr>
        <w:t>í</w:t>
      </w:r>
      <w:r>
        <w:rPr>
          <w:spacing w:val="-6"/>
          <w:sz w:val="18"/>
          <w:szCs w:val="18"/>
          <w:lang w:val="es-ES_tradnl"/>
        </w:rPr>
        <w:t xml:space="preserve">n </w:t>
      </w:r>
      <w:r>
        <w:rPr>
          <w:rFonts w:cs="Times New Roman"/>
          <w:spacing w:val="-6"/>
          <w:sz w:val="18"/>
          <w:szCs w:val="18"/>
          <w:lang w:val="es-ES_tradnl"/>
        </w:rPr>
        <w:t>“</w:t>
      </w:r>
      <w:r>
        <w:rPr>
          <w:spacing w:val="-6"/>
          <w:sz w:val="18"/>
          <w:szCs w:val="18"/>
          <w:lang w:val="es-ES_tradnl"/>
        </w:rPr>
        <w:t>datum</w:t>
      </w:r>
      <w:r>
        <w:rPr>
          <w:rFonts w:cs="Times New Roman"/>
          <w:spacing w:val="-6"/>
          <w:sz w:val="18"/>
          <w:szCs w:val="18"/>
          <w:lang w:val="es-ES_tradnl"/>
        </w:rPr>
        <w:t>”</w:t>
      </w:r>
      <w:r>
        <w:rPr>
          <w:spacing w:val="-6"/>
          <w:sz w:val="18"/>
          <w:szCs w:val="18"/>
          <w:lang w:val="es-ES_tradnl"/>
        </w:rPr>
        <w:t xml:space="preserve"> que significa </w:t>
      </w:r>
      <w:r>
        <w:rPr>
          <w:spacing w:val="-1"/>
          <w:sz w:val="18"/>
          <w:szCs w:val="18"/>
          <w:lang w:val="es-ES_tradnl"/>
        </w:rPr>
        <w:t>dato, igualmente es un sustantivo plural anglosaj</w:t>
      </w:r>
      <w:r>
        <w:rPr>
          <w:rFonts w:cs="Times New Roman"/>
          <w:spacing w:val="-1"/>
          <w:sz w:val="18"/>
          <w:szCs w:val="18"/>
          <w:lang w:val="es-ES_tradnl"/>
        </w:rPr>
        <w:t>ó</w:t>
      </w:r>
      <w:r>
        <w:rPr>
          <w:spacing w:val="-1"/>
          <w:sz w:val="18"/>
          <w:szCs w:val="18"/>
          <w:lang w:val="es-ES_tradnl"/>
        </w:rPr>
        <w:t xml:space="preserve">n y </w:t>
      </w:r>
      <w:r>
        <w:rPr>
          <w:spacing w:val="-6"/>
          <w:sz w:val="18"/>
          <w:szCs w:val="18"/>
          <w:lang w:val="es-ES_tradnl"/>
        </w:rPr>
        <w:t>que significa informaci</w:t>
      </w:r>
      <w:r>
        <w:rPr>
          <w:rFonts w:cs="Times New Roman"/>
          <w:spacing w:val="-6"/>
          <w:sz w:val="18"/>
          <w:szCs w:val="18"/>
          <w:lang w:val="es-ES_tradnl"/>
        </w:rPr>
        <w:t>ó</w:t>
      </w:r>
      <w:r>
        <w:rPr>
          <w:spacing w:val="-6"/>
          <w:sz w:val="18"/>
          <w:szCs w:val="18"/>
          <w:lang w:val="es-ES_tradnl"/>
        </w:rPr>
        <w:t>n o datos, en relaci</w:t>
      </w:r>
      <w:r>
        <w:rPr>
          <w:rFonts w:cs="Times New Roman"/>
          <w:spacing w:val="-6"/>
          <w:sz w:val="18"/>
          <w:szCs w:val="18"/>
          <w:lang w:val="es-ES_tradnl"/>
        </w:rPr>
        <w:t>ó</w:t>
      </w:r>
      <w:r>
        <w:rPr>
          <w:spacing w:val="-6"/>
          <w:sz w:val="18"/>
          <w:szCs w:val="18"/>
          <w:lang w:val="es-ES_tradnl"/>
        </w:rPr>
        <w:t xml:space="preserve">n a lo que se </w:t>
      </w:r>
      <w:r>
        <w:rPr>
          <w:sz w:val="18"/>
          <w:szCs w:val="18"/>
          <w:lang w:val="es-ES_tradnl"/>
        </w:rPr>
        <w:t>pretende tutelar o proteger</w:t>
      </w:r>
      <w:r>
        <w:rPr>
          <w:sz w:val="18"/>
          <w:szCs w:val="18"/>
          <w:vertAlign w:val="superscript"/>
          <w:lang w:val="es-ES_tradnl"/>
        </w:rPr>
        <w:t>5</w:t>
      </w:r>
      <w:r>
        <w:rPr>
          <w:sz w:val="18"/>
          <w:szCs w:val="18"/>
          <w:lang w:val="es-ES_tradnl"/>
        </w:rPr>
        <w:t>.</w:t>
      </w:r>
    </w:p>
    <w:p w14:paraId="4F67AC27" w14:textId="77777777" w:rsidR="00591D54" w:rsidRDefault="00591D54">
      <w:pPr>
        <w:shd w:val="clear" w:color="auto" w:fill="FFFFFF"/>
        <w:spacing w:before="202" w:line="221" w:lineRule="exact"/>
        <w:jc w:val="both"/>
      </w:pPr>
      <w:r>
        <w:rPr>
          <w:spacing w:val="-4"/>
          <w:sz w:val="18"/>
          <w:szCs w:val="18"/>
          <w:lang w:val="es-ES_tradnl"/>
        </w:rPr>
        <w:t>En consideraci</w:t>
      </w:r>
      <w:r>
        <w:rPr>
          <w:rFonts w:cs="Times New Roman"/>
          <w:spacing w:val="-4"/>
          <w:sz w:val="18"/>
          <w:szCs w:val="18"/>
          <w:lang w:val="es-ES_tradnl"/>
        </w:rPr>
        <w:t>ó</w:t>
      </w:r>
      <w:r>
        <w:rPr>
          <w:spacing w:val="-4"/>
          <w:sz w:val="18"/>
          <w:szCs w:val="18"/>
          <w:lang w:val="es-ES_tradnl"/>
        </w:rPr>
        <w:t>n a su significado etimol</w:t>
      </w:r>
      <w:r>
        <w:rPr>
          <w:rFonts w:cs="Times New Roman"/>
          <w:spacing w:val="-4"/>
          <w:sz w:val="18"/>
          <w:szCs w:val="18"/>
          <w:lang w:val="es-ES_tradnl"/>
        </w:rPr>
        <w:t>ó</w:t>
      </w:r>
      <w:r>
        <w:rPr>
          <w:spacing w:val="-4"/>
          <w:sz w:val="18"/>
          <w:szCs w:val="18"/>
          <w:lang w:val="es-ES_tradnl"/>
        </w:rPr>
        <w:t>gico, h</w:t>
      </w:r>
      <w:r>
        <w:rPr>
          <w:rFonts w:cs="Times New Roman"/>
          <w:spacing w:val="-4"/>
          <w:sz w:val="18"/>
          <w:szCs w:val="18"/>
          <w:lang w:val="es-ES_tradnl"/>
        </w:rPr>
        <w:t>á</w:t>
      </w:r>
      <w:r>
        <w:rPr>
          <w:spacing w:val="-4"/>
          <w:sz w:val="18"/>
          <w:szCs w:val="18"/>
          <w:lang w:val="es-ES_tradnl"/>
        </w:rPr>
        <w:t xml:space="preserve">beas </w:t>
      </w:r>
      <w:r>
        <w:rPr>
          <w:spacing w:val="-6"/>
          <w:sz w:val="18"/>
          <w:szCs w:val="18"/>
          <w:lang w:val="es-ES_tradnl"/>
        </w:rPr>
        <w:t xml:space="preserve">data significa: </w:t>
      </w:r>
      <w:r>
        <w:rPr>
          <w:rFonts w:cs="Times New Roman"/>
          <w:spacing w:val="-6"/>
          <w:sz w:val="18"/>
          <w:szCs w:val="18"/>
          <w:lang w:val="es-ES_tradnl"/>
        </w:rPr>
        <w:t>“</w:t>
      </w:r>
      <w:r>
        <w:rPr>
          <w:spacing w:val="-6"/>
          <w:sz w:val="18"/>
          <w:szCs w:val="18"/>
          <w:lang w:val="es-ES_tradnl"/>
        </w:rPr>
        <w:t>toma los datos que est</w:t>
      </w:r>
      <w:r>
        <w:rPr>
          <w:rFonts w:cs="Times New Roman"/>
          <w:spacing w:val="-6"/>
          <w:sz w:val="18"/>
          <w:szCs w:val="18"/>
          <w:lang w:val="es-ES_tradnl"/>
        </w:rPr>
        <w:t>á</w:t>
      </w:r>
      <w:r>
        <w:rPr>
          <w:spacing w:val="-6"/>
          <w:sz w:val="18"/>
          <w:szCs w:val="18"/>
          <w:lang w:val="es-ES_tradnl"/>
        </w:rPr>
        <w:t xml:space="preserve">n en tu poder y </w:t>
      </w:r>
      <w:r>
        <w:rPr>
          <w:spacing w:val="-7"/>
          <w:sz w:val="18"/>
          <w:szCs w:val="18"/>
          <w:lang w:val="es-ES_tradnl"/>
        </w:rPr>
        <w:t>entr</w:t>
      </w:r>
      <w:r>
        <w:rPr>
          <w:rFonts w:cs="Times New Roman"/>
          <w:spacing w:val="-7"/>
          <w:sz w:val="18"/>
          <w:szCs w:val="18"/>
          <w:lang w:val="es-ES_tradnl"/>
        </w:rPr>
        <w:t>é</w:t>
      </w:r>
      <w:r>
        <w:rPr>
          <w:spacing w:val="-7"/>
          <w:sz w:val="18"/>
          <w:szCs w:val="18"/>
          <w:lang w:val="es-ES_tradnl"/>
        </w:rPr>
        <w:t>galos al interesado</w:t>
      </w:r>
      <w:r>
        <w:rPr>
          <w:rFonts w:cs="Times New Roman"/>
          <w:spacing w:val="-7"/>
          <w:sz w:val="18"/>
          <w:szCs w:val="18"/>
          <w:lang w:val="es-ES_tradnl"/>
        </w:rPr>
        <w:t>”</w:t>
      </w:r>
      <w:r>
        <w:rPr>
          <w:spacing w:val="-7"/>
          <w:sz w:val="18"/>
          <w:szCs w:val="18"/>
          <w:lang w:val="es-ES_tradnl"/>
        </w:rPr>
        <w:t xml:space="preserve"> o </w:t>
      </w:r>
      <w:r>
        <w:rPr>
          <w:rFonts w:cs="Times New Roman"/>
          <w:spacing w:val="-7"/>
          <w:sz w:val="18"/>
          <w:szCs w:val="18"/>
          <w:lang w:val="es-ES_tradnl"/>
        </w:rPr>
        <w:t>“</w:t>
      </w:r>
      <w:r>
        <w:rPr>
          <w:spacing w:val="-7"/>
          <w:sz w:val="18"/>
          <w:szCs w:val="18"/>
          <w:lang w:val="es-ES_tradnl"/>
        </w:rPr>
        <w:t xml:space="preserve">brinda al interesado, mediante </w:t>
      </w:r>
      <w:r>
        <w:rPr>
          <w:spacing w:val="-3"/>
          <w:sz w:val="18"/>
          <w:szCs w:val="18"/>
          <w:lang w:val="es-ES_tradnl"/>
        </w:rPr>
        <w:t>certificaci</w:t>
      </w:r>
      <w:r>
        <w:rPr>
          <w:rFonts w:cs="Times New Roman"/>
          <w:spacing w:val="-3"/>
          <w:sz w:val="18"/>
          <w:szCs w:val="18"/>
          <w:lang w:val="es-ES_tradnl"/>
        </w:rPr>
        <w:t>ó</w:t>
      </w:r>
      <w:r>
        <w:rPr>
          <w:spacing w:val="-3"/>
          <w:sz w:val="18"/>
          <w:szCs w:val="18"/>
          <w:lang w:val="es-ES_tradnl"/>
        </w:rPr>
        <w:t xml:space="preserve">n, todos los datos o documentos que se </w:t>
      </w:r>
      <w:r>
        <w:rPr>
          <w:sz w:val="18"/>
          <w:szCs w:val="18"/>
          <w:lang w:val="es-ES_tradnl"/>
        </w:rPr>
        <w:t>encuentran en tu poder (</w:t>
      </w:r>
      <w:r>
        <w:rPr>
          <w:rFonts w:cs="Times New Roman"/>
          <w:sz w:val="18"/>
          <w:szCs w:val="18"/>
          <w:lang w:val="es-ES_tradnl"/>
        </w:rPr>
        <w:t>…</w:t>
      </w:r>
      <w:r>
        <w:rPr>
          <w:sz w:val="18"/>
          <w:szCs w:val="18"/>
          <w:lang w:val="es-ES_tradnl"/>
        </w:rPr>
        <w:t>)</w:t>
      </w:r>
      <w:r>
        <w:rPr>
          <w:rFonts w:cs="Times New Roman"/>
          <w:sz w:val="18"/>
          <w:szCs w:val="18"/>
          <w:lang w:val="es-ES_tradnl"/>
        </w:rPr>
        <w:t>”</w:t>
      </w:r>
      <w:r>
        <w:rPr>
          <w:sz w:val="18"/>
          <w:szCs w:val="18"/>
          <w:vertAlign w:val="superscript"/>
          <w:lang w:val="es-ES_tradnl"/>
        </w:rPr>
        <w:t>6</w:t>
      </w:r>
      <w:r>
        <w:rPr>
          <w:sz w:val="18"/>
          <w:szCs w:val="18"/>
          <w:lang w:val="es-ES_tradnl"/>
        </w:rPr>
        <w:t>.</w:t>
      </w:r>
    </w:p>
    <w:p w14:paraId="4F67AC28" w14:textId="77777777" w:rsidR="00591D54" w:rsidRDefault="00591D54">
      <w:pPr>
        <w:shd w:val="clear" w:color="auto" w:fill="FFFFFF"/>
        <w:spacing w:before="202" w:line="221" w:lineRule="exact"/>
        <w:jc w:val="both"/>
      </w:pPr>
      <w:r>
        <w:rPr>
          <w:spacing w:val="-4"/>
          <w:sz w:val="18"/>
          <w:szCs w:val="18"/>
          <w:lang w:val="es-ES_tradnl"/>
        </w:rPr>
        <w:t xml:space="preserve">Ahora bien, de conformidad con la normativa contenida </w:t>
      </w:r>
      <w:r>
        <w:rPr>
          <w:spacing w:val="-6"/>
          <w:sz w:val="18"/>
          <w:szCs w:val="18"/>
          <w:lang w:val="es-ES_tradnl"/>
        </w:rPr>
        <w:t>en los art</w:t>
      </w:r>
      <w:r>
        <w:rPr>
          <w:rFonts w:cs="Times New Roman"/>
          <w:spacing w:val="-6"/>
          <w:sz w:val="18"/>
          <w:szCs w:val="18"/>
          <w:lang w:val="es-ES_tradnl"/>
        </w:rPr>
        <w:t>í</w:t>
      </w:r>
      <w:r>
        <w:rPr>
          <w:spacing w:val="-6"/>
          <w:sz w:val="18"/>
          <w:szCs w:val="18"/>
          <w:lang w:val="es-ES_tradnl"/>
        </w:rPr>
        <w:t>culos 92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 del Ecuador y 49, 50 y 51 de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w:t>
      </w:r>
      <w:r>
        <w:rPr>
          <w:spacing w:val="-3"/>
          <w:sz w:val="18"/>
          <w:szCs w:val="18"/>
          <w:lang w:val="es-ES_tradnl"/>
        </w:rPr>
        <w:t xml:space="preserve">jurisdiccionales y Control Constitucional, la figura </w:t>
      </w:r>
      <w:r>
        <w:rPr>
          <w:spacing w:val="-7"/>
          <w:sz w:val="18"/>
          <w:szCs w:val="18"/>
          <w:lang w:val="es-ES_tradnl"/>
        </w:rPr>
        <w:t>constitucional del h</w:t>
      </w:r>
      <w:r>
        <w:rPr>
          <w:rFonts w:cs="Times New Roman"/>
          <w:spacing w:val="-7"/>
          <w:sz w:val="18"/>
          <w:szCs w:val="18"/>
          <w:lang w:val="es-ES_tradnl"/>
        </w:rPr>
        <w:t>á</w:t>
      </w:r>
      <w:r>
        <w:rPr>
          <w:spacing w:val="-7"/>
          <w:sz w:val="18"/>
          <w:szCs w:val="18"/>
          <w:lang w:val="es-ES_tradnl"/>
        </w:rPr>
        <w:t xml:space="preserve">beas data constituye una </w:t>
      </w:r>
      <w:r>
        <w:rPr>
          <w:b/>
          <w:bCs/>
          <w:spacing w:val="-7"/>
          <w:sz w:val="18"/>
          <w:szCs w:val="18"/>
          <w:lang w:val="es-ES_tradnl"/>
        </w:rPr>
        <w:t>acci</w:t>
      </w:r>
      <w:r>
        <w:rPr>
          <w:rFonts w:cs="Times New Roman"/>
          <w:b/>
          <w:bCs/>
          <w:spacing w:val="-7"/>
          <w:sz w:val="18"/>
          <w:szCs w:val="18"/>
          <w:lang w:val="es-ES_tradnl"/>
        </w:rPr>
        <w:t>ó</w:t>
      </w:r>
      <w:r>
        <w:rPr>
          <w:b/>
          <w:bCs/>
          <w:spacing w:val="-7"/>
          <w:sz w:val="18"/>
          <w:szCs w:val="18"/>
          <w:lang w:val="es-ES_tradnl"/>
        </w:rPr>
        <w:t xml:space="preserve">n </w:t>
      </w:r>
      <w:r>
        <w:rPr>
          <w:spacing w:val="-7"/>
          <w:sz w:val="18"/>
          <w:szCs w:val="18"/>
          <w:lang w:val="es-ES_tradnl"/>
        </w:rPr>
        <w:t xml:space="preserve">en virtud de la que materializan las diversas manifestaciones </w:t>
      </w:r>
      <w:r>
        <w:rPr>
          <w:spacing w:val="-4"/>
          <w:sz w:val="18"/>
          <w:szCs w:val="18"/>
          <w:lang w:val="es-ES_tradnl"/>
        </w:rPr>
        <w:t>del derecho de petici</w:t>
      </w:r>
      <w:r>
        <w:rPr>
          <w:rFonts w:cs="Times New Roman"/>
          <w:spacing w:val="-4"/>
          <w:sz w:val="18"/>
          <w:szCs w:val="18"/>
          <w:lang w:val="es-ES_tradnl"/>
        </w:rPr>
        <w:t>ó</w:t>
      </w:r>
      <w:r>
        <w:rPr>
          <w:spacing w:val="-4"/>
          <w:sz w:val="18"/>
          <w:szCs w:val="18"/>
          <w:lang w:val="es-ES_tradnl"/>
        </w:rPr>
        <w:t xml:space="preserve">n consagrado constitucionalmente </w:t>
      </w:r>
      <w:r>
        <w:rPr>
          <w:spacing w:val="-3"/>
          <w:sz w:val="18"/>
          <w:szCs w:val="18"/>
          <w:lang w:val="es-ES_tradnl"/>
        </w:rPr>
        <w:t>y requerido para la operatividad de las garant</w:t>
      </w:r>
      <w:r>
        <w:rPr>
          <w:rFonts w:cs="Times New Roman"/>
          <w:spacing w:val="-3"/>
          <w:sz w:val="18"/>
          <w:szCs w:val="18"/>
          <w:lang w:val="es-ES_tradnl"/>
        </w:rPr>
        <w:t>í</w:t>
      </w:r>
      <w:r>
        <w:rPr>
          <w:spacing w:val="-3"/>
          <w:sz w:val="18"/>
          <w:szCs w:val="18"/>
          <w:lang w:val="es-ES_tradnl"/>
        </w:rPr>
        <w:t xml:space="preserve">as </w:t>
      </w:r>
      <w:r>
        <w:rPr>
          <w:spacing w:val="-9"/>
          <w:sz w:val="18"/>
          <w:szCs w:val="18"/>
          <w:lang w:val="es-ES_tradnl"/>
        </w:rPr>
        <w:t xml:space="preserve">jurisdiccionales, una </w:t>
      </w:r>
      <w:r>
        <w:rPr>
          <w:b/>
          <w:bCs/>
          <w:spacing w:val="-9"/>
          <w:sz w:val="18"/>
          <w:szCs w:val="18"/>
          <w:lang w:val="es-ES_tradnl"/>
        </w:rPr>
        <w:t>garant</w:t>
      </w:r>
      <w:r>
        <w:rPr>
          <w:rFonts w:cs="Times New Roman"/>
          <w:b/>
          <w:bCs/>
          <w:spacing w:val="-9"/>
          <w:sz w:val="18"/>
          <w:szCs w:val="18"/>
          <w:lang w:val="es-ES_tradnl"/>
        </w:rPr>
        <w:t>í</w:t>
      </w:r>
      <w:r>
        <w:rPr>
          <w:b/>
          <w:bCs/>
          <w:spacing w:val="-9"/>
          <w:sz w:val="18"/>
          <w:szCs w:val="18"/>
          <w:lang w:val="es-ES_tradnl"/>
        </w:rPr>
        <w:t xml:space="preserve">a </w:t>
      </w:r>
      <w:r>
        <w:rPr>
          <w:spacing w:val="-9"/>
          <w:sz w:val="18"/>
          <w:szCs w:val="18"/>
          <w:lang w:val="es-ES_tradnl"/>
        </w:rPr>
        <w:t xml:space="preserve">que le permite a una persona </w:t>
      </w:r>
      <w:r>
        <w:rPr>
          <w:spacing w:val="-8"/>
          <w:sz w:val="18"/>
          <w:szCs w:val="18"/>
          <w:lang w:val="es-ES_tradnl"/>
        </w:rPr>
        <w:t xml:space="preserve">concurrir al </w:t>
      </w:r>
      <w:r>
        <w:rPr>
          <w:rFonts w:cs="Times New Roman"/>
          <w:spacing w:val="-8"/>
          <w:sz w:val="18"/>
          <w:szCs w:val="18"/>
          <w:lang w:val="es-ES_tradnl"/>
        </w:rPr>
        <w:t>ó</w:t>
      </w:r>
      <w:r>
        <w:rPr>
          <w:spacing w:val="-8"/>
          <w:sz w:val="18"/>
          <w:szCs w:val="18"/>
          <w:lang w:val="es-ES_tradnl"/>
        </w:rPr>
        <w:t xml:space="preserve">rgano jurisdiccional a fin de que sus derechos </w:t>
      </w:r>
      <w:r>
        <w:rPr>
          <w:spacing w:val="-9"/>
          <w:sz w:val="18"/>
          <w:szCs w:val="18"/>
          <w:lang w:val="es-ES_tradnl"/>
        </w:rPr>
        <w:t xml:space="preserve">sean protegidos; goza de </w:t>
      </w:r>
      <w:r>
        <w:rPr>
          <w:b/>
          <w:bCs/>
          <w:spacing w:val="-9"/>
          <w:sz w:val="18"/>
          <w:szCs w:val="18"/>
          <w:lang w:val="es-ES_tradnl"/>
        </w:rPr>
        <w:t>car</w:t>
      </w:r>
      <w:r>
        <w:rPr>
          <w:rFonts w:cs="Times New Roman"/>
          <w:b/>
          <w:bCs/>
          <w:spacing w:val="-9"/>
          <w:sz w:val="18"/>
          <w:szCs w:val="18"/>
          <w:lang w:val="es-ES_tradnl"/>
        </w:rPr>
        <w:t>á</w:t>
      </w:r>
      <w:r>
        <w:rPr>
          <w:b/>
          <w:bCs/>
          <w:spacing w:val="-9"/>
          <w:sz w:val="18"/>
          <w:szCs w:val="18"/>
          <w:lang w:val="es-ES_tradnl"/>
        </w:rPr>
        <w:t>cter aut</w:t>
      </w:r>
      <w:r>
        <w:rPr>
          <w:rFonts w:cs="Times New Roman"/>
          <w:b/>
          <w:bCs/>
          <w:spacing w:val="-9"/>
          <w:sz w:val="18"/>
          <w:szCs w:val="18"/>
          <w:lang w:val="es-ES_tradnl"/>
        </w:rPr>
        <w:t>ó</w:t>
      </w:r>
      <w:r>
        <w:rPr>
          <w:b/>
          <w:bCs/>
          <w:spacing w:val="-9"/>
          <w:sz w:val="18"/>
          <w:szCs w:val="18"/>
          <w:lang w:val="es-ES_tradnl"/>
        </w:rPr>
        <w:t>nomo</w:t>
      </w:r>
      <w:r>
        <w:rPr>
          <w:spacing w:val="-9"/>
          <w:sz w:val="18"/>
          <w:szCs w:val="18"/>
          <w:lang w:val="es-ES_tradnl"/>
        </w:rPr>
        <w:t xml:space="preserve">, por cuanto, </w:t>
      </w:r>
      <w:r>
        <w:rPr>
          <w:spacing w:val="-5"/>
          <w:sz w:val="18"/>
          <w:szCs w:val="18"/>
          <w:lang w:val="es-ES_tradnl"/>
        </w:rPr>
        <w:t>posee un perfil propio regulado tanto en la Constituci</w:t>
      </w:r>
      <w:r>
        <w:rPr>
          <w:rFonts w:cs="Times New Roman"/>
          <w:spacing w:val="-5"/>
          <w:sz w:val="18"/>
          <w:szCs w:val="18"/>
          <w:lang w:val="es-ES_tradnl"/>
        </w:rPr>
        <w:t>ó</w:t>
      </w:r>
      <w:r>
        <w:rPr>
          <w:spacing w:val="-5"/>
          <w:sz w:val="18"/>
          <w:szCs w:val="18"/>
          <w:lang w:val="es-ES_tradnl"/>
        </w:rPr>
        <w:t xml:space="preserve">n </w:t>
      </w:r>
      <w:r>
        <w:rPr>
          <w:spacing w:val="-8"/>
          <w:sz w:val="18"/>
          <w:szCs w:val="18"/>
          <w:lang w:val="es-ES_tradnl"/>
        </w:rPr>
        <w:t xml:space="preserve">como en la ley de la materia y </w:t>
      </w:r>
      <w:r>
        <w:rPr>
          <w:b/>
          <w:bCs/>
          <w:spacing w:val="-8"/>
          <w:sz w:val="18"/>
          <w:szCs w:val="18"/>
          <w:lang w:val="es-ES_tradnl"/>
        </w:rPr>
        <w:t>tutela datos o informaci</w:t>
      </w:r>
      <w:r>
        <w:rPr>
          <w:rFonts w:cs="Times New Roman"/>
          <w:b/>
          <w:bCs/>
          <w:spacing w:val="-8"/>
          <w:sz w:val="18"/>
          <w:szCs w:val="18"/>
          <w:lang w:val="es-ES_tradnl"/>
        </w:rPr>
        <w:t>ó</w:t>
      </w:r>
      <w:r>
        <w:rPr>
          <w:b/>
          <w:bCs/>
          <w:spacing w:val="-8"/>
          <w:sz w:val="18"/>
          <w:szCs w:val="18"/>
          <w:lang w:val="es-ES_tradnl"/>
        </w:rPr>
        <w:t xml:space="preserve">n </w:t>
      </w:r>
      <w:r>
        <w:rPr>
          <w:b/>
          <w:bCs/>
          <w:spacing w:val="-10"/>
          <w:sz w:val="18"/>
          <w:szCs w:val="18"/>
          <w:lang w:val="es-ES_tradnl"/>
        </w:rPr>
        <w:t>inherente a una persona</w:t>
      </w:r>
      <w:r>
        <w:rPr>
          <w:spacing w:val="-10"/>
          <w:sz w:val="18"/>
          <w:szCs w:val="18"/>
          <w:lang w:val="es-ES_tradnl"/>
        </w:rPr>
        <w:t xml:space="preserve">, a fin de salvaguardar su derecho </w:t>
      </w:r>
      <w:r>
        <w:rPr>
          <w:sz w:val="18"/>
          <w:szCs w:val="18"/>
          <w:lang w:val="es-ES_tradnl"/>
        </w:rPr>
        <w:t>a la intimidad personal y familiar.</w:t>
      </w:r>
    </w:p>
    <w:p w14:paraId="4F67AC29" w14:textId="77777777" w:rsidR="00591D54" w:rsidRDefault="00591D54">
      <w:pPr>
        <w:shd w:val="clear" w:color="auto" w:fill="FFFFFF"/>
        <w:tabs>
          <w:tab w:val="left" w:pos="144"/>
        </w:tabs>
        <w:spacing w:before="648" w:line="178" w:lineRule="exact"/>
        <w:ind w:left="144" w:hanging="144"/>
        <w:jc w:val="both"/>
      </w:pPr>
      <w:r>
        <w:rPr>
          <w:sz w:val="10"/>
          <w:szCs w:val="10"/>
          <w:vertAlign w:val="superscript"/>
          <w:lang w:val="es-ES_tradnl"/>
        </w:rPr>
        <w:t>4</w:t>
      </w:r>
      <w:r>
        <w:rPr>
          <w:sz w:val="18"/>
          <w:szCs w:val="18"/>
          <w:lang w:val="es-ES_tradnl"/>
        </w:rPr>
        <w:tab/>
      </w:r>
      <w:r>
        <w:rPr>
          <w:spacing w:val="-3"/>
          <w:sz w:val="16"/>
          <w:szCs w:val="16"/>
          <w:lang w:val="es-ES_tradnl"/>
        </w:rPr>
        <w:t>Salmon</w:t>
      </w:r>
      <w:r>
        <w:rPr>
          <w:spacing w:val="-3"/>
          <w:sz w:val="18"/>
          <w:szCs w:val="18"/>
          <w:lang w:val="es-ES_tradnl"/>
        </w:rPr>
        <w:t xml:space="preserve"> </w:t>
      </w:r>
      <w:r>
        <w:rPr>
          <w:spacing w:val="-3"/>
          <w:sz w:val="16"/>
          <w:szCs w:val="16"/>
          <w:lang w:val="es-ES_tradnl"/>
        </w:rPr>
        <w:t>Alvear,</w:t>
      </w:r>
      <w:r>
        <w:rPr>
          <w:spacing w:val="-3"/>
          <w:sz w:val="18"/>
          <w:szCs w:val="18"/>
          <w:lang w:val="es-ES_tradnl"/>
        </w:rPr>
        <w:t xml:space="preserve"> </w:t>
      </w:r>
      <w:r>
        <w:rPr>
          <w:spacing w:val="-3"/>
          <w:sz w:val="16"/>
          <w:szCs w:val="16"/>
          <w:lang w:val="es-ES_tradnl"/>
        </w:rPr>
        <w:t>Carlos,</w:t>
      </w:r>
      <w:r>
        <w:rPr>
          <w:spacing w:val="-3"/>
          <w:sz w:val="18"/>
          <w:szCs w:val="18"/>
          <w:lang w:val="es-ES_tradnl"/>
        </w:rPr>
        <w:t xml:space="preserve"> </w:t>
      </w:r>
      <w:r>
        <w:rPr>
          <w:rFonts w:cs="Times New Roman"/>
          <w:spacing w:val="-3"/>
          <w:sz w:val="16"/>
          <w:szCs w:val="16"/>
          <w:lang w:val="es-ES_tradnl"/>
        </w:rPr>
        <w:t>“</w:t>
      </w:r>
      <w:r>
        <w:rPr>
          <w:spacing w:val="-3"/>
          <w:sz w:val="16"/>
          <w:szCs w:val="16"/>
          <w:lang w:val="es-ES_tradnl"/>
        </w:rPr>
        <w:t>R</w:t>
      </w:r>
      <w:r>
        <w:rPr>
          <w:rFonts w:cs="Times New Roman"/>
          <w:spacing w:val="-3"/>
          <w:sz w:val="16"/>
          <w:szCs w:val="16"/>
          <w:lang w:val="es-ES_tradnl"/>
        </w:rPr>
        <w:t>é</w:t>
      </w:r>
      <w:r>
        <w:rPr>
          <w:spacing w:val="-3"/>
          <w:sz w:val="16"/>
          <w:szCs w:val="16"/>
          <w:lang w:val="es-ES_tradnl"/>
        </w:rPr>
        <w:t>gimen</w:t>
      </w:r>
      <w:r>
        <w:rPr>
          <w:spacing w:val="-3"/>
          <w:sz w:val="18"/>
          <w:szCs w:val="18"/>
          <w:lang w:val="es-ES_tradnl"/>
        </w:rPr>
        <w:t xml:space="preserve"> </w:t>
      </w:r>
      <w:r>
        <w:rPr>
          <w:spacing w:val="-3"/>
          <w:sz w:val="16"/>
          <w:szCs w:val="16"/>
          <w:lang w:val="es-ES_tradnl"/>
        </w:rPr>
        <w:t>Procesal</w:t>
      </w:r>
      <w:r>
        <w:rPr>
          <w:spacing w:val="-3"/>
          <w:sz w:val="18"/>
          <w:szCs w:val="18"/>
          <w:lang w:val="es-ES_tradnl"/>
        </w:rPr>
        <w:t xml:space="preserve"> </w:t>
      </w:r>
      <w:r>
        <w:rPr>
          <w:spacing w:val="-3"/>
          <w:sz w:val="16"/>
          <w:szCs w:val="16"/>
          <w:lang w:val="es-ES_tradnl"/>
        </w:rPr>
        <w:t>del</w:t>
      </w:r>
      <w:r>
        <w:rPr>
          <w:spacing w:val="-3"/>
          <w:sz w:val="18"/>
          <w:szCs w:val="18"/>
          <w:lang w:val="es-ES_tradnl"/>
        </w:rPr>
        <w:t xml:space="preserve"> </w:t>
      </w:r>
      <w:r>
        <w:rPr>
          <w:spacing w:val="-3"/>
          <w:sz w:val="16"/>
          <w:szCs w:val="16"/>
          <w:lang w:val="es-ES_tradnl"/>
        </w:rPr>
        <w:t>H</w:t>
      </w:r>
      <w:r>
        <w:rPr>
          <w:rFonts w:cs="Times New Roman"/>
          <w:spacing w:val="-3"/>
          <w:sz w:val="16"/>
          <w:szCs w:val="16"/>
          <w:lang w:val="es-ES_tradnl"/>
        </w:rPr>
        <w:t>á</w:t>
      </w:r>
      <w:r>
        <w:rPr>
          <w:spacing w:val="-3"/>
          <w:sz w:val="16"/>
          <w:szCs w:val="16"/>
          <w:lang w:val="es-ES_tradnl"/>
        </w:rPr>
        <w:t>beas</w:t>
      </w:r>
      <w:r>
        <w:rPr>
          <w:spacing w:val="-3"/>
          <w:sz w:val="18"/>
          <w:szCs w:val="18"/>
          <w:lang w:val="es-ES_tradnl"/>
        </w:rPr>
        <w:t xml:space="preserve"> </w:t>
      </w:r>
      <w:r>
        <w:rPr>
          <w:spacing w:val="-3"/>
          <w:sz w:val="16"/>
          <w:szCs w:val="16"/>
          <w:lang w:val="es-ES_tradnl"/>
        </w:rPr>
        <w:t>Data </w:t>
      </w:r>
      <w:r>
        <w:rPr>
          <w:spacing w:val="-2"/>
          <w:sz w:val="16"/>
          <w:szCs w:val="16"/>
          <w:lang w:val="es-ES_tradnl"/>
        </w:rPr>
        <w:t>en el Ecuador</w:t>
      </w:r>
      <w:r>
        <w:rPr>
          <w:rFonts w:cs="Times New Roman"/>
          <w:spacing w:val="-2"/>
          <w:sz w:val="16"/>
          <w:szCs w:val="16"/>
          <w:lang w:val="es-ES_tradnl"/>
        </w:rPr>
        <w:t>”</w:t>
      </w:r>
      <w:r>
        <w:rPr>
          <w:spacing w:val="-2"/>
          <w:sz w:val="16"/>
          <w:szCs w:val="16"/>
          <w:lang w:val="es-ES_tradnl"/>
        </w:rPr>
        <w:t>, Revista Jur</w:t>
      </w:r>
      <w:r>
        <w:rPr>
          <w:rFonts w:cs="Times New Roman"/>
          <w:spacing w:val="-2"/>
          <w:sz w:val="16"/>
          <w:szCs w:val="16"/>
          <w:lang w:val="es-ES_tradnl"/>
        </w:rPr>
        <w:t>í</w:t>
      </w:r>
      <w:r>
        <w:rPr>
          <w:spacing w:val="-2"/>
          <w:sz w:val="16"/>
          <w:szCs w:val="16"/>
          <w:lang w:val="es-ES_tradnl"/>
        </w:rPr>
        <w:t>dica Virtual de la Facultad de </w:t>
      </w:r>
      <w:r>
        <w:rPr>
          <w:spacing w:val="-8"/>
          <w:sz w:val="16"/>
          <w:szCs w:val="16"/>
          <w:lang w:val="es-ES_tradnl"/>
        </w:rPr>
        <w:t>Derecho de la Universidad Cat</w:t>
      </w:r>
      <w:r>
        <w:rPr>
          <w:rFonts w:cs="Times New Roman"/>
          <w:spacing w:val="-8"/>
          <w:sz w:val="16"/>
          <w:szCs w:val="16"/>
          <w:lang w:val="es-ES_tradnl"/>
        </w:rPr>
        <w:t>ó</w:t>
      </w:r>
      <w:r>
        <w:rPr>
          <w:spacing w:val="-8"/>
          <w:sz w:val="16"/>
          <w:szCs w:val="16"/>
          <w:lang w:val="es-ES_tradnl"/>
        </w:rPr>
        <w:t xml:space="preserve">lica de Guayaquil, en: </w:t>
      </w:r>
      <w:hyperlink w:history="1">
        <w:r>
          <w:rPr>
            <w:spacing w:val="-8"/>
            <w:sz w:val="16"/>
            <w:szCs w:val="16"/>
            <w:u w:val="single"/>
            <w:lang w:val="es-ES_tradnl"/>
          </w:rPr>
          <w:t>http:// </w:t>
        </w:r>
      </w:hyperlink>
      <w:hyperlink r:id="rId11" w:history="1">
        <w:r>
          <w:rPr>
            <w:sz w:val="16"/>
            <w:szCs w:val="16"/>
            <w:u w:val="single"/>
            <w:lang w:val="es-ES_tradnl"/>
          </w:rPr>
          <w:t>www.revistajuridicaonline.com/index.php?option=com_ </w:t>
        </w:r>
      </w:hyperlink>
      <w:r>
        <w:rPr>
          <w:sz w:val="16"/>
          <w:szCs w:val="16"/>
          <w:lang w:val="es-ES_tradnl"/>
        </w:rPr>
        <w:t>content&amp;task=view&amp;id=506&amp;Itemid=29.</w:t>
      </w:r>
    </w:p>
    <w:p w14:paraId="4F67AC2A" w14:textId="77777777" w:rsidR="00591D54" w:rsidRDefault="00591D54">
      <w:pPr>
        <w:shd w:val="clear" w:color="auto" w:fill="FFFFFF"/>
        <w:tabs>
          <w:tab w:val="left" w:pos="144"/>
        </w:tabs>
        <w:spacing w:before="154" w:line="178" w:lineRule="exact"/>
        <w:ind w:left="144" w:hanging="144"/>
        <w:jc w:val="both"/>
      </w:pPr>
      <w:r>
        <w:rPr>
          <w:sz w:val="10"/>
          <w:szCs w:val="10"/>
          <w:vertAlign w:val="superscript"/>
          <w:lang w:val="es-ES_tradnl"/>
        </w:rPr>
        <w:t>5</w:t>
      </w:r>
      <w:r>
        <w:rPr>
          <w:sz w:val="18"/>
          <w:szCs w:val="18"/>
          <w:lang w:val="es-ES_tradnl"/>
        </w:rPr>
        <w:tab/>
      </w:r>
      <w:r>
        <w:rPr>
          <w:spacing w:val="-10"/>
          <w:sz w:val="16"/>
          <w:szCs w:val="16"/>
          <w:lang w:val="es-ES_tradnl"/>
        </w:rPr>
        <w:t>L</w:t>
      </w:r>
      <w:r>
        <w:rPr>
          <w:rFonts w:cs="Times New Roman"/>
          <w:spacing w:val="-10"/>
          <w:sz w:val="16"/>
          <w:szCs w:val="16"/>
          <w:lang w:val="es-ES_tradnl"/>
        </w:rPr>
        <w:t>ó</w:t>
      </w:r>
      <w:r>
        <w:rPr>
          <w:spacing w:val="-10"/>
          <w:sz w:val="16"/>
          <w:szCs w:val="16"/>
          <w:lang w:val="es-ES_tradnl"/>
        </w:rPr>
        <w:t>pez</w:t>
      </w:r>
      <w:r>
        <w:rPr>
          <w:spacing w:val="-10"/>
          <w:sz w:val="18"/>
          <w:szCs w:val="18"/>
          <w:lang w:val="es-ES_tradnl"/>
        </w:rPr>
        <w:t xml:space="preserve"> </w:t>
      </w:r>
      <w:r>
        <w:rPr>
          <w:spacing w:val="-10"/>
          <w:sz w:val="16"/>
          <w:szCs w:val="16"/>
          <w:lang w:val="es-ES_tradnl"/>
        </w:rPr>
        <w:t>Viera,</w:t>
      </w:r>
      <w:r>
        <w:rPr>
          <w:spacing w:val="-10"/>
          <w:sz w:val="18"/>
          <w:szCs w:val="18"/>
          <w:lang w:val="es-ES_tradnl"/>
        </w:rPr>
        <w:t xml:space="preserve"> </w:t>
      </w:r>
      <w:r>
        <w:rPr>
          <w:spacing w:val="-10"/>
          <w:sz w:val="16"/>
          <w:szCs w:val="16"/>
          <w:lang w:val="es-ES_tradnl"/>
        </w:rPr>
        <w:t>Jos</w:t>
      </w:r>
      <w:r>
        <w:rPr>
          <w:rFonts w:cs="Times New Roman"/>
          <w:spacing w:val="-10"/>
          <w:sz w:val="16"/>
          <w:szCs w:val="16"/>
          <w:lang w:val="es-ES_tradnl"/>
        </w:rPr>
        <w:t>é</w:t>
      </w:r>
      <w:r>
        <w:rPr>
          <w:spacing w:val="-10"/>
          <w:sz w:val="16"/>
          <w:szCs w:val="16"/>
          <w:lang w:val="es-ES_tradnl"/>
        </w:rPr>
        <w:t>,</w:t>
      </w:r>
      <w:r>
        <w:rPr>
          <w:spacing w:val="-10"/>
          <w:sz w:val="18"/>
          <w:szCs w:val="18"/>
          <w:lang w:val="es-ES_tradnl"/>
        </w:rPr>
        <w:t xml:space="preserve"> </w:t>
      </w:r>
      <w:r>
        <w:rPr>
          <w:rFonts w:cs="Times New Roman"/>
          <w:spacing w:val="-10"/>
          <w:sz w:val="16"/>
          <w:szCs w:val="16"/>
          <w:lang w:val="es-ES_tradnl"/>
        </w:rPr>
        <w:t>“</w:t>
      </w:r>
      <w:r>
        <w:rPr>
          <w:spacing w:val="-10"/>
          <w:sz w:val="16"/>
          <w:szCs w:val="16"/>
          <w:lang w:val="es-ES_tradnl"/>
        </w:rPr>
        <w:t>El</w:t>
      </w:r>
      <w:r>
        <w:rPr>
          <w:spacing w:val="-10"/>
          <w:sz w:val="18"/>
          <w:szCs w:val="18"/>
          <w:lang w:val="es-ES_tradnl"/>
        </w:rPr>
        <w:t xml:space="preserve"> </w:t>
      </w:r>
      <w:r>
        <w:rPr>
          <w:spacing w:val="-10"/>
          <w:sz w:val="16"/>
          <w:szCs w:val="16"/>
          <w:lang w:val="es-ES_tradnl"/>
        </w:rPr>
        <w:t>H</w:t>
      </w:r>
      <w:r>
        <w:rPr>
          <w:rFonts w:cs="Times New Roman"/>
          <w:spacing w:val="-10"/>
          <w:sz w:val="16"/>
          <w:szCs w:val="16"/>
          <w:lang w:val="es-ES_tradnl"/>
        </w:rPr>
        <w:t>á</w:t>
      </w:r>
      <w:r>
        <w:rPr>
          <w:spacing w:val="-10"/>
          <w:sz w:val="16"/>
          <w:szCs w:val="16"/>
          <w:lang w:val="es-ES_tradnl"/>
        </w:rPr>
        <w:t>beas</w:t>
      </w:r>
      <w:r>
        <w:rPr>
          <w:spacing w:val="-10"/>
          <w:sz w:val="18"/>
          <w:szCs w:val="18"/>
          <w:lang w:val="es-ES_tradnl"/>
        </w:rPr>
        <w:t xml:space="preserve"> </w:t>
      </w:r>
      <w:r>
        <w:rPr>
          <w:spacing w:val="-10"/>
          <w:sz w:val="16"/>
          <w:szCs w:val="16"/>
          <w:lang w:val="es-ES_tradnl"/>
        </w:rPr>
        <w:t>Data</w:t>
      </w:r>
      <w:r>
        <w:rPr>
          <w:spacing w:val="-10"/>
          <w:sz w:val="18"/>
          <w:szCs w:val="18"/>
          <w:lang w:val="es-ES_tradnl"/>
        </w:rPr>
        <w:t xml:space="preserve"> </w:t>
      </w:r>
      <w:r>
        <w:rPr>
          <w:spacing w:val="-10"/>
          <w:sz w:val="16"/>
          <w:szCs w:val="16"/>
          <w:lang w:val="es-ES_tradnl"/>
        </w:rPr>
        <w:t>y</w:t>
      </w:r>
      <w:r>
        <w:rPr>
          <w:spacing w:val="-10"/>
          <w:sz w:val="18"/>
          <w:szCs w:val="18"/>
          <w:lang w:val="es-ES_tradnl"/>
        </w:rPr>
        <w:t xml:space="preserve"> </w:t>
      </w:r>
      <w:r>
        <w:rPr>
          <w:spacing w:val="-10"/>
          <w:sz w:val="16"/>
          <w:szCs w:val="16"/>
          <w:lang w:val="es-ES_tradnl"/>
        </w:rPr>
        <w:t>sus</w:t>
      </w:r>
      <w:r>
        <w:rPr>
          <w:spacing w:val="-10"/>
          <w:sz w:val="18"/>
          <w:szCs w:val="18"/>
          <w:lang w:val="es-ES_tradnl"/>
        </w:rPr>
        <w:t xml:space="preserve"> </w:t>
      </w:r>
      <w:r>
        <w:rPr>
          <w:spacing w:val="-10"/>
          <w:sz w:val="16"/>
          <w:szCs w:val="16"/>
          <w:lang w:val="es-ES_tradnl"/>
        </w:rPr>
        <w:t>alcances</w:t>
      </w:r>
      <w:r>
        <w:rPr>
          <w:spacing w:val="-10"/>
          <w:sz w:val="18"/>
          <w:szCs w:val="18"/>
          <w:lang w:val="es-ES_tradnl"/>
        </w:rPr>
        <w:t xml:space="preserve"> </w:t>
      </w:r>
      <w:r>
        <w:rPr>
          <w:spacing w:val="-10"/>
          <w:sz w:val="16"/>
          <w:szCs w:val="16"/>
          <w:lang w:val="es-ES_tradnl"/>
        </w:rPr>
        <w:t>generales</w:t>
      </w:r>
      <w:r>
        <w:rPr>
          <w:spacing w:val="-10"/>
          <w:sz w:val="18"/>
          <w:szCs w:val="18"/>
          <w:lang w:val="es-ES_tradnl"/>
        </w:rPr>
        <w:t xml:space="preserve"> </w:t>
      </w:r>
      <w:r>
        <w:rPr>
          <w:spacing w:val="-10"/>
          <w:sz w:val="16"/>
          <w:szCs w:val="16"/>
          <w:lang w:val="es-ES_tradnl"/>
        </w:rPr>
        <w:t>en </w:t>
      </w:r>
      <w:r>
        <w:rPr>
          <w:spacing w:val="-9"/>
          <w:sz w:val="16"/>
          <w:szCs w:val="16"/>
          <w:lang w:val="es-ES_tradnl"/>
        </w:rPr>
        <w:t>Per</w:t>
      </w:r>
      <w:r>
        <w:rPr>
          <w:rFonts w:cs="Times New Roman"/>
          <w:spacing w:val="-9"/>
          <w:sz w:val="16"/>
          <w:szCs w:val="16"/>
          <w:lang w:val="es-ES_tradnl"/>
        </w:rPr>
        <w:t>ú”</w:t>
      </w:r>
      <w:r>
        <w:rPr>
          <w:spacing w:val="-9"/>
          <w:sz w:val="16"/>
          <w:szCs w:val="16"/>
          <w:lang w:val="es-ES_tradnl"/>
        </w:rPr>
        <w:t>, Observatorio Iberoamericano de Protecci</w:t>
      </w:r>
      <w:r>
        <w:rPr>
          <w:rFonts w:cs="Times New Roman"/>
          <w:spacing w:val="-9"/>
          <w:sz w:val="16"/>
          <w:szCs w:val="16"/>
          <w:lang w:val="es-ES_tradnl"/>
        </w:rPr>
        <w:t>ó</w:t>
      </w:r>
      <w:r>
        <w:rPr>
          <w:spacing w:val="-9"/>
          <w:sz w:val="16"/>
          <w:szCs w:val="16"/>
          <w:lang w:val="es-ES_tradnl"/>
        </w:rPr>
        <w:t>n de Datos, en: </w:t>
      </w:r>
      <w:hyperlink r:id="rId12" w:history="1">
        <w:r>
          <w:rPr>
            <w:spacing w:val="-10"/>
            <w:sz w:val="16"/>
            <w:szCs w:val="16"/>
            <w:u w:val="single"/>
            <w:lang w:val="es-ES_tradnl"/>
          </w:rPr>
          <w:t>http://oiprodat.com/2013/02/25/habeas-data-y-alcances-generales- </w:t>
        </w:r>
      </w:hyperlink>
      <w:r>
        <w:rPr>
          <w:sz w:val="16"/>
          <w:szCs w:val="16"/>
          <w:lang w:val="es-ES_tradnl"/>
        </w:rPr>
        <w:t>peru/.</w:t>
      </w:r>
    </w:p>
    <w:p w14:paraId="4F67AC2B" w14:textId="77777777" w:rsidR="00591D54" w:rsidRDefault="00591D54">
      <w:pPr>
        <w:shd w:val="clear" w:color="auto" w:fill="FFFFFF"/>
        <w:tabs>
          <w:tab w:val="left" w:pos="144"/>
        </w:tabs>
        <w:spacing w:before="154" w:line="178" w:lineRule="exact"/>
        <w:ind w:left="144" w:hanging="144"/>
        <w:jc w:val="both"/>
      </w:pPr>
      <w:r>
        <w:rPr>
          <w:sz w:val="10"/>
          <w:szCs w:val="10"/>
          <w:vertAlign w:val="superscript"/>
          <w:lang w:val="es-ES_tradnl"/>
        </w:rPr>
        <w:t>6</w:t>
      </w:r>
      <w:r>
        <w:rPr>
          <w:sz w:val="18"/>
          <w:szCs w:val="18"/>
          <w:lang w:val="es-ES_tradnl"/>
        </w:rPr>
        <w:tab/>
      </w:r>
      <w:r>
        <w:rPr>
          <w:spacing w:val="-11"/>
          <w:sz w:val="16"/>
          <w:szCs w:val="16"/>
          <w:lang w:val="es-ES_tradnl"/>
        </w:rPr>
        <w:t>Mu</w:t>
      </w:r>
      <w:r>
        <w:rPr>
          <w:rFonts w:cs="Times New Roman"/>
          <w:spacing w:val="-11"/>
          <w:sz w:val="16"/>
          <w:szCs w:val="16"/>
          <w:lang w:val="es-ES_tradnl"/>
        </w:rPr>
        <w:t>ñ</w:t>
      </w:r>
      <w:r>
        <w:rPr>
          <w:spacing w:val="-11"/>
          <w:sz w:val="16"/>
          <w:szCs w:val="16"/>
          <w:lang w:val="es-ES_tradnl"/>
        </w:rPr>
        <w:t>oz</w:t>
      </w:r>
      <w:r>
        <w:rPr>
          <w:spacing w:val="-11"/>
          <w:sz w:val="18"/>
          <w:szCs w:val="18"/>
          <w:lang w:val="es-ES_tradnl"/>
        </w:rPr>
        <w:t xml:space="preserve"> </w:t>
      </w:r>
      <w:r>
        <w:rPr>
          <w:spacing w:val="-11"/>
          <w:sz w:val="16"/>
          <w:szCs w:val="16"/>
          <w:lang w:val="es-ES_tradnl"/>
        </w:rPr>
        <w:t>de</w:t>
      </w:r>
      <w:r>
        <w:rPr>
          <w:spacing w:val="-11"/>
          <w:sz w:val="18"/>
          <w:szCs w:val="18"/>
          <w:lang w:val="es-ES_tradnl"/>
        </w:rPr>
        <w:t xml:space="preserve"> </w:t>
      </w:r>
      <w:r>
        <w:rPr>
          <w:spacing w:val="-11"/>
          <w:sz w:val="16"/>
          <w:szCs w:val="16"/>
          <w:lang w:val="es-ES_tradnl"/>
        </w:rPr>
        <w:t>Alba</w:t>
      </w:r>
      <w:r>
        <w:rPr>
          <w:spacing w:val="-11"/>
          <w:sz w:val="18"/>
          <w:szCs w:val="18"/>
          <w:lang w:val="es-ES_tradnl"/>
        </w:rPr>
        <w:t xml:space="preserve"> </w:t>
      </w:r>
      <w:r>
        <w:rPr>
          <w:spacing w:val="-11"/>
          <w:sz w:val="16"/>
          <w:szCs w:val="16"/>
          <w:lang w:val="es-ES_tradnl"/>
        </w:rPr>
        <w:t>Medrano,</w:t>
      </w:r>
      <w:r>
        <w:rPr>
          <w:spacing w:val="-11"/>
          <w:sz w:val="18"/>
          <w:szCs w:val="18"/>
          <w:lang w:val="es-ES_tradnl"/>
        </w:rPr>
        <w:t xml:space="preserve"> </w:t>
      </w:r>
      <w:r>
        <w:rPr>
          <w:spacing w:val="-11"/>
          <w:sz w:val="16"/>
          <w:szCs w:val="16"/>
          <w:lang w:val="es-ES_tradnl"/>
        </w:rPr>
        <w:t>Marcia,</w:t>
      </w:r>
      <w:r>
        <w:rPr>
          <w:spacing w:val="-11"/>
          <w:sz w:val="18"/>
          <w:szCs w:val="18"/>
          <w:lang w:val="es-ES_tradnl"/>
        </w:rPr>
        <w:t xml:space="preserve"> </w:t>
      </w:r>
      <w:r>
        <w:rPr>
          <w:rFonts w:cs="Times New Roman"/>
          <w:spacing w:val="-11"/>
          <w:sz w:val="16"/>
          <w:szCs w:val="16"/>
          <w:lang w:val="es-ES_tradnl"/>
        </w:rPr>
        <w:t>“</w:t>
      </w:r>
      <w:r>
        <w:rPr>
          <w:spacing w:val="-11"/>
          <w:sz w:val="16"/>
          <w:szCs w:val="16"/>
          <w:lang w:val="es-ES_tradnl"/>
        </w:rPr>
        <w:t>H</w:t>
      </w:r>
      <w:r>
        <w:rPr>
          <w:rFonts w:cs="Times New Roman"/>
          <w:spacing w:val="-11"/>
          <w:sz w:val="16"/>
          <w:szCs w:val="16"/>
          <w:lang w:val="es-ES_tradnl"/>
        </w:rPr>
        <w:t>á</w:t>
      </w:r>
      <w:r>
        <w:rPr>
          <w:spacing w:val="-11"/>
          <w:sz w:val="16"/>
          <w:szCs w:val="16"/>
          <w:lang w:val="es-ES_tradnl"/>
        </w:rPr>
        <w:t>beas</w:t>
      </w:r>
      <w:r>
        <w:rPr>
          <w:spacing w:val="-11"/>
          <w:sz w:val="18"/>
          <w:szCs w:val="18"/>
          <w:lang w:val="es-ES_tradnl"/>
        </w:rPr>
        <w:t xml:space="preserve"> </w:t>
      </w:r>
      <w:r>
        <w:rPr>
          <w:spacing w:val="-11"/>
          <w:sz w:val="16"/>
          <w:szCs w:val="16"/>
          <w:lang w:val="es-ES_tradnl"/>
        </w:rPr>
        <w:t>Data</w:t>
      </w:r>
      <w:r>
        <w:rPr>
          <w:rFonts w:cs="Times New Roman"/>
          <w:spacing w:val="-11"/>
          <w:sz w:val="16"/>
          <w:szCs w:val="16"/>
          <w:lang w:val="es-ES_tradnl"/>
        </w:rPr>
        <w:t>”</w:t>
      </w:r>
      <w:r>
        <w:rPr>
          <w:spacing w:val="-11"/>
          <w:sz w:val="16"/>
          <w:szCs w:val="16"/>
          <w:lang w:val="es-ES_tradnl"/>
        </w:rPr>
        <w:t>,</w:t>
      </w:r>
      <w:r>
        <w:rPr>
          <w:spacing w:val="-11"/>
          <w:sz w:val="18"/>
          <w:szCs w:val="18"/>
          <w:lang w:val="es-ES_tradnl"/>
        </w:rPr>
        <w:t xml:space="preserve"> </w:t>
      </w:r>
      <w:r>
        <w:rPr>
          <w:spacing w:val="-11"/>
          <w:sz w:val="16"/>
          <w:szCs w:val="16"/>
          <w:lang w:val="es-ES_tradnl"/>
        </w:rPr>
        <w:t>Biblioteca</w:t>
      </w:r>
      <w:r>
        <w:rPr>
          <w:spacing w:val="-11"/>
          <w:sz w:val="18"/>
          <w:szCs w:val="18"/>
          <w:lang w:val="es-ES_tradnl"/>
        </w:rPr>
        <w:t xml:space="preserve"> </w:t>
      </w:r>
      <w:r>
        <w:rPr>
          <w:spacing w:val="-11"/>
          <w:sz w:val="16"/>
          <w:szCs w:val="16"/>
          <w:lang w:val="es-ES_tradnl"/>
        </w:rPr>
        <w:t>Jur</w:t>
      </w:r>
      <w:r>
        <w:rPr>
          <w:rFonts w:cs="Times New Roman"/>
          <w:spacing w:val="-11"/>
          <w:sz w:val="16"/>
          <w:szCs w:val="16"/>
          <w:lang w:val="es-ES_tradnl"/>
        </w:rPr>
        <w:t>í</w:t>
      </w:r>
      <w:r>
        <w:rPr>
          <w:spacing w:val="-11"/>
          <w:sz w:val="16"/>
          <w:szCs w:val="16"/>
          <w:lang w:val="es-ES_tradnl"/>
        </w:rPr>
        <w:t>dica </w:t>
      </w:r>
      <w:r>
        <w:rPr>
          <w:spacing w:val="-7"/>
          <w:sz w:val="16"/>
          <w:szCs w:val="16"/>
          <w:lang w:val="es-ES_tradnl"/>
        </w:rPr>
        <w:t>Virtual de la Universidad Aut</w:t>
      </w:r>
      <w:r>
        <w:rPr>
          <w:rFonts w:cs="Times New Roman"/>
          <w:spacing w:val="-7"/>
          <w:sz w:val="16"/>
          <w:szCs w:val="16"/>
          <w:lang w:val="es-ES_tradnl"/>
        </w:rPr>
        <w:t>ó</w:t>
      </w:r>
      <w:r>
        <w:rPr>
          <w:spacing w:val="-7"/>
          <w:sz w:val="16"/>
          <w:szCs w:val="16"/>
          <w:lang w:val="es-ES_tradnl"/>
        </w:rPr>
        <w:t>noma de M</w:t>
      </w:r>
      <w:r>
        <w:rPr>
          <w:rFonts w:cs="Times New Roman"/>
          <w:spacing w:val="-7"/>
          <w:sz w:val="16"/>
          <w:szCs w:val="16"/>
          <w:lang w:val="es-ES_tradnl"/>
        </w:rPr>
        <w:t>é</w:t>
      </w:r>
      <w:r>
        <w:rPr>
          <w:spacing w:val="-7"/>
          <w:sz w:val="16"/>
          <w:szCs w:val="16"/>
          <w:lang w:val="es-ES_tradnl"/>
        </w:rPr>
        <w:t xml:space="preserve">xico, en: </w:t>
      </w:r>
      <w:hyperlink r:id="rId13" w:history="1">
        <w:r>
          <w:rPr>
            <w:spacing w:val="-7"/>
            <w:sz w:val="16"/>
            <w:szCs w:val="16"/>
            <w:u w:val="single"/>
            <w:lang w:val="es-ES_tradnl"/>
          </w:rPr>
          <w:t>http://biblio</w:t>
        </w:r>
      </w:hyperlink>
      <w:r>
        <w:rPr>
          <w:spacing w:val="-7"/>
          <w:sz w:val="16"/>
          <w:szCs w:val="16"/>
          <w:lang w:val="es-ES_tradnl"/>
        </w:rPr>
        <w:t>. </w:t>
      </w:r>
      <w:r>
        <w:rPr>
          <w:sz w:val="16"/>
          <w:szCs w:val="16"/>
          <w:lang w:val="es-ES_tradnl"/>
        </w:rPr>
        <w:t>juridicas.unam.mx/libros/5/2264/4.pdf</w:t>
      </w:r>
    </w:p>
    <w:p w14:paraId="4F67AC2C" w14:textId="77777777" w:rsidR="00591D54" w:rsidRDefault="00591D54">
      <w:pPr>
        <w:shd w:val="clear" w:color="auto" w:fill="FFFFFF"/>
        <w:tabs>
          <w:tab w:val="left" w:pos="144"/>
        </w:tabs>
        <w:spacing w:before="154" w:line="178" w:lineRule="exact"/>
        <w:ind w:left="144" w:hanging="144"/>
        <w:jc w:val="both"/>
        <w:sectPr w:rsidR="00591D54">
          <w:type w:val="continuous"/>
          <w:pgSz w:w="11909" w:h="16834"/>
          <w:pgMar w:top="1356" w:right="1309" w:bottom="360" w:left="1308" w:header="720" w:footer="720" w:gutter="0"/>
          <w:cols w:num="2" w:space="720" w:equalWidth="0">
            <w:col w:w="4310" w:space="677"/>
            <w:col w:w="4305"/>
          </w:cols>
          <w:noEndnote/>
        </w:sectPr>
      </w:pPr>
    </w:p>
    <w:p w14:paraId="4F67AC2D" w14:textId="77777777" w:rsidR="00591D54" w:rsidRDefault="00591D54">
      <w:pPr>
        <w:shd w:val="clear" w:color="auto" w:fill="FFFFFF"/>
        <w:tabs>
          <w:tab w:val="left" w:pos="4814"/>
        </w:tabs>
        <w:spacing w:after="235"/>
        <w:ind w:left="14"/>
      </w:pPr>
      <w:r>
        <w:rPr>
          <w:b/>
          <w:bCs/>
          <w:sz w:val="18"/>
          <w:szCs w:val="18"/>
          <w:lang w:val="es-ES_tradnl"/>
        </w:rPr>
        <w:t xml:space="preserve">106 -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C2E" w14:textId="77777777" w:rsidR="00591D54" w:rsidRDefault="00591D54">
      <w:pPr>
        <w:shd w:val="clear" w:color="auto" w:fill="FFFFFF"/>
        <w:tabs>
          <w:tab w:val="left" w:pos="4814"/>
        </w:tabs>
        <w:spacing w:after="235"/>
        <w:ind w:left="14"/>
        <w:sectPr w:rsidR="00591D54">
          <w:pgSz w:w="11909" w:h="16834"/>
          <w:pgMar w:top="1356" w:right="1309" w:bottom="360" w:left="1308" w:header="720" w:footer="720" w:gutter="0"/>
          <w:cols w:space="60"/>
          <w:noEndnote/>
        </w:sectPr>
      </w:pPr>
    </w:p>
    <w:p w14:paraId="4F67AC2F" w14:textId="77777777" w:rsidR="00591D54" w:rsidRDefault="00591D54">
      <w:pPr>
        <w:shd w:val="clear" w:color="auto" w:fill="FFFFFF"/>
        <w:spacing w:line="211" w:lineRule="exact"/>
        <w:jc w:val="both"/>
      </w:pPr>
      <w:r>
        <w:rPr>
          <w:spacing w:val="-7"/>
          <w:sz w:val="18"/>
          <w:szCs w:val="18"/>
          <w:lang w:val="es-ES_tradnl"/>
        </w:rPr>
        <w:t>En ese contexto, esta Corte ha se</w:t>
      </w:r>
      <w:r>
        <w:rPr>
          <w:rFonts w:cs="Times New Roman"/>
          <w:spacing w:val="-7"/>
          <w:sz w:val="18"/>
          <w:szCs w:val="18"/>
          <w:lang w:val="es-ES_tradnl"/>
        </w:rPr>
        <w:t>ñ</w:t>
      </w:r>
      <w:r>
        <w:rPr>
          <w:spacing w:val="-7"/>
          <w:sz w:val="18"/>
          <w:szCs w:val="18"/>
          <w:lang w:val="es-ES_tradnl"/>
        </w:rPr>
        <w:t xml:space="preserve">alado que las normas </w:t>
      </w:r>
      <w:r>
        <w:rPr>
          <w:spacing w:val="-6"/>
          <w:sz w:val="18"/>
          <w:szCs w:val="18"/>
          <w:lang w:val="es-ES_tradnl"/>
        </w:rPr>
        <w:t>que consagran dicha acci</w:t>
      </w:r>
      <w:r>
        <w:rPr>
          <w:rFonts w:cs="Times New Roman"/>
          <w:spacing w:val="-6"/>
          <w:sz w:val="18"/>
          <w:szCs w:val="18"/>
          <w:lang w:val="es-ES_tradnl"/>
        </w:rPr>
        <w:t>ó</w:t>
      </w:r>
      <w:r>
        <w:rPr>
          <w:spacing w:val="-6"/>
          <w:sz w:val="18"/>
          <w:szCs w:val="18"/>
          <w:lang w:val="es-ES_tradnl"/>
        </w:rPr>
        <w:t xml:space="preserve">n constitucional </w:t>
      </w:r>
      <w:r>
        <w:rPr>
          <w:rFonts w:cs="Times New Roman"/>
          <w:spacing w:val="-6"/>
          <w:sz w:val="18"/>
          <w:szCs w:val="18"/>
          <w:lang w:val="es-ES_tradnl"/>
        </w:rPr>
        <w:t>“</w:t>
      </w:r>
      <w:r>
        <w:rPr>
          <w:spacing w:val="-6"/>
          <w:sz w:val="18"/>
          <w:szCs w:val="18"/>
          <w:lang w:val="es-ES_tradnl"/>
        </w:rPr>
        <w:t xml:space="preserve">son claras al </w:t>
      </w:r>
      <w:r>
        <w:rPr>
          <w:spacing w:val="-8"/>
          <w:sz w:val="18"/>
          <w:szCs w:val="18"/>
          <w:lang w:val="es-ES_tradnl"/>
        </w:rPr>
        <w:t>determinar la naturaleza y objeto de la acci</w:t>
      </w:r>
      <w:r>
        <w:rPr>
          <w:rFonts w:cs="Times New Roman"/>
          <w:spacing w:val="-8"/>
          <w:sz w:val="18"/>
          <w:szCs w:val="18"/>
          <w:lang w:val="es-ES_tradnl"/>
        </w:rPr>
        <w:t>ó</w:t>
      </w:r>
      <w:r>
        <w:rPr>
          <w:spacing w:val="-8"/>
          <w:sz w:val="18"/>
          <w:szCs w:val="18"/>
          <w:lang w:val="es-ES_tradnl"/>
        </w:rPr>
        <w:t>n de h</w:t>
      </w:r>
      <w:r>
        <w:rPr>
          <w:rFonts w:cs="Times New Roman"/>
          <w:spacing w:val="-8"/>
          <w:sz w:val="18"/>
          <w:szCs w:val="18"/>
          <w:lang w:val="es-ES_tradnl"/>
        </w:rPr>
        <w:t>á</w:t>
      </w:r>
      <w:r>
        <w:rPr>
          <w:spacing w:val="-8"/>
          <w:sz w:val="18"/>
          <w:szCs w:val="18"/>
          <w:lang w:val="es-ES_tradnl"/>
        </w:rPr>
        <w:t xml:space="preserve">beas </w:t>
      </w:r>
      <w:r>
        <w:rPr>
          <w:spacing w:val="-6"/>
          <w:sz w:val="18"/>
          <w:szCs w:val="18"/>
          <w:lang w:val="es-ES_tradnl"/>
        </w:rPr>
        <w:t>data</w:t>
      </w:r>
      <w:r>
        <w:rPr>
          <w:rFonts w:cs="Times New Roman"/>
          <w:spacing w:val="-6"/>
          <w:sz w:val="18"/>
          <w:szCs w:val="18"/>
          <w:lang w:val="es-ES_tradnl"/>
        </w:rPr>
        <w:t>”</w:t>
      </w:r>
      <w:r>
        <w:rPr>
          <w:spacing w:val="-6"/>
          <w:sz w:val="18"/>
          <w:szCs w:val="18"/>
          <w:lang w:val="es-ES_tradnl"/>
        </w:rPr>
        <w:t xml:space="preserve">, los cuales se refieren al derecho que tiene toda </w:t>
      </w:r>
      <w:r>
        <w:rPr>
          <w:spacing w:val="-11"/>
          <w:sz w:val="18"/>
          <w:szCs w:val="18"/>
          <w:lang w:val="es-ES_tradnl"/>
        </w:rPr>
        <w:t xml:space="preserve">persona para acceder a los documentos de datos personales </w:t>
      </w:r>
      <w:r>
        <w:rPr>
          <w:spacing w:val="-8"/>
          <w:sz w:val="18"/>
          <w:szCs w:val="18"/>
          <w:lang w:val="es-ES_tradnl"/>
        </w:rPr>
        <w:t>que sobre s</w:t>
      </w:r>
      <w:r>
        <w:rPr>
          <w:rFonts w:cs="Times New Roman"/>
          <w:spacing w:val="-8"/>
          <w:sz w:val="18"/>
          <w:szCs w:val="18"/>
          <w:lang w:val="es-ES_tradnl"/>
        </w:rPr>
        <w:t>í</w:t>
      </w:r>
      <w:r>
        <w:rPr>
          <w:spacing w:val="-8"/>
          <w:sz w:val="18"/>
          <w:szCs w:val="18"/>
          <w:lang w:val="es-ES_tradnl"/>
        </w:rPr>
        <w:t xml:space="preserve"> misma posean personas naturales o jur</w:t>
      </w:r>
      <w:r>
        <w:rPr>
          <w:rFonts w:cs="Times New Roman"/>
          <w:spacing w:val="-8"/>
          <w:sz w:val="18"/>
          <w:szCs w:val="18"/>
          <w:lang w:val="es-ES_tradnl"/>
        </w:rPr>
        <w:t>í</w:t>
      </w:r>
      <w:r>
        <w:rPr>
          <w:spacing w:val="-8"/>
          <w:sz w:val="18"/>
          <w:szCs w:val="18"/>
          <w:lang w:val="es-ES_tradnl"/>
        </w:rPr>
        <w:t>dicas p</w:t>
      </w:r>
      <w:r>
        <w:rPr>
          <w:rFonts w:cs="Times New Roman"/>
          <w:spacing w:val="-8"/>
          <w:sz w:val="18"/>
          <w:szCs w:val="18"/>
          <w:lang w:val="es-ES_tradnl"/>
        </w:rPr>
        <w:t>ú</w:t>
      </w:r>
      <w:r>
        <w:rPr>
          <w:spacing w:val="-8"/>
          <w:sz w:val="18"/>
          <w:szCs w:val="18"/>
          <w:lang w:val="es-ES_tradnl"/>
        </w:rPr>
        <w:t xml:space="preserve">blicas o privadas, </w:t>
      </w:r>
      <w:r>
        <w:rPr>
          <w:rFonts w:cs="Times New Roman"/>
          <w:spacing w:val="-8"/>
          <w:sz w:val="18"/>
          <w:szCs w:val="18"/>
          <w:lang w:val="es-ES_tradnl"/>
        </w:rPr>
        <w:t>“</w:t>
      </w:r>
      <w:r>
        <w:rPr>
          <w:spacing w:val="-8"/>
          <w:sz w:val="18"/>
          <w:szCs w:val="18"/>
          <w:lang w:val="es-ES_tradnl"/>
        </w:rPr>
        <w:t>as</w:t>
      </w:r>
      <w:r>
        <w:rPr>
          <w:rFonts w:cs="Times New Roman"/>
          <w:spacing w:val="-8"/>
          <w:sz w:val="18"/>
          <w:szCs w:val="18"/>
          <w:lang w:val="es-ES_tradnl"/>
        </w:rPr>
        <w:t>í</w:t>
      </w:r>
      <w:r>
        <w:rPr>
          <w:spacing w:val="-8"/>
          <w:sz w:val="18"/>
          <w:szCs w:val="18"/>
          <w:lang w:val="es-ES_tradnl"/>
        </w:rPr>
        <w:t xml:space="preserve"> como la posibilidad de acudir ante </w:t>
      </w:r>
      <w:r>
        <w:rPr>
          <w:spacing w:val="-7"/>
          <w:sz w:val="18"/>
          <w:szCs w:val="18"/>
          <w:lang w:val="es-ES_tradnl"/>
        </w:rPr>
        <w:t xml:space="preserve">el juez competente cuando se le imposibilite el ejercicio de </w:t>
      </w:r>
      <w:r>
        <w:rPr>
          <w:sz w:val="18"/>
          <w:szCs w:val="18"/>
          <w:lang w:val="es-ES_tradnl"/>
        </w:rPr>
        <w:t>su derecho</w:t>
      </w:r>
      <w:r>
        <w:rPr>
          <w:rFonts w:cs="Times New Roman"/>
          <w:sz w:val="18"/>
          <w:szCs w:val="18"/>
          <w:lang w:val="es-ES_tradnl"/>
        </w:rPr>
        <w:t>”</w:t>
      </w:r>
      <w:r>
        <w:rPr>
          <w:sz w:val="18"/>
          <w:szCs w:val="18"/>
          <w:vertAlign w:val="superscript"/>
          <w:lang w:val="es-ES_tradnl"/>
        </w:rPr>
        <w:t>7</w:t>
      </w:r>
      <w:r>
        <w:rPr>
          <w:sz w:val="18"/>
          <w:szCs w:val="18"/>
          <w:lang w:val="es-ES_tradnl"/>
        </w:rPr>
        <w:t>.</w:t>
      </w:r>
    </w:p>
    <w:p w14:paraId="4F67AC30" w14:textId="77777777" w:rsidR="00591D54" w:rsidRDefault="00591D54">
      <w:pPr>
        <w:shd w:val="clear" w:color="auto" w:fill="FFFFFF"/>
        <w:spacing w:before="197" w:line="211" w:lineRule="exact"/>
        <w:ind w:right="5"/>
        <w:jc w:val="both"/>
      </w:pPr>
      <w:r>
        <w:rPr>
          <w:spacing w:val="-9"/>
          <w:sz w:val="18"/>
          <w:szCs w:val="18"/>
          <w:lang w:val="es-ES_tradnl"/>
        </w:rPr>
        <w:t xml:space="preserve">Reforzando aquel criterio, este Organismo constitucional ha </w:t>
      </w:r>
      <w:r>
        <w:rPr>
          <w:spacing w:val="-10"/>
          <w:sz w:val="18"/>
          <w:szCs w:val="18"/>
          <w:lang w:val="es-ES_tradnl"/>
        </w:rPr>
        <w:t>puntualizado que la naturaleza de esta garant</w:t>
      </w:r>
      <w:r>
        <w:rPr>
          <w:rFonts w:cs="Times New Roman"/>
          <w:spacing w:val="-10"/>
          <w:sz w:val="18"/>
          <w:szCs w:val="18"/>
          <w:lang w:val="es-ES_tradnl"/>
        </w:rPr>
        <w:t>í</w:t>
      </w:r>
      <w:r>
        <w:rPr>
          <w:spacing w:val="-10"/>
          <w:sz w:val="18"/>
          <w:szCs w:val="18"/>
          <w:lang w:val="es-ES_tradnl"/>
        </w:rPr>
        <w:t xml:space="preserve">a jurisdiccional </w:t>
      </w:r>
      <w:r>
        <w:rPr>
          <w:rFonts w:cs="Times New Roman"/>
          <w:spacing w:val="-4"/>
          <w:sz w:val="18"/>
          <w:szCs w:val="18"/>
          <w:lang w:val="es-ES_tradnl"/>
        </w:rPr>
        <w:t>“</w:t>
      </w:r>
      <w:r>
        <w:rPr>
          <w:spacing w:val="-4"/>
          <w:sz w:val="18"/>
          <w:szCs w:val="18"/>
          <w:lang w:val="es-ES_tradnl"/>
        </w:rPr>
        <w:t xml:space="preserve">viene a estar considerada como un mecanismo de </w:t>
      </w:r>
      <w:r>
        <w:rPr>
          <w:spacing w:val="-9"/>
          <w:sz w:val="18"/>
          <w:szCs w:val="18"/>
          <w:lang w:val="es-ES_tradnl"/>
        </w:rPr>
        <w:t>satisfacci</w:t>
      </w:r>
      <w:r>
        <w:rPr>
          <w:rFonts w:cs="Times New Roman"/>
          <w:spacing w:val="-9"/>
          <w:sz w:val="18"/>
          <w:szCs w:val="18"/>
          <w:lang w:val="es-ES_tradnl"/>
        </w:rPr>
        <w:t>ó</w:t>
      </w:r>
      <w:r>
        <w:rPr>
          <w:spacing w:val="-9"/>
          <w:sz w:val="18"/>
          <w:szCs w:val="18"/>
          <w:lang w:val="es-ES_tradnl"/>
        </w:rPr>
        <w:t xml:space="preserve">n urgente para que las personas puedan obtener </w:t>
      </w:r>
      <w:r>
        <w:rPr>
          <w:spacing w:val="-7"/>
          <w:sz w:val="18"/>
          <w:szCs w:val="18"/>
          <w:lang w:val="es-ES_tradnl"/>
        </w:rPr>
        <w:t>el conocimiento de los datos a ellos referidos, y advertirse sobre su finalidad, sea que dicha informaci</w:t>
      </w:r>
      <w:r>
        <w:rPr>
          <w:rFonts w:cs="Times New Roman"/>
          <w:spacing w:val="-7"/>
          <w:sz w:val="18"/>
          <w:szCs w:val="18"/>
          <w:lang w:val="es-ES_tradnl"/>
        </w:rPr>
        <w:t>ó</w:t>
      </w:r>
      <w:r>
        <w:rPr>
          <w:spacing w:val="-7"/>
          <w:sz w:val="18"/>
          <w:szCs w:val="18"/>
          <w:lang w:val="es-ES_tradnl"/>
        </w:rPr>
        <w:t xml:space="preserve">n conste en el </w:t>
      </w:r>
      <w:r>
        <w:rPr>
          <w:spacing w:val="-6"/>
          <w:sz w:val="18"/>
          <w:szCs w:val="18"/>
          <w:lang w:val="es-ES_tradnl"/>
        </w:rPr>
        <w:t>registro o banco de datos p</w:t>
      </w:r>
      <w:r>
        <w:rPr>
          <w:rFonts w:cs="Times New Roman"/>
          <w:spacing w:val="-6"/>
          <w:sz w:val="18"/>
          <w:szCs w:val="18"/>
          <w:lang w:val="es-ES_tradnl"/>
        </w:rPr>
        <w:t>ú</w:t>
      </w:r>
      <w:r>
        <w:rPr>
          <w:spacing w:val="-6"/>
          <w:sz w:val="18"/>
          <w:szCs w:val="18"/>
          <w:lang w:val="es-ES_tradnl"/>
        </w:rPr>
        <w:t>blico o privado</w:t>
      </w:r>
      <w:r>
        <w:rPr>
          <w:rFonts w:cs="Times New Roman"/>
          <w:spacing w:val="-6"/>
          <w:sz w:val="18"/>
          <w:szCs w:val="18"/>
          <w:lang w:val="es-ES_tradnl"/>
        </w:rPr>
        <w:t>”</w:t>
      </w:r>
      <w:r>
        <w:rPr>
          <w:spacing w:val="-6"/>
          <w:sz w:val="18"/>
          <w:szCs w:val="18"/>
          <w:vertAlign w:val="superscript"/>
          <w:lang w:val="es-ES_tradnl"/>
        </w:rPr>
        <w:t>8</w:t>
      </w:r>
      <w:r>
        <w:rPr>
          <w:spacing w:val="-6"/>
          <w:sz w:val="18"/>
          <w:szCs w:val="18"/>
          <w:lang w:val="es-ES_tradnl"/>
        </w:rPr>
        <w:t>.</w:t>
      </w:r>
    </w:p>
    <w:p w14:paraId="4F67AC31" w14:textId="77777777" w:rsidR="00591D54" w:rsidRDefault="00591D54">
      <w:pPr>
        <w:shd w:val="clear" w:color="auto" w:fill="FFFFFF"/>
        <w:spacing w:before="197" w:line="216" w:lineRule="exact"/>
        <w:jc w:val="both"/>
      </w:pPr>
      <w:r>
        <w:rPr>
          <w:spacing w:val="-8"/>
          <w:sz w:val="18"/>
          <w:szCs w:val="18"/>
          <w:lang w:val="es-ES_tradnl"/>
        </w:rPr>
        <w:t>Por consiguiente, la acci</w:t>
      </w:r>
      <w:r>
        <w:rPr>
          <w:rFonts w:cs="Times New Roman"/>
          <w:spacing w:val="-8"/>
          <w:sz w:val="18"/>
          <w:szCs w:val="18"/>
          <w:lang w:val="es-ES_tradnl"/>
        </w:rPr>
        <w:t>ó</w:t>
      </w:r>
      <w:r>
        <w:rPr>
          <w:spacing w:val="-8"/>
          <w:sz w:val="18"/>
          <w:szCs w:val="18"/>
          <w:lang w:val="es-ES_tradnl"/>
        </w:rPr>
        <w:t>n de h</w:t>
      </w:r>
      <w:r>
        <w:rPr>
          <w:rFonts w:cs="Times New Roman"/>
          <w:spacing w:val="-8"/>
          <w:sz w:val="18"/>
          <w:szCs w:val="18"/>
          <w:lang w:val="es-ES_tradnl"/>
        </w:rPr>
        <w:t>á</w:t>
      </w:r>
      <w:r>
        <w:rPr>
          <w:spacing w:val="-8"/>
          <w:sz w:val="18"/>
          <w:szCs w:val="18"/>
          <w:lang w:val="es-ES_tradnl"/>
        </w:rPr>
        <w:t>beas data es la garant</w:t>
      </w:r>
      <w:r>
        <w:rPr>
          <w:rFonts w:cs="Times New Roman"/>
          <w:spacing w:val="-8"/>
          <w:sz w:val="18"/>
          <w:szCs w:val="18"/>
          <w:lang w:val="es-ES_tradnl"/>
        </w:rPr>
        <w:t>í</w:t>
      </w:r>
      <w:r>
        <w:rPr>
          <w:spacing w:val="-8"/>
          <w:sz w:val="18"/>
          <w:szCs w:val="18"/>
          <w:lang w:val="es-ES_tradnl"/>
        </w:rPr>
        <w:t>a constitucional que le permite a la persona natural o jur</w:t>
      </w:r>
      <w:r>
        <w:rPr>
          <w:rFonts w:cs="Times New Roman"/>
          <w:spacing w:val="-8"/>
          <w:sz w:val="18"/>
          <w:szCs w:val="18"/>
          <w:lang w:val="es-ES_tradnl"/>
        </w:rPr>
        <w:t>í</w:t>
      </w:r>
      <w:r>
        <w:rPr>
          <w:spacing w:val="-8"/>
          <w:sz w:val="18"/>
          <w:szCs w:val="18"/>
          <w:lang w:val="es-ES_tradnl"/>
        </w:rPr>
        <w:t>dica, acceder a la informaci</w:t>
      </w:r>
      <w:r>
        <w:rPr>
          <w:rFonts w:cs="Times New Roman"/>
          <w:spacing w:val="-8"/>
          <w:sz w:val="18"/>
          <w:szCs w:val="18"/>
          <w:lang w:val="es-ES_tradnl"/>
        </w:rPr>
        <w:t>ó</w:t>
      </w:r>
      <w:r>
        <w:rPr>
          <w:spacing w:val="-8"/>
          <w:sz w:val="18"/>
          <w:szCs w:val="18"/>
          <w:lang w:val="es-ES_tradnl"/>
        </w:rPr>
        <w:t>n que sobre s</w:t>
      </w:r>
      <w:r>
        <w:rPr>
          <w:rFonts w:cs="Times New Roman"/>
          <w:spacing w:val="-8"/>
          <w:sz w:val="18"/>
          <w:szCs w:val="18"/>
          <w:lang w:val="es-ES_tradnl"/>
        </w:rPr>
        <w:t>í</w:t>
      </w:r>
      <w:r>
        <w:rPr>
          <w:spacing w:val="-8"/>
          <w:sz w:val="18"/>
          <w:szCs w:val="18"/>
          <w:lang w:val="es-ES_tradnl"/>
        </w:rPr>
        <w:t xml:space="preserve"> misma reposa en un </w:t>
      </w:r>
      <w:r>
        <w:rPr>
          <w:spacing w:val="-9"/>
          <w:sz w:val="18"/>
          <w:szCs w:val="18"/>
          <w:lang w:val="es-ES_tradnl"/>
        </w:rPr>
        <w:t>registro o banco de datos de car</w:t>
      </w:r>
      <w:r>
        <w:rPr>
          <w:rFonts w:cs="Times New Roman"/>
          <w:spacing w:val="-9"/>
          <w:sz w:val="18"/>
          <w:szCs w:val="18"/>
          <w:lang w:val="es-ES_tradnl"/>
        </w:rPr>
        <w:t>á</w:t>
      </w:r>
      <w:r>
        <w:rPr>
          <w:spacing w:val="-9"/>
          <w:sz w:val="18"/>
          <w:szCs w:val="18"/>
          <w:lang w:val="es-ES_tradnl"/>
        </w:rPr>
        <w:t>cter p</w:t>
      </w:r>
      <w:r>
        <w:rPr>
          <w:rFonts w:cs="Times New Roman"/>
          <w:spacing w:val="-9"/>
          <w:sz w:val="18"/>
          <w:szCs w:val="18"/>
          <w:lang w:val="es-ES_tradnl"/>
        </w:rPr>
        <w:t>ú</w:t>
      </w:r>
      <w:r>
        <w:rPr>
          <w:spacing w:val="-9"/>
          <w:sz w:val="18"/>
          <w:szCs w:val="18"/>
          <w:lang w:val="es-ES_tradnl"/>
        </w:rPr>
        <w:t xml:space="preserve">blico o privado a fin de conocer el contenido de la misma y de ser el caso, exigir </w:t>
      </w:r>
      <w:r>
        <w:rPr>
          <w:spacing w:val="-3"/>
          <w:sz w:val="18"/>
          <w:szCs w:val="18"/>
          <w:lang w:val="es-ES_tradnl"/>
        </w:rPr>
        <w:t>su actualizaci</w:t>
      </w:r>
      <w:r>
        <w:rPr>
          <w:rFonts w:cs="Times New Roman"/>
          <w:spacing w:val="-3"/>
          <w:sz w:val="18"/>
          <w:szCs w:val="18"/>
          <w:lang w:val="es-ES_tradnl"/>
        </w:rPr>
        <w:t>ó</w:t>
      </w:r>
      <w:r>
        <w:rPr>
          <w:spacing w:val="-3"/>
          <w:sz w:val="18"/>
          <w:szCs w:val="18"/>
          <w:lang w:val="es-ES_tradnl"/>
        </w:rPr>
        <w:t>n, rectificaci</w:t>
      </w:r>
      <w:r>
        <w:rPr>
          <w:rFonts w:cs="Times New Roman"/>
          <w:spacing w:val="-3"/>
          <w:sz w:val="18"/>
          <w:szCs w:val="18"/>
          <w:lang w:val="es-ES_tradnl"/>
        </w:rPr>
        <w:t>ó</w:t>
      </w:r>
      <w:r>
        <w:rPr>
          <w:spacing w:val="-3"/>
          <w:sz w:val="18"/>
          <w:szCs w:val="18"/>
          <w:lang w:val="es-ES_tradnl"/>
        </w:rPr>
        <w:t>n, eliminaci</w:t>
      </w:r>
      <w:r>
        <w:rPr>
          <w:rFonts w:cs="Times New Roman"/>
          <w:spacing w:val="-3"/>
          <w:sz w:val="18"/>
          <w:szCs w:val="18"/>
          <w:lang w:val="es-ES_tradnl"/>
        </w:rPr>
        <w:t>ó</w:t>
      </w:r>
      <w:r>
        <w:rPr>
          <w:spacing w:val="-3"/>
          <w:sz w:val="18"/>
          <w:szCs w:val="18"/>
          <w:lang w:val="es-ES_tradnl"/>
        </w:rPr>
        <w:t>n o anulaci</w:t>
      </w:r>
      <w:r>
        <w:rPr>
          <w:rFonts w:cs="Times New Roman"/>
          <w:spacing w:val="-3"/>
          <w:sz w:val="18"/>
          <w:szCs w:val="18"/>
          <w:lang w:val="es-ES_tradnl"/>
        </w:rPr>
        <w:t>ó</w:t>
      </w:r>
      <w:r>
        <w:rPr>
          <w:spacing w:val="-3"/>
          <w:sz w:val="18"/>
          <w:szCs w:val="18"/>
          <w:lang w:val="es-ES_tradnl"/>
        </w:rPr>
        <w:t xml:space="preserve">n </w:t>
      </w:r>
      <w:r>
        <w:rPr>
          <w:spacing w:val="-8"/>
          <w:sz w:val="18"/>
          <w:szCs w:val="18"/>
          <w:lang w:val="es-ES_tradnl"/>
        </w:rPr>
        <w:t>cuando aquella informaci</w:t>
      </w:r>
      <w:r>
        <w:rPr>
          <w:rFonts w:cs="Times New Roman"/>
          <w:spacing w:val="-8"/>
          <w:sz w:val="18"/>
          <w:szCs w:val="18"/>
          <w:lang w:val="es-ES_tradnl"/>
        </w:rPr>
        <w:t>ó</w:t>
      </w:r>
      <w:r>
        <w:rPr>
          <w:spacing w:val="-8"/>
          <w:sz w:val="18"/>
          <w:szCs w:val="18"/>
          <w:lang w:val="es-ES_tradnl"/>
        </w:rPr>
        <w:t>n le causa alg</w:t>
      </w:r>
      <w:r>
        <w:rPr>
          <w:rFonts w:cs="Times New Roman"/>
          <w:spacing w:val="-8"/>
          <w:sz w:val="18"/>
          <w:szCs w:val="18"/>
          <w:lang w:val="es-ES_tradnl"/>
        </w:rPr>
        <w:t>ú</w:t>
      </w:r>
      <w:r>
        <w:rPr>
          <w:spacing w:val="-8"/>
          <w:sz w:val="18"/>
          <w:szCs w:val="18"/>
          <w:lang w:val="es-ES_tradnl"/>
        </w:rPr>
        <w:t xml:space="preserve">n tipo de perjuicio </w:t>
      </w:r>
      <w:r>
        <w:rPr>
          <w:spacing w:val="-10"/>
          <w:sz w:val="18"/>
          <w:szCs w:val="18"/>
          <w:lang w:val="es-ES_tradnl"/>
        </w:rPr>
        <w:t xml:space="preserve">a efectos de salvaguardar su derecho a la intimidad personal </w:t>
      </w:r>
      <w:r>
        <w:rPr>
          <w:sz w:val="18"/>
          <w:szCs w:val="18"/>
          <w:lang w:val="es-ES_tradnl"/>
        </w:rPr>
        <w:t>y familiar.</w:t>
      </w:r>
    </w:p>
    <w:p w14:paraId="4F67AC32" w14:textId="77777777" w:rsidR="00591D54" w:rsidRDefault="00591D54">
      <w:pPr>
        <w:shd w:val="clear" w:color="auto" w:fill="FFFFFF"/>
        <w:spacing w:before="192"/>
      </w:pPr>
      <w:r>
        <w:rPr>
          <w:b/>
          <w:bCs/>
          <w:spacing w:val="-10"/>
          <w:sz w:val="18"/>
          <w:szCs w:val="18"/>
          <w:lang w:val="es-ES_tradnl"/>
        </w:rPr>
        <w:t>Contenido de la acci</w:t>
      </w:r>
      <w:r>
        <w:rPr>
          <w:rFonts w:cs="Times New Roman"/>
          <w:b/>
          <w:bCs/>
          <w:spacing w:val="-10"/>
          <w:sz w:val="18"/>
          <w:szCs w:val="18"/>
          <w:lang w:val="es-ES_tradnl"/>
        </w:rPr>
        <w:t>ó</w:t>
      </w:r>
      <w:r>
        <w:rPr>
          <w:b/>
          <w:bCs/>
          <w:spacing w:val="-10"/>
          <w:sz w:val="18"/>
          <w:szCs w:val="18"/>
          <w:lang w:val="es-ES_tradnl"/>
        </w:rPr>
        <w:t>n constitucional de h</w:t>
      </w:r>
      <w:r>
        <w:rPr>
          <w:rFonts w:cs="Times New Roman"/>
          <w:b/>
          <w:bCs/>
          <w:spacing w:val="-10"/>
          <w:sz w:val="18"/>
          <w:szCs w:val="18"/>
          <w:lang w:val="es-ES_tradnl"/>
        </w:rPr>
        <w:t>á</w:t>
      </w:r>
      <w:r>
        <w:rPr>
          <w:b/>
          <w:bCs/>
          <w:spacing w:val="-10"/>
          <w:sz w:val="18"/>
          <w:szCs w:val="18"/>
          <w:lang w:val="es-ES_tradnl"/>
        </w:rPr>
        <w:t>beas data</w:t>
      </w:r>
    </w:p>
    <w:p w14:paraId="4F67AC33" w14:textId="77777777" w:rsidR="00591D54" w:rsidRDefault="00591D54">
      <w:pPr>
        <w:shd w:val="clear" w:color="auto" w:fill="FFFFFF"/>
        <w:spacing w:before="192" w:line="216" w:lineRule="exact"/>
        <w:jc w:val="both"/>
      </w:pPr>
      <w:r>
        <w:rPr>
          <w:spacing w:val="-1"/>
          <w:sz w:val="18"/>
          <w:szCs w:val="18"/>
          <w:lang w:val="es-ES_tradnl"/>
        </w:rPr>
        <w:t>De la lectura del art</w:t>
      </w:r>
      <w:r>
        <w:rPr>
          <w:rFonts w:cs="Times New Roman"/>
          <w:spacing w:val="-1"/>
          <w:sz w:val="18"/>
          <w:szCs w:val="18"/>
          <w:lang w:val="es-ES_tradnl"/>
        </w:rPr>
        <w:t>í</w:t>
      </w:r>
      <w:r>
        <w:rPr>
          <w:spacing w:val="-1"/>
          <w:sz w:val="18"/>
          <w:szCs w:val="18"/>
          <w:lang w:val="es-ES_tradnl"/>
        </w:rPr>
        <w:t xml:space="preserve">culo 92 del texto constitucional </w:t>
      </w:r>
      <w:r>
        <w:rPr>
          <w:spacing w:val="-12"/>
          <w:sz w:val="18"/>
          <w:szCs w:val="18"/>
          <w:lang w:val="es-ES_tradnl"/>
        </w:rPr>
        <w:t>podemos extraer el contenido de la acci</w:t>
      </w:r>
      <w:r>
        <w:rPr>
          <w:rFonts w:cs="Times New Roman"/>
          <w:spacing w:val="-12"/>
          <w:sz w:val="18"/>
          <w:szCs w:val="18"/>
          <w:lang w:val="es-ES_tradnl"/>
        </w:rPr>
        <w:t>ó</w:t>
      </w:r>
      <w:r>
        <w:rPr>
          <w:spacing w:val="-12"/>
          <w:sz w:val="18"/>
          <w:szCs w:val="18"/>
          <w:lang w:val="es-ES_tradnl"/>
        </w:rPr>
        <w:t>n de h</w:t>
      </w:r>
      <w:r>
        <w:rPr>
          <w:rFonts w:cs="Times New Roman"/>
          <w:spacing w:val="-12"/>
          <w:sz w:val="18"/>
          <w:szCs w:val="18"/>
          <w:lang w:val="es-ES_tradnl"/>
        </w:rPr>
        <w:t>á</w:t>
      </w:r>
      <w:r>
        <w:rPr>
          <w:spacing w:val="-12"/>
          <w:sz w:val="18"/>
          <w:szCs w:val="18"/>
          <w:lang w:val="es-ES_tradnl"/>
        </w:rPr>
        <w:t xml:space="preserve">beas data, en </w:t>
      </w:r>
      <w:r>
        <w:rPr>
          <w:spacing w:val="-9"/>
          <w:sz w:val="18"/>
          <w:szCs w:val="18"/>
          <w:lang w:val="es-ES_tradnl"/>
        </w:rPr>
        <w:t>especial, cobra importancia los derechos que esta garant</w:t>
      </w:r>
      <w:r>
        <w:rPr>
          <w:rFonts w:cs="Times New Roman"/>
          <w:spacing w:val="-9"/>
          <w:sz w:val="18"/>
          <w:szCs w:val="18"/>
          <w:lang w:val="es-ES_tradnl"/>
        </w:rPr>
        <w:t>í</w:t>
      </w:r>
      <w:r>
        <w:rPr>
          <w:spacing w:val="-9"/>
          <w:sz w:val="18"/>
          <w:szCs w:val="18"/>
          <w:lang w:val="es-ES_tradnl"/>
        </w:rPr>
        <w:t xml:space="preserve">a </w:t>
      </w:r>
      <w:r>
        <w:rPr>
          <w:spacing w:val="-3"/>
          <w:sz w:val="18"/>
          <w:szCs w:val="18"/>
          <w:lang w:val="es-ES_tradnl"/>
        </w:rPr>
        <w:t xml:space="preserve">jurisdiccional protege, siendo estos el derecho al honor, </w:t>
      </w:r>
      <w:r>
        <w:rPr>
          <w:spacing w:val="-6"/>
          <w:sz w:val="18"/>
          <w:szCs w:val="18"/>
          <w:lang w:val="es-ES_tradnl"/>
        </w:rPr>
        <w:t>a la buena reputaci</w:t>
      </w:r>
      <w:r>
        <w:rPr>
          <w:rFonts w:cs="Times New Roman"/>
          <w:spacing w:val="-6"/>
          <w:sz w:val="18"/>
          <w:szCs w:val="18"/>
          <w:lang w:val="es-ES_tradnl"/>
        </w:rPr>
        <w:t>ó</w:t>
      </w:r>
      <w:r>
        <w:rPr>
          <w:spacing w:val="-6"/>
          <w:sz w:val="18"/>
          <w:szCs w:val="18"/>
          <w:lang w:val="es-ES_tradnl"/>
        </w:rPr>
        <w:t xml:space="preserve">n, a la buena imagen, a la intimidad </w:t>
      </w:r>
      <w:r>
        <w:rPr>
          <w:sz w:val="18"/>
          <w:szCs w:val="18"/>
          <w:lang w:val="es-ES_tradnl"/>
        </w:rPr>
        <w:t>personal y familiar.</w:t>
      </w:r>
    </w:p>
    <w:p w14:paraId="4F67AC34" w14:textId="77777777" w:rsidR="00591D54" w:rsidRDefault="00591D54">
      <w:pPr>
        <w:shd w:val="clear" w:color="auto" w:fill="FFFFFF"/>
        <w:spacing w:before="192" w:line="216" w:lineRule="exact"/>
        <w:jc w:val="both"/>
      </w:pPr>
      <w:r>
        <w:rPr>
          <w:spacing w:val="-2"/>
          <w:sz w:val="18"/>
          <w:szCs w:val="18"/>
          <w:lang w:val="es-ES_tradnl"/>
        </w:rPr>
        <w:t xml:space="preserve">En lo referente a este aspecto, la Corte Constitucional </w:t>
      </w:r>
      <w:r>
        <w:rPr>
          <w:spacing w:val="-6"/>
          <w:sz w:val="18"/>
          <w:szCs w:val="18"/>
          <w:lang w:val="es-ES_tradnl"/>
        </w:rPr>
        <w:t>ha se</w:t>
      </w:r>
      <w:r>
        <w:rPr>
          <w:rFonts w:cs="Times New Roman"/>
          <w:spacing w:val="-6"/>
          <w:sz w:val="18"/>
          <w:szCs w:val="18"/>
          <w:lang w:val="es-ES_tradnl"/>
        </w:rPr>
        <w:t>ñ</w:t>
      </w:r>
      <w:r>
        <w:rPr>
          <w:spacing w:val="-6"/>
          <w:sz w:val="18"/>
          <w:szCs w:val="18"/>
          <w:lang w:val="es-ES_tradnl"/>
        </w:rPr>
        <w:t xml:space="preserve">alado que </w:t>
      </w:r>
      <w:r>
        <w:rPr>
          <w:rFonts w:cs="Times New Roman"/>
          <w:spacing w:val="-6"/>
          <w:sz w:val="18"/>
          <w:szCs w:val="18"/>
          <w:lang w:val="es-ES_tradnl"/>
        </w:rPr>
        <w:t>“</w:t>
      </w:r>
      <w:r>
        <w:rPr>
          <w:spacing w:val="-6"/>
          <w:sz w:val="18"/>
          <w:szCs w:val="18"/>
          <w:lang w:val="es-ES_tradnl"/>
        </w:rPr>
        <w:t>el derecho a la protecci</w:t>
      </w:r>
      <w:r>
        <w:rPr>
          <w:rFonts w:cs="Times New Roman"/>
          <w:spacing w:val="-6"/>
          <w:sz w:val="18"/>
          <w:szCs w:val="18"/>
          <w:lang w:val="es-ES_tradnl"/>
        </w:rPr>
        <w:t>ó</w:t>
      </w:r>
      <w:r>
        <w:rPr>
          <w:spacing w:val="-6"/>
          <w:sz w:val="18"/>
          <w:szCs w:val="18"/>
          <w:lang w:val="es-ES_tradnl"/>
        </w:rPr>
        <w:t xml:space="preserve">n de datos </w:t>
      </w:r>
      <w:r>
        <w:rPr>
          <w:spacing w:val="-10"/>
          <w:sz w:val="18"/>
          <w:szCs w:val="18"/>
          <w:lang w:val="es-ES_tradnl"/>
        </w:rPr>
        <w:t xml:space="preserve">personales tiene un contenido complejo y comporta diversas </w:t>
      </w:r>
      <w:r>
        <w:rPr>
          <w:spacing w:val="-7"/>
          <w:sz w:val="18"/>
          <w:szCs w:val="18"/>
          <w:lang w:val="es-ES_tradnl"/>
        </w:rPr>
        <w:t>dimensiones relacionadas con la informaci</w:t>
      </w:r>
      <w:r>
        <w:rPr>
          <w:rFonts w:cs="Times New Roman"/>
          <w:spacing w:val="-7"/>
          <w:sz w:val="18"/>
          <w:szCs w:val="18"/>
          <w:lang w:val="es-ES_tradnl"/>
        </w:rPr>
        <w:t>ó</w:t>
      </w:r>
      <w:r>
        <w:rPr>
          <w:spacing w:val="-7"/>
          <w:sz w:val="18"/>
          <w:szCs w:val="18"/>
          <w:lang w:val="es-ES_tradnl"/>
        </w:rPr>
        <w:t>n personal</w:t>
      </w:r>
      <w:r>
        <w:rPr>
          <w:rFonts w:cs="Times New Roman"/>
          <w:spacing w:val="-7"/>
          <w:sz w:val="18"/>
          <w:szCs w:val="18"/>
          <w:lang w:val="es-ES_tradnl"/>
        </w:rPr>
        <w:t>”</w:t>
      </w:r>
      <w:r>
        <w:rPr>
          <w:spacing w:val="-7"/>
          <w:sz w:val="18"/>
          <w:szCs w:val="18"/>
          <w:vertAlign w:val="superscript"/>
          <w:lang w:val="es-ES_tradnl"/>
        </w:rPr>
        <w:t>9</w:t>
      </w:r>
      <w:r>
        <w:rPr>
          <w:spacing w:val="-7"/>
          <w:sz w:val="18"/>
          <w:szCs w:val="18"/>
          <w:lang w:val="es-ES_tradnl"/>
        </w:rPr>
        <w:t xml:space="preserve"> y </w:t>
      </w:r>
      <w:r>
        <w:rPr>
          <w:spacing w:val="-6"/>
          <w:sz w:val="18"/>
          <w:szCs w:val="18"/>
          <w:lang w:val="es-ES_tradnl"/>
        </w:rPr>
        <w:t xml:space="preserve">en aquel sentido, sostuvo que </w:t>
      </w:r>
      <w:r>
        <w:rPr>
          <w:rFonts w:cs="Times New Roman"/>
          <w:spacing w:val="-6"/>
          <w:sz w:val="18"/>
          <w:szCs w:val="18"/>
          <w:lang w:val="es-ES_tradnl"/>
        </w:rPr>
        <w:t>“</w:t>
      </w:r>
      <w:r>
        <w:rPr>
          <w:spacing w:val="-6"/>
          <w:sz w:val="18"/>
          <w:szCs w:val="18"/>
          <w:lang w:val="es-ES_tradnl"/>
        </w:rPr>
        <w:t>el derecho a la protecci</w:t>
      </w:r>
      <w:r>
        <w:rPr>
          <w:rFonts w:cs="Times New Roman"/>
          <w:spacing w:val="-6"/>
          <w:sz w:val="18"/>
          <w:szCs w:val="18"/>
          <w:lang w:val="es-ES_tradnl"/>
        </w:rPr>
        <w:t>ó</w:t>
      </w:r>
      <w:r>
        <w:rPr>
          <w:spacing w:val="-6"/>
          <w:sz w:val="18"/>
          <w:szCs w:val="18"/>
          <w:lang w:val="es-ES_tradnl"/>
        </w:rPr>
        <w:t xml:space="preserve">n </w:t>
      </w:r>
      <w:r>
        <w:rPr>
          <w:spacing w:val="-7"/>
          <w:sz w:val="18"/>
          <w:szCs w:val="18"/>
          <w:lang w:val="es-ES_tradnl"/>
        </w:rPr>
        <w:t>de datos</w:t>
      </w:r>
      <w:r>
        <w:rPr>
          <w:rFonts w:cs="Times New Roman"/>
          <w:spacing w:val="-7"/>
          <w:sz w:val="18"/>
          <w:szCs w:val="18"/>
          <w:lang w:val="es-ES_tradnl"/>
        </w:rPr>
        <w:t>”</w:t>
      </w:r>
      <w:r>
        <w:rPr>
          <w:spacing w:val="-7"/>
          <w:sz w:val="18"/>
          <w:szCs w:val="18"/>
          <w:lang w:val="es-ES_tradnl"/>
        </w:rPr>
        <w:t xml:space="preserve"> </w:t>
      </w:r>
      <w:r>
        <w:rPr>
          <w:rFonts w:cs="Times New Roman"/>
          <w:spacing w:val="-7"/>
          <w:sz w:val="18"/>
          <w:szCs w:val="18"/>
          <w:lang w:val="es-ES_tradnl"/>
        </w:rPr>
        <w:t>–</w:t>
      </w:r>
      <w:r>
        <w:rPr>
          <w:spacing w:val="-7"/>
          <w:sz w:val="18"/>
          <w:szCs w:val="18"/>
          <w:lang w:val="es-ES_tradnl"/>
        </w:rPr>
        <w:t>y espec</w:t>
      </w:r>
      <w:r>
        <w:rPr>
          <w:rFonts w:cs="Times New Roman"/>
          <w:spacing w:val="-7"/>
          <w:sz w:val="18"/>
          <w:szCs w:val="18"/>
          <w:lang w:val="es-ES_tradnl"/>
        </w:rPr>
        <w:t>í</w:t>
      </w:r>
      <w:r>
        <w:rPr>
          <w:spacing w:val="-7"/>
          <w:sz w:val="18"/>
          <w:szCs w:val="18"/>
          <w:lang w:val="es-ES_tradnl"/>
        </w:rPr>
        <w:t xml:space="preserve">ficamente, su elemento denominado </w:t>
      </w:r>
      <w:r>
        <w:rPr>
          <w:rFonts w:cs="Times New Roman"/>
          <w:spacing w:val="-3"/>
          <w:sz w:val="18"/>
          <w:szCs w:val="18"/>
          <w:lang w:val="es-ES_tradnl"/>
        </w:rPr>
        <w:t>“</w:t>
      </w:r>
      <w:r>
        <w:rPr>
          <w:spacing w:val="-3"/>
          <w:sz w:val="18"/>
          <w:szCs w:val="18"/>
          <w:lang w:val="es-ES_tradnl"/>
        </w:rPr>
        <w:t>autodeterminaci</w:t>
      </w:r>
      <w:r>
        <w:rPr>
          <w:rFonts w:cs="Times New Roman"/>
          <w:spacing w:val="-3"/>
          <w:sz w:val="18"/>
          <w:szCs w:val="18"/>
          <w:lang w:val="es-ES_tradnl"/>
        </w:rPr>
        <w:t>ó</w:t>
      </w:r>
      <w:r>
        <w:rPr>
          <w:spacing w:val="-3"/>
          <w:sz w:val="18"/>
          <w:szCs w:val="18"/>
          <w:lang w:val="es-ES_tradnl"/>
        </w:rPr>
        <w:t>n informativa-</w:t>
      </w:r>
      <w:r>
        <w:rPr>
          <w:rFonts w:cs="Times New Roman"/>
          <w:spacing w:val="-3"/>
          <w:sz w:val="18"/>
          <w:szCs w:val="18"/>
          <w:lang w:val="es-ES_tradnl"/>
        </w:rPr>
        <w:t>”</w:t>
      </w:r>
      <w:r>
        <w:rPr>
          <w:spacing w:val="-3"/>
          <w:sz w:val="18"/>
          <w:szCs w:val="18"/>
          <w:lang w:val="es-ES_tradnl"/>
        </w:rPr>
        <w:t xml:space="preserve"> tiene como finalidad </w:t>
      </w:r>
      <w:r>
        <w:rPr>
          <w:spacing w:val="-9"/>
          <w:sz w:val="18"/>
          <w:szCs w:val="18"/>
          <w:lang w:val="es-ES_tradnl"/>
        </w:rPr>
        <w:t>proteger otros derechos constitucionales que podr</w:t>
      </w:r>
      <w:r>
        <w:rPr>
          <w:rFonts w:cs="Times New Roman"/>
          <w:spacing w:val="-9"/>
          <w:sz w:val="18"/>
          <w:szCs w:val="18"/>
          <w:lang w:val="es-ES_tradnl"/>
        </w:rPr>
        <w:t>í</w:t>
      </w:r>
      <w:r>
        <w:rPr>
          <w:spacing w:val="-9"/>
          <w:sz w:val="18"/>
          <w:szCs w:val="18"/>
          <w:lang w:val="es-ES_tradnl"/>
        </w:rPr>
        <w:t xml:space="preserve">an verse </w:t>
      </w:r>
      <w:r>
        <w:rPr>
          <w:spacing w:val="-10"/>
          <w:sz w:val="18"/>
          <w:szCs w:val="18"/>
          <w:lang w:val="es-ES_tradnl"/>
        </w:rPr>
        <w:t xml:space="preserve">afectados cuando se utilizan datos personales, tales como la </w:t>
      </w:r>
      <w:r>
        <w:rPr>
          <w:spacing w:val="-6"/>
          <w:sz w:val="18"/>
          <w:szCs w:val="18"/>
          <w:lang w:val="es-ES_tradnl"/>
        </w:rPr>
        <w:t>intimidad, la honra, la integridad psicol</w:t>
      </w:r>
      <w:r>
        <w:rPr>
          <w:rFonts w:cs="Times New Roman"/>
          <w:spacing w:val="-6"/>
          <w:sz w:val="18"/>
          <w:szCs w:val="18"/>
          <w:lang w:val="es-ES_tradnl"/>
        </w:rPr>
        <w:t>ó</w:t>
      </w:r>
      <w:r>
        <w:rPr>
          <w:spacing w:val="-6"/>
          <w:sz w:val="18"/>
          <w:szCs w:val="18"/>
          <w:lang w:val="es-ES_tradnl"/>
        </w:rPr>
        <w:t>gica, entre otros.</w:t>
      </w:r>
    </w:p>
    <w:p w14:paraId="4F67AC35" w14:textId="77777777" w:rsidR="00591D54" w:rsidRDefault="00591D54">
      <w:pPr>
        <w:shd w:val="clear" w:color="auto" w:fill="FFFFFF"/>
        <w:spacing w:before="197" w:line="216" w:lineRule="exact"/>
        <w:jc w:val="both"/>
      </w:pPr>
      <w:r>
        <w:rPr>
          <w:spacing w:val="-5"/>
          <w:sz w:val="18"/>
          <w:szCs w:val="18"/>
          <w:lang w:val="es-ES_tradnl"/>
        </w:rPr>
        <w:t>De esta forma, la autodeterminaci</w:t>
      </w:r>
      <w:r>
        <w:rPr>
          <w:rFonts w:cs="Times New Roman"/>
          <w:spacing w:val="-5"/>
          <w:sz w:val="18"/>
          <w:szCs w:val="18"/>
          <w:lang w:val="es-ES_tradnl"/>
        </w:rPr>
        <w:t>ó</w:t>
      </w:r>
      <w:r>
        <w:rPr>
          <w:spacing w:val="-5"/>
          <w:sz w:val="18"/>
          <w:szCs w:val="18"/>
          <w:lang w:val="es-ES_tradnl"/>
        </w:rPr>
        <w:t xml:space="preserve">n informativa, como </w:t>
      </w:r>
      <w:r>
        <w:rPr>
          <w:spacing w:val="-7"/>
          <w:sz w:val="18"/>
          <w:szCs w:val="18"/>
          <w:lang w:val="es-ES_tradnl"/>
        </w:rPr>
        <w:t>parte del derecho a la protecci</w:t>
      </w:r>
      <w:r>
        <w:rPr>
          <w:rFonts w:cs="Times New Roman"/>
          <w:spacing w:val="-7"/>
          <w:sz w:val="18"/>
          <w:szCs w:val="18"/>
          <w:lang w:val="es-ES_tradnl"/>
        </w:rPr>
        <w:t>ó</w:t>
      </w:r>
      <w:r>
        <w:rPr>
          <w:spacing w:val="-7"/>
          <w:sz w:val="18"/>
          <w:szCs w:val="18"/>
          <w:lang w:val="es-ES_tradnl"/>
        </w:rPr>
        <w:t xml:space="preserve">n de datos personales, </w:t>
      </w:r>
      <w:r>
        <w:rPr>
          <w:rFonts w:cs="Times New Roman"/>
          <w:spacing w:val="-4"/>
          <w:sz w:val="18"/>
          <w:szCs w:val="18"/>
          <w:lang w:val="es-ES_tradnl"/>
        </w:rPr>
        <w:t>“</w:t>
      </w:r>
      <w:r>
        <w:rPr>
          <w:spacing w:val="-4"/>
          <w:sz w:val="18"/>
          <w:szCs w:val="18"/>
          <w:lang w:val="es-ES_tradnl"/>
        </w:rPr>
        <w:t>implica la necesidad de garantizar la protecci</w:t>
      </w:r>
      <w:r>
        <w:rPr>
          <w:rFonts w:cs="Times New Roman"/>
          <w:spacing w:val="-4"/>
          <w:sz w:val="18"/>
          <w:szCs w:val="18"/>
          <w:lang w:val="es-ES_tradnl"/>
        </w:rPr>
        <w:t>ó</w:t>
      </w:r>
      <w:r>
        <w:rPr>
          <w:spacing w:val="-4"/>
          <w:sz w:val="18"/>
          <w:szCs w:val="18"/>
          <w:lang w:val="es-ES_tradnl"/>
        </w:rPr>
        <w:t xml:space="preserve">n de la </w:t>
      </w:r>
      <w:r>
        <w:rPr>
          <w:spacing w:val="-7"/>
          <w:sz w:val="18"/>
          <w:szCs w:val="18"/>
          <w:lang w:val="es-ES_tradnl"/>
        </w:rPr>
        <w:t xml:space="preserve">esfera </w:t>
      </w:r>
      <w:r>
        <w:rPr>
          <w:rFonts w:cs="Times New Roman"/>
          <w:spacing w:val="-7"/>
          <w:sz w:val="18"/>
          <w:szCs w:val="18"/>
          <w:lang w:val="es-ES_tradnl"/>
        </w:rPr>
        <w:t>í</w:t>
      </w:r>
      <w:r>
        <w:rPr>
          <w:spacing w:val="-7"/>
          <w:sz w:val="18"/>
          <w:szCs w:val="18"/>
          <w:lang w:val="es-ES_tradnl"/>
        </w:rPr>
        <w:t>ntima de las personas, as</w:t>
      </w:r>
      <w:r>
        <w:rPr>
          <w:rFonts w:cs="Times New Roman"/>
          <w:spacing w:val="-7"/>
          <w:sz w:val="18"/>
          <w:szCs w:val="18"/>
          <w:lang w:val="es-ES_tradnl"/>
        </w:rPr>
        <w:t>í</w:t>
      </w:r>
      <w:r>
        <w:rPr>
          <w:spacing w:val="-7"/>
          <w:sz w:val="18"/>
          <w:szCs w:val="18"/>
          <w:lang w:val="es-ES_tradnl"/>
        </w:rPr>
        <w:t xml:space="preserve"> como la posibilidad de </w:t>
      </w:r>
      <w:r>
        <w:rPr>
          <w:spacing w:val="-10"/>
          <w:sz w:val="18"/>
          <w:szCs w:val="18"/>
          <w:lang w:val="es-ES_tradnl"/>
        </w:rPr>
        <w:t>ejercer control sobre los datos personales del sujeto, aunque</w:t>
      </w:r>
    </w:p>
    <w:p w14:paraId="4F67AC36" w14:textId="77777777" w:rsidR="00591D54" w:rsidRDefault="00591D54">
      <w:pPr>
        <w:shd w:val="clear" w:color="auto" w:fill="FFFFFF"/>
        <w:tabs>
          <w:tab w:val="left" w:pos="139"/>
        </w:tabs>
        <w:spacing w:before="754" w:line="182" w:lineRule="exact"/>
        <w:ind w:left="139" w:hanging="139"/>
      </w:pPr>
      <w:r>
        <w:rPr>
          <w:sz w:val="8"/>
          <w:szCs w:val="8"/>
          <w:vertAlign w:val="superscript"/>
          <w:lang w:val="es-ES_tradnl"/>
        </w:rPr>
        <w:t>7</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w:t>
      </w:r>
      <w:r>
        <w:rPr>
          <w:sz w:val="18"/>
          <w:szCs w:val="18"/>
          <w:lang w:val="es-ES_tradnl"/>
        </w:rPr>
        <w:t xml:space="preserve"> </w:t>
      </w:r>
      <w:r>
        <w:rPr>
          <w:sz w:val="14"/>
          <w:szCs w:val="14"/>
          <w:lang w:val="es-ES_tradnl"/>
        </w:rPr>
        <w:t>032-15-SEP-CC, caso N.</w:t>
      </w:r>
      <w:r>
        <w:rPr>
          <w:rFonts w:cs="Times New Roman"/>
          <w:sz w:val="14"/>
          <w:szCs w:val="14"/>
          <w:lang w:val="es-ES_tradnl"/>
        </w:rPr>
        <w:t>°</w:t>
      </w:r>
      <w:r>
        <w:rPr>
          <w:sz w:val="14"/>
          <w:szCs w:val="14"/>
          <w:lang w:val="es-ES_tradnl"/>
        </w:rPr>
        <w:t xml:space="preserve"> 1105-14-EP</w:t>
      </w:r>
    </w:p>
    <w:p w14:paraId="4F67AC37" w14:textId="77777777" w:rsidR="00591D54" w:rsidRDefault="00591D54">
      <w:pPr>
        <w:shd w:val="clear" w:color="auto" w:fill="FFFFFF"/>
        <w:tabs>
          <w:tab w:val="left" w:pos="139"/>
        </w:tabs>
        <w:spacing w:before="154" w:line="182" w:lineRule="exact"/>
        <w:ind w:left="139" w:hanging="139"/>
      </w:pPr>
      <w:r>
        <w:rPr>
          <w:sz w:val="8"/>
          <w:szCs w:val="8"/>
          <w:vertAlign w:val="superscript"/>
          <w:lang w:val="es-ES_tradnl"/>
        </w:rPr>
        <w:t>8</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w:t>
      </w:r>
      <w:r>
        <w:rPr>
          <w:sz w:val="18"/>
          <w:szCs w:val="18"/>
          <w:lang w:val="es-ES_tradnl"/>
        </w:rPr>
        <w:t xml:space="preserve"> </w:t>
      </w:r>
      <w:r>
        <w:rPr>
          <w:sz w:val="14"/>
          <w:szCs w:val="14"/>
          <w:lang w:val="es-ES_tradnl"/>
        </w:rPr>
        <w:t>025-15-SEP-CC, caso N.</w:t>
      </w:r>
      <w:r>
        <w:rPr>
          <w:rFonts w:cs="Times New Roman"/>
          <w:sz w:val="14"/>
          <w:szCs w:val="14"/>
          <w:lang w:val="es-ES_tradnl"/>
        </w:rPr>
        <w:t>°</w:t>
      </w:r>
      <w:r>
        <w:rPr>
          <w:sz w:val="14"/>
          <w:szCs w:val="14"/>
          <w:lang w:val="es-ES_tradnl"/>
        </w:rPr>
        <w:t xml:space="preserve"> 0725-12-EP</w:t>
      </w:r>
    </w:p>
    <w:p w14:paraId="4F67AC38" w14:textId="77777777" w:rsidR="00591D54" w:rsidRDefault="00591D54">
      <w:pPr>
        <w:shd w:val="clear" w:color="auto" w:fill="FFFFFF"/>
        <w:tabs>
          <w:tab w:val="left" w:pos="139"/>
        </w:tabs>
        <w:spacing w:before="149" w:line="178" w:lineRule="exact"/>
        <w:ind w:left="139" w:hanging="139"/>
      </w:pPr>
      <w:r>
        <w:rPr>
          <w:sz w:val="8"/>
          <w:szCs w:val="8"/>
          <w:vertAlign w:val="superscript"/>
          <w:lang w:val="es-ES_tradnl"/>
        </w:rPr>
        <w:t>9</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º</w:t>
      </w:r>
      <w:r>
        <w:rPr>
          <w:sz w:val="18"/>
          <w:szCs w:val="18"/>
          <w:lang w:val="es-ES_tradnl"/>
        </w:rPr>
        <w:t xml:space="preserve"> </w:t>
      </w:r>
      <w:r>
        <w:rPr>
          <w:sz w:val="14"/>
          <w:szCs w:val="14"/>
          <w:lang w:val="es-ES_tradnl"/>
        </w:rPr>
        <w:t>001-14-PJO-CC, caso N.</w:t>
      </w:r>
      <w:r>
        <w:rPr>
          <w:rFonts w:cs="Times New Roman"/>
          <w:sz w:val="14"/>
          <w:szCs w:val="14"/>
          <w:lang w:val="es-ES_tradnl"/>
        </w:rPr>
        <w:t>º</w:t>
      </w:r>
      <w:r>
        <w:rPr>
          <w:sz w:val="14"/>
          <w:szCs w:val="14"/>
          <w:lang w:val="es-ES_tradnl"/>
        </w:rPr>
        <w:t xml:space="preserve"> 0067-11-JD</w:t>
      </w:r>
    </w:p>
    <w:p w14:paraId="4F67AC39" w14:textId="77777777" w:rsidR="00591D54" w:rsidRDefault="00591D54">
      <w:pPr>
        <w:shd w:val="clear" w:color="auto" w:fill="FFFFFF"/>
        <w:spacing w:line="211" w:lineRule="exact"/>
        <w:jc w:val="both"/>
      </w:pPr>
      <w:r>
        <w:br w:type="column"/>
      </w:r>
      <w:r>
        <w:rPr>
          <w:spacing w:val="-8"/>
          <w:sz w:val="18"/>
          <w:szCs w:val="18"/>
          <w:lang w:val="es-ES_tradnl"/>
        </w:rPr>
        <w:t>no se encuentren en su poder</w:t>
      </w:r>
      <w:r>
        <w:rPr>
          <w:rFonts w:cs="Times New Roman"/>
          <w:spacing w:val="-8"/>
          <w:sz w:val="18"/>
          <w:szCs w:val="18"/>
          <w:lang w:val="es-ES_tradnl"/>
        </w:rPr>
        <w:t>”</w:t>
      </w:r>
      <w:r>
        <w:rPr>
          <w:spacing w:val="-8"/>
          <w:sz w:val="18"/>
          <w:szCs w:val="18"/>
          <w:vertAlign w:val="superscript"/>
          <w:lang w:val="es-ES_tradnl"/>
        </w:rPr>
        <w:t>10</w:t>
      </w:r>
      <w:r>
        <w:rPr>
          <w:spacing w:val="-8"/>
          <w:sz w:val="18"/>
          <w:szCs w:val="18"/>
          <w:lang w:val="es-ES_tradnl"/>
        </w:rPr>
        <w:t>. De ah</w:t>
      </w:r>
      <w:r>
        <w:rPr>
          <w:rFonts w:cs="Times New Roman"/>
          <w:spacing w:val="-8"/>
          <w:sz w:val="18"/>
          <w:szCs w:val="18"/>
          <w:lang w:val="es-ES_tradnl"/>
        </w:rPr>
        <w:t>í</w:t>
      </w:r>
      <w:r>
        <w:rPr>
          <w:spacing w:val="-8"/>
          <w:sz w:val="18"/>
          <w:szCs w:val="18"/>
          <w:lang w:val="es-ES_tradnl"/>
        </w:rPr>
        <w:t xml:space="preserve"> que el derecho a </w:t>
      </w:r>
      <w:r>
        <w:rPr>
          <w:spacing w:val="-6"/>
          <w:sz w:val="18"/>
          <w:szCs w:val="18"/>
          <w:lang w:val="es-ES_tradnl"/>
        </w:rPr>
        <w:t>la autodeterminaci</w:t>
      </w:r>
      <w:r>
        <w:rPr>
          <w:rFonts w:cs="Times New Roman"/>
          <w:spacing w:val="-6"/>
          <w:sz w:val="18"/>
          <w:szCs w:val="18"/>
          <w:lang w:val="es-ES_tradnl"/>
        </w:rPr>
        <w:t>ó</w:t>
      </w:r>
      <w:r>
        <w:rPr>
          <w:spacing w:val="-6"/>
          <w:sz w:val="18"/>
          <w:szCs w:val="18"/>
          <w:lang w:val="es-ES_tradnl"/>
        </w:rPr>
        <w:t xml:space="preserve">n informativa, debe entenderse como </w:t>
      </w:r>
      <w:r>
        <w:rPr>
          <w:spacing w:val="-4"/>
          <w:sz w:val="18"/>
          <w:szCs w:val="18"/>
          <w:lang w:val="es-ES_tradnl"/>
        </w:rPr>
        <w:t xml:space="preserve">la </w:t>
      </w:r>
      <w:r>
        <w:rPr>
          <w:rFonts w:cs="Times New Roman"/>
          <w:spacing w:val="-4"/>
          <w:sz w:val="18"/>
          <w:szCs w:val="18"/>
          <w:lang w:val="es-ES_tradnl"/>
        </w:rPr>
        <w:t>“</w:t>
      </w:r>
      <w:r>
        <w:rPr>
          <w:spacing w:val="-4"/>
          <w:sz w:val="18"/>
          <w:szCs w:val="18"/>
          <w:lang w:val="es-ES_tradnl"/>
        </w:rPr>
        <w:t xml:space="preserve">potestad soberana que tiene toda persona a ser solo </w:t>
      </w:r>
      <w:r>
        <w:rPr>
          <w:rFonts w:cs="Times New Roman"/>
          <w:spacing w:val="-5"/>
          <w:sz w:val="18"/>
          <w:szCs w:val="18"/>
          <w:lang w:val="es-ES_tradnl"/>
        </w:rPr>
        <w:t>é</w:t>
      </w:r>
      <w:r>
        <w:rPr>
          <w:spacing w:val="-5"/>
          <w:sz w:val="18"/>
          <w:szCs w:val="18"/>
          <w:lang w:val="es-ES_tradnl"/>
        </w:rPr>
        <w:t>l quien determine qu</w:t>
      </w:r>
      <w:r>
        <w:rPr>
          <w:rFonts w:cs="Times New Roman"/>
          <w:spacing w:val="-5"/>
          <w:sz w:val="18"/>
          <w:szCs w:val="18"/>
          <w:lang w:val="es-ES_tradnl"/>
        </w:rPr>
        <w:t>é</w:t>
      </w:r>
      <w:r>
        <w:rPr>
          <w:spacing w:val="-5"/>
          <w:sz w:val="18"/>
          <w:szCs w:val="18"/>
          <w:lang w:val="es-ES_tradnl"/>
        </w:rPr>
        <w:t xml:space="preserve"> informaci</w:t>
      </w:r>
      <w:r>
        <w:rPr>
          <w:rFonts w:cs="Times New Roman"/>
          <w:spacing w:val="-5"/>
          <w:sz w:val="18"/>
          <w:szCs w:val="18"/>
          <w:lang w:val="es-ES_tradnl"/>
        </w:rPr>
        <w:t>ó</w:t>
      </w:r>
      <w:r>
        <w:rPr>
          <w:spacing w:val="-5"/>
          <w:sz w:val="18"/>
          <w:szCs w:val="18"/>
          <w:lang w:val="es-ES_tradnl"/>
        </w:rPr>
        <w:t xml:space="preserve">n suya va permitir que </w:t>
      </w:r>
      <w:r>
        <w:rPr>
          <w:spacing w:val="-10"/>
          <w:sz w:val="18"/>
          <w:szCs w:val="18"/>
          <w:lang w:val="es-ES_tradnl"/>
        </w:rPr>
        <w:t xml:space="preserve">pueda estar en contacto y conocimiento de terceros ajenos a </w:t>
      </w:r>
      <w:r>
        <w:rPr>
          <w:rFonts w:cs="Times New Roman"/>
          <w:sz w:val="18"/>
          <w:szCs w:val="18"/>
          <w:lang w:val="es-ES_tradnl"/>
        </w:rPr>
        <w:t>é</w:t>
      </w:r>
      <w:r>
        <w:rPr>
          <w:sz w:val="18"/>
          <w:szCs w:val="18"/>
          <w:lang w:val="es-ES_tradnl"/>
        </w:rPr>
        <w:t>l y extra</w:t>
      </w:r>
      <w:r>
        <w:rPr>
          <w:rFonts w:cs="Times New Roman"/>
          <w:sz w:val="18"/>
          <w:szCs w:val="18"/>
          <w:lang w:val="es-ES_tradnl"/>
        </w:rPr>
        <w:t>ñ</w:t>
      </w:r>
      <w:r>
        <w:rPr>
          <w:sz w:val="18"/>
          <w:szCs w:val="18"/>
          <w:lang w:val="es-ES_tradnl"/>
        </w:rPr>
        <w:t>os a su n</w:t>
      </w:r>
      <w:r>
        <w:rPr>
          <w:rFonts w:cs="Times New Roman"/>
          <w:sz w:val="18"/>
          <w:szCs w:val="18"/>
          <w:lang w:val="es-ES_tradnl"/>
        </w:rPr>
        <w:t>ú</w:t>
      </w:r>
      <w:r>
        <w:rPr>
          <w:sz w:val="18"/>
          <w:szCs w:val="18"/>
          <w:lang w:val="es-ES_tradnl"/>
        </w:rPr>
        <w:t>cleo familiar</w:t>
      </w:r>
      <w:r>
        <w:rPr>
          <w:rFonts w:cs="Times New Roman"/>
          <w:sz w:val="18"/>
          <w:szCs w:val="18"/>
          <w:lang w:val="es-ES_tradnl"/>
        </w:rPr>
        <w:t>”</w:t>
      </w:r>
      <w:r>
        <w:rPr>
          <w:sz w:val="18"/>
          <w:szCs w:val="18"/>
          <w:vertAlign w:val="superscript"/>
          <w:lang w:val="es-ES_tradnl"/>
        </w:rPr>
        <w:t>11</w:t>
      </w:r>
      <w:r>
        <w:rPr>
          <w:sz w:val="18"/>
          <w:szCs w:val="18"/>
          <w:lang w:val="es-ES_tradnl"/>
        </w:rPr>
        <w:t>.</w:t>
      </w:r>
    </w:p>
    <w:p w14:paraId="4F67AC3A" w14:textId="77777777" w:rsidR="00591D54" w:rsidRDefault="00591D54">
      <w:pPr>
        <w:shd w:val="clear" w:color="auto" w:fill="FFFFFF"/>
        <w:spacing w:before="197" w:line="216" w:lineRule="exact"/>
        <w:jc w:val="both"/>
      </w:pPr>
      <w:r>
        <w:rPr>
          <w:spacing w:val="-7"/>
          <w:sz w:val="18"/>
          <w:szCs w:val="18"/>
          <w:lang w:val="es-ES_tradnl"/>
        </w:rPr>
        <w:t>En consecuencia, la acci</w:t>
      </w:r>
      <w:r>
        <w:rPr>
          <w:rFonts w:cs="Times New Roman"/>
          <w:spacing w:val="-7"/>
          <w:sz w:val="18"/>
          <w:szCs w:val="18"/>
          <w:lang w:val="es-ES_tradnl"/>
        </w:rPr>
        <w:t>ó</w:t>
      </w:r>
      <w:r>
        <w:rPr>
          <w:spacing w:val="-7"/>
          <w:sz w:val="18"/>
          <w:szCs w:val="18"/>
          <w:lang w:val="es-ES_tradnl"/>
        </w:rPr>
        <w:t>n constitucional de h</w:t>
      </w:r>
      <w:r>
        <w:rPr>
          <w:rFonts w:cs="Times New Roman"/>
          <w:spacing w:val="-7"/>
          <w:sz w:val="18"/>
          <w:szCs w:val="18"/>
          <w:lang w:val="es-ES_tradnl"/>
        </w:rPr>
        <w:t>á</w:t>
      </w:r>
      <w:r>
        <w:rPr>
          <w:spacing w:val="-7"/>
          <w:sz w:val="18"/>
          <w:szCs w:val="18"/>
          <w:lang w:val="es-ES_tradnl"/>
        </w:rPr>
        <w:t>beas data en el fondo lo que pretende es proteger el derecho a la intimidad de la persona, puesto que no toda la informaci</w:t>
      </w:r>
      <w:r>
        <w:rPr>
          <w:rFonts w:cs="Times New Roman"/>
          <w:spacing w:val="-7"/>
          <w:sz w:val="18"/>
          <w:szCs w:val="18"/>
          <w:lang w:val="es-ES_tradnl"/>
        </w:rPr>
        <w:t>ó</w:t>
      </w:r>
      <w:r>
        <w:rPr>
          <w:spacing w:val="-7"/>
          <w:sz w:val="18"/>
          <w:szCs w:val="18"/>
          <w:lang w:val="es-ES_tradnl"/>
        </w:rPr>
        <w:t xml:space="preserve">n </w:t>
      </w:r>
      <w:r>
        <w:rPr>
          <w:spacing w:val="-1"/>
          <w:sz w:val="18"/>
          <w:szCs w:val="18"/>
          <w:lang w:val="es-ES_tradnl"/>
        </w:rPr>
        <w:t>relativa a esta tiene el car</w:t>
      </w:r>
      <w:r>
        <w:rPr>
          <w:rFonts w:cs="Times New Roman"/>
          <w:spacing w:val="-1"/>
          <w:sz w:val="18"/>
          <w:szCs w:val="18"/>
          <w:lang w:val="es-ES_tradnl"/>
        </w:rPr>
        <w:t>á</w:t>
      </w:r>
      <w:r>
        <w:rPr>
          <w:spacing w:val="-1"/>
          <w:sz w:val="18"/>
          <w:szCs w:val="18"/>
          <w:lang w:val="es-ES_tradnl"/>
        </w:rPr>
        <w:t>cter de p</w:t>
      </w:r>
      <w:r>
        <w:rPr>
          <w:rFonts w:cs="Times New Roman"/>
          <w:spacing w:val="-1"/>
          <w:sz w:val="18"/>
          <w:szCs w:val="18"/>
          <w:lang w:val="es-ES_tradnl"/>
        </w:rPr>
        <w:t>ú</w:t>
      </w:r>
      <w:r>
        <w:rPr>
          <w:spacing w:val="-1"/>
          <w:sz w:val="18"/>
          <w:szCs w:val="18"/>
          <w:lang w:val="es-ES_tradnl"/>
        </w:rPr>
        <w:t xml:space="preserve">blica y por tanto, </w:t>
      </w:r>
      <w:r>
        <w:rPr>
          <w:spacing w:val="-5"/>
          <w:sz w:val="18"/>
          <w:szCs w:val="18"/>
          <w:lang w:val="es-ES_tradnl"/>
        </w:rPr>
        <w:t xml:space="preserve">de divulgable en forma libre. En efecto existen asuntos </w:t>
      </w:r>
      <w:r>
        <w:rPr>
          <w:spacing w:val="-9"/>
          <w:sz w:val="18"/>
          <w:szCs w:val="18"/>
          <w:lang w:val="es-ES_tradnl"/>
        </w:rPr>
        <w:t xml:space="preserve">relativos a su familia, sus creencias religiosas o espirituales, </w:t>
      </w:r>
      <w:r>
        <w:rPr>
          <w:spacing w:val="-7"/>
          <w:sz w:val="18"/>
          <w:szCs w:val="18"/>
          <w:lang w:val="es-ES_tradnl"/>
        </w:rPr>
        <w:t>su filiaci</w:t>
      </w:r>
      <w:r>
        <w:rPr>
          <w:rFonts w:cs="Times New Roman"/>
          <w:spacing w:val="-7"/>
          <w:sz w:val="18"/>
          <w:szCs w:val="18"/>
          <w:lang w:val="es-ES_tradnl"/>
        </w:rPr>
        <w:t>ó</w:t>
      </w:r>
      <w:r>
        <w:rPr>
          <w:spacing w:val="-7"/>
          <w:sz w:val="18"/>
          <w:szCs w:val="18"/>
          <w:lang w:val="es-ES_tradnl"/>
        </w:rPr>
        <w:t>n pol</w:t>
      </w:r>
      <w:r>
        <w:rPr>
          <w:rFonts w:cs="Times New Roman"/>
          <w:spacing w:val="-7"/>
          <w:sz w:val="18"/>
          <w:szCs w:val="18"/>
          <w:lang w:val="es-ES_tradnl"/>
        </w:rPr>
        <w:t>í</w:t>
      </w:r>
      <w:r>
        <w:rPr>
          <w:spacing w:val="-7"/>
          <w:sz w:val="18"/>
          <w:szCs w:val="18"/>
          <w:lang w:val="es-ES_tradnl"/>
        </w:rPr>
        <w:t>tica, su orientaci</w:t>
      </w:r>
      <w:r>
        <w:rPr>
          <w:rFonts w:cs="Times New Roman"/>
          <w:spacing w:val="-7"/>
          <w:sz w:val="18"/>
          <w:szCs w:val="18"/>
          <w:lang w:val="es-ES_tradnl"/>
        </w:rPr>
        <w:t>ó</w:t>
      </w:r>
      <w:r>
        <w:rPr>
          <w:spacing w:val="-7"/>
          <w:sz w:val="18"/>
          <w:szCs w:val="18"/>
          <w:lang w:val="es-ES_tradnl"/>
        </w:rPr>
        <w:t xml:space="preserve">n sexual, entre otras, que </w:t>
      </w:r>
      <w:r>
        <w:rPr>
          <w:spacing w:val="-11"/>
          <w:sz w:val="18"/>
          <w:szCs w:val="18"/>
          <w:lang w:val="es-ES_tradnl"/>
        </w:rPr>
        <w:t xml:space="preserve">en caso de ser divulgadas de forma inadecuada e inoportuna </w:t>
      </w:r>
      <w:r>
        <w:rPr>
          <w:spacing w:val="-9"/>
          <w:sz w:val="18"/>
          <w:szCs w:val="18"/>
          <w:lang w:val="es-ES_tradnl"/>
        </w:rPr>
        <w:t>podr</w:t>
      </w:r>
      <w:r>
        <w:rPr>
          <w:rFonts w:cs="Times New Roman"/>
          <w:spacing w:val="-9"/>
          <w:sz w:val="18"/>
          <w:szCs w:val="18"/>
          <w:lang w:val="es-ES_tradnl"/>
        </w:rPr>
        <w:t>í</w:t>
      </w:r>
      <w:r>
        <w:rPr>
          <w:spacing w:val="-9"/>
          <w:sz w:val="18"/>
          <w:szCs w:val="18"/>
          <w:lang w:val="es-ES_tradnl"/>
        </w:rPr>
        <w:t>an ocasionarle serios perjuicios en la esfera personal.</w:t>
      </w:r>
    </w:p>
    <w:p w14:paraId="4F67AC3B" w14:textId="77777777" w:rsidR="00591D54" w:rsidRDefault="00591D54">
      <w:pPr>
        <w:shd w:val="clear" w:color="auto" w:fill="FFFFFF"/>
        <w:spacing w:before="192"/>
      </w:pPr>
      <w:r>
        <w:rPr>
          <w:b/>
          <w:bCs/>
          <w:spacing w:val="-10"/>
          <w:sz w:val="18"/>
          <w:szCs w:val="18"/>
          <w:lang w:val="es-ES_tradnl"/>
        </w:rPr>
        <w:t>Alcance de la acci</w:t>
      </w:r>
      <w:r>
        <w:rPr>
          <w:rFonts w:cs="Times New Roman"/>
          <w:b/>
          <w:bCs/>
          <w:spacing w:val="-10"/>
          <w:sz w:val="18"/>
          <w:szCs w:val="18"/>
          <w:lang w:val="es-ES_tradnl"/>
        </w:rPr>
        <w:t>ó</w:t>
      </w:r>
      <w:r>
        <w:rPr>
          <w:b/>
          <w:bCs/>
          <w:spacing w:val="-10"/>
          <w:sz w:val="18"/>
          <w:szCs w:val="18"/>
          <w:lang w:val="es-ES_tradnl"/>
        </w:rPr>
        <w:t>n constitucional de h</w:t>
      </w:r>
      <w:r>
        <w:rPr>
          <w:rFonts w:cs="Times New Roman"/>
          <w:b/>
          <w:bCs/>
          <w:spacing w:val="-10"/>
          <w:sz w:val="18"/>
          <w:szCs w:val="18"/>
          <w:lang w:val="es-ES_tradnl"/>
        </w:rPr>
        <w:t>á</w:t>
      </w:r>
      <w:r>
        <w:rPr>
          <w:b/>
          <w:bCs/>
          <w:spacing w:val="-10"/>
          <w:sz w:val="18"/>
          <w:szCs w:val="18"/>
          <w:lang w:val="es-ES_tradnl"/>
        </w:rPr>
        <w:t>beas data</w:t>
      </w:r>
    </w:p>
    <w:p w14:paraId="4F67AC3C" w14:textId="77777777" w:rsidR="00591D54" w:rsidRDefault="00591D54">
      <w:pPr>
        <w:shd w:val="clear" w:color="auto" w:fill="FFFFFF"/>
        <w:spacing w:before="192" w:line="216" w:lineRule="exact"/>
        <w:jc w:val="both"/>
      </w:pPr>
      <w:r>
        <w:rPr>
          <w:sz w:val="18"/>
          <w:szCs w:val="18"/>
          <w:lang w:val="es-ES_tradnl"/>
        </w:rPr>
        <w:t xml:space="preserve">El </w:t>
      </w:r>
      <w:r>
        <w:rPr>
          <w:rFonts w:cs="Times New Roman"/>
          <w:sz w:val="18"/>
          <w:szCs w:val="18"/>
          <w:lang w:val="es-ES_tradnl"/>
        </w:rPr>
        <w:t>á</w:t>
      </w:r>
      <w:r>
        <w:rPr>
          <w:sz w:val="18"/>
          <w:szCs w:val="18"/>
          <w:lang w:val="es-ES_tradnl"/>
        </w:rPr>
        <w:t>mbito de aplicaci</w:t>
      </w:r>
      <w:r>
        <w:rPr>
          <w:rFonts w:cs="Times New Roman"/>
          <w:sz w:val="18"/>
          <w:szCs w:val="18"/>
          <w:lang w:val="es-ES_tradnl"/>
        </w:rPr>
        <w:t>ó</w:t>
      </w:r>
      <w:r>
        <w:rPr>
          <w:sz w:val="18"/>
          <w:szCs w:val="18"/>
          <w:lang w:val="es-ES_tradnl"/>
        </w:rPr>
        <w:t>n de la acci</w:t>
      </w:r>
      <w:r>
        <w:rPr>
          <w:rFonts w:cs="Times New Roman"/>
          <w:sz w:val="18"/>
          <w:szCs w:val="18"/>
          <w:lang w:val="es-ES_tradnl"/>
        </w:rPr>
        <w:t>ó</w:t>
      </w:r>
      <w:r>
        <w:rPr>
          <w:sz w:val="18"/>
          <w:szCs w:val="18"/>
          <w:lang w:val="es-ES_tradnl"/>
        </w:rPr>
        <w:t xml:space="preserve">n constitucional </w:t>
      </w:r>
      <w:r>
        <w:rPr>
          <w:spacing w:val="-8"/>
          <w:sz w:val="18"/>
          <w:szCs w:val="18"/>
          <w:lang w:val="es-ES_tradnl"/>
        </w:rPr>
        <w:t>del h</w:t>
      </w:r>
      <w:r>
        <w:rPr>
          <w:rFonts w:cs="Times New Roman"/>
          <w:spacing w:val="-8"/>
          <w:sz w:val="18"/>
          <w:szCs w:val="18"/>
          <w:lang w:val="es-ES_tradnl"/>
        </w:rPr>
        <w:t>á</w:t>
      </w:r>
      <w:r>
        <w:rPr>
          <w:spacing w:val="-8"/>
          <w:sz w:val="18"/>
          <w:szCs w:val="18"/>
          <w:lang w:val="es-ES_tradnl"/>
        </w:rPr>
        <w:t xml:space="preserve">beas data, posee una </w:t>
      </w:r>
      <w:r>
        <w:rPr>
          <w:rFonts w:cs="Times New Roman"/>
          <w:spacing w:val="-8"/>
          <w:sz w:val="18"/>
          <w:szCs w:val="18"/>
          <w:lang w:val="es-ES_tradnl"/>
        </w:rPr>
        <w:t>ó</w:t>
      </w:r>
      <w:r>
        <w:rPr>
          <w:spacing w:val="-8"/>
          <w:sz w:val="18"/>
          <w:szCs w:val="18"/>
          <w:lang w:val="es-ES_tradnl"/>
        </w:rPr>
        <w:t>rbita espec</w:t>
      </w:r>
      <w:r>
        <w:rPr>
          <w:rFonts w:cs="Times New Roman"/>
          <w:spacing w:val="-8"/>
          <w:sz w:val="18"/>
          <w:szCs w:val="18"/>
          <w:lang w:val="es-ES_tradnl"/>
        </w:rPr>
        <w:t>í</w:t>
      </w:r>
      <w:r>
        <w:rPr>
          <w:spacing w:val="-8"/>
          <w:sz w:val="18"/>
          <w:szCs w:val="18"/>
          <w:lang w:val="es-ES_tradnl"/>
        </w:rPr>
        <w:t xml:space="preserve">fica, esto es, la </w:t>
      </w:r>
      <w:r>
        <w:rPr>
          <w:spacing w:val="-6"/>
          <w:sz w:val="18"/>
          <w:szCs w:val="18"/>
          <w:lang w:val="es-ES_tradnl"/>
        </w:rPr>
        <w:t>informaci</w:t>
      </w:r>
      <w:r>
        <w:rPr>
          <w:rFonts w:cs="Times New Roman"/>
          <w:spacing w:val="-6"/>
          <w:sz w:val="18"/>
          <w:szCs w:val="18"/>
          <w:lang w:val="es-ES_tradnl"/>
        </w:rPr>
        <w:t>ó</w:t>
      </w:r>
      <w:r>
        <w:rPr>
          <w:spacing w:val="-6"/>
          <w:sz w:val="18"/>
          <w:szCs w:val="18"/>
          <w:lang w:val="es-ES_tradnl"/>
        </w:rPr>
        <w:t xml:space="preserve">n </w:t>
      </w:r>
      <w:r>
        <w:rPr>
          <w:rFonts w:cs="Times New Roman"/>
          <w:spacing w:val="-6"/>
          <w:sz w:val="18"/>
          <w:szCs w:val="18"/>
          <w:lang w:val="es-ES_tradnl"/>
        </w:rPr>
        <w:t>í</w:t>
      </w:r>
      <w:r>
        <w:rPr>
          <w:spacing w:val="-6"/>
          <w:sz w:val="18"/>
          <w:szCs w:val="18"/>
          <w:lang w:val="es-ES_tradnl"/>
        </w:rPr>
        <w:t xml:space="preserve">ntima de una persona, la cual puede estar </w:t>
      </w:r>
      <w:r>
        <w:rPr>
          <w:spacing w:val="-5"/>
          <w:sz w:val="18"/>
          <w:szCs w:val="18"/>
          <w:lang w:val="es-ES_tradnl"/>
        </w:rPr>
        <w:t xml:space="preserve">contenida en diversas formas, tales como documentos, </w:t>
      </w:r>
      <w:r>
        <w:rPr>
          <w:spacing w:val="-9"/>
          <w:sz w:val="18"/>
          <w:szCs w:val="18"/>
          <w:lang w:val="es-ES_tradnl"/>
        </w:rPr>
        <w:t>datos gen</w:t>
      </w:r>
      <w:r>
        <w:rPr>
          <w:rFonts w:cs="Times New Roman"/>
          <w:spacing w:val="-9"/>
          <w:sz w:val="18"/>
          <w:szCs w:val="18"/>
          <w:lang w:val="es-ES_tradnl"/>
        </w:rPr>
        <w:t>é</w:t>
      </w:r>
      <w:r>
        <w:rPr>
          <w:spacing w:val="-9"/>
          <w:sz w:val="18"/>
          <w:szCs w:val="18"/>
          <w:lang w:val="es-ES_tradnl"/>
        </w:rPr>
        <w:t xml:space="preserve">ticos, bancos o archivos de datos personales e </w:t>
      </w:r>
      <w:r>
        <w:rPr>
          <w:spacing w:val="-6"/>
          <w:sz w:val="18"/>
          <w:szCs w:val="18"/>
          <w:lang w:val="es-ES_tradnl"/>
        </w:rPr>
        <w:t>informes que sobre s</w:t>
      </w:r>
      <w:r>
        <w:rPr>
          <w:rFonts w:cs="Times New Roman"/>
          <w:spacing w:val="-6"/>
          <w:sz w:val="18"/>
          <w:szCs w:val="18"/>
          <w:lang w:val="es-ES_tradnl"/>
        </w:rPr>
        <w:t>í</w:t>
      </w:r>
      <w:r>
        <w:rPr>
          <w:spacing w:val="-6"/>
          <w:sz w:val="18"/>
          <w:szCs w:val="18"/>
          <w:lang w:val="es-ES_tradnl"/>
        </w:rPr>
        <w:t xml:space="preserve"> misma, o sobre sus bienes, repose </w:t>
      </w:r>
      <w:r>
        <w:rPr>
          <w:spacing w:val="-7"/>
          <w:sz w:val="18"/>
          <w:szCs w:val="18"/>
          <w:lang w:val="es-ES_tradnl"/>
        </w:rPr>
        <w:t>en custodia de personas naturales o jur</w:t>
      </w:r>
      <w:r>
        <w:rPr>
          <w:rFonts w:cs="Times New Roman"/>
          <w:spacing w:val="-7"/>
          <w:sz w:val="18"/>
          <w:szCs w:val="18"/>
          <w:lang w:val="es-ES_tradnl"/>
        </w:rPr>
        <w:t>í</w:t>
      </w:r>
      <w:r>
        <w:rPr>
          <w:spacing w:val="-7"/>
          <w:sz w:val="18"/>
          <w:szCs w:val="18"/>
          <w:lang w:val="es-ES_tradnl"/>
        </w:rPr>
        <w:t>dicas p</w:t>
      </w:r>
      <w:r>
        <w:rPr>
          <w:rFonts w:cs="Times New Roman"/>
          <w:spacing w:val="-7"/>
          <w:sz w:val="18"/>
          <w:szCs w:val="18"/>
          <w:lang w:val="es-ES_tradnl"/>
        </w:rPr>
        <w:t>ú</w:t>
      </w:r>
      <w:r>
        <w:rPr>
          <w:spacing w:val="-7"/>
          <w:sz w:val="18"/>
          <w:szCs w:val="18"/>
          <w:lang w:val="es-ES_tradnl"/>
        </w:rPr>
        <w:t xml:space="preserve">blicas o </w:t>
      </w:r>
      <w:r>
        <w:rPr>
          <w:spacing w:val="-8"/>
          <w:sz w:val="18"/>
          <w:szCs w:val="18"/>
          <w:lang w:val="es-ES_tradnl"/>
        </w:rPr>
        <w:t>privadas, ya sea en soporte material o electr</w:t>
      </w:r>
      <w:r>
        <w:rPr>
          <w:rFonts w:cs="Times New Roman"/>
          <w:spacing w:val="-8"/>
          <w:sz w:val="18"/>
          <w:szCs w:val="18"/>
          <w:lang w:val="es-ES_tradnl"/>
        </w:rPr>
        <w:t>ó</w:t>
      </w:r>
      <w:r>
        <w:rPr>
          <w:spacing w:val="-8"/>
          <w:sz w:val="18"/>
          <w:szCs w:val="18"/>
          <w:lang w:val="es-ES_tradnl"/>
        </w:rPr>
        <w:t>nico.</w:t>
      </w:r>
    </w:p>
    <w:p w14:paraId="4F67AC3D" w14:textId="77777777" w:rsidR="00591D54" w:rsidRDefault="00591D54">
      <w:pPr>
        <w:shd w:val="clear" w:color="auto" w:fill="FFFFFF"/>
        <w:spacing w:before="192" w:line="216" w:lineRule="exact"/>
        <w:jc w:val="both"/>
      </w:pPr>
      <w:r>
        <w:rPr>
          <w:spacing w:val="-7"/>
          <w:sz w:val="18"/>
          <w:szCs w:val="18"/>
          <w:lang w:val="es-ES_tradnl"/>
        </w:rPr>
        <w:t>No obstante, es importante puntualizar que esta garant</w:t>
      </w:r>
      <w:r>
        <w:rPr>
          <w:rFonts w:cs="Times New Roman"/>
          <w:spacing w:val="-7"/>
          <w:sz w:val="18"/>
          <w:szCs w:val="18"/>
          <w:lang w:val="es-ES_tradnl"/>
        </w:rPr>
        <w:t>í</w:t>
      </w:r>
      <w:r>
        <w:rPr>
          <w:spacing w:val="-7"/>
          <w:sz w:val="18"/>
          <w:szCs w:val="18"/>
          <w:lang w:val="es-ES_tradnl"/>
        </w:rPr>
        <w:t xml:space="preserve">a </w:t>
      </w:r>
      <w:r>
        <w:rPr>
          <w:spacing w:val="-3"/>
          <w:sz w:val="18"/>
          <w:szCs w:val="18"/>
          <w:lang w:val="es-ES_tradnl"/>
        </w:rPr>
        <w:t xml:space="preserve">jurisdiccional, </w:t>
      </w:r>
      <w:r>
        <w:rPr>
          <w:rFonts w:cs="Times New Roman"/>
          <w:spacing w:val="-3"/>
          <w:sz w:val="18"/>
          <w:szCs w:val="18"/>
          <w:lang w:val="es-ES_tradnl"/>
        </w:rPr>
        <w:t>ú</w:t>
      </w:r>
      <w:r>
        <w:rPr>
          <w:spacing w:val="-3"/>
          <w:sz w:val="18"/>
          <w:szCs w:val="18"/>
          <w:lang w:val="es-ES_tradnl"/>
        </w:rPr>
        <w:t xml:space="preserve">nicamente cobija o alcanza a aquellos </w:t>
      </w:r>
      <w:r>
        <w:rPr>
          <w:spacing w:val="-5"/>
          <w:sz w:val="18"/>
          <w:szCs w:val="18"/>
          <w:lang w:val="es-ES_tradnl"/>
        </w:rPr>
        <w:t>datos que cumplan con una funci</w:t>
      </w:r>
      <w:r>
        <w:rPr>
          <w:rFonts w:cs="Times New Roman"/>
          <w:spacing w:val="-5"/>
          <w:sz w:val="18"/>
          <w:szCs w:val="18"/>
          <w:lang w:val="es-ES_tradnl"/>
        </w:rPr>
        <w:t>ó</w:t>
      </w:r>
      <w:r>
        <w:rPr>
          <w:spacing w:val="-5"/>
          <w:sz w:val="18"/>
          <w:szCs w:val="18"/>
          <w:lang w:val="es-ES_tradnl"/>
        </w:rPr>
        <w:t xml:space="preserve">n informativa respecto </w:t>
      </w:r>
      <w:r>
        <w:rPr>
          <w:spacing w:val="-10"/>
          <w:sz w:val="18"/>
          <w:szCs w:val="18"/>
          <w:lang w:val="es-ES_tradnl"/>
        </w:rPr>
        <w:t>de las personas y sus bienes, siempre que su comunicaci</w:t>
      </w:r>
      <w:r>
        <w:rPr>
          <w:rFonts w:cs="Times New Roman"/>
          <w:spacing w:val="-10"/>
          <w:sz w:val="18"/>
          <w:szCs w:val="18"/>
          <w:lang w:val="es-ES_tradnl"/>
        </w:rPr>
        <w:t>ó</w:t>
      </w:r>
      <w:r>
        <w:rPr>
          <w:spacing w:val="-10"/>
          <w:sz w:val="18"/>
          <w:szCs w:val="18"/>
          <w:lang w:val="es-ES_tradnl"/>
        </w:rPr>
        <w:t xml:space="preserve">n, </w:t>
      </w:r>
      <w:r>
        <w:rPr>
          <w:spacing w:val="-4"/>
          <w:sz w:val="18"/>
          <w:szCs w:val="18"/>
          <w:lang w:val="es-ES_tradnl"/>
        </w:rPr>
        <w:t>interpretaci</w:t>
      </w:r>
      <w:r>
        <w:rPr>
          <w:rFonts w:cs="Times New Roman"/>
          <w:spacing w:val="-4"/>
          <w:sz w:val="18"/>
          <w:szCs w:val="18"/>
          <w:lang w:val="es-ES_tradnl"/>
        </w:rPr>
        <w:t>ó</w:t>
      </w:r>
      <w:r>
        <w:rPr>
          <w:spacing w:val="-4"/>
          <w:sz w:val="18"/>
          <w:szCs w:val="18"/>
          <w:lang w:val="es-ES_tradnl"/>
        </w:rPr>
        <w:t xml:space="preserve">n o tratamiento afecte en mayor o menor </w:t>
      </w:r>
      <w:r>
        <w:rPr>
          <w:spacing w:val="-8"/>
          <w:sz w:val="18"/>
          <w:szCs w:val="18"/>
          <w:lang w:val="es-ES_tradnl"/>
        </w:rPr>
        <w:t>medida los derechos de aquel a quien se refieren</w:t>
      </w:r>
      <w:r>
        <w:rPr>
          <w:spacing w:val="-8"/>
          <w:sz w:val="18"/>
          <w:szCs w:val="18"/>
          <w:vertAlign w:val="superscript"/>
          <w:lang w:val="es-ES_tradnl"/>
        </w:rPr>
        <w:t>12</w:t>
      </w:r>
      <w:r>
        <w:rPr>
          <w:spacing w:val="-8"/>
          <w:sz w:val="18"/>
          <w:szCs w:val="18"/>
          <w:lang w:val="es-ES_tradnl"/>
        </w:rPr>
        <w:t xml:space="preserve">. En </w:t>
      </w:r>
      <w:r>
        <w:rPr>
          <w:spacing w:val="-6"/>
          <w:sz w:val="18"/>
          <w:szCs w:val="18"/>
          <w:lang w:val="es-ES_tradnl"/>
        </w:rPr>
        <w:t>virtud de ello, dicha persona tendr</w:t>
      </w:r>
      <w:r>
        <w:rPr>
          <w:rFonts w:cs="Times New Roman"/>
          <w:spacing w:val="-6"/>
          <w:sz w:val="18"/>
          <w:szCs w:val="18"/>
          <w:lang w:val="es-ES_tradnl"/>
        </w:rPr>
        <w:t>á</w:t>
      </w:r>
      <w:r>
        <w:rPr>
          <w:spacing w:val="-6"/>
          <w:sz w:val="18"/>
          <w:szCs w:val="18"/>
          <w:lang w:val="es-ES_tradnl"/>
        </w:rPr>
        <w:t xml:space="preserve"> derecho a conocer el </w:t>
      </w:r>
      <w:r>
        <w:rPr>
          <w:spacing w:val="-10"/>
          <w:sz w:val="18"/>
          <w:szCs w:val="18"/>
          <w:lang w:val="es-ES_tradnl"/>
        </w:rPr>
        <w:t xml:space="preserve">uso que se haga de ellos, su finalidad, el origen y destino de </w:t>
      </w:r>
      <w:r>
        <w:rPr>
          <w:spacing w:val="-8"/>
          <w:sz w:val="18"/>
          <w:szCs w:val="18"/>
          <w:lang w:val="es-ES_tradnl"/>
        </w:rPr>
        <w:t>su informaci</w:t>
      </w:r>
      <w:r>
        <w:rPr>
          <w:rFonts w:cs="Times New Roman"/>
          <w:spacing w:val="-8"/>
          <w:sz w:val="18"/>
          <w:szCs w:val="18"/>
          <w:lang w:val="es-ES_tradnl"/>
        </w:rPr>
        <w:t>ó</w:t>
      </w:r>
      <w:r>
        <w:rPr>
          <w:spacing w:val="-8"/>
          <w:sz w:val="18"/>
          <w:szCs w:val="18"/>
          <w:lang w:val="es-ES_tradnl"/>
        </w:rPr>
        <w:t xml:space="preserve">n personal y el tiempo de vigencia del archivo </w:t>
      </w:r>
      <w:r>
        <w:rPr>
          <w:sz w:val="18"/>
          <w:szCs w:val="18"/>
          <w:lang w:val="es-ES_tradnl"/>
        </w:rPr>
        <w:t>o banco de datos.</w:t>
      </w:r>
    </w:p>
    <w:p w14:paraId="4F67AC3E" w14:textId="77777777" w:rsidR="00591D54" w:rsidRDefault="00591D54">
      <w:pPr>
        <w:shd w:val="clear" w:color="auto" w:fill="FFFFFF"/>
        <w:spacing w:before="192" w:line="216" w:lineRule="exact"/>
        <w:jc w:val="both"/>
      </w:pPr>
      <w:r>
        <w:rPr>
          <w:spacing w:val="-8"/>
          <w:sz w:val="18"/>
          <w:szCs w:val="18"/>
          <w:lang w:val="es-ES_tradnl"/>
        </w:rPr>
        <w:t>Para el efecto, la persona titular de los datos podr</w:t>
      </w:r>
      <w:r>
        <w:rPr>
          <w:rFonts w:cs="Times New Roman"/>
          <w:spacing w:val="-8"/>
          <w:sz w:val="18"/>
          <w:szCs w:val="18"/>
          <w:lang w:val="es-ES_tradnl"/>
        </w:rPr>
        <w:t>á</w:t>
      </w:r>
      <w:r>
        <w:rPr>
          <w:spacing w:val="-8"/>
          <w:sz w:val="18"/>
          <w:szCs w:val="18"/>
          <w:lang w:val="es-ES_tradnl"/>
        </w:rPr>
        <w:t xml:space="preserve"> solicitar al responsable el acceso sin costo a la informaci</w:t>
      </w:r>
      <w:r>
        <w:rPr>
          <w:rFonts w:cs="Times New Roman"/>
          <w:spacing w:val="-8"/>
          <w:sz w:val="18"/>
          <w:szCs w:val="18"/>
          <w:lang w:val="es-ES_tradnl"/>
        </w:rPr>
        <w:t>ó</w:t>
      </w:r>
      <w:r>
        <w:rPr>
          <w:spacing w:val="-8"/>
          <w:sz w:val="18"/>
          <w:szCs w:val="18"/>
          <w:lang w:val="es-ES_tradnl"/>
        </w:rPr>
        <w:t>n a fin de conocer su contenido, lo cual, a su vez, le permitir</w:t>
      </w:r>
      <w:r>
        <w:rPr>
          <w:rFonts w:cs="Times New Roman"/>
          <w:spacing w:val="-8"/>
          <w:sz w:val="18"/>
          <w:szCs w:val="18"/>
          <w:lang w:val="es-ES_tradnl"/>
        </w:rPr>
        <w:t>á</w:t>
      </w:r>
      <w:r>
        <w:rPr>
          <w:spacing w:val="-8"/>
          <w:sz w:val="18"/>
          <w:szCs w:val="18"/>
          <w:lang w:val="es-ES_tradnl"/>
        </w:rPr>
        <w:t xml:space="preserve"> solicitar </w:t>
      </w:r>
      <w:r>
        <w:rPr>
          <w:spacing w:val="-6"/>
          <w:sz w:val="18"/>
          <w:szCs w:val="18"/>
          <w:lang w:val="es-ES_tradnl"/>
        </w:rPr>
        <w:t>su actualizaci</w:t>
      </w:r>
      <w:r>
        <w:rPr>
          <w:rFonts w:cs="Times New Roman"/>
          <w:spacing w:val="-6"/>
          <w:sz w:val="18"/>
          <w:szCs w:val="18"/>
          <w:lang w:val="es-ES_tradnl"/>
        </w:rPr>
        <w:t>ó</w:t>
      </w:r>
      <w:r>
        <w:rPr>
          <w:spacing w:val="-6"/>
          <w:sz w:val="18"/>
          <w:szCs w:val="18"/>
          <w:lang w:val="es-ES_tradnl"/>
        </w:rPr>
        <w:t>n, rectificaci</w:t>
      </w:r>
      <w:r>
        <w:rPr>
          <w:rFonts w:cs="Times New Roman"/>
          <w:spacing w:val="-6"/>
          <w:sz w:val="18"/>
          <w:szCs w:val="18"/>
          <w:lang w:val="es-ES_tradnl"/>
        </w:rPr>
        <w:t>ó</w:t>
      </w:r>
      <w:r>
        <w:rPr>
          <w:spacing w:val="-6"/>
          <w:sz w:val="18"/>
          <w:szCs w:val="18"/>
          <w:lang w:val="es-ES_tradnl"/>
        </w:rPr>
        <w:t>n, eliminaci</w:t>
      </w:r>
      <w:r>
        <w:rPr>
          <w:rFonts w:cs="Times New Roman"/>
          <w:spacing w:val="-6"/>
          <w:sz w:val="18"/>
          <w:szCs w:val="18"/>
          <w:lang w:val="es-ES_tradnl"/>
        </w:rPr>
        <w:t>ó</w:t>
      </w:r>
      <w:r>
        <w:rPr>
          <w:spacing w:val="-6"/>
          <w:sz w:val="18"/>
          <w:szCs w:val="18"/>
          <w:lang w:val="es-ES_tradnl"/>
        </w:rPr>
        <w:t>n o anulaci</w:t>
      </w:r>
      <w:r>
        <w:rPr>
          <w:rFonts w:cs="Times New Roman"/>
          <w:spacing w:val="-6"/>
          <w:sz w:val="18"/>
          <w:szCs w:val="18"/>
          <w:lang w:val="es-ES_tradnl"/>
        </w:rPr>
        <w:t>ó</w:t>
      </w:r>
      <w:r>
        <w:rPr>
          <w:spacing w:val="-6"/>
          <w:sz w:val="18"/>
          <w:szCs w:val="18"/>
          <w:lang w:val="es-ES_tradnl"/>
        </w:rPr>
        <w:t>n.</w:t>
      </w:r>
    </w:p>
    <w:p w14:paraId="4F67AC3F" w14:textId="77777777" w:rsidR="00591D54" w:rsidRDefault="00591D54">
      <w:pPr>
        <w:shd w:val="clear" w:color="auto" w:fill="FFFFFF"/>
        <w:spacing w:before="192" w:line="216" w:lineRule="exact"/>
        <w:jc w:val="both"/>
      </w:pPr>
      <w:r>
        <w:rPr>
          <w:spacing w:val="-8"/>
          <w:sz w:val="18"/>
          <w:szCs w:val="18"/>
          <w:lang w:val="es-ES_tradnl"/>
        </w:rPr>
        <w:t>Al respecto, esta Corte ha se</w:t>
      </w:r>
      <w:r>
        <w:rPr>
          <w:rFonts w:cs="Times New Roman"/>
          <w:spacing w:val="-8"/>
          <w:sz w:val="18"/>
          <w:szCs w:val="18"/>
          <w:lang w:val="es-ES_tradnl"/>
        </w:rPr>
        <w:t>ñ</w:t>
      </w:r>
      <w:r>
        <w:rPr>
          <w:spacing w:val="-8"/>
          <w:sz w:val="18"/>
          <w:szCs w:val="18"/>
          <w:lang w:val="es-ES_tradnl"/>
        </w:rPr>
        <w:t xml:space="preserve">alado que las </w:t>
      </w:r>
      <w:r>
        <w:rPr>
          <w:rFonts w:cs="Times New Roman"/>
          <w:spacing w:val="-8"/>
          <w:sz w:val="18"/>
          <w:szCs w:val="18"/>
          <w:lang w:val="es-ES_tradnl"/>
        </w:rPr>
        <w:t>“</w:t>
      </w:r>
      <w:r>
        <w:rPr>
          <w:spacing w:val="-8"/>
          <w:sz w:val="18"/>
          <w:szCs w:val="18"/>
          <w:lang w:val="es-ES_tradnl"/>
        </w:rPr>
        <w:t xml:space="preserve">dimensiones </w:t>
      </w:r>
      <w:r>
        <w:rPr>
          <w:spacing w:val="-7"/>
          <w:sz w:val="18"/>
          <w:szCs w:val="18"/>
          <w:lang w:val="es-ES_tradnl"/>
        </w:rPr>
        <w:t>utilitarias de esta garant</w:t>
      </w:r>
      <w:r>
        <w:rPr>
          <w:rFonts w:cs="Times New Roman"/>
          <w:spacing w:val="-7"/>
          <w:sz w:val="18"/>
          <w:szCs w:val="18"/>
          <w:lang w:val="es-ES_tradnl"/>
        </w:rPr>
        <w:t>í</w:t>
      </w:r>
      <w:r>
        <w:rPr>
          <w:spacing w:val="-7"/>
          <w:sz w:val="18"/>
          <w:szCs w:val="18"/>
          <w:lang w:val="es-ES_tradnl"/>
        </w:rPr>
        <w:t>a acorde al objeto espec</w:t>
      </w:r>
      <w:r>
        <w:rPr>
          <w:rFonts w:cs="Times New Roman"/>
          <w:spacing w:val="-7"/>
          <w:sz w:val="18"/>
          <w:szCs w:val="18"/>
          <w:lang w:val="es-ES_tradnl"/>
        </w:rPr>
        <w:t>í</w:t>
      </w:r>
      <w:r>
        <w:rPr>
          <w:spacing w:val="-7"/>
          <w:sz w:val="18"/>
          <w:szCs w:val="18"/>
          <w:lang w:val="es-ES_tradnl"/>
        </w:rPr>
        <w:t xml:space="preserve">fico que </w:t>
      </w:r>
      <w:r>
        <w:rPr>
          <w:sz w:val="18"/>
          <w:szCs w:val="18"/>
          <w:lang w:val="es-ES_tradnl"/>
        </w:rPr>
        <w:t>puede perseguir ser</w:t>
      </w:r>
      <w:r>
        <w:rPr>
          <w:rFonts w:cs="Times New Roman"/>
          <w:sz w:val="18"/>
          <w:szCs w:val="18"/>
          <w:lang w:val="es-ES_tradnl"/>
        </w:rPr>
        <w:t>í</w:t>
      </w:r>
      <w:r>
        <w:rPr>
          <w:sz w:val="18"/>
          <w:szCs w:val="18"/>
          <w:lang w:val="es-ES_tradnl"/>
        </w:rPr>
        <w:t>an</w:t>
      </w:r>
      <w:r>
        <w:rPr>
          <w:rFonts w:cs="Times New Roman"/>
          <w:sz w:val="18"/>
          <w:szCs w:val="18"/>
          <w:lang w:val="es-ES_tradnl"/>
        </w:rPr>
        <w:t>”</w:t>
      </w:r>
      <w:r>
        <w:rPr>
          <w:sz w:val="18"/>
          <w:szCs w:val="18"/>
          <w:lang w:val="es-ES_tradnl"/>
        </w:rPr>
        <w:t>:</w:t>
      </w:r>
    </w:p>
    <w:p w14:paraId="4F67AC40" w14:textId="77777777" w:rsidR="00591D54" w:rsidRDefault="00591D54" w:rsidP="00251195">
      <w:pPr>
        <w:numPr>
          <w:ilvl w:val="0"/>
          <w:numId w:val="55"/>
        </w:numPr>
        <w:shd w:val="clear" w:color="auto" w:fill="FFFFFF"/>
        <w:tabs>
          <w:tab w:val="left" w:pos="509"/>
        </w:tabs>
        <w:spacing w:before="206" w:line="216" w:lineRule="exact"/>
        <w:ind w:left="283"/>
        <w:jc w:val="both"/>
        <w:rPr>
          <w:spacing w:val="-3"/>
          <w:sz w:val="14"/>
          <w:szCs w:val="14"/>
          <w:lang w:val="es-ES_tradnl"/>
        </w:rPr>
      </w:pPr>
      <w:r>
        <w:rPr>
          <w:sz w:val="14"/>
          <w:szCs w:val="14"/>
          <w:lang w:val="es-ES_tradnl"/>
        </w:rPr>
        <w:t>H</w:t>
      </w:r>
      <w:r>
        <w:rPr>
          <w:rFonts w:cs="Times New Roman"/>
          <w:sz w:val="14"/>
          <w:szCs w:val="14"/>
          <w:lang w:val="es-ES_tradnl"/>
        </w:rPr>
        <w:t>á</w:t>
      </w:r>
      <w:r>
        <w:rPr>
          <w:sz w:val="14"/>
          <w:szCs w:val="14"/>
          <w:lang w:val="es-ES_tradnl"/>
        </w:rPr>
        <w:t>beas</w:t>
      </w:r>
      <w:r>
        <w:rPr>
          <w:sz w:val="18"/>
          <w:szCs w:val="18"/>
          <w:lang w:val="es-ES_tradnl"/>
        </w:rPr>
        <w:t xml:space="preserve"> </w:t>
      </w:r>
      <w:r>
        <w:rPr>
          <w:sz w:val="14"/>
          <w:szCs w:val="14"/>
          <w:lang w:val="es-ES_tradnl"/>
        </w:rPr>
        <w:t>data</w:t>
      </w:r>
      <w:r>
        <w:rPr>
          <w:sz w:val="18"/>
          <w:szCs w:val="18"/>
          <w:lang w:val="es-ES_tradnl"/>
        </w:rPr>
        <w:t xml:space="preserve"> </w:t>
      </w:r>
      <w:r>
        <w:rPr>
          <w:sz w:val="14"/>
          <w:szCs w:val="14"/>
          <w:lang w:val="es-ES_tradnl"/>
        </w:rPr>
        <w:t>informativo</w:t>
      </w:r>
      <w:r>
        <w:rPr>
          <w:sz w:val="18"/>
          <w:szCs w:val="18"/>
          <w:lang w:val="es-ES_tradnl"/>
        </w:rPr>
        <w:t xml:space="preserve"> </w:t>
      </w:r>
      <w:r>
        <w:rPr>
          <w:sz w:val="14"/>
          <w:szCs w:val="14"/>
          <w:lang w:val="es-ES_tradnl"/>
        </w:rPr>
        <w:t>(derecho</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acceso).</w:t>
      </w:r>
      <w:r>
        <w:rPr>
          <w:sz w:val="18"/>
          <w:szCs w:val="18"/>
          <w:lang w:val="es-ES_tradnl"/>
        </w:rPr>
        <w:t xml:space="preserve"> </w:t>
      </w:r>
      <w:r>
        <w:rPr>
          <w:sz w:val="14"/>
          <w:szCs w:val="14"/>
          <w:lang w:val="es-ES_tradnl"/>
        </w:rPr>
        <w:t>Es</w:t>
      </w:r>
      <w:r>
        <w:rPr>
          <w:sz w:val="18"/>
          <w:szCs w:val="18"/>
          <w:lang w:val="es-ES_tradnl"/>
        </w:rPr>
        <w:t xml:space="preserve"> </w:t>
      </w:r>
      <w:r>
        <w:rPr>
          <w:sz w:val="14"/>
          <w:szCs w:val="14"/>
          <w:lang w:val="es-ES_tradnl"/>
        </w:rPr>
        <w:t>la dimensi</w:t>
      </w:r>
      <w:r>
        <w:rPr>
          <w:rFonts w:cs="Times New Roman"/>
          <w:sz w:val="14"/>
          <w:szCs w:val="14"/>
          <w:lang w:val="es-ES_tradnl"/>
        </w:rPr>
        <w:t>ó</w:t>
      </w:r>
      <w:r>
        <w:rPr>
          <w:sz w:val="14"/>
          <w:szCs w:val="14"/>
          <w:lang w:val="es-ES_tradnl"/>
        </w:rPr>
        <w:t>n procesal que asume el h</w:t>
      </w:r>
      <w:r>
        <w:rPr>
          <w:rFonts w:cs="Times New Roman"/>
          <w:sz w:val="14"/>
          <w:szCs w:val="14"/>
          <w:lang w:val="es-ES_tradnl"/>
        </w:rPr>
        <w:t>á</w:t>
      </w:r>
      <w:r>
        <w:rPr>
          <w:sz w:val="14"/>
          <w:szCs w:val="14"/>
          <w:lang w:val="es-ES_tradnl"/>
        </w:rPr>
        <w:t>beas data para recabar informaci</w:t>
      </w:r>
      <w:r>
        <w:rPr>
          <w:rFonts w:cs="Times New Roman"/>
          <w:sz w:val="14"/>
          <w:szCs w:val="14"/>
          <w:lang w:val="es-ES_tradnl"/>
        </w:rPr>
        <w:t>ó</w:t>
      </w:r>
      <w:r>
        <w:rPr>
          <w:sz w:val="14"/>
          <w:szCs w:val="14"/>
          <w:lang w:val="es-ES_tradnl"/>
        </w:rPr>
        <w:t>n acerca del qu</w:t>
      </w:r>
      <w:r>
        <w:rPr>
          <w:rFonts w:cs="Times New Roman"/>
          <w:sz w:val="14"/>
          <w:szCs w:val="14"/>
          <w:lang w:val="es-ES_tradnl"/>
        </w:rPr>
        <w:t>é</w:t>
      </w:r>
      <w:r>
        <w:rPr>
          <w:sz w:val="14"/>
          <w:szCs w:val="14"/>
          <w:lang w:val="es-ES_tradnl"/>
        </w:rPr>
        <w:t>, qui</w:t>
      </w:r>
      <w:r>
        <w:rPr>
          <w:rFonts w:cs="Times New Roman"/>
          <w:sz w:val="14"/>
          <w:szCs w:val="14"/>
          <w:lang w:val="es-ES_tradnl"/>
        </w:rPr>
        <w:t>é</w:t>
      </w:r>
      <w:r>
        <w:rPr>
          <w:sz w:val="14"/>
          <w:szCs w:val="14"/>
          <w:lang w:val="es-ES_tradnl"/>
        </w:rPr>
        <w:t>n, c</w:t>
      </w:r>
      <w:r>
        <w:rPr>
          <w:rFonts w:cs="Times New Roman"/>
          <w:sz w:val="14"/>
          <w:szCs w:val="14"/>
          <w:lang w:val="es-ES_tradnl"/>
        </w:rPr>
        <w:t>ó</w:t>
      </w:r>
      <w:r>
        <w:rPr>
          <w:sz w:val="14"/>
          <w:szCs w:val="14"/>
          <w:lang w:val="es-ES_tradnl"/>
        </w:rPr>
        <w:t>mo y para qu</w:t>
      </w:r>
      <w:r>
        <w:rPr>
          <w:rFonts w:cs="Times New Roman"/>
          <w:sz w:val="14"/>
          <w:szCs w:val="14"/>
          <w:lang w:val="es-ES_tradnl"/>
        </w:rPr>
        <w:t>é</w:t>
      </w:r>
      <w:r>
        <w:rPr>
          <w:sz w:val="14"/>
          <w:szCs w:val="14"/>
          <w:lang w:val="es-ES_tradnl"/>
        </w:rPr>
        <w:t xml:space="preserve"> se obtuvo la informaci</w:t>
      </w:r>
      <w:r>
        <w:rPr>
          <w:rFonts w:cs="Times New Roman"/>
          <w:sz w:val="14"/>
          <w:szCs w:val="14"/>
          <w:lang w:val="es-ES_tradnl"/>
        </w:rPr>
        <w:t>ó</w:t>
      </w:r>
      <w:r>
        <w:rPr>
          <w:sz w:val="14"/>
          <w:szCs w:val="14"/>
          <w:lang w:val="es-ES_tradnl"/>
        </w:rPr>
        <w:t>n considerada personal.</w:t>
      </w:r>
    </w:p>
    <w:p w14:paraId="4F67AC41" w14:textId="77777777" w:rsidR="00591D54" w:rsidRDefault="00591D54" w:rsidP="00251195">
      <w:pPr>
        <w:numPr>
          <w:ilvl w:val="0"/>
          <w:numId w:val="55"/>
        </w:numPr>
        <w:shd w:val="clear" w:color="auto" w:fill="FFFFFF"/>
        <w:tabs>
          <w:tab w:val="left" w:pos="509"/>
        </w:tabs>
        <w:spacing w:line="216" w:lineRule="exact"/>
        <w:ind w:left="283"/>
        <w:jc w:val="both"/>
        <w:rPr>
          <w:sz w:val="14"/>
          <w:szCs w:val="14"/>
          <w:lang w:val="es-ES_tradnl"/>
        </w:rPr>
      </w:pPr>
      <w:r>
        <w:rPr>
          <w:sz w:val="14"/>
          <w:szCs w:val="14"/>
          <w:lang w:val="es-ES_tradnl"/>
        </w:rPr>
        <w:t>H</w:t>
      </w:r>
      <w:r>
        <w:rPr>
          <w:rFonts w:cs="Times New Roman"/>
          <w:sz w:val="14"/>
          <w:szCs w:val="14"/>
          <w:lang w:val="es-ES_tradnl"/>
        </w:rPr>
        <w:t>á</w:t>
      </w:r>
      <w:r>
        <w:rPr>
          <w:sz w:val="14"/>
          <w:szCs w:val="14"/>
          <w:lang w:val="es-ES_tradnl"/>
        </w:rPr>
        <w:t>beas</w:t>
      </w:r>
      <w:r>
        <w:rPr>
          <w:sz w:val="18"/>
          <w:szCs w:val="18"/>
          <w:lang w:val="es-ES_tradnl"/>
        </w:rPr>
        <w:t xml:space="preserve"> </w:t>
      </w:r>
      <w:r>
        <w:rPr>
          <w:sz w:val="14"/>
          <w:szCs w:val="14"/>
          <w:lang w:val="es-ES_tradnl"/>
        </w:rPr>
        <w:t>data</w:t>
      </w:r>
      <w:r>
        <w:rPr>
          <w:sz w:val="18"/>
          <w:szCs w:val="18"/>
          <w:lang w:val="es-ES_tradnl"/>
        </w:rPr>
        <w:t xml:space="preserve"> </w:t>
      </w:r>
      <w:r>
        <w:rPr>
          <w:sz w:val="14"/>
          <w:szCs w:val="14"/>
          <w:lang w:val="es-ES_tradnl"/>
        </w:rPr>
        <w:t>aditivo</w:t>
      </w:r>
      <w:r>
        <w:rPr>
          <w:sz w:val="18"/>
          <w:szCs w:val="18"/>
          <w:lang w:val="es-ES_tradnl"/>
        </w:rPr>
        <w:t xml:space="preserve"> </w:t>
      </w:r>
      <w:r>
        <w:rPr>
          <w:sz w:val="14"/>
          <w:szCs w:val="14"/>
          <w:lang w:val="es-ES_tradnl"/>
        </w:rPr>
        <w:t>(derecho</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modificaci</w:t>
      </w:r>
      <w:r>
        <w:rPr>
          <w:rFonts w:cs="Times New Roman"/>
          <w:sz w:val="14"/>
          <w:szCs w:val="14"/>
          <w:lang w:val="es-ES_tradnl"/>
        </w:rPr>
        <w:t>ó</w:t>
      </w:r>
      <w:r>
        <w:rPr>
          <w:sz w:val="14"/>
          <w:szCs w:val="14"/>
          <w:lang w:val="es-ES_tradnl"/>
        </w:rPr>
        <w:t>n).</w:t>
      </w:r>
      <w:r>
        <w:rPr>
          <w:sz w:val="18"/>
          <w:szCs w:val="18"/>
          <w:lang w:val="es-ES_tradnl"/>
        </w:rPr>
        <w:t xml:space="preserve"> </w:t>
      </w:r>
      <w:r>
        <w:rPr>
          <w:sz w:val="14"/>
          <w:szCs w:val="14"/>
          <w:lang w:val="es-ES_tradnl"/>
        </w:rPr>
        <w:t>Busca agregar m</w:t>
      </w:r>
      <w:r>
        <w:rPr>
          <w:rFonts w:cs="Times New Roman"/>
          <w:sz w:val="14"/>
          <w:szCs w:val="14"/>
          <w:lang w:val="es-ES_tradnl"/>
        </w:rPr>
        <w:t>á</w:t>
      </w:r>
      <w:r>
        <w:rPr>
          <w:sz w:val="14"/>
          <w:szCs w:val="14"/>
          <w:lang w:val="es-ES_tradnl"/>
        </w:rPr>
        <w:t>s datos sobre aquellos que figuren en el registro respectivo, buscando actualizarlo o modificarlo seg</w:t>
      </w:r>
      <w:r>
        <w:rPr>
          <w:rFonts w:cs="Times New Roman"/>
          <w:sz w:val="14"/>
          <w:szCs w:val="14"/>
          <w:lang w:val="es-ES_tradnl"/>
        </w:rPr>
        <w:t>ú</w:t>
      </w:r>
      <w:r>
        <w:rPr>
          <w:sz w:val="14"/>
          <w:szCs w:val="14"/>
          <w:lang w:val="es-ES_tradnl"/>
        </w:rPr>
        <w:t>n sea el caso.</w:t>
      </w:r>
    </w:p>
    <w:p w14:paraId="4F67AC42" w14:textId="77777777" w:rsidR="00591D54" w:rsidRDefault="00591D54">
      <w:pPr>
        <w:shd w:val="clear" w:color="auto" w:fill="FFFFFF"/>
        <w:tabs>
          <w:tab w:val="left" w:pos="144"/>
        </w:tabs>
        <w:spacing w:before="470"/>
      </w:pPr>
      <w:r>
        <w:rPr>
          <w:spacing w:val="-5"/>
          <w:sz w:val="8"/>
          <w:szCs w:val="8"/>
          <w:vertAlign w:val="superscript"/>
          <w:lang w:val="es-ES_tradnl"/>
        </w:rPr>
        <w:t>10</w:t>
      </w:r>
      <w:r>
        <w:rPr>
          <w:sz w:val="18"/>
          <w:szCs w:val="18"/>
          <w:lang w:val="es-ES_tradnl"/>
        </w:rPr>
        <w:tab/>
      </w:r>
      <w:r>
        <w:rPr>
          <w:spacing w:val="-1"/>
          <w:sz w:val="14"/>
          <w:szCs w:val="14"/>
          <w:lang w:val="es-ES_tradnl"/>
        </w:rPr>
        <w:t>Ib</w:t>
      </w:r>
      <w:r>
        <w:rPr>
          <w:rFonts w:cs="Times New Roman"/>
          <w:spacing w:val="-1"/>
          <w:sz w:val="14"/>
          <w:szCs w:val="14"/>
          <w:lang w:val="es-ES_tradnl"/>
        </w:rPr>
        <w:t>í</w:t>
      </w:r>
      <w:r>
        <w:rPr>
          <w:spacing w:val="-1"/>
          <w:sz w:val="14"/>
          <w:szCs w:val="14"/>
          <w:lang w:val="es-ES_tradnl"/>
        </w:rPr>
        <w:t>dem.,</w:t>
      </w:r>
      <w:r>
        <w:rPr>
          <w:spacing w:val="-1"/>
          <w:sz w:val="18"/>
          <w:szCs w:val="18"/>
          <w:lang w:val="es-ES_tradnl"/>
        </w:rPr>
        <w:t xml:space="preserve"> </w:t>
      </w:r>
      <w:r>
        <w:rPr>
          <w:spacing w:val="-1"/>
          <w:sz w:val="14"/>
          <w:szCs w:val="14"/>
          <w:lang w:val="es-ES_tradnl"/>
        </w:rPr>
        <w:t>p.6-7</w:t>
      </w:r>
    </w:p>
    <w:p w14:paraId="4F67AC43" w14:textId="77777777" w:rsidR="00591D54" w:rsidRDefault="00591D54">
      <w:pPr>
        <w:shd w:val="clear" w:color="auto" w:fill="FFFFFF"/>
        <w:tabs>
          <w:tab w:val="left" w:pos="144"/>
        </w:tabs>
        <w:spacing w:before="154"/>
      </w:pPr>
      <w:r>
        <w:rPr>
          <w:spacing w:val="-52"/>
          <w:sz w:val="16"/>
          <w:szCs w:val="16"/>
          <w:vertAlign w:val="superscript"/>
          <w:lang w:val="es-ES_tradnl"/>
        </w:rPr>
        <w:t>11</w:t>
      </w:r>
      <w:r>
        <w:rPr>
          <w:sz w:val="18"/>
          <w:szCs w:val="18"/>
          <w:lang w:val="es-ES_tradnl"/>
        </w:rPr>
        <w:tab/>
      </w:r>
      <w:r>
        <w:rPr>
          <w:spacing w:val="-1"/>
          <w:sz w:val="14"/>
          <w:szCs w:val="14"/>
          <w:lang w:val="es-ES_tradnl"/>
        </w:rPr>
        <w:t>Salmon</w:t>
      </w:r>
      <w:r>
        <w:rPr>
          <w:spacing w:val="-1"/>
          <w:sz w:val="18"/>
          <w:szCs w:val="18"/>
          <w:lang w:val="es-ES_tradnl"/>
        </w:rPr>
        <w:t xml:space="preserve"> </w:t>
      </w:r>
      <w:r>
        <w:rPr>
          <w:spacing w:val="-1"/>
          <w:sz w:val="14"/>
          <w:szCs w:val="14"/>
          <w:lang w:val="es-ES_tradnl"/>
        </w:rPr>
        <w:t>Alvear,</w:t>
      </w:r>
      <w:r>
        <w:rPr>
          <w:spacing w:val="-1"/>
          <w:sz w:val="18"/>
          <w:szCs w:val="18"/>
          <w:lang w:val="es-ES_tradnl"/>
        </w:rPr>
        <w:t xml:space="preserve"> </w:t>
      </w:r>
      <w:r>
        <w:rPr>
          <w:spacing w:val="-1"/>
          <w:sz w:val="14"/>
          <w:szCs w:val="14"/>
          <w:lang w:val="es-ES_tradnl"/>
        </w:rPr>
        <w:t>Carlos,</w:t>
      </w:r>
      <w:r>
        <w:rPr>
          <w:spacing w:val="-1"/>
          <w:sz w:val="18"/>
          <w:szCs w:val="18"/>
          <w:lang w:val="es-ES_tradnl"/>
        </w:rPr>
        <w:t xml:space="preserve"> </w:t>
      </w:r>
      <w:r>
        <w:rPr>
          <w:spacing w:val="-1"/>
          <w:sz w:val="14"/>
          <w:szCs w:val="14"/>
          <w:lang w:val="es-ES_tradnl"/>
        </w:rPr>
        <w:t>Op.</w:t>
      </w:r>
      <w:r>
        <w:rPr>
          <w:spacing w:val="-1"/>
          <w:sz w:val="18"/>
          <w:szCs w:val="18"/>
          <w:lang w:val="es-ES_tradnl"/>
        </w:rPr>
        <w:t xml:space="preserve"> </w:t>
      </w:r>
      <w:r>
        <w:rPr>
          <w:spacing w:val="-1"/>
          <w:sz w:val="14"/>
          <w:szCs w:val="14"/>
          <w:lang w:val="es-ES_tradnl"/>
        </w:rPr>
        <w:t>cit.</w:t>
      </w:r>
      <w:r>
        <w:rPr>
          <w:spacing w:val="-1"/>
          <w:sz w:val="18"/>
          <w:szCs w:val="18"/>
          <w:lang w:val="es-ES_tradnl"/>
        </w:rPr>
        <w:t xml:space="preserve"> </w:t>
      </w:r>
      <w:r>
        <w:rPr>
          <w:spacing w:val="-1"/>
          <w:sz w:val="14"/>
          <w:szCs w:val="14"/>
          <w:lang w:val="es-ES_tradnl"/>
        </w:rPr>
        <w:t>p.</w:t>
      </w:r>
      <w:r>
        <w:rPr>
          <w:spacing w:val="-1"/>
          <w:sz w:val="18"/>
          <w:szCs w:val="18"/>
          <w:lang w:val="es-ES_tradnl"/>
        </w:rPr>
        <w:t xml:space="preserve"> </w:t>
      </w:r>
      <w:r>
        <w:rPr>
          <w:spacing w:val="-1"/>
          <w:sz w:val="14"/>
          <w:szCs w:val="14"/>
          <w:lang w:val="es-ES_tradnl"/>
        </w:rPr>
        <w:t>139</w:t>
      </w:r>
    </w:p>
    <w:p w14:paraId="4F67AC44" w14:textId="77777777" w:rsidR="00591D54" w:rsidRDefault="00591D54">
      <w:pPr>
        <w:shd w:val="clear" w:color="auto" w:fill="FFFFFF"/>
        <w:tabs>
          <w:tab w:val="left" w:pos="144"/>
        </w:tabs>
        <w:spacing w:before="149" w:line="178" w:lineRule="exact"/>
        <w:ind w:left="144" w:hanging="144"/>
      </w:pPr>
      <w:r>
        <w:rPr>
          <w:spacing w:val="-5"/>
          <w:sz w:val="8"/>
          <w:szCs w:val="8"/>
          <w:vertAlign w:val="superscript"/>
          <w:lang w:val="es-ES_tradnl"/>
        </w:rPr>
        <w:t>12</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º</w:t>
      </w:r>
      <w:r>
        <w:rPr>
          <w:sz w:val="18"/>
          <w:szCs w:val="18"/>
          <w:lang w:val="es-ES_tradnl"/>
        </w:rPr>
        <w:t xml:space="preserve"> </w:t>
      </w:r>
      <w:r>
        <w:rPr>
          <w:sz w:val="14"/>
          <w:szCs w:val="14"/>
          <w:lang w:val="es-ES_tradnl"/>
        </w:rPr>
        <w:t>001-14-PJO-CC, caso N.</w:t>
      </w:r>
      <w:r>
        <w:rPr>
          <w:rFonts w:cs="Times New Roman"/>
          <w:sz w:val="14"/>
          <w:szCs w:val="14"/>
          <w:lang w:val="es-ES_tradnl"/>
        </w:rPr>
        <w:t>º</w:t>
      </w:r>
      <w:r>
        <w:rPr>
          <w:sz w:val="14"/>
          <w:szCs w:val="14"/>
          <w:lang w:val="es-ES_tradnl"/>
        </w:rPr>
        <w:t xml:space="preserve"> 0067-11-JD</w:t>
      </w:r>
    </w:p>
    <w:p w14:paraId="4F67AC45" w14:textId="77777777" w:rsidR="00591D54" w:rsidRDefault="00591D54">
      <w:pPr>
        <w:shd w:val="clear" w:color="auto" w:fill="FFFFFF"/>
        <w:tabs>
          <w:tab w:val="left" w:pos="144"/>
        </w:tabs>
        <w:spacing w:before="149" w:line="178" w:lineRule="exact"/>
        <w:ind w:left="144" w:hanging="144"/>
        <w:sectPr w:rsidR="00591D54">
          <w:type w:val="continuous"/>
          <w:pgSz w:w="11909" w:h="16834"/>
          <w:pgMar w:top="1356" w:right="1309" w:bottom="360" w:left="1308" w:header="720" w:footer="720" w:gutter="0"/>
          <w:cols w:num="2" w:space="720" w:equalWidth="0">
            <w:col w:w="4305" w:space="682"/>
            <w:col w:w="4305"/>
          </w:cols>
          <w:noEndnote/>
        </w:sectPr>
      </w:pPr>
    </w:p>
    <w:p w14:paraId="4F67AC46" w14:textId="77777777" w:rsidR="00591D54" w:rsidRDefault="00591D54">
      <w:pPr>
        <w:shd w:val="clear" w:color="auto" w:fill="FFFFFF"/>
        <w:tabs>
          <w:tab w:val="left" w:pos="584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- 107</w:t>
      </w:r>
    </w:p>
    <w:p w14:paraId="4F67AC47" w14:textId="77777777" w:rsidR="00591D54" w:rsidRDefault="00591D54">
      <w:pPr>
        <w:shd w:val="clear" w:color="auto" w:fill="FFFFFF"/>
        <w:tabs>
          <w:tab w:val="left" w:pos="5842"/>
        </w:tabs>
        <w:spacing w:after="230"/>
        <w:ind w:left="5"/>
        <w:sectPr w:rsidR="00591D54">
          <w:pgSz w:w="11909" w:h="16834"/>
          <w:pgMar w:top="1356" w:right="1309" w:bottom="360" w:left="1308" w:header="720" w:footer="720" w:gutter="0"/>
          <w:cols w:space="60"/>
          <w:noEndnote/>
        </w:sectPr>
      </w:pPr>
    </w:p>
    <w:p w14:paraId="4F67AC48" w14:textId="77777777" w:rsidR="00591D54" w:rsidRDefault="00591D54">
      <w:pPr>
        <w:shd w:val="clear" w:color="auto" w:fill="FFFFFF"/>
        <w:tabs>
          <w:tab w:val="left" w:pos="466"/>
        </w:tabs>
        <w:spacing w:line="211" w:lineRule="exact"/>
        <w:ind w:left="283"/>
        <w:jc w:val="both"/>
      </w:pPr>
      <w:r>
        <w:rPr>
          <w:sz w:val="14"/>
          <w:szCs w:val="14"/>
          <w:lang w:val="es-ES_tradnl"/>
        </w:rPr>
        <w:t>c)</w:t>
      </w:r>
      <w:r>
        <w:rPr>
          <w:sz w:val="18"/>
          <w:szCs w:val="18"/>
          <w:lang w:val="es-ES_tradnl"/>
        </w:rPr>
        <w:tab/>
      </w:r>
      <w:r>
        <w:rPr>
          <w:sz w:val="14"/>
          <w:szCs w:val="14"/>
          <w:lang w:val="es-ES_tradnl"/>
        </w:rPr>
        <w:t>H</w:t>
      </w:r>
      <w:r>
        <w:rPr>
          <w:rFonts w:cs="Times New Roman"/>
          <w:sz w:val="14"/>
          <w:szCs w:val="14"/>
          <w:lang w:val="es-ES_tradnl"/>
        </w:rPr>
        <w:t>á</w:t>
      </w:r>
      <w:r>
        <w:rPr>
          <w:sz w:val="14"/>
          <w:szCs w:val="14"/>
          <w:lang w:val="es-ES_tradnl"/>
        </w:rPr>
        <w:t>beas</w:t>
      </w:r>
      <w:r>
        <w:rPr>
          <w:sz w:val="18"/>
          <w:szCs w:val="18"/>
          <w:lang w:val="es-ES_tradnl"/>
        </w:rPr>
        <w:t xml:space="preserve"> </w:t>
      </w:r>
      <w:r>
        <w:rPr>
          <w:sz w:val="14"/>
          <w:szCs w:val="14"/>
          <w:lang w:val="es-ES_tradnl"/>
        </w:rPr>
        <w:t>data</w:t>
      </w:r>
      <w:r>
        <w:rPr>
          <w:sz w:val="18"/>
          <w:szCs w:val="18"/>
          <w:lang w:val="es-ES_tradnl"/>
        </w:rPr>
        <w:t xml:space="preserve"> </w:t>
      </w:r>
      <w:r>
        <w:rPr>
          <w:sz w:val="14"/>
          <w:szCs w:val="14"/>
          <w:lang w:val="es-ES_tradnl"/>
        </w:rPr>
        <w:t>correctivo</w:t>
      </w:r>
      <w:r>
        <w:rPr>
          <w:sz w:val="18"/>
          <w:szCs w:val="18"/>
          <w:lang w:val="es-ES_tradnl"/>
        </w:rPr>
        <w:t xml:space="preserve"> </w:t>
      </w:r>
      <w:r>
        <w:rPr>
          <w:sz w:val="14"/>
          <w:szCs w:val="14"/>
          <w:lang w:val="es-ES_tradnl"/>
        </w:rPr>
        <w:t>(derecho</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correcci</w:t>
      </w:r>
      <w:r>
        <w:rPr>
          <w:rFonts w:cs="Times New Roman"/>
          <w:sz w:val="14"/>
          <w:szCs w:val="14"/>
          <w:lang w:val="es-ES_tradnl"/>
        </w:rPr>
        <w:t>ó</w:t>
      </w:r>
      <w:r>
        <w:rPr>
          <w:sz w:val="14"/>
          <w:szCs w:val="14"/>
          <w:lang w:val="es-ES_tradnl"/>
        </w:rPr>
        <w:t>n).</w:t>
      </w:r>
      <w:r>
        <w:rPr>
          <w:sz w:val="18"/>
          <w:szCs w:val="18"/>
          <w:lang w:val="es-ES_tradnl"/>
        </w:rPr>
        <w:t xml:space="preserve"> </w:t>
      </w:r>
      <w:r>
        <w:rPr>
          <w:sz w:val="14"/>
          <w:szCs w:val="14"/>
          <w:lang w:val="es-ES_tradnl"/>
        </w:rPr>
        <w:t>Resuelve rectificar la informaci</w:t>
      </w:r>
      <w:r>
        <w:rPr>
          <w:rFonts w:cs="Times New Roman"/>
          <w:sz w:val="14"/>
          <w:szCs w:val="14"/>
          <w:lang w:val="es-ES_tradnl"/>
        </w:rPr>
        <w:t>ó</w:t>
      </w:r>
      <w:r>
        <w:rPr>
          <w:sz w:val="14"/>
          <w:szCs w:val="14"/>
          <w:lang w:val="es-ES_tradnl"/>
        </w:rPr>
        <w:t>n falsa, inexacta o imprecisa de un banco de datos.</w:t>
      </w:r>
    </w:p>
    <w:p w14:paraId="4F67AC49" w14:textId="77777777" w:rsidR="00591D54" w:rsidRDefault="00591D54" w:rsidP="00251195">
      <w:pPr>
        <w:numPr>
          <w:ilvl w:val="0"/>
          <w:numId w:val="56"/>
        </w:numPr>
        <w:shd w:val="clear" w:color="auto" w:fill="FFFFFF"/>
        <w:tabs>
          <w:tab w:val="left" w:pos="509"/>
        </w:tabs>
        <w:spacing w:line="211" w:lineRule="exact"/>
        <w:ind w:left="283" w:right="5"/>
        <w:jc w:val="both"/>
        <w:rPr>
          <w:sz w:val="14"/>
          <w:szCs w:val="14"/>
          <w:lang w:val="es-ES_tradnl"/>
        </w:rPr>
      </w:pPr>
      <w:r>
        <w:rPr>
          <w:sz w:val="14"/>
          <w:szCs w:val="14"/>
          <w:lang w:val="es-ES_tradnl"/>
        </w:rPr>
        <w:t>H</w:t>
      </w:r>
      <w:r>
        <w:rPr>
          <w:rFonts w:cs="Times New Roman"/>
          <w:sz w:val="14"/>
          <w:szCs w:val="14"/>
          <w:lang w:val="es-ES_tradnl"/>
        </w:rPr>
        <w:t>á</w:t>
      </w:r>
      <w:r>
        <w:rPr>
          <w:sz w:val="14"/>
          <w:szCs w:val="14"/>
          <w:lang w:val="es-ES_tradnl"/>
        </w:rPr>
        <w:t>beas</w:t>
      </w:r>
      <w:r>
        <w:rPr>
          <w:sz w:val="18"/>
          <w:szCs w:val="18"/>
          <w:lang w:val="es-ES_tradnl"/>
        </w:rPr>
        <w:t xml:space="preserve"> </w:t>
      </w:r>
      <w:r>
        <w:rPr>
          <w:sz w:val="14"/>
          <w:szCs w:val="14"/>
          <w:lang w:val="es-ES_tradnl"/>
        </w:rPr>
        <w:t>data</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reserva</w:t>
      </w:r>
      <w:r>
        <w:rPr>
          <w:sz w:val="18"/>
          <w:szCs w:val="18"/>
          <w:lang w:val="es-ES_tradnl"/>
        </w:rPr>
        <w:t xml:space="preserve"> </w:t>
      </w:r>
      <w:r>
        <w:rPr>
          <w:sz w:val="14"/>
          <w:szCs w:val="14"/>
          <w:lang w:val="es-ES_tradnl"/>
        </w:rPr>
        <w:t>(derecho</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confidencialidad). Persigue asegurar que la informaci</w:t>
      </w:r>
      <w:r>
        <w:rPr>
          <w:rFonts w:cs="Times New Roman"/>
          <w:sz w:val="14"/>
          <w:szCs w:val="14"/>
          <w:lang w:val="es-ES_tradnl"/>
        </w:rPr>
        <w:t>ó</w:t>
      </w:r>
      <w:r>
        <w:rPr>
          <w:sz w:val="14"/>
          <w:szCs w:val="14"/>
          <w:lang w:val="es-ES_tradnl"/>
        </w:rPr>
        <w:t xml:space="preserve">n recabada sea entregada </w:t>
      </w:r>
      <w:r>
        <w:rPr>
          <w:rFonts w:cs="Times New Roman"/>
          <w:sz w:val="14"/>
          <w:szCs w:val="14"/>
          <w:lang w:val="es-ES_tradnl"/>
        </w:rPr>
        <w:t>ú</w:t>
      </w:r>
      <w:r>
        <w:rPr>
          <w:sz w:val="14"/>
          <w:szCs w:val="14"/>
          <w:lang w:val="es-ES_tradnl"/>
        </w:rPr>
        <w:t>nica y exclusivamente a quien tenga autorizaci</w:t>
      </w:r>
      <w:r>
        <w:rPr>
          <w:rFonts w:cs="Times New Roman"/>
          <w:sz w:val="14"/>
          <w:szCs w:val="14"/>
          <w:lang w:val="es-ES_tradnl"/>
        </w:rPr>
        <w:t>ó</w:t>
      </w:r>
      <w:r>
        <w:rPr>
          <w:sz w:val="14"/>
          <w:szCs w:val="14"/>
          <w:lang w:val="es-ES_tradnl"/>
        </w:rPr>
        <w:t>n para ello.</w:t>
      </w:r>
    </w:p>
    <w:p w14:paraId="4F67AC4A" w14:textId="77777777" w:rsidR="00591D54" w:rsidRDefault="00591D54" w:rsidP="00251195">
      <w:pPr>
        <w:numPr>
          <w:ilvl w:val="0"/>
          <w:numId w:val="56"/>
        </w:numPr>
        <w:shd w:val="clear" w:color="auto" w:fill="FFFFFF"/>
        <w:tabs>
          <w:tab w:val="left" w:pos="509"/>
        </w:tabs>
        <w:spacing w:line="211" w:lineRule="exact"/>
        <w:ind w:left="283"/>
        <w:jc w:val="both"/>
        <w:rPr>
          <w:spacing w:val="-3"/>
          <w:sz w:val="14"/>
          <w:szCs w:val="14"/>
          <w:lang w:val="es-ES_tradnl"/>
        </w:rPr>
      </w:pPr>
      <w:r>
        <w:rPr>
          <w:sz w:val="14"/>
          <w:szCs w:val="14"/>
          <w:lang w:val="es-ES_tradnl"/>
        </w:rPr>
        <w:t>H</w:t>
      </w:r>
      <w:r>
        <w:rPr>
          <w:rFonts w:cs="Times New Roman"/>
          <w:sz w:val="14"/>
          <w:szCs w:val="14"/>
          <w:lang w:val="es-ES_tradnl"/>
        </w:rPr>
        <w:t>á</w:t>
      </w:r>
      <w:r>
        <w:rPr>
          <w:sz w:val="14"/>
          <w:szCs w:val="14"/>
          <w:lang w:val="es-ES_tradnl"/>
        </w:rPr>
        <w:t>beas</w:t>
      </w:r>
      <w:r>
        <w:rPr>
          <w:sz w:val="18"/>
          <w:szCs w:val="18"/>
          <w:lang w:val="es-ES_tradnl"/>
        </w:rPr>
        <w:t xml:space="preserve"> </w:t>
      </w:r>
      <w:r>
        <w:rPr>
          <w:sz w:val="14"/>
          <w:szCs w:val="14"/>
          <w:lang w:val="es-ES_tradnl"/>
        </w:rPr>
        <w:t>data</w:t>
      </w:r>
      <w:r>
        <w:rPr>
          <w:sz w:val="18"/>
          <w:szCs w:val="18"/>
          <w:lang w:val="es-ES_tradnl"/>
        </w:rPr>
        <w:t xml:space="preserve"> </w:t>
      </w:r>
      <w:r>
        <w:rPr>
          <w:sz w:val="14"/>
          <w:szCs w:val="14"/>
          <w:lang w:val="es-ES_tradnl"/>
        </w:rPr>
        <w:t>cancelatorio</w:t>
      </w:r>
      <w:r>
        <w:rPr>
          <w:sz w:val="18"/>
          <w:szCs w:val="18"/>
          <w:lang w:val="es-ES_tradnl"/>
        </w:rPr>
        <w:t xml:space="preserve"> </w:t>
      </w:r>
      <w:r>
        <w:rPr>
          <w:sz w:val="14"/>
          <w:szCs w:val="14"/>
          <w:lang w:val="es-ES_tradnl"/>
        </w:rPr>
        <w:t>(derecho</w:t>
      </w:r>
      <w:r>
        <w:rPr>
          <w:sz w:val="18"/>
          <w:szCs w:val="18"/>
          <w:lang w:val="es-ES_tradnl"/>
        </w:rPr>
        <w:t xml:space="preserve"> </w:t>
      </w:r>
      <w:r>
        <w:rPr>
          <w:sz w:val="14"/>
          <w:szCs w:val="14"/>
          <w:lang w:val="es-ES_tradnl"/>
        </w:rPr>
        <w:t>a</w:t>
      </w:r>
      <w:r>
        <w:rPr>
          <w:sz w:val="18"/>
          <w:szCs w:val="18"/>
          <w:lang w:val="es-ES_tradnl"/>
        </w:rPr>
        <w:t xml:space="preserve"> </w:t>
      </w:r>
      <w:r>
        <w:rPr>
          <w:sz w:val="14"/>
          <w:szCs w:val="14"/>
          <w:lang w:val="es-ES_tradnl"/>
        </w:rPr>
        <w:t>la</w:t>
      </w:r>
      <w:r>
        <w:rPr>
          <w:sz w:val="18"/>
          <w:szCs w:val="18"/>
          <w:lang w:val="es-ES_tradnl"/>
        </w:rPr>
        <w:t xml:space="preserve"> </w:t>
      </w:r>
      <w:r>
        <w:rPr>
          <w:sz w:val="14"/>
          <w:szCs w:val="14"/>
          <w:lang w:val="es-ES_tradnl"/>
        </w:rPr>
        <w:t>exclusi</w:t>
      </w:r>
      <w:r>
        <w:rPr>
          <w:rFonts w:cs="Times New Roman"/>
          <w:sz w:val="14"/>
          <w:szCs w:val="14"/>
          <w:lang w:val="es-ES_tradnl"/>
        </w:rPr>
        <w:t>ó</w:t>
      </w:r>
      <w:r>
        <w:rPr>
          <w:sz w:val="14"/>
          <w:szCs w:val="14"/>
          <w:lang w:val="es-ES_tradnl"/>
        </w:rPr>
        <w:t>n</w:t>
      </w:r>
      <w:r>
        <w:rPr>
          <w:sz w:val="18"/>
          <w:szCs w:val="18"/>
          <w:lang w:val="es-ES_tradnl"/>
        </w:rPr>
        <w:t xml:space="preserve"> </w:t>
      </w:r>
      <w:r>
        <w:rPr>
          <w:sz w:val="14"/>
          <w:szCs w:val="14"/>
          <w:lang w:val="es-ES_tradnl"/>
        </w:rPr>
        <w:t>de informaci</w:t>
      </w:r>
      <w:r>
        <w:rPr>
          <w:rFonts w:cs="Times New Roman"/>
          <w:sz w:val="14"/>
          <w:szCs w:val="14"/>
          <w:lang w:val="es-ES_tradnl"/>
        </w:rPr>
        <w:t>ó</w:t>
      </w:r>
      <w:r>
        <w:rPr>
          <w:sz w:val="14"/>
          <w:szCs w:val="14"/>
          <w:lang w:val="es-ES_tradnl"/>
        </w:rPr>
        <w:t>n sensible). Busca que la informaci</w:t>
      </w:r>
      <w:r>
        <w:rPr>
          <w:rFonts w:cs="Times New Roman"/>
          <w:sz w:val="14"/>
          <w:szCs w:val="14"/>
          <w:lang w:val="es-ES_tradnl"/>
        </w:rPr>
        <w:t>ó</w:t>
      </w:r>
      <w:r>
        <w:rPr>
          <w:sz w:val="14"/>
          <w:szCs w:val="14"/>
          <w:lang w:val="es-ES_tradnl"/>
        </w:rPr>
        <w:t xml:space="preserve">n considerada </w:t>
      </w:r>
      <w:r>
        <w:rPr>
          <w:spacing w:val="-1"/>
          <w:sz w:val="14"/>
          <w:szCs w:val="14"/>
          <w:lang w:val="es-ES_tradnl"/>
        </w:rPr>
        <w:t>sensible sea eliminada, por no ser susceptible de compilaci</w:t>
      </w:r>
      <w:r>
        <w:rPr>
          <w:rFonts w:cs="Times New Roman"/>
          <w:spacing w:val="-1"/>
          <w:sz w:val="14"/>
          <w:szCs w:val="14"/>
          <w:lang w:val="es-ES_tradnl"/>
        </w:rPr>
        <w:t>ó</w:t>
      </w:r>
      <w:r>
        <w:rPr>
          <w:spacing w:val="-1"/>
          <w:sz w:val="14"/>
          <w:szCs w:val="14"/>
          <w:lang w:val="es-ES_tradnl"/>
        </w:rPr>
        <w:t>n</w:t>
      </w:r>
      <w:r>
        <w:rPr>
          <w:spacing w:val="-1"/>
          <w:sz w:val="14"/>
          <w:szCs w:val="14"/>
          <w:vertAlign w:val="superscript"/>
          <w:lang w:val="es-ES_tradnl"/>
        </w:rPr>
        <w:t>13</w:t>
      </w:r>
      <w:r>
        <w:rPr>
          <w:spacing w:val="-1"/>
          <w:sz w:val="14"/>
          <w:szCs w:val="14"/>
          <w:lang w:val="es-ES_tradnl"/>
        </w:rPr>
        <w:t>.</w:t>
      </w:r>
    </w:p>
    <w:p w14:paraId="4F67AC4B" w14:textId="77777777" w:rsidR="00591D54" w:rsidRDefault="00591D54">
      <w:pPr>
        <w:shd w:val="clear" w:color="auto" w:fill="FFFFFF"/>
        <w:spacing w:before="202" w:line="216" w:lineRule="exact"/>
        <w:ind w:right="5"/>
        <w:jc w:val="both"/>
      </w:pPr>
      <w:r>
        <w:rPr>
          <w:spacing w:val="-8"/>
          <w:sz w:val="18"/>
          <w:szCs w:val="18"/>
          <w:lang w:val="es-ES_tradnl"/>
        </w:rPr>
        <w:t xml:space="preserve">Del fragmento de sentencia que precede se colige que </w:t>
      </w:r>
      <w:r>
        <w:rPr>
          <w:spacing w:val="-10"/>
          <w:sz w:val="18"/>
          <w:szCs w:val="18"/>
          <w:lang w:val="es-ES_tradnl"/>
        </w:rPr>
        <w:t xml:space="preserve">mediante ella, esta Corte ha sido muy precisa en determinar </w:t>
      </w:r>
      <w:r>
        <w:rPr>
          <w:spacing w:val="-5"/>
          <w:sz w:val="18"/>
          <w:szCs w:val="18"/>
          <w:lang w:val="es-ES_tradnl"/>
        </w:rPr>
        <w:t xml:space="preserve">el </w:t>
      </w:r>
      <w:r>
        <w:rPr>
          <w:rFonts w:cs="Times New Roman"/>
          <w:spacing w:val="-5"/>
          <w:sz w:val="18"/>
          <w:szCs w:val="18"/>
          <w:lang w:val="es-ES_tradnl"/>
        </w:rPr>
        <w:t>á</w:t>
      </w:r>
      <w:r>
        <w:rPr>
          <w:spacing w:val="-5"/>
          <w:sz w:val="18"/>
          <w:szCs w:val="18"/>
          <w:lang w:val="es-ES_tradnl"/>
        </w:rPr>
        <w:t>mbito de aplicaci</w:t>
      </w:r>
      <w:r>
        <w:rPr>
          <w:rFonts w:cs="Times New Roman"/>
          <w:spacing w:val="-5"/>
          <w:sz w:val="18"/>
          <w:szCs w:val="18"/>
          <w:lang w:val="es-ES_tradnl"/>
        </w:rPr>
        <w:t>ó</w:t>
      </w:r>
      <w:r>
        <w:rPr>
          <w:spacing w:val="-5"/>
          <w:sz w:val="18"/>
          <w:szCs w:val="18"/>
          <w:lang w:val="es-ES_tradnl"/>
        </w:rPr>
        <w:t>n de la garant</w:t>
      </w:r>
      <w:r>
        <w:rPr>
          <w:rFonts w:cs="Times New Roman"/>
          <w:spacing w:val="-5"/>
          <w:sz w:val="18"/>
          <w:szCs w:val="18"/>
          <w:lang w:val="es-ES_tradnl"/>
        </w:rPr>
        <w:t>í</w:t>
      </w:r>
      <w:r>
        <w:rPr>
          <w:spacing w:val="-5"/>
          <w:sz w:val="18"/>
          <w:szCs w:val="18"/>
          <w:lang w:val="es-ES_tradnl"/>
        </w:rPr>
        <w:t xml:space="preserve">a jurisdiccional de </w:t>
      </w:r>
      <w:r>
        <w:rPr>
          <w:spacing w:val="-3"/>
          <w:sz w:val="18"/>
          <w:szCs w:val="18"/>
          <w:lang w:val="es-ES_tradnl"/>
        </w:rPr>
        <w:t>h</w:t>
      </w:r>
      <w:r>
        <w:rPr>
          <w:rFonts w:cs="Times New Roman"/>
          <w:spacing w:val="-3"/>
          <w:sz w:val="18"/>
          <w:szCs w:val="18"/>
          <w:lang w:val="es-ES_tradnl"/>
        </w:rPr>
        <w:t>á</w:t>
      </w:r>
      <w:r>
        <w:rPr>
          <w:spacing w:val="-3"/>
          <w:sz w:val="18"/>
          <w:szCs w:val="18"/>
          <w:lang w:val="es-ES_tradnl"/>
        </w:rPr>
        <w:t xml:space="preserve">beas data, para lo cual ha desarrollado cada una de </w:t>
      </w:r>
      <w:r>
        <w:rPr>
          <w:spacing w:val="-6"/>
          <w:sz w:val="18"/>
          <w:szCs w:val="18"/>
          <w:lang w:val="es-ES_tradnl"/>
        </w:rPr>
        <w:t>las posibilidades que dar</w:t>
      </w:r>
      <w:r>
        <w:rPr>
          <w:rFonts w:cs="Times New Roman"/>
          <w:spacing w:val="-6"/>
          <w:sz w:val="18"/>
          <w:szCs w:val="18"/>
          <w:lang w:val="es-ES_tradnl"/>
        </w:rPr>
        <w:t>í</w:t>
      </w:r>
      <w:r>
        <w:rPr>
          <w:spacing w:val="-6"/>
          <w:sz w:val="18"/>
          <w:szCs w:val="18"/>
          <w:lang w:val="es-ES_tradnl"/>
        </w:rPr>
        <w:t>a lugar a la activaci</w:t>
      </w:r>
      <w:r>
        <w:rPr>
          <w:rFonts w:cs="Times New Roman"/>
          <w:spacing w:val="-6"/>
          <w:sz w:val="18"/>
          <w:szCs w:val="18"/>
          <w:lang w:val="es-ES_tradnl"/>
        </w:rPr>
        <w:t>ó</w:t>
      </w:r>
      <w:r>
        <w:rPr>
          <w:spacing w:val="-6"/>
          <w:sz w:val="18"/>
          <w:szCs w:val="18"/>
          <w:lang w:val="es-ES_tradnl"/>
        </w:rPr>
        <w:t>n de dicha acci</w:t>
      </w:r>
      <w:r>
        <w:rPr>
          <w:rFonts w:cs="Times New Roman"/>
          <w:spacing w:val="-6"/>
          <w:sz w:val="18"/>
          <w:szCs w:val="18"/>
          <w:lang w:val="es-ES_tradnl"/>
        </w:rPr>
        <w:t>ó</w:t>
      </w:r>
      <w:r>
        <w:rPr>
          <w:spacing w:val="-6"/>
          <w:sz w:val="18"/>
          <w:szCs w:val="18"/>
          <w:lang w:val="es-ES_tradnl"/>
        </w:rPr>
        <w:t xml:space="preserve">n. En aquel sentido, ha determinado que la facultad que tiene la persona para </w:t>
      </w:r>
      <w:r>
        <w:rPr>
          <w:b/>
          <w:bCs/>
          <w:spacing w:val="-6"/>
          <w:sz w:val="18"/>
          <w:szCs w:val="18"/>
          <w:lang w:val="es-ES_tradnl"/>
        </w:rPr>
        <w:t xml:space="preserve">acceder </w:t>
      </w:r>
      <w:r>
        <w:rPr>
          <w:spacing w:val="-6"/>
          <w:sz w:val="18"/>
          <w:szCs w:val="18"/>
          <w:lang w:val="es-ES_tradnl"/>
        </w:rPr>
        <w:t>a la informaci</w:t>
      </w:r>
      <w:r>
        <w:rPr>
          <w:rFonts w:cs="Times New Roman"/>
          <w:spacing w:val="-6"/>
          <w:sz w:val="18"/>
          <w:szCs w:val="18"/>
          <w:lang w:val="es-ES_tradnl"/>
        </w:rPr>
        <w:t>ó</w:t>
      </w:r>
      <w:r>
        <w:rPr>
          <w:spacing w:val="-6"/>
          <w:sz w:val="18"/>
          <w:szCs w:val="18"/>
          <w:lang w:val="es-ES_tradnl"/>
        </w:rPr>
        <w:t xml:space="preserve">n que </w:t>
      </w:r>
      <w:r>
        <w:rPr>
          <w:spacing w:val="-7"/>
          <w:sz w:val="18"/>
          <w:szCs w:val="18"/>
          <w:lang w:val="es-ES_tradnl"/>
        </w:rPr>
        <w:t>sobre ella reposa en una base de datos -bajo custodia de una persona natural o jur</w:t>
      </w:r>
      <w:r>
        <w:rPr>
          <w:rFonts w:cs="Times New Roman"/>
          <w:spacing w:val="-7"/>
          <w:sz w:val="18"/>
          <w:szCs w:val="18"/>
          <w:lang w:val="es-ES_tradnl"/>
        </w:rPr>
        <w:t>í</w:t>
      </w:r>
      <w:r>
        <w:rPr>
          <w:spacing w:val="-7"/>
          <w:sz w:val="18"/>
          <w:szCs w:val="18"/>
          <w:lang w:val="es-ES_tradnl"/>
        </w:rPr>
        <w:t>dica p</w:t>
      </w:r>
      <w:r>
        <w:rPr>
          <w:rFonts w:cs="Times New Roman"/>
          <w:spacing w:val="-7"/>
          <w:sz w:val="18"/>
          <w:szCs w:val="18"/>
          <w:lang w:val="es-ES_tradnl"/>
        </w:rPr>
        <w:t>ú</w:t>
      </w:r>
      <w:r>
        <w:rPr>
          <w:spacing w:val="-7"/>
          <w:sz w:val="18"/>
          <w:szCs w:val="18"/>
          <w:lang w:val="es-ES_tradnl"/>
        </w:rPr>
        <w:t>blica o privada, es la que caracteriza el h</w:t>
      </w:r>
      <w:r>
        <w:rPr>
          <w:rFonts w:cs="Times New Roman"/>
          <w:spacing w:val="-7"/>
          <w:sz w:val="18"/>
          <w:szCs w:val="18"/>
          <w:lang w:val="es-ES_tradnl"/>
        </w:rPr>
        <w:t>á</w:t>
      </w:r>
      <w:r>
        <w:rPr>
          <w:spacing w:val="-7"/>
          <w:sz w:val="18"/>
          <w:szCs w:val="18"/>
          <w:lang w:val="es-ES_tradnl"/>
        </w:rPr>
        <w:t xml:space="preserve">beas data, la que justifica su existencia y </w:t>
      </w:r>
      <w:r>
        <w:rPr>
          <w:spacing w:val="-5"/>
          <w:sz w:val="18"/>
          <w:szCs w:val="18"/>
          <w:lang w:val="es-ES_tradnl"/>
        </w:rPr>
        <w:t xml:space="preserve">en virtud de la cual le es posible, a la persona titular de </w:t>
      </w:r>
      <w:r>
        <w:rPr>
          <w:spacing w:val="-8"/>
          <w:sz w:val="18"/>
          <w:szCs w:val="18"/>
          <w:lang w:val="es-ES_tradnl"/>
        </w:rPr>
        <w:t>dicha informaci</w:t>
      </w:r>
      <w:r>
        <w:rPr>
          <w:rFonts w:cs="Times New Roman"/>
          <w:spacing w:val="-8"/>
          <w:sz w:val="18"/>
          <w:szCs w:val="18"/>
          <w:lang w:val="es-ES_tradnl"/>
        </w:rPr>
        <w:t>ó</w:t>
      </w:r>
      <w:r>
        <w:rPr>
          <w:spacing w:val="-8"/>
          <w:sz w:val="18"/>
          <w:szCs w:val="18"/>
          <w:lang w:val="es-ES_tradnl"/>
        </w:rPr>
        <w:t xml:space="preserve">n, solicitar su </w:t>
      </w:r>
      <w:r>
        <w:rPr>
          <w:b/>
          <w:bCs/>
          <w:spacing w:val="-8"/>
          <w:sz w:val="18"/>
          <w:szCs w:val="18"/>
          <w:lang w:val="es-ES_tradnl"/>
        </w:rPr>
        <w:t>actualizaci</w:t>
      </w:r>
      <w:r>
        <w:rPr>
          <w:rFonts w:cs="Times New Roman"/>
          <w:b/>
          <w:bCs/>
          <w:spacing w:val="-8"/>
          <w:sz w:val="18"/>
          <w:szCs w:val="18"/>
          <w:lang w:val="es-ES_tradnl"/>
        </w:rPr>
        <w:t>ó</w:t>
      </w:r>
      <w:r>
        <w:rPr>
          <w:b/>
          <w:bCs/>
          <w:spacing w:val="-8"/>
          <w:sz w:val="18"/>
          <w:szCs w:val="18"/>
          <w:lang w:val="es-ES_tradnl"/>
        </w:rPr>
        <w:t>n</w:t>
      </w:r>
      <w:r>
        <w:rPr>
          <w:spacing w:val="-8"/>
          <w:sz w:val="18"/>
          <w:szCs w:val="18"/>
          <w:lang w:val="es-ES_tradnl"/>
        </w:rPr>
        <w:t xml:space="preserve">, </w:t>
      </w:r>
      <w:r>
        <w:rPr>
          <w:b/>
          <w:bCs/>
          <w:spacing w:val="-8"/>
          <w:sz w:val="18"/>
          <w:szCs w:val="18"/>
          <w:lang w:val="es-ES_tradnl"/>
        </w:rPr>
        <w:t>rectificaci</w:t>
      </w:r>
      <w:r>
        <w:rPr>
          <w:rFonts w:cs="Times New Roman"/>
          <w:b/>
          <w:bCs/>
          <w:spacing w:val="-8"/>
          <w:sz w:val="18"/>
          <w:szCs w:val="18"/>
          <w:lang w:val="es-ES_tradnl"/>
        </w:rPr>
        <w:t>ó</w:t>
      </w:r>
      <w:r>
        <w:rPr>
          <w:b/>
          <w:bCs/>
          <w:spacing w:val="-8"/>
          <w:sz w:val="18"/>
          <w:szCs w:val="18"/>
          <w:lang w:val="es-ES_tradnl"/>
        </w:rPr>
        <w:t xml:space="preserve">n </w:t>
      </w:r>
      <w:r>
        <w:rPr>
          <w:sz w:val="18"/>
          <w:szCs w:val="18"/>
          <w:lang w:val="es-ES_tradnl"/>
        </w:rPr>
        <w:t>o correcci</w:t>
      </w:r>
      <w:r>
        <w:rPr>
          <w:rFonts w:cs="Times New Roman"/>
          <w:sz w:val="18"/>
          <w:szCs w:val="18"/>
          <w:lang w:val="es-ES_tradnl"/>
        </w:rPr>
        <w:t>ó</w:t>
      </w:r>
      <w:r>
        <w:rPr>
          <w:sz w:val="18"/>
          <w:szCs w:val="18"/>
          <w:lang w:val="es-ES_tradnl"/>
        </w:rPr>
        <w:t xml:space="preserve">n, </w:t>
      </w:r>
      <w:r>
        <w:rPr>
          <w:b/>
          <w:bCs/>
          <w:sz w:val="18"/>
          <w:szCs w:val="18"/>
          <w:lang w:val="es-ES_tradnl"/>
        </w:rPr>
        <w:t>eliminaci</w:t>
      </w:r>
      <w:r>
        <w:rPr>
          <w:rFonts w:cs="Times New Roman"/>
          <w:b/>
          <w:bCs/>
          <w:sz w:val="18"/>
          <w:szCs w:val="18"/>
          <w:lang w:val="es-ES_tradnl"/>
        </w:rPr>
        <w:t>ó</w:t>
      </w:r>
      <w:r>
        <w:rPr>
          <w:b/>
          <w:bCs/>
          <w:sz w:val="18"/>
          <w:szCs w:val="18"/>
          <w:lang w:val="es-ES_tradnl"/>
        </w:rPr>
        <w:t xml:space="preserve">n </w:t>
      </w:r>
      <w:r>
        <w:rPr>
          <w:sz w:val="18"/>
          <w:szCs w:val="18"/>
          <w:lang w:val="es-ES_tradnl"/>
        </w:rPr>
        <w:t xml:space="preserve">o </w:t>
      </w:r>
      <w:r>
        <w:rPr>
          <w:b/>
          <w:bCs/>
          <w:sz w:val="18"/>
          <w:szCs w:val="18"/>
          <w:lang w:val="es-ES_tradnl"/>
        </w:rPr>
        <w:t>anulaci</w:t>
      </w:r>
      <w:r>
        <w:rPr>
          <w:rFonts w:cs="Times New Roman"/>
          <w:b/>
          <w:bCs/>
          <w:sz w:val="18"/>
          <w:szCs w:val="18"/>
          <w:lang w:val="es-ES_tradnl"/>
        </w:rPr>
        <w:t>ó</w:t>
      </w:r>
      <w:r>
        <w:rPr>
          <w:b/>
          <w:bCs/>
          <w:sz w:val="18"/>
          <w:szCs w:val="18"/>
          <w:lang w:val="es-ES_tradnl"/>
        </w:rPr>
        <w:t>n</w:t>
      </w:r>
      <w:r>
        <w:rPr>
          <w:sz w:val="18"/>
          <w:szCs w:val="18"/>
          <w:lang w:val="es-ES_tradnl"/>
        </w:rPr>
        <w:t>.</w:t>
      </w:r>
    </w:p>
    <w:p w14:paraId="4F67AC4C" w14:textId="77777777" w:rsidR="00591D54" w:rsidRDefault="00591D54">
      <w:pPr>
        <w:shd w:val="clear" w:color="auto" w:fill="FFFFFF"/>
        <w:spacing w:before="197" w:line="211" w:lineRule="exact"/>
        <w:ind w:right="5"/>
        <w:jc w:val="both"/>
      </w:pPr>
      <w:r>
        <w:rPr>
          <w:spacing w:val="-8"/>
          <w:sz w:val="18"/>
          <w:szCs w:val="18"/>
          <w:lang w:val="es-ES_tradnl"/>
        </w:rPr>
        <w:t>Para ello, la pretensi</w:t>
      </w:r>
      <w:r>
        <w:rPr>
          <w:rFonts w:cs="Times New Roman"/>
          <w:spacing w:val="-8"/>
          <w:sz w:val="18"/>
          <w:szCs w:val="18"/>
          <w:lang w:val="es-ES_tradnl"/>
        </w:rPr>
        <w:t>ó</w:t>
      </w:r>
      <w:r>
        <w:rPr>
          <w:spacing w:val="-8"/>
          <w:sz w:val="18"/>
          <w:szCs w:val="18"/>
          <w:lang w:val="es-ES_tradnl"/>
        </w:rPr>
        <w:t>n b</w:t>
      </w:r>
      <w:r>
        <w:rPr>
          <w:rFonts w:cs="Times New Roman"/>
          <w:spacing w:val="-8"/>
          <w:sz w:val="18"/>
          <w:szCs w:val="18"/>
          <w:lang w:val="es-ES_tradnl"/>
        </w:rPr>
        <w:t>á</w:t>
      </w:r>
      <w:r>
        <w:rPr>
          <w:spacing w:val="-8"/>
          <w:sz w:val="18"/>
          <w:szCs w:val="18"/>
          <w:lang w:val="es-ES_tradnl"/>
        </w:rPr>
        <w:t>sica o esencial del h</w:t>
      </w:r>
      <w:r>
        <w:rPr>
          <w:rFonts w:cs="Times New Roman"/>
          <w:spacing w:val="-8"/>
          <w:sz w:val="18"/>
          <w:szCs w:val="18"/>
          <w:lang w:val="es-ES_tradnl"/>
        </w:rPr>
        <w:t>á</w:t>
      </w:r>
      <w:r>
        <w:rPr>
          <w:spacing w:val="-8"/>
          <w:sz w:val="18"/>
          <w:szCs w:val="18"/>
          <w:lang w:val="es-ES_tradnl"/>
        </w:rPr>
        <w:t xml:space="preserve">beas data </w:t>
      </w:r>
      <w:r>
        <w:rPr>
          <w:spacing w:val="-5"/>
          <w:sz w:val="18"/>
          <w:szCs w:val="18"/>
          <w:lang w:val="es-ES_tradnl"/>
        </w:rPr>
        <w:t xml:space="preserve">debe estar dirigida, </w:t>
      </w:r>
      <w:r>
        <w:rPr>
          <w:rFonts w:cs="Times New Roman"/>
          <w:spacing w:val="-5"/>
          <w:sz w:val="18"/>
          <w:szCs w:val="18"/>
          <w:lang w:val="es-ES_tradnl"/>
        </w:rPr>
        <w:t>ú</w:t>
      </w:r>
      <w:r>
        <w:rPr>
          <w:spacing w:val="-5"/>
          <w:sz w:val="18"/>
          <w:szCs w:val="18"/>
          <w:lang w:val="es-ES_tradnl"/>
        </w:rPr>
        <w:t>nicamente a solicitar informaci</w:t>
      </w:r>
      <w:r>
        <w:rPr>
          <w:rFonts w:cs="Times New Roman"/>
          <w:spacing w:val="-5"/>
          <w:sz w:val="18"/>
          <w:szCs w:val="18"/>
          <w:lang w:val="es-ES_tradnl"/>
        </w:rPr>
        <w:t>ó</w:t>
      </w:r>
      <w:r>
        <w:rPr>
          <w:spacing w:val="-5"/>
          <w:sz w:val="18"/>
          <w:szCs w:val="18"/>
          <w:lang w:val="es-ES_tradnl"/>
        </w:rPr>
        <w:t xml:space="preserve">n </w:t>
      </w:r>
      <w:r>
        <w:rPr>
          <w:sz w:val="18"/>
          <w:szCs w:val="18"/>
          <w:lang w:val="es-ES_tradnl"/>
        </w:rPr>
        <w:t>personal, la cual deber</w:t>
      </w:r>
      <w:r>
        <w:rPr>
          <w:rFonts w:cs="Times New Roman"/>
          <w:sz w:val="18"/>
          <w:szCs w:val="18"/>
          <w:lang w:val="es-ES_tradnl"/>
        </w:rPr>
        <w:t>á</w:t>
      </w:r>
      <w:r>
        <w:rPr>
          <w:sz w:val="18"/>
          <w:szCs w:val="18"/>
          <w:lang w:val="es-ES_tradnl"/>
        </w:rPr>
        <w:t xml:space="preserve"> ser recibida o entregada por </w:t>
      </w:r>
      <w:r>
        <w:rPr>
          <w:spacing w:val="-2"/>
          <w:sz w:val="18"/>
          <w:szCs w:val="18"/>
          <w:lang w:val="es-ES_tradnl"/>
        </w:rPr>
        <w:t>la persona natural o jur</w:t>
      </w:r>
      <w:r>
        <w:rPr>
          <w:rFonts w:cs="Times New Roman"/>
          <w:spacing w:val="-2"/>
          <w:sz w:val="18"/>
          <w:szCs w:val="18"/>
          <w:lang w:val="es-ES_tradnl"/>
        </w:rPr>
        <w:t>í</w:t>
      </w:r>
      <w:r>
        <w:rPr>
          <w:spacing w:val="-2"/>
          <w:sz w:val="18"/>
          <w:szCs w:val="18"/>
          <w:lang w:val="es-ES_tradnl"/>
        </w:rPr>
        <w:t>dica p</w:t>
      </w:r>
      <w:r>
        <w:rPr>
          <w:rFonts w:cs="Times New Roman"/>
          <w:spacing w:val="-2"/>
          <w:sz w:val="18"/>
          <w:szCs w:val="18"/>
          <w:lang w:val="es-ES_tradnl"/>
        </w:rPr>
        <w:t>ú</w:t>
      </w:r>
      <w:r>
        <w:rPr>
          <w:spacing w:val="-2"/>
          <w:sz w:val="18"/>
          <w:szCs w:val="18"/>
          <w:lang w:val="es-ES_tradnl"/>
        </w:rPr>
        <w:t xml:space="preserve">blica o privada que la </w:t>
      </w:r>
      <w:r>
        <w:rPr>
          <w:spacing w:val="-7"/>
          <w:sz w:val="18"/>
          <w:szCs w:val="18"/>
          <w:lang w:val="es-ES_tradnl"/>
        </w:rPr>
        <w:t xml:space="preserve">posea, dentro de un plazo razonable, circunstancias que </w:t>
      </w:r>
      <w:r>
        <w:rPr>
          <w:spacing w:val="-10"/>
          <w:sz w:val="18"/>
          <w:szCs w:val="18"/>
          <w:lang w:val="es-ES_tradnl"/>
        </w:rPr>
        <w:t>configuran el derecho de acceder a la informaci</w:t>
      </w:r>
      <w:r>
        <w:rPr>
          <w:rFonts w:cs="Times New Roman"/>
          <w:spacing w:val="-10"/>
          <w:sz w:val="18"/>
          <w:szCs w:val="18"/>
          <w:lang w:val="es-ES_tradnl"/>
        </w:rPr>
        <w:t>ó</w:t>
      </w:r>
      <w:r>
        <w:rPr>
          <w:spacing w:val="-10"/>
          <w:sz w:val="18"/>
          <w:szCs w:val="18"/>
          <w:lang w:val="es-ES_tradnl"/>
        </w:rPr>
        <w:t xml:space="preserve">n personal; </w:t>
      </w:r>
      <w:r>
        <w:rPr>
          <w:spacing w:val="-8"/>
          <w:sz w:val="18"/>
          <w:szCs w:val="18"/>
          <w:lang w:val="es-ES_tradnl"/>
        </w:rPr>
        <w:t xml:space="preserve">evento que se hace efectivo cuando se recibe clara, total y </w:t>
      </w:r>
      <w:r>
        <w:rPr>
          <w:spacing w:val="-11"/>
          <w:sz w:val="18"/>
          <w:szCs w:val="18"/>
          <w:lang w:val="es-ES_tradnl"/>
        </w:rPr>
        <w:t>oportunamente todo aquello que se busca</w:t>
      </w:r>
      <w:r>
        <w:rPr>
          <w:spacing w:val="-11"/>
          <w:sz w:val="18"/>
          <w:szCs w:val="18"/>
          <w:vertAlign w:val="superscript"/>
          <w:lang w:val="es-ES_tradnl"/>
        </w:rPr>
        <w:t>14</w:t>
      </w:r>
      <w:r>
        <w:rPr>
          <w:spacing w:val="-11"/>
          <w:sz w:val="18"/>
          <w:szCs w:val="18"/>
          <w:lang w:val="es-ES_tradnl"/>
        </w:rPr>
        <w:t>.</w:t>
      </w:r>
    </w:p>
    <w:p w14:paraId="4F67AC4D" w14:textId="77777777" w:rsidR="00591D54" w:rsidRDefault="00591D54">
      <w:pPr>
        <w:shd w:val="clear" w:color="auto" w:fill="FFFFFF"/>
        <w:spacing w:before="197" w:line="216" w:lineRule="exact"/>
        <w:ind w:right="5"/>
        <w:jc w:val="both"/>
      </w:pPr>
      <w:r>
        <w:rPr>
          <w:spacing w:val="-6"/>
          <w:sz w:val="18"/>
          <w:szCs w:val="18"/>
          <w:lang w:val="es-ES_tradnl"/>
        </w:rPr>
        <w:t>Del an</w:t>
      </w:r>
      <w:r>
        <w:rPr>
          <w:rFonts w:cs="Times New Roman"/>
          <w:spacing w:val="-6"/>
          <w:sz w:val="18"/>
          <w:szCs w:val="18"/>
          <w:lang w:val="es-ES_tradnl"/>
        </w:rPr>
        <w:t>á</w:t>
      </w:r>
      <w:r>
        <w:rPr>
          <w:spacing w:val="-6"/>
          <w:sz w:val="18"/>
          <w:szCs w:val="18"/>
          <w:lang w:val="es-ES_tradnl"/>
        </w:rPr>
        <w:t>lisis que precede se concluye que la acci</w:t>
      </w:r>
      <w:r>
        <w:rPr>
          <w:rFonts w:cs="Times New Roman"/>
          <w:spacing w:val="-6"/>
          <w:sz w:val="18"/>
          <w:szCs w:val="18"/>
          <w:lang w:val="es-ES_tradnl"/>
        </w:rPr>
        <w:t>ó</w:t>
      </w:r>
      <w:r>
        <w:rPr>
          <w:spacing w:val="-6"/>
          <w:sz w:val="18"/>
          <w:szCs w:val="18"/>
          <w:lang w:val="es-ES_tradnl"/>
        </w:rPr>
        <w:t xml:space="preserve">n </w:t>
      </w:r>
      <w:r>
        <w:rPr>
          <w:sz w:val="18"/>
          <w:szCs w:val="18"/>
          <w:lang w:val="es-ES_tradnl"/>
        </w:rPr>
        <w:t>constitucional de h</w:t>
      </w:r>
      <w:r>
        <w:rPr>
          <w:rFonts w:cs="Times New Roman"/>
          <w:sz w:val="18"/>
          <w:szCs w:val="18"/>
          <w:lang w:val="es-ES_tradnl"/>
        </w:rPr>
        <w:t>á</w:t>
      </w:r>
      <w:r>
        <w:rPr>
          <w:sz w:val="18"/>
          <w:szCs w:val="18"/>
          <w:lang w:val="es-ES_tradnl"/>
        </w:rPr>
        <w:t xml:space="preserve">beas data tiene lineamientos </w:t>
      </w:r>
      <w:r>
        <w:rPr>
          <w:spacing w:val="-4"/>
          <w:sz w:val="18"/>
          <w:szCs w:val="18"/>
          <w:lang w:val="es-ES_tradnl"/>
        </w:rPr>
        <w:t>espec</w:t>
      </w:r>
      <w:r>
        <w:rPr>
          <w:rFonts w:cs="Times New Roman"/>
          <w:spacing w:val="-4"/>
          <w:sz w:val="18"/>
          <w:szCs w:val="18"/>
          <w:lang w:val="es-ES_tradnl"/>
        </w:rPr>
        <w:t>í</w:t>
      </w:r>
      <w:r>
        <w:rPr>
          <w:spacing w:val="-4"/>
          <w:sz w:val="18"/>
          <w:szCs w:val="18"/>
          <w:lang w:val="es-ES_tradnl"/>
        </w:rPr>
        <w:t xml:space="preserve">ficos que deben ser observados por quien ejerce </w:t>
      </w:r>
      <w:r>
        <w:rPr>
          <w:sz w:val="18"/>
          <w:szCs w:val="18"/>
          <w:lang w:val="es-ES_tradnl"/>
        </w:rPr>
        <w:t>la legitimaci</w:t>
      </w:r>
      <w:r>
        <w:rPr>
          <w:rFonts w:cs="Times New Roman"/>
          <w:sz w:val="18"/>
          <w:szCs w:val="18"/>
          <w:lang w:val="es-ES_tradnl"/>
        </w:rPr>
        <w:t>ó</w:t>
      </w:r>
      <w:r>
        <w:rPr>
          <w:sz w:val="18"/>
          <w:szCs w:val="18"/>
          <w:lang w:val="es-ES_tradnl"/>
        </w:rPr>
        <w:t xml:space="preserve">n activa de la misma, de forma especial, </w:t>
      </w:r>
      <w:r>
        <w:rPr>
          <w:spacing w:val="-2"/>
          <w:sz w:val="18"/>
          <w:szCs w:val="18"/>
          <w:lang w:val="es-ES_tradnl"/>
        </w:rPr>
        <w:t>al redactar su pretensi</w:t>
      </w:r>
      <w:r>
        <w:rPr>
          <w:rFonts w:cs="Times New Roman"/>
          <w:spacing w:val="-2"/>
          <w:sz w:val="18"/>
          <w:szCs w:val="18"/>
          <w:lang w:val="es-ES_tradnl"/>
        </w:rPr>
        <w:t>ó</w:t>
      </w:r>
      <w:r>
        <w:rPr>
          <w:spacing w:val="-2"/>
          <w:sz w:val="18"/>
          <w:szCs w:val="18"/>
          <w:lang w:val="es-ES_tradnl"/>
        </w:rPr>
        <w:t>n, deber</w:t>
      </w:r>
      <w:r>
        <w:rPr>
          <w:rFonts w:cs="Times New Roman"/>
          <w:spacing w:val="-2"/>
          <w:sz w:val="18"/>
          <w:szCs w:val="18"/>
          <w:lang w:val="es-ES_tradnl"/>
        </w:rPr>
        <w:t>á</w:t>
      </w:r>
      <w:r>
        <w:rPr>
          <w:spacing w:val="-2"/>
          <w:sz w:val="18"/>
          <w:szCs w:val="18"/>
          <w:lang w:val="es-ES_tradnl"/>
        </w:rPr>
        <w:t xml:space="preserve"> estructurar su pedido</w:t>
      </w:r>
    </w:p>
    <w:p w14:paraId="4F67AC4E" w14:textId="77777777" w:rsidR="00591D54" w:rsidRDefault="00591D54">
      <w:pPr>
        <w:shd w:val="clear" w:color="auto" w:fill="FFFFFF"/>
        <w:tabs>
          <w:tab w:val="left" w:pos="139"/>
        </w:tabs>
        <w:spacing w:before="571" w:line="182" w:lineRule="exact"/>
        <w:ind w:left="139" w:right="5" w:hanging="139"/>
        <w:jc w:val="both"/>
      </w:pPr>
      <w:r>
        <w:rPr>
          <w:spacing w:val="-5"/>
          <w:sz w:val="8"/>
          <w:szCs w:val="8"/>
          <w:vertAlign w:val="superscript"/>
          <w:lang w:val="es-ES_tradnl"/>
        </w:rPr>
        <w:t>13</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º</w:t>
      </w:r>
      <w:r>
        <w:rPr>
          <w:sz w:val="18"/>
          <w:szCs w:val="18"/>
          <w:lang w:val="es-ES_tradnl"/>
        </w:rPr>
        <w:t xml:space="preserve"> </w:t>
      </w:r>
      <w:r>
        <w:rPr>
          <w:sz w:val="14"/>
          <w:szCs w:val="14"/>
          <w:lang w:val="es-ES_tradnl"/>
        </w:rPr>
        <w:t>025-15-SEP-CC, caso N.</w:t>
      </w:r>
      <w:r>
        <w:rPr>
          <w:rFonts w:cs="Times New Roman"/>
          <w:sz w:val="14"/>
          <w:szCs w:val="14"/>
          <w:lang w:val="es-ES_tradnl"/>
        </w:rPr>
        <w:t>º</w:t>
      </w:r>
      <w:r>
        <w:rPr>
          <w:sz w:val="14"/>
          <w:szCs w:val="14"/>
          <w:lang w:val="es-ES_tradnl"/>
        </w:rPr>
        <w:t xml:space="preserve"> 0725-12-EP</w:t>
      </w:r>
    </w:p>
    <w:p w14:paraId="4F67AC4F" w14:textId="77777777" w:rsidR="00591D54" w:rsidRDefault="00591D54">
      <w:pPr>
        <w:shd w:val="clear" w:color="auto" w:fill="FFFFFF"/>
        <w:tabs>
          <w:tab w:val="left" w:pos="139"/>
        </w:tabs>
        <w:spacing w:before="149" w:line="178" w:lineRule="exact"/>
        <w:ind w:left="139" w:hanging="139"/>
        <w:jc w:val="both"/>
      </w:pPr>
      <w:r>
        <w:rPr>
          <w:spacing w:val="-5"/>
          <w:sz w:val="8"/>
          <w:szCs w:val="8"/>
          <w:vertAlign w:val="superscript"/>
          <w:lang w:val="es-ES_tradnl"/>
        </w:rPr>
        <w:t>14</w:t>
      </w:r>
      <w:r>
        <w:rPr>
          <w:sz w:val="18"/>
          <w:szCs w:val="18"/>
          <w:lang w:val="es-ES_tradnl"/>
        </w:rPr>
        <w:tab/>
      </w:r>
      <w:r>
        <w:rPr>
          <w:spacing w:val="-4"/>
          <w:sz w:val="14"/>
          <w:szCs w:val="14"/>
          <w:lang w:val="es-ES_tradnl"/>
        </w:rPr>
        <w:t>La</w:t>
      </w:r>
      <w:r>
        <w:rPr>
          <w:spacing w:val="-4"/>
          <w:sz w:val="18"/>
          <w:szCs w:val="18"/>
          <w:lang w:val="es-ES_tradnl"/>
        </w:rPr>
        <w:t xml:space="preserve"> </w:t>
      </w:r>
      <w:r>
        <w:rPr>
          <w:spacing w:val="-4"/>
          <w:sz w:val="14"/>
          <w:szCs w:val="14"/>
          <w:lang w:val="es-ES_tradnl"/>
        </w:rPr>
        <w:t>pretensi</w:t>
      </w:r>
      <w:r>
        <w:rPr>
          <w:rFonts w:cs="Times New Roman"/>
          <w:spacing w:val="-4"/>
          <w:sz w:val="14"/>
          <w:szCs w:val="14"/>
          <w:lang w:val="es-ES_tradnl"/>
        </w:rPr>
        <w:t>ó</w:t>
      </w:r>
      <w:r>
        <w:rPr>
          <w:spacing w:val="-4"/>
          <w:sz w:val="14"/>
          <w:szCs w:val="14"/>
          <w:lang w:val="es-ES_tradnl"/>
        </w:rPr>
        <w:t>n</w:t>
      </w:r>
      <w:r>
        <w:rPr>
          <w:spacing w:val="-4"/>
          <w:sz w:val="18"/>
          <w:szCs w:val="18"/>
          <w:lang w:val="es-ES_tradnl"/>
        </w:rPr>
        <w:t xml:space="preserve"> </w:t>
      </w:r>
      <w:r>
        <w:rPr>
          <w:spacing w:val="-4"/>
          <w:sz w:val="14"/>
          <w:szCs w:val="14"/>
          <w:lang w:val="es-ES_tradnl"/>
        </w:rPr>
        <w:t>que</w:t>
      </w:r>
      <w:r>
        <w:rPr>
          <w:spacing w:val="-4"/>
          <w:sz w:val="18"/>
          <w:szCs w:val="18"/>
          <w:lang w:val="es-ES_tradnl"/>
        </w:rPr>
        <w:t xml:space="preserve"> </w:t>
      </w:r>
      <w:r>
        <w:rPr>
          <w:spacing w:val="-4"/>
          <w:sz w:val="14"/>
          <w:szCs w:val="14"/>
          <w:lang w:val="es-ES_tradnl"/>
        </w:rPr>
        <w:t>dio</w:t>
      </w:r>
      <w:r>
        <w:rPr>
          <w:spacing w:val="-4"/>
          <w:sz w:val="18"/>
          <w:szCs w:val="18"/>
          <w:lang w:val="es-ES_tradnl"/>
        </w:rPr>
        <w:t xml:space="preserve"> </w:t>
      </w:r>
      <w:r>
        <w:rPr>
          <w:spacing w:val="-4"/>
          <w:sz w:val="14"/>
          <w:szCs w:val="14"/>
          <w:lang w:val="es-ES_tradnl"/>
        </w:rPr>
        <w:t>origen</w:t>
      </w:r>
      <w:r>
        <w:rPr>
          <w:spacing w:val="-4"/>
          <w:sz w:val="18"/>
          <w:szCs w:val="18"/>
          <w:lang w:val="es-ES_tradnl"/>
        </w:rPr>
        <w:t xml:space="preserve"> </w:t>
      </w:r>
      <w:r>
        <w:rPr>
          <w:spacing w:val="-4"/>
          <w:sz w:val="14"/>
          <w:szCs w:val="14"/>
          <w:lang w:val="es-ES_tradnl"/>
        </w:rPr>
        <w:t>al</w:t>
      </w:r>
      <w:r>
        <w:rPr>
          <w:spacing w:val="-4"/>
          <w:sz w:val="18"/>
          <w:szCs w:val="18"/>
          <w:lang w:val="es-ES_tradnl"/>
        </w:rPr>
        <w:t xml:space="preserve"> </w:t>
      </w:r>
      <w:r>
        <w:rPr>
          <w:spacing w:val="-4"/>
          <w:sz w:val="14"/>
          <w:szCs w:val="14"/>
          <w:lang w:val="es-ES_tradnl"/>
        </w:rPr>
        <w:t>conocimiento</w:t>
      </w:r>
      <w:r>
        <w:rPr>
          <w:spacing w:val="-4"/>
          <w:sz w:val="18"/>
          <w:szCs w:val="18"/>
          <w:lang w:val="es-ES_tradnl"/>
        </w:rPr>
        <w:t xml:space="preserve"> </w:t>
      </w:r>
      <w:r>
        <w:rPr>
          <w:spacing w:val="-4"/>
          <w:sz w:val="14"/>
          <w:szCs w:val="14"/>
          <w:lang w:val="es-ES_tradnl"/>
        </w:rPr>
        <w:t>y</w:t>
      </w:r>
      <w:r>
        <w:rPr>
          <w:spacing w:val="-4"/>
          <w:sz w:val="18"/>
          <w:szCs w:val="18"/>
          <w:lang w:val="es-ES_tradnl"/>
        </w:rPr>
        <w:t xml:space="preserve"> </w:t>
      </w:r>
      <w:r>
        <w:rPr>
          <w:spacing w:val="-4"/>
          <w:sz w:val="14"/>
          <w:szCs w:val="14"/>
          <w:lang w:val="es-ES_tradnl"/>
        </w:rPr>
        <w:t>resoluci</w:t>
      </w:r>
      <w:r>
        <w:rPr>
          <w:rFonts w:cs="Times New Roman"/>
          <w:spacing w:val="-4"/>
          <w:sz w:val="14"/>
          <w:szCs w:val="14"/>
          <w:lang w:val="es-ES_tradnl"/>
        </w:rPr>
        <w:t>ó</w:t>
      </w:r>
      <w:r>
        <w:rPr>
          <w:spacing w:val="-4"/>
          <w:sz w:val="14"/>
          <w:szCs w:val="14"/>
          <w:lang w:val="es-ES_tradnl"/>
        </w:rPr>
        <w:t>n</w:t>
      </w:r>
      <w:r>
        <w:rPr>
          <w:spacing w:val="-4"/>
          <w:sz w:val="18"/>
          <w:szCs w:val="18"/>
          <w:lang w:val="es-ES_tradnl"/>
        </w:rPr>
        <w:t xml:space="preserve"> </w:t>
      </w:r>
      <w:r>
        <w:rPr>
          <w:spacing w:val="-4"/>
          <w:sz w:val="14"/>
          <w:szCs w:val="14"/>
          <w:lang w:val="es-ES_tradnl"/>
        </w:rPr>
        <w:t>de</w:t>
      </w:r>
      <w:r>
        <w:rPr>
          <w:spacing w:val="-4"/>
          <w:sz w:val="18"/>
          <w:szCs w:val="18"/>
          <w:lang w:val="es-ES_tradnl"/>
        </w:rPr>
        <w:t xml:space="preserve"> </w:t>
      </w:r>
      <w:r>
        <w:rPr>
          <w:spacing w:val="-4"/>
          <w:sz w:val="14"/>
          <w:szCs w:val="14"/>
          <w:lang w:val="es-ES_tradnl"/>
        </w:rPr>
        <w:t>la</w:t>
      </w:r>
      <w:r>
        <w:rPr>
          <w:spacing w:val="-4"/>
          <w:sz w:val="18"/>
          <w:szCs w:val="18"/>
          <w:lang w:val="es-ES_tradnl"/>
        </w:rPr>
        <w:t xml:space="preserve"> </w:t>
      </w:r>
      <w:r>
        <w:rPr>
          <w:spacing w:val="-4"/>
          <w:sz w:val="14"/>
          <w:szCs w:val="14"/>
          <w:lang w:val="es-ES_tradnl"/>
        </w:rPr>
        <w:t>acci</w:t>
      </w:r>
      <w:r>
        <w:rPr>
          <w:rFonts w:cs="Times New Roman"/>
          <w:spacing w:val="-4"/>
          <w:sz w:val="14"/>
          <w:szCs w:val="14"/>
          <w:lang w:val="es-ES_tradnl"/>
        </w:rPr>
        <w:t>ó</w:t>
      </w:r>
      <w:r>
        <w:rPr>
          <w:spacing w:val="-4"/>
          <w:sz w:val="14"/>
          <w:szCs w:val="14"/>
          <w:lang w:val="es-ES_tradnl"/>
        </w:rPr>
        <w:t>n </w:t>
      </w:r>
      <w:r>
        <w:rPr>
          <w:spacing w:val="-1"/>
          <w:sz w:val="14"/>
          <w:szCs w:val="14"/>
          <w:lang w:val="es-ES_tradnl"/>
        </w:rPr>
        <w:t>de H</w:t>
      </w:r>
      <w:r>
        <w:rPr>
          <w:rFonts w:cs="Times New Roman"/>
          <w:spacing w:val="-1"/>
          <w:sz w:val="14"/>
          <w:szCs w:val="14"/>
          <w:lang w:val="es-ES_tradnl"/>
        </w:rPr>
        <w:t>á</w:t>
      </w:r>
      <w:r>
        <w:rPr>
          <w:spacing w:val="-1"/>
          <w:sz w:val="14"/>
          <w:szCs w:val="14"/>
          <w:lang w:val="es-ES_tradnl"/>
        </w:rPr>
        <w:t>beas Data N.</w:t>
      </w:r>
      <w:r>
        <w:rPr>
          <w:rFonts w:cs="Times New Roman"/>
          <w:spacing w:val="-1"/>
          <w:sz w:val="14"/>
          <w:szCs w:val="14"/>
          <w:lang w:val="es-ES_tradnl"/>
        </w:rPr>
        <w:t>°</w:t>
      </w:r>
      <w:r>
        <w:rPr>
          <w:spacing w:val="-1"/>
          <w:sz w:val="14"/>
          <w:szCs w:val="14"/>
          <w:lang w:val="es-ES_tradnl"/>
        </w:rPr>
        <w:t xml:space="preserve"> 0329-2010/081-2010, no es de aquellas que </w:t>
      </w:r>
      <w:r>
        <w:rPr>
          <w:spacing w:val="-3"/>
          <w:sz w:val="14"/>
          <w:szCs w:val="14"/>
          <w:lang w:val="es-ES_tradnl"/>
        </w:rPr>
        <w:t>pueda ser atendida mediante esta acci</w:t>
      </w:r>
      <w:r>
        <w:rPr>
          <w:rFonts w:cs="Times New Roman"/>
          <w:spacing w:val="-3"/>
          <w:sz w:val="14"/>
          <w:szCs w:val="14"/>
          <w:lang w:val="es-ES_tradnl"/>
        </w:rPr>
        <w:t>ó</w:t>
      </w:r>
      <w:r>
        <w:rPr>
          <w:spacing w:val="-3"/>
          <w:sz w:val="14"/>
          <w:szCs w:val="14"/>
          <w:lang w:val="es-ES_tradnl"/>
        </w:rPr>
        <w:t>n -como se puede corroborar </w:t>
      </w:r>
      <w:r>
        <w:rPr>
          <w:spacing w:val="-1"/>
          <w:sz w:val="14"/>
          <w:szCs w:val="14"/>
          <w:lang w:val="es-ES_tradnl"/>
        </w:rPr>
        <w:t>del texto de dicha pretensi</w:t>
      </w:r>
      <w:r>
        <w:rPr>
          <w:rFonts w:cs="Times New Roman"/>
          <w:spacing w:val="-1"/>
          <w:sz w:val="14"/>
          <w:szCs w:val="14"/>
          <w:lang w:val="es-ES_tradnl"/>
        </w:rPr>
        <w:t>ó</w:t>
      </w:r>
      <w:r>
        <w:rPr>
          <w:spacing w:val="-1"/>
          <w:sz w:val="14"/>
          <w:szCs w:val="14"/>
          <w:lang w:val="es-ES_tradnl"/>
        </w:rPr>
        <w:t>n- puesto que el accionante, no solicit</w:t>
      </w:r>
      <w:r>
        <w:rPr>
          <w:rFonts w:cs="Times New Roman"/>
          <w:spacing w:val="-1"/>
          <w:sz w:val="14"/>
          <w:szCs w:val="14"/>
          <w:lang w:val="es-ES_tradnl"/>
        </w:rPr>
        <w:t>ó </w:t>
      </w:r>
      <w:r>
        <w:rPr>
          <w:spacing w:val="-2"/>
          <w:sz w:val="14"/>
          <w:szCs w:val="14"/>
          <w:lang w:val="es-ES_tradnl"/>
        </w:rPr>
        <w:t>informaci</w:t>
      </w:r>
      <w:r>
        <w:rPr>
          <w:rFonts w:cs="Times New Roman"/>
          <w:spacing w:val="-2"/>
          <w:sz w:val="14"/>
          <w:szCs w:val="14"/>
          <w:lang w:val="es-ES_tradnl"/>
        </w:rPr>
        <w:t>ó</w:t>
      </w:r>
      <w:r>
        <w:rPr>
          <w:spacing w:val="-2"/>
          <w:sz w:val="14"/>
          <w:szCs w:val="14"/>
          <w:lang w:val="es-ES_tradnl"/>
        </w:rPr>
        <w:t>n inherente a s</w:t>
      </w:r>
      <w:r>
        <w:rPr>
          <w:rFonts w:cs="Times New Roman"/>
          <w:spacing w:val="-2"/>
          <w:sz w:val="14"/>
          <w:szCs w:val="14"/>
          <w:lang w:val="es-ES_tradnl"/>
        </w:rPr>
        <w:t>í</w:t>
      </w:r>
      <w:r>
        <w:rPr>
          <w:spacing w:val="-2"/>
          <w:sz w:val="14"/>
          <w:szCs w:val="14"/>
          <w:lang w:val="es-ES_tradnl"/>
        </w:rPr>
        <w:t xml:space="preserve"> mismo, sino respecto a documentos que tienen car</w:t>
      </w:r>
      <w:r>
        <w:rPr>
          <w:rFonts w:cs="Times New Roman"/>
          <w:spacing w:val="-2"/>
          <w:sz w:val="14"/>
          <w:szCs w:val="14"/>
          <w:lang w:val="es-ES_tradnl"/>
        </w:rPr>
        <w:t>á</w:t>
      </w:r>
      <w:r>
        <w:rPr>
          <w:spacing w:val="-2"/>
          <w:sz w:val="14"/>
          <w:szCs w:val="14"/>
          <w:lang w:val="es-ES_tradnl"/>
        </w:rPr>
        <w:t>cter p</w:t>
      </w:r>
      <w:r>
        <w:rPr>
          <w:rFonts w:cs="Times New Roman"/>
          <w:spacing w:val="-2"/>
          <w:sz w:val="14"/>
          <w:szCs w:val="14"/>
          <w:lang w:val="es-ES_tradnl"/>
        </w:rPr>
        <w:t>ú</w:t>
      </w:r>
      <w:r>
        <w:rPr>
          <w:spacing w:val="-2"/>
          <w:sz w:val="14"/>
          <w:szCs w:val="14"/>
          <w:lang w:val="es-ES_tradnl"/>
        </w:rPr>
        <w:t>blico. En aquel sentido, se advierte que el texto de la pretensi</w:t>
      </w:r>
      <w:r>
        <w:rPr>
          <w:rFonts w:cs="Times New Roman"/>
          <w:spacing w:val="-2"/>
          <w:sz w:val="14"/>
          <w:szCs w:val="14"/>
          <w:lang w:val="es-ES_tradnl"/>
        </w:rPr>
        <w:t>ó</w:t>
      </w:r>
      <w:r>
        <w:rPr>
          <w:spacing w:val="-2"/>
          <w:sz w:val="14"/>
          <w:szCs w:val="14"/>
          <w:lang w:val="es-ES_tradnl"/>
        </w:rPr>
        <w:t>n contenida en la demanda de H</w:t>
      </w:r>
      <w:r>
        <w:rPr>
          <w:rFonts w:cs="Times New Roman"/>
          <w:spacing w:val="-2"/>
          <w:sz w:val="14"/>
          <w:szCs w:val="14"/>
          <w:lang w:val="es-ES_tradnl"/>
        </w:rPr>
        <w:t>á</w:t>
      </w:r>
      <w:r>
        <w:rPr>
          <w:spacing w:val="-2"/>
          <w:sz w:val="14"/>
          <w:szCs w:val="14"/>
          <w:lang w:val="es-ES_tradnl"/>
        </w:rPr>
        <w:t>beas Data (foja 7 vta., </w:t>
      </w:r>
      <w:r>
        <w:rPr>
          <w:spacing w:val="-3"/>
          <w:sz w:val="14"/>
          <w:szCs w:val="14"/>
          <w:lang w:val="es-ES_tradnl"/>
        </w:rPr>
        <w:t xml:space="preserve">del proceso judicial), es el siguiente: </w:t>
      </w:r>
      <w:r>
        <w:rPr>
          <w:rFonts w:cs="Times New Roman"/>
          <w:spacing w:val="-3"/>
          <w:sz w:val="14"/>
          <w:szCs w:val="14"/>
          <w:lang w:val="es-ES_tradnl"/>
        </w:rPr>
        <w:t>“</w:t>
      </w:r>
      <w:r>
        <w:rPr>
          <w:spacing w:val="-3"/>
          <w:sz w:val="14"/>
          <w:szCs w:val="14"/>
          <w:lang w:val="es-ES_tradnl"/>
        </w:rPr>
        <w:t>Con los antecedentes de hecho y los fundamentos de derecho expuestos, acudo ante su autoridad a proponer la presente acci</w:t>
      </w:r>
      <w:r>
        <w:rPr>
          <w:rFonts w:cs="Times New Roman"/>
          <w:spacing w:val="-3"/>
          <w:sz w:val="14"/>
          <w:szCs w:val="14"/>
          <w:lang w:val="es-ES_tradnl"/>
        </w:rPr>
        <w:t>ó</w:t>
      </w:r>
      <w:r>
        <w:rPr>
          <w:spacing w:val="-3"/>
          <w:sz w:val="14"/>
          <w:szCs w:val="14"/>
          <w:lang w:val="es-ES_tradnl"/>
        </w:rPr>
        <w:t>n de HABEAS DATA para que se requiera </w:t>
      </w:r>
      <w:r>
        <w:rPr>
          <w:sz w:val="14"/>
          <w:szCs w:val="14"/>
          <w:lang w:val="es-ES_tradnl"/>
        </w:rPr>
        <w:t>la informaci</w:t>
      </w:r>
      <w:r>
        <w:rPr>
          <w:rFonts w:cs="Times New Roman"/>
          <w:sz w:val="14"/>
          <w:szCs w:val="14"/>
          <w:lang w:val="es-ES_tradnl"/>
        </w:rPr>
        <w:t>ó</w:t>
      </w:r>
      <w:r>
        <w:rPr>
          <w:sz w:val="14"/>
          <w:szCs w:val="14"/>
          <w:lang w:val="es-ES_tradnl"/>
        </w:rPr>
        <w:t>n amplia y suficiente de los siguientes documentos y </w:t>
      </w:r>
      <w:r>
        <w:rPr>
          <w:spacing w:val="-1"/>
          <w:sz w:val="14"/>
          <w:szCs w:val="14"/>
          <w:lang w:val="es-ES_tradnl"/>
        </w:rPr>
        <w:t>tr</w:t>
      </w:r>
      <w:r>
        <w:rPr>
          <w:rFonts w:cs="Times New Roman"/>
          <w:spacing w:val="-1"/>
          <w:sz w:val="14"/>
          <w:szCs w:val="14"/>
          <w:lang w:val="es-ES_tradnl"/>
        </w:rPr>
        <w:t>á</w:t>
      </w:r>
      <w:r>
        <w:rPr>
          <w:spacing w:val="-1"/>
          <w:sz w:val="14"/>
          <w:szCs w:val="14"/>
          <w:lang w:val="es-ES_tradnl"/>
        </w:rPr>
        <w:t>mites administrativos que reposan en los archivos del Gobierno Municipal de Mocache, lo que para una mayor comprensi</w:t>
      </w:r>
      <w:r>
        <w:rPr>
          <w:rFonts w:cs="Times New Roman"/>
          <w:spacing w:val="-1"/>
          <w:sz w:val="14"/>
          <w:szCs w:val="14"/>
          <w:lang w:val="es-ES_tradnl"/>
        </w:rPr>
        <w:t>ó</w:t>
      </w:r>
      <w:r>
        <w:rPr>
          <w:spacing w:val="-1"/>
          <w:sz w:val="14"/>
          <w:szCs w:val="14"/>
          <w:lang w:val="es-ES_tradnl"/>
        </w:rPr>
        <w:t>n detallo </w:t>
      </w:r>
      <w:r>
        <w:rPr>
          <w:spacing w:val="-2"/>
          <w:sz w:val="14"/>
          <w:szCs w:val="14"/>
          <w:lang w:val="es-ES_tradnl"/>
        </w:rPr>
        <w:t>pormenorizadamente; a) Copia certificada del Presupuesto General </w:t>
      </w:r>
      <w:r>
        <w:rPr>
          <w:sz w:val="14"/>
          <w:szCs w:val="14"/>
          <w:lang w:val="es-ES_tradnl"/>
        </w:rPr>
        <w:t>Municipal del a</w:t>
      </w:r>
      <w:r>
        <w:rPr>
          <w:rFonts w:cs="Times New Roman"/>
          <w:sz w:val="14"/>
          <w:szCs w:val="14"/>
          <w:lang w:val="es-ES_tradnl"/>
        </w:rPr>
        <w:t>ñ</w:t>
      </w:r>
      <w:r>
        <w:rPr>
          <w:sz w:val="14"/>
          <w:szCs w:val="14"/>
          <w:lang w:val="es-ES_tradnl"/>
        </w:rPr>
        <w:t>o 2010 y del Distributivo de Sueldos del a</w:t>
      </w:r>
      <w:r>
        <w:rPr>
          <w:rFonts w:cs="Times New Roman"/>
          <w:sz w:val="14"/>
          <w:szCs w:val="14"/>
          <w:lang w:val="es-ES_tradnl"/>
        </w:rPr>
        <w:t>ñ</w:t>
      </w:r>
      <w:r>
        <w:rPr>
          <w:sz w:val="14"/>
          <w:szCs w:val="14"/>
          <w:lang w:val="es-ES_tradnl"/>
        </w:rPr>
        <w:t>o 2010. </w:t>
      </w:r>
      <w:r>
        <w:rPr>
          <w:spacing w:val="-4"/>
          <w:sz w:val="14"/>
          <w:szCs w:val="14"/>
          <w:lang w:val="es-ES_tradnl"/>
        </w:rPr>
        <w:t>b) Copias certificadas de las Actas de la Sesi</w:t>
      </w:r>
      <w:r>
        <w:rPr>
          <w:rFonts w:cs="Times New Roman"/>
          <w:spacing w:val="-4"/>
          <w:sz w:val="14"/>
          <w:szCs w:val="14"/>
          <w:lang w:val="es-ES_tradnl"/>
        </w:rPr>
        <w:t>ó</w:t>
      </w:r>
      <w:r>
        <w:rPr>
          <w:spacing w:val="-4"/>
          <w:sz w:val="14"/>
          <w:szCs w:val="14"/>
          <w:lang w:val="es-ES_tradnl"/>
        </w:rPr>
        <w:t>n de Consejo donde se </w:t>
      </w:r>
      <w:r>
        <w:rPr>
          <w:spacing w:val="-1"/>
          <w:sz w:val="14"/>
          <w:szCs w:val="14"/>
          <w:lang w:val="es-ES_tradnl"/>
        </w:rPr>
        <w:t>discuti</w:t>
      </w:r>
      <w:r>
        <w:rPr>
          <w:rFonts w:cs="Times New Roman"/>
          <w:spacing w:val="-1"/>
          <w:sz w:val="14"/>
          <w:szCs w:val="14"/>
          <w:lang w:val="es-ES_tradnl"/>
        </w:rPr>
        <w:t>ó</w:t>
      </w:r>
      <w:r>
        <w:rPr>
          <w:spacing w:val="-1"/>
          <w:sz w:val="14"/>
          <w:szCs w:val="14"/>
          <w:lang w:val="es-ES_tradnl"/>
        </w:rPr>
        <w:t xml:space="preserve"> y aprob</w:t>
      </w:r>
      <w:r>
        <w:rPr>
          <w:rFonts w:cs="Times New Roman"/>
          <w:spacing w:val="-1"/>
          <w:sz w:val="14"/>
          <w:szCs w:val="14"/>
          <w:lang w:val="es-ES_tradnl"/>
        </w:rPr>
        <w:t>ó</w:t>
      </w:r>
      <w:r>
        <w:rPr>
          <w:spacing w:val="-1"/>
          <w:sz w:val="14"/>
          <w:szCs w:val="14"/>
          <w:lang w:val="es-ES_tradnl"/>
        </w:rPr>
        <w:t xml:space="preserve"> el Presupuesto General Municipal y el Distributivo de Sueldos del a</w:t>
      </w:r>
      <w:r>
        <w:rPr>
          <w:rFonts w:cs="Times New Roman"/>
          <w:spacing w:val="-1"/>
          <w:sz w:val="14"/>
          <w:szCs w:val="14"/>
          <w:lang w:val="es-ES_tradnl"/>
        </w:rPr>
        <w:t>ñ</w:t>
      </w:r>
      <w:r>
        <w:rPr>
          <w:spacing w:val="-1"/>
          <w:sz w:val="14"/>
          <w:szCs w:val="14"/>
          <w:lang w:val="es-ES_tradnl"/>
        </w:rPr>
        <w:t>o 2010. c) Copia certificada de la Resoluci</w:t>
      </w:r>
      <w:r>
        <w:rPr>
          <w:rFonts w:cs="Times New Roman"/>
          <w:spacing w:val="-1"/>
          <w:sz w:val="14"/>
          <w:szCs w:val="14"/>
          <w:lang w:val="es-ES_tradnl"/>
        </w:rPr>
        <w:t>ó</w:t>
      </w:r>
      <w:r>
        <w:rPr>
          <w:spacing w:val="-1"/>
          <w:sz w:val="14"/>
          <w:szCs w:val="14"/>
          <w:lang w:val="es-ES_tradnl"/>
        </w:rPr>
        <w:t>n de </w:t>
      </w:r>
      <w:r>
        <w:rPr>
          <w:sz w:val="14"/>
          <w:szCs w:val="14"/>
          <w:lang w:val="es-ES_tradnl"/>
        </w:rPr>
        <w:t>supresi</w:t>
      </w:r>
      <w:r>
        <w:rPr>
          <w:rFonts w:cs="Times New Roman"/>
          <w:sz w:val="14"/>
          <w:szCs w:val="14"/>
          <w:lang w:val="es-ES_tradnl"/>
        </w:rPr>
        <w:t>ó</w:t>
      </w:r>
      <w:r>
        <w:rPr>
          <w:sz w:val="14"/>
          <w:szCs w:val="14"/>
          <w:lang w:val="es-ES_tradnl"/>
        </w:rPr>
        <w:t>n de partidas N.001-AGMM-LRUR, de fecha 26 de enero de 2010. d) Copia certificada del Tr</w:t>
      </w:r>
      <w:r>
        <w:rPr>
          <w:rFonts w:cs="Times New Roman"/>
          <w:sz w:val="14"/>
          <w:szCs w:val="14"/>
          <w:lang w:val="es-ES_tradnl"/>
        </w:rPr>
        <w:t>á</w:t>
      </w:r>
      <w:r>
        <w:rPr>
          <w:sz w:val="14"/>
          <w:szCs w:val="14"/>
          <w:lang w:val="es-ES_tradnl"/>
        </w:rPr>
        <w:t>mite Administrativo completo, es decir, el o los informes y/o Estudios T</w:t>
      </w:r>
      <w:r>
        <w:rPr>
          <w:rFonts w:cs="Times New Roman"/>
          <w:sz w:val="14"/>
          <w:szCs w:val="14"/>
          <w:lang w:val="es-ES_tradnl"/>
        </w:rPr>
        <w:t>é</w:t>
      </w:r>
      <w:r>
        <w:rPr>
          <w:sz w:val="14"/>
          <w:szCs w:val="14"/>
          <w:lang w:val="es-ES_tradnl"/>
        </w:rPr>
        <w:t>cnicos Administrativo y </w:t>
      </w:r>
      <w:r>
        <w:rPr>
          <w:spacing w:val="-1"/>
          <w:sz w:val="14"/>
          <w:szCs w:val="14"/>
          <w:lang w:val="es-ES_tradnl"/>
        </w:rPr>
        <w:t>Econ</w:t>
      </w:r>
      <w:r>
        <w:rPr>
          <w:rFonts w:cs="Times New Roman"/>
          <w:spacing w:val="-1"/>
          <w:sz w:val="14"/>
          <w:szCs w:val="14"/>
          <w:lang w:val="es-ES_tradnl"/>
        </w:rPr>
        <w:t>ó</w:t>
      </w:r>
      <w:r>
        <w:rPr>
          <w:spacing w:val="-1"/>
          <w:sz w:val="14"/>
          <w:szCs w:val="14"/>
          <w:lang w:val="es-ES_tradnl"/>
        </w:rPr>
        <w:t>mico para la supresi</w:t>
      </w:r>
      <w:r>
        <w:rPr>
          <w:rFonts w:cs="Times New Roman"/>
          <w:spacing w:val="-1"/>
          <w:sz w:val="14"/>
          <w:szCs w:val="14"/>
          <w:lang w:val="es-ES_tradnl"/>
        </w:rPr>
        <w:t>ó</w:t>
      </w:r>
      <w:r>
        <w:rPr>
          <w:spacing w:val="-1"/>
          <w:sz w:val="14"/>
          <w:szCs w:val="14"/>
          <w:lang w:val="es-ES_tradnl"/>
        </w:rPr>
        <w:t>n de partidas elaborado por la Jefatura de Recursos Humanos y el Departamento Financiero del Gobierno </w:t>
      </w:r>
      <w:r>
        <w:rPr>
          <w:sz w:val="14"/>
          <w:szCs w:val="14"/>
          <w:lang w:val="es-ES_tradnl"/>
        </w:rPr>
        <w:t>Municipal de Mocache</w:t>
      </w:r>
      <w:r>
        <w:rPr>
          <w:rFonts w:cs="Times New Roman"/>
          <w:sz w:val="14"/>
          <w:szCs w:val="14"/>
          <w:lang w:val="es-ES_tradnl"/>
        </w:rPr>
        <w:t>”</w:t>
      </w:r>
      <w:r>
        <w:rPr>
          <w:sz w:val="14"/>
          <w:szCs w:val="14"/>
          <w:lang w:val="es-ES_tradnl"/>
        </w:rPr>
        <w:t>.</w:t>
      </w:r>
    </w:p>
    <w:p w14:paraId="4F67AC50" w14:textId="77777777" w:rsidR="00591D54" w:rsidRDefault="00591D54">
      <w:pPr>
        <w:shd w:val="clear" w:color="auto" w:fill="FFFFFF"/>
        <w:spacing w:before="5" w:line="221" w:lineRule="exact"/>
        <w:jc w:val="both"/>
      </w:pPr>
      <w:r>
        <w:br w:type="column"/>
      </w:r>
      <w:r>
        <w:rPr>
          <w:spacing w:val="-1"/>
          <w:sz w:val="18"/>
          <w:szCs w:val="18"/>
          <w:lang w:val="es-ES_tradnl"/>
        </w:rPr>
        <w:t>de conformidad con los par</w:t>
      </w:r>
      <w:r>
        <w:rPr>
          <w:rFonts w:cs="Times New Roman"/>
          <w:spacing w:val="-1"/>
          <w:sz w:val="18"/>
          <w:szCs w:val="18"/>
          <w:lang w:val="es-ES_tradnl"/>
        </w:rPr>
        <w:t>á</w:t>
      </w:r>
      <w:r>
        <w:rPr>
          <w:spacing w:val="-1"/>
          <w:sz w:val="18"/>
          <w:szCs w:val="18"/>
          <w:lang w:val="es-ES_tradnl"/>
        </w:rPr>
        <w:t>metros establecidos para el efecto en la Constituci</w:t>
      </w:r>
      <w:r>
        <w:rPr>
          <w:rFonts w:cs="Times New Roman"/>
          <w:spacing w:val="-1"/>
          <w:sz w:val="18"/>
          <w:szCs w:val="18"/>
          <w:lang w:val="es-ES_tradnl"/>
        </w:rPr>
        <w:t>ó</w:t>
      </w:r>
      <w:r>
        <w:rPr>
          <w:spacing w:val="-1"/>
          <w:sz w:val="18"/>
          <w:szCs w:val="18"/>
          <w:lang w:val="es-ES_tradnl"/>
        </w:rPr>
        <w:t>n, en la Ley Org</w:t>
      </w:r>
      <w:r>
        <w:rPr>
          <w:rFonts w:cs="Times New Roman"/>
          <w:spacing w:val="-1"/>
          <w:sz w:val="18"/>
          <w:szCs w:val="18"/>
          <w:lang w:val="es-ES_tradnl"/>
        </w:rPr>
        <w:t>á</w:t>
      </w:r>
      <w:r>
        <w:rPr>
          <w:spacing w:val="-1"/>
          <w:sz w:val="18"/>
          <w:szCs w:val="18"/>
          <w:lang w:val="es-ES_tradnl"/>
        </w:rPr>
        <w:t xml:space="preserve">nica de </w:t>
      </w:r>
      <w:r>
        <w:rPr>
          <w:spacing w:val="-7"/>
          <w:sz w:val="18"/>
          <w:szCs w:val="18"/>
          <w:lang w:val="es-ES_tradnl"/>
        </w:rPr>
        <w:t>Garant</w:t>
      </w:r>
      <w:r>
        <w:rPr>
          <w:rFonts w:cs="Times New Roman"/>
          <w:spacing w:val="-7"/>
          <w:sz w:val="18"/>
          <w:szCs w:val="18"/>
          <w:lang w:val="es-ES_tradnl"/>
        </w:rPr>
        <w:t>í</w:t>
      </w:r>
      <w:r>
        <w:rPr>
          <w:spacing w:val="-7"/>
          <w:sz w:val="18"/>
          <w:szCs w:val="18"/>
          <w:lang w:val="es-ES_tradnl"/>
        </w:rPr>
        <w:t xml:space="preserve">as Jurisdiccionales y Control Constitucional, y en la </w:t>
      </w:r>
      <w:r>
        <w:rPr>
          <w:spacing w:val="-9"/>
          <w:sz w:val="18"/>
          <w:szCs w:val="18"/>
          <w:lang w:val="es-ES_tradnl"/>
        </w:rPr>
        <w:t xml:space="preserve">jurisprudencia vinculante emitida por este Organismo sobre </w:t>
      </w:r>
      <w:r>
        <w:rPr>
          <w:spacing w:val="-7"/>
          <w:sz w:val="18"/>
          <w:szCs w:val="18"/>
          <w:lang w:val="es-ES_tradnl"/>
        </w:rPr>
        <w:t>dicha acci</w:t>
      </w:r>
      <w:r>
        <w:rPr>
          <w:rFonts w:cs="Times New Roman"/>
          <w:spacing w:val="-7"/>
          <w:sz w:val="18"/>
          <w:szCs w:val="18"/>
          <w:lang w:val="es-ES_tradnl"/>
        </w:rPr>
        <w:t>ó</w:t>
      </w:r>
      <w:r>
        <w:rPr>
          <w:spacing w:val="-7"/>
          <w:sz w:val="18"/>
          <w:szCs w:val="18"/>
          <w:lang w:val="es-ES_tradnl"/>
        </w:rPr>
        <w:t>n lo cual, coadyuvar</w:t>
      </w:r>
      <w:r>
        <w:rPr>
          <w:rFonts w:cs="Times New Roman"/>
          <w:spacing w:val="-7"/>
          <w:sz w:val="18"/>
          <w:szCs w:val="18"/>
          <w:lang w:val="es-ES_tradnl"/>
        </w:rPr>
        <w:t>á</w:t>
      </w:r>
      <w:r>
        <w:rPr>
          <w:spacing w:val="-7"/>
          <w:sz w:val="18"/>
          <w:szCs w:val="18"/>
          <w:lang w:val="es-ES_tradnl"/>
        </w:rPr>
        <w:t xml:space="preserve">, en primer lugar, a que la </w:t>
      </w:r>
      <w:r>
        <w:rPr>
          <w:spacing w:val="-11"/>
          <w:sz w:val="18"/>
          <w:szCs w:val="18"/>
          <w:lang w:val="es-ES_tradnl"/>
        </w:rPr>
        <w:t>acci</w:t>
      </w:r>
      <w:r>
        <w:rPr>
          <w:rFonts w:cs="Times New Roman"/>
          <w:spacing w:val="-11"/>
          <w:sz w:val="18"/>
          <w:szCs w:val="18"/>
          <w:lang w:val="es-ES_tradnl"/>
        </w:rPr>
        <w:t>ó</w:t>
      </w:r>
      <w:r>
        <w:rPr>
          <w:spacing w:val="-11"/>
          <w:sz w:val="18"/>
          <w:szCs w:val="18"/>
          <w:lang w:val="es-ES_tradnl"/>
        </w:rPr>
        <w:t xml:space="preserve">n en comento no se desnaturalice y en segundo lugar, a </w:t>
      </w:r>
      <w:r>
        <w:rPr>
          <w:spacing w:val="-8"/>
          <w:sz w:val="18"/>
          <w:szCs w:val="18"/>
          <w:lang w:val="es-ES_tradnl"/>
        </w:rPr>
        <w:t>que la administraci</w:t>
      </w:r>
      <w:r>
        <w:rPr>
          <w:rFonts w:cs="Times New Roman"/>
          <w:spacing w:val="-8"/>
          <w:sz w:val="18"/>
          <w:szCs w:val="18"/>
          <w:lang w:val="es-ES_tradnl"/>
        </w:rPr>
        <w:t>ó</w:t>
      </w:r>
      <w:r>
        <w:rPr>
          <w:spacing w:val="-8"/>
          <w:sz w:val="18"/>
          <w:szCs w:val="18"/>
          <w:lang w:val="es-ES_tradnl"/>
        </w:rPr>
        <w:t>n de justicia constitucional sea m</w:t>
      </w:r>
      <w:r>
        <w:rPr>
          <w:rFonts w:cs="Times New Roman"/>
          <w:spacing w:val="-8"/>
          <w:sz w:val="18"/>
          <w:szCs w:val="18"/>
          <w:lang w:val="es-ES_tradnl"/>
        </w:rPr>
        <w:t>á</w:t>
      </w:r>
      <w:r>
        <w:rPr>
          <w:spacing w:val="-8"/>
          <w:sz w:val="18"/>
          <w:szCs w:val="18"/>
          <w:lang w:val="es-ES_tradnl"/>
        </w:rPr>
        <w:t xml:space="preserve">s </w:t>
      </w:r>
      <w:r>
        <w:rPr>
          <w:rFonts w:cs="Times New Roman"/>
          <w:spacing w:val="-8"/>
          <w:sz w:val="18"/>
          <w:szCs w:val="18"/>
          <w:lang w:val="es-ES_tradnl"/>
        </w:rPr>
        <w:t>á</w:t>
      </w:r>
      <w:r>
        <w:rPr>
          <w:spacing w:val="-8"/>
          <w:sz w:val="18"/>
          <w:szCs w:val="18"/>
          <w:lang w:val="es-ES_tradnl"/>
        </w:rPr>
        <w:t xml:space="preserve">gil </w:t>
      </w:r>
      <w:r>
        <w:rPr>
          <w:sz w:val="18"/>
          <w:szCs w:val="18"/>
          <w:lang w:val="es-ES_tradnl"/>
        </w:rPr>
        <w:t>y eficaz para el fin que se persigue.</w:t>
      </w:r>
    </w:p>
    <w:p w14:paraId="4F67AC51" w14:textId="77777777" w:rsidR="00591D54" w:rsidRDefault="00591D54">
      <w:pPr>
        <w:shd w:val="clear" w:color="auto" w:fill="FFFFFF"/>
        <w:spacing w:before="202" w:line="221" w:lineRule="exact"/>
        <w:jc w:val="both"/>
      </w:pPr>
      <w:r>
        <w:rPr>
          <w:spacing w:val="-7"/>
          <w:sz w:val="18"/>
          <w:szCs w:val="18"/>
          <w:lang w:val="es-ES_tradnl"/>
        </w:rPr>
        <w:t>Dicho esto y de conformidad con el an</w:t>
      </w:r>
      <w:r>
        <w:rPr>
          <w:rFonts w:cs="Times New Roman"/>
          <w:spacing w:val="-7"/>
          <w:sz w:val="18"/>
          <w:szCs w:val="18"/>
          <w:lang w:val="es-ES_tradnl"/>
        </w:rPr>
        <w:t>á</w:t>
      </w:r>
      <w:r>
        <w:rPr>
          <w:spacing w:val="-7"/>
          <w:sz w:val="18"/>
          <w:szCs w:val="18"/>
          <w:lang w:val="es-ES_tradnl"/>
        </w:rPr>
        <w:t xml:space="preserve">lisis expuesto, esta </w:t>
      </w:r>
      <w:r>
        <w:rPr>
          <w:spacing w:val="-8"/>
          <w:sz w:val="18"/>
          <w:szCs w:val="18"/>
          <w:lang w:val="es-ES_tradnl"/>
        </w:rPr>
        <w:t xml:space="preserve">Corte Constitucional, con el fin de precautelar los derechos </w:t>
      </w:r>
      <w:r>
        <w:rPr>
          <w:spacing w:val="-7"/>
          <w:sz w:val="18"/>
          <w:szCs w:val="18"/>
          <w:lang w:val="es-ES_tradnl"/>
        </w:rPr>
        <w:t xml:space="preserve">de las personas y efectivizar la vigencia y aplicabilidad de </w:t>
      </w:r>
      <w:r>
        <w:rPr>
          <w:spacing w:val="-11"/>
          <w:sz w:val="18"/>
          <w:szCs w:val="18"/>
          <w:lang w:val="es-ES_tradnl"/>
        </w:rPr>
        <w:t>las garant</w:t>
      </w:r>
      <w:r>
        <w:rPr>
          <w:rFonts w:cs="Times New Roman"/>
          <w:spacing w:val="-11"/>
          <w:sz w:val="18"/>
          <w:szCs w:val="18"/>
          <w:lang w:val="es-ES_tradnl"/>
        </w:rPr>
        <w:t>í</w:t>
      </w:r>
      <w:r>
        <w:rPr>
          <w:spacing w:val="-11"/>
          <w:sz w:val="18"/>
          <w:szCs w:val="18"/>
          <w:lang w:val="es-ES_tradnl"/>
        </w:rPr>
        <w:t xml:space="preserve">as jurisdiccionales de los derechos y considerando </w:t>
      </w:r>
      <w:r>
        <w:rPr>
          <w:spacing w:val="-9"/>
          <w:sz w:val="18"/>
          <w:szCs w:val="18"/>
          <w:lang w:val="es-ES_tradnl"/>
        </w:rPr>
        <w:t>la vulneraci</w:t>
      </w:r>
      <w:r>
        <w:rPr>
          <w:rFonts w:cs="Times New Roman"/>
          <w:spacing w:val="-9"/>
          <w:sz w:val="18"/>
          <w:szCs w:val="18"/>
          <w:lang w:val="es-ES_tradnl"/>
        </w:rPr>
        <w:t>ó</w:t>
      </w:r>
      <w:r>
        <w:rPr>
          <w:spacing w:val="-9"/>
          <w:sz w:val="18"/>
          <w:szCs w:val="18"/>
          <w:lang w:val="es-ES_tradnl"/>
        </w:rPr>
        <w:t>n del derecho a la seguridad jur</w:t>
      </w:r>
      <w:r>
        <w:rPr>
          <w:rFonts w:cs="Times New Roman"/>
          <w:spacing w:val="-9"/>
          <w:sz w:val="18"/>
          <w:szCs w:val="18"/>
          <w:lang w:val="es-ES_tradnl"/>
        </w:rPr>
        <w:t>í</w:t>
      </w:r>
      <w:r>
        <w:rPr>
          <w:spacing w:val="-9"/>
          <w:sz w:val="18"/>
          <w:szCs w:val="18"/>
          <w:lang w:val="es-ES_tradnl"/>
        </w:rPr>
        <w:t xml:space="preserve">dica en el caso </w:t>
      </w:r>
      <w:r>
        <w:rPr>
          <w:i/>
          <w:iCs/>
          <w:spacing w:val="-7"/>
          <w:sz w:val="18"/>
          <w:szCs w:val="18"/>
          <w:lang w:val="es-ES_tradnl"/>
        </w:rPr>
        <w:t xml:space="preserve">sub examine </w:t>
      </w:r>
      <w:r>
        <w:rPr>
          <w:spacing w:val="-7"/>
          <w:sz w:val="18"/>
          <w:szCs w:val="18"/>
          <w:lang w:val="es-ES_tradnl"/>
        </w:rPr>
        <w:t>en cuanto a la comprensi</w:t>
      </w:r>
      <w:r>
        <w:rPr>
          <w:rFonts w:cs="Times New Roman"/>
          <w:spacing w:val="-7"/>
          <w:sz w:val="18"/>
          <w:szCs w:val="18"/>
          <w:lang w:val="es-ES_tradnl"/>
        </w:rPr>
        <w:t>ó</w:t>
      </w:r>
      <w:r>
        <w:rPr>
          <w:spacing w:val="-7"/>
          <w:sz w:val="18"/>
          <w:szCs w:val="18"/>
          <w:lang w:val="es-ES_tradnl"/>
        </w:rPr>
        <w:t xml:space="preserve">n del </w:t>
      </w:r>
      <w:r>
        <w:rPr>
          <w:rFonts w:cs="Times New Roman"/>
          <w:spacing w:val="-7"/>
          <w:sz w:val="18"/>
          <w:szCs w:val="18"/>
          <w:lang w:val="es-ES_tradnl"/>
        </w:rPr>
        <w:t>á</w:t>
      </w:r>
      <w:r>
        <w:rPr>
          <w:spacing w:val="-7"/>
          <w:sz w:val="18"/>
          <w:szCs w:val="18"/>
          <w:lang w:val="es-ES_tradnl"/>
        </w:rPr>
        <w:t xml:space="preserve">mbito de </w:t>
      </w:r>
      <w:r>
        <w:rPr>
          <w:spacing w:val="-9"/>
          <w:sz w:val="18"/>
          <w:szCs w:val="18"/>
          <w:lang w:val="es-ES_tradnl"/>
        </w:rPr>
        <w:t>protecci</w:t>
      </w:r>
      <w:r>
        <w:rPr>
          <w:rFonts w:cs="Times New Roman"/>
          <w:spacing w:val="-9"/>
          <w:sz w:val="18"/>
          <w:szCs w:val="18"/>
          <w:lang w:val="es-ES_tradnl"/>
        </w:rPr>
        <w:t>ó</w:t>
      </w:r>
      <w:r>
        <w:rPr>
          <w:spacing w:val="-9"/>
          <w:sz w:val="18"/>
          <w:szCs w:val="18"/>
          <w:lang w:val="es-ES_tradnl"/>
        </w:rPr>
        <w:t>n de la garant</w:t>
      </w:r>
      <w:r>
        <w:rPr>
          <w:rFonts w:cs="Times New Roman"/>
          <w:spacing w:val="-9"/>
          <w:sz w:val="18"/>
          <w:szCs w:val="18"/>
          <w:lang w:val="es-ES_tradnl"/>
        </w:rPr>
        <w:t>í</w:t>
      </w:r>
      <w:r>
        <w:rPr>
          <w:spacing w:val="-9"/>
          <w:sz w:val="18"/>
          <w:szCs w:val="18"/>
          <w:lang w:val="es-ES_tradnl"/>
        </w:rPr>
        <w:t>a de h</w:t>
      </w:r>
      <w:r>
        <w:rPr>
          <w:rFonts w:cs="Times New Roman"/>
          <w:spacing w:val="-9"/>
          <w:sz w:val="18"/>
          <w:szCs w:val="18"/>
          <w:lang w:val="es-ES_tradnl"/>
        </w:rPr>
        <w:t>á</w:t>
      </w:r>
      <w:r>
        <w:rPr>
          <w:spacing w:val="-9"/>
          <w:sz w:val="18"/>
          <w:szCs w:val="18"/>
          <w:lang w:val="es-ES_tradnl"/>
        </w:rPr>
        <w:t xml:space="preserve">beas data, estima necesario </w:t>
      </w:r>
      <w:r>
        <w:rPr>
          <w:spacing w:val="-5"/>
          <w:sz w:val="18"/>
          <w:szCs w:val="18"/>
          <w:lang w:val="es-ES_tradnl"/>
        </w:rPr>
        <w:t>construir un nuevo problema jur</w:t>
      </w:r>
      <w:r>
        <w:rPr>
          <w:rFonts w:cs="Times New Roman"/>
          <w:spacing w:val="-5"/>
          <w:sz w:val="18"/>
          <w:szCs w:val="18"/>
          <w:lang w:val="es-ES_tradnl"/>
        </w:rPr>
        <w:t>í</w:t>
      </w:r>
      <w:r>
        <w:rPr>
          <w:spacing w:val="-5"/>
          <w:sz w:val="18"/>
          <w:szCs w:val="18"/>
          <w:lang w:val="es-ES_tradnl"/>
        </w:rPr>
        <w:t xml:space="preserve">dico relacionado con el </w:t>
      </w:r>
      <w:r>
        <w:rPr>
          <w:spacing w:val="-7"/>
          <w:sz w:val="18"/>
          <w:szCs w:val="18"/>
          <w:lang w:val="es-ES_tradnl"/>
        </w:rPr>
        <w:t>alcance del art</w:t>
      </w:r>
      <w:r>
        <w:rPr>
          <w:rFonts w:cs="Times New Roman"/>
          <w:spacing w:val="-7"/>
          <w:sz w:val="18"/>
          <w:szCs w:val="18"/>
          <w:lang w:val="es-ES_tradnl"/>
        </w:rPr>
        <w:t>í</w:t>
      </w:r>
      <w:r>
        <w:rPr>
          <w:spacing w:val="-7"/>
          <w:sz w:val="18"/>
          <w:szCs w:val="18"/>
          <w:lang w:val="es-ES_tradnl"/>
        </w:rPr>
        <w:t>culo 50 de la Ley Org</w:t>
      </w:r>
      <w:r>
        <w:rPr>
          <w:rFonts w:cs="Times New Roman"/>
          <w:spacing w:val="-7"/>
          <w:sz w:val="18"/>
          <w:szCs w:val="18"/>
          <w:lang w:val="es-ES_tradnl"/>
        </w:rPr>
        <w:t>á</w:t>
      </w:r>
      <w:r>
        <w:rPr>
          <w:spacing w:val="-7"/>
          <w:sz w:val="18"/>
          <w:szCs w:val="18"/>
          <w:lang w:val="es-ES_tradnl"/>
        </w:rPr>
        <w:t>nica de Garant</w:t>
      </w:r>
      <w:r>
        <w:rPr>
          <w:rFonts w:cs="Times New Roman"/>
          <w:spacing w:val="-7"/>
          <w:sz w:val="18"/>
          <w:szCs w:val="18"/>
          <w:lang w:val="es-ES_tradnl"/>
        </w:rPr>
        <w:t>í</w:t>
      </w:r>
      <w:r>
        <w:rPr>
          <w:spacing w:val="-7"/>
          <w:sz w:val="18"/>
          <w:szCs w:val="18"/>
          <w:lang w:val="es-ES_tradnl"/>
        </w:rPr>
        <w:t xml:space="preserve">as </w:t>
      </w:r>
      <w:r>
        <w:rPr>
          <w:spacing w:val="-3"/>
          <w:sz w:val="18"/>
          <w:szCs w:val="18"/>
          <w:lang w:val="es-ES_tradnl"/>
        </w:rPr>
        <w:t xml:space="preserve">Jurisdiccionales y Control Constitucional con el fin de </w:t>
      </w:r>
      <w:r>
        <w:rPr>
          <w:spacing w:val="-9"/>
          <w:sz w:val="18"/>
          <w:szCs w:val="18"/>
          <w:lang w:val="es-ES_tradnl"/>
        </w:rPr>
        <w:t>evitar que en la tramitaci</w:t>
      </w:r>
      <w:r>
        <w:rPr>
          <w:rFonts w:cs="Times New Roman"/>
          <w:spacing w:val="-9"/>
          <w:sz w:val="18"/>
          <w:szCs w:val="18"/>
          <w:lang w:val="es-ES_tradnl"/>
        </w:rPr>
        <w:t>ó</w:t>
      </w:r>
      <w:r>
        <w:rPr>
          <w:spacing w:val="-9"/>
          <w:sz w:val="18"/>
          <w:szCs w:val="18"/>
          <w:lang w:val="es-ES_tradnl"/>
        </w:rPr>
        <w:t>n de las acciones de h</w:t>
      </w:r>
      <w:r>
        <w:rPr>
          <w:rFonts w:cs="Times New Roman"/>
          <w:spacing w:val="-9"/>
          <w:sz w:val="18"/>
          <w:szCs w:val="18"/>
          <w:lang w:val="es-ES_tradnl"/>
        </w:rPr>
        <w:t>á</w:t>
      </w:r>
      <w:r>
        <w:rPr>
          <w:spacing w:val="-9"/>
          <w:sz w:val="18"/>
          <w:szCs w:val="18"/>
          <w:lang w:val="es-ES_tradnl"/>
        </w:rPr>
        <w:t xml:space="preserve">beas data </w:t>
      </w:r>
      <w:r>
        <w:rPr>
          <w:spacing w:val="-8"/>
          <w:sz w:val="18"/>
          <w:szCs w:val="18"/>
          <w:lang w:val="es-ES_tradnl"/>
        </w:rPr>
        <w:t xml:space="preserve">se produzcan vulneraciones a los derechos protegidos por </w:t>
      </w:r>
      <w:r>
        <w:rPr>
          <w:spacing w:val="-5"/>
          <w:sz w:val="18"/>
          <w:szCs w:val="18"/>
          <w:lang w:val="es-ES_tradnl"/>
        </w:rPr>
        <w:t>esta acci</w:t>
      </w:r>
      <w:r>
        <w:rPr>
          <w:rFonts w:cs="Times New Roman"/>
          <w:spacing w:val="-5"/>
          <w:sz w:val="18"/>
          <w:szCs w:val="18"/>
          <w:lang w:val="es-ES_tradnl"/>
        </w:rPr>
        <w:t>ó</w:t>
      </w:r>
      <w:r>
        <w:rPr>
          <w:spacing w:val="-5"/>
          <w:sz w:val="18"/>
          <w:szCs w:val="18"/>
          <w:lang w:val="es-ES_tradnl"/>
        </w:rPr>
        <w:t>n o abusos en la utilizaci</w:t>
      </w:r>
      <w:r>
        <w:rPr>
          <w:rFonts w:cs="Times New Roman"/>
          <w:spacing w:val="-5"/>
          <w:sz w:val="18"/>
          <w:szCs w:val="18"/>
          <w:lang w:val="es-ES_tradnl"/>
        </w:rPr>
        <w:t>ó</w:t>
      </w:r>
      <w:r>
        <w:rPr>
          <w:spacing w:val="-5"/>
          <w:sz w:val="18"/>
          <w:szCs w:val="18"/>
          <w:lang w:val="es-ES_tradnl"/>
        </w:rPr>
        <w:t>n de la garant</w:t>
      </w:r>
      <w:r>
        <w:rPr>
          <w:rFonts w:cs="Times New Roman"/>
          <w:spacing w:val="-5"/>
          <w:sz w:val="18"/>
          <w:szCs w:val="18"/>
          <w:lang w:val="es-ES_tradnl"/>
        </w:rPr>
        <w:t>í</w:t>
      </w:r>
      <w:r>
        <w:rPr>
          <w:spacing w:val="-5"/>
          <w:sz w:val="18"/>
          <w:szCs w:val="18"/>
          <w:lang w:val="es-ES_tradnl"/>
        </w:rPr>
        <w:t xml:space="preserve">a por </w:t>
      </w:r>
      <w:r>
        <w:rPr>
          <w:spacing w:val="-6"/>
          <w:sz w:val="18"/>
          <w:szCs w:val="18"/>
          <w:lang w:val="es-ES_tradnl"/>
        </w:rPr>
        <w:t>parte de los usuarios de la administraci</w:t>
      </w:r>
      <w:r>
        <w:rPr>
          <w:rFonts w:cs="Times New Roman"/>
          <w:spacing w:val="-6"/>
          <w:sz w:val="18"/>
          <w:szCs w:val="18"/>
          <w:lang w:val="es-ES_tradnl"/>
        </w:rPr>
        <w:t>ó</w:t>
      </w:r>
      <w:r>
        <w:rPr>
          <w:spacing w:val="-6"/>
          <w:sz w:val="18"/>
          <w:szCs w:val="18"/>
          <w:lang w:val="es-ES_tradnl"/>
        </w:rPr>
        <w:t xml:space="preserve">n de la justicia </w:t>
      </w:r>
      <w:r>
        <w:rPr>
          <w:sz w:val="18"/>
          <w:szCs w:val="18"/>
          <w:lang w:val="es-ES_tradnl"/>
        </w:rPr>
        <w:t>constitucional.</w:t>
      </w:r>
    </w:p>
    <w:p w14:paraId="4F67AC52" w14:textId="77777777" w:rsidR="00591D54" w:rsidRDefault="00591D54">
      <w:pPr>
        <w:shd w:val="clear" w:color="auto" w:fill="FFFFFF"/>
        <w:spacing w:before="206" w:line="221" w:lineRule="exact"/>
        <w:jc w:val="both"/>
      </w:pPr>
      <w:r>
        <w:rPr>
          <w:spacing w:val="-9"/>
          <w:sz w:val="18"/>
          <w:szCs w:val="18"/>
          <w:lang w:val="es-ES_tradnl"/>
        </w:rPr>
        <w:t xml:space="preserve">La Corte Constitucional estima necesario resaltar que todos </w:t>
      </w:r>
      <w:r>
        <w:rPr>
          <w:spacing w:val="-11"/>
          <w:sz w:val="18"/>
          <w:szCs w:val="18"/>
          <w:lang w:val="es-ES_tradnl"/>
        </w:rPr>
        <w:t>los beneficiarios de las acciones de h</w:t>
      </w:r>
      <w:r>
        <w:rPr>
          <w:rFonts w:cs="Times New Roman"/>
          <w:spacing w:val="-11"/>
          <w:sz w:val="18"/>
          <w:szCs w:val="18"/>
          <w:lang w:val="es-ES_tradnl"/>
        </w:rPr>
        <w:t>á</w:t>
      </w:r>
      <w:r>
        <w:rPr>
          <w:spacing w:val="-11"/>
          <w:sz w:val="18"/>
          <w:szCs w:val="18"/>
          <w:lang w:val="es-ES_tradnl"/>
        </w:rPr>
        <w:t xml:space="preserve">beas data, sean estas </w:t>
      </w:r>
      <w:r>
        <w:rPr>
          <w:spacing w:val="-6"/>
          <w:sz w:val="18"/>
          <w:szCs w:val="18"/>
          <w:lang w:val="es-ES_tradnl"/>
        </w:rPr>
        <w:t>personas naturales, particulares o servidores p</w:t>
      </w:r>
      <w:r>
        <w:rPr>
          <w:rFonts w:cs="Times New Roman"/>
          <w:spacing w:val="-6"/>
          <w:sz w:val="18"/>
          <w:szCs w:val="18"/>
          <w:lang w:val="es-ES_tradnl"/>
        </w:rPr>
        <w:t>ú</w:t>
      </w:r>
      <w:r>
        <w:rPr>
          <w:spacing w:val="-6"/>
          <w:sz w:val="18"/>
          <w:szCs w:val="18"/>
          <w:lang w:val="es-ES_tradnl"/>
        </w:rPr>
        <w:t xml:space="preserve">blicos y </w:t>
      </w:r>
      <w:r>
        <w:rPr>
          <w:spacing w:val="-10"/>
          <w:sz w:val="18"/>
          <w:szCs w:val="18"/>
          <w:lang w:val="es-ES_tradnl"/>
        </w:rPr>
        <w:t>personas jur</w:t>
      </w:r>
      <w:r>
        <w:rPr>
          <w:rFonts w:cs="Times New Roman"/>
          <w:spacing w:val="-10"/>
          <w:sz w:val="18"/>
          <w:szCs w:val="18"/>
          <w:lang w:val="es-ES_tradnl"/>
        </w:rPr>
        <w:t>í</w:t>
      </w:r>
      <w:r>
        <w:rPr>
          <w:spacing w:val="-10"/>
          <w:sz w:val="18"/>
          <w:szCs w:val="18"/>
          <w:lang w:val="es-ES_tradnl"/>
        </w:rPr>
        <w:t xml:space="preserve">dicas se encuentran proclives al menoscabo de </w:t>
      </w:r>
      <w:r>
        <w:rPr>
          <w:spacing w:val="-7"/>
          <w:sz w:val="18"/>
          <w:szCs w:val="18"/>
          <w:lang w:val="es-ES_tradnl"/>
        </w:rPr>
        <w:t xml:space="preserve">sus derechos, si es que no se realiza un correcto ejercicio </w:t>
      </w:r>
      <w:r>
        <w:rPr>
          <w:spacing w:val="-6"/>
          <w:sz w:val="18"/>
          <w:szCs w:val="18"/>
          <w:lang w:val="es-ES_tradnl"/>
        </w:rPr>
        <w:t>hermen</w:t>
      </w:r>
      <w:r>
        <w:rPr>
          <w:rFonts w:cs="Times New Roman"/>
          <w:spacing w:val="-6"/>
          <w:sz w:val="18"/>
          <w:szCs w:val="18"/>
          <w:lang w:val="es-ES_tradnl"/>
        </w:rPr>
        <w:t>é</w:t>
      </w:r>
      <w:r>
        <w:rPr>
          <w:spacing w:val="-6"/>
          <w:sz w:val="18"/>
          <w:szCs w:val="18"/>
          <w:lang w:val="es-ES_tradnl"/>
        </w:rPr>
        <w:t>utico de las normas atinentes a la sustanciaci</w:t>
      </w:r>
      <w:r>
        <w:rPr>
          <w:rFonts w:cs="Times New Roman"/>
          <w:spacing w:val="-6"/>
          <w:sz w:val="18"/>
          <w:szCs w:val="18"/>
          <w:lang w:val="es-ES_tradnl"/>
        </w:rPr>
        <w:t>ó</w:t>
      </w:r>
      <w:r>
        <w:rPr>
          <w:spacing w:val="-6"/>
          <w:sz w:val="18"/>
          <w:szCs w:val="18"/>
          <w:lang w:val="es-ES_tradnl"/>
        </w:rPr>
        <w:t>n de esta garant</w:t>
      </w:r>
      <w:r>
        <w:rPr>
          <w:rFonts w:cs="Times New Roman"/>
          <w:spacing w:val="-6"/>
          <w:sz w:val="18"/>
          <w:szCs w:val="18"/>
          <w:lang w:val="es-ES_tradnl"/>
        </w:rPr>
        <w:t>í</w:t>
      </w:r>
      <w:r>
        <w:rPr>
          <w:spacing w:val="-6"/>
          <w:sz w:val="18"/>
          <w:szCs w:val="18"/>
          <w:lang w:val="es-ES_tradnl"/>
        </w:rPr>
        <w:t>a jurisdiccional. Por tal motivo, resolver</w:t>
      </w:r>
      <w:r>
        <w:rPr>
          <w:rFonts w:cs="Times New Roman"/>
          <w:spacing w:val="-6"/>
          <w:sz w:val="18"/>
          <w:szCs w:val="18"/>
          <w:lang w:val="es-ES_tradnl"/>
        </w:rPr>
        <w:t>á</w:t>
      </w:r>
      <w:r>
        <w:rPr>
          <w:spacing w:val="-6"/>
          <w:sz w:val="18"/>
          <w:szCs w:val="18"/>
          <w:lang w:val="es-ES_tradnl"/>
        </w:rPr>
        <w:t xml:space="preserve"> el </w:t>
      </w:r>
      <w:r>
        <w:rPr>
          <w:sz w:val="18"/>
          <w:szCs w:val="18"/>
          <w:lang w:val="es-ES_tradnl"/>
        </w:rPr>
        <w:t>siguiente problema jur</w:t>
      </w:r>
      <w:r>
        <w:rPr>
          <w:rFonts w:cs="Times New Roman"/>
          <w:sz w:val="18"/>
          <w:szCs w:val="18"/>
          <w:lang w:val="es-ES_tradnl"/>
        </w:rPr>
        <w:t>í</w:t>
      </w:r>
      <w:r>
        <w:rPr>
          <w:sz w:val="18"/>
          <w:szCs w:val="18"/>
          <w:lang w:val="es-ES_tradnl"/>
        </w:rPr>
        <w:t>dico:</w:t>
      </w:r>
    </w:p>
    <w:p w14:paraId="4F67AC53" w14:textId="77777777" w:rsidR="00591D54" w:rsidRDefault="00591D54">
      <w:pPr>
        <w:shd w:val="clear" w:color="auto" w:fill="FFFFFF"/>
        <w:spacing w:before="202" w:line="221" w:lineRule="exact"/>
        <w:jc w:val="both"/>
      </w:pPr>
      <w:r>
        <w:rPr>
          <w:rFonts w:cs="Times New Roman"/>
          <w:b/>
          <w:bCs/>
          <w:spacing w:val="-4"/>
          <w:sz w:val="18"/>
          <w:szCs w:val="18"/>
          <w:lang w:val="es-ES_tradnl"/>
        </w:rPr>
        <w:t>¿</w:t>
      </w:r>
      <w:r>
        <w:rPr>
          <w:b/>
          <w:bCs/>
          <w:spacing w:val="-4"/>
          <w:sz w:val="18"/>
          <w:szCs w:val="18"/>
          <w:lang w:val="es-ES_tradnl"/>
        </w:rPr>
        <w:t>Bajo qu</w:t>
      </w:r>
      <w:r>
        <w:rPr>
          <w:rFonts w:cs="Times New Roman"/>
          <w:b/>
          <w:bCs/>
          <w:spacing w:val="-4"/>
          <w:sz w:val="18"/>
          <w:szCs w:val="18"/>
          <w:lang w:val="es-ES_tradnl"/>
        </w:rPr>
        <w:t>é</w:t>
      </w:r>
      <w:r>
        <w:rPr>
          <w:b/>
          <w:bCs/>
          <w:spacing w:val="-4"/>
          <w:sz w:val="18"/>
          <w:szCs w:val="18"/>
          <w:lang w:val="es-ES_tradnl"/>
        </w:rPr>
        <w:t xml:space="preserve"> criterio debe interpretarse la negativa </w:t>
      </w:r>
      <w:r>
        <w:rPr>
          <w:b/>
          <w:bCs/>
          <w:spacing w:val="-6"/>
          <w:sz w:val="18"/>
          <w:szCs w:val="18"/>
          <w:lang w:val="es-ES_tradnl"/>
        </w:rPr>
        <w:t>contenida en el art</w:t>
      </w:r>
      <w:r>
        <w:rPr>
          <w:rFonts w:cs="Times New Roman"/>
          <w:b/>
          <w:bCs/>
          <w:spacing w:val="-6"/>
          <w:sz w:val="18"/>
          <w:szCs w:val="18"/>
          <w:lang w:val="es-ES_tradnl"/>
        </w:rPr>
        <w:t>í</w:t>
      </w:r>
      <w:r>
        <w:rPr>
          <w:b/>
          <w:bCs/>
          <w:spacing w:val="-6"/>
          <w:sz w:val="18"/>
          <w:szCs w:val="18"/>
          <w:lang w:val="es-ES_tradnl"/>
        </w:rPr>
        <w:t xml:space="preserve">culo 50 numerales 1 y 2 de la Ley </w:t>
      </w:r>
      <w:r>
        <w:rPr>
          <w:b/>
          <w:bCs/>
          <w:spacing w:val="-7"/>
          <w:sz w:val="18"/>
          <w:szCs w:val="18"/>
          <w:lang w:val="es-ES_tradnl"/>
        </w:rPr>
        <w:t>Org</w:t>
      </w:r>
      <w:r>
        <w:rPr>
          <w:rFonts w:cs="Times New Roman"/>
          <w:b/>
          <w:bCs/>
          <w:spacing w:val="-7"/>
          <w:sz w:val="18"/>
          <w:szCs w:val="18"/>
          <w:lang w:val="es-ES_tradnl"/>
        </w:rPr>
        <w:t>á</w:t>
      </w:r>
      <w:r>
        <w:rPr>
          <w:b/>
          <w:bCs/>
          <w:spacing w:val="-7"/>
          <w:sz w:val="18"/>
          <w:szCs w:val="18"/>
          <w:lang w:val="es-ES_tradnl"/>
        </w:rPr>
        <w:t>nica de Garant</w:t>
      </w:r>
      <w:r>
        <w:rPr>
          <w:rFonts w:cs="Times New Roman"/>
          <w:b/>
          <w:bCs/>
          <w:spacing w:val="-7"/>
          <w:sz w:val="18"/>
          <w:szCs w:val="18"/>
          <w:lang w:val="es-ES_tradnl"/>
        </w:rPr>
        <w:t>í</w:t>
      </w:r>
      <w:r>
        <w:rPr>
          <w:b/>
          <w:bCs/>
          <w:spacing w:val="-7"/>
          <w:sz w:val="18"/>
          <w:szCs w:val="18"/>
          <w:lang w:val="es-ES_tradnl"/>
        </w:rPr>
        <w:t xml:space="preserve">as Jurisdiccionales y Control </w:t>
      </w:r>
      <w:r>
        <w:rPr>
          <w:b/>
          <w:bCs/>
          <w:spacing w:val="-11"/>
          <w:sz w:val="18"/>
          <w:szCs w:val="18"/>
          <w:lang w:val="es-ES_tradnl"/>
        </w:rPr>
        <w:t xml:space="preserve">Constitucional como presupuesto de procedencia de la </w:t>
      </w:r>
      <w:r>
        <w:rPr>
          <w:b/>
          <w:bCs/>
          <w:sz w:val="18"/>
          <w:szCs w:val="18"/>
          <w:lang w:val="es-ES_tradnl"/>
        </w:rPr>
        <w:t>acci</w:t>
      </w:r>
      <w:r>
        <w:rPr>
          <w:rFonts w:cs="Times New Roman"/>
          <w:b/>
          <w:bCs/>
          <w:sz w:val="18"/>
          <w:szCs w:val="18"/>
          <w:lang w:val="es-ES_tradnl"/>
        </w:rPr>
        <w:t>ó</w:t>
      </w:r>
      <w:r>
        <w:rPr>
          <w:b/>
          <w:bCs/>
          <w:sz w:val="18"/>
          <w:szCs w:val="18"/>
          <w:lang w:val="es-ES_tradnl"/>
        </w:rPr>
        <w:t>n de h</w:t>
      </w:r>
      <w:r>
        <w:rPr>
          <w:rFonts w:cs="Times New Roman"/>
          <w:b/>
          <w:bCs/>
          <w:sz w:val="18"/>
          <w:szCs w:val="18"/>
          <w:lang w:val="es-ES_tradnl"/>
        </w:rPr>
        <w:t>á</w:t>
      </w:r>
      <w:r>
        <w:rPr>
          <w:b/>
          <w:bCs/>
          <w:sz w:val="18"/>
          <w:szCs w:val="18"/>
          <w:lang w:val="es-ES_tradnl"/>
        </w:rPr>
        <w:t>beas data?</w:t>
      </w:r>
    </w:p>
    <w:p w14:paraId="4F67AC54" w14:textId="77777777" w:rsidR="00591D54" w:rsidRDefault="00591D54">
      <w:pPr>
        <w:shd w:val="clear" w:color="auto" w:fill="FFFFFF"/>
        <w:spacing w:before="202" w:line="221" w:lineRule="exact"/>
        <w:jc w:val="both"/>
      </w:pPr>
      <w:r>
        <w:rPr>
          <w:spacing w:val="-8"/>
          <w:sz w:val="18"/>
          <w:szCs w:val="18"/>
          <w:lang w:val="es-ES_tradnl"/>
        </w:rPr>
        <w:t>La Constituci</w:t>
      </w:r>
      <w:r>
        <w:rPr>
          <w:rFonts w:cs="Times New Roman"/>
          <w:spacing w:val="-8"/>
          <w:sz w:val="18"/>
          <w:szCs w:val="18"/>
          <w:lang w:val="es-ES_tradnl"/>
        </w:rPr>
        <w:t>ó</w:t>
      </w:r>
      <w:r>
        <w:rPr>
          <w:spacing w:val="-8"/>
          <w:sz w:val="18"/>
          <w:szCs w:val="18"/>
          <w:lang w:val="es-ES_tradnl"/>
        </w:rPr>
        <w:t>n de la Rep</w:t>
      </w:r>
      <w:r>
        <w:rPr>
          <w:rFonts w:cs="Times New Roman"/>
          <w:spacing w:val="-8"/>
          <w:sz w:val="18"/>
          <w:szCs w:val="18"/>
          <w:lang w:val="es-ES_tradnl"/>
        </w:rPr>
        <w:t>ú</w:t>
      </w:r>
      <w:r>
        <w:rPr>
          <w:spacing w:val="-8"/>
          <w:sz w:val="18"/>
          <w:szCs w:val="18"/>
          <w:lang w:val="es-ES_tradnl"/>
        </w:rPr>
        <w:t>blica en su condici</w:t>
      </w:r>
      <w:r>
        <w:rPr>
          <w:rFonts w:cs="Times New Roman"/>
          <w:spacing w:val="-8"/>
          <w:sz w:val="18"/>
          <w:szCs w:val="18"/>
          <w:lang w:val="es-ES_tradnl"/>
        </w:rPr>
        <w:t>ó</w:t>
      </w:r>
      <w:r>
        <w:rPr>
          <w:spacing w:val="-8"/>
          <w:sz w:val="18"/>
          <w:szCs w:val="18"/>
          <w:lang w:val="es-ES_tradnl"/>
        </w:rPr>
        <w:t xml:space="preserve">n de Norma </w:t>
      </w:r>
      <w:r>
        <w:rPr>
          <w:spacing w:val="-3"/>
          <w:sz w:val="18"/>
          <w:szCs w:val="18"/>
          <w:lang w:val="es-ES_tradnl"/>
        </w:rPr>
        <w:t>Fundamental del Estado, consagra un amplio cat</w:t>
      </w:r>
      <w:r>
        <w:rPr>
          <w:rFonts w:cs="Times New Roman"/>
          <w:spacing w:val="-3"/>
          <w:sz w:val="18"/>
          <w:szCs w:val="18"/>
          <w:lang w:val="es-ES_tradnl"/>
        </w:rPr>
        <w:t>á</w:t>
      </w:r>
      <w:r>
        <w:rPr>
          <w:spacing w:val="-3"/>
          <w:sz w:val="18"/>
          <w:szCs w:val="18"/>
          <w:lang w:val="es-ES_tradnl"/>
        </w:rPr>
        <w:t xml:space="preserve">logo </w:t>
      </w:r>
      <w:r>
        <w:rPr>
          <w:spacing w:val="-9"/>
          <w:sz w:val="18"/>
          <w:szCs w:val="18"/>
          <w:lang w:val="es-ES_tradnl"/>
        </w:rPr>
        <w:t xml:space="preserve">de derechos que determina las condiciones en las que se </w:t>
      </w:r>
      <w:r>
        <w:rPr>
          <w:spacing w:val="-8"/>
          <w:sz w:val="18"/>
          <w:szCs w:val="18"/>
          <w:lang w:val="es-ES_tradnl"/>
        </w:rPr>
        <w:t>desarrolla y se establece el respeto de la dignidad de las personas. Las disposiciones contenidas en el cat</w:t>
      </w:r>
      <w:r>
        <w:rPr>
          <w:rFonts w:cs="Times New Roman"/>
          <w:spacing w:val="-8"/>
          <w:sz w:val="18"/>
          <w:szCs w:val="18"/>
          <w:lang w:val="es-ES_tradnl"/>
        </w:rPr>
        <w:t>á</w:t>
      </w:r>
      <w:r>
        <w:rPr>
          <w:spacing w:val="-8"/>
          <w:sz w:val="18"/>
          <w:szCs w:val="18"/>
          <w:lang w:val="es-ES_tradnl"/>
        </w:rPr>
        <w:t xml:space="preserve">logo de </w:t>
      </w:r>
      <w:r>
        <w:rPr>
          <w:spacing w:val="-4"/>
          <w:sz w:val="18"/>
          <w:szCs w:val="18"/>
          <w:lang w:val="es-ES_tradnl"/>
        </w:rPr>
        <w:t xml:space="preserve">derechos constituye un elemento fundamental que tiene </w:t>
      </w:r>
      <w:r>
        <w:rPr>
          <w:spacing w:val="-7"/>
          <w:sz w:val="18"/>
          <w:szCs w:val="18"/>
          <w:lang w:val="es-ES_tradnl"/>
        </w:rPr>
        <w:t xml:space="preserve">la persona para protegerse frente a la arbitrariedad de la </w:t>
      </w:r>
      <w:r>
        <w:rPr>
          <w:spacing w:val="-8"/>
          <w:sz w:val="18"/>
          <w:szCs w:val="18"/>
          <w:lang w:val="es-ES_tradnl"/>
        </w:rPr>
        <w:t>autoridad o de las personas que ostentan alguna condici</w:t>
      </w:r>
      <w:r>
        <w:rPr>
          <w:rFonts w:cs="Times New Roman"/>
          <w:spacing w:val="-8"/>
          <w:sz w:val="18"/>
          <w:szCs w:val="18"/>
          <w:lang w:val="es-ES_tradnl"/>
        </w:rPr>
        <w:t>ó</w:t>
      </w:r>
      <w:r>
        <w:rPr>
          <w:spacing w:val="-8"/>
          <w:sz w:val="18"/>
          <w:szCs w:val="18"/>
          <w:lang w:val="es-ES_tradnl"/>
        </w:rPr>
        <w:t xml:space="preserve">n </w:t>
      </w:r>
      <w:r>
        <w:rPr>
          <w:sz w:val="18"/>
          <w:szCs w:val="18"/>
          <w:lang w:val="es-ES_tradnl"/>
        </w:rPr>
        <w:t>de poder.</w:t>
      </w:r>
    </w:p>
    <w:p w14:paraId="4F67AC55" w14:textId="77777777" w:rsidR="00591D54" w:rsidRDefault="00591D54">
      <w:pPr>
        <w:shd w:val="clear" w:color="auto" w:fill="FFFFFF"/>
        <w:spacing w:before="206" w:line="221" w:lineRule="exact"/>
        <w:jc w:val="both"/>
      </w:pPr>
      <w:r>
        <w:rPr>
          <w:spacing w:val="-7"/>
          <w:sz w:val="18"/>
          <w:szCs w:val="18"/>
          <w:lang w:val="es-ES_tradnl"/>
        </w:rPr>
        <w:t>Las garant</w:t>
      </w:r>
      <w:r>
        <w:rPr>
          <w:rFonts w:cs="Times New Roman"/>
          <w:spacing w:val="-7"/>
          <w:sz w:val="18"/>
          <w:szCs w:val="18"/>
          <w:lang w:val="es-ES_tradnl"/>
        </w:rPr>
        <w:t>í</w:t>
      </w:r>
      <w:r>
        <w:rPr>
          <w:spacing w:val="-7"/>
          <w:sz w:val="18"/>
          <w:szCs w:val="18"/>
          <w:lang w:val="es-ES_tradnl"/>
        </w:rPr>
        <w:t xml:space="preserve">as jurisdiccionales constitucionales son las </w:t>
      </w:r>
      <w:r>
        <w:rPr>
          <w:spacing w:val="-6"/>
          <w:sz w:val="18"/>
          <w:szCs w:val="18"/>
          <w:lang w:val="es-ES_tradnl"/>
        </w:rPr>
        <w:t xml:space="preserve">herramientas que el propio ordenamiento constitucional </w:t>
      </w:r>
      <w:r>
        <w:rPr>
          <w:spacing w:val="-7"/>
          <w:sz w:val="18"/>
          <w:szCs w:val="18"/>
          <w:lang w:val="es-ES_tradnl"/>
        </w:rPr>
        <w:t>establece para poder concretizar y efectivizar el contenido de los derechos consagrados en la Carta Magna. As</w:t>
      </w:r>
      <w:r>
        <w:rPr>
          <w:rFonts w:cs="Times New Roman"/>
          <w:spacing w:val="-7"/>
          <w:sz w:val="18"/>
          <w:szCs w:val="18"/>
          <w:lang w:val="es-ES_tradnl"/>
        </w:rPr>
        <w:t>í</w:t>
      </w:r>
      <w:r>
        <w:rPr>
          <w:spacing w:val="-7"/>
          <w:sz w:val="18"/>
          <w:szCs w:val="18"/>
          <w:lang w:val="es-ES_tradnl"/>
        </w:rPr>
        <w:t xml:space="preserve">, en </w:t>
      </w:r>
      <w:r>
        <w:rPr>
          <w:spacing w:val="-6"/>
          <w:sz w:val="18"/>
          <w:szCs w:val="18"/>
          <w:lang w:val="es-ES_tradnl"/>
        </w:rPr>
        <w:t>este contexto, las garant</w:t>
      </w:r>
      <w:r>
        <w:rPr>
          <w:rFonts w:cs="Times New Roman"/>
          <w:spacing w:val="-6"/>
          <w:sz w:val="18"/>
          <w:szCs w:val="18"/>
          <w:lang w:val="es-ES_tradnl"/>
        </w:rPr>
        <w:t>í</w:t>
      </w:r>
      <w:r>
        <w:rPr>
          <w:spacing w:val="-6"/>
          <w:sz w:val="18"/>
          <w:szCs w:val="18"/>
          <w:lang w:val="es-ES_tradnl"/>
        </w:rPr>
        <w:t xml:space="preserve">as jurisdiccionales constituyen </w:t>
      </w:r>
      <w:r>
        <w:rPr>
          <w:spacing w:val="-7"/>
          <w:sz w:val="18"/>
          <w:szCs w:val="18"/>
          <w:lang w:val="es-ES_tradnl"/>
        </w:rPr>
        <w:t xml:space="preserve">mecanismos judiciales mediante los cuales la justicia </w:t>
      </w:r>
      <w:r>
        <w:rPr>
          <w:spacing w:val="-3"/>
          <w:sz w:val="18"/>
          <w:szCs w:val="18"/>
          <w:lang w:val="es-ES_tradnl"/>
        </w:rPr>
        <w:t>constitucional protege, cesa o impide la vulneraci</w:t>
      </w:r>
      <w:r>
        <w:rPr>
          <w:rFonts w:cs="Times New Roman"/>
          <w:spacing w:val="-3"/>
          <w:sz w:val="18"/>
          <w:szCs w:val="18"/>
          <w:lang w:val="es-ES_tradnl"/>
        </w:rPr>
        <w:t>ó</w:t>
      </w:r>
      <w:r>
        <w:rPr>
          <w:spacing w:val="-3"/>
          <w:sz w:val="18"/>
          <w:szCs w:val="18"/>
          <w:lang w:val="es-ES_tradnl"/>
        </w:rPr>
        <w:t xml:space="preserve">n de </w:t>
      </w:r>
      <w:r>
        <w:rPr>
          <w:spacing w:val="-6"/>
          <w:sz w:val="18"/>
          <w:szCs w:val="18"/>
          <w:lang w:val="es-ES_tradnl"/>
        </w:rPr>
        <w:t>los derechos. De all</w:t>
      </w:r>
      <w:r>
        <w:rPr>
          <w:rFonts w:cs="Times New Roman"/>
          <w:spacing w:val="-6"/>
          <w:sz w:val="18"/>
          <w:szCs w:val="18"/>
          <w:lang w:val="es-ES_tradnl"/>
        </w:rPr>
        <w:t>í</w:t>
      </w:r>
      <w:r>
        <w:rPr>
          <w:spacing w:val="-6"/>
          <w:sz w:val="18"/>
          <w:szCs w:val="18"/>
          <w:lang w:val="es-ES_tradnl"/>
        </w:rPr>
        <w:t xml:space="preserve"> que radica la importancia de estas </w:t>
      </w:r>
      <w:r>
        <w:rPr>
          <w:spacing w:val="-10"/>
          <w:sz w:val="18"/>
          <w:szCs w:val="18"/>
          <w:lang w:val="es-ES_tradnl"/>
        </w:rPr>
        <w:t xml:space="preserve">herramientas para dotar de eficacia a los derechos y de esa </w:t>
      </w:r>
      <w:r>
        <w:rPr>
          <w:spacing w:val="-7"/>
          <w:sz w:val="18"/>
          <w:szCs w:val="18"/>
          <w:lang w:val="es-ES_tradnl"/>
        </w:rPr>
        <w:t xml:space="preserve">forma, permitir la plena vigencia del Estado de derechos y </w:t>
      </w:r>
      <w:r>
        <w:rPr>
          <w:spacing w:val="-6"/>
          <w:sz w:val="18"/>
          <w:szCs w:val="18"/>
          <w:lang w:val="es-ES_tradnl"/>
        </w:rPr>
        <w:t>justicia que implanta el marco constitucional.</w:t>
      </w:r>
    </w:p>
    <w:p w14:paraId="4F67AC56" w14:textId="77777777" w:rsidR="00591D54" w:rsidRDefault="00591D54">
      <w:pPr>
        <w:shd w:val="clear" w:color="auto" w:fill="FFFFFF"/>
        <w:spacing w:before="206" w:line="221" w:lineRule="exact"/>
        <w:jc w:val="both"/>
        <w:sectPr w:rsidR="00591D54">
          <w:type w:val="continuous"/>
          <w:pgSz w:w="11909" w:h="16834"/>
          <w:pgMar w:top="1356" w:right="1309" w:bottom="360" w:left="1308" w:header="720" w:footer="720" w:gutter="0"/>
          <w:cols w:num="2" w:space="720" w:equalWidth="0">
            <w:col w:w="4305" w:space="682"/>
            <w:col w:w="4305"/>
          </w:cols>
          <w:noEndnote/>
        </w:sectPr>
      </w:pPr>
    </w:p>
    <w:p w14:paraId="4F67AC57" w14:textId="77777777" w:rsidR="00591D54" w:rsidRDefault="00591D54">
      <w:pPr>
        <w:shd w:val="clear" w:color="auto" w:fill="FFFFFF"/>
        <w:tabs>
          <w:tab w:val="left" w:pos="4814"/>
        </w:tabs>
        <w:spacing w:after="235"/>
        <w:ind w:left="14"/>
      </w:pPr>
      <w:r>
        <w:rPr>
          <w:b/>
          <w:bCs/>
          <w:sz w:val="18"/>
          <w:szCs w:val="18"/>
          <w:lang w:val="es-ES_tradnl"/>
        </w:rPr>
        <w:t xml:space="preserve">108 -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C58" w14:textId="77777777" w:rsidR="00591D54" w:rsidRDefault="00591D54">
      <w:pPr>
        <w:shd w:val="clear" w:color="auto" w:fill="FFFFFF"/>
        <w:tabs>
          <w:tab w:val="left" w:pos="4814"/>
        </w:tabs>
        <w:spacing w:after="235"/>
        <w:ind w:left="14"/>
        <w:sectPr w:rsidR="00591D54">
          <w:pgSz w:w="11909" w:h="16834"/>
          <w:pgMar w:top="1356" w:right="1309" w:bottom="360" w:left="1308" w:header="720" w:footer="720" w:gutter="0"/>
          <w:cols w:space="60"/>
          <w:noEndnote/>
        </w:sectPr>
      </w:pPr>
    </w:p>
    <w:p w14:paraId="4F67AC59" w14:textId="77777777" w:rsidR="00591D54" w:rsidRDefault="00591D54">
      <w:pPr>
        <w:shd w:val="clear" w:color="auto" w:fill="FFFFFF"/>
        <w:spacing w:line="216" w:lineRule="exact"/>
        <w:jc w:val="both"/>
      </w:pPr>
      <w:r>
        <w:rPr>
          <w:spacing w:val="-7"/>
          <w:sz w:val="18"/>
          <w:szCs w:val="18"/>
          <w:lang w:val="es-ES_tradnl"/>
        </w:rPr>
        <w:t>En el caso de la acci</w:t>
      </w:r>
      <w:r>
        <w:rPr>
          <w:rFonts w:cs="Times New Roman"/>
          <w:spacing w:val="-7"/>
          <w:sz w:val="18"/>
          <w:szCs w:val="18"/>
          <w:lang w:val="es-ES_tradnl"/>
        </w:rPr>
        <w:t>ó</w:t>
      </w:r>
      <w:r>
        <w:rPr>
          <w:spacing w:val="-7"/>
          <w:sz w:val="18"/>
          <w:szCs w:val="18"/>
          <w:lang w:val="es-ES_tradnl"/>
        </w:rPr>
        <w:t>n constitucional de h</w:t>
      </w:r>
      <w:r>
        <w:rPr>
          <w:rFonts w:cs="Times New Roman"/>
          <w:spacing w:val="-7"/>
          <w:sz w:val="18"/>
          <w:szCs w:val="18"/>
          <w:lang w:val="es-ES_tradnl"/>
        </w:rPr>
        <w:t>á</w:t>
      </w:r>
      <w:r>
        <w:rPr>
          <w:spacing w:val="-7"/>
          <w:sz w:val="18"/>
          <w:szCs w:val="18"/>
          <w:lang w:val="es-ES_tradnl"/>
        </w:rPr>
        <w:t xml:space="preserve">beas data, en </w:t>
      </w:r>
      <w:r>
        <w:rPr>
          <w:spacing w:val="-6"/>
          <w:sz w:val="18"/>
          <w:szCs w:val="18"/>
          <w:lang w:val="es-ES_tradnl"/>
        </w:rPr>
        <w:t>atenci</w:t>
      </w:r>
      <w:r>
        <w:rPr>
          <w:rFonts w:cs="Times New Roman"/>
          <w:spacing w:val="-6"/>
          <w:sz w:val="18"/>
          <w:szCs w:val="18"/>
          <w:lang w:val="es-ES_tradnl"/>
        </w:rPr>
        <w:t>ó</w:t>
      </w:r>
      <w:r>
        <w:rPr>
          <w:spacing w:val="-6"/>
          <w:sz w:val="18"/>
          <w:szCs w:val="18"/>
          <w:lang w:val="es-ES_tradnl"/>
        </w:rPr>
        <w:t xml:space="preserve">n a su naturaleza, contenido y alcance </w:t>
      </w:r>
      <w:r>
        <w:rPr>
          <w:rFonts w:ascii="Arial Unicode MS" w:eastAsia="Arial Unicode MS" w:cs="Arial Unicode MS" w:hint="eastAsia"/>
          <w:spacing w:val="-6"/>
          <w:sz w:val="18"/>
          <w:szCs w:val="18"/>
          <w:lang w:val="es-ES_tradnl"/>
        </w:rPr>
        <w:t>‒</w:t>
      </w:r>
      <w:r>
        <w:rPr>
          <w:spacing w:val="-6"/>
          <w:sz w:val="18"/>
          <w:szCs w:val="18"/>
          <w:lang w:val="es-ES_tradnl"/>
        </w:rPr>
        <w:t xml:space="preserve">conforme </w:t>
      </w:r>
      <w:r>
        <w:rPr>
          <w:spacing w:val="-4"/>
          <w:sz w:val="18"/>
          <w:szCs w:val="18"/>
          <w:lang w:val="es-ES_tradnl"/>
        </w:rPr>
        <w:t>a la explicaci</w:t>
      </w:r>
      <w:r>
        <w:rPr>
          <w:rFonts w:cs="Times New Roman"/>
          <w:spacing w:val="-4"/>
          <w:sz w:val="18"/>
          <w:szCs w:val="18"/>
          <w:lang w:val="es-ES_tradnl"/>
        </w:rPr>
        <w:t>ó</w:t>
      </w:r>
      <w:r>
        <w:rPr>
          <w:spacing w:val="-4"/>
          <w:sz w:val="18"/>
          <w:szCs w:val="18"/>
          <w:lang w:val="es-ES_tradnl"/>
        </w:rPr>
        <w:t xml:space="preserve">n </w:t>
      </w:r>
      <w:r>
        <w:rPr>
          <w:i/>
          <w:iCs/>
          <w:spacing w:val="-4"/>
          <w:sz w:val="18"/>
          <w:szCs w:val="18"/>
          <w:lang w:val="es-ES_tradnl"/>
        </w:rPr>
        <w:t>ut supra</w:t>
      </w:r>
      <w:r>
        <w:rPr>
          <w:rFonts w:ascii="Arial Unicode MS" w:eastAsia="Arial Unicode MS" w:cs="Arial Unicode MS" w:hint="eastAsia"/>
          <w:spacing w:val="-4"/>
          <w:sz w:val="18"/>
          <w:szCs w:val="18"/>
          <w:lang w:val="es-ES_tradnl"/>
        </w:rPr>
        <w:t>‒</w:t>
      </w:r>
      <w:r>
        <w:rPr>
          <w:spacing w:val="-4"/>
          <w:sz w:val="18"/>
          <w:szCs w:val="18"/>
          <w:lang w:val="es-ES_tradnl"/>
        </w:rPr>
        <w:t xml:space="preserve"> tiene como funci</w:t>
      </w:r>
      <w:r>
        <w:rPr>
          <w:rFonts w:cs="Times New Roman"/>
          <w:spacing w:val="-4"/>
          <w:sz w:val="18"/>
          <w:szCs w:val="18"/>
          <w:lang w:val="es-ES_tradnl"/>
        </w:rPr>
        <w:t>ó</w:t>
      </w:r>
      <w:r>
        <w:rPr>
          <w:spacing w:val="-4"/>
          <w:sz w:val="18"/>
          <w:szCs w:val="18"/>
          <w:lang w:val="es-ES_tradnl"/>
        </w:rPr>
        <w:t xml:space="preserve">n garantizar </w:t>
      </w:r>
      <w:r>
        <w:rPr>
          <w:spacing w:val="-9"/>
          <w:sz w:val="18"/>
          <w:szCs w:val="18"/>
          <w:lang w:val="es-ES_tradnl"/>
        </w:rPr>
        <w:t>el derecho de las personas a la protecci</w:t>
      </w:r>
      <w:r>
        <w:rPr>
          <w:rFonts w:cs="Times New Roman"/>
          <w:spacing w:val="-9"/>
          <w:sz w:val="18"/>
          <w:szCs w:val="18"/>
          <w:lang w:val="es-ES_tradnl"/>
        </w:rPr>
        <w:t>ó</w:t>
      </w:r>
      <w:r>
        <w:rPr>
          <w:spacing w:val="-9"/>
          <w:sz w:val="18"/>
          <w:szCs w:val="18"/>
          <w:lang w:val="es-ES_tradnl"/>
        </w:rPr>
        <w:t xml:space="preserve">n de sus datos de </w:t>
      </w:r>
      <w:r>
        <w:rPr>
          <w:rFonts w:cs="Times New Roman"/>
          <w:spacing w:val="-6"/>
          <w:sz w:val="18"/>
          <w:szCs w:val="18"/>
          <w:lang w:val="es-ES_tradnl"/>
        </w:rPr>
        <w:t>í</w:t>
      </w:r>
      <w:r>
        <w:rPr>
          <w:spacing w:val="-6"/>
          <w:sz w:val="18"/>
          <w:szCs w:val="18"/>
          <w:lang w:val="es-ES_tradnl"/>
        </w:rPr>
        <w:t>ndole personal a trav</w:t>
      </w:r>
      <w:r>
        <w:rPr>
          <w:rFonts w:cs="Times New Roman"/>
          <w:spacing w:val="-6"/>
          <w:sz w:val="18"/>
          <w:szCs w:val="18"/>
          <w:lang w:val="es-ES_tradnl"/>
        </w:rPr>
        <w:t>é</w:t>
      </w:r>
      <w:r>
        <w:rPr>
          <w:spacing w:val="-6"/>
          <w:sz w:val="18"/>
          <w:szCs w:val="18"/>
          <w:lang w:val="es-ES_tradnl"/>
        </w:rPr>
        <w:t>s del acceso, decisi</w:t>
      </w:r>
      <w:r>
        <w:rPr>
          <w:rFonts w:cs="Times New Roman"/>
          <w:spacing w:val="-6"/>
          <w:sz w:val="18"/>
          <w:szCs w:val="18"/>
          <w:lang w:val="es-ES_tradnl"/>
        </w:rPr>
        <w:t>ó</w:t>
      </w:r>
      <w:r>
        <w:rPr>
          <w:spacing w:val="-6"/>
          <w:sz w:val="18"/>
          <w:szCs w:val="18"/>
          <w:lang w:val="es-ES_tradnl"/>
        </w:rPr>
        <w:t>n respecto de su utilizaci</w:t>
      </w:r>
      <w:r>
        <w:rPr>
          <w:rFonts w:cs="Times New Roman"/>
          <w:spacing w:val="-6"/>
          <w:sz w:val="18"/>
          <w:szCs w:val="18"/>
          <w:lang w:val="es-ES_tradnl"/>
        </w:rPr>
        <w:t>ó</w:t>
      </w:r>
      <w:r>
        <w:rPr>
          <w:spacing w:val="-6"/>
          <w:sz w:val="18"/>
          <w:szCs w:val="18"/>
          <w:lang w:val="es-ES_tradnl"/>
        </w:rPr>
        <w:t>n, rectificaci</w:t>
      </w:r>
      <w:r>
        <w:rPr>
          <w:rFonts w:cs="Times New Roman"/>
          <w:spacing w:val="-6"/>
          <w:sz w:val="18"/>
          <w:szCs w:val="18"/>
          <w:lang w:val="es-ES_tradnl"/>
        </w:rPr>
        <w:t>ó</w:t>
      </w:r>
      <w:r>
        <w:rPr>
          <w:spacing w:val="-6"/>
          <w:sz w:val="18"/>
          <w:szCs w:val="18"/>
          <w:lang w:val="es-ES_tradnl"/>
        </w:rPr>
        <w:t>n, anulaci</w:t>
      </w:r>
      <w:r>
        <w:rPr>
          <w:rFonts w:cs="Times New Roman"/>
          <w:spacing w:val="-6"/>
          <w:sz w:val="18"/>
          <w:szCs w:val="18"/>
          <w:lang w:val="es-ES_tradnl"/>
        </w:rPr>
        <w:t>ó</w:t>
      </w:r>
      <w:r>
        <w:rPr>
          <w:spacing w:val="-6"/>
          <w:sz w:val="18"/>
          <w:szCs w:val="18"/>
          <w:lang w:val="es-ES_tradnl"/>
        </w:rPr>
        <w:t>n o su eliminaci</w:t>
      </w:r>
      <w:r>
        <w:rPr>
          <w:rFonts w:cs="Times New Roman"/>
          <w:spacing w:val="-6"/>
          <w:sz w:val="18"/>
          <w:szCs w:val="18"/>
          <w:lang w:val="es-ES_tradnl"/>
        </w:rPr>
        <w:t>ó</w:t>
      </w:r>
      <w:r>
        <w:rPr>
          <w:spacing w:val="-6"/>
          <w:sz w:val="18"/>
          <w:szCs w:val="18"/>
          <w:lang w:val="es-ES_tradnl"/>
        </w:rPr>
        <w:t>n. El contenido de lo que respecta a la informaci</w:t>
      </w:r>
      <w:r>
        <w:rPr>
          <w:rFonts w:cs="Times New Roman"/>
          <w:spacing w:val="-6"/>
          <w:sz w:val="18"/>
          <w:szCs w:val="18"/>
          <w:lang w:val="es-ES_tradnl"/>
        </w:rPr>
        <w:t>ó</w:t>
      </w:r>
      <w:r>
        <w:rPr>
          <w:spacing w:val="-6"/>
          <w:sz w:val="18"/>
          <w:szCs w:val="18"/>
          <w:lang w:val="es-ES_tradnl"/>
        </w:rPr>
        <w:t>n personal</w:t>
      </w:r>
      <w:r>
        <w:rPr>
          <w:spacing w:val="-6"/>
          <w:sz w:val="18"/>
          <w:szCs w:val="18"/>
          <w:vertAlign w:val="superscript"/>
          <w:lang w:val="es-ES_tradnl"/>
        </w:rPr>
        <w:t xml:space="preserve">15 </w:t>
      </w:r>
      <w:r>
        <w:rPr>
          <w:spacing w:val="-7"/>
          <w:sz w:val="18"/>
          <w:szCs w:val="18"/>
          <w:lang w:val="es-ES_tradnl"/>
        </w:rPr>
        <w:t>se refiere a aqu</w:t>
      </w:r>
      <w:r>
        <w:rPr>
          <w:rFonts w:cs="Times New Roman"/>
          <w:spacing w:val="-7"/>
          <w:sz w:val="18"/>
          <w:szCs w:val="18"/>
          <w:lang w:val="es-ES_tradnl"/>
        </w:rPr>
        <w:t>é</w:t>
      </w:r>
      <w:r>
        <w:rPr>
          <w:spacing w:val="-7"/>
          <w:sz w:val="18"/>
          <w:szCs w:val="18"/>
          <w:lang w:val="es-ES_tradnl"/>
        </w:rPr>
        <w:t>lla que reposa en soporte material o electr</w:t>
      </w:r>
      <w:r>
        <w:rPr>
          <w:rFonts w:cs="Times New Roman"/>
          <w:spacing w:val="-7"/>
          <w:sz w:val="18"/>
          <w:szCs w:val="18"/>
          <w:lang w:val="es-ES_tradnl"/>
        </w:rPr>
        <w:t>ó</w:t>
      </w:r>
      <w:r>
        <w:rPr>
          <w:spacing w:val="-7"/>
          <w:sz w:val="18"/>
          <w:szCs w:val="18"/>
          <w:lang w:val="es-ES_tradnl"/>
        </w:rPr>
        <w:t>nico en registros de personas naturales o jur</w:t>
      </w:r>
      <w:r>
        <w:rPr>
          <w:rFonts w:cs="Times New Roman"/>
          <w:spacing w:val="-7"/>
          <w:sz w:val="18"/>
          <w:szCs w:val="18"/>
          <w:lang w:val="es-ES_tradnl"/>
        </w:rPr>
        <w:t>í</w:t>
      </w:r>
      <w:r>
        <w:rPr>
          <w:spacing w:val="-7"/>
          <w:sz w:val="18"/>
          <w:szCs w:val="18"/>
          <w:lang w:val="es-ES_tradnl"/>
        </w:rPr>
        <w:t xml:space="preserve">dicas </w:t>
      </w:r>
      <w:r>
        <w:rPr>
          <w:sz w:val="18"/>
          <w:szCs w:val="18"/>
          <w:lang w:val="es-ES_tradnl"/>
        </w:rPr>
        <w:t>p</w:t>
      </w:r>
      <w:r>
        <w:rPr>
          <w:rFonts w:cs="Times New Roman"/>
          <w:sz w:val="18"/>
          <w:szCs w:val="18"/>
          <w:lang w:val="es-ES_tradnl"/>
        </w:rPr>
        <w:t>ú</w:t>
      </w:r>
      <w:r>
        <w:rPr>
          <w:sz w:val="18"/>
          <w:szCs w:val="18"/>
          <w:lang w:val="es-ES_tradnl"/>
        </w:rPr>
        <w:t>blicas o privadas.</w:t>
      </w:r>
    </w:p>
    <w:p w14:paraId="4F67AC5A" w14:textId="77777777" w:rsidR="00591D54" w:rsidRDefault="00591D54">
      <w:pPr>
        <w:shd w:val="clear" w:color="auto" w:fill="FFFFFF"/>
        <w:spacing w:before="197" w:line="216" w:lineRule="exact"/>
        <w:ind w:right="5"/>
        <w:jc w:val="both"/>
      </w:pPr>
      <w:r>
        <w:rPr>
          <w:spacing w:val="-4"/>
          <w:sz w:val="18"/>
          <w:szCs w:val="18"/>
          <w:lang w:val="es-ES_tradnl"/>
        </w:rPr>
        <w:t>En lo que respecta a la procedibilidad de la acci</w:t>
      </w:r>
      <w:r>
        <w:rPr>
          <w:rFonts w:cs="Times New Roman"/>
          <w:spacing w:val="-4"/>
          <w:sz w:val="18"/>
          <w:szCs w:val="18"/>
          <w:lang w:val="es-ES_tradnl"/>
        </w:rPr>
        <w:t>ó</w:t>
      </w:r>
      <w:r>
        <w:rPr>
          <w:spacing w:val="-4"/>
          <w:sz w:val="18"/>
          <w:szCs w:val="18"/>
          <w:lang w:val="es-ES_tradnl"/>
        </w:rPr>
        <w:t xml:space="preserve">n de </w:t>
      </w:r>
      <w:r>
        <w:rPr>
          <w:spacing w:val="-9"/>
          <w:sz w:val="18"/>
          <w:szCs w:val="18"/>
          <w:lang w:val="es-ES_tradnl"/>
        </w:rPr>
        <w:t>h</w:t>
      </w:r>
      <w:r>
        <w:rPr>
          <w:rFonts w:cs="Times New Roman"/>
          <w:spacing w:val="-9"/>
          <w:sz w:val="18"/>
          <w:szCs w:val="18"/>
          <w:lang w:val="es-ES_tradnl"/>
        </w:rPr>
        <w:t>á</w:t>
      </w:r>
      <w:r>
        <w:rPr>
          <w:spacing w:val="-9"/>
          <w:sz w:val="18"/>
          <w:szCs w:val="18"/>
          <w:lang w:val="es-ES_tradnl"/>
        </w:rPr>
        <w:t>beas data, la Ley Org</w:t>
      </w:r>
      <w:r>
        <w:rPr>
          <w:rFonts w:cs="Times New Roman"/>
          <w:spacing w:val="-9"/>
          <w:sz w:val="18"/>
          <w:szCs w:val="18"/>
          <w:lang w:val="es-ES_tradnl"/>
        </w:rPr>
        <w:t>á</w:t>
      </w:r>
      <w:r>
        <w:rPr>
          <w:spacing w:val="-9"/>
          <w:sz w:val="18"/>
          <w:szCs w:val="18"/>
          <w:lang w:val="es-ES_tradnl"/>
        </w:rPr>
        <w:t>nica de Garant</w:t>
      </w:r>
      <w:r>
        <w:rPr>
          <w:rFonts w:cs="Times New Roman"/>
          <w:spacing w:val="-9"/>
          <w:sz w:val="18"/>
          <w:szCs w:val="18"/>
          <w:lang w:val="es-ES_tradnl"/>
        </w:rPr>
        <w:t>í</w:t>
      </w:r>
      <w:r>
        <w:rPr>
          <w:spacing w:val="-9"/>
          <w:sz w:val="18"/>
          <w:szCs w:val="18"/>
          <w:lang w:val="es-ES_tradnl"/>
        </w:rPr>
        <w:t xml:space="preserve">as Jurisdiccionales </w:t>
      </w:r>
      <w:r>
        <w:rPr>
          <w:spacing w:val="-3"/>
          <w:sz w:val="18"/>
          <w:szCs w:val="18"/>
          <w:lang w:val="es-ES_tradnl"/>
        </w:rPr>
        <w:t xml:space="preserve">y Control Constitucional identifica las causales de </w:t>
      </w:r>
      <w:r>
        <w:rPr>
          <w:spacing w:val="-9"/>
          <w:sz w:val="18"/>
          <w:szCs w:val="18"/>
          <w:lang w:val="es-ES_tradnl"/>
        </w:rPr>
        <w:t>procedencia de esta garant</w:t>
      </w:r>
      <w:r>
        <w:rPr>
          <w:rFonts w:cs="Times New Roman"/>
          <w:spacing w:val="-9"/>
          <w:sz w:val="18"/>
          <w:szCs w:val="18"/>
          <w:lang w:val="es-ES_tradnl"/>
        </w:rPr>
        <w:t>í</w:t>
      </w:r>
      <w:r>
        <w:rPr>
          <w:spacing w:val="-9"/>
          <w:sz w:val="18"/>
          <w:szCs w:val="18"/>
          <w:lang w:val="es-ES_tradnl"/>
        </w:rPr>
        <w:t>a, de la siguiente manera:</w:t>
      </w:r>
    </w:p>
    <w:p w14:paraId="4F67AC5B" w14:textId="77777777" w:rsidR="00591D54" w:rsidRDefault="00591D54">
      <w:pPr>
        <w:shd w:val="clear" w:color="auto" w:fill="FFFFFF"/>
        <w:spacing w:before="202" w:line="216" w:lineRule="exact"/>
        <w:ind w:left="283"/>
        <w:jc w:val="both"/>
      </w:pPr>
      <w:r>
        <w:rPr>
          <w:b/>
          <w:bCs/>
          <w:spacing w:val="-7"/>
          <w:sz w:val="16"/>
          <w:szCs w:val="16"/>
          <w:lang w:val="es-ES_tradnl"/>
        </w:rPr>
        <w:t>Art. 50</w:t>
      </w:r>
      <w:r>
        <w:rPr>
          <w:spacing w:val="-7"/>
          <w:sz w:val="16"/>
          <w:szCs w:val="16"/>
          <w:lang w:val="es-ES_tradnl"/>
        </w:rPr>
        <w:t xml:space="preserve">.- </w:t>
      </w:r>
      <w:r>
        <w:rPr>
          <w:rFonts w:cs="Times New Roman"/>
          <w:spacing w:val="-7"/>
          <w:sz w:val="16"/>
          <w:szCs w:val="16"/>
          <w:lang w:val="es-ES_tradnl"/>
        </w:rPr>
        <w:t>Á</w:t>
      </w:r>
      <w:r>
        <w:rPr>
          <w:spacing w:val="-7"/>
          <w:sz w:val="16"/>
          <w:szCs w:val="16"/>
          <w:lang w:val="es-ES_tradnl"/>
        </w:rPr>
        <w:t>mbito de protecci</w:t>
      </w:r>
      <w:r>
        <w:rPr>
          <w:rFonts w:cs="Times New Roman"/>
          <w:spacing w:val="-7"/>
          <w:sz w:val="16"/>
          <w:szCs w:val="16"/>
          <w:lang w:val="es-ES_tradnl"/>
        </w:rPr>
        <w:t>ó</w:t>
      </w:r>
      <w:r>
        <w:rPr>
          <w:spacing w:val="-7"/>
          <w:sz w:val="16"/>
          <w:szCs w:val="16"/>
          <w:lang w:val="es-ES_tradnl"/>
        </w:rPr>
        <w:t>n.- Se podr</w:t>
      </w:r>
      <w:r>
        <w:rPr>
          <w:rFonts w:cs="Times New Roman"/>
          <w:spacing w:val="-7"/>
          <w:sz w:val="16"/>
          <w:szCs w:val="16"/>
          <w:lang w:val="es-ES_tradnl"/>
        </w:rPr>
        <w:t>á</w:t>
      </w:r>
      <w:r>
        <w:rPr>
          <w:spacing w:val="-7"/>
          <w:sz w:val="16"/>
          <w:szCs w:val="16"/>
          <w:lang w:val="es-ES_tradnl"/>
        </w:rPr>
        <w:t xml:space="preserve"> interponer la acci</w:t>
      </w:r>
      <w:r>
        <w:rPr>
          <w:rFonts w:cs="Times New Roman"/>
          <w:spacing w:val="-7"/>
          <w:sz w:val="16"/>
          <w:szCs w:val="16"/>
          <w:lang w:val="es-ES_tradnl"/>
        </w:rPr>
        <w:t>ó</w:t>
      </w:r>
      <w:r>
        <w:rPr>
          <w:spacing w:val="-7"/>
          <w:sz w:val="16"/>
          <w:szCs w:val="16"/>
          <w:lang w:val="es-ES_tradnl"/>
        </w:rPr>
        <w:t xml:space="preserve">n </w:t>
      </w:r>
      <w:r>
        <w:rPr>
          <w:sz w:val="16"/>
          <w:szCs w:val="16"/>
          <w:lang w:val="es-ES_tradnl"/>
        </w:rPr>
        <w:t>de H</w:t>
      </w:r>
      <w:r>
        <w:rPr>
          <w:rFonts w:cs="Times New Roman"/>
          <w:sz w:val="16"/>
          <w:szCs w:val="16"/>
          <w:lang w:val="es-ES_tradnl"/>
        </w:rPr>
        <w:t>á</w:t>
      </w:r>
      <w:r>
        <w:rPr>
          <w:sz w:val="16"/>
          <w:szCs w:val="16"/>
          <w:lang w:val="es-ES_tradnl"/>
        </w:rPr>
        <w:t>beas Data en los siguientes casos:</w:t>
      </w:r>
    </w:p>
    <w:p w14:paraId="4F67AC5C" w14:textId="77777777" w:rsidR="00591D54" w:rsidRDefault="00591D54" w:rsidP="00251195">
      <w:pPr>
        <w:numPr>
          <w:ilvl w:val="0"/>
          <w:numId w:val="57"/>
        </w:numPr>
        <w:shd w:val="clear" w:color="auto" w:fill="FFFFFF"/>
        <w:tabs>
          <w:tab w:val="left" w:pos="432"/>
        </w:tabs>
        <w:spacing w:before="206" w:line="216" w:lineRule="exact"/>
        <w:ind w:left="283"/>
        <w:jc w:val="both"/>
        <w:rPr>
          <w:spacing w:val="-10"/>
          <w:sz w:val="16"/>
          <w:szCs w:val="16"/>
          <w:lang w:val="es-ES_tradnl"/>
        </w:rPr>
      </w:pPr>
      <w:r>
        <w:rPr>
          <w:spacing w:val="-11"/>
          <w:sz w:val="16"/>
          <w:szCs w:val="16"/>
          <w:lang w:val="es-ES_tradnl"/>
        </w:rPr>
        <w:t>Cuando</w:t>
      </w:r>
      <w:r>
        <w:rPr>
          <w:spacing w:val="-11"/>
          <w:sz w:val="18"/>
          <w:szCs w:val="18"/>
          <w:lang w:val="es-ES_tradnl"/>
        </w:rPr>
        <w:t xml:space="preserve"> </w:t>
      </w:r>
      <w:r>
        <w:rPr>
          <w:spacing w:val="-11"/>
          <w:sz w:val="16"/>
          <w:szCs w:val="16"/>
          <w:lang w:val="es-ES_tradnl"/>
        </w:rPr>
        <w:t>se</w:t>
      </w:r>
      <w:r>
        <w:rPr>
          <w:spacing w:val="-11"/>
          <w:sz w:val="18"/>
          <w:szCs w:val="18"/>
          <w:lang w:val="es-ES_tradnl"/>
        </w:rPr>
        <w:t xml:space="preserve"> </w:t>
      </w:r>
      <w:r>
        <w:rPr>
          <w:spacing w:val="-11"/>
          <w:sz w:val="16"/>
          <w:szCs w:val="16"/>
          <w:lang w:val="es-ES_tradnl"/>
        </w:rPr>
        <w:t>niega</w:t>
      </w:r>
      <w:r>
        <w:rPr>
          <w:spacing w:val="-11"/>
          <w:sz w:val="18"/>
          <w:szCs w:val="18"/>
          <w:lang w:val="es-ES_tradnl"/>
        </w:rPr>
        <w:t xml:space="preserve"> </w:t>
      </w:r>
      <w:r>
        <w:rPr>
          <w:spacing w:val="-11"/>
          <w:sz w:val="16"/>
          <w:szCs w:val="16"/>
          <w:lang w:val="es-ES_tradnl"/>
        </w:rPr>
        <w:t>el</w:t>
      </w:r>
      <w:r>
        <w:rPr>
          <w:spacing w:val="-11"/>
          <w:sz w:val="18"/>
          <w:szCs w:val="18"/>
          <w:lang w:val="es-ES_tradnl"/>
        </w:rPr>
        <w:t xml:space="preserve"> </w:t>
      </w:r>
      <w:r>
        <w:rPr>
          <w:spacing w:val="-11"/>
          <w:sz w:val="16"/>
          <w:szCs w:val="16"/>
          <w:lang w:val="es-ES_tradnl"/>
        </w:rPr>
        <w:t>acceso</w:t>
      </w:r>
      <w:r>
        <w:rPr>
          <w:spacing w:val="-11"/>
          <w:sz w:val="18"/>
          <w:szCs w:val="18"/>
          <w:lang w:val="es-ES_tradnl"/>
        </w:rPr>
        <w:t xml:space="preserve"> </w:t>
      </w:r>
      <w:r>
        <w:rPr>
          <w:spacing w:val="-11"/>
          <w:sz w:val="16"/>
          <w:szCs w:val="16"/>
          <w:lang w:val="es-ES_tradnl"/>
        </w:rPr>
        <w:t>a</w:t>
      </w:r>
      <w:r>
        <w:rPr>
          <w:spacing w:val="-11"/>
          <w:sz w:val="18"/>
          <w:szCs w:val="18"/>
          <w:lang w:val="es-ES_tradnl"/>
        </w:rPr>
        <w:t xml:space="preserve"> </w:t>
      </w:r>
      <w:r>
        <w:rPr>
          <w:spacing w:val="-11"/>
          <w:sz w:val="16"/>
          <w:szCs w:val="16"/>
          <w:lang w:val="es-ES_tradnl"/>
        </w:rPr>
        <w:t>los</w:t>
      </w:r>
      <w:r>
        <w:rPr>
          <w:spacing w:val="-11"/>
          <w:sz w:val="18"/>
          <w:szCs w:val="18"/>
          <w:lang w:val="es-ES_tradnl"/>
        </w:rPr>
        <w:t xml:space="preserve"> </w:t>
      </w:r>
      <w:r>
        <w:rPr>
          <w:spacing w:val="-11"/>
          <w:sz w:val="16"/>
          <w:szCs w:val="16"/>
          <w:lang w:val="es-ES_tradnl"/>
        </w:rPr>
        <w:t>documentos,</w:t>
      </w:r>
      <w:r>
        <w:rPr>
          <w:spacing w:val="-11"/>
          <w:sz w:val="18"/>
          <w:szCs w:val="18"/>
          <w:lang w:val="es-ES_tradnl"/>
        </w:rPr>
        <w:t xml:space="preserve"> </w:t>
      </w:r>
      <w:r>
        <w:rPr>
          <w:spacing w:val="-11"/>
          <w:sz w:val="16"/>
          <w:szCs w:val="16"/>
          <w:lang w:val="es-ES_tradnl"/>
        </w:rPr>
        <w:t>datos</w:t>
      </w:r>
      <w:r>
        <w:rPr>
          <w:spacing w:val="-11"/>
          <w:sz w:val="18"/>
          <w:szCs w:val="18"/>
          <w:lang w:val="es-ES_tradnl"/>
        </w:rPr>
        <w:t xml:space="preserve"> </w:t>
      </w:r>
      <w:r>
        <w:rPr>
          <w:spacing w:val="-11"/>
          <w:sz w:val="16"/>
          <w:szCs w:val="16"/>
          <w:lang w:val="es-ES_tradnl"/>
        </w:rPr>
        <w:t>gen</w:t>
      </w:r>
      <w:r>
        <w:rPr>
          <w:rFonts w:cs="Times New Roman"/>
          <w:spacing w:val="-11"/>
          <w:sz w:val="16"/>
          <w:szCs w:val="16"/>
          <w:lang w:val="es-ES_tradnl"/>
        </w:rPr>
        <w:t>é</w:t>
      </w:r>
      <w:r>
        <w:rPr>
          <w:spacing w:val="-11"/>
          <w:sz w:val="16"/>
          <w:szCs w:val="16"/>
          <w:lang w:val="es-ES_tradnl"/>
        </w:rPr>
        <w:t xml:space="preserve">ticos, </w:t>
      </w:r>
      <w:r>
        <w:rPr>
          <w:spacing w:val="-9"/>
          <w:sz w:val="16"/>
          <w:szCs w:val="16"/>
          <w:lang w:val="es-ES_tradnl"/>
        </w:rPr>
        <w:t xml:space="preserve">bancos o archivos de datos personales e informes que consten </w:t>
      </w:r>
      <w:r>
        <w:rPr>
          <w:spacing w:val="-10"/>
          <w:sz w:val="16"/>
          <w:szCs w:val="16"/>
          <w:lang w:val="es-ES_tradnl"/>
        </w:rPr>
        <w:t>en entidades p</w:t>
      </w:r>
      <w:r>
        <w:rPr>
          <w:rFonts w:cs="Times New Roman"/>
          <w:spacing w:val="-10"/>
          <w:sz w:val="16"/>
          <w:szCs w:val="16"/>
          <w:lang w:val="es-ES_tradnl"/>
        </w:rPr>
        <w:t>ú</w:t>
      </w:r>
      <w:r>
        <w:rPr>
          <w:spacing w:val="-10"/>
          <w:sz w:val="16"/>
          <w:szCs w:val="16"/>
          <w:lang w:val="es-ES_tradnl"/>
        </w:rPr>
        <w:t>blicas o est</w:t>
      </w:r>
      <w:r>
        <w:rPr>
          <w:rFonts w:cs="Times New Roman"/>
          <w:spacing w:val="-10"/>
          <w:sz w:val="16"/>
          <w:szCs w:val="16"/>
          <w:lang w:val="es-ES_tradnl"/>
        </w:rPr>
        <w:t>é</w:t>
      </w:r>
      <w:r>
        <w:rPr>
          <w:spacing w:val="-10"/>
          <w:sz w:val="16"/>
          <w:szCs w:val="16"/>
          <w:lang w:val="es-ES_tradnl"/>
        </w:rPr>
        <w:t xml:space="preserve">n en poder de personas naturales o </w:t>
      </w:r>
      <w:r>
        <w:rPr>
          <w:sz w:val="16"/>
          <w:szCs w:val="16"/>
          <w:lang w:val="es-ES_tradnl"/>
        </w:rPr>
        <w:t>jur</w:t>
      </w:r>
      <w:r>
        <w:rPr>
          <w:rFonts w:cs="Times New Roman"/>
          <w:sz w:val="16"/>
          <w:szCs w:val="16"/>
          <w:lang w:val="es-ES_tradnl"/>
        </w:rPr>
        <w:t>í</w:t>
      </w:r>
      <w:r>
        <w:rPr>
          <w:sz w:val="16"/>
          <w:szCs w:val="16"/>
          <w:lang w:val="es-ES_tradnl"/>
        </w:rPr>
        <w:t>dicas privadas.</w:t>
      </w:r>
    </w:p>
    <w:p w14:paraId="4F67AC5D" w14:textId="77777777" w:rsidR="00591D54" w:rsidRDefault="00591D54" w:rsidP="00251195">
      <w:pPr>
        <w:numPr>
          <w:ilvl w:val="0"/>
          <w:numId w:val="57"/>
        </w:numPr>
        <w:shd w:val="clear" w:color="auto" w:fill="FFFFFF"/>
        <w:tabs>
          <w:tab w:val="left" w:pos="432"/>
        </w:tabs>
        <w:spacing w:line="216" w:lineRule="exact"/>
        <w:ind w:left="283" w:right="5"/>
        <w:jc w:val="both"/>
        <w:rPr>
          <w:spacing w:val="-10"/>
          <w:sz w:val="16"/>
          <w:szCs w:val="16"/>
          <w:lang w:val="es-ES_tradnl"/>
        </w:rPr>
      </w:pPr>
      <w:r>
        <w:rPr>
          <w:spacing w:val="-7"/>
          <w:sz w:val="16"/>
          <w:szCs w:val="16"/>
          <w:lang w:val="es-ES_tradnl"/>
        </w:rPr>
        <w:t>Cuando</w:t>
      </w:r>
      <w:r>
        <w:rPr>
          <w:spacing w:val="-7"/>
          <w:sz w:val="18"/>
          <w:szCs w:val="18"/>
          <w:lang w:val="es-ES_tradnl"/>
        </w:rPr>
        <w:t xml:space="preserve"> </w:t>
      </w:r>
      <w:r>
        <w:rPr>
          <w:spacing w:val="-7"/>
          <w:sz w:val="16"/>
          <w:szCs w:val="16"/>
          <w:lang w:val="es-ES_tradnl"/>
        </w:rPr>
        <w:t>se</w:t>
      </w:r>
      <w:r>
        <w:rPr>
          <w:spacing w:val="-7"/>
          <w:sz w:val="18"/>
          <w:szCs w:val="18"/>
          <w:lang w:val="es-ES_tradnl"/>
        </w:rPr>
        <w:t xml:space="preserve"> </w:t>
      </w:r>
      <w:r>
        <w:rPr>
          <w:spacing w:val="-7"/>
          <w:sz w:val="16"/>
          <w:szCs w:val="16"/>
          <w:lang w:val="es-ES_tradnl"/>
        </w:rPr>
        <w:t>niega</w:t>
      </w:r>
      <w:r>
        <w:rPr>
          <w:spacing w:val="-7"/>
          <w:sz w:val="18"/>
          <w:szCs w:val="18"/>
          <w:lang w:val="es-ES_tradnl"/>
        </w:rPr>
        <w:t xml:space="preserve"> </w:t>
      </w:r>
      <w:r>
        <w:rPr>
          <w:spacing w:val="-7"/>
          <w:sz w:val="16"/>
          <w:szCs w:val="16"/>
          <w:lang w:val="es-ES_tradnl"/>
        </w:rPr>
        <w:t>la</w:t>
      </w:r>
      <w:r>
        <w:rPr>
          <w:spacing w:val="-7"/>
          <w:sz w:val="18"/>
          <w:szCs w:val="18"/>
          <w:lang w:val="es-ES_tradnl"/>
        </w:rPr>
        <w:t xml:space="preserve"> </w:t>
      </w:r>
      <w:r>
        <w:rPr>
          <w:spacing w:val="-7"/>
          <w:sz w:val="16"/>
          <w:szCs w:val="16"/>
          <w:lang w:val="es-ES_tradnl"/>
        </w:rPr>
        <w:t>solicitud</w:t>
      </w:r>
      <w:r>
        <w:rPr>
          <w:spacing w:val="-7"/>
          <w:sz w:val="18"/>
          <w:szCs w:val="18"/>
          <w:lang w:val="es-ES_tradnl"/>
        </w:rPr>
        <w:t xml:space="preserve"> </w:t>
      </w:r>
      <w:r>
        <w:rPr>
          <w:spacing w:val="-7"/>
          <w:sz w:val="16"/>
          <w:szCs w:val="16"/>
          <w:lang w:val="es-ES_tradnl"/>
        </w:rPr>
        <w:t>de</w:t>
      </w:r>
      <w:r>
        <w:rPr>
          <w:spacing w:val="-7"/>
          <w:sz w:val="18"/>
          <w:szCs w:val="18"/>
          <w:lang w:val="es-ES_tradnl"/>
        </w:rPr>
        <w:t xml:space="preserve"> </w:t>
      </w:r>
      <w:r>
        <w:rPr>
          <w:spacing w:val="-7"/>
          <w:sz w:val="16"/>
          <w:szCs w:val="16"/>
          <w:lang w:val="es-ES_tradnl"/>
        </w:rPr>
        <w:t>actualizaci</w:t>
      </w:r>
      <w:r>
        <w:rPr>
          <w:rFonts w:cs="Times New Roman"/>
          <w:spacing w:val="-7"/>
          <w:sz w:val="16"/>
          <w:szCs w:val="16"/>
          <w:lang w:val="es-ES_tradnl"/>
        </w:rPr>
        <w:t>ó</w:t>
      </w:r>
      <w:r>
        <w:rPr>
          <w:spacing w:val="-7"/>
          <w:sz w:val="16"/>
          <w:szCs w:val="16"/>
          <w:lang w:val="es-ES_tradnl"/>
        </w:rPr>
        <w:t>n,</w:t>
      </w:r>
      <w:r>
        <w:rPr>
          <w:spacing w:val="-7"/>
          <w:sz w:val="18"/>
          <w:szCs w:val="18"/>
          <w:lang w:val="es-ES_tradnl"/>
        </w:rPr>
        <w:t xml:space="preserve"> </w:t>
      </w:r>
      <w:r>
        <w:rPr>
          <w:spacing w:val="-7"/>
          <w:sz w:val="16"/>
          <w:szCs w:val="16"/>
          <w:lang w:val="es-ES_tradnl"/>
        </w:rPr>
        <w:t>rectificaci</w:t>
      </w:r>
      <w:r>
        <w:rPr>
          <w:rFonts w:cs="Times New Roman"/>
          <w:spacing w:val="-7"/>
          <w:sz w:val="16"/>
          <w:szCs w:val="16"/>
          <w:lang w:val="es-ES_tradnl"/>
        </w:rPr>
        <w:t>ó</w:t>
      </w:r>
      <w:r>
        <w:rPr>
          <w:spacing w:val="-7"/>
          <w:sz w:val="16"/>
          <w:szCs w:val="16"/>
          <w:lang w:val="es-ES_tradnl"/>
        </w:rPr>
        <w:t xml:space="preserve">n, </w:t>
      </w:r>
      <w:r>
        <w:rPr>
          <w:spacing w:val="-9"/>
          <w:sz w:val="16"/>
          <w:szCs w:val="16"/>
          <w:lang w:val="es-ES_tradnl"/>
        </w:rPr>
        <w:t>eliminaci</w:t>
      </w:r>
      <w:r>
        <w:rPr>
          <w:rFonts w:cs="Times New Roman"/>
          <w:spacing w:val="-9"/>
          <w:sz w:val="16"/>
          <w:szCs w:val="16"/>
          <w:lang w:val="es-ES_tradnl"/>
        </w:rPr>
        <w:t>ó</w:t>
      </w:r>
      <w:r>
        <w:rPr>
          <w:spacing w:val="-9"/>
          <w:sz w:val="16"/>
          <w:szCs w:val="16"/>
          <w:lang w:val="es-ES_tradnl"/>
        </w:rPr>
        <w:t>n o anulaci</w:t>
      </w:r>
      <w:r>
        <w:rPr>
          <w:rFonts w:cs="Times New Roman"/>
          <w:spacing w:val="-9"/>
          <w:sz w:val="16"/>
          <w:szCs w:val="16"/>
          <w:lang w:val="es-ES_tradnl"/>
        </w:rPr>
        <w:t>ó</w:t>
      </w:r>
      <w:r>
        <w:rPr>
          <w:spacing w:val="-9"/>
          <w:sz w:val="16"/>
          <w:szCs w:val="16"/>
          <w:lang w:val="es-ES_tradnl"/>
        </w:rPr>
        <w:t>n de datos que fueren err</w:t>
      </w:r>
      <w:r>
        <w:rPr>
          <w:rFonts w:cs="Times New Roman"/>
          <w:spacing w:val="-9"/>
          <w:sz w:val="16"/>
          <w:szCs w:val="16"/>
          <w:lang w:val="es-ES_tradnl"/>
        </w:rPr>
        <w:t>ó</w:t>
      </w:r>
      <w:r>
        <w:rPr>
          <w:spacing w:val="-9"/>
          <w:sz w:val="16"/>
          <w:szCs w:val="16"/>
          <w:lang w:val="es-ES_tradnl"/>
        </w:rPr>
        <w:t xml:space="preserve">neos o afecten </w:t>
      </w:r>
      <w:r>
        <w:rPr>
          <w:sz w:val="16"/>
          <w:szCs w:val="16"/>
          <w:lang w:val="es-ES_tradnl"/>
        </w:rPr>
        <w:t>sus derechos.</w:t>
      </w:r>
    </w:p>
    <w:p w14:paraId="4F67AC5E" w14:textId="77777777" w:rsidR="00591D54" w:rsidRDefault="00591D54" w:rsidP="00251195">
      <w:pPr>
        <w:numPr>
          <w:ilvl w:val="0"/>
          <w:numId w:val="57"/>
        </w:numPr>
        <w:shd w:val="clear" w:color="auto" w:fill="FFFFFF"/>
        <w:tabs>
          <w:tab w:val="left" w:pos="432"/>
        </w:tabs>
        <w:spacing w:line="216" w:lineRule="exact"/>
        <w:ind w:left="283" w:right="5"/>
        <w:jc w:val="both"/>
        <w:rPr>
          <w:spacing w:val="-10"/>
          <w:sz w:val="16"/>
          <w:szCs w:val="16"/>
          <w:lang w:val="es-ES_tradnl"/>
        </w:rPr>
      </w:pPr>
      <w:r>
        <w:rPr>
          <w:spacing w:val="-9"/>
          <w:sz w:val="16"/>
          <w:szCs w:val="16"/>
          <w:lang w:val="es-ES_tradnl"/>
        </w:rPr>
        <w:t>Cuando</w:t>
      </w:r>
      <w:r>
        <w:rPr>
          <w:spacing w:val="-9"/>
          <w:sz w:val="18"/>
          <w:szCs w:val="18"/>
          <w:lang w:val="es-ES_tradnl"/>
        </w:rPr>
        <w:t xml:space="preserve"> </w:t>
      </w:r>
      <w:r>
        <w:rPr>
          <w:spacing w:val="-9"/>
          <w:sz w:val="16"/>
          <w:szCs w:val="16"/>
          <w:lang w:val="es-ES_tradnl"/>
        </w:rPr>
        <w:t>se</w:t>
      </w:r>
      <w:r>
        <w:rPr>
          <w:spacing w:val="-9"/>
          <w:sz w:val="18"/>
          <w:szCs w:val="18"/>
          <w:lang w:val="es-ES_tradnl"/>
        </w:rPr>
        <w:t xml:space="preserve"> </w:t>
      </w:r>
      <w:r>
        <w:rPr>
          <w:spacing w:val="-9"/>
          <w:sz w:val="16"/>
          <w:szCs w:val="16"/>
          <w:lang w:val="es-ES_tradnl"/>
        </w:rPr>
        <w:t>da</w:t>
      </w:r>
      <w:r>
        <w:rPr>
          <w:spacing w:val="-9"/>
          <w:sz w:val="18"/>
          <w:szCs w:val="18"/>
          <w:lang w:val="es-ES_tradnl"/>
        </w:rPr>
        <w:t xml:space="preserve"> </w:t>
      </w:r>
      <w:r>
        <w:rPr>
          <w:spacing w:val="-9"/>
          <w:sz w:val="16"/>
          <w:szCs w:val="16"/>
          <w:lang w:val="es-ES_tradnl"/>
        </w:rPr>
        <w:t>un</w:t>
      </w:r>
      <w:r>
        <w:rPr>
          <w:spacing w:val="-9"/>
          <w:sz w:val="18"/>
          <w:szCs w:val="18"/>
          <w:lang w:val="es-ES_tradnl"/>
        </w:rPr>
        <w:t xml:space="preserve"> </w:t>
      </w:r>
      <w:r>
        <w:rPr>
          <w:spacing w:val="-9"/>
          <w:sz w:val="16"/>
          <w:szCs w:val="16"/>
          <w:lang w:val="es-ES_tradnl"/>
        </w:rPr>
        <w:t>uso</w:t>
      </w:r>
      <w:r>
        <w:rPr>
          <w:spacing w:val="-9"/>
          <w:sz w:val="18"/>
          <w:szCs w:val="18"/>
          <w:lang w:val="es-ES_tradnl"/>
        </w:rPr>
        <w:t xml:space="preserve"> </w:t>
      </w:r>
      <w:r>
        <w:rPr>
          <w:spacing w:val="-9"/>
          <w:sz w:val="16"/>
          <w:szCs w:val="16"/>
          <w:lang w:val="es-ES_tradnl"/>
        </w:rPr>
        <w:t>de</w:t>
      </w:r>
      <w:r>
        <w:rPr>
          <w:spacing w:val="-9"/>
          <w:sz w:val="18"/>
          <w:szCs w:val="18"/>
          <w:lang w:val="es-ES_tradnl"/>
        </w:rPr>
        <w:t xml:space="preserve"> </w:t>
      </w:r>
      <w:r>
        <w:rPr>
          <w:spacing w:val="-9"/>
          <w:sz w:val="16"/>
          <w:szCs w:val="16"/>
          <w:lang w:val="es-ES_tradnl"/>
        </w:rPr>
        <w:t>la</w:t>
      </w:r>
      <w:r>
        <w:rPr>
          <w:spacing w:val="-9"/>
          <w:sz w:val="18"/>
          <w:szCs w:val="18"/>
          <w:lang w:val="es-ES_tradnl"/>
        </w:rPr>
        <w:t xml:space="preserve"> </w:t>
      </w:r>
      <w:r>
        <w:rPr>
          <w:spacing w:val="-9"/>
          <w:sz w:val="16"/>
          <w:szCs w:val="16"/>
          <w:lang w:val="es-ES_tradnl"/>
        </w:rPr>
        <w:t>informaci</w:t>
      </w:r>
      <w:r>
        <w:rPr>
          <w:rFonts w:cs="Times New Roman"/>
          <w:spacing w:val="-9"/>
          <w:sz w:val="16"/>
          <w:szCs w:val="16"/>
          <w:lang w:val="es-ES_tradnl"/>
        </w:rPr>
        <w:t>ó</w:t>
      </w:r>
      <w:r>
        <w:rPr>
          <w:spacing w:val="-9"/>
          <w:sz w:val="16"/>
          <w:szCs w:val="16"/>
          <w:lang w:val="es-ES_tradnl"/>
        </w:rPr>
        <w:t>n</w:t>
      </w:r>
      <w:r>
        <w:rPr>
          <w:spacing w:val="-9"/>
          <w:sz w:val="18"/>
          <w:szCs w:val="18"/>
          <w:lang w:val="es-ES_tradnl"/>
        </w:rPr>
        <w:t xml:space="preserve"> </w:t>
      </w:r>
      <w:r>
        <w:rPr>
          <w:spacing w:val="-9"/>
          <w:sz w:val="16"/>
          <w:szCs w:val="16"/>
          <w:lang w:val="es-ES_tradnl"/>
        </w:rPr>
        <w:t>personal</w:t>
      </w:r>
      <w:r>
        <w:rPr>
          <w:spacing w:val="-9"/>
          <w:sz w:val="18"/>
          <w:szCs w:val="18"/>
          <w:lang w:val="es-ES_tradnl"/>
        </w:rPr>
        <w:t xml:space="preserve"> </w:t>
      </w:r>
      <w:r>
        <w:rPr>
          <w:spacing w:val="-9"/>
          <w:sz w:val="16"/>
          <w:szCs w:val="16"/>
          <w:lang w:val="es-ES_tradnl"/>
        </w:rPr>
        <w:t>que</w:t>
      </w:r>
      <w:r>
        <w:rPr>
          <w:spacing w:val="-9"/>
          <w:sz w:val="18"/>
          <w:szCs w:val="18"/>
          <w:lang w:val="es-ES_tradnl"/>
        </w:rPr>
        <w:t xml:space="preserve"> </w:t>
      </w:r>
      <w:r>
        <w:rPr>
          <w:spacing w:val="-9"/>
          <w:sz w:val="16"/>
          <w:szCs w:val="16"/>
          <w:lang w:val="es-ES_tradnl"/>
        </w:rPr>
        <w:t>viole</w:t>
      </w:r>
      <w:r>
        <w:rPr>
          <w:spacing w:val="-9"/>
          <w:sz w:val="18"/>
          <w:szCs w:val="18"/>
          <w:lang w:val="es-ES_tradnl"/>
        </w:rPr>
        <w:t xml:space="preserve"> </w:t>
      </w:r>
      <w:r>
        <w:rPr>
          <w:spacing w:val="-9"/>
          <w:sz w:val="16"/>
          <w:szCs w:val="16"/>
          <w:lang w:val="es-ES_tradnl"/>
        </w:rPr>
        <w:t xml:space="preserve">un </w:t>
      </w:r>
      <w:r>
        <w:rPr>
          <w:spacing w:val="-8"/>
          <w:sz w:val="16"/>
          <w:szCs w:val="16"/>
          <w:lang w:val="es-ES_tradnl"/>
        </w:rPr>
        <w:t>derecho constitucional, sin autorizaci</w:t>
      </w:r>
      <w:r>
        <w:rPr>
          <w:rFonts w:cs="Times New Roman"/>
          <w:spacing w:val="-8"/>
          <w:sz w:val="16"/>
          <w:szCs w:val="16"/>
          <w:lang w:val="es-ES_tradnl"/>
        </w:rPr>
        <w:t>ó</w:t>
      </w:r>
      <w:r>
        <w:rPr>
          <w:spacing w:val="-8"/>
          <w:sz w:val="16"/>
          <w:szCs w:val="16"/>
          <w:lang w:val="es-ES_tradnl"/>
        </w:rPr>
        <w:t xml:space="preserve">n expresa, salvo cuando </w:t>
      </w:r>
      <w:r>
        <w:rPr>
          <w:sz w:val="16"/>
          <w:szCs w:val="16"/>
          <w:lang w:val="es-ES_tradnl"/>
        </w:rPr>
        <w:t>exista orden de jueza o juez competente</w:t>
      </w:r>
      <w:r>
        <w:rPr>
          <w:rFonts w:cs="Times New Roman"/>
          <w:sz w:val="16"/>
          <w:szCs w:val="16"/>
          <w:lang w:val="es-ES_tradnl"/>
        </w:rPr>
        <w:t>”</w:t>
      </w:r>
      <w:r>
        <w:rPr>
          <w:sz w:val="16"/>
          <w:szCs w:val="16"/>
          <w:lang w:val="es-ES_tradnl"/>
        </w:rPr>
        <w:t>.</w:t>
      </w:r>
    </w:p>
    <w:p w14:paraId="4F67AC5F" w14:textId="77777777" w:rsidR="00591D54" w:rsidRDefault="00591D54">
      <w:pPr>
        <w:shd w:val="clear" w:color="auto" w:fill="FFFFFF"/>
        <w:spacing w:before="202" w:line="216" w:lineRule="exact"/>
        <w:ind w:right="5"/>
        <w:jc w:val="both"/>
      </w:pPr>
      <w:r>
        <w:rPr>
          <w:spacing w:val="-8"/>
          <w:sz w:val="18"/>
          <w:szCs w:val="18"/>
          <w:lang w:val="es-ES_tradnl"/>
        </w:rPr>
        <w:t xml:space="preserve">De esta manera se evidencia que el elemento constitutivo </w:t>
      </w:r>
      <w:r>
        <w:rPr>
          <w:spacing w:val="-4"/>
          <w:sz w:val="18"/>
          <w:szCs w:val="18"/>
          <w:lang w:val="es-ES_tradnl"/>
        </w:rPr>
        <w:t>para la vulneraci</w:t>
      </w:r>
      <w:r>
        <w:rPr>
          <w:rFonts w:cs="Times New Roman"/>
          <w:spacing w:val="-4"/>
          <w:sz w:val="18"/>
          <w:szCs w:val="18"/>
          <w:lang w:val="es-ES_tradnl"/>
        </w:rPr>
        <w:t>ó</w:t>
      </w:r>
      <w:r>
        <w:rPr>
          <w:spacing w:val="-4"/>
          <w:sz w:val="18"/>
          <w:szCs w:val="18"/>
          <w:lang w:val="es-ES_tradnl"/>
        </w:rPr>
        <w:t>n del derecho de acceso y el derecho de decisi</w:t>
      </w:r>
      <w:r>
        <w:rPr>
          <w:rFonts w:cs="Times New Roman"/>
          <w:spacing w:val="-4"/>
          <w:sz w:val="18"/>
          <w:szCs w:val="18"/>
          <w:lang w:val="es-ES_tradnl"/>
        </w:rPr>
        <w:t>ó</w:t>
      </w:r>
      <w:r>
        <w:rPr>
          <w:spacing w:val="-4"/>
          <w:sz w:val="18"/>
          <w:szCs w:val="18"/>
          <w:lang w:val="es-ES_tradnl"/>
        </w:rPr>
        <w:t xml:space="preserve">n de los datos personales se produce cuando </w:t>
      </w:r>
      <w:r>
        <w:rPr>
          <w:spacing w:val="-5"/>
          <w:sz w:val="18"/>
          <w:szCs w:val="18"/>
          <w:lang w:val="es-ES_tradnl"/>
        </w:rPr>
        <w:t>la persona natural o jur</w:t>
      </w:r>
      <w:r>
        <w:rPr>
          <w:rFonts w:cs="Times New Roman"/>
          <w:spacing w:val="-5"/>
          <w:sz w:val="18"/>
          <w:szCs w:val="18"/>
          <w:lang w:val="es-ES_tradnl"/>
        </w:rPr>
        <w:t>í</w:t>
      </w:r>
      <w:r>
        <w:rPr>
          <w:spacing w:val="-5"/>
          <w:sz w:val="18"/>
          <w:szCs w:val="18"/>
          <w:lang w:val="es-ES_tradnl"/>
        </w:rPr>
        <w:t>dica p</w:t>
      </w:r>
      <w:r>
        <w:rPr>
          <w:rFonts w:cs="Times New Roman"/>
          <w:spacing w:val="-5"/>
          <w:sz w:val="18"/>
          <w:szCs w:val="18"/>
          <w:lang w:val="es-ES_tradnl"/>
        </w:rPr>
        <w:t>ú</w:t>
      </w:r>
      <w:r>
        <w:rPr>
          <w:spacing w:val="-5"/>
          <w:sz w:val="18"/>
          <w:szCs w:val="18"/>
          <w:lang w:val="es-ES_tradnl"/>
        </w:rPr>
        <w:t xml:space="preserve">blica o privada niega la </w:t>
      </w:r>
      <w:r>
        <w:rPr>
          <w:spacing w:val="-7"/>
          <w:sz w:val="18"/>
          <w:szCs w:val="18"/>
          <w:lang w:val="es-ES_tradnl"/>
        </w:rPr>
        <w:t>solicitud que el titular de la informaci</w:t>
      </w:r>
      <w:r>
        <w:rPr>
          <w:rFonts w:cs="Times New Roman"/>
          <w:spacing w:val="-7"/>
          <w:sz w:val="18"/>
          <w:szCs w:val="18"/>
          <w:lang w:val="es-ES_tradnl"/>
        </w:rPr>
        <w:t>ó</w:t>
      </w:r>
      <w:r>
        <w:rPr>
          <w:spacing w:val="-7"/>
          <w:sz w:val="18"/>
          <w:szCs w:val="18"/>
          <w:lang w:val="es-ES_tradnl"/>
        </w:rPr>
        <w:t>n efect</w:t>
      </w:r>
      <w:r>
        <w:rPr>
          <w:rFonts w:cs="Times New Roman"/>
          <w:spacing w:val="-7"/>
          <w:sz w:val="18"/>
          <w:szCs w:val="18"/>
          <w:lang w:val="es-ES_tradnl"/>
        </w:rPr>
        <w:t>ú</w:t>
      </w:r>
      <w:r>
        <w:rPr>
          <w:spacing w:val="-7"/>
          <w:sz w:val="18"/>
          <w:szCs w:val="18"/>
          <w:lang w:val="es-ES_tradnl"/>
        </w:rPr>
        <w:t xml:space="preserve">a en ejercicio </w:t>
      </w:r>
      <w:r>
        <w:rPr>
          <w:spacing w:val="-6"/>
          <w:sz w:val="18"/>
          <w:szCs w:val="18"/>
          <w:lang w:val="es-ES_tradnl"/>
        </w:rPr>
        <w:t xml:space="preserve">de su derecho constitucional, lo cual permite al afectado </w:t>
      </w:r>
      <w:r>
        <w:rPr>
          <w:sz w:val="18"/>
          <w:szCs w:val="18"/>
          <w:lang w:val="es-ES_tradnl"/>
        </w:rPr>
        <w:t>incoar la acci</w:t>
      </w:r>
      <w:r>
        <w:rPr>
          <w:rFonts w:cs="Times New Roman"/>
          <w:sz w:val="18"/>
          <w:szCs w:val="18"/>
          <w:lang w:val="es-ES_tradnl"/>
        </w:rPr>
        <w:t>ó</w:t>
      </w:r>
      <w:r>
        <w:rPr>
          <w:sz w:val="18"/>
          <w:szCs w:val="18"/>
          <w:lang w:val="es-ES_tradnl"/>
        </w:rPr>
        <w:t>n constitucional.</w:t>
      </w:r>
    </w:p>
    <w:p w14:paraId="4F67AC60" w14:textId="77777777" w:rsidR="00591D54" w:rsidRDefault="00591D54">
      <w:pPr>
        <w:shd w:val="clear" w:color="auto" w:fill="FFFFFF"/>
        <w:spacing w:before="192" w:line="216" w:lineRule="exact"/>
        <w:jc w:val="both"/>
      </w:pPr>
      <w:r>
        <w:rPr>
          <w:spacing w:val="-7"/>
          <w:sz w:val="18"/>
          <w:szCs w:val="18"/>
          <w:lang w:val="es-ES_tradnl"/>
        </w:rPr>
        <w:t>Ahora bien, el contenido del art</w:t>
      </w:r>
      <w:r>
        <w:rPr>
          <w:rFonts w:cs="Times New Roman"/>
          <w:spacing w:val="-7"/>
          <w:sz w:val="18"/>
          <w:szCs w:val="18"/>
          <w:lang w:val="es-ES_tradnl"/>
        </w:rPr>
        <w:t>í</w:t>
      </w:r>
      <w:r>
        <w:rPr>
          <w:spacing w:val="-7"/>
          <w:sz w:val="18"/>
          <w:szCs w:val="18"/>
          <w:lang w:val="es-ES_tradnl"/>
        </w:rPr>
        <w:t>culo 50 de la Ley Org</w:t>
      </w:r>
      <w:r>
        <w:rPr>
          <w:rFonts w:cs="Times New Roman"/>
          <w:spacing w:val="-7"/>
          <w:sz w:val="18"/>
          <w:szCs w:val="18"/>
          <w:lang w:val="es-ES_tradnl"/>
        </w:rPr>
        <w:t>á</w:t>
      </w:r>
      <w:r>
        <w:rPr>
          <w:spacing w:val="-7"/>
          <w:sz w:val="18"/>
          <w:szCs w:val="18"/>
          <w:lang w:val="es-ES_tradnl"/>
        </w:rPr>
        <w:t xml:space="preserve">nica </w:t>
      </w:r>
      <w:r>
        <w:rPr>
          <w:spacing w:val="-6"/>
          <w:sz w:val="18"/>
          <w:szCs w:val="18"/>
          <w:lang w:val="es-ES_tradnl"/>
        </w:rPr>
        <w:t>de Garant</w:t>
      </w:r>
      <w:r>
        <w:rPr>
          <w:rFonts w:cs="Times New Roman"/>
          <w:spacing w:val="-6"/>
          <w:sz w:val="18"/>
          <w:szCs w:val="18"/>
          <w:lang w:val="es-ES_tradnl"/>
        </w:rPr>
        <w:t>í</w:t>
      </w:r>
      <w:r>
        <w:rPr>
          <w:spacing w:val="-6"/>
          <w:sz w:val="18"/>
          <w:szCs w:val="18"/>
          <w:lang w:val="es-ES_tradnl"/>
        </w:rPr>
        <w:t xml:space="preserve">as Jurisdiccionales y Control Constitucional se </w:t>
      </w:r>
      <w:r>
        <w:rPr>
          <w:spacing w:val="-9"/>
          <w:sz w:val="18"/>
          <w:szCs w:val="18"/>
          <w:lang w:val="es-ES_tradnl"/>
        </w:rPr>
        <w:t>limita a exponer como elemento de procedencia del h</w:t>
      </w:r>
      <w:r>
        <w:rPr>
          <w:rFonts w:cs="Times New Roman"/>
          <w:spacing w:val="-9"/>
          <w:sz w:val="18"/>
          <w:szCs w:val="18"/>
          <w:lang w:val="es-ES_tradnl"/>
        </w:rPr>
        <w:t>á</w:t>
      </w:r>
      <w:r>
        <w:rPr>
          <w:spacing w:val="-9"/>
          <w:sz w:val="18"/>
          <w:szCs w:val="18"/>
          <w:lang w:val="es-ES_tradnl"/>
        </w:rPr>
        <w:t xml:space="preserve">beas </w:t>
      </w:r>
      <w:r>
        <w:rPr>
          <w:spacing w:val="-5"/>
          <w:sz w:val="18"/>
          <w:szCs w:val="18"/>
          <w:lang w:val="es-ES_tradnl"/>
        </w:rPr>
        <w:t>data la denegaci</w:t>
      </w:r>
      <w:r>
        <w:rPr>
          <w:rFonts w:cs="Times New Roman"/>
          <w:spacing w:val="-5"/>
          <w:sz w:val="18"/>
          <w:szCs w:val="18"/>
          <w:lang w:val="es-ES_tradnl"/>
        </w:rPr>
        <w:t>ó</w:t>
      </w:r>
      <w:r>
        <w:rPr>
          <w:spacing w:val="-5"/>
          <w:sz w:val="18"/>
          <w:szCs w:val="18"/>
          <w:lang w:val="es-ES_tradnl"/>
        </w:rPr>
        <w:t xml:space="preserve">n de lo solicitado por el titular de la </w:t>
      </w:r>
      <w:r>
        <w:rPr>
          <w:spacing w:val="-8"/>
          <w:sz w:val="18"/>
          <w:szCs w:val="18"/>
          <w:lang w:val="es-ES_tradnl"/>
        </w:rPr>
        <w:t>informaci</w:t>
      </w:r>
      <w:r>
        <w:rPr>
          <w:rFonts w:cs="Times New Roman"/>
          <w:spacing w:val="-8"/>
          <w:sz w:val="18"/>
          <w:szCs w:val="18"/>
          <w:lang w:val="es-ES_tradnl"/>
        </w:rPr>
        <w:t>ó</w:t>
      </w:r>
      <w:r>
        <w:rPr>
          <w:spacing w:val="-8"/>
          <w:sz w:val="18"/>
          <w:szCs w:val="18"/>
          <w:lang w:val="es-ES_tradnl"/>
        </w:rPr>
        <w:t xml:space="preserve">n personal, sin que se especifique si la negativa </w:t>
      </w:r>
      <w:r>
        <w:rPr>
          <w:spacing w:val="-9"/>
          <w:sz w:val="18"/>
          <w:szCs w:val="18"/>
          <w:lang w:val="es-ES_tradnl"/>
        </w:rPr>
        <w:t>efectuada por la persona natural o jur</w:t>
      </w:r>
      <w:r>
        <w:rPr>
          <w:rFonts w:cs="Times New Roman"/>
          <w:spacing w:val="-9"/>
          <w:sz w:val="18"/>
          <w:szCs w:val="18"/>
          <w:lang w:val="es-ES_tradnl"/>
        </w:rPr>
        <w:t>í</w:t>
      </w:r>
      <w:r>
        <w:rPr>
          <w:spacing w:val="-9"/>
          <w:sz w:val="18"/>
          <w:szCs w:val="18"/>
          <w:lang w:val="es-ES_tradnl"/>
        </w:rPr>
        <w:t>dica p</w:t>
      </w:r>
      <w:r>
        <w:rPr>
          <w:rFonts w:cs="Times New Roman"/>
          <w:spacing w:val="-9"/>
          <w:sz w:val="18"/>
          <w:szCs w:val="18"/>
          <w:lang w:val="es-ES_tradnl"/>
        </w:rPr>
        <w:t>ú</w:t>
      </w:r>
      <w:r>
        <w:rPr>
          <w:spacing w:val="-9"/>
          <w:sz w:val="18"/>
          <w:szCs w:val="18"/>
          <w:lang w:val="es-ES_tradnl"/>
        </w:rPr>
        <w:t xml:space="preserve">blica o privada </w:t>
      </w:r>
      <w:r>
        <w:rPr>
          <w:spacing w:val="-6"/>
          <w:sz w:val="18"/>
          <w:szCs w:val="18"/>
          <w:lang w:val="es-ES_tradnl"/>
        </w:rPr>
        <w:t>a cargo de los datos debe hacerla de manera expresa y bajo qu</w:t>
      </w:r>
      <w:r>
        <w:rPr>
          <w:rFonts w:cs="Times New Roman"/>
          <w:spacing w:val="-6"/>
          <w:sz w:val="18"/>
          <w:szCs w:val="18"/>
          <w:lang w:val="es-ES_tradnl"/>
        </w:rPr>
        <w:t>é</w:t>
      </w:r>
      <w:r>
        <w:rPr>
          <w:spacing w:val="-6"/>
          <w:sz w:val="18"/>
          <w:szCs w:val="18"/>
          <w:lang w:val="es-ES_tradnl"/>
        </w:rPr>
        <w:t xml:space="preserve"> circunstancias o si por el transcurso del tiempo, surge una negativa t</w:t>
      </w:r>
      <w:r>
        <w:rPr>
          <w:rFonts w:cs="Times New Roman"/>
          <w:spacing w:val="-6"/>
          <w:sz w:val="18"/>
          <w:szCs w:val="18"/>
          <w:lang w:val="es-ES_tradnl"/>
        </w:rPr>
        <w:t>á</w:t>
      </w:r>
      <w:r>
        <w:rPr>
          <w:spacing w:val="-6"/>
          <w:sz w:val="18"/>
          <w:szCs w:val="18"/>
          <w:lang w:val="es-ES_tradnl"/>
        </w:rPr>
        <w:t>cita. En este contexto, la negativa expresa manifiesta inequ</w:t>
      </w:r>
      <w:r>
        <w:rPr>
          <w:rFonts w:cs="Times New Roman"/>
          <w:spacing w:val="-6"/>
          <w:sz w:val="18"/>
          <w:szCs w:val="18"/>
          <w:lang w:val="es-ES_tradnl"/>
        </w:rPr>
        <w:t>í</w:t>
      </w:r>
      <w:r>
        <w:rPr>
          <w:spacing w:val="-6"/>
          <w:sz w:val="18"/>
          <w:szCs w:val="18"/>
          <w:lang w:val="es-ES_tradnl"/>
        </w:rPr>
        <w:t>vocamente la voluntad de la entidad respecto de lo solicitado, cuesti</w:t>
      </w:r>
      <w:r>
        <w:rPr>
          <w:rFonts w:cs="Times New Roman"/>
          <w:spacing w:val="-6"/>
          <w:sz w:val="18"/>
          <w:szCs w:val="18"/>
          <w:lang w:val="es-ES_tradnl"/>
        </w:rPr>
        <w:t>ó</w:t>
      </w:r>
      <w:r>
        <w:rPr>
          <w:spacing w:val="-6"/>
          <w:sz w:val="18"/>
          <w:szCs w:val="18"/>
          <w:lang w:val="es-ES_tradnl"/>
        </w:rPr>
        <w:t xml:space="preserve">n que determina </w:t>
      </w:r>
      <w:r>
        <w:rPr>
          <w:spacing w:val="-9"/>
          <w:sz w:val="18"/>
          <w:szCs w:val="18"/>
          <w:lang w:val="es-ES_tradnl"/>
        </w:rPr>
        <w:t>claramente las situaciones f</w:t>
      </w:r>
      <w:r>
        <w:rPr>
          <w:rFonts w:cs="Times New Roman"/>
          <w:spacing w:val="-9"/>
          <w:sz w:val="18"/>
          <w:szCs w:val="18"/>
          <w:lang w:val="es-ES_tradnl"/>
        </w:rPr>
        <w:t>á</w:t>
      </w:r>
      <w:r>
        <w:rPr>
          <w:spacing w:val="-9"/>
          <w:sz w:val="18"/>
          <w:szCs w:val="18"/>
          <w:lang w:val="es-ES_tradnl"/>
        </w:rPr>
        <w:t xml:space="preserve">cticas contenidas en la norma </w:t>
      </w:r>
      <w:r>
        <w:rPr>
          <w:spacing w:val="-6"/>
          <w:sz w:val="18"/>
          <w:szCs w:val="18"/>
          <w:lang w:val="es-ES_tradnl"/>
        </w:rPr>
        <w:t>jur</w:t>
      </w:r>
      <w:r>
        <w:rPr>
          <w:rFonts w:cs="Times New Roman"/>
          <w:spacing w:val="-6"/>
          <w:sz w:val="18"/>
          <w:szCs w:val="18"/>
          <w:lang w:val="es-ES_tradnl"/>
        </w:rPr>
        <w:t>í</w:t>
      </w:r>
      <w:r>
        <w:rPr>
          <w:spacing w:val="-6"/>
          <w:sz w:val="18"/>
          <w:szCs w:val="18"/>
          <w:lang w:val="es-ES_tradnl"/>
        </w:rPr>
        <w:t xml:space="preserve">dica. Sin embargo, la ausencia de respuesta por parte </w:t>
      </w:r>
      <w:r>
        <w:rPr>
          <w:spacing w:val="-8"/>
          <w:sz w:val="18"/>
          <w:szCs w:val="18"/>
          <w:lang w:val="es-ES_tradnl"/>
        </w:rPr>
        <w:t>de la persona natural o jur</w:t>
      </w:r>
      <w:r>
        <w:rPr>
          <w:rFonts w:cs="Times New Roman"/>
          <w:spacing w:val="-8"/>
          <w:sz w:val="18"/>
          <w:szCs w:val="18"/>
          <w:lang w:val="es-ES_tradnl"/>
        </w:rPr>
        <w:t>í</w:t>
      </w:r>
      <w:r>
        <w:rPr>
          <w:spacing w:val="-8"/>
          <w:sz w:val="18"/>
          <w:szCs w:val="18"/>
          <w:lang w:val="es-ES_tradnl"/>
        </w:rPr>
        <w:t>dica p</w:t>
      </w:r>
      <w:r>
        <w:rPr>
          <w:rFonts w:cs="Times New Roman"/>
          <w:spacing w:val="-8"/>
          <w:sz w:val="18"/>
          <w:szCs w:val="18"/>
          <w:lang w:val="es-ES_tradnl"/>
        </w:rPr>
        <w:t>ú</w:t>
      </w:r>
      <w:r>
        <w:rPr>
          <w:spacing w:val="-8"/>
          <w:sz w:val="18"/>
          <w:szCs w:val="18"/>
          <w:lang w:val="es-ES_tradnl"/>
        </w:rPr>
        <w:t>blica o privada requerida genera una situaci</w:t>
      </w:r>
      <w:r>
        <w:rPr>
          <w:rFonts w:cs="Times New Roman"/>
          <w:spacing w:val="-8"/>
          <w:sz w:val="18"/>
          <w:szCs w:val="18"/>
          <w:lang w:val="es-ES_tradnl"/>
        </w:rPr>
        <w:t>ó</w:t>
      </w:r>
      <w:r>
        <w:rPr>
          <w:spacing w:val="-8"/>
          <w:sz w:val="18"/>
          <w:szCs w:val="18"/>
          <w:lang w:val="es-ES_tradnl"/>
        </w:rPr>
        <w:t>n de inseguridad jur</w:t>
      </w:r>
      <w:r>
        <w:rPr>
          <w:rFonts w:cs="Times New Roman"/>
          <w:spacing w:val="-8"/>
          <w:sz w:val="18"/>
          <w:szCs w:val="18"/>
          <w:lang w:val="es-ES_tradnl"/>
        </w:rPr>
        <w:t>í</w:t>
      </w:r>
      <w:r>
        <w:rPr>
          <w:spacing w:val="-8"/>
          <w:sz w:val="18"/>
          <w:szCs w:val="18"/>
          <w:lang w:val="es-ES_tradnl"/>
        </w:rPr>
        <w:t xml:space="preserve">dica en la persona </w:t>
      </w:r>
      <w:r>
        <w:rPr>
          <w:spacing w:val="-3"/>
          <w:sz w:val="18"/>
          <w:szCs w:val="18"/>
          <w:lang w:val="es-ES_tradnl"/>
        </w:rPr>
        <w:t>que efect</w:t>
      </w:r>
      <w:r>
        <w:rPr>
          <w:rFonts w:cs="Times New Roman"/>
          <w:spacing w:val="-3"/>
          <w:sz w:val="18"/>
          <w:szCs w:val="18"/>
          <w:lang w:val="es-ES_tradnl"/>
        </w:rPr>
        <w:t>ú</w:t>
      </w:r>
      <w:r>
        <w:rPr>
          <w:spacing w:val="-3"/>
          <w:sz w:val="18"/>
          <w:szCs w:val="18"/>
          <w:lang w:val="es-ES_tradnl"/>
        </w:rPr>
        <w:t>a la solicitud y una posible vulneraci</w:t>
      </w:r>
      <w:r>
        <w:rPr>
          <w:rFonts w:cs="Times New Roman"/>
          <w:spacing w:val="-3"/>
          <w:sz w:val="18"/>
          <w:szCs w:val="18"/>
          <w:lang w:val="es-ES_tradnl"/>
        </w:rPr>
        <w:t>ó</w:t>
      </w:r>
      <w:r>
        <w:rPr>
          <w:spacing w:val="-3"/>
          <w:sz w:val="18"/>
          <w:szCs w:val="18"/>
          <w:lang w:val="es-ES_tradnl"/>
        </w:rPr>
        <w:t xml:space="preserve">n de </w:t>
      </w:r>
      <w:r>
        <w:rPr>
          <w:spacing w:val="-7"/>
          <w:sz w:val="18"/>
          <w:szCs w:val="18"/>
          <w:lang w:val="es-ES_tradnl"/>
        </w:rPr>
        <w:t>derechos por la ineficacia de la garant</w:t>
      </w:r>
      <w:r>
        <w:rPr>
          <w:rFonts w:cs="Times New Roman"/>
          <w:spacing w:val="-7"/>
          <w:sz w:val="18"/>
          <w:szCs w:val="18"/>
          <w:lang w:val="es-ES_tradnl"/>
        </w:rPr>
        <w:t>í</w:t>
      </w:r>
      <w:r>
        <w:rPr>
          <w:spacing w:val="-7"/>
          <w:sz w:val="18"/>
          <w:szCs w:val="18"/>
          <w:lang w:val="es-ES_tradnl"/>
        </w:rPr>
        <w:t xml:space="preserve">a jurisdiccional, por cuanto no existe certeza respecto del pronunciamiento de </w:t>
      </w:r>
      <w:r>
        <w:rPr>
          <w:spacing w:val="-6"/>
          <w:sz w:val="18"/>
          <w:szCs w:val="18"/>
          <w:lang w:val="es-ES_tradnl"/>
        </w:rPr>
        <w:t>la persona o entidad en cuanto a lo pedido, lo cual impide</w:t>
      </w:r>
    </w:p>
    <w:p w14:paraId="4F67AC61" w14:textId="77777777" w:rsidR="00591D54" w:rsidRDefault="00591D54">
      <w:pPr>
        <w:shd w:val="clear" w:color="auto" w:fill="FFFFFF"/>
        <w:spacing w:before="581" w:line="178" w:lineRule="exact"/>
        <w:ind w:left="139" w:right="5" w:hanging="139"/>
        <w:jc w:val="both"/>
      </w:pPr>
      <w:r>
        <w:rPr>
          <w:spacing w:val="-4"/>
          <w:sz w:val="16"/>
          <w:szCs w:val="16"/>
          <w:vertAlign w:val="superscript"/>
          <w:lang w:val="es-ES_tradnl"/>
        </w:rPr>
        <w:t>15</w:t>
      </w:r>
      <w:r>
        <w:rPr>
          <w:spacing w:val="-4"/>
          <w:sz w:val="16"/>
          <w:szCs w:val="16"/>
          <w:lang w:val="es-ES_tradnl"/>
        </w:rPr>
        <w:t xml:space="preserve"> </w:t>
      </w:r>
      <w:r>
        <w:rPr>
          <w:spacing w:val="-8"/>
          <w:sz w:val="16"/>
          <w:szCs w:val="16"/>
          <w:lang w:val="es-ES_tradnl"/>
        </w:rPr>
        <w:t>La Sentencia No. 001-14-PJO-CC. Caso No. 0067-11-JD, de 23 de abril de 2014, delimita con claridad la informaci</w:t>
      </w:r>
      <w:r>
        <w:rPr>
          <w:rFonts w:cs="Times New Roman"/>
          <w:spacing w:val="-8"/>
          <w:sz w:val="16"/>
          <w:szCs w:val="16"/>
          <w:lang w:val="es-ES_tradnl"/>
        </w:rPr>
        <w:t>ó</w:t>
      </w:r>
      <w:r>
        <w:rPr>
          <w:spacing w:val="-8"/>
          <w:sz w:val="16"/>
          <w:szCs w:val="16"/>
          <w:lang w:val="es-ES_tradnl"/>
        </w:rPr>
        <w:t xml:space="preserve">n que puede </w:t>
      </w:r>
      <w:r>
        <w:rPr>
          <w:spacing w:val="-11"/>
          <w:sz w:val="16"/>
          <w:szCs w:val="16"/>
          <w:lang w:val="es-ES_tradnl"/>
        </w:rPr>
        <w:t>catalogarse como informaci</w:t>
      </w:r>
      <w:r>
        <w:rPr>
          <w:rFonts w:cs="Times New Roman"/>
          <w:spacing w:val="-11"/>
          <w:sz w:val="16"/>
          <w:szCs w:val="16"/>
          <w:lang w:val="es-ES_tradnl"/>
        </w:rPr>
        <w:t>ó</w:t>
      </w:r>
      <w:r>
        <w:rPr>
          <w:spacing w:val="-11"/>
          <w:sz w:val="16"/>
          <w:szCs w:val="16"/>
          <w:lang w:val="es-ES_tradnl"/>
        </w:rPr>
        <w:t xml:space="preserve">n personal, precisando con claridad el </w:t>
      </w:r>
      <w:r>
        <w:rPr>
          <w:sz w:val="16"/>
          <w:szCs w:val="16"/>
          <w:lang w:val="es-ES_tradnl"/>
        </w:rPr>
        <w:t>objeto de la acci</w:t>
      </w:r>
      <w:r>
        <w:rPr>
          <w:rFonts w:cs="Times New Roman"/>
          <w:sz w:val="16"/>
          <w:szCs w:val="16"/>
          <w:lang w:val="es-ES_tradnl"/>
        </w:rPr>
        <w:t>ó</w:t>
      </w:r>
      <w:r>
        <w:rPr>
          <w:sz w:val="16"/>
          <w:szCs w:val="16"/>
          <w:lang w:val="es-ES_tradnl"/>
        </w:rPr>
        <w:t>n de H</w:t>
      </w:r>
      <w:r>
        <w:rPr>
          <w:rFonts w:cs="Times New Roman"/>
          <w:sz w:val="16"/>
          <w:szCs w:val="16"/>
          <w:lang w:val="es-ES_tradnl"/>
        </w:rPr>
        <w:t>á</w:t>
      </w:r>
      <w:r>
        <w:rPr>
          <w:sz w:val="16"/>
          <w:szCs w:val="16"/>
          <w:lang w:val="es-ES_tradnl"/>
        </w:rPr>
        <w:t>beas Data.</w:t>
      </w:r>
    </w:p>
    <w:p w14:paraId="4F67AC62" w14:textId="77777777" w:rsidR="00591D54" w:rsidRDefault="00591D54">
      <w:pPr>
        <w:shd w:val="clear" w:color="auto" w:fill="FFFFFF"/>
        <w:spacing w:line="216" w:lineRule="exact"/>
        <w:jc w:val="both"/>
      </w:pPr>
      <w:r>
        <w:br w:type="column"/>
      </w:r>
      <w:r>
        <w:rPr>
          <w:spacing w:val="-4"/>
          <w:sz w:val="18"/>
          <w:szCs w:val="18"/>
          <w:lang w:val="es-ES_tradnl"/>
        </w:rPr>
        <w:t>determinar si la omisi</w:t>
      </w:r>
      <w:r>
        <w:rPr>
          <w:rFonts w:cs="Times New Roman"/>
          <w:spacing w:val="-4"/>
          <w:sz w:val="18"/>
          <w:szCs w:val="18"/>
          <w:lang w:val="es-ES_tradnl"/>
        </w:rPr>
        <w:t>ó</w:t>
      </w:r>
      <w:r>
        <w:rPr>
          <w:spacing w:val="-4"/>
          <w:sz w:val="18"/>
          <w:szCs w:val="18"/>
          <w:lang w:val="es-ES_tradnl"/>
        </w:rPr>
        <w:t xml:space="preserve">n de la persona o entidad implica </w:t>
      </w:r>
      <w:r>
        <w:rPr>
          <w:spacing w:val="-5"/>
          <w:sz w:val="18"/>
          <w:szCs w:val="18"/>
          <w:lang w:val="es-ES_tradnl"/>
        </w:rPr>
        <w:t>la vulneraci</w:t>
      </w:r>
      <w:r>
        <w:rPr>
          <w:rFonts w:cs="Times New Roman"/>
          <w:spacing w:val="-5"/>
          <w:sz w:val="18"/>
          <w:szCs w:val="18"/>
          <w:lang w:val="es-ES_tradnl"/>
        </w:rPr>
        <w:t>ó</w:t>
      </w:r>
      <w:r>
        <w:rPr>
          <w:spacing w:val="-5"/>
          <w:sz w:val="18"/>
          <w:szCs w:val="18"/>
          <w:lang w:val="es-ES_tradnl"/>
        </w:rPr>
        <w:t xml:space="preserve">n del derecho del solicitante y por ende, si </w:t>
      </w:r>
      <w:r>
        <w:rPr>
          <w:spacing w:val="-4"/>
          <w:sz w:val="18"/>
          <w:szCs w:val="18"/>
          <w:lang w:val="es-ES_tradnl"/>
        </w:rPr>
        <w:t>permite la interposici</w:t>
      </w:r>
      <w:r>
        <w:rPr>
          <w:rFonts w:cs="Times New Roman"/>
          <w:spacing w:val="-4"/>
          <w:sz w:val="18"/>
          <w:szCs w:val="18"/>
          <w:lang w:val="es-ES_tradnl"/>
        </w:rPr>
        <w:t>ó</w:t>
      </w:r>
      <w:r>
        <w:rPr>
          <w:spacing w:val="-4"/>
          <w:sz w:val="18"/>
          <w:szCs w:val="18"/>
          <w:lang w:val="es-ES_tradnl"/>
        </w:rPr>
        <w:t>n de la acci</w:t>
      </w:r>
      <w:r>
        <w:rPr>
          <w:rFonts w:cs="Times New Roman"/>
          <w:spacing w:val="-4"/>
          <w:sz w:val="18"/>
          <w:szCs w:val="18"/>
          <w:lang w:val="es-ES_tradnl"/>
        </w:rPr>
        <w:t>ó</w:t>
      </w:r>
      <w:r>
        <w:rPr>
          <w:spacing w:val="-4"/>
          <w:sz w:val="18"/>
          <w:szCs w:val="18"/>
          <w:lang w:val="es-ES_tradnl"/>
        </w:rPr>
        <w:t>n constitucional. As</w:t>
      </w:r>
      <w:r>
        <w:rPr>
          <w:rFonts w:cs="Times New Roman"/>
          <w:spacing w:val="-4"/>
          <w:sz w:val="18"/>
          <w:szCs w:val="18"/>
          <w:lang w:val="es-ES_tradnl"/>
        </w:rPr>
        <w:t xml:space="preserve">í </w:t>
      </w:r>
      <w:r>
        <w:rPr>
          <w:spacing w:val="-8"/>
          <w:sz w:val="18"/>
          <w:szCs w:val="18"/>
          <w:lang w:val="es-ES_tradnl"/>
        </w:rPr>
        <w:t>tambi</w:t>
      </w:r>
      <w:r>
        <w:rPr>
          <w:rFonts w:cs="Times New Roman"/>
          <w:spacing w:val="-8"/>
          <w:sz w:val="18"/>
          <w:szCs w:val="18"/>
          <w:lang w:val="es-ES_tradnl"/>
        </w:rPr>
        <w:t>é</w:t>
      </w:r>
      <w:r>
        <w:rPr>
          <w:spacing w:val="-8"/>
          <w:sz w:val="18"/>
          <w:szCs w:val="18"/>
          <w:lang w:val="es-ES_tradnl"/>
        </w:rPr>
        <w:t xml:space="preserve">n, al no establecerse un plazo para que la persona o </w:t>
      </w:r>
      <w:r>
        <w:rPr>
          <w:spacing w:val="-12"/>
          <w:sz w:val="18"/>
          <w:szCs w:val="18"/>
          <w:lang w:val="es-ES_tradnl"/>
        </w:rPr>
        <w:t>entidad emita su respuesta razonada, se genera una situaci</w:t>
      </w:r>
      <w:r>
        <w:rPr>
          <w:rFonts w:cs="Times New Roman"/>
          <w:spacing w:val="-12"/>
          <w:sz w:val="18"/>
          <w:szCs w:val="18"/>
          <w:lang w:val="es-ES_tradnl"/>
        </w:rPr>
        <w:t>ó</w:t>
      </w:r>
      <w:r>
        <w:rPr>
          <w:spacing w:val="-12"/>
          <w:sz w:val="18"/>
          <w:szCs w:val="18"/>
          <w:lang w:val="es-ES_tradnl"/>
        </w:rPr>
        <w:t xml:space="preserve">n </w:t>
      </w:r>
      <w:r>
        <w:rPr>
          <w:spacing w:val="-11"/>
          <w:sz w:val="18"/>
          <w:szCs w:val="18"/>
          <w:lang w:val="es-ES_tradnl"/>
        </w:rPr>
        <w:t xml:space="preserve">de incertidumbre respecto de las acciones que debe efectuar </w:t>
      </w:r>
      <w:r>
        <w:rPr>
          <w:spacing w:val="-10"/>
          <w:sz w:val="18"/>
          <w:szCs w:val="18"/>
          <w:lang w:val="es-ES_tradnl"/>
        </w:rPr>
        <w:t>para responder a lo solicitado, cuesti</w:t>
      </w:r>
      <w:r>
        <w:rPr>
          <w:rFonts w:cs="Times New Roman"/>
          <w:spacing w:val="-10"/>
          <w:sz w:val="18"/>
          <w:szCs w:val="18"/>
          <w:lang w:val="es-ES_tradnl"/>
        </w:rPr>
        <w:t>ó</w:t>
      </w:r>
      <w:r>
        <w:rPr>
          <w:spacing w:val="-10"/>
          <w:sz w:val="18"/>
          <w:szCs w:val="18"/>
          <w:lang w:val="es-ES_tradnl"/>
        </w:rPr>
        <w:t>n que podr</w:t>
      </w:r>
      <w:r>
        <w:rPr>
          <w:rFonts w:cs="Times New Roman"/>
          <w:spacing w:val="-10"/>
          <w:sz w:val="18"/>
          <w:szCs w:val="18"/>
          <w:lang w:val="es-ES_tradnl"/>
        </w:rPr>
        <w:t>í</w:t>
      </w:r>
      <w:r>
        <w:rPr>
          <w:spacing w:val="-10"/>
          <w:sz w:val="18"/>
          <w:szCs w:val="18"/>
          <w:lang w:val="es-ES_tradnl"/>
        </w:rPr>
        <w:t xml:space="preserve">a ocasionar </w:t>
      </w:r>
      <w:r>
        <w:rPr>
          <w:spacing w:val="-5"/>
          <w:sz w:val="18"/>
          <w:szCs w:val="18"/>
          <w:lang w:val="es-ES_tradnl"/>
        </w:rPr>
        <w:t>una err</w:t>
      </w:r>
      <w:r>
        <w:rPr>
          <w:rFonts w:cs="Times New Roman"/>
          <w:spacing w:val="-5"/>
          <w:sz w:val="18"/>
          <w:szCs w:val="18"/>
          <w:lang w:val="es-ES_tradnl"/>
        </w:rPr>
        <w:t>ó</w:t>
      </w:r>
      <w:r>
        <w:rPr>
          <w:spacing w:val="-5"/>
          <w:sz w:val="18"/>
          <w:szCs w:val="18"/>
          <w:lang w:val="es-ES_tradnl"/>
        </w:rPr>
        <w:t>nea utilizaci</w:t>
      </w:r>
      <w:r>
        <w:rPr>
          <w:rFonts w:cs="Times New Roman"/>
          <w:spacing w:val="-5"/>
          <w:sz w:val="18"/>
          <w:szCs w:val="18"/>
          <w:lang w:val="es-ES_tradnl"/>
        </w:rPr>
        <w:t>ó</w:t>
      </w:r>
      <w:r>
        <w:rPr>
          <w:spacing w:val="-5"/>
          <w:sz w:val="18"/>
          <w:szCs w:val="18"/>
          <w:lang w:val="es-ES_tradnl"/>
        </w:rPr>
        <w:t>n de la garant</w:t>
      </w:r>
      <w:r>
        <w:rPr>
          <w:rFonts w:cs="Times New Roman"/>
          <w:spacing w:val="-5"/>
          <w:sz w:val="18"/>
          <w:szCs w:val="18"/>
          <w:lang w:val="es-ES_tradnl"/>
        </w:rPr>
        <w:t>í</w:t>
      </w:r>
      <w:r>
        <w:rPr>
          <w:spacing w:val="-5"/>
          <w:sz w:val="18"/>
          <w:szCs w:val="18"/>
          <w:lang w:val="es-ES_tradnl"/>
        </w:rPr>
        <w:t xml:space="preserve">a jurisdiccional que </w:t>
      </w:r>
      <w:r>
        <w:rPr>
          <w:spacing w:val="-9"/>
          <w:sz w:val="18"/>
          <w:szCs w:val="18"/>
          <w:lang w:val="es-ES_tradnl"/>
        </w:rPr>
        <w:t>desnaturalice su funci</w:t>
      </w:r>
      <w:r>
        <w:rPr>
          <w:rFonts w:cs="Times New Roman"/>
          <w:spacing w:val="-9"/>
          <w:sz w:val="18"/>
          <w:szCs w:val="18"/>
          <w:lang w:val="es-ES_tradnl"/>
        </w:rPr>
        <w:t>ó</w:t>
      </w:r>
      <w:r>
        <w:rPr>
          <w:spacing w:val="-9"/>
          <w:sz w:val="18"/>
          <w:szCs w:val="18"/>
          <w:lang w:val="es-ES_tradnl"/>
        </w:rPr>
        <w:t>n y alcance, como ocurri</w:t>
      </w:r>
      <w:r>
        <w:rPr>
          <w:rFonts w:cs="Times New Roman"/>
          <w:spacing w:val="-9"/>
          <w:sz w:val="18"/>
          <w:szCs w:val="18"/>
          <w:lang w:val="es-ES_tradnl"/>
        </w:rPr>
        <w:t>ó</w:t>
      </w:r>
      <w:r>
        <w:rPr>
          <w:spacing w:val="-9"/>
          <w:sz w:val="18"/>
          <w:szCs w:val="18"/>
          <w:lang w:val="es-ES_tradnl"/>
        </w:rPr>
        <w:t xml:space="preserve"> en el caso </w:t>
      </w:r>
      <w:r>
        <w:rPr>
          <w:i/>
          <w:iCs/>
          <w:spacing w:val="-10"/>
          <w:sz w:val="18"/>
          <w:szCs w:val="18"/>
          <w:lang w:val="es-ES_tradnl"/>
        </w:rPr>
        <w:t>sub examine</w:t>
      </w:r>
      <w:r>
        <w:rPr>
          <w:spacing w:val="-10"/>
          <w:sz w:val="18"/>
          <w:szCs w:val="18"/>
          <w:lang w:val="es-ES_tradnl"/>
        </w:rPr>
        <w:t>, al haberse planteado la acci</w:t>
      </w:r>
      <w:r>
        <w:rPr>
          <w:rFonts w:cs="Times New Roman"/>
          <w:spacing w:val="-10"/>
          <w:sz w:val="18"/>
          <w:szCs w:val="18"/>
          <w:lang w:val="es-ES_tradnl"/>
        </w:rPr>
        <w:t>ó</w:t>
      </w:r>
      <w:r>
        <w:rPr>
          <w:spacing w:val="-10"/>
          <w:sz w:val="18"/>
          <w:szCs w:val="18"/>
          <w:lang w:val="es-ES_tradnl"/>
        </w:rPr>
        <w:t>n de h</w:t>
      </w:r>
      <w:r>
        <w:rPr>
          <w:rFonts w:cs="Times New Roman"/>
          <w:spacing w:val="-10"/>
          <w:sz w:val="18"/>
          <w:szCs w:val="18"/>
          <w:lang w:val="es-ES_tradnl"/>
        </w:rPr>
        <w:t>á</w:t>
      </w:r>
      <w:r>
        <w:rPr>
          <w:spacing w:val="-10"/>
          <w:sz w:val="18"/>
          <w:szCs w:val="18"/>
          <w:lang w:val="es-ES_tradnl"/>
        </w:rPr>
        <w:t xml:space="preserve">beas data </w:t>
      </w:r>
      <w:r>
        <w:rPr>
          <w:spacing w:val="-8"/>
          <w:sz w:val="18"/>
          <w:szCs w:val="18"/>
          <w:lang w:val="es-ES_tradnl"/>
        </w:rPr>
        <w:t>dos d</w:t>
      </w:r>
      <w:r>
        <w:rPr>
          <w:rFonts w:cs="Times New Roman"/>
          <w:spacing w:val="-8"/>
          <w:sz w:val="18"/>
          <w:szCs w:val="18"/>
          <w:lang w:val="es-ES_tradnl"/>
        </w:rPr>
        <w:t>í</w:t>
      </w:r>
      <w:r>
        <w:rPr>
          <w:spacing w:val="-8"/>
          <w:sz w:val="18"/>
          <w:szCs w:val="18"/>
          <w:lang w:val="es-ES_tradnl"/>
        </w:rPr>
        <w:t>as despu</w:t>
      </w:r>
      <w:r>
        <w:rPr>
          <w:rFonts w:cs="Times New Roman"/>
          <w:spacing w:val="-8"/>
          <w:sz w:val="18"/>
          <w:szCs w:val="18"/>
          <w:lang w:val="es-ES_tradnl"/>
        </w:rPr>
        <w:t>é</w:t>
      </w:r>
      <w:r>
        <w:rPr>
          <w:spacing w:val="-8"/>
          <w:sz w:val="18"/>
          <w:szCs w:val="18"/>
          <w:lang w:val="es-ES_tradnl"/>
        </w:rPr>
        <w:t>s de haberse requerido la informaci</w:t>
      </w:r>
      <w:r>
        <w:rPr>
          <w:rFonts w:cs="Times New Roman"/>
          <w:spacing w:val="-8"/>
          <w:sz w:val="18"/>
          <w:szCs w:val="18"/>
          <w:lang w:val="es-ES_tradnl"/>
        </w:rPr>
        <w:t>ó</w:t>
      </w:r>
      <w:r>
        <w:rPr>
          <w:spacing w:val="-8"/>
          <w:sz w:val="18"/>
          <w:szCs w:val="18"/>
          <w:lang w:val="es-ES_tradnl"/>
        </w:rPr>
        <w:t xml:space="preserve">n a la </w:t>
      </w:r>
      <w:r>
        <w:rPr>
          <w:sz w:val="18"/>
          <w:szCs w:val="18"/>
          <w:lang w:val="es-ES_tradnl"/>
        </w:rPr>
        <w:t>autoridad administrativa.</w:t>
      </w:r>
    </w:p>
    <w:p w14:paraId="4F67AC63" w14:textId="77777777" w:rsidR="00591D54" w:rsidRDefault="00591D54">
      <w:pPr>
        <w:shd w:val="clear" w:color="auto" w:fill="FFFFFF"/>
        <w:spacing w:before="197" w:line="216" w:lineRule="exact"/>
        <w:jc w:val="both"/>
      </w:pPr>
      <w:r>
        <w:rPr>
          <w:spacing w:val="-8"/>
          <w:sz w:val="18"/>
          <w:szCs w:val="18"/>
          <w:lang w:val="es-ES_tradnl"/>
        </w:rPr>
        <w:t>Ante esta circunstancia que presenta el art</w:t>
      </w:r>
      <w:r>
        <w:rPr>
          <w:rFonts w:cs="Times New Roman"/>
          <w:spacing w:val="-8"/>
          <w:sz w:val="18"/>
          <w:szCs w:val="18"/>
          <w:lang w:val="es-ES_tradnl"/>
        </w:rPr>
        <w:t>í</w:t>
      </w:r>
      <w:r>
        <w:rPr>
          <w:spacing w:val="-8"/>
          <w:sz w:val="18"/>
          <w:szCs w:val="18"/>
          <w:lang w:val="es-ES_tradnl"/>
        </w:rPr>
        <w:t xml:space="preserve">culo analizado, </w:t>
      </w:r>
      <w:r>
        <w:rPr>
          <w:spacing w:val="-9"/>
          <w:sz w:val="18"/>
          <w:szCs w:val="18"/>
          <w:lang w:val="es-ES_tradnl"/>
        </w:rPr>
        <w:t>compete a la Corte Constitucional, en su calidad de m</w:t>
      </w:r>
      <w:r>
        <w:rPr>
          <w:rFonts w:cs="Times New Roman"/>
          <w:spacing w:val="-9"/>
          <w:sz w:val="18"/>
          <w:szCs w:val="18"/>
          <w:lang w:val="es-ES_tradnl"/>
        </w:rPr>
        <w:t>á</w:t>
      </w:r>
      <w:r>
        <w:rPr>
          <w:spacing w:val="-9"/>
          <w:sz w:val="18"/>
          <w:szCs w:val="18"/>
          <w:lang w:val="es-ES_tradnl"/>
        </w:rPr>
        <w:t xml:space="preserve">ximo </w:t>
      </w:r>
      <w:r>
        <w:rPr>
          <w:spacing w:val="-7"/>
          <w:sz w:val="18"/>
          <w:szCs w:val="18"/>
          <w:lang w:val="es-ES_tradnl"/>
        </w:rPr>
        <w:t>int</w:t>
      </w:r>
      <w:r>
        <w:rPr>
          <w:rFonts w:cs="Times New Roman"/>
          <w:spacing w:val="-7"/>
          <w:sz w:val="18"/>
          <w:szCs w:val="18"/>
          <w:lang w:val="es-ES_tradnl"/>
        </w:rPr>
        <w:t>é</w:t>
      </w:r>
      <w:r>
        <w:rPr>
          <w:spacing w:val="-7"/>
          <w:sz w:val="18"/>
          <w:szCs w:val="18"/>
          <w:lang w:val="es-ES_tradnl"/>
        </w:rPr>
        <w:t>rprete de la Constituci</w:t>
      </w:r>
      <w:r>
        <w:rPr>
          <w:rFonts w:cs="Times New Roman"/>
          <w:spacing w:val="-7"/>
          <w:sz w:val="18"/>
          <w:szCs w:val="18"/>
          <w:lang w:val="es-ES_tradnl"/>
        </w:rPr>
        <w:t>ó</w:t>
      </w:r>
      <w:r>
        <w:rPr>
          <w:spacing w:val="-7"/>
          <w:sz w:val="18"/>
          <w:szCs w:val="18"/>
          <w:lang w:val="es-ES_tradnl"/>
        </w:rPr>
        <w:t xml:space="preserve">n, garante de los derechos </w:t>
      </w:r>
      <w:r>
        <w:rPr>
          <w:spacing w:val="-8"/>
          <w:sz w:val="18"/>
          <w:szCs w:val="18"/>
          <w:lang w:val="es-ES_tradnl"/>
        </w:rPr>
        <w:t>constitucionales, de sus garant</w:t>
      </w:r>
      <w:r>
        <w:rPr>
          <w:rFonts w:cs="Times New Roman"/>
          <w:spacing w:val="-8"/>
          <w:sz w:val="18"/>
          <w:szCs w:val="18"/>
          <w:lang w:val="es-ES_tradnl"/>
        </w:rPr>
        <w:t>í</w:t>
      </w:r>
      <w:r>
        <w:rPr>
          <w:spacing w:val="-8"/>
          <w:sz w:val="18"/>
          <w:szCs w:val="18"/>
          <w:lang w:val="es-ES_tradnl"/>
        </w:rPr>
        <w:t>as, interpretar el art</w:t>
      </w:r>
      <w:r>
        <w:rPr>
          <w:rFonts w:cs="Times New Roman"/>
          <w:spacing w:val="-8"/>
          <w:sz w:val="18"/>
          <w:szCs w:val="18"/>
          <w:lang w:val="es-ES_tradnl"/>
        </w:rPr>
        <w:t>í</w:t>
      </w:r>
      <w:r>
        <w:rPr>
          <w:spacing w:val="-8"/>
          <w:sz w:val="18"/>
          <w:szCs w:val="18"/>
          <w:lang w:val="es-ES_tradnl"/>
        </w:rPr>
        <w:t xml:space="preserve">culo 50 de la Ley conforme a los mandatos constitucionales, pues </w:t>
      </w:r>
      <w:r>
        <w:rPr>
          <w:spacing w:val="-6"/>
          <w:sz w:val="18"/>
          <w:szCs w:val="18"/>
          <w:lang w:val="es-ES_tradnl"/>
        </w:rPr>
        <w:t>esta confusi</w:t>
      </w:r>
      <w:r>
        <w:rPr>
          <w:rFonts w:cs="Times New Roman"/>
          <w:spacing w:val="-6"/>
          <w:sz w:val="18"/>
          <w:szCs w:val="18"/>
          <w:lang w:val="es-ES_tradnl"/>
        </w:rPr>
        <w:t>ó</w:t>
      </w:r>
      <w:r>
        <w:rPr>
          <w:spacing w:val="-6"/>
          <w:sz w:val="18"/>
          <w:szCs w:val="18"/>
          <w:lang w:val="es-ES_tradnl"/>
        </w:rPr>
        <w:t>n originar</w:t>
      </w:r>
      <w:r>
        <w:rPr>
          <w:rFonts w:cs="Times New Roman"/>
          <w:spacing w:val="-6"/>
          <w:sz w:val="18"/>
          <w:szCs w:val="18"/>
          <w:lang w:val="es-ES_tradnl"/>
        </w:rPr>
        <w:t>í</w:t>
      </w:r>
      <w:r>
        <w:rPr>
          <w:spacing w:val="-6"/>
          <w:sz w:val="18"/>
          <w:szCs w:val="18"/>
          <w:lang w:val="es-ES_tradnl"/>
        </w:rPr>
        <w:t xml:space="preserve">a que los jueces constitucionales </w:t>
      </w:r>
      <w:r>
        <w:rPr>
          <w:spacing w:val="-7"/>
          <w:sz w:val="18"/>
          <w:szCs w:val="18"/>
          <w:lang w:val="es-ES_tradnl"/>
        </w:rPr>
        <w:t>interpreten de distinta forma c</w:t>
      </w:r>
      <w:r>
        <w:rPr>
          <w:rFonts w:cs="Times New Roman"/>
          <w:spacing w:val="-7"/>
          <w:sz w:val="18"/>
          <w:szCs w:val="18"/>
          <w:lang w:val="es-ES_tradnl"/>
        </w:rPr>
        <w:t>ó</w:t>
      </w:r>
      <w:r>
        <w:rPr>
          <w:spacing w:val="-7"/>
          <w:sz w:val="18"/>
          <w:szCs w:val="18"/>
          <w:lang w:val="es-ES_tradnl"/>
        </w:rPr>
        <w:t xml:space="preserve">mo debe procederse en la </w:t>
      </w:r>
      <w:r>
        <w:rPr>
          <w:spacing w:val="-8"/>
          <w:sz w:val="18"/>
          <w:szCs w:val="18"/>
          <w:lang w:val="es-ES_tradnl"/>
        </w:rPr>
        <w:t>resoluci</w:t>
      </w:r>
      <w:r>
        <w:rPr>
          <w:rFonts w:cs="Times New Roman"/>
          <w:spacing w:val="-8"/>
          <w:sz w:val="18"/>
          <w:szCs w:val="18"/>
          <w:lang w:val="es-ES_tradnl"/>
        </w:rPr>
        <w:t>ó</w:t>
      </w:r>
      <w:r>
        <w:rPr>
          <w:spacing w:val="-8"/>
          <w:sz w:val="18"/>
          <w:szCs w:val="18"/>
          <w:lang w:val="es-ES_tradnl"/>
        </w:rPr>
        <w:t>n de las acciones de h</w:t>
      </w:r>
      <w:r>
        <w:rPr>
          <w:rFonts w:cs="Times New Roman"/>
          <w:spacing w:val="-8"/>
          <w:sz w:val="18"/>
          <w:szCs w:val="18"/>
          <w:lang w:val="es-ES_tradnl"/>
        </w:rPr>
        <w:t>á</w:t>
      </w:r>
      <w:r>
        <w:rPr>
          <w:spacing w:val="-8"/>
          <w:sz w:val="18"/>
          <w:szCs w:val="18"/>
          <w:lang w:val="es-ES_tradnl"/>
        </w:rPr>
        <w:t>beas data, produci</w:t>
      </w:r>
      <w:r>
        <w:rPr>
          <w:rFonts w:cs="Times New Roman"/>
          <w:spacing w:val="-8"/>
          <w:sz w:val="18"/>
          <w:szCs w:val="18"/>
          <w:lang w:val="es-ES_tradnl"/>
        </w:rPr>
        <w:t>é</w:t>
      </w:r>
      <w:r>
        <w:rPr>
          <w:spacing w:val="-8"/>
          <w:sz w:val="18"/>
          <w:szCs w:val="18"/>
          <w:lang w:val="es-ES_tradnl"/>
        </w:rPr>
        <w:t xml:space="preserve">ndose </w:t>
      </w:r>
      <w:r>
        <w:rPr>
          <w:spacing w:val="-2"/>
          <w:sz w:val="18"/>
          <w:szCs w:val="18"/>
          <w:lang w:val="es-ES_tradnl"/>
        </w:rPr>
        <w:t>de esa manera vulneraciones sistem</w:t>
      </w:r>
      <w:r>
        <w:rPr>
          <w:rFonts w:cs="Times New Roman"/>
          <w:spacing w:val="-2"/>
          <w:sz w:val="18"/>
          <w:szCs w:val="18"/>
          <w:lang w:val="es-ES_tradnl"/>
        </w:rPr>
        <w:t>á</w:t>
      </w:r>
      <w:r>
        <w:rPr>
          <w:spacing w:val="-2"/>
          <w:sz w:val="18"/>
          <w:szCs w:val="18"/>
          <w:lang w:val="es-ES_tradnl"/>
        </w:rPr>
        <w:t xml:space="preserve">ticas del derecho </w:t>
      </w:r>
      <w:r>
        <w:rPr>
          <w:spacing w:val="-5"/>
          <w:sz w:val="18"/>
          <w:szCs w:val="18"/>
          <w:lang w:val="es-ES_tradnl"/>
        </w:rPr>
        <w:t>a la seguridad jur</w:t>
      </w:r>
      <w:r>
        <w:rPr>
          <w:rFonts w:cs="Times New Roman"/>
          <w:spacing w:val="-5"/>
          <w:sz w:val="18"/>
          <w:szCs w:val="18"/>
          <w:lang w:val="es-ES_tradnl"/>
        </w:rPr>
        <w:t>í</w:t>
      </w:r>
      <w:r>
        <w:rPr>
          <w:spacing w:val="-5"/>
          <w:sz w:val="18"/>
          <w:szCs w:val="18"/>
          <w:lang w:val="es-ES_tradnl"/>
        </w:rPr>
        <w:t>dica y la ineficacia de la garant</w:t>
      </w:r>
      <w:r>
        <w:rPr>
          <w:rFonts w:cs="Times New Roman"/>
          <w:spacing w:val="-5"/>
          <w:sz w:val="18"/>
          <w:szCs w:val="18"/>
          <w:lang w:val="es-ES_tradnl"/>
        </w:rPr>
        <w:t>í</w:t>
      </w:r>
      <w:r>
        <w:rPr>
          <w:spacing w:val="-5"/>
          <w:sz w:val="18"/>
          <w:szCs w:val="18"/>
          <w:lang w:val="es-ES_tradnl"/>
        </w:rPr>
        <w:t xml:space="preserve">a </w:t>
      </w:r>
      <w:r>
        <w:rPr>
          <w:sz w:val="18"/>
          <w:szCs w:val="18"/>
          <w:lang w:val="es-ES_tradnl"/>
        </w:rPr>
        <w:t>jurisdiccional.</w:t>
      </w:r>
    </w:p>
    <w:p w14:paraId="4F67AC64" w14:textId="77777777" w:rsidR="00591D54" w:rsidRDefault="00591D54">
      <w:pPr>
        <w:shd w:val="clear" w:color="auto" w:fill="FFFFFF"/>
        <w:spacing w:before="192" w:line="216" w:lineRule="exact"/>
        <w:jc w:val="both"/>
      </w:pPr>
      <w:r>
        <w:rPr>
          <w:b/>
          <w:bCs/>
          <w:spacing w:val="-4"/>
          <w:sz w:val="18"/>
          <w:szCs w:val="18"/>
          <w:lang w:val="es-ES_tradnl"/>
        </w:rPr>
        <w:t>Interpretaci</w:t>
      </w:r>
      <w:r>
        <w:rPr>
          <w:rFonts w:cs="Times New Roman"/>
          <w:b/>
          <w:bCs/>
          <w:spacing w:val="-4"/>
          <w:sz w:val="18"/>
          <w:szCs w:val="18"/>
          <w:lang w:val="es-ES_tradnl"/>
        </w:rPr>
        <w:t>ó</w:t>
      </w:r>
      <w:r>
        <w:rPr>
          <w:b/>
          <w:bCs/>
          <w:spacing w:val="-4"/>
          <w:sz w:val="18"/>
          <w:szCs w:val="18"/>
          <w:lang w:val="es-ES_tradnl"/>
        </w:rPr>
        <w:t>n conforme del art</w:t>
      </w:r>
      <w:r>
        <w:rPr>
          <w:rFonts w:cs="Times New Roman"/>
          <w:b/>
          <w:bCs/>
          <w:spacing w:val="-4"/>
          <w:sz w:val="18"/>
          <w:szCs w:val="18"/>
          <w:lang w:val="es-ES_tradnl"/>
        </w:rPr>
        <w:t>í</w:t>
      </w:r>
      <w:r>
        <w:rPr>
          <w:b/>
          <w:bCs/>
          <w:spacing w:val="-4"/>
          <w:sz w:val="18"/>
          <w:szCs w:val="18"/>
          <w:lang w:val="es-ES_tradnl"/>
        </w:rPr>
        <w:t xml:space="preserve">culo 50 de la Ley </w:t>
      </w:r>
      <w:r>
        <w:rPr>
          <w:b/>
          <w:bCs/>
          <w:spacing w:val="-7"/>
          <w:sz w:val="18"/>
          <w:szCs w:val="18"/>
          <w:lang w:val="es-ES_tradnl"/>
        </w:rPr>
        <w:t>Org</w:t>
      </w:r>
      <w:r>
        <w:rPr>
          <w:rFonts w:cs="Times New Roman"/>
          <w:b/>
          <w:bCs/>
          <w:spacing w:val="-7"/>
          <w:sz w:val="18"/>
          <w:szCs w:val="18"/>
          <w:lang w:val="es-ES_tradnl"/>
        </w:rPr>
        <w:t>á</w:t>
      </w:r>
      <w:r>
        <w:rPr>
          <w:b/>
          <w:bCs/>
          <w:spacing w:val="-7"/>
          <w:sz w:val="18"/>
          <w:szCs w:val="18"/>
          <w:lang w:val="es-ES_tradnl"/>
        </w:rPr>
        <w:t>nica de Garant</w:t>
      </w:r>
      <w:r>
        <w:rPr>
          <w:rFonts w:cs="Times New Roman"/>
          <w:b/>
          <w:bCs/>
          <w:spacing w:val="-7"/>
          <w:sz w:val="18"/>
          <w:szCs w:val="18"/>
          <w:lang w:val="es-ES_tradnl"/>
        </w:rPr>
        <w:t>í</w:t>
      </w:r>
      <w:r>
        <w:rPr>
          <w:b/>
          <w:bCs/>
          <w:spacing w:val="-7"/>
          <w:sz w:val="18"/>
          <w:szCs w:val="18"/>
          <w:lang w:val="es-ES_tradnl"/>
        </w:rPr>
        <w:t xml:space="preserve">as Jurisdiccionales y Control </w:t>
      </w:r>
      <w:r>
        <w:rPr>
          <w:b/>
          <w:bCs/>
          <w:sz w:val="18"/>
          <w:szCs w:val="18"/>
          <w:lang w:val="es-ES_tradnl"/>
        </w:rPr>
        <w:t>Constitucional</w:t>
      </w:r>
    </w:p>
    <w:p w14:paraId="4F67AC65" w14:textId="77777777" w:rsidR="00591D54" w:rsidRDefault="00591D54">
      <w:pPr>
        <w:shd w:val="clear" w:color="auto" w:fill="FFFFFF"/>
        <w:spacing w:before="192" w:line="211" w:lineRule="exact"/>
        <w:jc w:val="both"/>
      </w:pPr>
      <w:r>
        <w:rPr>
          <w:spacing w:val="-6"/>
          <w:sz w:val="18"/>
          <w:szCs w:val="18"/>
          <w:lang w:val="es-ES_tradnl"/>
        </w:rPr>
        <w:t>La aprobaci</w:t>
      </w:r>
      <w:r>
        <w:rPr>
          <w:rFonts w:cs="Times New Roman"/>
          <w:spacing w:val="-6"/>
          <w:sz w:val="18"/>
          <w:szCs w:val="18"/>
          <w:lang w:val="es-ES_tradnl"/>
        </w:rPr>
        <w:t>ó</w:t>
      </w:r>
      <w:r>
        <w:rPr>
          <w:spacing w:val="-6"/>
          <w:sz w:val="18"/>
          <w:szCs w:val="18"/>
          <w:lang w:val="es-ES_tradnl"/>
        </w:rPr>
        <w:t>n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 del a</w:t>
      </w:r>
      <w:r>
        <w:rPr>
          <w:rFonts w:cs="Times New Roman"/>
          <w:spacing w:val="-6"/>
          <w:sz w:val="18"/>
          <w:szCs w:val="18"/>
          <w:lang w:val="es-ES_tradnl"/>
        </w:rPr>
        <w:t>ñ</w:t>
      </w:r>
      <w:r>
        <w:rPr>
          <w:spacing w:val="-6"/>
          <w:sz w:val="18"/>
          <w:szCs w:val="18"/>
          <w:lang w:val="es-ES_tradnl"/>
        </w:rPr>
        <w:t xml:space="preserve">o </w:t>
      </w:r>
      <w:r>
        <w:rPr>
          <w:spacing w:val="-8"/>
          <w:sz w:val="18"/>
          <w:szCs w:val="18"/>
          <w:lang w:val="es-ES_tradnl"/>
        </w:rPr>
        <w:t>2008 tuvo como consecuencia, a m</w:t>
      </w:r>
      <w:r>
        <w:rPr>
          <w:rFonts w:cs="Times New Roman"/>
          <w:spacing w:val="-8"/>
          <w:sz w:val="18"/>
          <w:szCs w:val="18"/>
          <w:lang w:val="es-ES_tradnl"/>
        </w:rPr>
        <w:t>á</w:t>
      </w:r>
      <w:r>
        <w:rPr>
          <w:spacing w:val="-8"/>
          <w:sz w:val="18"/>
          <w:szCs w:val="18"/>
          <w:lang w:val="es-ES_tradnl"/>
        </w:rPr>
        <w:t>s de la ampliaci</w:t>
      </w:r>
      <w:r>
        <w:rPr>
          <w:rFonts w:cs="Times New Roman"/>
          <w:spacing w:val="-8"/>
          <w:sz w:val="18"/>
          <w:szCs w:val="18"/>
          <w:lang w:val="es-ES_tradnl"/>
        </w:rPr>
        <w:t>ó</w:t>
      </w:r>
      <w:r>
        <w:rPr>
          <w:spacing w:val="-8"/>
          <w:sz w:val="18"/>
          <w:szCs w:val="18"/>
          <w:lang w:val="es-ES_tradnl"/>
        </w:rPr>
        <w:t>n del cat</w:t>
      </w:r>
      <w:r>
        <w:rPr>
          <w:rFonts w:cs="Times New Roman"/>
          <w:spacing w:val="-8"/>
          <w:sz w:val="18"/>
          <w:szCs w:val="18"/>
          <w:lang w:val="es-ES_tradnl"/>
        </w:rPr>
        <w:t>á</w:t>
      </w:r>
      <w:r>
        <w:rPr>
          <w:spacing w:val="-8"/>
          <w:sz w:val="18"/>
          <w:szCs w:val="18"/>
          <w:lang w:val="es-ES_tradnl"/>
        </w:rPr>
        <w:t>logo de derechos y la nueva organizaci</w:t>
      </w:r>
      <w:r>
        <w:rPr>
          <w:rFonts w:cs="Times New Roman"/>
          <w:spacing w:val="-8"/>
          <w:sz w:val="18"/>
          <w:szCs w:val="18"/>
          <w:lang w:val="es-ES_tradnl"/>
        </w:rPr>
        <w:t>ó</w:t>
      </w:r>
      <w:r>
        <w:rPr>
          <w:spacing w:val="-8"/>
          <w:sz w:val="18"/>
          <w:szCs w:val="18"/>
          <w:lang w:val="es-ES_tradnl"/>
        </w:rPr>
        <w:t xml:space="preserve">n del poder, la </w:t>
      </w:r>
      <w:r>
        <w:rPr>
          <w:spacing w:val="-7"/>
          <w:sz w:val="18"/>
          <w:szCs w:val="18"/>
          <w:lang w:val="es-ES_tradnl"/>
        </w:rPr>
        <w:t>consagraci</w:t>
      </w:r>
      <w:r>
        <w:rPr>
          <w:rFonts w:cs="Times New Roman"/>
          <w:spacing w:val="-7"/>
          <w:sz w:val="18"/>
          <w:szCs w:val="18"/>
          <w:lang w:val="es-ES_tradnl"/>
        </w:rPr>
        <w:t>ó</w:t>
      </w:r>
      <w:r>
        <w:rPr>
          <w:spacing w:val="-7"/>
          <w:sz w:val="18"/>
          <w:szCs w:val="18"/>
          <w:lang w:val="es-ES_tradnl"/>
        </w:rPr>
        <w:t>n del Estado constitucional como concepci</w:t>
      </w:r>
      <w:r>
        <w:rPr>
          <w:rFonts w:cs="Times New Roman"/>
          <w:spacing w:val="-7"/>
          <w:sz w:val="18"/>
          <w:szCs w:val="18"/>
          <w:lang w:val="es-ES_tradnl"/>
        </w:rPr>
        <w:t>ó</w:t>
      </w:r>
      <w:r>
        <w:rPr>
          <w:spacing w:val="-7"/>
          <w:sz w:val="18"/>
          <w:szCs w:val="18"/>
          <w:lang w:val="es-ES_tradnl"/>
        </w:rPr>
        <w:t xml:space="preserve">n </w:t>
      </w:r>
      <w:r>
        <w:rPr>
          <w:spacing w:val="-5"/>
          <w:sz w:val="18"/>
          <w:szCs w:val="18"/>
          <w:lang w:val="es-ES_tradnl"/>
        </w:rPr>
        <w:t xml:space="preserve">fundamental para el funcionamiento de la sociedad </w:t>
      </w:r>
      <w:r>
        <w:rPr>
          <w:spacing w:val="-7"/>
          <w:sz w:val="18"/>
          <w:szCs w:val="18"/>
          <w:lang w:val="es-ES_tradnl"/>
        </w:rPr>
        <w:t>jur</w:t>
      </w:r>
      <w:r>
        <w:rPr>
          <w:rFonts w:cs="Times New Roman"/>
          <w:spacing w:val="-7"/>
          <w:sz w:val="18"/>
          <w:szCs w:val="18"/>
          <w:lang w:val="es-ES_tradnl"/>
        </w:rPr>
        <w:t>í</w:t>
      </w:r>
      <w:r>
        <w:rPr>
          <w:spacing w:val="-7"/>
          <w:sz w:val="18"/>
          <w:szCs w:val="18"/>
          <w:lang w:val="es-ES_tradnl"/>
        </w:rPr>
        <w:t xml:space="preserve">dicamente organizada. En este contexto, la centralidad </w:t>
      </w:r>
      <w:r>
        <w:rPr>
          <w:spacing w:val="-5"/>
          <w:sz w:val="18"/>
          <w:szCs w:val="18"/>
          <w:lang w:val="es-ES_tradnl"/>
        </w:rPr>
        <w:t>que adopta la Constituci</w:t>
      </w:r>
      <w:r>
        <w:rPr>
          <w:rFonts w:cs="Times New Roman"/>
          <w:spacing w:val="-5"/>
          <w:sz w:val="18"/>
          <w:szCs w:val="18"/>
          <w:lang w:val="es-ES_tradnl"/>
        </w:rPr>
        <w:t>ó</w:t>
      </w:r>
      <w:r>
        <w:rPr>
          <w:spacing w:val="-5"/>
          <w:sz w:val="18"/>
          <w:szCs w:val="18"/>
          <w:lang w:val="es-ES_tradnl"/>
        </w:rPr>
        <w:t>n como condici</w:t>
      </w:r>
      <w:r>
        <w:rPr>
          <w:rFonts w:cs="Times New Roman"/>
          <w:spacing w:val="-5"/>
          <w:sz w:val="18"/>
          <w:szCs w:val="18"/>
          <w:lang w:val="es-ES_tradnl"/>
        </w:rPr>
        <w:t>ó</w:t>
      </w:r>
      <w:r>
        <w:rPr>
          <w:spacing w:val="-5"/>
          <w:sz w:val="18"/>
          <w:szCs w:val="18"/>
          <w:lang w:val="es-ES_tradnl"/>
        </w:rPr>
        <w:t xml:space="preserve">n de unidad y </w:t>
      </w:r>
      <w:r>
        <w:rPr>
          <w:spacing w:val="-7"/>
          <w:sz w:val="18"/>
          <w:szCs w:val="18"/>
          <w:lang w:val="es-ES_tradnl"/>
        </w:rPr>
        <w:t>validez del orden jur</w:t>
      </w:r>
      <w:r>
        <w:rPr>
          <w:rFonts w:cs="Times New Roman"/>
          <w:spacing w:val="-7"/>
          <w:sz w:val="18"/>
          <w:szCs w:val="18"/>
          <w:lang w:val="es-ES_tradnl"/>
        </w:rPr>
        <w:t>í</w:t>
      </w:r>
      <w:r>
        <w:rPr>
          <w:spacing w:val="-7"/>
          <w:sz w:val="18"/>
          <w:szCs w:val="18"/>
          <w:lang w:val="es-ES_tradnl"/>
        </w:rPr>
        <w:t>dico y la vocaci</w:t>
      </w:r>
      <w:r>
        <w:rPr>
          <w:rFonts w:cs="Times New Roman"/>
          <w:spacing w:val="-7"/>
          <w:sz w:val="18"/>
          <w:szCs w:val="18"/>
          <w:lang w:val="es-ES_tradnl"/>
        </w:rPr>
        <w:t>ó</w:t>
      </w:r>
      <w:r>
        <w:rPr>
          <w:spacing w:val="-7"/>
          <w:sz w:val="18"/>
          <w:szCs w:val="18"/>
          <w:lang w:val="es-ES_tradnl"/>
        </w:rPr>
        <w:t>n de garant</w:t>
      </w:r>
      <w:r>
        <w:rPr>
          <w:rFonts w:cs="Times New Roman"/>
          <w:spacing w:val="-7"/>
          <w:sz w:val="18"/>
          <w:szCs w:val="18"/>
          <w:lang w:val="es-ES_tradnl"/>
        </w:rPr>
        <w:t>í</w:t>
      </w:r>
      <w:r>
        <w:rPr>
          <w:spacing w:val="-7"/>
          <w:sz w:val="18"/>
          <w:szCs w:val="18"/>
          <w:lang w:val="es-ES_tradnl"/>
        </w:rPr>
        <w:t xml:space="preserve">a de los derechos de las personas obliga a la justicia constitucional </w:t>
      </w:r>
      <w:r>
        <w:rPr>
          <w:spacing w:val="-2"/>
          <w:sz w:val="18"/>
          <w:szCs w:val="18"/>
          <w:lang w:val="es-ES_tradnl"/>
        </w:rPr>
        <w:t xml:space="preserve">a asumir el rol de efectivizar el cumplimiento de los </w:t>
      </w:r>
      <w:r>
        <w:rPr>
          <w:spacing w:val="-8"/>
          <w:sz w:val="18"/>
          <w:szCs w:val="18"/>
          <w:lang w:val="es-ES_tradnl"/>
        </w:rPr>
        <w:t>derechos y garantizar la supremac</w:t>
      </w:r>
      <w:r>
        <w:rPr>
          <w:rFonts w:cs="Times New Roman"/>
          <w:spacing w:val="-8"/>
          <w:sz w:val="18"/>
          <w:szCs w:val="18"/>
          <w:lang w:val="es-ES_tradnl"/>
        </w:rPr>
        <w:t>í</w:t>
      </w:r>
      <w:r>
        <w:rPr>
          <w:spacing w:val="-8"/>
          <w:sz w:val="18"/>
          <w:szCs w:val="18"/>
          <w:lang w:val="es-ES_tradnl"/>
        </w:rPr>
        <w:t xml:space="preserve">a constitucional. Dentro </w:t>
      </w:r>
      <w:r>
        <w:rPr>
          <w:spacing w:val="-5"/>
          <w:sz w:val="18"/>
          <w:szCs w:val="18"/>
          <w:lang w:val="es-ES_tradnl"/>
        </w:rPr>
        <w:t xml:space="preserve">de la justicia constitucional el papel que cumple la Corte </w:t>
      </w:r>
      <w:r>
        <w:rPr>
          <w:spacing w:val="-6"/>
          <w:sz w:val="18"/>
          <w:szCs w:val="18"/>
          <w:lang w:val="es-ES_tradnl"/>
        </w:rPr>
        <w:t>Constitucional al ser el int</w:t>
      </w:r>
      <w:r>
        <w:rPr>
          <w:rFonts w:cs="Times New Roman"/>
          <w:spacing w:val="-6"/>
          <w:sz w:val="18"/>
          <w:szCs w:val="18"/>
          <w:lang w:val="es-ES_tradnl"/>
        </w:rPr>
        <w:t>é</w:t>
      </w:r>
      <w:r>
        <w:rPr>
          <w:spacing w:val="-6"/>
          <w:sz w:val="18"/>
          <w:szCs w:val="18"/>
          <w:lang w:val="es-ES_tradnl"/>
        </w:rPr>
        <w:t>rprete aut</w:t>
      </w:r>
      <w:r>
        <w:rPr>
          <w:rFonts w:cs="Times New Roman"/>
          <w:spacing w:val="-6"/>
          <w:sz w:val="18"/>
          <w:szCs w:val="18"/>
          <w:lang w:val="es-ES_tradnl"/>
        </w:rPr>
        <w:t>é</w:t>
      </w:r>
      <w:r>
        <w:rPr>
          <w:spacing w:val="-6"/>
          <w:sz w:val="18"/>
          <w:szCs w:val="18"/>
          <w:lang w:val="es-ES_tradnl"/>
        </w:rPr>
        <w:t xml:space="preserve">ntico de la Norma </w:t>
      </w:r>
      <w:r>
        <w:rPr>
          <w:spacing w:val="-9"/>
          <w:sz w:val="18"/>
          <w:szCs w:val="18"/>
          <w:lang w:val="es-ES_tradnl"/>
        </w:rPr>
        <w:t>Fundamental. As</w:t>
      </w:r>
      <w:r>
        <w:rPr>
          <w:rFonts w:cs="Times New Roman"/>
          <w:spacing w:val="-9"/>
          <w:sz w:val="18"/>
          <w:szCs w:val="18"/>
          <w:lang w:val="es-ES_tradnl"/>
        </w:rPr>
        <w:t>í</w:t>
      </w:r>
      <w:r>
        <w:rPr>
          <w:spacing w:val="-9"/>
          <w:sz w:val="18"/>
          <w:szCs w:val="18"/>
          <w:lang w:val="es-ES_tradnl"/>
        </w:rPr>
        <w:t>, esta Corte</w:t>
      </w:r>
      <w:r>
        <w:rPr>
          <w:spacing w:val="-9"/>
          <w:sz w:val="18"/>
          <w:szCs w:val="18"/>
          <w:vertAlign w:val="superscript"/>
          <w:lang w:val="es-ES_tradnl"/>
        </w:rPr>
        <w:t>16</w:t>
      </w:r>
      <w:r>
        <w:rPr>
          <w:spacing w:val="-9"/>
          <w:sz w:val="18"/>
          <w:szCs w:val="18"/>
          <w:lang w:val="es-ES_tradnl"/>
        </w:rPr>
        <w:t xml:space="preserve"> ha se</w:t>
      </w:r>
      <w:r>
        <w:rPr>
          <w:rFonts w:cs="Times New Roman"/>
          <w:spacing w:val="-9"/>
          <w:sz w:val="18"/>
          <w:szCs w:val="18"/>
          <w:lang w:val="es-ES_tradnl"/>
        </w:rPr>
        <w:t>ñ</w:t>
      </w:r>
      <w:r>
        <w:rPr>
          <w:spacing w:val="-9"/>
          <w:sz w:val="18"/>
          <w:szCs w:val="18"/>
          <w:lang w:val="es-ES_tradnl"/>
        </w:rPr>
        <w:t>alado lo siguiente:</w:t>
      </w:r>
    </w:p>
    <w:p w14:paraId="4F67AC66" w14:textId="77777777" w:rsidR="00591D54" w:rsidRDefault="00591D54">
      <w:pPr>
        <w:shd w:val="clear" w:color="auto" w:fill="FFFFFF"/>
        <w:spacing w:before="202" w:line="216" w:lineRule="exact"/>
        <w:ind w:left="283"/>
        <w:jc w:val="both"/>
      </w:pPr>
      <w:r>
        <w:rPr>
          <w:spacing w:val="-6"/>
          <w:sz w:val="16"/>
          <w:szCs w:val="16"/>
          <w:lang w:val="es-ES_tradnl"/>
        </w:rPr>
        <w:t>La Corte Constitucional desde la vigencia de la Constituci</w:t>
      </w:r>
      <w:r>
        <w:rPr>
          <w:rFonts w:cs="Times New Roman"/>
          <w:spacing w:val="-6"/>
          <w:sz w:val="16"/>
          <w:szCs w:val="16"/>
          <w:lang w:val="es-ES_tradnl"/>
        </w:rPr>
        <w:t>ó</w:t>
      </w:r>
      <w:r>
        <w:rPr>
          <w:spacing w:val="-6"/>
          <w:sz w:val="16"/>
          <w:szCs w:val="16"/>
          <w:lang w:val="es-ES_tradnl"/>
        </w:rPr>
        <w:t xml:space="preserve">n </w:t>
      </w:r>
      <w:r>
        <w:rPr>
          <w:spacing w:val="-5"/>
          <w:sz w:val="16"/>
          <w:szCs w:val="16"/>
          <w:lang w:val="es-ES_tradnl"/>
        </w:rPr>
        <w:t>del 2008, asume el rol garante de la Constituci</w:t>
      </w:r>
      <w:r>
        <w:rPr>
          <w:rFonts w:cs="Times New Roman"/>
          <w:spacing w:val="-5"/>
          <w:sz w:val="16"/>
          <w:szCs w:val="16"/>
          <w:lang w:val="es-ES_tradnl"/>
        </w:rPr>
        <w:t>ó</w:t>
      </w:r>
      <w:r>
        <w:rPr>
          <w:spacing w:val="-5"/>
          <w:sz w:val="16"/>
          <w:szCs w:val="16"/>
          <w:lang w:val="es-ES_tradnl"/>
        </w:rPr>
        <w:t xml:space="preserve">n dirigido </w:t>
      </w:r>
      <w:r>
        <w:rPr>
          <w:sz w:val="16"/>
          <w:szCs w:val="16"/>
          <w:lang w:val="es-ES_tradnl"/>
        </w:rPr>
        <w:t>principalmente hacia la protecci</w:t>
      </w:r>
      <w:r>
        <w:rPr>
          <w:rFonts w:cs="Times New Roman"/>
          <w:sz w:val="16"/>
          <w:szCs w:val="16"/>
          <w:lang w:val="es-ES_tradnl"/>
        </w:rPr>
        <w:t>ó</w:t>
      </w:r>
      <w:r>
        <w:rPr>
          <w:sz w:val="16"/>
          <w:szCs w:val="16"/>
          <w:lang w:val="es-ES_tradnl"/>
        </w:rPr>
        <w:t xml:space="preserve">n de los derechos, </w:t>
      </w:r>
      <w:r>
        <w:rPr>
          <w:spacing w:val="-4"/>
          <w:sz w:val="16"/>
          <w:szCs w:val="16"/>
          <w:lang w:val="es-ES_tradnl"/>
        </w:rPr>
        <w:t>superando la mera aplicaci</w:t>
      </w:r>
      <w:r>
        <w:rPr>
          <w:rFonts w:cs="Times New Roman"/>
          <w:spacing w:val="-4"/>
          <w:sz w:val="16"/>
          <w:szCs w:val="16"/>
          <w:lang w:val="es-ES_tradnl"/>
        </w:rPr>
        <w:t>ó</w:t>
      </w:r>
      <w:r>
        <w:rPr>
          <w:spacing w:val="-4"/>
          <w:sz w:val="16"/>
          <w:szCs w:val="16"/>
          <w:lang w:val="es-ES_tradnl"/>
        </w:rPr>
        <w:t>n de la legalidad por el an</w:t>
      </w:r>
      <w:r>
        <w:rPr>
          <w:rFonts w:cs="Times New Roman"/>
          <w:spacing w:val="-4"/>
          <w:sz w:val="16"/>
          <w:szCs w:val="16"/>
          <w:lang w:val="es-ES_tradnl"/>
        </w:rPr>
        <w:t>á</w:t>
      </w:r>
      <w:r>
        <w:rPr>
          <w:spacing w:val="-4"/>
          <w:sz w:val="16"/>
          <w:szCs w:val="16"/>
          <w:lang w:val="es-ES_tradnl"/>
        </w:rPr>
        <w:t xml:space="preserve">lisis </w:t>
      </w:r>
      <w:r>
        <w:rPr>
          <w:spacing w:val="-3"/>
          <w:sz w:val="16"/>
          <w:szCs w:val="16"/>
          <w:lang w:val="es-ES_tradnl"/>
        </w:rPr>
        <w:t xml:space="preserve">de constitucionalidad del asunto controvertido, en ejercicio </w:t>
      </w:r>
      <w:r>
        <w:rPr>
          <w:spacing w:val="-8"/>
          <w:sz w:val="16"/>
          <w:szCs w:val="16"/>
          <w:lang w:val="es-ES_tradnl"/>
        </w:rPr>
        <w:t xml:space="preserve">de las competencias que la Carta Suprema le asigna a este </w:t>
      </w:r>
      <w:r>
        <w:rPr>
          <w:spacing w:val="-5"/>
          <w:sz w:val="16"/>
          <w:szCs w:val="16"/>
          <w:lang w:val="es-ES_tradnl"/>
        </w:rPr>
        <w:t>organismo. En tal virtud, el Art. 436 numeral 1 precept</w:t>
      </w:r>
      <w:r>
        <w:rPr>
          <w:rFonts w:cs="Times New Roman"/>
          <w:spacing w:val="-5"/>
          <w:sz w:val="16"/>
          <w:szCs w:val="16"/>
          <w:lang w:val="es-ES_tradnl"/>
        </w:rPr>
        <w:t>ú</w:t>
      </w:r>
      <w:r>
        <w:rPr>
          <w:spacing w:val="-5"/>
          <w:sz w:val="16"/>
          <w:szCs w:val="16"/>
          <w:lang w:val="es-ES_tradnl"/>
        </w:rPr>
        <w:t xml:space="preserve">a: La </w:t>
      </w:r>
      <w:r>
        <w:rPr>
          <w:spacing w:val="-8"/>
          <w:sz w:val="16"/>
          <w:szCs w:val="16"/>
          <w:lang w:val="es-ES_tradnl"/>
        </w:rPr>
        <w:t>Corte Constitucional ejercer</w:t>
      </w:r>
      <w:r>
        <w:rPr>
          <w:rFonts w:cs="Times New Roman"/>
          <w:spacing w:val="-8"/>
          <w:sz w:val="16"/>
          <w:szCs w:val="16"/>
          <w:lang w:val="es-ES_tradnl"/>
        </w:rPr>
        <w:t>á</w:t>
      </w:r>
      <w:r>
        <w:rPr>
          <w:spacing w:val="-8"/>
          <w:sz w:val="16"/>
          <w:szCs w:val="16"/>
          <w:lang w:val="es-ES_tradnl"/>
        </w:rPr>
        <w:t>, adem</w:t>
      </w:r>
      <w:r>
        <w:rPr>
          <w:rFonts w:cs="Times New Roman"/>
          <w:spacing w:val="-8"/>
          <w:sz w:val="16"/>
          <w:szCs w:val="16"/>
          <w:lang w:val="es-ES_tradnl"/>
        </w:rPr>
        <w:t>á</w:t>
      </w:r>
      <w:r>
        <w:rPr>
          <w:spacing w:val="-8"/>
          <w:sz w:val="16"/>
          <w:szCs w:val="16"/>
          <w:lang w:val="es-ES_tradnl"/>
        </w:rPr>
        <w:t xml:space="preserve">s de las que le confiere la </w:t>
      </w:r>
      <w:r>
        <w:rPr>
          <w:spacing w:val="-7"/>
          <w:sz w:val="16"/>
          <w:szCs w:val="16"/>
          <w:lang w:val="es-ES_tradnl"/>
        </w:rPr>
        <w:t>ley, las siguientes atribuciones: 1. Ser la m</w:t>
      </w:r>
      <w:r>
        <w:rPr>
          <w:rFonts w:cs="Times New Roman"/>
          <w:spacing w:val="-7"/>
          <w:sz w:val="16"/>
          <w:szCs w:val="16"/>
          <w:lang w:val="es-ES_tradnl"/>
        </w:rPr>
        <w:t>á</w:t>
      </w:r>
      <w:r>
        <w:rPr>
          <w:spacing w:val="-7"/>
          <w:sz w:val="16"/>
          <w:szCs w:val="16"/>
          <w:lang w:val="es-ES_tradnl"/>
        </w:rPr>
        <w:t xml:space="preserve">xima instancia de </w:t>
      </w:r>
      <w:r>
        <w:rPr>
          <w:spacing w:val="-8"/>
          <w:sz w:val="16"/>
          <w:szCs w:val="16"/>
          <w:lang w:val="es-ES_tradnl"/>
        </w:rPr>
        <w:t>interpretaci</w:t>
      </w:r>
      <w:r>
        <w:rPr>
          <w:rFonts w:cs="Times New Roman"/>
          <w:spacing w:val="-8"/>
          <w:sz w:val="16"/>
          <w:szCs w:val="16"/>
          <w:lang w:val="es-ES_tradnl"/>
        </w:rPr>
        <w:t>ó</w:t>
      </w:r>
      <w:r>
        <w:rPr>
          <w:spacing w:val="-8"/>
          <w:sz w:val="16"/>
          <w:szCs w:val="16"/>
          <w:lang w:val="es-ES_tradnl"/>
        </w:rPr>
        <w:t>n de la Constituci</w:t>
      </w:r>
      <w:r>
        <w:rPr>
          <w:rFonts w:cs="Times New Roman"/>
          <w:spacing w:val="-8"/>
          <w:sz w:val="16"/>
          <w:szCs w:val="16"/>
          <w:lang w:val="es-ES_tradnl"/>
        </w:rPr>
        <w:t>ó</w:t>
      </w:r>
      <w:r>
        <w:rPr>
          <w:spacing w:val="-8"/>
          <w:sz w:val="16"/>
          <w:szCs w:val="16"/>
          <w:lang w:val="es-ES_tradnl"/>
        </w:rPr>
        <w:t xml:space="preserve">n, de los tratados ratificados por </w:t>
      </w:r>
      <w:r>
        <w:rPr>
          <w:spacing w:val="-10"/>
          <w:sz w:val="16"/>
          <w:szCs w:val="16"/>
          <w:lang w:val="es-ES_tradnl"/>
        </w:rPr>
        <w:t>el Estado ecuatoriano, a trav</w:t>
      </w:r>
      <w:r>
        <w:rPr>
          <w:rFonts w:cs="Times New Roman"/>
          <w:spacing w:val="-10"/>
          <w:sz w:val="16"/>
          <w:szCs w:val="16"/>
          <w:lang w:val="es-ES_tradnl"/>
        </w:rPr>
        <w:t>é</w:t>
      </w:r>
      <w:r>
        <w:rPr>
          <w:spacing w:val="-10"/>
          <w:sz w:val="16"/>
          <w:szCs w:val="16"/>
          <w:lang w:val="es-ES_tradnl"/>
        </w:rPr>
        <w:t>s de sus dict</w:t>
      </w:r>
      <w:r>
        <w:rPr>
          <w:rFonts w:cs="Times New Roman"/>
          <w:spacing w:val="-10"/>
          <w:sz w:val="16"/>
          <w:szCs w:val="16"/>
          <w:lang w:val="es-ES_tradnl"/>
        </w:rPr>
        <w:t>á</w:t>
      </w:r>
      <w:r>
        <w:rPr>
          <w:spacing w:val="-10"/>
          <w:sz w:val="16"/>
          <w:szCs w:val="16"/>
          <w:lang w:val="es-ES_tradnl"/>
        </w:rPr>
        <w:t xml:space="preserve">menes y sentencias. </w:t>
      </w:r>
      <w:r>
        <w:rPr>
          <w:sz w:val="16"/>
          <w:szCs w:val="16"/>
          <w:lang w:val="es-ES_tradnl"/>
        </w:rPr>
        <w:t>Sus decisiones tendr</w:t>
      </w:r>
      <w:r>
        <w:rPr>
          <w:rFonts w:cs="Times New Roman"/>
          <w:sz w:val="16"/>
          <w:szCs w:val="16"/>
          <w:lang w:val="es-ES_tradnl"/>
        </w:rPr>
        <w:t>á</w:t>
      </w:r>
      <w:r>
        <w:rPr>
          <w:sz w:val="16"/>
          <w:szCs w:val="16"/>
          <w:lang w:val="es-ES_tradnl"/>
        </w:rPr>
        <w:t>n car</w:t>
      </w:r>
      <w:r>
        <w:rPr>
          <w:rFonts w:cs="Times New Roman"/>
          <w:sz w:val="16"/>
          <w:szCs w:val="16"/>
          <w:lang w:val="es-ES_tradnl"/>
        </w:rPr>
        <w:t>á</w:t>
      </w:r>
      <w:r>
        <w:rPr>
          <w:sz w:val="16"/>
          <w:szCs w:val="16"/>
          <w:lang w:val="es-ES_tradnl"/>
        </w:rPr>
        <w:t>cter vinculante.</w:t>
      </w:r>
    </w:p>
    <w:p w14:paraId="4F67AC67" w14:textId="77777777" w:rsidR="00591D54" w:rsidRDefault="00591D54">
      <w:pPr>
        <w:shd w:val="clear" w:color="auto" w:fill="FFFFFF"/>
        <w:spacing w:before="202" w:line="216" w:lineRule="exact"/>
        <w:jc w:val="both"/>
      </w:pPr>
      <w:r>
        <w:rPr>
          <w:spacing w:val="-1"/>
          <w:sz w:val="18"/>
          <w:szCs w:val="18"/>
          <w:lang w:val="es-ES_tradnl"/>
        </w:rPr>
        <w:t>De esta forma se puede evidenciar la vocaci</w:t>
      </w:r>
      <w:r>
        <w:rPr>
          <w:rFonts w:cs="Times New Roman"/>
          <w:spacing w:val="-1"/>
          <w:sz w:val="18"/>
          <w:szCs w:val="18"/>
          <w:lang w:val="es-ES_tradnl"/>
        </w:rPr>
        <w:t>ó</w:t>
      </w:r>
      <w:r>
        <w:rPr>
          <w:spacing w:val="-1"/>
          <w:sz w:val="18"/>
          <w:szCs w:val="18"/>
          <w:lang w:val="es-ES_tradnl"/>
        </w:rPr>
        <w:t xml:space="preserve">n de la </w:t>
      </w:r>
      <w:r>
        <w:rPr>
          <w:spacing w:val="-5"/>
          <w:sz w:val="18"/>
          <w:szCs w:val="18"/>
          <w:lang w:val="es-ES_tradnl"/>
        </w:rPr>
        <w:t xml:space="preserve">Corte Constitucional como </w:t>
      </w:r>
      <w:r>
        <w:rPr>
          <w:rFonts w:cs="Times New Roman"/>
          <w:spacing w:val="-5"/>
          <w:sz w:val="18"/>
          <w:szCs w:val="18"/>
          <w:lang w:val="es-ES_tradnl"/>
        </w:rPr>
        <w:t>ó</w:t>
      </w:r>
      <w:r>
        <w:rPr>
          <w:spacing w:val="-5"/>
          <w:sz w:val="18"/>
          <w:szCs w:val="18"/>
          <w:lang w:val="es-ES_tradnl"/>
        </w:rPr>
        <w:t>rgano de cierre de la justicia</w:t>
      </w:r>
    </w:p>
    <w:p w14:paraId="4F67AC68" w14:textId="77777777" w:rsidR="00591D54" w:rsidRDefault="00591D54">
      <w:pPr>
        <w:shd w:val="clear" w:color="auto" w:fill="FFFFFF"/>
        <w:spacing w:before="514" w:line="178" w:lineRule="exact"/>
        <w:ind w:left="144" w:hanging="144"/>
      </w:pPr>
      <w:r>
        <w:rPr>
          <w:spacing w:val="-4"/>
          <w:sz w:val="16"/>
          <w:szCs w:val="16"/>
          <w:vertAlign w:val="superscript"/>
          <w:lang w:val="es-ES_tradnl"/>
        </w:rPr>
        <w:t>16</w:t>
      </w:r>
      <w:r>
        <w:rPr>
          <w:spacing w:val="-4"/>
          <w:sz w:val="16"/>
          <w:szCs w:val="16"/>
          <w:lang w:val="es-ES_tradnl"/>
        </w:rPr>
        <w:t xml:space="preserve"> </w:t>
      </w:r>
      <w:r>
        <w:rPr>
          <w:spacing w:val="-9"/>
          <w:sz w:val="16"/>
          <w:szCs w:val="16"/>
          <w:lang w:val="es-ES_tradnl"/>
        </w:rPr>
        <w:t xml:space="preserve">Corte Constitucional del Ecuador. Sentencia No. 102-13-SEP-CC. </w:t>
      </w:r>
      <w:r>
        <w:rPr>
          <w:spacing w:val="-11"/>
          <w:sz w:val="16"/>
          <w:szCs w:val="16"/>
          <w:lang w:val="es-ES_tradnl"/>
        </w:rPr>
        <w:t>Caso No. 0380-10-EP. Quito, DM., 4 de diciembre de 2013</w:t>
      </w:r>
    </w:p>
    <w:p w14:paraId="4F67AC69" w14:textId="77777777" w:rsidR="00591D54" w:rsidRDefault="00591D54">
      <w:pPr>
        <w:shd w:val="clear" w:color="auto" w:fill="FFFFFF"/>
        <w:spacing w:before="514" w:line="178" w:lineRule="exact"/>
        <w:ind w:left="144" w:hanging="144"/>
        <w:sectPr w:rsidR="00591D54">
          <w:type w:val="continuous"/>
          <w:pgSz w:w="11909" w:h="16834"/>
          <w:pgMar w:top="1356" w:right="1309" w:bottom="360" w:left="1308" w:header="720" w:footer="720" w:gutter="0"/>
          <w:cols w:num="2" w:space="720" w:equalWidth="0">
            <w:col w:w="4305" w:space="682"/>
            <w:col w:w="4305"/>
          </w:cols>
          <w:noEndnote/>
        </w:sectPr>
      </w:pPr>
    </w:p>
    <w:p w14:paraId="4F67AC6A" w14:textId="77777777" w:rsidR="00591D54" w:rsidRDefault="00591D54">
      <w:pPr>
        <w:shd w:val="clear" w:color="auto" w:fill="FFFFFF"/>
        <w:tabs>
          <w:tab w:val="left" w:pos="584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- 109</w:t>
      </w:r>
    </w:p>
    <w:p w14:paraId="4F67AC6B" w14:textId="77777777" w:rsidR="00591D54" w:rsidRDefault="00591D54">
      <w:pPr>
        <w:shd w:val="clear" w:color="auto" w:fill="FFFFFF"/>
        <w:tabs>
          <w:tab w:val="left" w:pos="5842"/>
        </w:tabs>
        <w:spacing w:after="230"/>
        <w:ind w:left="5"/>
        <w:sectPr w:rsidR="00591D54">
          <w:pgSz w:w="11909" w:h="16834"/>
          <w:pgMar w:top="1356" w:right="1304" w:bottom="360" w:left="1308" w:header="720" w:footer="720" w:gutter="0"/>
          <w:cols w:space="60"/>
          <w:noEndnote/>
        </w:sectPr>
      </w:pPr>
    </w:p>
    <w:p w14:paraId="4F67AC6C" w14:textId="77777777" w:rsidR="00591D54" w:rsidRDefault="00591D54">
      <w:pPr>
        <w:shd w:val="clear" w:color="auto" w:fill="FFFFFF"/>
        <w:spacing w:before="5" w:line="221" w:lineRule="exact"/>
        <w:jc w:val="both"/>
      </w:pPr>
      <w:r>
        <w:rPr>
          <w:spacing w:val="-4"/>
          <w:sz w:val="18"/>
          <w:szCs w:val="18"/>
          <w:lang w:val="es-ES_tradnl"/>
        </w:rPr>
        <w:t xml:space="preserve">constitucional y por este motivo le corresponde, como </w:t>
      </w:r>
      <w:r>
        <w:rPr>
          <w:spacing w:val="-8"/>
          <w:sz w:val="18"/>
          <w:szCs w:val="18"/>
          <w:lang w:val="es-ES_tradnl"/>
        </w:rPr>
        <w:t>manifiesta la Carta Suprema, ser el m</w:t>
      </w:r>
      <w:r>
        <w:rPr>
          <w:rFonts w:cs="Times New Roman"/>
          <w:spacing w:val="-8"/>
          <w:sz w:val="18"/>
          <w:szCs w:val="18"/>
          <w:lang w:val="es-ES_tradnl"/>
        </w:rPr>
        <w:t>á</w:t>
      </w:r>
      <w:r>
        <w:rPr>
          <w:spacing w:val="-8"/>
          <w:sz w:val="18"/>
          <w:szCs w:val="18"/>
          <w:lang w:val="es-ES_tradnl"/>
        </w:rPr>
        <w:t xml:space="preserve">ximo organismo de </w:t>
      </w:r>
      <w:r>
        <w:rPr>
          <w:spacing w:val="-5"/>
          <w:sz w:val="18"/>
          <w:szCs w:val="18"/>
          <w:lang w:val="es-ES_tradnl"/>
        </w:rPr>
        <w:t>control, interpretaci</w:t>
      </w:r>
      <w:r>
        <w:rPr>
          <w:rFonts w:cs="Times New Roman"/>
          <w:spacing w:val="-5"/>
          <w:sz w:val="18"/>
          <w:szCs w:val="18"/>
          <w:lang w:val="es-ES_tradnl"/>
        </w:rPr>
        <w:t>ó</w:t>
      </w:r>
      <w:r>
        <w:rPr>
          <w:spacing w:val="-5"/>
          <w:sz w:val="18"/>
          <w:szCs w:val="18"/>
          <w:lang w:val="es-ES_tradnl"/>
        </w:rPr>
        <w:t>n constitucional y administraci</w:t>
      </w:r>
      <w:r>
        <w:rPr>
          <w:rFonts w:cs="Times New Roman"/>
          <w:spacing w:val="-5"/>
          <w:sz w:val="18"/>
          <w:szCs w:val="18"/>
          <w:lang w:val="es-ES_tradnl"/>
        </w:rPr>
        <w:t>ó</w:t>
      </w:r>
      <w:r>
        <w:rPr>
          <w:spacing w:val="-5"/>
          <w:sz w:val="18"/>
          <w:szCs w:val="18"/>
          <w:lang w:val="es-ES_tradnl"/>
        </w:rPr>
        <w:t xml:space="preserve">n de </w:t>
      </w:r>
      <w:r>
        <w:rPr>
          <w:sz w:val="18"/>
          <w:szCs w:val="18"/>
          <w:lang w:val="es-ES_tradnl"/>
        </w:rPr>
        <w:t>justicia en esta materia.</w:t>
      </w:r>
    </w:p>
    <w:p w14:paraId="4F67AC6D" w14:textId="77777777" w:rsidR="00591D54" w:rsidRDefault="00591D54">
      <w:pPr>
        <w:shd w:val="clear" w:color="auto" w:fill="FFFFFF"/>
        <w:spacing w:before="202" w:line="221" w:lineRule="exact"/>
        <w:ind w:right="5"/>
        <w:jc w:val="both"/>
      </w:pPr>
      <w:r>
        <w:rPr>
          <w:sz w:val="18"/>
          <w:szCs w:val="18"/>
          <w:lang w:val="es-ES_tradnl"/>
        </w:rPr>
        <w:t xml:space="preserve">Una de las atribuciones fundamentales de la </w:t>
      </w:r>
      <w:r>
        <w:rPr>
          <w:spacing w:val="-6"/>
          <w:sz w:val="18"/>
          <w:szCs w:val="18"/>
          <w:lang w:val="es-ES_tradnl"/>
        </w:rPr>
        <w:t xml:space="preserve">Corte Constitucional es la del control abstracto de </w:t>
      </w:r>
      <w:r>
        <w:rPr>
          <w:spacing w:val="-5"/>
          <w:sz w:val="18"/>
          <w:szCs w:val="18"/>
          <w:lang w:val="es-ES_tradnl"/>
        </w:rPr>
        <w:t xml:space="preserve">constitucionalidad, que se manifiesta en la potestad de </w:t>
      </w:r>
      <w:r>
        <w:rPr>
          <w:spacing w:val="-4"/>
          <w:sz w:val="18"/>
          <w:szCs w:val="18"/>
          <w:lang w:val="es-ES_tradnl"/>
        </w:rPr>
        <w:t xml:space="preserve">este Organismo para declarar la inconstitucionalidad de </w:t>
      </w:r>
      <w:r>
        <w:rPr>
          <w:spacing w:val="-8"/>
          <w:sz w:val="18"/>
          <w:szCs w:val="18"/>
          <w:lang w:val="es-ES_tradnl"/>
        </w:rPr>
        <w:t>las normas infraconstitucionales</w:t>
      </w:r>
      <w:r>
        <w:rPr>
          <w:spacing w:val="-8"/>
          <w:sz w:val="18"/>
          <w:szCs w:val="18"/>
          <w:vertAlign w:val="superscript"/>
          <w:lang w:val="es-ES_tradnl"/>
        </w:rPr>
        <w:t>17</w:t>
      </w:r>
      <w:r>
        <w:rPr>
          <w:spacing w:val="-8"/>
          <w:sz w:val="18"/>
          <w:szCs w:val="18"/>
          <w:lang w:val="es-ES_tradnl"/>
        </w:rPr>
        <w:t xml:space="preserve">, por la necesidad de </w:t>
      </w:r>
      <w:r>
        <w:rPr>
          <w:spacing w:val="-7"/>
          <w:sz w:val="18"/>
          <w:szCs w:val="18"/>
          <w:lang w:val="es-ES_tradnl"/>
        </w:rPr>
        <w:t>precautelar la supremac</w:t>
      </w:r>
      <w:r>
        <w:rPr>
          <w:rFonts w:cs="Times New Roman"/>
          <w:spacing w:val="-7"/>
          <w:sz w:val="18"/>
          <w:szCs w:val="18"/>
          <w:lang w:val="es-ES_tradnl"/>
        </w:rPr>
        <w:t>í</w:t>
      </w:r>
      <w:r>
        <w:rPr>
          <w:spacing w:val="-7"/>
          <w:sz w:val="18"/>
          <w:szCs w:val="18"/>
          <w:lang w:val="es-ES_tradnl"/>
        </w:rPr>
        <w:t xml:space="preserve">a constitucional y evitar posibles </w:t>
      </w:r>
      <w:r>
        <w:rPr>
          <w:spacing w:val="-8"/>
          <w:sz w:val="18"/>
          <w:szCs w:val="18"/>
          <w:lang w:val="es-ES_tradnl"/>
        </w:rPr>
        <w:t xml:space="preserve">vulneraciones a derechos que puedan producirse como </w:t>
      </w:r>
      <w:r>
        <w:rPr>
          <w:spacing w:val="-9"/>
          <w:sz w:val="18"/>
          <w:szCs w:val="18"/>
          <w:lang w:val="es-ES_tradnl"/>
        </w:rPr>
        <w:t>consecuencia de la aplicaci</w:t>
      </w:r>
      <w:r>
        <w:rPr>
          <w:rFonts w:cs="Times New Roman"/>
          <w:spacing w:val="-9"/>
          <w:sz w:val="18"/>
          <w:szCs w:val="18"/>
          <w:lang w:val="es-ES_tradnl"/>
        </w:rPr>
        <w:t>ó</w:t>
      </w:r>
      <w:r>
        <w:rPr>
          <w:spacing w:val="-9"/>
          <w:sz w:val="18"/>
          <w:szCs w:val="18"/>
          <w:lang w:val="es-ES_tradnl"/>
        </w:rPr>
        <w:t xml:space="preserve">n de las normas contrarias a la </w:t>
      </w:r>
      <w:r>
        <w:rPr>
          <w:sz w:val="18"/>
          <w:szCs w:val="18"/>
          <w:lang w:val="es-ES_tradnl"/>
        </w:rPr>
        <w:t>Constituci</w:t>
      </w:r>
      <w:r>
        <w:rPr>
          <w:rFonts w:cs="Times New Roman"/>
          <w:sz w:val="18"/>
          <w:szCs w:val="18"/>
          <w:lang w:val="es-ES_tradnl"/>
        </w:rPr>
        <w:t>ó</w:t>
      </w:r>
      <w:r>
        <w:rPr>
          <w:sz w:val="18"/>
          <w:szCs w:val="18"/>
          <w:lang w:val="es-ES_tradnl"/>
        </w:rPr>
        <w:t>n.</w:t>
      </w:r>
    </w:p>
    <w:p w14:paraId="4F67AC6E" w14:textId="77777777" w:rsidR="00591D54" w:rsidRDefault="00591D54">
      <w:pPr>
        <w:shd w:val="clear" w:color="auto" w:fill="FFFFFF"/>
        <w:spacing w:before="202" w:line="221" w:lineRule="exact"/>
        <w:jc w:val="both"/>
      </w:pPr>
      <w:r>
        <w:rPr>
          <w:spacing w:val="-7"/>
          <w:sz w:val="18"/>
          <w:szCs w:val="18"/>
          <w:lang w:val="es-ES_tradnl"/>
        </w:rPr>
        <w:t>La competencia contenida en el numeral 3 del art</w:t>
      </w:r>
      <w:r>
        <w:rPr>
          <w:rFonts w:cs="Times New Roman"/>
          <w:spacing w:val="-7"/>
          <w:sz w:val="18"/>
          <w:szCs w:val="18"/>
          <w:lang w:val="es-ES_tradnl"/>
        </w:rPr>
        <w:t>í</w:t>
      </w:r>
      <w:r>
        <w:rPr>
          <w:spacing w:val="-7"/>
          <w:sz w:val="18"/>
          <w:szCs w:val="18"/>
          <w:lang w:val="es-ES_tradnl"/>
        </w:rPr>
        <w:t xml:space="preserve">culo 436 </w:t>
      </w:r>
      <w:r>
        <w:rPr>
          <w:spacing w:val="-10"/>
          <w:sz w:val="18"/>
          <w:szCs w:val="18"/>
          <w:lang w:val="es-ES_tradnl"/>
        </w:rPr>
        <w:t>de la Constituci</w:t>
      </w:r>
      <w:r>
        <w:rPr>
          <w:rFonts w:cs="Times New Roman"/>
          <w:spacing w:val="-10"/>
          <w:sz w:val="18"/>
          <w:szCs w:val="18"/>
          <w:lang w:val="es-ES_tradnl"/>
        </w:rPr>
        <w:t>ó</w:t>
      </w:r>
      <w:r>
        <w:rPr>
          <w:spacing w:val="-10"/>
          <w:sz w:val="18"/>
          <w:szCs w:val="18"/>
          <w:lang w:val="es-ES_tradnl"/>
        </w:rPr>
        <w:t>n de la Rep</w:t>
      </w:r>
      <w:r>
        <w:rPr>
          <w:rFonts w:cs="Times New Roman"/>
          <w:spacing w:val="-10"/>
          <w:sz w:val="18"/>
          <w:szCs w:val="18"/>
          <w:lang w:val="es-ES_tradnl"/>
        </w:rPr>
        <w:t>ú</w:t>
      </w:r>
      <w:r>
        <w:rPr>
          <w:spacing w:val="-10"/>
          <w:sz w:val="18"/>
          <w:szCs w:val="18"/>
          <w:lang w:val="es-ES_tradnl"/>
        </w:rPr>
        <w:t xml:space="preserve">blica se refiere a la declaratoria </w:t>
      </w:r>
      <w:r>
        <w:rPr>
          <w:spacing w:val="-6"/>
          <w:sz w:val="18"/>
          <w:szCs w:val="18"/>
          <w:lang w:val="es-ES_tradnl"/>
        </w:rPr>
        <w:t>de inconstitucionalidad de las normas conexas, potestad que requiere de un comportamiento m</w:t>
      </w:r>
      <w:r>
        <w:rPr>
          <w:rFonts w:cs="Times New Roman"/>
          <w:spacing w:val="-6"/>
          <w:sz w:val="18"/>
          <w:szCs w:val="18"/>
          <w:lang w:val="es-ES_tradnl"/>
        </w:rPr>
        <w:t>á</w:t>
      </w:r>
      <w:r>
        <w:rPr>
          <w:spacing w:val="-6"/>
          <w:sz w:val="18"/>
          <w:szCs w:val="18"/>
          <w:lang w:val="es-ES_tradnl"/>
        </w:rPr>
        <w:t xml:space="preserve">s activo por parte </w:t>
      </w:r>
      <w:r>
        <w:rPr>
          <w:spacing w:val="-9"/>
          <w:sz w:val="18"/>
          <w:szCs w:val="18"/>
          <w:lang w:val="es-ES_tradnl"/>
        </w:rPr>
        <w:t xml:space="preserve">de la Corte Constitucional para efectuar de manera oficiosa </w:t>
      </w:r>
      <w:r>
        <w:rPr>
          <w:spacing w:val="-7"/>
          <w:sz w:val="18"/>
          <w:szCs w:val="18"/>
          <w:lang w:val="es-ES_tradnl"/>
        </w:rPr>
        <w:t xml:space="preserve">el control de disposiciones normativas que comporten una </w:t>
      </w:r>
      <w:r>
        <w:rPr>
          <w:spacing w:val="-8"/>
          <w:sz w:val="18"/>
          <w:szCs w:val="18"/>
          <w:lang w:val="es-ES_tradnl"/>
        </w:rPr>
        <w:t>vulneraci</w:t>
      </w:r>
      <w:r>
        <w:rPr>
          <w:rFonts w:cs="Times New Roman"/>
          <w:spacing w:val="-8"/>
          <w:sz w:val="18"/>
          <w:szCs w:val="18"/>
          <w:lang w:val="es-ES_tradnl"/>
        </w:rPr>
        <w:t>ó</w:t>
      </w:r>
      <w:r>
        <w:rPr>
          <w:spacing w:val="-8"/>
          <w:sz w:val="18"/>
          <w:szCs w:val="18"/>
          <w:lang w:val="es-ES_tradnl"/>
        </w:rPr>
        <w:t>n a los derechos constitucionales y a los dem</w:t>
      </w:r>
      <w:r>
        <w:rPr>
          <w:rFonts w:cs="Times New Roman"/>
          <w:spacing w:val="-8"/>
          <w:sz w:val="18"/>
          <w:szCs w:val="18"/>
          <w:lang w:val="es-ES_tradnl"/>
        </w:rPr>
        <w:t>á</w:t>
      </w:r>
      <w:r>
        <w:rPr>
          <w:spacing w:val="-8"/>
          <w:sz w:val="18"/>
          <w:szCs w:val="18"/>
          <w:lang w:val="es-ES_tradnl"/>
        </w:rPr>
        <w:t xml:space="preserve">s </w:t>
      </w:r>
      <w:r>
        <w:rPr>
          <w:spacing w:val="-9"/>
          <w:sz w:val="18"/>
          <w:szCs w:val="18"/>
          <w:lang w:val="es-ES_tradnl"/>
        </w:rPr>
        <w:t>contenidos de la Norma Fundamental. As</w:t>
      </w:r>
      <w:r>
        <w:rPr>
          <w:rFonts w:cs="Times New Roman"/>
          <w:spacing w:val="-9"/>
          <w:sz w:val="18"/>
          <w:szCs w:val="18"/>
          <w:lang w:val="es-ES_tradnl"/>
        </w:rPr>
        <w:t>í</w:t>
      </w:r>
      <w:r>
        <w:rPr>
          <w:spacing w:val="-9"/>
          <w:sz w:val="18"/>
          <w:szCs w:val="18"/>
          <w:lang w:val="es-ES_tradnl"/>
        </w:rPr>
        <w:t xml:space="preserve"> esta Corte</w:t>
      </w:r>
      <w:r>
        <w:rPr>
          <w:spacing w:val="-9"/>
          <w:sz w:val="18"/>
          <w:szCs w:val="18"/>
          <w:vertAlign w:val="superscript"/>
          <w:lang w:val="es-ES_tradnl"/>
        </w:rPr>
        <w:t>18</w:t>
      </w:r>
      <w:r>
        <w:rPr>
          <w:spacing w:val="-9"/>
          <w:sz w:val="18"/>
          <w:szCs w:val="18"/>
          <w:lang w:val="es-ES_tradnl"/>
        </w:rPr>
        <w:t xml:space="preserve"> ha </w:t>
      </w:r>
      <w:r>
        <w:rPr>
          <w:sz w:val="18"/>
          <w:szCs w:val="18"/>
          <w:lang w:val="es-ES_tradnl"/>
        </w:rPr>
        <w:t>reconocido que:</w:t>
      </w:r>
    </w:p>
    <w:p w14:paraId="4F67AC6F" w14:textId="77777777" w:rsidR="00591D54" w:rsidRDefault="00591D54">
      <w:pPr>
        <w:shd w:val="clear" w:color="auto" w:fill="FFFFFF"/>
        <w:spacing w:before="206" w:line="221" w:lineRule="exact"/>
        <w:ind w:left="283"/>
        <w:jc w:val="both"/>
      </w:pPr>
      <w:r>
        <w:rPr>
          <w:sz w:val="14"/>
          <w:szCs w:val="14"/>
          <w:lang w:val="es-ES_tradnl"/>
        </w:rPr>
        <w:t>(</w:t>
      </w:r>
      <w:r>
        <w:rPr>
          <w:rFonts w:cs="Times New Roman"/>
          <w:sz w:val="14"/>
          <w:szCs w:val="14"/>
          <w:lang w:val="es-ES_tradnl"/>
        </w:rPr>
        <w:t>…</w:t>
      </w:r>
      <w:r>
        <w:rPr>
          <w:sz w:val="14"/>
          <w:szCs w:val="14"/>
          <w:lang w:val="es-ES_tradnl"/>
        </w:rPr>
        <w:t>) esta competencia (la del control constitucional de normas conexas) revela la clara intenci</w:t>
      </w:r>
      <w:r>
        <w:rPr>
          <w:rFonts w:cs="Times New Roman"/>
          <w:sz w:val="14"/>
          <w:szCs w:val="14"/>
          <w:lang w:val="es-ES_tradnl"/>
        </w:rPr>
        <w:t>ó</w:t>
      </w:r>
      <w:r>
        <w:rPr>
          <w:sz w:val="14"/>
          <w:szCs w:val="14"/>
          <w:lang w:val="es-ES_tradnl"/>
        </w:rPr>
        <w:t xml:space="preserve">n del Constituyente de permitir </w:t>
      </w:r>
      <w:r>
        <w:rPr>
          <w:b/>
          <w:bCs/>
          <w:sz w:val="14"/>
          <w:szCs w:val="14"/>
          <w:lang w:val="es-ES_tradnl"/>
        </w:rPr>
        <w:t>el control oficioso de la constitucionalidad por parte del m</w:t>
      </w:r>
      <w:r>
        <w:rPr>
          <w:rFonts w:cs="Times New Roman"/>
          <w:b/>
          <w:bCs/>
          <w:sz w:val="14"/>
          <w:szCs w:val="14"/>
          <w:lang w:val="es-ES_tradnl"/>
        </w:rPr>
        <w:t>á</w:t>
      </w:r>
      <w:r>
        <w:rPr>
          <w:b/>
          <w:bCs/>
          <w:sz w:val="14"/>
          <w:szCs w:val="14"/>
          <w:lang w:val="es-ES_tradnl"/>
        </w:rPr>
        <w:t xml:space="preserve">ximo </w:t>
      </w:r>
      <w:r>
        <w:rPr>
          <w:rFonts w:cs="Times New Roman"/>
          <w:b/>
          <w:bCs/>
          <w:sz w:val="14"/>
          <w:szCs w:val="14"/>
          <w:lang w:val="es-ES_tradnl"/>
        </w:rPr>
        <w:t>ó</w:t>
      </w:r>
      <w:r>
        <w:rPr>
          <w:b/>
          <w:bCs/>
          <w:sz w:val="14"/>
          <w:szCs w:val="14"/>
          <w:lang w:val="es-ES_tradnl"/>
        </w:rPr>
        <w:t>rgano de justicia constitucional ecuatoriano por diferentes v</w:t>
      </w:r>
      <w:r>
        <w:rPr>
          <w:rFonts w:cs="Times New Roman"/>
          <w:b/>
          <w:bCs/>
          <w:sz w:val="14"/>
          <w:szCs w:val="14"/>
          <w:lang w:val="es-ES_tradnl"/>
        </w:rPr>
        <w:t>í</w:t>
      </w:r>
      <w:r>
        <w:rPr>
          <w:b/>
          <w:bCs/>
          <w:sz w:val="14"/>
          <w:szCs w:val="14"/>
          <w:lang w:val="es-ES_tradnl"/>
        </w:rPr>
        <w:t xml:space="preserve">as, y ya no </w:t>
      </w:r>
      <w:r>
        <w:rPr>
          <w:rFonts w:cs="Times New Roman"/>
          <w:b/>
          <w:bCs/>
          <w:sz w:val="14"/>
          <w:szCs w:val="14"/>
          <w:lang w:val="es-ES_tradnl"/>
        </w:rPr>
        <w:t>ú</w:t>
      </w:r>
      <w:r>
        <w:rPr>
          <w:b/>
          <w:bCs/>
          <w:sz w:val="14"/>
          <w:szCs w:val="14"/>
          <w:lang w:val="es-ES_tradnl"/>
        </w:rPr>
        <w:t>nicamente a trav</w:t>
      </w:r>
      <w:r>
        <w:rPr>
          <w:rFonts w:cs="Times New Roman"/>
          <w:b/>
          <w:bCs/>
          <w:sz w:val="14"/>
          <w:szCs w:val="14"/>
          <w:lang w:val="es-ES_tradnl"/>
        </w:rPr>
        <w:t>é</w:t>
      </w:r>
      <w:r>
        <w:rPr>
          <w:b/>
          <w:bCs/>
          <w:sz w:val="14"/>
          <w:szCs w:val="14"/>
          <w:lang w:val="es-ES_tradnl"/>
        </w:rPr>
        <w:t>s de las acciones dispositivas de inconstitucionalidad.</w:t>
      </w:r>
    </w:p>
    <w:p w14:paraId="4F67AC70" w14:textId="77777777" w:rsidR="00591D54" w:rsidRDefault="00591D54">
      <w:pPr>
        <w:shd w:val="clear" w:color="auto" w:fill="FFFFFF"/>
        <w:spacing w:line="221" w:lineRule="exact"/>
        <w:ind w:left="283"/>
        <w:jc w:val="both"/>
      </w:pPr>
      <w:r>
        <w:rPr>
          <w:sz w:val="14"/>
          <w:szCs w:val="14"/>
          <w:lang w:val="es-ES_tradnl"/>
        </w:rPr>
        <w:t>En el Estado Constitucional de derechos y justicia se le otorga central importancia a la justicia constitucional de competencia de la Corte Constitucional; consecuentemente, se justifica materialmente el ejercicio de un control constitucional amplio y pleno, para dar efectiva vigencia a los derechos constitucionales y humanos y a la supremac</w:t>
      </w:r>
      <w:r>
        <w:rPr>
          <w:rFonts w:cs="Times New Roman"/>
          <w:sz w:val="14"/>
          <w:szCs w:val="14"/>
          <w:lang w:val="es-ES_tradnl"/>
        </w:rPr>
        <w:t>í</w:t>
      </w:r>
      <w:r>
        <w:rPr>
          <w:sz w:val="14"/>
          <w:szCs w:val="14"/>
          <w:lang w:val="es-ES_tradnl"/>
        </w:rPr>
        <w:t>a constitucional. (El texto entre comillas y el resaltado con negrillas no corresponde a la transcripci</w:t>
      </w:r>
      <w:r>
        <w:rPr>
          <w:rFonts w:cs="Times New Roman"/>
          <w:sz w:val="14"/>
          <w:szCs w:val="14"/>
          <w:lang w:val="es-ES_tradnl"/>
        </w:rPr>
        <w:t>ó</w:t>
      </w:r>
      <w:r>
        <w:rPr>
          <w:sz w:val="14"/>
          <w:szCs w:val="14"/>
          <w:lang w:val="es-ES_tradnl"/>
        </w:rPr>
        <w:t>n).</w:t>
      </w:r>
    </w:p>
    <w:p w14:paraId="4F67AC71" w14:textId="77777777" w:rsidR="00591D54" w:rsidRDefault="00591D54">
      <w:pPr>
        <w:shd w:val="clear" w:color="auto" w:fill="FFFFFF"/>
        <w:spacing w:before="206" w:line="221" w:lineRule="exact"/>
        <w:ind w:right="5"/>
        <w:jc w:val="both"/>
      </w:pPr>
      <w:r>
        <w:rPr>
          <w:spacing w:val="-8"/>
          <w:sz w:val="18"/>
          <w:szCs w:val="18"/>
          <w:lang w:val="es-ES_tradnl"/>
        </w:rPr>
        <w:t>En este contexto, se evidencia que la presentaci</w:t>
      </w:r>
      <w:r>
        <w:rPr>
          <w:rFonts w:cs="Times New Roman"/>
          <w:spacing w:val="-8"/>
          <w:sz w:val="18"/>
          <w:szCs w:val="18"/>
          <w:lang w:val="es-ES_tradnl"/>
        </w:rPr>
        <w:t>ó</w:t>
      </w:r>
      <w:r>
        <w:rPr>
          <w:spacing w:val="-8"/>
          <w:sz w:val="18"/>
          <w:szCs w:val="18"/>
          <w:lang w:val="es-ES_tradnl"/>
        </w:rPr>
        <w:t xml:space="preserve">n de una </w:t>
      </w:r>
      <w:r>
        <w:rPr>
          <w:spacing w:val="-5"/>
          <w:sz w:val="18"/>
          <w:szCs w:val="18"/>
          <w:lang w:val="es-ES_tradnl"/>
        </w:rPr>
        <w:t>acci</w:t>
      </w:r>
      <w:r>
        <w:rPr>
          <w:rFonts w:cs="Times New Roman"/>
          <w:spacing w:val="-5"/>
          <w:sz w:val="18"/>
          <w:szCs w:val="18"/>
          <w:lang w:val="es-ES_tradnl"/>
        </w:rPr>
        <w:t>ó</w:t>
      </w:r>
      <w:r>
        <w:rPr>
          <w:spacing w:val="-5"/>
          <w:sz w:val="18"/>
          <w:szCs w:val="18"/>
          <w:lang w:val="es-ES_tradnl"/>
        </w:rPr>
        <w:t xml:space="preserve">n de inconstitucionalidad no es el </w:t>
      </w:r>
      <w:r>
        <w:rPr>
          <w:rFonts w:cs="Times New Roman"/>
          <w:spacing w:val="-5"/>
          <w:sz w:val="18"/>
          <w:szCs w:val="18"/>
          <w:lang w:val="es-ES_tradnl"/>
        </w:rPr>
        <w:t>ú</w:t>
      </w:r>
      <w:r>
        <w:rPr>
          <w:spacing w:val="-5"/>
          <w:sz w:val="18"/>
          <w:szCs w:val="18"/>
          <w:lang w:val="es-ES_tradnl"/>
        </w:rPr>
        <w:t xml:space="preserve">nico medio que </w:t>
      </w:r>
      <w:r>
        <w:rPr>
          <w:spacing w:val="-6"/>
          <w:sz w:val="18"/>
          <w:szCs w:val="18"/>
          <w:lang w:val="es-ES_tradnl"/>
        </w:rPr>
        <w:t xml:space="preserve">tiene la Corte Constitucional para resolver respecto de la </w:t>
      </w:r>
      <w:r>
        <w:rPr>
          <w:spacing w:val="-7"/>
          <w:sz w:val="18"/>
          <w:szCs w:val="18"/>
          <w:lang w:val="es-ES_tradnl"/>
        </w:rPr>
        <w:t>inconstitucionalidad de alguna norma secundaria. En este</w:t>
      </w:r>
    </w:p>
    <w:p w14:paraId="4F67AC72" w14:textId="77777777" w:rsidR="00591D54" w:rsidRDefault="00591D54">
      <w:pPr>
        <w:shd w:val="clear" w:color="auto" w:fill="FFFFFF"/>
        <w:tabs>
          <w:tab w:val="left" w:pos="139"/>
        </w:tabs>
        <w:spacing w:before="749" w:line="178" w:lineRule="exact"/>
        <w:ind w:left="139" w:right="5" w:hanging="139"/>
        <w:jc w:val="both"/>
      </w:pPr>
      <w:r>
        <w:rPr>
          <w:spacing w:val="-5"/>
          <w:sz w:val="8"/>
          <w:szCs w:val="8"/>
          <w:vertAlign w:val="superscript"/>
          <w:lang w:val="es-ES_tradnl"/>
        </w:rPr>
        <w:t>17</w:t>
      </w:r>
      <w:r>
        <w:rPr>
          <w:sz w:val="18"/>
          <w:szCs w:val="18"/>
          <w:lang w:val="es-ES_tradnl"/>
        </w:rPr>
        <w:tab/>
      </w:r>
      <w:r>
        <w:rPr>
          <w:spacing w:val="-3"/>
          <w:sz w:val="14"/>
          <w:szCs w:val="14"/>
          <w:lang w:val="es-ES_tradnl"/>
        </w:rPr>
        <w:t>El</w:t>
      </w:r>
      <w:r>
        <w:rPr>
          <w:spacing w:val="-3"/>
          <w:sz w:val="18"/>
          <w:szCs w:val="18"/>
          <w:lang w:val="es-ES_tradnl"/>
        </w:rPr>
        <w:t xml:space="preserve"> </w:t>
      </w:r>
      <w:r>
        <w:rPr>
          <w:spacing w:val="-3"/>
          <w:sz w:val="14"/>
          <w:szCs w:val="14"/>
          <w:lang w:val="es-ES_tradnl"/>
        </w:rPr>
        <w:t>art</w:t>
      </w:r>
      <w:r>
        <w:rPr>
          <w:rFonts w:cs="Times New Roman"/>
          <w:spacing w:val="-3"/>
          <w:sz w:val="14"/>
          <w:szCs w:val="14"/>
          <w:lang w:val="es-ES_tradnl"/>
        </w:rPr>
        <w:t>í</w:t>
      </w:r>
      <w:r>
        <w:rPr>
          <w:spacing w:val="-3"/>
          <w:sz w:val="14"/>
          <w:szCs w:val="14"/>
          <w:lang w:val="es-ES_tradnl"/>
        </w:rPr>
        <w:t>culo</w:t>
      </w:r>
      <w:r>
        <w:rPr>
          <w:spacing w:val="-3"/>
          <w:sz w:val="18"/>
          <w:szCs w:val="18"/>
          <w:lang w:val="es-ES_tradnl"/>
        </w:rPr>
        <w:t xml:space="preserve"> </w:t>
      </w:r>
      <w:r>
        <w:rPr>
          <w:spacing w:val="-3"/>
          <w:sz w:val="14"/>
          <w:szCs w:val="14"/>
          <w:lang w:val="es-ES_tradnl"/>
        </w:rPr>
        <w:t>436</w:t>
      </w:r>
      <w:r>
        <w:rPr>
          <w:spacing w:val="-3"/>
          <w:sz w:val="18"/>
          <w:szCs w:val="18"/>
          <w:lang w:val="es-ES_tradnl"/>
        </w:rPr>
        <w:t xml:space="preserve"> </w:t>
      </w:r>
      <w:r>
        <w:rPr>
          <w:spacing w:val="-3"/>
          <w:sz w:val="14"/>
          <w:szCs w:val="14"/>
          <w:lang w:val="es-ES_tradnl"/>
        </w:rPr>
        <w:t>de</w:t>
      </w:r>
      <w:r>
        <w:rPr>
          <w:spacing w:val="-3"/>
          <w:sz w:val="18"/>
          <w:szCs w:val="18"/>
          <w:lang w:val="es-ES_tradnl"/>
        </w:rPr>
        <w:t xml:space="preserve"> </w:t>
      </w:r>
      <w:r>
        <w:rPr>
          <w:spacing w:val="-3"/>
          <w:sz w:val="14"/>
          <w:szCs w:val="14"/>
          <w:lang w:val="es-ES_tradnl"/>
        </w:rPr>
        <w:t>la</w:t>
      </w:r>
      <w:r>
        <w:rPr>
          <w:spacing w:val="-3"/>
          <w:sz w:val="18"/>
          <w:szCs w:val="18"/>
          <w:lang w:val="es-ES_tradnl"/>
        </w:rPr>
        <w:t xml:space="preserve"> </w:t>
      </w:r>
      <w:r>
        <w:rPr>
          <w:spacing w:val="-3"/>
          <w:sz w:val="14"/>
          <w:szCs w:val="14"/>
          <w:lang w:val="es-ES_tradnl"/>
        </w:rPr>
        <w:t>Constituci</w:t>
      </w:r>
      <w:r>
        <w:rPr>
          <w:rFonts w:cs="Times New Roman"/>
          <w:spacing w:val="-3"/>
          <w:sz w:val="14"/>
          <w:szCs w:val="14"/>
          <w:lang w:val="es-ES_tradnl"/>
        </w:rPr>
        <w:t>ó</w:t>
      </w:r>
      <w:r>
        <w:rPr>
          <w:spacing w:val="-3"/>
          <w:sz w:val="14"/>
          <w:szCs w:val="14"/>
          <w:lang w:val="es-ES_tradnl"/>
        </w:rPr>
        <w:t>n</w:t>
      </w:r>
      <w:r>
        <w:rPr>
          <w:spacing w:val="-3"/>
          <w:sz w:val="18"/>
          <w:szCs w:val="18"/>
          <w:lang w:val="es-ES_tradnl"/>
        </w:rPr>
        <w:t xml:space="preserve"> </w:t>
      </w:r>
      <w:r>
        <w:rPr>
          <w:spacing w:val="-3"/>
          <w:sz w:val="14"/>
          <w:szCs w:val="14"/>
          <w:lang w:val="es-ES_tradnl"/>
        </w:rPr>
        <w:t>de</w:t>
      </w:r>
      <w:r>
        <w:rPr>
          <w:spacing w:val="-3"/>
          <w:sz w:val="18"/>
          <w:szCs w:val="18"/>
          <w:lang w:val="es-ES_tradnl"/>
        </w:rPr>
        <w:t xml:space="preserve"> </w:t>
      </w:r>
      <w:r>
        <w:rPr>
          <w:spacing w:val="-3"/>
          <w:sz w:val="14"/>
          <w:szCs w:val="14"/>
          <w:lang w:val="es-ES_tradnl"/>
        </w:rPr>
        <w:t>la</w:t>
      </w:r>
      <w:r>
        <w:rPr>
          <w:spacing w:val="-3"/>
          <w:sz w:val="18"/>
          <w:szCs w:val="18"/>
          <w:lang w:val="es-ES_tradnl"/>
        </w:rPr>
        <w:t xml:space="preserve"> </w:t>
      </w:r>
      <w:r>
        <w:rPr>
          <w:spacing w:val="-3"/>
          <w:sz w:val="14"/>
          <w:szCs w:val="14"/>
          <w:lang w:val="es-ES_tradnl"/>
        </w:rPr>
        <w:t>Rep</w:t>
      </w:r>
      <w:r>
        <w:rPr>
          <w:rFonts w:cs="Times New Roman"/>
          <w:spacing w:val="-3"/>
          <w:sz w:val="14"/>
          <w:szCs w:val="14"/>
          <w:lang w:val="es-ES_tradnl"/>
        </w:rPr>
        <w:t>ú</w:t>
      </w:r>
      <w:r>
        <w:rPr>
          <w:spacing w:val="-3"/>
          <w:sz w:val="14"/>
          <w:szCs w:val="14"/>
          <w:lang w:val="es-ES_tradnl"/>
        </w:rPr>
        <w:t>blica</w:t>
      </w:r>
      <w:r>
        <w:rPr>
          <w:spacing w:val="-3"/>
          <w:sz w:val="18"/>
          <w:szCs w:val="18"/>
          <w:lang w:val="es-ES_tradnl"/>
        </w:rPr>
        <w:t xml:space="preserve"> </w:t>
      </w:r>
      <w:r>
        <w:rPr>
          <w:spacing w:val="-3"/>
          <w:sz w:val="14"/>
          <w:szCs w:val="14"/>
          <w:lang w:val="es-ES_tradnl"/>
        </w:rPr>
        <w:t>se</w:t>
      </w:r>
      <w:r>
        <w:rPr>
          <w:rFonts w:cs="Times New Roman"/>
          <w:spacing w:val="-3"/>
          <w:sz w:val="14"/>
          <w:szCs w:val="14"/>
          <w:lang w:val="es-ES_tradnl"/>
        </w:rPr>
        <w:t>ñ</w:t>
      </w:r>
      <w:r>
        <w:rPr>
          <w:spacing w:val="-3"/>
          <w:sz w:val="14"/>
          <w:szCs w:val="14"/>
          <w:lang w:val="es-ES_tradnl"/>
        </w:rPr>
        <w:t>ala</w:t>
      </w:r>
      <w:r>
        <w:rPr>
          <w:spacing w:val="-3"/>
          <w:sz w:val="18"/>
          <w:szCs w:val="18"/>
          <w:lang w:val="es-ES_tradnl"/>
        </w:rPr>
        <w:t xml:space="preserve"> </w:t>
      </w:r>
      <w:r>
        <w:rPr>
          <w:spacing w:val="-3"/>
          <w:sz w:val="14"/>
          <w:szCs w:val="14"/>
          <w:lang w:val="es-ES_tradnl"/>
        </w:rPr>
        <w:t>lo</w:t>
      </w:r>
      <w:r>
        <w:rPr>
          <w:spacing w:val="-3"/>
          <w:sz w:val="18"/>
          <w:szCs w:val="18"/>
          <w:lang w:val="es-ES_tradnl"/>
        </w:rPr>
        <w:t xml:space="preserve"> </w:t>
      </w:r>
      <w:r>
        <w:rPr>
          <w:spacing w:val="-3"/>
          <w:sz w:val="14"/>
          <w:szCs w:val="14"/>
          <w:lang w:val="es-ES_tradnl"/>
        </w:rPr>
        <w:t>siguiente: </w:t>
      </w:r>
      <w:r>
        <w:rPr>
          <w:rFonts w:cs="Times New Roman"/>
          <w:sz w:val="14"/>
          <w:szCs w:val="14"/>
          <w:lang w:val="es-ES_tradnl"/>
        </w:rPr>
        <w:t>“</w:t>
      </w:r>
      <w:r>
        <w:rPr>
          <w:sz w:val="14"/>
          <w:szCs w:val="14"/>
          <w:lang w:val="es-ES_tradnl"/>
        </w:rPr>
        <w:t>Art. 436.- La Corte Constitucional ejercer</w:t>
      </w:r>
      <w:r>
        <w:rPr>
          <w:rFonts w:cs="Times New Roman"/>
          <w:sz w:val="14"/>
          <w:szCs w:val="14"/>
          <w:lang w:val="es-ES_tradnl"/>
        </w:rPr>
        <w:t>á</w:t>
      </w:r>
      <w:r>
        <w:rPr>
          <w:sz w:val="14"/>
          <w:szCs w:val="14"/>
          <w:lang w:val="es-ES_tradnl"/>
        </w:rPr>
        <w:t>, adem</w:t>
      </w:r>
      <w:r>
        <w:rPr>
          <w:rFonts w:cs="Times New Roman"/>
          <w:sz w:val="14"/>
          <w:szCs w:val="14"/>
          <w:lang w:val="es-ES_tradnl"/>
        </w:rPr>
        <w:t>á</w:t>
      </w:r>
      <w:r>
        <w:rPr>
          <w:sz w:val="14"/>
          <w:szCs w:val="14"/>
          <w:lang w:val="es-ES_tradnl"/>
        </w:rPr>
        <w:t>s de las que le confiera la ley, las siguientes atribuciones: (</w:t>
      </w:r>
      <w:r>
        <w:rPr>
          <w:rFonts w:cs="Times New Roman"/>
          <w:sz w:val="14"/>
          <w:szCs w:val="14"/>
          <w:lang w:val="es-ES_tradnl"/>
        </w:rPr>
        <w:t>…</w:t>
      </w:r>
      <w:r>
        <w:rPr>
          <w:sz w:val="14"/>
          <w:szCs w:val="14"/>
          <w:lang w:val="es-ES_tradnl"/>
        </w:rPr>
        <w:t>.)2. Conocer y resolver las acciones p</w:t>
      </w:r>
      <w:r>
        <w:rPr>
          <w:rFonts w:cs="Times New Roman"/>
          <w:sz w:val="14"/>
          <w:szCs w:val="14"/>
          <w:lang w:val="es-ES_tradnl"/>
        </w:rPr>
        <w:t>ú</w:t>
      </w:r>
      <w:r>
        <w:rPr>
          <w:sz w:val="14"/>
          <w:szCs w:val="14"/>
          <w:lang w:val="es-ES_tradnl"/>
        </w:rPr>
        <w:t>blicas de inconstitucionalidad, por el </w:t>
      </w:r>
      <w:r>
        <w:rPr>
          <w:spacing w:val="-1"/>
          <w:sz w:val="14"/>
          <w:szCs w:val="14"/>
          <w:lang w:val="es-ES_tradnl"/>
        </w:rPr>
        <w:t>fondo o por la forma, contra actos normativos de car</w:t>
      </w:r>
      <w:r>
        <w:rPr>
          <w:rFonts w:cs="Times New Roman"/>
          <w:spacing w:val="-1"/>
          <w:sz w:val="14"/>
          <w:szCs w:val="14"/>
          <w:lang w:val="es-ES_tradnl"/>
        </w:rPr>
        <w:t>á</w:t>
      </w:r>
      <w:r>
        <w:rPr>
          <w:spacing w:val="-1"/>
          <w:sz w:val="14"/>
          <w:szCs w:val="14"/>
          <w:lang w:val="es-ES_tradnl"/>
        </w:rPr>
        <w:t>cter general </w:t>
      </w:r>
      <w:r>
        <w:rPr>
          <w:sz w:val="14"/>
          <w:szCs w:val="14"/>
          <w:lang w:val="es-ES_tradnl"/>
        </w:rPr>
        <w:t xml:space="preserve">emitidos por </w:t>
      </w:r>
      <w:r>
        <w:rPr>
          <w:rFonts w:cs="Times New Roman"/>
          <w:sz w:val="14"/>
          <w:szCs w:val="14"/>
          <w:lang w:val="es-ES_tradnl"/>
        </w:rPr>
        <w:t>ó</w:t>
      </w:r>
      <w:r>
        <w:rPr>
          <w:sz w:val="14"/>
          <w:szCs w:val="14"/>
          <w:lang w:val="es-ES_tradnl"/>
        </w:rPr>
        <w:t>rganos y autoridades del Estado. La declaratoria de inconstitucionalidad tendr</w:t>
      </w:r>
      <w:r>
        <w:rPr>
          <w:rFonts w:cs="Times New Roman"/>
          <w:sz w:val="14"/>
          <w:szCs w:val="14"/>
          <w:lang w:val="es-ES_tradnl"/>
        </w:rPr>
        <w:t>á</w:t>
      </w:r>
      <w:r>
        <w:rPr>
          <w:sz w:val="14"/>
          <w:szCs w:val="14"/>
          <w:lang w:val="es-ES_tradnl"/>
        </w:rPr>
        <w:t xml:space="preserve"> como efecto la invalidez del acto normativo impugnado. 3. Declarar de oficio la inconstitucionalidad </w:t>
      </w:r>
      <w:r>
        <w:rPr>
          <w:spacing w:val="-5"/>
          <w:sz w:val="14"/>
          <w:szCs w:val="14"/>
          <w:lang w:val="es-ES_tradnl"/>
        </w:rPr>
        <w:t>de normas conexas, cuando en los casos sometidos a su conocimiento </w:t>
      </w:r>
      <w:r>
        <w:rPr>
          <w:spacing w:val="-1"/>
          <w:sz w:val="14"/>
          <w:szCs w:val="14"/>
          <w:lang w:val="es-ES_tradnl"/>
        </w:rPr>
        <w:t>concluya que una o varias de ellas son contrarias a la Constituci</w:t>
      </w:r>
      <w:r>
        <w:rPr>
          <w:rFonts w:cs="Times New Roman"/>
          <w:spacing w:val="-1"/>
          <w:sz w:val="14"/>
          <w:szCs w:val="14"/>
          <w:lang w:val="es-ES_tradnl"/>
        </w:rPr>
        <w:t>ó</w:t>
      </w:r>
      <w:r>
        <w:rPr>
          <w:spacing w:val="-1"/>
          <w:sz w:val="14"/>
          <w:szCs w:val="14"/>
          <w:lang w:val="es-ES_tradnl"/>
        </w:rPr>
        <w:t>n. </w:t>
      </w:r>
      <w:r>
        <w:rPr>
          <w:sz w:val="14"/>
          <w:szCs w:val="14"/>
          <w:lang w:val="es-ES_tradnl"/>
        </w:rPr>
        <w:t>4. Conocer y resolver, a petici</w:t>
      </w:r>
      <w:r>
        <w:rPr>
          <w:rFonts w:cs="Times New Roman"/>
          <w:sz w:val="14"/>
          <w:szCs w:val="14"/>
          <w:lang w:val="es-ES_tradnl"/>
        </w:rPr>
        <w:t>ó</w:t>
      </w:r>
      <w:r>
        <w:rPr>
          <w:sz w:val="14"/>
          <w:szCs w:val="14"/>
          <w:lang w:val="es-ES_tradnl"/>
        </w:rPr>
        <w:t>n de parte, la inconstitucionalidad </w:t>
      </w:r>
      <w:r>
        <w:rPr>
          <w:spacing w:val="-2"/>
          <w:sz w:val="14"/>
          <w:szCs w:val="14"/>
          <w:lang w:val="es-ES_tradnl"/>
        </w:rPr>
        <w:t>contra los actos administrativos con efectos generales emitidos por </w:t>
      </w:r>
      <w:r>
        <w:rPr>
          <w:spacing w:val="-3"/>
          <w:sz w:val="14"/>
          <w:szCs w:val="14"/>
          <w:lang w:val="es-ES_tradnl"/>
        </w:rPr>
        <w:t>toda autoridad p</w:t>
      </w:r>
      <w:r>
        <w:rPr>
          <w:rFonts w:cs="Times New Roman"/>
          <w:spacing w:val="-3"/>
          <w:sz w:val="14"/>
          <w:szCs w:val="14"/>
          <w:lang w:val="es-ES_tradnl"/>
        </w:rPr>
        <w:t>ú</w:t>
      </w:r>
      <w:r>
        <w:rPr>
          <w:spacing w:val="-3"/>
          <w:sz w:val="14"/>
          <w:szCs w:val="14"/>
          <w:lang w:val="es-ES_tradnl"/>
        </w:rPr>
        <w:t>blica. La declaratoria de inconstitucionalidad tendr</w:t>
      </w:r>
      <w:r>
        <w:rPr>
          <w:rFonts w:cs="Times New Roman"/>
          <w:spacing w:val="-3"/>
          <w:sz w:val="14"/>
          <w:szCs w:val="14"/>
          <w:lang w:val="es-ES_tradnl"/>
        </w:rPr>
        <w:t>á </w:t>
      </w:r>
      <w:r>
        <w:rPr>
          <w:sz w:val="14"/>
          <w:szCs w:val="14"/>
          <w:lang w:val="es-ES_tradnl"/>
        </w:rPr>
        <w:t>como efecto la invalidez del acto administrativo</w:t>
      </w:r>
      <w:r>
        <w:rPr>
          <w:rFonts w:cs="Times New Roman"/>
          <w:sz w:val="14"/>
          <w:szCs w:val="14"/>
          <w:lang w:val="es-ES_tradnl"/>
        </w:rPr>
        <w:t>”</w:t>
      </w:r>
      <w:r>
        <w:rPr>
          <w:sz w:val="14"/>
          <w:szCs w:val="14"/>
          <w:lang w:val="es-ES_tradnl"/>
        </w:rPr>
        <w:t>.</w:t>
      </w:r>
    </w:p>
    <w:p w14:paraId="4F67AC73" w14:textId="77777777" w:rsidR="00591D54" w:rsidRDefault="00591D54">
      <w:pPr>
        <w:shd w:val="clear" w:color="auto" w:fill="FFFFFF"/>
        <w:tabs>
          <w:tab w:val="left" w:pos="139"/>
        </w:tabs>
        <w:spacing w:before="149" w:line="178" w:lineRule="exact"/>
        <w:ind w:left="139" w:hanging="139"/>
        <w:jc w:val="both"/>
      </w:pPr>
      <w:r>
        <w:rPr>
          <w:spacing w:val="-5"/>
          <w:sz w:val="8"/>
          <w:szCs w:val="8"/>
          <w:vertAlign w:val="superscript"/>
          <w:lang w:val="es-ES_tradnl"/>
        </w:rPr>
        <w:t>18</w:t>
      </w:r>
      <w:r>
        <w:rPr>
          <w:sz w:val="18"/>
          <w:szCs w:val="18"/>
          <w:lang w:val="es-ES_tradnl"/>
        </w:rPr>
        <w:tab/>
      </w:r>
      <w:r>
        <w:rPr>
          <w:spacing w:val="-1"/>
          <w:sz w:val="14"/>
          <w:szCs w:val="14"/>
          <w:lang w:val="es-ES_tradnl"/>
        </w:rPr>
        <w:t>Corte</w:t>
      </w:r>
      <w:r>
        <w:rPr>
          <w:spacing w:val="-1"/>
          <w:sz w:val="18"/>
          <w:szCs w:val="18"/>
          <w:lang w:val="es-ES_tradnl"/>
        </w:rPr>
        <w:t xml:space="preserve"> </w:t>
      </w:r>
      <w:r>
        <w:rPr>
          <w:spacing w:val="-1"/>
          <w:sz w:val="14"/>
          <w:szCs w:val="14"/>
          <w:lang w:val="es-ES_tradnl"/>
        </w:rPr>
        <w:t>Constitucional</w:t>
      </w:r>
      <w:r>
        <w:rPr>
          <w:spacing w:val="-1"/>
          <w:sz w:val="18"/>
          <w:szCs w:val="18"/>
          <w:lang w:val="es-ES_tradnl"/>
        </w:rPr>
        <w:t xml:space="preserve"> </w:t>
      </w:r>
      <w:r>
        <w:rPr>
          <w:spacing w:val="-1"/>
          <w:sz w:val="14"/>
          <w:szCs w:val="14"/>
          <w:lang w:val="es-ES_tradnl"/>
        </w:rPr>
        <w:t>del</w:t>
      </w:r>
      <w:r>
        <w:rPr>
          <w:spacing w:val="-1"/>
          <w:sz w:val="18"/>
          <w:szCs w:val="18"/>
          <w:lang w:val="es-ES_tradnl"/>
        </w:rPr>
        <w:t xml:space="preserve"> </w:t>
      </w:r>
      <w:r>
        <w:rPr>
          <w:spacing w:val="-1"/>
          <w:sz w:val="14"/>
          <w:szCs w:val="14"/>
          <w:lang w:val="es-ES_tradnl"/>
        </w:rPr>
        <w:t>Ecuador.</w:t>
      </w:r>
      <w:r>
        <w:rPr>
          <w:spacing w:val="-1"/>
          <w:sz w:val="18"/>
          <w:szCs w:val="18"/>
          <w:lang w:val="es-ES_tradnl"/>
        </w:rPr>
        <w:t xml:space="preserve"> </w:t>
      </w:r>
      <w:r>
        <w:rPr>
          <w:spacing w:val="-1"/>
          <w:sz w:val="14"/>
          <w:szCs w:val="14"/>
          <w:lang w:val="es-ES_tradnl"/>
        </w:rPr>
        <w:t>Sentencia</w:t>
      </w:r>
      <w:r>
        <w:rPr>
          <w:spacing w:val="-1"/>
          <w:sz w:val="18"/>
          <w:szCs w:val="18"/>
          <w:lang w:val="es-ES_tradnl"/>
        </w:rPr>
        <w:t xml:space="preserve"> </w:t>
      </w:r>
      <w:r>
        <w:rPr>
          <w:spacing w:val="-1"/>
          <w:sz w:val="14"/>
          <w:szCs w:val="14"/>
          <w:lang w:val="es-ES_tradnl"/>
        </w:rPr>
        <w:t>No.</w:t>
      </w:r>
      <w:r>
        <w:rPr>
          <w:spacing w:val="-1"/>
          <w:sz w:val="18"/>
          <w:szCs w:val="18"/>
          <w:lang w:val="es-ES_tradnl"/>
        </w:rPr>
        <w:t xml:space="preserve"> </w:t>
      </w:r>
      <w:r>
        <w:rPr>
          <w:spacing w:val="-1"/>
          <w:sz w:val="14"/>
          <w:szCs w:val="14"/>
          <w:lang w:val="es-ES_tradnl"/>
        </w:rPr>
        <w:t>102-13-SEP-CC. Caso No. 0380-10-EP. Quito, DM., 4 de diciembre de 2013</w:t>
      </w:r>
    </w:p>
    <w:p w14:paraId="4F67AC74" w14:textId="77777777" w:rsidR="00591D54" w:rsidRDefault="00591D54">
      <w:pPr>
        <w:shd w:val="clear" w:color="auto" w:fill="FFFFFF"/>
        <w:spacing w:line="221" w:lineRule="exact"/>
        <w:ind w:right="5"/>
        <w:jc w:val="both"/>
      </w:pPr>
      <w:r>
        <w:br w:type="column"/>
      </w:r>
      <w:r>
        <w:rPr>
          <w:spacing w:val="-9"/>
          <w:sz w:val="18"/>
          <w:szCs w:val="18"/>
          <w:lang w:val="es-ES_tradnl"/>
        </w:rPr>
        <w:t>sentido, la Corte Constitucional</w:t>
      </w:r>
      <w:r>
        <w:rPr>
          <w:spacing w:val="-9"/>
          <w:sz w:val="18"/>
          <w:szCs w:val="18"/>
          <w:vertAlign w:val="superscript"/>
          <w:lang w:val="es-ES_tradnl"/>
        </w:rPr>
        <w:t>19</w:t>
      </w:r>
      <w:r>
        <w:rPr>
          <w:spacing w:val="-9"/>
          <w:sz w:val="18"/>
          <w:szCs w:val="18"/>
          <w:lang w:val="es-ES_tradnl"/>
        </w:rPr>
        <w:t xml:space="preserve"> se pronuncia respecto del </w:t>
      </w:r>
      <w:r>
        <w:rPr>
          <w:spacing w:val="-6"/>
          <w:sz w:val="18"/>
          <w:szCs w:val="18"/>
          <w:lang w:val="es-ES_tradnl"/>
        </w:rPr>
        <w:t xml:space="preserve">control de disposiciones normativas relacionadas con un </w:t>
      </w:r>
      <w:r>
        <w:rPr>
          <w:sz w:val="18"/>
          <w:szCs w:val="18"/>
          <w:lang w:val="es-ES_tradnl"/>
        </w:rPr>
        <w:t>caso concreto en la siguiente manera:</w:t>
      </w:r>
    </w:p>
    <w:p w14:paraId="4F67AC75" w14:textId="77777777" w:rsidR="00591D54" w:rsidRDefault="00591D54">
      <w:pPr>
        <w:shd w:val="clear" w:color="auto" w:fill="FFFFFF"/>
        <w:spacing w:before="202" w:line="216" w:lineRule="exact"/>
        <w:ind w:left="283" w:right="5"/>
        <w:jc w:val="both"/>
      </w:pPr>
      <w:r>
        <w:rPr>
          <w:sz w:val="14"/>
          <w:szCs w:val="14"/>
          <w:lang w:val="es-ES_tradnl"/>
        </w:rPr>
        <w:t>En este orden de ideas, la competencia asignada a la Corte Constitucional, contenida en el art</w:t>
      </w:r>
      <w:r>
        <w:rPr>
          <w:rFonts w:cs="Times New Roman"/>
          <w:sz w:val="14"/>
          <w:szCs w:val="14"/>
          <w:lang w:val="es-ES_tradnl"/>
        </w:rPr>
        <w:t>í</w:t>
      </w:r>
      <w:r>
        <w:rPr>
          <w:sz w:val="14"/>
          <w:szCs w:val="14"/>
          <w:lang w:val="es-ES_tradnl"/>
        </w:rPr>
        <w:t>culo 436 numeral 3 de la Constituci</w:t>
      </w:r>
      <w:r>
        <w:rPr>
          <w:rFonts w:cs="Times New Roman"/>
          <w:sz w:val="14"/>
          <w:szCs w:val="14"/>
          <w:lang w:val="es-ES_tradnl"/>
        </w:rPr>
        <w:t>ó</w:t>
      </w:r>
      <w:r>
        <w:rPr>
          <w:sz w:val="14"/>
          <w:szCs w:val="14"/>
          <w:lang w:val="es-ES_tradnl"/>
        </w:rPr>
        <w:t xml:space="preserve">n de </w:t>
      </w:r>
      <w:r>
        <w:rPr>
          <w:rFonts w:cs="Times New Roman"/>
          <w:sz w:val="14"/>
          <w:szCs w:val="14"/>
          <w:lang w:val="es-ES_tradnl"/>
        </w:rPr>
        <w:t>“</w:t>
      </w:r>
      <w:r>
        <w:rPr>
          <w:sz w:val="14"/>
          <w:szCs w:val="14"/>
          <w:lang w:val="es-ES_tradnl"/>
        </w:rPr>
        <w:t>Declarar de oficio la inconstitucionalidad de normas conexas, cuando en los casos sometidos a su conocimiento concluya que una o varias de ellas son contrarias a la Constituci</w:t>
      </w:r>
      <w:r>
        <w:rPr>
          <w:rFonts w:cs="Times New Roman"/>
          <w:sz w:val="14"/>
          <w:szCs w:val="14"/>
          <w:lang w:val="es-ES_tradnl"/>
        </w:rPr>
        <w:t>ó</w:t>
      </w:r>
      <w:r>
        <w:rPr>
          <w:sz w:val="14"/>
          <w:szCs w:val="14"/>
          <w:lang w:val="es-ES_tradnl"/>
        </w:rPr>
        <w:t>n</w:t>
      </w:r>
      <w:r>
        <w:rPr>
          <w:rFonts w:cs="Times New Roman"/>
          <w:sz w:val="14"/>
          <w:szCs w:val="14"/>
          <w:lang w:val="es-ES_tradnl"/>
        </w:rPr>
        <w:t>”</w:t>
      </w:r>
      <w:r>
        <w:rPr>
          <w:sz w:val="14"/>
          <w:szCs w:val="14"/>
          <w:lang w:val="es-ES_tradnl"/>
        </w:rPr>
        <w:t xml:space="preserve">, </w:t>
      </w:r>
      <w:r>
        <w:rPr>
          <w:b/>
          <w:bCs/>
          <w:sz w:val="14"/>
          <w:szCs w:val="14"/>
          <w:lang w:val="es-ES_tradnl"/>
        </w:rPr>
        <w:t>debe entenderse como la posibilidad de efectuar control de la constitucionalidad sobre las normas infra constitucionales que tienen directa relaci</w:t>
      </w:r>
      <w:r>
        <w:rPr>
          <w:rFonts w:cs="Times New Roman"/>
          <w:b/>
          <w:bCs/>
          <w:sz w:val="14"/>
          <w:szCs w:val="14"/>
          <w:lang w:val="es-ES_tradnl"/>
        </w:rPr>
        <w:t>ó</w:t>
      </w:r>
      <w:r>
        <w:rPr>
          <w:b/>
          <w:bCs/>
          <w:sz w:val="14"/>
          <w:szCs w:val="14"/>
          <w:lang w:val="es-ES_tradnl"/>
        </w:rPr>
        <w:t>n con la causa sometida a su conocimiento</w:t>
      </w:r>
      <w:r>
        <w:rPr>
          <w:sz w:val="14"/>
          <w:szCs w:val="14"/>
          <w:lang w:val="es-ES_tradnl"/>
        </w:rPr>
        <w:t>. (El resaltado no corresponde a la transcripci</w:t>
      </w:r>
      <w:r>
        <w:rPr>
          <w:rFonts w:cs="Times New Roman"/>
          <w:sz w:val="14"/>
          <w:szCs w:val="14"/>
          <w:lang w:val="es-ES_tradnl"/>
        </w:rPr>
        <w:t>ó</w:t>
      </w:r>
      <w:r>
        <w:rPr>
          <w:sz w:val="14"/>
          <w:szCs w:val="14"/>
          <w:lang w:val="es-ES_tradnl"/>
        </w:rPr>
        <w:t>n).</w:t>
      </w:r>
    </w:p>
    <w:p w14:paraId="4F67AC76" w14:textId="77777777" w:rsidR="00591D54" w:rsidRDefault="00591D54">
      <w:pPr>
        <w:shd w:val="clear" w:color="auto" w:fill="FFFFFF"/>
        <w:spacing w:before="202" w:line="216" w:lineRule="exact"/>
        <w:ind w:right="5"/>
        <w:jc w:val="both"/>
      </w:pPr>
      <w:r>
        <w:rPr>
          <w:spacing w:val="-4"/>
          <w:sz w:val="18"/>
          <w:szCs w:val="18"/>
          <w:lang w:val="es-ES_tradnl"/>
        </w:rPr>
        <w:t xml:space="preserve">En este contexto, para el caso materia de la presente </w:t>
      </w:r>
      <w:r>
        <w:rPr>
          <w:spacing w:val="-7"/>
          <w:sz w:val="18"/>
          <w:szCs w:val="18"/>
          <w:lang w:val="es-ES_tradnl"/>
        </w:rPr>
        <w:t>acci</w:t>
      </w:r>
      <w:r>
        <w:rPr>
          <w:rFonts w:cs="Times New Roman"/>
          <w:spacing w:val="-7"/>
          <w:sz w:val="18"/>
          <w:szCs w:val="18"/>
          <w:lang w:val="es-ES_tradnl"/>
        </w:rPr>
        <w:t>ó</w:t>
      </w:r>
      <w:r>
        <w:rPr>
          <w:spacing w:val="-7"/>
          <w:sz w:val="18"/>
          <w:szCs w:val="18"/>
          <w:lang w:val="es-ES_tradnl"/>
        </w:rPr>
        <w:t xml:space="preserve">n, se determina la necesidad de efectuar un control </w:t>
      </w:r>
      <w:r>
        <w:rPr>
          <w:spacing w:val="-4"/>
          <w:sz w:val="18"/>
          <w:szCs w:val="18"/>
          <w:lang w:val="es-ES_tradnl"/>
        </w:rPr>
        <w:t>constitucional de la disposici</w:t>
      </w:r>
      <w:r>
        <w:rPr>
          <w:rFonts w:cs="Times New Roman"/>
          <w:spacing w:val="-4"/>
          <w:sz w:val="18"/>
          <w:szCs w:val="18"/>
          <w:lang w:val="es-ES_tradnl"/>
        </w:rPr>
        <w:t>ó</w:t>
      </w:r>
      <w:r>
        <w:rPr>
          <w:spacing w:val="-4"/>
          <w:sz w:val="18"/>
          <w:szCs w:val="18"/>
          <w:lang w:val="es-ES_tradnl"/>
        </w:rPr>
        <w:t xml:space="preserve">n normativa referente al </w:t>
      </w:r>
      <w:r>
        <w:rPr>
          <w:rFonts w:cs="Times New Roman"/>
          <w:spacing w:val="-8"/>
          <w:sz w:val="18"/>
          <w:szCs w:val="18"/>
          <w:lang w:val="es-ES_tradnl"/>
        </w:rPr>
        <w:t>á</w:t>
      </w:r>
      <w:r>
        <w:rPr>
          <w:spacing w:val="-8"/>
          <w:sz w:val="18"/>
          <w:szCs w:val="18"/>
          <w:lang w:val="es-ES_tradnl"/>
        </w:rPr>
        <w:t>mbito de protecci</w:t>
      </w:r>
      <w:r>
        <w:rPr>
          <w:rFonts w:cs="Times New Roman"/>
          <w:spacing w:val="-8"/>
          <w:sz w:val="18"/>
          <w:szCs w:val="18"/>
          <w:lang w:val="es-ES_tradnl"/>
        </w:rPr>
        <w:t>ó</w:t>
      </w:r>
      <w:r>
        <w:rPr>
          <w:spacing w:val="-8"/>
          <w:sz w:val="18"/>
          <w:szCs w:val="18"/>
          <w:lang w:val="es-ES_tradnl"/>
        </w:rPr>
        <w:t>n de la acci</w:t>
      </w:r>
      <w:r>
        <w:rPr>
          <w:rFonts w:cs="Times New Roman"/>
          <w:spacing w:val="-8"/>
          <w:sz w:val="18"/>
          <w:szCs w:val="18"/>
          <w:lang w:val="es-ES_tradnl"/>
        </w:rPr>
        <w:t>ó</w:t>
      </w:r>
      <w:r>
        <w:rPr>
          <w:spacing w:val="-8"/>
          <w:sz w:val="18"/>
          <w:szCs w:val="18"/>
          <w:lang w:val="es-ES_tradnl"/>
        </w:rPr>
        <w:t>n de h</w:t>
      </w:r>
      <w:r>
        <w:rPr>
          <w:rFonts w:cs="Times New Roman"/>
          <w:spacing w:val="-8"/>
          <w:sz w:val="18"/>
          <w:szCs w:val="18"/>
          <w:lang w:val="es-ES_tradnl"/>
        </w:rPr>
        <w:t>á</w:t>
      </w:r>
      <w:r>
        <w:rPr>
          <w:spacing w:val="-8"/>
          <w:sz w:val="18"/>
          <w:szCs w:val="18"/>
          <w:lang w:val="es-ES_tradnl"/>
        </w:rPr>
        <w:t xml:space="preserve">beas data de forma </w:t>
      </w:r>
      <w:r>
        <w:rPr>
          <w:spacing w:val="-9"/>
          <w:sz w:val="18"/>
          <w:szCs w:val="18"/>
          <w:lang w:val="es-ES_tradnl"/>
        </w:rPr>
        <w:t xml:space="preserve">tal, que se pueda optimizar y efectivizar de mejor manera el </w:t>
      </w:r>
      <w:r>
        <w:rPr>
          <w:sz w:val="18"/>
          <w:szCs w:val="18"/>
          <w:lang w:val="es-ES_tradnl"/>
        </w:rPr>
        <w:t>ejercicio de esta garant</w:t>
      </w:r>
      <w:r>
        <w:rPr>
          <w:rFonts w:cs="Times New Roman"/>
          <w:sz w:val="18"/>
          <w:szCs w:val="18"/>
          <w:lang w:val="es-ES_tradnl"/>
        </w:rPr>
        <w:t>í</w:t>
      </w:r>
      <w:r>
        <w:rPr>
          <w:sz w:val="18"/>
          <w:szCs w:val="18"/>
          <w:lang w:val="es-ES_tradnl"/>
        </w:rPr>
        <w:t>a jurisdiccional.</w:t>
      </w:r>
    </w:p>
    <w:p w14:paraId="4F67AC77" w14:textId="77777777" w:rsidR="00591D54" w:rsidRDefault="00591D54">
      <w:pPr>
        <w:shd w:val="clear" w:color="auto" w:fill="FFFFFF"/>
        <w:spacing w:before="192" w:line="216" w:lineRule="exact"/>
        <w:ind w:right="5"/>
        <w:jc w:val="both"/>
      </w:pPr>
      <w:r>
        <w:rPr>
          <w:spacing w:val="-6"/>
          <w:sz w:val="18"/>
          <w:szCs w:val="18"/>
          <w:lang w:val="es-ES_tradnl"/>
        </w:rPr>
        <w:t xml:space="preserve">De las prescripciones normativas y el desarrollo de la </w:t>
      </w:r>
      <w:r>
        <w:rPr>
          <w:spacing w:val="-7"/>
          <w:sz w:val="18"/>
          <w:szCs w:val="18"/>
          <w:lang w:val="es-ES_tradnl"/>
        </w:rPr>
        <w:t xml:space="preserve">jurisprudencia, el control constitucional ya no se enmarca </w:t>
      </w:r>
      <w:r>
        <w:rPr>
          <w:rFonts w:cs="Times New Roman"/>
          <w:spacing w:val="-3"/>
          <w:sz w:val="18"/>
          <w:szCs w:val="18"/>
          <w:lang w:val="es-ES_tradnl"/>
        </w:rPr>
        <w:t>ú</w:t>
      </w:r>
      <w:r>
        <w:rPr>
          <w:spacing w:val="-3"/>
          <w:sz w:val="18"/>
          <w:szCs w:val="18"/>
          <w:lang w:val="es-ES_tradnl"/>
        </w:rPr>
        <w:t>nicamente en la expulsi</w:t>
      </w:r>
      <w:r>
        <w:rPr>
          <w:rFonts w:cs="Times New Roman"/>
          <w:spacing w:val="-3"/>
          <w:sz w:val="18"/>
          <w:szCs w:val="18"/>
          <w:lang w:val="es-ES_tradnl"/>
        </w:rPr>
        <w:t>ó</w:t>
      </w:r>
      <w:r>
        <w:rPr>
          <w:spacing w:val="-3"/>
          <w:sz w:val="18"/>
          <w:szCs w:val="18"/>
          <w:lang w:val="es-ES_tradnl"/>
        </w:rPr>
        <w:t xml:space="preserve">n del ordenamiento, sino que en virtud de los principios </w:t>
      </w:r>
      <w:r>
        <w:rPr>
          <w:i/>
          <w:iCs/>
          <w:spacing w:val="-3"/>
          <w:sz w:val="18"/>
          <w:szCs w:val="18"/>
          <w:lang w:val="es-ES_tradnl"/>
        </w:rPr>
        <w:t xml:space="preserve">in dubio pro legislatore, </w:t>
      </w:r>
      <w:r>
        <w:rPr>
          <w:rFonts w:cs="Times New Roman"/>
          <w:sz w:val="18"/>
          <w:szCs w:val="18"/>
          <w:lang w:val="es-ES_tradnl"/>
        </w:rPr>
        <w:t>“</w:t>
      </w:r>
      <w:r>
        <w:rPr>
          <w:sz w:val="18"/>
          <w:szCs w:val="18"/>
          <w:lang w:val="es-ES_tradnl"/>
        </w:rPr>
        <w:t>interpretaci</w:t>
      </w:r>
      <w:r>
        <w:rPr>
          <w:rFonts w:cs="Times New Roman"/>
          <w:sz w:val="18"/>
          <w:szCs w:val="18"/>
          <w:lang w:val="es-ES_tradnl"/>
        </w:rPr>
        <w:t>ó</w:t>
      </w:r>
      <w:r>
        <w:rPr>
          <w:sz w:val="18"/>
          <w:szCs w:val="18"/>
          <w:lang w:val="es-ES_tradnl"/>
        </w:rPr>
        <w:t>n conforme</w:t>
      </w:r>
      <w:r>
        <w:rPr>
          <w:rFonts w:cs="Times New Roman"/>
          <w:sz w:val="18"/>
          <w:szCs w:val="18"/>
          <w:lang w:val="es-ES_tradnl"/>
        </w:rPr>
        <w:t>”</w:t>
      </w:r>
      <w:r>
        <w:rPr>
          <w:sz w:val="18"/>
          <w:szCs w:val="18"/>
          <w:lang w:val="es-ES_tradnl"/>
        </w:rPr>
        <w:t xml:space="preserve">, </w:t>
      </w:r>
      <w:r>
        <w:rPr>
          <w:rFonts w:cs="Times New Roman"/>
          <w:sz w:val="18"/>
          <w:szCs w:val="18"/>
          <w:lang w:val="es-ES_tradnl"/>
        </w:rPr>
        <w:t>“</w:t>
      </w:r>
      <w:r>
        <w:rPr>
          <w:sz w:val="18"/>
          <w:szCs w:val="18"/>
          <w:lang w:val="es-ES_tradnl"/>
        </w:rPr>
        <w:t>preservaci</w:t>
      </w:r>
      <w:r>
        <w:rPr>
          <w:rFonts w:cs="Times New Roman"/>
          <w:sz w:val="18"/>
          <w:szCs w:val="18"/>
          <w:lang w:val="es-ES_tradnl"/>
        </w:rPr>
        <w:t>ó</w:t>
      </w:r>
      <w:r>
        <w:rPr>
          <w:sz w:val="18"/>
          <w:szCs w:val="18"/>
          <w:lang w:val="es-ES_tradnl"/>
        </w:rPr>
        <w:t>n del derecho</w:t>
      </w:r>
      <w:r>
        <w:rPr>
          <w:rFonts w:cs="Times New Roman"/>
          <w:sz w:val="18"/>
          <w:szCs w:val="18"/>
          <w:lang w:val="es-ES_tradnl"/>
        </w:rPr>
        <w:t xml:space="preserve">” </w:t>
      </w:r>
      <w:r>
        <w:rPr>
          <w:spacing w:val="-1"/>
          <w:sz w:val="18"/>
          <w:szCs w:val="18"/>
          <w:lang w:val="es-ES_tradnl"/>
        </w:rPr>
        <w:t xml:space="preserve">y </w:t>
      </w:r>
      <w:r>
        <w:rPr>
          <w:rFonts w:cs="Times New Roman"/>
          <w:spacing w:val="-1"/>
          <w:sz w:val="18"/>
          <w:szCs w:val="18"/>
          <w:lang w:val="es-ES_tradnl"/>
        </w:rPr>
        <w:t>“</w:t>
      </w:r>
      <w:r>
        <w:rPr>
          <w:spacing w:val="-1"/>
          <w:sz w:val="18"/>
          <w:szCs w:val="18"/>
          <w:lang w:val="es-ES_tradnl"/>
        </w:rPr>
        <w:t xml:space="preserve">declaratoria de inconstitucionalidad como </w:t>
      </w:r>
      <w:r>
        <w:rPr>
          <w:rFonts w:cs="Times New Roman"/>
          <w:spacing w:val="-1"/>
          <w:sz w:val="18"/>
          <w:szCs w:val="18"/>
          <w:lang w:val="es-ES_tradnl"/>
        </w:rPr>
        <w:t>ú</w:t>
      </w:r>
      <w:r>
        <w:rPr>
          <w:spacing w:val="-1"/>
          <w:sz w:val="18"/>
          <w:szCs w:val="18"/>
          <w:lang w:val="es-ES_tradnl"/>
        </w:rPr>
        <w:t xml:space="preserve">ltimo </w:t>
      </w:r>
      <w:r>
        <w:rPr>
          <w:spacing w:val="-6"/>
          <w:sz w:val="18"/>
          <w:szCs w:val="18"/>
          <w:lang w:val="es-ES_tradnl"/>
        </w:rPr>
        <w:t>recurso</w:t>
      </w:r>
      <w:r>
        <w:rPr>
          <w:rFonts w:cs="Times New Roman"/>
          <w:spacing w:val="-6"/>
          <w:sz w:val="18"/>
          <w:szCs w:val="18"/>
          <w:lang w:val="es-ES_tradnl"/>
        </w:rPr>
        <w:t>”</w:t>
      </w:r>
      <w:r>
        <w:rPr>
          <w:spacing w:val="-6"/>
          <w:sz w:val="18"/>
          <w:szCs w:val="18"/>
          <w:lang w:val="es-ES_tradnl"/>
        </w:rPr>
        <w:t>, la Corte Constitucional, en aras de preservar la vigencia de la normativa infraconstitucional, puede hacer uso de las sentencias denominadas at</w:t>
      </w:r>
      <w:r>
        <w:rPr>
          <w:rFonts w:cs="Times New Roman"/>
          <w:spacing w:val="-6"/>
          <w:sz w:val="18"/>
          <w:szCs w:val="18"/>
          <w:lang w:val="es-ES_tradnl"/>
        </w:rPr>
        <w:t>í</w:t>
      </w:r>
      <w:r>
        <w:rPr>
          <w:spacing w:val="-6"/>
          <w:sz w:val="18"/>
          <w:szCs w:val="18"/>
          <w:lang w:val="es-ES_tradnl"/>
        </w:rPr>
        <w:t xml:space="preserve">picas. Dentro de </w:t>
      </w:r>
      <w:r>
        <w:rPr>
          <w:spacing w:val="-10"/>
          <w:sz w:val="18"/>
          <w:szCs w:val="18"/>
          <w:lang w:val="es-ES_tradnl"/>
        </w:rPr>
        <w:t>estas sentencias at</w:t>
      </w:r>
      <w:r>
        <w:rPr>
          <w:rFonts w:cs="Times New Roman"/>
          <w:spacing w:val="-10"/>
          <w:sz w:val="18"/>
          <w:szCs w:val="18"/>
          <w:lang w:val="es-ES_tradnl"/>
        </w:rPr>
        <w:t>í</w:t>
      </w:r>
      <w:r>
        <w:rPr>
          <w:spacing w:val="-10"/>
          <w:sz w:val="18"/>
          <w:szCs w:val="18"/>
          <w:lang w:val="es-ES_tradnl"/>
        </w:rPr>
        <w:t xml:space="preserve">picas se encuentran las denominadas </w:t>
      </w:r>
      <w:r>
        <w:rPr>
          <w:spacing w:val="-7"/>
          <w:sz w:val="18"/>
          <w:szCs w:val="18"/>
          <w:lang w:val="es-ES_tradnl"/>
        </w:rPr>
        <w:t>sentencias interpretativas, que permiten al m</w:t>
      </w:r>
      <w:r>
        <w:rPr>
          <w:rFonts w:cs="Times New Roman"/>
          <w:spacing w:val="-7"/>
          <w:sz w:val="18"/>
          <w:szCs w:val="18"/>
          <w:lang w:val="es-ES_tradnl"/>
        </w:rPr>
        <w:t>á</w:t>
      </w:r>
      <w:r>
        <w:rPr>
          <w:spacing w:val="-7"/>
          <w:sz w:val="18"/>
          <w:szCs w:val="18"/>
          <w:lang w:val="es-ES_tradnl"/>
        </w:rPr>
        <w:t xml:space="preserve">ximo </w:t>
      </w:r>
      <w:r>
        <w:rPr>
          <w:rFonts w:cs="Times New Roman"/>
          <w:spacing w:val="-7"/>
          <w:sz w:val="18"/>
          <w:szCs w:val="18"/>
          <w:lang w:val="es-ES_tradnl"/>
        </w:rPr>
        <w:t>ó</w:t>
      </w:r>
      <w:r>
        <w:rPr>
          <w:spacing w:val="-7"/>
          <w:sz w:val="18"/>
          <w:szCs w:val="18"/>
          <w:lang w:val="es-ES_tradnl"/>
        </w:rPr>
        <w:t xml:space="preserve">rgano </w:t>
      </w:r>
      <w:r>
        <w:rPr>
          <w:spacing w:val="-8"/>
          <w:sz w:val="18"/>
          <w:szCs w:val="18"/>
          <w:lang w:val="es-ES_tradnl"/>
        </w:rPr>
        <w:t>de justicia constitucional efectuar un ejercicio hermen</w:t>
      </w:r>
      <w:r>
        <w:rPr>
          <w:rFonts w:cs="Times New Roman"/>
          <w:spacing w:val="-8"/>
          <w:sz w:val="18"/>
          <w:szCs w:val="18"/>
          <w:lang w:val="es-ES_tradnl"/>
        </w:rPr>
        <w:t>é</w:t>
      </w:r>
      <w:r>
        <w:rPr>
          <w:spacing w:val="-8"/>
          <w:sz w:val="18"/>
          <w:szCs w:val="18"/>
          <w:lang w:val="es-ES_tradnl"/>
        </w:rPr>
        <w:t>utico que dote de validez a la interpretaci</w:t>
      </w:r>
      <w:r>
        <w:rPr>
          <w:rFonts w:cs="Times New Roman"/>
          <w:spacing w:val="-8"/>
          <w:sz w:val="18"/>
          <w:szCs w:val="18"/>
          <w:lang w:val="es-ES_tradnl"/>
        </w:rPr>
        <w:t>ó</w:t>
      </w:r>
      <w:r>
        <w:rPr>
          <w:spacing w:val="-8"/>
          <w:sz w:val="18"/>
          <w:szCs w:val="18"/>
          <w:lang w:val="es-ES_tradnl"/>
        </w:rPr>
        <w:t xml:space="preserve">n de la norma que se </w:t>
      </w:r>
      <w:r>
        <w:rPr>
          <w:spacing w:val="-7"/>
          <w:sz w:val="18"/>
          <w:szCs w:val="18"/>
          <w:lang w:val="es-ES_tradnl"/>
        </w:rPr>
        <w:t>ajuste a la Constituci</w:t>
      </w:r>
      <w:r>
        <w:rPr>
          <w:rFonts w:cs="Times New Roman"/>
          <w:spacing w:val="-7"/>
          <w:sz w:val="18"/>
          <w:szCs w:val="18"/>
          <w:lang w:val="es-ES_tradnl"/>
        </w:rPr>
        <w:t>ó</w:t>
      </w:r>
      <w:r>
        <w:rPr>
          <w:spacing w:val="-7"/>
          <w:sz w:val="18"/>
          <w:szCs w:val="18"/>
          <w:lang w:val="es-ES_tradnl"/>
        </w:rPr>
        <w:t xml:space="preserve">n, excluyendo otras interpretaciones </w:t>
      </w:r>
      <w:r>
        <w:rPr>
          <w:spacing w:val="-8"/>
          <w:sz w:val="18"/>
          <w:szCs w:val="18"/>
          <w:lang w:val="es-ES_tradnl"/>
        </w:rPr>
        <w:t>transgresoras y vulneratorias de los derechos.</w:t>
      </w:r>
    </w:p>
    <w:p w14:paraId="4F67AC78" w14:textId="77777777" w:rsidR="00591D54" w:rsidRDefault="00591D54">
      <w:pPr>
        <w:shd w:val="clear" w:color="auto" w:fill="FFFFFF"/>
        <w:spacing w:before="192" w:line="216" w:lineRule="exact"/>
        <w:jc w:val="both"/>
      </w:pPr>
      <w:r>
        <w:rPr>
          <w:spacing w:val="-9"/>
          <w:sz w:val="18"/>
          <w:szCs w:val="18"/>
          <w:lang w:val="es-ES_tradnl"/>
        </w:rPr>
        <w:t>Como ha sido determinado por esta Corte Constitucional</w:t>
      </w:r>
      <w:r>
        <w:rPr>
          <w:spacing w:val="-9"/>
          <w:sz w:val="18"/>
          <w:szCs w:val="18"/>
          <w:vertAlign w:val="superscript"/>
          <w:lang w:val="es-ES_tradnl"/>
        </w:rPr>
        <w:t>20</w:t>
      </w:r>
      <w:r>
        <w:rPr>
          <w:spacing w:val="-9"/>
          <w:sz w:val="18"/>
          <w:szCs w:val="18"/>
          <w:lang w:val="es-ES_tradnl"/>
        </w:rPr>
        <w:t>, para que se realice una interpretaci</w:t>
      </w:r>
      <w:r>
        <w:rPr>
          <w:rFonts w:cs="Times New Roman"/>
          <w:spacing w:val="-9"/>
          <w:sz w:val="18"/>
          <w:szCs w:val="18"/>
          <w:lang w:val="es-ES_tradnl"/>
        </w:rPr>
        <w:t>ó</w:t>
      </w:r>
      <w:r>
        <w:rPr>
          <w:spacing w:val="-9"/>
          <w:sz w:val="18"/>
          <w:szCs w:val="18"/>
          <w:lang w:val="es-ES_tradnl"/>
        </w:rPr>
        <w:t>n de una norma jur</w:t>
      </w:r>
      <w:r>
        <w:rPr>
          <w:rFonts w:cs="Times New Roman"/>
          <w:spacing w:val="-9"/>
          <w:sz w:val="18"/>
          <w:szCs w:val="18"/>
          <w:lang w:val="es-ES_tradnl"/>
        </w:rPr>
        <w:t>í</w:t>
      </w:r>
      <w:r>
        <w:rPr>
          <w:spacing w:val="-9"/>
          <w:sz w:val="18"/>
          <w:szCs w:val="18"/>
          <w:lang w:val="es-ES_tradnl"/>
        </w:rPr>
        <w:t>dica conforme con la Constituci</w:t>
      </w:r>
      <w:r>
        <w:rPr>
          <w:rFonts w:cs="Times New Roman"/>
          <w:spacing w:val="-9"/>
          <w:sz w:val="18"/>
          <w:szCs w:val="18"/>
          <w:lang w:val="es-ES_tradnl"/>
        </w:rPr>
        <w:t>ó</w:t>
      </w:r>
      <w:r>
        <w:rPr>
          <w:spacing w:val="-9"/>
          <w:sz w:val="18"/>
          <w:szCs w:val="18"/>
          <w:lang w:val="es-ES_tradnl"/>
        </w:rPr>
        <w:t>n, se requiere que la disposici</w:t>
      </w:r>
      <w:r>
        <w:rPr>
          <w:rFonts w:cs="Times New Roman"/>
          <w:spacing w:val="-9"/>
          <w:sz w:val="18"/>
          <w:szCs w:val="18"/>
          <w:lang w:val="es-ES_tradnl"/>
        </w:rPr>
        <w:t>ó</w:t>
      </w:r>
      <w:r>
        <w:rPr>
          <w:spacing w:val="-9"/>
          <w:sz w:val="18"/>
          <w:szCs w:val="18"/>
          <w:lang w:val="es-ES_tradnl"/>
        </w:rPr>
        <w:t xml:space="preserve">n normativa tenga al menos tres interpretaciones posibles. En </w:t>
      </w:r>
      <w:r>
        <w:rPr>
          <w:spacing w:val="-10"/>
          <w:sz w:val="18"/>
          <w:szCs w:val="18"/>
          <w:lang w:val="es-ES_tradnl"/>
        </w:rPr>
        <w:t xml:space="preserve">el caso </w:t>
      </w:r>
      <w:r>
        <w:rPr>
          <w:i/>
          <w:iCs/>
          <w:spacing w:val="-10"/>
          <w:sz w:val="18"/>
          <w:szCs w:val="18"/>
          <w:lang w:val="es-ES_tradnl"/>
        </w:rPr>
        <w:t>sub examine</w:t>
      </w:r>
      <w:r>
        <w:rPr>
          <w:spacing w:val="-10"/>
          <w:sz w:val="18"/>
          <w:szCs w:val="18"/>
          <w:lang w:val="es-ES_tradnl"/>
        </w:rPr>
        <w:t>, la primera interpretaci</w:t>
      </w:r>
      <w:r>
        <w:rPr>
          <w:rFonts w:cs="Times New Roman"/>
          <w:spacing w:val="-10"/>
          <w:sz w:val="18"/>
          <w:szCs w:val="18"/>
          <w:lang w:val="es-ES_tradnl"/>
        </w:rPr>
        <w:t>ó</w:t>
      </w:r>
      <w:r>
        <w:rPr>
          <w:spacing w:val="-10"/>
          <w:sz w:val="18"/>
          <w:szCs w:val="18"/>
          <w:lang w:val="es-ES_tradnl"/>
        </w:rPr>
        <w:t xml:space="preserve">n que se puede </w:t>
      </w:r>
      <w:r>
        <w:rPr>
          <w:spacing w:val="-7"/>
          <w:sz w:val="18"/>
          <w:szCs w:val="18"/>
          <w:lang w:val="es-ES_tradnl"/>
        </w:rPr>
        <w:t>determinar de los numerales 1 y 2 del art</w:t>
      </w:r>
      <w:r>
        <w:rPr>
          <w:rFonts w:cs="Times New Roman"/>
          <w:spacing w:val="-7"/>
          <w:sz w:val="18"/>
          <w:szCs w:val="18"/>
          <w:lang w:val="es-ES_tradnl"/>
        </w:rPr>
        <w:t>í</w:t>
      </w:r>
      <w:r>
        <w:rPr>
          <w:spacing w:val="-7"/>
          <w:sz w:val="18"/>
          <w:szCs w:val="18"/>
          <w:lang w:val="es-ES_tradnl"/>
        </w:rPr>
        <w:t xml:space="preserve">culo 50 de la Ley </w:t>
      </w:r>
      <w:r>
        <w:rPr>
          <w:spacing w:val="-8"/>
          <w:sz w:val="18"/>
          <w:szCs w:val="18"/>
          <w:lang w:val="es-ES_tradnl"/>
        </w:rPr>
        <w:t>Org</w:t>
      </w:r>
      <w:r>
        <w:rPr>
          <w:rFonts w:cs="Times New Roman"/>
          <w:spacing w:val="-8"/>
          <w:sz w:val="18"/>
          <w:szCs w:val="18"/>
          <w:lang w:val="es-ES_tradnl"/>
        </w:rPr>
        <w:t>á</w:t>
      </w:r>
      <w:r>
        <w:rPr>
          <w:spacing w:val="-8"/>
          <w:sz w:val="18"/>
          <w:szCs w:val="18"/>
          <w:lang w:val="es-ES_tradnl"/>
        </w:rPr>
        <w:t>nica de Garant</w:t>
      </w:r>
      <w:r>
        <w:rPr>
          <w:rFonts w:cs="Times New Roman"/>
          <w:spacing w:val="-8"/>
          <w:sz w:val="18"/>
          <w:szCs w:val="18"/>
          <w:lang w:val="es-ES_tradnl"/>
        </w:rPr>
        <w:t>í</w:t>
      </w:r>
      <w:r>
        <w:rPr>
          <w:spacing w:val="-8"/>
          <w:sz w:val="18"/>
          <w:szCs w:val="18"/>
          <w:lang w:val="es-ES_tradnl"/>
        </w:rPr>
        <w:t xml:space="preserve">as Jurisdiccionales es que la negativa </w:t>
      </w:r>
      <w:r>
        <w:rPr>
          <w:spacing w:val="-6"/>
          <w:sz w:val="18"/>
          <w:szCs w:val="18"/>
          <w:lang w:val="es-ES_tradnl"/>
        </w:rPr>
        <w:t xml:space="preserve">de la autoridad requerida respecto de la solicitud referente </w:t>
      </w:r>
      <w:r>
        <w:rPr>
          <w:spacing w:val="-10"/>
          <w:sz w:val="18"/>
          <w:szCs w:val="18"/>
          <w:lang w:val="es-ES_tradnl"/>
        </w:rPr>
        <w:t xml:space="preserve">a los datos personales debe efectuarse de manera expresa </w:t>
      </w:r>
      <w:r>
        <w:rPr>
          <w:spacing w:val="-7"/>
          <w:sz w:val="18"/>
          <w:szCs w:val="18"/>
          <w:lang w:val="es-ES_tradnl"/>
        </w:rPr>
        <w:t xml:space="preserve">sin que se determine procedimiento alguno para que se </w:t>
      </w:r>
      <w:r>
        <w:rPr>
          <w:spacing w:val="-8"/>
          <w:sz w:val="18"/>
          <w:szCs w:val="18"/>
          <w:lang w:val="es-ES_tradnl"/>
        </w:rPr>
        <w:t>cumpla con la petici</w:t>
      </w:r>
      <w:r>
        <w:rPr>
          <w:rFonts w:cs="Times New Roman"/>
          <w:spacing w:val="-8"/>
          <w:sz w:val="18"/>
          <w:szCs w:val="18"/>
          <w:lang w:val="es-ES_tradnl"/>
        </w:rPr>
        <w:t>ó</w:t>
      </w:r>
      <w:r>
        <w:rPr>
          <w:spacing w:val="-8"/>
          <w:sz w:val="18"/>
          <w:szCs w:val="18"/>
          <w:lang w:val="es-ES_tradnl"/>
        </w:rPr>
        <w:t>n, entendi</w:t>
      </w:r>
      <w:r>
        <w:rPr>
          <w:rFonts w:cs="Times New Roman"/>
          <w:spacing w:val="-8"/>
          <w:sz w:val="18"/>
          <w:szCs w:val="18"/>
          <w:lang w:val="es-ES_tradnl"/>
        </w:rPr>
        <w:t>é</w:t>
      </w:r>
      <w:r>
        <w:rPr>
          <w:spacing w:val="-8"/>
          <w:sz w:val="18"/>
          <w:szCs w:val="18"/>
          <w:lang w:val="es-ES_tradnl"/>
        </w:rPr>
        <w:t>ndose as</w:t>
      </w:r>
      <w:r>
        <w:rPr>
          <w:rFonts w:cs="Times New Roman"/>
          <w:spacing w:val="-8"/>
          <w:sz w:val="18"/>
          <w:szCs w:val="18"/>
          <w:lang w:val="es-ES_tradnl"/>
        </w:rPr>
        <w:t>í</w:t>
      </w:r>
      <w:r>
        <w:rPr>
          <w:spacing w:val="-8"/>
          <w:sz w:val="18"/>
          <w:szCs w:val="18"/>
          <w:lang w:val="es-ES_tradnl"/>
        </w:rPr>
        <w:t xml:space="preserve"> que la ausencia de respuesta por parte de la persona o entidad requerida </w:t>
      </w:r>
      <w:r>
        <w:rPr>
          <w:spacing w:val="-5"/>
          <w:sz w:val="18"/>
          <w:szCs w:val="18"/>
          <w:lang w:val="es-ES_tradnl"/>
        </w:rPr>
        <w:t>constituye aceptaci</w:t>
      </w:r>
      <w:r>
        <w:rPr>
          <w:rFonts w:cs="Times New Roman"/>
          <w:spacing w:val="-5"/>
          <w:sz w:val="18"/>
          <w:szCs w:val="18"/>
          <w:lang w:val="es-ES_tradnl"/>
        </w:rPr>
        <w:t>ó</w:t>
      </w:r>
      <w:r>
        <w:rPr>
          <w:spacing w:val="-5"/>
          <w:sz w:val="18"/>
          <w:szCs w:val="18"/>
          <w:lang w:val="es-ES_tradnl"/>
        </w:rPr>
        <w:t>n de lo pedido, lo cual, impedir</w:t>
      </w:r>
      <w:r>
        <w:rPr>
          <w:rFonts w:cs="Times New Roman"/>
          <w:spacing w:val="-5"/>
          <w:sz w:val="18"/>
          <w:szCs w:val="18"/>
          <w:lang w:val="es-ES_tradnl"/>
        </w:rPr>
        <w:t>í</w:t>
      </w:r>
      <w:r>
        <w:rPr>
          <w:spacing w:val="-5"/>
          <w:sz w:val="18"/>
          <w:szCs w:val="18"/>
          <w:lang w:val="es-ES_tradnl"/>
        </w:rPr>
        <w:t xml:space="preserve">a el </w:t>
      </w:r>
      <w:r>
        <w:rPr>
          <w:spacing w:val="-7"/>
          <w:sz w:val="18"/>
          <w:szCs w:val="18"/>
          <w:lang w:val="es-ES_tradnl"/>
        </w:rPr>
        <w:t>cumplimiento del presupuesto para accionar la garant</w:t>
      </w:r>
      <w:r>
        <w:rPr>
          <w:rFonts w:cs="Times New Roman"/>
          <w:spacing w:val="-7"/>
          <w:sz w:val="18"/>
          <w:szCs w:val="18"/>
          <w:lang w:val="es-ES_tradnl"/>
        </w:rPr>
        <w:t>í</w:t>
      </w:r>
      <w:r>
        <w:rPr>
          <w:spacing w:val="-7"/>
          <w:sz w:val="18"/>
          <w:szCs w:val="18"/>
          <w:lang w:val="es-ES_tradnl"/>
        </w:rPr>
        <w:t>a jurisdiccional. Una segunda interpretaci</w:t>
      </w:r>
      <w:r>
        <w:rPr>
          <w:rFonts w:cs="Times New Roman"/>
          <w:spacing w:val="-7"/>
          <w:sz w:val="18"/>
          <w:szCs w:val="18"/>
          <w:lang w:val="es-ES_tradnl"/>
        </w:rPr>
        <w:t>ó</w:t>
      </w:r>
      <w:r>
        <w:rPr>
          <w:spacing w:val="-7"/>
          <w:sz w:val="18"/>
          <w:szCs w:val="18"/>
          <w:lang w:val="es-ES_tradnl"/>
        </w:rPr>
        <w:t>n se establecer</w:t>
      </w:r>
      <w:r>
        <w:rPr>
          <w:rFonts w:cs="Times New Roman"/>
          <w:spacing w:val="-7"/>
          <w:sz w:val="18"/>
          <w:szCs w:val="18"/>
          <w:lang w:val="es-ES_tradnl"/>
        </w:rPr>
        <w:t>í</w:t>
      </w:r>
      <w:r>
        <w:rPr>
          <w:spacing w:val="-7"/>
          <w:sz w:val="18"/>
          <w:szCs w:val="18"/>
          <w:lang w:val="es-ES_tradnl"/>
        </w:rPr>
        <w:t xml:space="preserve">a </w:t>
      </w:r>
      <w:r>
        <w:rPr>
          <w:spacing w:val="-8"/>
          <w:sz w:val="18"/>
          <w:szCs w:val="18"/>
          <w:lang w:val="es-ES_tradnl"/>
        </w:rPr>
        <w:t xml:space="preserve">en el sentido de que la entidad a quien se dirige la solicitud </w:t>
      </w:r>
      <w:r>
        <w:rPr>
          <w:spacing w:val="-6"/>
          <w:sz w:val="18"/>
          <w:szCs w:val="18"/>
          <w:lang w:val="es-ES_tradnl"/>
        </w:rPr>
        <w:t xml:space="preserve">no ha efectuado pronunciamiento alguno respecto de lo </w:t>
      </w:r>
      <w:r>
        <w:rPr>
          <w:spacing w:val="-4"/>
          <w:sz w:val="18"/>
          <w:szCs w:val="18"/>
          <w:lang w:val="es-ES_tradnl"/>
        </w:rPr>
        <w:t>pedido por el solicitante, lo cual dejar</w:t>
      </w:r>
      <w:r>
        <w:rPr>
          <w:rFonts w:cs="Times New Roman"/>
          <w:spacing w:val="-4"/>
          <w:sz w:val="18"/>
          <w:szCs w:val="18"/>
          <w:lang w:val="es-ES_tradnl"/>
        </w:rPr>
        <w:t>í</w:t>
      </w:r>
      <w:r>
        <w:rPr>
          <w:spacing w:val="-4"/>
          <w:sz w:val="18"/>
          <w:szCs w:val="18"/>
          <w:lang w:val="es-ES_tradnl"/>
        </w:rPr>
        <w:t>a en una situaci</w:t>
      </w:r>
      <w:r>
        <w:rPr>
          <w:rFonts w:cs="Times New Roman"/>
          <w:spacing w:val="-4"/>
          <w:sz w:val="18"/>
          <w:szCs w:val="18"/>
          <w:lang w:val="es-ES_tradnl"/>
        </w:rPr>
        <w:t>ó</w:t>
      </w:r>
      <w:r>
        <w:rPr>
          <w:spacing w:val="-4"/>
          <w:sz w:val="18"/>
          <w:szCs w:val="18"/>
          <w:lang w:val="es-ES_tradnl"/>
        </w:rPr>
        <w:t>n de inseguridad jur</w:t>
      </w:r>
      <w:r>
        <w:rPr>
          <w:rFonts w:cs="Times New Roman"/>
          <w:spacing w:val="-4"/>
          <w:sz w:val="18"/>
          <w:szCs w:val="18"/>
          <w:lang w:val="es-ES_tradnl"/>
        </w:rPr>
        <w:t>í</w:t>
      </w:r>
      <w:r>
        <w:rPr>
          <w:spacing w:val="-4"/>
          <w:sz w:val="18"/>
          <w:szCs w:val="18"/>
          <w:lang w:val="es-ES_tradnl"/>
        </w:rPr>
        <w:t>dica a la persona titular del derecho sobre su informaci</w:t>
      </w:r>
      <w:r>
        <w:rPr>
          <w:rFonts w:cs="Times New Roman"/>
          <w:spacing w:val="-4"/>
          <w:sz w:val="18"/>
          <w:szCs w:val="18"/>
          <w:lang w:val="es-ES_tradnl"/>
        </w:rPr>
        <w:t>ó</w:t>
      </w:r>
      <w:r>
        <w:rPr>
          <w:spacing w:val="-4"/>
          <w:sz w:val="18"/>
          <w:szCs w:val="18"/>
          <w:lang w:val="es-ES_tradnl"/>
        </w:rPr>
        <w:t>n personal e impedir</w:t>
      </w:r>
      <w:r>
        <w:rPr>
          <w:rFonts w:cs="Times New Roman"/>
          <w:spacing w:val="-4"/>
          <w:sz w:val="18"/>
          <w:szCs w:val="18"/>
          <w:lang w:val="es-ES_tradnl"/>
        </w:rPr>
        <w:t>í</w:t>
      </w:r>
      <w:r>
        <w:rPr>
          <w:spacing w:val="-4"/>
          <w:sz w:val="18"/>
          <w:szCs w:val="18"/>
          <w:lang w:val="es-ES_tradnl"/>
        </w:rPr>
        <w:t>a el ejercicio de</w:t>
      </w:r>
    </w:p>
    <w:p w14:paraId="4F67AC79" w14:textId="77777777" w:rsidR="00591D54" w:rsidRDefault="00591D54">
      <w:pPr>
        <w:shd w:val="clear" w:color="auto" w:fill="FFFFFF"/>
        <w:tabs>
          <w:tab w:val="left" w:pos="144"/>
        </w:tabs>
        <w:spacing w:before="379"/>
      </w:pPr>
      <w:r>
        <w:rPr>
          <w:spacing w:val="-5"/>
          <w:sz w:val="8"/>
          <w:szCs w:val="8"/>
          <w:vertAlign w:val="superscript"/>
          <w:lang w:val="es-ES_tradnl"/>
        </w:rPr>
        <w:t>19</w:t>
      </w:r>
      <w:r>
        <w:rPr>
          <w:sz w:val="18"/>
          <w:szCs w:val="18"/>
          <w:lang w:val="es-ES_tradnl"/>
        </w:rPr>
        <w:tab/>
      </w:r>
      <w:r>
        <w:rPr>
          <w:spacing w:val="-1"/>
          <w:sz w:val="14"/>
          <w:szCs w:val="14"/>
          <w:lang w:val="es-ES_tradnl"/>
        </w:rPr>
        <w:t>Ib</w:t>
      </w:r>
      <w:r>
        <w:rPr>
          <w:rFonts w:cs="Times New Roman"/>
          <w:spacing w:val="-1"/>
          <w:sz w:val="14"/>
          <w:szCs w:val="14"/>
          <w:lang w:val="es-ES_tradnl"/>
        </w:rPr>
        <w:t>í</w:t>
      </w:r>
      <w:r>
        <w:rPr>
          <w:spacing w:val="-1"/>
          <w:sz w:val="14"/>
          <w:szCs w:val="14"/>
          <w:lang w:val="es-ES_tradnl"/>
        </w:rPr>
        <w:t>dem.</w:t>
      </w:r>
    </w:p>
    <w:p w14:paraId="4F67AC7A" w14:textId="77777777" w:rsidR="00591D54" w:rsidRDefault="00591D54">
      <w:pPr>
        <w:shd w:val="clear" w:color="auto" w:fill="FFFFFF"/>
        <w:tabs>
          <w:tab w:val="left" w:pos="144"/>
        </w:tabs>
        <w:spacing w:before="149" w:line="178" w:lineRule="exact"/>
        <w:ind w:left="144" w:hanging="144"/>
      </w:pPr>
      <w:r>
        <w:rPr>
          <w:spacing w:val="-5"/>
          <w:sz w:val="8"/>
          <w:szCs w:val="8"/>
          <w:vertAlign w:val="superscript"/>
          <w:lang w:val="es-ES_tradnl"/>
        </w:rPr>
        <w:t>20</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º</w:t>
      </w:r>
      <w:r>
        <w:rPr>
          <w:sz w:val="18"/>
          <w:szCs w:val="18"/>
          <w:lang w:val="es-ES_tradnl"/>
        </w:rPr>
        <w:t xml:space="preserve"> </w:t>
      </w:r>
      <w:r>
        <w:rPr>
          <w:sz w:val="14"/>
          <w:szCs w:val="14"/>
          <w:lang w:val="es-ES_tradnl"/>
        </w:rPr>
        <w:t>102-13-SEP-CC. </w:t>
      </w:r>
      <w:r>
        <w:rPr>
          <w:spacing w:val="-1"/>
          <w:sz w:val="14"/>
          <w:szCs w:val="14"/>
          <w:lang w:val="es-ES_tradnl"/>
        </w:rPr>
        <w:t>Caso N.</w:t>
      </w:r>
      <w:r>
        <w:rPr>
          <w:rFonts w:cs="Times New Roman"/>
          <w:spacing w:val="-1"/>
          <w:sz w:val="14"/>
          <w:szCs w:val="14"/>
          <w:lang w:val="es-ES_tradnl"/>
        </w:rPr>
        <w:t>º</w:t>
      </w:r>
      <w:r>
        <w:rPr>
          <w:spacing w:val="-1"/>
          <w:sz w:val="14"/>
          <w:szCs w:val="14"/>
          <w:lang w:val="es-ES_tradnl"/>
        </w:rPr>
        <w:t xml:space="preserve"> 0380-10-EP. Quito, D. M., 4 de diciembre de 2013</w:t>
      </w:r>
    </w:p>
    <w:p w14:paraId="4F67AC7B" w14:textId="77777777" w:rsidR="00591D54" w:rsidRDefault="00591D54">
      <w:pPr>
        <w:shd w:val="clear" w:color="auto" w:fill="FFFFFF"/>
        <w:tabs>
          <w:tab w:val="left" w:pos="144"/>
        </w:tabs>
        <w:spacing w:before="149" w:line="178" w:lineRule="exact"/>
        <w:ind w:left="144" w:hanging="144"/>
        <w:sectPr w:rsidR="00591D54">
          <w:type w:val="continuous"/>
          <w:pgSz w:w="11909" w:h="16834"/>
          <w:pgMar w:top="1356" w:right="1304" w:bottom="360" w:left="1308" w:header="720" w:footer="720" w:gutter="0"/>
          <w:cols w:num="2" w:space="720" w:equalWidth="0">
            <w:col w:w="4305" w:space="682"/>
            <w:col w:w="4310"/>
          </w:cols>
          <w:noEndnote/>
        </w:sectPr>
      </w:pPr>
    </w:p>
    <w:p w14:paraId="4F67AC7C" w14:textId="77777777" w:rsidR="00591D54" w:rsidRDefault="00591D54">
      <w:pPr>
        <w:shd w:val="clear" w:color="auto" w:fill="FFFFFF"/>
        <w:tabs>
          <w:tab w:val="left" w:pos="4814"/>
        </w:tabs>
        <w:spacing w:after="235"/>
        <w:ind w:left="14"/>
      </w:pPr>
      <w:r>
        <w:rPr>
          <w:b/>
          <w:bCs/>
          <w:sz w:val="18"/>
          <w:szCs w:val="18"/>
          <w:lang w:val="es-ES_tradnl"/>
        </w:rPr>
        <w:t xml:space="preserve">110 -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C7D" w14:textId="77777777" w:rsidR="00591D54" w:rsidRDefault="00591D54">
      <w:pPr>
        <w:shd w:val="clear" w:color="auto" w:fill="FFFFFF"/>
        <w:tabs>
          <w:tab w:val="left" w:pos="4814"/>
        </w:tabs>
        <w:spacing w:after="235"/>
        <w:ind w:left="14"/>
        <w:sectPr w:rsidR="00591D54">
          <w:pgSz w:w="11909" w:h="16834"/>
          <w:pgMar w:top="1359" w:right="1309" w:bottom="360" w:left="1308" w:header="720" w:footer="720" w:gutter="0"/>
          <w:cols w:space="60"/>
          <w:noEndnote/>
        </w:sectPr>
      </w:pPr>
    </w:p>
    <w:p w14:paraId="4F67AC7E" w14:textId="77777777" w:rsidR="00591D54" w:rsidRDefault="00591D54">
      <w:pPr>
        <w:shd w:val="clear" w:color="auto" w:fill="FFFFFF"/>
        <w:spacing w:line="216" w:lineRule="exact"/>
        <w:jc w:val="both"/>
      </w:pPr>
      <w:r>
        <w:rPr>
          <w:spacing w:val="-4"/>
          <w:sz w:val="18"/>
          <w:szCs w:val="18"/>
          <w:lang w:val="es-ES_tradnl"/>
        </w:rPr>
        <w:t>la acci</w:t>
      </w:r>
      <w:r>
        <w:rPr>
          <w:rFonts w:cs="Times New Roman"/>
          <w:spacing w:val="-4"/>
          <w:sz w:val="18"/>
          <w:szCs w:val="18"/>
          <w:lang w:val="es-ES_tradnl"/>
        </w:rPr>
        <w:t>ó</w:t>
      </w:r>
      <w:r>
        <w:rPr>
          <w:spacing w:val="-4"/>
          <w:sz w:val="18"/>
          <w:szCs w:val="18"/>
          <w:lang w:val="es-ES_tradnl"/>
        </w:rPr>
        <w:t>n constitucional, volvi</w:t>
      </w:r>
      <w:r>
        <w:rPr>
          <w:rFonts w:cs="Times New Roman"/>
          <w:spacing w:val="-4"/>
          <w:sz w:val="18"/>
          <w:szCs w:val="18"/>
          <w:lang w:val="es-ES_tradnl"/>
        </w:rPr>
        <w:t>é</w:t>
      </w:r>
      <w:r>
        <w:rPr>
          <w:spacing w:val="-4"/>
          <w:sz w:val="18"/>
          <w:szCs w:val="18"/>
          <w:lang w:val="es-ES_tradnl"/>
        </w:rPr>
        <w:t xml:space="preserve">ndola ineficaz. La tercera </w:t>
      </w:r>
      <w:r>
        <w:rPr>
          <w:spacing w:val="-3"/>
          <w:sz w:val="18"/>
          <w:szCs w:val="18"/>
          <w:lang w:val="es-ES_tradnl"/>
        </w:rPr>
        <w:t>interpretaci</w:t>
      </w:r>
      <w:r>
        <w:rPr>
          <w:rFonts w:cs="Times New Roman"/>
          <w:spacing w:val="-3"/>
          <w:sz w:val="18"/>
          <w:szCs w:val="18"/>
          <w:lang w:val="es-ES_tradnl"/>
        </w:rPr>
        <w:t>ó</w:t>
      </w:r>
      <w:r>
        <w:rPr>
          <w:spacing w:val="-3"/>
          <w:sz w:val="18"/>
          <w:szCs w:val="18"/>
          <w:lang w:val="es-ES_tradnl"/>
        </w:rPr>
        <w:t>n surge ante la ausencia de contestaci</w:t>
      </w:r>
      <w:r>
        <w:rPr>
          <w:rFonts w:cs="Times New Roman"/>
          <w:spacing w:val="-3"/>
          <w:sz w:val="18"/>
          <w:szCs w:val="18"/>
          <w:lang w:val="es-ES_tradnl"/>
        </w:rPr>
        <w:t>ó</w:t>
      </w:r>
      <w:r>
        <w:rPr>
          <w:spacing w:val="-3"/>
          <w:sz w:val="18"/>
          <w:szCs w:val="18"/>
          <w:lang w:val="es-ES_tradnl"/>
        </w:rPr>
        <w:t xml:space="preserve">n </w:t>
      </w:r>
      <w:r>
        <w:rPr>
          <w:spacing w:val="-4"/>
          <w:sz w:val="18"/>
          <w:szCs w:val="18"/>
          <w:lang w:val="es-ES_tradnl"/>
        </w:rPr>
        <w:t xml:space="preserve">como una denegatoria de lo solicitado por el titular del derecho, lo cual </w:t>
      </w:r>
      <w:r>
        <w:rPr>
          <w:i/>
          <w:iCs/>
          <w:spacing w:val="-4"/>
          <w:sz w:val="18"/>
          <w:szCs w:val="18"/>
          <w:lang w:val="es-ES_tradnl"/>
        </w:rPr>
        <w:t xml:space="preserve">prima facie </w:t>
      </w:r>
      <w:r>
        <w:rPr>
          <w:spacing w:val="-4"/>
          <w:sz w:val="18"/>
          <w:szCs w:val="18"/>
          <w:lang w:val="es-ES_tradnl"/>
        </w:rPr>
        <w:t>le permitir</w:t>
      </w:r>
      <w:r>
        <w:rPr>
          <w:rFonts w:cs="Times New Roman"/>
          <w:spacing w:val="-4"/>
          <w:sz w:val="18"/>
          <w:szCs w:val="18"/>
          <w:lang w:val="es-ES_tradnl"/>
        </w:rPr>
        <w:t>í</w:t>
      </w:r>
      <w:r>
        <w:rPr>
          <w:spacing w:val="-4"/>
          <w:sz w:val="18"/>
          <w:szCs w:val="18"/>
          <w:lang w:val="es-ES_tradnl"/>
        </w:rPr>
        <w:t xml:space="preserve">a acceder a la </w:t>
      </w:r>
      <w:r>
        <w:rPr>
          <w:spacing w:val="-5"/>
          <w:sz w:val="18"/>
          <w:szCs w:val="18"/>
          <w:lang w:val="es-ES_tradnl"/>
        </w:rPr>
        <w:t>garant</w:t>
      </w:r>
      <w:r>
        <w:rPr>
          <w:rFonts w:cs="Times New Roman"/>
          <w:spacing w:val="-5"/>
          <w:sz w:val="18"/>
          <w:szCs w:val="18"/>
          <w:lang w:val="es-ES_tradnl"/>
        </w:rPr>
        <w:t>í</w:t>
      </w:r>
      <w:r>
        <w:rPr>
          <w:spacing w:val="-5"/>
          <w:sz w:val="18"/>
          <w:szCs w:val="18"/>
          <w:lang w:val="es-ES_tradnl"/>
        </w:rPr>
        <w:t>a jurisdiccional. Sin embargo, al no establecerse ninguna disposici</w:t>
      </w:r>
      <w:r>
        <w:rPr>
          <w:rFonts w:cs="Times New Roman"/>
          <w:spacing w:val="-5"/>
          <w:sz w:val="18"/>
          <w:szCs w:val="18"/>
          <w:lang w:val="es-ES_tradnl"/>
        </w:rPr>
        <w:t>ó</w:t>
      </w:r>
      <w:r>
        <w:rPr>
          <w:spacing w:val="-5"/>
          <w:sz w:val="18"/>
          <w:szCs w:val="18"/>
          <w:lang w:val="es-ES_tradnl"/>
        </w:rPr>
        <w:t xml:space="preserve">n referente al plazo que debe tener la </w:t>
      </w:r>
      <w:r>
        <w:rPr>
          <w:spacing w:val="-7"/>
          <w:sz w:val="18"/>
          <w:szCs w:val="18"/>
          <w:lang w:val="es-ES_tradnl"/>
        </w:rPr>
        <w:t>entidad para responder se podr</w:t>
      </w:r>
      <w:r>
        <w:rPr>
          <w:rFonts w:cs="Times New Roman"/>
          <w:spacing w:val="-7"/>
          <w:sz w:val="18"/>
          <w:szCs w:val="18"/>
          <w:lang w:val="es-ES_tradnl"/>
        </w:rPr>
        <w:t>í</w:t>
      </w:r>
      <w:r>
        <w:rPr>
          <w:spacing w:val="-7"/>
          <w:sz w:val="18"/>
          <w:szCs w:val="18"/>
          <w:lang w:val="es-ES_tradnl"/>
        </w:rPr>
        <w:t xml:space="preserve">a dar lugar a un abuso en </w:t>
      </w:r>
      <w:r>
        <w:rPr>
          <w:spacing w:val="-4"/>
          <w:sz w:val="18"/>
          <w:szCs w:val="18"/>
          <w:lang w:val="es-ES_tradnl"/>
        </w:rPr>
        <w:t>la utilizaci</w:t>
      </w:r>
      <w:r>
        <w:rPr>
          <w:rFonts w:cs="Times New Roman"/>
          <w:spacing w:val="-4"/>
          <w:sz w:val="18"/>
          <w:szCs w:val="18"/>
          <w:lang w:val="es-ES_tradnl"/>
        </w:rPr>
        <w:t>ó</w:t>
      </w:r>
      <w:r>
        <w:rPr>
          <w:spacing w:val="-4"/>
          <w:sz w:val="18"/>
          <w:szCs w:val="18"/>
          <w:lang w:val="es-ES_tradnl"/>
        </w:rPr>
        <w:t>n de la garant</w:t>
      </w:r>
      <w:r>
        <w:rPr>
          <w:rFonts w:cs="Times New Roman"/>
          <w:spacing w:val="-4"/>
          <w:sz w:val="18"/>
          <w:szCs w:val="18"/>
          <w:lang w:val="es-ES_tradnl"/>
        </w:rPr>
        <w:t>í</w:t>
      </w:r>
      <w:r>
        <w:rPr>
          <w:spacing w:val="-4"/>
          <w:sz w:val="18"/>
          <w:szCs w:val="18"/>
          <w:lang w:val="es-ES_tradnl"/>
        </w:rPr>
        <w:t>a, lo cual la desnaturalizar</w:t>
      </w:r>
      <w:r>
        <w:rPr>
          <w:rFonts w:cs="Times New Roman"/>
          <w:spacing w:val="-4"/>
          <w:sz w:val="18"/>
          <w:szCs w:val="18"/>
          <w:lang w:val="es-ES_tradnl"/>
        </w:rPr>
        <w:t>í</w:t>
      </w:r>
      <w:r>
        <w:rPr>
          <w:spacing w:val="-4"/>
          <w:sz w:val="18"/>
          <w:szCs w:val="18"/>
          <w:lang w:val="es-ES_tradnl"/>
        </w:rPr>
        <w:t>a.</w:t>
      </w:r>
    </w:p>
    <w:p w14:paraId="4F67AC7F" w14:textId="77777777" w:rsidR="00591D54" w:rsidRDefault="00591D54">
      <w:pPr>
        <w:shd w:val="clear" w:color="auto" w:fill="FFFFFF"/>
        <w:spacing w:before="197" w:line="216" w:lineRule="exact"/>
        <w:jc w:val="both"/>
      </w:pPr>
      <w:r>
        <w:rPr>
          <w:spacing w:val="-6"/>
          <w:sz w:val="18"/>
          <w:szCs w:val="18"/>
          <w:lang w:val="es-ES_tradnl"/>
        </w:rPr>
        <w:t>Esta Corte Constitucional, en aras de procurar la m</w:t>
      </w:r>
      <w:r>
        <w:rPr>
          <w:rFonts w:cs="Times New Roman"/>
          <w:spacing w:val="-6"/>
          <w:sz w:val="18"/>
          <w:szCs w:val="18"/>
          <w:lang w:val="es-ES_tradnl"/>
        </w:rPr>
        <w:t>á</w:t>
      </w:r>
      <w:r>
        <w:rPr>
          <w:spacing w:val="-6"/>
          <w:sz w:val="18"/>
          <w:szCs w:val="18"/>
          <w:lang w:val="es-ES_tradnl"/>
        </w:rPr>
        <w:t xml:space="preserve">xima </w:t>
      </w:r>
      <w:r>
        <w:rPr>
          <w:sz w:val="18"/>
          <w:szCs w:val="18"/>
          <w:lang w:val="es-ES_tradnl"/>
        </w:rPr>
        <w:t>efectivizaci</w:t>
      </w:r>
      <w:r>
        <w:rPr>
          <w:rFonts w:cs="Times New Roman"/>
          <w:sz w:val="18"/>
          <w:szCs w:val="18"/>
          <w:lang w:val="es-ES_tradnl"/>
        </w:rPr>
        <w:t>ó</w:t>
      </w:r>
      <w:r>
        <w:rPr>
          <w:sz w:val="18"/>
          <w:szCs w:val="18"/>
          <w:lang w:val="es-ES_tradnl"/>
        </w:rPr>
        <w:t>n de la garant</w:t>
      </w:r>
      <w:r>
        <w:rPr>
          <w:rFonts w:cs="Times New Roman"/>
          <w:sz w:val="18"/>
          <w:szCs w:val="18"/>
          <w:lang w:val="es-ES_tradnl"/>
        </w:rPr>
        <w:t>í</w:t>
      </w:r>
      <w:r>
        <w:rPr>
          <w:sz w:val="18"/>
          <w:szCs w:val="18"/>
          <w:lang w:val="es-ES_tradnl"/>
        </w:rPr>
        <w:t>a jurisdiccional y tambi</w:t>
      </w:r>
      <w:r>
        <w:rPr>
          <w:rFonts w:cs="Times New Roman"/>
          <w:sz w:val="18"/>
          <w:szCs w:val="18"/>
          <w:lang w:val="es-ES_tradnl"/>
        </w:rPr>
        <w:t>é</w:t>
      </w:r>
      <w:r>
        <w:rPr>
          <w:sz w:val="18"/>
          <w:szCs w:val="18"/>
          <w:lang w:val="es-ES_tradnl"/>
        </w:rPr>
        <w:t xml:space="preserve">n </w:t>
      </w:r>
      <w:r>
        <w:rPr>
          <w:spacing w:val="-5"/>
          <w:sz w:val="18"/>
          <w:szCs w:val="18"/>
          <w:lang w:val="es-ES_tradnl"/>
        </w:rPr>
        <w:t xml:space="preserve">con la finalidad de evitar vulneraciones de derechos por </w:t>
      </w:r>
      <w:r>
        <w:rPr>
          <w:spacing w:val="-6"/>
          <w:sz w:val="18"/>
          <w:szCs w:val="18"/>
          <w:lang w:val="es-ES_tradnl"/>
        </w:rPr>
        <w:t xml:space="preserve">ineficacia de esta considera que la tercera posibilidad de </w:t>
      </w:r>
      <w:r>
        <w:rPr>
          <w:spacing w:val="-4"/>
          <w:sz w:val="18"/>
          <w:szCs w:val="18"/>
          <w:lang w:val="es-ES_tradnl"/>
        </w:rPr>
        <w:t>interpretaci</w:t>
      </w:r>
      <w:r>
        <w:rPr>
          <w:rFonts w:cs="Times New Roman"/>
          <w:spacing w:val="-4"/>
          <w:sz w:val="18"/>
          <w:szCs w:val="18"/>
          <w:lang w:val="es-ES_tradnl"/>
        </w:rPr>
        <w:t>ó</w:t>
      </w:r>
      <w:r>
        <w:rPr>
          <w:spacing w:val="-4"/>
          <w:sz w:val="18"/>
          <w:szCs w:val="18"/>
          <w:lang w:val="es-ES_tradnl"/>
        </w:rPr>
        <w:t>n es la m</w:t>
      </w:r>
      <w:r>
        <w:rPr>
          <w:rFonts w:cs="Times New Roman"/>
          <w:spacing w:val="-4"/>
          <w:sz w:val="18"/>
          <w:szCs w:val="18"/>
          <w:lang w:val="es-ES_tradnl"/>
        </w:rPr>
        <w:t>á</w:t>
      </w:r>
      <w:r>
        <w:rPr>
          <w:spacing w:val="-4"/>
          <w:sz w:val="18"/>
          <w:szCs w:val="18"/>
          <w:lang w:val="es-ES_tradnl"/>
        </w:rPr>
        <w:t>s id</w:t>
      </w:r>
      <w:r>
        <w:rPr>
          <w:rFonts w:cs="Times New Roman"/>
          <w:spacing w:val="-4"/>
          <w:sz w:val="18"/>
          <w:szCs w:val="18"/>
          <w:lang w:val="es-ES_tradnl"/>
        </w:rPr>
        <w:t>ó</w:t>
      </w:r>
      <w:r>
        <w:rPr>
          <w:spacing w:val="-4"/>
          <w:sz w:val="18"/>
          <w:szCs w:val="18"/>
          <w:lang w:val="es-ES_tradnl"/>
        </w:rPr>
        <w:t xml:space="preserve">nea para este objeto, por lo </w:t>
      </w:r>
      <w:r>
        <w:rPr>
          <w:spacing w:val="-6"/>
          <w:sz w:val="18"/>
          <w:szCs w:val="18"/>
          <w:lang w:val="es-ES_tradnl"/>
        </w:rPr>
        <w:t>que proceder</w:t>
      </w:r>
      <w:r>
        <w:rPr>
          <w:rFonts w:cs="Times New Roman"/>
          <w:spacing w:val="-6"/>
          <w:sz w:val="18"/>
          <w:szCs w:val="18"/>
          <w:lang w:val="es-ES_tradnl"/>
        </w:rPr>
        <w:t>á</w:t>
      </w:r>
      <w:r>
        <w:rPr>
          <w:spacing w:val="-6"/>
          <w:sz w:val="18"/>
          <w:szCs w:val="18"/>
          <w:lang w:val="es-ES_tradnl"/>
        </w:rPr>
        <w:t xml:space="preserve"> a desarrollarla definiendo la necesidad de </w:t>
      </w:r>
      <w:r>
        <w:rPr>
          <w:spacing w:val="-5"/>
          <w:sz w:val="18"/>
          <w:szCs w:val="18"/>
          <w:lang w:val="es-ES_tradnl"/>
        </w:rPr>
        <w:t xml:space="preserve">un plazo razonable para que la entidad requerida expida </w:t>
      </w:r>
      <w:r>
        <w:rPr>
          <w:spacing w:val="-4"/>
          <w:sz w:val="18"/>
          <w:szCs w:val="18"/>
          <w:lang w:val="es-ES_tradnl"/>
        </w:rPr>
        <w:t xml:space="preserve">su pronunciamiento respecto de la solicitud referente al </w:t>
      </w:r>
      <w:r>
        <w:rPr>
          <w:spacing w:val="-8"/>
          <w:sz w:val="18"/>
          <w:szCs w:val="18"/>
          <w:lang w:val="es-ES_tradnl"/>
        </w:rPr>
        <w:t>derecho de la persona sobre sus datos personales.</w:t>
      </w:r>
    </w:p>
    <w:p w14:paraId="4F67AC80" w14:textId="77777777" w:rsidR="00591D54" w:rsidRDefault="00591D54">
      <w:pPr>
        <w:shd w:val="clear" w:color="auto" w:fill="FFFFFF"/>
        <w:spacing w:before="197" w:line="216" w:lineRule="exact"/>
        <w:jc w:val="both"/>
      </w:pPr>
      <w:r>
        <w:rPr>
          <w:spacing w:val="-7"/>
          <w:sz w:val="18"/>
          <w:szCs w:val="18"/>
          <w:lang w:val="es-ES_tradnl"/>
        </w:rPr>
        <w:t>Como se ha se</w:t>
      </w:r>
      <w:r>
        <w:rPr>
          <w:rFonts w:cs="Times New Roman"/>
          <w:spacing w:val="-7"/>
          <w:sz w:val="18"/>
          <w:szCs w:val="18"/>
          <w:lang w:val="es-ES_tradnl"/>
        </w:rPr>
        <w:t>ñ</w:t>
      </w:r>
      <w:r>
        <w:rPr>
          <w:spacing w:val="-7"/>
          <w:sz w:val="18"/>
          <w:szCs w:val="18"/>
          <w:lang w:val="es-ES_tradnl"/>
        </w:rPr>
        <w:t xml:space="preserve">alado con anterioridad, la procedencia de </w:t>
      </w:r>
      <w:r>
        <w:rPr>
          <w:spacing w:val="-9"/>
          <w:sz w:val="18"/>
          <w:szCs w:val="18"/>
          <w:lang w:val="es-ES_tradnl"/>
        </w:rPr>
        <w:t>la acci</w:t>
      </w:r>
      <w:r>
        <w:rPr>
          <w:rFonts w:cs="Times New Roman"/>
          <w:spacing w:val="-9"/>
          <w:sz w:val="18"/>
          <w:szCs w:val="18"/>
          <w:lang w:val="es-ES_tradnl"/>
        </w:rPr>
        <w:t>ó</w:t>
      </w:r>
      <w:r>
        <w:rPr>
          <w:spacing w:val="-9"/>
          <w:sz w:val="18"/>
          <w:szCs w:val="18"/>
          <w:lang w:val="es-ES_tradnl"/>
        </w:rPr>
        <w:t>n de h</w:t>
      </w:r>
      <w:r>
        <w:rPr>
          <w:rFonts w:cs="Times New Roman"/>
          <w:spacing w:val="-9"/>
          <w:sz w:val="18"/>
          <w:szCs w:val="18"/>
          <w:lang w:val="es-ES_tradnl"/>
        </w:rPr>
        <w:t>á</w:t>
      </w:r>
      <w:r>
        <w:rPr>
          <w:spacing w:val="-9"/>
          <w:sz w:val="18"/>
          <w:szCs w:val="18"/>
          <w:lang w:val="es-ES_tradnl"/>
        </w:rPr>
        <w:t>beas data se enmarca en una vulneraci</w:t>
      </w:r>
      <w:r>
        <w:rPr>
          <w:rFonts w:cs="Times New Roman"/>
          <w:spacing w:val="-9"/>
          <w:sz w:val="18"/>
          <w:szCs w:val="18"/>
          <w:lang w:val="es-ES_tradnl"/>
        </w:rPr>
        <w:t>ó</w:t>
      </w:r>
      <w:r>
        <w:rPr>
          <w:spacing w:val="-9"/>
          <w:sz w:val="18"/>
          <w:szCs w:val="18"/>
          <w:lang w:val="es-ES_tradnl"/>
        </w:rPr>
        <w:t xml:space="preserve">n al </w:t>
      </w:r>
      <w:r>
        <w:rPr>
          <w:spacing w:val="-8"/>
          <w:sz w:val="18"/>
          <w:szCs w:val="18"/>
          <w:lang w:val="es-ES_tradnl"/>
        </w:rPr>
        <w:t>derecho de acceso, decisi</w:t>
      </w:r>
      <w:r>
        <w:rPr>
          <w:rFonts w:cs="Times New Roman"/>
          <w:spacing w:val="-8"/>
          <w:sz w:val="18"/>
          <w:szCs w:val="18"/>
          <w:lang w:val="es-ES_tradnl"/>
        </w:rPr>
        <w:t>ó</w:t>
      </w:r>
      <w:r>
        <w:rPr>
          <w:spacing w:val="-8"/>
          <w:sz w:val="18"/>
          <w:szCs w:val="18"/>
          <w:lang w:val="es-ES_tradnl"/>
        </w:rPr>
        <w:t>n o utilizaci</w:t>
      </w:r>
      <w:r>
        <w:rPr>
          <w:rFonts w:cs="Times New Roman"/>
          <w:spacing w:val="-8"/>
          <w:sz w:val="18"/>
          <w:szCs w:val="18"/>
          <w:lang w:val="es-ES_tradnl"/>
        </w:rPr>
        <w:t>ó</w:t>
      </w:r>
      <w:r>
        <w:rPr>
          <w:spacing w:val="-8"/>
          <w:sz w:val="18"/>
          <w:szCs w:val="18"/>
          <w:lang w:val="es-ES_tradnl"/>
        </w:rPr>
        <w:t>n de la informaci</w:t>
      </w:r>
      <w:r>
        <w:rPr>
          <w:rFonts w:cs="Times New Roman"/>
          <w:spacing w:val="-8"/>
          <w:sz w:val="18"/>
          <w:szCs w:val="18"/>
          <w:lang w:val="es-ES_tradnl"/>
        </w:rPr>
        <w:t>ó</w:t>
      </w:r>
      <w:r>
        <w:rPr>
          <w:spacing w:val="-8"/>
          <w:sz w:val="18"/>
          <w:szCs w:val="18"/>
          <w:lang w:val="es-ES_tradnl"/>
        </w:rPr>
        <w:t xml:space="preserve">n </w:t>
      </w:r>
      <w:r>
        <w:rPr>
          <w:spacing w:val="-6"/>
          <w:sz w:val="18"/>
          <w:szCs w:val="18"/>
          <w:lang w:val="es-ES_tradnl"/>
        </w:rPr>
        <w:t>personal de la persona. Salvo el caso del derecho de utilizaci</w:t>
      </w:r>
      <w:r>
        <w:rPr>
          <w:rFonts w:cs="Times New Roman"/>
          <w:spacing w:val="-6"/>
          <w:sz w:val="18"/>
          <w:szCs w:val="18"/>
          <w:lang w:val="es-ES_tradnl"/>
        </w:rPr>
        <w:t>ó</w:t>
      </w:r>
      <w:r>
        <w:rPr>
          <w:spacing w:val="-6"/>
          <w:sz w:val="18"/>
          <w:szCs w:val="18"/>
          <w:lang w:val="es-ES_tradnl"/>
        </w:rPr>
        <w:t xml:space="preserve">n que implica el manejo que la persona o entidad </w:t>
      </w:r>
      <w:r>
        <w:rPr>
          <w:spacing w:val="-5"/>
          <w:sz w:val="18"/>
          <w:szCs w:val="18"/>
          <w:lang w:val="es-ES_tradnl"/>
        </w:rPr>
        <w:t>depositaria de la informaci</w:t>
      </w:r>
      <w:r>
        <w:rPr>
          <w:rFonts w:cs="Times New Roman"/>
          <w:spacing w:val="-5"/>
          <w:sz w:val="18"/>
          <w:szCs w:val="18"/>
          <w:lang w:val="es-ES_tradnl"/>
        </w:rPr>
        <w:t>ó</w:t>
      </w:r>
      <w:r>
        <w:rPr>
          <w:spacing w:val="-5"/>
          <w:sz w:val="18"/>
          <w:szCs w:val="18"/>
          <w:lang w:val="es-ES_tradnl"/>
        </w:rPr>
        <w:t xml:space="preserve">n da a esta, las vulneraciones </w:t>
      </w:r>
      <w:r>
        <w:rPr>
          <w:spacing w:val="-8"/>
          <w:sz w:val="18"/>
          <w:szCs w:val="18"/>
          <w:lang w:val="es-ES_tradnl"/>
        </w:rPr>
        <w:t>a los derechos de acceso y de decisi</w:t>
      </w:r>
      <w:r>
        <w:rPr>
          <w:rFonts w:cs="Times New Roman"/>
          <w:spacing w:val="-8"/>
          <w:sz w:val="18"/>
          <w:szCs w:val="18"/>
          <w:lang w:val="es-ES_tradnl"/>
        </w:rPr>
        <w:t>ó</w:t>
      </w:r>
      <w:r>
        <w:rPr>
          <w:spacing w:val="-8"/>
          <w:sz w:val="18"/>
          <w:szCs w:val="18"/>
          <w:lang w:val="es-ES_tradnl"/>
        </w:rPr>
        <w:t xml:space="preserve">n se producen por la </w:t>
      </w:r>
      <w:r>
        <w:rPr>
          <w:spacing w:val="-5"/>
          <w:sz w:val="18"/>
          <w:szCs w:val="18"/>
          <w:lang w:val="es-ES_tradnl"/>
        </w:rPr>
        <w:t>negaci</w:t>
      </w:r>
      <w:r>
        <w:rPr>
          <w:rFonts w:cs="Times New Roman"/>
          <w:spacing w:val="-5"/>
          <w:sz w:val="18"/>
          <w:szCs w:val="18"/>
          <w:lang w:val="es-ES_tradnl"/>
        </w:rPr>
        <w:t>ó</w:t>
      </w:r>
      <w:r>
        <w:rPr>
          <w:spacing w:val="-5"/>
          <w:sz w:val="18"/>
          <w:szCs w:val="18"/>
          <w:lang w:val="es-ES_tradnl"/>
        </w:rPr>
        <w:t>n del depositario de la informaci</w:t>
      </w:r>
      <w:r>
        <w:rPr>
          <w:rFonts w:cs="Times New Roman"/>
          <w:spacing w:val="-5"/>
          <w:sz w:val="18"/>
          <w:szCs w:val="18"/>
          <w:lang w:val="es-ES_tradnl"/>
        </w:rPr>
        <w:t>ó</w:t>
      </w:r>
      <w:r>
        <w:rPr>
          <w:spacing w:val="-5"/>
          <w:sz w:val="18"/>
          <w:szCs w:val="18"/>
          <w:lang w:val="es-ES_tradnl"/>
        </w:rPr>
        <w:t xml:space="preserve">n de atender la </w:t>
      </w:r>
      <w:r>
        <w:rPr>
          <w:spacing w:val="-6"/>
          <w:sz w:val="18"/>
          <w:szCs w:val="18"/>
          <w:lang w:val="es-ES_tradnl"/>
        </w:rPr>
        <w:t xml:space="preserve">solicitud efectuada por el titular. Dicha denegatoria puede </w:t>
      </w:r>
      <w:r>
        <w:rPr>
          <w:spacing w:val="-8"/>
          <w:sz w:val="18"/>
          <w:szCs w:val="18"/>
          <w:lang w:val="es-ES_tradnl"/>
        </w:rPr>
        <w:t>efectuarse de manera expresa, a trav</w:t>
      </w:r>
      <w:r>
        <w:rPr>
          <w:rFonts w:cs="Times New Roman"/>
          <w:spacing w:val="-8"/>
          <w:sz w:val="18"/>
          <w:szCs w:val="18"/>
          <w:lang w:val="es-ES_tradnl"/>
        </w:rPr>
        <w:t>é</w:t>
      </w:r>
      <w:r>
        <w:rPr>
          <w:spacing w:val="-8"/>
          <w:sz w:val="18"/>
          <w:szCs w:val="18"/>
          <w:lang w:val="es-ES_tradnl"/>
        </w:rPr>
        <w:t>s de una actuaci</w:t>
      </w:r>
      <w:r>
        <w:rPr>
          <w:rFonts w:cs="Times New Roman"/>
          <w:spacing w:val="-8"/>
          <w:sz w:val="18"/>
          <w:szCs w:val="18"/>
          <w:lang w:val="es-ES_tradnl"/>
        </w:rPr>
        <w:t>ó</w:t>
      </w:r>
      <w:r>
        <w:rPr>
          <w:spacing w:val="-8"/>
          <w:sz w:val="18"/>
          <w:szCs w:val="18"/>
          <w:lang w:val="es-ES_tradnl"/>
        </w:rPr>
        <w:t xml:space="preserve">n </w:t>
      </w:r>
      <w:r>
        <w:rPr>
          <w:spacing w:val="-3"/>
          <w:sz w:val="18"/>
          <w:szCs w:val="18"/>
          <w:lang w:val="es-ES_tradnl"/>
        </w:rPr>
        <w:t>inequ</w:t>
      </w:r>
      <w:r>
        <w:rPr>
          <w:rFonts w:cs="Times New Roman"/>
          <w:spacing w:val="-3"/>
          <w:sz w:val="18"/>
          <w:szCs w:val="18"/>
          <w:lang w:val="es-ES_tradnl"/>
        </w:rPr>
        <w:t>í</w:t>
      </w:r>
      <w:r>
        <w:rPr>
          <w:spacing w:val="-3"/>
          <w:sz w:val="18"/>
          <w:szCs w:val="18"/>
          <w:lang w:val="es-ES_tradnl"/>
        </w:rPr>
        <w:t>voca de quien tiene la administraci</w:t>
      </w:r>
      <w:r>
        <w:rPr>
          <w:rFonts w:cs="Times New Roman"/>
          <w:spacing w:val="-3"/>
          <w:sz w:val="18"/>
          <w:szCs w:val="18"/>
          <w:lang w:val="es-ES_tradnl"/>
        </w:rPr>
        <w:t>ó</w:t>
      </w:r>
      <w:r>
        <w:rPr>
          <w:spacing w:val="-3"/>
          <w:sz w:val="18"/>
          <w:szCs w:val="18"/>
          <w:lang w:val="es-ES_tradnl"/>
        </w:rPr>
        <w:t xml:space="preserve">n del soporte </w:t>
      </w:r>
      <w:r>
        <w:rPr>
          <w:spacing w:val="-6"/>
          <w:sz w:val="18"/>
          <w:szCs w:val="18"/>
          <w:lang w:val="es-ES_tradnl"/>
        </w:rPr>
        <w:t xml:space="preserve">en el que reposan los datos del solicitante. De esta forma </w:t>
      </w:r>
      <w:r>
        <w:rPr>
          <w:spacing w:val="-2"/>
          <w:sz w:val="18"/>
          <w:szCs w:val="18"/>
          <w:lang w:val="es-ES_tradnl"/>
        </w:rPr>
        <w:t>se puede evidenciar que la procedibilidad del h</w:t>
      </w:r>
      <w:r>
        <w:rPr>
          <w:rFonts w:cs="Times New Roman"/>
          <w:spacing w:val="-2"/>
          <w:sz w:val="18"/>
          <w:szCs w:val="18"/>
          <w:lang w:val="es-ES_tradnl"/>
        </w:rPr>
        <w:t>á</w:t>
      </w:r>
      <w:r>
        <w:rPr>
          <w:spacing w:val="-2"/>
          <w:sz w:val="18"/>
          <w:szCs w:val="18"/>
          <w:lang w:val="es-ES_tradnl"/>
        </w:rPr>
        <w:t xml:space="preserve">beas </w:t>
      </w:r>
      <w:r>
        <w:rPr>
          <w:spacing w:val="-6"/>
          <w:sz w:val="18"/>
          <w:szCs w:val="18"/>
          <w:lang w:val="es-ES_tradnl"/>
        </w:rPr>
        <w:t>data depende de la decisi</w:t>
      </w:r>
      <w:r>
        <w:rPr>
          <w:rFonts w:cs="Times New Roman"/>
          <w:spacing w:val="-6"/>
          <w:sz w:val="18"/>
          <w:szCs w:val="18"/>
          <w:lang w:val="es-ES_tradnl"/>
        </w:rPr>
        <w:t>ó</w:t>
      </w:r>
      <w:r>
        <w:rPr>
          <w:spacing w:val="-6"/>
          <w:sz w:val="18"/>
          <w:szCs w:val="18"/>
          <w:lang w:val="es-ES_tradnl"/>
        </w:rPr>
        <w:t xml:space="preserve">n que adopta una autoridad </w:t>
      </w:r>
      <w:r>
        <w:rPr>
          <w:spacing w:val="-4"/>
          <w:sz w:val="18"/>
          <w:szCs w:val="18"/>
          <w:lang w:val="es-ES_tradnl"/>
        </w:rPr>
        <w:t>p</w:t>
      </w:r>
      <w:r>
        <w:rPr>
          <w:rFonts w:cs="Times New Roman"/>
          <w:spacing w:val="-4"/>
          <w:sz w:val="18"/>
          <w:szCs w:val="18"/>
          <w:lang w:val="es-ES_tradnl"/>
        </w:rPr>
        <w:t>ú</w:t>
      </w:r>
      <w:r>
        <w:rPr>
          <w:spacing w:val="-4"/>
          <w:sz w:val="18"/>
          <w:szCs w:val="18"/>
          <w:lang w:val="es-ES_tradnl"/>
        </w:rPr>
        <w:t>blica o privada respecto de la petici</w:t>
      </w:r>
      <w:r>
        <w:rPr>
          <w:rFonts w:cs="Times New Roman"/>
          <w:spacing w:val="-4"/>
          <w:sz w:val="18"/>
          <w:szCs w:val="18"/>
          <w:lang w:val="es-ES_tradnl"/>
        </w:rPr>
        <w:t>ó</w:t>
      </w:r>
      <w:r>
        <w:rPr>
          <w:spacing w:val="-4"/>
          <w:sz w:val="18"/>
          <w:szCs w:val="18"/>
          <w:lang w:val="es-ES_tradnl"/>
        </w:rPr>
        <w:t>n que efect</w:t>
      </w:r>
      <w:r>
        <w:rPr>
          <w:rFonts w:cs="Times New Roman"/>
          <w:spacing w:val="-4"/>
          <w:sz w:val="18"/>
          <w:szCs w:val="18"/>
          <w:lang w:val="es-ES_tradnl"/>
        </w:rPr>
        <w:t>ú</w:t>
      </w:r>
      <w:r>
        <w:rPr>
          <w:spacing w:val="-4"/>
          <w:sz w:val="18"/>
          <w:szCs w:val="18"/>
          <w:lang w:val="es-ES_tradnl"/>
        </w:rPr>
        <w:t xml:space="preserve">a el </w:t>
      </w:r>
      <w:r>
        <w:rPr>
          <w:spacing w:val="-8"/>
          <w:sz w:val="18"/>
          <w:szCs w:val="18"/>
          <w:lang w:val="es-ES_tradnl"/>
        </w:rPr>
        <w:t>titular respecto de su derecho consagrado en el art</w:t>
      </w:r>
      <w:r>
        <w:rPr>
          <w:rFonts w:cs="Times New Roman"/>
          <w:spacing w:val="-8"/>
          <w:sz w:val="18"/>
          <w:szCs w:val="18"/>
          <w:lang w:val="es-ES_tradnl"/>
        </w:rPr>
        <w:t>í</w:t>
      </w:r>
      <w:r>
        <w:rPr>
          <w:spacing w:val="-8"/>
          <w:sz w:val="18"/>
          <w:szCs w:val="18"/>
          <w:lang w:val="es-ES_tradnl"/>
        </w:rPr>
        <w:t xml:space="preserve">culo 66 </w:t>
      </w:r>
      <w:r>
        <w:rPr>
          <w:spacing w:val="-5"/>
          <w:sz w:val="18"/>
          <w:szCs w:val="18"/>
          <w:lang w:val="es-ES_tradnl"/>
        </w:rPr>
        <w:t>numeral 19 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blica.</w:t>
      </w:r>
    </w:p>
    <w:p w14:paraId="4F67AC81" w14:textId="77777777" w:rsidR="00591D54" w:rsidRDefault="00591D54">
      <w:pPr>
        <w:shd w:val="clear" w:color="auto" w:fill="FFFFFF"/>
        <w:spacing w:before="192" w:line="216" w:lineRule="exact"/>
        <w:jc w:val="both"/>
      </w:pPr>
      <w:r>
        <w:rPr>
          <w:spacing w:val="-3"/>
          <w:sz w:val="18"/>
          <w:szCs w:val="18"/>
          <w:lang w:val="es-ES_tradnl"/>
        </w:rPr>
        <w:t>As</w:t>
      </w:r>
      <w:r>
        <w:rPr>
          <w:rFonts w:cs="Times New Roman"/>
          <w:spacing w:val="-3"/>
          <w:sz w:val="18"/>
          <w:szCs w:val="18"/>
          <w:lang w:val="es-ES_tradnl"/>
        </w:rPr>
        <w:t>í</w:t>
      </w:r>
      <w:r>
        <w:rPr>
          <w:spacing w:val="-3"/>
          <w:sz w:val="18"/>
          <w:szCs w:val="18"/>
          <w:lang w:val="es-ES_tradnl"/>
        </w:rPr>
        <w:t xml:space="preserve"> las cosas, es importante determinar que la petici</w:t>
      </w:r>
      <w:r>
        <w:rPr>
          <w:rFonts w:cs="Times New Roman"/>
          <w:spacing w:val="-3"/>
          <w:sz w:val="18"/>
          <w:szCs w:val="18"/>
          <w:lang w:val="es-ES_tradnl"/>
        </w:rPr>
        <w:t>ó</w:t>
      </w:r>
      <w:r>
        <w:rPr>
          <w:spacing w:val="-3"/>
          <w:sz w:val="18"/>
          <w:szCs w:val="18"/>
          <w:lang w:val="es-ES_tradnl"/>
        </w:rPr>
        <w:t xml:space="preserve">n </w:t>
      </w:r>
      <w:r>
        <w:rPr>
          <w:spacing w:val="-6"/>
          <w:sz w:val="18"/>
          <w:szCs w:val="18"/>
          <w:lang w:val="es-ES_tradnl"/>
        </w:rPr>
        <w:t>de acceso, decisi</w:t>
      </w:r>
      <w:r>
        <w:rPr>
          <w:rFonts w:cs="Times New Roman"/>
          <w:spacing w:val="-6"/>
          <w:sz w:val="18"/>
          <w:szCs w:val="18"/>
          <w:lang w:val="es-ES_tradnl"/>
        </w:rPr>
        <w:t>ó</w:t>
      </w:r>
      <w:r>
        <w:rPr>
          <w:spacing w:val="-6"/>
          <w:sz w:val="18"/>
          <w:szCs w:val="18"/>
          <w:lang w:val="es-ES_tradnl"/>
        </w:rPr>
        <w:t>n o utilizaci</w:t>
      </w:r>
      <w:r>
        <w:rPr>
          <w:rFonts w:cs="Times New Roman"/>
          <w:spacing w:val="-6"/>
          <w:sz w:val="18"/>
          <w:szCs w:val="18"/>
          <w:lang w:val="es-ES_tradnl"/>
        </w:rPr>
        <w:t>ó</w:t>
      </w:r>
      <w:r>
        <w:rPr>
          <w:spacing w:val="-6"/>
          <w:sz w:val="18"/>
          <w:szCs w:val="18"/>
          <w:lang w:val="es-ES_tradnl"/>
        </w:rPr>
        <w:t xml:space="preserve">n de los datos personales </w:t>
      </w:r>
      <w:r>
        <w:rPr>
          <w:spacing w:val="-3"/>
          <w:sz w:val="18"/>
          <w:szCs w:val="18"/>
          <w:lang w:val="es-ES_tradnl"/>
        </w:rPr>
        <w:t xml:space="preserve">implica la existencia de un proceso (en este caso </w:t>
      </w:r>
      <w:r>
        <w:rPr>
          <w:spacing w:val="-8"/>
          <w:sz w:val="18"/>
          <w:szCs w:val="18"/>
          <w:lang w:val="es-ES_tradnl"/>
        </w:rPr>
        <w:t xml:space="preserve">administrativo o privado) en el que se resuelve o determina </w:t>
      </w:r>
      <w:r>
        <w:rPr>
          <w:spacing w:val="-7"/>
          <w:sz w:val="18"/>
          <w:szCs w:val="18"/>
          <w:lang w:val="es-ES_tradnl"/>
        </w:rPr>
        <w:t xml:space="preserve">sobre los derechos y obligaciones de una persona, por lo que este se encuentra regido por las normas del debido </w:t>
      </w:r>
      <w:r>
        <w:rPr>
          <w:spacing w:val="-1"/>
          <w:sz w:val="18"/>
          <w:szCs w:val="18"/>
          <w:lang w:val="es-ES_tradnl"/>
        </w:rPr>
        <w:t>proceso que se encuentran previstas en el art</w:t>
      </w:r>
      <w:r>
        <w:rPr>
          <w:rFonts w:cs="Times New Roman"/>
          <w:spacing w:val="-1"/>
          <w:sz w:val="18"/>
          <w:szCs w:val="18"/>
          <w:lang w:val="es-ES_tradnl"/>
        </w:rPr>
        <w:t>í</w:t>
      </w:r>
      <w:r>
        <w:rPr>
          <w:spacing w:val="-1"/>
          <w:sz w:val="18"/>
          <w:szCs w:val="18"/>
          <w:lang w:val="es-ES_tradnl"/>
        </w:rPr>
        <w:t xml:space="preserve">culo 76 </w:t>
      </w:r>
      <w:r>
        <w:rPr>
          <w:spacing w:val="-2"/>
          <w:sz w:val="18"/>
          <w:szCs w:val="18"/>
          <w:lang w:val="es-ES_tradnl"/>
        </w:rPr>
        <w:t>de la Constituci</w:t>
      </w:r>
      <w:r>
        <w:rPr>
          <w:rFonts w:cs="Times New Roman"/>
          <w:spacing w:val="-2"/>
          <w:sz w:val="18"/>
          <w:szCs w:val="18"/>
          <w:lang w:val="es-ES_tradnl"/>
        </w:rPr>
        <w:t>ó</w:t>
      </w:r>
      <w:r>
        <w:rPr>
          <w:spacing w:val="-2"/>
          <w:sz w:val="18"/>
          <w:szCs w:val="18"/>
          <w:lang w:val="es-ES_tradnl"/>
        </w:rPr>
        <w:t xml:space="preserve">n. Por este motivo, es imprescindible </w:t>
      </w:r>
      <w:r>
        <w:rPr>
          <w:spacing w:val="-5"/>
          <w:sz w:val="18"/>
          <w:szCs w:val="18"/>
          <w:lang w:val="es-ES_tradnl"/>
        </w:rPr>
        <w:t>que las autoridades p</w:t>
      </w:r>
      <w:r>
        <w:rPr>
          <w:rFonts w:cs="Times New Roman"/>
          <w:spacing w:val="-5"/>
          <w:sz w:val="18"/>
          <w:szCs w:val="18"/>
          <w:lang w:val="es-ES_tradnl"/>
        </w:rPr>
        <w:t>ú</w:t>
      </w:r>
      <w:r>
        <w:rPr>
          <w:spacing w:val="-5"/>
          <w:sz w:val="18"/>
          <w:szCs w:val="18"/>
          <w:lang w:val="es-ES_tradnl"/>
        </w:rPr>
        <w:t>blicas o privadas que administren informaci</w:t>
      </w:r>
      <w:r>
        <w:rPr>
          <w:rFonts w:cs="Times New Roman"/>
          <w:spacing w:val="-5"/>
          <w:sz w:val="18"/>
          <w:szCs w:val="18"/>
          <w:lang w:val="es-ES_tradnl"/>
        </w:rPr>
        <w:t>ó</w:t>
      </w:r>
      <w:r>
        <w:rPr>
          <w:spacing w:val="-5"/>
          <w:sz w:val="18"/>
          <w:szCs w:val="18"/>
          <w:lang w:val="es-ES_tradnl"/>
        </w:rPr>
        <w:t>n protegida por el art</w:t>
      </w:r>
      <w:r>
        <w:rPr>
          <w:rFonts w:cs="Times New Roman"/>
          <w:spacing w:val="-5"/>
          <w:sz w:val="18"/>
          <w:szCs w:val="18"/>
          <w:lang w:val="es-ES_tradnl"/>
        </w:rPr>
        <w:t>í</w:t>
      </w:r>
      <w:r>
        <w:rPr>
          <w:spacing w:val="-5"/>
          <w:sz w:val="18"/>
          <w:szCs w:val="18"/>
          <w:lang w:val="es-ES_tradnl"/>
        </w:rPr>
        <w:t>culo 66 numeral 19</w:t>
      </w:r>
      <w:r>
        <w:rPr>
          <w:spacing w:val="-5"/>
          <w:sz w:val="18"/>
          <w:szCs w:val="18"/>
          <w:vertAlign w:val="superscript"/>
          <w:lang w:val="es-ES_tradnl"/>
        </w:rPr>
        <w:t>21</w:t>
      </w:r>
      <w:r>
        <w:rPr>
          <w:spacing w:val="-5"/>
          <w:sz w:val="18"/>
          <w:szCs w:val="18"/>
          <w:lang w:val="es-ES_tradnl"/>
        </w:rPr>
        <w:t xml:space="preserve"> de </w:t>
      </w:r>
      <w:r>
        <w:rPr>
          <w:spacing w:val="-7"/>
          <w:sz w:val="18"/>
          <w:szCs w:val="18"/>
          <w:lang w:val="es-ES_tradnl"/>
        </w:rPr>
        <w:t>la Norma Fundamental, respetando las garant</w:t>
      </w:r>
      <w:r>
        <w:rPr>
          <w:rFonts w:cs="Times New Roman"/>
          <w:spacing w:val="-7"/>
          <w:sz w:val="18"/>
          <w:szCs w:val="18"/>
          <w:lang w:val="es-ES_tradnl"/>
        </w:rPr>
        <w:t>í</w:t>
      </w:r>
      <w:r>
        <w:rPr>
          <w:spacing w:val="-7"/>
          <w:sz w:val="18"/>
          <w:szCs w:val="18"/>
          <w:lang w:val="es-ES_tradnl"/>
        </w:rPr>
        <w:t xml:space="preserve">as de las personas se pronuncien motivadamente respecto de las </w:t>
      </w:r>
      <w:r>
        <w:rPr>
          <w:spacing w:val="-6"/>
          <w:sz w:val="18"/>
          <w:szCs w:val="18"/>
          <w:lang w:val="es-ES_tradnl"/>
        </w:rPr>
        <w:t>peticiones que en este sentido efect</w:t>
      </w:r>
      <w:r>
        <w:rPr>
          <w:rFonts w:cs="Times New Roman"/>
          <w:spacing w:val="-6"/>
          <w:sz w:val="18"/>
          <w:szCs w:val="18"/>
          <w:lang w:val="es-ES_tradnl"/>
        </w:rPr>
        <w:t>ú</w:t>
      </w:r>
      <w:r>
        <w:rPr>
          <w:spacing w:val="-6"/>
          <w:sz w:val="18"/>
          <w:szCs w:val="18"/>
          <w:lang w:val="es-ES_tradnl"/>
        </w:rPr>
        <w:t>en los titulares de la informaci</w:t>
      </w:r>
      <w:r>
        <w:rPr>
          <w:rFonts w:cs="Times New Roman"/>
          <w:spacing w:val="-6"/>
          <w:sz w:val="18"/>
          <w:szCs w:val="18"/>
          <w:lang w:val="es-ES_tradnl"/>
        </w:rPr>
        <w:t>ó</w:t>
      </w:r>
      <w:r>
        <w:rPr>
          <w:spacing w:val="-6"/>
          <w:sz w:val="18"/>
          <w:szCs w:val="18"/>
          <w:lang w:val="es-ES_tradnl"/>
        </w:rPr>
        <w:t>n que se encuentra bajo su gesti</w:t>
      </w:r>
      <w:r>
        <w:rPr>
          <w:rFonts w:cs="Times New Roman"/>
          <w:spacing w:val="-6"/>
          <w:sz w:val="18"/>
          <w:szCs w:val="18"/>
          <w:lang w:val="es-ES_tradnl"/>
        </w:rPr>
        <w:t>ó</w:t>
      </w:r>
      <w:r>
        <w:rPr>
          <w:spacing w:val="-6"/>
          <w:sz w:val="18"/>
          <w:szCs w:val="18"/>
          <w:lang w:val="es-ES_tradnl"/>
        </w:rPr>
        <w:t>n.</w:t>
      </w:r>
    </w:p>
    <w:p w14:paraId="4F67AC82" w14:textId="77777777" w:rsidR="00591D54" w:rsidRDefault="00591D54">
      <w:pPr>
        <w:shd w:val="clear" w:color="auto" w:fill="FFFFFF"/>
        <w:spacing w:before="192" w:line="216" w:lineRule="exact"/>
        <w:jc w:val="both"/>
      </w:pPr>
      <w:r>
        <w:rPr>
          <w:spacing w:val="-1"/>
          <w:sz w:val="18"/>
          <w:szCs w:val="18"/>
          <w:lang w:val="es-ES_tradnl"/>
        </w:rPr>
        <w:t>Es por esta raz</w:t>
      </w:r>
      <w:r>
        <w:rPr>
          <w:rFonts w:cs="Times New Roman"/>
          <w:spacing w:val="-1"/>
          <w:sz w:val="18"/>
          <w:szCs w:val="18"/>
          <w:lang w:val="es-ES_tradnl"/>
        </w:rPr>
        <w:t>ó</w:t>
      </w:r>
      <w:r>
        <w:rPr>
          <w:spacing w:val="-1"/>
          <w:sz w:val="18"/>
          <w:szCs w:val="18"/>
          <w:lang w:val="es-ES_tradnl"/>
        </w:rPr>
        <w:t xml:space="preserve">n que las personas y entidades que </w:t>
      </w:r>
      <w:r>
        <w:rPr>
          <w:sz w:val="18"/>
          <w:szCs w:val="18"/>
          <w:lang w:val="es-ES_tradnl"/>
        </w:rPr>
        <w:t xml:space="preserve">tienen a su cargo datos personales deben responder a las solicitudes que sobre estos realicen los titulares </w:t>
      </w:r>
      <w:r>
        <w:rPr>
          <w:spacing w:val="-3"/>
          <w:sz w:val="18"/>
          <w:szCs w:val="18"/>
          <w:lang w:val="es-ES_tradnl"/>
        </w:rPr>
        <w:t>de esta informaci</w:t>
      </w:r>
      <w:r>
        <w:rPr>
          <w:rFonts w:cs="Times New Roman"/>
          <w:spacing w:val="-3"/>
          <w:sz w:val="18"/>
          <w:szCs w:val="18"/>
          <w:lang w:val="es-ES_tradnl"/>
        </w:rPr>
        <w:t>ó</w:t>
      </w:r>
      <w:r>
        <w:rPr>
          <w:spacing w:val="-3"/>
          <w:sz w:val="18"/>
          <w:szCs w:val="18"/>
          <w:lang w:val="es-ES_tradnl"/>
        </w:rPr>
        <w:t>n. Esta respuesta debe atender a los</w:t>
      </w:r>
    </w:p>
    <w:p w14:paraId="4F67AC83" w14:textId="77777777" w:rsidR="00591D54" w:rsidRDefault="00591D54">
      <w:pPr>
        <w:shd w:val="clear" w:color="auto" w:fill="FFFFFF"/>
        <w:spacing w:before="437" w:line="178" w:lineRule="exact"/>
        <w:ind w:left="139" w:hanging="139"/>
        <w:jc w:val="both"/>
      </w:pPr>
      <w:r>
        <w:rPr>
          <w:spacing w:val="-4"/>
          <w:sz w:val="14"/>
          <w:szCs w:val="14"/>
          <w:vertAlign w:val="superscript"/>
          <w:lang w:val="es-ES_tradnl"/>
        </w:rPr>
        <w:t>21</w:t>
      </w:r>
      <w:r>
        <w:rPr>
          <w:spacing w:val="-4"/>
          <w:sz w:val="14"/>
          <w:szCs w:val="14"/>
          <w:lang w:val="es-ES_tradnl"/>
        </w:rPr>
        <w:t xml:space="preserve"> </w:t>
      </w:r>
      <w:r>
        <w:rPr>
          <w:spacing w:val="-3"/>
          <w:sz w:val="14"/>
          <w:szCs w:val="14"/>
          <w:lang w:val="es-ES_tradnl"/>
        </w:rPr>
        <w:t>Art. 66.- Se reconoce y garantizar</w:t>
      </w:r>
      <w:r>
        <w:rPr>
          <w:rFonts w:cs="Times New Roman"/>
          <w:spacing w:val="-3"/>
          <w:sz w:val="14"/>
          <w:szCs w:val="14"/>
          <w:lang w:val="es-ES_tradnl"/>
        </w:rPr>
        <w:t>á</w:t>
      </w:r>
      <w:r>
        <w:rPr>
          <w:spacing w:val="-3"/>
          <w:sz w:val="14"/>
          <w:szCs w:val="14"/>
          <w:lang w:val="es-ES_tradnl"/>
        </w:rPr>
        <w:t xml:space="preserve"> a las personas: (</w:t>
      </w:r>
      <w:r>
        <w:rPr>
          <w:rFonts w:cs="Times New Roman"/>
          <w:spacing w:val="-3"/>
          <w:sz w:val="14"/>
          <w:szCs w:val="14"/>
          <w:lang w:val="es-ES_tradnl"/>
        </w:rPr>
        <w:t>…</w:t>
      </w:r>
      <w:r>
        <w:rPr>
          <w:spacing w:val="-3"/>
          <w:sz w:val="14"/>
          <w:szCs w:val="14"/>
          <w:lang w:val="es-ES_tradnl"/>
        </w:rPr>
        <w:t xml:space="preserve">)19. El derecho </w:t>
      </w:r>
      <w:r>
        <w:rPr>
          <w:spacing w:val="-1"/>
          <w:sz w:val="14"/>
          <w:szCs w:val="14"/>
          <w:lang w:val="es-ES_tradnl"/>
        </w:rPr>
        <w:t>a la protecci</w:t>
      </w:r>
      <w:r>
        <w:rPr>
          <w:rFonts w:cs="Times New Roman"/>
          <w:spacing w:val="-1"/>
          <w:sz w:val="14"/>
          <w:szCs w:val="14"/>
          <w:lang w:val="es-ES_tradnl"/>
        </w:rPr>
        <w:t>ó</w:t>
      </w:r>
      <w:r>
        <w:rPr>
          <w:spacing w:val="-1"/>
          <w:sz w:val="14"/>
          <w:szCs w:val="14"/>
          <w:lang w:val="es-ES_tradnl"/>
        </w:rPr>
        <w:t>n de datos de car</w:t>
      </w:r>
      <w:r>
        <w:rPr>
          <w:rFonts w:cs="Times New Roman"/>
          <w:spacing w:val="-1"/>
          <w:sz w:val="14"/>
          <w:szCs w:val="14"/>
          <w:lang w:val="es-ES_tradnl"/>
        </w:rPr>
        <w:t>á</w:t>
      </w:r>
      <w:r>
        <w:rPr>
          <w:spacing w:val="-1"/>
          <w:sz w:val="14"/>
          <w:szCs w:val="14"/>
          <w:lang w:val="es-ES_tradnl"/>
        </w:rPr>
        <w:t xml:space="preserve">cter personal, que incluye el acceso </w:t>
      </w:r>
      <w:r>
        <w:rPr>
          <w:spacing w:val="-3"/>
          <w:sz w:val="14"/>
          <w:szCs w:val="14"/>
          <w:lang w:val="es-ES_tradnl"/>
        </w:rPr>
        <w:t>y la decisi</w:t>
      </w:r>
      <w:r>
        <w:rPr>
          <w:rFonts w:cs="Times New Roman"/>
          <w:spacing w:val="-3"/>
          <w:sz w:val="14"/>
          <w:szCs w:val="14"/>
          <w:lang w:val="es-ES_tradnl"/>
        </w:rPr>
        <w:t>ó</w:t>
      </w:r>
      <w:r>
        <w:rPr>
          <w:spacing w:val="-3"/>
          <w:sz w:val="14"/>
          <w:szCs w:val="14"/>
          <w:lang w:val="es-ES_tradnl"/>
        </w:rPr>
        <w:t>n sobre informaci</w:t>
      </w:r>
      <w:r>
        <w:rPr>
          <w:rFonts w:cs="Times New Roman"/>
          <w:spacing w:val="-3"/>
          <w:sz w:val="14"/>
          <w:szCs w:val="14"/>
          <w:lang w:val="es-ES_tradnl"/>
        </w:rPr>
        <w:t>ó</w:t>
      </w:r>
      <w:r>
        <w:rPr>
          <w:spacing w:val="-3"/>
          <w:sz w:val="14"/>
          <w:szCs w:val="14"/>
          <w:lang w:val="es-ES_tradnl"/>
        </w:rPr>
        <w:t>n y datos de este car</w:t>
      </w:r>
      <w:r>
        <w:rPr>
          <w:rFonts w:cs="Times New Roman"/>
          <w:spacing w:val="-3"/>
          <w:sz w:val="14"/>
          <w:szCs w:val="14"/>
          <w:lang w:val="es-ES_tradnl"/>
        </w:rPr>
        <w:t>á</w:t>
      </w:r>
      <w:r>
        <w:rPr>
          <w:spacing w:val="-3"/>
          <w:sz w:val="14"/>
          <w:szCs w:val="14"/>
          <w:lang w:val="es-ES_tradnl"/>
        </w:rPr>
        <w:t>cter, as</w:t>
      </w:r>
      <w:r>
        <w:rPr>
          <w:rFonts w:cs="Times New Roman"/>
          <w:spacing w:val="-3"/>
          <w:sz w:val="14"/>
          <w:szCs w:val="14"/>
          <w:lang w:val="es-ES_tradnl"/>
        </w:rPr>
        <w:t>í</w:t>
      </w:r>
      <w:r>
        <w:rPr>
          <w:spacing w:val="-3"/>
          <w:sz w:val="14"/>
          <w:szCs w:val="14"/>
          <w:lang w:val="es-ES_tradnl"/>
        </w:rPr>
        <w:t xml:space="preserve"> como su </w:t>
      </w:r>
      <w:r>
        <w:rPr>
          <w:spacing w:val="-2"/>
          <w:sz w:val="14"/>
          <w:szCs w:val="14"/>
          <w:lang w:val="es-ES_tradnl"/>
        </w:rPr>
        <w:t>correspondiente protecci</w:t>
      </w:r>
      <w:r>
        <w:rPr>
          <w:rFonts w:cs="Times New Roman"/>
          <w:spacing w:val="-2"/>
          <w:sz w:val="14"/>
          <w:szCs w:val="14"/>
          <w:lang w:val="es-ES_tradnl"/>
        </w:rPr>
        <w:t>ó</w:t>
      </w:r>
      <w:r>
        <w:rPr>
          <w:spacing w:val="-2"/>
          <w:sz w:val="14"/>
          <w:szCs w:val="14"/>
          <w:lang w:val="es-ES_tradnl"/>
        </w:rPr>
        <w:t>n. La recolecci</w:t>
      </w:r>
      <w:r>
        <w:rPr>
          <w:rFonts w:cs="Times New Roman"/>
          <w:spacing w:val="-2"/>
          <w:sz w:val="14"/>
          <w:szCs w:val="14"/>
          <w:lang w:val="es-ES_tradnl"/>
        </w:rPr>
        <w:t>ó</w:t>
      </w:r>
      <w:r>
        <w:rPr>
          <w:spacing w:val="-2"/>
          <w:sz w:val="14"/>
          <w:szCs w:val="14"/>
          <w:lang w:val="es-ES_tradnl"/>
        </w:rPr>
        <w:t xml:space="preserve">n, archivo, procesamiento, </w:t>
      </w:r>
      <w:r>
        <w:rPr>
          <w:sz w:val="14"/>
          <w:szCs w:val="14"/>
          <w:lang w:val="es-ES_tradnl"/>
        </w:rPr>
        <w:t>distribuci</w:t>
      </w:r>
      <w:r>
        <w:rPr>
          <w:rFonts w:cs="Times New Roman"/>
          <w:sz w:val="14"/>
          <w:szCs w:val="14"/>
          <w:lang w:val="es-ES_tradnl"/>
        </w:rPr>
        <w:t>ó</w:t>
      </w:r>
      <w:r>
        <w:rPr>
          <w:sz w:val="14"/>
          <w:szCs w:val="14"/>
          <w:lang w:val="es-ES_tradnl"/>
        </w:rPr>
        <w:t>n o difusi</w:t>
      </w:r>
      <w:r>
        <w:rPr>
          <w:rFonts w:cs="Times New Roman"/>
          <w:sz w:val="14"/>
          <w:szCs w:val="14"/>
          <w:lang w:val="es-ES_tradnl"/>
        </w:rPr>
        <w:t>ó</w:t>
      </w:r>
      <w:r>
        <w:rPr>
          <w:sz w:val="14"/>
          <w:szCs w:val="14"/>
          <w:lang w:val="es-ES_tradnl"/>
        </w:rPr>
        <w:t>n de estos datos o informaci</w:t>
      </w:r>
      <w:r>
        <w:rPr>
          <w:rFonts w:cs="Times New Roman"/>
          <w:sz w:val="14"/>
          <w:szCs w:val="14"/>
          <w:lang w:val="es-ES_tradnl"/>
        </w:rPr>
        <w:t>ó</w:t>
      </w:r>
      <w:r>
        <w:rPr>
          <w:sz w:val="14"/>
          <w:szCs w:val="14"/>
          <w:lang w:val="es-ES_tradnl"/>
        </w:rPr>
        <w:t>n requerir</w:t>
      </w:r>
      <w:r>
        <w:rPr>
          <w:rFonts w:cs="Times New Roman"/>
          <w:sz w:val="14"/>
          <w:szCs w:val="14"/>
          <w:lang w:val="es-ES_tradnl"/>
        </w:rPr>
        <w:t>á</w:t>
      </w:r>
      <w:r>
        <w:rPr>
          <w:sz w:val="14"/>
          <w:szCs w:val="14"/>
          <w:lang w:val="es-ES_tradnl"/>
        </w:rPr>
        <w:t>n la autorizaci</w:t>
      </w:r>
      <w:r>
        <w:rPr>
          <w:rFonts w:cs="Times New Roman"/>
          <w:sz w:val="14"/>
          <w:szCs w:val="14"/>
          <w:lang w:val="es-ES_tradnl"/>
        </w:rPr>
        <w:t>ó</w:t>
      </w:r>
      <w:r>
        <w:rPr>
          <w:sz w:val="14"/>
          <w:szCs w:val="14"/>
          <w:lang w:val="es-ES_tradnl"/>
        </w:rPr>
        <w:t>n del titular o el mandato de la ley.</w:t>
      </w:r>
    </w:p>
    <w:p w14:paraId="4F67AC84" w14:textId="77777777" w:rsidR="00591D54" w:rsidRDefault="00591D54">
      <w:pPr>
        <w:shd w:val="clear" w:color="auto" w:fill="FFFFFF"/>
        <w:spacing w:line="216" w:lineRule="exact"/>
        <w:jc w:val="both"/>
      </w:pPr>
      <w:r>
        <w:br w:type="column"/>
      </w:r>
      <w:r>
        <w:rPr>
          <w:spacing w:val="-7"/>
          <w:sz w:val="18"/>
          <w:szCs w:val="18"/>
          <w:lang w:val="es-ES_tradnl"/>
        </w:rPr>
        <w:t>principios de inmediaci</w:t>
      </w:r>
      <w:r>
        <w:rPr>
          <w:rFonts w:cs="Times New Roman"/>
          <w:spacing w:val="-7"/>
          <w:sz w:val="18"/>
          <w:szCs w:val="18"/>
          <w:lang w:val="es-ES_tradnl"/>
        </w:rPr>
        <w:t>ó</w:t>
      </w:r>
      <w:r>
        <w:rPr>
          <w:spacing w:val="-7"/>
          <w:sz w:val="18"/>
          <w:szCs w:val="18"/>
          <w:lang w:val="es-ES_tradnl"/>
        </w:rPr>
        <w:t xml:space="preserve">n, celeridad y debe estar motivada </w:t>
      </w:r>
      <w:r>
        <w:rPr>
          <w:spacing w:val="-6"/>
          <w:sz w:val="18"/>
          <w:szCs w:val="18"/>
          <w:lang w:val="es-ES_tradnl"/>
        </w:rPr>
        <w:t>suficientemente, de conformidad con la Constituci</w:t>
      </w:r>
      <w:r>
        <w:rPr>
          <w:rFonts w:cs="Times New Roman"/>
          <w:spacing w:val="-6"/>
          <w:sz w:val="18"/>
          <w:szCs w:val="18"/>
          <w:lang w:val="es-ES_tradnl"/>
        </w:rPr>
        <w:t>ó</w:t>
      </w:r>
      <w:r>
        <w:rPr>
          <w:spacing w:val="-6"/>
          <w:sz w:val="18"/>
          <w:szCs w:val="18"/>
          <w:lang w:val="es-ES_tradnl"/>
        </w:rPr>
        <w:t xml:space="preserve">n y la </w:t>
      </w:r>
      <w:r>
        <w:rPr>
          <w:sz w:val="18"/>
          <w:szCs w:val="18"/>
          <w:lang w:val="es-ES_tradnl"/>
        </w:rPr>
        <w:t>ley.</w:t>
      </w:r>
    </w:p>
    <w:p w14:paraId="4F67AC85" w14:textId="77777777" w:rsidR="00591D54" w:rsidRDefault="00591D54">
      <w:pPr>
        <w:shd w:val="clear" w:color="auto" w:fill="FFFFFF"/>
        <w:spacing w:before="197" w:line="216" w:lineRule="exact"/>
        <w:jc w:val="both"/>
      </w:pPr>
      <w:r>
        <w:rPr>
          <w:spacing w:val="-8"/>
          <w:sz w:val="18"/>
          <w:szCs w:val="18"/>
          <w:lang w:val="es-ES_tradnl"/>
        </w:rPr>
        <w:t>Por otra parte, la falta de respuesta de las entidades que tienen a cargo la gesti</w:t>
      </w:r>
      <w:r>
        <w:rPr>
          <w:rFonts w:cs="Times New Roman"/>
          <w:spacing w:val="-8"/>
          <w:sz w:val="18"/>
          <w:szCs w:val="18"/>
          <w:lang w:val="es-ES_tradnl"/>
        </w:rPr>
        <w:t>ó</w:t>
      </w:r>
      <w:r>
        <w:rPr>
          <w:spacing w:val="-8"/>
          <w:sz w:val="18"/>
          <w:szCs w:val="18"/>
          <w:lang w:val="es-ES_tradnl"/>
        </w:rPr>
        <w:t xml:space="preserve">n de datos personales frente a la </w:t>
      </w:r>
      <w:r>
        <w:rPr>
          <w:spacing w:val="-7"/>
          <w:sz w:val="18"/>
          <w:szCs w:val="18"/>
          <w:lang w:val="es-ES_tradnl"/>
        </w:rPr>
        <w:t xml:space="preserve">solicitud que en este sentido es efectuada por los titulares </w:t>
      </w:r>
      <w:r>
        <w:rPr>
          <w:spacing w:val="-4"/>
          <w:sz w:val="18"/>
          <w:szCs w:val="18"/>
          <w:lang w:val="es-ES_tradnl"/>
        </w:rPr>
        <w:t>del derecho constitucional contenido en el art</w:t>
      </w:r>
      <w:r>
        <w:rPr>
          <w:rFonts w:cs="Times New Roman"/>
          <w:spacing w:val="-4"/>
          <w:sz w:val="18"/>
          <w:szCs w:val="18"/>
          <w:lang w:val="es-ES_tradnl"/>
        </w:rPr>
        <w:t>í</w:t>
      </w:r>
      <w:r>
        <w:rPr>
          <w:spacing w:val="-4"/>
          <w:sz w:val="18"/>
          <w:szCs w:val="18"/>
          <w:lang w:val="es-ES_tradnl"/>
        </w:rPr>
        <w:t xml:space="preserve">culo 66 </w:t>
      </w:r>
      <w:r>
        <w:rPr>
          <w:sz w:val="18"/>
          <w:szCs w:val="18"/>
          <w:lang w:val="es-ES_tradnl"/>
        </w:rPr>
        <w:t xml:space="preserve">numeral 19 de la Norma Fundamental impide a estos </w:t>
      </w:r>
      <w:r>
        <w:rPr>
          <w:spacing w:val="-2"/>
          <w:sz w:val="18"/>
          <w:szCs w:val="18"/>
          <w:lang w:val="es-ES_tradnl"/>
        </w:rPr>
        <w:t xml:space="preserve">el ejercicio pleno del derecho en comento, generando </w:t>
      </w:r>
      <w:r>
        <w:rPr>
          <w:spacing w:val="-3"/>
          <w:sz w:val="18"/>
          <w:szCs w:val="18"/>
          <w:lang w:val="es-ES_tradnl"/>
        </w:rPr>
        <w:t>una situaci</w:t>
      </w:r>
      <w:r>
        <w:rPr>
          <w:rFonts w:cs="Times New Roman"/>
          <w:spacing w:val="-3"/>
          <w:sz w:val="18"/>
          <w:szCs w:val="18"/>
          <w:lang w:val="es-ES_tradnl"/>
        </w:rPr>
        <w:t>ó</w:t>
      </w:r>
      <w:r>
        <w:rPr>
          <w:spacing w:val="-3"/>
          <w:sz w:val="18"/>
          <w:szCs w:val="18"/>
          <w:lang w:val="es-ES_tradnl"/>
        </w:rPr>
        <w:t>n de incertidumbre e inseguridad. Adem</w:t>
      </w:r>
      <w:r>
        <w:rPr>
          <w:rFonts w:cs="Times New Roman"/>
          <w:spacing w:val="-3"/>
          <w:sz w:val="18"/>
          <w:szCs w:val="18"/>
          <w:lang w:val="es-ES_tradnl"/>
        </w:rPr>
        <w:t>á</w:t>
      </w:r>
      <w:r>
        <w:rPr>
          <w:spacing w:val="-3"/>
          <w:sz w:val="18"/>
          <w:szCs w:val="18"/>
          <w:lang w:val="es-ES_tradnl"/>
        </w:rPr>
        <w:t xml:space="preserve">s, </w:t>
      </w:r>
      <w:r>
        <w:rPr>
          <w:spacing w:val="-6"/>
          <w:sz w:val="18"/>
          <w:szCs w:val="18"/>
          <w:lang w:val="es-ES_tradnl"/>
        </w:rPr>
        <w:t>la redacci</w:t>
      </w:r>
      <w:r>
        <w:rPr>
          <w:rFonts w:cs="Times New Roman"/>
          <w:spacing w:val="-6"/>
          <w:sz w:val="18"/>
          <w:szCs w:val="18"/>
          <w:lang w:val="es-ES_tradnl"/>
        </w:rPr>
        <w:t>ó</w:t>
      </w:r>
      <w:r>
        <w:rPr>
          <w:spacing w:val="-6"/>
          <w:sz w:val="18"/>
          <w:szCs w:val="18"/>
          <w:lang w:val="es-ES_tradnl"/>
        </w:rPr>
        <w:t xml:space="preserve">n de la norma impide que se pueda activar la </w:t>
      </w:r>
      <w:r>
        <w:rPr>
          <w:spacing w:val="-9"/>
          <w:sz w:val="18"/>
          <w:szCs w:val="18"/>
          <w:lang w:val="es-ES_tradnl"/>
        </w:rPr>
        <w:t>garant</w:t>
      </w:r>
      <w:r>
        <w:rPr>
          <w:rFonts w:cs="Times New Roman"/>
          <w:spacing w:val="-9"/>
          <w:sz w:val="18"/>
          <w:szCs w:val="18"/>
          <w:lang w:val="es-ES_tradnl"/>
        </w:rPr>
        <w:t>í</w:t>
      </w:r>
      <w:r>
        <w:rPr>
          <w:spacing w:val="-9"/>
          <w:sz w:val="18"/>
          <w:szCs w:val="18"/>
          <w:lang w:val="es-ES_tradnl"/>
        </w:rPr>
        <w:t>a jurisdiccional de h</w:t>
      </w:r>
      <w:r>
        <w:rPr>
          <w:rFonts w:cs="Times New Roman"/>
          <w:spacing w:val="-9"/>
          <w:sz w:val="18"/>
          <w:szCs w:val="18"/>
          <w:lang w:val="es-ES_tradnl"/>
        </w:rPr>
        <w:t>á</w:t>
      </w:r>
      <w:r>
        <w:rPr>
          <w:spacing w:val="-9"/>
          <w:sz w:val="18"/>
          <w:szCs w:val="18"/>
          <w:lang w:val="es-ES_tradnl"/>
        </w:rPr>
        <w:t>beas data prevista en el art</w:t>
      </w:r>
      <w:r>
        <w:rPr>
          <w:rFonts w:cs="Times New Roman"/>
          <w:spacing w:val="-9"/>
          <w:sz w:val="18"/>
          <w:szCs w:val="18"/>
          <w:lang w:val="es-ES_tradnl"/>
        </w:rPr>
        <w:t>í</w:t>
      </w:r>
      <w:r>
        <w:rPr>
          <w:spacing w:val="-9"/>
          <w:sz w:val="18"/>
          <w:szCs w:val="18"/>
          <w:lang w:val="es-ES_tradnl"/>
        </w:rPr>
        <w:t xml:space="preserve">culo </w:t>
      </w:r>
      <w:r>
        <w:rPr>
          <w:sz w:val="18"/>
          <w:szCs w:val="18"/>
          <w:lang w:val="es-ES_tradnl"/>
        </w:rPr>
        <w:t>92 de la Carta Suprema.</w:t>
      </w:r>
    </w:p>
    <w:p w14:paraId="4F67AC86" w14:textId="77777777" w:rsidR="00591D54" w:rsidRDefault="00591D54">
      <w:pPr>
        <w:shd w:val="clear" w:color="auto" w:fill="FFFFFF"/>
        <w:spacing w:before="197" w:line="216" w:lineRule="exact"/>
        <w:jc w:val="both"/>
      </w:pPr>
      <w:r>
        <w:rPr>
          <w:spacing w:val="-6"/>
          <w:sz w:val="18"/>
          <w:szCs w:val="18"/>
          <w:lang w:val="es-ES_tradnl"/>
        </w:rPr>
        <w:t>En virtud de lo dispuesto en el art</w:t>
      </w:r>
      <w:r>
        <w:rPr>
          <w:rFonts w:cs="Times New Roman"/>
          <w:spacing w:val="-6"/>
          <w:sz w:val="18"/>
          <w:szCs w:val="18"/>
          <w:lang w:val="es-ES_tradnl"/>
        </w:rPr>
        <w:t>í</w:t>
      </w:r>
      <w:r>
        <w:rPr>
          <w:spacing w:val="-6"/>
          <w:sz w:val="18"/>
          <w:szCs w:val="18"/>
          <w:lang w:val="es-ES_tradnl"/>
        </w:rPr>
        <w:t xml:space="preserve">culo 86 numeral 2 literal </w:t>
      </w:r>
      <w:r>
        <w:rPr>
          <w:b/>
          <w:bCs/>
          <w:spacing w:val="-8"/>
          <w:sz w:val="18"/>
          <w:szCs w:val="18"/>
          <w:lang w:val="es-ES_tradnl"/>
        </w:rPr>
        <w:t xml:space="preserve">a </w:t>
      </w:r>
      <w:r>
        <w:rPr>
          <w:spacing w:val="-8"/>
          <w:sz w:val="18"/>
          <w:szCs w:val="18"/>
          <w:lang w:val="es-ES_tradnl"/>
        </w:rPr>
        <w:t>de la Constituci</w:t>
      </w:r>
      <w:r>
        <w:rPr>
          <w:rFonts w:cs="Times New Roman"/>
          <w:spacing w:val="-8"/>
          <w:sz w:val="18"/>
          <w:szCs w:val="18"/>
          <w:lang w:val="es-ES_tradnl"/>
        </w:rPr>
        <w:t>ó</w:t>
      </w:r>
      <w:r>
        <w:rPr>
          <w:spacing w:val="-8"/>
          <w:sz w:val="18"/>
          <w:szCs w:val="18"/>
          <w:lang w:val="es-ES_tradnl"/>
        </w:rPr>
        <w:t>n de la Rep</w:t>
      </w:r>
      <w:r>
        <w:rPr>
          <w:rFonts w:cs="Times New Roman"/>
          <w:spacing w:val="-8"/>
          <w:sz w:val="18"/>
          <w:szCs w:val="18"/>
          <w:lang w:val="es-ES_tradnl"/>
        </w:rPr>
        <w:t>ú</w:t>
      </w:r>
      <w:r>
        <w:rPr>
          <w:spacing w:val="-8"/>
          <w:sz w:val="18"/>
          <w:szCs w:val="18"/>
          <w:lang w:val="es-ES_tradnl"/>
        </w:rPr>
        <w:t>blica, que establece que los procedimientos de las garant</w:t>
      </w:r>
      <w:r>
        <w:rPr>
          <w:rFonts w:cs="Times New Roman"/>
          <w:spacing w:val="-8"/>
          <w:sz w:val="18"/>
          <w:szCs w:val="18"/>
          <w:lang w:val="es-ES_tradnl"/>
        </w:rPr>
        <w:t>í</w:t>
      </w:r>
      <w:r>
        <w:rPr>
          <w:spacing w:val="-8"/>
          <w:sz w:val="18"/>
          <w:szCs w:val="18"/>
          <w:lang w:val="es-ES_tradnl"/>
        </w:rPr>
        <w:t xml:space="preserve">as jurisdiccionales deben ser </w:t>
      </w:r>
      <w:r>
        <w:rPr>
          <w:spacing w:val="-9"/>
          <w:sz w:val="18"/>
          <w:szCs w:val="18"/>
          <w:lang w:val="es-ES_tradnl"/>
        </w:rPr>
        <w:t>r</w:t>
      </w:r>
      <w:r>
        <w:rPr>
          <w:rFonts w:cs="Times New Roman"/>
          <w:spacing w:val="-9"/>
          <w:sz w:val="18"/>
          <w:szCs w:val="18"/>
          <w:lang w:val="es-ES_tradnl"/>
        </w:rPr>
        <w:t>á</w:t>
      </w:r>
      <w:r>
        <w:rPr>
          <w:spacing w:val="-9"/>
          <w:sz w:val="18"/>
          <w:szCs w:val="18"/>
          <w:lang w:val="es-ES_tradnl"/>
        </w:rPr>
        <w:t>pidos, sencillos y eficaces; la ausencia de respuesta de la entidad que tenga a cargo la administraci</w:t>
      </w:r>
      <w:r>
        <w:rPr>
          <w:rFonts w:cs="Times New Roman"/>
          <w:spacing w:val="-9"/>
          <w:sz w:val="18"/>
          <w:szCs w:val="18"/>
          <w:lang w:val="es-ES_tradnl"/>
        </w:rPr>
        <w:t>ó</w:t>
      </w:r>
      <w:r>
        <w:rPr>
          <w:spacing w:val="-9"/>
          <w:sz w:val="18"/>
          <w:szCs w:val="18"/>
          <w:lang w:val="es-ES_tradnl"/>
        </w:rPr>
        <w:t xml:space="preserve">n de los datos de </w:t>
      </w:r>
      <w:r>
        <w:rPr>
          <w:spacing w:val="-6"/>
          <w:sz w:val="18"/>
          <w:szCs w:val="18"/>
          <w:lang w:val="es-ES_tradnl"/>
        </w:rPr>
        <w:t xml:space="preserve">una persona respecto de la solicitud de un titular de esta </w:t>
      </w:r>
      <w:r>
        <w:rPr>
          <w:spacing w:val="-5"/>
          <w:sz w:val="18"/>
          <w:szCs w:val="18"/>
          <w:lang w:val="es-ES_tradnl"/>
        </w:rPr>
        <w:t>informaci</w:t>
      </w:r>
      <w:r>
        <w:rPr>
          <w:rFonts w:cs="Times New Roman"/>
          <w:spacing w:val="-5"/>
          <w:sz w:val="18"/>
          <w:szCs w:val="18"/>
          <w:lang w:val="es-ES_tradnl"/>
        </w:rPr>
        <w:t>ó</w:t>
      </w:r>
      <w:r>
        <w:rPr>
          <w:spacing w:val="-5"/>
          <w:sz w:val="18"/>
          <w:szCs w:val="18"/>
          <w:lang w:val="es-ES_tradnl"/>
        </w:rPr>
        <w:t xml:space="preserve">n debe ser tomada como negativa y por ende, </w:t>
      </w:r>
      <w:r>
        <w:rPr>
          <w:spacing w:val="-9"/>
          <w:sz w:val="18"/>
          <w:szCs w:val="18"/>
          <w:lang w:val="es-ES_tradnl"/>
        </w:rPr>
        <w:t>se enmarcar</w:t>
      </w:r>
      <w:r>
        <w:rPr>
          <w:rFonts w:cs="Times New Roman"/>
          <w:spacing w:val="-9"/>
          <w:sz w:val="18"/>
          <w:szCs w:val="18"/>
          <w:lang w:val="es-ES_tradnl"/>
        </w:rPr>
        <w:t>í</w:t>
      </w:r>
      <w:r>
        <w:rPr>
          <w:spacing w:val="-9"/>
          <w:sz w:val="18"/>
          <w:szCs w:val="18"/>
          <w:lang w:val="es-ES_tradnl"/>
        </w:rPr>
        <w:t xml:space="preserve">a en los supuestos del </w:t>
      </w:r>
      <w:r>
        <w:rPr>
          <w:rFonts w:cs="Times New Roman"/>
          <w:spacing w:val="-9"/>
          <w:sz w:val="18"/>
          <w:szCs w:val="18"/>
          <w:lang w:val="es-ES_tradnl"/>
        </w:rPr>
        <w:t>á</w:t>
      </w:r>
      <w:r>
        <w:rPr>
          <w:spacing w:val="-9"/>
          <w:sz w:val="18"/>
          <w:szCs w:val="18"/>
          <w:lang w:val="es-ES_tradnl"/>
        </w:rPr>
        <w:t xml:space="preserve">mbito de procedencia </w:t>
      </w:r>
      <w:r>
        <w:rPr>
          <w:spacing w:val="-6"/>
          <w:sz w:val="18"/>
          <w:szCs w:val="18"/>
          <w:lang w:val="es-ES_tradnl"/>
        </w:rPr>
        <w:t>de esta garant</w:t>
      </w:r>
      <w:r>
        <w:rPr>
          <w:rFonts w:cs="Times New Roman"/>
          <w:spacing w:val="-6"/>
          <w:sz w:val="18"/>
          <w:szCs w:val="18"/>
          <w:lang w:val="es-ES_tradnl"/>
        </w:rPr>
        <w:t>í</w:t>
      </w:r>
      <w:r>
        <w:rPr>
          <w:spacing w:val="-6"/>
          <w:sz w:val="18"/>
          <w:szCs w:val="18"/>
          <w:lang w:val="es-ES_tradnl"/>
        </w:rPr>
        <w:t xml:space="preserve">a jurisdiccional con la finalidad de que la </w:t>
      </w:r>
      <w:r>
        <w:rPr>
          <w:spacing w:val="-10"/>
          <w:sz w:val="18"/>
          <w:szCs w:val="18"/>
          <w:lang w:val="es-ES_tradnl"/>
        </w:rPr>
        <w:t>garant</w:t>
      </w:r>
      <w:r>
        <w:rPr>
          <w:rFonts w:cs="Times New Roman"/>
          <w:spacing w:val="-10"/>
          <w:sz w:val="18"/>
          <w:szCs w:val="18"/>
          <w:lang w:val="es-ES_tradnl"/>
        </w:rPr>
        <w:t>í</w:t>
      </w:r>
      <w:r>
        <w:rPr>
          <w:spacing w:val="-10"/>
          <w:sz w:val="18"/>
          <w:szCs w:val="18"/>
          <w:lang w:val="es-ES_tradnl"/>
        </w:rPr>
        <w:t>a de h</w:t>
      </w:r>
      <w:r>
        <w:rPr>
          <w:rFonts w:cs="Times New Roman"/>
          <w:spacing w:val="-10"/>
          <w:sz w:val="18"/>
          <w:szCs w:val="18"/>
          <w:lang w:val="es-ES_tradnl"/>
        </w:rPr>
        <w:t>á</w:t>
      </w:r>
      <w:r>
        <w:rPr>
          <w:spacing w:val="-10"/>
          <w:sz w:val="18"/>
          <w:szCs w:val="18"/>
          <w:lang w:val="es-ES_tradnl"/>
        </w:rPr>
        <w:t xml:space="preserve">beas data pueda activarse de manera eficaz, </w:t>
      </w:r>
      <w:r>
        <w:rPr>
          <w:spacing w:val="-7"/>
          <w:sz w:val="18"/>
          <w:szCs w:val="18"/>
          <w:lang w:val="es-ES_tradnl"/>
        </w:rPr>
        <w:t>optimizando el contenido del derecho que esta tutela.</w:t>
      </w:r>
    </w:p>
    <w:p w14:paraId="4F67AC87" w14:textId="77777777" w:rsidR="00591D54" w:rsidRDefault="00591D54">
      <w:pPr>
        <w:shd w:val="clear" w:color="auto" w:fill="FFFFFF"/>
        <w:spacing w:before="192" w:line="216" w:lineRule="exact"/>
        <w:jc w:val="both"/>
      </w:pPr>
      <w:r>
        <w:rPr>
          <w:sz w:val="18"/>
          <w:szCs w:val="18"/>
          <w:lang w:val="es-ES_tradnl"/>
        </w:rPr>
        <w:t>La entidad a cargo de la gesti</w:t>
      </w:r>
      <w:r>
        <w:rPr>
          <w:rFonts w:cs="Times New Roman"/>
          <w:sz w:val="18"/>
          <w:szCs w:val="18"/>
          <w:lang w:val="es-ES_tradnl"/>
        </w:rPr>
        <w:t>ó</w:t>
      </w:r>
      <w:r>
        <w:rPr>
          <w:sz w:val="18"/>
          <w:szCs w:val="18"/>
          <w:lang w:val="es-ES_tradnl"/>
        </w:rPr>
        <w:t>n de la informaci</w:t>
      </w:r>
      <w:r>
        <w:rPr>
          <w:rFonts w:cs="Times New Roman"/>
          <w:sz w:val="18"/>
          <w:szCs w:val="18"/>
          <w:lang w:val="es-ES_tradnl"/>
        </w:rPr>
        <w:t>ó</w:t>
      </w:r>
      <w:r>
        <w:rPr>
          <w:sz w:val="18"/>
          <w:szCs w:val="18"/>
          <w:lang w:val="es-ES_tradnl"/>
        </w:rPr>
        <w:t xml:space="preserve">n </w:t>
      </w:r>
      <w:r>
        <w:rPr>
          <w:spacing w:val="-8"/>
          <w:sz w:val="18"/>
          <w:szCs w:val="18"/>
          <w:lang w:val="es-ES_tradnl"/>
        </w:rPr>
        <w:t>personal deber</w:t>
      </w:r>
      <w:r>
        <w:rPr>
          <w:rFonts w:cs="Times New Roman"/>
          <w:spacing w:val="-8"/>
          <w:sz w:val="18"/>
          <w:szCs w:val="18"/>
          <w:lang w:val="es-ES_tradnl"/>
        </w:rPr>
        <w:t>á</w:t>
      </w:r>
      <w:r>
        <w:rPr>
          <w:spacing w:val="-8"/>
          <w:sz w:val="18"/>
          <w:szCs w:val="18"/>
          <w:lang w:val="es-ES_tradnl"/>
        </w:rPr>
        <w:t xml:space="preserve"> responder a las solicitudes expedidas en </w:t>
      </w:r>
      <w:r>
        <w:rPr>
          <w:spacing w:val="-5"/>
          <w:sz w:val="18"/>
          <w:szCs w:val="18"/>
          <w:lang w:val="es-ES_tradnl"/>
        </w:rPr>
        <w:t>ejercicio del derecho contenido en el art</w:t>
      </w:r>
      <w:r>
        <w:rPr>
          <w:rFonts w:cs="Times New Roman"/>
          <w:spacing w:val="-5"/>
          <w:sz w:val="18"/>
          <w:szCs w:val="18"/>
          <w:lang w:val="es-ES_tradnl"/>
        </w:rPr>
        <w:t>í</w:t>
      </w:r>
      <w:r>
        <w:rPr>
          <w:spacing w:val="-5"/>
          <w:sz w:val="18"/>
          <w:szCs w:val="18"/>
          <w:lang w:val="es-ES_tradnl"/>
        </w:rPr>
        <w:t xml:space="preserve">culo 66 numeral </w:t>
      </w:r>
      <w:r>
        <w:rPr>
          <w:spacing w:val="-6"/>
          <w:sz w:val="18"/>
          <w:szCs w:val="18"/>
          <w:lang w:val="es-ES_tradnl"/>
        </w:rPr>
        <w:t>19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dentro de un plazo </w:t>
      </w:r>
      <w:r>
        <w:rPr>
          <w:spacing w:val="-7"/>
          <w:sz w:val="18"/>
          <w:szCs w:val="18"/>
          <w:lang w:val="es-ES_tradnl"/>
        </w:rPr>
        <w:t xml:space="preserve">razonable que permita el ejercicio </w:t>
      </w:r>
      <w:r>
        <w:rPr>
          <w:rFonts w:cs="Times New Roman"/>
          <w:spacing w:val="-7"/>
          <w:sz w:val="18"/>
          <w:szCs w:val="18"/>
          <w:lang w:val="es-ES_tradnl"/>
        </w:rPr>
        <w:t>ó</w:t>
      </w:r>
      <w:r>
        <w:rPr>
          <w:spacing w:val="-7"/>
          <w:sz w:val="18"/>
          <w:szCs w:val="18"/>
          <w:lang w:val="es-ES_tradnl"/>
        </w:rPr>
        <w:t xml:space="preserve">ptimo de este derecho </w:t>
      </w:r>
      <w:r>
        <w:rPr>
          <w:spacing w:val="-10"/>
          <w:sz w:val="18"/>
          <w:szCs w:val="18"/>
          <w:lang w:val="es-ES_tradnl"/>
        </w:rPr>
        <w:t>constitucional. Este plazo deber</w:t>
      </w:r>
      <w:r>
        <w:rPr>
          <w:rFonts w:cs="Times New Roman"/>
          <w:spacing w:val="-10"/>
          <w:sz w:val="18"/>
          <w:szCs w:val="18"/>
          <w:lang w:val="es-ES_tradnl"/>
        </w:rPr>
        <w:t>á</w:t>
      </w:r>
      <w:r>
        <w:rPr>
          <w:spacing w:val="-10"/>
          <w:sz w:val="18"/>
          <w:szCs w:val="18"/>
          <w:lang w:val="es-ES_tradnl"/>
        </w:rPr>
        <w:t xml:space="preserve"> establecerse de acuerdo a </w:t>
      </w:r>
      <w:r>
        <w:rPr>
          <w:spacing w:val="-4"/>
          <w:sz w:val="18"/>
          <w:szCs w:val="18"/>
          <w:lang w:val="es-ES_tradnl"/>
        </w:rPr>
        <w:t>la cantidad de la informaci</w:t>
      </w:r>
      <w:r>
        <w:rPr>
          <w:rFonts w:cs="Times New Roman"/>
          <w:spacing w:val="-4"/>
          <w:sz w:val="18"/>
          <w:szCs w:val="18"/>
          <w:lang w:val="es-ES_tradnl"/>
        </w:rPr>
        <w:t>ó</w:t>
      </w:r>
      <w:r>
        <w:rPr>
          <w:spacing w:val="-4"/>
          <w:sz w:val="18"/>
          <w:szCs w:val="18"/>
          <w:lang w:val="es-ES_tradnl"/>
        </w:rPr>
        <w:t xml:space="preserve">n requerida, al tipo de pedido </w:t>
      </w:r>
      <w:r>
        <w:rPr>
          <w:spacing w:val="-8"/>
          <w:sz w:val="18"/>
          <w:szCs w:val="18"/>
          <w:lang w:val="es-ES_tradnl"/>
        </w:rPr>
        <w:t>y en atenci</w:t>
      </w:r>
      <w:r>
        <w:rPr>
          <w:rFonts w:cs="Times New Roman"/>
          <w:spacing w:val="-8"/>
          <w:sz w:val="18"/>
          <w:szCs w:val="18"/>
          <w:lang w:val="es-ES_tradnl"/>
        </w:rPr>
        <w:t>ó</w:t>
      </w:r>
      <w:r>
        <w:rPr>
          <w:spacing w:val="-8"/>
          <w:sz w:val="18"/>
          <w:szCs w:val="18"/>
          <w:lang w:val="es-ES_tradnl"/>
        </w:rPr>
        <w:t xml:space="preserve">n a la propia conducta de la persona natural o </w:t>
      </w:r>
      <w:r>
        <w:rPr>
          <w:spacing w:val="-6"/>
          <w:sz w:val="18"/>
          <w:szCs w:val="18"/>
          <w:lang w:val="es-ES_tradnl"/>
        </w:rPr>
        <w:t>jur</w:t>
      </w:r>
      <w:r>
        <w:rPr>
          <w:rFonts w:cs="Times New Roman"/>
          <w:spacing w:val="-6"/>
          <w:sz w:val="18"/>
          <w:szCs w:val="18"/>
          <w:lang w:val="es-ES_tradnl"/>
        </w:rPr>
        <w:t>í</w:t>
      </w:r>
      <w:r>
        <w:rPr>
          <w:spacing w:val="-6"/>
          <w:sz w:val="18"/>
          <w:szCs w:val="18"/>
          <w:lang w:val="es-ES_tradnl"/>
        </w:rPr>
        <w:t>dica p</w:t>
      </w:r>
      <w:r>
        <w:rPr>
          <w:rFonts w:cs="Times New Roman"/>
          <w:spacing w:val="-6"/>
          <w:sz w:val="18"/>
          <w:szCs w:val="18"/>
          <w:lang w:val="es-ES_tradnl"/>
        </w:rPr>
        <w:t>ú</w:t>
      </w:r>
      <w:r>
        <w:rPr>
          <w:spacing w:val="-6"/>
          <w:sz w:val="18"/>
          <w:szCs w:val="18"/>
          <w:lang w:val="es-ES_tradnl"/>
        </w:rPr>
        <w:t>blica o privada que posea la administraci</w:t>
      </w:r>
      <w:r>
        <w:rPr>
          <w:rFonts w:cs="Times New Roman"/>
          <w:spacing w:val="-6"/>
          <w:sz w:val="18"/>
          <w:szCs w:val="18"/>
          <w:lang w:val="es-ES_tradnl"/>
        </w:rPr>
        <w:t>ó</w:t>
      </w:r>
      <w:r>
        <w:rPr>
          <w:spacing w:val="-6"/>
          <w:sz w:val="18"/>
          <w:szCs w:val="18"/>
          <w:lang w:val="es-ES_tradnl"/>
        </w:rPr>
        <w:t xml:space="preserve">n de </w:t>
      </w:r>
      <w:r>
        <w:rPr>
          <w:sz w:val="18"/>
          <w:szCs w:val="18"/>
          <w:lang w:val="es-ES_tradnl"/>
        </w:rPr>
        <w:t>los datos requeridos.</w:t>
      </w:r>
    </w:p>
    <w:p w14:paraId="4F67AC88" w14:textId="77777777" w:rsidR="00591D54" w:rsidRDefault="00591D54">
      <w:pPr>
        <w:shd w:val="clear" w:color="auto" w:fill="FFFFFF"/>
        <w:spacing w:before="192" w:line="216" w:lineRule="exact"/>
        <w:jc w:val="both"/>
      </w:pPr>
      <w:r>
        <w:rPr>
          <w:spacing w:val="-7"/>
          <w:sz w:val="18"/>
          <w:szCs w:val="18"/>
          <w:lang w:val="es-ES_tradnl"/>
        </w:rPr>
        <w:t>En virtud de todo el an</w:t>
      </w:r>
      <w:r>
        <w:rPr>
          <w:rFonts w:cs="Times New Roman"/>
          <w:spacing w:val="-7"/>
          <w:sz w:val="18"/>
          <w:szCs w:val="18"/>
          <w:lang w:val="es-ES_tradnl"/>
        </w:rPr>
        <w:t>á</w:t>
      </w:r>
      <w:r>
        <w:rPr>
          <w:spacing w:val="-7"/>
          <w:sz w:val="18"/>
          <w:szCs w:val="18"/>
          <w:lang w:val="es-ES_tradnl"/>
        </w:rPr>
        <w:t xml:space="preserve">lisis efectuado </w:t>
      </w:r>
      <w:r>
        <w:rPr>
          <w:i/>
          <w:iCs/>
          <w:spacing w:val="-7"/>
          <w:sz w:val="18"/>
          <w:szCs w:val="18"/>
          <w:lang w:val="es-ES_tradnl"/>
        </w:rPr>
        <w:t xml:space="preserve">ut supra </w:t>
      </w:r>
      <w:r>
        <w:rPr>
          <w:spacing w:val="-7"/>
          <w:sz w:val="18"/>
          <w:szCs w:val="18"/>
          <w:lang w:val="es-ES_tradnl"/>
        </w:rPr>
        <w:t xml:space="preserve">esta Corte </w:t>
      </w:r>
      <w:r>
        <w:rPr>
          <w:spacing w:val="-3"/>
          <w:sz w:val="18"/>
          <w:szCs w:val="18"/>
          <w:lang w:val="es-ES_tradnl"/>
        </w:rPr>
        <w:t xml:space="preserve">Constitucional en ejercicio de las facultades conferidas </w:t>
      </w:r>
      <w:r>
        <w:rPr>
          <w:spacing w:val="-4"/>
          <w:sz w:val="18"/>
          <w:szCs w:val="18"/>
          <w:lang w:val="es-ES_tradnl"/>
        </w:rPr>
        <w:t>en el art</w:t>
      </w:r>
      <w:r>
        <w:rPr>
          <w:rFonts w:cs="Times New Roman"/>
          <w:spacing w:val="-4"/>
          <w:sz w:val="18"/>
          <w:szCs w:val="18"/>
          <w:lang w:val="es-ES_tradnl"/>
        </w:rPr>
        <w:t>í</w:t>
      </w:r>
      <w:r>
        <w:rPr>
          <w:spacing w:val="-4"/>
          <w:sz w:val="18"/>
          <w:szCs w:val="18"/>
          <w:lang w:val="es-ES_tradnl"/>
        </w:rPr>
        <w:t>culo 436 numerales 1 y 3 de la Constituci</w:t>
      </w:r>
      <w:r>
        <w:rPr>
          <w:rFonts w:cs="Times New Roman"/>
          <w:spacing w:val="-4"/>
          <w:sz w:val="18"/>
          <w:szCs w:val="18"/>
          <w:lang w:val="es-ES_tradnl"/>
        </w:rPr>
        <w:t>ó</w:t>
      </w:r>
      <w:r>
        <w:rPr>
          <w:spacing w:val="-4"/>
          <w:sz w:val="18"/>
          <w:szCs w:val="18"/>
          <w:lang w:val="es-ES_tradnl"/>
        </w:rPr>
        <w:t xml:space="preserve">n de </w:t>
      </w:r>
      <w:r>
        <w:rPr>
          <w:spacing w:val="-6"/>
          <w:sz w:val="18"/>
          <w:szCs w:val="18"/>
          <w:lang w:val="es-ES_tradnl"/>
        </w:rPr>
        <w:t>la Rep</w:t>
      </w:r>
      <w:r>
        <w:rPr>
          <w:rFonts w:cs="Times New Roman"/>
          <w:spacing w:val="-6"/>
          <w:sz w:val="18"/>
          <w:szCs w:val="18"/>
          <w:lang w:val="es-ES_tradnl"/>
        </w:rPr>
        <w:t>ú</w:t>
      </w:r>
      <w:r>
        <w:rPr>
          <w:spacing w:val="-6"/>
          <w:sz w:val="18"/>
          <w:szCs w:val="18"/>
          <w:lang w:val="es-ES_tradnl"/>
        </w:rPr>
        <w:t xml:space="preserve">blica, procede a interpretar condicionadamente y con efectos </w:t>
      </w:r>
      <w:r>
        <w:rPr>
          <w:i/>
          <w:iCs/>
          <w:spacing w:val="-6"/>
          <w:sz w:val="18"/>
          <w:szCs w:val="18"/>
          <w:lang w:val="es-ES_tradnl"/>
        </w:rPr>
        <w:t xml:space="preserve">erga omnes </w:t>
      </w:r>
      <w:r>
        <w:rPr>
          <w:spacing w:val="-6"/>
          <w:sz w:val="18"/>
          <w:szCs w:val="18"/>
          <w:lang w:val="es-ES_tradnl"/>
        </w:rPr>
        <w:t>el art</w:t>
      </w:r>
      <w:r>
        <w:rPr>
          <w:rFonts w:cs="Times New Roman"/>
          <w:spacing w:val="-6"/>
          <w:sz w:val="18"/>
          <w:szCs w:val="18"/>
          <w:lang w:val="es-ES_tradnl"/>
        </w:rPr>
        <w:t>í</w:t>
      </w:r>
      <w:r>
        <w:rPr>
          <w:spacing w:val="-6"/>
          <w:sz w:val="18"/>
          <w:szCs w:val="18"/>
          <w:lang w:val="es-ES_tradnl"/>
        </w:rPr>
        <w:t>culo 50 de la Ley Org</w:t>
      </w:r>
      <w:r>
        <w:rPr>
          <w:rFonts w:cs="Times New Roman"/>
          <w:spacing w:val="-6"/>
          <w:sz w:val="18"/>
          <w:szCs w:val="18"/>
          <w:lang w:val="es-ES_tradnl"/>
        </w:rPr>
        <w:t>á</w:t>
      </w:r>
      <w:r>
        <w:rPr>
          <w:spacing w:val="-6"/>
          <w:sz w:val="18"/>
          <w:szCs w:val="18"/>
          <w:lang w:val="es-ES_tradnl"/>
        </w:rPr>
        <w:t xml:space="preserve">nica </w:t>
      </w:r>
      <w:r>
        <w:rPr>
          <w:spacing w:val="-7"/>
          <w:sz w:val="18"/>
          <w:szCs w:val="18"/>
          <w:lang w:val="es-ES_tradnl"/>
        </w:rPr>
        <w:t>de Garant</w:t>
      </w:r>
      <w:r>
        <w:rPr>
          <w:rFonts w:cs="Times New Roman"/>
          <w:spacing w:val="-7"/>
          <w:sz w:val="18"/>
          <w:szCs w:val="18"/>
          <w:lang w:val="es-ES_tradnl"/>
        </w:rPr>
        <w:t>í</w:t>
      </w:r>
      <w:r>
        <w:rPr>
          <w:spacing w:val="-7"/>
          <w:sz w:val="18"/>
          <w:szCs w:val="18"/>
          <w:lang w:val="es-ES_tradnl"/>
        </w:rPr>
        <w:t xml:space="preserve">as Jurisdiccionales y Control Constitucional en </w:t>
      </w:r>
      <w:r>
        <w:rPr>
          <w:spacing w:val="-10"/>
          <w:sz w:val="18"/>
          <w:szCs w:val="18"/>
          <w:lang w:val="es-ES_tradnl"/>
        </w:rPr>
        <w:t>consecuencia, se deber</w:t>
      </w:r>
      <w:r>
        <w:rPr>
          <w:rFonts w:cs="Times New Roman"/>
          <w:spacing w:val="-10"/>
          <w:sz w:val="18"/>
          <w:szCs w:val="18"/>
          <w:lang w:val="es-ES_tradnl"/>
        </w:rPr>
        <w:t>á</w:t>
      </w:r>
      <w:r>
        <w:rPr>
          <w:spacing w:val="-10"/>
          <w:sz w:val="18"/>
          <w:szCs w:val="18"/>
          <w:lang w:val="es-ES_tradnl"/>
        </w:rPr>
        <w:t xml:space="preserve"> entender de la siguiente manera:</w:t>
      </w:r>
    </w:p>
    <w:p w14:paraId="4F67AC89" w14:textId="77777777" w:rsidR="00591D54" w:rsidRDefault="00591D54">
      <w:pPr>
        <w:shd w:val="clear" w:color="auto" w:fill="FFFFFF"/>
        <w:spacing w:before="202" w:line="216" w:lineRule="exact"/>
        <w:ind w:left="283"/>
        <w:jc w:val="both"/>
      </w:pPr>
      <w:r>
        <w:rPr>
          <w:sz w:val="14"/>
          <w:szCs w:val="14"/>
          <w:lang w:val="es-ES_tradnl"/>
        </w:rPr>
        <w:t>La persona natural o jur</w:t>
      </w:r>
      <w:r>
        <w:rPr>
          <w:rFonts w:cs="Times New Roman"/>
          <w:sz w:val="14"/>
          <w:szCs w:val="14"/>
          <w:lang w:val="es-ES_tradnl"/>
        </w:rPr>
        <w:t>í</w:t>
      </w:r>
      <w:r>
        <w:rPr>
          <w:sz w:val="14"/>
          <w:szCs w:val="14"/>
          <w:lang w:val="es-ES_tradnl"/>
        </w:rPr>
        <w:t>dica p</w:t>
      </w:r>
      <w:r>
        <w:rPr>
          <w:rFonts w:cs="Times New Roman"/>
          <w:sz w:val="14"/>
          <w:szCs w:val="14"/>
          <w:lang w:val="es-ES_tradnl"/>
        </w:rPr>
        <w:t>ú</w:t>
      </w:r>
      <w:r>
        <w:rPr>
          <w:sz w:val="14"/>
          <w:szCs w:val="14"/>
          <w:lang w:val="es-ES_tradnl"/>
        </w:rPr>
        <w:t>blica o privada requerida deber</w:t>
      </w:r>
      <w:r>
        <w:rPr>
          <w:rFonts w:cs="Times New Roman"/>
          <w:sz w:val="14"/>
          <w:szCs w:val="14"/>
          <w:lang w:val="es-ES_tradnl"/>
        </w:rPr>
        <w:t>á</w:t>
      </w:r>
      <w:r>
        <w:rPr>
          <w:sz w:val="14"/>
          <w:szCs w:val="14"/>
          <w:lang w:val="es-ES_tradnl"/>
        </w:rPr>
        <w:t xml:space="preserve"> responder a la solicitud efectuada por el titular de la informaci</w:t>
      </w:r>
      <w:r>
        <w:rPr>
          <w:rFonts w:cs="Times New Roman"/>
          <w:sz w:val="14"/>
          <w:szCs w:val="14"/>
          <w:lang w:val="es-ES_tradnl"/>
        </w:rPr>
        <w:t>ó</w:t>
      </w:r>
      <w:r>
        <w:rPr>
          <w:sz w:val="14"/>
          <w:szCs w:val="14"/>
          <w:lang w:val="es-ES_tradnl"/>
        </w:rPr>
        <w:t>n personal en un plazo razonable que permita de mejor manera la satisfacci</w:t>
      </w:r>
      <w:r>
        <w:rPr>
          <w:rFonts w:cs="Times New Roman"/>
          <w:sz w:val="14"/>
          <w:szCs w:val="14"/>
          <w:lang w:val="es-ES_tradnl"/>
        </w:rPr>
        <w:t>ó</w:t>
      </w:r>
      <w:r>
        <w:rPr>
          <w:sz w:val="14"/>
          <w:szCs w:val="14"/>
          <w:lang w:val="es-ES_tradnl"/>
        </w:rPr>
        <w:t>n del derecho, que depender</w:t>
      </w:r>
      <w:r>
        <w:rPr>
          <w:rFonts w:cs="Times New Roman"/>
          <w:sz w:val="14"/>
          <w:szCs w:val="14"/>
          <w:lang w:val="es-ES_tradnl"/>
        </w:rPr>
        <w:t>á</w:t>
      </w:r>
      <w:r>
        <w:rPr>
          <w:sz w:val="14"/>
          <w:szCs w:val="14"/>
          <w:lang w:val="es-ES_tradnl"/>
        </w:rPr>
        <w:t xml:space="preserve"> de la cantidad de la informaci</w:t>
      </w:r>
      <w:r>
        <w:rPr>
          <w:rFonts w:cs="Times New Roman"/>
          <w:sz w:val="14"/>
          <w:szCs w:val="14"/>
          <w:lang w:val="es-ES_tradnl"/>
        </w:rPr>
        <w:t>ó</w:t>
      </w:r>
      <w:r>
        <w:rPr>
          <w:sz w:val="14"/>
          <w:szCs w:val="14"/>
          <w:lang w:val="es-ES_tradnl"/>
        </w:rPr>
        <w:t>n requerida, del tipo de pedido y de la propia conducta de la persona natural o jur</w:t>
      </w:r>
      <w:r>
        <w:rPr>
          <w:rFonts w:cs="Times New Roman"/>
          <w:sz w:val="14"/>
          <w:szCs w:val="14"/>
          <w:lang w:val="es-ES_tradnl"/>
        </w:rPr>
        <w:t>í</w:t>
      </w:r>
      <w:r>
        <w:rPr>
          <w:sz w:val="14"/>
          <w:szCs w:val="14"/>
          <w:lang w:val="es-ES_tradnl"/>
        </w:rPr>
        <w:t>dica p</w:t>
      </w:r>
      <w:r>
        <w:rPr>
          <w:rFonts w:cs="Times New Roman"/>
          <w:sz w:val="14"/>
          <w:szCs w:val="14"/>
          <w:lang w:val="es-ES_tradnl"/>
        </w:rPr>
        <w:t>ú</w:t>
      </w:r>
      <w:r>
        <w:rPr>
          <w:sz w:val="14"/>
          <w:szCs w:val="14"/>
          <w:lang w:val="es-ES_tradnl"/>
        </w:rPr>
        <w:t>blica o privada que posea la administraci</w:t>
      </w:r>
      <w:r>
        <w:rPr>
          <w:rFonts w:cs="Times New Roman"/>
          <w:sz w:val="14"/>
          <w:szCs w:val="14"/>
          <w:lang w:val="es-ES_tradnl"/>
        </w:rPr>
        <w:t>ó</w:t>
      </w:r>
      <w:r>
        <w:rPr>
          <w:sz w:val="14"/>
          <w:szCs w:val="14"/>
          <w:lang w:val="es-ES_tradnl"/>
        </w:rPr>
        <w:t>n de los datos requeridos.</w:t>
      </w:r>
    </w:p>
    <w:p w14:paraId="4F67AC8A" w14:textId="77777777" w:rsidR="00591D54" w:rsidRDefault="00591D54">
      <w:pPr>
        <w:shd w:val="clear" w:color="auto" w:fill="FFFFFF"/>
        <w:spacing w:before="211" w:line="216" w:lineRule="exact"/>
        <w:ind w:left="283"/>
        <w:jc w:val="both"/>
      </w:pPr>
      <w:r>
        <w:rPr>
          <w:sz w:val="14"/>
          <w:szCs w:val="14"/>
          <w:lang w:val="es-ES_tradnl"/>
        </w:rPr>
        <w:t>La calificaci</w:t>
      </w:r>
      <w:r>
        <w:rPr>
          <w:rFonts w:cs="Times New Roman"/>
          <w:sz w:val="14"/>
          <w:szCs w:val="14"/>
          <w:lang w:val="es-ES_tradnl"/>
        </w:rPr>
        <w:t>ó</w:t>
      </w:r>
      <w:r>
        <w:rPr>
          <w:sz w:val="14"/>
          <w:szCs w:val="14"/>
          <w:lang w:val="es-ES_tradnl"/>
        </w:rPr>
        <w:t>n de la razonabilidad de este plazo deber</w:t>
      </w:r>
      <w:r>
        <w:rPr>
          <w:rFonts w:cs="Times New Roman"/>
          <w:sz w:val="14"/>
          <w:szCs w:val="14"/>
          <w:lang w:val="es-ES_tradnl"/>
        </w:rPr>
        <w:t>á</w:t>
      </w:r>
      <w:r>
        <w:rPr>
          <w:sz w:val="14"/>
          <w:szCs w:val="14"/>
          <w:lang w:val="es-ES_tradnl"/>
        </w:rPr>
        <w:t xml:space="preserve"> ser realizada por el juez competente en la acci</w:t>
      </w:r>
      <w:r>
        <w:rPr>
          <w:rFonts w:cs="Times New Roman"/>
          <w:sz w:val="14"/>
          <w:szCs w:val="14"/>
          <w:lang w:val="es-ES_tradnl"/>
        </w:rPr>
        <w:t>ó</w:t>
      </w:r>
      <w:r>
        <w:rPr>
          <w:sz w:val="14"/>
          <w:szCs w:val="14"/>
          <w:lang w:val="es-ES_tradnl"/>
        </w:rPr>
        <w:t>n de H</w:t>
      </w:r>
      <w:r>
        <w:rPr>
          <w:rFonts w:cs="Times New Roman"/>
          <w:sz w:val="14"/>
          <w:szCs w:val="14"/>
          <w:lang w:val="es-ES_tradnl"/>
        </w:rPr>
        <w:t>á</w:t>
      </w:r>
      <w:r>
        <w:rPr>
          <w:sz w:val="14"/>
          <w:szCs w:val="14"/>
          <w:lang w:val="es-ES_tradnl"/>
        </w:rPr>
        <w:t>beas Data, al momento de la calificaci</w:t>
      </w:r>
      <w:r>
        <w:rPr>
          <w:rFonts w:cs="Times New Roman"/>
          <w:sz w:val="14"/>
          <w:szCs w:val="14"/>
          <w:lang w:val="es-ES_tradnl"/>
        </w:rPr>
        <w:t>ó</w:t>
      </w:r>
      <w:r>
        <w:rPr>
          <w:sz w:val="14"/>
          <w:szCs w:val="14"/>
          <w:lang w:val="es-ES_tradnl"/>
        </w:rPr>
        <w:t>n de la demanda de esta garant</w:t>
      </w:r>
      <w:r>
        <w:rPr>
          <w:rFonts w:cs="Times New Roman"/>
          <w:sz w:val="14"/>
          <w:szCs w:val="14"/>
          <w:lang w:val="es-ES_tradnl"/>
        </w:rPr>
        <w:t>í</w:t>
      </w:r>
      <w:r>
        <w:rPr>
          <w:sz w:val="14"/>
          <w:szCs w:val="14"/>
          <w:lang w:val="es-ES_tradnl"/>
        </w:rPr>
        <w:t>a jurisdiccional.</w:t>
      </w:r>
    </w:p>
    <w:p w14:paraId="4F67AC8B" w14:textId="77777777" w:rsidR="00591D54" w:rsidRDefault="00591D54">
      <w:pPr>
        <w:shd w:val="clear" w:color="auto" w:fill="FFFFFF"/>
        <w:spacing w:before="211" w:line="216" w:lineRule="exact"/>
        <w:ind w:left="283"/>
        <w:jc w:val="both"/>
      </w:pPr>
      <w:r>
        <w:rPr>
          <w:sz w:val="14"/>
          <w:szCs w:val="14"/>
          <w:lang w:val="es-ES_tradnl"/>
        </w:rPr>
        <w:t>La falta de contestaci</w:t>
      </w:r>
      <w:r>
        <w:rPr>
          <w:rFonts w:cs="Times New Roman"/>
          <w:sz w:val="14"/>
          <w:szCs w:val="14"/>
          <w:lang w:val="es-ES_tradnl"/>
        </w:rPr>
        <w:t>ó</w:t>
      </w:r>
      <w:r>
        <w:rPr>
          <w:sz w:val="14"/>
          <w:szCs w:val="14"/>
          <w:lang w:val="es-ES_tradnl"/>
        </w:rPr>
        <w:t>n de la persona natural o jur</w:t>
      </w:r>
      <w:r>
        <w:rPr>
          <w:rFonts w:cs="Times New Roman"/>
          <w:sz w:val="14"/>
          <w:szCs w:val="14"/>
          <w:lang w:val="es-ES_tradnl"/>
        </w:rPr>
        <w:t>í</w:t>
      </w:r>
      <w:r>
        <w:rPr>
          <w:sz w:val="14"/>
          <w:szCs w:val="14"/>
          <w:lang w:val="es-ES_tradnl"/>
        </w:rPr>
        <w:t>dica p</w:t>
      </w:r>
      <w:r>
        <w:rPr>
          <w:rFonts w:cs="Times New Roman"/>
          <w:sz w:val="14"/>
          <w:szCs w:val="14"/>
          <w:lang w:val="es-ES_tradnl"/>
        </w:rPr>
        <w:t>ú</w:t>
      </w:r>
      <w:r>
        <w:rPr>
          <w:sz w:val="14"/>
          <w:szCs w:val="14"/>
          <w:lang w:val="es-ES_tradnl"/>
        </w:rPr>
        <w:t>blica o privada que tenga bajo su administraci</w:t>
      </w:r>
      <w:r>
        <w:rPr>
          <w:rFonts w:cs="Times New Roman"/>
          <w:sz w:val="14"/>
          <w:szCs w:val="14"/>
          <w:lang w:val="es-ES_tradnl"/>
        </w:rPr>
        <w:t>ó</w:t>
      </w:r>
      <w:r>
        <w:rPr>
          <w:sz w:val="14"/>
          <w:szCs w:val="14"/>
          <w:lang w:val="es-ES_tradnl"/>
        </w:rPr>
        <w:t>n los datos de una persona, sobre la solicitud que su titular efect</w:t>
      </w:r>
      <w:r>
        <w:rPr>
          <w:rFonts w:cs="Times New Roman"/>
          <w:sz w:val="14"/>
          <w:szCs w:val="14"/>
          <w:lang w:val="es-ES_tradnl"/>
        </w:rPr>
        <w:t>ú</w:t>
      </w:r>
      <w:r>
        <w:rPr>
          <w:sz w:val="14"/>
          <w:szCs w:val="14"/>
          <w:lang w:val="es-ES_tradnl"/>
        </w:rPr>
        <w:t>e respecto del acceso a los documentos, datos gen</w:t>
      </w:r>
      <w:r>
        <w:rPr>
          <w:rFonts w:cs="Times New Roman"/>
          <w:sz w:val="14"/>
          <w:szCs w:val="14"/>
          <w:lang w:val="es-ES_tradnl"/>
        </w:rPr>
        <w:t>é</w:t>
      </w:r>
      <w:r>
        <w:rPr>
          <w:sz w:val="14"/>
          <w:szCs w:val="14"/>
          <w:lang w:val="es-ES_tradnl"/>
        </w:rPr>
        <w:t>ticos, bancos o archivos</w:t>
      </w:r>
    </w:p>
    <w:p w14:paraId="4F67AC8C" w14:textId="77777777" w:rsidR="00591D54" w:rsidRDefault="00591D54">
      <w:pPr>
        <w:shd w:val="clear" w:color="auto" w:fill="FFFFFF"/>
        <w:spacing w:before="211" w:line="216" w:lineRule="exact"/>
        <w:ind w:left="283"/>
        <w:jc w:val="both"/>
        <w:sectPr w:rsidR="00591D54">
          <w:type w:val="continuous"/>
          <w:pgSz w:w="11909" w:h="16834"/>
          <w:pgMar w:top="1359" w:right="1309" w:bottom="360" w:left="1308" w:header="720" w:footer="720" w:gutter="0"/>
          <w:cols w:num="2" w:space="720" w:equalWidth="0">
            <w:col w:w="4305" w:space="682"/>
            <w:col w:w="4305"/>
          </w:cols>
          <w:noEndnote/>
        </w:sectPr>
      </w:pPr>
    </w:p>
    <w:p w14:paraId="4F67AC8D" w14:textId="77777777" w:rsidR="00591D54" w:rsidRDefault="00591D54">
      <w:pPr>
        <w:shd w:val="clear" w:color="auto" w:fill="FFFFFF"/>
        <w:tabs>
          <w:tab w:val="left" w:pos="5866"/>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- 111</w:t>
      </w:r>
    </w:p>
    <w:p w14:paraId="4F67AC8E" w14:textId="77777777" w:rsidR="00591D54" w:rsidRDefault="00591D54">
      <w:pPr>
        <w:shd w:val="clear" w:color="auto" w:fill="FFFFFF"/>
        <w:tabs>
          <w:tab w:val="left" w:pos="5866"/>
        </w:tabs>
        <w:spacing w:after="230"/>
        <w:ind w:left="5"/>
        <w:sectPr w:rsidR="00591D54">
          <w:pgSz w:w="11909" w:h="16834"/>
          <w:pgMar w:top="1373" w:right="1304" w:bottom="360" w:left="1308" w:header="720" w:footer="720" w:gutter="0"/>
          <w:cols w:space="60"/>
          <w:noEndnote/>
        </w:sectPr>
      </w:pPr>
    </w:p>
    <w:p w14:paraId="4F67AC8F" w14:textId="77777777" w:rsidR="00591D54" w:rsidRDefault="00591D54">
      <w:pPr>
        <w:shd w:val="clear" w:color="auto" w:fill="FFFFFF"/>
        <w:spacing w:line="216" w:lineRule="exact"/>
        <w:ind w:left="283"/>
        <w:jc w:val="both"/>
      </w:pPr>
      <w:r>
        <w:rPr>
          <w:spacing w:val="-7"/>
          <w:sz w:val="16"/>
          <w:szCs w:val="16"/>
          <w:lang w:val="es-ES_tradnl"/>
        </w:rPr>
        <w:t xml:space="preserve">de datos personales e informes en poder de </w:t>
      </w:r>
      <w:r>
        <w:rPr>
          <w:rFonts w:cs="Times New Roman"/>
          <w:spacing w:val="-7"/>
          <w:sz w:val="16"/>
          <w:szCs w:val="16"/>
          <w:lang w:val="es-ES_tradnl"/>
        </w:rPr>
        <w:t>é</w:t>
      </w:r>
      <w:r>
        <w:rPr>
          <w:spacing w:val="-7"/>
          <w:sz w:val="16"/>
          <w:szCs w:val="16"/>
          <w:lang w:val="es-ES_tradnl"/>
        </w:rPr>
        <w:t xml:space="preserve">stas, o respecto </w:t>
      </w:r>
      <w:r>
        <w:rPr>
          <w:spacing w:val="-4"/>
          <w:sz w:val="16"/>
          <w:szCs w:val="16"/>
          <w:lang w:val="es-ES_tradnl"/>
        </w:rPr>
        <w:t>de la solicitud de actualizaci</w:t>
      </w:r>
      <w:r>
        <w:rPr>
          <w:rFonts w:cs="Times New Roman"/>
          <w:spacing w:val="-4"/>
          <w:sz w:val="16"/>
          <w:szCs w:val="16"/>
          <w:lang w:val="es-ES_tradnl"/>
        </w:rPr>
        <w:t>ó</w:t>
      </w:r>
      <w:r>
        <w:rPr>
          <w:spacing w:val="-4"/>
          <w:sz w:val="16"/>
          <w:szCs w:val="16"/>
          <w:lang w:val="es-ES_tradnl"/>
        </w:rPr>
        <w:t>n, rectificaci</w:t>
      </w:r>
      <w:r>
        <w:rPr>
          <w:rFonts w:cs="Times New Roman"/>
          <w:spacing w:val="-4"/>
          <w:sz w:val="16"/>
          <w:szCs w:val="16"/>
          <w:lang w:val="es-ES_tradnl"/>
        </w:rPr>
        <w:t>ó</w:t>
      </w:r>
      <w:r>
        <w:rPr>
          <w:spacing w:val="-4"/>
          <w:sz w:val="16"/>
          <w:szCs w:val="16"/>
          <w:lang w:val="es-ES_tradnl"/>
        </w:rPr>
        <w:t>n, eliminaci</w:t>
      </w:r>
      <w:r>
        <w:rPr>
          <w:rFonts w:cs="Times New Roman"/>
          <w:spacing w:val="-4"/>
          <w:sz w:val="16"/>
          <w:szCs w:val="16"/>
          <w:lang w:val="es-ES_tradnl"/>
        </w:rPr>
        <w:t>ó</w:t>
      </w:r>
      <w:r>
        <w:rPr>
          <w:spacing w:val="-4"/>
          <w:sz w:val="16"/>
          <w:szCs w:val="16"/>
          <w:lang w:val="es-ES_tradnl"/>
        </w:rPr>
        <w:t xml:space="preserve">n o </w:t>
      </w:r>
      <w:r>
        <w:rPr>
          <w:spacing w:val="-9"/>
          <w:sz w:val="16"/>
          <w:szCs w:val="16"/>
          <w:lang w:val="es-ES_tradnl"/>
        </w:rPr>
        <w:t>anulaci</w:t>
      </w:r>
      <w:r>
        <w:rPr>
          <w:rFonts w:cs="Times New Roman"/>
          <w:spacing w:val="-9"/>
          <w:sz w:val="16"/>
          <w:szCs w:val="16"/>
          <w:lang w:val="es-ES_tradnl"/>
        </w:rPr>
        <w:t>ó</w:t>
      </w:r>
      <w:r>
        <w:rPr>
          <w:spacing w:val="-9"/>
          <w:sz w:val="16"/>
          <w:szCs w:val="16"/>
          <w:lang w:val="es-ES_tradnl"/>
        </w:rPr>
        <w:t>n de datos que fueren err</w:t>
      </w:r>
      <w:r>
        <w:rPr>
          <w:rFonts w:cs="Times New Roman"/>
          <w:spacing w:val="-9"/>
          <w:sz w:val="16"/>
          <w:szCs w:val="16"/>
          <w:lang w:val="es-ES_tradnl"/>
        </w:rPr>
        <w:t>ó</w:t>
      </w:r>
      <w:r>
        <w:rPr>
          <w:spacing w:val="-9"/>
          <w:sz w:val="16"/>
          <w:szCs w:val="16"/>
          <w:lang w:val="es-ES_tradnl"/>
        </w:rPr>
        <w:t xml:space="preserve">neos o afecten los derechos </w:t>
      </w:r>
      <w:r>
        <w:rPr>
          <w:spacing w:val="-2"/>
          <w:sz w:val="16"/>
          <w:szCs w:val="16"/>
          <w:lang w:val="es-ES_tradnl"/>
        </w:rPr>
        <w:t>de estos titulares, ser</w:t>
      </w:r>
      <w:r>
        <w:rPr>
          <w:rFonts w:cs="Times New Roman"/>
          <w:spacing w:val="-2"/>
          <w:sz w:val="16"/>
          <w:szCs w:val="16"/>
          <w:lang w:val="es-ES_tradnl"/>
        </w:rPr>
        <w:t>á</w:t>
      </w:r>
      <w:r>
        <w:rPr>
          <w:spacing w:val="-2"/>
          <w:sz w:val="16"/>
          <w:szCs w:val="16"/>
          <w:lang w:val="es-ES_tradnl"/>
        </w:rPr>
        <w:t xml:space="preserve"> considerada como negativa t</w:t>
      </w:r>
      <w:r>
        <w:rPr>
          <w:rFonts w:cs="Times New Roman"/>
          <w:spacing w:val="-2"/>
          <w:sz w:val="16"/>
          <w:szCs w:val="16"/>
          <w:lang w:val="es-ES_tradnl"/>
        </w:rPr>
        <w:t>á</w:t>
      </w:r>
      <w:r>
        <w:rPr>
          <w:spacing w:val="-2"/>
          <w:sz w:val="16"/>
          <w:szCs w:val="16"/>
          <w:lang w:val="es-ES_tradnl"/>
        </w:rPr>
        <w:t xml:space="preserve">cita </w:t>
      </w:r>
      <w:r>
        <w:rPr>
          <w:spacing w:val="-8"/>
          <w:sz w:val="16"/>
          <w:szCs w:val="16"/>
          <w:lang w:val="es-ES_tradnl"/>
        </w:rPr>
        <w:t>por lo que se enmarcar</w:t>
      </w:r>
      <w:r>
        <w:rPr>
          <w:rFonts w:cs="Times New Roman"/>
          <w:spacing w:val="-8"/>
          <w:sz w:val="16"/>
          <w:szCs w:val="16"/>
          <w:lang w:val="es-ES_tradnl"/>
        </w:rPr>
        <w:t>á</w:t>
      </w:r>
      <w:r>
        <w:rPr>
          <w:spacing w:val="-8"/>
          <w:sz w:val="16"/>
          <w:szCs w:val="16"/>
          <w:lang w:val="es-ES_tradnl"/>
        </w:rPr>
        <w:t xml:space="preserve"> en los presupuestos de la acci</w:t>
      </w:r>
      <w:r>
        <w:rPr>
          <w:rFonts w:cs="Times New Roman"/>
          <w:spacing w:val="-8"/>
          <w:sz w:val="16"/>
          <w:szCs w:val="16"/>
          <w:lang w:val="es-ES_tradnl"/>
        </w:rPr>
        <w:t>ó</w:t>
      </w:r>
      <w:r>
        <w:rPr>
          <w:spacing w:val="-8"/>
          <w:sz w:val="16"/>
          <w:szCs w:val="16"/>
          <w:lang w:val="es-ES_tradnl"/>
        </w:rPr>
        <w:t xml:space="preserve">n de </w:t>
      </w:r>
      <w:r>
        <w:rPr>
          <w:spacing w:val="-5"/>
          <w:sz w:val="16"/>
          <w:szCs w:val="16"/>
          <w:lang w:val="es-ES_tradnl"/>
        </w:rPr>
        <w:t>H</w:t>
      </w:r>
      <w:r>
        <w:rPr>
          <w:rFonts w:cs="Times New Roman"/>
          <w:spacing w:val="-5"/>
          <w:sz w:val="16"/>
          <w:szCs w:val="16"/>
          <w:lang w:val="es-ES_tradnl"/>
        </w:rPr>
        <w:t>á</w:t>
      </w:r>
      <w:r>
        <w:rPr>
          <w:spacing w:val="-5"/>
          <w:sz w:val="16"/>
          <w:szCs w:val="16"/>
          <w:lang w:val="es-ES_tradnl"/>
        </w:rPr>
        <w:t>beas Data contenidos en los numerales 1 y 2 del art</w:t>
      </w:r>
      <w:r>
        <w:rPr>
          <w:rFonts w:cs="Times New Roman"/>
          <w:spacing w:val="-5"/>
          <w:sz w:val="16"/>
          <w:szCs w:val="16"/>
          <w:lang w:val="es-ES_tradnl"/>
        </w:rPr>
        <w:t>í</w:t>
      </w:r>
      <w:r>
        <w:rPr>
          <w:spacing w:val="-5"/>
          <w:sz w:val="16"/>
          <w:szCs w:val="16"/>
          <w:lang w:val="es-ES_tradnl"/>
        </w:rPr>
        <w:t xml:space="preserve">culo </w:t>
      </w:r>
      <w:r>
        <w:rPr>
          <w:spacing w:val="-7"/>
          <w:sz w:val="16"/>
          <w:szCs w:val="16"/>
          <w:lang w:val="es-ES_tradnl"/>
        </w:rPr>
        <w:t>50 de la Ley Org</w:t>
      </w:r>
      <w:r>
        <w:rPr>
          <w:rFonts w:cs="Times New Roman"/>
          <w:spacing w:val="-7"/>
          <w:sz w:val="16"/>
          <w:szCs w:val="16"/>
          <w:lang w:val="es-ES_tradnl"/>
        </w:rPr>
        <w:t>á</w:t>
      </w:r>
      <w:r>
        <w:rPr>
          <w:spacing w:val="-7"/>
          <w:sz w:val="16"/>
          <w:szCs w:val="16"/>
          <w:lang w:val="es-ES_tradnl"/>
        </w:rPr>
        <w:t>nica de Garant</w:t>
      </w:r>
      <w:r>
        <w:rPr>
          <w:rFonts w:cs="Times New Roman"/>
          <w:spacing w:val="-7"/>
          <w:sz w:val="16"/>
          <w:szCs w:val="16"/>
          <w:lang w:val="es-ES_tradnl"/>
        </w:rPr>
        <w:t>í</w:t>
      </w:r>
      <w:r>
        <w:rPr>
          <w:spacing w:val="-7"/>
          <w:sz w:val="16"/>
          <w:szCs w:val="16"/>
          <w:lang w:val="es-ES_tradnl"/>
        </w:rPr>
        <w:t xml:space="preserve">as Jurisdiccionales y Control </w:t>
      </w:r>
      <w:r>
        <w:rPr>
          <w:sz w:val="16"/>
          <w:szCs w:val="16"/>
          <w:lang w:val="es-ES_tradnl"/>
        </w:rPr>
        <w:t>Constitucional.</w:t>
      </w:r>
    </w:p>
    <w:p w14:paraId="4F67AC90" w14:textId="77777777" w:rsidR="00591D54" w:rsidRDefault="00591D54">
      <w:pPr>
        <w:shd w:val="clear" w:color="auto" w:fill="FFFFFF"/>
        <w:spacing w:before="197"/>
        <w:ind w:right="5"/>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AC91" w14:textId="77777777" w:rsidR="00591D54" w:rsidRDefault="00591D54">
      <w:pPr>
        <w:shd w:val="clear" w:color="auto" w:fill="FFFFFF"/>
        <w:spacing w:before="197" w:line="216" w:lineRule="exact"/>
        <w:ind w:right="5"/>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5"/>
          <w:sz w:val="18"/>
          <w:szCs w:val="18"/>
          <w:lang w:val="es-ES_tradnl"/>
        </w:rPr>
        <w:t>constitucional y por mandato de la Constituci</w:t>
      </w:r>
      <w:r>
        <w:rPr>
          <w:rFonts w:cs="Times New Roman"/>
          <w:spacing w:val="-5"/>
          <w:sz w:val="18"/>
          <w:szCs w:val="18"/>
          <w:lang w:val="es-ES_tradnl"/>
        </w:rPr>
        <w:t>ó</w:t>
      </w:r>
      <w:r>
        <w:rPr>
          <w:spacing w:val="-5"/>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 xml:space="preserve">blica del Ecuador, el Pleno de la Corte Constitucional </w:t>
      </w:r>
      <w:r>
        <w:rPr>
          <w:sz w:val="18"/>
          <w:szCs w:val="18"/>
          <w:lang w:val="es-ES_tradnl"/>
        </w:rPr>
        <w:t>expide la siguiente:</w:t>
      </w:r>
    </w:p>
    <w:p w14:paraId="4F67AC92" w14:textId="77777777" w:rsidR="00591D54" w:rsidRDefault="00591D54">
      <w:pPr>
        <w:shd w:val="clear" w:color="auto" w:fill="FFFFFF"/>
        <w:spacing w:before="192"/>
        <w:ind w:left="5"/>
        <w:jc w:val="center"/>
      </w:pPr>
      <w:r>
        <w:rPr>
          <w:b/>
          <w:bCs/>
          <w:sz w:val="18"/>
          <w:szCs w:val="18"/>
          <w:lang w:val="es-ES_tradnl"/>
        </w:rPr>
        <w:t>SENTENCIA</w:t>
      </w:r>
    </w:p>
    <w:p w14:paraId="4F67AC93" w14:textId="77777777" w:rsidR="00591D54" w:rsidRDefault="00591D54" w:rsidP="00251195">
      <w:pPr>
        <w:numPr>
          <w:ilvl w:val="0"/>
          <w:numId w:val="58"/>
        </w:numPr>
        <w:shd w:val="clear" w:color="auto" w:fill="FFFFFF"/>
        <w:tabs>
          <w:tab w:val="left" w:pos="283"/>
        </w:tabs>
        <w:spacing w:before="192" w:line="216" w:lineRule="exact"/>
        <w:ind w:left="283" w:right="5" w:hanging="283"/>
        <w:jc w:val="both"/>
        <w:rPr>
          <w:spacing w:val="-11"/>
          <w:sz w:val="18"/>
          <w:szCs w:val="18"/>
          <w:lang w:val="es-ES_tradnl"/>
        </w:rPr>
      </w:pPr>
      <w:r>
        <w:rPr>
          <w:spacing w:val="-5"/>
          <w:sz w:val="18"/>
          <w:szCs w:val="18"/>
          <w:lang w:val="es-ES_tradnl"/>
        </w:rPr>
        <w:t>Declarar la vulneraci</w:t>
      </w:r>
      <w:r>
        <w:rPr>
          <w:rFonts w:cs="Times New Roman"/>
          <w:spacing w:val="-5"/>
          <w:sz w:val="18"/>
          <w:szCs w:val="18"/>
          <w:lang w:val="es-ES_tradnl"/>
        </w:rPr>
        <w:t>ó</w:t>
      </w:r>
      <w:r>
        <w:rPr>
          <w:spacing w:val="-5"/>
          <w:sz w:val="18"/>
          <w:szCs w:val="18"/>
          <w:lang w:val="es-ES_tradnl"/>
        </w:rPr>
        <w:t xml:space="preserve">n del derecho a la seguridad </w:t>
      </w:r>
      <w:r>
        <w:rPr>
          <w:spacing w:val="-6"/>
          <w:sz w:val="18"/>
          <w:szCs w:val="18"/>
          <w:lang w:val="es-ES_tradnl"/>
        </w:rPr>
        <w:t>jur</w:t>
      </w:r>
      <w:r>
        <w:rPr>
          <w:rFonts w:cs="Times New Roman"/>
          <w:spacing w:val="-6"/>
          <w:sz w:val="18"/>
          <w:szCs w:val="18"/>
          <w:lang w:val="es-ES_tradnl"/>
        </w:rPr>
        <w:t>í</w:t>
      </w:r>
      <w:r>
        <w:rPr>
          <w:spacing w:val="-6"/>
          <w:sz w:val="18"/>
          <w:szCs w:val="18"/>
          <w:lang w:val="es-ES_tradnl"/>
        </w:rPr>
        <w:t>dica previsto en el art</w:t>
      </w:r>
      <w:r>
        <w:rPr>
          <w:rFonts w:cs="Times New Roman"/>
          <w:spacing w:val="-6"/>
          <w:sz w:val="18"/>
          <w:szCs w:val="18"/>
          <w:lang w:val="es-ES_tradnl"/>
        </w:rPr>
        <w:t>í</w:t>
      </w:r>
      <w:r>
        <w:rPr>
          <w:spacing w:val="-6"/>
          <w:sz w:val="18"/>
          <w:szCs w:val="18"/>
          <w:lang w:val="es-ES_tradnl"/>
        </w:rPr>
        <w:t>culo 82 de la Constituci</w:t>
      </w:r>
      <w:r>
        <w:rPr>
          <w:rFonts w:cs="Times New Roman"/>
          <w:spacing w:val="-6"/>
          <w:sz w:val="18"/>
          <w:szCs w:val="18"/>
          <w:lang w:val="es-ES_tradnl"/>
        </w:rPr>
        <w:t>ó</w:t>
      </w:r>
      <w:r>
        <w:rPr>
          <w:spacing w:val="-6"/>
          <w:sz w:val="18"/>
          <w:szCs w:val="18"/>
          <w:lang w:val="es-ES_tradnl"/>
        </w:rPr>
        <w:t xml:space="preserve">n de </w:t>
      </w:r>
      <w:r>
        <w:rPr>
          <w:sz w:val="18"/>
          <w:szCs w:val="18"/>
          <w:lang w:val="es-ES_tradnl"/>
        </w:rPr>
        <w:t>la Rep</w:t>
      </w:r>
      <w:r>
        <w:rPr>
          <w:rFonts w:cs="Times New Roman"/>
          <w:sz w:val="18"/>
          <w:szCs w:val="18"/>
          <w:lang w:val="es-ES_tradnl"/>
        </w:rPr>
        <w:t>ú</w:t>
      </w:r>
      <w:r>
        <w:rPr>
          <w:sz w:val="18"/>
          <w:szCs w:val="18"/>
          <w:lang w:val="es-ES_tradnl"/>
        </w:rPr>
        <w:t>blica del Ecuador.</w:t>
      </w:r>
    </w:p>
    <w:p w14:paraId="4F67AC94" w14:textId="77777777" w:rsidR="00591D54" w:rsidRDefault="00591D54" w:rsidP="00251195">
      <w:pPr>
        <w:numPr>
          <w:ilvl w:val="0"/>
          <w:numId w:val="58"/>
        </w:numPr>
        <w:shd w:val="clear" w:color="auto" w:fill="FFFFFF"/>
        <w:tabs>
          <w:tab w:val="left" w:pos="283"/>
        </w:tabs>
        <w:spacing w:before="192" w:line="216" w:lineRule="exact"/>
        <w:ind w:left="283" w:right="5" w:hanging="283"/>
        <w:jc w:val="both"/>
        <w:rPr>
          <w:spacing w:val="-11"/>
          <w:sz w:val="18"/>
          <w:szCs w:val="18"/>
          <w:lang w:val="es-ES_tradnl"/>
        </w:rPr>
      </w:pPr>
      <w:r>
        <w:rPr>
          <w:spacing w:val="-1"/>
          <w:sz w:val="18"/>
          <w:szCs w:val="18"/>
          <w:lang w:val="es-ES_tradnl"/>
        </w:rPr>
        <w:t>Aceptar la acci</w:t>
      </w:r>
      <w:r>
        <w:rPr>
          <w:rFonts w:cs="Times New Roman"/>
          <w:spacing w:val="-1"/>
          <w:sz w:val="18"/>
          <w:szCs w:val="18"/>
          <w:lang w:val="es-ES_tradnl"/>
        </w:rPr>
        <w:t>ó</w:t>
      </w:r>
      <w:r>
        <w:rPr>
          <w:spacing w:val="-1"/>
          <w:sz w:val="18"/>
          <w:szCs w:val="18"/>
          <w:lang w:val="es-ES_tradnl"/>
        </w:rPr>
        <w:t>n extraordinaria de protecci</w:t>
      </w:r>
      <w:r>
        <w:rPr>
          <w:rFonts w:cs="Times New Roman"/>
          <w:spacing w:val="-1"/>
          <w:sz w:val="18"/>
          <w:szCs w:val="18"/>
          <w:lang w:val="es-ES_tradnl"/>
        </w:rPr>
        <w:t>ó</w:t>
      </w:r>
      <w:r>
        <w:rPr>
          <w:spacing w:val="-1"/>
          <w:sz w:val="18"/>
          <w:szCs w:val="18"/>
          <w:lang w:val="es-ES_tradnl"/>
        </w:rPr>
        <w:t xml:space="preserve">n </w:t>
      </w:r>
      <w:r>
        <w:rPr>
          <w:sz w:val="18"/>
          <w:szCs w:val="18"/>
          <w:lang w:val="es-ES_tradnl"/>
        </w:rPr>
        <w:t>presentada.</w:t>
      </w:r>
    </w:p>
    <w:p w14:paraId="4F67AC95" w14:textId="77777777" w:rsidR="00591D54" w:rsidRDefault="00591D54" w:rsidP="00251195">
      <w:pPr>
        <w:numPr>
          <w:ilvl w:val="0"/>
          <w:numId w:val="58"/>
        </w:numPr>
        <w:shd w:val="clear" w:color="auto" w:fill="FFFFFF"/>
        <w:tabs>
          <w:tab w:val="left" w:pos="283"/>
        </w:tabs>
        <w:spacing w:before="192"/>
        <w:rPr>
          <w:spacing w:val="-11"/>
          <w:sz w:val="18"/>
          <w:szCs w:val="18"/>
          <w:lang w:val="es-ES_tradnl"/>
        </w:rPr>
      </w:pPr>
      <w:r>
        <w:rPr>
          <w:spacing w:val="-8"/>
          <w:sz w:val="18"/>
          <w:szCs w:val="18"/>
          <w:lang w:val="es-ES_tradnl"/>
        </w:rPr>
        <w:t>Como medidas de reparaci</w:t>
      </w:r>
      <w:r>
        <w:rPr>
          <w:rFonts w:cs="Times New Roman"/>
          <w:spacing w:val="-8"/>
          <w:sz w:val="18"/>
          <w:szCs w:val="18"/>
          <w:lang w:val="es-ES_tradnl"/>
        </w:rPr>
        <w:t>ó</w:t>
      </w:r>
      <w:r>
        <w:rPr>
          <w:spacing w:val="-8"/>
          <w:sz w:val="18"/>
          <w:szCs w:val="18"/>
          <w:lang w:val="es-ES_tradnl"/>
        </w:rPr>
        <w:t>n se dispone lo siguiente:</w:t>
      </w:r>
    </w:p>
    <w:p w14:paraId="4F67AC96" w14:textId="77777777" w:rsidR="00591D54" w:rsidRDefault="00591D54">
      <w:pPr>
        <w:rPr>
          <w:rFonts w:cs="Times New Roman"/>
          <w:sz w:val="2"/>
          <w:szCs w:val="2"/>
        </w:rPr>
      </w:pPr>
    </w:p>
    <w:p w14:paraId="4F67AC97" w14:textId="77777777" w:rsidR="00591D54" w:rsidRDefault="00591D54" w:rsidP="00251195">
      <w:pPr>
        <w:numPr>
          <w:ilvl w:val="0"/>
          <w:numId w:val="59"/>
        </w:numPr>
        <w:shd w:val="clear" w:color="auto" w:fill="FFFFFF"/>
        <w:tabs>
          <w:tab w:val="left" w:pos="566"/>
        </w:tabs>
        <w:spacing w:before="192" w:line="216" w:lineRule="exact"/>
        <w:ind w:left="566" w:right="5" w:hanging="283"/>
        <w:jc w:val="both"/>
        <w:rPr>
          <w:spacing w:val="-11"/>
          <w:sz w:val="18"/>
          <w:szCs w:val="18"/>
          <w:lang w:val="es-ES_tradnl"/>
        </w:rPr>
      </w:pPr>
      <w:r>
        <w:rPr>
          <w:spacing w:val="-7"/>
          <w:sz w:val="18"/>
          <w:szCs w:val="18"/>
          <w:lang w:val="es-ES_tradnl"/>
        </w:rPr>
        <w:t xml:space="preserve">Dejar sin efecto la sentencia expedida por la Sala </w:t>
      </w:r>
      <w:r>
        <w:rPr>
          <w:spacing w:val="-8"/>
          <w:sz w:val="18"/>
          <w:szCs w:val="18"/>
          <w:lang w:val="es-ES_tradnl"/>
        </w:rPr>
        <w:t>Especializada de lo Penal de la Corte Provincial de Justicia de Los R</w:t>
      </w:r>
      <w:r>
        <w:rPr>
          <w:rFonts w:cs="Times New Roman"/>
          <w:spacing w:val="-8"/>
          <w:sz w:val="18"/>
          <w:szCs w:val="18"/>
          <w:lang w:val="es-ES_tradnl"/>
        </w:rPr>
        <w:t>í</w:t>
      </w:r>
      <w:r>
        <w:rPr>
          <w:spacing w:val="-8"/>
          <w:sz w:val="18"/>
          <w:szCs w:val="18"/>
          <w:lang w:val="es-ES_tradnl"/>
        </w:rPr>
        <w:t xml:space="preserve">os, el 27 de agosto de 2010 a las </w:t>
      </w:r>
      <w:r>
        <w:rPr>
          <w:sz w:val="18"/>
          <w:szCs w:val="18"/>
          <w:lang w:val="es-ES_tradnl"/>
        </w:rPr>
        <w:t>09h18.</w:t>
      </w:r>
    </w:p>
    <w:p w14:paraId="4F67AC98" w14:textId="77777777" w:rsidR="00591D54" w:rsidRDefault="00591D54" w:rsidP="00251195">
      <w:pPr>
        <w:numPr>
          <w:ilvl w:val="0"/>
          <w:numId w:val="59"/>
        </w:numPr>
        <w:shd w:val="clear" w:color="auto" w:fill="FFFFFF"/>
        <w:tabs>
          <w:tab w:val="left" w:pos="566"/>
        </w:tabs>
        <w:spacing w:before="197" w:line="216" w:lineRule="exact"/>
        <w:ind w:left="566" w:right="5" w:hanging="283"/>
        <w:jc w:val="both"/>
        <w:rPr>
          <w:spacing w:val="-11"/>
          <w:sz w:val="18"/>
          <w:szCs w:val="18"/>
          <w:lang w:val="es-ES_tradnl"/>
        </w:rPr>
      </w:pPr>
      <w:r>
        <w:rPr>
          <w:spacing w:val="-2"/>
          <w:sz w:val="18"/>
          <w:szCs w:val="18"/>
          <w:lang w:val="es-ES_tradnl"/>
        </w:rPr>
        <w:t xml:space="preserve">Dejar sin efecto la sentencia expedida por el </w:t>
      </w:r>
      <w:r>
        <w:rPr>
          <w:spacing w:val="-6"/>
          <w:sz w:val="18"/>
          <w:szCs w:val="18"/>
          <w:lang w:val="es-ES_tradnl"/>
        </w:rPr>
        <w:t>Juzgado D</w:t>
      </w:r>
      <w:r>
        <w:rPr>
          <w:rFonts w:cs="Times New Roman"/>
          <w:spacing w:val="-6"/>
          <w:sz w:val="18"/>
          <w:szCs w:val="18"/>
          <w:lang w:val="es-ES_tradnl"/>
        </w:rPr>
        <w:t>é</w:t>
      </w:r>
      <w:r>
        <w:rPr>
          <w:spacing w:val="-6"/>
          <w:sz w:val="18"/>
          <w:szCs w:val="18"/>
          <w:lang w:val="es-ES_tradnl"/>
        </w:rPr>
        <w:t xml:space="preserve">cimo Cuarto de lo Civil de la provincia </w:t>
      </w:r>
      <w:r>
        <w:rPr>
          <w:spacing w:val="-8"/>
          <w:sz w:val="18"/>
          <w:szCs w:val="18"/>
          <w:lang w:val="es-ES_tradnl"/>
        </w:rPr>
        <w:t>de Los R</w:t>
      </w:r>
      <w:r>
        <w:rPr>
          <w:rFonts w:cs="Times New Roman"/>
          <w:spacing w:val="-8"/>
          <w:sz w:val="18"/>
          <w:szCs w:val="18"/>
          <w:lang w:val="es-ES_tradnl"/>
        </w:rPr>
        <w:t>í</w:t>
      </w:r>
      <w:r>
        <w:rPr>
          <w:spacing w:val="-8"/>
          <w:sz w:val="18"/>
          <w:szCs w:val="18"/>
          <w:lang w:val="es-ES_tradnl"/>
        </w:rPr>
        <w:t>os, el 18 de marzo de 2010 a las 15h40.</w:t>
      </w:r>
    </w:p>
    <w:p w14:paraId="4F67AC99" w14:textId="77777777" w:rsidR="00591D54" w:rsidRDefault="00591D54">
      <w:pPr>
        <w:shd w:val="clear" w:color="auto" w:fill="FFFFFF"/>
        <w:tabs>
          <w:tab w:val="left" w:pos="283"/>
        </w:tabs>
        <w:spacing w:before="197" w:line="216" w:lineRule="exact"/>
        <w:ind w:left="283" w:hanging="283"/>
        <w:jc w:val="both"/>
      </w:pPr>
      <w:r>
        <w:rPr>
          <w:spacing w:val="-9"/>
          <w:sz w:val="18"/>
          <w:szCs w:val="18"/>
          <w:lang w:val="es-ES_tradnl"/>
        </w:rPr>
        <w:t>4.</w:t>
      </w:r>
      <w:r>
        <w:rPr>
          <w:sz w:val="18"/>
          <w:szCs w:val="18"/>
          <w:lang w:val="es-ES_tradnl"/>
        </w:rPr>
        <w:tab/>
      </w:r>
      <w:r>
        <w:rPr>
          <w:spacing w:val="-10"/>
          <w:sz w:val="18"/>
          <w:szCs w:val="18"/>
          <w:lang w:val="es-ES_tradnl"/>
        </w:rPr>
        <w:t>En virtud de las competencias establecidas en el art</w:t>
      </w:r>
      <w:r>
        <w:rPr>
          <w:rFonts w:cs="Times New Roman"/>
          <w:spacing w:val="-10"/>
          <w:sz w:val="18"/>
          <w:szCs w:val="18"/>
          <w:lang w:val="es-ES_tradnl"/>
        </w:rPr>
        <w:t>í</w:t>
      </w:r>
      <w:r>
        <w:rPr>
          <w:spacing w:val="-10"/>
          <w:sz w:val="18"/>
          <w:szCs w:val="18"/>
          <w:lang w:val="es-ES_tradnl"/>
        </w:rPr>
        <w:t>culo </w:t>
      </w:r>
      <w:r>
        <w:rPr>
          <w:spacing w:val="-12"/>
          <w:sz w:val="18"/>
          <w:szCs w:val="18"/>
          <w:lang w:val="es-ES_tradnl"/>
        </w:rPr>
        <w:t>436 numerales 1 y 3 de la Constituci</w:t>
      </w:r>
      <w:r>
        <w:rPr>
          <w:rFonts w:cs="Times New Roman"/>
          <w:spacing w:val="-12"/>
          <w:sz w:val="18"/>
          <w:szCs w:val="18"/>
          <w:lang w:val="es-ES_tradnl"/>
        </w:rPr>
        <w:t>ó</w:t>
      </w:r>
      <w:r>
        <w:rPr>
          <w:spacing w:val="-12"/>
          <w:sz w:val="18"/>
          <w:szCs w:val="18"/>
          <w:lang w:val="es-ES_tradnl"/>
        </w:rPr>
        <w:t>n de la Rep</w:t>
      </w:r>
      <w:r>
        <w:rPr>
          <w:rFonts w:cs="Times New Roman"/>
          <w:spacing w:val="-12"/>
          <w:sz w:val="18"/>
          <w:szCs w:val="18"/>
          <w:lang w:val="es-ES_tradnl"/>
        </w:rPr>
        <w:t>ú</w:t>
      </w:r>
      <w:r>
        <w:rPr>
          <w:spacing w:val="-12"/>
          <w:sz w:val="18"/>
          <w:szCs w:val="18"/>
          <w:lang w:val="es-ES_tradnl"/>
        </w:rPr>
        <w:t>blica, la </w:t>
      </w:r>
      <w:r>
        <w:rPr>
          <w:spacing w:val="-8"/>
          <w:sz w:val="18"/>
          <w:szCs w:val="18"/>
          <w:lang w:val="es-ES_tradnl"/>
        </w:rPr>
        <w:t>Corte Constitucional efect</w:t>
      </w:r>
      <w:r>
        <w:rPr>
          <w:rFonts w:cs="Times New Roman"/>
          <w:spacing w:val="-8"/>
          <w:sz w:val="18"/>
          <w:szCs w:val="18"/>
          <w:lang w:val="es-ES_tradnl"/>
        </w:rPr>
        <w:t>ú</w:t>
      </w:r>
      <w:r>
        <w:rPr>
          <w:spacing w:val="-8"/>
          <w:sz w:val="18"/>
          <w:szCs w:val="18"/>
          <w:lang w:val="es-ES_tradnl"/>
        </w:rPr>
        <w:t>a la interpretaci</w:t>
      </w:r>
      <w:r>
        <w:rPr>
          <w:rFonts w:cs="Times New Roman"/>
          <w:spacing w:val="-8"/>
          <w:sz w:val="18"/>
          <w:szCs w:val="18"/>
          <w:lang w:val="es-ES_tradnl"/>
        </w:rPr>
        <w:t>ó</w:t>
      </w:r>
      <w:r>
        <w:rPr>
          <w:spacing w:val="-8"/>
          <w:sz w:val="18"/>
          <w:szCs w:val="18"/>
          <w:lang w:val="es-ES_tradnl"/>
        </w:rPr>
        <w:t>n conforme </w:t>
      </w:r>
      <w:r>
        <w:rPr>
          <w:spacing w:val="-11"/>
          <w:sz w:val="18"/>
          <w:szCs w:val="18"/>
          <w:lang w:val="es-ES_tradnl"/>
        </w:rPr>
        <w:t xml:space="preserve">y condicionada con efectos </w:t>
      </w:r>
      <w:r>
        <w:rPr>
          <w:i/>
          <w:iCs/>
          <w:spacing w:val="-11"/>
          <w:sz w:val="18"/>
          <w:szCs w:val="18"/>
          <w:lang w:val="es-ES_tradnl"/>
        </w:rPr>
        <w:t xml:space="preserve">erga omnes </w:t>
      </w:r>
      <w:r>
        <w:rPr>
          <w:spacing w:val="-11"/>
          <w:sz w:val="18"/>
          <w:szCs w:val="18"/>
          <w:lang w:val="es-ES_tradnl"/>
        </w:rPr>
        <w:t>del art</w:t>
      </w:r>
      <w:r>
        <w:rPr>
          <w:rFonts w:cs="Times New Roman"/>
          <w:spacing w:val="-11"/>
          <w:sz w:val="18"/>
          <w:szCs w:val="18"/>
          <w:lang w:val="es-ES_tradnl"/>
        </w:rPr>
        <w:t>í</w:t>
      </w:r>
      <w:r>
        <w:rPr>
          <w:spacing w:val="-11"/>
          <w:sz w:val="18"/>
          <w:szCs w:val="18"/>
          <w:lang w:val="es-ES_tradnl"/>
        </w:rPr>
        <w:t>culo 50 de </w:t>
      </w:r>
      <w:r>
        <w:rPr>
          <w:spacing w:val="-9"/>
          <w:sz w:val="18"/>
          <w:szCs w:val="18"/>
          <w:lang w:val="es-ES_tradnl"/>
        </w:rPr>
        <w:t>la Ley Org</w:t>
      </w:r>
      <w:r>
        <w:rPr>
          <w:rFonts w:cs="Times New Roman"/>
          <w:spacing w:val="-9"/>
          <w:sz w:val="18"/>
          <w:szCs w:val="18"/>
          <w:lang w:val="es-ES_tradnl"/>
        </w:rPr>
        <w:t>á</w:t>
      </w:r>
      <w:r>
        <w:rPr>
          <w:spacing w:val="-9"/>
          <w:sz w:val="18"/>
          <w:szCs w:val="18"/>
          <w:lang w:val="es-ES_tradnl"/>
        </w:rPr>
        <w:t>nica de Garant</w:t>
      </w:r>
      <w:r>
        <w:rPr>
          <w:rFonts w:cs="Times New Roman"/>
          <w:spacing w:val="-9"/>
          <w:sz w:val="18"/>
          <w:szCs w:val="18"/>
          <w:lang w:val="es-ES_tradnl"/>
        </w:rPr>
        <w:t>í</w:t>
      </w:r>
      <w:r>
        <w:rPr>
          <w:spacing w:val="-9"/>
          <w:sz w:val="18"/>
          <w:szCs w:val="18"/>
          <w:lang w:val="es-ES_tradnl"/>
        </w:rPr>
        <w:t>as Jurisdiccionales y Control Constitucional, en consecuencia se deber</w:t>
      </w:r>
      <w:r>
        <w:rPr>
          <w:rFonts w:cs="Times New Roman"/>
          <w:spacing w:val="-9"/>
          <w:sz w:val="18"/>
          <w:szCs w:val="18"/>
          <w:lang w:val="es-ES_tradnl"/>
        </w:rPr>
        <w:t>á</w:t>
      </w:r>
      <w:r>
        <w:rPr>
          <w:spacing w:val="-9"/>
          <w:sz w:val="18"/>
          <w:szCs w:val="18"/>
          <w:lang w:val="es-ES_tradnl"/>
        </w:rPr>
        <w:t xml:space="preserve"> entender de </w:t>
      </w:r>
      <w:r>
        <w:rPr>
          <w:sz w:val="18"/>
          <w:szCs w:val="18"/>
          <w:lang w:val="es-ES_tradnl"/>
        </w:rPr>
        <w:t>la siguiente manera:</w:t>
      </w:r>
    </w:p>
    <w:p w14:paraId="4F67AC9A" w14:textId="77777777" w:rsidR="00591D54" w:rsidRDefault="00591D54">
      <w:pPr>
        <w:shd w:val="clear" w:color="auto" w:fill="FFFFFF"/>
        <w:spacing w:before="197" w:line="216" w:lineRule="exact"/>
        <w:ind w:left="566" w:right="5"/>
        <w:jc w:val="both"/>
      </w:pPr>
      <w:r>
        <w:rPr>
          <w:spacing w:val="-5"/>
          <w:sz w:val="18"/>
          <w:szCs w:val="18"/>
          <w:lang w:val="es-ES_tradnl"/>
        </w:rPr>
        <w:t>La persona natural o jur</w:t>
      </w:r>
      <w:r>
        <w:rPr>
          <w:rFonts w:cs="Times New Roman"/>
          <w:spacing w:val="-5"/>
          <w:sz w:val="18"/>
          <w:szCs w:val="18"/>
          <w:lang w:val="es-ES_tradnl"/>
        </w:rPr>
        <w:t>í</w:t>
      </w:r>
      <w:r>
        <w:rPr>
          <w:spacing w:val="-5"/>
          <w:sz w:val="18"/>
          <w:szCs w:val="18"/>
          <w:lang w:val="es-ES_tradnl"/>
        </w:rPr>
        <w:t>dica p</w:t>
      </w:r>
      <w:r>
        <w:rPr>
          <w:rFonts w:cs="Times New Roman"/>
          <w:spacing w:val="-5"/>
          <w:sz w:val="18"/>
          <w:szCs w:val="18"/>
          <w:lang w:val="es-ES_tradnl"/>
        </w:rPr>
        <w:t>ú</w:t>
      </w:r>
      <w:r>
        <w:rPr>
          <w:spacing w:val="-5"/>
          <w:sz w:val="18"/>
          <w:szCs w:val="18"/>
          <w:lang w:val="es-ES_tradnl"/>
        </w:rPr>
        <w:t xml:space="preserve">blica o privada </w:t>
      </w:r>
      <w:r>
        <w:rPr>
          <w:spacing w:val="-8"/>
          <w:sz w:val="18"/>
          <w:szCs w:val="18"/>
          <w:lang w:val="es-ES_tradnl"/>
        </w:rPr>
        <w:t>requerida deber</w:t>
      </w:r>
      <w:r>
        <w:rPr>
          <w:rFonts w:cs="Times New Roman"/>
          <w:spacing w:val="-8"/>
          <w:sz w:val="18"/>
          <w:szCs w:val="18"/>
          <w:lang w:val="es-ES_tradnl"/>
        </w:rPr>
        <w:t>á</w:t>
      </w:r>
      <w:r>
        <w:rPr>
          <w:spacing w:val="-8"/>
          <w:sz w:val="18"/>
          <w:szCs w:val="18"/>
          <w:lang w:val="es-ES_tradnl"/>
        </w:rPr>
        <w:t xml:space="preserve"> responder a la solicitud efectuada </w:t>
      </w:r>
      <w:r>
        <w:rPr>
          <w:spacing w:val="-1"/>
          <w:sz w:val="18"/>
          <w:szCs w:val="18"/>
          <w:lang w:val="es-ES_tradnl"/>
        </w:rPr>
        <w:t>por el titular de la informaci</w:t>
      </w:r>
      <w:r>
        <w:rPr>
          <w:rFonts w:cs="Times New Roman"/>
          <w:spacing w:val="-1"/>
          <w:sz w:val="18"/>
          <w:szCs w:val="18"/>
          <w:lang w:val="es-ES_tradnl"/>
        </w:rPr>
        <w:t>ó</w:t>
      </w:r>
      <w:r>
        <w:rPr>
          <w:spacing w:val="-1"/>
          <w:sz w:val="18"/>
          <w:szCs w:val="18"/>
          <w:lang w:val="es-ES_tradnl"/>
        </w:rPr>
        <w:t xml:space="preserve">n personal en un </w:t>
      </w:r>
      <w:r>
        <w:rPr>
          <w:sz w:val="18"/>
          <w:szCs w:val="18"/>
          <w:lang w:val="es-ES_tradnl"/>
        </w:rPr>
        <w:t xml:space="preserve">plazo razonable que permita de mejor manera </w:t>
      </w:r>
      <w:r>
        <w:rPr>
          <w:spacing w:val="-8"/>
          <w:sz w:val="18"/>
          <w:szCs w:val="18"/>
          <w:lang w:val="es-ES_tradnl"/>
        </w:rPr>
        <w:t>la satisfacci</w:t>
      </w:r>
      <w:r>
        <w:rPr>
          <w:rFonts w:cs="Times New Roman"/>
          <w:spacing w:val="-8"/>
          <w:sz w:val="18"/>
          <w:szCs w:val="18"/>
          <w:lang w:val="es-ES_tradnl"/>
        </w:rPr>
        <w:t>ó</w:t>
      </w:r>
      <w:r>
        <w:rPr>
          <w:spacing w:val="-8"/>
          <w:sz w:val="18"/>
          <w:szCs w:val="18"/>
          <w:lang w:val="es-ES_tradnl"/>
        </w:rPr>
        <w:t>n del derecho, que depender</w:t>
      </w:r>
      <w:r>
        <w:rPr>
          <w:rFonts w:cs="Times New Roman"/>
          <w:spacing w:val="-8"/>
          <w:sz w:val="18"/>
          <w:szCs w:val="18"/>
          <w:lang w:val="es-ES_tradnl"/>
        </w:rPr>
        <w:t>á</w:t>
      </w:r>
      <w:r>
        <w:rPr>
          <w:spacing w:val="-8"/>
          <w:sz w:val="18"/>
          <w:szCs w:val="18"/>
          <w:lang w:val="es-ES_tradnl"/>
        </w:rPr>
        <w:t xml:space="preserve"> de la </w:t>
      </w:r>
      <w:r>
        <w:rPr>
          <w:sz w:val="18"/>
          <w:szCs w:val="18"/>
          <w:lang w:val="es-ES_tradnl"/>
        </w:rPr>
        <w:t>cantidad de la informaci</w:t>
      </w:r>
      <w:r>
        <w:rPr>
          <w:rFonts w:cs="Times New Roman"/>
          <w:sz w:val="18"/>
          <w:szCs w:val="18"/>
          <w:lang w:val="es-ES_tradnl"/>
        </w:rPr>
        <w:t>ó</w:t>
      </w:r>
      <w:r>
        <w:rPr>
          <w:sz w:val="18"/>
          <w:szCs w:val="18"/>
          <w:lang w:val="es-ES_tradnl"/>
        </w:rPr>
        <w:t xml:space="preserve">n requerida, del tipo </w:t>
      </w:r>
      <w:r>
        <w:rPr>
          <w:spacing w:val="-7"/>
          <w:sz w:val="18"/>
          <w:szCs w:val="18"/>
          <w:lang w:val="es-ES_tradnl"/>
        </w:rPr>
        <w:t xml:space="preserve">de pedido y de la propia conducta de la persona </w:t>
      </w:r>
      <w:r>
        <w:rPr>
          <w:spacing w:val="-6"/>
          <w:sz w:val="18"/>
          <w:szCs w:val="18"/>
          <w:lang w:val="es-ES_tradnl"/>
        </w:rPr>
        <w:t>natural o jur</w:t>
      </w:r>
      <w:r>
        <w:rPr>
          <w:rFonts w:cs="Times New Roman"/>
          <w:spacing w:val="-6"/>
          <w:sz w:val="18"/>
          <w:szCs w:val="18"/>
          <w:lang w:val="es-ES_tradnl"/>
        </w:rPr>
        <w:t>í</w:t>
      </w:r>
      <w:r>
        <w:rPr>
          <w:spacing w:val="-6"/>
          <w:sz w:val="18"/>
          <w:szCs w:val="18"/>
          <w:lang w:val="es-ES_tradnl"/>
        </w:rPr>
        <w:t>dica p</w:t>
      </w:r>
      <w:r>
        <w:rPr>
          <w:rFonts w:cs="Times New Roman"/>
          <w:spacing w:val="-6"/>
          <w:sz w:val="18"/>
          <w:szCs w:val="18"/>
          <w:lang w:val="es-ES_tradnl"/>
        </w:rPr>
        <w:t>ú</w:t>
      </w:r>
      <w:r>
        <w:rPr>
          <w:spacing w:val="-6"/>
          <w:sz w:val="18"/>
          <w:szCs w:val="18"/>
          <w:lang w:val="es-ES_tradnl"/>
        </w:rPr>
        <w:t xml:space="preserve">blica o privada que posea la </w:t>
      </w:r>
      <w:r>
        <w:rPr>
          <w:spacing w:val="-7"/>
          <w:sz w:val="18"/>
          <w:szCs w:val="18"/>
          <w:lang w:val="es-ES_tradnl"/>
        </w:rPr>
        <w:t>administraci</w:t>
      </w:r>
      <w:r>
        <w:rPr>
          <w:rFonts w:cs="Times New Roman"/>
          <w:spacing w:val="-7"/>
          <w:sz w:val="18"/>
          <w:szCs w:val="18"/>
          <w:lang w:val="es-ES_tradnl"/>
        </w:rPr>
        <w:t>ó</w:t>
      </w:r>
      <w:r>
        <w:rPr>
          <w:spacing w:val="-7"/>
          <w:sz w:val="18"/>
          <w:szCs w:val="18"/>
          <w:lang w:val="es-ES_tradnl"/>
        </w:rPr>
        <w:t>n de los datos requeridos.</w:t>
      </w:r>
    </w:p>
    <w:p w14:paraId="4F67AC9B" w14:textId="77777777" w:rsidR="00591D54" w:rsidRDefault="00591D54">
      <w:pPr>
        <w:shd w:val="clear" w:color="auto" w:fill="FFFFFF"/>
        <w:spacing w:before="197" w:line="216" w:lineRule="exact"/>
        <w:ind w:left="566" w:right="5"/>
        <w:jc w:val="both"/>
      </w:pPr>
      <w:r>
        <w:rPr>
          <w:spacing w:val="-5"/>
          <w:sz w:val="18"/>
          <w:szCs w:val="18"/>
          <w:lang w:val="es-ES_tradnl"/>
        </w:rPr>
        <w:t>La calificaci</w:t>
      </w:r>
      <w:r>
        <w:rPr>
          <w:rFonts w:cs="Times New Roman"/>
          <w:spacing w:val="-5"/>
          <w:sz w:val="18"/>
          <w:szCs w:val="18"/>
          <w:lang w:val="es-ES_tradnl"/>
        </w:rPr>
        <w:t>ó</w:t>
      </w:r>
      <w:r>
        <w:rPr>
          <w:spacing w:val="-5"/>
          <w:sz w:val="18"/>
          <w:szCs w:val="18"/>
          <w:lang w:val="es-ES_tradnl"/>
        </w:rPr>
        <w:t xml:space="preserve">n de la razonabilidad de este plazo </w:t>
      </w:r>
      <w:r>
        <w:rPr>
          <w:spacing w:val="-8"/>
          <w:sz w:val="18"/>
          <w:szCs w:val="18"/>
          <w:lang w:val="es-ES_tradnl"/>
        </w:rPr>
        <w:t>deber</w:t>
      </w:r>
      <w:r>
        <w:rPr>
          <w:rFonts w:cs="Times New Roman"/>
          <w:spacing w:val="-8"/>
          <w:sz w:val="18"/>
          <w:szCs w:val="18"/>
          <w:lang w:val="es-ES_tradnl"/>
        </w:rPr>
        <w:t>á</w:t>
      </w:r>
      <w:r>
        <w:rPr>
          <w:spacing w:val="-8"/>
          <w:sz w:val="18"/>
          <w:szCs w:val="18"/>
          <w:lang w:val="es-ES_tradnl"/>
        </w:rPr>
        <w:t xml:space="preserve"> ser realizada por el juez competente en la </w:t>
      </w:r>
      <w:r>
        <w:rPr>
          <w:spacing w:val="-12"/>
          <w:sz w:val="18"/>
          <w:szCs w:val="18"/>
          <w:lang w:val="es-ES_tradnl"/>
        </w:rPr>
        <w:t>acci</w:t>
      </w:r>
      <w:r>
        <w:rPr>
          <w:rFonts w:cs="Times New Roman"/>
          <w:spacing w:val="-12"/>
          <w:sz w:val="18"/>
          <w:szCs w:val="18"/>
          <w:lang w:val="es-ES_tradnl"/>
        </w:rPr>
        <w:t>ó</w:t>
      </w:r>
      <w:r>
        <w:rPr>
          <w:spacing w:val="-12"/>
          <w:sz w:val="18"/>
          <w:szCs w:val="18"/>
          <w:lang w:val="es-ES_tradnl"/>
        </w:rPr>
        <w:t>n de H</w:t>
      </w:r>
      <w:r>
        <w:rPr>
          <w:rFonts w:cs="Times New Roman"/>
          <w:spacing w:val="-12"/>
          <w:sz w:val="18"/>
          <w:szCs w:val="18"/>
          <w:lang w:val="es-ES_tradnl"/>
        </w:rPr>
        <w:t>á</w:t>
      </w:r>
      <w:r>
        <w:rPr>
          <w:spacing w:val="-12"/>
          <w:sz w:val="18"/>
          <w:szCs w:val="18"/>
          <w:lang w:val="es-ES_tradnl"/>
        </w:rPr>
        <w:t>beas Data, al momento de la calificaci</w:t>
      </w:r>
      <w:r>
        <w:rPr>
          <w:rFonts w:cs="Times New Roman"/>
          <w:spacing w:val="-12"/>
          <w:sz w:val="18"/>
          <w:szCs w:val="18"/>
          <w:lang w:val="es-ES_tradnl"/>
        </w:rPr>
        <w:t>ó</w:t>
      </w:r>
      <w:r>
        <w:rPr>
          <w:spacing w:val="-12"/>
          <w:sz w:val="18"/>
          <w:szCs w:val="18"/>
          <w:lang w:val="es-ES_tradnl"/>
        </w:rPr>
        <w:t xml:space="preserve">n </w:t>
      </w:r>
      <w:r>
        <w:rPr>
          <w:spacing w:val="-8"/>
          <w:sz w:val="18"/>
          <w:szCs w:val="18"/>
          <w:lang w:val="es-ES_tradnl"/>
        </w:rPr>
        <w:t>de la demanda de esta garant</w:t>
      </w:r>
      <w:r>
        <w:rPr>
          <w:rFonts w:cs="Times New Roman"/>
          <w:spacing w:val="-8"/>
          <w:sz w:val="18"/>
          <w:szCs w:val="18"/>
          <w:lang w:val="es-ES_tradnl"/>
        </w:rPr>
        <w:t>í</w:t>
      </w:r>
      <w:r>
        <w:rPr>
          <w:spacing w:val="-8"/>
          <w:sz w:val="18"/>
          <w:szCs w:val="18"/>
          <w:lang w:val="es-ES_tradnl"/>
        </w:rPr>
        <w:t>a jurisdiccional.</w:t>
      </w:r>
    </w:p>
    <w:p w14:paraId="4F67AC9C" w14:textId="77777777" w:rsidR="00591D54" w:rsidRDefault="00591D54">
      <w:pPr>
        <w:shd w:val="clear" w:color="auto" w:fill="FFFFFF"/>
        <w:spacing w:before="197" w:line="221" w:lineRule="exact"/>
        <w:ind w:left="566"/>
        <w:jc w:val="both"/>
      </w:pPr>
      <w:r>
        <w:rPr>
          <w:sz w:val="18"/>
          <w:szCs w:val="18"/>
          <w:lang w:val="es-ES_tradnl"/>
        </w:rPr>
        <w:t>La falta de contestaci</w:t>
      </w:r>
      <w:r>
        <w:rPr>
          <w:rFonts w:cs="Times New Roman"/>
          <w:sz w:val="18"/>
          <w:szCs w:val="18"/>
          <w:lang w:val="es-ES_tradnl"/>
        </w:rPr>
        <w:t>ó</w:t>
      </w:r>
      <w:r>
        <w:rPr>
          <w:sz w:val="18"/>
          <w:szCs w:val="18"/>
          <w:lang w:val="es-ES_tradnl"/>
        </w:rPr>
        <w:t xml:space="preserve">n de la persona natural </w:t>
      </w:r>
      <w:r>
        <w:rPr>
          <w:spacing w:val="-5"/>
          <w:sz w:val="18"/>
          <w:szCs w:val="18"/>
          <w:lang w:val="es-ES_tradnl"/>
        </w:rPr>
        <w:t>o jur</w:t>
      </w:r>
      <w:r>
        <w:rPr>
          <w:rFonts w:cs="Times New Roman"/>
          <w:spacing w:val="-5"/>
          <w:sz w:val="18"/>
          <w:szCs w:val="18"/>
          <w:lang w:val="es-ES_tradnl"/>
        </w:rPr>
        <w:t>í</w:t>
      </w:r>
      <w:r>
        <w:rPr>
          <w:spacing w:val="-5"/>
          <w:sz w:val="18"/>
          <w:szCs w:val="18"/>
          <w:lang w:val="es-ES_tradnl"/>
        </w:rPr>
        <w:t>dica p</w:t>
      </w:r>
      <w:r>
        <w:rPr>
          <w:rFonts w:cs="Times New Roman"/>
          <w:spacing w:val="-5"/>
          <w:sz w:val="18"/>
          <w:szCs w:val="18"/>
          <w:lang w:val="es-ES_tradnl"/>
        </w:rPr>
        <w:t>ú</w:t>
      </w:r>
      <w:r>
        <w:rPr>
          <w:spacing w:val="-5"/>
          <w:sz w:val="18"/>
          <w:szCs w:val="18"/>
          <w:lang w:val="es-ES_tradnl"/>
        </w:rPr>
        <w:t xml:space="preserve">blica o privada que tenga bajo su </w:t>
      </w:r>
      <w:r>
        <w:rPr>
          <w:spacing w:val="-7"/>
          <w:sz w:val="18"/>
          <w:szCs w:val="18"/>
          <w:lang w:val="es-ES_tradnl"/>
        </w:rPr>
        <w:t>administraci</w:t>
      </w:r>
      <w:r>
        <w:rPr>
          <w:rFonts w:cs="Times New Roman"/>
          <w:spacing w:val="-7"/>
          <w:sz w:val="18"/>
          <w:szCs w:val="18"/>
          <w:lang w:val="es-ES_tradnl"/>
        </w:rPr>
        <w:t>ó</w:t>
      </w:r>
      <w:r>
        <w:rPr>
          <w:spacing w:val="-7"/>
          <w:sz w:val="18"/>
          <w:szCs w:val="18"/>
          <w:lang w:val="es-ES_tradnl"/>
        </w:rPr>
        <w:t xml:space="preserve">n los datos de una persona, sobre la </w:t>
      </w:r>
      <w:r>
        <w:rPr>
          <w:spacing w:val="-6"/>
          <w:sz w:val="18"/>
          <w:szCs w:val="18"/>
          <w:lang w:val="es-ES_tradnl"/>
        </w:rPr>
        <w:t>solicitud que su titular efect</w:t>
      </w:r>
      <w:r>
        <w:rPr>
          <w:rFonts w:cs="Times New Roman"/>
          <w:spacing w:val="-6"/>
          <w:sz w:val="18"/>
          <w:szCs w:val="18"/>
          <w:lang w:val="es-ES_tradnl"/>
        </w:rPr>
        <w:t>ú</w:t>
      </w:r>
      <w:r>
        <w:rPr>
          <w:spacing w:val="-6"/>
          <w:sz w:val="18"/>
          <w:szCs w:val="18"/>
          <w:lang w:val="es-ES_tradnl"/>
        </w:rPr>
        <w:t>e respecto del acceso</w:t>
      </w:r>
    </w:p>
    <w:p w14:paraId="4F67AC9D" w14:textId="77777777" w:rsidR="00591D54" w:rsidRDefault="00591D54">
      <w:pPr>
        <w:shd w:val="clear" w:color="auto" w:fill="FFFFFF"/>
        <w:spacing w:before="5" w:line="226" w:lineRule="exact"/>
        <w:ind w:left="566" w:right="5"/>
        <w:jc w:val="both"/>
      </w:pPr>
      <w:r>
        <w:br w:type="column"/>
      </w:r>
      <w:r>
        <w:rPr>
          <w:spacing w:val="-4"/>
          <w:sz w:val="18"/>
          <w:szCs w:val="18"/>
          <w:lang w:val="es-ES_tradnl"/>
        </w:rPr>
        <w:t>a los documentos, datos gen</w:t>
      </w:r>
      <w:r>
        <w:rPr>
          <w:rFonts w:cs="Times New Roman"/>
          <w:spacing w:val="-4"/>
          <w:sz w:val="18"/>
          <w:szCs w:val="18"/>
          <w:lang w:val="es-ES_tradnl"/>
        </w:rPr>
        <w:t>é</w:t>
      </w:r>
      <w:r>
        <w:rPr>
          <w:spacing w:val="-4"/>
          <w:sz w:val="18"/>
          <w:szCs w:val="18"/>
          <w:lang w:val="es-ES_tradnl"/>
        </w:rPr>
        <w:t xml:space="preserve">ticos, bancos o </w:t>
      </w:r>
      <w:r>
        <w:rPr>
          <w:spacing w:val="-6"/>
          <w:sz w:val="18"/>
          <w:szCs w:val="18"/>
          <w:lang w:val="es-ES_tradnl"/>
        </w:rPr>
        <w:t xml:space="preserve">archivos de datos personales e informes en poder </w:t>
      </w:r>
      <w:r>
        <w:rPr>
          <w:spacing w:val="-9"/>
          <w:sz w:val="18"/>
          <w:szCs w:val="18"/>
          <w:lang w:val="es-ES_tradnl"/>
        </w:rPr>
        <w:t xml:space="preserve">de </w:t>
      </w:r>
      <w:r>
        <w:rPr>
          <w:rFonts w:cs="Times New Roman"/>
          <w:spacing w:val="-9"/>
          <w:sz w:val="18"/>
          <w:szCs w:val="18"/>
          <w:lang w:val="es-ES_tradnl"/>
        </w:rPr>
        <w:t>é</w:t>
      </w:r>
      <w:r>
        <w:rPr>
          <w:spacing w:val="-9"/>
          <w:sz w:val="18"/>
          <w:szCs w:val="18"/>
          <w:lang w:val="es-ES_tradnl"/>
        </w:rPr>
        <w:t>stas, o respecto de la solicitud de actualizaci</w:t>
      </w:r>
      <w:r>
        <w:rPr>
          <w:rFonts w:cs="Times New Roman"/>
          <w:spacing w:val="-9"/>
          <w:sz w:val="18"/>
          <w:szCs w:val="18"/>
          <w:lang w:val="es-ES_tradnl"/>
        </w:rPr>
        <w:t>ó</w:t>
      </w:r>
      <w:r>
        <w:rPr>
          <w:spacing w:val="-9"/>
          <w:sz w:val="18"/>
          <w:szCs w:val="18"/>
          <w:lang w:val="es-ES_tradnl"/>
        </w:rPr>
        <w:t xml:space="preserve">n, </w:t>
      </w:r>
      <w:r>
        <w:rPr>
          <w:spacing w:val="-2"/>
          <w:sz w:val="18"/>
          <w:szCs w:val="18"/>
          <w:lang w:val="es-ES_tradnl"/>
        </w:rPr>
        <w:t>rectificaci</w:t>
      </w:r>
      <w:r>
        <w:rPr>
          <w:rFonts w:cs="Times New Roman"/>
          <w:spacing w:val="-2"/>
          <w:sz w:val="18"/>
          <w:szCs w:val="18"/>
          <w:lang w:val="es-ES_tradnl"/>
        </w:rPr>
        <w:t>ó</w:t>
      </w:r>
      <w:r>
        <w:rPr>
          <w:spacing w:val="-2"/>
          <w:sz w:val="18"/>
          <w:szCs w:val="18"/>
          <w:lang w:val="es-ES_tradnl"/>
        </w:rPr>
        <w:t>n, eliminaci</w:t>
      </w:r>
      <w:r>
        <w:rPr>
          <w:rFonts w:cs="Times New Roman"/>
          <w:spacing w:val="-2"/>
          <w:sz w:val="18"/>
          <w:szCs w:val="18"/>
          <w:lang w:val="es-ES_tradnl"/>
        </w:rPr>
        <w:t>ó</w:t>
      </w:r>
      <w:r>
        <w:rPr>
          <w:spacing w:val="-2"/>
          <w:sz w:val="18"/>
          <w:szCs w:val="18"/>
          <w:lang w:val="es-ES_tradnl"/>
        </w:rPr>
        <w:t>n o anulaci</w:t>
      </w:r>
      <w:r>
        <w:rPr>
          <w:rFonts w:cs="Times New Roman"/>
          <w:spacing w:val="-2"/>
          <w:sz w:val="18"/>
          <w:szCs w:val="18"/>
          <w:lang w:val="es-ES_tradnl"/>
        </w:rPr>
        <w:t>ó</w:t>
      </w:r>
      <w:r>
        <w:rPr>
          <w:spacing w:val="-2"/>
          <w:sz w:val="18"/>
          <w:szCs w:val="18"/>
          <w:lang w:val="es-ES_tradnl"/>
        </w:rPr>
        <w:t xml:space="preserve">n de datos </w:t>
      </w:r>
      <w:r>
        <w:rPr>
          <w:spacing w:val="-4"/>
          <w:sz w:val="18"/>
          <w:szCs w:val="18"/>
          <w:lang w:val="es-ES_tradnl"/>
        </w:rPr>
        <w:t>que fueren err</w:t>
      </w:r>
      <w:r>
        <w:rPr>
          <w:rFonts w:cs="Times New Roman"/>
          <w:spacing w:val="-4"/>
          <w:sz w:val="18"/>
          <w:szCs w:val="18"/>
          <w:lang w:val="es-ES_tradnl"/>
        </w:rPr>
        <w:t>ó</w:t>
      </w:r>
      <w:r>
        <w:rPr>
          <w:spacing w:val="-4"/>
          <w:sz w:val="18"/>
          <w:szCs w:val="18"/>
          <w:lang w:val="es-ES_tradnl"/>
        </w:rPr>
        <w:t xml:space="preserve">neos o afecten los derechos de </w:t>
      </w:r>
      <w:r>
        <w:rPr>
          <w:spacing w:val="-6"/>
          <w:sz w:val="18"/>
          <w:szCs w:val="18"/>
          <w:lang w:val="es-ES_tradnl"/>
        </w:rPr>
        <w:t>estos titulares, ser</w:t>
      </w:r>
      <w:r>
        <w:rPr>
          <w:rFonts w:cs="Times New Roman"/>
          <w:spacing w:val="-6"/>
          <w:sz w:val="18"/>
          <w:szCs w:val="18"/>
          <w:lang w:val="es-ES_tradnl"/>
        </w:rPr>
        <w:t>á</w:t>
      </w:r>
      <w:r>
        <w:rPr>
          <w:spacing w:val="-6"/>
          <w:sz w:val="18"/>
          <w:szCs w:val="18"/>
          <w:lang w:val="es-ES_tradnl"/>
        </w:rPr>
        <w:t xml:space="preserve"> considerada como negativa </w:t>
      </w:r>
      <w:r>
        <w:rPr>
          <w:spacing w:val="-8"/>
          <w:sz w:val="18"/>
          <w:szCs w:val="18"/>
          <w:lang w:val="es-ES_tradnl"/>
        </w:rPr>
        <w:t>t</w:t>
      </w:r>
      <w:r>
        <w:rPr>
          <w:rFonts w:cs="Times New Roman"/>
          <w:spacing w:val="-8"/>
          <w:sz w:val="18"/>
          <w:szCs w:val="18"/>
          <w:lang w:val="es-ES_tradnl"/>
        </w:rPr>
        <w:t>á</w:t>
      </w:r>
      <w:r>
        <w:rPr>
          <w:spacing w:val="-8"/>
          <w:sz w:val="18"/>
          <w:szCs w:val="18"/>
          <w:lang w:val="es-ES_tradnl"/>
        </w:rPr>
        <w:t>cita por lo que se enmarcar</w:t>
      </w:r>
      <w:r>
        <w:rPr>
          <w:rFonts w:cs="Times New Roman"/>
          <w:spacing w:val="-8"/>
          <w:sz w:val="18"/>
          <w:szCs w:val="18"/>
          <w:lang w:val="es-ES_tradnl"/>
        </w:rPr>
        <w:t>á</w:t>
      </w:r>
      <w:r>
        <w:rPr>
          <w:spacing w:val="-8"/>
          <w:sz w:val="18"/>
          <w:szCs w:val="18"/>
          <w:lang w:val="es-ES_tradnl"/>
        </w:rPr>
        <w:t xml:space="preserve"> en los presupuestos </w:t>
      </w:r>
      <w:r>
        <w:rPr>
          <w:sz w:val="18"/>
          <w:szCs w:val="18"/>
          <w:lang w:val="es-ES_tradnl"/>
        </w:rPr>
        <w:t>de la acci</w:t>
      </w:r>
      <w:r>
        <w:rPr>
          <w:rFonts w:cs="Times New Roman"/>
          <w:sz w:val="18"/>
          <w:szCs w:val="18"/>
          <w:lang w:val="es-ES_tradnl"/>
        </w:rPr>
        <w:t>ó</w:t>
      </w:r>
      <w:r>
        <w:rPr>
          <w:sz w:val="18"/>
          <w:szCs w:val="18"/>
          <w:lang w:val="es-ES_tradnl"/>
        </w:rPr>
        <w:t>n de H</w:t>
      </w:r>
      <w:r>
        <w:rPr>
          <w:rFonts w:cs="Times New Roman"/>
          <w:sz w:val="18"/>
          <w:szCs w:val="18"/>
          <w:lang w:val="es-ES_tradnl"/>
        </w:rPr>
        <w:t>á</w:t>
      </w:r>
      <w:r>
        <w:rPr>
          <w:sz w:val="18"/>
          <w:szCs w:val="18"/>
          <w:lang w:val="es-ES_tradnl"/>
        </w:rPr>
        <w:t xml:space="preserve">beas Data contenidos en </w:t>
      </w:r>
      <w:r>
        <w:rPr>
          <w:spacing w:val="-3"/>
          <w:sz w:val="18"/>
          <w:szCs w:val="18"/>
          <w:lang w:val="es-ES_tradnl"/>
        </w:rPr>
        <w:t>los numerales 1 y 2 del art</w:t>
      </w:r>
      <w:r>
        <w:rPr>
          <w:rFonts w:cs="Times New Roman"/>
          <w:spacing w:val="-3"/>
          <w:sz w:val="18"/>
          <w:szCs w:val="18"/>
          <w:lang w:val="es-ES_tradnl"/>
        </w:rPr>
        <w:t>í</w:t>
      </w:r>
      <w:r>
        <w:rPr>
          <w:spacing w:val="-3"/>
          <w:sz w:val="18"/>
          <w:szCs w:val="18"/>
          <w:lang w:val="es-ES_tradnl"/>
        </w:rPr>
        <w:t xml:space="preserve">culo 50 de la Ley </w:t>
      </w:r>
      <w:r>
        <w:rPr>
          <w:spacing w:val="-6"/>
          <w:sz w:val="18"/>
          <w:szCs w:val="18"/>
          <w:lang w:val="es-ES_tradnl"/>
        </w:rPr>
        <w:t>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Control </w:t>
      </w:r>
      <w:r>
        <w:rPr>
          <w:sz w:val="18"/>
          <w:szCs w:val="18"/>
          <w:lang w:val="es-ES_tradnl"/>
        </w:rPr>
        <w:t>Constitucional.</w:t>
      </w:r>
    </w:p>
    <w:p w14:paraId="4F67AC9E" w14:textId="77777777" w:rsidR="00591D54" w:rsidRDefault="00591D54">
      <w:pPr>
        <w:shd w:val="clear" w:color="auto" w:fill="FFFFFF"/>
        <w:tabs>
          <w:tab w:val="left" w:pos="283"/>
        </w:tabs>
        <w:spacing w:before="206" w:line="226" w:lineRule="exact"/>
        <w:ind w:left="283" w:right="5" w:hanging="283"/>
        <w:jc w:val="both"/>
      </w:pPr>
      <w:r>
        <w:rPr>
          <w:spacing w:val="-9"/>
          <w:sz w:val="18"/>
          <w:szCs w:val="18"/>
          <w:lang w:val="es-ES_tradnl"/>
        </w:rPr>
        <w:t>5.</w:t>
      </w:r>
      <w:r>
        <w:rPr>
          <w:sz w:val="18"/>
          <w:szCs w:val="18"/>
          <w:lang w:val="es-ES_tradnl"/>
        </w:rPr>
        <w:tab/>
      </w:r>
      <w:r>
        <w:rPr>
          <w:spacing w:val="-3"/>
          <w:sz w:val="18"/>
          <w:szCs w:val="18"/>
          <w:lang w:val="es-ES_tradnl"/>
        </w:rPr>
        <w:t>De igual forma, esta Corte Constitucional, investida </w:t>
      </w:r>
      <w:r>
        <w:rPr>
          <w:spacing w:val="-5"/>
          <w:sz w:val="18"/>
          <w:szCs w:val="18"/>
          <w:lang w:val="es-ES_tradnl"/>
        </w:rPr>
        <w:t>de las atribuciones contempladas en el art</w:t>
      </w:r>
      <w:r>
        <w:rPr>
          <w:rFonts w:cs="Times New Roman"/>
          <w:spacing w:val="-5"/>
          <w:sz w:val="18"/>
          <w:szCs w:val="18"/>
          <w:lang w:val="es-ES_tradnl"/>
        </w:rPr>
        <w:t>í</w:t>
      </w:r>
      <w:r>
        <w:rPr>
          <w:spacing w:val="-5"/>
          <w:sz w:val="18"/>
          <w:szCs w:val="18"/>
          <w:lang w:val="es-ES_tradnl"/>
        </w:rPr>
        <w:t>culo 436 </w:t>
      </w:r>
      <w:r>
        <w:rPr>
          <w:spacing w:val="-4"/>
          <w:sz w:val="18"/>
          <w:szCs w:val="18"/>
          <w:lang w:val="es-ES_tradnl"/>
        </w:rPr>
        <w:t>numerales 1 y 6 de la Constituci</w:t>
      </w:r>
      <w:r>
        <w:rPr>
          <w:rFonts w:cs="Times New Roman"/>
          <w:spacing w:val="-4"/>
          <w:sz w:val="18"/>
          <w:szCs w:val="18"/>
          <w:lang w:val="es-ES_tradnl"/>
        </w:rPr>
        <w:t>ó</w:t>
      </w:r>
      <w:r>
        <w:rPr>
          <w:spacing w:val="-4"/>
          <w:sz w:val="18"/>
          <w:szCs w:val="18"/>
          <w:lang w:val="es-ES_tradnl"/>
        </w:rPr>
        <w:t>n de la Rep</w:t>
      </w:r>
      <w:r>
        <w:rPr>
          <w:rFonts w:cs="Times New Roman"/>
          <w:spacing w:val="-4"/>
          <w:sz w:val="18"/>
          <w:szCs w:val="18"/>
          <w:lang w:val="es-ES_tradnl"/>
        </w:rPr>
        <w:t>ú</w:t>
      </w:r>
      <w:r>
        <w:rPr>
          <w:spacing w:val="-4"/>
          <w:sz w:val="18"/>
          <w:szCs w:val="18"/>
          <w:lang w:val="es-ES_tradnl"/>
        </w:rPr>
        <w:t>blica, </w:t>
      </w:r>
      <w:r>
        <w:rPr>
          <w:sz w:val="18"/>
          <w:szCs w:val="18"/>
          <w:lang w:val="es-ES_tradnl"/>
        </w:rPr>
        <w:t>respecto de la naturaleza, contenido y alcance de </w:t>
      </w:r>
      <w:r>
        <w:rPr>
          <w:spacing w:val="-6"/>
          <w:sz w:val="18"/>
          <w:szCs w:val="18"/>
          <w:lang w:val="es-ES_tradnl"/>
        </w:rPr>
        <w:t>la acci</w:t>
      </w:r>
      <w:r>
        <w:rPr>
          <w:rFonts w:cs="Times New Roman"/>
          <w:spacing w:val="-6"/>
          <w:sz w:val="18"/>
          <w:szCs w:val="18"/>
          <w:lang w:val="es-ES_tradnl"/>
        </w:rPr>
        <w:t>ó</w:t>
      </w:r>
      <w:r>
        <w:rPr>
          <w:spacing w:val="-6"/>
          <w:sz w:val="18"/>
          <w:szCs w:val="18"/>
          <w:lang w:val="es-ES_tradnl"/>
        </w:rPr>
        <w:t>n constitucional de h</w:t>
      </w:r>
      <w:r>
        <w:rPr>
          <w:rFonts w:cs="Times New Roman"/>
          <w:spacing w:val="-6"/>
          <w:sz w:val="18"/>
          <w:szCs w:val="18"/>
          <w:lang w:val="es-ES_tradnl"/>
        </w:rPr>
        <w:t>á</w:t>
      </w:r>
      <w:r>
        <w:rPr>
          <w:spacing w:val="-6"/>
          <w:sz w:val="18"/>
          <w:szCs w:val="18"/>
          <w:lang w:val="es-ES_tradnl"/>
        </w:rPr>
        <w:t>beas data, considera </w:t>
      </w:r>
      <w:r>
        <w:rPr>
          <w:spacing w:val="-4"/>
          <w:sz w:val="18"/>
          <w:szCs w:val="18"/>
          <w:lang w:val="es-ES_tradnl"/>
        </w:rPr>
        <w:t>pertinente la emisi</w:t>
      </w:r>
      <w:r>
        <w:rPr>
          <w:rFonts w:cs="Times New Roman"/>
          <w:spacing w:val="-4"/>
          <w:sz w:val="18"/>
          <w:szCs w:val="18"/>
          <w:lang w:val="es-ES_tradnl"/>
        </w:rPr>
        <w:t>ó</w:t>
      </w:r>
      <w:r>
        <w:rPr>
          <w:spacing w:val="-4"/>
          <w:sz w:val="18"/>
          <w:szCs w:val="18"/>
          <w:lang w:val="es-ES_tradnl"/>
        </w:rPr>
        <w:t>n de las siguientes reglas </w:t>
      </w:r>
      <w:r>
        <w:rPr>
          <w:spacing w:val="-6"/>
          <w:sz w:val="18"/>
          <w:szCs w:val="18"/>
          <w:lang w:val="es-ES_tradnl"/>
        </w:rPr>
        <w:t xml:space="preserve">jurisprudenciales con efecto </w:t>
      </w:r>
      <w:r>
        <w:rPr>
          <w:i/>
          <w:iCs/>
          <w:spacing w:val="-6"/>
          <w:sz w:val="18"/>
          <w:szCs w:val="18"/>
          <w:lang w:val="es-ES_tradnl"/>
        </w:rPr>
        <w:t>erga omnes</w:t>
      </w:r>
      <w:r>
        <w:rPr>
          <w:spacing w:val="-6"/>
          <w:sz w:val="18"/>
          <w:szCs w:val="18"/>
          <w:lang w:val="es-ES_tradnl"/>
        </w:rPr>
        <w:t>:</w:t>
      </w:r>
    </w:p>
    <w:p w14:paraId="4F67AC9F" w14:textId="77777777" w:rsidR="00591D54" w:rsidRDefault="00591D54">
      <w:pPr>
        <w:shd w:val="clear" w:color="auto" w:fill="FFFFFF"/>
        <w:spacing w:before="202" w:line="226" w:lineRule="exact"/>
        <w:ind w:left="566" w:right="5"/>
        <w:jc w:val="both"/>
      </w:pPr>
      <w:r>
        <w:rPr>
          <w:b/>
          <w:bCs/>
          <w:spacing w:val="-1"/>
          <w:sz w:val="18"/>
          <w:szCs w:val="18"/>
          <w:lang w:val="es-ES_tradnl"/>
        </w:rPr>
        <w:t>Naturaleza</w:t>
      </w:r>
      <w:r>
        <w:rPr>
          <w:spacing w:val="-1"/>
          <w:sz w:val="18"/>
          <w:szCs w:val="18"/>
          <w:lang w:val="es-ES_tradnl"/>
        </w:rPr>
        <w:t>: La acci</w:t>
      </w:r>
      <w:r>
        <w:rPr>
          <w:rFonts w:cs="Times New Roman"/>
          <w:spacing w:val="-1"/>
          <w:sz w:val="18"/>
          <w:szCs w:val="18"/>
          <w:lang w:val="es-ES_tradnl"/>
        </w:rPr>
        <w:t>ó</w:t>
      </w:r>
      <w:r>
        <w:rPr>
          <w:spacing w:val="-1"/>
          <w:sz w:val="18"/>
          <w:szCs w:val="18"/>
          <w:lang w:val="es-ES_tradnl"/>
        </w:rPr>
        <w:t>n de h</w:t>
      </w:r>
      <w:r>
        <w:rPr>
          <w:rFonts w:cs="Times New Roman"/>
          <w:spacing w:val="-1"/>
          <w:sz w:val="18"/>
          <w:szCs w:val="18"/>
          <w:lang w:val="es-ES_tradnl"/>
        </w:rPr>
        <w:t>á</w:t>
      </w:r>
      <w:r>
        <w:rPr>
          <w:spacing w:val="-1"/>
          <w:sz w:val="18"/>
          <w:szCs w:val="18"/>
          <w:lang w:val="es-ES_tradnl"/>
        </w:rPr>
        <w:t xml:space="preserve">beas data es la </w:t>
      </w:r>
      <w:r>
        <w:rPr>
          <w:spacing w:val="-7"/>
          <w:sz w:val="18"/>
          <w:szCs w:val="18"/>
          <w:lang w:val="es-ES_tradnl"/>
        </w:rPr>
        <w:t>garant</w:t>
      </w:r>
      <w:r>
        <w:rPr>
          <w:rFonts w:cs="Times New Roman"/>
          <w:spacing w:val="-7"/>
          <w:sz w:val="18"/>
          <w:szCs w:val="18"/>
          <w:lang w:val="es-ES_tradnl"/>
        </w:rPr>
        <w:t>í</w:t>
      </w:r>
      <w:r>
        <w:rPr>
          <w:spacing w:val="-7"/>
          <w:sz w:val="18"/>
          <w:szCs w:val="18"/>
          <w:lang w:val="es-ES_tradnl"/>
        </w:rPr>
        <w:t xml:space="preserve">a constitucional que le permite a la persona </w:t>
      </w:r>
      <w:r>
        <w:rPr>
          <w:spacing w:val="-4"/>
          <w:sz w:val="18"/>
          <w:szCs w:val="18"/>
          <w:lang w:val="es-ES_tradnl"/>
        </w:rPr>
        <w:t>natural o jur</w:t>
      </w:r>
      <w:r>
        <w:rPr>
          <w:rFonts w:cs="Times New Roman"/>
          <w:spacing w:val="-4"/>
          <w:sz w:val="18"/>
          <w:szCs w:val="18"/>
          <w:lang w:val="es-ES_tradnl"/>
        </w:rPr>
        <w:t>í</w:t>
      </w:r>
      <w:r>
        <w:rPr>
          <w:spacing w:val="-4"/>
          <w:sz w:val="18"/>
          <w:szCs w:val="18"/>
          <w:lang w:val="es-ES_tradnl"/>
        </w:rPr>
        <w:t>dica, acceder a la informaci</w:t>
      </w:r>
      <w:r>
        <w:rPr>
          <w:rFonts w:cs="Times New Roman"/>
          <w:spacing w:val="-4"/>
          <w:sz w:val="18"/>
          <w:szCs w:val="18"/>
          <w:lang w:val="es-ES_tradnl"/>
        </w:rPr>
        <w:t>ó</w:t>
      </w:r>
      <w:r>
        <w:rPr>
          <w:spacing w:val="-4"/>
          <w:sz w:val="18"/>
          <w:szCs w:val="18"/>
          <w:lang w:val="es-ES_tradnl"/>
        </w:rPr>
        <w:t xml:space="preserve">n que </w:t>
      </w:r>
      <w:r>
        <w:rPr>
          <w:sz w:val="18"/>
          <w:szCs w:val="18"/>
          <w:lang w:val="es-ES_tradnl"/>
        </w:rPr>
        <w:t>sobre s</w:t>
      </w:r>
      <w:r>
        <w:rPr>
          <w:rFonts w:cs="Times New Roman"/>
          <w:sz w:val="18"/>
          <w:szCs w:val="18"/>
          <w:lang w:val="es-ES_tradnl"/>
        </w:rPr>
        <w:t>í</w:t>
      </w:r>
      <w:r>
        <w:rPr>
          <w:sz w:val="18"/>
          <w:szCs w:val="18"/>
          <w:lang w:val="es-ES_tradnl"/>
        </w:rPr>
        <w:t xml:space="preserve"> misma reposa en un registro o banco </w:t>
      </w:r>
      <w:r>
        <w:rPr>
          <w:spacing w:val="-3"/>
          <w:sz w:val="18"/>
          <w:szCs w:val="18"/>
          <w:lang w:val="es-ES_tradnl"/>
        </w:rPr>
        <w:t>de datos de car</w:t>
      </w:r>
      <w:r>
        <w:rPr>
          <w:rFonts w:cs="Times New Roman"/>
          <w:spacing w:val="-3"/>
          <w:sz w:val="18"/>
          <w:szCs w:val="18"/>
          <w:lang w:val="es-ES_tradnl"/>
        </w:rPr>
        <w:t>á</w:t>
      </w:r>
      <w:r>
        <w:rPr>
          <w:spacing w:val="-3"/>
          <w:sz w:val="18"/>
          <w:szCs w:val="18"/>
          <w:lang w:val="es-ES_tradnl"/>
        </w:rPr>
        <w:t>cter p</w:t>
      </w:r>
      <w:r>
        <w:rPr>
          <w:rFonts w:cs="Times New Roman"/>
          <w:spacing w:val="-3"/>
          <w:sz w:val="18"/>
          <w:szCs w:val="18"/>
          <w:lang w:val="es-ES_tradnl"/>
        </w:rPr>
        <w:t>ú</w:t>
      </w:r>
      <w:r>
        <w:rPr>
          <w:spacing w:val="-3"/>
          <w:sz w:val="18"/>
          <w:szCs w:val="18"/>
          <w:lang w:val="es-ES_tradnl"/>
        </w:rPr>
        <w:t xml:space="preserve">blico o privado, a fin de </w:t>
      </w:r>
      <w:r>
        <w:rPr>
          <w:spacing w:val="-7"/>
          <w:sz w:val="18"/>
          <w:szCs w:val="18"/>
          <w:lang w:val="es-ES_tradnl"/>
        </w:rPr>
        <w:t xml:space="preserve">conocer el contenido de la misma y de ser el caso, </w:t>
      </w:r>
      <w:r>
        <w:rPr>
          <w:spacing w:val="-3"/>
          <w:sz w:val="18"/>
          <w:szCs w:val="18"/>
          <w:lang w:val="es-ES_tradnl"/>
        </w:rPr>
        <w:t>exigir su actualizaci</w:t>
      </w:r>
      <w:r>
        <w:rPr>
          <w:rFonts w:cs="Times New Roman"/>
          <w:spacing w:val="-3"/>
          <w:sz w:val="18"/>
          <w:szCs w:val="18"/>
          <w:lang w:val="es-ES_tradnl"/>
        </w:rPr>
        <w:t>ó</w:t>
      </w:r>
      <w:r>
        <w:rPr>
          <w:spacing w:val="-3"/>
          <w:sz w:val="18"/>
          <w:szCs w:val="18"/>
          <w:lang w:val="es-ES_tradnl"/>
        </w:rPr>
        <w:t>n, rectificaci</w:t>
      </w:r>
      <w:r>
        <w:rPr>
          <w:rFonts w:cs="Times New Roman"/>
          <w:spacing w:val="-3"/>
          <w:sz w:val="18"/>
          <w:szCs w:val="18"/>
          <w:lang w:val="es-ES_tradnl"/>
        </w:rPr>
        <w:t>ó</w:t>
      </w:r>
      <w:r>
        <w:rPr>
          <w:spacing w:val="-3"/>
          <w:sz w:val="18"/>
          <w:szCs w:val="18"/>
          <w:lang w:val="es-ES_tradnl"/>
        </w:rPr>
        <w:t>n, eliminaci</w:t>
      </w:r>
      <w:r>
        <w:rPr>
          <w:rFonts w:cs="Times New Roman"/>
          <w:spacing w:val="-3"/>
          <w:sz w:val="18"/>
          <w:szCs w:val="18"/>
          <w:lang w:val="es-ES_tradnl"/>
        </w:rPr>
        <w:t>ó</w:t>
      </w:r>
      <w:r>
        <w:rPr>
          <w:spacing w:val="-3"/>
          <w:sz w:val="18"/>
          <w:szCs w:val="18"/>
          <w:lang w:val="es-ES_tradnl"/>
        </w:rPr>
        <w:t xml:space="preserve">n </w:t>
      </w:r>
      <w:r>
        <w:rPr>
          <w:spacing w:val="-6"/>
          <w:sz w:val="18"/>
          <w:szCs w:val="18"/>
          <w:lang w:val="es-ES_tradnl"/>
        </w:rPr>
        <w:t>o anulaci</w:t>
      </w:r>
      <w:r>
        <w:rPr>
          <w:rFonts w:cs="Times New Roman"/>
          <w:spacing w:val="-6"/>
          <w:sz w:val="18"/>
          <w:szCs w:val="18"/>
          <w:lang w:val="es-ES_tradnl"/>
        </w:rPr>
        <w:t>ó</w:t>
      </w:r>
      <w:r>
        <w:rPr>
          <w:spacing w:val="-6"/>
          <w:sz w:val="18"/>
          <w:szCs w:val="18"/>
          <w:lang w:val="es-ES_tradnl"/>
        </w:rPr>
        <w:t>n cuando aquella informaci</w:t>
      </w:r>
      <w:r>
        <w:rPr>
          <w:rFonts w:cs="Times New Roman"/>
          <w:spacing w:val="-6"/>
          <w:sz w:val="18"/>
          <w:szCs w:val="18"/>
          <w:lang w:val="es-ES_tradnl"/>
        </w:rPr>
        <w:t>ó</w:t>
      </w:r>
      <w:r>
        <w:rPr>
          <w:spacing w:val="-6"/>
          <w:sz w:val="18"/>
          <w:szCs w:val="18"/>
          <w:lang w:val="es-ES_tradnl"/>
        </w:rPr>
        <w:t xml:space="preserve">n le causan </w:t>
      </w:r>
      <w:r>
        <w:rPr>
          <w:spacing w:val="-5"/>
          <w:sz w:val="18"/>
          <w:szCs w:val="18"/>
          <w:lang w:val="es-ES_tradnl"/>
        </w:rPr>
        <w:t>alg</w:t>
      </w:r>
      <w:r>
        <w:rPr>
          <w:rFonts w:cs="Times New Roman"/>
          <w:spacing w:val="-5"/>
          <w:sz w:val="18"/>
          <w:szCs w:val="18"/>
          <w:lang w:val="es-ES_tradnl"/>
        </w:rPr>
        <w:t>ú</w:t>
      </w:r>
      <w:r>
        <w:rPr>
          <w:spacing w:val="-5"/>
          <w:sz w:val="18"/>
          <w:szCs w:val="18"/>
          <w:lang w:val="es-ES_tradnl"/>
        </w:rPr>
        <w:t xml:space="preserve">n tipo de perjuicio, a efectos de salvaguardar </w:t>
      </w:r>
      <w:r>
        <w:rPr>
          <w:spacing w:val="-4"/>
          <w:sz w:val="18"/>
          <w:szCs w:val="18"/>
          <w:lang w:val="es-ES_tradnl"/>
        </w:rPr>
        <w:t>su derecho a la intimidad personal y familiar.</w:t>
      </w:r>
    </w:p>
    <w:p w14:paraId="4F67ACA0" w14:textId="77777777" w:rsidR="00591D54" w:rsidRDefault="00591D54">
      <w:pPr>
        <w:shd w:val="clear" w:color="auto" w:fill="FFFFFF"/>
        <w:spacing w:before="202" w:line="226" w:lineRule="exact"/>
        <w:ind w:left="566" w:right="5"/>
        <w:jc w:val="both"/>
      </w:pPr>
      <w:r>
        <w:rPr>
          <w:b/>
          <w:bCs/>
          <w:spacing w:val="-5"/>
          <w:sz w:val="18"/>
          <w:szCs w:val="18"/>
          <w:lang w:val="es-ES_tradnl"/>
        </w:rPr>
        <w:t xml:space="preserve">Contenido: </w:t>
      </w:r>
      <w:r>
        <w:rPr>
          <w:spacing w:val="-5"/>
          <w:sz w:val="18"/>
          <w:szCs w:val="18"/>
          <w:lang w:val="es-ES_tradnl"/>
        </w:rPr>
        <w:t>La acci</w:t>
      </w:r>
      <w:r>
        <w:rPr>
          <w:rFonts w:cs="Times New Roman"/>
          <w:spacing w:val="-5"/>
          <w:sz w:val="18"/>
          <w:szCs w:val="18"/>
          <w:lang w:val="es-ES_tradnl"/>
        </w:rPr>
        <w:t>ó</w:t>
      </w:r>
      <w:r>
        <w:rPr>
          <w:spacing w:val="-5"/>
          <w:sz w:val="18"/>
          <w:szCs w:val="18"/>
          <w:lang w:val="es-ES_tradnl"/>
        </w:rPr>
        <w:t>n constitucional de h</w:t>
      </w:r>
      <w:r>
        <w:rPr>
          <w:rFonts w:cs="Times New Roman"/>
          <w:spacing w:val="-5"/>
          <w:sz w:val="18"/>
          <w:szCs w:val="18"/>
          <w:lang w:val="es-ES_tradnl"/>
        </w:rPr>
        <w:t>á</w:t>
      </w:r>
      <w:r>
        <w:rPr>
          <w:spacing w:val="-5"/>
          <w:sz w:val="18"/>
          <w:szCs w:val="18"/>
          <w:lang w:val="es-ES_tradnl"/>
        </w:rPr>
        <w:t xml:space="preserve">beas </w:t>
      </w:r>
      <w:r>
        <w:rPr>
          <w:spacing w:val="-6"/>
          <w:sz w:val="18"/>
          <w:szCs w:val="18"/>
          <w:lang w:val="es-ES_tradnl"/>
        </w:rPr>
        <w:t>data, proteger</w:t>
      </w:r>
      <w:r>
        <w:rPr>
          <w:rFonts w:cs="Times New Roman"/>
          <w:spacing w:val="-6"/>
          <w:sz w:val="18"/>
          <w:szCs w:val="18"/>
          <w:lang w:val="es-ES_tradnl"/>
        </w:rPr>
        <w:t>á</w:t>
      </w:r>
      <w:r>
        <w:rPr>
          <w:spacing w:val="-6"/>
          <w:sz w:val="18"/>
          <w:szCs w:val="18"/>
          <w:lang w:val="es-ES_tradnl"/>
        </w:rPr>
        <w:t xml:space="preserve"> el derecho a la intimidad, la honra, </w:t>
      </w:r>
      <w:r>
        <w:rPr>
          <w:spacing w:val="-2"/>
          <w:sz w:val="18"/>
          <w:szCs w:val="18"/>
          <w:lang w:val="es-ES_tradnl"/>
        </w:rPr>
        <w:t>la integridad psicol</w:t>
      </w:r>
      <w:r>
        <w:rPr>
          <w:rFonts w:cs="Times New Roman"/>
          <w:spacing w:val="-2"/>
          <w:sz w:val="18"/>
          <w:szCs w:val="18"/>
          <w:lang w:val="es-ES_tradnl"/>
        </w:rPr>
        <w:t>ó</w:t>
      </w:r>
      <w:r>
        <w:rPr>
          <w:spacing w:val="-2"/>
          <w:sz w:val="18"/>
          <w:szCs w:val="18"/>
          <w:lang w:val="es-ES_tradnl"/>
        </w:rPr>
        <w:t xml:space="preserve">gica de la persona, puesto </w:t>
      </w:r>
      <w:r>
        <w:rPr>
          <w:spacing w:val="-3"/>
          <w:sz w:val="18"/>
          <w:szCs w:val="18"/>
          <w:lang w:val="es-ES_tradnl"/>
        </w:rPr>
        <w:t>que no toda la informaci</w:t>
      </w:r>
      <w:r>
        <w:rPr>
          <w:rFonts w:cs="Times New Roman"/>
          <w:spacing w:val="-3"/>
          <w:sz w:val="18"/>
          <w:szCs w:val="18"/>
          <w:lang w:val="es-ES_tradnl"/>
        </w:rPr>
        <w:t>ó</w:t>
      </w:r>
      <w:r>
        <w:rPr>
          <w:spacing w:val="-3"/>
          <w:sz w:val="18"/>
          <w:szCs w:val="18"/>
          <w:lang w:val="es-ES_tradnl"/>
        </w:rPr>
        <w:t xml:space="preserve">n relativa a estos tiene </w:t>
      </w:r>
      <w:r>
        <w:rPr>
          <w:spacing w:val="-6"/>
          <w:sz w:val="18"/>
          <w:szCs w:val="18"/>
          <w:lang w:val="es-ES_tradnl"/>
        </w:rPr>
        <w:t>el car</w:t>
      </w:r>
      <w:r>
        <w:rPr>
          <w:rFonts w:cs="Times New Roman"/>
          <w:spacing w:val="-6"/>
          <w:sz w:val="18"/>
          <w:szCs w:val="18"/>
          <w:lang w:val="es-ES_tradnl"/>
        </w:rPr>
        <w:t>á</w:t>
      </w:r>
      <w:r>
        <w:rPr>
          <w:spacing w:val="-6"/>
          <w:sz w:val="18"/>
          <w:szCs w:val="18"/>
          <w:lang w:val="es-ES_tradnl"/>
        </w:rPr>
        <w:t>cter de p</w:t>
      </w:r>
      <w:r>
        <w:rPr>
          <w:rFonts w:cs="Times New Roman"/>
          <w:spacing w:val="-6"/>
          <w:sz w:val="18"/>
          <w:szCs w:val="18"/>
          <w:lang w:val="es-ES_tradnl"/>
        </w:rPr>
        <w:t>ú</w:t>
      </w:r>
      <w:r>
        <w:rPr>
          <w:spacing w:val="-6"/>
          <w:sz w:val="18"/>
          <w:szCs w:val="18"/>
          <w:lang w:val="es-ES_tradnl"/>
        </w:rPr>
        <w:t xml:space="preserve">blica y por tanto de divulgable en </w:t>
      </w:r>
      <w:r>
        <w:rPr>
          <w:spacing w:val="-5"/>
          <w:sz w:val="18"/>
          <w:szCs w:val="18"/>
          <w:lang w:val="es-ES_tradnl"/>
        </w:rPr>
        <w:t xml:space="preserve">forma libre. En efecto, existen asuntos relativos a su familia, sus creencias religiosas y espirituales, </w:t>
      </w:r>
      <w:r>
        <w:rPr>
          <w:spacing w:val="-3"/>
          <w:sz w:val="18"/>
          <w:szCs w:val="18"/>
          <w:lang w:val="es-ES_tradnl"/>
        </w:rPr>
        <w:t>su filiaci</w:t>
      </w:r>
      <w:r>
        <w:rPr>
          <w:rFonts w:cs="Times New Roman"/>
          <w:spacing w:val="-3"/>
          <w:sz w:val="18"/>
          <w:szCs w:val="18"/>
          <w:lang w:val="es-ES_tradnl"/>
        </w:rPr>
        <w:t>ó</w:t>
      </w:r>
      <w:r>
        <w:rPr>
          <w:spacing w:val="-3"/>
          <w:sz w:val="18"/>
          <w:szCs w:val="18"/>
          <w:lang w:val="es-ES_tradnl"/>
        </w:rPr>
        <w:t>n pol</w:t>
      </w:r>
      <w:r>
        <w:rPr>
          <w:rFonts w:cs="Times New Roman"/>
          <w:spacing w:val="-3"/>
          <w:sz w:val="18"/>
          <w:szCs w:val="18"/>
          <w:lang w:val="es-ES_tradnl"/>
        </w:rPr>
        <w:t>í</w:t>
      </w:r>
      <w:r>
        <w:rPr>
          <w:spacing w:val="-3"/>
          <w:sz w:val="18"/>
          <w:szCs w:val="18"/>
          <w:lang w:val="es-ES_tradnl"/>
        </w:rPr>
        <w:t>tica, su orientaci</w:t>
      </w:r>
      <w:r>
        <w:rPr>
          <w:rFonts w:cs="Times New Roman"/>
          <w:spacing w:val="-3"/>
          <w:sz w:val="18"/>
          <w:szCs w:val="18"/>
          <w:lang w:val="es-ES_tradnl"/>
        </w:rPr>
        <w:t>ó</w:t>
      </w:r>
      <w:r>
        <w:rPr>
          <w:spacing w:val="-3"/>
          <w:sz w:val="18"/>
          <w:szCs w:val="18"/>
          <w:lang w:val="es-ES_tradnl"/>
        </w:rPr>
        <w:t xml:space="preserve">n sexual, entre </w:t>
      </w:r>
      <w:r>
        <w:rPr>
          <w:spacing w:val="-6"/>
          <w:sz w:val="18"/>
          <w:szCs w:val="18"/>
          <w:lang w:val="es-ES_tradnl"/>
        </w:rPr>
        <w:t xml:space="preserve">otras, que en caso de ser divulgadas de forma </w:t>
      </w:r>
      <w:r>
        <w:rPr>
          <w:spacing w:val="-2"/>
          <w:sz w:val="18"/>
          <w:szCs w:val="18"/>
          <w:lang w:val="es-ES_tradnl"/>
        </w:rPr>
        <w:t>inadecuada e inoportuna podr</w:t>
      </w:r>
      <w:r>
        <w:rPr>
          <w:rFonts w:cs="Times New Roman"/>
          <w:spacing w:val="-2"/>
          <w:sz w:val="18"/>
          <w:szCs w:val="18"/>
          <w:lang w:val="es-ES_tradnl"/>
        </w:rPr>
        <w:t>í</w:t>
      </w:r>
      <w:r>
        <w:rPr>
          <w:spacing w:val="-2"/>
          <w:sz w:val="18"/>
          <w:szCs w:val="18"/>
          <w:lang w:val="es-ES_tradnl"/>
        </w:rPr>
        <w:t xml:space="preserve">an ocasionarle </w:t>
      </w:r>
      <w:r>
        <w:rPr>
          <w:spacing w:val="-6"/>
          <w:sz w:val="18"/>
          <w:szCs w:val="18"/>
          <w:lang w:val="es-ES_tradnl"/>
        </w:rPr>
        <w:t>serios perjuicios en la esfera personal.</w:t>
      </w:r>
    </w:p>
    <w:p w14:paraId="4F67ACA1" w14:textId="77777777" w:rsidR="00591D54" w:rsidRDefault="00591D54">
      <w:pPr>
        <w:shd w:val="clear" w:color="auto" w:fill="FFFFFF"/>
        <w:spacing w:before="206" w:line="226" w:lineRule="exact"/>
        <w:ind w:left="566"/>
        <w:jc w:val="both"/>
      </w:pPr>
      <w:r>
        <w:rPr>
          <w:b/>
          <w:bCs/>
          <w:sz w:val="18"/>
          <w:szCs w:val="18"/>
          <w:lang w:val="es-ES_tradnl"/>
        </w:rPr>
        <w:t xml:space="preserve">Alcance: </w:t>
      </w:r>
      <w:r>
        <w:rPr>
          <w:sz w:val="18"/>
          <w:szCs w:val="18"/>
          <w:lang w:val="es-ES_tradnl"/>
        </w:rPr>
        <w:t>La acci</w:t>
      </w:r>
      <w:r>
        <w:rPr>
          <w:rFonts w:cs="Times New Roman"/>
          <w:sz w:val="18"/>
          <w:szCs w:val="18"/>
          <w:lang w:val="es-ES_tradnl"/>
        </w:rPr>
        <w:t>ó</w:t>
      </w:r>
      <w:r>
        <w:rPr>
          <w:sz w:val="18"/>
          <w:szCs w:val="18"/>
          <w:lang w:val="es-ES_tradnl"/>
        </w:rPr>
        <w:t>n constitucional de h</w:t>
      </w:r>
      <w:r>
        <w:rPr>
          <w:rFonts w:cs="Times New Roman"/>
          <w:sz w:val="18"/>
          <w:szCs w:val="18"/>
          <w:lang w:val="es-ES_tradnl"/>
        </w:rPr>
        <w:t>á</w:t>
      </w:r>
      <w:r>
        <w:rPr>
          <w:sz w:val="18"/>
          <w:szCs w:val="18"/>
          <w:lang w:val="es-ES_tradnl"/>
        </w:rPr>
        <w:t xml:space="preserve">beas </w:t>
      </w:r>
      <w:r>
        <w:rPr>
          <w:spacing w:val="-7"/>
          <w:sz w:val="18"/>
          <w:szCs w:val="18"/>
          <w:lang w:val="es-ES_tradnl"/>
        </w:rPr>
        <w:t>data tiene lineamientos espec</w:t>
      </w:r>
      <w:r>
        <w:rPr>
          <w:rFonts w:cs="Times New Roman"/>
          <w:spacing w:val="-7"/>
          <w:sz w:val="18"/>
          <w:szCs w:val="18"/>
          <w:lang w:val="es-ES_tradnl"/>
        </w:rPr>
        <w:t>í</w:t>
      </w:r>
      <w:r>
        <w:rPr>
          <w:spacing w:val="-7"/>
          <w:sz w:val="18"/>
          <w:szCs w:val="18"/>
          <w:lang w:val="es-ES_tradnl"/>
        </w:rPr>
        <w:t xml:space="preserve">ficos que deben ser </w:t>
      </w:r>
      <w:r>
        <w:rPr>
          <w:spacing w:val="-6"/>
          <w:sz w:val="18"/>
          <w:szCs w:val="18"/>
          <w:lang w:val="es-ES_tradnl"/>
        </w:rPr>
        <w:t>observados por quien ejerce la legitimaci</w:t>
      </w:r>
      <w:r>
        <w:rPr>
          <w:rFonts w:cs="Times New Roman"/>
          <w:spacing w:val="-6"/>
          <w:sz w:val="18"/>
          <w:szCs w:val="18"/>
          <w:lang w:val="es-ES_tradnl"/>
        </w:rPr>
        <w:t>ó</w:t>
      </w:r>
      <w:r>
        <w:rPr>
          <w:spacing w:val="-6"/>
          <w:sz w:val="18"/>
          <w:szCs w:val="18"/>
          <w:lang w:val="es-ES_tradnl"/>
        </w:rPr>
        <w:t xml:space="preserve">n activa </w:t>
      </w:r>
      <w:r>
        <w:rPr>
          <w:spacing w:val="-5"/>
          <w:sz w:val="18"/>
          <w:szCs w:val="18"/>
          <w:lang w:val="es-ES_tradnl"/>
        </w:rPr>
        <w:t xml:space="preserve">de la misma, quien de forma especial, al redactar </w:t>
      </w:r>
      <w:r>
        <w:rPr>
          <w:spacing w:val="-6"/>
          <w:sz w:val="18"/>
          <w:szCs w:val="18"/>
          <w:lang w:val="es-ES_tradnl"/>
        </w:rPr>
        <w:t>su pretensi</w:t>
      </w:r>
      <w:r>
        <w:rPr>
          <w:rFonts w:cs="Times New Roman"/>
          <w:spacing w:val="-6"/>
          <w:sz w:val="18"/>
          <w:szCs w:val="18"/>
          <w:lang w:val="es-ES_tradnl"/>
        </w:rPr>
        <w:t>ó</w:t>
      </w:r>
      <w:r>
        <w:rPr>
          <w:spacing w:val="-6"/>
          <w:sz w:val="18"/>
          <w:szCs w:val="18"/>
          <w:lang w:val="es-ES_tradnl"/>
        </w:rPr>
        <w:t>n deber</w:t>
      </w:r>
      <w:r>
        <w:rPr>
          <w:rFonts w:cs="Times New Roman"/>
          <w:spacing w:val="-6"/>
          <w:sz w:val="18"/>
          <w:szCs w:val="18"/>
          <w:lang w:val="es-ES_tradnl"/>
        </w:rPr>
        <w:t>á</w:t>
      </w:r>
      <w:r>
        <w:rPr>
          <w:spacing w:val="-6"/>
          <w:sz w:val="18"/>
          <w:szCs w:val="18"/>
          <w:lang w:val="es-ES_tradnl"/>
        </w:rPr>
        <w:t xml:space="preserve"> estructurar su pedido de </w:t>
      </w:r>
      <w:r>
        <w:rPr>
          <w:spacing w:val="-1"/>
          <w:sz w:val="18"/>
          <w:szCs w:val="18"/>
          <w:lang w:val="es-ES_tradnl"/>
        </w:rPr>
        <w:t>conformidad con los par</w:t>
      </w:r>
      <w:r>
        <w:rPr>
          <w:rFonts w:cs="Times New Roman"/>
          <w:spacing w:val="-1"/>
          <w:sz w:val="18"/>
          <w:szCs w:val="18"/>
          <w:lang w:val="es-ES_tradnl"/>
        </w:rPr>
        <w:t>á</w:t>
      </w:r>
      <w:r>
        <w:rPr>
          <w:spacing w:val="-1"/>
          <w:sz w:val="18"/>
          <w:szCs w:val="18"/>
          <w:lang w:val="es-ES_tradnl"/>
        </w:rPr>
        <w:t xml:space="preserve">metros establecidos </w:t>
      </w:r>
      <w:r>
        <w:rPr>
          <w:sz w:val="18"/>
          <w:szCs w:val="18"/>
          <w:lang w:val="es-ES_tradnl"/>
        </w:rPr>
        <w:t>para el efecto en la Constituci</w:t>
      </w:r>
      <w:r>
        <w:rPr>
          <w:rFonts w:cs="Times New Roman"/>
          <w:sz w:val="18"/>
          <w:szCs w:val="18"/>
          <w:lang w:val="es-ES_tradnl"/>
        </w:rPr>
        <w:t>ó</w:t>
      </w:r>
      <w:r>
        <w:rPr>
          <w:sz w:val="18"/>
          <w:szCs w:val="18"/>
          <w:lang w:val="es-ES_tradnl"/>
        </w:rPr>
        <w:t xml:space="preserve">n, en la Ley </w:t>
      </w:r>
      <w:r>
        <w:rPr>
          <w:spacing w:val="-6"/>
          <w:sz w:val="18"/>
          <w:szCs w:val="18"/>
          <w:lang w:val="es-ES_tradnl"/>
        </w:rPr>
        <w:t>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Control </w:t>
      </w:r>
      <w:r>
        <w:rPr>
          <w:spacing w:val="-3"/>
          <w:sz w:val="18"/>
          <w:szCs w:val="18"/>
          <w:lang w:val="es-ES_tradnl"/>
        </w:rPr>
        <w:t xml:space="preserve">Constitucional y en la jurisprudencia vinculante </w:t>
      </w:r>
      <w:r>
        <w:rPr>
          <w:spacing w:val="-5"/>
          <w:sz w:val="18"/>
          <w:szCs w:val="18"/>
          <w:lang w:val="es-ES_tradnl"/>
        </w:rPr>
        <w:t>emitida por este Organismo sobre dicha acci</w:t>
      </w:r>
      <w:r>
        <w:rPr>
          <w:rFonts w:cs="Times New Roman"/>
          <w:spacing w:val="-5"/>
          <w:sz w:val="18"/>
          <w:szCs w:val="18"/>
          <w:lang w:val="es-ES_tradnl"/>
        </w:rPr>
        <w:t>ó</w:t>
      </w:r>
      <w:r>
        <w:rPr>
          <w:spacing w:val="-5"/>
          <w:sz w:val="18"/>
          <w:szCs w:val="18"/>
          <w:lang w:val="es-ES_tradnl"/>
        </w:rPr>
        <w:t xml:space="preserve">n lo </w:t>
      </w:r>
      <w:r>
        <w:rPr>
          <w:spacing w:val="-9"/>
          <w:sz w:val="18"/>
          <w:szCs w:val="18"/>
          <w:lang w:val="es-ES_tradnl"/>
        </w:rPr>
        <w:t>cual coadyuvar</w:t>
      </w:r>
      <w:r>
        <w:rPr>
          <w:rFonts w:cs="Times New Roman"/>
          <w:spacing w:val="-9"/>
          <w:sz w:val="18"/>
          <w:szCs w:val="18"/>
          <w:lang w:val="es-ES_tradnl"/>
        </w:rPr>
        <w:t>á</w:t>
      </w:r>
      <w:r>
        <w:rPr>
          <w:spacing w:val="-9"/>
          <w:sz w:val="18"/>
          <w:szCs w:val="18"/>
          <w:lang w:val="es-ES_tradnl"/>
        </w:rPr>
        <w:t>, en primer lugar a que la acci</w:t>
      </w:r>
      <w:r>
        <w:rPr>
          <w:rFonts w:cs="Times New Roman"/>
          <w:spacing w:val="-9"/>
          <w:sz w:val="18"/>
          <w:szCs w:val="18"/>
          <w:lang w:val="es-ES_tradnl"/>
        </w:rPr>
        <w:t>ó</w:t>
      </w:r>
      <w:r>
        <w:rPr>
          <w:spacing w:val="-9"/>
          <w:sz w:val="18"/>
          <w:szCs w:val="18"/>
          <w:lang w:val="es-ES_tradnl"/>
        </w:rPr>
        <w:t xml:space="preserve">n en </w:t>
      </w:r>
      <w:r>
        <w:rPr>
          <w:spacing w:val="-8"/>
          <w:sz w:val="18"/>
          <w:szCs w:val="18"/>
          <w:lang w:val="es-ES_tradnl"/>
        </w:rPr>
        <w:t xml:space="preserve">comento no se desnaturalice y en segundo lugar, a </w:t>
      </w:r>
      <w:r>
        <w:rPr>
          <w:spacing w:val="-7"/>
          <w:sz w:val="18"/>
          <w:szCs w:val="18"/>
          <w:lang w:val="es-ES_tradnl"/>
        </w:rPr>
        <w:t>que la administraci</w:t>
      </w:r>
      <w:r>
        <w:rPr>
          <w:rFonts w:cs="Times New Roman"/>
          <w:spacing w:val="-7"/>
          <w:sz w:val="18"/>
          <w:szCs w:val="18"/>
          <w:lang w:val="es-ES_tradnl"/>
        </w:rPr>
        <w:t>ó</w:t>
      </w:r>
      <w:r>
        <w:rPr>
          <w:spacing w:val="-7"/>
          <w:sz w:val="18"/>
          <w:szCs w:val="18"/>
          <w:lang w:val="es-ES_tradnl"/>
        </w:rPr>
        <w:t xml:space="preserve">n de justicia constitucional sea </w:t>
      </w:r>
      <w:r>
        <w:rPr>
          <w:spacing w:val="-8"/>
          <w:sz w:val="18"/>
          <w:szCs w:val="18"/>
          <w:lang w:val="es-ES_tradnl"/>
        </w:rPr>
        <w:t>m</w:t>
      </w:r>
      <w:r>
        <w:rPr>
          <w:rFonts w:cs="Times New Roman"/>
          <w:spacing w:val="-8"/>
          <w:sz w:val="18"/>
          <w:szCs w:val="18"/>
          <w:lang w:val="es-ES_tradnl"/>
        </w:rPr>
        <w:t>á</w:t>
      </w:r>
      <w:r>
        <w:rPr>
          <w:spacing w:val="-8"/>
          <w:sz w:val="18"/>
          <w:szCs w:val="18"/>
          <w:lang w:val="es-ES_tradnl"/>
        </w:rPr>
        <w:t xml:space="preserve">s </w:t>
      </w:r>
      <w:r>
        <w:rPr>
          <w:rFonts w:cs="Times New Roman"/>
          <w:spacing w:val="-8"/>
          <w:sz w:val="18"/>
          <w:szCs w:val="18"/>
          <w:lang w:val="es-ES_tradnl"/>
        </w:rPr>
        <w:t>á</w:t>
      </w:r>
      <w:r>
        <w:rPr>
          <w:spacing w:val="-8"/>
          <w:sz w:val="18"/>
          <w:szCs w:val="18"/>
          <w:lang w:val="es-ES_tradnl"/>
        </w:rPr>
        <w:t>gil y eficaz para el fin que se persigue.</w:t>
      </w:r>
    </w:p>
    <w:p w14:paraId="4F67ACA2" w14:textId="77777777" w:rsidR="00591D54" w:rsidRDefault="00591D54">
      <w:pPr>
        <w:shd w:val="clear" w:color="auto" w:fill="FFFFFF"/>
        <w:tabs>
          <w:tab w:val="left" w:pos="283"/>
        </w:tabs>
        <w:spacing w:before="202" w:line="230" w:lineRule="exact"/>
        <w:ind w:left="283" w:hanging="283"/>
        <w:jc w:val="both"/>
      </w:pPr>
      <w:r>
        <w:rPr>
          <w:spacing w:val="-9"/>
          <w:sz w:val="18"/>
          <w:szCs w:val="18"/>
          <w:lang w:val="es-ES_tradnl"/>
        </w:rPr>
        <w:t>6.</w:t>
      </w:r>
      <w:r>
        <w:rPr>
          <w:sz w:val="18"/>
          <w:szCs w:val="18"/>
          <w:lang w:val="es-ES_tradnl"/>
        </w:rPr>
        <w:tab/>
      </w:r>
      <w:r>
        <w:rPr>
          <w:spacing w:val="-3"/>
          <w:sz w:val="18"/>
          <w:szCs w:val="18"/>
          <w:lang w:val="es-ES_tradnl"/>
        </w:rPr>
        <w:t>La interpretaci</w:t>
      </w:r>
      <w:r>
        <w:rPr>
          <w:rFonts w:cs="Times New Roman"/>
          <w:spacing w:val="-3"/>
          <w:sz w:val="18"/>
          <w:szCs w:val="18"/>
          <w:lang w:val="es-ES_tradnl"/>
        </w:rPr>
        <w:t>ó</w:t>
      </w:r>
      <w:r>
        <w:rPr>
          <w:spacing w:val="-3"/>
          <w:sz w:val="18"/>
          <w:szCs w:val="18"/>
          <w:lang w:val="es-ES_tradnl"/>
        </w:rPr>
        <w:t>n conforme del art</w:t>
      </w:r>
      <w:r>
        <w:rPr>
          <w:rFonts w:cs="Times New Roman"/>
          <w:spacing w:val="-3"/>
          <w:sz w:val="18"/>
          <w:szCs w:val="18"/>
          <w:lang w:val="es-ES_tradnl"/>
        </w:rPr>
        <w:t>í</w:t>
      </w:r>
      <w:r>
        <w:rPr>
          <w:spacing w:val="-3"/>
          <w:sz w:val="18"/>
          <w:szCs w:val="18"/>
          <w:lang w:val="es-ES_tradnl"/>
        </w:rPr>
        <w:t>culo 50 de la Ley </w:t>
      </w:r>
      <w:r>
        <w:rPr>
          <w:spacing w:val="-5"/>
          <w:sz w:val="18"/>
          <w:szCs w:val="18"/>
          <w:lang w:val="es-ES_tradnl"/>
        </w:rPr>
        <w:t>Org</w:t>
      </w:r>
      <w:r>
        <w:rPr>
          <w:rFonts w:cs="Times New Roman"/>
          <w:spacing w:val="-5"/>
          <w:sz w:val="18"/>
          <w:szCs w:val="18"/>
          <w:lang w:val="es-ES_tradnl"/>
        </w:rPr>
        <w:t>á</w:t>
      </w:r>
      <w:r>
        <w:rPr>
          <w:spacing w:val="-5"/>
          <w:sz w:val="18"/>
          <w:szCs w:val="18"/>
          <w:lang w:val="es-ES_tradnl"/>
        </w:rPr>
        <w:t>nica  de   Garant</w:t>
      </w:r>
      <w:r>
        <w:rPr>
          <w:rFonts w:cs="Times New Roman"/>
          <w:spacing w:val="-5"/>
          <w:sz w:val="18"/>
          <w:szCs w:val="18"/>
          <w:lang w:val="es-ES_tradnl"/>
        </w:rPr>
        <w:t>í</w:t>
      </w:r>
      <w:r>
        <w:rPr>
          <w:spacing w:val="-5"/>
          <w:sz w:val="18"/>
          <w:szCs w:val="18"/>
          <w:lang w:val="es-ES_tradnl"/>
        </w:rPr>
        <w:t>as   Jurisdiccionales  y  Control</w:t>
      </w:r>
    </w:p>
    <w:p w14:paraId="4F67ACA3" w14:textId="77777777" w:rsidR="00591D54" w:rsidRDefault="00591D54">
      <w:pPr>
        <w:shd w:val="clear" w:color="auto" w:fill="FFFFFF"/>
        <w:tabs>
          <w:tab w:val="left" w:pos="283"/>
        </w:tabs>
        <w:spacing w:before="202" w:line="230" w:lineRule="exact"/>
        <w:ind w:left="283" w:hanging="283"/>
        <w:jc w:val="both"/>
        <w:sectPr w:rsidR="00591D54">
          <w:type w:val="continuous"/>
          <w:pgSz w:w="11909" w:h="16834"/>
          <w:pgMar w:top="1373" w:right="1304" w:bottom="360" w:left="1308" w:header="720" w:footer="720" w:gutter="0"/>
          <w:cols w:num="2" w:space="720" w:equalWidth="0">
            <w:col w:w="4305" w:space="682"/>
            <w:col w:w="4310"/>
          </w:cols>
          <w:noEndnote/>
        </w:sectPr>
      </w:pPr>
    </w:p>
    <w:p w14:paraId="4F67ACA4" w14:textId="77777777" w:rsidR="00591D54" w:rsidRDefault="00591D54">
      <w:pPr>
        <w:shd w:val="clear" w:color="auto" w:fill="FFFFFF"/>
        <w:tabs>
          <w:tab w:val="left" w:pos="4814"/>
        </w:tabs>
        <w:spacing w:after="72"/>
        <w:ind w:left="14"/>
      </w:pPr>
      <w:r>
        <w:rPr>
          <w:b/>
          <w:bCs/>
          <w:sz w:val="18"/>
          <w:szCs w:val="18"/>
          <w:lang w:val="es-ES_tradnl"/>
        </w:rPr>
        <w:t xml:space="preserve">112 -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CA5" w14:textId="77777777" w:rsidR="00591D54" w:rsidRDefault="00591D54">
      <w:pPr>
        <w:shd w:val="clear" w:color="auto" w:fill="FFFFFF"/>
        <w:tabs>
          <w:tab w:val="left" w:pos="4814"/>
        </w:tabs>
        <w:spacing w:after="72"/>
        <w:ind w:left="14"/>
        <w:sectPr w:rsidR="00591D54">
          <w:pgSz w:w="11909" w:h="16834"/>
          <w:pgMar w:top="1354" w:right="1309" w:bottom="360" w:left="1308" w:header="720" w:footer="720" w:gutter="0"/>
          <w:cols w:space="60"/>
          <w:noEndnote/>
        </w:sectPr>
      </w:pPr>
    </w:p>
    <w:p w14:paraId="4F67ACA6" w14:textId="77777777" w:rsidR="00591D54" w:rsidRDefault="00591D54">
      <w:pPr>
        <w:shd w:val="clear" w:color="auto" w:fill="FFFFFF"/>
        <w:spacing w:before="158" w:line="230" w:lineRule="exact"/>
        <w:ind w:left="283"/>
        <w:jc w:val="both"/>
      </w:pPr>
      <w:r>
        <w:rPr>
          <w:spacing w:val="-3"/>
          <w:sz w:val="18"/>
          <w:szCs w:val="18"/>
          <w:lang w:val="es-ES_tradnl"/>
        </w:rPr>
        <w:t xml:space="preserve">Constitucional realizada por la Corte Constitucional </w:t>
      </w:r>
      <w:r>
        <w:rPr>
          <w:spacing w:val="-2"/>
          <w:sz w:val="18"/>
          <w:szCs w:val="18"/>
          <w:lang w:val="es-ES_tradnl"/>
        </w:rPr>
        <w:t>en esta sentencia, es de obligatorio acatamiento, raz</w:t>
      </w:r>
      <w:r>
        <w:rPr>
          <w:rFonts w:cs="Times New Roman"/>
          <w:spacing w:val="-2"/>
          <w:sz w:val="18"/>
          <w:szCs w:val="18"/>
          <w:lang w:val="es-ES_tradnl"/>
        </w:rPr>
        <w:t>ó</w:t>
      </w:r>
      <w:r>
        <w:rPr>
          <w:spacing w:val="-2"/>
          <w:sz w:val="18"/>
          <w:szCs w:val="18"/>
          <w:lang w:val="es-ES_tradnl"/>
        </w:rPr>
        <w:t xml:space="preserve">n por la cual, en caso de desconocimiento de </w:t>
      </w:r>
      <w:r>
        <w:rPr>
          <w:spacing w:val="-7"/>
          <w:sz w:val="18"/>
          <w:szCs w:val="18"/>
          <w:lang w:val="es-ES_tradnl"/>
        </w:rPr>
        <w:t>estas interpretaciones, se estar</w:t>
      </w:r>
      <w:r>
        <w:rPr>
          <w:rFonts w:cs="Times New Roman"/>
          <w:spacing w:val="-7"/>
          <w:sz w:val="18"/>
          <w:szCs w:val="18"/>
          <w:lang w:val="es-ES_tradnl"/>
        </w:rPr>
        <w:t>á</w:t>
      </w:r>
      <w:r>
        <w:rPr>
          <w:spacing w:val="-7"/>
          <w:sz w:val="18"/>
          <w:szCs w:val="18"/>
          <w:lang w:val="es-ES_tradnl"/>
        </w:rPr>
        <w:t xml:space="preserve"> a lo dispuesto en la </w:t>
      </w:r>
      <w:r>
        <w:rPr>
          <w:spacing w:val="-3"/>
          <w:sz w:val="18"/>
          <w:szCs w:val="18"/>
          <w:lang w:val="es-ES_tradnl"/>
        </w:rPr>
        <w:t>Constituci</w:t>
      </w:r>
      <w:r>
        <w:rPr>
          <w:rFonts w:cs="Times New Roman"/>
          <w:spacing w:val="-3"/>
          <w:sz w:val="18"/>
          <w:szCs w:val="18"/>
          <w:lang w:val="es-ES_tradnl"/>
        </w:rPr>
        <w:t>ó</w:t>
      </w:r>
      <w:r>
        <w:rPr>
          <w:spacing w:val="-3"/>
          <w:sz w:val="18"/>
          <w:szCs w:val="18"/>
          <w:lang w:val="es-ES_tradnl"/>
        </w:rPr>
        <w:t>n de la Rep</w:t>
      </w:r>
      <w:r>
        <w:rPr>
          <w:rFonts w:cs="Times New Roman"/>
          <w:spacing w:val="-3"/>
          <w:sz w:val="18"/>
          <w:szCs w:val="18"/>
          <w:lang w:val="es-ES_tradnl"/>
        </w:rPr>
        <w:t>ú</w:t>
      </w:r>
      <w:r>
        <w:rPr>
          <w:spacing w:val="-3"/>
          <w:sz w:val="18"/>
          <w:szCs w:val="18"/>
          <w:lang w:val="es-ES_tradnl"/>
        </w:rPr>
        <w:t>blica, la Ley Org</w:t>
      </w:r>
      <w:r>
        <w:rPr>
          <w:rFonts w:cs="Times New Roman"/>
          <w:spacing w:val="-3"/>
          <w:sz w:val="18"/>
          <w:szCs w:val="18"/>
          <w:lang w:val="es-ES_tradnl"/>
        </w:rPr>
        <w:t>á</w:t>
      </w:r>
      <w:r>
        <w:rPr>
          <w:spacing w:val="-3"/>
          <w:sz w:val="18"/>
          <w:szCs w:val="18"/>
          <w:lang w:val="es-ES_tradnl"/>
        </w:rPr>
        <w:t xml:space="preserve">nica de </w:t>
      </w:r>
      <w:r>
        <w:rPr>
          <w:spacing w:val="-2"/>
          <w:sz w:val="18"/>
          <w:szCs w:val="18"/>
          <w:lang w:val="es-ES_tradnl"/>
        </w:rPr>
        <w:t>Garant</w:t>
      </w:r>
      <w:r>
        <w:rPr>
          <w:rFonts w:cs="Times New Roman"/>
          <w:spacing w:val="-2"/>
          <w:sz w:val="18"/>
          <w:szCs w:val="18"/>
          <w:lang w:val="es-ES_tradnl"/>
        </w:rPr>
        <w:t>í</w:t>
      </w:r>
      <w:r>
        <w:rPr>
          <w:spacing w:val="-2"/>
          <w:sz w:val="18"/>
          <w:szCs w:val="18"/>
          <w:lang w:val="es-ES_tradnl"/>
        </w:rPr>
        <w:t xml:space="preserve">as Jurisdiccionales y Control Constitucional </w:t>
      </w:r>
      <w:r>
        <w:rPr>
          <w:spacing w:val="-7"/>
          <w:sz w:val="18"/>
          <w:szCs w:val="18"/>
          <w:lang w:val="es-ES_tradnl"/>
        </w:rPr>
        <w:t>y el Reglamento de Sustanciaci</w:t>
      </w:r>
      <w:r>
        <w:rPr>
          <w:rFonts w:cs="Times New Roman"/>
          <w:spacing w:val="-7"/>
          <w:sz w:val="18"/>
          <w:szCs w:val="18"/>
          <w:lang w:val="es-ES_tradnl"/>
        </w:rPr>
        <w:t>ó</w:t>
      </w:r>
      <w:r>
        <w:rPr>
          <w:spacing w:val="-7"/>
          <w:sz w:val="18"/>
          <w:szCs w:val="18"/>
          <w:lang w:val="es-ES_tradnl"/>
        </w:rPr>
        <w:t xml:space="preserve">n de Procesos de </w:t>
      </w:r>
      <w:r>
        <w:rPr>
          <w:spacing w:val="-5"/>
          <w:sz w:val="18"/>
          <w:szCs w:val="18"/>
          <w:lang w:val="es-ES_tradnl"/>
        </w:rPr>
        <w:t>Competencia de la Corte Constitucional.</w:t>
      </w:r>
    </w:p>
    <w:p w14:paraId="4F67ACA7" w14:textId="77777777" w:rsidR="00591D54" w:rsidRDefault="00591D54" w:rsidP="00251195">
      <w:pPr>
        <w:numPr>
          <w:ilvl w:val="0"/>
          <w:numId w:val="60"/>
        </w:numPr>
        <w:shd w:val="clear" w:color="auto" w:fill="FFFFFF"/>
        <w:tabs>
          <w:tab w:val="left" w:pos="283"/>
        </w:tabs>
        <w:spacing w:before="235" w:line="230" w:lineRule="exact"/>
        <w:ind w:left="283" w:hanging="283"/>
        <w:jc w:val="both"/>
        <w:rPr>
          <w:spacing w:val="-9"/>
          <w:sz w:val="18"/>
          <w:szCs w:val="18"/>
          <w:lang w:val="es-ES_tradnl"/>
        </w:rPr>
      </w:pPr>
      <w:r>
        <w:rPr>
          <w:sz w:val="18"/>
          <w:szCs w:val="18"/>
          <w:lang w:val="es-ES_tradnl"/>
        </w:rPr>
        <w:t xml:space="preserve">Remitir copia de la presente sentencia al Consejo </w:t>
      </w:r>
      <w:r>
        <w:rPr>
          <w:spacing w:val="-5"/>
          <w:sz w:val="18"/>
          <w:szCs w:val="18"/>
          <w:lang w:val="es-ES_tradnl"/>
        </w:rPr>
        <w:t xml:space="preserve">de la Judicatura a fin de que en el marco de sus </w:t>
      </w:r>
      <w:r>
        <w:rPr>
          <w:spacing w:val="-4"/>
          <w:sz w:val="18"/>
          <w:szCs w:val="18"/>
          <w:lang w:val="es-ES_tradnl"/>
        </w:rPr>
        <w:t xml:space="preserve">competencias y atribuciones, realice una debida, </w:t>
      </w:r>
      <w:r>
        <w:rPr>
          <w:spacing w:val="-6"/>
          <w:sz w:val="18"/>
          <w:szCs w:val="18"/>
          <w:lang w:val="es-ES_tradnl"/>
        </w:rPr>
        <w:t>oportuna y generalizada difusi</w:t>
      </w:r>
      <w:r>
        <w:rPr>
          <w:rFonts w:cs="Times New Roman"/>
          <w:spacing w:val="-6"/>
          <w:sz w:val="18"/>
          <w:szCs w:val="18"/>
          <w:lang w:val="es-ES_tradnl"/>
        </w:rPr>
        <w:t>ó</w:t>
      </w:r>
      <w:r>
        <w:rPr>
          <w:spacing w:val="-6"/>
          <w:sz w:val="18"/>
          <w:szCs w:val="18"/>
          <w:lang w:val="es-ES_tradnl"/>
        </w:rPr>
        <w:t xml:space="preserve">n de esta sentencia en </w:t>
      </w:r>
      <w:r>
        <w:rPr>
          <w:spacing w:val="-4"/>
          <w:sz w:val="18"/>
          <w:szCs w:val="18"/>
          <w:lang w:val="es-ES_tradnl"/>
        </w:rPr>
        <w:t>las instancias pertinentes de la funci</w:t>
      </w:r>
      <w:r>
        <w:rPr>
          <w:rFonts w:cs="Times New Roman"/>
          <w:spacing w:val="-4"/>
          <w:sz w:val="18"/>
          <w:szCs w:val="18"/>
          <w:lang w:val="es-ES_tradnl"/>
        </w:rPr>
        <w:t>ó</w:t>
      </w:r>
      <w:r>
        <w:rPr>
          <w:spacing w:val="-4"/>
          <w:sz w:val="18"/>
          <w:szCs w:val="18"/>
          <w:lang w:val="es-ES_tradnl"/>
        </w:rPr>
        <w:t>n judicial.</w:t>
      </w:r>
    </w:p>
    <w:p w14:paraId="4F67ACA8" w14:textId="77777777" w:rsidR="00591D54" w:rsidRDefault="00591D54" w:rsidP="00251195">
      <w:pPr>
        <w:numPr>
          <w:ilvl w:val="0"/>
          <w:numId w:val="60"/>
        </w:numPr>
        <w:shd w:val="clear" w:color="auto" w:fill="FFFFFF"/>
        <w:tabs>
          <w:tab w:val="left" w:pos="283"/>
        </w:tabs>
        <w:spacing w:before="240" w:line="230" w:lineRule="exact"/>
        <w:ind w:left="283" w:hanging="283"/>
        <w:jc w:val="both"/>
        <w:rPr>
          <w:spacing w:val="-9"/>
          <w:sz w:val="18"/>
          <w:szCs w:val="18"/>
          <w:lang w:val="es-ES_tradnl"/>
        </w:rPr>
      </w:pPr>
      <w:r>
        <w:rPr>
          <w:spacing w:val="-6"/>
          <w:sz w:val="18"/>
          <w:szCs w:val="18"/>
          <w:lang w:val="es-ES_tradnl"/>
        </w:rPr>
        <w:t>Disponer la publicaci</w:t>
      </w:r>
      <w:r>
        <w:rPr>
          <w:rFonts w:cs="Times New Roman"/>
          <w:spacing w:val="-6"/>
          <w:sz w:val="18"/>
          <w:szCs w:val="18"/>
          <w:lang w:val="es-ES_tradnl"/>
        </w:rPr>
        <w:t>ó</w:t>
      </w:r>
      <w:r>
        <w:rPr>
          <w:spacing w:val="-6"/>
          <w:sz w:val="18"/>
          <w:szCs w:val="18"/>
          <w:lang w:val="es-ES_tradnl"/>
        </w:rPr>
        <w:t xml:space="preserve">n de la presente sentencia en la </w:t>
      </w:r>
      <w:r>
        <w:rPr>
          <w:sz w:val="18"/>
          <w:szCs w:val="18"/>
          <w:lang w:val="es-ES_tradnl"/>
        </w:rPr>
        <w:t>Gaceta Constitucional.</w:t>
      </w:r>
    </w:p>
    <w:p w14:paraId="4F67ACA9" w14:textId="77777777" w:rsidR="00591D54" w:rsidRDefault="00591D54" w:rsidP="00251195">
      <w:pPr>
        <w:numPr>
          <w:ilvl w:val="0"/>
          <w:numId w:val="60"/>
        </w:numPr>
        <w:shd w:val="clear" w:color="auto" w:fill="FFFFFF"/>
        <w:tabs>
          <w:tab w:val="left" w:pos="283"/>
        </w:tabs>
        <w:spacing w:before="43" w:line="480" w:lineRule="exact"/>
        <w:rPr>
          <w:spacing w:val="-9"/>
          <w:sz w:val="18"/>
          <w:szCs w:val="18"/>
          <w:lang w:val="es-ES_tradnl"/>
        </w:rPr>
      </w:pPr>
      <w:r>
        <w:rPr>
          <w:spacing w:val="-6"/>
          <w:sz w:val="18"/>
          <w:szCs w:val="18"/>
          <w:lang w:val="es-ES_tradnl"/>
        </w:rPr>
        <w:t>Notif</w:t>
      </w:r>
      <w:r>
        <w:rPr>
          <w:rFonts w:cs="Times New Roman"/>
          <w:spacing w:val="-6"/>
          <w:sz w:val="18"/>
          <w:szCs w:val="18"/>
          <w:lang w:val="es-ES_tradnl"/>
        </w:rPr>
        <w:t>í</w:t>
      </w:r>
      <w:r>
        <w:rPr>
          <w:spacing w:val="-6"/>
          <w:sz w:val="18"/>
          <w:szCs w:val="18"/>
          <w:lang w:val="es-ES_tradnl"/>
        </w:rPr>
        <w:t>quese, publ</w:t>
      </w:r>
      <w:r>
        <w:rPr>
          <w:rFonts w:cs="Times New Roman"/>
          <w:spacing w:val="-6"/>
          <w:sz w:val="18"/>
          <w:szCs w:val="18"/>
          <w:lang w:val="es-ES_tradnl"/>
        </w:rPr>
        <w:t>í</w:t>
      </w:r>
      <w:r>
        <w:rPr>
          <w:spacing w:val="-6"/>
          <w:sz w:val="18"/>
          <w:szCs w:val="18"/>
          <w:lang w:val="es-ES_tradnl"/>
        </w:rPr>
        <w:t>quese y c</w:t>
      </w:r>
      <w:r>
        <w:rPr>
          <w:rFonts w:cs="Times New Roman"/>
          <w:spacing w:val="-6"/>
          <w:sz w:val="18"/>
          <w:szCs w:val="18"/>
          <w:lang w:val="es-ES_tradnl"/>
        </w:rPr>
        <w:t>ú</w:t>
      </w:r>
      <w:r>
        <w:rPr>
          <w:spacing w:val="-6"/>
          <w:sz w:val="18"/>
          <w:szCs w:val="18"/>
          <w:lang w:val="es-ES_tradnl"/>
        </w:rPr>
        <w:t>mplase.</w:t>
      </w:r>
    </w:p>
    <w:p w14:paraId="4F67ACAA" w14:textId="77777777" w:rsidR="00591D54" w:rsidRDefault="00591D54">
      <w:pPr>
        <w:shd w:val="clear" w:color="auto" w:fill="FFFFFF"/>
        <w:spacing w:line="480" w:lineRule="exact"/>
        <w:ind w:left="48"/>
      </w:pPr>
      <w:r>
        <w:rPr>
          <w:spacing w:val="-2"/>
          <w:sz w:val="18"/>
          <w:szCs w:val="18"/>
          <w:lang w:val="es-ES_tradnl"/>
        </w:rPr>
        <w:t>f.) Patricio Pazmi</w:t>
      </w:r>
      <w:r>
        <w:rPr>
          <w:rFonts w:cs="Times New Roman"/>
          <w:spacing w:val="-2"/>
          <w:sz w:val="18"/>
          <w:szCs w:val="18"/>
          <w:lang w:val="es-ES_tradnl"/>
        </w:rPr>
        <w:t>ñ</w:t>
      </w:r>
      <w:r>
        <w:rPr>
          <w:spacing w:val="-2"/>
          <w:sz w:val="18"/>
          <w:szCs w:val="18"/>
          <w:lang w:val="es-ES_tradnl"/>
        </w:rPr>
        <w:t xml:space="preserve">o Freire, </w:t>
      </w:r>
      <w:r>
        <w:rPr>
          <w:b/>
          <w:bCs/>
          <w:spacing w:val="-2"/>
          <w:sz w:val="18"/>
          <w:szCs w:val="18"/>
          <w:lang w:val="es-ES_tradnl"/>
        </w:rPr>
        <w:t>PRESIDENTE.</w:t>
      </w:r>
    </w:p>
    <w:p w14:paraId="4F67ACAB" w14:textId="77777777" w:rsidR="00591D54" w:rsidRDefault="00591D54">
      <w:pPr>
        <w:shd w:val="clear" w:color="auto" w:fill="FFFFFF"/>
        <w:spacing w:before="5" w:line="480" w:lineRule="exact"/>
      </w:pPr>
      <w:r>
        <w:rPr>
          <w:spacing w:val="-2"/>
          <w:sz w:val="18"/>
          <w:szCs w:val="18"/>
          <w:lang w:val="es-ES_tradnl"/>
        </w:rPr>
        <w:t xml:space="preserve">f.) Jaime Pozo Chamorro, </w:t>
      </w:r>
      <w:r>
        <w:rPr>
          <w:b/>
          <w:bCs/>
          <w:spacing w:val="-2"/>
          <w:sz w:val="18"/>
          <w:szCs w:val="18"/>
          <w:lang w:val="es-ES_tradnl"/>
        </w:rPr>
        <w:t>SECRETARIO GENERAL.</w:t>
      </w:r>
    </w:p>
    <w:p w14:paraId="4F67ACAC" w14:textId="77777777" w:rsidR="00591D54" w:rsidRDefault="00591D54">
      <w:pPr>
        <w:shd w:val="clear" w:color="auto" w:fill="FFFFFF"/>
        <w:spacing w:before="197" w:line="230" w:lineRule="exact"/>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w:t>
      </w:r>
      <w:r>
        <w:rPr>
          <w:spacing w:val="-7"/>
          <w:sz w:val="18"/>
          <w:szCs w:val="18"/>
          <w:lang w:val="es-ES_tradnl"/>
        </w:rPr>
        <w:t xml:space="preserve">aprobada por el Pleno de la Corte Constitucional, con seis </w:t>
      </w:r>
      <w:r>
        <w:rPr>
          <w:spacing w:val="-5"/>
          <w:sz w:val="18"/>
          <w:szCs w:val="18"/>
          <w:lang w:val="es-ES_tradnl"/>
        </w:rPr>
        <w:t xml:space="preserve">votos a favor, de las juezas y jueces Antonio Gagliardo </w:t>
      </w:r>
      <w:r>
        <w:rPr>
          <w:sz w:val="18"/>
          <w:szCs w:val="18"/>
          <w:lang w:val="es-ES_tradnl"/>
        </w:rPr>
        <w:t>Loor, Marcelo Jaramillo Villa, Mar</w:t>
      </w:r>
      <w:r>
        <w:rPr>
          <w:rFonts w:cs="Times New Roman"/>
          <w:sz w:val="18"/>
          <w:szCs w:val="18"/>
          <w:lang w:val="es-ES_tradnl"/>
        </w:rPr>
        <w:t>í</w:t>
      </w:r>
      <w:r>
        <w:rPr>
          <w:sz w:val="18"/>
          <w:szCs w:val="18"/>
          <w:lang w:val="es-ES_tradnl"/>
        </w:rPr>
        <w:t xml:space="preserve">a del Carmen </w:t>
      </w:r>
      <w:r>
        <w:rPr>
          <w:spacing w:val="-1"/>
          <w:sz w:val="18"/>
          <w:szCs w:val="18"/>
          <w:lang w:val="es-ES_tradnl"/>
        </w:rPr>
        <w:t>Maldonado S</w:t>
      </w:r>
      <w:r>
        <w:rPr>
          <w:rFonts w:cs="Times New Roman"/>
          <w:spacing w:val="-1"/>
          <w:sz w:val="18"/>
          <w:szCs w:val="18"/>
          <w:lang w:val="es-ES_tradnl"/>
        </w:rPr>
        <w:t>á</w:t>
      </w:r>
      <w:r>
        <w:rPr>
          <w:spacing w:val="-1"/>
          <w:sz w:val="18"/>
          <w:szCs w:val="18"/>
          <w:lang w:val="es-ES_tradnl"/>
        </w:rPr>
        <w:t>nchez, Alfredo Ruiz Guzm</w:t>
      </w:r>
      <w:r>
        <w:rPr>
          <w:rFonts w:cs="Times New Roman"/>
          <w:spacing w:val="-1"/>
          <w:sz w:val="18"/>
          <w:szCs w:val="18"/>
          <w:lang w:val="es-ES_tradnl"/>
        </w:rPr>
        <w:t>á</w:t>
      </w:r>
      <w:r>
        <w:rPr>
          <w:spacing w:val="-1"/>
          <w:sz w:val="18"/>
          <w:szCs w:val="18"/>
          <w:lang w:val="es-ES_tradnl"/>
        </w:rPr>
        <w:t xml:space="preserve">n, Manuel </w:t>
      </w:r>
      <w:r>
        <w:rPr>
          <w:spacing w:val="-4"/>
          <w:sz w:val="18"/>
          <w:szCs w:val="18"/>
          <w:lang w:val="es-ES_tradnl"/>
        </w:rPr>
        <w:t>Viteri Olvera y Patricio Pazmi</w:t>
      </w:r>
      <w:r>
        <w:rPr>
          <w:rFonts w:cs="Times New Roman"/>
          <w:spacing w:val="-4"/>
          <w:sz w:val="18"/>
          <w:szCs w:val="18"/>
          <w:lang w:val="es-ES_tradnl"/>
        </w:rPr>
        <w:t>ñ</w:t>
      </w:r>
      <w:r>
        <w:rPr>
          <w:spacing w:val="-4"/>
          <w:sz w:val="18"/>
          <w:szCs w:val="18"/>
          <w:lang w:val="es-ES_tradnl"/>
        </w:rPr>
        <w:t xml:space="preserve">o Freire, sin contar con la </w:t>
      </w:r>
      <w:r>
        <w:rPr>
          <w:spacing w:val="-6"/>
          <w:sz w:val="18"/>
          <w:szCs w:val="18"/>
          <w:lang w:val="es-ES_tradnl"/>
        </w:rPr>
        <w:t>presencia de las juezas Wendy Molina Andrade, Tatiana Orde</w:t>
      </w:r>
      <w:r>
        <w:rPr>
          <w:rFonts w:cs="Times New Roman"/>
          <w:spacing w:val="-6"/>
          <w:sz w:val="18"/>
          <w:szCs w:val="18"/>
          <w:lang w:val="es-ES_tradnl"/>
        </w:rPr>
        <w:t>ñ</w:t>
      </w:r>
      <w:r>
        <w:rPr>
          <w:spacing w:val="-6"/>
          <w:sz w:val="18"/>
          <w:szCs w:val="18"/>
          <w:lang w:val="es-ES_tradnl"/>
        </w:rPr>
        <w:t>ana Sierra y Ruth Seni Pinoargote, en sesi</w:t>
      </w:r>
      <w:r>
        <w:rPr>
          <w:rFonts w:cs="Times New Roman"/>
          <w:spacing w:val="-6"/>
          <w:sz w:val="18"/>
          <w:szCs w:val="18"/>
          <w:lang w:val="es-ES_tradnl"/>
        </w:rPr>
        <w:t>ó</w:t>
      </w:r>
      <w:r>
        <w:rPr>
          <w:spacing w:val="-6"/>
          <w:sz w:val="18"/>
          <w:szCs w:val="18"/>
          <w:lang w:val="es-ES_tradnl"/>
        </w:rPr>
        <w:t xml:space="preserve">n de 03 </w:t>
      </w:r>
      <w:r>
        <w:rPr>
          <w:sz w:val="18"/>
          <w:szCs w:val="18"/>
          <w:lang w:val="es-ES_tradnl"/>
        </w:rPr>
        <w:t>de junio del 2015. Lo certifico.</w:t>
      </w:r>
    </w:p>
    <w:p w14:paraId="4F67ACAD" w14:textId="77777777" w:rsidR="00591D54" w:rsidRDefault="00591D54">
      <w:pPr>
        <w:shd w:val="clear" w:color="auto" w:fill="FFFFFF"/>
        <w:spacing w:before="240"/>
      </w:pPr>
      <w:r>
        <w:rPr>
          <w:spacing w:val="-2"/>
          <w:sz w:val="18"/>
          <w:szCs w:val="18"/>
          <w:lang w:val="es-ES_tradnl"/>
        </w:rPr>
        <w:t xml:space="preserve">f.) Jaime Pozo Chamorro, </w:t>
      </w:r>
      <w:r>
        <w:rPr>
          <w:b/>
          <w:bCs/>
          <w:spacing w:val="-2"/>
          <w:sz w:val="18"/>
          <w:szCs w:val="18"/>
          <w:lang w:val="es-ES_tradnl"/>
        </w:rPr>
        <w:t>SECRETARIO GENERAL.</w:t>
      </w:r>
    </w:p>
    <w:p w14:paraId="4F67ACAE" w14:textId="77777777" w:rsidR="00591D54" w:rsidRDefault="00591D54">
      <w:pPr>
        <w:shd w:val="clear" w:color="auto" w:fill="FFFFFF"/>
        <w:spacing w:before="240" w:line="230"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3"/>
          <w:sz w:val="18"/>
          <w:szCs w:val="18"/>
          <w:lang w:val="es-ES_tradnl"/>
        </w:rPr>
        <w:t>Quito, a 05 de octubre de 2015.- f.) Ilegible, Secretar</w:t>
      </w:r>
      <w:r>
        <w:rPr>
          <w:rFonts w:cs="Times New Roman"/>
          <w:spacing w:val="-3"/>
          <w:sz w:val="18"/>
          <w:szCs w:val="18"/>
          <w:lang w:val="es-ES_tradnl"/>
        </w:rPr>
        <w:t>í</w:t>
      </w:r>
      <w:r>
        <w:rPr>
          <w:spacing w:val="-3"/>
          <w:sz w:val="18"/>
          <w:szCs w:val="18"/>
          <w:lang w:val="es-ES_tradnl"/>
        </w:rPr>
        <w:t xml:space="preserve">a </w:t>
      </w:r>
      <w:r>
        <w:rPr>
          <w:sz w:val="18"/>
          <w:szCs w:val="18"/>
          <w:lang w:val="es-ES_tradnl"/>
        </w:rPr>
        <w:t>General.</w:t>
      </w:r>
    </w:p>
    <w:p w14:paraId="4F67ACAF" w14:textId="77777777" w:rsidR="00591D54" w:rsidRDefault="00591D54">
      <w:pPr>
        <w:shd w:val="clear" w:color="auto" w:fill="FFFFFF"/>
        <w:spacing w:before="240"/>
      </w:pPr>
      <w:r>
        <w:rPr>
          <w:b/>
          <w:bCs/>
          <w:spacing w:val="-4"/>
          <w:sz w:val="18"/>
          <w:szCs w:val="18"/>
          <w:u w:val="single"/>
          <w:lang w:val="es-ES_tradnl"/>
        </w:rPr>
        <w:t>CASO Nro. 1493-10-EP</w:t>
      </w:r>
    </w:p>
    <w:p w14:paraId="4F67ACB0" w14:textId="77777777" w:rsidR="00591D54" w:rsidRDefault="00591D54">
      <w:pPr>
        <w:shd w:val="clear" w:color="auto" w:fill="FFFFFF"/>
        <w:spacing w:before="240" w:line="230" w:lineRule="exact"/>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w:t>
      </w:r>
      <w:r>
        <w:rPr>
          <w:spacing w:val="-7"/>
          <w:sz w:val="18"/>
          <w:szCs w:val="18"/>
          <w:lang w:val="es-ES_tradnl"/>
        </w:rPr>
        <w:t>suscrita por el Juez Patricio Pazmi</w:t>
      </w:r>
      <w:r>
        <w:rPr>
          <w:rFonts w:cs="Times New Roman"/>
          <w:spacing w:val="-7"/>
          <w:sz w:val="18"/>
          <w:szCs w:val="18"/>
          <w:lang w:val="es-ES_tradnl"/>
        </w:rPr>
        <w:t>ñ</w:t>
      </w:r>
      <w:r>
        <w:rPr>
          <w:spacing w:val="-7"/>
          <w:sz w:val="18"/>
          <w:szCs w:val="18"/>
          <w:lang w:val="es-ES_tradnl"/>
        </w:rPr>
        <w:t>o Freire, Presidente de la Corte Constitucional, el d</w:t>
      </w:r>
      <w:r>
        <w:rPr>
          <w:rFonts w:cs="Times New Roman"/>
          <w:spacing w:val="-7"/>
          <w:sz w:val="18"/>
          <w:szCs w:val="18"/>
          <w:lang w:val="es-ES_tradnl"/>
        </w:rPr>
        <w:t>í</w:t>
      </w:r>
      <w:r>
        <w:rPr>
          <w:spacing w:val="-7"/>
          <w:sz w:val="18"/>
          <w:szCs w:val="18"/>
          <w:lang w:val="es-ES_tradnl"/>
        </w:rPr>
        <w:t xml:space="preserve">a martes 01 de septiembre del </w:t>
      </w:r>
      <w:r>
        <w:rPr>
          <w:sz w:val="18"/>
          <w:szCs w:val="18"/>
          <w:lang w:val="es-ES_tradnl"/>
        </w:rPr>
        <w:t>dos mil quince.- Lo certifico.</w:t>
      </w:r>
    </w:p>
    <w:p w14:paraId="4F67ACB1" w14:textId="77777777" w:rsidR="00591D54" w:rsidRDefault="00591D54">
      <w:pPr>
        <w:shd w:val="clear" w:color="auto" w:fill="FFFFFF"/>
        <w:spacing w:before="245"/>
      </w:pPr>
      <w:r>
        <w:rPr>
          <w:spacing w:val="-6"/>
          <w:sz w:val="18"/>
          <w:szCs w:val="18"/>
          <w:lang w:val="es-ES_tradnl"/>
        </w:rPr>
        <w:t xml:space="preserve">f.) Jaime Pozo Chamorro, </w:t>
      </w:r>
      <w:r>
        <w:rPr>
          <w:b/>
          <w:bCs/>
          <w:spacing w:val="-6"/>
          <w:sz w:val="18"/>
          <w:szCs w:val="18"/>
          <w:lang w:val="es-ES_tradnl"/>
        </w:rPr>
        <w:t>Secretario General.</w:t>
      </w:r>
    </w:p>
    <w:p w14:paraId="4F67ACB2" w14:textId="77777777" w:rsidR="00591D54" w:rsidRDefault="00591D54">
      <w:pPr>
        <w:shd w:val="clear" w:color="auto" w:fill="FFFFFF"/>
        <w:spacing w:before="240" w:line="230"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3"/>
          <w:sz w:val="18"/>
          <w:szCs w:val="18"/>
          <w:lang w:val="es-ES_tradnl"/>
        </w:rPr>
        <w:t>Quito, a 05 de octubre de 2015.- f.) Ilegible, Secretar</w:t>
      </w:r>
      <w:r>
        <w:rPr>
          <w:rFonts w:cs="Times New Roman"/>
          <w:spacing w:val="-3"/>
          <w:sz w:val="18"/>
          <w:szCs w:val="18"/>
          <w:lang w:val="es-ES_tradnl"/>
        </w:rPr>
        <w:t>í</w:t>
      </w:r>
      <w:r>
        <w:rPr>
          <w:spacing w:val="-3"/>
          <w:sz w:val="18"/>
          <w:szCs w:val="18"/>
          <w:lang w:val="es-ES_tradnl"/>
        </w:rPr>
        <w:t xml:space="preserve">a </w:t>
      </w:r>
      <w:r>
        <w:rPr>
          <w:sz w:val="18"/>
          <w:szCs w:val="18"/>
          <w:lang w:val="es-ES_tradnl"/>
        </w:rPr>
        <w:t>General.</w:t>
      </w:r>
    </w:p>
    <w:p w14:paraId="4F67ACB3" w14:textId="77777777" w:rsidR="00591D54" w:rsidRDefault="00591D54">
      <w:pPr>
        <w:shd w:val="clear" w:color="auto" w:fill="FFFFFF"/>
        <w:spacing w:line="432" w:lineRule="exact"/>
      </w:pPr>
      <w:r>
        <w:br w:type="column"/>
      </w:r>
      <w:r>
        <w:rPr>
          <w:spacing w:val="-4"/>
          <w:sz w:val="18"/>
          <w:szCs w:val="18"/>
          <w:lang w:val="es-ES_tradnl"/>
        </w:rPr>
        <w:t>Quito, D. M., 01 de julio del 2015</w:t>
      </w:r>
    </w:p>
    <w:p w14:paraId="4F67ACB4" w14:textId="77777777" w:rsidR="00591D54" w:rsidRDefault="00591D54">
      <w:pPr>
        <w:shd w:val="clear" w:color="auto" w:fill="FFFFFF"/>
        <w:spacing w:line="432" w:lineRule="exact"/>
        <w:ind w:left="845"/>
      </w:pPr>
      <w:r>
        <w:rPr>
          <w:b/>
          <w:bCs/>
          <w:spacing w:val="-3"/>
          <w:sz w:val="18"/>
          <w:szCs w:val="18"/>
          <w:u w:val="single"/>
          <w:lang w:val="es-ES_tradnl"/>
        </w:rPr>
        <w:t>SENTENCIA N.</w:t>
      </w:r>
      <w:r>
        <w:rPr>
          <w:rFonts w:cs="Times New Roman"/>
          <w:b/>
          <w:bCs/>
          <w:spacing w:val="-3"/>
          <w:sz w:val="18"/>
          <w:szCs w:val="18"/>
          <w:u w:val="single"/>
          <w:lang w:val="es-ES_tradnl"/>
        </w:rPr>
        <w:t>°</w:t>
      </w:r>
      <w:r>
        <w:rPr>
          <w:b/>
          <w:bCs/>
          <w:spacing w:val="-3"/>
          <w:sz w:val="18"/>
          <w:szCs w:val="18"/>
          <w:u w:val="single"/>
          <w:lang w:val="es-ES_tradnl"/>
        </w:rPr>
        <w:t xml:space="preserve"> 213-15-SEP-CC</w:t>
      </w:r>
    </w:p>
    <w:p w14:paraId="4F67ACB5" w14:textId="77777777" w:rsidR="00591D54" w:rsidRDefault="00591D54">
      <w:pPr>
        <w:shd w:val="clear" w:color="auto" w:fill="FFFFFF"/>
        <w:spacing w:before="5" w:line="432" w:lineRule="exact"/>
        <w:ind w:left="1291"/>
      </w:pPr>
      <w:r>
        <w:rPr>
          <w:b/>
          <w:bCs/>
          <w:spacing w:val="-5"/>
          <w:sz w:val="18"/>
          <w:szCs w:val="18"/>
          <w:u w:val="single"/>
          <w:lang w:val="es-ES_tradnl"/>
        </w:rPr>
        <w:t>CASO N.</w:t>
      </w:r>
      <w:r>
        <w:rPr>
          <w:rFonts w:cs="Times New Roman"/>
          <w:b/>
          <w:bCs/>
          <w:spacing w:val="-5"/>
          <w:sz w:val="18"/>
          <w:szCs w:val="18"/>
          <w:u w:val="single"/>
          <w:lang w:val="es-ES_tradnl"/>
        </w:rPr>
        <w:t>°</w:t>
      </w:r>
      <w:r>
        <w:rPr>
          <w:b/>
          <w:bCs/>
          <w:spacing w:val="-5"/>
          <w:sz w:val="18"/>
          <w:szCs w:val="18"/>
          <w:u w:val="single"/>
          <w:lang w:val="es-ES_tradnl"/>
        </w:rPr>
        <w:t xml:space="preserve"> 0638-11-EP</w:t>
      </w:r>
    </w:p>
    <w:p w14:paraId="4F67ACB6" w14:textId="77777777" w:rsidR="00591D54" w:rsidRDefault="00591D54">
      <w:pPr>
        <w:shd w:val="clear" w:color="auto" w:fill="FFFFFF"/>
        <w:spacing w:before="5" w:line="432" w:lineRule="exact"/>
        <w:ind w:left="298"/>
      </w:pPr>
      <w:r>
        <w:rPr>
          <w:b/>
          <w:bCs/>
          <w:sz w:val="18"/>
          <w:szCs w:val="18"/>
          <w:lang w:val="es-ES_tradnl"/>
        </w:rPr>
        <w:t>CORTE CONSTITUCIONAL DEL ECUADOR</w:t>
      </w:r>
    </w:p>
    <w:p w14:paraId="4F67ACB7" w14:textId="77777777" w:rsidR="00591D54" w:rsidRDefault="00591D54">
      <w:pPr>
        <w:shd w:val="clear" w:color="auto" w:fill="FFFFFF"/>
        <w:spacing w:line="432" w:lineRule="exact"/>
        <w:ind w:left="1339"/>
      </w:pPr>
      <w:r>
        <w:rPr>
          <w:b/>
          <w:bCs/>
          <w:sz w:val="18"/>
          <w:szCs w:val="18"/>
          <w:lang w:val="es-ES_tradnl"/>
        </w:rPr>
        <w:t>I. ANTECEDENTES</w:t>
      </w:r>
    </w:p>
    <w:p w14:paraId="4F67ACB8" w14:textId="77777777" w:rsidR="00591D54" w:rsidRDefault="00591D54">
      <w:pPr>
        <w:shd w:val="clear" w:color="auto" w:fill="FFFFFF"/>
        <w:spacing w:before="5" w:line="432" w:lineRule="exact"/>
      </w:pPr>
      <w:r>
        <w:rPr>
          <w:b/>
          <w:bCs/>
          <w:spacing w:val="-9"/>
          <w:sz w:val="18"/>
          <w:szCs w:val="18"/>
          <w:lang w:val="es-ES_tradnl"/>
        </w:rPr>
        <w:t>Resumen de admisibilidad</w:t>
      </w:r>
    </w:p>
    <w:p w14:paraId="4F67ACB9" w14:textId="77777777" w:rsidR="00591D54" w:rsidRDefault="00591D54">
      <w:pPr>
        <w:shd w:val="clear" w:color="auto" w:fill="FFFFFF"/>
        <w:spacing w:before="168" w:line="216" w:lineRule="exact"/>
        <w:jc w:val="both"/>
      </w:pPr>
      <w:r>
        <w:rPr>
          <w:spacing w:val="-6"/>
          <w:sz w:val="18"/>
          <w:szCs w:val="18"/>
          <w:lang w:val="es-ES_tradnl"/>
        </w:rPr>
        <w:t>Los se</w:t>
      </w:r>
      <w:r>
        <w:rPr>
          <w:rFonts w:cs="Times New Roman"/>
          <w:spacing w:val="-6"/>
          <w:sz w:val="18"/>
          <w:szCs w:val="18"/>
          <w:lang w:val="es-ES_tradnl"/>
        </w:rPr>
        <w:t>ñ</w:t>
      </w:r>
      <w:r>
        <w:rPr>
          <w:spacing w:val="-6"/>
          <w:sz w:val="18"/>
          <w:szCs w:val="18"/>
          <w:lang w:val="es-ES_tradnl"/>
        </w:rPr>
        <w:t>ores Jorge Vicente Chapiliquin Purisaga y Mar</w:t>
      </w:r>
      <w:r>
        <w:rPr>
          <w:rFonts w:cs="Times New Roman"/>
          <w:spacing w:val="-6"/>
          <w:sz w:val="18"/>
          <w:szCs w:val="18"/>
          <w:lang w:val="es-ES_tradnl"/>
        </w:rPr>
        <w:t>í</w:t>
      </w:r>
      <w:r>
        <w:rPr>
          <w:spacing w:val="-6"/>
          <w:sz w:val="18"/>
          <w:szCs w:val="18"/>
          <w:lang w:val="es-ES_tradnl"/>
        </w:rPr>
        <w:t xml:space="preserve">a </w:t>
      </w:r>
      <w:r>
        <w:rPr>
          <w:spacing w:val="-7"/>
          <w:sz w:val="18"/>
          <w:szCs w:val="18"/>
          <w:lang w:val="es-ES_tradnl"/>
        </w:rPr>
        <w:t>Teresa Alc</w:t>
      </w:r>
      <w:r>
        <w:rPr>
          <w:rFonts w:cs="Times New Roman"/>
          <w:spacing w:val="-7"/>
          <w:sz w:val="18"/>
          <w:szCs w:val="18"/>
          <w:lang w:val="es-ES_tradnl"/>
        </w:rPr>
        <w:t>í</w:t>
      </w:r>
      <w:r>
        <w:rPr>
          <w:spacing w:val="-7"/>
          <w:sz w:val="18"/>
          <w:szCs w:val="18"/>
          <w:lang w:val="es-ES_tradnl"/>
        </w:rPr>
        <w:t xml:space="preserve">var Mendoza, el 02 de febrero de 2011, en su </w:t>
      </w:r>
      <w:r>
        <w:rPr>
          <w:spacing w:val="-8"/>
          <w:sz w:val="18"/>
          <w:szCs w:val="18"/>
          <w:lang w:val="es-ES_tradnl"/>
        </w:rPr>
        <w:t xml:space="preserve">calidad de padres y representantes legales de sus hijos </w:t>
      </w:r>
      <w:r>
        <w:rPr>
          <w:spacing w:val="-7"/>
          <w:sz w:val="18"/>
          <w:szCs w:val="18"/>
          <w:lang w:val="es-ES_tradnl"/>
        </w:rPr>
        <w:t xml:space="preserve">menores, Jorge Vicente y Madeleine Scarleth Chapiliquin </w:t>
      </w:r>
      <w:r>
        <w:rPr>
          <w:spacing w:val="-8"/>
          <w:sz w:val="18"/>
          <w:szCs w:val="18"/>
          <w:lang w:val="es-ES_tradnl"/>
        </w:rPr>
        <w:t>Alc</w:t>
      </w:r>
      <w:r>
        <w:rPr>
          <w:rFonts w:cs="Times New Roman"/>
          <w:spacing w:val="-8"/>
          <w:sz w:val="18"/>
          <w:szCs w:val="18"/>
          <w:lang w:val="es-ES_tradnl"/>
        </w:rPr>
        <w:t>í</w:t>
      </w:r>
      <w:r>
        <w:rPr>
          <w:spacing w:val="-8"/>
          <w:sz w:val="18"/>
          <w:szCs w:val="18"/>
          <w:lang w:val="es-ES_tradnl"/>
        </w:rPr>
        <w:t>var, presentaron acci</w:t>
      </w:r>
      <w:r>
        <w:rPr>
          <w:rFonts w:cs="Times New Roman"/>
          <w:spacing w:val="-8"/>
          <w:sz w:val="18"/>
          <w:szCs w:val="18"/>
          <w:lang w:val="es-ES_tradnl"/>
        </w:rPr>
        <w:t>ó</w:t>
      </w:r>
      <w:r>
        <w:rPr>
          <w:spacing w:val="-8"/>
          <w:sz w:val="18"/>
          <w:szCs w:val="18"/>
          <w:lang w:val="es-ES_tradnl"/>
        </w:rPr>
        <w:t>n extraordinaria de protecci</w:t>
      </w:r>
      <w:r>
        <w:rPr>
          <w:rFonts w:cs="Times New Roman"/>
          <w:spacing w:val="-8"/>
          <w:sz w:val="18"/>
          <w:szCs w:val="18"/>
          <w:lang w:val="es-ES_tradnl"/>
        </w:rPr>
        <w:t>ó</w:t>
      </w:r>
      <w:r>
        <w:rPr>
          <w:spacing w:val="-8"/>
          <w:sz w:val="18"/>
          <w:szCs w:val="18"/>
          <w:lang w:val="es-ES_tradnl"/>
        </w:rPr>
        <w:t xml:space="preserve">n en </w:t>
      </w:r>
      <w:r>
        <w:rPr>
          <w:spacing w:val="-9"/>
          <w:sz w:val="18"/>
          <w:szCs w:val="18"/>
          <w:lang w:val="es-ES_tradnl"/>
        </w:rPr>
        <w:t xml:space="preserve">contra del auto del 30 de noviembre de 2010, dictado por el </w:t>
      </w:r>
      <w:r>
        <w:rPr>
          <w:spacing w:val="-8"/>
          <w:sz w:val="18"/>
          <w:szCs w:val="18"/>
          <w:lang w:val="es-ES_tradnl"/>
        </w:rPr>
        <w:t>Tribunal Primero de Garant</w:t>
      </w:r>
      <w:r>
        <w:rPr>
          <w:rFonts w:cs="Times New Roman"/>
          <w:spacing w:val="-8"/>
          <w:sz w:val="18"/>
          <w:szCs w:val="18"/>
          <w:lang w:val="es-ES_tradnl"/>
        </w:rPr>
        <w:t>í</w:t>
      </w:r>
      <w:r>
        <w:rPr>
          <w:spacing w:val="-8"/>
          <w:sz w:val="18"/>
          <w:szCs w:val="18"/>
          <w:lang w:val="es-ES_tradnl"/>
        </w:rPr>
        <w:t>as Penales de Santo Domingo de los Ts</w:t>
      </w:r>
      <w:r>
        <w:rPr>
          <w:rFonts w:cs="Times New Roman"/>
          <w:spacing w:val="-8"/>
          <w:sz w:val="18"/>
          <w:szCs w:val="18"/>
          <w:lang w:val="es-ES_tradnl"/>
        </w:rPr>
        <w:t>á</w:t>
      </w:r>
      <w:r>
        <w:rPr>
          <w:spacing w:val="-8"/>
          <w:sz w:val="18"/>
          <w:szCs w:val="18"/>
          <w:lang w:val="es-ES_tradnl"/>
        </w:rPr>
        <w:t>chilas, dentro del juicio penal N.</w:t>
      </w:r>
      <w:r>
        <w:rPr>
          <w:rFonts w:cs="Times New Roman"/>
          <w:spacing w:val="-8"/>
          <w:sz w:val="18"/>
          <w:szCs w:val="18"/>
          <w:lang w:val="es-ES_tradnl"/>
        </w:rPr>
        <w:t>°</w:t>
      </w:r>
      <w:r>
        <w:rPr>
          <w:spacing w:val="-8"/>
          <w:sz w:val="18"/>
          <w:szCs w:val="18"/>
          <w:lang w:val="es-ES_tradnl"/>
        </w:rPr>
        <w:t xml:space="preserve"> 102-2007, 193-2006, que contiene la sentencia condenatoria en contra de </w:t>
      </w:r>
      <w:r>
        <w:rPr>
          <w:spacing w:val="-4"/>
          <w:sz w:val="18"/>
          <w:szCs w:val="18"/>
          <w:lang w:val="es-ES_tradnl"/>
        </w:rPr>
        <w:t xml:space="preserve">varias personas, lo cual involucra el comiso definitivo y </w:t>
      </w:r>
      <w:r>
        <w:rPr>
          <w:spacing w:val="-9"/>
          <w:sz w:val="18"/>
          <w:szCs w:val="18"/>
          <w:lang w:val="es-ES_tradnl"/>
        </w:rPr>
        <w:t xml:space="preserve">especial del bien inmueble de los hijos menores de edad de </w:t>
      </w:r>
      <w:r>
        <w:rPr>
          <w:sz w:val="18"/>
          <w:szCs w:val="18"/>
          <w:lang w:val="es-ES_tradnl"/>
        </w:rPr>
        <w:t>los accionantes.</w:t>
      </w:r>
    </w:p>
    <w:p w14:paraId="4F67ACBA" w14:textId="77777777" w:rsidR="00591D54" w:rsidRDefault="00591D54">
      <w:pPr>
        <w:shd w:val="clear" w:color="auto" w:fill="FFFFFF"/>
        <w:spacing w:before="197" w:line="216" w:lineRule="exact"/>
        <w:jc w:val="both"/>
      </w:pPr>
      <w:r>
        <w:rPr>
          <w:spacing w:val="-2"/>
          <w:sz w:val="18"/>
          <w:szCs w:val="18"/>
          <w:lang w:val="es-ES_tradnl"/>
        </w:rPr>
        <w:t>La Secretar</w:t>
      </w:r>
      <w:r>
        <w:rPr>
          <w:rFonts w:cs="Times New Roman"/>
          <w:spacing w:val="-2"/>
          <w:sz w:val="18"/>
          <w:szCs w:val="18"/>
          <w:lang w:val="es-ES_tradnl"/>
        </w:rPr>
        <w:t>í</w:t>
      </w:r>
      <w:r>
        <w:rPr>
          <w:spacing w:val="-2"/>
          <w:sz w:val="18"/>
          <w:szCs w:val="18"/>
          <w:lang w:val="es-ES_tradnl"/>
        </w:rPr>
        <w:t xml:space="preserve">a General de la Corte Constitucional, para </w:t>
      </w:r>
      <w:r>
        <w:rPr>
          <w:spacing w:val="-4"/>
          <w:sz w:val="18"/>
          <w:szCs w:val="18"/>
          <w:lang w:val="es-ES_tradnl"/>
        </w:rPr>
        <w:t>el per</w:t>
      </w:r>
      <w:r>
        <w:rPr>
          <w:rFonts w:cs="Times New Roman"/>
          <w:spacing w:val="-4"/>
          <w:sz w:val="18"/>
          <w:szCs w:val="18"/>
          <w:lang w:val="es-ES_tradnl"/>
        </w:rPr>
        <w:t>í</w:t>
      </w:r>
      <w:r>
        <w:rPr>
          <w:spacing w:val="-4"/>
          <w:sz w:val="18"/>
          <w:szCs w:val="18"/>
          <w:lang w:val="es-ES_tradnl"/>
        </w:rPr>
        <w:t>odo de transici</w:t>
      </w:r>
      <w:r>
        <w:rPr>
          <w:rFonts w:cs="Times New Roman"/>
          <w:spacing w:val="-4"/>
          <w:sz w:val="18"/>
          <w:szCs w:val="18"/>
          <w:lang w:val="es-ES_tradnl"/>
        </w:rPr>
        <w:t>ó</w:t>
      </w:r>
      <w:r>
        <w:rPr>
          <w:spacing w:val="-4"/>
          <w:sz w:val="18"/>
          <w:szCs w:val="18"/>
          <w:lang w:val="es-ES_tradnl"/>
        </w:rPr>
        <w:t>n, el 15 de abril de 2011 certific</w:t>
      </w:r>
      <w:r>
        <w:rPr>
          <w:rFonts w:cs="Times New Roman"/>
          <w:spacing w:val="-4"/>
          <w:sz w:val="18"/>
          <w:szCs w:val="18"/>
          <w:lang w:val="es-ES_tradnl"/>
        </w:rPr>
        <w:t xml:space="preserve">ó </w:t>
      </w:r>
      <w:r>
        <w:rPr>
          <w:spacing w:val="-7"/>
          <w:sz w:val="18"/>
          <w:szCs w:val="18"/>
          <w:lang w:val="es-ES_tradnl"/>
        </w:rPr>
        <w:t>que respecto a la acci</w:t>
      </w:r>
      <w:r>
        <w:rPr>
          <w:rFonts w:cs="Times New Roman"/>
          <w:spacing w:val="-7"/>
          <w:sz w:val="18"/>
          <w:szCs w:val="18"/>
          <w:lang w:val="es-ES_tradnl"/>
        </w:rPr>
        <w:t>ó</w:t>
      </w:r>
      <w:r>
        <w:rPr>
          <w:spacing w:val="-7"/>
          <w:sz w:val="18"/>
          <w:szCs w:val="18"/>
          <w:lang w:val="es-ES_tradnl"/>
        </w:rPr>
        <w:t>n N.</w:t>
      </w:r>
      <w:r>
        <w:rPr>
          <w:rFonts w:cs="Times New Roman"/>
          <w:spacing w:val="-7"/>
          <w:sz w:val="18"/>
          <w:szCs w:val="18"/>
          <w:lang w:val="es-ES_tradnl"/>
        </w:rPr>
        <w:t>°</w:t>
      </w:r>
      <w:r>
        <w:rPr>
          <w:spacing w:val="-7"/>
          <w:sz w:val="18"/>
          <w:szCs w:val="18"/>
          <w:lang w:val="es-ES_tradnl"/>
        </w:rPr>
        <w:t xml:space="preserve"> 0638-11-EP, no se hab</w:t>
      </w:r>
      <w:r>
        <w:rPr>
          <w:rFonts w:cs="Times New Roman"/>
          <w:spacing w:val="-7"/>
          <w:sz w:val="18"/>
          <w:szCs w:val="18"/>
          <w:lang w:val="es-ES_tradnl"/>
        </w:rPr>
        <w:t>í</w:t>
      </w:r>
      <w:r>
        <w:rPr>
          <w:spacing w:val="-7"/>
          <w:sz w:val="18"/>
          <w:szCs w:val="18"/>
          <w:lang w:val="es-ES_tradnl"/>
        </w:rPr>
        <w:t xml:space="preserve">a </w:t>
      </w:r>
      <w:r>
        <w:rPr>
          <w:spacing w:val="-8"/>
          <w:sz w:val="18"/>
          <w:szCs w:val="18"/>
          <w:lang w:val="es-ES_tradnl"/>
        </w:rPr>
        <w:t>presentado otra demanda con identidad de objeto y acci</w:t>
      </w:r>
      <w:r>
        <w:rPr>
          <w:rFonts w:cs="Times New Roman"/>
          <w:spacing w:val="-8"/>
          <w:sz w:val="18"/>
          <w:szCs w:val="18"/>
          <w:lang w:val="es-ES_tradnl"/>
        </w:rPr>
        <w:t>ó</w:t>
      </w:r>
      <w:r>
        <w:rPr>
          <w:spacing w:val="-8"/>
          <w:sz w:val="18"/>
          <w:szCs w:val="18"/>
          <w:lang w:val="es-ES_tradnl"/>
        </w:rPr>
        <w:t xml:space="preserve">n, </w:t>
      </w:r>
      <w:r>
        <w:rPr>
          <w:spacing w:val="-1"/>
          <w:sz w:val="18"/>
          <w:szCs w:val="18"/>
          <w:lang w:val="es-ES_tradnl"/>
        </w:rPr>
        <w:t xml:space="preserve">en cumplimiento de lo establecido en el inciso 2 del </w:t>
      </w:r>
      <w:r>
        <w:rPr>
          <w:spacing w:val="-7"/>
          <w:sz w:val="18"/>
          <w:szCs w:val="18"/>
          <w:lang w:val="es-ES_tradnl"/>
        </w:rPr>
        <w:t>art</w:t>
      </w:r>
      <w:r>
        <w:rPr>
          <w:rFonts w:cs="Times New Roman"/>
          <w:spacing w:val="-7"/>
          <w:sz w:val="18"/>
          <w:szCs w:val="18"/>
          <w:lang w:val="es-ES_tradnl"/>
        </w:rPr>
        <w:t>í</w:t>
      </w:r>
      <w:r>
        <w:rPr>
          <w:spacing w:val="-7"/>
          <w:sz w:val="18"/>
          <w:szCs w:val="18"/>
          <w:lang w:val="es-ES_tradnl"/>
        </w:rPr>
        <w:t>culo 17 del Reglamento de Sustanciaci</w:t>
      </w:r>
      <w:r>
        <w:rPr>
          <w:rFonts w:cs="Times New Roman"/>
          <w:spacing w:val="-7"/>
          <w:sz w:val="18"/>
          <w:szCs w:val="18"/>
          <w:lang w:val="es-ES_tradnl"/>
        </w:rPr>
        <w:t>ó</w:t>
      </w:r>
      <w:r>
        <w:rPr>
          <w:spacing w:val="-7"/>
          <w:sz w:val="18"/>
          <w:szCs w:val="18"/>
          <w:lang w:val="es-ES_tradnl"/>
        </w:rPr>
        <w:t xml:space="preserve">n de Procesos </w:t>
      </w:r>
      <w:r>
        <w:rPr>
          <w:spacing w:val="-6"/>
          <w:sz w:val="18"/>
          <w:szCs w:val="18"/>
          <w:lang w:val="es-ES_tradnl"/>
        </w:rPr>
        <w:t xml:space="preserve">de Competencia de la Corte Constitucional, aplicables a </w:t>
      </w:r>
      <w:r>
        <w:rPr>
          <w:sz w:val="18"/>
          <w:szCs w:val="18"/>
          <w:lang w:val="es-ES_tradnl"/>
        </w:rPr>
        <w:t>dicha fecha.</w:t>
      </w:r>
    </w:p>
    <w:p w14:paraId="4F67ACBB" w14:textId="77777777" w:rsidR="00591D54" w:rsidRDefault="00591D54">
      <w:pPr>
        <w:shd w:val="clear" w:color="auto" w:fill="FFFFFF"/>
        <w:spacing w:before="197" w:line="216" w:lineRule="exact"/>
        <w:jc w:val="both"/>
      </w:pPr>
      <w:r>
        <w:rPr>
          <w:sz w:val="18"/>
          <w:szCs w:val="18"/>
          <w:lang w:val="es-ES_tradnl"/>
        </w:rPr>
        <w:t>La Sala de Admisi</w:t>
      </w:r>
      <w:r>
        <w:rPr>
          <w:rFonts w:cs="Times New Roman"/>
          <w:sz w:val="18"/>
          <w:szCs w:val="18"/>
          <w:lang w:val="es-ES_tradnl"/>
        </w:rPr>
        <w:t>ó</w:t>
      </w:r>
      <w:r>
        <w:rPr>
          <w:sz w:val="18"/>
          <w:szCs w:val="18"/>
          <w:lang w:val="es-ES_tradnl"/>
        </w:rPr>
        <w:t xml:space="preserve">n de la Corte Constitucional, para </w:t>
      </w:r>
      <w:r>
        <w:rPr>
          <w:spacing w:val="-6"/>
          <w:sz w:val="18"/>
          <w:szCs w:val="18"/>
          <w:lang w:val="es-ES_tradnl"/>
        </w:rPr>
        <w:t>el per</w:t>
      </w:r>
      <w:r>
        <w:rPr>
          <w:rFonts w:cs="Times New Roman"/>
          <w:spacing w:val="-6"/>
          <w:sz w:val="18"/>
          <w:szCs w:val="18"/>
          <w:lang w:val="es-ES_tradnl"/>
        </w:rPr>
        <w:t>í</w:t>
      </w:r>
      <w:r>
        <w:rPr>
          <w:spacing w:val="-6"/>
          <w:sz w:val="18"/>
          <w:szCs w:val="18"/>
          <w:lang w:val="es-ES_tradnl"/>
        </w:rPr>
        <w:t>odo de transici</w:t>
      </w:r>
      <w:r>
        <w:rPr>
          <w:rFonts w:cs="Times New Roman"/>
          <w:spacing w:val="-6"/>
          <w:sz w:val="18"/>
          <w:szCs w:val="18"/>
          <w:lang w:val="es-ES_tradnl"/>
        </w:rPr>
        <w:t>ó</w:t>
      </w:r>
      <w:r>
        <w:rPr>
          <w:spacing w:val="-6"/>
          <w:sz w:val="18"/>
          <w:szCs w:val="18"/>
          <w:lang w:val="es-ES_tradnl"/>
        </w:rPr>
        <w:t xml:space="preserve">n, conformada por los jueces </w:t>
      </w:r>
      <w:r>
        <w:rPr>
          <w:spacing w:val="-8"/>
          <w:sz w:val="18"/>
          <w:szCs w:val="18"/>
          <w:lang w:val="es-ES_tradnl"/>
        </w:rPr>
        <w:t xml:space="preserve">constitucionales Roberto Bhrunis Lemarie, Patricio Herrera </w:t>
      </w:r>
      <w:r>
        <w:rPr>
          <w:spacing w:val="-4"/>
          <w:sz w:val="18"/>
          <w:szCs w:val="18"/>
          <w:lang w:val="es-ES_tradnl"/>
        </w:rPr>
        <w:t xml:space="preserve">Betancourt y Manuel Viteri Olvera, el 21 de julio de 2011 </w:t>
      </w:r>
      <w:r>
        <w:rPr>
          <w:spacing w:val="-3"/>
          <w:sz w:val="18"/>
          <w:szCs w:val="18"/>
          <w:lang w:val="es-ES_tradnl"/>
        </w:rPr>
        <w:t>acept</w:t>
      </w:r>
      <w:r>
        <w:rPr>
          <w:rFonts w:cs="Times New Roman"/>
          <w:spacing w:val="-3"/>
          <w:sz w:val="18"/>
          <w:szCs w:val="18"/>
          <w:lang w:val="es-ES_tradnl"/>
        </w:rPr>
        <w:t>ó</w:t>
      </w:r>
      <w:r>
        <w:rPr>
          <w:spacing w:val="-3"/>
          <w:sz w:val="18"/>
          <w:szCs w:val="18"/>
          <w:lang w:val="es-ES_tradnl"/>
        </w:rPr>
        <w:t xml:space="preserve"> a tr</w:t>
      </w:r>
      <w:r>
        <w:rPr>
          <w:rFonts w:cs="Times New Roman"/>
          <w:spacing w:val="-3"/>
          <w:sz w:val="18"/>
          <w:szCs w:val="18"/>
          <w:lang w:val="es-ES_tradnl"/>
        </w:rPr>
        <w:t>á</w:t>
      </w:r>
      <w:r>
        <w:rPr>
          <w:spacing w:val="-3"/>
          <w:sz w:val="18"/>
          <w:szCs w:val="18"/>
          <w:lang w:val="es-ES_tradnl"/>
        </w:rPr>
        <w:t>mite la acci</w:t>
      </w:r>
      <w:r>
        <w:rPr>
          <w:rFonts w:cs="Times New Roman"/>
          <w:spacing w:val="-3"/>
          <w:sz w:val="18"/>
          <w:szCs w:val="18"/>
          <w:lang w:val="es-ES_tradnl"/>
        </w:rPr>
        <w:t>ó</w:t>
      </w:r>
      <w:r>
        <w:rPr>
          <w:spacing w:val="-3"/>
          <w:sz w:val="18"/>
          <w:szCs w:val="18"/>
          <w:lang w:val="es-ES_tradnl"/>
        </w:rPr>
        <w:t>n extraordinaria de protecci</w:t>
      </w:r>
      <w:r>
        <w:rPr>
          <w:rFonts w:cs="Times New Roman"/>
          <w:spacing w:val="-3"/>
          <w:sz w:val="18"/>
          <w:szCs w:val="18"/>
          <w:lang w:val="es-ES_tradnl"/>
        </w:rPr>
        <w:t>ó</w:t>
      </w:r>
      <w:r>
        <w:rPr>
          <w:spacing w:val="-3"/>
          <w:sz w:val="18"/>
          <w:szCs w:val="18"/>
          <w:lang w:val="es-ES_tradnl"/>
        </w:rPr>
        <w:t xml:space="preserve">n </w:t>
      </w:r>
      <w:r>
        <w:rPr>
          <w:spacing w:val="-5"/>
          <w:sz w:val="18"/>
          <w:szCs w:val="18"/>
          <w:lang w:val="es-ES_tradnl"/>
        </w:rPr>
        <w:t>N.</w:t>
      </w:r>
      <w:r>
        <w:rPr>
          <w:rFonts w:cs="Times New Roman"/>
          <w:spacing w:val="-5"/>
          <w:sz w:val="18"/>
          <w:szCs w:val="18"/>
          <w:lang w:val="es-ES_tradnl"/>
        </w:rPr>
        <w:t>°</w:t>
      </w:r>
      <w:r>
        <w:rPr>
          <w:spacing w:val="-5"/>
          <w:sz w:val="18"/>
          <w:szCs w:val="18"/>
          <w:lang w:val="es-ES_tradnl"/>
        </w:rPr>
        <w:t xml:space="preserve"> 0638-11-EP, por reunir los requisitos formales y de </w:t>
      </w:r>
      <w:r>
        <w:rPr>
          <w:spacing w:val="-10"/>
          <w:sz w:val="18"/>
          <w:szCs w:val="18"/>
          <w:lang w:val="es-ES_tradnl"/>
        </w:rPr>
        <w:t>procedibilidad establecidos en la Ley Org</w:t>
      </w:r>
      <w:r>
        <w:rPr>
          <w:rFonts w:cs="Times New Roman"/>
          <w:spacing w:val="-10"/>
          <w:sz w:val="18"/>
          <w:szCs w:val="18"/>
          <w:lang w:val="es-ES_tradnl"/>
        </w:rPr>
        <w:t>á</w:t>
      </w:r>
      <w:r>
        <w:rPr>
          <w:spacing w:val="-10"/>
          <w:sz w:val="18"/>
          <w:szCs w:val="18"/>
          <w:lang w:val="es-ES_tradnl"/>
        </w:rPr>
        <w:t>nica de Garant</w:t>
      </w:r>
      <w:r>
        <w:rPr>
          <w:rFonts w:cs="Times New Roman"/>
          <w:spacing w:val="-10"/>
          <w:sz w:val="18"/>
          <w:szCs w:val="18"/>
          <w:lang w:val="es-ES_tradnl"/>
        </w:rPr>
        <w:t>í</w:t>
      </w:r>
      <w:r>
        <w:rPr>
          <w:spacing w:val="-10"/>
          <w:sz w:val="18"/>
          <w:szCs w:val="18"/>
          <w:lang w:val="es-ES_tradnl"/>
        </w:rPr>
        <w:t xml:space="preserve">as </w:t>
      </w:r>
      <w:r>
        <w:rPr>
          <w:spacing w:val="-5"/>
          <w:sz w:val="18"/>
          <w:szCs w:val="18"/>
          <w:lang w:val="es-ES_tradnl"/>
        </w:rPr>
        <w:t>Jurisdiccionales y Control Constitucional.</w:t>
      </w:r>
    </w:p>
    <w:p w14:paraId="4F67ACBC" w14:textId="77777777" w:rsidR="00591D54" w:rsidRDefault="00591D54">
      <w:pPr>
        <w:shd w:val="clear" w:color="auto" w:fill="FFFFFF"/>
        <w:spacing w:before="192" w:line="216" w:lineRule="exact"/>
        <w:jc w:val="both"/>
      </w:pPr>
      <w:r>
        <w:rPr>
          <w:spacing w:val="-6"/>
          <w:sz w:val="18"/>
          <w:szCs w:val="18"/>
          <w:lang w:val="es-ES_tradnl"/>
        </w:rPr>
        <w:t xml:space="preserve">El juez constitucional sustanciador, Hernando Morales </w:t>
      </w:r>
      <w:r>
        <w:rPr>
          <w:spacing w:val="-8"/>
          <w:sz w:val="18"/>
          <w:szCs w:val="18"/>
          <w:lang w:val="es-ES_tradnl"/>
        </w:rPr>
        <w:t>Vinueza, el 15 de septiembre del 2011 avoc</w:t>
      </w:r>
      <w:r>
        <w:rPr>
          <w:rFonts w:cs="Times New Roman"/>
          <w:spacing w:val="-8"/>
          <w:sz w:val="18"/>
          <w:szCs w:val="18"/>
          <w:lang w:val="es-ES_tradnl"/>
        </w:rPr>
        <w:t>ó</w:t>
      </w:r>
      <w:r>
        <w:rPr>
          <w:spacing w:val="-8"/>
          <w:sz w:val="18"/>
          <w:szCs w:val="18"/>
          <w:lang w:val="es-ES_tradnl"/>
        </w:rPr>
        <w:t xml:space="preserve"> conocimiento </w:t>
      </w:r>
      <w:r>
        <w:rPr>
          <w:spacing w:val="-3"/>
          <w:sz w:val="18"/>
          <w:szCs w:val="18"/>
          <w:lang w:val="es-ES_tradnl"/>
        </w:rPr>
        <w:t xml:space="preserve">de la causa, en virtud del sorteo realizado por el Pleno </w:t>
      </w:r>
      <w:r>
        <w:rPr>
          <w:spacing w:val="-6"/>
          <w:sz w:val="18"/>
          <w:szCs w:val="18"/>
          <w:lang w:val="es-ES_tradnl"/>
        </w:rPr>
        <w:t>del Organismo, en sesi</w:t>
      </w:r>
      <w:r>
        <w:rPr>
          <w:rFonts w:cs="Times New Roman"/>
          <w:spacing w:val="-6"/>
          <w:sz w:val="18"/>
          <w:szCs w:val="18"/>
          <w:lang w:val="es-ES_tradnl"/>
        </w:rPr>
        <w:t>ó</w:t>
      </w:r>
      <w:r>
        <w:rPr>
          <w:spacing w:val="-6"/>
          <w:sz w:val="18"/>
          <w:szCs w:val="18"/>
          <w:lang w:val="es-ES_tradnl"/>
        </w:rPr>
        <w:t xml:space="preserve">n extraordinaria del 16 de agosto </w:t>
      </w:r>
      <w:r>
        <w:rPr>
          <w:spacing w:val="-4"/>
          <w:sz w:val="18"/>
          <w:szCs w:val="18"/>
          <w:lang w:val="es-ES_tradnl"/>
        </w:rPr>
        <w:t>de 2011, y de conformidad con lo previsto en el art</w:t>
      </w:r>
      <w:r>
        <w:rPr>
          <w:rFonts w:cs="Times New Roman"/>
          <w:spacing w:val="-4"/>
          <w:sz w:val="18"/>
          <w:szCs w:val="18"/>
          <w:lang w:val="es-ES_tradnl"/>
        </w:rPr>
        <w:t>í</w:t>
      </w:r>
      <w:r>
        <w:rPr>
          <w:spacing w:val="-4"/>
          <w:sz w:val="18"/>
          <w:szCs w:val="18"/>
          <w:lang w:val="es-ES_tradnl"/>
        </w:rPr>
        <w:t xml:space="preserve">culo </w:t>
      </w:r>
      <w:r>
        <w:rPr>
          <w:spacing w:val="-6"/>
          <w:sz w:val="18"/>
          <w:szCs w:val="18"/>
          <w:lang w:val="es-ES_tradnl"/>
        </w:rPr>
        <w:t>195 de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w:t>
      </w:r>
      <w:r>
        <w:rPr>
          <w:spacing w:val="-7"/>
          <w:sz w:val="18"/>
          <w:szCs w:val="18"/>
          <w:lang w:val="es-ES_tradnl"/>
        </w:rPr>
        <w:t>Control Constitucional, y art</w:t>
      </w:r>
      <w:r>
        <w:rPr>
          <w:rFonts w:cs="Times New Roman"/>
          <w:spacing w:val="-7"/>
          <w:sz w:val="18"/>
          <w:szCs w:val="18"/>
          <w:lang w:val="es-ES_tradnl"/>
        </w:rPr>
        <w:t>í</w:t>
      </w:r>
      <w:r>
        <w:rPr>
          <w:spacing w:val="-7"/>
          <w:sz w:val="18"/>
          <w:szCs w:val="18"/>
          <w:lang w:val="es-ES_tradnl"/>
        </w:rPr>
        <w:t xml:space="preserve">culos 18 y 19 del Reglamento </w:t>
      </w:r>
      <w:r>
        <w:rPr>
          <w:spacing w:val="-9"/>
          <w:sz w:val="18"/>
          <w:szCs w:val="18"/>
          <w:lang w:val="es-ES_tradnl"/>
        </w:rPr>
        <w:t>de Sustanciaci</w:t>
      </w:r>
      <w:r>
        <w:rPr>
          <w:rFonts w:cs="Times New Roman"/>
          <w:spacing w:val="-9"/>
          <w:sz w:val="18"/>
          <w:szCs w:val="18"/>
          <w:lang w:val="es-ES_tradnl"/>
        </w:rPr>
        <w:t>ó</w:t>
      </w:r>
      <w:r>
        <w:rPr>
          <w:spacing w:val="-9"/>
          <w:sz w:val="18"/>
          <w:szCs w:val="18"/>
          <w:lang w:val="es-ES_tradnl"/>
        </w:rPr>
        <w:t xml:space="preserve">n de Procesos de Competencia de la Corte </w:t>
      </w:r>
      <w:r>
        <w:rPr>
          <w:spacing w:val="-7"/>
          <w:sz w:val="18"/>
          <w:szCs w:val="18"/>
          <w:lang w:val="es-ES_tradnl"/>
        </w:rPr>
        <w:t>Constitucional. As</w:t>
      </w:r>
      <w:r>
        <w:rPr>
          <w:rFonts w:cs="Times New Roman"/>
          <w:spacing w:val="-7"/>
          <w:sz w:val="18"/>
          <w:szCs w:val="18"/>
          <w:lang w:val="es-ES_tradnl"/>
        </w:rPr>
        <w:t>í</w:t>
      </w:r>
      <w:r>
        <w:rPr>
          <w:spacing w:val="-7"/>
          <w:sz w:val="18"/>
          <w:szCs w:val="18"/>
          <w:lang w:val="es-ES_tradnl"/>
        </w:rPr>
        <w:t xml:space="preserve"> pues, dispuso notificar a los jueces del </w:t>
      </w:r>
      <w:r>
        <w:rPr>
          <w:spacing w:val="-8"/>
          <w:sz w:val="18"/>
          <w:szCs w:val="18"/>
          <w:lang w:val="es-ES_tradnl"/>
        </w:rPr>
        <w:t>Tribunal Primero de Garant</w:t>
      </w:r>
      <w:r>
        <w:rPr>
          <w:rFonts w:cs="Times New Roman"/>
          <w:spacing w:val="-8"/>
          <w:sz w:val="18"/>
          <w:szCs w:val="18"/>
          <w:lang w:val="es-ES_tradnl"/>
        </w:rPr>
        <w:t>í</w:t>
      </w:r>
      <w:r>
        <w:rPr>
          <w:spacing w:val="-8"/>
          <w:sz w:val="18"/>
          <w:szCs w:val="18"/>
          <w:lang w:val="es-ES_tradnl"/>
        </w:rPr>
        <w:t xml:space="preserve">as Penales de Santo Domingo </w:t>
      </w:r>
      <w:r>
        <w:rPr>
          <w:spacing w:val="-5"/>
          <w:sz w:val="18"/>
          <w:szCs w:val="18"/>
          <w:lang w:val="es-ES_tradnl"/>
        </w:rPr>
        <w:t>de los Ts</w:t>
      </w:r>
      <w:r>
        <w:rPr>
          <w:rFonts w:cs="Times New Roman"/>
          <w:spacing w:val="-5"/>
          <w:sz w:val="18"/>
          <w:szCs w:val="18"/>
          <w:lang w:val="es-ES_tradnl"/>
        </w:rPr>
        <w:t>á</w:t>
      </w:r>
      <w:r>
        <w:rPr>
          <w:spacing w:val="-5"/>
          <w:sz w:val="18"/>
          <w:szCs w:val="18"/>
          <w:lang w:val="es-ES_tradnl"/>
        </w:rPr>
        <w:t>chilas, para que en el plazo de quince d</w:t>
      </w:r>
      <w:r>
        <w:rPr>
          <w:rFonts w:cs="Times New Roman"/>
          <w:spacing w:val="-5"/>
          <w:sz w:val="18"/>
          <w:szCs w:val="18"/>
          <w:lang w:val="es-ES_tradnl"/>
        </w:rPr>
        <w:t>í</w:t>
      </w:r>
      <w:r>
        <w:rPr>
          <w:spacing w:val="-5"/>
          <w:sz w:val="18"/>
          <w:szCs w:val="18"/>
          <w:lang w:val="es-ES_tradnl"/>
        </w:rPr>
        <w:t xml:space="preserve">as </w:t>
      </w:r>
      <w:r>
        <w:rPr>
          <w:spacing w:val="-6"/>
          <w:sz w:val="18"/>
          <w:szCs w:val="18"/>
          <w:lang w:val="es-ES_tradnl"/>
        </w:rPr>
        <w:t xml:space="preserve">presenten un informe motivado sobre los argumentos en </w:t>
      </w:r>
      <w:r>
        <w:rPr>
          <w:spacing w:val="-5"/>
          <w:sz w:val="18"/>
          <w:szCs w:val="18"/>
          <w:lang w:val="es-ES_tradnl"/>
        </w:rPr>
        <w:t>que se fundamenta la demanda de acci</w:t>
      </w:r>
      <w:r>
        <w:rPr>
          <w:rFonts w:cs="Times New Roman"/>
          <w:spacing w:val="-5"/>
          <w:sz w:val="18"/>
          <w:szCs w:val="18"/>
          <w:lang w:val="es-ES_tradnl"/>
        </w:rPr>
        <w:t>ó</w:t>
      </w:r>
      <w:r>
        <w:rPr>
          <w:spacing w:val="-5"/>
          <w:sz w:val="18"/>
          <w:szCs w:val="18"/>
          <w:lang w:val="es-ES_tradnl"/>
        </w:rPr>
        <w:t xml:space="preserve">n extraordinaria </w:t>
      </w:r>
      <w:r>
        <w:rPr>
          <w:spacing w:val="-4"/>
          <w:sz w:val="18"/>
          <w:szCs w:val="18"/>
          <w:lang w:val="es-ES_tradnl"/>
        </w:rPr>
        <w:t>de protecci</w:t>
      </w:r>
      <w:r>
        <w:rPr>
          <w:rFonts w:cs="Times New Roman"/>
          <w:spacing w:val="-4"/>
          <w:sz w:val="18"/>
          <w:szCs w:val="18"/>
          <w:lang w:val="es-ES_tradnl"/>
        </w:rPr>
        <w:t>ó</w:t>
      </w:r>
      <w:r>
        <w:rPr>
          <w:spacing w:val="-4"/>
          <w:sz w:val="18"/>
          <w:szCs w:val="18"/>
          <w:lang w:val="es-ES_tradnl"/>
        </w:rPr>
        <w:t>n. Tambi</w:t>
      </w:r>
      <w:r>
        <w:rPr>
          <w:rFonts w:cs="Times New Roman"/>
          <w:spacing w:val="-4"/>
          <w:sz w:val="18"/>
          <w:szCs w:val="18"/>
          <w:lang w:val="es-ES_tradnl"/>
        </w:rPr>
        <w:t>é</w:t>
      </w:r>
      <w:r>
        <w:rPr>
          <w:spacing w:val="-4"/>
          <w:sz w:val="18"/>
          <w:szCs w:val="18"/>
          <w:lang w:val="es-ES_tradnl"/>
        </w:rPr>
        <w:t>n orden</w:t>
      </w:r>
      <w:r>
        <w:rPr>
          <w:rFonts w:cs="Times New Roman"/>
          <w:spacing w:val="-4"/>
          <w:sz w:val="18"/>
          <w:szCs w:val="18"/>
          <w:lang w:val="es-ES_tradnl"/>
        </w:rPr>
        <w:t>ó</w:t>
      </w:r>
      <w:r>
        <w:rPr>
          <w:spacing w:val="-4"/>
          <w:sz w:val="18"/>
          <w:szCs w:val="18"/>
          <w:lang w:val="es-ES_tradnl"/>
        </w:rPr>
        <w:t xml:space="preserve"> notificar a los se</w:t>
      </w:r>
      <w:r>
        <w:rPr>
          <w:rFonts w:cs="Times New Roman"/>
          <w:spacing w:val="-4"/>
          <w:sz w:val="18"/>
          <w:szCs w:val="18"/>
          <w:lang w:val="es-ES_tradnl"/>
        </w:rPr>
        <w:t>ñ</w:t>
      </w:r>
      <w:r>
        <w:rPr>
          <w:spacing w:val="-4"/>
          <w:sz w:val="18"/>
          <w:szCs w:val="18"/>
          <w:lang w:val="es-ES_tradnl"/>
        </w:rPr>
        <w:t xml:space="preserve">ores </w:t>
      </w:r>
      <w:r>
        <w:rPr>
          <w:spacing w:val="-5"/>
          <w:sz w:val="18"/>
          <w:szCs w:val="18"/>
          <w:lang w:val="es-ES_tradnl"/>
        </w:rPr>
        <w:t>Jos</w:t>
      </w:r>
      <w:r>
        <w:rPr>
          <w:rFonts w:cs="Times New Roman"/>
          <w:spacing w:val="-5"/>
          <w:sz w:val="18"/>
          <w:szCs w:val="18"/>
          <w:lang w:val="es-ES_tradnl"/>
        </w:rPr>
        <w:t>é</w:t>
      </w:r>
      <w:r>
        <w:rPr>
          <w:spacing w:val="-5"/>
          <w:sz w:val="18"/>
          <w:szCs w:val="18"/>
          <w:lang w:val="es-ES_tradnl"/>
        </w:rPr>
        <w:t xml:space="preserve"> </w:t>
      </w:r>
      <w:r>
        <w:rPr>
          <w:rFonts w:cs="Times New Roman"/>
          <w:spacing w:val="-5"/>
          <w:sz w:val="18"/>
          <w:szCs w:val="18"/>
          <w:lang w:val="es-ES_tradnl"/>
        </w:rPr>
        <w:t>Á</w:t>
      </w:r>
      <w:r>
        <w:rPr>
          <w:spacing w:val="-5"/>
          <w:sz w:val="18"/>
          <w:szCs w:val="18"/>
          <w:lang w:val="es-ES_tradnl"/>
        </w:rPr>
        <w:t>lvaro Acevedo Viera, Efra</w:t>
      </w:r>
      <w:r>
        <w:rPr>
          <w:rFonts w:cs="Times New Roman"/>
          <w:spacing w:val="-5"/>
          <w:sz w:val="18"/>
          <w:szCs w:val="18"/>
          <w:lang w:val="es-ES_tradnl"/>
        </w:rPr>
        <w:t>í</w:t>
      </w:r>
      <w:r>
        <w:rPr>
          <w:spacing w:val="-5"/>
          <w:sz w:val="18"/>
          <w:szCs w:val="18"/>
          <w:lang w:val="es-ES_tradnl"/>
        </w:rPr>
        <w:t>n Cardona Gonz</w:t>
      </w:r>
      <w:r>
        <w:rPr>
          <w:rFonts w:cs="Times New Roman"/>
          <w:spacing w:val="-5"/>
          <w:sz w:val="18"/>
          <w:szCs w:val="18"/>
          <w:lang w:val="es-ES_tradnl"/>
        </w:rPr>
        <w:t>á</w:t>
      </w:r>
      <w:r>
        <w:rPr>
          <w:spacing w:val="-5"/>
          <w:sz w:val="18"/>
          <w:szCs w:val="18"/>
          <w:lang w:val="es-ES_tradnl"/>
        </w:rPr>
        <w:t xml:space="preserve">lez, </w:t>
      </w:r>
      <w:r>
        <w:rPr>
          <w:spacing w:val="-7"/>
          <w:sz w:val="18"/>
          <w:szCs w:val="18"/>
          <w:lang w:val="es-ES_tradnl"/>
        </w:rPr>
        <w:t>Rafael Cardona Gonz</w:t>
      </w:r>
      <w:r>
        <w:rPr>
          <w:rFonts w:cs="Times New Roman"/>
          <w:spacing w:val="-7"/>
          <w:sz w:val="18"/>
          <w:szCs w:val="18"/>
          <w:lang w:val="es-ES_tradnl"/>
        </w:rPr>
        <w:t>á</w:t>
      </w:r>
      <w:r>
        <w:rPr>
          <w:spacing w:val="-7"/>
          <w:sz w:val="18"/>
          <w:szCs w:val="18"/>
          <w:lang w:val="es-ES_tradnl"/>
        </w:rPr>
        <w:t>les, Gonzalo Cardona Guti</w:t>
      </w:r>
      <w:r>
        <w:rPr>
          <w:rFonts w:cs="Times New Roman"/>
          <w:spacing w:val="-7"/>
          <w:sz w:val="18"/>
          <w:szCs w:val="18"/>
          <w:lang w:val="es-ES_tradnl"/>
        </w:rPr>
        <w:t>é</w:t>
      </w:r>
      <w:r>
        <w:rPr>
          <w:spacing w:val="-7"/>
          <w:sz w:val="18"/>
          <w:szCs w:val="18"/>
          <w:lang w:val="es-ES_tradnl"/>
        </w:rPr>
        <w:t xml:space="preserve">rrez, </w:t>
      </w:r>
      <w:r>
        <w:rPr>
          <w:spacing w:val="-5"/>
          <w:sz w:val="18"/>
          <w:szCs w:val="18"/>
          <w:lang w:val="es-ES_tradnl"/>
        </w:rPr>
        <w:t>Bercelio Sabando Miranda, Ram</w:t>
      </w:r>
      <w:r>
        <w:rPr>
          <w:rFonts w:cs="Times New Roman"/>
          <w:spacing w:val="-5"/>
          <w:sz w:val="18"/>
          <w:szCs w:val="18"/>
          <w:lang w:val="es-ES_tradnl"/>
        </w:rPr>
        <w:t>ó</w:t>
      </w:r>
      <w:r>
        <w:rPr>
          <w:spacing w:val="-5"/>
          <w:sz w:val="18"/>
          <w:szCs w:val="18"/>
          <w:lang w:val="es-ES_tradnl"/>
        </w:rPr>
        <w:t xml:space="preserve">n Antonio Sabando </w:t>
      </w:r>
      <w:r>
        <w:rPr>
          <w:sz w:val="18"/>
          <w:szCs w:val="18"/>
          <w:lang w:val="es-ES_tradnl"/>
        </w:rPr>
        <w:t>Miranda, Arturo Aguilar y Jaime Lasso Rodr</w:t>
      </w:r>
      <w:r>
        <w:rPr>
          <w:rFonts w:cs="Times New Roman"/>
          <w:sz w:val="18"/>
          <w:szCs w:val="18"/>
          <w:lang w:val="es-ES_tradnl"/>
        </w:rPr>
        <w:t>í</w:t>
      </w:r>
      <w:r>
        <w:rPr>
          <w:sz w:val="18"/>
          <w:szCs w:val="18"/>
          <w:lang w:val="es-ES_tradnl"/>
        </w:rPr>
        <w:t xml:space="preserve">guez. De </w:t>
      </w:r>
      <w:r>
        <w:rPr>
          <w:spacing w:val="-4"/>
          <w:sz w:val="18"/>
          <w:szCs w:val="18"/>
          <w:lang w:val="es-ES_tradnl"/>
        </w:rPr>
        <w:t xml:space="preserve">la misma forma, dispuso notificar al ingeniero Rodrigo </w:t>
      </w:r>
      <w:r>
        <w:rPr>
          <w:spacing w:val="-1"/>
          <w:sz w:val="18"/>
          <w:szCs w:val="18"/>
          <w:lang w:val="es-ES_tradnl"/>
        </w:rPr>
        <w:t>Sixto V</w:t>
      </w:r>
      <w:r>
        <w:rPr>
          <w:rFonts w:cs="Times New Roman"/>
          <w:spacing w:val="-1"/>
          <w:sz w:val="18"/>
          <w:szCs w:val="18"/>
          <w:lang w:val="es-ES_tradnl"/>
        </w:rPr>
        <w:t>é</w:t>
      </w:r>
      <w:r>
        <w:rPr>
          <w:spacing w:val="-1"/>
          <w:sz w:val="18"/>
          <w:szCs w:val="18"/>
          <w:lang w:val="es-ES_tradnl"/>
        </w:rPr>
        <w:t>lez Valarezo, secretario ejecutivo del Consejo</w:t>
      </w:r>
    </w:p>
    <w:p w14:paraId="4F67ACBD" w14:textId="77777777" w:rsidR="00591D54" w:rsidRDefault="00591D54">
      <w:pPr>
        <w:shd w:val="clear" w:color="auto" w:fill="FFFFFF"/>
        <w:spacing w:before="192" w:line="216" w:lineRule="exact"/>
        <w:jc w:val="both"/>
        <w:sectPr w:rsidR="00591D54">
          <w:type w:val="continuous"/>
          <w:pgSz w:w="11909" w:h="16834"/>
          <w:pgMar w:top="1354" w:right="1309" w:bottom="360" w:left="1308" w:header="720" w:footer="720" w:gutter="0"/>
          <w:cols w:num="2" w:space="720" w:equalWidth="0">
            <w:col w:w="4305" w:space="682"/>
            <w:col w:w="4305"/>
          </w:cols>
          <w:noEndnote/>
        </w:sectPr>
      </w:pPr>
    </w:p>
    <w:p w14:paraId="4F67ACBE" w14:textId="77777777" w:rsidR="00591D54" w:rsidRDefault="00591D54">
      <w:pPr>
        <w:shd w:val="clear" w:color="auto" w:fill="FFFFFF"/>
        <w:tabs>
          <w:tab w:val="left" w:pos="5856"/>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- 113</w:t>
      </w:r>
    </w:p>
    <w:p w14:paraId="4F67ACBF" w14:textId="77777777" w:rsidR="00591D54" w:rsidRDefault="00591D54">
      <w:pPr>
        <w:shd w:val="clear" w:color="auto" w:fill="FFFFFF"/>
        <w:tabs>
          <w:tab w:val="left" w:pos="5856"/>
        </w:tabs>
        <w:spacing w:after="235"/>
        <w:ind w:left="5"/>
        <w:sectPr w:rsidR="00591D54">
          <w:pgSz w:w="11909" w:h="16834"/>
          <w:pgMar w:top="1373" w:right="1299" w:bottom="360" w:left="1308" w:header="720" w:footer="720" w:gutter="0"/>
          <w:cols w:space="60"/>
          <w:noEndnote/>
        </w:sectPr>
      </w:pPr>
    </w:p>
    <w:p w14:paraId="4F67ACC0" w14:textId="77777777" w:rsidR="00591D54" w:rsidRDefault="00591D54">
      <w:pPr>
        <w:shd w:val="clear" w:color="auto" w:fill="FFFFFF"/>
        <w:spacing w:line="216" w:lineRule="exact"/>
        <w:jc w:val="both"/>
      </w:pPr>
      <w:r>
        <w:rPr>
          <w:spacing w:val="-5"/>
          <w:sz w:val="18"/>
          <w:szCs w:val="18"/>
          <w:lang w:val="es-ES_tradnl"/>
        </w:rPr>
        <w:t>Nacional de Sustancias Estupefacientes y Psicotr</w:t>
      </w:r>
      <w:r>
        <w:rPr>
          <w:rFonts w:cs="Times New Roman"/>
          <w:spacing w:val="-5"/>
          <w:sz w:val="18"/>
          <w:szCs w:val="18"/>
          <w:lang w:val="es-ES_tradnl"/>
        </w:rPr>
        <w:t>ó</w:t>
      </w:r>
      <w:r>
        <w:rPr>
          <w:spacing w:val="-5"/>
          <w:sz w:val="18"/>
          <w:szCs w:val="18"/>
          <w:lang w:val="es-ES_tradnl"/>
        </w:rPr>
        <w:t xml:space="preserve">picas </w:t>
      </w:r>
      <w:r>
        <w:rPr>
          <w:spacing w:val="-7"/>
          <w:sz w:val="18"/>
          <w:szCs w:val="18"/>
          <w:lang w:val="es-ES_tradnl"/>
        </w:rPr>
        <w:t xml:space="preserve">(en adelante CONSEP); al procurador general del Estado, </w:t>
      </w:r>
      <w:r>
        <w:rPr>
          <w:spacing w:val="-8"/>
          <w:sz w:val="18"/>
          <w:szCs w:val="18"/>
          <w:lang w:val="es-ES_tradnl"/>
        </w:rPr>
        <w:t>y adicionalmente convoc</w:t>
      </w:r>
      <w:r>
        <w:rPr>
          <w:rFonts w:cs="Times New Roman"/>
          <w:spacing w:val="-8"/>
          <w:sz w:val="18"/>
          <w:szCs w:val="18"/>
          <w:lang w:val="es-ES_tradnl"/>
        </w:rPr>
        <w:t>ó</w:t>
      </w:r>
      <w:r>
        <w:rPr>
          <w:spacing w:val="-8"/>
          <w:sz w:val="18"/>
          <w:szCs w:val="18"/>
          <w:lang w:val="es-ES_tradnl"/>
        </w:rPr>
        <w:t xml:space="preserve"> a todos los intervinientes para el 28 de septiembre de 2011, a la audiencia p</w:t>
      </w:r>
      <w:r>
        <w:rPr>
          <w:rFonts w:cs="Times New Roman"/>
          <w:spacing w:val="-8"/>
          <w:sz w:val="18"/>
          <w:szCs w:val="18"/>
          <w:lang w:val="es-ES_tradnl"/>
        </w:rPr>
        <w:t>ú</w:t>
      </w:r>
      <w:r>
        <w:rPr>
          <w:spacing w:val="-8"/>
          <w:sz w:val="18"/>
          <w:szCs w:val="18"/>
          <w:lang w:val="es-ES_tradnl"/>
        </w:rPr>
        <w:t>blica.</w:t>
      </w:r>
    </w:p>
    <w:p w14:paraId="4F67ACC1" w14:textId="77777777" w:rsidR="00591D54" w:rsidRDefault="00591D54">
      <w:pPr>
        <w:shd w:val="clear" w:color="auto" w:fill="FFFFFF"/>
        <w:spacing w:before="197" w:line="216" w:lineRule="exact"/>
        <w:jc w:val="both"/>
      </w:pPr>
      <w:r>
        <w:rPr>
          <w:spacing w:val="-2"/>
          <w:sz w:val="18"/>
          <w:szCs w:val="18"/>
          <w:lang w:val="es-ES_tradnl"/>
        </w:rPr>
        <w:t xml:space="preserve">El 06 de noviembre de 2012 se posesionaron ante el </w:t>
      </w:r>
      <w:r>
        <w:rPr>
          <w:spacing w:val="-6"/>
          <w:sz w:val="18"/>
          <w:szCs w:val="18"/>
          <w:lang w:val="es-ES_tradnl"/>
        </w:rPr>
        <w:t>Pleno de la Asamblea Nacional los jueces de la primera Corte Constitucional del Ecuador, integrada conforme lo dispuesto en los art</w:t>
      </w:r>
      <w:r>
        <w:rPr>
          <w:rFonts w:cs="Times New Roman"/>
          <w:spacing w:val="-6"/>
          <w:sz w:val="18"/>
          <w:szCs w:val="18"/>
          <w:lang w:val="es-ES_tradnl"/>
        </w:rPr>
        <w:t>í</w:t>
      </w:r>
      <w:r>
        <w:rPr>
          <w:spacing w:val="-6"/>
          <w:sz w:val="18"/>
          <w:szCs w:val="18"/>
          <w:lang w:val="es-ES_tradnl"/>
        </w:rPr>
        <w:t>culos 432 y 434 de la Constituci</w:t>
      </w:r>
      <w:r>
        <w:rPr>
          <w:rFonts w:cs="Times New Roman"/>
          <w:spacing w:val="-6"/>
          <w:sz w:val="18"/>
          <w:szCs w:val="18"/>
          <w:lang w:val="es-ES_tradnl"/>
        </w:rPr>
        <w:t>ó</w:t>
      </w:r>
      <w:r>
        <w:rPr>
          <w:spacing w:val="-6"/>
          <w:sz w:val="18"/>
          <w:szCs w:val="18"/>
          <w:lang w:val="es-ES_tradnl"/>
        </w:rPr>
        <w:t xml:space="preserve">n de </w:t>
      </w:r>
      <w:r>
        <w:rPr>
          <w:sz w:val="18"/>
          <w:szCs w:val="18"/>
          <w:lang w:val="es-ES_tradnl"/>
        </w:rPr>
        <w:t>la Rep</w:t>
      </w:r>
      <w:r>
        <w:rPr>
          <w:rFonts w:cs="Times New Roman"/>
          <w:sz w:val="18"/>
          <w:szCs w:val="18"/>
          <w:lang w:val="es-ES_tradnl"/>
        </w:rPr>
        <w:t>ú</w:t>
      </w:r>
      <w:r>
        <w:rPr>
          <w:sz w:val="18"/>
          <w:szCs w:val="18"/>
          <w:lang w:val="es-ES_tradnl"/>
        </w:rPr>
        <w:t>blica.</w:t>
      </w:r>
    </w:p>
    <w:p w14:paraId="4F67ACC2" w14:textId="77777777" w:rsidR="00591D54" w:rsidRDefault="00591D54">
      <w:pPr>
        <w:shd w:val="clear" w:color="auto" w:fill="FFFFFF"/>
        <w:spacing w:before="197" w:line="216" w:lineRule="exact"/>
        <w:jc w:val="both"/>
      </w:pPr>
      <w:r>
        <w:rPr>
          <w:spacing w:val="-5"/>
          <w:sz w:val="18"/>
          <w:szCs w:val="18"/>
          <w:lang w:val="es-ES_tradnl"/>
        </w:rPr>
        <w:t xml:space="preserve">En virtud del sorteo de causas efectuado por el Pleno de </w:t>
      </w:r>
      <w:r>
        <w:rPr>
          <w:spacing w:val="-3"/>
          <w:sz w:val="18"/>
          <w:szCs w:val="18"/>
          <w:lang w:val="es-ES_tradnl"/>
        </w:rPr>
        <w:t>la Corte Constitucional, en sesi</w:t>
      </w:r>
      <w:r>
        <w:rPr>
          <w:rFonts w:cs="Times New Roman"/>
          <w:spacing w:val="-3"/>
          <w:sz w:val="18"/>
          <w:szCs w:val="18"/>
          <w:lang w:val="es-ES_tradnl"/>
        </w:rPr>
        <w:t>ó</w:t>
      </w:r>
      <w:r>
        <w:rPr>
          <w:spacing w:val="-3"/>
          <w:sz w:val="18"/>
          <w:szCs w:val="18"/>
          <w:lang w:val="es-ES_tradnl"/>
        </w:rPr>
        <w:t xml:space="preserve">n extraordinaria del 03 </w:t>
      </w:r>
      <w:r>
        <w:rPr>
          <w:spacing w:val="-7"/>
          <w:sz w:val="18"/>
          <w:szCs w:val="18"/>
          <w:lang w:val="es-ES_tradnl"/>
        </w:rPr>
        <w:t>de enero de 2013, le correspondi</w:t>
      </w:r>
      <w:r>
        <w:rPr>
          <w:rFonts w:cs="Times New Roman"/>
          <w:spacing w:val="-7"/>
          <w:sz w:val="18"/>
          <w:szCs w:val="18"/>
          <w:lang w:val="es-ES_tradnl"/>
        </w:rPr>
        <w:t>ó</w:t>
      </w:r>
      <w:r>
        <w:rPr>
          <w:spacing w:val="-7"/>
          <w:sz w:val="18"/>
          <w:szCs w:val="18"/>
          <w:lang w:val="es-ES_tradnl"/>
        </w:rPr>
        <w:t xml:space="preserve"> la sustanciaci</w:t>
      </w:r>
      <w:r>
        <w:rPr>
          <w:rFonts w:cs="Times New Roman"/>
          <w:spacing w:val="-7"/>
          <w:sz w:val="18"/>
          <w:szCs w:val="18"/>
          <w:lang w:val="es-ES_tradnl"/>
        </w:rPr>
        <w:t>ó</w:t>
      </w:r>
      <w:r>
        <w:rPr>
          <w:spacing w:val="-7"/>
          <w:sz w:val="18"/>
          <w:szCs w:val="18"/>
          <w:lang w:val="es-ES_tradnl"/>
        </w:rPr>
        <w:t xml:space="preserve">n de la presente causa al juez constitucional Manuel Viteri Olvera, </w:t>
      </w:r>
      <w:r>
        <w:rPr>
          <w:spacing w:val="-3"/>
          <w:sz w:val="18"/>
          <w:szCs w:val="18"/>
          <w:lang w:val="es-ES_tradnl"/>
        </w:rPr>
        <w:t>misma que le fue remitida por la Secretar</w:t>
      </w:r>
      <w:r>
        <w:rPr>
          <w:rFonts w:cs="Times New Roman"/>
          <w:spacing w:val="-3"/>
          <w:sz w:val="18"/>
          <w:szCs w:val="18"/>
          <w:lang w:val="es-ES_tradnl"/>
        </w:rPr>
        <w:t>í</w:t>
      </w:r>
      <w:r>
        <w:rPr>
          <w:spacing w:val="-3"/>
          <w:sz w:val="18"/>
          <w:szCs w:val="18"/>
          <w:lang w:val="es-ES_tradnl"/>
        </w:rPr>
        <w:t xml:space="preserve">a General </w:t>
      </w:r>
      <w:r>
        <w:rPr>
          <w:spacing w:val="-8"/>
          <w:sz w:val="18"/>
          <w:szCs w:val="18"/>
          <w:lang w:val="es-ES_tradnl"/>
        </w:rPr>
        <w:t>mediante memorando N.</w:t>
      </w:r>
      <w:r>
        <w:rPr>
          <w:rFonts w:cs="Times New Roman"/>
          <w:spacing w:val="-8"/>
          <w:sz w:val="18"/>
          <w:szCs w:val="18"/>
          <w:lang w:val="es-ES_tradnl"/>
        </w:rPr>
        <w:t>°</w:t>
      </w:r>
      <w:r>
        <w:rPr>
          <w:spacing w:val="-8"/>
          <w:sz w:val="18"/>
          <w:szCs w:val="18"/>
          <w:lang w:val="es-ES_tradnl"/>
        </w:rPr>
        <w:t xml:space="preserve"> 009-CCE-SG-SUS-2012 del 07 </w:t>
      </w:r>
      <w:r>
        <w:rPr>
          <w:spacing w:val="-7"/>
          <w:sz w:val="18"/>
          <w:szCs w:val="18"/>
          <w:lang w:val="es-ES_tradnl"/>
        </w:rPr>
        <w:t>de enero de 2013, y avoc</w:t>
      </w:r>
      <w:r>
        <w:rPr>
          <w:rFonts w:cs="Times New Roman"/>
          <w:spacing w:val="-7"/>
          <w:sz w:val="18"/>
          <w:szCs w:val="18"/>
          <w:lang w:val="es-ES_tradnl"/>
        </w:rPr>
        <w:t>ó</w:t>
      </w:r>
      <w:r>
        <w:rPr>
          <w:spacing w:val="-7"/>
          <w:sz w:val="18"/>
          <w:szCs w:val="18"/>
          <w:lang w:val="es-ES_tradnl"/>
        </w:rPr>
        <w:t xml:space="preserve"> conocimiento de la misma en </w:t>
      </w:r>
      <w:r>
        <w:rPr>
          <w:sz w:val="18"/>
          <w:szCs w:val="18"/>
          <w:lang w:val="es-ES_tradnl"/>
        </w:rPr>
        <w:t>auto del 22 de enero de 2012.</w:t>
      </w:r>
    </w:p>
    <w:p w14:paraId="4F67ACC3" w14:textId="77777777" w:rsidR="00591D54" w:rsidRDefault="00591D54">
      <w:pPr>
        <w:shd w:val="clear" w:color="auto" w:fill="FFFFFF"/>
        <w:spacing w:before="192" w:line="216" w:lineRule="exact"/>
        <w:ind w:right="5"/>
        <w:jc w:val="both"/>
      </w:pPr>
      <w:r>
        <w:rPr>
          <w:b/>
          <w:bCs/>
          <w:spacing w:val="-5"/>
          <w:sz w:val="18"/>
          <w:szCs w:val="18"/>
          <w:lang w:val="es-ES_tradnl"/>
        </w:rPr>
        <w:t>Detalle de la acci</w:t>
      </w:r>
      <w:r>
        <w:rPr>
          <w:rFonts w:cs="Times New Roman"/>
          <w:b/>
          <w:bCs/>
          <w:spacing w:val="-5"/>
          <w:sz w:val="18"/>
          <w:szCs w:val="18"/>
          <w:lang w:val="es-ES_tradnl"/>
        </w:rPr>
        <w:t>ó</w:t>
      </w:r>
      <w:r>
        <w:rPr>
          <w:b/>
          <w:bCs/>
          <w:spacing w:val="-5"/>
          <w:sz w:val="18"/>
          <w:szCs w:val="18"/>
          <w:lang w:val="es-ES_tradnl"/>
        </w:rPr>
        <w:t>n extraordinaria de protecci</w:t>
      </w:r>
      <w:r>
        <w:rPr>
          <w:rFonts w:cs="Times New Roman"/>
          <w:b/>
          <w:bCs/>
          <w:spacing w:val="-5"/>
          <w:sz w:val="18"/>
          <w:szCs w:val="18"/>
          <w:lang w:val="es-ES_tradnl"/>
        </w:rPr>
        <w:t>ó</w:t>
      </w:r>
      <w:r>
        <w:rPr>
          <w:b/>
          <w:bCs/>
          <w:spacing w:val="-5"/>
          <w:sz w:val="18"/>
          <w:szCs w:val="18"/>
          <w:lang w:val="es-ES_tradnl"/>
        </w:rPr>
        <w:t xml:space="preserve">n </w:t>
      </w:r>
      <w:r>
        <w:rPr>
          <w:b/>
          <w:bCs/>
          <w:sz w:val="18"/>
          <w:szCs w:val="18"/>
          <w:lang w:val="es-ES_tradnl"/>
        </w:rPr>
        <w:t>planteada y los argumentos expuestos</w:t>
      </w:r>
    </w:p>
    <w:p w14:paraId="4F67ACC4" w14:textId="77777777" w:rsidR="00591D54" w:rsidRDefault="00591D54">
      <w:pPr>
        <w:shd w:val="clear" w:color="auto" w:fill="FFFFFF"/>
        <w:spacing w:before="192" w:line="216" w:lineRule="exact"/>
        <w:jc w:val="both"/>
      </w:pPr>
      <w:r>
        <w:rPr>
          <w:spacing w:val="-6"/>
          <w:sz w:val="18"/>
          <w:szCs w:val="18"/>
          <w:lang w:val="es-ES_tradnl"/>
        </w:rPr>
        <w:t>El 02 de febrero del 2011, los se</w:t>
      </w:r>
      <w:r>
        <w:rPr>
          <w:rFonts w:cs="Times New Roman"/>
          <w:spacing w:val="-6"/>
          <w:sz w:val="18"/>
          <w:szCs w:val="18"/>
          <w:lang w:val="es-ES_tradnl"/>
        </w:rPr>
        <w:t>ñ</w:t>
      </w:r>
      <w:r>
        <w:rPr>
          <w:spacing w:val="-6"/>
          <w:sz w:val="18"/>
          <w:szCs w:val="18"/>
          <w:lang w:val="es-ES_tradnl"/>
        </w:rPr>
        <w:t>ores Jorge Vicente Chapiliquin Purisaga y Mar</w:t>
      </w:r>
      <w:r>
        <w:rPr>
          <w:rFonts w:cs="Times New Roman"/>
          <w:spacing w:val="-6"/>
          <w:sz w:val="18"/>
          <w:szCs w:val="18"/>
          <w:lang w:val="es-ES_tradnl"/>
        </w:rPr>
        <w:t>í</w:t>
      </w:r>
      <w:r>
        <w:rPr>
          <w:spacing w:val="-6"/>
          <w:sz w:val="18"/>
          <w:szCs w:val="18"/>
          <w:lang w:val="es-ES_tradnl"/>
        </w:rPr>
        <w:t>a Teresa Alc</w:t>
      </w:r>
      <w:r>
        <w:rPr>
          <w:rFonts w:cs="Times New Roman"/>
          <w:spacing w:val="-6"/>
          <w:sz w:val="18"/>
          <w:szCs w:val="18"/>
          <w:lang w:val="es-ES_tradnl"/>
        </w:rPr>
        <w:t>í</w:t>
      </w:r>
      <w:r>
        <w:rPr>
          <w:spacing w:val="-6"/>
          <w:sz w:val="18"/>
          <w:szCs w:val="18"/>
          <w:lang w:val="es-ES_tradnl"/>
        </w:rPr>
        <w:t xml:space="preserve">var Mendoza, en </w:t>
      </w:r>
      <w:r>
        <w:rPr>
          <w:spacing w:val="-8"/>
          <w:sz w:val="18"/>
          <w:szCs w:val="18"/>
          <w:lang w:val="es-ES_tradnl"/>
        </w:rPr>
        <w:t xml:space="preserve">su calidad de padres y representantes legales de sus hijos </w:t>
      </w:r>
      <w:r>
        <w:rPr>
          <w:spacing w:val="-6"/>
          <w:sz w:val="18"/>
          <w:szCs w:val="18"/>
          <w:lang w:val="es-ES_tradnl"/>
        </w:rPr>
        <w:t>menores, Jorge Vicente y Madeleine Scarleth Chapiliquin Alc</w:t>
      </w:r>
      <w:r>
        <w:rPr>
          <w:rFonts w:cs="Times New Roman"/>
          <w:spacing w:val="-6"/>
          <w:sz w:val="18"/>
          <w:szCs w:val="18"/>
          <w:lang w:val="es-ES_tradnl"/>
        </w:rPr>
        <w:t>í</w:t>
      </w:r>
      <w:r>
        <w:rPr>
          <w:spacing w:val="-6"/>
          <w:sz w:val="18"/>
          <w:szCs w:val="18"/>
          <w:lang w:val="es-ES_tradnl"/>
        </w:rPr>
        <w:t>var, interpusieron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w:t>
      </w:r>
      <w:r>
        <w:rPr>
          <w:spacing w:val="-9"/>
          <w:sz w:val="18"/>
          <w:szCs w:val="18"/>
          <w:lang w:val="es-ES_tradnl"/>
        </w:rPr>
        <w:t>fundament</w:t>
      </w:r>
      <w:r>
        <w:rPr>
          <w:rFonts w:cs="Times New Roman"/>
          <w:spacing w:val="-9"/>
          <w:sz w:val="18"/>
          <w:szCs w:val="18"/>
          <w:lang w:val="es-ES_tradnl"/>
        </w:rPr>
        <w:t>á</w:t>
      </w:r>
      <w:r>
        <w:rPr>
          <w:spacing w:val="-9"/>
          <w:sz w:val="18"/>
          <w:szCs w:val="18"/>
          <w:lang w:val="es-ES_tradnl"/>
        </w:rPr>
        <w:t>ndola en los siguientes hechos:</w:t>
      </w:r>
    </w:p>
    <w:p w14:paraId="4F67ACC5" w14:textId="77777777" w:rsidR="00591D54" w:rsidRDefault="00591D54">
      <w:pPr>
        <w:shd w:val="clear" w:color="auto" w:fill="FFFFFF"/>
        <w:spacing w:before="192" w:line="216" w:lineRule="exact"/>
        <w:jc w:val="both"/>
      </w:pPr>
      <w:r>
        <w:rPr>
          <w:spacing w:val="-1"/>
          <w:sz w:val="18"/>
          <w:szCs w:val="18"/>
          <w:lang w:val="es-ES_tradnl"/>
        </w:rPr>
        <w:t xml:space="preserve">Manifestaron que sus hijos son los propietarios del </w:t>
      </w:r>
      <w:r>
        <w:rPr>
          <w:spacing w:val="-5"/>
          <w:sz w:val="18"/>
          <w:szCs w:val="18"/>
          <w:lang w:val="es-ES_tradnl"/>
        </w:rPr>
        <w:t>inmueble ubicado a la altura del kil</w:t>
      </w:r>
      <w:r>
        <w:rPr>
          <w:rFonts w:cs="Times New Roman"/>
          <w:spacing w:val="-5"/>
          <w:sz w:val="18"/>
          <w:szCs w:val="18"/>
          <w:lang w:val="es-ES_tradnl"/>
        </w:rPr>
        <w:t>ó</w:t>
      </w:r>
      <w:r>
        <w:rPr>
          <w:spacing w:val="-5"/>
          <w:sz w:val="18"/>
          <w:szCs w:val="18"/>
          <w:lang w:val="es-ES_tradnl"/>
        </w:rPr>
        <w:t>metro 10</w:t>
      </w:r>
      <w:r>
        <w:rPr>
          <w:rFonts w:cs="Times New Roman"/>
          <w:spacing w:val="-5"/>
          <w:sz w:val="18"/>
          <w:szCs w:val="18"/>
          <w:lang w:val="es-ES_tradnl"/>
        </w:rPr>
        <w:t>½</w:t>
      </w:r>
      <w:r>
        <w:rPr>
          <w:spacing w:val="-5"/>
          <w:sz w:val="18"/>
          <w:szCs w:val="18"/>
          <w:lang w:val="es-ES_tradnl"/>
        </w:rPr>
        <w:t xml:space="preserve"> de la v</w:t>
      </w:r>
      <w:r>
        <w:rPr>
          <w:rFonts w:cs="Times New Roman"/>
          <w:spacing w:val="-5"/>
          <w:sz w:val="18"/>
          <w:szCs w:val="18"/>
          <w:lang w:val="es-ES_tradnl"/>
        </w:rPr>
        <w:t>í</w:t>
      </w:r>
      <w:r>
        <w:rPr>
          <w:spacing w:val="-5"/>
          <w:sz w:val="18"/>
          <w:szCs w:val="18"/>
          <w:lang w:val="es-ES_tradnl"/>
        </w:rPr>
        <w:t xml:space="preserve">a </w:t>
      </w:r>
      <w:r>
        <w:rPr>
          <w:spacing w:val="-8"/>
          <w:sz w:val="18"/>
          <w:szCs w:val="18"/>
          <w:lang w:val="es-ES_tradnl"/>
        </w:rPr>
        <w:t>Santo Domingo - Quevedo, perteneciente al cant</w:t>
      </w:r>
      <w:r>
        <w:rPr>
          <w:rFonts w:cs="Times New Roman"/>
          <w:spacing w:val="-8"/>
          <w:sz w:val="18"/>
          <w:szCs w:val="18"/>
          <w:lang w:val="es-ES_tradnl"/>
        </w:rPr>
        <w:t>ó</w:t>
      </w:r>
      <w:r>
        <w:rPr>
          <w:spacing w:val="-8"/>
          <w:sz w:val="18"/>
          <w:szCs w:val="18"/>
          <w:lang w:val="es-ES_tradnl"/>
        </w:rPr>
        <w:t xml:space="preserve">n Santo </w:t>
      </w:r>
      <w:r>
        <w:rPr>
          <w:spacing w:val="-7"/>
          <w:sz w:val="18"/>
          <w:szCs w:val="18"/>
          <w:lang w:val="es-ES_tradnl"/>
        </w:rPr>
        <w:t xml:space="preserve">Domingo, adquirido mediante escritura de compraventa, a </w:t>
      </w:r>
      <w:r>
        <w:rPr>
          <w:spacing w:val="-8"/>
          <w:sz w:val="18"/>
          <w:szCs w:val="18"/>
          <w:lang w:val="es-ES_tradnl"/>
        </w:rPr>
        <w:t>los c</w:t>
      </w:r>
      <w:r>
        <w:rPr>
          <w:rFonts w:cs="Times New Roman"/>
          <w:spacing w:val="-8"/>
          <w:sz w:val="18"/>
          <w:szCs w:val="18"/>
          <w:lang w:val="es-ES_tradnl"/>
        </w:rPr>
        <w:t>ó</w:t>
      </w:r>
      <w:r>
        <w:rPr>
          <w:spacing w:val="-8"/>
          <w:sz w:val="18"/>
          <w:szCs w:val="18"/>
          <w:lang w:val="es-ES_tradnl"/>
        </w:rPr>
        <w:t>nyuges Leonardo Tob</w:t>
      </w:r>
      <w:r>
        <w:rPr>
          <w:rFonts w:cs="Times New Roman"/>
          <w:spacing w:val="-8"/>
          <w:sz w:val="18"/>
          <w:szCs w:val="18"/>
          <w:lang w:val="es-ES_tradnl"/>
        </w:rPr>
        <w:t>í</w:t>
      </w:r>
      <w:r>
        <w:rPr>
          <w:spacing w:val="-8"/>
          <w:sz w:val="18"/>
          <w:szCs w:val="18"/>
          <w:lang w:val="es-ES_tradnl"/>
        </w:rPr>
        <w:t xml:space="preserve">as Vargas Castro y Rosa Ligia </w:t>
      </w:r>
      <w:r>
        <w:rPr>
          <w:spacing w:val="-10"/>
          <w:sz w:val="18"/>
          <w:szCs w:val="18"/>
          <w:lang w:val="es-ES_tradnl"/>
        </w:rPr>
        <w:t>Elizabeth Enr</w:t>
      </w:r>
      <w:r>
        <w:rPr>
          <w:rFonts w:cs="Times New Roman"/>
          <w:spacing w:val="-10"/>
          <w:sz w:val="18"/>
          <w:szCs w:val="18"/>
          <w:lang w:val="es-ES_tradnl"/>
        </w:rPr>
        <w:t>í</w:t>
      </w:r>
      <w:r>
        <w:rPr>
          <w:spacing w:val="-10"/>
          <w:sz w:val="18"/>
          <w:szCs w:val="18"/>
          <w:lang w:val="es-ES_tradnl"/>
        </w:rPr>
        <w:t>quez, celebrada el d</w:t>
      </w:r>
      <w:r>
        <w:rPr>
          <w:rFonts w:cs="Times New Roman"/>
          <w:spacing w:val="-10"/>
          <w:sz w:val="18"/>
          <w:szCs w:val="18"/>
          <w:lang w:val="es-ES_tradnl"/>
        </w:rPr>
        <w:t>í</w:t>
      </w:r>
      <w:r>
        <w:rPr>
          <w:spacing w:val="-10"/>
          <w:sz w:val="18"/>
          <w:szCs w:val="18"/>
          <w:lang w:val="es-ES_tradnl"/>
        </w:rPr>
        <w:t xml:space="preserve">a 04 de octubre del 2004, </w:t>
      </w:r>
      <w:r>
        <w:rPr>
          <w:spacing w:val="-8"/>
          <w:sz w:val="18"/>
          <w:szCs w:val="18"/>
          <w:lang w:val="es-ES_tradnl"/>
        </w:rPr>
        <w:t>ante el doctor Jos</w:t>
      </w:r>
      <w:r>
        <w:rPr>
          <w:rFonts w:cs="Times New Roman"/>
          <w:spacing w:val="-8"/>
          <w:sz w:val="18"/>
          <w:szCs w:val="18"/>
          <w:lang w:val="es-ES_tradnl"/>
        </w:rPr>
        <w:t>é</w:t>
      </w:r>
      <w:r>
        <w:rPr>
          <w:spacing w:val="-8"/>
          <w:sz w:val="18"/>
          <w:szCs w:val="18"/>
          <w:lang w:val="es-ES_tradnl"/>
        </w:rPr>
        <w:t xml:space="preserve"> Estuardo Novillo Peralta, notario cuarto </w:t>
      </w:r>
      <w:r>
        <w:rPr>
          <w:spacing w:val="-2"/>
          <w:sz w:val="18"/>
          <w:szCs w:val="18"/>
          <w:lang w:val="es-ES_tradnl"/>
        </w:rPr>
        <w:t>del cant</w:t>
      </w:r>
      <w:r>
        <w:rPr>
          <w:rFonts w:cs="Times New Roman"/>
          <w:spacing w:val="-2"/>
          <w:sz w:val="18"/>
          <w:szCs w:val="18"/>
          <w:lang w:val="es-ES_tradnl"/>
        </w:rPr>
        <w:t>ó</w:t>
      </w:r>
      <w:r>
        <w:rPr>
          <w:spacing w:val="-2"/>
          <w:sz w:val="18"/>
          <w:szCs w:val="18"/>
          <w:lang w:val="es-ES_tradnl"/>
        </w:rPr>
        <w:t xml:space="preserve">n Santo Domingo, e inscrita el 07 de octubre </w:t>
      </w:r>
      <w:r>
        <w:rPr>
          <w:spacing w:val="-7"/>
          <w:sz w:val="18"/>
          <w:szCs w:val="18"/>
          <w:lang w:val="es-ES_tradnl"/>
        </w:rPr>
        <w:t>del 2004 en el Registro de la Propiedad del cant</w:t>
      </w:r>
      <w:r>
        <w:rPr>
          <w:rFonts w:cs="Times New Roman"/>
          <w:spacing w:val="-7"/>
          <w:sz w:val="18"/>
          <w:szCs w:val="18"/>
          <w:lang w:val="es-ES_tradnl"/>
        </w:rPr>
        <w:t>ó</w:t>
      </w:r>
      <w:r>
        <w:rPr>
          <w:spacing w:val="-7"/>
          <w:sz w:val="18"/>
          <w:szCs w:val="18"/>
          <w:lang w:val="es-ES_tradnl"/>
        </w:rPr>
        <w:t xml:space="preserve">n Santo </w:t>
      </w:r>
      <w:r>
        <w:rPr>
          <w:sz w:val="18"/>
          <w:szCs w:val="18"/>
          <w:lang w:val="es-ES_tradnl"/>
        </w:rPr>
        <w:t>Domingo.</w:t>
      </w:r>
    </w:p>
    <w:p w14:paraId="4F67ACC6" w14:textId="77777777" w:rsidR="00591D54" w:rsidRDefault="00591D54">
      <w:pPr>
        <w:shd w:val="clear" w:color="auto" w:fill="FFFFFF"/>
        <w:spacing w:before="192" w:line="216" w:lineRule="exact"/>
        <w:jc w:val="both"/>
      </w:pPr>
      <w:r>
        <w:rPr>
          <w:spacing w:val="-7"/>
          <w:sz w:val="18"/>
          <w:szCs w:val="18"/>
          <w:lang w:val="es-ES_tradnl"/>
        </w:rPr>
        <w:t xml:space="preserve">Con dicho antecedente, indicaron que dentro del proceso </w:t>
      </w:r>
      <w:r>
        <w:rPr>
          <w:spacing w:val="-5"/>
          <w:sz w:val="18"/>
          <w:szCs w:val="18"/>
          <w:lang w:val="es-ES_tradnl"/>
        </w:rPr>
        <w:t>penal N.</w:t>
      </w:r>
      <w:r>
        <w:rPr>
          <w:rFonts w:cs="Times New Roman"/>
          <w:spacing w:val="-5"/>
          <w:sz w:val="18"/>
          <w:szCs w:val="18"/>
          <w:lang w:val="es-ES_tradnl"/>
        </w:rPr>
        <w:t>°</w:t>
      </w:r>
      <w:r>
        <w:rPr>
          <w:spacing w:val="-5"/>
          <w:sz w:val="18"/>
          <w:szCs w:val="18"/>
          <w:lang w:val="es-ES_tradnl"/>
        </w:rPr>
        <w:t xml:space="preserve"> 102-2007 TQPP-SDC, el Tribunal Quinto de </w:t>
      </w:r>
      <w:r>
        <w:rPr>
          <w:spacing w:val="-11"/>
          <w:sz w:val="18"/>
          <w:szCs w:val="18"/>
          <w:lang w:val="es-ES_tradnl"/>
        </w:rPr>
        <w:t>Garant</w:t>
      </w:r>
      <w:r>
        <w:rPr>
          <w:rFonts w:cs="Times New Roman"/>
          <w:spacing w:val="-11"/>
          <w:sz w:val="18"/>
          <w:szCs w:val="18"/>
          <w:lang w:val="es-ES_tradnl"/>
        </w:rPr>
        <w:t>í</w:t>
      </w:r>
      <w:r>
        <w:rPr>
          <w:spacing w:val="-11"/>
          <w:sz w:val="18"/>
          <w:szCs w:val="18"/>
          <w:lang w:val="es-ES_tradnl"/>
        </w:rPr>
        <w:t>as Penales de Pichincha dict</w:t>
      </w:r>
      <w:r>
        <w:rPr>
          <w:rFonts w:cs="Times New Roman"/>
          <w:spacing w:val="-11"/>
          <w:sz w:val="18"/>
          <w:szCs w:val="18"/>
          <w:lang w:val="es-ES_tradnl"/>
        </w:rPr>
        <w:t>ó</w:t>
      </w:r>
      <w:r>
        <w:rPr>
          <w:spacing w:val="-11"/>
          <w:sz w:val="18"/>
          <w:szCs w:val="18"/>
          <w:lang w:val="es-ES_tradnl"/>
        </w:rPr>
        <w:t xml:space="preserve"> sentencia condenatoria </w:t>
      </w:r>
      <w:r>
        <w:rPr>
          <w:spacing w:val="-8"/>
          <w:sz w:val="18"/>
          <w:szCs w:val="18"/>
          <w:lang w:val="es-ES_tradnl"/>
        </w:rPr>
        <w:t>en contra de varias personas y dispuso el comiso definitivo y especial, a favor del CONSEP, de los bienes, veh</w:t>
      </w:r>
      <w:r>
        <w:rPr>
          <w:rFonts w:cs="Times New Roman"/>
          <w:spacing w:val="-8"/>
          <w:sz w:val="18"/>
          <w:szCs w:val="18"/>
          <w:lang w:val="es-ES_tradnl"/>
        </w:rPr>
        <w:t>í</w:t>
      </w:r>
      <w:r>
        <w:rPr>
          <w:spacing w:val="-8"/>
          <w:sz w:val="18"/>
          <w:szCs w:val="18"/>
          <w:lang w:val="es-ES_tradnl"/>
        </w:rPr>
        <w:t xml:space="preserve">culos y </w:t>
      </w:r>
      <w:r>
        <w:rPr>
          <w:spacing w:val="-7"/>
          <w:sz w:val="18"/>
          <w:szCs w:val="18"/>
          <w:lang w:val="es-ES_tradnl"/>
        </w:rPr>
        <w:t>dinero encontrados en el operativo realizado por la Polic</w:t>
      </w:r>
      <w:r>
        <w:rPr>
          <w:rFonts w:cs="Times New Roman"/>
          <w:spacing w:val="-7"/>
          <w:sz w:val="18"/>
          <w:szCs w:val="18"/>
          <w:lang w:val="es-ES_tradnl"/>
        </w:rPr>
        <w:t>í</w:t>
      </w:r>
      <w:r>
        <w:rPr>
          <w:spacing w:val="-7"/>
          <w:sz w:val="18"/>
          <w:szCs w:val="18"/>
          <w:lang w:val="es-ES_tradnl"/>
        </w:rPr>
        <w:t xml:space="preserve">a </w:t>
      </w:r>
      <w:r>
        <w:rPr>
          <w:spacing w:val="-6"/>
          <w:sz w:val="18"/>
          <w:szCs w:val="18"/>
          <w:lang w:val="es-ES_tradnl"/>
        </w:rPr>
        <w:t>Nacional, en el cual se involucr</w:t>
      </w:r>
      <w:r>
        <w:rPr>
          <w:rFonts w:cs="Times New Roman"/>
          <w:spacing w:val="-6"/>
          <w:sz w:val="18"/>
          <w:szCs w:val="18"/>
          <w:lang w:val="es-ES_tradnl"/>
        </w:rPr>
        <w:t>ó</w:t>
      </w:r>
      <w:r>
        <w:rPr>
          <w:spacing w:val="-6"/>
          <w:sz w:val="18"/>
          <w:szCs w:val="18"/>
          <w:lang w:val="es-ES_tradnl"/>
        </w:rPr>
        <w:t xml:space="preserve"> el inmueble de sus hijos </w:t>
      </w:r>
      <w:r>
        <w:rPr>
          <w:spacing w:val="-7"/>
          <w:sz w:val="18"/>
          <w:szCs w:val="18"/>
          <w:lang w:val="es-ES_tradnl"/>
        </w:rPr>
        <w:t xml:space="preserve">menores de edad; por tanto, al tener conocimiento de la </w:t>
      </w:r>
      <w:r>
        <w:rPr>
          <w:spacing w:val="-3"/>
          <w:sz w:val="18"/>
          <w:szCs w:val="18"/>
          <w:lang w:val="es-ES_tradnl"/>
        </w:rPr>
        <w:t>referida resoluci</w:t>
      </w:r>
      <w:r>
        <w:rPr>
          <w:rFonts w:cs="Times New Roman"/>
          <w:spacing w:val="-3"/>
          <w:sz w:val="18"/>
          <w:szCs w:val="18"/>
          <w:lang w:val="es-ES_tradnl"/>
        </w:rPr>
        <w:t>ó</w:t>
      </w:r>
      <w:r>
        <w:rPr>
          <w:spacing w:val="-3"/>
          <w:sz w:val="18"/>
          <w:szCs w:val="18"/>
          <w:lang w:val="es-ES_tradnl"/>
        </w:rPr>
        <w:t>n judicial, reclamaron su devoluci</w:t>
      </w:r>
      <w:r>
        <w:rPr>
          <w:rFonts w:cs="Times New Roman"/>
          <w:spacing w:val="-3"/>
          <w:sz w:val="18"/>
          <w:szCs w:val="18"/>
          <w:lang w:val="es-ES_tradnl"/>
        </w:rPr>
        <w:t>ó</w:t>
      </w:r>
      <w:r>
        <w:rPr>
          <w:spacing w:val="-3"/>
          <w:sz w:val="18"/>
          <w:szCs w:val="18"/>
          <w:lang w:val="es-ES_tradnl"/>
        </w:rPr>
        <w:t xml:space="preserve">n, </w:t>
      </w:r>
      <w:r>
        <w:rPr>
          <w:spacing w:val="-8"/>
          <w:sz w:val="18"/>
          <w:szCs w:val="18"/>
          <w:lang w:val="es-ES_tradnl"/>
        </w:rPr>
        <w:t>pero el Tribunal Primero de Garant</w:t>
      </w:r>
      <w:r>
        <w:rPr>
          <w:rFonts w:cs="Times New Roman"/>
          <w:spacing w:val="-8"/>
          <w:sz w:val="18"/>
          <w:szCs w:val="18"/>
          <w:lang w:val="es-ES_tradnl"/>
        </w:rPr>
        <w:t>í</w:t>
      </w:r>
      <w:r>
        <w:rPr>
          <w:spacing w:val="-8"/>
          <w:sz w:val="18"/>
          <w:szCs w:val="18"/>
          <w:lang w:val="es-ES_tradnl"/>
        </w:rPr>
        <w:t xml:space="preserve">as Penales de Santo </w:t>
      </w:r>
      <w:r>
        <w:rPr>
          <w:spacing w:val="-7"/>
          <w:sz w:val="18"/>
          <w:szCs w:val="18"/>
          <w:lang w:val="es-ES_tradnl"/>
        </w:rPr>
        <w:t>Domingo de los Ts</w:t>
      </w:r>
      <w:r>
        <w:rPr>
          <w:rFonts w:cs="Times New Roman"/>
          <w:spacing w:val="-7"/>
          <w:sz w:val="18"/>
          <w:szCs w:val="18"/>
          <w:lang w:val="es-ES_tradnl"/>
        </w:rPr>
        <w:t>á</w:t>
      </w:r>
      <w:r>
        <w:rPr>
          <w:spacing w:val="-7"/>
          <w:sz w:val="18"/>
          <w:szCs w:val="18"/>
          <w:lang w:val="es-ES_tradnl"/>
        </w:rPr>
        <w:t>chilas neg</w:t>
      </w:r>
      <w:r>
        <w:rPr>
          <w:rFonts w:cs="Times New Roman"/>
          <w:spacing w:val="-7"/>
          <w:sz w:val="18"/>
          <w:szCs w:val="18"/>
          <w:lang w:val="es-ES_tradnl"/>
        </w:rPr>
        <w:t>ó</w:t>
      </w:r>
      <w:r>
        <w:rPr>
          <w:spacing w:val="-7"/>
          <w:sz w:val="18"/>
          <w:szCs w:val="18"/>
          <w:lang w:val="es-ES_tradnl"/>
        </w:rPr>
        <w:t xml:space="preserve"> su requerimiento en auto </w:t>
      </w:r>
      <w:r>
        <w:rPr>
          <w:spacing w:val="-9"/>
          <w:sz w:val="18"/>
          <w:szCs w:val="18"/>
          <w:lang w:val="es-ES_tradnl"/>
        </w:rPr>
        <w:t xml:space="preserve">definitivo del 30 de noviembre de 2010, argumentando que </w:t>
      </w:r>
      <w:r>
        <w:rPr>
          <w:spacing w:val="-7"/>
          <w:sz w:val="18"/>
          <w:szCs w:val="18"/>
          <w:lang w:val="es-ES_tradnl"/>
        </w:rPr>
        <w:t xml:space="preserve">este </w:t>
      </w:r>
      <w:r>
        <w:rPr>
          <w:rFonts w:cs="Times New Roman"/>
          <w:spacing w:val="-7"/>
          <w:sz w:val="18"/>
          <w:szCs w:val="18"/>
          <w:lang w:val="es-ES_tradnl"/>
        </w:rPr>
        <w:t>ó</w:t>
      </w:r>
      <w:r>
        <w:rPr>
          <w:spacing w:val="-7"/>
          <w:sz w:val="18"/>
          <w:szCs w:val="18"/>
          <w:lang w:val="es-ES_tradnl"/>
        </w:rPr>
        <w:t>rgano judicial hab</w:t>
      </w:r>
      <w:r>
        <w:rPr>
          <w:rFonts w:cs="Times New Roman"/>
          <w:spacing w:val="-7"/>
          <w:sz w:val="18"/>
          <w:szCs w:val="18"/>
          <w:lang w:val="es-ES_tradnl"/>
        </w:rPr>
        <w:t>í</w:t>
      </w:r>
      <w:r>
        <w:rPr>
          <w:spacing w:val="-7"/>
          <w:sz w:val="18"/>
          <w:szCs w:val="18"/>
          <w:lang w:val="es-ES_tradnl"/>
        </w:rPr>
        <w:t xml:space="preserve">a dispuesto el comiso definitivo el </w:t>
      </w:r>
      <w:r>
        <w:rPr>
          <w:spacing w:val="-8"/>
          <w:sz w:val="18"/>
          <w:szCs w:val="18"/>
          <w:lang w:val="es-ES_tradnl"/>
        </w:rPr>
        <w:t xml:space="preserve">24 de septiembre del 2007. En virtud de aquello, solicitaron </w:t>
      </w:r>
      <w:r>
        <w:rPr>
          <w:spacing w:val="-6"/>
          <w:sz w:val="18"/>
          <w:szCs w:val="18"/>
          <w:lang w:val="es-ES_tradnl"/>
        </w:rPr>
        <w:t>la ampliaci</w:t>
      </w:r>
      <w:r>
        <w:rPr>
          <w:rFonts w:cs="Times New Roman"/>
          <w:spacing w:val="-6"/>
          <w:sz w:val="18"/>
          <w:szCs w:val="18"/>
          <w:lang w:val="es-ES_tradnl"/>
        </w:rPr>
        <w:t>ó</w:t>
      </w:r>
      <w:r>
        <w:rPr>
          <w:spacing w:val="-6"/>
          <w:sz w:val="18"/>
          <w:szCs w:val="18"/>
          <w:lang w:val="es-ES_tradnl"/>
        </w:rPr>
        <w:t>n del se</w:t>
      </w:r>
      <w:r>
        <w:rPr>
          <w:rFonts w:cs="Times New Roman"/>
          <w:spacing w:val="-6"/>
          <w:sz w:val="18"/>
          <w:szCs w:val="18"/>
          <w:lang w:val="es-ES_tradnl"/>
        </w:rPr>
        <w:t>ñ</w:t>
      </w:r>
      <w:r>
        <w:rPr>
          <w:spacing w:val="-6"/>
          <w:sz w:val="18"/>
          <w:szCs w:val="18"/>
          <w:lang w:val="es-ES_tradnl"/>
        </w:rPr>
        <w:t xml:space="preserve">alado auto, pero el 05 de enero de </w:t>
      </w:r>
      <w:r>
        <w:rPr>
          <w:spacing w:val="-7"/>
          <w:sz w:val="18"/>
          <w:szCs w:val="18"/>
          <w:lang w:val="es-ES_tradnl"/>
        </w:rPr>
        <w:t>2011, el Tribunal neg</w:t>
      </w:r>
      <w:r>
        <w:rPr>
          <w:rFonts w:cs="Times New Roman"/>
          <w:spacing w:val="-7"/>
          <w:sz w:val="18"/>
          <w:szCs w:val="18"/>
          <w:lang w:val="es-ES_tradnl"/>
        </w:rPr>
        <w:t>ó</w:t>
      </w:r>
      <w:r>
        <w:rPr>
          <w:spacing w:val="-7"/>
          <w:sz w:val="18"/>
          <w:szCs w:val="18"/>
          <w:lang w:val="es-ES_tradnl"/>
        </w:rPr>
        <w:t xml:space="preserve"> nuevamente la devoluci</w:t>
      </w:r>
      <w:r>
        <w:rPr>
          <w:rFonts w:cs="Times New Roman"/>
          <w:spacing w:val="-7"/>
          <w:sz w:val="18"/>
          <w:szCs w:val="18"/>
          <w:lang w:val="es-ES_tradnl"/>
        </w:rPr>
        <w:t>ó</w:t>
      </w:r>
      <w:r>
        <w:rPr>
          <w:spacing w:val="-7"/>
          <w:sz w:val="18"/>
          <w:szCs w:val="18"/>
          <w:lang w:val="es-ES_tradnl"/>
        </w:rPr>
        <w:t xml:space="preserve">n del bien </w:t>
      </w:r>
      <w:r>
        <w:rPr>
          <w:sz w:val="18"/>
          <w:szCs w:val="18"/>
          <w:lang w:val="es-ES_tradnl"/>
        </w:rPr>
        <w:t>inmueble.</w:t>
      </w:r>
    </w:p>
    <w:p w14:paraId="4F67ACC7" w14:textId="77777777" w:rsidR="00591D54" w:rsidRDefault="00591D54">
      <w:pPr>
        <w:shd w:val="clear" w:color="auto" w:fill="FFFFFF"/>
        <w:spacing w:before="197" w:line="216" w:lineRule="exact"/>
        <w:ind w:right="5"/>
        <w:jc w:val="both"/>
      </w:pPr>
      <w:r>
        <w:rPr>
          <w:spacing w:val="-9"/>
          <w:sz w:val="18"/>
          <w:szCs w:val="18"/>
          <w:lang w:val="es-ES_tradnl"/>
        </w:rPr>
        <w:t>En raz</w:t>
      </w:r>
      <w:r>
        <w:rPr>
          <w:rFonts w:cs="Times New Roman"/>
          <w:spacing w:val="-9"/>
          <w:sz w:val="18"/>
          <w:szCs w:val="18"/>
          <w:lang w:val="es-ES_tradnl"/>
        </w:rPr>
        <w:t>ó</w:t>
      </w:r>
      <w:r>
        <w:rPr>
          <w:spacing w:val="-9"/>
          <w:sz w:val="18"/>
          <w:szCs w:val="18"/>
          <w:lang w:val="es-ES_tradnl"/>
        </w:rPr>
        <w:t>n de los hecho se</w:t>
      </w:r>
      <w:r>
        <w:rPr>
          <w:rFonts w:cs="Times New Roman"/>
          <w:spacing w:val="-9"/>
          <w:sz w:val="18"/>
          <w:szCs w:val="18"/>
          <w:lang w:val="es-ES_tradnl"/>
        </w:rPr>
        <w:t>ñ</w:t>
      </w:r>
      <w:r>
        <w:rPr>
          <w:spacing w:val="-9"/>
          <w:sz w:val="18"/>
          <w:szCs w:val="18"/>
          <w:lang w:val="es-ES_tradnl"/>
        </w:rPr>
        <w:t xml:space="preserve">alados, expresan que la negativa </w:t>
      </w:r>
      <w:r>
        <w:rPr>
          <w:spacing w:val="-4"/>
          <w:sz w:val="18"/>
          <w:szCs w:val="18"/>
          <w:lang w:val="es-ES_tradnl"/>
        </w:rPr>
        <w:t>de su solicitud de devoluci</w:t>
      </w:r>
      <w:r>
        <w:rPr>
          <w:rFonts w:cs="Times New Roman"/>
          <w:spacing w:val="-4"/>
          <w:sz w:val="18"/>
          <w:szCs w:val="18"/>
          <w:lang w:val="es-ES_tradnl"/>
        </w:rPr>
        <w:t>ó</w:t>
      </w:r>
      <w:r>
        <w:rPr>
          <w:spacing w:val="-4"/>
          <w:sz w:val="18"/>
          <w:szCs w:val="18"/>
          <w:lang w:val="es-ES_tradnl"/>
        </w:rPr>
        <w:t xml:space="preserve">n del bien inmueble de sus </w:t>
      </w:r>
      <w:r>
        <w:rPr>
          <w:spacing w:val="-6"/>
          <w:sz w:val="18"/>
          <w:szCs w:val="18"/>
          <w:lang w:val="es-ES_tradnl"/>
        </w:rPr>
        <w:t>hijos, vulner</w:t>
      </w:r>
      <w:r>
        <w:rPr>
          <w:rFonts w:cs="Times New Roman"/>
          <w:spacing w:val="-6"/>
          <w:sz w:val="18"/>
          <w:szCs w:val="18"/>
          <w:lang w:val="es-ES_tradnl"/>
        </w:rPr>
        <w:t>ó</w:t>
      </w:r>
      <w:r>
        <w:rPr>
          <w:spacing w:val="-6"/>
          <w:sz w:val="18"/>
          <w:szCs w:val="18"/>
          <w:lang w:val="es-ES_tradnl"/>
        </w:rPr>
        <w:t xml:space="preserve"> su derecho a la seguridad jur</w:t>
      </w:r>
      <w:r>
        <w:rPr>
          <w:rFonts w:cs="Times New Roman"/>
          <w:spacing w:val="-6"/>
          <w:sz w:val="18"/>
          <w:szCs w:val="18"/>
          <w:lang w:val="es-ES_tradnl"/>
        </w:rPr>
        <w:t>í</w:t>
      </w:r>
      <w:r>
        <w:rPr>
          <w:spacing w:val="-6"/>
          <w:sz w:val="18"/>
          <w:szCs w:val="18"/>
          <w:lang w:val="es-ES_tradnl"/>
        </w:rPr>
        <w:t xml:space="preserve">dica, porque </w:t>
      </w:r>
      <w:r>
        <w:rPr>
          <w:spacing w:val="-4"/>
          <w:sz w:val="18"/>
          <w:szCs w:val="18"/>
          <w:lang w:val="es-ES_tradnl"/>
        </w:rPr>
        <w:t>aunque la sustancia fue encontrada en la propiedad, no</w:t>
      </w:r>
    </w:p>
    <w:p w14:paraId="4F67ACC8" w14:textId="77777777" w:rsidR="00591D54" w:rsidRDefault="00591D54">
      <w:pPr>
        <w:shd w:val="clear" w:color="auto" w:fill="FFFFFF"/>
        <w:spacing w:line="216" w:lineRule="exact"/>
        <w:ind w:right="10"/>
        <w:jc w:val="both"/>
      </w:pPr>
      <w:r>
        <w:br w:type="column"/>
      </w:r>
      <w:r>
        <w:rPr>
          <w:spacing w:val="-5"/>
          <w:sz w:val="18"/>
          <w:szCs w:val="18"/>
          <w:lang w:val="es-ES_tradnl"/>
        </w:rPr>
        <w:t xml:space="preserve">fueron involucrados el en proceso penal, por lo tanto, no </w:t>
      </w:r>
      <w:r>
        <w:rPr>
          <w:spacing w:val="-9"/>
          <w:sz w:val="18"/>
          <w:szCs w:val="18"/>
          <w:lang w:val="es-ES_tradnl"/>
        </w:rPr>
        <w:t>son c</w:t>
      </w:r>
      <w:r>
        <w:rPr>
          <w:rFonts w:cs="Times New Roman"/>
          <w:spacing w:val="-9"/>
          <w:sz w:val="18"/>
          <w:szCs w:val="18"/>
          <w:lang w:val="es-ES_tradnl"/>
        </w:rPr>
        <w:t>ó</w:t>
      </w:r>
      <w:r>
        <w:rPr>
          <w:spacing w:val="-9"/>
          <w:sz w:val="18"/>
          <w:szCs w:val="18"/>
          <w:lang w:val="es-ES_tradnl"/>
        </w:rPr>
        <w:t>mplices ni encubridores de ning</w:t>
      </w:r>
      <w:r>
        <w:rPr>
          <w:rFonts w:cs="Times New Roman"/>
          <w:spacing w:val="-9"/>
          <w:sz w:val="18"/>
          <w:szCs w:val="18"/>
          <w:lang w:val="es-ES_tradnl"/>
        </w:rPr>
        <w:t>ú</w:t>
      </w:r>
      <w:r>
        <w:rPr>
          <w:spacing w:val="-9"/>
          <w:sz w:val="18"/>
          <w:szCs w:val="18"/>
          <w:lang w:val="es-ES_tradnl"/>
        </w:rPr>
        <w:t>n delito, peor a</w:t>
      </w:r>
      <w:r>
        <w:rPr>
          <w:rFonts w:cs="Times New Roman"/>
          <w:spacing w:val="-9"/>
          <w:sz w:val="18"/>
          <w:szCs w:val="18"/>
          <w:lang w:val="es-ES_tradnl"/>
        </w:rPr>
        <w:t>ú</w:t>
      </w:r>
      <w:r>
        <w:rPr>
          <w:spacing w:val="-9"/>
          <w:sz w:val="18"/>
          <w:szCs w:val="18"/>
          <w:lang w:val="es-ES_tradnl"/>
        </w:rPr>
        <w:t xml:space="preserve">n de </w:t>
      </w:r>
      <w:r>
        <w:rPr>
          <w:spacing w:val="-6"/>
          <w:sz w:val="18"/>
          <w:szCs w:val="18"/>
          <w:lang w:val="es-ES_tradnl"/>
        </w:rPr>
        <w:t>tr</w:t>
      </w:r>
      <w:r>
        <w:rPr>
          <w:rFonts w:cs="Times New Roman"/>
          <w:spacing w:val="-6"/>
          <w:sz w:val="18"/>
          <w:szCs w:val="18"/>
          <w:lang w:val="es-ES_tradnl"/>
        </w:rPr>
        <w:t>á</w:t>
      </w:r>
      <w:r>
        <w:rPr>
          <w:spacing w:val="-6"/>
          <w:sz w:val="18"/>
          <w:szCs w:val="18"/>
          <w:lang w:val="es-ES_tradnl"/>
        </w:rPr>
        <w:t>fico il</w:t>
      </w:r>
      <w:r>
        <w:rPr>
          <w:rFonts w:cs="Times New Roman"/>
          <w:spacing w:val="-6"/>
          <w:sz w:val="18"/>
          <w:szCs w:val="18"/>
          <w:lang w:val="es-ES_tradnl"/>
        </w:rPr>
        <w:t>í</w:t>
      </w:r>
      <w:r>
        <w:rPr>
          <w:spacing w:val="-6"/>
          <w:sz w:val="18"/>
          <w:szCs w:val="18"/>
          <w:lang w:val="es-ES_tradnl"/>
        </w:rPr>
        <w:t>cito, y el fiscal del caso no los vincul</w:t>
      </w:r>
      <w:r>
        <w:rPr>
          <w:rFonts w:cs="Times New Roman"/>
          <w:spacing w:val="-6"/>
          <w:sz w:val="18"/>
          <w:szCs w:val="18"/>
          <w:lang w:val="es-ES_tradnl"/>
        </w:rPr>
        <w:t>ó</w:t>
      </w:r>
      <w:r>
        <w:rPr>
          <w:spacing w:val="-6"/>
          <w:sz w:val="18"/>
          <w:szCs w:val="18"/>
          <w:lang w:val="es-ES_tradnl"/>
        </w:rPr>
        <w:t>.</w:t>
      </w:r>
    </w:p>
    <w:p w14:paraId="4F67ACC9" w14:textId="77777777" w:rsidR="00591D54" w:rsidRDefault="00591D54">
      <w:pPr>
        <w:shd w:val="clear" w:color="auto" w:fill="FFFFFF"/>
        <w:spacing w:before="197" w:line="216" w:lineRule="exact"/>
        <w:ind w:right="10"/>
        <w:jc w:val="both"/>
      </w:pPr>
      <w:r>
        <w:rPr>
          <w:spacing w:val="-10"/>
          <w:sz w:val="18"/>
          <w:szCs w:val="18"/>
          <w:lang w:val="es-ES_tradnl"/>
        </w:rPr>
        <w:t>Adem</w:t>
      </w:r>
      <w:r>
        <w:rPr>
          <w:rFonts w:cs="Times New Roman"/>
          <w:spacing w:val="-10"/>
          <w:sz w:val="18"/>
          <w:szCs w:val="18"/>
          <w:lang w:val="es-ES_tradnl"/>
        </w:rPr>
        <w:t>á</w:t>
      </w:r>
      <w:r>
        <w:rPr>
          <w:spacing w:val="-10"/>
          <w:sz w:val="18"/>
          <w:szCs w:val="18"/>
          <w:lang w:val="es-ES_tradnl"/>
        </w:rPr>
        <w:t xml:space="preserve">s, tampoco el CONSEP, como encargado y custodio </w:t>
      </w:r>
      <w:r>
        <w:rPr>
          <w:spacing w:val="-7"/>
          <w:sz w:val="18"/>
          <w:szCs w:val="18"/>
          <w:lang w:val="es-ES_tradnl"/>
        </w:rPr>
        <w:t>de los bienes incautados en los procesos penales por sustancias estupefacientes y psicotr</w:t>
      </w:r>
      <w:r>
        <w:rPr>
          <w:rFonts w:cs="Times New Roman"/>
          <w:spacing w:val="-7"/>
          <w:sz w:val="18"/>
          <w:szCs w:val="18"/>
          <w:lang w:val="es-ES_tradnl"/>
        </w:rPr>
        <w:t>ó</w:t>
      </w:r>
      <w:r>
        <w:rPr>
          <w:spacing w:val="-7"/>
          <w:sz w:val="18"/>
          <w:szCs w:val="18"/>
          <w:lang w:val="es-ES_tradnl"/>
        </w:rPr>
        <w:t>picas, les comunic</w:t>
      </w:r>
      <w:r>
        <w:rPr>
          <w:rFonts w:cs="Times New Roman"/>
          <w:spacing w:val="-7"/>
          <w:sz w:val="18"/>
          <w:szCs w:val="18"/>
          <w:lang w:val="es-ES_tradnl"/>
        </w:rPr>
        <w:t xml:space="preserve">ó </w:t>
      </w:r>
      <w:r>
        <w:rPr>
          <w:spacing w:val="-7"/>
          <w:sz w:val="18"/>
          <w:szCs w:val="18"/>
          <w:lang w:val="es-ES_tradnl"/>
        </w:rPr>
        <w:t>por escrito, telef</w:t>
      </w:r>
      <w:r>
        <w:rPr>
          <w:rFonts w:cs="Times New Roman"/>
          <w:spacing w:val="-7"/>
          <w:sz w:val="18"/>
          <w:szCs w:val="18"/>
          <w:lang w:val="es-ES_tradnl"/>
        </w:rPr>
        <w:t>ó</w:t>
      </w:r>
      <w:r>
        <w:rPr>
          <w:spacing w:val="-7"/>
          <w:sz w:val="18"/>
          <w:szCs w:val="18"/>
          <w:lang w:val="es-ES_tradnl"/>
        </w:rPr>
        <w:t>nica o personalmente de la sentencia condenatoria en contra de los se</w:t>
      </w:r>
      <w:r>
        <w:rPr>
          <w:rFonts w:cs="Times New Roman"/>
          <w:spacing w:val="-7"/>
          <w:sz w:val="18"/>
          <w:szCs w:val="18"/>
          <w:lang w:val="es-ES_tradnl"/>
        </w:rPr>
        <w:t>ñ</w:t>
      </w:r>
      <w:r>
        <w:rPr>
          <w:spacing w:val="-7"/>
          <w:sz w:val="18"/>
          <w:szCs w:val="18"/>
          <w:lang w:val="es-ES_tradnl"/>
        </w:rPr>
        <w:t>ores Efra</w:t>
      </w:r>
      <w:r>
        <w:rPr>
          <w:rFonts w:cs="Times New Roman"/>
          <w:spacing w:val="-7"/>
          <w:sz w:val="18"/>
          <w:szCs w:val="18"/>
          <w:lang w:val="es-ES_tradnl"/>
        </w:rPr>
        <w:t>í</w:t>
      </w:r>
      <w:r>
        <w:rPr>
          <w:spacing w:val="-7"/>
          <w:sz w:val="18"/>
          <w:szCs w:val="18"/>
          <w:lang w:val="es-ES_tradnl"/>
        </w:rPr>
        <w:t xml:space="preserve">n Cardona </w:t>
      </w:r>
      <w:r>
        <w:rPr>
          <w:spacing w:val="-9"/>
          <w:sz w:val="18"/>
          <w:szCs w:val="18"/>
          <w:lang w:val="es-ES_tradnl"/>
        </w:rPr>
        <w:t>Gonz</w:t>
      </w:r>
      <w:r>
        <w:rPr>
          <w:rFonts w:cs="Times New Roman"/>
          <w:spacing w:val="-9"/>
          <w:sz w:val="18"/>
          <w:szCs w:val="18"/>
          <w:lang w:val="es-ES_tradnl"/>
        </w:rPr>
        <w:t>á</w:t>
      </w:r>
      <w:r>
        <w:rPr>
          <w:spacing w:val="-9"/>
          <w:sz w:val="18"/>
          <w:szCs w:val="18"/>
          <w:lang w:val="es-ES_tradnl"/>
        </w:rPr>
        <w:t xml:space="preserve">lez y otros, ni del comiso definitivo del bien inmueble en que se hubiere encontrado inmersa la propiedad de sus </w:t>
      </w:r>
      <w:r>
        <w:rPr>
          <w:sz w:val="18"/>
          <w:szCs w:val="18"/>
          <w:lang w:val="es-ES_tradnl"/>
        </w:rPr>
        <w:t>hijos.</w:t>
      </w:r>
    </w:p>
    <w:p w14:paraId="4F67ACCA" w14:textId="77777777" w:rsidR="00591D54" w:rsidRDefault="00591D54">
      <w:pPr>
        <w:shd w:val="clear" w:color="auto" w:fill="FFFFFF"/>
        <w:spacing w:before="197" w:line="216" w:lineRule="exact"/>
        <w:ind w:right="10"/>
        <w:jc w:val="both"/>
      </w:pPr>
      <w:r>
        <w:rPr>
          <w:spacing w:val="-6"/>
          <w:sz w:val="18"/>
          <w:szCs w:val="18"/>
          <w:lang w:val="es-ES_tradnl"/>
        </w:rPr>
        <w:t>Por tanto, consideran que la falta su no participaci</w:t>
      </w:r>
      <w:r>
        <w:rPr>
          <w:rFonts w:cs="Times New Roman"/>
          <w:spacing w:val="-6"/>
          <w:sz w:val="18"/>
          <w:szCs w:val="18"/>
          <w:lang w:val="es-ES_tradnl"/>
        </w:rPr>
        <w:t>ó</w:t>
      </w:r>
      <w:r>
        <w:rPr>
          <w:spacing w:val="-6"/>
          <w:sz w:val="18"/>
          <w:szCs w:val="18"/>
          <w:lang w:val="es-ES_tradnl"/>
        </w:rPr>
        <w:t xml:space="preserve">n en el </w:t>
      </w:r>
      <w:r>
        <w:rPr>
          <w:spacing w:val="-5"/>
          <w:sz w:val="18"/>
          <w:szCs w:val="18"/>
          <w:lang w:val="es-ES_tradnl"/>
        </w:rPr>
        <w:t>il</w:t>
      </w:r>
      <w:r>
        <w:rPr>
          <w:rFonts w:cs="Times New Roman"/>
          <w:spacing w:val="-5"/>
          <w:sz w:val="18"/>
          <w:szCs w:val="18"/>
          <w:lang w:val="es-ES_tradnl"/>
        </w:rPr>
        <w:t>í</w:t>
      </w:r>
      <w:r>
        <w:rPr>
          <w:spacing w:val="-5"/>
          <w:sz w:val="18"/>
          <w:szCs w:val="18"/>
          <w:lang w:val="es-ES_tradnl"/>
        </w:rPr>
        <w:t>cito, es la raz</w:t>
      </w:r>
      <w:r>
        <w:rPr>
          <w:rFonts w:cs="Times New Roman"/>
          <w:spacing w:val="-5"/>
          <w:sz w:val="18"/>
          <w:szCs w:val="18"/>
          <w:lang w:val="es-ES_tradnl"/>
        </w:rPr>
        <w:t>ó</w:t>
      </w:r>
      <w:r>
        <w:rPr>
          <w:spacing w:val="-5"/>
          <w:sz w:val="18"/>
          <w:szCs w:val="18"/>
          <w:lang w:val="es-ES_tradnl"/>
        </w:rPr>
        <w:t xml:space="preserve">n por la cual el inmueble se encontraba </w:t>
      </w:r>
      <w:r>
        <w:rPr>
          <w:spacing w:val="-9"/>
          <w:sz w:val="18"/>
          <w:szCs w:val="18"/>
          <w:lang w:val="es-ES_tradnl"/>
        </w:rPr>
        <w:t>libre de todo gravamen hasta el 24 de junio del 2010, d</w:t>
      </w:r>
      <w:r>
        <w:rPr>
          <w:rFonts w:cs="Times New Roman"/>
          <w:spacing w:val="-9"/>
          <w:sz w:val="18"/>
          <w:szCs w:val="18"/>
          <w:lang w:val="es-ES_tradnl"/>
        </w:rPr>
        <w:t>í</w:t>
      </w:r>
      <w:r>
        <w:rPr>
          <w:spacing w:val="-9"/>
          <w:sz w:val="18"/>
          <w:szCs w:val="18"/>
          <w:lang w:val="es-ES_tradnl"/>
        </w:rPr>
        <w:t xml:space="preserve">a en </w:t>
      </w:r>
      <w:r>
        <w:rPr>
          <w:spacing w:val="-7"/>
          <w:sz w:val="18"/>
          <w:szCs w:val="18"/>
          <w:lang w:val="es-ES_tradnl"/>
        </w:rPr>
        <w:t xml:space="preserve">el que obtuvieron el certificado conferido por el registrador </w:t>
      </w:r>
      <w:r>
        <w:rPr>
          <w:spacing w:val="-6"/>
          <w:sz w:val="18"/>
          <w:szCs w:val="18"/>
          <w:lang w:val="es-ES_tradnl"/>
        </w:rPr>
        <w:t>de la Propiedad del cant</w:t>
      </w:r>
      <w:r>
        <w:rPr>
          <w:rFonts w:cs="Times New Roman"/>
          <w:spacing w:val="-6"/>
          <w:sz w:val="18"/>
          <w:szCs w:val="18"/>
          <w:lang w:val="es-ES_tradnl"/>
        </w:rPr>
        <w:t>ó</w:t>
      </w:r>
      <w:r>
        <w:rPr>
          <w:spacing w:val="-6"/>
          <w:sz w:val="18"/>
          <w:szCs w:val="18"/>
          <w:lang w:val="es-ES_tradnl"/>
        </w:rPr>
        <w:t>n Santo Domingo, situaci</w:t>
      </w:r>
      <w:r>
        <w:rPr>
          <w:rFonts w:cs="Times New Roman"/>
          <w:spacing w:val="-6"/>
          <w:sz w:val="18"/>
          <w:szCs w:val="18"/>
          <w:lang w:val="es-ES_tradnl"/>
        </w:rPr>
        <w:t>ó</w:t>
      </w:r>
      <w:r>
        <w:rPr>
          <w:spacing w:val="-6"/>
          <w:sz w:val="18"/>
          <w:szCs w:val="18"/>
          <w:lang w:val="es-ES_tradnl"/>
        </w:rPr>
        <w:t xml:space="preserve">n por </w:t>
      </w:r>
      <w:r>
        <w:rPr>
          <w:spacing w:val="-8"/>
          <w:sz w:val="18"/>
          <w:szCs w:val="18"/>
          <w:lang w:val="es-ES_tradnl"/>
        </w:rPr>
        <w:t xml:space="preserve">la que tampoco pudieron interponer los recursos ordinarios </w:t>
      </w:r>
      <w:r>
        <w:rPr>
          <w:spacing w:val="-6"/>
          <w:sz w:val="18"/>
          <w:szCs w:val="18"/>
          <w:lang w:val="es-ES_tradnl"/>
        </w:rPr>
        <w:t xml:space="preserve">y extraordinarios del caso, llegando a tener conocimiento </w:t>
      </w:r>
      <w:r>
        <w:rPr>
          <w:spacing w:val="-3"/>
          <w:sz w:val="18"/>
          <w:szCs w:val="18"/>
          <w:lang w:val="es-ES_tradnl"/>
        </w:rPr>
        <w:t>del mencionado comiso y prohibici</w:t>
      </w:r>
      <w:r>
        <w:rPr>
          <w:rFonts w:cs="Times New Roman"/>
          <w:spacing w:val="-3"/>
          <w:sz w:val="18"/>
          <w:szCs w:val="18"/>
          <w:lang w:val="es-ES_tradnl"/>
        </w:rPr>
        <w:t>ó</w:t>
      </w:r>
      <w:r>
        <w:rPr>
          <w:spacing w:val="-3"/>
          <w:sz w:val="18"/>
          <w:szCs w:val="18"/>
          <w:lang w:val="es-ES_tradnl"/>
        </w:rPr>
        <w:t xml:space="preserve">n de enajenar el 07 </w:t>
      </w:r>
      <w:r>
        <w:rPr>
          <w:spacing w:val="-7"/>
          <w:sz w:val="18"/>
          <w:szCs w:val="18"/>
          <w:lang w:val="es-ES_tradnl"/>
        </w:rPr>
        <w:t xml:space="preserve">de septiembre del 2010, cuando fueron al mencionado </w:t>
      </w:r>
      <w:r>
        <w:rPr>
          <w:sz w:val="18"/>
          <w:szCs w:val="18"/>
          <w:lang w:val="es-ES_tradnl"/>
        </w:rPr>
        <w:t>Registro de la Propiedad.</w:t>
      </w:r>
    </w:p>
    <w:p w14:paraId="4F67ACCB" w14:textId="77777777" w:rsidR="00591D54" w:rsidRDefault="00591D54">
      <w:pPr>
        <w:shd w:val="clear" w:color="auto" w:fill="FFFFFF"/>
        <w:spacing w:before="192"/>
      </w:pPr>
      <w:r>
        <w:rPr>
          <w:b/>
          <w:bCs/>
          <w:spacing w:val="-10"/>
          <w:sz w:val="18"/>
          <w:szCs w:val="18"/>
          <w:lang w:val="es-ES_tradnl"/>
        </w:rPr>
        <w:t>Pretensi</w:t>
      </w:r>
      <w:r>
        <w:rPr>
          <w:rFonts w:cs="Times New Roman"/>
          <w:b/>
          <w:bCs/>
          <w:spacing w:val="-10"/>
          <w:sz w:val="18"/>
          <w:szCs w:val="18"/>
          <w:lang w:val="es-ES_tradnl"/>
        </w:rPr>
        <w:t>ó</w:t>
      </w:r>
      <w:r>
        <w:rPr>
          <w:b/>
          <w:bCs/>
          <w:spacing w:val="-10"/>
          <w:sz w:val="18"/>
          <w:szCs w:val="18"/>
          <w:lang w:val="es-ES_tradnl"/>
        </w:rPr>
        <w:t>n concreta</w:t>
      </w:r>
    </w:p>
    <w:p w14:paraId="4F67ACCC" w14:textId="77777777" w:rsidR="00591D54" w:rsidRDefault="00591D54">
      <w:pPr>
        <w:shd w:val="clear" w:color="auto" w:fill="FFFFFF"/>
        <w:spacing w:before="192" w:line="216" w:lineRule="exact"/>
        <w:ind w:right="10"/>
        <w:jc w:val="both"/>
      </w:pPr>
      <w:r>
        <w:rPr>
          <w:spacing w:val="-7"/>
          <w:sz w:val="18"/>
          <w:szCs w:val="18"/>
          <w:lang w:val="es-ES_tradnl"/>
        </w:rPr>
        <w:t>En virtud de lo expuesto en su demanda, los accionantes solicitan a la Corte Constitucional del Ecuador lo siguiente:</w:t>
      </w:r>
    </w:p>
    <w:p w14:paraId="4F67ACCD" w14:textId="77777777" w:rsidR="00591D54" w:rsidRDefault="00591D54">
      <w:pPr>
        <w:shd w:val="clear" w:color="auto" w:fill="FFFFFF"/>
        <w:spacing w:before="202" w:line="216" w:lineRule="exact"/>
        <w:ind w:left="283" w:right="10"/>
        <w:jc w:val="both"/>
      </w:pPr>
      <w:r>
        <w:rPr>
          <w:rFonts w:cs="Times New Roman"/>
          <w:spacing w:val="-5"/>
          <w:sz w:val="16"/>
          <w:szCs w:val="16"/>
          <w:lang w:val="es-ES_tradnl"/>
        </w:rPr>
        <w:t>…</w:t>
      </w:r>
      <w:r>
        <w:rPr>
          <w:spacing w:val="-5"/>
          <w:sz w:val="16"/>
          <w:szCs w:val="16"/>
          <w:lang w:val="es-ES_tradnl"/>
        </w:rPr>
        <w:t xml:space="preserve">proceda a dejar sin efecto el auto definitivo que estamos </w:t>
      </w:r>
      <w:r>
        <w:rPr>
          <w:spacing w:val="-7"/>
          <w:sz w:val="16"/>
          <w:szCs w:val="16"/>
          <w:lang w:val="es-ES_tradnl"/>
        </w:rPr>
        <w:t xml:space="preserve">impugnando procediendo de esta forma a admitir la presente </w:t>
      </w:r>
      <w:r>
        <w:rPr>
          <w:spacing w:val="-4"/>
          <w:sz w:val="16"/>
          <w:szCs w:val="16"/>
          <w:lang w:val="es-ES_tradnl"/>
        </w:rPr>
        <w:t>acci</w:t>
      </w:r>
      <w:r>
        <w:rPr>
          <w:rFonts w:cs="Times New Roman"/>
          <w:spacing w:val="-4"/>
          <w:sz w:val="16"/>
          <w:szCs w:val="16"/>
          <w:lang w:val="es-ES_tradnl"/>
        </w:rPr>
        <w:t>ó</w:t>
      </w:r>
      <w:r>
        <w:rPr>
          <w:spacing w:val="-4"/>
          <w:sz w:val="16"/>
          <w:szCs w:val="16"/>
          <w:lang w:val="es-ES_tradnl"/>
        </w:rPr>
        <w:t>n extraordinaria de protecci</w:t>
      </w:r>
      <w:r>
        <w:rPr>
          <w:rFonts w:cs="Times New Roman"/>
          <w:spacing w:val="-4"/>
          <w:sz w:val="16"/>
          <w:szCs w:val="16"/>
          <w:lang w:val="es-ES_tradnl"/>
        </w:rPr>
        <w:t>ó</w:t>
      </w:r>
      <w:r>
        <w:rPr>
          <w:spacing w:val="-4"/>
          <w:sz w:val="16"/>
          <w:szCs w:val="16"/>
          <w:lang w:val="es-ES_tradnl"/>
        </w:rPr>
        <w:t xml:space="preserve">n, en la cual se acepta </w:t>
      </w:r>
      <w:r>
        <w:rPr>
          <w:spacing w:val="-6"/>
          <w:sz w:val="16"/>
          <w:szCs w:val="16"/>
          <w:lang w:val="es-ES_tradnl"/>
        </w:rPr>
        <w:t>nuestro pedido de devoluci</w:t>
      </w:r>
      <w:r>
        <w:rPr>
          <w:rFonts w:cs="Times New Roman"/>
          <w:spacing w:val="-6"/>
          <w:sz w:val="16"/>
          <w:szCs w:val="16"/>
          <w:lang w:val="es-ES_tradnl"/>
        </w:rPr>
        <w:t>ó</w:t>
      </w:r>
      <w:r>
        <w:rPr>
          <w:spacing w:val="-6"/>
          <w:sz w:val="16"/>
          <w:szCs w:val="16"/>
          <w:lang w:val="es-ES_tradnl"/>
        </w:rPr>
        <w:t xml:space="preserve">n y entrega de la propiedad de </w:t>
      </w:r>
      <w:r>
        <w:rPr>
          <w:sz w:val="16"/>
          <w:szCs w:val="16"/>
          <w:lang w:val="es-ES_tradnl"/>
        </w:rPr>
        <w:t>nuestros hijos menores de edad</w:t>
      </w:r>
      <w:r>
        <w:rPr>
          <w:rFonts w:cs="Times New Roman"/>
          <w:sz w:val="16"/>
          <w:szCs w:val="16"/>
          <w:lang w:val="es-ES_tradnl"/>
        </w:rPr>
        <w:t>…</w:t>
      </w:r>
    </w:p>
    <w:p w14:paraId="4F67ACCE" w14:textId="77777777" w:rsidR="00591D54" w:rsidRDefault="00591D54">
      <w:pPr>
        <w:shd w:val="clear" w:color="auto" w:fill="FFFFFF"/>
        <w:spacing w:before="197"/>
      </w:pPr>
      <w:r>
        <w:rPr>
          <w:b/>
          <w:bCs/>
          <w:spacing w:val="-11"/>
          <w:sz w:val="18"/>
          <w:szCs w:val="18"/>
          <w:lang w:val="es-ES_tradnl"/>
        </w:rPr>
        <w:t>Decisiones judiciales que se impugnan</w:t>
      </w:r>
    </w:p>
    <w:p w14:paraId="4F67ACCF" w14:textId="77777777" w:rsidR="00591D54" w:rsidRDefault="00591D54">
      <w:pPr>
        <w:shd w:val="clear" w:color="auto" w:fill="FFFFFF"/>
        <w:spacing w:before="197" w:line="216" w:lineRule="exact"/>
        <w:ind w:right="10"/>
        <w:jc w:val="both"/>
      </w:pPr>
      <w:r>
        <w:rPr>
          <w:spacing w:val="-6"/>
          <w:sz w:val="18"/>
          <w:szCs w:val="18"/>
          <w:lang w:val="es-ES_tradnl"/>
        </w:rPr>
        <w:t>Los accionantes impugnaron el auto del 30 de noviembre de 2010, expedido por el Tribunal Primero de Garant</w:t>
      </w:r>
      <w:r>
        <w:rPr>
          <w:rFonts w:cs="Times New Roman"/>
          <w:spacing w:val="-6"/>
          <w:sz w:val="18"/>
          <w:szCs w:val="18"/>
          <w:lang w:val="es-ES_tradnl"/>
        </w:rPr>
        <w:t>í</w:t>
      </w:r>
      <w:r>
        <w:rPr>
          <w:spacing w:val="-6"/>
          <w:sz w:val="18"/>
          <w:szCs w:val="18"/>
          <w:lang w:val="es-ES_tradnl"/>
        </w:rPr>
        <w:t xml:space="preserve">as </w:t>
      </w:r>
      <w:r>
        <w:rPr>
          <w:spacing w:val="-7"/>
          <w:sz w:val="18"/>
          <w:szCs w:val="18"/>
          <w:lang w:val="es-ES_tradnl"/>
        </w:rPr>
        <w:t>Penales de Santo Domingo de los Ts</w:t>
      </w:r>
      <w:r>
        <w:rPr>
          <w:rFonts w:cs="Times New Roman"/>
          <w:spacing w:val="-7"/>
          <w:sz w:val="18"/>
          <w:szCs w:val="18"/>
          <w:lang w:val="es-ES_tradnl"/>
        </w:rPr>
        <w:t>á</w:t>
      </w:r>
      <w:r>
        <w:rPr>
          <w:spacing w:val="-7"/>
          <w:sz w:val="18"/>
          <w:szCs w:val="18"/>
          <w:lang w:val="es-ES_tradnl"/>
        </w:rPr>
        <w:t xml:space="preserve">chilas, que en lo </w:t>
      </w:r>
      <w:r>
        <w:rPr>
          <w:sz w:val="18"/>
          <w:szCs w:val="18"/>
          <w:lang w:val="es-ES_tradnl"/>
        </w:rPr>
        <w:t>principal contiene lo siguiente:</w:t>
      </w:r>
    </w:p>
    <w:p w14:paraId="4F67ACD0" w14:textId="77777777" w:rsidR="00591D54" w:rsidRDefault="00591D54">
      <w:pPr>
        <w:shd w:val="clear" w:color="auto" w:fill="FFFFFF"/>
        <w:spacing w:before="206" w:line="216" w:lineRule="exact"/>
        <w:ind w:left="283"/>
        <w:jc w:val="both"/>
      </w:pPr>
      <w:r>
        <w:rPr>
          <w:rFonts w:cs="Times New Roman"/>
          <w:spacing w:val="-8"/>
          <w:sz w:val="16"/>
          <w:szCs w:val="16"/>
          <w:lang w:val="es-ES_tradnl"/>
        </w:rPr>
        <w:t>…</w:t>
      </w:r>
      <w:r>
        <w:rPr>
          <w:b/>
          <w:bCs/>
          <w:spacing w:val="-8"/>
          <w:sz w:val="16"/>
          <w:szCs w:val="16"/>
          <w:lang w:val="es-ES_tradnl"/>
        </w:rPr>
        <w:t xml:space="preserve">VISTOS.- </w:t>
      </w:r>
      <w:r>
        <w:rPr>
          <w:spacing w:val="-8"/>
          <w:sz w:val="16"/>
          <w:szCs w:val="16"/>
          <w:lang w:val="es-ES_tradnl"/>
        </w:rPr>
        <w:t>Incorp</w:t>
      </w:r>
      <w:r>
        <w:rPr>
          <w:rFonts w:cs="Times New Roman"/>
          <w:spacing w:val="-8"/>
          <w:sz w:val="16"/>
          <w:szCs w:val="16"/>
          <w:lang w:val="es-ES_tradnl"/>
        </w:rPr>
        <w:t>ó</w:t>
      </w:r>
      <w:r>
        <w:rPr>
          <w:spacing w:val="-8"/>
          <w:sz w:val="16"/>
          <w:szCs w:val="16"/>
          <w:lang w:val="es-ES_tradnl"/>
        </w:rPr>
        <w:t xml:space="preserve">rese al proceso el escrito presentado tanto </w:t>
      </w:r>
      <w:r>
        <w:rPr>
          <w:spacing w:val="-2"/>
          <w:sz w:val="16"/>
          <w:szCs w:val="16"/>
          <w:lang w:val="es-ES_tradnl"/>
        </w:rPr>
        <w:t>por el se</w:t>
      </w:r>
      <w:r>
        <w:rPr>
          <w:rFonts w:cs="Times New Roman"/>
          <w:spacing w:val="-2"/>
          <w:sz w:val="16"/>
          <w:szCs w:val="16"/>
          <w:lang w:val="es-ES_tradnl"/>
        </w:rPr>
        <w:t>ñ</w:t>
      </w:r>
      <w:r>
        <w:rPr>
          <w:spacing w:val="-2"/>
          <w:sz w:val="16"/>
          <w:szCs w:val="16"/>
          <w:lang w:val="es-ES_tradnl"/>
        </w:rPr>
        <w:t>or JORGE CHAPILIQU</w:t>
      </w:r>
      <w:r>
        <w:rPr>
          <w:rFonts w:cs="Times New Roman"/>
          <w:spacing w:val="-2"/>
          <w:sz w:val="16"/>
          <w:szCs w:val="16"/>
          <w:lang w:val="es-ES_tradnl"/>
        </w:rPr>
        <w:t>Í</w:t>
      </w:r>
      <w:r>
        <w:rPr>
          <w:spacing w:val="-2"/>
          <w:sz w:val="16"/>
          <w:szCs w:val="16"/>
          <w:lang w:val="es-ES_tradnl"/>
        </w:rPr>
        <w:t>N Y MAR</w:t>
      </w:r>
      <w:r>
        <w:rPr>
          <w:rFonts w:cs="Times New Roman"/>
          <w:spacing w:val="-2"/>
          <w:sz w:val="16"/>
          <w:szCs w:val="16"/>
          <w:lang w:val="es-ES_tradnl"/>
        </w:rPr>
        <w:t>Í</w:t>
      </w:r>
      <w:r>
        <w:rPr>
          <w:spacing w:val="-2"/>
          <w:sz w:val="16"/>
          <w:szCs w:val="16"/>
          <w:lang w:val="es-ES_tradnl"/>
        </w:rPr>
        <w:t xml:space="preserve">A TERESA </w:t>
      </w:r>
      <w:r>
        <w:rPr>
          <w:spacing w:val="-3"/>
          <w:sz w:val="16"/>
          <w:szCs w:val="16"/>
          <w:lang w:val="es-ES_tradnl"/>
        </w:rPr>
        <w:t>ALC</w:t>
      </w:r>
      <w:r>
        <w:rPr>
          <w:rFonts w:cs="Times New Roman"/>
          <w:spacing w:val="-3"/>
          <w:sz w:val="16"/>
          <w:szCs w:val="16"/>
          <w:lang w:val="es-ES_tradnl"/>
        </w:rPr>
        <w:t>Í</w:t>
      </w:r>
      <w:r>
        <w:rPr>
          <w:spacing w:val="-3"/>
          <w:sz w:val="16"/>
          <w:szCs w:val="16"/>
          <w:lang w:val="es-ES_tradnl"/>
        </w:rPr>
        <w:t>VAR MENDOZA, as</w:t>
      </w:r>
      <w:r>
        <w:rPr>
          <w:rFonts w:cs="Times New Roman"/>
          <w:spacing w:val="-3"/>
          <w:sz w:val="16"/>
          <w:szCs w:val="16"/>
          <w:lang w:val="es-ES_tradnl"/>
        </w:rPr>
        <w:t>í</w:t>
      </w:r>
      <w:r>
        <w:rPr>
          <w:spacing w:val="-3"/>
          <w:sz w:val="16"/>
          <w:szCs w:val="16"/>
          <w:lang w:val="es-ES_tradnl"/>
        </w:rPr>
        <w:t xml:space="preserve"> como el presentado por el ING. </w:t>
      </w:r>
      <w:r>
        <w:rPr>
          <w:sz w:val="16"/>
          <w:szCs w:val="16"/>
          <w:lang w:val="es-ES_tradnl"/>
        </w:rPr>
        <w:t>RODRIGO SIXTO VELEZ VALAREZO en su condici</w:t>
      </w:r>
      <w:r>
        <w:rPr>
          <w:rFonts w:cs="Times New Roman"/>
          <w:sz w:val="16"/>
          <w:szCs w:val="16"/>
          <w:lang w:val="es-ES_tradnl"/>
        </w:rPr>
        <w:t>ó</w:t>
      </w:r>
      <w:r>
        <w:rPr>
          <w:sz w:val="16"/>
          <w:szCs w:val="16"/>
          <w:lang w:val="es-ES_tradnl"/>
        </w:rPr>
        <w:t xml:space="preserve">n </w:t>
      </w:r>
      <w:r>
        <w:rPr>
          <w:spacing w:val="-2"/>
          <w:sz w:val="16"/>
          <w:szCs w:val="16"/>
          <w:lang w:val="es-ES_tradnl"/>
        </w:rPr>
        <w:t xml:space="preserve">de Secretario Ejecutivo del CONSEP con el cual contesta </w:t>
      </w:r>
      <w:r>
        <w:rPr>
          <w:spacing w:val="-6"/>
          <w:sz w:val="16"/>
          <w:szCs w:val="16"/>
          <w:lang w:val="es-ES_tradnl"/>
        </w:rPr>
        <w:t>el traslado frente al pedido de los se</w:t>
      </w:r>
      <w:r>
        <w:rPr>
          <w:rFonts w:cs="Times New Roman"/>
          <w:spacing w:val="-6"/>
          <w:sz w:val="16"/>
          <w:szCs w:val="16"/>
          <w:lang w:val="es-ES_tradnl"/>
        </w:rPr>
        <w:t>ñ</w:t>
      </w:r>
      <w:r>
        <w:rPr>
          <w:spacing w:val="-6"/>
          <w:sz w:val="16"/>
          <w:szCs w:val="16"/>
          <w:lang w:val="es-ES_tradnl"/>
        </w:rPr>
        <w:t xml:space="preserve">ores Jorge Vicente </w:t>
      </w:r>
      <w:r>
        <w:rPr>
          <w:spacing w:val="-5"/>
          <w:sz w:val="16"/>
          <w:szCs w:val="16"/>
          <w:lang w:val="es-ES_tradnl"/>
        </w:rPr>
        <w:t>Chapiliquin Purisaga y Mar</w:t>
      </w:r>
      <w:r>
        <w:rPr>
          <w:rFonts w:cs="Times New Roman"/>
          <w:spacing w:val="-5"/>
          <w:sz w:val="16"/>
          <w:szCs w:val="16"/>
          <w:lang w:val="es-ES_tradnl"/>
        </w:rPr>
        <w:t>í</w:t>
      </w:r>
      <w:r>
        <w:rPr>
          <w:spacing w:val="-5"/>
          <w:sz w:val="16"/>
          <w:szCs w:val="16"/>
          <w:lang w:val="es-ES_tradnl"/>
        </w:rPr>
        <w:t>a Teresa Alc</w:t>
      </w:r>
      <w:r>
        <w:rPr>
          <w:rFonts w:cs="Times New Roman"/>
          <w:spacing w:val="-5"/>
          <w:sz w:val="16"/>
          <w:szCs w:val="16"/>
          <w:lang w:val="es-ES_tradnl"/>
        </w:rPr>
        <w:t>í</w:t>
      </w:r>
      <w:r>
        <w:rPr>
          <w:spacing w:val="-5"/>
          <w:sz w:val="16"/>
          <w:szCs w:val="16"/>
          <w:lang w:val="es-ES_tradnl"/>
        </w:rPr>
        <w:t>var Mendoza, as</w:t>
      </w:r>
      <w:r>
        <w:rPr>
          <w:rFonts w:cs="Times New Roman"/>
          <w:spacing w:val="-5"/>
          <w:sz w:val="16"/>
          <w:szCs w:val="16"/>
          <w:lang w:val="es-ES_tradnl"/>
        </w:rPr>
        <w:t xml:space="preserve">í </w:t>
      </w:r>
      <w:r>
        <w:rPr>
          <w:spacing w:val="-5"/>
          <w:sz w:val="16"/>
          <w:szCs w:val="16"/>
          <w:lang w:val="es-ES_tradnl"/>
        </w:rPr>
        <w:t xml:space="preserve">como realiza un pedido concreto, ante lo cual se dispone: </w:t>
      </w:r>
      <w:r>
        <w:rPr>
          <w:b/>
          <w:bCs/>
          <w:spacing w:val="-5"/>
          <w:sz w:val="16"/>
          <w:szCs w:val="16"/>
          <w:lang w:val="es-ES_tradnl"/>
        </w:rPr>
        <w:t xml:space="preserve">1. </w:t>
      </w:r>
      <w:r>
        <w:rPr>
          <w:spacing w:val="-7"/>
          <w:sz w:val="16"/>
          <w:szCs w:val="16"/>
          <w:lang w:val="es-ES_tradnl"/>
        </w:rPr>
        <w:t xml:space="preserve">En la parte dispositiva del fallo dictado el 24 de septiembre del 2007 a las 08h10 por este </w:t>
      </w:r>
      <w:r>
        <w:rPr>
          <w:rFonts w:cs="Times New Roman"/>
          <w:spacing w:val="-7"/>
          <w:sz w:val="16"/>
          <w:szCs w:val="16"/>
          <w:lang w:val="es-ES_tradnl"/>
        </w:rPr>
        <w:t>ó</w:t>
      </w:r>
      <w:r>
        <w:rPr>
          <w:spacing w:val="-7"/>
          <w:sz w:val="16"/>
          <w:szCs w:val="16"/>
          <w:lang w:val="es-ES_tradnl"/>
        </w:rPr>
        <w:t xml:space="preserve">rgano jurisdiccional (ratificado por </w:t>
      </w:r>
      <w:r>
        <w:rPr>
          <w:spacing w:val="-8"/>
          <w:sz w:val="16"/>
          <w:szCs w:val="16"/>
          <w:lang w:val="es-ES_tradnl"/>
        </w:rPr>
        <w:t xml:space="preserve">la sentencia dictada el 26 de junio de 2008 por la segunda sala </w:t>
      </w:r>
      <w:r>
        <w:rPr>
          <w:spacing w:val="-6"/>
          <w:sz w:val="16"/>
          <w:szCs w:val="16"/>
          <w:lang w:val="es-ES_tradnl"/>
        </w:rPr>
        <w:t>de lo penal de la Corte Superior de Justicia de Quito) se dej</w:t>
      </w:r>
      <w:r>
        <w:rPr>
          <w:rFonts w:cs="Times New Roman"/>
          <w:spacing w:val="-6"/>
          <w:sz w:val="16"/>
          <w:szCs w:val="16"/>
          <w:lang w:val="es-ES_tradnl"/>
        </w:rPr>
        <w:t xml:space="preserve">ó </w:t>
      </w:r>
      <w:r>
        <w:rPr>
          <w:spacing w:val="-8"/>
          <w:sz w:val="16"/>
          <w:szCs w:val="16"/>
          <w:lang w:val="es-ES_tradnl"/>
        </w:rPr>
        <w:t xml:space="preserve">establecido que </w:t>
      </w:r>
      <w:r>
        <w:rPr>
          <w:rFonts w:cs="Times New Roman"/>
          <w:spacing w:val="-8"/>
          <w:sz w:val="16"/>
          <w:szCs w:val="16"/>
          <w:lang w:val="es-ES_tradnl"/>
        </w:rPr>
        <w:t>“…</w:t>
      </w:r>
      <w:r>
        <w:rPr>
          <w:spacing w:val="-8"/>
          <w:sz w:val="16"/>
          <w:szCs w:val="16"/>
          <w:lang w:val="es-ES_tradnl"/>
        </w:rPr>
        <w:t>En atenci</w:t>
      </w:r>
      <w:r>
        <w:rPr>
          <w:rFonts w:cs="Times New Roman"/>
          <w:spacing w:val="-8"/>
          <w:sz w:val="16"/>
          <w:szCs w:val="16"/>
          <w:lang w:val="es-ES_tradnl"/>
        </w:rPr>
        <w:t>ó</w:t>
      </w:r>
      <w:r>
        <w:rPr>
          <w:spacing w:val="-8"/>
          <w:sz w:val="16"/>
          <w:szCs w:val="16"/>
          <w:lang w:val="es-ES_tradnl"/>
        </w:rPr>
        <w:t xml:space="preserve">n a lo dispuesto por el Art. 83 de </w:t>
      </w:r>
      <w:r>
        <w:rPr>
          <w:spacing w:val="-9"/>
          <w:sz w:val="16"/>
          <w:szCs w:val="16"/>
          <w:lang w:val="es-ES_tradnl"/>
        </w:rPr>
        <w:t>la Ley de Sustancias Estupefacientes y sicotr</w:t>
      </w:r>
      <w:r>
        <w:rPr>
          <w:rFonts w:cs="Times New Roman"/>
          <w:spacing w:val="-9"/>
          <w:sz w:val="16"/>
          <w:szCs w:val="16"/>
          <w:lang w:val="es-ES_tradnl"/>
        </w:rPr>
        <w:t>ó</w:t>
      </w:r>
      <w:r>
        <w:rPr>
          <w:spacing w:val="-9"/>
          <w:sz w:val="16"/>
          <w:szCs w:val="16"/>
          <w:lang w:val="es-ES_tradnl"/>
        </w:rPr>
        <w:t xml:space="preserve">picas se dispone: </w:t>
      </w:r>
      <w:r>
        <w:rPr>
          <w:spacing w:val="-5"/>
          <w:sz w:val="16"/>
          <w:szCs w:val="16"/>
          <w:lang w:val="es-ES_tradnl"/>
        </w:rPr>
        <w:t>(</w:t>
      </w:r>
      <w:r>
        <w:rPr>
          <w:rFonts w:cs="Times New Roman"/>
          <w:spacing w:val="-5"/>
          <w:sz w:val="16"/>
          <w:szCs w:val="16"/>
          <w:lang w:val="es-ES_tradnl"/>
        </w:rPr>
        <w:t>…</w:t>
      </w:r>
      <w:r>
        <w:rPr>
          <w:spacing w:val="-5"/>
          <w:sz w:val="16"/>
          <w:szCs w:val="16"/>
          <w:lang w:val="es-ES_tradnl"/>
        </w:rPr>
        <w:t xml:space="preserve">) c) El inmueble ubicado en el Km. 10 y </w:t>
      </w:r>
      <w:r>
        <w:rPr>
          <w:rFonts w:cs="Times New Roman"/>
          <w:spacing w:val="-5"/>
          <w:sz w:val="16"/>
          <w:szCs w:val="16"/>
          <w:lang w:val="es-ES_tradnl"/>
        </w:rPr>
        <w:t>½</w:t>
      </w:r>
      <w:r>
        <w:rPr>
          <w:spacing w:val="-5"/>
          <w:sz w:val="16"/>
          <w:szCs w:val="16"/>
          <w:lang w:val="es-ES_tradnl"/>
        </w:rPr>
        <w:t xml:space="preserve"> de la v</w:t>
      </w:r>
      <w:r>
        <w:rPr>
          <w:rFonts w:cs="Times New Roman"/>
          <w:spacing w:val="-5"/>
          <w:sz w:val="16"/>
          <w:szCs w:val="16"/>
          <w:lang w:val="es-ES_tradnl"/>
        </w:rPr>
        <w:t>í</w:t>
      </w:r>
      <w:r>
        <w:rPr>
          <w:spacing w:val="-5"/>
          <w:sz w:val="16"/>
          <w:szCs w:val="16"/>
          <w:lang w:val="es-ES_tradnl"/>
        </w:rPr>
        <w:t xml:space="preserve">a Santo </w:t>
      </w:r>
      <w:r>
        <w:rPr>
          <w:spacing w:val="-9"/>
          <w:sz w:val="16"/>
          <w:szCs w:val="16"/>
          <w:lang w:val="es-ES_tradnl"/>
        </w:rPr>
        <w:t>Domingo-Quevedo, (</w:t>
      </w:r>
      <w:r>
        <w:rPr>
          <w:rFonts w:cs="Times New Roman"/>
          <w:spacing w:val="-9"/>
          <w:sz w:val="16"/>
          <w:szCs w:val="16"/>
          <w:lang w:val="es-ES_tradnl"/>
        </w:rPr>
        <w:t>…</w:t>
      </w:r>
      <w:r>
        <w:rPr>
          <w:spacing w:val="-9"/>
          <w:sz w:val="16"/>
          <w:szCs w:val="16"/>
          <w:lang w:val="es-ES_tradnl"/>
        </w:rPr>
        <w:t>) lugar donde los agentes antinarc</w:t>
      </w:r>
      <w:r>
        <w:rPr>
          <w:rFonts w:cs="Times New Roman"/>
          <w:spacing w:val="-9"/>
          <w:sz w:val="16"/>
          <w:szCs w:val="16"/>
          <w:lang w:val="es-ES_tradnl"/>
        </w:rPr>
        <w:t>ó</w:t>
      </w:r>
      <w:r>
        <w:rPr>
          <w:spacing w:val="-9"/>
          <w:sz w:val="16"/>
          <w:szCs w:val="16"/>
          <w:lang w:val="es-ES_tradnl"/>
        </w:rPr>
        <w:t xml:space="preserve">ticos </w:t>
      </w:r>
      <w:r>
        <w:rPr>
          <w:spacing w:val="-4"/>
          <w:sz w:val="16"/>
          <w:szCs w:val="16"/>
          <w:lang w:val="es-ES_tradnl"/>
        </w:rPr>
        <w:t>con el Agente Fiscal Vinicio Rosillo, encontraron el cami</w:t>
      </w:r>
      <w:r>
        <w:rPr>
          <w:rFonts w:cs="Times New Roman"/>
          <w:spacing w:val="-4"/>
          <w:sz w:val="16"/>
          <w:szCs w:val="16"/>
          <w:lang w:val="es-ES_tradnl"/>
        </w:rPr>
        <w:t>ó</w:t>
      </w:r>
      <w:r>
        <w:rPr>
          <w:spacing w:val="-4"/>
          <w:sz w:val="16"/>
          <w:szCs w:val="16"/>
          <w:lang w:val="es-ES_tradnl"/>
        </w:rPr>
        <w:t xml:space="preserve">n </w:t>
      </w:r>
      <w:r>
        <w:rPr>
          <w:spacing w:val="-6"/>
          <w:sz w:val="16"/>
          <w:szCs w:val="16"/>
          <w:lang w:val="es-ES_tradnl"/>
        </w:rPr>
        <w:t>marca hino (</w:t>
      </w:r>
      <w:r>
        <w:rPr>
          <w:rFonts w:cs="Times New Roman"/>
          <w:spacing w:val="-6"/>
          <w:sz w:val="16"/>
          <w:szCs w:val="16"/>
          <w:lang w:val="es-ES_tradnl"/>
        </w:rPr>
        <w:t>…</w:t>
      </w:r>
      <w:r>
        <w:rPr>
          <w:spacing w:val="-6"/>
          <w:sz w:val="16"/>
          <w:szCs w:val="16"/>
          <w:lang w:val="es-ES_tradnl"/>
        </w:rPr>
        <w:t xml:space="preserve">) con la droga incautada y el dinero enterrado, procesalmente no se ha establecido la titularidad de dominio, </w:t>
      </w:r>
      <w:r>
        <w:rPr>
          <w:spacing w:val="-8"/>
          <w:sz w:val="16"/>
          <w:szCs w:val="16"/>
          <w:lang w:val="es-ES_tradnl"/>
        </w:rPr>
        <w:t>pero si se prob</w:t>
      </w:r>
      <w:r>
        <w:rPr>
          <w:rFonts w:cs="Times New Roman"/>
          <w:spacing w:val="-8"/>
          <w:sz w:val="16"/>
          <w:szCs w:val="16"/>
          <w:lang w:val="es-ES_tradnl"/>
        </w:rPr>
        <w:t>ó</w:t>
      </w:r>
      <w:r>
        <w:rPr>
          <w:spacing w:val="-8"/>
          <w:sz w:val="16"/>
          <w:szCs w:val="16"/>
          <w:lang w:val="es-ES_tradnl"/>
        </w:rPr>
        <w:t xml:space="preserve"> que estuvo ocupado por el sentenciado Efra</w:t>
      </w:r>
      <w:r>
        <w:rPr>
          <w:rFonts w:cs="Times New Roman"/>
          <w:spacing w:val="-8"/>
          <w:sz w:val="16"/>
          <w:szCs w:val="16"/>
          <w:lang w:val="es-ES_tradnl"/>
        </w:rPr>
        <w:t>í</w:t>
      </w:r>
      <w:r>
        <w:rPr>
          <w:spacing w:val="-8"/>
          <w:sz w:val="16"/>
          <w:szCs w:val="16"/>
          <w:lang w:val="es-ES_tradnl"/>
        </w:rPr>
        <w:t xml:space="preserve">n </w:t>
      </w:r>
      <w:r>
        <w:rPr>
          <w:spacing w:val="-5"/>
          <w:sz w:val="16"/>
          <w:szCs w:val="16"/>
          <w:lang w:val="es-ES_tradnl"/>
        </w:rPr>
        <w:t>Cardona; por lo que, (</w:t>
      </w:r>
      <w:r>
        <w:rPr>
          <w:rFonts w:cs="Times New Roman"/>
          <w:spacing w:val="-5"/>
          <w:sz w:val="16"/>
          <w:szCs w:val="16"/>
          <w:lang w:val="es-ES_tradnl"/>
        </w:rPr>
        <w:t>…</w:t>
      </w:r>
      <w:r>
        <w:rPr>
          <w:spacing w:val="-5"/>
          <w:sz w:val="16"/>
          <w:szCs w:val="16"/>
          <w:lang w:val="es-ES_tradnl"/>
        </w:rPr>
        <w:t>) se dispone el comiso definitivo</w:t>
      </w:r>
      <w:r>
        <w:rPr>
          <w:rFonts w:cs="Times New Roman"/>
          <w:spacing w:val="-5"/>
          <w:sz w:val="16"/>
          <w:szCs w:val="16"/>
          <w:lang w:val="es-ES_tradnl"/>
        </w:rPr>
        <w:t>…”</w:t>
      </w:r>
      <w:r>
        <w:rPr>
          <w:spacing w:val="-5"/>
          <w:sz w:val="16"/>
          <w:szCs w:val="16"/>
          <w:lang w:val="es-ES_tradnl"/>
        </w:rPr>
        <w:t>.</w:t>
      </w:r>
    </w:p>
    <w:p w14:paraId="4F67ACD1" w14:textId="77777777" w:rsidR="00591D54" w:rsidRDefault="00591D54">
      <w:pPr>
        <w:shd w:val="clear" w:color="auto" w:fill="FFFFFF"/>
        <w:spacing w:before="206" w:line="216" w:lineRule="exact"/>
        <w:ind w:left="283"/>
        <w:jc w:val="both"/>
        <w:sectPr w:rsidR="00591D54">
          <w:type w:val="continuous"/>
          <w:pgSz w:w="11909" w:h="16834"/>
          <w:pgMar w:top="1373" w:right="1299" w:bottom="360" w:left="1308" w:header="720" w:footer="720" w:gutter="0"/>
          <w:cols w:num="2" w:space="720" w:equalWidth="0">
            <w:col w:w="4305" w:space="682"/>
            <w:col w:w="4315"/>
          </w:cols>
          <w:noEndnote/>
        </w:sectPr>
      </w:pPr>
    </w:p>
    <w:p w14:paraId="4F67ACD2" w14:textId="77777777" w:rsidR="00591D54" w:rsidRDefault="00591D54">
      <w:pPr>
        <w:shd w:val="clear" w:color="auto" w:fill="FFFFFF"/>
        <w:tabs>
          <w:tab w:val="left" w:pos="4814"/>
        </w:tabs>
        <w:spacing w:after="226"/>
        <w:ind w:left="14"/>
      </w:pPr>
      <w:r>
        <w:rPr>
          <w:b/>
          <w:bCs/>
          <w:sz w:val="18"/>
          <w:szCs w:val="18"/>
          <w:lang w:val="es-ES_tradnl"/>
        </w:rPr>
        <w:t xml:space="preserve">114 -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CD3" w14:textId="77777777" w:rsidR="00591D54" w:rsidRDefault="00591D54">
      <w:pPr>
        <w:shd w:val="clear" w:color="auto" w:fill="FFFFFF"/>
        <w:tabs>
          <w:tab w:val="left" w:pos="4814"/>
        </w:tabs>
        <w:spacing w:after="226"/>
        <w:ind w:left="14"/>
        <w:sectPr w:rsidR="00591D54">
          <w:pgSz w:w="11909" w:h="16834"/>
          <w:pgMar w:top="1373" w:right="1309" w:bottom="360" w:left="1308" w:header="720" w:footer="720" w:gutter="0"/>
          <w:cols w:space="60"/>
          <w:noEndnote/>
        </w:sectPr>
      </w:pPr>
    </w:p>
    <w:p w14:paraId="4F67ACD4" w14:textId="77777777" w:rsidR="00591D54" w:rsidRDefault="00591D54">
      <w:pPr>
        <w:shd w:val="clear" w:color="auto" w:fill="FFFFFF"/>
        <w:spacing w:line="221" w:lineRule="exact"/>
        <w:ind w:left="283"/>
        <w:jc w:val="both"/>
      </w:pPr>
      <w:r>
        <w:rPr>
          <w:spacing w:val="-6"/>
          <w:sz w:val="16"/>
          <w:szCs w:val="16"/>
          <w:lang w:val="es-ES_tradnl"/>
        </w:rPr>
        <w:t>Por tanto, habi</w:t>
      </w:r>
      <w:r>
        <w:rPr>
          <w:rFonts w:cs="Times New Roman"/>
          <w:spacing w:val="-6"/>
          <w:sz w:val="16"/>
          <w:szCs w:val="16"/>
          <w:lang w:val="es-ES_tradnl"/>
        </w:rPr>
        <w:t>é</w:t>
      </w:r>
      <w:r>
        <w:rPr>
          <w:spacing w:val="-6"/>
          <w:sz w:val="16"/>
          <w:szCs w:val="16"/>
          <w:lang w:val="es-ES_tradnl"/>
        </w:rPr>
        <w:t xml:space="preserve">ndose dispuesto lo anterior, se vuelve en </w:t>
      </w:r>
      <w:r>
        <w:rPr>
          <w:spacing w:val="-9"/>
          <w:sz w:val="16"/>
          <w:szCs w:val="16"/>
          <w:lang w:val="es-ES_tradnl"/>
        </w:rPr>
        <w:t>improcedente y se rechaza el pedido formulado por los se</w:t>
      </w:r>
      <w:r>
        <w:rPr>
          <w:rFonts w:cs="Times New Roman"/>
          <w:spacing w:val="-9"/>
          <w:sz w:val="16"/>
          <w:szCs w:val="16"/>
          <w:lang w:val="es-ES_tradnl"/>
        </w:rPr>
        <w:t>ñ</w:t>
      </w:r>
      <w:r>
        <w:rPr>
          <w:spacing w:val="-9"/>
          <w:sz w:val="16"/>
          <w:szCs w:val="16"/>
          <w:lang w:val="es-ES_tradnl"/>
        </w:rPr>
        <w:t xml:space="preserve">ores </w:t>
      </w:r>
      <w:r>
        <w:rPr>
          <w:spacing w:val="-5"/>
          <w:sz w:val="16"/>
          <w:szCs w:val="16"/>
          <w:lang w:val="es-ES_tradnl"/>
        </w:rPr>
        <w:t>Jorge Vicente Chapiliquin Purisaga y Mar</w:t>
      </w:r>
      <w:r>
        <w:rPr>
          <w:rFonts w:cs="Times New Roman"/>
          <w:spacing w:val="-5"/>
          <w:sz w:val="16"/>
          <w:szCs w:val="16"/>
          <w:lang w:val="es-ES_tradnl"/>
        </w:rPr>
        <w:t>í</w:t>
      </w:r>
      <w:r>
        <w:rPr>
          <w:spacing w:val="-5"/>
          <w:sz w:val="16"/>
          <w:szCs w:val="16"/>
          <w:lang w:val="es-ES_tradnl"/>
        </w:rPr>
        <w:t>a Teresa Alc</w:t>
      </w:r>
      <w:r>
        <w:rPr>
          <w:rFonts w:cs="Times New Roman"/>
          <w:spacing w:val="-5"/>
          <w:sz w:val="16"/>
          <w:szCs w:val="16"/>
          <w:lang w:val="es-ES_tradnl"/>
        </w:rPr>
        <w:t>í</w:t>
      </w:r>
      <w:r>
        <w:rPr>
          <w:spacing w:val="-5"/>
          <w:sz w:val="16"/>
          <w:szCs w:val="16"/>
          <w:lang w:val="es-ES_tradnl"/>
        </w:rPr>
        <w:t xml:space="preserve">var </w:t>
      </w:r>
      <w:r>
        <w:rPr>
          <w:spacing w:val="-7"/>
          <w:sz w:val="16"/>
          <w:szCs w:val="16"/>
          <w:lang w:val="es-ES_tradnl"/>
        </w:rPr>
        <w:t xml:space="preserve">Mendoza, padres de los menores Jorge Vicente y Madeleine </w:t>
      </w:r>
      <w:r>
        <w:rPr>
          <w:spacing w:val="-6"/>
          <w:sz w:val="16"/>
          <w:szCs w:val="16"/>
          <w:lang w:val="es-ES_tradnl"/>
        </w:rPr>
        <w:t>Scarleth Chapiliquin Alc</w:t>
      </w:r>
      <w:r>
        <w:rPr>
          <w:rFonts w:cs="Times New Roman"/>
          <w:spacing w:val="-6"/>
          <w:sz w:val="16"/>
          <w:szCs w:val="16"/>
          <w:lang w:val="es-ES_tradnl"/>
        </w:rPr>
        <w:t>í</w:t>
      </w:r>
      <w:r>
        <w:rPr>
          <w:spacing w:val="-6"/>
          <w:sz w:val="16"/>
          <w:szCs w:val="16"/>
          <w:lang w:val="es-ES_tradnl"/>
        </w:rPr>
        <w:t>var, quienes prueban ser los titulares de dominio del bien inmueble dispuesto el comiso definitivo.-</w:t>
      </w:r>
      <w:r>
        <w:rPr>
          <w:b/>
          <w:bCs/>
          <w:spacing w:val="-3"/>
          <w:sz w:val="16"/>
          <w:szCs w:val="16"/>
          <w:lang w:val="es-ES_tradnl"/>
        </w:rPr>
        <w:t xml:space="preserve">2. </w:t>
      </w:r>
      <w:r>
        <w:rPr>
          <w:spacing w:val="-3"/>
          <w:sz w:val="16"/>
          <w:szCs w:val="16"/>
          <w:lang w:val="es-ES_tradnl"/>
        </w:rPr>
        <w:t xml:space="preserve">Igualmente, cuando </w:t>
      </w:r>
      <w:r>
        <w:rPr>
          <w:rFonts w:cs="Times New Roman"/>
          <w:spacing w:val="-3"/>
          <w:sz w:val="16"/>
          <w:szCs w:val="16"/>
          <w:lang w:val="es-ES_tradnl"/>
        </w:rPr>
        <w:t>é</w:t>
      </w:r>
      <w:r>
        <w:rPr>
          <w:spacing w:val="-3"/>
          <w:sz w:val="16"/>
          <w:szCs w:val="16"/>
          <w:lang w:val="es-ES_tradnl"/>
        </w:rPr>
        <w:t xml:space="preserve">ste </w:t>
      </w:r>
      <w:r>
        <w:rPr>
          <w:rFonts w:cs="Times New Roman"/>
          <w:spacing w:val="-3"/>
          <w:sz w:val="16"/>
          <w:szCs w:val="16"/>
          <w:lang w:val="es-ES_tradnl"/>
        </w:rPr>
        <w:t>ó</w:t>
      </w:r>
      <w:r>
        <w:rPr>
          <w:spacing w:val="-3"/>
          <w:sz w:val="16"/>
          <w:szCs w:val="16"/>
          <w:lang w:val="es-ES_tradnl"/>
        </w:rPr>
        <w:t xml:space="preserve">rgano jurisdiccional invoca en </w:t>
      </w:r>
      <w:r>
        <w:rPr>
          <w:spacing w:val="-4"/>
          <w:sz w:val="16"/>
          <w:szCs w:val="16"/>
          <w:lang w:val="es-ES_tradnl"/>
        </w:rPr>
        <w:t>la parte dispositiva el Art. 83 ib</w:t>
      </w:r>
      <w:r>
        <w:rPr>
          <w:rFonts w:cs="Times New Roman"/>
          <w:spacing w:val="-4"/>
          <w:sz w:val="16"/>
          <w:szCs w:val="16"/>
          <w:lang w:val="es-ES_tradnl"/>
        </w:rPr>
        <w:t>í</w:t>
      </w:r>
      <w:r>
        <w:rPr>
          <w:spacing w:val="-4"/>
          <w:sz w:val="16"/>
          <w:szCs w:val="16"/>
          <w:lang w:val="es-ES_tradnl"/>
        </w:rPr>
        <w:t xml:space="preserve">dem en el fallo de nuestra </w:t>
      </w:r>
      <w:r>
        <w:rPr>
          <w:spacing w:val="-9"/>
          <w:sz w:val="16"/>
          <w:szCs w:val="16"/>
          <w:lang w:val="es-ES_tradnl"/>
        </w:rPr>
        <w:t>atenci</w:t>
      </w:r>
      <w:r>
        <w:rPr>
          <w:rFonts w:cs="Times New Roman"/>
          <w:spacing w:val="-9"/>
          <w:sz w:val="16"/>
          <w:szCs w:val="16"/>
          <w:lang w:val="es-ES_tradnl"/>
        </w:rPr>
        <w:t>ó</w:t>
      </w:r>
      <w:r>
        <w:rPr>
          <w:spacing w:val="-9"/>
          <w:sz w:val="16"/>
          <w:szCs w:val="16"/>
          <w:lang w:val="es-ES_tradnl"/>
        </w:rPr>
        <w:t xml:space="preserve">n, la norma advierte </w:t>
      </w:r>
      <w:r>
        <w:rPr>
          <w:rFonts w:cs="Times New Roman"/>
          <w:spacing w:val="-9"/>
          <w:sz w:val="16"/>
          <w:szCs w:val="16"/>
          <w:lang w:val="es-ES_tradnl"/>
        </w:rPr>
        <w:t>“</w:t>
      </w:r>
      <w:r>
        <w:rPr>
          <w:spacing w:val="-9"/>
          <w:sz w:val="16"/>
          <w:szCs w:val="16"/>
          <w:lang w:val="es-ES_tradnl"/>
        </w:rPr>
        <w:t>Adem</w:t>
      </w:r>
      <w:r>
        <w:rPr>
          <w:rFonts w:cs="Times New Roman"/>
          <w:spacing w:val="-9"/>
          <w:sz w:val="16"/>
          <w:szCs w:val="16"/>
          <w:lang w:val="es-ES_tradnl"/>
        </w:rPr>
        <w:t>á</w:t>
      </w:r>
      <w:r>
        <w:rPr>
          <w:spacing w:val="-9"/>
          <w:sz w:val="16"/>
          <w:szCs w:val="16"/>
          <w:lang w:val="es-ES_tradnl"/>
        </w:rPr>
        <w:t xml:space="preserve">s de las penas establecidas </w:t>
      </w:r>
      <w:r>
        <w:rPr>
          <w:spacing w:val="-7"/>
          <w:sz w:val="16"/>
          <w:szCs w:val="16"/>
          <w:lang w:val="es-ES_tradnl"/>
        </w:rPr>
        <w:t>en este cap</w:t>
      </w:r>
      <w:r>
        <w:rPr>
          <w:rFonts w:cs="Times New Roman"/>
          <w:spacing w:val="-7"/>
          <w:sz w:val="16"/>
          <w:szCs w:val="16"/>
          <w:lang w:val="es-ES_tradnl"/>
        </w:rPr>
        <w:t>í</w:t>
      </w:r>
      <w:r>
        <w:rPr>
          <w:spacing w:val="-7"/>
          <w:sz w:val="16"/>
          <w:szCs w:val="16"/>
          <w:lang w:val="es-ES_tradnl"/>
        </w:rPr>
        <w:t>tulo, el juez dispondr</w:t>
      </w:r>
      <w:r>
        <w:rPr>
          <w:rFonts w:cs="Times New Roman"/>
          <w:spacing w:val="-7"/>
          <w:sz w:val="16"/>
          <w:szCs w:val="16"/>
          <w:lang w:val="es-ES_tradnl"/>
        </w:rPr>
        <w:t>á</w:t>
      </w:r>
      <w:r>
        <w:rPr>
          <w:spacing w:val="-7"/>
          <w:sz w:val="16"/>
          <w:szCs w:val="16"/>
          <w:lang w:val="es-ES_tradnl"/>
        </w:rPr>
        <w:t xml:space="preserve"> el comiso especial: </w:t>
      </w:r>
      <w:r>
        <w:rPr>
          <w:rFonts w:cs="Times New Roman"/>
          <w:spacing w:val="-7"/>
          <w:sz w:val="16"/>
          <w:szCs w:val="16"/>
          <w:lang w:val="es-ES_tradnl"/>
        </w:rPr>
        <w:t>…”</w:t>
      </w:r>
      <w:r>
        <w:rPr>
          <w:spacing w:val="-7"/>
          <w:sz w:val="16"/>
          <w:szCs w:val="16"/>
          <w:lang w:val="es-ES_tradnl"/>
        </w:rPr>
        <w:t xml:space="preserve"> y al referirse en la letra </w:t>
      </w:r>
      <w:r>
        <w:rPr>
          <w:rFonts w:cs="Times New Roman"/>
          <w:spacing w:val="-7"/>
          <w:sz w:val="16"/>
          <w:szCs w:val="16"/>
          <w:lang w:val="es-ES_tradnl"/>
        </w:rPr>
        <w:t>“</w:t>
      </w:r>
      <w:r>
        <w:rPr>
          <w:spacing w:val="-7"/>
          <w:sz w:val="16"/>
          <w:szCs w:val="16"/>
          <w:lang w:val="es-ES_tradnl"/>
        </w:rPr>
        <w:t>E</w:t>
      </w:r>
      <w:r>
        <w:rPr>
          <w:rFonts w:cs="Times New Roman"/>
          <w:spacing w:val="-7"/>
          <w:sz w:val="16"/>
          <w:szCs w:val="16"/>
          <w:lang w:val="es-ES_tradnl"/>
        </w:rPr>
        <w:t>”</w:t>
      </w:r>
      <w:r>
        <w:rPr>
          <w:spacing w:val="-7"/>
          <w:sz w:val="16"/>
          <w:szCs w:val="16"/>
          <w:lang w:val="es-ES_tradnl"/>
        </w:rPr>
        <w:t xml:space="preserve"> al predio ubicado en el Km. 13 [sic] y </w:t>
      </w:r>
      <w:r>
        <w:rPr>
          <w:rFonts w:cs="Times New Roman"/>
          <w:spacing w:val="-7"/>
          <w:sz w:val="16"/>
          <w:szCs w:val="16"/>
          <w:lang w:val="es-ES_tradnl"/>
        </w:rPr>
        <w:t xml:space="preserve">½ </w:t>
      </w:r>
      <w:r>
        <w:rPr>
          <w:spacing w:val="-9"/>
          <w:sz w:val="16"/>
          <w:szCs w:val="16"/>
          <w:lang w:val="es-ES_tradnl"/>
        </w:rPr>
        <w:t>de la v</w:t>
      </w:r>
      <w:r>
        <w:rPr>
          <w:rFonts w:cs="Times New Roman"/>
          <w:spacing w:val="-9"/>
          <w:sz w:val="16"/>
          <w:szCs w:val="16"/>
          <w:lang w:val="es-ES_tradnl"/>
        </w:rPr>
        <w:t>í</w:t>
      </w:r>
      <w:r>
        <w:rPr>
          <w:spacing w:val="-9"/>
          <w:sz w:val="16"/>
          <w:szCs w:val="16"/>
          <w:lang w:val="es-ES_tradnl"/>
        </w:rPr>
        <w:t xml:space="preserve">a Santo Domingo </w:t>
      </w:r>
      <w:r>
        <w:rPr>
          <w:rFonts w:cs="Times New Roman"/>
          <w:spacing w:val="-9"/>
          <w:sz w:val="16"/>
          <w:szCs w:val="16"/>
          <w:lang w:val="es-ES_tradnl"/>
        </w:rPr>
        <w:t>–</w:t>
      </w:r>
      <w:r>
        <w:rPr>
          <w:spacing w:val="-9"/>
          <w:sz w:val="16"/>
          <w:szCs w:val="16"/>
          <w:lang w:val="es-ES_tradnl"/>
        </w:rPr>
        <w:t>Quevedo, se refiere naturalmente al comiso definitivo, tanto m</w:t>
      </w:r>
      <w:r>
        <w:rPr>
          <w:rFonts w:cs="Times New Roman"/>
          <w:spacing w:val="-9"/>
          <w:sz w:val="16"/>
          <w:szCs w:val="16"/>
          <w:lang w:val="es-ES_tradnl"/>
        </w:rPr>
        <w:t>á</w:t>
      </w:r>
      <w:r>
        <w:rPr>
          <w:spacing w:val="-9"/>
          <w:sz w:val="16"/>
          <w:szCs w:val="16"/>
          <w:lang w:val="es-ES_tradnl"/>
        </w:rPr>
        <w:t>s que, en el antepen</w:t>
      </w:r>
      <w:r>
        <w:rPr>
          <w:rFonts w:cs="Times New Roman"/>
          <w:spacing w:val="-9"/>
          <w:sz w:val="16"/>
          <w:szCs w:val="16"/>
          <w:lang w:val="es-ES_tradnl"/>
        </w:rPr>
        <w:t>ú</w:t>
      </w:r>
      <w:r>
        <w:rPr>
          <w:spacing w:val="-9"/>
          <w:sz w:val="16"/>
          <w:szCs w:val="16"/>
          <w:lang w:val="es-ES_tradnl"/>
        </w:rPr>
        <w:t xml:space="preserve">ltimo apartado </w:t>
      </w:r>
      <w:r>
        <w:rPr>
          <w:spacing w:val="-5"/>
          <w:sz w:val="16"/>
          <w:szCs w:val="16"/>
          <w:lang w:val="es-ES_tradnl"/>
        </w:rPr>
        <w:t xml:space="preserve">del literal </w:t>
      </w:r>
      <w:r>
        <w:rPr>
          <w:rFonts w:cs="Times New Roman"/>
          <w:spacing w:val="-5"/>
          <w:sz w:val="16"/>
          <w:szCs w:val="16"/>
          <w:lang w:val="es-ES_tradnl"/>
        </w:rPr>
        <w:t>“</w:t>
      </w:r>
      <w:r>
        <w:rPr>
          <w:spacing w:val="-5"/>
          <w:sz w:val="16"/>
          <w:szCs w:val="16"/>
          <w:lang w:val="es-ES_tradnl"/>
        </w:rPr>
        <w:t>F</w:t>
      </w:r>
      <w:r>
        <w:rPr>
          <w:rFonts w:cs="Times New Roman"/>
          <w:spacing w:val="-5"/>
          <w:sz w:val="16"/>
          <w:szCs w:val="16"/>
          <w:lang w:val="es-ES_tradnl"/>
        </w:rPr>
        <w:t>”</w:t>
      </w:r>
      <w:r>
        <w:rPr>
          <w:spacing w:val="-5"/>
          <w:sz w:val="16"/>
          <w:szCs w:val="16"/>
          <w:lang w:val="es-ES_tradnl"/>
        </w:rPr>
        <w:t xml:space="preserve"> de la aludida parte dispositiva se dijo </w:t>
      </w:r>
      <w:r>
        <w:rPr>
          <w:rFonts w:cs="Times New Roman"/>
          <w:spacing w:val="-5"/>
          <w:sz w:val="16"/>
          <w:szCs w:val="16"/>
          <w:lang w:val="es-ES_tradnl"/>
        </w:rPr>
        <w:t>“…</w:t>
      </w:r>
      <w:r>
        <w:rPr>
          <w:spacing w:val="-5"/>
          <w:sz w:val="16"/>
          <w:szCs w:val="16"/>
          <w:lang w:val="es-ES_tradnl"/>
        </w:rPr>
        <w:t xml:space="preserve"> por lo que, de conformidad con los literales a) y c) del Art. 83 de la </w:t>
      </w:r>
      <w:r>
        <w:rPr>
          <w:spacing w:val="-8"/>
          <w:sz w:val="16"/>
          <w:szCs w:val="16"/>
          <w:lang w:val="es-ES_tradnl"/>
        </w:rPr>
        <w:t>Ley de Sustancias Estupefacientes y Psicotr</w:t>
      </w:r>
      <w:r>
        <w:rPr>
          <w:rFonts w:cs="Times New Roman"/>
          <w:spacing w:val="-8"/>
          <w:sz w:val="16"/>
          <w:szCs w:val="16"/>
          <w:lang w:val="es-ES_tradnl"/>
        </w:rPr>
        <w:t>ó</w:t>
      </w:r>
      <w:r>
        <w:rPr>
          <w:spacing w:val="-8"/>
          <w:sz w:val="16"/>
          <w:szCs w:val="16"/>
          <w:lang w:val="es-ES_tradnl"/>
        </w:rPr>
        <w:t xml:space="preserve">picas se dispone </w:t>
      </w:r>
      <w:r>
        <w:rPr>
          <w:spacing w:val="-7"/>
          <w:sz w:val="16"/>
          <w:szCs w:val="16"/>
          <w:lang w:val="es-ES_tradnl"/>
        </w:rPr>
        <w:t xml:space="preserve">el comiso definitivo y especial a favor del CONSEP conforme </w:t>
      </w:r>
      <w:r>
        <w:rPr>
          <w:spacing w:val="-4"/>
          <w:sz w:val="16"/>
          <w:szCs w:val="16"/>
          <w:lang w:val="es-ES_tradnl"/>
        </w:rPr>
        <w:t>el Art. 32 del Reglamento de Dep</w:t>
      </w:r>
      <w:r>
        <w:rPr>
          <w:rFonts w:cs="Times New Roman"/>
          <w:spacing w:val="-4"/>
          <w:sz w:val="16"/>
          <w:szCs w:val="16"/>
          <w:lang w:val="es-ES_tradnl"/>
        </w:rPr>
        <w:t>ó</w:t>
      </w:r>
      <w:r>
        <w:rPr>
          <w:spacing w:val="-4"/>
          <w:sz w:val="16"/>
          <w:szCs w:val="16"/>
          <w:lang w:val="es-ES_tradnl"/>
        </w:rPr>
        <w:t xml:space="preserve">sitos aprehendidos e </w:t>
      </w:r>
      <w:r>
        <w:rPr>
          <w:sz w:val="16"/>
          <w:szCs w:val="16"/>
          <w:lang w:val="es-ES_tradnl"/>
        </w:rPr>
        <w:t>incautado entregados al CONSEP</w:t>
      </w:r>
      <w:r>
        <w:rPr>
          <w:rFonts w:cs="Times New Roman"/>
          <w:sz w:val="16"/>
          <w:szCs w:val="16"/>
          <w:lang w:val="es-ES_tradnl"/>
        </w:rPr>
        <w:t>…</w:t>
      </w:r>
    </w:p>
    <w:p w14:paraId="4F67ACD5" w14:textId="77777777" w:rsidR="00591D54" w:rsidRDefault="00591D54">
      <w:pPr>
        <w:shd w:val="clear" w:color="auto" w:fill="FFFFFF"/>
        <w:spacing w:before="206"/>
      </w:pPr>
      <w:r>
        <w:rPr>
          <w:b/>
          <w:bCs/>
          <w:spacing w:val="-10"/>
          <w:sz w:val="18"/>
          <w:szCs w:val="18"/>
          <w:lang w:val="es-ES_tradnl"/>
        </w:rPr>
        <w:t>De la contestaci</w:t>
      </w:r>
      <w:r>
        <w:rPr>
          <w:rFonts w:cs="Times New Roman"/>
          <w:b/>
          <w:bCs/>
          <w:spacing w:val="-10"/>
          <w:sz w:val="18"/>
          <w:szCs w:val="18"/>
          <w:lang w:val="es-ES_tradnl"/>
        </w:rPr>
        <w:t>ó</w:t>
      </w:r>
      <w:r>
        <w:rPr>
          <w:b/>
          <w:bCs/>
          <w:spacing w:val="-10"/>
          <w:sz w:val="18"/>
          <w:szCs w:val="18"/>
          <w:lang w:val="es-ES_tradnl"/>
        </w:rPr>
        <w:t>n a la demanda</w:t>
      </w:r>
    </w:p>
    <w:p w14:paraId="4F67ACD6" w14:textId="77777777" w:rsidR="00591D54" w:rsidRDefault="00591D54">
      <w:pPr>
        <w:shd w:val="clear" w:color="auto" w:fill="FFFFFF"/>
        <w:spacing w:before="197"/>
      </w:pPr>
      <w:r>
        <w:rPr>
          <w:b/>
          <w:bCs/>
          <w:spacing w:val="-7"/>
          <w:sz w:val="18"/>
          <w:szCs w:val="18"/>
          <w:lang w:val="es-ES_tradnl"/>
        </w:rPr>
        <w:t>Procuradur</w:t>
      </w:r>
      <w:r>
        <w:rPr>
          <w:rFonts w:cs="Times New Roman"/>
          <w:b/>
          <w:bCs/>
          <w:spacing w:val="-7"/>
          <w:sz w:val="18"/>
          <w:szCs w:val="18"/>
          <w:lang w:val="es-ES_tradnl"/>
        </w:rPr>
        <w:t>í</w:t>
      </w:r>
      <w:r>
        <w:rPr>
          <w:b/>
          <w:bCs/>
          <w:spacing w:val="-7"/>
          <w:sz w:val="18"/>
          <w:szCs w:val="18"/>
          <w:lang w:val="es-ES_tradnl"/>
        </w:rPr>
        <w:t>a General del Estado</w:t>
      </w:r>
    </w:p>
    <w:p w14:paraId="4F67ACD7" w14:textId="77777777" w:rsidR="00591D54" w:rsidRDefault="00591D54">
      <w:pPr>
        <w:shd w:val="clear" w:color="auto" w:fill="FFFFFF"/>
        <w:spacing w:before="206" w:line="221" w:lineRule="exact"/>
        <w:ind w:right="5"/>
        <w:jc w:val="both"/>
      </w:pPr>
      <w:r>
        <w:rPr>
          <w:spacing w:val="-4"/>
          <w:sz w:val="18"/>
          <w:szCs w:val="18"/>
          <w:lang w:val="es-ES_tradnl"/>
        </w:rPr>
        <w:t xml:space="preserve">A foja 19 del expediente constitucional consta que el 23 </w:t>
      </w:r>
      <w:r>
        <w:rPr>
          <w:spacing w:val="-7"/>
          <w:sz w:val="18"/>
          <w:szCs w:val="18"/>
          <w:lang w:val="es-ES_tradnl"/>
        </w:rPr>
        <w:t>de septiembre de 2011, compareci</w:t>
      </w:r>
      <w:r>
        <w:rPr>
          <w:rFonts w:cs="Times New Roman"/>
          <w:spacing w:val="-7"/>
          <w:sz w:val="18"/>
          <w:szCs w:val="18"/>
          <w:lang w:val="es-ES_tradnl"/>
        </w:rPr>
        <w:t>ó</w:t>
      </w:r>
      <w:r>
        <w:rPr>
          <w:spacing w:val="-7"/>
          <w:sz w:val="18"/>
          <w:szCs w:val="18"/>
          <w:lang w:val="es-ES_tradnl"/>
        </w:rPr>
        <w:t xml:space="preserve"> el Ab. Marco Arteaga </w:t>
      </w:r>
      <w:r>
        <w:rPr>
          <w:spacing w:val="-3"/>
          <w:sz w:val="18"/>
          <w:szCs w:val="18"/>
          <w:lang w:val="es-ES_tradnl"/>
        </w:rPr>
        <w:t xml:space="preserve">Valenzuela, director nacional de Patrocinio y delegado </w:t>
      </w:r>
      <w:r>
        <w:rPr>
          <w:spacing w:val="-7"/>
          <w:sz w:val="18"/>
          <w:szCs w:val="18"/>
          <w:lang w:val="es-ES_tradnl"/>
        </w:rPr>
        <w:t>del procurador general del Estado, y manifest</w:t>
      </w:r>
      <w:r>
        <w:rPr>
          <w:rFonts w:cs="Times New Roman"/>
          <w:spacing w:val="-7"/>
          <w:sz w:val="18"/>
          <w:szCs w:val="18"/>
          <w:lang w:val="es-ES_tradnl"/>
        </w:rPr>
        <w:t>ó</w:t>
      </w:r>
      <w:r>
        <w:rPr>
          <w:spacing w:val="-7"/>
          <w:sz w:val="18"/>
          <w:szCs w:val="18"/>
          <w:lang w:val="es-ES_tradnl"/>
        </w:rPr>
        <w:t xml:space="preserve"> que les </w:t>
      </w:r>
      <w:r>
        <w:rPr>
          <w:spacing w:val="-9"/>
          <w:sz w:val="18"/>
          <w:szCs w:val="18"/>
          <w:lang w:val="es-ES_tradnl"/>
        </w:rPr>
        <w:t>corresponde a los jueces del Tribunal Primero de Garant</w:t>
      </w:r>
      <w:r>
        <w:rPr>
          <w:rFonts w:cs="Times New Roman"/>
          <w:spacing w:val="-9"/>
          <w:sz w:val="18"/>
          <w:szCs w:val="18"/>
          <w:lang w:val="es-ES_tradnl"/>
        </w:rPr>
        <w:t>í</w:t>
      </w:r>
      <w:r>
        <w:rPr>
          <w:spacing w:val="-9"/>
          <w:sz w:val="18"/>
          <w:szCs w:val="18"/>
          <w:lang w:val="es-ES_tradnl"/>
        </w:rPr>
        <w:t>as Penales de Santo Domingo de los Ts</w:t>
      </w:r>
      <w:r>
        <w:rPr>
          <w:rFonts w:cs="Times New Roman"/>
          <w:spacing w:val="-9"/>
          <w:sz w:val="18"/>
          <w:szCs w:val="18"/>
          <w:lang w:val="es-ES_tradnl"/>
        </w:rPr>
        <w:t>á</w:t>
      </w:r>
      <w:r>
        <w:rPr>
          <w:spacing w:val="-9"/>
          <w:sz w:val="18"/>
          <w:szCs w:val="18"/>
          <w:lang w:val="es-ES_tradnl"/>
        </w:rPr>
        <w:t xml:space="preserve">chilas, presentar los </w:t>
      </w:r>
      <w:r>
        <w:rPr>
          <w:sz w:val="18"/>
          <w:szCs w:val="18"/>
          <w:lang w:val="es-ES_tradnl"/>
        </w:rPr>
        <w:t>informes de descargo.</w:t>
      </w:r>
    </w:p>
    <w:p w14:paraId="4F67ACD8" w14:textId="77777777" w:rsidR="00591D54" w:rsidRDefault="00591D54">
      <w:pPr>
        <w:shd w:val="clear" w:color="auto" w:fill="FFFFFF"/>
        <w:spacing w:before="197" w:line="221" w:lineRule="exact"/>
        <w:ind w:right="5"/>
        <w:jc w:val="both"/>
      </w:pPr>
      <w:r>
        <w:rPr>
          <w:b/>
          <w:bCs/>
          <w:spacing w:val="-9"/>
          <w:sz w:val="18"/>
          <w:szCs w:val="18"/>
          <w:lang w:val="es-ES_tradnl"/>
        </w:rPr>
        <w:t xml:space="preserve">Legitimados Pasivos.- Presidente y jueces del Tribunal </w:t>
      </w:r>
      <w:r>
        <w:rPr>
          <w:b/>
          <w:bCs/>
          <w:spacing w:val="-10"/>
          <w:sz w:val="18"/>
          <w:szCs w:val="18"/>
          <w:lang w:val="es-ES_tradnl"/>
        </w:rPr>
        <w:t>Primero de Garant</w:t>
      </w:r>
      <w:r>
        <w:rPr>
          <w:rFonts w:cs="Times New Roman"/>
          <w:b/>
          <w:bCs/>
          <w:spacing w:val="-10"/>
          <w:sz w:val="18"/>
          <w:szCs w:val="18"/>
          <w:lang w:val="es-ES_tradnl"/>
        </w:rPr>
        <w:t>í</w:t>
      </w:r>
      <w:r>
        <w:rPr>
          <w:b/>
          <w:bCs/>
          <w:spacing w:val="-10"/>
          <w:sz w:val="18"/>
          <w:szCs w:val="18"/>
          <w:lang w:val="es-ES_tradnl"/>
        </w:rPr>
        <w:t xml:space="preserve">as Penales de Santo Domingo de los </w:t>
      </w:r>
      <w:r>
        <w:rPr>
          <w:b/>
          <w:bCs/>
          <w:sz w:val="18"/>
          <w:szCs w:val="18"/>
          <w:lang w:val="es-ES_tradnl"/>
        </w:rPr>
        <w:t>Ts</w:t>
      </w:r>
      <w:r>
        <w:rPr>
          <w:rFonts w:cs="Times New Roman"/>
          <w:b/>
          <w:bCs/>
          <w:sz w:val="18"/>
          <w:szCs w:val="18"/>
          <w:lang w:val="es-ES_tradnl"/>
        </w:rPr>
        <w:t>á</w:t>
      </w:r>
      <w:r>
        <w:rPr>
          <w:b/>
          <w:bCs/>
          <w:sz w:val="18"/>
          <w:szCs w:val="18"/>
          <w:lang w:val="es-ES_tradnl"/>
        </w:rPr>
        <w:t>chilas</w:t>
      </w:r>
    </w:p>
    <w:p w14:paraId="4F67ACD9" w14:textId="77777777" w:rsidR="00591D54" w:rsidRDefault="00591D54">
      <w:pPr>
        <w:shd w:val="clear" w:color="auto" w:fill="FFFFFF"/>
        <w:spacing w:before="202" w:line="221" w:lineRule="exact"/>
        <w:ind w:right="5"/>
        <w:jc w:val="both"/>
      </w:pPr>
      <w:r>
        <w:rPr>
          <w:spacing w:val="-8"/>
          <w:sz w:val="18"/>
          <w:szCs w:val="18"/>
          <w:lang w:val="es-ES_tradnl"/>
        </w:rPr>
        <w:t xml:space="preserve">El 29 de septiembre de 2011, comparecieron los doctores </w:t>
      </w:r>
      <w:r>
        <w:rPr>
          <w:spacing w:val="-5"/>
          <w:sz w:val="18"/>
          <w:szCs w:val="18"/>
          <w:lang w:val="es-ES_tradnl"/>
        </w:rPr>
        <w:t>Mario Carrillo Velarde, Elio Reinaldo S</w:t>
      </w:r>
      <w:r>
        <w:rPr>
          <w:rFonts w:cs="Times New Roman"/>
          <w:spacing w:val="-5"/>
          <w:sz w:val="18"/>
          <w:szCs w:val="18"/>
          <w:lang w:val="es-ES_tradnl"/>
        </w:rPr>
        <w:t>á</w:t>
      </w:r>
      <w:r>
        <w:rPr>
          <w:spacing w:val="-5"/>
          <w:sz w:val="18"/>
          <w:szCs w:val="18"/>
          <w:lang w:val="es-ES_tradnl"/>
        </w:rPr>
        <w:t>nchez Ram</w:t>
      </w:r>
      <w:r>
        <w:rPr>
          <w:rFonts w:cs="Times New Roman"/>
          <w:spacing w:val="-5"/>
          <w:sz w:val="18"/>
          <w:szCs w:val="18"/>
          <w:lang w:val="es-ES_tradnl"/>
        </w:rPr>
        <w:t>í</w:t>
      </w:r>
      <w:r>
        <w:rPr>
          <w:spacing w:val="-5"/>
          <w:sz w:val="18"/>
          <w:szCs w:val="18"/>
          <w:lang w:val="es-ES_tradnl"/>
        </w:rPr>
        <w:t xml:space="preserve">rez y </w:t>
      </w:r>
      <w:r>
        <w:rPr>
          <w:spacing w:val="-9"/>
          <w:sz w:val="18"/>
          <w:szCs w:val="18"/>
          <w:lang w:val="es-ES_tradnl"/>
        </w:rPr>
        <w:t>Oswaldo Liber Andrade Salazar, en calidad de presidente y jueces del Tribunal Primero de Garant</w:t>
      </w:r>
      <w:r>
        <w:rPr>
          <w:rFonts w:cs="Times New Roman"/>
          <w:spacing w:val="-9"/>
          <w:sz w:val="18"/>
          <w:szCs w:val="18"/>
          <w:lang w:val="es-ES_tradnl"/>
        </w:rPr>
        <w:t>í</w:t>
      </w:r>
      <w:r>
        <w:rPr>
          <w:spacing w:val="-9"/>
          <w:sz w:val="18"/>
          <w:szCs w:val="18"/>
          <w:lang w:val="es-ES_tradnl"/>
        </w:rPr>
        <w:t xml:space="preserve">as Penales de Santo </w:t>
      </w:r>
      <w:r>
        <w:rPr>
          <w:spacing w:val="-7"/>
          <w:sz w:val="18"/>
          <w:szCs w:val="18"/>
          <w:lang w:val="es-ES_tradnl"/>
        </w:rPr>
        <w:t>Domingo de los Ts</w:t>
      </w:r>
      <w:r>
        <w:rPr>
          <w:rFonts w:cs="Times New Roman"/>
          <w:spacing w:val="-7"/>
          <w:sz w:val="18"/>
          <w:szCs w:val="18"/>
          <w:lang w:val="es-ES_tradnl"/>
        </w:rPr>
        <w:t>á</w:t>
      </w:r>
      <w:r>
        <w:rPr>
          <w:spacing w:val="-7"/>
          <w:sz w:val="18"/>
          <w:szCs w:val="18"/>
          <w:lang w:val="es-ES_tradnl"/>
        </w:rPr>
        <w:t>chilas, quienes respecto a la acci</w:t>
      </w:r>
      <w:r>
        <w:rPr>
          <w:rFonts w:cs="Times New Roman"/>
          <w:spacing w:val="-7"/>
          <w:sz w:val="18"/>
          <w:szCs w:val="18"/>
          <w:lang w:val="es-ES_tradnl"/>
        </w:rPr>
        <w:t>ó</w:t>
      </w:r>
      <w:r>
        <w:rPr>
          <w:spacing w:val="-7"/>
          <w:sz w:val="18"/>
          <w:szCs w:val="18"/>
          <w:lang w:val="es-ES_tradnl"/>
        </w:rPr>
        <w:t xml:space="preserve">n </w:t>
      </w:r>
      <w:r>
        <w:rPr>
          <w:spacing w:val="-3"/>
          <w:sz w:val="18"/>
          <w:szCs w:val="18"/>
          <w:lang w:val="es-ES_tradnl"/>
        </w:rPr>
        <w:t>extraordinaria de protecci</w:t>
      </w:r>
      <w:r>
        <w:rPr>
          <w:rFonts w:cs="Times New Roman"/>
          <w:spacing w:val="-3"/>
          <w:sz w:val="18"/>
          <w:szCs w:val="18"/>
          <w:lang w:val="es-ES_tradnl"/>
        </w:rPr>
        <w:t>ó</w:t>
      </w:r>
      <w:r>
        <w:rPr>
          <w:spacing w:val="-3"/>
          <w:sz w:val="18"/>
          <w:szCs w:val="18"/>
          <w:lang w:val="es-ES_tradnl"/>
        </w:rPr>
        <w:t>n deducida por los se</w:t>
      </w:r>
      <w:r>
        <w:rPr>
          <w:rFonts w:cs="Times New Roman"/>
          <w:spacing w:val="-3"/>
          <w:sz w:val="18"/>
          <w:szCs w:val="18"/>
          <w:lang w:val="es-ES_tradnl"/>
        </w:rPr>
        <w:t>ñ</w:t>
      </w:r>
      <w:r>
        <w:rPr>
          <w:spacing w:val="-3"/>
          <w:sz w:val="18"/>
          <w:szCs w:val="18"/>
          <w:lang w:val="es-ES_tradnl"/>
        </w:rPr>
        <w:t xml:space="preserve">ores </w:t>
      </w:r>
      <w:r>
        <w:rPr>
          <w:spacing w:val="-7"/>
          <w:sz w:val="18"/>
          <w:szCs w:val="18"/>
          <w:lang w:val="es-ES_tradnl"/>
        </w:rPr>
        <w:t>Jorge Vicente Chapiliquin Purisaga y Mar</w:t>
      </w:r>
      <w:r>
        <w:rPr>
          <w:rFonts w:cs="Times New Roman"/>
          <w:spacing w:val="-7"/>
          <w:sz w:val="18"/>
          <w:szCs w:val="18"/>
          <w:lang w:val="es-ES_tradnl"/>
        </w:rPr>
        <w:t>í</w:t>
      </w:r>
      <w:r>
        <w:rPr>
          <w:spacing w:val="-7"/>
          <w:sz w:val="18"/>
          <w:szCs w:val="18"/>
          <w:lang w:val="es-ES_tradnl"/>
        </w:rPr>
        <w:t>a Teresa Alc</w:t>
      </w:r>
      <w:r>
        <w:rPr>
          <w:rFonts w:cs="Times New Roman"/>
          <w:spacing w:val="-7"/>
          <w:sz w:val="18"/>
          <w:szCs w:val="18"/>
          <w:lang w:val="es-ES_tradnl"/>
        </w:rPr>
        <w:t>í</w:t>
      </w:r>
      <w:r>
        <w:rPr>
          <w:spacing w:val="-7"/>
          <w:sz w:val="18"/>
          <w:szCs w:val="18"/>
          <w:lang w:val="es-ES_tradnl"/>
        </w:rPr>
        <w:t xml:space="preserve">var </w:t>
      </w:r>
      <w:r>
        <w:rPr>
          <w:spacing w:val="-8"/>
          <w:sz w:val="18"/>
          <w:szCs w:val="18"/>
          <w:lang w:val="es-ES_tradnl"/>
        </w:rPr>
        <w:t xml:space="preserve">Mendoza, en contra del auto del 30 de noviembre de 2010, </w:t>
      </w:r>
      <w:r>
        <w:rPr>
          <w:spacing w:val="-10"/>
          <w:sz w:val="18"/>
          <w:szCs w:val="18"/>
          <w:lang w:val="es-ES_tradnl"/>
        </w:rPr>
        <w:t xml:space="preserve">expresaron que lo que pueden informar es sobre la base del </w:t>
      </w:r>
      <w:r>
        <w:rPr>
          <w:spacing w:val="-6"/>
          <w:sz w:val="18"/>
          <w:szCs w:val="18"/>
          <w:lang w:val="es-ES_tradnl"/>
        </w:rPr>
        <w:t>respaldo inform</w:t>
      </w:r>
      <w:r>
        <w:rPr>
          <w:rFonts w:cs="Times New Roman"/>
          <w:spacing w:val="-6"/>
          <w:sz w:val="18"/>
          <w:szCs w:val="18"/>
          <w:lang w:val="es-ES_tradnl"/>
        </w:rPr>
        <w:t>á</w:t>
      </w:r>
      <w:r>
        <w:rPr>
          <w:spacing w:val="-6"/>
          <w:sz w:val="18"/>
          <w:szCs w:val="18"/>
          <w:lang w:val="es-ES_tradnl"/>
        </w:rPr>
        <w:t>tico que la Secretar</w:t>
      </w:r>
      <w:r>
        <w:rPr>
          <w:rFonts w:cs="Times New Roman"/>
          <w:spacing w:val="-6"/>
          <w:sz w:val="18"/>
          <w:szCs w:val="18"/>
          <w:lang w:val="es-ES_tradnl"/>
        </w:rPr>
        <w:t>í</w:t>
      </w:r>
      <w:r>
        <w:rPr>
          <w:spacing w:val="-6"/>
          <w:sz w:val="18"/>
          <w:szCs w:val="18"/>
          <w:lang w:val="es-ES_tradnl"/>
        </w:rPr>
        <w:t xml:space="preserve">a del Tribunal tiene </w:t>
      </w:r>
      <w:r>
        <w:rPr>
          <w:sz w:val="18"/>
          <w:szCs w:val="18"/>
          <w:lang w:val="es-ES_tradnl"/>
        </w:rPr>
        <w:t>sobre el caso.</w:t>
      </w:r>
    </w:p>
    <w:p w14:paraId="4F67ACDA" w14:textId="77777777" w:rsidR="00591D54" w:rsidRDefault="00591D54">
      <w:pPr>
        <w:shd w:val="clear" w:color="auto" w:fill="FFFFFF"/>
        <w:spacing w:before="202" w:line="221" w:lineRule="exact"/>
        <w:ind w:right="5"/>
        <w:jc w:val="both"/>
      </w:pPr>
      <w:r>
        <w:rPr>
          <w:spacing w:val="-5"/>
          <w:sz w:val="18"/>
          <w:szCs w:val="18"/>
          <w:lang w:val="es-ES_tradnl"/>
        </w:rPr>
        <w:t>Por tanto, se</w:t>
      </w:r>
      <w:r>
        <w:rPr>
          <w:rFonts w:cs="Times New Roman"/>
          <w:spacing w:val="-5"/>
          <w:sz w:val="18"/>
          <w:szCs w:val="18"/>
          <w:lang w:val="es-ES_tradnl"/>
        </w:rPr>
        <w:t>ñ</w:t>
      </w:r>
      <w:r>
        <w:rPr>
          <w:spacing w:val="-5"/>
          <w:sz w:val="18"/>
          <w:szCs w:val="18"/>
          <w:lang w:val="es-ES_tradnl"/>
        </w:rPr>
        <w:t>alan que el juicio fue signado con el N.</w:t>
      </w:r>
      <w:r>
        <w:rPr>
          <w:rFonts w:cs="Times New Roman"/>
          <w:spacing w:val="-5"/>
          <w:sz w:val="18"/>
          <w:szCs w:val="18"/>
          <w:lang w:val="es-ES_tradnl"/>
        </w:rPr>
        <w:t xml:space="preserve">° </w:t>
      </w:r>
      <w:r>
        <w:rPr>
          <w:spacing w:val="-7"/>
          <w:sz w:val="18"/>
          <w:szCs w:val="18"/>
          <w:lang w:val="es-ES_tradnl"/>
        </w:rPr>
        <w:t xml:space="preserve">102-2007-TQQPP-SDC, que fue resuelto por los jueces </w:t>
      </w:r>
      <w:r>
        <w:rPr>
          <w:spacing w:val="-5"/>
          <w:sz w:val="18"/>
          <w:szCs w:val="18"/>
          <w:lang w:val="es-ES_tradnl"/>
        </w:rPr>
        <w:t xml:space="preserve">Vinicio del Pozo Espinoza, presidente, y Marco Hinojosa </w:t>
      </w:r>
      <w:r>
        <w:rPr>
          <w:spacing w:val="-1"/>
          <w:sz w:val="18"/>
          <w:szCs w:val="18"/>
          <w:lang w:val="es-ES_tradnl"/>
        </w:rPr>
        <w:t xml:space="preserve">Pazos y Liber Andrade Salazar, jueces suplentes, </w:t>
      </w:r>
      <w:r>
        <w:rPr>
          <w:spacing w:val="-7"/>
          <w:sz w:val="18"/>
          <w:szCs w:val="18"/>
          <w:lang w:val="es-ES_tradnl"/>
        </w:rPr>
        <w:t xml:space="preserve">declarando culpables y responsables de delitos tipificados </w:t>
      </w:r>
      <w:r>
        <w:rPr>
          <w:spacing w:val="-8"/>
          <w:sz w:val="18"/>
          <w:szCs w:val="18"/>
          <w:lang w:val="es-ES_tradnl"/>
        </w:rPr>
        <w:t xml:space="preserve">y sancionados en la Ley de Sustancias Estupefacientes y </w:t>
      </w:r>
      <w:r>
        <w:rPr>
          <w:spacing w:val="-7"/>
          <w:sz w:val="18"/>
          <w:szCs w:val="18"/>
          <w:lang w:val="es-ES_tradnl"/>
        </w:rPr>
        <w:t>Psicotr</w:t>
      </w:r>
      <w:r>
        <w:rPr>
          <w:rFonts w:cs="Times New Roman"/>
          <w:spacing w:val="-7"/>
          <w:sz w:val="18"/>
          <w:szCs w:val="18"/>
          <w:lang w:val="es-ES_tradnl"/>
        </w:rPr>
        <w:t>ó</w:t>
      </w:r>
      <w:r>
        <w:rPr>
          <w:spacing w:val="-7"/>
          <w:sz w:val="18"/>
          <w:szCs w:val="18"/>
          <w:lang w:val="es-ES_tradnl"/>
        </w:rPr>
        <w:t>picas, a los se</w:t>
      </w:r>
      <w:r>
        <w:rPr>
          <w:rFonts w:cs="Times New Roman"/>
          <w:spacing w:val="-7"/>
          <w:sz w:val="18"/>
          <w:szCs w:val="18"/>
          <w:lang w:val="es-ES_tradnl"/>
        </w:rPr>
        <w:t>ñ</w:t>
      </w:r>
      <w:r>
        <w:rPr>
          <w:spacing w:val="-7"/>
          <w:sz w:val="18"/>
          <w:szCs w:val="18"/>
          <w:lang w:val="es-ES_tradnl"/>
        </w:rPr>
        <w:t>ores Efra</w:t>
      </w:r>
      <w:r>
        <w:rPr>
          <w:rFonts w:cs="Times New Roman"/>
          <w:spacing w:val="-7"/>
          <w:sz w:val="18"/>
          <w:szCs w:val="18"/>
          <w:lang w:val="es-ES_tradnl"/>
        </w:rPr>
        <w:t>í</w:t>
      </w:r>
      <w:r>
        <w:rPr>
          <w:spacing w:val="-7"/>
          <w:sz w:val="18"/>
          <w:szCs w:val="18"/>
          <w:lang w:val="es-ES_tradnl"/>
        </w:rPr>
        <w:t>n Cardona Gonz</w:t>
      </w:r>
      <w:r>
        <w:rPr>
          <w:rFonts w:cs="Times New Roman"/>
          <w:spacing w:val="-7"/>
          <w:sz w:val="18"/>
          <w:szCs w:val="18"/>
          <w:lang w:val="es-ES_tradnl"/>
        </w:rPr>
        <w:t>á</w:t>
      </w:r>
      <w:r>
        <w:rPr>
          <w:spacing w:val="-7"/>
          <w:sz w:val="18"/>
          <w:szCs w:val="18"/>
          <w:lang w:val="es-ES_tradnl"/>
        </w:rPr>
        <w:t xml:space="preserve">lez, </w:t>
      </w:r>
      <w:r>
        <w:rPr>
          <w:spacing w:val="-6"/>
          <w:sz w:val="18"/>
          <w:szCs w:val="18"/>
          <w:lang w:val="es-ES_tradnl"/>
        </w:rPr>
        <w:t>Bercelio Lomeling Chicue, Luis Carlos Pe</w:t>
      </w:r>
      <w:r>
        <w:rPr>
          <w:rFonts w:cs="Times New Roman"/>
          <w:spacing w:val="-6"/>
          <w:sz w:val="18"/>
          <w:szCs w:val="18"/>
          <w:lang w:val="es-ES_tradnl"/>
        </w:rPr>
        <w:t>ñ</w:t>
      </w:r>
      <w:r>
        <w:rPr>
          <w:spacing w:val="-6"/>
          <w:sz w:val="18"/>
          <w:szCs w:val="18"/>
          <w:lang w:val="es-ES_tradnl"/>
        </w:rPr>
        <w:t>a Rojas, Jos</w:t>
      </w:r>
      <w:r>
        <w:rPr>
          <w:rFonts w:cs="Times New Roman"/>
          <w:spacing w:val="-6"/>
          <w:sz w:val="18"/>
          <w:szCs w:val="18"/>
          <w:lang w:val="es-ES_tradnl"/>
        </w:rPr>
        <w:t xml:space="preserve">é </w:t>
      </w:r>
      <w:r>
        <w:rPr>
          <w:rFonts w:cs="Times New Roman"/>
          <w:spacing w:val="-8"/>
          <w:sz w:val="18"/>
          <w:szCs w:val="18"/>
          <w:lang w:val="es-ES_tradnl"/>
        </w:rPr>
        <w:t>Á</w:t>
      </w:r>
      <w:r>
        <w:rPr>
          <w:spacing w:val="-8"/>
          <w:sz w:val="18"/>
          <w:szCs w:val="18"/>
          <w:lang w:val="es-ES_tradnl"/>
        </w:rPr>
        <w:t>lvaro Acevedo Viera o Jos</w:t>
      </w:r>
      <w:r>
        <w:rPr>
          <w:rFonts w:cs="Times New Roman"/>
          <w:spacing w:val="-8"/>
          <w:sz w:val="18"/>
          <w:szCs w:val="18"/>
          <w:lang w:val="es-ES_tradnl"/>
        </w:rPr>
        <w:t>é</w:t>
      </w:r>
      <w:r>
        <w:rPr>
          <w:spacing w:val="-8"/>
          <w:sz w:val="18"/>
          <w:szCs w:val="18"/>
          <w:lang w:val="es-ES_tradnl"/>
        </w:rPr>
        <w:t xml:space="preserve"> </w:t>
      </w:r>
      <w:r>
        <w:rPr>
          <w:rFonts w:cs="Times New Roman"/>
          <w:spacing w:val="-8"/>
          <w:sz w:val="18"/>
          <w:szCs w:val="18"/>
          <w:lang w:val="es-ES_tradnl"/>
        </w:rPr>
        <w:t>Á</w:t>
      </w:r>
      <w:r>
        <w:rPr>
          <w:spacing w:val="-8"/>
          <w:sz w:val="18"/>
          <w:szCs w:val="18"/>
          <w:lang w:val="es-ES_tradnl"/>
        </w:rPr>
        <w:t xml:space="preserve">lvaro Acevedo Vera, Rafael </w:t>
      </w:r>
      <w:r>
        <w:rPr>
          <w:spacing w:val="-6"/>
          <w:sz w:val="18"/>
          <w:szCs w:val="18"/>
          <w:lang w:val="es-ES_tradnl"/>
        </w:rPr>
        <w:t>Antonio Cardona Gonz</w:t>
      </w:r>
      <w:r>
        <w:rPr>
          <w:rFonts w:cs="Times New Roman"/>
          <w:spacing w:val="-6"/>
          <w:sz w:val="18"/>
          <w:szCs w:val="18"/>
          <w:lang w:val="es-ES_tradnl"/>
        </w:rPr>
        <w:t>á</w:t>
      </w:r>
      <w:r>
        <w:rPr>
          <w:spacing w:val="-6"/>
          <w:sz w:val="18"/>
          <w:szCs w:val="18"/>
          <w:lang w:val="es-ES_tradnl"/>
        </w:rPr>
        <w:t>lez, Gonzalo Carnoda Guti</w:t>
      </w:r>
      <w:r>
        <w:rPr>
          <w:rFonts w:cs="Times New Roman"/>
          <w:spacing w:val="-6"/>
          <w:sz w:val="18"/>
          <w:szCs w:val="18"/>
          <w:lang w:val="es-ES_tradnl"/>
        </w:rPr>
        <w:t>é</w:t>
      </w:r>
      <w:r>
        <w:rPr>
          <w:spacing w:val="-6"/>
          <w:sz w:val="18"/>
          <w:szCs w:val="18"/>
          <w:lang w:val="es-ES_tradnl"/>
        </w:rPr>
        <w:t xml:space="preserve">rrez, </w:t>
      </w:r>
      <w:r>
        <w:rPr>
          <w:spacing w:val="-3"/>
          <w:sz w:val="18"/>
          <w:szCs w:val="18"/>
          <w:lang w:val="es-ES_tradnl"/>
        </w:rPr>
        <w:t>Jaime Lasso Rodr</w:t>
      </w:r>
      <w:r>
        <w:rPr>
          <w:rFonts w:cs="Times New Roman"/>
          <w:spacing w:val="-3"/>
          <w:sz w:val="18"/>
          <w:szCs w:val="18"/>
          <w:lang w:val="es-ES_tradnl"/>
        </w:rPr>
        <w:t>í</w:t>
      </w:r>
      <w:r>
        <w:rPr>
          <w:spacing w:val="-3"/>
          <w:sz w:val="18"/>
          <w:szCs w:val="18"/>
          <w:lang w:val="es-ES_tradnl"/>
        </w:rPr>
        <w:t xml:space="preserve">guez, Juan Carlos Sabando Miranda </w:t>
      </w:r>
      <w:r>
        <w:rPr>
          <w:spacing w:val="-6"/>
          <w:sz w:val="18"/>
          <w:szCs w:val="18"/>
          <w:lang w:val="es-ES_tradnl"/>
        </w:rPr>
        <w:t>y Ram</w:t>
      </w:r>
      <w:r>
        <w:rPr>
          <w:rFonts w:cs="Times New Roman"/>
          <w:spacing w:val="-6"/>
          <w:sz w:val="18"/>
          <w:szCs w:val="18"/>
          <w:lang w:val="es-ES_tradnl"/>
        </w:rPr>
        <w:t>ó</w:t>
      </w:r>
      <w:r>
        <w:rPr>
          <w:spacing w:val="-6"/>
          <w:sz w:val="18"/>
          <w:szCs w:val="18"/>
          <w:lang w:val="es-ES_tradnl"/>
        </w:rPr>
        <w:t>n Antonio Sabando Miranda, y respecto al se</w:t>
      </w:r>
      <w:r>
        <w:rPr>
          <w:rFonts w:cs="Times New Roman"/>
          <w:spacing w:val="-6"/>
          <w:sz w:val="18"/>
          <w:szCs w:val="18"/>
          <w:lang w:val="es-ES_tradnl"/>
        </w:rPr>
        <w:t>ñ</w:t>
      </w:r>
      <w:r>
        <w:rPr>
          <w:spacing w:val="-6"/>
          <w:sz w:val="18"/>
          <w:szCs w:val="18"/>
          <w:lang w:val="es-ES_tradnl"/>
        </w:rPr>
        <w:t xml:space="preserve">or </w:t>
      </w:r>
      <w:r>
        <w:rPr>
          <w:spacing w:val="-7"/>
          <w:sz w:val="18"/>
          <w:szCs w:val="18"/>
          <w:lang w:val="es-ES_tradnl"/>
        </w:rPr>
        <w:t>Arturo Aguilar, el mismo fue absuelto de todos los cargos.</w:t>
      </w:r>
    </w:p>
    <w:p w14:paraId="4F67ACDB" w14:textId="77777777" w:rsidR="00591D54" w:rsidRDefault="00591D54">
      <w:pPr>
        <w:shd w:val="clear" w:color="auto" w:fill="FFFFFF"/>
        <w:spacing w:before="5" w:line="216" w:lineRule="exact"/>
        <w:jc w:val="both"/>
      </w:pPr>
      <w:r>
        <w:br w:type="column"/>
      </w:r>
      <w:r>
        <w:rPr>
          <w:spacing w:val="-6"/>
          <w:sz w:val="18"/>
          <w:szCs w:val="18"/>
          <w:lang w:val="es-ES_tradnl"/>
        </w:rPr>
        <w:t>As</w:t>
      </w:r>
      <w:r>
        <w:rPr>
          <w:rFonts w:cs="Times New Roman"/>
          <w:spacing w:val="-6"/>
          <w:sz w:val="18"/>
          <w:szCs w:val="18"/>
          <w:lang w:val="es-ES_tradnl"/>
        </w:rPr>
        <w:t>í</w:t>
      </w:r>
      <w:r>
        <w:rPr>
          <w:spacing w:val="-6"/>
          <w:sz w:val="18"/>
          <w:szCs w:val="18"/>
          <w:lang w:val="es-ES_tradnl"/>
        </w:rPr>
        <w:t xml:space="preserve"> pues, respecto a los bienes, de conformidad con el </w:t>
      </w:r>
      <w:r>
        <w:rPr>
          <w:spacing w:val="-7"/>
          <w:sz w:val="18"/>
          <w:szCs w:val="18"/>
          <w:lang w:val="es-ES_tradnl"/>
        </w:rPr>
        <w:t>art</w:t>
      </w:r>
      <w:r>
        <w:rPr>
          <w:rFonts w:cs="Times New Roman"/>
          <w:spacing w:val="-7"/>
          <w:sz w:val="18"/>
          <w:szCs w:val="18"/>
          <w:lang w:val="es-ES_tradnl"/>
        </w:rPr>
        <w:t>í</w:t>
      </w:r>
      <w:r>
        <w:rPr>
          <w:spacing w:val="-7"/>
          <w:sz w:val="18"/>
          <w:szCs w:val="18"/>
          <w:lang w:val="es-ES_tradnl"/>
        </w:rPr>
        <w:t xml:space="preserve">culo 83 de la Ley de Sustancias Estupefacientes y </w:t>
      </w:r>
      <w:r>
        <w:rPr>
          <w:spacing w:val="-5"/>
          <w:sz w:val="18"/>
          <w:szCs w:val="18"/>
          <w:lang w:val="es-ES_tradnl"/>
        </w:rPr>
        <w:t>Psicotr</w:t>
      </w:r>
      <w:r>
        <w:rPr>
          <w:rFonts w:cs="Times New Roman"/>
          <w:spacing w:val="-5"/>
          <w:sz w:val="18"/>
          <w:szCs w:val="18"/>
          <w:lang w:val="es-ES_tradnl"/>
        </w:rPr>
        <w:t>ó</w:t>
      </w:r>
      <w:r>
        <w:rPr>
          <w:spacing w:val="-5"/>
          <w:sz w:val="18"/>
          <w:szCs w:val="18"/>
          <w:lang w:val="es-ES_tradnl"/>
        </w:rPr>
        <w:t xml:space="preserve">picas, se dispuso: </w:t>
      </w:r>
      <w:r>
        <w:rPr>
          <w:rFonts w:cs="Times New Roman"/>
          <w:spacing w:val="-5"/>
          <w:sz w:val="18"/>
          <w:szCs w:val="18"/>
          <w:lang w:val="es-ES_tradnl"/>
        </w:rPr>
        <w:t>“</w:t>
      </w:r>
      <w:r>
        <w:rPr>
          <w:b/>
          <w:bCs/>
          <w:spacing w:val="-5"/>
          <w:sz w:val="18"/>
          <w:szCs w:val="18"/>
          <w:lang w:val="es-ES_tradnl"/>
        </w:rPr>
        <w:t xml:space="preserve">C) </w:t>
      </w:r>
      <w:r>
        <w:rPr>
          <w:spacing w:val="-5"/>
          <w:sz w:val="18"/>
          <w:szCs w:val="18"/>
          <w:lang w:val="es-ES_tradnl"/>
        </w:rPr>
        <w:t xml:space="preserve">El inmueble ubicado en el </w:t>
      </w:r>
      <w:r>
        <w:rPr>
          <w:spacing w:val="-6"/>
          <w:sz w:val="18"/>
          <w:szCs w:val="18"/>
          <w:lang w:val="es-ES_tradnl"/>
        </w:rPr>
        <w:t>Km. 10 y 1/2 de la v</w:t>
      </w:r>
      <w:r>
        <w:rPr>
          <w:rFonts w:cs="Times New Roman"/>
          <w:spacing w:val="-6"/>
          <w:sz w:val="18"/>
          <w:szCs w:val="18"/>
          <w:lang w:val="es-ES_tradnl"/>
        </w:rPr>
        <w:t>í</w:t>
      </w:r>
      <w:r>
        <w:rPr>
          <w:spacing w:val="-6"/>
          <w:sz w:val="18"/>
          <w:szCs w:val="18"/>
          <w:lang w:val="es-ES_tradnl"/>
        </w:rPr>
        <w:t xml:space="preserve">a Santo Domingo-Quevedo, diagonal </w:t>
      </w:r>
      <w:r>
        <w:rPr>
          <w:spacing w:val="-7"/>
          <w:sz w:val="18"/>
          <w:szCs w:val="18"/>
          <w:lang w:val="es-ES_tradnl"/>
        </w:rPr>
        <w:t>a la Gasolinera Luz de Am</w:t>
      </w:r>
      <w:r>
        <w:rPr>
          <w:rFonts w:cs="Times New Roman"/>
          <w:spacing w:val="-7"/>
          <w:sz w:val="18"/>
          <w:szCs w:val="18"/>
          <w:lang w:val="es-ES_tradnl"/>
        </w:rPr>
        <w:t>é</w:t>
      </w:r>
      <w:r>
        <w:rPr>
          <w:spacing w:val="-7"/>
          <w:sz w:val="18"/>
          <w:szCs w:val="18"/>
          <w:lang w:val="es-ES_tradnl"/>
        </w:rPr>
        <w:t xml:space="preserve">rica, lugar donde los agentes </w:t>
      </w:r>
      <w:r>
        <w:rPr>
          <w:spacing w:val="-2"/>
          <w:sz w:val="18"/>
          <w:szCs w:val="18"/>
          <w:lang w:val="es-ES_tradnl"/>
        </w:rPr>
        <w:t>antinarc</w:t>
      </w:r>
      <w:r>
        <w:rPr>
          <w:rFonts w:cs="Times New Roman"/>
          <w:spacing w:val="-2"/>
          <w:sz w:val="18"/>
          <w:szCs w:val="18"/>
          <w:lang w:val="es-ES_tradnl"/>
        </w:rPr>
        <w:t>ó</w:t>
      </w:r>
      <w:r>
        <w:rPr>
          <w:spacing w:val="-2"/>
          <w:sz w:val="18"/>
          <w:szCs w:val="18"/>
          <w:lang w:val="es-ES_tradnl"/>
        </w:rPr>
        <w:t xml:space="preserve">ticos con el Agente Fiscal Vinicio Rosillo, </w:t>
      </w:r>
      <w:r>
        <w:rPr>
          <w:spacing w:val="-9"/>
          <w:sz w:val="18"/>
          <w:szCs w:val="18"/>
          <w:lang w:val="es-ES_tradnl"/>
        </w:rPr>
        <w:t>encontraron el cami</w:t>
      </w:r>
      <w:r>
        <w:rPr>
          <w:rFonts w:cs="Times New Roman"/>
          <w:spacing w:val="-9"/>
          <w:sz w:val="18"/>
          <w:szCs w:val="18"/>
          <w:lang w:val="es-ES_tradnl"/>
        </w:rPr>
        <w:t>ó</w:t>
      </w:r>
      <w:r>
        <w:rPr>
          <w:spacing w:val="-9"/>
          <w:sz w:val="18"/>
          <w:szCs w:val="18"/>
          <w:lang w:val="es-ES_tradnl"/>
        </w:rPr>
        <w:t xml:space="preserve">n marca Hino de placas POH-221 con </w:t>
      </w:r>
      <w:r>
        <w:rPr>
          <w:spacing w:val="-5"/>
          <w:sz w:val="18"/>
          <w:szCs w:val="18"/>
          <w:lang w:val="es-ES_tradnl"/>
        </w:rPr>
        <w:t>la droga incautada y el dinero enterrado, (</w:t>
      </w:r>
      <w:r>
        <w:rPr>
          <w:rFonts w:cs="Times New Roman"/>
          <w:spacing w:val="-5"/>
          <w:sz w:val="18"/>
          <w:szCs w:val="18"/>
          <w:lang w:val="es-ES_tradnl"/>
        </w:rPr>
        <w:t>…</w:t>
      </w:r>
      <w:r>
        <w:rPr>
          <w:spacing w:val="-5"/>
          <w:sz w:val="18"/>
          <w:szCs w:val="18"/>
          <w:lang w:val="es-ES_tradnl"/>
        </w:rPr>
        <w:t xml:space="preserve">) por lo que, </w:t>
      </w:r>
      <w:r>
        <w:rPr>
          <w:spacing w:val="-4"/>
          <w:sz w:val="18"/>
          <w:szCs w:val="18"/>
          <w:lang w:val="es-ES_tradnl"/>
        </w:rPr>
        <w:t xml:space="preserve">de conformidad con el literal b) del Art. 83 de la Ley de </w:t>
      </w:r>
      <w:r>
        <w:rPr>
          <w:spacing w:val="-8"/>
          <w:sz w:val="18"/>
          <w:szCs w:val="18"/>
          <w:lang w:val="es-ES_tradnl"/>
        </w:rPr>
        <w:t>Sustancias Estupefacientes y Psicotr</w:t>
      </w:r>
      <w:r>
        <w:rPr>
          <w:rFonts w:cs="Times New Roman"/>
          <w:spacing w:val="-8"/>
          <w:sz w:val="18"/>
          <w:szCs w:val="18"/>
          <w:lang w:val="es-ES_tradnl"/>
        </w:rPr>
        <w:t>ó</w:t>
      </w:r>
      <w:r>
        <w:rPr>
          <w:spacing w:val="-8"/>
          <w:sz w:val="18"/>
          <w:szCs w:val="18"/>
          <w:lang w:val="es-ES_tradnl"/>
        </w:rPr>
        <w:t xml:space="preserve">picas se dispone el comiso definitivo y especial a favor del CONSEP conforme </w:t>
      </w:r>
      <w:r>
        <w:rPr>
          <w:spacing w:val="-7"/>
          <w:sz w:val="18"/>
          <w:szCs w:val="18"/>
          <w:lang w:val="es-ES_tradnl"/>
        </w:rPr>
        <w:t>el Art. 32 del Reglamento de dep</w:t>
      </w:r>
      <w:r>
        <w:rPr>
          <w:rFonts w:cs="Times New Roman"/>
          <w:spacing w:val="-7"/>
          <w:sz w:val="18"/>
          <w:szCs w:val="18"/>
          <w:lang w:val="es-ES_tradnl"/>
        </w:rPr>
        <w:t>ó</w:t>
      </w:r>
      <w:r>
        <w:rPr>
          <w:spacing w:val="-7"/>
          <w:sz w:val="18"/>
          <w:szCs w:val="18"/>
          <w:lang w:val="es-ES_tradnl"/>
        </w:rPr>
        <w:t>sitos aprehendidos e incautados entregados al CONSEP</w:t>
      </w:r>
      <w:r>
        <w:rPr>
          <w:rFonts w:cs="Times New Roman"/>
          <w:spacing w:val="-7"/>
          <w:sz w:val="18"/>
          <w:szCs w:val="18"/>
          <w:lang w:val="es-ES_tradnl"/>
        </w:rPr>
        <w:t>…”</w:t>
      </w:r>
      <w:r>
        <w:rPr>
          <w:spacing w:val="-7"/>
          <w:sz w:val="18"/>
          <w:szCs w:val="18"/>
          <w:lang w:val="es-ES_tradnl"/>
        </w:rPr>
        <w:t xml:space="preserve">; inmueble del que </w:t>
      </w:r>
      <w:r>
        <w:rPr>
          <w:spacing w:val="-8"/>
          <w:sz w:val="18"/>
          <w:szCs w:val="18"/>
          <w:lang w:val="es-ES_tradnl"/>
        </w:rPr>
        <w:t xml:space="preserve">hoy los legitimados activos invocan su pertenencia y al que </w:t>
      </w:r>
      <w:r>
        <w:rPr>
          <w:spacing w:val="-9"/>
          <w:sz w:val="18"/>
          <w:szCs w:val="18"/>
          <w:lang w:val="es-ES_tradnl"/>
        </w:rPr>
        <w:t>procesalmente jam</w:t>
      </w:r>
      <w:r>
        <w:rPr>
          <w:rFonts w:cs="Times New Roman"/>
          <w:spacing w:val="-9"/>
          <w:sz w:val="18"/>
          <w:szCs w:val="18"/>
          <w:lang w:val="es-ES_tradnl"/>
        </w:rPr>
        <w:t>á</w:t>
      </w:r>
      <w:r>
        <w:rPr>
          <w:spacing w:val="-9"/>
          <w:sz w:val="18"/>
          <w:szCs w:val="18"/>
          <w:lang w:val="es-ES_tradnl"/>
        </w:rPr>
        <w:t>s se presentaron a reclamarlo.</w:t>
      </w:r>
    </w:p>
    <w:p w14:paraId="4F67ACDC" w14:textId="77777777" w:rsidR="00591D54" w:rsidRDefault="00591D54">
      <w:pPr>
        <w:shd w:val="clear" w:color="auto" w:fill="FFFFFF"/>
        <w:spacing w:before="192" w:line="216" w:lineRule="exact"/>
        <w:jc w:val="both"/>
      </w:pPr>
      <w:r>
        <w:rPr>
          <w:spacing w:val="-5"/>
          <w:sz w:val="18"/>
          <w:szCs w:val="18"/>
          <w:lang w:val="es-ES_tradnl"/>
        </w:rPr>
        <w:t xml:space="preserve">Ahora bien, de la sentencia emitida por el tribunal se </w:t>
      </w:r>
      <w:r>
        <w:rPr>
          <w:spacing w:val="-7"/>
          <w:sz w:val="18"/>
          <w:szCs w:val="18"/>
          <w:lang w:val="es-ES_tradnl"/>
        </w:rPr>
        <w:t>interpusieron los recursos de apelaci</w:t>
      </w:r>
      <w:r>
        <w:rPr>
          <w:rFonts w:cs="Times New Roman"/>
          <w:spacing w:val="-7"/>
          <w:sz w:val="18"/>
          <w:szCs w:val="18"/>
          <w:lang w:val="es-ES_tradnl"/>
        </w:rPr>
        <w:t>ó</w:t>
      </w:r>
      <w:r>
        <w:rPr>
          <w:spacing w:val="-7"/>
          <w:sz w:val="18"/>
          <w:szCs w:val="18"/>
          <w:lang w:val="es-ES_tradnl"/>
        </w:rPr>
        <w:t>n y casaci</w:t>
      </w:r>
      <w:r>
        <w:rPr>
          <w:rFonts w:cs="Times New Roman"/>
          <w:spacing w:val="-7"/>
          <w:sz w:val="18"/>
          <w:szCs w:val="18"/>
          <w:lang w:val="es-ES_tradnl"/>
        </w:rPr>
        <w:t>ó</w:t>
      </w:r>
      <w:r>
        <w:rPr>
          <w:spacing w:val="-7"/>
          <w:sz w:val="18"/>
          <w:szCs w:val="18"/>
          <w:lang w:val="es-ES_tradnl"/>
        </w:rPr>
        <w:t xml:space="preserve">n, que fueron conocidos en su orden por la Segunda Sala de lo </w:t>
      </w:r>
      <w:r>
        <w:rPr>
          <w:spacing w:val="-9"/>
          <w:sz w:val="18"/>
          <w:szCs w:val="18"/>
          <w:lang w:val="es-ES_tradnl"/>
        </w:rPr>
        <w:t xml:space="preserve">Penal de la ex Corte Superior de Justicia de Quito y Primera </w:t>
      </w:r>
      <w:r>
        <w:rPr>
          <w:spacing w:val="-7"/>
          <w:sz w:val="18"/>
          <w:szCs w:val="18"/>
          <w:lang w:val="es-ES_tradnl"/>
        </w:rPr>
        <w:t xml:space="preserve">Sala de lo Penal de la Corte Nacional de Justicia, la que </w:t>
      </w:r>
      <w:r>
        <w:rPr>
          <w:spacing w:val="-10"/>
          <w:sz w:val="18"/>
          <w:szCs w:val="18"/>
          <w:lang w:val="es-ES_tradnl"/>
        </w:rPr>
        <w:t>reform</w:t>
      </w:r>
      <w:r>
        <w:rPr>
          <w:rFonts w:cs="Times New Roman"/>
          <w:spacing w:val="-10"/>
          <w:sz w:val="18"/>
          <w:szCs w:val="18"/>
          <w:lang w:val="es-ES_tradnl"/>
        </w:rPr>
        <w:t>ó</w:t>
      </w:r>
      <w:r>
        <w:rPr>
          <w:spacing w:val="-10"/>
          <w:sz w:val="18"/>
          <w:szCs w:val="18"/>
          <w:lang w:val="es-ES_tradnl"/>
        </w:rPr>
        <w:t xml:space="preserve"> el fallo y orden</w:t>
      </w:r>
      <w:r>
        <w:rPr>
          <w:rFonts w:cs="Times New Roman"/>
          <w:spacing w:val="-10"/>
          <w:sz w:val="18"/>
          <w:szCs w:val="18"/>
          <w:lang w:val="es-ES_tradnl"/>
        </w:rPr>
        <w:t>ó</w:t>
      </w:r>
      <w:r>
        <w:rPr>
          <w:spacing w:val="-10"/>
          <w:sz w:val="18"/>
          <w:szCs w:val="18"/>
          <w:lang w:val="es-ES_tradnl"/>
        </w:rPr>
        <w:t xml:space="preserve"> la pena de cuatro a</w:t>
      </w:r>
      <w:r>
        <w:rPr>
          <w:rFonts w:cs="Times New Roman"/>
          <w:spacing w:val="-10"/>
          <w:sz w:val="18"/>
          <w:szCs w:val="18"/>
          <w:lang w:val="es-ES_tradnl"/>
        </w:rPr>
        <w:t>ñ</w:t>
      </w:r>
      <w:r>
        <w:rPr>
          <w:spacing w:val="-10"/>
          <w:sz w:val="18"/>
          <w:szCs w:val="18"/>
          <w:lang w:val="es-ES_tradnl"/>
        </w:rPr>
        <w:t>os de reclusi</w:t>
      </w:r>
      <w:r>
        <w:rPr>
          <w:rFonts w:cs="Times New Roman"/>
          <w:spacing w:val="-10"/>
          <w:sz w:val="18"/>
          <w:szCs w:val="18"/>
          <w:lang w:val="es-ES_tradnl"/>
        </w:rPr>
        <w:t>ó</w:t>
      </w:r>
      <w:r>
        <w:rPr>
          <w:spacing w:val="-10"/>
          <w:sz w:val="18"/>
          <w:szCs w:val="18"/>
          <w:lang w:val="es-ES_tradnl"/>
        </w:rPr>
        <w:t xml:space="preserve">n </w:t>
      </w:r>
      <w:r>
        <w:rPr>
          <w:spacing w:val="-6"/>
          <w:sz w:val="18"/>
          <w:szCs w:val="18"/>
          <w:lang w:val="es-ES_tradnl"/>
        </w:rPr>
        <w:t xml:space="preserve">mayor ordinaria en contra de los procesados Bercelio </w:t>
      </w:r>
      <w:r>
        <w:rPr>
          <w:spacing w:val="-8"/>
          <w:sz w:val="18"/>
          <w:szCs w:val="18"/>
          <w:lang w:val="es-ES_tradnl"/>
        </w:rPr>
        <w:t>Lomeling Chicue, Juan Carlos Rojas Pe</w:t>
      </w:r>
      <w:r>
        <w:rPr>
          <w:rFonts w:cs="Times New Roman"/>
          <w:spacing w:val="-8"/>
          <w:sz w:val="18"/>
          <w:szCs w:val="18"/>
          <w:lang w:val="es-ES_tradnl"/>
        </w:rPr>
        <w:t>ñ</w:t>
      </w:r>
      <w:r>
        <w:rPr>
          <w:spacing w:val="-8"/>
          <w:sz w:val="18"/>
          <w:szCs w:val="18"/>
          <w:lang w:val="es-ES_tradnl"/>
        </w:rPr>
        <w:t xml:space="preserve">a y Arturo Aguilar, </w:t>
      </w:r>
      <w:r>
        <w:rPr>
          <w:spacing w:val="-5"/>
          <w:sz w:val="18"/>
          <w:szCs w:val="18"/>
          <w:lang w:val="es-ES_tradnl"/>
        </w:rPr>
        <w:t>(</w:t>
      </w:r>
      <w:r>
        <w:rPr>
          <w:rFonts w:cs="Times New Roman"/>
          <w:spacing w:val="-5"/>
          <w:sz w:val="18"/>
          <w:szCs w:val="18"/>
          <w:lang w:val="es-ES_tradnl"/>
        </w:rPr>
        <w:t>ú</w:t>
      </w:r>
      <w:r>
        <w:rPr>
          <w:spacing w:val="-5"/>
          <w:sz w:val="18"/>
          <w:szCs w:val="18"/>
          <w:lang w:val="es-ES_tradnl"/>
        </w:rPr>
        <w:t>ltimo absuelto por el Tribunal), y en relaci</w:t>
      </w:r>
      <w:r>
        <w:rPr>
          <w:rFonts w:cs="Times New Roman"/>
          <w:spacing w:val="-5"/>
          <w:sz w:val="18"/>
          <w:szCs w:val="18"/>
          <w:lang w:val="es-ES_tradnl"/>
        </w:rPr>
        <w:t>ó</w:t>
      </w:r>
      <w:r>
        <w:rPr>
          <w:spacing w:val="-5"/>
          <w:sz w:val="18"/>
          <w:szCs w:val="18"/>
          <w:lang w:val="es-ES_tradnl"/>
        </w:rPr>
        <w:t xml:space="preserve">n al resto de </w:t>
      </w:r>
      <w:r>
        <w:rPr>
          <w:spacing w:val="-7"/>
          <w:sz w:val="18"/>
          <w:szCs w:val="18"/>
          <w:lang w:val="es-ES_tradnl"/>
        </w:rPr>
        <w:t>las decisiones de instancia, con relaci</w:t>
      </w:r>
      <w:r>
        <w:rPr>
          <w:rFonts w:cs="Times New Roman"/>
          <w:spacing w:val="-7"/>
          <w:sz w:val="18"/>
          <w:szCs w:val="18"/>
          <w:lang w:val="es-ES_tradnl"/>
        </w:rPr>
        <w:t>ó</w:t>
      </w:r>
      <w:r>
        <w:rPr>
          <w:spacing w:val="-7"/>
          <w:sz w:val="18"/>
          <w:szCs w:val="18"/>
          <w:lang w:val="es-ES_tradnl"/>
        </w:rPr>
        <w:t xml:space="preserve">n a los bienes, fue </w:t>
      </w:r>
      <w:r>
        <w:rPr>
          <w:sz w:val="18"/>
          <w:szCs w:val="18"/>
          <w:lang w:val="es-ES_tradnl"/>
        </w:rPr>
        <w:t>confirmado.</w:t>
      </w:r>
    </w:p>
    <w:p w14:paraId="4F67ACDD" w14:textId="77777777" w:rsidR="00591D54" w:rsidRDefault="00591D54">
      <w:pPr>
        <w:shd w:val="clear" w:color="auto" w:fill="FFFFFF"/>
        <w:spacing w:before="197" w:line="216" w:lineRule="exact"/>
        <w:jc w:val="both"/>
      </w:pPr>
      <w:r>
        <w:rPr>
          <w:spacing w:val="-10"/>
          <w:sz w:val="18"/>
          <w:szCs w:val="18"/>
          <w:lang w:val="es-ES_tradnl"/>
        </w:rPr>
        <w:t xml:space="preserve">Por tanto, ejecutoriadas las sentencias y devuelto el proceso </w:t>
      </w:r>
      <w:r>
        <w:rPr>
          <w:spacing w:val="-5"/>
          <w:sz w:val="18"/>
          <w:szCs w:val="18"/>
          <w:lang w:val="es-ES_tradnl"/>
        </w:rPr>
        <w:t>al tribunal, se expidi</w:t>
      </w:r>
      <w:r>
        <w:rPr>
          <w:rFonts w:cs="Times New Roman"/>
          <w:spacing w:val="-5"/>
          <w:sz w:val="18"/>
          <w:szCs w:val="18"/>
          <w:lang w:val="es-ES_tradnl"/>
        </w:rPr>
        <w:t>ó</w:t>
      </w:r>
      <w:r>
        <w:rPr>
          <w:spacing w:val="-5"/>
          <w:sz w:val="18"/>
          <w:szCs w:val="18"/>
          <w:lang w:val="es-ES_tradnl"/>
        </w:rPr>
        <w:t xml:space="preserve"> el decreto del 12 de noviembre de </w:t>
      </w:r>
      <w:r>
        <w:rPr>
          <w:spacing w:val="-7"/>
          <w:sz w:val="18"/>
          <w:szCs w:val="18"/>
          <w:lang w:val="es-ES_tradnl"/>
        </w:rPr>
        <w:t>2010, donde se avoc</w:t>
      </w:r>
      <w:r>
        <w:rPr>
          <w:rFonts w:cs="Times New Roman"/>
          <w:spacing w:val="-7"/>
          <w:sz w:val="18"/>
          <w:szCs w:val="18"/>
          <w:lang w:val="es-ES_tradnl"/>
        </w:rPr>
        <w:t>ó</w:t>
      </w:r>
      <w:r>
        <w:rPr>
          <w:spacing w:val="-7"/>
          <w:sz w:val="18"/>
          <w:szCs w:val="18"/>
          <w:lang w:val="es-ES_tradnl"/>
        </w:rPr>
        <w:t xml:space="preserve"> conocimiento de la causa, se puso </w:t>
      </w:r>
      <w:r>
        <w:rPr>
          <w:spacing w:val="-3"/>
          <w:sz w:val="18"/>
          <w:szCs w:val="18"/>
          <w:lang w:val="es-ES_tradnl"/>
        </w:rPr>
        <w:t>en conocimiento de las partes la recepci</w:t>
      </w:r>
      <w:r>
        <w:rPr>
          <w:rFonts w:cs="Times New Roman"/>
          <w:spacing w:val="-3"/>
          <w:sz w:val="18"/>
          <w:szCs w:val="18"/>
          <w:lang w:val="es-ES_tradnl"/>
        </w:rPr>
        <w:t>ó</w:t>
      </w:r>
      <w:r>
        <w:rPr>
          <w:spacing w:val="-3"/>
          <w:sz w:val="18"/>
          <w:szCs w:val="18"/>
          <w:lang w:val="es-ES_tradnl"/>
        </w:rPr>
        <w:t xml:space="preserve">n del proceso, </w:t>
      </w:r>
      <w:r>
        <w:rPr>
          <w:spacing w:val="-4"/>
          <w:sz w:val="18"/>
          <w:szCs w:val="18"/>
          <w:lang w:val="es-ES_tradnl"/>
        </w:rPr>
        <w:t>y tambi</w:t>
      </w:r>
      <w:r>
        <w:rPr>
          <w:rFonts w:cs="Times New Roman"/>
          <w:spacing w:val="-4"/>
          <w:sz w:val="18"/>
          <w:szCs w:val="18"/>
          <w:lang w:val="es-ES_tradnl"/>
        </w:rPr>
        <w:t>é</w:t>
      </w:r>
      <w:r>
        <w:rPr>
          <w:spacing w:val="-4"/>
          <w:sz w:val="18"/>
          <w:szCs w:val="18"/>
          <w:lang w:val="es-ES_tradnl"/>
        </w:rPr>
        <w:t>n se orden</w:t>
      </w:r>
      <w:r>
        <w:rPr>
          <w:rFonts w:cs="Times New Roman"/>
          <w:spacing w:val="-4"/>
          <w:sz w:val="18"/>
          <w:szCs w:val="18"/>
          <w:lang w:val="es-ES_tradnl"/>
        </w:rPr>
        <w:t>ó</w:t>
      </w:r>
      <w:r>
        <w:rPr>
          <w:spacing w:val="-4"/>
          <w:sz w:val="18"/>
          <w:szCs w:val="18"/>
          <w:lang w:val="es-ES_tradnl"/>
        </w:rPr>
        <w:t xml:space="preserve"> correr traslado al CONSEP, al </w:t>
      </w:r>
      <w:r>
        <w:rPr>
          <w:spacing w:val="-8"/>
          <w:sz w:val="18"/>
          <w:szCs w:val="18"/>
          <w:lang w:val="es-ES_tradnl"/>
        </w:rPr>
        <w:t>procurador general del Estado, a la Fiscal</w:t>
      </w:r>
      <w:r>
        <w:rPr>
          <w:rFonts w:cs="Times New Roman"/>
          <w:spacing w:val="-8"/>
          <w:sz w:val="18"/>
          <w:szCs w:val="18"/>
          <w:lang w:val="es-ES_tradnl"/>
        </w:rPr>
        <w:t>í</w:t>
      </w:r>
      <w:r>
        <w:rPr>
          <w:spacing w:val="-8"/>
          <w:sz w:val="18"/>
          <w:szCs w:val="18"/>
          <w:lang w:val="es-ES_tradnl"/>
        </w:rPr>
        <w:t>a y a los dem</w:t>
      </w:r>
      <w:r>
        <w:rPr>
          <w:rFonts w:cs="Times New Roman"/>
          <w:spacing w:val="-8"/>
          <w:sz w:val="18"/>
          <w:szCs w:val="18"/>
          <w:lang w:val="es-ES_tradnl"/>
        </w:rPr>
        <w:t>á</w:t>
      </w:r>
      <w:r>
        <w:rPr>
          <w:spacing w:val="-8"/>
          <w:sz w:val="18"/>
          <w:szCs w:val="18"/>
          <w:lang w:val="es-ES_tradnl"/>
        </w:rPr>
        <w:t xml:space="preserve">s </w:t>
      </w:r>
      <w:r>
        <w:rPr>
          <w:spacing w:val="-6"/>
          <w:sz w:val="18"/>
          <w:szCs w:val="18"/>
          <w:lang w:val="es-ES_tradnl"/>
        </w:rPr>
        <w:t>sujetos procesales, con el requerimiento de los se</w:t>
      </w:r>
      <w:r>
        <w:rPr>
          <w:rFonts w:cs="Times New Roman"/>
          <w:spacing w:val="-6"/>
          <w:sz w:val="18"/>
          <w:szCs w:val="18"/>
          <w:lang w:val="es-ES_tradnl"/>
        </w:rPr>
        <w:t>ñ</w:t>
      </w:r>
      <w:r>
        <w:rPr>
          <w:spacing w:val="-6"/>
          <w:sz w:val="18"/>
          <w:szCs w:val="18"/>
          <w:lang w:val="es-ES_tradnl"/>
        </w:rPr>
        <w:t xml:space="preserve">ores </w:t>
      </w:r>
      <w:r>
        <w:rPr>
          <w:spacing w:val="-7"/>
          <w:sz w:val="18"/>
          <w:szCs w:val="18"/>
          <w:lang w:val="es-ES_tradnl"/>
        </w:rPr>
        <w:t>Jorge Vicente Chapiliquin Purisaga y Mar</w:t>
      </w:r>
      <w:r>
        <w:rPr>
          <w:rFonts w:cs="Times New Roman"/>
          <w:spacing w:val="-7"/>
          <w:sz w:val="18"/>
          <w:szCs w:val="18"/>
          <w:lang w:val="es-ES_tradnl"/>
        </w:rPr>
        <w:t>í</w:t>
      </w:r>
      <w:r>
        <w:rPr>
          <w:spacing w:val="-7"/>
          <w:sz w:val="18"/>
          <w:szCs w:val="18"/>
          <w:lang w:val="es-ES_tradnl"/>
        </w:rPr>
        <w:t>a Teresa Alc</w:t>
      </w:r>
      <w:r>
        <w:rPr>
          <w:rFonts w:cs="Times New Roman"/>
          <w:spacing w:val="-7"/>
          <w:sz w:val="18"/>
          <w:szCs w:val="18"/>
          <w:lang w:val="es-ES_tradnl"/>
        </w:rPr>
        <w:t>í</w:t>
      </w:r>
      <w:r>
        <w:rPr>
          <w:spacing w:val="-7"/>
          <w:sz w:val="18"/>
          <w:szCs w:val="18"/>
          <w:lang w:val="es-ES_tradnl"/>
        </w:rPr>
        <w:t xml:space="preserve">var Mendoza, sobre la entrega del bien inmueble que fuera </w:t>
      </w:r>
      <w:r>
        <w:rPr>
          <w:sz w:val="18"/>
          <w:szCs w:val="18"/>
          <w:lang w:val="es-ES_tradnl"/>
        </w:rPr>
        <w:t>decomisado.</w:t>
      </w:r>
    </w:p>
    <w:p w14:paraId="4F67ACDE" w14:textId="77777777" w:rsidR="00591D54" w:rsidRDefault="00591D54">
      <w:pPr>
        <w:shd w:val="clear" w:color="auto" w:fill="FFFFFF"/>
        <w:spacing w:before="197" w:line="216" w:lineRule="exact"/>
        <w:jc w:val="both"/>
      </w:pPr>
      <w:r>
        <w:rPr>
          <w:spacing w:val="-12"/>
          <w:sz w:val="18"/>
          <w:szCs w:val="18"/>
          <w:lang w:val="es-ES_tradnl"/>
        </w:rPr>
        <w:t xml:space="preserve">Luego de que las partes se pronunciaran ante el pedido de los </w:t>
      </w:r>
      <w:r>
        <w:rPr>
          <w:spacing w:val="-6"/>
          <w:sz w:val="18"/>
          <w:szCs w:val="18"/>
          <w:lang w:val="es-ES_tradnl"/>
        </w:rPr>
        <w:t>ahora legitimados activos, el Tribunal emiti</w:t>
      </w:r>
      <w:r>
        <w:rPr>
          <w:rFonts w:cs="Times New Roman"/>
          <w:spacing w:val="-6"/>
          <w:sz w:val="18"/>
          <w:szCs w:val="18"/>
          <w:lang w:val="es-ES_tradnl"/>
        </w:rPr>
        <w:t>ó</w:t>
      </w:r>
      <w:r>
        <w:rPr>
          <w:spacing w:val="-6"/>
          <w:sz w:val="18"/>
          <w:szCs w:val="18"/>
          <w:lang w:val="es-ES_tradnl"/>
        </w:rPr>
        <w:t xml:space="preserve"> los autos del </w:t>
      </w:r>
      <w:r>
        <w:rPr>
          <w:spacing w:val="-9"/>
          <w:sz w:val="18"/>
          <w:szCs w:val="18"/>
          <w:lang w:val="es-ES_tradnl"/>
        </w:rPr>
        <w:t xml:space="preserve">30 de noviembre de 2010 y 5 de enero de 2011, materia de </w:t>
      </w:r>
      <w:r>
        <w:rPr>
          <w:spacing w:val="-7"/>
          <w:sz w:val="18"/>
          <w:szCs w:val="18"/>
          <w:lang w:val="es-ES_tradnl"/>
        </w:rPr>
        <w:t>la actual acci</w:t>
      </w:r>
      <w:r>
        <w:rPr>
          <w:rFonts w:cs="Times New Roman"/>
          <w:spacing w:val="-7"/>
          <w:sz w:val="18"/>
          <w:szCs w:val="18"/>
          <w:lang w:val="es-ES_tradnl"/>
        </w:rPr>
        <w:t>ó</w:t>
      </w:r>
      <w:r>
        <w:rPr>
          <w:spacing w:val="-7"/>
          <w:sz w:val="18"/>
          <w:szCs w:val="18"/>
          <w:lang w:val="es-ES_tradnl"/>
        </w:rPr>
        <w:t>n extraordinaria de protecci</w:t>
      </w:r>
      <w:r>
        <w:rPr>
          <w:rFonts w:cs="Times New Roman"/>
          <w:spacing w:val="-7"/>
          <w:sz w:val="18"/>
          <w:szCs w:val="18"/>
          <w:lang w:val="es-ES_tradnl"/>
        </w:rPr>
        <w:t>ó</w:t>
      </w:r>
      <w:r>
        <w:rPr>
          <w:spacing w:val="-7"/>
          <w:sz w:val="18"/>
          <w:szCs w:val="18"/>
          <w:lang w:val="es-ES_tradnl"/>
        </w:rPr>
        <w:t>n, decisi</w:t>
      </w:r>
      <w:r>
        <w:rPr>
          <w:rFonts w:cs="Times New Roman"/>
          <w:spacing w:val="-7"/>
          <w:sz w:val="18"/>
          <w:szCs w:val="18"/>
          <w:lang w:val="es-ES_tradnl"/>
        </w:rPr>
        <w:t>ó</w:t>
      </w:r>
      <w:r>
        <w:rPr>
          <w:spacing w:val="-7"/>
          <w:sz w:val="18"/>
          <w:szCs w:val="18"/>
          <w:lang w:val="es-ES_tradnl"/>
        </w:rPr>
        <w:t xml:space="preserve">n que </w:t>
      </w:r>
      <w:r>
        <w:rPr>
          <w:spacing w:val="-9"/>
          <w:sz w:val="18"/>
          <w:szCs w:val="18"/>
          <w:lang w:val="es-ES_tradnl"/>
        </w:rPr>
        <w:t>de ning</w:t>
      </w:r>
      <w:r>
        <w:rPr>
          <w:rFonts w:cs="Times New Roman"/>
          <w:spacing w:val="-9"/>
          <w:sz w:val="18"/>
          <w:szCs w:val="18"/>
          <w:lang w:val="es-ES_tradnl"/>
        </w:rPr>
        <w:t>ú</w:t>
      </w:r>
      <w:r>
        <w:rPr>
          <w:spacing w:val="-9"/>
          <w:sz w:val="18"/>
          <w:szCs w:val="18"/>
          <w:lang w:val="es-ES_tradnl"/>
        </w:rPr>
        <w:t>n modo pod</w:t>
      </w:r>
      <w:r>
        <w:rPr>
          <w:rFonts w:cs="Times New Roman"/>
          <w:spacing w:val="-9"/>
          <w:sz w:val="18"/>
          <w:szCs w:val="18"/>
          <w:lang w:val="es-ES_tradnl"/>
        </w:rPr>
        <w:t>í</w:t>
      </w:r>
      <w:r>
        <w:rPr>
          <w:spacing w:val="-9"/>
          <w:sz w:val="18"/>
          <w:szCs w:val="18"/>
          <w:lang w:val="es-ES_tradnl"/>
        </w:rPr>
        <w:t xml:space="preserve">a ser revocada, alterada o modificada </w:t>
      </w:r>
      <w:r>
        <w:rPr>
          <w:spacing w:val="-6"/>
          <w:sz w:val="18"/>
          <w:szCs w:val="18"/>
          <w:lang w:val="es-ES_tradnl"/>
        </w:rPr>
        <w:t xml:space="preserve">por los suscritos, debido a que las sentencias emitidas en </w:t>
      </w:r>
      <w:r>
        <w:rPr>
          <w:spacing w:val="-8"/>
          <w:sz w:val="18"/>
          <w:szCs w:val="18"/>
          <w:lang w:val="es-ES_tradnl"/>
        </w:rPr>
        <w:t xml:space="preserve">la causa llevada a cabo, se encuentran ejecutoriadas en </w:t>
      </w:r>
      <w:r>
        <w:rPr>
          <w:sz w:val="18"/>
          <w:szCs w:val="18"/>
          <w:lang w:val="es-ES_tradnl"/>
        </w:rPr>
        <w:t>materia de bienes.</w:t>
      </w:r>
    </w:p>
    <w:p w14:paraId="4F67ACDF" w14:textId="77777777" w:rsidR="00591D54" w:rsidRDefault="00591D54">
      <w:pPr>
        <w:shd w:val="clear" w:color="auto" w:fill="FFFFFF"/>
        <w:spacing w:before="197" w:line="216" w:lineRule="exact"/>
        <w:jc w:val="both"/>
      </w:pPr>
      <w:r>
        <w:rPr>
          <w:spacing w:val="-8"/>
          <w:sz w:val="18"/>
          <w:szCs w:val="18"/>
          <w:lang w:val="es-ES_tradnl"/>
        </w:rPr>
        <w:t>En tal virtud, de conformidad con el art</w:t>
      </w:r>
      <w:r>
        <w:rPr>
          <w:rFonts w:cs="Times New Roman"/>
          <w:spacing w:val="-8"/>
          <w:sz w:val="18"/>
          <w:szCs w:val="18"/>
          <w:lang w:val="es-ES_tradnl"/>
        </w:rPr>
        <w:t>í</w:t>
      </w:r>
      <w:r>
        <w:rPr>
          <w:spacing w:val="-8"/>
          <w:sz w:val="18"/>
          <w:szCs w:val="18"/>
          <w:lang w:val="es-ES_tradnl"/>
        </w:rPr>
        <w:t>culo 295 del C</w:t>
      </w:r>
      <w:r>
        <w:rPr>
          <w:rFonts w:cs="Times New Roman"/>
          <w:spacing w:val="-8"/>
          <w:sz w:val="18"/>
          <w:szCs w:val="18"/>
          <w:lang w:val="es-ES_tradnl"/>
        </w:rPr>
        <w:t>ó</w:t>
      </w:r>
      <w:r>
        <w:rPr>
          <w:spacing w:val="-8"/>
          <w:sz w:val="18"/>
          <w:szCs w:val="18"/>
          <w:lang w:val="es-ES_tradnl"/>
        </w:rPr>
        <w:t xml:space="preserve">digo </w:t>
      </w:r>
      <w:r>
        <w:rPr>
          <w:spacing w:val="-3"/>
          <w:sz w:val="18"/>
          <w:szCs w:val="18"/>
          <w:lang w:val="es-ES_tradnl"/>
        </w:rPr>
        <w:t>de Procedimiento Civil, norma supletoria del C</w:t>
      </w:r>
      <w:r>
        <w:rPr>
          <w:rFonts w:cs="Times New Roman"/>
          <w:spacing w:val="-3"/>
          <w:sz w:val="18"/>
          <w:szCs w:val="18"/>
          <w:lang w:val="es-ES_tradnl"/>
        </w:rPr>
        <w:t>ó</w:t>
      </w:r>
      <w:r>
        <w:rPr>
          <w:spacing w:val="-3"/>
          <w:sz w:val="18"/>
          <w:szCs w:val="18"/>
          <w:lang w:val="es-ES_tradnl"/>
        </w:rPr>
        <w:t xml:space="preserve">digo </w:t>
      </w:r>
      <w:r>
        <w:rPr>
          <w:spacing w:val="-8"/>
          <w:sz w:val="18"/>
          <w:szCs w:val="18"/>
          <w:lang w:val="es-ES_tradnl"/>
        </w:rPr>
        <w:t>Adjetivo Penal seg</w:t>
      </w:r>
      <w:r>
        <w:rPr>
          <w:rFonts w:cs="Times New Roman"/>
          <w:spacing w:val="-8"/>
          <w:sz w:val="18"/>
          <w:szCs w:val="18"/>
          <w:lang w:val="es-ES_tradnl"/>
        </w:rPr>
        <w:t>ú</w:t>
      </w:r>
      <w:r>
        <w:rPr>
          <w:spacing w:val="-8"/>
          <w:sz w:val="18"/>
          <w:szCs w:val="18"/>
          <w:lang w:val="es-ES_tradnl"/>
        </w:rPr>
        <w:t>n su disposici</w:t>
      </w:r>
      <w:r>
        <w:rPr>
          <w:rFonts w:cs="Times New Roman"/>
          <w:spacing w:val="-8"/>
          <w:sz w:val="18"/>
          <w:szCs w:val="18"/>
          <w:lang w:val="es-ES_tradnl"/>
        </w:rPr>
        <w:t>ó</w:t>
      </w:r>
      <w:r>
        <w:rPr>
          <w:spacing w:val="-8"/>
          <w:sz w:val="18"/>
          <w:szCs w:val="18"/>
          <w:lang w:val="es-ES_tradnl"/>
        </w:rPr>
        <w:t xml:space="preserve">n general segunda, que advierte que </w:t>
      </w:r>
      <w:r>
        <w:rPr>
          <w:rFonts w:cs="Times New Roman"/>
          <w:spacing w:val="-8"/>
          <w:sz w:val="18"/>
          <w:szCs w:val="18"/>
          <w:lang w:val="es-ES_tradnl"/>
        </w:rPr>
        <w:t>“</w:t>
      </w:r>
      <w:r>
        <w:rPr>
          <w:spacing w:val="-8"/>
          <w:sz w:val="18"/>
          <w:szCs w:val="18"/>
          <w:lang w:val="es-ES_tradnl"/>
        </w:rPr>
        <w:t xml:space="preserve">La sentencia ejecutoriada no puede alterarse </w:t>
      </w:r>
      <w:r>
        <w:rPr>
          <w:spacing w:val="-6"/>
          <w:sz w:val="18"/>
          <w:szCs w:val="18"/>
          <w:lang w:val="es-ES_tradnl"/>
        </w:rPr>
        <w:t>en ninguna de sus partes, ni por ninguna causa...</w:t>
      </w:r>
      <w:r>
        <w:rPr>
          <w:rFonts w:cs="Times New Roman"/>
          <w:spacing w:val="-6"/>
          <w:sz w:val="18"/>
          <w:szCs w:val="18"/>
          <w:lang w:val="es-ES_tradnl"/>
        </w:rPr>
        <w:t>”</w:t>
      </w:r>
      <w:r>
        <w:rPr>
          <w:spacing w:val="-6"/>
          <w:sz w:val="18"/>
          <w:szCs w:val="18"/>
          <w:lang w:val="es-ES_tradnl"/>
        </w:rPr>
        <w:t xml:space="preserve">, no se </w:t>
      </w:r>
      <w:r>
        <w:rPr>
          <w:spacing w:val="-7"/>
          <w:sz w:val="18"/>
          <w:szCs w:val="18"/>
          <w:lang w:val="es-ES_tradnl"/>
        </w:rPr>
        <w:t xml:space="preserve">puede alterar el contenido de la sentencia, en estricta </w:t>
      </w:r>
      <w:r>
        <w:rPr>
          <w:spacing w:val="-8"/>
          <w:sz w:val="18"/>
          <w:szCs w:val="18"/>
          <w:lang w:val="es-ES_tradnl"/>
        </w:rPr>
        <w:t>observancia al derecho a la seguridad jur</w:t>
      </w:r>
      <w:r>
        <w:rPr>
          <w:rFonts w:cs="Times New Roman"/>
          <w:spacing w:val="-8"/>
          <w:sz w:val="18"/>
          <w:szCs w:val="18"/>
          <w:lang w:val="es-ES_tradnl"/>
        </w:rPr>
        <w:t>í</w:t>
      </w:r>
      <w:r>
        <w:rPr>
          <w:spacing w:val="-8"/>
          <w:sz w:val="18"/>
          <w:szCs w:val="18"/>
          <w:lang w:val="es-ES_tradnl"/>
        </w:rPr>
        <w:t xml:space="preserve">dica, establecido </w:t>
      </w:r>
      <w:r>
        <w:rPr>
          <w:spacing w:val="-6"/>
          <w:sz w:val="18"/>
          <w:szCs w:val="18"/>
          <w:lang w:val="es-ES_tradnl"/>
        </w:rPr>
        <w:t>en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del Ecuador, porque lo </w:t>
      </w:r>
      <w:r>
        <w:rPr>
          <w:spacing w:val="-7"/>
          <w:sz w:val="18"/>
          <w:szCs w:val="18"/>
          <w:lang w:val="es-ES_tradnl"/>
        </w:rPr>
        <w:t>contrario podr</w:t>
      </w:r>
      <w:r>
        <w:rPr>
          <w:rFonts w:cs="Times New Roman"/>
          <w:spacing w:val="-7"/>
          <w:sz w:val="18"/>
          <w:szCs w:val="18"/>
          <w:lang w:val="es-ES_tradnl"/>
        </w:rPr>
        <w:t>í</w:t>
      </w:r>
      <w:r>
        <w:rPr>
          <w:spacing w:val="-7"/>
          <w:sz w:val="18"/>
          <w:szCs w:val="18"/>
          <w:lang w:val="es-ES_tradnl"/>
        </w:rPr>
        <w:t>a generar un presunto il</w:t>
      </w:r>
      <w:r>
        <w:rPr>
          <w:rFonts w:cs="Times New Roman"/>
          <w:spacing w:val="-7"/>
          <w:sz w:val="18"/>
          <w:szCs w:val="18"/>
          <w:lang w:val="es-ES_tradnl"/>
        </w:rPr>
        <w:t>í</w:t>
      </w:r>
      <w:r>
        <w:rPr>
          <w:spacing w:val="-7"/>
          <w:sz w:val="18"/>
          <w:szCs w:val="18"/>
          <w:lang w:val="es-ES_tradnl"/>
        </w:rPr>
        <w:t>cito de prevaricato.</w:t>
      </w:r>
    </w:p>
    <w:p w14:paraId="4F67ACE0" w14:textId="77777777" w:rsidR="00591D54" w:rsidRDefault="00591D54">
      <w:pPr>
        <w:shd w:val="clear" w:color="auto" w:fill="FFFFFF"/>
        <w:spacing w:before="197" w:line="216" w:lineRule="exact"/>
        <w:jc w:val="both"/>
      </w:pPr>
      <w:r>
        <w:rPr>
          <w:spacing w:val="-6"/>
          <w:sz w:val="18"/>
          <w:szCs w:val="18"/>
          <w:lang w:val="es-ES_tradnl"/>
        </w:rPr>
        <w:t xml:space="preserve">Por todo lo expuesto y por cuanto sus actuaciones se </w:t>
      </w:r>
      <w:r>
        <w:rPr>
          <w:spacing w:val="-5"/>
          <w:sz w:val="18"/>
          <w:szCs w:val="18"/>
          <w:lang w:val="es-ES_tradnl"/>
        </w:rPr>
        <w:t>ajustaron a los par</w:t>
      </w:r>
      <w:r>
        <w:rPr>
          <w:rFonts w:cs="Times New Roman"/>
          <w:spacing w:val="-5"/>
          <w:sz w:val="18"/>
          <w:szCs w:val="18"/>
          <w:lang w:val="es-ES_tradnl"/>
        </w:rPr>
        <w:t>á</w:t>
      </w:r>
      <w:r>
        <w:rPr>
          <w:spacing w:val="-5"/>
          <w:sz w:val="18"/>
          <w:szCs w:val="18"/>
          <w:lang w:val="es-ES_tradnl"/>
        </w:rPr>
        <w:t xml:space="preserve">metros constitucionales y legales </w:t>
      </w:r>
      <w:r>
        <w:rPr>
          <w:spacing w:val="-4"/>
          <w:sz w:val="18"/>
          <w:szCs w:val="18"/>
          <w:lang w:val="es-ES_tradnl"/>
        </w:rPr>
        <w:t xml:space="preserve">vigentes, y desde esa </w:t>
      </w:r>
      <w:r>
        <w:rPr>
          <w:rFonts w:cs="Times New Roman"/>
          <w:spacing w:val="-4"/>
          <w:sz w:val="18"/>
          <w:szCs w:val="18"/>
          <w:lang w:val="es-ES_tradnl"/>
        </w:rPr>
        <w:t>ó</w:t>
      </w:r>
      <w:r>
        <w:rPr>
          <w:spacing w:val="-4"/>
          <w:sz w:val="18"/>
          <w:szCs w:val="18"/>
          <w:lang w:val="es-ES_tradnl"/>
        </w:rPr>
        <w:t>ptica no procede la acci</w:t>
      </w:r>
      <w:r>
        <w:rPr>
          <w:rFonts w:cs="Times New Roman"/>
          <w:spacing w:val="-4"/>
          <w:sz w:val="18"/>
          <w:szCs w:val="18"/>
          <w:lang w:val="es-ES_tradnl"/>
        </w:rPr>
        <w:t>ó</w:t>
      </w:r>
      <w:r>
        <w:rPr>
          <w:spacing w:val="-4"/>
          <w:sz w:val="18"/>
          <w:szCs w:val="18"/>
          <w:lang w:val="es-ES_tradnl"/>
        </w:rPr>
        <w:t xml:space="preserve">n </w:t>
      </w:r>
      <w:r>
        <w:rPr>
          <w:spacing w:val="-7"/>
          <w:sz w:val="18"/>
          <w:szCs w:val="18"/>
          <w:lang w:val="es-ES_tradnl"/>
        </w:rPr>
        <w:t>extraordinaria de protecci</w:t>
      </w:r>
      <w:r>
        <w:rPr>
          <w:rFonts w:cs="Times New Roman"/>
          <w:spacing w:val="-7"/>
          <w:sz w:val="18"/>
          <w:szCs w:val="18"/>
          <w:lang w:val="es-ES_tradnl"/>
        </w:rPr>
        <w:t>ó</w:t>
      </w:r>
      <w:r>
        <w:rPr>
          <w:spacing w:val="-7"/>
          <w:sz w:val="18"/>
          <w:szCs w:val="18"/>
          <w:lang w:val="es-ES_tradnl"/>
        </w:rPr>
        <w:t xml:space="preserve">n planteada por los legitimados </w:t>
      </w:r>
      <w:r>
        <w:rPr>
          <w:sz w:val="18"/>
          <w:szCs w:val="18"/>
          <w:lang w:val="es-ES_tradnl"/>
        </w:rPr>
        <w:t>activos, solicitan sea rechazada.</w:t>
      </w:r>
    </w:p>
    <w:p w14:paraId="4F67ACE1" w14:textId="77777777" w:rsidR="00591D54" w:rsidRDefault="00591D54">
      <w:pPr>
        <w:shd w:val="clear" w:color="auto" w:fill="FFFFFF"/>
        <w:spacing w:before="197" w:line="216" w:lineRule="exact"/>
        <w:jc w:val="both"/>
        <w:sectPr w:rsidR="00591D54">
          <w:type w:val="continuous"/>
          <w:pgSz w:w="11909" w:h="16834"/>
          <w:pgMar w:top="1373" w:right="1309" w:bottom="360" w:left="1308" w:header="720" w:footer="720" w:gutter="0"/>
          <w:cols w:num="2" w:space="720" w:equalWidth="0">
            <w:col w:w="4305" w:space="682"/>
            <w:col w:w="4305"/>
          </w:cols>
          <w:noEndnote/>
        </w:sectPr>
      </w:pPr>
    </w:p>
    <w:p w14:paraId="4F67ACE2" w14:textId="77777777" w:rsidR="00591D54" w:rsidRDefault="00591D54">
      <w:pPr>
        <w:shd w:val="clear" w:color="auto" w:fill="FFFFFF"/>
        <w:tabs>
          <w:tab w:val="left" w:pos="5856"/>
        </w:tabs>
        <w:spacing w:after="226"/>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- 115</w:t>
      </w:r>
    </w:p>
    <w:p w14:paraId="4F67ACE3" w14:textId="77777777" w:rsidR="00591D54" w:rsidRDefault="00591D54">
      <w:pPr>
        <w:shd w:val="clear" w:color="auto" w:fill="FFFFFF"/>
        <w:tabs>
          <w:tab w:val="left" w:pos="5856"/>
        </w:tabs>
        <w:spacing w:after="226"/>
        <w:ind w:left="5"/>
        <w:sectPr w:rsidR="00591D54">
          <w:pgSz w:w="11909" w:h="16834"/>
          <w:pgMar w:top="1371" w:right="1304" w:bottom="360" w:left="1308" w:header="720" w:footer="720" w:gutter="0"/>
          <w:cols w:space="60"/>
          <w:noEndnote/>
        </w:sectPr>
      </w:pPr>
    </w:p>
    <w:p w14:paraId="4F67ACE4" w14:textId="77777777" w:rsidR="00591D54" w:rsidRDefault="00591D54">
      <w:pPr>
        <w:shd w:val="clear" w:color="auto" w:fill="FFFFFF"/>
        <w:spacing w:line="216" w:lineRule="exact"/>
        <w:jc w:val="both"/>
      </w:pPr>
      <w:r>
        <w:rPr>
          <w:b/>
          <w:bCs/>
          <w:spacing w:val="-6"/>
          <w:sz w:val="18"/>
          <w:szCs w:val="18"/>
          <w:lang w:val="es-ES_tradnl"/>
        </w:rPr>
        <w:t xml:space="preserve">Secretario Ejecutivo del Consejo Nacional de Control </w:t>
      </w:r>
      <w:r>
        <w:rPr>
          <w:b/>
          <w:bCs/>
          <w:spacing w:val="-12"/>
          <w:sz w:val="18"/>
          <w:szCs w:val="18"/>
          <w:lang w:val="es-ES_tradnl"/>
        </w:rPr>
        <w:t>de Sustancias Estupefacientes y Psicotr</w:t>
      </w:r>
      <w:r>
        <w:rPr>
          <w:rFonts w:cs="Times New Roman"/>
          <w:b/>
          <w:bCs/>
          <w:spacing w:val="-12"/>
          <w:sz w:val="18"/>
          <w:szCs w:val="18"/>
          <w:lang w:val="es-ES_tradnl"/>
        </w:rPr>
        <w:t>ó</w:t>
      </w:r>
      <w:r>
        <w:rPr>
          <w:b/>
          <w:bCs/>
          <w:spacing w:val="-12"/>
          <w:sz w:val="18"/>
          <w:szCs w:val="18"/>
          <w:lang w:val="es-ES_tradnl"/>
        </w:rPr>
        <w:t>picas, CONSEP</w:t>
      </w:r>
    </w:p>
    <w:p w14:paraId="4F67ACE5" w14:textId="77777777" w:rsidR="00591D54" w:rsidRDefault="00591D54">
      <w:pPr>
        <w:shd w:val="clear" w:color="auto" w:fill="FFFFFF"/>
        <w:spacing w:before="197" w:line="216" w:lineRule="exact"/>
        <w:jc w:val="both"/>
      </w:pPr>
      <w:r>
        <w:rPr>
          <w:spacing w:val="-5"/>
          <w:sz w:val="18"/>
          <w:szCs w:val="18"/>
          <w:lang w:val="es-ES_tradnl"/>
        </w:rPr>
        <w:t>El 21 de octubre de 2011, mediante escrito, compareci</w:t>
      </w:r>
      <w:r>
        <w:rPr>
          <w:rFonts w:cs="Times New Roman"/>
          <w:spacing w:val="-5"/>
          <w:sz w:val="18"/>
          <w:szCs w:val="18"/>
          <w:lang w:val="es-ES_tradnl"/>
        </w:rPr>
        <w:t xml:space="preserve">ó </w:t>
      </w:r>
      <w:r>
        <w:rPr>
          <w:spacing w:val="-5"/>
          <w:sz w:val="18"/>
          <w:szCs w:val="18"/>
          <w:lang w:val="es-ES_tradnl"/>
        </w:rPr>
        <w:t>ante la Corte Constitucional el ingeniero Rodrigo V</w:t>
      </w:r>
      <w:r>
        <w:rPr>
          <w:rFonts w:cs="Times New Roman"/>
          <w:spacing w:val="-5"/>
          <w:sz w:val="18"/>
          <w:szCs w:val="18"/>
          <w:lang w:val="es-ES_tradnl"/>
        </w:rPr>
        <w:t>é</w:t>
      </w:r>
      <w:r>
        <w:rPr>
          <w:spacing w:val="-5"/>
          <w:sz w:val="18"/>
          <w:szCs w:val="18"/>
          <w:lang w:val="es-ES_tradnl"/>
        </w:rPr>
        <w:t xml:space="preserve">lez </w:t>
      </w:r>
      <w:r>
        <w:rPr>
          <w:spacing w:val="-6"/>
          <w:sz w:val="18"/>
          <w:szCs w:val="18"/>
          <w:lang w:val="es-ES_tradnl"/>
        </w:rPr>
        <w:t xml:space="preserve">Valarezo, secretario ejecutivo del Consejo Nacional de </w:t>
      </w:r>
      <w:r>
        <w:rPr>
          <w:spacing w:val="-7"/>
          <w:sz w:val="18"/>
          <w:szCs w:val="18"/>
          <w:lang w:val="es-ES_tradnl"/>
        </w:rPr>
        <w:t>Control de Sustancias Estupefacientes y Psicotr</w:t>
      </w:r>
      <w:r>
        <w:rPr>
          <w:rFonts w:cs="Times New Roman"/>
          <w:spacing w:val="-7"/>
          <w:sz w:val="18"/>
          <w:szCs w:val="18"/>
          <w:lang w:val="es-ES_tradnl"/>
        </w:rPr>
        <w:t>ó</w:t>
      </w:r>
      <w:r>
        <w:rPr>
          <w:spacing w:val="-7"/>
          <w:sz w:val="18"/>
          <w:szCs w:val="18"/>
          <w:lang w:val="es-ES_tradnl"/>
        </w:rPr>
        <w:t xml:space="preserve">picas, </w:t>
      </w:r>
      <w:r>
        <w:rPr>
          <w:sz w:val="18"/>
          <w:szCs w:val="18"/>
          <w:lang w:val="es-ES_tradnl"/>
        </w:rPr>
        <w:t>CONSEP, e inform</w:t>
      </w:r>
      <w:r>
        <w:rPr>
          <w:rFonts w:cs="Times New Roman"/>
          <w:sz w:val="18"/>
          <w:szCs w:val="18"/>
          <w:lang w:val="es-ES_tradnl"/>
        </w:rPr>
        <w:t>ó</w:t>
      </w:r>
      <w:r>
        <w:rPr>
          <w:sz w:val="18"/>
          <w:szCs w:val="18"/>
          <w:lang w:val="es-ES_tradnl"/>
        </w:rPr>
        <w:t xml:space="preserve"> lo siguiente:</w:t>
      </w:r>
    </w:p>
    <w:p w14:paraId="4F67ACE6" w14:textId="77777777" w:rsidR="00591D54" w:rsidRDefault="00591D54">
      <w:pPr>
        <w:shd w:val="clear" w:color="auto" w:fill="FFFFFF"/>
        <w:spacing w:before="197" w:line="216" w:lineRule="exact"/>
        <w:jc w:val="both"/>
      </w:pPr>
      <w:r>
        <w:rPr>
          <w:spacing w:val="-9"/>
          <w:sz w:val="18"/>
          <w:szCs w:val="18"/>
          <w:lang w:val="es-ES_tradnl"/>
        </w:rPr>
        <w:t xml:space="preserve">Los miembros del Tribunal Quinto de lo Penal de Pichincha, </w:t>
      </w:r>
      <w:r>
        <w:rPr>
          <w:spacing w:val="-8"/>
          <w:sz w:val="18"/>
          <w:szCs w:val="18"/>
          <w:lang w:val="es-ES_tradnl"/>
        </w:rPr>
        <w:t xml:space="preserve">en sentencia del 24 de septiembre de 2007, declararon </w:t>
      </w:r>
      <w:r>
        <w:rPr>
          <w:spacing w:val="-11"/>
          <w:sz w:val="18"/>
          <w:szCs w:val="18"/>
          <w:lang w:val="es-ES_tradnl"/>
        </w:rPr>
        <w:t>culpables a los acusados en el juicio N.</w:t>
      </w:r>
      <w:r>
        <w:rPr>
          <w:rFonts w:cs="Times New Roman"/>
          <w:spacing w:val="-11"/>
          <w:sz w:val="18"/>
          <w:szCs w:val="18"/>
          <w:lang w:val="es-ES_tradnl"/>
        </w:rPr>
        <w:t>°</w:t>
      </w:r>
      <w:r>
        <w:rPr>
          <w:spacing w:val="-11"/>
          <w:sz w:val="18"/>
          <w:szCs w:val="18"/>
          <w:lang w:val="es-ES_tradnl"/>
        </w:rPr>
        <w:t xml:space="preserve"> 102-07-TQPP-SDC, mediante sentencia del 24 de septiembre de 2007, por haber </w:t>
      </w:r>
      <w:r>
        <w:rPr>
          <w:spacing w:val="-10"/>
          <w:sz w:val="18"/>
          <w:szCs w:val="18"/>
          <w:lang w:val="es-ES_tradnl"/>
        </w:rPr>
        <w:t>incurrido en los art</w:t>
      </w:r>
      <w:r>
        <w:rPr>
          <w:rFonts w:cs="Times New Roman"/>
          <w:spacing w:val="-10"/>
          <w:sz w:val="18"/>
          <w:szCs w:val="18"/>
          <w:lang w:val="es-ES_tradnl"/>
        </w:rPr>
        <w:t>í</w:t>
      </w:r>
      <w:r>
        <w:rPr>
          <w:spacing w:val="-10"/>
          <w:sz w:val="18"/>
          <w:szCs w:val="18"/>
          <w:lang w:val="es-ES_tradnl"/>
        </w:rPr>
        <w:t xml:space="preserve">culos 60, 61 y 62 de la Ley de Sustancias </w:t>
      </w:r>
      <w:r>
        <w:rPr>
          <w:spacing w:val="-6"/>
          <w:sz w:val="18"/>
          <w:szCs w:val="18"/>
          <w:lang w:val="es-ES_tradnl"/>
        </w:rPr>
        <w:t>Estupefacientes y Psicotr</w:t>
      </w:r>
      <w:r>
        <w:rPr>
          <w:rFonts w:cs="Times New Roman"/>
          <w:spacing w:val="-6"/>
          <w:sz w:val="18"/>
          <w:szCs w:val="18"/>
          <w:lang w:val="es-ES_tradnl"/>
        </w:rPr>
        <w:t>ó</w:t>
      </w:r>
      <w:r>
        <w:rPr>
          <w:spacing w:val="-6"/>
          <w:sz w:val="18"/>
          <w:szCs w:val="18"/>
          <w:lang w:val="es-ES_tradnl"/>
        </w:rPr>
        <w:t xml:space="preserve">picas, y de conformidad con lo </w:t>
      </w:r>
      <w:r>
        <w:rPr>
          <w:spacing w:val="-5"/>
          <w:sz w:val="18"/>
          <w:szCs w:val="18"/>
          <w:lang w:val="es-ES_tradnl"/>
        </w:rPr>
        <w:t>prescrito en el art</w:t>
      </w:r>
      <w:r>
        <w:rPr>
          <w:rFonts w:cs="Times New Roman"/>
          <w:spacing w:val="-5"/>
          <w:sz w:val="18"/>
          <w:szCs w:val="18"/>
          <w:lang w:val="es-ES_tradnl"/>
        </w:rPr>
        <w:t>í</w:t>
      </w:r>
      <w:r>
        <w:rPr>
          <w:spacing w:val="-5"/>
          <w:sz w:val="18"/>
          <w:szCs w:val="18"/>
          <w:lang w:val="es-ES_tradnl"/>
        </w:rPr>
        <w:t>culo 83 de la codificaci</w:t>
      </w:r>
      <w:r>
        <w:rPr>
          <w:rFonts w:cs="Times New Roman"/>
          <w:spacing w:val="-5"/>
          <w:sz w:val="18"/>
          <w:szCs w:val="18"/>
          <w:lang w:val="es-ES_tradnl"/>
        </w:rPr>
        <w:t>ó</w:t>
      </w:r>
      <w:r>
        <w:rPr>
          <w:spacing w:val="-5"/>
          <w:sz w:val="18"/>
          <w:szCs w:val="18"/>
          <w:lang w:val="es-ES_tradnl"/>
        </w:rPr>
        <w:t xml:space="preserve">n de la Ley de </w:t>
      </w:r>
      <w:r>
        <w:rPr>
          <w:spacing w:val="-8"/>
          <w:sz w:val="18"/>
          <w:szCs w:val="18"/>
          <w:lang w:val="es-ES_tradnl"/>
        </w:rPr>
        <w:t>Sustancias Estupefacientes y Psicotr</w:t>
      </w:r>
      <w:r>
        <w:rPr>
          <w:rFonts w:cs="Times New Roman"/>
          <w:spacing w:val="-8"/>
          <w:sz w:val="18"/>
          <w:szCs w:val="18"/>
          <w:lang w:val="es-ES_tradnl"/>
        </w:rPr>
        <w:t>ó</w:t>
      </w:r>
      <w:r>
        <w:rPr>
          <w:spacing w:val="-8"/>
          <w:sz w:val="18"/>
          <w:szCs w:val="18"/>
          <w:lang w:val="es-ES_tradnl"/>
        </w:rPr>
        <w:t xml:space="preserve">picas, dispusieron el </w:t>
      </w:r>
      <w:r>
        <w:rPr>
          <w:spacing w:val="-7"/>
          <w:sz w:val="18"/>
          <w:szCs w:val="18"/>
          <w:lang w:val="es-ES_tradnl"/>
        </w:rPr>
        <w:t xml:space="preserve">comiso definitivo y especial de los bienes, entre otros, del </w:t>
      </w:r>
      <w:r>
        <w:rPr>
          <w:spacing w:val="-9"/>
          <w:sz w:val="18"/>
          <w:szCs w:val="18"/>
          <w:lang w:val="es-ES_tradnl"/>
        </w:rPr>
        <w:t xml:space="preserve">inmueble ubicado en el Km. 10 </w:t>
      </w:r>
      <w:r>
        <w:rPr>
          <w:rFonts w:cs="Times New Roman"/>
          <w:spacing w:val="-9"/>
          <w:sz w:val="18"/>
          <w:szCs w:val="18"/>
          <w:lang w:val="es-ES_tradnl"/>
        </w:rPr>
        <w:t>½</w:t>
      </w:r>
      <w:r>
        <w:rPr>
          <w:spacing w:val="-9"/>
          <w:sz w:val="18"/>
          <w:szCs w:val="18"/>
          <w:lang w:val="es-ES_tradnl"/>
        </w:rPr>
        <w:t xml:space="preserve"> de la v</w:t>
      </w:r>
      <w:r>
        <w:rPr>
          <w:rFonts w:cs="Times New Roman"/>
          <w:spacing w:val="-9"/>
          <w:sz w:val="18"/>
          <w:szCs w:val="18"/>
          <w:lang w:val="es-ES_tradnl"/>
        </w:rPr>
        <w:t>í</w:t>
      </w:r>
      <w:r>
        <w:rPr>
          <w:spacing w:val="-9"/>
          <w:sz w:val="18"/>
          <w:szCs w:val="18"/>
          <w:lang w:val="es-ES_tradnl"/>
        </w:rPr>
        <w:t>a Santo Domingo-</w:t>
      </w:r>
      <w:r>
        <w:rPr>
          <w:spacing w:val="-1"/>
          <w:sz w:val="18"/>
          <w:szCs w:val="18"/>
          <w:lang w:val="es-ES_tradnl"/>
        </w:rPr>
        <w:t xml:space="preserve">Quevedo, que estaba sirviendo como lugar de acopio </w:t>
      </w:r>
      <w:r>
        <w:rPr>
          <w:spacing w:val="-8"/>
          <w:sz w:val="18"/>
          <w:szCs w:val="18"/>
          <w:lang w:val="es-ES_tradnl"/>
        </w:rPr>
        <w:t>de sustancias sujetas a fiscalizaci</w:t>
      </w:r>
      <w:r>
        <w:rPr>
          <w:rFonts w:cs="Times New Roman"/>
          <w:spacing w:val="-8"/>
          <w:sz w:val="18"/>
          <w:szCs w:val="18"/>
          <w:lang w:val="es-ES_tradnl"/>
        </w:rPr>
        <w:t>ó</w:t>
      </w:r>
      <w:r>
        <w:rPr>
          <w:spacing w:val="-8"/>
          <w:sz w:val="18"/>
          <w:szCs w:val="18"/>
          <w:lang w:val="es-ES_tradnl"/>
        </w:rPr>
        <w:t xml:space="preserve">n, donde se fabricaba </w:t>
      </w:r>
      <w:r>
        <w:rPr>
          <w:spacing w:val="-6"/>
          <w:sz w:val="18"/>
          <w:szCs w:val="18"/>
          <w:lang w:val="es-ES_tradnl"/>
        </w:rPr>
        <w:t xml:space="preserve">contenedores de doble fondo para camufl ar la droga, y </w:t>
      </w:r>
      <w:r>
        <w:rPr>
          <w:spacing w:val="-11"/>
          <w:sz w:val="18"/>
          <w:szCs w:val="18"/>
          <w:lang w:val="es-ES_tradnl"/>
        </w:rPr>
        <w:t>donde se encontr</w:t>
      </w:r>
      <w:r>
        <w:rPr>
          <w:rFonts w:cs="Times New Roman"/>
          <w:spacing w:val="-11"/>
          <w:sz w:val="18"/>
          <w:szCs w:val="18"/>
          <w:lang w:val="es-ES_tradnl"/>
        </w:rPr>
        <w:t>ó</w:t>
      </w:r>
      <w:r>
        <w:rPr>
          <w:spacing w:val="-11"/>
          <w:sz w:val="18"/>
          <w:szCs w:val="18"/>
          <w:lang w:val="es-ES_tradnl"/>
        </w:rPr>
        <w:t xml:space="preserve"> 231 paquetes de coca</w:t>
      </w:r>
      <w:r>
        <w:rPr>
          <w:rFonts w:cs="Times New Roman"/>
          <w:spacing w:val="-11"/>
          <w:sz w:val="18"/>
          <w:szCs w:val="18"/>
          <w:lang w:val="es-ES_tradnl"/>
        </w:rPr>
        <w:t>í</w:t>
      </w:r>
      <w:r>
        <w:rPr>
          <w:spacing w:val="-11"/>
          <w:sz w:val="18"/>
          <w:szCs w:val="18"/>
          <w:lang w:val="es-ES_tradnl"/>
        </w:rPr>
        <w:t>na y m</w:t>
      </w:r>
      <w:r>
        <w:rPr>
          <w:rFonts w:cs="Times New Roman"/>
          <w:spacing w:val="-11"/>
          <w:sz w:val="18"/>
          <w:szCs w:val="18"/>
          <w:lang w:val="es-ES_tradnl"/>
        </w:rPr>
        <w:t>á</w:t>
      </w:r>
      <w:r>
        <w:rPr>
          <w:spacing w:val="-11"/>
          <w:sz w:val="18"/>
          <w:szCs w:val="18"/>
          <w:lang w:val="es-ES_tradnl"/>
        </w:rPr>
        <w:t xml:space="preserve">s de medio </w:t>
      </w:r>
      <w:r>
        <w:rPr>
          <w:sz w:val="18"/>
          <w:szCs w:val="18"/>
          <w:lang w:val="es-ES_tradnl"/>
        </w:rPr>
        <w:t>mill</w:t>
      </w:r>
      <w:r>
        <w:rPr>
          <w:rFonts w:cs="Times New Roman"/>
          <w:sz w:val="18"/>
          <w:szCs w:val="18"/>
          <w:lang w:val="es-ES_tradnl"/>
        </w:rPr>
        <w:t>ó</w:t>
      </w:r>
      <w:r>
        <w:rPr>
          <w:sz w:val="18"/>
          <w:szCs w:val="18"/>
          <w:lang w:val="es-ES_tradnl"/>
        </w:rPr>
        <w:t>n de d</w:t>
      </w:r>
      <w:r>
        <w:rPr>
          <w:rFonts w:cs="Times New Roman"/>
          <w:sz w:val="18"/>
          <w:szCs w:val="18"/>
          <w:lang w:val="es-ES_tradnl"/>
        </w:rPr>
        <w:t>ó</w:t>
      </w:r>
      <w:r>
        <w:rPr>
          <w:sz w:val="18"/>
          <w:szCs w:val="18"/>
          <w:lang w:val="es-ES_tradnl"/>
        </w:rPr>
        <w:t>lares americanos enterrados.</w:t>
      </w:r>
    </w:p>
    <w:p w14:paraId="4F67ACE7" w14:textId="77777777" w:rsidR="00591D54" w:rsidRDefault="00591D54">
      <w:pPr>
        <w:shd w:val="clear" w:color="auto" w:fill="FFFFFF"/>
        <w:spacing w:before="197" w:line="216" w:lineRule="exact"/>
        <w:jc w:val="both"/>
      </w:pPr>
      <w:r>
        <w:rPr>
          <w:spacing w:val="-8"/>
          <w:sz w:val="18"/>
          <w:szCs w:val="18"/>
          <w:lang w:val="es-ES_tradnl"/>
        </w:rPr>
        <w:t>Adem</w:t>
      </w:r>
      <w:r>
        <w:rPr>
          <w:rFonts w:cs="Times New Roman"/>
          <w:spacing w:val="-8"/>
          <w:sz w:val="18"/>
          <w:szCs w:val="18"/>
          <w:lang w:val="es-ES_tradnl"/>
        </w:rPr>
        <w:t>á</w:t>
      </w:r>
      <w:r>
        <w:rPr>
          <w:spacing w:val="-8"/>
          <w:sz w:val="18"/>
          <w:szCs w:val="18"/>
          <w:lang w:val="es-ES_tradnl"/>
        </w:rPr>
        <w:t>s, manifiestan que la presente causa inici</w:t>
      </w:r>
      <w:r>
        <w:rPr>
          <w:rFonts w:cs="Times New Roman"/>
          <w:spacing w:val="-8"/>
          <w:sz w:val="18"/>
          <w:szCs w:val="18"/>
          <w:lang w:val="es-ES_tradnl"/>
        </w:rPr>
        <w:t>ó</w:t>
      </w:r>
      <w:r>
        <w:rPr>
          <w:spacing w:val="-8"/>
          <w:sz w:val="18"/>
          <w:szCs w:val="18"/>
          <w:lang w:val="es-ES_tradnl"/>
        </w:rPr>
        <w:t xml:space="preserve"> el 29 de septiembre de 2006 y finaliz</w:t>
      </w:r>
      <w:r>
        <w:rPr>
          <w:rFonts w:cs="Times New Roman"/>
          <w:spacing w:val="-8"/>
          <w:sz w:val="18"/>
          <w:szCs w:val="18"/>
          <w:lang w:val="es-ES_tradnl"/>
        </w:rPr>
        <w:t>ó</w:t>
      </w:r>
      <w:r>
        <w:rPr>
          <w:spacing w:val="-8"/>
          <w:sz w:val="18"/>
          <w:szCs w:val="18"/>
          <w:lang w:val="es-ES_tradnl"/>
        </w:rPr>
        <w:t xml:space="preserve"> el 12 de noviembre de 2010 </w:t>
      </w:r>
      <w:r>
        <w:rPr>
          <w:spacing w:val="-9"/>
          <w:sz w:val="18"/>
          <w:szCs w:val="18"/>
          <w:lang w:val="es-ES_tradnl"/>
        </w:rPr>
        <w:t>con la ejecutor</w:t>
      </w:r>
      <w:r>
        <w:rPr>
          <w:rFonts w:cs="Times New Roman"/>
          <w:spacing w:val="-9"/>
          <w:sz w:val="18"/>
          <w:szCs w:val="18"/>
          <w:lang w:val="es-ES_tradnl"/>
        </w:rPr>
        <w:t>í</w:t>
      </w:r>
      <w:r>
        <w:rPr>
          <w:spacing w:val="-9"/>
          <w:sz w:val="18"/>
          <w:szCs w:val="18"/>
          <w:lang w:val="es-ES_tradnl"/>
        </w:rPr>
        <w:t>a de la causa; transcurrieron m</w:t>
      </w:r>
      <w:r>
        <w:rPr>
          <w:rFonts w:cs="Times New Roman"/>
          <w:spacing w:val="-9"/>
          <w:sz w:val="18"/>
          <w:szCs w:val="18"/>
          <w:lang w:val="es-ES_tradnl"/>
        </w:rPr>
        <w:t>á</w:t>
      </w:r>
      <w:r>
        <w:rPr>
          <w:spacing w:val="-9"/>
          <w:sz w:val="18"/>
          <w:szCs w:val="18"/>
          <w:lang w:val="es-ES_tradnl"/>
        </w:rPr>
        <w:t>s de 4 a</w:t>
      </w:r>
      <w:r>
        <w:rPr>
          <w:rFonts w:cs="Times New Roman"/>
          <w:spacing w:val="-9"/>
          <w:sz w:val="18"/>
          <w:szCs w:val="18"/>
          <w:lang w:val="es-ES_tradnl"/>
        </w:rPr>
        <w:t>ñ</w:t>
      </w:r>
      <w:r>
        <w:rPr>
          <w:spacing w:val="-9"/>
          <w:sz w:val="18"/>
          <w:szCs w:val="18"/>
          <w:lang w:val="es-ES_tradnl"/>
        </w:rPr>
        <w:t xml:space="preserve">os, </w:t>
      </w:r>
      <w:r>
        <w:rPr>
          <w:spacing w:val="-11"/>
          <w:sz w:val="18"/>
          <w:szCs w:val="18"/>
          <w:lang w:val="es-ES_tradnl"/>
        </w:rPr>
        <w:t xml:space="preserve">tiempo durante el cual, los ahora accionantes u otra persona, </w:t>
      </w:r>
      <w:r>
        <w:rPr>
          <w:spacing w:val="-5"/>
          <w:sz w:val="18"/>
          <w:szCs w:val="18"/>
          <w:lang w:val="es-ES_tradnl"/>
        </w:rPr>
        <w:t>en ning</w:t>
      </w:r>
      <w:r>
        <w:rPr>
          <w:rFonts w:cs="Times New Roman"/>
          <w:spacing w:val="-5"/>
          <w:sz w:val="18"/>
          <w:szCs w:val="18"/>
          <w:lang w:val="es-ES_tradnl"/>
        </w:rPr>
        <w:t>ú</w:t>
      </w:r>
      <w:r>
        <w:rPr>
          <w:spacing w:val="-5"/>
          <w:sz w:val="18"/>
          <w:szCs w:val="18"/>
          <w:lang w:val="es-ES_tradnl"/>
        </w:rPr>
        <w:t>n momento reclam</w:t>
      </w:r>
      <w:r>
        <w:rPr>
          <w:rFonts w:cs="Times New Roman"/>
          <w:spacing w:val="-5"/>
          <w:sz w:val="18"/>
          <w:szCs w:val="18"/>
          <w:lang w:val="es-ES_tradnl"/>
        </w:rPr>
        <w:t>ó</w:t>
      </w:r>
      <w:r>
        <w:rPr>
          <w:spacing w:val="-5"/>
          <w:sz w:val="18"/>
          <w:szCs w:val="18"/>
          <w:lang w:val="es-ES_tradnl"/>
        </w:rPr>
        <w:t xml:space="preserve"> la devoluci</w:t>
      </w:r>
      <w:r>
        <w:rPr>
          <w:rFonts w:cs="Times New Roman"/>
          <w:spacing w:val="-5"/>
          <w:sz w:val="18"/>
          <w:szCs w:val="18"/>
          <w:lang w:val="es-ES_tradnl"/>
        </w:rPr>
        <w:t>ó</w:t>
      </w:r>
      <w:r>
        <w:rPr>
          <w:spacing w:val="-5"/>
          <w:sz w:val="18"/>
          <w:szCs w:val="18"/>
          <w:lang w:val="es-ES_tradnl"/>
        </w:rPr>
        <w:t xml:space="preserve">n del inmueble, </w:t>
      </w:r>
      <w:r>
        <w:rPr>
          <w:spacing w:val="-7"/>
          <w:sz w:val="18"/>
          <w:szCs w:val="18"/>
          <w:lang w:val="es-ES_tradnl"/>
        </w:rPr>
        <w:t>o en su defecto, se present</w:t>
      </w:r>
      <w:r>
        <w:rPr>
          <w:rFonts w:cs="Times New Roman"/>
          <w:spacing w:val="-7"/>
          <w:sz w:val="18"/>
          <w:szCs w:val="18"/>
          <w:lang w:val="es-ES_tradnl"/>
        </w:rPr>
        <w:t>ó</w:t>
      </w:r>
      <w:r>
        <w:rPr>
          <w:spacing w:val="-7"/>
          <w:sz w:val="18"/>
          <w:szCs w:val="18"/>
          <w:lang w:val="es-ES_tradnl"/>
        </w:rPr>
        <w:t xml:space="preserve"> la justificaci</w:t>
      </w:r>
      <w:r>
        <w:rPr>
          <w:rFonts w:cs="Times New Roman"/>
          <w:spacing w:val="-7"/>
          <w:sz w:val="18"/>
          <w:szCs w:val="18"/>
          <w:lang w:val="es-ES_tradnl"/>
        </w:rPr>
        <w:t>ó</w:t>
      </w:r>
      <w:r>
        <w:rPr>
          <w:spacing w:val="-7"/>
          <w:sz w:val="18"/>
          <w:szCs w:val="18"/>
          <w:lang w:val="es-ES_tradnl"/>
        </w:rPr>
        <w:t xml:space="preserve">n legal sobre un </w:t>
      </w:r>
      <w:r>
        <w:rPr>
          <w:sz w:val="18"/>
          <w:szCs w:val="18"/>
          <w:lang w:val="es-ES_tradnl"/>
        </w:rPr>
        <w:t>presunto arrendamiento del mismo.</w:t>
      </w:r>
    </w:p>
    <w:p w14:paraId="4F67ACE8" w14:textId="77777777" w:rsidR="00591D54" w:rsidRDefault="00591D54">
      <w:pPr>
        <w:shd w:val="clear" w:color="auto" w:fill="FFFFFF"/>
        <w:spacing w:before="197" w:line="216" w:lineRule="exact"/>
        <w:ind w:right="5"/>
        <w:jc w:val="both"/>
      </w:pPr>
      <w:r>
        <w:rPr>
          <w:spacing w:val="-6"/>
          <w:sz w:val="18"/>
          <w:szCs w:val="18"/>
          <w:lang w:val="es-ES_tradnl"/>
        </w:rPr>
        <w:t xml:space="preserve">Adicionalmente, en la solicitud presentada en el Tribunal </w:t>
      </w:r>
      <w:r>
        <w:rPr>
          <w:spacing w:val="-8"/>
          <w:sz w:val="18"/>
          <w:szCs w:val="18"/>
          <w:lang w:val="es-ES_tradnl"/>
        </w:rPr>
        <w:t>Primero de Garant</w:t>
      </w:r>
      <w:r>
        <w:rPr>
          <w:rFonts w:cs="Times New Roman"/>
          <w:spacing w:val="-8"/>
          <w:sz w:val="18"/>
          <w:szCs w:val="18"/>
          <w:lang w:val="es-ES_tradnl"/>
        </w:rPr>
        <w:t>í</w:t>
      </w:r>
      <w:r>
        <w:rPr>
          <w:spacing w:val="-8"/>
          <w:sz w:val="18"/>
          <w:szCs w:val="18"/>
          <w:lang w:val="es-ES_tradnl"/>
        </w:rPr>
        <w:t xml:space="preserve">as Penales de Santo Domingo de los </w:t>
      </w:r>
      <w:r>
        <w:rPr>
          <w:spacing w:val="-7"/>
          <w:sz w:val="18"/>
          <w:szCs w:val="18"/>
          <w:lang w:val="es-ES_tradnl"/>
        </w:rPr>
        <w:t>Ts</w:t>
      </w:r>
      <w:r>
        <w:rPr>
          <w:rFonts w:cs="Times New Roman"/>
          <w:spacing w:val="-7"/>
          <w:sz w:val="18"/>
          <w:szCs w:val="18"/>
          <w:lang w:val="es-ES_tradnl"/>
        </w:rPr>
        <w:t>á</w:t>
      </w:r>
      <w:r>
        <w:rPr>
          <w:spacing w:val="-7"/>
          <w:sz w:val="18"/>
          <w:szCs w:val="18"/>
          <w:lang w:val="es-ES_tradnl"/>
        </w:rPr>
        <w:t xml:space="preserve">chilas por los ahora accionantes, no indicaron si esa </w:t>
      </w:r>
      <w:r>
        <w:rPr>
          <w:spacing w:val="-10"/>
          <w:sz w:val="18"/>
          <w:szCs w:val="18"/>
          <w:lang w:val="es-ES_tradnl"/>
        </w:rPr>
        <w:t>propiedad fue arrendada, o en cual situaci</w:t>
      </w:r>
      <w:r>
        <w:rPr>
          <w:rFonts w:cs="Times New Roman"/>
          <w:spacing w:val="-10"/>
          <w:sz w:val="18"/>
          <w:szCs w:val="18"/>
          <w:lang w:val="es-ES_tradnl"/>
        </w:rPr>
        <w:t>ó</w:t>
      </w:r>
      <w:r>
        <w:rPr>
          <w:spacing w:val="-10"/>
          <w:sz w:val="18"/>
          <w:szCs w:val="18"/>
          <w:lang w:val="es-ES_tradnl"/>
        </w:rPr>
        <w:t xml:space="preserve">n se encontraba, </w:t>
      </w:r>
      <w:r>
        <w:rPr>
          <w:spacing w:val="-8"/>
          <w:sz w:val="18"/>
          <w:szCs w:val="18"/>
          <w:lang w:val="es-ES_tradnl"/>
        </w:rPr>
        <w:t xml:space="preserve">sino </w:t>
      </w:r>
      <w:r>
        <w:rPr>
          <w:rFonts w:cs="Times New Roman"/>
          <w:spacing w:val="-8"/>
          <w:sz w:val="18"/>
          <w:szCs w:val="18"/>
          <w:lang w:val="es-ES_tradnl"/>
        </w:rPr>
        <w:t>ú</w:t>
      </w:r>
      <w:r>
        <w:rPr>
          <w:spacing w:val="-8"/>
          <w:sz w:val="18"/>
          <w:szCs w:val="18"/>
          <w:lang w:val="es-ES_tradnl"/>
        </w:rPr>
        <w:t>nicamente requirieron que les sea devuelta en raz</w:t>
      </w:r>
      <w:r>
        <w:rPr>
          <w:rFonts w:cs="Times New Roman"/>
          <w:spacing w:val="-8"/>
          <w:sz w:val="18"/>
          <w:szCs w:val="18"/>
          <w:lang w:val="es-ES_tradnl"/>
        </w:rPr>
        <w:t>ó</w:t>
      </w:r>
      <w:r>
        <w:rPr>
          <w:spacing w:val="-8"/>
          <w:sz w:val="18"/>
          <w:szCs w:val="18"/>
          <w:lang w:val="es-ES_tradnl"/>
        </w:rPr>
        <w:t xml:space="preserve">n </w:t>
      </w:r>
      <w:r>
        <w:rPr>
          <w:spacing w:val="-7"/>
          <w:sz w:val="18"/>
          <w:szCs w:val="18"/>
          <w:lang w:val="es-ES_tradnl"/>
        </w:rPr>
        <w:t>de que no fueron involucrados en el juicio penal. Adem</w:t>
      </w:r>
      <w:r>
        <w:rPr>
          <w:rFonts w:cs="Times New Roman"/>
          <w:spacing w:val="-7"/>
          <w:sz w:val="18"/>
          <w:szCs w:val="18"/>
          <w:lang w:val="es-ES_tradnl"/>
        </w:rPr>
        <w:t>á</w:t>
      </w:r>
      <w:r>
        <w:rPr>
          <w:spacing w:val="-7"/>
          <w:sz w:val="18"/>
          <w:szCs w:val="18"/>
          <w:lang w:val="es-ES_tradnl"/>
        </w:rPr>
        <w:t xml:space="preserve">s, presumiblemente de manera dolosa, vendieron el bien </w:t>
      </w:r>
      <w:r>
        <w:rPr>
          <w:spacing w:val="-2"/>
          <w:sz w:val="18"/>
          <w:szCs w:val="18"/>
          <w:lang w:val="es-ES_tradnl"/>
        </w:rPr>
        <w:t xml:space="preserve">inmueble a la sociedad civil, comercial, urbanizaciones </w:t>
      </w:r>
      <w:r>
        <w:rPr>
          <w:spacing w:val="-5"/>
          <w:sz w:val="18"/>
          <w:szCs w:val="18"/>
          <w:lang w:val="es-ES_tradnl"/>
        </w:rPr>
        <w:t xml:space="preserve">y construcciones </w:t>
      </w:r>
      <w:r>
        <w:rPr>
          <w:rFonts w:cs="Times New Roman"/>
          <w:spacing w:val="-5"/>
          <w:sz w:val="18"/>
          <w:szCs w:val="18"/>
          <w:lang w:val="es-ES_tradnl"/>
        </w:rPr>
        <w:t>“</w:t>
      </w:r>
      <w:r>
        <w:rPr>
          <w:spacing w:val="-5"/>
          <w:sz w:val="18"/>
          <w:szCs w:val="18"/>
          <w:lang w:val="es-ES_tradnl"/>
        </w:rPr>
        <w:t>nuevo amanecer</w:t>
      </w:r>
      <w:r>
        <w:rPr>
          <w:rFonts w:cs="Times New Roman"/>
          <w:spacing w:val="-5"/>
          <w:sz w:val="18"/>
          <w:szCs w:val="18"/>
          <w:lang w:val="es-ES_tradnl"/>
        </w:rPr>
        <w:t>”</w:t>
      </w:r>
      <w:r>
        <w:rPr>
          <w:spacing w:val="-5"/>
          <w:sz w:val="18"/>
          <w:szCs w:val="18"/>
          <w:lang w:val="es-ES_tradnl"/>
        </w:rPr>
        <w:t>, ya que ten</w:t>
      </w:r>
      <w:r>
        <w:rPr>
          <w:rFonts w:cs="Times New Roman"/>
          <w:spacing w:val="-5"/>
          <w:sz w:val="18"/>
          <w:szCs w:val="18"/>
          <w:lang w:val="es-ES_tradnl"/>
        </w:rPr>
        <w:t>í</w:t>
      </w:r>
      <w:r>
        <w:rPr>
          <w:spacing w:val="-5"/>
          <w:sz w:val="18"/>
          <w:szCs w:val="18"/>
          <w:lang w:val="es-ES_tradnl"/>
        </w:rPr>
        <w:t xml:space="preserve">an </w:t>
      </w:r>
      <w:r>
        <w:rPr>
          <w:spacing w:val="-7"/>
          <w:sz w:val="18"/>
          <w:szCs w:val="18"/>
          <w:lang w:val="es-ES_tradnl"/>
        </w:rPr>
        <w:t xml:space="preserve">conocimiento de causa del estado del bien, y lo </w:t>
      </w:r>
      <w:r>
        <w:rPr>
          <w:rFonts w:cs="Times New Roman"/>
          <w:spacing w:val="-7"/>
          <w:sz w:val="18"/>
          <w:szCs w:val="18"/>
          <w:lang w:val="es-ES_tradnl"/>
        </w:rPr>
        <w:t>ú</w:t>
      </w:r>
      <w:r>
        <w:rPr>
          <w:spacing w:val="-7"/>
          <w:sz w:val="18"/>
          <w:szCs w:val="18"/>
          <w:lang w:val="es-ES_tradnl"/>
        </w:rPr>
        <w:t xml:space="preserve">nico que </w:t>
      </w:r>
      <w:r>
        <w:rPr>
          <w:spacing w:val="-9"/>
          <w:sz w:val="18"/>
          <w:szCs w:val="18"/>
          <w:lang w:val="es-ES_tradnl"/>
        </w:rPr>
        <w:t>pretenden con la presente acci</w:t>
      </w:r>
      <w:r>
        <w:rPr>
          <w:rFonts w:cs="Times New Roman"/>
          <w:spacing w:val="-9"/>
          <w:sz w:val="18"/>
          <w:szCs w:val="18"/>
          <w:lang w:val="es-ES_tradnl"/>
        </w:rPr>
        <w:t>ó</w:t>
      </w:r>
      <w:r>
        <w:rPr>
          <w:spacing w:val="-9"/>
          <w:sz w:val="18"/>
          <w:szCs w:val="18"/>
          <w:lang w:val="es-ES_tradnl"/>
        </w:rPr>
        <w:t>n es enga</w:t>
      </w:r>
      <w:r>
        <w:rPr>
          <w:rFonts w:cs="Times New Roman"/>
          <w:spacing w:val="-9"/>
          <w:sz w:val="18"/>
          <w:szCs w:val="18"/>
          <w:lang w:val="es-ES_tradnl"/>
        </w:rPr>
        <w:t>ñ</w:t>
      </w:r>
      <w:r>
        <w:rPr>
          <w:spacing w:val="-9"/>
          <w:sz w:val="18"/>
          <w:szCs w:val="18"/>
          <w:lang w:val="es-ES_tradnl"/>
        </w:rPr>
        <w:t>ar a los jueces.</w:t>
      </w:r>
    </w:p>
    <w:p w14:paraId="4F67ACE9" w14:textId="77777777" w:rsidR="00591D54" w:rsidRDefault="00591D54">
      <w:pPr>
        <w:shd w:val="clear" w:color="auto" w:fill="FFFFFF"/>
        <w:spacing w:before="197" w:line="216" w:lineRule="exact"/>
        <w:ind w:right="5"/>
        <w:jc w:val="both"/>
      </w:pPr>
      <w:r>
        <w:rPr>
          <w:spacing w:val="-7"/>
          <w:sz w:val="18"/>
          <w:szCs w:val="18"/>
          <w:lang w:val="es-ES_tradnl"/>
        </w:rPr>
        <w:t>Por todo lo expuesto, solicit</w:t>
      </w:r>
      <w:r>
        <w:rPr>
          <w:rFonts w:cs="Times New Roman"/>
          <w:spacing w:val="-7"/>
          <w:sz w:val="18"/>
          <w:szCs w:val="18"/>
          <w:lang w:val="es-ES_tradnl"/>
        </w:rPr>
        <w:t>ó</w:t>
      </w:r>
      <w:r>
        <w:rPr>
          <w:spacing w:val="-7"/>
          <w:sz w:val="18"/>
          <w:szCs w:val="18"/>
          <w:lang w:val="es-ES_tradnl"/>
        </w:rPr>
        <w:t xml:space="preserve"> que se deseche el recurso </w:t>
      </w:r>
      <w:r>
        <w:rPr>
          <w:spacing w:val="-5"/>
          <w:sz w:val="18"/>
          <w:szCs w:val="18"/>
          <w:lang w:val="es-ES_tradnl"/>
        </w:rPr>
        <w:t xml:space="preserve">extraordinario interpuesto por Jorge Vicente Chapiliquin </w:t>
      </w:r>
      <w:r>
        <w:rPr>
          <w:spacing w:val="-8"/>
          <w:sz w:val="18"/>
          <w:szCs w:val="18"/>
          <w:lang w:val="es-ES_tradnl"/>
        </w:rPr>
        <w:t>Purisaga y Mar</w:t>
      </w:r>
      <w:r>
        <w:rPr>
          <w:rFonts w:cs="Times New Roman"/>
          <w:spacing w:val="-8"/>
          <w:sz w:val="18"/>
          <w:szCs w:val="18"/>
          <w:lang w:val="es-ES_tradnl"/>
        </w:rPr>
        <w:t>í</w:t>
      </w:r>
      <w:r>
        <w:rPr>
          <w:spacing w:val="-8"/>
          <w:sz w:val="18"/>
          <w:szCs w:val="18"/>
          <w:lang w:val="es-ES_tradnl"/>
        </w:rPr>
        <w:t>a Teresa Alc</w:t>
      </w:r>
      <w:r>
        <w:rPr>
          <w:rFonts w:cs="Times New Roman"/>
          <w:spacing w:val="-8"/>
          <w:sz w:val="18"/>
          <w:szCs w:val="18"/>
          <w:lang w:val="es-ES_tradnl"/>
        </w:rPr>
        <w:t>í</w:t>
      </w:r>
      <w:r>
        <w:rPr>
          <w:spacing w:val="-8"/>
          <w:sz w:val="18"/>
          <w:szCs w:val="18"/>
          <w:lang w:val="es-ES_tradnl"/>
        </w:rPr>
        <w:t xml:space="preserve">var Mendoza, dejando a salvo </w:t>
      </w:r>
      <w:r>
        <w:rPr>
          <w:spacing w:val="-10"/>
          <w:sz w:val="18"/>
          <w:szCs w:val="18"/>
          <w:lang w:val="es-ES_tradnl"/>
        </w:rPr>
        <w:t>a la Fiscal</w:t>
      </w:r>
      <w:r>
        <w:rPr>
          <w:rFonts w:cs="Times New Roman"/>
          <w:spacing w:val="-10"/>
          <w:sz w:val="18"/>
          <w:szCs w:val="18"/>
          <w:lang w:val="es-ES_tradnl"/>
        </w:rPr>
        <w:t>í</w:t>
      </w:r>
      <w:r>
        <w:rPr>
          <w:spacing w:val="-10"/>
          <w:sz w:val="18"/>
          <w:szCs w:val="18"/>
          <w:lang w:val="es-ES_tradnl"/>
        </w:rPr>
        <w:t>a para que inicie la acci</w:t>
      </w:r>
      <w:r>
        <w:rPr>
          <w:rFonts w:cs="Times New Roman"/>
          <w:spacing w:val="-10"/>
          <w:sz w:val="18"/>
          <w:szCs w:val="18"/>
          <w:lang w:val="es-ES_tradnl"/>
        </w:rPr>
        <w:t>ó</w:t>
      </w:r>
      <w:r>
        <w:rPr>
          <w:spacing w:val="-10"/>
          <w:sz w:val="18"/>
          <w:szCs w:val="18"/>
          <w:lang w:val="es-ES_tradnl"/>
        </w:rPr>
        <w:t xml:space="preserve">n penal que corresponda, </w:t>
      </w:r>
      <w:r>
        <w:rPr>
          <w:spacing w:val="-8"/>
          <w:sz w:val="18"/>
          <w:szCs w:val="18"/>
          <w:lang w:val="es-ES_tradnl"/>
        </w:rPr>
        <w:t xml:space="preserve">por los delitos en los que han incurrido aquellas personas y los representantes de la referida Sociedad Civil, Comercial, </w:t>
      </w:r>
      <w:r>
        <w:rPr>
          <w:spacing w:val="-7"/>
          <w:sz w:val="18"/>
          <w:szCs w:val="18"/>
          <w:lang w:val="es-ES_tradnl"/>
        </w:rPr>
        <w:t xml:space="preserve">Urbanizaciones y Construcciones </w:t>
      </w:r>
      <w:r>
        <w:rPr>
          <w:rFonts w:cs="Times New Roman"/>
          <w:spacing w:val="-7"/>
          <w:sz w:val="18"/>
          <w:szCs w:val="18"/>
          <w:lang w:val="es-ES_tradnl"/>
        </w:rPr>
        <w:t>“</w:t>
      </w:r>
      <w:r>
        <w:rPr>
          <w:spacing w:val="-7"/>
          <w:sz w:val="18"/>
          <w:szCs w:val="18"/>
          <w:lang w:val="es-ES_tradnl"/>
        </w:rPr>
        <w:t>Nuevo Amanecer</w:t>
      </w:r>
      <w:r>
        <w:rPr>
          <w:rFonts w:cs="Times New Roman"/>
          <w:spacing w:val="-7"/>
          <w:sz w:val="18"/>
          <w:szCs w:val="18"/>
          <w:lang w:val="es-ES_tradnl"/>
        </w:rPr>
        <w:t>”</w:t>
      </w:r>
      <w:r>
        <w:rPr>
          <w:spacing w:val="-7"/>
          <w:sz w:val="18"/>
          <w:szCs w:val="18"/>
          <w:lang w:val="es-ES_tradnl"/>
        </w:rPr>
        <w:t>.</w:t>
      </w:r>
    </w:p>
    <w:p w14:paraId="4F67ACEA" w14:textId="77777777" w:rsidR="00591D54" w:rsidRDefault="00591D54">
      <w:pPr>
        <w:shd w:val="clear" w:color="auto" w:fill="FFFFFF"/>
        <w:spacing w:before="192" w:line="216" w:lineRule="exact"/>
        <w:ind w:left="686" w:right="326" w:hanging="355"/>
      </w:pPr>
      <w:r>
        <w:rPr>
          <w:b/>
          <w:bCs/>
          <w:spacing w:val="-1"/>
          <w:sz w:val="18"/>
          <w:szCs w:val="18"/>
          <w:lang w:val="es-ES_tradnl"/>
        </w:rPr>
        <w:t xml:space="preserve">II. CONSIDERACIONES Y FUNDAMENTOS </w:t>
      </w:r>
      <w:r>
        <w:rPr>
          <w:b/>
          <w:bCs/>
          <w:sz w:val="18"/>
          <w:szCs w:val="18"/>
          <w:lang w:val="es-ES_tradnl"/>
        </w:rPr>
        <w:t>DE LA CORTE CONSTITUCIONAL</w:t>
      </w:r>
    </w:p>
    <w:p w14:paraId="4F67ACEB" w14:textId="77777777" w:rsidR="00591D54" w:rsidRDefault="00591D54">
      <w:pPr>
        <w:shd w:val="clear" w:color="auto" w:fill="FFFFFF"/>
        <w:spacing w:before="192"/>
      </w:pPr>
      <w:r>
        <w:rPr>
          <w:b/>
          <w:bCs/>
          <w:spacing w:val="-11"/>
          <w:sz w:val="18"/>
          <w:szCs w:val="18"/>
          <w:lang w:val="es-ES_tradnl"/>
        </w:rPr>
        <w:t>Competencia</w:t>
      </w:r>
    </w:p>
    <w:p w14:paraId="4F67ACEC" w14:textId="77777777" w:rsidR="00591D54" w:rsidRDefault="00591D54">
      <w:pPr>
        <w:shd w:val="clear" w:color="auto" w:fill="FFFFFF"/>
        <w:spacing w:before="192" w:line="216" w:lineRule="exact"/>
        <w:jc w:val="both"/>
      </w:pPr>
      <w:r>
        <w:rPr>
          <w:spacing w:val="-6"/>
          <w:sz w:val="18"/>
          <w:szCs w:val="18"/>
          <w:lang w:val="es-ES_tradnl"/>
        </w:rPr>
        <w:t xml:space="preserve">El Pleno de la Corte Constitucional es competente para </w:t>
      </w:r>
      <w:r>
        <w:rPr>
          <w:spacing w:val="-11"/>
          <w:sz w:val="18"/>
          <w:szCs w:val="18"/>
          <w:lang w:val="es-ES_tradnl"/>
        </w:rPr>
        <w:t>conocer y resolver las acciones extraordinarias de protecci</w:t>
      </w:r>
      <w:r>
        <w:rPr>
          <w:rFonts w:cs="Times New Roman"/>
          <w:spacing w:val="-11"/>
          <w:sz w:val="18"/>
          <w:szCs w:val="18"/>
          <w:lang w:val="es-ES_tradnl"/>
        </w:rPr>
        <w:t>ó</w:t>
      </w:r>
      <w:r>
        <w:rPr>
          <w:spacing w:val="-11"/>
          <w:sz w:val="18"/>
          <w:szCs w:val="18"/>
          <w:lang w:val="es-ES_tradnl"/>
        </w:rPr>
        <w:t xml:space="preserve">n, </w:t>
      </w:r>
      <w:r>
        <w:rPr>
          <w:spacing w:val="-5"/>
          <w:sz w:val="18"/>
          <w:szCs w:val="18"/>
          <w:lang w:val="es-ES_tradnl"/>
        </w:rPr>
        <w:t>de conformidad con lo previsto en los art</w:t>
      </w:r>
      <w:r>
        <w:rPr>
          <w:rFonts w:cs="Times New Roman"/>
          <w:spacing w:val="-5"/>
          <w:sz w:val="18"/>
          <w:szCs w:val="18"/>
          <w:lang w:val="es-ES_tradnl"/>
        </w:rPr>
        <w:t>í</w:t>
      </w:r>
      <w:r>
        <w:rPr>
          <w:spacing w:val="-5"/>
          <w:sz w:val="18"/>
          <w:szCs w:val="18"/>
          <w:lang w:val="es-ES_tradnl"/>
        </w:rPr>
        <w:t xml:space="preserve">culos 94, 429 y </w:t>
      </w:r>
      <w:r>
        <w:rPr>
          <w:spacing w:val="-6"/>
          <w:sz w:val="18"/>
          <w:szCs w:val="18"/>
          <w:lang w:val="es-ES_tradnl"/>
        </w:rPr>
        <w:t>437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en concordancia </w:t>
      </w:r>
      <w:r>
        <w:rPr>
          <w:spacing w:val="-1"/>
          <w:sz w:val="18"/>
          <w:szCs w:val="18"/>
          <w:lang w:val="es-ES_tradnl"/>
        </w:rPr>
        <w:t>con lo previsto en el art</w:t>
      </w:r>
      <w:r>
        <w:rPr>
          <w:rFonts w:cs="Times New Roman"/>
          <w:spacing w:val="-1"/>
          <w:sz w:val="18"/>
          <w:szCs w:val="18"/>
          <w:lang w:val="es-ES_tradnl"/>
        </w:rPr>
        <w:t>í</w:t>
      </w:r>
      <w:r>
        <w:rPr>
          <w:spacing w:val="-1"/>
          <w:sz w:val="18"/>
          <w:szCs w:val="18"/>
          <w:lang w:val="es-ES_tradnl"/>
        </w:rPr>
        <w:t>culo 63 de la Ley Org</w:t>
      </w:r>
      <w:r>
        <w:rPr>
          <w:rFonts w:cs="Times New Roman"/>
          <w:spacing w:val="-1"/>
          <w:sz w:val="18"/>
          <w:szCs w:val="18"/>
          <w:lang w:val="es-ES_tradnl"/>
        </w:rPr>
        <w:t>á</w:t>
      </w:r>
      <w:r>
        <w:rPr>
          <w:spacing w:val="-1"/>
          <w:sz w:val="18"/>
          <w:szCs w:val="18"/>
          <w:lang w:val="es-ES_tradnl"/>
        </w:rPr>
        <w:t>nica de</w:t>
      </w:r>
    </w:p>
    <w:p w14:paraId="4F67ACED" w14:textId="77777777" w:rsidR="00591D54" w:rsidRDefault="00591D54">
      <w:pPr>
        <w:shd w:val="clear" w:color="auto" w:fill="FFFFFF"/>
        <w:spacing w:before="10" w:line="216" w:lineRule="exact"/>
        <w:ind w:right="5"/>
        <w:jc w:val="both"/>
      </w:pPr>
      <w:r>
        <w:br w:type="column"/>
      </w:r>
      <w:r>
        <w:rPr>
          <w:spacing w:val="-4"/>
          <w:sz w:val="18"/>
          <w:szCs w:val="18"/>
          <w:lang w:val="es-ES_tradnl"/>
        </w:rPr>
        <w:t>Garant</w:t>
      </w:r>
      <w:r>
        <w:rPr>
          <w:rFonts w:cs="Times New Roman"/>
          <w:spacing w:val="-4"/>
          <w:sz w:val="18"/>
          <w:szCs w:val="18"/>
          <w:lang w:val="es-ES_tradnl"/>
        </w:rPr>
        <w:t>í</w:t>
      </w:r>
      <w:r>
        <w:rPr>
          <w:spacing w:val="-4"/>
          <w:sz w:val="18"/>
          <w:szCs w:val="18"/>
          <w:lang w:val="es-ES_tradnl"/>
        </w:rPr>
        <w:t xml:space="preserve">as Jurisdiccionales y Control Constitucional, y </w:t>
      </w:r>
      <w:r>
        <w:rPr>
          <w:spacing w:val="-7"/>
          <w:sz w:val="18"/>
          <w:szCs w:val="18"/>
          <w:lang w:val="es-ES_tradnl"/>
        </w:rPr>
        <w:t>art</w:t>
      </w:r>
      <w:r>
        <w:rPr>
          <w:rFonts w:cs="Times New Roman"/>
          <w:spacing w:val="-7"/>
          <w:sz w:val="18"/>
          <w:szCs w:val="18"/>
          <w:lang w:val="es-ES_tradnl"/>
        </w:rPr>
        <w:t>í</w:t>
      </w:r>
      <w:r>
        <w:rPr>
          <w:spacing w:val="-7"/>
          <w:sz w:val="18"/>
          <w:szCs w:val="18"/>
          <w:lang w:val="es-ES_tradnl"/>
        </w:rPr>
        <w:t>culo 39 del Reglamento de Sustanciaci</w:t>
      </w:r>
      <w:r>
        <w:rPr>
          <w:rFonts w:cs="Times New Roman"/>
          <w:spacing w:val="-7"/>
          <w:sz w:val="18"/>
          <w:szCs w:val="18"/>
          <w:lang w:val="es-ES_tradnl"/>
        </w:rPr>
        <w:t>ó</w:t>
      </w:r>
      <w:r>
        <w:rPr>
          <w:spacing w:val="-7"/>
          <w:sz w:val="18"/>
          <w:szCs w:val="18"/>
          <w:lang w:val="es-ES_tradnl"/>
        </w:rPr>
        <w:t xml:space="preserve">n de Procesos </w:t>
      </w:r>
      <w:r>
        <w:rPr>
          <w:spacing w:val="-6"/>
          <w:sz w:val="18"/>
          <w:szCs w:val="18"/>
          <w:lang w:val="es-ES_tradnl"/>
        </w:rPr>
        <w:t>de Competencia de la Corte Constitucional. La presente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n ha sido tramitada de conformidad con el ordenamiento jur</w:t>
      </w:r>
      <w:r>
        <w:rPr>
          <w:rFonts w:cs="Times New Roman"/>
          <w:spacing w:val="-6"/>
          <w:sz w:val="18"/>
          <w:szCs w:val="18"/>
          <w:lang w:val="es-ES_tradnl"/>
        </w:rPr>
        <w:t>í</w:t>
      </w:r>
      <w:r>
        <w:rPr>
          <w:spacing w:val="-6"/>
          <w:sz w:val="18"/>
          <w:szCs w:val="18"/>
          <w:lang w:val="es-ES_tradnl"/>
        </w:rPr>
        <w:t xml:space="preserve">dico constitucional y </w:t>
      </w:r>
      <w:r>
        <w:rPr>
          <w:sz w:val="18"/>
          <w:szCs w:val="18"/>
          <w:lang w:val="es-ES_tradnl"/>
        </w:rPr>
        <w:t>legal aplicable al caso.</w:t>
      </w:r>
    </w:p>
    <w:p w14:paraId="4F67ACEE" w14:textId="77777777" w:rsidR="00591D54" w:rsidRDefault="00591D54">
      <w:pPr>
        <w:shd w:val="clear" w:color="auto" w:fill="FFFFFF"/>
        <w:spacing w:before="197"/>
      </w:pPr>
      <w:r>
        <w:rPr>
          <w:b/>
          <w:bCs/>
          <w:spacing w:val="-7"/>
          <w:sz w:val="18"/>
          <w:szCs w:val="18"/>
          <w:lang w:val="es-ES_tradnl"/>
        </w:rPr>
        <w:t>Naturaleza de la acci</w:t>
      </w:r>
      <w:r>
        <w:rPr>
          <w:rFonts w:cs="Times New Roman"/>
          <w:b/>
          <w:bCs/>
          <w:spacing w:val="-7"/>
          <w:sz w:val="18"/>
          <w:szCs w:val="18"/>
          <w:lang w:val="es-ES_tradnl"/>
        </w:rPr>
        <w:t>ó</w:t>
      </w:r>
      <w:r>
        <w:rPr>
          <w:b/>
          <w:bCs/>
          <w:spacing w:val="-7"/>
          <w:sz w:val="18"/>
          <w:szCs w:val="18"/>
          <w:lang w:val="es-ES_tradnl"/>
        </w:rPr>
        <w:t>n extraordinaria de protecci</w:t>
      </w:r>
      <w:r>
        <w:rPr>
          <w:rFonts w:cs="Times New Roman"/>
          <w:b/>
          <w:bCs/>
          <w:spacing w:val="-7"/>
          <w:sz w:val="18"/>
          <w:szCs w:val="18"/>
          <w:lang w:val="es-ES_tradnl"/>
        </w:rPr>
        <w:t>ó</w:t>
      </w:r>
      <w:r>
        <w:rPr>
          <w:b/>
          <w:bCs/>
          <w:spacing w:val="-7"/>
          <w:sz w:val="18"/>
          <w:szCs w:val="18"/>
          <w:lang w:val="es-ES_tradnl"/>
        </w:rPr>
        <w:t>n</w:t>
      </w:r>
    </w:p>
    <w:p w14:paraId="4F67ACEF" w14:textId="77777777" w:rsidR="00591D54" w:rsidRDefault="00591D54">
      <w:pPr>
        <w:shd w:val="clear" w:color="auto" w:fill="FFFFFF"/>
        <w:spacing w:before="197" w:line="216" w:lineRule="exact"/>
        <w:ind w:right="5"/>
        <w:jc w:val="both"/>
      </w:pPr>
      <w:r>
        <w:rPr>
          <w:spacing w:val="-4"/>
          <w:sz w:val="18"/>
          <w:szCs w:val="18"/>
          <w:lang w:val="es-ES_tradnl"/>
        </w:rPr>
        <w:t>Dentro de las denominadas garant</w:t>
      </w:r>
      <w:r>
        <w:rPr>
          <w:rFonts w:cs="Times New Roman"/>
          <w:spacing w:val="-4"/>
          <w:sz w:val="18"/>
          <w:szCs w:val="18"/>
          <w:lang w:val="es-ES_tradnl"/>
        </w:rPr>
        <w:t>í</w:t>
      </w:r>
      <w:r>
        <w:rPr>
          <w:spacing w:val="-4"/>
          <w:sz w:val="18"/>
          <w:szCs w:val="18"/>
          <w:lang w:val="es-ES_tradnl"/>
        </w:rPr>
        <w:t xml:space="preserve">as jurisdiccionales, </w:t>
      </w:r>
      <w:r>
        <w:rPr>
          <w:spacing w:val="-6"/>
          <w:sz w:val="18"/>
          <w:szCs w:val="18"/>
          <w:lang w:val="es-ES_tradnl"/>
        </w:rPr>
        <w:t>tanto la Constituci</w:t>
      </w:r>
      <w:r>
        <w:rPr>
          <w:rFonts w:cs="Times New Roman"/>
          <w:spacing w:val="-6"/>
          <w:sz w:val="18"/>
          <w:szCs w:val="18"/>
          <w:lang w:val="es-ES_tradnl"/>
        </w:rPr>
        <w:t>ó</w:t>
      </w:r>
      <w:r>
        <w:rPr>
          <w:spacing w:val="-6"/>
          <w:sz w:val="18"/>
          <w:szCs w:val="18"/>
          <w:lang w:val="es-ES_tradnl"/>
        </w:rPr>
        <w:t>n como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Control Constitucional han establecido </w:t>
      </w:r>
      <w:r>
        <w:rPr>
          <w:spacing w:val="-9"/>
          <w:sz w:val="18"/>
          <w:szCs w:val="18"/>
          <w:lang w:val="es-ES_tradnl"/>
        </w:rPr>
        <w:t>que la acci</w:t>
      </w:r>
      <w:r>
        <w:rPr>
          <w:rFonts w:cs="Times New Roman"/>
          <w:spacing w:val="-9"/>
          <w:sz w:val="18"/>
          <w:szCs w:val="18"/>
          <w:lang w:val="es-ES_tradnl"/>
        </w:rPr>
        <w:t>ó</w:t>
      </w:r>
      <w:r>
        <w:rPr>
          <w:spacing w:val="-9"/>
          <w:sz w:val="18"/>
          <w:szCs w:val="18"/>
          <w:lang w:val="es-ES_tradnl"/>
        </w:rPr>
        <w:t>n extraordinaria de protecci</w:t>
      </w:r>
      <w:r>
        <w:rPr>
          <w:rFonts w:cs="Times New Roman"/>
          <w:spacing w:val="-9"/>
          <w:sz w:val="18"/>
          <w:szCs w:val="18"/>
          <w:lang w:val="es-ES_tradnl"/>
        </w:rPr>
        <w:t>ó</w:t>
      </w:r>
      <w:r>
        <w:rPr>
          <w:spacing w:val="-9"/>
          <w:sz w:val="18"/>
          <w:szCs w:val="18"/>
          <w:lang w:val="es-ES_tradnl"/>
        </w:rPr>
        <w:t>n proceder</w:t>
      </w:r>
      <w:r>
        <w:rPr>
          <w:rFonts w:cs="Times New Roman"/>
          <w:spacing w:val="-9"/>
          <w:sz w:val="18"/>
          <w:szCs w:val="18"/>
          <w:lang w:val="es-ES_tradnl"/>
        </w:rPr>
        <w:t>á</w:t>
      </w:r>
      <w:r>
        <w:rPr>
          <w:spacing w:val="-9"/>
          <w:sz w:val="18"/>
          <w:szCs w:val="18"/>
          <w:lang w:val="es-ES_tradnl"/>
        </w:rPr>
        <w:t xml:space="preserve"> contra </w:t>
      </w:r>
      <w:r>
        <w:rPr>
          <w:spacing w:val="-11"/>
          <w:sz w:val="18"/>
          <w:szCs w:val="18"/>
          <w:lang w:val="es-ES_tradnl"/>
        </w:rPr>
        <w:t xml:space="preserve">sentencias o autos definitivos en los que se haya violado, por </w:t>
      </w:r>
      <w:r>
        <w:rPr>
          <w:spacing w:val="-8"/>
          <w:sz w:val="18"/>
          <w:szCs w:val="18"/>
          <w:lang w:val="es-ES_tradnl"/>
        </w:rPr>
        <w:t>acci</w:t>
      </w:r>
      <w:r>
        <w:rPr>
          <w:rFonts w:cs="Times New Roman"/>
          <w:spacing w:val="-8"/>
          <w:sz w:val="18"/>
          <w:szCs w:val="18"/>
          <w:lang w:val="es-ES_tradnl"/>
        </w:rPr>
        <w:t>ó</w:t>
      </w:r>
      <w:r>
        <w:rPr>
          <w:spacing w:val="-8"/>
          <w:sz w:val="18"/>
          <w:szCs w:val="18"/>
          <w:lang w:val="es-ES_tradnl"/>
        </w:rPr>
        <w:t>n u omisi</w:t>
      </w:r>
      <w:r>
        <w:rPr>
          <w:rFonts w:cs="Times New Roman"/>
          <w:spacing w:val="-8"/>
          <w:sz w:val="18"/>
          <w:szCs w:val="18"/>
          <w:lang w:val="es-ES_tradnl"/>
        </w:rPr>
        <w:t>ó</w:t>
      </w:r>
      <w:r>
        <w:rPr>
          <w:spacing w:val="-8"/>
          <w:sz w:val="18"/>
          <w:szCs w:val="18"/>
          <w:lang w:val="es-ES_tradnl"/>
        </w:rPr>
        <w:t>n, derechos reconocidos en la Constituci</w:t>
      </w:r>
      <w:r>
        <w:rPr>
          <w:rFonts w:cs="Times New Roman"/>
          <w:spacing w:val="-8"/>
          <w:sz w:val="18"/>
          <w:szCs w:val="18"/>
          <w:lang w:val="es-ES_tradnl"/>
        </w:rPr>
        <w:t>ó</w:t>
      </w:r>
      <w:r>
        <w:rPr>
          <w:spacing w:val="-8"/>
          <w:sz w:val="18"/>
          <w:szCs w:val="18"/>
          <w:lang w:val="es-ES_tradnl"/>
        </w:rPr>
        <w:t>n.</w:t>
      </w:r>
    </w:p>
    <w:p w14:paraId="4F67ACF0" w14:textId="77777777" w:rsidR="00591D54" w:rsidRDefault="00591D54">
      <w:pPr>
        <w:shd w:val="clear" w:color="auto" w:fill="FFFFFF"/>
        <w:spacing w:before="197" w:line="216" w:lineRule="exact"/>
        <w:ind w:right="5"/>
        <w:jc w:val="both"/>
      </w:pPr>
      <w:r>
        <w:rPr>
          <w:spacing w:val="-9"/>
          <w:sz w:val="18"/>
          <w:szCs w:val="18"/>
          <w:lang w:val="es-ES_tradnl"/>
        </w:rPr>
        <w:t>Ahora bien, es l</w:t>
      </w:r>
      <w:r>
        <w:rPr>
          <w:rFonts w:cs="Times New Roman"/>
          <w:spacing w:val="-9"/>
          <w:sz w:val="18"/>
          <w:szCs w:val="18"/>
          <w:lang w:val="es-ES_tradnl"/>
        </w:rPr>
        <w:t>ó</w:t>
      </w:r>
      <w:r>
        <w:rPr>
          <w:spacing w:val="-9"/>
          <w:sz w:val="18"/>
          <w:szCs w:val="18"/>
          <w:lang w:val="es-ES_tradnl"/>
        </w:rPr>
        <w:t>gico que pueda ocurrir que la actuaci</w:t>
      </w:r>
      <w:r>
        <w:rPr>
          <w:rFonts w:cs="Times New Roman"/>
          <w:spacing w:val="-9"/>
          <w:sz w:val="18"/>
          <w:szCs w:val="18"/>
          <w:lang w:val="es-ES_tradnl"/>
        </w:rPr>
        <w:t>ó</w:t>
      </w:r>
      <w:r>
        <w:rPr>
          <w:spacing w:val="-9"/>
          <w:sz w:val="18"/>
          <w:szCs w:val="18"/>
          <w:lang w:val="es-ES_tradnl"/>
        </w:rPr>
        <w:t xml:space="preserve">n de </w:t>
      </w:r>
      <w:r>
        <w:rPr>
          <w:spacing w:val="-6"/>
          <w:sz w:val="18"/>
          <w:szCs w:val="18"/>
          <w:lang w:val="es-ES_tradnl"/>
        </w:rPr>
        <w:t>los operadores de justicia, a veces, por acci</w:t>
      </w:r>
      <w:r>
        <w:rPr>
          <w:rFonts w:cs="Times New Roman"/>
          <w:spacing w:val="-6"/>
          <w:sz w:val="18"/>
          <w:szCs w:val="18"/>
          <w:lang w:val="es-ES_tradnl"/>
        </w:rPr>
        <w:t>ó</w:t>
      </w:r>
      <w:r>
        <w:rPr>
          <w:spacing w:val="-6"/>
          <w:sz w:val="18"/>
          <w:szCs w:val="18"/>
          <w:lang w:val="es-ES_tradnl"/>
        </w:rPr>
        <w:t>n u omisi</w:t>
      </w:r>
      <w:r>
        <w:rPr>
          <w:rFonts w:cs="Times New Roman"/>
          <w:spacing w:val="-6"/>
          <w:sz w:val="18"/>
          <w:szCs w:val="18"/>
          <w:lang w:val="es-ES_tradnl"/>
        </w:rPr>
        <w:t>ó</w:t>
      </w:r>
      <w:r>
        <w:rPr>
          <w:spacing w:val="-6"/>
          <w:sz w:val="18"/>
          <w:szCs w:val="18"/>
          <w:lang w:val="es-ES_tradnl"/>
        </w:rPr>
        <w:t xml:space="preserve">n, </w:t>
      </w:r>
      <w:r>
        <w:rPr>
          <w:spacing w:val="-7"/>
          <w:sz w:val="18"/>
          <w:szCs w:val="18"/>
          <w:lang w:val="es-ES_tradnl"/>
        </w:rPr>
        <w:t>conlleve a la vulneraci</w:t>
      </w:r>
      <w:r>
        <w:rPr>
          <w:rFonts w:cs="Times New Roman"/>
          <w:spacing w:val="-7"/>
          <w:sz w:val="18"/>
          <w:szCs w:val="18"/>
          <w:lang w:val="es-ES_tradnl"/>
        </w:rPr>
        <w:t>ó</w:t>
      </w:r>
      <w:r>
        <w:rPr>
          <w:spacing w:val="-7"/>
          <w:sz w:val="18"/>
          <w:szCs w:val="18"/>
          <w:lang w:val="es-ES_tradnl"/>
        </w:rPr>
        <w:t>n de uno o m</w:t>
      </w:r>
      <w:r>
        <w:rPr>
          <w:rFonts w:cs="Times New Roman"/>
          <w:spacing w:val="-7"/>
          <w:sz w:val="18"/>
          <w:szCs w:val="18"/>
          <w:lang w:val="es-ES_tradnl"/>
        </w:rPr>
        <w:t>á</w:t>
      </w:r>
      <w:r>
        <w:rPr>
          <w:spacing w:val="-7"/>
          <w:sz w:val="18"/>
          <w:szCs w:val="18"/>
          <w:lang w:val="es-ES_tradnl"/>
        </w:rPr>
        <w:t xml:space="preserve">s de los derechos </w:t>
      </w:r>
      <w:r>
        <w:rPr>
          <w:sz w:val="18"/>
          <w:szCs w:val="18"/>
          <w:lang w:val="es-ES_tradnl"/>
        </w:rPr>
        <w:t>consagrados en la Constituci</w:t>
      </w:r>
      <w:r>
        <w:rPr>
          <w:rFonts w:cs="Times New Roman"/>
          <w:sz w:val="18"/>
          <w:szCs w:val="18"/>
          <w:lang w:val="es-ES_tradnl"/>
        </w:rPr>
        <w:t>ó</w:t>
      </w:r>
      <w:r>
        <w:rPr>
          <w:sz w:val="18"/>
          <w:szCs w:val="18"/>
          <w:lang w:val="es-ES_tradnl"/>
        </w:rPr>
        <w:t>n.</w:t>
      </w:r>
    </w:p>
    <w:p w14:paraId="4F67ACF1" w14:textId="77777777" w:rsidR="00591D54" w:rsidRDefault="00591D54">
      <w:pPr>
        <w:shd w:val="clear" w:color="auto" w:fill="FFFFFF"/>
        <w:spacing w:before="197" w:line="216" w:lineRule="exact"/>
        <w:ind w:right="5"/>
        <w:jc w:val="both"/>
      </w:pPr>
      <w:r>
        <w:rPr>
          <w:spacing w:val="-6"/>
          <w:sz w:val="18"/>
          <w:szCs w:val="18"/>
          <w:lang w:val="es-ES_tradnl"/>
        </w:rPr>
        <w:t xml:space="preserve">Por ello, para tutelar, proteger y remediar los efectos que </w:t>
      </w:r>
      <w:r>
        <w:rPr>
          <w:spacing w:val="-9"/>
          <w:sz w:val="18"/>
          <w:szCs w:val="18"/>
          <w:lang w:val="es-ES_tradnl"/>
        </w:rPr>
        <w:t>producen tales errores, se incorpor</w:t>
      </w:r>
      <w:r>
        <w:rPr>
          <w:rFonts w:cs="Times New Roman"/>
          <w:spacing w:val="-9"/>
          <w:sz w:val="18"/>
          <w:szCs w:val="18"/>
          <w:lang w:val="es-ES_tradnl"/>
        </w:rPr>
        <w:t>ó</w:t>
      </w:r>
      <w:r>
        <w:rPr>
          <w:spacing w:val="-9"/>
          <w:sz w:val="18"/>
          <w:szCs w:val="18"/>
          <w:lang w:val="es-ES_tradnl"/>
        </w:rPr>
        <w:t xml:space="preserve"> esta acci</w:t>
      </w:r>
      <w:r>
        <w:rPr>
          <w:rFonts w:cs="Times New Roman"/>
          <w:spacing w:val="-9"/>
          <w:sz w:val="18"/>
          <w:szCs w:val="18"/>
          <w:lang w:val="es-ES_tradnl"/>
        </w:rPr>
        <w:t>ó</w:t>
      </w:r>
      <w:r>
        <w:rPr>
          <w:spacing w:val="-9"/>
          <w:sz w:val="18"/>
          <w:szCs w:val="18"/>
          <w:lang w:val="es-ES_tradnl"/>
        </w:rPr>
        <w:t xml:space="preserve">n, cuya labor </w:t>
      </w:r>
      <w:r>
        <w:rPr>
          <w:spacing w:val="-6"/>
          <w:sz w:val="18"/>
          <w:szCs w:val="18"/>
          <w:lang w:val="es-ES_tradnl"/>
        </w:rPr>
        <w:t>se centra en verificar que en la tramitaci</w:t>
      </w:r>
      <w:r>
        <w:rPr>
          <w:rFonts w:cs="Times New Roman"/>
          <w:spacing w:val="-6"/>
          <w:sz w:val="18"/>
          <w:szCs w:val="18"/>
          <w:lang w:val="es-ES_tradnl"/>
        </w:rPr>
        <w:t>ó</w:t>
      </w:r>
      <w:r>
        <w:rPr>
          <w:spacing w:val="-6"/>
          <w:sz w:val="18"/>
          <w:szCs w:val="18"/>
          <w:lang w:val="es-ES_tradnl"/>
        </w:rPr>
        <w:t xml:space="preserve">n de las causas </w:t>
      </w:r>
      <w:r>
        <w:rPr>
          <w:spacing w:val="-9"/>
          <w:sz w:val="18"/>
          <w:szCs w:val="18"/>
          <w:lang w:val="es-ES_tradnl"/>
        </w:rPr>
        <w:t xml:space="preserve">se observaron las normas del debido proceso, la seguridad </w:t>
      </w:r>
      <w:r>
        <w:rPr>
          <w:spacing w:val="-4"/>
          <w:sz w:val="18"/>
          <w:szCs w:val="18"/>
          <w:lang w:val="es-ES_tradnl"/>
        </w:rPr>
        <w:t>jur</w:t>
      </w:r>
      <w:r>
        <w:rPr>
          <w:rFonts w:cs="Times New Roman"/>
          <w:spacing w:val="-4"/>
          <w:sz w:val="18"/>
          <w:szCs w:val="18"/>
          <w:lang w:val="es-ES_tradnl"/>
        </w:rPr>
        <w:t>í</w:t>
      </w:r>
      <w:r>
        <w:rPr>
          <w:spacing w:val="-4"/>
          <w:sz w:val="18"/>
          <w:szCs w:val="18"/>
          <w:lang w:val="es-ES_tradnl"/>
        </w:rPr>
        <w:t xml:space="preserve">dica y otros derechos constitucionales, en uso del </w:t>
      </w:r>
      <w:r>
        <w:rPr>
          <w:spacing w:val="-7"/>
          <w:sz w:val="18"/>
          <w:szCs w:val="18"/>
          <w:lang w:val="es-ES_tradnl"/>
        </w:rPr>
        <w:t>principio de la supremac</w:t>
      </w:r>
      <w:r>
        <w:rPr>
          <w:rFonts w:cs="Times New Roman"/>
          <w:spacing w:val="-7"/>
          <w:sz w:val="18"/>
          <w:szCs w:val="18"/>
          <w:lang w:val="es-ES_tradnl"/>
        </w:rPr>
        <w:t>í</w:t>
      </w:r>
      <w:r>
        <w:rPr>
          <w:spacing w:val="-7"/>
          <w:sz w:val="18"/>
          <w:szCs w:val="18"/>
          <w:lang w:val="es-ES_tradnl"/>
        </w:rPr>
        <w:t xml:space="preserve">a constitucional, por lo dispuesto </w:t>
      </w:r>
      <w:r>
        <w:rPr>
          <w:spacing w:val="-4"/>
          <w:sz w:val="18"/>
          <w:szCs w:val="18"/>
          <w:lang w:val="es-ES_tradnl"/>
        </w:rPr>
        <w:t>en el art</w:t>
      </w:r>
      <w:r>
        <w:rPr>
          <w:rFonts w:cs="Times New Roman"/>
          <w:spacing w:val="-4"/>
          <w:sz w:val="18"/>
          <w:szCs w:val="18"/>
          <w:lang w:val="es-ES_tradnl"/>
        </w:rPr>
        <w:t>í</w:t>
      </w:r>
      <w:r>
        <w:rPr>
          <w:spacing w:val="-4"/>
          <w:sz w:val="18"/>
          <w:szCs w:val="18"/>
          <w:lang w:val="es-ES_tradnl"/>
        </w:rPr>
        <w:t>culo 424 de la Constituci</w:t>
      </w:r>
      <w:r>
        <w:rPr>
          <w:rFonts w:cs="Times New Roman"/>
          <w:spacing w:val="-4"/>
          <w:sz w:val="18"/>
          <w:szCs w:val="18"/>
          <w:lang w:val="es-ES_tradnl"/>
        </w:rPr>
        <w:t>ó</w:t>
      </w:r>
      <w:r>
        <w:rPr>
          <w:spacing w:val="-4"/>
          <w:sz w:val="18"/>
          <w:szCs w:val="18"/>
          <w:lang w:val="es-ES_tradnl"/>
        </w:rPr>
        <w:t xml:space="preserve">n, cuyo contenido </w:t>
      </w:r>
      <w:r>
        <w:rPr>
          <w:spacing w:val="-9"/>
          <w:sz w:val="18"/>
          <w:szCs w:val="18"/>
          <w:lang w:val="es-ES_tradnl"/>
        </w:rPr>
        <w:t xml:space="preserve">establece que no existe precepto, de la naturaleza que sea, </w:t>
      </w:r>
      <w:r>
        <w:rPr>
          <w:spacing w:val="-6"/>
          <w:sz w:val="18"/>
          <w:szCs w:val="18"/>
          <w:lang w:val="es-ES_tradnl"/>
        </w:rPr>
        <w:t xml:space="preserve">por encima de este mandato, incluidas las sentencias. Es </w:t>
      </w:r>
      <w:r>
        <w:rPr>
          <w:spacing w:val="-3"/>
          <w:sz w:val="18"/>
          <w:szCs w:val="18"/>
          <w:lang w:val="es-ES_tradnl"/>
        </w:rPr>
        <w:t>en raz</w:t>
      </w:r>
      <w:r>
        <w:rPr>
          <w:rFonts w:cs="Times New Roman"/>
          <w:spacing w:val="-3"/>
          <w:sz w:val="18"/>
          <w:szCs w:val="18"/>
          <w:lang w:val="es-ES_tradnl"/>
        </w:rPr>
        <w:t>ó</w:t>
      </w:r>
      <w:r>
        <w:rPr>
          <w:spacing w:val="-3"/>
          <w:sz w:val="18"/>
          <w:szCs w:val="18"/>
          <w:lang w:val="es-ES_tradnl"/>
        </w:rPr>
        <w:t xml:space="preserve">n de este imperio que el legislador impuso que </w:t>
      </w:r>
      <w:r>
        <w:rPr>
          <w:spacing w:val="-5"/>
          <w:sz w:val="18"/>
          <w:szCs w:val="18"/>
          <w:lang w:val="es-ES_tradnl"/>
        </w:rPr>
        <w:t>todo acto de autoridad p</w:t>
      </w:r>
      <w:r>
        <w:rPr>
          <w:rFonts w:cs="Times New Roman"/>
          <w:spacing w:val="-5"/>
          <w:sz w:val="18"/>
          <w:szCs w:val="18"/>
          <w:lang w:val="es-ES_tradnl"/>
        </w:rPr>
        <w:t>ú</w:t>
      </w:r>
      <w:r>
        <w:rPr>
          <w:spacing w:val="-5"/>
          <w:sz w:val="18"/>
          <w:szCs w:val="18"/>
          <w:lang w:val="es-ES_tradnl"/>
        </w:rPr>
        <w:t xml:space="preserve">blica, incluidos los que ejercen </w:t>
      </w:r>
      <w:r>
        <w:rPr>
          <w:spacing w:val="-4"/>
          <w:sz w:val="18"/>
          <w:szCs w:val="18"/>
          <w:lang w:val="es-ES_tradnl"/>
        </w:rPr>
        <w:t>jurisdicci</w:t>
      </w:r>
      <w:r>
        <w:rPr>
          <w:rFonts w:cs="Times New Roman"/>
          <w:spacing w:val="-4"/>
          <w:sz w:val="18"/>
          <w:szCs w:val="18"/>
          <w:lang w:val="es-ES_tradnl"/>
        </w:rPr>
        <w:t>ó</w:t>
      </w:r>
      <w:r>
        <w:rPr>
          <w:spacing w:val="-4"/>
          <w:sz w:val="18"/>
          <w:szCs w:val="18"/>
          <w:lang w:val="es-ES_tradnl"/>
        </w:rPr>
        <w:t>n en la Funci</w:t>
      </w:r>
      <w:r>
        <w:rPr>
          <w:rFonts w:cs="Times New Roman"/>
          <w:spacing w:val="-4"/>
          <w:sz w:val="18"/>
          <w:szCs w:val="18"/>
          <w:lang w:val="es-ES_tradnl"/>
        </w:rPr>
        <w:t>ó</w:t>
      </w:r>
      <w:r>
        <w:rPr>
          <w:spacing w:val="-4"/>
          <w:sz w:val="18"/>
          <w:szCs w:val="18"/>
          <w:lang w:val="es-ES_tradnl"/>
        </w:rPr>
        <w:t>n Judicial, est</w:t>
      </w:r>
      <w:r>
        <w:rPr>
          <w:rFonts w:cs="Times New Roman"/>
          <w:spacing w:val="-4"/>
          <w:sz w:val="18"/>
          <w:szCs w:val="18"/>
          <w:lang w:val="es-ES_tradnl"/>
        </w:rPr>
        <w:t>é</w:t>
      </w:r>
      <w:r>
        <w:rPr>
          <w:spacing w:val="-4"/>
          <w:sz w:val="18"/>
          <w:szCs w:val="18"/>
          <w:lang w:val="es-ES_tradnl"/>
        </w:rPr>
        <w:t xml:space="preserve">n bajo control de </w:t>
      </w:r>
      <w:r>
        <w:rPr>
          <w:spacing w:val="-9"/>
          <w:sz w:val="18"/>
          <w:szCs w:val="18"/>
          <w:lang w:val="es-ES_tradnl"/>
        </w:rPr>
        <w:t xml:space="preserve">un </w:t>
      </w:r>
      <w:r>
        <w:rPr>
          <w:rFonts w:cs="Times New Roman"/>
          <w:spacing w:val="-9"/>
          <w:sz w:val="18"/>
          <w:szCs w:val="18"/>
          <w:lang w:val="es-ES_tradnl"/>
        </w:rPr>
        <w:t>ó</w:t>
      </w:r>
      <w:r>
        <w:rPr>
          <w:spacing w:val="-9"/>
          <w:sz w:val="18"/>
          <w:szCs w:val="18"/>
          <w:lang w:val="es-ES_tradnl"/>
        </w:rPr>
        <w:t xml:space="preserve">rgano supremo en materia constitucional, para que sea </w:t>
      </w:r>
      <w:r>
        <w:rPr>
          <w:spacing w:val="-10"/>
          <w:sz w:val="18"/>
          <w:szCs w:val="18"/>
          <w:lang w:val="es-ES_tradnl"/>
        </w:rPr>
        <w:t xml:space="preserve">este el que determine si los actos guardan conformidad o no </w:t>
      </w:r>
      <w:r>
        <w:rPr>
          <w:spacing w:val="-9"/>
          <w:sz w:val="18"/>
          <w:szCs w:val="18"/>
          <w:lang w:val="es-ES_tradnl"/>
        </w:rPr>
        <w:t>con las disposiciones que consagran derechos y garant</w:t>
      </w:r>
      <w:r>
        <w:rPr>
          <w:rFonts w:cs="Times New Roman"/>
          <w:spacing w:val="-9"/>
          <w:sz w:val="18"/>
          <w:szCs w:val="18"/>
          <w:lang w:val="es-ES_tradnl"/>
        </w:rPr>
        <w:t>í</w:t>
      </w:r>
      <w:r>
        <w:rPr>
          <w:spacing w:val="-9"/>
          <w:sz w:val="18"/>
          <w:szCs w:val="18"/>
          <w:lang w:val="es-ES_tradnl"/>
        </w:rPr>
        <w:t xml:space="preserve">as </w:t>
      </w:r>
      <w:r>
        <w:rPr>
          <w:spacing w:val="-7"/>
          <w:sz w:val="18"/>
          <w:szCs w:val="18"/>
          <w:lang w:val="es-ES_tradnl"/>
        </w:rPr>
        <w:t xml:space="preserve">constitucionales, de lo cual deviene que el alcance de la </w:t>
      </w:r>
      <w:r>
        <w:rPr>
          <w:spacing w:val="-10"/>
          <w:sz w:val="18"/>
          <w:szCs w:val="18"/>
          <w:lang w:val="es-ES_tradnl"/>
        </w:rPr>
        <w:t>acci</w:t>
      </w:r>
      <w:r>
        <w:rPr>
          <w:rFonts w:cs="Times New Roman"/>
          <w:spacing w:val="-10"/>
          <w:sz w:val="18"/>
          <w:szCs w:val="18"/>
          <w:lang w:val="es-ES_tradnl"/>
        </w:rPr>
        <w:t>ó</w:t>
      </w:r>
      <w:r>
        <w:rPr>
          <w:spacing w:val="-10"/>
          <w:sz w:val="18"/>
          <w:szCs w:val="18"/>
          <w:lang w:val="es-ES_tradnl"/>
        </w:rPr>
        <w:t>n no es otro que dar protecci</w:t>
      </w:r>
      <w:r>
        <w:rPr>
          <w:rFonts w:cs="Times New Roman"/>
          <w:spacing w:val="-10"/>
          <w:sz w:val="18"/>
          <w:szCs w:val="18"/>
          <w:lang w:val="es-ES_tradnl"/>
        </w:rPr>
        <w:t>ó</w:t>
      </w:r>
      <w:r>
        <w:rPr>
          <w:spacing w:val="-10"/>
          <w:sz w:val="18"/>
          <w:szCs w:val="18"/>
          <w:lang w:val="es-ES_tradnl"/>
        </w:rPr>
        <w:t xml:space="preserve">n a los ciudadanos contra </w:t>
      </w:r>
      <w:r>
        <w:rPr>
          <w:spacing w:val="-5"/>
          <w:sz w:val="18"/>
          <w:szCs w:val="18"/>
          <w:lang w:val="es-ES_tradnl"/>
        </w:rPr>
        <w:t>eventuales actos violatorios de dichos bienes jur</w:t>
      </w:r>
      <w:r>
        <w:rPr>
          <w:rFonts w:cs="Times New Roman"/>
          <w:spacing w:val="-5"/>
          <w:sz w:val="18"/>
          <w:szCs w:val="18"/>
          <w:lang w:val="es-ES_tradnl"/>
        </w:rPr>
        <w:t>í</w:t>
      </w:r>
      <w:r>
        <w:rPr>
          <w:spacing w:val="-5"/>
          <w:sz w:val="18"/>
          <w:szCs w:val="18"/>
          <w:lang w:val="es-ES_tradnl"/>
        </w:rPr>
        <w:t xml:space="preserve">dicos, </w:t>
      </w:r>
      <w:r>
        <w:rPr>
          <w:spacing w:val="-8"/>
          <w:sz w:val="18"/>
          <w:szCs w:val="18"/>
          <w:lang w:val="es-ES_tradnl"/>
        </w:rPr>
        <w:t>como tambi</w:t>
      </w:r>
      <w:r>
        <w:rPr>
          <w:rFonts w:cs="Times New Roman"/>
          <w:spacing w:val="-8"/>
          <w:sz w:val="18"/>
          <w:szCs w:val="18"/>
          <w:lang w:val="es-ES_tradnl"/>
        </w:rPr>
        <w:t>é</w:t>
      </w:r>
      <w:r>
        <w:rPr>
          <w:spacing w:val="-8"/>
          <w:sz w:val="18"/>
          <w:szCs w:val="18"/>
          <w:lang w:val="es-ES_tradnl"/>
        </w:rPr>
        <w:t>n declarar su violaci</w:t>
      </w:r>
      <w:r>
        <w:rPr>
          <w:rFonts w:cs="Times New Roman"/>
          <w:spacing w:val="-8"/>
          <w:sz w:val="18"/>
          <w:szCs w:val="18"/>
          <w:lang w:val="es-ES_tradnl"/>
        </w:rPr>
        <w:t>ó</w:t>
      </w:r>
      <w:r>
        <w:rPr>
          <w:spacing w:val="-8"/>
          <w:sz w:val="18"/>
          <w:szCs w:val="18"/>
          <w:lang w:val="es-ES_tradnl"/>
        </w:rPr>
        <w:t xml:space="preserve">n, de haberla, y disponer </w:t>
      </w:r>
      <w:r>
        <w:rPr>
          <w:sz w:val="18"/>
          <w:szCs w:val="18"/>
          <w:lang w:val="es-ES_tradnl"/>
        </w:rPr>
        <w:t>su reparaci</w:t>
      </w:r>
      <w:r>
        <w:rPr>
          <w:rFonts w:cs="Times New Roman"/>
          <w:sz w:val="18"/>
          <w:szCs w:val="18"/>
          <w:lang w:val="es-ES_tradnl"/>
        </w:rPr>
        <w:t>ó</w:t>
      </w:r>
      <w:r>
        <w:rPr>
          <w:sz w:val="18"/>
          <w:szCs w:val="18"/>
          <w:lang w:val="es-ES_tradnl"/>
        </w:rPr>
        <w:t>n integral.</w:t>
      </w:r>
    </w:p>
    <w:p w14:paraId="4F67ACF2" w14:textId="77777777" w:rsidR="00591D54" w:rsidRDefault="00591D54">
      <w:pPr>
        <w:shd w:val="clear" w:color="auto" w:fill="FFFFFF"/>
        <w:spacing w:before="202" w:line="216" w:lineRule="exact"/>
        <w:ind w:right="5"/>
        <w:jc w:val="both"/>
      </w:pPr>
      <w:r>
        <w:rPr>
          <w:spacing w:val="-7"/>
          <w:sz w:val="18"/>
          <w:szCs w:val="18"/>
          <w:lang w:val="es-ES_tradnl"/>
        </w:rPr>
        <w:t>En el art</w:t>
      </w:r>
      <w:r>
        <w:rPr>
          <w:rFonts w:cs="Times New Roman"/>
          <w:spacing w:val="-7"/>
          <w:sz w:val="18"/>
          <w:szCs w:val="18"/>
          <w:lang w:val="es-ES_tradnl"/>
        </w:rPr>
        <w:t>í</w:t>
      </w:r>
      <w:r>
        <w:rPr>
          <w:spacing w:val="-7"/>
          <w:sz w:val="18"/>
          <w:szCs w:val="18"/>
          <w:lang w:val="es-ES_tradnl"/>
        </w:rPr>
        <w:t xml:space="preserve">culo 437 del mismo cuerpo legal se dispone que </w:t>
      </w:r>
      <w:r>
        <w:rPr>
          <w:spacing w:val="-5"/>
          <w:sz w:val="18"/>
          <w:szCs w:val="18"/>
          <w:lang w:val="es-ES_tradnl"/>
        </w:rPr>
        <w:t xml:space="preserve">los ciudadanos, en forma individual o colectiva, puedan </w:t>
      </w:r>
      <w:r>
        <w:rPr>
          <w:spacing w:val="-9"/>
          <w:sz w:val="18"/>
          <w:szCs w:val="18"/>
          <w:lang w:val="es-ES_tradnl"/>
        </w:rPr>
        <w:t>presentar una acci</w:t>
      </w:r>
      <w:r>
        <w:rPr>
          <w:rFonts w:cs="Times New Roman"/>
          <w:spacing w:val="-9"/>
          <w:sz w:val="18"/>
          <w:szCs w:val="18"/>
          <w:lang w:val="es-ES_tradnl"/>
        </w:rPr>
        <w:t>ó</w:t>
      </w:r>
      <w:r>
        <w:rPr>
          <w:spacing w:val="-9"/>
          <w:sz w:val="18"/>
          <w:szCs w:val="18"/>
          <w:lang w:val="es-ES_tradnl"/>
        </w:rPr>
        <w:t>n extraordinaria de protecci</w:t>
      </w:r>
      <w:r>
        <w:rPr>
          <w:rFonts w:cs="Times New Roman"/>
          <w:spacing w:val="-9"/>
          <w:sz w:val="18"/>
          <w:szCs w:val="18"/>
          <w:lang w:val="es-ES_tradnl"/>
        </w:rPr>
        <w:t>ó</w:t>
      </w:r>
      <w:r>
        <w:rPr>
          <w:spacing w:val="-9"/>
          <w:sz w:val="18"/>
          <w:szCs w:val="18"/>
          <w:lang w:val="es-ES_tradnl"/>
        </w:rPr>
        <w:t xml:space="preserve">n en contra </w:t>
      </w:r>
      <w:r>
        <w:rPr>
          <w:spacing w:val="-7"/>
          <w:sz w:val="18"/>
          <w:szCs w:val="18"/>
          <w:lang w:val="es-ES_tradnl"/>
        </w:rPr>
        <w:t xml:space="preserve">de sentencias, autos definitivos y resoluciones con fuerza </w:t>
      </w:r>
      <w:r>
        <w:rPr>
          <w:sz w:val="18"/>
          <w:szCs w:val="18"/>
          <w:lang w:val="es-ES_tradnl"/>
        </w:rPr>
        <w:t>de sentencia.</w:t>
      </w:r>
    </w:p>
    <w:p w14:paraId="4F67ACF3" w14:textId="77777777" w:rsidR="00591D54" w:rsidRDefault="00591D54">
      <w:pPr>
        <w:shd w:val="clear" w:color="auto" w:fill="FFFFFF"/>
        <w:spacing w:before="197"/>
      </w:pPr>
      <w:r>
        <w:rPr>
          <w:b/>
          <w:bCs/>
          <w:spacing w:val="-9"/>
          <w:sz w:val="18"/>
          <w:szCs w:val="18"/>
          <w:lang w:val="es-ES_tradnl"/>
        </w:rPr>
        <w:t>An</w:t>
      </w:r>
      <w:r>
        <w:rPr>
          <w:rFonts w:cs="Times New Roman"/>
          <w:b/>
          <w:bCs/>
          <w:spacing w:val="-9"/>
          <w:sz w:val="18"/>
          <w:szCs w:val="18"/>
          <w:lang w:val="es-ES_tradnl"/>
        </w:rPr>
        <w:t>á</w:t>
      </w:r>
      <w:r>
        <w:rPr>
          <w:b/>
          <w:bCs/>
          <w:spacing w:val="-9"/>
          <w:sz w:val="18"/>
          <w:szCs w:val="18"/>
          <w:lang w:val="es-ES_tradnl"/>
        </w:rPr>
        <w:t>lisis constitucional</w:t>
      </w:r>
    </w:p>
    <w:p w14:paraId="4F67ACF4" w14:textId="77777777" w:rsidR="00591D54" w:rsidRDefault="00591D54">
      <w:pPr>
        <w:shd w:val="clear" w:color="auto" w:fill="FFFFFF"/>
        <w:spacing w:before="197" w:line="221" w:lineRule="exact"/>
        <w:ind w:right="5"/>
        <w:jc w:val="both"/>
      </w:pPr>
      <w:r>
        <w:rPr>
          <w:b/>
          <w:bCs/>
          <w:spacing w:val="-9"/>
          <w:sz w:val="18"/>
          <w:szCs w:val="18"/>
          <w:lang w:val="es-ES_tradnl"/>
        </w:rPr>
        <w:t>Determinaci</w:t>
      </w:r>
      <w:r>
        <w:rPr>
          <w:rFonts w:cs="Times New Roman"/>
          <w:b/>
          <w:bCs/>
          <w:spacing w:val="-9"/>
          <w:sz w:val="18"/>
          <w:szCs w:val="18"/>
          <w:lang w:val="es-ES_tradnl"/>
        </w:rPr>
        <w:t>ó</w:t>
      </w:r>
      <w:r>
        <w:rPr>
          <w:b/>
          <w:bCs/>
          <w:spacing w:val="-9"/>
          <w:sz w:val="18"/>
          <w:szCs w:val="18"/>
          <w:lang w:val="es-ES_tradnl"/>
        </w:rPr>
        <w:t>n del problema jur</w:t>
      </w:r>
      <w:r>
        <w:rPr>
          <w:rFonts w:cs="Times New Roman"/>
          <w:b/>
          <w:bCs/>
          <w:spacing w:val="-9"/>
          <w:sz w:val="18"/>
          <w:szCs w:val="18"/>
          <w:lang w:val="es-ES_tradnl"/>
        </w:rPr>
        <w:t>í</w:t>
      </w:r>
      <w:r>
        <w:rPr>
          <w:b/>
          <w:bCs/>
          <w:spacing w:val="-9"/>
          <w:sz w:val="18"/>
          <w:szCs w:val="18"/>
          <w:lang w:val="es-ES_tradnl"/>
        </w:rPr>
        <w:t>dico para la resoluci</w:t>
      </w:r>
      <w:r>
        <w:rPr>
          <w:rFonts w:cs="Times New Roman"/>
          <w:b/>
          <w:bCs/>
          <w:spacing w:val="-9"/>
          <w:sz w:val="18"/>
          <w:szCs w:val="18"/>
          <w:lang w:val="es-ES_tradnl"/>
        </w:rPr>
        <w:t>ó</w:t>
      </w:r>
      <w:r>
        <w:rPr>
          <w:b/>
          <w:bCs/>
          <w:spacing w:val="-9"/>
          <w:sz w:val="18"/>
          <w:szCs w:val="18"/>
          <w:lang w:val="es-ES_tradnl"/>
        </w:rPr>
        <w:t xml:space="preserve">n </w:t>
      </w:r>
      <w:r>
        <w:rPr>
          <w:b/>
          <w:bCs/>
          <w:sz w:val="18"/>
          <w:szCs w:val="18"/>
          <w:lang w:val="es-ES_tradnl"/>
        </w:rPr>
        <w:t>del caso</w:t>
      </w:r>
    </w:p>
    <w:p w14:paraId="4F67ACF5" w14:textId="77777777" w:rsidR="00591D54" w:rsidRDefault="00591D54">
      <w:pPr>
        <w:shd w:val="clear" w:color="auto" w:fill="FFFFFF"/>
        <w:spacing w:before="197" w:line="216" w:lineRule="exact"/>
        <w:ind w:right="5"/>
        <w:jc w:val="both"/>
      </w:pPr>
      <w:r>
        <w:rPr>
          <w:spacing w:val="-5"/>
          <w:sz w:val="18"/>
          <w:szCs w:val="18"/>
          <w:lang w:val="es-ES_tradnl"/>
        </w:rPr>
        <w:t>En atenci</w:t>
      </w:r>
      <w:r>
        <w:rPr>
          <w:rFonts w:cs="Times New Roman"/>
          <w:spacing w:val="-5"/>
          <w:sz w:val="18"/>
          <w:szCs w:val="18"/>
          <w:lang w:val="es-ES_tradnl"/>
        </w:rPr>
        <w:t>ó</w:t>
      </w:r>
      <w:r>
        <w:rPr>
          <w:spacing w:val="-5"/>
          <w:sz w:val="18"/>
          <w:szCs w:val="18"/>
          <w:lang w:val="es-ES_tradnl"/>
        </w:rPr>
        <w:t>n a lo expuesto, la Corte Constitucional del Ecuador realiza la formulaci</w:t>
      </w:r>
      <w:r>
        <w:rPr>
          <w:rFonts w:cs="Times New Roman"/>
          <w:spacing w:val="-5"/>
          <w:sz w:val="18"/>
          <w:szCs w:val="18"/>
          <w:lang w:val="es-ES_tradnl"/>
        </w:rPr>
        <w:t>ó</w:t>
      </w:r>
      <w:r>
        <w:rPr>
          <w:spacing w:val="-5"/>
          <w:sz w:val="18"/>
          <w:szCs w:val="18"/>
          <w:lang w:val="es-ES_tradnl"/>
        </w:rPr>
        <w:t xml:space="preserve">n del siguiente problema </w:t>
      </w:r>
      <w:r>
        <w:rPr>
          <w:sz w:val="18"/>
          <w:szCs w:val="18"/>
          <w:lang w:val="es-ES_tradnl"/>
        </w:rPr>
        <w:t>jur</w:t>
      </w:r>
      <w:r>
        <w:rPr>
          <w:rFonts w:cs="Times New Roman"/>
          <w:sz w:val="18"/>
          <w:szCs w:val="18"/>
          <w:lang w:val="es-ES_tradnl"/>
        </w:rPr>
        <w:t>í</w:t>
      </w:r>
      <w:r>
        <w:rPr>
          <w:sz w:val="18"/>
          <w:szCs w:val="18"/>
          <w:lang w:val="es-ES_tradnl"/>
        </w:rPr>
        <w:t>dico:</w:t>
      </w:r>
    </w:p>
    <w:p w14:paraId="4F67ACF6" w14:textId="77777777" w:rsidR="00591D54" w:rsidRDefault="00591D54">
      <w:pPr>
        <w:shd w:val="clear" w:color="auto" w:fill="FFFFFF"/>
        <w:spacing w:before="197" w:line="216" w:lineRule="exact"/>
        <w:jc w:val="both"/>
      </w:pPr>
      <w:r>
        <w:rPr>
          <w:b/>
          <w:bCs/>
          <w:sz w:val="18"/>
          <w:szCs w:val="18"/>
          <w:lang w:val="es-ES_tradnl"/>
        </w:rPr>
        <w:t xml:space="preserve">El auto del 30 de noviembre de 2010, emitido por </w:t>
      </w:r>
      <w:r>
        <w:rPr>
          <w:b/>
          <w:bCs/>
          <w:spacing w:val="-6"/>
          <w:sz w:val="18"/>
          <w:szCs w:val="18"/>
          <w:lang w:val="es-ES_tradnl"/>
        </w:rPr>
        <w:t>el Tribunal Primero de Garant</w:t>
      </w:r>
      <w:r>
        <w:rPr>
          <w:rFonts w:cs="Times New Roman"/>
          <w:b/>
          <w:bCs/>
          <w:spacing w:val="-6"/>
          <w:sz w:val="18"/>
          <w:szCs w:val="18"/>
          <w:lang w:val="es-ES_tradnl"/>
        </w:rPr>
        <w:t>í</w:t>
      </w:r>
      <w:r>
        <w:rPr>
          <w:b/>
          <w:bCs/>
          <w:spacing w:val="-6"/>
          <w:sz w:val="18"/>
          <w:szCs w:val="18"/>
          <w:lang w:val="es-ES_tradnl"/>
        </w:rPr>
        <w:t xml:space="preserve">as Penales de Santo </w:t>
      </w:r>
      <w:r>
        <w:rPr>
          <w:b/>
          <w:bCs/>
          <w:spacing w:val="-9"/>
          <w:sz w:val="18"/>
          <w:szCs w:val="18"/>
          <w:lang w:val="es-ES_tradnl"/>
        </w:rPr>
        <w:t>Domingo de los Ts</w:t>
      </w:r>
      <w:r>
        <w:rPr>
          <w:rFonts w:cs="Times New Roman"/>
          <w:b/>
          <w:bCs/>
          <w:spacing w:val="-9"/>
          <w:sz w:val="18"/>
          <w:szCs w:val="18"/>
          <w:lang w:val="es-ES_tradnl"/>
        </w:rPr>
        <w:t>á</w:t>
      </w:r>
      <w:r>
        <w:rPr>
          <w:b/>
          <w:bCs/>
          <w:spacing w:val="-9"/>
          <w:sz w:val="18"/>
          <w:szCs w:val="18"/>
          <w:lang w:val="es-ES_tradnl"/>
        </w:rPr>
        <w:t xml:space="preserve">chilas, </w:t>
      </w:r>
      <w:r>
        <w:rPr>
          <w:rFonts w:cs="Times New Roman"/>
          <w:b/>
          <w:bCs/>
          <w:spacing w:val="-9"/>
          <w:sz w:val="18"/>
          <w:szCs w:val="18"/>
          <w:lang w:val="es-ES_tradnl"/>
        </w:rPr>
        <w:t>¿</w:t>
      </w:r>
      <w:r>
        <w:rPr>
          <w:b/>
          <w:bCs/>
          <w:spacing w:val="-9"/>
          <w:sz w:val="18"/>
          <w:szCs w:val="18"/>
          <w:lang w:val="es-ES_tradnl"/>
        </w:rPr>
        <w:t>vulner</w:t>
      </w:r>
      <w:r>
        <w:rPr>
          <w:rFonts w:cs="Times New Roman"/>
          <w:b/>
          <w:bCs/>
          <w:spacing w:val="-9"/>
          <w:sz w:val="18"/>
          <w:szCs w:val="18"/>
          <w:lang w:val="es-ES_tradnl"/>
        </w:rPr>
        <w:t>ó</w:t>
      </w:r>
      <w:r>
        <w:rPr>
          <w:b/>
          <w:bCs/>
          <w:spacing w:val="-9"/>
          <w:sz w:val="18"/>
          <w:szCs w:val="18"/>
          <w:lang w:val="es-ES_tradnl"/>
        </w:rPr>
        <w:t xml:space="preserve"> el derecho a la </w:t>
      </w:r>
      <w:r>
        <w:rPr>
          <w:b/>
          <w:bCs/>
          <w:spacing w:val="-7"/>
          <w:sz w:val="18"/>
          <w:szCs w:val="18"/>
          <w:lang w:val="es-ES_tradnl"/>
        </w:rPr>
        <w:t>seguridad jur</w:t>
      </w:r>
      <w:r>
        <w:rPr>
          <w:rFonts w:cs="Times New Roman"/>
          <w:b/>
          <w:bCs/>
          <w:spacing w:val="-7"/>
          <w:sz w:val="18"/>
          <w:szCs w:val="18"/>
          <w:lang w:val="es-ES_tradnl"/>
        </w:rPr>
        <w:t>í</w:t>
      </w:r>
      <w:r>
        <w:rPr>
          <w:b/>
          <w:bCs/>
          <w:spacing w:val="-7"/>
          <w:sz w:val="18"/>
          <w:szCs w:val="18"/>
          <w:lang w:val="es-ES_tradnl"/>
        </w:rPr>
        <w:t>dica, establecido en el art</w:t>
      </w:r>
      <w:r>
        <w:rPr>
          <w:rFonts w:cs="Times New Roman"/>
          <w:b/>
          <w:bCs/>
          <w:spacing w:val="-7"/>
          <w:sz w:val="18"/>
          <w:szCs w:val="18"/>
          <w:lang w:val="es-ES_tradnl"/>
        </w:rPr>
        <w:t>í</w:t>
      </w:r>
      <w:r>
        <w:rPr>
          <w:b/>
          <w:bCs/>
          <w:spacing w:val="-7"/>
          <w:sz w:val="18"/>
          <w:szCs w:val="18"/>
          <w:lang w:val="es-ES_tradnl"/>
        </w:rPr>
        <w:t xml:space="preserve">culo 82 de la </w:t>
      </w:r>
      <w:r>
        <w:rPr>
          <w:b/>
          <w:bCs/>
          <w:spacing w:val="-8"/>
          <w:sz w:val="18"/>
          <w:szCs w:val="18"/>
          <w:lang w:val="es-ES_tradnl"/>
        </w:rPr>
        <w:t>Constituci</w:t>
      </w:r>
      <w:r>
        <w:rPr>
          <w:rFonts w:cs="Times New Roman"/>
          <w:b/>
          <w:bCs/>
          <w:spacing w:val="-8"/>
          <w:sz w:val="18"/>
          <w:szCs w:val="18"/>
          <w:lang w:val="es-ES_tradnl"/>
        </w:rPr>
        <w:t>ó</w:t>
      </w:r>
      <w:r>
        <w:rPr>
          <w:b/>
          <w:bCs/>
          <w:spacing w:val="-8"/>
          <w:sz w:val="18"/>
          <w:szCs w:val="18"/>
          <w:lang w:val="es-ES_tradnl"/>
        </w:rPr>
        <w:t>n de la Rep</w:t>
      </w:r>
      <w:r>
        <w:rPr>
          <w:rFonts w:cs="Times New Roman"/>
          <w:b/>
          <w:bCs/>
          <w:spacing w:val="-8"/>
          <w:sz w:val="18"/>
          <w:szCs w:val="18"/>
          <w:lang w:val="es-ES_tradnl"/>
        </w:rPr>
        <w:t>ú</w:t>
      </w:r>
      <w:r>
        <w:rPr>
          <w:b/>
          <w:bCs/>
          <w:spacing w:val="-8"/>
          <w:sz w:val="18"/>
          <w:szCs w:val="18"/>
          <w:lang w:val="es-ES_tradnl"/>
        </w:rPr>
        <w:t>blica del Ecuador?</w:t>
      </w:r>
    </w:p>
    <w:p w14:paraId="4F67ACF7" w14:textId="77777777" w:rsidR="00591D54" w:rsidRDefault="00591D54">
      <w:pPr>
        <w:shd w:val="clear" w:color="auto" w:fill="FFFFFF"/>
        <w:spacing w:before="197" w:line="216" w:lineRule="exact"/>
        <w:jc w:val="both"/>
        <w:sectPr w:rsidR="00591D54">
          <w:type w:val="continuous"/>
          <w:pgSz w:w="11909" w:h="16834"/>
          <w:pgMar w:top="1371" w:right="1304" w:bottom="360" w:left="1308" w:header="720" w:footer="720" w:gutter="0"/>
          <w:cols w:num="2" w:space="720" w:equalWidth="0">
            <w:col w:w="4305" w:space="682"/>
            <w:col w:w="4310"/>
          </w:cols>
          <w:noEndnote/>
        </w:sectPr>
      </w:pPr>
    </w:p>
    <w:p w14:paraId="4F67ACF8" w14:textId="77777777" w:rsidR="00591D54" w:rsidRDefault="00591D54">
      <w:pPr>
        <w:shd w:val="clear" w:color="auto" w:fill="FFFFFF"/>
        <w:tabs>
          <w:tab w:val="left" w:pos="4814"/>
        </w:tabs>
        <w:spacing w:after="235"/>
        <w:ind w:left="14"/>
      </w:pPr>
      <w:r>
        <w:rPr>
          <w:b/>
          <w:bCs/>
          <w:sz w:val="18"/>
          <w:szCs w:val="18"/>
          <w:lang w:val="es-ES_tradnl"/>
        </w:rPr>
        <w:t xml:space="preserve">116 -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CF9" w14:textId="77777777" w:rsidR="00591D54" w:rsidRDefault="00591D54">
      <w:pPr>
        <w:shd w:val="clear" w:color="auto" w:fill="FFFFFF"/>
        <w:tabs>
          <w:tab w:val="left" w:pos="4814"/>
        </w:tabs>
        <w:spacing w:after="235"/>
        <w:ind w:left="14"/>
        <w:sectPr w:rsidR="00591D54">
          <w:pgSz w:w="11909" w:h="16834"/>
          <w:pgMar w:top="1359" w:right="1309" w:bottom="360" w:left="1308" w:header="720" w:footer="720" w:gutter="0"/>
          <w:cols w:space="60"/>
          <w:noEndnote/>
        </w:sectPr>
      </w:pPr>
    </w:p>
    <w:p w14:paraId="4F67ACFA" w14:textId="77777777" w:rsidR="00591D54" w:rsidRDefault="00591D54">
      <w:pPr>
        <w:shd w:val="clear" w:color="auto" w:fill="FFFFFF"/>
        <w:spacing w:line="216" w:lineRule="exact"/>
        <w:jc w:val="both"/>
      </w:pPr>
      <w:r>
        <w:rPr>
          <w:spacing w:val="-6"/>
          <w:sz w:val="18"/>
          <w:szCs w:val="18"/>
          <w:lang w:val="es-ES_tradnl"/>
        </w:rPr>
        <w:t>Para dar soluci</w:t>
      </w:r>
      <w:r>
        <w:rPr>
          <w:rFonts w:cs="Times New Roman"/>
          <w:spacing w:val="-6"/>
          <w:sz w:val="18"/>
          <w:szCs w:val="18"/>
          <w:lang w:val="es-ES_tradnl"/>
        </w:rPr>
        <w:t>ó</w:t>
      </w:r>
      <w:r>
        <w:rPr>
          <w:spacing w:val="-6"/>
          <w:sz w:val="18"/>
          <w:szCs w:val="18"/>
          <w:lang w:val="es-ES_tradnl"/>
        </w:rPr>
        <w:t>n al problema jur</w:t>
      </w:r>
      <w:r>
        <w:rPr>
          <w:rFonts w:cs="Times New Roman"/>
          <w:spacing w:val="-6"/>
          <w:sz w:val="18"/>
          <w:szCs w:val="18"/>
          <w:lang w:val="es-ES_tradnl"/>
        </w:rPr>
        <w:t>í</w:t>
      </w:r>
      <w:r>
        <w:rPr>
          <w:spacing w:val="-6"/>
          <w:sz w:val="18"/>
          <w:szCs w:val="18"/>
          <w:lang w:val="es-ES_tradnl"/>
        </w:rPr>
        <w:t>dico planteado, la Corte se pronunciar</w:t>
      </w:r>
      <w:r>
        <w:rPr>
          <w:rFonts w:cs="Times New Roman"/>
          <w:spacing w:val="-6"/>
          <w:sz w:val="18"/>
          <w:szCs w:val="18"/>
          <w:lang w:val="es-ES_tradnl"/>
        </w:rPr>
        <w:t>á</w:t>
      </w:r>
      <w:r>
        <w:rPr>
          <w:spacing w:val="-6"/>
          <w:sz w:val="18"/>
          <w:szCs w:val="18"/>
          <w:lang w:val="es-ES_tradnl"/>
        </w:rPr>
        <w:t xml:space="preserve"> sobre la naturaleza jur</w:t>
      </w:r>
      <w:r>
        <w:rPr>
          <w:rFonts w:cs="Times New Roman"/>
          <w:spacing w:val="-6"/>
          <w:sz w:val="18"/>
          <w:szCs w:val="18"/>
          <w:lang w:val="es-ES_tradnl"/>
        </w:rPr>
        <w:t>í</w:t>
      </w:r>
      <w:r>
        <w:rPr>
          <w:spacing w:val="-6"/>
          <w:sz w:val="18"/>
          <w:szCs w:val="18"/>
          <w:lang w:val="es-ES_tradnl"/>
        </w:rPr>
        <w:t xml:space="preserve">dica del principio </w:t>
      </w:r>
      <w:r>
        <w:rPr>
          <w:sz w:val="18"/>
          <w:szCs w:val="18"/>
          <w:lang w:val="es-ES_tradnl"/>
        </w:rPr>
        <w:t>constitucional de la seguridad jur</w:t>
      </w:r>
      <w:r>
        <w:rPr>
          <w:rFonts w:cs="Times New Roman"/>
          <w:sz w:val="18"/>
          <w:szCs w:val="18"/>
          <w:lang w:val="es-ES_tradnl"/>
        </w:rPr>
        <w:t>í</w:t>
      </w:r>
      <w:r>
        <w:rPr>
          <w:sz w:val="18"/>
          <w:szCs w:val="18"/>
          <w:lang w:val="es-ES_tradnl"/>
        </w:rPr>
        <w:t>dica.</w:t>
      </w:r>
    </w:p>
    <w:p w14:paraId="4F67ACFB" w14:textId="77777777" w:rsidR="00591D54" w:rsidRDefault="00591D54">
      <w:pPr>
        <w:shd w:val="clear" w:color="auto" w:fill="FFFFFF"/>
        <w:spacing w:before="197" w:line="216" w:lineRule="exact"/>
        <w:ind w:right="5"/>
        <w:jc w:val="both"/>
      </w:pPr>
      <w:r>
        <w:rPr>
          <w:spacing w:val="-7"/>
          <w:sz w:val="18"/>
          <w:szCs w:val="18"/>
          <w:lang w:val="es-ES_tradnl"/>
        </w:rPr>
        <w:t>La naturaleza jur</w:t>
      </w:r>
      <w:r>
        <w:rPr>
          <w:rFonts w:cs="Times New Roman"/>
          <w:spacing w:val="-7"/>
          <w:sz w:val="18"/>
          <w:szCs w:val="18"/>
          <w:lang w:val="es-ES_tradnl"/>
        </w:rPr>
        <w:t>í</w:t>
      </w:r>
      <w:r>
        <w:rPr>
          <w:spacing w:val="-7"/>
          <w:sz w:val="18"/>
          <w:szCs w:val="18"/>
          <w:lang w:val="es-ES_tradnl"/>
        </w:rPr>
        <w:t xml:space="preserve">dica del principio constitucional relativo a </w:t>
      </w:r>
      <w:r>
        <w:rPr>
          <w:spacing w:val="-10"/>
          <w:sz w:val="18"/>
          <w:szCs w:val="18"/>
          <w:lang w:val="es-ES_tradnl"/>
        </w:rPr>
        <w:t>la seguridad jur</w:t>
      </w:r>
      <w:r>
        <w:rPr>
          <w:rFonts w:cs="Times New Roman"/>
          <w:spacing w:val="-10"/>
          <w:sz w:val="18"/>
          <w:szCs w:val="18"/>
          <w:lang w:val="es-ES_tradnl"/>
        </w:rPr>
        <w:t>í</w:t>
      </w:r>
      <w:r>
        <w:rPr>
          <w:spacing w:val="-10"/>
          <w:sz w:val="18"/>
          <w:szCs w:val="18"/>
          <w:lang w:val="es-ES_tradnl"/>
        </w:rPr>
        <w:t>dica, se encuentra consagrado en el art</w:t>
      </w:r>
      <w:r>
        <w:rPr>
          <w:rFonts w:cs="Times New Roman"/>
          <w:spacing w:val="-10"/>
          <w:sz w:val="18"/>
          <w:szCs w:val="18"/>
          <w:lang w:val="es-ES_tradnl"/>
        </w:rPr>
        <w:t>í</w:t>
      </w:r>
      <w:r>
        <w:rPr>
          <w:spacing w:val="-10"/>
          <w:sz w:val="18"/>
          <w:szCs w:val="18"/>
          <w:lang w:val="es-ES_tradnl"/>
        </w:rPr>
        <w:t xml:space="preserve">culo </w:t>
      </w:r>
      <w:r>
        <w:rPr>
          <w:spacing w:val="-6"/>
          <w:sz w:val="18"/>
          <w:szCs w:val="18"/>
          <w:lang w:val="es-ES_tradnl"/>
        </w:rPr>
        <w:t>82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 que indica:</w:t>
      </w:r>
    </w:p>
    <w:p w14:paraId="4F67ACFC" w14:textId="77777777" w:rsidR="00591D54" w:rsidRDefault="00591D54">
      <w:pPr>
        <w:shd w:val="clear" w:color="auto" w:fill="FFFFFF"/>
        <w:spacing w:before="202" w:line="216" w:lineRule="exact"/>
        <w:ind w:left="283" w:right="5"/>
        <w:jc w:val="both"/>
      </w:pPr>
      <w:r>
        <w:rPr>
          <w:sz w:val="14"/>
          <w:szCs w:val="14"/>
          <w:lang w:val="es-ES_tradnl"/>
        </w:rPr>
        <w:t>Art. 82.- El derecho a la seguridad jur</w:t>
      </w:r>
      <w:r>
        <w:rPr>
          <w:rFonts w:cs="Times New Roman"/>
          <w:sz w:val="14"/>
          <w:szCs w:val="14"/>
          <w:lang w:val="es-ES_tradnl"/>
        </w:rPr>
        <w:t>í</w:t>
      </w:r>
      <w:r>
        <w:rPr>
          <w:sz w:val="14"/>
          <w:szCs w:val="14"/>
          <w:lang w:val="es-ES_tradnl"/>
        </w:rPr>
        <w:t>dica se fundamenta en el respeto a la Constituci</w:t>
      </w:r>
      <w:r>
        <w:rPr>
          <w:rFonts w:cs="Times New Roman"/>
          <w:sz w:val="14"/>
          <w:szCs w:val="14"/>
          <w:lang w:val="es-ES_tradnl"/>
        </w:rPr>
        <w:t>ó</w:t>
      </w:r>
      <w:r>
        <w:rPr>
          <w:sz w:val="14"/>
          <w:szCs w:val="14"/>
          <w:lang w:val="es-ES_tradnl"/>
        </w:rPr>
        <w:t>n y en la existencia de normas jur</w:t>
      </w:r>
      <w:r>
        <w:rPr>
          <w:rFonts w:cs="Times New Roman"/>
          <w:sz w:val="14"/>
          <w:szCs w:val="14"/>
          <w:lang w:val="es-ES_tradnl"/>
        </w:rPr>
        <w:t>í</w:t>
      </w:r>
      <w:r>
        <w:rPr>
          <w:sz w:val="14"/>
          <w:szCs w:val="14"/>
          <w:lang w:val="es-ES_tradnl"/>
        </w:rPr>
        <w:t>dicas previas, claras, p</w:t>
      </w:r>
      <w:r>
        <w:rPr>
          <w:rFonts w:cs="Times New Roman"/>
          <w:sz w:val="14"/>
          <w:szCs w:val="14"/>
          <w:lang w:val="es-ES_tradnl"/>
        </w:rPr>
        <w:t>ú</w:t>
      </w:r>
      <w:r>
        <w:rPr>
          <w:sz w:val="14"/>
          <w:szCs w:val="14"/>
          <w:lang w:val="es-ES_tradnl"/>
        </w:rPr>
        <w:t>blica y aplicadas por las autoridades competentes.</w:t>
      </w:r>
    </w:p>
    <w:p w14:paraId="4F67ACFD" w14:textId="77777777" w:rsidR="00591D54" w:rsidRDefault="00591D54">
      <w:pPr>
        <w:shd w:val="clear" w:color="auto" w:fill="FFFFFF"/>
        <w:spacing w:before="197" w:line="216" w:lineRule="exact"/>
        <w:jc w:val="both"/>
      </w:pPr>
      <w:r>
        <w:rPr>
          <w:spacing w:val="-7"/>
          <w:sz w:val="18"/>
          <w:szCs w:val="18"/>
          <w:lang w:val="es-ES_tradnl"/>
        </w:rPr>
        <w:t>El contenido de esta disposici</w:t>
      </w:r>
      <w:r>
        <w:rPr>
          <w:rFonts w:cs="Times New Roman"/>
          <w:spacing w:val="-7"/>
          <w:sz w:val="18"/>
          <w:szCs w:val="18"/>
          <w:lang w:val="es-ES_tradnl"/>
        </w:rPr>
        <w:t>ó</w:t>
      </w:r>
      <w:r>
        <w:rPr>
          <w:spacing w:val="-7"/>
          <w:sz w:val="18"/>
          <w:szCs w:val="18"/>
          <w:lang w:val="es-ES_tradnl"/>
        </w:rPr>
        <w:t xml:space="preserve">n constitucional se traduce </w:t>
      </w:r>
      <w:r>
        <w:rPr>
          <w:spacing w:val="-9"/>
          <w:sz w:val="18"/>
          <w:szCs w:val="18"/>
          <w:lang w:val="es-ES_tradnl"/>
        </w:rPr>
        <w:t>en la certeza del derecho, de conocer lo que est</w:t>
      </w:r>
      <w:r>
        <w:rPr>
          <w:rFonts w:cs="Times New Roman"/>
          <w:spacing w:val="-9"/>
          <w:sz w:val="18"/>
          <w:szCs w:val="18"/>
          <w:lang w:val="es-ES_tradnl"/>
        </w:rPr>
        <w:t>á</w:t>
      </w:r>
      <w:r>
        <w:rPr>
          <w:spacing w:val="-9"/>
          <w:sz w:val="18"/>
          <w:szCs w:val="18"/>
          <w:lang w:val="es-ES_tradnl"/>
        </w:rPr>
        <w:t xml:space="preserve"> permitido, </w:t>
      </w:r>
      <w:r>
        <w:rPr>
          <w:spacing w:val="-5"/>
          <w:sz w:val="18"/>
          <w:szCs w:val="18"/>
          <w:lang w:val="es-ES_tradnl"/>
        </w:rPr>
        <w:t>lo que est</w:t>
      </w:r>
      <w:r>
        <w:rPr>
          <w:rFonts w:cs="Times New Roman"/>
          <w:spacing w:val="-5"/>
          <w:sz w:val="18"/>
          <w:szCs w:val="18"/>
          <w:lang w:val="es-ES_tradnl"/>
        </w:rPr>
        <w:t>á</w:t>
      </w:r>
      <w:r>
        <w:rPr>
          <w:spacing w:val="-5"/>
          <w:sz w:val="18"/>
          <w:szCs w:val="18"/>
          <w:lang w:val="es-ES_tradnl"/>
        </w:rPr>
        <w:t xml:space="preserve"> prohibido, lo que se manda cumplir. Es la </w:t>
      </w:r>
      <w:r>
        <w:rPr>
          <w:spacing w:val="-10"/>
          <w:sz w:val="18"/>
          <w:szCs w:val="18"/>
          <w:lang w:val="es-ES_tradnl"/>
        </w:rPr>
        <w:t>seguridad ciudadana del respeto de sus derechos, as</w:t>
      </w:r>
      <w:r>
        <w:rPr>
          <w:rFonts w:cs="Times New Roman"/>
          <w:spacing w:val="-10"/>
          <w:sz w:val="18"/>
          <w:szCs w:val="18"/>
          <w:lang w:val="es-ES_tradnl"/>
        </w:rPr>
        <w:t>í</w:t>
      </w:r>
      <w:r>
        <w:rPr>
          <w:spacing w:val="-10"/>
          <w:sz w:val="18"/>
          <w:szCs w:val="18"/>
          <w:lang w:val="es-ES_tradnl"/>
        </w:rPr>
        <w:t xml:space="preserve"> como </w:t>
      </w:r>
      <w:r>
        <w:rPr>
          <w:spacing w:val="-9"/>
          <w:sz w:val="18"/>
          <w:szCs w:val="18"/>
          <w:lang w:val="es-ES_tradnl"/>
        </w:rPr>
        <w:t xml:space="preserve">el cumplimiento de sus deberes y obligaciones personales y </w:t>
      </w:r>
      <w:r>
        <w:rPr>
          <w:spacing w:val="-12"/>
          <w:sz w:val="18"/>
          <w:szCs w:val="18"/>
          <w:lang w:val="es-ES_tradnl"/>
        </w:rPr>
        <w:t>sociales, y que el Estado responde por su reparaci</w:t>
      </w:r>
      <w:r>
        <w:rPr>
          <w:rFonts w:cs="Times New Roman"/>
          <w:spacing w:val="-12"/>
          <w:sz w:val="18"/>
          <w:szCs w:val="18"/>
          <w:lang w:val="es-ES_tradnl"/>
        </w:rPr>
        <w:t>ó</w:t>
      </w:r>
      <w:r>
        <w:rPr>
          <w:spacing w:val="-12"/>
          <w:sz w:val="18"/>
          <w:szCs w:val="18"/>
          <w:lang w:val="es-ES_tradnl"/>
        </w:rPr>
        <w:t>n, a trav</w:t>
      </w:r>
      <w:r>
        <w:rPr>
          <w:rFonts w:cs="Times New Roman"/>
          <w:spacing w:val="-12"/>
          <w:sz w:val="18"/>
          <w:szCs w:val="18"/>
          <w:lang w:val="es-ES_tradnl"/>
        </w:rPr>
        <w:t>é</w:t>
      </w:r>
      <w:r>
        <w:rPr>
          <w:spacing w:val="-12"/>
          <w:sz w:val="18"/>
          <w:szCs w:val="18"/>
          <w:lang w:val="es-ES_tradnl"/>
        </w:rPr>
        <w:t xml:space="preserve">s </w:t>
      </w:r>
      <w:r>
        <w:rPr>
          <w:spacing w:val="-8"/>
          <w:sz w:val="18"/>
          <w:szCs w:val="18"/>
          <w:lang w:val="es-ES_tradnl"/>
        </w:rPr>
        <w:t xml:space="preserve">de los procedimientos legales establecidos previamente y </w:t>
      </w:r>
      <w:r>
        <w:rPr>
          <w:sz w:val="18"/>
          <w:szCs w:val="18"/>
          <w:lang w:val="es-ES_tradnl"/>
        </w:rPr>
        <w:t>conocidos por todos.</w:t>
      </w:r>
    </w:p>
    <w:p w14:paraId="4F67ACFE" w14:textId="77777777" w:rsidR="00591D54" w:rsidRDefault="00591D54">
      <w:pPr>
        <w:shd w:val="clear" w:color="auto" w:fill="FFFFFF"/>
        <w:spacing w:before="192" w:line="216" w:lineRule="exact"/>
        <w:jc w:val="both"/>
      </w:pPr>
      <w:r>
        <w:rPr>
          <w:spacing w:val="-4"/>
          <w:sz w:val="18"/>
          <w:szCs w:val="18"/>
          <w:lang w:val="es-ES_tradnl"/>
        </w:rPr>
        <w:t>La naturaleza jur</w:t>
      </w:r>
      <w:r>
        <w:rPr>
          <w:rFonts w:cs="Times New Roman"/>
          <w:spacing w:val="-4"/>
          <w:sz w:val="18"/>
          <w:szCs w:val="18"/>
          <w:lang w:val="es-ES_tradnl"/>
        </w:rPr>
        <w:t>í</w:t>
      </w:r>
      <w:r>
        <w:rPr>
          <w:spacing w:val="-4"/>
          <w:sz w:val="18"/>
          <w:szCs w:val="18"/>
          <w:lang w:val="es-ES_tradnl"/>
        </w:rPr>
        <w:t xml:space="preserve">dica del principio constitucional a la </w:t>
      </w:r>
      <w:r>
        <w:rPr>
          <w:spacing w:val="-10"/>
          <w:sz w:val="18"/>
          <w:szCs w:val="18"/>
          <w:lang w:val="es-ES_tradnl"/>
        </w:rPr>
        <w:t>seguridad jur</w:t>
      </w:r>
      <w:r>
        <w:rPr>
          <w:rFonts w:cs="Times New Roman"/>
          <w:spacing w:val="-10"/>
          <w:sz w:val="18"/>
          <w:szCs w:val="18"/>
          <w:lang w:val="es-ES_tradnl"/>
        </w:rPr>
        <w:t>í</w:t>
      </w:r>
      <w:r>
        <w:rPr>
          <w:spacing w:val="-10"/>
          <w:sz w:val="18"/>
          <w:szCs w:val="18"/>
          <w:lang w:val="es-ES_tradnl"/>
        </w:rPr>
        <w:t>dica est</w:t>
      </w:r>
      <w:r>
        <w:rPr>
          <w:rFonts w:cs="Times New Roman"/>
          <w:spacing w:val="-10"/>
          <w:sz w:val="18"/>
          <w:szCs w:val="18"/>
          <w:lang w:val="es-ES_tradnl"/>
        </w:rPr>
        <w:t>á</w:t>
      </w:r>
      <w:r>
        <w:rPr>
          <w:spacing w:val="-10"/>
          <w:sz w:val="18"/>
          <w:szCs w:val="18"/>
          <w:lang w:val="es-ES_tradnl"/>
        </w:rPr>
        <w:t xml:space="preserve"> dada por el hecho de dejar de lado la </w:t>
      </w:r>
      <w:r>
        <w:rPr>
          <w:spacing w:val="-7"/>
          <w:sz w:val="18"/>
          <w:szCs w:val="18"/>
          <w:lang w:val="es-ES_tradnl"/>
        </w:rPr>
        <w:t>arbitrariedad, salvaguardar la armon</w:t>
      </w:r>
      <w:r>
        <w:rPr>
          <w:rFonts w:cs="Times New Roman"/>
          <w:spacing w:val="-7"/>
          <w:sz w:val="18"/>
          <w:szCs w:val="18"/>
          <w:lang w:val="es-ES_tradnl"/>
        </w:rPr>
        <w:t>í</w:t>
      </w:r>
      <w:r>
        <w:rPr>
          <w:spacing w:val="-7"/>
          <w:sz w:val="18"/>
          <w:szCs w:val="18"/>
          <w:lang w:val="es-ES_tradnl"/>
        </w:rPr>
        <w:t>a del sistema jur</w:t>
      </w:r>
      <w:r>
        <w:rPr>
          <w:rFonts w:cs="Times New Roman"/>
          <w:spacing w:val="-7"/>
          <w:sz w:val="18"/>
          <w:szCs w:val="18"/>
          <w:lang w:val="es-ES_tradnl"/>
        </w:rPr>
        <w:t>í</w:t>
      </w:r>
      <w:r>
        <w:rPr>
          <w:spacing w:val="-7"/>
          <w:sz w:val="18"/>
          <w:szCs w:val="18"/>
          <w:lang w:val="es-ES_tradnl"/>
        </w:rPr>
        <w:t xml:space="preserve">dico, observar las formalidades del debido proceso, no limitar el derecho a la defensa, motivar las sentencias, resoluciones </w:t>
      </w:r>
      <w:r>
        <w:rPr>
          <w:spacing w:val="-3"/>
          <w:sz w:val="18"/>
          <w:szCs w:val="18"/>
          <w:lang w:val="es-ES_tradnl"/>
        </w:rPr>
        <w:t>o fallos de autoridad p</w:t>
      </w:r>
      <w:r>
        <w:rPr>
          <w:rFonts w:cs="Times New Roman"/>
          <w:spacing w:val="-3"/>
          <w:sz w:val="18"/>
          <w:szCs w:val="18"/>
          <w:lang w:val="es-ES_tradnl"/>
        </w:rPr>
        <w:t>ú</w:t>
      </w:r>
      <w:r>
        <w:rPr>
          <w:spacing w:val="-3"/>
          <w:sz w:val="18"/>
          <w:szCs w:val="18"/>
          <w:lang w:val="es-ES_tradnl"/>
        </w:rPr>
        <w:t xml:space="preserve">blica administrativa o judicial, </w:t>
      </w:r>
      <w:r>
        <w:rPr>
          <w:spacing w:val="-5"/>
          <w:sz w:val="18"/>
          <w:szCs w:val="18"/>
          <w:lang w:val="es-ES_tradnl"/>
        </w:rPr>
        <w:t xml:space="preserve">recurrir de los mismos en todo procedimiento, del acceso </w:t>
      </w:r>
      <w:r>
        <w:rPr>
          <w:spacing w:val="-7"/>
          <w:sz w:val="18"/>
          <w:szCs w:val="18"/>
          <w:lang w:val="es-ES_tradnl"/>
        </w:rPr>
        <w:t>a la administraci</w:t>
      </w:r>
      <w:r>
        <w:rPr>
          <w:rFonts w:cs="Times New Roman"/>
          <w:spacing w:val="-7"/>
          <w:sz w:val="18"/>
          <w:szCs w:val="18"/>
          <w:lang w:val="es-ES_tradnl"/>
        </w:rPr>
        <w:t>ó</w:t>
      </w:r>
      <w:r>
        <w:rPr>
          <w:spacing w:val="-7"/>
          <w:sz w:val="18"/>
          <w:szCs w:val="18"/>
          <w:lang w:val="es-ES_tradnl"/>
        </w:rPr>
        <w:t xml:space="preserve">n de justicia, obtener la tutela efectiva de </w:t>
      </w:r>
      <w:r>
        <w:rPr>
          <w:spacing w:val="-9"/>
          <w:sz w:val="18"/>
          <w:szCs w:val="18"/>
          <w:lang w:val="es-ES_tradnl"/>
        </w:rPr>
        <w:t>los derechos; constituye la garant</w:t>
      </w:r>
      <w:r>
        <w:rPr>
          <w:rFonts w:cs="Times New Roman"/>
          <w:spacing w:val="-9"/>
          <w:sz w:val="18"/>
          <w:szCs w:val="18"/>
          <w:lang w:val="es-ES_tradnl"/>
        </w:rPr>
        <w:t>í</w:t>
      </w:r>
      <w:r>
        <w:rPr>
          <w:spacing w:val="-9"/>
          <w:sz w:val="18"/>
          <w:szCs w:val="18"/>
          <w:lang w:val="es-ES_tradnl"/>
        </w:rPr>
        <w:t xml:space="preserve">a de que el ordenamiento </w:t>
      </w:r>
      <w:r>
        <w:rPr>
          <w:spacing w:val="-8"/>
          <w:sz w:val="18"/>
          <w:szCs w:val="18"/>
          <w:lang w:val="es-ES_tradnl"/>
        </w:rPr>
        <w:t>jur</w:t>
      </w:r>
      <w:r>
        <w:rPr>
          <w:rFonts w:cs="Times New Roman"/>
          <w:spacing w:val="-8"/>
          <w:sz w:val="18"/>
          <w:szCs w:val="18"/>
          <w:lang w:val="es-ES_tradnl"/>
        </w:rPr>
        <w:t>í</w:t>
      </w:r>
      <w:r>
        <w:rPr>
          <w:spacing w:val="-8"/>
          <w:sz w:val="18"/>
          <w:szCs w:val="18"/>
          <w:lang w:val="es-ES_tradnl"/>
        </w:rPr>
        <w:t xml:space="preserve">dico es aplicado de manera objetiva, de tal forma que el </w:t>
      </w:r>
      <w:r>
        <w:rPr>
          <w:spacing w:val="-11"/>
          <w:sz w:val="18"/>
          <w:szCs w:val="18"/>
          <w:lang w:val="es-ES_tradnl"/>
        </w:rPr>
        <w:t xml:space="preserve">Estado garantice a los ciudadanos el respeto de los derechos </w:t>
      </w:r>
      <w:r>
        <w:rPr>
          <w:spacing w:val="-10"/>
          <w:sz w:val="18"/>
          <w:szCs w:val="18"/>
          <w:lang w:val="es-ES_tradnl"/>
        </w:rPr>
        <w:t>consagrados tanto en la Constituci</w:t>
      </w:r>
      <w:r>
        <w:rPr>
          <w:rFonts w:cs="Times New Roman"/>
          <w:spacing w:val="-10"/>
          <w:sz w:val="18"/>
          <w:szCs w:val="18"/>
          <w:lang w:val="es-ES_tradnl"/>
        </w:rPr>
        <w:t>ó</w:t>
      </w:r>
      <w:r>
        <w:rPr>
          <w:spacing w:val="-10"/>
          <w:sz w:val="18"/>
          <w:szCs w:val="18"/>
          <w:lang w:val="es-ES_tradnl"/>
        </w:rPr>
        <w:t xml:space="preserve">n como en los convenios </w:t>
      </w:r>
      <w:r>
        <w:rPr>
          <w:spacing w:val="-9"/>
          <w:sz w:val="18"/>
          <w:szCs w:val="18"/>
          <w:lang w:val="es-ES_tradnl"/>
        </w:rPr>
        <w:t xml:space="preserve">y tratados internacionales de derechos humanos, y que los </w:t>
      </w:r>
      <w:r>
        <w:rPr>
          <w:spacing w:val="-5"/>
          <w:sz w:val="18"/>
          <w:szCs w:val="18"/>
          <w:lang w:val="es-ES_tradnl"/>
        </w:rPr>
        <w:t>mismos no ser</w:t>
      </w:r>
      <w:r>
        <w:rPr>
          <w:rFonts w:cs="Times New Roman"/>
          <w:spacing w:val="-5"/>
          <w:sz w:val="18"/>
          <w:szCs w:val="18"/>
          <w:lang w:val="es-ES_tradnl"/>
        </w:rPr>
        <w:t>á</w:t>
      </w:r>
      <w:r>
        <w:rPr>
          <w:spacing w:val="-5"/>
          <w:sz w:val="18"/>
          <w:szCs w:val="18"/>
          <w:lang w:val="es-ES_tradnl"/>
        </w:rPr>
        <w:t xml:space="preserve">n violentados en el futuro, por ninguna </w:t>
      </w:r>
      <w:r>
        <w:rPr>
          <w:spacing w:val="-7"/>
          <w:sz w:val="18"/>
          <w:szCs w:val="18"/>
          <w:lang w:val="es-ES_tradnl"/>
        </w:rPr>
        <w:t xml:space="preserve">persona, y en ella incluye a las autoridades administrativas </w:t>
      </w:r>
      <w:r>
        <w:rPr>
          <w:sz w:val="18"/>
          <w:szCs w:val="18"/>
          <w:lang w:val="es-ES_tradnl"/>
        </w:rPr>
        <w:t>o judicial o particular.</w:t>
      </w:r>
    </w:p>
    <w:p w14:paraId="4F67ACFF" w14:textId="77777777" w:rsidR="00591D54" w:rsidRDefault="00591D54">
      <w:pPr>
        <w:shd w:val="clear" w:color="auto" w:fill="FFFFFF"/>
        <w:spacing w:before="192" w:line="216" w:lineRule="exact"/>
        <w:jc w:val="both"/>
      </w:pPr>
      <w:r>
        <w:rPr>
          <w:spacing w:val="-10"/>
          <w:sz w:val="18"/>
          <w:szCs w:val="18"/>
          <w:lang w:val="es-ES_tradnl"/>
        </w:rPr>
        <w:t>La Corte se ha referido al tema a trav</w:t>
      </w:r>
      <w:r>
        <w:rPr>
          <w:rFonts w:cs="Times New Roman"/>
          <w:spacing w:val="-10"/>
          <w:sz w:val="18"/>
          <w:szCs w:val="18"/>
          <w:lang w:val="es-ES_tradnl"/>
        </w:rPr>
        <w:t>é</w:t>
      </w:r>
      <w:r>
        <w:rPr>
          <w:spacing w:val="-10"/>
          <w:sz w:val="18"/>
          <w:szCs w:val="18"/>
          <w:lang w:val="es-ES_tradnl"/>
        </w:rPr>
        <w:t xml:space="preserve">s de sus resoluciones, </w:t>
      </w:r>
      <w:r>
        <w:rPr>
          <w:spacing w:val="-6"/>
          <w:sz w:val="18"/>
          <w:szCs w:val="18"/>
          <w:lang w:val="es-ES_tradnl"/>
        </w:rPr>
        <w:t>se</w:t>
      </w:r>
      <w:r>
        <w:rPr>
          <w:rFonts w:cs="Times New Roman"/>
          <w:spacing w:val="-6"/>
          <w:sz w:val="18"/>
          <w:szCs w:val="18"/>
          <w:lang w:val="es-ES_tradnl"/>
        </w:rPr>
        <w:t>ñ</w:t>
      </w:r>
      <w:r>
        <w:rPr>
          <w:spacing w:val="-6"/>
          <w:sz w:val="18"/>
          <w:szCs w:val="18"/>
          <w:lang w:val="es-ES_tradnl"/>
        </w:rPr>
        <w:t>alando que tiene relaci</w:t>
      </w:r>
      <w:r>
        <w:rPr>
          <w:rFonts w:cs="Times New Roman"/>
          <w:spacing w:val="-6"/>
          <w:sz w:val="18"/>
          <w:szCs w:val="18"/>
          <w:lang w:val="es-ES_tradnl"/>
        </w:rPr>
        <w:t>ó</w:t>
      </w:r>
      <w:r>
        <w:rPr>
          <w:spacing w:val="-6"/>
          <w:sz w:val="18"/>
          <w:szCs w:val="18"/>
          <w:lang w:val="es-ES_tradnl"/>
        </w:rPr>
        <w:t xml:space="preserve">n con el cumplimiento de los </w:t>
      </w:r>
      <w:r>
        <w:rPr>
          <w:spacing w:val="-10"/>
          <w:sz w:val="18"/>
          <w:szCs w:val="18"/>
          <w:lang w:val="es-ES_tradnl"/>
        </w:rPr>
        <w:t>mandatos constitucionales, estableci</w:t>
      </w:r>
      <w:r>
        <w:rPr>
          <w:rFonts w:cs="Times New Roman"/>
          <w:spacing w:val="-10"/>
          <w:sz w:val="18"/>
          <w:szCs w:val="18"/>
          <w:lang w:val="es-ES_tradnl"/>
        </w:rPr>
        <w:t>é</w:t>
      </w:r>
      <w:r>
        <w:rPr>
          <w:spacing w:val="-10"/>
          <w:sz w:val="18"/>
          <w:szCs w:val="18"/>
          <w:lang w:val="es-ES_tradnl"/>
        </w:rPr>
        <w:t>ndose mediante aquel postulado una verdadera supremac</w:t>
      </w:r>
      <w:r>
        <w:rPr>
          <w:rFonts w:cs="Times New Roman"/>
          <w:spacing w:val="-10"/>
          <w:sz w:val="18"/>
          <w:szCs w:val="18"/>
          <w:lang w:val="es-ES_tradnl"/>
        </w:rPr>
        <w:t>í</w:t>
      </w:r>
      <w:r>
        <w:rPr>
          <w:spacing w:val="-10"/>
          <w:sz w:val="18"/>
          <w:szCs w:val="18"/>
          <w:lang w:val="es-ES_tradnl"/>
        </w:rPr>
        <w:t xml:space="preserve">a material del contenido </w:t>
      </w:r>
      <w:r>
        <w:rPr>
          <w:spacing w:val="-8"/>
          <w:sz w:val="18"/>
          <w:szCs w:val="18"/>
          <w:lang w:val="es-ES_tradnl"/>
        </w:rPr>
        <w:t xml:space="preserve">de la Carta Fundamental del Estado, y para tener certeza </w:t>
      </w:r>
      <w:r>
        <w:rPr>
          <w:spacing w:val="-7"/>
          <w:sz w:val="18"/>
          <w:szCs w:val="18"/>
          <w:lang w:val="es-ES_tradnl"/>
        </w:rPr>
        <w:t>respecto a una aplicaci</w:t>
      </w:r>
      <w:r>
        <w:rPr>
          <w:rFonts w:cs="Times New Roman"/>
          <w:spacing w:val="-7"/>
          <w:sz w:val="18"/>
          <w:szCs w:val="18"/>
          <w:lang w:val="es-ES_tradnl"/>
        </w:rPr>
        <w:t>ó</w:t>
      </w:r>
      <w:r>
        <w:rPr>
          <w:spacing w:val="-7"/>
          <w:sz w:val="18"/>
          <w:szCs w:val="18"/>
          <w:lang w:val="es-ES_tradnl"/>
        </w:rPr>
        <w:t xml:space="preserve">n normativa acorde a los nuevos </w:t>
      </w:r>
      <w:r>
        <w:rPr>
          <w:spacing w:val="-8"/>
          <w:sz w:val="18"/>
          <w:szCs w:val="18"/>
          <w:lang w:val="es-ES_tradnl"/>
        </w:rPr>
        <w:t>postulados constitucionales, se prev</w:t>
      </w:r>
      <w:r>
        <w:rPr>
          <w:rFonts w:cs="Times New Roman"/>
          <w:spacing w:val="-8"/>
          <w:sz w:val="18"/>
          <w:szCs w:val="18"/>
          <w:lang w:val="es-ES_tradnl"/>
        </w:rPr>
        <w:t>é</w:t>
      </w:r>
      <w:r>
        <w:rPr>
          <w:spacing w:val="-8"/>
          <w:sz w:val="18"/>
          <w:szCs w:val="18"/>
          <w:lang w:val="es-ES_tradnl"/>
        </w:rPr>
        <w:t xml:space="preserve"> que las normas que </w:t>
      </w:r>
      <w:r>
        <w:rPr>
          <w:spacing w:val="-7"/>
          <w:sz w:val="18"/>
          <w:szCs w:val="18"/>
          <w:lang w:val="es-ES_tradnl"/>
        </w:rPr>
        <w:t>formen parte del ordenamiento jur</w:t>
      </w:r>
      <w:r>
        <w:rPr>
          <w:rFonts w:cs="Times New Roman"/>
          <w:spacing w:val="-7"/>
          <w:sz w:val="18"/>
          <w:szCs w:val="18"/>
          <w:lang w:val="es-ES_tradnl"/>
        </w:rPr>
        <w:t>í</w:t>
      </w:r>
      <w:r>
        <w:rPr>
          <w:spacing w:val="-7"/>
          <w:sz w:val="18"/>
          <w:szCs w:val="18"/>
          <w:lang w:val="es-ES_tradnl"/>
        </w:rPr>
        <w:t xml:space="preserve">dico se encuentren </w:t>
      </w:r>
      <w:r>
        <w:rPr>
          <w:spacing w:val="-10"/>
          <w:sz w:val="18"/>
          <w:szCs w:val="18"/>
          <w:lang w:val="es-ES_tradnl"/>
        </w:rPr>
        <w:t>determinadas previamente, adem</w:t>
      </w:r>
      <w:r>
        <w:rPr>
          <w:rFonts w:cs="Times New Roman"/>
          <w:spacing w:val="-10"/>
          <w:sz w:val="18"/>
          <w:szCs w:val="18"/>
          <w:lang w:val="es-ES_tradnl"/>
        </w:rPr>
        <w:t>á</w:t>
      </w:r>
      <w:r>
        <w:rPr>
          <w:spacing w:val="-10"/>
          <w:sz w:val="18"/>
          <w:szCs w:val="18"/>
          <w:lang w:val="es-ES_tradnl"/>
        </w:rPr>
        <w:t>s de ser claras y p</w:t>
      </w:r>
      <w:r>
        <w:rPr>
          <w:rFonts w:cs="Times New Roman"/>
          <w:spacing w:val="-10"/>
          <w:sz w:val="18"/>
          <w:szCs w:val="18"/>
          <w:lang w:val="es-ES_tradnl"/>
        </w:rPr>
        <w:t>ú</w:t>
      </w:r>
      <w:r>
        <w:rPr>
          <w:spacing w:val="-10"/>
          <w:sz w:val="18"/>
          <w:szCs w:val="18"/>
          <w:lang w:val="es-ES_tradnl"/>
        </w:rPr>
        <w:t xml:space="preserve">blicas; </w:t>
      </w:r>
      <w:r>
        <w:rPr>
          <w:spacing w:val="-5"/>
          <w:sz w:val="18"/>
          <w:szCs w:val="18"/>
          <w:lang w:val="es-ES_tradnl"/>
        </w:rPr>
        <w:t xml:space="preserve">solo de esta manera se logra conformar una certeza de </w:t>
      </w:r>
      <w:r>
        <w:rPr>
          <w:spacing w:val="-6"/>
          <w:sz w:val="18"/>
          <w:szCs w:val="18"/>
          <w:lang w:val="es-ES_tradnl"/>
        </w:rPr>
        <w:t>que la normativa existente en la legislaci</w:t>
      </w:r>
      <w:r>
        <w:rPr>
          <w:rFonts w:cs="Times New Roman"/>
          <w:spacing w:val="-6"/>
          <w:sz w:val="18"/>
          <w:szCs w:val="18"/>
          <w:lang w:val="es-ES_tradnl"/>
        </w:rPr>
        <w:t>ó</w:t>
      </w:r>
      <w:r>
        <w:rPr>
          <w:spacing w:val="-6"/>
          <w:sz w:val="18"/>
          <w:szCs w:val="18"/>
          <w:lang w:val="es-ES_tradnl"/>
        </w:rPr>
        <w:t>n ser</w:t>
      </w:r>
      <w:r>
        <w:rPr>
          <w:rFonts w:cs="Times New Roman"/>
          <w:spacing w:val="-6"/>
          <w:sz w:val="18"/>
          <w:szCs w:val="18"/>
          <w:lang w:val="es-ES_tradnl"/>
        </w:rPr>
        <w:t>á</w:t>
      </w:r>
      <w:r>
        <w:rPr>
          <w:spacing w:val="-6"/>
          <w:sz w:val="18"/>
          <w:szCs w:val="18"/>
          <w:lang w:val="es-ES_tradnl"/>
        </w:rPr>
        <w:t xml:space="preserve"> aplicada </w:t>
      </w:r>
      <w:r>
        <w:rPr>
          <w:spacing w:val="-8"/>
          <w:sz w:val="18"/>
          <w:szCs w:val="18"/>
          <w:lang w:val="es-ES_tradnl"/>
        </w:rPr>
        <w:t xml:space="preserve">cumpliendo ciertos lineamientos que generan la confianza </w:t>
      </w:r>
      <w:r>
        <w:rPr>
          <w:spacing w:val="-10"/>
          <w:sz w:val="18"/>
          <w:szCs w:val="18"/>
          <w:lang w:val="es-ES_tradnl"/>
        </w:rPr>
        <w:t xml:space="preserve">acerca del respeto de los derechos consagrados en el texto </w:t>
      </w:r>
      <w:r>
        <w:rPr>
          <w:sz w:val="18"/>
          <w:szCs w:val="18"/>
          <w:lang w:val="es-ES_tradnl"/>
        </w:rPr>
        <w:t>constitucional.</w:t>
      </w:r>
    </w:p>
    <w:p w14:paraId="4F67AD00" w14:textId="77777777" w:rsidR="00591D54" w:rsidRDefault="00591D54">
      <w:pPr>
        <w:shd w:val="clear" w:color="auto" w:fill="FFFFFF"/>
        <w:spacing w:before="192" w:line="216" w:lineRule="exact"/>
        <w:ind w:right="5"/>
        <w:jc w:val="both"/>
      </w:pPr>
      <w:r>
        <w:rPr>
          <w:spacing w:val="-10"/>
          <w:sz w:val="18"/>
          <w:szCs w:val="18"/>
          <w:lang w:val="es-ES_tradnl"/>
        </w:rPr>
        <w:t xml:space="preserve">Todos estos presupuestos deben ser observados por las </w:t>
      </w:r>
      <w:r>
        <w:rPr>
          <w:spacing w:val="-8"/>
          <w:sz w:val="18"/>
          <w:szCs w:val="18"/>
          <w:lang w:val="es-ES_tradnl"/>
        </w:rPr>
        <w:t xml:space="preserve">autoridades competentes, quienes investidas de potestad jurisdiccional deben dar fiel cumplimiento a lo que dispone </w:t>
      </w:r>
      <w:r>
        <w:rPr>
          <w:spacing w:val="-6"/>
          <w:sz w:val="18"/>
          <w:szCs w:val="18"/>
          <w:lang w:val="es-ES_tradnl"/>
        </w:rPr>
        <w:t>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respetando y haciendo </w:t>
      </w:r>
      <w:r>
        <w:rPr>
          <w:spacing w:val="-9"/>
          <w:sz w:val="18"/>
          <w:szCs w:val="18"/>
          <w:lang w:val="es-ES_tradnl"/>
        </w:rPr>
        <w:t xml:space="preserve">respetar los derechos que consagra alrededor del texto </w:t>
      </w:r>
      <w:r>
        <w:rPr>
          <w:sz w:val="18"/>
          <w:szCs w:val="18"/>
          <w:lang w:val="es-ES_tradnl"/>
        </w:rPr>
        <w:t>constitucional.</w:t>
      </w:r>
    </w:p>
    <w:p w14:paraId="4F67AD01" w14:textId="77777777" w:rsidR="00591D54" w:rsidRDefault="00591D54">
      <w:pPr>
        <w:shd w:val="clear" w:color="auto" w:fill="FFFFFF"/>
        <w:spacing w:before="197" w:line="216" w:lineRule="exact"/>
        <w:jc w:val="both"/>
      </w:pPr>
      <w:r>
        <w:rPr>
          <w:sz w:val="18"/>
          <w:szCs w:val="18"/>
          <w:lang w:val="es-ES_tradnl"/>
        </w:rPr>
        <w:t>Mediante un ejercicio de interpretaci</w:t>
      </w:r>
      <w:r>
        <w:rPr>
          <w:rFonts w:cs="Times New Roman"/>
          <w:sz w:val="18"/>
          <w:szCs w:val="18"/>
          <w:lang w:val="es-ES_tradnl"/>
        </w:rPr>
        <w:t>ó</w:t>
      </w:r>
      <w:r>
        <w:rPr>
          <w:sz w:val="18"/>
          <w:szCs w:val="18"/>
          <w:lang w:val="es-ES_tradnl"/>
        </w:rPr>
        <w:t xml:space="preserve">n integral </w:t>
      </w:r>
      <w:r>
        <w:rPr>
          <w:spacing w:val="-6"/>
          <w:sz w:val="18"/>
          <w:szCs w:val="18"/>
          <w:lang w:val="es-ES_tradnl"/>
        </w:rPr>
        <w:t>constitucional se determina que el derecho a la seguridad</w:t>
      </w:r>
    </w:p>
    <w:p w14:paraId="4F67AD02" w14:textId="77777777" w:rsidR="00591D54" w:rsidRDefault="00591D54">
      <w:pPr>
        <w:shd w:val="clear" w:color="auto" w:fill="FFFFFF"/>
        <w:spacing w:line="216" w:lineRule="exact"/>
        <w:jc w:val="both"/>
      </w:pPr>
      <w:r>
        <w:br w:type="column"/>
      </w:r>
      <w:r>
        <w:rPr>
          <w:spacing w:val="-6"/>
          <w:sz w:val="18"/>
          <w:szCs w:val="18"/>
          <w:lang w:val="es-ES_tradnl"/>
        </w:rPr>
        <w:t>jur</w:t>
      </w:r>
      <w:r>
        <w:rPr>
          <w:rFonts w:cs="Times New Roman"/>
          <w:spacing w:val="-6"/>
          <w:sz w:val="18"/>
          <w:szCs w:val="18"/>
          <w:lang w:val="es-ES_tradnl"/>
        </w:rPr>
        <w:t>í</w:t>
      </w:r>
      <w:r>
        <w:rPr>
          <w:spacing w:val="-6"/>
          <w:sz w:val="18"/>
          <w:szCs w:val="18"/>
          <w:lang w:val="es-ES_tradnl"/>
        </w:rPr>
        <w:t xml:space="preserve">dica es el pilar sobre el cual se asienta la confianza ciudadana en cuanto a las actuaciones de los distintos </w:t>
      </w:r>
      <w:r>
        <w:rPr>
          <w:spacing w:val="-8"/>
          <w:sz w:val="18"/>
          <w:szCs w:val="18"/>
          <w:lang w:val="es-ES_tradnl"/>
        </w:rPr>
        <w:t>poderes p</w:t>
      </w:r>
      <w:r>
        <w:rPr>
          <w:rFonts w:cs="Times New Roman"/>
          <w:spacing w:val="-8"/>
          <w:sz w:val="18"/>
          <w:szCs w:val="18"/>
          <w:lang w:val="es-ES_tradnl"/>
        </w:rPr>
        <w:t>ú</w:t>
      </w:r>
      <w:r>
        <w:rPr>
          <w:spacing w:val="-8"/>
          <w:sz w:val="18"/>
          <w:szCs w:val="18"/>
          <w:lang w:val="es-ES_tradnl"/>
        </w:rPr>
        <w:t xml:space="preserve">blicos; en virtud de aquello, los actos emanados </w:t>
      </w:r>
      <w:r>
        <w:rPr>
          <w:spacing w:val="-12"/>
          <w:sz w:val="18"/>
          <w:szCs w:val="18"/>
          <w:lang w:val="es-ES_tradnl"/>
        </w:rPr>
        <w:t>de dichas autoridades p</w:t>
      </w:r>
      <w:r>
        <w:rPr>
          <w:rFonts w:cs="Times New Roman"/>
          <w:spacing w:val="-12"/>
          <w:sz w:val="18"/>
          <w:szCs w:val="18"/>
          <w:lang w:val="es-ES_tradnl"/>
        </w:rPr>
        <w:t>ú</w:t>
      </w:r>
      <w:r>
        <w:rPr>
          <w:spacing w:val="-12"/>
          <w:sz w:val="18"/>
          <w:szCs w:val="18"/>
          <w:lang w:val="es-ES_tradnl"/>
        </w:rPr>
        <w:t xml:space="preserve">blicas deben contener una adecuada </w:t>
      </w:r>
      <w:r>
        <w:rPr>
          <w:spacing w:val="-10"/>
          <w:sz w:val="18"/>
          <w:szCs w:val="18"/>
          <w:lang w:val="es-ES_tradnl"/>
        </w:rPr>
        <w:t>argumentaci</w:t>
      </w:r>
      <w:r>
        <w:rPr>
          <w:rFonts w:cs="Times New Roman"/>
          <w:spacing w:val="-10"/>
          <w:sz w:val="18"/>
          <w:szCs w:val="18"/>
          <w:lang w:val="es-ES_tradnl"/>
        </w:rPr>
        <w:t>ó</w:t>
      </w:r>
      <w:r>
        <w:rPr>
          <w:spacing w:val="-10"/>
          <w:sz w:val="18"/>
          <w:szCs w:val="18"/>
          <w:lang w:val="es-ES_tradnl"/>
        </w:rPr>
        <w:t xml:space="preserve">n respecto al terna puesto en su conocimiento, </w:t>
      </w:r>
      <w:r>
        <w:rPr>
          <w:spacing w:val="-9"/>
          <w:sz w:val="18"/>
          <w:szCs w:val="18"/>
          <w:lang w:val="es-ES_tradnl"/>
        </w:rPr>
        <w:t>debiendo adem</w:t>
      </w:r>
      <w:r>
        <w:rPr>
          <w:rFonts w:cs="Times New Roman"/>
          <w:spacing w:val="-9"/>
          <w:sz w:val="18"/>
          <w:szCs w:val="18"/>
          <w:lang w:val="es-ES_tradnl"/>
        </w:rPr>
        <w:t>á</w:t>
      </w:r>
      <w:r>
        <w:rPr>
          <w:spacing w:val="-9"/>
          <w:sz w:val="18"/>
          <w:szCs w:val="18"/>
          <w:lang w:val="es-ES_tradnl"/>
        </w:rPr>
        <w:t>s ser claros y precisos, sujet</w:t>
      </w:r>
      <w:r>
        <w:rPr>
          <w:rFonts w:cs="Times New Roman"/>
          <w:spacing w:val="-9"/>
          <w:sz w:val="18"/>
          <w:szCs w:val="18"/>
          <w:lang w:val="es-ES_tradnl"/>
        </w:rPr>
        <w:t>á</w:t>
      </w:r>
      <w:r>
        <w:rPr>
          <w:spacing w:val="-9"/>
          <w:sz w:val="18"/>
          <w:szCs w:val="18"/>
          <w:lang w:val="es-ES_tradnl"/>
        </w:rPr>
        <w:t xml:space="preserve">ndose a las atribuciones que le compete a cada </w:t>
      </w:r>
      <w:r>
        <w:rPr>
          <w:rFonts w:cs="Times New Roman"/>
          <w:spacing w:val="-9"/>
          <w:sz w:val="18"/>
          <w:szCs w:val="18"/>
          <w:lang w:val="es-ES_tradnl"/>
        </w:rPr>
        <w:t>ó</w:t>
      </w:r>
      <w:r>
        <w:rPr>
          <w:spacing w:val="-9"/>
          <w:sz w:val="18"/>
          <w:szCs w:val="18"/>
          <w:lang w:val="es-ES_tradnl"/>
        </w:rPr>
        <w:t>rgano.</w:t>
      </w:r>
    </w:p>
    <w:p w14:paraId="4F67AD03" w14:textId="77777777" w:rsidR="00591D54" w:rsidRDefault="00591D54">
      <w:pPr>
        <w:shd w:val="clear" w:color="auto" w:fill="FFFFFF"/>
        <w:spacing w:before="197" w:line="216" w:lineRule="exact"/>
        <w:jc w:val="both"/>
      </w:pPr>
      <w:r>
        <w:rPr>
          <w:spacing w:val="-8"/>
          <w:sz w:val="18"/>
          <w:szCs w:val="18"/>
          <w:lang w:val="es-ES_tradnl"/>
        </w:rPr>
        <w:t xml:space="preserve">En el caso en concreto, se establece que mediante escrito </w:t>
      </w:r>
      <w:r>
        <w:rPr>
          <w:spacing w:val="-9"/>
          <w:sz w:val="18"/>
          <w:szCs w:val="18"/>
          <w:lang w:val="es-ES_tradnl"/>
        </w:rPr>
        <w:t xml:space="preserve">presentado a las 08h10 del 09 de noviembre de 2010, en el </w:t>
      </w:r>
      <w:r>
        <w:rPr>
          <w:spacing w:val="-8"/>
          <w:sz w:val="18"/>
          <w:szCs w:val="18"/>
          <w:lang w:val="es-ES_tradnl"/>
        </w:rPr>
        <w:t>Tribunal Primero de Garant</w:t>
      </w:r>
      <w:r>
        <w:rPr>
          <w:rFonts w:cs="Times New Roman"/>
          <w:spacing w:val="-8"/>
          <w:sz w:val="18"/>
          <w:szCs w:val="18"/>
          <w:lang w:val="es-ES_tradnl"/>
        </w:rPr>
        <w:t>í</w:t>
      </w:r>
      <w:r>
        <w:rPr>
          <w:spacing w:val="-8"/>
          <w:sz w:val="18"/>
          <w:szCs w:val="18"/>
          <w:lang w:val="es-ES_tradnl"/>
        </w:rPr>
        <w:t>as Penales de Santo Domingo de los Ts</w:t>
      </w:r>
      <w:r>
        <w:rPr>
          <w:rFonts w:cs="Times New Roman"/>
          <w:spacing w:val="-8"/>
          <w:sz w:val="18"/>
          <w:szCs w:val="18"/>
          <w:lang w:val="es-ES_tradnl"/>
        </w:rPr>
        <w:t>á</w:t>
      </w:r>
      <w:r>
        <w:rPr>
          <w:spacing w:val="-8"/>
          <w:sz w:val="18"/>
          <w:szCs w:val="18"/>
          <w:lang w:val="es-ES_tradnl"/>
        </w:rPr>
        <w:t xml:space="preserve">chilas, comparecieron los ahora accionantes </w:t>
      </w:r>
      <w:r>
        <w:rPr>
          <w:spacing w:val="-6"/>
          <w:sz w:val="18"/>
          <w:szCs w:val="18"/>
          <w:lang w:val="es-ES_tradnl"/>
        </w:rPr>
        <w:t xml:space="preserve">manifestando que a inicios del mes de agosto de 2006 </w:t>
      </w:r>
      <w:r>
        <w:rPr>
          <w:spacing w:val="-11"/>
          <w:sz w:val="18"/>
          <w:szCs w:val="18"/>
          <w:lang w:val="es-ES_tradnl"/>
        </w:rPr>
        <w:t>dejaron bajo el cuidado del ciudadano Jos</w:t>
      </w:r>
      <w:r>
        <w:rPr>
          <w:rFonts w:cs="Times New Roman"/>
          <w:spacing w:val="-11"/>
          <w:sz w:val="18"/>
          <w:szCs w:val="18"/>
          <w:lang w:val="es-ES_tradnl"/>
        </w:rPr>
        <w:t>é</w:t>
      </w:r>
      <w:r>
        <w:rPr>
          <w:spacing w:val="-11"/>
          <w:sz w:val="18"/>
          <w:szCs w:val="18"/>
          <w:lang w:val="es-ES_tradnl"/>
        </w:rPr>
        <w:t xml:space="preserve"> Rengifo Paredes, </w:t>
      </w:r>
      <w:r>
        <w:rPr>
          <w:spacing w:val="-6"/>
          <w:sz w:val="18"/>
          <w:szCs w:val="18"/>
          <w:lang w:val="es-ES_tradnl"/>
        </w:rPr>
        <w:t xml:space="preserve">dicha propiedad, y que el 28 de septiembre de 2006, la </w:t>
      </w:r>
      <w:r>
        <w:rPr>
          <w:spacing w:val="-5"/>
          <w:sz w:val="18"/>
          <w:szCs w:val="18"/>
          <w:lang w:val="es-ES_tradnl"/>
        </w:rPr>
        <w:t>polic</w:t>
      </w:r>
      <w:r>
        <w:rPr>
          <w:rFonts w:cs="Times New Roman"/>
          <w:spacing w:val="-5"/>
          <w:sz w:val="18"/>
          <w:szCs w:val="18"/>
          <w:lang w:val="es-ES_tradnl"/>
        </w:rPr>
        <w:t>í</w:t>
      </w:r>
      <w:r>
        <w:rPr>
          <w:spacing w:val="-5"/>
          <w:sz w:val="18"/>
          <w:szCs w:val="18"/>
          <w:lang w:val="es-ES_tradnl"/>
        </w:rPr>
        <w:t>a realiz</w:t>
      </w:r>
      <w:r>
        <w:rPr>
          <w:rFonts w:cs="Times New Roman"/>
          <w:spacing w:val="-5"/>
          <w:sz w:val="18"/>
          <w:szCs w:val="18"/>
          <w:lang w:val="es-ES_tradnl"/>
        </w:rPr>
        <w:t>ó</w:t>
      </w:r>
      <w:r>
        <w:rPr>
          <w:spacing w:val="-5"/>
          <w:sz w:val="18"/>
          <w:szCs w:val="18"/>
          <w:lang w:val="es-ES_tradnl"/>
        </w:rPr>
        <w:t xml:space="preserve"> un allanamiento de la misma, por lo cual el </w:t>
      </w:r>
      <w:r>
        <w:rPr>
          <w:spacing w:val="-9"/>
          <w:sz w:val="18"/>
          <w:szCs w:val="18"/>
          <w:lang w:val="es-ES_tradnl"/>
        </w:rPr>
        <w:t xml:space="preserve">juez sexto de lo penal de Pichincha, el 30 de septiembre de </w:t>
      </w:r>
      <w:r>
        <w:rPr>
          <w:spacing w:val="-6"/>
          <w:sz w:val="18"/>
          <w:szCs w:val="18"/>
          <w:lang w:val="es-ES_tradnl"/>
        </w:rPr>
        <w:t>2006, orden</w:t>
      </w:r>
      <w:r>
        <w:rPr>
          <w:rFonts w:cs="Times New Roman"/>
          <w:spacing w:val="-6"/>
          <w:sz w:val="18"/>
          <w:szCs w:val="18"/>
          <w:lang w:val="es-ES_tradnl"/>
        </w:rPr>
        <w:t>ó</w:t>
      </w:r>
      <w:r>
        <w:rPr>
          <w:spacing w:val="-6"/>
          <w:sz w:val="18"/>
          <w:szCs w:val="18"/>
          <w:lang w:val="es-ES_tradnl"/>
        </w:rPr>
        <w:t>, sin fundamento, la incautaci</w:t>
      </w:r>
      <w:r>
        <w:rPr>
          <w:rFonts w:cs="Times New Roman"/>
          <w:spacing w:val="-6"/>
          <w:sz w:val="18"/>
          <w:szCs w:val="18"/>
          <w:lang w:val="es-ES_tradnl"/>
        </w:rPr>
        <w:t>ó</w:t>
      </w:r>
      <w:r>
        <w:rPr>
          <w:spacing w:val="-6"/>
          <w:sz w:val="18"/>
          <w:szCs w:val="18"/>
          <w:lang w:val="es-ES_tradnl"/>
        </w:rPr>
        <w:t xml:space="preserve">n a favor del </w:t>
      </w:r>
      <w:r>
        <w:rPr>
          <w:spacing w:val="-10"/>
          <w:sz w:val="18"/>
          <w:szCs w:val="18"/>
          <w:lang w:val="es-ES_tradnl"/>
        </w:rPr>
        <w:t>CONSEP de la propiedad de sus hijos menores, priv</w:t>
      </w:r>
      <w:r>
        <w:rPr>
          <w:rFonts w:cs="Times New Roman"/>
          <w:spacing w:val="-10"/>
          <w:sz w:val="18"/>
          <w:szCs w:val="18"/>
          <w:lang w:val="es-ES_tradnl"/>
        </w:rPr>
        <w:t>á</w:t>
      </w:r>
      <w:r>
        <w:rPr>
          <w:spacing w:val="-10"/>
          <w:sz w:val="18"/>
          <w:szCs w:val="18"/>
          <w:lang w:val="es-ES_tradnl"/>
        </w:rPr>
        <w:t xml:space="preserve">ndolos </w:t>
      </w:r>
      <w:r>
        <w:rPr>
          <w:spacing w:val="-6"/>
          <w:sz w:val="18"/>
          <w:szCs w:val="18"/>
          <w:lang w:val="es-ES_tradnl"/>
        </w:rPr>
        <w:t xml:space="preserve">por todo este tiempo del goce, uso, usufructo de la </w:t>
      </w:r>
      <w:r>
        <w:rPr>
          <w:rFonts w:cs="Times New Roman"/>
          <w:spacing w:val="-6"/>
          <w:sz w:val="18"/>
          <w:szCs w:val="18"/>
          <w:lang w:val="es-ES_tradnl"/>
        </w:rPr>
        <w:t>ú</w:t>
      </w:r>
      <w:r>
        <w:rPr>
          <w:spacing w:val="-6"/>
          <w:sz w:val="18"/>
          <w:szCs w:val="18"/>
          <w:lang w:val="es-ES_tradnl"/>
        </w:rPr>
        <w:t xml:space="preserve">nica </w:t>
      </w:r>
      <w:r>
        <w:rPr>
          <w:spacing w:val="-9"/>
          <w:sz w:val="18"/>
          <w:szCs w:val="18"/>
          <w:lang w:val="es-ES_tradnl"/>
        </w:rPr>
        <w:t>propiedad que poseen, ocasion</w:t>
      </w:r>
      <w:r>
        <w:rPr>
          <w:rFonts w:cs="Times New Roman"/>
          <w:spacing w:val="-9"/>
          <w:sz w:val="18"/>
          <w:szCs w:val="18"/>
          <w:lang w:val="es-ES_tradnl"/>
        </w:rPr>
        <w:t>á</w:t>
      </w:r>
      <w:r>
        <w:rPr>
          <w:spacing w:val="-9"/>
          <w:sz w:val="18"/>
          <w:szCs w:val="18"/>
          <w:lang w:val="es-ES_tradnl"/>
        </w:rPr>
        <w:t xml:space="preserve">ndoles, a consecuencia de </w:t>
      </w:r>
      <w:r>
        <w:rPr>
          <w:spacing w:val="-5"/>
          <w:sz w:val="18"/>
          <w:szCs w:val="18"/>
          <w:lang w:val="es-ES_tradnl"/>
        </w:rPr>
        <w:t>la incautaci</w:t>
      </w:r>
      <w:r>
        <w:rPr>
          <w:rFonts w:cs="Times New Roman"/>
          <w:spacing w:val="-5"/>
          <w:sz w:val="18"/>
          <w:szCs w:val="18"/>
          <w:lang w:val="es-ES_tradnl"/>
        </w:rPr>
        <w:t>ó</w:t>
      </w:r>
      <w:r>
        <w:rPr>
          <w:spacing w:val="-5"/>
          <w:sz w:val="18"/>
          <w:szCs w:val="18"/>
          <w:lang w:val="es-ES_tradnl"/>
        </w:rPr>
        <w:t>n, un grave perjuicio moral y econ</w:t>
      </w:r>
      <w:r>
        <w:rPr>
          <w:rFonts w:cs="Times New Roman"/>
          <w:spacing w:val="-5"/>
          <w:sz w:val="18"/>
          <w:szCs w:val="18"/>
          <w:lang w:val="es-ES_tradnl"/>
        </w:rPr>
        <w:t>ó</w:t>
      </w:r>
      <w:r>
        <w:rPr>
          <w:spacing w:val="-5"/>
          <w:sz w:val="18"/>
          <w:szCs w:val="18"/>
          <w:lang w:val="es-ES_tradnl"/>
        </w:rPr>
        <w:t xml:space="preserve">mico, por </w:t>
      </w:r>
      <w:r>
        <w:rPr>
          <w:sz w:val="18"/>
          <w:szCs w:val="18"/>
          <w:lang w:val="es-ES_tradnl"/>
        </w:rPr>
        <w:t>lo que piden su devoluci</w:t>
      </w:r>
      <w:r>
        <w:rPr>
          <w:rFonts w:cs="Times New Roman"/>
          <w:sz w:val="18"/>
          <w:szCs w:val="18"/>
          <w:lang w:val="es-ES_tradnl"/>
        </w:rPr>
        <w:t>ó</w:t>
      </w:r>
      <w:r>
        <w:rPr>
          <w:sz w:val="18"/>
          <w:szCs w:val="18"/>
          <w:lang w:val="es-ES_tradnl"/>
        </w:rPr>
        <w:t>n</w:t>
      </w:r>
    </w:p>
    <w:p w14:paraId="4F67AD04" w14:textId="77777777" w:rsidR="00591D54" w:rsidRDefault="00591D54">
      <w:pPr>
        <w:shd w:val="clear" w:color="auto" w:fill="FFFFFF"/>
        <w:spacing w:before="197" w:line="216" w:lineRule="exact"/>
        <w:jc w:val="both"/>
      </w:pPr>
      <w:r>
        <w:rPr>
          <w:spacing w:val="-8"/>
          <w:sz w:val="18"/>
          <w:szCs w:val="18"/>
          <w:lang w:val="es-ES_tradnl"/>
        </w:rPr>
        <w:t>En raz</w:t>
      </w:r>
      <w:r>
        <w:rPr>
          <w:rFonts w:cs="Times New Roman"/>
          <w:spacing w:val="-8"/>
          <w:sz w:val="18"/>
          <w:szCs w:val="18"/>
          <w:lang w:val="es-ES_tradnl"/>
        </w:rPr>
        <w:t>ó</w:t>
      </w:r>
      <w:r>
        <w:rPr>
          <w:spacing w:val="-8"/>
          <w:sz w:val="18"/>
          <w:szCs w:val="18"/>
          <w:lang w:val="es-ES_tradnl"/>
        </w:rPr>
        <w:t>n de dicha solicitud, los jueces del Tribunal Primero de Garant</w:t>
      </w:r>
      <w:r>
        <w:rPr>
          <w:rFonts w:cs="Times New Roman"/>
          <w:spacing w:val="-8"/>
          <w:sz w:val="18"/>
          <w:szCs w:val="18"/>
          <w:lang w:val="es-ES_tradnl"/>
        </w:rPr>
        <w:t>í</w:t>
      </w:r>
      <w:r>
        <w:rPr>
          <w:spacing w:val="-8"/>
          <w:sz w:val="18"/>
          <w:szCs w:val="18"/>
          <w:lang w:val="es-ES_tradnl"/>
        </w:rPr>
        <w:t>as Penales de Santo Domingo de los Ts</w:t>
      </w:r>
      <w:r>
        <w:rPr>
          <w:rFonts w:cs="Times New Roman"/>
          <w:spacing w:val="-8"/>
          <w:sz w:val="18"/>
          <w:szCs w:val="18"/>
          <w:lang w:val="es-ES_tradnl"/>
        </w:rPr>
        <w:t>á</w:t>
      </w:r>
      <w:r>
        <w:rPr>
          <w:spacing w:val="-8"/>
          <w:sz w:val="18"/>
          <w:szCs w:val="18"/>
          <w:lang w:val="es-ES_tradnl"/>
        </w:rPr>
        <w:t xml:space="preserve">chilas </w:t>
      </w:r>
      <w:r>
        <w:rPr>
          <w:spacing w:val="-5"/>
          <w:sz w:val="18"/>
          <w:szCs w:val="18"/>
          <w:lang w:val="es-ES_tradnl"/>
        </w:rPr>
        <w:t xml:space="preserve">emitieron el auto del 27 de noviembre de 2010, que es </w:t>
      </w:r>
      <w:r>
        <w:rPr>
          <w:spacing w:val="-6"/>
          <w:sz w:val="18"/>
          <w:szCs w:val="18"/>
          <w:lang w:val="es-ES_tradnl"/>
        </w:rPr>
        <w:t>sujeto del presente an</w:t>
      </w:r>
      <w:r>
        <w:rPr>
          <w:rFonts w:cs="Times New Roman"/>
          <w:spacing w:val="-6"/>
          <w:sz w:val="18"/>
          <w:szCs w:val="18"/>
          <w:lang w:val="es-ES_tradnl"/>
        </w:rPr>
        <w:t>á</w:t>
      </w:r>
      <w:r>
        <w:rPr>
          <w:spacing w:val="-6"/>
          <w:sz w:val="18"/>
          <w:szCs w:val="18"/>
          <w:lang w:val="es-ES_tradnl"/>
        </w:rPr>
        <w:t xml:space="preserve">lisis, en el cual expresaron que en </w:t>
      </w:r>
      <w:r>
        <w:rPr>
          <w:spacing w:val="-5"/>
          <w:sz w:val="18"/>
          <w:szCs w:val="18"/>
          <w:lang w:val="es-ES_tradnl"/>
        </w:rPr>
        <w:t>la parte dispositiva de la sentencia del 24 de septiembre de 2007, el Tribunal Quinto de Garant</w:t>
      </w:r>
      <w:r>
        <w:rPr>
          <w:rFonts w:cs="Times New Roman"/>
          <w:spacing w:val="-5"/>
          <w:sz w:val="18"/>
          <w:szCs w:val="18"/>
          <w:lang w:val="es-ES_tradnl"/>
        </w:rPr>
        <w:t>í</w:t>
      </w:r>
      <w:r>
        <w:rPr>
          <w:spacing w:val="-5"/>
          <w:sz w:val="18"/>
          <w:szCs w:val="18"/>
          <w:lang w:val="es-ES_tradnl"/>
        </w:rPr>
        <w:t xml:space="preserve">as Penales de </w:t>
      </w:r>
      <w:r>
        <w:rPr>
          <w:spacing w:val="-6"/>
          <w:sz w:val="18"/>
          <w:szCs w:val="18"/>
          <w:lang w:val="es-ES_tradnl"/>
        </w:rPr>
        <w:t xml:space="preserve">Pichincha (ratificada mediante los recursos pertinentes </w:t>
      </w:r>
      <w:r>
        <w:rPr>
          <w:spacing w:val="-3"/>
          <w:sz w:val="18"/>
          <w:szCs w:val="18"/>
          <w:lang w:val="es-ES_tradnl"/>
        </w:rPr>
        <w:t xml:space="preserve">respecto al bien inmueble), dispuso el comiso definitivo a favor del CONSEP, del inmueble ubicado en el km 10 </w:t>
      </w:r>
      <w:r>
        <w:rPr>
          <w:spacing w:val="-2"/>
          <w:sz w:val="18"/>
          <w:szCs w:val="18"/>
          <w:lang w:val="es-ES_tradnl"/>
        </w:rPr>
        <w:t xml:space="preserve">y </w:t>
      </w:r>
      <w:r>
        <w:rPr>
          <w:rFonts w:cs="Times New Roman"/>
          <w:spacing w:val="-2"/>
          <w:sz w:val="18"/>
          <w:szCs w:val="18"/>
          <w:lang w:val="es-ES_tradnl"/>
        </w:rPr>
        <w:t>½</w:t>
      </w:r>
      <w:r>
        <w:rPr>
          <w:spacing w:val="-2"/>
          <w:sz w:val="18"/>
          <w:szCs w:val="18"/>
          <w:lang w:val="es-ES_tradnl"/>
        </w:rPr>
        <w:t xml:space="preserve"> de la v</w:t>
      </w:r>
      <w:r>
        <w:rPr>
          <w:rFonts w:cs="Times New Roman"/>
          <w:spacing w:val="-2"/>
          <w:sz w:val="18"/>
          <w:szCs w:val="18"/>
          <w:lang w:val="es-ES_tradnl"/>
        </w:rPr>
        <w:t>í</w:t>
      </w:r>
      <w:r>
        <w:rPr>
          <w:spacing w:val="-2"/>
          <w:sz w:val="18"/>
          <w:szCs w:val="18"/>
          <w:lang w:val="es-ES_tradnl"/>
        </w:rPr>
        <w:t xml:space="preserve">a Santo Domingo-Quevedo, lugar donde </w:t>
      </w:r>
      <w:r>
        <w:rPr>
          <w:spacing w:val="-5"/>
          <w:sz w:val="18"/>
          <w:szCs w:val="18"/>
          <w:lang w:val="es-ES_tradnl"/>
        </w:rPr>
        <w:t>agentes antinarc</w:t>
      </w:r>
      <w:r>
        <w:rPr>
          <w:rFonts w:cs="Times New Roman"/>
          <w:spacing w:val="-5"/>
          <w:sz w:val="18"/>
          <w:szCs w:val="18"/>
          <w:lang w:val="es-ES_tradnl"/>
        </w:rPr>
        <w:t>ó</w:t>
      </w:r>
      <w:r>
        <w:rPr>
          <w:spacing w:val="-5"/>
          <w:sz w:val="18"/>
          <w:szCs w:val="18"/>
          <w:lang w:val="es-ES_tradnl"/>
        </w:rPr>
        <w:t>ticos con el agente fiscal, encontraron un cami</w:t>
      </w:r>
      <w:r>
        <w:rPr>
          <w:rFonts w:cs="Times New Roman"/>
          <w:spacing w:val="-5"/>
          <w:sz w:val="18"/>
          <w:szCs w:val="18"/>
          <w:lang w:val="es-ES_tradnl"/>
        </w:rPr>
        <w:t>ó</w:t>
      </w:r>
      <w:r>
        <w:rPr>
          <w:spacing w:val="-5"/>
          <w:sz w:val="18"/>
          <w:szCs w:val="18"/>
          <w:lang w:val="es-ES_tradnl"/>
        </w:rPr>
        <w:t xml:space="preserve">n marca Hino con la droga incautada y dinero </w:t>
      </w:r>
      <w:r>
        <w:rPr>
          <w:spacing w:val="-2"/>
          <w:sz w:val="18"/>
          <w:szCs w:val="18"/>
          <w:lang w:val="es-ES_tradnl"/>
        </w:rPr>
        <w:t>enterrado, producto del narcotr</w:t>
      </w:r>
      <w:r>
        <w:rPr>
          <w:rFonts w:cs="Times New Roman"/>
          <w:spacing w:val="-2"/>
          <w:sz w:val="18"/>
          <w:szCs w:val="18"/>
          <w:lang w:val="es-ES_tradnl"/>
        </w:rPr>
        <w:t>á</w:t>
      </w:r>
      <w:r>
        <w:rPr>
          <w:spacing w:val="-2"/>
          <w:sz w:val="18"/>
          <w:szCs w:val="18"/>
          <w:lang w:val="es-ES_tradnl"/>
        </w:rPr>
        <w:t>fico, y se prob</w:t>
      </w:r>
      <w:r>
        <w:rPr>
          <w:rFonts w:cs="Times New Roman"/>
          <w:spacing w:val="-2"/>
          <w:sz w:val="18"/>
          <w:szCs w:val="18"/>
          <w:lang w:val="es-ES_tradnl"/>
        </w:rPr>
        <w:t>ó</w:t>
      </w:r>
      <w:r>
        <w:rPr>
          <w:spacing w:val="-2"/>
          <w:sz w:val="18"/>
          <w:szCs w:val="18"/>
          <w:lang w:val="es-ES_tradnl"/>
        </w:rPr>
        <w:t xml:space="preserve"> que </w:t>
      </w:r>
      <w:r>
        <w:rPr>
          <w:spacing w:val="-7"/>
          <w:sz w:val="18"/>
          <w:szCs w:val="18"/>
          <w:lang w:val="es-ES_tradnl"/>
        </w:rPr>
        <w:t>dicho inmueble estuvo ocupado por el sentenciado Efra</w:t>
      </w:r>
      <w:r>
        <w:rPr>
          <w:rFonts w:cs="Times New Roman"/>
          <w:spacing w:val="-7"/>
          <w:sz w:val="18"/>
          <w:szCs w:val="18"/>
          <w:lang w:val="es-ES_tradnl"/>
        </w:rPr>
        <w:t>í</w:t>
      </w:r>
      <w:r>
        <w:rPr>
          <w:spacing w:val="-7"/>
          <w:sz w:val="18"/>
          <w:szCs w:val="18"/>
          <w:lang w:val="es-ES_tradnl"/>
        </w:rPr>
        <w:t xml:space="preserve">n </w:t>
      </w:r>
      <w:r>
        <w:rPr>
          <w:spacing w:val="-2"/>
          <w:sz w:val="18"/>
          <w:szCs w:val="18"/>
          <w:lang w:val="es-ES_tradnl"/>
        </w:rPr>
        <w:t>Cardona, de conformidad con el art</w:t>
      </w:r>
      <w:r>
        <w:rPr>
          <w:rFonts w:cs="Times New Roman"/>
          <w:spacing w:val="-2"/>
          <w:sz w:val="18"/>
          <w:szCs w:val="18"/>
          <w:lang w:val="es-ES_tradnl"/>
        </w:rPr>
        <w:t>í</w:t>
      </w:r>
      <w:r>
        <w:rPr>
          <w:spacing w:val="-2"/>
          <w:sz w:val="18"/>
          <w:szCs w:val="18"/>
          <w:lang w:val="es-ES_tradnl"/>
        </w:rPr>
        <w:t>culo 83</w:t>
      </w:r>
      <w:r>
        <w:rPr>
          <w:spacing w:val="-2"/>
          <w:sz w:val="18"/>
          <w:szCs w:val="18"/>
          <w:vertAlign w:val="superscript"/>
          <w:lang w:val="es-ES_tradnl"/>
        </w:rPr>
        <w:t>1</w:t>
      </w:r>
      <w:r>
        <w:rPr>
          <w:spacing w:val="-2"/>
          <w:sz w:val="18"/>
          <w:szCs w:val="18"/>
          <w:lang w:val="es-ES_tradnl"/>
        </w:rPr>
        <w:t xml:space="preserve"> de la Ley </w:t>
      </w:r>
      <w:r>
        <w:rPr>
          <w:spacing w:val="-8"/>
          <w:sz w:val="18"/>
          <w:szCs w:val="18"/>
          <w:lang w:val="es-ES_tradnl"/>
        </w:rPr>
        <w:t>de Sustancias Estupefacientes y Psicotr</w:t>
      </w:r>
      <w:r>
        <w:rPr>
          <w:rFonts w:cs="Times New Roman"/>
          <w:spacing w:val="-8"/>
          <w:sz w:val="18"/>
          <w:szCs w:val="18"/>
          <w:lang w:val="es-ES_tradnl"/>
        </w:rPr>
        <w:t>ó</w:t>
      </w:r>
      <w:r>
        <w:rPr>
          <w:spacing w:val="-8"/>
          <w:sz w:val="18"/>
          <w:szCs w:val="18"/>
          <w:lang w:val="es-ES_tradnl"/>
        </w:rPr>
        <w:t>picas, y que los ahora accionantes ten</w:t>
      </w:r>
      <w:r>
        <w:rPr>
          <w:rFonts w:cs="Times New Roman"/>
          <w:spacing w:val="-8"/>
          <w:sz w:val="18"/>
          <w:szCs w:val="18"/>
          <w:lang w:val="es-ES_tradnl"/>
        </w:rPr>
        <w:t>í</w:t>
      </w:r>
      <w:r>
        <w:rPr>
          <w:spacing w:val="-8"/>
          <w:sz w:val="18"/>
          <w:szCs w:val="18"/>
          <w:lang w:val="es-ES_tradnl"/>
        </w:rPr>
        <w:t xml:space="preserve">an que reclamar su propiedad en el momento procesal oportuno, y no cuando la sentencia se </w:t>
      </w:r>
      <w:r>
        <w:rPr>
          <w:sz w:val="18"/>
          <w:szCs w:val="18"/>
          <w:lang w:val="es-ES_tradnl"/>
        </w:rPr>
        <w:t>encuentra ejecutoriada.</w:t>
      </w:r>
    </w:p>
    <w:p w14:paraId="4F67AD05" w14:textId="77777777" w:rsidR="00591D54" w:rsidRDefault="00591D54">
      <w:pPr>
        <w:shd w:val="clear" w:color="auto" w:fill="FFFFFF"/>
        <w:spacing w:before="547" w:line="178" w:lineRule="exact"/>
        <w:ind w:left="144" w:hanging="144"/>
        <w:jc w:val="both"/>
      </w:pPr>
      <w:r>
        <w:rPr>
          <w:sz w:val="14"/>
          <w:szCs w:val="14"/>
          <w:vertAlign w:val="superscript"/>
          <w:lang w:val="es-ES_tradnl"/>
        </w:rPr>
        <w:t>1</w:t>
      </w:r>
      <w:r>
        <w:rPr>
          <w:sz w:val="14"/>
          <w:szCs w:val="14"/>
          <w:lang w:val="es-ES_tradnl"/>
        </w:rPr>
        <w:t xml:space="preserve"> Ley de Sustancias Estupefacientes y Psicotr</w:t>
      </w:r>
      <w:r>
        <w:rPr>
          <w:rFonts w:cs="Times New Roman"/>
          <w:sz w:val="14"/>
          <w:szCs w:val="14"/>
          <w:lang w:val="es-ES_tradnl"/>
        </w:rPr>
        <w:t>ó</w:t>
      </w:r>
      <w:r>
        <w:rPr>
          <w:sz w:val="14"/>
          <w:szCs w:val="14"/>
          <w:lang w:val="es-ES_tradnl"/>
        </w:rPr>
        <w:t xml:space="preserve">picas. Publicada </w:t>
      </w:r>
      <w:r>
        <w:rPr>
          <w:spacing w:val="-1"/>
          <w:sz w:val="14"/>
          <w:szCs w:val="14"/>
          <w:lang w:val="es-ES_tradnl"/>
        </w:rPr>
        <w:t>mediante registro oficial suplemento N.</w:t>
      </w:r>
      <w:r>
        <w:rPr>
          <w:rFonts w:cs="Times New Roman"/>
          <w:spacing w:val="-1"/>
          <w:sz w:val="14"/>
          <w:szCs w:val="14"/>
          <w:lang w:val="es-ES_tradnl"/>
        </w:rPr>
        <w:t>°</w:t>
      </w:r>
      <w:r>
        <w:rPr>
          <w:spacing w:val="-1"/>
          <w:sz w:val="14"/>
          <w:szCs w:val="14"/>
          <w:lang w:val="es-ES_tradnl"/>
        </w:rPr>
        <w:t xml:space="preserve"> 490, del 27 de noviembre </w:t>
      </w:r>
      <w:r>
        <w:rPr>
          <w:spacing w:val="-2"/>
          <w:sz w:val="14"/>
          <w:szCs w:val="14"/>
          <w:lang w:val="es-ES_tradnl"/>
        </w:rPr>
        <w:t xml:space="preserve">de 2004. Reformado mediante registro oficial suplemento 180 de 10 </w:t>
      </w:r>
      <w:r>
        <w:rPr>
          <w:spacing w:val="-1"/>
          <w:sz w:val="14"/>
          <w:szCs w:val="14"/>
          <w:lang w:val="es-ES_tradnl"/>
        </w:rPr>
        <w:t xml:space="preserve">de febrero de 2014, que dispuso entre otras normas, la derogatoria </w:t>
      </w:r>
      <w:r>
        <w:rPr>
          <w:sz w:val="14"/>
          <w:szCs w:val="14"/>
          <w:lang w:val="es-ES_tradnl"/>
        </w:rPr>
        <w:t>del siguiente art</w:t>
      </w:r>
      <w:r>
        <w:rPr>
          <w:rFonts w:cs="Times New Roman"/>
          <w:sz w:val="14"/>
          <w:szCs w:val="14"/>
          <w:lang w:val="es-ES_tradnl"/>
        </w:rPr>
        <w:t>í</w:t>
      </w:r>
      <w:r>
        <w:rPr>
          <w:sz w:val="14"/>
          <w:szCs w:val="14"/>
          <w:lang w:val="es-ES_tradnl"/>
        </w:rPr>
        <w:t xml:space="preserve">culo: </w:t>
      </w:r>
      <w:r>
        <w:rPr>
          <w:b/>
          <w:bCs/>
          <w:sz w:val="14"/>
          <w:szCs w:val="14"/>
          <w:lang w:val="es-ES_tradnl"/>
        </w:rPr>
        <w:t>Art</w:t>
      </w:r>
      <w:r>
        <w:rPr>
          <w:rFonts w:cs="Times New Roman"/>
          <w:b/>
          <w:bCs/>
          <w:sz w:val="14"/>
          <w:szCs w:val="14"/>
          <w:lang w:val="es-ES_tradnl"/>
        </w:rPr>
        <w:t>í</w:t>
      </w:r>
      <w:r>
        <w:rPr>
          <w:b/>
          <w:bCs/>
          <w:sz w:val="14"/>
          <w:szCs w:val="14"/>
          <w:lang w:val="es-ES_tradnl"/>
        </w:rPr>
        <w:t xml:space="preserve">culo 83.- </w:t>
      </w:r>
      <w:r>
        <w:rPr>
          <w:sz w:val="14"/>
          <w:szCs w:val="14"/>
          <w:lang w:val="es-ES_tradnl"/>
        </w:rPr>
        <w:t>Comiso especial.- Adem</w:t>
      </w:r>
      <w:r>
        <w:rPr>
          <w:rFonts w:cs="Times New Roman"/>
          <w:sz w:val="14"/>
          <w:szCs w:val="14"/>
          <w:lang w:val="es-ES_tradnl"/>
        </w:rPr>
        <w:t>á</w:t>
      </w:r>
      <w:r>
        <w:rPr>
          <w:sz w:val="14"/>
          <w:szCs w:val="14"/>
          <w:lang w:val="es-ES_tradnl"/>
        </w:rPr>
        <w:t xml:space="preserve">s de </w:t>
      </w:r>
      <w:r>
        <w:rPr>
          <w:spacing w:val="-3"/>
          <w:sz w:val="14"/>
          <w:szCs w:val="14"/>
          <w:lang w:val="es-ES_tradnl"/>
        </w:rPr>
        <w:t>las penas establecidas en este cap</w:t>
      </w:r>
      <w:r>
        <w:rPr>
          <w:rFonts w:cs="Times New Roman"/>
          <w:spacing w:val="-3"/>
          <w:sz w:val="14"/>
          <w:szCs w:val="14"/>
          <w:lang w:val="es-ES_tradnl"/>
        </w:rPr>
        <w:t>í</w:t>
      </w:r>
      <w:r>
        <w:rPr>
          <w:spacing w:val="-3"/>
          <w:sz w:val="14"/>
          <w:szCs w:val="14"/>
          <w:lang w:val="es-ES_tradnl"/>
        </w:rPr>
        <w:t>tulo, el Juez dispondr</w:t>
      </w:r>
      <w:r>
        <w:rPr>
          <w:rFonts w:cs="Times New Roman"/>
          <w:spacing w:val="-3"/>
          <w:sz w:val="14"/>
          <w:szCs w:val="14"/>
          <w:lang w:val="es-ES_tradnl"/>
        </w:rPr>
        <w:t>á</w:t>
      </w:r>
      <w:r>
        <w:rPr>
          <w:spacing w:val="-3"/>
          <w:sz w:val="14"/>
          <w:szCs w:val="14"/>
          <w:lang w:val="es-ES_tradnl"/>
        </w:rPr>
        <w:t xml:space="preserve"> el comiso </w:t>
      </w:r>
      <w:r>
        <w:rPr>
          <w:sz w:val="14"/>
          <w:szCs w:val="14"/>
          <w:lang w:val="es-ES_tradnl"/>
        </w:rPr>
        <w:t xml:space="preserve">especial: a) De los bienes muebles e inmuebles, </w:t>
      </w:r>
      <w:r>
        <w:rPr>
          <w:rFonts w:cs="Times New Roman"/>
          <w:sz w:val="14"/>
          <w:szCs w:val="14"/>
          <w:lang w:val="es-ES_tradnl"/>
        </w:rPr>
        <w:t>ú</w:t>
      </w:r>
      <w:r>
        <w:rPr>
          <w:sz w:val="14"/>
          <w:szCs w:val="14"/>
          <w:lang w:val="es-ES_tradnl"/>
        </w:rPr>
        <w:t xml:space="preserve">tiles, sustancias y objetos, de laboratorios en los que se ejecuten las actividades </w:t>
      </w:r>
      <w:r>
        <w:rPr>
          <w:spacing w:val="-1"/>
          <w:sz w:val="14"/>
          <w:szCs w:val="14"/>
          <w:lang w:val="es-ES_tradnl"/>
        </w:rPr>
        <w:t>il</w:t>
      </w:r>
      <w:r>
        <w:rPr>
          <w:rFonts w:cs="Times New Roman"/>
          <w:spacing w:val="-1"/>
          <w:sz w:val="14"/>
          <w:szCs w:val="14"/>
          <w:lang w:val="es-ES_tradnl"/>
        </w:rPr>
        <w:t>í</w:t>
      </w:r>
      <w:r>
        <w:rPr>
          <w:spacing w:val="-1"/>
          <w:sz w:val="14"/>
          <w:szCs w:val="14"/>
          <w:lang w:val="es-ES_tradnl"/>
        </w:rPr>
        <w:t>citas se</w:t>
      </w:r>
      <w:r>
        <w:rPr>
          <w:rFonts w:cs="Times New Roman"/>
          <w:spacing w:val="-1"/>
          <w:sz w:val="14"/>
          <w:szCs w:val="14"/>
          <w:lang w:val="es-ES_tradnl"/>
        </w:rPr>
        <w:t>ñ</w:t>
      </w:r>
      <w:r>
        <w:rPr>
          <w:spacing w:val="-1"/>
          <w:sz w:val="14"/>
          <w:szCs w:val="14"/>
          <w:lang w:val="es-ES_tradnl"/>
        </w:rPr>
        <w:t>aladas en este cap</w:t>
      </w:r>
      <w:r>
        <w:rPr>
          <w:rFonts w:cs="Times New Roman"/>
          <w:spacing w:val="-1"/>
          <w:sz w:val="14"/>
          <w:szCs w:val="14"/>
          <w:lang w:val="es-ES_tradnl"/>
        </w:rPr>
        <w:t>í</w:t>
      </w:r>
      <w:r>
        <w:rPr>
          <w:spacing w:val="-1"/>
          <w:sz w:val="14"/>
          <w:szCs w:val="14"/>
          <w:lang w:val="es-ES_tradnl"/>
        </w:rPr>
        <w:t>tulo, cuando su due</w:t>
      </w:r>
      <w:r>
        <w:rPr>
          <w:rFonts w:cs="Times New Roman"/>
          <w:spacing w:val="-1"/>
          <w:sz w:val="14"/>
          <w:szCs w:val="14"/>
          <w:lang w:val="es-ES_tradnl"/>
        </w:rPr>
        <w:t>ñ</w:t>
      </w:r>
      <w:r>
        <w:rPr>
          <w:spacing w:val="-1"/>
          <w:sz w:val="14"/>
          <w:szCs w:val="14"/>
          <w:lang w:val="es-ES_tradnl"/>
        </w:rPr>
        <w:t xml:space="preserve">o participe, las permita, dirija, financie u organice, si son resultado de actividades </w:t>
      </w:r>
      <w:r>
        <w:rPr>
          <w:sz w:val="14"/>
          <w:szCs w:val="14"/>
          <w:lang w:val="es-ES_tradnl"/>
        </w:rPr>
        <w:t>il</w:t>
      </w:r>
      <w:r>
        <w:rPr>
          <w:rFonts w:cs="Times New Roman"/>
          <w:sz w:val="14"/>
          <w:szCs w:val="14"/>
          <w:lang w:val="es-ES_tradnl"/>
        </w:rPr>
        <w:t>í</w:t>
      </w:r>
      <w:r>
        <w:rPr>
          <w:sz w:val="14"/>
          <w:szCs w:val="14"/>
          <w:lang w:val="es-ES_tradnl"/>
        </w:rPr>
        <w:t xml:space="preserve">citas sancionadas por esta Ley; b) De los medios de transporte que hubieren sido utilizados para movilizar sustancias sujetas a </w:t>
      </w:r>
      <w:r>
        <w:rPr>
          <w:spacing w:val="-1"/>
          <w:sz w:val="14"/>
          <w:szCs w:val="14"/>
          <w:lang w:val="es-ES_tradnl"/>
        </w:rPr>
        <w:t>fiscalizaci</w:t>
      </w:r>
      <w:r>
        <w:rPr>
          <w:rFonts w:cs="Times New Roman"/>
          <w:spacing w:val="-1"/>
          <w:sz w:val="14"/>
          <w:szCs w:val="14"/>
          <w:lang w:val="es-ES_tradnl"/>
        </w:rPr>
        <w:t>ó</w:t>
      </w:r>
      <w:r>
        <w:rPr>
          <w:spacing w:val="-1"/>
          <w:sz w:val="14"/>
          <w:szCs w:val="14"/>
          <w:lang w:val="es-ES_tradnl"/>
        </w:rPr>
        <w:t xml:space="preserve">n, siempre que se comprobare que los propietarios son </w:t>
      </w:r>
      <w:r>
        <w:rPr>
          <w:spacing w:val="-2"/>
          <w:sz w:val="14"/>
          <w:szCs w:val="14"/>
          <w:lang w:val="es-ES_tradnl"/>
        </w:rPr>
        <w:t xml:space="preserve">responsables de su transporte o hubieren utilizado o permitido dicha </w:t>
      </w:r>
      <w:r>
        <w:rPr>
          <w:sz w:val="14"/>
          <w:szCs w:val="14"/>
          <w:lang w:val="es-ES_tradnl"/>
        </w:rPr>
        <w:t>movilizaci</w:t>
      </w:r>
      <w:r>
        <w:rPr>
          <w:rFonts w:cs="Times New Roman"/>
          <w:sz w:val="14"/>
          <w:szCs w:val="14"/>
          <w:lang w:val="es-ES_tradnl"/>
        </w:rPr>
        <w:t>ó</w:t>
      </w:r>
      <w:r>
        <w:rPr>
          <w:sz w:val="14"/>
          <w:szCs w:val="14"/>
          <w:lang w:val="es-ES_tradnl"/>
        </w:rPr>
        <w:t xml:space="preserve">n; y, c) Del dinero aprehendido y del que tuvieren los </w:t>
      </w:r>
      <w:r>
        <w:rPr>
          <w:spacing w:val="-2"/>
          <w:sz w:val="14"/>
          <w:szCs w:val="14"/>
          <w:lang w:val="es-ES_tradnl"/>
        </w:rPr>
        <w:t>encausados en cuentas corrientes de instituciones bancarias y de ahorro, de t</w:t>
      </w:r>
      <w:r>
        <w:rPr>
          <w:rFonts w:cs="Times New Roman"/>
          <w:spacing w:val="-2"/>
          <w:sz w:val="14"/>
          <w:szCs w:val="14"/>
          <w:lang w:val="es-ES_tradnl"/>
        </w:rPr>
        <w:t>í</w:t>
      </w:r>
      <w:r>
        <w:rPr>
          <w:spacing w:val="-2"/>
          <w:sz w:val="14"/>
          <w:szCs w:val="14"/>
          <w:lang w:val="es-ES_tradnl"/>
        </w:rPr>
        <w:t>tulos valores e instrumentos de libre conversi</w:t>
      </w:r>
      <w:r>
        <w:rPr>
          <w:rFonts w:cs="Times New Roman"/>
          <w:spacing w:val="-2"/>
          <w:sz w:val="14"/>
          <w:szCs w:val="14"/>
          <w:lang w:val="es-ES_tradnl"/>
        </w:rPr>
        <w:t>ó</w:t>
      </w:r>
      <w:r>
        <w:rPr>
          <w:spacing w:val="-2"/>
          <w:sz w:val="14"/>
          <w:szCs w:val="14"/>
          <w:lang w:val="es-ES_tradnl"/>
        </w:rPr>
        <w:t>n y curso legal como cheques, cheques de viajeros, t</w:t>
      </w:r>
      <w:r>
        <w:rPr>
          <w:rFonts w:cs="Times New Roman"/>
          <w:spacing w:val="-2"/>
          <w:sz w:val="14"/>
          <w:szCs w:val="14"/>
          <w:lang w:val="es-ES_tradnl"/>
        </w:rPr>
        <w:t>í</w:t>
      </w:r>
      <w:r>
        <w:rPr>
          <w:spacing w:val="-2"/>
          <w:sz w:val="14"/>
          <w:szCs w:val="14"/>
          <w:lang w:val="es-ES_tradnl"/>
        </w:rPr>
        <w:t xml:space="preserve">tulos al portador, bonos, </w:t>
      </w:r>
      <w:r>
        <w:rPr>
          <w:spacing w:val="-4"/>
          <w:sz w:val="14"/>
          <w:szCs w:val="14"/>
          <w:lang w:val="es-ES_tradnl"/>
        </w:rPr>
        <w:t xml:space="preserve">giros postales o, en general, cualquier documento negociable, cuando sean el producto de las infracciones tipificadas en esta Ley. El destino </w:t>
      </w:r>
      <w:r>
        <w:rPr>
          <w:sz w:val="14"/>
          <w:szCs w:val="14"/>
          <w:lang w:val="es-ES_tradnl"/>
        </w:rPr>
        <w:t>de estos bienes ser</w:t>
      </w:r>
      <w:r>
        <w:rPr>
          <w:rFonts w:cs="Times New Roman"/>
          <w:sz w:val="14"/>
          <w:szCs w:val="14"/>
          <w:lang w:val="es-ES_tradnl"/>
        </w:rPr>
        <w:t>á</w:t>
      </w:r>
      <w:r>
        <w:rPr>
          <w:sz w:val="14"/>
          <w:szCs w:val="14"/>
          <w:lang w:val="es-ES_tradnl"/>
        </w:rPr>
        <w:t xml:space="preserve"> el determinado en esta Ley.</w:t>
      </w:r>
    </w:p>
    <w:p w14:paraId="4F67AD06" w14:textId="77777777" w:rsidR="00591D54" w:rsidRDefault="00591D54">
      <w:pPr>
        <w:shd w:val="clear" w:color="auto" w:fill="FFFFFF"/>
        <w:spacing w:before="547" w:line="178" w:lineRule="exact"/>
        <w:ind w:left="144" w:hanging="144"/>
        <w:jc w:val="both"/>
        <w:sectPr w:rsidR="00591D54">
          <w:type w:val="continuous"/>
          <w:pgSz w:w="11909" w:h="16834"/>
          <w:pgMar w:top="1359" w:right="1309" w:bottom="360" w:left="1308" w:header="720" w:footer="720" w:gutter="0"/>
          <w:cols w:num="2" w:space="720" w:equalWidth="0">
            <w:col w:w="4305" w:space="682"/>
            <w:col w:w="4305"/>
          </w:cols>
          <w:noEndnote/>
        </w:sectPr>
      </w:pPr>
    </w:p>
    <w:p w14:paraId="4F67AD07" w14:textId="77777777" w:rsidR="00591D54" w:rsidRDefault="00591D54">
      <w:pPr>
        <w:shd w:val="clear" w:color="auto" w:fill="FFFFFF"/>
        <w:tabs>
          <w:tab w:val="left" w:pos="5856"/>
        </w:tabs>
        <w:spacing w:after="226"/>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- 117</w:t>
      </w:r>
    </w:p>
    <w:p w14:paraId="4F67AD08" w14:textId="77777777" w:rsidR="00591D54" w:rsidRDefault="00591D54">
      <w:pPr>
        <w:shd w:val="clear" w:color="auto" w:fill="FFFFFF"/>
        <w:tabs>
          <w:tab w:val="left" w:pos="5856"/>
        </w:tabs>
        <w:spacing w:after="226"/>
        <w:ind w:left="5"/>
        <w:sectPr w:rsidR="00591D54">
          <w:pgSz w:w="11909" w:h="16834"/>
          <w:pgMar w:top="1359" w:right="1309" w:bottom="360" w:left="1308" w:header="720" w:footer="720" w:gutter="0"/>
          <w:cols w:space="60"/>
          <w:noEndnote/>
        </w:sectPr>
      </w:pPr>
    </w:p>
    <w:p w14:paraId="4F67AD09" w14:textId="77777777" w:rsidR="00591D54" w:rsidRDefault="00591D54">
      <w:pPr>
        <w:shd w:val="clear" w:color="auto" w:fill="FFFFFF"/>
        <w:spacing w:before="10" w:line="211" w:lineRule="exact"/>
        <w:jc w:val="both"/>
      </w:pPr>
      <w:r>
        <w:rPr>
          <w:spacing w:val="-12"/>
          <w:sz w:val="18"/>
          <w:szCs w:val="18"/>
          <w:lang w:val="es-ES_tradnl"/>
        </w:rPr>
        <w:t>Ahora bien, como se se</w:t>
      </w:r>
      <w:r>
        <w:rPr>
          <w:rFonts w:cs="Times New Roman"/>
          <w:spacing w:val="-12"/>
          <w:sz w:val="18"/>
          <w:szCs w:val="18"/>
          <w:lang w:val="es-ES_tradnl"/>
        </w:rPr>
        <w:t>ñ</w:t>
      </w:r>
      <w:r>
        <w:rPr>
          <w:spacing w:val="-12"/>
          <w:sz w:val="18"/>
          <w:szCs w:val="18"/>
          <w:lang w:val="es-ES_tradnl"/>
        </w:rPr>
        <w:t>al</w:t>
      </w:r>
      <w:r>
        <w:rPr>
          <w:rFonts w:cs="Times New Roman"/>
          <w:spacing w:val="-12"/>
          <w:sz w:val="18"/>
          <w:szCs w:val="18"/>
          <w:lang w:val="es-ES_tradnl"/>
        </w:rPr>
        <w:t>ó</w:t>
      </w:r>
      <w:r>
        <w:rPr>
          <w:spacing w:val="-12"/>
          <w:sz w:val="18"/>
          <w:szCs w:val="18"/>
          <w:lang w:val="es-ES_tradnl"/>
        </w:rPr>
        <w:t>, el derecho a la seguridad jur</w:t>
      </w:r>
      <w:r>
        <w:rPr>
          <w:rFonts w:cs="Times New Roman"/>
          <w:spacing w:val="-12"/>
          <w:sz w:val="18"/>
          <w:szCs w:val="18"/>
          <w:lang w:val="es-ES_tradnl"/>
        </w:rPr>
        <w:t>í</w:t>
      </w:r>
      <w:r>
        <w:rPr>
          <w:spacing w:val="-12"/>
          <w:sz w:val="18"/>
          <w:szCs w:val="18"/>
          <w:lang w:val="es-ES_tradnl"/>
        </w:rPr>
        <w:t xml:space="preserve">dica </w:t>
      </w:r>
      <w:r>
        <w:rPr>
          <w:spacing w:val="-7"/>
          <w:sz w:val="18"/>
          <w:szCs w:val="18"/>
          <w:lang w:val="es-ES_tradnl"/>
        </w:rPr>
        <w:t>garantiza el respeto a la normativa vigente, y en raz</w:t>
      </w:r>
      <w:r>
        <w:rPr>
          <w:rFonts w:cs="Times New Roman"/>
          <w:spacing w:val="-7"/>
          <w:sz w:val="18"/>
          <w:szCs w:val="18"/>
          <w:lang w:val="es-ES_tradnl"/>
        </w:rPr>
        <w:t>ó</w:t>
      </w:r>
      <w:r>
        <w:rPr>
          <w:spacing w:val="-7"/>
          <w:sz w:val="18"/>
          <w:szCs w:val="18"/>
          <w:lang w:val="es-ES_tradnl"/>
        </w:rPr>
        <w:t>n de aquello, la observancia para la protecci</w:t>
      </w:r>
      <w:r>
        <w:rPr>
          <w:rFonts w:cs="Times New Roman"/>
          <w:spacing w:val="-7"/>
          <w:sz w:val="18"/>
          <w:szCs w:val="18"/>
          <w:lang w:val="es-ES_tradnl"/>
        </w:rPr>
        <w:t>ó</w:t>
      </w:r>
      <w:r>
        <w:rPr>
          <w:spacing w:val="-7"/>
          <w:sz w:val="18"/>
          <w:szCs w:val="18"/>
          <w:lang w:val="es-ES_tradnl"/>
        </w:rPr>
        <w:t xml:space="preserve">n, reconocimiento </w:t>
      </w:r>
      <w:r>
        <w:rPr>
          <w:spacing w:val="-1"/>
          <w:sz w:val="18"/>
          <w:szCs w:val="18"/>
          <w:lang w:val="es-ES_tradnl"/>
        </w:rPr>
        <w:t>y limitaci</w:t>
      </w:r>
      <w:r>
        <w:rPr>
          <w:rFonts w:cs="Times New Roman"/>
          <w:spacing w:val="-1"/>
          <w:sz w:val="18"/>
          <w:szCs w:val="18"/>
          <w:lang w:val="es-ES_tradnl"/>
        </w:rPr>
        <w:t>ó</w:t>
      </w:r>
      <w:r>
        <w:rPr>
          <w:spacing w:val="-1"/>
          <w:sz w:val="18"/>
          <w:szCs w:val="18"/>
          <w:lang w:val="es-ES_tradnl"/>
        </w:rPr>
        <w:t xml:space="preserve">n de la normativa infraconstitucional que </w:t>
      </w:r>
      <w:r>
        <w:rPr>
          <w:spacing w:val="-6"/>
          <w:sz w:val="18"/>
          <w:szCs w:val="18"/>
          <w:lang w:val="es-ES_tradnl"/>
        </w:rPr>
        <w:t xml:space="preserve">determina limitaciones o reconocimiento al derecho de </w:t>
      </w:r>
      <w:r>
        <w:rPr>
          <w:sz w:val="18"/>
          <w:szCs w:val="18"/>
          <w:lang w:val="es-ES_tradnl"/>
        </w:rPr>
        <w:t>propiedad.</w:t>
      </w:r>
    </w:p>
    <w:p w14:paraId="4F67AD0A" w14:textId="77777777" w:rsidR="00591D54" w:rsidRDefault="00591D54">
      <w:pPr>
        <w:shd w:val="clear" w:color="auto" w:fill="FFFFFF"/>
        <w:spacing w:before="192" w:line="211" w:lineRule="exact"/>
        <w:ind w:right="5"/>
        <w:jc w:val="both"/>
      </w:pPr>
      <w:r>
        <w:rPr>
          <w:spacing w:val="-5"/>
          <w:sz w:val="18"/>
          <w:szCs w:val="18"/>
          <w:lang w:val="es-ES_tradnl"/>
        </w:rPr>
        <w:t>As</w:t>
      </w:r>
      <w:r>
        <w:rPr>
          <w:rFonts w:cs="Times New Roman"/>
          <w:spacing w:val="-5"/>
          <w:sz w:val="18"/>
          <w:szCs w:val="18"/>
          <w:lang w:val="es-ES_tradnl"/>
        </w:rPr>
        <w:t>í</w:t>
      </w:r>
      <w:r>
        <w:rPr>
          <w:spacing w:val="-5"/>
          <w:sz w:val="18"/>
          <w:szCs w:val="18"/>
          <w:lang w:val="es-ES_tradnl"/>
        </w:rPr>
        <w:t xml:space="preserve"> pues, los jueces del Tribunal Penal tienen como </w:t>
      </w:r>
      <w:r>
        <w:rPr>
          <w:sz w:val="18"/>
          <w:szCs w:val="18"/>
          <w:lang w:val="es-ES_tradnl"/>
        </w:rPr>
        <w:t>antecedente la declaraci</w:t>
      </w:r>
      <w:r>
        <w:rPr>
          <w:rFonts w:cs="Times New Roman"/>
          <w:sz w:val="18"/>
          <w:szCs w:val="18"/>
          <w:lang w:val="es-ES_tradnl"/>
        </w:rPr>
        <w:t>ó</w:t>
      </w:r>
      <w:r>
        <w:rPr>
          <w:sz w:val="18"/>
          <w:szCs w:val="18"/>
          <w:lang w:val="es-ES_tradnl"/>
        </w:rPr>
        <w:t>n de una autoridad judicial, del comiso sobre el bien inmueble cuya devoluci</w:t>
      </w:r>
      <w:r>
        <w:rPr>
          <w:rFonts w:cs="Times New Roman"/>
          <w:sz w:val="18"/>
          <w:szCs w:val="18"/>
          <w:lang w:val="es-ES_tradnl"/>
        </w:rPr>
        <w:t>ó</w:t>
      </w:r>
      <w:r>
        <w:rPr>
          <w:sz w:val="18"/>
          <w:szCs w:val="18"/>
          <w:lang w:val="es-ES_tradnl"/>
        </w:rPr>
        <w:t xml:space="preserve">n </w:t>
      </w:r>
      <w:r>
        <w:rPr>
          <w:spacing w:val="-7"/>
          <w:sz w:val="18"/>
          <w:szCs w:val="18"/>
          <w:lang w:val="es-ES_tradnl"/>
        </w:rPr>
        <w:t xml:space="preserve">han solicitado los ahora accionantes, sin embargo, esta </w:t>
      </w:r>
      <w:r>
        <w:rPr>
          <w:spacing w:val="-11"/>
          <w:sz w:val="18"/>
          <w:szCs w:val="18"/>
          <w:lang w:val="es-ES_tradnl"/>
        </w:rPr>
        <w:t>declaraci</w:t>
      </w:r>
      <w:r>
        <w:rPr>
          <w:rFonts w:cs="Times New Roman"/>
          <w:spacing w:val="-11"/>
          <w:sz w:val="18"/>
          <w:szCs w:val="18"/>
          <w:lang w:val="es-ES_tradnl"/>
        </w:rPr>
        <w:t>ó</w:t>
      </w:r>
      <w:r>
        <w:rPr>
          <w:spacing w:val="-11"/>
          <w:sz w:val="18"/>
          <w:szCs w:val="18"/>
          <w:lang w:val="es-ES_tradnl"/>
        </w:rPr>
        <w:t xml:space="preserve">n de la propiedad, o en su defecto sus limitaciones, </w:t>
      </w:r>
      <w:r>
        <w:rPr>
          <w:spacing w:val="-8"/>
          <w:sz w:val="18"/>
          <w:szCs w:val="18"/>
          <w:lang w:val="es-ES_tradnl"/>
        </w:rPr>
        <w:t>es competencia de los jueces ordinarios, a trav</w:t>
      </w:r>
      <w:r>
        <w:rPr>
          <w:rFonts w:cs="Times New Roman"/>
          <w:spacing w:val="-8"/>
          <w:sz w:val="18"/>
          <w:szCs w:val="18"/>
          <w:lang w:val="es-ES_tradnl"/>
        </w:rPr>
        <w:t>é</w:t>
      </w:r>
      <w:r>
        <w:rPr>
          <w:spacing w:val="-8"/>
          <w:sz w:val="18"/>
          <w:szCs w:val="18"/>
          <w:lang w:val="es-ES_tradnl"/>
        </w:rPr>
        <w:t xml:space="preserve">s de las </w:t>
      </w:r>
      <w:r>
        <w:rPr>
          <w:sz w:val="18"/>
          <w:szCs w:val="18"/>
          <w:lang w:val="es-ES_tradnl"/>
        </w:rPr>
        <w:t>normativa legal pertinente.</w:t>
      </w:r>
    </w:p>
    <w:p w14:paraId="4F67AD0B" w14:textId="77777777" w:rsidR="00591D54" w:rsidRDefault="00591D54">
      <w:pPr>
        <w:shd w:val="clear" w:color="auto" w:fill="FFFFFF"/>
        <w:spacing w:before="192" w:line="211" w:lineRule="exact"/>
        <w:ind w:right="5"/>
        <w:jc w:val="both"/>
      </w:pPr>
      <w:r>
        <w:rPr>
          <w:spacing w:val="-8"/>
          <w:sz w:val="18"/>
          <w:szCs w:val="18"/>
          <w:lang w:val="es-ES_tradnl"/>
        </w:rPr>
        <w:t>As</w:t>
      </w:r>
      <w:r>
        <w:rPr>
          <w:rFonts w:cs="Times New Roman"/>
          <w:spacing w:val="-8"/>
          <w:sz w:val="18"/>
          <w:szCs w:val="18"/>
          <w:lang w:val="es-ES_tradnl"/>
        </w:rPr>
        <w:t>í</w:t>
      </w:r>
      <w:r>
        <w:rPr>
          <w:spacing w:val="-8"/>
          <w:sz w:val="18"/>
          <w:szCs w:val="18"/>
          <w:lang w:val="es-ES_tradnl"/>
        </w:rPr>
        <w:t xml:space="preserve"> pues, se evidencia que por medio de un procedimiento penal, se orden</w:t>
      </w:r>
      <w:r>
        <w:rPr>
          <w:rFonts w:cs="Times New Roman"/>
          <w:spacing w:val="-8"/>
          <w:sz w:val="18"/>
          <w:szCs w:val="18"/>
          <w:lang w:val="es-ES_tradnl"/>
        </w:rPr>
        <w:t>ó</w:t>
      </w:r>
      <w:r>
        <w:rPr>
          <w:spacing w:val="-8"/>
          <w:sz w:val="18"/>
          <w:szCs w:val="18"/>
          <w:lang w:val="es-ES_tradnl"/>
        </w:rPr>
        <w:t xml:space="preserve"> el comiso de una propiedad que a criterio </w:t>
      </w:r>
      <w:r>
        <w:rPr>
          <w:spacing w:val="-7"/>
          <w:sz w:val="18"/>
          <w:szCs w:val="18"/>
          <w:lang w:val="es-ES_tradnl"/>
        </w:rPr>
        <w:t>de los jueces, a trav</w:t>
      </w:r>
      <w:r>
        <w:rPr>
          <w:rFonts w:cs="Times New Roman"/>
          <w:spacing w:val="-7"/>
          <w:sz w:val="18"/>
          <w:szCs w:val="18"/>
          <w:lang w:val="es-ES_tradnl"/>
        </w:rPr>
        <w:t>é</w:t>
      </w:r>
      <w:r>
        <w:rPr>
          <w:spacing w:val="-7"/>
          <w:sz w:val="18"/>
          <w:szCs w:val="18"/>
          <w:lang w:val="es-ES_tradnl"/>
        </w:rPr>
        <w:t>s de las pericias pertinentes, ten</w:t>
      </w:r>
      <w:r>
        <w:rPr>
          <w:rFonts w:cs="Times New Roman"/>
          <w:spacing w:val="-7"/>
          <w:sz w:val="18"/>
          <w:szCs w:val="18"/>
          <w:lang w:val="es-ES_tradnl"/>
        </w:rPr>
        <w:t>í</w:t>
      </w:r>
      <w:r>
        <w:rPr>
          <w:spacing w:val="-7"/>
          <w:sz w:val="18"/>
          <w:szCs w:val="18"/>
          <w:lang w:val="es-ES_tradnl"/>
        </w:rPr>
        <w:t xml:space="preserve">a </w:t>
      </w:r>
      <w:r>
        <w:rPr>
          <w:spacing w:val="-6"/>
          <w:sz w:val="18"/>
          <w:szCs w:val="18"/>
          <w:lang w:val="es-ES_tradnl"/>
        </w:rPr>
        <w:t>relaci</w:t>
      </w:r>
      <w:r>
        <w:rPr>
          <w:rFonts w:cs="Times New Roman"/>
          <w:spacing w:val="-6"/>
          <w:sz w:val="18"/>
          <w:szCs w:val="18"/>
          <w:lang w:val="es-ES_tradnl"/>
        </w:rPr>
        <w:t>ó</w:t>
      </w:r>
      <w:r>
        <w:rPr>
          <w:spacing w:val="-6"/>
          <w:sz w:val="18"/>
          <w:szCs w:val="18"/>
          <w:lang w:val="es-ES_tradnl"/>
        </w:rPr>
        <w:t xml:space="preserve">n con los delitos penales que se investigaron e imputaron a varias personas, y por ello ordenaron dichas </w:t>
      </w:r>
      <w:r>
        <w:rPr>
          <w:spacing w:val="-7"/>
          <w:sz w:val="18"/>
          <w:szCs w:val="18"/>
          <w:lang w:val="es-ES_tradnl"/>
        </w:rPr>
        <w:t>medidas, con fundamento e interpretaci</w:t>
      </w:r>
      <w:r>
        <w:rPr>
          <w:rFonts w:cs="Times New Roman"/>
          <w:spacing w:val="-7"/>
          <w:sz w:val="18"/>
          <w:szCs w:val="18"/>
          <w:lang w:val="es-ES_tradnl"/>
        </w:rPr>
        <w:t>ó</w:t>
      </w:r>
      <w:r>
        <w:rPr>
          <w:spacing w:val="-7"/>
          <w:sz w:val="18"/>
          <w:szCs w:val="18"/>
          <w:lang w:val="es-ES_tradnl"/>
        </w:rPr>
        <w:t xml:space="preserve">n de la normativa </w:t>
      </w:r>
      <w:r>
        <w:rPr>
          <w:spacing w:val="-6"/>
          <w:sz w:val="18"/>
          <w:szCs w:val="18"/>
          <w:lang w:val="es-ES_tradnl"/>
        </w:rPr>
        <w:t>infraconstitucional penal del caso, situaci</w:t>
      </w:r>
      <w:r>
        <w:rPr>
          <w:rFonts w:cs="Times New Roman"/>
          <w:spacing w:val="-6"/>
          <w:sz w:val="18"/>
          <w:szCs w:val="18"/>
          <w:lang w:val="es-ES_tradnl"/>
        </w:rPr>
        <w:t>ó</w:t>
      </w:r>
      <w:r>
        <w:rPr>
          <w:spacing w:val="-6"/>
          <w:sz w:val="18"/>
          <w:szCs w:val="18"/>
          <w:lang w:val="es-ES_tradnl"/>
        </w:rPr>
        <w:t xml:space="preserve">n que, como ya </w:t>
      </w:r>
      <w:r>
        <w:rPr>
          <w:spacing w:val="-9"/>
          <w:sz w:val="18"/>
          <w:szCs w:val="18"/>
          <w:lang w:val="es-ES_tradnl"/>
        </w:rPr>
        <w:t>se se</w:t>
      </w:r>
      <w:r>
        <w:rPr>
          <w:rFonts w:cs="Times New Roman"/>
          <w:spacing w:val="-9"/>
          <w:sz w:val="18"/>
          <w:szCs w:val="18"/>
          <w:lang w:val="es-ES_tradnl"/>
        </w:rPr>
        <w:t>ñ</w:t>
      </w:r>
      <w:r>
        <w:rPr>
          <w:spacing w:val="-9"/>
          <w:sz w:val="18"/>
          <w:szCs w:val="18"/>
          <w:lang w:val="es-ES_tradnl"/>
        </w:rPr>
        <w:t>al</w:t>
      </w:r>
      <w:r>
        <w:rPr>
          <w:rFonts w:cs="Times New Roman"/>
          <w:spacing w:val="-9"/>
          <w:sz w:val="18"/>
          <w:szCs w:val="18"/>
          <w:lang w:val="es-ES_tradnl"/>
        </w:rPr>
        <w:t>ó</w:t>
      </w:r>
      <w:r>
        <w:rPr>
          <w:spacing w:val="-9"/>
          <w:sz w:val="18"/>
          <w:szCs w:val="18"/>
          <w:lang w:val="es-ES_tradnl"/>
        </w:rPr>
        <w:t>, es de competencia de los jueces ordinarios.</w:t>
      </w:r>
    </w:p>
    <w:p w14:paraId="4F67AD0C" w14:textId="77777777" w:rsidR="00591D54" w:rsidRDefault="00591D54">
      <w:pPr>
        <w:shd w:val="clear" w:color="auto" w:fill="FFFFFF"/>
        <w:spacing w:before="192" w:line="211" w:lineRule="exact"/>
        <w:ind w:right="5"/>
        <w:jc w:val="both"/>
      </w:pPr>
      <w:r>
        <w:rPr>
          <w:spacing w:val="-9"/>
          <w:sz w:val="18"/>
          <w:szCs w:val="18"/>
          <w:lang w:val="es-ES_tradnl"/>
        </w:rPr>
        <w:t>De lo se</w:t>
      </w:r>
      <w:r>
        <w:rPr>
          <w:rFonts w:cs="Times New Roman"/>
          <w:spacing w:val="-9"/>
          <w:sz w:val="18"/>
          <w:szCs w:val="18"/>
          <w:lang w:val="es-ES_tradnl"/>
        </w:rPr>
        <w:t>ñ</w:t>
      </w:r>
      <w:r>
        <w:rPr>
          <w:spacing w:val="-9"/>
          <w:sz w:val="18"/>
          <w:szCs w:val="18"/>
          <w:lang w:val="es-ES_tradnl"/>
        </w:rPr>
        <w:t>alado se establece que la tem</w:t>
      </w:r>
      <w:r>
        <w:rPr>
          <w:rFonts w:cs="Times New Roman"/>
          <w:spacing w:val="-9"/>
          <w:sz w:val="18"/>
          <w:szCs w:val="18"/>
          <w:lang w:val="es-ES_tradnl"/>
        </w:rPr>
        <w:t>á</w:t>
      </w:r>
      <w:r>
        <w:rPr>
          <w:spacing w:val="-9"/>
          <w:sz w:val="18"/>
          <w:szCs w:val="18"/>
          <w:lang w:val="es-ES_tradnl"/>
        </w:rPr>
        <w:t xml:space="preserve">tica planteada por </w:t>
      </w:r>
      <w:r>
        <w:rPr>
          <w:spacing w:val="-7"/>
          <w:sz w:val="18"/>
          <w:szCs w:val="18"/>
          <w:lang w:val="es-ES_tradnl"/>
        </w:rPr>
        <w:t>los accionantes, y que fue sujeta de an</w:t>
      </w:r>
      <w:r>
        <w:rPr>
          <w:rFonts w:cs="Times New Roman"/>
          <w:spacing w:val="-7"/>
          <w:sz w:val="18"/>
          <w:szCs w:val="18"/>
          <w:lang w:val="es-ES_tradnl"/>
        </w:rPr>
        <w:t>á</w:t>
      </w:r>
      <w:r>
        <w:rPr>
          <w:spacing w:val="-7"/>
          <w:sz w:val="18"/>
          <w:szCs w:val="18"/>
          <w:lang w:val="es-ES_tradnl"/>
        </w:rPr>
        <w:t xml:space="preserve">lisis por parte del </w:t>
      </w:r>
      <w:r>
        <w:rPr>
          <w:spacing w:val="-8"/>
          <w:sz w:val="18"/>
          <w:szCs w:val="18"/>
          <w:lang w:val="es-ES_tradnl"/>
        </w:rPr>
        <w:t>Tribunal Primero de Garant</w:t>
      </w:r>
      <w:r>
        <w:rPr>
          <w:rFonts w:cs="Times New Roman"/>
          <w:spacing w:val="-8"/>
          <w:sz w:val="18"/>
          <w:szCs w:val="18"/>
          <w:lang w:val="es-ES_tradnl"/>
        </w:rPr>
        <w:t>í</w:t>
      </w:r>
      <w:r>
        <w:rPr>
          <w:spacing w:val="-8"/>
          <w:sz w:val="18"/>
          <w:szCs w:val="18"/>
          <w:lang w:val="es-ES_tradnl"/>
        </w:rPr>
        <w:t xml:space="preserve">as Penales de Santo Domingo </w:t>
      </w:r>
      <w:r>
        <w:rPr>
          <w:spacing w:val="-9"/>
          <w:sz w:val="18"/>
          <w:szCs w:val="18"/>
          <w:lang w:val="es-ES_tradnl"/>
        </w:rPr>
        <w:t>de los Ts</w:t>
      </w:r>
      <w:r>
        <w:rPr>
          <w:rFonts w:cs="Times New Roman"/>
          <w:spacing w:val="-9"/>
          <w:sz w:val="18"/>
          <w:szCs w:val="18"/>
          <w:lang w:val="es-ES_tradnl"/>
        </w:rPr>
        <w:t>á</w:t>
      </w:r>
      <w:r>
        <w:rPr>
          <w:spacing w:val="-9"/>
          <w:sz w:val="18"/>
          <w:szCs w:val="18"/>
          <w:lang w:val="es-ES_tradnl"/>
        </w:rPr>
        <w:t>chilas, es la aplicaci</w:t>
      </w:r>
      <w:r>
        <w:rPr>
          <w:rFonts w:cs="Times New Roman"/>
          <w:spacing w:val="-9"/>
          <w:sz w:val="18"/>
          <w:szCs w:val="18"/>
          <w:lang w:val="es-ES_tradnl"/>
        </w:rPr>
        <w:t>ó</w:t>
      </w:r>
      <w:r>
        <w:rPr>
          <w:spacing w:val="-9"/>
          <w:sz w:val="18"/>
          <w:szCs w:val="18"/>
          <w:lang w:val="es-ES_tradnl"/>
        </w:rPr>
        <w:t>n e interpretaci</w:t>
      </w:r>
      <w:r>
        <w:rPr>
          <w:rFonts w:cs="Times New Roman"/>
          <w:spacing w:val="-9"/>
          <w:sz w:val="18"/>
          <w:szCs w:val="18"/>
          <w:lang w:val="es-ES_tradnl"/>
        </w:rPr>
        <w:t>ó</w:t>
      </w:r>
      <w:r>
        <w:rPr>
          <w:spacing w:val="-9"/>
          <w:sz w:val="18"/>
          <w:szCs w:val="18"/>
          <w:lang w:val="es-ES_tradnl"/>
        </w:rPr>
        <w:t xml:space="preserve">n de normas infraconstitucionales, y respecto a temas relacionados, para </w:t>
      </w:r>
      <w:r>
        <w:rPr>
          <w:spacing w:val="-5"/>
          <w:sz w:val="18"/>
          <w:szCs w:val="18"/>
          <w:lang w:val="es-ES_tradnl"/>
        </w:rPr>
        <w:t>ser tratados por medio de garant</w:t>
      </w:r>
      <w:r>
        <w:rPr>
          <w:rFonts w:cs="Times New Roman"/>
          <w:spacing w:val="-5"/>
          <w:sz w:val="18"/>
          <w:szCs w:val="18"/>
          <w:lang w:val="es-ES_tradnl"/>
        </w:rPr>
        <w:t>í</w:t>
      </w:r>
      <w:r>
        <w:rPr>
          <w:spacing w:val="-5"/>
          <w:sz w:val="18"/>
          <w:szCs w:val="18"/>
          <w:lang w:val="es-ES_tradnl"/>
        </w:rPr>
        <w:t xml:space="preserve">as jurisdiccionales, la </w:t>
      </w:r>
      <w:r>
        <w:rPr>
          <w:sz w:val="18"/>
          <w:szCs w:val="18"/>
          <w:lang w:val="es-ES_tradnl"/>
        </w:rPr>
        <w:t>Corte ha expresado lo siguiente:</w:t>
      </w:r>
    </w:p>
    <w:p w14:paraId="4F67AD0D" w14:textId="77777777" w:rsidR="00591D54" w:rsidRDefault="00591D54">
      <w:pPr>
        <w:shd w:val="clear" w:color="auto" w:fill="FFFFFF"/>
        <w:spacing w:before="206" w:line="206" w:lineRule="exact"/>
        <w:ind w:left="283" w:right="5"/>
        <w:jc w:val="both"/>
      </w:pPr>
      <w:r>
        <w:rPr>
          <w:rFonts w:cs="Times New Roman"/>
          <w:sz w:val="14"/>
          <w:szCs w:val="14"/>
          <w:lang w:val="es-ES_tradnl"/>
        </w:rPr>
        <w:t>…</w:t>
      </w:r>
      <w:r>
        <w:rPr>
          <w:sz w:val="14"/>
          <w:szCs w:val="14"/>
          <w:lang w:val="es-ES_tradnl"/>
        </w:rPr>
        <w:t>La naturaleza de las garant</w:t>
      </w:r>
      <w:r>
        <w:rPr>
          <w:rFonts w:cs="Times New Roman"/>
          <w:sz w:val="14"/>
          <w:szCs w:val="14"/>
          <w:lang w:val="es-ES_tradnl"/>
        </w:rPr>
        <w:t>í</w:t>
      </w:r>
      <w:r>
        <w:rPr>
          <w:sz w:val="14"/>
          <w:szCs w:val="14"/>
          <w:lang w:val="es-ES_tradnl"/>
        </w:rPr>
        <w:t>as jurisdiccionales determina la tutela y protecci</w:t>
      </w:r>
      <w:r>
        <w:rPr>
          <w:rFonts w:cs="Times New Roman"/>
          <w:sz w:val="14"/>
          <w:szCs w:val="14"/>
          <w:lang w:val="es-ES_tradnl"/>
        </w:rPr>
        <w:t>ó</w:t>
      </w:r>
      <w:r>
        <w:rPr>
          <w:sz w:val="14"/>
          <w:szCs w:val="14"/>
          <w:lang w:val="es-ES_tradnl"/>
        </w:rPr>
        <w:t xml:space="preserve">n de derechos constitucionales y del debido </w:t>
      </w:r>
      <w:r>
        <w:rPr>
          <w:spacing w:val="-1"/>
          <w:sz w:val="14"/>
          <w:szCs w:val="14"/>
          <w:lang w:val="es-ES_tradnl"/>
        </w:rPr>
        <w:t xml:space="preserve">proceso; en aquel sentido, los confl ictos que pudieren generarse </w:t>
      </w:r>
      <w:r>
        <w:rPr>
          <w:sz w:val="14"/>
          <w:szCs w:val="14"/>
          <w:lang w:val="es-ES_tradnl"/>
        </w:rPr>
        <w:t>respecto a la aplicaci</w:t>
      </w:r>
      <w:r>
        <w:rPr>
          <w:rFonts w:cs="Times New Roman"/>
          <w:sz w:val="14"/>
          <w:szCs w:val="14"/>
          <w:lang w:val="es-ES_tradnl"/>
        </w:rPr>
        <w:t>ó</w:t>
      </w:r>
      <w:r>
        <w:rPr>
          <w:sz w:val="14"/>
          <w:szCs w:val="14"/>
          <w:lang w:val="es-ES_tradnl"/>
        </w:rPr>
        <w:t>n err</w:t>
      </w:r>
      <w:r>
        <w:rPr>
          <w:rFonts w:cs="Times New Roman"/>
          <w:sz w:val="14"/>
          <w:szCs w:val="14"/>
          <w:lang w:val="es-ES_tradnl"/>
        </w:rPr>
        <w:t>ó</w:t>
      </w:r>
      <w:r>
        <w:rPr>
          <w:sz w:val="14"/>
          <w:szCs w:val="14"/>
          <w:lang w:val="es-ES_tradnl"/>
        </w:rPr>
        <w:t>nea o mala interpretaci</w:t>
      </w:r>
      <w:r>
        <w:rPr>
          <w:rFonts w:cs="Times New Roman"/>
          <w:sz w:val="14"/>
          <w:szCs w:val="14"/>
          <w:lang w:val="es-ES_tradnl"/>
        </w:rPr>
        <w:t>ó</w:t>
      </w:r>
      <w:r>
        <w:rPr>
          <w:sz w:val="14"/>
          <w:szCs w:val="14"/>
          <w:lang w:val="es-ES_tradnl"/>
        </w:rPr>
        <w:t>n de las disposiciones normativas infraconstitucionales no pueden ser objeto del an</w:t>
      </w:r>
      <w:r>
        <w:rPr>
          <w:rFonts w:cs="Times New Roman"/>
          <w:sz w:val="14"/>
          <w:szCs w:val="14"/>
          <w:lang w:val="es-ES_tradnl"/>
        </w:rPr>
        <w:t>á</w:t>
      </w:r>
      <w:r>
        <w:rPr>
          <w:sz w:val="14"/>
          <w:szCs w:val="14"/>
          <w:lang w:val="es-ES_tradnl"/>
        </w:rPr>
        <w:t>lisis por parte de la justicia constitucional v</w:t>
      </w:r>
      <w:r>
        <w:rPr>
          <w:rFonts w:cs="Times New Roman"/>
          <w:sz w:val="14"/>
          <w:szCs w:val="14"/>
          <w:lang w:val="es-ES_tradnl"/>
        </w:rPr>
        <w:t>í</w:t>
      </w:r>
      <w:r>
        <w:rPr>
          <w:sz w:val="14"/>
          <w:szCs w:val="14"/>
          <w:lang w:val="es-ES_tradnl"/>
        </w:rPr>
        <w:t>a garant</w:t>
      </w:r>
      <w:r>
        <w:rPr>
          <w:rFonts w:cs="Times New Roman"/>
          <w:sz w:val="14"/>
          <w:szCs w:val="14"/>
          <w:lang w:val="es-ES_tradnl"/>
        </w:rPr>
        <w:t>í</w:t>
      </w:r>
      <w:r>
        <w:rPr>
          <w:sz w:val="14"/>
          <w:szCs w:val="14"/>
          <w:lang w:val="es-ES_tradnl"/>
        </w:rPr>
        <w:t>as jurisdiccionales de los derechos, puesto que para ello existen los int</w:t>
      </w:r>
      <w:r>
        <w:rPr>
          <w:rFonts w:cs="Times New Roman"/>
          <w:sz w:val="14"/>
          <w:szCs w:val="14"/>
          <w:lang w:val="es-ES_tradnl"/>
        </w:rPr>
        <w:t>é</w:t>
      </w:r>
      <w:r>
        <w:rPr>
          <w:sz w:val="14"/>
          <w:szCs w:val="14"/>
          <w:lang w:val="es-ES_tradnl"/>
        </w:rPr>
        <w:t>rpretes normativos competentes</w:t>
      </w:r>
      <w:r>
        <w:rPr>
          <w:rFonts w:cs="Times New Roman"/>
          <w:sz w:val="14"/>
          <w:szCs w:val="14"/>
          <w:lang w:val="es-ES_tradnl"/>
        </w:rPr>
        <w:t>…</w:t>
      </w:r>
      <w:r>
        <w:rPr>
          <w:sz w:val="14"/>
          <w:szCs w:val="14"/>
          <w:vertAlign w:val="superscript"/>
          <w:lang w:val="es-ES_tradnl"/>
        </w:rPr>
        <w:t>2</w:t>
      </w:r>
    </w:p>
    <w:p w14:paraId="4F67AD0E" w14:textId="77777777" w:rsidR="00591D54" w:rsidRDefault="00591D54">
      <w:pPr>
        <w:shd w:val="clear" w:color="auto" w:fill="FFFFFF"/>
        <w:spacing w:before="197" w:line="211" w:lineRule="exact"/>
        <w:ind w:right="5"/>
        <w:jc w:val="both"/>
      </w:pPr>
      <w:r>
        <w:rPr>
          <w:spacing w:val="-6"/>
          <w:sz w:val="18"/>
          <w:szCs w:val="18"/>
          <w:lang w:val="es-ES_tradnl"/>
        </w:rPr>
        <w:t>Por tanto, no corresponde a la Corte Constitucional la determinaci</w:t>
      </w:r>
      <w:r>
        <w:rPr>
          <w:rFonts w:cs="Times New Roman"/>
          <w:spacing w:val="-6"/>
          <w:sz w:val="18"/>
          <w:szCs w:val="18"/>
          <w:lang w:val="es-ES_tradnl"/>
        </w:rPr>
        <w:t>ó</w:t>
      </w:r>
      <w:r>
        <w:rPr>
          <w:spacing w:val="-6"/>
          <w:sz w:val="18"/>
          <w:szCs w:val="18"/>
          <w:lang w:val="es-ES_tradnl"/>
        </w:rPr>
        <w:t xml:space="preserve">n de la procedencia o no del comiso dictado </w:t>
      </w:r>
      <w:r>
        <w:rPr>
          <w:spacing w:val="-8"/>
          <w:sz w:val="18"/>
          <w:szCs w:val="18"/>
          <w:lang w:val="es-ES_tradnl"/>
        </w:rPr>
        <w:t>sobre el bien inmueble, dentro de una acci</w:t>
      </w:r>
      <w:r>
        <w:rPr>
          <w:rFonts w:cs="Times New Roman"/>
          <w:spacing w:val="-8"/>
          <w:sz w:val="18"/>
          <w:szCs w:val="18"/>
          <w:lang w:val="es-ES_tradnl"/>
        </w:rPr>
        <w:t>ó</w:t>
      </w:r>
      <w:r>
        <w:rPr>
          <w:spacing w:val="-8"/>
          <w:sz w:val="18"/>
          <w:szCs w:val="18"/>
          <w:lang w:val="es-ES_tradnl"/>
        </w:rPr>
        <w:t>n penal, debido a que la interpretaci</w:t>
      </w:r>
      <w:r>
        <w:rPr>
          <w:rFonts w:cs="Times New Roman"/>
          <w:spacing w:val="-8"/>
          <w:sz w:val="18"/>
          <w:szCs w:val="18"/>
          <w:lang w:val="es-ES_tradnl"/>
        </w:rPr>
        <w:t>ó</w:t>
      </w:r>
      <w:r>
        <w:rPr>
          <w:spacing w:val="-8"/>
          <w:sz w:val="18"/>
          <w:szCs w:val="18"/>
          <w:lang w:val="es-ES_tradnl"/>
        </w:rPr>
        <w:t xml:space="preserve">n de las referidas normas corresponde </w:t>
      </w:r>
      <w:r>
        <w:rPr>
          <w:sz w:val="18"/>
          <w:szCs w:val="18"/>
          <w:lang w:val="es-ES_tradnl"/>
        </w:rPr>
        <w:t>a la justicia ordinaria.</w:t>
      </w:r>
    </w:p>
    <w:p w14:paraId="4F67AD0F" w14:textId="77777777" w:rsidR="00591D54" w:rsidRDefault="00591D54">
      <w:pPr>
        <w:shd w:val="clear" w:color="auto" w:fill="FFFFFF"/>
        <w:spacing w:before="192" w:line="211" w:lineRule="exact"/>
        <w:ind w:right="5"/>
        <w:jc w:val="both"/>
      </w:pPr>
      <w:r>
        <w:rPr>
          <w:sz w:val="18"/>
          <w:szCs w:val="18"/>
          <w:lang w:val="es-ES_tradnl"/>
        </w:rPr>
        <w:t xml:space="preserve">En virtud de aquello, el Pleno de esta Corte concluye </w:t>
      </w:r>
      <w:r>
        <w:rPr>
          <w:spacing w:val="-5"/>
          <w:sz w:val="18"/>
          <w:szCs w:val="18"/>
          <w:lang w:val="es-ES_tradnl"/>
        </w:rPr>
        <w:t xml:space="preserve">y determina que el auto emitido el 27 de noviembre de </w:t>
      </w:r>
      <w:r>
        <w:rPr>
          <w:spacing w:val="-7"/>
          <w:sz w:val="18"/>
          <w:szCs w:val="18"/>
          <w:lang w:val="es-ES_tradnl"/>
        </w:rPr>
        <w:t>2010, por los jueces del Primer Tribunal de Garant</w:t>
      </w:r>
      <w:r>
        <w:rPr>
          <w:rFonts w:cs="Times New Roman"/>
          <w:spacing w:val="-7"/>
          <w:sz w:val="18"/>
          <w:szCs w:val="18"/>
          <w:lang w:val="es-ES_tradnl"/>
        </w:rPr>
        <w:t>í</w:t>
      </w:r>
      <w:r>
        <w:rPr>
          <w:spacing w:val="-7"/>
          <w:sz w:val="18"/>
          <w:szCs w:val="18"/>
          <w:lang w:val="es-ES_tradnl"/>
        </w:rPr>
        <w:t xml:space="preserve">as </w:t>
      </w:r>
      <w:r>
        <w:rPr>
          <w:spacing w:val="-6"/>
          <w:sz w:val="18"/>
          <w:szCs w:val="18"/>
          <w:lang w:val="es-ES_tradnl"/>
        </w:rPr>
        <w:t>Constitucionales de Santo Domingo de los Ts</w:t>
      </w:r>
      <w:r>
        <w:rPr>
          <w:rFonts w:cs="Times New Roman"/>
          <w:spacing w:val="-6"/>
          <w:sz w:val="18"/>
          <w:szCs w:val="18"/>
          <w:lang w:val="es-ES_tradnl"/>
        </w:rPr>
        <w:t>á</w:t>
      </w:r>
      <w:r>
        <w:rPr>
          <w:spacing w:val="-6"/>
          <w:sz w:val="18"/>
          <w:szCs w:val="18"/>
          <w:lang w:val="es-ES_tradnl"/>
        </w:rPr>
        <w:t xml:space="preserve">chilas, no </w:t>
      </w:r>
      <w:r>
        <w:rPr>
          <w:spacing w:val="-7"/>
          <w:sz w:val="18"/>
          <w:szCs w:val="18"/>
          <w:lang w:val="es-ES_tradnl"/>
        </w:rPr>
        <w:t>vulner</w:t>
      </w:r>
      <w:r>
        <w:rPr>
          <w:rFonts w:cs="Times New Roman"/>
          <w:spacing w:val="-7"/>
          <w:sz w:val="18"/>
          <w:szCs w:val="18"/>
          <w:lang w:val="es-ES_tradnl"/>
        </w:rPr>
        <w:t>ó</w:t>
      </w:r>
      <w:r>
        <w:rPr>
          <w:spacing w:val="-7"/>
          <w:sz w:val="18"/>
          <w:szCs w:val="18"/>
          <w:lang w:val="es-ES_tradnl"/>
        </w:rPr>
        <w:t xml:space="preserve"> el derecho a la seguridad jur</w:t>
      </w:r>
      <w:r>
        <w:rPr>
          <w:rFonts w:cs="Times New Roman"/>
          <w:spacing w:val="-7"/>
          <w:sz w:val="18"/>
          <w:szCs w:val="18"/>
          <w:lang w:val="es-ES_tradnl"/>
        </w:rPr>
        <w:t>í</w:t>
      </w:r>
      <w:r>
        <w:rPr>
          <w:spacing w:val="-7"/>
          <w:sz w:val="18"/>
          <w:szCs w:val="18"/>
          <w:lang w:val="es-ES_tradnl"/>
        </w:rPr>
        <w:t>dica.</w:t>
      </w:r>
    </w:p>
    <w:p w14:paraId="4F67AD10" w14:textId="77777777" w:rsidR="00591D54" w:rsidRDefault="00591D54">
      <w:pPr>
        <w:shd w:val="clear" w:color="auto" w:fill="FFFFFF"/>
        <w:spacing w:before="187"/>
        <w:ind w:right="5"/>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AD11" w14:textId="77777777" w:rsidR="00591D54" w:rsidRDefault="00591D54">
      <w:pPr>
        <w:shd w:val="clear" w:color="auto" w:fill="FFFFFF"/>
        <w:spacing w:before="192" w:line="211" w:lineRule="exact"/>
        <w:ind w:right="5"/>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5"/>
          <w:sz w:val="18"/>
          <w:szCs w:val="18"/>
          <w:lang w:val="es-ES_tradnl"/>
        </w:rPr>
        <w:t>constitucional y por mandato de la Constituci</w:t>
      </w:r>
      <w:r>
        <w:rPr>
          <w:rFonts w:cs="Times New Roman"/>
          <w:spacing w:val="-5"/>
          <w:sz w:val="18"/>
          <w:szCs w:val="18"/>
          <w:lang w:val="es-ES_tradnl"/>
        </w:rPr>
        <w:t>ó</w:t>
      </w:r>
      <w:r>
        <w:rPr>
          <w:spacing w:val="-5"/>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 xml:space="preserve">blica del Ecuador, el Pleno de la Corte Constitucional </w:t>
      </w:r>
      <w:r>
        <w:rPr>
          <w:sz w:val="18"/>
          <w:szCs w:val="18"/>
          <w:lang w:val="es-ES_tradnl"/>
        </w:rPr>
        <w:t>del Ecuador expide la siguiente:</w:t>
      </w:r>
    </w:p>
    <w:p w14:paraId="4F67AD12" w14:textId="77777777" w:rsidR="00591D54" w:rsidRDefault="00591D54">
      <w:pPr>
        <w:shd w:val="clear" w:color="auto" w:fill="FFFFFF"/>
        <w:spacing w:before="710" w:line="178" w:lineRule="exact"/>
        <w:ind w:left="139" w:hanging="139"/>
      </w:pPr>
      <w:r>
        <w:rPr>
          <w:sz w:val="14"/>
          <w:szCs w:val="14"/>
          <w:vertAlign w:val="superscript"/>
          <w:lang w:val="es-ES_tradnl"/>
        </w:rPr>
        <w:t>2</w:t>
      </w:r>
      <w:r>
        <w:rPr>
          <w:sz w:val="14"/>
          <w:szCs w:val="14"/>
          <w:lang w:val="es-ES_tradnl"/>
        </w:rPr>
        <w:t xml:space="preserve">  Corte Constitucional del Ecuador, sentencia N.</w:t>
      </w:r>
      <w:r>
        <w:rPr>
          <w:rFonts w:cs="Times New Roman"/>
          <w:sz w:val="14"/>
          <w:szCs w:val="14"/>
          <w:lang w:val="es-ES_tradnl"/>
        </w:rPr>
        <w:t>°</w:t>
      </w:r>
      <w:r>
        <w:rPr>
          <w:sz w:val="14"/>
          <w:szCs w:val="14"/>
          <w:lang w:val="es-ES_tradnl"/>
        </w:rPr>
        <w:t xml:space="preserve"> 0016-13-SEP-CC, caso N.</w:t>
      </w:r>
      <w:r>
        <w:rPr>
          <w:rFonts w:cs="Times New Roman"/>
          <w:sz w:val="14"/>
          <w:szCs w:val="14"/>
          <w:lang w:val="es-ES_tradnl"/>
        </w:rPr>
        <w:t>°</w:t>
      </w:r>
      <w:r>
        <w:rPr>
          <w:sz w:val="14"/>
          <w:szCs w:val="14"/>
          <w:lang w:val="es-ES_tradnl"/>
        </w:rPr>
        <w:t xml:space="preserve"> 1000-12-EP.</w:t>
      </w:r>
    </w:p>
    <w:p w14:paraId="4F67AD13" w14:textId="77777777" w:rsidR="00591D54" w:rsidRDefault="00591D54">
      <w:pPr>
        <w:shd w:val="clear" w:color="auto" w:fill="FFFFFF"/>
        <w:ind w:left="10"/>
        <w:jc w:val="center"/>
      </w:pPr>
      <w:r>
        <w:br w:type="column"/>
      </w:r>
      <w:r>
        <w:rPr>
          <w:b/>
          <w:bCs/>
          <w:sz w:val="18"/>
          <w:szCs w:val="18"/>
          <w:lang w:val="es-ES_tradnl"/>
        </w:rPr>
        <w:t>SENTENCIA</w:t>
      </w:r>
    </w:p>
    <w:p w14:paraId="4F67AD14" w14:textId="77777777" w:rsidR="00591D54" w:rsidRDefault="00591D54" w:rsidP="00251195">
      <w:pPr>
        <w:numPr>
          <w:ilvl w:val="0"/>
          <w:numId w:val="61"/>
        </w:numPr>
        <w:shd w:val="clear" w:color="auto" w:fill="FFFFFF"/>
        <w:tabs>
          <w:tab w:val="left" w:pos="283"/>
        </w:tabs>
        <w:spacing w:before="149" w:line="206" w:lineRule="exact"/>
        <w:ind w:left="283" w:hanging="283"/>
        <w:rPr>
          <w:spacing w:val="-9"/>
          <w:sz w:val="18"/>
          <w:szCs w:val="18"/>
          <w:lang w:val="es-ES_tradnl"/>
        </w:rPr>
      </w:pPr>
      <w:r>
        <w:rPr>
          <w:spacing w:val="-6"/>
          <w:sz w:val="18"/>
          <w:szCs w:val="18"/>
          <w:lang w:val="es-ES_tradnl"/>
        </w:rPr>
        <w:t>Declarar   que   no   existe   vulneraci</w:t>
      </w:r>
      <w:r>
        <w:rPr>
          <w:rFonts w:cs="Times New Roman"/>
          <w:spacing w:val="-6"/>
          <w:sz w:val="18"/>
          <w:szCs w:val="18"/>
          <w:lang w:val="es-ES_tradnl"/>
        </w:rPr>
        <w:t>ó</w:t>
      </w:r>
      <w:r>
        <w:rPr>
          <w:spacing w:val="-6"/>
          <w:sz w:val="18"/>
          <w:szCs w:val="18"/>
          <w:lang w:val="es-ES_tradnl"/>
        </w:rPr>
        <w:t xml:space="preserve">n   a   derechos </w:t>
      </w:r>
      <w:r>
        <w:rPr>
          <w:sz w:val="18"/>
          <w:szCs w:val="18"/>
          <w:lang w:val="es-ES_tradnl"/>
        </w:rPr>
        <w:t>constitucionales.</w:t>
      </w:r>
    </w:p>
    <w:p w14:paraId="4F67AD15" w14:textId="77777777" w:rsidR="00591D54" w:rsidRDefault="00591D54" w:rsidP="00251195">
      <w:pPr>
        <w:numPr>
          <w:ilvl w:val="0"/>
          <w:numId w:val="61"/>
        </w:numPr>
        <w:shd w:val="clear" w:color="auto" w:fill="FFFFFF"/>
        <w:tabs>
          <w:tab w:val="left" w:pos="283"/>
        </w:tabs>
        <w:spacing w:before="24" w:line="384" w:lineRule="exact"/>
        <w:rPr>
          <w:spacing w:val="-9"/>
          <w:sz w:val="18"/>
          <w:szCs w:val="18"/>
          <w:lang w:val="es-ES_tradnl"/>
        </w:rPr>
      </w:pPr>
      <w:r>
        <w:rPr>
          <w:spacing w:val="-10"/>
          <w:sz w:val="18"/>
          <w:szCs w:val="18"/>
          <w:lang w:val="es-ES_tradnl"/>
        </w:rPr>
        <w:t>Negar la acci</w:t>
      </w:r>
      <w:r>
        <w:rPr>
          <w:rFonts w:cs="Times New Roman"/>
          <w:spacing w:val="-10"/>
          <w:sz w:val="18"/>
          <w:szCs w:val="18"/>
          <w:lang w:val="es-ES_tradnl"/>
        </w:rPr>
        <w:t>ó</w:t>
      </w:r>
      <w:r>
        <w:rPr>
          <w:spacing w:val="-10"/>
          <w:sz w:val="18"/>
          <w:szCs w:val="18"/>
          <w:lang w:val="es-ES_tradnl"/>
        </w:rPr>
        <w:t>n extraordinaria de protecci</w:t>
      </w:r>
      <w:r>
        <w:rPr>
          <w:rFonts w:cs="Times New Roman"/>
          <w:spacing w:val="-10"/>
          <w:sz w:val="18"/>
          <w:szCs w:val="18"/>
          <w:lang w:val="es-ES_tradnl"/>
        </w:rPr>
        <w:t>ó</w:t>
      </w:r>
      <w:r>
        <w:rPr>
          <w:spacing w:val="-10"/>
          <w:sz w:val="18"/>
          <w:szCs w:val="18"/>
          <w:lang w:val="es-ES_tradnl"/>
        </w:rPr>
        <w:t>n presentada.</w:t>
      </w:r>
    </w:p>
    <w:p w14:paraId="4F67AD16" w14:textId="77777777" w:rsidR="00591D54" w:rsidRDefault="00591D54" w:rsidP="00251195">
      <w:pPr>
        <w:numPr>
          <w:ilvl w:val="0"/>
          <w:numId w:val="61"/>
        </w:numPr>
        <w:shd w:val="clear" w:color="auto" w:fill="FFFFFF"/>
        <w:tabs>
          <w:tab w:val="left" w:pos="283"/>
        </w:tabs>
        <w:spacing w:line="384" w:lineRule="exact"/>
        <w:rPr>
          <w:spacing w:val="-9"/>
          <w:sz w:val="18"/>
          <w:szCs w:val="18"/>
          <w:lang w:val="es-ES_tradnl"/>
        </w:rPr>
      </w:pPr>
      <w:r>
        <w:rPr>
          <w:spacing w:val="-7"/>
          <w:sz w:val="18"/>
          <w:szCs w:val="18"/>
          <w:lang w:val="es-ES_tradnl"/>
        </w:rPr>
        <w:t>Notif</w:t>
      </w:r>
      <w:r>
        <w:rPr>
          <w:rFonts w:cs="Times New Roman"/>
          <w:spacing w:val="-7"/>
          <w:sz w:val="18"/>
          <w:szCs w:val="18"/>
          <w:lang w:val="es-ES_tradnl"/>
        </w:rPr>
        <w:t>í</w:t>
      </w:r>
      <w:r>
        <w:rPr>
          <w:spacing w:val="-7"/>
          <w:sz w:val="18"/>
          <w:szCs w:val="18"/>
          <w:lang w:val="es-ES_tradnl"/>
        </w:rPr>
        <w:t>quese, publ</w:t>
      </w:r>
      <w:r>
        <w:rPr>
          <w:rFonts w:cs="Times New Roman"/>
          <w:spacing w:val="-7"/>
          <w:sz w:val="18"/>
          <w:szCs w:val="18"/>
          <w:lang w:val="es-ES_tradnl"/>
        </w:rPr>
        <w:t>í</w:t>
      </w:r>
      <w:r>
        <w:rPr>
          <w:spacing w:val="-7"/>
          <w:sz w:val="18"/>
          <w:szCs w:val="18"/>
          <w:lang w:val="es-ES_tradnl"/>
        </w:rPr>
        <w:t>quese y c</w:t>
      </w:r>
      <w:r>
        <w:rPr>
          <w:rFonts w:cs="Times New Roman"/>
          <w:spacing w:val="-7"/>
          <w:sz w:val="18"/>
          <w:szCs w:val="18"/>
          <w:lang w:val="es-ES_tradnl"/>
        </w:rPr>
        <w:t>ú</w:t>
      </w:r>
      <w:r>
        <w:rPr>
          <w:spacing w:val="-7"/>
          <w:sz w:val="18"/>
          <w:szCs w:val="18"/>
          <w:lang w:val="es-ES_tradnl"/>
        </w:rPr>
        <w:t>mplase.</w:t>
      </w:r>
    </w:p>
    <w:p w14:paraId="4F67AD17" w14:textId="77777777" w:rsidR="00591D54" w:rsidRDefault="00591D54">
      <w:pPr>
        <w:shd w:val="clear" w:color="auto" w:fill="FFFFFF"/>
        <w:spacing w:before="5" w:line="384" w:lineRule="exact"/>
      </w:pPr>
      <w:r>
        <w:rPr>
          <w:spacing w:val="-4"/>
          <w:sz w:val="18"/>
          <w:szCs w:val="18"/>
          <w:lang w:val="es-ES_tradnl"/>
        </w:rPr>
        <w:t>f.) Patricio Pazmi</w:t>
      </w:r>
      <w:r>
        <w:rPr>
          <w:rFonts w:cs="Times New Roman"/>
          <w:spacing w:val="-4"/>
          <w:sz w:val="18"/>
          <w:szCs w:val="18"/>
          <w:lang w:val="es-ES_tradnl"/>
        </w:rPr>
        <w:t>ñ</w:t>
      </w:r>
      <w:r>
        <w:rPr>
          <w:spacing w:val="-4"/>
          <w:sz w:val="18"/>
          <w:szCs w:val="18"/>
          <w:lang w:val="es-ES_tradnl"/>
        </w:rPr>
        <w:t xml:space="preserve">o Freire, </w:t>
      </w:r>
      <w:r>
        <w:rPr>
          <w:b/>
          <w:bCs/>
          <w:spacing w:val="-4"/>
          <w:sz w:val="18"/>
          <w:szCs w:val="18"/>
          <w:lang w:val="es-ES_tradnl"/>
        </w:rPr>
        <w:t>PRESIDENTE.</w:t>
      </w:r>
    </w:p>
    <w:p w14:paraId="4F67AD18" w14:textId="77777777" w:rsidR="00591D54" w:rsidRDefault="00591D54">
      <w:pPr>
        <w:shd w:val="clear" w:color="auto" w:fill="FFFFFF"/>
        <w:spacing w:line="384" w:lineRule="exact"/>
      </w:pPr>
      <w:r>
        <w:rPr>
          <w:spacing w:val="-4"/>
          <w:sz w:val="18"/>
          <w:szCs w:val="18"/>
          <w:lang w:val="es-ES_tradnl"/>
        </w:rPr>
        <w:t xml:space="preserve">f.) Jaime Pozo Chamorro, </w:t>
      </w:r>
      <w:r>
        <w:rPr>
          <w:b/>
          <w:bCs/>
          <w:spacing w:val="-4"/>
          <w:sz w:val="18"/>
          <w:szCs w:val="18"/>
          <w:lang w:val="es-ES_tradnl"/>
        </w:rPr>
        <w:t>SECRETARIO GENERAL.</w:t>
      </w:r>
    </w:p>
    <w:p w14:paraId="4F67AD19" w14:textId="77777777" w:rsidR="00591D54" w:rsidRDefault="00591D54">
      <w:pPr>
        <w:shd w:val="clear" w:color="auto" w:fill="FFFFFF"/>
        <w:spacing w:before="125" w:line="202" w:lineRule="exact"/>
        <w:jc w:val="both"/>
      </w:pPr>
      <w:r>
        <w:rPr>
          <w:b/>
          <w:bCs/>
          <w:spacing w:val="-7"/>
          <w:sz w:val="18"/>
          <w:szCs w:val="18"/>
          <w:lang w:val="es-ES_tradnl"/>
        </w:rPr>
        <w:t>Raz</w:t>
      </w:r>
      <w:r>
        <w:rPr>
          <w:rFonts w:cs="Times New Roman"/>
          <w:b/>
          <w:bCs/>
          <w:spacing w:val="-7"/>
          <w:sz w:val="18"/>
          <w:szCs w:val="18"/>
          <w:lang w:val="es-ES_tradnl"/>
        </w:rPr>
        <w:t>ó</w:t>
      </w:r>
      <w:r>
        <w:rPr>
          <w:b/>
          <w:bCs/>
          <w:spacing w:val="-7"/>
          <w:sz w:val="18"/>
          <w:szCs w:val="18"/>
          <w:lang w:val="es-ES_tradnl"/>
        </w:rPr>
        <w:t xml:space="preserve">n: </w:t>
      </w:r>
      <w:r>
        <w:rPr>
          <w:spacing w:val="-7"/>
          <w:sz w:val="18"/>
          <w:szCs w:val="18"/>
          <w:lang w:val="es-ES_tradnl"/>
        </w:rPr>
        <w:t xml:space="preserve">Siento por tal, que la sentencia que antecede fue </w:t>
      </w:r>
      <w:r>
        <w:rPr>
          <w:spacing w:val="-2"/>
          <w:sz w:val="18"/>
          <w:szCs w:val="18"/>
          <w:lang w:val="es-ES_tradnl"/>
        </w:rPr>
        <w:t xml:space="preserve">aprobada por el Pleno de la Corte Constitucional, con </w:t>
      </w:r>
      <w:r>
        <w:rPr>
          <w:spacing w:val="-10"/>
          <w:sz w:val="18"/>
          <w:szCs w:val="18"/>
          <w:lang w:val="es-ES_tradnl"/>
        </w:rPr>
        <w:t>siete votos de las se</w:t>
      </w:r>
      <w:r>
        <w:rPr>
          <w:rFonts w:cs="Times New Roman"/>
          <w:spacing w:val="-10"/>
          <w:sz w:val="18"/>
          <w:szCs w:val="18"/>
          <w:lang w:val="es-ES_tradnl"/>
        </w:rPr>
        <w:t>ñ</w:t>
      </w:r>
      <w:r>
        <w:rPr>
          <w:spacing w:val="-10"/>
          <w:sz w:val="18"/>
          <w:szCs w:val="18"/>
          <w:lang w:val="es-ES_tradnl"/>
        </w:rPr>
        <w:t>oras juezas y se</w:t>
      </w:r>
      <w:r>
        <w:rPr>
          <w:rFonts w:cs="Times New Roman"/>
          <w:spacing w:val="-10"/>
          <w:sz w:val="18"/>
          <w:szCs w:val="18"/>
          <w:lang w:val="es-ES_tradnl"/>
        </w:rPr>
        <w:t>ñ</w:t>
      </w:r>
      <w:r>
        <w:rPr>
          <w:spacing w:val="-10"/>
          <w:sz w:val="18"/>
          <w:szCs w:val="18"/>
          <w:lang w:val="es-ES_tradnl"/>
        </w:rPr>
        <w:t xml:space="preserve">ores jueces: Marcelo </w:t>
      </w:r>
      <w:r>
        <w:rPr>
          <w:spacing w:val="-5"/>
          <w:sz w:val="18"/>
          <w:szCs w:val="18"/>
          <w:lang w:val="es-ES_tradnl"/>
        </w:rPr>
        <w:t>Jaramillo Villa, Mar</w:t>
      </w:r>
      <w:r>
        <w:rPr>
          <w:rFonts w:cs="Times New Roman"/>
          <w:spacing w:val="-5"/>
          <w:sz w:val="18"/>
          <w:szCs w:val="18"/>
          <w:lang w:val="es-ES_tradnl"/>
        </w:rPr>
        <w:t>í</w:t>
      </w:r>
      <w:r>
        <w:rPr>
          <w:spacing w:val="-5"/>
          <w:sz w:val="18"/>
          <w:szCs w:val="18"/>
          <w:lang w:val="es-ES_tradnl"/>
        </w:rPr>
        <w:t>a del Carmen Maldonado S</w:t>
      </w:r>
      <w:r>
        <w:rPr>
          <w:rFonts w:cs="Times New Roman"/>
          <w:spacing w:val="-5"/>
          <w:sz w:val="18"/>
          <w:szCs w:val="18"/>
          <w:lang w:val="es-ES_tradnl"/>
        </w:rPr>
        <w:t>á</w:t>
      </w:r>
      <w:r>
        <w:rPr>
          <w:spacing w:val="-5"/>
          <w:sz w:val="18"/>
          <w:szCs w:val="18"/>
          <w:lang w:val="es-ES_tradnl"/>
        </w:rPr>
        <w:t xml:space="preserve">nchez, </w:t>
      </w:r>
      <w:r>
        <w:rPr>
          <w:spacing w:val="-2"/>
          <w:sz w:val="18"/>
          <w:szCs w:val="18"/>
          <w:lang w:val="es-ES_tradnl"/>
        </w:rPr>
        <w:t>Tatiana Orde</w:t>
      </w:r>
      <w:r>
        <w:rPr>
          <w:rFonts w:cs="Times New Roman"/>
          <w:spacing w:val="-2"/>
          <w:sz w:val="18"/>
          <w:szCs w:val="18"/>
          <w:lang w:val="es-ES_tradnl"/>
        </w:rPr>
        <w:t>ñ</w:t>
      </w:r>
      <w:r>
        <w:rPr>
          <w:spacing w:val="-2"/>
          <w:sz w:val="18"/>
          <w:szCs w:val="18"/>
          <w:lang w:val="es-ES_tradnl"/>
        </w:rPr>
        <w:t>ana Sierra, Alfredo Ruiz Guzm</w:t>
      </w:r>
      <w:r>
        <w:rPr>
          <w:rFonts w:cs="Times New Roman"/>
          <w:spacing w:val="-2"/>
          <w:sz w:val="18"/>
          <w:szCs w:val="18"/>
          <w:lang w:val="es-ES_tradnl"/>
        </w:rPr>
        <w:t>á</w:t>
      </w:r>
      <w:r>
        <w:rPr>
          <w:spacing w:val="-2"/>
          <w:sz w:val="18"/>
          <w:szCs w:val="18"/>
          <w:lang w:val="es-ES_tradnl"/>
        </w:rPr>
        <w:t xml:space="preserve">n, Ruth </w:t>
      </w:r>
      <w:r>
        <w:rPr>
          <w:spacing w:val="-5"/>
          <w:sz w:val="18"/>
          <w:szCs w:val="18"/>
          <w:lang w:val="es-ES_tradnl"/>
        </w:rPr>
        <w:t>Seni Pinoargote, Manuel Viteri Olvera y Patricio Pazmi</w:t>
      </w:r>
      <w:r>
        <w:rPr>
          <w:rFonts w:cs="Times New Roman"/>
          <w:spacing w:val="-5"/>
          <w:sz w:val="18"/>
          <w:szCs w:val="18"/>
          <w:lang w:val="es-ES_tradnl"/>
        </w:rPr>
        <w:t>ñ</w:t>
      </w:r>
      <w:r>
        <w:rPr>
          <w:spacing w:val="-5"/>
          <w:sz w:val="18"/>
          <w:szCs w:val="18"/>
          <w:lang w:val="es-ES_tradnl"/>
        </w:rPr>
        <w:t xml:space="preserve">o </w:t>
      </w:r>
      <w:r>
        <w:rPr>
          <w:spacing w:val="-6"/>
          <w:sz w:val="18"/>
          <w:szCs w:val="18"/>
          <w:lang w:val="es-ES_tradnl"/>
        </w:rPr>
        <w:t xml:space="preserve">Freire, sin contar con la presencia de los jueces Antonio </w:t>
      </w:r>
      <w:r>
        <w:rPr>
          <w:spacing w:val="-7"/>
          <w:sz w:val="18"/>
          <w:szCs w:val="18"/>
          <w:lang w:val="es-ES_tradnl"/>
        </w:rPr>
        <w:t>Gagliardo Loor y Wendy Molina Andrade, en sesi</w:t>
      </w:r>
      <w:r>
        <w:rPr>
          <w:rFonts w:cs="Times New Roman"/>
          <w:spacing w:val="-7"/>
          <w:sz w:val="18"/>
          <w:szCs w:val="18"/>
          <w:lang w:val="es-ES_tradnl"/>
        </w:rPr>
        <w:t>ó</w:t>
      </w:r>
      <w:r>
        <w:rPr>
          <w:spacing w:val="-7"/>
          <w:sz w:val="18"/>
          <w:szCs w:val="18"/>
          <w:lang w:val="es-ES_tradnl"/>
        </w:rPr>
        <w:t xml:space="preserve">n del 01 </w:t>
      </w:r>
      <w:r>
        <w:rPr>
          <w:sz w:val="18"/>
          <w:szCs w:val="18"/>
          <w:lang w:val="es-ES_tradnl"/>
        </w:rPr>
        <w:t>de julio del 2015. Lo certifico.</w:t>
      </w:r>
    </w:p>
    <w:p w14:paraId="4F67AD1A" w14:textId="77777777" w:rsidR="00591D54" w:rsidRDefault="00591D54">
      <w:pPr>
        <w:shd w:val="clear" w:color="auto" w:fill="FFFFFF"/>
        <w:spacing w:before="144"/>
      </w:pPr>
      <w:r>
        <w:rPr>
          <w:spacing w:val="-4"/>
          <w:sz w:val="18"/>
          <w:szCs w:val="18"/>
          <w:lang w:val="es-ES_tradnl"/>
        </w:rPr>
        <w:t xml:space="preserve">f.) Jaime Pozo Chamorro, </w:t>
      </w:r>
      <w:r>
        <w:rPr>
          <w:b/>
          <w:bCs/>
          <w:spacing w:val="-4"/>
          <w:sz w:val="18"/>
          <w:szCs w:val="18"/>
          <w:lang w:val="es-ES_tradnl"/>
        </w:rPr>
        <w:t>SECRETARIO GENERAL.</w:t>
      </w:r>
    </w:p>
    <w:p w14:paraId="4F67AD1B" w14:textId="77777777" w:rsidR="00591D54" w:rsidRDefault="00591D54">
      <w:pPr>
        <w:shd w:val="clear" w:color="auto" w:fill="FFFFFF"/>
        <w:spacing w:before="144" w:line="202"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AD1C" w14:textId="77777777" w:rsidR="00591D54" w:rsidRDefault="00591D54">
      <w:pPr>
        <w:shd w:val="clear" w:color="auto" w:fill="FFFFFF"/>
        <w:spacing w:before="144"/>
      </w:pPr>
      <w:r>
        <w:rPr>
          <w:b/>
          <w:bCs/>
          <w:spacing w:val="-6"/>
          <w:sz w:val="18"/>
          <w:szCs w:val="18"/>
          <w:u w:val="single"/>
          <w:lang w:val="es-ES_tradnl"/>
        </w:rPr>
        <w:t>CASO Nro. 0638-11-EP</w:t>
      </w:r>
    </w:p>
    <w:p w14:paraId="4F67AD1D" w14:textId="77777777" w:rsidR="00591D54" w:rsidRDefault="00591D54">
      <w:pPr>
        <w:shd w:val="clear" w:color="auto" w:fill="FFFFFF"/>
        <w:spacing w:before="144" w:line="202" w:lineRule="exact"/>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w:t>
      </w:r>
      <w:r>
        <w:rPr>
          <w:spacing w:val="-7"/>
          <w:sz w:val="18"/>
          <w:szCs w:val="18"/>
          <w:lang w:val="es-ES_tradnl"/>
        </w:rPr>
        <w:t>suscrita por el Juez Patricio Pazmi</w:t>
      </w:r>
      <w:r>
        <w:rPr>
          <w:rFonts w:cs="Times New Roman"/>
          <w:spacing w:val="-7"/>
          <w:sz w:val="18"/>
          <w:szCs w:val="18"/>
          <w:lang w:val="es-ES_tradnl"/>
        </w:rPr>
        <w:t>ñ</w:t>
      </w:r>
      <w:r>
        <w:rPr>
          <w:spacing w:val="-7"/>
          <w:sz w:val="18"/>
          <w:szCs w:val="18"/>
          <w:lang w:val="es-ES_tradnl"/>
        </w:rPr>
        <w:t xml:space="preserve">o Freire, Presidente de </w:t>
      </w:r>
      <w:r>
        <w:rPr>
          <w:spacing w:val="-6"/>
          <w:sz w:val="18"/>
          <w:szCs w:val="18"/>
          <w:lang w:val="es-ES_tradnl"/>
        </w:rPr>
        <w:t>la Corte Constitucional, el d</w:t>
      </w:r>
      <w:r>
        <w:rPr>
          <w:rFonts w:cs="Times New Roman"/>
          <w:spacing w:val="-6"/>
          <w:sz w:val="18"/>
          <w:szCs w:val="18"/>
          <w:lang w:val="es-ES_tradnl"/>
        </w:rPr>
        <w:t>í</w:t>
      </w:r>
      <w:r>
        <w:rPr>
          <w:spacing w:val="-6"/>
          <w:sz w:val="18"/>
          <w:szCs w:val="18"/>
          <w:lang w:val="es-ES_tradnl"/>
        </w:rPr>
        <w:t xml:space="preserve">a lunes 07 de septiembre del </w:t>
      </w:r>
      <w:r>
        <w:rPr>
          <w:sz w:val="18"/>
          <w:szCs w:val="18"/>
          <w:lang w:val="es-ES_tradnl"/>
        </w:rPr>
        <w:t>dos mil quince.- Lo certifico.</w:t>
      </w:r>
    </w:p>
    <w:p w14:paraId="4F67AD1E" w14:textId="77777777" w:rsidR="00591D54" w:rsidRDefault="00591D54">
      <w:pPr>
        <w:shd w:val="clear" w:color="auto" w:fill="FFFFFF"/>
        <w:spacing w:before="144"/>
      </w:pPr>
      <w:r>
        <w:rPr>
          <w:spacing w:val="-7"/>
          <w:sz w:val="18"/>
          <w:szCs w:val="18"/>
          <w:lang w:val="es-ES_tradnl"/>
        </w:rPr>
        <w:t xml:space="preserve">f.) Jaime Pozo Chamorro, </w:t>
      </w:r>
      <w:r>
        <w:rPr>
          <w:b/>
          <w:bCs/>
          <w:spacing w:val="-7"/>
          <w:sz w:val="18"/>
          <w:szCs w:val="18"/>
          <w:lang w:val="es-ES_tradnl"/>
        </w:rPr>
        <w:t>Secretario General.</w:t>
      </w:r>
    </w:p>
    <w:p w14:paraId="4F67AD1F" w14:textId="77777777" w:rsidR="00591D54" w:rsidRDefault="00591D54">
      <w:pPr>
        <w:shd w:val="clear" w:color="auto" w:fill="FFFFFF"/>
        <w:spacing w:before="144" w:line="202"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AD20" w14:textId="77777777" w:rsidR="00591D54" w:rsidRDefault="00591D54">
      <w:pPr>
        <w:shd w:val="clear" w:color="auto" w:fill="FFFFFF"/>
        <w:spacing w:before="1253" w:line="432" w:lineRule="exact"/>
      </w:pPr>
      <w:r>
        <w:rPr>
          <w:spacing w:val="-3"/>
          <w:sz w:val="18"/>
          <w:szCs w:val="18"/>
          <w:lang w:val="es-ES_tradnl"/>
        </w:rPr>
        <w:t>Quito, D. M., 01 de julio del 2015</w:t>
      </w:r>
    </w:p>
    <w:p w14:paraId="4F67AD21" w14:textId="77777777" w:rsidR="00591D54" w:rsidRDefault="00591D54">
      <w:pPr>
        <w:shd w:val="clear" w:color="auto" w:fill="FFFFFF"/>
        <w:spacing w:line="432" w:lineRule="exact"/>
        <w:ind w:left="850"/>
      </w:pPr>
      <w:r>
        <w:rPr>
          <w:b/>
          <w:bCs/>
          <w:spacing w:val="-3"/>
          <w:sz w:val="18"/>
          <w:szCs w:val="18"/>
          <w:u w:val="single"/>
          <w:lang w:val="es-ES_tradnl"/>
        </w:rPr>
        <w:t>SENTENCIA N.</w:t>
      </w:r>
      <w:r>
        <w:rPr>
          <w:rFonts w:cs="Times New Roman"/>
          <w:b/>
          <w:bCs/>
          <w:spacing w:val="-3"/>
          <w:sz w:val="18"/>
          <w:szCs w:val="18"/>
          <w:u w:val="single"/>
          <w:lang w:val="es-ES_tradnl"/>
        </w:rPr>
        <w:t>º</w:t>
      </w:r>
      <w:r>
        <w:rPr>
          <w:b/>
          <w:bCs/>
          <w:spacing w:val="-3"/>
          <w:sz w:val="18"/>
          <w:szCs w:val="18"/>
          <w:u w:val="single"/>
          <w:lang w:val="es-ES_tradnl"/>
        </w:rPr>
        <w:t xml:space="preserve"> 215-15-SEP-CC</w:t>
      </w:r>
    </w:p>
    <w:p w14:paraId="4F67AD22" w14:textId="77777777" w:rsidR="00591D54" w:rsidRDefault="00591D54">
      <w:pPr>
        <w:shd w:val="clear" w:color="auto" w:fill="FFFFFF"/>
        <w:spacing w:line="432" w:lineRule="exact"/>
        <w:ind w:left="1296"/>
      </w:pPr>
      <w:r>
        <w:rPr>
          <w:b/>
          <w:bCs/>
          <w:spacing w:val="-5"/>
          <w:sz w:val="18"/>
          <w:szCs w:val="18"/>
          <w:u w:val="single"/>
          <w:lang w:val="es-ES_tradnl"/>
        </w:rPr>
        <w:t>CASO N.</w:t>
      </w:r>
      <w:r>
        <w:rPr>
          <w:rFonts w:cs="Times New Roman"/>
          <w:b/>
          <w:bCs/>
          <w:spacing w:val="-5"/>
          <w:sz w:val="18"/>
          <w:szCs w:val="18"/>
          <w:u w:val="single"/>
          <w:lang w:val="es-ES_tradnl"/>
        </w:rPr>
        <w:t>º</w:t>
      </w:r>
      <w:r>
        <w:rPr>
          <w:b/>
          <w:bCs/>
          <w:spacing w:val="-5"/>
          <w:sz w:val="18"/>
          <w:szCs w:val="18"/>
          <w:u w:val="single"/>
          <w:lang w:val="es-ES_tradnl"/>
        </w:rPr>
        <w:t xml:space="preserve"> 0267-13-EP</w:t>
      </w:r>
    </w:p>
    <w:p w14:paraId="4F67AD23" w14:textId="77777777" w:rsidR="00591D54" w:rsidRDefault="00591D54">
      <w:pPr>
        <w:shd w:val="clear" w:color="auto" w:fill="FFFFFF"/>
        <w:spacing w:line="432" w:lineRule="exact"/>
        <w:ind w:left="298"/>
      </w:pPr>
      <w:r>
        <w:rPr>
          <w:b/>
          <w:bCs/>
          <w:sz w:val="18"/>
          <w:szCs w:val="18"/>
          <w:lang w:val="es-ES_tradnl"/>
        </w:rPr>
        <w:t>CORTE CONSTITUCIONAL DEL ECUADOR</w:t>
      </w:r>
    </w:p>
    <w:p w14:paraId="4F67AD24" w14:textId="77777777" w:rsidR="00591D54" w:rsidRDefault="00591D54">
      <w:pPr>
        <w:shd w:val="clear" w:color="auto" w:fill="FFFFFF"/>
        <w:spacing w:line="432" w:lineRule="exact"/>
        <w:ind w:left="1339"/>
      </w:pPr>
      <w:r>
        <w:rPr>
          <w:b/>
          <w:bCs/>
          <w:sz w:val="18"/>
          <w:szCs w:val="18"/>
          <w:lang w:val="es-ES_tradnl"/>
        </w:rPr>
        <w:t>I. ANTECEDENTES</w:t>
      </w:r>
    </w:p>
    <w:p w14:paraId="4F67AD25" w14:textId="77777777" w:rsidR="00591D54" w:rsidRDefault="00591D54">
      <w:pPr>
        <w:shd w:val="clear" w:color="auto" w:fill="FFFFFF"/>
        <w:spacing w:line="432" w:lineRule="exact"/>
      </w:pPr>
      <w:r>
        <w:rPr>
          <w:b/>
          <w:bCs/>
          <w:spacing w:val="-9"/>
          <w:sz w:val="18"/>
          <w:szCs w:val="18"/>
          <w:lang w:val="es-ES_tradnl"/>
        </w:rPr>
        <w:t>Resumen de admisibilidad</w:t>
      </w:r>
    </w:p>
    <w:p w14:paraId="4F67AD26" w14:textId="77777777" w:rsidR="00591D54" w:rsidRDefault="00591D54">
      <w:pPr>
        <w:shd w:val="clear" w:color="auto" w:fill="FFFFFF"/>
        <w:spacing w:before="163" w:line="216" w:lineRule="exact"/>
        <w:jc w:val="both"/>
      </w:pPr>
      <w:r>
        <w:rPr>
          <w:spacing w:val="-6"/>
          <w:sz w:val="18"/>
          <w:szCs w:val="18"/>
          <w:lang w:val="es-ES_tradnl"/>
        </w:rPr>
        <w:t>De forma independiente, el se</w:t>
      </w:r>
      <w:r>
        <w:rPr>
          <w:rFonts w:cs="Times New Roman"/>
          <w:spacing w:val="-6"/>
          <w:sz w:val="18"/>
          <w:szCs w:val="18"/>
          <w:lang w:val="es-ES_tradnl"/>
        </w:rPr>
        <w:t>ñ</w:t>
      </w:r>
      <w:r>
        <w:rPr>
          <w:spacing w:val="-6"/>
          <w:sz w:val="18"/>
          <w:szCs w:val="18"/>
          <w:lang w:val="es-ES_tradnl"/>
        </w:rPr>
        <w:t xml:space="preserve">or </w:t>
      </w:r>
      <w:r>
        <w:rPr>
          <w:rFonts w:cs="Times New Roman"/>
          <w:spacing w:val="-6"/>
          <w:sz w:val="18"/>
          <w:szCs w:val="18"/>
          <w:lang w:val="es-ES_tradnl"/>
        </w:rPr>
        <w:t>Á</w:t>
      </w:r>
      <w:r>
        <w:rPr>
          <w:spacing w:val="-6"/>
          <w:sz w:val="18"/>
          <w:szCs w:val="18"/>
          <w:lang w:val="es-ES_tradnl"/>
        </w:rPr>
        <w:t xml:space="preserve">ngel Sarzosa Aguirre, </w:t>
      </w:r>
      <w:r>
        <w:rPr>
          <w:spacing w:val="-5"/>
          <w:sz w:val="18"/>
          <w:szCs w:val="18"/>
          <w:lang w:val="es-ES_tradnl"/>
        </w:rPr>
        <w:t xml:space="preserve">en calidad de director general de Recursos Humanos de </w:t>
      </w:r>
      <w:r>
        <w:rPr>
          <w:spacing w:val="-7"/>
          <w:sz w:val="18"/>
          <w:szCs w:val="18"/>
          <w:lang w:val="es-ES_tradnl"/>
        </w:rPr>
        <w:t>la Armada del Ecuador, por una parte, y el se</w:t>
      </w:r>
      <w:r>
        <w:rPr>
          <w:rFonts w:cs="Times New Roman"/>
          <w:spacing w:val="-7"/>
          <w:sz w:val="18"/>
          <w:szCs w:val="18"/>
          <w:lang w:val="es-ES_tradnl"/>
        </w:rPr>
        <w:t>ñ</w:t>
      </w:r>
      <w:r>
        <w:rPr>
          <w:spacing w:val="-7"/>
          <w:sz w:val="18"/>
          <w:szCs w:val="18"/>
          <w:lang w:val="es-ES_tradnl"/>
        </w:rPr>
        <w:t xml:space="preserve">or Jaime </w:t>
      </w:r>
      <w:r>
        <w:rPr>
          <w:spacing w:val="-5"/>
          <w:sz w:val="18"/>
          <w:szCs w:val="18"/>
          <w:lang w:val="es-ES_tradnl"/>
        </w:rPr>
        <w:t xml:space="preserve">Cevallos </w:t>
      </w:r>
      <w:r>
        <w:rPr>
          <w:rFonts w:cs="Times New Roman"/>
          <w:spacing w:val="-5"/>
          <w:sz w:val="18"/>
          <w:szCs w:val="18"/>
          <w:lang w:val="es-ES_tradnl"/>
        </w:rPr>
        <w:t>Á</w:t>
      </w:r>
      <w:r>
        <w:rPr>
          <w:spacing w:val="-5"/>
          <w:sz w:val="18"/>
          <w:szCs w:val="18"/>
          <w:lang w:val="es-ES_tradnl"/>
        </w:rPr>
        <w:t xml:space="preserve">lvarez, en calidad de director regional 1 de la </w:t>
      </w:r>
      <w:r>
        <w:rPr>
          <w:spacing w:val="-3"/>
          <w:sz w:val="18"/>
          <w:szCs w:val="18"/>
          <w:lang w:val="es-ES_tradnl"/>
        </w:rPr>
        <w:t>Procuradur</w:t>
      </w:r>
      <w:r>
        <w:rPr>
          <w:rFonts w:cs="Times New Roman"/>
          <w:spacing w:val="-3"/>
          <w:sz w:val="18"/>
          <w:szCs w:val="18"/>
          <w:lang w:val="es-ES_tradnl"/>
        </w:rPr>
        <w:t>í</w:t>
      </w:r>
      <w:r>
        <w:rPr>
          <w:spacing w:val="-3"/>
          <w:sz w:val="18"/>
          <w:szCs w:val="18"/>
          <w:lang w:val="es-ES_tradnl"/>
        </w:rPr>
        <w:t>a General del Estado, por otra, presentaron</w:t>
      </w:r>
    </w:p>
    <w:p w14:paraId="4F67AD27" w14:textId="77777777" w:rsidR="00591D54" w:rsidRDefault="00591D54">
      <w:pPr>
        <w:shd w:val="clear" w:color="auto" w:fill="FFFFFF"/>
        <w:spacing w:before="163" w:line="216" w:lineRule="exact"/>
        <w:jc w:val="both"/>
        <w:sectPr w:rsidR="00591D54">
          <w:type w:val="continuous"/>
          <w:pgSz w:w="11909" w:h="16834"/>
          <w:pgMar w:top="1359" w:right="1309" w:bottom="360" w:left="1308" w:header="720" w:footer="720" w:gutter="0"/>
          <w:cols w:num="2" w:space="720" w:equalWidth="0">
            <w:col w:w="4305" w:space="682"/>
            <w:col w:w="4305"/>
          </w:cols>
          <w:noEndnote/>
        </w:sectPr>
      </w:pPr>
    </w:p>
    <w:p w14:paraId="4F67AD28" w14:textId="77777777" w:rsidR="00591D54" w:rsidRDefault="00591D54">
      <w:pPr>
        <w:shd w:val="clear" w:color="auto" w:fill="FFFFFF"/>
        <w:tabs>
          <w:tab w:val="left" w:pos="4814"/>
        </w:tabs>
        <w:spacing w:after="235"/>
        <w:ind w:left="14"/>
      </w:pPr>
      <w:r>
        <w:rPr>
          <w:b/>
          <w:bCs/>
          <w:sz w:val="18"/>
          <w:szCs w:val="18"/>
          <w:lang w:val="es-ES_tradnl"/>
        </w:rPr>
        <w:t xml:space="preserve">118 -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D29" w14:textId="77777777" w:rsidR="00591D54" w:rsidRDefault="00591D54">
      <w:pPr>
        <w:shd w:val="clear" w:color="auto" w:fill="FFFFFF"/>
        <w:tabs>
          <w:tab w:val="left" w:pos="4814"/>
        </w:tabs>
        <w:spacing w:after="235"/>
        <w:ind w:left="14"/>
        <w:sectPr w:rsidR="00591D54">
          <w:pgSz w:w="11909" w:h="16834"/>
          <w:pgMar w:top="1373" w:right="1309" w:bottom="360" w:left="1308" w:header="720" w:footer="720" w:gutter="0"/>
          <w:cols w:space="60"/>
          <w:noEndnote/>
        </w:sectPr>
      </w:pPr>
    </w:p>
    <w:p w14:paraId="4F67AD2A" w14:textId="77777777" w:rsidR="00591D54" w:rsidRDefault="00591D54">
      <w:pPr>
        <w:shd w:val="clear" w:color="auto" w:fill="FFFFFF"/>
        <w:spacing w:line="216" w:lineRule="exact"/>
        <w:jc w:val="both"/>
      </w:pPr>
      <w:r>
        <w:rPr>
          <w:spacing w:val="-9"/>
          <w:sz w:val="18"/>
          <w:szCs w:val="18"/>
          <w:lang w:val="es-ES_tradnl"/>
        </w:rPr>
        <w:t>demandas de acci</w:t>
      </w:r>
      <w:r>
        <w:rPr>
          <w:rFonts w:cs="Times New Roman"/>
          <w:spacing w:val="-9"/>
          <w:sz w:val="18"/>
          <w:szCs w:val="18"/>
          <w:lang w:val="es-ES_tradnl"/>
        </w:rPr>
        <w:t>ó</w:t>
      </w:r>
      <w:r>
        <w:rPr>
          <w:spacing w:val="-9"/>
          <w:sz w:val="18"/>
          <w:szCs w:val="18"/>
          <w:lang w:val="es-ES_tradnl"/>
        </w:rPr>
        <w:t>n extraordinaria de protecci</w:t>
      </w:r>
      <w:r>
        <w:rPr>
          <w:rFonts w:cs="Times New Roman"/>
          <w:spacing w:val="-9"/>
          <w:sz w:val="18"/>
          <w:szCs w:val="18"/>
          <w:lang w:val="es-ES_tradnl"/>
        </w:rPr>
        <w:t>ó</w:t>
      </w:r>
      <w:r>
        <w:rPr>
          <w:spacing w:val="-9"/>
          <w:sz w:val="18"/>
          <w:szCs w:val="18"/>
          <w:lang w:val="es-ES_tradnl"/>
        </w:rPr>
        <w:t xml:space="preserve">n en contra </w:t>
      </w:r>
      <w:r>
        <w:rPr>
          <w:spacing w:val="-7"/>
          <w:sz w:val="18"/>
          <w:szCs w:val="18"/>
          <w:lang w:val="es-ES_tradnl"/>
        </w:rPr>
        <w:t>de la sentencia dictada por la jueza Sexta de la Ni</w:t>
      </w:r>
      <w:r>
        <w:rPr>
          <w:rFonts w:cs="Times New Roman"/>
          <w:spacing w:val="-7"/>
          <w:sz w:val="18"/>
          <w:szCs w:val="18"/>
          <w:lang w:val="es-ES_tradnl"/>
        </w:rPr>
        <w:t>ñ</w:t>
      </w:r>
      <w:r>
        <w:rPr>
          <w:spacing w:val="-7"/>
          <w:sz w:val="18"/>
          <w:szCs w:val="18"/>
          <w:lang w:val="es-ES_tradnl"/>
        </w:rPr>
        <w:t xml:space="preserve">ez y </w:t>
      </w:r>
      <w:r>
        <w:rPr>
          <w:spacing w:val="-12"/>
          <w:sz w:val="18"/>
          <w:szCs w:val="18"/>
          <w:lang w:val="es-ES_tradnl"/>
        </w:rPr>
        <w:t xml:space="preserve">Adolescencia del Guayas el 28 de agosto de 2012 a las 10:26 </w:t>
      </w:r>
      <w:r>
        <w:rPr>
          <w:spacing w:val="-5"/>
          <w:sz w:val="18"/>
          <w:szCs w:val="18"/>
          <w:lang w:val="es-ES_tradnl"/>
        </w:rPr>
        <w:t>(acci</w:t>
      </w:r>
      <w:r>
        <w:rPr>
          <w:rFonts w:cs="Times New Roman"/>
          <w:spacing w:val="-5"/>
          <w:sz w:val="18"/>
          <w:szCs w:val="18"/>
          <w:lang w:val="es-ES_tradnl"/>
        </w:rPr>
        <w:t>ó</w:t>
      </w:r>
      <w:r>
        <w:rPr>
          <w:spacing w:val="-5"/>
          <w:sz w:val="18"/>
          <w:szCs w:val="18"/>
          <w:lang w:val="es-ES_tradnl"/>
        </w:rPr>
        <w:t>n de protecci</w:t>
      </w:r>
      <w:r>
        <w:rPr>
          <w:rFonts w:cs="Times New Roman"/>
          <w:spacing w:val="-5"/>
          <w:sz w:val="18"/>
          <w:szCs w:val="18"/>
          <w:lang w:val="es-ES_tradnl"/>
        </w:rPr>
        <w:t>ó</w:t>
      </w:r>
      <w:r>
        <w:rPr>
          <w:spacing w:val="-5"/>
          <w:sz w:val="18"/>
          <w:szCs w:val="18"/>
          <w:lang w:val="es-ES_tradnl"/>
        </w:rPr>
        <w:t>n N.</w:t>
      </w:r>
      <w:r>
        <w:rPr>
          <w:rFonts w:cs="Times New Roman"/>
          <w:spacing w:val="-5"/>
          <w:sz w:val="18"/>
          <w:szCs w:val="18"/>
          <w:lang w:val="es-ES_tradnl"/>
        </w:rPr>
        <w:t>°</w:t>
      </w:r>
      <w:r>
        <w:rPr>
          <w:spacing w:val="-5"/>
          <w:sz w:val="18"/>
          <w:szCs w:val="18"/>
          <w:lang w:val="es-ES_tradnl"/>
        </w:rPr>
        <w:t xml:space="preserve"> 0412-2012), y en contra de la </w:t>
      </w:r>
      <w:r>
        <w:rPr>
          <w:spacing w:val="-9"/>
          <w:sz w:val="18"/>
          <w:szCs w:val="18"/>
          <w:lang w:val="es-ES_tradnl"/>
        </w:rPr>
        <w:t xml:space="preserve">sentencia dictada por la Tercera Sala de lo Penal, Colusorio </w:t>
      </w:r>
      <w:r>
        <w:rPr>
          <w:spacing w:val="-7"/>
          <w:sz w:val="18"/>
          <w:szCs w:val="18"/>
          <w:lang w:val="es-ES_tradnl"/>
        </w:rPr>
        <w:t>y Tr</w:t>
      </w:r>
      <w:r>
        <w:rPr>
          <w:rFonts w:cs="Times New Roman"/>
          <w:spacing w:val="-7"/>
          <w:sz w:val="18"/>
          <w:szCs w:val="18"/>
          <w:lang w:val="es-ES_tradnl"/>
        </w:rPr>
        <w:t>á</w:t>
      </w:r>
      <w:r>
        <w:rPr>
          <w:spacing w:val="-7"/>
          <w:sz w:val="18"/>
          <w:szCs w:val="18"/>
          <w:lang w:val="es-ES_tradnl"/>
        </w:rPr>
        <w:t xml:space="preserve">nsito de la Corte Provincial de Justicia del Guayas el </w:t>
      </w:r>
      <w:r>
        <w:rPr>
          <w:spacing w:val="-8"/>
          <w:sz w:val="18"/>
          <w:szCs w:val="18"/>
          <w:lang w:val="es-ES_tradnl"/>
        </w:rPr>
        <w:t>31 de octubre de 2012 a las 16:33, (causa N.</w:t>
      </w:r>
      <w:r>
        <w:rPr>
          <w:rFonts w:cs="Times New Roman"/>
          <w:spacing w:val="-8"/>
          <w:sz w:val="18"/>
          <w:szCs w:val="18"/>
          <w:lang w:val="es-ES_tradnl"/>
        </w:rPr>
        <w:t>°</w:t>
      </w:r>
      <w:r>
        <w:rPr>
          <w:spacing w:val="-8"/>
          <w:sz w:val="18"/>
          <w:szCs w:val="18"/>
          <w:lang w:val="es-ES_tradnl"/>
        </w:rPr>
        <w:t xml:space="preserve"> 0719-2012), </w:t>
      </w:r>
      <w:r>
        <w:rPr>
          <w:spacing w:val="-9"/>
          <w:sz w:val="18"/>
          <w:szCs w:val="18"/>
          <w:lang w:val="es-ES_tradnl"/>
        </w:rPr>
        <w:t>presentada en primera instancia por el ciudadano Jos</w:t>
      </w:r>
      <w:r>
        <w:rPr>
          <w:rFonts w:cs="Times New Roman"/>
          <w:spacing w:val="-9"/>
          <w:sz w:val="18"/>
          <w:szCs w:val="18"/>
          <w:lang w:val="es-ES_tradnl"/>
        </w:rPr>
        <w:t>é</w:t>
      </w:r>
      <w:r>
        <w:rPr>
          <w:spacing w:val="-9"/>
          <w:sz w:val="18"/>
          <w:szCs w:val="18"/>
          <w:lang w:val="es-ES_tradnl"/>
        </w:rPr>
        <w:t xml:space="preserve"> Luis Burgos Sol</w:t>
      </w:r>
      <w:r>
        <w:rPr>
          <w:rFonts w:cs="Times New Roman"/>
          <w:spacing w:val="-9"/>
          <w:sz w:val="18"/>
          <w:szCs w:val="18"/>
          <w:lang w:val="es-ES_tradnl"/>
        </w:rPr>
        <w:t>í</w:t>
      </w:r>
      <w:r>
        <w:rPr>
          <w:spacing w:val="-9"/>
          <w:sz w:val="18"/>
          <w:szCs w:val="18"/>
          <w:lang w:val="es-ES_tradnl"/>
        </w:rPr>
        <w:t xml:space="preserve">s, en contra del Ministerio de Defensa Nacional, </w:t>
      </w:r>
      <w:r>
        <w:rPr>
          <w:sz w:val="18"/>
          <w:szCs w:val="18"/>
          <w:lang w:val="es-ES_tradnl"/>
        </w:rPr>
        <w:t>Fuerzas Armadas del Ecuador y otros.</w:t>
      </w:r>
    </w:p>
    <w:p w14:paraId="4F67AD2B" w14:textId="77777777" w:rsidR="00591D54" w:rsidRDefault="00591D54">
      <w:pPr>
        <w:shd w:val="clear" w:color="auto" w:fill="FFFFFF"/>
        <w:spacing w:before="197" w:line="216" w:lineRule="exact"/>
        <w:ind w:right="5"/>
        <w:jc w:val="both"/>
      </w:pPr>
      <w:r>
        <w:rPr>
          <w:spacing w:val="-8"/>
          <w:sz w:val="18"/>
          <w:szCs w:val="18"/>
          <w:lang w:val="es-ES_tradnl"/>
        </w:rPr>
        <w:t>El 15 de febrero de 2013, la Secretar</w:t>
      </w:r>
      <w:r>
        <w:rPr>
          <w:rFonts w:cs="Times New Roman"/>
          <w:spacing w:val="-8"/>
          <w:sz w:val="18"/>
          <w:szCs w:val="18"/>
          <w:lang w:val="es-ES_tradnl"/>
        </w:rPr>
        <w:t>í</w:t>
      </w:r>
      <w:r>
        <w:rPr>
          <w:spacing w:val="-8"/>
          <w:sz w:val="18"/>
          <w:szCs w:val="18"/>
          <w:lang w:val="es-ES_tradnl"/>
        </w:rPr>
        <w:t xml:space="preserve">a General de la Corte </w:t>
      </w:r>
      <w:r>
        <w:rPr>
          <w:spacing w:val="-9"/>
          <w:sz w:val="18"/>
          <w:szCs w:val="18"/>
          <w:lang w:val="es-ES_tradnl"/>
        </w:rPr>
        <w:t>Constitucional, certific</w:t>
      </w:r>
      <w:r>
        <w:rPr>
          <w:rFonts w:cs="Times New Roman"/>
          <w:spacing w:val="-9"/>
          <w:sz w:val="18"/>
          <w:szCs w:val="18"/>
          <w:lang w:val="es-ES_tradnl"/>
        </w:rPr>
        <w:t>ó</w:t>
      </w:r>
      <w:r>
        <w:rPr>
          <w:spacing w:val="-9"/>
          <w:sz w:val="18"/>
          <w:szCs w:val="18"/>
          <w:lang w:val="es-ES_tradnl"/>
        </w:rPr>
        <w:t xml:space="preserve"> que en relaci</w:t>
      </w:r>
      <w:r>
        <w:rPr>
          <w:rFonts w:cs="Times New Roman"/>
          <w:spacing w:val="-9"/>
          <w:sz w:val="18"/>
          <w:szCs w:val="18"/>
          <w:lang w:val="es-ES_tradnl"/>
        </w:rPr>
        <w:t>ó</w:t>
      </w:r>
      <w:r>
        <w:rPr>
          <w:spacing w:val="-9"/>
          <w:sz w:val="18"/>
          <w:szCs w:val="18"/>
          <w:lang w:val="es-ES_tradnl"/>
        </w:rPr>
        <w:t xml:space="preserve">n a la presente causa </w:t>
      </w:r>
      <w:r>
        <w:rPr>
          <w:spacing w:val="-8"/>
          <w:sz w:val="18"/>
          <w:szCs w:val="18"/>
          <w:lang w:val="es-ES_tradnl"/>
        </w:rPr>
        <w:t xml:space="preserve">no se ha presentado otra demanda con identidad de objeto </w:t>
      </w:r>
      <w:r>
        <w:rPr>
          <w:sz w:val="18"/>
          <w:szCs w:val="18"/>
          <w:lang w:val="es-ES_tradnl"/>
        </w:rPr>
        <w:t>y acci</w:t>
      </w:r>
      <w:r>
        <w:rPr>
          <w:rFonts w:cs="Times New Roman"/>
          <w:sz w:val="18"/>
          <w:szCs w:val="18"/>
          <w:lang w:val="es-ES_tradnl"/>
        </w:rPr>
        <w:t>ó</w:t>
      </w:r>
      <w:r>
        <w:rPr>
          <w:sz w:val="18"/>
          <w:szCs w:val="18"/>
          <w:lang w:val="es-ES_tradnl"/>
        </w:rPr>
        <w:t>n.</w:t>
      </w:r>
    </w:p>
    <w:p w14:paraId="4F67AD2C" w14:textId="77777777" w:rsidR="00591D54" w:rsidRDefault="00591D54">
      <w:pPr>
        <w:shd w:val="clear" w:color="auto" w:fill="FFFFFF"/>
        <w:spacing w:before="197" w:line="216" w:lineRule="exact"/>
        <w:ind w:right="5"/>
        <w:jc w:val="both"/>
      </w:pPr>
      <w:r>
        <w:rPr>
          <w:spacing w:val="-7"/>
          <w:sz w:val="18"/>
          <w:szCs w:val="18"/>
          <w:lang w:val="es-ES_tradnl"/>
        </w:rPr>
        <w:t xml:space="preserve">Mediante auto emitido el 17 de mayo de 2013 a las 09:24, </w:t>
      </w:r>
      <w:r>
        <w:rPr>
          <w:spacing w:val="-9"/>
          <w:sz w:val="18"/>
          <w:szCs w:val="18"/>
          <w:lang w:val="es-ES_tradnl"/>
        </w:rPr>
        <w:t>la Sala de Admisi</w:t>
      </w:r>
      <w:r>
        <w:rPr>
          <w:rFonts w:cs="Times New Roman"/>
          <w:spacing w:val="-9"/>
          <w:sz w:val="18"/>
          <w:szCs w:val="18"/>
          <w:lang w:val="es-ES_tradnl"/>
        </w:rPr>
        <w:t>ó</w:t>
      </w:r>
      <w:r>
        <w:rPr>
          <w:spacing w:val="-9"/>
          <w:sz w:val="18"/>
          <w:szCs w:val="18"/>
          <w:lang w:val="es-ES_tradnl"/>
        </w:rPr>
        <w:t xml:space="preserve">n de la Corte Constitucional, conformada </w:t>
      </w:r>
      <w:r>
        <w:rPr>
          <w:spacing w:val="-6"/>
          <w:sz w:val="18"/>
          <w:szCs w:val="18"/>
          <w:lang w:val="es-ES_tradnl"/>
        </w:rPr>
        <w:t xml:space="preserve">por los jueces constitucionales Wendy Molina Andrade, </w:t>
      </w:r>
      <w:r>
        <w:rPr>
          <w:spacing w:val="-5"/>
          <w:sz w:val="18"/>
          <w:szCs w:val="18"/>
          <w:lang w:val="es-ES_tradnl"/>
        </w:rPr>
        <w:t>Manuel Viteri Olvera y Patricio Pazmi</w:t>
      </w:r>
      <w:r>
        <w:rPr>
          <w:rFonts w:cs="Times New Roman"/>
          <w:spacing w:val="-5"/>
          <w:sz w:val="18"/>
          <w:szCs w:val="18"/>
          <w:lang w:val="es-ES_tradnl"/>
        </w:rPr>
        <w:t>ñ</w:t>
      </w:r>
      <w:r>
        <w:rPr>
          <w:spacing w:val="-5"/>
          <w:sz w:val="18"/>
          <w:szCs w:val="18"/>
          <w:lang w:val="es-ES_tradnl"/>
        </w:rPr>
        <w:t>o Freire, admiti</w:t>
      </w:r>
      <w:r>
        <w:rPr>
          <w:rFonts w:cs="Times New Roman"/>
          <w:spacing w:val="-5"/>
          <w:sz w:val="18"/>
          <w:szCs w:val="18"/>
          <w:lang w:val="es-ES_tradnl"/>
        </w:rPr>
        <w:t>ó</w:t>
      </w:r>
      <w:r>
        <w:rPr>
          <w:spacing w:val="-5"/>
          <w:sz w:val="18"/>
          <w:szCs w:val="18"/>
          <w:lang w:val="es-ES_tradnl"/>
        </w:rPr>
        <w:t xml:space="preserve"> a </w:t>
      </w:r>
      <w:r>
        <w:rPr>
          <w:spacing w:val="-7"/>
          <w:sz w:val="18"/>
          <w:szCs w:val="18"/>
          <w:lang w:val="es-ES_tradnl"/>
        </w:rPr>
        <w:t>tr</w:t>
      </w:r>
      <w:r>
        <w:rPr>
          <w:rFonts w:cs="Times New Roman"/>
          <w:spacing w:val="-7"/>
          <w:sz w:val="18"/>
          <w:szCs w:val="18"/>
          <w:lang w:val="es-ES_tradnl"/>
        </w:rPr>
        <w:t>á</w:t>
      </w:r>
      <w:r>
        <w:rPr>
          <w:spacing w:val="-7"/>
          <w:sz w:val="18"/>
          <w:szCs w:val="18"/>
          <w:lang w:val="es-ES_tradnl"/>
        </w:rPr>
        <w:t>mite la acci</w:t>
      </w:r>
      <w:r>
        <w:rPr>
          <w:rFonts w:cs="Times New Roman"/>
          <w:spacing w:val="-7"/>
          <w:sz w:val="18"/>
          <w:szCs w:val="18"/>
          <w:lang w:val="es-ES_tradnl"/>
        </w:rPr>
        <w:t>ó</w:t>
      </w:r>
      <w:r>
        <w:rPr>
          <w:spacing w:val="-7"/>
          <w:sz w:val="18"/>
          <w:szCs w:val="18"/>
          <w:lang w:val="es-ES_tradnl"/>
        </w:rPr>
        <w:t>n extraordinaria de protecci</w:t>
      </w:r>
      <w:r>
        <w:rPr>
          <w:rFonts w:cs="Times New Roman"/>
          <w:spacing w:val="-7"/>
          <w:sz w:val="18"/>
          <w:szCs w:val="18"/>
          <w:lang w:val="es-ES_tradnl"/>
        </w:rPr>
        <w:t>ó</w:t>
      </w:r>
      <w:r>
        <w:rPr>
          <w:spacing w:val="-7"/>
          <w:sz w:val="18"/>
          <w:szCs w:val="18"/>
          <w:lang w:val="es-ES_tradnl"/>
        </w:rPr>
        <w:t>n N.</w:t>
      </w:r>
      <w:r>
        <w:rPr>
          <w:rFonts w:cs="Times New Roman"/>
          <w:spacing w:val="-7"/>
          <w:sz w:val="18"/>
          <w:szCs w:val="18"/>
          <w:lang w:val="es-ES_tradnl"/>
        </w:rPr>
        <w:t>º</w:t>
      </w:r>
      <w:r>
        <w:rPr>
          <w:spacing w:val="-7"/>
          <w:sz w:val="18"/>
          <w:szCs w:val="18"/>
          <w:lang w:val="es-ES_tradnl"/>
        </w:rPr>
        <w:t xml:space="preserve"> 0267-13-</w:t>
      </w:r>
      <w:r>
        <w:rPr>
          <w:sz w:val="18"/>
          <w:szCs w:val="18"/>
          <w:lang w:val="es-ES_tradnl"/>
        </w:rPr>
        <w:t>EP.</w:t>
      </w:r>
    </w:p>
    <w:p w14:paraId="4F67AD2D" w14:textId="77777777" w:rsidR="00591D54" w:rsidRDefault="00591D54">
      <w:pPr>
        <w:shd w:val="clear" w:color="auto" w:fill="FFFFFF"/>
        <w:spacing w:before="192" w:line="216" w:lineRule="exact"/>
        <w:ind w:right="5"/>
        <w:jc w:val="both"/>
      </w:pPr>
      <w:r>
        <w:rPr>
          <w:spacing w:val="-5"/>
          <w:sz w:val="18"/>
          <w:szCs w:val="18"/>
          <w:lang w:val="es-ES_tradnl"/>
        </w:rPr>
        <w:t xml:space="preserve">De conformidad con el sorteo realizado por el Pleno del </w:t>
      </w:r>
      <w:r>
        <w:rPr>
          <w:spacing w:val="-4"/>
          <w:sz w:val="18"/>
          <w:szCs w:val="18"/>
          <w:lang w:val="es-ES_tradnl"/>
        </w:rPr>
        <w:t>Organismo en sesi</w:t>
      </w:r>
      <w:r>
        <w:rPr>
          <w:rFonts w:cs="Times New Roman"/>
          <w:spacing w:val="-4"/>
          <w:sz w:val="18"/>
          <w:szCs w:val="18"/>
          <w:lang w:val="es-ES_tradnl"/>
        </w:rPr>
        <w:t>ó</w:t>
      </w:r>
      <w:r>
        <w:rPr>
          <w:spacing w:val="-4"/>
          <w:sz w:val="18"/>
          <w:szCs w:val="18"/>
          <w:lang w:val="es-ES_tradnl"/>
        </w:rPr>
        <w:t xml:space="preserve">n extraordinaria del 07 de junio de </w:t>
      </w:r>
      <w:r>
        <w:rPr>
          <w:spacing w:val="-6"/>
          <w:sz w:val="18"/>
          <w:szCs w:val="18"/>
          <w:lang w:val="es-ES_tradnl"/>
        </w:rPr>
        <w:t>2013, correspondi</w:t>
      </w:r>
      <w:r>
        <w:rPr>
          <w:rFonts w:cs="Times New Roman"/>
          <w:spacing w:val="-6"/>
          <w:sz w:val="18"/>
          <w:szCs w:val="18"/>
          <w:lang w:val="es-ES_tradnl"/>
        </w:rPr>
        <w:t>ó</w:t>
      </w:r>
      <w:r>
        <w:rPr>
          <w:spacing w:val="-6"/>
          <w:sz w:val="18"/>
          <w:szCs w:val="18"/>
          <w:lang w:val="es-ES_tradnl"/>
        </w:rPr>
        <w:t xml:space="preserve"> la sustanciaci</w:t>
      </w:r>
      <w:r>
        <w:rPr>
          <w:rFonts w:cs="Times New Roman"/>
          <w:spacing w:val="-6"/>
          <w:sz w:val="18"/>
          <w:szCs w:val="18"/>
          <w:lang w:val="es-ES_tradnl"/>
        </w:rPr>
        <w:t>ó</w:t>
      </w:r>
      <w:r>
        <w:rPr>
          <w:spacing w:val="-6"/>
          <w:sz w:val="18"/>
          <w:szCs w:val="18"/>
          <w:lang w:val="es-ES_tradnl"/>
        </w:rPr>
        <w:t>n de la presente acci</w:t>
      </w:r>
      <w:r>
        <w:rPr>
          <w:rFonts w:cs="Times New Roman"/>
          <w:spacing w:val="-6"/>
          <w:sz w:val="18"/>
          <w:szCs w:val="18"/>
          <w:lang w:val="es-ES_tradnl"/>
        </w:rPr>
        <w:t>ó</w:t>
      </w:r>
      <w:r>
        <w:rPr>
          <w:spacing w:val="-6"/>
          <w:sz w:val="18"/>
          <w:szCs w:val="18"/>
          <w:lang w:val="es-ES_tradnl"/>
        </w:rPr>
        <w:t xml:space="preserve">n </w:t>
      </w:r>
      <w:r>
        <w:rPr>
          <w:spacing w:val="-7"/>
          <w:sz w:val="18"/>
          <w:szCs w:val="18"/>
          <w:lang w:val="es-ES_tradnl"/>
        </w:rPr>
        <w:t>a la jueza constitucional, Tatiana Orde</w:t>
      </w:r>
      <w:r>
        <w:rPr>
          <w:rFonts w:cs="Times New Roman"/>
          <w:spacing w:val="-7"/>
          <w:sz w:val="18"/>
          <w:szCs w:val="18"/>
          <w:lang w:val="es-ES_tradnl"/>
        </w:rPr>
        <w:t>ñ</w:t>
      </w:r>
      <w:r>
        <w:rPr>
          <w:spacing w:val="-7"/>
          <w:sz w:val="18"/>
          <w:szCs w:val="18"/>
          <w:lang w:val="es-ES_tradnl"/>
        </w:rPr>
        <w:t xml:space="preserve">ana Sierra, quien mediante auto del 19 de septiembre de 2013 a las 09:00, </w:t>
      </w:r>
      <w:r>
        <w:rPr>
          <w:spacing w:val="-8"/>
          <w:sz w:val="18"/>
          <w:szCs w:val="18"/>
          <w:lang w:val="es-ES_tradnl"/>
        </w:rPr>
        <w:t>avoc</w:t>
      </w:r>
      <w:r>
        <w:rPr>
          <w:rFonts w:cs="Times New Roman"/>
          <w:spacing w:val="-8"/>
          <w:sz w:val="18"/>
          <w:szCs w:val="18"/>
          <w:lang w:val="es-ES_tradnl"/>
        </w:rPr>
        <w:t>ó</w:t>
      </w:r>
      <w:r>
        <w:rPr>
          <w:spacing w:val="-8"/>
          <w:sz w:val="18"/>
          <w:szCs w:val="18"/>
          <w:lang w:val="es-ES_tradnl"/>
        </w:rPr>
        <w:t xml:space="preserve"> conocimiento de la causa N.</w:t>
      </w:r>
      <w:r>
        <w:rPr>
          <w:rFonts w:cs="Times New Roman"/>
          <w:spacing w:val="-8"/>
          <w:sz w:val="18"/>
          <w:szCs w:val="18"/>
          <w:lang w:val="es-ES_tradnl"/>
        </w:rPr>
        <w:t>º</w:t>
      </w:r>
      <w:r>
        <w:rPr>
          <w:spacing w:val="-8"/>
          <w:sz w:val="18"/>
          <w:szCs w:val="18"/>
          <w:lang w:val="es-ES_tradnl"/>
        </w:rPr>
        <w:t xml:space="preserve"> 0267-13-EP y dispuso </w:t>
      </w:r>
      <w:r>
        <w:rPr>
          <w:spacing w:val="-6"/>
          <w:sz w:val="18"/>
          <w:szCs w:val="18"/>
          <w:lang w:val="es-ES_tradnl"/>
        </w:rPr>
        <w:t xml:space="preserve">que se notifique con el contenido de la demanda y dicha </w:t>
      </w:r>
      <w:r>
        <w:rPr>
          <w:spacing w:val="-8"/>
          <w:sz w:val="18"/>
          <w:szCs w:val="18"/>
          <w:lang w:val="es-ES_tradnl"/>
        </w:rPr>
        <w:t xml:space="preserve">providencia a los jueces de la Tercera Sala de lo Penal, </w:t>
      </w:r>
      <w:r>
        <w:rPr>
          <w:spacing w:val="-6"/>
          <w:sz w:val="18"/>
          <w:szCs w:val="18"/>
          <w:lang w:val="es-ES_tradnl"/>
        </w:rPr>
        <w:t>Colusorio y Tr</w:t>
      </w:r>
      <w:r>
        <w:rPr>
          <w:rFonts w:cs="Times New Roman"/>
          <w:spacing w:val="-6"/>
          <w:sz w:val="18"/>
          <w:szCs w:val="18"/>
          <w:lang w:val="es-ES_tradnl"/>
        </w:rPr>
        <w:t>á</w:t>
      </w:r>
      <w:r>
        <w:rPr>
          <w:spacing w:val="-6"/>
          <w:sz w:val="18"/>
          <w:szCs w:val="18"/>
          <w:lang w:val="es-ES_tradnl"/>
        </w:rPr>
        <w:t xml:space="preserve">nsito de la Corte Provincial de Justicia del </w:t>
      </w:r>
      <w:r>
        <w:rPr>
          <w:spacing w:val="-13"/>
          <w:sz w:val="18"/>
          <w:szCs w:val="18"/>
          <w:lang w:val="es-ES_tradnl"/>
        </w:rPr>
        <w:t>Guayas, as</w:t>
      </w:r>
      <w:r>
        <w:rPr>
          <w:rFonts w:cs="Times New Roman"/>
          <w:spacing w:val="-13"/>
          <w:sz w:val="18"/>
          <w:szCs w:val="18"/>
          <w:lang w:val="es-ES_tradnl"/>
        </w:rPr>
        <w:t>í</w:t>
      </w:r>
      <w:r>
        <w:rPr>
          <w:spacing w:val="-13"/>
          <w:sz w:val="18"/>
          <w:szCs w:val="18"/>
          <w:lang w:val="es-ES_tradnl"/>
        </w:rPr>
        <w:t xml:space="preserve"> como a la jueza Sexta de la Ni</w:t>
      </w:r>
      <w:r>
        <w:rPr>
          <w:rFonts w:cs="Times New Roman"/>
          <w:spacing w:val="-13"/>
          <w:sz w:val="18"/>
          <w:szCs w:val="18"/>
          <w:lang w:val="es-ES_tradnl"/>
        </w:rPr>
        <w:t>ñ</w:t>
      </w:r>
      <w:r>
        <w:rPr>
          <w:spacing w:val="-13"/>
          <w:sz w:val="18"/>
          <w:szCs w:val="18"/>
          <w:lang w:val="es-ES_tradnl"/>
        </w:rPr>
        <w:t xml:space="preserve">ez y Adolescencia </w:t>
      </w:r>
      <w:r>
        <w:rPr>
          <w:spacing w:val="-9"/>
          <w:sz w:val="18"/>
          <w:szCs w:val="18"/>
          <w:lang w:val="es-ES_tradnl"/>
        </w:rPr>
        <w:t xml:space="preserve">del Guayas, a fin de que presenten un informe motivado de </w:t>
      </w:r>
      <w:r>
        <w:rPr>
          <w:spacing w:val="-11"/>
          <w:sz w:val="18"/>
          <w:szCs w:val="18"/>
          <w:lang w:val="es-ES_tradnl"/>
        </w:rPr>
        <w:t xml:space="preserve">descargo sobre los argumentos que fundamenta la demanda </w:t>
      </w:r>
      <w:r>
        <w:rPr>
          <w:spacing w:val="-9"/>
          <w:sz w:val="18"/>
          <w:szCs w:val="18"/>
          <w:lang w:val="es-ES_tradnl"/>
        </w:rPr>
        <w:t>de esta acci</w:t>
      </w:r>
      <w:r>
        <w:rPr>
          <w:rFonts w:cs="Times New Roman"/>
          <w:spacing w:val="-9"/>
          <w:sz w:val="18"/>
          <w:szCs w:val="18"/>
          <w:lang w:val="es-ES_tradnl"/>
        </w:rPr>
        <w:t>ó</w:t>
      </w:r>
      <w:r>
        <w:rPr>
          <w:spacing w:val="-9"/>
          <w:sz w:val="18"/>
          <w:szCs w:val="18"/>
          <w:lang w:val="es-ES_tradnl"/>
        </w:rPr>
        <w:t>n, en el t</w:t>
      </w:r>
      <w:r>
        <w:rPr>
          <w:rFonts w:cs="Times New Roman"/>
          <w:spacing w:val="-9"/>
          <w:sz w:val="18"/>
          <w:szCs w:val="18"/>
          <w:lang w:val="es-ES_tradnl"/>
        </w:rPr>
        <w:t>é</w:t>
      </w:r>
      <w:r>
        <w:rPr>
          <w:spacing w:val="-9"/>
          <w:sz w:val="18"/>
          <w:szCs w:val="18"/>
          <w:lang w:val="es-ES_tradnl"/>
        </w:rPr>
        <w:t>rmino de cinco d</w:t>
      </w:r>
      <w:r>
        <w:rPr>
          <w:rFonts w:cs="Times New Roman"/>
          <w:spacing w:val="-9"/>
          <w:sz w:val="18"/>
          <w:szCs w:val="18"/>
          <w:lang w:val="es-ES_tradnl"/>
        </w:rPr>
        <w:t>í</w:t>
      </w:r>
      <w:r>
        <w:rPr>
          <w:spacing w:val="-9"/>
          <w:sz w:val="18"/>
          <w:szCs w:val="18"/>
          <w:lang w:val="es-ES_tradnl"/>
        </w:rPr>
        <w:t xml:space="preserve">as, sin que se haya </w:t>
      </w:r>
      <w:r>
        <w:rPr>
          <w:sz w:val="18"/>
          <w:szCs w:val="18"/>
          <w:lang w:val="es-ES_tradnl"/>
        </w:rPr>
        <w:t>presentado el referido informe.</w:t>
      </w:r>
    </w:p>
    <w:p w14:paraId="4F67AD2E" w14:textId="77777777" w:rsidR="00591D54" w:rsidRDefault="00591D54">
      <w:pPr>
        <w:shd w:val="clear" w:color="auto" w:fill="FFFFFF"/>
        <w:spacing w:before="192"/>
      </w:pPr>
      <w:r>
        <w:rPr>
          <w:b/>
          <w:bCs/>
          <w:spacing w:val="-10"/>
          <w:sz w:val="18"/>
          <w:szCs w:val="18"/>
          <w:lang w:val="es-ES_tradnl"/>
        </w:rPr>
        <w:t>De la solicitud y sus argumentos</w:t>
      </w:r>
    </w:p>
    <w:p w14:paraId="4F67AD2F" w14:textId="77777777" w:rsidR="00591D54" w:rsidRDefault="00591D54">
      <w:pPr>
        <w:shd w:val="clear" w:color="auto" w:fill="FFFFFF"/>
        <w:spacing w:before="192" w:line="216" w:lineRule="exact"/>
        <w:ind w:right="5"/>
        <w:jc w:val="both"/>
      </w:pPr>
      <w:r>
        <w:rPr>
          <w:b/>
          <w:bCs/>
          <w:spacing w:val="-8"/>
          <w:sz w:val="18"/>
          <w:szCs w:val="18"/>
          <w:lang w:val="es-ES_tradnl"/>
        </w:rPr>
        <w:t>Acci</w:t>
      </w:r>
      <w:r>
        <w:rPr>
          <w:rFonts w:cs="Times New Roman"/>
          <w:b/>
          <w:bCs/>
          <w:spacing w:val="-8"/>
          <w:sz w:val="18"/>
          <w:szCs w:val="18"/>
          <w:lang w:val="es-ES_tradnl"/>
        </w:rPr>
        <w:t>ó</w:t>
      </w:r>
      <w:r>
        <w:rPr>
          <w:b/>
          <w:bCs/>
          <w:spacing w:val="-8"/>
          <w:sz w:val="18"/>
          <w:szCs w:val="18"/>
          <w:lang w:val="es-ES_tradnl"/>
        </w:rPr>
        <w:t>n extraordinaria de protecci</w:t>
      </w:r>
      <w:r>
        <w:rPr>
          <w:rFonts w:cs="Times New Roman"/>
          <w:b/>
          <w:bCs/>
          <w:spacing w:val="-8"/>
          <w:sz w:val="18"/>
          <w:szCs w:val="18"/>
          <w:lang w:val="es-ES_tradnl"/>
        </w:rPr>
        <w:t>ó</w:t>
      </w:r>
      <w:r>
        <w:rPr>
          <w:b/>
          <w:bCs/>
          <w:spacing w:val="-8"/>
          <w:sz w:val="18"/>
          <w:szCs w:val="18"/>
          <w:lang w:val="es-ES_tradnl"/>
        </w:rPr>
        <w:t xml:space="preserve">n presentada por el director general de Recursos Humanos de la Armada </w:t>
      </w:r>
      <w:r>
        <w:rPr>
          <w:b/>
          <w:bCs/>
          <w:sz w:val="18"/>
          <w:szCs w:val="18"/>
          <w:lang w:val="es-ES_tradnl"/>
        </w:rPr>
        <w:t>Nacional</w:t>
      </w:r>
    </w:p>
    <w:p w14:paraId="4F67AD30" w14:textId="77777777" w:rsidR="00591D54" w:rsidRDefault="00591D54">
      <w:pPr>
        <w:shd w:val="clear" w:color="auto" w:fill="FFFFFF"/>
        <w:spacing w:before="192" w:line="216" w:lineRule="exact"/>
        <w:jc w:val="both"/>
      </w:pPr>
      <w:r>
        <w:rPr>
          <w:spacing w:val="-6"/>
          <w:sz w:val="18"/>
          <w:szCs w:val="18"/>
          <w:lang w:val="es-ES_tradnl"/>
        </w:rPr>
        <w:t xml:space="preserve">El accionante, </w:t>
      </w:r>
      <w:r>
        <w:rPr>
          <w:rFonts w:cs="Times New Roman"/>
          <w:spacing w:val="-6"/>
          <w:sz w:val="18"/>
          <w:szCs w:val="18"/>
          <w:lang w:val="es-ES_tradnl"/>
        </w:rPr>
        <w:t>Á</w:t>
      </w:r>
      <w:r>
        <w:rPr>
          <w:spacing w:val="-6"/>
          <w:sz w:val="18"/>
          <w:szCs w:val="18"/>
          <w:lang w:val="es-ES_tradnl"/>
        </w:rPr>
        <w:t xml:space="preserve">ngel Sarzosa Aguirre, en su calidad de director general de Recursos Humanos de la Armada </w:t>
      </w:r>
      <w:r>
        <w:rPr>
          <w:spacing w:val="-7"/>
          <w:sz w:val="18"/>
          <w:szCs w:val="18"/>
          <w:lang w:val="es-ES_tradnl"/>
        </w:rPr>
        <w:t>Nacional, se</w:t>
      </w:r>
      <w:r>
        <w:rPr>
          <w:rFonts w:cs="Times New Roman"/>
          <w:spacing w:val="-7"/>
          <w:sz w:val="18"/>
          <w:szCs w:val="18"/>
          <w:lang w:val="es-ES_tradnl"/>
        </w:rPr>
        <w:t>ñ</w:t>
      </w:r>
      <w:r>
        <w:rPr>
          <w:spacing w:val="-7"/>
          <w:sz w:val="18"/>
          <w:szCs w:val="18"/>
          <w:lang w:val="es-ES_tradnl"/>
        </w:rPr>
        <w:t>ala que tanto la jueza Sexta de la Ni</w:t>
      </w:r>
      <w:r>
        <w:rPr>
          <w:rFonts w:cs="Times New Roman"/>
          <w:spacing w:val="-7"/>
          <w:sz w:val="18"/>
          <w:szCs w:val="18"/>
          <w:lang w:val="es-ES_tradnl"/>
        </w:rPr>
        <w:t>ñ</w:t>
      </w:r>
      <w:r>
        <w:rPr>
          <w:spacing w:val="-7"/>
          <w:sz w:val="18"/>
          <w:szCs w:val="18"/>
          <w:lang w:val="es-ES_tradnl"/>
        </w:rPr>
        <w:t xml:space="preserve">ez y Adolescencia del Guayas, como los jueces de la Tercera </w:t>
      </w:r>
      <w:r>
        <w:rPr>
          <w:sz w:val="18"/>
          <w:szCs w:val="18"/>
          <w:lang w:val="es-ES_tradnl"/>
        </w:rPr>
        <w:t>Sala de lo Penal, Colusorio y Tr</w:t>
      </w:r>
      <w:r>
        <w:rPr>
          <w:rFonts w:cs="Times New Roman"/>
          <w:sz w:val="18"/>
          <w:szCs w:val="18"/>
          <w:lang w:val="es-ES_tradnl"/>
        </w:rPr>
        <w:t>á</w:t>
      </w:r>
      <w:r>
        <w:rPr>
          <w:sz w:val="18"/>
          <w:szCs w:val="18"/>
          <w:lang w:val="es-ES_tradnl"/>
        </w:rPr>
        <w:t xml:space="preserve">nsito de la Corte </w:t>
      </w:r>
      <w:r>
        <w:rPr>
          <w:spacing w:val="-8"/>
          <w:sz w:val="18"/>
          <w:szCs w:val="18"/>
          <w:lang w:val="es-ES_tradnl"/>
        </w:rPr>
        <w:t>Provincial de Justicia del Guayas que conocieron la acci</w:t>
      </w:r>
      <w:r>
        <w:rPr>
          <w:rFonts w:cs="Times New Roman"/>
          <w:spacing w:val="-8"/>
          <w:sz w:val="18"/>
          <w:szCs w:val="18"/>
          <w:lang w:val="es-ES_tradnl"/>
        </w:rPr>
        <w:t>ó</w:t>
      </w:r>
      <w:r>
        <w:rPr>
          <w:spacing w:val="-8"/>
          <w:sz w:val="18"/>
          <w:szCs w:val="18"/>
          <w:lang w:val="es-ES_tradnl"/>
        </w:rPr>
        <w:t xml:space="preserve">n </w:t>
      </w:r>
      <w:r>
        <w:rPr>
          <w:spacing w:val="-6"/>
          <w:sz w:val="18"/>
          <w:szCs w:val="18"/>
          <w:lang w:val="es-ES_tradnl"/>
        </w:rPr>
        <w:t>de protecci</w:t>
      </w:r>
      <w:r>
        <w:rPr>
          <w:rFonts w:cs="Times New Roman"/>
          <w:spacing w:val="-6"/>
          <w:sz w:val="18"/>
          <w:szCs w:val="18"/>
          <w:lang w:val="es-ES_tradnl"/>
        </w:rPr>
        <w:t>ó</w:t>
      </w:r>
      <w:r>
        <w:rPr>
          <w:spacing w:val="-6"/>
          <w:sz w:val="18"/>
          <w:szCs w:val="18"/>
          <w:lang w:val="es-ES_tradnl"/>
        </w:rPr>
        <w:t>n N.</w:t>
      </w:r>
      <w:r>
        <w:rPr>
          <w:rFonts w:cs="Times New Roman"/>
          <w:spacing w:val="-6"/>
          <w:sz w:val="18"/>
          <w:szCs w:val="18"/>
          <w:lang w:val="es-ES_tradnl"/>
        </w:rPr>
        <w:t>º</w:t>
      </w:r>
      <w:r>
        <w:rPr>
          <w:spacing w:val="-6"/>
          <w:sz w:val="18"/>
          <w:szCs w:val="18"/>
          <w:lang w:val="es-ES_tradnl"/>
        </w:rPr>
        <w:t xml:space="preserve"> 0412-2012/0719-2012, vulneraron los </w:t>
      </w:r>
      <w:r>
        <w:rPr>
          <w:spacing w:val="-8"/>
          <w:sz w:val="18"/>
          <w:szCs w:val="18"/>
          <w:lang w:val="es-ES_tradnl"/>
        </w:rPr>
        <w:t>derechos constitucionales a la seguridad jur</w:t>
      </w:r>
      <w:r>
        <w:rPr>
          <w:rFonts w:cs="Times New Roman"/>
          <w:spacing w:val="-8"/>
          <w:sz w:val="18"/>
          <w:szCs w:val="18"/>
          <w:lang w:val="es-ES_tradnl"/>
        </w:rPr>
        <w:t>í</w:t>
      </w:r>
      <w:r>
        <w:rPr>
          <w:spacing w:val="-8"/>
          <w:sz w:val="18"/>
          <w:szCs w:val="18"/>
          <w:lang w:val="es-ES_tradnl"/>
        </w:rPr>
        <w:t xml:space="preserve">dica, al debido </w:t>
      </w:r>
      <w:r>
        <w:rPr>
          <w:sz w:val="18"/>
          <w:szCs w:val="18"/>
          <w:lang w:val="es-ES_tradnl"/>
        </w:rPr>
        <w:t>proceso y a la tutela judicial efectiva.</w:t>
      </w:r>
    </w:p>
    <w:p w14:paraId="4F67AD31" w14:textId="77777777" w:rsidR="00591D54" w:rsidRDefault="00591D54">
      <w:pPr>
        <w:shd w:val="clear" w:color="auto" w:fill="FFFFFF"/>
        <w:spacing w:before="197" w:line="216" w:lineRule="exact"/>
        <w:ind w:right="5"/>
        <w:jc w:val="both"/>
      </w:pPr>
      <w:r>
        <w:rPr>
          <w:sz w:val="18"/>
          <w:szCs w:val="18"/>
          <w:lang w:val="es-ES_tradnl"/>
        </w:rPr>
        <w:t xml:space="preserve">Alega el accionante que </w:t>
      </w:r>
      <w:r>
        <w:rPr>
          <w:rFonts w:cs="Times New Roman"/>
          <w:sz w:val="18"/>
          <w:szCs w:val="18"/>
          <w:lang w:val="es-ES_tradnl"/>
        </w:rPr>
        <w:t>“</w:t>
      </w:r>
      <w:r>
        <w:rPr>
          <w:sz w:val="18"/>
          <w:szCs w:val="18"/>
          <w:lang w:val="es-ES_tradnl"/>
        </w:rPr>
        <w:t>en ning</w:t>
      </w:r>
      <w:r>
        <w:rPr>
          <w:rFonts w:cs="Times New Roman"/>
          <w:sz w:val="18"/>
          <w:szCs w:val="18"/>
          <w:lang w:val="es-ES_tradnl"/>
        </w:rPr>
        <w:t>ú</w:t>
      </w:r>
      <w:r>
        <w:rPr>
          <w:sz w:val="18"/>
          <w:szCs w:val="18"/>
          <w:lang w:val="es-ES_tradnl"/>
        </w:rPr>
        <w:t xml:space="preserve">n momento, en </w:t>
      </w:r>
      <w:r>
        <w:rPr>
          <w:spacing w:val="-8"/>
          <w:sz w:val="18"/>
          <w:szCs w:val="18"/>
          <w:lang w:val="es-ES_tradnl"/>
        </w:rPr>
        <w:t>ambas instancias se permiti</w:t>
      </w:r>
      <w:r>
        <w:rPr>
          <w:rFonts w:cs="Times New Roman"/>
          <w:spacing w:val="-8"/>
          <w:sz w:val="18"/>
          <w:szCs w:val="18"/>
          <w:lang w:val="es-ES_tradnl"/>
        </w:rPr>
        <w:t>ó</w:t>
      </w:r>
      <w:r>
        <w:rPr>
          <w:spacing w:val="-8"/>
          <w:sz w:val="18"/>
          <w:szCs w:val="18"/>
          <w:lang w:val="es-ES_tradnl"/>
        </w:rPr>
        <w:t xml:space="preserve"> escuchar los argumentos </w:t>
      </w:r>
      <w:r>
        <w:rPr>
          <w:spacing w:val="-9"/>
          <w:sz w:val="18"/>
          <w:szCs w:val="18"/>
          <w:lang w:val="es-ES_tradnl"/>
        </w:rPr>
        <w:t xml:space="preserve">constitucionales, legales y preceptos constitucionales de los </w:t>
      </w:r>
      <w:r>
        <w:rPr>
          <w:spacing w:val="-8"/>
          <w:sz w:val="18"/>
          <w:szCs w:val="18"/>
          <w:lang w:val="es-ES_tradnl"/>
        </w:rPr>
        <w:t xml:space="preserve">abogados que representan al Estado ecuatoriano, dejando </w:t>
      </w:r>
      <w:r>
        <w:rPr>
          <w:spacing w:val="-7"/>
          <w:sz w:val="18"/>
          <w:szCs w:val="18"/>
          <w:lang w:val="es-ES_tradnl"/>
        </w:rPr>
        <w:t>en absoluta indefensi</w:t>
      </w:r>
      <w:r>
        <w:rPr>
          <w:rFonts w:cs="Times New Roman"/>
          <w:spacing w:val="-7"/>
          <w:sz w:val="18"/>
          <w:szCs w:val="18"/>
          <w:lang w:val="es-ES_tradnl"/>
        </w:rPr>
        <w:t>ó</w:t>
      </w:r>
      <w:r>
        <w:rPr>
          <w:spacing w:val="-7"/>
          <w:sz w:val="18"/>
          <w:szCs w:val="18"/>
          <w:lang w:val="es-ES_tradnl"/>
        </w:rPr>
        <w:t>n al Estado ecuatoriano</w:t>
      </w:r>
      <w:r>
        <w:rPr>
          <w:rFonts w:cs="Times New Roman"/>
          <w:spacing w:val="-7"/>
          <w:sz w:val="18"/>
          <w:szCs w:val="18"/>
          <w:lang w:val="es-ES_tradnl"/>
        </w:rPr>
        <w:t>”</w:t>
      </w:r>
      <w:r>
        <w:rPr>
          <w:spacing w:val="-7"/>
          <w:sz w:val="18"/>
          <w:szCs w:val="18"/>
          <w:lang w:val="es-ES_tradnl"/>
        </w:rPr>
        <w:t>.</w:t>
      </w:r>
    </w:p>
    <w:p w14:paraId="4F67AD32" w14:textId="77777777" w:rsidR="00591D54" w:rsidRDefault="00591D54">
      <w:pPr>
        <w:shd w:val="clear" w:color="auto" w:fill="FFFFFF"/>
        <w:spacing w:before="197" w:line="216" w:lineRule="exact"/>
        <w:ind w:right="5"/>
        <w:jc w:val="both"/>
      </w:pPr>
      <w:r>
        <w:rPr>
          <w:sz w:val="18"/>
          <w:szCs w:val="18"/>
          <w:lang w:val="es-ES_tradnl"/>
        </w:rPr>
        <w:t xml:space="preserve">Agrega que la </w:t>
      </w:r>
      <w:r>
        <w:rPr>
          <w:rFonts w:cs="Times New Roman"/>
          <w:sz w:val="18"/>
          <w:szCs w:val="18"/>
          <w:lang w:val="es-ES_tradnl"/>
        </w:rPr>
        <w:t>“</w:t>
      </w:r>
      <w:r>
        <w:rPr>
          <w:sz w:val="18"/>
          <w:szCs w:val="18"/>
          <w:lang w:val="es-ES_tradnl"/>
        </w:rPr>
        <w:t>Jueza A-quo admiti</w:t>
      </w:r>
      <w:r>
        <w:rPr>
          <w:rFonts w:cs="Times New Roman"/>
          <w:sz w:val="18"/>
          <w:szCs w:val="18"/>
          <w:lang w:val="es-ES_tradnl"/>
        </w:rPr>
        <w:t>ó</w:t>
      </w:r>
      <w:r>
        <w:rPr>
          <w:sz w:val="18"/>
          <w:szCs w:val="18"/>
          <w:lang w:val="es-ES_tradnl"/>
        </w:rPr>
        <w:t xml:space="preserve"> la Acci</w:t>
      </w:r>
      <w:r>
        <w:rPr>
          <w:rFonts w:cs="Times New Roman"/>
          <w:sz w:val="18"/>
          <w:szCs w:val="18"/>
          <w:lang w:val="es-ES_tradnl"/>
        </w:rPr>
        <w:t>ó</w:t>
      </w:r>
      <w:r>
        <w:rPr>
          <w:sz w:val="18"/>
          <w:szCs w:val="18"/>
          <w:lang w:val="es-ES_tradnl"/>
        </w:rPr>
        <w:t>n de Protecci</w:t>
      </w:r>
      <w:r>
        <w:rPr>
          <w:rFonts w:cs="Times New Roman"/>
          <w:sz w:val="18"/>
          <w:szCs w:val="18"/>
          <w:lang w:val="es-ES_tradnl"/>
        </w:rPr>
        <w:t>ó</w:t>
      </w:r>
      <w:r>
        <w:rPr>
          <w:sz w:val="18"/>
          <w:szCs w:val="18"/>
          <w:lang w:val="es-ES_tradnl"/>
        </w:rPr>
        <w:t xml:space="preserve">n planteada por el actor, dejando sin efecto </w:t>
      </w:r>
      <w:r>
        <w:rPr>
          <w:spacing w:val="-1"/>
          <w:sz w:val="18"/>
          <w:szCs w:val="18"/>
          <w:lang w:val="es-ES_tradnl"/>
        </w:rPr>
        <w:t>un acto administrativo que por mandato legal goza de</w:t>
      </w:r>
    </w:p>
    <w:p w14:paraId="4F67AD33" w14:textId="77777777" w:rsidR="00591D54" w:rsidRDefault="00591D54">
      <w:pPr>
        <w:shd w:val="clear" w:color="auto" w:fill="FFFFFF"/>
        <w:spacing w:line="216" w:lineRule="exact"/>
        <w:jc w:val="both"/>
      </w:pPr>
      <w:r>
        <w:br w:type="column"/>
      </w:r>
      <w:r>
        <w:rPr>
          <w:spacing w:val="-6"/>
          <w:sz w:val="18"/>
          <w:szCs w:val="18"/>
          <w:lang w:val="es-ES_tradnl"/>
        </w:rPr>
        <w:t>presunci</w:t>
      </w:r>
      <w:r>
        <w:rPr>
          <w:rFonts w:cs="Times New Roman"/>
          <w:spacing w:val="-6"/>
          <w:sz w:val="18"/>
          <w:szCs w:val="18"/>
          <w:lang w:val="es-ES_tradnl"/>
        </w:rPr>
        <w:t>ó</w:t>
      </w:r>
      <w:r>
        <w:rPr>
          <w:spacing w:val="-6"/>
          <w:sz w:val="18"/>
          <w:szCs w:val="18"/>
          <w:lang w:val="es-ES_tradnl"/>
        </w:rPr>
        <w:t xml:space="preserve">n de legitimidad, no obstante, pareciere que el </w:t>
      </w:r>
      <w:r>
        <w:rPr>
          <w:spacing w:val="-5"/>
          <w:sz w:val="18"/>
          <w:szCs w:val="18"/>
          <w:lang w:val="es-ES_tradnl"/>
        </w:rPr>
        <w:t>acto administrativo que impugna es inconstitucional (...)</w:t>
      </w:r>
      <w:r>
        <w:rPr>
          <w:rFonts w:cs="Times New Roman"/>
          <w:spacing w:val="-5"/>
          <w:sz w:val="18"/>
          <w:szCs w:val="18"/>
          <w:lang w:val="es-ES_tradnl"/>
        </w:rPr>
        <w:t>”</w:t>
      </w:r>
      <w:r>
        <w:rPr>
          <w:spacing w:val="-5"/>
          <w:sz w:val="18"/>
          <w:szCs w:val="18"/>
          <w:lang w:val="es-ES_tradnl"/>
        </w:rPr>
        <w:t xml:space="preserve">, ya que a criterio del accionante </w:t>
      </w:r>
      <w:r>
        <w:rPr>
          <w:rFonts w:cs="Times New Roman"/>
          <w:spacing w:val="-5"/>
          <w:sz w:val="18"/>
          <w:szCs w:val="18"/>
          <w:lang w:val="es-ES_tradnl"/>
        </w:rPr>
        <w:t>“</w:t>
      </w:r>
      <w:r>
        <w:rPr>
          <w:spacing w:val="-5"/>
          <w:sz w:val="18"/>
          <w:szCs w:val="18"/>
          <w:lang w:val="es-ES_tradnl"/>
        </w:rPr>
        <w:t xml:space="preserve">la naturaleza verdadera </w:t>
      </w:r>
      <w:r>
        <w:rPr>
          <w:spacing w:val="-2"/>
          <w:sz w:val="18"/>
          <w:szCs w:val="18"/>
          <w:lang w:val="es-ES_tradnl"/>
        </w:rPr>
        <w:t>del reclamo del accionante [acci</w:t>
      </w:r>
      <w:r>
        <w:rPr>
          <w:rFonts w:cs="Times New Roman"/>
          <w:spacing w:val="-2"/>
          <w:sz w:val="18"/>
          <w:szCs w:val="18"/>
          <w:lang w:val="es-ES_tradnl"/>
        </w:rPr>
        <w:t>ó</w:t>
      </w:r>
      <w:r>
        <w:rPr>
          <w:spacing w:val="-2"/>
          <w:sz w:val="18"/>
          <w:szCs w:val="18"/>
          <w:lang w:val="es-ES_tradnl"/>
        </w:rPr>
        <w:t>n de protecci</w:t>
      </w:r>
      <w:r>
        <w:rPr>
          <w:rFonts w:cs="Times New Roman"/>
          <w:spacing w:val="-2"/>
          <w:sz w:val="18"/>
          <w:szCs w:val="18"/>
          <w:lang w:val="es-ES_tradnl"/>
        </w:rPr>
        <w:t>ó</w:t>
      </w:r>
      <w:r>
        <w:rPr>
          <w:spacing w:val="-2"/>
          <w:sz w:val="18"/>
          <w:szCs w:val="18"/>
          <w:lang w:val="es-ES_tradnl"/>
        </w:rPr>
        <w:t xml:space="preserve">n] se </w:t>
      </w:r>
      <w:r>
        <w:rPr>
          <w:spacing w:val="-5"/>
          <w:sz w:val="18"/>
          <w:szCs w:val="18"/>
          <w:lang w:val="es-ES_tradnl"/>
        </w:rPr>
        <w:t>refer</w:t>
      </w:r>
      <w:r>
        <w:rPr>
          <w:rFonts w:cs="Times New Roman"/>
          <w:spacing w:val="-5"/>
          <w:sz w:val="18"/>
          <w:szCs w:val="18"/>
          <w:lang w:val="es-ES_tradnl"/>
        </w:rPr>
        <w:t>í</w:t>
      </w:r>
      <w:r>
        <w:rPr>
          <w:spacing w:val="-5"/>
          <w:sz w:val="18"/>
          <w:szCs w:val="18"/>
          <w:lang w:val="es-ES_tradnl"/>
        </w:rPr>
        <w:t xml:space="preserve">a a la [legalidad del acto administrativo], pedido que </w:t>
      </w:r>
      <w:r>
        <w:rPr>
          <w:spacing w:val="-7"/>
          <w:sz w:val="18"/>
          <w:szCs w:val="18"/>
          <w:lang w:val="es-ES_tradnl"/>
        </w:rPr>
        <w:t>es improcedente puesto que la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n est</w:t>
      </w:r>
      <w:r>
        <w:rPr>
          <w:rFonts w:cs="Times New Roman"/>
          <w:spacing w:val="-7"/>
          <w:sz w:val="18"/>
          <w:szCs w:val="18"/>
          <w:lang w:val="es-ES_tradnl"/>
        </w:rPr>
        <w:t xml:space="preserve">á </w:t>
      </w:r>
      <w:r>
        <w:rPr>
          <w:spacing w:val="-8"/>
          <w:sz w:val="18"/>
          <w:szCs w:val="18"/>
          <w:lang w:val="es-ES_tradnl"/>
        </w:rPr>
        <w:t xml:space="preserve">reservada para restablecer situaciones que provengan de </w:t>
      </w:r>
      <w:r>
        <w:rPr>
          <w:spacing w:val="-10"/>
          <w:sz w:val="18"/>
          <w:szCs w:val="18"/>
          <w:lang w:val="es-ES_tradnl"/>
        </w:rPr>
        <w:t xml:space="preserve">violaciones de derechos fundamentales y no de aspectos de </w:t>
      </w:r>
      <w:r>
        <w:rPr>
          <w:spacing w:val="-6"/>
          <w:sz w:val="18"/>
          <w:szCs w:val="18"/>
          <w:lang w:val="es-ES_tradnl"/>
        </w:rPr>
        <w:t xml:space="preserve">[mera legalidad] relacionados a los actos administrativos </w:t>
      </w:r>
      <w:r>
        <w:rPr>
          <w:spacing w:val="-7"/>
          <w:sz w:val="18"/>
          <w:szCs w:val="18"/>
          <w:lang w:val="es-ES_tradnl"/>
        </w:rPr>
        <w:t>emanados de cualquier autoridad del Estado (...)</w:t>
      </w:r>
      <w:r>
        <w:rPr>
          <w:rFonts w:cs="Times New Roman"/>
          <w:spacing w:val="-7"/>
          <w:sz w:val="18"/>
          <w:szCs w:val="18"/>
          <w:lang w:val="es-ES_tradnl"/>
        </w:rPr>
        <w:t>”</w:t>
      </w:r>
      <w:r>
        <w:rPr>
          <w:spacing w:val="-7"/>
          <w:sz w:val="18"/>
          <w:szCs w:val="18"/>
          <w:lang w:val="es-ES_tradnl"/>
        </w:rPr>
        <w:t>.</w:t>
      </w:r>
    </w:p>
    <w:p w14:paraId="4F67AD34" w14:textId="77777777" w:rsidR="00591D54" w:rsidRDefault="00591D54">
      <w:pPr>
        <w:shd w:val="clear" w:color="auto" w:fill="FFFFFF"/>
        <w:spacing w:before="197" w:line="216" w:lineRule="exact"/>
        <w:jc w:val="both"/>
      </w:pPr>
      <w:r>
        <w:rPr>
          <w:spacing w:val="-8"/>
          <w:sz w:val="18"/>
          <w:szCs w:val="18"/>
          <w:lang w:val="es-ES_tradnl"/>
        </w:rPr>
        <w:t>Asevera que, como consta en la demanda de la acci</w:t>
      </w:r>
      <w:r>
        <w:rPr>
          <w:rFonts w:cs="Times New Roman"/>
          <w:spacing w:val="-8"/>
          <w:sz w:val="18"/>
          <w:szCs w:val="18"/>
          <w:lang w:val="es-ES_tradnl"/>
        </w:rPr>
        <w:t>ó</w:t>
      </w:r>
      <w:r>
        <w:rPr>
          <w:spacing w:val="-8"/>
          <w:sz w:val="18"/>
          <w:szCs w:val="18"/>
          <w:lang w:val="es-ES_tradnl"/>
        </w:rPr>
        <w:t xml:space="preserve">n de </w:t>
      </w:r>
      <w:r>
        <w:rPr>
          <w:spacing w:val="-5"/>
          <w:sz w:val="18"/>
          <w:szCs w:val="18"/>
          <w:lang w:val="es-ES_tradnl"/>
        </w:rPr>
        <w:t>protecci</w:t>
      </w:r>
      <w:r>
        <w:rPr>
          <w:rFonts w:cs="Times New Roman"/>
          <w:spacing w:val="-5"/>
          <w:sz w:val="18"/>
          <w:szCs w:val="18"/>
          <w:lang w:val="es-ES_tradnl"/>
        </w:rPr>
        <w:t>ó</w:t>
      </w:r>
      <w:r>
        <w:rPr>
          <w:spacing w:val="-5"/>
          <w:sz w:val="18"/>
          <w:szCs w:val="18"/>
          <w:lang w:val="es-ES_tradnl"/>
        </w:rPr>
        <w:t>n, el se</w:t>
      </w:r>
      <w:r>
        <w:rPr>
          <w:rFonts w:cs="Times New Roman"/>
          <w:spacing w:val="-5"/>
          <w:sz w:val="18"/>
          <w:szCs w:val="18"/>
          <w:lang w:val="es-ES_tradnl"/>
        </w:rPr>
        <w:t>ñ</w:t>
      </w:r>
      <w:r>
        <w:rPr>
          <w:spacing w:val="-5"/>
          <w:sz w:val="18"/>
          <w:szCs w:val="18"/>
          <w:lang w:val="es-ES_tradnl"/>
        </w:rPr>
        <w:t>or Jos</w:t>
      </w:r>
      <w:r>
        <w:rPr>
          <w:rFonts w:cs="Times New Roman"/>
          <w:spacing w:val="-5"/>
          <w:sz w:val="18"/>
          <w:szCs w:val="18"/>
          <w:lang w:val="es-ES_tradnl"/>
        </w:rPr>
        <w:t>é</w:t>
      </w:r>
      <w:r>
        <w:rPr>
          <w:spacing w:val="-5"/>
          <w:sz w:val="18"/>
          <w:szCs w:val="18"/>
          <w:lang w:val="es-ES_tradnl"/>
        </w:rPr>
        <w:t xml:space="preserve"> Luis Burgos Sol</w:t>
      </w:r>
      <w:r>
        <w:rPr>
          <w:rFonts w:cs="Times New Roman"/>
          <w:spacing w:val="-5"/>
          <w:sz w:val="18"/>
          <w:szCs w:val="18"/>
          <w:lang w:val="es-ES_tradnl"/>
        </w:rPr>
        <w:t>í</w:t>
      </w:r>
      <w:r>
        <w:rPr>
          <w:spacing w:val="-5"/>
          <w:sz w:val="18"/>
          <w:szCs w:val="18"/>
          <w:lang w:val="es-ES_tradnl"/>
        </w:rPr>
        <w:t xml:space="preserve">s fue dado de </w:t>
      </w:r>
      <w:r>
        <w:rPr>
          <w:spacing w:val="-4"/>
          <w:sz w:val="18"/>
          <w:szCs w:val="18"/>
          <w:lang w:val="es-ES_tradnl"/>
        </w:rPr>
        <w:t xml:space="preserve">baja del servicio activo de la Fuerza Naval, no obstante, </w:t>
      </w:r>
      <w:r>
        <w:rPr>
          <w:rFonts w:cs="Times New Roman"/>
          <w:spacing w:val="-8"/>
          <w:sz w:val="18"/>
          <w:szCs w:val="18"/>
          <w:lang w:val="es-ES_tradnl"/>
        </w:rPr>
        <w:t>“</w:t>
      </w:r>
      <w:r>
        <w:rPr>
          <w:spacing w:val="-8"/>
          <w:sz w:val="18"/>
          <w:szCs w:val="18"/>
          <w:lang w:val="es-ES_tradnl"/>
        </w:rPr>
        <w:t>a criterio de los se</w:t>
      </w:r>
      <w:r>
        <w:rPr>
          <w:rFonts w:cs="Times New Roman"/>
          <w:spacing w:val="-8"/>
          <w:sz w:val="18"/>
          <w:szCs w:val="18"/>
          <w:lang w:val="es-ES_tradnl"/>
        </w:rPr>
        <w:t>ñ</w:t>
      </w:r>
      <w:r>
        <w:rPr>
          <w:spacing w:val="-8"/>
          <w:sz w:val="18"/>
          <w:szCs w:val="18"/>
          <w:lang w:val="es-ES_tradnl"/>
        </w:rPr>
        <w:t xml:space="preserve">ores jueces, se condena al Estado </w:t>
      </w:r>
      <w:r>
        <w:rPr>
          <w:sz w:val="18"/>
          <w:szCs w:val="18"/>
          <w:lang w:val="es-ES_tradnl"/>
        </w:rPr>
        <w:t xml:space="preserve">Ecuatoriano por la irresponsabilidad de un ex militar </w:t>
      </w:r>
      <w:r>
        <w:rPr>
          <w:spacing w:val="-4"/>
          <w:sz w:val="18"/>
          <w:szCs w:val="18"/>
          <w:lang w:val="es-ES_tradnl"/>
        </w:rPr>
        <w:t xml:space="preserve">que [ha] infringido la norma legal y en aquella fecha por </w:t>
      </w:r>
      <w:r>
        <w:rPr>
          <w:spacing w:val="-8"/>
          <w:sz w:val="18"/>
          <w:szCs w:val="18"/>
          <w:lang w:val="es-ES_tradnl"/>
        </w:rPr>
        <w:t>ausentarse m</w:t>
      </w:r>
      <w:r>
        <w:rPr>
          <w:rFonts w:cs="Times New Roman"/>
          <w:spacing w:val="-8"/>
          <w:sz w:val="18"/>
          <w:szCs w:val="18"/>
          <w:lang w:val="es-ES_tradnl"/>
        </w:rPr>
        <w:t>á</w:t>
      </w:r>
      <w:r>
        <w:rPr>
          <w:spacing w:val="-8"/>
          <w:sz w:val="18"/>
          <w:szCs w:val="18"/>
          <w:lang w:val="es-ES_tradnl"/>
        </w:rPr>
        <w:t>s de once d</w:t>
      </w:r>
      <w:r>
        <w:rPr>
          <w:rFonts w:cs="Times New Roman"/>
          <w:spacing w:val="-8"/>
          <w:sz w:val="18"/>
          <w:szCs w:val="18"/>
          <w:lang w:val="es-ES_tradnl"/>
        </w:rPr>
        <w:t>í</w:t>
      </w:r>
      <w:r>
        <w:rPr>
          <w:spacing w:val="-8"/>
          <w:sz w:val="18"/>
          <w:szCs w:val="18"/>
          <w:lang w:val="es-ES_tradnl"/>
        </w:rPr>
        <w:t>as de un reparto militar (...)</w:t>
      </w:r>
      <w:r>
        <w:rPr>
          <w:rFonts w:cs="Times New Roman"/>
          <w:spacing w:val="-8"/>
          <w:sz w:val="18"/>
          <w:szCs w:val="18"/>
          <w:lang w:val="es-ES_tradnl"/>
        </w:rPr>
        <w:t>”</w:t>
      </w:r>
    </w:p>
    <w:p w14:paraId="4F67AD35" w14:textId="77777777" w:rsidR="00591D54" w:rsidRDefault="00591D54">
      <w:pPr>
        <w:shd w:val="clear" w:color="auto" w:fill="FFFFFF"/>
        <w:spacing w:before="197" w:line="216" w:lineRule="exact"/>
        <w:jc w:val="both"/>
      </w:pPr>
      <w:r>
        <w:rPr>
          <w:spacing w:val="-7"/>
          <w:sz w:val="18"/>
          <w:szCs w:val="18"/>
          <w:lang w:val="es-ES_tradnl"/>
        </w:rPr>
        <w:t xml:space="preserve">Asimismo, el accionante manifiesta que la sentencia de </w:t>
      </w:r>
      <w:r>
        <w:rPr>
          <w:spacing w:val="-6"/>
          <w:sz w:val="18"/>
          <w:szCs w:val="18"/>
          <w:lang w:val="es-ES_tradnl"/>
        </w:rPr>
        <w:t xml:space="preserve">primera instancia atenta contra </w:t>
      </w:r>
      <w:r>
        <w:rPr>
          <w:rFonts w:cs="Times New Roman"/>
          <w:spacing w:val="-6"/>
          <w:sz w:val="18"/>
          <w:szCs w:val="18"/>
          <w:lang w:val="es-ES_tradnl"/>
        </w:rPr>
        <w:t>“</w:t>
      </w:r>
      <w:r>
        <w:rPr>
          <w:spacing w:val="-6"/>
          <w:sz w:val="18"/>
          <w:szCs w:val="18"/>
          <w:lang w:val="es-ES_tradnl"/>
        </w:rPr>
        <w:t>la garant</w:t>
      </w:r>
      <w:r>
        <w:rPr>
          <w:rFonts w:cs="Times New Roman"/>
          <w:spacing w:val="-6"/>
          <w:sz w:val="18"/>
          <w:szCs w:val="18"/>
          <w:lang w:val="es-ES_tradnl"/>
        </w:rPr>
        <w:t>í</w:t>
      </w:r>
      <w:r>
        <w:rPr>
          <w:spacing w:val="-6"/>
          <w:sz w:val="18"/>
          <w:szCs w:val="18"/>
          <w:lang w:val="es-ES_tradnl"/>
        </w:rPr>
        <w:t xml:space="preserve">a constitucional </w:t>
      </w:r>
      <w:r>
        <w:rPr>
          <w:spacing w:val="-8"/>
          <w:sz w:val="18"/>
          <w:szCs w:val="18"/>
          <w:lang w:val="es-ES_tradnl"/>
        </w:rPr>
        <w:t>al debido proceso y a la seguridad jur</w:t>
      </w:r>
      <w:r>
        <w:rPr>
          <w:rFonts w:cs="Times New Roman"/>
          <w:spacing w:val="-8"/>
          <w:sz w:val="18"/>
          <w:szCs w:val="18"/>
          <w:lang w:val="es-ES_tradnl"/>
        </w:rPr>
        <w:t>í</w:t>
      </w:r>
      <w:r>
        <w:rPr>
          <w:spacing w:val="-8"/>
          <w:sz w:val="18"/>
          <w:szCs w:val="18"/>
          <w:lang w:val="es-ES_tradnl"/>
        </w:rPr>
        <w:t xml:space="preserve">dica consagrados en la Carta Magna, en perjuicio directo del Estado ecuatoriano </w:t>
      </w:r>
      <w:r>
        <w:rPr>
          <w:spacing w:val="-6"/>
          <w:sz w:val="18"/>
          <w:szCs w:val="18"/>
          <w:lang w:val="es-ES_tradnl"/>
        </w:rPr>
        <w:t>y sus instituciones, no solo por la aceptaci</w:t>
      </w:r>
      <w:r>
        <w:rPr>
          <w:rFonts w:cs="Times New Roman"/>
          <w:spacing w:val="-6"/>
          <w:sz w:val="18"/>
          <w:szCs w:val="18"/>
          <w:lang w:val="es-ES_tradnl"/>
        </w:rPr>
        <w:t>ó</w:t>
      </w:r>
      <w:r>
        <w:rPr>
          <w:spacing w:val="-6"/>
          <w:sz w:val="18"/>
          <w:szCs w:val="18"/>
          <w:lang w:val="es-ES_tradnl"/>
        </w:rPr>
        <w:t>n de esta improcedente pretensi</w:t>
      </w:r>
      <w:r>
        <w:rPr>
          <w:rFonts w:cs="Times New Roman"/>
          <w:spacing w:val="-6"/>
          <w:sz w:val="18"/>
          <w:szCs w:val="18"/>
          <w:lang w:val="es-ES_tradnl"/>
        </w:rPr>
        <w:t>ó</w:t>
      </w:r>
      <w:r>
        <w:rPr>
          <w:spacing w:val="-6"/>
          <w:sz w:val="18"/>
          <w:szCs w:val="18"/>
          <w:lang w:val="es-ES_tradnl"/>
        </w:rPr>
        <w:t>n, sino por el nefasto precedente que se sienta con tan cuestionada y antilegal decisi</w:t>
      </w:r>
      <w:r>
        <w:rPr>
          <w:rFonts w:cs="Times New Roman"/>
          <w:spacing w:val="-6"/>
          <w:sz w:val="18"/>
          <w:szCs w:val="18"/>
          <w:lang w:val="es-ES_tradnl"/>
        </w:rPr>
        <w:t>ó</w:t>
      </w:r>
      <w:r>
        <w:rPr>
          <w:spacing w:val="-6"/>
          <w:sz w:val="18"/>
          <w:szCs w:val="18"/>
          <w:lang w:val="es-ES_tradnl"/>
        </w:rPr>
        <w:t xml:space="preserve">n, </w:t>
      </w:r>
      <w:r>
        <w:rPr>
          <w:spacing w:val="-8"/>
          <w:sz w:val="18"/>
          <w:szCs w:val="18"/>
          <w:lang w:val="es-ES_tradnl"/>
        </w:rPr>
        <w:t>adem</w:t>
      </w:r>
      <w:r>
        <w:rPr>
          <w:rFonts w:cs="Times New Roman"/>
          <w:spacing w:val="-8"/>
          <w:sz w:val="18"/>
          <w:szCs w:val="18"/>
          <w:lang w:val="es-ES_tradnl"/>
        </w:rPr>
        <w:t>á</w:t>
      </w:r>
      <w:r>
        <w:rPr>
          <w:spacing w:val="-8"/>
          <w:sz w:val="18"/>
          <w:szCs w:val="18"/>
          <w:lang w:val="es-ES_tradnl"/>
        </w:rPr>
        <w:t>s de fallar contra ley expresa, especialmente el Art. 285 del C</w:t>
      </w:r>
      <w:r>
        <w:rPr>
          <w:rFonts w:cs="Times New Roman"/>
          <w:spacing w:val="-8"/>
          <w:sz w:val="18"/>
          <w:szCs w:val="18"/>
          <w:lang w:val="es-ES_tradnl"/>
        </w:rPr>
        <w:t>ó</w:t>
      </w:r>
      <w:r>
        <w:rPr>
          <w:spacing w:val="-8"/>
          <w:sz w:val="18"/>
          <w:szCs w:val="18"/>
          <w:lang w:val="es-ES_tradnl"/>
        </w:rPr>
        <w:t xml:space="preserve">digo de Procedimiento Civil (...) norma de orden </w:t>
      </w:r>
      <w:r>
        <w:rPr>
          <w:spacing w:val="-6"/>
          <w:sz w:val="18"/>
          <w:szCs w:val="18"/>
          <w:lang w:val="es-ES_tradnl"/>
        </w:rPr>
        <w:t>p</w:t>
      </w:r>
      <w:r>
        <w:rPr>
          <w:rFonts w:cs="Times New Roman"/>
          <w:spacing w:val="-6"/>
          <w:sz w:val="18"/>
          <w:szCs w:val="18"/>
          <w:lang w:val="es-ES_tradnl"/>
        </w:rPr>
        <w:t>ú</w:t>
      </w:r>
      <w:r>
        <w:rPr>
          <w:spacing w:val="-6"/>
          <w:sz w:val="18"/>
          <w:szCs w:val="18"/>
          <w:lang w:val="es-ES_tradnl"/>
        </w:rPr>
        <w:t>blico de cumplimiento obligatorio que se</w:t>
      </w:r>
      <w:r>
        <w:rPr>
          <w:rFonts w:cs="Times New Roman"/>
          <w:spacing w:val="-6"/>
          <w:sz w:val="18"/>
          <w:szCs w:val="18"/>
          <w:lang w:val="es-ES_tradnl"/>
        </w:rPr>
        <w:t>ñ</w:t>
      </w:r>
      <w:r>
        <w:rPr>
          <w:spacing w:val="-6"/>
          <w:sz w:val="18"/>
          <w:szCs w:val="18"/>
          <w:lang w:val="es-ES_tradnl"/>
        </w:rPr>
        <w:t xml:space="preserve">ala de forma </w:t>
      </w:r>
      <w:r>
        <w:rPr>
          <w:spacing w:val="-7"/>
          <w:sz w:val="18"/>
          <w:szCs w:val="18"/>
          <w:lang w:val="es-ES_tradnl"/>
        </w:rPr>
        <w:t>categ</w:t>
      </w:r>
      <w:r>
        <w:rPr>
          <w:rFonts w:cs="Times New Roman"/>
          <w:spacing w:val="-7"/>
          <w:sz w:val="18"/>
          <w:szCs w:val="18"/>
          <w:lang w:val="es-ES_tradnl"/>
        </w:rPr>
        <w:t>ó</w:t>
      </w:r>
      <w:r>
        <w:rPr>
          <w:spacing w:val="-7"/>
          <w:sz w:val="18"/>
          <w:szCs w:val="18"/>
          <w:lang w:val="es-ES_tradnl"/>
        </w:rPr>
        <w:t>rica, lo siguiente: [El Estado nunca ser</w:t>
      </w:r>
      <w:r>
        <w:rPr>
          <w:rFonts w:cs="Times New Roman"/>
          <w:spacing w:val="-7"/>
          <w:sz w:val="18"/>
          <w:szCs w:val="18"/>
          <w:lang w:val="es-ES_tradnl"/>
        </w:rPr>
        <w:t>á</w:t>
      </w:r>
      <w:r>
        <w:rPr>
          <w:spacing w:val="-7"/>
          <w:sz w:val="18"/>
          <w:szCs w:val="18"/>
          <w:lang w:val="es-ES_tradnl"/>
        </w:rPr>
        <w:t xml:space="preserve"> condenado </w:t>
      </w:r>
      <w:r>
        <w:rPr>
          <w:spacing w:val="-8"/>
          <w:sz w:val="18"/>
          <w:szCs w:val="18"/>
          <w:lang w:val="es-ES_tradnl"/>
        </w:rPr>
        <w:t>en costas]</w:t>
      </w:r>
      <w:r>
        <w:rPr>
          <w:rFonts w:cs="Times New Roman"/>
          <w:spacing w:val="-8"/>
          <w:sz w:val="18"/>
          <w:szCs w:val="18"/>
          <w:lang w:val="es-ES_tradnl"/>
        </w:rPr>
        <w:t>”</w:t>
      </w:r>
      <w:r>
        <w:rPr>
          <w:spacing w:val="-8"/>
          <w:sz w:val="18"/>
          <w:szCs w:val="18"/>
          <w:lang w:val="es-ES_tradnl"/>
        </w:rPr>
        <w:t>, sin embargo, el accionante se</w:t>
      </w:r>
      <w:r>
        <w:rPr>
          <w:rFonts w:cs="Times New Roman"/>
          <w:spacing w:val="-8"/>
          <w:sz w:val="18"/>
          <w:szCs w:val="18"/>
          <w:lang w:val="es-ES_tradnl"/>
        </w:rPr>
        <w:t>ñ</w:t>
      </w:r>
      <w:r>
        <w:rPr>
          <w:spacing w:val="-8"/>
          <w:sz w:val="18"/>
          <w:szCs w:val="18"/>
          <w:lang w:val="es-ES_tradnl"/>
        </w:rPr>
        <w:t xml:space="preserve">ala que la jueza </w:t>
      </w:r>
      <w:r>
        <w:rPr>
          <w:spacing w:val="-5"/>
          <w:sz w:val="18"/>
          <w:szCs w:val="18"/>
          <w:lang w:val="es-ES_tradnl"/>
        </w:rPr>
        <w:t xml:space="preserve">de primer nivel contra ley expresa </w:t>
      </w:r>
      <w:r>
        <w:rPr>
          <w:rFonts w:cs="Times New Roman"/>
          <w:spacing w:val="-5"/>
          <w:sz w:val="18"/>
          <w:szCs w:val="18"/>
          <w:lang w:val="es-ES_tradnl"/>
        </w:rPr>
        <w:t>“</w:t>
      </w:r>
      <w:r>
        <w:rPr>
          <w:spacing w:val="-5"/>
          <w:sz w:val="18"/>
          <w:szCs w:val="18"/>
          <w:lang w:val="es-ES_tradnl"/>
        </w:rPr>
        <w:t xml:space="preserve">se atreve a condenar </w:t>
      </w:r>
      <w:r>
        <w:rPr>
          <w:spacing w:val="-8"/>
          <w:sz w:val="18"/>
          <w:szCs w:val="18"/>
          <w:lang w:val="es-ES_tradnl"/>
        </w:rPr>
        <w:t>en costas al Estado Ecuatoriano, liquid</w:t>
      </w:r>
      <w:r>
        <w:rPr>
          <w:rFonts w:cs="Times New Roman"/>
          <w:spacing w:val="-8"/>
          <w:sz w:val="18"/>
          <w:szCs w:val="18"/>
          <w:lang w:val="es-ES_tradnl"/>
        </w:rPr>
        <w:t>á</w:t>
      </w:r>
      <w:r>
        <w:rPr>
          <w:spacing w:val="-8"/>
          <w:sz w:val="18"/>
          <w:szCs w:val="18"/>
          <w:lang w:val="es-ES_tradnl"/>
        </w:rPr>
        <w:t xml:space="preserve">ndole la suma de $ </w:t>
      </w:r>
      <w:r>
        <w:rPr>
          <w:spacing w:val="-9"/>
          <w:sz w:val="18"/>
          <w:szCs w:val="18"/>
          <w:lang w:val="es-ES_tradnl"/>
        </w:rPr>
        <w:t>2,000 d</w:t>
      </w:r>
      <w:r>
        <w:rPr>
          <w:rFonts w:cs="Times New Roman"/>
          <w:spacing w:val="-9"/>
          <w:sz w:val="18"/>
          <w:szCs w:val="18"/>
          <w:lang w:val="es-ES_tradnl"/>
        </w:rPr>
        <w:t>ó</w:t>
      </w:r>
      <w:r>
        <w:rPr>
          <w:spacing w:val="-9"/>
          <w:sz w:val="18"/>
          <w:szCs w:val="18"/>
          <w:lang w:val="es-ES_tradnl"/>
        </w:rPr>
        <w:t>lares</w:t>
      </w:r>
      <w:r>
        <w:rPr>
          <w:rFonts w:cs="Times New Roman"/>
          <w:spacing w:val="-9"/>
          <w:sz w:val="18"/>
          <w:szCs w:val="18"/>
          <w:lang w:val="es-ES_tradnl"/>
        </w:rPr>
        <w:t>”</w:t>
      </w:r>
      <w:r>
        <w:rPr>
          <w:spacing w:val="-9"/>
          <w:sz w:val="18"/>
          <w:szCs w:val="18"/>
          <w:lang w:val="es-ES_tradnl"/>
        </w:rPr>
        <w:t xml:space="preserve"> por honorarios profesionales del abogado de </w:t>
      </w:r>
      <w:r>
        <w:rPr>
          <w:sz w:val="18"/>
          <w:szCs w:val="18"/>
          <w:lang w:val="es-ES_tradnl"/>
        </w:rPr>
        <w:t>la contraparte.</w:t>
      </w:r>
    </w:p>
    <w:p w14:paraId="4F67AD36" w14:textId="77777777" w:rsidR="00591D54" w:rsidRDefault="00591D54">
      <w:pPr>
        <w:shd w:val="clear" w:color="auto" w:fill="FFFFFF"/>
        <w:spacing w:before="197" w:line="216" w:lineRule="exact"/>
        <w:jc w:val="both"/>
      </w:pPr>
      <w:r>
        <w:rPr>
          <w:spacing w:val="-3"/>
          <w:sz w:val="18"/>
          <w:szCs w:val="18"/>
          <w:lang w:val="es-ES_tradnl"/>
        </w:rPr>
        <w:t xml:space="preserve">En cuanto a la sentencia emitida en segunda instancia, </w:t>
      </w:r>
      <w:r>
        <w:rPr>
          <w:spacing w:val="-5"/>
          <w:sz w:val="18"/>
          <w:szCs w:val="18"/>
          <w:lang w:val="es-ES_tradnl"/>
        </w:rPr>
        <w:t xml:space="preserve">el accionante concluye que </w:t>
      </w:r>
      <w:r>
        <w:rPr>
          <w:rFonts w:cs="Times New Roman"/>
          <w:spacing w:val="-5"/>
          <w:sz w:val="18"/>
          <w:szCs w:val="18"/>
          <w:lang w:val="es-ES_tradnl"/>
        </w:rPr>
        <w:t>“</w:t>
      </w:r>
      <w:r>
        <w:rPr>
          <w:spacing w:val="-5"/>
          <w:sz w:val="18"/>
          <w:szCs w:val="18"/>
          <w:lang w:val="es-ES_tradnl"/>
        </w:rPr>
        <w:t>es [inveros</w:t>
      </w:r>
      <w:r>
        <w:rPr>
          <w:rFonts w:cs="Times New Roman"/>
          <w:spacing w:val="-5"/>
          <w:sz w:val="18"/>
          <w:szCs w:val="18"/>
          <w:lang w:val="es-ES_tradnl"/>
        </w:rPr>
        <w:t>í</w:t>
      </w:r>
      <w:r>
        <w:rPr>
          <w:spacing w:val="-5"/>
          <w:sz w:val="18"/>
          <w:szCs w:val="18"/>
          <w:lang w:val="es-ES_tradnl"/>
        </w:rPr>
        <w:t xml:space="preserve">mil] que hayan </w:t>
      </w:r>
      <w:r>
        <w:rPr>
          <w:spacing w:val="-10"/>
          <w:sz w:val="18"/>
          <w:szCs w:val="18"/>
          <w:lang w:val="es-ES_tradnl"/>
        </w:rPr>
        <w:t>desechado los recursos de apelaci</w:t>
      </w:r>
      <w:r>
        <w:rPr>
          <w:rFonts w:cs="Times New Roman"/>
          <w:spacing w:val="-10"/>
          <w:sz w:val="18"/>
          <w:szCs w:val="18"/>
          <w:lang w:val="es-ES_tradnl"/>
        </w:rPr>
        <w:t>ó</w:t>
      </w:r>
      <w:r>
        <w:rPr>
          <w:spacing w:val="-10"/>
          <w:sz w:val="18"/>
          <w:szCs w:val="18"/>
          <w:lang w:val="es-ES_tradnl"/>
        </w:rPr>
        <w:t xml:space="preserve">n interpuestos, alegando </w:t>
      </w:r>
      <w:r>
        <w:rPr>
          <w:spacing w:val="-9"/>
          <w:sz w:val="18"/>
          <w:szCs w:val="18"/>
          <w:lang w:val="es-ES_tradnl"/>
        </w:rPr>
        <w:t xml:space="preserve">que los legitimados pasivos no hayan comparecido a refutar </w:t>
      </w:r>
      <w:r>
        <w:rPr>
          <w:spacing w:val="-11"/>
          <w:sz w:val="18"/>
          <w:szCs w:val="18"/>
          <w:lang w:val="es-ES_tradnl"/>
        </w:rPr>
        <w:t xml:space="preserve">y demostrar que son falsos e improcedentes los fundamentos </w:t>
      </w:r>
      <w:r>
        <w:rPr>
          <w:spacing w:val="-8"/>
          <w:sz w:val="18"/>
          <w:szCs w:val="18"/>
          <w:lang w:val="es-ES_tradnl"/>
        </w:rPr>
        <w:t>expuestos, si sorpresivamente la sala nunca convoc</w:t>
      </w:r>
      <w:r>
        <w:rPr>
          <w:rFonts w:cs="Times New Roman"/>
          <w:spacing w:val="-8"/>
          <w:sz w:val="18"/>
          <w:szCs w:val="18"/>
          <w:lang w:val="es-ES_tradnl"/>
        </w:rPr>
        <w:t>ó</w:t>
      </w:r>
      <w:r>
        <w:rPr>
          <w:spacing w:val="-8"/>
          <w:sz w:val="18"/>
          <w:szCs w:val="18"/>
          <w:lang w:val="es-ES_tradnl"/>
        </w:rPr>
        <w:t xml:space="preserve"> a </w:t>
      </w:r>
      <w:r>
        <w:rPr>
          <w:spacing w:val="-7"/>
          <w:sz w:val="18"/>
          <w:szCs w:val="18"/>
          <w:lang w:val="es-ES_tradnl"/>
        </w:rPr>
        <w:t>audiencia de estrados, sino que resolvi</w:t>
      </w:r>
      <w:r>
        <w:rPr>
          <w:rFonts w:cs="Times New Roman"/>
          <w:spacing w:val="-7"/>
          <w:sz w:val="18"/>
          <w:szCs w:val="18"/>
          <w:lang w:val="es-ES_tradnl"/>
        </w:rPr>
        <w:t>ó</w:t>
      </w:r>
      <w:r>
        <w:rPr>
          <w:spacing w:val="-7"/>
          <w:sz w:val="18"/>
          <w:szCs w:val="18"/>
          <w:lang w:val="es-ES_tradnl"/>
        </w:rPr>
        <w:t xml:space="preserve"> directamente la </w:t>
      </w:r>
      <w:r>
        <w:rPr>
          <w:sz w:val="18"/>
          <w:szCs w:val="18"/>
          <w:lang w:val="es-ES_tradnl"/>
        </w:rPr>
        <w:t>causa (...)</w:t>
      </w:r>
      <w:r>
        <w:rPr>
          <w:rFonts w:cs="Times New Roman"/>
          <w:sz w:val="18"/>
          <w:szCs w:val="18"/>
          <w:lang w:val="es-ES_tradnl"/>
        </w:rPr>
        <w:t>”</w:t>
      </w:r>
      <w:r>
        <w:rPr>
          <w:sz w:val="18"/>
          <w:szCs w:val="18"/>
          <w:lang w:val="es-ES_tradnl"/>
        </w:rPr>
        <w:t>.</w:t>
      </w:r>
    </w:p>
    <w:p w14:paraId="4F67AD37" w14:textId="77777777" w:rsidR="00591D54" w:rsidRDefault="00591D54">
      <w:pPr>
        <w:shd w:val="clear" w:color="auto" w:fill="FFFFFF"/>
        <w:spacing w:before="192" w:line="216" w:lineRule="exact"/>
        <w:jc w:val="both"/>
      </w:pPr>
      <w:r>
        <w:rPr>
          <w:b/>
          <w:bCs/>
          <w:spacing w:val="-4"/>
          <w:sz w:val="18"/>
          <w:szCs w:val="18"/>
          <w:lang w:val="es-ES_tradnl"/>
        </w:rPr>
        <w:t>Acci</w:t>
      </w:r>
      <w:r>
        <w:rPr>
          <w:rFonts w:cs="Times New Roman"/>
          <w:b/>
          <w:bCs/>
          <w:spacing w:val="-4"/>
          <w:sz w:val="18"/>
          <w:szCs w:val="18"/>
          <w:lang w:val="es-ES_tradnl"/>
        </w:rPr>
        <w:t>ó</w:t>
      </w:r>
      <w:r>
        <w:rPr>
          <w:b/>
          <w:bCs/>
          <w:spacing w:val="-4"/>
          <w:sz w:val="18"/>
          <w:szCs w:val="18"/>
          <w:lang w:val="es-ES_tradnl"/>
        </w:rPr>
        <w:t>n extraordinaria de protecci</w:t>
      </w:r>
      <w:r>
        <w:rPr>
          <w:rFonts w:cs="Times New Roman"/>
          <w:b/>
          <w:bCs/>
          <w:spacing w:val="-4"/>
          <w:sz w:val="18"/>
          <w:szCs w:val="18"/>
          <w:lang w:val="es-ES_tradnl"/>
        </w:rPr>
        <w:t>ó</w:t>
      </w:r>
      <w:r>
        <w:rPr>
          <w:b/>
          <w:bCs/>
          <w:spacing w:val="-4"/>
          <w:sz w:val="18"/>
          <w:szCs w:val="18"/>
          <w:lang w:val="es-ES_tradnl"/>
        </w:rPr>
        <w:t xml:space="preserve">n presentada por </w:t>
      </w:r>
      <w:r>
        <w:rPr>
          <w:b/>
          <w:bCs/>
          <w:spacing w:val="-5"/>
          <w:sz w:val="18"/>
          <w:szCs w:val="18"/>
          <w:lang w:val="es-ES_tradnl"/>
        </w:rPr>
        <w:t>el director regional 1 de la Procuradur</w:t>
      </w:r>
      <w:r>
        <w:rPr>
          <w:rFonts w:cs="Times New Roman"/>
          <w:b/>
          <w:bCs/>
          <w:spacing w:val="-5"/>
          <w:sz w:val="18"/>
          <w:szCs w:val="18"/>
          <w:lang w:val="es-ES_tradnl"/>
        </w:rPr>
        <w:t>í</w:t>
      </w:r>
      <w:r>
        <w:rPr>
          <w:b/>
          <w:bCs/>
          <w:spacing w:val="-5"/>
          <w:sz w:val="18"/>
          <w:szCs w:val="18"/>
          <w:lang w:val="es-ES_tradnl"/>
        </w:rPr>
        <w:t xml:space="preserve">a General del </w:t>
      </w:r>
      <w:r>
        <w:rPr>
          <w:b/>
          <w:bCs/>
          <w:sz w:val="18"/>
          <w:szCs w:val="18"/>
          <w:lang w:val="es-ES_tradnl"/>
        </w:rPr>
        <w:t>Estado</w:t>
      </w:r>
    </w:p>
    <w:p w14:paraId="4F67AD38" w14:textId="77777777" w:rsidR="00591D54" w:rsidRDefault="00591D54">
      <w:pPr>
        <w:shd w:val="clear" w:color="auto" w:fill="FFFFFF"/>
        <w:spacing w:before="192" w:line="216" w:lineRule="exact"/>
        <w:jc w:val="both"/>
      </w:pPr>
      <w:r>
        <w:rPr>
          <w:spacing w:val="-6"/>
          <w:sz w:val="18"/>
          <w:szCs w:val="18"/>
          <w:lang w:val="es-ES_tradnl"/>
        </w:rPr>
        <w:t>El se</w:t>
      </w:r>
      <w:r>
        <w:rPr>
          <w:rFonts w:cs="Times New Roman"/>
          <w:spacing w:val="-6"/>
          <w:sz w:val="18"/>
          <w:szCs w:val="18"/>
          <w:lang w:val="es-ES_tradnl"/>
        </w:rPr>
        <w:t>ñ</w:t>
      </w:r>
      <w:r>
        <w:rPr>
          <w:spacing w:val="-6"/>
          <w:sz w:val="18"/>
          <w:szCs w:val="18"/>
          <w:lang w:val="es-ES_tradnl"/>
        </w:rPr>
        <w:t xml:space="preserve">or Jaime Cevallos </w:t>
      </w:r>
      <w:r>
        <w:rPr>
          <w:rFonts w:cs="Times New Roman"/>
          <w:spacing w:val="-6"/>
          <w:sz w:val="18"/>
          <w:szCs w:val="18"/>
          <w:lang w:val="es-ES_tradnl"/>
        </w:rPr>
        <w:t>Á</w:t>
      </w:r>
      <w:r>
        <w:rPr>
          <w:spacing w:val="-6"/>
          <w:sz w:val="18"/>
          <w:szCs w:val="18"/>
          <w:lang w:val="es-ES_tradnl"/>
        </w:rPr>
        <w:t xml:space="preserve">lvarez, en calidad de director </w:t>
      </w:r>
      <w:r>
        <w:rPr>
          <w:spacing w:val="-7"/>
          <w:sz w:val="18"/>
          <w:szCs w:val="18"/>
          <w:lang w:val="es-ES_tradnl"/>
        </w:rPr>
        <w:t>regional 1 de la Procuradur</w:t>
      </w:r>
      <w:r>
        <w:rPr>
          <w:rFonts w:cs="Times New Roman"/>
          <w:spacing w:val="-7"/>
          <w:sz w:val="18"/>
          <w:szCs w:val="18"/>
          <w:lang w:val="es-ES_tradnl"/>
        </w:rPr>
        <w:t>í</w:t>
      </w:r>
      <w:r>
        <w:rPr>
          <w:spacing w:val="-7"/>
          <w:sz w:val="18"/>
          <w:szCs w:val="18"/>
          <w:lang w:val="es-ES_tradnl"/>
        </w:rPr>
        <w:t>a General del Estado, se</w:t>
      </w:r>
      <w:r>
        <w:rPr>
          <w:rFonts w:cs="Times New Roman"/>
          <w:spacing w:val="-7"/>
          <w:sz w:val="18"/>
          <w:szCs w:val="18"/>
          <w:lang w:val="es-ES_tradnl"/>
        </w:rPr>
        <w:t>ñ</w:t>
      </w:r>
      <w:r>
        <w:rPr>
          <w:spacing w:val="-7"/>
          <w:sz w:val="18"/>
          <w:szCs w:val="18"/>
          <w:lang w:val="es-ES_tradnl"/>
        </w:rPr>
        <w:t xml:space="preserve">ala que mediante escrito presentado el 22 de agosto de 2012, </w:t>
      </w:r>
      <w:r>
        <w:rPr>
          <w:spacing w:val="-8"/>
          <w:sz w:val="18"/>
          <w:szCs w:val="18"/>
          <w:lang w:val="es-ES_tradnl"/>
        </w:rPr>
        <w:t>la parte demandada explic</w:t>
      </w:r>
      <w:r>
        <w:rPr>
          <w:rFonts w:cs="Times New Roman"/>
          <w:spacing w:val="-8"/>
          <w:sz w:val="18"/>
          <w:szCs w:val="18"/>
          <w:lang w:val="es-ES_tradnl"/>
        </w:rPr>
        <w:t>ó</w:t>
      </w:r>
      <w:r>
        <w:rPr>
          <w:spacing w:val="-8"/>
          <w:sz w:val="18"/>
          <w:szCs w:val="18"/>
          <w:lang w:val="es-ES_tradnl"/>
        </w:rPr>
        <w:t xml:space="preserve"> las razones por las cuales no hab</w:t>
      </w:r>
      <w:r>
        <w:rPr>
          <w:rFonts w:cs="Times New Roman"/>
          <w:spacing w:val="-8"/>
          <w:sz w:val="18"/>
          <w:szCs w:val="18"/>
          <w:lang w:val="es-ES_tradnl"/>
        </w:rPr>
        <w:t>í</w:t>
      </w:r>
      <w:r>
        <w:rPr>
          <w:spacing w:val="-8"/>
          <w:sz w:val="18"/>
          <w:szCs w:val="18"/>
          <w:lang w:val="es-ES_tradnl"/>
        </w:rPr>
        <w:t>an comparecido a la audiencia, a m</w:t>
      </w:r>
      <w:r>
        <w:rPr>
          <w:rFonts w:cs="Times New Roman"/>
          <w:spacing w:val="-8"/>
          <w:sz w:val="18"/>
          <w:szCs w:val="18"/>
          <w:lang w:val="es-ES_tradnl"/>
        </w:rPr>
        <w:t>á</w:t>
      </w:r>
      <w:r>
        <w:rPr>
          <w:spacing w:val="-8"/>
          <w:sz w:val="18"/>
          <w:szCs w:val="18"/>
          <w:lang w:val="es-ES_tradnl"/>
        </w:rPr>
        <w:t xml:space="preserve">s de explicar por </w:t>
      </w:r>
      <w:r>
        <w:rPr>
          <w:spacing w:val="-10"/>
          <w:sz w:val="18"/>
          <w:szCs w:val="18"/>
          <w:lang w:val="es-ES_tradnl"/>
        </w:rPr>
        <w:t>qu</w:t>
      </w:r>
      <w:r>
        <w:rPr>
          <w:rFonts w:cs="Times New Roman"/>
          <w:spacing w:val="-10"/>
          <w:sz w:val="18"/>
          <w:szCs w:val="18"/>
          <w:lang w:val="es-ES_tradnl"/>
        </w:rPr>
        <w:t>é</w:t>
      </w:r>
      <w:r>
        <w:rPr>
          <w:spacing w:val="-10"/>
          <w:sz w:val="18"/>
          <w:szCs w:val="18"/>
          <w:lang w:val="es-ES_tradnl"/>
        </w:rPr>
        <w:t xml:space="preserve"> la acci</w:t>
      </w:r>
      <w:r>
        <w:rPr>
          <w:rFonts w:cs="Times New Roman"/>
          <w:spacing w:val="-10"/>
          <w:sz w:val="18"/>
          <w:szCs w:val="18"/>
          <w:lang w:val="es-ES_tradnl"/>
        </w:rPr>
        <w:t>ó</w:t>
      </w:r>
      <w:r>
        <w:rPr>
          <w:spacing w:val="-10"/>
          <w:sz w:val="18"/>
          <w:szCs w:val="18"/>
          <w:lang w:val="es-ES_tradnl"/>
        </w:rPr>
        <w:t xml:space="preserve">n planteada </w:t>
      </w:r>
      <w:r>
        <w:rPr>
          <w:rFonts w:cs="Times New Roman"/>
          <w:spacing w:val="-10"/>
          <w:sz w:val="18"/>
          <w:szCs w:val="18"/>
          <w:lang w:val="es-ES_tradnl"/>
        </w:rPr>
        <w:t>“</w:t>
      </w:r>
      <w:r>
        <w:rPr>
          <w:spacing w:val="-10"/>
          <w:sz w:val="18"/>
          <w:szCs w:val="18"/>
          <w:lang w:val="es-ES_tradnl"/>
        </w:rPr>
        <w:t xml:space="preserve">era improcedente, habiendo hecho </w:t>
      </w:r>
      <w:r>
        <w:rPr>
          <w:spacing w:val="-8"/>
          <w:sz w:val="18"/>
          <w:szCs w:val="18"/>
          <w:lang w:val="es-ES_tradnl"/>
        </w:rPr>
        <w:t>notar a la Jueza entonces, que se trataba de una solicitud presentada 16 a</w:t>
      </w:r>
      <w:r>
        <w:rPr>
          <w:rFonts w:cs="Times New Roman"/>
          <w:spacing w:val="-8"/>
          <w:sz w:val="18"/>
          <w:szCs w:val="18"/>
          <w:lang w:val="es-ES_tradnl"/>
        </w:rPr>
        <w:t>ñ</w:t>
      </w:r>
      <w:r>
        <w:rPr>
          <w:spacing w:val="-8"/>
          <w:sz w:val="18"/>
          <w:szCs w:val="18"/>
          <w:lang w:val="es-ES_tradnl"/>
        </w:rPr>
        <w:t>os y 9 meses despu</w:t>
      </w:r>
      <w:r>
        <w:rPr>
          <w:rFonts w:cs="Times New Roman"/>
          <w:spacing w:val="-8"/>
          <w:sz w:val="18"/>
          <w:szCs w:val="18"/>
          <w:lang w:val="es-ES_tradnl"/>
        </w:rPr>
        <w:t>é</w:t>
      </w:r>
      <w:r>
        <w:rPr>
          <w:spacing w:val="-8"/>
          <w:sz w:val="18"/>
          <w:szCs w:val="18"/>
          <w:lang w:val="es-ES_tradnl"/>
        </w:rPr>
        <w:t xml:space="preserve">s de haber sido </w:t>
      </w:r>
      <w:r>
        <w:rPr>
          <w:sz w:val="18"/>
          <w:szCs w:val="18"/>
          <w:lang w:val="es-ES_tradnl"/>
        </w:rPr>
        <w:t>declarado desertor el accionante.</w:t>
      </w:r>
      <w:r>
        <w:rPr>
          <w:rFonts w:cs="Times New Roman"/>
          <w:sz w:val="18"/>
          <w:szCs w:val="18"/>
          <w:lang w:val="es-ES_tradnl"/>
        </w:rPr>
        <w:t>”</w:t>
      </w:r>
    </w:p>
    <w:p w14:paraId="4F67AD39" w14:textId="77777777" w:rsidR="00591D54" w:rsidRDefault="00591D54">
      <w:pPr>
        <w:shd w:val="clear" w:color="auto" w:fill="FFFFFF"/>
        <w:spacing w:before="192" w:line="216" w:lineRule="exact"/>
        <w:jc w:val="both"/>
      </w:pPr>
      <w:r>
        <w:rPr>
          <w:spacing w:val="-8"/>
          <w:sz w:val="18"/>
          <w:szCs w:val="18"/>
          <w:lang w:val="es-ES_tradnl"/>
        </w:rPr>
        <w:t xml:space="preserve">En igual sentido, asevera que </w:t>
      </w:r>
      <w:r>
        <w:rPr>
          <w:rFonts w:cs="Times New Roman"/>
          <w:spacing w:val="-8"/>
          <w:sz w:val="18"/>
          <w:szCs w:val="18"/>
          <w:lang w:val="es-ES_tradnl"/>
        </w:rPr>
        <w:t>“</w:t>
      </w:r>
      <w:r>
        <w:rPr>
          <w:spacing w:val="-8"/>
          <w:sz w:val="18"/>
          <w:szCs w:val="18"/>
          <w:lang w:val="es-ES_tradnl"/>
        </w:rPr>
        <w:t xml:space="preserve">se puso en conocimiento de </w:t>
      </w:r>
      <w:r>
        <w:rPr>
          <w:spacing w:val="-10"/>
          <w:sz w:val="18"/>
          <w:szCs w:val="18"/>
          <w:lang w:val="es-ES_tradnl"/>
        </w:rPr>
        <w:t xml:space="preserve">la jueza que a la fecha de los acontecimientos se encontraba </w:t>
      </w:r>
      <w:r>
        <w:rPr>
          <w:spacing w:val="-7"/>
          <w:sz w:val="18"/>
          <w:szCs w:val="18"/>
          <w:lang w:val="es-ES_tradnl"/>
        </w:rPr>
        <w:t>en vigencia el derogado C</w:t>
      </w:r>
      <w:r>
        <w:rPr>
          <w:rFonts w:cs="Times New Roman"/>
          <w:spacing w:val="-7"/>
          <w:sz w:val="18"/>
          <w:szCs w:val="18"/>
          <w:lang w:val="es-ES_tradnl"/>
        </w:rPr>
        <w:t>ó</w:t>
      </w:r>
      <w:r>
        <w:rPr>
          <w:spacing w:val="-7"/>
          <w:sz w:val="18"/>
          <w:szCs w:val="18"/>
          <w:lang w:val="es-ES_tradnl"/>
        </w:rPr>
        <w:t xml:space="preserve">digo Penal Militar, por lo que el </w:t>
      </w:r>
      <w:r>
        <w:rPr>
          <w:spacing w:val="-11"/>
          <w:sz w:val="18"/>
          <w:szCs w:val="18"/>
          <w:lang w:val="es-ES_tradnl"/>
        </w:rPr>
        <w:t>hecho de que el accionante haya quebrantado su arresto era</w:t>
      </w:r>
    </w:p>
    <w:p w14:paraId="4F67AD3A" w14:textId="77777777" w:rsidR="00591D54" w:rsidRDefault="00591D54">
      <w:pPr>
        <w:shd w:val="clear" w:color="auto" w:fill="FFFFFF"/>
        <w:spacing w:before="192" w:line="216" w:lineRule="exact"/>
        <w:jc w:val="both"/>
        <w:sectPr w:rsidR="00591D54">
          <w:type w:val="continuous"/>
          <w:pgSz w:w="11909" w:h="16834"/>
          <w:pgMar w:top="1373" w:right="1309" w:bottom="360" w:left="1308" w:header="720" w:footer="720" w:gutter="0"/>
          <w:cols w:num="2" w:space="720" w:equalWidth="0">
            <w:col w:w="4305" w:space="682"/>
            <w:col w:w="4305"/>
          </w:cols>
          <w:noEndnote/>
        </w:sectPr>
      </w:pPr>
    </w:p>
    <w:p w14:paraId="4F67AD3B" w14:textId="77777777" w:rsidR="00591D54" w:rsidRDefault="00591D54">
      <w:pPr>
        <w:shd w:val="clear" w:color="auto" w:fill="FFFFFF"/>
        <w:tabs>
          <w:tab w:val="left" w:pos="5856"/>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- 119</w:t>
      </w:r>
    </w:p>
    <w:p w14:paraId="4F67AD3C" w14:textId="77777777" w:rsidR="00591D54" w:rsidRDefault="00591D54">
      <w:pPr>
        <w:shd w:val="clear" w:color="auto" w:fill="FFFFFF"/>
        <w:tabs>
          <w:tab w:val="left" w:pos="5856"/>
        </w:tabs>
        <w:spacing w:after="230"/>
        <w:ind w:left="5"/>
        <w:sectPr w:rsidR="00591D54">
          <w:pgSz w:w="11909" w:h="16834"/>
          <w:pgMar w:top="1378" w:right="1309" w:bottom="360" w:left="1308" w:header="720" w:footer="720" w:gutter="0"/>
          <w:cols w:space="60"/>
          <w:noEndnote/>
        </w:sectPr>
      </w:pPr>
    </w:p>
    <w:p w14:paraId="4F67AD3D" w14:textId="77777777" w:rsidR="00591D54" w:rsidRDefault="00591D54">
      <w:pPr>
        <w:shd w:val="clear" w:color="auto" w:fill="FFFFFF"/>
        <w:spacing w:before="5" w:line="216" w:lineRule="exact"/>
        <w:jc w:val="both"/>
      </w:pPr>
      <w:r>
        <w:rPr>
          <w:spacing w:val="-8"/>
          <w:sz w:val="18"/>
          <w:szCs w:val="18"/>
          <w:lang w:val="es-ES_tradnl"/>
        </w:rPr>
        <w:t xml:space="preserve">una falta grave, que las alegaciones del accionante sobre </w:t>
      </w:r>
      <w:r>
        <w:rPr>
          <w:spacing w:val="-6"/>
          <w:sz w:val="18"/>
          <w:szCs w:val="18"/>
          <w:lang w:val="es-ES_tradnl"/>
        </w:rPr>
        <w:t>supuesto maltrato verbal no hab</w:t>
      </w:r>
      <w:r>
        <w:rPr>
          <w:rFonts w:cs="Times New Roman"/>
          <w:spacing w:val="-6"/>
          <w:sz w:val="18"/>
          <w:szCs w:val="18"/>
          <w:lang w:val="es-ES_tradnl"/>
        </w:rPr>
        <w:t>í</w:t>
      </w:r>
      <w:r>
        <w:rPr>
          <w:spacing w:val="-6"/>
          <w:sz w:val="18"/>
          <w:szCs w:val="18"/>
          <w:lang w:val="es-ES_tradnl"/>
        </w:rPr>
        <w:t xml:space="preserve">an sido probadas, que </w:t>
      </w:r>
      <w:r>
        <w:rPr>
          <w:spacing w:val="-8"/>
          <w:sz w:val="18"/>
          <w:szCs w:val="18"/>
          <w:lang w:val="es-ES_tradnl"/>
        </w:rPr>
        <w:t>nunca acudi</w:t>
      </w:r>
      <w:r>
        <w:rPr>
          <w:rFonts w:cs="Times New Roman"/>
          <w:spacing w:val="-8"/>
          <w:sz w:val="18"/>
          <w:szCs w:val="18"/>
          <w:lang w:val="es-ES_tradnl"/>
        </w:rPr>
        <w:t>ó</w:t>
      </w:r>
      <w:r>
        <w:rPr>
          <w:spacing w:val="-8"/>
          <w:sz w:val="18"/>
          <w:szCs w:val="18"/>
          <w:lang w:val="es-ES_tradnl"/>
        </w:rPr>
        <w:t xml:space="preserve"> a las v</w:t>
      </w:r>
      <w:r>
        <w:rPr>
          <w:rFonts w:cs="Times New Roman"/>
          <w:spacing w:val="-8"/>
          <w:sz w:val="18"/>
          <w:szCs w:val="18"/>
          <w:lang w:val="es-ES_tradnl"/>
        </w:rPr>
        <w:t>í</w:t>
      </w:r>
      <w:r>
        <w:rPr>
          <w:spacing w:val="-8"/>
          <w:sz w:val="18"/>
          <w:szCs w:val="18"/>
          <w:lang w:val="es-ES_tradnl"/>
        </w:rPr>
        <w:t xml:space="preserve">as regulares de reclamo dentro de la </w:t>
      </w:r>
      <w:r>
        <w:rPr>
          <w:sz w:val="18"/>
          <w:szCs w:val="18"/>
          <w:lang w:val="es-ES_tradnl"/>
        </w:rPr>
        <w:t>misma instituci</w:t>
      </w:r>
      <w:r>
        <w:rPr>
          <w:rFonts w:cs="Times New Roman"/>
          <w:sz w:val="18"/>
          <w:szCs w:val="18"/>
          <w:lang w:val="es-ES_tradnl"/>
        </w:rPr>
        <w:t>ó</w:t>
      </w:r>
      <w:r>
        <w:rPr>
          <w:sz w:val="18"/>
          <w:szCs w:val="18"/>
          <w:lang w:val="es-ES_tradnl"/>
        </w:rPr>
        <w:t>n a la que pertenec</w:t>
      </w:r>
      <w:r>
        <w:rPr>
          <w:rFonts w:cs="Times New Roman"/>
          <w:sz w:val="18"/>
          <w:szCs w:val="18"/>
          <w:lang w:val="es-ES_tradnl"/>
        </w:rPr>
        <w:t>í</w:t>
      </w:r>
      <w:r>
        <w:rPr>
          <w:sz w:val="18"/>
          <w:szCs w:val="18"/>
          <w:lang w:val="es-ES_tradnl"/>
        </w:rPr>
        <w:t>a</w:t>
      </w:r>
      <w:r>
        <w:rPr>
          <w:rFonts w:cs="Times New Roman"/>
          <w:sz w:val="18"/>
          <w:szCs w:val="18"/>
          <w:lang w:val="es-ES_tradnl"/>
        </w:rPr>
        <w:t>”</w:t>
      </w:r>
      <w:r>
        <w:rPr>
          <w:sz w:val="18"/>
          <w:szCs w:val="18"/>
          <w:lang w:val="es-ES_tradnl"/>
        </w:rPr>
        <w:t>.</w:t>
      </w:r>
    </w:p>
    <w:p w14:paraId="4F67AD3E" w14:textId="77777777" w:rsidR="00591D54" w:rsidRDefault="00591D54">
      <w:pPr>
        <w:shd w:val="clear" w:color="auto" w:fill="FFFFFF"/>
        <w:spacing w:before="197" w:line="216" w:lineRule="exact"/>
        <w:jc w:val="both"/>
      </w:pPr>
      <w:r>
        <w:rPr>
          <w:spacing w:val="-8"/>
          <w:sz w:val="18"/>
          <w:szCs w:val="18"/>
          <w:lang w:val="es-ES_tradnl"/>
        </w:rPr>
        <w:t>En tal sentido, el representante de la Procuradur</w:t>
      </w:r>
      <w:r>
        <w:rPr>
          <w:rFonts w:cs="Times New Roman"/>
          <w:spacing w:val="-8"/>
          <w:sz w:val="18"/>
          <w:szCs w:val="18"/>
          <w:lang w:val="es-ES_tradnl"/>
        </w:rPr>
        <w:t>í</w:t>
      </w:r>
      <w:r>
        <w:rPr>
          <w:spacing w:val="-8"/>
          <w:sz w:val="18"/>
          <w:szCs w:val="18"/>
          <w:lang w:val="es-ES_tradnl"/>
        </w:rPr>
        <w:t xml:space="preserve">a General </w:t>
      </w:r>
      <w:r>
        <w:rPr>
          <w:spacing w:val="-9"/>
          <w:sz w:val="18"/>
          <w:szCs w:val="18"/>
          <w:lang w:val="es-ES_tradnl"/>
        </w:rPr>
        <w:t xml:space="preserve">del Estado considera que las sentencias demandadas </w:t>
      </w:r>
      <w:r>
        <w:rPr>
          <w:rFonts w:cs="Times New Roman"/>
          <w:spacing w:val="-9"/>
          <w:sz w:val="18"/>
          <w:szCs w:val="18"/>
          <w:lang w:val="es-ES_tradnl"/>
        </w:rPr>
        <w:t>“</w:t>
      </w:r>
      <w:r>
        <w:rPr>
          <w:spacing w:val="-9"/>
          <w:sz w:val="18"/>
          <w:szCs w:val="18"/>
          <w:lang w:val="es-ES_tradnl"/>
        </w:rPr>
        <w:t xml:space="preserve">no </w:t>
      </w:r>
      <w:r>
        <w:rPr>
          <w:spacing w:val="-7"/>
          <w:sz w:val="18"/>
          <w:szCs w:val="18"/>
          <w:lang w:val="es-ES_tradnl"/>
        </w:rPr>
        <w:t>respetan la Supremac</w:t>
      </w:r>
      <w:r>
        <w:rPr>
          <w:rFonts w:cs="Times New Roman"/>
          <w:spacing w:val="-7"/>
          <w:sz w:val="18"/>
          <w:szCs w:val="18"/>
          <w:lang w:val="es-ES_tradnl"/>
        </w:rPr>
        <w:t>í</w:t>
      </w:r>
      <w:r>
        <w:rPr>
          <w:spacing w:val="-7"/>
          <w:sz w:val="18"/>
          <w:szCs w:val="18"/>
          <w:lang w:val="es-ES_tradnl"/>
        </w:rPr>
        <w:t>a de la Constituci</w:t>
      </w:r>
      <w:r>
        <w:rPr>
          <w:rFonts w:cs="Times New Roman"/>
          <w:spacing w:val="-7"/>
          <w:sz w:val="18"/>
          <w:szCs w:val="18"/>
          <w:lang w:val="es-ES_tradnl"/>
        </w:rPr>
        <w:t>ó</w:t>
      </w:r>
      <w:r>
        <w:rPr>
          <w:spacing w:val="-7"/>
          <w:sz w:val="18"/>
          <w:szCs w:val="18"/>
          <w:lang w:val="es-ES_tradnl"/>
        </w:rPr>
        <w:t>n y su aplicaci</w:t>
      </w:r>
      <w:r>
        <w:rPr>
          <w:rFonts w:cs="Times New Roman"/>
          <w:spacing w:val="-7"/>
          <w:sz w:val="18"/>
          <w:szCs w:val="18"/>
          <w:lang w:val="es-ES_tradnl"/>
        </w:rPr>
        <w:t>ó</w:t>
      </w:r>
      <w:r>
        <w:rPr>
          <w:spacing w:val="-7"/>
          <w:sz w:val="18"/>
          <w:szCs w:val="18"/>
          <w:lang w:val="es-ES_tradnl"/>
        </w:rPr>
        <w:t xml:space="preserve">n </w:t>
      </w:r>
      <w:r>
        <w:rPr>
          <w:spacing w:val="-10"/>
          <w:sz w:val="18"/>
          <w:szCs w:val="18"/>
          <w:lang w:val="es-ES_tradnl"/>
        </w:rPr>
        <w:t>garantista, que estipula que la sola omisi</w:t>
      </w:r>
      <w:r>
        <w:rPr>
          <w:rFonts w:cs="Times New Roman"/>
          <w:spacing w:val="-10"/>
          <w:sz w:val="18"/>
          <w:szCs w:val="18"/>
          <w:lang w:val="es-ES_tradnl"/>
        </w:rPr>
        <w:t>ó</w:t>
      </w:r>
      <w:r>
        <w:rPr>
          <w:spacing w:val="-10"/>
          <w:sz w:val="18"/>
          <w:szCs w:val="18"/>
          <w:lang w:val="es-ES_tradnl"/>
        </w:rPr>
        <w:t xml:space="preserve">n de solemnidades </w:t>
      </w:r>
      <w:r>
        <w:rPr>
          <w:spacing w:val="-8"/>
          <w:sz w:val="18"/>
          <w:szCs w:val="18"/>
          <w:lang w:val="es-ES_tradnl"/>
        </w:rPr>
        <w:t>no justifica la denegaci</w:t>
      </w:r>
      <w:r>
        <w:rPr>
          <w:rFonts w:cs="Times New Roman"/>
          <w:spacing w:val="-8"/>
          <w:sz w:val="18"/>
          <w:szCs w:val="18"/>
          <w:lang w:val="es-ES_tradnl"/>
        </w:rPr>
        <w:t>ó</w:t>
      </w:r>
      <w:r>
        <w:rPr>
          <w:spacing w:val="-8"/>
          <w:sz w:val="18"/>
          <w:szCs w:val="18"/>
          <w:lang w:val="es-ES_tradnl"/>
        </w:rPr>
        <w:t xml:space="preserve">n de justicia, esto en cuanto a que </w:t>
      </w:r>
      <w:r>
        <w:rPr>
          <w:spacing w:val="-4"/>
          <w:sz w:val="18"/>
          <w:szCs w:val="18"/>
          <w:lang w:val="es-ES_tradnl"/>
        </w:rPr>
        <w:t xml:space="preserve">el Estado, (...) si bien no pudo acudir a la Audiencia por </w:t>
      </w:r>
      <w:r>
        <w:rPr>
          <w:spacing w:val="-9"/>
          <w:sz w:val="18"/>
          <w:szCs w:val="18"/>
          <w:lang w:val="es-ES_tradnl"/>
        </w:rPr>
        <w:t>causas imposibles de resistir (...) s</w:t>
      </w:r>
      <w:r>
        <w:rPr>
          <w:rFonts w:cs="Times New Roman"/>
          <w:spacing w:val="-9"/>
          <w:sz w:val="18"/>
          <w:szCs w:val="18"/>
          <w:lang w:val="es-ES_tradnl"/>
        </w:rPr>
        <w:t>í</w:t>
      </w:r>
      <w:r>
        <w:rPr>
          <w:spacing w:val="-9"/>
          <w:sz w:val="18"/>
          <w:szCs w:val="18"/>
          <w:lang w:val="es-ES_tradnl"/>
        </w:rPr>
        <w:t xml:space="preserve"> expuso sus argumentos </w:t>
      </w:r>
      <w:r>
        <w:rPr>
          <w:spacing w:val="-3"/>
          <w:sz w:val="18"/>
          <w:szCs w:val="18"/>
          <w:lang w:val="es-ES_tradnl"/>
        </w:rPr>
        <w:t>con anterioridad a la emisi</w:t>
      </w:r>
      <w:r>
        <w:rPr>
          <w:rFonts w:cs="Times New Roman"/>
          <w:spacing w:val="-3"/>
          <w:sz w:val="18"/>
          <w:szCs w:val="18"/>
          <w:lang w:val="es-ES_tradnl"/>
        </w:rPr>
        <w:t>ó</w:t>
      </w:r>
      <w:r>
        <w:rPr>
          <w:spacing w:val="-3"/>
          <w:sz w:val="18"/>
          <w:szCs w:val="18"/>
          <w:lang w:val="es-ES_tradnl"/>
        </w:rPr>
        <w:t>n de la sentencia, y solicit</w:t>
      </w:r>
      <w:r>
        <w:rPr>
          <w:rFonts w:cs="Times New Roman"/>
          <w:spacing w:val="-3"/>
          <w:sz w:val="18"/>
          <w:szCs w:val="18"/>
          <w:lang w:val="es-ES_tradnl"/>
        </w:rPr>
        <w:t xml:space="preserve">ó </w:t>
      </w:r>
      <w:r>
        <w:rPr>
          <w:spacing w:val="-8"/>
          <w:sz w:val="18"/>
          <w:szCs w:val="18"/>
          <w:lang w:val="es-ES_tradnl"/>
        </w:rPr>
        <w:t xml:space="preserve">ser escuchado en la segunda instancia sin que se [haya] </w:t>
      </w:r>
      <w:r>
        <w:rPr>
          <w:sz w:val="18"/>
          <w:szCs w:val="18"/>
          <w:lang w:val="es-ES_tradnl"/>
        </w:rPr>
        <w:t>atendido la solicitud del Estado</w:t>
      </w:r>
      <w:r>
        <w:rPr>
          <w:rFonts w:cs="Times New Roman"/>
          <w:sz w:val="18"/>
          <w:szCs w:val="18"/>
          <w:lang w:val="es-ES_tradnl"/>
        </w:rPr>
        <w:t>”</w:t>
      </w:r>
      <w:r>
        <w:rPr>
          <w:sz w:val="18"/>
          <w:szCs w:val="18"/>
          <w:lang w:val="es-ES_tradnl"/>
        </w:rPr>
        <w:t>.</w:t>
      </w:r>
    </w:p>
    <w:p w14:paraId="4F67AD3F" w14:textId="77777777" w:rsidR="00591D54" w:rsidRDefault="00591D54">
      <w:pPr>
        <w:shd w:val="clear" w:color="auto" w:fill="FFFFFF"/>
        <w:spacing w:before="197" w:line="216" w:lineRule="exact"/>
        <w:ind w:right="5"/>
        <w:jc w:val="both"/>
      </w:pPr>
      <w:r>
        <w:rPr>
          <w:spacing w:val="-10"/>
          <w:sz w:val="18"/>
          <w:szCs w:val="18"/>
          <w:lang w:val="es-ES_tradnl"/>
        </w:rPr>
        <w:t xml:space="preserve">Finalmente, el accionante piensa que los jueces de instancia </w:t>
      </w:r>
      <w:r>
        <w:rPr>
          <w:rFonts w:cs="Times New Roman"/>
          <w:spacing w:val="-5"/>
          <w:sz w:val="18"/>
          <w:szCs w:val="18"/>
          <w:lang w:val="es-ES_tradnl"/>
        </w:rPr>
        <w:t>“</w:t>
      </w:r>
      <w:r>
        <w:rPr>
          <w:spacing w:val="-5"/>
          <w:sz w:val="18"/>
          <w:szCs w:val="18"/>
          <w:lang w:val="es-ES_tradnl"/>
        </w:rPr>
        <w:t>[al] considerar sin justificaci</w:t>
      </w:r>
      <w:r>
        <w:rPr>
          <w:rFonts w:cs="Times New Roman"/>
          <w:spacing w:val="-5"/>
          <w:sz w:val="18"/>
          <w:szCs w:val="18"/>
          <w:lang w:val="es-ES_tradnl"/>
        </w:rPr>
        <w:t>ó</w:t>
      </w:r>
      <w:r>
        <w:rPr>
          <w:spacing w:val="-5"/>
          <w:sz w:val="18"/>
          <w:szCs w:val="18"/>
          <w:lang w:val="es-ES_tradnl"/>
        </w:rPr>
        <w:t>n alguna, solo lo expuesto por el actor, cuyo af</w:t>
      </w:r>
      <w:r>
        <w:rPr>
          <w:rFonts w:cs="Times New Roman"/>
          <w:spacing w:val="-5"/>
          <w:sz w:val="18"/>
          <w:szCs w:val="18"/>
          <w:lang w:val="es-ES_tradnl"/>
        </w:rPr>
        <w:t>á</w:t>
      </w:r>
      <w:r>
        <w:rPr>
          <w:spacing w:val="-5"/>
          <w:sz w:val="18"/>
          <w:szCs w:val="18"/>
          <w:lang w:val="es-ES_tradnl"/>
        </w:rPr>
        <w:t>n fue exigir una reparaci</w:t>
      </w:r>
      <w:r>
        <w:rPr>
          <w:rFonts w:cs="Times New Roman"/>
          <w:spacing w:val="-5"/>
          <w:sz w:val="18"/>
          <w:szCs w:val="18"/>
          <w:lang w:val="es-ES_tradnl"/>
        </w:rPr>
        <w:t>ó</w:t>
      </w:r>
      <w:r>
        <w:rPr>
          <w:spacing w:val="-5"/>
          <w:sz w:val="18"/>
          <w:szCs w:val="18"/>
          <w:lang w:val="es-ES_tradnl"/>
        </w:rPr>
        <w:t xml:space="preserve">n sobre la </w:t>
      </w:r>
      <w:r>
        <w:rPr>
          <w:spacing w:val="-6"/>
          <w:sz w:val="18"/>
          <w:szCs w:val="18"/>
          <w:lang w:val="es-ES_tradnl"/>
        </w:rPr>
        <w:t>que no hab</w:t>
      </w:r>
      <w:r>
        <w:rPr>
          <w:rFonts w:cs="Times New Roman"/>
          <w:spacing w:val="-6"/>
          <w:sz w:val="18"/>
          <w:szCs w:val="18"/>
          <w:lang w:val="es-ES_tradnl"/>
        </w:rPr>
        <w:t>í</w:t>
      </w:r>
      <w:r>
        <w:rPr>
          <w:spacing w:val="-6"/>
          <w:sz w:val="18"/>
          <w:szCs w:val="18"/>
          <w:lang w:val="es-ES_tradnl"/>
        </w:rPr>
        <w:t>a hecho reclamaci</w:t>
      </w:r>
      <w:r>
        <w:rPr>
          <w:rFonts w:cs="Times New Roman"/>
          <w:spacing w:val="-6"/>
          <w:sz w:val="18"/>
          <w:szCs w:val="18"/>
          <w:lang w:val="es-ES_tradnl"/>
        </w:rPr>
        <w:t>ó</w:t>
      </w:r>
      <w:r>
        <w:rPr>
          <w:spacing w:val="-6"/>
          <w:sz w:val="18"/>
          <w:szCs w:val="18"/>
          <w:lang w:val="es-ES_tradnl"/>
        </w:rPr>
        <w:t>n oportuna sino m</w:t>
      </w:r>
      <w:r>
        <w:rPr>
          <w:rFonts w:cs="Times New Roman"/>
          <w:spacing w:val="-6"/>
          <w:sz w:val="18"/>
          <w:szCs w:val="18"/>
          <w:lang w:val="es-ES_tradnl"/>
        </w:rPr>
        <w:t>á</w:t>
      </w:r>
      <w:r>
        <w:rPr>
          <w:spacing w:val="-6"/>
          <w:sz w:val="18"/>
          <w:szCs w:val="18"/>
          <w:lang w:val="es-ES_tradnl"/>
        </w:rPr>
        <w:t xml:space="preserve">s bien </w:t>
      </w:r>
      <w:r>
        <w:rPr>
          <w:spacing w:val="-8"/>
          <w:sz w:val="18"/>
          <w:szCs w:val="18"/>
          <w:lang w:val="es-ES_tradnl"/>
        </w:rPr>
        <w:t>[,] tard</w:t>
      </w:r>
      <w:r>
        <w:rPr>
          <w:rFonts w:cs="Times New Roman"/>
          <w:spacing w:val="-8"/>
          <w:sz w:val="18"/>
          <w:szCs w:val="18"/>
          <w:lang w:val="es-ES_tradnl"/>
        </w:rPr>
        <w:t>í</w:t>
      </w:r>
      <w:r>
        <w:rPr>
          <w:spacing w:val="-8"/>
          <w:sz w:val="18"/>
          <w:szCs w:val="18"/>
          <w:lang w:val="es-ES_tradnl"/>
        </w:rPr>
        <w:t xml:space="preserve">a con absoluta negligencia en cuanto a su supuesto </w:t>
      </w:r>
      <w:r>
        <w:rPr>
          <w:spacing w:val="-1"/>
          <w:sz w:val="18"/>
          <w:szCs w:val="18"/>
          <w:lang w:val="es-ES_tradnl"/>
        </w:rPr>
        <w:t>derecho vulnerado (...)</w:t>
      </w:r>
      <w:r>
        <w:rPr>
          <w:rFonts w:cs="Times New Roman"/>
          <w:spacing w:val="-1"/>
          <w:sz w:val="18"/>
          <w:szCs w:val="18"/>
          <w:lang w:val="es-ES_tradnl"/>
        </w:rPr>
        <w:t>”</w:t>
      </w:r>
      <w:r>
        <w:rPr>
          <w:spacing w:val="-1"/>
          <w:sz w:val="18"/>
          <w:szCs w:val="18"/>
          <w:lang w:val="es-ES_tradnl"/>
        </w:rPr>
        <w:t xml:space="preserve"> evidencia parcialidad en el </w:t>
      </w:r>
      <w:r>
        <w:rPr>
          <w:sz w:val="18"/>
          <w:szCs w:val="18"/>
          <w:lang w:val="es-ES_tradnl"/>
        </w:rPr>
        <w:t>operador judicial (...)</w:t>
      </w:r>
      <w:r>
        <w:rPr>
          <w:rFonts w:cs="Times New Roman"/>
          <w:sz w:val="18"/>
          <w:szCs w:val="18"/>
          <w:lang w:val="es-ES_tradnl"/>
        </w:rPr>
        <w:t>”</w:t>
      </w:r>
      <w:r>
        <w:rPr>
          <w:sz w:val="18"/>
          <w:szCs w:val="18"/>
          <w:lang w:val="es-ES_tradnl"/>
        </w:rPr>
        <w:t>.</w:t>
      </w:r>
    </w:p>
    <w:p w14:paraId="4F67AD40" w14:textId="77777777" w:rsidR="00591D54" w:rsidRDefault="00591D54">
      <w:pPr>
        <w:shd w:val="clear" w:color="auto" w:fill="FFFFFF"/>
        <w:spacing w:before="197" w:line="216" w:lineRule="exact"/>
        <w:ind w:right="5"/>
        <w:jc w:val="both"/>
      </w:pPr>
      <w:r>
        <w:rPr>
          <w:b/>
          <w:bCs/>
          <w:spacing w:val="-13"/>
          <w:sz w:val="18"/>
          <w:szCs w:val="18"/>
          <w:lang w:val="es-ES_tradnl"/>
        </w:rPr>
        <w:t>Identificaci</w:t>
      </w:r>
      <w:r>
        <w:rPr>
          <w:rFonts w:cs="Times New Roman"/>
          <w:b/>
          <w:bCs/>
          <w:spacing w:val="-13"/>
          <w:sz w:val="18"/>
          <w:szCs w:val="18"/>
          <w:lang w:val="es-ES_tradnl"/>
        </w:rPr>
        <w:t>ó</w:t>
      </w:r>
      <w:r>
        <w:rPr>
          <w:b/>
          <w:bCs/>
          <w:spacing w:val="-13"/>
          <w:sz w:val="18"/>
          <w:szCs w:val="18"/>
          <w:lang w:val="es-ES_tradnl"/>
        </w:rPr>
        <w:t xml:space="preserve">n de los derechos probablemente vulnerados </w:t>
      </w:r>
      <w:r>
        <w:rPr>
          <w:b/>
          <w:bCs/>
          <w:sz w:val="18"/>
          <w:szCs w:val="18"/>
          <w:lang w:val="es-ES_tradnl"/>
        </w:rPr>
        <w:t>por la decisi</w:t>
      </w:r>
      <w:r>
        <w:rPr>
          <w:rFonts w:cs="Times New Roman"/>
          <w:b/>
          <w:bCs/>
          <w:sz w:val="18"/>
          <w:szCs w:val="18"/>
          <w:lang w:val="es-ES_tradnl"/>
        </w:rPr>
        <w:t>ó</w:t>
      </w:r>
      <w:r>
        <w:rPr>
          <w:b/>
          <w:bCs/>
          <w:sz w:val="18"/>
          <w:szCs w:val="18"/>
          <w:lang w:val="es-ES_tradnl"/>
        </w:rPr>
        <w:t>n judicial</w:t>
      </w:r>
    </w:p>
    <w:p w14:paraId="4F67AD41" w14:textId="77777777" w:rsidR="00591D54" w:rsidRDefault="00591D54">
      <w:pPr>
        <w:shd w:val="clear" w:color="auto" w:fill="FFFFFF"/>
        <w:spacing w:before="197" w:line="216" w:lineRule="exact"/>
        <w:ind w:right="5"/>
        <w:jc w:val="both"/>
      </w:pPr>
      <w:r>
        <w:rPr>
          <w:spacing w:val="-7"/>
          <w:sz w:val="18"/>
          <w:szCs w:val="18"/>
          <w:lang w:val="es-ES_tradnl"/>
        </w:rPr>
        <w:t xml:space="preserve">Los derechos constitucionales que el accionante, </w:t>
      </w:r>
      <w:r>
        <w:rPr>
          <w:rFonts w:cs="Times New Roman"/>
          <w:spacing w:val="-7"/>
          <w:sz w:val="18"/>
          <w:szCs w:val="18"/>
          <w:lang w:val="es-ES_tradnl"/>
        </w:rPr>
        <w:t>Á</w:t>
      </w:r>
      <w:r>
        <w:rPr>
          <w:spacing w:val="-7"/>
          <w:sz w:val="18"/>
          <w:szCs w:val="18"/>
          <w:lang w:val="es-ES_tradnl"/>
        </w:rPr>
        <w:t xml:space="preserve">ngel </w:t>
      </w:r>
      <w:r>
        <w:rPr>
          <w:spacing w:val="-10"/>
          <w:sz w:val="18"/>
          <w:szCs w:val="18"/>
          <w:lang w:val="es-ES_tradnl"/>
        </w:rPr>
        <w:t xml:space="preserve">Sarzosa Aguirre, en calidad de director general de Recursos </w:t>
      </w:r>
      <w:r>
        <w:rPr>
          <w:spacing w:val="-9"/>
          <w:sz w:val="18"/>
          <w:szCs w:val="18"/>
          <w:lang w:val="es-ES_tradnl"/>
        </w:rPr>
        <w:t xml:space="preserve">Humanos de la Armada del Ecuador, considera vulnerados </w:t>
      </w:r>
      <w:r>
        <w:rPr>
          <w:spacing w:val="-7"/>
          <w:sz w:val="18"/>
          <w:szCs w:val="18"/>
          <w:lang w:val="es-ES_tradnl"/>
        </w:rPr>
        <w:t>son aquellos contenidos en los art</w:t>
      </w:r>
      <w:r>
        <w:rPr>
          <w:rFonts w:cs="Times New Roman"/>
          <w:spacing w:val="-7"/>
          <w:sz w:val="18"/>
          <w:szCs w:val="18"/>
          <w:lang w:val="es-ES_tradnl"/>
        </w:rPr>
        <w:t>í</w:t>
      </w:r>
      <w:r>
        <w:rPr>
          <w:spacing w:val="-7"/>
          <w:sz w:val="18"/>
          <w:szCs w:val="18"/>
          <w:lang w:val="es-ES_tradnl"/>
        </w:rPr>
        <w:t xml:space="preserve">culos 11 numeral 5; 75, </w:t>
      </w:r>
      <w:r>
        <w:rPr>
          <w:spacing w:val="-5"/>
          <w:sz w:val="18"/>
          <w:szCs w:val="18"/>
          <w:lang w:val="es-ES_tradnl"/>
        </w:rPr>
        <w:t xml:space="preserve">76 numerales 1 y 7 literales </w:t>
      </w:r>
      <w:r>
        <w:rPr>
          <w:b/>
          <w:bCs/>
          <w:spacing w:val="-5"/>
          <w:sz w:val="18"/>
          <w:szCs w:val="18"/>
          <w:lang w:val="es-ES_tradnl"/>
        </w:rPr>
        <w:t>a</w:t>
      </w:r>
      <w:r>
        <w:rPr>
          <w:spacing w:val="-5"/>
          <w:sz w:val="18"/>
          <w:szCs w:val="18"/>
          <w:lang w:val="es-ES_tradnl"/>
        </w:rPr>
        <w:t xml:space="preserve">, </w:t>
      </w:r>
      <w:r>
        <w:rPr>
          <w:b/>
          <w:bCs/>
          <w:spacing w:val="-5"/>
          <w:sz w:val="18"/>
          <w:szCs w:val="18"/>
          <w:lang w:val="es-ES_tradnl"/>
        </w:rPr>
        <w:t>m</w:t>
      </w:r>
      <w:r>
        <w:rPr>
          <w:spacing w:val="-5"/>
          <w:sz w:val="18"/>
          <w:szCs w:val="18"/>
          <w:lang w:val="es-ES_tradnl"/>
        </w:rPr>
        <w:t xml:space="preserve">; 82, 160 inciso 2; 169 y </w:t>
      </w:r>
      <w:r>
        <w:rPr>
          <w:sz w:val="18"/>
          <w:szCs w:val="18"/>
          <w:lang w:val="es-ES_tradnl"/>
        </w:rPr>
        <w:t>226 de 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AD42" w14:textId="77777777" w:rsidR="00591D54" w:rsidRDefault="00591D54">
      <w:pPr>
        <w:shd w:val="clear" w:color="auto" w:fill="FFFFFF"/>
        <w:spacing w:before="197" w:line="216" w:lineRule="exact"/>
        <w:jc w:val="both"/>
      </w:pPr>
      <w:r>
        <w:rPr>
          <w:spacing w:val="-4"/>
          <w:sz w:val="18"/>
          <w:szCs w:val="18"/>
          <w:lang w:val="es-ES_tradnl"/>
        </w:rPr>
        <w:t xml:space="preserve">El accionante, Jaime Cevallos </w:t>
      </w:r>
      <w:r>
        <w:rPr>
          <w:rFonts w:cs="Times New Roman"/>
          <w:spacing w:val="-4"/>
          <w:sz w:val="18"/>
          <w:szCs w:val="18"/>
          <w:lang w:val="es-ES_tradnl"/>
        </w:rPr>
        <w:t>Á</w:t>
      </w:r>
      <w:r>
        <w:rPr>
          <w:spacing w:val="-4"/>
          <w:sz w:val="18"/>
          <w:szCs w:val="18"/>
          <w:lang w:val="es-ES_tradnl"/>
        </w:rPr>
        <w:t xml:space="preserve">lvarez, en calidad de </w:t>
      </w:r>
      <w:r>
        <w:rPr>
          <w:spacing w:val="-7"/>
          <w:sz w:val="18"/>
          <w:szCs w:val="18"/>
          <w:lang w:val="es-ES_tradnl"/>
        </w:rPr>
        <w:t>director regional 1 de la Procuradur</w:t>
      </w:r>
      <w:r>
        <w:rPr>
          <w:rFonts w:cs="Times New Roman"/>
          <w:spacing w:val="-7"/>
          <w:sz w:val="18"/>
          <w:szCs w:val="18"/>
          <w:lang w:val="es-ES_tradnl"/>
        </w:rPr>
        <w:t>í</w:t>
      </w:r>
      <w:r>
        <w:rPr>
          <w:spacing w:val="-7"/>
          <w:sz w:val="18"/>
          <w:szCs w:val="18"/>
          <w:lang w:val="es-ES_tradnl"/>
        </w:rPr>
        <w:t xml:space="preserve">a General del Estado, </w:t>
      </w:r>
      <w:r>
        <w:rPr>
          <w:spacing w:val="-4"/>
          <w:sz w:val="18"/>
          <w:szCs w:val="18"/>
          <w:lang w:val="es-ES_tradnl"/>
        </w:rPr>
        <w:t xml:space="preserve">considera vulnerados los derechos constitucionales </w:t>
      </w:r>
      <w:r>
        <w:rPr>
          <w:spacing w:val="-6"/>
          <w:sz w:val="18"/>
          <w:szCs w:val="18"/>
          <w:lang w:val="es-ES_tradnl"/>
        </w:rPr>
        <w:t>contenidos en los art</w:t>
      </w:r>
      <w:r>
        <w:rPr>
          <w:rFonts w:cs="Times New Roman"/>
          <w:spacing w:val="-6"/>
          <w:sz w:val="18"/>
          <w:szCs w:val="18"/>
          <w:lang w:val="es-ES_tradnl"/>
        </w:rPr>
        <w:t>í</w:t>
      </w:r>
      <w:r>
        <w:rPr>
          <w:spacing w:val="-6"/>
          <w:sz w:val="18"/>
          <w:szCs w:val="18"/>
          <w:lang w:val="es-ES_tradnl"/>
        </w:rPr>
        <w:t xml:space="preserve">culos 11 numeral 9; 75, 76 numeral </w:t>
      </w:r>
      <w:r>
        <w:rPr>
          <w:spacing w:val="-5"/>
          <w:sz w:val="18"/>
          <w:szCs w:val="18"/>
          <w:lang w:val="es-ES_tradnl"/>
        </w:rPr>
        <w:t>n</w:t>
      </w:r>
      <w:r>
        <w:rPr>
          <w:rFonts w:cs="Times New Roman"/>
          <w:spacing w:val="-5"/>
          <w:sz w:val="18"/>
          <w:szCs w:val="18"/>
          <w:lang w:val="es-ES_tradnl"/>
        </w:rPr>
        <w:t>ú</w:t>
      </w:r>
      <w:r>
        <w:rPr>
          <w:spacing w:val="-5"/>
          <w:sz w:val="18"/>
          <w:szCs w:val="18"/>
          <w:lang w:val="es-ES_tradnl"/>
        </w:rPr>
        <w:t>mero 1 y 7 literales a) y m); 82; 169 de la Constituci</w:t>
      </w:r>
      <w:r>
        <w:rPr>
          <w:rFonts w:cs="Times New Roman"/>
          <w:spacing w:val="-5"/>
          <w:sz w:val="18"/>
          <w:szCs w:val="18"/>
          <w:lang w:val="es-ES_tradnl"/>
        </w:rPr>
        <w:t>ó</w:t>
      </w:r>
      <w:r>
        <w:rPr>
          <w:spacing w:val="-5"/>
          <w:sz w:val="18"/>
          <w:szCs w:val="18"/>
          <w:lang w:val="es-ES_tradnl"/>
        </w:rPr>
        <w:t xml:space="preserve">n </w:t>
      </w:r>
      <w:r>
        <w:rPr>
          <w:sz w:val="18"/>
          <w:szCs w:val="18"/>
          <w:lang w:val="es-ES_tradnl"/>
        </w:rPr>
        <w:t>de la Rep</w:t>
      </w:r>
      <w:r>
        <w:rPr>
          <w:rFonts w:cs="Times New Roman"/>
          <w:sz w:val="18"/>
          <w:szCs w:val="18"/>
          <w:lang w:val="es-ES_tradnl"/>
        </w:rPr>
        <w:t>ú</w:t>
      </w:r>
      <w:r>
        <w:rPr>
          <w:sz w:val="18"/>
          <w:szCs w:val="18"/>
          <w:lang w:val="es-ES_tradnl"/>
        </w:rPr>
        <w:t>blica.</w:t>
      </w:r>
    </w:p>
    <w:p w14:paraId="4F67AD43" w14:textId="77777777" w:rsidR="00591D54" w:rsidRDefault="00591D54">
      <w:pPr>
        <w:shd w:val="clear" w:color="auto" w:fill="FFFFFF"/>
        <w:spacing w:before="192"/>
      </w:pPr>
      <w:r>
        <w:rPr>
          <w:b/>
          <w:bCs/>
          <w:spacing w:val="-10"/>
          <w:sz w:val="18"/>
          <w:szCs w:val="18"/>
          <w:lang w:val="es-ES_tradnl"/>
        </w:rPr>
        <w:t>Pretensi</w:t>
      </w:r>
      <w:r>
        <w:rPr>
          <w:rFonts w:cs="Times New Roman"/>
          <w:b/>
          <w:bCs/>
          <w:spacing w:val="-10"/>
          <w:sz w:val="18"/>
          <w:szCs w:val="18"/>
          <w:lang w:val="es-ES_tradnl"/>
        </w:rPr>
        <w:t>ó</w:t>
      </w:r>
      <w:r>
        <w:rPr>
          <w:b/>
          <w:bCs/>
          <w:spacing w:val="-10"/>
          <w:sz w:val="18"/>
          <w:szCs w:val="18"/>
          <w:lang w:val="es-ES_tradnl"/>
        </w:rPr>
        <w:t>n concreta</w:t>
      </w:r>
    </w:p>
    <w:p w14:paraId="4F67AD44" w14:textId="77777777" w:rsidR="00591D54" w:rsidRDefault="00591D54">
      <w:pPr>
        <w:shd w:val="clear" w:color="auto" w:fill="FFFFFF"/>
        <w:spacing w:before="202" w:line="216" w:lineRule="exact"/>
        <w:jc w:val="both"/>
      </w:pPr>
      <w:r>
        <w:rPr>
          <w:spacing w:val="-6"/>
          <w:sz w:val="18"/>
          <w:szCs w:val="18"/>
          <w:lang w:val="es-ES_tradnl"/>
        </w:rPr>
        <w:t>La pretensi</w:t>
      </w:r>
      <w:r>
        <w:rPr>
          <w:rFonts w:cs="Times New Roman"/>
          <w:spacing w:val="-6"/>
          <w:sz w:val="18"/>
          <w:szCs w:val="18"/>
          <w:lang w:val="es-ES_tradnl"/>
        </w:rPr>
        <w:t>ó</w:t>
      </w:r>
      <w:r>
        <w:rPr>
          <w:spacing w:val="-6"/>
          <w:sz w:val="18"/>
          <w:szCs w:val="18"/>
          <w:lang w:val="es-ES_tradnl"/>
        </w:rPr>
        <w:t xml:space="preserve">n concreta del accionante, </w:t>
      </w:r>
      <w:r>
        <w:rPr>
          <w:rFonts w:cs="Times New Roman"/>
          <w:spacing w:val="-6"/>
          <w:sz w:val="18"/>
          <w:szCs w:val="18"/>
          <w:lang w:val="es-ES_tradnl"/>
        </w:rPr>
        <w:t>Á</w:t>
      </w:r>
      <w:r>
        <w:rPr>
          <w:spacing w:val="-6"/>
          <w:sz w:val="18"/>
          <w:szCs w:val="18"/>
          <w:lang w:val="es-ES_tradnl"/>
        </w:rPr>
        <w:t xml:space="preserve">ngel Sarzosa </w:t>
      </w:r>
      <w:r>
        <w:rPr>
          <w:spacing w:val="-5"/>
          <w:sz w:val="18"/>
          <w:szCs w:val="18"/>
          <w:lang w:val="es-ES_tradnl"/>
        </w:rPr>
        <w:t xml:space="preserve">Aguirre, director general de Recursos Humanos de la </w:t>
      </w:r>
      <w:r>
        <w:rPr>
          <w:spacing w:val="-8"/>
          <w:sz w:val="18"/>
          <w:szCs w:val="18"/>
          <w:lang w:val="es-ES_tradnl"/>
        </w:rPr>
        <w:t>Armada, es que se declare la vulneraci</w:t>
      </w:r>
      <w:r>
        <w:rPr>
          <w:rFonts w:cs="Times New Roman"/>
          <w:spacing w:val="-8"/>
          <w:sz w:val="18"/>
          <w:szCs w:val="18"/>
          <w:lang w:val="es-ES_tradnl"/>
        </w:rPr>
        <w:t>ó</w:t>
      </w:r>
      <w:r>
        <w:rPr>
          <w:spacing w:val="-8"/>
          <w:sz w:val="18"/>
          <w:szCs w:val="18"/>
          <w:lang w:val="es-ES_tradnl"/>
        </w:rPr>
        <w:t xml:space="preserve">n de los derechos </w:t>
      </w:r>
      <w:r>
        <w:rPr>
          <w:sz w:val="18"/>
          <w:szCs w:val="18"/>
          <w:lang w:val="es-ES_tradnl"/>
        </w:rPr>
        <w:t xml:space="preserve">constitucionales al debido proceso, a la seguridad </w:t>
      </w:r>
      <w:r>
        <w:rPr>
          <w:spacing w:val="-5"/>
          <w:sz w:val="18"/>
          <w:szCs w:val="18"/>
          <w:lang w:val="es-ES_tradnl"/>
        </w:rPr>
        <w:t>jur</w:t>
      </w:r>
      <w:r>
        <w:rPr>
          <w:rFonts w:cs="Times New Roman"/>
          <w:spacing w:val="-5"/>
          <w:sz w:val="18"/>
          <w:szCs w:val="18"/>
          <w:lang w:val="es-ES_tradnl"/>
        </w:rPr>
        <w:t>í</w:t>
      </w:r>
      <w:r>
        <w:rPr>
          <w:spacing w:val="-5"/>
          <w:sz w:val="18"/>
          <w:szCs w:val="18"/>
          <w:lang w:val="es-ES_tradnl"/>
        </w:rPr>
        <w:t xml:space="preserve">dica, a la tutela judicial efectiva; que se revoquen las </w:t>
      </w:r>
      <w:r>
        <w:rPr>
          <w:spacing w:val="-6"/>
          <w:sz w:val="18"/>
          <w:szCs w:val="18"/>
          <w:lang w:val="es-ES_tradnl"/>
        </w:rPr>
        <w:t>sentencias expedidas tanto por la jueza Sexta de la Ni</w:t>
      </w:r>
      <w:r>
        <w:rPr>
          <w:rFonts w:cs="Times New Roman"/>
          <w:spacing w:val="-6"/>
          <w:sz w:val="18"/>
          <w:szCs w:val="18"/>
          <w:lang w:val="es-ES_tradnl"/>
        </w:rPr>
        <w:t>ñ</w:t>
      </w:r>
      <w:r>
        <w:rPr>
          <w:spacing w:val="-6"/>
          <w:sz w:val="18"/>
          <w:szCs w:val="18"/>
          <w:lang w:val="es-ES_tradnl"/>
        </w:rPr>
        <w:t xml:space="preserve">ez </w:t>
      </w:r>
      <w:r>
        <w:rPr>
          <w:spacing w:val="-8"/>
          <w:sz w:val="18"/>
          <w:szCs w:val="18"/>
          <w:lang w:val="es-ES_tradnl"/>
        </w:rPr>
        <w:t xml:space="preserve">y Adolescencia del Guayas el 28 de agosto de 2012 a las </w:t>
      </w:r>
      <w:r>
        <w:rPr>
          <w:spacing w:val="-7"/>
          <w:sz w:val="18"/>
          <w:szCs w:val="18"/>
          <w:lang w:val="es-ES_tradnl"/>
        </w:rPr>
        <w:t>10:26, as</w:t>
      </w:r>
      <w:r>
        <w:rPr>
          <w:rFonts w:cs="Times New Roman"/>
          <w:spacing w:val="-7"/>
          <w:sz w:val="18"/>
          <w:szCs w:val="18"/>
          <w:lang w:val="es-ES_tradnl"/>
        </w:rPr>
        <w:t>í</w:t>
      </w:r>
      <w:r>
        <w:rPr>
          <w:spacing w:val="-7"/>
          <w:sz w:val="18"/>
          <w:szCs w:val="18"/>
          <w:lang w:val="es-ES_tradnl"/>
        </w:rPr>
        <w:t xml:space="preserve"> como tambi</w:t>
      </w:r>
      <w:r>
        <w:rPr>
          <w:rFonts w:cs="Times New Roman"/>
          <w:spacing w:val="-7"/>
          <w:sz w:val="18"/>
          <w:szCs w:val="18"/>
          <w:lang w:val="es-ES_tradnl"/>
        </w:rPr>
        <w:t>é</w:t>
      </w:r>
      <w:r>
        <w:rPr>
          <w:spacing w:val="-7"/>
          <w:sz w:val="18"/>
          <w:szCs w:val="18"/>
          <w:lang w:val="es-ES_tradnl"/>
        </w:rPr>
        <w:t xml:space="preserve">n por la Tercera Sala de lo Penal, </w:t>
      </w:r>
      <w:r>
        <w:rPr>
          <w:spacing w:val="-6"/>
          <w:sz w:val="18"/>
          <w:szCs w:val="18"/>
          <w:lang w:val="es-ES_tradnl"/>
        </w:rPr>
        <w:t>Colusorio y Tr</w:t>
      </w:r>
      <w:r>
        <w:rPr>
          <w:rFonts w:cs="Times New Roman"/>
          <w:spacing w:val="-6"/>
          <w:sz w:val="18"/>
          <w:szCs w:val="18"/>
          <w:lang w:val="es-ES_tradnl"/>
        </w:rPr>
        <w:t>á</w:t>
      </w:r>
      <w:r>
        <w:rPr>
          <w:spacing w:val="-6"/>
          <w:sz w:val="18"/>
          <w:szCs w:val="18"/>
          <w:lang w:val="es-ES_tradnl"/>
        </w:rPr>
        <w:t xml:space="preserve">nsito de la Corte Provincial de Justicia del </w:t>
      </w:r>
      <w:r>
        <w:rPr>
          <w:spacing w:val="-10"/>
          <w:sz w:val="18"/>
          <w:szCs w:val="18"/>
          <w:lang w:val="es-ES_tradnl"/>
        </w:rPr>
        <w:t xml:space="preserve">Guayas el 31 de octubre de 2012 a las 16:33, declarando de </w:t>
      </w:r>
      <w:r>
        <w:rPr>
          <w:spacing w:val="-6"/>
          <w:sz w:val="18"/>
          <w:szCs w:val="18"/>
          <w:lang w:val="es-ES_tradnl"/>
        </w:rPr>
        <w:t xml:space="preserve">este modo </w:t>
      </w:r>
      <w:r>
        <w:rPr>
          <w:rFonts w:cs="Times New Roman"/>
          <w:spacing w:val="-6"/>
          <w:sz w:val="18"/>
          <w:szCs w:val="18"/>
          <w:lang w:val="es-ES_tradnl"/>
        </w:rPr>
        <w:t>“</w:t>
      </w:r>
      <w:r>
        <w:rPr>
          <w:spacing w:val="-6"/>
          <w:sz w:val="18"/>
          <w:szCs w:val="18"/>
          <w:lang w:val="es-ES_tradnl"/>
        </w:rPr>
        <w:t>improcedente y que se deje sin efecto jur</w:t>
      </w:r>
      <w:r>
        <w:rPr>
          <w:rFonts w:cs="Times New Roman"/>
          <w:spacing w:val="-6"/>
          <w:sz w:val="18"/>
          <w:szCs w:val="18"/>
          <w:lang w:val="es-ES_tradnl"/>
        </w:rPr>
        <w:t>í</w:t>
      </w:r>
      <w:r>
        <w:rPr>
          <w:spacing w:val="-6"/>
          <w:sz w:val="18"/>
          <w:szCs w:val="18"/>
          <w:lang w:val="es-ES_tradnl"/>
        </w:rPr>
        <w:t xml:space="preserve">dico </w:t>
      </w:r>
      <w:r>
        <w:rPr>
          <w:sz w:val="18"/>
          <w:szCs w:val="18"/>
          <w:lang w:val="es-ES_tradnl"/>
        </w:rPr>
        <w:t>la acci</w:t>
      </w:r>
      <w:r>
        <w:rPr>
          <w:rFonts w:cs="Times New Roman"/>
          <w:sz w:val="18"/>
          <w:szCs w:val="18"/>
          <w:lang w:val="es-ES_tradnl"/>
        </w:rPr>
        <w:t>ó</w:t>
      </w:r>
      <w:r>
        <w:rPr>
          <w:sz w:val="18"/>
          <w:szCs w:val="18"/>
          <w:lang w:val="es-ES_tradnl"/>
        </w:rPr>
        <w:t>n de protecci</w:t>
      </w:r>
      <w:r>
        <w:rPr>
          <w:rFonts w:cs="Times New Roman"/>
          <w:sz w:val="18"/>
          <w:szCs w:val="18"/>
          <w:lang w:val="es-ES_tradnl"/>
        </w:rPr>
        <w:t>ó</w:t>
      </w:r>
      <w:r>
        <w:rPr>
          <w:sz w:val="18"/>
          <w:szCs w:val="18"/>
          <w:lang w:val="es-ES_tradnl"/>
        </w:rPr>
        <w:t>n propuesta (...)</w:t>
      </w:r>
      <w:r>
        <w:rPr>
          <w:rFonts w:cs="Times New Roman"/>
          <w:sz w:val="18"/>
          <w:szCs w:val="18"/>
          <w:lang w:val="es-ES_tradnl"/>
        </w:rPr>
        <w:t>”</w:t>
      </w:r>
      <w:r>
        <w:rPr>
          <w:sz w:val="18"/>
          <w:szCs w:val="18"/>
          <w:lang w:val="es-ES_tradnl"/>
        </w:rPr>
        <w:t>.</w:t>
      </w:r>
    </w:p>
    <w:p w14:paraId="4F67AD45" w14:textId="77777777" w:rsidR="00591D54" w:rsidRDefault="00591D54">
      <w:pPr>
        <w:shd w:val="clear" w:color="auto" w:fill="FFFFFF"/>
        <w:spacing w:before="202" w:line="216" w:lineRule="exact"/>
        <w:jc w:val="both"/>
      </w:pPr>
      <w:r>
        <w:rPr>
          <w:spacing w:val="-6"/>
          <w:sz w:val="18"/>
          <w:szCs w:val="18"/>
          <w:lang w:val="es-ES_tradnl"/>
        </w:rPr>
        <w:t xml:space="preserve">Por su parte, el accionante, Jaime Cevallos </w:t>
      </w:r>
      <w:r>
        <w:rPr>
          <w:rFonts w:cs="Times New Roman"/>
          <w:spacing w:val="-6"/>
          <w:sz w:val="18"/>
          <w:szCs w:val="18"/>
          <w:lang w:val="es-ES_tradnl"/>
        </w:rPr>
        <w:t>Á</w:t>
      </w:r>
      <w:r>
        <w:rPr>
          <w:spacing w:val="-6"/>
          <w:sz w:val="18"/>
          <w:szCs w:val="18"/>
          <w:lang w:val="es-ES_tradnl"/>
        </w:rPr>
        <w:t>lvarez, en calidad de director regional 1 de la Procuradur</w:t>
      </w:r>
      <w:r>
        <w:rPr>
          <w:rFonts w:cs="Times New Roman"/>
          <w:spacing w:val="-6"/>
          <w:sz w:val="18"/>
          <w:szCs w:val="18"/>
          <w:lang w:val="es-ES_tradnl"/>
        </w:rPr>
        <w:t>í</w:t>
      </w:r>
      <w:r>
        <w:rPr>
          <w:spacing w:val="-6"/>
          <w:sz w:val="18"/>
          <w:szCs w:val="18"/>
          <w:lang w:val="es-ES_tradnl"/>
        </w:rPr>
        <w:t>a General del Estado, solicita que se declare la vulneraci</w:t>
      </w:r>
      <w:r>
        <w:rPr>
          <w:rFonts w:cs="Times New Roman"/>
          <w:spacing w:val="-6"/>
          <w:sz w:val="18"/>
          <w:szCs w:val="18"/>
          <w:lang w:val="es-ES_tradnl"/>
        </w:rPr>
        <w:t>ó</w:t>
      </w:r>
      <w:r>
        <w:rPr>
          <w:spacing w:val="-6"/>
          <w:sz w:val="18"/>
          <w:szCs w:val="18"/>
          <w:lang w:val="es-ES_tradnl"/>
        </w:rPr>
        <w:t xml:space="preserve">n de los </w:t>
      </w:r>
      <w:r>
        <w:rPr>
          <w:spacing w:val="-7"/>
          <w:sz w:val="18"/>
          <w:szCs w:val="18"/>
          <w:lang w:val="es-ES_tradnl"/>
        </w:rPr>
        <w:t xml:space="preserve">derechos constitucionales al debido proceso y a la tutela judicial efectiva; que se declare </w:t>
      </w:r>
      <w:r>
        <w:rPr>
          <w:rFonts w:cs="Times New Roman"/>
          <w:spacing w:val="-7"/>
          <w:sz w:val="18"/>
          <w:szCs w:val="18"/>
          <w:lang w:val="es-ES_tradnl"/>
        </w:rPr>
        <w:t>“</w:t>
      </w:r>
      <w:r>
        <w:rPr>
          <w:spacing w:val="-7"/>
          <w:sz w:val="18"/>
          <w:szCs w:val="18"/>
          <w:lang w:val="es-ES_tradnl"/>
        </w:rPr>
        <w:t>contraria a la Constituci</w:t>
      </w:r>
      <w:r>
        <w:rPr>
          <w:rFonts w:cs="Times New Roman"/>
          <w:spacing w:val="-7"/>
          <w:sz w:val="18"/>
          <w:szCs w:val="18"/>
          <w:lang w:val="es-ES_tradnl"/>
        </w:rPr>
        <w:t>ó</w:t>
      </w:r>
      <w:r>
        <w:rPr>
          <w:spacing w:val="-7"/>
          <w:sz w:val="18"/>
          <w:szCs w:val="18"/>
          <w:lang w:val="es-ES_tradnl"/>
        </w:rPr>
        <w:t xml:space="preserve">n </w:t>
      </w:r>
      <w:r>
        <w:rPr>
          <w:sz w:val="18"/>
          <w:szCs w:val="18"/>
          <w:lang w:val="es-ES_tradnl"/>
        </w:rPr>
        <w:t>y al orden jur</w:t>
      </w:r>
      <w:r>
        <w:rPr>
          <w:rFonts w:cs="Times New Roman"/>
          <w:sz w:val="18"/>
          <w:szCs w:val="18"/>
          <w:lang w:val="es-ES_tradnl"/>
        </w:rPr>
        <w:t>í</w:t>
      </w:r>
      <w:r>
        <w:rPr>
          <w:sz w:val="18"/>
          <w:szCs w:val="18"/>
          <w:lang w:val="es-ES_tradnl"/>
        </w:rPr>
        <w:t>dico y en consecuencia dejar sin efecto</w:t>
      </w:r>
    </w:p>
    <w:p w14:paraId="4F67AD46" w14:textId="77777777" w:rsidR="00591D54" w:rsidRDefault="00591D54">
      <w:pPr>
        <w:shd w:val="clear" w:color="auto" w:fill="FFFFFF"/>
        <w:spacing w:line="216" w:lineRule="exact"/>
        <w:jc w:val="both"/>
      </w:pPr>
      <w:r>
        <w:br w:type="column"/>
      </w:r>
      <w:r>
        <w:rPr>
          <w:spacing w:val="-8"/>
          <w:sz w:val="18"/>
          <w:szCs w:val="18"/>
          <w:lang w:val="es-ES_tradnl"/>
        </w:rPr>
        <w:t>jur</w:t>
      </w:r>
      <w:r>
        <w:rPr>
          <w:rFonts w:cs="Times New Roman"/>
          <w:spacing w:val="-8"/>
          <w:sz w:val="18"/>
          <w:szCs w:val="18"/>
          <w:lang w:val="es-ES_tradnl"/>
        </w:rPr>
        <w:t>í</w:t>
      </w:r>
      <w:r>
        <w:rPr>
          <w:spacing w:val="-8"/>
          <w:sz w:val="18"/>
          <w:szCs w:val="18"/>
          <w:lang w:val="es-ES_tradnl"/>
        </w:rPr>
        <w:t xml:space="preserve">dico la sentencia de primera instancia (...) y, la sentencia </w:t>
      </w:r>
      <w:r>
        <w:rPr>
          <w:spacing w:val="-7"/>
          <w:sz w:val="18"/>
          <w:szCs w:val="18"/>
          <w:lang w:val="es-ES_tradnl"/>
        </w:rPr>
        <w:t>de segunda instancia (...) Declarar improcedente la acci</w:t>
      </w:r>
      <w:r>
        <w:rPr>
          <w:rFonts w:cs="Times New Roman"/>
          <w:spacing w:val="-7"/>
          <w:sz w:val="18"/>
          <w:szCs w:val="18"/>
          <w:lang w:val="es-ES_tradnl"/>
        </w:rPr>
        <w:t>ó</w:t>
      </w:r>
      <w:r>
        <w:rPr>
          <w:spacing w:val="-7"/>
          <w:sz w:val="18"/>
          <w:szCs w:val="18"/>
          <w:lang w:val="es-ES_tradnl"/>
        </w:rPr>
        <w:t xml:space="preserve">n </w:t>
      </w:r>
      <w:r>
        <w:rPr>
          <w:sz w:val="18"/>
          <w:szCs w:val="18"/>
          <w:lang w:val="es-ES_tradnl"/>
        </w:rPr>
        <w:t>de protecci</w:t>
      </w:r>
      <w:r>
        <w:rPr>
          <w:rFonts w:cs="Times New Roman"/>
          <w:sz w:val="18"/>
          <w:szCs w:val="18"/>
          <w:lang w:val="es-ES_tradnl"/>
        </w:rPr>
        <w:t>ó</w:t>
      </w:r>
      <w:r>
        <w:rPr>
          <w:sz w:val="18"/>
          <w:szCs w:val="18"/>
          <w:lang w:val="es-ES_tradnl"/>
        </w:rPr>
        <w:t>n propuesta (...)</w:t>
      </w:r>
      <w:r>
        <w:rPr>
          <w:rFonts w:cs="Times New Roman"/>
          <w:sz w:val="18"/>
          <w:szCs w:val="18"/>
          <w:lang w:val="es-ES_tradnl"/>
        </w:rPr>
        <w:t>”</w:t>
      </w:r>
      <w:r>
        <w:rPr>
          <w:sz w:val="18"/>
          <w:szCs w:val="18"/>
          <w:lang w:val="es-ES_tradnl"/>
        </w:rPr>
        <w:t>.</w:t>
      </w:r>
    </w:p>
    <w:p w14:paraId="4F67AD47" w14:textId="77777777" w:rsidR="00591D54" w:rsidRDefault="00591D54">
      <w:pPr>
        <w:shd w:val="clear" w:color="auto" w:fill="FFFFFF"/>
        <w:spacing w:before="192"/>
      </w:pPr>
      <w:r>
        <w:rPr>
          <w:b/>
          <w:bCs/>
          <w:spacing w:val="-12"/>
          <w:sz w:val="18"/>
          <w:szCs w:val="18"/>
          <w:lang w:val="es-ES_tradnl"/>
        </w:rPr>
        <w:t>Sentencias impugnadas</w:t>
      </w:r>
    </w:p>
    <w:p w14:paraId="4F67AD48" w14:textId="77777777" w:rsidR="00591D54" w:rsidRDefault="00591D54">
      <w:pPr>
        <w:shd w:val="clear" w:color="auto" w:fill="FFFFFF"/>
        <w:spacing w:before="192" w:line="216" w:lineRule="exact"/>
        <w:jc w:val="both"/>
      </w:pPr>
      <w:r>
        <w:rPr>
          <w:spacing w:val="-6"/>
          <w:sz w:val="18"/>
          <w:szCs w:val="18"/>
          <w:lang w:val="es-ES_tradnl"/>
        </w:rPr>
        <w:t>Los legitimados activos formulan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en contra de las sentencias dictadas, tanto por </w:t>
      </w:r>
      <w:r>
        <w:rPr>
          <w:spacing w:val="-5"/>
          <w:sz w:val="18"/>
          <w:szCs w:val="18"/>
          <w:lang w:val="es-ES_tradnl"/>
        </w:rPr>
        <w:t>la jueza Sexta de la Ni</w:t>
      </w:r>
      <w:r>
        <w:rPr>
          <w:rFonts w:cs="Times New Roman"/>
          <w:spacing w:val="-5"/>
          <w:sz w:val="18"/>
          <w:szCs w:val="18"/>
          <w:lang w:val="es-ES_tradnl"/>
        </w:rPr>
        <w:t>ñ</w:t>
      </w:r>
      <w:r>
        <w:rPr>
          <w:spacing w:val="-5"/>
          <w:sz w:val="18"/>
          <w:szCs w:val="18"/>
          <w:lang w:val="es-ES_tradnl"/>
        </w:rPr>
        <w:t xml:space="preserve">ez y Adolescencia del Guayas el </w:t>
      </w:r>
      <w:r>
        <w:rPr>
          <w:spacing w:val="-9"/>
          <w:sz w:val="18"/>
          <w:szCs w:val="18"/>
          <w:lang w:val="es-ES_tradnl"/>
        </w:rPr>
        <w:t xml:space="preserve">28 de agosto de 2012 a las 10:26, como por la Tercera Sala </w:t>
      </w:r>
      <w:r>
        <w:rPr>
          <w:spacing w:val="-6"/>
          <w:sz w:val="18"/>
          <w:szCs w:val="18"/>
          <w:lang w:val="es-ES_tradnl"/>
        </w:rPr>
        <w:t>de lo Penal, Colusorio y Tr</w:t>
      </w:r>
      <w:r>
        <w:rPr>
          <w:rFonts w:cs="Times New Roman"/>
          <w:spacing w:val="-6"/>
          <w:sz w:val="18"/>
          <w:szCs w:val="18"/>
          <w:lang w:val="es-ES_tradnl"/>
        </w:rPr>
        <w:t>á</w:t>
      </w:r>
      <w:r>
        <w:rPr>
          <w:spacing w:val="-6"/>
          <w:sz w:val="18"/>
          <w:szCs w:val="18"/>
          <w:lang w:val="es-ES_tradnl"/>
        </w:rPr>
        <w:t xml:space="preserve">nsito de la Corte Provincial de </w:t>
      </w:r>
      <w:r>
        <w:rPr>
          <w:spacing w:val="-7"/>
          <w:sz w:val="18"/>
          <w:szCs w:val="18"/>
          <w:lang w:val="es-ES_tradnl"/>
        </w:rPr>
        <w:t xml:space="preserve">Justicia del Guayas el 31 de octubre de 2012 a las 16:33, </w:t>
      </w:r>
      <w:r>
        <w:rPr>
          <w:spacing w:val="-5"/>
          <w:sz w:val="18"/>
          <w:szCs w:val="18"/>
          <w:lang w:val="es-ES_tradnl"/>
        </w:rPr>
        <w:t>dentro de la acci</w:t>
      </w:r>
      <w:r>
        <w:rPr>
          <w:rFonts w:cs="Times New Roman"/>
          <w:spacing w:val="-5"/>
          <w:sz w:val="18"/>
          <w:szCs w:val="18"/>
          <w:lang w:val="es-ES_tradnl"/>
        </w:rPr>
        <w:t>ó</w:t>
      </w:r>
      <w:r>
        <w:rPr>
          <w:spacing w:val="-5"/>
          <w:sz w:val="18"/>
          <w:szCs w:val="18"/>
          <w:lang w:val="es-ES_tradnl"/>
        </w:rPr>
        <w:t>n de protecci</w:t>
      </w:r>
      <w:r>
        <w:rPr>
          <w:rFonts w:cs="Times New Roman"/>
          <w:spacing w:val="-5"/>
          <w:sz w:val="18"/>
          <w:szCs w:val="18"/>
          <w:lang w:val="es-ES_tradnl"/>
        </w:rPr>
        <w:t>ó</w:t>
      </w:r>
      <w:r>
        <w:rPr>
          <w:spacing w:val="-5"/>
          <w:sz w:val="18"/>
          <w:szCs w:val="18"/>
          <w:lang w:val="es-ES_tradnl"/>
        </w:rPr>
        <w:t>n N.</w:t>
      </w:r>
      <w:r>
        <w:rPr>
          <w:rFonts w:cs="Times New Roman"/>
          <w:spacing w:val="-5"/>
          <w:sz w:val="18"/>
          <w:szCs w:val="18"/>
          <w:lang w:val="es-ES_tradnl"/>
        </w:rPr>
        <w:t>º</w:t>
      </w:r>
      <w:r>
        <w:rPr>
          <w:spacing w:val="-5"/>
          <w:sz w:val="18"/>
          <w:szCs w:val="18"/>
          <w:lang w:val="es-ES_tradnl"/>
        </w:rPr>
        <w:t xml:space="preserve"> 0412-2012/0719-</w:t>
      </w:r>
      <w:r>
        <w:rPr>
          <w:spacing w:val="-8"/>
          <w:sz w:val="18"/>
          <w:szCs w:val="18"/>
          <w:lang w:val="es-ES_tradnl"/>
        </w:rPr>
        <w:t>2012, cuya parte pertinente es la siguiente:</w:t>
      </w:r>
    </w:p>
    <w:p w14:paraId="4F67AD49" w14:textId="77777777" w:rsidR="00591D54" w:rsidRDefault="00591D54">
      <w:pPr>
        <w:shd w:val="clear" w:color="auto" w:fill="FFFFFF"/>
        <w:spacing w:before="192"/>
      </w:pPr>
      <w:r>
        <w:rPr>
          <w:b/>
          <w:bCs/>
          <w:spacing w:val="-9"/>
          <w:sz w:val="18"/>
          <w:szCs w:val="18"/>
          <w:lang w:val="es-ES_tradnl"/>
        </w:rPr>
        <w:t>Sentencia de primera instancia</w:t>
      </w:r>
    </w:p>
    <w:p w14:paraId="4F67AD4A" w14:textId="77777777" w:rsidR="00591D54" w:rsidRDefault="00591D54">
      <w:pPr>
        <w:shd w:val="clear" w:color="auto" w:fill="FFFFFF"/>
        <w:spacing w:before="206" w:line="216" w:lineRule="exact"/>
        <w:ind w:left="283"/>
        <w:jc w:val="both"/>
      </w:pPr>
      <w:r>
        <w:rPr>
          <w:b/>
          <w:bCs/>
          <w:sz w:val="16"/>
          <w:szCs w:val="16"/>
          <w:lang w:val="es-ES_tradnl"/>
        </w:rPr>
        <w:t>JUZGADO SEXTO DE NI</w:t>
      </w:r>
      <w:r>
        <w:rPr>
          <w:rFonts w:cs="Times New Roman"/>
          <w:b/>
          <w:bCs/>
          <w:sz w:val="16"/>
          <w:szCs w:val="16"/>
          <w:lang w:val="es-ES_tradnl"/>
        </w:rPr>
        <w:t>Ñ</w:t>
      </w:r>
      <w:r>
        <w:rPr>
          <w:b/>
          <w:bCs/>
          <w:sz w:val="16"/>
          <w:szCs w:val="16"/>
          <w:lang w:val="es-ES_tradnl"/>
        </w:rPr>
        <w:t xml:space="preserve">EZ Y ADOLESCENCIA DE </w:t>
      </w:r>
      <w:r>
        <w:rPr>
          <w:b/>
          <w:bCs/>
          <w:spacing w:val="-7"/>
          <w:sz w:val="16"/>
          <w:szCs w:val="16"/>
          <w:lang w:val="es-ES_tradnl"/>
        </w:rPr>
        <w:t xml:space="preserve">GUAYAS </w:t>
      </w:r>
      <w:r>
        <w:rPr>
          <w:spacing w:val="-7"/>
          <w:sz w:val="16"/>
          <w:szCs w:val="16"/>
          <w:lang w:val="es-ES_tradnl"/>
        </w:rPr>
        <w:t>. Guayaquil, martes 28 de agosto del 2012, a las 10h26. VISTOS: (...) CUARTO.- (...) habi</w:t>
      </w:r>
      <w:r>
        <w:rPr>
          <w:rFonts w:cs="Times New Roman"/>
          <w:spacing w:val="-7"/>
          <w:sz w:val="16"/>
          <w:szCs w:val="16"/>
          <w:lang w:val="es-ES_tradnl"/>
        </w:rPr>
        <w:t>é</w:t>
      </w:r>
      <w:r>
        <w:rPr>
          <w:spacing w:val="-7"/>
          <w:sz w:val="16"/>
          <w:szCs w:val="16"/>
          <w:lang w:val="es-ES_tradnl"/>
        </w:rPr>
        <w:t xml:space="preserve">ndose convocado a </w:t>
      </w:r>
      <w:r>
        <w:rPr>
          <w:spacing w:val="-10"/>
          <w:sz w:val="16"/>
          <w:szCs w:val="16"/>
          <w:lang w:val="es-ES_tradnl"/>
        </w:rPr>
        <w:t>las partes a una Audiencia P</w:t>
      </w:r>
      <w:r>
        <w:rPr>
          <w:rFonts w:cs="Times New Roman"/>
          <w:spacing w:val="-10"/>
          <w:sz w:val="16"/>
          <w:szCs w:val="16"/>
          <w:lang w:val="es-ES_tradnl"/>
        </w:rPr>
        <w:t>ú</w:t>
      </w:r>
      <w:r>
        <w:rPr>
          <w:spacing w:val="-10"/>
          <w:sz w:val="16"/>
          <w:szCs w:val="16"/>
          <w:lang w:val="es-ES_tradnl"/>
        </w:rPr>
        <w:t xml:space="preserve">blica en la cual la parte accionada, </w:t>
      </w:r>
      <w:r>
        <w:rPr>
          <w:spacing w:val="-7"/>
          <w:sz w:val="16"/>
          <w:szCs w:val="16"/>
          <w:lang w:val="es-ES_tradnl"/>
        </w:rPr>
        <w:t>en ejercicio de su leg</w:t>
      </w:r>
      <w:r>
        <w:rPr>
          <w:rFonts w:cs="Times New Roman"/>
          <w:spacing w:val="-7"/>
          <w:sz w:val="16"/>
          <w:szCs w:val="16"/>
          <w:lang w:val="es-ES_tradnl"/>
        </w:rPr>
        <w:t>í</w:t>
      </w:r>
      <w:r>
        <w:rPr>
          <w:spacing w:val="-7"/>
          <w:sz w:val="16"/>
          <w:szCs w:val="16"/>
          <w:lang w:val="es-ES_tradnl"/>
        </w:rPr>
        <w:t>timo derecho de defensa deb</w:t>
      </w:r>
      <w:r>
        <w:rPr>
          <w:rFonts w:cs="Times New Roman"/>
          <w:spacing w:val="-7"/>
          <w:sz w:val="16"/>
          <w:szCs w:val="16"/>
          <w:lang w:val="es-ES_tradnl"/>
        </w:rPr>
        <w:t>í</w:t>
      </w:r>
      <w:r>
        <w:rPr>
          <w:spacing w:val="-7"/>
          <w:sz w:val="16"/>
          <w:szCs w:val="16"/>
          <w:lang w:val="es-ES_tradnl"/>
        </w:rPr>
        <w:t xml:space="preserve">a esgrimir </w:t>
      </w:r>
      <w:r>
        <w:rPr>
          <w:spacing w:val="-9"/>
          <w:sz w:val="16"/>
          <w:szCs w:val="16"/>
          <w:lang w:val="es-ES_tradnl"/>
        </w:rPr>
        <w:t>los fundamentos de su oposici</w:t>
      </w:r>
      <w:r>
        <w:rPr>
          <w:rFonts w:cs="Times New Roman"/>
          <w:spacing w:val="-9"/>
          <w:sz w:val="16"/>
          <w:szCs w:val="16"/>
          <w:lang w:val="es-ES_tradnl"/>
        </w:rPr>
        <w:t>ó</w:t>
      </w:r>
      <w:r>
        <w:rPr>
          <w:spacing w:val="-9"/>
          <w:sz w:val="16"/>
          <w:szCs w:val="16"/>
          <w:lang w:val="es-ES_tradnl"/>
        </w:rPr>
        <w:t>n a la pretensi</w:t>
      </w:r>
      <w:r>
        <w:rPr>
          <w:rFonts w:cs="Times New Roman"/>
          <w:spacing w:val="-9"/>
          <w:sz w:val="16"/>
          <w:szCs w:val="16"/>
          <w:lang w:val="es-ES_tradnl"/>
        </w:rPr>
        <w:t>ó</w:t>
      </w:r>
      <w:r>
        <w:rPr>
          <w:spacing w:val="-9"/>
          <w:sz w:val="16"/>
          <w:szCs w:val="16"/>
          <w:lang w:val="es-ES_tradnl"/>
        </w:rPr>
        <w:t xml:space="preserve">n del accionante </w:t>
      </w:r>
      <w:r>
        <w:rPr>
          <w:spacing w:val="-8"/>
          <w:sz w:val="16"/>
          <w:szCs w:val="16"/>
          <w:lang w:val="es-ES_tradnl"/>
        </w:rPr>
        <w:t xml:space="preserve">contenida en su demanda, de ser escuchados en el momento </w:t>
      </w:r>
      <w:r>
        <w:rPr>
          <w:spacing w:val="-3"/>
          <w:sz w:val="16"/>
          <w:szCs w:val="16"/>
          <w:lang w:val="es-ES_tradnl"/>
        </w:rPr>
        <w:t xml:space="preserve">oportuno y en igualdad de condiciones, a pesar de lo cual </w:t>
      </w:r>
      <w:r>
        <w:rPr>
          <w:spacing w:val="-7"/>
          <w:sz w:val="16"/>
          <w:szCs w:val="16"/>
          <w:lang w:val="es-ES_tradnl"/>
        </w:rPr>
        <w:t xml:space="preserve">no comparecieron no obstante haber sido legalmente citados </w:t>
      </w:r>
      <w:r>
        <w:rPr>
          <w:spacing w:val="-8"/>
          <w:sz w:val="16"/>
          <w:szCs w:val="16"/>
          <w:lang w:val="es-ES_tradnl"/>
        </w:rPr>
        <w:t xml:space="preserve">conforme consta de autos y haber expuesto sus fundamentos </w:t>
      </w:r>
      <w:r>
        <w:rPr>
          <w:spacing w:val="-7"/>
          <w:sz w:val="16"/>
          <w:szCs w:val="16"/>
          <w:lang w:val="es-ES_tradnl"/>
        </w:rPr>
        <w:t>de hecho, constitucionales, as</w:t>
      </w:r>
      <w:r>
        <w:rPr>
          <w:rFonts w:cs="Times New Roman"/>
          <w:spacing w:val="-7"/>
          <w:sz w:val="16"/>
          <w:szCs w:val="16"/>
          <w:lang w:val="es-ES_tradnl"/>
        </w:rPr>
        <w:t>í</w:t>
      </w:r>
      <w:r>
        <w:rPr>
          <w:spacing w:val="-7"/>
          <w:sz w:val="16"/>
          <w:szCs w:val="16"/>
          <w:lang w:val="es-ES_tradnl"/>
        </w:rPr>
        <w:t xml:space="preserve"> como entregadas las pruebas </w:t>
      </w:r>
      <w:r>
        <w:rPr>
          <w:spacing w:val="-5"/>
          <w:sz w:val="16"/>
          <w:szCs w:val="16"/>
          <w:lang w:val="es-ES_tradnl"/>
        </w:rPr>
        <w:t xml:space="preserve">documentadas ni haber presentado previamente un escrito que justifique su inasistencia y/o comparecencia al referido </w:t>
      </w:r>
      <w:r>
        <w:rPr>
          <w:spacing w:val="-2"/>
          <w:sz w:val="16"/>
          <w:szCs w:val="16"/>
          <w:lang w:val="es-ES_tradnl"/>
        </w:rPr>
        <w:t>acto procesal y suministrado alguna informaci</w:t>
      </w:r>
      <w:r>
        <w:rPr>
          <w:rFonts w:cs="Times New Roman"/>
          <w:spacing w:val="-2"/>
          <w:sz w:val="16"/>
          <w:szCs w:val="16"/>
          <w:lang w:val="es-ES_tradnl"/>
        </w:rPr>
        <w:t>ó</w:t>
      </w:r>
      <w:r>
        <w:rPr>
          <w:spacing w:val="-2"/>
          <w:sz w:val="16"/>
          <w:szCs w:val="16"/>
          <w:lang w:val="es-ES_tradnl"/>
        </w:rPr>
        <w:t xml:space="preserve">n tendiente </w:t>
      </w:r>
      <w:r>
        <w:rPr>
          <w:spacing w:val="-3"/>
          <w:sz w:val="16"/>
          <w:szCs w:val="16"/>
          <w:lang w:val="es-ES_tradnl"/>
        </w:rPr>
        <w:t xml:space="preserve">a refutar los hechos violatorios planteados en la demanda, </w:t>
      </w:r>
      <w:r>
        <w:rPr>
          <w:spacing w:val="-5"/>
          <w:sz w:val="16"/>
          <w:szCs w:val="16"/>
          <w:lang w:val="es-ES_tradnl"/>
        </w:rPr>
        <w:t xml:space="preserve">en mi calidad de Jueza Constitucional (...) ante la evidente </w:t>
      </w:r>
      <w:r>
        <w:rPr>
          <w:spacing w:val="-3"/>
          <w:sz w:val="16"/>
          <w:szCs w:val="16"/>
          <w:lang w:val="es-ES_tradnl"/>
        </w:rPr>
        <w:t>vulneraci</w:t>
      </w:r>
      <w:r>
        <w:rPr>
          <w:rFonts w:cs="Times New Roman"/>
          <w:spacing w:val="-3"/>
          <w:sz w:val="16"/>
          <w:szCs w:val="16"/>
          <w:lang w:val="es-ES_tradnl"/>
        </w:rPr>
        <w:t>ó</w:t>
      </w:r>
      <w:r>
        <w:rPr>
          <w:spacing w:val="-3"/>
          <w:sz w:val="16"/>
          <w:szCs w:val="16"/>
          <w:lang w:val="es-ES_tradnl"/>
        </w:rPr>
        <w:t xml:space="preserve">n de los derechos constitucionales relativos al </w:t>
      </w:r>
      <w:r>
        <w:rPr>
          <w:spacing w:val="-5"/>
          <w:sz w:val="16"/>
          <w:szCs w:val="16"/>
          <w:lang w:val="es-ES_tradnl"/>
        </w:rPr>
        <w:t>respeto al derecho al debido proceso, a la igualdad jur</w:t>
      </w:r>
      <w:r>
        <w:rPr>
          <w:rFonts w:cs="Times New Roman"/>
          <w:spacing w:val="-5"/>
          <w:sz w:val="16"/>
          <w:szCs w:val="16"/>
          <w:lang w:val="es-ES_tradnl"/>
        </w:rPr>
        <w:t>í</w:t>
      </w:r>
      <w:r>
        <w:rPr>
          <w:spacing w:val="-5"/>
          <w:sz w:val="16"/>
          <w:szCs w:val="16"/>
          <w:lang w:val="es-ES_tradnl"/>
        </w:rPr>
        <w:t xml:space="preserve">dica </w:t>
      </w:r>
      <w:r>
        <w:rPr>
          <w:spacing w:val="-2"/>
          <w:sz w:val="16"/>
          <w:szCs w:val="16"/>
          <w:lang w:val="es-ES_tradnl"/>
        </w:rPr>
        <w:t>ante la Ley y no discriminaci</w:t>
      </w:r>
      <w:r>
        <w:rPr>
          <w:rFonts w:cs="Times New Roman"/>
          <w:spacing w:val="-2"/>
          <w:sz w:val="16"/>
          <w:szCs w:val="16"/>
          <w:lang w:val="es-ES_tradnl"/>
        </w:rPr>
        <w:t>ó</w:t>
      </w:r>
      <w:r>
        <w:rPr>
          <w:spacing w:val="-2"/>
          <w:sz w:val="16"/>
          <w:szCs w:val="16"/>
          <w:lang w:val="es-ES_tradnl"/>
        </w:rPr>
        <w:t>n, el leg</w:t>
      </w:r>
      <w:r>
        <w:rPr>
          <w:rFonts w:cs="Times New Roman"/>
          <w:spacing w:val="-2"/>
          <w:sz w:val="16"/>
          <w:szCs w:val="16"/>
          <w:lang w:val="es-ES_tradnl"/>
        </w:rPr>
        <w:t>í</w:t>
      </w:r>
      <w:r>
        <w:rPr>
          <w:spacing w:val="-2"/>
          <w:sz w:val="16"/>
          <w:szCs w:val="16"/>
          <w:lang w:val="es-ES_tradnl"/>
        </w:rPr>
        <w:t xml:space="preserve">timo derecho de </w:t>
      </w:r>
      <w:r>
        <w:rPr>
          <w:spacing w:val="-6"/>
          <w:sz w:val="16"/>
          <w:szCs w:val="16"/>
          <w:lang w:val="es-ES_tradnl"/>
        </w:rPr>
        <w:t>defensa, la seguridad jur</w:t>
      </w:r>
      <w:r>
        <w:rPr>
          <w:rFonts w:cs="Times New Roman"/>
          <w:spacing w:val="-6"/>
          <w:sz w:val="16"/>
          <w:szCs w:val="16"/>
          <w:lang w:val="es-ES_tradnl"/>
        </w:rPr>
        <w:t>í</w:t>
      </w:r>
      <w:r>
        <w:rPr>
          <w:spacing w:val="-6"/>
          <w:sz w:val="16"/>
          <w:szCs w:val="16"/>
          <w:lang w:val="es-ES_tradnl"/>
        </w:rPr>
        <w:t>dica, derecho a la igualdad jur</w:t>
      </w:r>
      <w:r>
        <w:rPr>
          <w:rFonts w:cs="Times New Roman"/>
          <w:spacing w:val="-6"/>
          <w:sz w:val="16"/>
          <w:szCs w:val="16"/>
          <w:lang w:val="es-ES_tradnl"/>
        </w:rPr>
        <w:t>í</w:t>
      </w:r>
      <w:r>
        <w:rPr>
          <w:spacing w:val="-6"/>
          <w:sz w:val="16"/>
          <w:szCs w:val="16"/>
          <w:lang w:val="es-ES_tradnl"/>
        </w:rPr>
        <w:t xml:space="preserve">dica </w:t>
      </w:r>
      <w:r>
        <w:rPr>
          <w:spacing w:val="-2"/>
          <w:sz w:val="16"/>
          <w:szCs w:val="16"/>
          <w:lang w:val="es-ES_tradnl"/>
        </w:rPr>
        <w:t>ante la Ley, el principio de proporcionalidad, el principio NOM BIS IN IDEM (Sic), el principio de motivaci</w:t>
      </w:r>
      <w:r>
        <w:rPr>
          <w:rFonts w:cs="Times New Roman"/>
          <w:spacing w:val="-2"/>
          <w:sz w:val="16"/>
          <w:szCs w:val="16"/>
          <w:lang w:val="es-ES_tradnl"/>
        </w:rPr>
        <w:t>ó</w:t>
      </w:r>
      <w:r>
        <w:rPr>
          <w:spacing w:val="-2"/>
          <w:sz w:val="16"/>
          <w:szCs w:val="16"/>
          <w:lang w:val="es-ES_tradnl"/>
        </w:rPr>
        <w:t xml:space="preserve">n de las </w:t>
      </w:r>
      <w:r>
        <w:rPr>
          <w:spacing w:val="-5"/>
          <w:sz w:val="16"/>
          <w:szCs w:val="16"/>
          <w:lang w:val="es-ES_tradnl"/>
        </w:rPr>
        <w:t>resoluciones de los poderes p</w:t>
      </w:r>
      <w:r>
        <w:rPr>
          <w:rFonts w:cs="Times New Roman"/>
          <w:spacing w:val="-5"/>
          <w:sz w:val="16"/>
          <w:szCs w:val="16"/>
          <w:lang w:val="es-ES_tradnl"/>
        </w:rPr>
        <w:t>ú</w:t>
      </w:r>
      <w:r>
        <w:rPr>
          <w:spacing w:val="-5"/>
          <w:sz w:val="16"/>
          <w:szCs w:val="16"/>
          <w:lang w:val="es-ES_tradnl"/>
        </w:rPr>
        <w:t xml:space="preserve">blicos; el derecho al trabajo y a la estabilidad laboral, en que han incurrido las autoridades </w:t>
      </w:r>
      <w:r>
        <w:rPr>
          <w:spacing w:val="-6"/>
          <w:sz w:val="16"/>
          <w:szCs w:val="16"/>
          <w:lang w:val="es-ES_tradnl"/>
        </w:rPr>
        <w:t xml:space="preserve">de la Fuerza Naval de la Armada del Ecuador al expedir la </w:t>
      </w:r>
      <w:r>
        <w:rPr>
          <w:spacing w:val="-5"/>
          <w:sz w:val="16"/>
          <w:szCs w:val="16"/>
          <w:lang w:val="es-ES_tradnl"/>
        </w:rPr>
        <w:t>Resoluci</w:t>
      </w:r>
      <w:r>
        <w:rPr>
          <w:rFonts w:cs="Times New Roman"/>
          <w:spacing w:val="-5"/>
          <w:sz w:val="16"/>
          <w:szCs w:val="16"/>
          <w:lang w:val="es-ES_tradnl"/>
        </w:rPr>
        <w:t>ó</w:t>
      </w:r>
      <w:r>
        <w:rPr>
          <w:spacing w:val="-5"/>
          <w:sz w:val="16"/>
          <w:szCs w:val="16"/>
          <w:lang w:val="es-ES_tradnl"/>
        </w:rPr>
        <w:t>n de Baja del Servicio Activo del Accionante Jos</w:t>
      </w:r>
      <w:r>
        <w:rPr>
          <w:rFonts w:cs="Times New Roman"/>
          <w:spacing w:val="-5"/>
          <w:sz w:val="16"/>
          <w:szCs w:val="16"/>
          <w:lang w:val="es-ES_tradnl"/>
        </w:rPr>
        <w:t xml:space="preserve">é </w:t>
      </w:r>
      <w:r>
        <w:rPr>
          <w:spacing w:val="-8"/>
          <w:sz w:val="16"/>
          <w:szCs w:val="16"/>
          <w:lang w:val="es-ES_tradnl"/>
        </w:rPr>
        <w:t>Luis Burgos Sol</w:t>
      </w:r>
      <w:r>
        <w:rPr>
          <w:rFonts w:cs="Times New Roman"/>
          <w:spacing w:val="-8"/>
          <w:sz w:val="16"/>
          <w:szCs w:val="16"/>
          <w:lang w:val="es-ES_tradnl"/>
        </w:rPr>
        <w:t>í</w:t>
      </w:r>
      <w:r>
        <w:rPr>
          <w:spacing w:val="-8"/>
          <w:sz w:val="16"/>
          <w:szCs w:val="16"/>
          <w:lang w:val="es-ES_tradnl"/>
        </w:rPr>
        <w:t xml:space="preserve">s que se aprecian de la lectura de la demanda </w:t>
      </w:r>
      <w:r>
        <w:rPr>
          <w:spacing w:val="-7"/>
          <w:sz w:val="16"/>
          <w:szCs w:val="16"/>
          <w:lang w:val="es-ES_tradnl"/>
        </w:rPr>
        <w:t>y los anexos incorporados a la misma, as</w:t>
      </w:r>
      <w:r>
        <w:rPr>
          <w:rFonts w:cs="Times New Roman"/>
          <w:spacing w:val="-7"/>
          <w:sz w:val="16"/>
          <w:szCs w:val="16"/>
          <w:lang w:val="es-ES_tradnl"/>
        </w:rPr>
        <w:t>í</w:t>
      </w:r>
      <w:r>
        <w:rPr>
          <w:spacing w:val="-7"/>
          <w:sz w:val="16"/>
          <w:szCs w:val="16"/>
          <w:lang w:val="es-ES_tradnl"/>
        </w:rPr>
        <w:t xml:space="preserve"> como lo expresado </w:t>
      </w:r>
      <w:r>
        <w:rPr>
          <w:spacing w:val="-5"/>
          <w:sz w:val="16"/>
          <w:szCs w:val="16"/>
          <w:lang w:val="es-ES_tradnl"/>
        </w:rPr>
        <w:t>en la Audiencia P</w:t>
      </w:r>
      <w:r>
        <w:rPr>
          <w:rFonts w:cs="Times New Roman"/>
          <w:spacing w:val="-5"/>
          <w:sz w:val="16"/>
          <w:szCs w:val="16"/>
          <w:lang w:val="es-ES_tradnl"/>
        </w:rPr>
        <w:t>ú</w:t>
      </w:r>
      <w:r>
        <w:rPr>
          <w:spacing w:val="-5"/>
          <w:sz w:val="16"/>
          <w:szCs w:val="16"/>
          <w:lang w:val="es-ES_tradnl"/>
        </w:rPr>
        <w:t>blica por parte del accionante que no ha podido ser rebatido ni en su escrito inicial ni en la audiencia p</w:t>
      </w:r>
      <w:r>
        <w:rPr>
          <w:rFonts w:cs="Times New Roman"/>
          <w:spacing w:val="-5"/>
          <w:sz w:val="16"/>
          <w:szCs w:val="16"/>
          <w:lang w:val="es-ES_tradnl"/>
        </w:rPr>
        <w:t>ú</w:t>
      </w:r>
      <w:r>
        <w:rPr>
          <w:spacing w:val="-5"/>
          <w:sz w:val="16"/>
          <w:szCs w:val="16"/>
          <w:lang w:val="es-ES_tradnl"/>
        </w:rPr>
        <w:t xml:space="preserve">blica celebrada en la sala del juzgado el 6 de agosto del </w:t>
      </w:r>
      <w:r>
        <w:rPr>
          <w:spacing w:val="-3"/>
          <w:sz w:val="16"/>
          <w:szCs w:val="16"/>
          <w:lang w:val="es-ES_tradnl"/>
        </w:rPr>
        <w:t xml:space="preserve">2012, a las 09H09, a la cual no comparecieron y por ende </w:t>
      </w:r>
      <w:r>
        <w:rPr>
          <w:spacing w:val="-6"/>
          <w:sz w:val="16"/>
          <w:szCs w:val="16"/>
          <w:lang w:val="es-ES_tradnl"/>
        </w:rPr>
        <w:t xml:space="preserve">no presentaron los justificativos por tal hecho, ni demostrado </w:t>
      </w:r>
      <w:r>
        <w:rPr>
          <w:spacing w:val="-7"/>
          <w:sz w:val="16"/>
          <w:szCs w:val="16"/>
          <w:lang w:val="es-ES_tradnl"/>
        </w:rPr>
        <w:t xml:space="preserve">documentalmente lo contrario conforme lo dispone la Ley, sin </w:t>
      </w:r>
      <w:r>
        <w:rPr>
          <w:spacing w:val="-2"/>
          <w:sz w:val="16"/>
          <w:szCs w:val="16"/>
          <w:lang w:val="es-ES_tradnl"/>
        </w:rPr>
        <w:t xml:space="preserve">otras consideraciones </w:t>
      </w:r>
      <w:r>
        <w:rPr>
          <w:rFonts w:cs="Times New Roman"/>
          <w:spacing w:val="-2"/>
          <w:sz w:val="16"/>
          <w:szCs w:val="16"/>
          <w:lang w:val="es-ES_tradnl"/>
        </w:rPr>
        <w:t>“</w:t>
      </w:r>
      <w:r>
        <w:rPr>
          <w:spacing w:val="-2"/>
          <w:sz w:val="16"/>
          <w:szCs w:val="16"/>
          <w:lang w:val="es-ES_tradnl"/>
        </w:rPr>
        <w:t xml:space="preserve">ADMINISTRANDO JUSTICIA EN </w:t>
      </w:r>
      <w:r>
        <w:rPr>
          <w:sz w:val="16"/>
          <w:szCs w:val="16"/>
          <w:lang w:val="es-ES_tradnl"/>
        </w:rPr>
        <w:t>NOMBRE DEL PUEBLO SOBERANO DEL ECUADOR Y POR AUTORIDAD DE LA CONSTITUCI</w:t>
      </w:r>
      <w:r>
        <w:rPr>
          <w:rFonts w:cs="Times New Roman"/>
          <w:sz w:val="16"/>
          <w:szCs w:val="16"/>
          <w:lang w:val="es-ES_tradnl"/>
        </w:rPr>
        <w:t>Ó</w:t>
      </w:r>
      <w:r>
        <w:rPr>
          <w:sz w:val="16"/>
          <w:szCs w:val="16"/>
          <w:lang w:val="es-ES_tradnl"/>
        </w:rPr>
        <w:t>N Y LAS LEYES DE LA REP</w:t>
      </w:r>
      <w:r>
        <w:rPr>
          <w:rFonts w:cs="Times New Roman"/>
          <w:sz w:val="16"/>
          <w:szCs w:val="16"/>
          <w:lang w:val="es-ES_tradnl"/>
        </w:rPr>
        <w:t>Ú</w:t>
      </w:r>
      <w:r>
        <w:rPr>
          <w:sz w:val="16"/>
          <w:szCs w:val="16"/>
          <w:lang w:val="es-ES_tradnl"/>
        </w:rPr>
        <w:t>BLICA</w:t>
      </w:r>
      <w:r>
        <w:rPr>
          <w:rFonts w:cs="Times New Roman"/>
          <w:sz w:val="16"/>
          <w:szCs w:val="16"/>
          <w:lang w:val="es-ES_tradnl"/>
        </w:rPr>
        <w:t>”</w:t>
      </w:r>
      <w:r>
        <w:rPr>
          <w:sz w:val="16"/>
          <w:szCs w:val="16"/>
          <w:lang w:val="es-ES_tradnl"/>
        </w:rPr>
        <w:t xml:space="preserve"> DECLARO CON LUGAR </w:t>
      </w:r>
      <w:r>
        <w:rPr>
          <w:spacing w:val="-4"/>
          <w:sz w:val="16"/>
          <w:szCs w:val="16"/>
          <w:lang w:val="es-ES_tradnl"/>
        </w:rPr>
        <w:t>LA DEMANDA y acepto en todas sus partes la Acci</w:t>
      </w:r>
      <w:r>
        <w:rPr>
          <w:rFonts w:cs="Times New Roman"/>
          <w:spacing w:val="-4"/>
          <w:sz w:val="16"/>
          <w:szCs w:val="16"/>
          <w:lang w:val="es-ES_tradnl"/>
        </w:rPr>
        <w:t>ó</w:t>
      </w:r>
      <w:r>
        <w:rPr>
          <w:spacing w:val="-4"/>
          <w:sz w:val="16"/>
          <w:szCs w:val="16"/>
          <w:lang w:val="es-ES_tradnl"/>
        </w:rPr>
        <w:t xml:space="preserve">n de </w:t>
      </w:r>
      <w:r>
        <w:rPr>
          <w:spacing w:val="-8"/>
          <w:sz w:val="16"/>
          <w:szCs w:val="16"/>
          <w:lang w:val="es-ES_tradnl"/>
        </w:rPr>
        <w:t>Protecci</w:t>
      </w:r>
      <w:r>
        <w:rPr>
          <w:rFonts w:cs="Times New Roman"/>
          <w:spacing w:val="-8"/>
          <w:sz w:val="16"/>
          <w:szCs w:val="16"/>
          <w:lang w:val="es-ES_tradnl"/>
        </w:rPr>
        <w:t>ó</w:t>
      </w:r>
      <w:r>
        <w:rPr>
          <w:spacing w:val="-8"/>
          <w:sz w:val="16"/>
          <w:szCs w:val="16"/>
          <w:lang w:val="es-ES_tradnl"/>
        </w:rPr>
        <w:t xml:space="preserve">n propuesta por JOSE LUIS BURGOS SOLIS, por la </w:t>
      </w:r>
      <w:r>
        <w:rPr>
          <w:spacing w:val="-6"/>
          <w:sz w:val="16"/>
          <w:szCs w:val="16"/>
          <w:lang w:val="es-ES_tradnl"/>
        </w:rPr>
        <w:t>violaci</w:t>
      </w:r>
      <w:r>
        <w:rPr>
          <w:rFonts w:cs="Times New Roman"/>
          <w:spacing w:val="-6"/>
          <w:sz w:val="16"/>
          <w:szCs w:val="16"/>
          <w:lang w:val="es-ES_tradnl"/>
        </w:rPr>
        <w:t>ó</w:t>
      </w:r>
      <w:r>
        <w:rPr>
          <w:spacing w:val="-6"/>
          <w:sz w:val="16"/>
          <w:szCs w:val="16"/>
          <w:lang w:val="es-ES_tradnl"/>
        </w:rPr>
        <w:t>n de los derechos constitucionales relativos al respeto al derecho al debido proceso, a la igualdad jur</w:t>
      </w:r>
      <w:r>
        <w:rPr>
          <w:rFonts w:cs="Times New Roman"/>
          <w:spacing w:val="-6"/>
          <w:sz w:val="16"/>
          <w:szCs w:val="16"/>
          <w:lang w:val="es-ES_tradnl"/>
        </w:rPr>
        <w:t>í</w:t>
      </w:r>
      <w:r>
        <w:rPr>
          <w:spacing w:val="-6"/>
          <w:sz w:val="16"/>
          <w:szCs w:val="16"/>
          <w:lang w:val="es-ES_tradnl"/>
        </w:rPr>
        <w:t xml:space="preserve">dica ante la ley </w:t>
      </w:r>
      <w:r>
        <w:rPr>
          <w:spacing w:val="-8"/>
          <w:sz w:val="16"/>
          <w:szCs w:val="16"/>
          <w:lang w:val="es-ES_tradnl"/>
        </w:rPr>
        <w:t>y no discriminaci</w:t>
      </w:r>
      <w:r>
        <w:rPr>
          <w:rFonts w:cs="Times New Roman"/>
          <w:spacing w:val="-8"/>
          <w:sz w:val="16"/>
          <w:szCs w:val="16"/>
          <w:lang w:val="es-ES_tradnl"/>
        </w:rPr>
        <w:t>ó</w:t>
      </w:r>
      <w:r>
        <w:rPr>
          <w:spacing w:val="-8"/>
          <w:sz w:val="16"/>
          <w:szCs w:val="16"/>
          <w:lang w:val="es-ES_tradnl"/>
        </w:rPr>
        <w:t>n, el leg</w:t>
      </w:r>
      <w:r>
        <w:rPr>
          <w:rFonts w:cs="Times New Roman"/>
          <w:spacing w:val="-8"/>
          <w:sz w:val="16"/>
          <w:szCs w:val="16"/>
          <w:lang w:val="es-ES_tradnl"/>
        </w:rPr>
        <w:t>í</w:t>
      </w:r>
      <w:r>
        <w:rPr>
          <w:spacing w:val="-8"/>
          <w:sz w:val="16"/>
          <w:szCs w:val="16"/>
          <w:lang w:val="es-ES_tradnl"/>
        </w:rPr>
        <w:t xml:space="preserve">timo derecho de defensa, seguridad </w:t>
      </w:r>
      <w:r>
        <w:rPr>
          <w:spacing w:val="-6"/>
          <w:sz w:val="16"/>
          <w:szCs w:val="16"/>
          <w:lang w:val="es-ES_tradnl"/>
        </w:rPr>
        <w:t>jur</w:t>
      </w:r>
      <w:r>
        <w:rPr>
          <w:rFonts w:cs="Times New Roman"/>
          <w:spacing w:val="-6"/>
          <w:sz w:val="16"/>
          <w:szCs w:val="16"/>
          <w:lang w:val="es-ES_tradnl"/>
        </w:rPr>
        <w:t>í</w:t>
      </w:r>
      <w:r>
        <w:rPr>
          <w:spacing w:val="-6"/>
          <w:sz w:val="16"/>
          <w:szCs w:val="16"/>
          <w:lang w:val="es-ES_tradnl"/>
        </w:rPr>
        <w:t>dica, derecho a la igualdad jur</w:t>
      </w:r>
      <w:r>
        <w:rPr>
          <w:rFonts w:cs="Times New Roman"/>
          <w:spacing w:val="-6"/>
          <w:sz w:val="16"/>
          <w:szCs w:val="16"/>
          <w:lang w:val="es-ES_tradnl"/>
        </w:rPr>
        <w:t>í</w:t>
      </w:r>
      <w:r>
        <w:rPr>
          <w:spacing w:val="-6"/>
          <w:sz w:val="16"/>
          <w:szCs w:val="16"/>
          <w:lang w:val="es-ES_tradnl"/>
        </w:rPr>
        <w:t xml:space="preserve">dica ante la ley, el principio </w:t>
      </w:r>
      <w:r>
        <w:rPr>
          <w:spacing w:val="-2"/>
          <w:sz w:val="16"/>
          <w:szCs w:val="16"/>
          <w:lang w:val="es-ES_tradnl"/>
        </w:rPr>
        <w:t xml:space="preserve">NOM BIN IN IDEM (Sic), el Principio de Proporcionalidad, </w:t>
      </w:r>
      <w:r>
        <w:rPr>
          <w:spacing w:val="-6"/>
          <w:sz w:val="16"/>
          <w:szCs w:val="16"/>
          <w:lang w:val="es-ES_tradnl"/>
        </w:rPr>
        <w:t>el principio de motivaci</w:t>
      </w:r>
      <w:r>
        <w:rPr>
          <w:rFonts w:cs="Times New Roman"/>
          <w:spacing w:val="-6"/>
          <w:sz w:val="16"/>
          <w:szCs w:val="16"/>
          <w:lang w:val="es-ES_tradnl"/>
        </w:rPr>
        <w:t>ó</w:t>
      </w:r>
      <w:r>
        <w:rPr>
          <w:spacing w:val="-6"/>
          <w:sz w:val="16"/>
          <w:szCs w:val="16"/>
          <w:lang w:val="es-ES_tradnl"/>
        </w:rPr>
        <w:t>n de las resoluciones de los poderes</w:t>
      </w:r>
    </w:p>
    <w:p w14:paraId="4F67AD4B" w14:textId="77777777" w:rsidR="00591D54" w:rsidRDefault="00591D54">
      <w:pPr>
        <w:shd w:val="clear" w:color="auto" w:fill="FFFFFF"/>
        <w:spacing w:before="206" w:line="216" w:lineRule="exact"/>
        <w:ind w:left="283"/>
        <w:jc w:val="both"/>
        <w:sectPr w:rsidR="00591D54">
          <w:type w:val="continuous"/>
          <w:pgSz w:w="11909" w:h="16834"/>
          <w:pgMar w:top="1378" w:right="1309" w:bottom="360" w:left="1308" w:header="720" w:footer="720" w:gutter="0"/>
          <w:cols w:num="2" w:space="720" w:equalWidth="0">
            <w:col w:w="4305" w:space="682"/>
            <w:col w:w="4305"/>
          </w:cols>
          <w:noEndnote/>
        </w:sectPr>
      </w:pPr>
    </w:p>
    <w:p w14:paraId="4F67AD4C" w14:textId="77777777" w:rsidR="00591D54" w:rsidRDefault="00591D54">
      <w:pPr>
        <w:shd w:val="clear" w:color="auto" w:fill="FFFFFF"/>
        <w:tabs>
          <w:tab w:val="left" w:pos="4814"/>
        </w:tabs>
        <w:spacing w:after="230"/>
        <w:ind w:left="14"/>
      </w:pPr>
      <w:r>
        <w:rPr>
          <w:b/>
          <w:bCs/>
          <w:sz w:val="18"/>
          <w:szCs w:val="18"/>
          <w:lang w:val="es-ES_tradnl"/>
        </w:rPr>
        <w:t xml:space="preserve">120 -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D4D" w14:textId="77777777" w:rsidR="00591D54" w:rsidRDefault="00591D54">
      <w:pPr>
        <w:shd w:val="clear" w:color="auto" w:fill="FFFFFF"/>
        <w:tabs>
          <w:tab w:val="left" w:pos="4814"/>
        </w:tabs>
        <w:spacing w:after="230"/>
        <w:ind w:left="14"/>
        <w:sectPr w:rsidR="00591D54">
          <w:pgSz w:w="11909" w:h="16834"/>
          <w:pgMar w:top="1378" w:right="1304" w:bottom="360" w:left="1308" w:header="720" w:footer="720" w:gutter="0"/>
          <w:cols w:space="60"/>
          <w:noEndnote/>
        </w:sectPr>
      </w:pPr>
    </w:p>
    <w:p w14:paraId="4F67AD4E" w14:textId="77777777" w:rsidR="00591D54" w:rsidRDefault="00591D54">
      <w:pPr>
        <w:shd w:val="clear" w:color="auto" w:fill="FFFFFF"/>
        <w:spacing w:line="216" w:lineRule="exact"/>
        <w:ind w:left="283" w:right="5"/>
        <w:jc w:val="both"/>
      </w:pPr>
      <w:r>
        <w:rPr>
          <w:sz w:val="16"/>
          <w:szCs w:val="16"/>
          <w:lang w:val="es-ES_tradnl"/>
        </w:rPr>
        <w:t>p</w:t>
      </w:r>
      <w:r>
        <w:rPr>
          <w:rFonts w:cs="Times New Roman"/>
          <w:sz w:val="16"/>
          <w:szCs w:val="16"/>
          <w:lang w:val="es-ES_tradnl"/>
        </w:rPr>
        <w:t>ú</w:t>
      </w:r>
      <w:r>
        <w:rPr>
          <w:sz w:val="16"/>
          <w:szCs w:val="16"/>
          <w:lang w:val="es-ES_tradnl"/>
        </w:rPr>
        <w:t xml:space="preserve">blicos; el derecho al trabajo y a la estabilidad laboral, </w:t>
      </w:r>
      <w:r>
        <w:rPr>
          <w:spacing w:val="-4"/>
          <w:sz w:val="16"/>
          <w:szCs w:val="16"/>
          <w:lang w:val="es-ES_tradnl"/>
        </w:rPr>
        <w:t xml:space="preserve">en que han incurrido las autoridades de la Fuerza Naval de </w:t>
      </w:r>
      <w:r>
        <w:rPr>
          <w:spacing w:val="-5"/>
          <w:sz w:val="16"/>
          <w:szCs w:val="16"/>
          <w:lang w:val="es-ES_tradnl"/>
        </w:rPr>
        <w:t>la Armada del Ecuador al expedir la resoluci</w:t>
      </w:r>
      <w:r>
        <w:rPr>
          <w:rFonts w:cs="Times New Roman"/>
          <w:spacing w:val="-5"/>
          <w:sz w:val="16"/>
          <w:szCs w:val="16"/>
          <w:lang w:val="es-ES_tradnl"/>
        </w:rPr>
        <w:t>ó</w:t>
      </w:r>
      <w:r>
        <w:rPr>
          <w:spacing w:val="-5"/>
          <w:sz w:val="16"/>
          <w:szCs w:val="16"/>
          <w:lang w:val="es-ES_tradnl"/>
        </w:rPr>
        <w:t xml:space="preserve">n de Baja del </w:t>
      </w:r>
      <w:r>
        <w:rPr>
          <w:spacing w:val="-6"/>
          <w:sz w:val="16"/>
          <w:szCs w:val="16"/>
          <w:lang w:val="es-ES_tradnl"/>
        </w:rPr>
        <w:t>Servicio Activo del Accionante Jos</w:t>
      </w:r>
      <w:r>
        <w:rPr>
          <w:rFonts w:cs="Times New Roman"/>
          <w:spacing w:val="-6"/>
          <w:sz w:val="16"/>
          <w:szCs w:val="16"/>
          <w:lang w:val="es-ES_tradnl"/>
        </w:rPr>
        <w:t>é</w:t>
      </w:r>
      <w:r>
        <w:rPr>
          <w:spacing w:val="-6"/>
          <w:sz w:val="16"/>
          <w:szCs w:val="16"/>
          <w:lang w:val="es-ES_tradnl"/>
        </w:rPr>
        <w:t xml:space="preserve"> Luis Burgos Sol</w:t>
      </w:r>
      <w:r>
        <w:rPr>
          <w:rFonts w:cs="Times New Roman"/>
          <w:spacing w:val="-6"/>
          <w:sz w:val="16"/>
          <w:szCs w:val="16"/>
          <w:lang w:val="es-ES_tradnl"/>
        </w:rPr>
        <w:t>í</w:t>
      </w:r>
      <w:r>
        <w:rPr>
          <w:spacing w:val="-6"/>
          <w:sz w:val="16"/>
          <w:szCs w:val="16"/>
          <w:lang w:val="es-ES_tradnl"/>
        </w:rPr>
        <w:t xml:space="preserve">s, quien </w:t>
      </w:r>
      <w:r>
        <w:rPr>
          <w:spacing w:val="-5"/>
          <w:sz w:val="16"/>
          <w:szCs w:val="16"/>
          <w:lang w:val="es-ES_tradnl"/>
        </w:rPr>
        <w:t>deber</w:t>
      </w:r>
      <w:r>
        <w:rPr>
          <w:rFonts w:cs="Times New Roman"/>
          <w:spacing w:val="-5"/>
          <w:sz w:val="16"/>
          <w:szCs w:val="16"/>
          <w:lang w:val="es-ES_tradnl"/>
        </w:rPr>
        <w:t>á</w:t>
      </w:r>
      <w:r>
        <w:rPr>
          <w:spacing w:val="-5"/>
          <w:sz w:val="16"/>
          <w:szCs w:val="16"/>
          <w:lang w:val="es-ES_tradnl"/>
        </w:rPr>
        <w:t xml:space="preserve"> ser REINTEGRADO en forma inmediata al Servicio Activo de la Fuerza Naval de la Armada del Ecuador con el </w:t>
      </w:r>
      <w:r>
        <w:rPr>
          <w:spacing w:val="-9"/>
          <w:sz w:val="16"/>
          <w:szCs w:val="16"/>
          <w:lang w:val="es-ES_tradnl"/>
        </w:rPr>
        <w:t xml:space="preserve">grado de Sargento Primero, que es el grado que le corresponde </w:t>
      </w:r>
      <w:r>
        <w:rPr>
          <w:spacing w:val="-6"/>
          <w:sz w:val="16"/>
          <w:szCs w:val="16"/>
          <w:lang w:val="es-ES_tradnl"/>
        </w:rPr>
        <w:t xml:space="preserve">por no haberse verificado el acto violatorio de sus derechos </w:t>
      </w:r>
      <w:r>
        <w:rPr>
          <w:sz w:val="16"/>
          <w:szCs w:val="16"/>
          <w:lang w:val="es-ES_tradnl"/>
        </w:rPr>
        <w:t xml:space="preserve">constitucionales (...) Consecuentemente, se declara la </w:t>
      </w:r>
      <w:r>
        <w:rPr>
          <w:spacing w:val="-10"/>
          <w:sz w:val="16"/>
          <w:szCs w:val="16"/>
          <w:lang w:val="es-ES_tradnl"/>
        </w:rPr>
        <w:t>ineficacia jur</w:t>
      </w:r>
      <w:r>
        <w:rPr>
          <w:rFonts w:cs="Times New Roman"/>
          <w:spacing w:val="-10"/>
          <w:sz w:val="16"/>
          <w:szCs w:val="16"/>
          <w:lang w:val="es-ES_tradnl"/>
        </w:rPr>
        <w:t>í</w:t>
      </w:r>
      <w:r>
        <w:rPr>
          <w:spacing w:val="-10"/>
          <w:sz w:val="16"/>
          <w:szCs w:val="16"/>
          <w:lang w:val="es-ES_tradnl"/>
        </w:rPr>
        <w:t>dica de la Orden General n</w:t>
      </w:r>
      <w:r>
        <w:rPr>
          <w:rFonts w:cs="Times New Roman"/>
          <w:spacing w:val="-10"/>
          <w:sz w:val="16"/>
          <w:szCs w:val="16"/>
          <w:lang w:val="es-ES_tradnl"/>
        </w:rPr>
        <w:t>º</w:t>
      </w:r>
      <w:r>
        <w:rPr>
          <w:spacing w:val="-10"/>
          <w:sz w:val="16"/>
          <w:szCs w:val="16"/>
          <w:lang w:val="es-ES_tradnl"/>
        </w:rPr>
        <w:t xml:space="preserve"> 034 de 1 de diciembre </w:t>
      </w:r>
      <w:r>
        <w:rPr>
          <w:spacing w:val="-7"/>
          <w:sz w:val="16"/>
          <w:szCs w:val="16"/>
          <w:lang w:val="es-ES_tradnl"/>
        </w:rPr>
        <w:t>de 1995 y Orden General n</w:t>
      </w:r>
      <w:r>
        <w:rPr>
          <w:rFonts w:cs="Times New Roman"/>
          <w:spacing w:val="-7"/>
          <w:sz w:val="16"/>
          <w:szCs w:val="16"/>
          <w:lang w:val="es-ES_tradnl"/>
        </w:rPr>
        <w:t>º</w:t>
      </w:r>
      <w:r>
        <w:rPr>
          <w:spacing w:val="-7"/>
          <w:sz w:val="16"/>
          <w:szCs w:val="16"/>
          <w:lang w:val="es-ES_tradnl"/>
        </w:rPr>
        <w:t xml:space="preserve">.007 del 1 de marzo de 1996 y de </w:t>
      </w:r>
      <w:r>
        <w:rPr>
          <w:spacing w:val="-6"/>
          <w:sz w:val="16"/>
          <w:szCs w:val="16"/>
          <w:lang w:val="es-ES_tradnl"/>
        </w:rPr>
        <w:t>todas las resoluciones, informes y sanciones de Suspensi</w:t>
      </w:r>
      <w:r>
        <w:rPr>
          <w:rFonts w:cs="Times New Roman"/>
          <w:spacing w:val="-6"/>
          <w:sz w:val="16"/>
          <w:szCs w:val="16"/>
          <w:lang w:val="es-ES_tradnl"/>
        </w:rPr>
        <w:t>ó</w:t>
      </w:r>
      <w:r>
        <w:rPr>
          <w:spacing w:val="-6"/>
          <w:sz w:val="16"/>
          <w:szCs w:val="16"/>
          <w:lang w:val="es-ES_tradnl"/>
        </w:rPr>
        <w:t xml:space="preserve">n </w:t>
      </w:r>
      <w:r>
        <w:rPr>
          <w:spacing w:val="-4"/>
          <w:sz w:val="16"/>
          <w:szCs w:val="16"/>
          <w:lang w:val="es-ES_tradnl"/>
        </w:rPr>
        <w:t xml:space="preserve">de Funciones y/o Tribunal de Disciplina (...) Ordenase la </w:t>
      </w:r>
      <w:r>
        <w:rPr>
          <w:spacing w:val="-7"/>
          <w:sz w:val="16"/>
          <w:szCs w:val="16"/>
          <w:lang w:val="es-ES_tradnl"/>
        </w:rPr>
        <w:t>reparaci</w:t>
      </w:r>
      <w:r>
        <w:rPr>
          <w:rFonts w:cs="Times New Roman"/>
          <w:spacing w:val="-7"/>
          <w:sz w:val="16"/>
          <w:szCs w:val="16"/>
          <w:lang w:val="es-ES_tradnl"/>
        </w:rPr>
        <w:t>ó</w:t>
      </w:r>
      <w:r>
        <w:rPr>
          <w:spacing w:val="-7"/>
          <w:sz w:val="16"/>
          <w:szCs w:val="16"/>
          <w:lang w:val="es-ES_tradnl"/>
        </w:rPr>
        <w:t>n Material e Inmaterial de los da</w:t>
      </w:r>
      <w:r>
        <w:rPr>
          <w:rFonts w:cs="Times New Roman"/>
          <w:spacing w:val="-7"/>
          <w:sz w:val="16"/>
          <w:szCs w:val="16"/>
          <w:lang w:val="es-ES_tradnl"/>
        </w:rPr>
        <w:t>ñ</w:t>
      </w:r>
      <w:r>
        <w:rPr>
          <w:spacing w:val="-7"/>
          <w:sz w:val="16"/>
          <w:szCs w:val="16"/>
          <w:lang w:val="es-ES_tradnl"/>
        </w:rPr>
        <w:t>os, disponi</w:t>
      </w:r>
      <w:r>
        <w:rPr>
          <w:rFonts w:cs="Times New Roman"/>
          <w:spacing w:val="-7"/>
          <w:sz w:val="16"/>
          <w:szCs w:val="16"/>
          <w:lang w:val="es-ES_tradnl"/>
        </w:rPr>
        <w:t>é</w:t>
      </w:r>
      <w:r>
        <w:rPr>
          <w:spacing w:val="-7"/>
          <w:sz w:val="16"/>
          <w:szCs w:val="16"/>
          <w:lang w:val="es-ES_tradnl"/>
        </w:rPr>
        <w:t xml:space="preserve">ndose que la Fuerza Naval, en forma inmediata pague al accionante </w:t>
      </w:r>
      <w:r>
        <w:rPr>
          <w:spacing w:val="-6"/>
          <w:sz w:val="16"/>
          <w:szCs w:val="16"/>
          <w:lang w:val="es-ES_tradnl"/>
        </w:rPr>
        <w:t xml:space="preserve">los sueldos y beneficios sociales que le corresponden desde </w:t>
      </w:r>
      <w:r>
        <w:rPr>
          <w:spacing w:val="-1"/>
          <w:sz w:val="16"/>
          <w:szCs w:val="16"/>
          <w:lang w:val="es-ES_tradnl"/>
        </w:rPr>
        <w:t xml:space="preserve">la fecha de su inconstitucional baja del servicio activo de </w:t>
      </w:r>
      <w:r>
        <w:rPr>
          <w:spacing w:val="-3"/>
          <w:sz w:val="16"/>
          <w:szCs w:val="16"/>
          <w:lang w:val="es-ES_tradnl"/>
        </w:rPr>
        <w:t>la instituci</w:t>
      </w:r>
      <w:r>
        <w:rPr>
          <w:rFonts w:cs="Times New Roman"/>
          <w:spacing w:val="-3"/>
          <w:sz w:val="16"/>
          <w:szCs w:val="16"/>
          <w:lang w:val="es-ES_tradnl"/>
        </w:rPr>
        <w:t>ó</w:t>
      </w:r>
      <w:r>
        <w:rPr>
          <w:spacing w:val="-3"/>
          <w:sz w:val="16"/>
          <w:szCs w:val="16"/>
          <w:lang w:val="es-ES_tradnl"/>
        </w:rPr>
        <w:t xml:space="preserve">n naval hasta la fecha de su efectivo reintegro </w:t>
      </w:r>
      <w:r>
        <w:rPr>
          <w:spacing w:val="-5"/>
          <w:sz w:val="16"/>
          <w:szCs w:val="16"/>
          <w:lang w:val="es-ES_tradnl"/>
        </w:rPr>
        <w:t xml:space="preserve">(...) Con costas, en US$ 2,000,oo se regulan los honorarios </w:t>
      </w:r>
      <w:r>
        <w:rPr>
          <w:spacing w:val="-7"/>
          <w:sz w:val="16"/>
          <w:szCs w:val="16"/>
          <w:lang w:val="es-ES_tradnl"/>
        </w:rPr>
        <w:t xml:space="preserve">profesionales del Dr. Fernando Cortez Lugo, por su patrocinio </w:t>
      </w:r>
      <w:r>
        <w:rPr>
          <w:sz w:val="16"/>
          <w:szCs w:val="16"/>
          <w:lang w:val="es-ES_tradnl"/>
        </w:rPr>
        <w:t>legal en la presente causa (...)</w:t>
      </w:r>
      <w:r>
        <w:rPr>
          <w:rFonts w:cs="Times New Roman"/>
          <w:sz w:val="16"/>
          <w:szCs w:val="16"/>
          <w:lang w:val="es-ES_tradnl"/>
        </w:rPr>
        <w:t>”</w:t>
      </w:r>
      <w:r>
        <w:rPr>
          <w:sz w:val="16"/>
          <w:szCs w:val="16"/>
          <w:lang w:val="es-ES_tradnl"/>
        </w:rPr>
        <w:t>.</w:t>
      </w:r>
    </w:p>
    <w:p w14:paraId="4F67AD4F" w14:textId="77777777" w:rsidR="00591D54" w:rsidRDefault="00591D54">
      <w:pPr>
        <w:shd w:val="clear" w:color="auto" w:fill="FFFFFF"/>
        <w:spacing w:before="197"/>
      </w:pPr>
      <w:r>
        <w:rPr>
          <w:b/>
          <w:bCs/>
          <w:spacing w:val="-11"/>
          <w:sz w:val="18"/>
          <w:szCs w:val="18"/>
          <w:lang w:val="es-ES_tradnl"/>
        </w:rPr>
        <w:t>Sentencia de segunda instancia</w:t>
      </w:r>
    </w:p>
    <w:p w14:paraId="4F67AD50" w14:textId="77777777" w:rsidR="00591D54" w:rsidRDefault="00591D54">
      <w:pPr>
        <w:shd w:val="clear" w:color="auto" w:fill="FFFFFF"/>
        <w:spacing w:before="202" w:line="216" w:lineRule="exact"/>
        <w:ind w:left="283"/>
        <w:jc w:val="both"/>
      </w:pPr>
      <w:r>
        <w:rPr>
          <w:b/>
          <w:bCs/>
          <w:sz w:val="16"/>
          <w:szCs w:val="16"/>
          <w:lang w:val="es-ES_tradnl"/>
        </w:rPr>
        <w:t xml:space="preserve">CORTE PROVINCIAL DE JUSTICIA DEL GUAYAS.-TERCERA SALA DE LO PENAL, COLUSORIOS Y </w:t>
      </w:r>
      <w:r>
        <w:rPr>
          <w:b/>
          <w:bCs/>
          <w:spacing w:val="-4"/>
          <w:sz w:val="16"/>
          <w:szCs w:val="16"/>
          <w:lang w:val="es-ES_tradnl"/>
        </w:rPr>
        <w:t>TRANSITO</w:t>
      </w:r>
      <w:r>
        <w:rPr>
          <w:spacing w:val="-4"/>
          <w:sz w:val="16"/>
          <w:szCs w:val="16"/>
          <w:lang w:val="es-ES_tradnl"/>
        </w:rPr>
        <w:t>. Guayaquil, mi</w:t>
      </w:r>
      <w:r>
        <w:rPr>
          <w:rFonts w:cs="Times New Roman"/>
          <w:spacing w:val="-4"/>
          <w:sz w:val="16"/>
          <w:szCs w:val="16"/>
          <w:lang w:val="es-ES_tradnl"/>
        </w:rPr>
        <w:t>é</w:t>
      </w:r>
      <w:r>
        <w:rPr>
          <w:spacing w:val="-4"/>
          <w:sz w:val="16"/>
          <w:szCs w:val="16"/>
          <w:lang w:val="es-ES_tradnl"/>
        </w:rPr>
        <w:t xml:space="preserve">rcoles 31 de octubre del 2012, </w:t>
      </w:r>
      <w:r>
        <w:rPr>
          <w:spacing w:val="-5"/>
          <w:sz w:val="16"/>
          <w:szCs w:val="16"/>
          <w:lang w:val="es-ES_tradnl"/>
        </w:rPr>
        <w:t xml:space="preserve">las 16h33. VISTOS (...) SEXTO: (...) En los antecedentes </w:t>
      </w:r>
      <w:r>
        <w:rPr>
          <w:spacing w:val="-4"/>
          <w:sz w:val="16"/>
          <w:szCs w:val="16"/>
          <w:lang w:val="es-ES_tradnl"/>
        </w:rPr>
        <w:t xml:space="preserve">relatados por el accionante, y de las actuaciones judiciales </w:t>
      </w:r>
      <w:r>
        <w:rPr>
          <w:spacing w:val="-9"/>
          <w:sz w:val="16"/>
          <w:szCs w:val="16"/>
          <w:lang w:val="es-ES_tradnl"/>
        </w:rPr>
        <w:t xml:space="preserve">que anteceden se ha logrado demostrar que la baja impuesta al </w:t>
      </w:r>
      <w:r>
        <w:rPr>
          <w:spacing w:val="-7"/>
          <w:sz w:val="16"/>
          <w:szCs w:val="16"/>
          <w:lang w:val="es-ES_tradnl"/>
        </w:rPr>
        <w:t>legitimado activo, carece de fundamentos legales v</w:t>
      </w:r>
      <w:r>
        <w:rPr>
          <w:rFonts w:cs="Times New Roman"/>
          <w:spacing w:val="-7"/>
          <w:sz w:val="16"/>
          <w:szCs w:val="16"/>
          <w:lang w:val="es-ES_tradnl"/>
        </w:rPr>
        <w:t>á</w:t>
      </w:r>
      <w:r>
        <w:rPr>
          <w:spacing w:val="-7"/>
          <w:sz w:val="16"/>
          <w:szCs w:val="16"/>
          <w:lang w:val="es-ES_tradnl"/>
        </w:rPr>
        <w:t>lidos, as</w:t>
      </w:r>
      <w:r>
        <w:rPr>
          <w:rFonts w:cs="Times New Roman"/>
          <w:spacing w:val="-7"/>
          <w:sz w:val="16"/>
          <w:szCs w:val="16"/>
          <w:lang w:val="es-ES_tradnl"/>
        </w:rPr>
        <w:t xml:space="preserve">í </w:t>
      </w:r>
      <w:r>
        <w:rPr>
          <w:spacing w:val="-9"/>
          <w:sz w:val="16"/>
          <w:szCs w:val="16"/>
          <w:lang w:val="es-ES_tradnl"/>
        </w:rPr>
        <w:t>como tambi</w:t>
      </w:r>
      <w:r>
        <w:rPr>
          <w:rFonts w:cs="Times New Roman"/>
          <w:spacing w:val="-9"/>
          <w:sz w:val="16"/>
          <w:szCs w:val="16"/>
          <w:lang w:val="es-ES_tradnl"/>
        </w:rPr>
        <w:t>é</w:t>
      </w:r>
      <w:r>
        <w:rPr>
          <w:spacing w:val="-9"/>
          <w:sz w:val="16"/>
          <w:szCs w:val="16"/>
          <w:lang w:val="es-ES_tradnl"/>
        </w:rPr>
        <w:t xml:space="preserve">n, se ha demostrado que la misma no cumple con </w:t>
      </w:r>
      <w:r>
        <w:rPr>
          <w:spacing w:val="-7"/>
          <w:sz w:val="16"/>
          <w:szCs w:val="16"/>
          <w:lang w:val="es-ES_tradnl"/>
        </w:rPr>
        <w:t xml:space="preserve">los requisitos exigidos en la Ley que en aquella </w:t>
      </w:r>
      <w:r>
        <w:rPr>
          <w:rFonts w:cs="Times New Roman"/>
          <w:spacing w:val="-7"/>
          <w:sz w:val="16"/>
          <w:szCs w:val="16"/>
          <w:lang w:val="es-ES_tradnl"/>
        </w:rPr>
        <w:t>é</w:t>
      </w:r>
      <w:r>
        <w:rPr>
          <w:spacing w:val="-7"/>
          <w:sz w:val="16"/>
          <w:szCs w:val="16"/>
          <w:lang w:val="es-ES_tradnl"/>
        </w:rPr>
        <w:t>poca reg</w:t>
      </w:r>
      <w:r>
        <w:rPr>
          <w:rFonts w:cs="Times New Roman"/>
          <w:spacing w:val="-7"/>
          <w:sz w:val="16"/>
          <w:szCs w:val="16"/>
          <w:lang w:val="es-ES_tradnl"/>
        </w:rPr>
        <w:t>í</w:t>
      </w:r>
      <w:r>
        <w:rPr>
          <w:spacing w:val="-7"/>
          <w:sz w:val="16"/>
          <w:szCs w:val="16"/>
          <w:lang w:val="es-ES_tradnl"/>
        </w:rPr>
        <w:t xml:space="preserve">a a </w:t>
      </w:r>
      <w:r>
        <w:rPr>
          <w:spacing w:val="-8"/>
          <w:sz w:val="16"/>
          <w:szCs w:val="16"/>
          <w:lang w:val="es-ES_tradnl"/>
        </w:rPr>
        <w:t>las fuerzas armadas, C</w:t>
      </w:r>
      <w:r>
        <w:rPr>
          <w:rFonts w:cs="Times New Roman"/>
          <w:spacing w:val="-8"/>
          <w:sz w:val="16"/>
          <w:szCs w:val="16"/>
          <w:lang w:val="es-ES_tradnl"/>
        </w:rPr>
        <w:t>ó</w:t>
      </w:r>
      <w:r>
        <w:rPr>
          <w:spacing w:val="-8"/>
          <w:sz w:val="16"/>
          <w:szCs w:val="16"/>
          <w:lang w:val="es-ES_tradnl"/>
        </w:rPr>
        <w:t>digo Penal Militar; por cuanto el d</w:t>
      </w:r>
      <w:r>
        <w:rPr>
          <w:rFonts w:cs="Times New Roman"/>
          <w:spacing w:val="-8"/>
          <w:sz w:val="16"/>
          <w:szCs w:val="16"/>
          <w:lang w:val="es-ES_tradnl"/>
        </w:rPr>
        <w:t>í</w:t>
      </w:r>
      <w:r>
        <w:rPr>
          <w:spacing w:val="-8"/>
          <w:sz w:val="16"/>
          <w:szCs w:val="16"/>
          <w:lang w:val="es-ES_tradnl"/>
        </w:rPr>
        <w:t xml:space="preserve">a 11 </w:t>
      </w:r>
      <w:r>
        <w:rPr>
          <w:spacing w:val="-7"/>
          <w:sz w:val="16"/>
          <w:szCs w:val="16"/>
          <w:lang w:val="es-ES_tradnl"/>
        </w:rPr>
        <w:t xml:space="preserve">de noviembre de 1995 fue dado de baja, y posteriormente se </w:t>
      </w:r>
      <w:r>
        <w:rPr>
          <w:spacing w:val="-6"/>
          <w:sz w:val="16"/>
          <w:szCs w:val="16"/>
          <w:lang w:val="es-ES_tradnl"/>
        </w:rPr>
        <w:t>report</w:t>
      </w:r>
      <w:r>
        <w:rPr>
          <w:rFonts w:cs="Times New Roman"/>
          <w:spacing w:val="-6"/>
          <w:sz w:val="16"/>
          <w:szCs w:val="16"/>
          <w:lang w:val="es-ES_tradnl"/>
        </w:rPr>
        <w:t>ó</w:t>
      </w:r>
      <w:r>
        <w:rPr>
          <w:spacing w:val="-6"/>
          <w:sz w:val="16"/>
          <w:szCs w:val="16"/>
          <w:lang w:val="es-ES_tradnl"/>
        </w:rPr>
        <w:t xml:space="preserve"> un hecho inexistente y se dict</w:t>
      </w:r>
      <w:r>
        <w:rPr>
          <w:rFonts w:cs="Times New Roman"/>
          <w:spacing w:val="-6"/>
          <w:sz w:val="16"/>
          <w:szCs w:val="16"/>
          <w:lang w:val="es-ES_tradnl"/>
        </w:rPr>
        <w:t>ó</w:t>
      </w:r>
      <w:r>
        <w:rPr>
          <w:spacing w:val="-6"/>
          <w:sz w:val="16"/>
          <w:szCs w:val="16"/>
          <w:lang w:val="es-ES_tradnl"/>
        </w:rPr>
        <w:t xml:space="preserve"> una nueva resoluci</w:t>
      </w:r>
      <w:r>
        <w:rPr>
          <w:rFonts w:cs="Times New Roman"/>
          <w:spacing w:val="-6"/>
          <w:sz w:val="16"/>
          <w:szCs w:val="16"/>
          <w:lang w:val="es-ES_tradnl"/>
        </w:rPr>
        <w:t>ó</w:t>
      </w:r>
      <w:r>
        <w:rPr>
          <w:spacing w:val="-6"/>
          <w:sz w:val="16"/>
          <w:szCs w:val="16"/>
          <w:lang w:val="es-ES_tradnl"/>
        </w:rPr>
        <w:t>n haciendo constar una nueva supuesta deserci</w:t>
      </w:r>
      <w:r>
        <w:rPr>
          <w:rFonts w:cs="Times New Roman"/>
          <w:spacing w:val="-6"/>
          <w:sz w:val="16"/>
          <w:szCs w:val="16"/>
          <w:lang w:val="es-ES_tradnl"/>
        </w:rPr>
        <w:t>ó</w:t>
      </w:r>
      <w:r>
        <w:rPr>
          <w:spacing w:val="-6"/>
          <w:sz w:val="16"/>
          <w:szCs w:val="16"/>
          <w:lang w:val="es-ES_tradnl"/>
        </w:rPr>
        <w:t xml:space="preserve">n desde el 16 </w:t>
      </w:r>
      <w:r>
        <w:rPr>
          <w:spacing w:val="-5"/>
          <w:sz w:val="16"/>
          <w:szCs w:val="16"/>
          <w:lang w:val="es-ES_tradnl"/>
        </w:rPr>
        <w:t>de noviembre de 1995 al 28 de noviembre del mismo a</w:t>
      </w:r>
      <w:r>
        <w:rPr>
          <w:rFonts w:cs="Times New Roman"/>
          <w:spacing w:val="-5"/>
          <w:sz w:val="16"/>
          <w:szCs w:val="16"/>
          <w:lang w:val="es-ES_tradnl"/>
        </w:rPr>
        <w:t>ñ</w:t>
      </w:r>
      <w:r>
        <w:rPr>
          <w:spacing w:val="-5"/>
          <w:sz w:val="16"/>
          <w:szCs w:val="16"/>
          <w:lang w:val="es-ES_tradnl"/>
        </w:rPr>
        <w:t xml:space="preserve">o, </w:t>
      </w:r>
      <w:r>
        <w:rPr>
          <w:spacing w:val="-10"/>
          <w:sz w:val="16"/>
          <w:szCs w:val="16"/>
          <w:lang w:val="es-ES_tradnl"/>
        </w:rPr>
        <w:t xml:space="preserve">precisamente por el hecho de que </w:t>
      </w:r>
      <w:r>
        <w:rPr>
          <w:rFonts w:cs="Times New Roman"/>
          <w:spacing w:val="-10"/>
          <w:sz w:val="16"/>
          <w:szCs w:val="16"/>
          <w:lang w:val="es-ES_tradnl"/>
        </w:rPr>
        <w:t>é</w:t>
      </w:r>
      <w:r>
        <w:rPr>
          <w:spacing w:val="-10"/>
          <w:sz w:val="16"/>
          <w:szCs w:val="16"/>
          <w:lang w:val="es-ES_tradnl"/>
        </w:rPr>
        <w:t>l ya hab</w:t>
      </w:r>
      <w:r>
        <w:rPr>
          <w:rFonts w:cs="Times New Roman"/>
          <w:spacing w:val="-10"/>
          <w:sz w:val="16"/>
          <w:szCs w:val="16"/>
          <w:lang w:val="es-ES_tradnl"/>
        </w:rPr>
        <w:t>í</w:t>
      </w:r>
      <w:r>
        <w:rPr>
          <w:spacing w:val="-10"/>
          <w:sz w:val="16"/>
          <w:szCs w:val="16"/>
          <w:lang w:val="es-ES_tradnl"/>
        </w:rPr>
        <w:t xml:space="preserve">a sido dado de baja </w:t>
      </w:r>
      <w:r>
        <w:rPr>
          <w:spacing w:val="-6"/>
          <w:sz w:val="16"/>
          <w:szCs w:val="16"/>
          <w:lang w:val="es-ES_tradnl"/>
        </w:rPr>
        <w:t>por la Direcci</w:t>
      </w:r>
      <w:r>
        <w:rPr>
          <w:rFonts w:cs="Times New Roman"/>
          <w:spacing w:val="-6"/>
          <w:sz w:val="16"/>
          <w:szCs w:val="16"/>
          <w:lang w:val="es-ES_tradnl"/>
        </w:rPr>
        <w:t>ó</w:t>
      </w:r>
      <w:r>
        <w:rPr>
          <w:spacing w:val="-6"/>
          <w:sz w:val="16"/>
          <w:szCs w:val="16"/>
          <w:lang w:val="es-ES_tradnl"/>
        </w:rPr>
        <w:t xml:space="preserve">n General del Personal de la Armada en una </w:t>
      </w:r>
      <w:r>
        <w:rPr>
          <w:spacing w:val="-7"/>
          <w:sz w:val="16"/>
          <w:szCs w:val="16"/>
          <w:lang w:val="es-ES_tradnl"/>
        </w:rPr>
        <w:t>fecha anterior, hecho que constituye una violaci</w:t>
      </w:r>
      <w:r>
        <w:rPr>
          <w:rFonts w:cs="Times New Roman"/>
          <w:spacing w:val="-7"/>
          <w:sz w:val="16"/>
          <w:szCs w:val="16"/>
          <w:lang w:val="es-ES_tradnl"/>
        </w:rPr>
        <w:t>ó</w:t>
      </w:r>
      <w:r>
        <w:rPr>
          <w:spacing w:val="-7"/>
          <w:sz w:val="16"/>
          <w:szCs w:val="16"/>
          <w:lang w:val="es-ES_tradnl"/>
        </w:rPr>
        <w:t xml:space="preserve">n al principio </w:t>
      </w:r>
      <w:r>
        <w:rPr>
          <w:rFonts w:cs="Times New Roman"/>
          <w:spacing w:val="-1"/>
          <w:sz w:val="16"/>
          <w:szCs w:val="16"/>
          <w:lang w:val="es-ES_tradnl"/>
        </w:rPr>
        <w:t>“</w:t>
      </w:r>
      <w:r>
        <w:rPr>
          <w:spacing w:val="-1"/>
          <w:sz w:val="16"/>
          <w:szCs w:val="16"/>
          <w:lang w:val="es-ES_tradnl"/>
        </w:rPr>
        <w:t>NOM BIS IN IDEM</w:t>
      </w:r>
      <w:r>
        <w:rPr>
          <w:rFonts w:cs="Times New Roman"/>
          <w:spacing w:val="-1"/>
          <w:sz w:val="16"/>
          <w:szCs w:val="16"/>
          <w:lang w:val="es-ES_tradnl"/>
        </w:rPr>
        <w:t>”</w:t>
      </w:r>
      <w:r>
        <w:rPr>
          <w:spacing w:val="-1"/>
          <w:sz w:val="16"/>
          <w:szCs w:val="16"/>
          <w:lang w:val="es-ES_tradnl"/>
        </w:rPr>
        <w:t xml:space="preserve"> (Sic) que proh</w:t>
      </w:r>
      <w:r>
        <w:rPr>
          <w:rFonts w:cs="Times New Roman"/>
          <w:spacing w:val="-1"/>
          <w:sz w:val="16"/>
          <w:szCs w:val="16"/>
          <w:lang w:val="es-ES_tradnl"/>
        </w:rPr>
        <w:t>í</w:t>
      </w:r>
      <w:r>
        <w:rPr>
          <w:spacing w:val="-1"/>
          <w:sz w:val="16"/>
          <w:szCs w:val="16"/>
          <w:lang w:val="es-ES_tradnl"/>
        </w:rPr>
        <w:t xml:space="preserve">be que una persona </w:t>
      </w:r>
      <w:r>
        <w:rPr>
          <w:spacing w:val="-8"/>
          <w:sz w:val="16"/>
          <w:szCs w:val="16"/>
          <w:lang w:val="es-ES_tradnl"/>
        </w:rPr>
        <w:t>sea juzgada m</w:t>
      </w:r>
      <w:r>
        <w:rPr>
          <w:rFonts w:cs="Times New Roman"/>
          <w:spacing w:val="-8"/>
          <w:sz w:val="16"/>
          <w:szCs w:val="16"/>
          <w:lang w:val="es-ES_tradnl"/>
        </w:rPr>
        <w:t>á</w:t>
      </w:r>
      <w:r>
        <w:rPr>
          <w:spacing w:val="-8"/>
          <w:sz w:val="16"/>
          <w:szCs w:val="16"/>
          <w:lang w:val="es-ES_tradnl"/>
        </w:rPr>
        <w:t>s de una ocasi</w:t>
      </w:r>
      <w:r>
        <w:rPr>
          <w:rFonts w:cs="Times New Roman"/>
          <w:spacing w:val="-8"/>
          <w:sz w:val="16"/>
          <w:szCs w:val="16"/>
          <w:lang w:val="es-ES_tradnl"/>
        </w:rPr>
        <w:t>ó</w:t>
      </w:r>
      <w:r>
        <w:rPr>
          <w:spacing w:val="-8"/>
          <w:sz w:val="16"/>
          <w:szCs w:val="16"/>
          <w:lang w:val="es-ES_tradnl"/>
        </w:rPr>
        <w:t xml:space="preserve">n por la misma causa y/o que </w:t>
      </w:r>
      <w:r>
        <w:rPr>
          <w:spacing w:val="-6"/>
          <w:sz w:val="16"/>
          <w:szCs w:val="16"/>
          <w:lang w:val="es-ES_tradnl"/>
        </w:rPr>
        <w:t>constituye una violaci</w:t>
      </w:r>
      <w:r>
        <w:rPr>
          <w:rFonts w:cs="Times New Roman"/>
          <w:spacing w:val="-6"/>
          <w:sz w:val="16"/>
          <w:szCs w:val="16"/>
          <w:lang w:val="es-ES_tradnl"/>
        </w:rPr>
        <w:t>ó</w:t>
      </w:r>
      <w:r>
        <w:rPr>
          <w:spacing w:val="-6"/>
          <w:sz w:val="16"/>
          <w:szCs w:val="16"/>
          <w:lang w:val="es-ES_tradnl"/>
        </w:rPr>
        <w:t xml:space="preserve">n al ejercicio del derecho de defensa, </w:t>
      </w:r>
      <w:r>
        <w:rPr>
          <w:spacing w:val="-8"/>
          <w:sz w:val="16"/>
          <w:szCs w:val="16"/>
          <w:lang w:val="es-ES_tradnl"/>
        </w:rPr>
        <w:t>toda vez que si se inici</w:t>
      </w:r>
      <w:r>
        <w:rPr>
          <w:rFonts w:cs="Times New Roman"/>
          <w:spacing w:val="-8"/>
          <w:sz w:val="16"/>
          <w:szCs w:val="16"/>
          <w:lang w:val="es-ES_tradnl"/>
        </w:rPr>
        <w:t>ó</w:t>
      </w:r>
      <w:r>
        <w:rPr>
          <w:spacing w:val="-8"/>
          <w:sz w:val="16"/>
          <w:szCs w:val="16"/>
          <w:lang w:val="es-ES_tradnl"/>
        </w:rPr>
        <w:t xml:space="preserve"> un proceso disciplinario por la primera </w:t>
      </w:r>
      <w:r>
        <w:rPr>
          <w:spacing w:val="-5"/>
          <w:sz w:val="16"/>
          <w:szCs w:val="16"/>
          <w:lang w:val="es-ES_tradnl"/>
        </w:rPr>
        <w:t>falta en la que se determin</w:t>
      </w:r>
      <w:r>
        <w:rPr>
          <w:rFonts w:cs="Times New Roman"/>
          <w:spacing w:val="-5"/>
          <w:sz w:val="16"/>
          <w:szCs w:val="16"/>
          <w:lang w:val="es-ES_tradnl"/>
        </w:rPr>
        <w:t>ó</w:t>
      </w:r>
      <w:r>
        <w:rPr>
          <w:spacing w:val="-5"/>
          <w:sz w:val="16"/>
          <w:szCs w:val="16"/>
          <w:lang w:val="es-ES_tradnl"/>
        </w:rPr>
        <w:t xml:space="preserve"> la falta de requisitos (tiempo-11 d</w:t>
      </w:r>
      <w:r>
        <w:rPr>
          <w:rFonts w:cs="Times New Roman"/>
          <w:spacing w:val="-5"/>
          <w:sz w:val="16"/>
          <w:szCs w:val="16"/>
          <w:lang w:val="es-ES_tradnl"/>
        </w:rPr>
        <w:t>í</w:t>
      </w:r>
      <w:r>
        <w:rPr>
          <w:spacing w:val="-5"/>
          <w:sz w:val="16"/>
          <w:szCs w:val="16"/>
          <w:lang w:val="es-ES_tradnl"/>
        </w:rPr>
        <w:t>as) para sustanciar el nuevo tr</w:t>
      </w:r>
      <w:r>
        <w:rPr>
          <w:rFonts w:cs="Times New Roman"/>
          <w:spacing w:val="-5"/>
          <w:sz w:val="16"/>
          <w:szCs w:val="16"/>
          <w:lang w:val="es-ES_tradnl"/>
        </w:rPr>
        <w:t>á</w:t>
      </w:r>
      <w:r>
        <w:rPr>
          <w:spacing w:val="-5"/>
          <w:sz w:val="16"/>
          <w:szCs w:val="16"/>
          <w:lang w:val="es-ES_tradnl"/>
        </w:rPr>
        <w:t>mite deb</w:t>
      </w:r>
      <w:r>
        <w:rPr>
          <w:rFonts w:cs="Times New Roman"/>
          <w:spacing w:val="-5"/>
          <w:sz w:val="16"/>
          <w:szCs w:val="16"/>
          <w:lang w:val="es-ES_tradnl"/>
        </w:rPr>
        <w:t>í</w:t>
      </w:r>
      <w:r>
        <w:rPr>
          <w:spacing w:val="-5"/>
          <w:sz w:val="16"/>
          <w:szCs w:val="16"/>
          <w:lang w:val="es-ES_tradnl"/>
        </w:rPr>
        <w:t>a cit</w:t>
      </w:r>
      <w:r>
        <w:rPr>
          <w:rFonts w:cs="Times New Roman"/>
          <w:spacing w:val="-5"/>
          <w:sz w:val="16"/>
          <w:szCs w:val="16"/>
          <w:lang w:val="es-ES_tradnl"/>
        </w:rPr>
        <w:t>á</w:t>
      </w:r>
      <w:r>
        <w:rPr>
          <w:spacing w:val="-5"/>
          <w:sz w:val="16"/>
          <w:szCs w:val="16"/>
          <w:lang w:val="es-ES_tradnl"/>
        </w:rPr>
        <w:t xml:space="preserve">rselo al accionante, y [permitirle] de esta forma ejercer su derecho a </w:t>
      </w:r>
      <w:r>
        <w:rPr>
          <w:spacing w:val="-6"/>
          <w:sz w:val="16"/>
          <w:szCs w:val="16"/>
          <w:lang w:val="es-ES_tradnl"/>
        </w:rPr>
        <w:t xml:space="preserve">la defensa; ya que lo cometido por el referido miembro de la </w:t>
      </w:r>
      <w:r>
        <w:rPr>
          <w:spacing w:val="-5"/>
          <w:sz w:val="16"/>
          <w:szCs w:val="16"/>
          <w:lang w:val="es-ES_tradnl"/>
        </w:rPr>
        <w:t xml:space="preserve">Armada debe ser considerado como una </w:t>
      </w:r>
      <w:r>
        <w:rPr>
          <w:rFonts w:cs="Times New Roman"/>
          <w:spacing w:val="-5"/>
          <w:sz w:val="16"/>
          <w:szCs w:val="16"/>
          <w:lang w:val="es-ES_tradnl"/>
        </w:rPr>
        <w:t>“</w:t>
      </w:r>
      <w:r>
        <w:rPr>
          <w:spacing w:val="-5"/>
          <w:sz w:val="16"/>
          <w:szCs w:val="16"/>
          <w:lang w:val="es-ES_tradnl"/>
        </w:rPr>
        <w:t>falta atentatoria</w:t>
      </w:r>
      <w:r>
        <w:rPr>
          <w:rFonts w:cs="Times New Roman"/>
          <w:spacing w:val="-5"/>
          <w:sz w:val="16"/>
          <w:szCs w:val="16"/>
          <w:lang w:val="es-ES_tradnl"/>
        </w:rPr>
        <w:t>”</w:t>
      </w:r>
      <w:r>
        <w:rPr>
          <w:spacing w:val="-5"/>
          <w:sz w:val="16"/>
          <w:szCs w:val="16"/>
          <w:lang w:val="es-ES_tradnl"/>
        </w:rPr>
        <w:t xml:space="preserve">, </w:t>
      </w:r>
      <w:r>
        <w:rPr>
          <w:spacing w:val="-7"/>
          <w:sz w:val="16"/>
          <w:szCs w:val="16"/>
          <w:lang w:val="es-ES_tradnl"/>
        </w:rPr>
        <w:t>debi</w:t>
      </w:r>
      <w:r>
        <w:rPr>
          <w:rFonts w:cs="Times New Roman"/>
          <w:spacing w:val="-7"/>
          <w:sz w:val="16"/>
          <w:szCs w:val="16"/>
          <w:lang w:val="es-ES_tradnl"/>
        </w:rPr>
        <w:t>ó</w:t>
      </w:r>
      <w:r>
        <w:rPr>
          <w:spacing w:val="-7"/>
          <w:sz w:val="16"/>
          <w:szCs w:val="16"/>
          <w:lang w:val="es-ES_tradnl"/>
        </w:rPr>
        <w:t xml:space="preserve"> juzg</w:t>
      </w:r>
      <w:r>
        <w:rPr>
          <w:rFonts w:cs="Times New Roman"/>
          <w:spacing w:val="-7"/>
          <w:sz w:val="16"/>
          <w:szCs w:val="16"/>
          <w:lang w:val="es-ES_tradnl"/>
        </w:rPr>
        <w:t>á</w:t>
      </w:r>
      <w:r>
        <w:rPr>
          <w:spacing w:val="-7"/>
          <w:sz w:val="16"/>
          <w:szCs w:val="16"/>
          <w:lang w:val="es-ES_tradnl"/>
        </w:rPr>
        <w:t xml:space="preserve">rselo por esa falta, y no por otra, lo que, constituye </w:t>
      </w:r>
      <w:r>
        <w:rPr>
          <w:spacing w:val="-5"/>
          <w:sz w:val="16"/>
          <w:szCs w:val="16"/>
          <w:lang w:val="es-ES_tradnl"/>
        </w:rPr>
        <w:t>una violaci</w:t>
      </w:r>
      <w:r>
        <w:rPr>
          <w:rFonts w:cs="Times New Roman"/>
          <w:spacing w:val="-5"/>
          <w:sz w:val="16"/>
          <w:szCs w:val="16"/>
          <w:lang w:val="es-ES_tradnl"/>
        </w:rPr>
        <w:t>ó</w:t>
      </w:r>
      <w:r>
        <w:rPr>
          <w:spacing w:val="-5"/>
          <w:sz w:val="16"/>
          <w:szCs w:val="16"/>
          <w:lang w:val="es-ES_tradnl"/>
        </w:rPr>
        <w:t>n al [principio de proporcionalidad entre la acci</w:t>
      </w:r>
      <w:r>
        <w:rPr>
          <w:rFonts w:cs="Times New Roman"/>
          <w:spacing w:val="-5"/>
          <w:sz w:val="16"/>
          <w:szCs w:val="16"/>
          <w:lang w:val="es-ES_tradnl"/>
        </w:rPr>
        <w:t>ó</w:t>
      </w:r>
      <w:r>
        <w:rPr>
          <w:spacing w:val="-5"/>
          <w:sz w:val="16"/>
          <w:szCs w:val="16"/>
          <w:lang w:val="es-ES_tradnl"/>
        </w:rPr>
        <w:t xml:space="preserve">n </w:t>
      </w:r>
      <w:r>
        <w:rPr>
          <w:spacing w:val="-6"/>
          <w:sz w:val="16"/>
          <w:szCs w:val="16"/>
          <w:lang w:val="es-ES_tradnl"/>
        </w:rPr>
        <w:t>y la sanci</w:t>
      </w:r>
      <w:r>
        <w:rPr>
          <w:rFonts w:cs="Times New Roman"/>
          <w:spacing w:val="-6"/>
          <w:sz w:val="16"/>
          <w:szCs w:val="16"/>
          <w:lang w:val="es-ES_tradnl"/>
        </w:rPr>
        <w:t>ó</w:t>
      </w:r>
      <w:r>
        <w:rPr>
          <w:spacing w:val="-6"/>
          <w:sz w:val="16"/>
          <w:szCs w:val="16"/>
          <w:lang w:val="es-ES_tradnl"/>
        </w:rPr>
        <w:t xml:space="preserve">n]; al debido proceso y al derecho a la defensa. Hechos precisos que desembocaron en la baja del referido </w:t>
      </w:r>
      <w:r>
        <w:rPr>
          <w:spacing w:val="-3"/>
          <w:sz w:val="16"/>
          <w:szCs w:val="16"/>
          <w:lang w:val="es-ES_tradnl"/>
        </w:rPr>
        <w:t>miembro de la Armada, lo cual a su vez afect</w:t>
      </w:r>
      <w:r>
        <w:rPr>
          <w:rFonts w:cs="Times New Roman"/>
          <w:spacing w:val="-3"/>
          <w:sz w:val="16"/>
          <w:szCs w:val="16"/>
          <w:lang w:val="es-ES_tradnl"/>
        </w:rPr>
        <w:t>ó</w:t>
      </w:r>
      <w:r>
        <w:rPr>
          <w:spacing w:val="-3"/>
          <w:sz w:val="16"/>
          <w:szCs w:val="16"/>
          <w:lang w:val="es-ES_tradnl"/>
        </w:rPr>
        <w:t xml:space="preserve"> su derecho </w:t>
      </w:r>
      <w:r>
        <w:rPr>
          <w:spacing w:val="-5"/>
          <w:sz w:val="16"/>
          <w:szCs w:val="16"/>
          <w:lang w:val="es-ES_tradnl"/>
        </w:rPr>
        <w:t>al trabajo, ocasion</w:t>
      </w:r>
      <w:r>
        <w:rPr>
          <w:rFonts w:cs="Times New Roman"/>
          <w:spacing w:val="-5"/>
          <w:sz w:val="16"/>
          <w:szCs w:val="16"/>
          <w:lang w:val="es-ES_tradnl"/>
        </w:rPr>
        <w:t>á</w:t>
      </w:r>
      <w:r>
        <w:rPr>
          <w:spacing w:val="-5"/>
          <w:sz w:val="16"/>
          <w:szCs w:val="16"/>
          <w:lang w:val="es-ES_tradnl"/>
        </w:rPr>
        <w:t>ndole as</w:t>
      </w:r>
      <w:r>
        <w:rPr>
          <w:rFonts w:cs="Times New Roman"/>
          <w:spacing w:val="-5"/>
          <w:sz w:val="16"/>
          <w:szCs w:val="16"/>
          <w:lang w:val="es-ES_tradnl"/>
        </w:rPr>
        <w:t>í</w:t>
      </w:r>
      <w:r>
        <w:rPr>
          <w:spacing w:val="-5"/>
          <w:sz w:val="16"/>
          <w:szCs w:val="16"/>
          <w:lang w:val="es-ES_tradnl"/>
        </w:rPr>
        <w:t xml:space="preserve"> un da</w:t>
      </w:r>
      <w:r>
        <w:rPr>
          <w:rFonts w:cs="Times New Roman"/>
          <w:spacing w:val="-5"/>
          <w:sz w:val="16"/>
          <w:szCs w:val="16"/>
          <w:lang w:val="es-ES_tradnl"/>
        </w:rPr>
        <w:t>ñ</w:t>
      </w:r>
      <w:r>
        <w:rPr>
          <w:spacing w:val="-5"/>
          <w:sz w:val="16"/>
          <w:szCs w:val="16"/>
          <w:lang w:val="es-ES_tradnl"/>
        </w:rPr>
        <w:t xml:space="preserve">o grave e inminente. </w:t>
      </w:r>
      <w:r>
        <w:rPr>
          <w:spacing w:val="-7"/>
          <w:sz w:val="16"/>
          <w:szCs w:val="16"/>
          <w:lang w:val="es-ES_tradnl"/>
        </w:rPr>
        <w:t xml:space="preserve">Derecho vulnerado que viene siendo reparado por la entidad accionada, misma que como consta de fs. 7-9 del cuadernillo </w:t>
      </w:r>
      <w:r>
        <w:rPr>
          <w:spacing w:val="-6"/>
          <w:sz w:val="16"/>
          <w:szCs w:val="16"/>
          <w:lang w:val="es-ES_tradnl"/>
        </w:rPr>
        <w:t>de la instancia, mediante resoluci</w:t>
      </w:r>
      <w:r>
        <w:rPr>
          <w:rFonts w:cs="Times New Roman"/>
          <w:spacing w:val="-6"/>
          <w:sz w:val="16"/>
          <w:szCs w:val="16"/>
          <w:lang w:val="es-ES_tradnl"/>
        </w:rPr>
        <w:t>ó</w:t>
      </w:r>
      <w:r>
        <w:rPr>
          <w:spacing w:val="-6"/>
          <w:sz w:val="16"/>
          <w:szCs w:val="16"/>
          <w:lang w:val="es-ES_tradnl"/>
        </w:rPr>
        <w:t xml:space="preserve">n COSTRI No 125-2012[,] </w:t>
      </w:r>
      <w:r>
        <w:rPr>
          <w:spacing w:val="-5"/>
          <w:sz w:val="16"/>
          <w:szCs w:val="16"/>
          <w:lang w:val="es-ES_tradnl"/>
        </w:rPr>
        <w:t xml:space="preserve">ha dispuesto el llamamiento a cumplir requisitos de ascenso </w:t>
      </w:r>
      <w:r>
        <w:rPr>
          <w:spacing w:val="-7"/>
          <w:sz w:val="16"/>
          <w:szCs w:val="16"/>
          <w:lang w:val="es-ES_tradnl"/>
        </w:rPr>
        <w:t xml:space="preserve">al accionante, es decir se ha ordenado su reintegro. Por tales </w:t>
      </w:r>
      <w:r>
        <w:rPr>
          <w:spacing w:val="-6"/>
          <w:sz w:val="16"/>
          <w:szCs w:val="16"/>
          <w:lang w:val="es-ES_tradnl"/>
        </w:rPr>
        <w:t>circunstancia esta Tercera Sala de lo Penal y Tr</w:t>
      </w:r>
      <w:r>
        <w:rPr>
          <w:rFonts w:cs="Times New Roman"/>
          <w:spacing w:val="-6"/>
          <w:sz w:val="16"/>
          <w:szCs w:val="16"/>
          <w:lang w:val="es-ES_tradnl"/>
        </w:rPr>
        <w:t>á</w:t>
      </w:r>
      <w:r>
        <w:rPr>
          <w:spacing w:val="-6"/>
          <w:sz w:val="16"/>
          <w:szCs w:val="16"/>
          <w:lang w:val="es-ES_tradnl"/>
        </w:rPr>
        <w:t xml:space="preserve">nsito de la </w:t>
      </w:r>
      <w:r>
        <w:rPr>
          <w:spacing w:val="-5"/>
          <w:sz w:val="16"/>
          <w:szCs w:val="16"/>
          <w:lang w:val="es-ES_tradnl"/>
        </w:rPr>
        <w:t xml:space="preserve">Corte Provincial de Justicia del Guayas </w:t>
      </w:r>
      <w:r>
        <w:rPr>
          <w:rFonts w:cs="Times New Roman"/>
          <w:spacing w:val="-5"/>
          <w:sz w:val="16"/>
          <w:szCs w:val="16"/>
          <w:lang w:val="es-ES_tradnl"/>
        </w:rPr>
        <w:t>“</w:t>
      </w:r>
      <w:r>
        <w:rPr>
          <w:spacing w:val="-5"/>
          <w:sz w:val="16"/>
          <w:szCs w:val="16"/>
          <w:lang w:val="es-ES_tradnl"/>
        </w:rPr>
        <w:t>ADMINISTRANDO</w:t>
      </w:r>
    </w:p>
    <w:p w14:paraId="4F67AD51" w14:textId="77777777" w:rsidR="00591D54" w:rsidRDefault="00591D54">
      <w:pPr>
        <w:shd w:val="clear" w:color="auto" w:fill="FFFFFF"/>
        <w:spacing w:line="216" w:lineRule="exact"/>
        <w:ind w:left="283"/>
        <w:jc w:val="both"/>
      </w:pPr>
      <w:r>
        <w:br w:type="column"/>
      </w:r>
      <w:r>
        <w:rPr>
          <w:spacing w:val="-2"/>
          <w:sz w:val="16"/>
          <w:szCs w:val="16"/>
          <w:lang w:val="es-ES_tradnl"/>
        </w:rPr>
        <w:t xml:space="preserve">JUSTICIA EN NOMBRE DEL PUEBLO SOBERANO DEL </w:t>
      </w:r>
      <w:r>
        <w:rPr>
          <w:spacing w:val="-3"/>
          <w:sz w:val="16"/>
          <w:szCs w:val="16"/>
          <w:lang w:val="es-ES_tradnl"/>
        </w:rPr>
        <w:t>ECUADOR Y POR AUTORIDAD DE LA CONSTITUCI</w:t>
      </w:r>
      <w:r>
        <w:rPr>
          <w:rFonts w:cs="Times New Roman"/>
          <w:spacing w:val="-3"/>
          <w:sz w:val="16"/>
          <w:szCs w:val="16"/>
          <w:lang w:val="es-ES_tradnl"/>
        </w:rPr>
        <w:t>Ó</w:t>
      </w:r>
      <w:r>
        <w:rPr>
          <w:spacing w:val="-3"/>
          <w:sz w:val="16"/>
          <w:szCs w:val="16"/>
          <w:lang w:val="es-ES_tradnl"/>
        </w:rPr>
        <w:t xml:space="preserve">N </w:t>
      </w:r>
      <w:r>
        <w:rPr>
          <w:sz w:val="16"/>
          <w:szCs w:val="16"/>
          <w:lang w:val="es-ES_tradnl"/>
        </w:rPr>
        <w:t>Y LAS LEYES DE LA REP</w:t>
      </w:r>
      <w:r>
        <w:rPr>
          <w:rFonts w:cs="Times New Roman"/>
          <w:sz w:val="16"/>
          <w:szCs w:val="16"/>
          <w:lang w:val="es-ES_tradnl"/>
        </w:rPr>
        <w:t>Ú</w:t>
      </w:r>
      <w:r>
        <w:rPr>
          <w:sz w:val="16"/>
          <w:szCs w:val="16"/>
          <w:lang w:val="es-ES_tradnl"/>
        </w:rPr>
        <w:t>BLICA</w:t>
      </w:r>
      <w:r>
        <w:rPr>
          <w:rFonts w:cs="Times New Roman"/>
          <w:sz w:val="16"/>
          <w:szCs w:val="16"/>
          <w:lang w:val="es-ES_tradnl"/>
        </w:rPr>
        <w:t>”</w:t>
      </w:r>
      <w:r>
        <w:rPr>
          <w:sz w:val="16"/>
          <w:szCs w:val="16"/>
          <w:lang w:val="es-ES_tradnl"/>
        </w:rPr>
        <w:t xml:space="preserve"> desechando los </w:t>
      </w:r>
      <w:r>
        <w:rPr>
          <w:spacing w:val="-6"/>
          <w:sz w:val="16"/>
          <w:szCs w:val="16"/>
          <w:lang w:val="es-ES_tradnl"/>
        </w:rPr>
        <w:t>recursos de apelaci</w:t>
      </w:r>
      <w:r>
        <w:rPr>
          <w:rFonts w:cs="Times New Roman"/>
          <w:spacing w:val="-6"/>
          <w:sz w:val="16"/>
          <w:szCs w:val="16"/>
          <w:lang w:val="es-ES_tradnl"/>
        </w:rPr>
        <w:t>ó</w:t>
      </w:r>
      <w:r>
        <w:rPr>
          <w:spacing w:val="-6"/>
          <w:sz w:val="16"/>
          <w:szCs w:val="16"/>
          <w:lang w:val="es-ES_tradnl"/>
        </w:rPr>
        <w:t>n interpuestos; y en estricta aplicaci</w:t>
      </w:r>
      <w:r>
        <w:rPr>
          <w:rFonts w:cs="Times New Roman"/>
          <w:spacing w:val="-6"/>
          <w:sz w:val="16"/>
          <w:szCs w:val="16"/>
          <w:lang w:val="es-ES_tradnl"/>
        </w:rPr>
        <w:t>ó</w:t>
      </w:r>
      <w:r>
        <w:rPr>
          <w:spacing w:val="-6"/>
          <w:sz w:val="16"/>
          <w:szCs w:val="16"/>
          <w:lang w:val="es-ES_tradnl"/>
        </w:rPr>
        <w:t xml:space="preserve">n a </w:t>
      </w:r>
      <w:r>
        <w:rPr>
          <w:spacing w:val="-4"/>
          <w:sz w:val="16"/>
          <w:szCs w:val="16"/>
          <w:lang w:val="es-ES_tradnl"/>
        </w:rPr>
        <w:t xml:space="preserve">lo dispuesto en el Art. 41, numeral 1 y Arts. 17 y 18 de la </w:t>
      </w:r>
      <w:r>
        <w:rPr>
          <w:spacing w:val="-10"/>
          <w:sz w:val="16"/>
          <w:szCs w:val="16"/>
          <w:lang w:val="es-ES_tradnl"/>
        </w:rPr>
        <w:t xml:space="preserve">LOGJCC; confirma en todas sus partes la sentencia dictada por </w:t>
      </w:r>
      <w:r>
        <w:rPr>
          <w:sz w:val="16"/>
          <w:szCs w:val="16"/>
          <w:lang w:val="es-ES_tradnl"/>
        </w:rPr>
        <w:t>la jueza a- quo (...)</w:t>
      </w:r>
      <w:r>
        <w:rPr>
          <w:rFonts w:cs="Times New Roman"/>
          <w:sz w:val="16"/>
          <w:szCs w:val="16"/>
          <w:lang w:val="es-ES_tradnl"/>
        </w:rPr>
        <w:t>”</w:t>
      </w:r>
      <w:r>
        <w:rPr>
          <w:sz w:val="16"/>
          <w:szCs w:val="16"/>
          <w:lang w:val="es-ES_tradnl"/>
        </w:rPr>
        <w:t>.</w:t>
      </w:r>
    </w:p>
    <w:p w14:paraId="4F67AD52" w14:textId="77777777" w:rsidR="00591D54" w:rsidRDefault="00591D54">
      <w:pPr>
        <w:shd w:val="clear" w:color="auto" w:fill="FFFFFF"/>
        <w:spacing w:before="197"/>
      </w:pPr>
      <w:r>
        <w:rPr>
          <w:b/>
          <w:bCs/>
          <w:spacing w:val="-11"/>
          <w:sz w:val="18"/>
          <w:szCs w:val="18"/>
          <w:lang w:val="es-ES_tradnl"/>
        </w:rPr>
        <w:t>De la contestaci</w:t>
      </w:r>
      <w:r>
        <w:rPr>
          <w:rFonts w:cs="Times New Roman"/>
          <w:b/>
          <w:bCs/>
          <w:spacing w:val="-11"/>
          <w:sz w:val="18"/>
          <w:szCs w:val="18"/>
          <w:lang w:val="es-ES_tradnl"/>
        </w:rPr>
        <w:t>ó</w:t>
      </w:r>
      <w:r>
        <w:rPr>
          <w:b/>
          <w:bCs/>
          <w:spacing w:val="-11"/>
          <w:sz w:val="18"/>
          <w:szCs w:val="18"/>
          <w:lang w:val="es-ES_tradnl"/>
        </w:rPr>
        <w:t>n y sus argumentos</w:t>
      </w:r>
    </w:p>
    <w:p w14:paraId="4F67AD53" w14:textId="77777777" w:rsidR="00591D54" w:rsidRDefault="00591D54">
      <w:pPr>
        <w:shd w:val="clear" w:color="auto" w:fill="FFFFFF"/>
        <w:spacing w:before="197" w:line="216" w:lineRule="exact"/>
        <w:ind w:right="5"/>
        <w:jc w:val="both"/>
      </w:pPr>
      <w:r>
        <w:rPr>
          <w:spacing w:val="-3"/>
          <w:sz w:val="18"/>
          <w:szCs w:val="18"/>
          <w:lang w:val="es-ES_tradnl"/>
        </w:rPr>
        <w:t>Los jueces, tanto del Juzgado Sexto de la Ni</w:t>
      </w:r>
      <w:r>
        <w:rPr>
          <w:rFonts w:cs="Times New Roman"/>
          <w:spacing w:val="-3"/>
          <w:sz w:val="18"/>
          <w:szCs w:val="18"/>
          <w:lang w:val="es-ES_tradnl"/>
        </w:rPr>
        <w:t>ñ</w:t>
      </w:r>
      <w:r>
        <w:rPr>
          <w:spacing w:val="-3"/>
          <w:sz w:val="18"/>
          <w:szCs w:val="18"/>
          <w:lang w:val="es-ES_tradnl"/>
        </w:rPr>
        <w:t xml:space="preserve">ez y </w:t>
      </w:r>
      <w:r>
        <w:rPr>
          <w:spacing w:val="-8"/>
          <w:sz w:val="18"/>
          <w:szCs w:val="18"/>
          <w:lang w:val="es-ES_tradnl"/>
        </w:rPr>
        <w:t xml:space="preserve">Adolescencia del Guayas, como de la Tercera Sala de lo </w:t>
      </w:r>
      <w:r>
        <w:rPr>
          <w:spacing w:val="-3"/>
          <w:sz w:val="18"/>
          <w:szCs w:val="18"/>
          <w:lang w:val="es-ES_tradnl"/>
        </w:rPr>
        <w:t>Penal, Colusorio y Tr</w:t>
      </w:r>
      <w:r>
        <w:rPr>
          <w:rFonts w:cs="Times New Roman"/>
          <w:spacing w:val="-3"/>
          <w:sz w:val="18"/>
          <w:szCs w:val="18"/>
          <w:lang w:val="es-ES_tradnl"/>
        </w:rPr>
        <w:t>á</w:t>
      </w:r>
      <w:r>
        <w:rPr>
          <w:spacing w:val="-3"/>
          <w:sz w:val="18"/>
          <w:szCs w:val="18"/>
          <w:lang w:val="es-ES_tradnl"/>
        </w:rPr>
        <w:t xml:space="preserve">nsito de la Corte Provincial de </w:t>
      </w:r>
      <w:r>
        <w:rPr>
          <w:spacing w:val="-8"/>
          <w:sz w:val="18"/>
          <w:szCs w:val="18"/>
          <w:lang w:val="es-ES_tradnl"/>
        </w:rPr>
        <w:t xml:space="preserve">Justicia del Guayas, pese a haber sido notificados en legal </w:t>
      </w:r>
      <w:r>
        <w:rPr>
          <w:spacing w:val="-7"/>
          <w:sz w:val="18"/>
          <w:szCs w:val="18"/>
          <w:lang w:val="es-ES_tradnl"/>
        </w:rPr>
        <w:t xml:space="preserve">y debida forma con la demanda y providencia emitida por </w:t>
      </w:r>
      <w:r>
        <w:rPr>
          <w:spacing w:val="-8"/>
          <w:sz w:val="18"/>
          <w:szCs w:val="18"/>
          <w:lang w:val="es-ES_tradnl"/>
        </w:rPr>
        <w:t xml:space="preserve">esta Corte, no han presentado sus respectivos informes de </w:t>
      </w:r>
      <w:r>
        <w:rPr>
          <w:spacing w:val="-9"/>
          <w:sz w:val="18"/>
          <w:szCs w:val="18"/>
          <w:lang w:val="es-ES_tradnl"/>
        </w:rPr>
        <w:t xml:space="preserve">descargo de los argumentos expuestos en la demanda de </w:t>
      </w:r>
      <w:r>
        <w:rPr>
          <w:sz w:val="18"/>
          <w:szCs w:val="18"/>
          <w:lang w:val="es-ES_tradnl"/>
        </w:rPr>
        <w:t>esta acci</w:t>
      </w:r>
      <w:r>
        <w:rPr>
          <w:rFonts w:cs="Times New Roman"/>
          <w:sz w:val="18"/>
          <w:szCs w:val="18"/>
          <w:lang w:val="es-ES_tradnl"/>
        </w:rPr>
        <w:t>ó</w:t>
      </w:r>
      <w:r>
        <w:rPr>
          <w:sz w:val="18"/>
          <w:szCs w:val="18"/>
          <w:lang w:val="es-ES_tradnl"/>
        </w:rPr>
        <w:t>n.</w:t>
      </w:r>
    </w:p>
    <w:p w14:paraId="4F67AD54" w14:textId="77777777" w:rsidR="00591D54" w:rsidRDefault="00591D54">
      <w:pPr>
        <w:shd w:val="clear" w:color="auto" w:fill="FFFFFF"/>
        <w:spacing w:before="192"/>
      </w:pPr>
      <w:r>
        <w:rPr>
          <w:b/>
          <w:bCs/>
          <w:spacing w:val="-10"/>
          <w:sz w:val="18"/>
          <w:szCs w:val="18"/>
          <w:lang w:val="es-ES_tradnl"/>
        </w:rPr>
        <w:t>Tercero interesado</w:t>
      </w:r>
    </w:p>
    <w:p w14:paraId="4F67AD55" w14:textId="77777777" w:rsidR="00591D54" w:rsidRDefault="00591D54">
      <w:pPr>
        <w:shd w:val="clear" w:color="auto" w:fill="FFFFFF"/>
        <w:spacing w:before="192" w:line="216" w:lineRule="exact"/>
        <w:ind w:right="5"/>
        <w:jc w:val="both"/>
      </w:pPr>
      <w:r>
        <w:rPr>
          <w:spacing w:val="-8"/>
          <w:sz w:val="18"/>
          <w:szCs w:val="18"/>
          <w:lang w:val="es-ES_tradnl"/>
        </w:rPr>
        <w:t>El se</w:t>
      </w:r>
      <w:r>
        <w:rPr>
          <w:rFonts w:cs="Times New Roman"/>
          <w:spacing w:val="-8"/>
          <w:sz w:val="18"/>
          <w:szCs w:val="18"/>
          <w:lang w:val="es-ES_tradnl"/>
        </w:rPr>
        <w:t>ñ</w:t>
      </w:r>
      <w:r>
        <w:rPr>
          <w:spacing w:val="-8"/>
          <w:sz w:val="18"/>
          <w:szCs w:val="18"/>
          <w:lang w:val="es-ES_tradnl"/>
        </w:rPr>
        <w:t xml:space="preserve">or Galo Ernesto Almeida Paredes, comparece como </w:t>
      </w:r>
      <w:r>
        <w:rPr>
          <w:i/>
          <w:iCs/>
          <w:sz w:val="18"/>
          <w:szCs w:val="18"/>
          <w:lang w:val="es-ES_tradnl"/>
        </w:rPr>
        <w:t xml:space="preserve">amicus curiae </w:t>
      </w:r>
      <w:r>
        <w:rPr>
          <w:sz w:val="18"/>
          <w:szCs w:val="18"/>
          <w:lang w:val="es-ES_tradnl"/>
        </w:rPr>
        <w:t>y expone que:</w:t>
      </w:r>
    </w:p>
    <w:p w14:paraId="4F67AD56" w14:textId="77777777" w:rsidR="00591D54" w:rsidRDefault="00591D54">
      <w:pPr>
        <w:shd w:val="clear" w:color="auto" w:fill="FFFFFF"/>
        <w:spacing w:before="202" w:line="216" w:lineRule="exact"/>
        <w:ind w:left="283" w:right="5"/>
        <w:jc w:val="both"/>
      </w:pPr>
      <w:r>
        <w:rPr>
          <w:spacing w:val="-8"/>
          <w:sz w:val="16"/>
          <w:szCs w:val="16"/>
          <w:lang w:val="es-ES_tradnl"/>
        </w:rPr>
        <w:t xml:space="preserve">Pretender que un militar que ha sido dado de baja se presente; </w:t>
      </w:r>
      <w:r>
        <w:rPr>
          <w:spacing w:val="-5"/>
          <w:sz w:val="16"/>
          <w:szCs w:val="16"/>
          <w:lang w:val="es-ES_tradnl"/>
        </w:rPr>
        <w:t xml:space="preserve">[siendo un civil], a cumplir requisitos de ascenso; esto es </w:t>
      </w:r>
      <w:r>
        <w:rPr>
          <w:spacing w:val="-6"/>
          <w:sz w:val="16"/>
          <w:szCs w:val="16"/>
          <w:lang w:val="es-ES_tradnl"/>
        </w:rPr>
        <w:t>[f</w:t>
      </w:r>
      <w:r>
        <w:rPr>
          <w:rFonts w:cs="Times New Roman"/>
          <w:spacing w:val="-6"/>
          <w:sz w:val="16"/>
          <w:szCs w:val="16"/>
          <w:lang w:val="es-ES_tradnl"/>
        </w:rPr>
        <w:t>á</w:t>
      </w:r>
      <w:r>
        <w:rPr>
          <w:spacing w:val="-6"/>
          <w:sz w:val="16"/>
          <w:szCs w:val="16"/>
          <w:lang w:val="es-ES_tradnl"/>
        </w:rPr>
        <w:t>cticamente imposible], as</w:t>
      </w:r>
      <w:r>
        <w:rPr>
          <w:rFonts w:cs="Times New Roman"/>
          <w:spacing w:val="-6"/>
          <w:sz w:val="16"/>
          <w:szCs w:val="16"/>
          <w:lang w:val="es-ES_tradnl"/>
        </w:rPr>
        <w:t>í</w:t>
      </w:r>
      <w:r>
        <w:rPr>
          <w:spacing w:val="-6"/>
          <w:sz w:val="16"/>
          <w:szCs w:val="16"/>
          <w:lang w:val="es-ES_tradnl"/>
        </w:rPr>
        <w:t xml:space="preserve"> como resultar</w:t>
      </w:r>
      <w:r>
        <w:rPr>
          <w:rFonts w:cs="Times New Roman"/>
          <w:spacing w:val="-6"/>
          <w:sz w:val="16"/>
          <w:szCs w:val="16"/>
          <w:lang w:val="es-ES_tradnl"/>
        </w:rPr>
        <w:t>í</w:t>
      </w:r>
      <w:r>
        <w:rPr>
          <w:spacing w:val="-6"/>
          <w:sz w:val="16"/>
          <w:szCs w:val="16"/>
          <w:lang w:val="es-ES_tradnl"/>
        </w:rPr>
        <w:t xml:space="preserve">a [discriminatorio] </w:t>
      </w:r>
      <w:r>
        <w:rPr>
          <w:spacing w:val="-5"/>
          <w:sz w:val="16"/>
          <w:szCs w:val="16"/>
          <w:lang w:val="es-ES_tradnl"/>
        </w:rPr>
        <w:t>reincorporarlo con el grado que ten</w:t>
      </w:r>
      <w:r>
        <w:rPr>
          <w:rFonts w:cs="Times New Roman"/>
          <w:spacing w:val="-5"/>
          <w:sz w:val="16"/>
          <w:szCs w:val="16"/>
          <w:lang w:val="es-ES_tradnl"/>
        </w:rPr>
        <w:t>í</w:t>
      </w:r>
      <w:r>
        <w:rPr>
          <w:spacing w:val="-5"/>
          <w:sz w:val="16"/>
          <w:szCs w:val="16"/>
          <w:lang w:val="es-ES_tradnl"/>
        </w:rPr>
        <w:t xml:space="preserve">a cuando violaron sus </w:t>
      </w:r>
      <w:r>
        <w:rPr>
          <w:spacing w:val="-6"/>
          <w:sz w:val="16"/>
          <w:szCs w:val="16"/>
          <w:lang w:val="es-ES_tradnl"/>
        </w:rPr>
        <w:t>derechos fundamentales y lo separaron del servicio activo; porque sus compa</w:t>
      </w:r>
      <w:r>
        <w:rPr>
          <w:rFonts w:cs="Times New Roman"/>
          <w:spacing w:val="-6"/>
          <w:sz w:val="16"/>
          <w:szCs w:val="16"/>
          <w:lang w:val="es-ES_tradnl"/>
        </w:rPr>
        <w:t>ñ</w:t>
      </w:r>
      <w:r>
        <w:rPr>
          <w:spacing w:val="-6"/>
          <w:sz w:val="16"/>
          <w:szCs w:val="16"/>
          <w:lang w:val="es-ES_tradnl"/>
        </w:rPr>
        <w:t>eros de promoci</w:t>
      </w:r>
      <w:r>
        <w:rPr>
          <w:rFonts w:cs="Times New Roman"/>
          <w:spacing w:val="-6"/>
          <w:sz w:val="16"/>
          <w:szCs w:val="16"/>
          <w:lang w:val="es-ES_tradnl"/>
        </w:rPr>
        <w:t>ó</w:t>
      </w:r>
      <w:r>
        <w:rPr>
          <w:spacing w:val="-6"/>
          <w:sz w:val="16"/>
          <w:szCs w:val="16"/>
          <w:lang w:val="es-ES_tradnl"/>
        </w:rPr>
        <w:t>n estar</w:t>
      </w:r>
      <w:r>
        <w:rPr>
          <w:rFonts w:cs="Times New Roman"/>
          <w:spacing w:val="-6"/>
          <w:sz w:val="16"/>
          <w:szCs w:val="16"/>
          <w:lang w:val="es-ES_tradnl"/>
        </w:rPr>
        <w:t>í</w:t>
      </w:r>
      <w:r>
        <w:rPr>
          <w:spacing w:val="-6"/>
          <w:sz w:val="16"/>
          <w:szCs w:val="16"/>
          <w:lang w:val="es-ES_tradnl"/>
        </w:rPr>
        <w:t xml:space="preserve">an ocupando </w:t>
      </w:r>
      <w:r>
        <w:rPr>
          <w:spacing w:val="-3"/>
          <w:sz w:val="16"/>
          <w:szCs w:val="16"/>
          <w:lang w:val="es-ES_tradnl"/>
        </w:rPr>
        <w:t>grados jer</w:t>
      </w:r>
      <w:r>
        <w:rPr>
          <w:rFonts w:cs="Times New Roman"/>
          <w:spacing w:val="-3"/>
          <w:sz w:val="16"/>
          <w:szCs w:val="16"/>
          <w:lang w:val="es-ES_tradnl"/>
        </w:rPr>
        <w:t>á</w:t>
      </w:r>
      <w:r>
        <w:rPr>
          <w:spacing w:val="-3"/>
          <w:sz w:val="16"/>
          <w:szCs w:val="16"/>
          <w:lang w:val="es-ES_tradnl"/>
        </w:rPr>
        <w:t>rquicamente superiores. Hacer esto ser</w:t>
      </w:r>
      <w:r>
        <w:rPr>
          <w:rFonts w:cs="Times New Roman"/>
          <w:spacing w:val="-3"/>
          <w:sz w:val="16"/>
          <w:szCs w:val="16"/>
          <w:lang w:val="es-ES_tradnl"/>
        </w:rPr>
        <w:t>í</w:t>
      </w:r>
      <w:r>
        <w:rPr>
          <w:spacing w:val="-3"/>
          <w:sz w:val="16"/>
          <w:szCs w:val="16"/>
          <w:lang w:val="es-ES_tradnl"/>
        </w:rPr>
        <w:t xml:space="preserve">a darle </w:t>
      </w:r>
      <w:r>
        <w:rPr>
          <w:spacing w:val="-7"/>
          <w:sz w:val="16"/>
          <w:szCs w:val="16"/>
          <w:lang w:val="es-ES_tradnl"/>
        </w:rPr>
        <w:t>la raz</w:t>
      </w:r>
      <w:r>
        <w:rPr>
          <w:rFonts w:cs="Times New Roman"/>
          <w:spacing w:val="-7"/>
          <w:sz w:val="16"/>
          <w:szCs w:val="16"/>
          <w:lang w:val="es-ES_tradnl"/>
        </w:rPr>
        <w:t>ó</w:t>
      </w:r>
      <w:r>
        <w:rPr>
          <w:spacing w:val="-7"/>
          <w:sz w:val="16"/>
          <w:szCs w:val="16"/>
          <w:lang w:val="es-ES_tradnl"/>
        </w:rPr>
        <w:t xml:space="preserve">n a los que vulneraron derechos fundamentales y se </w:t>
      </w:r>
      <w:r>
        <w:rPr>
          <w:spacing w:val="-6"/>
          <w:sz w:val="16"/>
          <w:szCs w:val="16"/>
          <w:lang w:val="es-ES_tradnl"/>
        </w:rPr>
        <w:t>violar</w:t>
      </w:r>
      <w:r>
        <w:rPr>
          <w:rFonts w:cs="Times New Roman"/>
          <w:spacing w:val="-6"/>
          <w:sz w:val="16"/>
          <w:szCs w:val="16"/>
          <w:lang w:val="es-ES_tradnl"/>
        </w:rPr>
        <w:t>í</w:t>
      </w:r>
      <w:r>
        <w:rPr>
          <w:spacing w:val="-6"/>
          <w:sz w:val="16"/>
          <w:szCs w:val="16"/>
          <w:lang w:val="es-ES_tradnl"/>
        </w:rPr>
        <w:t>a la seguridad jur</w:t>
      </w:r>
      <w:r>
        <w:rPr>
          <w:rFonts w:cs="Times New Roman"/>
          <w:spacing w:val="-6"/>
          <w:sz w:val="16"/>
          <w:szCs w:val="16"/>
          <w:lang w:val="es-ES_tradnl"/>
        </w:rPr>
        <w:t>í</w:t>
      </w:r>
      <w:r>
        <w:rPr>
          <w:spacing w:val="-6"/>
          <w:sz w:val="16"/>
          <w:szCs w:val="16"/>
          <w:lang w:val="es-ES_tradnl"/>
        </w:rPr>
        <w:t>dica ya que se estar</w:t>
      </w:r>
      <w:r>
        <w:rPr>
          <w:rFonts w:cs="Times New Roman"/>
          <w:spacing w:val="-6"/>
          <w:sz w:val="16"/>
          <w:szCs w:val="16"/>
          <w:lang w:val="es-ES_tradnl"/>
        </w:rPr>
        <w:t>í</w:t>
      </w:r>
      <w:r>
        <w:rPr>
          <w:spacing w:val="-6"/>
          <w:sz w:val="16"/>
          <w:szCs w:val="16"/>
          <w:lang w:val="es-ES_tradnl"/>
        </w:rPr>
        <w:t xml:space="preserve">a actuando en </w:t>
      </w:r>
      <w:r>
        <w:rPr>
          <w:spacing w:val="-7"/>
          <w:sz w:val="16"/>
          <w:szCs w:val="16"/>
          <w:lang w:val="es-ES_tradnl"/>
        </w:rPr>
        <w:t>contra de las disposiciones arriba detalladas.</w:t>
      </w:r>
    </w:p>
    <w:p w14:paraId="4F67AD57" w14:textId="77777777" w:rsidR="00591D54" w:rsidRDefault="00591D54">
      <w:pPr>
        <w:shd w:val="clear" w:color="auto" w:fill="FFFFFF"/>
        <w:spacing w:before="202" w:line="216" w:lineRule="exact"/>
        <w:ind w:right="5"/>
        <w:jc w:val="both"/>
      </w:pPr>
      <w:r>
        <w:rPr>
          <w:spacing w:val="-7"/>
          <w:sz w:val="18"/>
          <w:szCs w:val="18"/>
          <w:lang w:val="es-ES_tradnl"/>
        </w:rPr>
        <w:t>Por tanto, la pretensi</w:t>
      </w:r>
      <w:r>
        <w:rPr>
          <w:rFonts w:cs="Times New Roman"/>
          <w:spacing w:val="-7"/>
          <w:sz w:val="18"/>
          <w:szCs w:val="18"/>
          <w:lang w:val="es-ES_tradnl"/>
        </w:rPr>
        <w:t>ó</w:t>
      </w:r>
      <w:r>
        <w:rPr>
          <w:spacing w:val="-7"/>
          <w:sz w:val="18"/>
          <w:szCs w:val="18"/>
          <w:lang w:val="es-ES_tradnl"/>
        </w:rPr>
        <w:t xml:space="preserve">n es que se </w:t>
      </w:r>
      <w:r>
        <w:rPr>
          <w:rFonts w:cs="Times New Roman"/>
          <w:spacing w:val="-7"/>
          <w:sz w:val="18"/>
          <w:szCs w:val="18"/>
          <w:lang w:val="es-ES_tradnl"/>
        </w:rPr>
        <w:t>“</w:t>
      </w:r>
      <w:r>
        <w:rPr>
          <w:spacing w:val="-7"/>
          <w:sz w:val="18"/>
          <w:szCs w:val="18"/>
          <w:lang w:val="es-ES_tradnl"/>
        </w:rPr>
        <w:t xml:space="preserve">mantenga el orden </w:t>
      </w:r>
      <w:r>
        <w:rPr>
          <w:spacing w:val="-4"/>
          <w:sz w:val="18"/>
          <w:szCs w:val="18"/>
          <w:lang w:val="es-ES_tradnl"/>
        </w:rPr>
        <w:t xml:space="preserve">constituido mediante el respeto y cumplimiento de las </w:t>
      </w:r>
      <w:r>
        <w:rPr>
          <w:sz w:val="18"/>
          <w:szCs w:val="18"/>
          <w:lang w:val="es-ES_tradnl"/>
        </w:rPr>
        <w:t>normas existentes</w:t>
      </w:r>
      <w:r>
        <w:rPr>
          <w:rFonts w:cs="Times New Roman"/>
          <w:sz w:val="18"/>
          <w:szCs w:val="18"/>
          <w:lang w:val="es-ES_tradnl"/>
        </w:rPr>
        <w:t>”</w:t>
      </w:r>
      <w:r>
        <w:rPr>
          <w:sz w:val="18"/>
          <w:szCs w:val="18"/>
          <w:lang w:val="es-ES_tradnl"/>
        </w:rPr>
        <w:t>.</w:t>
      </w:r>
    </w:p>
    <w:p w14:paraId="4F67AD58" w14:textId="77777777" w:rsidR="00591D54" w:rsidRDefault="00591D54">
      <w:pPr>
        <w:shd w:val="clear" w:color="auto" w:fill="FFFFFF"/>
        <w:spacing w:before="192" w:line="216" w:lineRule="exact"/>
        <w:ind w:left="686" w:hanging="331"/>
      </w:pPr>
      <w:r>
        <w:rPr>
          <w:b/>
          <w:bCs/>
          <w:spacing w:val="-1"/>
          <w:sz w:val="18"/>
          <w:szCs w:val="18"/>
          <w:lang w:val="es-ES_tradnl"/>
        </w:rPr>
        <w:t xml:space="preserve">II. CONSIDERACIONES Y FUNDAMENTOS </w:t>
      </w:r>
      <w:r>
        <w:rPr>
          <w:b/>
          <w:bCs/>
          <w:sz w:val="18"/>
          <w:szCs w:val="18"/>
          <w:lang w:val="es-ES_tradnl"/>
        </w:rPr>
        <w:t>DE LA CORTE CONSTITUCIONAL</w:t>
      </w:r>
    </w:p>
    <w:p w14:paraId="4F67AD59" w14:textId="77777777" w:rsidR="00591D54" w:rsidRDefault="00591D54">
      <w:pPr>
        <w:shd w:val="clear" w:color="auto" w:fill="FFFFFF"/>
        <w:spacing w:before="192"/>
      </w:pPr>
      <w:r>
        <w:rPr>
          <w:b/>
          <w:bCs/>
          <w:spacing w:val="-8"/>
          <w:sz w:val="18"/>
          <w:szCs w:val="18"/>
          <w:lang w:val="es-ES_tradnl"/>
        </w:rPr>
        <w:t>Competencia de la Corte</w:t>
      </w:r>
    </w:p>
    <w:p w14:paraId="4F67AD5A" w14:textId="77777777" w:rsidR="00591D54" w:rsidRDefault="00591D54">
      <w:pPr>
        <w:shd w:val="clear" w:color="auto" w:fill="FFFFFF"/>
        <w:spacing w:before="197" w:line="216" w:lineRule="exact"/>
        <w:ind w:right="5"/>
        <w:jc w:val="both"/>
      </w:pPr>
      <w:r>
        <w:rPr>
          <w:spacing w:val="-8"/>
          <w:sz w:val="18"/>
          <w:szCs w:val="18"/>
          <w:lang w:val="es-ES_tradnl"/>
        </w:rPr>
        <w:t>Las normas contenidas en los art</w:t>
      </w:r>
      <w:r>
        <w:rPr>
          <w:rFonts w:cs="Times New Roman"/>
          <w:spacing w:val="-8"/>
          <w:sz w:val="18"/>
          <w:szCs w:val="18"/>
          <w:lang w:val="es-ES_tradnl"/>
        </w:rPr>
        <w:t>í</w:t>
      </w:r>
      <w:r>
        <w:rPr>
          <w:spacing w:val="-8"/>
          <w:sz w:val="18"/>
          <w:szCs w:val="18"/>
          <w:lang w:val="es-ES_tradnl"/>
        </w:rPr>
        <w:t xml:space="preserve">culos 94, 429 y 437 de la </w:t>
      </w:r>
      <w:r>
        <w:rPr>
          <w:spacing w:val="-9"/>
          <w:sz w:val="18"/>
          <w:szCs w:val="18"/>
          <w:lang w:val="es-ES_tradnl"/>
        </w:rPr>
        <w:t>Constituci</w:t>
      </w:r>
      <w:r>
        <w:rPr>
          <w:rFonts w:cs="Times New Roman"/>
          <w:spacing w:val="-9"/>
          <w:sz w:val="18"/>
          <w:szCs w:val="18"/>
          <w:lang w:val="es-ES_tradnl"/>
        </w:rPr>
        <w:t>ó</w:t>
      </w:r>
      <w:r>
        <w:rPr>
          <w:spacing w:val="-9"/>
          <w:sz w:val="18"/>
          <w:szCs w:val="18"/>
          <w:lang w:val="es-ES_tradnl"/>
        </w:rPr>
        <w:t>n de la Rep</w:t>
      </w:r>
      <w:r>
        <w:rPr>
          <w:rFonts w:cs="Times New Roman"/>
          <w:spacing w:val="-9"/>
          <w:sz w:val="18"/>
          <w:szCs w:val="18"/>
          <w:lang w:val="es-ES_tradnl"/>
        </w:rPr>
        <w:t>ú</w:t>
      </w:r>
      <w:r>
        <w:rPr>
          <w:spacing w:val="-9"/>
          <w:sz w:val="18"/>
          <w:szCs w:val="18"/>
          <w:lang w:val="es-ES_tradnl"/>
        </w:rPr>
        <w:t>blica, en consonancia con el art</w:t>
      </w:r>
      <w:r>
        <w:rPr>
          <w:rFonts w:cs="Times New Roman"/>
          <w:spacing w:val="-9"/>
          <w:sz w:val="18"/>
          <w:szCs w:val="18"/>
          <w:lang w:val="es-ES_tradnl"/>
        </w:rPr>
        <w:t>í</w:t>
      </w:r>
      <w:r>
        <w:rPr>
          <w:spacing w:val="-9"/>
          <w:sz w:val="18"/>
          <w:szCs w:val="18"/>
          <w:lang w:val="es-ES_tradnl"/>
        </w:rPr>
        <w:t xml:space="preserve">culo </w:t>
      </w:r>
      <w:r>
        <w:rPr>
          <w:spacing w:val="-5"/>
          <w:sz w:val="18"/>
          <w:szCs w:val="18"/>
          <w:lang w:val="es-ES_tradnl"/>
        </w:rPr>
        <w:t xml:space="preserve">191 numeral 2 literal </w:t>
      </w:r>
      <w:r>
        <w:rPr>
          <w:b/>
          <w:bCs/>
          <w:spacing w:val="-5"/>
          <w:sz w:val="18"/>
          <w:szCs w:val="18"/>
          <w:lang w:val="es-ES_tradnl"/>
        </w:rPr>
        <w:t xml:space="preserve">d </w:t>
      </w:r>
      <w:r>
        <w:rPr>
          <w:spacing w:val="-5"/>
          <w:sz w:val="18"/>
          <w:szCs w:val="18"/>
          <w:lang w:val="es-ES_tradnl"/>
        </w:rPr>
        <w:t>de la Ley Org</w:t>
      </w:r>
      <w:r>
        <w:rPr>
          <w:rFonts w:cs="Times New Roman"/>
          <w:spacing w:val="-5"/>
          <w:sz w:val="18"/>
          <w:szCs w:val="18"/>
          <w:lang w:val="es-ES_tradnl"/>
        </w:rPr>
        <w:t>á</w:t>
      </w:r>
      <w:r>
        <w:rPr>
          <w:spacing w:val="-5"/>
          <w:sz w:val="18"/>
          <w:szCs w:val="18"/>
          <w:lang w:val="es-ES_tradnl"/>
        </w:rPr>
        <w:t>nica de Garant</w:t>
      </w:r>
      <w:r>
        <w:rPr>
          <w:rFonts w:cs="Times New Roman"/>
          <w:spacing w:val="-5"/>
          <w:sz w:val="18"/>
          <w:szCs w:val="18"/>
          <w:lang w:val="es-ES_tradnl"/>
        </w:rPr>
        <w:t>í</w:t>
      </w:r>
      <w:r>
        <w:rPr>
          <w:spacing w:val="-5"/>
          <w:sz w:val="18"/>
          <w:szCs w:val="18"/>
          <w:lang w:val="es-ES_tradnl"/>
        </w:rPr>
        <w:t xml:space="preserve">as </w:t>
      </w:r>
      <w:r>
        <w:rPr>
          <w:spacing w:val="-3"/>
          <w:sz w:val="18"/>
          <w:szCs w:val="18"/>
          <w:lang w:val="es-ES_tradnl"/>
        </w:rPr>
        <w:t>Jurisdiccionales y Control Constitucional, y art</w:t>
      </w:r>
      <w:r>
        <w:rPr>
          <w:rFonts w:cs="Times New Roman"/>
          <w:spacing w:val="-3"/>
          <w:sz w:val="18"/>
          <w:szCs w:val="18"/>
          <w:lang w:val="es-ES_tradnl"/>
        </w:rPr>
        <w:t>í</w:t>
      </w:r>
      <w:r>
        <w:rPr>
          <w:spacing w:val="-3"/>
          <w:sz w:val="18"/>
          <w:szCs w:val="18"/>
          <w:lang w:val="es-ES_tradnl"/>
        </w:rPr>
        <w:t xml:space="preserve">culo 3 </w:t>
      </w:r>
      <w:r>
        <w:rPr>
          <w:spacing w:val="-6"/>
          <w:sz w:val="18"/>
          <w:szCs w:val="18"/>
          <w:lang w:val="es-ES_tradnl"/>
        </w:rPr>
        <w:t xml:space="preserve">numeral 8 literal </w:t>
      </w:r>
      <w:r>
        <w:rPr>
          <w:b/>
          <w:bCs/>
          <w:spacing w:val="-6"/>
          <w:sz w:val="18"/>
          <w:szCs w:val="18"/>
          <w:lang w:val="es-ES_tradnl"/>
        </w:rPr>
        <w:t xml:space="preserve">b </w:t>
      </w:r>
      <w:r>
        <w:rPr>
          <w:spacing w:val="-6"/>
          <w:sz w:val="18"/>
          <w:szCs w:val="18"/>
          <w:lang w:val="es-ES_tradnl"/>
        </w:rPr>
        <w:t>del Reglamento de Sustanciaci</w:t>
      </w:r>
      <w:r>
        <w:rPr>
          <w:rFonts w:cs="Times New Roman"/>
          <w:spacing w:val="-6"/>
          <w:sz w:val="18"/>
          <w:szCs w:val="18"/>
          <w:lang w:val="es-ES_tradnl"/>
        </w:rPr>
        <w:t>ó</w:t>
      </w:r>
      <w:r>
        <w:rPr>
          <w:spacing w:val="-6"/>
          <w:sz w:val="18"/>
          <w:szCs w:val="18"/>
          <w:lang w:val="es-ES_tradnl"/>
        </w:rPr>
        <w:t xml:space="preserve">n de </w:t>
      </w:r>
      <w:r>
        <w:rPr>
          <w:spacing w:val="-5"/>
          <w:sz w:val="18"/>
          <w:szCs w:val="18"/>
          <w:lang w:val="es-ES_tradnl"/>
        </w:rPr>
        <w:t xml:space="preserve">Procesos de Competencia de la Corte Constitucional, </w:t>
      </w:r>
      <w:r>
        <w:rPr>
          <w:spacing w:val="-10"/>
          <w:sz w:val="18"/>
          <w:szCs w:val="18"/>
          <w:lang w:val="es-ES_tradnl"/>
        </w:rPr>
        <w:t>se</w:t>
      </w:r>
      <w:r>
        <w:rPr>
          <w:rFonts w:cs="Times New Roman"/>
          <w:spacing w:val="-10"/>
          <w:sz w:val="18"/>
          <w:szCs w:val="18"/>
          <w:lang w:val="es-ES_tradnl"/>
        </w:rPr>
        <w:t>ñ</w:t>
      </w:r>
      <w:r>
        <w:rPr>
          <w:spacing w:val="-10"/>
          <w:sz w:val="18"/>
          <w:szCs w:val="18"/>
          <w:lang w:val="es-ES_tradnl"/>
        </w:rPr>
        <w:t xml:space="preserve">alan que este Organismo es competente para conocer y </w:t>
      </w:r>
      <w:r>
        <w:rPr>
          <w:sz w:val="18"/>
          <w:szCs w:val="18"/>
          <w:lang w:val="es-ES_tradnl"/>
        </w:rPr>
        <w:t>resolver la presente causa.</w:t>
      </w:r>
    </w:p>
    <w:p w14:paraId="4F67AD5B" w14:textId="77777777" w:rsidR="00591D54" w:rsidRDefault="00591D54">
      <w:pPr>
        <w:shd w:val="clear" w:color="auto" w:fill="FFFFFF"/>
        <w:spacing w:before="197" w:line="216" w:lineRule="exact"/>
        <w:ind w:right="5"/>
        <w:jc w:val="both"/>
      </w:pPr>
      <w:r>
        <w:rPr>
          <w:spacing w:val="-5"/>
          <w:sz w:val="18"/>
          <w:szCs w:val="18"/>
          <w:lang w:val="es-ES_tradnl"/>
        </w:rPr>
        <w:t>Por cuanto en la tramitaci</w:t>
      </w:r>
      <w:r>
        <w:rPr>
          <w:rFonts w:cs="Times New Roman"/>
          <w:spacing w:val="-5"/>
          <w:sz w:val="18"/>
          <w:szCs w:val="18"/>
          <w:lang w:val="es-ES_tradnl"/>
        </w:rPr>
        <w:t>ó</w:t>
      </w:r>
      <w:r>
        <w:rPr>
          <w:spacing w:val="-5"/>
          <w:sz w:val="18"/>
          <w:szCs w:val="18"/>
          <w:lang w:val="es-ES_tradnl"/>
        </w:rPr>
        <w:t>n de esta acci</w:t>
      </w:r>
      <w:r>
        <w:rPr>
          <w:rFonts w:cs="Times New Roman"/>
          <w:spacing w:val="-5"/>
          <w:sz w:val="18"/>
          <w:szCs w:val="18"/>
          <w:lang w:val="es-ES_tradnl"/>
        </w:rPr>
        <w:t>ó</w:t>
      </w:r>
      <w:r>
        <w:rPr>
          <w:spacing w:val="-5"/>
          <w:sz w:val="18"/>
          <w:szCs w:val="18"/>
          <w:lang w:val="es-ES_tradnl"/>
        </w:rPr>
        <w:t xml:space="preserve">n han sido </w:t>
      </w:r>
      <w:r>
        <w:rPr>
          <w:spacing w:val="-4"/>
          <w:sz w:val="18"/>
          <w:szCs w:val="18"/>
          <w:lang w:val="es-ES_tradnl"/>
        </w:rPr>
        <w:t xml:space="preserve">observadas las normas previstas en el ordenamiento </w:t>
      </w:r>
      <w:r>
        <w:rPr>
          <w:spacing w:val="-7"/>
          <w:sz w:val="18"/>
          <w:szCs w:val="18"/>
          <w:lang w:val="es-ES_tradnl"/>
        </w:rPr>
        <w:t>jur</w:t>
      </w:r>
      <w:r>
        <w:rPr>
          <w:rFonts w:cs="Times New Roman"/>
          <w:spacing w:val="-7"/>
          <w:sz w:val="18"/>
          <w:szCs w:val="18"/>
          <w:lang w:val="es-ES_tradnl"/>
        </w:rPr>
        <w:t>í</w:t>
      </w:r>
      <w:r>
        <w:rPr>
          <w:spacing w:val="-7"/>
          <w:sz w:val="18"/>
          <w:szCs w:val="18"/>
          <w:lang w:val="es-ES_tradnl"/>
        </w:rPr>
        <w:t xml:space="preserve">dico constitucional y legal aplicables al caso, se declara </w:t>
      </w:r>
      <w:r>
        <w:rPr>
          <w:sz w:val="18"/>
          <w:szCs w:val="18"/>
          <w:lang w:val="es-ES_tradnl"/>
        </w:rPr>
        <w:t>su validez.</w:t>
      </w:r>
    </w:p>
    <w:p w14:paraId="4F67AD5C" w14:textId="77777777" w:rsidR="00591D54" w:rsidRDefault="00591D54">
      <w:pPr>
        <w:shd w:val="clear" w:color="auto" w:fill="FFFFFF"/>
        <w:spacing w:before="192" w:line="216" w:lineRule="exact"/>
      </w:pPr>
      <w:r>
        <w:rPr>
          <w:b/>
          <w:bCs/>
          <w:spacing w:val="-7"/>
          <w:sz w:val="18"/>
          <w:szCs w:val="18"/>
          <w:lang w:val="es-ES_tradnl"/>
        </w:rPr>
        <w:t>Naturaleza jur</w:t>
      </w:r>
      <w:r>
        <w:rPr>
          <w:rFonts w:cs="Times New Roman"/>
          <w:b/>
          <w:bCs/>
          <w:spacing w:val="-7"/>
          <w:sz w:val="18"/>
          <w:szCs w:val="18"/>
          <w:lang w:val="es-ES_tradnl"/>
        </w:rPr>
        <w:t>í</w:t>
      </w:r>
      <w:r>
        <w:rPr>
          <w:b/>
          <w:bCs/>
          <w:spacing w:val="-7"/>
          <w:sz w:val="18"/>
          <w:szCs w:val="18"/>
          <w:lang w:val="es-ES_tradnl"/>
        </w:rPr>
        <w:t>dica de la acci</w:t>
      </w:r>
      <w:r>
        <w:rPr>
          <w:rFonts w:cs="Times New Roman"/>
          <w:b/>
          <w:bCs/>
          <w:spacing w:val="-7"/>
          <w:sz w:val="18"/>
          <w:szCs w:val="18"/>
          <w:lang w:val="es-ES_tradnl"/>
        </w:rPr>
        <w:t>ó</w:t>
      </w:r>
      <w:r>
        <w:rPr>
          <w:b/>
          <w:bCs/>
          <w:spacing w:val="-7"/>
          <w:sz w:val="18"/>
          <w:szCs w:val="18"/>
          <w:lang w:val="es-ES_tradnl"/>
        </w:rPr>
        <w:t xml:space="preserve">n extraordinaria de </w:t>
      </w:r>
      <w:r>
        <w:rPr>
          <w:b/>
          <w:bCs/>
          <w:sz w:val="18"/>
          <w:szCs w:val="18"/>
          <w:lang w:val="es-ES_tradnl"/>
        </w:rPr>
        <w:t>protecci</w:t>
      </w:r>
      <w:r>
        <w:rPr>
          <w:rFonts w:cs="Times New Roman"/>
          <w:b/>
          <w:bCs/>
          <w:sz w:val="18"/>
          <w:szCs w:val="18"/>
          <w:lang w:val="es-ES_tradnl"/>
        </w:rPr>
        <w:t>ó</w:t>
      </w:r>
      <w:r>
        <w:rPr>
          <w:b/>
          <w:bCs/>
          <w:sz w:val="18"/>
          <w:szCs w:val="18"/>
          <w:lang w:val="es-ES_tradnl"/>
        </w:rPr>
        <w:t>n</w:t>
      </w:r>
    </w:p>
    <w:p w14:paraId="4F67AD5D" w14:textId="77777777" w:rsidR="00591D54" w:rsidRDefault="00591D54">
      <w:pPr>
        <w:shd w:val="clear" w:color="auto" w:fill="FFFFFF"/>
        <w:spacing w:before="197" w:line="216" w:lineRule="exact"/>
        <w:ind w:right="5"/>
        <w:jc w:val="both"/>
      </w:pPr>
      <w:r>
        <w:rPr>
          <w:spacing w:val="-9"/>
          <w:sz w:val="18"/>
          <w:szCs w:val="18"/>
          <w:lang w:val="es-ES_tradnl"/>
        </w:rPr>
        <w:t>La Corte Constitucional, al ser el m</w:t>
      </w:r>
      <w:r>
        <w:rPr>
          <w:rFonts w:cs="Times New Roman"/>
          <w:spacing w:val="-9"/>
          <w:sz w:val="18"/>
          <w:szCs w:val="18"/>
          <w:lang w:val="es-ES_tradnl"/>
        </w:rPr>
        <w:t>á</w:t>
      </w:r>
      <w:r>
        <w:rPr>
          <w:spacing w:val="-9"/>
          <w:sz w:val="18"/>
          <w:szCs w:val="18"/>
          <w:lang w:val="es-ES_tradnl"/>
        </w:rPr>
        <w:t xml:space="preserve">ximo </w:t>
      </w:r>
      <w:r>
        <w:rPr>
          <w:rFonts w:cs="Times New Roman"/>
          <w:spacing w:val="-9"/>
          <w:sz w:val="18"/>
          <w:szCs w:val="18"/>
          <w:lang w:val="es-ES_tradnl"/>
        </w:rPr>
        <w:t>ó</w:t>
      </w:r>
      <w:r>
        <w:rPr>
          <w:spacing w:val="-9"/>
          <w:sz w:val="18"/>
          <w:szCs w:val="18"/>
          <w:lang w:val="es-ES_tradnl"/>
        </w:rPr>
        <w:t xml:space="preserve">rgano de control, </w:t>
      </w:r>
      <w:r>
        <w:rPr>
          <w:spacing w:val="-7"/>
          <w:sz w:val="18"/>
          <w:szCs w:val="18"/>
          <w:lang w:val="es-ES_tradnl"/>
        </w:rPr>
        <w:t>interpretaci</w:t>
      </w:r>
      <w:r>
        <w:rPr>
          <w:rFonts w:cs="Times New Roman"/>
          <w:spacing w:val="-7"/>
          <w:sz w:val="18"/>
          <w:szCs w:val="18"/>
          <w:lang w:val="es-ES_tradnl"/>
        </w:rPr>
        <w:t>ó</w:t>
      </w:r>
      <w:r>
        <w:rPr>
          <w:spacing w:val="-7"/>
          <w:sz w:val="18"/>
          <w:szCs w:val="18"/>
          <w:lang w:val="es-ES_tradnl"/>
        </w:rPr>
        <w:t>n y administraci</w:t>
      </w:r>
      <w:r>
        <w:rPr>
          <w:rFonts w:cs="Times New Roman"/>
          <w:spacing w:val="-7"/>
          <w:sz w:val="18"/>
          <w:szCs w:val="18"/>
          <w:lang w:val="es-ES_tradnl"/>
        </w:rPr>
        <w:t>ó</w:t>
      </w:r>
      <w:r>
        <w:rPr>
          <w:spacing w:val="-7"/>
          <w:sz w:val="18"/>
          <w:szCs w:val="18"/>
          <w:lang w:val="es-ES_tradnl"/>
        </w:rPr>
        <w:t>n de justicia en la materia, se</w:t>
      </w:r>
    </w:p>
    <w:p w14:paraId="4F67AD5E" w14:textId="77777777" w:rsidR="00591D54" w:rsidRDefault="00591D54">
      <w:pPr>
        <w:shd w:val="clear" w:color="auto" w:fill="FFFFFF"/>
        <w:spacing w:before="197" w:line="216" w:lineRule="exact"/>
        <w:ind w:right="5"/>
        <w:jc w:val="both"/>
        <w:sectPr w:rsidR="00591D54">
          <w:type w:val="continuous"/>
          <w:pgSz w:w="11909" w:h="16834"/>
          <w:pgMar w:top="1378" w:right="1304" w:bottom="360" w:left="1308" w:header="720" w:footer="720" w:gutter="0"/>
          <w:cols w:num="2" w:space="720" w:equalWidth="0">
            <w:col w:w="4310" w:space="677"/>
            <w:col w:w="4310"/>
          </w:cols>
          <w:noEndnote/>
        </w:sectPr>
      </w:pPr>
    </w:p>
    <w:p w14:paraId="4F67AD5F" w14:textId="77777777" w:rsidR="00591D54" w:rsidRDefault="00591D54">
      <w:pPr>
        <w:shd w:val="clear" w:color="auto" w:fill="FFFFFF"/>
        <w:tabs>
          <w:tab w:val="left" w:pos="584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- 121</w:t>
      </w:r>
    </w:p>
    <w:p w14:paraId="4F67AD60" w14:textId="77777777" w:rsidR="00591D54" w:rsidRDefault="00591D54">
      <w:pPr>
        <w:shd w:val="clear" w:color="auto" w:fill="FFFFFF"/>
        <w:tabs>
          <w:tab w:val="left" w:pos="5842"/>
        </w:tabs>
        <w:spacing w:after="230"/>
        <w:ind w:left="5"/>
        <w:sectPr w:rsidR="00591D54">
          <w:pgSz w:w="11909" w:h="16834"/>
          <w:pgMar w:top="1368" w:right="1309" w:bottom="360" w:left="1308" w:header="720" w:footer="720" w:gutter="0"/>
          <w:cols w:space="60"/>
          <w:noEndnote/>
        </w:sectPr>
      </w:pPr>
    </w:p>
    <w:p w14:paraId="4F67AD61" w14:textId="77777777" w:rsidR="00591D54" w:rsidRDefault="00591D54">
      <w:pPr>
        <w:shd w:val="clear" w:color="auto" w:fill="FFFFFF"/>
        <w:spacing w:before="5" w:line="216" w:lineRule="exact"/>
        <w:jc w:val="both"/>
      </w:pPr>
      <w:r>
        <w:rPr>
          <w:spacing w:val="-7"/>
          <w:sz w:val="18"/>
          <w:szCs w:val="18"/>
          <w:lang w:val="es-ES_tradnl"/>
        </w:rPr>
        <w:t>encuentra investida de la facultad de preservar la garant</w:t>
      </w:r>
      <w:r>
        <w:rPr>
          <w:rFonts w:cs="Times New Roman"/>
          <w:spacing w:val="-7"/>
          <w:sz w:val="18"/>
          <w:szCs w:val="18"/>
          <w:lang w:val="es-ES_tradnl"/>
        </w:rPr>
        <w:t>í</w:t>
      </w:r>
      <w:r>
        <w:rPr>
          <w:spacing w:val="-7"/>
          <w:sz w:val="18"/>
          <w:szCs w:val="18"/>
          <w:lang w:val="es-ES_tradnl"/>
        </w:rPr>
        <w:t xml:space="preserve">a </w:t>
      </w:r>
      <w:r>
        <w:rPr>
          <w:spacing w:val="-2"/>
          <w:sz w:val="18"/>
          <w:szCs w:val="18"/>
          <w:lang w:val="es-ES_tradnl"/>
        </w:rPr>
        <w:t>de los derechos constitucionales y as</w:t>
      </w:r>
      <w:r>
        <w:rPr>
          <w:rFonts w:cs="Times New Roman"/>
          <w:spacing w:val="-2"/>
          <w:sz w:val="18"/>
          <w:szCs w:val="18"/>
          <w:lang w:val="es-ES_tradnl"/>
        </w:rPr>
        <w:t>í</w:t>
      </w:r>
      <w:r>
        <w:rPr>
          <w:spacing w:val="-2"/>
          <w:sz w:val="18"/>
          <w:szCs w:val="18"/>
          <w:lang w:val="es-ES_tradnl"/>
        </w:rPr>
        <w:t xml:space="preserve"> evitar o corregir </w:t>
      </w:r>
      <w:r>
        <w:rPr>
          <w:spacing w:val="-5"/>
          <w:sz w:val="18"/>
          <w:szCs w:val="18"/>
          <w:lang w:val="es-ES_tradnl"/>
        </w:rPr>
        <w:t>su vulneraci</w:t>
      </w:r>
      <w:r>
        <w:rPr>
          <w:rFonts w:cs="Times New Roman"/>
          <w:spacing w:val="-5"/>
          <w:sz w:val="18"/>
          <w:szCs w:val="18"/>
          <w:lang w:val="es-ES_tradnl"/>
        </w:rPr>
        <w:t>ó</w:t>
      </w:r>
      <w:r>
        <w:rPr>
          <w:spacing w:val="-5"/>
          <w:sz w:val="18"/>
          <w:szCs w:val="18"/>
          <w:lang w:val="es-ES_tradnl"/>
        </w:rPr>
        <w:t>n. En este sentido, la Constituci</w:t>
      </w:r>
      <w:r>
        <w:rPr>
          <w:rFonts w:cs="Times New Roman"/>
          <w:spacing w:val="-5"/>
          <w:sz w:val="18"/>
          <w:szCs w:val="18"/>
          <w:lang w:val="es-ES_tradnl"/>
        </w:rPr>
        <w:t>ó</w:t>
      </w:r>
      <w:r>
        <w:rPr>
          <w:spacing w:val="-5"/>
          <w:sz w:val="18"/>
          <w:szCs w:val="18"/>
          <w:lang w:val="es-ES_tradnl"/>
        </w:rPr>
        <w:t xml:space="preserve">n de 2008 </w:t>
      </w:r>
      <w:r>
        <w:rPr>
          <w:spacing w:val="-7"/>
          <w:sz w:val="18"/>
          <w:szCs w:val="18"/>
          <w:lang w:val="es-ES_tradnl"/>
        </w:rPr>
        <w:t>plantea la posibilidad de tutelar derechos constitucionales que pudieren ser vulnerados durante la emisi</w:t>
      </w:r>
      <w:r>
        <w:rPr>
          <w:rFonts w:cs="Times New Roman"/>
          <w:spacing w:val="-7"/>
          <w:sz w:val="18"/>
          <w:szCs w:val="18"/>
          <w:lang w:val="es-ES_tradnl"/>
        </w:rPr>
        <w:t>ó</w:t>
      </w:r>
      <w:r>
        <w:rPr>
          <w:spacing w:val="-7"/>
          <w:sz w:val="18"/>
          <w:szCs w:val="18"/>
          <w:lang w:val="es-ES_tradnl"/>
        </w:rPr>
        <w:t xml:space="preserve">n de una </w:t>
      </w:r>
      <w:r>
        <w:rPr>
          <w:spacing w:val="-8"/>
          <w:sz w:val="18"/>
          <w:szCs w:val="18"/>
          <w:lang w:val="es-ES_tradnl"/>
        </w:rPr>
        <w:t>sentencia o auto definitivo resultado de un proceso judicial.</w:t>
      </w:r>
    </w:p>
    <w:p w14:paraId="4F67AD62" w14:textId="77777777" w:rsidR="00591D54" w:rsidRDefault="00591D54">
      <w:pPr>
        <w:shd w:val="clear" w:color="auto" w:fill="FFFFFF"/>
        <w:spacing w:before="202" w:line="216" w:lineRule="exact"/>
        <w:jc w:val="both"/>
      </w:pPr>
      <w:r>
        <w:rPr>
          <w:spacing w:val="-5"/>
          <w:sz w:val="18"/>
          <w:szCs w:val="18"/>
          <w:lang w:val="es-ES_tradnl"/>
        </w:rPr>
        <w:t>De acuerdo con el art</w:t>
      </w:r>
      <w:r>
        <w:rPr>
          <w:rFonts w:cs="Times New Roman"/>
          <w:spacing w:val="-5"/>
          <w:sz w:val="18"/>
          <w:szCs w:val="18"/>
          <w:lang w:val="es-ES_tradnl"/>
        </w:rPr>
        <w:t>í</w:t>
      </w:r>
      <w:r>
        <w:rPr>
          <w:spacing w:val="-5"/>
          <w:sz w:val="18"/>
          <w:szCs w:val="18"/>
          <w:lang w:val="es-ES_tradnl"/>
        </w:rPr>
        <w:t>culo 437 de la Constituci</w:t>
      </w:r>
      <w:r>
        <w:rPr>
          <w:rFonts w:cs="Times New Roman"/>
          <w:spacing w:val="-5"/>
          <w:sz w:val="18"/>
          <w:szCs w:val="18"/>
          <w:lang w:val="es-ES_tradnl"/>
        </w:rPr>
        <w:t>ó</w:t>
      </w:r>
      <w:r>
        <w:rPr>
          <w:spacing w:val="-5"/>
          <w:sz w:val="18"/>
          <w:szCs w:val="18"/>
          <w:lang w:val="es-ES_tradnl"/>
        </w:rPr>
        <w:t xml:space="preserve">n de la </w:t>
      </w:r>
      <w:r>
        <w:rPr>
          <w:spacing w:val="-6"/>
          <w:sz w:val="18"/>
          <w:szCs w:val="18"/>
          <w:lang w:val="es-ES_tradnl"/>
        </w:rPr>
        <w:t>Rep</w:t>
      </w:r>
      <w:r>
        <w:rPr>
          <w:rFonts w:cs="Times New Roman"/>
          <w:spacing w:val="-6"/>
          <w:sz w:val="18"/>
          <w:szCs w:val="18"/>
          <w:lang w:val="es-ES_tradnl"/>
        </w:rPr>
        <w:t>ú</w:t>
      </w:r>
      <w:r>
        <w:rPr>
          <w:spacing w:val="-6"/>
          <w:sz w:val="18"/>
          <w:szCs w:val="18"/>
          <w:lang w:val="es-ES_tradnl"/>
        </w:rPr>
        <w:t>blica, la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procede </w:t>
      </w:r>
      <w:r>
        <w:rPr>
          <w:spacing w:val="-11"/>
          <w:sz w:val="18"/>
          <w:szCs w:val="18"/>
          <w:lang w:val="es-ES_tradnl"/>
        </w:rPr>
        <w:t xml:space="preserve">cuando se trate de sentencias, autos y resoluciones firmes o </w:t>
      </w:r>
      <w:r>
        <w:rPr>
          <w:spacing w:val="-10"/>
          <w:sz w:val="18"/>
          <w:szCs w:val="18"/>
          <w:lang w:val="es-ES_tradnl"/>
        </w:rPr>
        <w:t xml:space="preserve">ejecutoriados, en los que el accionante demuestre que en el </w:t>
      </w:r>
      <w:r>
        <w:rPr>
          <w:spacing w:val="-7"/>
          <w:sz w:val="18"/>
          <w:szCs w:val="18"/>
          <w:lang w:val="es-ES_tradnl"/>
        </w:rPr>
        <w:t>juzgamiento se ha violado, por acci</w:t>
      </w:r>
      <w:r>
        <w:rPr>
          <w:rFonts w:cs="Times New Roman"/>
          <w:spacing w:val="-7"/>
          <w:sz w:val="18"/>
          <w:szCs w:val="18"/>
          <w:lang w:val="es-ES_tradnl"/>
        </w:rPr>
        <w:t>ó</w:t>
      </w:r>
      <w:r>
        <w:rPr>
          <w:spacing w:val="-7"/>
          <w:sz w:val="18"/>
          <w:szCs w:val="18"/>
          <w:lang w:val="es-ES_tradnl"/>
        </w:rPr>
        <w:t>n u omisi</w:t>
      </w:r>
      <w:r>
        <w:rPr>
          <w:rFonts w:cs="Times New Roman"/>
          <w:spacing w:val="-7"/>
          <w:sz w:val="18"/>
          <w:szCs w:val="18"/>
          <w:lang w:val="es-ES_tradnl"/>
        </w:rPr>
        <w:t>ó</w:t>
      </w:r>
      <w:r>
        <w:rPr>
          <w:spacing w:val="-7"/>
          <w:sz w:val="18"/>
          <w:szCs w:val="18"/>
          <w:lang w:val="es-ES_tradnl"/>
        </w:rPr>
        <w:t>n, el debido proceso u otros derechos reconocidos en la Constituci</w:t>
      </w:r>
      <w:r>
        <w:rPr>
          <w:rFonts w:cs="Times New Roman"/>
          <w:spacing w:val="-7"/>
          <w:sz w:val="18"/>
          <w:szCs w:val="18"/>
          <w:lang w:val="es-ES_tradnl"/>
        </w:rPr>
        <w:t>ó</w:t>
      </w:r>
      <w:r>
        <w:rPr>
          <w:spacing w:val="-7"/>
          <w:sz w:val="18"/>
          <w:szCs w:val="18"/>
          <w:lang w:val="es-ES_tradnl"/>
        </w:rPr>
        <w:t xml:space="preserve">n, </w:t>
      </w:r>
      <w:r>
        <w:rPr>
          <w:spacing w:val="-8"/>
          <w:sz w:val="18"/>
          <w:szCs w:val="18"/>
          <w:lang w:val="es-ES_tradnl"/>
        </w:rPr>
        <w:t xml:space="preserve">una vez agotados los recursos ordinarios y extraordinarios </w:t>
      </w:r>
      <w:r>
        <w:rPr>
          <w:spacing w:val="-11"/>
          <w:sz w:val="18"/>
          <w:szCs w:val="18"/>
          <w:lang w:val="es-ES_tradnl"/>
        </w:rPr>
        <w:t>dentro del t</w:t>
      </w:r>
      <w:r>
        <w:rPr>
          <w:rFonts w:cs="Times New Roman"/>
          <w:spacing w:val="-11"/>
          <w:sz w:val="18"/>
          <w:szCs w:val="18"/>
          <w:lang w:val="es-ES_tradnl"/>
        </w:rPr>
        <w:t>é</w:t>
      </w:r>
      <w:r>
        <w:rPr>
          <w:spacing w:val="-11"/>
          <w:sz w:val="18"/>
          <w:szCs w:val="18"/>
          <w:lang w:val="es-ES_tradnl"/>
        </w:rPr>
        <w:t>rmino legal, a menos que la falta de interposici</w:t>
      </w:r>
      <w:r>
        <w:rPr>
          <w:rFonts w:cs="Times New Roman"/>
          <w:spacing w:val="-11"/>
          <w:sz w:val="18"/>
          <w:szCs w:val="18"/>
          <w:lang w:val="es-ES_tradnl"/>
        </w:rPr>
        <w:t>ó</w:t>
      </w:r>
      <w:r>
        <w:rPr>
          <w:spacing w:val="-11"/>
          <w:sz w:val="18"/>
          <w:szCs w:val="18"/>
          <w:lang w:val="es-ES_tradnl"/>
        </w:rPr>
        <w:t xml:space="preserve">n </w:t>
      </w:r>
      <w:r>
        <w:rPr>
          <w:spacing w:val="-8"/>
          <w:sz w:val="18"/>
          <w:szCs w:val="18"/>
          <w:lang w:val="es-ES_tradnl"/>
        </w:rPr>
        <w:t xml:space="preserve">de estos recursos no fuera atribuible a la negligencia de la </w:t>
      </w:r>
      <w:r>
        <w:rPr>
          <w:spacing w:val="-6"/>
          <w:sz w:val="18"/>
          <w:szCs w:val="18"/>
          <w:lang w:val="es-ES_tradnl"/>
        </w:rPr>
        <w:t>persona titular del derecho constitucional vulnerado.</w:t>
      </w:r>
    </w:p>
    <w:p w14:paraId="4F67AD63" w14:textId="77777777" w:rsidR="00591D54" w:rsidRDefault="00591D54">
      <w:pPr>
        <w:shd w:val="clear" w:color="auto" w:fill="FFFFFF"/>
        <w:spacing w:before="202" w:line="216" w:lineRule="exact"/>
        <w:ind w:right="5"/>
        <w:jc w:val="both"/>
      </w:pPr>
      <w:r>
        <w:rPr>
          <w:spacing w:val="-5"/>
          <w:sz w:val="18"/>
          <w:szCs w:val="18"/>
          <w:lang w:val="es-ES_tradnl"/>
        </w:rPr>
        <w:t>La acci</w:t>
      </w:r>
      <w:r>
        <w:rPr>
          <w:rFonts w:cs="Times New Roman"/>
          <w:spacing w:val="-5"/>
          <w:sz w:val="18"/>
          <w:szCs w:val="18"/>
          <w:lang w:val="es-ES_tradnl"/>
        </w:rPr>
        <w:t>ó</w:t>
      </w:r>
      <w:r>
        <w:rPr>
          <w:spacing w:val="-5"/>
          <w:sz w:val="18"/>
          <w:szCs w:val="18"/>
          <w:lang w:val="es-ES_tradnl"/>
        </w:rPr>
        <w:t>n extraordinaria de protecci</w:t>
      </w:r>
      <w:r>
        <w:rPr>
          <w:rFonts w:cs="Times New Roman"/>
          <w:spacing w:val="-5"/>
          <w:sz w:val="18"/>
          <w:szCs w:val="18"/>
          <w:lang w:val="es-ES_tradnl"/>
        </w:rPr>
        <w:t>ó</w:t>
      </w:r>
      <w:r>
        <w:rPr>
          <w:spacing w:val="-5"/>
          <w:sz w:val="18"/>
          <w:szCs w:val="18"/>
          <w:lang w:val="es-ES_tradnl"/>
        </w:rPr>
        <w:t xml:space="preserve">n constituye una </w:t>
      </w:r>
      <w:r>
        <w:rPr>
          <w:spacing w:val="-6"/>
          <w:sz w:val="18"/>
          <w:szCs w:val="18"/>
          <w:lang w:val="es-ES_tradnl"/>
        </w:rPr>
        <w:t>garant</w:t>
      </w:r>
      <w:r>
        <w:rPr>
          <w:rFonts w:cs="Times New Roman"/>
          <w:spacing w:val="-6"/>
          <w:sz w:val="18"/>
          <w:szCs w:val="18"/>
          <w:lang w:val="es-ES_tradnl"/>
        </w:rPr>
        <w:t>í</w:t>
      </w:r>
      <w:r>
        <w:rPr>
          <w:spacing w:val="-6"/>
          <w:sz w:val="18"/>
          <w:szCs w:val="18"/>
          <w:lang w:val="es-ES_tradnl"/>
        </w:rPr>
        <w:t xml:space="preserve">a jurisdiccional creada por el constituyente para </w:t>
      </w:r>
      <w:r>
        <w:rPr>
          <w:spacing w:val="-8"/>
          <w:sz w:val="18"/>
          <w:szCs w:val="18"/>
          <w:lang w:val="es-ES_tradnl"/>
        </w:rPr>
        <w:t>proteger los derechos constitucionales de las personas en contra de cualquier vulneraci</w:t>
      </w:r>
      <w:r>
        <w:rPr>
          <w:rFonts w:cs="Times New Roman"/>
          <w:spacing w:val="-8"/>
          <w:sz w:val="18"/>
          <w:szCs w:val="18"/>
          <w:lang w:val="es-ES_tradnl"/>
        </w:rPr>
        <w:t>ó</w:t>
      </w:r>
      <w:r>
        <w:rPr>
          <w:spacing w:val="-8"/>
          <w:sz w:val="18"/>
          <w:szCs w:val="18"/>
          <w:lang w:val="es-ES_tradnl"/>
        </w:rPr>
        <w:t xml:space="preserve">n que se produzca mediante </w:t>
      </w:r>
      <w:r>
        <w:rPr>
          <w:spacing w:val="-4"/>
          <w:sz w:val="18"/>
          <w:szCs w:val="18"/>
          <w:lang w:val="es-ES_tradnl"/>
        </w:rPr>
        <w:t xml:space="preserve">determinados actos jurisdiccionales. Por consiguiente, </w:t>
      </w:r>
      <w:r>
        <w:rPr>
          <w:spacing w:val="-7"/>
          <w:sz w:val="18"/>
          <w:szCs w:val="18"/>
          <w:lang w:val="es-ES_tradnl"/>
        </w:rPr>
        <w:t xml:space="preserve">tiene como fin proteger, precautelar, tutelar y amparar los </w:t>
      </w:r>
      <w:r>
        <w:rPr>
          <w:spacing w:val="-8"/>
          <w:sz w:val="18"/>
          <w:szCs w:val="18"/>
          <w:lang w:val="es-ES_tradnl"/>
        </w:rPr>
        <w:t>derechos de las personas que, por acci</w:t>
      </w:r>
      <w:r>
        <w:rPr>
          <w:rFonts w:cs="Times New Roman"/>
          <w:spacing w:val="-8"/>
          <w:sz w:val="18"/>
          <w:szCs w:val="18"/>
          <w:lang w:val="es-ES_tradnl"/>
        </w:rPr>
        <w:t>ó</w:t>
      </w:r>
      <w:r>
        <w:rPr>
          <w:spacing w:val="-8"/>
          <w:sz w:val="18"/>
          <w:szCs w:val="18"/>
          <w:lang w:val="es-ES_tradnl"/>
        </w:rPr>
        <w:t>n u omisi</w:t>
      </w:r>
      <w:r>
        <w:rPr>
          <w:rFonts w:cs="Times New Roman"/>
          <w:spacing w:val="-8"/>
          <w:sz w:val="18"/>
          <w:szCs w:val="18"/>
          <w:lang w:val="es-ES_tradnl"/>
        </w:rPr>
        <w:t>ó</w:t>
      </w:r>
      <w:r>
        <w:rPr>
          <w:spacing w:val="-8"/>
          <w:sz w:val="18"/>
          <w:szCs w:val="18"/>
          <w:lang w:val="es-ES_tradnl"/>
        </w:rPr>
        <w:t>n, sean vulnerados o afectados en las decisiones judiciales.</w:t>
      </w:r>
    </w:p>
    <w:p w14:paraId="4F67AD64" w14:textId="77777777" w:rsidR="00591D54" w:rsidRDefault="00591D54">
      <w:pPr>
        <w:shd w:val="clear" w:color="auto" w:fill="FFFFFF"/>
        <w:spacing w:before="197"/>
      </w:pPr>
      <w:r>
        <w:rPr>
          <w:b/>
          <w:bCs/>
          <w:spacing w:val="-10"/>
          <w:sz w:val="18"/>
          <w:szCs w:val="18"/>
          <w:lang w:val="es-ES_tradnl"/>
        </w:rPr>
        <w:t>An</w:t>
      </w:r>
      <w:r>
        <w:rPr>
          <w:rFonts w:cs="Times New Roman"/>
          <w:b/>
          <w:bCs/>
          <w:spacing w:val="-10"/>
          <w:sz w:val="18"/>
          <w:szCs w:val="18"/>
          <w:lang w:val="es-ES_tradnl"/>
        </w:rPr>
        <w:t>á</w:t>
      </w:r>
      <w:r>
        <w:rPr>
          <w:b/>
          <w:bCs/>
          <w:spacing w:val="-10"/>
          <w:sz w:val="18"/>
          <w:szCs w:val="18"/>
          <w:lang w:val="es-ES_tradnl"/>
        </w:rPr>
        <w:t>lisis constitucional</w:t>
      </w:r>
    </w:p>
    <w:p w14:paraId="4F67AD65" w14:textId="77777777" w:rsidR="00591D54" w:rsidRDefault="00591D54">
      <w:pPr>
        <w:shd w:val="clear" w:color="auto" w:fill="FFFFFF"/>
        <w:spacing w:before="197" w:line="216" w:lineRule="exact"/>
        <w:ind w:right="5"/>
        <w:jc w:val="both"/>
      </w:pPr>
      <w:r>
        <w:rPr>
          <w:spacing w:val="-9"/>
          <w:sz w:val="18"/>
          <w:szCs w:val="18"/>
          <w:lang w:val="es-ES_tradnl"/>
        </w:rPr>
        <w:t xml:space="preserve">En el presente caso se han presentado dos acciones </w:t>
      </w:r>
      <w:r>
        <w:rPr>
          <w:spacing w:val="-7"/>
          <w:sz w:val="18"/>
          <w:szCs w:val="18"/>
          <w:lang w:val="es-ES_tradnl"/>
        </w:rPr>
        <w:t>extraordinarias de protecci</w:t>
      </w:r>
      <w:r>
        <w:rPr>
          <w:rFonts w:cs="Times New Roman"/>
          <w:spacing w:val="-7"/>
          <w:sz w:val="18"/>
          <w:szCs w:val="18"/>
          <w:lang w:val="es-ES_tradnl"/>
        </w:rPr>
        <w:t>ó</w:t>
      </w:r>
      <w:r>
        <w:rPr>
          <w:spacing w:val="-7"/>
          <w:sz w:val="18"/>
          <w:szCs w:val="18"/>
          <w:lang w:val="es-ES_tradnl"/>
        </w:rPr>
        <w:t xml:space="preserve">n, no obstante, por cuanto las </w:t>
      </w:r>
      <w:r>
        <w:rPr>
          <w:spacing w:val="-9"/>
          <w:sz w:val="18"/>
          <w:szCs w:val="18"/>
          <w:lang w:val="es-ES_tradnl"/>
        </w:rPr>
        <w:t xml:space="preserve">sentencias demandadas y los derechos cuya vulnerabilidad </w:t>
      </w:r>
      <w:r>
        <w:rPr>
          <w:spacing w:val="-4"/>
          <w:sz w:val="18"/>
          <w:szCs w:val="18"/>
          <w:lang w:val="es-ES_tradnl"/>
        </w:rPr>
        <w:t>se alega son coincidentes, se efectuar</w:t>
      </w:r>
      <w:r>
        <w:rPr>
          <w:rFonts w:cs="Times New Roman"/>
          <w:spacing w:val="-4"/>
          <w:sz w:val="18"/>
          <w:szCs w:val="18"/>
          <w:lang w:val="es-ES_tradnl"/>
        </w:rPr>
        <w:t>á</w:t>
      </w:r>
      <w:r>
        <w:rPr>
          <w:spacing w:val="-4"/>
          <w:sz w:val="18"/>
          <w:szCs w:val="18"/>
          <w:lang w:val="es-ES_tradnl"/>
        </w:rPr>
        <w:t xml:space="preserve"> un an</w:t>
      </w:r>
      <w:r>
        <w:rPr>
          <w:rFonts w:cs="Times New Roman"/>
          <w:spacing w:val="-4"/>
          <w:sz w:val="18"/>
          <w:szCs w:val="18"/>
          <w:lang w:val="es-ES_tradnl"/>
        </w:rPr>
        <w:t>á</w:t>
      </w:r>
      <w:r>
        <w:rPr>
          <w:spacing w:val="-4"/>
          <w:sz w:val="18"/>
          <w:szCs w:val="18"/>
          <w:lang w:val="es-ES_tradnl"/>
        </w:rPr>
        <w:t xml:space="preserve">lisis </w:t>
      </w:r>
      <w:r>
        <w:rPr>
          <w:sz w:val="18"/>
          <w:szCs w:val="18"/>
          <w:lang w:val="es-ES_tradnl"/>
        </w:rPr>
        <w:t>consolidado de las mismas.</w:t>
      </w:r>
    </w:p>
    <w:p w14:paraId="4F67AD66" w14:textId="77777777" w:rsidR="00591D54" w:rsidRDefault="00591D54">
      <w:pPr>
        <w:shd w:val="clear" w:color="auto" w:fill="FFFFFF"/>
        <w:spacing w:before="197" w:line="216" w:lineRule="exact"/>
        <w:ind w:right="5"/>
        <w:jc w:val="both"/>
      </w:pPr>
      <w:r>
        <w:rPr>
          <w:spacing w:val="-6"/>
          <w:sz w:val="18"/>
          <w:szCs w:val="18"/>
          <w:lang w:val="es-ES_tradnl"/>
        </w:rPr>
        <w:t xml:space="preserve">En este contexto, al Pleno de la Corte Constitucional le </w:t>
      </w:r>
      <w:r>
        <w:rPr>
          <w:spacing w:val="-12"/>
          <w:sz w:val="18"/>
          <w:szCs w:val="18"/>
          <w:lang w:val="es-ES_tradnl"/>
        </w:rPr>
        <w:t xml:space="preserve">corresponde examinar si en las sentencias dictadas, tanto por </w:t>
      </w:r>
      <w:r>
        <w:rPr>
          <w:spacing w:val="-10"/>
          <w:sz w:val="18"/>
          <w:szCs w:val="18"/>
          <w:lang w:val="es-ES_tradnl"/>
        </w:rPr>
        <w:t>la jueza Sexta de la Ni</w:t>
      </w:r>
      <w:r>
        <w:rPr>
          <w:rFonts w:cs="Times New Roman"/>
          <w:spacing w:val="-10"/>
          <w:sz w:val="18"/>
          <w:szCs w:val="18"/>
          <w:lang w:val="es-ES_tradnl"/>
        </w:rPr>
        <w:t>ñ</w:t>
      </w:r>
      <w:r>
        <w:rPr>
          <w:spacing w:val="-10"/>
          <w:sz w:val="18"/>
          <w:szCs w:val="18"/>
          <w:lang w:val="es-ES_tradnl"/>
        </w:rPr>
        <w:t xml:space="preserve">ez y Adolescencia del Guayas como </w:t>
      </w:r>
      <w:r>
        <w:rPr>
          <w:spacing w:val="-7"/>
          <w:sz w:val="18"/>
          <w:szCs w:val="18"/>
          <w:lang w:val="es-ES_tradnl"/>
        </w:rPr>
        <w:t>por la Tercera Sala de lo Penal, Colusorio y Tr</w:t>
      </w:r>
      <w:r>
        <w:rPr>
          <w:rFonts w:cs="Times New Roman"/>
          <w:spacing w:val="-7"/>
          <w:sz w:val="18"/>
          <w:szCs w:val="18"/>
          <w:lang w:val="es-ES_tradnl"/>
        </w:rPr>
        <w:t>á</w:t>
      </w:r>
      <w:r>
        <w:rPr>
          <w:spacing w:val="-7"/>
          <w:sz w:val="18"/>
          <w:szCs w:val="18"/>
          <w:lang w:val="es-ES_tradnl"/>
        </w:rPr>
        <w:t xml:space="preserve">nsito de la </w:t>
      </w:r>
      <w:r>
        <w:rPr>
          <w:spacing w:val="-6"/>
          <w:sz w:val="18"/>
          <w:szCs w:val="18"/>
          <w:lang w:val="es-ES_tradnl"/>
        </w:rPr>
        <w:t xml:space="preserve">Corte Provincial de Justicia del Guayas del 31 de octubre </w:t>
      </w:r>
      <w:r>
        <w:rPr>
          <w:spacing w:val="-7"/>
          <w:sz w:val="18"/>
          <w:szCs w:val="18"/>
          <w:lang w:val="es-ES_tradnl"/>
        </w:rPr>
        <w:t>de 2012 a las 16:33, dentro de la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n N.</w:t>
      </w:r>
      <w:r>
        <w:rPr>
          <w:rFonts w:cs="Times New Roman"/>
          <w:spacing w:val="-7"/>
          <w:sz w:val="18"/>
          <w:szCs w:val="18"/>
          <w:lang w:val="es-ES_tradnl"/>
        </w:rPr>
        <w:t xml:space="preserve">º </w:t>
      </w:r>
      <w:r>
        <w:rPr>
          <w:spacing w:val="-9"/>
          <w:sz w:val="18"/>
          <w:szCs w:val="18"/>
          <w:lang w:val="es-ES_tradnl"/>
        </w:rPr>
        <w:t>0412-2012/0719-2012, se produjo vulneraci</w:t>
      </w:r>
      <w:r>
        <w:rPr>
          <w:rFonts w:cs="Times New Roman"/>
          <w:spacing w:val="-9"/>
          <w:sz w:val="18"/>
          <w:szCs w:val="18"/>
          <w:lang w:val="es-ES_tradnl"/>
        </w:rPr>
        <w:t>ó</w:t>
      </w:r>
      <w:r>
        <w:rPr>
          <w:spacing w:val="-9"/>
          <w:sz w:val="18"/>
          <w:szCs w:val="18"/>
          <w:lang w:val="es-ES_tradnl"/>
        </w:rPr>
        <w:t xml:space="preserve">n de derechos </w:t>
      </w:r>
      <w:r>
        <w:rPr>
          <w:spacing w:val="-3"/>
          <w:sz w:val="18"/>
          <w:szCs w:val="18"/>
          <w:lang w:val="es-ES_tradnl"/>
        </w:rPr>
        <w:t xml:space="preserve">constitucionales, para lo cual la Corte Constitucional </w:t>
      </w:r>
      <w:r>
        <w:rPr>
          <w:spacing w:val="-7"/>
          <w:sz w:val="18"/>
          <w:szCs w:val="18"/>
          <w:lang w:val="es-ES_tradnl"/>
        </w:rPr>
        <w:t>procede a realizar el an</w:t>
      </w:r>
      <w:r>
        <w:rPr>
          <w:rFonts w:cs="Times New Roman"/>
          <w:spacing w:val="-7"/>
          <w:sz w:val="18"/>
          <w:szCs w:val="18"/>
          <w:lang w:val="es-ES_tradnl"/>
        </w:rPr>
        <w:t>á</w:t>
      </w:r>
      <w:r>
        <w:rPr>
          <w:spacing w:val="-7"/>
          <w:sz w:val="18"/>
          <w:szCs w:val="18"/>
          <w:lang w:val="es-ES_tradnl"/>
        </w:rPr>
        <w:t>lisis de fondo sobre la base del desarrollo de los siguientes problemas jur</w:t>
      </w:r>
      <w:r>
        <w:rPr>
          <w:rFonts w:cs="Times New Roman"/>
          <w:spacing w:val="-7"/>
          <w:sz w:val="18"/>
          <w:szCs w:val="18"/>
          <w:lang w:val="es-ES_tradnl"/>
        </w:rPr>
        <w:t>í</w:t>
      </w:r>
      <w:r>
        <w:rPr>
          <w:spacing w:val="-7"/>
          <w:sz w:val="18"/>
          <w:szCs w:val="18"/>
          <w:lang w:val="es-ES_tradnl"/>
        </w:rPr>
        <w:t>dicos:</w:t>
      </w:r>
    </w:p>
    <w:p w14:paraId="4F67AD67" w14:textId="77777777" w:rsidR="00591D54" w:rsidRDefault="00591D54" w:rsidP="00251195">
      <w:pPr>
        <w:numPr>
          <w:ilvl w:val="0"/>
          <w:numId w:val="62"/>
        </w:numPr>
        <w:shd w:val="clear" w:color="auto" w:fill="FFFFFF"/>
        <w:tabs>
          <w:tab w:val="left" w:pos="566"/>
        </w:tabs>
        <w:spacing w:before="197" w:line="216" w:lineRule="exact"/>
        <w:ind w:left="566" w:hanging="283"/>
        <w:jc w:val="both"/>
        <w:rPr>
          <w:spacing w:val="-11"/>
          <w:sz w:val="18"/>
          <w:szCs w:val="18"/>
          <w:lang w:val="es-ES_tradnl"/>
        </w:rPr>
      </w:pPr>
      <w:r>
        <w:rPr>
          <w:spacing w:val="-10"/>
          <w:sz w:val="18"/>
          <w:szCs w:val="18"/>
          <w:lang w:val="es-ES_tradnl"/>
        </w:rPr>
        <w:t xml:space="preserve">Las sentencias impugnadas, </w:t>
      </w:r>
      <w:r>
        <w:rPr>
          <w:rFonts w:cs="Times New Roman"/>
          <w:spacing w:val="-10"/>
          <w:sz w:val="18"/>
          <w:szCs w:val="18"/>
          <w:lang w:val="es-ES_tradnl"/>
        </w:rPr>
        <w:t>¿</w:t>
      </w:r>
      <w:r>
        <w:rPr>
          <w:spacing w:val="-10"/>
          <w:sz w:val="18"/>
          <w:szCs w:val="18"/>
          <w:lang w:val="es-ES_tradnl"/>
        </w:rPr>
        <w:t xml:space="preserve">vulneraron el derecho </w:t>
      </w:r>
      <w:r>
        <w:rPr>
          <w:spacing w:val="-6"/>
          <w:sz w:val="18"/>
          <w:szCs w:val="18"/>
          <w:lang w:val="es-ES_tradnl"/>
        </w:rPr>
        <w:t>de los accionantes a la tutela judicial efectiva, garantizado en el art</w:t>
      </w:r>
      <w:r>
        <w:rPr>
          <w:rFonts w:cs="Times New Roman"/>
          <w:spacing w:val="-6"/>
          <w:sz w:val="18"/>
          <w:szCs w:val="18"/>
          <w:lang w:val="es-ES_tradnl"/>
        </w:rPr>
        <w:t>í</w:t>
      </w:r>
      <w:r>
        <w:rPr>
          <w:spacing w:val="-6"/>
          <w:sz w:val="18"/>
          <w:szCs w:val="18"/>
          <w:lang w:val="es-ES_tradnl"/>
        </w:rPr>
        <w:t>culo 75 de la Constituci</w:t>
      </w:r>
      <w:r>
        <w:rPr>
          <w:rFonts w:cs="Times New Roman"/>
          <w:spacing w:val="-6"/>
          <w:sz w:val="18"/>
          <w:szCs w:val="18"/>
          <w:lang w:val="es-ES_tradnl"/>
        </w:rPr>
        <w:t>ó</w:t>
      </w:r>
      <w:r>
        <w:rPr>
          <w:spacing w:val="-6"/>
          <w:sz w:val="18"/>
          <w:szCs w:val="18"/>
          <w:lang w:val="es-ES_tradnl"/>
        </w:rPr>
        <w:t xml:space="preserve">n de </w:t>
      </w:r>
      <w:r>
        <w:rPr>
          <w:sz w:val="18"/>
          <w:szCs w:val="18"/>
          <w:lang w:val="es-ES_tradnl"/>
        </w:rPr>
        <w:t>la Rep</w:t>
      </w:r>
      <w:r>
        <w:rPr>
          <w:rFonts w:cs="Times New Roman"/>
          <w:sz w:val="18"/>
          <w:szCs w:val="18"/>
          <w:lang w:val="es-ES_tradnl"/>
        </w:rPr>
        <w:t>ú</w:t>
      </w:r>
      <w:r>
        <w:rPr>
          <w:sz w:val="18"/>
          <w:szCs w:val="18"/>
          <w:lang w:val="es-ES_tradnl"/>
        </w:rPr>
        <w:t>blica?</w:t>
      </w:r>
    </w:p>
    <w:p w14:paraId="4F67AD68" w14:textId="77777777" w:rsidR="00591D54" w:rsidRDefault="00591D54" w:rsidP="00251195">
      <w:pPr>
        <w:numPr>
          <w:ilvl w:val="0"/>
          <w:numId w:val="62"/>
        </w:numPr>
        <w:shd w:val="clear" w:color="auto" w:fill="FFFFFF"/>
        <w:tabs>
          <w:tab w:val="left" w:pos="566"/>
        </w:tabs>
        <w:spacing w:before="197" w:line="221" w:lineRule="exact"/>
        <w:ind w:left="566" w:right="5" w:hanging="283"/>
        <w:jc w:val="both"/>
        <w:rPr>
          <w:spacing w:val="-11"/>
          <w:sz w:val="18"/>
          <w:szCs w:val="18"/>
          <w:lang w:val="es-ES_tradnl"/>
        </w:rPr>
      </w:pPr>
      <w:r>
        <w:rPr>
          <w:spacing w:val="-1"/>
          <w:sz w:val="18"/>
          <w:szCs w:val="18"/>
          <w:lang w:val="es-ES_tradnl"/>
        </w:rPr>
        <w:t xml:space="preserve">Las sentencias impugnadas, </w:t>
      </w:r>
      <w:r>
        <w:rPr>
          <w:rFonts w:cs="Times New Roman"/>
          <w:spacing w:val="-1"/>
          <w:sz w:val="18"/>
          <w:szCs w:val="18"/>
          <w:lang w:val="es-ES_tradnl"/>
        </w:rPr>
        <w:t>¿</w:t>
      </w:r>
      <w:r>
        <w:rPr>
          <w:spacing w:val="-1"/>
          <w:sz w:val="18"/>
          <w:szCs w:val="18"/>
          <w:lang w:val="es-ES_tradnl"/>
        </w:rPr>
        <w:t xml:space="preserve">vulneraron el </w:t>
      </w:r>
      <w:r>
        <w:rPr>
          <w:spacing w:val="-8"/>
          <w:sz w:val="18"/>
          <w:szCs w:val="18"/>
          <w:lang w:val="es-ES_tradnl"/>
        </w:rPr>
        <w:t>derecho de los accionantes a la seguridad jur</w:t>
      </w:r>
      <w:r>
        <w:rPr>
          <w:rFonts w:cs="Times New Roman"/>
          <w:spacing w:val="-8"/>
          <w:sz w:val="18"/>
          <w:szCs w:val="18"/>
          <w:lang w:val="es-ES_tradnl"/>
        </w:rPr>
        <w:t>í</w:t>
      </w:r>
      <w:r>
        <w:rPr>
          <w:spacing w:val="-8"/>
          <w:sz w:val="18"/>
          <w:szCs w:val="18"/>
          <w:lang w:val="es-ES_tradnl"/>
        </w:rPr>
        <w:t xml:space="preserve">dica, </w:t>
      </w:r>
      <w:r>
        <w:rPr>
          <w:spacing w:val="-6"/>
          <w:sz w:val="18"/>
          <w:szCs w:val="18"/>
          <w:lang w:val="es-ES_tradnl"/>
        </w:rPr>
        <w:t>garantizado en el art</w:t>
      </w:r>
      <w:r>
        <w:rPr>
          <w:rFonts w:cs="Times New Roman"/>
          <w:spacing w:val="-6"/>
          <w:sz w:val="18"/>
          <w:szCs w:val="18"/>
          <w:lang w:val="es-ES_tradnl"/>
        </w:rPr>
        <w:t>í</w:t>
      </w:r>
      <w:r>
        <w:rPr>
          <w:spacing w:val="-6"/>
          <w:sz w:val="18"/>
          <w:szCs w:val="18"/>
          <w:lang w:val="es-ES_tradnl"/>
        </w:rPr>
        <w:t>culo 82 de la Constituci</w:t>
      </w:r>
      <w:r>
        <w:rPr>
          <w:rFonts w:cs="Times New Roman"/>
          <w:spacing w:val="-6"/>
          <w:sz w:val="18"/>
          <w:szCs w:val="18"/>
          <w:lang w:val="es-ES_tradnl"/>
        </w:rPr>
        <w:t>ó</w:t>
      </w:r>
      <w:r>
        <w:rPr>
          <w:spacing w:val="-6"/>
          <w:sz w:val="18"/>
          <w:szCs w:val="18"/>
          <w:lang w:val="es-ES_tradnl"/>
        </w:rPr>
        <w:t xml:space="preserve">n de </w:t>
      </w:r>
      <w:r>
        <w:rPr>
          <w:sz w:val="18"/>
          <w:szCs w:val="18"/>
          <w:lang w:val="es-ES_tradnl"/>
        </w:rPr>
        <w:t>la Rep</w:t>
      </w:r>
      <w:r>
        <w:rPr>
          <w:rFonts w:cs="Times New Roman"/>
          <w:sz w:val="18"/>
          <w:szCs w:val="18"/>
          <w:lang w:val="es-ES_tradnl"/>
        </w:rPr>
        <w:t>ú</w:t>
      </w:r>
      <w:r>
        <w:rPr>
          <w:sz w:val="18"/>
          <w:szCs w:val="18"/>
          <w:lang w:val="es-ES_tradnl"/>
        </w:rPr>
        <w:t>blica?</w:t>
      </w:r>
    </w:p>
    <w:p w14:paraId="4F67AD69" w14:textId="77777777" w:rsidR="00591D54" w:rsidRDefault="00591D54">
      <w:pPr>
        <w:shd w:val="clear" w:color="auto" w:fill="FFFFFF"/>
        <w:spacing w:before="197"/>
      </w:pPr>
      <w:r>
        <w:rPr>
          <w:b/>
          <w:bCs/>
          <w:spacing w:val="-10"/>
          <w:sz w:val="18"/>
          <w:szCs w:val="18"/>
          <w:lang w:val="es-ES_tradnl"/>
        </w:rPr>
        <w:t>Resoluci</w:t>
      </w:r>
      <w:r>
        <w:rPr>
          <w:rFonts w:cs="Times New Roman"/>
          <w:b/>
          <w:bCs/>
          <w:spacing w:val="-10"/>
          <w:sz w:val="18"/>
          <w:szCs w:val="18"/>
          <w:lang w:val="es-ES_tradnl"/>
        </w:rPr>
        <w:t>ó</w:t>
      </w:r>
      <w:r>
        <w:rPr>
          <w:b/>
          <w:bCs/>
          <w:spacing w:val="-10"/>
          <w:sz w:val="18"/>
          <w:szCs w:val="18"/>
          <w:lang w:val="es-ES_tradnl"/>
        </w:rPr>
        <w:t>n de los problemas jur</w:t>
      </w:r>
      <w:r>
        <w:rPr>
          <w:rFonts w:cs="Times New Roman"/>
          <w:b/>
          <w:bCs/>
          <w:spacing w:val="-10"/>
          <w:sz w:val="18"/>
          <w:szCs w:val="18"/>
          <w:lang w:val="es-ES_tradnl"/>
        </w:rPr>
        <w:t>í</w:t>
      </w:r>
      <w:r>
        <w:rPr>
          <w:b/>
          <w:bCs/>
          <w:spacing w:val="-10"/>
          <w:sz w:val="18"/>
          <w:szCs w:val="18"/>
          <w:lang w:val="es-ES_tradnl"/>
        </w:rPr>
        <w:t>dicos planteados</w:t>
      </w:r>
    </w:p>
    <w:p w14:paraId="4F67AD6A" w14:textId="77777777" w:rsidR="00591D54" w:rsidRDefault="00591D54">
      <w:pPr>
        <w:shd w:val="clear" w:color="auto" w:fill="FFFFFF"/>
        <w:spacing w:before="197" w:line="216" w:lineRule="exact"/>
        <w:ind w:left="566" w:right="5" w:hanging="283"/>
        <w:jc w:val="both"/>
      </w:pPr>
      <w:r>
        <w:rPr>
          <w:b/>
          <w:bCs/>
          <w:spacing w:val="-5"/>
          <w:sz w:val="18"/>
          <w:szCs w:val="18"/>
          <w:lang w:val="es-ES_tradnl"/>
        </w:rPr>
        <w:t xml:space="preserve">1. Las sentencias impugnadas, </w:t>
      </w:r>
      <w:r>
        <w:rPr>
          <w:rFonts w:cs="Times New Roman"/>
          <w:b/>
          <w:bCs/>
          <w:spacing w:val="-5"/>
          <w:sz w:val="18"/>
          <w:szCs w:val="18"/>
          <w:lang w:val="es-ES_tradnl"/>
        </w:rPr>
        <w:t>¿</w:t>
      </w:r>
      <w:r>
        <w:rPr>
          <w:b/>
          <w:bCs/>
          <w:spacing w:val="-5"/>
          <w:sz w:val="18"/>
          <w:szCs w:val="18"/>
          <w:lang w:val="es-ES_tradnl"/>
        </w:rPr>
        <w:t xml:space="preserve">vulneraron el </w:t>
      </w:r>
      <w:r>
        <w:rPr>
          <w:b/>
          <w:bCs/>
          <w:spacing w:val="-8"/>
          <w:sz w:val="18"/>
          <w:szCs w:val="18"/>
          <w:lang w:val="es-ES_tradnl"/>
        </w:rPr>
        <w:t xml:space="preserve">derecho de los accionantes a la tutela judicial </w:t>
      </w:r>
      <w:r>
        <w:rPr>
          <w:b/>
          <w:bCs/>
          <w:spacing w:val="-6"/>
          <w:sz w:val="18"/>
          <w:szCs w:val="18"/>
          <w:lang w:val="es-ES_tradnl"/>
        </w:rPr>
        <w:t>efectiva, garantizado en el art</w:t>
      </w:r>
      <w:r>
        <w:rPr>
          <w:rFonts w:cs="Times New Roman"/>
          <w:b/>
          <w:bCs/>
          <w:spacing w:val="-6"/>
          <w:sz w:val="18"/>
          <w:szCs w:val="18"/>
          <w:lang w:val="es-ES_tradnl"/>
        </w:rPr>
        <w:t>í</w:t>
      </w:r>
      <w:r>
        <w:rPr>
          <w:b/>
          <w:bCs/>
          <w:spacing w:val="-6"/>
          <w:sz w:val="18"/>
          <w:szCs w:val="18"/>
          <w:lang w:val="es-ES_tradnl"/>
        </w:rPr>
        <w:t xml:space="preserve">culo 75 de la </w:t>
      </w:r>
      <w:r>
        <w:rPr>
          <w:b/>
          <w:bCs/>
          <w:sz w:val="18"/>
          <w:szCs w:val="18"/>
          <w:lang w:val="es-ES_tradnl"/>
        </w:rPr>
        <w:t>Constituci</w:t>
      </w:r>
      <w:r>
        <w:rPr>
          <w:rFonts w:cs="Times New Roman"/>
          <w:b/>
          <w:bCs/>
          <w:sz w:val="18"/>
          <w:szCs w:val="18"/>
          <w:lang w:val="es-ES_tradnl"/>
        </w:rPr>
        <w:t>ó</w:t>
      </w:r>
      <w:r>
        <w:rPr>
          <w:b/>
          <w:bCs/>
          <w:sz w:val="18"/>
          <w:szCs w:val="18"/>
          <w:lang w:val="es-ES_tradnl"/>
        </w:rPr>
        <w:t>n de la Rep</w:t>
      </w:r>
      <w:r>
        <w:rPr>
          <w:rFonts w:cs="Times New Roman"/>
          <w:b/>
          <w:bCs/>
          <w:sz w:val="18"/>
          <w:szCs w:val="18"/>
          <w:lang w:val="es-ES_tradnl"/>
        </w:rPr>
        <w:t>ú</w:t>
      </w:r>
      <w:r>
        <w:rPr>
          <w:b/>
          <w:bCs/>
          <w:sz w:val="18"/>
          <w:szCs w:val="18"/>
          <w:lang w:val="es-ES_tradnl"/>
        </w:rPr>
        <w:t>blica?</w:t>
      </w:r>
    </w:p>
    <w:p w14:paraId="4F67AD6B" w14:textId="77777777" w:rsidR="00591D54" w:rsidRDefault="00591D54">
      <w:pPr>
        <w:shd w:val="clear" w:color="auto" w:fill="FFFFFF"/>
        <w:spacing w:line="216" w:lineRule="exact"/>
        <w:jc w:val="both"/>
      </w:pPr>
      <w:r>
        <w:br w:type="column"/>
      </w:r>
      <w:r>
        <w:rPr>
          <w:spacing w:val="-8"/>
          <w:sz w:val="18"/>
          <w:szCs w:val="18"/>
          <w:lang w:val="es-ES_tradnl"/>
        </w:rPr>
        <w:t xml:space="preserve">Para poder determinar si las sentencias materia de este </w:t>
      </w:r>
      <w:r>
        <w:rPr>
          <w:spacing w:val="-7"/>
          <w:sz w:val="18"/>
          <w:szCs w:val="18"/>
          <w:lang w:val="es-ES_tradnl"/>
        </w:rPr>
        <w:t>an</w:t>
      </w:r>
      <w:r>
        <w:rPr>
          <w:rFonts w:cs="Times New Roman"/>
          <w:spacing w:val="-7"/>
          <w:sz w:val="18"/>
          <w:szCs w:val="18"/>
          <w:lang w:val="es-ES_tradnl"/>
        </w:rPr>
        <w:t>á</w:t>
      </w:r>
      <w:r>
        <w:rPr>
          <w:spacing w:val="-7"/>
          <w:sz w:val="18"/>
          <w:szCs w:val="18"/>
          <w:lang w:val="es-ES_tradnl"/>
        </w:rPr>
        <w:t xml:space="preserve">lisis han vulnerado el derecho de los accionantes a la </w:t>
      </w:r>
      <w:r>
        <w:rPr>
          <w:spacing w:val="-6"/>
          <w:sz w:val="18"/>
          <w:szCs w:val="18"/>
          <w:lang w:val="es-ES_tradnl"/>
        </w:rPr>
        <w:t xml:space="preserve">tutela judicial efectiva, resulta importante iniciar revisando </w:t>
      </w:r>
      <w:r>
        <w:rPr>
          <w:spacing w:val="-8"/>
          <w:sz w:val="18"/>
          <w:szCs w:val="18"/>
          <w:lang w:val="es-ES_tradnl"/>
        </w:rPr>
        <w:t xml:space="preserve">los argumentos formulados en las respectivas demandas, para lo cual, en primer lugar observamos lo expuesto por la </w:t>
      </w:r>
      <w:r>
        <w:rPr>
          <w:spacing w:val="-7"/>
          <w:sz w:val="18"/>
          <w:szCs w:val="18"/>
          <w:lang w:val="es-ES_tradnl"/>
        </w:rPr>
        <w:t>Armada del Ecuador en los siguientes t</w:t>
      </w:r>
      <w:r>
        <w:rPr>
          <w:rFonts w:cs="Times New Roman"/>
          <w:spacing w:val="-7"/>
          <w:sz w:val="18"/>
          <w:szCs w:val="18"/>
          <w:lang w:val="es-ES_tradnl"/>
        </w:rPr>
        <w:t>é</w:t>
      </w:r>
      <w:r>
        <w:rPr>
          <w:spacing w:val="-7"/>
          <w:sz w:val="18"/>
          <w:szCs w:val="18"/>
          <w:lang w:val="es-ES_tradnl"/>
        </w:rPr>
        <w:t>rminos:</w:t>
      </w:r>
    </w:p>
    <w:p w14:paraId="4F67AD6C" w14:textId="77777777" w:rsidR="00591D54" w:rsidRDefault="00591D54">
      <w:pPr>
        <w:shd w:val="clear" w:color="auto" w:fill="FFFFFF"/>
        <w:spacing w:before="202" w:line="216" w:lineRule="exact"/>
        <w:ind w:left="283"/>
        <w:jc w:val="both"/>
      </w:pPr>
      <w:r>
        <w:rPr>
          <w:spacing w:val="-4"/>
          <w:sz w:val="16"/>
          <w:szCs w:val="16"/>
          <w:lang w:val="es-ES_tradnl"/>
        </w:rPr>
        <w:t>(</w:t>
      </w:r>
      <w:r>
        <w:rPr>
          <w:rFonts w:cs="Times New Roman"/>
          <w:spacing w:val="-4"/>
          <w:sz w:val="16"/>
          <w:szCs w:val="16"/>
          <w:lang w:val="es-ES_tradnl"/>
        </w:rPr>
        <w:t>…</w:t>
      </w:r>
      <w:r>
        <w:rPr>
          <w:spacing w:val="-4"/>
          <w:sz w:val="16"/>
          <w:szCs w:val="16"/>
          <w:lang w:val="es-ES_tradnl"/>
        </w:rPr>
        <w:t>) la sentencia dictada por los se</w:t>
      </w:r>
      <w:r>
        <w:rPr>
          <w:rFonts w:cs="Times New Roman"/>
          <w:spacing w:val="-4"/>
          <w:sz w:val="16"/>
          <w:szCs w:val="16"/>
          <w:lang w:val="es-ES_tradnl"/>
        </w:rPr>
        <w:t>ñ</w:t>
      </w:r>
      <w:r>
        <w:rPr>
          <w:spacing w:val="-4"/>
          <w:sz w:val="16"/>
          <w:szCs w:val="16"/>
          <w:lang w:val="es-ES_tradnl"/>
        </w:rPr>
        <w:t xml:space="preserve">ores jueces Ab. Freire </w:t>
      </w:r>
      <w:r>
        <w:rPr>
          <w:spacing w:val="-1"/>
          <w:sz w:val="16"/>
          <w:szCs w:val="16"/>
          <w:lang w:val="es-ES_tradnl"/>
        </w:rPr>
        <w:t>Le</w:t>
      </w:r>
      <w:r>
        <w:rPr>
          <w:rFonts w:cs="Times New Roman"/>
          <w:spacing w:val="-1"/>
          <w:sz w:val="16"/>
          <w:szCs w:val="16"/>
          <w:lang w:val="es-ES_tradnl"/>
        </w:rPr>
        <w:t>ó</w:t>
      </w:r>
      <w:r>
        <w:rPr>
          <w:spacing w:val="-1"/>
          <w:sz w:val="16"/>
          <w:szCs w:val="16"/>
          <w:lang w:val="es-ES_tradnl"/>
        </w:rPr>
        <w:t>n Guillermo Antonio, Dr. Henry Mor</w:t>
      </w:r>
      <w:r>
        <w:rPr>
          <w:rFonts w:cs="Times New Roman"/>
          <w:spacing w:val="-1"/>
          <w:sz w:val="16"/>
          <w:szCs w:val="16"/>
          <w:lang w:val="es-ES_tradnl"/>
        </w:rPr>
        <w:t>á</w:t>
      </w:r>
      <w:r>
        <w:rPr>
          <w:spacing w:val="-1"/>
          <w:sz w:val="16"/>
          <w:szCs w:val="16"/>
          <w:lang w:val="es-ES_tradnl"/>
        </w:rPr>
        <w:t>n Mor</w:t>
      </w:r>
      <w:r>
        <w:rPr>
          <w:rFonts w:cs="Times New Roman"/>
          <w:spacing w:val="-1"/>
          <w:sz w:val="16"/>
          <w:szCs w:val="16"/>
          <w:lang w:val="es-ES_tradnl"/>
        </w:rPr>
        <w:t>á</w:t>
      </w:r>
      <w:r>
        <w:rPr>
          <w:spacing w:val="-1"/>
          <w:sz w:val="16"/>
          <w:szCs w:val="16"/>
          <w:lang w:val="es-ES_tradnl"/>
        </w:rPr>
        <w:t xml:space="preserve">n y Ab. </w:t>
      </w:r>
      <w:r>
        <w:rPr>
          <w:spacing w:val="-7"/>
          <w:sz w:val="16"/>
          <w:szCs w:val="16"/>
          <w:lang w:val="es-ES_tradnl"/>
        </w:rPr>
        <w:t>Esther Balladares Mac</w:t>
      </w:r>
      <w:r>
        <w:rPr>
          <w:rFonts w:cs="Times New Roman"/>
          <w:spacing w:val="-7"/>
          <w:sz w:val="16"/>
          <w:szCs w:val="16"/>
          <w:lang w:val="es-ES_tradnl"/>
        </w:rPr>
        <w:t>í</w:t>
      </w:r>
      <w:r>
        <w:rPr>
          <w:spacing w:val="-7"/>
          <w:sz w:val="16"/>
          <w:szCs w:val="16"/>
          <w:lang w:val="es-ES_tradnl"/>
        </w:rPr>
        <w:t xml:space="preserve">as, Jueces Provinciales de la Tercera </w:t>
      </w:r>
      <w:r>
        <w:rPr>
          <w:spacing w:val="-4"/>
          <w:sz w:val="16"/>
          <w:szCs w:val="16"/>
          <w:lang w:val="es-ES_tradnl"/>
        </w:rPr>
        <w:t>Sala de lo Penal, Colusorios y de Tr</w:t>
      </w:r>
      <w:r>
        <w:rPr>
          <w:rFonts w:cs="Times New Roman"/>
          <w:spacing w:val="-4"/>
          <w:sz w:val="16"/>
          <w:szCs w:val="16"/>
          <w:lang w:val="es-ES_tradnl"/>
        </w:rPr>
        <w:t>á</w:t>
      </w:r>
      <w:r>
        <w:rPr>
          <w:spacing w:val="-4"/>
          <w:sz w:val="16"/>
          <w:szCs w:val="16"/>
          <w:lang w:val="es-ES_tradnl"/>
        </w:rPr>
        <w:t xml:space="preserve">nsito, convalidan en </w:t>
      </w:r>
      <w:r>
        <w:rPr>
          <w:spacing w:val="-8"/>
          <w:sz w:val="16"/>
          <w:szCs w:val="16"/>
          <w:lang w:val="es-ES_tradnl"/>
        </w:rPr>
        <w:t>todas sus partes la inveros</w:t>
      </w:r>
      <w:r>
        <w:rPr>
          <w:rFonts w:cs="Times New Roman"/>
          <w:spacing w:val="-8"/>
          <w:sz w:val="16"/>
          <w:szCs w:val="16"/>
          <w:lang w:val="es-ES_tradnl"/>
        </w:rPr>
        <w:t>í</w:t>
      </w:r>
      <w:r>
        <w:rPr>
          <w:spacing w:val="-8"/>
          <w:sz w:val="16"/>
          <w:szCs w:val="16"/>
          <w:lang w:val="es-ES_tradnl"/>
        </w:rPr>
        <w:t xml:space="preserve">mil sentencia realizada por la Jueza </w:t>
      </w:r>
      <w:r>
        <w:rPr>
          <w:spacing w:val="-5"/>
          <w:sz w:val="16"/>
          <w:szCs w:val="16"/>
          <w:lang w:val="es-ES_tradnl"/>
        </w:rPr>
        <w:t>A-quo, autoridad que no garantiz</w:t>
      </w:r>
      <w:r>
        <w:rPr>
          <w:rFonts w:cs="Times New Roman"/>
          <w:spacing w:val="-5"/>
          <w:sz w:val="16"/>
          <w:szCs w:val="16"/>
          <w:lang w:val="es-ES_tradnl"/>
        </w:rPr>
        <w:t>ó</w:t>
      </w:r>
      <w:r>
        <w:rPr>
          <w:spacing w:val="-5"/>
          <w:sz w:val="16"/>
          <w:szCs w:val="16"/>
          <w:lang w:val="es-ES_tradnl"/>
        </w:rPr>
        <w:t xml:space="preserve"> la Tutela Judicial ni aplic</w:t>
      </w:r>
      <w:r>
        <w:rPr>
          <w:rFonts w:cs="Times New Roman"/>
          <w:spacing w:val="-5"/>
          <w:sz w:val="16"/>
          <w:szCs w:val="16"/>
          <w:lang w:val="es-ES_tradnl"/>
        </w:rPr>
        <w:t xml:space="preserve">ó </w:t>
      </w:r>
      <w:r>
        <w:rPr>
          <w:spacing w:val="-3"/>
          <w:sz w:val="16"/>
          <w:szCs w:val="16"/>
          <w:lang w:val="es-ES_tradnl"/>
        </w:rPr>
        <w:t>con certeza la Ley Org</w:t>
      </w:r>
      <w:r>
        <w:rPr>
          <w:rFonts w:cs="Times New Roman"/>
          <w:spacing w:val="-3"/>
          <w:sz w:val="16"/>
          <w:szCs w:val="16"/>
          <w:lang w:val="es-ES_tradnl"/>
        </w:rPr>
        <w:t>á</w:t>
      </w:r>
      <w:r>
        <w:rPr>
          <w:spacing w:val="-3"/>
          <w:sz w:val="16"/>
          <w:szCs w:val="16"/>
          <w:lang w:val="es-ES_tradnl"/>
        </w:rPr>
        <w:t>nica de Garant</w:t>
      </w:r>
      <w:r>
        <w:rPr>
          <w:rFonts w:cs="Times New Roman"/>
          <w:spacing w:val="-3"/>
          <w:sz w:val="16"/>
          <w:szCs w:val="16"/>
          <w:lang w:val="es-ES_tradnl"/>
        </w:rPr>
        <w:t>í</w:t>
      </w:r>
      <w:r>
        <w:rPr>
          <w:spacing w:val="-3"/>
          <w:sz w:val="16"/>
          <w:szCs w:val="16"/>
          <w:lang w:val="es-ES_tradnl"/>
        </w:rPr>
        <w:t xml:space="preserve">as Jurisdiccionales </w:t>
      </w:r>
      <w:r>
        <w:rPr>
          <w:spacing w:val="-5"/>
          <w:sz w:val="16"/>
          <w:szCs w:val="16"/>
          <w:lang w:val="es-ES_tradnl"/>
        </w:rPr>
        <w:t>y de Control Constitucional que, exige respetar el tr</w:t>
      </w:r>
      <w:r>
        <w:rPr>
          <w:rFonts w:cs="Times New Roman"/>
          <w:spacing w:val="-5"/>
          <w:sz w:val="16"/>
          <w:szCs w:val="16"/>
          <w:lang w:val="es-ES_tradnl"/>
        </w:rPr>
        <w:t>á</w:t>
      </w:r>
      <w:r>
        <w:rPr>
          <w:spacing w:val="-5"/>
          <w:sz w:val="16"/>
          <w:szCs w:val="16"/>
          <w:lang w:val="es-ES_tradnl"/>
        </w:rPr>
        <w:t xml:space="preserve">mite </w:t>
      </w:r>
      <w:r>
        <w:rPr>
          <w:spacing w:val="-7"/>
          <w:sz w:val="16"/>
          <w:szCs w:val="16"/>
          <w:lang w:val="es-ES_tradnl"/>
        </w:rPr>
        <w:t xml:space="preserve">establecido para cada procedimiento y, en el caso concreto el </w:t>
      </w:r>
      <w:r>
        <w:rPr>
          <w:spacing w:val="-9"/>
          <w:sz w:val="16"/>
          <w:szCs w:val="16"/>
          <w:lang w:val="es-ES_tradnl"/>
        </w:rPr>
        <w:t>tr</w:t>
      </w:r>
      <w:r>
        <w:rPr>
          <w:rFonts w:cs="Times New Roman"/>
          <w:spacing w:val="-9"/>
          <w:sz w:val="16"/>
          <w:szCs w:val="16"/>
          <w:lang w:val="es-ES_tradnl"/>
        </w:rPr>
        <w:t>á</w:t>
      </w:r>
      <w:r>
        <w:rPr>
          <w:spacing w:val="-9"/>
          <w:sz w:val="16"/>
          <w:szCs w:val="16"/>
          <w:lang w:val="es-ES_tradnl"/>
        </w:rPr>
        <w:t xml:space="preserve">mite para asuntos eminentemente constitucionales, toda vez, </w:t>
      </w:r>
      <w:r>
        <w:rPr>
          <w:spacing w:val="-7"/>
          <w:sz w:val="16"/>
          <w:szCs w:val="16"/>
          <w:lang w:val="es-ES_tradnl"/>
        </w:rPr>
        <w:t xml:space="preserve">que las normas constitucionales en ninguno de los preceptos </w:t>
      </w:r>
      <w:r>
        <w:rPr>
          <w:spacing w:val="-9"/>
          <w:sz w:val="16"/>
          <w:szCs w:val="16"/>
          <w:lang w:val="es-ES_tradnl"/>
        </w:rPr>
        <w:t xml:space="preserve">permiten que, a pretexto de dar celeridad a los procesos a favor </w:t>
      </w:r>
      <w:r>
        <w:rPr>
          <w:spacing w:val="-6"/>
          <w:sz w:val="16"/>
          <w:szCs w:val="16"/>
          <w:lang w:val="es-ES_tradnl"/>
        </w:rPr>
        <w:t>del demandante, se ocasione la vulneraci</w:t>
      </w:r>
      <w:r>
        <w:rPr>
          <w:rFonts w:cs="Times New Roman"/>
          <w:spacing w:val="-6"/>
          <w:sz w:val="16"/>
          <w:szCs w:val="16"/>
          <w:lang w:val="es-ES_tradnl"/>
        </w:rPr>
        <w:t>ó</w:t>
      </w:r>
      <w:r>
        <w:rPr>
          <w:spacing w:val="-6"/>
          <w:sz w:val="16"/>
          <w:szCs w:val="16"/>
          <w:lang w:val="es-ES_tradnl"/>
        </w:rPr>
        <w:t xml:space="preserve">n de los derechos </w:t>
      </w:r>
      <w:r>
        <w:rPr>
          <w:spacing w:val="-7"/>
          <w:sz w:val="16"/>
          <w:szCs w:val="16"/>
          <w:lang w:val="es-ES_tradnl"/>
        </w:rPr>
        <w:t>de la otra parte o de terceros, m</w:t>
      </w:r>
      <w:r>
        <w:rPr>
          <w:rFonts w:cs="Times New Roman"/>
          <w:spacing w:val="-7"/>
          <w:sz w:val="16"/>
          <w:szCs w:val="16"/>
          <w:lang w:val="es-ES_tradnl"/>
        </w:rPr>
        <w:t>á</w:t>
      </w:r>
      <w:r>
        <w:rPr>
          <w:spacing w:val="-7"/>
          <w:sz w:val="16"/>
          <w:szCs w:val="16"/>
          <w:lang w:val="es-ES_tradnl"/>
        </w:rPr>
        <w:t>s a</w:t>
      </w:r>
      <w:r>
        <w:rPr>
          <w:rFonts w:cs="Times New Roman"/>
          <w:spacing w:val="-7"/>
          <w:sz w:val="16"/>
          <w:szCs w:val="16"/>
          <w:lang w:val="es-ES_tradnl"/>
        </w:rPr>
        <w:t>ú</w:t>
      </w:r>
      <w:r>
        <w:rPr>
          <w:spacing w:val="-7"/>
          <w:sz w:val="16"/>
          <w:szCs w:val="16"/>
          <w:lang w:val="es-ES_tradnl"/>
        </w:rPr>
        <w:t xml:space="preserve">n por tratarse del Estado </w:t>
      </w:r>
      <w:r>
        <w:rPr>
          <w:sz w:val="16"/>
          <w:szCs w:val="16"/>
          <w:lang w:val="es-ES_tradnl"/>
        </w:rPr>
        <w:t>Ecuatoriano.</w:t>
      </w:r>
    </w:p>
    <w:p w14:paraId="4F67AD6D" w14:textId="77777777" w:rsidR="00591D54" w:rsidRDefault="00591D54">
      <w:pPr>
        <w:shd w:val="clear" w:color="auto" w:fill="FFFFFF"/>
        <w:spacing w:before="202" w:line="216" w:lineRule="exact"/>
        <w:jc w:val="both"/>
      </w:pPr>
      <w:r>
        <w:rPr>
          <w:spacing w:val="-10"/>
          <w:sz w:val="18"/>
          <w:szCs w:val="18"/>
          <w:lang w:val="es-ES_tradnl"/>
        </w:rPr>
        <w:t>Por su parte, la Procuradur</w:t>
      </w:r>
      <w:r>
        <w:rPr>
          <w:rFonts w:cs="Times New Roman"/>
          <w:spacing w:val="-10"/>
          <w:sz w:val="18"/>
          <w:szCs w:val="18"/>
          <w:lang w:val="es-ES_tradnl"/>
        </w:rPr>
        <w:t>í</w:t>
      </w:r>
      <w:r>
        <w:rPr>
          <w:spacing w:val="-10"/>
          <w:sz w:val="18"/>
          <w:szCs w:val="18"/>
          <w:lang w:val="es-ES_tradnl"/>
        </w:rPr>
        <w:t xml:space="preserve">a General del Estado al respecto </w:t>
      </w:r>
      <w:r>
        <w:rPr>
          <w:sz w:val="18"/>
          <w:szCs w:val="18"/>
          <w:lang w:val="es-ES_tradnl"/>
        </w:rPr>
        <w:t>indic</w:t>
      </w:r>
      <w:r>
        <w:rPr>
          <w:rFonts w:cs="Times New Roman"/>
          <w:sz w:val="18"/>
          <w:szCs w:val="18"/>
          <w:lang w:val="es-ES_tradnl"/>
        </w:rPr>
        <w:t>ó</w:t>
      </w:r>
      <w:r>
        <w:rPr>
          <w:sz w:val="18"/>
          <w:szCs w:val="18"/>
          <w:lang w:val="es-ES_tradnl"/>
        </w:rPr>
        <w:t>:</w:t>
      </w:r>
    </w:p>
    <w:p w14:paraId="4F67AD6E" w14:textId="77777777" w:rsidR="00591D54" w:rsidRDefault="00591D54">
      <w:pPr>
        <w:shd w:val="clear" w:color="auto" w:fill="FFFFFF"/>
        <w:spacing w:before="202" w:line="216" w:lineRule="exact"/>
        <w:ind w:left="283"/>
        <w:jc w:val="both"/>
      </w:pPr>
      <w:r>
        <w:rPr>
          <w:spacing w:val="-8"/>
          <w:sz w:val="16"/>
          <w:szCs w:val="16"/>
          <w:lang w:val="es-ES_tradnl"/>
        </w:rPr>
        <w:t>Este derecho es concebido por la doctrina jur</w:t>
      </w:r>
      <w:r>
        <w:rPr>
          <w:rFonts w:cs="Times New Roman"/>
          <w:spacing w:val="-8"/>
          <w:sz w:val="16"/>
          <w:szCs w:val="16"/>
          <w:lang w:val="es-ES_tradnl"/>
        </w:rPr>
        <w:t>í</w:t>
      </w:r>
      <w:r>
        <w:rPr>
          <w:spacing w:val="-8"/>
          <w:sz w:val="16"/>
          <w:szCs w:val="16"/>
          <w:lang w:val="es-ES_tradnl"/>
        </w:rPr>
        <w:t xml:space="preserve">dica como aquel </w:t>
      </w:r>
      <w:r>
        <w:rPr>
          <w:spacing w:val="-7"/>
          <w:sz w:val="16"/>
          <w:szCs w:val="16"/>
          <w:lang w:val="es-ES_tradnl"/>
        </w:rPr>
        <w:t>derecho de prestaci</w:t>
      </w:r>
      <w:r>
        <w:rPr>
          <w:rFonts w:cs="Times New Roman"/>
          <w:spacing w:val="-7"/>
          <w:sz w:val="16"/>
          <w:szCs w:val="16"/>
          <w:lang w:val="es-ES_tradnl"/>
        </w:rPr>
        <w:t>ó</w:t>
      </w:r>
      <w:r>
        <w:rPr>
          <w:spacing w:val="-7"/>
          <w:sz w:val="16"/>
          <w:szCs w:val="16"/>
          <w:lang w:val="es-ES_tradnl"/>
        </w:rPr>
        <w:t xml:space="preserve">n que tiene toda persona de acudir a los </w:t>
      </w:r>
      <w:r>
        <w:rPr>
          <w:rFonts w:cs="Times New Roman"/>
          <w:spacing w:val="-6"/>
          <w:sz w:val="16"/>
          <w:szCs w:val="16"/>
          <w:lang w:val="es-ES_tradnl"/>
        </w:rPr>
        <w:t>ó</w:t>
      </w:r>
      <w:r>
        <w:rPr>
          <w:spacing w:val="-6"/>
          <w:sz w:val="16"/>
          <w:szCs w:val="16"/>
          <w:lang w:val="es-ES_tradnl"/>
        </w:rPr>
        <w:t>rganos jurisdiccionales, para que, a trav</w:t>
      </w:r>
      <w:r>
        <w:rPr>
          <w:rFonts w:cs="Times New Roman"/>
          <w:spacing w:val="-6"/>
          <w:sz w:val="16"/>
          <w:szCs w:val="16"/>
          <w:lang w:val="es-ES_tradnl"/>
        </w:rPr>
        <w:t>é</w:t>
      </w:r>
      <w:r>
        <w:rPr>
          <w:spacing w:val="-6"/>
          <w:sz w:val="16"/>
          <w:szCs w:val="16"/>
          <w:lang w:val="es-ES_tradnl"/>
        </w:rPr>
        <w:t xml:space="preserve">s de los debidos </w:t>
      </w:r>
      <w:r>
        <w:rPr>
          <w:spacing w:val="-4"/>
          <w:sz w:val="16"/>
          <w:szCs w:val="16"/>
          <w:lang w:val="es-ES_tradnl"/>
        </w:rPr>
        <w:t>cauces procesales, se obtenga una decisi</w:t>
      </w:r>
      <w:r>
        <w:rPr>
          <w:rFonts w:cs="Times New Roman"/>
          <w:spacing w:val="-4"/>
          <w:sz w:val="16"/>
          <w:szCs w:val="16"/>
          <w:lang w:val="es-ES_tradnl"/>
        </w:rPr>
        <w:t>ó</w:t>
      </w:r>
      <w:r>
        <w:rPr>
          <w:spacing w:val="-4"/>
          <w:sz w:val="16"/>
          <w:szCs w:val="16"/>
          <w:lang w:val="es-ES_tradnl"/>
        </w:rPr>
        <w:t xml:space="preserve">n fundada en </w:t>
      </w:r>
      <w:r>
        <w:rPr>
          <w:spacing w:val="-7"/>
          <w:sz w:val="16"/>
          <w:szCs w:val="16"/>
          <w:lang w:val="es-ES_tradnl"/>
        </w:rPr>
        <w:t xml:space="preserve">derecho sobre las pretensiones propuestas. El contenido del </w:t>
      </w:r>
      <w:r>
        <w:rPr>
          <w:spacing w:val="-6"/>
          <w:sz w:val="16"/>
          <w:szCs w:val="16"/>
          <w:lang w:val="es-ES_tradnl"/>
        </w:rPr>
        <w:t xml:space="preserve">derecho constitucional a la tutela judicial efectiva, contempla </w:t>
      </w:r>
      <w:r>
        <w:rPr>
          <w:sz w:val="16"/>
          <w:szCs w:val="16"/>
          <w:lang w:val="es-ES_tradnl"/>
        </w:rPr>
        <w:t xml:space="preserve">varios elementos a saber: </w:t>
      </w:r>
      <w:r>
        <w:rPr>
          <w:b/>
          <w:bCs/>
          <w:sz w:val="16"/>
          <w:szCs w:val="16"/>
          <w:lang w:val="es-ES_tradnl"/>
        </w:rPr>
        <w:t xml:space="preserve">a) </w:t>
      </w:r>
      <w:r>
        <w:rPr>
          <w:sz w:val="16"/>
          <w:szCs w:val="16"/>
          <w:lang w:val="es-ES_tradnl"/>
        </w:rPr>
        <w:t>El acceso a la jurisdicci</w:t>
      </w:r>
      <w:r>
        <w:rPr>
          <w:rFonts w:cs="Times New Roman"/>
          <w:sz w:val="16"/>
          <w:szCs w:val="16"/>
          <w:lang w:val="es-ES_tradnl"/>
        </w:rPr>
        <w:t>ó</w:t>
      </w:r>
      <w:r>
        <w:rPr>
          <w:sz w:val="16"/>
          <w:szCs w:val="16"/>
          <w:lang w:val="es-ES_tradnl"/>
        </w:rPr>
        <w:t xml:space="preserve">n; </w:t>
      </w:r>
      <w:r>
        <w:rPr>
          <w:b/>
          <w:bCs/>
          <w:spacing w:val="-7"/>
          <w:sz w:val="16"/>
          <w:szCs w:val="16"/>
          <w:lang w:val="es-ES_tradnl"/>
        </w:rPr>
        <w:t xml:space="preserve">b) </w:t>
      </w:r>
      <w:r>
        <w:rPr>
          <w:spacing w:val="-7"/>
          <w:sz w:val="16"/>
          <w:szCs w:val="16"/>
          <w:lang w:val="es-ES_tradnl"/>
        </w:rPr>
        <w:t>La obligaci</w:t>
      </w:r>
      <w:r>
        <w:rPr>
          <w:rFonts w:cs="Times New Roman"/>
          <w:spacing w:val="-7"/>
          <w:sz w:val="16"/>
          <w:szCs w:val="16"/>
          <w:lang w:val="es-ES_tradnl"/>
        </w:rPr>
        <w:t>ó</w:t>
      </w:r>
      <w:r>
        <w:rPr>
          <w:spacing w:val="-7"/>
          <w:sz w:val="16"/>
          <w:szCs w:val="16"/>
          <w:lang w:val="es-ES_tradnl"/>
        </w:rPr>
        <w:t xml:space="preserve">n de los jueces de tasar adecuadamente la trascendencia de las formalidades, sin excesivos rigorismos y </w:t>
      </w:r>
      <w:r>
        <w:rPr>
          <w:spacing w:val="-8"/>
          <w:sz w:val="16"/>
          <w:szCs w:val="16"/>
          <w:lang w:val="es-ES_tradnl"/>
        </w:rPr>
        <w:t xml:space="preserve">formalismos enervantes que conduzcan a la arbitrariedad; y, </w:t>
      </w:r>
      <w:r>
        <w:rPr>
          <w:b/>
          <w:bCs/>
          <w:spacing w:val="-8"/>
          <w:sz w:val="16"/>
          <w:szCs w:val="16"/>
          <w:lang w:val="es-ES_tradnl"/>
        </w:rPr>
        <w:t xml:space="preserve">c) </w:t>
      </w:r>
      <w:r>
        <w:rPr>
          <w:spacing w:val="-7"/>
          <w:sz w:val="16"/>
          <w:szCs w:val="16"/>
          <w:lang w:val="es-ES_tradnl"/>
        </w:rPr>
        <w:t xml:space="preserve">La existencia de </w:t>
      </w:r>
      <w:r>
        <w:rPr>
          <w:rFonts w:cs="Times New Roman"/>
          <w:spacing w:val="-7"/>
          <w:sz w:val="16"/>
          <w:szCs w:val="16"/>
          <w:lang w:val="es-ES_tradnl"/>
        </w:rPr>
        <w:t>“</w:t>
      </w:r>
      <w:r>
        <w:rPr>
          <w:spacing w:val="-7"/>
          <w:sz w:val="16"/>
          <w:szCs w:val="16"/>
          <w:lang w:val="es-ES_tradnl"/>
        </w:rPr>
        <w:t>debidos cauces procesales</w:t>
      </w:r>
      <w:r>
        <w:rPr>
          <w:rFonts w:cs="Times New Roman"/>
          <w:spacing w:val="-7"/>
          <w:sz w:val="16"/>
          <w:szCs w:val="16"/>
          <w:lang w:val="es-ES_tradnl"/>
        </w:rPr>
        <w:t>”</w:t>
      </w:r>
      <w:r>
        <w:rPr>
          <w:spacing w:val="-7"/>
          <w:sz w:val="16"/>
          <w:szCs w:val="16"/>
          <w:lang w:val="es-ES_tradnl"/>
        </w:rPr>
        <w:t xml:space="preserve"> y de </w:t>
      </w:r>
      <w:r>
        <w:rPr>
          <w:rFonts w:cs="Times New Roman"/>
          <w:spacing w:val="-7"/>
          <w:sz w:val="16"/>
          <w:szCs w:val="16"/>
          <w:lang w:val="es-ES_tradnl"/>
        </w:rPr>
        <w:t>“</w:t>
      </w:r>
      <w:r>
        <w:rPr>
          <w:spacing w:val="-7"/>
          <w:sz w:val="16"/>
          <w:szCs w:val="16"/>
          <w:lang w:val="es-ES_tradnl"/>
        </w:rPr>
        <w:t>garant</w:t>
      </w:r>
      <w:r>
        <w:rPr>
          <w:rFonts w:cs="Times New Roman"/>
          <w:spacing w:val="-7"/>
          <w:sz w:val="16"/>
          <w:szCs w:val="16"/>
          <w:lang w:val="es-ES_tradnl"/>
        </w:rPr>
        <w:t>í</w:t>
      </w:r>
      <w:r>
        <w:rPr>
          <w:spacing w:val="-7"/>
          <w:sz w:val="16"/>
          <w:szCs w:val="16"/>
          <w:lang w:val="es-ES_tradnl"/>
        </w:rPr>
        <w:t xml:space="preserve">as </w:t>
      </w:r>
      <w:r>
        <w:rPr>
          <w:sz w:val="16"/>
          <w:szCs w:val="16"/>
          <w:lang w:val="es-ES_tradnl"/>
        </w:rPr>
        <w:t>m</w:t>
      </w:r>
      <w:r>
        <w:rPr>
          <w:rFonts w:cs="Times New Roman"/>
          <w:sz w:val="16"/>
          <w:szCs w:val="16"/>
          <w:lang w:val="es-ES_tradnl"/>
        </w:rPr>
        <w:t>í</w:t>
      </w:r>
      <w:r>
        <w:rPr>
          <w:sz w:val="16"/>
          <w:szCs w:val="16"/>
          <w:lang w:val="es-ES_tradnl"/>
        </w:rPr>
        <w:t>nimas</w:t>
      </w:r>
      <w:r>
        <w:rPr>
          <w:rFonts w:cs="Times New Roman"/>
          <w:sz w:val="16"/>
          <w:szCs w:val="16"/>
          <w:lang w:val="es-ES_tradnl"/>
        </w:rPr>
        <w:t>”</w:t>
      </w:r>
      <w:r>
        <w:rPr>
          <w:sz w:val="16"/>
          <w:szCs w:val="16"/>
          <w:lang w:val="es-ES_tradnl"/>
        </w:rPr>
        <w:t>, para el ejercicio de los derechos.</w:t>
      </w:r>
    </w:p>
    <w:p w14:paraId="4F67AD6F" w14:textId="77777777" w:rsidR="00591D54" w:rsidRDefault="00591D54">
      <w:pPr>
        <w:shd w:val="clear" w:color="auto" w:fill="FFFFFF"/>
        <w:spacing w:before="202" w:line="211" w:lineRule="exact"/>
        <w:jc w:val="both"/>
      </w:pPr>
      <w:r>
        <w:rPr>
          <w:spacing w:val="-5"/>
          <w:sz w:val="18"/>
          <w:szCs w:val="18"/>
          <w:lang w:val="es-ES_tradnl"/>
        </w:rPr>
        <w:t xml:space="preserve">Partiendo de los criterios expuestos por los accionantes, </w:t>
      </w:r>
      <w:r>
        <w:rPr>
          <w:spacing w:val="-3"/>
          <w:sz w:val="18"/>
          <w:szCs w:val="18"/>
          <w:lang w:val="es-ES_tradnl"/>
        </w:rPr>
        <w:t xml:space="preserve">es importante establecer la forma en la que tal derecho </w:t>
      </w:r>
      <w:r>
        <w:rPr>
          <w:spacing w:val="-8"/>
          <w:sz w:val="18"/>
          <w:szCs w:val="18"/>
          <w:lang w:val="es-ES_tradnl"/>
        </w:rPr>
        <w:t>se encuentra desarrollado dentro de nuestra Constituci</w:t>
      </w:r>
      <w:r>
        <w:rPr>
          <w:rFonts w:cs="Times New Roman"/>
          <w:spacing w:val="-8"/>
          <w:sz w:val="18"/>
          <w:szCs w:val="18"/>
          <w:lang w:val="es-ES_tradnl"/>
        </w:rPr>
        <w:t>ó</w:t>
      </w:r>
      <w:r>
        <w:rPr>
          <w:spacing w:val="-8"/>
          <w:sz w:val="18"/>
          <w:szCs w:val="18"/>
          <w:lang w:val="es-ES_tradnl"/>
        </w:rPr>
        <w:t xml:space="preserve">n. </w:t>
      </w:r>
      <w:r>
        <w:rPr>
          <w:spacing w:val="-7"/>
          <w:sz w:val="18"/>
          <w:szCs w:val="18"/>
          <w:lang w:val="es-ES_tradnl"/>
        </w:rPr>
        <w:t>As</w:t>
      </w:r>
      <w:r>
        <w:rPr>
          <w:rFonts w:cs="Times New Roman"/>
          <w:spacing w:val="-7"/>
          <w:sz w:val="18"/>
          <w:szCs w:val="18"/>
          <w:lang w:val="es-ES_tradnl"/>
        </w:rPr>
        <w:t>í</w:t>
      </w:r>
      <w:r>
        <w:rPr>
          <w:spacing w:val="-7"/>
          <w:sz w:val="18"/>
          <w:szCs w:val="18"/>
          <w:lang w:val="es-ES_tradnl"/>
        </w:rPr>
        <w:t>, el art</w:t>
      </w:r>
      <w:r>
        <w:rPr>
          <w:rFonts w:cs="Times New Roman"/>
          <w:spacing w:val="-7"/>
          <w:sz w:val="18"/>
          <w:szCs w:val="18"/>
          <w:lang w:val="es-ES_tradnl"/>
        </w:rPr>
        <w:t>í</w:t>
      </w:r>
      <w:r>
        <w:rPr>
          <w:spacing w:val="-7"/>
          <w:sz w:val="18"/>
          <w:szCs w:val="18"/>
          <w:lang w:val="es-ES_tradnl"/>
        </w:rPr>
        <w:t xml:space="preserve">culo 75 de esta establece </w:t>
      </w:r>
      <w:r>
        <w:rPr>
          <w:rFonts w:cs="Times New Roman"/>
          <w:spacing w:val="-7"/>
          <w:sz w:val="18"/>
          <w:szCs w:val="18"/>
          <w:lang w:val="es-ES_tradnl"/>
        </w:rPr>
        <w:t>“</w:t>
      </w:r>
      <w:r>
        <w:rPr>
          <w:spacing w:val="-7"/>
          <w:sz w:val="18"/>
          <w:szCs w:val="18"/>
          <w:lang w:val="es-ES_tradnl"/>
        </w:rPr>
        <w:t xml:space="preserve">Toda persona tiene </w:t>
      </w:r>
      <w:r>
        <w:rPr>
          <w:spacing w:val="-8"/>
          <w:sz w:val="18"/>
          <w:szCs w:val="18"/>
          <w:lang w:val="es-ES_tradnl"/>
        </w:rPr>
        <w:t xml:space="preserve">derecho al acceso gratuito a la justicia y a la tutela efectiva, </w:t>
      </w:r>
      <w:r>
        <w:rPr>
          <w:spacing w:val="-5"/>
          <w:sz w:val="18"/>
          <w:szCs w:val="18"/>
          <w:lang w:val="es-ES_tradnl"/>
        </w:rPr>
        <w:t>imparcial y expedita de sus derechos e intereses, con sujeci</w:t>
      </w:r>
      <w:r>
        <w:rPr>
          <w:rFonts w:cs="Times New Roman"/>
          <w:spacing w:val="-5"/>
          <w:sz w:val="18"/>
          <w:szCs w:val="18"/>
          <w:lang w:val="es-ES_tradnl"/>
        </w:rPr>
        <w:t>ó</w:t>
      </w:r>
      <w:r>
        <w:rPr>
          <w:spacing w:val="-5"/>
          <w:sz w:val="18"/>
          <w:szCs w:val="18"/>
          <w:lang w:val="es-ES_tradnl"/>
        </w:rPr>
        <w:t>n a los principios de inmediaci</w:t>
      </w:r>
      <w:r>
        <w:rPr>
          <w:rFonts w:cs="Times New Roman"/>
          <w:spacing w:val="-5"/>
          <w:sz w:val="18"/>
          <w:szCs w:val="18"/>
          <w:lang w:val="es-ES_tradnl"/>
        </w:rPr>
        <w:t>ó</w:t>
      </w:r>
      <w:r>
        <w:rPr>
          <w:spacing w:val="-5"/>
          <w:sz w:val="18"/>
          <w:szCs w:val="18"/>
          <w:lang w:val="es-ES_tradnl"/>
        </w:rPr>
        <w:t xml:space="preserve">n y celeridad; en </w:t>
      </w:r>
      <w:r>
        <w:rPr>
          <w:spacing w:val="-7"/>
          <w:sz w:val="18"/>
          <w:szCs w:val="18"/>
          <w:lang w:val="es-ES_tradnl"/>
        </w:rPr>
        <w:t>ning</w:t>
      </w:r>
      <w:r>
        <w:rPr>
          <w:rFonts w:cs="Times New Roman"/>
          <w:spacing w:val="-7"/>
          <w:sz w:val="18"/>
          <w:szCs w:val="18"/>
          <w:lang w:val="es-ES_tradnl"/>
        </w:rPr>
        <w:t>ú</w:t>
      </w:r>
      <w:r>
        <w:rPr>
          <w:spacing w:val="-7"/>
          <w:sz w:val="18"/>
          <w:szCs w:val="18"/>
          <w:lang w:val="es-ES_tradnl"/>
        </w:rPr>
        <w:t>n caso quedar</w:t>
      </w:r>
      <w:r>
        <w:rPr>
          <w:rFonts w:cs="Times New Roman"/>
          <w:spacing w:val="-7"/>
          <w:sz w:val="18"/>
          <w:szCs w:val="18"/>
          <w:lang w:val="es-ES_tradnl"/>
        </w:rPr>
        <w:t>á</w:t>
      </w:r>
      <w:r>
        <w:rPr>
          <w:spacing w:val="-7"/>
          <w:sz w:val="18"/>
          <w:szCs w:val="18"/>
          <w:lang w:val="es-ES_tradnl"/>
        </w:rPr>
        <w:t xml:space="preserve"> en indefensi</w:t>
      </w:r>
      <w:r>
        <w:rPr>
          <w:rFonts w:cs="Times New Roman"/>
          <w:spacing w:val="-7"/>
          <w:sz w:val="18"/>
          <w:szCs w:val="18"/>
          <w:lang w:val="es-ES_tradnl"/>
        </w:rPr>
        <w:t>ó</w:t>
      </w:r>
      <w:r>
        <w:rPr>
          <w:spacing w:val="-7"/>
          <w:sz w:val="18"/>
          <w:szCs w:val="18"/>
          <w:lang w:val="es-ES_tradnl"/>
        </w:rPr>
        <w:t>n. El incumplimiento de las resoluciones judiciales ser</w:t>
      </w:r>
      <w:r>
        <w:rPr>
          <w:rFonts w:cs="Times New Roman"/>
          <w:spacing w:val="-7"/>
          <w:sz w:val="18"/>
          <w:szCs w:val="18"/>
          <w:lang w:val="es-ES_tradnl"/>
        </w:rPr>
        <w:t>á</w:t>
      </w:r>
      <w:r>
        <w:rPr>
          <w:spacing w:val="-7"/>
          <w:sz w:val="18"/>
          <w:szCs w:val="18"/>
          <w:lang w:val="es-ES_tradnl"/>
        </w:rPr>
        <w:t xml:space="preserve"> sancionado por la ley</w:t>
      </w:r>
      <w:r>
        <w:rPr>
          <w:rFonts w:cs="Times New Roman"/>
          <w:spacing w:val="-7"/>
          <w:sz w:val="18"/>
          <w:szCs w:val="18"/>
          <w:lang w:val="es-ES_tradnl"/>
        </w:rPr>
        <w:t>”</w:t>
      </w:r>
      <w:r>
        <w:rPr>
          <w:spacing w:val="-7"/>
          <w:sz w:val="18"/>
          <w:szCs w:val="18"/>
          <w:vertAlign w:val="superscript"/>
          <w:lang w:val="es-ES_tradnl"/>
        </w:rPr>
        <w:t>1</w:t>
      </w:r>
      <w:r>
        <w:rPr>
          <w:spacing w:val="-7"/>
          <w:sz w:val="18"/>
          <w:szCs w:val="18"/>
          <w:lang w:val="es-ES_tradnl"/>
        </w:rPr>
        <w:t>.</w:t>
      </w:r>
    </w:p>
    <w:p w14:paraId="4F67AD70" w14:textId="77777777" w:rsidR="00591D54" w:rsidRDefault="00591D54">
      <w:pPr>
        <w:shd w:val="clear" w:color="auto" w:fill="FFFFFF"/>
        <w:spacing w:before="192" w:line="216" w:lineRule="exact"/>
        <w:jc w:val="both"/>
      </w:pPr>
      <w:r>
        <w:rPr>
          <w:spacing w:val="-4"/>
          <w:sz w:val="18"/>
          <w:szCs w:val="18"/>
          <w:lang w:val="es-ES_tradnl"/>
        </w:rPr>
        <w:t xml:space="preserve">Tomando en cuenta este precepto constitucional, es </w:t>
      </w:r>
      <w:r>
        <w:rPr>
          <w:spacing w:val="-8"/>
          <w:sz w:val="18"/>
          <w:szCs w:val="18"/>
          <w:lang w:val="es-ES_tradnl"/>
        </w:rPr>
        <w:t>necesario recordar c</w:t>
      </w:r>
      <w:r>
        <w:rPr>
          <w:rFonts w:cs="Times New Roman"/>
          <w:spacing w:val="-8"/>
          <w:sz w:val="18"/>
          <w:szCs w:val="18"/>
          <w:lang w:val="es-ES_tradnl"/>
        </w:rPr>
        <w:t>ó</w:t>
      </w:r>
      <w:r>
        <w:rPr>
          <w:spacing w:val="-8"/>
          <w:sz w:val="18"/>
          <w:szCs w:val="18"/>
          <w:lang w:val="es-ES_tradnl"/>
        </w:rPr>
        <w:t xml:space="preserve">mo se ha pronunciado esta Corte </w:t>
      </w:r>
      <w:r>
        <w:rPr>
          <w:spacing w:val="-4"/>
          <w:sz w:val="18"/>
          <w:szCs w:val="18"/>
          <w:lang w:val="es-ES_tradnl"/>
        </w:rPr>
        <w:t>respecto a la tutela judicial efectiva. Es as</w:t>
      </w:r>
      <w:r>
        <w:rPr>
          <w:rFonts w:cs="Times New Roman"/>
          <w:spacing w:val="-4"/>
          <w:sz w:val="18"/>
          <w:szCs w:val="18"/>
          <w:lang w:val="es-ES_tradnl"/>
        </w:rPr>
        <w:t>í</w:t>
      </w:r>
      <w:r>
        <w:rPr>
          <w:spacing w:val="-4"/>
          <w:sz w:val="18"/>
          <w:szCs w:val="18"/>
          <w:lang w:val="es-ES_tradnl"/>
        </w:rPr>
        <w:t xml:space="preserve"> que en la </w:t>
      </w:r>
      <w:r>
        <w:rPr>
          <w:spacing w:val="-7"/>
          <w:sz w:val="18"/>
          <w:szCs w:val="18"/>
          <w:lang w:val="es-ES_tradnl"/>
        </w:rPr>
        <w:t>sentencia N.</w:t>
      </w:r>
      <w:r>
        <w:rPr>
          <w:rFonts w:cs="Times New Roman"/>
          <w:spacing w:val="-7"/>
          <w:sz w:val="18"/>
          <w:szCs w:val="18"/>
          <w:lang w:val="es-ES_tradnl"/>
        </w:rPr>
        <w:t>º</w:t>
      </w:r>
      <w:r>
        <w:rPr>
          <w:spacing w:val="-7"/>
          <w:sz w:val="18"/>
          <w:szCs w:val="18"/>
          <w:lang w:val="es-ES_tradnl"/>
        </w:rPr>
        <w:t xml:space="preserve"> 020-10-SEP-CC, caso N.</w:t>
      </w:r>
      <w:r>
        <w:rPr>
          <w:rFonts w:cs="Times New Roman"/>
          <w:spacing w:val="-7"/>
          <w:sz w:val="18"/>
          <w:szCs w:val="18"/>
          <w:lang w:val="es-ES_tradnl"/>
        </w:rPr>
        <w:t>º</w:t>
      </w:r>
      <w:r>
        <w:rPr>
          <w:spacing w:val="-7"/>
          <w:sz w:val="18"/>
          <w:szCs w:val="18"/>
          <w:lang w:val="es-ES_tradnl"/>
        </w:rPr>
        <w:t xml:space="preserve"> 0583-09-EP se </w:t>
      </w:r>
      <w:r>
        <w:rPr>
          <w:sz w:val="18"/>
          <w:szCs w:val="18"/>
          <w:lang w:val="es-ES_tradnl"/>
        </w:rPr>
        <w:t>estableci</w:t>
      </w:r>
      <w:r>
        <w:rPr>
          <w:rFonts w:cs="Times New Roman"/>
          <w:sz w:val="18"/>
          <w:szCs w:val="18"/>
          <w:lang w:val="es-ES_tradnl"/>
        </w:rPr>
        <w:t>ó</w:t>
      </w:r>
      <w:r>
        <w:rPr>
          <w:sz w:val="18"/>
          <w:szCs w:val="18"/>
          <w:lang w:val="es-ES_tradnl"/>
        </w:rPr>
        <w:t>:</w:t>
      </w:r>
    </w:p>
    <w:p w14:paraId="4F67AD71" w14:textId="77777777" w:rsidR="00591D54" w:rsidRDefault="00591D54">
      <w:pPr>
        <w:shd w:val="clear" w:color="auto" w:fill="FFFFFF"/>
        <w:spacing w:before="202" w:line="216" w:lineRule="exact"/>
        <w:ind w:left="283"/>
        <w:jc w:val="both"/>
      </w:pPr>
      <w:r>
        <w:rPr>
          <w:spacing w:val="-7"/>
          <w:sz w:val="16"/>
          <w:szCs w:val="16"/>
          <w:lang w:val="es-ES_tradnl"/>
        </w:rPr>
        <w:t>El derecho a la jurisdicci</w:t>
      </w:r>
      <w:r>
        <w:rPr>
          <w:rFonts w:cs="Times New Roman"/>
          <w:spacing w:val="-7"/>
          <w:sz w:val="16"/>
          <w:szCs w:val="16"/>
          <w:lang w:val="es-ES_tradnl"/>
        </w:rPr>
        <w:t>ó</w:t>
      </w:r>
      <w:r>
        <w:rPr>
          <w:spacing w:val="-7"/>
          <w:sz w:val="16"/>
          <w:szCs w:val="16"/>
          <w:lang w:val="es-ES_tradnl"/>
        </w:rPr>
        <w:t xml:space="preserve">n o derecho a tutela judicial efectiva, </w:t>
      </w:r>
      <w:r>
        <w:rPr>
          <w:spacing w:val="-6"/>
          <w:sz w:val="16"/>
          <w:szCs w:val="16"/>
          <w:lang w:val="es-ES_tradnl"/>
        </w:rPr>
        <w:t xml:space="preserve">equivale al derecho que tiene todo ciudadano de concurrir al </w:t>
      </w:r>
      <w:r>
        <w:rPr>
          <w:rFonts w:cs="Times New Roman"/>
          <w:spacing w:val="-6"/>
          <w:sz w:val="16"/>
          <w:szCs w:val="16"/>
          <w:lang w:val="es-ES_tradnl"/>
        </w:rPr>
        <w:t>ó</w:t>
      </w:r>
      <w:r>
        <w:rPr>
          <w:spacing w:val="-6"/>
          <w:sz w:val="16"/>
          <w:szCs w:val="16"/>
          <w:lang w:val="es-ES_tradnl"/>
        </w:rPr>
        <w:t xml:space="preserve">rgano judicial en procura de justicia; constituye un derecho </w:t>
      </w:r>
      <w:r>
        <w:rPr>
          <w:spacing w:val="-3"/>
          <w:sz w:val="16"/>
          <w:szCs w:val="16"/>
          <w:lang w:val="es-ES_tradnl"/>
        </w:rPr>
        <w:t xml:space="preserve">humano fundamental que debe estar </w:t>
      </w:r>
      <w:r>
        <w:rPr>
          <w:rFonts w:cs="Times New Roman"/>
          <w:spacing w:val="-3"/>
          <w:sz w:val="16"/>
          <w:szCs w:val="16"/>
          <w:lang w:val="es-ES_tradnl"/>
        </w:rPr>
        <w:t>“…</w:t>
      </w:r>
      <w:r>
        <w:rPr>
          <w:spacing w:val="-3"/>
          <w:sz w:val="16"/>
          <w:szCs w:val="16"/>
          <w:lang w:val="es-ES_tradnl"/>
        </w:rPr>
        <w:t>libre de restricci</w:t>
      </w:r>
      <w:r>
        <w:rPr>
          <w:rFonts w:cs="Times New Roman"/>
          <w:spacing w:val="-3"/>
          <w:sz w:val="16"/>
          <w:szCs w:val="16"/>
          <w:lang w:val="es-ES_tradnl"/>
        </w:rPr>
        <w:t>ó</w:t>
      </w:r>
      <w:r>
        <w:rPr>
          <w:spacing w:val="-3"/>
          <w:sz w:val="16"/>
          <w:szCs w:val="16"/>
          <w:lang w:val="es-ES_tradnl"/>
        </w:rPr>
        <w:t xml:space="preserve">n </w:t>
      </w:r>
      <w:r>
        <w:rPr>
          <w:spacing w:val="-4"/>
          <w:sz w:val="16"/>
          <w:szCs w:val="16"/>
          <w:lang w:val="es-ES_tradnl"/>
        </w:rPr>
        <w:t>y  absolutamente  inviolable,  corresponde  no  solo  al  que</w:t>
      </w:r>
    </w:p>
    <w:p w14:paraId="4F67AD72" w14:textId="77777777" w:rsidR="00591D54" w:rsidRDefault="00591D54">
      <w:pPr>
        <w:shd w:val="clear" w:color="auto" w:fill="FFFFFF"/>
        <w:spacing w:before="485"/>
      </w:pPr>
      <w:r>
        <w:rPr>
          <w:sz w:val="16"/>
          <w:szCs w:val="16"/>
          <w:vertAlign w:val="superscript"/>
          <w:lang w:val="es-ES_tradnl"/>
        </w:rPr>
        <w:t>1</w:t>
      </w:r>
      <w:r>
        <w:rPr>
          <w:sz w:val="16"/>
          <w:szCs w:val="16"/>
          <w:lang w:val="es-ES_tradnl"/>
        </w:rPr>
        <w:t xml:space="preserve">  </w:t>
      </w:r>
      <w:r>
        <w:rPr>
          <w:spacing w:val="-10"/>
          <w:sz w:val="16"/>
          <w:szCs w:val="16"/>
          <w:lang w:val="es-ES_tradnl"/>
        </w:rPr>
        <w:t>Constituci</w:t>
      </w:r>
      <w:r>
        <w:rPr>
          <w:rFonts w:cs="Times New Roman"/>
          <w:spacing w:val="-10"/>
          <w:sz w:val="16"/>
          <w:szCs w:val="16"/>
          <w:lang w:val="es-ES_tradnl"/>
        </w:rPr>
        <w:t>ó</w:t>
      </w:r>
      <w:r>
        <w:rPr>
          <w:spacing w:val="-10"/>
          <w:sz w:val="16"/>
          <w:szCs w:val="16"/>
          <w:lang w:val="es-ES_tradnl"/>
        </w:rPr>
        <w:t>n de la Rep</w:t>
      </w:r>
      <w:r>
        <w:rPr>
          <w:rFonts w:cs="Times New Roman"/>
          <w:spacing w:val="-10"/>
          <w:sz w:val="16"/>
          <w:szCs w:val="16"/>
          <w:lang w:val="es-ES_tradnl"/>
        </w:rPr>
        <w:t>ú</w:t>
      </w:r>
      <w:r>
        <w:rPr>
          <w:spacing w:val="-10"/>
          <w:sz w:val="16"/>
          <w:szCs w:val="16"/>
          <w:lang w:val="es-ES_tradnl"/>
        </w:rPr>
        <w:t>blica de Ecuador, Art. 75.</w:t>
      </w:r>
    </w:p>
    <w:p w14:paraId="4F67AD73" w14:textId="77777777" w:rsidR="00591D54" w:rsidRDefault="00591D54">
      <w:pPr>
        <w:shd w:val="clear" w:color="auto" w:fill="FFFFFF"/>
        <w:spacing w:before="485"/>
        <w:sectPr w:rsidR="00591D54">
          <w:type w:val="continuous"/>
          <w:pgSz w:w="11909" w:h="16834"/>
          <w:pgMar w:top="1368" w:right="1309" w:bottom="360" w:left="1308" w:header="720" w:footer="720" w:gutter="0"/>
          <w:cols w:num="2" w:space="720" w:equalWidth="0">
            <w:col w:w="4305" w:space="682"/>
            <w:col w:w="4305"/>
          </w:cols>
          <w:noEndnote/>
        </w:sectPr>
      </w:pPr>
    </w:p>
    <w:p w14:paraId="4F67AD74" w14:textId="77777777" w:rsidR="00591D54" w:rsidRDefault="00591D54">
      <w:pPr>
        <w:shd w:val="clear" w:color="auto" w:fill="FFFFFF"/>
        <w:tabs>
          <w:tab w:val="left" w:pos="4814"/>
        </w:tabs>
        <w:spacing w:after="230"/>
        <w:ind w:left="14"/>
      </w:pPr>
      <w:r>
        <w:rPr>
          <w:b/>
          <w:bCs/>
          <w:sz w:val="18"/>
          <w:szCs w:val="18"/>
          <w:lang w:val="es-ES_tradnl"/>
        </w:rPr>
        <w:t xml:space="preserve">122 -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D75" w14:textId="77777777" w:rsidR="00591D54" w:rsidRDefault="00591D54">
      <w:pPr>
        <w:shd w:val="clear" w:color="auto" w:fill="FFFFFF"/>
        <w:tabs>
          <w:tab w:val="left" w:pos="4814"/>
        </w:tabs>
        <w:spacing w:after="230"/>
        <w:ind w:left="14"/>
        <w:sectPr w:rsidR="00591D54">
          <w:pgSz w:w="11909" w:h="16834"/>
          <w:pgMar w:top="1356" w:right="1309" w:bottom="360" w:left="1308" w:header="720" w:footer="720" w:gutter="0"/>
          <w:cols w:space="60"/>
          <w:noEndnote/>
        </w:sectPr>
      </w:pPr>
    </w:p>
    <w:p w14:paraId="4F67AD76" w14:textId="77777777" w:rsidR="00591D54" w:rsidRDefault="00591D54">
      <w:pPr>
        <w:shd w:val="clear" w:color="auto" w:fill="FFFFFF"/>
        <w:spacing w:line="211" w:lineRule="exact"/>
        <w:ind w:left="283" w:right="5"/>
        <w:jc w:val="both"/>
      </w:pPr>
      <w:r>
        <w:rPr>
          <w:spacing w:val="-6"/>
          <w:sz w:val="16"/>
          <w:szCs w:val="16"/>
          <w:lang w:val="es-ES_tradnl"/>
        </w:rPr>
        <w:t>estimula primero la jurisdicci</w:t>
      </w:r>
      <w:r>
        <w:rPr>
          <w:rFonts w:cs="Times New Roman"/>
          <w:spacing w:val="-6"/>
          <w:sz w:val="16"/>
          <w:szCs w:val="16"/>
          <w:lang w:val="es-ES_tradnl"/>
        </w:rPr>
        <w:t>ó</w:t>
      </w:r>
      <w:r>
        <w:rPr>
          <w:spacing w:val="-6"/>
          <w:sz w:val="16"/>
          <w:szCs w:val="16"/>
          <w:lang w:val="es-ES_tradnl"/>
        </w:rPr>
        <w:t>n, sino tambi</w:t>
      </w:r>
      <w:r>
        <w:rPr>
          <w:rFonts w:cs="Times New Roman"/>
          <w:spacing w:val="-6"/>
          <w:sz w:val="16"/>
          <w:szCs w:val="16"/>
          <w:lang w:val="es-ES_tradnl"/>
        </w:rPr>
        <w:t>é</w:t>
      </w:r>
      <w:r>
        <w:rPr>
          <w:spacing w:val="-6"/>
          <w:sz w:val="16"/>
          <w:szCs w:val="16"/>
          <w:lang w:val="es-ES_tradnl"/>
        </w:rPr>
        <w:t xml:space="preserve">n al emplazado a </w:t>
      </w:r>
      <w:r>
        <w:rPr>
          <w:spacing w:val="-7"/>
          <w:sz w:val="16"/>
          <w:szCs w:val="16"/>
          <w:lang w:val="es-ES_tradnl"/>
        </w:rPr>
        <w:t>defenderse de la pretensi</w:t>
      </w:r>
      <w:r>
        <w:rPr>
          <w:rFonts w:cs="Times New Roman"/>
          <w:spacing w:val="-7"/>
          <w:sz w:val="16"/>
          <w:szCs w:val="16"/>
          <w:lang w:val="es-ES_tradnl"/>
        </w:rPr>
        <w:t>ó</w:t>
      </w:r>
      <w:r>
        <w:rPr>
          <w:spacing w:val="-7"/>
          <w:sz w:val="16"/>
          <w:szCs w:val="16"/>
          <w:lang w:val="es-ES_tradnl"/>
        </w:rPr>
        <w:t>n de aquel</w:t>
      </w:r>
      <w:r>
        <w:rPr>
          <w:rFonts w:cs="Times New Roman"/>
          <w:spacing w:val="-7"/>
          <w:sz w:val="16"/>
          <w:szCs w:val="16"/>
          <w:lang w:val="es-ES_tradnl"/>
        </w:rPr>
        <w:t>”</w:t>
      </w:r>
      <w:r>
        <w:rPr>
          <w:spacing w:val="-7"/>
          <w:sz w:val="16"/>
          <w:szCs w:val="16"/>
          <w:lang w:val="es-ES_tradnl"/>
        </w:rPr>
        <w:t xml:space="preserve">. La tutela judicial no se agota con el mero acceso al </w:t>
      </w:r>
      <w:r>
        <w:rPr>
          <w:rFonts w:cs="Times New Roman"/>
          <w:spacing w:val="-7"/>
          <w:sz w:val="16"/>
          <w:szCs w:val="16"/>
          <w:lang w:val="es-ES_tradnl"/>
        </w:rPr>
        <w:t>ó</w:t>
      </w:r>
      <w:r>
        <w:rPr>
          <w:spacing w:val="-7"/>
          <w:sz w:val="16"/>
          <w:szCs w:val="16"/>
          <w:lang w:val="es-ES_tradnl"/>
        </w:rPr>
        <w:t xml:space="preserve">rgano judicial, sino que requiere </w:t>
      </w:r>
      <w:r>
        <w:rPr>
          <w:spacing w:val="-8"/>
          <w:sz w:val="16"/>
          <w:szCs w:val="16"/>
          <w:lang w:val="es-ES_tradnl"/>
        </w:rPr>
        <w:t>adem</w:t>
      </w:r>
      <w:r>
        <w:rPr>
          <w:rFonts w:cs="Times New Roman"/>
          <w:spacing w:val="-8"/>
          <w:sz w:val="16"/>
          <w:szCs w:val="16"/>
          <w:lang w:val="es-ES_tradnl"/>
        </w:rPr>
        <w:t>á</w:t>
      </w:r>
      <w:r>
        <w:rPr>
          <w:spacing w:val="-8"/>
          <w:sz w:val="16"/>
          <w:szCs w:val="16"/>
          <w:lang w:val="es-ES_tradnl"/>
        </w:rPr>
        <w:t>s que se cumpla la garant</w:t>
      </w:r>
      <w:r>
        <w:rPr>
          <w:rFonts w:cs="Times New Roman"/>
          <w:spacing w:val="-8"/>
          <w:sz w:val="16"/>
          <w:szCs w:val="16"/>
          <w:lang w:val="es-ES_tradnl"/>
        </w:rPr>
        <w:t>í</w:t>
      </w:r>
      <w:r>
        <w:rPr>
          <w:spacing w:val="-8"/>
          <w:sz w:val="16"/>
          <w:szCs w:val="16"/>
          <w:lang w:val="es-ES_tradnl"/>
        </w:rPr>
        <w:t xml:space="preserve">a del debido proceso, cuyo </w:t>
      </w:r>
      <w:r>
        <w:rPr>
          <w:spacing w:val="-7"/>
          <w:sz w:val="16"/>
          <w:szCs w:val="16"/>
          <w:lang w:val="es-ES_tradnl"/>
        </w:rPr>
        <w:t xml:space="preserve">meollo radica en el derecho a la defensa, que </w:t>
      </w:r>
      <w:r>
        <w:rPr>
          <w:rFonts w:cs="Times New Roman"/>
          <w:spacing w:val="-7"/>
          <w:sz w:val="16"/>
          <w:szCs w:val="16"/>
          <w:lang w:val="es-ES_tradnl"/>
        </w:rPr>
        <w:t>“…</w:t>
      </w:r>
      <w:r>
        <w:rPr>
          <w:spacing w:val="-7"/>
          <w:sz w:val="16"/>
          <w:szCs w:val="16"/>
          <w:lang w:val="es-ES_tradnl"/>
        </w:rPr>
        <w:t xml:space="preserve">responde al </w:t>
      </w:r>
      <w:r>
        <w:rPr>
          <w:spacing w:val="-6"/>
          <w:sz w:val="16"/>
          <w:szCs w:val="16"/>
          <w:lang w:val="es-ES_tradnl"/>
        </w:rPr>
        <w:t>impulso natural de la defensa, instinto at</w:t>
      </w:r>
      <w:r>
        <w:rPr>
          <w:rFonts w:cs="Times New Roman"/>
          <w:spacing w:val="-6"/>
          <w:sz w:val="16"/>
          <w:szCs w:val="16"/>
          <w:lang w:val="es-ES_tradnl"/>
        </w:rPr>
        <w:t>á</w:t>
      </w:r>
      <w:r>
        <w:rPr>
          <w:spacing w:val="-6"/>
          <w:sz w:val="16"/>
          <w:szCs w:val="16"/>
          <w:lang w:val="es-ES_tradnl"/>
        </w:rPr>
        <w:t xml:space="preserve">vico del ser humano </w:t>
      </w:r>
      <w:r>
        <w:rPr>
          <w:spacing w:val="-8"/>
          <w:sz w:val="16"/>
          <w:szCs w:val="16"/>
          <w:lang w:val="es-ES_tradnl"/>
        </w:rPr>
        <w:t xml:space="preserve">a la postre convertido en derecho objetivo por el ordenamiento </w:t>
      </w:r>
      <w:r>
        <w:rPr>
          <w:sz w:val="16"/>
          <w:szCs w:val="16"/>
          <w:lang w:val="es-ES_tradnl"/>
        </w:rPr>
        <w:t>positivo</w:t>
      </w:r>
      <w:r>
        <w:rPr>
          <w:sz w:val="16"/>
          <w:szCs w:val="16"/>
          <w:vertAlign w:val="superscript"/>
          <w:lang w:val="es-ES_tradnl"/>
        </w:rPr>
        <w:t>2</w:t>
      </w:r>
      <w:r>
        <w:rPr>
          <w:sz w:val="16"/>
          <w:szCs w:val="16"/>
          <w:lang w:val="es-ES_tradnl"/>
        </w:rPr>
        <w:t>.</w:t>
      </w:r>
    </w:p>
    <w:p w14:paraId="4F67AD77" w14:textId="77777777" w:rsidR="00591D54" w:rsidRDefault="00591D54">
      <w:pPr>
        <w:shd w:val="clear" w:color="auto" w:fill="FFFFFF"/>
        <w:spacing w:before="202" w:line="216" w:lineRule="exact"/>
        <w:jc w:val="both"/>
      </w:pPr>
      <w:r>
        <w:rPr>
          <w:spacing w:val="-6"/>
          <w:sz w:val="18"/>
          <w:szCs w:val="18"/>
          <w:lang w:val="es-ES_tradnl"/>
        </w:rPr>
        <w:t>Con la fundamentaci</w:t>
      </w:r>
      <w:r>
        <w:rPr>
          <w:rFonts w:cs="Times New Roman"/>
          <w:spacing w:val="-6"/>
          <w:sz w:val="18"/>
          <w:szCs w:val="18"/>
          <w:lang w:val="es-ES_tradnl"/>
        </w:rPr>
        <w:t>ó</w:t>
      </w:r>
      <w:r>
        <w:rPr>
          <w:spacing w:val="-6"/>
          <w:sz w:val="18"/>
          <w:szCs w:val="18"/>
          <w:lang w:val="es-ES_tradnl"/>
        </w:rPr>
        <w:t xml:space="preserve">n constitucional y la jurisprudencia </w:t>
      </w:r>
      <w:r>
        <w:rPr>
          <w:spacing w:val="-8"/>
          <w:sz w:val="18"/>
          <w:szCs w:val="18"/>
          <w:lang w:val="es-ES_tradnl"/>
        </w:rPr>
        <w:t>expuesta, se puede verificar dentro de la sustanciaci</w:t>
      </w:r>
      <w:r>
        <w:rPr>
          <w:rFonts w:cs="Times New Roman"/>
          <w:spacing w:val="-8"/>
          <w:sz w:val="18"/>
          <w:szCs w:val="18"/>
          <w:lang w:val="es-ES_tradnl"/>
        </w:rPr>
        <w:t>ó</w:t>
      </w:r>
      <w:r>
        <w:rPr>
          <w:spacing w:val="-8"/>
          <w:sz w:val="18"/>
          <w:szCs w:val="18"/>
          <w:lang w:val="es-ES_tradnl"/>
        </w:rPr>
        <w:t xml:space="preserve">n del </w:t>
      </w:r>
      <w:r>
        <w:rPr>
          <w:spacing w:val="-4"/>
          <w:sz w:val="18"/>
          <w:szCs w:val="18"/>
          <w:lang w:val="es-ES_tradnl"/>
        </w:rPr>
        <w:t>proceso de primera instancia N.</w:t>
      </w:r>
      <w:r>
        <w:rPr>
          <w:rFonts w:cs="Times New Roman"/>
          <w:spacing w:val="-4"/>
          <w:sz w:val="18"/>
          <w:szCs w:val="18"/>
          <w:lang w:val="es-ES_tradnl"/>
        </w:rPr>
        <w:t>º</w:t>
      </w:r>
      <w:r>
        <w:rPr>
          <w:spacing w:val="-4"/>
          <w:sz w:val="18"/>
          <w:szCs w:val="18"/>
          <w:lang w:val="es-ES_tradnl"/>
        </w:rPr>
        <w:t xml:space="preserve"> 2012-0412, efectuado </w:t>
      </w:r>
      <w:r>
        <w:rPr>
          <w:spacing w:val="-8"/>
          <w:sz w:val="18"/>
          <w:szCs w:val="18"/>
          <w:lang w:val="es-ES_tradnl"/>
        </w:rPr>
        <w:t>por la jueza Sexta de la Ni</w:t>
      </w:r>
      <w:r>
        <w:rPr>
          <w:rFonts w:cs="Times New Roman"/>
          <w:spacing w:val="-8"/>
          <w:sz w:val="18"/>
          <w:szCs w:val="18"/>
          <w:lang w:val="es-ES_tradnl"/>
        </w:rPr>
        <w:t>ñ</w:t>
      </w:r>
      <w:r>
        <w:rPr>
          <w:spacing w:val="-8"/>
          <w:sz w:val="18"/>
          <w:szCs w:val="18"/>
          <w:lang w:val="es-ES_tradnl"/>
        </w:rPr>
        <w:t xml:space="preserve">ez y Adolescencia del Guayas, </w:t>
      </w:r>
      <w:r>
        <w:rPr>
          <w:spacing w:val="-7"/>
          <w:sz w:val="18"/>
          <w:szCs w:val="18"/>
          <w:lang w:val="es-ES_tradnl"/>
        </w:rPr>
        <w:t>Yvonne Elizabeth Hern</w:t>
      </w:r>
      <w:r>
        <w:rPr>
          <w:rFonts w:cs="Times New Roman"/>
          <w:spacing w:val="-7"/>
          <w:sz w:val="18"/>
          <w:szCs w:val="18"/>
          <w:lang w:val="es-ES_tradnl"/>
        </w:rPr>
        <w:t>á</w:t>
      </w:r>
      <w:r>
        <w:rPr>
          <w:spacing w:val="-7"/>
          <w:sz w:val="18"/>
          <w:szCs w:val="18"/>
          <w:lang w:val="es-ES_tradnl"/>
        </w:rPr>
        <w:t xml:space="preserve">ndez Vega, que las instituciones </w:t>
      </w:r>
      <w:r>
        <w:rPr>
          <w:spacing w:val="-8"/>
          <w:sz w:val="18"/>
          <w:szCs w:val="18"/>
          <w:lang w:val="es-ES_tradnl"/>
        </w:rPr>
        <w:t xml:space="preserve">demandadas fueron notificadas en la forma prevista por la </w:t>
      </w:r>
      <w:r>
        <w:rPr>
          <w:spacing w:val="-10"/>
          <w:sz w:val="18"/>
          <w:szCs w:val="18"/>
          <w:lang w:val="es-ES_tradnl"/>
        </w:rPr>
        <w:t>ley, conforme se desprende del oficio N.</w:t>
      </w:r>
      <w:r>
        <w:rPr>
          <w:rFonts w:cs="Times New Roman"/>
          <w:spacing w:val="-10"/>
          <w:sz w:val="18"/>
          <w:szCs w:val="18"/>
          <w:lang w:val="es-ES_tradnl"/>
        </w:rPr>
        <w:t>°</w:t>
      </w:r>
      <w:r>
        <w:rPr>
          <w:spacing w:val="-10"/>
          <w:sz w:val="18"/>
          <w:szCs w:val="18"/>
          <w:lang w:val="es-ES_tradnl"/>
        </w:rPr>
        <w:t xml:space="preserve"> 1237-JFMNA6 del </w:t>
      </w:r>
      <w:r>
        <w:rPr>
          <w:spacing w:val="-8"/>
          <w:sz w:val="18"/>
          <w:szCs w:val="18"/>
          <w:lang w:val="es-ES_tradnl"/>
        </w:rPr>
        <w:t>20 de julio de 2014, con fe de recepci</w:t>
      </w:r>
      <w:r>
        <w:rPr>
          <w:rFonts w:cs="Times New Roman"/>
          <w:spacing w:val="-8"/>
          <w:sz w:val="18"/>
          <w:szCs w:val="18"/>
          <w:lang w:val="es-ES_tradnl"/>
        </w:rPr>
        <w:t>ó</w:t>
      </w:r>
      <w:r>
        <w:rPr>
          <w:spacing w:val="-8"/>
          <w:sz w:val="18"/>
          <w:szCs w:val="18"/>
          <w:lang w:val="es-ES_tradnl"/>
        </w:rPr>
        <w:t>n de la Procuradur</w:t>
      </w:r>
      <w:r>
        <w:rPr>
          <w:rFonts w:cs="Times New Roman"/>
          <w:spacing w:val="-8"/>
          <w:sz w:val="18"/>
          <w:szCs w:val="18"/>
          <w:lang w:val="es-ES_tradnl"/>
        </w:rPr>
        <w:t>í</w:t>
      </w:r>
      <w:r>
        <w:rPr>
          <w:spacing w:val="-8"/>
          <w:sz w:val="18"/>
          <w:szCs w:val="18"/>
          <w:lang w:val="es-ES_tradnl"/>
        </w:rPr>
        <w:t xml:space="preserve">a </w:t>
      </w:r>
      <w:r>
        <w:rPr>
          <w:spacing w:val="-9"/>
          <w:sz w:val="18"/>
          <w:szCs w:val="18"/>
          <w:lang w:val="es-ES_tradnl"/>
        </w:rPr>
        <w:t xml:space="preserve">General del Estado el 20 de julio de 2014 a las 10h17, y del </w:t>
      </w:r>
      <w:r>
        <w:rPr>
          <w:spacing w:val="-4"/>
          <w:sz w:val="18"/>
          <w:szCs w:val="18"/>
          <w:lang w:val="es-ES_tradnl"/>
        </w:rPr>
        <w:t xml:space="preserve">oficio 1238-JFMMA6 del 20 de julio de 2014, con fe de </w:t>
      </w:r>
      <w:r>
        <w:rPr>
          <w:spacing w:val="-7"/>
          <w:sz w:val="18"/>
          <w:szCs w:val="18"/>
          <w:lang w:val="es-ES_tradnl"/>
        </w:rPr>
        <w:t>recepci</w:t>
      </w:r>
      <w:r>
        <w:rPr>
          <w:rFonts w:cs="Times New Roman"/>
          <w:spacing w:val="-7"/>
          <w:sz w:val="18"/>
          <w:szCs w:val="18"/>
          <w:lang w:val="es-ES_tradnl"/>
        </w:rPr>
        <w:t>ó</w:t>
      </w:r>
      <w:r>
        <w:rPr>
          <w:spacing w:val="-7"/>
          <w:sz w:val="18"/>
          <w:szCs w:val="18"/>
          <w:lang w:val="es-ES_tradnl"/>
        </w:rPr>
        <w:t>n de la Direcci</w:t>
      </w:r>
      <w:r>
        <w:rPr>
          <w:rFonts w:cs="Times New Roman"/>
          <w:spacing w:val="-7"/>
          <w:sz w:val="18"/>
          <w:szCs w:val="18"/>
          <w:lang w:val="es-ES_tradnl"/>
        </w:rPr>
        <w:t>ó</w:t>
      </w:r>
      <w:r>
        <w:rPr>
          <w:spacing w:val="-7"/>
          <w:sz w:val="18"/>
          <w:szCs w:val="18"/>
          <w:lang w:val="es-ES_tradnl"/>
        </w:rPr>
        <w:t xml:space="preserve">n General de Recursos Humanos </w:t>
      </w:r>
      <w:r>
        <w:rPr>
          <w:spacing w:val="-9"/>
          <w:sz w:val="18"/>
          <w:szCs w:val="18"/>
          <w:lang w:val="es-ES_tradnl"/>
        </w:rPr>
        <w:t xml:space="preserve">de la Fuerza Naval de la Armada del Ecuador, el 24 de julio </w:t>
      </w:r>
      <w:r>
        <w:rPr>
          <w:spacing w:val="-10"/>
          <w:sz w:val="18"/>
          <w:szCs w:val="18"/>
          <w:lang w:val="es-ES_tradnl"/>
        </w:rPr>
        <w:t>de 2012 a las 10h00, a la audiencia p</w:t>
      </w:r>
      <w:r>
        <w:rPr>
          <w:rFonts w:cs="Times New Roman"/>
          <w:spacing w:val="-10"/>
          <w:sz w:val="18"/>
          <w:szCs w:val="18"/>
          <w:lang w:val="es-ES_tradnl"/>
        </w:rPr>
        <w:t>ú</w:t>
      </w:r>
      <w:r>
        <w:rPr>
          <w:spacing w:val="-10"/>
          <w:sz w:val="18"/>
          <w:szCs w:val="18"/>
          <w:lang w:val="es-ES_tradnl"/>
        </w:rPr>
        <w:t>blica que se llevar</w:t>
      </w:r>
      <w:r>
        <w:rPr>
          <w:rFonts w:cs="Times New Roman"/>
          <w:spacing w:val="-10"/>
          <w:sz w:val="18"/>
          <w:szCs w:val="18"/>
          <w:lang w:val="es-ES_tradnl"/>
        </w:rPr>
        <w:t>í</w:t>
      </w:r>
      <w:r>
        <w:rPr>
          <w:spacing w:val="-10"/>
          <w:sz w:val="18"/>
          <w:szCs w:val="18"/>
          <w:lang w:val="es-ES_tradnl"/>
        </w:rPr>
        <w:t xml:space="preserve">a a </w:t>
      </w:r>
      <w:r>
        <w:rPr>
          <w:sz w:val="18"/>
          <w:szCs w:val="18"/>
          <w:lang w:val="es-ES_tradnl"/>
        </w:rPr>
        <w:t>cabo el 26 de julio de 2012.</w:t>
      </w:r>
    </w:p>
    <w:p w14:paraId="4F67AD78" w14:textId="77777777" w:rsidR="00591D54" w:rsidRDefault="00591D54">
      <w:pPr>
        <w:shd w:val="clear" w:color="auto" w:fill="FFFFFF"/>
        <w:spacing w:before="197" w:line="216" w:lineRule="exact"/>
        <w:jc w:val="both"/>
      </w:pPr>
      <w:r>
        <w:rPr>
          <w:spacing w:val="-5"/>
          <w:sz w:val="18"/>
          <w:szCs w:val="18"/>
          <w:lang w:val="es-ES_tradnl"/>
        </w:rPr>
        <w:t>La Fuerza Naval, mediante escrito sin n</w:t>
      </w:r>
      <w:r>
        <w:rPr>
          <w:rFonts w:cs="Times New Roman"/>
          <w:spacing w:val="-5"/>
          <w:sz w:val="18"/>
          <w:szCs w:val="18"/>
          <w:lang w:val="es-ES_tradnl"/>
        </w:rPr>
        <w:t>ú</w:t>
      </w:r>
      <w:r>
        <w:rPr>
          <w:spacing w:val="-5"/>
          <w:sz w:val="18"/>
          <w:szCs w:val="18"/>
          <w:lang w:val="es-ES_tradnl"/>
        </w:rPr>
        <w:t>mero, ni fecha, pidi</w:t>
      </w:r>
      <w:r>
        <w:rPr>
          <w:rFonts w:cs="Times New Roman"/>
          <w:spacing w:val="-5"/>
          <w:sz w:val="18"/>
          <w:szCs w:val="18"/>
          <w:lang w:val="es-ES_tradnl"/>
        </w:rPr>
        <w:t>ó</w:t>
      </w:r>
      <w:r>
        <w:rPr>
          <w:spacing w:val="-5"/>
          <w:sz w:val="18"/>
          <w:szCs w:val="18"/>
          <w:lang w:val="es-ES_tradnl"/>
        </w:rPr>
        <w:t xml:space="preserve"> a la jueza que fije un nuevo se</w:t>
      </w:r>
      <w:r>
        <w:rPr>
          <w:rFonts w:cs="Times New Roman"/>
          <w:spacing w:val="-5"/>
          <w:sz w:val="18"/>
          <w:szCs w:val="18"/>
          <w:lang w:val="es-ES_tradnl"/>
        </w:rPr>
        <w:t>ñ</w:t>
      </w:r>
      <w:r>
        <w:rPr>
          <w:spacing w:val="-5"/>
          <w:sz w:val="18"/>
          <w:szCs w:val="18"/>
          <w:lang w:val="es-ES_tradnl"/>
        </w:rPr>
        <w:t>alamiento de d</w:t>
      </w:r>
      <w:r>
        <w:rPr>
          <w:rFonts w:cs="Times New Roman"/>
          <w:spacing w:val="-5"/>
          <w:sz w:val="18"/>
          <w:szCs w:val="18"/>
          <w:lang w:val="es-ES_tradnl"/>
        </w:rPr>
        <w:t>í</w:t>
      </w:r>
      <w:r>
        <w:rPr>
          <w:spacing w:val="-5"/>
          <w:sz w:val="18"/>
          <w:szCs w:val="18"/>
          <w:lang w:val="es-ES_tradnl"/>
        </w:rPr>
        <w:t xml:space="preserve">a y </w:t>
      </w:r>
      <w:r>
        <w:rPr>
          <w:spacing w:val="-10"/>
          <w:sz w:val="18"/>
          <w:szCs w:val="18"/>
          <w:lang w:val="es-ES_tradnl"/>
        </w:rPr>
        <w:t>hora, conforme se verifica de la fe de recepci</w:t>
      </w:r>
      <w:r>
        <w:rPr>
          <w:rFonts w:cs="Times New Roman"/>
          <w:spacing w:val="-10"/>
          <w:sz w:val="18"/>
          <w:szCs w:val="18"/>
          <w:lang w:val="es-ES_tradnl"/>
        </w:rPr>
        <w:t>ó</w:t>
      </w:r>
      <w:r>
        <w:rPr>
          <w:spacing w:val="-10"/>
          <w:sz w:val="18"/>
          <w:szCs w:val="18"/>
          <w:lang w:val="es-ES_tradnl"/>
        </w:rPr>
        <w:t xml:space="preserve">n del Juzgado </w:t>
      </w:r>
      <w:r>
        <w:rPr>
          <w:spacing w:val="-6"/>
          <w:sz w:val="18"/>
          <w:szCs w:val="18"/>
          <w:lang w:val="es-ES_tradnl"/>
        </w:rPr>
        <w:t>Sexto de la Ni</w:t>
      </w:r>
      <w:r>
        <w:rPr>
          <w:rFonts w:cs="Times New Roman"/>
          <w:spacing w:val="-6"/>
          <w:sz w:val="18"/>
          <w:szCs w:val="18"/>
          <w:lang w:val="es-ES_tradnl"/>
        </w:rPr>
        <w:t>ñ</w:t>
      </w:r>
      <w:r>
        <w:rPr>
          <w:spacing w:val="-6"/>
          <w:sz w:val="18"/>
          <w:szCs w:val="18"/>
          <w:lang w:val="es-ES_tradnl"/>
        </w:rPr>
        <w:t xml:space="preserve">ez y Adolescencia del Guayas, del 24 de </w:t>
      </w:r>
      <w:r>
        <w:rPr>
          <w:spacing w:val="-8"/>
          <w:sz w:val="18"/>
          <w:szCs w:val="18"/>
          <w:lang w:val="es-ES_tradnl"/>
        </w:rPr>
        <w:t xml:space="preserve">julio de 2012 a las 15h15, para realizar la audiencia, puesto </w:t>
      </w:r>
      <w:r>
        <w:rPr>
          <w:spacing w:val="-6"/>
          <w:sz w:val="18"/>
          <w:szCs w:val="18"/>
          <w:lang w:val="es-ES_tradnl"/>
        </w:rPr>
        <w:t>que indicaron que para el d</w:t>
      </w:r>
      <w:r>
        <w:rPr>
          <w:rFonts w:cs="Times New Roman"/>
          <w:spacing w:val="-6"/>
          <w:sz w:val="18"/>
          <w:szCs w:val="18"/>
          <w:lang w:val="es-ES_tradnl"/>
        </w:rPr>
        <w:t>í</w:t>
      </w:r>
      <w:r>
        <w:rPr>
          <w:spacing w:val="-6"/>
          <w:sz w:val="18"/>
          <w:szCs w:val="18"/>
          <w:lang w:val="es-ES_tradnl"/>
        </w:rPr>
        <w:t>a previsto inicialmente, ya se hab</w:t>
      </w:r>
      <w:r>
        <w:rPr>
          <w:rFonts w:cs="Times New Roman"/>
          <w:spacing w:val="-6"/>
          <w:sz w:val="18"/>
          <w:szCs w:val="18"/>
          <w:lang w:val="es-ES_tradnl"/>
        </w:rPr>
        <w:t>í</w:t>
      </w:r>
      <w:r>
        <w:rPr>
          <w:spacing w:val="-6"/>
          <w:sz w:val="18"/>
          <w:szCs w:val="18"/>
          <w:lang w:val="es-ES_tradnl"/>
        </w:rPr>
        <w:t>a establecido una diligencia a la que no pod</w:t>
      </w:r>
      <w:r>
        <w:rPr>
          <w:rFonts w:cs="Times New Roman"/>
          <w:spacing w:val="-6"/>
          <w:sz w:val="18"/>
          <w:szCs w:val="18"/>
          <w:lang w:val="es-ES_tradnl"/>
        </w:rPr>
        <w:t>í</w:t>
      </w:r>
      <w:r>
        <w:rPr>
          <w:spacing w:val="-6"/>
          <w:sz w:val="18"/>
          <w:szCs w:val="18"/>
          <w:lang w:val="es-ES_tradnl"/>
        </w:rPr>
        <w:t xml:space="preserve">an dejar </w:t>
      </w:r>
      <w:r>
        <w:rPr>
          <w:spacing w:val="-2"/>
          <w:sz w:val="18"/>
          <w:szCs w:val="18"/>
          <w:lang w:val="es-ES_tradnl"/>
        </w:rPr>
        <w:t xml:space="preserve">de asistir. De este modo y atendiendo lo solicitado por </w:t>
      </w:r>
      <w:r>
        <w:rPr>
          <w:spacing w:val="-4"/>
          <w:sz w:val="18"/>
          <w:szCs w:val="18"/>
          <w:lang w:val="es-ES_tradnl"/>
        </w:rPr>
        <w:t>la Armada Nacional el 27 de julio de 2012, se notific</w:t>
      </w:r>
      <w:r>
        <w:rPr>
          <w:rFonts w:cs="Times New Roman"/>
          <w:spacing w:val="-4"/>
          <w:sz w:val="18"/>
          <w:szCs w:val="18"/>
          <w:lang w:val="es-ES_tradnl"/>
        </w:rPr>
        <w:t xml:space="preserve">ó </w:t>
      </w:r>
      <w:r>
        <w:rPr>
          <w:spacing w:val="-1"/>
          <w:sz w:val="18"/>
          <w:szCs w:val="18"/>
          <w:lang w:val="es-ES_tradnl"/>
        </w:rPr>
        <w:t xml:space="preserve">mediante boletas judiciales lo dispuesto por la jueza </w:t>
      </w:r>
      <w:r>
        <w:rPr>
          <w:spacing w:val="-5"/>
          <w:sz w:val="18"/>
          <w:szCs w:val="18"/>
          <w:lang w:val="es-ES_tradnl"/>
        </w:rPr>
        <w:t>Sexta de la Ni</w:t>
      </w:r>
      <w:r>
        <w:rPr>
          <w:rFonts w:cs="Times New Roman"/>
          <w:spacing w:val="-5"/>
          <w:sz w:val="18"/>
          <w:szCs w:val="18"/>
          <w:lang w:val="es-ES_tradnl"/>
        </w:rPr>
        <w:t>ñ</w:t>
      </w:r>
      <w:r>
        <w:rPr>
          <w:spacing w:val="-5"/>
          <w:sz w:val="18"/>
          <w:szCs w:val="18"/>
          <w:lang w:val="es-ES_tradnl"/>
        </w:rPr>
        <w:t xml:space="preserve">ez y Adolescencia del Guayas, esto es, la </w:t>
      </w:r>
      <w:r>
        <w:rPr>
          <w:spacing w:val="-8"/>
          <w:sz w:val="18"/>
          <w:szCs w:val="18"/>
          <w:lang w:val="es-ES_tradnl"/>
        </w:rPr>
        <w:t>fijaci</w:t>
      </w:r>
      <w:r>
        <w:rPr>
          <w:rFonts w:cs="Times New Roman"/>
          <w:spacing w:val="-8"/>
          <w:sz w:val="18"/>
          <w:szCs w:val="18"/>
          <w:lang w:val="es-ES_tradnl"/>
        </w:rPr>
        <w:t>ó</w:t>
      </w:r>
      <w:r>
        <w:rPr>
          <w:spacing w:val="-8"/>
          <w:sz w:val="18"/>
          <w:szCs w:val="18"/>
          <w:lang w:val="es-ES_tradnl"/>
        </w:rPr>
        <w:t xml:space="preserve">n del 06 de agosto de 2012 a las 09h09, para que se </w:t>
      </w:r>
      <w:r>
        <w:rPr>
          <w:spacing w:val="-7"/>
          <w:sz w:val="18"/>
          <w:szCs w:val="18"/>
          <w:lang w:val="es-ES_tradnl"/>
        </w:rPr>
        <w:t xml:space="preserve">lleve a cabo la audiencia correspondiente al proceso de </w:t>
      </w:r>
      <w:r>
        <w:rPr>
          <w:spacing w:val="-4"/>
          <w:sz w:val="18"/>
          <w:szCs w:val="18"/>
          <w:lang w:val="es-ES_tradnl"/>
        </w:rPr>
        <w:t>acci</w:t>
      </w:r>
      <w:r>
        <w:rPr>
          <w:rFonts w:cs="Times New Roman"/>
          <w:spacing w:val="-4"/>
          <w:sz w:val="18"/>
          <w:szCs w:val="18"/>
          <w:lang w:val="es-ES_tradnl"/>
        </w:rPr>
        <w:t>ó</w:t>
      </w:r>
      <w:r>
        <w:rPr>
          <w:spacing w:val="-4"/>
          <w:sz w:val="18"/>
          <w:szCs w:val="18"/>
          <w:lang w:val="es-ES_tradnl"/>
        </w:rPr>
        <w:t>n de protecci</w:t>
      </w:r>
      <w:r>
        <w:rPr>
          <w:rFonts w:cs="Times New Roman"/>
          <w:spacing w:val="-4"/>
          <w:sz w:val="18"/>
          <w:szCs w:val="18"/>
          <w:lang w:val="es-ES_tradnl"/>
        </w:rPr>
        <w:t>ó</w:t>
      </w:r>
      <w:r>
        <w:rPr>
          <w:spacing w:val="-4"/>
          <w:sz w:val="18"/>
          <w:szCs w:val="18"/>
          <w:lang w:val="es-ES_tradnl"/>
        </w:rPr>
        <w:t xml:space="preserve">n. No obstante, conforme consta en </w:t>
      </w:r>
      <w:r>
        <w:rPr>
          <w:spacing w:val="-7"/>
          <w:sz w:val="18"/>
          <w:szCs w:val="18"/>
          <w:lang w:val="es-ES_tradnl"/>
        </w:rPr>
        <w:t>los autos, habr</w:t>
      </w:r>
      <w:r>
        <w:rPr>
          <w:rFonts w:cs="Times New Roman"/>
          <w:spacing w:val="-7"/>
          <w:sz w:val="18"/>
          <w:szCs w:val="18"/>
          <w:lang w:val="es-ES_tradnl"/>
        </w:rPr>
        <w:t>í</w:t>
      </w:r>
      <w:r>
        <w:rPr>
          <w:spacing w:val="-7"/>
          <w:sz w:val="18"/>
          <w:szCs w:val="18"/>
          <w:lang w:val="es-ES_tradnl"/>
        </w:rPr>
        <w:t xml:space="preserve">a asistido la parte accionante, es decir, el </w:t>
      </w:r>
      <w:r>
        <w:rPr>
          <w:spacing w:val="-8"/>
          <w:sz w:val="18"/>
          <w:szCs w:val="18"/>
          <w:lang w:val="es-ES_tradnl"/>
        </w:rPr>
        <w:t xml:space="preserve">ciudadano </w:t>
      </w:r>
      <w:r>
        <w:rPr>
          <w:rFonts w:cs="Times New Roman"/>
          <w:spacing w:val="-8"/>
          <w:sz w:val="18"/>
          <w:szCs w:val="18"/>
          <w:lang w:val="es-ES_tradnl"/>
        </w:rPr>
        <w:t>Á</w:t>
      </w:r>
      <w:r>
        <w:rPr>
          <w:spacing w:val="-8"/>
          <w:sz w:val="18"/>
          <w:szCs w:val="18"/>
          <w:lang w:val="es-ES_tradnl"/>
        </w:rPr>
        <w:t>ngel Sarzosa Aguirre, quien acus</w:t>
      </w:r>
      <w:r>
        <w:rPr>
          <w:rFonts w:cs="Times New Roman"/>
          <w:spacing w:val="-8"/>
          <w:sz w:val="18"/>
          <w:szCs w:val="18"/>
          <w:lang w:val="es-ES_tradnl"/>
        </w:rPr>
        <w:t>ó</w:t>
      </w:r>
      <w:r>
        <w:rPr>
          <w:spacing w:val="-8"/>
          <w:sz w:val="18"/>
          <w:szCs w:val="18"/>
          <w:lang w:val="es-ES_tradnl"/>
        </w:rPr>
        <w:t xml:space="preserve"> la rebeld</w:t>
      </w:r>
      <w:r>
        <w:rPr>
          <w:rFonts w:cs="Times New Roman"/>
          <w:spacing w:val="-8"/>
          <w:sz w:val="18"/>
          <w:szCs w:val="18"/>
          <w:lang w:val="es-ES_tradnl"/>
        </w:rPr>
        <w:t>í</w:t>
      </w:r>
      <w:r>
        <w:rPr>
          <w:spacing w:val="-8"/>
          <w:sz w:val="18"/>
          <w:szCs w:val="18"/>
          <w:lang w:val="es-ES_tradnl"/>
        </w:rPr>
        <w:t>a de la instituci</w:t>
      </w:r>
      <w:r>
        <w:rPr>
          <w:rFonts w:cs="Times New Roman"/>
          <w:spacing w:val="-8"/>
          <w:sz w:val="18"/>
          <w:szCs w:val="18"/>
          <w:lang w:val="es-ES_tradnl"/>
        </w:rPr>
        <w:t>ó</w:t>
      </w:r>
      <w:r>
        <w:rPr>
          <w:spacing w:val="-8"/>
          <w:sz w:val="18"/>
          <w:szCs w:val="18"/>
          <w:lang w:val="es-ES_tradnl"/>
        </w:rPr>
        <w:t>n accionada por no comparecer, as</w:t>
      </w:r>
      <w:r>
        <w:rPr>
          <w:rFonts w:cs="Times New Roman"/>
          <w:spacing w:val="-8"/>
          <w:sz w:val="18"/>
          <w:szCs w:val="18"/>
          <w:lang w:val="es-ES_tradnl"/>
        </w:rPr>
        <w:t>í</w:t>
      </w:r>
      <w:r>
        <w:rPr>
          <w:spacing w:val="-8"/>
          <w:sz w:val="18"/>
          <w:szCs w:val="18"/>
          <w:lang w:val="es-ES_tradnl"/>
        </w:rPr>
        <w:t xml:space="preserve"> como la rebeld</w:t>
      </w:r>
      <w:r>
        <w:rPr>
          <w:rFonts w:cs="Times New Roman"/>
          <w:spacing w:val="-8"/>
          <w:sz w:val="18"/>
          <w:szCs w:val="18"/>
          <w:lang w:val="es-ES_tradnl"/>
        </w:rPr>
        <w:t>í</w:t>
      </w:r>
      <w:r>
        <w:rPr>
          <w:spacing w:val="-8"/>
          <w:sz w:val="18"/>
          <w:szCs w:val="18"/>
          <w:lang w:val="es-ES_tradnl"/>
        </w:rPr>
        <w:t>a del delegado regional de la Procuradur</w:t>
      </w:r>
      <w:r>
        <w:rPr>
          <w:rFonts w:cs="Times New Roman"/>
          <w:spacing w:val="-8"/>
          <w:sz w:val="18"/>
          <w:szCs w:val="18"/>
          <w:lang w:val="es-ES_tradnl"/>
        </w:rPr>
        <w:t>í</w:t>
      </w:r>
      <w:r>
        <w:rPr>
          <w:spacing w:val="-8"/>
          <w:sz w:val="18"/>
          <w:szCs w:val="18"/>
          <w:lang w:val="es-ES_tradnl"/>
        </w:rPr>
        <w:t xml:space="preserve">a General </w:t>
      </w:r>
      <w:r>
        <w:rPr>
          <w:spacing w:val="-9"/>
          <w:sz w:val="18"/>
          <w:szCs w:val="18"/>
          <w:lang w:val="es-ES_tradnl"/>
        </w:rPr>
        <w:t>del Estado por su inasistencia, declar</w:t>
      </w:r>
      <w:r>
        <w:rPr>
          <w:rFonts w:cs="Times New Roman"/>
          <w:spacing w:val="-9"/>
          <w:sz w:val="18"/>
          <w:szCs w:val="18"/>
          <w:lang w:val="es-ES_tradnl"/>
        </w:rPr>
        <w:t>á</w:t>
      </w:r>
      <w:r>
        <w:rPr>
          <w:spacing w:val="-9"/>
          <w:sz w:val="18"/>
          <w:szCs w:val="18"/>
          <w:lang w:val="es-ES_tradnl"/>
        </w:rPr>
        <w:t>ndose as</w:t>
      </w:r>
      <w:r>
        <w:rPr>
          <w:rFonts w:cs="Times New Roman"/>
          <w:spacing w:val="-9"/>
          <w:sz w:val="18"/>
          <w:szCs w:val="18"/>
          <w:lang w:val="es-ES_tradnl"/>
        </w:rPr>
        <w:t>í</w:t>
      </w:r>
      <w:r>
        <w:rPr>
          <w:spacing w:val="-9"/>
          <w:sz w:val="18"/>
          <w:szCs w:val="18"/>
          <w:lang w:val="es-ES_tradnl"/>
        </w:rPr>
        <w:t xml:space="preserve"> en rebeld</w:t>
      </w:r>
      <w:r>
        <w:rPr>
          <w:rFonts w:cs="Times New Roman"/>
          <w:spacing w:val="-9"/>
          <w:sz w:val="18"/>
          <w:szCs w:val="18"/>
          <w:lang w:val="es-ES_tradnl"/>
        </w:rPr>
        <w:t>í</w:t>
      </w:r>
      <w:r>
        <w:rPr>
          <w:spacing w:val="-9"/>
          <w:sz w:val="18"/>
          <w:szCs w:val="18"/>
          <w:lang w:val="es-ES_tradnl"/>
        </w:rPr>
        <w:t xml:space="preserve">a </w:t>
      </w:r>
      <w:r>
        <w:rPr>
          <w:spacing w:val="-6"/>
          <w:sz w:val="18"/>
          <w:szCs w:val="18"/>
          <w:lang w:val="es-ES_tradnl"/>
        </w:rPr>
        <w:t xml:space="preserve">a la parte demandada y siendo notificada con el Acta de </w:t>
      </w:r>
      <w:r>
        <w:rPr>
          <w:spacing w:val="-7"/>
          <w:sz w:val="18"/>
          <w:szCs w:val="18"/>
          <w:lang w:val="es-ES_tradnl"/>
        </w:rPr>
        <w:t xml:space="preserve">Audiencia mediante boleta, el 16 de agosto de 2015 a las </w:t>
      </w:r>
      <w:r>
        <w:rPr>
          <w:sz w:val="18"/>
          <w:szCs w:val="18"/>
          <w:lang w:val="es-ES_tradnl"/>
        </w:rPr>
        <w:t>15h50.</w:t>
      </w:r>
    </w:p>
    <w:p w14:paraId="4F67AD79" w14:textId="77777777" w:rsidR="00591D54" w:rsidRDefault="00591D54">
      <w:pPr>
        <w:shd w:val="clear" w:color="auto" w:fill="FFFFFF"/>
        <w:spacing w:before="197" w:line="216" w:lineRule="exact"/>
        <w:jc w:val="both"/>
      </w:pPr>
      <w:r>
        <w:rPr>
          <w:spacing w:val="-10"/>
          <w:sz w:val="18"/>
          <w:szCs w:val="18"/>
          <w:lang w:val="es-ES_tradnl"/>
        </w:rPr>
        <w:t xml:space="preserve">Posteriormente, se observa que los accionados, de manera </w:t>
      </w:r>
      <w:r>
        <w:rPr>
          <w:spacing w:val="-3"/>
          <w:sz w:val="18"/>
          <w:szCs w:val="18"/>
          <w:lang w:val="es-ES_tradnl"/>
        </w:rPr>
        <w:t xml:space="preserve">conjunta, presentaron un escrito ante el Juzgado Sexto </w:t>
      </w:r>
      <w:r>
        <w:rPr>
          <w:spacing w:val="-8"/>
          <w:sz w:val="18"/>
          <w:szCs w:val="18"/>
          <w:lang w:val="es-ES_tradnl"/>
        </w:rPr>
        <w:t>de la Ni</w:t>
      </w:r>
      <w:r>
        <w:rPr>
          <w:rFonts w:cs="Times New Roman"/>
          <w:spacing w:val="-8"/>
          <w:sz w:val="18"/>
          <w:szCs w:val="18"/>
          <w:lang w:val="es-ES_tradnl"/>
        </w:rPr>
        <w:t>ñ</w:t>
      </w:r>
      <w:r>
        <w:rPr>
          <w:spacing w:val="-8"/>
          <w:sz w:val="18"/>
          <w:szCs w:val="18"/>
          <w:lang w:val="es-ES_tradnl"/>
        </w:rPr>
        <w:t xml:space="preserve">ez y Adolescencia del Guayas el 22 de agosto de </w:t>
      </w:r>
      <w:r>
        <w:rPr>
          <w:spacing w:val="-5"/>
          <w:sz w:val="18"/>
          <w:szCs w:val="18"/>
          <w:lang w:val="es-ES_tradnl"/>
        </w:rPr>
        <w:t xml:space="preserve">2012 a las 14h08, justificando que no pudieron asistir a </w:t>
      </w:r>
      <w:r>
        <w:rPr>
          <w:spacing w:val="-8"/>
          <w:sz w:val="18"/>
          <w:szCs w:val="18"/>
          <w:lang w:val="es-ES_tradnl"/>
        </w:rPr>
        <w:t>dicha audiencia y argumentado sus razones para declarar improcedente la acci</w:t>
      </w:r>
      <w:r>
        <w:rPr>
          <w:rFonts w:cs="Times New Roman"/>
          <w:spacing w:val="-8"/>
          <w:sz w:val="18"/>
          <w:szCs w:val="18"/>
          <w:lang w:val="es-ES_tradnl"/>
        </w:rPr>
        <w:t>ó</w:t>
      </w:r>
      <w:r>
        <w:rPr>
          <w:spacing w:val="-8"/>
          <w:sz w:val="18"/>
          <w:szCs w:val="18"/>
          <w:lang w:val="es-ES_tradnl"/>
        </w:rPr>
        <w:t>n de protecci</w:t>
      </w:r>
      <w:r>
        <w:rPr>
          <w:rFonts w:cs="Times New Roman"/>
          <w:spacing w:val="-8"/>
          <w:sz w:val="18"/>
          <w:szCs w:val="18"/>
          <w:lang w:val="es-ES_tradnl"/>
        </w:rPr>
        <w:t>ó</w:t>
      </w:r>
      <w:r>
        <w:rPr>
          <w:spacing w:val="-8"/>
          <w:sz w:val="18"/>
          <w:szCs w:val="18"/>
          <w:lang w:val="es-ES_tradnl"/>
        </w:rPr>
        <w:t xml:space="preserve">n, al que la jueza, en el </w:t>
      </w:r>
      <w:r>
        <w:rPr>
          <w:spacing w:val="-9"/>
          <w:sz w:val="18"/>
          <w:szCs w:val="18"/>
          <w:lang w:val="es-ES_tradnl"/>
        </w:rPr>
        <w:t>texto de la sentencia, respondi</w:t>
      </w:r>
      <w:r>
        <w:rPr>
          <w:rFonts w:cs="Times New Roman"/>
          <w:spacing w:val="-9"/>
          <w:sz w:val="18"/>
          <w:szCs w:val="18"/>
          <w:lang w:val="es-ES_tradnl"/>
        </w:rPr>
        <w:t>ó</w:t>
      </w:r>
      <w:r>
        <w:rPr>
          <w:spacing w:val="-9"/>
          <w:sz w:val="18"/>
          <w:szCs w:val="18"/>
          <w:lang w:val="es-ES_tradnl"/>
        </w:rPr>
        <w:t xml:space="preserve"> en los siguientes t</w:t>
      </w:r>
      <w:r>
        <w:rPr>
          <w:rFonts w:cs="Times New Roman"/>
          <w:spacing w:val="-9"/>
          <w:sz w:val="18"/>
          <w:szCs w:val="18"/>
          <w:lang w:val="es-ES_tradnl"/>
        </w:rPr>
        <w:t>é</w:t>
      </w:r>
      <w:r>
        <w:rPr>
          <w:spacing w:val="-9"/>
          <w:sz w:val="18"/>
          <w:szCs w:val="18"/>
          <w:lang w:val="es-ES_tradnl"/>
        </w:rPr>
        <w:t>rminos:</w:t>
      </w:r>
    </w:p>
    <w:p w14:paraId="4F67AD7A" w14:textId="77777777" w:rsidR="00591D54" w:rsidRDefault="00591D54">
      <w:pPr>
        <w:shd w:val="clear" w:color="auto" w:fill="FFFFFF"/>
        <w:spacing w:before="202" w:line="216" w:lineRule="exact"/>
        <w:ind w:left="283" w:right="5"/>
        <w:jc w:val="both"/>
      </w:pPr>
      <w:r>
        <w:rPr>
          <w:spacing w:val="-5"/>
          <w:sz w:val="16"/>
          <w:szCs w:val="16"/>
          <w:lang w:val="es-ES_tradnl"/>
        </w:rPr>
        <w:t xml:space="preserve">1. Conforme lo dispone la Ley, vuestras instituciones y por </w:t>
      </w:r>
      <w:r>
        <w:rPr>
          <w:spacing w:val="-8"/>
          <w:sz w:val="16"/>
          <w:szCs w:val="16"/>
          <w:lang w:val="es-ES_tradnl"/>
        </w:rPr>
        <w:t xml:space="preserve">ende ustedes, fueron legamente notificados, como consta de </w:t>
      </w:r>
      <w:r>
        <w:rPr>
          <w:spacing w:val="-4"/>
          <w:sz w:val="16"/>
          <w:szCs w:val="16"/>
          <w:lang w:val="es-ES_tradnl"/>
        </w:rPr>
        <w:t>autos, a la audiencia p</w:t>
      </w:r>
      <w:r>
        <w:rPr>
          <w:rFonts w:cs="Times New Roman"/>
          <w:spacing w:val="-4"/>
          <w:sz w:val="16"/>
          <w:szCs w:val="16"/>
          <w:lang w:val="es-ES_tradnl"/>
        </w:rPr>
        <w:t>ú</w:t>
      </w:r>
      <w:r>
        <w:rPr>
          <w:spacing w:val="-4"/>
          <w:sz w:val="16"/>
          <w:szCs w:val="16"/>
          <w:lang w:val="es-ES_tradnl"/>
        </w:rPr>
        <w:t>blica que debi</w:t>
      </w:r>
      <w:r>
        <w:rPr>
          <w:rFonts w:cs="Times New Roman"/>
          <w:spacing w:val="-4"/>
          <w:sz w:val="16"/>
          <w:szCs w:val="16"/>
          <w:lang w:val="es-ES_tradnl"/>
        </w:rPr>
        <w:t>ó</w:t>
      </w:r>
      <w:r>
        <w:rPr>
          <w:spacing w:val="-4"/>
          <w:sz w:val="16"/>
          <w:szCs w:val="16"/>
          <w:lang w:val="es-ES_tradnl"/>
        </w:rPr>
        <w:t xml:space="preserve"> realizarse el 26 de </w:t>
      </w:r>
      <w:r>
        <w:rPr>
          <w:spacing w:val="-7"/>
          <w:sz w:val="16"/>
          <w:szCs w:val="16"/>
          <w:lang w:val="es-ES_tradnl"/>
        </w:rPr>
        <w:t>julio del 2012 a las 09h00, y que a petici</w:t>
      </w:r>
      <w:r>
        <w:rPr>
          <w:rFonts w:cs="Times New Roman"/>
          <w:spacing w:val="-7"/>
          <w:sz w:val="16"/>
          <w:szCs w:val="16"/>
          <w:lang w:val="es-ES_tradnl"/>
        </w:rPr>
        <w:t>ó</w:t>
      </w:r>
      <w:r>
        <w:rPr>
          <w:spacing w:val="-7"/>
          <w:sz w:val="16"/>
          <w:szCs w:val="16"/>
          <w:lang w:val="es-ES_tradnl"/>
        </w:rPr>
        <w:t>n del Contralmirante</w:t>
      </w:r>
    </w:p>
    <w:p w14:paraId="4F67AD7B" w14:textId="77777777" w:rsidR="00591D54" w:rsidRDefault="00591D54">
      <w:pPr>
        <w:shd w:val="clear" w:color="auto" w:fill="FFFFFF"/>
        <w:spacing w:before="533" w:line="178" w:lineRule="exact"/>
        <w:ind w:left="139" w:hanging="139"/>
      </w:pPr>
      <w:r>
        <w:rPr>
          <w:sz w:val="16"/>
          <w:szCs w:val="16"/>
          <w:vertAlign w:val="superscript"/>
          <w:lang w:val="es-ES_tradnl"/>
        </w:rPr>
        <w:t>2</w:t>
      </w:r>
      <w:r>
        <w:rPr>
          <w:sz w:val="16"/>
          <w:szCs w:val="16"/>
          <w:lang w:val="es-ES_tradnl"/>
        </w:rPr>
        <w:t xml:space="preserve">  </w:t>
      </w:r>
      <w:r>
        <w:rPr>
          <w:spacing w:val="-5"/>
          <w:sz w:val="16"/>
          <w:szCs w:val="16"/>
          <w:lang w:val="es-ES_tradnl"/>
        </w:rPr>
        <w:t>Corte Constitucional del Ecuador para el per</w:t>
      </w:r>
      <w:r>
        <w:rPr>
          <w:rFonts w:cs="Times New Roman"/>
          <w:spacing w:val="-5"/>
          <w:sz w:val="16"/>
          <w:szCs w:val="16"/>
          <w:lang w:val="es-ES_tradnl"/>
        </w:rPr>
        <w:t>í</w:t>
      </w:r>
      <w:r>
        <w:rPr>
          <w:spacing w:val="-5"/>
          <w:sz w:val="16"/>
          <w:szCs w:val="16"/>
          <w:lang w:val="es-ES_tradnl"/>
        </w:rPr>
        <w:t>odo de transici</w:t>
      </w:r>
      <w:r>
        <w:rPr>
          <w:rFonts w:cs="Times New Roman"/>
          <w:spacing w:val="-5"/>
          <w:sz w:val="16"/>
          <w:szCs w:val="16"/>
          <w:lang w:val="es-ES_tradnl"/>
        </w:rPr>
        <w:t>ó</w:t>
      </w:r>
      <w:r>
        <w:rPr>
          <w:spacing w:val="-5"/>
          <w:sz w:val="16"/>
          <w:szCs w:val="16"/>
          <w:lang w:val="es-ES_tradnl"/>
        </w:rPr>
        <w:t xml:space="preserve">n, </w:t>
      </w:r>
      <w:r>
        <w:rPr>
          <w:spacing w:val="-12"/>
          <w:sz w:val="16"/>
          <w:szCs w:val="16"/>
          <w:lang w:val="es-ES_tradnl"/>
        </w:rPr>
        <w:t>sentencia N.</w:t>
      </w:r>
      <w:r>
        <w:rPr>
          <w:rFonts w:cs="Times New Roman"/>
          <w:spacing w:val="-12"/>
          <w:sz w:val="16"/>
          <w:szCs w:val="16"/>
          <w:lang w:val="es-ES_tradnl"/>
        </w:rPr>
        <w:t>º</w:t>
      </w:r>
      <w:r>
        <w:rPr>
          <w:spacing w:val="-12"/>
          <w:sz w:val="16"/>
          <w:szCs w:val="16"/>
          <w:lang w:val="es-ES_tradnl"/>
        </w:rPr>
        <w:t xml:space="preserve"> 020-10-SEP-CC, caso N.</w:t>
      </w:r>
      <w:r>
        <w:rPr>
          <w:rFonts w:cs="Times New Roman"/>
          <w:spacing w:val="-12"/>
          <w:sz w:val="16"/>
          <w:szCs w:val="16"/>
          <w:lang w:val="es-ES_tradnl"/>
        </w:rPr>
        <w:t>º</w:t>
      </w:r>
      <w:r>
        <w:rPr>
          <w:spacing w:val="-12"/>
          <w:sz w:val="16"/>
          <w:szCs w:val="16"/>
          <w:lang w:val="es-ES_tradnl"/>
        </w:rPr>
        <w:t xml:space="preserve"> 0583-09-EP.</w:t>
      </w:r>
    </w:p>
    <w:p w14:paraId="4F67AD7C" w14:textId="77777777" w:rsidR="00591D54" w:rsidRDefault="00591D54">
      <w:pPr>
        <w:shd w:val="clear" w:color="auto" w:fill="FFFFFF"/>
        <w:spacing w:line="216" w:lineRule="exact"/>
        <w:ind w:left="283"/>
        <w:jc w:val="both"/>
      </w:pPr>
      <w:r>
        <w:br w:type="column"/>
      </w:r>
      <w:r>
        <w:rPr>
          <w:rFonts w:cs="Times New Roman"/>
          <w:spacing w:val="-9"/>
          <w:sz w:val="16"/>
          <w:szCs w:val="16"/>
          <w:lang w:val="es-ES_tradnl"/>
        </w:rPr>
        <w:t>Á</w:t>
      </w:r>
      <w:r>
        <w:rPr>
          <w:spacing w:val="-9"/>
          <w:sz w:val="16"/>
          <w:szCs w:val="16"/>
          <w:lang w:val="es-ES_tradnl"/>
        </w:rPr>
        <w:t>ngel Sarzosa Aguirre, (fojas 110) fue postergada para la fecha en que se realiz</w:t>
      </w:r>
      <w:r>
        <w:rPr>
          <w:rFonts w:cs="Times New Roman"/>
          <w:spacing w:val="-9"/>
          <w:sz w:val="16"/>
          <w:szCs w:val="16"/>
          <w:lang w:val="es-ES_tradnl"/>
        </w:rPr>
        <w:t>ó</w:t>
      </w:r>
      <w:r>
        <w:rPr>
          <w:spacing w:val="-9"/>
          <w:sz w:val="16"/>
          <w:szCs w:val="16"/>
          <w:lang w:val="es-ES_tradnl"/>
        </w:rPr>
        <w:t xml:space="preserve"> esta, convocada para el -6 de agosto del 2012 </w:t>
      </w:r>
      <w:r>
        <w:rPr>
          <w:spacing w:val="-6"/>
          <w:sz w:val="16"/>
          <w:szCs w:val="16"/>
          <w:lang w:val="es-ES_tradnl"/>
        </w:rPr>
        <w:t xml:space="preserve">a las 09h00 y que igualmente fueron legalmente notificados </w:t>
      </w:r>
      <w:r>
        <w:rPr>
          <w:spacing w:val="-8"/>
          <w:sz w:val="16"/>
          <w:szCs w:val="16"/>
          <w:lang w:val="es-ES_tradnl"/>
        </w:rPr>
        <w:t>(consta de autos), por cuanto ustedes hab</w:t>
      </w:r>
      <w:r>
        <w:rPr>
          <w:rFonts w:cs="Times New Roman"/>
          <w:spacing w:val="-8"/>
          <w:sz w:val="16"/>
          <w:szCs w:val="16"/>
          <w:lang w:val="es-ES_tradnl"/>
        </w:rPr>
        <w:t>í</w:t>
      </w:r>
      <w:r>
        <w:rPr>
          <w:spacing w:val="-8"/>
          <w:sz w:val="16"/>
          <w:szCs w:val="16"/>
          <w:lang w:val="es-ES_tradnl"/>
        </w:rPr>
        <w:t xml:space="preserve">an sido convocados </w:t>
      </w:r>
      <w:r>
        <w:rPr>
          <w:spacing w:val="-4"/>
          <w:sz w:val="16"/>
          <w:szCs w:val="16"/>
          <w:lang w:val="es-ES_tradnl"/>
        </w:rPr>
        <w:t xml:space="preserve">a otra audiencia para esa fecha y que necesitaban tiempo </w:t>
      </w:r>
      <w:r>
        <w:rPr>
          <w:spacing w:val="-6"/>
          <w:sz w:val="16"/>
          <w:szCs w:val="16"/>
          <w:lang w:val="es-ES_tradnl"/>
        </w:rPr>
        <w:t>para recopilar la documentaci</w:t>
      </w:r>
      <w:r>
        <w:rPr>
          <w:rFonts w:cs="Times New Roman"/>
          <w:spacing w:val="-6"/>
          <w:sz w:val="16"/>
          <w:szCs w:val="16"/>
          <w:lang w:val="es-ES_tradnl"/>
        </w:rPr>
        <w:t>ó</w:t>
      </w:r>
      <w:r>
        <w:rPr>
          <w:spacing w:val="-6"/>
          <w:sz w:val="16"/>
          <w:szCs w:val="16"/>
          <w:lang w:val="es-ES_tradnl"/>
        </w:rPr>
        <w:t xml:space="preserve">n requerida y prepararse para </w:t>
      </w:r>
      <w:r>
        <w:rPr>
          <w:spacing w:val="-5"/>
          <w:sz w:val="16"/>
          <w:szCs w:val="16"/>
          <w:lang w:val="es-ES_tradnl"/>
        </w:rPr>
        <w:t xml:space="preserve">la misma; por consiguiente, tuvieron el tiempo y los medios </w:t>
      </w:r>
      <w:r>
        <w:rPr>
          <w:spacing w:val="-8"/>
          <w:sz w:val="16"/>
          <w:szCs w:val="16"/>
          <w:lang w:val="es-ES_tradnl"/>
        </w:rPr>
        <w:t xml:space="preserve">adecuados para prepararse para la defensa.- 2. Vuestra no </w:t>
      </w:r>
      <w:r>
        <w:rPr>
          <w:spacing w:val="-7"/>
          <w:sz w:val="16"/>
          <w:szCs w:val="16"/>
          <w:lang w:val="es-ES_tradnl"/>
        </w:rPr>
        <w:t>comparecencia a la Audiencia P</w:t>
      </w:r>
      <w:r>
        <w:rPr>
          <w:rFonts w:cs="Times New Roman"/>
          <w:spacing w:val="-7"/>
          <w:sz w:val="16"/>
          <w:szCs w:val="16"/>
          <w:lang w:val="es-ES_tradnl"/>
        </w:rPr>
        <w:t>ú</w:t>
      </w:r>
      <w:r>
        <w:rPr>
          <w:spacing w:val="-7"/>
          <w:sz w:val="16"/>
          <w:szCs w:val="16"/>
          <w:lang w:val="es-ES_tradnl"/>
        </w:rPr>
        <w:t xml:space="preserve">blica legamente convocada </w:t>
      </w:r>
      <w:r>
        <w:rPr>
          <w:spacing w:val="-8"/>
          <w:sz w:val="16"/>
          <w:szCs w:val="16"/>
          <w:lang w:val="es-ES_tradnl"/>
        </w:rPr>
        <w:t>para el -6 de agosto de 2012 a las 09h00, no imped</w:t>
      </w:r>
      <w:r>
        <w:rPr>
          <w:rFonts w:cs="Times New Roman"/>
          <w:spacing w:val="-8"/>
          <w:sz w:val="16"/>
          <w:szCs w:val="16"/>
          <w:lang w:val="es-ES_tradnl"/>
        </w:rPr>
        <w:t>í</w:t>
      </w:r>
      <w:r>
        <w:rPr>
          <w:spacing w:val="-8"/>
          <w:sz w:val="16"/>
          <w:szCs w:val="16"/>
          <w:lang w:val="es-ES_tradnl"/>
        </w:rPr>
        <w:t xml:space="preserve">a que esta </w:t>
      </w:r>
      <w:r>
        <w:rPr>
          <w:spacing w:val="-4"/>
          <w:sz w:val="16"/>
          <w:szCs w:val="16"/>
          <w:lang w:val="es-ES_tradnl"/>
        </w:rPr>
        <w:t xml:space="preserve">Autoridad realice la misma: </w:t>
      </w:r>
      <w:r>
        <w:rPr>
          <w:rFonts w:cs="Times New Roman"/>
          <w:spacing w:val="-4"/>
          <w:sz w:val="16"/>
          <w:szCs w:val="16"/>
          <w:lang w:val="es-ES_tradnl"/>
        </w:rPr>
        <w:t>…</w:t>
      </w:r>
      <w:r>
        <w:rPr>
          <w:spacing w:val="-4"/>
          <w:sz w:val="16"/>
          <w:szCs w:val="16"/>
          <w:lang w:val="es-ES_tradnl"/>
        </w:rPr>
        <w:t xml:space="preserve"> </w:t>
      </w:r>
      <w:r>
        <w:rPr>
          <w:rFonts w:cs="Times New Roman"/>
          <w:spacing w:val="-4"/>
          <w:sz w:val="16"/>
          <w:szCs w:val="16"/>
          <w:lang w:val="es-ES_tradnl"/>
        </w:rPr>
        <w:t>“</w:t>
      </w:r>
      <w:r>
        <w:rPr>
          <w:spacing w:val="-4"/>
          <w:sz w:val="16"/>
          <w:szCs w:val="16"/>
          <w:lang w:val="es-ES_tradnl"/>
        </w:rPr>
        <w:t xml:space="preserve">La ausencia de la persona, </w:t>
      </w:r>
      <w:r>
        <w:rPr>
          <w:spacing w:val="-5"/>
          <w:sz w:val="16"/>
          <w:szCs w:val="16"/>
          <w:lang w:val="es-ES_tradnl"/>
        </w:rPr>
        <w:t>instituci</w:t>
      </w:r>
      <w:r>
        <w:rPr>
          <w:rFonts w:cs="Times New Roman"/>
          <w:spacing w:val="-5"/>
          <w:sz w:val="16"/>
          <w:szCs w:val="16"/>
          <w:lang w:val="es-ES_tradnl"/>
        </w:rPr>
        <w:t>ó</w:t>
      </w:r>
      <w:r>
        <w:rPr>
          <w:spacing w:val="-5"/>
          <w:sz w:val="16"/>
          <w:szCs w:val="16"/>
          <w:lang w:val="es-ES_tradnl"/>
        </w:rPr>
        <w:t xml:space="preserve">n u </w:t>
      </w:r>
      <w:r>
        <w:rPr>
          <w:rFonts w:cs="Times New Roman"/>
          <w:spacing w:val="-5"/>
          <w:sz w:val="16"/>
          <w:szCs w:val="16"/>
          <w:lang w:val="es-ES_tradnl"/>
        </w:rPr>
        <w:t>ó</w:t>
      </w:r>
      <w:r>
        <w:rPr>
          <w:spacing w:val="-5"/>
          <w:sz w:val="16"/>
          <w:szCs w:val="16"/>
          <w:lang w:val="es-ES_tradnl"/>
        </w:rPr>
        <w:t>rgano accionado no impedir</w:t>
      </w:r>
      <w:r>
        <w:rPr>
          <w:rFonts w:cs="Times New Roman"/>
          <w:spacing w:val="-5"/>
          <w:sz w:val="16"/>
          <w:szCs w:val="16"/>
          <w:lang w:val="es-ES_tradnl"/>
        </w:rPr>
        <w:t>á</w:t>
      </w:r>
      <w:r>
        <w:rPr>
          <w:spacing w:val="-5"/>
          <w:sz w:val="16"/>
          <w:szCs w:val="16"/>
          <w:lang w:val="es-ES_tradnl"/>
        </w:rPr>
        <w:t xml:space="preserve"> que la audiencia </w:t>
      </w:r>
      <w:r>
        <w:rPr>
          <w:spacing w:val="-6"/>
          <w:sz w:val="16"/>
          <w:szCs w:val="16"/>
          <w:lang w:val="es-ES_tradnl"/>
        </w:rPr>
        <w:t>se realice</w:t>
      </w:r>
      <w:r>
        <w:rPr>
          <w:rFonts w:cs="Times New Roman"/>
          <w:spacing w:val="-6"/>
          <w:sz w:val="16"/>
          <w:szCs w:val="16"/>
          <w:lang w:val="es-ES_tradnl"/>
        </w:rPr>
        <w:t>…</w:t>
      </w:r>
      <w:r>
        <w:rPr>
          <w:spacing w:val="-6"/>
          <w:sz w:val="16"/>
          <w:szCs w:val="16"/>
          <w:lang w:val="es-ES_tradnl"/>
        </w:rPr>
        <w:t>, inciso cuarto del art. 14 de la Ley de Garant</w:t>
      </w:r>
      <w:r>
        <w:rPr>
          <w:rFonts w:cs="Times New Roman"/>
          <w:spacing w:val="-6"/>
          <w:sz w:val="16"/>
          <w:szCs w:val="16"/>
          <w:lang w:val="es-ES_tradnl"/>
        </w:rPr>
        <w:t>í</w:t>
      </w:r>
      <w:r>
        <w:rPr>
          <w:spacing w:val="-6"/>
          <w:sz w:val="16"/>
          <w:szCs w:val="16"/>
          <w:lang w:val="es-ES_tradnl"/>
        </w:rPr>
        <w:t xml:space="preserve">as </w:t>
      </w:r>
      <w:r>
        <w:rPr>
          <w:spacing w:val="-4"/>
          <w:sz w:val="16"/>
          <w:szCs w:val="16"/>
          <w:lang w:val="es-ES_tradnl"/>
        </w:rPr>
        <w:t>Jurisdiccionales y Control Constitucional (</w:t>
      </w:r>
      <w:r>
        <w:rPr>
          <w:rFonts w:cs="Times New Roman"/>
          <w:spacing w:val="-4"/>
          <w:sz w:val="16"/>
          <w:szCs w:val="16"/>
          <w:lang w:val="es-ES_tradnl"/>
        </w:rPr>
        <w:t>…</w:t>
      </w:r>
      <w:r>
        <w:rPr>
          <w:spacing w:val="-4"/>
          <w:sz w:val="16"/>
          <w:szCs w:val="16"/>
          <w:lang w:val="es-ES_tradnl"/>
        </w:rPr>
        <w:t>).</w:t>
      </w:r>
    </w:p>
    <w:p w14:paraId="4F67AD7D" w14:textId="77777777" w:rsidR="00591D54" w:rsidRDefault="00591D54">
      <w:pPr>
        <w:shd w:val="clear" w:color="auto" w:fill="FFFFFF"/>
        <w:spacing w:before="202" w:line="216" w:lineRule="exact"/>
        <w:jc w:val="both"/>
      </w:pPr>
      <w:r>
        <w:rPr>
          <w:spacing w:val="-8"/>
          <w:sz w:val="18"/>
          <w:szCs w:val="18"/>
          <w:lang w:val="es-ES_tradnl"/>
        </w:rPr>
        <w:t xml:space="preserve">Sobre este mismo punto de controversia, la sentencia de la </w:t>
      </w:r>
      <w:r>
        <w:rPr>
          <w:spacing w:val="-7"/>
          <w:sz w:val="18"/>
          <w:szCs w:val="18"/>
          <w:lang w:val="es-ES_tradnl"/>
        </w:rPr>
        <w:t>Tercera Sala de lo Penal, Colusorio y Tr</w:t>
      </w:r>
      <w:r>
        <w:rPr>
          <w:rFonts w:cs="Times New Roman"/>
          <w:spacing w:val="-7"/>
          <w:sz w:val="18"/>
          <w:szCs w:val="18"/>
          <w:lang w:val="es-ES_tradnl"/>
        </w:rPr>
        <w:t>á</w:t>
      </w:r>
      <w:r>
        <w:rPr>
          <w:spacing w:val="-7"/>
          <w:sz w:val="18"/>
          <w:szCs w:val="18"/>
          <w:lang w:val="es-ES_tradnl"/>
        </w:rPr>
        <w:t>nsito de la Corte Provincial de Justicia del Guayas se manifest</w:t>
      </w:r>
      <w:r>
        <w:rPr>
          <w:rFonts w:cs="Times New Roman"/>
          <w:spacing w:val="-7"/>
          <w:sz w:val="18"/>
          <w:szCs w:val="18"/>
          <w:lang w:val="es-ES_tradnl"/>
        </w:rPr>
        <w:t>ó</w:t>
      </w:r>
      <w:r>
        <w:rPr>
          <w:spacing w:val="-7"/>
          <w:sz w:val="18"/>
          <w:szCs w:val="18"/>
          <w:lang w:val="es-ES_tradnl"/>
        </w:rPr>
        <w:t xml:space="preserve"> indicando:</w:t>
      </w:r>
    </w:p>
    <w:p w14:paraId="4F67AD7E" w14:textId="77777777" w:rsidR="00591D54" w:rsidRDefault="00591D54">
      <w:pPr>
        <w:shd w:val="clear" w:color="auto" w:fill="FFFFFF"/>
        <w:spacing w:before="202" w:line="216" w:lineRule="exact"/>
        <w:ind w:left="283"/>
        <w:jc w:val="both"/>
      </w:pPr>
      <w:r>
        <w:rPr>
          <w:spacing w:val="-1"/>
          <w:sz w:val="16"/>
          <w:szCs w:val="16"/>
          <w:lang w:val="es-ES_tradnl"/>
        </w:rPr>
        <w:t>(</w:t>
      </w:r>
      <w:r>
        <w:rPr>
          <w:rFonts w:cs="Times New Roman"/>
          <w:spacing w:val="-1"/>
          <w:sz w:val="16"/>
          <w:szCs w:val="16"/>
          <w:lang w:val="es-ES_tradnl"/>
        </w:rPr>
        <w:t>…</w:t>
      </w:r>
      <w:r>
        <w:rPr>
          <w:spacing w:val="-1"/>
          <w:sz w:val="16"/>
          <w:szCs w:val="16"/>
          <w:lang w:val="es-ES_tradnl"/>
        </w:rPr>
        <w:t xml:space="preserve">) el Art. 86 numeral 3 de la CRE, en concordancia con el Art. 16, </w:t>
      </w:r>
      <w:r>
        <w:rPr>
          <w:rFonts w:cs="Times New Roman"/>
          <w:spacing w:val="-1"/>
          <w:sz w:val="16"/>
          <w:szCs w:val="16"/>
          <w:lang w:val="es-ES_tradnl"/>
        </w:rPr>
        <w:t>ú</w:t>
      </w:r>
      <w:r>
        <w:rPr>
          <w:spacing w:val="-1"/>
          <w:sz w:val="16"/>
          <w:szCs w:val="16"/>
          <w:lang w:val="es-ES_tradnl"/>
        </w:rPr>
        <w:t>ltima consideraci</w:t>
      </w:r>
      <w:r>
        <w:rPr>
          <w:rFonts w:cs="Times New Roman"/>
          <w:spacing w:val="-1"/>
          <w:sz w:val="16"/>
          <w:szCs w:val="16"/>
          <w:lang w:val="es-ES_tradnl"/>
        </w:rPr>
        <w:t>ó</w:t>
      </w:r>
      <w:r>
        <w:rPr>
          <w:spacing w:val="-1"/>
          <w:sz w:val="16"/>
          <w:szCs w:val="16"/>
          <w:lang w:val="es-ES_tradnl"/>
        </w:rPr>
        <w:t xml:space="preserve">n de la LOGJCC, establece </w:t>
      </w:r>
      <w:r>
        <w:rPr>
          <w:spacing w:val="-5"/>
          <w:sz w:val="16"/>
          <w:szCs w:val="16"/>
          <w:lang w:val="es-ES_tradnl"/>
        </w:rPr>
        <w:t xml:space="preserve">el principio de certeza, el mismo que se contrae a presumir </w:t>
      </w:r>
      <w:r>
        <w:rPr>
          <w:spacing w:val="-7"/>
          <w:sz w:val="16"/>
          <w:szCs w:val="16"/>
          <w:lang w:val="es-ES_tradnl"/>
        </w:rPr>
        <w:t xml:space="preserve">ciertos todos los hechos que se manifiestan en la demanda </w:t>
      </w:r>
      <w:r>
        <w:rPr>
          <w:spacing w:val="-8"/>
          <w:sz w:val="16"/>
          <w:szCs w:val="16"/>
          <w:lang w:val="es-ES_tradnl"/>
        </w:rPr>
        <w:t>cuando la entidad p</w:t>
      </w:r>
      <w:r>
        <w:rPr>
          <w:rFonts w:cs="Times New Roman"/>
          <w:spacing w:val="-8"/>
          <w:sz w:val="16"/>
          <w:szCs w:val="16"/>
          <w:lang w:val="es-ES_tradnl"/>
        </w:rPr>
        <w:t>ú</w:t>
      </w:r>
      <w:r>
        <w:rPr>
          <w:spacing w:val="-8"/>
          <w:sz w:val="16"/>
          <w:szCs w:val="16"/>
          <w:lang w:val="es-ES_tradnl"/>
        </w:rPr>
        <w:t xml:space="preserve">blica accionada no demuestre lo contrario, </w:t>
      </w:r>
      <w:r>
        <w:rPr>
          <w:spacing w:val="-7"/>
          <w:sz w:val="16"/>
          <w:szCs w:val="16"/>
          <w:lang w:val="es-ES_tradnl"/>
        </w:rPr>
        <w:t>o no suministre la informaci</w:t>
      </w:r>
      <w:r>
        <w:rPr>
          <w:rFonts w:cs="Times New Roman"/>
          <w:spacing w:val="-7"/>
          <w:sz w:val="16"/>
          <w:szCs w:val="16"/>
          <w:lang w:val="es-ES_tradnl"/>
        </w:rPr>
        <w:t>ó</w:t>
      </w:r>
      <w:r>
        <w:rPr>
          <w:spacing w:val="-7"/>
          <w:sz w:val="16"/>
          <w:szCs w:val="16"/>
          <w:lang w:val="es-ES_tradnl"/>
        </w:rPr>
        <w:t xml:space="preserve">n solicitada, siempre que de otros </w:t>
      </w:r>
      <w:r>
        <w:rPr>
          <w:spacing w:val="-6"/>
          <w:sz w:val="16"/>
          <w:szCs w:val="16"/>
          <w:lang w:val="es-ES_tradnl"/>
        </w:rPr>
        <w:t>elementos de convicci</w:t>
      </w:r>
      <w:r>
        <w:rPr>
          <w:rFonts w:cs="Times New Roman"/>
          <w:spacing w:val="-6"/>
          <w:sz w:val="16"/>
          <w:szCs w:val="16"/>
          <w:lang w:val="es-ES_tradnl"/>
        </w:rPr>
        <w:t>ó</w:t>
      </w:r>
      <w:r>
        <w:rPr>
          <w:spacing w:val="-6"/>
          <w:sz w:val="16"/>
          <w:szCs w:val="16"/>
          <w:lang w:val="es-ES_tradnl"/>
        </w:rPr>
        <w:t>n no resulte una conclusi</w:t>
      </w:r>
      <w:r>
        <w:rPr>
          <w:rFonts w:cs="Times New Roman"/>
          <w:spacing w:val="-6"/>
          <w:sz w:val="16"/>
          <w:szCs w:val="16"/>
          <w:lang w:val="es-ES_tradnl"/>
        </w:rPr>
        <w:t>ó</w:t>
      </w:r>
      <w:r>
        <w:rPr>
          <w:spacing w:val="-6"/>
          <w:sz w:val="16"/>
          <w:szCs w:val="16"/>
          <w:lang w:val="es-ES_tradnl"/>
        </w:rPr>
        <w:t xml:space="preserve">n contraria; </w:t>
      </w:r>
      <w:r>
        <w:rPr>
          <w:spacing w:val="-5"/>
          <w:sz w:val="16"/>
          <w:szCs w:val="16"/>
          <w:lang w:val="es-ES_tradnl"/>
        </w:rPr>
        <w:t>principio constitucional que es plenamente aplicable en la presente causa por cuanto ni la Procuradur</w:t>
      </w:r>
      <w:r>
        <w:rPr>
          <w:rFonts w:cs="Times New Roman"/>
          <w:spacing w:val="-5"/>
          <w:sz w:val="16"/>
          <w:szCs w:val="16"/>
          <w:lang w:val="es-ES_tradnl"/>
        </w:rPr>
        <w:t>í</w:t>
      </w:r>
      <w:r>
        <w:rPr>
          <w:spacing w:val="-5"/>
          <w:sz w:val="16"/>
          <w:szCs w:val="16"/>
          <w:lang w:val="es-ES_tradnl"/>
        </w:rPr>
        <w:t>a General del Estado, ni la instituci</w:t>
      </w:r>
      <w:r>
        <w:rPr>
          <w:rFonts w:cs="Times New Roman"/>
          <w:spacing w:val="-5"/>
          <w:sz w:val="16"/>
          <w:szCs w:val="16"/>
          <w:lang w:val="es-ES_tradnl"/>
        </w:rPr>
        <w:t>ó</w:t>
      </w:r>
      <w:r>
        <w:rPr>
          <w:spacing w:val="-5"/>
          <w:sz w:val="16"/>
          <w:szCs w:val="16"/>
          <w:lang w:val="es-ES_tradnl"/>
        </w:rPr>
        <w:t xml:space="preserve">n demandada Armada del Ecuador en su calidad de legitimada pasiva, comparecieron refutando y </w:t>
      </w:r>
      <w:r>
        <w:rPr>
          <w:spacing w:val="-7"/>
          <w:sz w:val="16"/>
          <w:szCs w:val="16"/>
          <w:lang w:val="es-ES_tradnl"/>
        </w:rPr>
        <w:t xml:space="preserve">principalmente demostrando que son falsos e improcedentes </w:t>
      </w:r>
      <w:r>
        <w:rPr>
          <w:spacing w:val="-8"/>
          <w:sz w:val="16"/>
          <w:szCs w:val="16"/>
          <w:lang w:val="es-ES_tradnl"/>
        </w:rPr>
        <w:t xml:space="preserve">los fundamentos expuestos por el accionante en su demanda </w:t>
      </w:r>
      <w:r>
        <w:rPr>
          <w:spacing w:val="-7"/>
          <w:sz w:val="16"/>
          <w:szCs w:val="16"/>
          <w:lang w:val="es-ES_tradnl"/>
        </w:rPr>
        <w:t>(</w:t>
      </w:r>
      <w:r>
        <w:rPr>
          <w:rFonts w:cs="Times New Roman"/>
          <w:spacing w:val="-7"/>
          <w:sz w:val="16"/>
          <w:szCs w:val="16"/>
          <w:lang w:val="es-ES_tradnl"/>
        </w:rPr>
        <w:t>…</w:t>
      </w:r>
      <w:r>
        <w:rPr>
          <w:spacing w:val="-7"/>
          <w:sz w:val="16"/>
          <w:szCs w:val="16"/>
          <w:lang w:val="es-ES_tradnl"/>
        </w:rPr>
        <w:t xml:space="preserve">). En los antecedentes relatados por el accionante, y de las </w:t>
      </w:r>
      <w:r>
        <w:rPr>
          <w:spacing w:val="-9"/>
          <w:sz w:val="16"/>
          <w:szCs w:val="16"/>
          <w:lang w:val="es-ES_tradnl"/>
        </w:rPr>
        <w:t xml:space="preserve">actuaciones judiciales que anteceden se ha logrado demostrar </w:t>
      </w:r>
      <w:r>
        <w:rPr>
          <w:spacing w:val="-8"/>
          <w:sz w:val="16"/>
          <w:szCs w:val="16"/>
          <w:lang w:val="es-ES_tradnl"/>
        </w:rPr>
        <w:t xml:space="preserve">que la baja impuesta al legitimado activo, carece fundamentos </w:t>
      </w:r>
      <w:r>
        <w:rPr>
          <w:spacing w:val="-7"/>
          <w:sz w:val="16"/>
          <w:szCs w:val="16"/>
          <w:lang w:val="es-ES_tradnl"/>
        </w:rPr>
        <w:t>legales v</w:t>
      </w:r>
      <w:r>
        <w:rPr>
          <w:rFonts w:cs="Times New Roman"/>
          <w:spacing w:val="-7"/>
          <w:sz w:val="16"/>
          <w:szCs w:val="16"/>
          <w:lang w:val="es-ES_tradnl"/>
        </w:rPr>
        <w:t>á</w:t>
      </w:r>
      <w:r>
        <w:rPr>
          <w:spacing w:val="-7"/>
          <w:sz w:val="16"/>
          <w:szCs w:val="16"/>
          <w:lang w:val="es-ES_tradnl"/>
        </w:rPr>
        <w:t>lidos, as</w:t>
      </w:r>
      <w:r>
        <w:rPr>
          <w:rFonts w:cs="Times New Roman"/>
          <w:spacing w:val="-7"/>
          <w:sz w:val="16"/>
          <w:szCs w:val="16"/>
          <w:lang w:val="es-ES_tradnl"/>
        </w:rPr>
        <w:t>í</w:t>
      </w:r>
      <w:r>
        <w:rPr>
          <w:spacing w:val="-7"/>
          <w:sz w:val="16"/>
          <w:szCs w:val="16"/>
          <w:lang w:val="es-ES_tradnl"/>
        </w:rPr>
        <w:t xml:space="preserve"> como tambi</w:t>
      </w:r>
      <w:r>
        <w:rPr>
          <w:rFonts w:cs="Times New Roman"/>
          <w:spacing w:val="-7"/>
          <w:sz w:val="16"/>
          <w:szCs w:val="16"/>
          <w:lang w:val="es-ES_tradnl"/>
        </w:rPr>
        <w:t>é</w:t>
      </w:r>
      <w:r>
        <w:rPr>
          <w:spacing w:val="-7"/>
          <w:sz w:val="16"/>
          <w:szCs w:val="16"/>
          <w:lang w:val="es-ES_tradnl"/>
        </w:rPr>
        <w:t xml:space="preserve">n, se ha demostrado que la </w:t>
      </w:r>
      <w:r>
        <w:rPr>
          <w:spacing w:val="-5"/>
          <w:sz w:val="16"/>
          <w:szCs w:val="16"/>
          <w:lang w:val="es-ES_tradnl"/>
        </w:rPr>
        <w:t xml:space="preserve">misma no cumple los requisitos exigidos en la Ley que en </w:t>
      </w:r>
      <w:r>
        <w:rPr>
          <w:spacing w:val="-8"/>
          <w:sz w:val="16"/>
          <w:szCs w:val="16"/>
          <w:lang w:val="es-ES_tradnl"/>
        </w:rPr>
        <w:t xml:space="preserve">aquella </w:t>
      </w:r>
      <w:r>
        <w:rPr>
          <w:rFonts w:cs="Times New Roman"/>
          <w:spacing w:val="-8"/>
          <w:sz w:val="16"/>
          <w:szCs w:val="16"/>
          <w:lang w:val="es-ES_tradnl"/>
        </w:rPr>
        <w:t>é</w:t>
      </w:r>
      <w:r>
        <w:rPr>
          <w:spacing w:val="-8"/>
          <w:sz w:val="16"/>
          <w:szCs w:val="16"/>
          <w:lang w:val="es-ES_tradnl"/>
        </w:rPr>
        <w:t>poca reg</w:t>
      </w:r>
      <w:r>
        <w:rPr>
          <w:rFonts w:cs="Times New Roman"/>
          <w:spacing w:val="-8"/>
          <w:sz w:val="16"/>
          <w:szCs w:val="16"/>
          <w:lang w:val="es-ES_tradnl"/>
        </w:rPr>
        <w:t>í</w:t>
      </w:r>
      <w:r>
        <w:rPr>
          <w:spacing w:val="-8"/>
          <w:sz w:val="16"/>
          <w:szCs w:val="16"/>
          <w:lang w:val="es-ES_tradnl"/>
        </w:rPr>
        <w:t>a a las fuerzas armadas (</w:t>
      </w:r>
      <w:r>
        <w:rPr>
          <w:rFonts w:cs="Times New Roman"/>
          <w:spacing w:val="-8"/>
          <w:sz w:val="16"/>
          <w:szCs w:val="16"/>
          <w:lang w:val="es-ES_tradnl"/>
        </w:rPr>
        <w:t>…</w:t>
      </w:r>
      <w:r>
        <w:rPr>
          <w:spacing w:val="-8"/>
          <w:sz w:val="16"/>
          <w:szCs w:val="16"/>
          <w:lang w:val="es-ES_tradnl"/>
        </w:rPr>
        <w:t>).</w:t>
      </w:r>
    </w:p>
    <w:p w14:paraId="4F67AD7F" w14:textId="77777777" w:rsidR="00591D54" w:rsidRDefault="00591D54">
      <w:pPr>
        <w:shd w:val="clear" w:color="auto" w:fill="FFFFFF"/>
        <w:spacing w:before="202" w:line="216" w:lineRule="exact"/>
        <w:jc w:val="both"/>
      </w:pPr>
      <w:r>
        <w:rPr>
          <w:spacing w:val="-1"/>
          <w:sz w:val="18"/>
          <w:szCs w:val="18"/>
          <w:lang w:val="es-ES_tradnl"/>
        </w:rPr>
        <w:t xml:space="preserve">Por lo expuesto, es imprescindible para la Corte </w:t>
      </w:r>
      <w:r>
        <w:rPr>
          <w:spacing w:val="-5"/>
          <w:sz w:val="18"/>
          <w:szCs w:val="18"/>
          <w:lang w:val="es-ES_tradnl"/>
        </w:rPr>
        <w:t>Constitucional verificar si en el caso sub j</w:t>
      </w:r>
      <w:r>
        <w:rPr>
          <w:rFonts w:cs="Times New Roman"/>
          <w:spacing w:val="-5"/>
          <w:sz w:val="18"/>
          <w:szCs w:val="18"/>
          <w:lang w:val="es-ES_tradnl"/>
        </w:rPr>
        <w:t>ú</w:t>
      </w:r>
      <w:r>
        <w:rPr>
          <w:spacing w:val="-5"/>
          <w:sz w:val="18"/>
          <w:szCs w:val="18"/>
          <w:lang w:val="es-ES_tradnl"/>
        </w:rPr>
        <w:t xml:space="preserve">dice, se ha cumplido con los principales componentes de la tutela </w:t>
      </w:r>
      <w:r>
        <w:rPr>
          <w:spacing w:val="-7"/>
          <w:sz w:val="18"/>
          <w:szCs w:val="18"/>
          <w:lang w:val="es-ES_tradnl"/>
        </w:rPr>
        <w:t>judicial efectiva o no, para determinar si existe vulneraci</w:t>
      </w:r>
      <w:r>
        <w:rPr>
          <w:rFonts w:cs="Times New Roman"/>
          <w:spacing w:val="-7"/>
          <w:sz w:val="18"/>
          <w:szCs w:val="18"/>
          <w:lang w:val="es-ES_tradnl"/>
        </w:rPr>
        <w:t>ó</w:t>
      </w:r>
      <w:r>
        <w:rPr>
          <w:spacing w:val="-7"/>
          <w:sz w:val="18"/>
          <w:szCs w:val="18"/>
          <w:lang w:val="es-ES_tradnl"/>
        </w:rPr>
        <w:t xml:space="preserve">n </w:t>
      </w:r>
      <w:r>
        <w:rPr>
          <w:sz w:val="18"/>
          <w:szCs w:val="18"/>
          <w:lang w:val="es-ES_tradnl"/>
        </w:rPr>
        <w:t>del derecho se</w:t>
      </w:r>
      <w:r>
        <w:rPr>
          <w:rFonts w:cs="Times New Roman"/>
          <w:sz w:val="18"/>
          <w:szCs w:val="18"/>
          <w:lang w:val="es-ES_tradnl"/>
        </w:rPr>
        <w:t>ñ</w:t>
      </w:r>
      <w:r>
        <w:rPr>
          <w:sz w:val="18"/>
          <w:szCs w:val="18"/>
          <w:lang w:val="es-ES_tradnl"/>
        </w:rPr>
        <w:t>alado.</w:t>
      </w:r>
    </w:p>
    <w:p w14:paraId="4F67AD80" w14:textId="77777777" w:rsidR="00591D54" w:rsidRDefault="00591D54" w:rsidP="00251195">
      <w:pPr>
        <w:numPr>
          <w:ilvl w:val="0"/>
          <w:numId w:val="63"/>
        </w:numPr>
        <w:shd w:val="clear" w:color="auto" w:fill="FFFFFF"/>
        <w:tabs>
          <w:tab w:val="left" w:pos="202"/>
        </w:tabs>
        <w:spacing w:before="192" w:line="216" w:lineRule="exact"/>
        <w:jc w:val="both"/>
        <w:rPr>
          <w:spacing w:val="-11"/>
          <w:sz w:val="18"/>
          <w:szCs w:val="18"/>
          <w:lang w:val="es-ES_tradnl"/>
        </w:rPr>
      </w:pPr>
      <w:r>
        <w:rPr>
          <w:spacing w:val="-7"/>
          <w:sz w:val="18"/>
          <w:szCs w:val="18"/>
          <w:lang w:val="es-ES_tradnl"/>
        </w:rPr>
        <w:t xml:space="preserve">En cuanto al elemento de acceso al sistema de justicia: </w:t>
      </w:r>
      <w:r>
        <w:rPr>
          <w:spacing w:val="-10"/>
          <w:sz w:val="18"/>
          <w:szCs w:val="18"/>
          <w:lang w:val="es-ES_tradnl"/>
        </w:rPr>
        <w:t xml:space="preserve">de lo planteado, se puede tener certeza que este acceso fue </w:t>
      </w:r>
      <w:r>
        <w:rPr>
          <w:spacing w:val="-9"/>
          <w:sz w:val="18"/>
          <w:szCs w:val="18"/>
          <w:lang w:val="es-ES_tradnl"/>
        </w:rPr>
        <w:t xml:space="preserve">garantizado adecuadamente a favor de la Armada Nacional </w:t>
      </w:r>
      <w:r>
        <w:rPr>
          <w:spacing w:val="-7"/>
          <w:sz w:val="18"/>
          <w:szCs w:val="18"/>
          <w:lang w:val="es-ES_tradnl"/>
        </w:rPr>
        <w:t>y de la Procuradur</w:t>
      </w:r>
      <w:r>
        <w:rPr>
          <w:rFonts w:cs="Times New Roman"/>
          <w:spacing w:val="-7"/>
          <w:sz w:val="18"/>
          <w:szCs w:val="18"/>
          <w:lang w:val="es-ES_tradnl"/>
        </w:rPr>
        <w:t>í</w:t>
      </w:r>
      <w:r>
        <w:rPr>
          <w:spacing w:val="-7"/>
          <w:sz w:val="18"/>
          <w:szCs w:val="18"/>
          <w:lang w:val="es-ES_tradnl"/>
        </w:rPr>
        <w:t xml:space="preserve">a General del Estado, ya que dichas </w:t>
      </w:r>
      <w:r>
        <w:rPr>
          <w:spacing w:val="-12"/>
          <w:sz w:val="18"/>
          <w:szCs w:val="18"/>
          <w:lang w:val="es-ES_tradnl"/>
        </w:rPr>
        <w:t xml:space="preserve">instituciones, luego de haber sido notificadas adecuadamente </w:t>
      </w:r>
      <w:r>
        <w:rPr>
          <w:spacing w:val="-11"/>
          <w:sz w:val="18"/>
          <w:szCs w:val="18"/>
          <w:lang w:val="es-ES_tradnl"/>
        </w:rPr>
        <w:t xml:space="preserve">con la demanda, tuvieron la oportunidad de comparecer ante </w:t>
      </w:r>
      <w:r>
        <w:rPr>
          <w:spacing w:val="-7"/>
          <w:sz w:val="18"/>
          <w:szCs w:val="18"/>
          <w:lang w:val="es-ES_tradnl"/>
        </w:rPr>
        <w:t xml:space="preserve">la autoridad judicial, tal como efectivamente lo hicieron. De </w:t>
      </w:r>
      <w:r>
        <w:rPr>
          <w:spacing w:val="-8"/>
          <w:sz w:val="18"/>
          <w:szCs w:val="18"/>
          <w:lang w:val="es-ES_tradnl"/>
        </w:rPr>
        <w:t xml:space="preserve">igual manera, no les fue impedido su derecho de oponerse </w:t>
      </w:r>
      <w:r>
        <w:rPr>
          <w:spacing w:val="-7"/>
          <w:sz w:val="18"/>
          <w:szCs w:val="18"/>
          <w:lang w:val="es-ES_tradnl"/>
        </w:rPr>
        <w:t>a la resoluci</w:t>
      </w:r>
      <w:r>
        <w:rPr>
          <w:rFonts w:cs="Times New Roman"/>
          <w:spacing w:val="-7"/>
          <w:sz w:val="18"/>
          <w:szCs w:val="18"/>
          <w:lang w:val="es-ES_tradnl"/>
        </w:rPr>
        <w:t>ó</w:t>
      </w:r>
      <w:r>
        <w:rPr>
          <w:spacing w:val="-7"/>
          <w:sz w:val="18"/>
          <w:szCs w:val="18"/>
          <w:lang w:val="es-ES_tradnl"/>
        </w:rPr>
        <w:t>n expedida en primera instancia y por ende, gozar de la garant</w:t>
      </w:r>
      <w:r>
        <w:rPr>
          <w:rFonts w:cs="Times New Roman"/>
          <w:spacing w:val="-7"/>
          <w:sz w:val="18"/>
          <w:szCs w:val="18"/>
          <w:lang w:val="es-ES_tradnl"/>
        </w:rPr>
        <w:t>í</w:t>
      </w:r>
      <w:r>
        <w:rPr>
          <w:spacing w:val="-7"/>
          <w:sz w:val="18"/>
          <w:szCs w:val="18"/>
          <w:lang w:val="es-ES_tradnl"/>
        </w:rPr>
        <w:t>a de presentar el recurso de apelaci</w:t>
      </w:r>
      <w:r>
        <w:rPr>
          <w:rFonts w:cs="Times New Roman"/>
          <w:spacing w:val="-7"/>
          <w:sz w:val="18"/>
          <w:szCs w:val="18"/>
          <w:lang w:val="es-ES_tradnl"/>
        </w:rPr>
        <w:t>ó</w:t>
      </w:r>
      <w:r>
        <w:rPr>
          <w:spacing w:val="-7"/>
          <w:sz w:val="18"/>
          <w:szCs w:val="18"/>
          <w:lang w:val="es-ES_tradnl"/>
        </w:rPr>
        <w:t>n ante la Corte Provincial de Justicia del Guayas.</w:t>
      </w:r>
    </w:p>
    <w:p w14:paraId="4F67AD81" w14:textId="77777777" w:rsidR="00591D54" w:rsidRDefault="00591D54" w:rsidP="00251195">
      <w:pPr>
        <w:numPr>
          <w:ilvl w:val="0"/>
          <w:numId w:val="63"/>
        </w:numPr>
        <w:shd w:val="clear" w:color="auto" w:fill="FFFFFF"/>
        <w:tabs>
          <w:tab w:val="left" w:pos="202"/>
        </w:tabs>
        <w:spacing w:before="192" w:line="216" w:lineRule="exact"/>
        <w:jc w:val="both"/>
        <w:rPr>
          <w:spacing w:val="-7"/>
          <w:sz w:val="18"/>
          <w:szCs w:val="18"/>
          <w:lang w:val="es-ES_tradnl"/>
        </w:rPr>
      </w:pPr>
      <w:r>
        <w:rPr>
          <w:spacing w:val="-7"/>
          <w:sz w:val="18"/>
          <w:szCs w:val="18"/>
          <w:lang w:val="es-ES_tradnl"/>
        </w:rPr>
        <w:t>Ejercicio del derecho a la defensa: conforme el an</w:t>
      </w:r>
      <w:r>
        <w:rPr>
          <w:rFonts w:cs="Times New Roman"/>
          <w:spacing w:val="-7"/>
          <w:sz w:val="18"/>
          <w:szCs w:val="18"/>
          <w:lang w:val="es-ES_tradnl"/>
        </w:rPr>
        <w:t>á</w:t>
      </w:r>
      <w:r>
        <w:rPr>
          <w:spacing w:val="-7"/>
          <w:sz w:val="18"/>
          <w:szCs w:val="18"/>
          <w:lang w:val="es-ES_tradnl"/>
        </w:rPr>
        <w:t xml:space="preserve">lisis </w:t>
      </w:r>
      <w:r>
        <w:rPr>
          <w:spacing w:val="-5"/>
          <w:sz w:val="18"/>
          <w:szCs w:val="18"/>
          <w:lang w:val="es-ES_tradnl"/>
        </w:rPr>
        <w:t>realizado, se puede notar que la instituci</w:t>
      </w:r>
      <w:r>
        <w:rPr>
          <w:rFonts w:cs="Times New Roman"/>
          <w:spacing w:val="-5"/>
          <w:sz w:val="18"/>
          <w:szCs w:val="18"/>
          <w:lang w:val="es-ES_tradnl"/>
        </w:rPr>
        <w:t>ó</w:t>
      </w:r>
      <w:r>
        <w:rPr>
          <w:spacing w:val="-5"/>
          <w:sz w:val="18"/>
          <w:szCs w:val="18"/>
          <w:lang w:val="es-ES_tradnl"/>
        </w:rPr>
        <w:t xml:space="preserve">n demandada </w:t>
      </w:r>
      <w:r>
        <w:rPr>
          <w:spacing w:val="-8"/>
          <w:sz w:val="18"/>
          <w:szCs w:val="18"/>
          <w:lang w:val="es-ES_tradnl"/>
        </w:rPr>
        <w:t xml:space="preserve">pudo ejercer plenamente este derecho, ya que en primera </w:t>
      </w:r>
      <w:r>
        <w:rPr>
          <w:spacing w:val="-6"/>
          <w:sz w:val="18"/>
          <w:szCs w:val="18"/>
          <w:lang w:val="es-ES_tradnl"/>
        </w:rPr>
        <w:t>instancia present</w:t>
      </w:r>
      <w:r>
        <w:rPr>
          <w:rFonts w:cs="Times New Roman"/>
          <w:spacing w:val="-6"/>
          <w:sz w:val="18"/>
          <w:szCs w:val="18"/>
          <w:lang w:val="es-ES_tradnl"/>
        </w:rPr>
        <w:t>ó</w:t>
      </w:r>
      <w:r>
        <w:rPr>
          <w:spacing w:val="-6"/>
          <w:sz w:val="18"/>
          <w:szCs w:val="18"/>
          <w:lang w:val="es-ES_tradnl"/>
        </w:rPr>
        <w:t xml:space="preserve"> un escrito solicitando el diferimiento de </w:t>
      </w:r>
      <w:r>
        <w:rPr>
          <w:spacing w:val="-8"/>
          <w:sz w:val="18"/>
          <w:szCs w:val="18"/>
          <w:lang w:val="es-ES_tradnl"/>
        </w:rPr>
        <w:t>la fecha establecida para llevar a cabo la audiencia p</w:t>
      </w:r>
      <w:r>
        <w:rPr>
          <w:rFonts w:cs="Times New Roman"/>
          <w:spacing w:val="-8"/>
          <w:sz w:val="18"/>
          <w:szCs w:val="18"/>
          <w:lang w:val="es-ES_tradnl"/>
        </w:rPr>
        <w:t>ú</w:t>
      </w:r>
      <w:r>
        <w:rPr>
          <w:spacing w:val="-8"/>
          <w:sz w:val="18"/>
          <w:szCs w:val="18"/>
          <w:lang w:val="es-ES_tradnl"/>
        </w:rPr>
        <w:t xml:space="preserve">blica, </w:t>
      </w:r>
      <w:r>
        <w:rPr>
          <w:spacing w:val="-5"/>
          <w:sz w:val="18"/>
          <w:szCs w:val="18"/>
          <w:lang w:val="es-ES_tradnl"/>
        </w:rPr>
        <w:t>mismo que fue concedido por la jueza, a fin de dotarles,</w:t>
      </w:r>
    </w:p>
    <w:p w14:paraId="4F67AD82" w14:textId="77777777" w:rsidR="00591D54" w:rsidRDefault="00591D54" w:rsidP="00251195">
      <w:pPr>
        <w:numPr>
          <w:ilvl w:val="0"/>
          <w:numId w:val="63"/>
        </w:numPr>
        <w:shd w:val="clear" w:color="auto" w:fill="FFFFFF"/>
        <w:tabs>
          <w:tab w:val="left" w:pos="202"/>
        </w:tabs>
        <w:spacing w:before="192" w:line="216" w:lineRule="exact"/>
        <w:jc w:val="both"/>
        <w:rPr>
          <w:spacing w:val="-7"/>
          <w:sz w:val="18"/>
          <w:szCs w:val="18"/>
          <w:lang w:val="es-ES_tradnl"/>
        </w:rPr>
        <w:sectPr w:rsidR="00591D54">
          <w:type w:val="continuous"/>
          <w:pgSz w:w="11909" w:h="16834"/>
          <w:pgMar w:top="1356" w:right="1309" w:bottom="360" w:left="1308" w:header="720" w:footer="720" w:gutter="0"/>
          <w:cols w:num="2" w:space="720" w:equalWidth="0">
            <w:col w:w="4305" w:space="682"/>
            <w:col w:w="4305"/>
          </w:cols>
          <w:noEndnote/>
        </w:sectPr>
      </w:pPr>
    </w:p>
    <w:p w14:paraId="4F67AD83" w14:textId="77777777" w:rsidR="00591D54" w:rsidRDefault="00591D54">
      <w:pPr>
        <w:shd w:val="clear" w:color="auto" w:fill="FFFFFF"/>
        <w:tabs>
          <w:tab w:val="left" w:pos="5842"/>
        </w:tabs>
        <w:spacing w:after="226"/>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- 123</w:t>
      </w:r>
    </w:p>
    <w:p w14:paraId="4F67AD84" w14:textId="77777777" w:rsidR="00591D54" w:rsidRDefault="00591D54">
      <w:pPr>
        <w:shd w:val="clear" w:color="auto" w:fill="FFFFFF"/>
        <w:tabs>
          <w:tab w:val="left" w:pos="5842"/>
        </w:tabs>
        <w:spacing w:after="226"/>
        <w:ind w:left="5"/>
        <w:sectPr w:rsidR="00591D54">
          <w:pgSz w:w="11909" w:h="16834"/>
          <w:pgMar w:top="1363" w:right="1309" w:bottom="360" w:left="1308" w:header="720" w:footer="720" w:gutter="0"/>
          <w:cols w:space="60"/>
          <w:noEndnote/>
        </w:sectPr>
      </w:pPr>
    </w:p>
    <w:p w14:paraId="4F67AD85" w14:textId="77777777" w:rsidR="00591D54" w:rsidRDefault="00591D54">
      <w:pPr>
        <w:shd w:val="clear" w:color="auto" w:fill="FFFFFF"/>
        <w:spacing w:before="10" w:line="216" w:lineRule="exact"/>
        <w:jc w:val="both"/>
      </w:pPr>
      <w:r>
        <w:rPr>
          <w:spacing w:val="-4"/>
          <w:sz w:val="18"/>
          <w:szCs w:val="18"/>
          <w:lang w:val="es-ES_tradnl"/>
        </w:rPr>
        <w:t xml:space="preserve">tal como efectivamente lo solicitaron, de mayor tiempo </w:t>
      </w:r>
      <w:r>
        <w:rPr>
          <w:spacing w:val="-10"/>
          <w:sz w:val="18"/>
          <w:szCs w:val="18"/>
          <w:lang w:val="es-ES_tradnl"/>
        </w:rPr>
        <w:t xml:space="preserve">para poder estructurar su defensa tendiente a desestimar las </w:t>
      </w:r>
      <w:r>
        <w:rPr>
          <w:spacing w:val="-8"/>
          <w:sz w:val="18"/>
          <w:szCs w:val="18"/>
          <w:lang w:val="es-ES_tradnl"/>
        </w:rPr>
        <w:t>pretensiones de la parte accionante. Sin embargo, en el d</w:t>
      </w:r>
      <w:r>
        <w:rPr>
          <w:rFonts w:cs="Times New Roman"/>
          <w:spacing w:val="-8"/>
          <w:sz w:val="18"/>
          <w:szCs w:val="18"/>
          <w:lang w:val="es-ES_tradnl"/>
        </w:rPr>
        <w:t>í</w:t>
      </w:r>
      <w:r>
        <w:rPr>
          <w:spacing w:val="-8"/>
          <w:sz w:val="18"/>
          <w:szCs w:val="18"/>
          <w:lang w:val="es-ES_tradnl"/>
        </w:rPr>
        <w:t>a y hora se</w:t>
      </w:r>
      <w:r>
        <w:rPr>
          <w:rFonts w:cs="Times New Roman"/>
          <w:spacing w:val="-8"/>
          <w:sz w:val="18"/>
          <w:szCs w:val="18"/>
          <w:lang w:val="es-ES_tradnl"/>
        </w:rPr>
        <w:t>ñ</w:t>
      </w:r>
      <w:r>
        <w:rPr>
          <w:spacing w:val="-8"/>
          <w:sz w:val="18"/>
          <w:szCs w:val="18"/>
          <w:lang w:val="es-ES_tradnl"/>
        </w:rPr>
        <w:t xml:space="preserve">alados no comparecieron a la audiencia sin que </w:t>
      </w:r>
      <w:r>
        <w:rPr>
          <w:spacing w:val="-10"/>
          <w:sz w:val="18"/>
          <w:szCs w:val="18"/>
          <w:lang w:val="es-ES_tradnl"/>
        </w:rPr>
        <w:t>haya mediado una justificaci</w:t>
      </w:r>
      <w:r>
        <w:rPr>
          <w:rFonts w:cs="Times New Roman"/>
          <w:spacing w:val="-10"/>
          <w:sz w:val="18"/>
          <w:szCs w:val="18"/>
          <w:lang w:val="es-ES_tradnl"/>
        </w:rPr>
        <w:t>ó</w:t>
      </w:r>
      <w:r>
        <w:rPr>
          <w:spacing w:val="-10"/>
          <w:sz w:val="18"/>
          <w:szCs w:val="18"/>
          <w:lang w:val="es-ES_tradnl"/>
        </w:rPr>
        <w:t xml:space="preserve">n apropiada. De igual manera, los recaudos procesales permiten evidenciar que de acuerdo </w:t>
      </w:r>
      <w:r>
        <w:rPr>
          <w:spacing w:val="-6"/>
          <w:sz w:val="18"/>
          <w:szCs w:val="18"/>
          <w:lang w:val="es-ES_tradnl"/>
        </w:rPr>
        <w:t>a lo establecido en el art</w:t>
      </w:r>
      <w:r>
        <w:rPr>
          <w:rFonts w:cs="Times New Roman"/>
          <w:spacing w:val="-6"/>
          <w:sz w:val="18"/>
          <w:szCs w:val="18"/>
          <w:lang w:val="es-ES_tradnl"/>
        </w:rPr>
        <w:t>í</w:t>
      </w:r>
      <w:r>
        <w:rPr>
          <w:spacing w:val="-6"/>
          <w:sz w:val="18"/>
          <w:szCs w:val="18"/>
          <w:lang w:val="es-ES_tradnl"/>
        </w:rPr>
        <w:t>culo 24 de la Ley Org</w:t>
      </w:r>
      <w:r>
        <w:rPr>
          <w:rFonts w:cs="Times New Roman"/>
          <w:spacing w:val="-6"/>
          <w:sz w:val="18"/>
          <w:szCs w:val="18"/>
          <w:lang w:val="es-ES_tradnl"/>
        </w:rPr>
        <w:t>á</w:t>
      </w:r>
      <w:r>
        <w:rPr>
          <w:spacing w:val="-6"/>
          <w:sz w:val="18"/>
          <w:szCs w:val="18"/>
          <w:lang w:val="es-ES_tradnl"/>
        </w:rPr>
        <w:t xml:space="preserve">nica de </w:t>
      </w:r>
      <w:r>
        <w:rPr>
          <w:spacing w:val="-1"/>
          <w:sz w:val="18"/>
          <w:szCs w:val="18"/>
          <w:lang w:val="es-ES_tradnl"/>
        </w:rPr>
        <w:t>Garant</w:t>
      </w:r>
      <w:r>
        <w:rPr>
          <w:rFonts w:cs="Times New Roman"/>
          <w:spacing w:val="-1"/>
          <w:sz w:val="18"/>
          <w:szCs w:val="18"/>
          <w:lang w:val="es-ES_tradnl"/>
        </w:rPr>
        <w:t>í</w:t>
      </w:r>
      <w:r>
        <w:rPr>
          <w:spacing w:val="-1"/>
          <w:sz w:val="18"/>
          <w:szCs w:val="18"/>
          <w:lang w:val="es-ES_tradnl"/>
        </w:rPr>
        <w:t xml:space="preserve">as Jurisdiccionales y Control Constitucional, </w:t>
      </w:r>
      <w:r>
        <w:rPr>
          <w:spacing w:val="-5"/>
          <w:sz w:val="18"/>
          <w:szCs w:val="18"/>
          <w:lang w:val="es-ES_tradnl"/>
        </w:rPr>
        <w:t xml:space="preserve">dichas entidades contaron con la posibilidad de solicitar audiencia ante la segunda instancia, pero tampoco se </w:t>
      </w:r>
      <w:r>
        <w:rPr>
          <w:spacing w:val="-4"/>
          <w:sz w:val="18"/>
          <w:szCs w:val="18"/>
          <w:lang w:val="es-ES_tradnl"/>
        </w:rPr>
        <w:t xml:space="preserve">observa que hayan ejercido este derecho ni que hayan </w:t>
      </w:r>
      <w:r>
        <w:rPr>
          <w:spacing w:val="-3"/>
          <w:sz w:val="18"/>
          <w:szCs w:val="18"/>
          <w:lang w:val="es-ES_tradnl"/>
        </w:rPr>
        <w:t xml:space="preserve">sido impedidos de ejercerlo por la autoridad judicial. </w:t>
      </w:r>
      <w:r>
        <w:rPr>
          <w:spacing w:val="-9"/>
          <w:sz w:val="18"/>
          <w:szCs w:val="18"/>
          <w:lang w:val="es-ES_tradnl"/>
        </w:rPr>
        <w:t>Adem</w:t>
      </w:r>
      <w:r>
        <w:rPr>
          <w:rFonts w:cs="Times New Roman"/>
          <w:spacing w:val="-9"/>
          <w:sz w:val="18"/>
          <w:szCs w:val="18"/>
          <w:lang w:val="es-ES_tradnl"/>
        </w:rPr>
        <w:t>á</w:t>
      </w:r>
      <w:r>
        <w:rPr>
          <w:spacing w:val="-9"/>
          <w:sz w:val="18"/>
          <w:szCs w:val="18"/>
          <w:lang w:val="es-ES_tradnl"/>
        </w:rPr>
        <w:t>s, se ha podido evidenciar que en ambas instancias, adem</w:t>
      </w:r>
      <w:r>
        <w:rPr>
          <w:rFonts w:cs="Times New Roman"/>
          <w:spacing w:val="-9"/>
          <w:sz w:val="18"/>
          <w:szCs w:val="18"/>
          <w:lang w:val="es-ES_tradnl"/>
        </w:rPr>
        <w:t>á</w:t>
      </w:r>
      <w:r>
        <w:rPr>
          <w:spacing w:val="-9"/>
          <w:sz w:val="18"/>
          <w:szCs w:val="18"/>
          <w:lang w:val="es-ES_tradnl"/>
        </w:rPr>
        <w:t>s de la presentaci</w:t>
      </w:r>
      <w:r>
        <w:rPr>
          <w:rFonts w:cs="Times New Roman"/>
          <w:spacing w:val="-9"/>
          <w:sz w:val="18"/>
          <w:szCs w:val="18"/>
          <w:lang w:val="es-ES_tradnl"/>
        </w:rPr>
        <w:t>ó</w:t>
      </w:r>
      <w:r>
        <w:rPr>
          <w:spacing w:val="-9"/>
          <w:sz w:val="18"/>
          <w:szCs w:val="18"/>
          <w:lang w:val="es-ES_tradnl"/>
        </w:rPr>
        <w:t xml:space="preserve">n de sus respectivos escritos, no presentaron elementos probatorios que sirvan para generar </w:t>
      </w:r>
      <w:r>
        <w:rPr>
          <w:spacing w:val="-8"/>
          <w:sz w:val="18"/>
          <w:szCs w:val="18"/>
          <w:lang w:val="es-ES_tradnl"/>
        </w:rPr>
        <w:t>la convicci</w:t>
      </w:r>
      <w:r>
        <w:rPr>
          <w:rFonts w:cs="Times New Roman"/>
          <w:spacing w:val="-8"/>
          <w:sz w:val="18"/>
          <w:szCs w:val="18"/>
          <w:lang w:val="es-ES_tradnl"/>
        </w:rPr>
        <w:t>ó</w:t>
      </w:r>
      <w:r>
        <w:rPr>
          <w:spacing w:val="-8"/>
          <w:sz w:val="18"/>
          <w:szCs w:val="18"/>
          <w:lang w:val="es-ES_tradnl"/>
        </w:rPr>
        <w:t xml:space="preserve">n necesaria a los jueces competentes que no </w:t>
      </w:r>
      <w:r>
        <w:rPr>
          <w:spacing w:val="-9"/>
          <w:sz w:val="18"/>
          <w:szCs w:val="18"/>
          <w:lang w:val="es-ES_tradnl"/>
        </w:rPr>
        <w:t>existi</w:t>
      </w:r>
      <w:r>
        <w:rPr>
          <w:rFonts w:cs="Times New Roman"/>
          <w:spacing w:val="-9"/>
          <w:sz w:val="18"/>
          <w:szCs w:val="18"/>
          <w:lang w:val="es-ES_tradnl"/>
        </w:rPr>
        <w:t>ó</w:t>
      </w:r>
      <w:r>
        <w:rPr>
          <w:spacing w:val="-9"/>
          <w:sz w:val="18"/>
          <w:szCs w:val="18"/>
          <w:lang w:val="es-ES_tradnl"/>
        </w:rPr>
        <w:t xml:space="preserve"> vulneraci</w:t>
      </w:r>
      <w:r>
        <w:rPr>
          <w:rFonts w:cs="Times New Roman"/>
          <w:spacing w:val="-9"/>
          <w:sz w:val="18"/>
          <w:szCs w:val="18"/>
          <w:lang w:val="es-ES_tradnl"/>
        </w:rPr>
        <w:t>ó</w:t>
      </w:r>
      <w:r>
        <w:rPr>
          <w:spacing w:val="-9"/>
          <w:sz w:val="18"/>
          <w:szCs w:val="18"/>
          <w:lang w:val="es-ES_tradnl"/>
        </w:rPr>
        <w:t>n de derechos del se</w:t>
      </w:r>
      <w:r>
        <w:rPr>
          <w:rFonts w:cs="Times New Roman"/>
          <w:spacing w:val="-9"/>
          <w:sz w:val="18"/>
          <w:szCs w:val="18"/>
          <w:lang w:val="es-ES_tradnl"/>
        </w:rPr>
        <w:t>ñ</w:t>
      </w:r>
      <w:r>
        <w:rPr>
          <w:spacing w:val="-9"/>
          <w:sz w:val="18"/>
          <w:szCs w:val="18"/>
          <w:lang w:val="es-ES_tradnl"/>
        </w:rPr>
        <w:t>or Jos</w:t>
      </w:r>
      <w:r>
        <w:rPr>
          <w:rFonts w:cs="Times New Roman"/>
          <w:spacing w:val="-9"/>
          <w:sz w:val="18"/>
          <w:szCs w:val="18"/>
          <w:lang w:val="es-ES_tradnl"/>
        </w:rPr>
        <w:t>é</w:t>
      </w:r>
      <w:r>
        <w:rPr>
          <w:spacing w:val="-9"/>
          <w:sz w:val="18"/>
          <w:szCs w:val="18"/>
          <w:lang w:val="es-ES_tradnl"/>
        </w:rPr>
        <w:t xml:space="preserve"> Lu</w:t>
      </w:r>
      <w:r>
        <w:rPr>
          <w:rFonts w:cs="Times New Roman"/>
          <w:spacing w:val="-9"/>
          <w:sz w:val="18"/>
          <w:szCs w:val="18"/>
          <w:lang w:val="es-ES_tradnl"/>
        </w:rPr>
        <w:t>í</w:t>
      </w:r>
      <w:r>
        <w:rPr>
          <w:spacing w:val="-9"/>
          <w:sz w:val="18"/>
          <w:szCs w:val="18"/>
          <w:lang w:val="es-ES_tradnl"/>
        </w:rPr>
        <w:t xml:space="preserve">s Burgos </w:t>
      </w:r>
      <w:r>
        <w:rPr>
          <w:sz w:val="18"/>
          <w:szCs w:val="18"/>
          <w:lang w:val="es-ES_tradnl"/>
        </w:rPr>
        <w:t>Sol</w:t>
      </w:r>
      <w:r>
        <w:rPr>
          <w:rFonts w:cs="Times New Roman"/>
          <w:sz w:val="18"/>
          <w:szCs w:val="18"/>
          <w:lang w:val="es-ES_tradnl"/>
        </w:rPr>
        <w:t>í</w:t>
      </w:r>
      <w:r>
        <w:rPr>
          <w:sz w:val="18"/>
          <w:szCs w:val="18"/>
          <w:lang w:val="es-ES_tradnl"/>
        </w:rPr>
        <w:t>s.</w:t>
      </w:r>
    </w:p>
    <w:p w14:paraId="4F67AD86" w14:textId="77777777" w:rsidR="00591D54" w:rsidRDefault="00591D54">
      <w:pPr>
        <w:shd w:val="clear" w:color="auto" w:fill="FFFFFF"/>
        <w:spacing w:before="202" w:line="216" w:lineRule="exact"/>
        <w:ind w:right="5"/>
        <w:jc w:val="both"/>
      </w:pPr>
      <w:r>
        <w:rPr>
          <w:spacing w:val="-4"/>
          <w:sz w:val="18"/>
          <w:szCs w:val="18"/>
          <w:lang w:val="es-ES_tradnl"/>
        </w:rPr>
        <w:t>De conformidad con lo dispuesto en el art</w:t>
      </w:r>
      <w:r>
        <w:rPr>
          <w:rFonts w:cs="Times New Roman"/>
          <w:spacing w:val="-4"/>
          <w:sz w:val="18"/>
          <w:szCs w:val="18"/>
          <w:lang w:val="es-ES_tradnl"/>
        </w:rPr>
        <w:t>í</w:t>
      </w:r>
      <w:r>
        <w:rPr>
          <w:spacing w:val="-4"/>
          <w:sz w:val="18"/>
          <w:szCs w:val="18"/>
          <w:lang w:val="es-ES_tradnl"/>
        </w:rPr>
        <w:t xml:space="preserve">culo 16 de la </w:t>
      </w:r>
      <w:r>
        <w:rPr>
          <w:spacing w:val="-6"/>
          <w:sz w:val="18"/>
          <w:szCs w:val="18"/>
          <w:lang w:val="es-ES_tradnl"/>
        </w:rPr>
        <w:t>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Control </w:t>
      </w:r>
      <w:r>
        <w:rPr>
          <w:spacing w:val="-4"/>
          <w:sz w:val="18"/>
          <w:szCs w:val="18"/>
          <w:lang w:val="es-ES_tradnl"/>
        </w:rPr>
        <w:t>Constitucional, que se</w:t>
      </w:r>
      <w:r>
        <w:rPr>
          <w:rFonts w:cs="Times New Roman"/>
          <w:spacing w:val="-4"/>
          <w:sz w:val="18"/>
          <w:szCs w:val="18"/>
          <w:lang w:val="es-ES_tradnl"/>
        </w:rPr>
        <w:t>ñ</w:t>
      </w:r>
      <w:r>
        <w:rPr>
          <w:spacing w:val="-4"/>
          <w:sz w:val="18"/>
          <w:szCs w:val="18"/>
          <w:lang w:val="es-ES_tradnl"/>
        </w:rPr>
        <w:t xml:space="preserve">ala </w:t>
      </w:r>
      <w:r>
        <w:rPr>
          <w:rFonts w:cs="Times New Roman"/>
          <w:spacing w:val="-4"/>
          <w:sz w:val="18"/>
          <w:szCs w:val="18"/>
          <w:lang w:val="es-ES_tradnl"/>
        </w:rPr>
        <w:t>“</w:t>
      </w:r>
      <w:r>
        <w:rPr>
          <w:spacing w:val="-4"/>
          <w:sz w:val="18"/>
          <w:szCs w:val="18"/>
          <w:lang w:val="es-ES_tradnl"/>
        </w:rPr>
        <w:t>Se presumir</w:t>
      </w:r>
      <w:r>
        <w:rPr>
          <w:rFonts w:cs="Times New Roman"/>
          <w:spacing w:val="-4"/>
          <w:sz w:val="18"/>
          <w:szCs w:val="18"/>
          <w:lang w:val="es-ES_tradnl"/>
        </w:rPr>
        <w:t>á</w:t>
      </w:r>
      <w:r>
        <w:rPr>
          <w:spacing w:val="-4"/>
          <w:sz w:val="18"/>
          <w:szCs w:val="18"/>
          <w:lang w:val="es-ES_tradnl"/>
        </w:rPr>
        <w:t xml:space="preserve">n ciertos los </w:t>
      </w:r>
      <w:r>
        <w:rPr>
          <w:spacing w:val="-5"/>
          <w:sz w:val="18"/>
          <w:szCs w:val="18"/>
          <w:lang w:val="es-ES_tradnl"/>
        </w:rPr>
        <w:t>hechos de la demanda [de acci</w:t>
      </w:r>
      <w:r>
        <w:rPr>
          <w:rFonts w:cs="Times New Roman"/>
          <w:spacing w:val="-5"/>
          <w:sz w:val="18"/>
          <w:szCs w:val="18"/>
          <w:lang w:val="es-ES_tradnl"/>
        </w:rPr>
        <w:t>ó</w:t>
      </w:r>
      <w:r>
        <w:rPr>
          <w:spacing w:val="-5"/>
          <w:sz w:val="18"/>
          <w:szCs w:val="18"/>
          <w:lang w:val="es-ES_tradnl"/>
        </w:rPr>
        <w:t>n de protecci</w:t>
      </w:r>
      <w:r>
        <w:rPr>
          <w:rFonts w:cs="Times New Roman"/>
          <w:spacing w:val="-5"/>
          <w:sz w:val="18"/>
          <w:szCs w:val="18"/>
          <w:lang w:val="es-ES_tradnl"/>
        </w:rPr>
        <w:t>ó</w:t>
      </w:r>
      <w:r>
        <w:rPr>
          <w:spacing w:val="-5"/>
          <w:sz w:val="18"/>
          <w:szCs w:val="18"/>
          <w:lang w:val="es-ES_tradnl"/>
        </w:rPr>
        <w:t>n] cuando la entidad p</w:t>
      </w:r>
      <w:r>
        <w:rPr>
          <w:rFonts w:cs="Times New Roman"/>
          <w:spacing w:val="-5"/>
          <w:sz w:val="18"/>
          <w:szCs w:val="18"/>
          <w:lang w:val="es-ES_tradnl"/>
        </w:rPr>
        <w:t>ú</w:t>
      </w:r>
      <w:r>
        <w:rPr>
          <w:spacing w:val="-5"/>
          <w:sz w:val="18"/>
          <w:szCs w:val="18"/>
          <w:lang w:val="es-ES_tradnl"/>
        </w:rPr>
        <w:t>blica accionada no demuestre lo contrario o no suministre la informaci</w:t>
      </w:r>
      <w:r>
        <w:rPr>
          <w:rFonts w:cs="Times New Roman"/>
          <w:spacing w:val="-5"/>
          <w:sz w:val="18"/>
          <w:szCs w:val="18"/>
          <w:lang w:val="es-ES_tradnl"/>
        </w:rPr>
        <w:t>ó</w:t>
      </w:r>
      <w:r>
        <w:rPr>
          <w:spacing w:val="-5"/>
          <w:sz w:val="18"/>
          <w:szCs w:val="18"/>
          <w:lang w:val="es-ES_tradnl"/>
        </w:rPr>
        <w:t xml:space="preserve">n solicitada, siempre que de </w:t>
      </w:r>
      <w:r>
        <w:rPr>
          <w:spacing w:val="-6"/>
          <w:sz w:val="18"/>
          <w:szCs w:val="18"/>
          <w:lang w:val="es-ES_tradnl"/>
        </w:rPr>
        <w:t>otros elementos de convicci</w:t>
      </w:r>
      <w:r>
        <w:rPr>
          <w:rFonts w:cs="Times New Roman"/>
          <w:spacing w:val="-6"/>
          <w:sz w:val="18"/>
          <w:szCs w:val="18"/>
          <w:lang w:val="es-ES_tradnl"/>
        </w:rPr>
        <w:t>ó</w:t>
      </w:r>
      <w:r>
        <w:rPr>
          <w:spacing w:val="-6"/>
          <w:sz w:val="18"/>
          <w:szCs w:val="18"/>
          <w:lang w:val="es-ES_tradnl"/>
        </w:rPr>
        <w:t>n no resulte una conclusi</w:t>
      </w:r>
      <w:r>
        <w:rPr>
          <w:rFonts w:cs="Times New Roman"/>
          <w:spacing w:val="-6"/>
          <w:sz w:val="18"/>
          <w:szCs w:val="18"/>
          <w:lang w:val="es-ES_tradnl"/>
        </w:rPr>
        <w:t>ó</w:t>
      </w:r>
      <w:r>
        <w:rPr>
          <w:spacing w:val="-6"/>
          <w:sz w:val="18"/>
          <w:szCs w:val="18"/>
          <w:lang w:val="es-ES_tradnl"/>
        </w:rPr>
        <w:t xml:space="preserve">n </w:t>
      </w:r>
      <w:r>
        <w:rPr>
          <w:spacing w:val="-5"/>
          <w:sz w:val="18"/>
          <w:szCs w:val="18"/>
          <w:lang w:val="es-ES_tradnl"/>
        </w:rPr>
        <w:t>contraria</w:t>
      </w:r>
      <w:r>
        <w:rPr>
          <w:rFonts w:cs="Times New Roman"/>
          <w:spacing w:val="-5"/>
          <w:sz w:val="18"/>
          <w:szCs w:val="18"/>
          <w:lang w:val="es-ES_tradnl"/>
        </w:rPr>
        <w:t>”</w:t>
      </w:r>
      <w:r>
        <w:rPr>
          <w:spacing w:val="-5"/>
          <w:sz w:val="18"/>
          <w:szCs w:val="18"/>
          <w:lang w:val="es-ES_tradnl"/>
        </w:rPr>
        <w:t>, del an</w:t>
      </w:r>
      <w:r>
        <w:rPr>
          <w:rFonts w:cs="Times New Roman"/>
          <w:spacing w:val="-5"/>
          <w:sz w:val="18"/>
          <w:szCs w:val="18"/>
          <w:lang w:val="es-ES_tradnl"/>
        </w:rPr>
        <w:t>á</w:t>
      </w:r>
      <w:r>
        <w:rPr>
          <w:spacing w:val="-5"/>
          <w:sz w:val="18"/>
          <w:szCs w:val="18"/>
          <w:lang w:val="es-ES_tradnl"/>
        </w:rPr>
        <w:t xml:space="preserve">lisis de las sentencias emitidas por la </w:t>
      </w:r>
      <w:r>
        <w:rPr>
          <w:spacing w:val="-8"/>
          <w:sz w:val="18"/>
          <w:szCs w:val="18"/>
          <w:lang w:val="es-ES_tradnl"/>
        </w:rPr>
        <w:t>jueza Sexta de la Ni</w:t>
      </w:r>
      <w:r>
        <w:rPr>
          <w:rFonts w:cs="Times New Roman"/>
          <w:spacing w:val="-8"/>
          <w:sz w:val="18"/>
          <w:szCs w:val="18"/>
          <w:lang w:val="es-ES_tradnl"/>
        </w:rPr>
        <w:t>ñ</w:t>
      </w:r>
      <w:r>
        <w:rPr>
          <w:spacing w:val="-8"/>
          <w:sz w:val="18"/>
          <w:szCs w:val="18"/>
          <w:lang w:val="es-ES_tradnl"/>
        </w:rPr>
        <w:t>ez y la Adolescencia del Guayas, as</w:t>
      </w:r>
      <w:r>
        <w:rPr>
          <w:rFonts w:cs="Times New Roman"/>
          <w:spacing w:val="-8"/>
          <w:sz w:val="18"/>
          <w:szCs w:val="18"/>
          <w:lang w:val="es-ES_tradnl"/>
        </w:rPr>
        <w:t xml:space="preserve">í </w:t>
      </w:r>
      <w:r>
        <w:rPr>
          <w:spacing w:val="-5"/>
          <w:sz w:val="18"/>
          <w:szCs w:val="18"/>
          <w:lang w:val="es-ES_tradnl"/>
        </w:rPr>
        <w:t xml:space="preserve">como los jueces de instancia superior de la Tercera Sala </w:t>
      </w:r>
      <w:r>
        <w:rPr>
          <w:spacing w:val="-3"/>
          <w:sz w:val="18"/>
          <w:szCs w:val="18"/>
          <w:lang w:val="es-ES_tradnl"/>
        </w:rPr>
        <w:t>de lo Penal, Colusorio y Tr</w:t>
      </w:r>
      <w:r>
        <w:rPr>
          <w:rFonts w:cs="Times New Roman"/>
          <w:spacing w:val="-3"/>
          <w:sz w:val="18"/>
          <w:szCs w:val="18"/>
          <w:lang w:val="es-ES_tradnl"/>
        </w:rPr>
        <w:t>á</w:t>
      </w:r>
      <w:r>
        <w:rPr>
          <w:spacing w:val="-3"/>
          <w:sz w:val="18"/>
          <w:szCs w:val="18"/>
          <w:lang w:val="es-ES_tradnl"/>
        </w:rPr>
        <w:t xml:space="preserve">nsito de la Corte Provincial </w:t>
      </w:r>
      <w:r>
        <w:rPr>
          <w:spacing w:val="-7"/>
          <w:sz w:val="18"/>
          <w:szCs w:val="18"/>
          <w:lang w:val="es-ES_tradnl"/>
        </w:rPr>
        <w:t>de Justicia del Guayas, se puede verificar que se realiz</w:t>
      </w:r>
      <w:r>
        <w:rPr>
          <w:rFonts w:cs="Times New Roman"/>
          <w:spacing w:val="-7"/>
          <w:sz w:val="18"/>
          <w:szCs w:val="18"/>
          <w:lang w:val="es-ES_tradnl"/>
        </w:rPr>
        <w:t>ó</w:t>
      </w:r>
      <w:r>
        <w:rPr>
          <w:spacing w:val="-7"/>
          <w:sz w:val="18"/>
          <w:szCs w:val="18"/>
          <w:lang w:val="es-ES_tradnl"/>
        </w:rPr>
        <w:t xml:space="preserve">, </w:t>
      </w:r>
      <w:r>
        <w:rPr>
          <w:spacing w:val="-2"/>
          <w:sz w:val="18"/>
          <w:szCs w:val="18"/>
          <w:lang w:val="es-ES_tradnl"/>
        </w:rPr>
        <w:t>por parte de los jueces correspondientes, un an</w:t>
      </w:r>
      <w:r>
        <w:rPr>
          <w:rFonts w:cs="Times New Roman"/>
          <w:spacing w:val="-2"/>
          <w:sz w:val="18"/>
          <w:szCs w:val="18"/>
          <w:lang w:val="es-ES_tradnl"/>
        </w:rPr>
        <w:t>á</w:t>
      </w:r>
      <w:r>
        <w:rPr>
          <w:spacing w:val="-2"/>
          <w:sz w:val="18"/>
          <w:szCs w:val="18"/>
          <w:lang w:val="es-ES_tradnl"/>
        </w:rPr>
        <w:t xml:space="preserve">lisis </w:t>
      </w:r>
      <w:r>
        <w:rPr>
          <w:spacing w:val="-6"/>
          <w:sz w:val="18"/>
          <w:szCs w:val="18"/>
          <w:lang w:val="es-ES_tradnl"/>
        </w:rPr>
        <w:t>l</w:t>
      </w:r>
      <w:r>
        <w:rPr>
          <w:rFonts w:cs="Times New Roman"/>
          <w:spacing w:val="-6"/>
          <w:sz w:val="18"/>
          <w:szCs w:val="18"/>
          <w:lang w:val="es-ES_tradnl"/>
        </w:rPr>
        <w:t>ó</w:t>
      </w:r>
      <w:r>
        <w:rPr>
          <w:spacing w:val="-6"/>
          <w:sz w:val="18"/>
          <w:szCs w:val="18"/>
          <w:lang w:val="es-ES_tradnl"/>
        </w:rPr>
        <w:t xml:space="preserve">gico normativo de la totalidad de elementos probatorios </w:t>
      </w:r>
      <w:r>
        <w:rPr>
          <w:spacing w:val="-8"/>
          <w:sz w:val="18"/>
          <w:szCs w:val="18"/>
          <w:lang w:val="es-ES_tradnl"/>
        </w:rPr>
        <w:t xml:space="preserve">presentados en el proceso y se pudo determinar que </w:t>
      </w:r>
      <w:r>
        <w:rPr>
          <w:spacing w:val="-9"/>
          <w:sz w:val="18"/>
          <w:szCs w:val="18"/>
          <w:lang w:val="es-ES_tradnl"/>
        </w:rPr>
        <w:t>efectivamente la sanci</w:t>
      </w:r>
      <w:r>
        <w:rPr>
          <w:rFonts w:cs="Times New Roman"/>
          <w:spacing w:val="-9"/>
          <w:sz w:val="18"/>
          <w:szCs w:val="18"/>
          <w:lang w:val="es-ES_tradnl"/>
        </w:rPr>
        <w:t>ó</w:t>
      </w:r>
      <w:r>
        <w:rPr>
          <w:spacing w:val="-9"/>
          <w:sz w:val="18"/>
          <w:szCs w:val="18"/>
          <w:lang w:val="es-ES_tradnl"/>
        </w:rPr>
        <w:t>n aplicada al se</w:t>
      </w:r>
      <w:r>
        <w:rPr>
          <w:rFonts w:cs="Times New Roman"/>
          <w:spacing w:val="-9"/>
          <w:sz w:val="18"/>
          <w:szCs w:val="18"/>
          <w:lang w:val="es-ES_tradnl"/>
        </w:rPr>
        <w:t>ñ</w:t>
      </w:r>
      <w:r>
        <w:rPr>
          <w:spacing w:val="-9"/>
          <w:sz w:val="18"/>
          <w:szCs w:val="18"/>
          <w:lang w:val="es-ES_tradnl"/>
        </w:rPr>
        <w:t>or Burgos Sol</w:t>
      </w:r>
      <w:r>
        <w:rPr>
          <w:rFonts w:cs="Times New Roman"/>
          <w:spacing w:val="-9"/>
          <w:sz w:val="18"/>
          <w:szCs w:val="18"/>
          <w:lang w:val="es-ES_tradnl"/>
        </w:rPr>
        <w:t>í</w:t>
      </w:r>
      <w:r>
        <w:rPr>
          <w:spacing w:val="-9"/>
          <w:sz w:val="18"/>
          <w:szCs w:val="18"/>
          <w:lang w:val="es-ES_tradnl"/>
        </w:rPr>
        <w:t xml:space="preserve">s, no </w:t>
      </w:r>
      <w:r>
        <w:rPr>
          <w:spacing w:val="-8"/>
          <w:sz w:val="18"/>
          <w:szCs w:val="18"/>
          <w:lang w:val="es-ES_tradnl"/>
        </w:rPr>
        <w:t>era la que correspond</w:t>
      </w:r>
      <w:r>
        <w:rPr>
          <w:rFonts w:cs="Times New Roman"/>
          <w:spacing w:val="-8"/>
          <w:sz w:val="18"/>
          <w:szCs w:val="18"/>
          <w:lang w:val="es-ES_tradnl"/>
        </w:rPr>
        <w:t>í</w:t>
      </w:r>
      <w:r>
        <w:rPr>
          <w:spacing w:val="-8"/>
          <w:sz w:val="18"/>
          <w:szCs w:val="18"/>
          <w:lang w:val="es-ES_tradnl"/>
        </w:rPr>
        <w:t>a, ya que debi</w:t>
      </w:r>
      <w:r>
        <w:rPr>
          <w:rFonts w:cs="Times New Roman"/>
          <w:spacing w:val="-8"/>
          <w:sz w:val="18"/>
          <w:szCs w:val="18"/>
          <w:lang w:val="es-ES_tradnl"/>
        </w:rPr>
        <w:t>ó</w:t>
      </w:r>
      <w:r>
        <w:rPr>
          <w:spacing w:val="-8"/>
          <w:sz w:val="18"/>
          <w:szCs w:val="18"/>
          <w:lang w:val="es-ES_tradnl"/>
        </w:rPr>
        <w:t xml:space="preserve"> ser sancionado por </w:t>
      </w:r>
      <w:r>
        <w:rPr>
          <w:spacing w:val="-4"/>
          <w:sz w:val="18"/>
          <w:szCs w:val="18"/>
          <w:lang w:val="es-ES_tradnl"/>
        </w:rPr>
        <w:t>una infracci</w:t>
      </w:r>
      <w:r>
        <w:rPr>
          <w:rFonts w:cs="Times New Roman"/>
          <w:spacing w:val="-4"/>
          <w:sz w:val="18"/>
          <w:szCs w:val="18"/>
          <w:lang w:val="es-ES_tradnl"/>
        </w:rPr>
        <w:t>ó</w:t>
      </w:r>
      <w:r>
        <w:rPr>
          <w:spacing w:val="-4"/>
          <w:sz w:val="18"/>
          <w:szCs w:val="18"/>
          <w:lang w:val="es-ES_tradnl"/>
        </w:rPr>
        <w:t xml:space="preserve">n distinta a la </w:t>
      </w:r>
      <w:r>
        <w:rPr>
          <w:rFonts w:cs="Times New Roman"/>
          <w:spacing w:val="-4"/>
          <w:sz w:val="18"/>
          <w:szCs w:val="18"/>
          <w:lang w:val="es-ES_tradnl"/>
        </w:rPr>
        <w:t>“</w:t>
      </w:r>
      <w:r>
        <w:rPr>
          <w:spacing w:val="-4"/>
          <w:sz w:val="18"/>
          <w:szCs w:val="18"/>
          <w:lang w:val="es-ES_tradnl"/>
        </w:rPr>
        <w:t>deserci</w:t>
      </w:r>
      <w:r>
        <w:rPr>
          <w:rFonts w:cs="Times New Roman"/>
          <w:spacing w:val="-4"/>
          <w:sz w:val="18"/>
          <w:szCs w:val="18"/>
          <w:lang w:val="es-ES_tradnl"/>
        </w:rPr>
        <w:t>ó</w:t>
      </w:r>
      <w:r>
        <w:rPr>
          <w:spacing w:val="-4"/>
          <w:sz w:val="18"/>
          <w:szCs w:val="18"/>
          <w:lang w:val="es-ES_tradnl"/>
        </w:rPr>
        <w:t>n</w:t>
      </w:r>
      <w:r>
        <w:rPr>
          <w:rFonts w:cs="Times New Roman"/>
          <w:spacing w:val="-4"/>
          <w:sz w:val="18"/>
          <w:szCs w:val="18"/>
          <w:lang w:val="es-ES_tradnl"/>
        </w:rPr>
        <w:t>”</w:t>
      </w:r>
      <w:r>
        <w:rPr>
          <w:spacing w:val="-4"/>
          <w:sz w:val="18"/>
          <w:szCs w:val="18"/>
          <w:lang w:val="es-ES_tradnl"/>
        </w:rPr>
        <w:t xml:space="preserve">, que fue el delito </w:t>
      </w:r>
      <w:r>
        <w:rPr>
          <w:spacing w:val="-8"/>
          <w:sz w:val="18"/>
          <w:szCs w:val="18"/>
          <w:lang w:val="es-ES_tradnl"/>
        </w:rPr>
        <w:t>que se le imput</w:t>
      </w:r>
      <w:r>
        <w:rPr>
          <w:rFonts w:cs="Times New Roman"/>
          <w:spacing w:val="-8"/>
          <w:sz w:val="18"/>
          <w:szCs w:val="18"/>
          <w:lang w:val="es-ES_tradnl"/>
        </w:rPr>
        <w:t>ó</w:t>
      </w:r>
      <w:r>
        <w:rPr>
          <w:spacing w:val="-8"/>
          <w:sz w:val="18"/>
          <w:szCs w:val="18"/>
          <w:lang w:val="es-ES_tradnl"/>
        </w:rPr>
        <w:t xml:space="preserve"> y por el que se le sancion</w:t>
      </w:r>
      <w:r>
        <w:rPr>
          <w:rFonts w:cs="Times New Roman"/>
          <w:spacing w:val="-8"/>
          <w:sz w:val="18"/>
          <w:szCs w:val="18"/>
          <w:lang w:val="es-ES_tradnl"/>
        </w:rPr>
        <w:t>ó</w:t>
      </w:r>
      <w:r>
        <w:rPr>
          <w:spacing w:val="-8"/>
          <w:sz w:val="18"/>
          <w:szCs w:val="18"/>
          <w:lang w:val="es-ES_tradnl"/>
        </w:rPr>
        <w:t xml:space="preserve"> con la baja de </w:t>
      </w:r>
      <w:r>
        <w:rPr>
          <w:spacing w:val="-6"/>
          <w:sz w:val="18"/>
          <w:szCs w:val="18"/>
          <w:lang w:val="es-ES_tradnl"/>
        </w:rPr>
        <w:t>la Fuerza Naval, situaci</w:t>
      </w:r>
      <w:r>
        <w:rPr>
          <w:rFonts w:cs="Times New Roman"/>
          <w:spacing w:val="-6"/>
          <w:sz w:val="18"/>
          <w:szCs w:val="18"/>
          <w:lang w:val="es-ES_tradnl"/>
        </w:rPr>
        <w:t>ó</w:t>
      </w:r>
      <w:r>
        <w:rPr>
          <w:spacing w:val="-6"/>
          <w:sz w:val="18"/>
          <w:szCs w:val="18"/>
          <w:lang w:val="es-ES_tradnl"/>
        </w:rPr>
        <w:t>n que en definitiva permiti</w:t>
      </w:r>
      <w:r>
        <w:rPr>
          <w:rFonts w:cs="Times New Roman"/>
          <w:spacing w:val="-6"/>
          <w:sz w:val="18"/>
          <w:szCs w:val="18"/>
          <w:lang w:val="es-ES_tradnl"/>
        </w:rPr>
        <w:t>ó</w:t>
      </w:r>
      <w:r>
        <w:rPr>
          <w:spacing w:val="-6"/>
          <w:sz w:val="18"/>
          <w:szCs w:val="18"/>
          <w:lang w:val="es-ES_tradnl"/>
        </w:rPr>
        <w:t xml:space="preserve"> a los </w:t>
      </w:r>
      <w:r>
        <w:rPr>
          <w:spacing w:val="-8"/>
          <w:sz w:val="18"/>
          <w:szCs w:val="18"/>
          <w:lang w:val="es-ES_tradnl"/>
        </w:rPr>
        <w:t>jueces establecer en sentencia que la demanda ten</w:t>
      </w:r>
      <w:r>
        <w:rPr>
          <w:rFonts w:cs="Times New Roman"/>
          <w:spacing w:val="-8"/>
          <w:sz w:val="18"/>
          <w:szCs w:val="18"/>
          <w:lang w:val="es-ES_tradnl"/>
        </w:rPr>
        <w:t>í</w:t>
      </w:r>
      <w:r>
        <w:rPr>
          <w:spacing w:val="-8"/>
          <w:sz w:val="18"/>
          <w:szCs w:val="18"/>
          <w:lang w:val="es-ES_tradnl"/>
        </w:rPr>
        <w:t>a lugar y que deb</w:t>
      </w:r>
      <w:r>
        <w:rPr>
          <w:rFonts w:cs="Times New Roman"/>
          <w:spacing w:val="-8"/>
          <w:sz w:val="18"/>
          <w:szCs w:val="18"/>
          <w:lang w:val="es-ES_tradnl"/>
        </w:rPr>
        <w:t>í</w:t>
      </w:r>
      <w:r>
        <w:rPr>
          <w:spacing w:val="-8"/>
          <w:sz w:val="18"/>
          <w:szCs w:val="18"/>
          <w:lang w:val="es-ES_tradnl"/>
        </w:rPr>
        <w:t>a atenderse favorablemente la pretensi</w:t>
      </w:r>
      <w:r>
        <w:rPr>
          <w:rFonts w:cs="Times New Roman"/>
          <w:spacing w:val="-8"/>
          <w:sz w:val="18"/>
          <w:szCs w:val="18"/>
          <w:lang w:val="es-ES_tradnl"/>
        </w:rPr>
        <w:t>ó</w:t>
      </w:r>
      <w:r>
        <w:rPr>
          <w:spacing w:val="-8"/>
          <w:sz w:val="18"/>
          <w:szCs w:val="18"/>
          <w:lang w:val="es-ES_tradnl"/>
        </w:rPr>
        <w:t xml:space="preserve">n del </w:t>
      </w:r>
      <w:r>
        <w:rPr>
          <w:sz w:val="18"/>
          <w:szCs w:val="18"/>
          <w:lang w:val="es-ES_tradnl"/>
        </w:rPr>
        <w:t>ciudadano accionante.</w:t>
      </w:r>
    </w:p>
    <w:p w14:paraId="4F67AD87" w14:textId="77777777" w:rsidR="00591D54" w:rsidRDefault="00591D54">
      <w:pPr>
        <w:shd w:val="clear" w:color="auto" w:fill="FFFFFF"/>
        <w:spacing w:before="197" w:line="216" w:lineRule="exact"/>
        <w:ind w:right="5"/>
        <w:jc w:val="both"/>
      </w:pPr>
      <w:r>
        <w:rPr>
          <w:spacing w:val="-8"/>
          <w:sz w:val="18"/>
          <w:szCs w:val="18"/>
          <w:lang w:val="es-ES_tradnl"/>
        </w:rPr>
        <w:t>Con las consideraciones hasta aqu</w:t>
      </w:r>
      <w:r>
        <w:rPr>
          <w:rFonts w:cs="Times New Roman"/>
          <w:spacing w:val="-8"/>
          <w:sz w:val="18"/>
          <w:szCs w:val="18"/>
          <w:lang w:val="es-ES_tradnl"/>
        </w:rPr>
        <w:t>í</w:t>
      </w:r>
      <w:r>
        <w:rPr>
          <w:spacing w:val="-8"/>
          <w:sz w:val="18"/>
          <w:szCs w:val="18"/>
          <w:lang w:val="es-ES_tradnl"/>
        </w:rPr>
        <w:t xml:space="preserve"> se</w:t>
      </w:r>
      <w:r>
        <w:rPr>
          <w:rFonts w:cs="Times New Roman"/>
          <w:spacing w:val="-8"/>
          <w:sz w:val="18"/>
          <w:szCs w:val="18"/>
          <w:lang w:val="es-ES_tradnl"/>
        </w:rPr>
        <w:t>ñ</w:t>
      </w:r>
      <w:r>
        <w:rPr>
          <w:spacing w:val="-8"/>
          <w:sz w:val="18"/>
          <w:szCs w:val="18"/>
          <w:lang w:val="es-ES_tradnl"/>
        </w:rPr>
        <w:t xml:space="preserve">aladas, la Corte </w:t>
      </w:r>
      <w:r>
        <w:rPr>
          <w:spacing w:val="-7"/>
          <w:sz w:val="18"/>
          <w:szCs w:val="18"/>
          <w:lang w:val="es-ES_tradnl"/>
        </w:rPr>
        <w:t xml:space="preserve">Constitucional concluye que en las sentencias materia de </w:t>
      </w:r>
      <w:r>
        <w:rPr>
          <w:spacing w:val="-6"/>
          <w:sz w:val="18"/>
          <w:szCs w:val="18"/>
          <w:lang w:val="es-ES_tradnl"/>
        </w:rPr>
        <w:t>este an</w:t>
      </w:r>
      <w:r>
        <w:rPr>
          <w:rFonts w:cs="Times New Roman"/>
          <w:spacing w:val="-6"/>
          <w:sz w:val="18"/>
          <w:szCs w:val="18"/>
          <w:lang w:val="es-ES_tradnl"/>
        </w:rPr>
        <w:t>á</w:t>
      </w:r>
      <w:r>
        <w:rPr>
          <w:spacing w:val="-6"/>
          <w:sz w:val="18"/>
          <w:szCs w:val="18"/>
          <w:lang w:val="es-ES_tradnl"/>
        </w:rPr>
        <w:t>lisis, no se vulner</w:t>
      </w:r>
      <w:r>
        <w:rPr>
          <w:rFonts w:cs="Times New Roman"/>
          <w:spacing w:val="-6"/>
          <w:sz w:val="18"/>
          <w:szCs w:val="18"/>
          <w:lang w:val="es-ES_tradnl"/>
        </w:rPr>
        <w:t>ó</w:t>
      </w:r>
      <w:r>
        <w:rPr>
          <w:spacing w:val="-6"/>
          <w:sz w:val="18"/>
          <w:szCs w:val="18"/>
          <w:lang w:val="es-ES_tradnl"/>
        </w:rPr>
        <w:t xml:space="preserve"> el derecho a la tutela judicial </w:t>
      </w:r>
      <w:r>
        <w:rPr>
          <w:spacing w:val="-9"/>
          <w:sz w:val="18"/>
          <w:szCs w:val="18"/>
          <w:lang w:val="es-ES_tradnl"/>
        </w:rPr>
        <w:t xml:space="preserve">efectiva en perjuicio de las instituciones demandadas, dado que esta fue garantizada plenamente en la totalidad de sus </w:t>
      </w:r>
      <w:r>
        <w:rPr>
          <w:spacing w:val="-8"/>
          <w:sz w:val="18"/>
          <w:szCs w:val="18"/>
          <w:lang w:val="es-ES_tradnl"/>
        </w:rPr>
        <w:t>elementos constitutivos en ambas instancias para la acci</w:t>
      </w:r>
      <w:r>
        <w:rPr>
          <w:rFonts w:cs="Times New Roman"/>
          <w:spacing w:val="-8"/>
          <w:sz w:val="18"/>
          <w:szCs w:val="18"/>
          <w:lang w:val="es-ES_tradnl"/>
        </w:rPr>
        <w:t>ó</w:t>
      </w:r>
      <w:r>
        <w:rPr>
          <w:spacing w:val="-8"/>
          <w:sz w:val="18"/>
          <w:szCs w:val="18"/>
          <w:lang w:val="es-ES_tradnl"/>
        </w:rPr>
        <w:t>n de protecci</w:t>
      </w:r>
      <w:r>
        <w:rPr>
          <w:rFonts w:cs="Times New Roman"/>
          <w:spacing w:val="-8"/>
          <w:sz w:val="18"/>
          <w:szCs w:val="18"/>
          <w:lang w:val="es-ES_tradnl"/>
        </w:rPr>
        <w:t>ó</w:t>
      </w:r>
      <w:r>
        <w:rPr>
          <w:spacing w:val="-8"/>
          <w:sz w:val="18"/>
          <w:szCs w:val="18"/>
          <w:lang w:val="es-ES_tradnl"/>
        </w:rPr>
        <w:t xml:space="preserve">n planteada. Dicho de otro modo, no se puede </w:t>
      </w:r>
      <w:r>
        <w:rPr>
          <w:spacing w:val="-6"/>
          <w:sz w:val="18"/>
          <w:szCs w:val="18"/>
          <w:lang w:val="es-ES_tradnl"/>
        </w:rPr>
        <w:t>alegar limitaci</w:t>
      </w:r>
      <w:r>
        <w:rPr>
          <w:rFonts w:cs="Times New Roman"/>
          <w:spacing w:val="-6"/>
          <w:sz w:val="18"/>
          <w:szCs w:val="18"/>
          <w:lang w:val="es-ES_tradnl"/>
        </w:rPr>
        <w:t>ó</w:t>
      </w:r>
      <w:r>
        <w:rPr>
          <w:spacing w:val="-6"/>
          <w:sz w:val="18"/>
          <w:szCs w:val="18"/>
          <w:lang w:val="es-ES_tradnl"/>
        </w:rPr>
        <w:t>n o afectaci</w:t>
      </w:r>
      <w:r>
        <w:rPr>
          <w:rFonts w:cs="Times New Roman"/>
          <w:spacing w:val="-6"/>
          <w:sz w:val="18"/>
          <w:szCs w:val="18"/>
          <w:lang w:val="es-ES_tradnl"/>
        </w:rPr>
        <w:t>ó</w:t>
      </w:r>
      <w:r>
        <w:rPr>
          <w:spacing w:val="-6"/>
          <w:sz w:val="18"/>
          <w:szCs w:val="18"/>
          <w:lang w:val="es-ES_tradnl"/>
        </w:rPr>
        <w:t xml:space="preserve">n al derecho de tutela judicial </w:t>
      </w:r>
      <w:r>
        <w:rPr>
          <w:spacing w:val="-7"/>
          <w:sz w:val="18"/>
          <w:szCs w:val="18"/>
          <w:lang w:val="es-ES_tradnl"/>
        </w:rPr>
        <w:t xml:space="preserve">efectiva cuando las limitaciones al ejercicio del mismo son </w:t>
      </w:r>
      <w:r>
        <w:rPr>
          <w:spacing w:val="-9"/>
          <w:sz w:val="18"/>
          <w:szCs w:val="18"/>
          <w:lang w:val="es-ES_tradnl"/>
        </w:rPr>
        <w:t xml:space="preserve">generadas por las propias omisiones e inobservancia de los </w:t>
      </w:r>
      <w:r>
        <w:rPr>
          <w:spacing w:val="-7"/>
          <w:sz w:val="18"/>
          <w:szCs w:val="18"/>
          <w:lang w:val="es-ES_tradnl"/>
        </w:rPr>
        <w:t>procedimientos normativos previstos para el efecto.</w:t>
      </w:r>
    </w:p>
    <w:p w14:paraId="4F67AD88" w14:textId="77777777" w:rsidR="00591D54" w:rsidRDefault="00591D54">
      <w:pPr>
        <w:shd w:val="clear" w:color="auto" w:fill="FFFFFF"/>
        <w:spacing w:before="197" w:line="221" w:lineRule="exact"/>
        <w:ind w:left="566" w:hanging="283"/>
      </w:pPr>
      <w:r>
        <w:rPr>
          <w:b/>
          <w:bCs/>
          <w:spacing w:val="-12"/>
          <w:sz w:val="18"/>
          <w:szCs w:val="18"/>
          <w:lang w:val="es-ES_tradnl"/>
        </w:rPr>
        <w:t xml:space="preserve">2.   Las sentencias demandadas </w:t>
      </w:r>
      <w:r>
        <w:rPr>
          <w:rFonts w:cs="Times New Roman"/>
          <w:b/>
          <w:bCs/>
          <w:spacing w:val="-12"/>
          <w:sz w:val="18"/>
          <w:szCs w:val="18"/>
          <w:lang w:val="es-ES_tradnl"/>
        </w:rPr>
        <w:t>¿</w:t>
      </w:r>
      <w:r>
        <w:rPr>
          <w:b/>
          <w:bCs/>
          <w:spacing w:val="-12"/>
          <w:sz w:val="18"/>
          <w:szCs w:val="18"/>
          <w:lang w:val="es-ES_tradnl"/>
        </w:rPr>
        <w:t xml:space="preserve">vulneran el derecho </w:t>
      </w:r>
      <w:r>
        <w:rPr>
          <w:b/>
          <w:bCs/>
          <w:spacing w:val="-9"/>
          <w:sz w:val="18"/>
          <w:szCs w:val="18"/>
          <w:lang w:val="es-ES_tradnl"/>
        </w:rPr>
        <w:t>de los accionantes a la seguridad jur</w:t>
      </w:r>
      <w:r>
        <w:rPr>
          <w:rFonts w:cs="Times New Roman"/>
          <w:b/>
          <w:bCs/>
          <w:spacing w:val="-9"/>
          <w:sz w:val="18"/>
          <w:szCs w:val="18"/>
          <w:lang w:val="es-ES_tradnl"/>
        </w:rPr>
        <w:t>í</w:t>
      </w:r>
      <w:r>
        <w:rPr>
          <w:b/>
          <w:bCs/>
          <w:spacing w:val="-9"/>
          <w:sz w:val="18"/>
          <w:szCs w:val="18"/>
          <w:lang w:val="es-ES_tradnl"/>
        </w:rPr>
        <w:t>dica?</w:t>
      </w:r>
    </w:p>
    <w:p w14:paraId="4F67AD89" w14:textId="77777777" w:rsidR="00591D54" w:rsidRDefault="00591D54">
      <w:pPr>
        <w:shd w:val="clear" w:color="auto" w:fill="FFFFFF"/>
        <w:spacing w:before="202" w:line="216" w:lineRule="exact"/>
        <w:ind w:right="5"/>
        <w:jc w:val="both"/>
      </w:pPr>
      <w:r>
        <w:rPr>
          <w:spacing w:val="-9"/>
          <w:sz w:val="18"/>
          <w:szCs w:val="18"/>
          <w:lang w:val="es-ES_tradnl"/>
        </w:rPr>
        <w:t>Previo a realizar el an</w:t>
      </w:r>
      <w:r>
        <w:rPr>
          <w:rFonts w:cs="Times New Roman"/>
          <w:spacing w:val="-9"/>
          <w:sz w:val="18"/>
          <w:szCs w:val="18"/>
          <w:lang w:val="es-ES_tradnl"/>
        </w:rPr>
        <w:t>á</w:t>
      </w:r>
      <w:r>
        <w:rPr>
          <w:spacing w:val="-9"/>
          <w:sz w:val="18"/>
          <w:szCs w:val="18"/>
          <w:lang w:val="es-ES_tradnl"/>
        </w:rPr>
        <w:t xml:space="preserve">lisis correspondiente para verificar si </w:t>
      </w:r>
      <w:r>
        <w:rPr>
          <w:spacing w:val="-8"/>
          <w:sz w:val="18"/>
          <w:szCs w:val="18"/>
          <w:lang w:val="es-ES_tradnl"/>
        </w:rPr>
        <w:t>se ha vulnerado el derecho a la seguridad jur</w:t>
      </w:r>
      <w:r>
        <w:rPr>
          <w:rFonts w:cs="Times New Roman"/>
          <w:spacing w:val="-8"/>
          <w:sz w:val="18"/>
          <w:szCs w:val="18"/>
          <w:lang w:val="es-ES_tradnl"/>
        </w:rPr>
        <w:t>í</w:t>
      </w:r>
      <w:r>
        <w:rPr>
          <w:spacing w:val="-8"/>
          <w:sz w:val="18"/>
          <w:szCs w:val="18"/>
          <w:lang w:val="es-ES_tradnl"/>
        </w:rPr>
        <w:t xml:space="preserve">dica como lo </w:t>
      </w:r>
      <w:r>
        <w:rPr>
          <w:spacing w:val="-10"/>
          <w:sz w:val="18"/>
          <w:szCs w:val="18"/>
          <w:lang w:val="es-ES_tradnl"/>
        </w:rPr>
        <w:t>se</w:t>
      </w:r>
      <w:r>
        <w:rPr>
          <w:rFonts w:cs="Times New Roman"/>
          <w:spacing w:val="-10"/>
          <w:sz w:val="18"/>
          <w:szCs w:val="18"/>
          <w:lang w:val="es-ES_tradnl"/>
        </w:rPr>
        <w:t>ñ</w:t>
      </w:r>
      <w:r>
        <w:rPr>
          <w:spacing w:val="-10"/>
          <w:sz w:val="18"/>
          <w:szCs w:val="18"/>
          <w:lang w:val="es-ES_tradnl"/>
        </w:rPr>
        <w:t xml:space="preserve">alan los accionantes, es importante conocer sus criterios </w:t>
      </w:r>
      <w:r>
        <w:rPr>
          <w:sz w:val="18"/>
          <w:szCs w:val="18"/>
          <w:lang w:val="es-ES_tradnl"/>
        </w:rPr>
        <w:t>para sustentar tal argumento.</w:t>
      </w:r>
    </w:p>
    <w:p w14:paraId="4F67AD8A" w14:textId="77777777" w:rsidR="00591D54" w:rsidRDefault="00591D54">
      <w:pPr>
        <w:shd w:val="clear" w:color="auto" w:fill="FFFFFF"/>
        <w:spacing w:line="230" w:lineRule="exact"/>
        <w:jc w:val="both"/>
      </w:pPr>
      <w:r>
        <w:br w:type="column"/>
      </w:r>
      <w:r>
        <w:rPr>
          <w:spacing w:val="-2"/>
          <w:sz w:val="18"/>
          <w:szCs w:val="18"/>
          <w:lang w:val="es-ES_tradnl"/>
        </w:rPr>
        <w:t>En tal sentido, la Armada del Ecuador se</w:t>
      </w:r>
      <w:r>
        <w:rPr>
          <w:rFonts w:cs="Times New Roman"/>
          <w:spacing w:val="-2"/>
          <w:sz w:val="18"/>
          <w:szCs w:val="18"/>
          <w:lang w:val="es-ES_tradnl"/>
        </w:rPr>
        <w:t>ñ</w:t>
      </w:r>
      <w:r>
        <w:rPr>
          <w:spacing w:val="-2"/>
          <w:sz w:val="18"/>
          <w:szCs w:val="18"/>
          <w:lang w:val="es-ES_tradnl"/>
        </w:rPr>
        <w:t>al</w:t>
      </w:r>
      <w:r>
        <w:rPr>
          <w:rFonts w:cs="Times New Roman"/>
          <w:spacing w:val="-2"/>
          <w:sz w:val="18"/>
          <w:szCs w:val="18"/>
          <w:lang w:val="es-ES_tradnl"/>
        </w:rPr>
        <w:t>ó</w:t>
      </w:r>
      <w:r>
        <w:rPr>
          <w:spacing w:val="-2"/>
          <w:sz w:val="18"/>
          <w:szCs w:val="18"/>
          <w:lang w:val="es-ES_tradnl"/>
        </w:rPr>
        <w:t xml:space="preserve"> en su </w:t>
      </w:r>
      <w:r>
        <w:rPr>
          <w:sz w:val="18"/>
          <w:szCs w:val="18"/>
          <w:lang w:val="es-ES_tradnl"/>
        </w:rPr>
        <w:t>demanda que:</w:t>
      </w:r>
    </w:p>
    <w:p w14:paraId="4F67AD8B" w14:textId="77777777" w:rsidR="00591D54" w:rsidRDefault="00591D54">
      <w:pPr>
        <w:shd w:val="clear" w:color="auto" w:fill="FFFFFF"/>
        <w:spacing w:before="206" w:line="226" w:lineRule="exact"/>
        <w:ind w:left="283"/>
        <w:jc w:val="both"/>
      </w:pPr>
      <w:r>
        <w:rPr>
          <w:spacing w:val="-2"/>
          <w:sz w:val="16"/>
          <w:szCs w:val="16"/>
          <w:lang w:val="es-ES_tradnl"/>
        </w:rPr>
        <w:t>(</w:t>
      </w:r>
      <w:r>
        <w:rPr>
          <w:rFonts w:cs="Times New Roman"/>
          <w:spacing w:val="-2"/>
          <w:sz w:val="16"/>
          <w:szCs w:val="16"/>
          <w:lang w:val="es-ES_tradnl"/>
        </w:rPr>
        <w:t>…</w:t>
      </w:r>
      <w:r>
        <w:rPr>
          <w:spacing w:val="-2"/>
          <w:sz w:val="16"/>
          <w:szCs w:val="16"/>
          <w:lang w:val="es-ES_tradnl"/>
        </w:rPr>
        <w:t xml:space="preserve">) resulta indispensable referirse a los hechos que </w:t>
      </w:r>
      <w:r>
        <w:rPr>
          <w:spacing w:val="-8"/>
          <w:sz w:val="16"/>
          <w:szCs w:val="16"/>
          <w:lang w:val="es-ES_tradnl"/>
        </w:rPr>
        <w:t>antecedieron la violaci</w:t>
      </w:r>
      <w:r>
        <w:rPr>
          <w:rFonts w:cs="Times New Roman"/>
          <w:spacing w:val="-8"/>
          <w:sz w:val="16"/>
          <w:szCs w:val="16"/>
          <w:lang w:val="es-ES_tradnl"/>
        </w:rPr>
        <w:t>ó</w:t>
      </w:r>
      <w:r>
        <w:rPr>
          <w:spacing w:val="-8"/>
          <w:sz w:val="16"/>
          <w:szCs w:val="16"/>
          <w:lang w:val="es-ES_tradnl"/>
        </w:rPr>
        <w:t xml:space="preserve">n de los derechos constitucionales que </w:t>
      </w:r>
      <w:r>
        <w:rPr>
          <w:spacing w:val="-5"/>
          <w:sz w:val="16"/>
          <w:szCs w:val="16"/>
          <w:lang w:val="es-ES_tradnl"/>
        </w:rPr>
        <w:t>motivan esta acci</w:t>
      </w:r>
      <w:r>
        <w:rPr>
          <w:rFonts w:cs="Times New Roman"/>
          <w:spacing w:val="-5"/>
          <w:sz w:val="16"/>
          <w:szCs w:val="16"/>
          <w:lang w:val="es-ES_tradnl"/>
        </w:rPr>
        <w:t>ó</w:t>
      </w:r>
      <w:r>
        <w:rPr>
          <w:spacing w:val="-5"/>
          <w:sz w:val="16"/>
          <w:szCs w:val="16"/>
          <w:lang w:val="es-ES_tradnl"/>
        </w:rPr>
        <w:t>n, con lo anterior, justificar</w:t>
      </w:r>
      <w:r>
        <w:rPr>
          <w:rFonts w:cs="Times New Roman"/>
          <w:spacing w:val="-5"/>
          <w:sz w:val="16"/>
          <w:szCs w:val="16"/>
          <w:lang w:val="es-ES_tradnl"/>
        </w:rPr>
        <w:t>é</w:t>
      </w:r>
      <w:r>
        <w:rPr>
          <w:spacing w:val="-5"/>
          <w:sz w:val="16"/>
          <w:szCs w:val="16"/>
          <w:lang w:val="es-ES_tradnl"/>
        </w:rPr>
        <w:t xml:space="preserve"> la relevancia constitucional por lo cual, se evidencia que la sentencia de </w:t>
      </w:r>
      <w:r>
        <w:rPr>
          <w:spacing w:val="-7"/>
          <w:sz w:val="16"/>
          <w:szCs w:val="16"/>
          <w:lang w:val="es-ES_tradnl"/>
        </w:rPr>
        <w:t>fecha 31 de octubre del 2012, suscrita por los se</w:t>
      </w:r>
      <w:r>
        <w:rPr>
          <w:rFonts w:cs="Times New Roman"/>
          <w:spacing w:val="-7"/>
          <w:sz w:val="16"/>
          <w:szCs w:val="16"/>
          <w:lang w:val="es-ES_tradnl"/>
        </w:rPr>
        <w:t>ñ</w:t>
      </w:r>
      <w:r>
        <w:rPr>
          <w:spacing w:val="-7"/>
          <w:sz w:val="16"/>
          <w:szCs w:val="16"/>
          <w:lang w:val="es-ES_tradnl"/>
        </w:rPr>
        <w:t xml:space="preserve">ores Jueces </w:t>
      </w:r>
      <w:r>
        <w:rPr>
          <w:spacing w:val="-6"/>
          <w:sz w:val="16"/>
          <w:szCs w:val="16"/>
          <w:lang w:val="es-ES_tradnl"/>
        </w:rPr>
        <w:t>de la Tercera Sala de lo Penal, Colusorios y de Tr</w:t>
      </w:r>
      <w:r>
        <w:rPr>
          <w:rFonts w:cs="Times New Roman"/>
          <w:spacing w:val="-6"/>
          <w:sz w:val="16"/>
          <w:szCs w:val="16"/>
          <w:lang w:val="es-ES_tradnl"/>
        </w:rPr>
        <w:t>á</w:t>
      </w:r>
      <w:r>
        <w:rPr>
          <w:spacing w:val="-6"/>
          <w:sz w:val="16"/>
          <w:szCs w:val="16"/>
          <w:lang w:val="es-ES_tradnl"/>
        </w:rPr>
        <w:t xml:space="preserve">nsito de la </w:t>
      </w:r>
      <w:r>
        <w:rPr>
          <w:spacing w:val="-5"/>
          <w:sz w:val="16"/>
          <w:szCs w:val="16"/>
          <w:lang w:val="es-ES_tradnl"/>
        </w:rPr>
        <w:t xml:space="preserve">Corte Provincial del Guayas, confirman en todas sus partes la sentencia dictada por la jueza a </w:t>
      </w:r>
      <w:r>
        <w:rPr>
          <w:rFonts w:cs="Times New Roman"/>
          <w:spacing w:val="-5"/>
          <w:sz w:val="16"/>
          <w:szCs w:val="16"/>
          <w:lang w:val="es-ES_tradnl"/>
        </w:rPr>
        <w:t>–</w:t>
      </w:r>
      <w:r>
        <w:rPr>
          <w:spacing w:val="-5"/>
          <w:sz w:val="16"/>
          <w:szCs w:val="16"/>
          <w:lang w:val="es-ES_tradnl"/>
        </w:rPr>
        <w:t xml:space="preserve">quo, sentencia violatoria </w:t>
      </w:r>
      <w:r>
        <w:rPr>
          <w:spacing w:val="-4"/>
          <w:sz w:val="16"/>
          <w:szCs w:val="16"/>
          <w:lang w:val="es-ES_tradnl"/>
        </w:rPr>
        <w:t xml:space="preserve">del derecho constitucional, al debido proceso por falta de </w:t>
      </w:r>
      <w:r>
        <w:rPr>
          <w:spacing w:val="-1"/>
          <w:sz w:val="16"/>
          <w:szCs w:val="16"/>
          <w:lang w:val="es-ES_tradnl"/>
        </w:rPr>
        <w:t>motivaci</w:t>
      </w:r>
      <w:r>
        <w:rPr>
          <w:rFonts w:cs="Times New Roman"/>
          <w:spacing w:val="-1"/>
          <w:sz w:val="16"/>
          <w:szCs w:val="16"/>
          <w:lang w:val="es-ES_tradnl"/>
        </w:rPr>
        <w:t>ó</w:t>
      </w:r>
      <w:r>
        <w:rPr>
          <w:spacing w:val="-1"/>
          <w:sz w:val="16"/>
          <w:szCs w:val="16"/>
          <w:lang w:val="es-ES_tradnl"/>
        </w:rPr>
        <w:t>n, principios de seguridad jur</w:t>
      </w:r>
      <w:r>
        <w:rPr>
          <w:rFonts w:cs="Times New Roman"/>
          <w:spacing w:val="-1"/>
          <w:sz w:val="16"/>
          <w:szCs w:val="16"/>
          <w:lang w:val="es-ES_tradnl"/>
        </w:rPr>
        <w:t>í</w:t>
      </w:r>
      <w:r>
        <w:rPr>
          <w:spacing w:val="-1"/>
          <w:sz w:val="16"/>
          <w:szCs w:val="16"/>
          <w:lang w:val="es-ES_tradnl"/>
        </w:rPr>
        <w:t xml:space="preserve">dica, tutela judicial </w:t>
      </w:r>
      <w:r>
        <w:rPr>
          <w:spacing w:val="-6"/>
          <w:sz w:val="16"/>
          <w:szCs w:val="16"/>
          <w:lang w:val="es-ES_tradnl"/>
        </w:rPr>
        <w:t xml:space="preserve">y legalidad, lo que arroja como resultado, que en las sendas </w:t>
      </w:r>
      <w:r>
        <w:rPr>
          <w:spacing w:val="-4"/>
          <w:sz w:val="16"/>
          <w:szCs w:val="16"/>
          <w:lang w:val="es-ES_tradnl"/>
        </w:rPr>
        <w:t>sentencias existan graves errores de convicci</w:t>
      </w:r>
      <w:r>
        <w:rPr>
          <w:rFonts w:cs="Times New Roman"/>
          <w:spacing w:val="-4"/>
          <w:sz w:val="16"/>
          <w:szCs w:val="16"/>
          <w:lang w:val="es-ES_tradnl"/>
        </w:rPr>
        <w:t>ó</w:t>
      </w:r>
      <w:r>
        <w:rPr>
          <w:spacing w:val="-4"/>
          <w:sz w:val="16"/>
          <w:szCs w:val="16"/>
          <w:lang w:val="es-ES_tradnl"/>
        </w:rPr>
        <w:t>n jur</w:t>
      </w:r>
      <w:r>
        <w:rPr>
          <w:rFonts w:cs="Times New Roman"/>
          <w:spacing w:val="-4"/>
          <w:sz w:val="16"/>
          <w:szCs w:val="16"/>
          <w:lang w:val="es-ES_tradnl"/>
        </w:rPr>
        <w:t>í</w:t>
      </w:r>
      <w:r>
        <w:rPr>
          <w:spacing w:val="-4"/>
          <w:sz w:val="16"/>
          <w:szCs w:val="16"/>
          <w:lang w:val="es-ES_tradnl"/>
        </w:rPr>
        <w:t xml:space="preserve">dica, </w:t>
      </w:r>
      <w:r>
        <w:rPr>
          <w:spacing w:val="-6"/>
          <w:sz w:val="16"/>
          <w:szCs w:val="16"/>
          <w:lang w:val="es-ES_tradnl"/>
        </w:rPr>
        <w:t>cometidos por los se</w:t>
      </w:r>
      <w:r>
        <w:rPr>
          <w:rFonts w:cs="Times New Roman"/>
          <w:spacing w:val="-6"/>
          <w:sz w:val="16"/>
          <w:szCs w:val="16"/>
          <w:lang w:val="es-ES_tradnl"/>
        </w:rPr>
        <w:t>ñ</w:t>
      </w:r>
      <w:r>
        <w:rPr>
          <w:spacing w:val="-6"/>
          <w:sz w:val="16"/>
          <w:szCs w:val="16"/>
          <w:lang w:val="es-ES_tradnl"/>
        </w:rPr>
        <w:t xml:space="preserve">ores jueces al momento de tratar de </w:t>
      </w:r>
      <w:r>
        <w:rPr>
          <w:sz w:val="16"/>
          <w:szCs w:val="16"/>
          <w:lang w:val="es-ES_tradnl"/>
        </w:rPr>
        <w:t>motivar su fallo.</w:t>
      </w:r>
    </w:p>
    <w:p w14:paraId="4F67AD8C" w14:textId="77777777" w:rsidR="00591D54" w:rsidRDefault="00591D54">
      <w:pPr>
        <w:shd w:val="clear" w:color="auto" w:fill="FFFFFF"/>
        <w:spacing w:before="206" w:line="230" w:lineRule="exact"/>
        <w:jc w:val="both"/>
      </w:pPr>
      <w:r>
        <w:rPr>
          <w:spacing w:val="-7"/>
          <w:sz w:val="18"/>
          <w:szCs w:val="18"/>
          <w:lang w:val="es-ES_tradnl"/>
        </w:rPr>
        <w:t>As</w:t>
      </w:r>
      <w:r>
        <w:rPr>
          <w:rFonts w:cs="Times New Roman"/>
          <w:spacing w:val="-7"/>
          <w:sz w:val="18"/>
          <w:szCs w:val="18"/>
          <w:lang w:val="es-ES_tradnl"/>
        </w:rPr>
        <w:t>í</w:t>
      </w:r>
      <w:r>
        <w:rPr>
          <w:spacing w:val="-7"/>
          <w:sz w:val="18"/>
          <w:szCs w:val="18"/>
          <w:lang w:val="es-ES_tradnl"/>
        </w:rPr>
        <w:t xml:space="preserve"> tambi</w:t>
      </w:r>
      <w:r>
        <w:rPr>
          <w:rFonts w:cs="Times New Roman"/>
          <w:spacing w:val="-7"/>
          <w:sz w:val="18"/>
          <w:szCs w:val="18"/>
          <w:lang w:val="es-ES_tradnl"/>
        </w:rPr>
        <w:t>é</w:t>
      </w:r>
      <w:r>
        <w:rPr>
          <w:spacing w:val="-7"/>
          <w:sz w:val="18"/>
          <w:szCs w:val="18"/>
          <w:lang w:val="es-ES_tradnl"/>
        </w:rPr>
        <w:t>n, la Procuradur</w:t>
      </w:r>
      <w:r>
        <w:rPr>
          <w:rFonts w:cs="Times New Roman"/>
          <w:spacing w:val="-7"/>
          <w:sz w:val="18"/>
          <w:szCs w:val="18"/>
          <w:lang w:val="es-ES_tradnl"/>
        </w:rPr>
        <w:t>í</w:t>
      </w:r>
      <w:r>
        <w:rPr>
          <w:spacing w:val="-7"/>
          <w:sz w:val="18"/>
          <w:szCs w:val="18"/>
          <w:lang w:val="es-ES_tradnl"/>
        </w:rPr>
        <w:t xml:space="preserve">a General del Estado respecto </w:t>
      </w:r>
      <w:r>
        <w:rPr>
          <w:sz w:val="18"/>
          <w:szCs w:val="18"/>
          <w:lang w:val="es-ES_tradnl"/>
        </w:rPr>
        <w:t>de este asunto en su demanda se</w:t>
      </w:r>
      <w:r>
        <w:rPr>
          <w:rFonts w:cs="Times New Roman"/>
          <w:sz w:val="18"/>
          <w:szCs w:val="18"/>
          <w:lang w:val="es-ES_tradnl"/>
        </w:rPr>
        <w:t>ñ</w:t>
      </w:r>
      <w:r>
        <w:rPr>
          <w:sz w:val="18"/>
          <w:szCs w:val="18"/>
          <w:lang w:val="es-ES_tradnl"/>
        </w:rPr>
        <w:t>al</w:t>
      </w:r>
      <w:r>
        <w:rPr>
          <w:rFonts w:cs="Times New Roman"/>
          <w:sz w:val="18"/>
          <w:szCs w:val="18"/>
          <w:lang w:val="es-ES_tradnl"/>
        </w:rPr>
        <w:t>ó</w:t>
      </w:r>
      <w:r>
        <w:rPr>
          <w:sz w:val="18"/>
          <w:szCs w:val="18"/>
          <w:lang w:val="es-ES_tradnl"/>
        </w:rPr>
        <w:t>:</w:t>
      </w:r>
    </w:p>
    <w:p w14:paraId="4F67AD8D" w14:textId="77777777" w:rsidR="00591D54" w:rsidRDefault="00591D54">
      <w:pPr>
        <w:shd w:val="clear" w:color="auto" w:fill="FFFFFF"/>
        <w:spacing w:before="206" w:line="226" w:lineRule="exact"/>
        <w:ind w:left="283"/>
        <w:jc w:val="both"/>
      </w:pPr>
      <w:r>
        <w:rPr>
          <w:spacing w:val="-10"/>
          <w:sz w:val="16"/>
          <w:szCs w:val="16"/>
          <w:lang w:val="es-ES_tradnl"/>
        </w:rPr>
        <w:t>Las sentencias contra las que estamos presentando esta Acci</w:t>
      </w:r>
      <w:r>
        <w:rPr>
          <w:rFonts w:cs="Times New Roman"/>
          <w:spacing w:val="-10"/>
          <w:sz w:val="16"/>
          <w:szCs w:val="16"/>
          <w:lang w:val="es-ES_tradnl"/>
        </w:rPr>
        <w:t>ó</w:t>
      </w:r>
      <w:r>
        <w:rPr>
          <w:spacing w:val="-10"/>
          <w:sz w:val="16"/>
          <w:szCs w:val="16"/>
          <w:lang w:val="es-ES_tradnl"/>
        </w:rPr>
        <w:t xml:space="preserve">n </w:t>
      </w:r>
      <w:r>
        <w:rPr>
          <w:spacing w:val="-5"/>
          <w:sz w:val="16"/>
          <w:szCs w:val="16"/>
          <w:lang w:val="es-ES_tradnl"/>
        </w:rPr>
        <w:t>Extraordinaria de Protecci</w:t>
      </w:r>
      <w:r>
        <w:rPr>
          <w:rFonts w:cs="Times New Roman"/>
          <w:spacing w:val="-5"/>
          <w:sz w:val="16"/>
          <w:szCs w:val="16"/>
          <w:lang w:val="es-ES_tradnl"/>
        </w:rPr>
        <w:t>ó</w:t>
      </w:r>
      <w:r>
        <w:rPr>
          <w:spacing w:val="-5"/>
          <w:sz w:val="16"/>
          <w:szCs w:val="16"/>
          <w:lang w:val="es-ES_tradnl"/>
        </w:rPr>
        <w:t>n, no respetan la Supremac</w:t>
      </w:r>
      <w:r>
        <w:rPr>
          <w:rFonts w:cs="Times New Roman"/>
          <w:spacing w:val="-5"/>
          <w:sz w:val="16"/>
          <w:szCs w:val="16"/>
          <w:lang w:val="es-ES_tradnl"/>
        </w:rPr>
        <w:t>í</w:t>
      </w:r>
      <w:r>
        <w:rPr>
          <w:spacing w:val="-5"/>
          <w:sz w:val="16"/>
          <w:szCs w:val="16"/>
          <w:lang w:val="es-ES_tradnl"/>
        </w:rPr>
        <w:t xml:space="preserve">a de </w:t>
      </w:r>
      <w:r>
        <w:rPr>
          <w:spacing w:val="-3"/>
          <w:sz w:val="16"/>
          <w:szCs w:val="16"/>
          <w:lang w:val="es-ES_tradnl"/>
        </w:rPr>
        <w:t>la Constituci</w:t>
      </w:r>
      <w:r>
        <w:rPr>
          <w:rFonts w:cs="Times New Roman"/>
          <w:spacing w:val="-3"/>
          <w:sz w:val="16"/>
          <w:szCs w:val="16"/>
          <w:lang w:val="es-ES_tradnl"/>
        </w:rPr>
        <w:t>ó</w:t>
      </w:r>
      <w:r>
        <w:rPr>
          <w:spacing w:val="-3"/>
          <w:sz w:val="16"/>
          <w:szCs w:val="16"/>
          <w:lang w:val="es-ES_tradnl"/>
        </w:rPr>
        <w:t>n y su aplicaci</w:t>
      </w:r>
      <w:r>
        <w:rPr>
          <w:rFonts w:cs="Times New Roman"/>
          <w:spacing w:val="-3"/>
          <w:sz w:val="16"/>
          <w:szCs w:val="16"/>
          <w:lang w:val="es-ES_tradnl"/>
        </w:rPr>
        <w:t>ó</w:t>
      </w:r>
      <w:r>
        <w:rPr>
          <w:spacing w:val="-3"/>
          <w:sz w:val="16"/>
          <w:szCs w:val="16"/>
          <w:lang w:val="es-ES_tradnl"/>
        </w:rPr>
        <w:t xml:space="preserve">n garantista, que estipula que </w:t>
      </w:r>
      <w:r>
        <w:rPr>
          <w:spacing w:val="-4"/>
          <w:sz w:val="16"/>
          <w:szCs w:val="16"/>
          <w:lang w:val="es-ES_tradnl"/>
        </w:rPr>
        <w:t>la sola omisi</w:t>
      </w:r>
      <w:r>
        <w:rPr>
          <w:rFonts w:cs="Times New Roman"/>
          <w:spacing w:val="-4"/>
          <w:sz w:val="16"/>
          <w:szCs w:val="16"/>
          <w:lang w:val="es-ES_tradnl"/>
        </w:rPr>
        <w:t>ó</w:t>
      </w:r>
      <w:r>
        <w:rPr>
          <w:spacing w:val="-4"/>
          <w:sz w:val="16"/>
          <w:szCs w:val="16"/>
          <w:lang w:val="es-ES_tradnl"/>
        </w:rPr>
        <w:t>n de solemnidades no justifica la denegaci</w:t>
      </w:r>
      <w:r>
        <w:rPr>
          <w:rFonts w:cs="Times New Roman"/>
          <w:spacing w:val="-4"/>
          <w:sz w:val="16"/>
          <w:szCs w:val="16"/>
          <w:lang w:val="es-ES_tradnl"/>
        </w:rPr>
        <w:t>ó</w:t>
      </w:r>
      <w:r>
        <w:rPr>
          <w:spacing w:val="-4"/>
          <w:sz w:val="16"/>
          <w:szCs w:val="16"/>
          <w:lang w:val="es-ES_tradnl"/>
        </w:rPr>
        <w:t xml:space="preserve">n de justicia, esto en cuanto a que el Estado, que si bien no </w:t>
      </w:r>
      <w:r>
        <w:rPr>
          <w:spacing w:val="-5"/>
          <w:sz w:val="16"/>
          <w:szCs w:val="16"/>
          <w:lang w:val="es-ES_tradnl"/>
        </w:rPr>
        <w:t xml:space="preserve">pudo acudir a la Audiencia por causas imposibles de resistir, </w:t>
      </w:r>
      <w:r>
        <w:rPr>
          <w:spacing w:val="-6"/>
          <w:sz w:val="16"/>
          <w:szCs w:val="16"/>
          <w:lang w:val="es-ES_tradnl"/>
        </w:rPr>
        <w:t>s</w:t>
      </w:r>
      <w:r>
        <w:rPr>
          <w:rFonts w:cs="Times New Roman"/>
          <w:spacing w:val="-6"/>
          <w:sz w:val="16"/>
          <w:szCs w:val="16"/>
          <w:lang w:val="es-ES_tradnl"/>
        </w:rPr>
        <w:t>í</w:t>
      </w:r>
      <w:r>
        <w:rPr>
          <w:spacing w:val="-6"/>
          <w:sz w:val="16"/>
          <w:szCs w:val="16"/>
          <w:lang w:val="es-ES_tradnl"/>
        </w:rPr>
        <w:t xml:space="preserve"> expuso sus argumentos con anterioridad a la emisi</w:t>
      </w:r>
      <w:r>
        <w:rPr>
          <w:rFonts w:cs="Times New Roman"/>
          <w:spacing w:val="-6"/>
          <w:sz w:val="16"/>
          <w:szCs w:val="16"/>
          <w:lang w:val="es-ES_tradnl"/>
        </w:rPr>
        <w:t>ó</w:t>
      </w:r>
      <w:r>
        <w:rPr>
          <w:spacing w:val="-6"/>
          <w:sz w:val="16"/>
          <w:szCs w:val="16"/>
          <w:lang w:val="es-ES_tradnl"/>
        </w:rPr>
        <w:t xml:space="preserve">n de la </w:t>
      </w:r>
      <w:r>
        <w:rPr>
          <w:spacing w:val="-8"/>
          <w:sz w:val="16"/>
          <w:szCs w:val="16"/>
          <w:lang w:val="es-ES_tradnl"/>
        </w:rPr>
        <w:t>sentencia, y solicit</w:t>
      </w:r>
      <w:r>
        <w:rPr>
          <w:rFonts w:cs="Times New Roman"/>
          <w:spacing w:val="-8"/>
          <w:sz w:val="16"/>
          <w:szCs w:val="16"/>
          <w:lang w:val="es-ES_tradnl"/>
        </w:rPr>
        <w:t>ó</w:t>
      </w:r>
      <w:r>
        <w:rPr>
          <w:spacing w:val="-8"/>
          <w:sz w:val="16"/>
          <w:szCs w:val="16"/>
          <w:lang w:val="es-ES_tradnl"/>
        </w:rPr>
        <w:t xml:space="preserve"> ser escuchado en la segunda instancia sin </w:t>
      </w:r>
      <w:r>
        <w:rPr>
          <w:spacing w:val="-5"/>
          <w:sz w:val="16"/>
          <w:szCs w:val="16"/>
          <w:lang w:val="es-ES_tradnl"/>
        </w:rPr>
        <w:t>que se haya atendido la solicitud del Estado.</w:t>
      </w:r>
    </w:p>
    <w:p w14:paraId="4F67AD8E" w14:textId="77777777" w:rsidR="00591D54" w:rsidRDefault="00591D54">
      <w:pPr>
        <w:shd w:val="clear" w:color="auto" w:fill="FFFFFF"/>
        <w:spacing w:before="216" w:line="226" w:lineRule="exact"/>
        <w:jc w:val="both"/>
      </w:pPr>
      <w:r>
        <w:rPr>
          <w:spacing w:val="-7"/>
          <w:sz w:val="18"/>
          <w:szCs w:val="18"/>
          <w:lang w:val="es-ES_tradnl"/>
        </w:rPr>
        <w:t xml:space="preserve">Partiendo de este postulado, es importante establecer que </w:t>
      </w:r>
      <w:r>
        <w:rPr>
          <w:spacing w:val="-4"/>
          <w:sz w:val="18"/>
          <w:szCs w:val="18"/>
          <w:lang w:val="es-ES_tradnl"/>
        </w:rPr>
        <w:t>la Constituci</w:t>
      </w:r>
      <w:r>
        <w:rPr>
          <w:rFonts w:cs="Times New Roman"/>
          <w:spacing w:val="-4"/>
          <w:sz w:val="18"/>
          <w:szCs w:val="18"/>
          <w:lang w:val="es-ES_tradnl"/>
        </w:rPr>
        <w:t>ó</w:t>
      </w:r>
      <w:r>
        <w:rPr>
          <w:spacing w:val="-4"/>
          <w:sz w:val="18"/>
          <w:szCs w:val="18"/>
          <w:lang w:val="es-ES_tradnl"/>
        </w:rPr>
        <w:t>n de la Rep</w:t>
      </w:r>
      <w:r>
        <w:rPr>
          <w:rFonts w:cs="Times New Roman"/>
          <w:spacing w:val="-4"/>
          <w:sz w:val="18"/>
          <w:szCs w:val="18"/>
          <w:lang w:val="es-ES_tradnl"/>
        </w:rPr>
        <w:t>ú</w:t>
      </w:r>
      <w:r>
        <w:rPr>
          <w:spacing w:val="-4"/>
          <w:sz w:val="18"/>
          <w:szCs w:val="18"/>
          <w:lang w:val="es-ES_tradnl"/>
        </w:rPr>
        <w:t xml:space="preserve">blica define el derecho a la </w:t>
      </w:r>
      <w:r>
        <w:rPr>
          <w:spacing w:val="-6"/>
          <w:sz w:val="18"/>
          <w:szCs w:val="18"/>
          <w:lang w:val="es-ES_tradnl"/>
        </w:rPr>
        <w:t>seguridad jur</w:t>
      </w:r>
      <w:r>
        <w:rPr>
          <w:rFonts w:cs="Times New Roman"/>
          <w:spacing w:val="-6"/>
          <w:sz w:val="18"/>
          <w:szCs w:val="18"/>
          <w:lang w:val="es-ES_tradnl"/>
        </w:rPr>
        <w:t>í</w:t>
      </w:r>
      <w:r>
        <w:rPr>
          <w:spacing w:val="-6"/>
          <w:sz w:val="18"/>
          <w:szCs w:val="18"/>
          <w:lang w:val="es-ES_tradnl"/>
        </w:rPr>
        <w:t>dica como el respeto a la Constituci</w:t>
      </w:r>
      <w:r>
        <w:rPr>
          <w:rFonts w:cs="Times New Roman"/>
          <w:spacing w:val="-6"/>
          <w:sz w:val="18"/>
          <w:szCs w:val="18"/>
          <w:lang w:val="es-ES_tradnl"/>
        </w:rPr>
        <w:t>ó</w:t>
      </w:r>
      <w:r>
        <w:rPr>
          <w:spacing w:val="-6"/>
          <w:sz w:val="18"/>
          <w:szCs w:val="18"/>
          <w:lang w:val="es-ES_tradnl"/>
        </w:rPr>
        <w:t xml:space="preserve">n, y en </w:t>
      </w:r>
      <w:r>
        <w:rPr>
          <w:spacing w:val="-5"/>
          <w:sz w:val="18"/>
          <w:szCs w:val="18"/>
          <w:lang w:val="es-ES_tradnl"/>
        </w:rPr>
        <w:t>la existencia de normas jur</w:t>
      </w:r>
      <w:r>
        <w:rPr>
          <w:rFonts w:cs="Times New Roman"/>
          <w:spacing w:val="-5"/>
          <w:sz w:val="18"/>
          <w:szCs w:val="18"/>
          <w:lang w:val="es-ES_tradnl"/>
        </w:rPr>
        <w:t>í</w:t>
      </w:r>
      <w:r>
        <w:rPr>
          <w:spacing w:val="-5"/>
          <w:sz w:val="18"/>
          <w:szCs w:val="18"/>
          <w:lang w:val="es-ES_tradnl"/>
        </w:rPr>
        <w:t>dicas previas, claras, p</w:t>
      </w:r>
      <w:r>
        <w:rPr>
          <w:rFonts w:cs="Times New Roman"/>
          <w:spacing w:val="-5"/>
          <w:sz w:val="18"/>
          <w:szCs w:val="18"/>
          <w:lang w:val="es-ES_tradnl"/>
        </w:rPr>
        <w:t>ú</w:t>
      </w:r>
      <w:r>
        <w:rPr>
          <w:spacing w:val="-5"/>
          <w:sz w:val="18"/>
          <w:szCs w:val="18"/>
          <w:lang w:val="es-ES_tradnl"/>
        </w:rPr>
        <w:t xml:space="preserve">blicas </w:t>
      </w:r>
      <w:r>
        <w:rPr>
          <w:spacing w:val="-8"/>
          <w:sz w:val="18"/>
          <w:szCs w:val="18"/>
          <w:lang w:val="es-ES_tradnl"/>
        </w:rPr>
        <w:t>y aplicadas por las autoridades competentes</w:t>
      </w:r>
      <w:r>
        <w:rPr>
          <w:spacing w:val="-8"/>
          <w:sz w:val="18"/>
          <w:szCs w:val="18"/>
          <w:vertAlign w:val="superscript"/>
          <w:lang w:val="es-ES_tradnl"/>
        </w:rPr>
        <w:t>3</w:t>
      </w:r>
      <w:r>
        <w:rPr>
          <w:spacing w:val="-8"/>
          <w:sz w:val="18"/>
          <w:szCs w:val="18"/>
          <w:lang w:val="es-ES_tradnl"/>
        </w:rPr>
        <w:t>.</w:t>
      </w:r>
    </w:p>
    <w:p w14:paraId="4F67AD8F" w14:textId="77777777" w:rsidR="00591D54" w:rsidRDefault="00591D54">
      <w:pPr>
        <w:shd w:val="clear" w:color="auto" w:fill="FFFFFF"/>
        <w:spacing w:before="206" w:line="226" w:lineRule="exact"/>
        <w:jc w:val="both"/>
      </w:pPr>
      <w:r>
        <w:rPr>
          <w:spacing w:val="-1"/>
          <w:sz w:val="18"/>
          <w:szCs w:val="18"/>
          <w:lang w:val="es-ES_tradnl"/>
        </w:rPr>
        <w:t xml:space="preserve">Por lo expuesto, es fundamental determinar si las </w:t>
      </w:r>
      <w:r>
        <w:rPr>
          <w:spacing w:val="-2"/>
          <w:sz w:val="18"/>
          <w:szCs w:val="18"/>
          <w:lang w:val="es-ES_tradnl"/>
        </w:rPr>
        <w:t>sentencias objeto de esta acci</w:t>
      </w:r>
      <w:r>
        <w:rPr>
          <w:rFonts w:cs="Times New Roman"/>
          <w:spacing w:val="-2"/>
          <w:sz w:val="18"/>
          <w:szCs w:val="18"/>
          <w:lang w:val="es-ES_tradnl"/>
        </w:rPr>
        <w:t>ó</w:t>
      </w:r>
      <w:r>
        <w:rPr>
          <w:spacing w:val="-2"/>
          <w:sz w:val="18"/>
          <w:szCs w:val="18"/>
          <w:lang w:val="es-ES_tradnl"/>
        </w:rPr>
        <w:t>n extraordinaria de protecci</w:t>
      </w:r>
      <w:r>
        <w:rPr>
          <w:rFonts w:cs="Times New Roman"/>
          <w:spacing w:val="-2"/>
          <w:sz w:val="18"/>
          <w:szCs w:val="18"/>
          <w:lang w:val="es-ES_tradnl"/>
        </w:rPr>
        <w:t>ó</w:t>
      </w:r>
      <w:r>
        <w:rPr>
          <w:spacing w:val="-2"/>
          <w:sz w:val="18"/>
          <w:szCs w:val="18"/>
          <w:lang w:val="es-ES_tradnl"/>
        </w:rPr>
        <w:t xml:space="preserve">n han vulnerado el derecho a la seguridad </w:t>
      </w:r>
      <w:r>
        <w:rPr>
          <w:spacing w:val="-7"/>
          <w:sz w:val="18"/>
          <w:szCs w:val="18"/>
          <w:lang w:val="es-ES_tradnl"/>
        </w:rPr>
        <w:t>jur</w:t>
      </w:r>
      <w:r>
        <w:rPr>
          <w:rFonts w:cs="Times New Roman"/>
          <w:spacing w:val="-7"/>
          <w:sz w:val="18"/>
          <w:szCs w:val="18"/>
          <w:lang w:val="es-ES_tradnl"/>
        </w:rPr>
        <w:t>í</w:t>
      </w:r>
      <w:r>
        <w:rPr>
          <w:spacing w:val="-7"/>
          <w:sz w:val="18"/>
          <w:szCs w:val="18"/>
          <w:lang w:val="es-ES_tradnl"/>
        </w:rPr>
        <w:t>dica, siendo importante en este punto establecer c</w:t>
      </w:r>
      <w:r>
        <w:rPr>
          <w:rFonts w:cs="Times New Roman"/>
          <w:spacing w:val="-7"/>
          <w:sz w:val="18"/>
          <w:szCs w:val="18"/>
          <w:lang w:val="es-ES_tradnl"/>
        </w:rPr>
        <w:t>ó</w:t>
      </w:r>
      <w:r>
        <w:rPr>
          <w:spacing w:val="-7"/>
          <w:sz w:val="18"/>
          <w:szCs w:val="18"/>
          <w:lang w:val="es-ES_tradnl"/>
        </w:rPr>
        <w:t xml:space="preserve">mo </w:t>
      </w:r>
      <w:r>
        <w:rPr>
          <w:spacing w:val="-8"/>
          <w:sz w:val="18"/>
          <w:szCs w:val="18"/>
          <w:lang w:val="es-ES_tradnl"/>
        </w:rPr>
        <w:t>se ha manifestado en casos anteriores esta Corte.</w:t>
      </w:r>
    </w:p>
    <w:p w14:paraId="4F67AD90" w14:textId="77777777" w:rsidR="00591D54" w:rsidRDefault="00591D54">
      <w:pPr>
        <w:shd w:val="clear" w:color="auto" w:fill="FFFFFF"/>
        <w:spacing w:before="202" w:line="226" w:lineRule="exact"/>
        <w:jc w:val="both"/>
      </w:pPr>
      <w:r>
        <w:rPr>
          <w:spacing w:val="-6"/>
          <w:sz w:val="18"/>
          <w:szCs w:val="18"/>
          <w:lang w:val="es-ES_tradnl"/>
        </w:rPr>
        <w:t>Es as</w:t>
      </w:r>
      <w:r>
        <w:rPr>
          <w:rFonts w:cs="Times New Roman"/>
          <w:spacing w:val="-6"/>
          <w:sz w:val="18"/>
          <w:szCs w:val="18"/>
          <w:lang w:val="es-ES_tradnl"/>
        </w:rPr>
        <w:t>í</w:t>
      </w:r>
      <w:r>
        <w:rPr>
          <w:spacing w:val="-6"/>
          <w:sz w:val="18"/>
          <w:szCs w:val="18"/>
          <w:lang w:val="es-ES_tradnl"/>
        </w:rPr>
        <w:t xml:space="preserve"> que en la sentencia 020-14-SEP-CC, (caso 0739-</w:t>
      </w:r>
      <w:r>
        <w:rPr>
          <w:spacing w:val="-3"/>
          <w:sz w:val="18"/>
          <w:szCs w:val="18"/>
          <w:lang w:val="es-ES_tradnl"/>
        </w:rPr>
        <w:t>11-EP), se puede verificar una explicaci</w:t>
      </w:r>
      <w:r>
        <w:rPr>
          <w:rFonts w:cs="Times New Roman"/>
          <w:spacing w:val="-3"/>
          <w:sz w:val="18"/>
          <w:szCs w:val="18"/>
          <w:lang w:val="es-ES_tradnl"/>
        </w:rPr>
        <w:t>ó</w:t>
      </w:r>
      <w:r>
        <w:rPr>
          <w:spacing w:val="-3"/>
          <w:sz w:val="18"/>
          <w:szCs w:val="18"/>
          <w:lang w:val="es-ES_tradnl"/>
        </w:rPr>
        <w:t xml:space="preserve">n completa y </w:t>
      </w:r>
      <w:r>
        <w:rPr>
          <w:spacing w:val="-7"/>
          <w:sz w:val="18"/>
          <w:szCs w:val="18"/>
          <w:lang w:val="es-ES_tradnl"/>
        </w:rPr>
        <w:t>detallada respecto del derecho a la seguridad jur</w:t>
      </w:r>
      <w:r>
        <w:rPr>
          <w:rFonts w:cs="Times New Roman"/>
          <w:spacing w:val="-7"/>
          <w:sz w:val="18"/>
          <w:szCs w:val="18"/>
          <w:lang w:val="es-ES_tradnl"/>
        </w:rPr>
        <w:t>í</w:t>
      </w:r>
      <w:r>
        <w:rPr>
          <w:spacing w:val="-7"/>
          <w:sz w:val="18"/>
          <w:szCs w:val="18"/>
          <w:lang w:val="es-ES_tradnl"/>
        </w:rPr>
        <w:t xml:space="preserve">dica, que </w:t>
      </w:r>
      <w:r>
        <w:rPr>
          <w:sz w:val="18"/>
          <w:szCs w:val="18"/>
          <w:lang w:val="es-ES_tradnl"/>
        </w:rPr>
        <w:t>establece:</w:t>
      </w:r>
    </w:p>
    <w:p w14:paraId="4F67AD91" w14:textId="77777777" w:rsidR="00591D54" w:rsidRDefault="00591D54">
      <w:pPr>
        <w:shd w:val="clear" w:color="auto" w:fill="FFFFFF"/>
        <w:spacing w:before="206" w:line="226" w:lineRule="exact"/>
        <w:ind w:left="283"/>
        <w:jc w:val="both"/>
      </w:pPr>
      <w:r>
        <w:rPr>
          <w:spacing w:val="-5"/>
          <w:sz w:val="16"/>
          <w:szCs w:val="16"/>
          <w:lang w:val="es-ES_tradnl"/>
        </w:rPr>
        <w:t>El art</w:t>
      </w:r>
      <w:r>
        <w:rPr>
          <w:rFonts w:cs="Times New Roman"/>
          <w:spacing w:val="-5"/>
          <w:sz w:val="16"/>
          <w:szCs w:val="16"/>
          <w:lang w:val="es-ES_tradnl"/>
        </w:rPr>
        <w:t>í</w:t>
      </w:r>
      <w:r>
        <w:rPr>
          <w:spacing w:val="-5"/>
          <w:sz w:val="16"/>
          <w:szCs w:val="16"/>
          <w:lang w:val="es-ES_tradnl"/>
        </w:rPr>
        <w:t>culo 82 de la Constituci</w:t>
      </w:r>
      <w:r>
        <w:rPr>
          <w:rFonts w:cs="Times New Roman"/>
          <w:spacing w:val="-5"/>
          <w:sz w:val="16"/>
          <w:szCs w:val="16"/>
          <w:lang w:val="es-ES_tradnl"/>
        </w:rPr>
        <w:t>ó</w:t>
      </w:r>
      <w:r>
        <w:rPr>
          <w:spacing w:val="-5"/>
          <w:sz w:val="16"/>
          <w:szCs w:val="16"/>
          <w:lang w:val="es-ES_tradnl"/>
        </w:rPr>
        <w:t>n de la Rep</w:t>
      </w:r>
      <w:r>
        <w:rPr>
          <w:rFonts w:cs="Times New Roman"/>
          <w:spacing w:val="-5"/>
          <w:sz w:val="16"/>
          <w:szCs w:val="16"/>
          <w:lang w:val="es-ES_tradnl"/>
        </w:rPr>
        <w:t>ú</w:t>
      </w:r>
      <w:r>
        <w:rPr>
          <w:spacing w:val="-5"/>
          <w:sz w:val="16"/>
          <w:szCs w:val="16"/>
          <w:lang w:val="es-ES_tradnl"/>
        </w:rPr>
        <w:t xml:space="preserve">blica del Ecuador </w:t>
      </w:r>
      <w:r>
        <w:rPr>
          <w:spacing w:val="-2"/>
          <w:sz w:val="16"/>
          <w:szCs w:val="16"/>
          <w:lang w:val="es-ES_tradnl"/>
        </w:rPr>
        <w:t>garantiza el derecho a la seguridad jur</w:t>
      </w:r>
      <w:r>
        <w:rPr>
          <w:rFonts w:cs="Times New Roman"/>
          <w:spacing w:val="-2"/>
          <w:sz w:val="16"/>
          <w:szCs w:val="16"/>
          <w:lang w:val="es-ES_tradnl"/>
        </w:rPr>
        <w:t>í</w:t>
      </w:r>
      <w:r>
        <w:rPr>
          <w:spacing w:val="-2"/>
          <w:sz w:val="16"/>
          <w:szCs w:val="16"/>
          <w:lang w:val="es-ES_tradnl"/>
        </w:rPr>
        <w:t xml:space="preserve">dica, el mismo que </w:t>
      </w:r>
      <w:r>
        <w:rPr>
          <w:spacing w:val="-5"/>
          <w:sz w:val="16"/>
          <w:szCs w:val="16"/>
          <w:lang w:val="es-ES_tradnl"/>
        </w:rPr>
        <w:t>se fundamenta en el respeto a la Constituci</w:t>
      </w:r>
      <w:r>
        <w:rPr>
          <w:rFonts w:cs="Times New Roman"/>
          <w:spacing w:val="-5"/>
          <w:sz w:val="16"/>
          <w:szCs w:val="16"/>
          <w:lang w:val="es-ES_tradnl"/>
        </w:rPr>
        <w:t>ó</w:t>
      </w:r>
      <w:r>
        <w:rPr>
          <w:spacing w:val="-5"/>
          <w:sz w:val="16"/>
          <w:szCs w:val="16"/>
          <w:lang w:val="es-ES_tradnl"/>
        </w:rPr>
        <w:t xml:space="preserve">n como norma </w:t>
      </w:r>
      <w:r>
        <w:rPr>
          <w:spacing w:val="-2"/>
          <w:sz w:val="16"/>
          <w:szCs w:val="16"/>
          <w:lang w:val="es-ES_tradnl"/>
        </w:rPr>
        <w:t>suprema y en la existencia de normas jur</w:t>
      </w:r>
      <w:r>
        <w:rPr>
          <w:rFonts w:cs="Times New Roman"/>
          <w:spacing w:val="-2"/>
          <w:sz w:val="16"/>
          <w:szCs w:val="16"/>
          <w:lang w:val="es-ES_tradnl"/>
        </w:rPr>
        <w:t>í</w:t>
      </w:r>
      <w:r>
        <w:rPr>
          <w:spacing w:val="-2"/>
          <w:sz w:val="16"/>
          <w:szCs w:val="16"/>
          <w:lang w:val="es-ES_tradnl"/>
        </w:rPr>
        <w:t xml:space="preserve">dicas previas, </w:t>
      </w:r>
      <w:r>
        <w:rPr>
          <w:spacing w:val="-6"/>
          <w:sz w:val="16"/>
          <w:szCs w:val="16"/>
          <w:lang w:val="es-ES_tradnl"/>
        </w:rPr>
        <w:t>claras, p</w:t>
      </w:r>
      <w:r>
        <w:rPr>
          <w:rFonts w:cs="Times New Roman"/>
          <w:spacing w:val="-6"/>
          <w:sz w:val="16"/>
          <w:szCs w:val="16"/>
          <w:lang w:val="es-ES_tradnl"/>
        </w:rPr>
        <w:t>ú</w:t>
      </w:r>
      <w:r>
        <w:rPr>
          <w:spacing w:val="-6"/>
          <w:sz w:val="16"/>
          <w:szCs w:val="16"/>
          <w:lang w:val="es-ES_tradnl"/>
        </w:rPr>
        <w:t xml:space="preserve">blicas y aplicadas por las autoridades competentes. </w:t>
      </w:r>
      <w:r>
        <w:rPr>
          <w:spacing w:val="-4"/>
          <w:sz w:val="16"/>
          <w:szCs w:val="16"/>
          <w:lang w:val="es-ES_tradnl"/>
        </w:rPr>
        <w:t>Es decir, que el derecho a la seguridad jur</w:t>
      </w:r>
      <w:r>
        <w:rPr>
          <w:rFonts w:cs="Times New Roman"/>
          <w:spacing w:val="-4"/>
          <w:sz w:val="16"/>
          <w:szCs w:val="16"/>
          <w:lang w:val="es-ES_tradnl"/>
        </w:rPr>
        <w:t>í</w:t>
      </w:r>
      <w:r>
        <w:rPr>
          <w:spacing w:val="-4"/>
          <w:sz w:val="16"/>
          <w:szCs w:val="16"/>
          <w:lang w:val="es-ES_tradnl"/>
        </w:rPr>
        <w:t xml:space="preserve">dica conlleva la </w:t>
      </w:r>
      <w:r>
        <w:rPr>
          <w:spacing w:val="-3"/>
          <w:sz w:val="16"/>
          <w:szCs w:val="16"/>
          <w:lang w:val="es-ES_tradnl"/>
        </w:rPr>
        <w:t>confiabilidad en el orden jur</w:t>
      </w:r>
      <w:r>
        <w:rPr>
          <w:rFonts w:cs="Times New Roman"/>
          <w:spacing w:val="-3"/>
          <w:sz w:val="16"/>
          <w:szCs w:val="16"/>
          <w:lang w:val="es-ES_tradnl"/>
        </w:rPr>
        <w:t>í</w:t>
      </w:r>
      <w:r>
        <w:rPr>
          <w:spacing w:val="-3"/>
          <w:sz w:val="16"/>
          <w:szCs w:val="16"/>
          <w:lang w:val="es-ES_tradnl"/>
        </w:rPr>
        <w:t>dico que garantiza la sujeci</w:t>
      </w:r>
      <w:r>
        <w:rPr>
          <w:rFonts w:cs="Times New Roman"/>
          <w:spacing w:val="-3"/>
          <w:sz w:val="16"/>
          <w:szCs w:val="16"/>
          <w:lang w:val="es-ES_tradnl"/>
        </w:rPr>
        <w:t>ó</w:t>
      </w:r>
      <w:r>
        <w:rPr>
          <w:spacing w:val="-3"/>
          <w:sz w:val="16"/>
          <w:szCs w:val="16"/>
          <w:lang w:val="es-ES_tradnl"/>
        </w:rPr>
        <w:t xml:space="preserve">n </w:t>
      </w:r>
      <w:r>
        <w:rPr>
          <w:spacing w:val="-5"/>
          <w:sz w:val="16"/>
          <w:szCs w:val="16"/>
          <w:lang w:val="es-ES_tradnl"/>
        </w:rPr>
        <w:t>de todos los poderes del Estado a la Constituci</w:t>
      </w:r>
      <w:r>
        <w:rPr>
          <w:rFonts w:cs="Times New Roman"/>
          <w:spacing w:val="-5"/>
          <w:sz w:val="16"/>
          <w:szCs w:val="16"/>
          <w:lang w:val="es-ES_tradnl"/>
        </w:rPr>
        <w:t>ó</w:t>
      </w:r>
      <w:r>
        <w:rPr>
          <w:spacing w:val="-5"/>
          <w:sz w:val="16"/>
          <w:szCs w:val="16"/>
          <w:lang w:val="es-ES_tradnl"/>
        </w:rPr>
        <w:t xml:space="preserve">n y a la ley. </w:t>
      </w:r>
      <w:r>
        <w:rPr>
          <w:spacing w:val="-6"/>
          <w:sz w:val="16"/>
          <w:szCs w:val="16"/>
          <w:lang w:val="es-ES_tradnl"/>
        </w:rPr>
        <w:t>Es la garant</w:t>
      </w:r>
      <w:r>
        <w:rPr>
          <w:rFonts w:cs="Times New Roman"/>
          <w:spacing w:val="-6"/>
          <w:sz w:val="16"/>
          <w:szCs w:val="16"/>
          <w:lang w:val="es-ES_tradnl"/>
        </w:rPr>
        <w:t>í</w:t>
      </w:r>
      <w:r>
        <w:rPr>
          <w:spacing w:val="-6"/>
          <w:sz w:val="16"/>
          <w:szCs w:val="16"/>
          <w:lang w:val="es-ES_tradnl"/>
        </w:rPr>
        <w:t>a que da la convicci</w:t>
      </w:r>
      <w:r>
        <w:rPr>
          <w:rFonts w:cs="Times New Roman"/>
          <w:spacing w:val="-6"/>
          <w:sz w:val="16"/>
          <w:szCs w:val="16"/>
          <w:lang w:val="es-ES_tradnl"/>
        </w:rPr>
        <w:t>ó</w:t>
      </w:r>
      <w:r>
        <w:rPr>
          <w:spacing w:val="-6"/>
          <w:sz w:val="16"/>
          <w:szCs w:val="16"/>
          <w:lang w:val="es-ES_tradnl"/>
        </w:rPr>
        <w:t>n, certeza o seguridad a las</w:t>
      </w:r>
    </w:p>
    <w:p w14:paraId="4F67AD92" w14:textId="77777777" w:rsidR="00591D54" w:rsidRDefault="00591D54">
      <w:pPr>
        <w:shd w:val="clear" w:color="auto" w:fill="FFFFFF"/>
        <w:spacing w:before="547"/>
      </w:pPr>
      <w:r>
        <w:rPr>
          <w:sz w:val="16"/>
          <w:szCs w:val="16"/>
          <w:vertAlign w:val="superscript"/>
          <w:lang w:val="es-ES_tradnl"/>
        </w:rPr>
        <w:t>3</w:t>
      </w:r>
      <w:r>
        <w:rPr>
          <w:sz w:val="16"/>
          <w:szCs w:val="16"/>
          <w:lang w:val="es-ES_tradnl"/>
        </w:rPr>
        <w:t xml:space="preserve">  </w:t>
      </w:r>
      <w:r>
        <w:rPr>
          <w:spacing w:val="-10"/>
          <w:sz w:val="16"/>
          <w:szCs w:val="16"/>
          <w:lang w:val="es-ES_tradnl"/>
        </w:rPr>
        <w:t>Constituci</w:t>
      </w:r>
      <w:r>
        <w:rPr>
          <w:rFonts w:cs="Times New Roman"/>
          <w:spacing w:val="-10"/>
          <w:sz w:val="16"/>
          <w:szCs w:val="16"/>
          <w:lang w:val="es-ES_tradnl"/>
        </w:rPr>
        <w:t>ó</w:t>
      </w:r>
      <w:r>
        <w:rPr>
          <w:spacing w:val="-10"/>
          <w:sz w:val="16"/>
          <w:szCs w:val="16"/>
          <w:lang w:val="es-ES_tradnl"/>
        </w:rPr>
        <w:t>n de la Rep</w:t>
      </w:r>
      <w:r>
        <w:rPr>
          <w:rFonts w:cs="Times New Roman"/>
          <w:spacing w:val="-10"/>
          <w:sz w:val="16"/>
          <w:szCs w:val="16"/>
          <w:lang w:val="es-ES_tradnl"/>
        </w:rPr>
        <w:t>ú</w:t>
      </w:r>
      <w:r>
        <w:rPr>
          <w:spacing w:val="-10"/>
          <w:sz w:val="16"/>
          <w:szCs w:val="16"/>
          <w:lang w:val="es-ES_tradnl"/>
        </w:rPr>
        <w:t>blica de Ecuador, Art. 82.</w:t>
      </w:r>
    </w:p>
    <w:p w14:paraId="4F67AD93" w14:textId="77777777" w:rsidR="00591D54" w:rsidRDefault="00591D54">
      <w:pPr>
        <w:shd w:val="clear" w:color="auto" w:fill="FFFFFF"/>
        <w:spacing w:before="547"/>
        <w:sectPr w:rsidR="00591D54">
          <w:type w:val="continuous"/>
          <w:pgSz w:w="11909" w:h="16834"/>
          <w:pgMar w:top="1363" w:right="1309" w:bottom="360" w:left="1308" w:header="720" w:footer="720" w:gutter="0"/>
          <w:cols w:num="2" w:space="720" w:equalWidth="0">
            <w:col w:w="4305" w:space="682"/>
            <w:col w:w="4305"/>
          </w:cols>
          <w:noEndnote/>
        </w:sectPr>
      </w:pPr>
    </w:p>
    <w:p w14:paraId="4F67AD94" w14:textId="77777777" w:rsidR="00591D54" w:rsidRDefault="00591D54">
      <w:pPr>
        <w:shd w:val="clear" w:color="auto" w:fill="FFFFFF"/>
        <w:tabs>
          <w:tab w:val="left" w:pos="4814"/>
        </w:tabs>
        <w:spacing w:after="221"/>
        <w:ind w:left="14"/>
      </w:pPr>
      <w:r>
        <w:rPr>
          <w:b/>
          <w:bCs/>
          <w:sz w:val="18"/>
          <w:szCs w:val="18"/>
          <w:lang w:val="es-ES_tradnl"/>
        </w:rPr>
        <w:t xml:space="preserve">124 -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D95" w14:textId="77777777" w:rsidR="00591D54" w:rsidRDefault="00591D54">
      <w:pPr>
        <w:shd w:val="clear" w:color="auto" w:fill="FFFFFF"/>
        <w:tabs>
          <w:tab w:val="left" w:pos="4814"/>
        </w:tabs>
        <w:spacing w:after="221"/>
        <w:ind w:left="14"/>
        <w:sectPr w:rsidR="00591D54">
          <w:pgSz w:w="11909" w:h="16834"/>
          <w:pgMar w:top="1356" w:right="1309" w:bottom="360" w:left="1308" w:header="720" w:footer="720" w:gutter="0"/>
          <w:cols w:space="60"/>
          <w:noEndnote/>
        </w:sectPr>
      </w:pPr>
    </w:p>
    <w:p w14:paraId="4F67AD96" w14:textId="77777777" w:rsidR="00591D54" w:rsidRDefault="00591D54">
      <w:pPr>
        <w:shd w:val="clear" w:color="auto" w:fill="FFFFFF"/>
        <w:spacing w:line="226" w:lineRule="exact"/>
        <w:ind w:left="283"/>
        <w:jc w:val="both"/>
      </w:pPr>
      <w:r>
        <w:rPr>
          <w:sz w:val="14"/>
          <w:szCs w:val="14"/>
          <w:lang w:val="es-ES_tradnl"/>
        </w:rPr>
        <w:t>personas en el sentido de que las autoridades investidas de una potestad jurisdiccional aplicar</w:t>
      </w:r>
      <w:r>
        <w:rPr>
          <w:rFonts w:cs="Times New Roman"/>
          <w:sz w:val="14"/>
          <w:szCs w:val="14"/>
          <w:lang w:val="es-ES_tradnl"/>
        </w:rPr>
        <w:t>á</w:t>
      </w:r>
      <w:r>
        <w:rPr>
          <w:sz w:val="14"/>
          <w:szCs w:val="14"/>
          <w:lang w:val="es-ES_tradnl"/>
        </w:rPr>
        <w:t>n y dar</w:t>
      </w:r>
      <w:r>
        <w:rPr>
          <w:rFonts w:cs="Times New Roman"/>
          <w:sz w:val="14"/>
          <w:szCs w:val="14"/>
          <w:lang w:val="es-ES_tradnl"/>
        </w:rPr>
        <w:t>á</w:t>
      </w:r>
      <w:r>
        <w:rPr>
          <w:sz w:val="14"/>
          <w:szCs w:val="14"/>
          <w:lang w:val="es-ES_tradnl"/>
        </w:rPr>
        <w:t>n cumplimiento a lo previsto en la Constituci</w:t>
      </w:r>
      <w:r>
        <w:rPr>
          <w:rFonts w:cs="Times New Roman"/>
          <w:sz w:val="14"/>
          <w:szCs w:val="14"/>
          <w:lang w:val="es-ES_tradnl"/>
        </w:rPr>
        <w:t>ó</w:t>
      </w:r>
      <w:r>
        <w:rPr>
          <w:sz w:val="14"/>
          <w:szCs w:val="14"/>
          <w:lang w:val="es-ES_tradnl"/>
        </w:rPr>
        <w:t>n y en la normativa vigente</w:t>
      </w:r>
      <w:r>
        <w:rPr>
          <w:sz w:val="14"/>
          <w:szCs w:val="14"/>
          <w:vertAlign w:val="superscript"/>
          <w:lang w:val="es-ES_tradnl"/>
        </w:rPr>
        <w:t>4</w:t>
      </w:r>
      <w:r>
        <w:rPr>
          <w:sz w:val="14"/>
          <w:szCs w:val="14"/>
          <w:lang w:val="es-ES_tradnl"/>
        </w:rPr>
        <w:t>.</w:t>
      </w:r>
    </w:p>
    <w:p w14:paraId="4F67AD97" w14:textId="77777777" w:rsidR="00591D54" w:rsidRDefault="00591D54">
      <w:pPr>
        <w:shd w:val="clear" w:color="auto" w:fill="FFFFFF"/>
        <w:spacing w:before="202" w:line="216" w:lineRule="exact"/>
        <w:jc w:val="both"/>
      </w:pPr>
      <w:r>
        <w:rPr>
          <w:spacing w:val="-6"/>
          <w:sz w:val="18"/>
          <w:szCs w:val="18"/>
          <w:lang w:val="es-ES_tradnl"/>
        </w:rPr>
        <w:t>Asimismo, la sentencia 114-13-SEP-CC, (caso N.</w:t>
      </w:r>
      <w:r>
        <w:rPr>
          <w:rFonts w:cs="Times New Roman"/>
          <w:spacing w:val="-6"/>
          <w:sz w:val="18"/>
          <w:szCs w:val="18"/>
          <w:lang w:val="es-ES_tradnl"/>
        </w:rPr>
        <w:t>°</w:t>
      </w:r>
      <w:r>
        <w:rPr>
          <w:spacing w:val="-6"/>
          <w:sz w:val="18"/>
          <w:szCs w:val="18"/>
          <w:lang w:val="es-ES_tradnl"/>
        </w:rPr>
        <w:t xml:space="preserve"> 1121-</w:t>
      </w:r>
      <w:r>
        <w:rPr>
          <w:spacing w:val="-7"/>
          <w:sz w:val="18"/>
          <w:szCs w:val="18"/>
          <w:lang w:val="es-ES_tradnl"/>
        </w:rPr>
        <w:t xml:space="preserve">13-EP), permite identificar el rol del juez ante el derecho a </w:t>
      </w:r>
      <w:r>
        <w:rPr>
          <w:sz w:val="18"/>
          <w:szCs w:val="18"/>
          <w:lang w:val="es-ES_tradnl"/>
        </w:rPr>
        <w:t>la seguridad jur</w:t>
      </w:r>
      <w:r>
        <w:rPr>
          <w:rFonts w:cs="Times New Roman"/>
          <w:sz w:val="18"/>
          <w:szCs w:val="18"/>
          <w:lang w:val="es-ES_tradnl"/>
        </w:rPr>
        <w:t>í</w:t>
      </w:r>
      <w:r>
        <w:rPr>
          <w:sz w:val="18"/>
          <w:szCs w:val="18"/>
          <w:lang w:val="es-ES_tradnl"/>
        </w:rPr>
        <w:t>dica, y lo delimita como:</w:t>
      </w:r>
    </w:p>
    <w:p w14:paraId="4F67AD98" w14:textId="77777777" w:rsidR="00591D54" w:rsidRDefault="00591D54">
      <w:pPr>
        <w:shd w:val="clear" w:color="auto" w:fill="FFFFFF"/>
        <w:spacing w:before="202" w:line="211" w:lineRule="exact"/>
        <w:ind w:left="283"/>
        <w:jc w:val="both"/>
      </w:pPr>
      <w:r>
        <w:rPr>
          <w:sz w:val="14"/>
          <w:szCs w:val="14"/>
          <w:lang w:val="es-ES_tradnl"/>
        </w:rPr>
        <w:t>(</w:t>
      </w:r>
      <w:r>
        <w:rPr>
          <w:rFonts w:cs="Times New Roman"/>
          <w:sz w:val="14"/>
          <w:szCs w:val="14"/>
          <w:lang w:val="es-ES_tradnl"/>
        </w:rPr>
        <w:t>…</w:t>
      </w:r>
      <w:r>
        <w:rPr>
          <w:sz w:val="14"/>
          <w:szCs w:val="14"/>
          <w:lang w:val="es-ES_tradnl"/>
        </w:rPr>
        <w:t>) el juez tiene el deber ineludible de respetar y hacer respetar el ordenamiento legal dise</w:t>
      </w:r>
      <w:r>
        <w:rPr>
          <w:rFonts w:cs="Times New Roman"/>
          <w:sz w:val="14"/>
          <w:szCs w:val="14"/>
          <w:lang w:val="es-ES_tradnl"/>
        </w:rPr>
        <w:t>ñ</w:t>
      </w:r>
      <w:r>
        <w:rPr>
          <w:sz w:val="14"/>
          <w:szCs w:val="14"/>
          <w:lang w:val="es-ES_tradnl"/>
        </w:rPr>
        <w:t xml:space="preserve">ado para cada procedimiento a fin </w:t>
      </w:r>
      <w:r>
        <w:rPr>
          <w:spacing w:val="-1"/>
          <w:sz w:val="14"/>
          <w:szCs w:val="14"/>
          <w:lang w:val="es-ES_tradnl"/>
        </w:rPr>
        <w:t>de tutelar los derechos garantizados en la Constituci</w:t>
      </w:r>
      <w:r>
        <w:rPr>
          <w:rFonts w:cs="Times New Roman"/>
          <w:spacing w:val="-1"/>
          <w:sz w:val="14"/>
          <w:szCs w:val="14"/>
          <w:lang w:val="es-ES_tradnl"/>
        </w:rPr>
        <w:t>ó</w:t>
      </w:r>
      <w:r>
        <w:rPr>
          <w:spacing w:val="-1"/>
          <w:sz w:val="14"/>
          <w:szCs w:val="14"/>
          <w:lang w:val="es-ES_tradnl"/>
        </w:rPr>
        <w:t xml:space="preserve">n. En otras </w:t>
      </w:r>
      <w:r>
        <w:rPr>
          <w:sz w:val="14"/>
          <w:szCs w:val="14"/>
          <w:lang w:val="es-ES_tradnl"/>
        </w:rPr>
        <w:t>palabras es el guardi</w:t>
      </w:r>
      <w:r>
        <w:rPr>
          <w:rFonts w:cs="Times New Roman"/>
          <w:sz w:val="14"/>
          <w:szCs w:val="14"/>
          <w:lang w:val="es-ES_tradnl"/>
        </w:rPr>
        <w:t>á</w:t>
      </w:r>
      <w:r>
        <w:rPr>
          <w:sz w:val="14"/>
          <w:szCs w:val="14"/>
          <w:lang w:val="es-ES_tradnl"/>
        </w:rPr>
        <w:t xml:space="preserve">n de las normas, pues a </w:t>
      </w:r>
      <w:r>
        <w:rPr>
          <w:rFonts w:cs="Times New Roman"/>
          <w:sz w:val="14"/>
          <w:szCs w:val="14"/>
          <w:lang w:val="es-ES_tradnl"/>
        </w:rPr>
        <w:t>é</w:t>
      </w:r>
      <w:r>
        <w:rPr>
          <w:sz w:val="14"/>
          <w:szCs w:val="14"/>
          <w:lang w:val="es-ES_tradnl"/>
        </w:rPr>
        <w:t>l se le conf</w:t>
      </w:r>
      <w:r>
        <w:rPr>
          <w:rFonts w:cs="Times New Roman"/>
          <w:sz w:val="14"/>
          <w:szCs w:val="14"/>
          <w:lang w:val="es-ES_tradnl"/>
        </w:rPr>
        <w:t>í</w:t>
      </w:r>
      <w:r>
        <w:rPr>
          <w:sz w:val="14"/>
          <w:szCs w:val="14"/>
          <w:lang w:val="es-ES_tradnl"/>
        </w:rPr>
        <w:t>a la funci</w:t>
      </w:r>
      <w:r>
        <w:rPr>
          <w:rFonts w:cs="Times New Roman"/>
          <w:sz w:val="14"/>
          <w:szCs w:val="14"/>
          <w:lang w:val="es-ES_tradnl"/>
        </w:rPr>
        <w:t>ó</w:t>
      </w:r>
      <w:r>
        <w:rPr>
          <w:sz w:val="14"/>
          <w:szCs w:val="14"/>
          <w:lang w:val="es-ES_tradnl"/>
        </w:rPr>
        <w:t>n de proteger y hacer respetar los derechos dentro de los lineamientos predeterminados. La sumisi</w:t>
      </w:r>
      <w:r>
        <w:rPr>
          <w:rFonts w:cs="Times New Roman"/>
          <w:sz w:val="14"/>
          <w:szCs w:val="14"/>
          <w:lang w:val="es-ES_tradnl"/>
        </w:rPr>
        <w:t>ó</w:t>
      </w:r>
      <w:r>
        <w:rPr>
          <w:sz w:val="14"/>
          <w:szCs w:val="14"/>
          <w:lang w:val="es-ES_tradnl"/>
        </w:rPr>
        <w:t>n al mandato de las Leyes hace que las decisiones se logren en estricto derecho, prescindiendo de cualquier intromisi</w:t>
      </w:r>
      <w:r>
        <w:rPr>
          <w:rFonts w:cs="Times New Roman"/>
          <w:sz w:val="14"/>
          <w:szCs w:val="14"/>
          <w:lang w:val="es-ES_tradnl"/>
        </w:rPr>
        <w:t>ó</w:t>
      </w:r>
      <w:r>
        <w:rPr>
          <w:sz w:val="14"/>
          <w:szCs w:val="14"/>
          <w:lang w:val="es-ES_tradnl"/>
        </w:rPr>
        <w:t>n personal o subjetiva que pudiera ser indicativo de una perniciosa infl uencia en las decisiones. La plena objetividad en el tratamiento de los problemas y la decisi</w:t>
      </w:r>
      <w:r>
        <w:rPr>
          <w:rFonts w:cs="Times New Roman"/>
          <w:sz w:val="14"/>
          <w:szCs w:val="14"/>
          <w:lang w:val="es-ES_tradnl"/>
        </w:rPr>
        <w:t>ó</w:t>
      </w:r>
      <w:r>
        <w:rPr>
          <w:sz w:val="14"/>
          <w:szCs w:val="14"/>
          <w:lang w:val="es-ES_tradnl"/>
        </w:rPr>
        <w:t>n, vincula al juez al derecho vigente y en tal sentido, demuestra que todo fallo responde a lo que el derecho ordena, y no en cambio, a valoraciones personales. As</w:t>
      </w:r>
      <w:r>
        <w:rPr>
          <w:rFonts w:cs="Times New Roman"/>
          <w:sz w:val="14"/>
          <w:szCs w:val="14"/>
          <w:lang w:val="es-ES_tradnl"/>
        </w:rPr>
        <w:t>í</w:t>
      </w:r>
      <w:r>
        <w:rPr>
          <w:sz w:val="14"/>
          <w:szCs w:val="14"/>
          <w:lang w:val="es-ES_tradnl"/>
        </w:rPr>
        <w:t>, le permite demostrar que ha arribado a la decisi</w:t>
      </w:r>
      <w:r>
        <w:rPr>
          <w:rFonts w:cs="Times New Roman"/>
          <w:sz w:val="14"/>
          <w:szCs w:val="14"/>
          <w:lang w:val="es-ES_tradnl"/>
        </w:rPr>
        <w:t>ó</w:t>
      </w:r>
      <w:r>
        <w:rPr>
          <w:sz w:val="14"/>
          <w:szCs w:val="14"/>
          <w:lang w:val="es-ES_tradnl"/>
        </w:rPr>
        <w:t>n a trav</w:t>
      </w:r>
      <w:r>
        <w:rPr>
          <w:rFonts w:cs="Times New Roman"/>
          <w:sz w:val="14"/>
          <w:szCs w:val="14"/>
          <w:lang w:val="es-ES_tradnl"/>
        </w:rPr>
        <w:t>é</w:t>
      </w:r>
      <w:r>
        <w:rPr>
          <w:sz w:val="14"/>
          <w:szCs w:val="14"/>
          <w:lang w:val="es-ES_tradnl"/>
        </w:rPr>
        <w:t>s de pasos sucesivos y concatenados y que la misma responde a premisas establecidas con anterioridad, las cuales no son elaboradas por ellos mismos, sino articuladas a partir de los mensajes claros y las formulaciones normativas realizadas por el legislador</w:t>
      </w:r>
      <w:r>
        <w:rPr>
          <w:sz w:val="14"/>
          <w:szCs w:val="14"/>
          <w:vertAlign w:val="superscript"/>
          <w:lang w:val="es-ES_tradnl"/>
        </w:rPr>
        <w:t>5</w:t>
      </w:r>
      <w:r>
        <w:rPr>
          <w:sz w:val="14"/>
          <w:szCs w:val="14"/>
          <w:lang w:val="es-ES_tradnl"/>
        </w:rPr>
        <w:t>.</w:t>
      </w:r>
    </w:p>
    <w:p w14:paraId="4F67AD99" w14:textId="77777777" w:rsidR="00591D54" w:rsidRDefault="00591D54">
      <w:pPr>
        <w:shd w:val="clear" w:color="auto" w:fill="FFFFFF"/>
        <w:spacing w:before="202" w:line="216" w:lineRule="exact"/>
        <w:ind w:right="5"/>
        <w:jc w:val="both"/>
      </w:pPr>
      <w:r>
        <w:rPr>
          <w:spacing w:val="-2"/>
          <w:sz w:val="18"/>
          <w:szCs w:val="18"/>
          <w:lang w:val="es-ES_tradnl"/>
        </w:rPr>
        <w:t xml:space="preserve">Considerando los criterios expuestos, es importante </w:t>
      </w:r>
      <w:r>
        <w:rPr>
          <w:spacing w:val="-7"/>
          <w:sz w:val="18"/>
          <w:szCs w:val="18"/>
          <w:lang w:val="es-ES_tradnl"/>
        </w:rPr>
        <w:t xml:space="preserve">indicar que tanto en la sentencia 2012-0414, como en la </w:t>
      </w:r>
      <w:r>
        <w:rPr>
          <w:spacing w:val="-10"/>
          <w:sz w:val="18"/>
          <w:szCs w:val="18"/>
          <w:lang w:val="es-ES_tradnl"/>
        </w:rPr>
        <w:t xml:space="preserve">sentencia 2012-0719, se evidencia que su contenido ha sido </w:t>
      </w:r>
      <w:r>
        <w:rPr>
          <w:spacing w:val="-9"/>
          <w:sz w:val="18"/>
          <w:szCs w:val="18"/>
          <w:lang w:val="es-ES_tradnl"/>
        </w:rPr>
        <w:t>estructurado con respeto a la Constituci</w:t>
      </w:r>
      <w:r>
        <w:rPr>
          <w:rFonts w:cs="Times New Roman"/>
          <w:spacing w:val="-9"/>
          <w:sz w:val="18"/>
          <w:szCs w:val="18"/>
          <w:lang w:val="es-ES_tradnl"/>
        </w:rPr>
        <w:t>ó</w:t>
      </w:r>
      <w:r>
        <w:rPr>
          <w:spacing w:val="-9"/>
          <w:sz w:val="18"/>
          <w:szCs w:val="18"/>
          <w:lang w:val="es-ES_tradnl"/>
        </w:rPr>
        <w:t xml:space="preserve">n, ya que se invoca </w:t>
      </w:r>
      <w:r>
        <w:rPr>
          <w:spacing w:val="-7"/>
          <w:sz w:val="18"/>
          <w:szCs w:val="18"/>
          <w:lang w:val="es-ES_tradnl"/>
        </w:rPr>
        <w:t>a los art</w:t>
      </w:r>
      <w:r>
        <w:rPr>
          <w:rFonts w:cs="Times New Roman"/>
          <w:spacing w:val="-7"/>
          <w:sz w:val="18"/>
          <w:szCs w:val="18"/>
          <w:lang w:val="es-ES_tradnl"/>
        </w:rPr>
        <w:t>í</w:t>
      </w:r>
      <w:r>
        <w:rPr>
          <w:spacing w:val="-7"/>
          <w:sz w:val="18"/>
          <w:szCs w:val="18"/>
          <w:lang w:val="es-ES_tradnl"/>
        </w:rPr>
        <w:t xml:space="preserve">culos 86 y 88, los cuales hacen referencia a las </w:t>
      </w:r>
      <w:r>
        <w:rPr>
          <w:spacing w:val="-5"/>
          <w:sz w:val="18"/>
          <w:szCs w:val="18"/>
          <w:lang w:val="es-ES_tradnl"/>
        </w:rPr>
        <w:t>disposiciones generales de las garant</w:t>
      </w:r>
      <w:r>
        <w:rPr>
          <w:rFonts w:cs="Times New Roman"/>
          <w:spacing w:val="-5"/>
          <w:sz w:val="18"/>
          <w:szCs w:val="18"/>
          <w:lang w:val="es-ES_tradnl"/>
        </w:rPr>
        <w:t>í</w:t>
      </w:r>
      <w:r>
        <w:rPr>
          <w:spacing w:val="-5"/>
          <w:sz w:val="18"/>
          <w:szCs w:val="18"/>
          <w:lang w:val="es-ES_tradnl"/>
        </w:rPr>
        <w:t xml:space="preserve">as jurisdiccionales </w:t>
      </w:r>
      <w:r>
        <w:rPr>
          <w:spacing w:val="-7"/>
          <w:sz w:val="18"/>
          <w:szCs w:val="18"/>
          <w:lang w:val="es-ES_tradnl"/>
        </w:rPr>
        <w:t>y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 xml:space="preserve">n respectivamente; en concordancia </w:t>
      </w:r>
      <w:r>
        <w:rPr>
          <w:spacing w:val="-2"/>
          <w:sz w:val="18"/>
          <w:szCs w:val="18"/>
          <w:lang w:val="es-ES_tradnl"/>
        </w:rPr>
        <w:t>con los art</w:t>
      </w:r>
      <w:r>
        <w:rPr>
          <w:rFonts w:cs="Times New Roman"/>
          <w:spacing w:val="-2"/>
          <w:sz w:val="18"/>
          <w:szCs w:val="18"/>
          <w:lang w:val="es-ES_tradnl"/>
        </w:rPr>
        <w:t>í</w:t>
      </w:r>
      <w:r>
        <w:rPr>
          <w:spacing w:val="-2"/>
          <w:sz w:val="18"/>
          <w:szCs w:val="18"/>
          <w:lang w:val="es-ES_tradnl"/>
        </w:rPr>
        <w:t xml:space="preserve">culos 6, 8, 13, 14, 17, 18, 24, 40, 41 y otros </w:t>
      </w:r>
      <w:r>
        <w:rPr>
          <w:spacing w:val="-8"/>
          <w:sz w:val="18"/>
          <w:szCs w:val="18"/>
          <w:lang w:val="es-ES_tradnl"/>
        </w:rPr>
        <w:t>de la Ley Org</w:t>
      </w:r>
      <w:r>
        <w:rPr>
          <w:rFonts w:cs="Times New Roman"/>
          <w:spacing w:val="-8"/>
          <w:sz w:val="18"/>
          <w:szCs w:val="18"/>
          <w:lang w:val="es-ES_tradnl"/>
        </w:rPr>
        <w:t>á</w:t>
      </w:r>
      <w:r>
        <w:rPr>
          <w:spacing w:val="-8"/>
          <w:sz w:val="18"/>
          <w:szCs w:val="18"/>
          <w:lang w:val="es-ES_tradnl"/>
        </w:rPr>
        <w:t>nica de Garant</w:t>
      </w:r>
      <w:r>
        <w:rPr>
          <w:rFonts w:cs="Times New Roman"/>
          <w:spacing w:val="-8"/>
          <w:sz w:val="18"/>
          <w:szCs w:val="18"/>
          <w:lang w:val="es-ES_tradnl"/>
        </w:rPr>
        <w:t>í</w:t>
      </w:r>
      <w:r>
        <w:rPr>
          <w:spacing w:val="-8"/>
          <w:sz w:val="18"/>
          <w:szCs w:val="18"/>
          <w:lang w:val="es-ES_tradnl"/>
        </w:rPr>
        <w:t xml:space="preserve">as Jurisdiccionales y Control </w:t>
      </w:r>
      <w:r>
        <w:rPr>
          <w:spacing w:val="-7"/>
          <w:sz w:val="18"/>
          <w:szCs w:val="18"/>
          <w:lang w:val="es-ES_tradnl"/>
        </w:rPr>
        <w:t>Constitucional, as</w:t>
      </w:r>
      <w:r>
        <w:rPr>
          <w:rFonts w:cs="Times New Roman"/>
          <w:spacing w:val="-7"/>
          <w:sz w:val="18"/>
          <w:szCs w:val="18"/>
          <w:lang w:val="es-ES_tradnl"/>
        </w:rPr>
        <w:t>í</w:t>
      </w:r>
      <w:r>
        <w:rPr>
          <w:spacing w:val="-7"/>
          <w:sz w:val="18"/>
          <w:szCs w:val="18"/>
          <w:lang w:val="es-ES_tradnl"/>
        </w:rPr>
        <w:t xml:space="preserve"> tambi</w:t>
      </w:r>
      <w:r>
        <w:rPr>
          <w:rFonts w:cs="Times New Roman"/>
          <w:spacing w:val="-7"/>
          <w:sz w:val="18"/>
          <w:szCs w:val="18"/>
          <w:lang w:val="es-ES_tradnl"/>
        </w:rPr>
        <w:t>é</w:t>
      </w:r>
      <w:r>
        <w:rPr>
          <w:spacing w:val="-7"/>
          <w:sz w:val="18"/>
          <w:szCs w:val="18"/>
          <w:lang w:val="es-ES_tradnl"/>
        </w:rPr>
        <w:t>n y en cuanto a la aplicaci</w:t>
      </w:r>
      <w:r>
        <w:rPr>
          <w:rFonts w:cs="Times New Roman"/>
          <w:spacing w:val="-7"/>
          <w:sz w:val="18"/>
          <w:szCs w:val="18"/>
          <w:lang w:val="es-ES_tradnl"/>
        </w:rPr>
        <w:t>ó</w:t>
      </w:r>
      <w:r>
        <w:rPr>
          <w:spacing w:val="-7"/>
          <w:sz w:val="18"/>
          <w:szCs w:val="18"/>
          <w:lang w:val="es-ES_tradnl"/>
        </w:rPr>
        <w:t>n de normativa espec</w:t>
      </w:r>
      <w:r>
        <w:rPr>
          <w:rFonts w:cs="Times New Roman"/>
          <w:spacing w:val="-7"/>
          <w:sz w:val="18"/>
          <w:szCs w:val="18"/>
          <w:lang w:val="es-ES_tradnl"/>
        </w:rPr>
        <w:t>í</w:t>
      </w:r>
      <w:r>
        <w:rPr>
          <w:spacing w:val="-7"/>
          <w:sz w:val="18"/>
          <w:szCs w:val="18"/>
          <w:lang w:val="es-ES_tradnl"/>
        </w:rPr>
        <w:t>fica a este caso, se establece el an</w:t>
      </w:r>
      <w:r>
        <w:rPr>
          <w:rFonts w:cs="Times New Roman"/>
          <w:spacing w:val="-7"/>
          <w:sz w:val="18"/>
          <w:szCs w:val="18"/>
          <w:lang w:val="es-ES_tradnl"/>
        </w:rPr>
        <w:t>á</w:t>
      </w:r>
      <w:r>
        <w:rPr>
          <w:spacing w:val="-7"/>
          <w:sz w:val="18"/>
          <w:szCs w:val="18"/>
          <w:lang w:val="es-ES_tradnl"/>
        </w:rPr>
        <w:t>lisis de los jueces de las dos instancias, del art</w:t>
      </w:r>
      <w:r>
        <w:rPr>
          <w:rFonts w:cs="Times New Roman"/>
          <w:spacing w:val="-7"/>
          <w:sz w:val="18"/>
          <w:szCs w:val="18"/>
          <w:lang w:val="es-ES_tradnl"/>
        </w:rPr>
        <w:t>í</w:t>
      </w:r>
      <w:r>
        <w:rPr>
          <w:spacing w:val="-7"/>
          <w:sz w:val="18"/>
          <w:szCs w:val="18"/>
          <w:lang w:val="es-ES_tradnl"/>
        </w:rPr>
        <w:t xml:space="preserve">culo 131 en su </w:t>
      </w:r>
      <w:r>
        <w:rPr>
          <w:spacing w:val="-9"/>
          <w:sz w:val="18"/>
          <w:szCs w:val="18"/>
          <w:lang w:val="es-ES_tradnl"/>
        </w:rPr>
        <w:t>numeral 1, en contraste con el art</w:t>
      </w:r>
      <w:r>
        <w:rPr>
          <w:rFonts w:cs="Times New Roman"/>
          <w:spacing w:val="-9"/>
          <w:sz w:val="18"/>
          <w:szCs w:val="18"/>
          <w:lang w:val="es-ES_tradnl"/>
        </w:rPr>
        <w:t>í</w:t>
      </w:r>
      <w:r>
        <w:rPr>
          <w:spacing w:val="-9"/>
          <w:sz w:val="18"/>
          <w:szCs w:val="18"/>
          <w:lang w:val="es-ES_tradnl"/>
        </w:rPr>
        <w:t>culo 135 en su numeral 2, del C</w:t>
      </w:r>
      <w:r>
        <w:rPr>
          <w:rFonts w:cs="Times New Roman"/>
          <w:spacing w:val="-9"/>
          <w:sz w:val="18"/>
          <w:szCs w:val="18"/>
          <w:lang w:val="es-ES_tradnl"/>
        </w:rPr>
        <w:t>ó</w:t>
      </w:r>
      <w:r>
        <w:rPr>
          <w:spacing w:val="-9"/>
          <w:sz w:val="18"/>
          <w:szCs w:val="18"/>
          <w:lang w:val="es-ES_tradnl"/>
        </w:rPr>
        <w:t xml:space="preserve">digo Penal Militar vigente para la </w:t>
      </w:r>
      <w:r>
        <w:rPr>
          <w:rFonts w:cs="Times New Roman"/>
          <w:spacing w:val="-9"/>
          <w:sz w:val="18"/>
          <w:szCs w:val="18"/>
          <w:lang w:val="es-ES_tradnl"/>
        </w:rPr>
        <w:t>é</w:t>
      </w:r>
      <w:r>
        <w:rPr>
          <w:spacing w:val="-9"/>
          <w:sz w:val="18"/>
          <w:szCs w:val="18"/>
          <w:lang w:val="es-ES_tradnl"/>
        </w:rPr>
        <w:t>poca, que permiti</w:t>
      </w:r>
      <w:r>
        <w:rPr>
          <w:rFonts w:cs="Times New Roman"/>
          <w:spacing w:val="-9"/>
          <w:sz w:val="18"/>
          <w:szCs w:val="18"/>
          <w:lang w:val="es-ES_tradnl"/>
        </w:rPr>
        <w:t xml:space="preserve">ó </w:t>
      </w:r>
      <w:r>
        <w:rPr>
          <w:spacing w:val="-6"/>
          <w:sz w:val="18"/>
          <w:szCs w:val="18"/>
          <w:lang w:val="es-ES_tradnl"/>
        </w:rPr>
        <w:t>determinar que efectivamente se aplic</w:t>
      </w:r>
      <w:r>
        <w:rPr>
          <w:rFonts w:cs="Times New Roman"/>
          <w:spacing w:val="-6"/>
          <w:sz w:val="18"/>
          <w:szCs w:val="18"/>
          <w:lang w:val="es-ES_tradnl"/>
        </w:rPr>
        <w:t>ó</w:t>
      </w:r>
      <w:r>
        <w:rPr>
          <w:spacing w:val="-6"/>
          <w:sz w:val="18"/>
          <w:szCs w:val="18"/>
          <w:lang w:val="es-ES_tradnl"/>
        </w:rPr>
        <w:t xml:space="preserve"> una sanci</w:t>
      </w:r>
      <w:r>
        <w:rPr>
          <w:rFonts w:cs="Times New Roman"/>
          <w:spacing w:val="-6"/>
          <w:sz w:val="18"/>
          <w:szCs w:val="18"/>
          <w:lang w:val="es-ES_tradnl"/>
        </w:rPr>
        <w:t>ó</w:t>
      </w:r>
      <w:r>
        <w:rPr>
          <w:spacing w:val="-6"/>
          <w:sz w:val="18"/>
          <w:szCs w:val="18"/>
          <w:lang w:val="es-ES_tradnl"/>
        </w:rPr>
        <w:t xml:space="preserve">n de </w:t>
      </w:r>
      <w:r>
        <w:rPr>
          <w:spacing w:val="-10"/>
          <w:sz w:val="18"/>
          <w:szCs w:val="18"/>
          <w:lang w:val="es-ES_tradnl"/>
        </w:rPr>
        <w:t>forma err</w:t>
      </w:r>
      <w:r>
        <w:rPr>
          <w:rFonts w:cs="Times New Roman"/>
          <w:spacing w:val="-10"/>
          <w:sz w:val="18"/>
          <w:szCs w:val="18"/>
          <w:lang w:val="es-ES_tradnl"/>
        </w:rPr>
        <w:t>ó</w:t>
      </w:r>
      <w:r>
        <w:rPr>
          <w:spacing w:val="-10"/>
          <w:sz w:val="18"/>
          <w:szCs w:val="18"/>
          <w:lang w:val="es-ES_tradnl"/>
        </w:rPr>
        <w:t xml:space="preserve">nea en perjuicio del ciudadano accionante, puesto </w:t>
      </w:r>
      <w:r>
        <w:rPr>
          <w:spacing w:val="-8"/>
          <w:sz w:val="18"/>
          <w:szCs w:val="18"/>
          <w:lang w:val="es-ES_tradnl"/>
        </w:rPr>
        <w:t>que no deb</w:t>
      </w:r>
      <w:r>
        <w:rPr>
          <w:rFonts w:cs="Times New Roman"/>
          <w:spacing w:val="-8"/>
          <w:sz w:val="18"/>
          <w:szCs w:val="18"/>
          <w:lang w:val="es-ES_tradnl"/>
        </w:rPr>
        <w:t>í</w:t>
      </w:r>
      <w:r>
        <w:rPr>
          <w:spacing w:val="-8"/>
          <w:sz w:val="18"/>
          <w:szCs w:val="18"/>
          <w:lang w:val="es-ES_tradnl"/>
        </w:rPr>
        <w:t>a sancionarse por el delito de deserci</w:t>
      </w:r>
      <w:r>
        <w:rPr>
          <w:rFonts w:cs="Times New Roman"/>
          <w:spacing w:val="-8"/>
          <w:sz w:val="18"/>
          <w:szCs w:val="18"/>
          <w:lang w:val="es-ES_tradnl"/>
        </w:rPr>
        <w:t>ó</w:t>
      </w:r>
      <w:r>
        <w:rPr>
          <w:spacing w:val="-8"/>
          <w:sz w:val="18"/>
          <w:szCs w:val="18"/>
          <w:lang w:val="es-ES_tradnl"/>
        </w:rPr>
        <w:t>n, como efectivamente se lo hizo y que gener</w:t>
      </w:r>
      <w:r>
        <w:rPr>
          <w:rFonts w:cs="Times New Roman"/>
          <w:spacing w:val="-8"/>
          <w:sz w:val="18"/>
          <w:szCs w:val="18"/>
          <w:lang w:val="es-ES_tradnl"/>
        </w:rPr>
        <w:t>ó</w:t>
      </w:r>
      <w:r>
        <w:rPr>
          <w:spacing w:val="-8"/>
          <w:sz w:val="18"/>
          <w:szCs w:val="18"/>
          <w:lang w:val="es-ES_tradnl"/>
        </w:rPr>
        <w:t xml:space="preserve"> la baja de aquel.</w:t>
      </w:r>
    </w:p>
    <w:p w14:paraId="4F67AD9A" w14:textId="77777777" w:rsidR="00591D54" w:rsidRDefault="00591D54">
      <w:pPr>
        <w:shd w:val="clear" w:color="auto" w:fill="FFFFFF"/>
        <w:spacing w:before="192" w:line="216" w:lineRule="exact"/>
        <w:ind w:right="5"/>
        <w:jc w:val="both"/>
      </w:pPr>
      <w:r>
        <w:rPr>
          <w:spacing w:val="-4"/>
          <w:sz w:val="18"/>
          <w:szCs w:val="18"/>
          <w:lang w:val="es-ES_tradnl"/>
        </w:rPr>
        <w:t xml:space="preserve">Por lo expuesto y atendiendo al criterio de seguridad </w:t>
      </w:r>
      <w:r>
        <w:rPr>
          <w:spacing w:val="-7"/>
          <w:sz w:val="18"/>
          <w:szCs w:val="18"/>
          <w:lang w:val="es-ES_tradnl"/>
        </w:rPr>
        <w:t>jur</w:t>
      </w:r>
      <w:r>
        <w:rPr>
          <w:rFonts w:cs="Times New Roman"/>
          <w:spacing w:val="-7"/>
          <w:sz w:val="18"/>
          <w:szCs w:val="18"/>
          <w:lang w:val="es-ES_tradnl"/>
        </w:rPr>
        <w:t>í</w:t>
      </w:r>
      <w:r>
        <w:rPr>
          <w:spacing w:val="-7"/>
          <w:sz w:val="18"/>
          <w:szCs w:val="18"/>
          <w:lang w:val="es-ES_tradnl"/>
        </w:rPr>
        <w:t>dica, dentro de las sentencias materia de este an</w:t>
      </w:r>
      <w:r>
        <w:rPr>
          <w:rFonts w:cs="Times New Roman"/>
          <w:spacing w:val="-7"/>
          <w:sz w:val="18"/>
          <w:szCs w:val="18"/>
          <w:lang w:val="es-ES_tradnl"/>
        </w:rPr>
        <w:t>á</w:t>
      </w:r>
      <w:r>
        <w:rPr>
          <w:spacing w:val="-7"/>
          <w:sz w:val="18"/>
          <w:szCs w:val="18"/>
          <w:lang w:val="es-ES_tradnl"/>
        </w:rPr>
        <w:t xml:space="preserve">lisis, </w:t>
      </w:r>
      <w:r>
        <w:rPr>
          <w:spacing w:val="-6"/>
          <w:sz w:val="18"/>
          <w:szCs w:val="18"/>
          <w:lang w:val="es-ES_tradnl"/>
        </w:rPr>
        <w:t>se verifica un completo apego a la aplicaci</w:t>
      </w:r>
      <w:r>
        <w:rPr>
          <w:rFonts w:cs="Times New Roman"/>
          <w:spacing w:val="-6"/>
          <w:sz w:val="18"/>
          <w:szCs w:val="18"/>
          <w:lang w:val="es-ES_tradnl"/>
        </w:rPr>
        <w:t>ó</w:t>
      </w:r>
      <w:r>
        <w:rPr>
          <w:spacing w:val="-6"/>
          <w:sz w:val="18"/>
          <w:szCs w:val="18"/>
          <w:lang w:val="es-ES_tradnl"/>
        </w:rPr>
        <w:t>n de normas previas, claras, p</w:t>
      </w:r>
      <w:r>
        <w:rPr>
          <w:rFonts w:cs="Times New Roman"/>
          <w:spacing w:val="-6"/>
          <w:sz w:val="18"/>
          <w:szCs w:val="18"/>
          <w:lang w:val="es-ES_tradnl"/>
        </w:rPr>
        <w:t>ú</w:t>
      </w:r>
      <w:r>
        <w:rPr>
          <w:spacing w:val="-6"/>
          <w:sz w:val="18"/>
          <w:szCs w:val="18"/>
          <w:lang w:val="es-ES_tradnl"/>
        </w:rPr>
        <w:t>blicas correspondientes al an</w:t>
      </w:r>
      <w:r>
        <w:rPr>
          <w:rFonts w:cs="Times New Roman"/>
          <w:spacing w:val="-6"/>
          <w:sz w:val="18"/>
          <w:szCs w:val="18"/>
          <w:lang w:val="es-ES_tradnl"/>
        </w:rPr>
        <w:t>á</w:t>
      </w:r>
      <w:r>
        <w:rPr>
          <w:spacing w:val="-6"/>
          <w:sz w:val="18"/>
          <w:szCs w:val="18"/>
          <w:lang w:val="es-ES_tradnl"/>
        </w:rPr>
        <w:t xml:space="preserve">lisis del </w:t>
      </w:r>
      <w:r>
        <w:rPr>
          <w:spacing w:val="-11"/>
          <w:sz w:val="18"/>
          <w:szCs w:val="18"/>
          <w:lang w:val="es-ES_tradnl"/>
        </w:rPr>
        <w:t>asunto de fondo y que en m</w:t>
      </w:r>
      <w:r>
        <w:rPr>
          <w:rFonts w:cs="Times New Roman"/>
          <w:spacing w:val="-11"/>
          <w:sz w:val="18"/>
          <w:szCs w:val="18"/>
          <w:lang w:val="es-ES_tradnl"/>
        </w:rPr>
        <w:t>é</w:t>
      </w:r>
      <w:r>
        <w:rPr>
          <w:spacing w:val="-11"/>
          <w:sz w:val="18"/>
          <w:szCs w:val="18"/>
          <w:lang w:val="es-ES_tradnl"/>
        </w:rPr>
        <w:t xml:space="preserve">rito de la competencia otorgada </w:t>
      </w:r>
      <w:r>
        <w:rPr>
          <w:spacing w:val="-6"/>
          <w:sz w:val="18"/>
          <w:szCs w:val="18"/>
          <w:lang w:val="es-ES_tradnl"/>
        </w:rPr>
        <w:t xml:space="preserve">en el caso en particular fueron aplicadas por autoridad </w:t>
      </w:r>
      <w:r>
        <w:rPr>
          <w:spacing w:val="-8"/>
          <w:sz w:val="18"/>
          <w:szCs w:val="18"/>
          <w:lang w:val="es-ES_tradnl"/>
        </w:rPr>
        <w:t>competente, en este caso, la jueza sexta de la Ni</w:t>
      </w:r>
      <w:r>
        <w:rPr>
          <w:rFonts w:cs="Times New Roman"/>
          <w:spacing w:val="-8"/>
          <w:sz w:val="18"/>
          <w:szCs w:val="18"/>
          <w:lang w:val="es-ES_tradnl"/>
        </w:rPr>
        <w:t>ñ</w:t>
      </w:r>
      <w:r>
        <w:rPr>
          <w:spacing w:val="-8"/>
          <w:sz w:val="18"/>
          <w:szCs w:val="18"/>
          <w:lang w:val="es-ES_tradnl"/>
        </w:rPr>
        <w:t xml:space="preserve">ez y la </w:t>
      </w:r>
      <w:r>
        <w:rPr>
          <w:spacing w:val="-9"/>
          <w:sz w:val="18"/>
          <w:szCs w:val="18"/>
          <w:lang w:val="es-ES_tradnl"/>
        </w:rPr>
        <w:t>Adolescencia del Guayas, en primera instancia, y la Tercera Sala de lo Penal, Colusorio y Tr</w:t>
      </w:r>
      <w:r>
        <w:rPr>
          <w:rFonts w:cs="Times New Roman"/>
          <w:spacing w:val="-9"/>
          <w:sz w:val="18"/>
          <w:szCs w:val="18"/>
          <w:lang w:val="es-ES_tradnl"/>
        </w:rPr>
        <w:t>á</w:t>
      </w:r>
      <w:r>
        <w:rPr>
          <w:spacing w:val="-9"/>
          <w:sz w:val="18"/>
          <w:szCs w:val="18"/>
          <w:lang w:val="es-ES_tradnl"/>
        </w:rPr>
        <w:t xml:space="preserve">nsito de la Corte Provincial </w:t>
      </w:r>
      <w:r>
        <w:rPr>
          <w:sz w:val="18"/>
          <w:szCs w:val="18"/>
          <w:lang w:val="es-ES_tradnl"/>
        </w:rPr>
        <w:t>de Guayas.</w:t>
      </w:r>
    </w:p>
    <w:p w14:paraId="4F67AD9B" w14:textId="77777777" w:rsidR="00591D54" w:rsidRDefault="00591D54">
      <w:pPr>
        <w:shd w:val="clear" w:color="auto" w:fill="FFFFFF"/>
        <w:tabs>
          <w:tab w:val="left" w:pos="139"/>
        </w:tabs>
        <w:spacing w:before="403" w:line="182" w:lineRule="exact"/>
        <w:ind w:left="139" w:hanging="139"/>
      </w:pPr>
      <w:r>
        <w:rPr>
          <w:sz w:val="10"/>
          <w:szCs w:val="10"/>
          <w:vertAlign w:val="superscript"/>
          <w:lang w:val="es-ES_tradnl"/>
        </w:rPr>
        <w:t>4</w:t>
      </w:r>
      <w:r>
        <w:rPr>
          <w:sz w:val="18"/>
          <w:szCs w:val="18"/>
          <w:lang w:val="es-ES_tradnl"/>
        </w:rPr>
        <w:tab/>
      </w:r>
      <w:r>
        <w:rPr>
          <w:spacing w:val="-2"/>
          <w:sz w:val="14"/>
          <w:szCs w:val="14"/>
          <w:lang w:val="es-ES_tradnl"/>
        </w:rPr>
        <w:t>Corte</w:t>
      </w:r>
      <w:r>
        <w:rPr>
          <w:spacing w:val="-2"/>
          <w:sz w:val="18"/>
          <w:szCs w:val="18"/>
          <w:lang w:val="es-ES_tradnl"/>
        </w:rPr>
        <w:t xml:space="preserve"> </w:t>
      </w:r>
      <w:r>
        <w:rPr>
          <w:spacing w:val="-2"/>
          <w:sz w:val="14"/>
          <w:szCs w:val="14"/>
          <w:lang w:val="es-ES_tradnl"/>
        </w:rPr>
        <w:t>Constitucional</w:t>
      </w:r>
      <w:r>
        <w:rPr>
          <w:spacing w:val="-2"/>
          <w:sz w:val="18"/>
          <w:szCs w:val="18"/>
          <w:lang w:val="es-ES_tradnl"/>
        </w:rPr>
        <w:t xml:space="preserve"> </w:t>
      </w:r>
      <w:r>
        <w:rPr>
          <w:spacing w:val="-2"/>
          <w:sz w:val="14"/>
          <w:szCs w:val="14"/>
          <w:lang w:val="es-ES_tradnl"/>
        </w:rPr>
        <w:t>del</w:t>
      </w:r>
      <w:r>
        <w:rPr>
          <w:spacing w:val="-2"/>
          <w:sz w:val="18"/>
          <w:szCs w:val="18"/>
          <w:lang w:val="es-ES_tradnl"/>
        </w:rPr>
        <w:t xml:space="preserve"> </w:t>
      </w:r>
      <w:r>
        <w:rPr>
          <w:spacing w:val="-2"/>
          <w:sz w:val="14"/>
          <w:szCs w:val="14"/>
          <w:lang w:val="es-ES_tradnl"/>
        </w:rPr>
        <w:t>Ecuador,</w:t>
      </w:r>
      <w:r>
        <w:rPr>
          <w:spacing w:val="-2"/>
          <w:sz w:val="18"/>
          <w:szCs w:val="18"/>
          <w:lang w:val="es-ES_tradnl"/>
        </w:rPr>
        <w:t xml:space="preserve"> </w:t>
      </w:r>
      <w:r>
        <w:rPr>
          <w:spacing w:val="-2"/>
          <w:sz w:val="14"/>
          <w:szCs w:val="14"/>
          <w:lang w:val="es-ES_tradnl"/>
        </w:rPr>
        <w:t>sentencia</w:t>
      </w:r>
      <w:r>
        <w:rPr>
          <w:spacing w:val="-2"/>
          <w:sz w:val="18"/>
          <w:szCs w:val="18"/>
          <w:lang w:val="es-ES_tradnl"/>
        </w:rPr>
        <w:t xml:space="preserve"> </w:t>
      </w:r>
      <w:r>
        <w:rPr>
          <w:spacing w:val="-2"/>
          <w:sz w:val="14"/>
          <w:szCs w:val="14"/>
          <w:lang w:val="es-ES_tradnl"/>
        </w:rPr>
        <w:t>N.</w:t>
      </w:r>
      <w:r>
        <w:rPr>
          <w:rFonts w:cs="Times New Roman"/>
          <w:spacing w:val="-2"/>
          <w:sz w:val="14"/>
          <w:szCs w:val="14"/>
          <w:lang w:val="es-ES_tradnl"/>
        </w:rPr>
        <w:t>º</w:t>
      </w:r>
      <w:r>
        <w:rPr>
          <w:spacing w:val="-2"/>
          <w:sz w:val="18"/>
          <w:szCs w:val="18"/>
          <w:lang w:val="es-ES_tradnl"/>
        </w:rPr>
        <w:t xml:space="preserve"> </w:t>
      </w:r>
      <w:r>
        <w:rPr>
          <w:spacing w:val="-2"/>
          <w:sz w:val="14"/>
          <w:szCs w:val="14"/>
          <w:lang w:val="es-ES_tradnl"/>
        </w:rPr>
        <w:t>020-14-SEP-CC,</w:t>
      </w:r>
      <w:r>
        <w:rPr>
          <w:spacing w:val="-2"/>
          <w:sz w:val="18"/>
          <w:szCs w:val="18"/>
          <w:lang w:val="es-ES_tradnl"/>
        </w:rPr>
        <w:t xml:space="preserve"> </w:t>
      </w:r>
      <w:r>
        <w:rPr>
          <w:spacing w:val="-2"/>
          <w:sz w:val="14"/>
          <w:szCs w:val="14"/>
          <w:lang w:val="es-ES_tradnl"/>
        </w:rPr>
        <w:t>N</w:t>
      </w:r>
      <w:r>
        <w:rPr>
          <w:rFonts w:cs="Times New Roman"/>
          <w:spacing w:val="-2"/>
          <w:sz w:val="14"/>
          <w:szCs w:val="14"/>
          <w:lang w:val="es-ES_tradnl"/>
        </w:rPr>
        <w:t>° </w:t>
      </w:r>
      <w:r>
        <w:rPr>
          <w:sz w:val="14"/>
          <w:szCs w:val="14"/>
          <w:lang w:val="es-ES_tradnl"/>
        </w:rPr>
        <w:t>0739-11-EP.</w:t>
      </w:r>
    </w:p>
    <w:p w14:paraId="4F67AD9C" w14:textId="77777777" w:rsidR="00591D54" w:rsidRDefault="00591D54">
      <w:pPr>
        <w:shd w:val="clear" w:color="auto" w:fill="FFFFFF"/>
        <w:tabs>
          <w:tab w:val="left" w:pos="139"/>
        </w:tabs>
        <w:spacing w:before="149" w:line="178" w:lineRule="exact"/>
        <w:ind w:left="139" w:hanging="139"/>
      </w:pPr>
      <w:r>
        <w:rPr>
          <w:sz w:val="10"/>
          <w:szCs w:val="10"/>
          <w:vertAlign w:val="superscript"/>
          <w:lang w:val="es-ES_tradnl"/>
        </w:rPr>
        <w:t>5</w:t>
      </w:r>
      <w:r>
        <w:rPr>
          <w:sz w:val="18"/>
          <w:szCs w:val="18"/>
          <w:lang w:val="es-ES_tradnl"/>
        </w:rPr>
        <w:tab/>
      </w:r>
      <w:r>
        <w:rPr>
          <w:spacing w:val="-3"/>
          <w:sz w:val="14"/>
          <w:szCs w:val="14"/>
          <w:lang w:val="es-ES_tradnl"/>
        </w:rPr>
        <w:t>Corte</w:t>
      </w:r>
      <w:r>
        <w:rPr>
          <w:spacing w:val="-3"/>
          <w:sz w:val="18"/>
          <w:szCs w:val="18"/>
          <w:lang w:val="es-ES_tradnl"/>
        </w:rPr>
        <w:t xml:space="preserve"> </w:t>
      </w:r>
      <w:r>
        <w:rPr>
          <w:spacing w:val="-3"/>
          <w:sz w:val="14"/>
          <w:szCs w:val="14"/>
          <w:lang w:val="es-ES_tradnl"/>
        </w:rPr>
        <w:t>Constitucional</w:t>
      </w:r>
      <w:r>
        <w:rPr>
          <w:spacing w:val="-3"/>
          <w:sz w:val="18"/>
          <w:szCs w:val="18"/>
          <w:lang w:val="es-ES_tradnl"/>
        </w:rPr>
        <w:t xml:space="preserve"> </w:t>
      </w:r>
      <w:r>
        <w:rPr>
          <w:spacing w:val="-3"/>
          <w:sz w:val="14"/>
          <w:szCs w:val="14"/>
          <w:lang w:val="es-ES_tradnl"/>
        </w:rPr>
        <w:t>del</w:t>
      </w:r>
      <w:r>
        <w:rPr>
          <w:spacing w:val="-3"/>
          <w:sz w:val="18"/>
          <w:szCs w:val="18"/>
          <w:lang w:val="es-ES_tradnl"/>
        </w:rPr>
        <w:t xml:space="preserve"> </w:t>
      </w:r>
      <w:r>
        <w:rPr>
          <w:spacing w:val="-3"/>
          <w:sz w:val="14"/>
          <w:szCs w:val="14"/>
          <w:lang w:val="es-ES_tradnl"/>
        </w:rPr>
        <w:t>Ecuador,</w:t>
      </w:r>
      <w:r>
        <w:rPr>
          <w:spacing w:val="-3"/>
          <w:sz w:val="18"/>
          <w:szCs w:val="18"/>
          <w:lang w:val="es-ES_tradnl"/>
        </w:rPr>
        <w:t xml:space="preserve"> </w:t>
      </w:r>
      <w:r>
        <w:rPr>
          <w:spacing w:val="-3"/>
          <w:sz w:val="14"/>
          <w:szCs w:val="14"/>
          <w:lang w:val="es-ES_tradnl"/>
        </w:rPr>
        <w:t>sentencia</w:t>
      </w:r>
      <w:r>
        <w:rPr>
          <w:spacing w:val="-3"/>
          <w:sz w:val="18"/>
          <w:szCs w:val="18"/>
          <w:lang w:val="es-ES_tradnl"/>
        </w:rPr>
        <w:t xml:space="preserve"> </w:t>
      </w:r>
      <w:r>
        <w:rPr>
          <w:spacing w:val="-3"/>
          <w:sz w:val="14"/>
          <w:szCs w:val="14"/>
          <w:lang w:val="es-ES_tradnl"/>
        </w:rPr>
        <w:t>N.</w:t>
      </w:r>
      <w:r>
        <w:rPr>
          <w:rFonts w:cs="Times New Roman"/>
          <w:spacing w:val="-3"/>
          <w:sz w:val="14"/>
          <w:szCs w:val="14"/>
          <w:lang w:val="es-ES_tradnl"/>
        </w:rPr>
        <w:t>º</w:t>
      </w:r>
      <w:r>
        <w:rPr>
          <w:spacing w:val="-3"/>
          <w:sz w:val="18"/>
          <w:szCs w:val="18"/>
          <w:lang w:val="es-ES_tradnl"/>
        </w:rPr>
        <w:t xml:space="preserve"> </w:t>
      </w:r>
      <w:r>
        <w:rPr>
          <w:spacing w:val="-3"/>
          <w:sz w:val="14"/>
          <w:szCs w:val="14"/>
          <w:lang w:val="es-ES_tradnl"/>
        </w:rPr>
        <w:t>114-13-SEP-CC,</w:t>
      </w:r>
      <w:r>
        <w:rPr>
          <w:spacing w:val="-3"/>
          <w:sz w:val="18"/>
          <w:szCs w:val="18"/>
          <w:lang w:val="es-ES_tradnl"/>
        </w:rPr>
        <w:t xml:space="preserve"> </w:t>
      </w:r>
      <w:r>
        <w:rPr>
          <w:spacing w:val="-3"/>
          <w:sz w:val="14"/>
          <w:szCs w:val="14"/>
          <w:lang w:val="es-ES_tradnl"/>
        </w:rPr>
        <w:t>N,</w:t>
      </w:r>
      <w:r>
        <w:rPr>
          <w:rFonts w:cs="Times New Roman"/>
          <w:spacing w:val="-3"/>
          <w:sz w:val="14"/>
          <w:szCs w:val="14"/>
          <w:lang w:val="es-ES_tradnl"/>
        </w:rPr>
        <w:t>° </w:t>
      </w:r>
      <w:r>
        <w:rPr>
          <w:sz w:val="14"/>
          <w:szCs w:val="14"/>
          <w:lang w:val="es-ES_tradnl"/>
        </w:rPr>
        <w:t>1121-13-EP.</w:t>
      </w:r>
    </w:p>
    <w:p w14:paraId="4F67AD9D" w14:textId="77777777" w:rsidR="00591D54" w:rsidRDefault="00591D54">
      <w:pPr>
        <w:shd w:val="clear" w:color="auto" w:fill="FFFFFF"/>
        <w:spacing w:before="14" w:line="211" w:lineRule="exact"/>
        <w:jc w:val="both"/>
      </w:pPr>
      <w:r>
        <w:br w:type="column"/>
      </w:r>
      <w:r>
        <w:rPr>
          <w:spacing w:val="-9"/>
          <w:sz w:val="18"/>
          <w:szCs w:val="18"/>
          <w:lang w:val="es-ES_tradnl"/>
        </w:rPr>
        <w:t>Por otro lado, y tomando como punto de partida lo expuesto respecto de la fundamentaci</w:t>
      </w:r>
      <w:r>
        <w:rPr>
          <w:rFonts w:cs="Times New Roman"/>
          <w:spacing w:val="-9"/>
          <w:sz w:val="18"/>
          <w:szCs w:val="18"/>
          <w:lang w:val="es-ES_tradnl"/>
        </w:rPr>
        <w:t>ó</w:t>
      </w:r>
      <w:r>
        <w:rPr>
          <w:spacing w:val="-9"/>
          <w:sz w:val="18"/>
          <w:szCs w:val="18"/>
          <w:lang w:val="es-ES_tradnl"/>
        </w:rPr>
        <w:t xml:space="preserve">n que verifica el cumplimiento </w:t>
      </w:r>
      <w:r>
        <w:rPr>
          <w:spacing w:val="-7"/>
          <w:sz w:val="18"/>
          <w:szCs w:val="18"/>
          <w:lang w:val="es-ES_tradnl"/>
        </w:rPr>
        <w:t>del criterio de seguridad jur</w:t>
      </w:r>
      <w:r>
        <w:rPr>
          <w:rFonts w:cs="Times New Roman"/>
          <w:spacing w:val="-7"/>
          <w:sz w:val="18"/>
          <w:szCs w:val="18"/>
          <w:lang w:val="es-ES_tradnl"/>
        </w:rPr>
        <w:t>í</w:t>
      </w:r>
      <w:r>
        <w:rPr>
          <w:spacing w:val="-7"/>
          <w:sz w:val="18"/>
          <w:szCs w:val="18"/>
          <w:lang w:val="es-ES_tradnl"/>
        </w:rPr>
        <w:t>dica en las sentencias materia de este an</w:t>
      </w:r>
      <w:r>
        <w:rPr>
          <w:rFonts w:cs="Times New Roman"/>
          <w:spacing w:val="-7"/>
          <w:sz w:val="18"/>
          <w:szCs w:val="18"/>
          <w:lang w:val="es-ES_tradnl"/>
        </w:rPr>
        <w:t>á</w:t>
      </w:r>
      <w:r>
        <w:rPr>
          <w:spacing w:val="-7"/>
          <w:sz w:val="18"/>
          <w:szCs w:val="18"/>
          <w:lang w:val="es-ES_tradnl"/>
        </w:rPr>
        <w:t xml:space="preserve">lisis, es importante establecer que en la parte resolutiva de la sentencia 2012-0414, la cual fue ratificada </w:t>
      </w:r>
      <w:r>
        <w:rPr>
          <w:spacing w:val="-12"/>
          <w:sz w:val="18"/>
          <w:szCs w:val="18"/>
          <w:lang w:val="es-ES_tradnl"/>
        </w:rPr>
        <w:t>en todas sus partes por la sentencia 2012-0719, se determin</w:t>
      </w:r>
      <w:r>
        <w:rPr>
          <w:rFonts w:cs="Times New Roman"/>
          <w:spacing w:val="-12"/>
          <w:sz w:val="18"/>
          <w:szCs w:val="18"/>
          <w:lang w:val="es-ES_tradnl"/>
        </w:rPr>
        <w:t xml:space="preserve">ó </w:t>
      </w:r>
      <w:r>
        <w:rPr>
          <w:spacing w:val="-8"/>
          <w:sz w:val="18"/>
          <w:szCs w:val="18"/>
          <w:lang w:val="es-ES_tradnl"/>
        </w:rPr>
        <w:t xml:space="preserve">que se reintegre de forma inmediata al servicio activo de la </w:t>
      </w:r>
      <w:r>
        <w:rPr>
          <w:spacing w:val="-7"/>
          <w:sz w:val="18"/>
          <w:szCs w:val="18"/>
          <w:lang w:val="es-ES_tradnl"/>
        </w:rPr>
        <w:t xml:space="preserve">Fuerza Naval de la Armada del Ecuador, con el grado de </w:t>
      </w:r>
      <w:r>
        <w:rPr>
          <w:spacing w:val="-5"/>
          <w:sz w:val="18"/>
          <w:szCs w:val="18"/>
          <w:lang w:val="es-ES_tradnl"/>
        </w:rPr>
        <w:t>sargento primero, al se</w:t>
      </w:r>
      <w:r>
        <w:rPr>
          <w:rFonts w:cs="Times New Roman"/>
          <w:spacing w:val="-5"/>
          <w:sz w:val="18"/>
          <w:szCs w:val="18"/>
          <w:lang w:val="es-ES_tradnl"/>
        </w:rPr>
        <w:t>ñ</w:t>
      </w:r>
      <w:r>
        <w:rPr>
          <w:spacing w:val="-5"/>
          <w:sz w:val="18"/>
          <w:szCs w:val="18"/>
          <w:lang w:val="es-ES_tradnl"/>
        </w:rPr>
        <w:t>or Jos</w:t>
      </w:r>
      <w:r>
        <w:rPr>
          <w:rFonts w:cs="Times New Roman"/>
          <w:spacing w:val="-5"/>
          <w:sz w:val="18"/>
          <w:szCs w:val="18"/>
          <w:lang w:val="es-ES_tradnl"/>
        </w:rPr>
        <w:t>é</w:t>
      </w:r>
      <w:r>
        <w:rPr>
          <w:spacing w:val="-5"/>
          <w:sz w:val="18"/>
          <w:szCs w:val="18"/>
          <w:lang w:val="es-ES_tradnl"/>
        </w:rPr>
        <w:t xml:space="preserve"> Luis Burgos Sol</w:t>
      </w:r>
      <w:r>
        <w:rPr>
          <w:rFonts w:cs="Times New Roman"/>
          <w:spacing w:val="-5"/>
          <w:sz w:val="18"/>
          <w:szCs w:val="18"/>
          <w:lang w:val="es-ES_tradnl"/>
        </w:rPr>
        <w:t>í</w:t>
      </w:r>
      <w:r>
        <w:rPr>
          <w:spacing w:val="-5"/>
          <w:sz w:val="18"/>
          <w:szCs w:val="18"/>
          <w:lang w:val="es-ES_tradnl"/>
        </w:rPr>
        <w:t xml:space="preserve">s, quien </w:t>
      </w:r>
      <w:r>
        <w:rPr>
          <w:spacing w:val="-9"/>
          <w:sz w:val="18"/>
          <w:szCs w:val="18"/>
          <w:lang w:val="es-ES_tradnl"/>
        </w:rPr>
        <w:t>al momento de ser dado de baja, ten</w:t>
      </w:r>
      <w:r>
        <w:rPr>
          <w:rFonts w:cs="Times New Roman"/>
          <w:spacing w:val="-9"/>
          <w:sz w:val="18"/>
          <w:szCs w:val="18"/>
          <w:lang w:val="es-ES_tradnl"/>
        </w:rPr>
        <w:t>í</w:t>
      </w:r>
      <w:r>
        <w:rPr>
          <w:spacing w:val="-9"/>
          <w:sz w:val="18"/>
          <w:szCs w:val="18"/>
          <w:lang w:val="es-ES_tradnl"/>
        </w:rPr>
        <w:t xml:space="preserve">a el grado de sargento segundo, criterio que fue rechazado por la parte accionada, </w:t>
      </w:r>
      <w:r>
        <w:rPr>
          <w:spacing w:val="-6"/>
          <w:sz w:val="18"/>
          <w:szCs w:val="18"/>
          <w:lang w:val="es-ES_tradnl"/>
        </w:rPr>
        <w:t>se</w:t>
      </w:r>
      <w:r>
        <w:rPr>
          <w:rFonts w:cs="Times New Roman"/>
          <w:spacing w:val="-6"/>
          <w:sz w:val="18"/>
          <w:szCs w:val="18"/>
          <w:lang w:val="es-ES_tradnl"/>
        </w:rPr>
        <w:t>ñ</w:t>
      </w:r>
      <w:r>
        <w:rPr>
          <w:spacing w:val="-6"/>
          <w:sz w:val="18"/>
          <w:szCs w:val="18"/>
          <w:lang w:val="es-ES_tradnl"/>
        </w:rPr>
        <w:t>alando que se violenta el art</w:t>
      </w:r>
      <w:r>
        <w:rPr>
          <w:rFonts w:cs="Times New Roman"/>
          <w:spacing w:val="-6"/>
          <w:sz w:val="18"/>
          <w:szCs w:val="18"/>
          <w:lang w:val="es-ES_tradnl"/>
        </w:rPr>
        <w:t>í</w:t>
      </w:r>
      <w:r>
        <w:rPr>
          <w:spacing w:val="-6"/>
          <w:sz w:val="18"/>
          <w:szCs w:val="18"/>
          <w:lang w:val="es-ES_tradnl"/>
        </w:rPr>
        <w:t xml:space="preserve">culo 160, segundo inciso </w:t>
      </w:r>
      <w:r>
        <w:rPr>
          <w:sz w:val="18"/>
          <w:szCs w:val="18"/>
          <w:lang w:val="es-ES_tradnl"/>
        </w:rPr>
        <w:t>de la Constituci</w:t>
      </w:r>
      <w:r>
        <w:rPr>
          <w:rFonts w:cs="Times New Roman"/>
          <w:sz w:val="18"/>
          <w:szCs w:val="18"/>
          <w:lang w:val="es-ES_tradnl"/>
        </w:rPr>
        <w:t>ó</w:t>
      </w:r>
      <w:r>
        <w:rPr>
          <w:sz w:val="18"/>
          <w:szCs w:val="18"/>
          <w:lang w:val="es-ES_tradnl"/>
        </w:rPr>
        <w:t>n</w:t>
      </w:r>
      <w:r>
        <w:rPr>
          <w:sz w:val="18"/>
          <w:szCs w:val="18"/>
          <w:vertAlign w:val="superscript"/>
          <w:lang w:val="es-ES_tradnl"/>
        </w:rPr>
        <w:t>6</w:t>
      </w:r>
      <w:r>
        <w:rPr>
          <w:sz w:val="18"/>
          <w:szCs w:val="18"/>
          <w:lang w:val="es-ES_tradnl"/>
        </w:rPr>
        <w:t>.</w:t>
      </w:r>
    </w:p>
    <w:p w14:paraId="4F67AD9E" w14:textId="77777777" w:rsidR="00591D54" w:rsidRDefault="00591D54">
      <w:pPr>
        <w:shd w:val="clear" w:color="auto" w:fill="FFFFFF"/>
        <w:spacing w:before="197" w:line="216" w:lineRule="exact"/>
        <w:jc w:val="both"/>
      </w:pPr>
      <w:r>
        <w:rPr>
          <w:spacing w:val="-11"/>
          <w:sz w:val="18"/>
          <w:szCs w:val="18"/>
          <w:lang w:val="es-ES_tradnl"/>
        </w:rPr>
        <w:t>Al respecto, si bien es cierto que se orden</w:t>
      </w:r>
      <w:r>
        <w:rPr>
          <w:rFonts w:cs="Times New Roman"/>
          <w:spacing w:val="-11"/>
          <w:sz w:val="18"/>
          <w:szCs w:val="18"/>
          <w:lang w:val="es-ES_tradnl"/>
        </w:rPr>
        <w:t>ó</w:t>
      </w:r>
      <w:r>
        <w:rPr>
          <w:spacing w:val="-11"/>
          <w:sz w:val="18"/>
          <w:szCs w:val="18"/>
          <w:lang w:val="es-ES_tradnl"/>
        </w:rPr>
        <w:t xml:space="preserve"> la reincorporaci</w:t>
      </w:r>
      <w:r>
        <w:rPr>
          <w:rFonts w:cs="Times New Roman"/>
          <w:spacing w:val="-11"/>
          <w:sz w:val="18"/>
          <w:szCs w:val="18"/>
          <w:lang w:val="es-ES_tradnl"/>
        </w:rPr>
        <w:t>ó</w:t>
      </w:r>
      <w:r>
        <w:rPr>
          <w:spacing w:val="-11"/>
          <w:sz w:val="18"/>
          <w:szCs w:val="18"/>
          <w:lang w:val="es-ES_tradnl"/>
        </w:rPr>
        <w:t xml:space="preserve">n </w:t>
      </w:r>
      <w:r>
        <w:rPr>
          <w:spacing w:val="-7"/>
          <w:sz w:val="18"/>
          <w:szCs w:val="18"/>
          <w:lang w:val="es-ES_tradnl"/>
        </w:rPr>
        <w:t xml:space="preserve">con un ascenso al accionante, y tomando en cuenta lo </w:t>
      </w:r>
      <w:r>
        <w:rPr>
          <w:spacing w:val="-9"/>
          <w:sz w:val="18"/>
          <w:szCs w:val="18"/>
          <w:lang w:val="es-ES_tradnl"/>
        </w:rPr>
        <w:t>expuesto por el art</w:t>
      </w:r>
      <w:r>
        <w:rPr>
          <w:rFonts w:cs="Times New Roman"/>
          <w:spacing w:val="-9"/>
          <w:sz w:val="18"/>
          <w:szCs w:val="18"/>
          <w:lang w:val="es-ES_tradnl"/>
        </w:rPr>
        <w:t>í</w:t>
      </w:r>
      <w:r>
        <w:rPr>
          <w:spacing w:val="-9"/>
          <w:sz w:val="18"/>
          <w:szCs w:val="18"/>
          <w:lang w:val="es-ES_tradnl"/>
        </w:rPr>
        <w:t>culo 24 de la Ley Org</w:t>
      </w:r>
      <w:r>
        <w:rPr>
          <w:rFonts w:cs="Times New Roman"/>
          <w:spacing w:val="-9"/>
          <w:sz w:val="18"/>
          <w:szCs w:val="18"/>
          <w:lang w:val="es-ES_tradnl"/>
        </w:rPr>
        <w:t>á</w:t>
      </w:r>
      <w:r>
        <w:rPr>
          <w:spacing w:val="-9"/>
          <w:sz w:val="18"/>
          <w:szCs w:val="18"/>
          <w:lang w:val="es-ES_tradnl"/>
        </w:rPr>
        <w:t>nica de Garant</w:t>
      </w:r>
      <w:r>
        <w:rPr>
          <w:rFonts w:cs="Times New Roman"/>
          <w:spacing w:val="-9"/>
          <w:sz w:val="18"/>
          <w:szCs w:val="18"/>
          <w:lang w:val="es-ES_tradnl"/>
        </w:rPr>
        <w:t>í</w:t>
      </w:r>
      <w:r>
        <w:rPr>
          <w:spacing w:val="-9"/>
          <w:sz w:val="18"/>
          <w:szCs w:val="18"/>
          <w:lang w:val="es-ES_tradnl"/>
        </w:rPr>
        <w:t xml:space="preserve">as </w:t>
      </w:r>
      <w:r>
        <w:rPr>
          <w:spacing w:val="-6"/>
          <w:sz w:val="18"/>
          <w:szCs w:val="18"/>
          <w:lang w:val="es-ES_tradnl"/>
        </w:rPr>
        <w:t xml:space="preserve">Jurisdiccionales y Control Constitucional, que en su parte </w:t>
      </w:r>
      <w:r>
        <w:rPr>
          <w:spacing w:val="-9"/>
          <w:sz w:val="18"/>
          <w:szCs w:val="18"/>
          <w:lang w:val="es-ES_tradnl"/>
        </w:rPr>
        <w:t>pertinente se</w:t>
      </w:r>
      <w:r>
        <w:rPr>
          <w:rFonts w:cs="Times New Roman"/>
          <w:spacing w:val="-9"/>
          <w:sz w:val="18"/>
          <w:szCs w:val="18"/>
          <w:lang w:val="es-ES_tradnl"/>
        </w:rPr>
        <w:t>ñ</w:t>
      </w:r>
      <w:r>
        <w:rPr>
          <w:spacing w:val="-9"/>
          <w:sz w:val="18"/>
          <w:szCs w:val="18"/>
          <w:lang w:val="es-ES_tradnl"/>
        </w:rPr>
        <w:t xml:space="preserve">ala </w:t>
      </w:r>
      <w:r>
        <w:rPr>
          <w:rFonts w:cs="Times New Roman"/>
          <w:spacing w:val="-9"/>
          <w:sz w:val="18"/>
          <w:szCs w:val="18"/>
          <w:lang w:val="es-ES_tradnl"/>
        </w:rPr>
        <w:t>“</w:t>
      </w:r>
      <w:r>
        <w:rPr>
          <w:spacing w:val="-9"/>
          <w:sz w:val="18"/>
          <w:szCs w:val="18"/>
          <w:lang w:val="es-ES_tradnl"/>
        </w:rPr>
        <w:t>La interposici</w:t>
      </w:r>
      <w:r>
        <w:rPr>
          <w:rFonts w:cs="Times New Roman"/>
          <w:spacing w:val="-9"/>
          <w:sz w:val="18"/>
          <w:szCs w:val="18"/>
          <w:lang w:val="es-ES_tradnl"/>
        </w:rPr>
        <w:t>ó</w:t>
      </w:r>
      <w:r>
        <w:rPr>
          <w:spacing w:val="-9"/>
          <w:sz w:val="18"/>
          <w:szCs w:val="18"/>
          <w:lang w:val="es-ES_tradnl"/>
        </w:rPr>
        <w:t xml:space="preserve">n del recurso no suspende </w:t>
      </w:r>
      <w:r>
        <w:rPr>
          <w:spacing w:val="-7"/>
          <w:sz w:val="18"/>
          <w:szCs w:val="18"/>
          <w:lang w:val="es-ES_tradnl"/>
        </w:rPr>
        <w:t>la ejecuci</w:t>
      </w:r>
      <w:r>
        <w:rPr>
          <w:rFonts w:cs="Times New Roman"/>
          <w:spacing w:val="-7"/>
          <w:sz w:val="18"/>
          <w:szCs w:val="18"/>
          <w:lang w:val="es-ES_tradnl"/>
        </w:rPr>
        <w:t>ó</w:t>
      </w:r>
      <w:r>
        <w:rPr>
          <w:spacing w:val="-7"/>
          <w:sz w:val="18"/>
          <w:szCs w:val="18"/>
          <w:lang w:val="es-ES_tradnl"/>
        </w:rPr>
        <w:t xml:space="preserve">n de la sentencia, cuando el apelante fuere la </w:t>
      </w:r>
      <w:r>
        <w:rPr>
          <w:spacing w:val="-10"/>
          <w:sz w:val="18"/>
          <w:szCs w:val="18"/>
          <w:lang w:val="es-ES_tradnl"/>
        </w:rPr>
        <w:t>persona o entidad accionada</w:t>
      </w:r>
      <w:r>
        <w:rPr>
          <w:rFonts w:cs="Times New Roman"/>
          <w:spacing w:val="-10"/>
          <w:sz w:val="18"/>
          <w:szCs w:val="18"/>
          <w:lang w:val="es-ES_tradnl"/>
        </w:rPr>
        <w:t>”</w:t>
      </w:r>
      <w:r>
        <w:rPr>
          <w:spacing w:val="-10"/>
          <w:sz w:val="18"/>
          <w:szCs w:val="18"/>
          <w:lang w:val="es-ES_tradnl"/>
        </w:rPr>
        <w:t xml:space="preserve">, se pudo verificar en segunda </w:t>
      </w:r>
      <w:r>
        <w:rPr>
          <w:spacing w:val="-7"/>
          <w:sz w:val="18"/>
          <w:szCs w:val="18"/>
          <w:lang w:val="es-ES_tradnl"/>
        </w:rPr>
        <w:t xml:space="preserve">instancia que tal ascenso fue llevado a cabo conforme los </w:t>
      </w:r>
      <w:r>
        <w:rPr>
          <w:spacing w:val="-6"/>
          <w:sz w:val="18"/>
          <w:szCs w:val="18"/>
          <w:lang w:val="es-ES_tradnl"/>
        </w:rPr>
        <w:t xml:space="preserve">procedimientos propios establecidos por la Armada del </w:t>
      </w:r>
      <w:r>
        <w:rPr>
          <w:spacing w:val="-9"/>
          <w:sz w:val="18"/>
          <w:szCs w:val="18"/>
          <w:lang w:val="es-ES_tradnl"/>
        </w:rPr>
        <w:t xml:space="preserve">Ecuador y con respeto a su normativa legal y reglamentaria, </w:t>
      </w:r>
      <w:r>
        <w:rPr>
          <w:spacing w:val="-6"/>
          <w:sz w:val="18"/>
          <w:szCs w:val="18"/>
          <w:lang w:val="es-ES_tradnl"/>
        </w:rPr>
        <w:t>lo cual le permiti</w:t>
      </w:r>
      <w:r>
        <w:rPr>
          <w:rFonts w:cs="Times New Roman"/>
          <w:spacing w:val="-6"/>
          <w:sz w:val="18"/>
          <w:szCs w:val="18"/>
          <w:lang w:val="es-ES_tradnl"/>
        </w:rPr>
        <w:t>ó</w:t>
      </w:r>
      <w:r>
        <w:rPr>
          <w:spacing w:val="-6"/>
          <w:sz w:val="18"/>
          <w:szCs w:val="18"/>
          <w:lang w:val="es-ES_tradnl"/>
        </w:rPr>
        <w:t xml:space="preserve"> al se</w:t>
      </w:r>
      <w:r>
        <w:rPr>
          <w:rFonts w:cs="Times New Roman"/>
          <w:spacing w:val="-6"/>
          <w:sz w:val="18"/>
          <w:szCs w:val="18"/>
          <w:lang w:val="es-ES_tradnl"/>
        </w:rPr>
        <w:t>ñ</w:t>
      </w:r>
      <w:r>
        <w:rPr>
          <w:spacing w:val="-6"/>
          <w:sz w:val="18"/>
          <w:szCs w:val="18"/>
          <w:lang w:val="es-ES_tradnl"/>
        </w:rPr>
        <w:t>or Burgos Sol</w:t>
      </w:r>
      <w:r>
        <w:rPr>
          <w:rFonts w:cs="Times New Roman"/>
          <w:spacing w:val="-6"/>
          <w:sz w:val="18"/>
          <w:szCs w:val="18"/>
          <w:lang w:val="es-ES_tradnl"/>
        </w:rPr>
        <w:t>í</w:t>
      </w:r>
      <w:r>
        <w:rPr>
          <w:spacing w:val="-6"/>
          <w:sz w:val="18"/>
          <w:szCs w:val="18"/>
          <w:lang w:val="es-ES_tradnl"/>
        </w:rPr>
        <w:t>s, acceder al cargo de sargento primero. De este modo se ha verificado la aplicaci</w:t>
      </w:r>
      <w:r>
        <w:rPr>
          <w:rFonts w:cs="Times New Roman"/>
          <w:spacing w:val="-6"/>
          <w:sz w:val="18"/>
          <w:szCs w:val="18"/>
          <w:lang w:val="es-ES_tradnl"/>
        </w:rPr>
        <w:t>ó</w:t>
      </w:r>
      <w:r>
        <w:rPr>
          <w:spacing w:val="-6"/>
          <w:sz w:val="18"/>
          <w:szCs w:val="18"/>
          <w:lang w:val="es-ES_tradnl"/>
        </w:rPr>
        <w:t xml:space="preserve">n de normas y reglas competentes para ese tipo </w:t>
      </w:r>
      <w:r>
        <w:rPr>
          <w:spacing w:val="-5"/>
          <w:sz w:val="18"/>
          <w:szCs w:val="18"/>
          <w:lang w:val="es-ES_tradnl"/>
        </w:rPr>
        <w:t xml:space="preserve">de procedimiento y, por tanto, con apego al criterio de </w:t>
      </w:r>
      <w:r>
        <w:rPr>
          <w:sz w:val="18"/>
          <w:szCs w:val="18"/>
          <w:lang w:val="es-ES_tradnl"/>
        </w:rPr>
        <w:t>seguridad jur</w:t>
      </w:r>
      <w:r>
        <w:rPr>
          <w:rFonts w:cs="Times New Roman"/>
          <w:sz w:val="18"/>
          <w:szCs w:val="18"/>
          <w:lang w:val="es-ES_tradnl"/>
        </w:rPr>
        <w:t>í</w:t>
      </w:r>
      <w:r>
        <w:rPr>
          <w:sz w:val="18"/>
          <w:szCs w:val="18"/>
          <w:lang w:val="es-ES_tradnl"/>
        </w:rPr>
        <w:t>dica.</w:t>
      </w:r>
    </w:p>
    <w:p w14:paraId="4F67AD9F" w14:textId="77777777" w:rsidR="00591D54" w:rsidRDefault="00591D54">
      <w:pPr>
        <w:shd w:val="clear" w:color="auto" w:fill="FFFFFF"/>
        <w:spacing w:before="192"/>
      </w:pPr>
      <w:r>
        <w:rPr>
          <w:b/>
          <w:bCs/>
          <w:spacing w:val="-11"/>
          <w:sz w:val="18"/>
          <w:szCs w:val="18"/>
          <w:lang w:val="es-ES_tradnl"/>
        </w:rPr>
        <w:t>Consideraciones adicionales</w:t>
      </w:r>
    </w:p>
    <w:p w14:paraId="4F67ADA0" w14:textId="77777777" w:rsidR="00591D54" w:rsidRDefault="00591D54">
      <w:pPr>
        <w:shd w:val="clear" w:color="auto" w:fill="FFFFFF"/>
        <w:spacing w:before="192" w:line="216" w:lineRule="exact"/>
        <w:jc w:val="both"/>
      </w:pPr>
      <w:r>
        <w:rPr>
          <w:spacing w:val="-3"/>
          <w:sz w:val="18"/>
          <w:szCs w:val="18"/>
          <w:lang w:val="es-ES_tradnl"/>
        </w:rPr>
        <w:t xml:space="preserve">Finalmente, un aspecto que merece ser observado por </w:t>
      </w:r>
      <w:r>
        <w:rPr>
          <w:spacing w:val="-6"/>
          <w:sz w:val="18"/>
          <w:szCs w:val="18"/>
          <w:lang w:val="es-ES_tradnl"/>
        </w:rPr>
        <w:t xml:space="preserve">la Corte Constitucional radica en que en la sentencia </w:t>
      </w:r>
      <w:r>
        <w:rPr>
          <w:spacing w:val="-9"/>
          <w:sz w:val="18"/>
          <w:szCs w:val="18"/>
          <w:lang w:val="es-ES_tradnl"/>
        </w:rPr>
        <w:t>impugnada (decisi</w:t>
      </w:r>
      <w:r>
        <w:rPr>
          <w:rFonts w:cs="Times New Roman"/>
          <w:spacing w:val="-9"/>
          <w:sz w:val="18"/>
          <w:szCs w:val="18"/>
          <w:lang w:val="es-ES_tradnl"/>
        </w:rPr>
        <w:t>ó</w:t>
      </w:r>
      <w:r>
        <w:rPr>
          <w:spacing w:val="-9"/>
          <w:sz w:val="18"/>
          <w:szCs w:val="18"/>
          <w:lang w:val="es-ES_tradnl"/>
        </w:rPr>
        <w:t xml:space="preserve">n de segunda instancia), la Tercera Sala </w:t>
      </w:r>
      <w:r>
        <w:rPr>
          <w:spacing w:val="-6"/>
          <w:sz w:val="18"/>
          <w:szCs w:val="18"/>
          <w:lang w:val="es-ES_tradnl"/>
        </w:rPr>
        <w:t xml:space="preserve">de lo Penal de la Corte Provincial de Justicia del Guayas </w:t>
      </w:r>
      <w:r>
        <w:rPr>
          <w:spacing w:val="-5"/>
          <w:sz w:val="18"/>
          <w:szCs w:val="18"/>
          <w:lang w:val="es-ES_tradnl"/>
        </w:rPr>
        <w:t xml:space="preserve">determina: </w:t>
      </w:r>
      <w:r>
        <w:rPr>
          <w:rFonts w:cs="Times New Roman"/>
          <w:spacing w:val="-5"/>
          <w:sz w:val="18"/>
          <w:szCs w:val="18"/>
          <w:lang w:val="es-ES_tradnl"/>
        </w:rPr>
        <w:t>“</w:t>
      </w:r>
      <w:r>
        <w:rPr>
          <w:spacing w:val="-5"/>
          <w:sz w:val="18"/>
          <w:szCs w:val="18"/>
          <w:lang w:val="es-ES_tradnl"/>
        </w:rPr>
        <w:t xml:space="preserve">ADMINISTRANDO JUSTICIA EN NOMBRE </w:t>
      </w:r>
      <w:r>
        <w:rPr>
          <w:spacing w:val="-1"/>
          <w:sz w:val="18"/>
          <w:szCs w:val="18"/>
          <w:lang w:val="es-ES_tradnl"/>
        </w:rPr>
        <w:t xml:space="preserve">DEL PUEBLO SOBERANO DEL ECUADOR Y POR </w:t>
      </w:r>
      <w:r>
        <w:rPr>
          <w:sz w:val="18"/>
          <w:szCs w:val="18"/>
          <w:lang w:val="es-ES_tradnl"/>
        </w:rPr>
        <w:t>AUTORIDAD DE LA CONSTITUCI</w:t>
      </w:r>
      <w:r>
        <w:rPr>
          <w:rFonts w:cs="Times New Roman"/>
          <w:sz w:val="18"/>
          <w:szCs w:val="18"/>
          <w:lang w:val="es-ES_tradnl"/>
        </w:rPr>
        <w:t>Ó</w:t>
      </w:r>
      <w:r>
        <w:rPr>
          <w:sz w:val="18"/>
          <w:szCs w:val="18"/>
          <w:lang w:val="es-ES_tradnl"/>
        </w:rPr>
        <w:t xml:space="preserve">N Y LAS LEYES </w:t>
      </w:r>
      <w:r>
        <w:rPr>
          <w:spacing w:val="-9"/>
          <w:sz w:val="18"/>
          <w:szCs w:val="18"/>
          <w:lang w:val="es-ES_tradnl"/>
        </w:rPr>
        <w:t>DE LA REP</w:t>
      </w:r>
      <w:r>
        <w:rPr>
          <w:rFonts w:cs="Times New Roman"/>
          <w:spacing w:val="-9"/>
          <w:sz w:val="18"/>
          <w:szCs w:val="18"/>
          <w:lang w:val="es-ES_tradnl"/>
        </w:rPr>
        <w:t>Ú</w:t>
      </w:r>
      <w:r>
        <w:rPr>
          <w:spacing w:val="-9"/>
          <w:sz w:val="18"/>
          <w:szCs w:val="18"/>
          <w:lang w:val="es-ES_tradnl"/>
        </w:rPr>
        <w:t>BLICA desechando los recursos de apelaci</w:t>
      </w:r>
      <w:r>
        <w:rPr>
          <w:rFonts w:cs="Times New Roman"/>
          <w:spacing w:val="-9"/>
          <w:sz w:val="18"/>
          <w:szCs w:val="18"/>
          <w:lang w:val="es-ES_tradnl"/>
        </w:rPr>
        <w:t>ó</w:t>
      </w:r>
      <w:r>
        <w:rPr>
          <w:spacing w:val="-9"/>
          <w:sz w:val="18"/>
          <w:szCs w:val="18"/>
          <w:lang w:val="es-ES_tradnl"/>
        </w:rPr>
        <w:t xml:space="preserve">n </w:t>
      </w:r>
      <w:r>
        <w:rPr>
          <w:spacing w:val="-6"/>
          <w:sz w:val="18"/>
          <w:szCs w:val="18"/>
          <w:lang w:val="es-ES_tradnl"/>
        </w:rPr>
        <w:t>interpuestos; y en estricta aplicaci</w:t>
      </w:r>
      <w:r>
        <w:rPr>
          <w:rFonts w:cs="Times New Roman"/>
          <w:spacing w:val="-6"/>
          <w:sz w:val="18"/>
          <w:szCs w:val="18"/>
          <w:lang w:val="es-ES_tradnl"/>
        </w:rPr>
        <w:t>ó</w:t>
      </w:r>
      <w:r>
        <w:rPr>
          <w:spacing w:val="-6"/>
          <w:sz w:val="18"/>
          <w:szCs w:val="18"/>
          <w:lang w:val="es-ES_tradnl"/>
        </w:rPr>
        <w:t xml:space="preserve">n a lo dispuesto en el </w:t>
      </w:r>
      <w:r>
        <w:rPr>
          <w:spacing w:val="-9"/>
          <w:sz w:val="18"/>
          <w:szCs w:val="18"/>
          <w:lang w:val="es-ES_tradnl"/>
        </w:rPr>
        <w:t xml:space="preserve">Art. 41, numeral 1 y Arts. 17 y 18 de la LOGJCC; </w:t>
      </w:r>
      <w:r>
        <w:rPr>
          <w:b/>
          <w:bCs/>
          <w:spacing w:val="-9"/>
          <w:sz w:val="18"/>
          <w:szCs w:val="18"/>
          <w:lang w:val="es-ES_tradnl"/>
        </w:rPr>
        <w:t xml:space="preserve">confirma en todas sus partes la sentencia dictada por la jueza </w:t>
      </w:r>
      <w:r>
        <w:rPr>
          <w:b/>
          <w:bCs/>
          <w:sz w:val="18"/>
          <w:szCs w:val="18"/>
          <w:lang w:val="es-ES_tradnl"/>
        </w:rPr>
        <w:t>a-quo</w:t>
      </w:r>
      <w:r>
        <w:rPr>
          <w:rFonts w:cs="Times New Roman"/>
          <w:sz w:val="18"/>
          <w:szCs w:val="18"/>
          <w:lang w:val="es-ES_tradnl"/>
        </w:rPr>
        <w:t>”</w:t>
      </w:r>
      <w:r>
        <w:rPr>
          <w:sz w:val="18"/>
          <w:szCs w:val="18"/>
          <w:lang w:val="es-ES_tradnl"/>
        </w:rPr>
        <w:t xml:space="preserve"> (</w:t>
      </w:r>
      <w:r>
        <w:rPr>
          <w:rFonts w:cs="Times New Roman"/>
          <w:sz w:val="18"/>
          <w:szCs w:val="18"/>
          <w:lang w:val="es-ES_tradnl"/>
        </w:rPr>
        <w:t>É</w:t>
      </w:r>
      <w:r>
        <w:rPr>
          <w:sz w:val="18"/>
          <w:szCs w:val="18"/>
          <w:lang w:val="es-ES_tradnl"/>
        </w:rPr>
        <w:t>nfasis fuera del texto).</w:t>
      </w:r>
    </w:p>
    <w:p w14:paraId="4F67ADA1" w14:textId="77777777" w:rsidR="00591D54" w:rsidRDefault="00591D54">
      <w:pPr>
        <w:shd w:val="clear" w:color="auto" w:fill="FFFFFF"/>
        <w:spacing w:before="192" w:line="216" w:lineRule="exact"/>
        <w:jc w:val="both"/>
      </w:pPr>
      <w:r>
        <w:rPr>
          <w:spacing w:val="-8"/>
          <w:sz w:val="18"/>
          <w:szCs w:val="18"/>
          <w:lang w:val="es-ES_tradnl"/>
        </w:rPr>
        <w:t>En dicha decisi</w:t>
      </w:r>
      <w:r>
        <w:rPr>
          <w:rFonts w:cs="Times New Roman"/>
          <w:spacing w:val="-8"/>
          <w:sz w:val="18"/>
          <w:szCs w:val="18"/>
          <w:lang w:val="es-ES_tradnl"/>
        </w:rPr>
        <w:t>ó</w:t>
      </w:r>
      <w:r>
        <w:rPr>
          <w:spacing w:val="-8"/>
          <w:sz w:val="18"/>
          <w:szCs w:val="18"/>
          <w:lang w:val="es-ES_tradnl"/>
        </w:rPr>
        <w:t>n, adem</w:t>
      </w:r>
      <w:r>
        <w:rPr>
          <w:rFonts w:cs="Times New Roman"/>
          <w:spacing w:val="-8"/>
          <w:sz w:val="18"/>
          <w:szCs w:val="18"/>
          <w:lang w:val="es-ES_tradnl"/>
        </w:rPr>
        <w:t>á</w:t>
      </w:r>
      <w:r>
        <w:rPr>
          <w:spacing w:val="-8"/>
          <w:sz w:val="18"/>
          <w:szCs w:val="18"/>
          <w:lang w:val="es-ES_tradnl"/>
        </w:rPr>
        <w:t>s de las medidas de reparaci</w:t>
      </w:r>
      <w:r>
        <w:rPr>
          <w:rFonts w:cs="Times New Roman"/>
          <w:spacing w:val="-8"/>
          <w:sz w:val="18"/>
          <w:szCs w:val="18"/>
          <w:lang w:val="es-ES_tradnl"/>
        </w:rPr>
        <w:t>ó</w:t>
      </w:r>
      <w:r>
        <w:rPr>
          <w:spacing w:val="-8"/>
          <w:sz w:val="18"/>
          <w:szCs w:val="18"/>
          <w:lang w:val="es-ES_tradnl"/>
        </w:rPr>
        <w:t xml:space="preserve">n </w:t>
      </w:r>
      <w:r>
        <w:rPr>
          <w:spacing w:val="-9"/>
          <w:sz w:val="18"/>
          <w:szCs w:val="18"/>
          <w:lang w:val="es-ES_tradnl"/>
        </w:rPr>
        <w:t>integral ordenadas a favor del se</w:t>
      </w:r>
      <w:r>
        <w:rPr>
          <w:rFonts w:cs="Times New Roman"/>
          <w:spacing w:val="-9"/>
          <w:sz w:val="18"/>
          <w:szCs w:val="18"/>
          <w:lang w:val="es-ES_tradnl"/>
        </w:rPr>
        <w:t>ñ</w:t>
      </w:r>
      <w:r>
        <w:rPr>
          <w:spacing w:val="-9"/>
          <w:sz w:val="18"/>
          <w:szCs w:val="18"/>
          <w:lang w:val="es-ES_tradnl"/>
        </w:rPr>
        <w:t>or Jos</w:t>
      </w:r>
      <w:r>
        <w:rPr>
          <w:rFonts w:cs="Times New Roman"/>
          <w:spacing w:val="-9"/>
          <w:sz w:val="18"/>
          <w:szCs w:val="18"/>
          <w:lang w:val="es-ES_tradnl"/>
        </w:rPr>
        <w:t>é</w:t>
      </w:r>
      <w:r>
        <w:rPr>
          <w:spacing w:val="-9"/>
          <w:sz w:val="18"/>
          <w:szCs w:val="18"/>
          <w:lang w:val="es-ES_tradnl"/>
        </w:rPr>
        <w:t xml:space="preserve"> Luis Burgos Sol</w:t>
      </w:r>
      <w:r>
        <w:rPr>
          <w:rFonts w:cs="Times New Roman"/>
          <w:spacing w:val="-9"/>
          <w:sz w:val="18"/>
          <w:szCs w:val="18"/>
          <w:lang w:val="es-ES_tradnl"/>
        </w:rPr>
        <w:t>í</w:t>
      </w:r>
      <w:r>
        <w:rPr>
          <w:spacing w:val="-9"/>
          <w:sz w:val="18"/>
          <w:szCs w:val="18"/>
          <w:lang w:val="es-ES_tradnl"/>
        </w:rPr>
        <w:t xml:space="preserve">s, </w:t>
      </w:r>
      <w:r>
        <w:rPr>
          <w:spacing w:val="-8"/>
          <w:sz w:val="18"/>
          <w:szCs w:val="18"/>
          <w:lang w:val="es-ES_tradnl"/>
        </w:rPr>
        <w:t>se orden</w:t>
      </w:r>
      <w:r>
        <w:rPr>
          <w:rFonts w:cs="Times New Roman"/>
          <w:spacing w:val="-8"/>
          <w:sz w:val="18"/>
          <w:szCs w:val="18"/>
          <w:lang w:val="es-ES_tradnl"/>
        </w:rPr>
        <w:t>ó</w:t>
      </w:r>
      <w:r>
        <w:rPr>
          <w:spacing w:val="-8"/>
          <w:sz w:val="18"/>
          <w:szCs w:val="18"/>
          <w:lang w:val="es-ES_tradnl"/>
        </w:rPr>
        <w:t xml:space="preserve"> a la Armada del Ecuador, a manera de </w:t>
      </w:r>
      <w:r>
        <w:rPr>
          <w:i/>
          <w:iCs/>
          <w:spacing w:val="-8"/>
          <w:sz w:val="18"/>
          <w:szCs w:val="18"/>
          <w:lang w:val="es-ES_tradnl"/>
        </w:rPr>
        <w:t xml:space="preserve">costas </w:t>
      </w:r>
      <w:r>
        <w:rPr>
          <w:i/>
          <w:iCs/>
          <w:spacing w:val="-10"/>
          <w:sz w:val="18"/>
          <w:szCs w:val="18"/>
          <w:lang w:val="es-ES_tradnl"/>
        </w:rPr>
        <w:t xml:space="preserve">procesales, </w:t>
      </w:r>
      <w:r>
        <w:rPr>
          <w:spacing w:val="-10"/>
          <w:sz w:val="18"/>
          <w:szCs w:val="18"/>
          <w:lang w:val="es-ES_tradnl"/>
        </w:rPr>
        <w:t>el pago de US$ 2000,00 como regulaci</w:t>
      </w:r>
      <w:r>
        <w:rPr>
          <w:rFonts w:cs="Times New Roman"/>
          <w:spacing w:val="-10"/>
          <w:sz w:val="18"/>
          <w:szCs w:val="18"/>
          <w:lang w:val="es-ES_tradnl"/>
        </w:rPr>
        <w:t>ó</w:t>
      </w:r>
      <w:r>
        <w:rPr>
          <w:spacing w:val="-10"/>
          <w:sz w:val="18"/>
          <w:szCs w:val="18"/>
          <w:lang w:val="es-ES_tradnl"/>
        </w:rPr>
        <w:t xml:space="preserve">n de los </w:t>
      </w:r>
      <w:r>
        <w:rPr>
          <w:spacing w:val="-8"/>
          <w:sz w:val="18"/>
          <w:szCs w:val="18"/>
          <w:lang w:val="es-ES_tradnl"/>
        </w:rPr>
        <w:t xml:space="preserve">honorarios profesionales del doctor Fernando Cortez Lugo, </w:t>
      </w:r>
      <w:r>
        <w:rPr>
          <w:spacing w:val="-9"/>
          <w:sz w:val="18"/>
          <w:szCs w:val="18"/>
          <w:lang w:val="es-ES_tradnl"/>
        </w:rPr>
        <w:t>por su patrocinio legal en la causa. Tal disposici</w:t>
      </w:r>
      <w:r>
        <w:rPr>
          <w:rFonts w:cs="Times New Roman"/>
          <w:spacing w:val="-9"/>
          <w:sz w:val="18"/>
          <w:szCs w:val="18"/>
          <w:lang w:val="es-ES_tradnl"/>
        </w:rPr>
        <w:t>ó</w:t>
      </w:r>
      <w:r>
        <w:rPr>
          <w:spacing w:val="-9"/>
          <w:sz w:val="18"/>
          <w:szCs w:val="18"/>
          <w:lang w:val="es-ES_tradnl"/>
        </w:rPr>
        <w:t xml:space="preserve">n, como ya </w:t>
      </w:r>
      <w:r>
        <w:rPr>
          <w:spacing w:val="-10"/>
          <w:sz w:val="18"/>
          <w:szCs w:val="18"/>
          <w:lang w:val="es-ES_tradnl"/>
        </w:rPr>
        <w:t>se mencion</w:t>
      </w:r>
      <w:r>
        <w:rPr>
          <w:rFonts w:cs="Times New Roman"/>
          <w:spacing w:val="-10"/>
          <w:sz w:val="18"/>
          <w:szCs w:val="18"/>
          <w:lang w:val="es-ES_tradnl"/>
        </w:rPr>
        <w:t>ó</w:t>
      </w:r>
      <w:r>
        <w:rPr>
          <w:spacing w:val="-10"/>
          <w:sz w:val="18"/>
          <w:szCs w:val="18"/>
          <w:lang w:val="es-ES_tradnl"/>
        </w:rPr>
        <w:t>, al igual que el resto de medidas de reparaci</w:t>
      </w:r>
      <w:r>
        <w:rPr>
          <w:rFonts w:cs="Times New Roman"/>
          <w:spacing w:val="-10"/>
          <w:sz w:val="18"/>
          <w:szCs w:val="18"/>
          <w:lang w:val="es-ES_tradnl"/>
        </w:rPr>
        <w:t>ó</w:t>
      </w:r>
      <w:r>
        <w:rPr>
          <w:spacing w:val="-10"/>
          <w:sz w:val="18"/>
          <w:szCs w:val="18"/>
          <w:lang w:val="es-ES_tradnl"/>
        </w:rPr>
        <w:t xml:space="preserve">n </w:t>
      </w:r>
      <w:r>
        <w:rPr>
          <w:spacing w:val="-5"/>
          <w:sz w:val="18"/>
          <w:szCs w:val="18"/>
          <w:lang w:val="es-ES_tradnl"/>
        </w:rPr>
        <w:t xml:space="preserve">integral, fue ratificada por la Tercera Sala de lo Penal, </w:t>
      </w:r>
      <w:r>
        <w:rPr>
          <w:spacing w:val="-7"/>
          <w:sz w:val="18"/>
          <w:szCs w:val="18"/>
          <w:lang w:val="es-ES_tradnl"/>
        </w:rPr>
        <w:t>Colusorios y Tr</w:t>
      </w:r>
      <w:r>
        <w:rPr>
          <w:rFonts w:cs="Times New Roman"/>
          <w:spacing w:val="-7"/>
          <w:sz w:val="18"/>
          <w:szCs w:val="18"/>
          <w:lang w:val="es-ES_tradnl"/>
        </w:rPr>
        <w:t>á</w:t>
      </w:r>
      <w:r>
        <w:rPr>
          <w:spacing w:val="-7"/>
          <w:sz w:val="18"/>
          <w:szCs w:val="18"/>
          <w:lang w:val="es-ES_tradnl"/>
        </w:rPr>
        <w:t xml:space="preserve">nsito de la Corte Provincial de Justicia del </w:t>
      </w:r>
      <w:r>
        <w:rPr>
          <w:spacing w:val="-9"/>
          <w:sz w:val="18"/>
          <w:szCs w:val="18"/>
          <w:lang w:val="es-ES_tradnl"/>
        </w:rPr>
        <w:t>Guayas, cuando el tribunal de alzada resolvi</w:t>
      </w:r>
      <w:r>
        <w:rPr>
          <w:rFonts w:cs="Times New Roman"/>
          <w:spacing w:val="-9"/>
          <w:sz w:val="18"/>
          <w:szCs w:val="18"/>
          <w:lang w:val="es-ES_tradnl"/>
        </w:rPr>
        <w:t>ó</w:t>
      </w:r>
      <w:r>
        <w:rPr>
          <w:spacing w:val="-9"/>
          <w:sz w:val="18"/>
          <w:szCs w:val="18"/>
          <w:lang w:val="es-ES_tradnl"/>
        </w:rPr>
        <w:t xml:space="preserve"> confirmar </w:t>
      </w:r>
      <w:r>
        <w:rPr>
          <w:rFonts w:cs="Times New Roman"/>
          <w:spacing w:val="-9"/>
          <w:sz w:val="18"/>
          <w:szCs w:val="18"/>
          <w:lang w:val="es-ES_tradnl"/>
        </w:rPr>
        <w:t>“</w:t>
      </w:r>
      <w:r>
        <w:rPr>
          <w:spacing w:val="-9"/>
          <w:sz w:val="18"/>
          <w:szCs w:val="18"/>
          <w:lang w:val="es-ES_tradnl"/>
        </w:rPr>
        <w:t xml:space="preserve">en </w:t>
      </w:r>
      <w:r>
        <w:rPr>
          <w:spacing w:val="-8"/>
          <w:sz w:val="18"/>
          <w:szCs w:val="18"/>
          <w:lang w:val="es-ES_tradnl"/>
        </w:rPr>
        <w:t>todas sus partes la sentencia dictada por la jueza a-quo</w:t>
      </w:r>
      <w:r>
        <w:rPr>
          <w:rFonts w:cs="Times New Roman"/>
          <w:spacing w:val="-8"/>
          <w:sz w:val="18"/>
          <w:szCs w:val="18"/>
          <w:lang w:val="es-ES_tradnl"/>
        </w:rPr>
        <w:t>”</w:t>
      </w:r>
      <w:r>
        <w:rPr>
          <w:spacing w:val="-8"/>
          <w:sz w:val="18"/>
          <w:szCs w:val="18"/>
          <w:lang w:val="es-ES_tradnl"/>
        </w:rPr>
        <w:t>.</w:t>
      </w:r>
    </w:p>
    <w:p w14:paraId="4F67ADA2" w14:textId="77777777" w:rsidR="00591D54" w:rsidRDefault="00591D54">
      <w:pPr>
        <w:shd w:val="clear" w:color="auto" w:fill="FFFFFF"/>
        <w:spacing w:before="619" w:line="178" w:lineRule="exact"/>
        <w:ind w:left="144" w:hanging="144"/>
        <w:jc w:val="both"/>
      </w:pPr>
      <w:r>
        <w:rPr>
          <w:sz w:val="14"/>
          <w:szCs w:val="14"/>
          <w:vertAlign w:val="superscript"/>
          <w:lang w:val="es-ES_tradnl"/>
        </w:rPr>
        <w:t>6</w:t>
      </w:r>
      <w:r>
        <w:rPr>
          <w:sz w:val="14"/>
          <w:szCs w:val="14"/>
          <w:lang w:val="es-ES_tradnl"/>
        </w:rPr>
        <w:t xml:space="preserve"> </w:t>
      </w:r>
      <w:r>
        <w:rPr>
          <w:rFonts w:cs="Times New Roman"/>
          <w:sz w:val="14"/>
          <w:szCs w:val="14"/>
          <w:lang w:val="es-ES_tradnl"/>
        </w:rPr>
        <w:t>“</w:t>
      </w:r>
      <w:r>
        <w:rPr>
          <w:sz w:val="14"/>
          <w:szCs w:val="14"/>
          <w:lang w:val="es-ES_tradnl"/>
        </w:rPr>
        <w:t>Los miembros de las Fuerzas Armadas y de la Polic</w:t>
      </w:r>
      <w:r>
        <w:rPr>
          <w:rFonts w:cs="Times New Roman"/>
          <w:sz w:val="14"/>
          <w:szCs w:val="14"/>
          <w:lang w:val="es-ES_tradnl"/>
        </w:rPr>
        <w:t>í</w:t>
      </w:r>
      <w:r>
        <w:rPr>
          <w:sz w:val="14"/>
          <w:szCs w:val="14"/>
          <w:lang w:val="es-ES_tradnl"/>
        </w:rPr>
        <w:t>a Nacional estar</w:t>
      </w:r>
      <w:r>
        <w:rPr>
          <w:rFonts w:cs="Times New Roman"/>
          <w:sz w:val="14"/>
          <w:szCs w:val="14"/>
          <w:lang w:val="es-ES_tradnl"/>
        </w:rPr>
        <w:t>á</w:t>
      </w:r>
      <w:r>
        <w:rPr>
          <w:sz w:val="14"/>
          <w:szCs w:val="14"/>
          <w:lang w:val="es-ES_tradnl"/>
        </w:rPr>
        <w:t>n sujetos a las leyes espec</w:t>
      </w:r>
      <w:r>
        <w:rPr>
          <w:rFonts w:cs="Times New Roman"/>
          <w:sz w:val="14"/>
          <w:szCs w:val="14"/>
          <w:lang w:val="es-ES_tradnl"/>
        </w:rPr>
        <w:t>í</w:t>
      </w:r>
      <w:r>
        <w:rPr>
          <w:sz w:val="14"/>
          <w:szCs w:val="14"/>
          <w:lang w:val="es-ES_tradnl"/>
        </w:rPr>
        <w:t xml:space="preserve">ficas que regulen sus derechos y obligaciones, y su sistema de ascensos y promociones con base </w:t>
      </w:r>
      <w:r>
        <w:rPr>
          <w:spacing w:val="-1"/>
          <w:sz w:val="14"/>
          <w:szCs w:val="14"/>
          <w:lang w:val="es-ES_tradnl"/>
        </w:rPr>
        <w:t>en m</w:t>
      </w:r>
      <w:r>
        <w:rPr>
          <w:rFonts w:cs="Times New Roman"/>
          <w:spacing w:val="-1"/>
          <w:sz w:val="14"/>
          <w:szCs w:val="14"/>
          <w:lang w:val="es-ES_tradnl"/>
        </w:rPr>
        <w:t>é</w:t>
      </w:r>
      <w:r>
        <w:rPr>
          <w:spacing w:val="-1"/>
          <w:sz w:val="14"/>
          <w:szCs w:val="14"/>
          <w:lang w:val="es-ES_tradnl"/>
        </w:rPr>
        <w:t>ritos y con criterios de equidad de g</w:t>
      </w:r>
      <w:r>
        <w:rPr>
          <w:rFonts w:cs="Times New Roman"/>
          <w:spacing w:val="-1"/>
          <w:sz w:val="14"/>
          <w:szCs w:val="14"/>
          <w:lang w:val="es-ES_tradnl"/>
        </w:rPr>
        <w:t>é</w:t>
      </w:r>
      <w:r>
        <w:rPr>
          <w:spacing w:val="-1"/>
          <w:sz w:val="14"/>
          <w:szCs w:val="14"/>
          <w:lang w:val="es-ES_tradnl"/>
        </w:rPr>
        <w:t>nero. Se garantizar</w:t>
      </w:r>
      <w:r>
        <w:rPr>
          <w:rFonts w:cs="Times New Roman"/>
          <w:spacing w:val="-1"/>
          <w:sz w:val="14"/>
          <w:szCs w:val="14"/>
          <w:lang w:val="es-ES_tradnl"/>
        </w:rPr>
        <w:t>á</w:t>
      </w:r>
      <w:r>
        <w:rPr>
          <w:spacing w:val="-1"/>
          <w:sz w:val="14"/>
          <w:szCs w:val="14"/>
          <w:lang w:val="es-ES_tradnl"/>
        </w:rPr>
        <w:t xml:space="preserve"> su </w:t>
      </w:r>
      <w:r>
        <w:rPr>
          <w:sz w:val="14"/>
          <w:szCs w:val="14"/>
          <w:lang w:val="es-ES_tradnl"/>
        </w:rPr>
        <w:t>estabilidad y profesionalizaci</w:t>
      </w:r>
      <w:r>
        <w:rPr>
          <w:rFonts w:cs="Times New Roman"/>
          <w:sz w:val="14"/>
          <w:szCs w:val="14"/>
          <w:lang w:val="es-ES_tradnl"/>
        </w:rPr>
        <w:t>ó</w:t>
      </w:r>
      <w:r>
        <w:rPr>
          <w:sz w:val="14"/>
          <w:szCs w:val="14"/>
          <w:lang w:val="es-ES_tradnl"/>
        </w:rPr>
        <w:t>n</w:t>
      </w:r>
      <w:r>
        <w:rPr>
          <w:rFonts w:cs="Times New Roman"/>
          <w:sz w:val="14"/>
          <w:szCs w:val="14"/>
          <w:lang w:val="es-ES_tradnl"/>
        </w:rPr>
        <w:t>”</w:t>
      </w:r>
      <w:r>
        <w:rPr>
          <w:sz w:val="14"/>
          <w:szCs w:val="14"/>
          <w:lang w:val="es-ES_tradnl"/>
        </w:rPr>
        <w:t>.</w:t>
      </w:r>
    </w:p>
    <w:p w14:paraId="4F67ADA3" w14:textId="77777777" w:rsidR="00591D54" w:rsidRDefault="00591D54">
      <w:pPr>
        <w:shd w:val="clear" w:color="auto" w:fill="FFFFFF"/>
        <w:spacing w:before="619" w:line="178" w:lineRule="exact"/>
        <w:ind w:left="144" w:hanging="144"/>
        <w:jc w:val="both"/>
        <w:sectPr w:rsidR="00591D54">
          <w:type w:val="continuous"/>
          <w:pgSz w:w="11909" w:h="16834"/>
          <w:pgMar w:top="1356" w:right="1309" w:bottom="360" w:left="1308" w:header="720" w:footer="720" w:gutter="0"/>
          <w:cols w:num="2" w:space="720" w:equalWidth="0">
            <w:col w:w="4305" w:space="682"/>
            <w:col w:w="4305"/>
          </w:cols>
          <w:noEndnote/>
        </w:sectPr>
      </w:pPr>
    </w:p>
    <w:p w14:paraId="4F67ADA4"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- 125</w:t>
      </w:r>
    </w:p>
    <w:p w14:paraId="4F67ADA5" w14:textId="77777777" w:rsidR="00591D54" w:rsidRDefault="00591D54">
      <w:pPr>
        <w:shd w:val="clear" w:color="auto" w:fill="FFFFFF"/>
        <w:tabs>
          <w:tab w:val="left" w:pos="5842"/>
        </w:tabs>
        <w:spacing w:after="235"/>
        <w:ind w:left="5"/>
        <w:sectPr w:rsidR="00591D54">
          <w:pgSz w:w="11909" w:h="16834"/>
          <w:pgMar w:top="1356" w:right="1309" w:bottom="360" w:left="1308" w:header="720" w:footer="720" w:gutter="0"/>
          <w:cols w:space="60"/>
          <w:noEndnote/>
        </w:sectPr>
      </w:pPr>
    </w:p>
    <w:p w14:paraId="4F67ADA6" w14:textId="77777777" w:rsidR="00591D54" w:rsidRDefault="00591D54">
      <w:pPr>
        <w:shd w:val="clear" w:color="auto" w:fill="FFFFFF"/>
        <w:spacing w:line="221" w:lineRule="exact"/>
        <w:ind w:right="5"/>
        <w:jc w:val="both"/>
      </w:pPr>
      <w:r>
        <w:rPr>
          <w:spacing w:val="-9"/>
          <w:sz w:val="18"/>
          <w:szCs w:val="18"/>
          <w:lang w:val="es-ES_tradnl"/>
        </w:rPr>
        <w:t>Sobre este punto espec</w:t>
      </w:r>
      <w:r>
        <w:rPr>
          <w:rFonts w:cs="Times New Roman"/>
          <w:spacing w:val="-9"/>
          <w:sz w:val="18"/>
          <w:szCs w:val="18"/>
          <w:lang w:val="es-ES_tradnl"/>
        </w:rPr>
        <w:t>í</w:t>
      </w:r>
      <w:r>
        <w:rPr>
          <w:spacing w:val="-9"/>
          <w:sz w:val="18"/>
          <w:szCs w:val="18"/>
          <w:lang w:val="es-ES_tradnl"/>
        </w:rPr>
        <w:t xml:space="preserve">fico que consta en la sentencia de primera instancia y que fue ratificado por la Corte Provincial </w:t>
      </w:r>
      <w:r>
        <w:rPr>
          <w:spacing w:val="-10"/>
          <w:sz w:val="18"/>
          <w:szCs w:val="18"/>
          <w:lang w:val="es-ES_tradnl"/>
        </w:rPr>
        <w:t>de Justicia del Guayas, la Corte Constitucional debe se</w:t>
      </w:r>
      <w:r>
        <w:rPr>
          <w:rFonts w:cs="Times New Roman"/>
          <w:spacing w:val="-10"/>
          <w:sz w:val="18"/>
          <w:szCs w:val="18"/>
          <w:lang w:val="es-ES_tradnl"/>
        </w:rPr>
        <w:t>ñ</w:t>
      </w:r>
      <w:r>
        <w:rPr>
          <w:spacing w:val="-10"/>
          <w:sz w:val="18"/>
          <w:szCs w:val="18"/>
          <w:lang w:val="es-ES_tradnl"/>
        </w:rPr>
        <w:t xml:space="preserve">alar </w:t>
      </w:r>
      <w:r>
        <w:rPr>
          <w:spacing w:val="-6"/>
          <w:sz w:val="18"/>
          <w:szCs w:val="18"/>
          <w:lang w:val="es-ES_tradnl"/>
        </w:rPr>
        <w:t>que de conformidad con lo establecido en la Disposici</w:t>
      </w:r>
      <w:r>
        <w:rPr>
          <w:rFonts w:cs="Times New Roman"/>
          <w:spacing w:val="-6"/>
          <w:sz w:val="18"/>
          <w:szCs w:val="18"/>
          <w:lang w:val="es-ES_tradnl"/>
        </w:rPr>
        <w:t>ó</w:t>
      </w:r>
      <w:r>
        <w:rPr>
          <w:spacing w:val="-6"/>
          <w:sz w:val="18"/>
          <w:szCs w:val="18"/>
          <w:lang w:val="es-ES_tradnl"/>
        </w:rPr>
        <w:t xml:space="preserve">n </w:t>
      </w:r>
      <w:r>
        <w:rPr>
          <w:spacing w:val="-2"/>
          <w:sz w:val="18"/>
          <w:szCs w:val="18"/>
          <w:lang w:val="es-ES_tradnl"/>
        </w:rPr>
        <w:t>Final de la Ley Org</w:t>
      </w:r>
      <w:r>
        <w:rPr>
          <w:rFonts w:cs="Times New Roman"/>
          <w:spacing w:val="-2"/>
          <w:sz w:val="18"/>
          <w:szCs w:val="18"/>
          <w:lang w:val="es-ES_tradnl"/>
        </w:rPr>
        <w:t>á</w:t>
      </w:r>
      <w:r>
        <w:rPr>
          <w:spacing w:val="-2"/>
          <w:sz w:val="18"/>
          <w:szCs w:val="18"/>
          <w:lang w:val="es-ES_tradnl"/>
        </w:rPr>
        <w:t>nica de Garant</w:t>
      </w:r>
      <w:r>
        <w:rPr>
          <w:rFonts w:cs="Times New Roman"/>
          <w:spacing w:val="-2"/>
          <w:sz w:val="18"/>
          <w:szCs w:val="18"/>
          <w:lang w:val="es-ES_tradnl"/>
        </w:rPr>
        <w:t>í</w:t>
      </w:r>
      <w:r>
        <w:rPr>
          <w:spacing w:val="-2"/>
          <w:sz w:val="18"/>
          <w:szCs w:val="18"/>
          <w:lang w:val="es-ES_tradnl"/>
        </w:rPr>
        <w:t xml:space="preserve">as Jurisdiccionales </w:t>
      </w:r>
      <w:r>
        <w:rPr>
          <w:spacing w:val="-5"/>
          <w:sz w:val="18"/>
          <w:szCs w:val="18"/>
          <w:lang w:val="es-ES_tradnl"/>
        </w:rPr>
        <w:t>y Control Constitucional, las normas del C</w:t>
      </w:r>
      <w:r>
        <w:rPr>
          <w:rFonts w:cs="Times New Roman"/>
          <w:spacing w:val="-5"/>
          <w:sz w:val="18"/>
          <w:szCs w:val="18"/>
          <w:lang w:val="es-ES_tradnl"/>
        </w:rPr>
        <w:t>ó</w:t>
      </w:r>
      <w:r>
        <w:rPr>
          <w:spacing w:val="-5"/>
          <w:sz w:val="18"/>
          <w:szCs w:val="18"/>
          <w:lang w:val="es-ES_tradnl"/>
        </w:rPr>
        <w:t xml:space="preserve">digo de </w:t>
      </w:r>
      <w:r>
        <w:rPr>
          <w:spacing w:val="-9"/>
          <w:sz w:val="18"/>
          <w:szCs w:val="18"/>
          <w:lang w:val="es-ES_tradnl"/>
        </w:rPr>
        <w:t xml:space="preserve">Procedimiento Civil deben ser aplicadas de modo supletorio </w:t>
      </w:r>
      <w:r>
        <w:rPr>
          <w:spacing w:val="-8"/>
          <w:sz w:val="18"/>
          <w:szCs w:val="18"/>
          <w:lang w:val="es-ES_tradnl"/>
        </w:rPr>
        <w:t>en la tramitaci</w:t>
      </w:r>
      <w:r>
        <w:rPr>
          <w:rFonts w:cs="Times New Roman"/>
          <w:spacing w:val="-8"/>
          <w:sz w:val="18"/>
          <w:szCs w:val="18"/>
          <w:lang w:val="es-ES_tradnl"/>
        </w:rPr>
        <w:t>ó</w:t>
      </w:r>
      <w:r>
        <w:rPr>
          <w:spacing w:val="-8"/>
          <w:sz w:val="18"/>
          <w:szCs w:val="18"/>
          <w:lang w:val="es-ES_tradnl"/>
        </w:rPr>
        <w:t xml:space="preserve">n de causas constitucionales, en tanto sean </w:t>
      </w:r>
      <w:r>
        <w:rPr>
          <w:spacing w:val="-7"/>
          <w:sz w:val="18"/>
          <w:szCs w:val="18"/>
          <w:lang w:val="es-ES_tradnl"/>
        </w:rPr>
        <w:t>aplicables y compatibles con el derecho constitucional</w:t>
      </w:r>
      <w:r>
        <w:rPr>
          <w:spacing w:val="-7"/>
          <w:sz w:val="18"/>
          <w:szCs w:val="18"/>
          <w:vertAlign w:val="superscript"/>
          <w:lang w:val="es-ES_tradnl"/>
        </w:rPr>
        <w:t>7</w:t>
      </w:r>
      <w:r>
        <w:rPr>
          <w:spacing w:val="-7"/>
          <w:sz w:val="18"/>
          <w:szCs w:val="18"/>
          <w:lang w:val="es-ES_tradnl"/>
        </w:rPr>
        <w:t>.</w:t>
      </w:r>
    </w:p>
    <w:p w14:paraId="4F67ADA7" w14:textId="77777777" w:rsidR="00591D54" w:rsidRDefault="00591D54">
      <w:pPr>
        <w:shd w:val="clear" w:color="auto" w:fill="FFFFFF"/>
        <w:spacing w:before="206" w:line="221" w:lineRule="exact"/>
        <w:ind w:right="5"/>
        <w:jc w:val="both"/>
      </w:pPr>
      <w:r>
        <w:rPr>
          <w:spacing w:val="-9"/>
          <w:sz w:val="18"/>
          <w:szCs w:val="18"/>
          <w:lang w:val="es-ES_tradnl"/>
        </w:rPr>
        <w:t>En este sentido, ha de tenerse en cuenta que el C</w:t>
      </w:r>
      <w:r>
        <w:rPr>
          <w:rFonts w:cs="Times New Roman"/>
          <w:spacing w:val="-9"/>
          <w:sz w:val="18"/>
          <w:szCs w:val="18"/>
          <w:lang w:val="es-ES_tradnl"/>
        </w:rPr>
        <w:t>ó</w:t>
      </w:r>
      <w:r>
        <w:rPr>
          <w:spacing w:val="-9"/>
          <w:sz w:val="18"/>
          <w:szCs w:val="18"/>
          <w:lang w:val="es-ES_tradnl"/>
        </w:rPr>
        <w:t xml:space="preserve">digo de </w:t>
      </w:r>
      <w:r>
        <w:rPr>
          <w:spacing w:val="-2"/>
          <w:sz w:val="18"/>
          <w:szCs w:val="18"/>
          <w:lang w:val="es-ES_tradnl"/>
        </w:rPr>
        <w:t>Procedimiento Civil prev</w:t>
      </w:r>
      <w:r>
        <w:rPr>
          <w:rFonts w:cs="Times New Roman"/>
          <w:spacing w:val="-2"/>
          <w:sz w:val="18"/>
          <w:szCs w:val="18"/>
          <w:lang w:val="es-ES_tradnl"/>
        </w:rPr>
        <w:t>é</w:t>
      </w:r>
      <w:r>
        <w:rPr>
          <w:spacing w:val="-2"/>
          <w:sz w:val="18"/>
          <w:szCs w:val="18"/>
          <w:lang w:val="es-ES_tradnl"/>
        </w:rPr>
        <w:t xml:space="preserve"> como regla jur</w:t>
      </w:r>
      <w:r>
        <w:rPr>
          <w:rFonts w:cs="Times New Roman"/>
          <w:spacing w:val="-2"/>
          <w:sz w:val="18"/>
          <w:szCs w:val="18"/>
          <w:lang w:val="es-ES_tradnl"/>
        </w:rPr>
        <w:t>í</w:t>
      </w:r>
      <w:r>
        <w:rPr>
          <w:spacing w:val="-2"/>
          <w:sz w:val="18"/>
          <w:szCs w:val="18"/>
          <w:lang w:val="es-ES_tradnl"/>
        </w:rPr>
        <w:t>dica a trav</w:t>
      </w:r>
      <w:r>
        <w:rPr>
          <w:rFonts w:cs="Times New Roman"/>
          <w:spacing w:val="-2"/>
          <w:sz w:val="18"/>
          <w:szCs w:val="18"/>
          <w:lang w:val="es-ES_tradnl"/>
        </w:rPr>
        <w:t>é</w:t>
      </w:r>
      <w:r>
        <w:rPr>
          <w:spacing w:val="-2"/>
          <w:sz w:val="18"/>
          <w:szCs w:val="18"/>
          <w:lang w:val="es-ES_tradnl"/>
        </w:rPr>
        <w:t>s del art</w:t>
      </w:r>
      <w:r>
        <w:rPr>
          <w:rFonts w:cs="Times New Roman"/>
          <w:spacing w:val="-2"/>
          <w:sz w:val="18"/>
          <w:szCs w:val="18"/>
          <w:lang w:val="es-ES_tradnl"/>
        </w:rPr>
        <w:t>í</w:t>
      </w:r>
      <w:r>
        <w:rPr>
          <w:spacing w:val="-2"/>
          <w:sz w:val="18"/>
          <w:szCs w:val="18"/>
          <w:lang w:val="es-ES_tradnl"/>
        </w:rPr>
        <w:t xml:space="preserve">culo 285 que </w:t>
      </w:r>
      <w:r>
        <w:rPr>
          <w:rFonts w:cs="Times New Roman"/>
          <w:spacing w:val="-2"/>
          <w:sz w:val="18"/>
          <w:szCs w:val="18"/>
          <w:lang w:val="es-ES_tradnl"/>
        </w:rPr>
        <w:t>“</w:t>
      </w:r>
      <w:r>
        <w:rPr>
          <w:spacing w:val="-2"/>
          <w:sz w:val="18"/>
          <w:szCs w:val="18"/>
          <w:lang w:val="es-ES_tradnl"/>
        </w:rPr>
        <w:t>El Estado nunca ser</w:t>
      </w:r>
      <w:r>
        <w:rPr>
          <w:rFonts w:cs="Times New Roman"/>
          <w:spacing w:val="-2"/>
          <w:sz w:val="18"/>
          <w:szCs w:val="18"/>
          <w:lang w:val="es-ES_tradnl"/>
        </w:rPr>
        <w:t>á</w:t>
      </w:r>
      <w:r>
        <w:rPr>
          <w:spacing w:val="-2"/>
          <w:sz w:val="18"/>
          <w:szCs w:val="18"/>
          <w:lang w:val="es-ES_tradnl"/>
        </w:rPr>
        <w:t xml:space="preserve"> condenado </w:t>
      </w:r>
      <w:r>
        <w:rPr>
          <w:spacing w:val="-7"/>
          <w:sz w:val="18"/>
          <w:szCs w:val="18"/>
          <w:lang w:val="es-ES_tradnl"/>
        </w:rPr>
        <w:t>en costas; pero se podr</w:t>
      </w:r>
      <w:r>
        <w:rPr>
          <w:rFonts w:cs="Times New Roman"/>
          <w:spacing w:val="-7"/>
          <w:sz w:val="18"/>
          <w:szCs w:val="18"/>
          <w:lang w:val="es-ES_tradnl"/>
        </w:rPr>
        <w:t>á</w:t>
      </w:r>
      <w:r>
        <w:rPr>
          <w:spacing w:val="-7"/>
          <w:sz w:val="18"/>
          <w:szCs w:val="18"/>
          <w:lang w:val="es-ES_tradnl"/>
        </w:rPr>
        <w:t xml:space="preserve"> condenar al pago de ellas al Procurador o al Fiscal que hubiese sostenido el pleito de mala fe o con temeridad notoria</w:t>
      </w:r>
      <w:r>
        <w:rPr>
          <w:rFonts w:cs="Times New Roman"/>
          <w:spacing w:val="-7"/>
          <w:sz w:val="18"/>
          <w:szCs w:val="18"/>
          <w:lang w:val="es-ES_tradnl"/>
        </w:rPr>
        <w:t>”</w:t>
      </w:r>
      <w:r>
        <w:rPr>
          <w:spacing w:val="-7"/>
          <w:sz w:val="18"/>
          <w:szCs w:val="18"/>
          <w:lang w:val="es-ES_tradnl"/>
        </w:rPr>
        <w:t>; bajo esta consideraci</w:t>
      </w:r>
      <w:r>
        <w:rPr>
          <w:rFonts w:cs="Times New Roman"/>
          <w:spacing w:val="-7"/>
          <w:sz w:val="18"/>
          <w:szCs w:val="18"/>
          <w:lang w:val="es-ES_tradnl"/>
        </w:rPr>
        <w:t>ó</w:t>
      </w:r>
      <w:r>
        <w:rPr>
          <w:spacing w:val="-7"/>
          <w:sz w:val="18"/>
          <w:szCs w:val="18"/>
          <w:lang w:val="es-ES_tradnl"/>
        </w:rPr>
        <w:t xml:space="preserve">n, </w:t>
      </w:r>
      <w:r>
        <w:rPr>
          <w:sz w:val="18"/>
          <w:szCs w:val="18"/>
          <w:lang w:val="es-ES_tradnl"/>
        </w:rPr>
        <w:t>la Corte Constitucional no advierte raz</w:t>
      </w:r>
      <w:r>
        <w:rPr>
          <w:rFonts w:cs="Times New Roman"/>
          <w:sz w:val="18"/>
          <w:szCs w:val="18"/>
          <w:lang w:val="es-ES_tradnl"/>
        </w:rPr>
        <w:t>ó</w:t>
      </w:r>
      <w:r>
        <w:rPr>
          <w:sz w:val="18"/>
          <w:szCs w:val="18"/>
          <w:lang w:val="es-ES_tradnl"/>
        </w:rPr>
        <w:t>n jur</w:t>
      </w:r>
      <w:r>
        <w:rPr>
          <w:rFonts w:cs="Times New Roman"/>
          <w:sz w:val="18"/>
          <w:szCs w:val="18"/>
          <w:lang w:val="es-ES_tradnl"/>
        </w:rPr>
        <w:t>í</w:t>
      </w:r>
      <w:r>
        <w:rPr>
          <w:sz w:val="18"/>
          <w:szCs w:val="18"/>
          <w:lang w:val="es-ES_tradnl"/>
        </w:rPr>
        <w:t xml:space="preserve">dica </w:t>
      </w:r>
      <w:r>
        <w:rPr>
          <w:spacing w:val="-7"/>
          <w:sz w:val="18"/>
          <w:szCs w:val="18"/>
          <w:lang w:val="es-ES_tradnl"/>
        </w:rPr>
        <w:t xml:space="preserve">suficiente ni debidamente justificada para que la jueza de </w:t>
      </w:r>
      <w:r>
        <w:rPr>
          <w:spacing w:val="-8"/>
          <w:sz w:val="18"/>
          <w:szCs w:val="18"/>
          <w:lang w:val="es-ES_tradnl"/>
        </w:rPr>
        <w:t xml:space="preserve">primera instancia haya condenado en costas y haya fijado </w:t>
      </w:r>
      <w:r>
        <w:rPr>
          <w:spacing w:val="-3"/>
          <w:sz w:val="18"/>
          <w:szCs w:val="18"/>
          <w:lang w:val="es-ES_tradnl"/>
        </w:rPr>
        <w:t xml:space="preserve">honorarios profesionales a la Armada del Ecuador, ya </w:t>
      </w:r>
      <w:r>
        <w:rPr>
          <w:spacing w:val="-6"/>
          <w:sz w:val="18"/>
          <w:szCs w:val="18"/>
          <w:lang w:val="es-ES_tradnl"/>
        </w:rPr>
        <w:t xml:space="preserve">que, al contrario, se observa que dicha autoridad judicial </w:t>
      </w:r>
      <w:r>
        <w:rPr>
          <w:spacing w:val="-7"/>
          <w:sz w:val="18"/>
          <w:szCs w:val="18"/>
          <w:lang w:val="es-ES_tradnl"/>
        </w:rPr>
        <w:t>contravino expresamente la disposici</w:t>
      </w:r>
      <w:r>
        <w:rPr>
          <w:rFonts w:cs="Times New Roman"/>
          <w:spacing w:val="-7"/>
          <w:sz w:val="18"/>
          <w:szCs w:val="18"/>
          <w:lang w:val="es-ES_tradnl"/>
        </w:rPr>
        <w:t>ó</w:t>
      </w:r>
      <w:r>
        <w:rPr>
          <w:spacing w:val="-7"/>
          <w:sz w:val="18"/>
          <w:szCs w:val="18"/>
          <w:lang w:val="es-ES_tradnl"/>
        </w:rPr>
        <w:t xml:space="preserve">n contenida en el </w:t>
      </w:r>
      <w:r>
        <w:rPr>
          <w:spacing w:val="-4"/>
          <w:sz w:val="18"/>
          <w:szCs w:val="18"/>
          <w:lang w:val="es-ES_tradnl"/>
        </w:rPr>
        <w:t>art</w:t>
      </w:r>
      <w:r>
        <w:rPr>
          <w:rFonts w:cs="Times New Roman"/>
          <w:spacing w:val="-4"/>
          <w:sz w:val="18"/>
          <w:szCs w:val="18"/>
          <w:lang w:val="es-ES_tradnl"/>
        </w:rPr>
        <w:t>í</w:t>
      </w:r>
      <w:r>
        <w:rPr>
          <w:spacing w:val="-4"/>
          <w:sz w:val="18"/>
          <w:szCs w:val="18"/>
          <w:lang w:val="es-ES_tradnl"/>
        </w:rPr>
        <w:t>culo 285 del C</w:t>
      </w:r>
      <w:r>
        <w:rPr>
          <w:rFonts w:cs="Times New Roman"/>
          <w:spacing w:val="-4"/>
          <w:sz w:val="18"/>
          <w:szCs w:val="18"/>
          <w:lang w:val="es-ES_tradnl"/>
        </w:rPr>
        <w:t>ó</w:t>
      </w:r>
      <w:r>
        <w:rPr>
          <w:spacing w:val="-4"/>
          <w:sz w:val="18"/>
          <w:szCs w:val="18"/>
          <w:lang w:val="es-ES_tradnl"/>
        </w:rPr>
        <w:t xml:space="preserve">digo de Procedimiento Civil, lo cual </w:t>
      </w:r>
      <w:r>
        <w:rPr>
          <w:spacing w:val="-9"/>
          <w:sz w:val="18"/>
          <w:szCs w:val="18"/>
          <w:lang w:val="es-ES_tradnl"/>
        </w:rPr>
        <w:t>genera un atentado en ese punto a la seguridad jur</w:t>
      </w:r>
      <w:r>
        <w:rPr>
          <w:rFonts w:cs="Times New Roman"/>
          <w:spacing w:val="-9"/>
          <w:sz w:val="18"/>
          <w:szCs w:val="18"/>
          <w:lang w:val="es-ES_tradnl"/>
        </w:rPr>
        <w:t>í</w:t>
      </w:r>
      <w:r>
        <w:rPr>
          <w:spacing w:val="-9"/>
          <w:sz w:val="18"/>
          <w:szCs w:val="18"/>
          <w:lang w:val="es-ES_tradnl"/>
        </w:rPr>
        <w:t>dica.</w:t>
      </w:r>
    </w:p>
    <w:p w14:paraId="4F67ADA8" w14:textId="77777777" w:rsidR="00591D54" w:rsidRDefault="00591D54">
      <w:pPr>
        <w:shd w:val="clear" w:color="auto" w:fill="FFFFFF"/>
        <w:spacing w:before="206" w:line="221" w:lineRule="exact"/>
        <w:jc w:val="both"/>
      </w:pPr>
      <w:r>
        <w:rPr>
          <w:spacing w:val="-9"/>
          <w:sz w:val="18"/>
          <w:szCs w:val="18"/>
          <w:lang w:val="es-ES_tradnl"/>
        </w:rPr>
        <w:t>Por esta raz</w:t>
      </w:r>
      <w:r>
        <w:rPr>
          <w:rFonts w:cs="Times New Roman"/>
          <w:spacing w:val="-9"/>
          <w:sz w:val="18"/>
          <w:szCs w:val="18"/>
          <w:lang w:val="es-ES_tradnl"/>
        </w:rPr>
        <w:t>ó</w:t>
      </w:r>
      <w:r>
        <w:rPr>
          <w:spacing w:val="-9"/>
          <w:sz w:val="18"/>
          <w:szCs w:val="18"/>
          <w:lang w:val="es-ES_tradnl"/>
        </w:rPr>
        <w:t xml:space="preserve">n, la Corte Constitucional considera, en primer </w:t>
      </w:r>
      <w:r>
        <w:rPr>
          <w:spacing w:val="-7"/>
          <w:sz w:val="18"/>
          <w:szCs w:val="18"/>
          <w:lang w:val="es-ES_tradnl"/>
        </w:rPr>
        <w:t>lugar, que la decisi</w:t>
      </w:r>
      <w:r>
        <w:rPr>
          <w:rFonts w:cs="Times New Roman"/>
          <w:spacing w:val="-7"/>
          <w:sz w:val="18"/>
          <w:szCs w:val="18"/>
          <w:lang w:val="es-ES_tradnl"/>
        </w:rPr>
        <w:t>ó</w:t>
      </w:r>
      <w:r>
        <w:rPr>
          <w:spacing w:val="-7"/>
          <w:sz w:val="18"/>
          <w:szCs w:val="18"/>
          <w:lang w:val="es-ES_tradnl"/>
        </w:rPr>
        <w:t xml:space="preserve">n expedida en primera instancia por la </w:t>
      </w:r>
      <w:r>
        <w:rPr>
          <w:spacing w:val="-8"/>
          <w:sz w:val="18"/>
          <w:szCs w:val="18"/>
          <w:lang w:val="es-ES_tradnl"/>
        </w:rPr>
        <w:t>jueza Sexta de la Ni</w:t>
      </w:r>
      <w:r>
        <w:rPr>
          <w:rFonts w:cs="Times New Roman"/>
          <w:spacing w:val="-8"/>
          <w:sz w:val="18"/>
          <w:szCs w:val="18"/>
          <w:lang w:val="es-ES_tradnl"/>
        </w:rPr>
        <w:t>ñ</w:t>
      </w:r>
      <w:r>
        <w:rPr>
          <w:spacing w:val="-8"/>
          <w:sz w:val="18"/>
          <w:szCs w:val="18"/>
          <w:lang w:val="es-ES_tradnl"/>
        </w:rPr>
        <w:t xml:space="preserve">ez y Adolescencia del Guayas, como </w:t>
      </w:r>
      <w:r>
        <w:rPr>
          <w:spacing w:val="-9"/>
          <w:sz w:val="18"/>
          <w:szCs w:val="18"/>
          <w:lang w:val="es-ES_tradnl"/>
        </w:rPr>
        <w:t xml:space="preserve">autoridad competente, </w:t>
      </w:r>
      <w:r>
        <w:rPr>
          <w:rFonts w:cs="Times New Roman"/>
          <w:spacing w:val="-9"/>
          <w:sz w:val="18"/>
          <w:szCs w:val="18"/>
          <w:lang w:val="es-ES_tradnl"/>
        </w:rPr>
        <w:t>ú</w:t>
      </w:r>
      <w:r>
        <w:rPr>
          <w:spacing w:val="-9"/>
          <w:sz w:val="18"/>
          <w:szCs w:val="18"/>
          <w:lang w:val="es-ES_tradnl"/>
        </w:rPr>
        <w:t xml:space="preserve">nicamente en lo que se refiere a la </w:t>
      </w:r>
      <w:r>
        <w:rPr>
          <w:spacing w:val="-8"/>
          <w:sz w:val="18"/>
          <w:szCs w:val="18"/>
          <w:lang w:val="es-ES_tradnl"/>
        </w:rPr>
        <w:t>determinaci</w:t>
      </w:r>
      <w:r>
        <w:rPr>
          <w:rFonts w:cs="Times New Roman"/>
          <w:spacing w:val="-8"/>
          <w:sz w:val="18"/>
          <w:szCs w:val="18"/>
          <w:lang w:val="es-ES_tradnl"/>
        </w:rPr>
        <w:t>ó</w:t>
      </w:r>
      <w:r>
        <w:rPr>
          <w:spacing w:val="-8"/>
          <w:sz w:val="18"/>
          <w:szCs w:val="18"/>
          <w:lang w:val="es-ES_tradnl"/>
        </w:rPr>
        <w:t>n del pago de costas y fijaci</w:t>
      </w:r>
      <w:r>
        <w:rPr>
          <w:rFonts w:cs="Times New Roman"/>
          <w:spacing w:val="-8"/>
          <w:sz w:val="18"/>
          <w:szCs w:val="18"/>
          <w:lang w:val="es-ES_tradnl"/>
        </w:rPr>
        <w:t>ó</w:t>
      </w:r>
      <w:r>
        <w:rPr>
          <w:spacing w:val="-8"/>
          <w:sz w:val="18"/>
          <w:szCs w:val="18"/>
          <w:lang w:val="es-ES_tradnl"/>
        </w:rPr>
        <w:t xml:space="preserve">n de honorarios, </w:t>
      </w:r>
      <w:r>
        <w:rPr>
          <w:spacing w:val="-10"/>
          <w:sz w:val="18"/>
          <w:szCs w:val="18"/>
          <w:lang w:val="es-ES_tradnl"/>
        </w:rPr>
        <w:t>inobserv</w:t>
      </w:r>
      <w:r>
        <w:rPr>
          <w:rFonts w:cs="Times New Roman"/>
          <w:spacing w:val="-10"/>
          <w:sz w:val="18"/>
          <w:szCs w:val="18"/>
          <w:lang w:val="es-ES_tradnl"/>
        </w:rPr>
        <w:t>ó</w:t>
      </w:r>
      <w:r>
        <w:rPr>
          <w:spacing w:val="-10"/>
          <w:sz w:val="18"/>
          <w:szCs w:val="18"/>
          <w:lang w:val="es-ES_tradnl"/>
        </w:rPr>
        <w:t xml:space="preserve"> e incumpli</w:t>
      </w:r>
      <w:r>
        <w:rPr>
          <w:rFonts w:cs="Times New Roman"/>
          <w:spacing w:val="-10"/>
          <w:sz w:val="18"/>
          <w:szCs w:val="18"/>
          <w:lang w:val="es-ES_tradnl"/>
        </w:rPr>
        <w:t>ó</w:t>
      </w:r>
      <w:r>
        <w:rPr>
          <w:spacing w:val="-10"/>
          <w:sz w:val="18"/>
          <w:szCs w:val="18"/>
          <w:lang w:val="es-ES_tradnl"/>
        </w:rPr>
        <w:t xml:space="preserve"> una disposici</w:t>
      </w:r>
      <w:r>
        <w:rPr>
          <w:rFonts w:cs="Times New Roman"/>
          <w:spacing w:val="-10"/>
          <w:sz w:val="18"/>
          <w:szCs w:val="18"/>
          <w:lang w:val="es-ES_tradnl"/>
        </w:rPr>
        <w:t>ó</w:t>
      </w:r>
      <w:r>
        <w:rPr>
          <w:spacing w:val="-10"/>
          <w:sz w:val="18"/>
          <w:szCs w:val="18"/>
          <w:lang w:val="es-ES_tradnl"/>
        </w:rPr>
        <w:t>n clara, previa y p</w:t>
      </w:r>
      <w:r>
        <w:rPr>
          <w:rFonts w:cs="Times New Roman"/>
          <w:spacing w:val="-10"/>
          <w:sz w:val="18"/>
          <w:szCs w:val="18"/>
          <w:lang w:val="es-ES_tradnl"/>
        </w:rPr>
        <w:t>ú</w:t>
      </w:r>
      <w:r>
        <w:rPr>
          <w:spacing w:val="-10"/>
          <w:sz w:val="18"/>
          <w:szCs w:val="18"/>
          <w:lang w:val="es-ES_tradnl"/>
        </w:rPr>
        <w:t xml:space="preserve">blica </w:t>
      </w:r>
      <w:r>
        <w:rPr>
          <w:spacing w:val="-7"/>
          <w:sz w:val="18"/>
          <w:szCs w:val="18"/>
          <w:lang w:val="es-ES_tradnl"/>
        </w:rPr>
        <w:t>contenida en el art</w:t>
      </w:r>
      <w:r>
        <w:rPr>
          <w:rFonts w:cs="Times New Roman"/>
          <w:spacing w:val="-7"/>
          <w:sz w:val="18"/>
          <w:szCs w:val="18"/>
          <w:lang w:val="es-ES_tradnl"/>
        </w:rPr>
        <w:t>í</w:t>
      </w:r>
      <w:r>
        <w:rPr>
          <w:spacing w:val="-7"/>
          <w:sz w:val="18"/>
          <w:szCs w:val="18"/>
          <w:lang w:val="es-ES_tradnl"/>
        </w:rPr>
        <w:t>culo 285 del C</w:t>
      </w:r>
      <w:r>
        <w:rPr>
          <w:rFonts w:cs="Times New Roman"/>
          <w:spacing w:val="-7"/>
          <w:sz w:val="18"/>
          <w:szCs w:val="18"/>
          <w:lang w:val="es-ES_tradnl"/>
        </w:rPr>
        <w:t>ó</w:t>
      </w:r>
      <w:r>
        <w:rPr>
          <w:spacing w:val="-7"/>
          <w:sz w:val="18"/>
          <w:szCs w:val="18"/>
          <w:lang w:val="es-ES_tradnl"/>
        </w:rPr>
        <w:t>digo de Procedimiento Civil, debiendo aclararse que tal especificaci</w:t>
      </w:r>
      <w:r>
        <w:rPr>
          <w:rFonts w:cs="Times New Roman"/>
          <w:spacing w:val="-7"/>
          <w:sz w:val="18"/>
          <w:szCs w:val="18"/>
          <w:lang w:val="es-ES_tradnl"/>
        </w:rPr>
        <w:t>ó</w:t>
      </w:r>
      <w:r>
        <w:rPr>
          <w:spacing w:val="-7"/>
          <w:sz w:val="18"/>
          <w:szCs w:val="18"/>
          <w:lang w:val="es-ES_tradnl"/>
        </w:rPr>
        <w:t xml:space="preserve">n no implica </w:t>
      </w:r>
      <w:r>
        <w:rPr>
          <w:spacing w:val="-6"/>
          <w:sz w:val="18"/>
          <w:szCs w:val="18"/>
          <w:lang w:val="es-ES_tradnl"/>
        </w:rPr>
        <w:t xml:space="preserve">que en su integralidad la sentencia de primera instancia, </w:t>
      </w:r>
      <w:r>
        <w:rPr>
          <w:spacing w:val="-7"/>
          <w:sz w:val="18"/>
          <w:szCs w:val="18"/>
          <w:lang w:val="es-ES_tradnl"/>
        </w:rPr>
        <w:t>como acto procesal, haya vulnerado la seguridad jur</w:t>
      </w:r>
      <w:r>
        <w:rPr>
          <w:rFonts w:cs="Times New Roman"/>
          <w:spacing w:val="-7"/>
          <w:sz w:val="18"/>
          <w:szCs w:val="18"/>
          <w:lang w:val="es-ES_tradnl"/>
        </w:rPr>
        <w:t>í</w:t>
      </w:r>
      <w:r>
        <w:rPr>
          <w:spacing w:val="-7"/>
          <w:sz w:val="18"/>
          <w:szCs w:val="18"/>
          <w:lang w:val="es-ES_tradnl"/>
        </w:rPr>
        <w:t>dica.</w:t>
      </w:r>
    </w:p>
    <w:p w14:paraId="4F67ADA9" w14:textId="77777777" w:rsidR="00591D54" w:rsidRDefault="00591D54">
      <w:pPr>
        <w:shd w:val="clear" w:color="auto" w:fill="FFFFFF"/>
        <w:spacing w:before="202" w:line="221" w:lineRule="exact"/>
        <w:jc w:val="both"/>
      </w:pPr>
      <w:r>
        <w:rPr>
          <w:spacing w:val="-4"/>
          <w:sz w:val="18"/>
          <w:szCs w:val="18"/>
          <w:lang w:val="es-ES_tradnl"/>
        </w:rPr>
        <w:t>Adem</w:t>
      </w:r>
      <w:r>
        <w:rPr>
          <w:rFonts w:cs="Times New Roman"/>
          <w:spacing w:val="-4"/>
          <w:sz w:val="18"/>
          <w:szCs w:val="18"/>
          <w:lang w:val="es-ES_tradnl"/>
        </w:rPr>
        <w:t>á</w:t>
      </w:r>
      <w:r>
        <w:rPr>
          <w:spacing w:val="-4"/>
          <w:sz w:val="18"/>
          <w:szCs w:val="18"/>
          <w:lang w:val="es-ES_tradnl"/>
        </w:rPr>
        <w:t>s, llama la atenci</w:t>
      </w:r>
      <w:r>
        <w:rPr>
          <w:rFonts w:cs="Times New Roman"/>
          <w:spacing w:val="-4"/>
          <w:sz w:val="18"/>
          <w:szCs w:val="18"/>
          <w:lang w:val="es-ES_tradnl"/>
        </w:rPr>
        <w:t>ó</w:t>
      </w:r>
      <w:r>
        <w:rPr>
          <w:spacing w:val="-4"/>
          <w:sz w:val="18"/>
          <w:szCs w:val="18"/>
          <w:lang w:val="es-ES_tradnl"/>
        </w:rPr>
        <w:t xml:space="preserve">n de este Organismo que el </w:t>
      </w:r>
      <w:r>
        <w:rPr>
          <w:spacing w:val="-8"/>
          <w:sz w:val="18"/>
          <w:szCs w:val="18"/>
          <w:lang w:val="es-ES_tradnl"/>
        </w:rPr>
        <w:t xml:space="preserve">tribunal de segunda instancia, al momento de confirmar en </w:t>
      </w:r>
      <w:r>
        <w:rPr>
          <w:spacing w:val="-7"/>
          <w:sz w:val="18"/>
          <w:szCs w:val="18"/>
          <w:lang w:val="es-ES_tradnl"/>
        </w:rPr>
        <w:t xml:space="preserve">todas sus partes el fallo de primer nivel, no haya corregido </w:t>
      </w:r>
      <w:r>
        <w:rPr>
          <w:sz w:val="18"/>
          <w:szCs w:val="18"/>
          <w:lang w:val="es-ES_tradnl"/>
        </w:rPr>
        <w:t>el error de derecho mencionado.</w:t>
      </w:r>
    </w:p>
    <w:p w14:paraId="4F67ADAA" w14:textId="77777777" w:rsidR="00591D54" w:rsidRDefault="00591D54">
      <w:pPr>
        <w:shd w:val="clear" w:color="auto" w:fill="FFFFFF"/>
        <w:spacing w:before="206" w:line="221" w:lineRule="exact"/>
        <w:jc w:val="both"/>
      </w:pPr>
      <w:r>
        <w:rPr>
          <w:spacing w:val="-3"/>
          <w:sz w:val="18"/>
          <w:szCs w:val="18"/>
          <w:lang w:val="es-ES_tradnl"/>
        </w:rPr>
        <w:t xml:space="preserve">En este sentido, la Corte Constitucional, en la parte </w:t>
      </w:r>
      <w:r>
        <w:rPr>
          <w:spacing w:val="-8"/>
          <w:sz w:val="18"/>
          <w:szCs w:val="18"/>
          <w:lang w:val="es-ES_tradnl"/>
        </w:rPr>
        <w:t>resolutiva de la presente sentencia, proceder</w:t>
      </w:r>
      <w:r>
        <w:rPr>
          <w:rFonts w:cs="Times New Roman"/>
          <w:spacing w:val="-8"/>
          <w:sz w:val="18"/>
          <w:szCs w:val="18"/>
          <w:lang w:val="es-ES_tradnl"/>
        </w:rPr>
        <w:t>á</w:t>
      </w:r>
      <w:r>
        <w:rPr>
          <w:spacing w:val="-8"/>
          <w:sz w:val="18"/>
          <w:szCs w:val="18"/>
          <w:lang w:val="es-ES_tradnl"/>
        </w:rPr>
        <w:t xml:space="preserve"> a declarar la </w:t>
      </w:r>
      <w:r>
        <w:rPr>
          <w:spacing w:val="-10"/>
          <w:sz w:val="18"/>
          <w:szCs w:val="18"/>
          <w:lang w:val="es-ES_tradnl"/>
        </w:rPr>
        <w:t>vulneraci</w:t>
      </w:r>
      <w:r>
        <w:rPr>
          <w:rFonts w:cs="Times New Roman"/>
          <w:spacing w:val="-10"/>
          <w:sz w:val="18"/>
          <w:szCs w:val="18"/>
          <w:lang w:val="es-ES_tradnl"/>
        </w:rPr>
        <w:t>ó</w:t>
      </w:r>
      <w:r>
        <w:rPr>
          <w:spacing w:val="-10"/>
          <w:sz w:val="18"/>
          <w:szCs w:val="18"/>
          <w:lang w:val="es-ES_tradnl"/>
        </w:rPr>
        <w:t>n al derecho a la seguridad jur</w:t>
      </w:r>
      <w:r>
        <w:rPr>
          <w:rFonts w:cs="Times New Roman"/>
          <w:spacing w:val="-10"/>
          <w:sz w:val="18"/>
          <w:szCs w:val="18"/>
          <w:lang w:val="es-ES_tradnl"/>
        </w:rPr>
        <w:t>í</w:t>
      </w:r>
      <w:r>
        <w:rPr>
          <w:spacing w:val="-10"/>
          <w:sz w:val="18"/>
          <w:szCs w:val="18"/>
          <w:lang w:val="es-ES_tradnl"/>
        </w:rPr>
        <w:t xml:space="preserve">dica, especificando </w:t>
      </w:r>
      <w:r>
        <w:rPr>
          <w:spacing w:val="-11"/>
          <w:sz w:val="18"/>
          <w:szCs w:val="18"/>
          <w:lang w:val="es-ES_tradnl"/>
        </w:rPr>
        <w:t>que esta declaraci</w:t>
      </w:r>
      <w:r>
        <w:rPr>
          <w:rFonts w:cs="Times New Roman"/>
          <w:spacing w:val="-11"/>
          <w:sz w:val="18"/>
          <w:szCs w:val="18"/>
          <w:lang w:val="es-ES_tradnl"/>
        </w:rPr>
        <w:t>ó</w:t>
      </w:r>
      <w:r>
        <w:rPr>
          <w:spacing w:val="-11"/>
          <w:sz w:val="18"/>
          <w:szCs w:val="18"/>
          <w:lang w:val="es-ES_tradnl"/>
        </w:rPr>
        <w:t xml:space="preserve">n se hace extensiva exclusivamente a las </w:t>
      </w:r>
      <w:r>
        <w:rPr>
          <w:spacing w:val="-9"/>
          <w:sz w:val="18"/>
          <w:szCs w:val="18"/>
          <w:lang w:val="es-ES_tradnl"/>
        </w:rPr>
        <w:t xml:space="preserve">costas en contra del Estado, por lo que corresponde a este </w:t>
      </w:r>
      <w:r>
        <w:rPr>
          <w:spacing w:val="-8"/>
          <w:sz w:val="18"/>
          <w:szCs w:val="18"/>
          <w:lang w:val="es-ES_tradnl"/>
        </w:rPr>
        <w:t>Organismo subsanar este error jur</w:t>
      </w:r>
      <w:r>
        <w:rPr>
          <w:rFonts w:cs="Times New Roman"/>
          <w:spacing w:val="-8"/>
          <w:sz w:val="18"/>
          <w:szCs w:val="18"/>
          <w:lang w:val="es-ES_tradnl"/>
        </w:rPr>
        <w:t>í</w:t>
      </w:r>
      <w:r>
        <w:rPr>
          <w:spacing w:val="-8"/>
          <w:sz w:val="18"/>
          <w:szCs w:val="18"/>
          <w:lang w:val="es-ES_tradnl"/>
        </w:rPr>
        <w:t xml:space="preserve">dico, dejando sin efecto </w:t>
      </w:r>
      <w:r>
        <w:rPr>
          <w:spacing w:val="-9"/>
          <w:sz w:val="18"/>
          <w:szCs w:val="18"/>
          <w:lang w:val="es-ES_tradnl"/>
        </w:rPr>
        <w:t>aquella parte de la sentencia en la que se conden</w:t>
      </w:r>
      <w:r>
        <w:rPr>
          <w:rFonts w:cs="Times New Roman"/>
          <w:spacing w:val="-9"/>
          <w:sz w:val="18"/>
          <w:szCs w:val="18"/>
          <w:lang w:val="es-ES_tradnl"/>
        </w:rPr>
        <w:t>ó</w:t>
      </w:r>
      <w:r>
        <w:rPr>
          <w:spacing w:val="-9"/>
          <w:sz w:val="18"/>
          <w:szCs w:val="18"/>
          <w:lang w:val="es-ES_tradnl"/>
        </w:rPr>
        <w:t xml:space="preserve"> a costas </w:t>
      </w:r>
      <w:r>
        <w:rPr>
          <w:spacing w:val="-6"/>
          <w:sz w:val="18"/>
          <w:szCs w:val="18"/>
          <w:lang w:val="es-ES_tradnl"/>
        </w:rPr>
        <w:t>al Estado a trav</w:t>
      </w:r>
      <w:r>
        <w:rPr>
          <w:rFonts w:cs="Times New Roman"/>
          <w:spacing w:val="-6"/>
          <w:sz w:val="18"/>
          <w:szCs w:val="18"/>
          <w:lang w:val="es-ES_tradnl"/>
        </w:rPr>
        <w:t>é</w:t>
      </w:r>
      <w:r>
        <w:rPr>
          <w:spacing w:val="-6"/>
          <w:sz w:val="18"/>
          <w:szCs w:val="18"/>
          <w:lang w:val="es-ES_tradnl"/>
        </w:rPr>
        <w:t>s de la Armada Nacional y se cuantific</w:t>
      </w:r>
      <w:r>
        <w:rPr>
          <w:rFonts w:cs="Times New Roman"/>
          <w:spacing w:val="-6"/>
          <w:sz w:val="18"/>
          <w:szCs w:val="18"/>
          <w:lang w:val="es-ES_tradnl"/>
        </w:rPr>
        <w:t xml:space="preserve">ó </w:t>
      </w:r>
      <w:r>
        <w:rPr>
          <w:spacing w:val="-4"/>
          <w:sz w:val="18"/>
          <w:szCs w:val="18"/>
          <w:lang w:val="es-ES_tradnl"/>
        </w:rPr>
        <w:t xml:space="preserve">el valor de US$ 2000,00 como honorarios a favor del </w:t>
      </w:r>
      <w:r>
        <w:rPr>
          <w:spacing w:val="-10"/>
          <w:sz w:val="18"/>
          <w:szCs w:val="18"/>
          <w:lang w:val="es-ES_tradnl"/>
        </w:rPr>
        <w:t>abogado Fernando Cortez Lugo, debiendo dejarse en firme el resto de la sentencia, as</w:t>
      </w:r>
      <w:r>
        <w:rPr>
          <w:rFonts w:cs="Times New Roman"/>
          <w:spacing w:val="-10"/>
          <w:sz w:val="18"/>
          <w:szCs w:val="18"/>
          <w:lang w:val="es-ES_tradnl"/>
        </w:rPr>
        <w:t>í</w:t>
      </w:r>
      <w:r>
        <w:rPr>
          <w:spacing w:val="-10"/>
          <w:sz w:val="18"/>
          <w:szCs w:val="18"/>
          <w:lang w:val="es-ES_tradnl"/>
        </w:rPr>
        <w:t xml:space="preserve"> como las medidas de reparaci</w:t>
      </w:r>
      <w:r>
        <w:rPr>
          <w:rFonts w:cs="Times New Roman"/>
          <w:spacing w:val="-10"/>
          <w:sz w:val="18"/>
          <w:szCs w:val="18"/>
          <w:lang w:val="es-ES_tradnl"/>
        </w:rPr>
        <w:t>ó</w:t>
      </w:r>
      <w:r>
        <w:rPr>
          <w:spacing w:val="-10"/>
          <w:sz w:val="18"/>
          <w:szCs w:val="18"/>
          <w:lang w:val="es-ES_tradnl"/>
        </w:rPr>
        <w:t xml:space="preserve">n </w:t>
      </w:r>
      <w:r>
        <w:rPr>
          <w:sz w:val="18"/>
          <w:szCs w:val="18"/>
          <w:lang w:val="es-ES_tradnl"/>
        </w:rPr>
        <w:t>constantes en aquella.</w:t>
      </w:r>
    </w:p>
    <w:p w14:paraId="4F67ADAB" w14:textId="77777777" w:rsidR="00591D54" w:rsidRDefault="00591D54">
      <w:pPr>
        <w:shd w:val="clear" w:color="auto" w:fill="FFFFFF"/>
        <w:spacing w:before="528" w:line="178" w:lineRule="exact"/>
        <w:ind w:left="139" w:right="5" w:hanging="139"/>
        <w:jc w:val="both"/>
      </w:pPr>
      <w:r>
        <w:rPr>
          <w:sz w:val="14"/>
          <w:szCs w:val="14"/>
          <w:vertAlign w:val="superscript"/>
          <w:lang w:val="es-ES_tradnl"/>
        </w:rPr>
        <w:t>7</w:t>
      </w:r>
      <w:r>
        <w:rPr>
          <w:sz w:val="14"/>
          <w:szCs w:val="14"/>
          <w:lang w:val="es-ES_tradnl"/>
        </w:rPr>
        <w:t xml:space="preserve"> </w:t>
      </w:r>
      <w:r>
        <w:rPr>
          <w:spacing w:val="-2"/>
          <w:sz w:val="14"/>
          <w:szCs w:val="14"/>
          <w:lang w:val="es-ES_tradnl"/>
        </w:rPr>
        <w:t>La disposici</w:t>
      </w:r>
      <w:r>
        <w:rPr>
          <w:rFonts w:cs="Times New Roman"/>
          <w:spacing w:val="-2"/>
          <w:sz w:val="14"/>
          <w:szCs w:val="14"/>
          <w:lang w:val="es-ES_tradnl"/>
        </w:rPr>
        <w:t>ó</w:t>
      </w:r>
      <w:r>
        <w:rPr>
          <w:spacing w:val="-2"/>
          <w:sz w:val="14"/>
          <w:szCs w:val="14"/>
          <w:lang w:val="es-ES_tradnl"/>
        </w:rPr>
        <w:t>n final de la Ley Org</w:t>
      </w:r>
      <w:r>
        <w:rPr>
          <w:rFonts w:cs="Times New Roman"/>
          <w:spacing w:val="-2"/>
          <w:sz w:val="14"/>
          <w:szCs w:val="14"/>
          <w:lang w:val="es-ES_tradnl"/>
        </w:rPr>
        <w:t>á</w:t>
      </w:r>
      <w:r>
        <w:rPr>
          <w:spacing w:val="-2"/>
          <w:sz w:val="14"/>
          <w:szCs w:val="14"/>
          <w:lang w:val="es-ES_tradnl"/>
        </w:rPr>
        <w:t>nica de Garant</w:t>
      </w:r>
      <w:r>
        <w:rPr>
          <w:rFonts w:cs="Times New Roman"/>
          <w:spacing w:val="-2"/>
          <w:sz w:val="14"/>
          <w:szCs w:val="14"/>
          <w:lang w:val="es-ES_tradnl"/>
        </w:rPr>
        <w:t>í</w:t>
      </w:r>
      <w:r>
        <w:rPr>
          <w:spacing w:val="-2"/>
          <w:sz w:val="14"/>
          <w:szCs w:val="14"/>
          <w:lang w:val="es-ES_tradnl"/>
        </w:rPr>
        <w:t xml:space="preserve">as Jurisdiccionales </w:t>
      </w:r>
      <w:r>
        <w:rPr>
          <w:sz w:val="14"/>
          <w:szCs w:val="14"/>
          <w:lang w:val="es-ES_tradnl"/>
        </w:rPr>
        <w:t>y Control Constitucional se</w:t>
      </w:r>
      <w:r>
        <w:rPr>
          <w:rFonts w:cs="Times New Roman"/>
          <w:sz w:val="14"/>
          <w:szCs w:val="14"/>
          <w:lang w:val="es-ES_tradnl"/>
        </w:rPr>
        <w:t>ñ</w:t>
      </w:r>
      <w:r>
        <w:rPr>
          <w:sz w:val="14"/>
          <w:szCs w:val="14"/>
          <w:lang w:val="es-ES_tradnl"/>
        </w:rPr>
        <w:t xml:space="preserve">ala </w:t>
      </w:r>
      <w:r>
        <w:rPr>
          <w:rFonts w:cs="Times New Roman"/>
          <w:sz w:val="14"/>
          <w:szCs w:val="14"/>
          <w:lang w:val="es-ES_tradnl"/>
        </w:rPr>
        <w:t>“</w:t>
      </w:r>
      <w:r>
        <w:rPr>
          <w:sz w:val="14"/>
          <w:szCs w:val="14"/>
          <w:lang w:val="es-ES_tradnl"/>
        </w:rPr>
        <w:t xml:space="preserve">En todo aquello no previsto </w:t>
      </w:r>
      <w:r>
        <w:rPr>
          <w:spacing w:val="-5"/>
          <w:sz w:val="14"/>
          <w:szCs w:val="14"/>
          <w:lang w:val="es-ES_tradnl"/>
        </w:rPr>
        <w:t>expresamente en esta Ley, se estar</w:t>
      </w:r>
      <w:r>
        <w:rPr>
          <w:rFonts w:cs="Times New Roman"/>
          <w:spacing w:val="-5"/>
          <w:sz w:val="14"/>
          <w:szCs w:val="14"/>
          <w:lang w:val="es-ES_tradnl"/>
        </w:rPr>
        <w:t>á</w:t>
      </w:r>
      <w:r>
        <w:rPr>
          <w:spacing w:val="-5"/>
          <w:sz w:val="14"/>
          <w:szCs w:val="14"/>
          <w:lang w:val="es-ES_tradnl"/>
        </w:rPr>
        <w:t xml:space="preserve"> a lo dispuesto supletoriamente en </w:t>
      </w:r>
      <w:r>
        <w:rPr>
          <w:spacing w:val="-1"/>
          <w:sz w:val="14"/>
          <w:szCs w:val="14"/>
          <w:lang w:val="es-ES_tradnl"/>
        </w:rPr>
        <w:t>sus reglamentos, en el C</w:t>
      </w:r>
      <w:r>
        <w:rPr>
          <w:rFonts w:cs="Times New Roman"/>
          <w:spacing w:val="-1"/>
          <w:sz w:val="14"/>
          <w:szCs w:val="14"/>
          <w:lang w:val="es-ES_tradnl"/>
        </w:rPr>
        <w:t>ó</w:t>
      </w:r>
      <w:r>
        <w:rPr>
          <w:spacing w:val="-1"/>
          <w:sz w:val="14"/>
          <w:szCs w:val="14"/>
          <w:lang w:val="es-ES_tradnl"/>
        </w:rPr>
        <w:t>digo Civil, C</w:t>
      </w:r>
      <w:r>
        <w:rPr>
          <w:rFonts w:cs="Times New Roman"/>
          <w:spacing w:val="-1"/>
          <w:sz w:val="14"/>
          <w:szCs w:val="14"/>
          <w:lang w:val="es-ES_tradnl"/>
        </w:rPr>
        <w:t>ó</w:t>
      </w:r>
      <w:r>
        <w:rPr>
          <w:spacing w:val="-1"/>
          <w:sz w:val="14"/>
          <w:szCs w:val="14"/>
          <w:lang w:val="es-ES_tradnl"/>
        </w:rPr>
        <w:t>digo de Procedimiento Civil, C</w:t>
      </w:r>
      <w:r>
        <w:rPr>
          <w:rFonts w:cs="Times New Roman"/>
          <w:spacing w:val="-1"/>
          <w:sz w:val="14"/>
          <w:szCs w:val="14"/>
          <w:lang w:val="es-ES_tradnl"/>
        </w:rPr>
        <w:t>ó</w:t>
      </w:r>
      <w:r>
        <w:rPr>
          <w:spacing w:val="-1"/>
          <w:sz w:val="14"/>
          <w:szCs w:val="14"/>
          <w:lang w:val="es-ES_tradnl"/>
        </w:rPr>
        <w:t>digo de Procedimiento Penal y Ley Org</w:t>
      </w:r>
      <w:r>
        <w:rPr>
          <w:rFonts w:cs="Times New Roman"/>
          <w:spacing w:val="-1"/>
          <w:sz w:val="14"/>
          <w:szCs w:val="14"/>
          <w:lang w:val="es-ES_tradnl"/>
        </w:rPr>
        <w:t>á</w:t>
      </w:r>
      <w:r>
        <w:rPr>
          <w:spacing w:val="-1"/>
          <w:sz w:val="14"/>
          <w:szCs w:val="14"/>
          <w:lang w:val="es-ES_tradnl"/>
        </w:rPr>
        <w:t>nica de la Procuradur</w:t>
      </w:r>
      <w:r>
        <w:rPr>
          <w:rFonts w:cs="Times New Roman"/>
          <w:spacing w:val="-1"/>
          <w:sz w:val="14"/>
          <w:szCs w:val="14"/>
          <w:lang w:val="es-ES_tradnl"/>
        </w:rPr>
        <w:t>í</w:t>
      </w:r>
      <w:r>
        <w:rPr>
          <w:spacing w:val="-1"/>
          <w:sz w:val="14"/>
          <w:szCs w:val="14"/>
          <w:lang w:val="es-ES_tradnl"/>
        </w:rPr>
        <w:t xml:space="preserve">a </w:t>
      </w:r>
      <w:r>
        <w:rPr>
          <w:spacing w:val="-3"/>
          <w:sz w:val="14"/>
          <w:szCs w:val="14"/>
          <w:lang w:val="es-ES_tradnl"/>
        </w:rPr>
        <w:t xml:space="preserve">General del Estado, en lo que fueren aplicables y compatibles con el </w:t>
      </w:r>
      <w:r>
        <w:rPr>
          <w:sz w:val="14"/>
          <w:szCs w:val="14"/>
          <w:lang w:val="es-ES_tradnl"/>
        </w:rPr>
        <w:t>derecho constitucional</w:t>
      </w:r>
      <w:r>
        <w:rPr>
          <w:rFonts w:cs="Times New Roman"/>
          <w:sz w:val="14"/>
          <w:szCs w:val="14"/>
          <w:lang w:val="es-ES_tradnl"/>
        </w:rPr>
        <w:t>”</w:t>
      </w:r>
      <w:r>
        <w:rPr>
          <w:sz w:val="14"/>
          <w:szCs w:val="14"/>
          <w:lang w:val="es-ES_tradnl"/>
        </w:rPr>
        <w:t>.</w:t>
      </w:r>
    </w:p>
    <w:p w14:paraId="4F67ADAC" w14:textId="77777777" w:rsidR="00591D54" w:rsidRDefault="00591D54">
      <w:pPr>
        <w:shd w:val="clear" w:color="auto" w:fill="FFFFFF"/>
        <w:spacing w:line="216" w:lineRule="exact"/>
        <w:jc w:val="both"/>
      </w:pPr>
      <w:r>
        <w:br w:type="column"/>
      </w:r>
      <w:r>
        <w:rPr>
          <w:spacing w:val="-1"/>
          <w:sz w:val="18"/>
          <w:szCs w:val="18"/>
          <w:lang w:val="es-ES_tradnl"/>
        </w:rPr>
        <w:t>La Corte Constitucional adopta la decisi</w:t>
      </w:r>
      <w:r>
        <w:rPr>
          <w:rFonts w:cs="Times New Roman"/>
          <w:spacing w:val="-1"/>
          <w:sz w:val="18"/>
          <w:szCs w:val="18"/>
          <w:lang w:val="es-ES_tradnl"/>
        </w:rPr>
        <w:t>ó</w:t>
      </w:r>
      <w:r>
        <w:rPr>
          <w:spacing w:val="-1"/>
          <w:sz w:val="18"/>
          <w:szCs w:val="18"/>
          <w:lang w:val="es-ES_tradnl"/>
        </w:rPr>
        <w:t xml:space="preserve">n de dejar en </w:t>
      </w:r>
      <w:r>
        <w:rPr>
          <w:spacing w:val="-4"/>
          <w:sz w:val="18"/>
          <w:szCs w:val="18"/>
          <w:lang w:val="es-ES_tradnl"/>
        </w:rPr>
        <w:t xml:space="preserve">firme la sentencia de segunda instancia, que ratifica la </w:t>
      </w:r>
      <w:r>
        <w:rPr>
          <w:sz w:val="18"/>
          <w:szCs w:val="18"/>
          <w:lang w:val="es-ES_tradnl"/>
        </w:rPr>
        <w:t>decisi</w:t>
      </w:r>
      <w:r>
        <w:rPr>
          <w:rFonts w:cs="Times New Roman"/>
          <w:sz w:val="18"/>
          <w:szCs w:val="18"/>
          <w:lang w:val="es-ES_tradnl"/>
        </w:rPr>
        <w:t>ó</w:t>
      </w:r>
      <w:r>
        <w:rPr>
          <w:sz w:val="18"/>
          <w:szCs w:val="18"/>
          <w:lang w:val="es-ES_tradnl"/>
        </w:rPr>
        <w:t xml:space="preserve">n adoptada por la jueza </w:t>
      </w:r>
      <w:r>
        <w:rPr>
          <w:i/>
          <w:iCs/>
          <w:sz w:val="18"/>
          <w:szCs w:val="18"/>
          <w:lang w:val="es-ES_tradnl"/>
        </w:rPr>
        <w:t>a quo</w:t>
      </w:r>
      <w:r>
        <w:rPr>
          <w:sz w:val="18"/>
          <w:szCs w:val="18"/>
          <w:lang w:val="es-ES_tradnl"/>
        </w:rPr>
        <w:t>, a excepci</w:t>
      </w:r>
      <w:r>
        <w:rPr>
          <w:rFonts w:cs="Times New Roman"/>
          <w:sz w:val="18"/>
          <w:szCs w:val="18"/>
          <w:lang w:val="es-ES_tradnl"/>
        </w:rPr>
        <w:t>ó</w:t>
      </w:r>
      <w:r>
        <w:rPr>
          <w:sz w:val="18"/>
          <w:szCs w:val="18"/>
          <w:lang w:val="es-ES_tradnl"/>
        </w:rPr>
        <w:t>n de la disposici</w:t>
      </w:r>
      <w:r>
        <w:rPr>
          <w:rFonts w:cs="Times New Roman"/>
          <w:sz w:val="18"/>
          <w:szCs w:val="18"/>
          <w:lang w:val="es-ES_tradnl"/>
        </w:rPr>
        <w:t>ó</w:t>
      </w:r>
      <w:r>
        <w:rPr>
          <w:sz w:val="18"/>
          <w:szCs w:val="18"/>
          <w:lang w:val="es-ES_tradnl"/>
        </w:rPr>
        <w:t>n mediante la cual se conden</w:t>
      </w:r>
      <w:r>
        <w:rPr>
          <w:rFonts w:cs="Times New Roman"/>
          <w:sz w:val="18"/>
          <w:szCs w:val="18"/>
          <w:lang w:val="es-ES_tradnl"/>
        </w:rPr>
        <w:t>ó</w:t>
      </w:r>
      <w:r>
        <w:rPr>
          <w:sz w:val="18"/>
          <w:szCs w:val="18"/>
          <w:lang w:val="es-ES_tradnl"/>
        </w:rPr>
        <w:t xml:space="preserve"> al Estado </w:t>
      </w:r>
      <w:r>
        <w:rPr>
          <w:spacing w:val="-4"/>
          <w:sz w:val="18"/>
          <w:szCs w:val="18"/>
          <w:lang w:val="es-ES_tradnl"/>
        </w:rPr>
        <w:t>en costas y se fij</w:t>
      </w:r>
      <w:r>
        <w:rPr>
          <w:rFonts w:cs="Times New Roman"/>
          <w:spacing w:val="-4"/>
          <w:sz w:val="18"/>
          <w:szCs w:val="18"/>
          <w:lang w:val="es-ES_tradnl"/>
        </w:rPr>
        <w:t>ó</w:t>
      </w:r>
      <w:r>
        <w:rPr>
          <w:spacing w:val="-4"/>
          <w:sz w:val="18"/>
          <w:szCs w:val="18"/>
          <w:lang w:val="es-ES_tradnl"/>
        </w:rPr>
        <w:t xml:space="preserve"> el pago por honorarios profesionales </w:t>
      </w:r>
      <w:r>
        <w:rPr>
          <w:spacing w:val="-5"/>
          <w:sz w:val="18"/>
          <w:szCs w:val="18"/>
          <w:lang w:val="es-ES_tradnl"/>
        </w:rPr>
        <w:t>en el valor de dos mil d</w:t>
      </w:r>
      <w:r>
        <w:rPr>
          <w:rFonts w:cs="Times New Roman"/>
          <w:spacing w:val="-5"/>
          <w:sz w:val="18"/>
          <w:szCs w:val="18"/>
          <w:lang w:val="es-ES_tradnl"/>
        </w:rPr>
        <w:t>ó</w:t>
      </w:r>
      <w:r>
        <w:rPr>
          <w:spacing w:val="-5"/>
          <w:sz w:val="18"/>
          <w:szCs w:val="18"/>
          <w:lang w:val="es-ES_tradnl"/>
        </w:rPr>
        <w:t xml:space="preserve">lares de los Estados Unidos de </w:t>
      </w:r>
      <w:r>
        <w:rPr>
          <w:sz w:val="18"/>
          <w:szCs w:val="18"/>
          <w:lang w:val="es-ES_tradnl"/>
        </w:rPr>
        <w:t>Am</w:t>
      </w:r>
      <w:r>
        <w:rPr>
          <w:rFonts w:cs="Times New Roman"/>
          <w:sz w:val="18"/>
          <w:szCs w:val="18"/>
          <w:lang w:val="es-ES_tradnl"/>
        </w:rPr>
        <w:t>é</w:t>
      </w:r>
      <w:r>
        <w:rPr>
          <w:sz w:val="18"/>
          <w:szCs w:val="18"/>
          <w:lang w:val="es-ES_tradnl"/>
        </w:rPr>
        <w:t>rica.</w:t>
      </w:r>
    </w:p>
    <w:p w14:paraId="4F67ADAD" w14:textId="77777777" w:rsidR="00591D54" w:rsidRDefault="00591D54">
      <w:pPr>
        <w:shd w:val="clear" w:color="auto" w:fill="FFFFFF"/>
        <w:spacing w:before="192"/>
        <w:ind w:left="5"/>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ADAE" w14:textId="77777777" w:rsidR="00591D54" w:rsidRDefault="00591D54">
      <w:pPr>
        <w:shd w:val="clear" w:color="auto" w:fill="FFFFFF"/>
        <w:spacing w:before="197" w:line="216" w:lineRule="exact"/>
        <w:jc w:val="both"/>
      </w:pPr>
      <w:r>
        <w:rPr>
          <w:sz w:val="18"/>
          <w:szCs w:val="18"/>
          <w:lang w:val="es-ES_tradnl"/>
        </w:rPr>
        <w:t xml:space="preserve">Por lo expuesto, administrando justicia constitucional </w:t>
      </w:r>
      <w:r>
        <w:rPr>
          <w:spacing w:val="-4"/>
          <w:sz w:val="18"/>
          <w:szCs w:val="18"/>
          <w:lang w:val="es-ES_tradnl"/>
        </w:rPr>
        <w:t>y por mandato de la Constituci</w:t>
      </w:r>
      <w:r>
        <w:rPr>
          <w:rFonts w:cs="Times New Roman"/>
          <w:spacing w:val="-4"/>
          <w:sz w:val="18"/>
          <w:szCs w:val="18"/>
          <w:lang w:val="es-ES_tradnl"/>
        </w:rPr>
        <w:t>ó</w:t>
      </w:r>
      <w:r>
        <w:rPr>
          <w:spacing w:val="-4"/>
          <w:sz w:val="18"/>
          <w:szCs w:val="18"/>
          <w:lang w:val="es-ES_tradnl"/>
        </w:rPr>
        <w:t>n de la Rep</w:t>
      </w:r>
      <w:r>
        <w:rPr>
          <w:rFonts w:cs="Times New Roman"/>
          <w:spacing w:val="-4"/>
          <w:sz w:val="18"/>
          <w:szCs w:val="18"/>
          <w:lang w:val="es-ES_tradnl"/>
        </w:rPr>
        <w:t>ú</w:t>
      </w:r>
      <w:r>
        <w:rPr>
          <w:spacing w:val="-4"/>
          <w:sz w:val="18"/>
          <w:szCs w:val="18"/>
          <w:lang w:val="es-ES_tradnl"/>
        </w:rPr>
        <w:t xml:space="preserve">blica del Ecuador, el Pleno de la Corte Constitucional expide la </w:t>
      </w:r>
      <w:r>
        <w:rPr>
          <w:sz w:val="18"/>
          <w:szCs w:val="18"/>
          <w:lang w:val="es-ES_tradnl"/>
        </w:rPr>
        <w:t>siguiente:</w:t>
      </w:r>
    </w:p>
    <w:p w14:paraId="4F67ADAF" w14:textId="77777777" w:rsidR="00591D54" w:rsidRDefault="00591D54">
      <w:pPr>
        <w:shd w:val="clear" w:color="auto" w:fill="FFFFFF"/>
        <w:spacing w:before="192"/>
        <w:ind w:left="10"/>
        <w:jc w:val="center"/>
      </w:pPr>
      <w:r>
        <w:rPr>
          <w:b/>
          <w:bCs/>
          <w:sz w:val="18"/>
          <w:szCs w:val="18"/>
          <w:lang w:val="es-ES_tradnl"/>
        </w:rPr>
        <w:t>SENTENCIA</w:t>
      </w:r>
    </w:p>
    <w:p w14:paraId="4F67ADB0" w14:textId="77777777" w:rsidR="00591D54" w:rsidRDefault="00591D54" w:rsidP="00251195">
      <w:pPr>
        <w:numPr>
          <w:ilvl w:val="0"/>
          <w:numId w:val="64"/>
        </w:numPr>
        <w:shd w:val="clear" w:color="auto" w:fill="FFFFFF"/>
        <w:tabs>
          <w:tab w:val="left" w:pos="566"/>
        </w:tabs>
        <w:spacing w:before="192" w:line="216" w:lineRule="exact"/>
        <w:ind w:left="566" w:hanging="283"/>
        <w:jc w:val="both"/>
        <w:rPr>
          <w:spacing w:val="-9"/>
          <w:sz w:val="18"/>
          <w:szCs w:val="18"/>
          <w:lang w:val="es-ES_tradnl"/>
        </w:rPr>
      </w:pPr>
      <w:r>
        <w:rPr>
          <w:spacing w:val="-6"/>
          <w:sz w:val="18"/>
          <w:szCs w:val="18"/>
          <w:lang w:val="es-ES_tradnl"/>
        </w:rPr>
        <w:t>Declarar la vulneraci</w:t>
      </w:r>
      <w:r>
        <w:rPr>
          <w:rFonts w:cs="Times New Roman"/>
          <w:spacing w:val="-6"/>
          <w:sz w:val="18"/>
          <w:szCs w:val="18"/>
          <w:lang w:val="es-ES_tradnl"/>
        </w:rPr>
        <w:t>ó</w:t>
      </w:r>
      <w:r>
        <w:rPr>
          <w:spacing w:val="-6"/>
          <w:sz w:val="18"/>
          <w:szCs w:val="18"/>
          <w:lang w:val="es-ES_tradnl"/>
        </w:rPr>
        <w:t>n del derecho a la seguridad jur</w:t>
      </w:r>
      <w:r>
        <w:rPr>
          <w:rFonts w:cs="Times New Roman"/>
          <w:spacing w:val="-6"/>
          <w:sz w:val="18"/>
          <w:szCs w:val="18"/>
          <w:lang w:val="es-ES_tradnl"/>
        </w:rPr>
        <w:t>í</w:t>
      </w:r>
      <w:r>
        <w:rPr>
          <w:spacing w:val="-6"/>
          <w:sz w:val="18"/>
          <w:szCs w:val="18"/>
          <w:lang w:val="es-ES_tradnl"/>
        </w:rPr>
        <w:t>dica, en cuanto a la determinaci</w:t>
      </w:r>
      <w:r>
        <w:rPr>
          <w:rFonts w:cs="Times New Roman"/>
          <w:spacing w:val="-6"/>
          <w:sz w:val="18"/>
          <w:szCs w:val="18"/>
          <w:lang w:val="es-ES_tradnl"/>
        </w:rPr>
        <w:t>ó</w:t>
      </w:r>
      <w:r>
        <w:rPr>
          <w:spacing w:val="-6"/>
          <w:sz w:val="18"/>
          <w:szCs w:val="18"/>
          <w:lang w:val="es-ES_tradnl"/>
        </w:rPr>
        <w:t xml:space="preserve">n de costas y </w:t>
      </w:r>
      <w:r>
        <w:rPr>
          <w:sz w:val="18"/>
          <w:szCs w:val="18"/>
          <w:lang w:val="es-ES_tradnl"/>
        </w:rPr>
        <w:t>honorarios profesionales.</w:t>
      </w:r>
    </w:p>
    <w:p w14:paraId="4F67ADB1" w14:textId="77777777" w:rsidR="00591D54" w:rsidRDefault="00591D54" w:rsidP="00251195">
      <w:pPr>
        <w:numPr>
          <w:ilvl w:val="0"/>
          <w:numId w:val="64"/>
        </w:numPr>
        <w:shd w:val="clear" w:color="auto" w:fill="FFFFFF"/>
        <w:tabs>
          <w:tab w:val="left" w:pos="566"/>
        </w:tabs>
        <w:spacing w:before="192" w:line="216" w:lineRule="exact"/>
        <w:ind w:left="566" w:hanging="283"/>
        <w:jc w:val="both"/>
        <w:rPr>
          <w:spacing w:val="-9"/>
          <w:sz w:val="18"/>
          <w:szCs w:val="18"/>
          <w:lang w:val="es-ES_tradnl"/>
        </w:rPr>
      </w:pPr>
      <w:r>
        <w:rPr>
          <w:spacing w:val="-5"/>
          <w:sz w:val="18"/>
          <w:szCs w:val="18"/>
          <w:lang w:val="es-ES_tradnl"/>
        </w:rPr>
        <w:t>Aceptar parcialmente la acci</w:t>
      </w:r>
      <w:r>
        <w:rPr>
          <w:rFonts w:cs="Times New Roman"/>
          <w:spacing w:val="-5"/>
          <w:sz w:val="18"/>
          <w:szCs w:val="18"/>
          <w:lang w:val="es-ES_tradnl"/>
        </w:rPr>
        <w:t>ó</w:t>
      </w:r>
      <w:r>
        <w:rPr>
          <w:spacing w:val="-5"/>
          <w:sz w:val="18"/>
          <w:szCs w:val="18"/>
          <w:lang w:val="es-ES_tradnl"/>
        </w:rPr>
        <w:t xml:space="preserve">n extraordinaria de </w:t>
      </w:r>
      <w:r>
        <w:rPr>
          <w:sz w:val="18"/>
          <w:szCs w:val="18"/>
          <w:lang w:val="es-ES_tradnl"/>
        </w:rPr>
        <w:t>protecci</w:t>
      </w:r>
      <w:r>
        <w:rPr>
          <w:rFonts w:cs="Times New Roman"/>
          <w:sz w:val="18"/>
          <w:szCs w:val="18"/>
          <w:lang w:val="es-ES_tradnl"/>
        </w:rPr>
        <w:t>ó</w:t>
      </w:r>
      <w:r>
        <w:rPr>
          <w:sz w:val="18"/>
          <w:szCs w:val="18"/>
          <w:lang w:val="es-ES_tradnl"/>
        </w:rPr>
        <w:t>n.</w:t>
      </w:r>
    </w:p>
    <w:p w14:paraId="4F67ADB2" w14:textId="77777777" w:rsidR="00591D54" w:rsidRDefault="00591D54" w:rsidP="00251195">
      <w:pPr>
        <w:numPr>
          <w:ilvl w:val="0"/>
          <w:numId w:val="64"/>
        </w:numPr>
        <w:shd w:val="clear" w:color="auto" w:fill="FFFFFF"/>
        <w:tabs>
          <w:tab w:val="left" w:pos="566"/>
        </w:tabs>
        <w:spacing w:before="192" w:line="216" w:lineRule="exact"/>
        <w:ind w:left="566" w:hanging="283"/>
        <w:jc w:val="both"/>
        <w:rPr>
          <w:spacing w:val="-9"/>
          <w:sz w:val="18"/>
          <w:szCs w:val="18"/>
          <w:lang w:val="es-ES_tradnl"/>
        </w:rPr>
      </w:pPr>
      <w:r>
        <w:rPr>
          <w:spacing w:val="-7"/>
          <w:sz w:val="18"/>
          <w:szCs w:val="18"/>
          <w:lang w:val="es-ES_tradnl"/>
        </w:rPr>
        <w:t>Dada la naturaleza espec</w:t>
      </w:r>
      <w:r>
        <w:rPr>
          <w:rFonts w:cs="Times New Roman"/>
          <w:spacing w:val="-7"/>
          <w:sz w:val="18"/>
          <w:szCs w:val="18"/>
          <w:lang w:val="es-ES_tradnl"/>
        </w:rPr>
        <w:t>í</w:t>
      </w:r>
      <w:r>
        <w:rPr>
          <w:spacing w:val="-7"/>
          <w:sz w:val="18"/>
          <w:szCs w:val="18"/>
          <w:lang w:val="es-ES_tradnl"/>
        </w:rPr>
        <w:t xml:space="preserve">fica en el caso concreto </w:t>
      </w:r>
      <w:r>
        <w:rPr>
          <w:spacing w:val="-4"/>
          <w:sz w:val="18"/>
          <w:szCs w:val="18"/>
          <w:lang w:val="es-ES_tradnl"/>
        </w:rPr>
        <w:t>y de acuerdo al an</w:t>
      </w:r>
      <w:r>
        <w:rPr>
          <w:rFonts w:cs="Times New Roman"/>
          <w:spacing w:val="-4"/>
          <w:sz w:val="18"/>
          <w:szCs w:val="18"/>
          <w:lang w:val="es-ES_tradnl"/>
        </w:rPr>
        <w:t>á</w:t>
      </w:r>
      <w:r>
        <w:rPr>
          <w:spacing w:val="-4"/>
          <w:sz w:val="18"/>
          <w:szCs w:val="18"/>
          <w:lang w:val="es-ES_tradnl"/>
        </w:rPr>
        <w:t>lisis jur</w:t>
      </w:r>
      <w:r>
        <w:rPr>
          <w:rFonts w:cs="Times New Roman"/>
          <w:spacing w:val="-4"/>
          <w:sz w:val="18"/>
          <w:szCs w:val="18"/>
          <w:lang w:val="es-ES_tradnl"/>
        </w:rPr>
        <w:t>í</w:t>
      </w:r>
      <w:r>
        <w:rPr>
          <w:spacing w:val="-4"/>
          <w:sz w:val="18"/>
          <w:szCs w:val="18"/>
          <w:lang w:val="es-ES_tradnl"/>
        </w:rPr>
        <w:t xml:space="preserve">dico realizado, como </w:t>
      </w:r>
      <w:r>
        <w:rPr>
          <w:spacing w:val="-3"/>
          <w:sz w:val="18"/>
          <w:szCs w:val="18"/>
          <w:lang w:val="es-ES_tradnl"/>
        </w:rPr>
        <w:t>medida de reparaci</w:t>
      </w:r>
      <w:r>
        <w:rPr>
          <w:rFonts w:cs="Times New Roman"/>
          <w:spacing w:val="-3"/>
          <w:sz w:val="18"/>
          <w:szCs w:val="18"/>
          <w:lang w:val="es-ES_tradnl"/>
        </w:rPr>
        <w:t>ó</w:t>
      </w:r>
      <w:r>
        <w:rPr>
          <w:spacing w:val="-3"/>
          <w:sz w:val="18"/>
          <w:szCs w:val="18"/>
          <w:lang w:val="es-ES_tradnl"/>
        </w:rPr>
        <w:t xml:space="preserve">n integral se dispone lo </w:t>
      </w:r>
      <w:r>
        <w:rPr>
          <w:sz w:val="18"/>
          <w:szCs w:val="18"/>
          <w:lang w:val="es-ES_tradnl"/>
        </w:rPr>
        <w:t>siguiente:</w:t>
      </w:r>
    </w:p>
    <w:p w14:paraId="4F67ADB3" w14:textId="77777777" w:rsidR="00591D54" w:rsidRDefault="00591D54">
      <w:pPr>
        <w:rPr>
          <w:rFonts w:cs="Times New Roman"/>
          <w:sz w:val="2"/>
          <w:szCs w:val="2"/>
        </w:rPr>
      </w:pPr>
    </w:p>
    <w:p w14:paraId="4F67ADB4" w14:textId="77777777" w:rsidR="00591D54" w:rsidRDefault="00591D54" w:rsidP="00251195">
      <w:pPr>
        <w:numPr>
          <w:ilvl w:val="0"/>
          <w:numId w:val="65"/>
        </w:numPr>
        <w:shd w:val="clear" w:color="auto" w:fill="FFFFFF"/>
        <w:tabs>
          <w:tab w:val="left" w:pos="850"/>
        </w:tabs>
        <w:spacing w:before="197" w:line="216" w:lineRule="exact"/>
        <w:ind w:left="850" w:hanging="283"/>
        <w:jc w:val="both"/>
        <w:rPr>
          <w:spacing w:val="-6"/>
          <w:sz w:val="18"/>
          <w:szCs w:val="18"/>
          <w:lang w:val="es-ES_tradnl"/>
        </w:rPr>
      </w:pPr>
      <w:r>
        <w:rPr>
          <w:spacing w:val="-11"/>
          <w:sz w:val="18"/>
          <w:szCs w:val="18"/>
          <w:lang w:val="es-ES_tradnl"/>
        </w:rPr>
        <w:t xml:space="preserve">Dejar en firme la sentencia de segunda instancia </w:t>
      </w:r>
      <w:r>
        <w:rPr>
          <w:spacing w:val="-3"/>
          <w:sz w:val="18"/>
          <w:szCs w:val="18"/>
          <w:lang w:val="es-ES_tradnl"/>
        </w:rPr>
        <w:t>que ratifica la decisi</w:t>
      </w:r>
      <w:r>
        <w:rPr>
          <w:rFonts w:cs="Times New Roman"/>
          <w:spacing w:val="-3"/>
          <w:sz w:val="18"/>
          <w:szCs w:val="18"/>
          <w:lang w:val="es-ES_tradnl"/>
        </w:rPr>
        <w:t>ó</w:t>
      </w:r>
      <w:r>
        <w:rPr>
          <w:spacing w:val="-3"/>
          <w:sz w:val="18"/>
          <w:szCs w:val="18"/>
          <w:lang w:val="es-ES_tradnl"/>
        </w:rPr>
        <w:t xml:space="preserve">n, dictada por la jueza </w:t>
      </w:r>
      <w:r>
        <w:rPr>
          <w:spacing w:val="-6"/>
          <w:sz w:val="18"/>
          <w:szCs w:val="18"/>
          <w:lang w:val="es-ES_tradnl"/>
        </w:rPr>
        <w:t>sexta de la Ni</w:t>
      </w:r>
      <w:r>
        <w:rPr>
          <w:rFonts w:cs="Times New Roman"/>
          <w:spacing w:val="-6"/>
          <w:sz w:val="18"/>
          <w:szCs w:val="18"/>
          <w:lang w:val="es-ES_tradnl"/>
        </w:rPr>
        <w:t>ñ</w:t>
      </w:r>
      <w:r>
        <w:rPr>
          <w:spacing w:val="-6"/>
          <w:sz w:val="18"/>
          <w:szCs w:val="18"/>
          <w:lang w:val="es-ES_tradnl"/>
        </w:rPr>
        <w:t>ez y Adolescencia del Guayas, as</w:t>
      </w:r>
      <w:r>
        <w:rPr>
          <w:rFonts w:cs="Times New Roman"/>
          <w:spacing w:val="-6"/>
          <w:sz w:val="18"/>
          <w:szCs w:val="18"/>
          <w:lang w:val="es-ES_tradnl"/>
        </w:rPr>
        <w:t>í</w:t>
      </w:r>
      <w:r>
        <w:rPr>
          <w:spacing w:val="-6"/>
          <w:sz w:val="18"/>
          <w:szCs w:val="18"/>
          <w:lang w:val="es-ES_tradnl"/>
        </w:rPr>
        <w:t xml:space="preserve"> como sus medidas de reparaci</w:t>
      </w:r>
      <w:r>
        <w:rPr>
          <w:rFonts w:cs="Times New Roman"/>
          <w:spacing w:val="-6"/>
          <w:sz w:val="18"/>
          <w:szCs w:val="18"/>
          <w:lang w:val="es-ES_tradnl"/>
        </w:rPr>
        <w:t>ó</w:t>
      </w:r>
      <w:r>
        <w:rPr>
          <w:spacing w:val="-6"/>
          <w:sz w:val="18"/>
          <w:szCs w:val="18"/>
          <w:lang w:val="es-ES_tradnl"/>
        </w:rPr>
        <w:t xml:space="preserve">n integral, </w:t>
      </w:r>
      <w:r>
        <w:rPr>
          <w:spacing w:val="-3"/>
          <w:sz w:val="18"/>
          <w:szCs w:val="18"/>
          <w:lang w:val="es-ES_tradnl"/>
        </w:rPr>
        <w:t>con exclusi</w:t>
      </w:r>
      <w:r>
        <w:rPr>
          <w:rFonts w:cs="Times New Roman"/>
          <w:spacing w:val="-3"/>
          <w:sz w:val="18"/>
          <w:szCs w:val="18"/>
          <w:lang w:val="es-ES_tradnl"/>
        </w:rPr>
        <w:t>ó</w:t>
      </w:r>
      <w:r>
        <w:rPr>
          <w:spacing w:val="-3"/>
          <w:sz w:val="18"/>
          <w:szCs w:val="18"/>
          <w:lang w:val="es-ES_tradnl"/>
        </w:rPr>
        <w:t>n de la disposici</w:t>
      </w:r>
      <w:r>
        <w:rPr>
          <w:rFonts w:cs="Times New Roman"/>
          <w:spacing w:val="-3"/>
          <w:sz w:val="18"/>
          <w:szCs w:val="18"/>
          <w:lang w:val="es-ES_tradnl"/>
        </w:rPr>
        <w:t>ó</w:t>
      </w:r>
      <w:r>
        <w:rPr>
          <w:spacing w:val="-3"/>
          <w:sz w:val="18"/>
          <w:szCs w:val="18"/>
          <w:lang w:val="es-ES_tradnl"/>
        </w:rPr>
        <w:t xml:space="preserve">n mediante la </w:t>
      </w:r>
      <w:r>
        <w:rPr>
          <w:spacing w:val="-9"/>
          <w:sz w:val="18"/>
          <w:szCs w:val="18"/>
          <w:lang w:val="es-ES_tradnl"/>
        </w:rPr>
        <w:t>cual se conden</w:t>
      </w:r>
      <w:r>
        <w:rPr>
          <w:rFonts w:cs="Times New Roman"/>
          <w:spacing w:val="-9"/>
          <w:sz w:val="18"/>
          <w:szCs w:val="18"/>
          <w:lang w:val="es-ES_tradnl"/>
        </w:rPr>
        <w:t>ó</w:t>
      </w:r>
      <w:r>
        <w:rPr>
          <w:spacing w:val="-9"/>
          <w:sz w:val="18"/>
          <w:szCs w:val="18"/>
          <w:lang w:val="es-ES_tradnl"/>
        </w:rPr>
        <w:t xml:space="preserve"> al Estado en costas y se fij</w:t>
      </w:r>
      <w:r>
        <w:rPr>
          <w:rFonts w:cs="Times New Roman"/>
          <w:spacing w:val="-9"/>
          <w:sz w:val="18"/>
          <w:szCs w:val="18"/>
          <w:lang w:val="es-ES_tradnl"/>
        </w:rPr>
        <w:t>ó</w:t>
      </w:r>
      <w:r>
        <w:rPr>
          <w:spacing w:val="-9"/>
          <w:sz w:val="18"/>
          <w:szCs w:val="18"/>
          <w:lang w:val="es-ES_tradnl"/>
        </w:rPr>
        <w:t xml:space="preserve"> el </w:t>
      </w:r>
      <w:r>
        <w:rPr>
          <w:spacing w:val="-5"/>
          <w:sz w:val="18"/>
          <w:szCs w:val="18"/>
          <w:lang w:val="es-ES_tradnl"/>
        </w:rPr>
        <w:t>pago por honorarios profesionales en el valor de dos mil d</w:t>
      </w:r>
      <w:r>
        <w:rPr>
          <w:rFonts w:cs="Times New Roman"/>
          <w:spacing w:val="-5"/>
          <w:sz w:val="18"/>
          <w:szCs w:val="18"/>
          <w:lang w:val="es-ES_tradnl"/>
        </w:rPr>
        <w:t>ó</w:t>
      </w:r>
      <w:r>
        <w:rPr>
          <w:spacing w:val="-5"/>
          <w:sz w:val="18"/>
          <w:szCs w:val="18"/>
          <w:lang w:val="es-ES_tradnl"/>
        </w:rPr>
        <w:t xml:space="preserve">lares de los Estados Unidos de </w:t>
      </w:r>
      <w:r>
        <w:rPr>
          <w:sz w:val="18"/>
          <w:szCs w:val="18"/>
          <w:lang w:val="es-ES_tradnl"/>
        </w:rPr>
        <w:t>Am</w:t>
      </w:r>
      <w:r>
        <w:rPr>
          <w:rFonts w:cs="Times New Roman"/>
          <w:sz w:val="18"/>
          <w:szCs w:val="18"/>
          <w:lang w:val="es-ES_tradnl"/>
        </w:rPr>
        <w:t>é</w:t>
      </w:r>
      <w:r>
        <w:rPr>
          <w:sz w:val="18"/>
          <w:szCs w:val="18"/>
          <w:lang w:val="es-ES_tradnl"/>
        </w:rPr>
        <w:t>rica.</w:t>
      </w:r>
    </w:p>
    <w:p w14:paraId="4F67ADB5" w14:textId="77777777" w:rsidR="00591D54" w:rsidRDefault="00591D54" w:rsidP="00251195">
      <w:pPr>
        <w:numPr>
          <w:ilvl w:val="0"/>
          <w:numId w:val="65"/>
        </w:numPr>
        <w:shd w:val="clear" w:color="auto" w:fill="FFFFFF"/>
        <w:tabs>
          <w:tab w:val="left" w:pos="850"/>
        </w:tabs>
        <w:spacing w:before="197" w:line="216" w:lineRule="exact"/>
        <w:ind w:left="850" w:hanging="283"/>
        <w:jc w:val="both"/>
        <w:rPr>
          <w:spacing w:val="-6"/>
          <w:sz w:val="18"/>
          <w:szCs w:val="18"/>
          <w:lang w:val="es-ES_tradnl"/>
        </w:rPr>
      </w:pPr>
      <w:r>
        <w:rPr>
          <w:spacing w:val="-3"/>
          <w:sz w:val="18"/>
          <w:szCs w:val="18"/>
          <w:lang w:val="es-ES_tradnl"/>
        </w:rPr>
        <w:t xml:space="preserve">Adicionalmente, esta Corte Constitucional </w:t>
      </w:r>
      <w:r>
        <w:rPr>
          <w:spacing w:val="-5"/>
          <w:sz w:val="18"/>
          <w:szCs w:val="18"/>
          <w:lang w:val="es-ES_tradnl"/>
        </w:rPr>
        <w:t>ordena como medida de reparaci</w:t>
      </w:r>
      <w:r>
        <w:rPr>
          <w:rFonts w:cs="Times New Roman"/>
          <w:spacing w:val="-5"/>
          <w:sz w:val="18"/>
          <w:szCs w:val="18"/>
          <w:lang w:val="es-ES_tradnl"/>
        </w:rPr>
        <w:t>ó</w:t>
      </w:r>
      <w:r>
        <w:rPr>
          <w:spacing w:val="-5"/>
          <w:sz w:val="18"/>
          <w:szCs w:val="18"/>
          <w:lang w:val="es-ES_tradnl"/>
        </w:rPr>
        <w:t xml:space="preserve">n integral </w:t>
      </w:r>
      <w:r>
        <w:rPr>
          <w:spacing w:val="-7"/>
          <w:sz w:val="18"/>
          <w:szCs w:val="18"/>
          <w:lang w:val="es-ES_tradnl"/>
        </w:rPr>
        <w:t>adicional, que la Armada del Ecuador, a trav</w:t>
      </w:r>
      <w:r>
        <w:rPr>
          <w:rFonts w:cs="Times New Roman"/>
          <w:spacing w:val="-7"/>
          <w:sz w:val="18"/>
          <w:szCs w:val="18"/>
          <w:lang w:val="es-ES_tradnl"/>
        </w:rPr>
        <w:t>é</w:t>
      </w:r>
      <w:r>
        <w:rPr>
          <w:spacing w:val="-7"/>
          <w:sz w:val="18"/>
          <w:szCs w:val="18"/>
          <w:lang w:val="es-ES_tradnl"/>
        </w:rPr>
        <w:t xml:space="preserve">s </w:t>
      </w:r>
      <w:r>
        <w:rPr>
          <w:spacing w:val="-6"/>
          <w:sz w:val="18"/>
          <w:szCs w:val="18"/>
          <w:lang w:val="es-ES_tradnl"/>
        </w:rPr>
        <w:t xml:space="preserve">de su comandante general, ofrezca disculpas </w:t>
      </w:r>
      <w:r>
        <w:rPr>
          <w:spacing w:val="-5"/>
          <w:sz w:val="18"/>
          <w:szCs w:val="18"/>
          <w:lang w:val="es-ES_tradnl"/>
        </w:rPr>
        <w:t>p</w:t>
      </w:r>
      <w:r>
        <w:rPr>
          <w:rFonts w:cs="Times New Roman"/>
          <w:spacing w:val="-5"/>
          <w:sz w:val="18"/>
          <w:szCs w:val="18"/>
          <w:lang w:val="es-ES_tradnl"/>
        </w:rPr>
        <w:t>ú</w:t>
      </w:r>
      <w:r>
        <w:rPr>
          <w:spacing w:val="-5"/>
          <w:sz w:val="18"/>
          <w:szCs w:val="18"/>
          <w:lang w:val="es-ES_tradnl"/>
        </w:rPr>
        <w:t>blicas al se</w:t>
      </w:r>
      <w:r>
        <w:rPr>
          <w:rFonts w:cs="Times New Roman"/>
          <w:spacing w:val="-5"/>
          <w:sz w:val="18"/>
          <w:szCs w:val="18"/>
          <w:lang w:val="es-ES_tradnl"/>
        </w:rPr>
        <w:t>ñ</w:t>
      </w:r>
      <w:r>
        <w:rPr>
          <w:spacing w:val="-5"/>
          <w:sz w:val="18"/>
          <w:szCs w:val="18"/>
          <w:lang w:val="es-ES_tradnl"/>
        </w:rPr>
        <w:t>or Jos</w:t>
      </w:r>
      <w:r>
        <w:rPr>
          <w:rFonts w:cs="Times New Roman"/>
          <w:spacing w:val="-5"/>
          <w:sz w:val="18"/>
          <w:szCs w:val="18"/>
          <w:lang w:val="es-ES_tradnl"/>
        </w:rPr>
        <w:t>é</w:t>
      </w:r>
      <w:r>
        <w:rPr>
          <w:spacing w:val="-5"/>
          <w:sz w:val="18"/>
          <w:szCs w:val="18"/>
          <w:lang w:val="es-ES_tradnl"/>
        </w:rPr>
        <w:t xml:space="preserve"> Luis Burgos Sol</w:t>
      </w:r>
      <w:r>
        <w:rPr>
          <w:rFonts w:cs="Times New Roman"/>
          <w:spacing w:val="-5"/>
          <w:sz w:val="18"/>
          <w:szCs w:val="18"/>
          <w:lang w:val="es-ES_tradnl"/>
        </w:rPr>
        <w:t>í</w:t>
      </w:r>
      <w:r>
        <w:rPr>
          <w:spacing w:val="-5"/>
          <w:sz w:val="18"/>
          <w:szCs w:val="18"/>
          <w:lang w:val="es-ES_tradnl"/>
        </w:rPr>
        <w:t xml:space="preserve">s, a </w:t>
      </w:r>
      <w:r>
        <w:rPr>
          <w:spacing w:val="-7"/>
          <w:sz w:val="18"/>
          <w:szCs w:val="18"/>
          <w:lang w:val="es-ES_tradnl"/>
        </w:rPr>
        <w:t>trav</w:t>
      </w:r>
      <w:r>
        <w:rPr>
          <w:rFonts w:cs="Times New Roman"/>
          <w:spacing w:val="-7"/>
          <w:sz w:val="18"/>
          <w:szCs w:val="18"/>
          <w:lang w:val="es-ES_tradnl"/>
        </w:rPr>
        <w:t>é</w:t>
      </w:r>
      <w:r>
        <w:rPr>
          <w:spacing w:val="-7"/>
          <w:sz w:val="18"/>
          <w:szCs w:val="18"/>
          <w:lang w:val="es-ES_tradnl"/>
        </w:rPr>
        <w:t>s de una publicaci</w:t>
      </w:r>
      <w:r>
        <w:rPr>
          <w:rFonts w:cs="Times New Roman"/>
          <w:spacing w:val="-7"/>
          <w:sz w:val="18"/>
          <w:szCs w:val="18"/>
          <w:lang w:val="es-ES_tradnl"/>
        </w:rPr>
        <w:t>ó</w:t>
      </w:r>
      <w:r>
        <w:rPr>
          <w:spacing w:val="-7"/>
          <w:sz w:val="18"/>
          <w:szCs w:val="18"/>
          <w:lang w:val="es-ES_tradnl"/>
        </w:rPr>
        <w:t xml:space="preserve">n donde reconozca su </w:t>
      </w:r>
      <w:r>
        <w:rPr>
          <w:spacing w:val="-3"/>
          <w:sz w:val="18"/>
          <w:szCs w:val="18"/>
          <w:lang w:val="es-ES_tradnl"/>
        </w:rPr>
        <w:t>responsabilidad por la vulneraci</w:t>
      </w:r>
      <w:r>
        <w:rPr>
          <w:rFonts w:cs="Times New Roman"/>
          <w:spacing w:val="-3"/>
          <w:sz w:val="18"/>
          <w:szCs w:val="18"/>
          <w:lang w:val="es-ES_tradnl"/>
        </w:rPr>
        <w:t>ó</w:t>
      </w:r>
      <w:r>
        <w:rPr>
          <w:spacing w:val="-3"/>
          <w:sz w:val="18"/>
          <w:szCs w:val="18"/>
          <w:lang w:val="es-ES_tradnl"/>
        </w:rPr>
        <w:t xml:space="preserve">n del (los) </w:t>
      </w:r>
      <w:r>
        <w:rPr>
          <w:spacing w:val="-6"/>
          <w:sz w:val="18"/>
          <w:szCs w:val="18"/>
          <w:lang w:val="es-ES_tradnl"/>
        </w:rPr>
        <w:t>derecho(s). Tal publicaci</w:t>
      </w:r>
      <w:r>
        <w:rPr>
          <w:rFonts w:cs="Times New Roman"/>
          <w:spacing w:val="-6"/>
          <w:sz w:val="18"/>
          <w:szCs w:val="18"/>
          <w:lang w:val="es-ES_tradnl"/>
        </w:rPr>
        <w:t>ó</w:t>
      </w:r>
      <w:r>
        <w:rPr>
          <w:spacing w:val="-6"/>
          <w:sz w:val="18"/>
          <w:szCs w:val="18"/>
          <w:lang w:val="es-ES_tradnl"/>
        </w:rPr>
        <w:t>n deber</w:t>
      </w:r>
      <w:r>
        <w:rPr>
          <w:rFonts w:cs="Times New Roman"/>
          <w:spacing w:val="-6"/>
          <w:sz w:val="18"/>
          <w:szCs w:val="18"/>
          <w:lang w:val="es-ES_tradnl"/>
        </w:rPr>
        <w:t>á</w:t>
      </w:r>
      <w:r>
        <w:rPr>
          <w:spacing w:val="-6"/>
          <w:sz w:val="18"/>
          <w:szCs w:val="18"/>
          <w:lang w:val="es-ES_tradnl"/>
        </w:rPr>
        <w:t xml:space="preserve"> efectuarse </w:t>
      </w:r>
      <w:r>
        <w:rPr>
          <w:spacing w:val="-2"/>
          <w:sz w:val="18"/>
          <w:szCs w:val="18"/>
          <w:lang w:val="es-ES_tradnl"/>
        </w:rPr>
        <w:t>en un diario de amplia circulaci</w:t>
      </w:r>
      <w:r>
        <w:rPr>
          <w:rFonts w:cs="Times New Roman"/>
          <w:spacing w:val="-2"/>
          <w:sz w:val="18"/>
          <w:szCs w:val="18"/>
          <w:lang w:val="es-ES_tradnl"/>
        </w:rPr>
        <w:t>ó</w:t>
      </w:r>
      <w:r>
        <w:rPr>
          <w:spacing w:val="-2"/>
          <w:sz w:val="18"/>
          <w:szCs w:val="18"/>
          <w:lang w:val="es-ES_tradnl"/>
        </w:rPr>
        <w:t xml:space="preserve">n nacional, </w:t>
      </w:r>
      <w:r>
        <w:rPr>
          <w:spacing w:val="-5"/>
          <w:sz w:val="18"/>
          <w:szCs w:val="18"/>
          <w:lang w:val="es-ES_tradnl"/>
        </w:rPr>
        <w:t>por una sola vez, en el t</w:t>
      </w:r>
      <w:r>
        <w:rPr>
          <w:rFonts w:cs="Times New Roman"/>
          <w:spacing w:val="-5"/>
          <w:sz w:val="18"/>
          <w:szCs w:val="18"/>
          <w:lang w:val="es-ES_tradnl"/>
        </w:rPr>
        <w:t>é</w:t>
      </w:r>
      <w:r>
        <w:rPr>
          <w:spacing w:val="-5"/>
          <w:sz w:val="18"/>
          <w:szCs w:val="18"/>
          <w:lang w:val="es-ES_tradnl"/>
        </w:rPr>
        <w:t>rmino de 10 d</w:t>
      </w:r>
      <w:r>
        <w:rPr>
          <w:rFonts w:cs="Times New Roman"/>
          <w:spacing w:val="-5"/>
          <w:sz w:val="18"/>
          <w:szCs w:val="18"/>
          <w:lang w:val="es-ES_tradnl"/>
        </w:rPr>
        <w:t>í</w:t>
      </w:r>
      <w:r>
        <w:rPr>
          <w:spacing w:val="-5"/>
          <w:sz w:val="18"/>
          <w:szCs w:val="18"/>
          <w:lang w:val="es-ES_tradnl"/>
        </w:rPr>
        <w:t xml:space="preserve">as de </w:t>
      </w:r>
      <w:r>
        <w:rPr>
          <w:spacing w:val="-4"/>
          <w:sz w:val="18"/>
          <w:szCs w:val="18"/>
          <w:lang w:val="es-ES_tradnl"/>
        </w:rPr>
        <w:t>la expedici</w:t>
      </w:r>
      <w:r>
        <w:rPr>
          <w:rFonts w:cs="Times New Roman"/>
          <w:spacing w:val="-4"/>
          <w:sz w:val="18"/>
          <w:szCs w:val="18"/>
          <w:lang w:val="es-ES_tradnl"/>
        </w:rPr>
        <w:t>ó</w:t>
      </w:r>
      <w:r>
        <w:rPr>
          <w:spacing w:val="-4"/>
          <w:sz w:val="18"/>
          <w:szCs w:val="18"/>
          <w:lang w:val="es-ES_tradnl"/>
        </w:rPr>
        <w:t xml:space="preserve">n de la presente sentencia. Una </w:t>
      </w:r>
      <w:r>
        <w:rPr>
          <w:spacing w:val="-5"/>
          <w:sz w:val="18"/>
          <w:szCs w:val="18"/>
          <w:lang w:val="es-ES_tradnl"/>
        </w:rPr>
        <w:t>vez cumplida esta disposici</w:t>
      </w:r>
      <w:r>
        <w:rPr>
          <w:rFonts w:cs="Times New Roman"/>
          <w:spacing w:val="-5"/>
          <w:sz w:val="18"/>
          <w:szCs w:val="18"/>
          <w:lang w:val="es-ES_tradnl"/>
        </w:rPr>
        <w:t>ó</w:t>
      </w:r>
      <w:r>
        <w:rPr>
          <w:spacing w:val="-5"/>
          <w:sz w:val="18"/>
          <w:szCs w:val="18"/>
          <w:lang w:val="es-ES_tradnl"/>
        </w:rPr>
        <w:t xml:space="preserve">n, la Armada del </w:t>
      </w:r>
      <w:r>
        <w:rPr>
          <w:spacing w:val="-8"/>
          <w:sz w:val="18"/>
          <w:szCs w:val="18"/>
          <w:lang w:val="es-ES_tradnl"/>
        </w:rPr>
        <w:t>Ecuador proceda a notificar a este Organismo.</w:t>
      </w:r>
    </w:p>
    <w:p w14:paraId="4F67ADB6" w14:textId="77777777" w:rsidR="00591D54" w:rsidRDefault="00591D54">
      <w:pPr>
        <w:shd w:val="clear" w:color="auto" w:fill="FFFFFF"/>
        <w:tabs>
          <w:tab w:val="left" w:pos="566"/>
        </w:tabs>
        <w:spacing w:before="34" w:line="427" w:lineRule="exact"/>
        <w:ind w:right="979" w:firstLine="283"/>
      </w:pPr>
      <w:r>
        <w:rPr>
          <w:spacing w:val="-9"/>
          <w:sz w:val="18"/>
          <w:szCs w:val="18"/>
          <w:lang w:val="es-ES_tradnl"/>
        </w:rPr>
        <w:t>4.</w:t>
      </w:r>
      <w:r>
        <w:rPr>
          <w:sz w:val="18"/>
          <w:szCs w:val="18"/>
          <w:lang w:val="es-ES_tradnl"/>
        </w:rPr>
        <w:tab/>
      </w:r>
      <w:r>
        <w:rPr>
          <w:spacing w:val="-7"/>
          <w:sz w:val="18"/>
          <w:szCs w:val="18"/>
          <w:lang w:val="es-ES_tradnl"/>
        </w:rPr>
        <w:t>Notif</w:t>
      </w:r>
      <w:r>
        <w:rPr>
          <w:rFonts w:cs="Times New Roman"/>
          <w:spacing w:val="-7"/>
          <w:sz w:val="18"/>
          <w:szCs w:val="18"/>
          <w:lang w:val="es-ES_tradnl"/>
        </w:rPr>
        <w:t>í</w:t>
      </w:r>
      <w:r>
        <w:rPr>
          <w:spacing w:val="-7"/>
          <w:sz w:val="18"/>
          <w:szCs w:val="18"/>
          <w:lang w:val="es-ES_tradnl"/>
        </w:rPr>
        <w:t>quese, publ</w:t>
      </w:r>
      <w:r>
        <w:rPr>
          <w:rFonts w:cs="Times New Roman"/>
          <w:spacing w:val="-7"/>
          <w:sz w:val="18"/>
          <w:szCs w:val="18"/>
          <w:lang w:val="es-ES_tradnl"/>
        </w:rPr>
        <w:t>í</w:t>
      </w:r>
      <w:r>
        <w:rPr>
          <w:spacing w:val="-7"/>
          <w:sz w:val="18"/>
          <w:szCs w:val="18"/>
          <w:lang w:val="es-ES_tradnl"/>
        </w:rPr>
        <w:t>quese y c</w:t>
      </w:r>
      <w:r>
        <w:rPr>
          <w:rFonts w:cs="Times New Roman"/>
          <w:spacing w:val="-7"/>
          <w:sz w:val="18"/>
          <w:szCs w:val="18"/>
          <w:lang w:val="es-ES_tradnl"/>
        </w:rPr>
        <w:t>ú</w:t>
      </w:r>
      <w:r>
        <w:rPr>
          <w:spacing w:val="-7"/>
          <w:sz w:val="18"/>
          <w:szCs w:val="18"/>
          <w:lang w:val="es-ES_tradnl"/>
        </w:rPr>
        <w:t>mplase. </w:t>
      </w:r>
      <w:r>
        <w:rPr>
          <w:spacing w:val="-3"/>
          <w:sz w:val="18"/>
          <w:szCs w:val="18"/>
          <w:lang w:val="es-ES_tradnl"/>
        </w:rPr>
        <w:t>f.) Patricio Pazmi</w:t>
      </w:r>
      <w:r>
        <w:rPr>
          <w:rFonts w:cs="Times New Roman"/>
          <w:spacing w:val="-3"/>
          <w:sz w:val="18"/>
          <w:szCs w:val="18"/>
          <w:lang w:val="es-ES_tradnl"/>
        </w:rPr>
        <w:t>ñ</w:t>
      </w:r>
      <w:r>
        <w:rPr>
          <w:spacing w:val="-3"/>
          <w:sz w:val="18"/>
          <w:szCs w:val="18"/>
          <w:lang w:val="es-ES_tradnl"/>
        </w:rPr>
        <w:t xml:space="preserve">o Freire, </w:t>
      </w:r>
      <w:r>
        <w:rPr>
          <w:b/>
          <w:bCs/>
          <w:spacing w:val="-3"/>
          <w:sz w:val="18"/>
          <w:szCs w:val="18"/>
          <w:lang w:val="es-ES_tradnl"/>
        </w:rPr>
        <w:t>PRESIDENTE.</w:t>
      </w:r>
    </w:p>
    <w:p w14:paraId="4F67ADB7" w14:textId="77777777" w:rsidR="00591D54" w:rsidRDefault="00591D54">
      <w:pPr>
        <w:shd w:val="clear" w:color="auto" w:fill="FFFFFF"/>
        <w:spacing w:line="427" w:lineRule="exact"/>
      </w:pPr>
      <w:r>
        <w:rPr>
          <w:spacing w:val="-2"/>
          <w:sz w:val="18"/>
          <w:szCs w:val="18"/>
          <w:lang w:val="es-ES_tradnl"/>
        </w:rPr>
        <w:t xml:space="preserve">f.) Jaime Pozo Chamorro, </w:t>
      </w:r>
      <w:r>
        <w:rPr>
          <w:b/>
          <w:bCs/>
          <w:spacing w:val="-2"/>
          <w:sz w:val="18"/>
          <w:szCs w:val="18"/>
          <w:lang w:val="es-ES_tradnl"/>
        </w:rPr>
        <w:t>SECRETARIO GENERAL.</w:t>
      </w:r>
    </w:p>
    <w:p w14:paraId="4F67ADB8" w14:textId="77777777" w:rsidR="00591D54" w:rsidRDefault="00591D54">
      <w:pPr>
        <w:shd w:val="clear" w:color="auto" w:fill="FFFFFF"/>
        <w:spacing w:before="163" w:line="216" w:lineRule="exact"/>
        <w:jc w:val="both"/>
      </w:pPr>
      <w:r>
        <w:rPr>
          <w:b/>
          <w:bCs/>
          <w:spacing w:val="-4"/>
          <w:sz w:val="18"/>
          <w:szCs w:val="18"/>
          <w:lang w:val="es-ES_tradnl"/>
        </w:rPr>
        <w:t>RAZ</w:t>
      </w:r>
      <w:r>
        <w:rPr>
          <w:rFonts w:cs="Times New Roman"/>
          <w:b/>
          <w:bCs/>
          <w:spacing w:val="-4"/>
          <w:sz w:val="18"/>
          <w:szCs w:val="18"/>
          <w:lang w:val="es-ES_tradnl"/>
        </w:rPr>
        <w:t>Ó</w:t>
      </w:r>
      <w:r>
        <w:rPr>
          <w:b/>
          <w:bCs/>
          <w:spacing w:val="-4"/>
          <w:sz w:val="18"/>
          <w:szCs w:val="18"/>
          <w:lang w:val="es-ES_tradnl"/>
        </w:rPr>
        <w:t xml:space="preserve">N.- </w:t>
      </w:r>
      <w:r>
        <w:rPr>
          <w:spacing w:val="-4"/>
          <w:sz w:val="18"/>
          <w:szCs w:val="18"/>
          <w:lang w:val="es-ES_tradnl"/>
        </w:rPr>
        <w:t xml:space="preserve">Siento por tal, que la sentencia que antecede </w:t>
      </w:r>
      <w:r>
        <w:rPr>
          <w:spacing w:val="-1"/>
          <w:sz w:val="18"/>
          <w:szCs w:val="18"/>
          <w:lang w:val="es-ES_tradnl"/>
        </w:rPr>
        <w:t xml:space="preserve">fue aprobada por el Pleno de la Corte Constitucional, </w:t>
      </w:r>
      <w:r>
        <w:rPr>
          <w:spacing w:val="-8"/>
          <w:sz w:val="18"/>
          <w:szCs w:val="18"/>
          <w:lang w:val="es-ES_tradnl"/>
        </w:rPr>
        <w:t>con siete votos de las se</w:t>
      </w:r>
      <w:r>
        <w:rPr>
          <w:rFonts w:cs="Times New Roman"/>
          <w:spacing w:val="-8"/>
          <w:sz w:val="18"/>
          <w:szCs w:val="18"/>
          <w:lang w:val="es-ES_tradnl"/>
        </w:rPr>
        <w:t>ñ</w:t>
      </w:r>
      <w:r>
        <w:rPr>
          <w:spacing w:val="-8"/>
          <w:sz w:val="18"/>
          <w:szCs w:val="18"/>
          <w:lang w:val="es-ES_tradnl"/>
        </w:rPr>
        <w:t>oras juezas y se</w:t>
      </w:r>
      <w:r>
        <w:rPr>
          <w:rFonts w:cs="Times New Roman"/>
          <w:spacing w:val="-8"/>
          <w:sz w:val="18"/>
          <w:szCs w:val="18"/>
          <w:lang w:val="es-ES_tradnl"/>
        </w:rPr>
        <w:t>ñ</w:t>
      </w:r>
      <w:r>
        <w:rPr>
          <w:spacing w:val="-8"/>
          <w:sz w:val="18"/>
          <w:szCs w:val="18"/>
          <w:lang w:val="es-ES_tradnl"/>
        </w:rPr>
        <w:t xml:space="preserve">ores jueces: </w:t>
      </w:r>
      <w:r>
        <w:rPr>
          <w:spacing w:val="-1"/>
          <w:sz w:val="18"/>
          <w:szCs w:val="18"/>
          <w:lang w:val="es-ES_tradnl"/>
        </w:rPr>
        <w:t>Marcelo Jaramillo Villa, Mar</w:t>
      </w:r>
      <w:r>
        <w:rPr>
          <w:rFonts w:cs="Times New Roman"/>
          <w:spacing w:val="-1"/>
          <w:sz w:val="18"/>
          <w:szCs w:val="18"/>
          <w:lang w:val="es-ES_tradnl"/>
        </w:rPr>
        <w:t>í</w:t>
      </w:r>
      <w:r>
        <w:rPr>
          <w:spacing w:val="-1"/>
          <w:sz w:val="18"/>
          <w:szCs w:val="18"/>
          <w:lang w:val="es-ES_tradnl"/>
        </w:rPr>
        <w:t>a del Carmen Maldonado</w:t>
      </w:r>
    </w:p>
    <w:p w14:paraId="4F67ADB9" w14:textId="77777777" w:rsidR="00591D54" w:rsidRDefault="00591D54">
      <w:pPr>
        <w:shd w:val="clear" w:color="auto" w:fill="FFFFFF"/>
        <w:spacing w:before="163" w:line="216" w:lineRule="exact"/>
        <w:jc w:val="both"/>
        <w:sectPr w:rsidR="00591D54">
          <w:type w:val="continuous"/>
          <w:pgSz w:w="11909" w:h="16834"/>
          <w:pgMar w:top="1356" w:right="1309" w:bottom="360" w:left="1308" w:header="720" w:footer="720" w:gutter="0"/>
          <w:cols w:num="2" w:space="720" w:equalWidth="0">
            <w:col w:w="4305" w:space="682"/>
            <w:col w:w="4305"/>
          </w:cols>
          <w:noEndnote/>
        </w:sectPr>
      </w:pPr>
    </w:p>
    <w:p w14:paraId="4F67ADBA" w14:textId="77777777" w:rsidR="00591D54" w:rsidRDefault="00591D54">
      <w:pPr>
        <w:shd w:val="clear" w:color="auto" w:fill="FFFFFF"/>
        <w:tabs>
          <w:tab w:val="left" w:pos="4814"/>
        </w:tabs>
        <w:spacing w:after="235"/>
        <w:ind w:left="14"/>
      </w:pPr>
      <w:r>
        <w:rPr>
          <w:b/>
          <w:bCs/>
          <w:sz w:val="18"/>
          <w:szCs w:val="18"/>
          <w:lang w:val="es-ES_tradnl"/>
        </w:rPr>
        <w:t xml:space="preserve">126 -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DBB" w14:textId="77777777" w:rsidR="00591D54" w:rsidRDefault="00591D54">
      <w:pPr>
        <w:shd w:val="clear" w:color="auto" w:fill="FFFFFF"/>
        <w:tabs>
          <w:tab w:val="left" w:pos="4814"/>
        </w:tabs>
        <w:spacing w:after="235"/>
        <w:ind w:left="14"/>
        <w:sectPr w:rsidR="00591D54">
          <w:pgSz w:w="11909" w:h="16834"/>
          <w:pgMar w:top="1366" w:right="1309" w:bottom="360" w:left="1308" w:header="720" w:footer="720" w:gutter="0"/>
          <w:cols w:space="60"/>
          <w:noEndnote/>
        </w:sectPr>
      </w:pPr>
    </w:p>
    <w:p w14:paraId="4F67ADBC" w14:textId="77777777" w:rsidR="00591D54" w:rsidRDefault="00591D54">
      <w:pPr>
        <w:shd w:val="clear" w:color="auto" w:fill="FFFFFF"/>
        <w:spacing w:line="216" w:lineRule="exact"/>
        <w:jc w:val="both"/>
      </w:pPr>
      <w:r>
        <w:rPr>
          <w:spacing w:val="-7"/>
          <w:sz w:val="18"/>
          <w:szCs w:val="18"/>
          <w:lang w:val="es-ES_tradnl"/>
        </w:rPr>
        <w:t>S</w:t>
      </w:r>
      <w:r>
        <w:rPr>
          <w:rFonts w:cs="Times New Roman"/>
          <w:spacing w:val="-7"/>
          <w:sz w:val="18"/>
          <w:szCs w:val="18"/>
          <w:lang w:val="es-ES_tradnl"/>
        </w:rPr>
        <w:t>á</w:t>
      </w:r>
      <w:r>
        <w:rPr>
          <w:spacing w:val="-7"/>
          <w:sz w:val="18"/>
          <w:szCs w:val="18"/>
          <w:lang w:val="es-ES_tradnl"/>
        </w:rPr>
        <w:t>nchez, Tatiana Orde</w:t>
      </w:r>
      <w:r>
        <w:rPr>
          <w:rFonts w:cs="Times New Roman"/>
          <w:spacing w:val="-7"/>
          <w:sz w:val="18"/>
          <w:szCs w:val="18"/>
          <w:lang w:val="es-ES_tradnl"/>
        </w:rPr>
        <w:t>ñ</w:t>
      </w:r>
      <w:r>
        <w:rPr>
          <w:spacing w:val="-7"/>
          <w:sz w:val="18"/>
          <w:szCs w:val="18"/>
          <w:lang w:val="es-ES_tradnl"/>
        </w:rPr>
        <w:t>ana Sierra, Alfredo Ruiz Guzm</w:t>
      </w:r>
      <w:r>
        <w:rPr>
          <w:rFonts w:cs="Times New Roman"/>
          <w:spacing w:val="-7"/>
          <w:sz w:val="18"/>
          <w:szCs w:val="18"/>
          <w:lang w:val="es-ES_tradnl"/>
        </w:rPr>
        <w:t>á</w:t>
      </w:r>
      <w:r>
        <w:rPr>
          <w:spacing w:val="-7"/>
          <w:sz w:val="18"/>
          <w:szCs w:val="18"/>
          <w:lang w:val="es-ES_tradnl"/>
        </w:rPr>
        <w:t xml:space="preserve">n, </w:t>
      </w:r>
      <w:r>
        <w:rPr>
          <w:spacing w:val="-2"/>
          <w:sz w:val="18"/>
          <w:szCs w:val="18"/>
          <w:lang w:val="es-ES_tradnl"/>
        </w:rPr>
        <w:t xml:space="preserve">Ruth Seni Pinoargote, Manuel Viteri Olvera y Patricio </w:t>
      </w:r>
      <w:r>
        <w:rPr>
          <w:spacing w:val="-6"/>
          <w:sz w:val="18"/>
          <w:szCs w:val="18"/>
          <w:lang w:val="es-ES_tradnl"/>
        </w:rPr>
        <w:t>Pazmi</w:t>
      </w:r>
      <w:r>
        <w:rPr>
          <w:rFonts w:cs="Times New Roman"/>
          <w:spacing w:val="-6"/>
          <w:sz w:val="18"/>
          <w:szCs w:val="18"/>
          <w:lang w:val="es-ES_tradnl"/>
        </w:rPr>
        <w:t>ñ</w:t>
      </w:r>
      <w:r>
        <w:rPr>
          <w:spacing w:val="-6"/>
          <w:sz w:val="18"/>
          <w:szCs w:val="18"/>
          <w:lang w:val="es-ES_tradnl"/>
        </w:rPr>
        <w:t xml:space="preserve">o Freire, sin contar con la presencia de los jueces </w:t>
      </w:r>
      <w:r>
        <w:rPr>
          <w:spacing w:val="-5"/>
          <w:sz w:val="18"/>
          <w:szCs w:val="18"/>
          <w:lang w:val="es-ES_tradnl"/>
        </w:rPr>
        <w:t xml:space="preserve">constitucionales Antonio Gagliardo Loor y Wendy Molina </w:t>
      </w:r>
      <w:r>
        <w:rPr>
          <w:spacing w:val="-7"/>
          <w:sz w:val="18"/>
          <w:szCs w:val="18"/>
          <w:lang w:val="es-ES_tradnl"/>
        </w:rPr>
        <w:t>Andrade, en sesi</w:t>
      </w:r>
      <w:r>
        <w:rPr>
          <w:rFonts w:cs="Times New Roman"/>
          <w:spacing w:val="-7"/>
          <w:sz w:val="18"/>
          <w:szCs w:val="18"/>
          <w:lang w:val="es-ES_tradnl"/>
        </w:rPr>
        <w:t>ó</w:t>
      </w:r>
      <w:r>
        <w:rPr>
          <w:spacing w:val="-7"/>
          <w:sz w:val="18"/>
          <w:szCs w:val="18"/>
          <w:lang w:val="es-ES_tradnl"/>
        </w:rPr>
        <w:t>n del 01 de julio de 2015. Lo certifico.</w:t>
      </w:r>
    </w:p>
    <w:p w14:paraId="4F67ADBD" w14:textId="77777777" w:rsidR="00591D54" w:rsidRDefault="00591D54">
      <w:pPr>
        <w:shd w:val="clear" w:color="auto" w:fill="FFFFFF"/>
        <w:spacing w:before="192"/>
      </w:pPr>
      <w:r>
        <w:rPr>
          <w:spacing w:val="-4"/>
          <w:sz w:val="18"/>
          <w:szCs w:val="18"/>
          <w:lang w:val="es-ES_tradnl"/>
        </w:rPr>
        <w:t xml:space="preserve">f.) Jaime Pozo Chamorro, </w:t>
      </w:r>
      <w:r>
        <w:rPr>
          <w:b/>
          <w:bCs/>
          <w:spacing w:val="-4"/>
          <w:sz w:val="18"/>
          <w:szCs w:val="18"/>
          <w:lang w:val="es-ES_tradnl"/>
        </w:rPr>
        <w:t>SECRETARIO GENERAL.</w:t>
      </w:r>
    </w:p>
    <w:p w14:paraId="4F67ADBE" w14:textId="77777777" w:rsidR="00591D54" w:rsidRDefault="00591D54">
      <w:pPr>
        <w:shd w:val="clear" w:color="auto" w:fill="FFFFFF"/>
        <w:spacing w:before="192"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ADBF" w14:textId="77777777" w:rsidR="00591D54" w:rsidRDefault="00591D54">
      <w:pPr>
        <w:shd w:val="clear" w:color="auto" w:fill="FFFFFF"/>
        <w:spacing w:before="192"/>
      </w:pPr>
      <w:r>
        <w:rPr>
          <w:b/>
          <w:bCs/>
          <w:spacing w:val="-5"/>
          <w:sz w:val="18"/>
          <w:szCs w:val="18"/>
          <w:u w:val="single"/>
          <w:lang w:val="es-ES_tradnl"/>
        </w:rPr>
        <w:t>CASO Nro. 0267-13-EP</w:t>
      </w:r>
    </w:p>
    <w:p w14:paraId="4F67ADC0" w14:textId="77777777" w:rsidR="00591D54" w:rsidRDefault="00591D54">
      <w:pPr>
        <w:shd w:val="clear" w:color="auto" w:fill="FFFFFF"/>
        <w:spacing w:before="192" w:line="216" w:lineRule="exact"/>
        <w:ind w:right="5"/>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w:t>
      </w:r>
      <w:r>
        <w:rPr>
          <w:spacing w:val="-7"/>
          <w:sz w:val="18"/>
          <w:szCs w:val="18"/>
          <w:lang w:val="es-ES_tradnl"/>
        </w:rPr>
        <w:t>suscrita por el Juez Patricio Pazmi</w:t>
      </w:r>
      <w:r>
        <w:rPr>
          <w:rFonts w:cs="Times New Roman"/>
          <w:spacing w:val="-7"/>
          <w:sz w:val="18"/>
          <w:szCs w:val="18"/>
          <w:lang w:val="es-ES_tradnl"/>
        </w:rPr>
        <w:t>ñ</w:t>
      </w:r>
      <w:r>
        <w:rPr>
          <w:spacing w:val="-7"/>
          <w:sz w:val="18"/>
          <w:szCs w:val="18"/>
          <w:lang w:val="es-ES_tradnl"/>
        </w:rPr>
        <w:t>o Freire, Presidente de la Corte Constitucional, el d</w:t>
      </w:r>
      <w:r>
        <w:rPr>
          <w:rFonts w:cs="Times New Roman"/>
          <w:spacing w:val="-7"/>
          <w:sz w:val="18"/>
          <w:szCs w:val="18"/>
          <w:lang w:val="es-ES_tradnl"/>
        </w:rPr>
        <w:t>í</w:t>
      </w:r>
      <w:r>
        <w:rPr>
          <w:spacing w:val="-7"/>
          <w:sz w:val="18"/>
          <w:szCs w:val="18"/>
          <w:lang w:val="es-ES_tradnl"/>
        </w:rPr>
        <w:t xml:space="preserve">a martes 01 de septiembre del </w:t>
      </w:r>
      <w:r>
        <w:rPr>
          <w:sz w:val="18"/>
          <w:szCs w:val="18"/>
          <w:lang w:val="es-ES_tradnl"/>
        </w:rPr>
        <w:t>dos mil quince.- Lo certifico.</w:t>
      </w:r>
    </w:p>
    <w:p w14:paraId="4F67ADC1" w14:textId="77777777" w:rsidR="00591D54" w:rsidRDefault="00591D54">
      <w:pPr>
        <w:shd w:val="clear" w:color="auto" w:fill="FFFFFF"/>
        <w:spacing w:before="192"/>
      </w:pPr>
      <w:r>
        <w:rPr>
          <w:spacing w:val="-7"/>
          <w:sz w:val="18"/>
          <w:szCs w:val="18"/>
          <w:lang w:val="es-ES_tradnl"/>
        </w:rPr>
        <w:t xml:space="preserve">f.) Jaime Pozo Chamorro, </w:t>
      </w:r>
      <w:r>
        <w:rPr>
          <w:b/>
          <w:bCs/>
          <w:spacing w:val="-7"/>
          <w:sz w:val="18"/>
          <w:szCs w:val="18"/>
          <w:lang w:val="es-ES_tradnl"/>
        </w:rPr>
        <w:t>Secretario General.</w:t>
      </w:r>
    </w:p>
    <w:p w14:paraId="4F67ADC2" w14:textId="77777777" w:rsidR="00591D54" w:rsidRDefault="00591D54">
      <w:pPr>
        <w:shd w:val="clear" w:color="auto" w:fill="FFFFFF"/>
        <w:spacing w:before="187"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ADC3" w14:textId="77777777" w:rsidR="00591D54" w:rsidRDefault="00591D54">
      <w:pPr>
        <w:shd w:val="clear" w:color="auto" w:fill="FFFFFF"/>
        <w:spacing w:before="1114" w:line="442" w:lineRule="exact"/>
      </w:pPr>
      <w:r>
        <w:rPr>
          <w:spacing w:val="-5"/>
          <w:sz w:val="18"/>
          <w:szCs w:val="18"/>
          <w:lang w:val="es-ES_tradnl"/>
        </w:rPr>
        <w:t>Quito, D. M., 15 de julio de 2015</w:t>
      </w:r>
    </w:p>
    <w:p w14:paraId="4F67ADC4" w14:textId="77777777" w:rsidR="00591D54" w:rsidRDefault="00591D54">
      <w:pPr>
        <w:shd w:val="clear" w:color="auto" w:fill="FFFFFF"/>
        <w:spacing w:line="442" w:lineRule="exact"/>
        <w:ind w:left="850"/>
      </w:pPr>
      <w:r>
        <w:rPr>
          <w:b/>
          <w:bCs/>
          <w:spacing w:val="-3"/>
          <w:sz w:val="18"/>
          <w:szCs w:val="18"/>
          <w:u w:val="single"/>
          <w:lang w:val="es-ES_tradnl"/>
        </w:rPr>
        <w:t>SENTENCIA N.</w:t>
      </w:r>
      <w:r>
        <w:rPr>
          <w:rFonts w:cs="Times New Roman"/>
          <w:b/>
          <w:bCs/>
          <w:spacing w:val="-3"/>
          <w:sz w:val="18"/>
          <w:szCs w:val="18"/>
          <w:u w:val="single"/>
          <w:lang w:val="es-ES_tradnl"/>
        </w:rPr>
        <w:t>º</w:t>
      </w:r>
      <w:r>
        <w:rPr>
          <w:b/>
          <w:bCs/>
          <w:spacing w:val="-3"/>
          <w:sz w:val="18"/>
          <w:szCs w:val="18"/>
          <w:u w:val="single"/>
          <w:lang w:val="es-ES_tradnl"/>
        </w:rPr>
        <w:t xml:space="preserve"> 232-15-SEP-CC</w:t>
      </w:r>
    </w:p>
    <w:p w14:paraId="4F67ADC5" w14:textId="77777777" w:rsidR="00591D54" w:rsidRDefault="00591D54">
      <w:pPr>
        <w:shd w:val="clear" w:color="auto" w:fill="FFFFFF"/>
        <w:spacing w:line="442" w:lineRule="exact"/>
        <w:ind w:left="1291"/>
      </w:pPr>
      <w:r>
        <w:rPr>
          <w:b/>
          <w:bCs/>
          <w:spacing w:val="-5"/>
          <w:sz w:val="18"/>
          <w:szCs w:val="18"/>
          <w:u w:val="single"/>
          <w:lang w:val="es-ES_tradnl"/>
        </w:rPr>
        <w:t>CASO N.</w:t>
      </w:r>
      <w:r>
        <w:rPr>
          <w:rFonts w:cs="Times New Roman"/>
          <w:b/>
          <w:bCs/>
          <w:spacing w:val="-5"/>
          <w:sz w:val="18"/>
          <w:szCs w:val="18"/>
          <w:u w:val="single"/>
          <w:lang w:val="es-ES_tradnl"/>
        </w:rPr>
        <w:t>º</w:t>
      </w:r>
      <w:r>
        <w:rPr>
          <w:b/>
          <w:bCs/>
          <w:spacing w:val="-5"/>
          <w:sz w:val="18"/>
          <w:szCs w:val="18"/>
          <w:u w:val="single"/>
          <w:lang w:val="es-ES_tradnl"/>
        </w:rPr>
        <w:t xml:space="preserve"> 2102-13-EP</w:t>
      </w:r>
    </w:p>
    <w:p w14:paraId="4F67ADC6" w14:textId="77777777" w:rsidR="00591D54" w:rsidRDefault="00591D54">
      <w:pPr>
        <w:shd w:val="clear" w:color="auto" w:fill="FFFFFF"/>
        <w:spacing w:line="442" w:lineRule="exact"/>
        <w:ind w:left="293"/>
      </w:pPr>
      <w:r>
        <w:rPr>
          <w:b/>
          <w:bCs/>
          <w:sz w:val="18"/>
          <w:szCs w:val="18"/>
          <w:lang w:val="es-ES_tradnl"/>
        </w:rPr>
        <w:t>CORTE CONSTITUCIONAL DEL ECUADOR</w:t>
      </w:r>
    </w:p>
    <w:p w14:paraId="4F67ADC7" w14:textId="77777777" w:rsidR="00591D54" w:rsidRDefault="00591D54">
      <w:pPr>
        <w:shd w:val="clear" w:color="auto" w:fill="FFFFFF"/>
        <w:spacing w:line="442" w:lineRule="exact"/>
        <w:ind w:left="1334"/>
      </w:pPr>
      <w:r>
        <w:rPr>
          <w:b/>
          <w:bCs/>
          <w:sz w:val="18"/>
          <w:szCs w:val="18"/>
          <w:lang w:val="es-ES_tradnl"/>
        </w:rPr>
        <w:t>I. ANTECEDENTES</w:t>
      </w:r>
    </w:p>
    <w:p w14:paraId="4F67ADC8" w14:textId="77777777" w:rsidR="00591D54" w:rsidRDefault="00591D54">
      <w:pPr>
        <w:shd w:val="clear" w:color="auto" w:fill="FFFFFF"/>
        <w:spacing w:line="442" w:lineRule="exact"/>
      </w:pPr>
      <w:r>
        <w:rPr>
          <w:b/>
          <w:bCs/>
          <w:spacing w:val="-9"/>
          <w:sz w:val="18"/>
          <w:szCs w:val="18"/>
          <w:lang w:val="es-ES_tradnl"/>
        </w:rPr>
        <w:t>Resumen de la admisibilidad</w:t>
      </w:r>
    </w:p>
    <w:p w14:paraId="4F67ADC9" w14:textId="77777777" w:rsidR="00591D54" w:rsidRDefault="00591D54">
      <w:pPr>
        <w:shd w:val="clear" w:color="auto" w:fill="FFFFFF"/>
        <w:spacing w:before="173" w:line="226" w:lineRule="exact"/>
        <w:ind w:right="5"/>
        <w:jc w:val="both"/>
      </w:pPr>
      <w:r>
        <w:rPr>
          <w:spacing w:val="-6"/>
          <w:sz w:val="18"/>
          <w:szCs w:val="18"/>
          <w:lang w:val="es-ES_tradnl"/>
        </w:rPr>
        <w:t>El se</w:t>
      </w:r>
      <w:r>
        <w:rPr>
          <w:rFonts w:cs="Times New Roman"/>
          <w:spacing w:val="-6"/>
          <w:sz w:val="18"/>
          <w:szCs w:val="18"/>
          <w:lang w:val="es-ES_tradnl"/>
        </w:rPr>
        <w:t>ñ</w:t>
      </w:r>
      <w:r>
        <w:rPr>
          <w:spacing w:val="-6"/>
          <w:sz w:val="18"/>
          <w:szCs w:val="18"/>
          <w:lang w:val="es-ES_tradnl"/>
        </w:rPr>
        <w:t>or Alex Javier Agonaga Crib</w:t>
      </w:r>
      <w:r>
        <w:rPr>
          <w:rFonts w:cs="Times New Roman"/>
          <w:spacing w:val="-6"/>
          <w:sz w:val="18"/>
          <w:szCs w:val="18"/>
          <w:lang w:val="es-ES_tradnl"/>
        </w:rPr>
        <w:t>á</w:t>
      </w:r>
      <w:r>
        <w:rPr>
          <w:spacing w:val="-6"/>
          <w:sz w:val="18"/>
          <w:szCs w:val="18"/>
          <w:lang w:val="es-ES_tradnl"/>
        </w:rPr>
        <w:t xml:space="preserve">n, por sus propios y </w:t>
      </w:r>
      <w:r>
        <w:rPr>
          <w:spacing w:val="-8"/>
          <w:sz w:val="18"/>
          <w:szCs w:val="18"/>
          <w:lang w:val="es-ES_tradnl"/>
        </w:rPr>
        <w:t>personales derechos, presenta acci</w:t>
      </w:r>
      <w:r>
        <w:rPr>
          <w:rFonts w:cs="Times New Roman"/>
          <w:spacing w:val="-8"/>
          <w:sz w:val="18"/>
          <w:szCs w:val="18"/>
          <w:lang w:val="es-ES_tradnl"/>
        </w:rPr>
        <w:t>ó</w:t>
      </w:r>
      <w:r>
        <w:rPr>
          <w:spacing w:val="-8"/>
          <w:sz w:val="18"/>
          <w:szCs w:val="18"/>
          <w:lang w:val="es-ES_tradnl"/>
        </w:rPr>
        <w:t xml:space="preserve">n extraordinaria de </w:t>
      </w:r>
      <w:r>
        <w:rPr>
          <w:spacing w:val="-10"/>
          <w:sz w:val="18"/>
          <w:szCs w:val="18"/>
          <w:lang w:val="es-ES_tradnl"/>
        </w:rPr>
        <w:t>protecci</w:t>
      </w:r>
      <w:r>
        <w:rPr>
          <w:rFonts w:cs="Times New Roman"/>
          <w:spacing w:val="-10"/>
          <w:sz w:val="18"/>
          <w:szCs w:val="18"/>
          <w:lang w:val="es-ES_tradnl"/>
        </w:rPr>
        <w:t>ó</w:t>
      </w:r>
      <w:r>
        <w:rPr>
          <w:spacing w:val="-10"/>
          <w:sz w:val="18"/>
          <w:szCs w:val="18"/>
          <w:lang w:val="es-ES_tradnl"/>
        </w:rPr>
        <w:t xml:space="preserve">n en contra de la sentencia dictada el 25 de octubre </w:t>
      </w:r>
      <w:r>
        <w:rPr>
          <w:spacing w:val="-7"/>
          <w:sz w:val="18"/>
          <w:szCs w:val="18"/>
          <w:lang w:val="es-ES_tradnl"/>
        </w:rPr>
        <w:t xml:space="preserve">de 2013, por los jueces de la Sala Multicompetente de la Corte Provincial de Justicia de Imbabura, mediante la cual </w:t>
      </w:r>
      <w:r>
        <w:rPr>
          <w:spacing w:val="-6"/>
          <w:sz w:val="18"/>
          <w:szCs w:val="18"/>
          <w:lang w:val="es-ES_tradnl"/>
        </w:rPr>
        <w:t>se revoc</w:t>
      </w:r>
      <w:r>
        <w:rPr>
          <w:rFonts w:cs="Times New Roman"/>
          <w:spacing w:val="-6"/>
          <w:sz w:val="18"/>
          <w:szCs w:val="18"/>
          <w:lang w:val="es-ES_tradnl"/>
        </w:rPr>
        <w:t>ó</w:t>
      </w:r>
      <w:r>
        <w:rPr>
          <w:spacing w:val="-6"/>
          <w:sz w:val="18"/>
          <w:szCs w:val="18"/>
          <w:lang w:val="es-ES_tradnl"/>
        </w:rPr>
        <w:t xml:space="preserve"> la sentencia dictada por el juez </w:t>
      </w:r>
      <w:r>
        <w:rPr>
          <w:i/>
          <w:iCs/>
          <w:spacing w:val="-6"/>
          <w:sz w:val="18"/>
          <w:szCs w:val="18"/>
          <w:lang w:val="es-ES_tradnl"/>
        </w:rPr>
        <w:t xml:space="preserve">a quo </w:t>
      </w:r>
      <w:r>
        <w:rPr>
          <w:spacing w:val="-6"/>
          <w:sz w:val="18"/>
          <w:szCs w:val="18"/>
          <w:lang w:val="es-ES_tradnl"/>
        </w:rPr>
        <w:t xml:space="preserve">y en su </w:t>
      </w:r>
      <w:r>
        <w:rPr>
          <w:spacing w:val="-5"/>
          <w:sz w:val="18"/>
          <w:szCs w:val="18"/>
          <w:lang w:val="es-ES_tradnl"/>
        </w:rPr>
        <w:t>lugar, se declar</w:t>
      </w:r>
      <w:r>
        <w:rPr>
          <w:rFonts w:cs="Times New Roman"/>
          <w:spacing w:val="-5"/>
          <w:sz w:val="18"/>
          <w:szCs w:val="18"/>
          <w:lang w:val="es-ES_tradnl"/>
        </w:rPr>
        <w:t>ó</w:t>
      </w:r>
      <w:r>
        <w:rPr>
          <w:spacing w:val="-5"/>
          <w:sz w:val="18"/>
          <w:szCs w:val="18"/>
          <w:lang w:val="es-ES_tradnl"/>
        </w:rPr>
        <w:t xml:space="preserve"> inadmisible la acci</w:t>
      </w:r>
      <w:r>
        <w:rPr>
          <w:rFonts w:cs="Times New Roman"/>
          <w:spacing w:val="-5"/>
          <w:sz w:val="18"/>
          <w:szCs w:val="18"/>
          <w:lang w:val="es-ES_tradnl"/>
        </w:rPr>
        <w:t>ó</w:t>
      </w:r>
      <w:r>
        <w:rPr>
          <w:spacing w:val="-5"/>
          <w:sz w:val="18"/>
          <w:szCs w:val="18"/>
          <w:lang w:val="es-ES_tradnl"/>
        </w:rPr>
        <w:t>n de protecci</w:t>
      </w:r>
      <w:r>
        <w:rPr>
          <w:rFonts w:cs="Times New Roman"/>
          <w:spacing w:val="-5"/>
          <w:sz w:val="18"/>
          <w:szCs w:val="18"/>
          <w:lang w:val="es-ES_tradnl"/>
        </w:rPr>
        <w:t>ó</w:t>
      </w:r>
      <w:r>
        <w:rPr>
          <w:spacing w:val="-5"/>
          <w:sz w:val="18"/>
          <w:szCs w:val="18"/>
          <w:lang w:val="es-ES_tradnl"/>
        </w:rPr>
        <w:t>n N.</w:t>
      </w:r>
      <w:r>
        <w:rPr>
          <w:rFonts w:cs="Times New Roman"/>
          <w:spacing w:val="-5"/>
          <w:sz w:val="18"/>
          <w:szCs w:val="18"/>
          <w:lang w:val="es-ES_tradnl"/>
        </w:rPr>
        <w:t xml:space="preserve">º </w:t>
      </w:r>
      <w:r>
        <w:rPr>
          <w:sz w:val="18"/>
          <w:szCs w:val="18"/>
          <w:lang w:val="es-ES_tradnl"/>
        </w:rPr>
        <w:t>288-2013.</w:t>
      </w:r>
    </w:p>
    <w:p w14:paraId="4F67ADCA" w14:textId="77777777" w:rsidR="00591D54" w:rsidRDefault="00591D54">
      <w:pPr>
        <w:shd w:val="clear" w:color="auto" w:fill="FFFFFF"/>
        <w:spacing w:before="206" w:line="226" w:lineRule="exact"/>
        <w:ind w:right="5"/>
        <w:jc w:val="both"/>
      </w:pPr>
      <w:r>
        <w:rPr>
          <w:spacing w:val="-6"/>
          <w:sz w:val="18"/>
          <w:szCs w:val="18"/>
          <w:lang w:val="es-ES_tradnl"/>
        </w:rPr>
        <w:t>El 04 de diciembre de 2013, La Secretar</w:t>
      </w:r>
      <w:r>
        <w:rPr>
          <w:rFonts w:cs="Times New Roman"/>
          <w:spacing w:val="-6"/>
          <w:sz w:val="18"/>
          <w:szCs w:val="18"/>
          <w:lang w:val="es-ES_tradnl"/>
        </w:rPr>
        <w:t>í</w:t>
      </w:r>
      <w:r>
        <w:rPr>
          <w:spacing w:val="-6"/>
          <w:sz w:val="18"/>
          <w:szCs w:val="18"/>
          <w:lang w:val="es-ES_tradnl"/>
        </w:rPr>
        <w:t>a General de la Corte Constitucional, certific</w:t>
      </w:r>
      <w:r>
        <w:rPr>
          <w:rFonts w:cs="Times New Roman"/>
          <w:spacing w:val="-6"/>
          <w:sz w:val="18"/>
          <w:szCs w:val="18"/>
          <w:lang w:val="es-ES_tradnl"/>
        </w:rPr>
        <w:t>ó</w:t>
      </w:r>
      <w:r>
        <w:rPr>
          <w:spacing w:val="-6"/>
          <w:sz w:val="18"/>
          <w:szCs w:val="18"/>
          <w:lang w:val="es-ES_tradnl"/>
        </w:rPr>
        <w:t xml:space="preserve"> que en relaci</w:t>
      </w:r>
      <w:r>
        <w:rPr>
          <w:rFonts w:cs="Times New Roman"/>
          <w:spacing w:val="-6"/>
          <w:sz w:val="18"/>
          <w:szCs w:val="18"/>
          <w:lang w:val="es-ES_tradnl"/>
        </w:rPr>
        <w:t>ó</w:t>
      </w:r>
      <w:r>
        <w:rPr>
          <w:spacing w:val="-6"/>
          <w:sz w:val="18"/>
          <w:szCs w:val="18"/>
          <w:lang w:val="es-ES_tradnl"/>
        </w:rPr>
        <w:t xml:space="preserve">n al presente </w:t>
      </w:r>
      <w:r>
        <w:rPr>
          <w:spacing w:val="-9"/>
          <w:sz w:val="18"/>
          <w:szCs w:val="18"/>
          <w:lang w:val="es-ES_tradnl"/>
        </w:rPr>
        <w:t xml:space="preserve">caso, no se ha presentado otra demanda con identidad de </w:t>
      </w:r>
      <w:r>
        <w:rPr>
          <w:sz w:val="18"/>
          <w:szCs w:val="18"/>
          <w:lang w:val="es-ES_tradnl"/>
        </w:rPr>
        <w:t>objeto y acci</w:t>
      </w:r>
      <w:r>
        <w:rPr>
          <w:rFonts w:cs="Times New Roman"/>
          <w:sz w:val="18"/>
          <w:szCs w:val="18"/>
          <w:lang w:val="es-ES_tradnl"/>
        </w:rPr>
        <w:t>ó</w:t>
      </w:r>
      <w:r>
        <w:rPr>
          <w:sz w:val="18"/>
          <w:szCs w:val="18"/>
          <w:lang w:val="es-ES_tradnl"/>
        </w:rPr>
        <w:t>n.</w:t>
      </w:r>
    </w:p>
    <w:p w14:paraId="4F67ADCB" w14:textId="77777777" w:rsidR="00591D54" w:rsidRDefault="00591D54">
      <w:pPr>
        <w:shd w:val="clear" w:color="auto" w:fill="FFFFFF"/>
        <w:spacing w:before="206" w:line="226" w:lineRule="exact"/>
        <w:jc w:val="both"/>
      </w:pPr>
      <w:r>
        <w:rPr>
          <w:spacing w:val="-6"/>
          <w:sz w:val="18"/>
          <w:szCs w:val="18"/>
          <w:lang w:val="es-ES_tradnl"/>
        </w:rPr>
        <w:t>El 06 de febrero de 2014, la Sala de Admisi</w:t>
      </w:r>
      <w:r>
        <w:rPr>
          <w:rFonts w:cs="Times New Roman"/>
          <w:spacing w:val="-6"/>
          <w:sz w:val="18"/>
          <w:szCs w:val="18"/>
          <w:lang w:val="es-ES_tradnl"/>
        </w:rPr>
        <w:t>ó</w:t>
      </w:r>
      <w:r>
        <w:rPr>
          <w:spacing w:val="-6"/>
          <w:sz w:val="18"/>
          <w:szCs w:val="18"/>
          <w:lang w:val="es-ES_tradnl"/>
        </w:rPr>
        <w:t>n de la Corte Constitucional en ejercicio de su competencia, avoc</w:t>
      </w:r>
      <w:r>
        <w:rPr>
          <w:rFonts w:cs="Times New Roman"/>
          <w:spacing w:val="-6"/>
          <w:sz w:val="18"/>
          <w:szCs w:val="18"/>
          <w:lang w:val="es-ES_tradnl"/>
        </w:rPr>
        <w:t xml:space="preserve">ó </w:t>
      </w:r>
      <w:r>
        <w:rPr>
          <w:spacing w:val="-5"/>
          <w:sz w:val="18"/>
          <w:szCs w:val="18"/>
          <w:lang w:val="es-ES_tradnl"/>
        </w:rPr>
        <w:t>conocimiento y admiti</w:t>
      </w:r>
      <w:r>
        <w:rPr>
          <w:rFonts w:cs="Times New Roman"/>
          <w:spacing w:val="-5"/>
          <w:sz w:val="18"/>
          <w:szCs w:val="18"/>
          <w:lang w:val="es-ES_tradnl"/>
        </w:rPr>
        <w:t>ó</w:t>
      </w:r>
      <w:r>
        <w:rPr>
          <w:spacing w:val="-5"/>
          <w:sz w:val="18"/>
          <w:szCs w:val="18"/>
          <w:lang w:val="es-ES_tradnl"/>
        </w:rPr>
        <w:t xml:space="preserve"> a tr</w:t>
      </w:r>
      <w:r>
        <w:rPr>
          <w:rFonts w:cs="Times New Roman"/>
          <w:spacing w:val="-5"/>
          <w:sz w:val="18"/>
          <w:szCs w:val="18"/>
          <w:lang w:val="es-ES_tradnl"/>
        </w:rPr>
        <w:t>á</w:t>
      </w:r>
      <w:r>
        <w:rPr>
          <w:spacing w:val="-5"/>
          <w:sz w:val="18"/>
          <w:szCs w:val="18"/>
          <w:lang w:val="es-ES_tradnl"/>
        </w:rPr>
        <w:t>mite la acci</w:t>
      </w:r>
      <w:r>
        <w:rPr>
          <w:rFonts w:cs="Times New Roman"/>
          <w:spacing w:val="-5"/>
          <w:sz w:val="18"/>
          <w:szCs w:val="18"/>
          <w:lang w:val="es-ES_tradnl"/>
        </w:rPr>
        <w:t>ó</w:t>
      </w:r>
      <w:r>
        <w:rPr>
          <w:spacing w:val="-5"/>
          <w:sz w:val="18"/>
          <w:szCs w:val="18"/>
          <w:lang w:val="es-ES_tradnl"/>
        </w:rPr>
        <w:t xml:space="preserve">n extraordinaria </w:t>
      </w:r>
      <w:r>
        <w:rPr>
          <w:sz w:val="18"/>
          <w:szCs w:val="18"/>
          <w:lang w:val="es-ES_tradnl"/>
        </w:rPr>
        <w:t>de protecci</w:t>
      </w:r>
      <w:r>
        <w:rPr>
          <w:rFonts w:cs="Times New Roman"/>
          <w:sz w:val="18"/>
          <w:szCs w:val="18"/>
          <w:lang w:val="es-ES_tradnl"/>
        </w:rPr>
        <w:t>ó</w:t>
      </w:r>
      <w:r>
        <w:rPr>
          <w:sz w:val="18"/>
          <w:szCs w:val="18"/>
          <w:lang w:val="es-ES_tradnl"/>
        </w:rPr>
        <w:t>n N.</w:t>
      </w:r>
      <w:r>
        <w:rPr>
          <w:rFonts w:cs="Times New Roman"/>
          <w:sz w:val="18"/>
          <w:szCs w:val="18"/>
          <w:lang w:val="es-ES_tradnl"/>
        </w:rPr>
        <w:t>º</w:t>
      </w:r>
      <w:r>
        <w:rPr>
          <w:sz w:val="18"/>
          <w:szCs w:val="18"/>
          <w:lang w:val="es-ES_tradnl"/>
        </w:rPr>
        <w:t xml:space="preserve"> 2102-13-EP.</w:t>
      </w:r>
    </w:p>
    <w:p w14:paraId="4F67ADCC" w14:textId="77777777" w:rsidR="00591D54" w:rsidRDefault="00591D54">
      <w:pPr>
        <w:shd w:val="clear" w:color="auto" w:fill="FFFFFF"/>
        <w:spacing w:line="216" w:lineRule="exact"/>
        <w:jc w:val="both"/>
      </w:pPr>
      <w:r>
        <w:br w:type="column"/>
      </w:r>
      <w:r>
        <w:rPr>
          <w:spacing w:val="-3"/>
          <w:sz w:val="18"/>
          <w:szCs w:val="18"/>
          <w:lang w:val="es-ES_tradnl"/>
        </w:rPr>
        <w:t xml:space="preserve">De conformidad con el sorteo de casos efectuado en </w:t>
      </w:r>
      <w:r>
        <w:rPr>
          <w:spacing w:val="-4"/>
          <w:sz w:val="18"/>
          <w:szCs w:val="18"/>
          <w:lang w:val="es-ES_tradnl"/>
        </w:rPr>
        <w:t>sesi</w:t>
      </w:r>
      <w:r>
        <w:rPr>
          <w:rFonts w:cs="Times New Roman"/>
          <w:spacing w:val="-4"/>
          <w:sz w:val="18"/>
          <w:szCs w:val="18"/>
          <w:lang w:val="es-ES_tradnl"/>
        </w:rPr>
        <w:t>ó</w:t>
      </w:r>
      <w:r>
        <w:rPr>
          <w:spacing w:val="-4"/>
          <w:sz w:val="18"/>
          <w:szCs w:val="18"/>
          <w:lang w:val="es-ES_tradnl"/>
        </w:rPr>
        <w:t xml:space="preserve">n ordinaria del Pleno de la Corte Constitucional, el </w:t>
      </w:r>
      <w:r>
        <w:rPr>
          <w:spacing w:val="-3"/>
          <w:sz w:val="18"/>
          <w:szCs w:val="18"/>
          <w:lang w:val="es-ES_tradnl"/>
        </w:rPr>
        <w:t>06 de marzo de 2014, le correspondi</w:t>
      </w:r>
      <w:r>
        <w:rPr>
          <w:rFonts w:cs="Times New Roman"/>
          <w:spacing w:val="-3"/>
          <w:sz w:val="18"/>
          <w:szCs w:val="18"/>
          <w:lang w:val="es-ES_tradnl"/>
        </w:rPr>
        <w:t>ó</w:t>
      </w:r>
      <w:r>
        <w:rPr>
          <w:spacing w:val="-3"/>
          <w:sz w:val="18"/>
          <w:szCs w:val="18"/>
          <w:lang w:val="es-ES_tradnl"/>
        </w:rPr>
        <w:t xml:space="preserve"> la sustanciaci</w:t>
      </w:r>
      <w:r>
        <w:rPr>
          <w:rFonts w:cs="Times New Roman"/>
          <w:spacing w:val="-3"/>
          <w:sz w:val="18"/>
          <w:szCs w:val="18"/>
          <w:lang w:val="es-ES_tradnl"/>
        </w:rPr>
        <w:t>ó</w:t>
      </w:r>
      <w:r>
        <w:rPr>
          <w:spacing w:val="-3"/>
          <w:sz w:val="18"/>
          <w:szCs w:val="18"/>
          <w:lang w:val="es-ES_tradnl"/>
        </w:rPr>
        <w:t xml:space="preserve">n </w:t>
      </w:r>
      <w:r>
        <w:rPr>
          <w:spacing w:val="-8"/>
          <w:sz w:val="18"/>
          <w:szCs w:val="18"/>
          <w:lang w:val="es-ES_tradnl"/>
        </w:rPr>
        <w:t xml:space="preserve">de la presente causa a la jueza constitucional Ruth Seni Pinoargote, quien, mediante auto del 20 de mayo de 2014, </w:t>
      </w:r>
      <w:r>
        <w:rPr>
          <w:spacing w:val="-9"/>
          <w:sz w:val="18"/>
          <w:szCs w:val="18"/>
          <w:lang w:val="es-ES_tradnl"/>
        </w:rPr>
        <w:t>avoc</w:t>
      </w:r>
      <w:r>
        <w:rPr>
          <w:rFonts w:cs="Times New Roman"/>
          <w:spacing w:val="-9"/>
          <w:sz w:val="18"/>
          <w:szCs w:val="18"/>
          <w:lang w:val="es-ES_tradnl"/>
        </w:rPr>
        <w:t>ó</w:t>
      </w:r>
      <w:r>
        <w:rPr>
          <w:spacing w:val="-9"/>
          <w:sz w:val="18"/>
          <w:szCs w:val="18"/>
          <w:lang w:val="es-ES_tradnl"/>
        </w:rPr>
        <w:t xml:space="preserve"> conocimiento y dispuso que se notifique el contenido </w:t>
      </w:r>
      <w:r>
        <w:rPr>
          <w:sz w:val="18"/>
          <w:szCs w:val="18"/>
          <w:lang w:val="es-ES_tradnl"/>
        </w:rPr>
        <w:t>del mismo a las partes.</w:t>
      </w:r>
    </w:p>
    <w:p w14:paraId="4F67ADCD" w14:textId="77777777" w:rsidR="00591D54" w:rsidRDefault="00591D54">
      <w:pPr>
        <w:shd w:val="clear" w:color="auto" w:fill="FFFFFF"/>
        <w:spacing w:before="197" w:line="216" w:lineRule="exact"/>
        <w:jc w:val="both"/>
      </w:pPr>
      <w:r>
        <w:rPr>
          <w:spacing w:val="-7"/>
          <w:sz w:val="18"/>
          <w:szCs w:val="18"/>
          <w:lang w:val="es-ES_tradnl"/>
        </w:rPr>
        <w:t>El 05 de mayo de 2015 a las 10:00, se realiz</w:t>
      </w:r>
      <w:r>
        <w:rPr>
          <w:rFonts w:cs="Times New Roman"/>
          <w:spacing w:val="-7"/>
          <w:sz w:val="18"/>
          <w:szCs w:val="18"/>
          <w:lang w:val="es-ES_tradnl"/>
        </w:rPr>
        <w:t>ó</w:t>
      </w:r>
      <w:r>
        <w:rPr>
          <w:spacing w:val="-7"/>
          <w:sz w:val="18"/>
          <w:szCs w:val="18"/>
          <w:lang w:val="es-ES_tradnl"/>
        </w:rPr>
        <w:t xml:space="preserve"> la audiencia </w:t>
      </w:r>
      <w:r>
        <w:rPr>
          <w:spacing w:val="-4"/>
          <w:sz w:val="18"/>
          <w:szCs w:val="18"/>
          <w:lang w:val="es-ES_tradnl"/>
        </w:rPr>
        <w:t>p</w:t>
      </w:r>
      <w:r>
        <w:rPr>
          <w:rFonts w:cs="Times New Roman"/>
          <w:spacing w:val="-4"/>
          <w:sz w:val="18"/>
          <w:szCs w:val="18"/>
          <w:lang w:val="es-ES_tradnl"/>
        </w:rPr>
        <w:t>ú</w:t>
      </w:r>
      <w:r>
        <w:rPr>
          <w:spacing w:val="-4"/>
          <w:sz w:val="18"/>
          <w:szCs w:val="18"/>
          <w:lang w:val="es-ES_tradnl"/>
        </w:rPr>
        <w:t xml:space="preserve">blica convocada mediante providencia del 28 de abril </w:t>
      </w:r>
      <w:r>
        <w:rPr>
          <w:spacing w:val="-8"/>
          <w:sz w:val="18"/>
          <w:szCs w:val="18"/>
          <w:lang w:val="es-ES_tradnl"/>
        </w:rPr>
        <w:t xml:space="preserve">de 2015 a las 08h11, a la que asistieron el accionante Alex </w:t>
      </w:r>
      <w:r>
        <w:rPr>
          <w:spacing w:val="-7"/>
          <w:sz w:val="18"/>
          <w:szCs w:val="18"/>
          <w:lang w:val="es-ES_tradnl"/>
        </w:rPr>
        <w:t>Javier Agonaga Crib</w:t>
      </w:r>
      <w:r>
        <w:rPr>
          <w:rFonts w:cs="Times New Roman"/>
          <w:spacing w:val="-7"/>
          <w:sz w:val="18"/>
          <w:szCs w:val="18"/>
          <w:lang w:val="es-ES_tradnl"/>
        </w:rPr>
        <w:t>á</w:t>
      </w:r>
      <w:r>
        <w:rPr>
          <w:spacing w:val="-7"/>
          <w:sz w:val="18"/>
          <w:szCs w:val="18"/>
          <w:lang w:val="es-ES_tradnl"/>
        </w:rPr>
        <w:t xml:space="preserve">n con su abogado patrocinador, y el </w:t>
      </w:r>
      <w:r>
        <w:rPr>
          <w:spacing w:val="-8"/>
          <w:sz w:val="18"/>
          <w:szCs w:val="18"/>
          <w:lang w:val="es-ES_tradnl"/>
        </w:rPr>
        <w:t>abogado Edwin Roberto Morales Criollo en representaci</w:t>
      </w:r>
      <w:r>
        <w:rPr>
          <w:rFonts w:cs="Times New Roman"/>
          <w:spacing w:val="-8"/>
          <w:sz w:val="18"/>
          <w:szCs w:val="18"/>
          <w:lang w:val="es-ES_tradnl"/>
        </w:rPr>
        <w:t>ó</w:t>
      </w:r>
      <w:r>
        <w:rPr>
          <w:spacing w:val="-8"/>
          <w:sz w:val="18"/>
          <w:szCs w:val="18"/>
          <w:lang w:val="es-ES_tradnl"/>
        </w:rPr>
        <w:t xml:space="preserve">n </w:t>
      </w:r>
      <w:r>
        <w:rPr>
          <w:spacing w:val="-7"/>
          <w:sz w:val="18"/>
          <w:szCs w:val="18"/>
          <w:lang w:val="es-ES_tradnl"/>
        </w:rPr>
        <w:t>del comandante general y director nacional de asesor</w:t>
      </w:r>
      <w:r>
        <w:rPr>
          <w:rFonts w:cs="Times New Roman"/>
          <w:spacing w:val="-7"/>
          <w:sz w:val="18"/>
          <w:szCs w:val="18"/>
          <w:lang w:val="es-ES_tradnl"/>
        </w:rPr>
        <w:t>í</w:t>
      </w:r>
      <w:r>
        <w:rPr>
          <w:spacing w:val="-7"/>
          <w:sz w:val="18"/>
          <w:szCs w:val="18"/>
          <w:lang w:val="es-ES_tradnl"/>
        </w:rPr>
        <w:t xml:space="preserve">a </w:t>
      </w:r>
      <w:r>
        <w:rPr>
          <w:spacing w:val="-4"/>
          <w:sz w:val="18"/>
          <w:szCs w:val="18"/>
          <w:lang w:val="es-ES_tradnl"/>
        </w:rPr>
        <w:t>jur</w:t>
      </w:r>
      <w:r>
        <w:rPr>
          <w:rFonts w:cs="Times New Roman"/>
          <w:spacing w:val="-4"/>
          <w:sz w:val="18"/>
          <w:szCs w:val="18"/>
          <w:lang w:val="es-ES_tradnl"/>
        </w:rPr>
        <w:t>í</w:t>
      </w:r>
      <w:r>
        <w:rPr>
          <w:spacing w:val="-4"/>
          <w:sz w:val="18"/>
          <w:szCs w:val="18"/>
          <w:lang w:val="es-ES_tradnl"/>
        </w:rPr>
        <w:t>dica de la Polic</w:t>
      </w:r>
      <w:r>
        <w:rPr>
          <w:rFonts w:cs="Times New Roman"/>
          <w:spacing w:val="-4"/>
          <w:sz w:val="18"/>
          <w:szCs w:val="18"/>
          <w:lang w:val="es-ES_tradnl"/>
        </w:rPr>
        <w:t>í</w:t>
      </w:r>
      <w:r>
        <w:rPr>
          <w:spacing w:val="-4"/>
          <w:sz w:val="18"/>
          <w:szCs w:val="18"/>
          <w:lang w:val="es-ES_tradnl"/>
        </w:rPr>
        <w:t xml:space="preserve">a Nacional. Ni los jueces accionados, </w:t>
      </w:r>
      <w:r>
        <w:rPr>
          <w:spacing w:val="-7"/>
          <w:sz w:val="18"/>
          <w:szCs w:val="18"/>
          <w:lang w:val="es-ES_tradnl"/>
        </w:rPr>
        <w:t>ni el representante de la procuradur</w:t>
      </w:r>
      <w:r>
        <w:rPr>
          <w:rFonts w:cs="Times New Roman"/>
          <w:spacing w:val="-7"/>
          <w:sz w:val="18"/>
          <w:szCs w:val="18"/>
          <w:lang w:val="es-ES_tradnl"/>
        </w:rPr>
        <w:t>í</w:t>
      </w:r>
      <w:r>
        <w:rPr>
          <w:spacing w:val="-7"/>
          <w:sz w:val="18"/>
          <w:szCs w:val="18"/>
          <w:lang w:val="es-ES_tradnl"/>
        </w:rPr>
        <w:t xml:space="preserve">a general del Estado, </w:t>
      </w:r>
      <w:r>
        <w:rPr>
          <w:spacing w:val="-10"/>
          <w:sz w:val="18"/>
          <w:szCs w:val="18"/>
          <w:lang w:val="es-ES_tradnl"/>
        </w:rPr>
        <w:t xml:space="preserve">comparecieron a pesar de haber sido legal y oportunamente </w:t>
      </w:r>
      <w:r>
        <w:rPr>
          <w:sz w:val="18"/>
          <w:szCs w:val="18"/>
          <w:lang w:val="es-ES_tradnl"/>
        </w:rPr>
        <w:t>notificados.</w:t>
      </w:r>
    </w:p>
    <w:p w14:paraId="4F67ADCE" w14:textId="77777777" w:rsidR="00591D54" w:rsidRDefault="00591D54">
      <w:pPr>
        <w:shd w:val="clear" w:color="auto" w:fill="FFFFFF"/>
        <w:spacing w:before="192"/>
      </w:pPr>
      <w:r>
        <w:rPr>
          <w:b/>
          <w:bCs/>
          <w:spacing w:val="-10"/>
          <w:sz w:val="18"/>
          <w:szCs w:val="18"/>
          <w:lang w:val="es-ES_tradnl"/>
        </w:rPr>
        <w:t>Argumentos planteados en la demanda</w:t>
      </w:r>
    </w:p>
    <w:p w14:paraId="4F67ADCF" w14:textId="77777777" w:rsidR="00591D54" w:rsidRDefault="00591D54">
      <w:pPr>
        <w:shd w:val="clear" w:color="auto" w:fill="FFFFFF"/>
        <w:spacing w:before="192" w:line="216" w:lineRule="exact"/>
        <w:jc w:val="both"/>
      </w:pPr>
      <w:r>
        <w:rPr>
          <w:spacing w:val="-5"/>
          <w:sz w:val="18"/>
          <w:szCs w:val="18"/>
          <w:lang w:val="es-ES_tradnl"/>
        </w:rPr>
        <w:t xml:space="preserve">El legitimado activo en lo principal hace las siguientes </w:t>
      </w:r>
      <w:r>
        <w:rPr>
          <w:sz w:val="18"/>
          <w:szCs w:val="18"/>
          <w:lang w:val="es-ES_tradnl"/>
        </w:rPr>
        <w:t>argumentaciones:</w:t>
      </w:r>
    </w:p>
    <w:p w14:paraId="4F67ADD0" w14:textId="77777777" w:rsidR="00591D54" w:rsidRDefault="00591D54">
      <w:pPr>
        <w:shd w:val="clear" w:color="auto" w:fill="FFFFFF"/>
        <w:spacing w:before="192" w:line="216" w:lineRule="exact"/>
        <w:jc w:val="both"/>
      </w:pPr>
      <w:r>
        <w:rPr>
          <w:spacing w:val="-4"/>
          <w:sz w:val="18"/>
          <w:szCs w:val="18"/>
          <w:lang w:val="es-ES_tradnl"/>
        </w:rPr>
        <w:t xml:space="preserve">Que la Sala no valora que el legitimado activo, ha sido </w:t>
      </w:r>
      <w:r>
        <w:rPr>
          <w:spacing w:val="-7"/>
          <w:sz w:val="18"/>
          <w:szCs w:val="18"/>
          <w:lang w:val="es-ES_tradnl"/>
        </w:rPr>
        <w:t>calificado como no id</w:t>
      </w:r>
      <w:r>
        <w:rPr>
          <w:rFonts w:cs="Times New Roman"/>
          <w:spacing w:val="-7"/>
          <w:sz w:val="18"/>
          <w:szCs w:val="18"/>
          <w:lang w:val="es-ES_tradnl"/>
        </w:rPr>
        <w:t>ó</w:t>
      </w:r>
      <w:r>
        <w:rPr>
          <w:spacing w:val="-7"/>
          <w:sz w:val="18"/>
          <w:szCs w:val="18"/>
          <w:lang w:val="es-ES_tradnl"/>
        </w:rPr>
        <w:t xml:space="preserve">neo por padecer una discapacidad </w:t>
      </w:r>
      <w:r>
        <w:rPr>
          <w:sz w:val="18"/>
          <w:szCs w:val="18"/>
          <w:lang w:val="es-ES_tradnl"/>
        </w:rPr>
        <w:t>intelectual.</w:t>
      </w:r>
    </w:p>
    <w:p w14:paraId="4F67ADD1" w14:textId="77777777" w:rsidR="00591D54" w:rsidRDefault="00591D54">
      <w:pPr>
        <w:shd w:val="clear" w:color="auto" w:fill="FFFFFF"/>
        <w:spacing w:before="192" w:line="216" w:lineRule="exact"/>
        <w:jc w:val="both"/>
      </w:pPr>
      <w:r>
        <w:rPr>
          <w:spacing w:val="-5"/>
          <w:sz w:val="18"/>
          <w:szCs w:val="18"/>
          <w:lang w:val="es-ES_tradnl"/>
        </w:rPr>
        <w:t>Se</w:t>
      </w:r>
      <w:r>
        <w:rPr>
          <w:rFonts w:cs="Times New Roman"/>
          <w:spacing w:val="-5"/>
          <w:sz w:val="18"/>
          <w:szCs w:val="18"/>
          <w:lang w:val="es-ES_tradnl"/>
        </w:rPr>
        <w:t>ñ</w:t>
      </w:r>
      <w:r>
        <w:rPr>
          <w:spacing w:val="-5"/>
          <w:sz w:val="18"/>
          <w:szCs w:val="18"/>
          <w:lang w:val="es-ES_tradnl"/>
        </w:rPr>
        <w:t>ala tambi</w:t>
      </w:r>
      <w:r>
        <w:rPr>
          <w:rFonts w:cs="Times New Roman"/>
          <w:spacing w:val="-5"/>
          <w:sz w:val="18"/>
          <w:szCs w:val="18"/>
          <w:lang w:val="es-ES_tradnl"/>
        </w:rPr>
        <w:t>é</w:t>
      </w:r>
      <w:r>
        <w:rPr>
          <w:spacing w:val="-5"/>
          <w:sz w:val="18"/>
          <w:szCs w:val="18"/>
          <w:lang w:val="es-ES_tradnl"/>
        </w:rPr>
        <w:t xml:space="preserve">n, que el hecho de que </w:t>
      </w:r>
      <w:r>
        <w:rPr>
          <w:rFonts w:cs="Times New Roman"/>
          <w:spacing w:val="-5"/>
          <w:sz w:val="18"/>
          <w:szCs w:val="18"/>
          <w:lang w:val="es-ES_tradnl"/>
        </w:rPr>
        <w:t>é</w:t>
      </w:r>
      <w:r>
        <w:rPr>
          <w:spacing w:val="-5"/>
          <w:sz w:val="18"/>
          <w:szCs w:val="18"/>
          <w:lang w:val="es-ES_tradnl"/>
        </w:rPr>
        <w:t xml:space="preserve">l pierda su trabajo </w:t>
      </w:r>
      <w:r>
        <w:rPr>
          <w:spacing w:val="-7"/>
          <w:sz w:val="18"/>
          <w:szCs w:val="18"/>
          <w:lang w:val="es-ES_tradnl"/>
        </w:rPr>
        <w:t>a causa de su discapacidad intelectual, es una situaci</w:t>
      </w:r>
      <w:r>
        <w:rPr>
          <w:rFonts w:cs="Times New Roman"/>
          <w:spacing w:val="-7"/>
          <w:sz w:val="18"/>
          <w:szCs w:val="18"/>
          <w:lang w:val="es-ES_tradnl"/>
        </w:rPr>
        <w:t>ó</w:t>
      </w:r>
      <w:r>
        <w:rPr>
          <w:spacing w:val="-7"/>
          <w:sz w:val="18"/>
          <w:szCs w:val="18"/>
          <w:lang w:val="es-ES_tradnl"/>
        </w:rPr>
        <w:t xml:space="preserve">n </w:t>
      </w:r>
      <w:r>
        <w:rPr>
          <w:sz w:val="18"/>
          <w:szCs w:val="18"/>
          <w:lang w:val="es-ES_tradnl"/>
        </w:rPr>
        <w:t>susceptible de tutelaje constitucional.</w:t>
      </w:r>
    </w:p>
    <w:p w14:paraId="4F67ADD2" w14:textId="77777777" w:rsidR="00591D54" w:rsidRDefault="00591D54">
      <w:pPr>
        <w:shd w:val="clear" w:color="auto" w:fill="FFFFFF"/>
        <w:spacing w:before="197" w:line="216" w:lineRule="exact"/>
        <w:jc w:val="both"/>
      </w:pPr>
      <w:r>
        <w:rPr>
          <w:spacing w:val="-4"/>
          <w:sz w:val="18"/>
          <w:szCs w:val="18"/>
          <w:lang w:val="es-ES_tradnl"/>
        </w:rPr>
        <w:t>Manifiesta que el an</w:t>
      </w:r>
      <w:r>
        <w:rPr>
          <w:rFonts w:cs="Times New Roman"/>
          <w:spacing w:val="-4"/>
          <w:sz w:val="18"/>
          <w:szCs w:val="18"/>
          <w:lang w:val="es-ES_tradnl"/>
        </w:rPr>
        <w:t>á</w:t>
      </w:r>
      <w:r>
        <w:rPr>
          <w:spacing w:val="-4"/>
          <w:sz w:val="18"/>
          <w:szCs w:val="18"/>
          <w:lang w:val="es-ES_tradnl"/>
        </w:rPr>
        <w:t xml:space="preserve">lisis realizado en la sentencia </w:t>
      </w:r>
      <w:r>
        <w:rPr>
          <w:spacing w:val="-8"/>
          <w:sz w:val="18"/>
          <w:szCs w:val="18"/>
          <w:lang w:val="es-ES_tradnl"/>
        </w:rPr>
        <w:t xml:space="preserve">impugnada, no toma en cuenta que el accionante es una </w:t>
      </w:r>
      <w:r>
        <w:rPr>
          <w:spacing w:val="-9"/>
          <w:sz w:val="18"/>
          <w:szCs w:val="18"/>
          <w:lang w:val="es-ES_tradnl"/>
        </w:rPr>
        <w:t>persona con discapacidad, es decir vulnera sus derechos.</w:t>
      </w:r>
    </w:p>
    <w:p w14:paraId="4F67ADD3" w14:textId="77777777" w:rsidR="00591D54" w:rsidRDefault="00591D54">
      <w:pPr>
        <w:shd w:val="clear" w:color="auto" w:fill="FFFFFF"/>
        <w:spacing w:before="197" w:line="216" w:lineRule="exact"/>
        <w:jc w:val="both"/>
      </w:pPr>
      <w:r>
        <w:rPr>
          <w:spacing w:val="-6"/>
          <w:sz w:val="18"/>
          <w:szCs w:val="18"/>
          <w:lang w:val="es-ES_tradnl"/>
        </w:rPr>
        <w:t xml:space="preserve">A su criterio los jueces utilizan falacias para omitir analizar </w:t>
      </w:r>
      <w:r>
        <w:rPr>
          <w:sz w:val="18"/>
          <w:szCs w:val="18"/>
          <w:lang w:val="es-ES_tradnl"/>
        </w:rPr>
        <w:t>la condici</w:t>
      </w:r>
      <w:r>
        <w:rPr>
          <w:rFonts w:cs="Times New Roman"/>
          <w:sz w:val="18"/>
          <w:szCs w:val="18"/>
          <w:lang w:val="es-ES_tradnl"/>
        </w:rPr>
        <w:t>ó</w:t>
      </w:r>
      <w:r>
        <w:rPr>
          <w:sz w:val="18"/>
          <w:szCs w:val="18"/>
          <w:lang w:val="es-ES_tradnl"/>
        </w:rPr>
        <w:t>n de discapacidad que padece.</w:t>
      </w:r>
    </w:p>
    <w:p w14:paraId="4F67ADD4" w14:textId="77777777" w:rsidR="00591D54" w:rsidRDefault="00591D54">
      <w:pPr>
        <w:shd w:val="clear" w:color="auto" w:fill="FFFFFF"/>
        <w:spacing w:before="197" w:line="216" w:lineRule="exact"/>
        <w:jc w:val="both"/>
      </w:pPr>
      <w:r>
        <w:rPr>
          <w:spacing w:val="-9"/>
          <w:sz w:val="18"/>
          <w:szCs w:val="18"/>
          <w:lang w:val="es-ES_tradnl"/>
        </w:rPr>
        <w:t>Sostiene que la Sala inadmiti</w:t>
      </w:r>
      <w:r>
        <w:rPr>
          <w:rFonts w:cs="Times New Roman"/>
          <w:spacing w:val="-9"/>
          <w:sz w:val="18"/>
          <w:szCs w:val="18"/>
          <w:lang w:val="es-ES_tradnl"/>
        </w:rPr>
        <w:t>ó</w:t>
      </w:r>
      <w:r>
        <w:rPr>
          <w:spacing w:val="-9"/>
          <w:sz w:val="18"/>
          <w:szCs w:val="18"/>
          <w:lang w:val="es-ES_tradnl"/>
        </w:rPr>
        <w:t xml:space="preserve"> su acci</w:t>
      </w:r>
      <w:r>
        <w:rPr>
          <w:rFonts w:cs="Times New Roman"/>
          <w:spacing w:val="-9"/>
          <w:sz w:val="18"/>
          <w:szCs w:val="18"/>
          <w:lang w:val="es-ES_tradnl"/>
        </w:rPr>
        <w:t>ó</w:t>
      </w:r>
      <w:r>
        <w:rPr>
          <w:spacing w:val="-9"/>
          <w:sz w:val="18"/>
          <w:szCs w:val="18"/>
          <w:lang w:val="es-ES_tradnl"/>
        </w:rPr>
        <w:t>n de protecci</w:t>
      </w:r>
      <w:r>
        <w:rPr>
          <w:rFonts w:cs="Times New Roman"/>
          <w:spacing w:val="-9"/>
          <w:sz w:val="18"/>
          <w:szCs w:val="18"/>
          <w:lang w:val="es-ES_tradnl"/>
        </w:rPr>
        <w:t>ó</w:t>
      </w:r>
      <w:r>
        <w:rPr>
          <w:spacing w:val="-9"/>
          <w:sz w:val="18"/>
          <w:szCs w:val="18"/>
          <w:lang w:val="es-ES_tradnl"/>
        </w:rPr>
        <w:t xml:space="preserve">n bajo </w:t>
      </w:r>
      <w:r>
        <w:rPr>
          <w:spacing w:val="-7"/>
          <w:sz w:val="18"/>
          <w:szCs w:val="18"/>
          <w:lang w:val="es-ES_tradnl"/>
        </w:rPr>
        <w:t>el argumento de que la v</w:t>
      </w:r>
      <w:r>
        <w:rPr>
          <w:rFonts w:cs="Times New Roman"/>
          <w:spacing w:val="-7"/>
          <w:sz w:val="18"/>
          <w:szCs w:val="18"/>
          <w:lang w:val="es-ES_tradnl"/>
        </w:rPr>
        <w:t>í</w:t>
      </w:r>
      <w:r>
        <w:rPr>
          <w:spacing w:val="-7"/>
          <w:sz w:val="18"/>
          <w:szCs w:val="18"/>
          <w:lang w:val="es-ES_tradnl"/>
        </w:rPr>
        <w:t xml:space="preserve">a judicial era el canal adecuado </w:t>
      </w:r>
      <w:r>
        <w:rPr>
          <w:sz w:val="18"/>
          <w:szCs w:val="18"/>
          <w:lang w:val="es-ES_tradnl"/>
        </w:rPr>
        <w:t>para impugnar la resoluci</w:t>
      </w:r>
      <w:r>
        <w:rPr>
          <w:rFonts w:cs="Times New Roman"/>
          <w:sz w:val="18"/>
          <w:szCs w:val="18"/>
          <w:lang w:val="es-ES_tradnl"/>
        </w:rPr>
        <w:t>ó</w:t>
      </w:r>
      <w:r>
        <w:rPr>
          <w:sz w:val="18"/>
          <w:szCs w:val="18"/>
          <w:lang w:val="es-ES_tradnl"/>
        </w:rPr>
        <w:t>n.</w:t>
      </w:r>
    </w:p>
    <w:p w14:paraId="4F67ADD5" w14:textId="77777777" w:rsidR="00591D54" w:rsidRDefault="00591D54">
      <w:pPr>
        <w:shd w:val="clear" w:color="auto" w:fill="FFFFFF"/>
        <w:spacing w:before="197" w:line="216" w:lineRule="exact"/>
        <w:jc w:val="both"/>
      </w:pPr>
      <w:r>
        <w:rPr>
          <w:sz w:val="18"/>
          <w:szCs w:val="18"/>
          <w:lang w:val="es-ES_tradnl"/>
        </w:rPr>
        <w:t>El legitimado activo manifiesta tambi</w:t>
      </w:r>
      <w:r>
        <w:rPr>
          <w:rFonts w:cs="Times New Roman"/>
          <w:sz w:val="18"/>
          <w:szCs w:val="18"/>
          <w:lang w:val="es-ES_tradnl"/>
        </w:rPr>
        <w:t>é</w:t>
      </w:r>
      <w:r>
        <w:rPr>
          <w:sz w:val="18"/>
          <w:szCs w:val="18"/>
          <w:lang w:val="es-ES_tradnl"/>
        </w:rPr>
        <w:t xml:space="preserve">n, que la </w:t>
      </w:r>
      <w:r>
        <w:rPr>
          <w:spacing w:val="-5"/>
          <w:sz w:val="18"/>
          <w:szCs w:val="18"/>
          <w:lang w:val="es-ES_tradnl"/>
        </w:rPr>
        <w:t>resoluci</w:t>
      </w:r>
      <w:r>
        <w:rPr>
          <w:rFonts w:cs="Times New Roman"/>
          <w:spacing w:val="-5"/>
          <w:sz w:val="18"/>
          <w:szCs w:val="18"/>
          <w:lang w:val="es-ES_tradnl"/>
        </w:rPr>
        <w:t>ó</w:t>
      </w:r>
      <w:r>
        <w:rPr>
          <w:spacing w:val="-5"/>
          <w:sz w:val="18"/>
          <w:szCs w:val="18"/>
          <w:lang w:val="es-ES_tradnl"/>
        </w:rPr>
        <w:t>n es inconstitucional, no persiguiendo la acci</w:t>
      </w:r>
      <w:r>
        <w:rPr>
          <w:rFonts w:cs="Times New Roman"/>
          <w:spacing w:val="-5"/>
          <w:sz w:val="18"/>
          <w:szCs w:val="18"/>
          <w:lang w:val="es-ES_tradnl"/>
        </w:rPr>
        <w:t>ó</w:t>
      </w:r>
      <w:r>
        <w:rPr>
          <w:spacing w:val="-5"/>
          <w:sz w:val="18"/>
          <w:szCs w:val="18"/>
          <w:lang w:val="es-ES_tradnl"/>
        </w:rPr>
        <w:t xml:space="preserve">n </w:t>
      </w:r>
      <w:r>
        <w:rPr>
          <w:spacing w:val="-6"/>
          <w:sz w:val="18"/>
          <w:szCs w:val="18"/>
          <w:lang w:val="es-ES_tradnl"/>
        </w:rPr>
        <w:t xml:space="preserve">de inconstitucionalidad sino, porque vulnera derechos </w:t>
      </w:r>
      <w:r>
        <w:rPr>
          <w:spacing w:val="-3"/>
          <w:sz w:val="18"/>
          <w:szCs w:val="18"/>
          <w:lang w:val="es-ES_tradnl"/>
        </w:rPr>
        <w:t>constitucionales, deneg</w:t>
      </w:r>
      <w:r>
        <w:rPr>
          <w:rFonts w:cs="Times New Roman"/>
          <w:spacing w:val="-3"/>
          <w:sz w:val="18"/>
          <w:szCs w:val="18"/>
          <w:lang w:val="es-ES_tradnl"/>
        </w:rPr>
        <w:t>á</w:t>
      </w:r>
      <w:r>
        <w:rPr>
          <w:spacing w:val="-3"/>
          <w:sz w:val="18"/>
          <w:szCs w:val="18"/>
          <w:lang w:val="es-ES_tradnl"/>
        </w:rPr>
        <w:t xml:space="preserve">ndole justicia con criterios </w:t>
      </w:r>
      <w:r>
        <w:rPr>
          <w:spacing w:val="-10"/>
          <w:sz w:val="18"/>
          <w:szCs w:val="18"/>
          <w:lang w:val="es-ES_tradnl"/>
        </w:rPr>
        <w:t>formalistas y sin que se le haya dado una atenci</w:t>
      </w:r>
      <w:r>
        <w:rPr>
          <w:rFonts w:cs="Times New Roman"/>
          <w:spacing w:val="-10"/>
          <w:sz w:val="18"/>
          <w:szCs w:val="18"/>
          <w:lang w:val="es-ES_tradnl"/>
        </w:rPr>
        <w:t>ó</w:t>
      </w:r>
      <w:r>
        <w:rPr>
          <w:spacing w:val="-10"/>
          <w:sz w:val="18"/>
          <w:szCs w:val="18"/>
          <w:lang w:val="es-ES_tradnl"/>
        </w:rPr>
        <w:t xml:space="preserve">n prioritaria </w:t>
      </w:r>
      <w:r>
        <w:rPr>
          <w:spacing w:val="-7"/>
          <w:sz w:val="18"/>
          <w:szCs w:val="18"/>
          <w:lang w:val="es-ES_tradnl"/>
        </w:rPr>
        <w:t>en su condici</w:t>
      </w:r>
      <w:r>
        <w:rPr>
          <w:rFonts w:cs="Times New Roman"/>
          <w:spacing w:val="-7"/>
          <w:sz w:val="18"/>
          <w:szCs w:val="18"/>
          <w:lang w:val="es-ES_tradnl"/>
        </w:rPr>
        <w:t>ó</w:t>
      </w:r>
      <w:r>
        <w:rPr>
          <w:spacing w:val="-7"/>
          <w:sz w:val="18"/>
          <w:szCs w:val="18"/>
          <w:lang w:val="es-ES_tradnl"/>
        </w:rPr>
        <w:t>n de persona con discapacidad, al excluirle de las filas de la polic</w:t>
      </w:r>
      <w:r>
        <w:rPr>
          <w:rFonts w:cs="Times New Roman"/>
          <w:spacing w:val="-7"/>
          <w:sz w:val="18"/>
          <w:szCs w:val="18"/>
          <w:lang w:val="es-ES_tradnl"/>
        </w:rPr>
        <w:t>í</w:t>
      </w:r>
      <w:r>
        <w:rPr>
          <w:spacing w:val="-7"/>
          <w:sz w:val="18"/>
          <w:szCs w:val="18"/>
          <w:lang w:val="es-ES_tradnl"/>
        </w:rPr>
        <w:t xml:space="preserve">a por padecer de una discapacidad </w:t>
      </w:r>
      <w:r>
        <w:rPr>
          <w:sz w:val="18"/>
          <w:szCs w:val="18"/>
          <w:lang w:val="es-ES_tradnl"/>
        </w:rPr>
        <w:t>intelectual.</w:t>
      </w:r>
    </w:p>
    <w:p w14:paraId="4F67ADD6" w14:textId="77777777" w:rsidR="00591D54" w:rsidRDefault="00591D54">
      <w:pPr>
        <w:shd w:val="clear" w:color="auto" w:fill="FFFFFF"/>
        <w:spacing w:before="192"/>
      </w:pPr>
      <w:r>
        <w:rPr>
          <w:b/>
          <w:bCs/>
          <w:spacing w:val="-11"/>
          <w:sz w:val="18"/>
          <w:szCs w:val="18"/>
          <w:lang w:val="es-ES_tradnl"/>
        </w:rPr>
        <w:t>Sentencia o auto que se impugna</w:t>
      </w:r>
    </w:p>
    <w:p w14:paraId="4F67ADD7" w14:textId="77777777" w:rsidR="00591D54" w:rsidRDefault="00591D54">
      <w:pPr>
        <w:shd w:val="clear" w:color="auto" w:fill="FFFFFF"/>
        <w:spacing w:before="197"/>
      </w:pPr>
      <w:r>
        <w:rPr>
          <w:spacing w:val="-10"/>
          <w:sz w:val="18"/>
          <w:szCs w:val="18"/>
          <w:lang w:val="es-ES_tradnl"/>
        </w:rPr>
        <w:t>La sentencia que se impugna en su parte pertinente se</w:t>
      </w:r>
      <w:r>
        <w:rPr>
          <w:rFonts w:cs="Times New Roman"/>
          <w:spacing w:val="-10"/>
          <w:sz w:val="18"/>
          <w:szCs w:val="18"/>
          <w:lang w:val="es-ES_tradnl"/>
        </w:rPr>
        <w:t>ñ</w:t>
      </w:r>
      <w:r>
        <w:rPr>
          <w:spacing w:val="-10"/>
          <w:sz w:val="18"/>
          <w:szCs w:val="18"/>
          <w:lang w:val="es-ES_tradnl"/>
        </w:rPr>
        <w:t>ala:</w:t>
      </w:r>
    </w:p>
    <w:p w14:paraId="4F67ADD8" w14:textId="77777777" w:rsidR="00591D54" w:rsidRDefault="00591D54">
      <w:pPr>
        <w:shd w:val="clear" w:color="auto" w:fill="FFFFFF"/>
        <w:spacing w:before="202" w:line="216" w:lineRule="exact"/>
        <w:jc w:val="both"/>
      </w:pPr>
      <w:r>
        <w:rPr>
          <w:spacing w:val="-6"/>
          <w:sz w:val="16"/>
          <w:szCs w:val="16"/>
          <w:lang w:val="es-ES_tradnl"/>
        </w:rPr>
        <w:t>(</w:t>
      </w:r>
      <w:r>
        <w:rPr>
          <w:rFonts w:cs="Times New Roman"/>
          <w:spacing w:val="-6"/>
          <w:sz w:val="16"/>
          <w:szCs w:val="16"/>
          <w:lang w:val="es-ES_tradnl"/>
        </w:rPr>
        <w:t>…</w:t>
      </w:r>
      <w:r>
        <w:rPr>
          <w:spacing w:val="-6"/>
          <w:sz w:val="16"/>
          <w:szCs w:val="16"/>
          <w:lang w:val="es-ES_tradnl"/>
        </w:rPr>
        <w:t xml:space="preserve">) De la sola lectura de estas afirmaciones y el examen del </w:t>
      </w:r>
      <w:r>
        <w:rPr>
          <w:spacing w:val="-5"/>
          <w:sz w:val="16"/>
          <w:szCs w:val="16"/>
          <w:lang w:val="es-ES_tradnl"/>
        </w:rPr>
        <w:t>documento adjuntado a la acci</w:t>
      </w:r>
      <w:r>
        <w:rPr>
          <w:rFonts w:cs="Times New Roman"/>
          <w:spacing w:val="-5"/>
          <w:sz w:val="16"/>
          <w:szCs w:val="16"/>
          <w:lang w:val="es-ES_tradnl"/>
        </w:rPr>
        <w:t>ó</w:t>
      </w:r>
      <w:r>
        <w:rPr>
          <w:spacing w:val="-5"/>
          <w:sz w:val="16"/>
          <w:szCs w:val="16"/>
          <w:lang w:val="es-ES_tradnl"/>
        </w:rPr>
        <w:t>n (Resoluci</w:t>
      </w:r>
      <w:r>
        <w:rPr>
          <w:rFonts w:cs="Times New Roman"/>
          <w:spacing w:val="-5"/>
          <w:sz w:val="16"/>
          <w:szCs w:val="16"/>
          <w:lang w:val="es-ES_tradnl"/>
        </w:rPr>
        <w:t>ó</w:t>
      </w:r>
      <w:r>
        <w:rPr>
          <w:spacing w:val="-5"/>
          <w:sz w:val="16"/>
          <w:szCs w:val="16"/>
          <w:lang w:val="es-ES_tradnl"/>
        </w:rPr>
        <w:t xml:space="preserve">n del H. Consejo </w:t>
      </w:r>
      <w:r>
        <w:rPr>
          <w:spacing w:val="-6"/>
          <w:sz w:val="16"/>
          <w:szCs w:val="16"/>
          <w:lang w:val="es-ES_tradnl"/>
        </w:rPr>
        <w:t>Superior de la Polic</w:t>
      </w:r>
      <w:r>
        <w:rPr>
          <w:rFonts w:cs="Times New Roman"/>
          <w:spacing w:val="-6"/>
          <w:sz w:val="16"/>
          <w:szCs w:val="16"/>
          <w:lang w:val="es-ES_tradnl"/>
        </w:rPr>
        <w:t>í</w:t>
      </w:r>
      <w:r>
        <w:rPr>
          <w:spacing w:val="-6"/>
          <w:sz w:val="16"/>
          <w:szCs w:val="16"/>
          <w:lang w:val="es-ES_tradnl"/>
        </w:rPr>
        <w:t xml:space="preserve">a Nacional) obviamente, se puede constatar </w:t>
      </w:r>
      <w:r>
        <w:rPr>
          <w:spacing w:val="-7"/>
          <w:sz w:val="16"/>
          <w:szCs w:val="16"/>
          <w:lang w:val="es-ES_tradnl"/>
        </w:rPr>
        <w:t>que la acci</w:t>
      </w:r>
      <w:r>
        <w:rPr>
          <w:rFonts w:cs="Times New Roman"/>
          <w:spacing w:val="-7"/>
          <w:sz w:val="16"/>
          <w:szCs w:val="16"/>
          <w:lang w:val="es-ES_tradnl"/>
        </w:rPr>
        <w:t>ó</w:t>
      </w:r>
      <w:r>
        <w:rPr>
          <w:spacing w:val="-7"/>
          <w:sz w:val="16"/>
          <w:szCs w:val="16"/>
          <w:lang w:val="es-ES_tradnl"/>
        </w:rPr>
        <w:t>n incoada por el accionante Alex Agonaga no procede al tenor de la previsi</w:t>
      </w:r>
      <w:r>
        <w:rPr>
          <w:rFonts w:cs="Times New Roman"/>
          <w:spacing w:val="-7"/>
          <w:sz w:val="16"/>
          <w:szCs w:val="16"/>
          <w:lang w:val="es-ES_tradnl"/>
        </w:rPr>
        <w:t>ó</w:t>
      </w:r>
      <w:r>
        <w:rPr>
          <w:spacing w:val="-7"/>
          <w:sz w:val="16"/>
          <w:szCs w:val="16"/>
          <w:lang w:val="es-ES_tradnl"/>
        </w:rPr>
        <w:t>n legal del numeral 4 del art</w:t>
      </w:r>
      <w:r>
        <w:rPr>
          <w:rFonts w:cs="Times New Roman"/>
          <w:spacing w:val="-7"/>
          <w:sz w:val="16"/>
          <w:szCs w:val="16"/>
          <w:lang w:val="es-ES_tradnl"/>
        </w:rPr>
        <w:t>í</w:t>
      </w:r>
      <w:r>
        <w:rPr>
          <w:spacing w:val="-7"/>
          <w:sz w:val="16"/>
          <w:szCs w:val="16"/>
          <w:lang w:val="es-ES_tradnl"/>
        </w:rPr>
        <w:t xml:space="preserve">culo 42 de la Ley </w:t>
      </w:r>
      <w:r>
        <w:rPr>
          <w:spacing w:val="-5"/>
          <w:sz w:val="16"/>
          <w:szCs w:val="16"/>
          <w:lang w:val="es-ES_tradnl"/>
        </w:rPr>
        <w:t>Org</w:t>
      </w:r>
      <w:r>
        <w:rPr>
          <w:rFonts w:cs="Times New Roman"/>
          <w:spacing w:val="-5"/>
          <w:sz w:val="16"/>
          <w:szCs w:val="16"/>
          <w:lang w:val="es-ES_tradnl"/>
        </w:rPr>
        <w:t>á</w:t>
      </w:r>
      <w:r>
        <w:rPr>
          <w:spacing w:val="-5"/>
          <w:sz w:val="16"/>
          <w:szCs w:val="16"/>
          <w:lang w:val="es-ES_tradnl"/>
        </w:rPr>
        <w:t>nica de Garant</w:t>
      </w:r>
      <w:r>
        <w:rPr>
          <w:rFonts w:cs="Times New Roman"/>
          <w:spacing w:val="-5"/>
          <w:sz w:val="16"/>
          <w:szCs w:val="16"/>
          <w:lang w:val="es-ES_tradnl"/>
        </w:rPr>
        <w:t>í</w:t>
      </w:r>
      <w:r>
        <w:rPr>
          <w:spacing w:val="-5"/>
          <w:sz w:val="16"/>
          <w:szCs w:val="16"/>
          <w:lang w:val="es-ES_tradnl"/>
        </w:rPr>
        <w:t xml:space="preserve">as Jurisdiccionales y Control Constitucional </w:t>
      </w:r>
      <w:r>
        <w:rPr>
          <w:sz w:val="16"/>
          <w:szCs w:val="16"/>
          <w:lang w:val="es-ES_tradnl"/>
        </w:rPr>
        <w:t>porque el polic</w:t>
      </w:r>
      <w:r>
        <w:rPr>
          <w:rFonts w:cs="Times New Roman"/>
          <w:sz w:val="16"/>
          <w:szCs w:val="16"/>
          <w:lang w:val="es-ES_tradnl"/>
        </w:rPr>
        <w:t>í</w:t>
      </w:r>
      <w:r>
        <w:rPr>
          <w:sz w:val="16"/>
          <w:szCs w:val="16"/>
          <w:lang w:val="es-ES_tradnl"/>
        </w:rPr>
        <w:t>a es un servidor p</w:t>
      </w:r>
      <w:r>
        <w:rPr>
          <w:rFonts w:cs="Times New Roman"/>
          <w:sz w:val="16"/>
          <w:szCs w:val="16"/>
          <w:lang w:val="es-ES_tradnl"/>
        </w:rPr>
        <w:t>ú</w:t>
      </w:r>
      <w:r>
        <w:rPr>
          <w:sz w:val="16"/>
          <w:szCs w:val="16"/>
          <w:lang w:val="es-ES_tradnl"/>
        </w:rPr>
        <w:t>blico sujeto a sus propias</w:t>
      </w:r>
    </w:p>
    <w:p w14:paraId="4F67ADD9" w14:textId="77777777" w:rsidR="00591D54" w:rsidRDefault="00591D54">
      <w:pPr>
        <w:shd w:val="clear" w:color="auto" w:fill="FFFFFF"/>
        <w:spacing w:before="202" w:line="216" w:lineRule="exact"/>
        <w:jc w:val="both"/>
        <w:sectPr w:rsidR="00591D54">
          <w:type w:val="continuous"/>
          <w:pgSz w:w="11909" w:h="16834"/>
          <w:pgMar w:top="1366" w:right="1309" w:bottom="360" w:left="1308" w:header="720" w:footer="720" w:gutter="0"/>
          <w:cols w:num="2" w:space="720" w:equalWidth="0">
            <w:col w:w="4305" w:space="682"/>
            <w:col w:w="4305"/>
          </w:cols>
          <w:noEndnote/>
        </w:sectPr>
      </w:pPr>
    </w:p>
    <w:p w14:paraId="4F67ADDA" w14:textId="77777777" w:rsidR="00591D54" w:rsidRDefault="00591D54">
      <w:pPr>
        <w:shd w:val="clear" w:color="auto" w:fill="FFFFFF"/>
        <w:tabs>
          <w:tab w:val="left" w:pos="584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- 127</w:t>
      </w:r>
    </w:p>
    <w:p w14:paraId="4F67ADDB" w14:textId="77777777" w:rsidR="00591D54" w:rsidRDefault="00591D54">
      <w:pPr>
        <w:shd w:val="clear" w:color="auto" w:fill="FFFFFF"/>
        <w:tabs>
          <w:tab w:val="left" w:pos="5842"/>
        </w:tabs>
        <w:spacing w:after="230"/>
        <w:ind w:left="5"/>
        <w:sectPr w:rsidR="00591D54">
          <w:pgSz w:w="11909" w:h="16834"/>
          <w:pgMar w:top="1366" w:right="1309" w:bottom="360" w:left="1308" w:header="720" w:footer="720" w:gutter="0"/>
          <w:cols w:space="60"/>
          <w:noEndnote/>
        </w:sectPr>
      </w:pPr>
    </w:p>
    <w:p w14:paraId="4F67ADDC" w14:textId="77777777" w:rsidR="00591D54" w:rsidRDefault="00591D54">
      <w:pPr>
        <w:shd w:val="clear" w:color="auto" w:fill="FFFFFF"/>
        <w:spacing w:line="216" w:lineRule="exact"/>
        <w:jc w:val="both"/>
      </w:pPr>
      <w:r>
        <w:rPr>
          <w:spacing w:val="-6"/>
          <w:sz w:val="16"/>
          <w:szCs w:val="16"/>
          <w:lang w:val="es-ES_tradnl"/>
        </w:rPr>
        <w:t>leyes, pero tambi</w:t>
      </w:r>
      <w:r>
        <w:rPr>
          <w:rFonts w:cs="Times New Roman"/>
          <w:spacing w:val="-6"/>
          <w:sz w:val="16"/>
          <w:szCs w:val="16"/>
          <w:lang w:val="es-ES_tradnl"/>
        </w:rPr>
        <w:t>é</w:t>
      </w:r>
      <w:r>
        <w:rPr>
          <w:spacing w:val="-6"/>
          <w:sz w:val="16"/>
          <w:szCs w:val="16"/>
          <w:lang w:val="es-ES_tradnl"/>
        </w:rPr>
        <w:t>n subsidiariamente a la Ley de Servicio P</w:t>
      </w:r>
      <w:r>
        <w:rPr>
          <w:rFonts w:cs="Times New Roman"/>
          <w:spacing w:val="-6"/>
          <w:sz w:val="16"/>
          <w:szCs w:val="16"/>
          <w:lang w:val="es-ES_tradnl"/>
        </w:rPr>
        <w:t>ú</w:t>
      </w:r>
      <w:r>
        <w:rPr>
          <w:spacing w:val="-6"/>
          <w:sz w:val="16"/>
          <w:szCs w:val="16"/>
          <w:lang w:val="es-ES_tradnl"/>
        </w:rPr>
        <w:t>blico conforme ha previsto la misma en su art</w:t>
      </w:r>
      <w:r>
        <w:rPr>
          <w:rFonts w:cs="Times New Roman"/>
          <w:spacing w:val="-6"/>
          <w:sz w:val="16"/>
          <w:szCs w:val="16"/>
          <w:lang w:val="es-ES_tradnl"/>
        </w:rPr>
        <w:t>í</w:t>
      </w:r>
      <w:r>
        <w:rPr>
          <w:spacing w:val="-6"/>
          <w:sz w:val="16"/>
          <w:szCs w:val="16"/>
          <w:lang w:val="es-ES_tradnl"/>
        </w:rPr>
        <w:t xml:space="preserve">culo 3 numeral 4 cuarto </w:t>
      </w:r>
      <w:r>
        <w:rPr>
          <w:spacing w:val="-10"/>
          <w:sz w:val="16"/>
          <w:szCs w:val="16"/>
          <w:lang w:val="es-ES_tradnl"/>
        </w:rPr>
        <w:t>inciso, tanto m</w:t>
      </w:r>
      <w:r>
        <w:rPr>
          <w:rFonts w:cs="Times New Roman"/>
          <w:spacing w:val="-10"/>
          <w:sz w:val="16"/>
          <w:szCs w:val="16"/>
          <w:lang w:val="es-ES_tradnl"/>
        </w:rPr>
        <w:t>á</w:t>
      </w:r>
      <w:r>
        <w:rPr>
          <w:spacing w:val="-10"/>
          <w:sz w:val="16"/>
          <w:szCs w:val="16"/>
          <w:lang w:val="es-ES_tradnl"/>
        </w:rPr>
        <w:t>s que seg</w:t>
      </w:r>
      <w:r>
        <w:rPr>
          <w:rFonts w:cs="Times New Roman"/>
          <w:spacing w:val="-10"/>
          <w:sz w:val="16"/>
          <w:szCs w:val="16"/>
          <w:lang w:val="es-ES_tradnl"/>
        </w:rPr>
        <w:t>ú</w:t>
      </w:r>
      <w:r>
        <w:rPr>
          <w:spacing w:val="-10"/>
          <w:sz w:val="16"/>
          <w:szCs w:val="16"/>
          <w:lang w:val="es-ES_tradnl"/>
        </w:rPr>
        <w:t>n el art</w:t>
      </w:r>
      <w:r>
        <w:rPr>
          <w:rFonts w:cs="Times New Roman"/>
          <w:spacing w:val="-10"/>
          <w:sz w:val="16"/>
          <w:szCs w:val="16"/>
          <w:lang w:val="es-ES_tradnl"/>
        </w:rPr>
        <w:t>í</w:t>
      </w:r>
      <w:r>
        <w:rPr>
          <w:spacing w:val="-10"/>
          <w:sz w:val="16"/>
          <w:szCs w:val="16"/>
          <w:lang w:val="es-ES_tradnl"/>
        </w:rPr>
        <w:t xml:space="preserve">culo 93 de la Ley de Personal de la </w:t>
      </w:r>
      <w:r>
        <w:rPr>
          <w:spacing w:val="-9"/>
          <w:sz w:val="16"/>
          <w:szCs w:val="16"/>
          <w:lang w:val="es-ES_tradnl"/>
        </w:rPr>
        <w:t>Polic</w:t>
      </w:r>
      <w:r>
        <w:rPr>
          <w:rFonts w:cs="Times New Roman"/>
          <w:spacing w:val="-9"/>
          <w:sz w:val="16"/>
          <w:szCs w:val="16"/>
          <w:lang w:val="es-ES_tradnl"/>
        </w:rPr>
        <w:t>í</w:t>
      </w:r>
      <w:r>
        <w:rPr>
          <w:spacing w:val="-9"/>
          <w:sz w:val="16"/>
          <w:szCs w:val="16"/>
          <w:lang w:val="es-ES_tradnl"/>
        </w:rPr>
        <w:t>a Nacional que se ha consignado en la mentada resoluci</w:t>
      </w:r>
      <w:r>
        <w:rPr>
          <w:rFonts w:cs="Times New Roman"/>
          <w:spacing w:val="-9"/>
          <w:sz w:val="16"/>
          <w:szCs w:val="16"/>
          <w:lang w:val="es-ES_tradnl"/>
        </w:rPr>
        <w:t>ó</w:t>
      </w:r>
      <w:r>
        <w:rPr>
          <w:spacing w:val="-9"/>
          <w:sz w:val="16"/>
          <w:szCs w:val="16"/>
          <w:lang w:val="es-ES_tradnl"/>
        </w:rPr>
        <w:t xml:space="preserve">n ha </w:t>
      </w:r>
      <w:r>
        <w:rPr>
          <w:spacing w:val="-8"/>
          <w:sz w:val="16"/>
          <w:szCs w:val="16"/>
          <w:lang w:val="es-ES_tradnl"/>
        </w:rPr>
        <w:t xml:space="preserve">previsto que las resoluciones emitidas por los Consejos respectivos </w:t>
      </w:r>
      <w:r>
        <w:rPr>
          <w:spacing w:val="-7"/>
          <w:sz w:val="16"/>
          <w:szCs w:val="16"/>
          <w:lang w:val="es-ES_tradnl"/>
        </w:rPr>
        <w:t>de la Polic</w:t>
      </w:r>
      <w:r>
        <w:rPr>
          <w:rFonts w:cs="Times New Roman"/>
          <w:spacing w:val="-7"/>
          <w:sz w:val="16"/>
          <w:szCs w:val="16"/>
          <w:lang w:val="es-ES_tradnl"/>
        </w:rPr>
        <w:t>í</w:t>
      </w:r>
      <w:r>
        <w:rPr>
          <w:spacing w:val="-7"/>
          <w:sz w:val="16"/>
          <w:szCs w:val="16"/>
          <w:lang w:val="es-ES_tradnl"/>
        </w:rPr>
        <w:t xml:space="preserve">a Nacional pueden ser apeladas dentro del plazo de 15 </w:t>
      </w:r>
      <w:r>
        <w:rPr>
          <w:spacing w:val="-6"/>
          <w:sz w:val="16"/>
          <w:szCs w:val="16"/>
          <w:lang w:val="es-ES_tradnl"/>
        </w:rPr>
        <w:t>d</w:t>
      </w:r>
      <w:r>
        <w:rPr>
          <w:rFonts w:cs="Times New Roman"/>
          <w:spacing w:val="-6"/>
          <w:sz w:val="16"/>
          <w:szCs w:val="16"/>
          <w:lang w:val="es-ES_tradnl"/>
        </w:rPr>
        <w:t>í</w:t>
      </w:r>
      <w:r>
        <w:rPr>
          <w:spacing w:val="-6"/>
          <w:sz w:val="16"/>
          <w:szCs w:val="16"/>
          <w:lang w:val="es-ES_tradnl"/>
        </w:rPr>
        <w:t>as (</w:t>
      </w:r>
      <w:r>
        <w:rPr>
          <w:rFonts w:cs="Times New Roman"/>
          <w:spacing w:val="-6"/>
          <w:sz w:val="16"/>
          <w:szCs w:val="16"/>
          <w:lang w:val="es-ES_tradnl"/>
        </w:rPr>
        <w:t>…</w:t>
      </w:r>
      <w:r>
        <w:rPr>
          <w:spacing w:val="-6"/>
          <w:sz w:val="16"/>
          <w:szCs w:val="16"/>
          <w:lang w:val="es-ES_tradnl"/>
        </w:rPr>
        <w:t>) Resoluci</w:t>
      </w:r>
      <w:r>
        <w:rPr>
          <w:rFonts w:cs="Times New Roman"/>
          <w:spacing w:val="-6"/>
          <w:sz w:val="16"/>
          <w:szCs w:val="16"/>
          <w:lang w:val="es-ES_tradnl"/>
        </w:rPr>
        <w:t>ó</w:t>
      </w:r>
      <w:r>
        <w:rPr>
          <w:spacing w:val="-6"/>
          <w:sz w:val="16"/>
          <w:szCs w:val="16"/>
          <w:lang w:val="es-ES_tradnl"/>
        </w:rPr>
        <w:t xml:space="preserve">n: Por las consideraciones precedentes y con </w:t>
      </w:r>
      <w:r>
        <w:rPr>
          <w:spacing w:val="-5"/>
          <w:sz w:val="16"/>
          <w:szCs w:val="16"/>
          <w:lang w:val="es-ES_tradnl"/>
        </w:rPr>
        <w:t>fundamento en lo prescito en el art</w:t>
      </w:r>
      <w:r>
        <w:rPr>
          <w:rFonts w:cs="Times New Roman"/>
          <w:spacing w:val="-5"/>
          <w:sz w:val="16"/>
          <w:szCs w:val="16"/>
          <w:lang w:val="es-ES_tradnl"/>
        </w:rPr>
        <w:t>í</w:t>
      </w:r>
      <w:r>
        <w:rPr>
          <w:spacing w:val="-5"/>
          <w:sz w:val="16"/>
          <w:szCs w:val="16"/>
          <w:lang w:val="es-ES_tradnl"/>
        </w:rPr>
        <w:t xml:space="preserve">culo 42 numerales 3 y 4, y el </w:t>
      </w:r>
      <w:r>
        <w:rPr>
          <w:spacing w:val="-8"/>
          <w:sz w:val="16"/>
          <w:szCs w:val="16"/>
          <w:lang w:val="es-ES_tradnl"/>
        </w:rPr>
        <w:t>mismo art</w:t>
      </w:r>
      <w:r>
        <w:rPr>
          <w:rFonts w:cs="Times New Roman"/>
          <w:spacing w:val="-8"/>
          <w:sz w:val="16"/>
          <w:szCs w:val="16"/>
          <w:lang w:val="es-ES_tradnl"/>
        </w:rPr>
        <w:t>í</w:t>
      </w:r>
      <w:r>
        <w:rPr>
          <w:spacing w:val="-8"/>
          <w:sz w:val="16"/>
          <w:szCs w:val="16"/>
          <w:lang w:val="es-ES_tradnl"/>
        </w:rPr>
        <w:t>culo 42 segundo inciso de la Ley Org</w:t>
      </w:r>
      <w:r>
        <w:rPr>
          <w:rFonts w:cs="Times New Roman"/>
          <w:spacing w:val="-8"/>
          <w:sz w:val="16"/>
          <w:szCs w:val="16"/>
          <w:lang w:val="es-ES_tradnl"/>
        </w:rPr>
        <w:t>á</w:t>
      </w:r>
      <w:r>
        <w:rPr>
          <w:spacing w:val="-8"/>
          <w:sz w:val="16"/>
          <w:szCs w:val="16"/>
          <w:lang w:val="es-ES_tradnl"/>
        </w:rPr>
        <w:t>nica de Garant</w:t>
      </w:r>
      <w:r>
        <w:rPr>
          <w:rFonts w:cs="Times New Roman"/>
          <w:spacing w:val="-8"/>
          <w:sz w:val="16"/>
          <w:szCs w:val="16"/>
          <w:lang w:val="es-ES_tradnl"/>
        </w:rPr>
        <w:t>í</w:t>
      </w:r>
      <w:r>
        <w:rPr>
          <w:spacing w:val="-8"/>
          <w:sz w:val="16"/>
          <w:szCs w:val="16"/>
          <w:lang w:val="es-ES_tradnl"/>
        </w:rPr>
        <w:t xml:space="preserve">as </w:t>
      </w:r>
      <w:r>
        <w:rPr>
          <w:spacing w:val="-5"/>
          <w:sz w:val="16"/>
          <w:szCs w:val="16"/>
          <w:lang w:val="es-ES_tradnl"/>
        </w:rPr>
        <w:t xml:space="preserve">Jurisdiccionales y Control Constitucional, el Tribunal de la Sala Multicompetente de la Corte Provincial de Justicia de Imbabura, REVOCA la sentencia dictada por el juez </w:t>
      </w:r>
      <w:r>
        <w:rPr>
          <w:i/>
          <w:iCs/>
          <w:spacing w:val="-5"/>
          <w:sz w:val="16"/>
          <w:szCs w:val="16"/>
          <w:lang w:val="es-ES_tradnl"/>
        </w:rPr>
        <w:t xml:space="preserve">a quo </w:t>
      </w:r>
      <w:r>
        <w:rPr>
          <w:spacing w:val="-5"/>
          <w:sz w:val="16"/>
          <w:szCs w:val="16"/>
          <w:lang w:val="es-ES_tradnl"/>
        </w:rPr>
        <w:t xml:space="preserve">y en su lugar, </w:t>
      </w:r>
      <w:r>
        <w:rPr>
          <w:spacing w:val="-6"/>
          <w:sz w:val="16"/>
          <w:szCs w:val="16"/>
          <w:lang w:val="es-ES_tradnl"/>
        </w:rPr>
        <w:t>declara INADMISIBLE la acci</w:t>
      </w:r>
      <w:r>
        <w:rPr>
          <w:rFonts w:cs="Times New Roman"/>
          <w:spacing w:val="-6"/>
          <w:sz w:val="16"/>
          <w:szCs w:val="16"/>
          <w:lang w:val="es-ES_tradnl"/>
        </w:rPr>
        <w:t>ó</w:t>
      </w:r>
      <w:r>
        <w:rPr>
          <w:spacing w:val="-6"/>
          <w:sz w:val="16"/>
          <w:szCs w:val="16"/>
          <w:lang w:val="es-ES_tradnl"/>
        </w:rPr>
        <w:t>n de protecci</w:t>
      </w:r>
      <w:r>
        <w:rPr>
          <w:rFonts w:cs="Times New Roman"/>
          <w:spacing w:val="-6"/>
          <w:sz w:val="16"/>
          <w:szCs w:val="16"/>
          <w:lang w:val="es-ES_tradnl"/>
        </w:rPr>
        <w:t>ó</w:t>
      </w:r>
      <w:r>
        <w:rPr>
          <w:spacing w:val="-6"/>
          <w:sz w:val="16"/>
          <w:szCs w:val="16"/>
          <w:lang w:val="es-ES_tradnl"/>
        </w:rPr>
        <w:t xml:space="preserve">n invocada por Alex </w:t>
      </w:r>
      <w:r>
        <w:rPr>
          <w:sz w:val="16"/>
          <w:szCs w:val="16"/>
          <w:lang w:val="es-ES_tradnl"/>
        </w:rPr>
        <w:t>Javier Agonaga Crib</w:t>
      </w:r>
      <w:r>
        <w:rPr>
          <w:rFonts w:cs="Times New Roman"/>
          <w:sz w:val="16"/>
          <w:szCs w:val="16"/>
          <w:lang w:val="es-ES_tradnl"/>
        </w:rPr>
        <w:t>á</w:t>
      </w:r>
      <w:r>
        <w:rPr>
          <w:sz w:val="16"/>
          <w:szCs w:val="16"/>
          <w:lang w:val="es-ES_tradnl"/>
        </w:rPr>
        <w:t>n (</w:t>
      </w:r>
      <w:r>
        <w:rPr>
          <w:rFonts w:cs="Times New Roman"/>
          <w:sz w:val="16"/>
          <w:szCs w:val="16"/>
          <w:lang w:val="es-ES_tradnl"/>
        </w:rPr>
        <w:t>…</w:t>
      </w:r>
      <w:r>
        <w:rPr>
          <w:sz w:val="16"/>
          <w:szCs w:val="16"/>
          <w:lang w:val="es-ES_tradnl"/>
        </w:rPr>
        <w:t>).</w:t>
      </w:r>
    </w:p>
    <w:p w14:paraId="4F67ADDD" w14:textId="77777777" w:rsidR="00591D54" w:rsidRDefault="00591D54">
      <w:pPr>
        <w:shd w:val="clear" w:color="auto" w:fill="FFFFFF"/>
        <w:spacing w:before="206"/>
      </w:pPr>
      <w:r>
        <w:rPr>
          <w:b/>
          <w:bCs/>
          <w:spacing w:val="-11"/>
          <w:sz w:val="18"/>
          <w:szCs w:val="18"/>
          <w:lang w:val="es-ES_tradnl"/>
        </w:rPr>
        <w:t>Pretensi</w:t>
      </w:r>
      <w:r>
        <w:rPr>
          <w:rFonts w:cs="Times New Roman"/>
          <w:b/>
          <w:bCs/>
          <w:spacing w:val="-11"/>
          <w:sz w:val="18"/>
          <w:szCs w:val="18"/>
          <w:lang w:val="es-ES_tradnl"/>
        </w:rPr>
        <w:t>ó</w:t>
      </w:r>
      <w:r>
        <w:rPr>
          <w:b/>
          <w:bCs/>
          <w:spacing w:val="-11"/>
          <w:sz w:val="18"/>
          <w:szCs w:val="18"/>
          <w:lang w:val="es-ES_tradnl"/>
        </w:rPr>
        <w:t>n</w:t>
      </w:r>
    </w:p>
    <w:p w14:paraId="4F67ADDE" w14:textId="77777777" w:rsidR="00591D54" w:rsidRDefault="00591D54">
      <w:pPr>
        <w:shd w:val="clear" w:color="auto" w:fill="FFFFFF"/>
        <w:spacing w:before="202" w:line="221" w:lineRule="exact"/>
        <w:ind w:right="5"/>
        <w:jc w:val="both"/>
      </w:pPr>
      <w:r>
        <w:rPr>
          <w:spacing w:val="-4"/>
          <w:sz w:val="18"/>
          <w:szCs w:val="18"/>
          <w:lang w:val="es-ES_tradnl"/>
        </w:rPr>
        <w:t>La pretensi</w:t>
      </w:r>
      <w:r>
        <w:rPr>
          <w:rFonts w:cs="Times New Roman"/>
          <w:spacing w:val="-4"/>
          <w:sz w:val="18"/>
          <w:szCs w:val="18"/>
          <w:lang w:val="es-ES_tradnl"/>
        </w:rPr>
        <w:t>ó</w:t>
      </w:r>
      <w:r>
        <w:rPr>
          <w:spacing w:val="-4"/>
          <w:sz w:val="18"/>
          <w:szCs w:val="18"/>
          <w:lang w:val="es-ES_tradnl"/>
        </w:rPr>
        <w:t xml:space="preserve">n concreta del legitimado activo es que la </w:t>
      </w:r>
      <w:r>
        <w:rPr>
          <w:spacing w:val="-7"/>
          <w:sz w:val="18"/>
          <w:szCs w:val="18"/>
          <w:lang w:val="es-ES_tradnl"/>
        </w:rPr>
        <w:t xml:space="preserve">Corte Constitucional deje sin efecto la sentencia del 25 de </w:t>
      </w:r>
      <w:r>
        <w:rPr>
          <w:spacing w:val="-5"/>
          <w:sz w:val="18"/>
          <w:szCs w:val="18"/>
          <w:lang w:val="es-ES_tradnl"/>
        </w:rPr>
        <w:t xml:space="preserve">octubre de 2013, emitida por la Sala Multicompetente de </w:t>
      </w:r>
      <w:r>
        <w:rPr>
          <w:spacing w:val="-7"/>
          <w:sz w:val="18"/>
          <w:szCs w:val="18"/>
          <w:lang w:val="es-ES_tradnl"/>
        </w:rPr>
        <w:t>la Corte Provincial de Imbabura, as</w:t>
      </w:r>
      <w:r>
        <w:rPr>
          <w:rFonts w:cs="Times New Roman"/>
          <w:spacing w:val="-7"/>
          <w:sz w:val="18"/>
          <w:szCs w:val="18"/>
          <w:lang w:val="es-ES_tradnl"/>
        </w:rPr>
        <w:t>í</w:t>
      </w:r>
      <w:r>
        <w:rPr>
          <w:spacing w:val="-7"/>
          <w:sz w:val="18"/>
          <w:szCs w:val="18"/>
          <w:lang w:val="es-ES_tradnl"/>
        </w:rPr>
        <w:t xml:space="preserve"> como la sentencia del </w:t>
      </w:r>
      <w:r>
        <w:rPr>
          <w:spacing w:val="-6"/>
          <w:sz w:val="18"/>
          <w:szCs w:val="18"/>
          <w:lang w:val="es-ES_tradnl"/>
        </w:rPr>
        <w:t xml:space="preserve">26 de septiembre de 2013, emitida por la Unidad Judicial </w:t>
      </w:r>
      <w:r>
        <w:rPr>
          <w:spacing w:val="-5"/>
          <w:sz w:val="18"/>
          <w:szCs w:val="18"/>
          <w:lang w:val="es-ES_tradnl"/>
        </w:rPr>
        <w:t>Especializada de lo Civil y Mercantil de Ibarra.</w:t>
      </w:r>
    </w:p>
    <w:p w14:paraId="4F67ADDF" w14:textId="77777777" w:rsidR="00591D54" w:rsidRDefault="00591D54">
      <w:pPr>
        <w:shd w:val="clear" w:color="auto" w:fill="FFFFFF"/>
        <w:spacing w:before="202" w:line="216" w:lineRule="exact"/>
        <w:ind w:right="5"/>
        <w:jc w:val="both"/>
      </w:pPr>
      <w:r>
        <w:rPr>
          <w:spacing w:val="-6"/>
          <w:sz w:val="18"/>
          <w:szCs w:val="18"/>
          <w:lang w:val="es-ES_tradnl"/>
        </w:rPr>
        <w:t>Solicita se disponga a la Polic</w:t>
      </w:r>
      <w:r>
        <w:rPr>
          <w:rFonts w:cs="Times New Roman"/>
          <w:spacing w:val="-6"/>
          <w:sz w:val="18"/>
          <w:szCs w:val="18"/>
          <w:lang w:val="es-ES_tradnl"/>
        </w:rPr>
        <w:t>í</w:t>
      </w:r>
      <w:r>
        <w:rPr>
          <w:spacing w:val="-6"/>
          <w:sz w:val="18"/>
          <w:szCs w:val="18"/>
          <w:lang w:val="es-ES_tradnl"/>
        </w:rPr>
        <w:t xml:space="preserve">a Nacional que realice una </w:t>
      </w:r>
      <w:r>
        <w:rPr>
          <w:spacing w:val="-9"/>
          <w:sz w:val="18"/>
          <w:szCs w:val="18"/>
          <w:lang w:val="es-ES_tradnl"/>
        </w:rPr>
        <w:t>nueva evaluaci</w:t>
      </w:r>
      <w:r>
        <w:rPr>
          <w:rFonts w:cs="Times New Roman"/>
          <w:spacing w:val="-9"/>
          <w:sz w:val="18"/>
          <w:szCs w:val="18"/>
          <w:lang w:val="es-ES_tradnl"/>
        </w:rPr>
        <w:t>ó</w:t>
      </w:r>
      <w:r>
        <w:rPr>
          <w:spacing w:val="-9"/>
          <w:sz w:val="18"/>
          <w:szCs w:val="18"/>
          <w:lang w:val="es-ES_tradnl"/>
        </w:rPr>
        <w:t>n de las materias que reprob</w:t>
      </w:r>
      <w:r>
        <w:rPr>
          <w:rFonts w:cs="Times New Roman"/>
          <w:spacing w:val="-9"/>
          <w:sz w:val="18"/>
          <w:szCs w:val="18"/>
          <w:lang w:val="es-ES_tradnl"/>
        </w:rPr>
        <w:t>ó</w:t>
      </w:r>
      <w:r>
        <w:rPr>
          <w:spacing w:val="-9"/>
          <w:sz w:val="18"/>
          <w:szCs w:val="18"/>
          <w:lang w:val="es-ES_tradnl"/>
        </w:rPr>
        <w:t xml:space="preserve"> (Introducci</w:t>
      </w:r>
      <w:r>
        <w:rPr>
          <w:rFonts w:cs="Times New Roman"/>
          <w:spacing w:val="-9"/>
          <w:sz w:val="18"/>
          <w:szCs w:val="18"/>
          <w:lang w:val="es-ES_tradnl"/>
        </w:rPr>
        <w:t>ó</w:t>
      </w:r>
      <w:r>
        <w:rPr>
          <w:spacing w:val="-9"/>
          <w:sz w:val="18"/>
          <w:szCs w:val="18"/>
          <w:lang w:val="es-ES_tradnl"/>
        </w:rPr>
        <w:t xml:space="preserve">n </w:t>
      </w:r>
      <w:r>
        <w:rPr>
          <w:spacing w:val="-5"/>
          <w:sz w:val="18"/>
          <w:szCs w:val="18"/>
          <w:lang w:val="es-ES_tradnl"/>
        </w:rPr>
        <w:t>a los derechos humanos y Polic</w:t>
      </w:r>
      <w:r>
        <w:rPr>
          <w:rFonts w:cs="Times New Roman"/>
          <w:spacing w:val="-5"/>
          <w:sz w:val="18"/>
          <w:szCs w:val="18"/>
          <w:lang w:val="es-ES_tradnl"/>
        </w:rPr>
        <w:t>í</w:t>
      </w:r>
      <w:r>
        <w:rPr>
          <w:spacing w:val="-5"/>
          <w:sz w:val="18"/>
          <w:szCs w:val="18"/>
          <w:lang w:val="es-ES_tradnl"/>
        </w:rPr>
        <w:t>a comunitaria) tomando en consideraci</w:t>
      </w:r>
      <w:r>
        <w:rPr>
          <w:rFonts w:cs="Times New Roman"/>
          <w:spacing w:val="-5"/>
          <w:sz w:val="18"/>
          <w:szCs w:val="18"/>
          <w:lang w:val="es-ES_tradnl"/>
        </w:rPr>
        <w:t>ó</w:t>
      </w:r>
      <w:r>
        <w:rPr>
          <w:spacing w:val="-5"/>
          <w:sz w:val="18"/>
          <w:szCs w:val="18"/>
          <w:lang w:val="es-ES_tradnl"/>
        </w:rPr>
        <w:t>n su condici</w:t>
      </w:r>
      <w:r>
        <w:rPr>
          <w:rFonts w:cs="Times New Roman"/>
          <w:spacing w:val="-5"/>
          <w:sz w:val="18"/>
          <w:szCs w:val="18"/>
          <w:lang w:val="es-ES_tradnl"/>
        </w:rPr>
        <w:t>ó</w:t>
      </w:r>
      <w:r>
        <w:rPr>
          <w:spacing w:val="-5"/>
          <w:sz w:val="18"/>
          <w:szCs w:val="18"/>
          <w:lang w:val="es-ES_tradnl"/>
        </w:rPr>
        <w:t xml:space="preserve">n de intelectualmente </w:t>
      </w:r>
      <w:r>
        <w:rPr>
          <w:sz w:val="18"/>
          <w:szCs w:val="18"/>
          <w:lang w:val="es-ES_tradnl"/>
        </w:rPr>
        <w:t>discapacitado.</w:t>
      </w:r>
    </w:p>
    <w:p w14:paraId="4F67ADE0" w14:textId="77777777" w:rsidR="00591D54" w:rsidRDefault="00591D54">
      <w:pPr>
        <w:shd w:val="clear" w:color="auto" w:fill="FFFFFF"/>
        <w:spacing w:before="197" w:line="221" w:lineRule="exact"/>
        <w:ind w:right="5"/>
        <w:jc w:val="both"/>
      </w:pPr>
      <w:r>
        <w:rPr>
          <w:spacing w:val="-5"/>
          <w:sz w:val="18"/>
          <w:szCs w:val="18"/>
          <w:lang w:val="es-ES_tradnl"/>
        </w:rPr>
        <w:t>De igual forma solicita que se le excluya de la situaci</w:t>
      </w:r>
      <w:r>
        <w:rPr>
          <w:rFonts w:cs="Times New Roman"/>
          <w:spacing w:val="-5"/>
          <w:sz w:val="18"/>
          <w:szCs w:val="18"/>
          <w:lang w:val="es-ES_tradnl"/>
        </w:rPr>
        <w:t>ó</w:t>
      </w:r>
      <w:r>
        <w:rPr>
          <w:spacing w:val="-5"/>
          <w:sz w:val="18"/>
          <w:szCs w:val="18"/>
          <w:lang w:val="es-ES_tradnl"/>
        </w:rPr>
        <w:t xml:space="preserve">n </w:t>
      </w:r>
      <w:r>
        <w:rPr>
          <w:spacing w:val="-6"/>
          <w:sz w:val="18"/>
          <w:szCs w:val="18"/>
          <w:lang w:val="es-ES_tradnl"/>
        </w:rPr>
        <w:t>transitoria y consecuentemente de la lista de eliminaci</w:t>
      </w:r>
      <w:r>
        <w:rPr>
          <w:rFonts w:cs="Times New Roman"/>
          <w:spacing w:val="-6"/>
          <w:sz w:val="18"/>
          <w:szCs w:val="18"/>
          <w:lang w:val="es-ES_tradnl"/>
        </w:rPr>
        <w:t>ó</w:t>
      </w:r>
      <w:r>
        <w:rPr>
          <w:spacing w:val="-6"/>
          <w:sz w:val="18"/>
          <w:szCs w:val="18"/>
          <w:lang w:val="es-ES_tradnl"/>
        </w:rPr>
        <w:t xml:space="preserve">n </w:t>
      </w:r>
      <w:r>
        <w:rPr>
          <w:spacing w:val="-9"/>
          <w:sz w:val="18"/>
          <w:szCs w:val="18"/>
          <w:lang w:val="es-ES_tradnl"/>
        </w:rPr>
        <w:t>correspondiente al a</w:t>
      </w:r>
      <w:r>
        <w:rPr>
          <w:rFonts w:cs="Times New Roman"/>
          <w:spacing w:val="-9"/>
          <w:sz w:val="18"/>
          <w:szCs w:val="18"/>
          <w:lang w:val="es-ES_tradnl"/>
        </w:rPr>
        <w:t>ñ</w:t>
      </w:r>
      <w:r>
        <w:rPr>
          <w:spacing w:val="-9"/>
          <w:sz w:val="18"/>
          <w:szCs w:val="18"/>
          <w:lang w:val="es-ES_tradnl"/>
        </w:rPr>
        <w:t xml:space="preserve">o 2013 y que se disponga que se le </w:t>
      </w:r>
      <w:r>
        <w:rPr>
          <w:spacing w:val="-8"/>
          <w:sz w:val="18"/>
          <w:szCs w:val="18"/>
          <w:lang w:val="es-ES_tradnl"/>
        </w:rPr>
        <w:t xml:space="preserve">conceda un trato especializado y prioritario con el objeto de </w:t>
      </w:r>
      <w:r>
        <w:rPr>
          <w:sz w:val="18"/>
          <w:szCs w:val="18"/>
          <w:lang w:val="es-ES_tradnl"/>
        </w:rPr>
        <w:t>garantizar su derecho al trabajo.</w:t>
      </w:r>
    </w:p>
    <w:p w14:paraId="4F67ADE1" w14:textId="77777777" w:rsidR="00591D54" w:rsidRDefault="00591D54">
      <w:pPr>
        <w:shd w:val="clear" w:color="auto" w:fill="FFFFFF"/>
        <w:spacing w:before="192"/>
      </w:pPr>
      <w:r>
        <w:rPr>
          <w:b/>
          <w:bCs/>
          <w:spacing w:val="-11"/>
          <w:sz w:val="18"/>
          <w:szCs w:val="18"/>
          <w:lang w:val="es-ES_tradnl"/>
        </w:rPr>
        <w:t>Contestaciones a la demanda</w:t>
      </w:r>
    </w:p>
    <w:p w14:paraId="4F67ADE2" w14:textId="77777777" w:rsidR="00591D54" w:rsidRDefault="00591D54">
      <w:pPr>
        <w:shd w:val="clear" w:color="auto" w:fill="FFFFFF"/>
        <w:spacing w:before="197" w:line="221" w:lineRule="exact"/>
        <w:ind w:right="5"/>
        <w:jc w:val="both"/>
      </w:pPr>
      <w:r>
        <w:rPr>
          <w:b/>
          <w:bCs/>
          <w:spacing w:val="-11"/>
          <w:sz w:val="18"/>
          <w:szCs w:val="18"/>
          <w:lang w:val="es-ES_tradnl"/>
        </w:rPr>
        <w:t xml:space="preserve">Jueces de la Sala Multicompetente de la Corte Provincial </w:t>
      </w:r>
      <w:r>
        <w:rPr>
          <w:b/>
          <w:bCs/>
          <w:sz w:val="18"/>
          <w:szCs w:val="18"/>
          <w:lang w:val="es-ES_tradnl"/>
        </w:rPr>
        <w:t>de Justicia de Imbabura</w:t>
      </w:r>
    </w:p>
    <w:p w14:paraId="4F67ADE3" w14:textId="77777777" w:rsidR="00591D54" w:rsidRDefault="00591D54">
      <w:pPr>
        <w:shd w:val="clear" w:color="auto" w:fill="FFFFFF"/>
        <w:spacing w:before="202" w:line="216" w:lineRule="exact"/>
        <w:ind w:right="5"/>
        <w:jc w:val="both"/>
      </w:pPr>
      <w:r>
        <w:rPr>
          <w:spacing w:val="-2"/>
          <w:sz w:val="18"/>
          <w:szCs w:val="18"/>
          <w:lang w:val="es-ES_tradnl"/>
        </w:rPr>
        <w:t xml:space="preserve">Comparecen los jueces de la Sala Multicompetente de la Corte Provincial de Justicia de Imbabura, quienes </w:t>
      </w:r>
      <w:r>
        <w:rPr>
          <w:spacing w:val="-9"/>
          <w:sz w:val="18"/>
          <w:szCs w:val="18"/>
          <w:lang w:val="es-ES_tradnl"/>
        </w:rPr>
        <w:t>manifiestan que la decisi</w:t>
      </w:r>
      <w:r>
        <w:rPr>
          <w:rFonts w:cs="Times New Roman"/>
          <w:spacing w:val="-9"/>
          <w:sz w:val="18"/>
          <w:szCs w:val="18"/>
          <w:lang w:val="es-ES_tradnl"/>
        </w:rPr>
        <w:t>ó</w:t>
      </w:r>
      <w:r>
        <w:rPr>
          <w:spacing w:val="-9"/>
          <w:sz w:val="18"/>
          <w:szCs w:val="18"/>
          <w:lang w:val="es-ES_tradnl"/>
        </w:rPr>
        <w:t xml:space="preserve">n impugnada fue tomada porque </w:t>
      </w:r>
      <w:r>
        <w:rPr>
          <w:spacing w:val="-7"/>
          <w:sz w:val="18"/>
          <w:szCs w:val="18"/>
          <w:lang w:val="es-ES_tradnl"/>
        </w:rPr>
        <w:t>el Tribunal de la Sala consider</w:t>
      </w:r>
      <w:r>
        <w:rPr>
          <w:rFonts w:cs="Times New Roman"/>
          <w:spacing w:val="-7"/>
          <w:sz w:val="18"/>
          <w:szCs w:val="18"/>
          <w:lang w:val="es-ES_tradnl"/>
        </w:rPr>
        <w:t>ó</w:t>
      </w:r>
      <w:r>
        <w:rPr>
          <w:spacing w:val="-7"/>
          <w:sz w:val="18"/>
          <w:szCs w:val="18"/>
          <w:lang w:val="es-ES_tradnl"/>
        </w:rPr>
        <w:t xml:space="preserve"> y ha considerado en otros </w:t>
      </w:r>
      <w:r>
        <w:rPr>
          <w:spacing w:val="-6"/>
          <w:sz w:val="18"/>
          <w:szCs w:val="18"/>
          <w:lang w:val="es-ES_tradnl"/>
        </w:rPr>
        <w:t>casos igualmente, que la inadmisibilidad de la acci</w:t>
      </w:r>
      <w:r>
        <w:rPr>
          <w:rFonts w:cs="Times New Roman"/>
          <w:spacing w:val="-6"/>
          <w:sz w:val="18"/>
          <w:szCs w:val="18"/>
          <w:lang w:val="es-ES_tradnl"/>
        </w:rPr>
        <w:t>ó</w:t>
      </w:r>
      <w:r>
        <w:rPr>
          <w:spacing w:val="-6"/>
          <w:sz w:val="18"/>
          <w:szCs w:val="18"/>
          <w:lang w:val="es-ES_tradnl"/>
        </w:rPr>
        <w:t>n de protecci</w:t>
      </w:r>
      <w:r>
        <w:rPr>
          <w:rFonts w:cs="Times New Roman"/>
          <w:spacing w:val="-6"/>
          <w:sz w:val="18"/>
          <w:szCs w:val="18"/>
          <w:lang w:val="es-ES_tradnl"/>
        </w:rPr>
        <w:t>ó</w:t>
      </w:r>
      <w:r>
        <w:rPr>
          <w:spacing w:val="-6"/>
          <w:sz w:val="18"/>
          <w:szCs w:val="18"/>
          <w:lang w:val="es-ES_tradnl"/>
        </w:rPr>
        <w:t>n por las causales de improcedencia del art</w:t>
      </w:r>
      <w:r>
        <w:rPr>
          <w:rFonts w:cs="Times New Roman"/>
          <w:spacing w:val="-6"/>
          <w:sz w:val="18"/>
          <w:szCs w:val="18"/>
          <w:lang w:val="es-ES_tradnl"/>
        </w:rPr>
        <w:t>í</w:t>
      </w:r>
      <w:r>
        <w:rPr>
          <w:spacing w:val="-6"/>
          <w:sz w:val="18"/>
          <w:szCs w:val="18"/>
          <w:lang w:val="es-ES_tradnl"/>
        </w:rPr>
        <w:t>culo 42 deb</w:t>
      </w:r>
      <w:r>
        <w:rPr>
          <w:rFonts w:cs="Times New Roman"/>
          <w:spacing w:val="-6"/>
          <w:sz w:val="18"/>
          <w:szCs w:val="18"/>
          <w:lang w:val="es-ES_tradnl"/>
        </w:rPr>
        <w:t>í</w:t>
      </w:r>
      <w:r>
        <w:rPr>
          <w:spacing w:val="-6"/>
          <w:sz w:val="18"/>
          <w:szCs w:val="18"/>
          <w:lang w:val="es-ES_tradnl"/>
        </w:rPr>
        <w:t>a declar</w:t>
      </w:r>
      <w:r>
        <w:rPr>
          <w:rFonts w:cs="Times New Roman"/>
          <w:spacing w:val="-6"/>
          <w:sz w:val="18"/>
          <w:szCs w:val="18"/>
          <w:lang w:val="es-ES_tradnl"/>
        </w:rPr>
        <w:t>á</w:t>
      </w:r>
      <w:r>
        <w:rPr>
          <w:spacing w:val="-6"/>
          <w:sz w:val="18"/>
          <w:szCs w:val="18"/>
          <w:lang w:val="es-ES_tradnl"/>
        </w:rPr>
        <w:t>rsela en el mismo auto de calificaci</w:t>
      </w:r>
      <w:r>
        <w:rPr>
          <w:rFonts w:cs="Times New Roman"/>
          <w:spacing w:val="-6"/>
          <w:sz w:val="18"/>
          <w:szCs w:val="18"/>
          <w:lang w:val="es-ES_tradnl"/>
        </w:rPr>
        <w:t>ó</w:t>
      </w:r>
      <w:r>
        <w:rPr>
          <w:spacing w:val="-6"/>
          <w:sz w:val="18"/>
          <w:szCs w:val="18"/>
          <w:lang w:val="es-ES_tradnl"/>
        </w:rPr>
        <w:t xml:space="preserve">n, </w:t>
      </w:r>
      <w:r>
        <w:rPr>
          <w:spacing w:val="-7"/>
          <w:sz w:val="18"/>
          <w:szCs w:val="18"/>
          <w:lang w:val="es-ES_tradnl"/>
        </w:rPr>
        <w:t>porque esa era la interpretaci</w:t>
      </w:r>
      <w:r>
        <w:rPr>
          <w:rFonts w:cs="Times New Roman"/>
          <w:spacing w:val="-7"/>
          <w:sz w:val="18"/>
          <w:szCs w:val="18"/>
          <w:lang w:val="es-ES_tradnl"/>
        </w:rPr>
        <w:t>ó</w:t>
      </w:r>
      <w:r>
        <w:rPr>
          <w:spacing w:val="-7"/>
          <w:sz w:val="18"/>
          <w:szCs w:val="18"/>
          <w:lang w:val="es-ES_tradnl"/>
        </w:rPr>
        <w:t>n que hab</w:t>
      </w:r>
      <w:r>
        <w:rPr>
          <w:rFonts w:cs="Times New Roman"/>
          <w:spacing w:val="-7"/>
          <w:sz w:val="18"/>
          <w:szCs w:val="18"/>
          <w:lang w:val="es-ES_tradnl"/>
        </w:rPr>
        <w:t>í</w:t>
      </w:r>
      <w:r>
        <w:rPr>
          <w:spacing w:val="-7"/>
          <w:sz w:val="18"/>
          <w:szCs w:val="18"/>
          <w:lang w:val="es-ES_tradnl"/>
        </w:rPr>
        <w:t xml:space="preserve">an dado a dicha </w:t>
      </w:r>
      <w:r>
        <w:rPr>
          <w:sz w:val="18"/>
          <w:szCs w:val="18"/>
          <w:lang w:val="es-ES_tradnl"/>
        </w:rPr>
        <w:t>disposici</w:t>
      </w:r>
      <w:r>
        <w:rPr>
          <w:rFonts w:cs="Times New Roman"/>
          <w:sz w:val="18"/>
          <w:szCs w:val="18"/>
          <w:lang w:val="es-ES_tradnl"/>
        </w:rPr>
        <w:t>ó</w:t>
      </w:r>
      <w:r>
        <w:rPr>
          <w:sz w:val="18"/>
          <w:szCs w:val="18"/>
          <w:lang w:val="es-ES_tradnl"/>
        </w:rPr>
        <w:t>n legal.</w:t>
      </w:r>
    </w:p>
    <w:p w14:paraId="4F67ADE4" w14:textId="77777777" w:rsidR="00591D54" w:rsidRDefault="00591D54">
      <w:pPr>
        <w:shd w:val="clear" w:color="auto" w:fill="FFFFFF"/>
        <w:spacing w:before="197" w:line="221" w:lineRule="exact"/>
        <w:ind w:right="5"/>
        <w:jc w:val="both"/>
      </w:pPr>
      <w:r>
        <w:rPr>
          <w:spacing w:val="-10"/>
          <w:sz w:val="18"/>
          <w:szCs w:val="18"/>
          <w:lang w:val="es-ES_tradnl"/>
        </w:rPr>
        <w:t xml:space="preserve">Que si bien es cierto que la Corte Constitucional en virtud de </w:t>
      </w:r>
      <w:r>
        <w:rPr>
          <w:spacing w:val="-9"/>
          <w:sz w:val="18"/>
          <w:szCs w:val="18"/>
          <w:lang w:val="es-ES_tradnl"/>
        </w:rPr>
        <w:t>la competencia establecida en el art</w:t>
      </w:r>
      <w:r>
        <w:rPr>
          <w:rFonts w:cs="Times New Roman"/>
          <w:spacing w:val="-9"/>
          <w:sz w:val="18"/>
          <w:szCs w:val="18"/>
          <w:lang w:val="es-ES_tradnl"/>
        </w:rPr>
        <w:t>í</w:t>
      </w:r>
      <w:r>
        <w:rPr>
          <w:spacing w:val="-9"/>
          <w:sz w:val="18"/>
          <w:szCs w:val="18"/>
          <w:lang w:val="es-ES_tradnl"/>
        </w:rPr>
        <w:t xml:space="preserve">culo 436 numerales 1 y </w:t>
      </w:r>
      <w:r>
        <w:rPr>
          <w:spacing w:val="-8"/>
          <w:sz w:val="18"/>
          <w:szCs w:val="18"/>
          <w:lang w:val="es-ES_tradnl"/>
        </w:rPr>
        <w:t>3 de la Constituci</w:t>
      </w:r>
      <w:r>
        <w:rPr>
          <w:rFonts w:cs="Times New Roman"/>
          <w:spacing w:val="-8"/>
          <w:sz w:val="18"/>
          <w:szCs w:val="18"/>
          <w:lang w:val="es-ES_tradnl"/>
        </w:rPr>
        <w:t>ó</w:t>
      </w:r>
      <w:r>
        <w:rPr>
          <w:spacing w:val="-8"/>
          <w:sz w:val="18"/>
          <w:szCs w:val="18"/>
          <w:lang w:val="es-ES_tradnl"/>
        </w:rPr>
        <w:t xml:space="preserve">n ha interpretado conforme y de manera </w:t>
      </w:r>
      <w:r>
        <w:rPr>
          <w:spacing w:val="-4"/>
          <w:sz w:val="18"/>
          <w:szCs w:val="18"/>
          <w:lang w:val="es-ES_tradnl"/>
        </w:rPr>
        <w:t xml:space="preserve">condicionada con efectos </w:t>
      </w:r>
      <w:r>
        <w:rPr>
          <w:rFonts w:cs="Times New Roman"/>
          <w:spacing w:val="-4"/>
          <w:sz w:val="18"/>
          <w:szCs w:val="18"/>
          <w:lang w:val="es-ES_tradnl"/>
        </w:rPr>
        <w:t>“</w:t>
      </w:r>
      <w:r>
        <w:rPr>
          <w:i/>
          <w:iCs/>
          <w:spacing w:val="-4"/>
          <w:sz w:val="18"/>
          <w:szCs w:val="18"/>
          <w:lang w:val="es-ES_tradnl"/>
        </w:rPr>
        <w:t>ERGA OMNES</w:t>
      </w:r>
      <w:r>
        <w:rPr>
          <w:rFonts w:cs="Times New Roman"/>
          <w:spacing w:val="-4"/>
          <w:sz w:val="18"/>
          <w:szCs w:val="18"/>
          <w:lang w:val="es-ES_tradnl"/>
        </w:rPr>
        <w:t>”</w:t>
      </w:r>
      <w:r>
        <w:rPr>
          <w:spacing w:val="-4"/>
          <w:sz w:val="18"/>
          <w:szCs w:val="18"/>
          <w:lang w:val="es-ES_tradnl"/>
        </w:rPr>
        <w:t xml:space="preserve"> los art</w:t>
      </w:r>
      <w:r>
        <w:rPr>
          <w:rFonts w:cs="Times New Roman"/>
          <w:spacing w:val="-4"/>
          <w:sz w:val="18"/>
          <w:szCs w:val="18"/>
          <w:lang w:val="es-ES_tradnl"/>
        </w:rPr>
        <w:t>í</w:t>
      </w:r>
      <w:r>
        <w:rPr>
          <w:spacing w:val="-4"/>
          <w:sz w:val="18"/>
          <w:szCs w:val="18"/>
          <w:lang w:val="es-ES_tradnl"/>
        </w:rPr>
        <w:t xml:space="preserve">culos </w:t>
      </w:r>
      <w:r>
        <w:rPr>
          <w:spacing w:val="-5"/>
          <w:sz w:val="18"/>
          <w:szCs w:val="18"/>
          <w:lang w:val="es-ES_tradnl"/>
        </w:rPr>
        <w:t>40 y 42 de la Ley Org</w:t>
      </w:r>
      <w:r>
        <w:rPr>
          <w:rFonts w:cs="Times New Roman"/>
          <w:spacing w:val="-5"/>
          <w:sz w:val="18"/>
          <w:szCs w:val="18"/>
          <w:lang w:val="es-ES_tradnl"/>
        </w:rPr>
        <w:t>á</w:t>
      </w:r>
      <w:r>
        <w:rPr>
          <w:spacing w:val="-5"/>
          <w:sz w:val="18"/>
          <w:szCs w:val="18"/>
          <w:lang w:val="es-ES_tradnl"/>
        </w:rPr>
        <w:t>nica de Garant</w:t>
      </w:r>
      <w:r>
        <w:rPr>
          <w:rFonts w:cs="Times New Roman"/>
          <w:spacing w:val="-5"/>
          <w:sz w:val="18"/>
          <w:szCs w:val="18"/>
          <w:lang w:val="es-ES_tradnl"/>
        </w:rPr>
        <w:t>í</w:t>
      </w:r>
      <w:r>
        <w:rPr>
          <w:spacing w:val="-5"/>
          <w:sz w:val="18"/>
          <w:szCs w:val="18"/>
          <w:lang w:val="es-ES_tradnl"/>
        </w:rPr>
        <w:t>as Jurisdiccionales y Control Constitucional, esa interpretaci</w:t>
      </w:r>
      <w:r>
        <w:rPr>
          <w:rFonts w:cs="Times New Roman"/>
          <w:spacing w:val="-5"/>
          <w:sz w:val="18"/>
          <w:szCs w:val="18"/>
          <w:lang w:val="es-ES_tradnl"/>
        </w:rPr>
        <w:t>ó</w:t>
      </w:r>
      <w:r>
        <w:rPr>
          <w:spacing w:val="-5"/>
          <w:sz w:val="18"/>
          <w:szCs w:val="18"/>
          <w:lang w:val="es-ES_tradnl"/>
        </w:rPr>
        <w:t>n, la est</w:t>
      </w:r>
      <w:r>
        <w:rPr>
          <w:rFonts w:cs="Times New Roman"/>
          <w:spacing w:val="-5"/>
          <w:sz w:val="18"/>
          <w:szCs w:val="18"/>
          <w:lang w:val="es-ES_tradnl"/>
        </w:rPr>
        <w:t>á</w:t>
      </w:r>
      <w:r>
        <w:rPr>
          <w:spacing w:val="-5"/>
          <w:sz w:val="18"/>
          <w:szCs w:val="18"/>
          <w:lang w:val="es-ES_tradnl"/>
        </w:rPr>
        <w:t xml:space="preserve">n </w:t>
      </w:r>
      <w:r>
        <w:rPr>
          <w:spacing w:val="-7"/>
          <w:sz w:val="18"/>
          <w:szCs w:val="18"/>
          <w:lang w:val="es-ES_tradnl"/>
        </w:rPr>
        <w:t xml:space="preserve">observando a partir del 27 de diciembre de 2013 en que </w:t>
      </w:r>
      <w:r>
        <w:rPr>
          <w:spacing w:val="-6"/>
          <w:sz w:val="18"/>
          <w:szCs w:val="18"/>
          <w:lang w:val="es-ES_tradnl"/>
        </w:rPr>
        <w:t>dicha sentencia se public</w:t>
      </w:r>
      <w:r>
        <w:rPr>
          <w:rFonts w:cs="Times New Roman"/>
          <w:spacing w:val="-6"/>
          <w:sz w:val="18"/>
          <w:szCs w:val="18"/>
          <w:lang w:val="es-ES_tradnl"/>
        </w:rPr>
        <w:t>ó</w:t>
      </w:r>
      <w:r>
        <w:rPr>
          <w:spacing w:val="-6"/>
          <w:sz w:val="18"/>
          <w:szCs w:val="18"/>
          <w:lang w:val="es-ES_tradnl"/>
        </w:rPr>
        <w:t>, la misma, que a su criterio, no podr</w:t>
      </w:r>
      <w:r>
        <w:rPr>
          <w:rFonts w:cs="Times New Roman"/>
          <w:spacing w:val="-6"/>
          <w:sz w:val="18"/>
          <w:szCs w:val="18"/>
          <w:lang w:val="es-ES_tradnl"/>
        </w:rPr>
        <w:t>í</w:t>
      </w:r>
      <w:r>
        <w:rPr>
          <w:spacing w:val="-6"/>
          <w:sz w:val="18"/>
          <w:szCs w:val="18"/>
          <w:lang w:val="es-ES_tradnl"/>
        </w:rPr>
        <w:t>a surtir efecto jur</w:t>
      </w:r>
      <w:r>
        <w:rPr>
          <w:rFonts w:cs="Times New Roman"/>
          <w:spacing w:val="-6"/>
          <w:sz w:val="18"/>
          <w:szCs w:val="18"/>
          <w:lang w:val="es-ES_tradnl"/>
        </w:rPr>
        <w:t>í</w:t>
      </w:r>
      <w:r>
        <w:rPr>
          <w:spacing w:val="-6"/>
          <w:sz w:val="18"/>
          <w:szCs w:val="18"/>
          <w:lang w:val="es-ES_tradnl"/>
        </w:rPr>
        <w:t>dico alguno en la decisi</w:t>
      </w:r>
      <w:r>
        <w:rPr>
          <w:rFonts w:cs="Times New Roman"/>
          <w:spacing w:val="-6"/>
          <w:sz w:val="18"/>
          <w:szCs w:val="18"/>
          <w:lang w:val="es-ES_tradnl"/>
        </w:rPr>
        <w:t>ó</w:t>
      </w:r>
      <w:r>
        <w:rPr>
          <w:spacing w:val="-6"/>
          <w:sz w:val="18"/>
          <w:szCs w:val="18"/>
          <w:lang w:val="es-ES_tradnl"/>
        </w:rPr>
        <w:t xml:space="preserve">n tomada por ellos, ya que la sentencia impugnada es emitida el 25 </w:t>
      </w:r>
      <w:r>
        <w:rPr>
          <w:sz w:val="18"/>
          <w:szCs w:val="18"/>
          <w:lang w:val="es-ES_tradnl"/>
        </w:rPr>
        <w:t>de octubre de 2013.</w:t>
      </w:r>
    </w:p>
    <w:p w14:paraId="4F67ADE5" w14:textId="77777777" w:rsidR="00591D54" w:rsidRDefault="00591D54">
      <w:pPr>
        <w:shd w:val="clear" w:color="auto" w:fill="FFFFFF"/>
        <w:spacing w:line="221" w:lineRule="exact"/>
        <w:jc w:val="both"/>
      </w:pPr>
      <w:r>
        <w:br w:type="column"/>
      </w:r>
      <w:r>
        <w:rPr>
          <w:b/>
          <w:bCs/>
          <w:spacing w:val="-5"/>
          <w:sz w:val="18"/>
          <w:szCs w:val="18"/>
          <w:lang w:val="es-ES_tradnl"/>
        </w:rPr>
        <w:t xml:space="preserve">Juez de la Unidad Judicial Multicompetente Civil de </w:t>
      </w:r>
      <w:r>
        <w:rPr>
          <w:b/>
          <w:bCs/>
          <w:sz w:val="18"/>
          <w:szCs w:val="18"/>
          <w:lang w:val="es-ES_tradnl"/>
        </w:rPr>
        <w:t>Ibarra</w:t>
      </w:r>
    </w:p>
    <w:p w14:paraId="4F67ADE6" w14:textId="77777777" w:rsidR="00591D54" w:rsidRDefault="00591D54">
      <w:pPr>
        <w:shd w:val="clear" w:color="auto" w:fill="FFFFFF"/>
        <w:spacing w:before="197" w:line="221" w:lineRule="exact"/>
        <w:jc w:val="both"/>
      </w:pPr>
      <w:r>
        <w:rPr>
          <w:spacing w:val="-7"/>
          <w:sz w:val="18"/>
          <w:szCs w:val="18"/>
          <w:lang w:val="es-ES_tradnl"/>
        </w:rPr>
        <w:t>El juez manifiesta que en el presente caso, se ha dado el tr</w:t>
      </w:r>
      <w:r>
        <w:rPr>
          <w:rFonts w:cs="Times New Roman"/>
          <w:spacing w:val="-7"/>
          <w:sz w:val="18"/>
          <w:szCs w:val="18"/>
          <w:lang w:val="es-ES_tradnl"/>
        </w:rPr>
        <w:t>á</w:t>
      </w:r>
      <w:r>
        <w:rPr>
          <w:spacing w:val="-7"/>
          <w:sz w:val="18"/>
          <w:szCs w:val="18"/>
          <w:lang w:val="es-ES_tradnl"/>
        </w:rPr>
        <w:t xml:space="preserve">mite previsto en la Ley y que se ha respetado el debido </w:t>
      </w:r>
      <w:r>
        <w:rPr>
          <w:spacing w:val="-10"/>
          <w:sz w:val="18"/>
          <w:szCs w:val="18"/>
          <w:lang w:val="es-ES_tradnl"/>
        </w:rPr>
        <w:t>proceso. Transcribe la sentencia de primer nivel e indica que la sentencia impugnada es la de segundo nivel, observaci</w:t>
      </w:r>
      <w:r>
        <w:rPr>
          <w:rFonts w:cs="Times New Roman"/>
          <w:spacing w:val="-10"/>
          <w:sz w:val="18"/>
          <w:szCs w:val="18"/>
          <w:lang w:val="es-ES_tradnl"/>
        </w:rPr>
        <w:t>ó</w:t>
      </w:r>
      <w:r>
        <w:rPr>
          <w:spacing w:val="-10"/>
          <w:sz w:val="18"/>
          <w:szCs w:val="18"/>
          <w:lang w:val="es-ES_tradnl"/>
        </w:rPr>
        <w:t xml:space="preserve">n </w:t>
      </w:r>
      <w:r>
        <w:rPr>
          <w:spacing w:val="-9"/>
          <w:sz w:val="18"/>
          <w:szCs w:val="18"/>
          <w:lang w:val="es-ES_tradnl"/>
        </w:rPr>
        <w:t xml:space="preserve">que la hace por cuanto considera que son los jueces que la </w:t>
      </w:r>
      <w:r>
        <w:rPr>
          <w:spacing w:val="-5"/>
          <w:sz w:val="18"/>
          <w:szCs w:val="18"/>
          <w:lang w:val="es-ES_tradnl"/>
        </w:rPr>
        <w:t>dictaron los obligados a emitir el informe.</w:t>
      </w:r>
    </w:p>
    <w:p w14:paraId="4F67ADE7" w14:textId="77777777" w:rsidR="00591D54" w:rsidRDefault="00591D54">
      <w:pPr>
        <w:shd w:val="clear" w:color="auto" w:fill="FFFFFF"/>
        <w:spacing w:before="192"/>
      </w:pPr>
      <w:r>
        <w:rPr>
          <w:b/>
          <w:bCs/>
          <w:spacing w:val="-12"/>
          <w:sz w:val="18"/>
          <w:szCs w:val="18"/>
          <w:lang w:val="es-ES_tradnl"/>
        </w:rPr>
        <w:t>Terceros interesados</w:t>
      </w:r>
    </w:p>
    <w:p w14:paraId="4F67ADE8" w14:textId="77777777" w:rsidR="00591D54" w:rsidRDefault="00591D54">
      <w:pPr>
        <w:shd w:val="clear" w:color="auto" w:fill="FFFFFF"/>
        <w:spacing w:before="197" w:line="221" w:lineRule="exact"/>
        <w:jc w:val="both"/>
      </w:pPr>
      <w:r>
        <w:rPr>
          <w:b/>
          <w:bCs/>
          <w:spacing w:val="-6"/>
          <w:sz w:val="18"/>
          <w:szCs w:val="18"/>
          <w:lang w:val="es-ES_tradnl"/>
        </w:rPr>
        <w:t>Director nacional de asesor</w:t>
      </w:r>
      <w:r>
        <w:rPr>
          <w:rFonts w:cs="Times New Roman"/>
          <w:b/>
          <w:bCs/>
          <w:spacing w:val="-6"/>
          <w:sz w:val="18"/>
          <w:szCs w:val="18"/>
          <w:lang w:val="es-ES_tradnl"/>
        </w:rPr>
        <w:t>í</w:t>
      </w:r>
      <w:r>
        <w:rPr>
          <w:b/>
          <w:bCs/>
          <w:spacing w:val="-6"/>
          <w:sz w:val="18"/>
          <w:szCs w:val="18"/>
          <w:lang w:val="es-ES_tradnl"/>
        </w:rPr>
        <w:t>a jur</w:t>
      </w:r>
      <w:r>
        <w:rPr>
          <w:rFonts w:cs="Times New Roman"/>
          <w:b/>
          <w:bCs/>
          <w:spacing w:val="-6"/>
          <w:sz w:val="18"/>
          <w:szCs w:val="18"/>
          <w:lang w:val="es-ES_tradnl"/>
        </w:rPr>
        <w:t>í</w:t>
      </w:r>
      <w:r>
        <w:rPr>
          <w:b/>
          <w:bCs/>
          <w:spacing w:val="-6"/>
          <w:sz w:val="18"/>
          <w:szCs w:val="18"/>
          <w:lang w:val="es-ES_tradnl"/>
        </w:rPr>
        <w:t>dica de la Polic</w:t>
      </w:r>
      <w:r>
        <w:rPr>
          <w:rFonts w:cs="Times New Roman"/>
          <w:b/>
          <w:bCs/>
          <w:spacing w:val="-6"/>
          <w:sz w:val="18"/>
          <w:szCs w:val="18"/>
          <w:lang w:val="es-ES_tradnl"/>
        </w:rPr>
        <w:t>í</w:t>
      </w:r>
      <w:r>
        <w:rPr>
          <w:b/>
          <w:bCs/>
          <w:spacing w:val="-6"/>
          <w:sz w:val="18"/>
          <w:szCs w:val="18"/>
          <w:lang w:val="es-ES_tradnl"/>
        </w:rPr>
        <w:t xml:space="preserve">a </w:t>
      </w:r>
      <w:r>
        <w:rPr>
          <w:b/>
          <w:bCs/>
          <w:spacing w:val="-7"/>
          <w:sz w:val="18"/>
          <w:szCs w:val="18"/>
          <w:lang w:val="es-ES_tradnl"/>
        </w:rPr>
        <w:t>Nacional y delegado del ministro del Interior</w:t>
      </w:r>
    </w:p>
    <w:p w14:paraId="4F67ADE9" w14:textId="77777777" w:rsidR="00591D54" w:rsidRDefault="00591D54">
      <w:pPr>
        <w:shd w:val="clear" w:color="auto" w:fill="FFFFFF"/>
        <w:spacing w:before="202" w:line="216" w:lineRule="exact"/>
        <w:jc w:val="both"/>
      </w:pPr>
      <w:r>
        <w:rPr>
          <w:spacing w:val="-7"/>
          <w:sz w:val="18"/>
          <w:szCs w:val="18"/>
          <w:lang w:val="es-ES_tradnl"/>
        </w:rPr>
        <w:t>Comparece el doctor Fabi</w:t>
      </w:r>
      <w:r>
        <w:rPr>
          <w:rFonts w:cs="Times New Roman"/>
          <w:spacing w:val="-7"/>
          <w:sz w:val="18"/>
          <w:szCs w:val="18"/>
          <w:lang w:val="es-ES_tradnl"/>
        </w:rPr>
        <w:t>á</w:t>
      </w:r>
      <w:r>
        <w:rPr>
          <w:spacing w:val="-7"/>
          <w:sz w:val="18"/>
          <w:szCs w:val="18"/>
          <w:lang w:val="es-ES_tradnl"/>
        </w:rPr>
        <w:t xml:space="preserve">n Salas Duarte en calidad de </w:t>
      </w:r>
      <w:r>
        <w:rPr>
          <w:spacing w:val="-3"/>
          <w:sz w:val="18"/>
          <w:szCs w:val="18"/>
          <w:lang w:val="es-ES_tradnl"/>
        </w:rPr>
        <w:t>delegado del Ministerio del Interior y se</w:t>
      </w:r>
      <w:r>
        <w:rPr>
          <w:rFonts w:cs="Times New Roman"/>
          <w:spacing w:val="-3"/>
          <w:sz w:val="18"/>
          <w:szCs w:val="18"/>
          <w:lang w:val="es-ES_tradnl"/>
        </w:rPr>
        <w:t>ñ</w:t>
      </w:r>
      <w:r>
        <w:rPr>
          <w:spacing w:val="-3"/>
          <w:sz w:val="18"/>
          <w:szCs w:val="18"/>
          <w:lang w:val="es-ES_tradnl"/>
        </w:rPr>
        <w:t xml:space="preserve">ala casillero </w:t>
      </w:r>
      <w:r>
        <w:rPr>
          <w:spacing w:val="-7"/>
          <w:sz w:val="18"/>
          <w:szCs w:val="18"/>
          <w:lang w:val="es-ES_tradnl"/>
        </w:rPr>
        <w:t>judicial para las notificaciones que le correspondan.</w:t>
      </w:r>
    </w:p>
    <w:p w14:paraId="4F67ADEA" w14:textId="77777777" w:rsidR="00591D54" w:rsidRDefault="00591D54">
      <w:pPr>
        <w:shd w:val="clear" w:color="auto" w:fill="FFFFFF"/>
        <w:spacing w:before="197"/>
      </w:pPr>
      <w:r>
        <w:rPr>
          <w:b/>
          <w:bCs/>
          <w:spacing w:val="-8"/>
          <w:sz w:val="18"/>
          <w:szCs w:val="18"/>
          <w:lang w:val="es-ES_tradnl"/>
        </w:rPr>
        <w:t>Procurador General del Estado</w:t>
      </w:r>
    </w:p>
    <w:p w14:paraId="4F67ADEB" w14:textId="77777777" w:rsidR="00591D54" w:rsidRDefault="00591D54">
      <w:pPr>
        <w:shd w:val="clear" w:color="auto" w:fill="FFFFFF"/>
        <w:spacing w:before="197" w:line="221" w:lineRule="exact"/>
        <w:jc w:val="both"/>
      </w:pPr>
      <w:r>
        <w:rPr>
          <w:spacing w:val="-5"/>
          <w:sz w:val="18"/>
          <w:szCs w:val="18"/>
          <w:lang w:val="es-ES_tradnl"/>
        </w:rPr>
        <w:t xml:space="preserve">El abogado Marcos Arteaga Valenzuela en calidad de </w:t>
      </w:r>
      <w:r>
        <w:rPr>
          <w:spacing w:val="-7"/>
          <w:sz w:val="18"/>
          <w:szCs w:val="18"/>
          <w:lang w:val="es-ES_tradnl"/>
        </w:rPr>
        <w:t>director nacional de Patrocinio de la Procuradur</w:t>
      </w:r>
      <w:r>
        <w:rPr>
          <w:rFonts w:cs="Times New Roman"/>
          <w:spacing w:val="-7"/>
          <w:sz w:val="18"/>
          <w:szCs w:val="18"/>
          <w:lang w:val="es-ES_tradnl"/>
        </w:rPr>
        <w:t>í</w:t>
      </w:r>
      <w:r>
        <w:rPr>
          <w:spacing w:val="-7"/>
          <w:sz w:val="18"/>
          <w:szCs w:val="18"/>
          <w:lang w:val="es-ES_tradnl"/>
        </w:rPr>
        <w:t xml:space="preserve">a General </w:t>
      </w:r>
      <w:r>
        <w:rPr>
          <w:spacing w:val="-3"/>
          <w:sz w:val="18"/>
          <w:szCs w:val="18"/>
          <w:lang w:val="es-ES_tradnl"/>
        </w:rPr>
        <w:t xml:space="preserve">del Estado, mediante escrito presentado el 23 de mayo </w:t>
      </w:r>
      <w:r>
        <w:rPr>
          <w:spacing w:val="-7"/>
          <w:sz w:val="18"/>
          <w:szCs w:val="18"/>
          <w:lang w:val="es-ES_tradnl"/>
        </w:rPr>
        <w:t>de 2014 a las 11h32, comparece se</w:t>
      </w:r>
      <w:r>
        <w:rPr>
          <w:rFonts w:cs="Times New Roman"/>
          <w:spacing w:val="-7"/>
          <w:sz w:val="18"/>
          <w:szCs w:val="18"/>
          <w:lang w:val="es-ES_tradnl"/>
        </w:rPr>
        <w:t>ñ</w:t>
      </w:r>
      <w:r>
        <w:rPr>
          <w:spacing w:val="-7"/>
          <w:sz w:val="18"/>
          <w:szCs w:val="18"/>
          <w:lang w:val="es-ES_tradnl"/>
        </w:rPr>
        <w:t xml:space="preserve">alando casillero </w:t>
      </w:r>
      <w:r>
        <w:rPr>
          <w:spacing w:val="-6"/>
          <w:sz w:val="18"/>
          <w:szCs w:val="18"/>
          <w:lang w:val="es-ES_tradnl"/>
        </w:rPr>
        <w:t>constitucional dentro de esta acci</w:t>
      </w:r>
      <w:r>
        <w:rPr>
          <w:rFonts w:cs="Times New Roman"/>
          <w:spacing w:val="-6"/>
          <w:sz w:val="18"/>
          <w:szCs w:val="18"/>
          <w:lang w:val="es-ES_tradnl"/>
        </w:rPr>
        <w:t>ó</w:t>
      </w:r>
      <w:r>
        <w:rPr>
          <w:spacing w:val="-6"/>
          <w:sz w:val="18"/>
          <w:szCs w:val="18"/>
          <w:lang w:val="es-ES_tradnl"/>
        </w:rPr>
        <w:t xml:space="preserve">n extraordinaria de </w:t>
      </w:r>
      <w:r>
        <w:rPr>
          <w:sz w:val="18"/>
          <w:szCs w:val="18"/>
          <w:lang w:val="es-ES_tradnl"/>
        </w:rPr>
        <w:t>protecci</w:t>
      </w:r>
      <w:r>
        <w:rPr>
          <w:rFonts w:cs="Times New Roman"/>
          <w:sz w:val="18"/>
          <w:szCs w:val="18"/>
          <w:lang w:val="es-ES_tradnl"/>
        </w:rPr>
        <w:t>ó</w:t>
      </w:r>
      <w:r>
        <w:rPr>
          <w:sz w:val="18"/>
          <w:szCs w:val="18"/>
          <w:lang w:val="es-ES_tradnl"/>
        </w:rPr>
        <w:t>n.</w:t>
      </w:r>
    </w:p>
    <w:p w14:paraId="4F67ADEC" w14:textId="77777777" w:rsidR="00591D54" w:rsidRDefault="00591D54">
      <w:pPr>
        <w:shd w:val="clear" w:color="auto" w:fill="FFFFFF"/>
        <w:spacing w:before="192" w:line="221" w:lineRule="exact"/>
        <w:ind w:left="710" w:right="326" w:hanging="379"/>
      </w:pPr>
      <w:r>
        <w:rPr>
          <w:b/>
          <w:bCs/>
          <w:spacing w:val="-1"/>
          <w:sz w:val="18"/>
          <w:szCs w:val="18"/>
          <w:lang w:val="es-ES_tradnl"/>
        </w:rPr>
        <w:t xml:space="preserve">II. CONSIDERACIONES Y FUNDAMENTOS </w:t>
      </w:r>
      <w:r>
        <w:rPr>
          <w:b/>
          <w:bCs/>
          <w:sz w:val="18"/>
          <w:szCs w:val="18"/>
          <w:lang w:val="es-ES_tradnl"/>
        </w:rPr>
        <w:t>DE LA CORTE CONSTITUCIONAL</w:t>
      </w:r>
    </w:p>
    <w:p w14:paraId="4F67ADED" w14:textId="77777777" w:rsidR="00591D54" w:rsidRDefault="00591D54">
      <w:pPr>
        <w:shd w:val="clear" w:color="auto" w:fill="FFFFFF"/>
        <w:spacing w:before="197"/>
      </w:pPr>
      <w:r>
        <w:rPr>
          <w:b/>
          <w:bCs/>
          <w:spacing w:val="-8"/>
          <w:sz w:val="18"/>
          <w:szCs w:val="18"/>
          <w:lang w:val="es-ES_tradnl"/>
        </w:rPr>
        <w:t>Competencia de la Corte</w:t>
      </w:r>
    </w:p>
    <w:p w14:paraId="4F67ADEE" w14:textId="77777777" w:rsidR="00591D54" w:rsidRDefault="00591D54">
      <w:pPr>
        <w:shd w:val="clear" w:color="auto" w:fill="FFFFFF"/>
        <w:spacing w:before="202" w:line="221" w:lineRule="exact"/>
        <w:jc w:val="both"/>
      </w:pPr>
      <w:r>
        <w:rPr>
          <w:spacing w:val="-6"/>
          <w:sz w:val="18"/>
          <w:szCs w:val="18"/>
          <w:lang w:val="es-ES_tradnl"/>
        </w:rPr>
        <w:t xml:space="preserve">La Corte Constitucional es competente para conocer y </w:t>
      </w:r>
      <w:r>
        <w:rPr>
          <w:spacing w:val="-9"/>
          <w:sz w:val="18"/>
          <w:szCs w:val="18"/>
          <w:lang w:val="es-ES_tradnl"/>
        </w:rPr>
        <w:t xml:space="preserve">resolver el presente caso de conformidad con lo previsto en </w:t>
      </w:r>
      <w:r>
        <w:rPr>
          <w:spacing w:val="-5"/>
          <w:sz w:val="18"/>
          <w:szCs w:val="18"/>
          <w:lang w:val="es-ES_tradnl"/>
        </w:rPr>
        <w:t>los art</w:t>
      </w:r>
      <w:r>
        <w:rPr>
          <w:rFonts w:cs="Times New Roman"/>
          <w:spacing w:val="-5"/>
          <w:sz w:val="18"/>
          <w:szCs w:val="18"/>
          <w:lang w:val="es-ES_tradnl"/>
        </w:rPr>
        <w:t>í</w:t>
      </w:r>
      <w:r>
        <w:rPr>
          <w:spacing w:val="-5"/>
          <w:sz w:val="18"/>
          <w:szCs w:val="18"/>
          <w:lang w:val="es-ES_tradnl"/>
        </w:rPr>
        <w:t>culos 94 y 437 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 xml:space="preserve">blica, </w:t>
      </w:r>
      <w:r>
        <w:rPr>
          <w:spacing w:val="-6"/>
          <w:sz w:val="18"/>
          <w:szCs w:val="18"/>
          <w:lang w:val="es-ES_tradnl"/>
        </w:rPr>
        <w:t>60 a 64 de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w:t>
      </w:r>
      <w:r>
        <w:rPr>
          <w:spacing w:val="-5"/>
          <w:sz w:val="18"/>
          <w:szCs w:val="18"/>
          <w:lang w:val="es-ES_tradnl"/>
        </w:rPr>
        <w:t>y Control Constitucional, en concordancia con el art</w:t>
      </w:r>
      <w:r>
        <w:rPr>
          <w:rFonts w:cs="Times New Roman"/>
          <w:spacing w:val="-5"/>
          <w:sz w:val="18"/>
          <w:szCs w:val="18"/>
          <w:lang w:val="es-ES_tradnl"/>
        </w:rPr>
        <w:t>í</w:t>
      </w:r>
      <w:r>
        <w:rPr>
          <w:spacing w:val="-5"/>
          <w:sz w:val="18"/>
          <w:szCs w:val="18"/>
          <w:lang w:val="es-ES_tradnl"/>
        </w:rPr>
        <w:t xml:space="preserve">culo </w:t>
      </w:r>
      <w:r>
        <w:rPr>
          <w:spacing w:val="-8"/>
          <w:sz w:val="18"/>
          <w:szCs w:val="18"/>
          <w:lang w:val="es-ES_tradnl"/>
        </w:rPr>
        <w:t>34 del Reglamento de Sustanciaci</w:t>
      </w:r>
      <w:r>
        <w:rPr>
          <w:rFonts w:cs="Times New Roman"/>
          <w:spacing w:val="-8"/>
          <w:sz w:val="18"/>
          <w:szCs w:val="18"/>
          <w:lang w:val="es-ES_tradnl"/>
        </w:rPr>
        <w:t>ó</w:t>
      </w:r>
      <w:r>
        <w:rPr>
          <w:spacing w:val="-8"/>
          <w:sz w:val="18"/>
          <w:szCs w:val="18"/>
          <w:lang w:val="es-ES_tradnl"/>
        </w:rPr>
        <w:t xml:space="preserve">n de Procesos de </w:t>
      </w:r>
      <w:r>
        <w:rPr>
          <w:sz w:val="18"/>
          <w:szCs w:val="18"/>
          <w:lang w:val="es-ES_tradnl"/>
        </w:rPr>
        <w:t>Competencia de la Corte Constitucional.</w:t>
      </w:r>
    </w:p>
    <w:p w14:paraId="4F67ADEF" w14:textId="77777777" w:rsidR="00591D54" w:rsidRDefault="00591D54">
      <w:pPr>
        <w:shd w:val="clear" w:color="auto" w:fill="FFFFFF"/>
        <w:spacing w:before="197" w:line="221" w:lineRule="exact"/>
        <w:jc w:val="both"/>
      </w:pPr>
      <w:r>
        <w:rPr>
          <w:b/>
          <w:bCs/>
          <w:spacing w:val="-5"/>
          <w:sz w:val="18"/>
          <w:szCs w:val="18"/>
          <w:lang w:val="es-ES_tradnl"/>
        </w:rPr>
        <w:t>Naturaleza jur</w:t>
      </w:r>
      <w:r>
        <w:rPr>
          <w:rFonts w:cs="Times New Roman"/>
          <w:b/>
          <w:bCs/>
          <w:spacing w:val="-5"/>
          <w:sz w:val="18"/>
          <w:szCs w:val="18"/>
          <w:lang w:val="es-ES_tradnl"/>
        </w:rPr>
        <w:t>í</w:t>
      </w:r>
      <w:r>
        <w:rPr>
          <w:b/>
          <w:bCs/>
          <w:spacing w:val="-5"/>
          <w:sz w:val="18"/>
          <w:szCs w:val="18"/>
          <w:lang w:val="es-ES_tradnl"/>
        </w:rPr>
        <w:t>dica de la acci</w:t>
      </w:r>
      <w:r>
        <w:rPr>
          <w:rFonts w:cs="Times New Roman"/>
          <w:b/>
          <w:bCs/>
          <w:spacing w:val="-5"/>
          <w:sz w:val="18"/>
          <w:szCs w:val="18"/>
          <w:lang w:val="es-ES_tradnl"/>
        </w:rPr>
        <w:t>ó</w:t>
      </w:r>
      <w:r>
        <w:rPr>
          <w:b/>
          <w:bCs/>
          <w:spacing w:val="-5"/>
          <w:sz w:val="18"/>
          <w:szCs w:val="18"/>
          <w:lang w:val="es-ES_tradnl"/>
        </w:rPr>
        <w:t xml:space="preserve">n extraordinaria de </w:t>
      </w:r>
      <w:r>
        <w:rPr>
          <w:b/>
          <w:bCs/>
          <w:sz w:val="18"/>
          <w:szCs w:val="18"/>
          <w:lang w:val="es-ES_tradnl"/>
        </w:rPr>
        <w:t>protecci</w:t>
      </w:r>
      <w:r>
        <w:rPr>
          <w:rFonts w:cs="Times New Roman"/>
          <w:b/>
          <w:bCs/>
          <w:sz w:val="18"/>
          <w:szCs w:val="18"/>
          <w:lang w:val="es-ES_tradnl"/>
        </w:rPr>
        <w:t>ó</w:t>
      </w:r>
      <w:r>
        <w:rPr>
          <w:b/>
          <w:bCs/>
          <w:sz w:val="18"/>
          <w:szCs w:val="18"/>
          <w:lang w:val="es-ES_tradnl"/>
        </w:rPr>
        <w:t>n</w:t>
      </w:r>
    </w:p>
    <w:p w14:paraId="4F67ADF0" w14:textId="77777777" w:rsidR="00591D54" w:rsidRDefault="00591D54">
      <w:pPr>
        <w:shd w:val="clear" w:color="auto" w:fill="FFFFFF"/>
        <w:spacing w:before="197" w:line="221" w:lineRule="exact"/>
        <w:jc w:val="both"/>
      </w:pPr>
      <w:r>
        <w:rPr>
          <w:spacing w:val="-6"/>
          <w:sz w:val="18"/>
          <w:szCs w:val="18"/>
          <w:lang w:val="es-ES_tradnl"/>
        </w:rPr>
        <w:t>La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establecida en el </w:t>
      </w:r>
      <w:r>
        <w:rPr>
          <w:spacing w:val="-4"/>
          <w:sz w:val="18"/>
          <w:szCs w:val="18"/>
          <w:lang w:val="es-ES_tradnl"/>
        </w:rPr>
        <w:t>art</w:t>
      </w:r>
      <w:r>
        <w:rPr>
          <w:rFonts w:cs="Times New Roman"/>
          <w:spacing w:val="-4"/>
          <w:sz w:val="18"/>
          <w:szCs w:val="18"/>
          <w:lang w:val="es-ES_tradnl"/>
        </w:rPr>
        <w:t>í</w:t>
      </w:r>
      <w:r>
        <w:rPr>
          <w:spacing w:val="-4"/>
          <w:sz w:val="18"/>
          <w:szCs w:val="18"/>
          <w:lang w:val="es-ES_tradnl"/>
        </w:rPr>
        <w:t>culo 94 de la Constituci</w:t>
      </w:r>
      <w:r>
        <w:rPr>
          <w:rFonts w:cs="Times New Roman"/>
          <w:spacing w:val="-4"/>
          <w:sz w:val="18"/>
          <w:szCs w:val="18"/>
          <w:lang w:val="es-ES_tradnl"/>
        </w:rPr>
        <w:t>ó</w:t>
      </w:r>
      <w:r>
        <w:rPr>
          <w:spacing w:val="-4"/>
          <w:sz w:val="18"/>
          <w:szCs w:val="18"/>
          <w:lang w:val="es-ES_tradnl"/>
        </w:rPr>
        <w:t>n de la Rep</w:t>
      </w:r>
      <w:r>
        <w:rPr>
          <w:rFonts w:cs="Times New Roman"/>
          <w:spacing w:val="-4"/>
          <w:sz w:val="18"/>
          <w:szCs w:val="18"/>
          <w:lang w:val="es-ES_tradnl"/>
        </w:rPr>
        <w:t>ú</w:t>
      </w:r>
      <w:r>
        <w:rPr>
          <w:spacing w:val="-4"/>
          <w:sz w:val="18"/>
          <w:szCs w:val="18"/>
          <w:lang w:val="es-ES_tradnl"/>
        </w:rPr>
        <w:t xml:space="preserve">blica, se erige </w:t>
      </w:r>
      <w:r>
        <w:rPr>
          <w:spacing w:val="-9"/>
          <w:sz w:val="18"/>
          <w:szCs w:val="18"/>
          <w:lang w:val="es-ES_tradnl"/>
        </w:rPr>
        <w:t>como una garant</w:t>
      </w:r>
      <w:r>
        <w:rPr>
          <w:rFonts w:cs="Times New Roman"/>
          <w:spacing w:val="-9"/>
          <w:sz w:val="18"/>
          <w:szCs w:val="18"/>
          <w:lang w:val="es-ES_tradnl"/>
        </w:rPr>
        <w:t>í</w:t>
      </w:r>
      <w:r>
        <w:rPr>
          <w:spacing w:val="-9"/>
          <w:sz w:val="18"/>
          <w:szCs w:val="18"/>
          <w:lang w:val="es-ES_tradnl"/>
        </w:rPr>
        <w:t xml:space="preserve">a jurisdiccional creada por el constituyente para proteger los derechos constitucionales de las personas </w:t>
      </w:r>
      <w:r>
        <w:rPr>
          <w:spacing w:val="-8"/>
          <w:sz w:val="18"/>
          <w:szCs w:val="18"/>
          <w:lang w:val="es-ES_tradnl"/>
        </w:rPr>
        <w:t>en contra de cualquier vulneraci</w:t>
      </w:r>
      <w:r>
        <w:rPr>
          <w:rFonts w:cs="Times New Roman"/>
          <w:spacing w:val="-8"/>
          <w:sz w:val="18"/>
          <w:szCs w:val="18"/>
          <w:lang w:val="es-ES_tradnl"/>
        </w:rPr>
        <w:t>ó</w:t>
      </w:r>
      <w:r>
        <w:rPr>
          <w:spacing w:val="-8"/>
          <w:sz w:val="18"/>
          <w:szCs w:val="18"/>
          <w:lang w:val="es-ES_tradnl"/>
        </w:rPr>
        <w:t xml:space="preserve">n que se produzca en una </w:t>
      </w:r>
      <w:r>
        <w:rPr>
          <w:sz w:val="18"/>
          <w:szCs w:val="18"/>
          <w:lang w:val="es-ES_tradnl"/>
        </w:rPr>
        <w:t>sentencia o auto definitivo.</w:t>
      </w:r>
    </w:p>
    <w:p w14:paraId="4F67ADF1" w14:textId="77777777" w:rsidR="00591D54" w:rsidRDefault="00591D54">
      <w:pPr>
        <w:shd w:val="clear" w:color="auto" w:fill="FFFFFF"/>
        <w:spacing w:before="202" w:line="221" w:lineRule="exact"/>
        <w:jc w:val="both"/>
      </w:pPr>
      <w:r>
        <w:rPr>
          <w:spacing w:val="-5"/>
          <w:sz w:val="18"/>
          <w:szCs w:val="18"/>
          <w:lang w:val="es-ES_tradnl"/>
        </w:rPr>
        <w:t>As</w:t>
      </w:r>
      <w:r>
        <w:rPr>
          <w:rFonts w:cs="Times New Roman"/>
          <w:spacing w:val="-5"/>
          <w:sz w:val="18"/>
          <w:szCs w:val="18"/>
          <w:lang w:val="es-ES_tradnl"/>
        </w:rPr>
        <w:t>í</w:t>
      </w:r>
      <w:r>
        <w:rPr>
          <w:spacing w:val="-5"/>
          <w:sz w:val="18"/>
          <w:szCs w:val="18"/>
          <w:lang w:val="es-ES_tradnl"/>
        </w:rPr>
        <w:t>, esta acci</w:t>
      </w:r>
      <w:r>
        <w:rPr>
          <w:rFonts w:cs="Times New Roman"/>
          <w:spacing w:val="-5"/>
          <w:sz w:val="18"/>
          <w:szCs w:val="18"/>
          <w:lang w:val="es-ES_tradnl"/>
        </w:rPr>
        <w:t>ó</w:t>
      </w:r>
      <w:r>
        <w:rPr>
          <w:spacing w:val="-5"/>
          <w:sz w:val="18"/>
          <w:szCs w:val="18"/>
          <w:lang w:val="es-ES_tradnl"/>
        </w:rPr>
        <w:t xml:space="preserve">n nace y existe para garantizar y defender </w:t>
      </w:r>
      <w:r>
        <w:rPr>
          <w:spacing w:val="-7"/>
          <w:sz w:val="18"/>
          <w:szCs w:val="18"/>
          <w:lang w:val="es-ES_tradnl"/>
        </w:rPr>
        <w:t xml:space="preserve">el respeto de los derechos constitucionales y el debido </w:t>
      </w:r>
      <w:r>
        <w:rPr>
          <w:spacing w:val="-5"/>
          <w:sz w:val="18"/>
          <w:szCs w:val="18"/>
          <w:lang w:val="es-ES_tradnl"/>
        </w:rPr>
        <w:t xml:space="preserve">proceso. Por consiguiente, tiene como fin proteger, </w:t>
      </w:r>
      <w:r>
        <w:rPr>
          <w:spacing w:val="-10"/>
          <w:sz w:val="18"/>
          <w:szCs w:val="18"/>
          <w:lang w:val="es-ES_tradnl"/>
        </w:rPr>
        <w:t>precautelar, tutelar y amparar los derechos de las personas que por acci</w:t>
      </w:r>
      <w:r>
        <w:rPr>
          <w:rFonts w:cs="Times New Roman"/>
          <w:spacing w:val="-10"/>
          <w:sz w:val="18"/>
          <w:szCs w:val="18"/>
          <w:lang w:val="es-ES_tradnl"/>
        </w:rPr>
        <w:t>ó</w:t>
      </w:r>
      <w:r>
        <w:rPr>
          <w:spacing w:val="-10"/>
          <w:sz w:val="18"/>
          <w:szCs w:val="18"/>
          <w:lang w:val="es-ES_tradnl"/>
        </w:rPr>
        <w:t>n u omisi</w:t>
      </w:r>
      <w:r>
        <w:rPr>
          <w:rFonts w:cs="Times New Roman"/>
          <w:spacing w:val="-10"/>
          <w:sz w:val="18"/>
          <w:szCs w:val="18"/>
          <w:lang w:val="es-ES_tradnl"/>
        </w:rPr>
        <w:t>ó</w:t>
      </w:r>
      <w:r>
        <w:rPr>
          <w:spacing w:val="-10"/>
          <w:sz w:val="18"/>
          <w:szCs w:val="18"/>
          <w:lang w:val="es-ES_tradnl"/>
        </w:rPr>
        <w:t xml:space="preserve">n, sean vulnerados en las decisiones </w:t>
      </w:r>
      <w:r>
        <w:rPr>
          <w:sz w:val="18"/>
          <w:szCs w:val="18"/>
          <w:lang w:val="es-ES_tradnl"/>
        </w:rPr>
        <w:t>judiciales.</w:t>
      </w:r>
    </w:p>
    <w:p w14:paraId="4F67ADF2" w14:textId="77777777" w:rsidR="00591D54" w:rsidRDefault="00591D54">
      <w:pPr>
        <w:shd w:val="clear" w:color="auto" w:fill="FFFFFF"/>
        <w:spacing w:before="202" w:line="221" w:lineRule="exact"/>
        <w:jc w:val="both"/>
      </w:pPr>
      <w:r>
        <w:rPr>
          <w:spacing w:val="-6"/>
          <w:sz w:val="18"/>
          <w:szCs w:val="18"/>
          <w:lang w:val="es-ES_tradnl"/>
        </w:rPr>
        <w:t>En este sentido, de acuerdo con el art</w:t>
      </w:r>
      <w:r>
        <w:rPr>
          <w:rFonts w:cs="Times New Roman"/>
          <w:spacing w:val="-6"/>
          <w:sz w:val="18"/>
          <w:szCs w:val="18"/>
          <w:lang w:val="es-ES_tradnl"/>
        </w:rPr>
        <w:t>í</w:t>
      </w:r>
      <w:r>
        <w:rPr>
          <w:spacing w:val="-6"/>
          <w:sz w:val="18"/>
          <w:szCs w:val="18"/>
          <w:lang w:val="es-ES_tradnl"/>
        </w:rPr>
        <w:t xml:space="preserve">culo 437 de la </w:t>
      </w:r>
      <w:r>
        <w:rPr>
          <w:sz w:val="18"/>
          <w:szCs w:val="18"/>
          <w:lang w:val="es-ES_tradnl"/>
        </w:rPr>
        <w:t>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 la acci</w:t>
      </w:r>
      <w:r>
        <w:rPr>
          <w:rFonts w:cs="Times New Roman"/>
          <w:sz w:val="18"/>
          <w:szCs w:val="18"/>
          <w:lang w:val="es-ES_tradnl"/>
        </w:rPr>
        <w:t>ó</w:t>
      </w:r>
      <w:r>
        <w:rPr>
          <w:sz w:val="18"/>
          <w:szCs w:val="18"/>
          <w:lang w:val="es-ES_tradnl"/>
        </w:rPr>
        <w:t xml:space="preserve">n extraordinaria </w:t>
      </w:r>
      <w:r>
        <w:rPr>
          <w:spacing w:val="-8"/>
          <w:sz w:val="18"/>
          <w:szCs w:val="18"/>
          <w:lang w:val="es-ES_tradnl"/>
        </w:rPr>
        <w:t>de protecci</w:t>
      </w:r>
      <w:r>
        <w:rPr>
          <w:rFonts w:cs="Times New Roman"/>
          <w:spacing w:val="-8"/>
          <w:sz w:val="18"/>
          <w:szCs w:val="18"/>
          <w:lang w:val="es-ES_tradnl"/>
        </w:rPr>
        <w:t>ó</w:t>
      </w:r>
      <w:r>
        <w:rPr>
          <w:spacing w:val="-8"/>
          <w:sz w:val="18"/>
          <w:szCs w:val="18"/>
          <w:lang w:val="es-ES_tradnl"/>
        </w:rPr>
        <w:t xml:space="preserve">n procede </w:t>
      </w:r>
      <w:r>
        <w:rPr>
          <w:rFonts w:cs="Times New Roman"/>
          <w:spacing w:val="-8"/>
          <w:sz w:val="18"/>
          <w:szCs w:val="18"/>
          <w:lang w:val="es-ES_tradnl"/>
        </w:rPr>
        <w:t>ú</w:t>
      </w:r>
      <w:r>
        <w:rPr>
          <w:spacing w:val="-8"/>
          <w:sz w:val="18"/>
          <w:szCs w:val="18"/>
          <w:lang w:val="es-ES_tradnl"/>
        </w:rPr>
        <w:t>nicamente cuando se trate de sentencias, autos y resoluciones firmes o ejecutoriados en</w:t>
      </w:r>
    </w:p>
    <w:p w14:paraId="4F67ADF3" w14:textId="77777777" w:rsidR="00591D54" w:rsidRDefault="00591D54">
      <w:pPr>
        <w:shd w:val="clear" w:color="auto" w:fill="FFFFFF"/>
        <w:spacing w:before="202" w:line="221" w:lineRule="exact"/>
        <w:jc w:val="both"/>
        <w:sectPr w:rsidR="00591D54">
          <w:type w:val="continuous"/>
          <w:pgSz w:w="11909" w:h="16834"/>
          <w:pgMar w:top="1366" w:right="1309" w:bottom="360" w:left="1308" w:header="720" w:footer="720" w:gutter="0"/>
          <w:cols w:num="2" w:space="720" w:equalWidth="0">
            <w:col w:w="4305" w:space="682"/>
            <w:col w:w="4305"/>
          </w:cols>
          <w:noEndnote/>
        </w:sectPr>
      </w:pPr>
    </w:p>
    <w:p w14:paraId="4F67ADF4" w14:textId="77777777" w:rsidR="00591D54" w:rsidRDefault="00591D54">
      <w:pPr>
        <w:shd w:val="clear" w:color="auto" w:fill="FFFFFF"/>
        <w:tabs>
          <w:tab w:val="left" w:pos="4814"/>
        </w:tabs>
        <w:spacing w:after="235"/>
        <w:ind w:left="14"/>
      </w:pPr>
      <w:r>
        <w:rPr>
          <w:b/>
          <w:bCs/>
          <w:sz w:val="18"/>
          <w:szCs w:val="18"/>
          <w:lang w:val="es-ES_tradnl"/>
        </w:rPr>
        <w:t xml:space="preserve">128 -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DF5" w14:textId="77777777" w:rsidR="00591D54" w:rsidRDefault="00591D54">
      <w:pPr>
        <w:shd w:val="clear" w:color="auto" w:fill="FFFFFF"/>
        <w:tabs>
          <w:tab w:val="left" w:pos="4814"/>
        </w:tabs>
        <w:spacing w:after="235"/>
        <w:ind w:left="14"/>
        <w:sectPr w:rsidR="00591D54">
          <w:pgSz w:w="11909" w:h="16834"/>
          <w:pgMar w:top="1356" w:right="1309" w:bottom="360" w:left="1308" w:header="720" w:footer="720" w:gutter="0"/>
          <w:cols w:space="60"/>
          <w:noEndnote/>
        </w:sectPr>
      </w:pPr>
    </w:p>
    <w:p w14:paraId="4F67ADF6" w14:textId="77777777" w:rsidR="00591D54" w:rsidRDefault="00591D54">
      <w:pPr>
        <w:shd w:val="clear" w:color="auto" w:fill="FFFFFF"/>
        <w:spacing w:line="216" w:lineRule="exact"/>
        <w:jc w:val="both"/>
      </w:pPr>
      <w:r>
        <w:rPr>
          <w:spacing w:val="-7"/>
          <w:sz w:val="18"/>
          <w:szCs w:val="18"/>
          <w:lang w:val="es-ES_tradnl"/>
        </w:rPr>
        <w:t xml:space="preserve">los que el accionante demuestre que en el juzgamiento se </w:t>
      </w:r>
      <w:r>
        <w:rPr>
          <w:spacing w:val="-8"/>
          <w:sz w:val="18"/>
          <w:szCs w:val="18"/>
          <w:lang w:val="es-ES_tradnl"/>
        </w:rPr>
        <w:t>ha violado, por acci</w:t>
      </w:r>
      <w:r>
        <w:rPr>
          <w:rFonts w:cs="Times New Roman"/>
          <w:spacing w:val="-8"/>
          <w:sz w:val="18"/>
          <w:szCs w:val="18"/>
          <w:lang w:val="es-ES_tradnl"/>
        </w:rPr>
        <w:t>ó</w:t>
      </w:r>
      <w:r>
        <w:rPr>
          <w:spacing w:val="-8"/>
          <w:sz w:val="18"/>
          <w:szCs w:val="18"/>
          <w:lang w:val="es-ES_tradnl"/>
        </w:rPr>
        <w:t>n u omisi</w:t>
      </w:r>
      <w:r>
        <w:rPr>
          <w:rFonts w:cs="Times New Roman"/>
          <w:spacing w:val="-8"/>
          <w:sz w:val="18"/>
          <w:szCs w:val="18"/>
          <w:lang w:val="es-ES_tradnl"/>
        </w:rPr>
        <w:t>ó</w:t>
      </w:r>
      <w:r>
        <w:rPr>
          <w:spacing w:val="-8"/>
          <w:sz w:val="18"/>
          <w:szCs w:val="18"/>
          <w:lang w:val="es-ES_tradnl"/>
        </w:rPr>
        <w:t xml:space="preserve">n, el debido proceso u otros </w:t>
      </w:r>
      <w:r>
        <w:rPr>
          <w:sz w:val="18"/>
          <w:szCs w:val="18"/>
          <w:lang w:val="es-ES_tradnl"/>
        </w:rPr>
        <w:t>derechos reconocidos en la Constituci</w:t>
      </w:r>
      <w:r>
        <w:rPr>
          <w:rFonts w:cs="Times New Roman"/>
          <w:sz w:val="18"/>
          <w:szCs w:val="18"/>
          <w:lang w:val="es-ES_tradnl"/>
        </w:rPr>
        <w:t>ó</w:t>
      </w:r>
      <w:r>
        <w:rPr>
          <w:sz w:val="18"/>
          <w:szCs w:val="18"/>
          <w:lang w:val="es-ES_tradnl"/>
        </w:rPr>
        <w:t>n.</w:t>
      </w:r>
    </w:p>
    <w:p w14:paraId="4F67ADF7" w14:textId="77777777" w:rsidR="00591D54" w:rsidRDefault="00591D54">
      <w:pPr>
        <w:shd w:val="clear" w:color="auto" w:fill="FFFFFF"/>
        <w:spacing w:before="197" w:line="216" w:lineRule="exact"/>
        <w:jc w:val="both"/>
      </w:pPr>
      <w:r>
        <w:rPr>
          <w:sz w:val="18"/>
          <w:szCs w:val="18"/>
          <w:lang w:val="es-ES_tradnl"/>
        </w:rPr>
        <w:t xml:space="preserve">Conforme ya lo ha expresado la Corte Constitucional </w:t>
      </w:r>
      <w:r>
        <w:rPr>
          <w:spacing w:val="-7"/>
          <w:sz w:val="18"/>
          <w:szCs w:val="18"/>
          <w:lang w:val="es-ES_tradnl"/>
        </w:rPr>
        <w:t>en varias de sus sentencias, la acci</w:t>
      </w:r>
      <w:r>
        <w:rPr>
          <w:rFonts w:cs="Times New Roman"/>
          <w:spacing w:val="-7"/>
          <w:sz w:val="18"/>
          <w:szCs w:val="18"/>
          <w:lang w:val="es-ES_tradnl"/>
        </w:rPr>
        <w:t>ó</w:t>
      </w:r>
      <w:r>
        <w:rPr>
          <w:spacing w:val="-7"/>
          <w:sz w:val="18"/>
          <w:szCs w:val="18"/>
          <w:lang w:val="es-ES_tradnl"/>
        </w:rPr>
        <w:t xml:space="preserve">n extraordinaria de </w:t>
      </w:r>
      <w:r>
        <w:rPr>
          <w:spacing w:val="-9"/>
          <w:sz w:val="18"/>
          <w:szCs w:val="18"/>
          <w:lang w:val="es-ES_tradnl"/>
        </w:rPr>
        <w:t>protecci</w:t>
      </w:r>
      <w:r>
        <w:rPr>
          <w:rFonts w:cs="Times New Roman"/>
          <w:spacing w:val="-9"/>
          <w:sz w:val="18"/>
          <w:szCs w:val="18"/>
          <w:lang w:val="es-ES_tradnl"/>
        </w:rPr>
        <w:t>ó</w:t>
      </w:r>
      <w:r>
        <w:rPr>
          <w:spacing w:val="-9"/>
          <w:sz w:val="18"/>
          <w:szCs w:val="18"/>
          <w:lang w:val="es-ES_tradnl"/>
        </w:rPr>
        <w:t xml:space="preserve">n procede en contra de sentencias, autos en firme </w:t>
      </w:r>
      <w:r>
        <w:rPr>
          <w:spacing w:val="-8"/>
          <w:sz w:val="18"/>
          <w:szCs w:val="18"/>
          <w:lang w:val="es-ES_tradnl"/>
        </w:rPr>
        <w:t xml:space="preserve">o ejecutoriados y resoluciones judiciales que pongan fin al </w:t>
      </w:r>
      <w:r>
        <w:rPr>
          <w:spacing w:val="-7"/>
          <w:sz w:val="18"/>
          <w:szCs w:val="18"/>
          <w:lang w:val="es-ES_tradnl"/>
        </w:rPr>
        <w:t xml:space="preserve">proceso; en esencia, la Corte Constitucional, por medio de </w:t>
      </w:r>
      <w:r>
        <w:rPr>
          <w:spacing w:val="-10"/>
          <w:sz w:val="18"/>
          <w:szCs w:val="18"/>
          <w:lang w:val="es-ES_tradnl"/>
        </w:rPr>
        <w:t>esta acci</w:t>
      </w:r>
      <w:r>
        <w:rPr>
          <w:rFonts w:cs="Times New Roman"/>
          <w:spacing w:val="-10"/>
          <w:sz w:val="18"/>
          <w:szCs w:val="18"/>
          <w:lang w:val="es-ES_tradnl"/>
        </w:rPr>
        <w:t>ó</w:t>
      </w:r>
      <w:r>
        <w:rPr>
          <w:spacing w:val="-10"/>
          <w:sz w:val="18"/>
          <w:szCs w:val="18"/>
          <w:lang w:val="es-ES_tradnl"/>
        </w:rPr>
        <w:t>n, solo se pronunciar</w:t>
      </w:r>
      <w:r>
        <w:rPr>
          <w:rFonts w:cs="Times New Roman"/>
          <w:spacing w:val="-10"/>
          <w:sz w:val="18"/>
          <w:szCs w:val="18"/>
          <w:lang w:val="es-ES_tradnl"/>
        </w:rPr>
        <w:t>á</w:t>
      </w:r>
      <w:r>
        <w:rPr>
          <w:spacing w:val="-10"/>
          <w:sz w:val="18"/>
          <w:szCs w:val="18"/>
          <w:lang w:val="es-ES_tradnl"/>
        </w:rPr>
        <w:t xml:space="preserve"> respecto de dos cuestiones </w:t>
      </w:r>
      <w:r>
        <w:rPr>
          <w:spacing w:val="-4"/>
          <w:sz w:val="18"/>
          <w:szCs w:val="18"/>
          <w:lang w:val="es-ES_tradnl"/>
        </w:rPr>
        <w:t>principales: la vulneraci</w:t>
      </w:r>
      <w:r>
        <w:rPr>
          <w:rFonts w:cs="Times New Roman"/>
          <w:spacing w:val="-4"/>
          <w:sz w:val="18"/>
          <w:szCs w:val="18"/>
          <w:lang w:val="es-ES_tradnl"/>
        </w:rPr>
        <w:t>ó</w:t>
      </w:r>
      <w:r>
        <w:rPr>
          <w:spacing w:val="-4"/>
          <w:sz w:val="18"/>
          <w:szCs w:val="18"/>
          <w:lang w:val="es-ES_tradnl"/>
        </w:rPr>
        <w:t>n de derechos constitucionales</w:t>
      </w:r>
    </w:p>
    <w:p w14:paraId="4F67ADF8" w14:textId="77777777" w:rsidR="00591D54" w:rsidRDefault="00591D54">
      <w:pPr>
        <w:shd w:val="clear" w:color="auto" w:fill="FFFFFF"/>
        <w:tabs>
          <w:tab w:val="left" w:pos="221"/>
        </w:tabs>
        <w:spacing w:line="216" w:lineRule="exact"/>
        <w:ind w:right="5"/>
        <w:jc w:val="both"/>
      </w:pPr>
      <w:r>
        <w:rPr>
          <w:sz w:val="18"/>
          <w:szCs w:val="18"/>
          <w:lang w:val="es-ES_tradnl"/>
        </w:rPr>
        <w:t>0</w:t>
      </w:r>
      <w:r>
        <w:rPr>
          <w:sz w:val="18"/>
          <w:szCs w:val="18"/>
          <w:lang w:val="es-ES_tradnl"/>
        </w:rPr>
        <w:tab/>
        <w:t>la violaci</w:t>
      </w:r>
      <w:r>
        <w:rPr>
          <w:rFonts w:cs="Times New Roman"/>
          <w:sz w:val="18"/>
          <w:szCs w:val="18"/>
          <w:lang w:val="es-ES_tradnl"/>
        </w:rPr>
        <w:t>ó</w:t>
      </w:r>
      <w:r>
        <w:rPr>
          <w:sz w:val="18"/>
          <w:szCs w:val="18"/>
          <w:lang w:val="es-ES_tradnl"/>
        </w:rPr>
        <w:t>n de garant</w:t>
      </w:r>
      <w:r>
        <w:rPr>
          <w:rFonts w:cs="Times New Roman"/>
          <w:sz w:val="18"/>
          <w:szCs w:val="18"/>
          <w:lang w:val="es-ES_tradnl"/>
        </w:rPr>
        <w:t>í</w:t>
      </w:r>
      <w:r>
        <w:rPr>
          <w:sz w:val="18"/>
          <w:szCs w:val="18"/>
          <w:lang w:val="es-ES_tradnl"/>
        </w:rPr>
        <w:t>as del debido proceso. Es </w:t>
      </w:r>
      <w:r>
        <w:rPr>
          <w:spacing w:val="-5"/>
          <w:sz w:val="18"/>
          <w:szCs w:val="18"/>
          <w:lang w:val="es-ES_tradnl"/>
        </w:rPr>
        <w:t>decir, la acci</w:t>
      </w:r>
      <w:r>
        <w:rPr>
          <w:rFonts w:cs="Times New Roman"/>
          <w:spacing w:val="-5"/>
          <w:sz w:val="18"/>
          <w:szCs w:val="18"/>
          <w:lang w:val="es-ES_tradnl"/>
        </w:rPr>
        <w:t>ó</w:t>
      </w:r>
      <w:r>
        <w:rPr>
          <w:spacing w:val="-5"/>
          <w:sz w:val="18"/>
          <w:szCs w:val="18"/>
          <w:lang w:val="es-ES_tradnl"/>
        </w:rPr>
        <w:t>n extraordinaria de protecci</w:t>
      </w:r>
      <w:r>
        <w:rPr>
          <w:rFonts w:cs="Times New Roman"/>
          <w:spacing w:val="-5"/>
          <w:sz w:val="18"/>
          <w:szCs w:val="18"/>
          <w:lang w:val="es-ES_tradnl"/>
        </w:rPr>
        <w:t>ó</w:t>
      </w:r>
      <w:r>
        <w:rPr>
          <w:spacing w:val="-5"/>
          <w:sz w:val="18"/>
          <w:szCs w:val="18"/>
          <w:lang w:val="es-ES_tradnl"/>
        </w:rPr>
        <w:t>n tutela los derechos constitucionales para evitar la arbitrariedad de </w:t>
      </w:r>
      <w:r>
        <w:rPr>
          <w:spacing w:val="-3"/>
          <w:sz w:val="18"/>
          <w:szCs w:val="18"/>
          <w:lang w:val="es-ES_tradnl"/>
        </w:rPr>
        <w:t>los operadores de justicia por acci</w:t>
      </w:r>
      <w:r>
        <w:rPr>
          <w:rFonts w:cs="Times New Roman"/>
          <w:spacing w:val="-3"/>
          <w:sz w:val="18"/>
          <w:szCs w:val="18"/>
          <w:lang w:val="es-ES_tradnl"/>
        </w:rPr>
        <w:t>ó</w:t>
      </w:r>
      <w:r>
        <w:rPr>
          <w:spacing w:val="-3"/>
          <w:sz w:val="18"/>
          <w:szCs w:val="18"/>
          <w:lang w:val="es-ES_tradnl"/>
        </w:rPr>
        <w:t>n u omisi</w:t>
      </w:r>
      <w:r>
        <w:rPr>
          <w:rFonts w:cs="Times New Roman"/>
          <w:spacing w:val="-3"/>
          <w:sz w:val="18"/>
          <w:szCs w:val="18"/>
          <w:lang w:val="es-ES_tradnl"/>
        </w:rPr>
        <w:t>ó</w:t>
      </w:r>
      <w:r>
        <w:rPr>
          <w:spacing w:val="-3"/>
          <w:sz w:val="18"/>
          <w:szCs w:val="18"/>
          <w:lang w:val="es-ES_tradnl"/>
        </w:rPr>
        <w:t>n, por lo </w:t>
      </w:r>
      <w:r>
        <w:rPr>
          <w:spacing w:val="-6"/>
          <w:sz w:val="18"/>
          <w:szCs w:val="18"/>
          <w:lang w:val="es-ES_tradnl"/>
        </w:rPr>
        <w:t>que, de determinarse la existencia de la violaci</w:t>
      </w:r>
      <w:r>
        <w:rPr>
          <w:rFonts w:cs="Times New Roman"/>
          <w:spacing w:val="-6"/>
          <w:sz w:val="18"/>
          <w:szCs w:val="18"/>
          <w:lang w:val="es-ES_tradnl"/>
        </w:rPr>
        <w:t>ó</w:t>
      </w:r>
      <w:r>
        <w:rPr>
          <w:spacing w:val="-6"/>
          <w:sz w:val="18"/>
          <w:szCs w:val="18"/>
          <w:lang w:val="es-ES_tradnl"/>
        </w:rPr>
        <w:t>n de un </w:t>
      </w:r>
      <w:r>
        <w:rPr>
          <w:spacing w:val="-7"/>
          <w:sz w:val="18"/>
          <w:szCs w:val="18"/>
          <w:lang w:val="es-ES_tradnl"/>
        </w:rPr>
        <w:t>derecho, el accionante puede exigir la reparaci</w:t>
      </w:r>
      <w:r>
        <w:rPr>
          <w:rFonts w:cs="Times New Roman"/>
          <w:spacing w:val="-7"/>
          <w:sz w:val="18"/>
          <w:szCs w:val="18"/>
          <w:lang w:val="es-ES_tradnl"/>
        </w:rPr>
        <w:t>ó</w:t>
      </w:r>
      <w:r>
        <w:rPr>
          <w:spacing w:val="-7"/>
          <w:sz w:val="18"/>
          <w:szCs w:val="18"/>
          <w:lang w:val="es-ES_tradnl"/>
        </w:rPr>
        <w:t>n integral, </w:t>
      </w:r>
      <w:r>
        <w:rPr>
          <w:spacing w:val="-8"/>
          <w:sz w:val="18"/>
          <w:szCs w:val="18"/>
          <w:lang w:val="es-ES_tradnl"/>
        </w:rPr>
        <w:t>propendiendo que las cosas regresen al estado anterior de </w:t>
      </w:r>
      <w:r>
        <w:rPr>
          <w:sz w:val="18"/>
          <w:szCs w:val="18"/>
          <w:lang w:val="es-ES_tradnl"/>
        </w:rPr>
        <w:t>la vulneraci</w:t>
      </w:r>
      <w:r>
        <w:rPr>
          <w:rFonts w:cs="Times New Roman"/>
          <w:sz w:val="18"/>
          <w:szCs w:val="18"/>
          <w:lang w:val="es-ES_tradnl"/>
        </w:rPr>
        <w:t>ó</w:t>
      </w:r>
      <w:r>
        <w:rPr>
          <w:sz w:val="18"/>
          <w:szCs w:val="18"/>
          <w:lang w:val="es-ES_tradnl"/>
        </w:rPr>
        <w:t>n.</w:t>
      </w:r>
    </w:p>
    <w:p w14:paraId="4F67ADF9" w14:textId="77777777" w:rsidR="00591D54" w:rsidRDefault="00591D54">
      <w:pPr>
        <w:shd w:val="clear" w:color="auto" w:fill="FFFFFF"/>
        <w:spacing w:before="197" w:line="211" w:lineRule="exact"/>
        <w:ind w:right="5"/>
        <w:jc w:val="both"/>
      </w:pPr>
      <w:r>
        <w:rPr>
          <w:spacing w:val="-6"/>
          <w:sz w:val="18"/>
          <w:szCs w:val="18"/>
          <w:lang w:val="es-ES_tradnl"/>
        </w:rPr>
        <w:t xml:space="preserve">En este contexto, corresponde a la Corte Constitucional </w:t>
      </w:r>
      <w:r>
        <w:rPr>
          <w:spacing w:val="-8"/>
          <w:sz w:val="18"/>
          <w:szCs w:val="18"/>
          <w:lang w:val="es-ES_tradnl"/>
        </w:rPr>
        <w:t xml:space="preserve">verificar y asegurar que los procesos se desarrollen dentro </w:t>
      </w:r>
      <w:r>
        <w:rPr>
          <w:spacing w:val="-7"/>
          <w:sz w:val="18"/>
          <w:szCs w:val="18"/>
          <w:lang w:val="es-ES_tradnl"/>
        </w:rPr>
        <w:t>de los par</w:t>
      </w:r>
      <w:r>
        <w:rPr>
          <w:rFonts w:cs="Times New Roman"/>
          <w:spacing w:val="-7"/>
          <w:sz w:val="18"/>
          <w:szCs w:val="18"/>
          <w:lang w:val="es-ES_tradnl"/>
        </w:rPr>
        <w:t>á</w:t>
      </w:r>
      <w:r>
        <w:rPr>
          <w:spacing w:val="-7"/>
          <w:sz w:val="18"/>
          <w:szCs w:val="18"/>
          <w:lang w:val="es-ES_tradnl"/>
        </w:rPr>
        <w:t xml:space="preserve">metros constitucionales y en particular, que se </w:t>
      </w:r>
      <w:r>
        <w:rPr>
          <w:spacing w:val="-8"/>
          <w:sz w:val="18"/>
          <w:szCs w:val="18"/>
          <w:lang w:val="es-ES_tradnl"/>
        </w:rPr>
        <w:t xml:space="preserve">garantice el debido proceso. Es decir, como se ha indicado </w:t>
      </w:r>
      <w:r>
        <w:rPr>
          <w:spacing w:val="-11"/>
          <w:sz w:val="18"/>
          <w:szCs w:val="18"/>
          <w:lang w:val="es-ES_tradnl"/>
        </w:rPr>
        <w:t>antes, la acci</w:t>
      </w:r>
      <w:r>
        <w:rPr>
          <w:rFonts w:cs="Times New Roman"/>
          <w:spacing w:val="-11"/>
          <w:sz w:val="18"/>
          <w:szCs w:val="18"/>
          <w:lang w:val="es-ES_tradnl"/>
        </w:rPr>
        <w:t>ó</w:t>
      </w:r>
      <w:r>
        <w:rPr>
          <w:spacing w:val="-11"/>
          <w:sz w:val="18"/>
          <w:szCs w:val="18"/>
          <w:lang w:val="es-ES_tradnl"/>
        </w:rPr>
        <w:t>n extraordinaria de protecci</w:t>
      </w:r>
      <w:r>
        <w:rPr>
          <w:rFonts w:cs="Times New Roman"/>
          <w:spacing w:val="-11"/>
          <w:sz w:val="18"/>
          <w:szCs w:val="18"/>
          <w:lang w:val="es-ES_tradnl"/>
        </w:rPr>
        <w:t>ó</w:t>
      </w:r>
      <w:r>
        <w:rPr>
          <w:spacing w:val="-11"/>
          <w:sz w:val="18"/>
          <w:szCs w:val="18"/>
          <w:lang w:val="es-ES_tradnl"/>
        </w:rPr>
        <w:t xml:space="preserve">n procede cuando </w:t>
      </w:r>
      <w:r>
        <w:rPr>
          <w:spacing w:val="-8"/>
          <w:sz w:val="18"/>
          <w:szCs w:val="18"/>
          <w:lang w:val="es-ES_tradnl"/>
        </w:rPr>
        <w:t xml:space="preserve">en el desarrollo de un determinado proceso, se comprueba </w:t>
      </w:r>
      <w:r>
        <w:rPr>
          <w:spacing w:val="-7"/>
          <w:sz w:val="18"/>
          <w:szCs w:val="18"/>
          <w:lang w:val="es-ES_tradnl"/>
        </w:rPr>
        <w:t>f</w:t>
      </w:r>
      <w:r>
        <w:rPr>
          <w:rFonts w:cs="Times New Roman"/>
          <w:spacing w:val="-7"/>
          <w:sz w:val="18"/>
          <w:szCs w:val="18"/>
          <w:lang w:val="es-ES_tradnl"/>
        </w:rPr>
        <w:t>á</w:t>
      </w:r>
      <w:r>
        <w:rPr>
          <w:spacing w:val="-7"/>
          <w:sz w:val="18"/>
          <w:szCs w:val="18"/>
          <w:lang w:val="es-ES_tradnl"/>
        </w:rPr>
        <w:t>cticamente la vulneraci</w:t>
      </w:r>
      <w:r>
        <w:rPr>
          <w:rFonts w:cs="Times New Roman"/>
          <w:spacing w:val="-7"/>
          <w:sz w:val="18"/>
          <w:szCs w:val="18"/>
          <w:lang w:val="es-ES_tradnl"/>
        </w:rPr>
        <w:t>ó</w:t>
      </w:r>
      <w:r>
        <w:rPr>
          <w:spacing w:val="-7"/>
          <w:sz w:val="18"/>
          <w:szCs w:val="18"/>
          <w:lang w:val="es-ES_tradnl"/>
        </w:rPr>
        <w:t xml:space="preserve">n de uno o varios derechos </w:t>
      </w:r>
      <w:r>
        <w:rPr>
          <w:spacing w:val="-6"/>
          <w:sz w:val="18"/>
          <w:szCs w:val="18"/>
          <w:lang w:val="es-ES_tradnl"/>
        </w:rPr>
        <w:t xml:space="preserve">constitucionales y por el contrario, es improcedente frente </w:t>
      </w:r>
      <w:r>
        <w:rPr>
          <w:spacing w:val="-7"/>
          <w:sz w:val="18"/>
          <w:szCs w:val="18"/>
          <w:lang w:val="es-ES_tradnl"/>
        </w:rPr>
        <w:t>a la insatisfacci</w:t>
      </w:r>
      <w:r>
        <w:rPr>
          <w:rFonts w:cs="Times New Roman"/>
          <w:spacing w:val="-7"/>
          <w:sz w:val="18"/>
          <w:szCs w:val="18"/>
          <w:lang w:val="es-ES_tradnl"/>
        </w:rPr>
        <w:t>ó</w:t>
      </w:r>
      <w:r>
        <w:rPr>
          <w:spacing w:val="-7"/>
          <w:sz w:val="18"/>
          <w:szCs w:val="18"/>
          <w:lang w:val="es-ES_tradnl"/>
        </w:rPr>
        <w:t xml:space="preserve">n de pretensiones subjetivas en la justicia </w:t>
      </w:r>
      <w:r>
        <w:rPr>
          <w:sz w:val="18"/>
          <w:szCs w:val="18"/>
          <w:lang w:val="es-ES_tradnl"/>
        </w:rPr>
        <w:t>ordinaria</w:t>
      </w:r>
      <w:r>
        <w:rPr>
          <w:sz w:val="18"/>
          <w:szCs w:val="18"/>
          <w:vertAlign w:val="superscript"/>
          <w:lang w:val="es-ES_tradnl"/>
        </w:rPr>
        <w:t>1</w:t>
      </w:r>
      <w:r>
        <w:rPr>
          <w:sz w:val="18"/>
          <w:szCs w:val="18"/>
          <w:lang w:val="es-ES_tradnl"/>
        </w:rPr>
        <w:t>.</w:t>
      </w:r>
    </w:p>
    <w:p w14:paraId="4F67ADFA" w14:textId="77777777" w:rsidR="00591D54" w:rsidRDefault="00591D54">
      <w:pPr>
        <w:shd w:val="clear" w:color="auto" w:fill="FFFFFF"/>
        <w:spacing w:before="192"/>
      </w:pPr>
      <w:r>
        <w:rPr>
          <w:b/>
          <w:bCs/>
          <w:spacing w:val="-7"/>
          <w:sz w:val="18"/>
          <w:szCs w:val="18"/>
          <w:lang w:val="es-ES_tradnl"/>
        </w:rPr>
        <w:t>Determinaci</w:t>
      </w:r>
      <w:r>
        <w:rPr>
          <w:rFonts w:cs="Times New Roman"/>
          <w:b/>
          <w:bCs/>
          <w:spacing w:val="-7"/>
          <w:sz w:val="18"/>
          <w:szCs w:val="18"/>
          <w:lang w:val="es-ES_tradnl"/>
        </w:rPr>
        <w:t>ó</w:t>
      </w:r>
      <w:r>
        <w:rPr>
          <w:b/>
          <w:bCs/>
          <w:spacing w:val="-7"/>
          <w:sz w:val="18"/>
          <w:szCs w:val="18"/>
          <w:lang w:val="es-ES_tradnl"/>
        </w:rPr>
        <w:t>n del problema jur</w:t>
      </w:r>
      <w:r>
        <w:rPr>
          <w:rFonts w:cs="Times New Roman"/>
          <w:b/>
          <w:bCs/>
          <w:spacing w:val="-7"/>
          <w:sz w:val="18"/>
          <w:szCs w:val="18"/>
          <w:lang w:val="es-ES_tradnl"/>
        </w:rPr>
        <w:t>í</w:t>
      </w:r>
      <w:r>
        <w:rPr>
          <w:b/>
          <w:bCs/>
          <w:spacing w:val="-7"/>
          <w:sz w:val="18"/>
          <w:szCs w:val="18"/>
          <w:lang w:val="es-ES_tradnl"/>
        </w:rPr>
        <w:t>dico</w:t>
      </w:r>
    </w:p>
    <w:p w14:paraId="4F67ADFB" w14:textId="77777777" w:rsidR="00591D54" w:rsidRDefault="00591D54">
      <w:pPr>
        <w:shd w:val="clear" w:color="auto" w:fill="FFFFFF"/>
        <w:spacing w:before="192" w:line="216" w:lineRule="exact"/>
        <w:jc w:val="both"/>
      </w:pPr>
      <w:r>
        <w:rPr>
          <w:spacing w:val="-7"/>
          <w:sz w:val="18"/>
          <w:szCs w:val="18"/>
          <w:lang w:val="es-ES_tradnl"/>
        </w:rPr>
        <w:t>De las alegaciones hechas por el legitimado activo, no se aprecia con claridad una posible vulneraci</w:t>
      </w:r>
      <w:r>
        <w:rPr>
          <w:rFonts w:cs="Times New Roman"/>
          <w:spacing w:val="-7"/>
          <w:sz w:val="18"/>
          <w:szCs w:val="18"/>
          <w:lang w:val="es-ES_tradnl"/>
        </w:rPr>
        <w:t>ó</w:t>
      </w:r>
      <w:r>
        <w:rPr>
          <w:spacing w:val="-7"/>
          <w:sz w:val="18"/>
          <w:szCs w:val="18"/>
          <w:lang w:val="es-ES_tradnl"/>
        </w:rPr>
        <w:t xml:space="preserve">n de derechos </w:t>
      </w:r>
      <w:r>
        <w:rPr>
          <w:spacing w:val="-4"/>
          <w:sz w:val="18"/>
          <w:szCs w:val="18"/>
          <w:lang w:val="es-ES_tradnl"/>
        </w:rPr>
        <w:t xml:space="preserve">constitucionales. En tal virtud y en base al principio </w:t>
      </w:r>
      <w:r>
        <w:rPr>
          <w:i/>
          <w:iCs/>
          <w:spacing w:val="-4"/>
          <w:sz w:val="18"/>
          <w:szCs w:val="18"/>
          <w:lang w:val="es-ES_tradnl"/>
        </w:rPr>
        <w:t xml:space="preserve">iura </w:t>
      </w:r>
      <w:r>
        <w:rPr>
          <w:i/>
          <w:iCs/>
          <w:spacing w:val="-5"/>
          <w:sz w:val="18"/>
          <w:szCs w:val="18"/>
          <w:lang w:val="es-ES_tradnl"/>
        </w:rPr>
        <w:t xml:space="preserve">novit curia </w:t>
      </w:r>
      <w:r>
        <w:rPr>
          <w:spacing w:val="-5"/>
          <w:sz w:val="18"/>
          <w:szCs w:val="18"/>
          <w:lang w:val="es-ES_tradnl"/>
        </w:rPr>
        <w:t>consagrado en el art</w:t>
      </w:r>
      <w:r>
        <w:rPr>
          <w:rFonts w:cs="Times New Roman"/>
          <w:spacing w:val="-5"/>
          <w:sz w:val="18"/>
          <w:szCs w:val="18"/>
          <w:lang w:val="es-ES_tradnl"/>
        </w:rPr>
        <w:t>í</w:t>
      </w:r>
      <w:r>
        <w:rPr>
          <w:spacing w:val="-5"/>
          <w:sz w:val="18"/>
          <w:szCs w:val="18"/>
          <w:lang w:val="es-ES_tradnl"/>
        </w:rPr>
        <w:t xml:space="preserve">culo 4 numeral 13 de la </w:t>
      </w:r>
      <w:r>
        <w:rPr>
          <w:spacing w:val="-6"/>
          <w:sz w:val="18"/>
          <w:szCs w:val="18"/>
          <w:lang w:val="es-ES_tradnl"/>
        </w:rPr>
        <w:t>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Control </w:t>
      </w:r>
      <w:r>
        <w:rPr>
          <w:spacing w:val="-2"/>
          <w:sz w:val="18"/>
          <w:szCs w:val="18"/>
          <w:lang w:val="es-ES_tradnl"/>
        </w:rPr>
        <w:t xml:space="preserve">Constitucional, que le permite al juez constitucional </w:t>
      </w:r>
      <w:r>
        <w:rPr>
          <w:sz w:val="18"/>
          <w:szCs w:val="18"/>
          <w:lang w:val="es-ES_tradnl"/>
        </w:rPr>
        <w:t>examinar la decisi</w:t>
      </w:r>
      <w:r>
        <w:rPr>
          <w:rFonts w:cs="Times New Roman"/>
          <w:sz w:val="18"/>
          <w:szCs w:val="18"/>
          <w:lang w:val="es-ES_tradnl"/>
        </w:rPr>
        <w:t>ó</w:t>
      </w:r>
      <w:r>
        <w:rPr>
          <w:sz w:val="18"/>
          <w:szCs w:val="18"/>
          <w:lang w:val="es-ES_tradnl"/>
        </w:rPr>
        <w:t>n judicial impugnada en relaci</w:t>
      </w:r>
      <w:r>
        <w:rPr>
          <w:rFonts w:cs="Times New Roman"/>
          <w:sz w:val="18"/>
          <w:szCs w:val="18"/>
          <w:lang w:val="es-ES_tradnl"/>
        </w:rPr>
        <w:t>ó</w:t>
      </w:r>
      <w:r>
        <w:rPr>
          <w:sz w:val="18"/>
          <w:szCs w:val="18"/>
          <w:lang w:val="es-ES_tradnl"/>
        </w:rPr>
        <w:t xml:space="preserve">n </w:t>
      </w:r>
      <w:r>
        <w:rPr>
          <w:spacing w:val="-5"/>
          <w:sz w:val="18"/>
          <w:szCs w:val="18"/>
          <w:lang w:val="es-ES_tradnl"/>
        </w:rPr>
        <w:t xml:space="preserve">a cualquier precepto constitucional presumiblemente </w:t>
      </w:r>
      <w:r>
        <w:rPr>
          <w:spacing w:val="-9"/>
          <w:sz w:val="18"/>
          <w:szCs w:val="18"/>
          <w:lang w:val="es-ES_tradnl"/>
        </w:rPr>
        <w:t xml:space="preserve">vulnerado que se desprenda del relato de los hechos, esta </w:t>
      </w:r>
      <w:r>
        <w:rPr>
          <w:spacing w:val="-7"/>
          <w:sz w:val="18"/>
          <w:szCs w:val="18"/>
          <w:lang w:val="es-ES_tradnl"/>
        </w:rPr>
        <w:t>Corte sistematizar</w:t>
      </w:r>
      <w:r>
        <w:rPr>
          <w:rFonts w:cs="Times New Roman"/>
          <w:spacing w:val="-7"/>
          <w:sz w:val="18"/>
          <w:szCs w:val="18"/>
          <w:lang w:val="es-ES_tradnl"/>
        </w:rPr>
        <w:t>á</w:t>
      </w:r>
      <w:r>
        <w:rPr>
          <w:spacing w:val="-7"/>
          <w:sz w:val="18"/>
          <w:szCs w:val="18"/>
          <w:lang w:val="es-ES_tradnl"/>
        </w:rPr>
        <w:t xml:space="preserve"> el an</w:t>
      </w:r>
      <w:r>
        <w:rPr>
          <w:rFonts w:cs="Times New Roman"/>
          <w:spacing w:val="-7"/>
          <w:sz w:val="18"/>
          <w:szCs w:val="18"/>
          <w:lang w:val="es-ES_tradnl"/>
        </w:rPr>
        <w:t>á</w:t>
      </w:r>
      <w:r>
        <w:rPr>
          <w:spacing w:val="-7"/>
          <w:sz w:val="18"/>
          <w:szCs w:val="18"/>
          <w:lang w:val="es-ES_tradnl"/>
        </w:rPr>
        <w:t>lisis jur</w:t>
      </w:r>
      <w:r>
        <w:rPr>
          <w:rFonts w:cs="Times New Roman"/>
          <w:spacing w:val="-7"/>
          <w:sz w:val="18"/>
          <w:szCs w:val="18"/>
          <w:lang w:val="es-ES_tradnl"/>
        </w:rPr>
        <w:t>í</w:t>
      </w:r>
      <w:r>
        <w:rPr>
          <w:spacing w:val="-7"/>
          <w:sz w:val="18"/>
          <w:szCs w:val="18"/>
          <w:lang w:val="es-ES_tradnl"/>
        </w:rPr>
        <w:t xml:space="preserve">dico a partir del siguiente </w:t>
      </w:r>
      <w:r>
        <w:rPr>
          <w:sz w:val="18"/>
          <w:szCs w:val="18"/>
          <w:lang w:val="es-ES_tradnl"/>
        </w:rPr>
        <w:t>problema jur</w:t>
      </w:r>
      <w:r>
        <w:rPr>
          <w:rFonts w:cs="Times New Roman"/>
          <w:sz w:val="18"/>
          <w:szCs w:val="18"/>
          <w:lang w:val="es-ES_tradnl"/>
        </w:rPr>
        <w:t>í</w:t>
      </w:r>
      <w:r>
        <w:rPr>
          <w:sz w:val="18"/>
          <w:szCs w:val="18"/>
          <w:lang w:val="es-ES_tradnl"/>
        </w:rPr>
        <w:t>dico:</w:t>
      </w:r>
    </w:p>
    <w:p w14:paraId="4F67ADFC" w14:textId="77777777" w:rsidR="00591D54" w:rsidRDefault="00591D54">
      <w:pPr>
        <w:shd w:val="clear" w:color="auto" w:fill="FFFFFF"/>
        <w:spacing w:before="192" w:line="216" w:lineRule="exact"/>
        <w:jc w:val="both"/>
      </w:pPr>
      <w:r>
        <w:rPr>
          <w:b/>
          <w:bCs/>
          <w:spacing w:val="-7"/>
          <w:sz w:val="18"/>
          <w:szCs w:val="18"/>
          <w:lang w:val="es-ES_tradnl"/>
        </w:rPr>
        <w:t xml:space="preserve">La sentencia expedida por la Sala Multicompetente de la Corte Provincial de Justicia de Imbabura, dictada el </w:t>
      </w:r>
      <w:r>
        <w:rPr>
          <w:b/>
          <w:bCs/>
          <w:spacing w:val="-11"/>
          <w:sz w:val="18"/>
          <w:szCs w:val="18"/>
          <w:lang w:val="es-ES_tradnl"/>
        </w:rPr>
        <w:t>25 de octubre de 2013 a las 09h51, dentro de la acci</w:t>
      </w:r>
      <w:r>
        <w:rPr>
          <w:rFonts w:cs="Times New Roman"/>
          <w:b/>
          <w:bCs/>
          <w:spacing w:val="-11"/>
          <w:sz w:val="18"/>
          <w:szCs w:val="18"/>
          <w:lang w:val="es-ES_tradnl"/>
        </w:rPr>
        <w:t>ó</w:t>
      </w:r>
      <w:r>
        <w:rPr>
          <w:b/>
          <w:bCs/>
          <w:spacing w:val="-11"/>
          <w:sz w:val="18"/>
          <w:szCs w:val="18"/>
          <w:lang w:val="es-ES_tradnl"/>
        </w:rPr>
        <w:t xml:space="preserve">n de </w:t>
      </w:r>
      <w:r>
        <w:rPr>
          <w:b/>
          <w:bCs/>
          <w:spacing w:val="-9"/>
          <w:sz w:val="18"/>
          <w:szCs w:val="18"/>
          <w:lang w:val="es-ES_tradnl"/>
        </w:rPr>
        <w:t>protecci</w:t>
      </w:r>
      <w:r>
        <w:rPr>
          <w:rFonts w:cs="Times New Roman"/>
          <w:b/>
          <w:bCs/>
          <w:spacing w:val="-9"/>
          <w:sz w:val="18"/>
          <w:szCs w:val="18"/>
          <w:lang w:val="es-ES_tradnl"/>
        </w:rPr>
        <w:t>ó</w:t>
      </w:r>
      <w:r>
        <w:rPr>
          <w:b/>
          <w:bCs/>
          <w:spacing w:val="-9"/>
          <w:sz w:val="18"/>
          <w:szCs w:val="18"/>
          <w:lang w:val="es-ES_tradnl"/>
        </w:rPr>
        <w:t>n N.</w:t>
      </w:r>
      <w:r>
        <w:rPr>
          <w:rFonts w:cs="Times New Roman"/>
          <w:b/>
          <w:bCs/>
          <w:spacing w:val="-9"/>
          <w:sz w:val="18"/>
          <w:szCs w:val="18"/>
          <w:lang w:val="es-ES_tradnl"/>
        </w:rPr>
        <w:t>º</w:t>
      </w:r>
      <w:r>
        <w:rPr>
          <w:b/>
          <w:bCs/>
          <w:spacing w:val="-9"/>
          <w:sz w:val="18"/>
          <w:szCs w:val="18"/>
          <w:lang w:val="es-ES_tradnl"/>
        </w:rPr>
        <w:t xml:space="preserve"> 288-2013, </w:t>
      </w:r>
      <w:r>
        <w:rPr>
          <w:rFonts w:cs="Times New Roman"/>
          <w:b/>
          <w:bCs/>
          <w:spacing w:val="-9"/>
          <w:sz w:val="18"/>
          <w:szCs w:val="18"/>
          <w:lang w:val="es-ES_tradnl"/>
        </w:rPr>
        <w:t>¿</w:t>
      </w:r>
      <w:r>
        <w:rPr>
          <w:b/>
          <w:bCs/>
          <w:spacing w:val="-9"/>
          <w:sz w:val="18"/>
          <w:szCs w:val="18"/>
          <w:lang w:val="es-ES_tradnl"/>
        </w:rPr>
        <w:t>vulner</w:t>
      </w:r>
      <w:r>
        <w:rPr>
          <w:rFonts w:cs="Times New Roman"/>
          <w:b/>
          <w:bCs/>
          <w:spacing w:val="-9"/>
          <w:sz w:val="18"/>
          <w:szCs w:val="18"/>
          <w:lang w:val="es-ES_tradnl"/>
        </w:rPr>
        <w:t>ó</w:t>
      </w:r>
      <w:r>
        <w:rPr>
          <w:b/>
          <w:bCs/>
          <w:spacing w:val="-9"/>
          <w:sz w:val="18"/>
          <w:szCs w:val="18"/>
          <w:lang w:val="es-ES_tradnl"/>
        </w:rPr>
        <w:t xml:space="preserve"> el debido proceso en </w:t>
      </w:r>
      <w:r>
        <w:rPr>
          <w:b/>
          <w:bCs/>
          <w:sz w:val="18"/>
          <w:szCs w:val="18"/>
          <w:lang w:val="es-ES_tradnl"/>
        </w:rPr>
        <w:t>la garant</w:t>
      </w:r>
      <w:r>
        <w:rPr>
          <w:rFonts w:cs="Times New Roman"/>
          <w:b/>
          <w:bCs/>
          <w:sz w:val="18"/>
          <w:szCs w:val="18"/>
          <w:lang w:val="es-ES_tradnl"/>
        </w:rPr>
        <w:t>í</w:t>
      </w:r>
      <w:r>
        <w:rPr>
          <w:b/>
          <w:bCs/>
          <w:sz w:val="18"/>
          <w:szCs w:val="18"/>
          <w:lang w:val="es-ES_tradnl"/>
        </w:rPr>
        <w:t>a de la motivaci</w:t>
      </w:r>
      <w:r>
        <w:rPr>
          <w:rFonts w:cs="Times New Roman"/>
          <w:b/>
          <w:bCs/>
          <w:sz w:val="18"/>
          <w:szCs w:val="18"/>
          <w:lang w:val="es-ES_tradnl"/>
        </w:rPr>
        <w:t>ó</w:t>
      </w:r>
      <w:r>
        <w:rPr>
          <w:b/>
          <w:bCs/>
          <w:sz w:val="18"/>
          <w:szCs w:val="18"/>
          <w:lang w:val="es-ES_tradnl"/>
        </w:rPr>
        <w:t>n?</w:t>
      </w:r>
    </w:p>
    <w:p w14:paraId="4F67ADFD" w14:textId="77777777" w:rsidR="00591D54" w:rsidRDefault="00591D54">
      <w:pPr>
        <w:shd w:val="clear" w:color="auto" w:fill="FFFFFF"/>
        <w:spacing w:before="187"/>
      </w:pPr>
      <w:r>
        <w:rPr>
          <w:b/>
          <w:bCs/>
          <w:spacing w:val="-8"/>
          <w:sz w:val="18"/>
          <w:szCs w:val="18"/>
          <w:lang w:val="es-ES_tradnl"/>
        </w:rPr>
        <w:t>Resoluci</w:t>
      </w:r>
      <w:r>
        <w:rPr>
          <w:rFonts w:cs="Times New Roman"/>
          <w:b/>
          <w:bCs/>
          <w:spacing w:val="-8"/>
          <w:sz w:val="18"/>
          <w:szCs w:val="18"/>
          <w:lang w:val="es-ES_tradnl"/>
        </w:rPr>
        <w:t>ó</w:t>
      </w:r>
      <w:r>
        <w:rPr>
          <w:b/>
          <w:bCs/>
          <w:spacing w:val="-8"/>
          <w:sz w:val="18"/>
          <w:szCs w:val="18"/>
          <w:lang w:val="es-ES_tradnl"/>
        </w:rPr>
        <w:t>n del problema jur</w:t>
      </w:r>
      <w:r>
        <w:rPr>
          <w:rFonts w:cs="Times New Roman"/>
          <w:b/>
          <w:bCs/>
          <w:spacing w:val="-8"/>
          <w:sz w:val="18"/>
          <w:szCs w:val="18"/>
          <w:lang w:val="es-ES_tradnl"/>
        </w:rPr>
        <w:t>í</w:t>
      </w:r>
      <w:r>
        <w:rPr>
          <w:b/>
          <w:bCs/>
          <w:spacing w:val="-8"/>
          <w:sz w:val="18"/>
          <w:szCs w:val="18"/>
          <w:lang w:val="es-ES_tradnl"/>
        </w:rPr>
        <w:t>dico</w:t>
      </w:r>
    </w:p>
    <w:p w14:paraId="4F67ADFE" w14:textId="77777777" w:rsidR="00591D54" w:rsidRDefault="00591D54">
      <w:pPr>
        <w:shd w:val="clear" w:color="auto" w:fill="FFFFFF"/>
        <w:spacing w:before="197" w:line="216" w:lineRule="exact"/>
        <w:jc w:val="both"/>
      </w:pPr>
      <w:r>
        <w:rPr>
          <w:spacing w:val="-8"/>
          <w:sz w:val="18"/>
          <w:szCs w:val="18"/>
          <w:lang w:val="es-ES_tradnl"/>
        </w:rPr>
        <w:t>Previo a dar respuesta al problema jur</w:t>
      </w:r>
      <w:r>
        <w:rPr>
          <w:rFonts w:cs="Times New Roman"/>
          <w:spacing w:val="-8"/>
          <w:sz w:val="18"/>
          <w:szCs w:val="18"/>
          <w:lang w:val="es-ES_tradnl"/>
        </w:rPr>
        <w:t>í</w:t>
      </w:r>
      <w:r>
        <w:rPr>
          <w:spacing w:val="-8"/>
          <w:sz w:val="18"/>
          <w:szCs w:val="18"/>
          <w:lang w:val="es-ES_tradnl"/>
        </w:rPr>
        <w:t xml:space="preserve">dico planteado, esta </w:t>
      </w:r>
      <w:r>
        <w:rPr>
          <w:spacing w:val="-9"/>
          <w:sz w:val="18"/>
          <w:szCs w:val="18"/>
          <w:lang w:val="es-ES_tradnl"/>
        </w:rPr>
        <w:t xml:space="preserve">Corte estima necesario hacer algunas precisiones respecto </w:t>
      </w:r>
      <w:r>
        <w:rPr>
          <w:spacing w:val="-8"/>
          <w:sz w:val="18"/>
          <w:szCs w:val="18"/>
          <w:lang w:val="es-ES_tradnl"/>
        </w:rPr>
        <w:t xml:space="preserve">al derecho al debido proceso, desde la </w:t>
      </w:r>
      <w:r>
        <w:rPr>
          <w:rFonts w:cs="Times New Roman"/>
          <w:spacing w:val="-8"/>
          <w:sz w:val="18"/>
          <w:szCs w:val="18"/>
          <w:lang w:val="es-ES_tradnl"/>
        </w:rPr>
        <w:t>ó</w:t>
      </w:r>
      <w:r>
        <w:rPr>
          <w:spacing w:val="-8"/>
          <w:sz w:val="18"/>
          <w:szCs w:val="18"/>
          <w:lang w:val="es-ES_tradnl"/>
        </w:rPr>
        <w:t xml:space="preserve">ptica constitucional </w:t>
      </w:r>
      <w:r>
        <w:rPr>
          <w:spacing w:val="-9"/>
          <w:sz w:val="18"/>
          <w:szCs w:val="18"/>
          <w:lang w:val="es-ES_tradnl"/>
        </w:rPr>
        <w:t xml:space="preserve">y en observancia del contenido que le ha dado esta Corte a </w:t>
      </w:r>
      <w:r>
        <w:rPr>
          <w:sz w:val="18"/>
          <w:szCs w:val="18"/>
          <w:lang w:val="es-ES_tradnl"/>
        </w:rPr>
        <w:t>trav</w:t>
      </w:r>
      <w:r>
        <w:rPr>
          <w:rFonts w:cs="Times New Roman"/>
          <w:sz w:val="18"/>
          <w:szCs w:val="18"/>
          <w:lang w:val="es-ES_tradnl"/>
        </w:rPr>
        <w:t>é</w:t>
      </w:r>
      <w:r>
        <w:rPr>
          <w:sz w:val="18"/>
          <w:szCs w:val="18"/>
          <w:lang w:val="es-ES_tradnl"/>
        </w:rPr>
        <w:t>s de sus fallos.</w:t>
      </w:r>
    </w:p>
    <w:p w14:paraId="4F67ADFF" w14:textId="77777777" w:rsidR="00591D54" w:rsidRDefault="00591D54">
      <w:pPr>
        <w:shd w:val="clear" w:color="auto" w:fill="FFFFFF"/>
        <w:tabs>
          <w:tab w:val="left" w:pos="139"/>
        </w:tabs>
        <w:spacing w:before="730" w:line="178" w:lineRule="exact"/>
        <w:ind w:left="139" w:hanging="139"/>
      </w:pPr>
      <w:r>
        <w:rPr>
          <w:sz w:val="16"/>
          <w:szCs w:val="16"/>
          <w:vertAlign w:val="superscript"/>
          <w:lang w:val="es-ES_tradnl"/>
        </w:rPr>
        <w:t>1</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º</w:t>
      </w:r>
      <w:r>
        <w:rPr>
          <w:sz w:val="18"/>
          <w:szCs w:val="18"/>
          <w:lang w:val="es-ES_tradnl"/>
        </w:rPr>
        <w:t xml:space="preserve"> </w:t>
      </w:r>
      <w:r>
        <w:rPr>
          <w:sz w:val="14"/>
          <w:szCs w:val="14"/>
          <w:lang w:val="es-ES_tradnl"/>
        </w:rPr>
        <w:t>049-13-SEP-CC dentro del caso N.</w:t>
      </w:r>
      <w:r>
        <w:rPr>
          <w:rFonts w:cs="Times New Roman"/>
          <w:sz w:val="14"/>
          <w:szCs w:val="14"/>
          <w:lang w:val="es-ES_tradnl"/>
        </w:rPr>
        <w:t>º</w:t>
      </w:r>
      <w:r>
        <w:rPr>
          <w:sz w:val="14"/>
          <w:szCs w:val="14"/>
          <w:lang w:val="es-ES_tradnl"/>
        </w:rPr>
        <w:t xml:space="preserve"> 0563-12-EP.</w:t>
      </w:r>
    </w:p>
    <w:p w14:paraId="4F67AE00" w14:textId="77777777" w:rsidR="00591D54" w:rsidRDefault="00591D54">
      <w:pPr>
        <w:shd w:val="clear" w:color="auto" w:fill="FFFFFF"/>
        <w:spacing w:line="216" w:lineRule="exact"/>
        <w:jc w:val="both"/>
      </w:pPr>
      <w:r>
        <w:br w:type="column"/>
      </w:r>
      <w:r>
        <w:rPr>
          <w:spacing w:val="-6"/>
          <w:sz w:val="18"/>
          <w:szCs w:val="18"/>
          <w:lang w:val="es-ES_tradnl"/>
        </w:rPr>
        <w:t>El art</w:t>
      </w:r>
      <w:r>
        <w:rPr>
          <w:rFonts w:cs="Times New Roman"/>
          <w:spacing w:val="-6"/>
          <w:sz w:val="18"/>
          <w:szCs w:val="18"/>
          <w:lang w:val="es-ES_tradnl"/>
        </w:rPr>
        <w:t>í</w:t>
      </w:r>
      <w:r>
        <w:rPr>
          <w:spacing w:val="-6"/>
          <w:sz w:val="18"/>
          <w:szCs w:val="18"/>
          <w:lang w:val="es-ES_tradnl"/>
        </w:rPr>
        <w:t>culo 76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contiene </w:t>
      </w:r>
      <w:r>
        <w:rPr>
          <w:spacing w:val="-11"/>
          <w:sz w:val="18"/>
          <w:szCs w:val="18"/>
          <w:lang w:val="es-ES_tradnl"/>
        </w:rPr>
        <w:t>aquellas garant</w:t>
      </w:r>
      <w:r>
        <w:rPr>
          <w:rFonts w:cs="Times New Roman"/>
          <w:spacing w:val="-11"/>
          <w:sz w:val="18"/>
          <w:szCs w:val="18"/>
          <w:lang w:val="es-ES_tradnl"/>
        </w:rPr>
        <w:t>í</w:t>
      </w:r>
      <w:r>
        <w:rPr>
          <w:spacing w:val="-11"/>
          <w:sz w:val="18"/>
          <w:szCs w:val="18"/>
          <w:lang w:val="es-ES_tradnl"/>
        </w:rPr>
        <w:t>as b</w:t>
      </w:r>
      <w:r>
        <w:rPr>
          <w:rFonts w:cs="Times New Roman"/>
          <w:spacing w:val="-11"/>
          <w:sz w:val="18"/>
          <w:szCs w:val="18"/>
          <w:lang w:val="es-ES_tradnl"/>
        </w:rPr>
        <w:t>á</w:t>
      </w:r>
      <w:r>
        <w:rPr>
          <w:spacing w:val="-11"/>
          <w:sz w:val="18"/>
          <w:szCs w:val="18"/>
          <w:lang w:val="es-ES_tradnl"/>
        </w:rPr>
        <w:t xml:space="preserve">sicas que configuran el debido proceso, </w:t>
      </w:r>
      <w:r>
        <w:rPr>
          <w:spacing w:val="-8"/>
          <w:sz w:val="18"/>
          <w:szCs w:val="18"/>
          <w:lang w:val="es-ES_tradnl"/>
        </w:rPr>
        <w:t>las que deben ser observadas por los operadores jur</w:t>
      </w:r>
      <w:r>
        <w:rPr>
          <w:rFonts w:cs="Times New Roman"/>
          <w:spacing w:val="-8"/>
          <w:sz w:val="18"/>
          <w:szCs w:val="18"/>
          <w:lang w:val="es-ES_tradnl"/>
        </w:rPr>
        <w:t>í</w:t>
      </w:r>
      <w:r>
        <w:rPr>
          <w:spacing w:val="-8"/>
          <w:sz w:val="18"/>
          <w:szCs w:val="18"/>
          <w:lang w:val="es-ES_tradnl"/>
        </w:rPr>
        <w:t xml:space="preserve">dicos </w:t>
      </w:r>
      <w:r>
        <w:rPr>
          <w:spacing w:val="-3"/>
          <w:sz w:val="18"/>
          <w:szCs w:val="18"/>
          <w:lang w:val="es-ES_tradnl"/>
        </w:rPr>
        <w:t>en las causas sometidas a su conocimiento y decisi</w:t>
      </w:r>
      <w:r>
        <w:rPr>
          <w:rFonts w:cs="Times New Roman"/>
          <w:spacing w:val="-3"/>
          <w:sz w:val="18"/>
          <w:szCs w:val="18"/>
          <w:lang w:val="es-ES_tradnl"/>
        </w:rPr>
        <w:t>ó</w:t>
      </w:r>
      <w:r>
        <w:rPr>
          <w:spacing w:val="-3"/>
          <w:sz w:val="18"/>
          <w:szCs w:val="18"/>
          <w:lang w:val="es-ES_tradnl"/>
        </w:rPr>
        <w:t>n; su desconocimiento configura vulneraci</w:t>
      </w:r>
      <w:r>
        <w:rPr>
          <w:rFonts w:cs="Times New Roman"/>
          <w:spacing w:val="-3"/>
          <w:sz w:val="18"/>
          <w:szCs w:val="18"/>
          <w:lang w:val="es-ES_tradnl"/>
        </w:rPr>
        <w:t>ó</w:t>
      </w:r>
      <w:r>
        <w:rPr>
          <w:spacing w:val="-3"/>
          <w:sz w:val="18"/>
          <w:szCs w:val="18"/>
          <w:lang w:val="es-ES_tradnl"/>
        </w:rPr>
        <w:t xml:space="preserve">n al derecho. </w:t>
      </w:r>
      <w:r>
        <w:rPr>
          <w:spacing w:val="-8"/>
          <w:sz w:val="18"/>
          <w:szCs w:val="18"/>
          <w:lang w:val="es-ES_tradnl"/>
        </w:rPr>
        <w:t>Por tanto, en cada caso concreto, corresponde a la Corte examinar el contenido de la garant</w:t>
      </w:r>
      <w:r>
        <w:rPr>
          <w:rFonts w:cs="Times New Roman"/>
          <w:spacing w:val="-8"/>
          <w:sz w:val="18"/>
          <w:szCs w:val="18"/>
          <w:lang w:val="es-ES_tradnl"/>
        </w:rPr>
        <w:t>í</w:t>
      </w:r>
      <w:r>
        <w:rPr>
          <w:spacing w:val="-8"/>
          <w:sz w:val="18"/>
          <w:szCs w:val="18"/>
          <w:lang w:val="es-ES_tradnl"/>
        </w:rPr>
        <w:t xml:space="preserve">a del derecho al debido </w:t>
      </w:r>
      <w:r>
        <w:rPr>
          <w:spacing w:val="-7"/>
          <w:sz w:val="18"/>
          <w:szCs w:val="18"/>
          <w:lang w:val="es-ES_tradnl"/>
        </w:rPr>
        <w:t>proceso cuya violaci</w:t>
      </w:r>
      <w:r>
        <w:rPr>
          <w:rFonts w:cs="Times New Roman"/>
          <w:spacing w:val="-7"/>
          <w:sz w:val="18"/>
          <w:szCs w:val="18"/>
          <w:lang w:val="es-ES_tradnl"/>
        </w:rPr>
        <w:t>ó</w:t>
      </w:r>
      <w:r>
        <w:rPr>
          <w:spacing w:val="-7"/>
          <w:sz w:val="18"/>
          <w:szCs w:val="18"/>
          <w:lang w:val="es-ES_tradnl"/>
        </w:rPr>
        <w:t>n se acusa, y verificar si la actuaci</w:t>
      </w:r>
      <w:r>
        <w:rPr>
          <w:rFonts w:cs="Times New Roman"/>
          <w:spacing w:val="-7"/>
          <w:sz w:val="18"/>
          <w:szCs w:val="18"/>
          <w:lang w:val="es-ES_tradnl"/>
        </w:rPr>
        <w:t>ó</w:t>
      </w:r>
      <w:r>
        <w:rPr>
          <w:spacing w:val="-7"/>
          <w:sz w:val="18"/>
          <w:szCs w:val="18"/>
          <w:lang w:val="es-ES_tradnl"/>
        </w:rPr>
        <w:t xml:space="preserve">n </w:t>
      </w:r>
      <w:r>
        <w:rPr>
          <w:sz w:val="18"/>
          <w:szCs w:val="18"/>
          <w:lang w:val="es-ES_tradnl"/>
        </w:rPr>
        <w:t>judicial se ajusta o no a tal contenido.</w:t>
      </w:r>
    </w:p>
    <w:p w14:paraId="4F67AE01" w14:textId="77777777" w:rsidR="00591D54" w:rsidRDefault="00591D54">
      <w:pPr>
        <w:shd w:val="clear" w:color="auto" w:fill="FFFFFF"/>
        <w:spacing w:before="197" w:line="211" w:lineRule="exact"/>
        <w:jc w:val="both"/>
      </w:pPr>
      <w:r>
        <w:rPr>
          <w:spacing w:val="-7"/>
          <w:sz w:val="18"/>
          <w:szCs w:val="18"/>
          <w:lang w:val="es-ES_tradnl"/>
        </w:rPr>
        <w:t xml:space="preserve">La Corte Constitucional ha manifestado que el derecho al debido proceso es el </w:t>
      </w:r>
      <w:r>
        <w:rPr>
          <w:rFonts w:cs="Times New Roman"/>
          <w:spacing w:val="-7"/>
          <w:sz w:val="18"/>
          <w:szCs w:val="18"/>
          <w:lang w:val="es-ES_tradnl"/>
        </w:rPr>
        <w:t>“</w:t>
      </w:r>
      <w:r>
        <w:rPr>
          <w:spacing w:val="-7"/>
          <w:sz w:val="18"/>
          <w:szCs w:val="18"/>
          <w:lang w:val="es-ES_tradnl"/>
        </w:rPr>
        <w:t xml:space="preserve">conjunto de principios a observar en </w:t>
      </w:r>
      <w:r>
        <w:rPr>
          <w:spacing w:val="-5"/>
          <w:sz w:val="18"/>
          <w:szCs w:val="18"/>
          <w:lang w:val="es-ES_tradnl"/>
        </w:rPr>
        <w:t>cualquier procedimiento, no solo como orientaci</w:t>
      </w:r>
      <w:r>
        <w:rPr>
          <w:rFonts w:cs="Times New Roman"/>
          <w:spacing w:val="-5"/>
          <w:sz w:val="18"/>
          <w:szCs w:val="18"/>
          <w:lang w:val="es-ES_tradnl"/>
        </w:rPr>
        <w:t>ó</w:t>
      </w:r>
      <w:r>
        <w:rPr>
          <w:spacing w:val="-5"/>
          <w:sz w:val="18"/>
          <w:szCs w:val="18"/>
          <w:lang w:val="es-ES_tradnl"/>
        </w:rPr>
        <w:t xml:space="preserve">n sino </w:t>
      </w:r>
      <w:r>
        <w:rPr>
          <w:spacing w:val="-8"/>
          <w:sz w:val="18"/>
          <w:szCs w:val="18"/>
          <w:lang w:val="es-ES_tradnl"/>
        </w:rPr>
        <w:t xml:space="preserve">como deber, destinado a garantizar de manera eficaz los </w:t>
      </w:r>
      <w:r>
        <w:rPr>
          <w:sz w:val="18"/>
          <w:szCs w:val="18"/>
          <w:lang w:val="es-ES_tradnl"/>
        </w:rPr>
        <w:t>derechos de las personas</w:t>
      </w:r>
      <w:r>
        <w:rPr>
          <w:rFonts w:cs="Times New Roman"/>
          <w:sz w:val="18"/>
          <w:szCs w:val="18"/>
          <w:lang w:val="es-ES_tradnl"/>
        </w:rPr>
        <w:t>”</w:t>
      </w:r>
      <w:r>
        <w:rPr>
          <w:sz w:val="18"/>
          <w:szCs w:val="18"/>
          <w:vertAlign w:val="superscript"/>
          <w:lang w:val="es-ES_tradnl"/>
        </w:rPr>
        <w:t>2</w:t>
      </w:r>
      <w:r>
        <w:rPr>
          <w:sz w:val="18"/>
          <w:szCs w:val="18"/>
          <w:lang w:val="es-ES_tradnl"/>
        </w:rPr>
        <w:t>.</w:t>
      </w:r>
    </w:p>
    <w:p w14:paraId="4F67AE02" w14:textId="77777777" w:rsidR="00591D54" w:rsidRDefault="00591D54">
      <w:pPr>
        <w:shd w:val="clear" w:color="auto" w:fill="FFFFFF"/>
        <w:spacing w:before="197" w:line="216" w:lineRule="exact"/>
        <w:jc w:val="both"/>
      </w:pPr>
      <w:r>
        <w:rPr>
          <w:spacing w:val="-5"/>
          <w:sz w:val="18"/>
          <w:szCs w:val="18"/>
          <w:lang w:val="es-ES_tradnl"/>
        </w:rPr>
        <w:t>Por tanto, el debido proceso conlleva un m</w:t>
      </w:r>
      <w:r>
        <w:rPr>
          <w:rFonts w:cs="Times New Roman"/>
          <w:spacing w:val="-5"/>
          <w:sz w:val="18"/>
          <w:szCs w:val="18"/>
          <w:lang w:val="es-ES_tradnl"/>
        </w:rPr>
        <w:t>í</w:t>
      </w:r>
      <w:r>
        <w:rPr>
          <w:spacing w:val="-5"/>
          <w:sz w:val="18"/>
          <w:szCs w:val="18"/>
          <w:lang w:val="es-ES_tradnl"/>
        </w:rPr>
        <w:t xml:space="preserve">nimo de </w:t>
      </w:r>
      <w:r>
        <w:rPr>
          <w:spacing w:val="-8"/>
          <w:sz w:val="18"/>
          <w:szCs w:val="18"/>
          <w:lang w:val="es-ES_tradnl"/>
        </w:rPr>
        <w:t xml:space="preserve">presupuestos y condiciones para tramitar adecuadamente </w:t>
      </w:r>
      <w:r>
        <w:rPr>
          <w:spacing w:val="-7"/>
          <w:sz w:val="18"/>
          <w:szCs w:val="18"/>
          <w:lang w:val="es-ES_tradnl"/>
        </w:rPr>
        <w:t>un procedimiento y asegurar condiciones m</w:t>
      </w:r>
      <w:r>
        <w:rPr>
          <w:rFonts w:cs="Times New Roman"/>
          <w:spacing w:val="-7"/>
          <w:sz w:val="18"/>
          <w:szCs w:val="18"/>
          <w:lang w:val="es-ES_tradnl"/>
        </w:rPr>
        <w:t>í</w:t>
      </w:r>
      <w:r>
        <w:rPr>
          <w:spacing w:val="-7"/>
          <w:sz w:val="18"/>
          <w:szCs w:val="18"/>
          <w:lang w:val="es-ES_tradnl"/>
        </w:rPr>
        <w:t xml:space="preserve">nimas para la </w:t>
      </w:r>
      <w:r>
        <w:rPr>
          <w:spacing w:val="-8"/>
          <w:sz w:val="18"/>
          <w:szCs w:val="18"/>
          <w:lang w:val="es-ES_tradnl"/>
        </w:rPr>
        <w:t>defensa, constituyendo adem</w:t>
      </w:r>
      <w:r>
        <w:rPr>
          <w:rFonts w:cs="Times New Roman"/>
          <w:spacing w:val="-8"/>
          <w:sz w:val="18"/>
          <w:szCs w:val="18"/>
          <w:lang w:val="es-ES_tradnl"/>
        </w:rPr>
        <w:t>á</w:t>
      </w:r>
      <w:r>
        <w:rPr>
          <w:spacing w:val="-8"/>
          <w:sz w:val="18"/>
          <w:szCs w:val="18"/>
          <w:lang w:val="es-ES_tradnl"/>
        </w:rPr>
        <w:t>s una concreta disposici</w:t>
      </w:r>
      <w:r>
        <w:rPr>
          <w:rFonts w:cs="Times New Roman"/>
          <w:spacing w:val="-8"/>
          <w:sz w:val="18"/>
          <w:szCs w:val="18"/>
          <w:lang w:val="es-ES_tradnl"/>
        </w:rPr>
        <w:t>ó</w:t>
      </w:r>
      <w:r>
        <w:rPr>
          <w:spacing w:val="-8"/>
          <w:sz w:val="18"/>
          <w:szCs w:val="18"/>
          <w:lang w:val="es-ES_tradnl"/>
        </w:rPr>
        <w:t xml:space="preserve">n desde el ingreso al proceso y durante el transcurso de toda </w:t>
      </w:r>
      <w:r>
        <w:rPr>
          <w:spacing w:val="-9"/>
          <w:sz w:val="18"/>
          <w:szCs w:val="18"/>
          <w:lang w:val="es-ES_tradnl"/>
        </w:rPr>
        <w:t>la instancia, para concluir con una decisi</w:t>
      </w:r>
      <w:r>
        <w:rPr>
          <w:rFonts w:cs="Times New Roman"/>
          <w:spacing w:val="-9"/>
          <w:sz w:val="18"/>
          <w:szCs w:val="18"/>
          <w:lang w:val="es-ES_tradnl"/>
        </w:rPr>
        <w:t>ó</w:t>
      </w:r>
      <w:r>
        <w:rPr>
          <w:spacing w:val="-9"/>
          <w:sz w:val="18"/>
          <w:szCs w:val="18"/>
          <w:lang w:val="es-ES_tradnl"/>
        </w:rPr>
        <w:t xml:space="preserve">n adecuadamente </w:t>
      </w:r>
      <w:r>
        <w:rPr>
          <w:spacing w:val="-6"/>
          <w:sz w:val="18"/>
          <w:szCs w:val="18"/>
          <w:lang w:val="es-ES_tradnl"/>
        </w:rPr>
        <w:t>motivada que encuentre concreci</w:t>
      </w:r>
      <w:r>
        <w:rPr>
          <w:rFonts w:cs="Times New Roman"/>
          <w:spacing w:val="-6"/>
          <w:sz w:val="18"/>
          <w:szCs w:val="18"/>
          <w:lang w:val="es-ES_tradnl"/>
        </w:rPr>
        <w:t>ó</w:t>
      </w:r>
      <w:r>
        <w:rPr>
          <w:spacing w:val="-6"/>
          <w:sz w:val="18"/>
          <w:szCs w:val="18"/>
          <w:lang w:val="es-ES_tradnl"/>
        </w:rPr>
        <w:t>n en la ejecuci</w:t>
      </w:r>
      <w:r>
        <w:rPr>
          <w:rFonts w:cs="Times New Roman"/>
          <w:spacing w:val="-6"/>
          <w:sz w:val="18"/>
          <w:szCs w:val="18"/>
          <w:lang w:val="es-ES_tradnl"/>
        </w:rPr>
        <w:t>ó</w:t>
      </w:r>
      <w:r>
        <w:rPr>
          <w:spacing w:val="-6"/>
          <w:sz w:val="18"/>
          <w:szCs w:val="18"/>
          <w:lang w:val="es-ES_tradnl"/>
        </w:rPr>
        <w:t xml:space="preserve">n de lo </w:t>
      </w:r>
      <w:r>
        <w:rPr>
          <w:sz w:val="18"/>
          <w:szCs w:val="18"/>
          <w:lang w:val="es-ES_tradnl"/>
        </w:rPr>
        <w:t>dispuesto por los jueces.</w:t>
      </w:r>
    </w:p>
    <w:p w14:paraId="4F67AE03" w14:textId="77777777" w:rsidR="00591D54" w:rsidRDefault="00591D54">
      <w:pPr>
        <w:shd w:val="clear" w:color="auto" w:fill="FFFFFF"/>
        <w:spacing w:before="192" w:line="216" w:lineRule="exact"/>
        <w:jc w:val="both"/>
      </w:pPr>
      <w:r>
        <w:rPr>
          <w:spacing w:val="-9"/>
          <w:sz w:val="18"/>
          <w:szCs w:val="18"/>
          <w:lang w:val="es-ES_tradnl"/>
        </w:rPr>
        <w:t>En cuanto al derecho a la defensa, previsto en el art</w:t>
      </w:r>
      <w:r>
        <w:rPr>
          <w:rFonts w:cs="Times New Roman"/>
          <w:spacing w:val="-9"/>
          <w:sz w:val="18"/>
          <w:szCs w:val="18"/>
          <w:lang w:val="es-ES_tradnl"/>
        </w:rPr>
        <w:t>í</w:t>
      </w:r>
      <w:r>
        <w:rPr>
          <w:spacing w:val="-9"/>
          <w:sz w:val="18"/>
          <w:szCs w:val="18"/>
          <w:lang w:val="es-ES_tradnl"/>
        </w:rPr>
        <w:t>culo 76 numeral 7, este constituye uno de los pilares indispensables del debido proceso y se lo define como un principio jur</w:t>
      </w:r>
      <w:r>
        <w:rPr>
          <w:rFonts w:cs="Times New Roman"/>
          <w:spacing w:val="-9"/>
          <w:sz w:val="18"/>
          <w:szCs w:val="18"/>
          <w:lang w:val="es-ES_tradnl"/>
        </w:rPr>
        <w:t>í</w:t>
      </w:r>
      <w:r>
        <w:rPr>
          <w:spacing w:val="-9"/>
          <w:sz w:val="18"/>
          <w:szCs w:val="18"/>
          <w:lang w:val="es-ES_tradnl"/>
        </w:rPr>
        <w:t xml:space="preserve">dico </w:t>
      </w:r>
      <w:r>
        <w:rPr>
          <w:spacing w:val="-8"/>
          <w:sz w:val="18"/>
          <w:szCs w:val="18"/>
          <w:lang w:val="es-ES_tradnl"/>
        </w:rPr>
        <w:t xml:space="preserve">procesal o sustantivo mediante el cual, toda persona tiene </w:t>
      </w:r>
      <w:r>
        <w:rPr>
          <w:spacing w:val="-7"/>
          <w:sz w:val="18"/>
          <w:szCs w:val="18"/>
          <w:lang w:val="es-ES_tradnl"/>
        </w:rPr>
        <w:t>derecho a ciertas garant</w:t>
      </w:r>
      <w:r>
        <w:rPr>
          <w:rFonts w:cs="Times New Roman"/>
          <w:spacing w:val="-7"/>
          <w:sz w:val="18"/>
          <w:szCs w:val="18"/>
          <w:lang w:val="es-ES_tradnl"/>
        </w:rPr>
        <w:t>í</w:t>
      </w:r>
      <w:r>
        <w:rPr>
          <w:spacing w:val="-7"/>
          <w:sz w:val="18"/>
          <w:szCs w:val="18"/>
          <w:lang w:val="es-ES_tradnl"/>
        </w:rPr>
        <w:t>as m</w:t>
      </w:r>
      <w:r>
        <w:rPr>
          <w:rFonts w:cs="Times New Roman"/>
          <w:spacing w:val="-7"/>
          <w:sz w:val="18"/>
          <w:szCs w:val="18"/>
          <w:lang w:val="es-ES_tradnl"/>
        </w:rPr>
        <w:t>í</w:t>
      </w:r>
      <w:r>
        <w:rPr>
          <w:spacing w:val="-7"/>
          <w:sz w:val="18"/>
          <w:szCs w:val="18"/>
          <w:lang w:val="es-ES_tradnl"/>
        </w:rPr>
        <w:t xml:space="preserve">nimas para asegurar un </w:t>
      </w:r>
      <w:r>
        <w:rPr>
          <w:spacing w:val="-6"/>
          <w:sz w:val="18"/>
          <w:szCs w:val="18"/>
          <w:lang w:val="es-ES_tradnl"/>
        </w:rPr>
        <w:t>resultado justo y equitativo dentro del proceso, garant</w:t>
      </w:r>
      <w:r>
        <w:rPr>
          <w:rFonts w:cs="Times New Roman"/>
          <w:spacing w:val="-6"/>
          <w:sz w:val="18"/>
          <w:szCs w:val="18"/>
          <w:lang w:val="es-ES_tradnl"/>
        </w:rPr>
        <w:t>í</w:t>
      </w:r>
      <w:r>
        <w:rPr>
          <w:spacing w:val="-6"/>
          <w:sz w:val="18"/>
          <w:szCs w:val="18"/>
          <w:lang w:val="es-ES_tradnl"/>
        </w:rPr>
        <w:t xml:space="preserve">as </w:t>
      </w:r>
      <w:r>
        <w:rPr>
          <w:spacing w:val="-8"/>
          <w:sz w:val="18"/>
          <w:szCs w:val="18"/>
          <w:lang w:val="es-ES_tradnl"/>
        </w:rPr>
        <w:t>entre la que se encuentra la de la motivaci</w:t>
      </w:r>
      <w:r>
        <w:rPr>
          <w:rFonts w:cs="Times New Roman"/>
          <w:spacing w:val="-8"/>
          <w:sz w:val="18"/>
          <w:szCs w:val="18"/>
          <w:lang w:val="es-ES_tradnl"/>
        </w:rPr>
        <w:t>ó</w:t>
      </w:r>
      <w:r>
        <w:rPr>
          <w:spacing w:val="-8"/>
          <w:sz w:val="18"/>
          <w:szCs w:val="18"/>
          <w:lang w:val="es-ES_tradnl"/>
        </w:rPr>
        <w:t>n.</w:t>
      </w:r>
    </w:p>
    <w:p w14:paraId="4F67AE04" w14:textId="77777777" w:rsidR="00591D54" w:rsidRDefault="00591D54">
      <w:pPr>
        <w:shd w:val="clear" w:color="auto" w:fill="FFFFFF"/>
        <w:spacing w:before="192" w:line="216" w:lineRule="exact"/>
        <w:jc w:val="both"/>
      </w:pPr>
      <w:r>
        <w:rPr>
          <w:spacing w:val="-8"/>
          <w:sz w:val="18"/>
          <w:szCs w:val="18"/>
          <w:lang w:val="es-ES_tradnl"/>
        </w:rPr>
        <w:t>La motivaci</w:t>
      </w:r>
      <w:r>
        <w:rPr>
          <w:rFonts w:cs="Times New Roman"/>
          <w:spacing w:val="-8"/>
          <w:sz w:val="18"/>
          <w:szCs w:val="18"/>
          <w:lang w:val="es-ES_tradnl"/>
        </w:rPr>
        <w:t>ó</w:t>
      </w:r>
      <w:r>
        <w:rPr>
          <w:spacing w:val="-8"/>
          <w:sz w:val="18"/>
          <w:szCs w:val="18"/>
          <w:lang w:val="es-ES_tradnl"/>
        </w:rPr>
        <w:t>n es una garant</w:t>
      </w:r>
      <w:r>
        <w:rPr>
          <w:rFonts w:cs="Times New Roman"/>
          <w:spacing w:val="-8"/>
          <w:sz w:val="18"/>
          <w:szCs w:val="18"/>
          <w:lang w:val="es-ES_tradnl"/>
        </w:rPr>
        <w:t>í</w:t>
      </w:r>
      <w:r>
        <w:rPr>
          <w:spacing w:val="-8"/>
          <w:sz w:val="18"/>
          <w:szCs w:val="18"/>
          <w:lang w:val="es-ES_tradnl"/>
        </w:rPr>
        <w:t xml:space="preserve">a de fundamental importancia </w:t>
      </w:r>
      <w:r>
        <w:rPr>
          <w:spacing w:val="-9"/>
          <w:sz w:val="18"/>
          <w:szCs w:val="18"/>
          <w:lang w:val="es-ES_tradnl"/>
        </w:rPr>
        <w:t xml:space="preserve">del derecho constitucional al debido proceso en tanto, exige </w:t>
      </w:r>
      <w:r>
        <w:rPr>
          <w:spacing w:val="-10"/>
          <w:sz w:val="18"/>
          <w:szCs w:val="18"/>
          <w:lang w:val="es-ES_tradnl"/>
        </w:rPr>
        <w:t xml:space="preserve">que los juzgadores justifiquen suficientemente las premisas </w:t>
      </w:r>
      <w:r>
        <w:rPr>
          <w:spacing w:val="-6"/>
          <w:sz w:val="18"/>
          <w:szCs w:val="18"/>
          <w:lang w:val="es-ES_tradnl"/>
        </w:rPr>
        <w:t>que utilizan para llegar a una decisi</w:t>
      </w:r>
      <w:r>
        <w:rPr>
          <w:rFonts w:cs="Times New Roman"/>
          <w:spacing w:val="-6"/>
          <w:sz w:val="18"/>
          <w:szCs w:val="18"/>
          <w:lang w:val="es-ES_tradnl"/>
        </w:rPr>
        <w:t>ó</w:t>
      </w:r>
      <w:r>
        <w:rPr>
          <w:spacing w:val="-6"/>
          <w:sz w:val="18"/>
          <w:szCs w:val="18"/>
          <w:lang w:val="es-ES_tradnl"/>
        </w:rPr>
        <w:t xml:space="preserve">n para cada caso </w:t>
      </w:r>
      <w:r>
        <w:rPr>
          <w:sz w:val="18"/>
          <w:szCs w:val="18"/>
          <w:lang w:val="es-ES_tradnl"/>
        </w:rPr>
        <w:t>concreto.</w:t>
      </w:r>
    </w:p>
    <w:p w14:paraId="4F67AE05" w14:textId="77777777" w:rsidR="00591D54" w:rsidRDefault="00591D54">
      <w:pPr>
        <w:shd w:val="clear" w:color="auto" w:fill="FFFFFF"/>
        <w:spacing w:before="192" w:line="216" w:lineRule="exact"/>
        <w:jc w:val="both"/>
      </w:pPr>
      <w:r>
        <w:rPr>
          <w:spacing w:val="-4"/>
          <w:sz w:val="18"/>
          <w:szCs w:val="18"/>
          <w:lang w:val="es-ES_tradnl"/>
        </w:rPr>
        <w:t>El art</w:t>
      </w:r>
      <w:r>
        <w:rPr>
          <w:rFonts w:cs="Times New Roman"/>
          <w:spacing w:val="-4"/>
          <w:sz w:val="18"/>
          <w:szCs w:val="18"/>
          <w:lang w:val="es-ES_tradnl"/>
        </w:rPr>
        <w:t>í</w:t>
      </w:r>
      <w:r>
        <w:rPr>
          <w:spacing w:val="-4"/>
          <w:sz w:val="18"/>
          <w:szCs w:val="18"/>
          <w:lang w:val="es-ES_tradnl"/>
        </w:rPr>
        <w:t xml:space="preserve">culo 76 numeral 7 literal </w:t>
      </w:r>
      <w:r>
        <w:rPr>
          <w:b/>
          <w:bCs/>
          <w:spacing w:val="-4"/>
          <w:sz w:val="18"/>
          <w:szCs w:val="18"/>
          <w:lang w:val="es-ES_tradnl"/>
        </w:rPr>
        <w:t xml:space="preserve">l </w:t>
      </w:r>
      <w:r>
        <w:rPr>
          <w:spacing w:val="-4"/>
          <w:sz w:val="18"/>
          <w:szCs w:val="18"/>
          <w:lang w:val="es-ES_tradnl"/>
        </w:rPr>
        <w:t>de la Constituci</w:t>
      </w:r>
      <w:r>
        <w:rPr>
          <w:rFonts w:cs="Times New Roman"/>
          <w:spacing w:val="-4"/>
          <w:sz w:val="18"/>
          <w:szCs w:val="18"/>
          <w:lang w:val="es-ES_tradnl"/>
        </w:rPr>
        <w:t>ó</w:t>
      </w:r>
      <w:r>
        <w:rPr>
          <w:spacing w:val="-4"/>
          <w:sz w:val="18"/>
          <w:szCs w:val="18"/>
          <w:lang w:val="es-ES_tradnl"/>
        </w:rPr>
        <w:t xml:space="preserve">n de la </w:t>
      </w:r>
      <w:r>
        <w:rPr>
          <w:sz w:val="18"/>
          <w:szCs w:val="18"/>
          <w:lang w:val="es-ES_tradnl"/>
        </w:rPr>
        <w:t>Rep</w:t>
      </w:r>
      <w:r>
        <w:rPr>
          <w:rFonts w:cs="Times New Roman"/>
          <w:sz w:val="18"/>
          <w:szCs w:val="18"/>
          <w:lang w:val="es-ES_tradnl"/>
        </w:rPr>
        <w:t>ú</w:t>
      </w:r>
      <w:r>
        <w:rPr>
          <w:sz w:val="18"/>
          <w:szCs w:val="18"/>
          <w:lang w:val="es-ES_tradnl"/>
        </w:rPr>
        <w:t>blica, prescribe:</w:t>
      </w:r>
    </w:p>
    <w:p w14:paraId="4F67AE06" w14:textId="77777777" w:rsidR="00591D54" w:rsidRDefault="00591D54">
      <w:pPr>
        <w:shd w:val="clear" w:color="auto" w:fill="FFFFFF"/>
        <w:spacing w:before="202" w:line="216" w:lineRule="exact"/>
        <w:ind w:left="283"/>
        <w:jc w:val="both"/>
      </w:pPr>
      <w:r>
        <w:rPr>
          <w:sz w:val="14"/>
          <w:szCs w:val="14"/>
          <w:lang w:val="es-ES_tradnl"/>
        </w:rPr>
        <w:t>l) Las resoluciones de los poderes p</w:t>
      </w:r>
      <w:r>
        <w:rPr>
          <w:rFonts w:cs="Times New Roman"/>
          <w:sz w:val="14"/>
          <w:szCs w:val="14"/>
          <w:lang w:val="es-ES_tradnl"/>
        </w:rPr>
        <w:t>ú</w:t>
      </w:r>
      <w:r>
        <w:rPr>
          <w:sz w:val="14"/>
          <w:szCs w:val="14"/>
          <w:lang w:val="es-ES_tradnl"/>
        </w:rPr>
        <w:t>blicos deber</w:t>
      </w:r>
      <w:r>
        <w:rPr>
          <w:rFonts w:cs="Times New Roman"/>
          <w:sz w:val="14"/>
          <w:szCs w:val="14"/>
          <w:lang w:val="es-ES_tradnl"/>
        </w:rPr>
        <w:t>á</w:t>
      </w:r>
      <w:r>
        <w:rPr>
          <w:sz w:val="14"/>
          <w:szCs w:val="14"/>
          <w:lang w:val="es-ES_tradnl"/>
        </w:rPr>
        <w:t>n ser motivadas. No habr</w:t>
      </w:r>
      <w:r>
        <w:rPr>
          <w:rFonts w:cs="Times New Roman"/>
          <w:sz w:val="14"/>
          <w:szCs w:val="14"/>
          <w:lang w:val="es-ES_tradnl"/>
        </w:rPr>
        <w:t>á</w:t>
      </w:r>
      <w:r>
        <w:rPr>
          <w:sz w:val="14"/>
          <w:szCs w:val="14"/>
          <w:lang w:val="es-ES_tradnl"/>
        </w:rPr>
        <w:t xml:space="preserve"> motivaci</w:t>
      </w:r>
      <w:r>
        <w:rPr>
          <w:rFonts w:cs="Times New Roman"/>
          <w:sz w:val="14"/>
          <w:szCs w:val="14"/>
          <w:lang w:val="es-ES_tradnl"/>
        </w:rPr>
        <w:t>ó</w:t>
      </w:r>
      <w:r>
        <w:rPr>
          <w:sz w:val="14"/>
          <w:szCs w:val="14"/>
          <w:lang w:val="es-ES_tradnl"/>
        </w:rPr>
        <w:t>n si en la resoluci</w:t>
      </w:r>
      <w:r>
        <w:rPr>
          <w:rFonts w:cs="Times New Roman"/>
          <w:sz w:val="14"/>
          <w:szCs w:val="14"/>
          <w:lang w:val="es-ES_tradnl"/>
        </w:rPr>
        <w:t>ó</w:t>
      </w:r>
      <w:r>
        <w:rPr>
          <w:sz w:val="14"/>
          <w:szCs w:val="14"/>
          <w:lang w:val="es-ES_tradnl"/>
        </w:rPr>
        <w:t>n no se enuncian las normas o principios jur</w:t>
      </w:r>
      <w:r>
        <w:rPr>
          <w:rFonts w:cs="Times New Roman"/>
          <w:sz w:val="14"/>
          <w:szCs w:val="14"/>
          <w:lang w:val="es-ES_tradnl"/>
        </w:rPr>
        <w:t>í</w:t>
      </w:r>
      <w:r>
        <w:rPr>
          <w:sz w:val="14"/>
          <w:szCs w:val="14"/>
          <w:lang w:val="es-ES_tradnl"/>
        </w:rPr>
        <w:t>dicos en que se funda y no se explica la pertinencia de su aplicaci</w:t>
      </w:r>
      <w:r>
        <w:rPr>
          <w:rFonts w:cs="Times New Roman"/>
          <w:sz w:val="14"/>
          <w:szCs w:val="14"/>
          <w:lang w:val="es-ES_tradnl"/>
        </w:rPr>
        <w:t>ó</w:t>
      </w:r>
      <w:r>
        <w:rPr>
          <w:sz w:val="14"/>
          <w:szCs w:val="14"/>
          <w:lang w:val="es-ES_tradnl"/>
        </w:rPr>
        <w:t>n a los antecedentes de hecho. Los actos administrativos, resoluciones o fallos que no se encuentren debidamente motivados se considerar</w:t>
      </w:r>
      <w:r>
        <w:rPr>
          <w:rFonts w:cs="Times New Roman"/>
          <w:sz w:val="14"/>
          <w:szCs w:val="14"/>
          <w:lang w:val="es-ES_tradnl"/>
        </w:rPr>
        <w:t>á</w:t>
      </w:r>
      <w:r>
        <w:rPr>
          <w:sz w:val="14"/>
          <w:szCs w:val="14"/>
          <w:lang w:val="es-ES_tradnl"/>
        </w:rPr>
        <w:t>n nulos. Las servidoras o servidores responsables ser</w:t>
      </w:r>
      <w:r>
        <w:rPr>
          <w:rFonts w:cs="Times New Roman"/>
          <w:sz w:val="14"/>
          <w:szCs w:val="14"/>
          <w:lang w:val="es-ES_tradnl"/>
        </w:rPr>
        <w:t>á</w:t>
      </w:r>
      <w:r>
        <w:rPr>
          <w:sz w:val="14"/>
          <w:szCs w:val="14"/>
          <w:lang w:val="es-ES_tradnl"/>
        </w:rPr>
        <w:t>n sancionados.</w:t>
      </w:r>
    </w:p>
    <w:p w14:paraId="4F67AE07" w14:textId="77777777" w:rsidR="00591D54" w:rsidRDefault="00591D54">
      <w:pPr>
        <w:shd w:val="clear" w:color="auto" w:fill="FFFFFF"/>
        <w:spacing w:before="202" w:line="216" w:lineRule="exact"/>
        <w:jc w:val="both"/>
      </w:pPr>
      <w:r>
        <w:rPr>
          <w:spacing w:val="-4"/>
          <w:sz w:val="18"/>
          <w:szCs w:val="18"/>
          <w:lang w:val="es-ES_tradnl"/>
        </w:rPr>
        <w:t>De lo que se infiere que la motivaci</w:t>
      </w:r>
      <w:r>
        <w:rPr>
          <w:rFonts w:cs="Times New Roman"/>
          <w:spacing w:val="-4"/>
          <w:sz w:val="18"/>
          <w:szCs w:val="18"/>
          <w:lang w:val="es-ES_tradnl"/>
        </w:rPr>
        <w:t>ó</w:t>
      </w:r>
      <w:r>
        <w:rPr>
          <w:spacing w:val="-4"/>
          <w:sz w:val="18"/>
          <w:szCs w:val="18"/>
          <w:lang w:val="es-ES_tradnl"/>
        </w:rPr>
        <w:t xml:space="preserve">n no solamente es un elemento formal que obligatoriamente la autoridad </w:t>
      </w:r>
      <w:r>
        <w:rPr>
          <w:spacing w:val="-2"/>
          <w:sz w:val="18"/>
          <w:szCs w:val="18"/>
          <w:lang w:val="es-ES_tradnl"/>
        </w:rPr>
        <w:t>p</w:t>
      </w:r>
      <w:r>
        <w:rPr>
          <w:rFonts w:cs="Times New Roman"/>
          <w:spacing w:val="-2"/>
          <w:sz w:val="18"/>
          <w:szCs w:val="18"/>
          <w:lang w:val="es-ES_tradnl"/>
        </w:rPr>
        <w:t>ú</w:t>
      </w:r>
      <w:r>
        <w:rPr>
          <w:spacing w:val="-2"/>
          <w:sz w:val="18"/>
          <w:szCs w:val="18"/>
          <w:lang w:val="es-ES_tradnl"/>
        </w:rPr>
        <w:t>blica debe articular cuando tome una decisi</w:t>
      </w:r>
      <w:r>
        <w:rPr>
          <w:rFonts w:cs="Times New Roman"/>
          <w:spacing w:val="-2"/>
          <w:sz w:val="18"/>
          <w:szCs w:val="18"/>
          <w:lang w:val="es-ES_tradnl"/>
        </w:rPr>
        <w:t>ó</w:t>
      </w:r>
      <w:r>
        <w:rPr>
          <w:spacing w:val="-2"/>
          <w:sz w:val="18"/>
          <w:szCs w:val="18"/>
          <w:lang w:val="es-ES_tradnl"/>
        </w:rPr>
        <w:t xml:space="preserve">n, sino </w:t>
      </w:r>
      <w:r>
        <w:rPr>
          <w:spacing w:val="-8"/>
          <w:sz w:val="18"/>
          <w:szCs w:val="18"/>
          <w:lang w:val="es-ES_tradnl"/>
        </w:rPr>
        <w:t>que se constituye tambi</w:t>
      </w:r>
      <w:r>
        <w:rPr>
          <w:rFonts w:cs="Times New Roman"/>
          <w:spacing w:val="-8"/>
          <w:sz w:val="18"/>
          <w:szCs w:val="18"/>
          <w:lang w:val="es-ES_tradnl"/>
        </w:rPr>
        <w:t>é</w:t>
      </w:r>
      <w:r>
        <w:rPr>
          <w:spacing w:val="-8"/>
          <w:sz w:val="18"/>
          <w:szCs w:val="18"/>
          <w:lang w:val="es-ES_tradnl"/>
        </w:rPr>
        <w:t>n en un elemento sustancial para garantizar el derecho a la defensa y por lo tanto, el derecho al debido proceso, toda vez que lo esencial se traduce en conocer el razonamiento l</w:t>
      </w:r>
      <w:r>
        <w:rPr>
          <w:rFonts w:cs="Times New Roman"/>
          <w:spacing w:val="-8"/>
          <w:sz w:val="18"/>
          <w:szCs w:val="18"/>
          <w:lang w:val="es-ES_tradnl"/>
        </w:rPr>
        <w:t>ó</w:t>
      </w:r>
      <w:r>
        <w:rPr>
          <w:spacing w:val="-8"/>
          <w:sz w:val="18"/>
          <w:szCs w:val="18"/>
          <w:lang w:val="es-ES_tradnl"/>
        </w:rPr>
        <w:t xml:space="preserve">gico del juez para entender los </w:t>
      </w:r>
      <w:r>
        <w:rPr>
          <w:spacing w:val="-9"/>
          <w:sz w:val="18"/>
          <w:szCs w:val="18"/>
          <w:lang w:val="es-ES_tradnl"/>
        </w:rPr>
        <w:t>argumentos que se usaron para sustentar un fallo.</w:t>
      </w:r>
    </w:p>
    <w:p w14:paraId="4F67AE08" w14:textId="77777777" w:rsidR="00591D54" w:rsidRDefault="00591D54">
      <w:pPr>
        <w:shd w:val="clear" w:color="auto" w:fill="FFFFFF"/>
        <w:spacing w:before="730" w:line="178" w:lineRule="exact"/>
        <w:ind w:left="144" w:hanging="144"/>
      </w:pPr>
      <w:r>
        <w:rPr>
          <w:sz w:val="14"/>
          <w:szCs w:val="14"/>
          <w:vertAlign w:val="superscript"/>
          <w:lang w:val="es-ES_tradnl"/>
        </w:rPr>
        <w:t>2</w:t>
      </w:r>
      <w:r>
        <w:rPr>
          <w:sz w:val="14"/>
          <w:szCs w:val="14"/>
          <w:lang w:val="es-ES_tradnl"/>
        </w:rPr>
        <w:t xml:space="preserve">  Corte Constitucional del Ecuador, para el per</w:t>
      </w:r>
      <w:r>
        <w:rPr>
          <w:rFonts w:cs="Times New Roman"/>
          <w:sz w:val="14"/>
          <w:szCs w:val="14"/>
          <w:lang w:val="es-ES_tradnl"/>
        </w:rPr>
        <w:t>í</w:t>
      </w:r>
      <w:r>
        <w:rPr>
          <w:sz w:val="14"/>
          <w:szCs w:val="14"/>
          <w:lang w:val="es-ES_tradnl"/>
        </w:rPr>
        <w:t>odo de transici</w:t>
      </w:r>
      <w:r>
        <w:rPr>
          <w:rFonts w:cs="Times New Roman"/>
          <w:sz w:val="14"/>
          <w:szCs w:val="14"/>
          <w:lang w:val="es-ES_tradnl"/>
        </w:rPr>
        <w:t>ó</w:t>
      </w:r>
      <w:r>
        <w:rPr>
          <w:sz w:val="14"/>
          <w:szCs w:val="14"/>
          <w:lang w:val="es-ES_tradnl"/>
        </w:rPr>
        <w:t xml:space="preserve">n, </w:t>
      </w:r>
      <w:r>
        <w:rPr>
          <w:spacing w:val="-2"/>
          <w:sz w:val="14"/>
          <w:szCs w:val="14"/>
          <w:lang w:val="es-ES_tradnl"/>
        </w:rPr>
        <w:t>sentencia N.</w:t>
      </w:r>
      <w:r>
        <w:rPr>
          <w:rFonts w:cs="Times New Roman"/>
          <w:spacing w:val="-2"/>
          <w:sz w:val="14"/>
          <w:szCs w:val="14"/>
          <w:lang w:val="es-ES_tradnl"/>
        </w:rPr>
        <w:t>º</w:t>
      </w:r>
      <w:r>
        <w:rPr>
          <w:spacing w:val="-2"/>
          <w:sz w:val="14"/>
          <w:szCs w:val="14"/>
          <w:lang w:val="es-ES_tradnl"/>
        </w:rPr>
        <w:t xml:space="preserve"> 027-09-SEP-CC, caso N.</w:t>
      </w:r>
      <w:r>
        <w:rPr>
          <w:rFonts w:cs="Times New Roman"/>
          <w:spacing w:val="-2"/>
          <w:sz w:val="14"/>
          <w:szCs w:val="14"/>
          <w:lang w:val="es-ES_tradnl"/>
        </w:rPr>
        <w:t>º</w:t>
      </w:r>
      <w:r>
        <w:rPr>
          <w:spacing w:val="-2"/>
          <w:sz w:val="14"/>
          <w:szCs w:val="14"/>
          <w:lang w:val="es-ES_tradnl"/>
        </w:rPr>
        <w:t xml:space="preserve"> 0011-08-EP.</w:t>
      </w:r>
    </w:p>
    <w:p w14:paraId="4F67AE09" w14:textId="77777777" w:rsidR="00591D54" w:rsidRDefault="00591D54">
      <w:pPr>
        <w:shd w:val="clear" w:color="auto" w:fill="FFFFFF"/>
        <w:spacing w:before="730" w:line="178" w:lineRule="exact"/>
        <w:ind w:left="144" w:hanging="144"/>
        <w:sectPr w:rsidR="00591D54">
          <w:type w:val="continuous"/>
          <w:pgSz w:w="11909" w:h="16834"/>
          <w:pgMar w:top="1356" w:right="1309" w:bottom="360" w:left="1308" w:header="720" w:footer="720" w:gutter="0"/>
          <w:cols w:num="2" w:space="720" w:equalWidth="0">
            <w:col w:w="4305" w:space="682"/>
            <w:col w:w="4305"/>
          </w:cols>
          <w:noEndnote/>
        </w:sectPr>
      </w:pPr>
    </w:p>
    <w:p w14:paraId="4F67AE0A" w14:textId="77777777" w:rsidR="00591D54" w:rsidRDefault="00591D54">
      <w:pPr>
        <w:shd w:val="clear" w:color="auto" w:fill="FFFFFF"/>
        <w:tabs>
          <w:tab w:val="left" w:pos="5842"/>
        </w:tabs>
        <w:spacing w:after="235"/>
        <w:ind w:left="14"/>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- 129</w:t>
      </w:r>
    </w:p>
    <w:p w14:paraId="4F67AE0B" w14:textId="77777777" w:rsidR="00591D54" w:rsidRDefault="00591D54">
      <w:pPr>
        <w:shd w:val="clear" w:color="auto" w:fill="FFFFFF"/>
        <w:tabs>
          <w:tab w:val="left" w:pos="5842"/>
        </w:tabs>
        <w:spacing w:after="235"/>
        <w:ind w:left="14"/>
        <w:sectPr w:rsidR="00591D54">
          <w:pgSz w:w="11909" w:h="16834"/>
          <w:pgMar w:top="1356" w:right="1309" w:bottom="360" w:left="1308" w:header="720" w:footer="720" w:gutter="0"/>
          <w:cols w:space="60"/>
          <w:noEndnote/>
        </w:sectPr>
      </w:pPr>
    </w:p>
    <w:p w14:paraId="4F67AE0C" w14:textId="77777777" w:rsidR="00591D54" w:rsidRDefault="00591D54">
      <w:pPr>
        <w:shd w:val="clear" w:color="auto" w:fill="FFFFFF"/>
      </w:pPr>
      <w:r>
        <w:rPr>
          <w:spacing w:val="-9"/>
          <w:sz w:val="18"/>
          <w:szCs w:val="18"/>
          <w:lang w:val="es-ES_tradnl"/>
        </w:rPr>
        <w:t>En cuanto a esta garant</w:t>
      </w:r>
      <w:r>
        <w:rPr>
          <w:rFonts w:cs="Times New Roman"/>
          <w:spacing w:val="-9"/>
          <w:sz w:val="18"/>
          <w:szCs w:val="18"/>
          <w:lang w:val="es-ES_tradnl"/>
        </w:rPr>
        <w:t>í</w:t>
      </w:r>
      <w:r>
        <w:rPr>
          <w:spacing w:val="-9"/>
          <w:sz w:val="18"/>
          <w:szCs w:val="18"/>
          <w:lang w:val="es-ES_tradnl"/>
        </w:rPr>
        <w:t>a, la Corte ha sostenido que:</w:t>
      </w:r>
    </w:p>
    <w:p w14:paraId="4F67AE0D" w14:textId="77777777" w:rsidR="00591D54" w:rsidRDefault="00591D54">
      <w:pPr>
        <w:shd w:val="clear" w:color="auto" w:fill="FFFFFF"/>
        <w:spacing w:before="202" w:line="211" w:lineRule="exact"/>
        <w:ind w:left="283"/>
        <w:jc w:val="both"/>
      </w:pPr>
      <w:r>
        <w:rPr>
          <w:sz w:val="14"/>
          <w:szCs w:val="14"/>
          <w:lang w:val="es-ES_tradnl"/>
        </w:rPr>
        <w:t>(</w:t>
      </w:r>
      <w:r>
        <w:rPr>
          <w:rFonts w:cs="Times New Roman"/>
          <w:sz w:val="14"/>
          <w:szCs w:val="14"/>
          <w:lang w:val="es-ES_tradnl"/>
        </w:rPr>
        <w:t>…</w:t>
      </w:r>
      <w:r>
        <w:rPr>
          <w:sz w:val="14"/>
          <w:szCs w:val="14"/>
          <w:lang w:val="es-ES_tradnl"/>
        </w:rPr>
        <w:t>) la motivaci</w:t>
      </w:r>
      <w:r>
        <w:rPr>
          <w:rFonts w:cs="Times New Roman"/>
          <w:sz w:val="14"/>
          <w:szCs w:val="14"/>
          <w:lang w:val="es-ES_tradnl"/>
        </w:rPr>
        <w:t>ó</w:t>
      </w:r>
      <w:r>
        <w:rPr>
          <w:sz w:val="14"/>
          <w:szCs w:val="14"/>
          <w:lang w:val="es-ES_tradnl"/>
        </w:rPr>
        <w:t xml:space="preserve">n impone al juez el deber de expresar en la </w:t>
      </w:r>
      <w:r>
        <w:rPr>
          <w:spacing w:val="-1"/>
          <w:sz w:val="14"/>
          <w:szCs w:val="14"/>
          <w:lang w:val="es-ES_tradnl"/>
        </w:rPr>
        <w:t xml:space="preserve">sentencia los fundamentos de hecho y de derecho que sustentan </w:t>
      </w:r>
      <w:r>
        <w:rPr>
          <w:sz w:val="14"/>
          <w:szCs w:val="14"/>
          <w:lang w:val="es-ES_tradnl"/>
        </w:rPr>
        <w:t>lo decidido. Esta exigencia persigue una doble finalidad por una parte, controlar la arbitrariedad del sentenciador, pues le impone justificar el razonamiento l</w:t>
      </w:r>
      <w:r>
        <w:rPr>
          <w:rFonts w:cs="Times New Roman"/>
          <w:sz w:val="14"/>
          <w:szCs w:val="14"/>
          <w:lang w:val="es-ES_tradnl"/>
        </w:rPr>
        <w:t>ó</w:t>
      </w:r>
      <w:r>
        <w:rPr>
          <w:sz w:val="14"/>
          <w:szCs w:val="14"/>
          <w:lang w:val="es-ES_tradnl"/>
        </w:rPr>
        <w:t>gico que sigui</w:t>
      </w:r>
      <w:r>
        <w:rPr>
          <w:rFonts w:cs="Times New Roman"/>
          <w:sz w:val="14"/>
          <w:szCs w:val="14"/>
          <w:lang w:val="es-ES_tradnl"/>
        </w:rPr>
        <w:t>ó</w:t>
      </w:r>
      <w:r>
        <w:rPr>
          <w:sz w:val="14"/>
          <w:szCs w:val="14"/>
          <w:lang w:val="es-ES_tradnl"/>
        </w:rPr>
        <w:t xml:space="preserve"> para establecer una conclusi</w:t>
      </w:r>
      <w:r>
        <w:rPr>
          <w:rFonts w:cs="Times New Roman"/>
          <w:sz w:val="14"/>
          <w:szCs w:val="14"/>
          <w:lang w:val="es-ES_tradnl"/>
        </w:rPr>
        <w:t>ó</w:t>
      </w:r>
      <w:r>
        <w:rPr>
          <w:sz w:val="14"/>
          <w:szCs w:val="14"/>
          <w:lang w:val="es-ES_tradnl"/>
        </w:rPr>
        <w:t>n y adem</w:t>
      </w:r>
      <w:r>
        <w:rPr>
          <w:rFonts w:cs="Times New Roman"/>
          <w:sz w:val="14"/>
          <w:szCs w:val="14"/>
          <w:lang w:val="es-ES_tradnl"/>
        </w:rPr>
        <w:t>á</w:t>
      </w:r>
      <w:r>
        <w:rPr>
          <w:sz w:val="14"/>
          <w:szCs w:val="14"/>
          <w:lang w:val="es-ES_tradnl"/>
        </w:rPr>
        <w:t>s, garantizar el leg</w:t>
      </w:r>
      <w:r>
        <w:rPr>
          <w:rFonts w:cs="Times New Roman"/>
          <w:sz w:val="14"/>
          <w:szCs w:val="14"/>
          <w:lang w:val="es-ES_tradnl"/>
        </w:rPr>
        <w:t>í</w:t>
      </w:r>
      <w:r>
        <w:rPr>
          <w:sz w:val="14"/>
          <w:szCs w:val="14"/>
          <w:lang w:val="es-ES_tradnl"/>
        </w:rPr>
        <w:t>timo derecho de defensa de las partes, considerando que estas requieren conocer los motivos de la decisi</w:t>
      </w:r>
      <w:r>
        <w:rPr>
          <w:rFonts w:cs="Times New Roman"/>
          <w:sz w:val="14"/>
          <w:szCs w:val="14"/>
          <w:lang w:val="es-ES_tradnl"/>
        </w:rPr>
        <w:t>ó</w:t>
      </w:r>
      <w:r>
        <w:rPr>
          <w:sz w:val="14"/>
          <w:szCs w:val="14"/>
          <w:lang w:val="es-ES_tradnl"/>
        </w:rPr>
        <w:t>n para determinar si est</w:t>
      </w:r>
      <w:r>
        <w:rPr>
          <w:rFonts w:cs="Times New Roman"/>
          <w:sz w:val="14"/>
          <w:szCs w:val="14"/>
          <w:lang w:val="es-ES_tradnl"/>
        </w:rPr>
        <w:t>á</w:t>
      </w:r>
      <w:r>
        <w:rPr>
          <w:sz w:val="14"/>
          <w:szCs w:val="14"/>
          <w:lang w:val="es-ES_tradnl"/>
        </w:rPr>
        <w:t>n conformes con ella (</w:t>
      </w:r>
      <w:r>
        <w:rPr>
          <w:rFonts w:cs="Times New Roman"/>
          <w:sz w:val="14"/>
          <w:szCs w:val="14"/>
          <w:lang w:val="es-ES_tradnl"/>
        </w:rPr>
        <w:t>…</w:t>
      </w:r>
      <w:r>
        <w:rPr>
          <w:sz w:val="14"/>
          <w:szCs w:val="14"/>
          <w:lang w:val="es-ES_tradnl"/>
        </w:rPr>
        <w:t>)</w:t>
      </w:r>
      <w:r>
        <w:rPr>
          <w:sz w:val="14"/>
          <w:szCs w:val="14"/>
          <w:vertAlign w:val="superscript"/>
          <w:lang w:val="es-ES_tradnl"/>
        </w:rPr>
        <w:t>3</w:t>
      </w:r>
      <w:r>
        <w:rPr>
          <w:sz w:val="14"/>
          <w:szCs w:val="14"/>
          <w:lang w:val="es-ES_tradnl"/>
        </w:rPr>
        <w:t>.</w:t>
      </w:r>
    </w:p>
    <w:p w14:paraId="4F67AE0E" w14:textId="77777777" w:rsidR="00591D54" w:rsidRDefault="00591D54">
      <w:pPr>
        <w:shd w:val="clear" w:color="auto" w:fill="FFFFFF"/>
        <w:spacing w:before="202" w:line="216" w:lineRule="exact"/>
        <w:ind w:right="5"/>
        <w:jc w:val="both"/>
      </w:pPr>
      <w:r>
        <w:rPr>
          <w:spacing w:val="-6"/>
          <w:sz w:val="18"/>
          <w:szCs w:val="18"/>
          <w:lang w:val="es-ES_tradnl"/>
        </w:rPr>
        <w:t xml:space="preserve">De lo que se colige que para que el juez estructure su </w:t>
      </w:r>
      <w:r>
        <w:rPr>
          <w:spacing w:val="-7"/>
          <w:sz w:val="18"/>
          <w:szCs w:val="18"/>
          <w:lang w:val="es-ES_tradnl"/>
        </w:rPr>
        <w:t>decisi</w:t>
      </w:r>
      <w:r>
        <w:rPr>
          <w:rFonts w:cs="Times New Roman"/>
          <w:spacing w:val="-7"/>
          <w:sz w:val="18"/>
          <w:szCs w:val="18"/>
          <w:lang w:val="es-ES_tradnl"/>
        </w:rPr>
        <w:t>ó</w:t>
      </w:r>
      <w:r>
        <w:rPr>
          <w:spacing w:val="-7"/>
          <w:sz w:val="18"/>
          <w:szCs w:val="18"/>
          <w:lang w:val="es-ES_tradnl"/>
        </w:rPr>
        <w:t xml:space="preserve">n, es fundamental que observe y aplique normas constitucionales, en el sentido de que estas delineen los </w:t>
      </w:r>
      <w:r>
        <w:rPr>
          <w:spacing w:val="-4"/>
          <w:sz w:val="18"/>
          <w:szCs w:val="18"/>
          <w:lang w:val="es-ES_tradnl"/>
        </w:rPr>
        <w:t>l</w:t>
      </w:r>
      <w:r>
        <w:rPr>
          <w:rFonts w:cs="Times New Roman"/>
          <w:spacing w:val="-4"/>
          <w:sz w:val="18"/>
          <w:szCs w:val="18"/>
          <w:lang w:val="es-ES_tradnl"/>
        </w:rPr>
        <w:t>í</w:t>
      </w:r>
      <w:r>
        <w:rPr>
          <w:spacing w:val="-4"/>
          <w:sz w:val="18"/>
          <w:szCs w:val="18"/>
          <w:lang w:val="es-ES_tradnl"/>
        </w:rPr>
        <w:t xml:space="preserve">mites del actuar de la justicia a su vez, es fundamental </w:t>
      </w:r>
      <w:r>
        <w:rPr>
          <w:spacing w:val="-7"/>
          <w:sz w:val="18"/>
          <w:szCs w:val="18"/>
          <w:lang w:val="es-ES_tradnl"/>
        </w:rPr>
        <w:t>la aplicaci</w:t>
      </w:r>
      <w:r>
        <w:rPr>
          <w:rFonts w:cs="Times New Roman"/>
          <w:spacing w:val="-7"/>
          <w:sz w:val="18"/>
          <w:szCs w:val="18"/>
          <w:lang w:val="es-ES_tradnl"/>
        </w:rPr>
        <w:t>ó</w:t>
      </w:r>
      <w:r>
        <w:rPr>
          <w:spacing w:val="-7"/>
          <w:sz w:val="18"/>
          <w:szCs w:val="18"/>
          <w:lang w:val="es-ES_tradnl"/>
        </w:rPr>
        <w:t>n de las normas jur</w:t>
      </w:r>
      <w:r>
        <w:rPr>
          <w:rFonts w:cs="Times New Roman"/>
          <w:spacing w:val="-7"/>
          <w:sz w:val="18"/>
          <w:szCs w:val="18"/>
          <w:lang w:val="es-ES_tradnl"/>
        </w:rPr>
        <w:t>í</w:t>
      </w:r>
      <w:r>
        <w:rPr>
          <w:spacing w:val="-7"/>
          <w:sz w:val="18"/>
          <w:szCs w:val="18"/>
          <w:lang w:val="es-ES_tradnl"/>
        </w:rPr>
        <w:t xml:space="preserve">dicas pertinentes al caso </w:t>
      </w:r>
      <w:r>
        <w:rPr>
          <w:spacing w:val="-10"/>
          <w:sz w:val="18"/>
          <w:szCs w:val="18"/>
          <w:lang w:val="es-ES_tradnl"/>
        </w:rPr>
        <w:t>concreto, pues, de esta manera, lograr</w:t>
      </w:r>
      <w:r>
        <w:rPr>
          <w:rFonts w:cs="Times New Roman"/>
          <w:spacing w:val="-10"/>
          <w:sz w:val="18"/>
          <w:szCs w:val="18"/>
          <w:lang w:val="es-ES_tradnl"/>
        </w:rPr>
        <w:t>á</w:t>
      </w:r>
      <w:r>
        <w:rPr>
          <w:spacing w:val="-10"/>
          <w:sz w:val="18"/>
          <w:szCs w:val="18"/>
          <w:lang w:val="es-ES_tradnl"/>
        </w:rPr>
        <w:t xml:space="preserve"> constituir la decisi</w:t>
      </w:r>
      <w:r>
        <w:rPr>
          <w:rFonts w:cs="Times New Roman"/>
          <w:spacing w:val="-10"/>
          <w:sz w:val="18"/>
          <w:szCs w:val="18"/>
          <w:lang w:val="es-ES_tradnl"/>
        </w:rPr>
        <w:t>ó</w:t>
      </w:r>
      <w:r>
        <w:rPr>
          <w:spacing w:val="-10"/>
          <w:sz w:val="18"/>
          <w:szCs w:val="18"/>
          <w:lang w:val="es-ES_tradnl"/>
        </w:rPr>
        <w:t xml:space="preserve">n </w:t>
      </w:r>
      <w:r>
        <w:rPr>
          <w:spacing w:val="-8"/>
          <w:sz w:val="18"/>
          <w:szCs w:val="18"/>
          <w:lang w:val="es-ES_tradnl"/>
        </w:rPr>
        <w:t>de acuerdo al marco jur</w:t>
      </w:r>
      <w:r>
        <w:rPr>
          <w:rFonts w:cs="Times New Roman"/>
          <w:spacing w:val="-8"/>
          <w:sz w:val="18"/>
          <w:szCs w:val="18"/>
          <w:lang w:val="es-ES_tradnl"/>
        </w:rPr>
        <w:t>í</w:t>
      </w:r>
      <w:r>
        <w:rPr>
          <w:spacing w:val="-8"/>
          <w:sz w:val="18"/>
          <w:szCs w:val="18"/>
          <w:lang w:val="es-ES_tradnl"/>
        </w:rPr>
        <w:t xml:space="preserve">dico que rigen los hechos puestos </w:t>
      </w:r>
      <w:r>
        <w:rPr>
          <w:sz w:val="18"/>
          <w:szCs w:val="18"/>
          <w:lang w:val="es-ES_tradnl"/>
        </w:rPr>
        <w:t>en su conocimiento.</w:t>
      </w:r>
    </w:p>
    <w:p w14:paraId="4F67AE0F" w14:textId="77777777" w:rsidR="00591D54" w:rsidRDefault="00591D54">
      <w:pPr>
        <w:shd w:val="clear" w:color="auto" w:fill="FFFFFF"/>
        <w:spacing w:before="192" w:line="216" w:lineRule="exact"/>
        <w:ind w:right="5"/>
        <w:jc w:val="both"/>
      </w:pPr>
      <w:r>
        <w:rPr>
          <w:spacing w:val="-3"/>
          <w:sz w:val="18"/>
          <w:szCs w:val="18"/>
          <w:lang w:val="es-ES_tradnl"/>
        </w:rPr>
        <w:t xml:space="preserve">Por lo que los juzgadores al momento de dictar sus </w:t>
      </w:r>
      <w:r>
        <w:rPr>
          <w:spacing w:val="-9"/>
          <w:sz w:val="18"/>
          <w:szCs w:val="18"/>
          <w:lang w:val="es-ES_tradnl"/>
        </w:rPr>
        <w:t>sentencias deben ajustar los hechos f</w:t>
      </w:r>
      <w:r>
        <w:rPr>
          <w:rFonts w:cs="Times New Roman"/>
          <w:spacing w:val="-9"/>
          <w:sz w:val="18"/>
          <w:szCs w:val="18"/>
          <w:lang w:val="es-ES_tradnl"/>
        </w:rPr>
        <w:t>á</w:t>
      </w:r>
      <w:r>
        <w:rPr>
          <w:spacing w:val="-9"/>
          <w:sz w:val="18"/>
          <w:szCs w:val="18"/>
          <w:lang w:val="es-ES_tradnl"/>
        </w:rPr>
        <w:t xml:space="preserve">cticos a las normas </w:t>
      </w:r>
      <w:r>
        <w:rPr>
          <w:spacing w:val="-8"/>
          <w:sz w:val="18"/>
          <w:szCs w:val="18"/>
          <w:lang w:val="es-ES_tradnl"/>
        </w:rPr>
        <w:t>jur</w:t>
      </w:r>
      <w:r>
        <w:rPr>
          <w:rFonts w:cs="Times New Roman"/>
          <w:spacing w:val="-8"/>
          <w:sz w:val="18"/>
          <w:szCs w:val="18"/>
          <w:lang w:val="es-ES_tradnl"/>
        </w:rPr>
        <w:t>í</w:t>
      </w:r>
      <w:r>
        <w:rPr>
          <w:spacing w:val="-8"/>
          <w:sz w:val="18"/>
          <w:szCs w:val="18"/>
          <w:lang w:val="es-ES_tradnl"/>
        </w:rPr>
        <w:t xml:space="preserve">dicas que aplican, explicando motivadamente cual es la </w:t>
      </w:r>
      <w:r>
        <w:rPr>
          <w:spacing w:val="-6"/>
          <w:sz w:val="18"/>
          <w:szCs w:val="18"/>
          <w:lang w:val="es-ES_tradnl"/>
        </w:rPr>
        <w:t xml:space="preserve">pertinencia que existe entre las premisas que utilizan, las </w:t>
      </w:r>
      <w:r>
        <w:rPr>
          <w:spacing w:val="-8"/>
          <w:sz w:val="18"/>
          <w:szCs w:val="18"/>
          <w:lang w:val="es-ES_tradnl"/>
        </w:rPr>
        <w:t>mismas que deben guardar un v</w:t>
      </w:r>
      <w:r>
        <w:rPr>
          <w:rFonts w:cs="Times New Roman"/>
          <w:spacing w:val="-8"/>
          <w:sz w:val="18"/>
          <w:szCs w:val="18"/>
          <w:lang w:val="es-ES_tradnl"/>
        </w:rPr>
        <w:t>í</w:t>
      </w:r>
      <w:r>
        <w:rPr>
          <w:spacing w:val="-8"/>
          <w:sz w:val="18"/>
          <w:szCs w:val="18"/>
          <w:lang w:val="es-ES_tradnl"/>
        </w:rPr>
        <w:t>nculo estrecho, que les permita llegar a una conclusi</w:t>
      </w:r>
      <w:r>
        <w:rPr>
          <w:rFonts w:cs="Times New Roman"/>
          <w:spacing w:val="-8"/>
          <w:sz w:val="18"/>
          <w:szCs w:val="18"/>
          <w:lang w:val="es-ES_tradnl"/>
        </w:rPr>
        <w:t>ó</w:t>
      </w:r>
      <w:r>
        <w:rPr>
          <w:spacing w:val="-8"/>
          <w:sz w:val="18"/>
          <w:szCs w:val="18"/>
          <w:lang w:val="es-ES_tradnl"/>
        </w:rPr>
        <w:t xml:space="preserve">n razonada aplicable al caso </w:t>
      </w:r>
      <w:r>
        <w:rPr>
          <w:sz w:val="18"/>
          <w:szCs w:val="18"/>
          <w:lang w:val="es-ES_tradnl"/>
        </w:rPr>
        <w:t>concreto.</w:t>
      </w:r>
    </w:p>
    <w:p w14:paraId="4F67AE10" w14:textId="77777777" w:rsidR="00591D54" w:rsidRDefault="00591D54">
      <w:pPr>
        <w:shd w:val="clear" w:color="auto" w:fill="FFFFFF"/>
        <w:spacing w:before="192" w:line="216" w:lineRule="exact"/>
        <w:ind w:right="5"/>
        <w:jc w:val="both"/>
      </w:pPr>
      <w:r>
        <w:rPr>
          <w:spacing w:val="-7"/>
          <w:sz w:val="18"/>
          <w:szCs w:val="18"/>
          <w:lang w:val="es-ES_tradnl"/>
        </w:rPr>
        <w:t>En esta misma l</w:t>
      </w:r>
      <w:r>
        <w:rPr>
          <w:rFonts w:cs="Times New Roman"/>
          <w:spacing w:val="-7"/>
          <w:sz w:val="18"/>
          <w:szCs w:val="18"/>
          <w:lang w:val="es-ES_tradnl"/>
        </w:rPr>
        <w:t>í</w:t>
      </w:r>
      <w:r>
        <w:rPr>
          <w:spacing w:val="-7"/>
          <w:sz w:val="18"/>
          <w:szCs w:val="18"/>
          <w:lang w:val="es-ES_tradnl"/>
        </w:rPr>
        <w:t xml:space="preserve">nea de ideas se ha pronunciado la Corte </w:t>
      </w:r>
      <w:r>
        <w:rPr>
          <w:spacing w:val="-8"/>
          <w:sz w:val="18"/>
          <w:szCs w:val="18"/>
          <w:lang w:val="es-ES_tradnl"/>
        </w:rPr>
        <w:t>Constitucional, para el per</w:t>
      </w:r>
      <w:r>
        <w:rPr>
          <w:rFonts w:cs="Times New Roman"/>
          <w:spacing w:val="-8"/>
          <w:sz w:val="18"/>
          <w:szCs w:val="18"/>
          <w:lang w:val="es-ES_tradnl"/>
        </w:rPr>
        <w:t>í</w:t>
      </w:r>
      <w:r>
        <w:rPr>
          <w:spacing w:val="-8"/>
          <w:sz w:val="18"/>
          <w:szCs w:val="18"/>
          <w:lang w:val="es-ES_tradnl"/>
        </w:rPr>
        <w:t>odo de transici</w:t>
      </w:r>
      <w:r>
        <w:rPr>
          <w:rFonts w:cs="Times New Roman"/>
          <w:spacing w:val="-8"/>
          <w:sz w:val="18"/>
          <w:szCs w:val="18"/>
          <w:lang w:val="es-ES_tradnl"/>
        </w:rPr>
        <w:t>ó</w:t>
      </w:r>
      <w:r>
        <w:rPr>
          <w:spacing w:val="-8"/>
          <w:sz w:val="18"/>
          <w:szCs w:val="18"/>
          <w:lang w:val="es-ES_tradnl"/>
        </w:rPr>
        <w:t xml:space="preserve">n, respecto de la </w:t>
      </w:r>
      <w:r>
        <w:rPr>
          <w:spacing w:val="-10"/>
          <w:sz w:val="18"/>
          <w:szCs w:val="18"/>
          <w:lang w:val="es-ES_tradnl"/>
        </w:rPr>
        <w:t>motivaci</w:t>
      </w:r>
      <w:r>
        <w:rPr>
          <w:rFonts w:cs="Times New Roman"/>
          <w:spacing w:val="-10"/>
          <w:sz w:val="18"/>
          <w:szCs w:val="18"/>
          <w:lang w:val="es-ES_tradnl"/>
        </w:rPr>
        <w:t>ó</w:t>
      </w:r>
      <w:r>
        <w:rPr>
          <w:spacing w:val="-10"/>
          <w:sz w:val="18"/>
          <w:szCs w:val="18"/>
          <w:lang w:val="es-ES_tradnl"/>
        </w:rPr>
        <w:t>n como garant</w:t>
      </w:r>
      <w:r>
        <w:rPr>
          <w:rFonts w:cs="Times New Roman"/>
          <w:spacing w:val="-10"/>
          <w:sz w:val="18"/>
          <w:szCs w:val="18"/>
          <w:lang w:val="es-ES_tradnl"/>
        </w:rPr>
        <w:t>í</w:t>
      </w:r>
      <w:r>
        <w:rPr>
          <w:spacing w:val="-10"/>
          <w:sz w:val="18"/>
          <w:szCs w:val="18"/>
          <w:lang w:val="es-ES_tradnl"/>
        </w:rPr>
        <w:t xml:space="preserve">a del debido proceso, manifestando </w:t>
      </w:r>
      <w:r>
        <w:rPr>
          <w:sz w:val="18"/>
          <w:szCs w:val="18"/>
          <w:lang w:val="es-ES_tradnl"/>
        </w:rPr>
        <w:t>que:</w:t>
      </w:r>
    </w:p>
    <w:p w14:paraId="4F67AE11" w14:textId="77777777" w:rsidR="00591D54" w:rsidRDefault="00591D54">
      <w:pPr>
        <w:shd w:val="clear" w:color="auto" w:fill="FFFFFF"/>
        <w:spacing w:before="192" w:line="211" w:lineRule="exact"/>
        <w:jc w:val="both"/>
      </w:pPr>
      <w:r>
        <w:rPr>
          <w:spacing w:val="-10"/>
          <w:sz w:val="18"/>
          <w:szCs w:val="18"/>
          <w:lang w:val="es-ES_tradnl"/>
        </w:rPr>
        <w:t>La necesidad de motivaci</w:t>
      </w:r>
      <w:r>
        <w:rPr>
          <w:rFonts w:cs="Times New Roman"/>
          <w:spacing w:val="-10"/>
          <w:sz w:val="18"/>
          <w:szCs w:val="18"/>
          <w:lang w:val="es-ES_tradnl"/>
        </w:rPr>
        <w:t>ó</w:t>
      </w:r>
      <w:r>
        <w:rPr>
          <w:spacing w:val="-10"/>
          <w:sz w:val="18"/>
          <w:szCs w:val="18"/>
          <w:lang w:val="es-ES_tradnl"/>
        </w:rPr>
        <w:t xml:space="preserve">n de las sentencias no solamente </w:t>
      </w:r>
      <w:r>
        <w:rPr>
          <w:spacing w:val="-3"/>
          <w:sz w:val="18"/>
          <w:szCs w:val="18"/>
          <w:lang w:val="es-ES_tradnl"/>
        </w:rPr>
        <w:t xml:space="preserve">radica en el hecho de que esta se encuentre conforme </w:t>
      </w:r>
      <w:r>
        <w:rPr>
          <w:spacing w:val="-6"/>
          <w:sz w:val="18"/>
          <w:szCs w:val="18"/>
          <w:lang w:val="es-ES_tradnl"/>
        </w:rPr>
        <w:t>con la ley, sino que en la motivaci</w:t>
      </w:r>
      <w:r>
        <w:rPr>
          <w:rFonts w:cs="Times New Roman"/>
          <w:spacing w:val="-6"/>
          <w:sz w:val="18"/>
          <w:szCs w:val="18"/>
          <w:lang w:val="es-ES_tradnl"/>
        </w:rPr>
        <w:t>ó</w:t>
      </w:r>
      <w:r>
        <w:rPr>
          <w:spacing w:val="-6"/>
          <w:sz w:val="18"/>
          <w:szCs w:val="18"/>
          <w:lang w:val="es-ES_tradnl"/>
        </w:rPr>
        <w:t xml:space="preserve">n se hace presente la </w:t>
      </w:r>
      <w:r>
        <w:rPr>
          <w:spacing w:val="-7"/>
          <w:sz w:val="18"/>
          <w:szCs w:val="18"/>
          <w:lang w:val="es-ES_tradnl"/>
        </w:rPr>
        <w:t>dimensi</w:t>
      </w:r>
      <w:r>
        <w:rPr>
          <w:rFonts w:cs="Times New Roman"/>
          <w:spacing w:val="-7"/>
          <w:sz w:val="18"/>
          <w:szCs w:val="18"/>
          <w:lang w:val="es-ES_tradnl"/>
        </w:rPr>
        <w:t>ó</w:t>
      </w:r>
      <w:r>
        <w:rPr>
          <w:spacing w:val="-7"/>
          <w:sz w:val="18"/>
          <w:szCs w:val="18"/>
          <w:lang w:val="es-ES_tradnl"/>
        </w:rPr>
        <w:t>n social del proceso y la repercusi</w:t>
      </w:r>
      <w:r>
        <w:rPr>
          <w:rFonts w:cs="Times New Roman"/>
          <w:spacing w:val="-7"/>
          <w:sz w:val="18"/>
          <w:szCs w:val="18"/>
          <w:lang w:val="es-ES_tradnl"/>
        </w:rPr>
        <w:t>ó</w:t>
      </w:r>
      <w:r>
        <w:rPr>
          <w:spacing w:val="-7"/>
          <w:sz w:val="18"/>
          <w:szCs w:val="18"/>
          <w:lang w:val="es-ES_tradnl"/>
        </w:rPr>
        <w:t xml:space="preserve">n que tiene en </w:t>
      </w:r>
      <w:r>
        <w:rPr>
          <w:spacing w:val="-6"/>
          <w:sz w:val="18"/>
          <w:szCs w:val="18"/>
          <w:lang w:val="es-ES_tradnl"/>
        </w:rPr>
        <w:t>la sociedad cualquier sentencia judicial (</w:t>
      </w:r>
      <w:r>
        <w:rPr>
          <w:rFonts w:cs="Times New Roman"/>
          <w:spacing w:val="-6"/>
          <w:sz w:val="18"/>
          <w:szCs w:val="18"/>
          <w:lang w:val="es-ES_tradnl"/>
        </w:rPr>
        <w:t>…</w:t>
      </w:r>
      <w:r>
        <w:rPr>
          <w:spacing w:val="-6"/>
          <w:sz w:val="18"/>
          <w:szCs w:val="18"/>
          <w:lang w:val="es-ES_tradnl"/>
        </w:rPr>
        <w:t xml:space="preserve">). Corresponde </w:t>
      </w:r>
      <w:r>
        <w:rPr>
          <w:spacing w:val="-7"/>
          <w:sz w:val="18"/>
          <w:szCs w:val="18"/>
          <w:lang w:val="es-ES_tradnl"/>
        </w:rPr>
        <w:t xml:space="preserve">al juez argumentar los contenidos de su pronunciamiento </w:t>
      </w:r>
      <w:r>
        <w:rPr>
          <w:spacing w:val="-8"/>
          <w:sz w:val="18"/>
          <w:szCs w:val="18"/>
          <w:lang w:val="es-ES_tradnl"/>
        </w:rPr>
        <w:t xml:space="preserve">con razones suficientes para que las partes tengan el </w:t>
      </w:r>
      <w:r>
        <w:rPr>
          <w:spacing w:val="-7"/>
          <w:sz w:val="18"/>
          <w:szCs w:val="18"/>
          <w:lang w:val="es-ES_tradnl"/>
        </w:rPr>
        <w:t>convencimiento de que la decisi</w:t>
      </w:r>
      <w:r>
        <w:rPr>
          <w:rFonts w:cs="Times New Roman"/>
          <w:spacing w:val="-7"/>
          <w:sz w:val="18"/>
          <w:szCs w:val="18"/>
          <w:lang w:val="es-ES_tradnl"/>
        </w:rPr>
        <w:t>ó</w:t>
      </w:r>
      <w:r>
        <w:rPr>
          <w:spacing w:val="-7"/>
          <w:sz w:val="18"/>
          <w:szCs w:val="18"/>
          <w:lang w:val="es-ES_tradnl"/>
        </w:rPr>
        <w:t>n es justa. (</w:t>
      </w:r>
      <w:r>
        <w:rPr>
          <w:rFonts w:cs="Times New Roman"/>
          <w:spacing w:val="-7"/>
          <w:sz w:val="18"/>
          <w:szCs w:val="18"/>
          <w:lang w:val="es-ES_tradnl"/>
        </w:rPr>
        <w:t>…</w:t>
      </w:r>
      <w:r>
        <w:rPr>
          <w:spacing w:val="-7"/>
          <w:sz w:val="18"/>
          <w:szCs w:val="18"/>
          <w:lang w:val="es-ES_tradnl"/>
        </w:rPr>
        <w:t xml:space="preserve">) No existe </w:t>
      </w:r>
      <w:r>
        <w:rPr>
          <w:spacing w:val="-9"/>
          <w:sz w:val="18"/>
          <w:szCs w:val="18"/>
          <w:lang w:val="es-ES_tradnl"/>
        </w:rPr>
        <w:t>motivaci</w:t>
      </w:r>
      <w:r>
        <w:rPr>
          <w:rFonts w:cs="Times New Roman"/>
          <w:spacing w:val="-9"/>
          <w:sz w:val="18"/>
          <w:szCs w:val="18"/>
          <w:lang w:val="es-ES_tradnl"/>
        </w:rPr>
        <w:t>ó</w:t>
      </w:r>
      <w:r>
        <w:rPr>
          <w:spacing w:val="-9"/>
          <w:sz w:val="18"/>
          <w:szCs w:val="18"/>
          <w:lang w:val="es-ES_tradnl"/>
        </w:rPr>
        <w:t>n si en la resoluci</w:t>
      </w:r>
      <w:r>
        <w:rPr>
          <w:rFonts w:cs="Times New Roman"/>
          <w:spacing w:val="-9"/>
          <w:sz w:val="18"/>
          <w:szCs w:val="18"/>
          <w:lang w:val="es-ES_tradnl"/>
        </w:rPr>
        <w:t>ó</w:t>
      </w:r>
      <w:r>
        <w:rPr>
          <w:spacing w:val="-9"/>
          <w:sz w:val="18"/>
          <w:szCs w:val="18"/>
          <w:lang w:val="es-ES_tradnl"/>
        </w:rPr>
        <w:t xml:space="preserve">n no se enuncian las normas en </w:t>
      </w:r>
      <w:r>
        <w:rPr>
          <w:spacing w:val="-7"/>
          <w:sz w:val="18"/>
          <w:szCs w:val="18"/>
          <w:lang w:val="es-ES_tradnl"/>
        </w:rPr>
        <w:t>que se funda y la necesaria explicaci</w:t>
      </w:r>
      <w:r>
        <w:rPr>
          <w:rFonts w:cs="Times New Roman"/>
          <w:spacing w:val="-7"/>
          <w:sz w:val="18"/>
          <w:szCs w:val="18"/>
          <w:lang w:val="es-ES_tradnl"/>
        </w:rPr>
        <w:t>ó</w:t>
      </w:r>
      <w:r>
        <w:rPr>
          <w:spacing w:val="-7"/>
          <w:sz w:val="18"/>
          <w:szCs w:val="18"/>
          <w:lang w:val="es-ES_tradnl"/>
        </w:rPr>
        <w:t>n de su aplicaci</w:t>
      </w:r>
      <w:r>
        <w:rPr>
          <w:rFonts w:cs="Times New Roman"/>
          <w:spacing w:val="-7"/>
          <w:sz w:val="18"/>
          <w:szCs w:val="18"/>
          <w:lang w:val="es-ES_tradnl"/>
        </w:rPr>
        <w:t>ó</w:t>
      </w:r>
      <w:r>
        <w:rPr>
          <w:spacing w:val="-7"/>
          <w:sz w:val="18"/>
          <w:szCs w:val="18"/>
          <w:lang w:val="es-ES_tradnl"/>
        </w:rPr>
        <w:t xml:space="preserve">n a </w:t>
      </w:r>
      <w:r>
        <w:rPr>
          <w:spacing w:val="-11"/>
          <w:sz w:val="18"/>
          <w:szCs w:val="18"/>
          <w:lang w:val="es-ES_tradnl"/>
        </w:rPr>
        <w:t xml:space="preserve">los antecedentes de hecho, y en ello radica, precisamente, la </w:t>
      </w:r>
      <w:r>
        <w:rPr>
          <w:sz w:val="18"/>
          <w:szCs w:val="18"/>
          <w:lang w:val="es-ES_tradnl"/>
        </w:rPr>
        <w:t>racionalidad de la decisi</w:t>
      </w:r>
      <w:r>
        <w:rPr>
          <w:rFonts w:cs="Times New Roman"/>
          <w:sz w:val="18"/>
          <w:szCs w:val="18"/>
          <w:lang w:val="es-ES_tradnl"/>
        </w:rPr>
        <w:t>ó</w:t>
      </w:r>
      <w:r>
        <w:rPr>
          <w:sz w:val="18"/>
          <w:szCs w:val="18"/>
          <w:lang w:val="es-ES_tradnl"/>
        </w:rPr>
        <w:t>n</w:t>
      </w:r>
      <w:r>
        <w:rPr>
          <w:sz w:val="18"/>
          <w:szCs w:val="18"/>
          <w:vertAlign w:val="superscript"/>
          <w:lang w:val="es-ES_tradnl"/>
        </w:rPr>
        <w:t>4.</w:t>
      </w:r>
    </w:p>
    <w:p w14:paraId="4F67AE12" w14:textId="77777777" w:rsidR="00591D54" w:rsidRDefault="00591D54">
      <w:pPr>
        <w:shd w:val="clear" w:color="auto" w:fill="FFFFFF"/>
        <w:spacing w:before="192" w:line="216" w:lineRule="exact"/>
        <w:ind w:right="5"/>
        <w:jc w:val="both"/>
      </w:pPr>
      <w:r>
        <w:rPr>
          <w:spacing w:val="-6"/>
          <w:sz w:val="18"/>
          <w:szCs w:val="18"/>
          <w:lang w:val="es-ES_tradnl"/>
        </w:rPr>
        <w:t>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Control </w:t>
      </w:r>
      <w:r>
        <w:rPr>
          <w:spacing w:val="-8"/>
          <w:sz w:val="18"/>
          <w:szCs w:val="18"/>
          <w:lang w:val="es-ES_tradnl"/>
        </w:rPr>
        <w:t>Constitucional en armon</w:t>
      </w:r>
      <w:r>
        <w:rPr>
          <w:rFonts w:cs="Times New Roman"/>
          <w:spacing w:val="-8"/>
          <w:sz w:val="18"/>
          <w:szCs w:val="18"/>
          <w:lang w:val="es-ES_tradnl"/>
        </w:rPr>
        <w:t>í</w:t>
      </w:r>
      <w:r>
        <w:rPr>
          <w:spacing w:val="-8"/>
          <w:sz w:val="18"/>
          <w:szCs w:val="18"/>
          <w:lang w:val="es-ES_tradnl"/>
        </w:rPr>
        <w:t xml:space="preserve">a con el texto constitucional, en el </w:t>
      </w:r>
      <w:r>
        <w:rPr>
          <w:sz w:val="18"/>
          <w:szCs w:val="18"/>
          <w:lang w:val="es-ES_tradnl"/>
        </w:rPr>
        <w:t>art</w:t>
      </w:r>
      <w:r>
        <w:rPr>
          <w:rFonts w:cs="Times New Roman"/>
          <w:sz w:val="18"/>
          <w:szCs w:val="18"/>
          <w:lang w:val="es-ES_tradnl"/>
        </w:rPr>
        <w:t>í</w:t>
      </w:r>
      <w:r>
        <w:rPr>
          <w:sz w:val="18"/>
          <w:szCs w:val="18"/>
          <w:lang w:val="es-ES_tradnl"/>
        </w:rPr>
        <w:t>culo 4 numeral 9 prescribe:</w:t>
      </w:r>
    </w:p>
    <w:p w14:paraId="4F67AE13" w14:textId="77777777" w:rsidR="00591D54" w:rsidRDefault="00591D54">
      <w:pPr>
        <w:shd w:val="clear" w:color="auto" w:fill="FFFFFF"/>
        <w:spacing w:before="206" w:line="216" w:lineRule="exact"/>
        <w:ind w:left="283" w:right="5"/>
        <w:jc w:val="both"/>
      </w:pPr>
      <w:r>
        <w:rPr>
          <w:sz w:val="14"/>
          <w:szCs w:val="14"/>
          <w:lang w:val="es-ES_tradnl"/>
        </w:rPr>
        <w:t>Motivaci</w:t>
      </w:r>
      <w:r>
        <w:rPr>
          <w:rFonts w:cs="Times New Roman"/>
          <w:sz w:val="14"/>
          <w:szCs w:val="14"/>
          <w:lang w:val="es-ES_tradnl"/>
        </w:rPr>
        <w:t>ó</w:t>
      </w:r>
      <w:r>
        <w:rPr>
          <w:sz w:val="14"/>
          <w:szCs w:val="14"/>
          <w:lang w:val="es-ES_tradnl"/>
        </w:rPr>
        <w:t>n.- La jueza o juez tiene la obligaci</w:t>
      </w:r>
      <w:r>
        <w:rPr>
          <w:rFonts w:cs="Times New Roman"/>
          <w:sz w:val="14"/>
          <w:szCs w:val="14"/>
          <w:lang w:val="es-ES_tradnl"/>
        </w:rPr>
        <w:t>ó</w:t>
      </w:r>
      <w:r>
        <w:rPr>
          <w:sz w:val="14"/>
          <w:szCs w:val="14"/>
          <w:lang w:val="es-ES_tradnl"/>
        </w:rPr>
        <w:t xml:space="preserve">n de fundamentar </w:t>
      </w:r>
      <w:r>
        <w:rPr>
          <w:spacing w:val="-1"/>
          <w:sz w:val="14"/>
          <w:szCs w:val="14"/>
          <w:lang w:val="es-ES_tradnl"/>
        </w:rPr>
        <w:t xml:space="preserve">adecuadamente sus decisiones a partir de las reglas y principios </w:t>
      </w:r>
      <w:r>
        <w:rPr>
          <w:sz w:val="14"/>
          <w:szCs w:val="14"/>
          <w:lang w:val="es-ES_tradnl"/>
        </w:rPr>
        <w:t>que rigen la argumentaci</w:t>
      </w:r>
      <w:r>
        <w:rPr>
          <w:rFonts w:cs="Times New Roman"/>
          <w:sz w:val="14"/>
          <w:szCs w:val="14"/>
          <w:lang w:val="es-ES_tradnl"/>
        </w:rPr>
        <w:t>ó</w:t>
      </w:r>
      <w:r>
        <w:rPr>
          <w:sz w:val="14"/>
          <w:szCs w:val="14"/>
          <w:lang w:val="es-ES_tradnl"/>
        </w:rPr>
        <w:t>n jur</w:t>
      </w:r>
      <w:r>
        <w:rPr>
          <w:rFonts w:cs="Times New Roman"/>
          <w:sz w:val="14"/>
          <w:szCs w:val="14"/>
          <w:lang w:val="es-ES_tradnl"/>
        </w:rPr>
        <w:t>í</w:t>
      </w:r>
      <w:r>
        <w:rPr>
          <w:sz w:val="14"/>
          <w:szCs w:val="14"/>
          <w:lang w:val="es-ES_tradnl"/>
        </w:rPr>
        <w:t>dica. En particular, tiene la obligaci</w:t>
      </w:r>
      <w:r>
        <w:rPr>
          <w:rFonts w:cs="Times New Roman"/>
          <w:sz w:val="14"/>
          <w:szCs w:val="14"/>
          <w:lang w:val="es-ES_tradnl"/>
        </w:rPr>
        <w:t>ó</w:t>
      </w:r>
      <w:r>
        <w:rPr>
          <w:sz w:val="14"/>
          <w:szCs w:val="14"/>
          <w:lang w:val="es-ES_tradnl"/>
        </w:rPr>
        <w:t>n de pronunciarse sobre los argumentos y razones relevantes expuestas durante el proceso por las partes y los dem</w:t>
      </w:r>
      <w:r>
        <w:rPr>
          <w:rFonts w:cs="Times New Roman"/>
          <w:sz w:val="14"/>
          <w:szCs w:val="14"/>
          <w:lang w:val="es-ES_tradnl"/>
        </w:rPr>
        <w:t>á</w:t>
      </w:r>
      <w:r>
        <w:rPr>
          <w:sz w:val="14"/>
          <w:szCs w:val="14"/>
          <w:lang w:val="es-ES_tradnl"/>
        </w:rPr>
        <w:t>s intervinientes en el proceso.</w:t>
      </w:r>
    </w:p>
    <w:p w14:paraId="4F67AE14" w14:textId="77777777" w:rsidR="00591D54" w:rsidRDefault="00591D54">
      <w:pPr>
        <w:shd w:val="clear" w:color="auto" w:fill="FFFFFF"/>
        <w:tabs>
          <w:tab w:val="left" w:pos="139"/>
        </w:tabs>
        <w:spacing w:before="422" w:line="182" w:lineRule="exact"/>
        <w:ind w:left="139" w:hanging="139"/>
      </w:pPr>
      <w:r>
        <w:rPr>
          <w:sz w:val="10"/>
          <w:szCs w:val="10"/>
          <w:vertAlign w:val="superscript"/>
          <w:lang w:val="es-ES_tradnl"/>
        </w:rPr>
        <w:t>3</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w:t>
      </w:r>
      <w:r>
        <w:rPr>
          <w:sz w:val="18"/>
          <w:szCs w:val="18"/>
          <w:lang w:val="es-ES_tradnl"/>
        </w:rPr>
        <w:t xml:space="preserve"> </w:t>
      </w:r>
      <w:r>
        <w:rPr>
          <w:sz w:val="14"/>
          <w:szCs w:val="14"/>
          <w:lang w:val="es-ES_tradnl"/>
        </w:rPr>
        <w:t>203-14-SEP-CC, caso N.</w:t>
      </w:r>
      <w:r>
        <w:rPr>
          <w:rFonts w:cs="Times New Roman"/>
          <w:sz w:val="14"/>
          <w:szCs w:val="14"/>
          <w:lang w:val="es-ES_tradnl"/>
        </w:rPr>
        <w:t>°</w:t>
      </w:r>
      <w:r>
        <w:rPr>
          <w:sz w:val="14"/>
          <w:szCs w:val="14"/>
          <w:lang w:val="es-ES_tradnl"/>
        </w:rPr>
        <w:t xml:space="preserve"> 0498-12-EP.</w:t>
      </w:r>
    </w:p>
    <w:p w14:paraId="4F67AE15" w14:textId="77777777" w:rsidR="00591D54" w:rsidRDefault="00591D54">
      <w:pPr>
        <w:shd w:val="clear" w:color="auto" w:fill="FFFFFF"/>
        <w:tabs>
          <w:tab w:val="left" w:pos="139"/>
        </w:tabs>
        <w:spacing w:before="149" w:line="178" w:lineRule="exact"/>
        <w:ind w:left="139" w:hanging="139"/>
      </w:pPr>
      <w:r>
        <w:rPr>
          <w:sz w:val="10"/>
          <w:szCs w:val="10"/>
          <w:vertAlign w:val="superscript"/>
          <w:lang w:val="es-ES_tradnl"/>
        </w:rPr>
        <w:t>4</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para</w:t>
      </w:r>
      <w:r>
        <w:rPr>
          <w:sz w:val="18"/>
          <w:szCs w:val="18"/>
          <w:lang w:val="es-ES_tradnl"/>
        </w:rPr>
        <w:t xml:space="preserve"> </w:t>
      </w:r>
      <w:r>
        <w:rPr>
          <w:sz w:val="14"/>
          <w:szCs w:val="14"/>
          <w:lang w:val="es-ES_tradnl"/>
        </w:rPr>
        <w:t>el</w:t>
      </w:r>
      <w:r>
        <w:rPr>
          <w:sz w:val="18"/>
          <w:szCs w:val="18"/>
          <w:lang w:val="es-ES_tradnl"/>
        </w:rPr>
        <w:t xml:space="preserve"> </w:t>
      </w:r>
      <w:r>
        <w:rPr>
          <w:sz w:val="14"/>
          <w:szCs w:val="14"/>
          <w:lang w:val="es-ES_tradnl"/>
        </w:rPr>
        <w:t>per</w:t>
      </w:r>
      <w:r>
        <w:rPr>
          <w:rFonts w:cs="Times New Roman"/>
          <w:sz w:val="14"/>
          <w:szCs w:val="14"/>
          <w:lang w:val="es-ES_tradnl"/>
        </w:rPr>
        <w:t>í</w:t>
      </w:r>
      <w:r>
        <w:rPr>
          <w:sz w:val="14"/>
          <w:szCs w:val="14"/>
          <w:lang w:val="es-ES_tradnl"/>
        </w:rPr>
        <w:t>odo</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transici</w:t>
      </w:r>
      <w:r>
        <w:rPr>
          <w:rFonts w:cs="Times New Roman"/>
          <w:sz w:val="14"/>
          <w:szCs w:val="14"/>
          <w:lang w:val="es-ES_tradnl"/>
        </w:rPr>
        <w:t>ó</w:t>
      </w:r>
      <w:r>
        <w:rPr>
          <w:sz w:val="14"/>
          <w:szCs w:val="14"/>
          <w:lang w:val="es-ES_tradnl"/>
        </w:rPr>
        <w:t>n. </w:t>
      </w:r>
      <w:r>
        <w:rPr>
          <w:spacing w:val="-2"/>
          <w:sz w:val="14"/>
          <w:szCs w:val="14"/>
          <w:lang w:val="es-ES_tradnl"/>
        </w:rPr>
        <w:t>Sentencia N.</w:t>
      </w:r>
      <w:r>
        <w:rPr>
          <w:rFonts w:cs="Times New Roman"/>
          <w:spacing w:val="-2"/>
          <w:sz w:val="14"/>
          <w:szCs w:val="14"/>
          <w:lang w:val="es-ES_tradnl"/>
        </w:rPr>
        <w:t>º</w:t>
      </w:r>
      <w:r>
        <w:rPr>
          <w:spacing w:val="-2"/>
          <w:sz w:val="14"/>
          <w:szCs w:val="14"/>
          <w:lang w:val="es-ES_tradnl"/>
        </w:rPr>
        <w:t xml:space="preserve"> 018-10-SEP-CC del 11 de mayo de 2010.</w:t>
      </w:r>
    </w:p>
    <w:p w14:paraId="4F67AE16" w14:textId="77777777" w:rsidR="00591D54" w:rsidRDefault="00591D54">
      <w:pPr>
        <w:shd w:val="clear" w:color="auto" w:fill="FFFFFF"/>
        <w:spacing w:line="216" w:lineRule="exact"/>
        <w:jc w:val="both"/>
      </w:pPr>
      <w:r>
        <w:br w:type="column"/>
      </w:r>
      <w:r>
        <w:rPr>
          <w:spacing w:val="-10"/>
          <w:sz w:val="18"/>
          <w:szCs w:val="18"/>
          <w:lang w:val="es-ES_tradnl"/>
        </w:rPr>
        <w:t>Por lo que la motivaci</w:t>
      </w:r>
      <w:r>
        <w:rPr>
          <w:rFonts w:cs="Times New Roman"/>
          <w:spacing w:val="-10"/>
          <w:sz w:val="18"/>
          <w:szCs w:val="18"/>
          <w:lang w:val="es-ES_tradnl"/>
        </w:rPr>
        <w:t>ó</w:t>
      </w:r>
      <w:r>
        <w:rPr>
          <w:spacing w:val="-10"/>
          <w:sz w:val="18"/>
          <w:szCs w:val="18"/>
          <w:lang w:val="es-ES_tradnl"/>
        </w:rPr>
        <w:t>n supone una garant</w:t>
      </w:r>
      <w:r>
        <w:rPr>
          <w:rFonts w:cs="Times New Roman"/>
          <w:spacing w:val="-10"/>
          <w:sz w:val="18"/>
          <w:szCs w:val="18"/>
          <w:lang w:val="es-ES_tradnl"/>
        </w:rPr>
        <w:t>í</w:t>
      </w:r>
      <w:r>
        <w:rPr>
          <w:spacing w:val="-10"/>
          <w:sz w:val="18"/>
          <w:szCs w:val="18"/>
          <w:lang w:val="es-ES_tradnl"/>
        </w:rPr>
        <w:t xml:space="preserve">a para las partes </w:t>
      </w:r>
      <w:r>
        <w:rPr>
          <w:spacing w:val="-9"/>
          <w:sz w:val="18"/>
          <w:szCs w:val="18"/>
          <w:lang w:val="es-ES_tradnl"/>
        </w:rPr>
        <w:t>y una obligaci</w:t>
      </w:r>
      <w:r>
        <w:rPr>
          <w:rFonts w:cs="Times New Roman"/>
          <w:spacing w:val="-9"/>
          <w:sz w:val="18"/>
          <w:szCs w:val="18"/>
          <w:lang w:val="es-ES_tradnl"/>
        </w:rPr>
        <w:t>ó</w:t>
      </w:r>
      <w:r>
        <w:rPr>
          <w:spacing w:val="-9"/>
          <w:sz w:val="18"/>
          <w:szCs w:val="18"/>
          <w:lang w:val="es-ES_tradnl"/>
        </w:rPr>
        <w:t xml:space="preserve">n para los jueces de motivar las resoluciones </w:t>
      </w:r>
      <w:r>
        <w:rPr>
          <w:spacing w:val="-8"/>
          <w:sz w:val="18"/>
          <w:szCs w:val="18"/>
          <w:lang w:val="es-ES_tradnl"/>
        </w:rPr>
        <w:t xml:space="preserve">que decidan sobre derechos u obligaciones, por lo que se </w:t>
      </w:r>
      <w:r>
        <w:rPr>
          <w:spacing w:val="-10"/>
          <w:sz w:val="18"/>
          <w:szCs w:val="18"/>
          <w:lang w:val="es-ES_tradnl"/>
        </w:rPr>
        <w:t xml:space="preserve">constituye en parte fundamental del derecho a la defensa de </w:t>
      </w:r>
      <w:r>
        <w:rPr>
          <w:spacing w:val="-11"/>
          <w:sz w:val="18"/>
          <w:szCs w:val="18"/>
          <w:lang w:val="es-ES_tradnl"/>
        </w:rPr>
        <w:t>las personas que intervienen dentro de un proceso, d</w:t>
      </w:r>
      <w:r>
        <w:rPr>
          <w:rFonts w:cs="Times New Roman"/>
          <w:spacing w:val="-11"/>
          <w:sz w:val="18"/>
          <w:szCs w:val="18"/>
          <w:lang w:val="es-ES_tradnl"/>
        </w:rPr>
        <w:t>á</w:t>
      </w:r>
      <w:r>
        <w:rPr>
          <w:spacing w:val="-11"/>
          <w:sz w:val="18"/>
          <w:szCs w:val="18"/>
          <w:lang w:val="es-ES_tradnl"/>
        </w:rPr>
        <w:t xml:space="preserve">ndoles </w:t>
      </w:r>
      <w:r>
        <w:rPr>
          <w:spacing w:val="-7"/>
          <w:sz w:val="18"/>
          <w:szCs w:val="18"/>
          <w:lang w:val="es-ES_tradnl"/>
        </w:rPr>
        <w:t xml:space="preserve">las posibilidad de entender las razones que llevaron al juez </w:t>
      </w:r>
      <w:r>
        <w:rPr>
          <w:spacing w:val="-8"/>
          <w:sz w:val="18"/>
          <w:szCs w:val="18"/>
          <w:lang w:val="es-ES_tradnl"/>
        </w:rPr>
        <w:t>a tomar la decisi</w:t>
      </w:r>
      <w:r>
        <w:rPr>
          <w:rFonts w:cs="Times New Roman"/>
          <w:spacing w:val="-8"/>
          <w:sz w:val="18"/>
          <w:szCs w:val="18"/>
          <w:lang w:val="es-ES_tradnl"/>
        </w:rPr>
        <w:t>ó</w:t>
      </w:r>
      <w:r>
        <w:rPr>
          <w:spacing w:val="-8"/>
          <w:sz w:val="18"/>
          <w:szCs w:val="18"/>
          <w:lang w:val="es-ES_tradnl"/>
        </w:rPr>
        <w:t>n, en virtud de qu</w:t>
      </w:r>
      <w:r>
        <w:rPr>
          <w:rFonts w:cs="Times New Roman"/>
          <w:spacing w:val="-8"/>
          <w:sz w:val="18"/>
          <w:szCs w:val="18"/>
          <w:lang w:val="es-ES_tradnl"/>
        </w:rPr>
        <w:t>é</w:t>
      </w:r>
      <w:r>
        <w:rPr>
          <w:spacing w:val="-8"/>
          <w:sz w:val="18"/>
          <w:szCs w:val="18"/>
          <w:lang w:val="es-ES_tradnl"/>
        </w:rPr>
        <w:t xml:space="preserve"> norma jur</w:t>
      </w:r>
      <w:r>
        <w:rPr>
          <w:rFonts w:cs="Times New Roman"/>
          <w:spacing w:val="-8"/>
          <w:sz w:val="18"/>
          <w:szCs w:val="18"/>
          <w:lang w:val="es-ES_tradnl"/>
        </w:rPr>
        <w:t>í</w:t>
      </w:r>
      <w:r>
        <w:rPr>
          <w:spacing w:val="-8"/>
          <w:sz w:val="18"/>
          <w:szCs w:val="18"/>
          <w:lang w:val="es-ES_tradnl"/>
        </w:rPr>
        <w:t>dica y c</w:t>
      </w:r>
      <w:r>
        <w:rPr>
          <w:rFonts w:cs="Times New Roman"/>
          <w:spacing w:val="-8"/>
          <w:sz w:val="18"/>
          <w:szCs w:val="18"/>
          <w:lang w:val="es-ES_tradnl"/>
        </w:rPr>
        <w:t>ó</w:t>
      </w:r>
      <w:r>
        <w:rPr>
          <w:spacing w:val="-8"/>
          <w:sz w:val="18"/>
          <w:szCs w:val="18"/>
          <w:lang w:val="es-ES_tradnl"/>
        </w:rPr>
        <w:t xml:space="preserve">mo </w:t>
      </w:r>
      <w:r>
        <w:rPr>
          <w:spacing w:val="-7"/>
          <w:sz w:val="18"/>
          <w:szCs w:val="18"/>
          <w:lang w:val="es-ES_tradnl"/>
        </w:rPr>
        <w:t xml:space="preserve">las circunstancias particulares del caso se adecuan a la </w:t>
      </w:r>
      <w:r>
        <w:rPr>
          <w:sz w:val="18"/>
          <w:szCs w:val="18"/>
          <w:lang w:val="es-ES_tradnl"/>
        </w:rPr>
        <w:t>norma invocada.</w:t>
      </w:r>
    </w:p>
    <w:p w14:paraId="4F67AE17" w14:textId="77777777" w:rsidR="00591D54" w:rsidRDefault="00591D54">
      <w:pPr>
        <w:shd w:val="clear" w:color="auto" w:fill="FFFFFF"/>
        <w:spacing w:before="197" w:line="216" w:lineRule="exact"/>
        <w:jc w:val="both"/>
      </w:pPr>
      <w:r>
        <w:rPr>
          <w:spacing w:val="-5"/>
          <w:sz w:val="18"/>
          <w:szCs w:val="18"/>
          <w:lang w:val="es-ES_tradnl"/>
        </w:rPr>
        <w:t xml:space="preserve">La Corte Constitucional ha desarrollado una serie de </w:t>
      </w:r>
      <w:r>
        <w:rPr>
          <w:spacing w:val="-10"/>
          <w:sz w:val="18"/>
          <w:szCs w:val="18"/>
          <w:lang w:val="es-ES_tradnl"/>
        </w:rPr>
        <w:t xml:space="preserve">requisitos que debe cumplir una sentencia para considerarla </w:t>
      </w:r>
      <w:r>
        <w:rPr>
          <w:spacing w:val="-6"/>
          <w:sz w:val="18"/>
          <w:szCs w:val="18"/>
          <w:lang w:val="es-ES_tradnl"/>
        </w:rPr>
        <w:t xml:space="preserve">motivada. En ese sentido, la Corte Constitucional, para el </w:t>
      </w:r>
      <w:r>
        <w:rPr>
          <w:sz w:val="18"/>
          <w:szCs w:val="18"/>
          <w:lang w:val="es-ES_tradnl"/>
        </w:rPr>
        <w:t>per</w:t>
      </w:r>
      <w:r>
        <w:rPr>
          <w:rFonts w:cs="Times New Roman"/>
          <w:sz w:val="18"/>
          <w:szCs w:val="18"/>
          <w:lang w:val="es-ES_tradnl"/>
        </w:rPr>
        <w:t>í</w:t>
      </w:r>
      <w:r>
        <w:rPr>
          <w:sz w:val="18"/>
          <w:szCs w:val="18"/>
          <w:lang w:val="es-ES_tradnl"/>
        </w:rPr>
        <w:t>odo de transici</w:t>
      </w:r>
      <w:r>
        <w:rPr>
          <w:rFonts w:cs="Times New Roman"/>
          <w:sz w:val="18"/>
          <w:szCs w:val="18"/>
          <w:lang w:val="es-ES_tradnl"/>
        </w:rPr>
        <w:t>ó</w:t>
      </w:r>
      <w:r>
        <w:rPr>
          <w:sz w:val="18"/>
          <w:szCs w:val="18"/>
          <w:lang w:val="es-ES_tradnl"/>
        </w:rPr>
        <w:t>n, manifest</w:t>
      </w:r>
      <w:r>
        <w:rPr>
          <w:rFonts w:cs="Times New Roman"/>
          <w:sz w:val="18"/>
          <w:szCs w:val="18"/>
          <w:lang w:val="es-ES_tradnl"/>
        </w:rPr>
        <w:t>ó</w:t>
      </w:r>
      <w:r>
        <w:rPr>
          <w:sz w:val="18"/>
          <w:szCs w:val="18"/>
          <w:lang w:val="es-ES_tradnl"/>
        </w:rPr>
        <w:t>:</w:t>
      </w:r>
    </w:p>
    <w:p w14:paraId="4F67AE18" w14:textId="77777777" w:rsidR="00591D54" w:rsidRDefault="00591D54">
      <w:pPr>
        <w:shd w:val="clear" w:color="auto" w:fill="FFFFFF"/>
        <w:spacing w:before="202" w:line="211" w:lineRule="exact"/>
        <w:ind w:left="283"/>
        <w:jc w:val="both"/>
      </w:pPr>
      <w:r>
        <w:rPr>
          <w:sz w:val="14"/>
          <w:szCs w:val="14"/>
          <w:lang w:val="es-ES_tradnl"/>
        </w:rPr>
        <w:t>Para que determinada resoluci</w:t>
      </w:r>
      <w:r>
        <w:rPr>
          <w:rFonts w:cs="Times New Roman"/>
          <w:sz w:val="14"/>
          <w:szCs w:val="14"/>
          <w:lang w:val="es-ES_tradnl"/>
        </w:rPr>
        <w:t>ó</w:t>
      </w:r>
      <w:r>
        <w:rPr>
          <w:sz w:val="14"/>
          <w:szCs w:val="14"/>
          <w:lang w:val="es-ES_tradnl"/>
        </w:rPr>
        <w:t>n se halle correctamente motivada es necesario que la autoridad que tome la decisi</w:t>
      </w:r>
      <w:r>
        <w:rPr>
          <w:rFonts w:cs="Times New Roman"/>
          <w:sz w:val="14"/>
          <w:szCs w:val="14"/>
          <w:lang w:val="es-ES_tradnl"/>
        </w:rPr>
        <w:t>ó</w:t>
      </w:r>
      <w:r>
        <w:rPr>
          <w:sz w:val="14"/>
          <w:szCs w:val="14"/>
          <w:lang w:val="es-ES_tradnl"/>
        </w:rPr>
        <w:t>n exponga las razones que el derecho le ofrece para adoptarla. Dicha exposici</w:t>
      </w:r>
      <w:r>
        <w:rPr>
          <w:rFonts w:cs="Times New Roman"/>
          <w:sz w:val="14"/>
          <w:szCs w:val="14"/>
          <w:lang w:val="es-ES_tradnl"/>
        </w:rPr>
        <w:t>ó</w:t>
      </w:r>
      <w:r>
        <w:rPr>
          <w:sz w:val="14"/>
          <w:szCs w:val="14"/>
          <w:lang w:val="es-ES_tradnl"/>
        </w:rPr>
        <w:t>n debe hac</w:t>
      </w:r>
      <w:r>
        <w:rPr>
          <w:rFonts w:cs="Times New Roman"/>
          <w:sz w:val="14"/>
          <w:szCs w:val="14"/>
          <w:lang w:val="es-ES_tradnl"/>
        </w:rPr>
        <w:t>é</w:t>
      </w:r>
      <w:r>
        <w:rPr>
          <w:sz w:val="14"/>
          <w:szCs w:val="14"/>
          <w:lang w:val="es-ES_tradnl"/>
        </w:rPr>
        <w:t>rsela de manera razonable, l</w:t>
      </w:r>
      <w:r>
        <w:rPr>
          <w:rFonts w:cs="Times New Roman"/>
          <w:sz w:val="14"/>
          <w:szCs w:val="14"/>
          <w:lang w:val="es-ES_tradnl"/>
        </w:rPr>
        <w:t>ó</w:t>
      </w:r>
      <w:r>
        <w:rPr>
          <w:sz w:val="14"/>
          <w:szCs w:val="14"/>
          <w:lang w:val="es-ES_tradnl"/>
        </w:rPr>
        <w:t>gica y comprensible, as</w:t>
      </w:r>
      <w:r>
        <w:rPr>
          <w:rFonts w:cs="Times New Roman"/>
          <w:sz w:val="14"/>
          <w:szCs w:val="14"/>
          <w:lang w:val="es-ES_tradnl"/>
        </w:rPr>
        <w:t>í</w:t>
      </w:r>
      <w:r>
        <w:rPr>
          <w:sz w:val="14"/>
          <w:szCs w:val="14"/>
          <w:lang w:val="es-ES_tradnl"/>
        </w:rPr>
        <w:t xml:space="preserve"> como mostrar c</w:t>
      </w:r>
      <w:r>
        <w:rPr>
          <w:rFonts w:cs="Times New Roman"/>
          <w:sz w:val="14"/>
          <w:szCs w:val="14"/>
          <w:lang w:val="es-ES_tradnl"/>
        </w:rPr>
        <w:t>ó</w:t>
      </w:r>
      <w:r>
        <w:rPr>
          <w:sz w:val="14"/>
          <w:szCs w:val="14"/>
          <w:lang w:val="es-ES_tradnl"/>
        </w:rPr>
        <w:t xml:space="preserve">mo los enunciados </w:t>
      </w:r>
      <w:r>
        <w:rPr>
          <w:spacing w:val="-1"/>
          <w:sz w:val="14"/>
          <w:szCs w:val="14"/>
          <w:lang w:val="es-ES_tradnl"/>
        </w:rPr>
        <w:t xml:space="preserve">normativos se adecuan a los deseos de solucionar los confl ictos </w:t>
      </w:r>
      <w:r>
        <w:rPr>
          <w:sz w:val="14"/>
          <w:szCs w:val="14"/>
          <w:lang w:val="es-ES_tradnl"/>
        </w:rPr>
        <w:t>presentados. Una decisi</w:t>
      </w:r>
      <w:r>
        <w:rPr>
          <w:rFonts w:cs="Times New Roman"/>
          <w:sz w:val="14"/>
          <w:szCs w:val="14"/>
          <w:lang w:val="es-ES_tradnl"/>
        </w:rPr>
        <w:t>ó</w:t>
      </w:r>
      <w:r>
        <w:rPr>
          <w:sz w:val="14"/>
          <w:szCs w:val="14"/>
          <w:lang w:val="es-ES_tradnl"/>
        </w:rPr>
        <w:t>n razonable es aquella fundada en los principios constitucionales. La decisi</w:t>
      </w:r>
      <w:r>
        <w:rPr>
          <w:rFonts w:cs="Times New Roman"/>
          <w:sz w:val="14"/>
          <w:szCs w:val="14"/>
          <w:lang w:val="es-ES_tradnl"/>
        </w:rPr>
        <w:t>ó</w:t>
      </w:r>
      <w:r>
        <w:rPr>
          <w:sz w:val="14"/>
          <w:szCs w:val="14"/>
          <w:lang w:val="es-ES_tradnl"/>
        </w:rPr>
        <w:t>n l</w:t>
      </w:r>
      <w:r>
        <w:rPr>
          <w:rFonts w:cs="Times New Roman"/>
          <w:sz w:val="14"/>
          <w:szCs w:val="14"/>
          <w:lang w:val="es-ES_tradnl"/>
        </w:rPr>
        <w:t>ó</w:t>
      </w:r>
      <w:r>
        <w:rPr>
          <w:sz w:val="14"/>
          <w:szCs w:val="14"/>
          <w:lang w:val="es-ES_tradnl"/>
        </w:rPr>
        <w:t>gica, por su lado, implica coherencia entre las premisas y la conclusi</w:t>
      </w:r>
      <w:r>
        <w:rPr>
          <w:rFonts w:cs="Times New Roman"/>
          <w:sz w:val="14"/>
          <w:szCs w:val="14"/>
          <w:lang w:val="es-ES_tradnl"/>
        </w:rPr>
        <w:t>ó</w:t>
      </w:r>
      <w:r>
        <w:rPr>
          <w:sz w:val="14"/>
          <w:szCs w:val="14"/>
          <w:lang w:val="es-ES_tradnl"/>
        </w:rPr>
        <w:t>n, as</w:t>
      </w:r>
      <w:r>
        <w:rPr>
          <w:rFonts w:cs="Times New Roman"/>
          <w:sz w:val="14"/>
          <w:szCs w:val="14"/>
          <w:lang w:val="es-ES_tradnl"/>
        </w:rPr>
        <w:t xml:space="preserve">í </w:t>
      </w:r>
      <w:r>
        <w:rPr>
          <w:sz w:val="14"/>
          <w:szCs w:val="14"/>
          <w:lang w:val="es-ES_tradnl"/>
        </w:rPr>
        <w:t>como entre esta y la decisi</w:t>
      </w:r>
      <w:r>
        <w:rPr>
          <w:rFonts w:cs="Times New Roman"/>
          <w:sz w:val="14"/>
          <w:szCs w:val="14"/>
          <w:lang w:val="es-ES_tradnl"/>
        </w:rPr>
        <w:t>ó</w:t>
      </w:r>
      <w:r>
        <w:rPr>
          <w:sz w:val="14"/>
          <w:szCs w:val="14"/>
          <w:lang w:val="es-ES_tradnl"/>
        </w:rPr>
        <w:t>n. Una decisi</w:t>
      </w:r>
      <w:r>
        <w:rPr>
          <w:rFonts w:cs="Times New Roman"/>
          <w:sz w:val="14"/>
          <w:szCs w:val="14"/>
          <w:lang w:val="es-ES_tradnl"/>
        </w:rPr>
        <w:t>ó</w:t>
      </w:r>
      <w:r>
        <w:rPr>
          <w:sz w:val="14"/>
          <w:szCs w:val="14"/>
          <w:lang w:val="es-ES_tradnl"/>
        </w:rPr>
        <w:t xml:space="preserve">n comprensible, por </w:t>
      </w:r>
      <w:r>
        <w:rPr>
          <w:rFonts w:cs="Times New Roman"/>
          <w:sz w:val="14"/>
          <w:szCs w:val="14"/>
          <w:lang w:val="es-ES_tradnl"/>
        </w:rPr>
        <w:t>ú</w:t>
      </w:r>
      <w:r>
        <w:rPr>
          <w:sz w:val="14"/>
          <w:szCs w:val="14"/>
          <w:lang w:val="es-ES_tradnl"/>
        </w:rPr>
        <w:t>ltimo, debe gozar de claridad en el lenguaje con miras a su fiscalizaci</w:t>
      </w:r>
      <w:r>
        <w:rPr>
          <w:rFonts w:cs="Times New Roman"/>
          <w:sz w:val="14"/>
          <w:szCs w:val="14"/>
          <w:lang w:val="es-ES_tradnl"/>
        </w:rPr>
        <w:t>ó</w:t>
      </w:r>
      <w:r>
        <w:rPr>
          <w:sz w:val="14"/>
          <w:szCs w:val="14"/>
          <w:lang w:val="es-ES_tradnl"/>
        </w:rPr>
        <w:t>n por parte del gran auditorio social, m</w:t>
      </w:r>
      <w:r>
        <w:rPr>
          <w:rFonts w:cs="Times New Roman"/>
          <w:sz w:val="14"/>
          <w:szCs w:val="14"/>
          <w:lang w:val="es-ES_tradnl"/>
        </w:rPr>
        <w:t>á</w:t>
      </w:r>
      <w:r>
        <w:rPr>
          <w:sz w:val="14"/>
          <w:szCs w:val="14"/>
          <w:lang w:val="es-ES_tradnl"/>
        </w:rPr>
        <w:t>s all</w:t>
      </w:r>
      <w:r>
        <w:rPr>
          <w:rFonts w:cs="Times New Roman"/>
          <w:sz w:val="14"/>
          <w:szCs w:val="14"/>
          <w:lang w:val="es-ES_tradnl"/>
        </w:rPr>
        <w:t>á</w:t>
      </w:r>
      <w:r>
        <w:rPr>
          <w:sz w:val="14"/>
          <w:szCs w:val="14"/>
          <w:lang w:val="es-ES_tradnl"/>
        </w:rPr>
        <w:t xml:space="preserve"> de las partes en confl icto</w:t>
      </w:r>
      <w:r>
        <w:rPr>
          <w:sz w:val="14"/>
          <w:szCs w:val="14"/>
          <w:vertAlign w:val="superscript"/>
          <w:lang w:val="es-ES_tradnl"/>
        </w:rPr>
        <w:t>5</w:t>
      </w:r>
      <w:r>
        <w:rPr>
          <w:sz w:val="14"/>
          <w:szCs w:val="14"/>
          <w:lang w:val="es-ES_tradnl"/>
        </w:rPr>
        <w:t>.</w:t>
      </w:r>
    </w:p>
    <w:p w14:paraId="4F67AE19" w14:textId="77777777" w:rsidR="00591D54" w:rsidRDefault="00591D54">
      <w:pPr>
        <w:shd w:val="clear" w:color="auto" w:fill="FFFFFF"/>
        <w:spacing w:before="197" w:line="216" w:lineRule="exact"/>
        <w:jc w:val="both"/>
      </w:pPr>
      <w:r>
        <w:rPr>
          <w:sz w:val="18"/>
          <w:szCs w:val="18"/>
          <w:lang w:val="es-ES_tradnl"/>
        </w:rPr>
        <w:t xml:space="preserve">De lo que se desprende que para que una sentencia </w:t>
      </w:r>
      <w:r>
        <w:rPr>
          <w:spacing w:val="-4"/>
          <w:sz w:val="18"/>
          <w:szCs w:val="18"/>
          <w:lang w:val="es-ES_tradnl"/>
        </w:rPr>
        <w:t xml:space="preserve">se encuentre debidamente motivada debe superar el </w:t>
      </w:r>
      <w:r>
        <w:rPr>
          <w:spacing w:val="-7"/>
          <w:sz w:val="18"/>
          <w:szCs w:val="18"/>
          <w:lang w:val="es-ES_tradnl"/>
        </w:rPr>
        <w:t xml:space="preserve">examen de tres presupuestos </w:t>
      </w:r>
      <w:r>
        <w:rPr>
          <w:i/>
          <w:iCs/>
          <w:spacing w:val="-7"/>
          <w:sz w:val="18"/>
          <w:szCs w:val="18"/>
          <w:lang w:val="es-ES_tradnl"/>
        </w:rPr>
        <w:t>(</w:t>
      </w:r>
      <w:r>
        <w:rPr>
          <w:spacing w:val="-7"/>
          <w:sz w:val="18"/>
          <w:szCs w:val="18"/>
          <w:lang w:val="es-ES_tradnl"/>
        </w:rPr>
        <w:t>razonabilidad, l</w:t>
      </w:r>
      <w:r>
        <w:rPr>
          <w:rFonts w:cs="Times New Roman"/>
          <w:spacing w:val="-7"/>
          <w:sz w:val="18"/>
          <w:szCs w:val="18"/>
          <w:lang w:val="es-ES_tradnl"/>
        </w:rPr>
        <w:t>ó</w:t>
      </w:r>
      <w:r>
        <w:rPr>
          <w:spacing w:val="-7"/>
          <w:sz w:val="18"/>
          <w:szCs w:val="18"/>
          <w:lang w:val="es-ES_tradnl"/>
        </w:rPr>
        <w:t xml:space="preserve">gica y </w:t>
      </w:r>
      <w:r>
        <w:rPr>
          <w:spacing w:val="-11"/>
          <w:sz w:val="18"/>
          <w:szCs w:val="18"/>
          <w:lang w:val="es-ES_tradnl"/>
        </w:rPr>
        <w:t xml:space="preserve">comprensibilidad), presupuestos que deben ser contrastados </w:t>
      </w:r>
      <w:r>
        <w:rPr>
          <w:spacing w:val="-5"/>
          <w:sz w:val="18"/>
          <w:szCs w:val="18"/>
          <w:lang w:val="es-ES_tradnl"/>
        </w:rPr>
        <w:t xml:space="preserve">con el caso en concreto, a fin de determinar si fueron </w:t>
      </w:r>
      <w:r>
        <w:rPr>
          <w:spacing w:val="-9"/>
          <w:sz w:val="18"/>
          <w:szCs w:val="18"/>
          <w:lang w:val="es-ES_tradnl"/>
        </w:rPr>
        <w:t xml:space="preserve">observados en la sentencia impugnada, para el efecto, esta </w:t>
      </w:r>
      <w:r>
        <w:rPr>
          <w:spacing w:val="-5"/>
          <w:sz w:val="18"/>
          <w:szCs w:val="18"/>
          <w:lang w:val="es-ES_tradnl"/>
        </w:rPr>
        <w:t xml:space="preserve">Corte, en el caso </w:t>
      </w:r>
      <w:r>
        <w:rPr>
          <w:i/>
          <w:iCs/>
          <w:spacing w:val="-5"/>
          <w:sz w:val="18"/>
          <w:szCs w:val="18"/>
          <w:lang w:val="es-ES_tradnl"/>
        </w:rPr>
        <w:t xml:space="preserve">sub judice, </w:t>
      </w:r>
      <w:r>
        <w:rPr>
          <w:spacing w:val="-5"/>
          <w:sz w:val="18"/>
          <w:szCs w:val="18"/>
          <w:lang w:val="es-ES_tradnl"/>
        </w:rPr>
        <w:t>analizar</w:t>
      </w:r>
      <w:r>
        <w:rPr>
          <w:rFonts w:cs="Times New Roman"/>
          <w:spacing w:val="-5"/>
          <w:sz w:val="18"/>
          <w:szCs w:val="18"/>
          <w:lang w:val="es-ES_tradnl"/>
        </w:rPr>
        <w:t>á</w:t>
      </w:r>
      <w:r>
        <w:rPr>
          <w:spacing w:val="-5"/>
          <w:sz w:val="18"/>
          <w:szCs w:val="18"/>
          <w:lang w:val="es-ES_tradnl"/>
        </w:rPr>
        <w:t xml:space="preserve"> la decisi</w:t>
      </w:r>
      <w:r>
        <w:rPr>
          <w:rFonts w:cs="Times New Roman"/>
          <w:spacing w:val="-5"/>
          <w:sz w:val="18"/>
          <w:szCs w:val="18"/>
          <w:lang w:val="es-ES_tradnl"/>
        </w:rPr>
        <w:t>ó</w:t>
      </w:r>
      <w:r>
        <w:rPr>
          <w:spacing w:val="-5"/>
          <w:sz w:val="18"/>
          <w:szCs w:val="18"/>
          <w:lang w:val="es-ES_tradnl"/>
        </w:rPr>
        <w:t xml:space="preserve">n judicial </w:t>
      </w:r>
      <w:r>
        <w:rPr>
          <w:spacing w:val="-6"/>
          <w:sz w:val="18"/>
          <w:szCs w:val="18"/>
          <w:lang w:val="es-ES_tradnl"/>
        </w:rPr>
        <w:t>a partir de los par</w:t>
      </w:r>
      <w:r>
        <w:rPr>
          <w:rFonts w:cs="Times New Roman"/>
          <w:spacing w:val="-6"/>
          <w:sz w:val="18"/>
          <w:szCs w:val="18"/>
          <w:lang w:val="es-ES_tradnl"/>
        </w:rPr>
        <w:t>á</w:t>
      </w:r>
      <w:r>
        <w:rPr>
          <w:spacing w:val="-6"/>
          <w:sz w:val="18"/>
          <w:szCs w:val="18"/>
          <w:lang w:val="es-ES_tradnl"/>
        </w:rPr>
        <w:t>metros de razonabilidad, l</w:t>
      </w:r>
      <w:r>
        <w:rPr>
          <w:rFonts w:cs="Times New Roman"/>
          <w:spacing w:val="-6"/>
          <w:sz w:val="18"/>
          <w:szCs w:val="18"/>
          <w:lang w:val="es-ES_tradnl"/>
        </w:rPr>
        <w:t>ó</w:t>
      </w:r>
      <w:r>
        <w:rPr>
          <w:spacing w:val="-6"/>
          <w:sz w:val="18"/>
          <w:szCs w:val="18"/>
          <w:lang w:val="es-ES_tradnl"/>
        </w:rPr>
        <w:t xml:space="preserve">gica y </w:t>
      </w:r>
      <w:r>
        <w:rPr>
          <w:sz w:val="18"/>
          <w:szCs w:val="18"/>
          <w:lang w:val="es-ES_tradnl"/>
        </w:rPr>
        <w:t>comprensibilidad.</w:t>
      </w:r>
    </w:p>
    <w:p w14:paraId="4F67AE1A" w14:textId="77777777" w:rsidR="00591D54" w:rsidRDefault="00591D54">
      <w:pPr>
        <w:shd w:val="clear" w:color="auto" w:fill="FFFFFF"/>
        <w:spacing w:before="192" w:line="216" w:lineRule="exact"/>
        <w:jc w:val="both"/>
      </w:pPr>
      <w:r>
        <w:rPr>
          <w:spacing w:val="-7"/>
          <w:sz w:val="18"/>
          <w:szCs w:val="18"/>
          <w:lang w:val="es-ES_tradnl"/>
        </w:rPr>
        <w:t xml:space="preserve">Una vez que se ha analizado el derecho constitucional al </w:t>
      </w:r>
      <w:r>
        <w:rPr>
          <w:spacing w:val="-8"/>
          <w:sz w:val="18"/>
          <w:szCs w:val="18"/>
          <w:lang w:val="es-ES_tradnl"/>
        </w:rPr>
        <w:t>debido proceso y su relaci</w:t>
      </w:r>
      <w:r>
        <w:rPr>
          <w:rFonts w:cs="Times New Roman"/>
          <w:spacing w:val="-8"/>
          <w:sz w:val="18"/>
          <w:szCs w:val="18"/>
          <w:lang w:val="es-ES_tradnl"/>
        </w:rPr>
        <w:t>ó</w:t>
      </w:r>
      <w:r>
        <w:rPr>
          <w:spacing w:val="-8"/>
          <w:sz w:val="18"/>
          <w:szCs w:val="18"/>
          <w:lang w:val="es-ES_tradnl"/>
        </w:rPr>
        <w:t xml:space="preserve">n con el derecho a la defensa y </w:t>
      </w:r>
      <w:r>
        <w:rPr>
          <w:spacing w:val="-7"/>
          <w:sz w:val="18"/>
          <w:szCs w:val="18"/>
          <w:lang w:val="es-ES_tradnl"/>
        </w:rPr>
        <w:t>la garant</w:t>
      </w:r>
      <w:r>
        <w:rPr>
          <w:rFonts w:cs="Times New Roman"/>
          <w:spacing w:val="-7"/>
          <w:sz w:val="18"/>
          <w:szCs w:val="18"/>
          <w:lang w:val="es-ES_tradnl"/>
        </w:rPr>
        <w:t>í</w:t>
      </w:r>
      <w:r>
        <w:rPr>
          <w:spacing w:val="-7"/>
          <w:sz w:val="18"/>
          <w:szCs w:val="18"/>
          <w:lang w:val="es-ES_tradnl"/>
        </w:rPr>
        <w:t>a de la motivaci</w:t>
      </w:r>
      <w:r>
        <w:rPr>
          <w:rFonts w:cs="Times New Roman"/>
          <w:spacing w:val="-7"/>
          <w:sz w:val="18"/>
          <w:szCs w:val="18"/>
          <w:lang w:val="es-ES_tradnl"/>
        </w:rPr>
        <w:t>ó</w:t>
      </w:r>
      <w:r>
        <w:rPr>
          <w:spacing w:val="-7"/>
          <w:sz w:val="18"/>
          <w:szCs w:val="18"/>
          <w:lang w:val="es-ES_tradnl"/>
        </w:rPr>
        <w:t xml:space="preserve">n, esta Corte entra a resolver el </w:t>
      </w:r>
      <w:r>
        <w:rPr>
          <w:spacing w:val="-9"/>
          <w:sz w:val="18"/>
          <w:szCs w:val="18"/>
          <w:lang w:val="es-ES_tradnl"/>
        </w:rPr>
        <w:t>problema jur</w:t>
      </w:r>
      <w:r>
        <w:rPr>
          <w:rFonts w:cs="Times New Roman"/>
          <w:spacing w:val="-9"/>
          <w:sz w:val="18"/>
          <w:szCs w:val="18"/>
          <w:lang w:val="es-ES_tradnl"/>
        </w:rPr>
        <w:t>í</w:t>
      </w:r>
      <w:r>
        <w:rPr>
          <w:spacing w:val="-9"/>
          <w:sz w:val="18"/>
          <w:szCs w:val="18"/>
          <w:lang w:val="es-ES_tradnl"/>
        </w:rPr>
        <w:t xml:space="preserve">dico planteado para dar respuesta al presente </w:t>
      </w:r>
      <w:r>
        <w:rPr>
          <w:sz w:val="18"/>
          <w:szCs w:val="18"/>
          <w:lang w:val="es-ES_tradnl"/>
        </w:rPr>
        <w:t>caso.</w:t>
      </w:r>
    </w:p>
    <w:p w14:paraId="4F67AE1B" w14:textId="77777777" w:rsidR="00591D54" w:rsidRDefault="00591D54">
      <w:pPr>
        <w:shd w:val="clear" w:color="auto" w:fill="FFFFFF"/>
        <w:spacing w:before="192" w:line="216" w:lineRule="exact"/>
        <w:jc w:val="both"/>
      </w:pPr>
      <w:r>
        <w:rPr>
          <w:spacing w:val="-11"/>
          <w:sz w:val="18"/>
          <w:szCs w:val="18"/>
          <w:lang w:val="es-ES_tradnl"/>
        </w:rPr>
        <w:t xml:space="preserve">En ese orden de ideas es pertinente precisar que mediante la </w:t>
      </w:r>
      <w:r>
        <w:rPr>
          <w:spacing w:val="-8"/>
          <w:sz w:val="18"/>
          <w:szCs w:val="18"/>
          <w:lang w:val="es-ES_tradnl"/>
        </w:rPr>
        <w:t>presente acci</w:t>
      </w:r>
      <w:r>
        <w:rPr>
          <w:rFonts w:cs="Times New Roman"/>
          <w:spacing w:val="-8"/>
          <w:sz w:val="18"/>
          <w:szCs w:val="18"/>
          <w:lang w:val="es-ES_tradnl"/>
        </w:rPr>
        <w:t>ó</w:t>
      </w:r>
      <w:r>
        <w:rPr>
          <w:spacing w:val="-8"/>
          <w:sz w:val="18"/>
          <w:szCs w:val="18"/>
          <w:lang w:val="es-ES_tradnl"/>
        </w:rPr>
        <w:t>n extraordinaria de protecci</w:t>
      </w:r>
      <w:r>
        <w:rPr>
          <w:rFonts w:cs="Times New Roman"/>
          <w:spacing w:val="-8"/>
          <w:sz w:val="18"/>
          <w:szCs w:val="18"/>
          <w:lang w:val="es-ES_tradnl"/>
        </w:rPr>
        <w:t>ó</w:t>
      </w:r>
      <w:r>
        <w:rPr>
          <w:spacing w:val="-8"/>
          <w:sz w:val="18"/>
          <w:szCs w:val="18"/>
          <w:lang w:val="es-ES_tradnl"/>
        </w:rPr>
        <w:t xml:space="preserve">n, el accionante </w:t>
      </w:r>
      <w:r>
        <w:rPr>
          <w:spacing w:val="-9"/>
          <w:sz w:val="18"/>
          <w:szCs w:val="18"/>
          <w:lang w:val="es-ES_tradnl"/>
        </w:rPr>
        <w:t>impugna una sentencia dentro de una acci</w:t>
      </w:r>
      <w:r>
        <w:rPr>
          <w:rFonts w:cs="Times New Roman"/>
          <w:spacing w:val="-9"/>
          <w:sz w:val="18"/>
          <w:szCs w:val="18"/>
          <w:lang w:val="es-ES_tradnl"/>
        </w:rPr>
        <w:t>ó</w:t>
      </w:r>
      <w:r>
        <w:rPr>
          <w:spacing w:val="-9"/>
          <w:sz w:val="18"/>
          <w:szCs w:val="18"/>
          <w:lang w:val="es-ES_tradnl"/>
        </w:rPr>
        <w:t>n de protecci</w:t>
      </w:r>
      <w:r>
        <w:rPr>
          <w:rFonts w:cs="Times New Roman"/>
          <w:spacing w:val="-9"/>
          <w:sz w:val="18"/>
          <w:szCs w:val="18"/>
          <w:lang w:val="es-ES_tradnl"/>
        </w:rPr>
        <w:t>ó</w:t>
      </w:r>
      <w:r>
        <w:rPr>
          <w:spacing w:val="-9"/>
          <w:sz w:val="18"/>
          <w:szCs w:val="18"/>
          <w:lang w:val="es-ES_tradnl"/>
        </w:rPr>
        <w:t xml:space="preserve">n, </w:t>
      </w:r>
      <w:r>
        <w:rPr>
          <w:spacing w:val="-6"/>
          <w:sz w:val="18"/>
          <w:szCs w:val="18"/>
          <w:lang w:val="es-ES_tradnl"/>
        </w:rPr>
        <w:t xml:space="preserve">dictada por la Sala Multicompetente de la Corte Provincial </w:t>
      </w:r>
      <w:r>
        <w:rPr>
          <w:spacing w:val="-7"/>
          <w:sz w:val="18"/>
          <w:szCs w:val="18"/>
          <w:lang w:val="es-ES_tradnl"/>
        </w:rPr>
        <w:t xml:space="preserve">de Justicia de Imbabura, mediante la cual se </w:t>
      </w:r>
      <w:r>
        <w:rPr>
          <w:rFonts w:cs="Times New Roman"/>
          <w:spacing w:val="-7"/>
          <w:sz w:val="18"/>
          <w:szCs w:val="18"/>
          <w:lang w:val="es-ES_tradnl"/>
        </w:rPr>
        <w:t>“</w:t>
      </w:r>
      <w:r>
        <w:rPr>
          <w:spacing w:val="-7"/>
          <w:sz w:val="18"/>
          <w:szCs w:val="18"/>
          <w:lang w:val="es-ES_tradnl"/>
        </w:rPr>
        <w:t xml:space="preserve">REVOCA la </w:t>
      </w:r>
      <w:r>
        <w:rPr>
          <w:spacing w:val="-9"/>
          <w:sz w:val="18"/>
          <w:szCs w:val="18"/>
          <w:lang w:val="es-ES_tradnl"/>
        </w:rPr>
        <w:t xml:space="preserve">sentencia dictada por el juez a quo y en su lugar se declara </w:t>
      </w:r>
      <w:r>
        <w:rPr>
          <w:spacing w:val="-3"/>
          <w:sz w:val="18"/>
          <w:szCs w:val="18"/>
          <w:lang w:val="es-ES_tradnl"/>
        </w:rPr>
        <w:t>INADMISIBLE la acci</w:t>
      </w:r>
      <w:r>
        <w:rPr>
          <w:rFonts w:cs="Times New Roman"/>
          <w:spacing w:val="-3"/>
          <w:sz w:val="18"/>
          <w:szCs w:val="18"/>
          <w:lang w:val="es-ES_tradnl"/>
        </w:rPr>
        <w:t>ó</w:t>
      </w:r>
      <w:r>
        <w:rPr>
          <w:spacing w:val="-3"/>
          <w:sz w:val="18"/>
          <w:szCs w:val="18"/>
          <w:lang w:val="es-ES_tradnl"/>
        </w:rPr>
        <w:t>n de protecci</w:t>
      </w:r>
      <w:r>
        <w:rPr>
          <w:rFonts w:cs="Times New Roman"/>
          <w:spacing w:val="-3"/>
          <w:sz w:val="18"/>
          <w:szCs w:val="18"/>
          <w:lang w:val="es-ES_tradnl"/>
        </w:rPr>
        <w:t>ó</w:t>
      </w:r>
      <w:r>
        <w:rPr>
          <w:spacing w:val="-3"/>
          <w:sz w:val="18"/>
          <w:szCs w:val="18"/>
          <w:lang w:val="es-ES_tradnl"/>
        </w:rPr>
        <w:t xml:space="preserve">n incoada por Alex </w:t>
      </w:r>
      <w:r>
        <w:rPr>
          <w:sz w:val="18"/>
          <w:szCs w:val="18"/>
          <w:lang w:val="es-ES_tradnl"/>
        </w:rPr>
        <w:t>Javier Agonaga Crib</w:t>
      </w:r>
      <w:r>
        <w:rPr>
          <w:rFonts w:cs="Times New Roman"/>
          <w:sz w:val="18"/>
          <w:szCs w:val="18"/>
          <w:lang w:val="es-ES_tradnl"/>
        </w:rPr>
        <w:t>á</w:t>
      </w:r>
      <w:r>
        <w:rPr>
          <w:sz w:val="18"/>
          <w:szCs w:val="18"/>
          <w:lang w:val="es-ES_tradnl"/>
        </w:rPr>
        <w:t>n (</w:t>
      </w:r>
      <w:r>
        <w:rPr>
          <w:rFonts w:cs="Times New Roman"/>
          <w:sz w:val="18"/>
          <w:szCs w:val="18"/>
          <w:lang w:val="es-ES_tradnl"/>
        </w:rPr>
        <w:t>…</w:t>
      </w:r>
      <w:r>
        <w:rPr>
          <w:sz w:val="18"/>
          <w:szCs w:val="18"/>
          <w:lang w:val="es-ES_tradnl"/>
        </w:rPr>
        <w:t>)</w:t>
      </w:r>
      <w:r>
        <w:rPr>
          <w:rFonts w:cs="Times New Roman"/>
          <w:sz w:val="18"/>
          <w:szCs w:val="18"/>
          <w:lang w:val="es-ES_tradnl"/>
        </w:rPr>
        <w:t>”</w:t>
      </w:r>
      <w:r>
        <w:rPr>
          <w:sz w:val="18"/>
          <w:szCs w:val="18"/>
          <w:lang w:val="es-ES_tradnl"/>
        </w:rPr>
        <w:t>.</w:t>
      </w:r>
    </w:p>
    <w:p w14:paraId="4F67AE1C" w14:textId="77777777" w:rsidR="00591D54" w:rsidRDefault="00591D54">
      <w:pPr>
        <w:shd w:val="clear" w:color="auto" w:fill="FFFFFF"/>
        <w:spacing w:before="187"/>
      </w:pPr>
      <w:r>
        <w:rPr>
          <w:b/>
          <w:bCs/>
          <w:spacing w:val="-7"/>
          <w:sz w:val="18"/>
          <w:szCs w:val="18"/>
          <w:lang w:val="es-ES_tradnl"/>
        </w:rPr>
        <w:t>Par</w:t>
      </w:r>
      <w:r>
        <w:rPr>
          <w:rFonts w:cs="Times New Roman"/>
          <w:b/>
          <w:bCs/>
          <w:spacing w:val="-7"/>
          <w:sz w:val="18"/>
          <w:szCs w:val="18"/>
          <w:lang w:val="es-ES_tradnl"/>
        </w:rPr>
        <w:t>á</w:t>
      </w:r>
      <w:r>
        <w:rPr>
          <w:b/>
          <w:bCs/>
          <w:spacing w:val="-7"/>
          <w:sz w:val="18"/>
          <w:szCs w:val="18"/>
          <w:lang w:val="es-ES_tradnl"/>
        </w:rPr>
        <w:t>metro de razonabilidad</w:t>
      </w:r>
    </w:p>
    <w:p w14:paraId="4F67AE1D" w14:textId="77777777" w:rsidR="00591D54" w:rsidRDefault="00591D54">
      <w:pPr>
        <w:shd w:val="clear" w:color="auto" w:fill="FFFFFF"/>
        <w:spacing w:before="197" w:line="216" w:lineRule="exact"/>
        <w:jc w:val="both"/>
      </w:pPr>
      <w:r>
        <w:rPr>
          <w:spacing w:val="-8"/>
          <w:sz w:val="18"/>
          <w:szCs w:val="18"/>
          <w:lang w:val="es-ES_tradnl"/>
        </w:rPr>
        <w:t>Como primer punto de estudio, analizaremos el par</w:t>
      </w:r>
      <w:r>
        <w:rPr>
          <w:rFonts w:cs="Times New Roman"/>
          <w:spacing w:val="-8"/>
          <w:sz w:val="18"/>
          <w:szCs w:val="18"/>
          <w:lang w:val="es-ES_tradnl"/>
        </w:rPr>
        <w:t>á</w:t>
      </w:r>
      <w:r>
        <w:rPr>
          <w:spacing w:val="-8"/>
          <w:sz w:val="18"/>
          <w:szCs w:val="18"/>
          <w:lang w:val="es-ES_tradnl"/>
        </w:rPr>
        <w:t xml:space="preserve">metro </w:t>
      </w:r>
      <w:r>
        <w:rPr>
          <w:spacing w:val="-7"/>
          <w:sz w:val="18"/>
          <w:szCs w:val="18"/>
          <w:lang w:val="es-ES_tradnl"/>
        </w:rPr>
        <w:t xml:space="preserve">de razonabilidad, para lo cual observaremos las razones </w:t>
      </w:r>
      <w:r>
        <w:rPr>
          <w:spacing w:val="-1"/>
          <w:sz w:val="18"/>
          <w:szCs w:val="18"/>
          <w:lang w:val="es-ES_tradnl"/>
        </w:rPr>
        <w:t>dadas por los jueces de la Sala Multicompetente de la</w:t>
      </w:r>
    </w:p>
    <w:p w14:paraId="4F67AE1E" w14:textId="77777777" w:rsidR="00591D54" w:rsidRDefault="00591D54">
      <w:pPr>
        <w:shd w:val="clear" w:color="auto" w:fill="FFFFFF"/>
        <w:spacing w:before="514" w:line="178" w:lineRule="exact"/>
        <w:ind w:left="144" w:hanging="144"/>
      </w:pPr>
      <w:r>
        <w:rPr>
          <w:sz w:val="14"/>
          <w:szCs w:val="14"/>
          <w:vertAlign w:val="superscript"/>
          <w:lang w:val="es-ES_tradnl"/>
        </w:rPr>
        <w:t>5</w:t>
      </w:r>
      <w:r>
        <w:rPr>
          <w:sz w:val="14"/>
          <w:szCs w:val="14"/>
          <w:lang w:val="es-ES_tradnl"/>
        </w:rPr>
        <w:t xml:space="preserve">  Corte Constitucional del Ecuador, para el per</w:t>
      </w:r>
      <w:r>
        <w:rPr>
          <w:rFonts w:cs="Times New Roman"/>
          <w:sz w:val="14"/>
          <w:szCs w:val="14"/>
          <w:lang w:val="es-ES_tradnl"/>
        </w:rPr>
        <w:t>í</w:t>
      </w:r>
      <w:r>
        <w:rPr>
          <w:sz w:val="14"/>
          <w:szCs w:val="14"/>
          <w:lang w:val="es-ES_tradnl"/>
        </w:rPr>
        <w:t>odo de transici</w:t>
      </w:r>
      <w:r>
        <w:rPr>
          <w:rFonts w:cs="Times New Roman"/>
          <w:sz w:val="14"/>
          <w:szCs w:val="14"/>
          <w:lang w:val="es-ES_tradnl"/>
        </w:rPr>
        <w:t>ó</w:t>
      </w:r>
      <w:r>
        <w:rPr>
          <w:sz w:val="14"/>
          <w:szCs w:val="14"/>
          <w:lang w:val="es-ES_tradnl"/>
        </w:rPr>
        <w:t xml:space="preserve">n. </w:t>
      </w:r>
      <w:r>
        <w:rPr>
          <w:spacing w:val="-2"/>
          <w:sz w:val="14"/>
          <w:szCs w:val="14"/>
          <w:lang w:val="es-ES_tradnl"/>
        </w:rPr>
        <w:t>Sentencia N.</w:t>
      </w:r>
      <w:r>
        <w:rPr>
          <w:rFonts w:cs="Times New Roman"/>
          <w:spacing w:val="-2"/>
          <w:sz w:val="14"/>
          <w:szCs w:val="14"/>
          <w:lang w:val="es-ES_tradnl"/>
        </w:rPr>
        <w:t>º</w:t>
      </w:r>
      <w:r>
        <w:rPr>
          <w:spacing w:val="-2"/>
          <w:sz w:val="14"/>
          <w:szCs w:val="14"/>
          <w:lang w:val="es-ES_tradnl"/>
        </w:rPr>
        <w:t xml:space="preserve"> 227-12-SEP-CC del 21 de junio de 2012.</w:t>
      </w:r>
    </w:p>
    <w:p w14:paraId="4F67AE1F" w14:textId="77777777" w:rsidR="00591D54" w:rsidRDefault="00591D54">
      <w:pPr>
        <w:shd w:val="clear" w:color="auto" w:fill="FFFFFF"/>
        <w:spacing w:before="514" w:line="178" w:lineRule="exact"/>
        <w:ind w:left="144" w:hanging="144"/>
        <w:sectPr w:rsidR="00591D54">
          <w:type w:val="continuous"/>
          <w:pgSz w:w="11909" w:h="16834"/>
          <w:pgMar w:top="1356" w:right="1309" w:bottom="360" w:left="1308" w:header="720" w:footer="720" w:gutter="0"/>
          <w:cols w:num="2" w:space="720" w:equalWidth="0">
            <w:col w:w="4305" w:space="682"/>
            <w:col w:w="4305"/>
          </w:cols>
          <w:noEndnote/>
        </w:sectPr>
      </w:pPr>
    </w:p>
    <w:p w14:paraId="4F67AE20" w14:textId="77777777" w:rsidR="00591D54" w:rsidRDefault="00591D54">
      <w:pPr>
        <w:shd w:val="clear" w:color="auto" w:fill="FFFFFF"/>
        <w:tabs>
          <w:tab w:val="left" w:pos="4814"/>
        </w:tabs>
        <w:spacing w:after="235"/>
        <w:ind w:left="14"/>
      </w:pPr>
      <w:r>
        <w:rPr>
          <w:b/>
          <w:bCs/>
          <w:sz w:val="18"/>
          <w:szCs w:val="18"/>
          <w:lang w:val="es-ES_tradnl"/>
        </w:rPr>
        <w:t xml:space="preserve">130 -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E21" w14:textId="77777777" w:rsidR="00591D54" w:rsidRDefault="00591D54">
      <w:pPr>
        <w:shd w:val="clear" w:color="auto" w:fill="FFFFFF"/>
        <w:tabs>
          <w:tab w:val="left" w:pos="4814"/>
        </w:tabs>
        <w:spacing w:after="235"/>
        <w:ind w:left="14"/>
        <w:sectPr w:rsidR="00591D54">
          <w:pgSz w:w="11909" w:h="16834"/>
          <w:pgMar w:top="1356" w:right="1309" w:bottom="360" w:left="1308" w:header="720" w:footer="720" w:gutter="0"/>
          <w:cols w:space="60"/>
          <w:noEndnote/>
        </w:sectPr>
      </w:pPr>
    </w:p>
    <w:p w14:paraId="4F67AE22" w14:textId="77777777" w:rsidR="00591D54" w:rsidRDefault="00591D54">
      <w:pPr>
        <w:shd w:val="clear" w:color="auto" w:fill="FFFFFF"/>
        <w:spacing w:line="216" w:lineRule="exact"/>
        <w:jc w:val="both"/>
      </w:pPr>
      <w:r>
        <w:rPr>
          <w:spacing w:val="-6"/>
          <w:sz w:val="18"/>
          <w:szCs w:val="18"/>
          <w:lang w:val="es-ES_tradnl"/>
        </w:rPr>
        <w:t xml:space="preserve">Corte Provincial de Justicia de Imbabura en la sentencia </w:t>
      </w:r>
      <w:r>
        <w:rPr>
          <w:spacing w:val="-8"/>
          <w:sz w:val="18"/>
          <w:szCs w:val="18"/>
          <w:lang w:val="es-ES_tradnl"/>
        </w:rPr>
        <w:t xml:space="preserve">impugnada, a la luz de las disposiciones constitucionales y </w:t>
      </w:r>
      <w:r>
        <w:rPr>
          <w:sz w:val="18"/>
          <w:szCs w:val="18"/>
          <w:lang w:val="es-ES_tradnl"/>
        </w:rPr>
        <w:t>la jurisprudencia.</w:t>
      </w:r>
    </w:p>
    <w:p w14:paraId="4F67AE23" w14:textId="77777777" w:rsidR="00591D54" w:rsidRDefault="00591D54">
      <w:pPr>
        <w:shd w:val="clear" w:color="auto" w:fill="FFFFFF"/>
        <w:spacing w:before="197" w:line="216" w:lineRule="exact"/>
        <w:jc w:val="both"/>
      </w:pPr>
      <w:r>
        <w:rPr>
          <w:spacing w:val="-6"/>
          <w:sz w:val="18"/>
          <w:szCs w:val="18"/>
          <w:lang w:val="es-ES_tradnl"/>
        </w:rPr>
        <w:t xml:space="preserve">Una sentencia es razonable, en tanto se encuentre en </w:t>
      </w:r>
      <w:r>
        <w:rPr>
          <w:spacing w:val="-7"/>
          <w:sz w:val="18"/>
          <w:szCs w:val="18"/>
          <w:lang w:val="es-ES_tradnl"/>
        </w:rPr>
        <w:t>armon</w:t>
      </w:r>
      <w:r>
        <w:rPr>
          <w:rFonts w:cs="Times New Roman"/>
          <w:spacing w:val="-7"/>
          <w:sz w:val="18"/>
          <w:szCs w:val="18"/>
          <w:lang w:val="es-ES_tradnl"/>
        </w:rPr>
        <w:t>í</w:t>
      </w:r>
      <w:r>
        <w:rPr>
          <w:spacing w:val="-7"/>
          <w:sz w:val="18"/>
          <w:szCs w:val="18"/>
          <w:lang w:val="es-ES_tradnl"/>
        </w:rPr>
        <w:t xml:space="preserve">a con el derecho constitucional vigente y en cuanto </w:t>
      </w:r>
      <w:r>
        <w:rPr>
          <w:spacing w:val="-10"/>
          <w:sz w:val="18"/>
          <w:szCs w:val="18"/>
          <w:lang w:val="es-ES_tradnl"/>
        </w:rPr>
        <w:t xml:space="preserve">sea pertinente para resolver un caso concreto; de modo que, </w:t>
      </w:r>
      <w:r>
        <w:rPr>
          <w:spacing w:val="-8"/>
          <w:sz w:val="18"/>
          <w:szCs w:val="18"/>
          <w:lang w:val="es-ES_tradnl"/>
        </w:rPr>
        <w:t xml:space="preserve">de la simple lectura de la sentencia, se pueda apreciar el </w:t>
      </w:r>
      <w:r>
        <w:rPr>
          <w:spacing w:val="-6"/>
          <w:sz w:val="18"/>
          <w:szCs w:val="18"/>
          <w:lang w:val="es-ES_tradnl"/>
        </w:rPr>
        <w:t>criterio del juzgador y c</w:t>
      </w:r>
      <w:r>
        <w:rPr>
          <w:rFonts w:cs="Times New Roman"/>
          <w:spacing w:val="-6"/>
          <w:sz w:val="18"/>
          <w:szCs w:val="18"/>
          <w:lang w:val="es-ES_tradnl"/>
        </w:rPr>
        <w:t>ó</w:t>
      </w:r>
      <w:r>
        <w:rPr>
          <w:spacing w:val="-6"/>
          <w:sz w:val="18"/>
          <w:szCs w:val="18"/>
          <w:lang w:val="es-ES_tradnl"/>
        </w:rPr>
        <w:t xml:space="preserve">mo el mismo, se fundamenta en </w:t>
      </w:r>
      <w:r>
        <w:rPr>
          <w:spacing w:val="-8"/>
          <w:sz w:val="18"/>
          <w:szCs w:val="18"/>
          <w:lang w:val="es-ES_tradnl"/>
        </w:rPr>
        <w:t>normas e interpretaciones que guardan conformidad con la Constituci</w:t>
      </w:r>
      <w:r>
        <w:rPr>
          <w:rFonts w:cs="Times New Roman"/>
          <w:spacing w:val="-8"/>
          <w:sz w:val="18"/>
          <w:szCs w:val="18"/>
          <w:lang w:val="es-ES_tradnl"/>
        </w:rPr>
        <w:t>ó</w:t>
      </w:r>
      <w:r>
        <w:rPr>
          <w:spacing w:val="-8"/>
          <w:sz w:val="18"/>
          <w:szCs w:val="18"/>
          <w:lang w:val="es-ES_tradnl"/>
        </w:rPr>
        <w:t>n y no en aspectos que colisionen con esta.</w:t>
      </w:r>
    </w:p>
    <w:p w14:paraId="4F67AE24" w14:textId="77777777" w:rsidR="00591D54" w:rsidRDefault="00591D54">
      <w:pPr>
        <w:shd w:val="clear" w:color="auto" w:fill="FFFFFF"/>
        <w:spacing w:before="197" w:line="216" w:lineRule="exact"/>
        <w:ind w:right="5"/>
        <w:jc w:val="both"/>
      </w:pPr>
      <w:r>
        <w:rPr>
          <w:spacing w:val="-6"/>
          <w:sz w:val="18"/>
          <w:szCs w:val="18"/>
          <w:lang w:val="es-ES_tradnl"/>
        </w:rPr>
        <w:t>Previo a analizar si la sentencia impugnada respet</w:t>
      </w:r>
      <w:r>
        <w:rPr>
          <w:rFonts w:cs="Times New Roman"/>
          <w:spacing w:val="-6"/>
          <w:sz w:val="18"/>
          <w:szCs w:val="18"/>
          <w:lang w:val="es-ES_tradnl"/>
        </w:rPr>
        <w:t>ó</w:t>
      </w:r>
      <w:r>
        <w:rPr>
          <w:spacing w:val="-6"/>
          <w:sz w:val="18"/>
          <w:szCs w:val="18"/>
          <w:lang w:val="es-ES_tradnl"/>
        </w:rPr>
        <w:t xml:space="preserve"> y garantiz</w:t>
      </w:r>
      <w:r>
        <w:rPr>
          <w:rFonts w:cs="Times New Roman"/>
          <w:spacing w:val="-6"/>
          <w:sz w:val="18"/>
          <w:szCs w:val="18"/>
          <w:lang w:val="es-ES_tradnl"/>
        </w:rPr>
        <w:t>ó</w:t>
      </w:r>
      <w:r>
        <w:rPr>
          <w:spacing w:val="-6"/>
          <w:sz w:val="18"/>
          <w:szCs w:val="18"/>
          <w:lang w:val="es-ES_tradnl"/>
        </w:rPr>
        <w:t xml:space="preserve"> los principios instituidos en la Constituci</w:t>
      </w:r>
      <w:r>
        <w:rPr>
          <w:rFonts w:cs="Times New Roman"/>
          <w:spacing w:val="-6"/>
          <w:sz w:val="18"/>
          <w:szCs w:val="18"/>
          <w:lang w:val="es-ES_tradnl"/>
        </w:rPr>
        <w:t>ó</w:t>
      </w:r>
      <w:r>
        <w:rPr>
          <w:spacing w:val="-6"/>
          <w:sz w:val="18"/>
          <w:szCs w:val="18"/>
          <w:lang w:val="es-ES_tradnl"/>
        </w:rPr>
        <w:t xml:space="preserve">n, esta </w:t>
      </w:r>
      <w:r>
        <w:rPr>
          <w:spacing w:val="-9"/>
          <w:sz w:val="18"/>
          <w:szCs w:val="18"/>
          <w:lang w:val="es-ES_tradnl"/>
        </w:rPr>
        <w:t xml:space="preserve">Corte, estima necesario hacer algunas precisiones respecto </w:t>
      </w:r>
      <w:r>
        <w:rPr>
          <w:spacing w:val="-7"/>
          <w:sz w:val="18"/>
          <w:szCs w:val="18"/>
          <w:lang w:val="es-ES_tradnl"/>
        </w:rPr>
        <w:t>a la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n, debido a que nos encontramos ante un fallo dictado dentro de esta garant</w:t>
      </w:r>
      <w:r>
        <w:rPr>
          <w:rFonts w:cs="Times New Roman"/>
          <w:spacing w:val="-7"/>
          <w:sz w:val="18"/>
          <w:szCs w:val="18"/>
          <w:lang w:val="es-ES_tradnl"/>
        </w:rPr>
        <w:t>í</w:t>
      </w:r>
      <w:r>
        <w:rPr>
          <w:spacing w:val="-7"/>
          <w:sz w:val="18"/>
          <w:szCs w:val="18"/>
          <w:lang w:val="es-ES_tradnl"/>
        </w:rPr>
        <w:t>a jurisdiccional.</w:t>
      </w:r>
    </w:p>
    <w:p w14:paraId="4F67AE25" w14:textId="77777777" w:rsidR="00591D54" w:rsidRDefault="00591D54">
      <w:pPr>
        <w:shd w:val="clear" w:color="auto" w:fill="FFFFFF"/>
        <w:spacing w:before="192" w:line="216" w:lineRule="exact"/>
        <w:jc w:val="both"/>
      </w:pPr>
      <w:r>
        <w:rPr>
          <w:spacing w:val="-8"/>
          <w:sz w:val="18"/>
          <w:szCs w:val="18"/>
          <w:lang w:val="es-ES_tradnl"/>
        </w:rPr>
        <w:t>La acci</w:t>
      </w:r>
      <w:r>
        <w:rPr>
          <w:rFonts w:cs="Times New Roman"/>
          <w:spacing w:val="-8"/>
          <w:sz w:val="18"/>
          <w:szCs w:val="18"/>
          <w:lang w:val="es-ES_tradnl"/>
        </w:rPr>
        <w:t>ó</w:t>
      </w:r>
      <w:r>
        <w:rPr>
          <w:spacing w:val="-8"/>
          <w:sz w:val="18"/>
          <w:szCs w:val="18"/>
          <w:lang w:val="es-ES_tradnl"/>
        </w:rPr>
        <w:t>n de protecci</w:t>
      </w:r>
      <w:r>
        <w:rPr>
          <w:rFonts w:cs="Times New Roman"/>
          <w:spacing w:val="-8"/>
          <w:sz w:val="18"/>
          <w:szCs w:val="18"/>
          <w:lang w:val="es-ES_tradnl"/>
        </w:rPr>
        <w:t>ó</w:t>
      </w:r>
      <w:r>
        <w:rPr>
          <w:spacing w:val="-8"/>
          <w:sz w:val="18"/>
          <w:szCs w:val="18"/>
          <w:lang w:val="es-ES_tradnl"/>
        </w:rPr>
        <w:t xml:space="preserve">n se encuentra desarrollada en la el </w:t>
      </w:r>
      <w:r>
        <w:rPr>
          <w:sz w:val="18"/>
          <w:szCs w:val="18"/>
          <w:lang w:val="es-ES_tradnl"/>
        </w:rPr>
        <w:t>art</w:t>
      </w:r>
      <w:r>
        <w:rPr>
          <w:rFonts w:cs="Times New Roman"/>
          <w:sz w:val="18"/>
          <w:szCs w:val="18"/>
          <w:lang w:val="es-ES_tradnl"/>
        </w:rPr>
        <w:t>í</w:t>
      </w:r>
      <w:r>
        <w:rPr>
          <w:sz w:val="18"/>
          <w:szCs w:val="18"/>
          <w:lang w:val="es-ES_tradnl"/>
        </w:rPr>
        <w:t>culo 88 de la Constituci</w:t>
      </w:r>
      <w:r>
        <w:rPr>
          <w:rFonts w:cs="Times New Roman"/>
          <w:sz w:val="18"/>
          <w:szCs w:val="18"/>
          <w:lang w:val="es-ES_tradnl"/>
        </w:rPr>
        <w:t>ó</w:t>
      </w:r>
      <w:r>
        <w:rPr>
          <w:sz w:val="18"/>
          <w:szCs w:val="18"/>
          <w:lang w:val="es-ES_tradnl"/>
        </w:rPr>
        <w:t>n que se</w:t>
      </w:r>
      <w:r>
        <w:rPr>
          <w:rFonts w:cs="Times New Roman"/>
          <w:sz w:val="18"/>
          <w:szCs w:val="18"/>
          <w:lang w:val="es-ES_tradnl"/>
        </w:rPr>
        <w:t>ñ</w:t>
      </w:r>
      <w:r>
        <w:rPr>
          <w:sz w:val="18"/>
          <w:szCs w:val="18"/>
          <w:lang w:val="es-ES_tradnl"/>
        </w:rPr>
        <w:t>ala:</w:t>
      </w:r>
    </w:p>
    <w:p w14:paraId="4F67AE26" w14:textId="77777777" w:rsidR="00591D54" w:rsidRDefault="00591D54">
      <w:pPr>
        <w:shd w:val="clear" w:color="auto" w:fill="FFFFFF"/>
        <w:spacing w:before="202" w:line="216" w:lineRule="exact"/>
        <w:ind w:left="283"/>
        <w:jc w:val="both"/>
      </w:pPr>
      <w:r>
        <w:rPr>
          <w:spacing w:val="-4"/>
          <w:sz w:val="16"/>
          <w:szCs w:val="16"/>
          <w:lang w:val="es-ES_tradnl"/>
        </w:rPr>
        <w:t>La acci</w:t>
      </w:r>
      <w:r>
        <w:rPr>
          <w:rFonts w:cs="Times New Roman"/>
          <w:spacing w:val="-4"/>
          <w:sz w:val="16"/>
          <w:szCs w:val="16"/>
          <w:lang w:val="es-ES_tradnl"/>
        </w:rPr>
        <w:t>ó</w:t>
      </w:r>
      <w:r>
        <w:rPr>
          <w:spacing w:val="-4"/>
          <w:sz w:val="16"/>
          <w:szCs w:val="16"/>
          <w:lang w:val="es-ES_tradnl"/>
        </w:rPr>
        <w:t>n de protecci</w:t>
      </w:r>
      <w:r>
        <w:rPr>
          <w:rFonts w:cs="Times New Roman"/>
          <w:spacing w:val="-4"/>
          <w:sz w:val="16"/>
          <w:szCs w:val="16"/>
          <w:lang w:val="es-ES_tradnl"/>
        </w:rPr>
        <w:t>ó</w:t>
      </w:r>
      <w:r>
        <w:rPr>
          <w:spacing w:val="-4"/>
          <w:sz w:val="16"/>
          <w:szCs w:val="16"/>
          <w:lang w:val="es-ES_tradnl"/>
        </w:rPr>
        <w:t>n tendr</w:t>
      </w:r>
      <w:r>
        <w:rPr>
          <w:rFonts w:cs="Times New Roman"/>
          <w:spacing w:val="-4"/>
          <w:sz w:val="16"/>
          <w:szCs w:val="16"/>
          <w:lang w:val="es-ES_tradnl"/>
        </w:rPr>
        <w:t>á</w:t>
      </w:r>
      <w:r>
        <w:rPr>
          <w:spacing w:val="-4"/>
          <w:sz w:val="16"/>
          <w:szCs w:val="16"/>
          <w:lang w:val="es-ES_tradnl"/>
        </w:rPr>
        <w:t xml:space="preserve"> por objeto el amparo directo </w:t>
      </w:r>
      <w:r>
        <w:rPr>
          <w:sz w:val="16"/>
          <w:szCs w:val="16"/>
          <w:lang w:val="es-ES_tradnl"/>
        </w:rPr>
        <w:t>y eficaz de los derechos reconocidos en la Constituci</w:t>
      </w:r>
      <w:r>
        <w:rPr>
          <w:rFonts w:cs="Times New Roman"/>
          <w:sz w:val="16"/>
          <w:szCs w:val="16"/>
          <w:lang w:val="es-ES_tradnl"/>
        </w:rPr>
        <w:t>ó</w:t>
      </w:r>
      <w:r>
        <w:rPr>
          <w:sz w:val="16"/>
          <w:szCs w:val="16"/>
          <w:lang w:val="es-ES_tradnl"/>
        </w:rPr>
        <w:t xml:space="preserve">n </w:t>
      </w:r>
      <w:r>
        <w:rPr>
          <w:spacing w:val="-3"/>
          <w:sz w:val="16"/>
          <w:szCs w:val="16"/>
          <w:lang w:val="es-ES_tradnl"/>
        </w:rPr>
        <w:t>y podr</w:t>
      </w:r>
      <w:r>
        <w:rPr>
          <w:rFonts w:cs="Times New Roman"/>
          <w:spacing w:val="-3"/>
          <w:sz w:val="16"/>
          <w:szCs w:val="16"/>
          <w:lang w:val="es-ES_tradnl"/>
        </w:rPr>
        <w:t>á</w:t>
      </w:r>
      <w:r>
        <w:rPr>
          <w:spacing w:val="-3"/>
          <w:sz w:val="16"/>
          <w:szCs w:val="16"/>
          <w:lang w:val="es-ES_tradnl"/>
        </w:rPr>
        <w:t xml:space="preserve"> interponerse cuando exista una vulneraci</w:t>
      </w:r>
      <w:r>
        <w:rPr>
          <w:rFonts w:cs="Times New Roman"/>
          <w:spacing w:val="-3"/>
          <w:sz w:val="16"/>
          <w:szCs w:val="16"/>
          <w:lang w:val="es-ES_tradnl"/>
        </w:rPr>
        <w:t>ó</w:t>
      </w:r>
      <w:r>
        <w:rPr>
          <w:spacing w:val="-3"/>
          <w:sz w:val="16"/>
          <w:szCs w:val="16"/>
          <w:lang w:val="es-ES_tradnl"/>
        </w:rPr>
        <w:t xml:space="preserve">n de </w:t>
      </w:r>
      <w:r>
        <w:rPr>
          <w:spacing w:val="-7"/>
          <w:sz w:val="16"/>
          <w:szCs w:val="16"/>
          <w:lang w:val="es-ES_tradnl"/>
        </w:rPr>
        <w:t>derechos constitucionales, por actos u omisiones de cualquier autoridad p</w:t>
      </w:r>
      <w:r>
        <w:rPr>
          <w:rFonts w:cs="Times New Roman"/>
          <w:spacing w:val="-7"/>
          <w:sz w:val="16"/>
          <w:szCs w:val="16"/>
          <w:lang w:val="es-ES_tradnl"/>
        </w:rPr>
        <w:t>ú</w:t>
      </w:r>
      <w:r>
        <w:rPr>
          <w:spacing w:val="-7"/>
          <w:sz w:val="16"/>
          <w:szCs w:val="16"/>
          <w:lang w:val="es-ES_tradnl"/>
        </w:rPr>
        <w:t>blica no judicial, contra pol</w:t>
      </w:r>
      <w:r>
        <w:rPr>
          <w:rFonts w:cs="Times New Roman"/>
          <w:spacing w:val="-7"/>
          <w:sz w:val="16"/>
          <w:szCs w:val="16"/>
          <w:lang w:val="es-ES_tradnl"/>
        </w:rPr>
        <w:t>í</w:t>
      </w:r>
      <w:r>
        <w:rPr>
          <w:spacing w:val="-7"/>
          <w:sz w:val="16"/>
          <w:szCs w:val="16"/>
          <w:lang w:val="es-ES_tradnl"/>
        </w:rPr>
        <w:t>ticas p</w:t>
      </w:r>
      <w:r>
        <w:rPr>
          <w:rFonts w:cs="Times New Roman"/>
          <w:spacing w:val="-7"/>
          <w:sz w:val="16"/>
          <w:szCs w:val="16"/>
          <w:lang w:val="es-ES_tradnl"/>
        </w:rPr>
        <w:t>ú</w:t>
      </w:r>
      <w:r>
        <w:rPr>
          <w:spacing w:val="-7"/>
          <w:sz w:val="16"/>
          <w:szCs w:val="16"/>
          <w:lang w:val="es-ES_tradnl"/>
        </w:rPr>
        <w:t xml:space="preserve">blicas, cuando </w:t>
      </w:r>
      <w:r>
        <w:rPr>
          <w:spacing w:val="-6"/>
          <w:sz w:val="16"/>
          <w:szCs w:val="16"/>
          <w:lang w:val="es-ES_tradnl"/>
        </w:rPr>
        <w:t>supongan la privaci</w:t>
      </w:r>
      <w:r>
        <w:rPr>
          <w:rFonts w:cs="Times New Roman"/>
          <w:spacing w:val="-6"/>
          <w:sz w:val="16"/>
          <w:szCs w:val="16"/>
          <w:lang w:val="es-ES_tradnl"/>
        </w:rPr>
        <w:t>ó</w:t>
      </w:r>
      <w:r>
        <w:rPr>
          <w:spacing w:val="-6"/>
          <w:sz w:val="16"/>
          <w:szCs w:val="16"/>
          <w:lang w:val="es-ES_tradnl"/>
        </w:rPr>
        <w:t xml:space="preserve">n del goce o ejercicio de los derechos </w:t>
      </w:r>
      <w:r>
        <w:rPr>
          <w:spacing w:val="-9"/>
          <w:sz w:val="16"/>
          <w:szCs w:val="16"/>
          <w:lang w:val="es-ES_tradnl"/>
        </w:rPr>
        <w:t>constitucionales y cuando, la violaci</w:t>
      </w:r>
      <w:r>
        <w:rPr>
          <w:rFonts w:cs="Times New Roman"/>
          <w:spacing w:val="-9"/>
          <w:sz w:val="16"/>
          <w:szCs w:val="16"/>
          <w:lang w:val="es-ES_tradnl"/>
        </w:rPr>
        <w:t>ó</w:t>
      </w:r>
      <w:r>
        <w:rPr>
          <w:spacing w:val="-9"/>
          <w:sz w:val="16"/>
          <w:szCs w:val="16"/>
          <w:lang w:val="es-ES_tradnl"/>
        </w:rPr>
        <w:t xml:space="preserve">n proceda de una persona </w:t>
      </w:r>
      <w:r>
        <w:rPr>
          <w:spacing w:val="-5"/>
          <w:sz w:val="16"/>
          <w:szCs w:val="16"/>
          <w:lang w:val="es-ES_tradnl"/>
        </w:rPr>
        <w:t>particular, si la violaci</w:t>
      </w:r>
      <w:r>
        <w:rPr>
          <w:rFonts w:cs="Times New Roman"/>
          <w:spacing w:val="-5"/>
          <w:sz w:val="16"/>
          <w:szCs w:val="16"/>
          <w:lang w:val="es-ES_tradnl"/>
        </w:rPr>
        <w:t>ó</w:t>
      </w:r>
      <w:r>
        <w:rPr>
          <w:spacing w:val="-5"/>
          <w:sz w:val="16"/>
          <w:szCs w:val="16"/>
          <w:lang w:val="es-ES_tradnl"/>
        </w:rPr>
        <w:t>n del derecho provoca da</w:t>
      </w:r>
      <w:r>
        <w:rPr>
          <w:rFonts w:cs="Times New Roman"/>
          <w:spacing w:val="-5"/>
          <w:sz w:val="16"/>
          <w:szCs w:val="16"/>
          <w:lang w:val="es-ES_tradnl"/>
        </w:rPr>
        <w:t>ñ</w:t>
      </w:r>
      <w:r>
        <w:rPr>
          <w:spacing w:val="-5"/>
          <w:sz w:val="16"/>
          <w:szCs w:val="16"/>
          <w:lang w:val="es-ES_tradnl"/>
        </w:rPr>
        <w:t xml:space="preserve">o grave; si </w:t>
      </w:r>
      <w:r>
        <w:rPr>
          <w:spacing w:val="-6"/>
          <w:sz w:val="16"/>
          <w:szCs w:val="16"/>
          <w:lang w:val="es-ES_tradnl"/>
        </w:rPr>
        <w:t>presta servicios p</w:t>
      </w:r>
      <w:r>
        <w:rPr>
          <w:rFonts w:cs="Times New Roman"/>
          <w:spacing w:val="-6"/>
          <w:sz w:val="16"/>
          <w:szCs w:val="16"/>
          <w:lang w:val="es-ES_tradnl"/>
        </w:rPr>
        <w:t>ú</w:t>
      </w:r>
      <w:r>
        <w:rPr>
          <w:spacing w:val="-6"/>
          <w:sz w:val="16"/>
          <w:szCs w:val="16"/>
          <w:lang w:val="es-ES_tradnl"/>
        </w:rPr>
        <w:t>blicos impropios; si act</w:t>
      </w:r>
      <w:r>
        <w:rPr>
          <w:rFonts w:cs="Times New Roman"/>
          <w:spacing w:val="-6"/>
          <w:sz w:val="16"/>
          <w:szCs w:val="16"/>
          <w:lang w:val="es-ES_tradnl"/>
        </w:rPr>
        <w:t>ú</w:t>
      </w:r>
      <w:r>
        <w:rPr>
          <w:spacing w:val="-6"/>
          <w:sz w:val="16"/>
          <w:szCs w:val="16"/>
          <w:lang w:val="es-ES_tradnl"/>
        </w:rPr>
        <w:t>a por delegaci</w:t>
      </w:r>
      <w:r>
        <w:rPr>
          <w:rFonts w:cs="Times New Roman"/>
          <w:spacing w:val="-6"/>
          <w:sz w:val="16"/>
          <w:szCs w:val="16"/>
          <w:lang w:val="es-ES_tradnl"/>
        </w:rPr>
        <w:t>ó</w:t>
      </w:r>
      <w:r>
        <w:rPr>
          <w:spacing w:val="-6"/>
          <w:sz w:val="16"/>
          <w:szCs w:val="16"/>
          <w:lang w:val="es-ES_tradnl"/>
        </w:rPr>
        <w:t xml:space="preserve">n o </w:t>
      </w:r>
      <w:r>
        <w:rPr>
          <w:spacing w:val="-9"/>
          <w:sz w:val="16"/>
          <w:szCs w:val="16"/>
          <w:lang w:val="es-ES_tradnl"/>
        </w:rPr>
        <w:t>concesi</w:t>
      </w:r>
      <w:r>
        <w:rPr>
          <w:rFonts w:cs="Times New Roman"/>
          <w:spacing w:val="-9"/>
          <w:sz w:val="16"/>
          <w:szCs w:val="16"/>
          <w:lang w:val="es-ES_tradnl"/>
        </w:rPr>
        <w:t>ó</w:t>
      </w:r>
      <w:r>
        <w:rPr>
          <w:spacing w:val="-9"/>
          <w:sz w:val="16"/>
          <w:szCs w:val="16"/>
          <w:lang w:val="es-ES_tradnl"/>
        </w:rPr>
        <w:t xml:space="preserve">n; o si la persona afectada se encuentra en estado de </w:t>
      </w:r>
      <w:r>
        <w:rPr>
          <w:spacing w:val="-5"/>
          <w:sz w:val="16"/>
          <w:szCs w:val="16"/>
          <w:lang w:val="es-ES_tradnl"/>
        </w:rPr>
        <w:t>subordinaci</w:t>
      </w:r>
      <w:r>
        <w:rPr>
          <w:rFonts w:cs="Times New Roman"/>
          <w:spacing w:val="-5"/>
          <w:sz w:val="16"/>
          <w:szCs w:val="16"/>
          <w:lang w:val="es-ES_tradnl"/>
        </w:rPr>
        <w:t>ó</w:t>
      </w:r>
      <w:r>
        <w:rPr>
          <w:spacing w:val="-5"/>
          <w:sz w:val="16"/>
          <w:szCs w:val="16"/>
          <w:lang w:val="es-ES_tradnl"/>
        </w:rPr>
        <w:t>n, indefensi</w:t>
      </w:r>
      <w:r>
        <w:rPr>
          <w:rFonts w:cs="Times New Roman"/>
          <w:spacing w:val="-5"/>
          <w:sz w:val="16"/>
          <w:szCs w:val="16"/>
          <w:lang w:val="es-ES_tradnl"/>
        </w:rPr>
        <w:t>ó</w:t>
      </w:r>
      <w:r>
        <w:rPr>
          <w:spacing w:val="-5"/>
          <w:sz w:val="16"/>
          <w:szCs w:val="16"/>
          <w:lang w:val="es-ES_tradnl"/>
        </w:rPr>
        <w:t>n o discriminaci</w:t>
      </w:r>
      <w:r>
        <w:rPr>
          <w:rFonts w:cs="Times New Roman"/>
          <w:spacing w:val="-5"/>
          <w:sz w:val="16"/>
          <w:szCs w:val="16"/>
          <w:lang w:val="es-ES_tradnl"/>
        </w:rPr>
        <w:t>ó</w:t>
      </w:r>
      <w:r>
        <w:rPr>
          <w:spacing w:val="-5"/>
          <w:sz w:val="16"/>
          <w:szCs w:val="16"/>
          <w:lang w:val="es-ES_tradnl"/>
        </w:rPr>
        <w:t>n.</w:t>
      </w:r>
    </w:p>
    <w:p w14:paraId="4F67AE27" w14:textId="77777777" w:rsidR="00591D54" w:rsidRDefault="00591D54">
      <w:pPr>
        <w:shd w:val="clear" w:color="auto" w:fill="FFFFFF"/>
        <w:spacing w:before="202" w:line="211" w:lineRule="exact"/>
        <w:ind w:right="5"/>
        <w:jc w:val="both"/>
      </w:pPr>
      <w:r>
        <w:rPr>
          <w:spacing w:val="-6"/>
          <w:sz w:val="18"/>
          <w:szCs w:val="18"/>
          <w:lang w:val="es-ES_tradnl"/>
        </w:rPr>
        <w:t>Con lo cual, queda claro que esta garant</w:t>
      </w:r>
      <w:r>
        <w:rPr>
          <w:rFonts w:cs="Times New Roman"/>
          <w:spacing w:val="-6"/>
          <w:sz w:val="18"/>
          <w:szCs w:val="18"/>
          <w:lang w:val="es-ES_tradnl"/>
        </w:rPr>
        <w:t>í</w:t>
      </w:r>
      <w:r>
        <w:rPr>
          <w:spacing w:val="-6"/>
          <w:sz w:val="18"/>
          <w:szCs w:val="18"/>
          <w:lang w:val="es-ES_tradnl"/>
        </w:rPr>
        <w:t xml:space="preserve">a jurisdiccional </w:t>
      </w:r>
      <w:r>
        <w:rPr>
          <w:spacing w:val="-7"/>
          <w:sz w:val="18"/>
          <w:szCs w:val="18"/>
          <w:lang w:val="es-ES_tradnl"/>
        </w:rPr>
        <w:t xml:space="preserve">tiene como objetivo primordial el de proteger los derechos </w:t>
      </w:r>
      <w:r>
        <w:rPr>
          <w:spacing w:val="-9"/>
          <w:sz w:val="18"/>
          <w:szCs w:val="18"/>
          <w:lang w:val="es-ES_tradnl"/>
        </w:rPr>
        <w:t xml:space="preserve">constitucionales de toda persona, ante abusos de poderes </w:t>
      </w:r>
      <w:r>
        <w:rPr>
          <w:spacing w:val="-6"/>
          <w:sz w:val="18"/>
          <w:szCs w:val="18"/>
          <w:lang w:val="es-ES_tradnl"/>
        </w:rPr>
        <w:t>p</w:t>
      </w:r>
      <w:r>
        <w:rPr>
          <w:rFonts w:cs="Times New Roman"/>
          <w:spacing w:val="-6"/>
          <w:sz w:val="18"/>
          <w:szCs w:val="18"/>
          <w:lang w:val="es-ES_tradnl"/>
        </w:rPr>
        <w:t>ú</w:t>
      </w:r>
      <w:r>
        <w:rPr>
          <w:spacing w:val="-6"/>
          <w:sz w:val="18"/>
          <w:szCs w:val="18"/>
          <w:lang w:val="es-ES_tradnl"/>
        </w:rPr>
        <w:t xml:space="preserve">blicos y privados, cumpliendo, por ende, dos objetivos fundamentales: la tutela de los derechos constitucionales </w:t>
      </w:r>
      <w:r>
        <w:rPr>
          <w:spacing w:val="-8"/>
          <w:sz w:val="18"/>
          <w:szCs w:val="18"/>
          <w:lang w:val="es-ES_tradnl"/>
        </w:rPr>
        <w:t>de las personas, as</w:t>
      </w:r>
      <w:r>
        <w:rPr>
          <w:rFonts w:cs="Times New Roman"/>
          <w:spacing w:val="-8"/>
          <w:sz w:val="18"/>
          <w:szCs w:val="18"/>
          <w:lang w:val="es-ES_tradnl"/>
        </w:rPr>
        <w:t>í</w:t>
      </w:r>
      <w:r>
        <w:rPr>
          <w:spacing w:val="-8"/>
          <w:sz w:val="18"/>
          <w:szCs w:val="18"/>
          <w:lang w:val="es-ES_tradnl"/>
        </w:rPr>
        <w:t xml:space="preserve"> como la declaraci</w:t>
      </w:r>
      <w:r>
        <w:rPr>
          <w:rFonts w:cs="Times New Roman"/>
          <w:spacing w:val="-8"/>
          <w:sz w:val="18"/>
          <w:szCs w:val="18"/>
          <w:lang w:val="es-ES_tradnl"/>
        </w:rPr>
        <w:t>ó</w:t>
      </w:r>
      <w:r>
        <w:rPr>
          <w:spacing w:val="-8"/>
          <w:sz w:val="18"/>
          <w:szCs w:val="18"/>
          <w:lang w:val="es-ES_tradnl"/>
        </w:rPr>
        <w:t>n y la consiguiente reparaci</w:t>
      </w:r>
      <w:r>
        <w:rPr>
          <w:rFonts w:cs="Times New Roman"/>
          <w:spacing w:val="-8"/>
          <w:sz w:val="18"/>
          <w:szCs w:val="18"/>
          <w:lang w:val="es-ES_tradnl"/>
        </w:rPr>
        <w:t>ó</w:t>
      </w:r>
      <w:r>
        <w:rPr>
          <w:spacing w:val="-8"/>
          <w:sz w:val="18"/>
          <w:szCs w:val="18"/>
          <w:lang w:val="es-ES_tradnl"/>
        </w:rPr>
        <w:t>n integral de los da</w:t>
      </w:r>
      <w:r>
        <w:rPr>
          <w:rFonts w:cs="Times New Roman"/>
          <w:spacing w:val="-8"/>
          <w:sz w:val="18"/>
          <w:szCs w:val="18"/>
          <w:lang w:val="es-ES_tradnl"/>
        </w:rPr>
        <w:t>ñ</w:t>
      </w:r>
      <w:r>
        <w:rPr>
          <w:spacing w:val="-8"/>
          <w:sz w:val="18"/>
          <w:szCs w:val="18"/>
          <w:lang w:val="es-ES_tradnl"/>
        </w:rPr>
        <w:t>os causados por su violaci</w:t>
      </w:r>
      <w:r>
        <w:rPr>
          <w:rFonts w:cs="Times New Roman"/>
          <w:spacing w:val="-8"/>
          <w:sz w:val="18"/>
          <w:szCs w:val="18"/>
          <w:lang w:val="es-ES_tradnl"/>
        </w:rPr>
        <w:t>ó</w:t>
      </w:r>
      <w:r>
        <w:rPr>
          <w:spacing w:val="-8"/>
          <w:sz w:val="18"/>
          <w:szCs w:val="18"/>
          <w:lang w:val="es-ES_tradnl"/>
        </w:rPr>
        <w:t xml:space="preserve">n, </w:t>
      </w:r>
      <w:r>
        <w:rPr>
          <w:spacing w:val="-10"/>
          <w:sz w:val="18"/>
          <w:szCs w:val="18"/>
          <w:lang w:val="es-ES_tradnl"/>
        </w:rPr>
        <w:t>pues, de esta manera, se reitera la eficacia y supremac</w:t>
      </w:r>
      <w:r>
        <w:rPr>
          <w:rFonts w:cs="Times New Roman"/>
          <w:spacing w:val="-10"/>
          <w:sz w:val="18"/>
          <w:szCs w:val="18"/>
          <w:lang w:val="es-ES_tradnl"/>
        </w:rPr>
        <w:t>í</w:t>
      </w:r>
      <w:r>
        <w:rPr>
          <w:spacing w:val="-10"/>
          <w:sz w:val="18"/>
          <w:szCs w:val="18"/>
          <w:lang w:val="es-ES_tradnl"/>
        </w:rPr>
        <w:t xml:space="preserve">a de </w:t>
      </w:r>
      <w:r>
        <w:rPr>
          <w:sz w:val="18"/>
          <w:szCs w:val="18"/>
          <w:lang w:val="es-ES_tradnl"/>
        </w:rPr>
        <w:t>los derechos constitucionales</w:t>
      </w:r>
      <w:r>
        <w:rPr>
          <w:sz w:val="18"/>
          <w:szCs w:val="18"/>
          <w:vertAlign w:val="superscript"/>
          <w:lang w:val="es-ES_tradnl"/>
        </w:rPr>
        <w:t>6</w:t>
      </w:r>
      <w:r>
        <w:rPr>
          <w:sz w:val="18"/>
          <w:szCs w:val="18"/>
          <w:lang w:val="es-ES_tradnl"/>
        </w:rPr>
        <w:t>.</w:t>
      </w:r>
    </w:p>
    <w:p w14:paraId="4F67AE28" w14:textId="77777777" w:rsidR="00591D54" w:rsidRDefault="00591D54">
      <w:pPr>
        <w:shd w:val="clear" w:color="auto" w:fill="FFFFFF"/>
        <w:spacing w:before="197" w:line="216" w:lineRule="exact"/>
        <w:ind w:right="5"/>
        <w:jc w:val="both"/>
      </w:pPr>
      <w:r>
        <w:rPr>
          <w:spacing w:val="-4"/>
          <w:sz w:val="18"/>
          <w:szCs w:val="18"/>
          <w:lang w:val="es-ES_tradnl"/>
        </w:rPr>
        <w:t>Tambi</w:t>
      </w:r>
      <w:r>
        <w:rPr>
          <w:rFonts w:cs="Times New Roman"/>
          <w:spacing w:val="-4"/>
          <w:sz w:val="18"/>
          <w:szCs w:val="18"/>
          <w:lang w:val="es-ES_tradnl"/>
        </w:rPr>
        <w:t>é</w:t>
      </w:r>
      <w:r>
        <w:rPr>
          <w:spacing w:val="-4"/>
          <w:sz w:val="18"/>
          <w:szCs w:val="18"/>
          <w:lang w:val="es-ES_tradnl"/>
        </w:rPr>
        <w:t>n se puede colegir que existe una prohibici</w:t>
      </w:r>
      <w:r>
        <w:rPr>
          <w:rFonts w:cs="Times New Roman"/>
          <w:spacing w:val="-4"/>
          <w:sz w:val="18"/>
          <w:szCs w:val="18"/>
          <w:lang w:val="es-ES_tradnl"/>
        </w:rPr>
        <w:t>ó</w:t>
      </w:r>
      <w:r>
        <w:rPr>
          <w:spacing w:val="-4"/>
          <w:sz w:val="18"/>
          <w:szCs w:val="18"/>
          <w:lang w:val="es-ES_tradnl"/>
        </w:rPr>
        <w:t xml:space="preserve">n </w:t>
      </w:r>
      <w:r>
        <w:rPr>
          <w:spacing w:val="-7"/>
          <w:sz w:val="18"/>
          <w:szCs w:val="18"/>
          <w:lang w:val="es-ES_tradnl"/>
        </w:rPr>
        <w:t>expresa por parte del constituyente de presentar la acci</w:t>
      </w:r>
      <w:r>
        <w:rPr>
          <w:rFonts w:cs="Times New Roman"/>
          <w:spacing w:val="-7"/>
          <w:sz w:val="18"/>
          <w:szCs w:val="18"/>
          <w:lang w:val="es-ES_tradnl"/>
        </w:rPr>
        <w:t>ó</w:t>
      </w:r>
      <w:r>
        <w:rPr>
          <w:spacing w:val="-7"/>
          <w:sz w:val="18"/>
          <w:szCs w:val="18"/>
          <w:lang w:val="es-ES_tradnl"/>
        </w:rPr>
        <w:t xml:space="preserve">n </w:t>
      </w:r>
      <w:r>
        <w:rPr>
          <w:spacing w:val="-6"/>
          <w:sz w:val="18"/>
          <w:szCs w:val="18"/>
          <w:lang w:val="es-ES_tradnl"/>
        </w:rPr>
        <w:t>de protecci</w:t>
      </w:r>
      <w:r>
        <w:rPr>
          <w:rFonts w:cs="Times New Roman"/>
          <w:spacing w:val="-6"/>
          <w:sz w:val="18"/>
          <w:szCs w:val="18"/>
          <w:lang w:val="es-ES_tradnl"/>
        </w:rPr>
        <w:t>ó</w:t>
      </w:r>
      <w:r>
        <w:rPr>
          <w:spacing w:val="-6"/>
          <w:sz w:val="18"/>
          <w:szCs w:val="18"/>
          <w:lang w:val="es-ES_tradnl"/>
        </w:rPr>
        <w:t>n en contra de resoluciones judiciales pues, para este fin, se ha dise</w:t>
      </w:r>
      <w:r>
        <w:rPr>
          <w:rFonts w:cs="Times New Roman"/>
          <w:spacing w:val="-6"/>
          <w:sz w:val="18"/>
          <w:szCs w:val="18"/>
          <w:lang w:val="es-ES_tradnl"/>
        </w:rPr>
        <w:t>ñ</w:t>
      </w:r>
      <w:r>
        <w:rPr>
          <w:spacing w:val="-6"/>
          <w:sz w:val="18"/>
          <w:szCs w:val="18"/>
          <w:lang w:val="es-ES_tradnl"/>
        </w:rPr>
        <w:t>ado la acci</w:t>
      </w:r>
      <w:r>
        <w:rPr>
          <w:rFonts w:cs="Times New Roman"/>
          <w:spacing w:val="-6"/>
          <w:sz w:val="18"/>
          <w:szCs w:val="18"/>
          <w:lang w:val="es-ES_tradnl"/>
        </w:rPr>
        <w:t>ó</w:t>
      </w:r>
      <w:r>
        <w:rPr>
          <w:spacing w:val="-6"/>
          <w:sz w:val="18"/>
          <w:szCs w:val="18"/>
          <w:lang w:val="es-ES_tradnl"/>
        </w:rPr>
        <w:t xml:space="preserve">n extraordinaria de </w:t>
      </w:r>
      <w:r>
        <w:rPr>
          <w:spacing w:val="-4"/>
          <w:sz w:val="18"/>
          <w:szCs w:val="18"/>
          <w:lang w:val="es-ES_tradnl"/>
        </w:rPr>
        <w:t>protecci</w:t>
      </w:r>
      <w:r>
        <w:rPr>
          <w:rFonts w:cs="Times New Roman"/>
          <w:spacing w:val="-4"/>
          <w:sz w:val="18"/>
          <w:szCs w:val="18"/>
          <w:lang w:val="es-ES_tradnl"/>
        </w:rPr>
        <w:t>ó</w:t>
      </w:r>
      <w:r>
        <w:rPr>
          <w:spacing w:val="-4"/>
          <w:sz w:val="18"/>
          <w:szCs w:val="18"/>
          <w:lang w:val="es-ES_tradnl"/>
        </w:rPr>
        <w:t>n, garant</w:t>
      </w:r>
      <w:r>
        <w:rPr>
          <w:rFonts w:cs="Times New Roman"/>
          <w:spacing w:val="-4"/>
          <w:sz w:val="18"/>
          <w:szCs w:val="18"/>
          <w:lang w:val="es-ES_tradnl"/>
        </w:rPr>
        <w:t>í</w:t>
      </w:r>
      <w:r>
        <w:rPr>
          <w:spacing w:val="-4"/>
          <w:sz w:val="18"/>
          <w:szCs w:val="18"/>
          <w:lang w:val="es-ES_tradnl"/>
        </w:rPr>
        <w:t xml:space="preserve">a jurisdiccional que precautela que </w:t>
      </w:r>
      <w:r>
        <w:rPr>
          <w:spacing w:val="-10"/>
          <w:sz w:val="18"/>
          <w:szCs w:val="18"/>
          <w:lang w:val="es-ES_tradnl"/>
        </w:rPr>
        <w:t xml:space="preserve">quienes han de juzgar una causa, lo hagan en estricto apego </w:t>
      </w:r>
      <w:r>
        <w:rPr>
          <w:spacing w:val="-7"/>
          <w:sz w:val="18"/>
          <w:szCs w:val="18"/>
          <w:lang w:val="es-ES_tradnl"/>
        </w:rPr>
        <w:t xml:space="preserve">a la norma constitucional, respetando el debido proceso, </w:t>
      </w:r>
      <w:r>
        <w:rPr>
          <w:spacing w:val="-8"/>
          <w:sz w:val="18"/>
          <w:szCs w:val="18"/>
          <w:lang w:val="es-ES_tradnl"/>
        </w:rPr>
        <w:t xml:space="preserve">garantizando la tutela judicial efectiva y en base al principio </w:t>
      </w:r>
      <w:r>
        <w:rPr>
          <w:spacing w:val="-9"/>
          <w:sz w:val="18"/>
          <w:szCs w:val="18"/>
          <w:lang w:val="es-ES_tradnl"/>
        </w:rPr>
        <w:t>de la seguridad jur</w:t>
      </w:r>
      <w:r>
        <w:rPr>
          <w:rFonts w:cs="Times New Roman"/>
          <w:spacing w:val="-9"/>
          <w:sz w:val="18"/>
          <w:szCs w:val="18"/>
          <w:lang w:val="es-ES_tradnl"/>
        </w:rPr>
        <w:t>í</w:t>
      </w:r>
      <w:r>
        <w:rPr>
          <w:spacing w:val="-9"/>
          <w:sz w:val="18"/>
          <w:szCs w:val="18"/>
          <w:lang w:val="es-ES_tradnl"/>
        </w:rPr>
        <w:t xml:space="preserve">dica para de esta forma, garantizar todos </w:t>
      </w:r>
      <w:r>
        <w:rPr>
          <w:sz w:val="18"/>
          <w:szCs w:val="18"/>
          <w:lang w:val="es-ES_tradnl"/>
        </w:rPr>
        <w:t>los derechos constitucionales.</w:t>
      </w:r>
    </w:p>
    <w:p w14:paraId="4F67AE29" w14:textId="77777777" w:rsidR="00591D54" w:rsidRDefault="00591D54">
      <w:pPr>
        <w:shd w:val="clear" w:color="auto" w:fill="FFFFFF"/>
        <w:spacing w:before="197" w:line="216" w:lineRule="exact"/>
        <w:ind w:right="5"/>
        <w:jc w:val="both"/>
      </w:pPr>
      <w:r>
        <w:rPr>
          <w:spacing w:val="-7"/>
          <w:sz w:val="18"/>
          <w:szCs w:val="18"/>
          <w:lang w:val="es-ES_tradnl"/>
        </w:rPr>
        <w:t>En este sentido, cabe se</w:t>
      </w:r>
      <w:r>
        <w:rPr>
          <w:rFonts w:cs="Times New Roman"/>
          <w:spacing w:val="-7"/>
          <w:sz w:val="18"/>
          <w:szCs w:val="18"/>
          <w:lang w:val="es-ES_tradnl"/>
        </w:rPr>
        <w:t>ñ</w:t>
      </w:r>
      <w:r>
        <w:rPr>
          <w:spacing w:val="-7"/>
          <w:sz w:val="18"/>
          <w:szCs w:val="18"/>
          <w:lang w:val="es-ES_tradnl"/>
        </w:rPr>
        <w:t>alar que la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 xml:space="preserve">n </w:t>
      </w:r>
      <w:r>
        <w:rPr>
          <w:spacing w:val="-9"/>
          <w:sz w:val="18"/>
          <w:szCs w:val="18"/>
          <w:lang w:val="es-ES_tradnl"/>
        </w:rPr>
        <w:t>se encuentra desarrollada en la Ley Org</w:t>
      </w:r>
      <w:r>
        <w:rPr>
          <w:rFonts w:cs="Times New Roman"/>
          <w:spacing w:val="-9"/>
          <w:sz w:val="18"/>
          <w:szCs w:val="18"/>
          <w:lang w:val="es-ES_tradnl"/>
        </w:rPr>
        <w:t>á</w:t>
      </w:r>
      <w:r>
        <w:rPr>
          <w:spacing w:val="-9"/>
          <w:sz w:val="18"/>
          <w:szCs w:val="18"/>
          <w:lang w:val="es-ES_tradnl"/>
        </w:rPr>
        <w:t>nica de Garant</w:t>
      </w:r>
      <w:r>
        <w:rPr>
          <w:rFonts w:cs="Times New Roman"/>
          <w:spacing w:val="-9"/>
          <w:sz w:val="18"/>
          <w:szCs w:val="18"/>
          <w:lang w:val="es-ES_tradnl"/>
        </w:rPr>
        <w:t>í</w:t>
      </w:r>
      <w:r>
        <w:rPr>
          <w:spacing w:val="-9"/>
          <w:sz w:val="18"/>
          <w:szCs w:val="18"/>
          <w:lang w:val="es-ES_tradnl"/>
        </w:rPr>
        <w:t xml:space="preserve">as </w:t>
      </w:r>
      <w:r>
        <w:rPr>
          <w:spacing w:val="-6"/>
          <w:sz w:val="18"/>
          <w:szCs w:val="18"/>
          <w:lang w:val="es-ES_tradnl"/>
        </w:rPr>
        <w:t>Jurisdiccionales y Control Constitucional, en armon</w:t>
      </w:r>
      <w:r>
        <w:rPr>
          <w:rFonts w:cs="Times New Roman"/>
          <w:spacing w:val="-6"/>
          <w:sz w:val="18"/>
          <w:szCs w:val="18"/>
          <w:lang w:val="es-ES_tradnl"/>
        </w:rPr>
        <w:t>í</w:t>
      </w:r>
      <w:r>
        <w:rPr>
          <w:spacing w:val="-6"/>
          <w:sz w:val="18"/>
          <w:szCs w:val="18"/>
          <w:lang w:val="es-ES_tradnl"/>
        </w:rPr>
        <w:t xml:space="preserve">a con </w:t>
      </w:r>
      <w:r>
        <w:rPr>
          <w:spacing w:val="-7"/>
          <w:sz w:val="18"/>
          <w:szCs w:val="18"/>
          <w:lang w:val="es-ES_tradnl"/>
        </w:rPr>
        <w:t xml:space="preserve">las disposiciones constitucionales que la rigen y dado que, </w:t>
      </w:r>
      <w:r>
        <w:rPr>
          <w:spacing w:val="-2"/>
          <w:sz w:val="18"/>
          <w:szCs w:val="18"/>
          <w:lang w:val="es-ES_tradnl"/>
        </w:rPr>
        <w:t>en la presente causa, los jueces han decidido inadmitir</w:t>
      </w:r>
    </w:p>
    <w:p w14:paraId="4F67AE2A" w14:textId="77777777" w:rsidR="00591D54" w:rsidRDefault="00591D54">
      <w:pPr>
        <w:shd w:val="clear" w:color="auto" w:fill="FFFFFF"/>
        <w:spacing w:before="514" w:line="178" w:lineRule="exact"/>
        <w:ind w:left="139" w:hanging="139"/>
      </w:pPr>
      <w:r>
        <w:rPr>
          <w:sz w:val="16"/>
          <w:szCs w:val="16"/>
          <w:vertAlign w:val="superscript"/>
          <w:lang w:val="es-ES_tradnl"/>
        </w:rPr>
        <w:t>6</w:t>
      </w:r>
      <w:r>
        <w:rPr>
          <w:sz w:val="16"/>
          <w:szCs w:val="16"/>
          <w:lang w:val="es-ES_tradnl"/>
        </w:rPr>
        <w:t xml:space="preserve">  </w:t>
      </w:r>
      <w:r>
        <w:rPr>
          <w:spacing w:val="-8"/>
          <w:sz w:val="16"/>
          <w:szCs w:val="16"/>
          <w:lang w:val="es-ES_tradnl"/>
        </w:rPr>
        <w:t>Corte Constitucional del Ecuador, Sentencia N.</w:t>
      </w:r>
      <w:r>
        <w:rPr>
          <w:rFonts w:cs="Times New Roman"/>
          <w:spacing w:val="-8"/>
          <w:sz w:val="16"/>
          <w:szCs w:val="16"/>
          <w:lang w:val="es-ES_tradnl"/>
        </w:rPr>
        <w:t>º</w:t>
      </w:r>
      <w:r>
        <w:rPr>
          <w:spacing w:val="-8"/>
          <w:sz w:val="16"/>
          <w:szCs w:val="16"/>
          <w:lang w:val="es-ES_tradnl"/>
        </w:rPr>
        <w:t xml:space="preserve"> 169-14-SEP-CC, </w:t>
      </w:r>
      <w:r>
        <w:rPr>
          <w:sz w:val="16"/>
          <w:szCs w:val="16"/>
          <w:lang w:val="es-ES_tradnl"/>
        </w:rPr>
        <w:t>caso N.</w:t>
      </w:r>
      <w:r>
        <w:rPr>
          <w:rFonts w:cs="Times New Roman"/>
          <w:sz w:val="16"/>
          <w:szCs w:val="16"/>
          <w:lang w:val="es-ES_tradnl"/>
        </w:rPr>
        <w:t>º</w:t>
      </w:r>
      <w:r>
        <w:rPr>
          <w:sz w:val="16"/>
          <w:szCs w:val="16"/>
          <w:lang w:val="es-ES_tradnl"/>
        </w:rPr>
        <w:t xml:space="preserve"> 0400-12-EP.</w:t>
      </w:r>
    </w:p>
    <w:p w14:paraId="4F67AE2B" w14:textId="77777777" w:rsidR="00591D54" w:rsidRDefault="00591D54">
      <w:pPr>
        <w:shd w:val="clear" w:color="auto" w:fill="FFFFFF"/>
        <w:spacing w:line="211" w:lineRule="exact"/>
        <w:jc w:val="both"/>
      </w:pPr>
      <w:r>
        <w:br w:type="column"/>
      </w:r>
      <w:r>
        <w:rPr>
          <w:spacing w:val="-4"/>
          <w:sz w:val="18"/>
          <w:szCs w:val="18"/>
          <w:lang w:val="es-ES_tradnl"/>
        </w:rPr>
        <w:t>la acci</w:t>
      </w:r>
      <w:r>
        <w:rPr>
          <w:rFonts w:cs="Times New Roman"/>
          <w:spacing w:val="-4"/>
          <w:sz w:val="18"/>
          <w:szCs w:val="18"/>
          <w:lang w:val="es-ES_tradnl"/>
        </w:rPr>
        <w:t>ó</w:t>
      </w:r>
      <w:r>
        <w:rPr>
          <w:spacing w:val="-4"/>
          <w:sz w:val="18"/>
          <w:szCs w:val="18"/>
          <w:lang w:val="es-ES_tradnl"/>
        </w:rPr>
        <w:t>n de protecci</w:t>
      </w:r>
      <w:r>
        <w:rPr>
          <w:rFonts w:cs="Times New Roman"/>
          <w:spacing w:val="-4"/>
          <w:sz w:val="18"/>
          <w:szCs w:val="18"/>
          <w:lang w:val="es-ES_tradnl"/>
        </w:rPr>
        <w:t>ó</w:t>
      </w:r>
      <w:r>
        <w:rPr>
          <w:spacing w:val="-4"/>
          <w:sz w:val="18"/>
          <w:szCs w:val="18"/>
          <w:lang w:val="es-ES_tradnl"/>
        </w:rPr>
        <w:t>n, es necesario remitirse a lo ah</w:t>
      </w:r>
      <w:r>
        <w:rPr>
          <w:rFonts w:cs="Times New Roman"/>
          <w:spacing w:val="-4"/>
          <w:sz w:val="18"/>
          <w:szCs w:val="18"/>
          <w:lang w:val="es-ES_tradnl"/>
        </w:rPr>
        <w:t xml:space="preserve">í </w:t>
      </w:r>
      <w:r>
        <w:rPr>
          <w:spacing w:val="-5"/>
          <w:sz w:val="18"/>
          <w:szCs w:val="18"/>
          <w:lang w:val="es-ES_tradnl"/>
        </w:rPr>
        <w:t>dispuesto en referencia a la inadmisi</w:t>
      </w:r>
      <w:r>
        <w:rPr>
          <w:rFonts w:cs="Times New Roman"/>
          <w:spacing w:val="-5"/>
          <w:sz w:val="18"/>
          <w:szCs w:val="18"/>
          <w:lang w:val="es-ES_tradnl"/>
        </w:rPr>
        <w:t>ó</w:t>
      </w:r>
      <w:r>
        <w:rPr>
          <w:spacing w:val="-5"/>
          <w:sz w:val="18"/>
          <w:szCs w:val="18"/>
          <w:lang w:val="es-ES_tradnl"/>
        </w:rPr>
        <w:t xml:space="preserve">n e improcedencia </w:t>
      </w:r>
      <w:r>
        <w:rPr>
          <w:sz w:val="18"/>
          <w:szCs w:val="18"/>
          <w:lang w:val="es-ES_tradnl"/>
        </w:rPr>
        <w:t>de la acci</w:t>
      </w:r>
      <w:r>
        <w:rPr>
          <w:rFonts w:cs="Times New Roman"/>
          <w:sz w:val="18"/>
          <w:szCs w:val="18"/>
          <w:lang w:val="es-ES_tradnl"/>
        </w:rPr>
        <w:t>ó</w:t>
      </w:r>
      <w:r>
        <w:rPr>
          <w:sz w:val="18"/>
          <w:szCs w:val="18"/>
          <w:lang w:val="es-ES_tradnl"/>
        </w:rPr>
        <w:t>n de protecci</w:t>
      </w:r>
      <w:r>
        <w:rPr>
          <w:rFonts w:cs="Times New Roman"/>
          <w:sz w:val="18"/>
          <w:szCs w:val="18"/>
          <w:lang w:val="es-ES_tradnl"/>
        </w:rPr>
        <w:t>ó</w:t>
      </w:r>
      <w:r>
        <w:rPr>
          <w:sz w:val="18"/>
          <w:szCs w:val="18"/>
          <w:lang w:val="es-ES_tradnl"/>
        </w:rPr>
        <w:t>n.</w:t>
      </w:r>
    </w:p>
    <w:p w14:paraId="4F67AE2C" w14:textId="77777777" w:rsidR="00591D54" w:rsidRDefault="00591D54">
      <w:pPr>
        <w:shd w:val="clear" w:color="auto" w:fill="FFFFFF"/>
        <w:spacing w:before="192" w:line="211" w:lineRule="exact"/>
        <w:jc w:val="both"/>
      </w:pPr>
      <w:r>
        <w:rPr>
          <w:spacing w:val="-5"/>
          <w:sz w:val="18"/>
          <w:szCs w:val="18"/>
          <w:lang w:val="es-ES_tradnl"/>
        </w:rPr>
        <w:t>La Ley Org</w:t>
      </w:r>
      <w:r>
        <w:rPr>
          <w:rFonts w:cs="Times New Roman"/>
          <w:spacing w:val="-5"/>
          <w:sz w:val="18"/>
          <w:szCs w:val="18"/>
          <w:lang w:val="es-ES_tradnl"/>
        </w:rPr>
        <w:t>á</w:t>
      </w:r>
      <w:r>
        <w:rPr>
          <w:spacing w:val="-5"/>
          <w:sz w:val="18"/>
          <w:szCs w:val="18"/>
          <w:lang w:val="es-ES_tradnl"/>
        </w:rPr>
        <w:t>nica de Garant</w:t>
      </w:r>
      <w:r>
        <w:rPr>
          <w:rFonts w:cs="Times New Roman"/>
          <w:spacing w:val="-5"/>
          <w:sz w:val="18"/>
          <w:szCs w:val="18"/>
          <w:lang w:val="es-ES_tradnl"/>
        </w:rPr>
        <w:t>í</w:t>
      </w:r>
      <w:r>
        <w:rPr>
          <w:spacing w:val="-5"/>
          <w:sz w:val="18"/>
          <w:szCs w:val="18"/>
          <w:lang w:val="es-ES_tradnl"/>
        </w:rPr>
        <w:t xml:space="preserve">as Jurisdiccionales y Control Constitucional desarrolla los preceptos constitucionales </w:t>
      </w:r>
      <w:r>
        <w:rPr>
          <w:sz w:val="18"/>
          <w:szCs w:val="18"/>
          <w:lang w:val="es-ES_tradnl"/>
        </w:rPr>
        <w:t>alusivos a la acci</w:t>
      </w:r>
      <w:r>
        <w:rPr>
          <w:rFonts w:cs="Times New Roman"/>
          <w:sz w:val="18"/>
          <w:szCs w:val="18"/>
          <w:lang w:val="es-ES_tradnl"/>
        </w:rPr>
        <w:t>ó</w:t>
      </w:r>
      <w:r>
        <w:rPr>
          <w:sz w:val="18"/>
          <w:szCs w:val="18"/>
          <w:lang w:val="es-ES_tradnl"/>
        </w:rPr>
        <w:t>n de protecci</w:t>
      </w:r>
      <w:r>
        <w:rPr>
          <w:rFonts w:cs="Times New Roman"/>
          <w:sz w:val="18"/>
          <w:szCs w:val="18"/>
          <w:lang w:val="es-ES_tradnl"/>
        </w:rPr>
        <w:t>ó</w:t>
      </w:r>
      <w:r>
        <w:rPr>
          <w:sz w:val="18"/>
          <w:szCs w:val="18"/>
          <w:lang w:val="es-ES_tradnl"/>
        </w:rPr>
        <w:t>n, en armon</w:t>
      </w:r>
      <w:r>
        <w:rPr>
          <w:rFonts w:cs="Times New Roman"/>
          <w:sz w:val="18"/>
          <w:szCs w:val="18"/>
          <w:lang w:val="es-ES_tradnl"/>
        </w:rPr>
        <w:t>í</w:t>
      </w:r>
      <w:r>
        <w:rPr>
          <w:sz w:val="18"/>
          <w:szCs w:val="18"/>
          <w:lang w:val="es-ES_tradnl"/>
        </w:rPr>
        <w:t xml:space="preserve">a con </w:t>
      </w:r>
      <w:r>
        <w:rPr>
          <w:spacing w:val="-3"/>
          <w:sz w:val="18"/>
          <w:szCs w:val="18"/>
          <w:lang w:val="es-ES_tradnl"/>
        </w:rPr>
        <w:t>lo establecido en la Constituci</w:t>
      </w:r>
      <w:r>
        <w:rPr>
          <w:rFonts w:cs="Times New Roman"/>
          <w:spacing w:val="-3"/>
          <w:sz w:val="18"/>
          <w:szCs w:val="18"/>
          <w:lang w:val="es-ES_tradnl"/>
        </w:rPr>
        <w:t>ó</w:t>
      </w:r>
      <w:r>
        <w:rPr>
          <w:spacing w:val="-3"/>
          <w:sz w:val="18"/>
          <w:szCs w:val="18"/>
          <w:lang w:val="es-ES_tradnl"/>
        </w:rPr>
        <w:t xml:space="preserve">n, fortaleciendo el </w:t>
      </w:r>
      <w:r>
        <w:rPr>
          <w:spacing w:val="-7"/>
          <w:sz w:val="18"/>
          <w:szCs w:val="18"/>
          <w:lang w:val="es-ES_tradnl"/>
        </w:rPr>
        <w:t>procedimiento informal, expedito y eficaz de las garant</w:t>
      </w:r>
      <w:r>
        <w:rPr>
          <w:rFonts w:cs="Times New Roman"/>
          <w:spacing w:val="-7"/>
          <w:sz w:val="18"/>
          <w:szCs w:val="18"/>
          <w:lang w:val="es-ES_tradnl"/>
        </w:rPr>
        <w:t>í</w:t>
      </w:r>
      <w:r>
        <w:rPr>
          <w:spacing w:val="-7"/>
          <w:sz w:val="18"/>
          <w:szCs w:val="18"/>
          <w:lang w:val="es-ES_tradnl"/>
        </w:rPr>
        <w:t xml:space="preserve">as </w:t>
      </w:r>
      <w:r>
        <w:rPr>
          <w:sz w:val="18"/>
          <w:szCs w:val="18"/>
          <w:lang w:val="es-ES_tradnl"/>
        </w:rPr>
        <w:t>jurisdiccionales.</w:t>
      </w:r>
    </w:p>
    <w:p w14:paraId="4F67AE2D" w14:textId="77777777" w:rsidR="00591D54" w:rsidRDefault="00591D54">
      <w:pPr>
        <w:shd w:val="clear" w:color="auto" w:fill="FFFFFF"/>
        <w:spacing w:before="192" w:line="211" w:lineRule="exact"/>
        <w:jc w:val="both"/>
      </w:pPr>
      <w:r>
        <w:rPr>
          <w:sz w:val="18"/>
          <w:szCs w:val="18"/>
          <w:lang w:val="es-ES_tradnl"/>
        </w:rPr>
        <w:t>As</w:t>
      </w:r>
      <w:r>
        <w:rPr>
          <w:rFonts w:cs="Times New Roman"/>
          <w:sz w:val="18"/>
          <w:szCs w:val="18"/>
          <w:lang w:val="es-ES_tradnl"/>
        </w:rPr>
        <w:t>í</w:t>
      </w:r>
      <w:r>
        <w:rPr>
          <w:sz w:val="18"/>
          <w:szCs w:val="18"/>
          <w:lang w:val="es-ES_tradnl"/>
        </w:rPr>
        <w:t>, en el T</w:t>
      </w:r>
      <w:r>
        <w:rPr>
          <w:rFonts w:cs="Times New Roman"/>
          <w:sz w:val="18"/>
          <w:szCs w:val="18"/>
          <w:lang w:val="es-ES_tradnl"/>
        </w:rPr>
        <w:t>í</w:t>
      </w:r>
      <w:r>
        <w:rPr>
          <w:sz w:val="18"/>
          <w:szCs w:val="18"/>
          <w:lang w:val="es-ES_tradnl"/>
        </w:rPr>
        <w:t>tulo II, Cap</w:t>
      </w:r>
      <w:r>
        <w:rPr>
          <w:rFonts w:cs="Times New Roman"/>
          <w:sz w:val="18"/>
          <w:szCs w:val="18"/>
          <w:lang w:val="es-ES_tradnl"/>
        </w:rPr>
        <w:t>í</w:t>
      </w:r>
      <w:r>
        <w:rPr>
          <w:sz w:val="18"/>
          <w:szCs w:val="18"/>
          <w:lang w:val="es-ES_tradnl"/>
        </w:rPr>
        <w:t xml:space="preserve">tulo Primero, relativo a las </w:t>
      </w:r>
      <w:r>
        <w:rPr>
          <w:spacing w:val="-6"/>
          <w:sz w:val="18"/>
          <w:szCs w:val="18"/>
          <w:lang w:val="es-ES_tradnl"/>
        </w:rPr>
        <w:t>normas comunes de las garant</w:t>
      </w:r>
      <w:r>
        <w:rPr>
          <w:rFonts w:cs="Times New Roman"/>
          <w:spacing w:val="-6"/>
          <w:sz w:val="18"/>
          <w:szCs w:val="18"/>
          <w:lang w:val="es-ES_tradnl"/>
        </w:rPr>
        <w:t>í</w:t>
      </w:r>
      <w:r>
        <w:rPr>
          <w:spacing w:val="-6"/>
          <w:sz w:val="18"/>
          <w:szCs w:val="18"/>
          <w:lang w:val="es-ES_tradnl"/>
        </w:rPr>
        <w:t xml:space="preserve">as jurisdiccionales de los </w:t>
      </w:r>
      <w:r>
        <w:rPr>
          <w:spacing w:val="-8"/>
          <w:sz w:val="18"/>
          <w:szCs w:val="18"/>
          <w:lang w:val="es-ES_tradnl"/>
        </w:rPr>
        <w:t>derechos constitucionales, se establece en el art</w:t>
      </w:r>
      <w:r>
        <w:rPr>
          <w:rFonts w:cs="Times New Roman"/>
          <w:spacing w:val="-8"/>
          <w:sz w:val="18"/>
          <w:szCs w:val="18"/>
          <w:lang w:val="es-ES_tradnl"/>
        </w:rPr>
        <w:t>í</w:t>
      </w:r>
      <w:r>
        <w:rPr>
          <w:spacing w:val="-8"/>
          <w:sz w:val="18"/>
          <w:szCs w:val="18"/>
          <w:lang w:val="es-ES_tradnl"/>
        </w:rPr>
        <w:t xml:space="preserve">culo 10 el </w:t>
      </w:r>
      <w:r>
        <w:rPr>
          <w:sz w:val="18"/>
          <w:szCs w:val="18"/>
          <w:lang w:val="es-ES_tradnl"/>
        </w:rPr>
        <w:t>contenido de la demanda:</w:t>
      </w:r>
    </w:p>
    <w:p w14:paraId="4F67AE2E" w14:textId="77777777" w:rsidR="00591D54" w:rsidRDefault="00591D54">
      <w:pPr>
        <w:shd w:val="clear" w:color="auto" w:fill="FFFFFF"/>
        <w:spacing w:before="197" w:line="216" w:lineRule="exact"/>
        <w:ind w:left="283"/>
      </w:pPr>
      <w:r>
        <w:rPr>
          <w:spacing w:val="-7"/>
          <w:sz w:val="16"/>
          <w:szCs w:val="16"/>
          <w:lang w:val="es-ES_tradnl"/>
        </w:rPr>
        <w:t>Art. 10.- Contenido de la demanda de garant</w:t>
      </w:r>
      <w:r>
        <w:rPr>
          <w:rFonts w:cs="Times New Roman"/>
          <w:spacing w:val="-7"/>
          <w:sz w:val="16"/>
          <w:szCs w:val="16"/>
          <w:lang w:val="es-ES_tradnl"/>
        </w:rPr>
        <w:t>í</w:t>
      </w:r>
      <w:r>
        <w:rPr>
          <w:spacing w:val="-7"/>
          <w:sz w:val="16"/>
          <w:szCs w:val="16"/>
          <w:lang w:val="es-ES_tradnl"/>
        </w:rPr>
        <w:t xml:space="preserve">a.- La demanda, </w:t>
      </w:r>
      <w:r>
        <w:rPr>
          <w:sz w:val="16"/>
          <w:szCs w:val="16"/>
          <w:lang w:val="es-ES_tradnl"/>
        </w:rPr>
        <w:t>al menos, contendr</w:t>
      </w:r>
      <w:r>
        <w:rPr>
          <w:rFonts w:cs="Times New Roman"/>
          <w:sz w:val="16"/>
          <w:szCs w:val="16"/>
          <w:lang w:val="es-ES_tradnl"/>
        </w:rPr>
        <w:t>á</w:t>
      </w:r>
      <w:r>
        <w:rPr>
          <w:sz w:val="16"/>
          <w:szCs w:val="16"/>
          <w:lang w:val="es-ES_tradnl"/>
        </w:rPr>
        <w:t>:</w:t>
      </w:r>
    </w:p>
    <w:p w14:paraId="4F67AE2F" w14:textId="77777777" w:rsidR="00591D54" w:rsidRDefault="00591D54" w:rsidP="00251195">
      <w:pPr>
        <w:numPr>
          <w:ilvl w:val="0"/>
          <w:numId w:val="66"/>
        </w:numPr>
        <w:shd w:val="clear" w:color="auto" w:fill="FFFFFF"/>
        <w:tabs>
          <w:tab w:val="left" w:pos="566"/>
        </w:tabs>
        <w:spacing w:before="206" w:line="211" w:lineRule="exact"/>
        <w:ind w:left="566" w:hanging="283"/>
        <w:jc w:val="both"/>
        <w:rPr>
          <w:spacing w:val="-8"/>
          <w:sz w:val="16"/>
          <w:szCs w:val="16"/>
          <w:lang w:val="es-ES_tradnl"/>
        </w:rPr>
      </w:pPr>
      <w:r>
        <w:rPr>
          <w:spacing w:val="-5"/>
          <w:sz w:val="16"/>
          <w:szCs w:val="16"/>
          <w:lang w:val="es-ES_tradnl"/>
        </w:rPr>
        <w:t>Los</w:t>
      </w:r>
      <w:r>
        <w:rPr>
          <w:spacing w:val="-5"/>
          <w:sz w:val="18"/>
          <w:szCs w:val="18"/>
          <w:lang w:val="es-ES_tradnl"/>
        </w:rPr>
        <w:t xml:space="preserve"> </w:t>
      </w:r>
      <w:r>
        <w:rPr>
          <w:spacing w:val="-5"/>
          <w:sz w:val="16"/>
          <w:szCs w:val="16"/>
          <w:lang w:val="es-ES_tradnl"/>
        </w:rPr>
        <w:t>nombres</w:t>
      </w:r>
      <w:r>
        <w:rPr>
          <w:spacing w:val="-5"/>
          <w:sz w:val="18"/>
          <w:szCs w:val="18"/>
          <w:lang w:val="es-ES_tradnl"/>
        </w:rPr>
        <w:t xml:space="preserve"> </w:t>
      </w:r>
      <w:r>
        <w:rPr>
          <w:spacing w:val="-5"/>
          <w:sz w:val="16"/>
          <w:szCs w:val="16"/>
          <w:lang w:val="es-ES_tradnl"/>
        </w:rPr>
        <w:t>y</w:t>
      </w:r>
      <w:r>
        <w:rPr>
          <w:spacing w:val="-5"/>
          <w:sz w:val="18"/>
          <w:szCs w:val="18"/>
          <w:lang w:val="es-ES_tradnl"/>
        </w:rPr>
        <w:t xml:space="preserve"> </w:t>
      </w:r>
      <w:r>
        <w:rPr>
          <w:spacing w:val="-5"/>
          <w:sz w:val="16"/>
          <w:szCs w:val="16"/>
          <w:lang w:val="es-ES_tradnl"/>
        </w:rPr>
        <w:t>apellidos</w:t>
      </w:r>
      <w:r>
        <w:rPr>
          <w:spacing w:val="-5"/>
          <w:sz w:val="18"/>
          <w:szCs w:val="18"/>
          <w:lang w:val="es-ES_tradnl"/>
        </w:rPr>
        <w:t xml:space="preserve"> </w:t>
      </w:r>
      <w:r>
        <w:rPr>
          <w:spacing w:val="-5"/>
          <w:sz w:val="16"/>
          <w:szCs w:val="16"/>
          <w:lang w:val="es-ES_tradnl"/>
        </w:rPr>
        <w:t>de</w:t>
      </w:r>
      <w:r>
        <w:rPr>
          <w:spacing w:val="-5"/>
          <w:sz w:val="18"/>
          <w:szCs w:val="18"/>
          <w:lang w:val="es-ES_tradnl"/>
        </w:rPr>
        <w:t xml:space="preserve"> </w:t>
      </w:r>
      <w:r>
        <w:rPr>
          <w:spacing w:val="-5"/>
          <w:sz w:val="16"/>
          <w:szCs w:val="16"/>
          <w:lang w:val="es-ES_tradnl"/>
        </w:rPr>
        <w:t>la</w:t>
      </w:r>
      <w:r>
        <w:rPr>
          <w:spacing w:val="-5"/>
          <w:sz w:val="18"/>
          <w:szCs w:val="18"/>
          <w:lang w:val="es-ES_tradnl"/>
        </w:rPr>
        <w:t xml:space="preserve"> </w:t>
      </w:r>
      <w:r>
        <w:rPr>
          <w:spacing w:val="-5"/>
          <w:sz w:val="16"/>
          <w:szCs w:val="16"/>
          <w:lang w:val="es-ES_tradnl"/>
        </w:rPr>
        <w:t>persona</w:t>
      </w:r>
      <w:r>
        <w:rPr>
          <w:spacing w:val="-5"/>
          <w:sz w:val="18"/>
          <w:szCs w:val="18"/>
          <w:lang w:val="es-ES_tradnl"/>
        </w:rPr>
        <w:t xml:space="preserve"> </w:t>
      </w:r>
      <w:r>
        <w:rPr>
          <w:spacing w:val="-5"/>
          <w:sz w:val="16"/>
          <w:szCs w:val="16"/>
          <w:lang w:val="es-ES_tradnl"/>
        </w:rPr>
        <w:t>o</w:t>
      </w:r>
      <w:r>
        <w:rPr>
          <w:spacing w:val="-5"/>
          <w:sz w:val="18"/>
          <w:szCs w:val="18"/>
          <w:lang w:val="es-ES_tradnl"/>
        </w:rPr>
        <w:t xml:space="preserve"> </w:t>
      </w:r>
      <w:r>
        <w:rPr>
          <w:spacing w:val="-5"/>
          <w:sz w:val="16"/>
          <w:szCs w:val="16"/>
          <w:lang w:val="es-ES_tradnl"/>
        </w:rPr>
        <w:t xml:space="preserve">personas </w:t>
      </w:r>
      <w:r>
        <w:rPr>
          <w:spacing w:val="-2"/>
          <w:sz w:val="16"/>
          <w:szCs w:val="16"/>
          <w:lang w:val="es-ES_tradnl"/>
        </w:rPr>
        <w:t xml:space="preserve">accionantes y, si no fuere la misma persona, de la </w:t>
      </w:r>
      <w:r>
        <w:rPr>
          <w:sz w:val="16"/>
          <w:szCs w:val="16"/>
          <w:lang w:val="es-ES_tradnl"/>
        </w:rPr>
        <w:t>afectada.</w:t>
      </w:r>
    </w:p>
    <w:p w14:paraId="4F67AE30" w14:textId="77777777" w:rsidR="00591D54" w:rsidRDefault="00591D54" w:rsidP="00251195">
      <w:pPr>
        <w:numPr>
          <w:ilvl w:val="0"/>
          <w:numId w:val="66"/>
        </w:numPr>
        <w:shd w:val="clear" w:color="auto" w:fill="FFFFFF"/>
        <w:tabs>
          <w:tab w:val="left" w:pos="566"/>
        </w:tabs>
        <w:spacing w:line="211" w:lineRule="exact"/>
        <w:ind w:left="566" w:hanging="283"/>
        <w:jc w:val="both"/>
        <w:rPr>
          <w:spacing w:val="-8"/>
          <w:sz w:val="16"/>
          <w:szCs w:val="16"/>
          <w:lang w:val="es-ES_tradnl"/>
        </w:rPr>
      </w:pPr>
      <w:r>
        <w:rPr>
          <w:spacing w:val="-5"/>
          <w:sz w:val="16"/>
          <w:szCs w:val="16"/>
          <w:lang w:val="es-ES_tradnl"/>
        </w:rPr>
        <w:t>Los</w:t>
      </w:r>
      <w:r>
        <w:rPr>
          <w:spacing w:val="-5"/>
          <w:sz w:val="18"/>
          <w:szCs w:val="18"/>
          <w:lang w:val="es-ES_tradnl"/>
        </w:rPr>
        <w:t xml:space="preserve"> </w:t>
      </w:r>
      <w:r>
        <w:rPr>
          <w:spacing w:val="-5"/>
          <w:sz w:val="16"/>
          <w:szCs w:val="16"/>
          <w:lang w:val="es-ES_tradnl"/>
        </w:rPr>
        <w:t>datos</w:t>
      </w:r>
      <w:r>
        <w:rPr>
          <w:spacing w:val="-5"/>
          <w:sz w:val="18"/>
          <w:szCs w:val="18"/>
          <w:lang w:val="es-ES_tradnl"/>
        </w:rPr>
        <w:t xml:space="preserve"> </w:t>
      </w:r>
      <w:r>
        <w:rPr>
          <w:spacing w:val="-5"/>
          <w:sz w:val="16"/>
          <w:szCs w:val="16"/>
          <w:lang w:val="es-ES_tradnl"/>
        </w:rPr>
        <w:t>necesarios</w:t>
      </w:r>
      <w:r>
        <w:rPr>
          <w:spacing w:val="-5"/>
          <w:sz w:val="18"/>
          <w:szCs w:val="18"/>
          <w:lang w:val="es-ES_tradnl"/>
        </w:rPr>
        <w:t xml:space="preserve"> </w:t>
      </w:r>
      <w:r>
        <w:rPr>
          <w:spacing w:val="-5"/>
          <w:sz w:val="16"/>
          <w:szCs w:val="16"/>
          <w:lang w:val="es-ES_tradnl"/>
        </w:rPr>
        <w:t>para</w:t>
      </w:r>
      <w:r>
        <w:rPr>
          <w:spacing w:val="-5"/>
          <w:sz w:val="18"/>
          <w:szCs w:val="18"/>
          <w:lang w:val="es-ES_tradnl"/>
        </w:rPr>
        <w:t xml:space="preserve"> </w:t>
      </w:r>
      <w:r>
        <w:rPr>
          <w:spacing w:val="-5"/>
          <w:sz w:val="16"/>
          <w:szCs w:val="16"/>
          <w:lang w:val="es-ES_tradnl"/>
        </w:rPr>
        <w:t>conocer</w:t>
      </w:r>
      <w:r>
        <w:rPr>
          <w:spacing w:val="-5"/>
          <w:sz w:val="18"/>
          <w:szCs w:val="18"/>
          <w:lang w:val="es-ES_tradnl"/>
        </w:rPr>
        <w:t xml:space="preserve"> </w:t>
      </w:r>
      <w:r>
        <w:rPr>
          <w:spacing w:val="-5"/>
          <w:sz w:val="16"/>
          <w:szCs w:val="16"/>
          <w:lang w:val="es-ES_tradnl"/>
        </w:rPr>
        <w:t>la</w:t>
      </w:r>
      <w:r>
        <w:rPr>
          <w:spacing w:val="-5"/>
          <w:sz w:val="18"/>
          <w:szCs w:val="18"/>
          <w:lang w:val="es-ES_tradnl"/>
        </w:rPr>
        <w:t xml:space="preserve"> </w:t>
      </w:r>
      <w:r>
        <w:rPr>
          <w:spacing w:val="-5"/>
          <w:sz w:val="16"/>
          <w:szCs w:val="16"/>
          <w:lang w:val="es-ES_tradnl"/>
        </w:rPr>
        <w:t>identidad</w:t>
      </w:r>
      <w:r>
        <w:rPr>
          <w:spacing w:val="-5"/>
          <w:sz w:val="18"/>
          <w:szCs w:val="18"/>
          <w:lang w:val="es-ES_tradnl"/>
        </w:rPr>
        <w:t xml:space="preserve"> </w:t>
      </w:r>
      <w:r>
        <w:rPr>
          <w:spacing w:val="-5"/>
          <w:sz w:val="16"/>
          <w:szCs w:val="16"/>
          <w:lang w:val="es-ES_tradnl"/>
        </w:rPr>
        <w:t>de</w:t>
      </w:r>
      <w:r>
        <w:rPr>
          <w:spacing w:val="-5"/>
          <w:sz w:val="18"/>
          <w:szCs w:val="18"/>
          <w:lang w:val="es-ES_tradnl"/>
        </w:rPr>
        <w:t xml:space="preserve"> </w:t>
      </w:r>
      <w:r>
        <w:rPr>
          <w:spacing w:val="-5"/>
          <w:sz w:val="16"/>
          <w:szCs w:val="16"/>
          <w:lang w:val="es-ES_tradnl"/>
        </w:rPr>
        <w:t xml:space="preserve">la </w:t>
      </w:r>
      <w:r>
        <w:rPr>
          <w:sz w:val="16"/>
          <w:szCs w:val="16"/>
          <w:lang w:val="es-ES_tradnl"/>
        </w:rPr>
        <w:t xml:space="preserve">persona, entidad u </w:t>
      </w:r>
      <w:r>
        <w:rPr>
          <w:rFonts w:cs="Times New Roman"/>
          <w:sz w:val="16"/>
          <w:szCs w:val="16"/>
          <w:lang w:val="es-ES_tradnl"/>
        </w:rPr>
        <w:t>ó</w:t>
      </w:r>
      <w:r>
        <w:rPr>
          <w:sz w:val="16"/>
          <w:szCs w:val="16"/>
          <w:lang w:val="es-ES_tradnl"/>
        </w:rPr>
        <w:t>rgano accionado.</w:t>
      </w:r>
    </w:p>
    <w:p w14:paraId="4F67AE31" w14:textId="77777777" w:rsidR="00591D54" w:rsidRDefault="00591D54" w:rsidP="00251195">
      <w:pPr>
        <w:numPr>
          <w:ilvl w:val="0"/>
          <w:numId w:val="66"/>
        </w:numPr>
        <w:shd w:val="clear" w:color="auto" w:fill="FFFFFF"/>
        <w:tabs>
          <w:tab w:val="left" w:pos="566"/>
        </w:tabs>
        <w:spacing w:line="211" w:lineRule="exact"/>
        <w:ind w:left="566" w:hanging="283"/>
        <w:jc w:val="both"/>
        <w:rPr>
          <w:spacing w:val="-8"/>
          <w:sz w:val="16"/>
          <w:szCs w:val="16"/>
          <w:lang w:val="es-ES_tradnl"/>
        </w:rPr>
      </w:pPr>
      <w:r>
        <w:rPr>
          <w:spacing w:val="-4"/>
          <w:sz w:val="16"/>
          <w:szCs w:val="16"/>
          <w:lang w:val="es-ES_tradnl"/>
        </w:rPr>
        <w:t>La</w:t>
      </w:r>
      <w:r>
        <w:rPr>
          <w:spacing w:val="-4"/>
          <w:sz w:val="18"/>
          <w:szCs w:val="18"/>
          <w:lang w:val="es-ES_tradnl"/>
        </w:rPr>
        <w:t xml:space="preserve"> </w:t>
      </w:r>
      <w:r>
        <w:rPr>
          <w:spacing w:val="-4"/>
          <w:sz w:val="16"/>
          <w:szCs w:val="16"/>
          <w:lang w:val="es-ES_tradnl"/>
        </w:rPr>
        <w:t>descripci</w:t>
      </w:r>
      <w:r>
        <w:rPr>
          <w:rFonts w:cs="Times New Roman"/>
          <w:spacing w:val="-4"/>
          <w:sz w:val="16"/>
          <w:szCs w:val="16"/>
          <w:lang w:val="es-ES_tradnl"/>
        </w:rPr>
        <w:t>ó</w:t>
      </w:r>
      <w:r>
        <w:rPr>
          <w:spacing w:val="-4"/>
          <w:sz w:val="16"/>
          <w:szCs w:val="16"/>
          <w:lang w:val="es-ES_tradnl"/>
        </w:rPr>
        <w:t>n</w:t>
      </w:r>
      <w:r>
        <w:rPr>
          <w:spacing w:val="-4"/>
          <w:sz w:val="18"/>
          <w:szCs w:val="18"/>
          <w:lang w:val="es-ES_tradnl"/>
        </w:rPr>
        <w:t xml:space="preserve"> </w:t>
      </w:r>
      <w:r>
        <w:rPr>
          <w:spacing w:val="-4"/>
          <w:sz w:val="16"/>
          <w:szCs w:val="16"/>
          <w:lang w:val="es-ES_tradnl"/>
        </w:rPr>
        <w:t>del</w:t>
      </w:r>
      <w:r>
        <w:rPr>
          <w:spacing w:val="-4"/>
          <w:sz w:val="18"/>
          <w:szCs w:val="18"/>
          <w:lang w:val="es-ES_tradnl"/>
        </w:rPr>
        <w:t xml:space="preserve"> </w:t>
      </w:r>
      <w:r>
        <w:rPr>
          <w:spacing w:val="-4"/>
          <w:sz w:val="16"/>
          <w:szCs w:val="16"/>
          <w:lang w:val="es-ES_tradnl"/>
        </w:rPr>
        <w:t>acto</w:t>
      </w:r>
      <w:r>
        <w:rPr>
          <w:spacing w:val="-4"/>
          <w:sz w:val="18"/>
          <w:szCs w:val="18"/>
          <w:lang w:val="es-ES_tradnl"/>
        </w:rPr>
        <w:t xml:space="preserve"> </w:t>
      </w:r>
      <w:r>
        <w:rPr>
          <w:spacing w:val="-4"/>
          <w:sz w:val="16"/>
          <w:szCs w:val="16"/>
          <w:lang w:val="es-ES_tradnl"/>
        </w:rPr>
        <w:t>u</w:t>
      </w:r>
      <w:r>
        <w:rPr>
          <w:spacing w:val="-4"/>
          <w:sz w:val="18"/>
          <w:szCs w:val="18"/>
          <w:lang w:val="es-ES_tradnl"/>
        </w:rPr>
        <w:t xml:space="preserve"> </w:t>
      </w:r>
      <w:r>
        <w:rPr>
          <w:spacing w:val="-4"/>
          <w:sz w:val="16"/>
          <w:szCs w:val="16"/>
          <w:lang w:val="es-ES_tradnl"/>
        </w:rPr>
        <w:t>omisi</w:t>
      </w:r>
      <w:r>
        <w:rPr>
          <w:rFonts w:cs="Times New Roman"/>
          <w:spacing w:val="-4"/>
          <w:sz w:val="16"/>
          <w:szCs w:val="16"/>
          <w:lang w:val="es-ES_tradnl"/>
        </w:rPr>
        <w:t>ó</w:t>
      </w:r>
      <w:r>
        <w:rPr>
          <w:spacing w:val="-4"/>
          <w:sz w:val="16"/>
          <w:szCs w:val="16"/>
          <w:lang w:val="es-ES_tradnl"/>
        </w:rPr>
        <w:t>n</w:t>
      </w:r>
      <w:r>
        <w:rPr>
          <w:spacing w:val="-4"/>
          <w:sz w:val="18"/>
          <w:szCs w:val="18"/>
          <w:lang w:val="es-ES_tradnl"/>
        </w:rPr>
        <w:t xml:space="preserve"> </w:t>
      </w:r>
      <w:r>
        <w:rPr>
          <w:spacing w:val="-4"/>
          <w:sz w:val="16"/>
          <w:szCs w:val="16"/>
          <w:lang w:val="es-ES_tradnl"/>
        </w:rPr>
        <w:t>violatorio</w:t>
      </w:r>
      <w:r>
        <w:rPr>
          <w:spacing w:val="-4"/>
          <w:sz w:val="18"/>
          <w:szCs w:val="18"/>
          <w:lang w:val="es-ES_tradnl"/>
        </w:rPr>
        <w:t xml:space="preserve"> </w:t>
      </w:r>
      <w:r>
        <w:rPr>
          <w:spacing w:val="-4"/>
          <w:sz w:val="16"/>
          <w:szCs w:val="16"/>
          <w:lang w:val="es-ES_tradnl"/>
        </w:rPr>
        <w:t>del</w:t>
      </w:r>
      <w:r>
        <w:rPr>
          <w:spacing w:val="-4"/>
          <w:sz w:val="18"/>
          <w:szCs w:val="18"/>
          <w:lang w:val="es-ES_tradnl"/>
        </w:rPr>
        <w:t xml:space="preserve"> </w:t>
      </w:r>
      <w:r>
        <w:rPr>
          <w:spacing w:val="-4"/>
          <w:sz w:val="16"/>
          <w:szCs w:val="16"/>
          <w:lang w:val="es-ES_tradnl"/>
        </w:rPr>
        <w:t xml:space="preserve">derecho </w:t>
      </w:r>
      <w:r>
        <w:rPr>
          <w:spacing w:val="-2"/>
          <w:sz w:val="16"/>
          <w:szCs w:val="16"/>
          <w:lang w:val="es-ES_tradnl"/>
        </w:rPr>
        <w:t>que produjo el da</w:t>
      </w:r>
      <w:r>
        <w:rPr>
          <w:rFonts w:cs="Times New Roman"/>
          <w:spacing w:val="-2"/>
          <w:sz w:val="16"/>
          <w:szCs w:val="16"/>
          <w:lang w:val="es-ES_tradnl"/>
        </w:rPr>
        <w:t>ñ</w:t>
      </w:r>
      <w:r>
        <w:rPr>
          <w:spacing w:val="-2"/>
          <w:sz w:val="16"/>
          <w:szCs w:val="16"/>
          <w:lang w:val="es-ES_tradnl"/>
        </w:rPr>
        <w:t>o. Si es posible una relaci</w:t>
      </w:r>
      <w:r>
        <w:rPr>
          <w:rFonts w:cs="Times New Roman"/>
          <w:spacing w:val="-2"/>
          <w:sz w:val="16"/>
          <w:szCs w:val="16"/>
          <w:lang w:val="es-ES_tradnl"/>
        </w:rPr>
        <w:t>ó</w:t>
      </w:r>
      <w:r>
        <w:rPr>
          <w:spacing w:val="-2"/>
          <w:sz w:val="16"/>
          <w:szCs w:val="16"/>
          <w:lang w:val="es-ES_tradnl"/>
        </w:rPr>
        <w:t xml:space="preserve">n </w:t>
      </w:r>
      <w:r>
        <w:rPr>
          <w:spacing w:val="-7"/>
          <w:sz w:val="16"/>
          <w:szCs w:val="16"/>
          <w:lang w:val="es-ES_tradnl"/>
        </w:rPr>
        <w:t xml:space="preserve">circunstanciada de los hechos .La persona accionante no </w:t>
      </w:r>
      <w:r>
        <w:rPr>
          <w:sz w:val="16"/>
          <w:szCs w:val="16"/>
          <w:lang w:val="es-ES_tradnl"/>
        </w:rPr>
        <w:t>est</w:t>
      </w:r>
      <w:r>
        <w:rPr>
          <w:rFonts w:cs="Times New Roman"/>
          <w:sz w:val="16"/>
          <w:szCs w:val="16"/>
          <w:lang w:val="es-ES_tradnl"/>
        </w:rPr>
        <w:t>á</w:t>
      </w:r>
      <w:r>
        <w:rPr>
          <w:sz w:val="16"/>
          <w:szCs w:val="16"/>
          <w:lang w:val="es-ES_tradnl"/>
        </w:rPr>
        <w:t xml:space="preserve"> obligada a citar la norma o jurisprudencia que sirva de fundamento a su acci</w:t>
      </w:r>
      <w:r>
        <w:rPr>
          <w:rFonts w:cs="Times New Roman"/>
          <w:sz w:val="16"/>
          <w:szCs w:val="16"/>
          <w:lang w:val="es-ES_tradnl"/>
        </w:rPr>
        <w:t>ó</w:t>
      </w:r>
      <w:r>
        <w:rPr>
          <w:sz w:val="16"/>
          <w:szCs w:val="16"/>
          <w:lang w:val="es-ES_tradnl"/>
        </w:rPr>
        <w:t>n.</w:t>
      </w:r>
    </w:p>
    <w:p w14:paraId="4F67AE32" w14:textId="77777777" w:rsidR="00591D54" w:rsidRDefault="00591D54" w:rsidP="00251195">
      <w:pPr>
        <w:numPr>
          <w:ilvl w:val="0"/>
          <w:numId w:val="66"/>
        </w:numPr>
        <w:shd w:val="clear" w:color="auto" w:fill="FFFFFF"/>
        <w:tabs>
          <w:tab w:val="left" w:pos="566"/>
        </w:tabs>
        <w:spacing w:line="211" w:lineRule="exact"/>
        <w:ind w:left="566" w:hanging="283"/>
        <w:jc w:val="both"/>
        <w:rPr>
          <w:spacing w:val="-8"/>
          <w:sz w:val="16"/>
          <w:szCs w:val="16"/>
          <w:lang w:val="es-ES_tradnl"/>
        </w:rPr>
      </w:pPr>
      <w:r>
        <w:rPr>
          <w:spacing w:val="-6"/>
          <w:sz w:val="16"/>
          <w:szCs w:val="16"/>
          <w:lang w:val="es-ES_tradnl"/>
        </w:rPr>
        <w:t>El</w:t>
      </w:r>
      <w:r>
        <w:rPr>
          <w:spacing w:val="-6"/>
          <w:sz w:val="18"/>
          <w:szCs w:val="18"/>
          <w:lang w:val="es-ES_tradnl"/>
        </w:rPr>
        <w:t xml:space="preserve"> </w:t>
      </w:r>
      <w:r>
        <w:rPr>
          <w:spacing w:val="-6"/>
          <w:sz w:val="16"/>
          <w:szCs w:val="16"/>
          <w:lang w:val="es-ES_tradnl"/>
        </w:rPr>
        <w:t>lugar</w:t>
      </w:r>
      <w:r>
        <w:rPr>
          <w:spacing w:val="-6"/>
          <w:sz w:val="18"/>
          <w:szCs w:val="18"/>
          <w:lang w:val="es-ES_tradnl"/>
        </w:rPr>
        <w:t xml:space="preserve"> </w:t>
      </w:r>
      <w:r>
        <w:rPr>
          <w:spacing w:val="-6"/>
          <w:sz w:val="16"/>
          <w:szCs w:val="16"/>
          <w:lang w:val="es-ES_tradnl"/>
        </w:rPr>
        <w:t>donde</w:t>
      </w:r>
      <w:r>
        <w:rPr>
          <w:spacing w:val="-6"/>
          <w:sz w:val="18"/>
          <w:szCs w:val="18"/>
          <w:lang w:val="es-ES_tradnl"/>
        </w:rPr>
        <w:t xml:space="preserve"> </w:t>
      </w:r>
      <w:r>
        <w:rPr>
          <w:spacing w:val="-6"/>
          <w:sz w:val="16"/>
          <w:szCs w:val="16"/>
          <w:lang w:val="es-ES_tradnl"/>
        </w:rPr>
        <w:t>se</w:t>
      </w:r>
      <w:r>
        <w:rPr>
          <w:spacing w:val="-6"/>
          <w:sz w:val="18"/>
          <w:szCs w:val="18"/>
          <w:lang w:val="es-ES_tradnl"/>
        </w:rPr>
        <w:t xml:space="preserve"> </w:t>
      </w:r>
      <w:r>
        <w:rPr>
          <w:spacing w:val="-6"/>
          <w:sz w:val="16"/>
          <w:szCs w:val="16"/>
          <w:lang w:val="es-ES_tradnl"/>
        </w:rPr>
        <w:t>le</w:t>
      </w:r>
      <w:r>
        <w:rPr>
          <w:spacing w:val="-6"/>
          <w:sz w:val="18"/>
          <w:szCs w:val="18"/>
          <w:lang w:val="es-ES_tradnl"/>
        </w:rPr>
        <w:t xml:space="preserve"> </w:t>
      </w:r>
      <w:r>
        <w:rPr>
          <w:spacing w:val="-6"/>
          <w:sz w:val="16"/>
          <w:szCs w:val="16"/>
          <w:lang w:val="es-ES_tradnl"/>
        </w:rPr>
        <w:t>puede</w:t>
      </w:r>
      <w:r>
        <w:rPr>
          <w:spacing w:val="-6"/>
          <w:sz w:val="18"/>
          <w:szCs w:val="18"/>
          <w:lang w:val="es-ES_tradnl"/>
        </w:rPr>
        <w:t xml:space="preserve"> </w:t>
      </w:r>
      <w:r>
        <w:rPr>
          <w:spacing w:val="-6"/>
          <w:sz w:val="16"/>
          <w:szCs w:val="16"/>
          <w:lang w:val="es-ES_tradnl"/>
        </w:rPr>
        <w:t>hacer</w:t>
      </w:r>
      <w:r>
        <w:rPr>
          <w:spacing w:val="-6"/>
          <w:sz w:val="18"/>
          <w:szCs w:val="18"/>
          <w:lang w:val="es-ES_tradnl"/>
        </w:rPr>
        <w:t xml:space="preserve"> </w:t>
      </w:r>
      <w:r>
        <w:rPr>
          <w:spacing w:val="-6"/>
          <w:sz w:val="16"/>
          <w:szCs w:val="16"/>
          <w:lang w:val="es-ES_tradnl"/>
        </w:rPr>
        <w:t>conocer</w:t>
      </w:r>
      <w:r>
        <w:rPr>
          <w:spacing w:val="-6"/>
          <w:sz w:val="18"/>
          <w:szCs w:val="18"/>
          <w:lang w:val="es-ES_tradnl"/>
        </w:rPr>
        <w:t xml:space="preserve"> </w:t>
      </w:r>
      <w:r>
        <w:rPr>
          <w:spacing w:val="-6"/>
          <w:sz w:val="16"/>
          <w:szCs w:val="16"/>
          <w:lang w:val="es-ES_tradnl"/>
        </w:rPr>
        <w:t>de</w:t>
      </w:r>
      <w:r>
        <w:rPr>
          <w:spacing w:val="-6"/>
          <w:sz w:val="18"/>
          <w:szCs w:val="18"/>
          <w:lang w:val="es-ES_tradnl"/>
        </w:rPr>
        <w:t xml:space="preserve"> </w:t>
      </w:r>
      <w:r>
        <w:rPr>
          <w:spacing w:val="-6"/>
          <w:sz w:val="16"/>
          <w:szCs w:val="16"/>
          <w:lang w:val="es-ES_tradnl"/>
        </w:rPr>
        <w:t>la</w:t>
      </w:r>
      <w:r>
        <w:rPr>
          <w:spacing w:val="-6"/>
          <w:sz w:val="18"/>
          <w:szCs w:val="18"/>
          <w:lang w:val="es-ES_tradnl"/>
        </w:rPr>
        <w:t xml:space="preserve"> </w:t>
      </w:r>
      <w:r>
        <w:rPr>
          <w:spacing w:val="-6"/>
          <w:sz w:val="16"/>
          <w:szCs w:val="16"/>
          <w:lang w:val="es-ES_tradnl"/>
        </w:rPr>
        <w:t>acci</w:t>
      </w:r>
      <w:r>
        <w:rPr>
          <w:rFonts w:cs="Times New Roman"/>
          <w:spacing w:val="-6"/>
          <w:sz w:val="16"/>
          <w:szCs w:val="16"/>
          <w:lang w:val="es-ES_tradnl"/>
        </w:rPr>
        <w:t>ó</w:t>
      </w:r>
      <w:r>
        <w:rPr>
          <w:spacing w:val="-6"/>
          <w:sz w:val="16"/>
          <w:szCs w:val="16"/>
          <w:lang w:val="es-ES_tradnl"/>
        </w:rPr>
        <w:t>n</w:t>
      </w:r>
      <w:r>
        <w:rPr>
          <w:spacing w:val="-6"/>
          <w:sz w:val="18"/>
          <w:szCs w:val="18"/>
          <w:lang w:val="es-ES_tradnl"/>
        </w:rPr>
        <w:t xml:space="preserve"> </w:t>
      </w:r>
      <w:r>
        <w:rPr>
          <w:spacing w:val="-6"/>
          <w:sz w:val="16"/>
          <w:szCs w:val="16"/>
          <w:lang w:val="es-ES_tradnl"/>
        </w:rPr>
        <w:t xml:space="preserve">a </w:t>
      </w:r>
      <w:r>
        <w:rPr>
          <w:sz w:val="16"/>
          <w:szCs w:val="16"/>
          <w:lang w:val="es-ES_tradnl"/>
        </w:rPr>
        <w:t>la persona o   entidad accionada.</w:t>
      </w:r>
    </w:p>
    <w:p w14:paraId="4F67AE33" w14:textId="77777777" w:rsidR="00591D54" w:rsidRDefault="00591D54" w:rsidP="00251195">
      <w:pPr>
        <w:numPr>
          <w:ilvl w:val="0"/>
          <w:numId w:val="66"/>
        </w:numPr>
        <w:shd w:val="clear" w:color="auto" w:fill="FFFFFF"/>
        <w:tabs>
          <w:tab w:val="left" w:pos="566"/>
        </w:tabs>
        <w:spacing w:line="211" w:lineRule="exact"/>
        <w:ind w:left="566" w:hanging="283"/>
        <w:jc w:val="both"/>
        <w:rPr>
          <w:spacing w:val="-8"/>
          <w:sz w:val="16"/>
          <w:szCs w:val="16"/>
          <w:lang w:val="es-ES_tradnl"/>
        </w:rPr>
      </w:pPr>
      <w:r>
        <w:rPr>
          <w:spacing w:val="-6"/>
          <w:sz w:val="16"/>
          <w:szCs w:val="16"/>
          <w:lang w:val="es-ES_tradnl"/>
        </w:rPr>
        <w:t>El</w:t>
      </w:r>
      <w:r>
        <w:rPr>
          <w:spacing w:val="-6"/>
          <w:sz w:val="18"/>
          <w:szCs w:val="18"/>
          <w:lang w:val="es-ES_tradnl"/>
        </w:rPr>
        <w:t xml:space="preserve"> </w:t>
      </w:r>
      <w:r>
        <w:rPr>
          <w:spacing w:val="-6"/>
          <w:sz w:val="16"/>
          <w:szCs w:val="16"/>
          <w:lang w:val="es-ES_tradnl"/>
        </w:rPr>
        <w:t>lugar</w:t>
      </w:r>
      <w:r>
        <w:rPr>
          <w:spacing w:val="-6"/>
          <w:sz w:val="18"/>
          <w:szCs w:val="18"/>
          <w:lang w:val="es-ES_tradnl"/>
        </w:rPr>
        <w:t xml:space="preserve"> </w:t>
      </w:r>
      <w:r>
        <w:rPr>
          <w:spacing w:val="-6"/>
          <w:sz w:val="16"/>
          <w:szCs w:val="16"/>
          <w:lang w:val="es-ES_tradnl"/>
        </w:rPr>
        <w:t>donde</w:t>
      </w:r>
      <w:r>
        <w:rPr>
          <w:spacing w:val="-6"/>
          <w:sz w:val="18"/>
          <w:szCs w:val="18"/>
          <w:lang w:val="es-ES_tradnl"/>
        </w:rPr>
        <w:t xml:space="preserve"> </w:t>
      </w:r>
      <w:r>
        <w:rPr>
          <w:spacing w:val="-6"/>
          <w:sz w:val="16"/>
          <w:szCs w:val="16"/>
          <w:lang w:val="es-ES_tradnl"/>
        </w:rPr>
        <w:t>ha</w:t>
      </w:r>
      <w:r>
        <w:rPr>
          <w:spacing w:val="-6"/>
          <w:sz w:val="18"/>
          <w:szCs w:val="18"/>
          <w:lang w:val="es-ES_tradnl"/>
        </w:rPr>
        <w:t xml:space="preserve"> </w:t>
      </w:r>
      <w:r>
        <w:rPr>
          <w:spacing w:val="-6"/>
          <w:sz w:val="16"/>
          <w:szCs w:val="16"/>
          <w:lang w:val="es-ES_tradnl"/>
        </w:rPr>
        <w:t>de</w:t>
      </w:r>
      <w:r>
        <w:rPr>
          <w:spacing w:val="-6"/>
          <w:sz w:val="18"/>
          <w:szCs w:val="18"/>
          <w:lang w:val="es-ES_tradnl"/>
        </w:rPr>
        <w:t xml:space="preserve"> </w:t>
      </w:r>
      <w:r>
        <w:rPr>
          <w:spacing w:val="-6"/>
          <w:sz w:val="16"/>
          <w:szCs w:val="16"/>
          <w:lang w:val="es-ES_tradnl"/>
        </w:rPr>
        <w:t>notificarse</w:t>
      </w:r>
      <w:r>
        <w:rPr>
          <w:spacing w:val="-6"/>
          <w:sz w:val="18"/>
          <w:szCs w:val="18"/>
          <w:lang w:val="es-ES_tradnl"/>
        </w:rPr>
        <w:t xml:space="preserve"> </w:t>
      </w:r>
      <w:r>
        <w:rPr>
          <w:spacing w:val="-6"/>
          <w:sz w:val="16"/>
          <w:szCs w:val="16"/>
          <w:lang w:val="es-ES_tradnl"/>
        </w:rPr>
        <w:t>a</w:t>
      </w:r>
      <w:r>
        <w:rPr>
          <w:spacing w:val="-6"/>
          <w:sz w:val="18"/>
          <w:szCs w:val="18"/>
          <w:lang w:val="es-ES_tradnl"/>
        </w:rPr>
        <w:t xml:space="preserve"> </w:t>
      </w:r>
      <w:r>
        <w:rPr>
          <w:spacing w:val="-6"/>
          <w:sz w:val="16"/>
          <w:szCs w:val="16"/>
          <w:lang w:val="es-ES_tradnl"/>
        </w:rPr>
        <w:t>la</w:t>
      </w:r>
      <w:r>
        <w:rPr>
          <w:spacing w:val="-6"/>
          <w:sz w:val="18"/>
          <w:szCs w:val="18"/>
          <w:lang w:val="es-ES_tradnl"/>
        </w:rPr>
        <w:t xml:space="preserve"> </w:t>
      </w:r>
      <w:r>
        <w:rPr>
          <w:spacing w:val="-6"/>
          <w:sz w:val="16"/>
          <w:szCs w:val="16"/>
          <w:lang w:val="es-ES_tradnl"/>
        </w:rPr>
        <w:t>persona</w:t>
      </w:r>
      <w:r>
        <w:rPr>
          <w:spacing w:val="-6"/>
          <w:sz w:val="18"/>
          <w:szCs w:val="18"/>
          <w:lang w:val="es-ES_tradnl"/>
        </w:rPr>
        <w:t xml:space="preserve"> </w:t>
      </w:r>
      <w:r>
        <w:rPr>
          <w:spacing w:val="-6"/>
          <w:sz w:val="16"/>
          <w:szCs w:val="16"/>
          <w:lang w:val="es-ES_tradnl"/>
        </w:rPr>
        <w:t xml:space="preserve">accionante </w:t>
      </w:r>
      <w:r>
        <w:rPr>
          <w:spacing w:val="-4"/>
          <w:sz w:val="16"/>
          <w:szCs w:val="16"/>
          <w:lang w:val="es-ES_tradnl"/>
        </w:rPr>
        <w:t xml:space="preserve">y a la afectada, sino fuera la misma persona y si el </w:t>
      </w:r>
      <w:r>
        <w:rPr>
          <w:sz w:val="16"/>
          <w:szCs w:val="16"/>
          <w:lang w:val="es-ES_tradnl"/>
        </w:rPr>
        <w:t>accionante lo supiere.</w:t>
      </w:r>
    </w:p>
    <w:p w14:paraId="4F67AE34" w14:textId="77777777" w:rsidR="00591D54" w:rsidRDefault="00591D54" w:rsidP="00251195">
      <w:pPr>
        <w:numPr>
          <w:ilvl w:val="0"/>
          <w:numId w:val="66"/>
        </w:numPr>
        <w:shd w:val="clear" w:color="auto" w:fill="FFFFFF"/>
        <w:tabs>
          <w:tab w:val="left" w:pos="566"/>
        </w:tabs>
        <w:spacing w:line="211" w:lineRule="exact"/>
        <w:ind w:left="566" w:hanging="283"/>
        <w:jc w:val="both"/>
        <w:rPr>
          <w:spacing w:val="-8"/>
          <w:sz w:val="16"/>
          <w:szCs w:val="16"/>
          <w:lang w:val="es-ES_tradnl"/>
        </w:rPr>
      </w:pPr>
      <w:r>
        <w:rPr>
          <w:spacing w:val="-5"/>
          <w:sz w:val="16"/>
          <w:szCs w:val="16"/>
          <w:lang w:val="es-ES_tradnl"/>
        </w:rPr>
        <w:t>Declaraci</w:t>
      </w:r>
      <w:r>
        <w:rPr>
          <w:rFonts w:cs="Times New Roman"/>
          <w:spacing w:val="-5"/>
          <w:sz w:val="16"/>
          <w:szCs w:val="16"/>
          <w:lang w:val="es-ES_tradnl"/>
        </w:rPr>
        <w:t>ó</w:t>
      </w:r>
      <w:r>
        <w:rPr>
          <w:spacing w:val="-5"/>
          <w:sz w:val="16"/>
          <w:szCs w:val="16"/>
          <w:lang w:val="es-ES_tradnl"/>
        </w:rPr>
        <w:t>n</w:t>
      </w:r>
      <w:r>
        <w:rPr>
          <w:spacing w:val="-5"/>
          <w:sz w:val="18"/>
          <w:szCs w:val="18"/>
          <w:lang w:val="es-ES_tradnl"/>
        </w:rPr>
        <w:t xml:space="preserve"> </w:t>
      </w:r>
      <w:r>
        <w:rPr>
          <w:spacing w:val="-5"/>
          <w:sz w:val="16"/>
          <w:szCs w:val="16"/>
          <w:lang w:val="es-ES_tradnl"/>
        </w:rPr>
        <w:t>de</w:t>
      </w:r>
      <w:r>
        <w:rPr>
          <w:spacing w:val="-5"/>
          <w:sz w:val="18"/>
          <w:szCs w:val="18"/>
          <w:lang w:val="es-ES_tradnl"/>
        </w:rPr>
        <w:t xml:space="preserve"> </w:t>
      </w:r>
      <w:r>
        <w:rPr>
          <w:spacing w:val="-5"/>
          <w:sz w:val="16"/>
          <w:szCs w:val="16"/>
          <w:lang w:val="es-ES_tradnl"/>
        </w:rPr>
        <w:t>que</w:t>
      </w:r>
      <w:r>
        <w:rPr>
          <w:spacing w:val="-5"/>
          <w:sz w:val="18"/>
          <w:szCs w:val="18"/>
          <w:lang w:val="es-ES_tradnl"/>
        </w:rPr>
        <w:t xml:space="preserve"> </w:t>
      </w:r>
      <w:r>
        <w:rPr>
          <w:spacing w:val="-5"/>
          <w:sz w:val="16"/>
          <w:szCs w:val="16"/>
          <w:lang w:val="es-ES_tradnl"/>
        </w:rPr>
        <w:t>no</w:t>
      </w:r>
      <w:r>
        <w:rPr>
          <w:spacing w:val="-5"/>
          <w:sz w:val="18"/>
          <w:szCs w:val="18"/>
          <w:lang w:val="es-ES_tradnl"/>
        </w:rPr>
        <w:t xml:space="preserve"> </w:t>
      </w:r>
      <w:r>
        <w:rPr>
          <w:spacing w:val="-5"/>
          <w:sz w:val="16"/>
          <w:szCs w:val="16"/>
          <w:lang w:val="es-ES_tradnl"/>
        </w:rPr>
        <w:t>se</w:t>
      </w:r>
      <w:r>
        <w:rPr>
          <w:spacing w:val="-5"/>
          <w:sz w:val="18"/>
          <w:szCs w:val="18"/>
          <w:lang w:val="es-ES_tradnl"/>
        </w:rPr>
        <w:t xml:space="preserve"> </w:t>
      </w:r>
      <w:r>
        <w:rPr>
          <w:spacing w:val="-5"/>
          <w:sz w:val="16"/>
          <w:szCs w:val="16"/>
          <w:lang w:val="es-ES_tradnl"/>
        </w:rPr>
        <w:t>ha</w:t>
      </w:r>
      <w:r>
        <w:rPr>
          <w:spacing w:val="-5"/>
          <w:sz w:val="18"/>
          <w:szCs w:val="18"/>
          <w:lang w:val="es-ES_tradnl"/>
        </w:rPr>
        <w:t xml:space="preserve"> </w:t>
      </w:r>
      <w:r>
        <w:rPr>
          <w:spacing w:val="-5"/>
          <w:sz w:val="16"/>
          <w:szCs w:val="16"/>
          <w:lang w:val="es-ES_tradnl"/>
        </w:rPr>
        <w:t>planteado</w:t>
      </w:r>
      <w:r>
        <w:rPr>
          <w:spacing w:val="-5"/>
          <w:sz w:val="18"/>
          <w:szCs w:val="18"/>
          <w:lang w:val="es-ES_tradnl"/>
        </w:rPr>
        <w:t xml:space="preserve"> </w:t>
      </w:r>
      <w:r>
        <w:rPr>
          <w:spacing w:val="-5"/>
          <w:sz w:val="16"/>
          <w:szCs w:val="16"/>
          <w:lang w:val="es-ES_tradnl"/>
        </w:rPr>
        <w:t>otra</w:t>
      </w:r>
      <w:r>
        <w:rPr>
          <w:spacing w:val="-5"/>
          <w:sz w:val="18"/>
          <w:szCs w:val="18"/>
          <w:lang w:val="es-ES_tradnl"/>
        </w:rPr>
        <w:t xml:space="preserve"> </w:t>
      </w:r>
      <w:r>
        <w:rPr>
          <w:spacing w:val="-5"/>
          <w:sz w:val="16"/>
          <w:szCs w:val="16"/>
          <w:lang w:val="es-ES_tradnl"/>
        </w:rPr>
        <w:t>garant</w:t>
      </w:r>
      <w:r>
        <w:rPr>
          <w:rFonts w:cs="Times New Roman"/>
          <w:spacing w:val="-5"/>
          <w:sz w:val="16"/>
          <w:szCs w:val="16"/>
          <w:lang w:val="es-ES_tradnl"/>
        </w:rPr>
        <w:t>í</w:t>
      </w:r>
      <w:r>
        <w:rPr>
          <w:spacing w:val="-5"/>
          <w:sz w:val="16"/>
          <w:szCs w:val="16"/>
          <w:lang w:val="es-ES_tradnl"/>
        </w:rPr>
        <w:t xml:space="preserve">a constitucional por los mismos actos u omisiones, contra la misma persona o grupo de personas y con la misma </w:t>
      </w:r>
      <w:r>
        <w:rPr>
          <w:spacing w:val="-4"/>
          <w:sz w:val="16"/>
          <w:szCs w:val="16"/>
          <w:lang w:val="es-ES_tradnl"/>
        </w:rPr>
        <w:t>pretensi</w:t>
      </w:r>
      <w:r>
        <w:rPr>
          <w:rFonts w:cs="Times New Roman"/>
          <w:spacing w:val="-4"/>
          <w:sz w:val="16"/>
          <w:szCs w:val="16"/>
          <w:lang w:val="es-ES_tradnl"/>
        </w:rPr>
        <w:t>ó</w:t>
      </w:r>
      <w:r>
        <w:rPr>
          <w:spacing w:val="-4"/>
          <w:sz w:val="16"/>
          <w:szCs w:val="16"/>
          <w:lang w:val="es-ES_tradnl"/>
        </w:rPr>
        <w:t>n. La declaraci</w:t>
      </w:r>
      <w:r>
        <w:rPr>
          <w:rFonts w:cs="Times New Roman"/>
          <w:spacing w:val="-4"/>
          <w:sz w:val="16"/>
          <w:szCs w:val="16"/>
          <w:lang w:val="es-ES_tradnl"/>
        </w:rPr>
        <w:t>ó</w:t>
      </w:r>
      <w:r>
        <w:rPr>
          <w:spacing w:val="-4"/>
          <w:sz w:val="16"/>
          <w:szCs w:val="16"/>
          <w:lang w:val="es-ES_tradnl"/>
        </w:rPr>
        <w:t xml:space="preserve">n de no haber planteado otra </w:t>
      </w:r>
      <w:r>
        <w:rPr>
          <w:spacing w:val="-6"/>
          <w:sz w:val="16"/>
          <w:szCs w:val="16"/>
          <w:lang w:val="es-ES_tradnl"/>
        </w:rPr>
        <w:t>garant</w:t>
      </w:r>
      <w:r>
        <w:rPr>
          <w:rFonts w:cs="Times New Roman"/>
          <w:spacing w:val="-6"/>
          <w:sz w:val="16"/>
          <w:szCs w:val="16"/>
          <w:lang w:val="es-ES_tradnl"/>
        </w:rPr>
        <w:t>í</w:t>
      </w:r>
      <w:r>
        <w:rPr>
          <w:spacing w:val="-6"/>
          <w:sz w:val="16"/>
          <w:szCs w:val="16"/>
          <w:lang w:val="es-ES_tradnl"/>
        </w:rPr>
        <w:t>a, podr</w:t>
      </w:r>
      <w:r>
        <w:rPr>
          <w:rFonts w:cs="Times New Roman"/>
          <w:spacing w:val="-6"/>
          <w:sz w:val="16"/>
          <w:szCs w:val="16"/>
          <w:lang w:val="es-ES_tradnl"/>
        </w:rPr>
        <w:t>á</w:t>
      </w:r>
      <w:r>
        <w:rPr>
          <w:spacing w:val="-6"/>
          <w:sz w:val="16"/>
          <w:szCs w:val="16"/>
          <w:lang w:val="es-ES_tradnl"/>
        </w:rPr>
        <w:t xml:space="preserve"> subsanarse en la primera audiencia.</w:t>
      </w:r>
    </w:p>
    <w:p w14:paraId="4F67AE35" w14:textId="77777777" w:rsidR="00591D54" w:rsidRDefault="00591D54" w:rsidP="00251195">
      <w:pPr>
        <w:numPr>
          <w:ilvl w:val="0"/>
          <w:numId w:val="66"/>
        </w:numPr>
        <w:shd w:val="clear" w:color="auto" w:fill="FFFFFF"/>
        <w:tabs>
          <w:tab w:val="left" w:pos="566"/>
        </w:tabs>
        <w:spacing w:line="211" w:lineRule="exact"/>
        <w:ind w:left="566" w:hanging="283"/>
        <w:jc w:val="both"/>
        <w:rPr>
          <w:spacing w:val="-8"/>
          <w:sz w:val="16"/>
          <w:szCs w:val="16"/>
          <w:lang w:val="es-ES_tradnl"/>
        </w:rPr>
      </w:pPr>
      <w:r>
        <w:rPr>
          <w:spacing w:val="-1"/>
          <w:sz w:val="16"/>
          <w:szCs w:val="16"/>
          <w:lang w:val="es-ES_tradnl"/>
        </w:rPr>
        <w:t>La</w:t>
      </w:r>
      <w:r>
        <w:rPr>
          <w:spacing w:val="-1"/>
          <w:sz w:val="18"/>
          <w:szCs w:val="18"/>
          <w:lang w:val="es-ES_tradnl"/>
        </w:rPr>
        <w:t xml:space="preserve"> </w:t>
      </w:r>
      <w:r>
        <w:rPr>
          <w:spacing w:val="-1"/>
          <w:sz w:val="16"/>
          <w:szCs w:val="16"/>
          <w:lang w:val="es-ES_tradnl"/>
        </w:rPr>
        <w:t>solicitud</w:t>
      </w:r>
      <w:r>
        <w:rPr>
          <w:spacing w:val="-1"/>
          <w:sz w:val="18"/>
          <w:szCs w:val="18"/>
          <w:lang w:val="es-ES_tradnl"/>
        </w:rPr>
        <w:t xml:space="preserve"> </w:t>
      </w:r>
      <w:r>
        <w:rPr>
          <w:spacing w:val="-1"/>
          <w:sz w:val="16"/>
          <w:szCs w:val="16"/>
          <w:lang w:val="es-ES_tradnl"/>
        </w:rPr>
        <w:t>de</w:t>
      </w:r>
      <w:r>
        <w:rPr>
          <w:spacing w:val="-1"/>
          <w:sz w:val="18"/>
          <w:szCs w:val="18"/>
          <w:lang w:val="es-ES_tradnl"/>
        </w:rPr>
        <w:t xml:space="preserve"> </w:t>
      </w:r>
      <w:r>
        <w:rPr>
          <w:spacing w:val="-1"/>
          <w:sz w:val="16"/>
          <w:szCs w:val="16"/>
          <w:lang w:val="es-ES_tradnl"/>
        </w:rPr>
        <w:t>medidas</w:t>
      </w:r>
      <w:r>
        <w:rPr>
          <w:spacing w:val="-1"/>
          <w:sz w:val="18"/>
          <w:szCs w:val="18"/>
          <w:lang w:val="es-ES_tradnl"/>
        </w:rPr>
        <w:t xml:space="preserve"> </w:t>
      </w:r>
      <w:r>
        <w:rPr>
          <w:spacing w:val="-1"/>
          <w:sz w:val="16"/>
          <w:szCs w:val="16"/>
          <w:lang w:val="es-ES_tradnl"/>
        </w:rPr>
        <w:t>cautelares,</w:t>
      </w:r>
      <w:r>
        <w:rPr>
          <w:spacing w:val="-1"/>
          <w:sz w:val="18"/>
          <w:szCs w:val="18"/>
          <w:lang w:val="es-ES_tradnl"/>
        </w:rPr>
        <w:t xml:space="preserve"> </w:t>
      </w:r>
      <w:r>
        <w:rPr>
          <w:spacing w:val="-1"/>
          <w:sz w:val="16"/>
          <w:szCs w:val="16"/>
          <w:lang w:val="es-ES_tradnl"/>
        </w:rPr>
        <w:t>si</w:t>
      </w:r>
      <w:r>
        <w:rPr>
          <w:spacing w:val="-1"/>
          <w:sz w:val="18"/>
          <w:szCs w:val="18"/>
          <w:lang w:val="es-ES_tradnl"/>
        </w:rPr>
        <w:t xml:space="preserve"> </w:t>
      </w:r>
      <w:r>
        <w:rPr>
          <w:spacing w:val="-1"/>
          <w:sz w:val="16"/>
          <w:szCs w:val="16"/>
          <w:lang w:val="es-ES_tradnl"/>
        </w:rPr>
        <w:t>se</w:t>
      </w:r>
      <w:r>
        <w:rPr>
          <w:spacing w:val="-1"/>
          <w:sz w:val="18"/>
          <w:szCs w:val="18"/>
          <w:lang w:val="es-ES_tradnl"/>
        </w:rPr>
        <w:t xml:space="preserve"> </w:t>
      </w:r>
      <w:r>
        <w:rPr>
          <w:spacing w:val="-1"/>
          <w:sz w:val="16"/>
          <w:szCs w:val="16"/>
          <w:lang w:val="es-ES_tradnl"/>
        </w:rPr>
        <w:t xml:space="preserve">creyere </w:t>
      </w:r>
      <w:r>
        <w:rPr>
          <w:sz w:val="16"/>
          <w:szCs w:val="16"/>
          <w:lang w:val="es-ES_tradnl"/>
        </w:rPr>
        <w:t>oportuno.</w:t>
      </w:r>
    </w:p>
    <w:p w14:paraId="4F67AE36" w14:textId="77777777" w:rsidR="00591D54" w:rsidRDefault="00591D54" w:rsidP="00251195">
      <w:pPr>
        <w:numPr>
          <w:ilvl w:val="0"/>
          <w:numId w:val="66"/>
        </w:numPr>
        <w:shd w:val="clear" w:color="auto" w:fill="FFFFFF"/>
        <w:tabs>
          <w:tab w:val="left" w:pos="566"/>
        </w:tabs>
        <w:spacing w:line="211" w:lineRule="exact"/>
        <w:ind w:left="566" w:hanging="283"/>
        <w:jc w:val="both"/>
        <w:rPr>
          <w:spacing w:val="-8"/>
          <w:sz w:val="16"/>
          <w:szCs w:val="16"/>
          <w:lang w:val="es-ES_tradnl"/>
        </w:rPr>
      </w:pPr>
      <w:r>
        <w:rPr>
          <w:spacing w:val="-6"/>
          <w:sz w:val="16"/>
          <w:szCs w:val="16"/>
          <w:lang w:val="es-ES_tradnl"/>
        </w:rPr>
        <w:t>Los</w:t>
      </w:r>
      <w:r>
        <w:rPr>
          <w:spacing w:val="-6"/>
          <w:sz w:val="18"/>
          <w:szCs w:val="18"/>
          <w:lang w:val="es-ES_tradnl"/>
        </w:rPr>
        <w:t xml:space="preserve"> </w:t>
      </w:r>
      <w:r>
        <w:rPr>
          <w:spacing w:val="-6"/>
          <w:sz w:val="16"/>
          <w:szCs w:val="16"/>
          <w:lang w:val="es-ES_tradnl"/>
        </w:rPr>
        <w:t>elementos</w:t>
      </w:r>
      <w:r>
        <w:rPr>
          <w:spacing w:val="-6"/>
          <w:sz w:val="18"/>
          <w:szCs w:val="18"/>
          <w:lang w:val="es-ES_tradnl"/>
        </w:rPr>
        <w:t xml:space="preserve"> </w:t>
      </w:r>
      <w:r>
        <w:rPr>
          <w:spacing w:val="-6"/>
          <w:sz w:val="16"/>
          <w:szCs w:val="16"/>
          <w:lang w:val="es-ES_tradnl"/>
        </w:rPr>
        <w:t>probatorios</w:t>
      </w:r>
      <w:r>
        <w:rPr>
          <w:spacing w:val="-6"/>
          <w:sz w:val="18"/>
          <w:szCs w:val="18"/>
          <w:lang w:val="es-ES_tradnl"/>
        </w:rPr>
        <w:t xml:space="preserve"> </w:t>
      </w:r>
      <w:r>
        <w:rPr>
          <w:spacing w:val="-6"/>
          <w:sz w:val="16"/>
          <w:szCs w:val="16"/>
          <w:lang w:val="es-ES_tradnl"/>
        </w:rPr>
        <w:t>que</w:t>
      </w:r>
      <w:r>
        <w:rPr>
          <w:spacing w:val="-6"/>
          <w:sz w:val="18"/>
          <w:szCs w:val="18"/>
          <w:lang w:val="es-ES_tradnl"/>
        </w:rPr>
        <w:t xml:space="preserve"> </w:t>
      </w:r>
      <w:r>
        <w:rPr>
          <w:spacing w:val="-6"/>
          <w:sz w:val="16"/>
          <w:szCs w:val="16"/>
          <w:lang w:val="es-ES_tradnl"/>
        </w:rPr>
        <w:t>demuestren</w:t>
      </w:r>
      <w:r>
        <w:rPr>
          <w:spacing w:val="-6"/>
          <w:sz w:val="18"/>
          <w:szCs w:val="18"/>
          <w:lang w:val="es-ES_tradnl"/>
        </w:rPr>
        <w:t xml:space="preserve"> </w:t>
      </w:r>
      <w:r>
        <w:rPr>
          <w:spacing w:val="-6"/>
          <w:sz w:val="16"/>
          <w:szCs w:val="16"/>
          <w:lang w:val="es-ES_tradnl"/>
        </w:rPr>
        <w:t>la</w:t>
      </w:r>
      <w:r>
        <w:rPr>
          <w:spacing w:val="-6"/>
          <w:sz w:val="18"/>
          <w:szCs w:val="18"/>
          <w:lang w:val="es-ES_tradnl"/>
        </w:rPr>
        <w:t xml:space="preserve"> </w:t>
      </w:r>
      <w:r>
        <w:rPr>
          <w:spacing w:val="-6"/>
          <w:sz w:val="16"/>
          <w:szCs w:val="16"/>
          <w:lang w:val="es-ES_tradnl"/>
        </w:rPr>
        <w:t xml:space="preserve">existencia </w:t>
      </w:r>
      <w:r>
        <w:rPr>
          <w:spacing w:val="-2"/>
          <w:sz w:val="16"/>
          <w:szCs w:val="16"/>
          <w:lang w:val="es-ES_tradnl"/>
        </w:rPr>
        <w:t>de un acto u omisi</w:t>
      </w:r>
      <w:r>
        <w:rPr>
          <w:rFonts w:cs="Times New Roman"/>
          <w:spacing w:val="-2"/>
          <w:sz w:val="16"/>
          <w:szCs w:val="16"/>
          <w:lang w:val="es-ES_tradnl"/>
        </w:rPr>
        <w:t>ó</w:t>
      </w:r>
      <w:r>
        <w:rPr>
          <w:spacing w:val="-2"/>
          <w:sz w:val="16"/>
          <w:szCs w:val="16"/>
          <w:lang w:val="es-ES_tradnl"/>
        </w:rPr>
        <w:t xml:space="preserve">n que tenga como resultado la </w:t>
      </w:r>
      <w:r>
        <w:rPr>
          <w:spacing w:val="-7"/>
          <w:sz w:val="16"/>
          <w:szCs w:val="16"/>
          <w:lang w:val="es-ES_tradnl"/>
        </w:rPr>
        <w:t>violaci</w:t>
      </w:r>
      <w:r>
        <w:rPr>
          <w:rFonts w:cs="Times New Roman"/>
          <w:spacing w:val="-7"/>
          <w:sz w:val="16"/>
          <w:szCs w:val="16"/>
          <w:lang w:val="es-ES_tradnl"/>
        </w:rPr>
        <w:t>ó</w:t>
      </w:r>
      <w:r>
        <w:rPr>
          <w:spacing w:val="-7"/>
          <w:sz w:val="16"/>
          <w:szCs w:val="16"/>
          <w:lang w:val="es-ES_tradnl"/>
        </w:rPr>
        <w:t xml:space="preserve">n de derechos constitucionales, excepto los casos </w:t>
      </w:r>
      <w:r>
        <w:rPr>
          <w:spacing w:val="-3"/>
          <w:sz w:val="16"/>
          <w:szCs w:val="16"/>
          <w:lang w:val="es-ES_tradnl"/>
        </w:rPr>
        <w:t>en los que, de conformidad con la Constituci</w:t>
      </w:r>
      <w:r>
        <w:rPr>
          <w:rFonts w:cs="Times New Roman"/>
          <w:spacing w:val="-3"/>
          <w:sz w:val="16"/>
          <w:szCs w:val="16"/>
          <w:lang w:val="es-ES_tradnl"/>
        </w:rPr>
        <w:t>ó</w:t>
      </w:r>
      <w:r>
        <w:rPr>
          <w:spacing w:val="-3"/>
          <w:sz w:val="16"/>
          <w:szCs w:val="16"/>
          <w:lang w:val="es-ES_tradnl"/>
        </w:rPr>
        <w:t xml:space="preserve">n y esta </w:t>
      </w:r>
      <w:r>
        <w:rPr>
          <w:sz w:val="16"/>
          <w:szCs w:val="16"/>
          <w:lang w:val="es-ES_tradnl"/>
        </w:rPr>
        <w:t>ley, se invierta la carga de la prueba.</w:t>
      </w:r>
    </w:p>
    <w:p w14:paraId="4F67AE37" w14:textId="77777777" w:rsidR="00591D54" w:rsidRDefault="00591D54">
      <w:pPr>
        <w:shd w:val="clear" w:color="auto" w:fill="FFFFFF"/>
        <w:spacing w:before="197" w:line="211" w:lineRule="exact"/>
        <w:jc w:val="both"/>
      </w:pPr>
      <w:r>
        <w:rPr>
          <w:spacing w:val="-7"/>
          <w:sz w:val="18"/>
          <w:szCs w:val="18"/>
          <w:lang w:val="es-ES_tradnl"/>
        </w:rPr>
        <w:t>Disponiendo adem</w:t>
      </w:r>
      <w:r>
        <w:rPr>
          <w:rFonts w:cs="Times New Roman"/>
          <w:spacing w:val="-7"/>
          <w:sz w:val="18"/>
          <w:szCs w:val="18"/>
          <w:lang w:val="es-ES_tradnl"/>
        </w:rPr>
        <w:t>á</w:t>
      </w:r>
      <w:r>
        <w:rPr>
          <w:spacing w:val="-7"/>
          <w:sz w:val="18"/>
          <w:szCs w:val="18"/>
          <w:lang w:val="es-ES_tradnl"/>
        </w:rPr>
        <w:t xml:space="preserve">s, a los jueces constitucionales, que si </w:t>
      </w:r>
      <w:r>
        <w:rPr>
          <w:spacing w:val="-6"/>
          <w:sz w:val="18"/>
          <w:szCs w:val="18"/>
          <w:lang w:val="es-ES_tradnl"/>
        </w:rPr>
        <w:t xml:space="preserve">no se observan dichos requisitos ordenen completarla en </w:t>
      </w:r>
      <w:r>
        <w:rPr>
          <w:spacing w:val="-7"/>
          <w:sz w:val="18"/>
          <w:szCs w:val="18"/>
          <w:lang w:val="es-ES_tradnl"/>
        </w:rPr>
        <w:t>el t</w:t>
      </w:r>
      <w:r>
        <w:rPr>
          <w:rFonts w:cs="Times New Roman"/>
          <w:spacing w:val="-7"/>
          <w:sz w:val="18"/>
          <w:szCs w:val="18"/>
          <w:lang w:val="es-ES_tradnl"/>
        </w:rPr>
        <w:t>é</w:t>
      </w:r>
      <w:r>
        <w:rPr>
          <w:spacing w:val="-7"/>
          <w:sz w:val="18"/>
          <w:szCs w:val="18"/>
          <w:lang w:val="es-ES_tradnl"/>
        </w:rPr>
        <w:t>rmino de tres d</w:t>
      </w:r>
      <w:r>
        <w:rPr>
          <w:rFonts w:cs="Times New Roman"/>
          <w:spacing w:val="-7"/>
          <w:sz w:val="18"/>
          <w:szCs w:val="18"/>
          <w:lang w:val="es-ES_tradnl"/>
        </w:rPr>
        <w:t>í</w:t>
      </w:r>
      <w:r>
        <w:rPr>
          <w:spacing w:val="-7"/>
          <w:sz w:val="18"/>
          <w:szCs w:val="18"/>
          <w:lang w:val="es-ES_tradnl"/>
        </w:rPr>
        <w:t xml:space="preserve">as, e inclusive, en caso de transcurrido </w:t>
      </w:r>
      <w:r>
        <w:rPr>
          <w:spacing w:val="-6"/>
          <w:sz w:val="18"/>
          <w:szCs w:val="18"/>
          <w:lang w:val="es-ES_tradnl"/>
        </w:rPr>
        <w:t>este t</w:t>
      </w:r>
      <w:r>
        <w:rPr>
          <w:rFonts w:cs="Times New Roman"/>
          <w:spacing w:val="-6"/>
          <w:sz w:val="18"/>
          <w:szCs w:val="18"/>
          <w:lang w:val="es-ES_tradnl"/>
        </w:rPr>
        <w:t>é</w:t>
      </w:r>
      <w:r>
        <w:rPr>
          <w:spacing w:val="-6"/>
          <w:sz w:val="18"/>
          <w:szCs w:val="18"/>
          <w:lang w:val="es-ES_tradnl"/>
        </w:rPr>
        <w:t>rmino, si la demanda contin</w:t>
      </w:r>
      <w:r>
        <w:rPr>
          <w:rFonts w:cs="Times New Roman"/>
          <w:spacing w:val="-6"/>
          <w:sz w:val="18"/>
          <w:szCs w:val="18"/>
          <w:lang w:val="es-ES_tradnl"/>
        </w:rPr>
        <w:t>ú</w:t>
      </w:r>
      <w:r>
        <w:rPr>
          <w:spacing w:val="-6"/>
          <w:sz w:val="18"/>
          <w:szCs w:val="18"/>
          <w:lang w:val="es-ES_tradnl"/>
        </w:rPr>
        <w:t xml:space="preserve">a incompleta, pero del </w:t>
      </w:r>
      <w:r>
        <w:rPr>
          <w:spacing w:val="-9"/>
          <w:sz w:val="18"/>
          <w:szCs w:val="18"/>
          <w:lang w:val="es-ES_tradnl"/>
        </w:rPr>
        <w:t>relato de los hechos se desprende que hay una vulneraci</w:t>
      </w:r>
      <w:r>
        <w:rPr>
          <w:rFonts w:cs="Times New Roman"/>
          <w:spacing w:val="-9"/>
          <w:sz w:val="18"/>
          <w:szCs w:val="18"/>
          <w:lang w:val="es-ES_tradnl"/>
        </w:rPr>
        <w:t>ó</w:t>
      </w:r>
      <w:r>
        <w:rPr>
          <w:spacing w:val="-9"/>
          <w:sz w:val="18"/>
          <w:szCs w:val="18"/>
          <w:lang w:val="es-ES_tradnl"/>
        </w:rPr>
        <w:t xml:space="preserve">n </w:t>
      </w:r>
      <w:r>
        <w:rPr>
          <w:spacing w:val="-6"/>
          <w:sz w:val="18"/>
          <w:szCs w:val="18"/>
          <w:lang w:val="es-ES_tradnl"/>
        </w:rPr>
        <w:t>de derechos grave, la jueza o juez deber</w:t>
      </w:r>
      <w:r>
        <w:rPr>
          <w:rFonts w:cs="Times New Roman"/>
          <w:spacing w:val="-6"/>
          <w:sz w:val="18"/>
          <w:szCs w:val="18"/>
          <w:lang w:val="es-ES_tradnl"/>
        </w:rPr>
        <w:t>á</w:t>
      </w:r>
      <w:r>
        <w:rPr>
          <w:spacing w:val="-6"/>
          <w:sz w:val="18"/>
          <w:szCs w:val="18"/>
          <w:lang w:val="es-ES_tradnl"/>
        </w:rPr>
        <w:t xml:space="preserve"> tramitarla y </w:t>
      </w:r>
      <w:r>
        <w:rPr>
          <w:spacing w:val="-3"/>
          <w:sz w:val="18"/>
          <w:szCs w:val="18"/>
          <w:lang w:val="es-ES_tradnl"/>
        </w:rPr>
        <w:t>subsanar la omisi</w:t>
      </w:r>
      <w:r>
        <w:rPr>
          <w:rFonts w:cs="Times New Roman"/>
          <w:spacing w:val="-3"/>
          <w:sz w:val="18"/>
          <w:szCs w:val="18"/>
          <w:lang w:val="es-ES_tradnl"/>
        </w:rPr>
        <w:t>ó</w:t>
      </w:r>
      <w:r>
        <w:rPr>
          <w:spacing w:val="-3"/>
          <w:sz w:val="18"/>
          <w:szCs w:val="18"/>
          <w:lang w:val="es-ES_tradnl"/>
        </w:rPr>
        <w:t>n de los requisitos que est</w:t>
      </w:r>
      <w:r>
        <w:rPr>
          <w:rFonts w:cs="Times New Roman"/>
          <w:spacing w:val="-3"/>
          <w:sz w:val="18"/>
          <w:szCs w:val="18"/>
          <w:lang w:val="es-ES_tradnl"/>
        </w:rPr>
        <w:t>é</w:t>
      </w:r>
      <w:r>
        <w:rPr>
          <w:spacing w:val="-3"/>
          <w:sz w:val="18"/>
          <w:szCs w:val="18"/>
          <w:lang w:val="es-ES_tradnl"/>
        </w:rPr>
        <w:t xml:space="preserve">n a su </w:t>
      </w:r>
      <w:r>
        <w:rPr>
          <w:spacing w:val="-6"/>
          <w:sz w:val="18"/>
          <w:szCs w:val="18"/>
          <w:lang w:val="es-ES_tradnl"/>
        </w:rPr>
        <w:t xml:space="preserve">alcance, para inmediatamente convocar a audiencia, es </w:t>
      </w:r>
      <w:r>
        <w:rPr>
          <w:spacing w:val="-3"/>
          <w:sz w:val="18"/>
          <w:szCs w:val="18"/>
          <w:lang w:val="es-ES_tradnl"/>
        </w:rPr>
        <w:t>decir, el procedimiento de garant</w:t>
      </w:r>
      <w:r>
        <w:rPr>
          <w:rFonts w:cs="Times New Roman"/>
          <w:spacing w:val="-3"/>
          <w:sz w:val="18"/>
          <w:szCs w:val="18"/>
          <w:lang w:val="es-ES_tradnl"/>
        </w:rPr>
        <w:t>í</w:t>
      </w:r>
      <w:r>
        <w:rPr>
          <w:spacing w:val="-3"/>
          <w:sz w:val="18"/>
          <w:szCs w:val="18"/>
          <w:lang w:val="es-ES_tradnl"/>
        </w:rPr>
        <w:t xml:space="preserve">as jurisdiccionales de </w:t>
      </w:r>
      <w:r>
        <w:rPr>
          <w:spacing w:val="-7"/>
          <w:sz w:val="18"/>
          <w:szCs w:val="18"/>
          <w:lang w:val="es-ES_tradnl"/>
        </w:rPr>
        <w:t>los derechos se desarrolla con caracter</w:t>
      </w:r>
      <w:r>
        <w:rPr>
          <w:rFonts w:cs="Times New Roman"/>
          <w:spacing w:val="-7"/>
          <w:sz w:val="18"/>
          <w:szCs w:val="18"/>
          <w:lang w:val="es-ES_tradnl"/>
        </w:rPr>
        <w:t>í</w:t>
      </w:r>
      <w:r>
        <w:rPr>
          <w:spacing w:val="-7"/>
          <w:sz w:val="18"/>
          <w:szCs w:val="18"/>
          <w:lang w:val="es-ES_tradnl"/>
        </w:rPr>
        <w:t xml:space="preserve">sticas propias que </w:t>
      </w:r>
      <w:r>
        <w:rPr>
          <w:spacing w:val="-6"/>
          <w:sz w:val="18"/>
          <w:szCs w:val="18"/>
          <w:lang w:val="es-ES_tradnl"/>
        </w:rPr>
        <w:t>demuestran una mayor informalidad en su sustanciaci</w:t>
      </w:r>
      <w:r>
        <w:rPr>
          <w:rFonts w:cs="Times New Roman"/>
          <w:spacing w:val="-6"/>
          <w:sz w:val="18"/>
          <w:szCs w:val="18"/>
          <w:lang w:val="es-ES_tradnl"/>
        </w:rPr>
        <w:t>ó</w:t>
      </w:r>
      <w:r>
        <w:rPr>
          <w:spacing w:val="-6"/>
          <w:sz w:val="18"/>
          <w:szCs w:val="18"/>
          <w:lang w:val="es-ES_tradnl"/>
        </w:rPr>
        <w:t>n, en comparaci</w:t>
      </w:r>
      <w:r>
        <w:rPr>
          <w:rFonts w:cs="Times New Roman"/>
          <w:spacing w:val="-6"/>
          <w:sz w:val="18"/>
          <w:szCs w:val="18"/>
          <w:lang w:val="es-ES_tradnl"/>
        </w:rPr>
        <w:t>ó</w:t>
      </w:r>
      <w:r>
        <w:rPr>
          <w:spacing w:val="-6"/>
          <w:sz w:val="18"/>
          <w:szCs w:val="18"/>
          <w:lang w:val="es-ES_tradnl"/>
        </w:rPr>
        <w:t>n con los procesos de la justicia ordinaria.</w:t>
      </w:r>
    </w:p>
    <w:p w14:paraId="4F67AE38" w14:textId="77777777" w:rsidR="00591D54" w:rsidRDefault="00591D54">
      <w:pPr>
        <w:shd w:val="clear" w:color="auto" w:fill="FFFFFF"/>
        <w:spacing w:before="192" w:line="211" w:lineRule="exact"/>
        <w:jc w:val="both"/>
      </w:pPr>
      <w:r>
        <w:rPr>
          <w:spacing w:val="-7"/>
          <w:sz w:val="18"/>
          <w:szCs w:val="18"/>
          <w:lang w:val="es-ES_tradnl"/>
        </w:rPr>
        <w:t>Seg</w:t>
      </w:r>
      <w:r>
        <w:rPr>
          <w:rFonts w:cs="Times New Roman"/>
          <w:spacing w:val="-7"/>
          <w:sz w:val="18"/>
          <w:szCs w:val="18"/>
          <w:lang w:val="es-ES_tradnl"/>
        </w:rPr>
        <w:t>ú</w:t>
      </w:r>
      <w:r>
        <w:rPr>
          <w:spacing w:val="-7"/>
          <w:sz w:val="18"/>
          <w:szCs w:val="18"/>
          <w:lang w:val="es-ES_tradnl"/>
        </w:rPr>
        <w:t>n se desprende de los art</w:t>
      </w:r>
      <w:r>
        <w:rPr>
          <w:rFonts w:cs="Times New Roman"/>
          <w:spacing w:val="-7"/>
          <w:sz w:val="18"/>
          <w:szCs w:val="18"/>
          <w:lang w:val="es-ES_tradnl"/>
        </w:rPr>
        <w:t>í</w:t>
      </w:r>
      <w:r>
        <w:rPr>
          <w:spacing w:val="-7"/>
          <w:sz w:val="18"/>
          <w:szCs w:val="18"/>
          <w:lang w:val="es-ES_tradnl"/>
        </w:rPr>
        <w:t xml:space="preserve">culos 40 y 42 de la Ley </w:t>
      </w:r>
      <w:r>
        <w:rPr>
          <w:spacing w:val="-3"/>
          <w:sz w:val="18"/>
          <w:szCs w:val="18"/>
          <w:lang w:val="es-ES_tradnl"/>
        </w:rPr>
        <w:t>Org</w:t>
      </w:r>
      <w:r>
        <w:rPr>
          <w:rFonts w:cs="Times New Roman"/>
          <w:spacing w:val="-3"/>
          <w:sz w:val="18"/>
          <w:szCs w:val="18"/>
          <w:lang w:val="es-ES_tradnl"/>
        </w:rPr>
        <w:t>á</w:t>
      </w:r>
      <w:r>
        <w:rPr>
          <w:spacing w:val="-3"/>
          <w:sz w:val="18"/>
          <w:szCs w:val="18"/>
          <w:lang w:val="es-ES_tradnl"/>
        </w:rPr>
        <w:t>nica de Garant</w:t>
      </w:r>
      <w:r>
        <w:rPr>
          <w:rFonts w:cs="Times New Roman"/>
          <w:spacing w:val="-3"/>
          <w:sz w:val="18"/>
          <w:szCs w:val="18"/>
          <w:lang w:val="es-ES_tradnl"/>
        </w:rPr>
        <w:t>í</w:t>
      </w:r>
      <w:r>
        <w:rPr>
          <w:spacing w:val="-3"/>
          <w:sz w:val="18"/>
          <w:szCs w:val="18"/>
          <w:lang w:val="es-ES_tradnl"/>
        </w:rPr>
        <w:t xml:space="preserve">as Jurisdiccionales y Control </w:t>
      </w:r>
      <w:r>
        <w:rPr>
          <w:spacing w:val="-6"/>
          <w:sz w:val="18"/>
          <w:szCs w:val="18"/>
          <w:lang w:val="es-ES_tradnl"/>
        </w:rPr>
        <w:t>Constitucional, la acci</w:t>
      </w:r>
      <w:r>
        <w:rPr>
          <w:rFonts w:cs="Times New Roman"/>
          <w:spacing w:val="-6"/>
          <w:sz w:val="18"/>
          <w:szCs w:val="18"/>
          <w:lang w:val="es-ES_tradnl"/>
        </w:rPr>
        <w:t>ó</w:t>
      </w:r>
      <w:r>
        <w:rPr>
          <w:spacing w:val="-6"/>
          <w:sz w:val="18"/>
          <w:szCs w:val="18"/>
          <w:lang w:val="es-ES_tradnl"/>
        </w:rPr>
        <w:t>n de protecci</w:t>
      </w:r>
      <w:r>
        <w:rPr>
          <w:rFonts w:cs="Times New Roman"/>
          <w:spacing w:val="-6"/>
          <w:sz w:val="18"/>
          <w:szCs w:val="18"/>
          <w:lang w:val="es-ES_tradnl"/>
        </w:rPr>
        <w:t>ó</w:t>
      </w:r>
      <w:r>
        <w:rPr>
          <w:spacing w:val="-6"/>
          <w:sz w:val="18"/>
          <w:szCs w:val="18"/>
          <w:lang w:val="es-ES_tradnl"/>
        </w:rPr>
        <w:t xml:space="preserve">n tiene causales de </w:t>
      </w:r>
      <w:r>
        <w:rPr>
          <w:sz w:val="18"/>
          <w:szCs w:val="18"/>
          <w:lang w:val="es-ES_tradnl"/>
        </w:rPr>
        <w:t>inadmisi</w:t>
      </w:r>
      <w:r>
        <w:rPr>
          <w:rFonts w:cs="Times New Roman"/>
          <w:sz w:val="18"/>
          <w:szCs w:val="18"/>
          <w:lang w:val="es-ES_tradnl"/>
        </w:rPr>
        <w:t>ó</w:t>
      </w:r>
      <w:r>
        <w:rPr>
          <w:sz w:val="18"/>
          <w:szCs w:val="18"/>
          <w:lang w:val="es-ES_tradnl"/>
        </w:rPr>
        <w:t>n e improcedencia.</w:t>
      </w:r>
    </w:p>
    <w:p w14:paraId="4F67AE39" w14:textId="77777777" w:rsidR="00591D54" w:rsidRDefault="00591D54">
      <w:pPr>
        <w:shd w:val="clear" w:color="auto" w:fill="FFFFFF"/>
        <w:spacing w:before="192" w:line="211" w:lineRule="exact"/>
        <w:jc w:val="both"/>
        <w:sectPr w:rsidR="00591D54">
          <w:type w:val="continuous"/>
          <w:pgSz w:w="11909" w:h="16834"/>
          <w:pgMar w:top="1356" w:right="1309" w:bottom="360" w:left="1308" w:header="720" w:footer="720" w:gutter="0"/>
          <w:cols w:num="2" w:space="720" w:equalWidth="0">
            <w:col w:w="4305" w:space="682"/>
            <w:col w:w="4305"/>
          </w:cols>
          <w:noEndnote/>
        </w:sectPr>
      </w:pPr>
    </w:p>
    <w:p w14:paraId="4F67AE3A"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- 131</w:t>
      </w:r>
    </w:p>
    <w:p w14:paraId="4F67AE3B" w14:textId="77777777" w:rsidR="00591D54" w:rsidRDefault="00591D54">
      <w:pPr>
        <w:shd w:val="clear" w:color="auto" w:fill="FFFFFF"/>
        <w:tabs>
          <w:tab w:val="left" w:pos="5842"/>
        </w:tabs>
        <w:spacing w:after="235"/>
        <w:ind w:left="5"/>
        <w:sectPr w:rsidR="00591D54">
          <w:pgSz w:w="11909" w:h="16834"/>
          <w:pgMar w:top="1356" w:right="1309" w:bottom="360" w:left="1308" w:header="720" w:footer="720" w:gutter="0"/>
          <w:cols w:space="60"/>
          <w:noEndnote/>
        </w:sectPr>
      </w:pPr>
    </w:p>
    <w:p w14:paraId="4F67AE3C" w14:textId="77777777" w:rsidR="00591D54" w:rsidRDefault="00591D54">
      <w:pPr>
        <w:shd w:val="clear" w:color="auto" w:fill="FFFFFF"/>
        <w:spacing w:line="216" w:lineRule="exact"/>
        <w:jc w:val="both"/>
      </w:pPr>
      <w:r>
        <w:rPr>
          <w:spacing w:val="-8"/>
          <w:sz w:val="18"/>
          <w:szCs w:val="18"/>
          <w:lang w:val="es-ES_tradnl"/>
        </w:rPr>
        <w:t xml:space="preserve">Es criterio de esta Corte que por un lado, se encuentran las </w:t>
      </w:r>
      <w:r>
        <w:rPr>
          <w:spacing w:val="-10"/>
          <w:sz w:val="18"/>
          <w:szCs w:val="18"/>
          <w:lang w:val="es-ES_tradnl"/>
        </w:rPr>
        <w:t>causales de inadmisi</w:t>
      </w:r>
      <w:r>
        <w:rPr>
          <w:rFonts w:cs="Times New Roman"/>
          <w:spacing w:val="-10"/>
          <w:sz w:val="18"/>
          <w:szCs w:val="18"/>
          <w:lang w:val="es-ES_tradnl"/>
        </w:rPr>
        <w:t>ó</w:t>
      </w:r>
      <w:r>
        <w:rPr>
          <w:spacing w:val="-10"/>
          <w:sz w:val="18"/>
          <w:szCs w:val="18"/>
          <w:lang w:val="es-ES_tradnl"/>
        </w:rPr>
        <w:t xml:space="preserve">n, en las que el juez constitucional, sin </w:t>
      </w:r>
      <w:r>
        <w:rPr>
          <w:spacing w:val="-9"/>
          <w:sz w:val="18"/>
          <w:szCs w:val="18"/>
          <w:lang w:val="es-ES_tradnl"/>
        </w:rPr>
        <w:t>requerir de un mayor an</w:t>
      </w:r>
      <w:r>
        <w:rPr>
          <w:rFonts w:cs="Times New Roman"/>
          <w:spacing w:val="-9"/>
          <w:sz w:val="18"/>
          <w:szCs w:val="18"/>
          <w:lang w:val="es-ES_tradnl"/>
        </w:rPr>
        <w:t>á</w:t>
      </w:r>
      <w:r>
        <w:rPr>
          <w:spacing w:val="-9"/>
          <w:sz w:val="18"/>
          <w:szCs w:val="18"/>
          <w:lang w:val="es-ES_tradnl"/>
        </w:rPr>
        <w:t>lisis ni sustanciaci</w:t>
      </w:r>
      <w:r>
        <w:rPr>
          <w:rFonts w:cs="Times New Roman"/>
          <w:spacing w:val="-9"/>
          <w:sz w:val="18"/>
          <w:szCs w:val="18"/>
          <w:lang w:val="es-ES_tradnl"/>
        </w:rPr>
        <w:t>ó</w:t>
      </w:r>
      <w:r>
        <w:rPr>
          <w:spacing w:val="-9"/>
          <w:sz w:val="18"/>
          <w:szCs w:val="18"/>
          <w:lang w:val="es-ES_tradnl"/>
        </w:rPr>
        <w:t>n del proceso</w:t>
      </w:r>
      <w:r>
        <w:rPr>
          <w:spacing w:val="-9"/>
          <w:sz w:val="18"/>
          <w:szCs w:val="18"/>
          <w:vertAlign w:val="superscript"/>
          <w:lang w:val="es-ES_tradnl"/>
        </w:rPr>
        <w:t>7</w:t>
      </w:r>
      <w:r>
        <w:rPr>
          <w:spacing w:val="-9"/>
          <w:sz w:val="18"/>
          <w:szCs w:val="18"/>
          <w:lang w:val="es-ES_tradnl"/>
        </w:rPr>
        <w:t>, inadmite la acci</w:t>
      </w:r>
      <w:r>
        <w:rPr>
          <w:rFonts w:cs="Times New Roman"/>
          <w:spacing w:val="-9"/>
          <w:sz w:val="18"/>
          <w:szCs w:val="18"/>
          <w:lang w:val="es-ES_tradnl"/>
        </w:rPr>
        <w:t>ó</w:t>
      </w:r>
      <w:r>
        <w:rPr>
          <w:spacing w:val="-9"/>
          <w:sz w:val="18"/>
          <w:szCs w:val="18"/>
          <w:lang w:val="es-ES_tradnl"/>
        </w:rPr>
        <w:t xml:space="preserve">n ya sea porque esta fue presentada sobre </w:t>
      </w:r>
      <w:r>
        <w:rPr>
          <w:spacing w:val="-6"/>
          <w:sz w:val="18"/>
          <w:szCs w:val="18"/>
          <w:lang w:val="es-ES_tradnl"/>
        </w:rPr>
        <w:t xml:space="preserve">un pronunciamiento judicial o porque fue presentada en </w:t>
      </w:r>
      <w:r>
        <w:rPr>
          <w:spacing w:val="-10"/>
          <w:sz w:val="18"/>
          <w:szCs w:val="18"/>
          <w:lang w:val="es-ES_tradnl"/>
        </w:rPr>
        <w:t>contra de un acto u omisi</w:t>
      </w:r>
      <w:r>
        <w:rPr>
          <w:rFonts w:cs="Times New Roman"/>
          <w:spacing w:val="-10"/>
          <w:sz w:val="18"/>
          <w:szCs w:val="18"/>
          <w:lang w:val="es-ES_tradnl"/>
        </w:rPr>
        <w:t>ó</w:t>
      </w:r>
      <w:r>
        <w:rPr>
          <w:spacing w:val="-10"/>
          <w:sz w:val="18"/>
          <w:szCs w:val="18"/>
          <w:lang w:val="es-ES_tradnl"/>
        </w:rPr>
        <w:t>n del Consejo Nacional Electoral</w:t>
      </w:r>
      <w:r>
        <w:rPr>
          <w:spacing w:val="-10"/>
          <w:sz w:val="18"/>
          <w:szCs w:val="18"/>
          <w:vertAlign w:val="superscript"/>
          <w:lang w:val="es-ES_tradnl"/>
        </w:rPr>
        <w:t>8</w:t>
      </w:r>
      <w:r>
        <w:rPr>
          <w:spacing w:val="-10"/>
          <w:sz w:val="18"/>
          <w:szCs w:val="18"/>
          <w:lang w:val="es-ES_tradnl"/>
        </w:rPr>
        <w:t xml:space="preserve">, </w:t>
      </w:r>
      <w:r>
        <w:rPr>
          <w:spacing w:val="-8"/>
          <w:sz w:val="18"/>
          <w:szCs w:val="18"/>
          <w:lang w:val="es-ES_tradnl"/>
        </w:rPr>
        <w:t>causales por las que procede de forma directa y sin ning</w:t>
      </w:r>
      <w:r>
        <w:rPr>
          <w:rFonts w:cs="Times New Roman"/>
          <w:spacing w:val="-8"/>
          <w:sz w:val="18"/>
          <w:szCs w:val="18"/>
          <w:lang w:val="es-ES_tradnl"/>
        </w:rPr>
        <w:t>ú</w:t>
      </w:r>
      <w:r>
        <w:rPr>
          <w:spacing w:val="-8"/>
          <w:sz w:val="18"/>
          <w:szCs w:val="18"/>
          <w:lang w:val="es-ES_tradnl"/>
        </w:rPr>
        <w:t>n an</w:t>
      </w:r>
      <w:r>
        <w:rPr>
          <w:rFonts w:cs="Times New Roman"/>
          <w:spacing w:val="-8"/>
          <w:sz w:val="18"/>
          <w:szCs w:val="18"/>
          <w:lang w:val="es-ES_tradnl"/>
        </w:rPr>
        <w:t>á</w:t>
      </w:r>
      <w:r>
        <w:rPr>
          <w:spacing w:val="-8"/>
          <w:sz w:val="18"/>
          <w:szCs w:val="18"/>
          <w:lang w:val="es-ES_tradnl"/>
        </w:rPr>
        <w:t>lisis la inadmisi</w:t>
      </w:r>
      <w:r>
        <w:rPr>
          <w:rFonts w:cs="Times New Roman"/>
          <w:spacing w:val="-8"/>
          <w:sz w:val="18"/>
          <w:szCs w:val="18"/>
          <w:lang w:val="es-ES_tradnl"/>
        </w:rPr>
        <w:t>ó</w:t>
      </w:r>
      <w:r>
        <w:rPr>
          <w:spacing w:val="-8"/>
          <w:sz w:val="18"/>
          <w:szCs w:val="18"/>
          <w:lang w:val="es-ES_tradnl"/>
        </w:rPr>
        <w:t xml:space="preserve">n, pues dichos actos son identificables </w:t>
      </w:r>
      <w:r>
        <w:rPr>
          <w:spacing w:val="-6"/>
          <w:sz w:val="18"/>
          <w:szCs w:val="18"/>
          <w:lang w:val="es-ES_tradnl"/>
        </w:rPr>
        <w:t xml:space="preserve">por el juez constitucional desde el momento inicial en que </w:t>
      </w:r>
      <w:r>
        <w:rPr>
          <w:sz w:val="18"/>
          <w:szCs w:val="18"/>
          <w:lang w:val="es-ES_tradnl"/>
        </w:rPr>
        <w:t>la acci</w:t>
      </w:r>
      <w:r>
        <w:rPr>
          <w:rFonts w:cs="Times New Roman"/>
          <w:sz w:val="18"/>
          <w:szCs w:val="18"/>
          <w:lang w:val="es-ES_tradnl"/>
        </w:rPr>
        <w:t>ó</w:t>
      </w:r>
      <w:r>
        <w:rPr>
          <w:sz w:val="18"/>
          <w:szCs w:val="18"/>
          <w:lang w:val="es-ES_tradnl"/>
        </w:rPr>
        <w:t>n es presentada.</w:t>
      </w:r>
    </w:p>
    <w:p w14:paraId="4F67AE3D" w14:textId="77777777" w:rsidR="00591D54" w:rsidRDefault="00591D54">
      <w:pPr>
        <w:shd w:val="clear" w:color="auto" w:fill="FFFFFF"/>
        <w:spacing w:before="197" w:line="216" w:lineRule="exact"/>
        <w:ind w:right="5"/>
        <w:jc w:val="both"/>
      </w:pPr>
      <w:r>
        <w:rPr>
          <w:spacing w:val="-8"/>
          <w:sz w:val="18"/>
          <w:szCs w:val="18"/>
          <w:lang w:val="es-ES_tradnl"/>
        </w:rPr>
        <w:t>Por otra parte, est</w:t>
      </w:r>
      <w:r>
        <w:rPr>
          <w:rFonts w:cs="Times New Roman"/>
          <w:spacing w:val="-8"/>
          <w:sz w:val="18"/>
          <w:szCs w:val="18"/>
          <w:lang w:val="es-ES_tradnl"/>
        </w:rPr>
        <w:t>á</w:t>
      </w:r>
      <w:r>
        <w:rPr>
          <w:spacing w:val="-8"/>
          <w:sz w:val="18"/>
          <w:szCs w:val="18"/>
          <w:lang w:val="es-ES_tradnl"/>
        </w:rPr>
        <w:t xml:space="preserve">n las causales de improcedencia de la </w:t>
      </w:r>
      <w:r>
        <w:rPr>
          <w:spacing w:val="-12"/>
          <w:sz w:val="18"/>
          <w:szCs w:val="18"/>
          <w:lang w:val="es-ES_tradnl"/>
        </w:rPr>
        <w:t>acci</w:t>
      </w:r>
      <w:r>
        <w:rPr>
          <w:rFonts w:cs="Times New Roman"/>
          <w:spacing w:val="-12"/>
          <w:sz w:val="18"/>
          <w:szCs w:val="18"/>
          <w:lang w:val="es-ES_tradnl"/>
        </w:rPr>
        <w:t>ó</w:t>
      </w:r>
      <w:r>
        <w:rPr>
          <w:spacing w:val="-12"/>
          <w:sz w:val="18"/>
          <w:szCs w:val="18"/>
          <w:lang w:val="es-ES_tradnl"/>
        </w:rPr>
        <w:t>n de protecci</w:t>
      </w:r>
      <w:r>
        <w:rPr>
          <w:rFonts w:cs="Times New Roman"/>
          <w:spacing w:val="-12"/>
          <w:sz w:val="18"/>
          <w:szCs w:val="18"/>
          <w:lang w:val="es-ES_tradnl"/>
        </w:rPr>
        <w:t>ó</w:t>
      </w:r>
      <w:r>
        <w:rPr>
          <w:spacing w:val="-12"/>
          <w:sz w:val="18"/>
          <w:szCs w:val="18"/>
          <w:lang w:val="es-ES_tradnl"/>
        </w:rPr>
        <w:t xml:space="preserve">n, en donde el juez debe, necesariamente, </w:t>
      </w:r>
      <w:r>
        <w:rPr>
          <w:spacing w:val="-10"/>
          <w:sz w:val="18"/>
          <w:szCs w:val="18"/>
          <w:lang w:val="es-ES_tradnl"/>
        </w:rPr>
        <w:t>no solo impulsar la sustanciaci</w:t>
      </w:r>
      <w:r>
        <w:rPr>
          <w:rFonts w:cs="Times New Roman"/>
          <w:spacing w:val="-10"/>
          <w:sz w:val="18"/>
          <w:szCs w:val="18"/>
          <w:lang w:val="es-ES_tradnl"/>
        </w:rPr>
        <w:t>ó</w:t>
      </w:r>
      <w:r>
        <w:rPr>
          <w:spacing w:val="-10"/>
          <w:sz w:val="18"/>
          <w:szCs w:val="18"/>
          <w:lang w:val="es-ES_tradnl"/>
        </w:rPr>
        <w:t>n del proceso, sino, tambi</w:t>
      </w:r>
      <w:r>
        <w:rPr>
          <w:rFonts w:cs="Times New Roman"/>
          <w:spacing w:val="-10"/>
          <w:sz w:val="18"/>
          <w:szCs w:val="18"/>
          <w:lang w:val="es-ES_tradnl"/>
        </w:rPr>
        <w:t>é</w:t>
      </w:r>
      <w:r>
        <w:rPr>
          <w:spacing w:val="-10"/>
          <w:sz w:val="18"/>
          <w:szCs w:val="18"/>
          <w:lang w:val="es-ES_tradnl"/>
        </w:rPr>
        <w:t xml:space="preserve">n, </w:t>
      </w:r>
      <w:r>
        <w:rPr>
          <w:spacing w:val="-7"/>
          <w:sz w:val="18"/>
          <w:szCs w:val="18"/>
          <w:lang w:val="es-ES_tradnl"/>
        </w:rPr>
        <w:t>efectuar un an</w:t>
      </w:r>
      <w:r>
        <w:rPr>
          <w:rFonts w:cs="Times New Roman"/>
          <w:spacing w:val="-7"/>
          <w:sz w:val="18"/>
          <w:szCs w:val="18"/>
          <w:lang w:val="es-ES_tradnl"/>
        </w:rPr>
        <w:t>á</w:t>
      </w:r>
      <w:r>
        <w:rPr>
          <w:spacing w:val="-7"/>
          <w:sz w:val="18"/>
          <w:szCs w:val="18"/>
          <w:lang w:val="es-ES_tradnl"/>
        </w:rPr>
        <w:t xml:space="preserve">lisis minucioso que le permita formarse un </w:t>
      </w:r>
      <w:r>
        <w:rPr>
          <w:spacing w:val="-4"/>
          <w:sz w:val="18"/>
          <w:szCs w:val="18"/>
          <w:lang w:val="es-ES_tradnl"/>
        </w:rPr>
        <w:t>criterio de si existi</w:t>
      </w:r>
      <w:r>
        <w:rPr>
          <w:rFonts w:cs="Times New Roman"/>
          <w:spacing w:val="-4"/>
          <w:sz w:val="18"/>
          <w:szCs w:val="18"/>
          <w:lang w:val="es-ES_tradnl"/>
        </w:rPr>
        <w:t>ó</w:t>
      </w:r>
      <w:r>
        <w:rPr>
          <w:spacing w:val="-4"/>
          <w:sz w:val="18"/>
          <w:szCs w:val="18"/>
          <w:lang w:val="es-ES_tradnl"/>
        </w:rPr>
        <w:t xml:space="preserve"> o no la vulneraci</w:t>
      </w:r>
      <w:r>
        <w:rPr>
          <w:rFonts w:cs="Times New Roman"/>
          <w:spacing w:val="-4"/>
          <w:sz w:val="18"/>
          <w:szCs w:val="18"/>
          <w:lang w:val="es-ES_tradnl"/>
        </w:rPr>
        <w:t>ó</w:t>
      </w:r>
      <w:r>
        <w:rPr>
          <w:spacing w:val="-4"/>
          <w:sz w:val="18"/>
          <w:szCs w:val="18"/>
          <w:lang w:val="es-ES_tradnl"/>
        </w:rPr>
        <w:t xml:space="preserve">n de un derecho </w:t>
      </w:r>
      <w:r>
        <w:rPr>
          <w:spacing w:val="-7"/>
          <w:sz w:val="18"/>
          <w:szCs w:val="18"/>
          <w:lang w:val="es-ES_tradnl"/>
        </w:rPr>
        <w:t>constitucional y determinarlo de manera motivada a trav</w:t>
      </w:r>
      <w:r>
        <w:rPr>
          <w:rFonts w:cs="Times New Roman"/>
          <w:spacing w:val="-7"/>
          <w:sz w:val="18"/>
          <w:szCs w:val="18"/>
          <w:lang w:val="es-ES_tradnl"/>
        </w:rPr>
        <w:t>é</w:t>
      </w:r>
      <w:r>
        <w:rPr>
          <w:spacing w:val="-7"/>
          <w:sz w:val="18"/>
          <w:szCs w:val="18"/>
          <w:lang w:val="es-ES_tradnl"/>
        </w:rPr>
        <w:t xml:space="preserve">s </w:t>
      </w:r>
      <w:r>
        <w:rPr>
          <w:sz w:val="18"/>
          <w:szCs w:val="18"/>
          <w:lang w:val="es-ES_tradnl"/>
        </w:rPr>
        <w:t>de una sentencia.</w:t>
      </w:r>
    </w:p>
    <w:p w14:paraId="4F67AE3E" w14:textId="77777777" w:rsidR="00591D54" w:rsidRDefault="00591D54">
      <w:pPr>
        <w:shd w:val="clear" w:color="auto" w:fill="FFFFFF"/>
        <w:spacing w:before="197" w:line="216" w:lineRule="exact"/>
        <w:ind w:right="5"/>
        <w:jc w:val="both"/>
      </w:pPr>
      <w:r>
        <w:rPr>
          <w:spacing w:val="-6"/>
          <w:sz w:val="18"/>
          <w:szCs w:val="18"/>
          <w:lang w:val="es-ES_tradnl"/>
        </w:rPr>
        <w:t>Consecuentemente, bajo los supuestos del art</w:t>
      </w:r>
      <w:r>
        <w:rPr>
          <w:rFonts w:cs="Times New Roman"/>
          <w:spacing w:val="-6"/>
          <w:sz w:val="18"/>
          <w:szCs w:val="18"/>
          <w:lang w:val="es-ES_tradnl"/>
        </w:rPr>
        <w:t>í</w:t>
      </w:r>
      <w:r>
        <w:rPr>
          <w:spacing w:val="-6"/>
          <w:sz w:val="18"/>
          <w:szCs w:val="18"/>
          <w:lang w:val="es-ES_tradnl"/>
        </w:rPr>
        <w:t>culo 10 de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Control </w:t>
      </w:r>
      <w:r>
        <w:rPr>
          <w:spacing w:val="-5"/>
          <w:sz w:val="18"/>
          <w:szCs w:val="18"/>
          <w:lang w:val="es-ES_tradnl"/>
        </w:rPr>
        <w:t>Constitucional, la inadmisi</w:t>
      </w:r>
      <w:r>
        <w:rPr>
          <w:rFonts w:cs="Times New Roman"/>
          <w:spacing w:val="-5"/>
          <w:sz w:val="18"/>
          <w:szCs w:val="18"/>
          <w:lang w:val="es-ES_tradnl"/>
        </w:rPr>
        <w:t>ó</w:t>
      </w:r>
      <w:r>
        <w:rPr>
          <w:spacing w:val="-5"/>
          <w:sz w:val="18"/>
          <w:szCs w:val="18"/>
          <w:lang w:val="es-ES_tradnl"/>
        </w:rPr>
        <w:t>n en la acci</w:t>
      </w:r>
      <w:r>
        <w:rPr>
          <w:rFonts w:cs="Times New Roman"/>
          <w:spacing w:val="-5"/>
          <w:sz w:val="18"/>
          <w:szCs w:val="18"/>
          <w:lang w:val="es-ES_tradnl"/>
        </w:rPr>
        <w:t>ó</w:t>
      </w:r>
      <w:r>
        <w:rPr>
          <w:spacing w:val="-5"/>
          <w:sz w:val="18"/>
          <w:szCs w:val="18"/>
          <w:lang w:val="es-ES_tradnl"/>
        </w:rPr>
        <w:t>n de protecci</w:t>
      </w:r>
      <w:r>
        <w:rPr>
          <w:rFonts w:cs="Times New Roman"/>
          <w:spacing w:val="-5"/>
          <w:sz w:val="18"/>
          <w:szCs w:val="18"/>
          <w:lang w:val="es-ES_tradnl"/>
        </w:rPr>
        <w:t>ó</w:t>
      </w:r>
      <w:r>
        <w:rPr>
          <w:spacing w:val="-5"/>
          <w:sz w:val="18"/>
          <w:szCs w:val="18"/>
          <w:lang w:val="es-ES_tradnl"/>
        </w:rPr>
        <w:t xml:space="preserve">n </w:t>
      </w:r>
      <w:r>
        <w:rPr>
          <w:spacing w:val="-2"/>
          <w:sz w:val="18"/>
          <w:szCs w:val="18"/>
          <w:lang w:val="es-ES_tradnl"/>
        </w:rPr>
        <w:t>resulta una cuesti</w:t>
      </w:r>
      <w:r>
        <w:rPr>
          <w:rFonts w:cs="Times New Roman"/>
          <w:spacing w:val="-2"/>
          <w:sz w:val="18"/>
          <w:szCs w:val="18"/>
          <w:lang w:val="es-ES_tradnl"/>
        </w:rPr>
        <w:t>ó</w:t>
      </w:r>
      <w:r>
        <w:rPr>
          <w:spacing w:val="-2"/>
          <w:sz w:val="18"/>
          <w:szCs w:val="18"/>
          <w:lang w:val="es-ES_tradnl"/>
        </w:rPr>
        <w:t xml:space="preserve">n excepcional, es decir, solo debe </w:t>
      </w:r>
      <w:r>
        <w:rPr>
          <w:spacing w:val="-3"/>
          <w:sz w:val="18"/>
          <w:szCs w:val="18"/>
          <w:lang w:val="es-ES_tradnl"/>
        </w:rPr>
        <w:t xml:space="preserve">darse ante la imposibilidad del juez de subsanar los </w:t>
      </w:r>
      <w:r>
        <w:rPr>
          <w:spacing w:val="-7"/>
          <w:sz w:val="18"/>
          <w:szCs w:val="18"/>
          <w:lang w:val="es-ES_tradnl"/>
        </w:rPr>
        <w:t>requisitos de contenido m</w:t>
      </w:r>
      <w:r>
        <w:rPr>
          <w:rFonts w:cs="Times New Roman"/>
          <w:spacing w:val="-7"/>
          <w:sz w:val="18"/>
          <w:szCs w:val="18"/>
          <w:lang w:val="es-ES_tradnl"/>
        </w:rPr>
        <w:t>í</w:t>
      </w:r>
      <w:r>
        <w:rPr>
          <w:spacing w:val="-7"/>
          <w:sz w:val="18"/>
          <w:szCs w:val="18"/>
          <w:lang w:val="es-ES_tradnl"/>
        </w:rPr>
        <w:t>nimo de la demanda. En efecto, el car</w:t>
      </w:r>
      <w:r>
        <w:rPr>
          <w:rFonts w:cs="Times New Roman"/>
          <w:spacing w:val="-7"/>
          <w:sz w:val="18"/>
          <w:szCs w:val="18"/>
          <w:lang w:val="es-ES_tradnl"/>
        </w:rPr>
        <w:t>á</w:t>
      </w:r>
      <w:r>
        <w:rPr>
          <w:spacing w:val="-7"/>
          <w:sz w:val="18"/>
          <w:szCs w:val="18"/>
          <w:lang w:val="es-ES_tradnl"/>
        </w:rPr>
        <w:t>cter de protecci</w:t>
      </w:r>
      <w:r>
        <w:rPr>
          <w:rFonts w:cs="Times New Roman"/>
          <w:spacing w:val="-7"/>
          <w:sz w:val="18"/>
          <w:szCs w:val="18"/>
          <w:lang w:val="es-ES_tradnl"/>
        </w:rPr>
        <w:t>ó</w:t>
      </w:r>
      <w:r>
        <w:rPr>
          <w:spacing w:val="-7"/>
          <w:sz w:val="18"/>
          <w:szCs w:val="18"/>
          <w:lang w:val="es-ES_tradnl"/>
        </w:rPr>
        <w:t>n de las garant</w:t>
      </w:r>
      <w:r>
        <w:rPr>
          <w:rFonts w:cs="Times New Roman"/>
          <w:spacing w:val="-7"/>
          <w:sz w:val="18"/>
          <w:szCs w:val="18"/>
          <w:lang w:val="es-ES_tradnl"/>
        </w:rPr>
        <w:t>í</w:t>
      </w:r>
      <w:r>
        <w:rPr>
          <w:spacing w:val="-7"/>
          <w:sz w:val="18"/>
          <w:szCs w:val="18"/>
          <w:lang w:val="es-ES_tradnl"/>
        </w:rPr>
        <w:t xml:space="preserve">as jurisdiccionales </w:t>
      </w:r>
      <w:r>
        <w:rPr>
          <w:spacing w:val="-6"/>
          <w:sz w:val="18"/>
          <w:szCs w:val="18"/>
          <w:lang w:val="es-ES_tradnl"/>
        </w:rPr>
        <w:t xml:space="preserve">obliga al juzgador a efectuar una verdadera tutela judicial </w:t>
      </w:r>
      <w:r>
        <w:rPr>
          <w:spacing w:val="-8"/>
          <w:sz w:val="18"/>
          <w:szCs w:val="18"/>
          <w:lang w:val="es-ES_tradnl"/>
        </w:rPr>
        <w:t>efectiva ante una aparente vulneraci</w:t>
      </w:r>
      <w:r>
        <w:rPr>
          <w:rFonts w:cs="Times New Roman"/>
          <w:spacing w:val="-8"/>
          <w:sz w:val="18"/>
          <w:szCs w:val="18"/>
          <w:lang w:val="es-ES_tradnl"/>
        </w:rPr>
        <w:t>ó</w:t>
      </w:r>
      <w:r>
        <w:rPr>
          <w:spacing w:val="-8"/>
          <w:sz w:val="18"/>
          <w:szCs w:val="18"/>
          <w:lang w:val="es-ES_tradnl"/>
        </w:rPr>
        <w:t xml:space="preserve">n de los derechos </w:t>
      </w:r>
      <w:r>
        <w:rPr>
          <w:spacing w:val="-6"/>
          <w:sz w:val="18"/>
          <w:szCs w:val="18"/>
          <w:lang w:val="es-ES_tradnl"/>
        </w:rPr>
        <w:t xml:space="preserve">constitucionales, para que, </w:t>
      </w:r>
      <w:r>
        <w:rPr>
          <w:rFonts w:cs="Times New Roman"/>
          <w:spacing w:val="-6"/>
          <w:sz w:val="18"/>
          <w:szCs w:val="18"/>
          <w:lang w:val="es-ES_tradnl"/>
        </w:rPr>
        <w:t>ú</w:t>
      </w:r>
      <w:r>
        <w:rPr>
          <w:spacing w:val="-6"/>
          <w:sz w:val="18"/>
          <w:szCs w:val="18"/>
          <w:lang w:val="es-ES_tradnl"/>
        </w:rPr>
        <w:t xml:space="preserve">nicamente, luego de la </w:t>
      </w:r>
      <w:r>
        <w:rPr>
          <w:spacing w:val="-8"/>
          <w:sz w:val="18"/>
          <w:szCs w:val="18"/>
          <w:lang w:val="es-ES_tradnl"/>
        </w:rPr>
        <w:t>sustanciaci</w:t>
      </w:r>
      <w:r>
        <w:rPr>
          <w:rFonts w:cs="Times New Roman"/>
          <w:spacing w:val="-8"/>
          <w:sz w:val="18"/>
          <w:szCs w:val="18"/>
          <w:lang w:val="es-ES_tradnl"/>
        </w:rPr>
        <w:t>ó</w:t>
      </w:r>
      <w:r>
        <w:rPr>
          <w:spacing w:val="-8"/>
          <w:sz w:val="18"/>
          <w:szCs w:val="18"/>
          <w:lang w:val="es-ES_tradnl"/>
        </w:rPr>
        <w:t xml:space="preserve">n del procedimiento respetivo, se establezca si </w:t>
      </w:r>
      <w:r>
        <w:rPr>
          <w:sz w:val="18"/>
          <w:szCs w:val="18"/>
          <w:lang w:val="es-ES_tradnl"/>
        </w:rPr>
        <w:t>se verific</w:t>
      </w:r>
      <w:r>
        <w:rPr>
          <w:rFonts w:cs="Times New Roman"/>
          <w:sz w:val="18"/>
          <w:szCs w:val="18"/>
          <w:lang w:val="es-ES_tradnl"/>
        </w:rPr>
        <w:t>ó</w:t>
      </w:r>
      <w:r>
        <w:rPr>
          <w:sz w:val="18"/>
          <w:szCs w:val="18"/>
          <w:lang w:val="es-ES_tradnl"/>
        </w:rPr>
        <w:t xml:space="preserve"> o no la vulneraci</w:t>
      </w:r>
      <w:r>
        <w:rPr>
          <w:rFonts w:cs="Times New Roman"/>
          <w:sz w:val="18"/>
          <w:szCs w:val="18"/>
          <w:lang w:val="es-ES_tradnl"/>
        </w:rPr>
        <w:t>ó</w:t>
      </w:r>
      <w:r>
        <w:rPr>
          <w:sz w:val="18"/>
          <w:szCs w:val="18"/>
          <w:lang w:val="es-ES_tradnl"/>
        </w:rPr>
        <w:t>n.</w:t>
      </w:r>
    </w:p>
    <w:p w14:paraId="4F67AE3F" w14:textId="77777777" w:rsidR="00591D54" w:rsidRDefault="00591D54">
      <w:pPr>
        <w:shd w:val="clear" w:color="auto" w:fill="FFFFFF"/>
        <w:spacing w:before="192" w:line="216" w:lineRule="exact"/>
        <w:jc w:val="both"/>
      </w:pPr>
      <w:r>
        <w:rPr>
          <w:spacing w:val="-6"/>
          <w:sz w:val="18"/>
          <w:szCs w:val="18"/>
          <w:lang w:val="es-ES_tradnl"/>
        </w:rPr>
        <w:t xml:space="preserve">Mientras que la improcedencia debe ser debidamente motivada pues, no basta con que el juez indique que la </w:t>
      </w:r>
      <w:r>
        <w:rPr>
          <w:spacing w:val="-10"/>
          <w:sz w:val="18"/>
          <w:szCs w:val="18"/>
          <w:lang w:val="es-ES_tradnl"/>
        </w:rPr>
        <w:t>acci</w:t>
      </w:r>
      <w:r>
        <w:rPr>
          <w:rFonts w:cs="Times New Roman"/>
          <w:spacing w:val="-10"/>
          <w:sz w:val="18"/>
          <w:szCs w:val="18"/>
          <w:lang w:val="es-ES_tradnl"/>
        </w:rPr>
        <w:t>ó</w:t>
      </w:r>
      <w:r>
        <w:rPr>
          <w:spacing w:val="-10"/>
          <w:sz w:val="18"/>
          <w:szCs w:val="18"/>
          <w:lang w:val="es-ES_tradnl"/>
        </w:rPr>
        <w:t>n de protecci</w:t>
      </w:r>
      <w:r>
        <w:rPr>
          <w:rFonts w:cs="Times New Roman"/>
          <w:spacing w:val="-10"/>
          <w:sz w:val="18"/>
          <w:szCs w:val="18"/>
          <w:lang w:val="es-ES_tradnl"/>
        </w:rPr>
        <w:t>ó</w:t>
      </w:r>
      <w:r>
        <w:rPr>
          <w:spacing w:val="-10"/>
          <w:sz w:val="18"/>
          <w:szCs w:val="18"/>
          <w:lang w:val="es-ES_tradnl"/>
        </w:rPr>
        <w:t>n es improcedente porque existe una v</w:t>
      </w:r>
      <w:r>
        <w:rPr>
          <w:rFonts w:cs="Times New Roman"/>
          <w:spacing w:val="-10"/>
          <w:sz w:val="18"/>
          <w:szCs w:val="18"/>
          <w:lang w:val="es-ES_tradnl"/>
        </w:rPr>
        <w:t>í</w:t>
      </w:r>
      <w:r>
        <w:rPr>
          <w:spacing w:val="-10"/>
          <w:sz w:val="18"/>
          <w:szCs w:val="18"/>
          <w:lang w:val="es-ES_tradnl"/>
        </w:rPr>
        <w:t xml:space="preserve">a </w:t>
      </w:r>
      <w:r>
        <w:rPr>
          <w:spacing w:val="-8"/>
          <w:sz w:val="18"/>
          <w:szCs w:val="18"/>
          <w:lang w:val="es-ES_tradnl"/>
        </w:rPr>
        <w:t xml:space="preserve">en la justicia ordinaria, sino que debe explicar con claridad, en el caso concreto, las razones que le llevan a considerar </w:t>
      </w:r>
      <w:r>
        <w:rPr>
          <w:sz w:val="18"/>
          <w:szCs w:val="18"/>
          <w:lang w:val="es-ES_tradnl"/>
        </w:rPr>
        <w:t>tal afirmaci</w:t>
      </w:r>
      <w:r>
        <w:rPr>
          <w:rFonts w:cs="Times New Roman"/>
          <w:sz w:val="18"/>
          <w:szCs w:val="18"/>
          <w:lang w:val="es-ES_tradnl"/>
        </w:rPr>
        <w:t>ó</w:t>
      </w:r>
      <w:r>
        <w:rPr>
          <w:sz w:val="18"/>
          <w:szCs w:val="18"/>
          <w:lang w:val="es-ES_tradnl"/>
        </w:rPr>
        <w:t>n.</w:t>
      </w:r>
    </w:p>
    <w:p w14:paraId="4F67AE40" w14:textId="77777777" w:rsidR="00591D54" w:rsidRDefault="00591D54">
      <w:pPr>
        <w:shd w:val="clear" w:color="auto" w:fill="FFFFFF"/>
        <w:spacing w:before="192" w:line="216" w:lineRule="exact"/>
        <w:jc w:val="both"/>
      </w:pPr>
      <w:r>
        <w:rPr>
          <w:spacing w:val="-8"/>
          <w:sz w:val="18"/>
          <w:szCs w:val="18"/>
          <w:lang w:val="es-ES_tradnl"/>
        </w:rPr>
        <w:t xml:space="preserve">Esta Corte Constitucional ha sido clara en resaltar el deber </w:t>
      </w:r>
      <w:r>
        <w:rPr>
          <w:spacing w:val="-7"/>
          <w:sz w:val="18"/>
          <w:szCs w:val="18"/>
          <w:lang w:val="es-ES_tradnl"/>
        </w:rPr>
        <w:t>de los juzgadores, en las garant</w:t>
      </w:r>
      <w:r>
        <w:rPr>
          <w:rFonts w:cs="Times New Roman"/>
          <w:spacing w:val="-7"/>
          <w:sz w:val="18"/>
          <w:szCs w:val="18"/>
          <w:lang w:val="es-ES_tradnl"/>
        </w:rPr>
        <w:t>í</w:t>
      </w:r>
      <w:r>
        <w:rPr>
          <w:spacing w:val="-7"/>
          <w:sz w:val="18"/>
          <w:szCs w:val="18"/>
          <w:lang w:val="es-ES_tradnl"/>
        </w:rPr>
        <w:t xml:space="preserve">as jurisdiccionales, de </w:t>
      </w:r>
      <w:r>
        <w:rPr>
          <w:spacing w:val="-5"/>
          <w:sz w:val="18"/>
          <w:szCs w:val="18"/>
          <w:lang w:val="es-ES_tradnl"/>
        </w:rPr>
        <w:t xml:space="preserve">garantizar el cumplimiento del principio de efectividad de </w:t>
      </w:r>
      <w:r>
        <w:rPr>
          <w:spacing w:val="-9"/>
          <w:sz w:val="18"/>
          <w:szCs w:val="18"/>
          <w:lang w:val="es-ES_tradnl"/>
        </w:rPr>
        <w:t>la acci</w:t>
      </w:r>
      <w:r>
        <w:rPr>
          <w:rFonts w:cs="Times New Roman"/>
          <w:spacing w:val="-9"/>
          <w:sz w:val="18"/>
          <w:szCs w:val="18"/>
          <w:lang w:val="es-ES_tradnl"/>
        </w:rPr>
        <w:t>ó</w:t>
      </w:r>
      <w:r>
        <w:rPr>
          <w:spacing w:val="-9"/>
          <w:sz w:val="18"/>
          <w:szCs w:val="18"/>
          <w:lang w:val="es-ES_tradnl"/>
        </w:rPr>
        <w:t>n. As</w:t>
      </w:r>
      <w:r>
        <w:rPr>
          <w:rFonts w:cs="Times New Roman"/>
          <w:spacing w:val="-9"/>
          <w:sz w:val="18"/>
          <w:szCs w:val="18"/>
          <w:lang w:val="es-ES_tradnl"/>
        </w:rPr>
        <w:t>í</w:t>
      </w:r>
      <w:r>
        <w:rPr>
          <w:spacing w:val="-9"/>
          <w:sz w:val="18"/>
          <w:szCs w:val="18"/>
          <w:lang w:val="es-ES_tradnl"/>
        </w:rPr>
        <w:t>, la sentencia N.</w:t>
      </w:r>
      <w:r>
        <w:rPr>
          <w:rFonts w:cs="Times New Roman"/>
          <w:spacing w:val="-9"/>
          <w:sz w:val="18"/>
          <w:szCs w:val="18"/>
          <w:lang w:val="es-ES_tradnl"/>
        </w:rPr>
        <w:t>º</w:t>
      </w:r>
      <w:r>
        <w:rPr>
          <w:spacing w:val="-9"/>
          <w:sz w:val="18"/>
          <w:szCs w:val="18"/>
          <w:lang w:val="es-ES_tradnl"/>
        </w:rPr>
        <w:t xml:space="preserve"> 102-13-SEP-CC proporciona </w:t>
      </w:r>
      <w:r>
        <w:rPr>
          <w:spacing w:val="-6"/>
          <w:sz w:val="18"/>
          <w:szCs w:val="18"/>
          <w:lang w:val="es-ES_tradnl"/>
        </w:rPr>
        <w:t xml:space="preserve">importantes criterios jurisprudenciales que deben ser </w:t>
      </w:r>
      <w:r>
        <w:rPr>
          <w:spacing w:val="-8"/>
          <w:sz w:val="18"/>
          <w:szCs w:val="18"/>
          <w:lang w:val="es-ES_tradnl"/>
        </w:rPr>
        <w:t xml:space="preserve">observados por los jueces constitucionales al momento de </w:t>
      </w:r>
      <w:r>
        <w:rPr>
          <w:spacing w:val="-7"/>
          <w:sz w:val="18"/>
          <w:szCs w:val="18"/>
          <w:lang w:val="es-ES_tradnl"/>
        </w:rPr>
        <w:t>dictar sentencias referentes a acciones de protecci</w:t>
      </w:r>
      <w:r>
        <w:rPr>
          <w:rFonts w:cs="Times New Roman"/>
          <w:spacing w:val="-7"/>
          <w:sz w:val="18"/>
          <w:szCs w:val="18"/>
          <w:lang w:val="es-ES_tradnl"/>
        </w:rPr>
        <w:t>ó</w:t>
      </w:r>
      <w:r>
        <w:rPr>
          <w:spacing w:val="-7"/>
          <w:sz w:val="18"/>
          <w:szCs w:val="18"/>
          <w:lang w:val="es-ES_tradnl"/>
        </w:rPr>
        <w:t xml:space="preserve">n. Al </w:t>
      </w:r>
      <w:r>
        <w:rPr>
          <w:spacing w:val="-9"/>
          <w:sz w:val="18"/>
          <w:szCs w:val="18"/>
          <w:lang w:val="es-ES_tradnl"/>
        </w:rPr>
        <w:t>respecto, la mencionada sentencia manifiesta:</w:t>
      </w:r>
    </w:p>
    <w:p w14:paraId="4F67AE41" w14:textId="77777777" w:rsidR="00591D54" w:rsidRDefault="00591D54">
      <w:pPr>
        <w:shd w:val="clear" w:color="auto" w:fill="FFFFFF"/>
        <w:spacing w:before="202" w:line="221" w:lineRule="exact"/>
        <w:jc w:val="both"/>
      </w:pPr>
      <w:r>
        <w:rPr>
          <w:spacing w:val="-8"/>
          <w:sz w:val="18"/>
          <w:szCs w:val="18"/>
          <w:lang w:val="es-ES_tradnl"/>
        </w:rPr>
        <w:t xml:space="preserve">Esta Corte Constitucional establece que la jueza de primer </w:t>
      </w:r>
      <w:r>
        <w:rPr>
          <w:spacing w:val="-5"/>
          <w:sz w:val="18"/>
          <w:szCs w:val="18"/>
          <w:lang w:val="es-ES_tradnl"/>
        </w:rPr>
        <w:t>nivel, al inadmitir la acci</w:t>
      </w:r>
      <w:r>
        <w:rPr>
          <w:rFonts w:cs="Times New Roman"/>
          <w:spacing w:val="-5"/>
          <w:sz w:val="18"/>
          <w:szCs w:val="18"/>
          <w:lang w:val="es-ES_tradnl"/>
        </w:rPr>
        <w:t>ó</w:t>
      </w:r>
      <w:r>
        <w:rPr>
          <w:spacing w:val="-5"/>
          <w:sz w:val="18"/>
          <w:szCs w:val="18"/>
          <w:lang w:val="es-ES_tradnl"/>
        </w:rPr>
        <w:t xml:space="preserve">n mediante auto carente de </w:t>
      </w:r>
      <w:r>
        <w:rPr>
          <w:spacing w:val="-4"/>
          <w:sz w:val="18"/>
          <w:szCs w:val="18"/>
          <w:lang w:val="es-ES_tradnl"/>
        </w:rPr>
        <w:t>motivaci</w:t>
      </w:r>
      <w:r>
        <w:rPr>
          <w:rFonts w:cs="Times New Roman"/>
          <w:spacing w:val="-4"/>
          <w:sz w:val="18"/>
          <w:szCs w:val="18"/>
          <w:lang w:val="es-ES_tradnl"/>
        </w:rPr>
        <w:t>ó</w:t>
      </w:r>
      <w:r>
        <w:rPr>
          <w:spacing w:val="-4"/>
          <w:sz w:val="18"/>
          <w:szCs w:val="18"/>
          <w:lang w:val="es-ES_tradnl"/>
        </w:rPr>
        <w:t>n, no indag</w:t>
      </w:r>
      <w:r>
        <w:rPr>
          <w:rFonts w:cs="Times New Roman"/>
          <w:spacing w:val="-4"/>
          <w:sz w:val="18"/>
          <w:szCs w:val="18"/>
          <w:lang w:val="es-ES_tradnl"/>
        </w:rPr>
        <w:t>ó</w:t>
      </w:r>
      <w:r>
        <w:rPr>
          <w:spacing w:val="-4"/>
          <w:sz w:val="18"/>
          <w:szCs w:val="18"/>
          <w:lang w:val="es-ES_tradnl"/>
        </w:rPr>
        <w:t xml:space="preserve"> ni se inteligenci</w:t>
      </w:r>
      <w:r>
        <w:rPr>
          <w:rFonts w:cs="Times New Roman"/>
          <w:spacing w:val="-4"/>
          <w:sz w:val="18"/>
          <w:szCs w:val="18"/>
          <w:lang w:val="es-ES_tradnl"/>
        </w:rPr>
        <w:t>ó</w:t>
      </w:r>
      <w:r>
        <w:rPr>
          <w:spacing w:val="-4"/>
          <w:sz w:val="18"/>
          <w:szCs w:val="18"/>
          <w:lang w:val="es-ES_tradnl"/>
        </w:rPr>
        <w:t xml:space="preserve"> sobre elemento </w:t>
      </w:r>
      <w:r>
        <w:rPr>
          <w:spacing w:val="-3"/>
          <w:sz w:val="18"/>
          <w:szCs w:val="18"/>
          <w:lang w:val="es-ES_tradnl"/>
        </w:rPr>
        <w:t xml:space="preserve">alguno que estuviera relacionado con los hechos del </w:t>
      </w:r>
      <w:r>
        <w:rPr>
          <w:rFonts w:cs="Times New Roman"/>
          <w:spacing w:val="-7"/>
          <w:sz w:val="18"/>
          <w:szCs w:val="18"/>
          <w:lang w:val="es-ES_tradnl"/>
        </w:rPr>
        <w:t>á</w:t>
      </w:r>
      <w:r>
        <w:rPr>
          <w:spacing w:val="-7"/>
          <w:sz w:val="18"/>
          <w:szCs w:val="18"/>
          <w:lang w:val="es-ES_tradnl"/>
        </w:rPr>
        <w:t>mbito constitucional denunciados, es decir, no estableci</w:t>
      </w:r>
      <w:r>
        <w:rPr>
          <w:rFonts w:cs="Times New Roman"/>
          <w:spacing w:val="-7"/>
          <w:sz w:val="18"/>
          <w:szCs w:val="18"/>
          <w:lang w:val="es-ES_tradnl"/>
        </w:rPr>
        <w:t xml:space="preserve">ó </w:t>
      </w:r>
      <w:r>
        <w:rPr>
          <w:spacing w:val="-3"/>
          <w:sz w:val="18"/>
          <w:szCs w:val="18"/>
          <w:lang w:val="es-ES_tradnl"/>
        </w:rPr>
        <w:t>la relaci</w:t>
      </w:r>
      <w:r>
        <w:rPr>
          <w:rFonts w:cs="Times New Roman"/>
          <w:spacing w:val="-3"/>
          <w:sz w:val="18"/>
          <w:szCs w:val="18"/>
          <w:lang w:val="es-ES_tradnl"/>
        </w:rPr>
        <w:t>ó</w:t>
      </w:r>
      <w:r>
        <w:rPr>
          <w:spacing w:val="-3"/>
          <w:sz w:val="18"/>
          <w:szCs w:val="18"/>
          <w:lang w:val="es-ES_tradnl"/>
        </w:rPr>
        <w:t>n jur</w:t>
      </w:r>
      <w:r>
        <w:rPr>
          <w:rFonts w:cs="Times New Roman"/>
          <w:spacing w:val="-3"/>
          <w:sz w:val="18"/>
          <w:szCs w:val="18"/>
          <w:lang w:val="es-ES_tradnl"/>
        </w:rPr>
        <w:t>í</w:t>
      </w:r>
      <w:r>
        <w:rPr>
          <w:spacing w:val="-3"/>
          <w:sz w:val="18"/>
          <w:szCs w:val="18"/>
          <w:lang w:val="es-ES_tradnl"/>
        </w:rPr>
        <w:t>dico procesal, no verific</w:t>
      </w:r>
      <w:r>
        <w:rPr>
          <w:rFonts w:cs="Times New Roman"/>
          <w:spacing w:val="-3"/>
          <w:sz w:val="18"/>
          <w:szCs w:val="18"/>
          <w:lang w:val="es-ES_tradnl"/>
        </w:rPr>
        <w:t>ó</w:t>
      </w:r>
      <w:r>
        <w:rPr>
          <w:spacing w:val="-3"/>
          <w:sz w:val="18"/>
          <w:szCs w:val="18"/>
          <w:lang w:val="es-ES_tradnl"/>
        </w:rPr>
        <w:t xml:space="preserve"> si hubo o no </w:t>
      </w:r>
      <w:r>
        <w:rPr>
          <w:spacing w:val="-6"/>
          <w:sz w:val="18"/>
          <w:szCs w:val="18"/>
          <w:lang w:val="es-ES_tradnl"/>
        </w:rPr>
        <w:t>vulneraciones constitucionales con la acci</w:t>
      </w:r>
      <w:r>
        <w:rPr>
          <w:rFonts w:cs="Times New Roman"/>
          <w:spacing w:val="-6"/>
          <w:sz w:val="18"/>
          <w:szCs w:val="18"/>
          <w:lang w:val="es-ES_tradnl"/>
        </w:rPr>
        <w:t>ó</w:t>
      </w:r>
      <w:r>
        <w:rPr>
          <w:spacing w:val="-6"/>
          <w:sz w:val="18"/>
          <w:szCs w:val="18"/>
          <w:lang w:val="es-ES_tradnl"/>
        </w:rPr>
        <w:t>n u omisi</w:t>
      </w:r>
      <w:r>
        <w:rPr>
          <w:rFonts w:cs="Times New Roman"/>
          <w:spacing w:val="-6"/>
          <w:sz w:val="18"/>
          <w:szCs w:val="18"/>
          <w:lang w:val="es-ES_tradnl"/>
        </w:rPr>
        <w:t>ó</w:t>
      </w:r>
      <w:r>
        <w:rPr>
          <w:spacing w:val="-6"/>
          <w:sz w:val="18"/>
          <w:szCs w:val="18"/>
          <w:lang w:val="es-ES_tradnl"/>
        </w:rPr>
        <w:t xml:space="preserve">n de </w:t>
      </w:r>
      <w:r>
        <w:rPr>
          <w:spacing w:val="-10"/>
          <w:sz w:val="18"/>
          <w:szCs w:val="18"/>
          <w:lang w:val="es-ES_tradnl"/>
        </w:rPr>
        <w:t>la entidad accionada, pues se limit</w:t>
      </w:r>
      <w:r>
        <w:rPr>
          <w:rFonts w:cs="Times New Roman"/>
          <w:spacing w:val="-10"/>
          <w:sz w:val="18"/>
          <w:szCs w:val="18"/>
          <w:lang w:val="es-ES_tradnl"/>
        </w:rPr>
        <w:t>ó</w:t>
      </w:r>
      <w:r>
        <w:rPr>
          <w:spacing w:val="-10"/>
          <w:sz w:val="18"/>
          <w:szCs w:val="18"/>
          <w:lang w:val="es-ES_tradnl"/>
        </w:rPr>
        <w:t xml:space="preserve"> a se</w:t>
      </w:r>
      <w:r>
        <w:rPr>
          <w:rFonts w:cs="Times New Roman"/>
          <w:spacing w:val="-10"/>
          <w:sz w:val="18"/>
          <w:szCs w:val="18"/>
          <w:lang w:val="es-ES_tradnl"/>
        </w:rPr>
        <w:t>ñ</w:t>
      </w:r>
      <w:r>
        <w:rPr>
          <w:spacing w:val="-10"/>
          <w:sz w:val="18"/>
          <w:szCs w:val="18"/>
          <w:lang w:val="es-ES_tradnl"/>
        </w:rPr>
        <w:t>alar sin motivaci</w:t>
      </w:r>
      <w:r>
        <w:rPr>
          <w:rFonts w:cs="Times New Roman"/>
          <w:spacing w:val="-10"/>
          <w:sz w:val="18"/>
          <w:szCs w:val="18"/>
          <w:lang w:val="es-ES_tradnl"/>
        </w:rPr>
        <w:t>ó</w:t>
      </w:r>
      <w:r>
        <w:rPr>
          <w:spacing w:val="-10"/>
          <w:sz w:val="18"/>
          <w:szCs w:val="18"/>
          <w:lang w:val="es-ES_tradnl"/>
        </w:rPr>
        <w:t>n</w:t>
      </w:r>
    </w:p>
    <w:p w14:paraId="4F67AE42" w14:textId="77777777" w:rsidR="00591D54" w:rsidRDefault="00591D54">
      <w:pPr>
        <w:shd w:val="clear" w:color="auto" w:fill="FFFFFF"/>
        <w:tabs>
          <w:tab w:val="left" w:pos="139"/>
        </w:tabs>
        <w:spacing w:before="566" w:line="182" w:lineRule="exact"/>
        <w:ind w:left="139" w:hanging="139"/>
      </w:pPr>
      <w:r>
        <w:rPr>
          <w:sz w:val="10"/>
          <w:szCs w:val="10"/>
          <w:vertAlign w:val="superscript"/>
          <w:lang w:val="es-ES_tradnl"/>
        </w:rPr>
        <w:t>7</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º</w:t>
      </w:r>
      <w:r>
        <w:rPr>
          <w:sz w:val="18"/>
          <w:szCs w:val="18"/>
          <w:lang w:val="es-ES_tradnl"/>
        </w:rPr>
        <w:t xml:space="preserve"> </w:t>
      </w:r>
      <w:r>
        <w:rPr>
          <w:sz w:val="14"/>
          <w:szCs w:val="14"/>
          <w:lang w:val="es-ES_tradnl"/>
        </w:rPr>
        <w:t>102-13-SEP-CC, caso N.</w:t>
      </w:r>
      <w:r>
        <w:rPr>
          <w:rFonts w:cs="Times New Roman"/>
          <w:sz w:val="14"/>
          <w:szCs w:val="14"/>
          <w:lang w:val="es-ES_tradnl"/>
        </w:rPr>
        <w:t>º</w:t>
      </w:r>
      <w:r>
        <w:rPr>
          <w:sz w:val="14"/>
          <w:szCs w:val="14"/>
          <w:lang w:val="es-ES_tradnl"/>
        </w:rPr>
        <w:t xml:space="preserve"> 0380-10-EP.</w:t>
      </w:r>
    </w:p>
    <w:p w14:paraId="4F67AE43" w14:textId="77777777" w:rsidR="00591D54" w:rsidRDefault="00591D54">
      <w:pPr>
        <w:shd w:val="clear" w:color="auto" w:fill="FFFFFF"/>
        <w:tabs>
          <w:tab w:val="left" w:pos="139"/>
        </w:tabs>
        <w:spacing w:before="149" w:line="178" w:lineRule="exact"/>
        <w:ind w:left="139" w:hanging="139"/>
      </w:pPr>
      <w:r>
        <w:rPr>
          <w:sz w:val="10"/>
          <w:szCs w:val="10"/>
          <w:vertAlign w:val="superscript"/>
          <w:lang w:val="es-ES_tradnl"/>
        </w:rPr>
        <w:t>8</w:t>
      </w:r>
      <w:r>
        <w:rPr>
          <w:sz w:val="18"/>
          <w:szCs w:val="18"/>
          <w:lang w:val="es-ES_tradnl"/>
        </w:rPr>
        <w:tab/>
      </w:r>
      <w:r>
        <w:rPr>
          <w:sz w:val="14"/>
          <w:szCs w:val="14"/>
          <w:lang w:val="es-ES_tradnl"/>
        </w:rPr>
        <w:t>Art.</w:t>
      </w:r>
      <w:r>
        <w:rPr>
          <w:sz w:val="18"/>
          <w:szCs w:val="18"/>
          <w:lang w:val="es-ES_tradnl"/>
        </w:rPr>
        <w:t xml:space="preserve">  </w:t>
      </w:r>
      <w:r>
        <w:rPr>
          <w:sz w:val="14"/>
          <w:szCs w:val="14"/>
          <w:lang w:val="es-ES_tradnl"/>
        </w:rPr>
        <w:t>42,</w:t>
      </w:r>
      <w:r>
        <w:rPr>
          <w:sz w:val="18"/>
          <w:szCs w:val="18"/>
          <w:lang w:val="es-ES_tradnl"/>
        </w:rPr>
        <w:t xml:space="preserve">  </w:t>
      </w:r>
      <w:r>
        <w:rPr>
          <w:sz w:val="14"/>
          <w:szCs w:val="14"/>
          <w:lang w:val="es-ES_tradnl"/>
        </w:rPr>
        <w:t>numerales</w:t>
      </w:r>
      <w:r>
        <w:rPr>
          <w:sz w:val="18"/>
          <w:szCs w:val="18"/>
          <w:lang w:val="es-ES_tradnl"/>
        </w:rPr>
        <w:t xml:space="preserve">  </w:t>
      </w:r>
      <w:r>
        <w:rPr>
          <w:sz w:val="14"/>
          <w:szCs w:val="14"/>
          <w:lang w:val="es-ES_tradnl"/>
        </w:rPr>
        <w:t>6</w:t>
      </w:r>
      <w:r>
        <w:rPr>
          <w:sz w:val="18"/>
          <w:szCs w:val="18"/>
          <w:lang w:val="es-ES_tradnl"/>
        </w:rPr>
        <w:t xml:space="preserve">  </w:t>
      </w:r>
      <w:r>
        <w:rPr>
          <w:sz w:val="14"/>
          <w:szCs w:val="14"/>
          <w:lang w:val="es-ES_tradnl"/>
        </w:rPr>
        <w:t>y</w:t>
      </w:r>
      <w:r>
        <w:rPr>
          <w:sz w:val="18"/>
          <w:szCs w:val="18"/>
          <w:lang w:val="es-ES_tradnl"/>
        </w:rPr>
        <w:t xml:space="preserve">  </w:t>
      </w:r>
      <w:r>
        <w:rPr>
          <w:sz w:val="14"/>
          <w:szCs w:val="14"/>
          <w:lang w:val="es-ES_tradnl"/>
        </w:rPr>
        <w:t>7</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la</w:t>
      </w:r>
      <w:r>
        <w:rPr>
          <w:sz w:val="18"/>
          <w:szCs w:val="18"/>
          <w:lang w:val="es-ES_tradnl"/>
        </w:rPr>
        <w:t xml:space="preserve">  </w:t>
      </w:r>
      <w:r>
        <w:rPr>
          <w:sz w:val="14"/>
          <w:szCs w:val="14"/>
          <w:lang w:val="es-ES_tradnl"/>
        </w:rPr>
        <w:t>Ley</w:t>
      </w:r>
      <w:r>
        <w:rPr>
          <w:sz w:val="18"/>
          <w:szCs w:val="18"/>
          <w:lang w:val="es-ES_tradnl"/>
        </w:rPr>
        <w:t xml:space="preserve">  </w:t>
      </w:r>
      <w:r>
        <w:rPr>
          <w:sz w:val="14"/>
          <w:szCs w:val="14"/>
          <w:lang w:val="es-ES_tradnl"/>
        </w:rPr>
        <w:t>Org</w:t>
      </w:r>
      <w:r>
        <w:rPr>
          <w:rFonts w:cs="Times New Roman"/>
          <w:sz w:val="14"/>
          <w:szCs w:val="14"/>
          <w:lang w:val="es-ES_tradnl"/>
        </w:rPr>
        <w:t>á</w:t>
      </w:r>
      <w:r>
        <w:rPr>
          <w:sz w:val="14"/>
          <w:szCs w:val="14"/>
          <w:lang w:val="es-ES_tradnl"/>
        </w:rPr>
        <w:t>nica</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Garant</w:t>
      </w:r>
      <w:r>
        <w:rPr>
          <w:rFonts w:cs="Times New Roman"/>
          <w:sz w:val="14"/>
          <w:szCs w:val="14"/>
          <w:lang w:val="es-ES_tradnl"/>
        </w:rPr>
        <w:t>í</w:t>
      </w:r>
      <w:r>
        <w:rPr>
          <w:sz w:val="14"/>
          <w:szCs w:val="14"/>
          <w:lang w:val="es-ES_tradnl"/>
        </w:rPr>
        <w:t>as Jurisdiccionales y Control Constitucional.</w:t>
      </w:r>
    </w:p>
    <w:p w14:paraId="4F67AE44" w14:textId="77777777" w:rsidR="00591D54" w:rsidRDefault="00591D54">
      <w:pPr>
        <w:shd w:val="clear" w:color="auto" w:fill="FFFFFF"/>
        <w:spacing w:line="226" w:lineRule="exact"/>
        <w:jc w:val="both"/>
      </w:pPr>
      <w:r>
        <w:br w:type="column"/>
      </w:r>
      <w:r>
        <w:rPr>
          <w:spacing w:val="-7"/>
          <w:sz w:val="18"/>
          <w:szCs w:val="18"/>
          <w:lang w:val="es-ES_tradnl"/>
        </w:rPr>
        <w:t xml:space="preserve">alguna, que se trataba de un tema de legalidad, tomando </w:t>
      </w:r>
      <w:r>
        <w:rPr>
          <w:spacing w:val="-9"/>
          <w:sz w:val="18"/>
          <w:szCs w:val="18"/>
          <w:lang w:val="es-ES_tradnl"/>
        </w:rPr>
        <w:t>una causal de improcedencia de la acci</w:t>
      </w:r>
      <w:r>
        <w:rPr>
          <w:rFonts w:cs="Times New Roman"/>
          <w:spacing w:val="-9"/>
          <w:sz w:val="18"/>
          <w:szCs w:val="18"/>
          <w:lang w:val="es-ES_tradnl"/>
        </w:rPr>
        <w:t>ó</w:t>
      </w:r>
      <w:r>
        <w:rPr>
          <w:spacing w:val="-9"/>
          <w:sz w:val="18"/>
          <w:szCs w:val="18"/>
          <w:lang w:val="es-ES_tradnl"/>
        </w:rPr>
        <w:t xml:space="preserve">n como causal de </w:t>
      </w:r>
      <w:r>
        <w:rPr>
          <w:sz w:val="18"/>
          <w:szCs w:val="18"/>
          <w:lang w:val="es-ES_tradnl"/>
        </w:rPr>
        <w:t>inadmisi</w:t>
      </w:r>
      <w:r>
        <w:rPr>
          <w:rFonts w:cs="Times New Roman"/>
          <w:sz w:val="18"/>
          <w:szCs w:val="18"/>
          <w:lang w:val="es-ES_tradnl"/>
        </w:rPr>
        <w:t>ó</w:t>
      </w:r>
      <w:r>
        <w:rPr>
          <w:sz w:val="18"/>
          <w:szCs w:val="18"/>
          <w:lang w:val="es-ES_tradnl"/>
        </w:rPr>
        <w:t>n.</w:t>
      </w:r>
    </w:p>
    <w:p w14:paraId="4F67AE45" w14:textId="77777777" w:rsidR="00591D54" w:rsidRDefault="00591D54">
      <w:pPr>
        <w:shd w:val="clear" w:color="auto" w:fill="FFFFFF"/>
        <w:spacing w:before="206" w:line="226" w:lineRule="exact"/>
        <w:jc w:val="both"/>
      </w:pPr>
      <w:r>
        <w:rPr>
          <w:spacing w:val="-3"/>
          <w:sz w:val="18"/>
          <w:szCs w:val="18"/>
          <w:lang w:val="es-ES_tradnl"/>
        </w:rPr>
        <w:t>Cabe recordar que todo el ordenamiento jur</w:t>
      </w:r>
      <w:r>
        <w:rPr>
          <w:rFonts w:cs="Times New Roman"/>
          <w:spacing w:val="-3"/>
          <w:sz w:val="18"/>
          <w:szCs w:val="18"/>
          <w:lang w:val="es-ES_tradnl"/>
        </w:rPr>
        <w:t>í</w:t>
      </w:r>
      <w:r>
        <w:rPr>
          <w:spacing w:val="-3"/>
          <w:sz w:val="18"/>
          <w:szCs w:val="18"/>
          <w:lang w:val="es-ES_tradnl"/>
        </w:rPr>
        <w:t xml:space="preserve">dico se </w:t>
      </w:r>
      <w:r>
        <w:rPr>
          <w:sz w:val="18"/>
          <w:szCs w:val="18"/>
          <w:lang w:val="es-ES_tradnl"/>
        </w:rPr>
        <w:t>encuentra dirigido a la protecci</w:t>
      </w:r>
      <w:r>
        <w:rPr>
          <w:rFonts w:cs="Times New Roman"/>
          <w:sz w:val="18"/>
          <w:szCs w:val="18"/>
          <w:lang w:val="es-ES_tradnl"/>
        </w:rPr>
        <w:t>ó</w:t>
      </w:r>
      <w:r>
        <w:rPr>
          <w:sz w:val="18"/>
          <w:szCs w:val="18"/>
          <w:lang w:val="es-ES_tradnl"/>
        </w:rPr>
        <w:t>n de derechos; por lo tanto, es indiscutible que ante la vulneraci</w:t>
      </w:r>
      <w:r>
        <w:rPr>
          <w:rFonts w:cs="Times New Roman"/>
          <w:sz w:val="18"/>
          <w:szCs w:val="18"/>
          <w:lang w:val="es-ES_tradnl"/>
        </w:rPr>
        <w:t>ó</w:t>
      </w:r>
      <w:r>
        <w:rPr>
          <w:sz w:val="18"/>
          <w:szCs w:val="18"/>
          <w:lang w:val="es-ES_tradnl"/>
        </w:rPr>
        <w:t xml:space="preserve">n de </w:t>
      </w:r>
      <w:r>
        <w:rPr>
          <w:spacing w:val="-9"/>
          <w:sz w:val="18"/>
          <w:szCs w:val="18"/>
          <w:lang w:val="es-ES_tradnl"/>
        </w:rPr>
        <w:t xml:space="preserve">derechos constitucionales, no cabe argumentar razones de </w:t>
      </w:r>
      <w:r>
        <w:rPr>
          <w:spacing w:val="-5"/>
          <w:sz w:val="18"/>
          <w:szCs w:val="18"/>
          <w:lang w:val="es-ES_tradnl"/>
        </w:rPr>
        <w:t>legalidad para rechazar garant</w:t>
      </w:r>
      <w:r>
        <w:rPr>
          <w:rFonts w:cs="Times New Roman"/>
          <w:spacing w:val="-5"/>
          <w:sz w:val="18"/>
          <w:szCs w:val="18"/>
          <w:lang w:val="es-ES_tradnl"/>
        </w:rPr>
        <w:t>í</w:t>
      </w:r>
      <w:r>
        <w:rPr>
          <w:spacing w:val="-5"/>
          <w:sz w:val="18"/>
          <w:szCs w:val="18"/>
          <w:lang w:val="es-ES_tradnl"/>
        </w:rPr>
        <w:t xml:space="preserve">as jurisdiccionales, pues </w:t>
      </w:r>
      <w:r>
        <w:rPr>
          <w:spacing w:val="-8"/>
          <w:sz w:val="18"/>
          <w:szCs w:val="18"/>
          <w:lang w:val="es-ES_tradnl"/>
        </w:rPr>
        <w:t xml:space="preserve">este proceder enerva la efectiva vigencia de los derechos </w:t>
      </w:r>
      <w:r>
        <w:rPr>
          <w:spacing w:val="-7"/>
          <w:sz w:val="18"/>
          <w:szCs w:val="18"/>
          <w:lang w:val="es-ES_tradnl"/>
        </w:rPr>
        <w:t>constitucionales, ya que el objetivo de las garant</w:t>
      </w:r>
      <w:r>
        <w:rPr>
          <w:rFonts w:cs="Times New Roman"/>
          <w:spacing w:val="-7"/>
          <w:sz w:val="18"/>
          <w:szCs w:val="18"/>
          <w:lang w:val="es-ES_tradnl"/>
        </w:rPr>
        <w:t>í</w:t>
      </w:r>
      <w:r>
        <w:rPr>
          <w:spacing w:val="-7"/>
          <w:sz w:val="18"/>
          <w:szCs w:val="18"/>
          <w:lang w:val="es-ES_tradnl"/>
        </w:rPr>
        <w:t xml:space="preserve">as es la tutela de los derechos constitucionales. Resulta obvio que </w:t>
      </w:r>
      <w:r>
        <w:rPr>
          <w:spacing w:val="-8"/>
          <w:sz w:val="18"/>
          <w:szCs w:val="18"/>
          <w:lang w:val="es-ES_tradnl"/>
        </w:rPr>
        <w:t>las garant</w:t>
      </w:r>
      <w:r>
        <w:rPr>
          <w:rFonts w:cs="Times New Roman"/>
          <w:spacing w:val="-8"/>
          <w:sz w:val="18"/>
          <w:szCs w:val="18"/>
          <w:lang w:val="es-ES_tradnl"/>
        </w:rPr>
        <w:t>í</w:t>
      </w:r>
      <w:r>
        <w:rPr>
          <w:spacing w:val="-8"/>
          <w:sz w:val="18"/>
          <w:szCs w:val="18"/>
          <w:lang w:val="es-ES_tradnl"/>
        </w:rPr>
        <w:t xml:space="preserve">as jurisdiccionales son mal utilizadas, cuando se </w:t>
      </w:r>
      <w:r>
        <w:rPr>
          <w:spacing w:val="-11"/>
          <w:sz w:val="18"/>
          <w:szCs w:val="18"/>
          <w:lang w:val="es-ES_tradnl"/>
        </w:rPr>
        <w:t xml:space="preserve">desechan acciones de raigambre constitucional, sosteniendo </w:t>
      </w:r>
      <w:r>
        <w:rPr>
          <w:spacing w:val="-8"/>
          <w:sz w:val="18"/>
          <w:szCs w:val="18"/>
          <w:lang w:val="es-ES_tradnl"/>
        </w:rPr>
        <w:t>que son cuestiones de legalidad, as</w:t>
      </w:r>
      <w:r>
        <w:rPr>
          <w:rFonts w:cs="Times New Roman"/>
          <w:spacing w:val="-8"/>
          <w:sz w:val="18"/>
          <w:szCs w:val="18"/>
          <w:lang w:val="es-ES_tradnl"/>
        </w:rPr>
        <w:t>í</w:t>
      </w:r>
      <w:r>
        <w:rPr>
          <w:spacing w:val="-8"/>
          <w:sz w:val="18"/>
          <w:szCs w:val="18"/>
          <w:lang w:val="es-ES_tradnl"/>
        </w:rPr>
        <w:t xml:space="preserve"> como cuando, a la inversa, a asuntos de legalidad se les yuxtapone la justicia </w:t>
      </w:r>
      <w:r>
        <w:rPr>
          <w:sz w:val="18"/>
          <w:szCs w:val="18"/>
          <w:lang w:val="es-ES_tradnl"/>
        </w:rPr>
        <w:t>constitucional.</w:t>
      </w:r>
    </w:p>
    <w:p w14:paraId="4F67AE46" w14:textId="77777777" w:rsidR="00591D54" w:rsidRDefault="00591D54">
      <w:pPr>
        <w:shd w:val="clear" w:color="auto" w:fill="FFFFFF"/>
        <w:spacing w:before="206" w:line="226" w:lineRule="exact"/>
        <w:jc w:val="both"/>
      </w:pPr>
      <w:r>
        <w:rPr>
          <w:spacing w:val="-9"/>
          <w:sz w:val="18"/>
          <w:szCs w:val="18"/>
          <w:lang w:val="es-ES_tradnl"/>
        </w:rPr>
        <w:t>En todo caso, si una decisi</w:t>
      </w:r>
      <w:r>
        <w:rPr>
          <w:rFonts w:cs="Times New Roman"/>
          <w:spacing w:val="-9"/>
          <w:sz w:val="18"/>
          <w:szCs w:val="18"/>
          <w:lang w:val="es-ES_tradnl"/>
        </w:rPr>
        <w:t>ó</w:t>
      </w:r>
      <w:r>
        <w:rPr>
          <w:spacing w:val="-9"/>
          <w:sz w:val="18"/>
          <w:szCs w:val="18"/>
          <w:lang w:val="es-ES_tradnl"/>
        </w:rPr>
        <w:t>n judicial rechaza una acci</w:t>
      </w:r>
      <w:r>
        <w:rPr>
          <w:rFonts w:cs="Times New Roman"/>
          <w:spacing w:val="-9"/>
          <w:sz w:val="18"/>
          <w:szCs w:val="18"/>
          <w:lang w:val="es-ES_tradnl"/>
        </w:rPr>
        <w:t>ó</w:t>
      </w:r>
      <w:r>
        <w:rPr>
          <w:spacing w:val="-9"/>
          <w:sz w:val="18"/>
          <w:szCs w:val="18"/>
          <w:lang w:val="es-ES_tradnl"/>
        </w:rPr>
        <w:t xml:space="preserve">n de </w:t>
      </w:r>
      <w:r>
        <w:rPr>
          <w:spacing w:val="-10"/>
          <w:sz w:val="18"/>
          <w:szCs w:val="18"/>
          <w:lang w:val="es-ES_tradnl"/>
        </w:rPr>
        <w:t>protecci</w:t>
      </w:r>
      <w:r>
        <w:rPr>
          <w:rFonts w:cs="Times New Roman"/>
          <w:spacing w:val="-10"/>
          <w:sz w:val="18"/>
          <w:szCs w:val="18"/>
          <w:lang w:val="es-ES_tradnl"/>
        </w:rPr>
        <w:t>ó</w:t>
      </w:r>
      <w:r>
        <w:rPr>
          <w:spacing w:val="-10"/>
          <w:sz w:val="18"/>
          <w:szCs w:val="18"/>
          <w:lang w:val="es-ES_tradnl"/>
        </w:rPr>
        <w:t>n con fundamento en que es cuesti</w:t>
      </w:r>
      <w:r>
        <w:rPr>
          <w:rFonts w:cs="Times New Roman"/>
          <w:spacing w:val="-10"/>
          <w:sz w:val="18"/>
          <w:szCs w:val="18"/>
          <w:lang w:val="es-ES_tradnl"/>
        </w:rPr>
        <w:t>ó</w:t>
      </w:r>
      <w:r>
        <w:rPr>
          <w:spacing w:val="-10"/>
          <w:sz w:val="18"/>
          <w:szCs w:val="18"/>
          <w:lang w:val="es-ES_tradnl"/>
        </w:rPr>
        <w:t xml:space="preserve">n de legalidad, </w:t>
      </w:r>
      <w:r>
        <w:rPr>
          <w:spacing w:val="-7"/>
          <w:sz w:val="18"/>
          <w:szCs w:val="18"/>
          <w:lang w:val="es-ES_tradnl"/>
        </w:rPr>
        <w:t>dicha decisi</w:t>
      </w:r>
      <w:r>
        <w:rPr>
          <w:rFonts w:cs="Times New Roman"/>
          <w:spacing w:val="-7"/>
          <w:sz w:val="18"/>
          <w:szCs w:val="18"/>
          <w:lang w:val="es-ES_tradnl"/>
        </w:rPr>
        <w:t>ó</w:t>
      </w:r>
      <w:r>
        <w:rPr>
          <w:spacing w:val="-7"/>
          <w:sz w:val="18"/>
          <w:szCs w:val="18"/>
          <w:lang w:val="es-ES_tradnl"/>
        </w:rPr>
        <w:t>n debe sostenerse en una argumentaci</w:t>
      </w:r>
      <w:r>
        <w:rPr>
          <w:rFonts w:cs="Times New Roman"/>
          <w:spacing w:val="-7"/>
          <w:sz w:val="18"/>
          <w:szCs w:val="18"/>
          <w:lang w:val="es-ES_tradnl"/>
        </w:rPr>
        <w:t>ó</w:t>
      </w:r>
      <w:r>
        <w:rPr>
          <w:spacing w:val="-7"/>
          <w:sz w:val="18"/>
          <w:szCs w:val="18"/>
          <w:lang w:val="es-ES_tradnl"/>
        </w:rPr>
        <w:t xml:space="preserve">n </w:t>
      </w:r>
      <w:r>
        <w:rPr>
          <w:spacing w:val="-8"/>
          <w:sz w:val="18"/>
          <w:szCs w:val="18"/>
          <w:lang w:val="es-ES_tradnl"/>
        </w:rPr>
        <w:t>racional y jur</w:t>
      </w:r>
      <w:r>
        <w:rPr>
          <w:rFonts w:cs="Times New Roman"/>
          <w:spacing w:val="-8"/>
          <w:sz w:val="18"/>
          <w:szCs w:val="18"/>
          <w:lang w:val="es-ES_tradnl"/>
        </w:rPr>
        <w:t>í</w:t>
      </w:r>
      <w:r>
        <w:rPr>
          <w:spacing w:val="-8"/>
          <w:sz w:val="18"/>
          <w:szCs w:val="18"/>
          <w:lang w:val="es-ES_tradnl"/>
        </w:rPr>
        <w:t xml:space="preserve">dicamente fundamentada en base a criterios </w:t>
      </w:r>
      <w:r>
        <w:rPr>
          <w:spacing w:val="-10"/>
          <w:sz w:val="18"/>
          <w:szCs w:val="18"/>
          <w:lang w:val="es-ES_tradnl"/>
        </w:rPr>
        <w:t xml:space="preserve">que el operador de justicia se haya formado solo luego de un </w:t>
      </w:r>
      <w:r>
        <w:rPr>
          <w:spacing w:val="-9"/>
          <w:sz w:val="18"/>
          <w:szCs w:val="18"/>
          <w:lang w:val="es-ES_tradnl"/>
        </w:rPr>
        <w:t xml:space="preserve">procedimiento que precautele los derechos constitucionales </w:t>
      </w:r>
      <w:r>
        <w:rPr>
          <w:spacing w:val="-4"/>
          <w:sz w:val="18"/>
          <w:szCs w:val="18"/>
          <w:lang w:val="es-ES_tradnl"/>
        </w:rPr>
        <w:t>de las partes, para poder llegar as</w:t>
      </w:r>
      <w:r>
        <w:rPr>
          <w:rFonts w:cs="Times New Roman"/>
          <w:spacing w:val="-4"/>
          <w:sz w:val="18"/>
          <w:szCs w:val="18"/>
          <w:lang w:val="es-ES_tradnl"/>
        </w:rPr>
        <w:t>í</w:t>
      </w:r>
      <w:r>
        <w:rPr>
          <w:spacing w:val="-4"/>
          <w:sz w:val="18"/>
          <w:szCs w:val="18"/>
          <w:lang w:val="es-ES_tradnl"/>
        </w:rPr>
        <w:t xml:space="preserve"> a conclusiones y </w:t>
      </w:r>
      <w:r>
        <w:rPr>
          <w:spacing w:val="-8"/>
          <w:sz w:val="18"/>
          <w:szCs w:val="18"/>
          <w:lang w:val="es-ES_tradnl"/>
        </w:rPr>
        <w:t>establecer que la acci</w:t>
      </w:r>
      <w:r>
        <w:rPr>
          <w:rFonts w:cs="Times New Roman"/>
          <w:spacing w:val="-8"/>
          <w:sz w:val="18"/>
          <w:szCs w:val="18"/>
          <w:lang w:val="es-ES_tradnl"/>
        </w:rPr>
        <w:t>ó</w:t>
      </w:r>
      <w:r>
        <w:rPr>
          <w:spacing w:val="-8"/>
          <w:sz w:val="18"/>
          <w:szCs w:val="18"/>
          <w:lang w:val="es-ES_tradnl"/>
        </w:rPr>
        <w:t>n, efectivamente, pretend</w:t>
      </w:r>
      <w:r>
        <w:rPr>
          <w:rFonts w:cs="Times New Roman"/>
          <w:spacing w:val="-8"/>
          <w:sz w:val="18"/>
          <w:szCs w:val="18"/>
          <w:lang w:val="es-ES_tradnl"/>
        </w:rPr>
        <w:t>í</w:t>
      </w:r>
      <w:r>
        <w:rPr>
          <w:spacing w:val="-8"/>
          <w:sz w:val="18"/>
          <w:szCs w:val="18"/>
          <w:lang w:val="es-ES_tradnl"/>
        </w:rPr>
        <w:t>a someter a debate constitucional cuestiones de legalidad.</w:t>
      </w:r>
    </w:p>
    <w:p w14:paraId="4F67AE47" w14:textId="77777777" w:rsidR="00591D54" w:rsidRDefault="00591D54">
      <w:pPr>
        <w:shd w:val="clear" w:color="auto" w:fill="FFFFFF"/>
        <w:spacing w:before="206" w:line="226" w:lineRule="exact"/>
        <w:jc w:val="both"/>
      </w:pPr>
      <w:r>
        <w:rPr>
          <w:spacing w:val="-7"/>
          <w:sz w:val="18"/>
          <w:szCs w:val="18"/>
          <w:lang w:val="es-ES_tradnl"/>
        </w:rPr>
        <w:t xml:space="preserve">Con lo que se evidencia, que los juzgadores no pueden </w:t>
      </w:r>
      <w:r>
        <w:rPr>
          <w:spacing w:val="-10"/>
          <w:sz w:val="18"/>
          <w:szCs w:val="18"/>
          <w:lang w:val="es-ES_tradnl"/>
        </w:rPr>
        <w:t xml:space="preserve">simplemente escudarse tras las causales de improcedencia para no conocer el fondo del asunto, alegando que se tratan </w:t>
      </w:r>
      <w:r>
        <w:rPr>
          <w:spacing w:val="-11"/>
          <w:sz w:val="18"/>
          <w:szCs w:val="18"/>
          <w:lang w:val="es-ES_tradnl"/>
        </w:rPr>
        <w:t>de temas de mera legalidad o que existe una v</w:t>
      </w:r>
      <w:r>
        <w:rPr>
          <w:rFonts w:cs="Times New Roman"/>
          <w:spacing w:val="-11"/>
          <w:sz w:val="18"/>
          <w:szCs w:val="18"/>
          <w:lang w:val="es-ES_tradnl"/>
        </w:rPr>
        <w:t>í</w:t>
      </w:r>
      <w:r>
        <w:rPr>
          <w:spacing w:val="-11"/>
          <w:sz w:val="18"/>
          <w:szCs w:val="18"/>
          <w:lang w:val="es-ES_tradnl"/>
        </w:rPr>
        <w:t xml:space="preserve">a en la justicia </w:t>
      </w:r>
      <w:r>
        <w:rPr>
          <w:spacing w:val="-5"/>
          <w:sz w:val="18"/>
          <w:szCs w:val="18"/>
          <w:lang w:val="es-ES_tradnl"/>
        </w:rPr>
        <w:t>ordinaria para el problema jur</w:t>
      </w:r>
      <w:r>
        <w:rPr>
          <w:rFonts w:cs="Times New Roman"/>
          <w:spacing w:val="-5"/>
          <w:sz w:val="18"/>
          <w:szCs w:val="18"/>
          <w:lang w:val="es-ES_tradnl"/>
        </w:rPr>
        <w:t>í</w:t>
      </w:r>
      <w:r>
        <w:rPr>
          <w:spacing w:val="-5"/>
          <w:sz w:val="18"/>
          <w:szCs w:val="18"/>
          <w:lang w:val="es-ES_tradnl"/>
        </w:rPr>
        <w:t xml:space="preserve">dico identificado, sino que </w:t>
      </w:r>
      <w:r>
        <w:rPr>
          <w:spacing w:val="-8"/>
          <w:sz w:val="18"/>
          <w:szCs w:val="18"/>
          <w:lang w:val="es-ES_tradnl"/>
        </w:rPr>
        <w:t>deben dar razones suficientes que justifiquen su decisi</w:t>
      </w:r>
      <w:r>
        <w:rPr>
          <w:rFonts w:cs="Times New Roman"/>
          <w:spacing w:val="-8"/>
          <w:sz w:val="18"/>
          <w:szCs w:val="18"/>
          <w:lang w:val="es-ES_tradnl"/>
        </w:rPr>
        <w:t>ó</w:t>
      </w:r>
      <w:r>
        <w:rPr>
          <w:spacing w:val="-8"/>
          <w:sz w:val="18"/>
          <w:szCs w:val="18"/>
          <w:lang w:val="es-ES_tradnl"/>
        </w:rPr>
        <w:t xml:space="preserve">n, </w:t>
      </w:r>
      <w:r>
        <w:rPr>
          <w:spacing w:val="-7"/>
          <w:sz w:val="18"/>
          <w:szCs w:val="18"/>
          <w:lang w:val="es-ES_tradnl"/>
        </w:rPr>
        <w:t xml:space="preserve">en estricto apego a las disposiciones constitucionales, </w:t>
      </w:r>
      <w:r>
        <w:rPr>
          <w:spacing w:val="-8"/>
          <w:sz w:val="18"/>
          <w:szCs w:val="18"/>
          <w:lang w:val="es-ES_tradnl"/>
        </w:rPr>
        <w:t>respetando las reglas de la l</w:t>
      </w:r>
      <w:r>
        <w:rPr>
          <w:rFonts w:cs="Times New Roman"/>
          <w:spacing w:val="-8"/>
          <w:sz w:val="18"/>
          <w:szCs w:val="18"/>
          <w:lang w:val="es-ES_tradnl"/>
        </w:rPr>
        <w:t>ó</w:t>
      </w:r>
      <w:r>
        <w:rPr>
          <w:spacing w:val="-8"/>
          <w:sz w:val="18"/>
          <w:szCs w:val="18"/>
          <w:lang w:val="es-ES_tradnl"/>
        </w:rPr>
        <w:t>gica jur</w:t>
      </w:r>
      <w:r>
        <w:rPr>
          <w:rFonts w:cs="Times New Roman"/>
          <w:spacing w:val="-8"/>
          <w:sz w:val="18"/>
          <w:szCs w:val="18"/>
          <w:lang w:val="es-ES_tradnl"/>
        </w:rPr>
        <w:t>í</w:t>
      </w:r>
      <w:r>
        <w:rPr>
          <w:spacing w:val="-8"/>
          <w:sz w:val="18"/>
          <w:szCs w:val="18"/>
          <w:lang w:val="es-ES_tradnl"/>
        </w:rPr>
        <w:t xml:space="preserve">dica y en un lenguaje </w:t>
      </w:r>
      <w:r>
        <w:rPr>
          <w:sz w:val="18"/>
          <w:szCs w:val="18"/>
          <w:lang w:val="es-ES_tradnl"/>
        </w:rPr>
        <w:t>claro y comprensible.</w:t>
      </w:r>
    </w:p>
    <w:p w14:paraId="4F67AE48" w14:textId="77777777" w:rsidR="00591D54" w:rsidRDefault="00591D54">
      <w:pPr>
        <w:shd w:val="clear" w:color="auto" w:fill="FFFFFF"/>
        <w:spacing w:before="206" w:line="226" w:lineRule="exact"/>
        <w:jc w:val="both"/>
      </w:pPr>
      <w:r>
        <w:rPr>
          <w:spacing w:val="-7"/>
          <w:sz w:val="18"/>
          <w:szCs w:val="18"/>
          <w:lang w:val="es-ES_tradnl"/>
        </w:rPr>
        <w:t xml:space="preserve">Por lo que es claro que los requisitos establecidos en el </w:t>
      </w:r>
      <w:r>
        <w:rPr>
          <w:spacing w:val="-9"/>
          <w:sz w:val="18"/>
          <w:szCs w:val="18"/>
          <w:lang w:val="es-ES_tradnl"/>
        </w:rPr>
        <w:t>art</w:t>
      </w:r>
      <w:r>
        <w:rPr>
          <w:rFonts w:cs="Times New Roman"/>
          <w:spacing w:val="-9"/>
          <w:sz w:val="18"/>
          <w:szCs w:val="18"/>
          <w:lang w:val="es-ES_tradnl"/>
        </w:rPr>
        <w:t>í</w:t>
      </w:r>
      <w:r>
        <w:rPr>
          <w:spacing w:val="-9"/>
          <w:sz w:val="18"/>
          <w:szCs w:val="18"/>
          <w:lang w:val="es-ES_tradnl"/>
        </w:rPr>
        <w:t>culo 40 de la Ley Org</w:t>
      </w:r>
      <w:r>
        <w:rPr>
          <w:rFonts w:cs="Times New Roman"/>
          <w:spacing w:val="-9"/>
          <w:sz w:val="18"/>
          <w:szCs w:val="18"/>
          <w:lang w:val="es-ES_tradnl"/>
        </w:rPr>
        <w:t>á</w:t>
      </w:r>
      <w:r>
        <w:rPr>
          <w:spacing w:val="-9"/>
          <w:sz w:val="18"/>
          <w:szCs w:val="18"/>
          <w:lang w:val="es-ES_tradnl"/>
        </w:rPr>
        <w:t>nica de Garant</w:t>
      </w:r>
      <w:r>
        <w:rPr>
          <w:rFonts w:cs="Times New Roman"/>
          <w:spacing w:val="-9"/>
          <w:sz w:val="18"/>
          <w:szCs w:val="18"/>
          <w:lang w:val="es-ES_tradnl"/>
        </w:rPr>
        <w:t>í</w:t>
      </w:r>
      <w:r>
        <w:rPr>
          <w:spacing w:val="-9"/>
          <w:sz w:val="18"/>
          <w:szCs w:val="18"/>
          <w:lang w:val="es-ES_tradnl"/>
        </w:rPr>
        <w:t xml:space="preserve">as Jurisdiccionales </w:t>
      </w:r>
      <w:r>
        <w:rPr>
          <w:spacing w:val="-3"/>
          <w:sz w:val="18"/>
          <w:szCs w:val="18"/>
          <w:lang w:val="es-ES_tradnl"/>
        </w:rPr>
        <w:t xml:space="preserve">y Control Constitucional constituyen cuestiones que </w:t>
      </w:r>
      <w:r>
        <w:rPr>
          <w:spacing w:val="-5"/>
          <w:sz w:val="18"/>
          <w:szCs w:val="18"/>
          <w:lang w:val="es-ES_tradnl"/>
        </w:rPr>
        <w:t>implican un an</w:t>
      </w:r>
      <w:r>
        <w:rPr>
          <w:rFonts w:cs="Times New Roman"/>
          <w:spacing w:val="-5"/>
          <w:sz w:val="18"/>
          <w:szCs w:val="18"/>
          <w:lang w:val="es-ES_tradnl"/>
        </w:rPr>
        <w:t>á</w:t>
      </w:r>
      <w:r>
        <w:rPr>
          <w:spacing w:val="-5"/>
          <w:sz w:val="18"/>
          <w:szCs w:val="18"/>
          <w:lang w:val="es-ES_tradnl"/>
        </w:rPr>
        <w:t xml:space="preserve">lisis de fondo del asunto controvertido en </w:t>
      </w:r>
      <w:r>
        <w:rPr>
          <w:spacing w:val="-7"/>
          <w:sz w:val="18"/>
          <w:szCs w:val="18"/>
          <w:lang w:val="es-ES_tradnl"/>
        </w:rPr>
        <w:t>la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n, por lo tanto, pod</w:t>
      </w:r>
      <w:r>
        <w:rPr>
          <w:rFonts w:cs="Times New Roman"/>
          <w:spacing w:val="-7"/>
          <w:sz w:val="18"/>
          <w:szCs w:val="18"/>
          <w:lang w:val="es-ES_tradnl"/>
        </w:rPr>
        <w:t>í</w:t>
      </w:r>
      <w:r>
        <w:rPr>
          <w:spacing w:val="-7"/>
          <w:sz w:val="18"/>
          <w:szCs w:val="18"/>
          <w:lang w:val="es-ES_tradnl"/>
        </w:rPr>
        <w:t xml:space="preserve">an ser invocados por los juzgadores, </w:t>
      </w:r>
      <w:r>
        <w:rPr>
          <w:rFonts w:cs="Times New Roman"/>
          <w:spacing w:val="-7"/>
          <w:sz w:val="18"/>
          <w:szCs w:val="18"/>
          <w:lang w:val="es-ES_tradnl"/>
        </w:rPr>
        <w:t>ú</w:t>
      </w:r>
      <w:r>
        <w:rPr>
          <w:spacing w:val="-7"/>
          <w:sz w:val="18"/>
          <w:szCs w:val="18"/>
          <w:lang w:val="es-ES_tradnl"/>
        </w:rPr>
        <w:t>nicamente, a trav</w:t>
      </w:r>
      <w:r>
        <w:rPr>
          <w:rFonts w:cs="Times New Roman"/>
          <w:spacing w:val="-7"/>
          <w:sz w:val="18"/>
          <w:szCs w:val="18"/>
          <w:lang w:val="es-ES_tradnl"/>
        </w:rPr>
        <w:t>é</w:t>
      </w:r>
      <w:r>
        <w:rPr>
          <w:spacing w:val="-7"/>
          <w:sz w:val="18"/>
          <w:szCs w:val="18"/>
          <w:lang w:val="es-ES_tradnl"/>
        </w:rPr>
        <w:t xml:space="preserve">s de sentencia </w:t>
      </w:r>
      <w:r>
        <w:rPr>
          <w:spacing w:val="-4"/>
          <w:sz w:val="18"/>
          <w:szCs w:val="18"/>
          <w:lang w:val="es-ES_tradnl"/>
        </w:rPr>
        <w:t>motivada, en los t</w:t>
      </w:r>
      <w:r>
        <w:rPr>
          <w:rFonts w:cs="Times New Roman"/>
          <w:spacing w:val="-4"/>
          <w:sz w:val="18"/>
          <w:szCs w:val="18"/>
          <w:lang w:val="es-ES_tradnl"/>
        </w:rPr>
        <w:t>é</w:t>
      </w:r>
      <w:r>
        <w:rPr>
          <w:spacing w:val="-4"/>
          <w:sz w:val="18"/>
          <w:szCs w:val="18"/>
          <w:lang w:val="es-ES_tradnl"/>
        </w:rPr>
        <w:t>rminos exigidos por la Constituci</w:t>
      </w:r>
      <w:r>
        <w:rPr>
          <w:rFonts w:cs="Times New Roman"/>
          <w:spacing w:val="-4"/>
          <w:sz w:val="18"/>
          <w:szCs w:val="18"/>
          <w:lang w:val="es-ES_tradnl"/>
        </w:rPr>
        <w:t>ó</w:t>
      </w:r>
      <w:r>
        <w:rPr>
          <w:spacing w:val="-4"/>
          <w:sz w:val="18"/>
          <w:szCs w:val="18"/>
          <w:lang w:val="es-ES_tradnl"/>
        </w:rPr>
        <w:t xml:space="preserve">n y </w:t>
      </w:r>
      <w:r>
        <w:rPr>
          <w:spacing w:val="-6"/>
          <w:sz w:val="18"/>
          <w:szCs w:val="18"/>
          <w:lang w:val="es-ES_tradnl"/>
        </w:rPr>
        <w:t>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Control </w:t>
      </w:r>
      <w:r>
        <w:rPr>
          <w:sz w:val="18"/>
          <w:szCs w:val="18"/>
          <w:lang w:val="es-ES_tradnl"/>
        </w:rPr>
        <w:t>Constitucional.</w:t>
      </w:r>
    </w:p>
    <w:p w14:paraId="4F67AE49" w14:textId="77777777" w:rsidR="00591D54" w:rsidRDefault="00591D54">
      <w:pPr>
        <w:shd w:val="clear" w:color="auto" w:fill="FFFFFF"/>
        <w:spacing w:before="206" w:line="226" w:lineRule="exact"/>
        <w:jc w:val="both"/>
      </w:pPr>
      <w:r>
        <w:rPr>
          <w:spacing w:val="-7"/>
          <w:sz w:val="18"/>
          <w:szCs w:val="18"/>
          <w:lang w:val="es-ES_tradnl"/>
        </w:rPr>
        <w:t xml:space="preserve">Una vez que se han realizado algunas puntualizaciones </w:t>
      </w:r>
      <w:r>
        <w:rPr>
          <w:spacing w:val="-10"/>
          <w:sz w:val="18"/>
          <w:szCs w:val="18"/>
          <w:lang w:val="es-ES_tradnl"/>
        </w:rPr>
        <w:t>b</w:t>
      </w:r>
      <w:r>
        <w:rPr>
          <w:rFonts w:cs="Times New Roman"/>
          <w:spacing w:val="-10"/>
          <w:sz w:val="18"/>
          <w:szCs w:val="18"/>
          <w:lang w:val="es-ES_tradnl"/>
        </w:rPr>
        <w:t>á</w:t>
      </w:r>
      <w:r>
        <w:rPr>
          <w:spacing w:val="-10"/>
          <w:sz w:val="18"/>
          <w:szCs w:val="18"/>
          <w:lang w:val="es-ES_tradnl"/>
        </w:rPr>
        <w:t>sicas respecto a la acci</w:t>
      </w:r>
      <w:r>
        <w:rPr>
          <w:rFonts w:cs="Times New Roman"/>
          <w:spacing w:val="-10"/>
          <w:sz w:val="18"/>
          <w:szCs w:val="18"/>
          <w:lang w:val="es-ES_tradnl"/>
        </w:rPr>
        <w:t>ó</w:t>
      </w:r>
      <w:r>
        <w:rPr>
          <w:spacing w:val="-10"/>
          <w:sz w:val="18"/>
          <w:szCs w:val="18"/>
          <w:lang w:val="es-ES_tradnl"/>
        </w:rPr>
        <w:t>n de protecci</w:t>
      </w:r>
      <w:r>
        <w:rPr>
          <w:rFonts w:cs="Times New Roman"/>
          <w:spacing w:val="-10"/>
          <w:sz w:val="18"/>
          <w:szCs w:val="18"/>
          <w:lang w:val="es-ES_tradnl"/>
        </w:rPr>
        <w:t>ó</w:t>
      </w:r>
      <w:r>
        <w:rPr>
          <w:spacing w:val="-10"/>
          <w:sz w:val="18"/>
          <w:szCs w:val="18"/>
          <w:lang w:val="es-ES_tradnl"/>
        </w:rPr>
        <w:t>n y la obligaci</w:t>
      </w:r>
      <w:r>
        <w:rPr>
          <w:rFonts w:cs="Times New Roman"/>
          <w:spacing w:val="-10"/>
          <w:sz w:val="18"/>
          <w:szCs w:val="18"/>
          <w:lang w:val="es-ES_tradnl"/>
        </w:rPr>
        <w:t>ó</w:t>
      </w:r>
      <w:r>
        <w:rPr>
          <w:spacing w:val="-10"/>
          <w:sz w:val="18"/>
          <w:szCs w:val="18"/>
          <w:lang w:val="es-ES_tradnl"/>
        </w:rPr>
        <w:t>n de los jueces de motivar su decisi</w:t>
      </w:r>
      <w:r>
        <w:rPr>
          <w:rFonts w:cs="Times New Roman"/>
          <w:spacing w:val="-10"/>
          <w:sz w:val="18"/>
          <w:szCs w:val="18"/>
          <w:lang w:val="es-ES_tradnl"/>
        </w:rPr>
        <w:t>ó</w:t>
      </w:r>
      <w:r>
        <w:rPr>
          <w:spacing w:val="-10"/>
          <w:sz w:val="18"/>
          <w:szCs w:val="18"/>
          <w:lang w:val="es-ES_tradnl"/>
        </w:rPr>
        <w:t xml:space="preserve">n, esta Corte entra a analizar </w:t>
      </w:r>
      <w:r>
        <w:rPr>
          <w:spacing w:val="-8"/>
          <w:sz w:val="18"/>
          <w:szCs w:val="18"/>
          <w:lang w:val="es-ES_tradnl"/>
        </w:rPr>
        <w:t>si la decisi</w:t>
      </w:r>
      <w:r>
        <w:rPr>
          <w:rFonts w:cs="Times New Roman"/>
          <w:spacing w:val="-8"/>
          <w:sz w:val="18"/>
          <w:szCs w:val="18"/>
          <w:lang w:val="es-ES_tradnl"/>
        </w:rPr>
        <w:t>ó</w:t>
      </w:r>
      <w:r>
        <w:rPr>
          <w:spacing w:val="-8"/>
          <w:sz w:val="18"/>
          <w:szCs w:val="18"/>
          <w:lang w:val="es-ES_tradnl"/>
        </w:rPr>
        <w:t>n judicial impugnada respet</w:t>
      </w:r>
      <w:r>
        <w:rPr>
          <w:rFonts w:cs="Times New Roman"/>
          <w:spacing w:val="-8"/>
          <w:sz w:val="18"/>
          <w:szCs w:val="18"/>
          <w:lang w:val="es-ES_tradnl"/>
        </w:rPr>
        <w:t>ó</w:t>
      </w:r>
      <w:r>
        <w:rPr>
          <w:spacing w:val="-8"/>
          <w:sz w:val="18"/>
          <w:szCs w:val="18"/>
          <w:lang w:val="es-ES_tradnl"/>
        </w:rPr>
        <w:t xml:space="preserve"> el par</w:t>
      </w:r>
      <w:r>
        <w:rPr>
          <w:rFonts w:cs="Times New Roman"/>
          <w:spacing w:val="-8"/>
          <w:sz w:val="18"/>
          <w:szCs w:val="18"/>
          <w:lang w:val="es-ES_tradnl"/>
        </w:rPr>
        <w:t>á</w:t>
      </w:r>
      <w:r>
        <w:rPr>
          <w:spacing w:val="-8"/>
          <w:sz w:val="18"/>
          <w:szCs w:val="18"/>
          <w:lang w:val="es-ES_tradnl"/>
        </w:rPr>
        <w:t xml:space="preserve">metro de la </w:t>
      </w:r>
      <w:r>
        <w:rPr>
          <w:sz w:val="18"/>
          <w:szCs w:val="18"/>
          <w:lang w:val="es-ES_tradnl"/>
        </w:rPr>
        <w:t>razonabilidad.</w:t>
      </w:r>
    </w:p>
    <w:p w14:paraId="4F67AE4A" w14:textId="77777777" w:rsidR="00591D54" w:rsidRDefault="00591D54">
      <w:pPr>
        <w:shd w:val="clear" w:color="auto" w:fill="FFFFFF"/>
        <w:spacing w:before="206" w:line="226" w:lineRule="exact"/>
        <w:jc w:val="both"/>
      </w:pPr>
      <w:r>
        <w:rPr>
          <w:spacing w:val="-8"/>
          <w:sz w:val="18"/>
          <w:szCs w:val="18"/>
          <w:lang w:val="es-ES_tradnl"/>
        </w:rPr>
        <w:t>El presente caso hace relaci</w:t>
      </w:r>
      <w:r>
        <w:rPr>
          <w:rFonts w:cs="Times New Roman"/>
          <w:spacing w:val="-8"/>
          <w:sz w:val="18"/>
          <w:szCs w:val="18"/>
          <w:lang w:val="es-ES_tradnl"/>
        </w:rPr>
        <w:t>ó</w:t>
      </w:r>
      <w:r>
        <w:rPr>
          <w:spacing w:val="-8"/>
          <w:sz w:val="18"/>
          <w:szCs w:val="18"/>
          <w:lang w:val="es-ES_tradnl"/>
        </w:rPr>
        <w:t>n a una acci</w:t>
      </w:r>
      <w:r>
        <w:rPr>
          <w:rFonts w:cs="Times New Roman"/>
          <w:spacing w:val="-8"/>
          <w:sz w:val="18"/>
          <w:szCs w:val="18"/>
          <w:lang w:val="es-ES_tradnl"/>
        </w:rPr>
        <w:t>ó</w:t>
      </w:r>
      <w:r>
        <w:rPr>
          <w:spacing w:val="-8"/>
          <w:sz w:val="18"/>
          <w:szCs w:val="18"/>
          <w:lang w:val="es-ES_tradnl"/>
        </w:rPr>
        <w:t>n de protecci</w:t>
      </w:r>
      <w:r>
        <w:rPr>
          <w:rFonts w:cs="Times New Roman"/>
          <w:spacing w:val="-8"/>
          <w:sz w:val="18"/>
          <w:szCs w:val="18"/>
          <w:lang w:val="es-ES_tradnl"/>
        </w:rPr>
        <w:t>ó</w:t>
      </w:r>
      <w:r>
        <w:rPr>
          <w:spacing w:val="-8"/>
          <w:sz w:val="18"/>
          <w:szCs w:val="18"/>
          <w:lang w:val="es-ES_tradnl"/>
        </w:rPr>
        <w:t xml:space="preserve">n </w:t>
      </w:r>
      <w:r>
        <w:rPr>
          <w:spacing w:val="-7"/>
          <w:sz w:val="18"/>
          <w:szCs w:val="18"/>
          <w:lang w:val="es-ES_tradnl"/>
        </w:rPr>
        <w:t>presentada en contra de una resoluci</w:t>
      </w:r>
      <w:r>
        <w:rPr>
          <w:rFonts w:cs="Times New Roman"/>
          <w:spacing w:val="-7"/>
          <w:sz w:val="18"/>
          <w:szCs w:val="18"/>
          <w:lang w:val="es-ES_tradnl"/>
        </w:rPr>
        <w:t>ó</w:t>
      </w:r>
      <w:r>
        <w:rPr>
          <w:spacing w:val="-7"/>
          <w:sz w:val="18"/>
          <w:szCs w:val="18"/>
          <w:lang w:val="es-ES_tradnl"/>
        </w:rPr>
        <w:t xml:space="preserve">n del Tribunal de </w:t>
      </w:r>
      <w:r>
        <w:rPr>
          <w:spacing w:val="-9"/>
          <w:sz w:val="18"/>
          <w:szCs w:val="18"/>
          <w:lang w:val="es-ES_tradnl"/>
        </w:rPr>
        <w:t>Disciplina de la Polic</w:t>
      </w:r>
      <w:r>
        <w:rPr>
          <w:rFonts w:cs="Times New Roman"/>
          <w:spacing w:val="-9"/>
          <w:sz w:val="18"/>
          <w:szCs w:val="18"/>
          <w:lang w:val="es-ES_tradnl"/>
        </w:rPr>
        <w:t>í</w:t>
      </w:r>
      <w:r>
        <w:rPr>
          <w:spacing w:val="-9"/>
          <w:sz w:val="18"/>
          <w:szCs w:val="18"/>
          <w:lang w:val="es-ES_tradnl"/>
        </w:rPr>
        <w:t xml:space="preserve">a Nacional, alegando que en la misma </w:t>
      </w:r>
      <w:r>
        <w:rPr>
          <w:spacing w:val="-11"/>
          <w:sz w:val="18"/>
          <w:szCs w:val="18"/>
          <w:lang w:val="es-ES_tradnl"/>
        </w:rPr>
        <w:t>no se ha tomado en cuenta la condici</w:t>
      </w:r>
      <w:r>
        <w:rPr>
          <w:rFonts w:cs="Times New Roman"/>
          <w:spacing w:val="-11"/>
          <w:sz w:val="18"/>
          <w:szCs w:val="18"/>
          <w:lang w:val="es-ES_tradnl"/>
        </w:rPr>
        <w:t>ó</w:t>
      </w:r>
      <w:r>
        <w:rPr>
          <w:spacing w:val="-11"/>
          <w:sz w:val="18"/>
          <w:szCs w:val="18"/>
          <w:lang w:val="es-ES_tradnl"/>
        </w:rPr>
        <w:t xml:space="preserve">n de discapacitado del </w:t>
      </w:r>
      <w:r>
        <w:rPr>
          <w:spacing w:val="-8"/>
          <w:sz w:val="18"/>
          <w:szCs w:val="18"/>
          <w:lang w:val="es-ES_tradnl"/>
        </w:rPr>
        <w:t>se</w:t>
      </w:r>
      <w:r>
        <w:rPr>
          <w:rFonts w:cs="Times New Roman"/>
          <w:spacing w:val="-8"/>
          <w:sz w:val="18"/>
          <w:szCs w:val="18"/>
          <w:lang w:val="es-ES_tradnl"/>
        </w:rPr>
        <w:t>ñ</w:t>
      </w:r>
      <w:r>
        <w:rPr>
          <w:spacing w:val="-8"/>
          <w:sz w:val="18"/>
          <w:szCs w:val="18"/>
          <w:lang w:val="es-ES_tradnl"/>
        </w:rPr>
        <w:t>or Alex Javier Agonaga Crib</w:t>
      </w:r>
      <w:r>
        <w:rPr>
          <w:rFonts w:cs="Times New Roman"/>
          <w:spacing w:val="-8"/>
          <w:sz w:val="18"/>
          <w:szCs w:val="18"/>
          <w:lang w:val="es-ES_tradnl"/>
        </w:rPr>
        <w:t>á</w:t>
      </w:r>
      <w:r>
        <w:rPr>
          <w:spacing w:val="-8"/>
          <w:sz w:val="18"/>
          <w:szCs w:val="18"/>
          <w:lang w:val="es-ES_tradnl"/>
        </w:rPr>
        <w:t>n. En primera instancia se desecha la acci</w:t>
      </w:r>
      <w:r>
        <w:rPr>
          <w:rFonts w:cs="Times New Roman"/>
          <w:spacing w:val="-8"/>
          <w:sz w:val="18"/>
          <w:szCs w:val="18"/>
          <w:lang w:val="es-ES_tradnl"/>
        </w:rPr>
        <w:t>ó</w:t>
      </w:r>
      <w:r>
        <w:rPr>
          <w:spacing w:val="-8"/>
          <w:sz w:val="18"/>
          <w:szCs w:val="18"/>
          <w:lang w:val="es-ES_tradnl"/>
        </w:rPr>
        <w:t>n por improcedente. En segunda instancia</w:t>
      </w:r>
    </w:p>
    <w:p w14:paraId="4F67AE4B" w14:textId="77777777" w:rsidR="00591D54" w:rsidRDefault="00591D54">
      <w:pPr>
        <w:shd w:val="clear" w:color="auto" w:fill="FFFFFF"/>
        <w:spacing w:before="206" w:line="226" w:lineRule="exact"/>
        <w:jc w:val="both"/>
        <w:sectPr w:rsidR="00591D54">
          <w:type w:val="continuous"/>
          <w:pgSz w:w="11909" w:h="16834"/>
          <w:pgMar w:top="1356" w:right="1309" w:bottom="360" w:left="1308" w:header="720" w:footer="720" w:gutter="0"/>
          <w:cols w:num="2" w:space="720" w:equalWidth="0">
            <w:col w:w="4305" w:space="682"/>
            <w:col w:w="4305"/>
          </w:cols>
          <w:noEndnote/>
        </w:sectPr>
      </w:pPr>
    </w:p>
    <w:p w14:paraId="4F67AE4C" w14:textId="77777777" w:rsidR="00591D54" w:rsidRDefault="00591D54">
      <w:pPr>
        <w:shd w:val="clear" w:color="auto" w:fill="FFFFFF"/>
        <w:tabs>
          <w:tab w:val="left" w:pos="4814"/>
        </w:tabs>
        <w:spacing w:after="235"/>
        <w:ind w:left="14"/>
      </w:pPr>
      <w:r>
        <w:rPr>
          <w:b/>
          <w:bCs/>
          <w:sz w:val="18"/>
          <w:szCs w:val="18"/>
          <w:lang w:val="es-ES_tradnl"/>
        </w:rPr>
        <w:t xml:space="preserve">132 -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E4D" w14:textId="77777777" w:rsidR="00591D54" w:rsidRDefault="00591D54">
      <w:pPr>
        <w:shd w:val="clear" w:color="auto" w:fill="FFFFFF"/>
        <w:tabs>
          <w:tab w:val="left" w:pos="4814"/>
        </w:tabs>
        <w:spacing w:after="235"/>
        <w:ind w:left="14"/>
        <w:sectPr w:rsidR="00591D54">
          <w:pgSz w:w="11909" w:h="16834"/>
          <w:pgMar w:top="1371" w:right="1309" w:bottom="360" w:left="1308" w:header="720" w:footer="720" w:gutter="0"/>
          <w:cols w:space="60"/>
          <w:noEndnote/>
        </w:sectPr>
      </w:pPr>
    </w:p>
    <w:p w14:paraId="4F67AE4E" w14:textId="77777777" w:rsidR="00591D54" w:rsidRDefault="00591D54">
      <w:pPr>
        <w:shd w:val="clear" w:color="auto" w:fill="FFFFFF"/>
        <w:spacing w:line="216" w:lineRule="exact"/>
        <w:jc w:val="both"/>
      </w:pPr>
      <w:r>
        <w:rPr>
          <w:spacing w:val="-9"/>
          <w:sz w:val="18"/>
          <w:szCs w:val="18"/>
          <w:lang w:val="es-ES_tradnl"/>
        </w:rPr>
        <w:t>se revoca la sentencia y se declara inadmisible la acci</w:t>
      </w:r>
      <w:r>
        <w:rPr>
          <w:rFonts w:cs="Times New Roman"/>
          <w:spacing w:val="-9"/>
          <w:sz w:val="18"/>
          <w:szCs w:val="18"/>
          <w:lang w:val="es-ES_tradnl"/>
        </w:rPr>
        <w:t>ó</w:t>
      </w:r>
      <w:r>
        <w:rPr>
          <w:spacing w:val="-9"/>
          <w:sz w:val="18"/>
          <w:szCs w:val="18"/>
          <w:lang w:val="es-ES_tradnl"/>
        </w:rPr>
        <w:t>n de protecci</w:t>
      </w:r>
      <w:r>
        <w:rPr>
          <w:rFonts w:cs="Times New Roman"/>
          <w:spacing w:val="-9"/>
          <w:sz w:val="18"/>
          <w:szCs w:val="18"/>
          <w:lang w:val="es-ES_tradnl"/>
        </w:rPr>
        <w:t>ó</w:t>
      </w:r>
      <w:r>
        <w:rPr>
          <w:spacing w:val="-9"/>
          <w:sz w:val="18"/>
          <w:szCs w:val="18"/>
          <w:lang w:val="es-ES_tradnl"/>
        </w:rPr>
        <w:t>n, de esta sentencia, el accionante propone acci</w:t>
      </w:r>
      <w:r>
        <w:rPr>
          <w:rFonts w:cs="Times New Roman"/>
          <w:spacing w:val="-9"/>
          <w:sz w:val="18"/>
          <w:szCs w:val="18"/>
          <w:lang w:val="es-ES_tradnl"/>
        </w:rPr>
        <w:t>ó</w:t>
      </w:r>
      <w:r>
        <w:rPr>
          <w:spacing w:val="-9"/>
          <w:sz w:val="18"/>
          <w:szCs w:val="18"/>
          <w:lang w:val="es-ES_tradnl"/>
        </w:rPr>
        <w:t xml:space="preserve">n </w:t>
      </w:r>
      <w:r>
        <w:rPr>
          <w:sz w:val="18"/>
          <w:szCs w:val="18"/>
          <w:lang w:val="es-ES_tradnl"/>
        </w:rPr>
        <w:t>extraordinaria de protecci</w:t>
      </w:r>
      <w:r>
        <w:rPr>
          <w:rFonts w:cs="Times New Roman"/>
          <w:sz w:val="18"/>
          <w:szCs w:val="18"/>
          <w:lang w:val="es-ES_tradnl"/>
        </w:rPr>
        <w:t>ó</w:t>
      </w:r>
      <w:r>
        <w:rPr>
          <w:sz w:val="18"/>
          <w:szCs w:val="18"/>
          <w:lang w:val="es-ES_tradnl"/>
        </w:rPr>
        <w:t>n.</w:t>
      </w:r>
    </w:p>
    <w:p w14:paraId="4F67AE4F" w14:textId="77777777" w:rsidR="00591D54" w:rsidRDefault="00591D54">
      <w:pPr>
        <w:shd w:val="clear" w:color="auto" w:fill="FFFFFF"/>
        <w:spacing w:before="197" w:line="216" w:lineRule="exact"/>
        <w:ind w:right="5"/>
        <w:jc w:val="both"/>
      </w:pPr>
      <w:r>
        <w:rPr>
          <w:spacing w:val="-5"/>
          <w:sz w:val="18"/>
          <w:szCs w:val="18"/>
          <w:lang w:val="es-ES_tradnl"/>
        </w:rPr>
        <w:t xml:space="preserve">En este escenario, para verificar el cumplimiento del </w:t>
      </w:r>
      <w:r>
        <w:rPr>
          <w:spacing w:val="-7"/>
          <w:sz w:val="18"/>
          <w:szCs w:val="18"/>
          <w:lang w:val="es-ES_tradnl"/>
        </w:rPr>
        <w:t>par</w:t>
      </w:r>
      <w:r>
        <w:rPr>
          <w:rFonts w:cs="Times New Roman"/>
          <w:spacing w:val="-7"/>
          <w:sz w:val="18"/>
          <w:szCs w:val="18"/>
          <w:lang w:val="es-ES_tradnl"/>
        </w:rPr>
        <w:t>á</w:t>
      </w:r>
      <w:r>
        <w:rPr>
          <w:spacing w:val="-7"/>
          <w:sz w:val="18"/>
          <w:szCs w:val="18"/>
          <w:lang w:val="es-ES_tradnl"/>
        </w:rPr>
        <w:t xml:space="preserve">metro de razonabilidad, le corresponde a esta Corte </w:t>
      </w:r>
      <w:r>
        <w:rPr>
          <w:spacing w:val="-4"/>
          <w:sz w:val="18"/>
          <w:szCs w:val="18"/>
          <w:lang w:val="es-ES_tradnl"/>
        </w:rPr>
        <w:t xml:space="preserve">analizar si los jueces de la Sala Multicompetente de la </w:t>
      </w:r>
      <w:r>
        <w:rPr>
          <w:spacing w:val="-2"/>
          <w:sz w:val="18"/>
          <w:szCs w:val="18"/>
          <w:lang w:val="es-ES_tradnl"/>
        </w:rPr>
        <w:t xml:space="preserve">Corte Provincial de Justicia de Imbabura garantizaron </w:t>
      </w:r>
      <w:r>
        <w:rPr>
          <w:spacing w:val="-5"/>
          <w:sz w:val="18"/>
          <w:szCs w:val="18"/>
          <w:lang w:val="es-ES_tradnl"/>
        </w:rPr>
        <w:t>los principios constitucionales, que rigen a la acci</w:t>
      </w:r>
      <w:r>
        <w:rPr>
          <w:rFonts w:cs="Times New Roman"/>
          <w:spacing w:val="-5"/>
          <w:sz w:val="18"/>
          <w:szCs w:val="18"/>
          <w:lang w:val="es-ES_tradnl"/>
        </w:rPr>
        <w:t>ó</w:t>
      </w:r>
      <w:r>
        <w:rPr>
          <w:spacing w:val="-5"/>
          <w:sz w:val="18"/>
          <w:szCs w:val="18"/>
          <w:lang w:val="es-ES_tradnl"/>
        </w:rPr>
        <w:t xml:space="preserve">n de </w:t>
      </w:r>
      <w:r>
        <w:rPr>
          <w:spacing w:val="-1"/>
          <w:sz w:val="18"/>
          <w:szCs w:val="18"/>
          <w:lang w:val="es-ES_tradnl"/>
        </w:rPr>
        <w:t>protecci</w:t>
      </w:r>
      <w:r>
        <w:rPr>
          <w:rFonts w:cs="Times New Roman"/>
          <w:spacing w:val="-1"/>
          <w:sz w:val="18"/>
          <w:szCs w:val="18"/>
          <w:lang w:val="es-ES_tradnl"/>
        </w:rPr>
        <w:t>ó</w:t>
      </w:r>
      <w:r>
        <w:rPr>
          <w:spacing w:val="-1"/>
          <w:sz w:val="18"/>
          <w:szCs w:val="18"/>
          <w:lang w:val="es-ES_tradnl"/>
        </w:rPr>
        <w:t>n en la decisi</w:t>
      </w:r>
      <w:r>
        <w:rPr>
          <w:rFonts w:cs="Times New Roman"/>
          <w:spacing w:val="-1"/>
          <w:sz w:val="18"/>
          <w:szCs w:val="18"/>
          <w:lang w:val="es-ES_tradnl"/>
        </w:rPr>
        <w:t>ó</w:t>
      </w:r>
      <w:r>
        <w:rPr>
          <w:spacing w:val="-1"/>
          <w:sz w:val="18"/>
          <w:szCs w:val="18"/>
          <w:lang w:val="es-ES_tradnl"/>
        </w:rPr>
        <w:t xml:space="preserve">n judicial impugnada mediante </w:t>
      </w:r>
      <w:r>
        <w:rPr>
          <w:spacing w:val="-3"/>
          <w:sz w:val="18"/>
          <w:szCs w:val="18"/>
          <w:lang w:val="es-ES_tradnl"/>
        </w:rPr>
        <w:t xml:space="preserve">la cual se: </w:t>
      </w:r>
      <w:r>
        <w:rPr>
          <w:rFonts w:cs="Times New Roman"/>
          <w:spacing w:val="-3"/>
          <w:sz w:val="18"/>
          <w:szCs w:val="18"/>
          <w:lang w:val="es-ES_tradnl"/>
        </w:rPr>
        <w:t>“</w:t>
      </w:r>
      <w:r>
        <w:rPr>
          <w:spacing w:val="-3"/>
          <w:sz w:val="18"/>
          <w:szCs w:val="18"/>
          <w:lang w:val="es-ES_tradnl"/>
        </w:rPr>
        <w:t xml:space="preserve">REVOCA la sentencia dictada por el juez a </w:t>
      </w:r>
      <w:r>
        <w:rPr>
          <w:spacing w:val="-5"/>
          <w:sz w:val="18"/>
          <w:szCs w:val="18"/>
          <w:lang w:val="es-ES_tradnl"/>
        </w:rPr>
        <w:t>quo y en su lugar se declara INADMISIBLE la acci</w:t>
      </w:r>
      <w:r>
        <w:rPr>
          <w:rFonts w:cs="Times New Roman"/>
          <w:spacing w:val="-5"/>
          <w:sz w:val="18"/>
          <w:szCs w:val="18"/>
          <w:lang w:val="es-ES_tradnl"/>
        </w:rPr>
        <w:t>ó</w:t>
      </w:r>
      <w:r>
        <w:rPr>
          <w:spacing w:val="-5"/>
          <w:sz w:val="18"/>
          <w:szCs w:val="18"/>
          <w:lang w:val="es-ES_tradnl"/>
        </w:rPr>
        <w:t xml:space="preserve">n de </w:t>
      </w:r>
      <w:r>
        <w:rPr>
          <w:spacing w:val="-7"/>
          <w:sz w:val="18"/>
          <w:szCs w:val="18"/>
          <w:lang w:val="es-ES_tradnl"/>
        </w:rPr>
        <w:t>protecci</w:t>
      </w:r>
      <w:r>
        <w:rPr>
          <w:rFonts w:cs="Times New Roman"/>
          <w:spacing w:val="-7"/>
          <w:sz w:val="18"/>
          <w:szCs w:val="18"/>
          <w:lang w:val="es-ES_tradnl"/>
        </w:rPr>
        <w:t>ó</w:t>
      </w:r>
      <w:r>
        <w:rPr>
          <w:spacing w:val="-7"/>
          <w:sz w:val="18"/>
          <w:szCs w:val="18"/>
          <w:lang w:val="es-ES_tradnl"/>
        </w:rPr>
        <w:t>n incoada por Alex Javier Agonaga Crib</w:t>
      </w:r>
      <w:r>
        <w:rPr>
          <w:rFonts w:cs="Times New Roman"/>
          <w:spacing w:val="-7"/>
          <w:sz w:val="18"/>
          <w:szCs w:val="18"/>
          <w:lang w:val="es-ES_tradnl"/>
        </w:rPr>
        <w:t>á</w:t>
      </w:r>
      <w:r>
        <w:rPr>
          <w:spacing w:val="-7"/>
          <w:sz w:val="18"/>
          <w:szCs w:val="18"/>
          <w:lang w:val="es-ES_tradnl"/>
        </w:rPr>
        <w:t>n (</w:t>
      </w:r>
      <w:r>
        <w:rPr>
          <w:rFonts w:cs="Times New Roman"/>
          <w:spacing w:val="-7"/>
          <w:sz w:val="18"/>
          <w:szCs w:val="18"/>
          <w:lang w:val="es-ES_tradnl"/>
        </w:rPr>
        <w:t>…</w:t>
      </w:r>
      <w:r>
        <w:rPr>
          <w:spacing w:val="-7"/>
          <w:sz w:val="18"/>
          <w:szCs w:val="18"/>
          <w:lang w:val="es-ES_tradnl"/>
        </w:rPr>
        <w:t>)</w:t>
      </w:r>
      <w:r>
        <w:rPr>
          <w:rFonts w:cs="Times New Roman"/>
          <w:spacing w:val="-7"/>
          <w:sz w:val="18"/>
          <w:szCs w:val="18"/>
          <w:lang w:val="es-ES_tradnl"/>
        </w:rPr>
        <w:t>”</w:t>
      </w:r>
      <w:r>
        <w:rPr>
          <w:spacing w:val="-7"/>
          <w:sz w:val="18"/>
          <w:szCs w:val="18"/>
          <w:lang w:val="es-ES_tradnl"/>
        </w:rPr>
        <w:t>.</w:t>
      </w:r>
    </w:p>
    <w:p w14:paraId="4F67AE50" w14:textId="77777777" w:rsidR="00591D54" w:rsidRDefault="00591D54">
      <w:pPr>
        <w:shd w:val="clear" w:color="auto" w:fill="FFFFFF"/>
        <w:spacing w:before="197" w:line="216" w:lineRule="exact"/>
        <w:jc w:val="both"/>
      </w:pPr>
      <w:r>
        <w:rPr>
          <w:spacing w:val="-1"/>
          <w:sz w:val="18"/>
          <w:szCs w:val="18"/>
          <w:lang w:val="es-ES_tradnl"/>
        </w:rPr>
        <w:t>Para el caso en an</w:t>
      </w:r>
      <w:r>
        <w:rPr>
          <w:rFonts w:cs="Times New Roman"/>
          <w:spacing w:val="-1"/>
          <w:sz w:val="18"/>
          <w:szCs w:val="18"/>
          <w:lang w:val="es-ES_tradnl"/>
        </w:rPr>
        <w:t>á</w:t>
      </w:r>
      <w:r>
        <w:rPr>
          <w:spacing w:val="-1"/>
          <w:sz w:val="18"/>
          <w:szCs w:val="18"/>
          <w:lang w:val="es-ES_tradnl"/>
        </w:rPr>
        <w:t xml:space="preserve">lisis, se desprende que los jueces </w:t>
      </w:r>
      <w:r>
        <w:rPr>
          <w:spacing w:val="-6"/>
          <w:sz w:val="18"/>
          <w:szCs w:val="18"/>
          <w:lang w:val="es-ES_tradnl"/>
        </w:rPr>
        <w:t>de apelaci</w:t>
      </w:r>
      <w:r>
        <w:rPr>
          <w:rFonts w:cs="Times New Roman"/>
          <w:spacing w:val="-6"/>
          <w:sz w:val="18"/>
          <w:szCs w:val="18"/>
          <w:lang w:val="es-ES_tradnl"/>
        </w:rPr>
        <w:t>ó</w:t>
      </w:r>
      <w:r>
        <w:rPr>
          <w:spacing w:val="-6"/>
          <w:sz w:val="18"/>
          <w:szCs w:val="18"/>
          <w:lang w:val="es-ES_tradnl"/>
        </w:rPr>
        <w:t>n confunden las figuras de inadmisi</w:t>
      </w:r>
      <w:r>
        <w:rPr>
          <w:rFonts w:cs="Times New Roman"/>
          <w:spacing w:val="-6"/>
          <w:sz w:val="18"/>
          <w:szCs w:val="18"/>
          <w:lang w:val="es-ES_tradnl"/>
        </w:rPr>
        <w:t>ó</w:t>
      </w:r>
      <w:r>
        <w:rPr>
          <w:spacing w:val="-6"/>
          <w:sz w:val="18"/>
          <w:szCs w:val="18"/>
          <w:lang w:val="es-ES_tradnl"/>
        </w:rPr>
        <w:t xml:space="preserve">n con </w:t>
      </w:r>
      <w:r>
        <w:rPr>
          <w:spacing w:val="-11"/>
          <w:sz w:val="18"/>
          <w:szCs w:val="18"/>
          <w:lang w:val="es-ES_tradnl"/>
        </w:rPr>
        <w:t xml:space="preserve">improcedencia, toda vez que las causales argumentadas por </w:t>
      </w:r>
      <w:r>
        <w:rPr>
          <w:spacing w:val="-6"/>
          <w:sz w:val="18"/>
          <w:szCs w:val="18"/>
          <w:lang w:val="es-ES_tradnl"/>
        </w:rPr>
        <w:t>la Sala para adoptar la decisi</w:t>
      </w:r>
      <w:r>
        <w:rPr>
          <w:rFonts w:cs="Times New Roman"/>
          <w:spacing w:val="-6"/>
          <w:sz w:val="18"/>
          <w:szCs w:val="18"/>
          <w:lang w:val="es-ES_tradnl"/>
        </w:rPr>
        <w:t>ó</w:t>
      </w:r>
      <w:r>
        <w:rPr>
          <w:spacing w:val="-6"/>
          <w:sz w:val="18"/>
          <w:szCs w:val="18"/>
          <w:lang w:val="es-ES_tradnl"/>
        </w:rPr>
        <w:t>n final (art</w:t>
      </w:r>
      <w:r>
        <w:rPr>
          <w:rFonts w:cs="Times New Roman"/>
          <w:spacing w:val="-6"/>
          <w:sz w:val="18"/>
          <w:szCs w:val="18"/>
          <w:lang w:val="es-ES_tradnl"/>
        </w:rPr>
        <w:t>í</w:t>
      </w:r>
      <w:r>
        <w:rPr>
          <w:spacing w:val="-6"/>
          <w:sz w:val="18"/>
          <w:szCs w:val="18"/>
          <w:lang w:val="es-ES_tradnl"/>
        </w:rPr>
        <w:t xml:space="preserve">culo 40 numeral </w:t>
      </w:r>
      <w:r>
        <w:rPr>
          <w:spacing w:val="-8"/>
          <w:sz w:val="18"/>
          <w:szCs w:val="18"/>
          <w:lang w:val="es-ES_tradnl"/>
        </w:rPr>
        <w:t>3 y art</w:t>
      </w:r>
      <w:r>
        <w:rPr>
          <w:rFonts w:cs="Times New Roman"/>
          <w:spacing w:val="-8"/>
          <w:sz w:val="18"/>
          <w:szCs w:val="18"/>
          <w:lang w:val="es-ES_tradnl"/>
        </w:rPr>
        <w:t>í</w:t>
      </w:r>
      <w:r>
        <w:rPr>
          <w:spacing w:val="-8"/>
          <w:sz w:val="18"/>
          <w:szCs w:val="18"/>
          <w:lang w:val="es-ES_tradnl"/>
        </w:rPr>
        <w:t xml:space="preserve">culo 42 numeral 4), son causales de improcedencia, </w:t>
      </w:r>
      <w:r>
        <w:rPr>
          <w:spacing w:val="-7"/>
          <w:sz w:val="18"/>
          <w:szCs w:val="18"/>
          <w:lang w:val="es-ES_tradnl"/>
        </w:rPr>
        <w:t>como ya se analiz</w:t>
      </w:r>
      <w:r>
        <w:rPr>
          <w:rFonts w:cs="Times New Roman"/>
          <w:spacing w:val="-7"/>
          <w:sz w:val="18"/>
          <w:szCs w:val="18"/>
          <w:lang w:val="es-ES_tradnl"/>
        </w:rPr>
        <w:t>ó</w:t>
      </w:r>
      <w:r>
        <w:rPr>
          <w:spacing w:val="-7"/>
          <w:sz w:val="18"/>
          <w:szCs w:val="18"/>
          <w:lang w:val="es-ES_tradnl"/>
        </w:rPr>
        <w:t xml:space="preserve"> </w:t>
      </w:r>
      <w:r>
        <w:rPr>
          <w:i/>
          <w:iCs/>
          <w:spacing w:val="-7"/>
          <w:sz w:val="18"/>
          <w:szCs w:val="18"/>
          <w:lang w:val="es-ES_tradnl"/>
        </w:rPr>
        <w:t>ut supra</w:t>
      </w:r>
      <w:r>
        <w:rPr>
          <w:spacing w:val="-7"/>
          <w:sz w:val="18"/>
          <w:szCs w:val="18"/>
          <w:lang w:val="es-ES_tradnl"/>
        </w:rPr>
        <w:t>, por lo cual, la Sala deb</w:t>
      </w:r>
      <w:r>
        <w:rPr>
          <w:rFonts w:cs="Times New Roman"/>
          <w:spacing w:val="-7"/>
          <w:sz w:val="18"/>
          <w:szCs w:val="18"/>
          <w:lang w:val="es-ES_tradnl"/>
        </w:rPr>
        <w:t>í</w:t>
      </w:r>
      <w:r>
        <w:rPr>
          <w:spacing w:val="-7"/>
          <w:sz w:val="18"/>
          <w:szCs w:val="18"/>
          <w:lang w:val="es-ES_tradnl"/>
        </w:rPr>
        <w:t xml:space="preserve">a, por </w:t>
      </w:r>
      <w:r>
        <w:rPr>
          <w:spacing w:val="-5"/>
          <w:sz w:val="18"/>
          <w:szCs w:val="18"/>
          <w:lang w:val="es-ES_tradnl"/>
        </w:rPr>
        <w:t xml:space="preserve">medio de sentencia motivada, determinar la procedencia </w:t>
      </w:r>
      <w:r>
        <w:rPr>
          <w:spacing w:val="-6"/>
          <w:sz w:val="18"/>
          <w:szCs w:val="18"/>
          <w:lang w:val="es-ES_tradnl"/>
        </w:rPr>
        <w:t>o improcedencia de la acci</w:t>
      </w:r>
      <w:r>
        <w:rPr>
          <w:rFonts w:cs="Times New Roman"/>
          <w:spacing w:val="-6"/>
          <w:sz w:val="18"/>
          <w:szCs w:val="18"/>
          <w:lang w:val="es-ES_tradnl"/>
        </w:rPr>
        <w:t>ó</w:t>
      </w:r>
      <w:r>
        <w:rPr>
          <w:spacing w:val="-6"/>
          <w:sz w:val="18"/>
          <w:szCs w:val="18"/>
          <w:lang w:val="es-ES_tradnl"/>
        </w:rPr>
        <w:t>n de protecci</w:t>
      </w:r>
      <w:r>
        <w:rPr>
          <w:rFonts w:cs="Times New Roman"/>
          <w:spacing w:val="-6"/>
          <w:sz w:val="18"/>
          <w:szCs w:val="18"/>
          <w:lang w:val="es-ES_tradnl"/>
        </w:rPr>
        <w:t>ó</w:t>
      </w:r>
      <w:r>
        <w:rPr>
          <w:spacing w:val="-6"/>
          <w:sz w:val="18"/>
          <w:szCs w:val="18"/>
          <w:lang w:val="es-ES_tradnl"/>
        </w:rPr>
        <w:t xml:space="preserve">n, mas no la </w:t>
      </w:r>
      <w:r>
        <w:rPr>
          <w:sz w:val="18"/>
          <w:szCs w:val="18"/>
          <w:lang w:val="es-ES_tradnl"/>
        </w:rPr>
        <w:t>inadmisi</w:t>
      </w:r>
      <w:r>
        <w:rPr>
          <w:rFonts w:cs="Times New Roman"/>
          <w:sz w:val="18"/>
          <w:szCs w:val="18"/>
          <w:lang w:val="es-ES_tradnl"/>
        </w:rPr>
        <w:t>ó</w:t>
      </w:r>
      <w:r>
        <w:rPr>
          <w:sz w:val="18"/>
          <w:szCs w:val="18"/>
          <w:lang w:val="es-ES_tradnl"/>
        </w:rPr>
        <w:t>n.</w:t>
      </w:r>
    </w:p>
    <w:p w14:paraId="4F67AE51" w14:textId="77777777" w:rsidR="00591D54" w:rsidRDefault="00591D54">
      <w:pPr>
        <w:shd w:val="clear" w:color="auto" w:fill="FFFFFF"/>
        <w:spacing w:before="192" w:line="216" w:lineRule="exact"/>
        <w:jc w:val="both"/>
      </w:pPr>
      <w:r>
        <w:rPr>
          <w:spacing w:val="-7"/>
          <w:sz w:val="18"/>
          <w:szCs w:val="18"/>
          <w:lang w:val="es-ES_tradnl"/>
        </w:rPr>
        <w:t xml:space="preserve">Esta Corte no puede dejar de pronunciarse sobre la </w:t>
      </w:r>
      <w:r>
        <w:rPr>
          <w:spacing w:val="-3"/>
          <w:sz w:val="18"/>
          <w:szCs w:val="18"/>
          <w:lang w:val="es-ES_tradnl"/>
        </w:rPr>
        <w:t>argumentaci</w:t>
      </w:r>
      <w:r>
        <w:rPr>
          <w:rFonts w:cs="Times New Roman"/>
          <w:spacing w:val="-3"/>
          <w:sz w:val="18"/>
          <w:szCs w:val="18"/>
          <w:lang w:val="es-ES_tradnl"/>
        </w:rPr>
        <w:t>ó</w:t>
      </w:r>
      <w:r>
        <w:rPr>
          <w:spacing w:val="-3"/>
          <w:sz w:val="18"/>
          <w:szCs w:val="18"/>
          <w:lang w:val="es-ES_tradnl"/>
        </w:rPr>
        <w:t xml:space="preserve">n vertida por la Sala para establecer en </w:t>
      </w:r>
      <w:r>
        <w:rPr>
          <w:spacing w:val="-6"/>
          <w:sz w:val="18"/>
          <w:szCs w:val="18"/>
          <w:lang w:val="es-ES_tradnl"/>
        </w:rPr>
        <w:t xml:space="preserve">primer orden, la inexistencia de un derecho constitucional </w:t>
      </w:r>
      <w:r>
        <w:rPr>
          <w:spacing w:val="-2"/>
          <w:sz w:val="18"/>
          <w:szCs w:val="18"/>
          <w:lang w:val="es-ES_tradnl"/>
        </w:rPr>
        <w:t xml:space="preserve">vulnerado y consecuentemente, la </w:t>
      </w:r>
      <w:r>
        <w:rPr>
          <w:rFonts w:cs="Times New Roman"/>
          <w:spacing w:val="-2"/>
          <w:sz w:val="18"/>
          <w:szCs w:val="18"/>
          <w:lang w:val="es-ES_tradnl"/>
        </w:rPr>
        <w:t>“</w:t>
      </w:r>
      <w:r>
        <w:rPr>
          <w:spacing w:val="-2"/>
          <w:sz w:val="18"/>
          <w:szCs w:val="18"/>
          <w:lang w:val="es-ES_tradnl"/>
        </w:rPr>
        <w:t>inadmisi</w:t>
      </w:r>
      <w:r>
        <w:rPr>
          <w:rFonts w:cs="Times New Roman"/>
          <w:spacing w:val="-2"/>
          <w:sz w:val="18"/>
          <w:szCs w:val="18"/>
          <w:lang w:val="es-ES_tradnl"/>
        </w:rPr>
        <w:t>ó</w:t>
      </w:r>
      <w:r>
        <w:rPr>
          <w:spacing w:val="-2"/>
          <w:sz w:val="18"/>
          <w:szCs w:val="18"/>
          <w:lang w:val="es-ES_tradnl"/>
        </w:rPr>
        <w:t>n</w:t>
      </w:r>
      <w:r>
        <w:rPr>
          <w:rFonts w:cs="Times New Roman"/>
          <w:spacing w:val="-2"/>
          <w:sz w:val="18"/>
          <w:szCs w:val="18"/>
          <w:lang w:val="es-ES_tradnl"/>
        </w:rPr>
        <w:t>”</w:t>
      </w:r>
      <w:r>
        <w:rPr>
          <w:spacing w:val="-2"/>
          <w:sz w:val="18"/>
          <w:szCs w:val="18"/>
          <w:lang w:val="es-ES_tradnl"/>
        </w:rPr>
        <w:t xml:space="preserve"> de la </w:t>
      </w:r>
      <w:r>
        <w:rPr>
          <w:spacing w:val="-7"/>
          <w:sz w:val="18"/>
          <w:szCs w:val="18"/>
          <w:lang w:val="es-ES_tradnl"/>
        </w:rPr>
        <w:t xml:space="preserve">causa al tratarse de un tema de mera legalidad. Para ello, </w:t>
      </w:r>
      <w:r>
        <w:rPr>
          <w:spacing w:val="-8"/>
          <w:sz w:val="18"/>
          <w:szCs w:val="18"/>
          <w:lang w:val="es-ES_tradnl"/>
        </w:rPr>
        <w:t xml:space="preserve">los jueces, dentro del considerando segundo, Principios del </w:t>
      </w:r>
      <w:r>
        <w:rPr>
          <w:sz w:val="18"/>
          <w:szCs w:val="18"/>
          <w:lang w:val="es-ES_tradnl"/>
        </w:rPr>
        <w:t>Debido Proceso, de su sentencia, se</w:t>
      </w:r>
      <w:r>
        <w:rPr>
          <w:rFonts w:cs="Times New Roman"/>
          <w:sz w:val="18"/>
          <w:szCs w:val="18"/>
          <w:lang w:val="es-ES_tradnl"/>
        </w:rPr>
        <w:t>ñ</w:t>
      </w:r>
      <w:r>
        <w:rPr>
          <w:sz w:val="18"/>
          <w:szCs w:val="18"/>
          <w:lang w:val="es-ES_tradnl"/>
        </w:rPr>
        <w:t>alan:</w:t>
      </w:r>
    </w:p>
    <w:p w14:paraId="4F67AE52" w14:textId="77777777" w:rsidR="00591D54" w:rsidRDefault="00591D54">
      <w:pPr>
        <w:shd w:val="clear" w:color="auto" w:fill="FFFFFF"/>
        <w:spacing w:before="192" w:line="216" w:lineRule="exact"/>
        <w:ind w:right="5"/>
        <w:jc w:val="both"/>
      </w:pPr>
      <w:r>
        <w:rPr>
          <w:spacing w:val="-7"/>
          <w:sz w:val="18"/>
          <w:szCs w:val="18"/>
          <w:lang w:val="es-ES_tradnl"/>
        </w:rPr>
        <w:t xml:space="preserve">De la sola lectura de estas afirmaciones y el examen del </w:t>
      </w:r>
      <w:r>
        <w:rPr>
          <w:spacing w:val="-3"/>
          <w:sz w:val="18"/>
          <w:szCs w:val="18"/>
          <w:lang w:val="es-ES_tradnl"/>
        </w:rPr>
        <w:t>documento adjuntado a la acci</w:t>
      </w:r>
      <w:r>
        <w:rPr>
          <w:rFonts w:cs="Times New Roman"/>
          <w:spacing w:val="-3"/>
          <w:sz w:val="18"/>
          <w:szCs w:val="18"/>
          <w:lang w:val="es-ES_tradnl"/>
        </w:rPr>
        <w:t>ó</w:t>
      </w:r>
      <w:r>
        <w:rPr>
          <w:spacing w:val="-3"/>
          <w:sz w:val="18"/>
          <w:szCs w:val="18"/>
          <w:lang w:val="es-ES_tradnl"/>
        </w:rPr>
        <w:t>n (Resoluci</w:t>
      </w:r>
      <w:r>
        <w:rPr>
          <w:rFonts w:cs="Times New Roman"/>
          <w:spacing w:val="-3"/>
          <w:sz w:val="18"/>
          <w:szCs w:val="18"/>
          <w:lang w:val="es-ES_tradnl"/>
        </w:rPr>
        <w:t>ó</w:t>
      </w:r>
      <w:r>
        <w:rPr>
          <w:spacing w:val="-3"/>
          <w:sz w:val="18"/>
          <w:szCs w:val="18"/>
          <w:lang w:val="es-ES_tradnl"/>
        </w:rPr>
        <w:t xml:space="preserve">n del H. </w:t>
      </w:r>
      <w:r>
        <w:rPr>
          <w:spacing w:val="-6"/>
          <w:sz w:val="18"/>
          <w:szCs w:val="18"/>
          <w:lang w:val="es-ES_tradnl"/>
        </w:rPr>
        <w:t>Consejo Superior de la Polic</w:t>
      </w:r>
      <w:r>
        <w:rPr>
          <w:rFonts w:cs="Times New Roman"/>
          <w:spacing w:val="-6"/>
          <w:sz w:val="18"/>
          <w:szCs w:val="18"/>
          <w:lang w:val="es-ES_tradnl"/>
        </w:rPr>
        <w:t>í</w:t>
      </w:r>
      <w:r>
        <w:rPr>
          <w:spacing w:val="-6"/>
          <w:sz w:val="18"/>
          <w:szCs w:val="18"/>
          <w:lang w:val="es-ES_tradnl"/>
        </w:rPr>
        <w:t xml:space="preserve">a Nacional) obviamente, se </w:t>
      </w:r>
      <w:r>
        <w:rPr>
          <w:spacing w:val="-7"/>
          <w:sz w:val="18"/>
          <w:szCs w:val="18"/>
          <w:lang w:val="es-ES_tradnl"/>
        </w:rPr>
        <w:t>puede constatar que la acci</w:t>
      </w:r>
      <w:r>
        <w:rPr>
          <w:rFonts w:cs="Times New Roman"/>
          <w:spacing w:val="-7"/>
          <w:sz w:val="18"/>
          <w:szCs w:val="18"/>
          <w:lang w:val="es-ES_tradnl"/>
        </w:rPr>
        <w:t>ó</w:t>
      </w:r>
      <w:r>
        <w:rPr>
          <w:spacing w:val="-7"/>
          <w:sz w:val="18"/>
          <w:szCs w:val="18"/>
          <w:lang w:val="es-ES_tradnl"/>
        </w:rPr>
        <w:t>n incoada por el accionante Alex Agonaga no procede al tenor de la previsi</w:t>
      </w:r>
      <w:r>
        <w:rPr>
          <w:rFonts w:cs="Times New Roman"/>
          <w:spacing w:val="-7"/>
          <w:sz w:val="18"/>
          <w:szCs w:val="18"/>
          <w:lang w:val="es-ES_tradnl"/>
        </w:rPr>
        <w:t>ó</w:t>
      </w:r>
      <w:r>
        <w:rPr>
          <w:spacing w:val="-7"/>
          <w:sz w:val="18"/>
          <w:szCs w:val="18"/>
          <w:lang w:val="es-ES_tradnl"/>
        </w:rPr>
        <w:t>n legal del numeral 4 del art</w:t>
      </w:r>
      <w:r>
        <w:rPr>
          <w:rFonts w:cs="Times New Roman"/>
          <w:spacing w:val="-7"/>
          <w:sz w:val="18"/>
          <w:szCs w:val="18"/>
          <w:lang w:val="es-ES_tradnl"/>
        </w:rPr>
        <w:t>í</w:t>
      </w:r>
      <w:r>
        <w:rPr>
          <w:spacing w:val="-7"/>
          <w:sz w:val="18"/>
          <w:szCs w:val="18"/>
          <w:lang w:val="es-ES_tradnl"/>
        </w:rPr>
        <w:t>culo 42 de la Ley Org</w:t>
      </w:r>
      <w:r>
        <w:rPr>
          <w:rFonts w:cs="Times New Roman"/>
          <w:spacing w:val="-7"/>
          <w:sz w:val="18"/>
          <w:szCs w:val="18"/>
          <w:lang w:val="es-ES_tradnl"/>
        </w:rPr>
        <w:t>á</w:t>
      </w:r>
      <w:r>
        <w:rPr>
          <w:spacing w:val="-7"/>
          <w:sz w:val="18"/>
          <w:szCs w:val="18"/>
          <w:lang w:val="es-ES_tradnl"/>
        </w:rPr>
        <w:t>nica de Garant</w:t>
      </w:r>
      <w:r>
        <w:rPr>
          <w:rFonts w:cs="Times New Roman"/>
          <w:spacing w:val="-7"/>
          <w:sz w:val="18"/>
          <w:szCs w:val="18"/>
          <w:lang w:val="es-ES_tradnl"/>
        </w:rPr>
        <w:t>í</w:t>
      </w:r>
      <w:r>
        <w:rPr>
          <w:spacing w:val="-7"/>
          <w:sz w:val="18"/>
          <w:szCs w:val="18"/>
          <w:lang w:val="es-ES_tradnl"/>
        </w:rPr>
        <w:t xml:space="preserve">as </w:t>
      </w:r>
      <w:r>
        <w:rPr>
          <w:spacing w:val="-6"/>
          <w:sz w:val="18"/>
          <w:szCs w:val="18"/>
          <w:lang w:val="es-ES_tradnl"/>
        </w:rPr>
        <w:t>Jurisdiccionales y Control Constitucional porque el polic</w:t>
      </w:r>
      <w:r>
        <w:rPr>
          <w:rFonts w:cs="Times New Roman"/>
          <w:spacing w:val="-6"/>
          <w:sz w:val="18"/>
          <w:szCs w:val="18"/>
          <w:lang w:val="es-ES_tradnl"/>
        </w:rPr>
        <w:t>í</w:t>
      </w:r>
      <w:r>
        <w:rPr>
          <w:spacing w:val="-6"/>
          <w:sz w:val="18"/>
          <w:szCs w:val="18"/>
          <w:lang w:val="es-ES_tradnl"/>
        </w:rPr>
        <w:t>a es un servidor p</w:t>
      </w:r>
      <w:r>
        <w:rPr>
          <w:rFonts w:cs="Times New Roman"/>
          <w:spacing w:val="-6"/>
          <w:sz w:val="18"/>
          <w:szCs w:val="18"/>
          <w:lang w:val="es-ES_tradnl"/>
        </w:rPr>
        <w:t>ú</w:t>
      </w:r>
      <w:r>
        <w:rPr>
          <w:spacing w:val="-6"/>
          <w:sz w:val="18"/>
          <w:szCs w:val="18"/>
          <w:lang w:val="es-ES_tradnl"/>
        </w:rPr>
        <w:t xml:space="preserve">blico sujeto a sus propias leyes, pero </w:t>
      </w:r>
      <w:r>
        <w:rPr>
          <w:spacing w:val="-5"/>
          <w:sz w:val="18"/>
          <w:szCs w:val="18"/>
          <w:lang w:val="es-ES_tradnl"/>
        </w:rPr>
        <w:t>tambi</w:t>
      </w:r>
      <w:r>
        <w:rPr>
          <w:rFonts w:cs="Times New Roman"/>
          <w:spacing w:val="-5"/>
          <w:sz w:val="18"/>
          <w:szCs w:val="18"/>
          <w:lang w:val="es-ES_tradnl"/>
        </w:rPr>
        <w:t>é</w:t>
      </w:r>
      <w:r>
        <w:rPr>
          <w:spacing w:val="-5"/>
          <w:sz w:val="18"/>
          <w:szCs w:val="18"/>
          <w:lang w:val="es-ES_tradnl"/>
        </w:rPr>
        <w:t>n subsidiariamente a la Ley de Servicio P</w:t>
      </w:r>
      <w:r>
        <w:rPr>
          <w:rFonts w:cs="Times New Roman"/>
          <w:spacing w:val="-5"/>
          <w:sz w:val="18"/>
          <w:szCs w:val="18"/>
          <w:lang w:val="es-ES_tradnl"/>
        </w:rPr>
        <w:t>ú</w:t>
      </w:r>
      <w:r>
        <w:rPr>
          <w:spacing w:val="-5"/>
          <w:sz w:val="18"/>
          <w:szCs w:val="18"/>
          <w:lang w:val="es-ES_tradnl"/>
        </w:rPr>
        <w:t xml:space="preserve">blico </w:t>
      </w:r>
      <w:r>
        <w:rPr>
          <w:spacing w:val="-6"/>
          <w:sz w:val="18"/>
          <w:szCs w:val="18"/>
          <w:lang w:val="es-ES_tradnl"/>
        </w:rPr>
        <w:t>conforme ha previsto la misma en su art</w:t>
      </w:r>
      <w:r>
        <w:rPr>
          <w:rFonts w:cs="Times New Roman"/>
          <w:spacing w:val="-6"/>
          <w:sz w:val="18"/>
          <w:szCs w:val="18"/>
          <w:lang w:val="es-ES_tradnl"/>
        </w:rPr>
        <w:t>í</w:t>
      </w:r>
      <w:r>
        <w:rPr>
          <w:spacing w:val="-6"/>
          <w:sz w:val="18"/>
          <w:szCs w:val="18"/>
          <w:lang w:val="es-ES_tradnl"/>
        </w:rPr>
        <w:t xml:space="preserve">culo 3 numeral 4 </w:t>
      </w:r>
      <w:r>
        <w:rPr>
          <w:spacing w:val="-8"/>
          <w:sz w:val="18"/>
          <w:szCs w:val="18"/>
          <w:lang w:val="es-ES_tradnl"/>
        </w:rPr>
        <w:t>cuarto inciso, tanto m</w:t>
      </w:r>
      <w:r>
        <w:rPr>
          <w:rFonts w:cs="Times New Roman"/>
          <w:spacing w:val="-8"/>
          <w:sz w:val="18"/>
          <w:szCs w:val="18"/>
          <w:lang w:val="es-ES_tradnl"/>
        </w:rPr>
        <w:t>á</w:t>
      </w:r>
      <w:r>
        <w:rPr>
          <w:spacing w:val="-8"/>
          <w:sz w:val="18"/>
          <w:szCs w:val="18"/>
          <w:lang w:val="es-ES_tradnl"/>
        </w:rPr>
        <w:t>s, que seg</w:t>
      </w:r>
      <w:r>
        <w:rPr>
          <w:rFonts w:cs="Times New Roman"/>
          <w:spacing w:val="-8"/>
          <w:sz w:val="18"/>
          <w:szCs w:val="18"/>
          <w:lang w:val="es-ES_tradnl"/>
        </w:rPr>
        <w:t>ú</w:t>
      </w:r>
      <w:r>
        <w:rPr>
          <w:spacing w:val="-8"/>
          <w:sz w:val="18"/>
          <w:szCs w:val="18"/>
          <w:lang w:val="es-ES_tradnl"/>
        </w:rPr>
        <w:t>n el art</w:t>
      </w:r>
      <w:r>
        <w:rPr>
          <w:rFonts w:cs="Times New Roman"/>
          <w:spacing w:val="-8"/>
          <w:sz w:val="18"/>
          <w:szCs w:val="18"/>
          <w:lang w:val="es-ES_tradnl"/>
        </w:rPr>
        <w:t>í</w:t>
      </w:r>
      <w:r>
        <w:rPr>
          <w:spacing w:val="-8"/>
          <w:sz w:val="18"/>
          <w:szCs w:val="18"/>
          <w:lang w:val="es-ES_tradnl"/>
        </w:rPr>
        <w:t xml:space="preserve">culo 93 de la Ley </w:t>
      </w:r>
      <w:r>
        <w:rPr>
          <w:spacing w:val="-6"/>
          <w:sz w:val="18"/>
          <w:szCs w:val="18"/>
          <w:lang w:val="es-ES_tradnl"/>
        </w:rPr>
        <w:t>de Personal de la Polic</w:t>
      </w:r>
      <w:r>
        <w:rPr>
          <w:rFonts w:cs="Times New Roman"/>
          <w:spacing w:val="-6"/>
          <w:sz w:val="18"/>
          <w:szCs w:val="18"/>
          <w:lang w:val="es-ES_tradnl"/>
        </w:rPr>
        <w:t>í</w:t>
      </w:r>
      <w:r>
        <w:rPr>
          <w:spacing w:val="-6"/>
          <w:sz w:val="18"/>
          <w:szCs w:val="18"/>
          <w:lang w:val="es-ES_tradnl"/>
        </w:rPr>
        <w:t xml:space="preserve">a Nacional que se ha consignado </w:t>
      </w:r>
      <w:r>
        <w:rPr>
          <w:spacing w:val="-9"/>
          <w:sz w:val="18"/>
          <w:szCs w:val="18"/>
          <w:lang w:val="es-ES_tradnl"/>
        </w:rPr>
        <w:t>en la mentada Resoluci</w:t>
      </w:r>
      <w:r>
        <w:rPr>
          <w:rFonts w:cs="Times New Roman"/>
          <w:spacing w:val="-9"/>
          <w:sz w:val="18"/>
          <w:szCs w:val="18"/>
          <w:lang w:val="es-ES_tradnl"/>
        </w:rPr>
        <w:t>ó</w:t>
      </w:r>
      <w:r>
        <w:rPr>
          <w:spacing w:val="-9"/>
          <w:sz w:val="18"/>
          <w:szCs w:val="18"/>
          <w:lang w:val="es-ES_tradnl"/>
        </w:rPr>
        <w:t>n, ha previsto que las resoluciones emitidas por los Consejos respectivos de la Polic</w:t>
      </w:r>
      <w:r>
        <w:rPr>
          <w:rFonts w:cs="Times New Roman"/>
          <w:spacing w:val="-9"/>
          <w:sz w:val="18"/>
          <w:szCs w:val="18"/>
          <w:lang w:val="es-ES_tradnl"/>
        </w:rPr>
        <w:t>í</w:t>
      </w:r>
      <w:r>
        <w:rPr>
          <w:spacing w:val="-9"/>
          <w:sz w:val="18"/>
          <w:szCs w:val="18"/>
          <w:lang w:val="es-ES_tradnl"/>
        </w:rPr>
        <w:t>a Nacional pueden ser apeladas dentro del plazo de 15 d</w:t>
      </w:r>
      <w:r>
        <w:rPr>
          <w:rFonts w:cs="Times New Roman"/>
          <w:spacing w:val="-9"/>
          <w:sz w:val="18"/>
          <w:szCs w:val="18"/>
          <w:lang w:val="es-ES_tradnl"/>
        </w:rPr>
        <w:t>í</w:t>
      </w:r>
      <w:r>
        <w:rPr>
          <w:spacing w:val="-9"/>
          <w:sz w:val="18"/>
          <w:szCs w:val="18"/>
          <w:lang w:val="es-ES_tradnl"/>
        </w:rPr>
        <w:t>as.</w:t>
      </w:r>
    </w:p>
    <w:p w14:paraId="4F67AE53" w14:textId="77777777" w:rsidR="00591D54" w:rsidRDefault="00591D54">
      <w:pPr>
        <w:shd w:val="clear" w:color="auto" w:fill="FFFFFF"/>
        <w:spacing w:before="192" w:line="216" w:lineRule="exact"/>
        <w:jc w:val="both"/>
      </w:pPr>
      <w:r>
        <w:rPr>
          <w:spacing w:val="-8"/>
          <w:sz w:val="18"/>
          <w:szCs w:val="18"/>
          <w:lang w:val="es-ES_tradnl"/>
        </w:rPr>
        <w:t>Tomando en consideraci</w:t>
      </w:r>
      <w:r>
        <w:rPr>
          <w:rFonts w:cs="Times New Roman"/>
          <w:spacing w:val="-8"/>
          <w:sz w:val="18"/>
          <w:szCs w:val="18"/>
          <w:lang w:val="es-ES_tradnl"/>
        </w:rPr>
        <w:t>ó</w:t>
      </w:r>
      <w:r>
        <w:rPr>
          <w:spacing w:val="-8"/>
          <w:sz w:val="18"/>
          <w:szCs w:val="18"/>
          <w:lang w:val="es-ES_tradnl"/>
        </w:rPr>
        <w:t xml:space="preserve">n que el argumento citado es el </w:t>
      </w:r>
      <w:r>
        <w:rPr>
          <w:rFonts w:cs="Times New Roman"/>
          <w:spacing w:val="-5"/>
          <w:sz w:val="18"/>
          <w:szCs w:val="18"/>
          <w:lang w:val="es-ES_tradnl"/>
        </w:rPr>
        <w:t>ú</w:t>
      </w:r>
      <w:r>
        <w:rPr>
          <w:spacing w:val="-5"/>
          <w:sz w:val="18"/>
          <w:szCs w:val="18"/>
          <w:lang w:val="es-ES_tradnl"/>
        </w:rPr>
        <w:t xml:space="preserve">nico utilizado por la Sala para referirse a la inexistencia </w:t>
      </w:r>
      <w:r>
        <w:rPr>
          <w:spacing w:val="-4"/>
          <w:sz w:val="18"/>
          <w:szCs w:val="18"/>
          <w:lang w:val="es-ES_tradnl"/>
        </w:rPr>
        <w:t xml:space="preserve">de derechos constitucionales vulnerados, esta Corte </w:t>
      </w:r>
      <w:r>
        <w:rPr>
          <w:spacing w:val="-8"/>
          <w:sz w:val="18"/>
          <w:szCs w:val="18"/>
          <w:lang w:val="es-ES_tradnl"/>
        </w:rPr>
        <w:t>advierte, en primer lugar, la falta de un an</w:t>
      </w:r>
      <w:r>
        <w:rPr>
          <w:rFonts w:cs="Times New Roman"/>
          <w:spacing w:val="-8"/>
          <w:sz w:val="18"/>
          <w:szCs w:val="18"/>
          <w:lang w:val="es-ES_tradnl"/>
        </w:rPr>
        <w:t>á</w:t>
      </w:r>
      <w:r>
        <w:rPr>
          <w:spacing w:val="-8"/>
          <w:sz w:val="18"/>
          <w:szCs w:val="18"/>
          <w:lang w:val="es-ES_tradnl"/>
        </w:rPr>
        <w:t xml:space="preserve">lisis cuidadoso y </w:t>
      </w:r>
      <w:r>
        <w:rPr>
          <w:spacing w:val="-11"/>
          <w:sz w:val="18"/>
          <w:szCs w:val="18"/>
          <w:lang w:val="es-ES_tradnl"/>
        </w:rPr>
        <w:t>sustentado sobre la aparente inexistencia de una vulneraci</w:t>
      </w:r>
      <w:r>
        <w:rPr>
          <w:rFonts w:cs="Times New Roman"/>
          <w:spacing w:val="-11"/>
          <w:sz w:val="18"/>
          <w:szCs w:val="18"/>
          <w:lang w:val="es-ES_tradnl"/>
        </w:rPr>
        <w:t>ó</w:t>
      </w:r>
      <w:r>
        <w:rPr>
          <w:spacing w:val="-11"/>
          <w:sz w:val="18"/>
          <w:szCs w:val="18"/>
          <w:lang w:val="es-ES_tradnl"/>
        </w:rPr>
        <w:t xml:space="preserve">n </w:t>
      </w:r>
      <w:r>
        <w:rPr>
          <w:spacing w:val="-7"/>
          <w:sz w:val="18"/>
          <w:szCs w:val="18"/>
          <w:lang w:val="es-ES_tradnl"/>
        </w:rPr>
        <w:t>de derechos; elemento fundamental de una acci</w:t>
      </w:r>
      <w:r>
        <w:rPr>
          <w:rFonts w:cs="Times New Roman"/>
          <w:spacing w:val="-7"/>
          <w:sz w:val="18"/>
          <w:szCs w:val="18"/>
          <w:lang w:val="es-ES_tradnl"/>
        </w:rPr>
        <w:t>ó</w:t>
      </w:r>
      <w:r>
        <w:rPr>
          <w:spacing w:val="-7"/>
          <w:sz w:val="18"/>
          <w:szCs w:val="18"/>
          <w:lang w:val="es-ES_tradnl"/>
        </w:rPr>
        <w:t xml:space="preserve">n de </w:t>
      </w:r>
      <w:r>
        <w:rPr>
          <w:spacing w:val="-8"/>
          <w:sz w:val="18"/>
          <w:szCs w:val="18"/>
          <w:lang w:val="es-ES_tradnl"/>
        </w:rPr>
        <w:t>protecci</w:t>
      </w:r>
      <w:r>
        <w:rPr>
          <w:rFonts w:cs="Times New Roman"/>
          <w:spacing w:val="-8"/>
          <w:sz w:val="18"/>
          <w:szCs w:val="18"/>
          <w:lang w:val="es-ES_tradnl"/>
        </w:rPr>
        <w:t>ó</w:t>
      </w:r>
      <w:r>
        <w:rPr>
          <w:spacing w:val="-8"/>
          <w:sz w:val="18"/>
          <w:szCs w:val="18"/>
          <w:lang w:val="es-ES_tradnl"/>
        </w:rPr>
        <w:t>n que dif</w:t>
      </w:r>
      <w:r>
        <w:rPr>
          <w:rFonts w:cs="Times New Roman"/>
          <w:spacing w:val="-8"/>
          <w:sz w:val="18"/>
          <w:szCs w:val="18"/>
          <w:lang w:val="es-ES_tradnl"/>
        </w:rPr>
        <w:t>í</w:t>
      </w:r>
      <w:r>
        <w:rPr>
          <w:spacing w:val="-8"/>
          <w:sz w:val="18"/>
          <w:szCs w:val="18"/>
          <w:lang w:val="es-ES_tradnl"/>
        </w:rPr>
        <w:t>cilmente puede descart</w:t>
      </w:r>
      <w:r>
        <w:rPr>
          <w:rFonts w:cs="Times New Roman"/>
          <w:spacing w:val="-8"/>
          <w:sz w:val="18"/>
          <w:szCs w:val="18"/>
          <w:lang w:val="es-ES_tradnl"/>
        </w:rPr>
        <w:t>á</w:t>
      </w:r>
      <w:r>
        <w:rPr>
          <w:spacing w:val="-8"/>
          <w:sz w:val="18"/>
          <w:szCs w:val="18"/>
          <w:lang w:val="es-ES_tradnl"/>
        </w:rPr>
        <w:t xml:space="preserve">rselo de la </w:t>
      </w:r>
      <w:r>
        <w:rPr>
          <w:rFonts w:cs="Times New Roman"/>
          <w:spacing w:val="-8"/>
          <w:sz w:val="18"/>
          <w:szCs w:val="18"/>
          <w:lang w:val="es-ES_tradnl"/>
        </w:rPr>
        <w:t>“</w:t>
      </w:r>
      <w:r>
        <w:rPr>
          <w:spacing w:val="-8"/>
          <w:sz w:val="18"/>
          <w:szCs w:val="18"/>
          <w:lang w:val="es-ES_tradnl"/>
        </w:rPr>
        <w:t xml:space="preserve">sola </w:t>
      </w:r>
      <w:r>
        <w:rPr>
          <w:spacing w:val="-12"/>
          <w:sz w:val="18"/>
          <w:szCs w:val="18"/>
          <w:lang w:val="es-ES_tradnl"/>
        </w:rPr>
        <w:t>lectura de las afirmaciones (hechas en la demanda de acci</w:t>
      </w:r>
      <w:r>
        <w:rPr>
          <w:rFonts w:cs="Times New Roman"/>
          <w:spacing w:val="-12"/>
          <w:sz w:val="18"/>
          <w:szCs w:val="18"/>
          <w:lang w:val="es-ES_tradnl"/>
        </w:rPr>
        <w:t>ó</w:t>
      </w:r>
      <w:r>
        <w:rPr>
          <w:spacing w:val="-12"/>
          <w:sz w:val="18"/>
          <w:szCs w:val="18"/>
          <w:lang w:val="es-ES_tradnl"/>
        </w:rPr>
        <w:t xml:space="preserve">n </w:t>
      </w:r>
      <w:r>
        <w:rPr>
          <w:spacing w:val="-8"/>
          <w:sz w:val="18"/>
          <w:szCs w:val="18"/>
          <w:lang w:val="es-ES_tradnl"/>
        </w:rPr>
        <w:t>de protecci</w:t>
      </w:r>
      <w:r>
        <w:rPr>
          <w:rFonts w:cs="Times New Roman"/>
          <w:spacing w:val="-8"/>
          <w:sz w:val="18"/>
          <w:szCs w:val="18"/>
          <w:lang w:val="es-ES_tradnl"/>
        </w:rPr>
        <w:t>ó</w:t>
      </w:r>
      <w:r>
        <w:rPr>
          <w:spacing w:val="-8"/>
          <w:sz w:val="18"/>
          <w:szCs w:val="18"/>
          <w:lang w:val="es-ES_tradnl"/>
        </w:rPr>
        <w:t xml:space="preserve">n), y el examen del documento adjuntado a la </w:t>
      </w:r>
      <w:r>
        <w:rPr>
          <w:sz w:val="18"/>
          <w:szCs w:val="18"/>
          <w:lang w:val="es-ES_tradnl"/>
        </w:rPr>
        <w:t>acci</w:t>
      </w:r>
      <w:r>
        <w:rPr>
          <w:rFonts w:cs="Times New Roman"/>
          <w:sz w:val="18"/>
          <w:szCs w:val="18"/>
          <w:lang w:val="es-ES_tradnl"/>
        </w:rPr>
        <w:t>ó</w:t>
      </w:r>
      <w:r>
        <w:rPr>
          <w:sz w:val="18"/>
          <w:szCs w:val="18"/>
          <w:lang w:val="es-ES_tradnl"/>
        </w:rPr>
        <w:t>n</w:t>
      </w:r>
      <w:r>
        <w:rPr>
          <w:rFonts w:cs="Times New Roman"/>
          <w:sz w:val="18"/>
          <w:szCs w:val="18"/>
          <w:lang w:val="es-ES_tradnl"/>
        </w:rPr>
        <w:t>”</w:t>
      </w:r>
      <w:r>
        <w:rPr>
          <w:sz w:val="18"/>
          <w:szCs w:val="18"/>
          <w:lang w:val="es-ES_tradnl"/>
        </w:rPr>
        <w:t xml:space="preserve"> como lo sostienen los jueces.</w:t>
      </w:r>
    </w:p>
    <w:p w14:paraId="4F67AE54" w14:textId="77777777" w:rsidR="00591D54" w:rsidRDefault="00591D54">
      <w:pPr>
        <w:shd w:val="clear" w:color="auto" w:fill="FFFFFF"/>
        <w:spacing w:before="197" w:line="216" w:lineRule="exact"/>
        <w:ind w:right="5"/>
        <w:jc w:val="both"/>
      </w:pPr>
      <w:r>
        <w:rPr>
          <w:spacing w:val="-7"/>
          <w:sz w:val="18"/>
          <w:szCs w:val="18"/>
          <w:lang w:val="es-ES_tradnl"/>
        </w:rPr>
        <w:t>As</w:t>
      </w:r>
      <w:r>
        <w:rPr>
          <w:rFonts w:cs="Times New Roman"/>
          <w:spacing w:val="-7"/>
          <w:sz w:val="18"/>
          <w:szCs w:val="18"/>
          <w:lang w:val="es-ES_tradnl"/>
        </w:rPr>
        <w:t>í</w:t>
      </w:r>
      <w:r>
        <w:rPr>
          <w:spacing w:val="-7"/>
          <w:sz w:val="18"/>
          <w:szCs w:val="18"/>
          <w:lang w:val="es-ES_tradnl"/>
        </w:rPr>
        <w:t xml:space="preserve"> como tampoco puede descartarse la existencia de </w:t>
      </w:r>
      <w:r>
        <w:rPr>
          <w:spacing w:val="-6"/>
          <w:sz w:val="18"/>
          <w:szCs w:val="18"/>
          <w:lang w:val="es-ES_tradnl"/>
        </w:rPr>
        <w:t>derechos vulnerados bajo el simple argumento de que existen otras v</w:t>
      </w:r>
      <w:r>
        <w:rPr>
          <w:rFonts w:cs="Times New Roman"/>
          <w:spacing w:val="-6"/>
          <w:sz w:val="18"/>
          <w:szCs w:val="18"/>
          <w:lang w:val="es-ES_tradnl"/>
        </w:rPr>
        <w:t>í</w:t>
      </w:r>
      <w:r>
        <w:rPr>
          <w:spacing w:val="-6"/>
          <w:sz w:val="18"/>
          <w:szCs w:val="18"/>
          <w:lang w:val="es-ES_tradnl"/>
        </w:rPr>
        <w:t xml:space="preserve">as para reclamar los derechos o impugnar </w:t>
      </w:r>
      <w:r>
        <w:rPr>
          <w:spacing w:val="-3"/>
          <w:sz w:val="18"/>
          <w:szCs w:val="18"/>
          <w:lang w:val="es-ES_tradnl"/>
        </w:rPr>
        <w:t>el acto administrativo, pues, bajo ese simple criterio, se</w:t>
      </w:r>
    </w:p>
    <w:p w14:paraId="4F67AE55" w14:textId="77777777" w:rsidR="00591D54" w:rsidRDefault="00591D54">
      <w:pPr>
        <w:shd w:val="clear" w:color="auto" w:fill="FFFFFF"/>
        <w:spacing w:line="211" w:lineRule="exact"/>
        <w:jc w:val="both"/>
      </w:pPr>
      <w:r>
        <w:br w:type="column"/>
      </w:r>
      <w:r>
        <w:rPr>
          <w:spacing w:val="-3"/>
          <w:sz w:val="18"/>
          <w:szCs w:val="18"/>
          <w:lang w:val="es-ES_tradnl"/>
        </w:rPr>
        <w:t>estar</w:t>
      </w:r>
      <w:r>
        <w:rPr>
          <w:rFonts w:cs="Times New Roman"/>
          <w:spacing w:val="-3"/>
          <w:sz w:val="18"/>
          <w:szCs w:val="18"/>
          <w:lang w:val="es-ES_tradnl"/>
        </w:rPr>
        <w:t>í</w:t>
      </w:r>
      <w:r>
        <w:rPr>
          <w:spacing w:val="-3"/>
          <w:sz w:val="18"/>
          <w:szCs w:val="18"/>
          <w:lang w:val="es-ES_tradnl"/>
        </w:rPr>
        <w:t>a desconociendo la naturaleza, objeto y raz</w:t>
      </w:r>
      <w:r>
        <w:rPr>
          <w:rFonts w:cs="Times New Roman"/>
          <w:spacing w:val="-3"/>
          <w:sz w:val="18"/>
          <w:szCs w:val="18"/>
          <w:lang w:val="es-ES_tradnl"/>
        </w:rPr>
        <w:t>ó</w:t>
      </w:r>
      <w:r>
        <w:rPr>
          <w:spacing w:val="-3"/>
          <w:sz w:val="18"/>
          <w:szCs w:val="18"/>
          <w:lang w:val="es-ES_tradnl"/>
        </w:rPr>
        <w:t xml:space="preserve">n de </w:t>
      </w:r>
      <w:r>
        <w:rPr>
          <w:spacing w:val="-8"/>
          <w:sz w:val="18"/>
          <w:szCs w:val="18"/>
          <w:lang w:val="es-ES_tradnl"/>
        </w:rPr>
        <w:t>ser de la acci</w:t>
      </w:r>
      <w:r>
        <w:rPr>
          <w:rFonts w:cs="Times New Roman"/>
          <w:spacing w:val="-8"/>
          <w:sz w:val="18"/>
          <w:szCs w:val="18"/>
          <w:lang w:val="es-ES_tradnl"/>
        </w:rPr>
        <w:t>ó</w:t>
      </w:r>
      <w:r>
        <w:rPr>
          <w:spacing w:val="-8"/>
          <w:sz w:val="18"/>
          <w:szCs w:val="18"/>
          <w:lang w:val="es-ES_tradnl"/>
        </w:rPr>
        <w:t>n de protecci</w:t>
      </w:r>
      <w:r>
        <w:rPr>
          <w:rFonts w:cs="Times New Roman"/>
          <w:spacing w:val="-8"/>
          <w:sz w:val="18"/>
          <w:szCs w:val="18"/>
          <w:lang w:val="es-ES_tradnl"/>
        </w:rPr>
        <w:t>ó</w:t>
      </w:r>
      <w:r>
        <w:rPr>
          <w:spacing w:val="-8"/>
          <w:sz w:val="18"/>
          <w:szCs w:val="18"/>
          <w:lang w:val="es-ES_tradnl"/>
        </w:rPr>
        <w:t>n. Es as</w:t>
      </w:r>
      <w:r>
        <w:rPr>
          <w:rFonts w:cs="Times New Roman"/>
          <w:spacing w:val="-8"/>
          <w:sz w:val="18"/>
          <w:szCs w:val="18"/>
          <w:lang w:val="es-ES_tradnl"/>
        </w:rPr>
        <w:t>í</w:t>
      </w:r>
      <w:r>
        <w:rPr>
          <w:spacing w:val="-8"/>
          <w:sz w:val="18"/>
          <w:szCs w:val="18"/>
          <w:lang w:val="es-ES_tradnl"/>
        </w:rPr>
        <w:t xml:space="preserve"> que los jueces de </w:t>
      </w:r>
      <w:r>
        <w:rPr>
          <w:spacing w:val="-9"/>
          <w:sz w:val="18"/>
          <w:szCs w:val="18"/>
          <w:lang w:val="es-ES_tradnl"/>
        </w:rPr>
        <w:t>apelaci</w:t>
      </w:r>
      <w:r>
        <w:rPr>
          <w:rFonts w:cs="Times New Roman"/>
          <w:spacing w:val="-9"/>
          <w:sz w:val="18"/>
          <w:szCs w:val="18"/>
          <w:lang w:val="es-ES_tradnl"/>
        </w:rPr>
        <w:t>ó</w:t>
      </w:r>
      <w:r>
        <w:rPr>
          <w:spacing w:val="-9"/>
          <w:sz w:val="18"/>
          <w:szCs w:val="18"/>
          <w:lang w:val="es-ES_tradnl"/>
        </w:rPr>
        <w:t>n estaban en la obligaci</w:t>
      </w:r>
      <w:r>
        <w:rPr>
          <w:rFonts w:cs="Times New Roman"/>
          <w:spacing w:val="-9"/>
          <w:sz w:val="18"/>
          <w:szCs w:val="18"/>
          <w:lang w:val="es-ES_tradnl"/>
        </w:rPr>
        <w:t>ó</w:t>
      </w:r>
      <w:r>
        <w:rPr>
          <w:spacing w:val="-9"/>
          <w:sz w:val="18"/>
          <w:szCs w:val="18"/>
          <w:lang w:val="es-ES_tradnl"/>
        </w:rPr>
        <w:t xml:space="preserve">n de argumentar y motivar </w:t>
      </w:r>
      <w:r>
        <w:rPr>
          <w:spacing w:val="-7"/>
          <w:sz w:val="18"/>
          <w:szCs w:val="18"/>
          <w:lang w:val="es-ES_tradnl"/>
        </w:rPr>
        <w:t xml:space="preserve">la inexistencia de derechos constitucionales vulnerados, </w:t>
      </w:r>
      <w:r>
        <w:rPr>
          <w:sz w:val="18"/>
          <w:szCs w:val="18"/>
          <w:lang w:val="es-ES_tradnl"/>
        </w:rPr>
        <w:t>circunstancia que no aconteci</w:t>
      </w:r>
      <w:r>
        <w:rPr>
          <w:rFonts w:cs="Times New Roman"/>
          <w:sz w:val="18"/>
          <w:szCs w:val="18"/>
          <w:lang w:val="es-ES_tradnl"/>
        </w:rPr>
        <w:t>ó</w:t>
      </w:r>
      <w:r>
        <w:rPr>
          <w:sz w:val="18"/>
          <w:szCs w:val="18"/>
          <w:lang w:val="es-ES_tradnl"/>
        </w:rPr>
        <w:t>.</w:t>
      </w:r>
    </w:p>
    <w:p w14:paraId="4F67AE56" w14:textId="77777777" w:rsidR="00591D54" w:rsidRDefault="00591D54">
      <w:pPr>
        <w:shd w:val="clear" w:color="auto" w:fill="FFFFFF"/>
        <w:spacing w:before="192" w:line="211" w:lineRule="exact"/>
        <w:jc w:val="both"/>
      </w:pPr>
      <w:r>
        <w:rPr>
          <w:spacing w:val="-5"/>
          <w:sz w:val="18"/>
          <w:szCs w:val="18"/>
          <w:lang w:val="es-ES_tradnl"/>
        </w:rPr>
        <w:t xml:space="preserve">En virtud a lo expuesto, esta Corte reconoce que el </w:t>
      </w:r>
      <w:r>
        <w:rPr>
          <w:spacing w:val="-2"/>
          <w:sz w:val="18"/>
          <w:szCs w:val="18"/>
          <w:lang w:val="es-ES_tradnl"/>
        </w:rPr>
        <w:t xml:space="preserve">razonamiento de los jueces contraviene lo prescrito en </w:t>
      </w:r>
      <w:r>
        <w:rPr>
          <w:spacing w:val="-3"/>
          <w:sz w:val="18"/>
          <w:szCs w:val="18"/>
          <w:lang w:val="es-ES_tradnl"/>
        </w:rPr>
        <w:t>el art</w:t>
      </w:r>
      <w:r>
        <w:rPr>
          <w:rFonts w:cs="Times New Roman"/>
          <w:spacing w:val="-3"/>
          <w:sz w:val="18"/>
          <w:szCs w:val="18"/>
          <w:lang w:val="es-ES_tradnl"/>
        </w:rPr>
        <w:t>í</w:t>
      </w:r>
      <w:r>
        <w:rPr>
          <w:spacing w:val="-3"/>
          <w:sz w:val="18"/>
          <w:szCs w:val="18"/>
          <w:lang w:val="es-ES_tradnl"/>
        </w:rPr>
        <w:t>culo 88 de la Constituci</w:t>
      </w:r>
      <w:r>
        <w:rPr>
          <w:rFonts w:cs="Times New Roman"/>
          <w:spacing w:val="-3"/>
          <w:sz w:val="18"/>
          <w:szCs w:val="18"/>
          <w:lang w:val="es-ES_tradnl"/>
        </w:rPr>
        <w:t>ó</w:t>
      </w:r>
      <w:r>
        <w:rPr>
          <w:spacing w:val="-3"/>
          <w:sz w:val="18"/>
          <w:szCs w:val="18"/>
          <w:lang w:val="es-ES_tradnl"/>
        </w:rPr>
        <w:t>n, que define a la acci</w:t>
      </w:r>
      <w:r>
        <w:rPr>
          <w:rFonts w:cs="Times New Roman"/>
          <w:spacing w:val="-3"/>
          <w:sz w:val="18"/>
          <w:szCs w:val="18"/>
          <w:lang w:val="es-ES_tradnl"/>
        </w:rPr>
        <w:t>ó</w:t>
      </w:r>
      <w:r>
        <w:rPr>
          <w:spacing w:val="-3"/>
          <w:sz w:val="18"/>
          <w:szCs w:val="18"/>
          <w:lang w:val="es-ES_tradnl"/>
        </w:rPr>
        <w:t xml:space="preserve">n </w:t>
      </w:r>
      <w:r>
        <w:rPr>
          <w:spacing w:val="-6"/>
          <w:sz w:val="18"/>
          <w:szCs w:val="18"/>
          <w:lang w:val="es-ES_tradnl"/>
        </w:rPr>
        <w:t>de protecci</w:t>
      </w:r>
      <w:r>
        <w:rPr>
          <w:rFonts w:cs="Times New Roman"/>
          <w:spacing w:val="-6"/>
          <w:sz w:val="18"/>
          <w:szCs w:val="18"/>
          <w:lang w:val="es-ES_tradnl"/>
        </w:rPr>
        <w:t>ó</w:t>
      </w:r>
      <w:r>
        <w:rPr>
          <w:spacing w:val="-6"/>
          <w:sz w:val="18"/>
          <w:szCs w:val="18"/>
          <w:lang w:val="es-ES_tradnl"/>
        </w:rPr>
        <w:t>n como aquella garant</w:t>
      </w:r>
      <w:r>
        <w:rPr>
          <w:rFonts w:cs="Times New Roman"/>
          <w:spacing w:val="-6"/>
          <w:sz w:val="18"/>
          <w:szCs w:val="18"/>
          <w:lang w:val="es-ES_tradnl"/>
        </w:rPr>
        <w:t>í</w:t>
      </w:r>
      <w:r>
        <w:rPr>
          <w:spacing w:val="-6"/>
          <w:sz w:val="18"/>
          <w:szCs w:val="18"/>
          <w:lang w:val="es-ES_tradnl"/>
        </w:rPr>
        <w:t xml:space="preserve">a que busca </w:t>
      </w:r>
      <w:r>
        <w:rPr>
          <w:rFonts w:cs="Times New Roman"/>
          <w:spacing w:val="-6"/>
          <w:sz w:val="18"/>
          <w:szCs w:val="18"/>
          <w:lang w:val="es-ES_tradnl"/>
        </w:rPr>
        <w:t>“</w:t>
      </w:r>
      <w:r>
        <w:rPr>
          <w:spacing w:val="-6"/>
          <w:sz w:val="18"/>
          <w:szCs w:val="18"/>
          <w:lang w:val="es-ES_tradnl"/>
        </w:rPr>
        <w:t>(</w:t>
      </w:r>
      <w:r>
        <w:rPr>
          <w:rFonts w:cs="Times New Roman"/>
          <w:spacing w:val="-6"/>
          <w:sz w:val="18"/>
          <w:szCs w:val="18"/>
          <w:lang w:val="es-ES_tradnl"/>
        </w:rPr>
        <w:t>…</w:t>
      </w:r>
      <w:r>
        <w:rPr>
          <w:spacing w:val="-6"/>
          <w:sz w:val="18"/>
          <w:szCs w:val="18"/>
          <w:lang w:val="es-ES_tradnl"/>
        </w:rPr>
        <w:t xml:space="preserve">) el </w:t>
      </w:r>
      <w:r>
        <w:rPr>
          <w:spacing w:val="-5"/>
          <w:sz w:val="18"/>
          <w:szCs w:val="18"/>
          <w:lang w:val="es-ES_tradnl"/>
        </w:rPr>
        <w:t>amparo directo y eficaz de los derechos reconocidos en la Constituci</w:t>
      </w:r>
      <w:r>
        <w:rPr>
          <w:rFonts w:cs="Times New Roman"/>
          <w:spacing w:val="-5"/>
          <w:sz w:val="18"/>
          <w:szCs w:val="18"/>
          <w:lang w:val="es-ES_tradnl"/>
        </w:rPr>
        <w:t>ó</w:t>
      </w:r>
      <w:r>
        <w:rPr>
          <w:spacing w:val="-5"/>
          <w:sz w:val="18"/>
          <w:szCs w:val="18"/>
          <w:lang w:val="es-ES_tradnl"/>
        </w:rPr>
        <w:t>n (</w:t>
      </w:r>
      <w:r>
        <w:rPr>
          <w:rFonts w:cs="Times New Roman"/>
          <w:spacing w:val="-5"/>
          <w:sz w:val="18"/>
          <w:szCs w:val="18"/>
          <w:lang w:val="es-ES_tradnl"/>
        </w:rPr>
        <w:t>…</w:t>
      </w:r>
      <w:r>
        <w:rPr>
          <w:spacing w:val="-5"/>
          <w:sz w:val="18"/>
          <w:szCs w:val="18"/>
          <w:lang w:val="es-ES_tradnl"/>
        </w:rPr>
        <w:t>)</w:t>
      </w:r>
      <w:r>
        <w:rPr>
          <w:rFonts w:cs="Times New Roman"/>
          <w:spacing w:val="-5"/>
          <w:sz w:val="18"/>
          <w:szCs w:val="18"/>
          <w:lang w:val="es-ES_tradnl"/>
        </w:rPr>
        <w:t>”</w:t>
      </w:r>
      <w:r>
        <w:rPr>
          <w:spacing w:val="-5"/>
          <w:sz w:val="18"/>
          <w:szCs w:val="18"/>
          <w:lang w:val="es-ES_tradnl"/>
        </w:rPr>
        <w:t xml:space="preserve">, pues no entran a analizar la posible </w:t>
      </w:r>
      <w:r>
        <w:rPr>
          <w:spacing w:val="-7"/>
          <w:sz w:val="18"/>
          <w:szCs w:val="18"/>
          <w:lang w:val="es-ES_tradnl"/>
        </w:rPr>
        <w:t>vulneraci</w:t>
      </w:r>
      <w:r>
        <w:rPr>
          <w:rFonts w:cs="Times New Roman"/>
          <w:spacing w:val="-7"/>
          <w:sz w:val="18"/>
          <w:szCs w:val="18"/>
          <w:lang w:val="es-ES_tradnl"/>
        </w:rPr>
        <w:t>ó</w:t>
      </w:r>
      <w:r>
        <w:rPr>
          <w:spacing w:val="-7"/>
          <w:sz w:val="18"/>
          <w:szCs w:val="18"/>
          <w:lang w:val="es-ES_tradnl"/>
        </w:rPr>
        <w:t xml:space="preserve">n de derechos constitucionales, en el caso en </w:t>
      </w:r>
      <w:r>
        <w:rPr>
          <w:sz w:val="18"/>
          <w:szCs w:val="18"/>
          <w:lang w:val="es-ES_tradnl"/>
        </w:rPr>
        <w:t>concreto.</w:t>
      </w:r>
    </w:p>
    <w:p w14:paraId="4F67AE57" w14:textId="77777777" w:rsidR="00591D54" w:rsidRDefault="00591D54">
      <w:pPr>
        <w:shd w:val="clear" w:color="auto" w:fill="FFFFFF"/>
        <w:spacing w:before="192" w:line="211" w:lineRule="exact"/>
        <w:jc w:val="both"/>
      </w:pPr>
      <w:r>
        <w:rPr>
          <w:sz w:val="18"/>
          <w:szCs w:val="18"/>
          <w:lang w:val="es-ES_tradnl"/>
        </w:rPr>
        <w:t xml:space="preserve">En consecuencia, se evidencia que el argumento de </w:t>
      </w:r>
      <w:r>
        <w:rPr>
          <w:spacing w:val="-6"/>
          <w:sz w:val="18"/>
          <w:szCs w:val="18"/>
          <w:lang w:val="es-ES_tradnl"/>
        </w:rPr>
        <w:t xml:space="preserve">los jueces provinciales no se encuentra justificado o </w:t>
      </w:r>
      <w:r>
        <w:rPr>
          <w:spacing w:val="-2"/>
          <w:sz w:val="18"/>
          <w:szCs w:val="18"/>
          <w:lang w:val="es-ES_tradnl"/>
        </w:rPr>
        <w:t>fundamentado en ning</w:t>
      </w:r>
      <w:r>
        <w:rPr>
          <w:rFonts w:cs="Times New Roman"/>
          <w:spacing w:val="-2"/>
          <w:sz w:val="18"/>
          <w:szCs w:val="18"/>
          <w:lang w:val="es-ES_tradnl"/>
        </w:rPr>
        <w:t>ú</w:t>
      </w:r>
      <w:r>
        <w:rPr>
          <w:spacing w:val="-2"/>
          <w:sz w:val="18"/>
          <w:szCs w:val="18"/>
          <w:lang w:val="es-ES_tradnl"/>
        </w:rPr>
        <w:t xml:space="preserve">n principio constitucional, sino </w:t>
      </w:r>
      <w:r>
        <w:rPr>
          <w:spacing w:val="-8"/>
          <w:sz w:val="18"/>
          <w:szCs w:val="18"/>
          <w:lang w:val="es-ES_tradnl"/>
        </w:rPr>
        <w:t>que, m</w:t>
      </w:r>
      <w:r>
        <w:rPr>
          <w:rFonts w:cs="Times New Roman"/>
          <w:spacing w:val="-8"/>
          <w:sz w:val="18"/>
          <w:szCs w:val="18"/>
          <w:lang w:val="es-ES_tradnl"/>
        </w:rPr>
        <w:t>á</w:t>
      </w:r>
      <w:r>
        <w:rPr>
          <w:spacing w:val="-8"/>
          <w:sz w:val="18"/>
          <w:szCs w:val="18"/>
          <w:lang w:val="es-ES_tradnl"/>
        </w:rPr>
        <w:t>s bien, se encuentra en franca contradicci</w:t>
      </w:r>
      <w:r>
        <w:rPr>
          <w:rFonts w:cs="Times New Roman"/>
          <w:spacing w:val="-8"/>
          <w:sz w:val="18"/>
          <w:szCs w:val="18"/>
          <w:lang w:val="es-ES_tradnl"/>
        </w:rPr>
        <w:t>ó</w:t>
      </w:r>
      <w:r>
        <w:rPr>
          <w:spacing w:val="-8"/>
          <w:sz w:val="18"/>
          <w:szCs w:val="18"/>
          <w:lang w:val="es-ES_tradnl"/>
        </w:rPr>
        <w:t>n con el contenido del art</w:t>
      </w:r>
      <w:r>
        <w:rPr>
          <w:rFonts w:cs="Times New Roman"/>
          <w:spacing w:val="-8"/>
          <w:sz w:val="18"/>
          <w:szCs w:val="18"/>
          <w:lang w:val="es-ES_tradnl"/>
        </w:rPr>
        <w:t>í</w:t>
      </w:r>
      <w:r>
        <w:rPr>
          <w:spacing w:val="-8"/>
          <w:sz w:val="18"/>
          <w:szCs w:val="18"/>
          <w:lang w:val="es-ES_tradnl"/>
        </w:rPr>
        <w:t>culo 88 de la Constituci</w:t>
      </w:r>
      <w:r>
        <w:rPr>
          <w:rFonts w:cs="Times New Roman"/>
          <w:spacing w:val="-8"/>
          <w:sz w:val="18"/>
          <w:szCs w:val="18"/>
          <w:lang w:val="es-ES_tradnl"/>
        </w:rPr>
        <w:t>ó</w:t>
      </w:r>
      <w:r>
        <w:rPr>
          <w:spacing w:val="-8"/>
          <w:sz w:val="18"/>
          <w:szCs w:val="18"/>
          <w:lang w:val="es-ES_tradnl"/>
        </w:rPr>
        <w:t>n en relaci</w:t>
      </w:r>
      <w:r>
        <w:rPr>
          <w:rFonts w:cs="Times New Roman"/>
          <w:spacing w:val="-8"/>
          <w:sz w:val="18"/>
          <w:szCs w:val="18"/>
          <w:lang w:val="es-ES_tradnl"/>
        </w:rPr>
        <w:t>ó</w:t>
      </w:r>
      <w:r>
        <w:rPr>
          <w:spacing w:val="-8"/>
          <w:sz w:val="18"/>
          <w:szCs w:val="18"/>
          <w:lang w:val="es-ES_tradnl"/>
        </w:rPr>
        <w:t xml:space="preserve">n a la </w:t>
      </w:r>
      <w:r>
        <w:rPr>
          <w:spacing w:val="-6"/>
          <w:sz w:val="18"/>
          <w:szCs w:val="18"/>
          <w:lang w:val="es-ES_tradnl"/>
        </w:rPr>
        <w:t>naturaleza de la acci</w:t>
      </w:r>
      <w:r>
        <w:rPr>
          <w:rFonts w:cs="Times New Roman"/>
          <w:spacing w:val="-6"/>
          <w:sz w:val="18"/>
          <w:szCs w:val="18"/>
          <w:lang w:val="es-ES_tradnl"/>
        </w:rPr>
        <w:t>ó</w:t>
      </w:r>
      <w:r>
        <w:rPr>
          <w:spacing w:val="-6"/>
          <w:sz w:val="18"/>
          <w:szCs w:val="18"/>
          <w:lang w:val="es-ES_tradnl"/>
        </w:rPr>
        <w:t>n de protecci</w:t>
      </w:r>
      <w:r>
        <w:rPr>
          <w:rFonts w:cs="Times New Roman"/>
          <w:spacing w:val="-6"/>
          <w:sz w:val="18"/>
          <w:szCs w:val="18"/>
          <w:lang w:val="es-ES_tradnl"/>
        </w:rPr>
        <w:t>ó</w:t>
      </w:r>
      <w:r>
        <w:rPr>
          <w:spacing w:val="-6"/>
          <w:sz w:val="18"/>
          <w:szCs w:val="18"/>
          <w:lang w:val="es-ES_tradnl"/>
        </w:rPr>
        <w:t xml:space="preserve">n, por lo que la Corte </w:t>
      </w:r>
      <w:r>
        <w:rPr>
          <w:spacing w:val="-9"/>
          <w:sz w:val="18"/>
          <w:szCs w:val="18"/>
          <w:lang w:val="es-ES_tradnl"/>
        </w:rPr>
        <w:t xml:space="preserve">Constitucional considera que la sentencia impugnada, al no </w:t>
      </w:r>
      <w:r>
        <w:rPr>
          <w:spacing w:val="-10"/>
          <w:sz w:val="18"/>
          <w:szCs w:val="18"/>
          <w:lang w:val="es-ES_tradnl"/>
        </w:rPr>
        <w:t xml:space="preserve">estar fundamentada en principios constitucionales carece de </w:t>
      </w:r>
      <w:r>
        <w:rPr>
          <w:sz w:val="18"/>
          <w:szCs w:val="18"/>
          <w:lang w:val="es-ES_tradnl"/>
        </w:rPr>
        <w:t>razonabilidad.</w:t>
      </w:r>
    </w:p>
    <w:p w14:paraId="4F67AE58" w14:textId="77777777" w:rsidR="00591D54" w:rsidRDefault="00591D54">
      <w:pPr>
        <w:shd w:val="clear" w:color="auto" w:fill="FFFFFF"/>
        <w:spacing w:before="192"/>
      </w:pPr>
      <w:r>
        <w:rPr>
          <w:b/>
          <w:bCs/>
          <w:spacing w:val="-8"/>
          <w:sz w:val="18"/>
          <w:szCs w:val="18"/>
          <w:lang w:val="es-ES_tradnl"/>
        </w:rPr>
        <w:t>Par</w:t>
      </w:r>
      <w:r>
        <w:rPr>
          <w:rFonts w:cs="Times New Roman"/>
          <w:b/>
          <w:bCs/>
          <w:spacing w:val="-8"/>
          <w:sz w:val="18"/>
          <w:szCs w:val="18"/>
          <w:lang w:val="es-ES_tradnl"/>
        </w:rPr>
        <w:t>á</w:t>
      </w:r>
      <w:r>
        <w:rPr>
          <w:b/>
          <w:bCs/>
          <w:spacing w:val="-8"/>
          <w:sz w:val="18"/>
          <w:szCs w:val="18"/>
          <w:lang w:val="es-ES_tradnl"/>
        </w:rPr>
        <w:t>metro de la l</w:t>
      </w:r>
      <w:r>
        <w:rPr>
          <w:rFonts w:cs="Times New Roman"/>
          <w:b/>
          <w:bCs/>
          <w:spacing w:val="-8"/>
          <w:sz w:val="18"/>
          <w:szCs w:val="18"/>
          <w:lang w:val="es-ES_tradnl"/>
        </w:rPr>
        <w:t>ó</w:t>
      </w:r>
      <w:r>
        <w:rPr>
          <w:b/>
          <w:bCs/>
          <w:spacing w:val="-8"/>
          <w:sz w:val="18"/>
          <w:szCs w:val="18"/>
          <w:lang w:val="es-ES_tradnl"/>
        </w:rPr>
        <w:t>gica</w:t>
      </w:r>
    </w:p>
    <w:p w14:paraId="4F67AE59" w14:textId="77777777" w:rsidR="00591D54" w:rsidRDefault="00591D54">
      <w:pPr>
        <w:shd w:val="clear" w:color="auto" w:fill="FFFFFF"/>
        <w:spacing w:before="187" w:line="211" w:lineRule="exact"/>
        <w:jc w:val="both"/>
      </w:pPr>
      <w:r>
        <w:rPr>
          <w:spacing w:val="-9"/>
          <w:sz w:val="18"/>
          <w:szCs w:val="18"/>
          <w:lang w:val="es-ES_tradnl"/>
        </w:rPr>
        <w:t>Como segundo punto abordaremos el elemento l</w:t>
      </w:r>
      <w:r>
        <w:rPr>
          <w:rFonts w:cs="Times New Roman"/>
          <w:spacing w:val="-9"/>
          <w:sz w:val="18"/>
          <w:szCs w:val="18"/>
          <w:lang w:val="es-ES_tradnl"/>
        </w:rPr>
        <w:t>ó</w:t>
      </w:r>
      <w:r>
        <w:rPr>
          <w:spacing w:val="-9"/>
          <w:sz w:val="18"/>
          <w:szCs w:val="18"/>
          <w:lang w:val="es-ES_tradnl"/>
        </w:rPr>
        <w:t xml:space="preserve">gico de la </w:t>
      </w:r>
      <w:r>
        <w:rPr>
          <w:spacing w:val="-8"/>
          <w:sz w:val="18"/>
          <w:szCs w:val="18"/>
          <w:lang w:val="es-ES_tradnl"/>
        </w:rPr>
        <w:t>decisi</w:t>
      </w:r>
      <w:r>
        <w:rPr>
          <w:rFonts w:cs="Times New Roman"/>
          <w:spacing w:val="-8"/>
          <w:sz w:val="18"/>
          <w:szCs w:val="18"/>
          <w:lang w:val="es-ES_tradnl"/>
        </w:rPr>
        <w:t>ó</w:t>
      </w:r>
      <w:r>
        <w:rPr>
          <w:spacing w:val="-8"/>
          <w:sz w:val="18"/>
          <w:szCs w:val="18"/>
          <w:lang w:val="es-ES_tradnl"/>
        </w:rPr>
        <w:t>n judicial, el cual comporta la existencia de la debida coherencia entre las premisas y la conclusi</w:t>
      </w:r>
      <w:r>
        <w:rPr>
          <w:rFonts w:cs="Times New Roman"/>
          <w:spacing w:val="-8"/>
          <w:sz w:val="18"/>
          <w:szCs w:val="18"/>
          <w:lang w:val="es-ES_tradnl"/>
        </w:rPr>
        <w:t>ó</w:t>
      </w:r>
      <w:r>
        <w:rPr>
          <w:spacing w:val="-8"/>
          <w:sz w:val="18"/>
          <w:szCs w:val="18"/>
          <w:lang w:val="es-ES_tradnl"/>
        </w:rPr>
        <w:t>n.</w:t>
      </w:r>
    </w:p>
    <w:p w14:paraId="4F67AE5A" w14:textId="77777777" w:rsidR="00591D54" w:rsidRDefault="00591D54">
      <w:pPr>
        <w:shd w:val="clear" w:color="auto" w:fill="FFFFFF"/>
        <w:spacing w:before="192" w:line="211" w:lineRule="exact"/>
        <w:jc w:val="both"/>
      </w:pPr>
      <w:r>
        <w:rPr>
          <w:spacing w:val="-10"/>
          <w:sz w:val="18"/>
          <w:szCs w:val="18"/>
          <w:lang w:val="es-ES_tradnl"/>
        </w:rPr>
        <w:t>Para analizar este elemento es adecuado se</w:t>
      </w:r>
      <w:r>
        <w:rPr>
          <w:rFonts w:cs="Times New Roman"/>
          <w:spacing w:val="-10"/>
          <w:sz w:val="18"/>
          <w:szCs w:val="18"/>
          <w:lang w:val="es-ES_tradnl"/>
        </w:rPr>
        <w:t>ñ</w:t>
      </w:r>
      <w:r>
        <w:rPr>
          <w:spacing w:val="-10"/>
          <w:sz w:val="18"/>
          <w:szCs w:val="18"/>
          <w:lang w:val="es-ES_tradnl"/>
        </w:rPr>
        <w:t xml:space="preserve">alar que el </w:t>
      </w:r>
      <w:r>
        <w:rPr>
          <w:spacing w:val="-5"/>
          <w:sz w:val="18"/>
          <w:szCs w:val="18"/>
          <w:lang w:val="es-ES_tradnl"/>
        </w:rPr>
        <w:t>desarrollo de una decisi</w:t>
      </w:r>
      <w:r>
        <w:rPr>
          <w:rFonts w:cs="Times New Roman"/>
          <w:spacing w:val="-5"/>
          <w:sz w:val="18"/>
          <w:szCs w:val="18"/>
          <w:lang w:val="es-ES_tradnl"/>
        </w:rPr>
        <w:t>ó</w:t>
      </w:r>
      <w:r>
        <w:rPr>
          <w:spacing w:val="-5"/>
          <w:sz w:val="18"/>
          <w:szCs w:val="18"/>
          <w:lang w:val="es-ES_tradnl"/>
        </w:rPr>
        <w:t xml:space="preserve">n judicial supone un silogismo, </w:t>
      </w:r>
      <w:r>
        <w:rPr>
          <w:spacing w:val="-6"/>
          <w:sz w:val="18"/>
          <w:szCs w:val="18"/>
          <w:lang w:val="es-ES_tradnl"/>
        </w:rPr>
        <w:t>esto es, un razonamiento jur</w:t>
      </w:r>
      <w:r>
        <w:rPr>
          <w:rFonts w:cs="Times New Roman"/>
          <w:spacing w:val="-6"/>
          <w:sz w:val="18"/>
          <w:szCs w:val="18"/>
          <w:lang w:val="es-ES_tradnl"/>
        </w:rPr>
        <w:t>í</w:t>
      </w:r>
      <w:r>
        <w:rPr>
          <w:spacing w:val="-6"/>
          <w:sz w:val="18"/>
          <w:szCs w:val="18"/>
          <w:lang w:val="es-ES_tradnl"/>
        </w:rPr>
        <w:t xml:space="preserve">dico por el cual, se vinculan </w:t>
      </w:r>
      <w:r>
        <w:rPr>
          <w:spacing w:val="-11"/>
          <w:sz w:val="18"/>
          <w:szCs w:val="18"/>
          <w:lang w:val="es-ES_tradnl"/>
        </w:rPr>
        <w:t xml:space="preserve">las premisas mayores que generalmente son proporcionadas </w:t>
      </w:r>
      <w:r>
        <w:rPr>
          <w:spacing w:val="-6"/>
          <w:sz w:val="18"/>
          <w:szCs w:val="18"/>
          <w:lang w:val="es-ES_tradnl"/>
        </w:rPr>
        <w:t xml:space="preserve">por la normativa aplicable al caso en concreto, con las </w:t>
      </w:r>
      <w:r>
        <w:rPr>
          <w:spacing w:val="-10"/>
          <w:sz w:val="18"/>
          <w:szCs w:val="18"/>
          <w:lang w:val="es-ES_tradnl"/>
        </w:rPr>
        <w:t xml:space="preserve">premisas menores, que se encuentran dadas por los hechos </w:t>
      </w:r>
      <w:r>
        <w:rPr>
          <w:spacing w:val="-4"/>
          <w:sz w:val="18"/>
          <w:szCs w:val="18"/>
          <w:lang w:val="es-ES_tradnl"/>
        </w:rPr>
        <w:t>f</w:t>
      </w:r>
      <w:r>
        <w:rPr>
          <w:rFonts w:cs="Times New Roman"/>
          <w:spacing w:val="-4"/>
          <w:sz w:val="18"/>
          <w:szCs w:val="18"/>
          <w:lang w:val="es-ES_tradnl"/>
        </w:rPr>
        <w:t>á</w:t>
      </w:r>
      <w:r>
        <w:rPr>
          <w:spacing w:val="-4"/>
          <w:sz w:val="18"/>
          <w:szCs w:val="18"/>
          <w:lang w:val="es-ES_tradnl"/>
        </w:rPr>
        <w:t xml:space="preserve">cticos en los cuales se circunscribe y fundamenta la </w:t>
      </w:r>
      <w:r>
        <w:rPr>
          <w:spacing w:val="-8"/>
          <w:sz w:val="18"/>
          <w:szCs w:val="18"/>
          <w:lang w:val="es-ES_tradnl"/>
        </w:rPr>
        <w:t>causa, y de cuya conexi</w:t>
      </w:r>
      <w:r>
        <w:rPr>
          <w:rFonts w:cs="Times New Roman"/>
          <w:spacing w:val="-8"/>
          <w:sz w:val="18"/>
          <w:szCs w:val="18"/>
          <w:lang w:val="es-ES_tradnl"/>
        </w:rPr>
        <w:t>ó</w:t>
      </w:r>
      <w:r>
        <w:rPr>
          <w:spacing w:val="-8"/>
          <w:sz w:val="18"/>
          <w:szCs w:val="18"/>
          <w:lang w:val="es-ES_tradnl"/>
        </w:rPr>
        <w:t>n se obtiene una conclusi</w:t>
      </w:r>
      <w:r>
        <w:rPr>
          <w:rFonts w:cs="Times New Roman"/>
          <w:spacing w:val="-8"/>
          <w:sz w:val="18"/>
          <w:szCs w:val="18"/>
          <w:lang w:val="es-ES_tradnl"/>
        </w:rPr>
        <w:t>ó</w:t>
      </w:r>
      <w:r>
        <w:rPr>
          <w:spacing w:val="-8"/>
          <w:sz w:val="18"/>
          <w:szCs w:val="18"/>
          <w:lang w:val="es-ES_tradnl"/>
        </w:rPr>
        <w:t>n, que se traduce en la decisi</w:t>
      </w:r>
      <w:r>
        <w:rPr>
          <w:rFonts w:cs="Times New Roman"/>
          <w:spacing w:val="-8"/>
          <w:sz w:val="18"/>
          <w:szCs w:val="18"/>
          <w:lang w:val="es-ES_tradnl"/>
        </w:rPr>
        <w:t>ó</w:t>
      </w:r>
      <w:r>
        <w:rPr>
          <w:spacing w:val="-8"/>
          <w:sz w:val="18"/>
          <w:szCs w:val="18"/>
          <w:lang w:val="es-ES_tradnl"/>
        </w:rPr>
        <w:t>n final del proceso.</w:t>
      </w:r>
    </w:p>
    <w:p w14:paraId="4F67AE5B" w14:textId="77777777" w:rsidR="00591D54" w:rsidRDefault="00591D54">
      <w:pPr>
        <w:shd w:val="clear" w:color="auto" w:fill="FFFFFF"/>
        <w:spacing w:before="192" w:line="211" w:lineRule="exact"/>
        <w:jc w:val="both"/>
      </w:pPr>
      <w:r>
        <w:rPr>
          <w:spacing w:val="-6"/>
          <w:sz w:val="18"/>
          <w:szCs w:val="18"/>
          <w:lang w:val="es-ES_tradnl"/>
        </w:rPr>
        <w:t xml:space="preserve">Los juzgadores utilizan como premisa mayor las normas </w:t>
      </w:r>
      <w:r>
        <w:rPr>
          <w:spacing w:val="-9"/>
          <w:sz w:val="18"/>
          <w:szCs w:val="18"/>
          <w:lang w:val="es-ES_tradnl"/>
        </w:rPr>
        <w:t xml:space="preserve">contenidas </w:t>
      </w:r>
      <w:r>
        <w:rPr>
          <w:rFonts w:cs="Times New Roman"/>
          <w:spacing w:val="-9"/>
          <w:sz w:val="18"/>
          <w:szCs w:val="18"/>
          <w:lang w:val="es-ES_tradnl"/>
        </w:rPr>
        <w:t>“</w:t>
      </w:r>
      <w:r>
        <w:rPr>
          <w:spacing w:val="-9"/>
          <w:sz w:val="18"/>
          <w:szCs w:val="18"/>
          <w:lang w:val="es-ES_tradnl"/>
        </w:rPr>
        <w:t>en lo prescripto por el art</w:t>
      </w:r>
      <w:r>
        <w:rPr>
          <w:rFonts w:cs="Times New Roman"/>
          <w:spacing w:val="-9"/>
          <w:sz w:val="18"/>
          <w:szCs w:val="18"/>
          <w:lang w:val="es-ES_tradnl"/>
        </w:rPr>
        <w:t>í</w:t>
      </w:r>
      <w:r>
        <w:rPr>
          <w:spacing w:val="-9"/>
          <w:sz w:val="18"/>
          <w:szCs w:val="18"/>
          <w:lang w:val="es-ES_tradnl"/>
        </w:rPr>
        <w:t>culo 42, numerales 3 y 4, y el mismo art</w:t>
      </w:r>
      <w:r>
        <w:rPr>
          <w:rFonts w:cs="Times New Roman"/>
          <w:spacing w:val="-9"/>
          <w:sz w:val="18"/>
          <w:szCs w:val="18"/>
          <w:lang w:val="es-ES_tradnl"/>
        </w:rPr>
        <w:t>í</w:t>
      </w:r>
      <w:r>
        <w:rPr>
          <w:spacing w:val="-9"/>
          <w:sz w:val="18"/>
          <w:szCs w:val="18"/>
          <w:lang w:val="es-ES_tradnl"/>
        </w:rPr>
        <w:t>culo 42 inciso segundo de la Ley Org</w:t>
      </w:r>
      <w:r>
        <w:rPr>
          <w:rFonts w:cs="Times New Roman"/>
          <w:spacing w:val="-9"/>
          <w:sz w:val="18"/>
          <w:szCs w:val="18"/>
          <w:lang w:val="es-ES_tradnl"/>
        </w:rPr>
        <w:t>á</w:t>
      </w:r>
      <w:r>
        <w:rPr>
          <w:spacing w:val="-9"/>
          <w:sz w:val="18"/>
          <w:szCs w:val="18"/>
          <w:lang w:val="es-ES_tradnl"/>
        </w:rPr>
        <w:t xml:space="preserve">nica </w:t>
      </w:r>
      <w:r>
        <w:rPr>
          <w:spacing w:val="-5"/>
          <w:sz w:val="18"/>
          <w:szCs w:val="18"/>
          <w:lang w:val="es-ES_tradnl"/>
        </w:rPr>
        <w:t>de Garant</w:t>
      </w:r>
      <w:r>
        <w:rPr>
          <w:rFonts w:cs="Times New Roman"/>
          <w:spacing w:val="-5"/>
          <w:sz w:val="18"/>
          <w:szCs w:val="18"/>
          <w:lang w:val="es-ES_tradnl"/>
        </w:rPr>
        <w:t>í</w:t>
      </w:r>
      <w:r>
        <w:rPr>
          <w:spacing w:val="-5"/>
          <w:sz w:val="18"/>
          <w:szCs w:val="18"/>
          <w:lang w:val="es-ES_tradnl"/>
        </w:rPr>
        <w:t>as Jurisdiccionales y Control Constitucional</w:t>
      </w:r>
      <w:r>
        <w:rPr>
          <w:rFonts w:cs="Times New Roman"/>
          <w:spacing w:val="-5"/>
          <w:sz w:val="18"/>
          <w:szCs w:val="18"/>
          <w:lang w:val="es-ES_tradnl"/>
        </w:rPr>
        <w:t>”</w:t>
      </w:r>
      <w:r>
        <w:rPr>
          <w:spacing w:val="-5"/>
          <w:sz w:val="18"/>
          <w:szCs w:val="18"/>
          <w:lang w:val="es-ES_tradnl"/>
        </w:rPr>
        <w:t xml:space="preserve"> y </w:t>
      </w:r>
      <w:r>
        <w:rPr>
          <w:spacing w:val="-7"/>
          <w:sz w:val="18"/>
          <w:szCs w:val="18"/>
          <w:lang w:val="es-ES_tradnl"/>
        </w:rPr>
        <w:t>sin ajustar la misma a ninguna premisa menor, declaran la improcedencia por considerar que la v</w:t>
      </w:r>
      <w:r>
        <w:rPr>
          <w:rFonts w:cs="Times New Roman"/>
          <w:spacing w:val="-7"/>
          <w:sz w:val="18"/>
          <w:szCs w:val="18"/>
          <w:lang w:val="es-ES_tradnl"/>
        </w:rPr>
        <w:t>í</w:t>
      </w:r>
      <w:r>
        <w:rPr>
          <w:spacing w:val="-7"/>
          <w:sz w:val="18"/>
          <w:szCs w:val="18"/>
          <w:lang w:val="es-ES_tradnl"/>
        </w:rPr>
        <w:t>a ordinaria prev</w:t>
      </w:r>
      <w:r>
        <w:rPr>
          <w:rFonts w:cs="Times New Roman"/>
          <w:spacing w:val="-7"/>
          <w:sz w:val="18"/>
          <w:szCs w:val="18"/>
          <w:lang w:val="es-ES_tradnl"/>
        </w:rPr>
        <w:t>é</w:t>
      </w:r>
      <w:r>
        <w:rPr>
          <w:spacing w:val="-7"/>
          <w:sz w:val="18"/>
          <w:szCs w:val="18"/>
          <w:lang w:val="es-ES_tradnl"/>
        </w:rPr>
        <w:t xml:space="preserve"> la </w:t>
      </w:r>
      <w:r>
        <w:rPr>
          <w:sz w:val="18"/>
          <w:szCs w:val="18"/>
          <w:lang w:val="es-ES_tradnl"/>
        </w:rPr>
        <w:t>posibilidad de impugnar la resoluci</w:t>
      </w:r>
      <w:r>
        <w:rPr>
          <w:rFonts w:cs="Times New Roman"/>
          <w:sz w:val="18"/>
          <w:szCs w:val="18"/>
          <w:lang w:val="es-ES_tradnl"/>
        </w:rPr>
        <w:t>ó</w:t>
      </w:r>
      <w:r>
        <w:rPr>
          <w:sz w:val="18"/>
          <w:szCs w:val="18"/>
          <w:lang w:val="es-ES_tradnl"/>
        </w:rPr>
        <w:t>n.</w:t>
      </w:r>
    </w:p>
    <w:p w14:paraId="4F67AE5C" w14:textId="77777777" w:rsidR="00591D54" w:rsidRDefault="00591D54">
      <w:pPr>
        <w:shd w:val="clear" w:color="auto" w:fill="FFFFFF"/>
        <w:spacing w:before="187" w:line="211" w:lineRule="exact"/>
        <w:jc w:val="both"/>
      </w:pPr>
      <w:r>
        <w:rPr>
          <w:spacing w:val="-8"/>
          <w:sz w:val="18"/>
          <w:szCs w:val="18"/>
          <w:lang w:val="es-ES_tradnl"/>
        </w:rPr>
        <w:t xml:space="preserve">Al declarar la inadmisibilidad, en vez de entrar a conocer el </w:t>
      </w:r>
      <w:r>
        <w:rPr>
          <w:spacing w:val="-9"/>
          <w:sz w:val="18"/>
          <w:szCs w:val="18"/>
          <w:lang w:val="es-ES_tradnl"/>
        </w:rPr>
        <w:t>fondo de la acci</w:t>
      </w:r>
      <w:r>
        <w:rPr>
          <w:rFonts w:cs="Times New Roman"/>
          <w:spacing w:val="-9"/>
          <w:sz w:val="18"/>
          <w:szCs w:val="18"/>
          <w:lang w:val="es-ES_tradnl"/>
        </w:rPr>
        <w:t>ó</w:t>
      </w:r>
      <w:r>
        <w:rPr>
          <w:spacing w:val="-9"/>
          <w:sz w:val="18"/>
          <w:szCs w:val="18"/>
          <w:lang w:val="es-ES_tradnl"/>
        </w:rPr>
        <w:t>n, los juzgadores inobservan la disposici</w:t>
      </w:r>
      <w:r>
        <w:rPr>
          <w:rFonts w:cs="Times New Roman"/>
          <w:spacing w:val="-9"/>
          <w:sz w:val="18"/>
          <w:szCs w:val="18"/>
          <w:lang w:val="es-ES_tradnl"/>
        </w:rPr>
        <w:t>ó</w:t>
      </w:r>
      <w:r>
        <w:rPr>
          <w:spacing w:val="-9"/>
          <w:sz w:val="18"/>
          <w:szCs w:val="18"/>
          <w:lang w:val="es-ES_tradnl"/>
        </w:rPr>
        <w:t xml:space="preserve">n </w:t>
      </w:r>
      <w:r>
        <w:rPr>
          <w:spacing w:val="-4"/>
          <w:sz w:val="18"/>
          <w:szCs w:val="18"/>
          <w:lang w:val="es-ES_tradnl"/>
        </w:rPr>
        <w:t>constitucional contenida en el art</w:t>
      </w:r>
      <w:r>
        <w:rPr>
          <w:rFonts w:cs="Times New Roman"/>
          <w:spacing w:val="-4"/>
          <w:sz w:val="18"/>
          <w:szCs w:val="18"/>
          <w:lang w:val="es-ES_tradnl"/>
        </w:rPr>
        <w:t>í</w:t>
      </w:r>
      <w:r>
        <w:rPr>
          <w:spacing w:val="-4"/>
          <w:sz w:val="18"/>
          <w:szCs w:val="18"/>
          <w:lang w:val="es-ES_tradnl"/>
        </w:rPr>
        <w:t>culo 88, evadiendo as</w:t>
      </w:r>
      <w:r>
        <w:rPr>
          <w:rFonts w:cs="Times New Roman"/>
          <w:spacing w:val="-4"/>
          <w:sz w:val="18"/>
          <w:szCs w:val="18"/>
          <w:lang w:val="es-ES_tradnl"/>
        </w:rPr>
        <w:t xml:space="preserve">í </w:t>
      </w:r>
      <w:r>
        <w:rPr>
          <w:spacing w:val="-6"/>
          <w:sz w:val="18"/>
          <w:szCs w:val="18"/>
          <w:lang w:val="es-ES_tradnl"/>
        </w:rPr>
        <w:t>su obligaci</w:t>
      </w:r>
      <w:r>
        <w:rPr>
          <w:rFonts w:cs="Times New Roman"/>
          <w:spacing w:val="-6"/>
          <w:sz w:val="18"/>
          <w:szCs w:val="18"/>
          <w:lang w:val="es-ES_tradnl"/>
        </w:rPr>
        <w:t>ó</w:t>
      </w:r>
      <w:r>
        <w:rPr>
          <w:spacing w:val="-6"/>
          <w:sz w:val="18"/>
          <w:szCs w:val="18"/>
          <w:lang w:val="es-ES_tradnl"/>
        </w:rPr>
        <w:t>n de garantizar los derechos constitucionales de las partes y sobre todo, su obligaci</w:t>
      </w:r>
      <w:r>
        <w:rPr>
          <w:rFonts w:cs="Times New Roman"/>
          <w:spacing w:val="-6"/>
          <w:sz w:val="18"/>
          <w:szCs w:val="18"/>
          <w:lang w:val="es-ES_tradnl"/>
        </w:rPr>
        <w:t>ó</w:t>
      </w:r>
      <w:r>
        <w:rPr>
          <w:spacing w:val="-6"/>
          <w:sz w:val="18"/>
          <w:szCs w:val="18"/>
          <w:lang w:val="es-ES_tradnl"/>
        </w:rPr>
        <w:t xml:space="preserve">n de explicar con </w:t>
      </w:r>
      <w:r>
        <w:rPr>
          <w:spacing w:val="-10"/>
          <w:sz w:val="18"/>
          <w:szCs w:val="18"/>
          <w:lang w:val="es-ES_tradnl"/>
        </w:rPr>
        <w:t xml:space="preserve">claridad las razones por las cuales consideran que se trata o no, de un tema de relevancia constitucional; esto se traduce, </w:t>
      </w:r>
      <w:r>
        <w:rPr>
          <w:spacing w:val="-9"/>
          <w:sz w:val="18"/>
          <w:szCs w:val="18"/>
          <w:lang w:val="es-ES_tradnl"/>
        </w:rPr>
        <w:t xml:space="preserve">en la carencia de concordancia entre las premisas mayores </w:t>
      </w:r>
      <w:r>
        <w:rPr>
          <w:spacing w:val="-5"/>
          <w:sz w:val="18"/>
          <w:szCs w:val="18"/>
          <w:lang w:val="es-ES_tradnl"/>
        </w:rPr>
        <w:t xml:space="preserve">y las premisas menores que utiliza, lo cual, atenta contra </w:t>
      </w:r>
      <w:r>
        <w:rPr>
          <w:spacing w:val="-6"/>
          <w:sz w:val="18"/>
          <w:szCs w:val="18"/>
          <w:lang w:val="es-ES_tradnl"/>
        </w:rPr>
        <w:t>la l</w:t>
      </w:r>
      <w:r>
        <w:rPr>
          <w:rFonts w:cs="Times New Roman"/>
          <w:spacing w:val="-6"/>
          <w:sz w:val="18"/>
          <w:szCs w:val="18"/>
          <w:lang w:val="es-ES_tradnl"/>
        </w:rPr>
        <w:t>ó</w:t>
      </w:r>
      <w:r>
        <w:rPr>
          <w:spacing w:val="-6"/>
          <w:sz w:val="18"/>
          <w:szCs w:val="18"/>
          <w:lang w:val="es-ES_tradnl"/>
        </w:rPr>
        <w:t>gica de la decisi</w:t>
      </w:r>
      <w:r>
        <w:rPr>
          <w:rFonts w:cs="Times New Roman"/>
          <w:spacing w:val="-6"/>
          <w:sz w:val="18"/>
          <w:szCs w:val="18"/>
          <w:lang w:val="es-ES_tradnl"/>
        </w:rPr>
        <w:t>ó</w:t>
      </w:r>
      <w:r>
        <w:rPr>
          <w:spacing w:val="-6"/>
          <w:sz w:val="18"/>
          <w:szCs w:val="18"/>
          <w:lang w:val="es-ES_tradnl"/>
        </w:rPr>
        <w:t xml:space="preserve">n, lo que impide que la sentencia </w:t>
      </w:r>
      <w:r>
        <w:rPr>
          <w:spacing w:val="-8"/>
          <w:sz w:val="18"/>
          <w:szCs w:val="18"/>
          <w:lang w:val="es-ES_tradnl"/>
        </w:rPr>
        <w:t xml:space="preserve">impugnada se encuentre debidamente motivada pues, las premisas que utilizan y la manera en la que las aplican, les </w:t>
      </w:r>
      <w:r>
        <w:rPr>
          <w:spacing w:val="-7"/>
          <w:sz w:val="18"/>
          <w:szCs w:val="18"/>
          <w:lang w:val="es-ES_tradnl"/>
        </w:rPr>
        <w:t>llevan a tomar una decisi</w:t>
      </w:r>
      <w:r>
        <w:rPr>
          <w:rFonts w:cs="Times New Roman"/>
          <w:spacing w:val="-7"/>
          <w:sz w:val="18"/>
          <w:szCs w:val="18"/>
          <w:lang w:val="es-ES_tradnl"/>
        </w:rPr>
        <w:t>ó</w:t>
      </w:r>
      <w:r>
        <w:rPr>
          <w:spacing w:val="-7"/>
          <w:sz w:val="18"/>
          <w:szCs w:val="18"/>
          <w:lang w:val="es-ES_tradnl"/>
        </w:rPr>
        <w:t>n en franca contradicci</w:t>
      </w:r>
      <w:r>
        <w:rPr>
          <w:rFonts w:cs="Times New Roman"/>
          <w:spacing w:val="-7"/>
          <w:sz w:val="18"/>
          <w:szCs w:val="18"/>
          <w:lang w:val="es-ES_tradnl"/>
        </w:rPr>
        <w:t>ó</w:t>
      </w:r>
      <w:r>
        <w:rPr>
          <w:spacing w:val="-7"/>
          <w:sz w:val="18"/>
          <w:szCs w:val="18"/>
          <w:lang w:val="es-ES_tradnl"/>
        </w:rPr>
        <w:t xml:space="preserve">n con la </w:t>
      </w:r>
      <w:r>
        <w:rPr>
          <w:spacing w:val="-6"/>
          <w:sz w:val="18"/>
          <w:szCs w:val="18"/>
          <w:lang w:val="es-ES_tradnl"/>
        </w:rPr>
        <w:t>norma constitucional por lo cual, no supera el an</w:t>
      </w:r>
      <w:r>
        <w:rPr>
          <w:rFonts w:cs="Times New Roman"/>
          <w:spacing w:val="-6"/>
          <w:sz w:val="18"/>
          <w:szCs w:val="18"/>
          <w:lang w:val="es-ES_tradnl"/>
        </w:rPr>
        <w:t>á</w:t>
      </w:r>
      <w:r>
        <w:rPr>
          <w:spacing w:val="-6"/>
          <w:sz w:val="18"/>
          <w:szCs w:val="18"/>
          <w:lang w:val="es-ES_tradnl"/>
        </w:rPr>
        <w:t xml:space="preserve">lisis del </w:t>
      </w:r>
      <w:r>
        <w:rPr>
          <w:sz w:val="18"/>
          <w:szCs w:val="18"/>
          <w:lang w:val="es-ES_tradnl"/>
        </w:rPr>
        <w:t>par</w:t>
      </w:r>
      <w:r>
        <w:rPr>
          <w:rFonts w:cs="Times New Roman"/>
          <w:sz w:val="18"/>
          <w:szCs w:val="18"/>
          <w:lang w:val="es-ES_tradnl"/>
        </w:rPr>
        <w:t>á</w:t>
      </w:r>
      <w:r>
        <w:rPr>
          <w:sz w:val="18"/>
          <w:szCs w:val="18"/>
          <w:lang w:val="es-ES_tradnl"/>
        </w:rPr>
        <w:t>metro de la l</w:t>
      </w:r>
      <w:r>
        <w:rPr>
          <w:rFonts w:cs="Times New Roman"/>
          <w:sz w:val="18"/>
          <w:szCs w:val="18"/>
          <w:lang w:val="es-ES_tradnl"/>
        </w:rPr>
        <w:t>ó</w:t>
      </w:r>
      <w:r>
        <w:rPr>
          <w:sz w:val="18"/>
          <w:szCs w:val="18"/>
          <w:lang w:val="es-ES_tradnl"/>
        </w:rPr>
        <w:t>gica.</w:t>
      </w:r>
    </w:p>
    <w:p w14:paraId="4F67AE5D" w14:textId="77777777" w:rsidR="00591D54" w:rsidRDefault="00591D54">
      <w:pPr>
        <w:shd w:val="clear" w:color="auto" w:fill="FFFFFF"/>
        <w:spacing w:before="187" w:line="211" w:lineRule="exact"/>
        <w:jc w:val="both"/>
        <w:sectPr w:rsidR="00591D54">
          <w:type w:val="continuous"/>
          <w:pgSz w:w="11909" w:h="16834"/>
          <w:pgMar w:top="1371" w:right="1309" w:bottom="360" w:left="1308" w:header="720" w:footer="720" w:gutter="0"/>
          <w:cols w:num="2" w:space="720" w:equalWidth="0">
            <w:col w:w="4305" w:space="682"/>
            <w:col w:w="4305"/>
          </w:cols>
          <w:noEndnote/>
        </w:sectPr>
      </w:pPr>
    </w:p>
    <w:p w14:paraId="4F67AE5E" w14:textId="77777777" w:rsidR="00591D54" w:rsidRDefault="00591D54">
      <w:pPr>
        <w:shd w:val="clear" w:color="auto" w:fill="FFFFFF"/>
        <w:tabs>
          <w:tab w:val="left" w:pos="5842"/>
        </w:tabs>
        <w:spacing w:after="226"/>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- 133</w:t>
      </w:r>
    </w:p>
    <w:p w14:paraId="4F67AE5F" w14:textId="77777777" w:rsidR="00591D54" w:rsidRDefault="00591D54">
      <w:pPr>
        <w:shd w:val="clear" w:color="auto" w:fill="FFFFFF"/>
        <w:tabs>
          <w:tab w:val="left" w:pos="5842"/>
        </w:tabs>
        <w:spacing w:after="226"/>
        <w:ind w:left="5"/>
        <w:sectPr w:rsidR="00591D54">
          <w:pgSz w:w="11909" w:h="16834"/>
          <w:pgMar w:top="1356" w:right="1309" w:bottom="360" w:left="1308" w:header="720" w:footer="720" w:gutter="0"/>
          <w:cols w:space="60"/>
          <w:noEndnote/>
        </w:sectPr>
      </w:pPr>
    </w:p>
    <w:p w14:paraId="4F67AE60" w14:textId="77777777" w:rsidR="00591D54" w:rsidRDefault="00591D54">
      <w:pPr>
        <w:shd w:val="clear" w:color="auto" w:fill="FFFFFF"/>
      </w:pPr>
      <w:r>
        <w:rPr>
          <w:b/>
          <w:bCs/>
          <w:spacing w:val="-9"/>
          <w:sz w:val="18"/>
          <w:szCs w:val="18"/>
          <w:lang w:val="es-ES_tradnl"/>
        </w:rPr>
        <w:t>An</w:t>
      </w:r>
      <w:r>
        <w:rPr>
          <w:rFonts w:cs="Times New Roman"/>
          <w:b/>
          <w:bCs/>
          <w:spacing w:val="-9"/>
          <w:sz w:val="18"/>
          <w:szCs w:val="18"/>
          <w:lang w:val="es-ES_tradnl"/>
        </w:rPr>
        <w:t>á</w:t>
      </w:r>
      <w:r>
        <w:rPr>
          <w:b/>
          <w:bCs/>
          <w:spacing w:val="-9"/>
          <w:sz w:val="18"/>
          <w:szCs w:val="18"/>
          <w:lang w:val="es-ES_tradnl"/>
        </w:rPr>
        <w:t>lisis de comprensibilidad</w:t>
      </w:r>
    </w:p>
    <w:p w14:paraId="4F67AE61" w14:textId="77777777" w:rsidR="00591D54" w:rsidRDefault="00591D54">
      <w:pPr>
        <w:shd w:val="clear" w:color="auto" w:fill="FFFFFF"/>
        <w:spacing w:before="197" w:line="216" w:lineRule="exact"/>
        <w:ind w:right="5"/>
        <w:jc w:val="both"/>
      </w:pPr>
      <w:r>
        <w:rPr>
          <w:spacing w:val="-9"/>
          <w:sz w:val="18"/>
          <w:szCs w:val="18"/>
          <w:lang w:val="es-ES_tradnl"/>
        </w:rPr>
        <w:t xml:space="preserve">Finalmente, es necesario analizar el elemento que refiere a </w:t>
      </w:r>
      <w:r>
        <w:rPr>
          <w:spacing w:val="-8"/>
          <w:sz w:val="18"/>
          <w:szCs w:val="18"/>
          <w:lang w:val="es-ES_tradnl"/>
        </w:rPr>
        <w:t xml:space="preserve">la comprensibilidad, que consiste en el uso de un lenguaje </w:t>
      </w:r>
      <w:r>
        <w:rPr>
          <w:spacing w:val="-6"/>
          <w:sz w:val="18"/>
          <w:szCs w:val="18"/>
          <w:lang w:val="es-ES_tradnl"/>
        </w:rPr>
        <w:t xml:space="preserve">claro y pertinente, que permita una completa y correcta </w:t>
      </w:r>
      <w:r>
        <w:rPr>
          <w:spacing w:val="-8"/>
          <w:sz w:val="18"/>
          <w:szCs w:val="18"/>
          <w:lang w:val="es-ES_tradnl"/>
        </w:rPr>
        <w:t>comprensi</w:t>
      </w:r>
      <w:r>
        <w:rPr>
          <w:rFonts w:cs="Times New Roman"/>
          <w:spacing w:val="-8"/>
          <w:sz w:val="18"/>
          <w:szCs w:val="18"/>
          <w:lang w:val="es-ES_tradnl"/>
        </w:rPr>
        <w:t>ó</w:t>
      </w:r>
      <w:r>
        <w:rPr>
          <w:spacing w:val="-8"/>
          <w:sz w:val="18"/>
          <w:szCs w:val="18"/>
          <w:lang w:val="es-ES_tradnl"/>
        </w:rPr>
        <w:t>n de las ideas contenidas en la resoluci</w:t>
      </w:r>
      <w:r>
        <w:rPr>
          <w:rFonts w:cs="Times New Roman"/>
          <w:spacing w:val="-8"/>
          <w:sz w:val="18"/>
          <w:szCs w:val="18"/>
          <w:lang w:val="es-ES_tradnl"/>
        </w:rPr>
        <w:t>ó</w:t>
      </w:r>
      <w:r>
        <w:rPr>
          <w:spacing w:val="-8"/>
          <w:sz w:val="18"/>
          <w:szCs w:val="18"/>
          <w:lang w:val="es-ES_tradnl"/>
        </w:rPr>
        <w:t>n.</w:t>
      </w:r>
    </w:p>
    <w:p w14:paraId="4F67AE62" w14:textId="77777777" w:rsidR="00591D54" w:rsidRDefault="00591D54">
      <w:pPr>
        <w:shd w:val="clear" w:color="auto" w:fill="FFFFFF"/>
        <w:spacing w:before="197" w:line="216" w:lineRule="exact"/>
        <w:ind w:right="5"/>
        <w:jc w:val="both"/>
      </w:pPr>
      <w:r>
        <w:rPr>
          <w:spacing w:val="-4"/>
          <w:sz w:val="18"/>
          <w:szCs w:val="18"/>
          <w:lang w:val="es-ES_tradnl"/>
        </w:rPr>
        <w:t xml:space="preserve">Del estudio de la sentencia impugnada se observa que </w:t>
      </w:r>
      <w:r>
        <w:rPr>
          <w:spacing w:val="-6"/>
          <w:sz w:val="18"/>
          <w:szCs w:val="18"/>
          <w:lang w:val="es-ES_tradnl"/>
        </w:rPr>
        <w:t xml:space="preserve">los juzgadores pese a que utilizan un lenguaje claro, no explican las razones que los llevan a considerar que no </w:t>
      </w:r>
      <w:r>
        <w:rPr>
          <w:spacing w:val="-7"/>
          <w:sz w:val="18"/>
          <w:szCs w:val="18"/>
          <w:lang w:val="es-ES_tradnl"/>
        </w:rPr>
        <w:t>existe una vulneraci</w:t>
      </w:r>
      <w:r>
        <w:rPr>
          <w:rFonts w:cs="Times New Roman"/>
          <w:spacing w:val="-7"/>
          <w:sz w:val="18"/>
          <w:szCs w:val="18"/>
          <w:lang w:val="es-ES_tradnl"/>
        </w:rPr>
        <w:t>ó</w:t>
      </w:r>
      <w:r>
        <w:rPr>
          <w:spacing w:val="-7"/>
          <w:sz w:val="18"/>
          <w:szCs w:val="18"/>
          <w:lang w:val="es-ES_tradnl"/>
        </w:rPr>
        <w:t xml:space="preserve">n de derechos constitucionales. Al no </w:t>
      </w:r>
      <w:r>
        <w:rPr>
          <w:spacing w:val="-6"/>
          <w:sz w:val="18"/>
          <w:szCs w:val="18"/>
          <w:lang w:val="es-ES_tradnl"/>
        </w:rPr>
        <w:t xml:space="preserve">explicar con claridad las razones que los llevaron a tomar </w:t>
      </w:r>
      <w:r>
        <w:rPr>
          <w:spacing w:val="-9"/>
          <w:sz w:val="18"/>
          <w:szCs w:val="18"/>
          <w:lang w:val="es-ES_tradnl"/>
        </w:rPr>
        <w:t>su decisi</w:t>
      </w:r>
      <w:r>
        <w:rPr>
          <w:rFonts w:cs="Times New Roman"/>
          <w:spacing w:val="-9"/>
          <w:sz w:val="18"/>
          <w:szCs w:val="18"/>
          <w:lang w:val="es-ES_tradnl"/>
        </w:rPr>
        <w:t>ó</w:t>
      </w:r>
      <w:r>
        <w:rPr>
          <w:spacing w:val="-9"/>
          <w:sz w:val="18"/>
          <w:szCs w:val="18"/>
          <w:lang w:val="es-ES_tradnl"/>
        </w:rPr>
        <w:t xml:space="preserve">n, la misma deviene en incompleta, lo cual impide </w:t>
      </w:r>
      <w:r>
        <w:rPr>
          <w:sz w:val="18"/>
          <w:szCs w:val="18"/>
          <w:lang w:val="es-ES_tradnl"/>
        </w:rPr>
        <w:t>una adecuada comprensi</w:t>
      </w:r>
      <w:r>
        <w:rPr>
          <w:rFonts w:cs="Times New Roman"/>
          <w:sz w:val="18"/>
          <w:szCs w:val="18"/>
          <w:lang w:val="es-ES_tradnl"/>
        </w:rPr>
        <w:t>ó</w:t>
      </w:r>
      <w:r>
        <w:rPr>
          <w:sz w:val="18"/>
          <w:szCs w:val="18"/>
          <w:lang w:val="es-ES_tradnl"/>
        </w:rPr>
        <w:t>n.</w:t>
      </w:r>
    </w:p>
    <w:p w14:paraId="4F67AE63" w14:textId="77777777" w:rsidR="00591D54" w:rsidRDefault="00591D54">
      <w:pPr>
        <w:shd w:val="clear" w:color="auto" w:fill="FFFFFF"/>
        <w:spacing w:before="197" w:line="216" w:lineRule="exact"/>
        <w:ind w:right="5"/>
        <w:jc w:val="both"/>
      </w:pPr>
      <w:r>
        <w:rPr>
          <w:spacing w:val="-9"/>
          <w:sz w:val="18"/>
          <w:szCs w:val="18"/>
          <w:lang w:val="es-ES_tradnl"/>
        </w:rPr>
        <w:t xml:space="preserve">Al no encontrarse debidamente explicadas las razones que </w:t>
      </w:r>
      <w:r>
        <w:rPr>
          <w:spacing w:val="-4"/>
          <w:sz w:val="18"/>
          <w:szCs w:val="18"/>
          <w:lang w:val="es-ES_tradnl"/>
        </w:rPr>
        <w:t>orientan su decisi</w:t>
      </w:r>
      <w:r>
        <w:rPr>
          <w:rFonts w:cs="Times New Roman"/>
          <w:spacing w:val="-4"/>
          <w:sz w:val="18"/>
          <w:szCs w:val="18"/>
          <w:lang w:val="es-ES_tradnl"/>
        </w:rPr>
        <w:t>ó</w:t>
      </w:r>
      <w:r>
        <w:rPr>
          <w:spacing w:val="-4"/>
          <w:sz w:val="18"/>
          <w:szCs w:val="18"/>
          <w:lang w:val="es-ES_tradnl"/>
        </w:rPr>
        <w:t xml:space="preserve">n judicial, se torna confusa, imprecisa </w:t>
      </w:r>
      <w:r>
        <w:rPr>
          <w:spacing w:val="-7"/>
          <w:sz w:val="18"/>
          <w:szCs w:val="18"/>
          <w:lang w:val="es-ES_tradnl"/>
        </w:rPr>
        <w:t xml:space="preserve">y vaga, lo que la convierte en una sentencia de dificultoso </w:t>
      </w:r>
      <w:r>
        <w:rPr>
          <w:sz w:val="18"/>
          <w:szCs w:val="18"/>
          <w:lang w:val="es-ES_tradnl"/>
        </w:rPr>
        <w:t>entendimiento.</w:t>
      </w:r>
    </w:p>
    <w:p w14:paraId="4F67AE64" w14:textId="77777777" w:rsidR="00591D54" w:rsidRDefault="00591D54">
      <w:pPr>
        <w:shd w:val="clear" w:color="auto" w:fill="FFFFFF"/>
        <w:spacing w:before="197" w:line="216" w:lineRule="exact"/>
        <w:jc w:val="both"/>
      </w:pPr>
      <w:r>
        <w:rPr>
          <w:spacing w:val="-4"/>
          <w:sz w:val="18"/>
          <w:szCs w:val="18"/>
          <w:lang w:val="es-ES_tradnl"/>
        </w:rPr>
        <w:t>En s</w:t>
      </w:r>
      <w:r>
        <w:rPr>
          <w:rFonts w:cs="Times New Roman"/>
          <w:spacing w:val="-4"/>
          <w:sz w:val="18"/>
          <w:szCs w:val="18"/>
          <w:lang w:val="es-ES_tradnl"/>
        </w:rPr>
        <w:t>í</w:t>
      </w:r>
      <w:r>
        <w:rPr>
          <w:spacing w:val="-4"/>
          <w:sz w:val="18"/>
          <w:szCs w:val="18"/>
          <w:lang w:val="es-ES_tradnl"/>
        </w:rPr>
        <w:t xml:space="preserve">ntesis, se observa que la sentencia no da razones </w:t>
      </w:r>
      <w:r>
        <w:rPr>
          <w:spacing w:val="-8"/>
          <w:sz w:val="18"/>
          <w:szCs w:val="18"/>
          <w:lang w:val="es-ES_tradnl"/>
        </w:rPr>
        <w:t>suficientes que le permitan al lector entender la motivaci</w:t>
      </w:r>
      <w:r>
        <w:rPr>
          <w:rFonts w:cs="Times New Roman"/>
          <w:spacing w:val="-8"/>
          <w:sz w:val="18"/>
          <w:szCs w:val="18"/>
          <w:lang w:val="es-ES_tradnl"/>
        </w:rPr>
        <w:t>ó</w:t>
      </w:r>
      <w:r>
        <w:rPr>
          <w:spacing w:val="-8"/>
          <w:sz w:val="18"/>
          <w:szCs w:val="18"/>
          <w:lang w:val="es-ES_tradnl"/>
        </w:rPr>
        <w:t xml:space="preserve">n </w:t>
      </w:r>
      <w:r>
        <w:rPr>
          <w:spacing w:val="-3"/>
          <w:sz w:val="18"/>
          <w:szCs w:val="18"/>
          <w:lang w:val="es-ES_tradnl"/>
        </w:rPr>
        <w:t>que tuvieron los juzgadores para tomar la decisi</w:t>
      </w:r>
      <w:r>
        <w:rPr>
          <w:rFonts w:cs="Times New Roman"/>
          <w:spacing w:val="-3"/>
          <w:sz w:val="18"/>
          <w:szCs w:val="18"/>
          <w:lang w:val="es-ES_tradnl"/>
        </w:rPr>
        <w:t>ó</w:t>
      </w:r>
      <w:r>
        <w:rPr>
          <w:spacing w:val="-3"/>
          <w:sz w:val="18"/>
          <w:szCs w:val="18"/>
          <w:lang w:val="es-ES_tradnl"/>
        </w:rPr>
        <w:t xml:space="preserve">n </w:t>
      </w:r>
      <w:r>
        <w:rPr>
          <w:spacing w:val="-4"/>
          <w:sz w:val="18"/>
          <w:szCs w:val="18"/>
          <w:lang w:val="es-ES_tradnl"/>
        </w:rPr>
        <w:t xml:space="preserve">impugnada, lo que impide una completa y correcta </w:t>
      </w:r>
      <w:r>
        <w:rPr>
          <w:spacing w:val="-9"/>
          <w:sz w:val="18"/>
          <w:szCs w:val="18"/>
          <w:lang w:val="es-ES_tradnl"/>
        </w:rPr>
        <w:t>comprensi</w:t>
      </w:r>
      <w:r>
        <w:rPr>
          <w:rFonts w:cs="Times New Roman"/>
          <w:spacing w:val="-9"/>
          <w:sz w:val="18"/>
          <w:szCs w:val="18"/>
          <w:lang w:val="es-ES_tradnl"/>
        </w:rPr>
        <w:t>ó</w:t>
      </w:r>
      <w:r>
        <w:rPr>
          <w:spacing w:val="-9"/>
          <w:sz w:val="18"/>
          <w:szCs w:val="18"/>
          <w:lang w:val="es-ES_tradnl"/>
        </w:rPr>
        <w:t>n de las ideas contenidas en la resoluci</w:t>
      </w:r>
      <w:r>
        <w:rPr>
          <w:rFonts w:cs="Times New Roman"/>
          <w:spacing w:val="-9"/>
          <w:sz w:val="18"/>
          <w:szCs w:val="18"/>
          <w:lang w:val="es-ES_tradnl"/>
        </w:rPr>
        <w:t>ó</w:t>
      </w:r>
      <w:r>
        <w:rPr>
          <w:spacing w:val="-9"/>
          <w:sz w:val="18"/>
          <w:szCs w:val="18"/>
          <w:lang w:val="es-ES_tradnl"/>
        </w:rPr>
        <w:t xml:space="preserve">n por lo </w:t>
      </w:r>
      <w:r>
        <w:rPr>
          <w:spacing w:val="-7"/>
          <w:sz w:val="18"/>
          <w:szCs w:val="18"/>
          <w:lang w:val="es-ES_tradnl"/>
        </w:rPr>
        <w:t>que no cumple con el par</w:t>
      </w:r>
      <w:r>
        <w:rPr>
          <w:rFonts w:cs="Times New Roman"/>
          <w:spacing w:val="-7"/>
          <w:sz w:val="18"/>
          <w:szCs w:val="18"/>
          <w:lang w:val="es-ES_tradnl"/>
        </w:rPr>
        <w:t>á</w:t>
      </w:r>
      <w:r>
        <w:rPr>
          <w:spacing w:val="-7"/>
          <w:sz w:val="18"/>
          <w:szCs w:val="18"/>
          <w:lang w:val="es-ES_tradnl"/>
        </w:rPr>
        <w:t>metro de comprensibilidad.</w:t>
      </w:r>
    </w:p>
    <w:p w14:paraId="4F67AE65" w14:textId="77777777" w:rsidR="00591D54" w:rsidRDefault="00591D54">
      <w:pPr>
        <w:shd w:val="clear" w:color="auto" w:fill="FFFFFF"/>
        <w:spacing w:before="197" w:line="216" w:lineRule="exact"/>
        <w:ind w:right="5"/>
        <w:jc w:val="both"/>
      </w:pPr>
      <w:r>
        <w:rPr>
          <w:spacing w:val="-8"/>
          <w:sz w:val="18"/>
          <w:szCs w:val="18"/>
          <w:lang w:val="es-ES_tradnl"/>
        </w:rPr>
        <w:t xml:space="preserve">Al haberse comprobado que la sentencia impugnada no </w:t>
      </w:r>
      <w:r>
        <w:rPr>
          <w:spacing w:val="-7"/>
          <w:sz w:val="18"/>
          <w:szCs w:val="18"/>
          <w:lang w:val="es-ES_tradnl"/>
        </w:rPr>
        <w:t>supera los par</w:t>
      </w:r>
      <w:r>
        <w:rPr>
          <w:rFonts w:cs="Times New Roman"/>
          <w:spacing w:val="-7"/>
          <w:sz w:val="18"/>
          <w:szCs w:val="18"/>
          <w:lang w:val="es-ES_tradnl"/>
        </w:rPr>
        <w:t>á</w:t>
      </w:r>
      <w:r>
        <w:rPr>
          <w:spacing w:val="-7"/>
          <w:sz w:val="18"/>
          <w:szCs w:val="18"/>
          <w:lang w:val="es-ES_tradnl"/>
        </w:rPr>
        <w:t>metros de razonabilidad, de l</w:t>
      </w:r>
      <w:r>
        <w:rPr>
          <w:rFonts w:cs="Times New Roman"/>
          <w:spacing w:val="-7"/>
          <w:sz w:val="18"/>
          <w:szCs w:val="18"/>
          <w:lang w:val="es-ES_tradnl"/>
        </w:rPr>
        <w:t>ó</w:t>
      </w:r>
      <w:r>
        <w:rPr>
          <w:spacing w:val="-7"/>
          <w:sz w:val="18"/>
          <w:szCs w:val="18"/>
          <w:lang w:val="es-ES_tradnl"/>
        </w:rPr>
        <w:t xml:space="preserve">gica y de </w:t>
      </w:r>
      <w:r>
        <w:rPr>
          <w:spacing w:val="-8"/>
          <w:sz w:val="18"/>
          <w:szCs w:val="18"/>
          <w:lang w:val="es-ES_tradnl"/>
        </w:rPr>
        <w:t xml:space="preserve">compresibilidad, esta Corte declara que la sentencia no se encuentra motivada, por lo que ha vulnerado el derecho al </w:t>
      </w:r>
      <w:r>
        <w:rPr>
          <w:sz w:val="18"/>
          <w:szCs w:val="18"/>
          <w:lang w:val="es-ES_tradnl"/>
        </w:rPr>
        <w:t>debido proceso.</w:t>
      </w:r>
    </w:p>
    <w:p w14:paraId="4F67AE66" w14:textId="77777777" w:rsidR="00591D54" w:rsidRDefault="00591D54">
      <w:pPr>
        <w:shd w:val="clear" w:color="auto" w:fill="FFFFFF"/>
        <w:spacing w:before="192"/>
      </w:pPr>
      <w:r>
        <w:rPr>
          <w:b/>
          <w:bCs/>
          <w:spacing w:val="-9"/>
          <w:sz w:val="18"/>
          <w:szCs w:val="18"/>
          <w:lang w:val="es-ES_tradnl"/>
        </w:rPr>
        <w:t>Otras consideraciones de la Corte</w:t>
      </w:r>
    </w:p>
    <w:p w14:paraId="4F67AE67" w14:textId="77777777" w:rsidR="00591D54" w:rsidRDefault="00591D54">
      <w:pPr>
        <w:shd w:val="clear" w:color="auto" w:fill="FFFFFF"/>
        <w:spacing w:before="192" w:line="216" w:lineRule="exact"/>
        <w:ind w:right="5"/>
        <w:jc w:val="both"/>
      </w:pPr>
      <w:r>
        <w:rPr>
          <w:spacing w:val="-9"/>
          <w:sz w:val="18"/>
          <w:szCs w:val="18"/>
          <w:lang w:val="es-ES_tradnl"/>
        </w:rPr>
        <w:t xml:space="preserve">En el informe motivado solicitado a la Sala Multicompetente </w:t>
      </w:r>
      <w:r>
        <w:rPr>
          <w:spacing w:val="-7"/>
          <w:sz w:val="18"/>
          <w:szCs w:val="18"/>
          <w:lang w:val="es-ES_tradnl"/>
        </w:rPr>
        <w:t xml:space="preserve">de la Corte Provincial de Justicia de Imbabura, los jueces </w:t>
      </w:r>
      <w:r>
        <w:rPr>
          <w:spacing w:val="-9"/>
          <w:sz w:val="18"/>
          <w:szCs w:val="18"/>
          <w:lang w:val="es-ES_tradnl"/>
        </w:rPr>
        <w:t>manifiestan que la decisi</w:t>
      </w:r>
      <w:r>
        <w:rPr>
          <w:rFonts w:cs="Times New Roman"/>
          <w:spacing w:val="-9"/>
          <w:sz w:val="18"/>
          <w:szCs w:val="18"/>
          <w:lang w:val="es-ES_tradnl"/>
        </w:rPr>
        <w:t>ó</w:t>
      </w:r>
      <w:r>
        <w:rPr>
          <w:spacing w:val="-9"/>
          <w:sz w:val="18"/>
          <w:szCs w:val="18"/>
          <w:lang w:val="es-ES_tradnl"/>
        </w:rPr>
        <w:t xml:space="preserve">n impugnada fue tomada porque </w:t>
      </w:r>
      <w:r>
        <w:rPr>
          <w:spacing w:val="-7"/>
          <w:sz w:val="18"/>
          <w:szCs w:val="18"/>
          <w:lang w:val="es-ES_tradnl"/>
        </w:rPr>
        <w:t>el Tribunal de la Sala consider</w:t>
      </w:r>
      <w:r>
        <w:rPr>
          <w:rFonts w:cs="Times New Roman"/>
          <w:spacing w:val="-7"/>
          <w:sz w:val="18"/>
          <w:szCs w:val="18"/>
          <w:lang w:val="es-ES_tradnl"/>
        </w:rPr>
        <w:t>ó</w:t>
      </w:r>
      <w:r>
        <w:rPr>
          <w:spacing w:val="-7"/>
          <w:sz w:val="18"/>
          <w:szCs w:val="18"/>
          <w:lang w:val="es-ES_tradnl"/>
        </w:rPr>
        <w:t xml:space="preserve"> y ha considerado en otros </w:t>
      </w:r>
      <w:r>
        <w:rPr>
          <w:spacing w:val="-6"/>
          <w:sz w:val="18"/>
          <w:szCs w:val="18"/>
          <w:lang w:val="es-ES_tradnl"/>
        </w:rPr>
        <w:t>casos igualmente que la inadmisibilidad de la acci</w:t>
      </w:r>
      <w:r>
        <w:rPr>
          <w:rFonts w:cs="Times New Roman"/>
          <w:spacing w:val="-6"/>
          <w:sz w:val="18"/>
          <w:szCs w:val="18"/>
          <w:lang w:val="es-ES_tradnl"/>
        </w:rPr>
        <w:t>ó</w:t>
      </w:r>
      <w:r>
        <w:rPr>
          <w:spacing w:val="-6"/>
          <w:sz w:val="18"/>
          <w:szCs w:val="18"/>
          <w:lang w:val="es-ES_tradnl"/>
        </w:rPr>
        <w:t>n de protecci</w:t>
      </w:r>
      <w:r>
        <w:rPr>
          <w:rFonts w:cs="Times New Roman"/>
          <w:spacing w:val="-6"/>
          <w:sz w:val="18"/>
          <w:szCs w:val="18"/>
          <w:lang w:val="es-ES_tradnl"/>
        </w:rPr>
        <w:t>ó</w:t>
      </w:r>
      <w:r>
        <w:rPr>
          <w:spacing w:val="-6"/>
          <w:sz w:val="18"/>
          <w:szCs w:val="18"/>
          <w:lang w:val="es-ES_tradnl"/>
        </w:rPr>
        <w:t>n por las causales de improcedencia del art</w:t>
      </w:r>
      <w:r>
        <w:rPr>
          <w:rFonts w:cs="Times New Roman"/>
          <w:spacing w:val="-6"/>
          <w:sz w:val="18"/>
          <w:szCs w:val="18"/>
          <w:lang w:val="es-ES_tradnl"/>
        </w:rPr>
        <w:t>í</w:t>
      </w:r>
      <w:r>
        <w:rPr>
          <w:spacing w:val="-6"/>
          <w:sz w:val="18"/>
          <w:szCs w:val="18"/>
          <w:lang w:val="es-ES_tradnl"/>
        </w:rPr>
        <w:t>culo 42 deb</w:t>
      </w:r>
      <w:r>
        <w:rPr>
          <w:rFonts w:cs="Times New Roman"/>
          <w:spacing w:val="-6"/>
          <w:sz w:val="18"/>
          <w:szCs w:val="18"/>
          <w:lang w:val="es-ES_tradnl"/>
        </w:rPr>
        <w:t>í</w:t>
      </w:r>
      <w:r>
        <w:rPr>
          <w:spacing w:val="-6"/>
          <w:sz w:val="18"/>
          <w:szCs w:val="18"/>
          <w:lang w:val="es-ES_tradnl"/>
        </w:rPr>
        <w:t>a declar</w:t>
      </w:r>
      <w:r>
        <w:rPr>
          <w:rFonts w:cs="Times New Roman"/>
          <w:spacing w:val="-6"/>
          <w:sz w:val="18"/>
          <w:szCs w:val="18"/>
          <w:lang w:val="es-ES_tradnl"/>
        </w:rPr>
        <w:t>á</w:t>
      </w:r>
      <w:r>
        <w:rPr>
          <w:spacing w:val="-6"/>
          <w:sz w:val="18"/>
          <w:szCs w:val="18"/>
          <w:lang w:val="es-ES_tradnl"/>
        </w:rPr>
        <w:t>rsela en el mismo auto de calificaci</w:t>
      </w:r>
      <w:r>
        <w:rPr>
          <w:rFonts w:cs="Times New Roman"/>
          <w:spacing w:val="-6"/>
          <w:sz w:val="18"/>
          <w:szCs w:val="18"/>
          <w:lang w:val="es-ES_tradnl"/>
        </w:rPr>
        <w:t>ó</w:t>
      </w:r>
      <w:r>
        <w:rPr>
          <w:spacing w:val="-6"/>
          <w:sz w:val="18"/>
          <w:szCs w:val="18"/>
          <w:lang w:val="es-ES_tradnl"/>
        </w:rPr>
        <w:t xml:space="preserve">n, </w:t>
      </w:r>
      <w:r>
        <w:rPr>
          <w:spacing w:val="-7"/>
          <w:sz w:val="18"/>
          <w:szCs w:val="18"/>
          <w:lang w:val="es-ES_tradnl"/>
        </w:rPr>
        <w:t>porque esa era la interpretaci</w:t>
      </w:r>
      <w:r>
        <w:rPr>
          <w:rFonts w:cs="Times New Roman"/>
          <w:spacing w:val="-7"/>
          <w:sz w:val="18"/>
          <w:szCs w:val="18"/>
          <w:lang w:val="es-ES_tradnl"/>
        </w:rPr>
        <w:t>ó</w:t>
      </w:r>
      <w:r>
        <w:rPr>
          <w:spacing w:val="-7"/>
          <w:sz w:val="18"/>
          <w:szCs w:val="18"/>
          <w:lang w:val="es-ES_tradnl"/>
        </w:rPr>
        <w:t>n que hab</w:t>
      </w:r>
      <w:r>
        <w:rPr>
          <w:rFonts w:cs="Times New Roman"/>
          <w:spacing w:val="-7"/>
          <w:sz w:val="18"/>
          <w:szCs w:val="18"/>
          <w:lang w:val="es-ES_tradnl"/>
        </w:rPr>
        <w:t>í</w:t>
      </w:r>
      <w:r>
        <w:rPr>
          <w:spacing w:val="-7"/>
          <w:sz w:val="18"/>
          <w:szCs w:val="18"/>
          <w:lang w:val="es-ES_tradnl"/>
        </w:rPr>
        <w:t xml:space="preserve">an dado a dicha </w:t>
      </w:r>
      <w:r>
        <w:rPr>
          <w:spacing w:val="-5"/>
          <w:sz w:val="18"/>
          <w:szCs w:val="18"/>
          <w:lang w:val="es-ES_tradnl"/>
        </w:rPr>
        <w:t>disposici</w:t>
      </w:r>
      <w:r>
        <w:rPr>
          <w:rFonts w:cs="Times New Roman"/>
          <w:spacing w:val="-5"/>
          <w:sz w:val="18"/>
          <w:szCs w:val="18"/>
          <w:lang w:val="es-ES_tradnl"/>
        </w:rPr>
        <w:t>ó</w:t>
      </w:r>
      <w:r>
        <w:rPr>
          <w:spacing w:val="-5"/>
          <w:sz w:val="18"/>
          <w:szCs w:val="18"/>
          <w:lang w:val="es-ES_tradnl"/>
        </w:rPr>
        <w:t xml:space="preserve">n legal. Que si bien es cierto que la Corte </w:t>
      </w:r>
      <w:r>
        <w:rPr>
          <w:spacing w:val="-3"/>
          <w:sz w:val="18"/>
          <w:szCs w:val="18"/>
          <w:lang w:val="es-ES_tradnl"/>
        </w:rPr>
        <w:t xml:space="preserve">Constitucional, en virtud de la competencia establecida </w:t>
      </w:r>
      <w:r>
        <w:rPr>
          <w:sz w:val="18"/>
          <w:szCs w:val="18"/>
          <w:lang w:val="es-ES_tradnl"/>
        </w:rPr>
        <w:t>en el art</w:t>
      </w:r>
      <w:r>
        <w:rPr>
          <w:rFonts w:cs="Times New Roman"/>
          <w:sz w:val="18"/>
          <w:szCs w:val="18"/>
          <w:lang w:val="es-ES_tradnl"/>
        </w:rPr>
        <w:t>í</w:t>
      </w:r>
      <w:r>
        <w:rPr>
          <w:sz w:val="18"/>
          <w:szCs w:val="18"/>
          <w:lang w:val="es-ES_tradnl"/>
        </w:rPr>
        <w:t>culo 436 numerales 1 y 3 de la Constituci</w:t>
      </w:r>
      <w:r>
        <w:rPr>
          <w:rFonts w:cs="Times New Roman"/>
          <w:sz w:val="18"/>
          <w:szCs w:val="18"/>
          <w:lang w:val="es-ES_tradnl"/>
        </w:rPr>
        <w:t>ó</w:t>
      </w:r>
      <w:r>
        <w:rPr>
          <w:sz w:val="18"/>
          <w:szCs w:val="18"/>
          <w:lang w:val="es-ES_tradnl"/>
        </w:rPr>
        <w:t xml:space="preserve">n, ha interpretado conforme y de manera condicionada </w:t>
      </w:r>
      <w:r>
        <w:rPr>
          <w:spacing w:val="-5"/>
          <w:sz w:val="18"/>
          <w:szCs w:val="18"/>
          <w:lang w:val="es-ES_tradnl"/>
        </w:rPr>
        <w:t xml:space="preserve">con efectos </w:t>
      </w:r>
      <w:r>
        <w:rPr>
          <w:rFonts w:cs="Times New Roman"/>
          <w:spacing w:val="-5"/>
          <w:sz w:val="18"/>
          <w:szCs w:val="18"/>
          <w:lang w:val="es-ES_tradnl"/>
        </w:rPr>
        <w:t>“</w:t>
      </w:r>
      <w:r>
        <w:rPr>
          <w:i/>
          <w:iCs/>
          <w:spacing w:val="-5"/>
          <w:sz w:val="18"/>
          <w:szCs w:val="18"/>
          <w:lang w:val="es-ES_tradnl"/>
        </w:rPr>
        <w:t>ERGA OMNES</w:t>
      </w:r>
      <w:r>
        <w:rPr>
          <w:rFonts w:cs="Times New Roman"/>
          <w:spacing w:val="-5"/>
          <w:sz w:val="18"/>
          <w:szCs w:val="18"/>
          <w:lang w:val="es-ES_tradnl"/>
        </w:rPr>
        <w:t>”</w:t>
      </w:r>
      <w:r>
        <w:rPr>
          <w:spacing w:val="-5"/>
          <w:sz w:val="18"/>
          <w:szCs w:val="18"/>
          <w:lang w:val="es-ES_tradnl"/>
        </w:rPr>
        <w:t xml:space="preserve"> los art</w:t>
      </w:r>
      <w:r>
        <w:rPr>
          <w:rFonts w:cs="Times New Roman"/>
          <w:spacing w:val="-5"/>
          <w:sz w:val="18"/>
          <w:szCs w:val="18"/>
          <w:lang w:val="es-ES_tradnl"/>
        </w:rPr>
        <w:t>í</w:t>
      </w:r>
      <w:r>
        <w:rPr>
          <w:spacing w:val="-5"/>
          <w:sz w:val="18"/>
          <w:szCs w:val="18"/>
          <w:lang w:val="es-ES_tradnl"/>
        </w:rPr>
        <w:t xml:space="preserve">culos 40 y 42 de la </w:t>
      </w:r>
      <w:r>
        <w:rPr>
          <w:spacing w:val="-6"/>
          <w:sz w:val="18"/>
          <w:szCs w:val="18"/>
          <w:lang w:val="es-ES_tradnl"/>
        </w:rPr>
        <w:t>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Control </w:t>
      </w:r>
      <w:r>
        <w:rPr>
          <w:spacing w:val="-7"/>
          <w:sz w:val="18"/>
          <w:szCs w:val="18"/>
          <w:lang w:val="es-ES_tradnl"/>
        </w:rPr>
        <w:t>Constitucional, esa interpretaci</w:t>
      </w:r>
      <w:r>
        <w:rPr>
          <w:rFonts w:cs="Times New Roman"/>
          <w:spacing w:val="-7"/>
          <w:sz w:val="18"/>
          <w:szCs w:val="18"/>
          <w:lang w:val="es-ES_tradnl"/>
        </w:rPr>
        <w:t>ó</w:t>
      </w:r>
      <w:r>
        <w:rPr>
          <w:spacing w:val="-7"/>
          <w:sz w:val="18"/>
          <w:szCs w:val="18"/>
          <w:lang w:val="es-ES_tradnl"/>
        </w:rPr>
        <w:t>n, la est</w:t>
      </w:r>
      <w:r>
        <w:rPr>
          <w:rFonts w:cs="Times New Roman"/>
          <w:spacing w:val="-7"/>
          <w:sz w:val="18"/>
          <w:szCs w:val="18"/>
          <w:lang w:val="es-ES_tradnl"/>
        </w:rPr>
        <w:t>á</w:t>
      </w:r>
      <w:r>
        <w:rPr>
          <w:spacing w:val="-7"/>
          <w:sz w:val="18"/>
          <w:szCs w:val="18"/>
          <w:lang w:val="es-ES_tradnl"/>
        </w:rPr>
        <w:t xml:space="preserve">n observando a </w:t>
      </w:r>
      <w:r>
        <w:rPr>
          <w:spacing w:val="-11"/>
          <w:sz w:val="18"/>
          <w:szCs w:val="18"/>
          <w:lang w:val="es-ES_tradnl"/>
        </w:rPr>
        <w:t xml:space="preserve">partir del 27 de diciembre de 2013 en que dicha sentencia se </w:t>
      </w:r>
      <w:r>
        <w:rPr>
          <w:spacing w:val="-6"/>
          <w:sz w:val="18"/>
          <w:szCs w:val="18"/>
          <w:lang w:val="es-ES_tradnl"/>
        </w:rPr>
        <w:t>public</w:t>
      </w:r>
      <w:r>
        <w:rPr>
          <w:rFonts w:cs="Times New Roman"/>
          <w:spacing w:val="-6"/>
          <w:sz w:val="18"/>
          <w:szCs w:val="18"/>
          <w:lang w:val="es-ES_tradnl"/>
        </w:rPr>
        <w:t>ó</w:t>
      </w:r>
      <w:r>
        <w:rPr>
          <w:spacing w:val="-6"/>
          <w:sz w:val="18"/>
          <w:szCs w:val="18"/>
          <w:lang w:val="es-ES_tradnl"/>
        </w:rPr>
        <w:t>, la misma que a su criterio, no podr</w:t>
      </w:r>
      <w:r>
        <w:rPr>
          <w:rFonts w:cs="Times New Roman"/>
          <w:spacing w:val="-6"/>
          <w:sz w:val="18"/>
          <w:szCs w:val="18"/>
          <w:lang w:val="es-ES_tradnl"/>
        </w:rPr>
        <w:t>í</w:t>
      </w:r>
      <w:r>
        <w:rPr>
          <w:spacing w:val="-6"/>
          <w:sz w:val="18"/>
          <w:szCs w:val="18"/>
          <w:lang w:val="es-ES_tradnl"/>
        </w:rPr>
        <w:t>a surtir efecto jur</w:t>
      </w:r>
      <w:r>
        <w:rPr>
          <w:rFonts w:cs="Times New Roman"/>
          <w:spacing w:val="-6"/>
          <w:sz w:val="18"/>
          <w:szCs w:val="18"/>
          <w:lang w:val="es-ES_tradnl"/>
        </w:rPr>
        <w:t>í</w:t>
      </w:r>
      <w:r>
        <w:rPr>
          <w:spacing w:val="-6"/>
          <w:sz w:val="18"/>
          <w:szCs w:val="18"/>
          <w:lang w:val="es-ES_tradnl"/>
        </w:rPr>
        <w:t>dico alguno, en la decisi</w:t>
      </w:r>
      <w:r>
        <w:rPr>
          <w:rFonts w:cs="Times New Roman"/>
          <w:spacing w:val="-6"/>
          <w:sz w:val="18"/>
          <w:szCs w:val="18"/>
          <w:lang w:val="es-ES_tradnl"/>
        </w:rPr>
        <w:t>ó</w:t>
      </w:r>
      <w:r>
        <w:rPr>
          <w:spacing w:val="-6"/>
          <w:sz w:val="18"/>
          <w:szCs w:val="18"/>
          <w:lang w:val="es-ES_tradnl"/>
        </w:rPr>
        <w:t xml:space="preserve">n tomada por ellos, ya que la </w:t>
      </w:r>
      <w:r>
        <w:rPr>
          <w:spacing w:val="-8"/>
          <w:sz w:val="18"/>
          <w:szCs w:val="18"/>
          <w:lang w:val="es-ES_tradnl"/>
        </w:rPr>
        <w:t>sentencia impugnada es emitida el 25 de octubre de 2013.</w:t>
      </w:r>
    </w:p>
    <w:p w14:paraId="4F67AE68" w14:textId="77777777" w:rsidR="00591D54" w:rsidRDefault="00591D54">
      <w:pPr>
        <w:shd w:val="clear" w:color="auto" w:fill="FFFFFF"/>
        <w:spacing w:before="192" w:line="216" w:lineRule="exact"/>
        <w:ind w:right="5"/>
        <w:jc w:val="both"/>
      </w:pPr>
      <w:r>
        <w:rPr>
          <w:spacing w:val="-12"/>
          <w:sz w:val="18"/>
          <w:szCs w:val="18"/>
          <w:lang w:val="es-ES_tradnl"/>
        </w:rPr>
        <w:t xml:space="preserve">De lo dicho anteriormente se desprende que los miembros de </w:t>
      </w:r>
      <w:r>
        <w:rPr>
          <w:spacing w:val="-6"/>
          <w:sz w:val="18"/>
          <w:szCs w:val="18"/>
          <w:lang w:val="es-ES_tradnl"/>
        </w:rPr>
        <w:t xml:space="preserve">la Sala Multicompetente de la Corte Provincial de Justicia </w:t>
      </w:r>
      <w:r>
        <w:rPr>
          <w:spacing w:val="-8"/>
          <w:sz w:val="18"/>
          <w:szCs w:val="18"/>
          <w:lang w:val="es-ES_tradnl"/>
        </w:rPr>
        <w:t>de Imbabura fundamentan su contestaci</w:t>
      </w:r>
      <w:r>
        <w:rPr>
          <w:rFonts w:cs="Times New Roman"/>
          <w:spacing w:val="-8"/>
          <w:sz w:val="18"/>
          <w:szCs w:val="18"/>
          <w:lang w:val="es-ES_tradnl"/>
        </w:rPr>
        <w:t>ó</w:t>
      </w:r>
      <w:r>
        <w:rPr>
          <w:spacing w:val="-8"/>
          <w:sz w:val="18"/>
          <w:szCs w:val="18"/>
          <w:lang w:val="es-ES_tradnl"/>
        </w:rPr>
        <w:t xml:space="preserve">n a la demanda, </w:t>
      </w:r>
      <w:r>
        <w:rPr>
          <w:spacing w:val="-9"/>
          <w:sz w:val="18"/>
          <w:szCs w:val="18"/>
          <w:lang w:val="es-ES_tradnl"/>
        </w:rPr>
        <w:t>sosteniendo, b</w:t>
      </w:r>
      <w:r>
        <w:rPr>
          <w:rFonts w:cs="Times New Roman"/>
          <w:spacing w:val="-9"/>
          <w:sz w:val="18"/>
          <w:szCs w:val="18"/>
          <w:lang w:val="es-ES_tradnl"/>
        </w:rPr>
        <w:t>á</w:t>
      </w:r>
      <w:r>
        <w:rPr>
          <w:spacing w:val="-9"/>
          <w:sz w:val="18"/>
          <w:szCs w:val="18"/>
          <w:lang w:val="es-ES_tradnl"/>
        </w:rPr>
        <w:t>sicamente, que no les correspond</w:t>
      </w:r>
      <w:r>
        <w:rPr>
          <w:rFonts w:cs="Times New Roman"/>
          <w:spacing w:val="-9"/>
          <w:sz w:val="18"/>
          <w:szCs w:val="18"/>
          <w:lang w:val="es-ES_tradnl"/>
        </w:rPr>
        <w:t>í</w:t>
      </w:r>
      <w:r>
        <w:rPr>
          <w:spacing w:val="-9"/>
          <w:sz w:val="18"/>
          <w:szCs w:val="18"/>
          <w:lang w:val="es-ES_tradnl"/>
        </w:rPr>
        <w:t xml:space="preserve">a aplicar </w:t>
      </w:r>
      <w:r>
        <w:rPr>
          <w:spacing w:val="-5"/>
          <w:sz w:val="18"/>
          <w:szCs w:val="18"/>
          <w:lang w:val="es-ES_tradnl"/>
        </w:rPr>
        <w:t xml:space="preserve">las directrices emitidas por la Corte Constitucional en la </w:t>
      </w:r>
      <w:r>
        <w:rPr>
          <w:spacing w:val="-10"/>
          <w:sz w:val="18"/>
          <w:szCs w:val="18"/>
          <w:lang w:val="es-ES_tradnl"/>
        </w:rPr>
        <w:t>sentencia N.</w:t>
      </w:r>
      <w:r>
        <w:rPr>
          <w:rFonts w:cs="Times New Roman"/>
          <w:spacing w:val="-10"/>
          <w:sz w:val="18"/>
          <w:szCs w:val="18"/>
          <w:lang w:val="es-ES_tradnl"/>
        </w:rPr>
        <w:t>º</w:t>
      </w:r>
      <w:r>
        <w:rPr>
          <w:spacing w:val="-10"/>
          <w:sz w:val="18"/>
          <w:szCs w:val="18"/>
          <w:lang w:val="es-ES_tradnl"/>
        </w:rPr>
        <w:t xml:space="preserve"> 102-13-SEP-CC del 27 de diciembre de 2013, </w:t>
      </w:r>
      <w:r>
        <w:rPr>
          <w:spacing w:val="-4"/>
          <w:sz w:val="18"/>
          <w:szCs w:val="18"/>
          <w:lang w:val="es-ES_tradnl"/>
        </w:rPr>
        <w:t>referentes a la admisibilidad y procedencia de la acci</w:t>
      </w:r>
      <w:r>
        <w:rPr>
          <w:rFonts w:cs="Times New Roman"/>
          <w:spacing w:val="-4"/>
          <w:sz w:val="18"/>
          <w:szCs w:val="18"/>
          <w:lang w:val="es-ES_tradnl"/>
        </w:rPr>
        <w:t>ó</w:t>
      </w:r>
      <w:r>
        <w:rPr>
          <w:spacing w:val="-4"/>
          <w:sz w:val="18"/>
          <w:szCs w:val="18"/>
          <w:lang w:val="es-ES_tradnl"/>
        </w:rPr>
        <w:t xml:space="preserve">n </w:t>
      </w:r>
      <w:r>
        <w:rPr>
          <w:spacing w:val="-6"/>
          <w:sz w:val="18"/>
          <w:szCs w:val="18"/>
          <w:lang w:val="es-ES_tradnl"/>
        </w:rPr>
        <w:t>de protecci</w:t>
      </w:r>
      <w:r>
        <w:rPr>
          <w:rFonts w:cs="Times New Roman"/>
          <w:spacing w:val="-6"/>
          <w:sz w:val="18"/>
          <w:szCs w:val="18"/>
          <w:lang w:val="es-ES_tradnl"/>
        </w:rPr>
        <w:t>ó</w:t>
      </w:r>
      <w:r>
        <w:rPr>
          <w:spacing w:val="-6"/>
          <w:sz w:val="18"/>
          <w:szCs w:val="18"/>
          <w:lang w:val="es-ES_tradnl"/>
        </w:rPr>
        <w:t>n, por cuanto, la decisi</w:t>
      </w:r>
      <w:r>
        <w:rPr>
          <w:rFonts w:cs="Times New Roman"/>
          <w:spacing w:val="-6"/>
          <w:sz w:val="18"/>
          <w:szCs w:val="18"/>
          <w:lang w:val="es-ES_tradnl"/>
        </w:rPr>
        <w:t>ó</w:t>
      </w:r>
      <w:r>
        <w:rPr>
          <w:spacing w:val="-6"/>
          <w:sz w:val="18"/>
          <w:szCs w:val="18"/>
          <w:lang w:val="es-ES_tradnl"/>
        </w:rPr>
        <w:t>n que fue dictada por</w:t>
      </w:r>
    </w:p>
    <w:p w14:paraId="4F67AE69" w14:textId="77777777" w:rsidR="00591D54" w:rsidRDefault="00591D54">
      <w:pPr>
        <w:shd w:val="clear" w:color="auto" w:fill="FFFFFF"/>
        <w:spacing w:before="10" w:line="216" w:lineRule="exact"/>
        <w:jc w:val="both"/>
      </w:pPr>
      <w:r>
        <w:br w:type="column"/>
      </w:r>
      <w:r>
        <w:rPr>
          <w:spacing w:val="-6"/>
          <w:sz w:val="18"/>
          <w:szCs w:val="18"/>
          <w:lang w:val="es-ES_tradnl"/>
        </w:rPr>
        <w:t>ellos y que es objeto de la presente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fue dictada el 25 de octubre de 2013, esto </w:t>
      </w:r>
      <w:r>
        <w:rPr>
          <w:spacing w:val="-8"/>
          <w:sz w:val="18"/>
          <w:szCs w:val="18"/>
          <w:lang w:val="es-ES_tradnl"/>
        </w:rPr>
        <w:t>es, antes de la expedici</w:t>
      </w:r>
      <w:r>
        <w:rPr>
          <w:rFonts w:cs="Times New Roman"/>
          <w:spacing w:val="-8"/>
          <w:sz w:val="18"/>
          <w:szCs w:val="18"/>
          <w:lang w:val="es-ES_tradnl"/>
        </w:rPr>
        <w:t>ó</w:t>
      </w:r>
      <w:r>
        <w:rPr>
          <w:spacing w:val="-8"/>
          <w:sz w:val="18"/>
          <w:szCs w:val="18"/>
          <w:lang w:val="es-ES_tradnl"/>
        </w:rPr>
        <w:t xml:space="preserve">n de la prenombrada sentencia </w:t>
      </w:r>
      <w:r>
        <w:rPr>
          <w:spacing w:val="-6"/>
          <w:sz w:val="18"/>
          <w:szCs w:val="18"/>
          <w:lang w:val="es-ES_tradnl"/>
        </w:rPr>
        <w:t>constitucional emitida por este m</w:t>
      </w:r>
      <w:r>
        <w:rPr>
          <w:rFonts w:cs="Times New Roman"/>
          <w:spacing w:val="-6"/>
          <w:sz w:val="18"/>
          <w:szCs w:val="18"/>
          <w:lang w:val="es-ES_tradnl"/>
        </w:rPr>
        <w:t>á</w:t>
      </w:r>
      <w:r>
        <w:rPr>
          <w:spacing w:val="-6"/>
          <w:sz w:val="18"/>
          <w:szCs w:val="18"/>
          <w:lang w:val="es-ES_tradnl"/>
        </w:rPr>
        <w:t>ximo organismo de administraci</w:t>
      </w:r>
      <w:r>
        <w:rPr>
          <w:rFonts w:cs="Times New Roman"/>
          <w:spacing w:val="-6"/>
          <w:sz w:val="18"/>
          <w:szCs w:val="18"/>
          <w:lang w:val="es-ES_tradnl"/>
        </w:rPr>
        <w:t>ó</w:t>
      </w:r>
      <w:r>
        <w:rPr>
          <w:spacing w:val="-6"/>
          <w:sz w:val="18"/>
          <w:szCs w:val="18"/>
          <w:lang w:val="es-ES_tradnl"/>
        </w:rPr>
        <w:t>n de justicia en materia constitucional.</w:t>
      </w:r>
    </w:p>
    <w:p w14:paraId="4F67AE6A" w14:textId="77777777" w:rsidR="00591D54" w:rsidRDefault="00591D54">
      <w:pPr>
        <w:shd w:val="clear" w:color="auto" w:fill="FFFFFF"/>
        <w:spacing w:before="197" w:line="211" w:lineRule="exact"/>
        <w:jc w:val="both"/>
      </w:pPr>
      <w:r>
        <w:rPr>
          <w:spacing w:val="-4"/>
          <w:sz w:val="18"/>
          <w:szCs w:val="18"/>
          <w:lang w:val="es-ES_tradnl"/>
        </w:rPr>
        <w:t xml:space="preserve">Al respecto, esta Corte Constitucional considera que si </w:t>
      </w:r>
      <w:r>
        <w:rPr>
          <w:spacing w:val="-6"/>
          <w:sz w:val="18"/>
          <w:szCs w:val="18"/>
          <w:lang w:val="es-ES_tradnl"/>
        </w:rPr>
        <w:t>bien es cierto este Organismo al dictar la sentencia N.</w:t>
      </w:r>
      <w:r>
        <w:rPr>
          <w:rFonts w:cs="Times New Roman"/>
          <w:spacing w:val="-6"/>
          <w:sz w:val="18"/>
          <w:szCs w:val="18"/>
          <w:lang w:val="es-ES_tradnl"/>
        </w:rPr>
        <w:t xml:space="preserve">º </w:t>
      </w:r>
      <w:r>
        <w:rPr>
          <w:spacing w:val="-7"/>
          <w:sz w:val="18"/>
          <w:szCs w:val="18"/>
          <w:lang w:val="es-ES_tradnl"/>
        </w:rPr>
        <w:t xml:space="preserve">102-13-SEP-CC, que fue publicada en el Registro Oficial, </w:t>
      </w:r>
      <w:r>
        <w:rPr>
          <w:spacing w:val="-9"/>
          <w:sz w:val="18"/>
          <w:szCs w:val="18"/>
          <w:lang w:val="es-ES_tradnl"/>
        </w:rPr>
        <w:t>el 27 de diciembre de 2013</w:t>
      </w:r>
      <w:r>
        <w:rPr>
          <w:spacing w:val="-9"/>
          <w:sz w:val="18"/>
          <w:szCs w:val="18"/>
          <w:vertAlign w:val="superscript"/>
          <w:lang w:val="es-ES_tradnl"/>
        </w:rPr>
        <w:t>9</w:t>
      </w:r>
      <w:r>
        <w:rPr>
          <w:spacing w:val="-9"/>
          <w:sz w:val="18"/>
          <w:szCs w:val="18"/>
          <w:lang w:val="es-ES_tradnl"/>
        </w:rPr>
        <w:t>, emiti</w:t>
      </w:r>
      <w:r>
        <w:rPr>
          <w:rFonts w:cs="Times New Roman"/>
          <w:spacing w:val="-9"/>
          <w:sz w:val="18"/>
          <w:szCs w:val="18"/>
          <w:lang w:val="es-ES_tradnl"/>
        </w:rPr>
        <w:t>ó</w:t>
      </w:r>
      <w:r>
        <w:rPr>
          <w:spacing w:val="-9"/>
          <w:sz w:val="18"/>
          <w:szCs w:val="18"/>
          <w:lang w:val="es-ES_tradnl"/>
        </w:rPr>
        <w:t xml:space="preserve"> reglas jurisprudenciales </w:t>
      </w:r>
      <w:r>
        <w:rPr>
          <w:spacing w:val="-10"/>
          <w:sz w:val="18"/>
          <w:szCs w:val="18"/>
          <w:lang w:val="es-ES_tradnl"/>
        </w:rPr>
        <w:t>a ser observadas por los jueces de garant</w:t>
      </w:r>
      <w:r>
        <w:rPr>
          <w:rFonts w:cs="Times New Roman"/>
          <w:spacing w:val="-10"/>
          <w:sz w:val="18"/>
          <w:szCs w:val="18"/>
          <w:lang w:val="es-ES_tradnl"/>
        </w:rPr>
        <w:t>í</w:t>
      </w:r>
      <w:r>
        <w:rPr>
          <w:spacing w:val="-10"/>
          <w:sz w:val="18"/>
          <w:szCs w:val="18"/>
          <w:lang w:val="es-ES_tradnl"/>
        </w:rPr>
        <w:t xml:space="preserve">as jurisdiccionales </w:t>
      </w:r>
      <w:r>
        <w:rPr>
          <w:spacing w:val="-4"/>
          <w:sz w:val="18"/>
          <w:szCs w:val="18"/>
          <w:lang w:val="es-ES_tradnl"/>
        </w:rPr>
        <w:t>respecto a la admisibilidad y procedencia de una acci</w:t>
      </w:r>
      <w:r>
        <w:rPr>
          <w:rFonts w:cs="Times New Roman"/>
          <w:spacing w:val="-4"/>
          <w:sz w:val="18"/>
          <w:szCs w:val="18"/>
          <w:lang w:val="es-ES_tradnl"/>
        </w:rPr>
        <w:t>ó</w:t>
      </w:r>
      <w:r>
        <w:rPr>
          <w:spacing w:val="-4"/>
          <w:sz w:val="18"/>
          <w:szCs w:val="18"/>
          <w:lang w:val="es-ES_tradnl"/>
        </w:rPr>
        <w:t xml:space="preserve">n </w:t>
      </w:r>
      <w:r>
        <w:rPr>
          <w:spacing w:val="-7"/>
          <w:sz w:val="18"/>
          <w:szCs w:val="18"/>
          <w:lang w:val="es-ES_tradnl"/>
        </w:rPr>
        <w:t>de protecci</w:t>
      </w:r>
      <w:r>
        <w:rPr>
          <w:rFonts w:cs="Times New Roman"/>
          <w:spacing w:val="-7"/>
          <w:sz w:val="18"/>
          <w:szCs w:val="18"/>
          <w:lang w:val="es-ES_tradnl"/>
        </w:rPr>
        <w:t>ó</w:t>
      </w:r>
      <w:r>
        <w:rPr>
          <w:spacing w:val="-7"/>
          <w:sz w:val="18"/>
          <w:szCs w:val="18"/>
          <w:lang w:val="es-ES_tradnl"/>
        </w:rPr>
        <w:t xml:space="preserve">n, no es menos cierto que las autoridades </w:t>
      </w:r>
      <w:r>
        <w:rPr>
          <w:spacing w:val="-6"/>
          <w:sz w:val="18"/>
          <w:szCs w:val="18"/>
          <w:lang w:val="es-ES_tradnl"/>
        </w:rPr>
        <w:t xml:space="preserve">jurisdiccionales y en particular los jueces constitucionales </w:t>
      </w:r>
      <w:r>
        <w:rPr>
          <w:spacing w:val="-2"/>
          <w:sz w:val="18"/>
          <w:szCs w:val="18"/>
          <w:lang w:val="es-ES_tradnl"/>
        </w:rPr>
        <w:t>se encontraban obligados a la aplicaci</w:t>
      </w:r>
      <w:r>
        <w:rPr>
          <w:rFonts w:cs="Times New Roman"/>
          <w:spacing w:val="-2"/>
          <w:sz w:val="18"/>
          <w:szCs w:val="18"/>
          <w:lang w:val="es-ES_tradnl"/>
        </w:rPr>
        <w:t>ó</w:t>
      </w:r>
      <w:r>
        <w:rPr>
          <w:spacing w:val="-2"/>
          <w:sz w:val="18"/>
          <w:szCs w:val="18"/>
          <w:lang w:val="es-ES_tradnl"/>
        </w:rPr>
        <w:t xml:space="preserve">n inmediata de </w:t>
      </w:r>
      <w:r>
        <w:rPr>
          <w:spacing w:val="-3"/>
          <w:sz w:val="18"/>
          <w:szCs w:val="18"/>
          <w:lang w:val="es-ES_tradnl"/>
        </w:rPr>
        <w:t>la Constituci</w:t>
      </w:r>
      <w:r>
        <w:rPr>
          <w:rFonts w:cs="Times New Roman"/>
          <w:spacing w:val="-3"/>
          <w:sz w:val="18"/>
          <w:szCs w:val="18"/>
          <w:lang w:val="es-ES_tradnl"/>
        </w:rPr>
        <w:t>ó</w:t>
      </w:r>
      <w:r>
        <w:rPr>
          <w:spacing w:val="-3"/>
          <w:sz w:val="18"/>
          <w:szCs w:val="18"/>
          <w:lang w:val="es-ES_tradnl"/>
        </w:rPr>
        <w:t>n desde que esta entr</w:t>
      </w:r>
      <w:r>
        <w:rPr>
          <w:rFonts w:cs="Times New Roman"/>
          <w:spacing w:val="-3"/>
          <w:sz w:val="18"/>
          <w:szCs w:val="18"/>
          <w:lang w:val="es-ES_tradnl"/>
        </w:rPr>
        <w:t>ó</w:t>
      </w:r>
      <w:r>
        <w:rPr>
          <w:spacing w:val="-3"/>
          <w:sz w:val="18"/>
          <w:szCs w:val="18"/>
          <w:lang w:val="es-ES_tradnl"/>
        </w:rPr>
        <w:t xml:space="preserve"> en vigencia en el </w:t>
      </w:r>
      <w:r>
        <w:rPr>
          <w:spacing w:val="-10"/>
          <w:sz w:val="18"/>
          <w:szCs w:val="18"/>
          <w:lang w:val="es-ES_tradnl"/>
        </w:rPr>
        <w:t>a</w:t>
      </w:r>
      <w:r>
        <w:rPr>
          <w:rFonts w:cs="Times New Roman"/>
          <w:spacing w:val="-10"/>
          <w:sz w:val="18"/>
          <w:szCs w:val="18"/>
          <w:lang w:val="es-ES_tradnl"/>
        </w:rPr>
        <w:t>ñ</w:t>
      </w:r>
      <w:r>
        <w:rPr>
          <w:spacing w:val="-10"/>
          <w:sz w:val="18"/>
          <w:szCs w:val="18"/>
          <w:lang w:val="es-ES_tradnl"/>
        </w:rPr>
        <w:t>o 2008</w:t>
      </w:r>
      <w:r>
        <w:rPr>
          <w:spacing w:val="-10"/>
          <w:sz w:val="18"/>
          <w:szCs w:val="18"/>
          <w:vertAlign w:val="superscript"/>
          <w:lang w:val="es-ES_tradnl"/>
        </w:rPr>
        <w:t>10</w:t>
      </w:r>
      <w:r>
        <w:rPr>
          <w:spacing w:val="-10"/>
          <w:sz w:val="18"/>
          <w:szCs w:val="18"/>
          <w:lang w:val="es-ES_tradnl"/>
        </w:rPr>
        <w:t xml:space="preserve"> y de los tratados internacionales de derechos </w:t>
      </w:r>
      <w:r>
        <w:rPr>
          <w:spacing w:val="-9"/>
          <w:sz w:val="18"/>
          <w:szCs w:val="18"/>
          <w:lang w:val="es-ES_tradnl"/>
        </w:rPr>
        <w:t>humanos, sin poder alegarse falta de ley o desconocimiento de las normas para justificar la vulneraci</w:t>
      </w:r>
      <w:r>
        <w:rPr>
          <w:rFonts w:cs="Times New Roman"/>
          <w:spacing w:val="-9"/>
          <w:sz w:val="18"/>
          <w:szCs w:val="18"/>
          <w:lang w:val="es-ES_tradnl"/>
        </w:rPr>
        <w:t>ó</w:t>
      </w:r>
      <w:r>
        <w:rPr>
          <w:spacing w:val="-9"/>
          <w:sz w:val="18"/>
          <w:szCs w:val="18"/>
          <w:lang w:val="es-ES_tradnl"/>
        </w:rPr>
        <w:t xml:space="preserve">n de los derechos </w:t>
      </w:r>
      <w:r>
        <w:rPr>
          <w:spacing w:val="-10"/>
          <w:sz w:val="18"/>
          <w:szCs w:val="18"/>
          <w:lang w:val="es-ES_tradnl"/>
        </w:rPr>
        <w:t>y garant</w:t>
      </w:r>
      <w:r>
        <w:rPr>
          <w:rFonts w:cs="Times New Roman"/>
          <w:spacing w:val="-10"/>
          <w:sz w:val="18"/>
          <w:szCs w:val="18"/>
          <w:lang w:val="es-ES_tradnl"/>
        </w:rPr>
        <w:t>í</w:t>
      </w:r>
      <w:r>
        <w:rPr>
          <w:spacing w:val="-10"/>
          <w:sz w:val="18"/>
          <w:szCs w:val="18"/>
          <w:lang w:val="es-ES_tradnl"/>
        </w:rPr>
        <w:t>as establecidos en la Norma Fundamental</w:t>
      </w:r>
      <w:r>
        <w:rPr>
          <w:spacing w:val="-10"/>
          <w:sz w:val="18"/>
          <w:szCs w:val="18"/>
          <w:vertAlign w:val="superscript"/>
          <w:lang w:val="es-ES_tradnl"/>
        </w:rPr>
        <w:t>11</w:t>
      </w:r>
      <w:r>
        <w:rPr>
          <w:spacing w:val="-10"/>
          <w:sz w:val="18"/>
          <w:szCs w:val="18"/>
          <w:lang w:val="es-ES_tradnl"/>
        </w:rPr>
        <w:t>.</w:t>
      </w:r>
    </w:p>
    <w:p w14:paraId="4F67AE6B" w14:textId="77777777" w:rsidR="00591D54" w:rsidRDefault="00591D54">
      <w:pPr>
        <w:shd w:val="clear" w:color="auto" w:fill="FFFFFF"/>
        <w:spacing w:before="197" w:line="216" w:lineRule="exact"/>
        <w:jc w:val="both"/>
      </w:pPr>
      <w:r>
        <w:rPr>
          <w:spacing w:val="-4"/>
          <w:sz w:val="18"/>
          <w:szCs w:val="18"/>
          <w:lang w:val="es-ES_tradnl"/>
        </w:rPr>
        <w:t xml:space="preserve">Ahora bien, se debe recordar tal como se lo hizo </w:t>
      </w:r>
      <w:r>
        <w:rPr>
          <w:spacing w:val="-7"/>
          <w:sz w:val="18"/>
          <w:szCs w:val="18"/>
          <w:lang w:val="es-ES_tradnl"/>
        </w:rPr>
        <w:t xml:space="preserve">precedentemente, que los jueces constitucionales, dentro </w:t>
      </w:r>
      <w:r>
        <w:rPr>
          <w:spacing w:val="-3"/>
          <w:sz w:val="18"/>
          <w:szCs w:val="18"/>
          <w:lang w:val="es-ES_tradnl"/>
        </w:rPr>
        <w:t>de la decisi</w:t>
      </w:r>
      <w:r>
        <w:rPr>
          <w:rFonts w:cs="Times New Roman"/>
          <w:spacing w:val="-3"/>
          <w:sz w:val="18"/>
          <w:szCs w:val="18"/>
          <w:lang w:val="es-ES_tradnl"/>
        </w:rPr>
        <w:t>ó</w:t>
      </w:r>
      <w:r>
        <w:rPr>
          <w:spacing w:val="-3"/>
          <w:sz w:val="18"/>
          <w:szCs w:val="18"/>
          <w:lang w:val="es-ES_tradnl"/>
        </w:rPr>
        <w:t>n judicial impugnada, no sustentaron su decisi</w:t>
      </w:r>
      <w:r>
        <w:rPr>
          <w:rFonts w:cs="Times New Roman"/>
          <w:spacing w:val="-3"/>
          <w:sz w:val="18"/>
          <w:szCs w:val="18"/>
          <w:lang w:val="es-ES_tradnl"/>
        </w:rPr>
        <w:t>ó</w:t>
      </w:r>
      <w:r>
        <w:rPr>
          <w:spacing w:val="-3"/>
          <w:sz w:val="18"/>
          <w:szCs w:val="18"/>
          <w:lang w:val="es-ES_tradnl"/>
        </w:rPr>
        <w:t xml:space="preserve">n de manera cuidadosa y sobre la base de la </w:t>
      </w:r>
      <w:r>
        <w:rPr>
          <w:spacing w:val="-5"/>
          <w:sz w:val="18"/>
          <w:szCs w:val="18"/>
          <w:lang w:val="es-ES_tradnl"/>
        </w:rPr>
        <w:t>presunta vulneraci</w:t>
      </w:r>
      <w:r>
        <w:rPr>
          <w:rFonts w:cs="Times New Roman"/>
          <w:spacing w:val="-5"/>
          <w:sz w:val="18"/>
          <w:szCs w:val="18"/>
          <w:lang w:val="es-ES_tradnl"/>
        </w:rPr>
        <w:t>ó</w:t>
      </w:r>
      <w:r>
        <w:rPr>
          <w:spacing w:val="-5"/>
          <w:sz w:val="18"/>
          <w:szCs w:val="18"/>
          <w:lang w:val="es-ES_tradnl"/>
        </w:rPr>
        <w:t xml:space="preserve">n de derechos constitucionales, sino </w:t>
      </w:r>
      <w:r>
        <w:rPr>
          <w:spacing w:val="-8"/>
          <w:sz w:val="18"/>
          <w:szCs w:val="18"/>
          <w:lang w:val="es-ES_tradnl"/>
        </w:rPr>
        <w:t>que descartaron la acci</w:t>
      </w:r>
      <w:r>
        <w:rPr>
          <w:rFonts w:cs="Times New Roman"/>
          <w:spacing w:val="-8"/>
          <w:sz w:val="18"/>
          <w:szCs w:val="18"/>
          <w:lang w:val="es-ES_tradnl"/>
        </w:rPr>
        <w:t>ó</w:t>
      </w:r>
      <w:r>
        <w:rPr>
          <w:spacing w:val="-8"/>
          <w:sz w:val="18"/>
          <w:szCs w:val="18"/>
          <w:lang w:val="es-ES_tradnl"/>
        </w:rPr>
        <w:t>n de protecci</w:t>
      </w:r>
      <w:r>
        <w:rPr>
          <w:rFonts w:cs="Times New Roman"/>
          <w:spacing w:val="-8"/>
          <w:sz w:val="18"/>
          <w:szCs w:val="18"/>
          <w:lang w:val="es-ES_tradnl"/>
        </w:rPr>
        <w:t>ó</w:t>
      </w:r>
      <w:r>
        <w:rPr>
          <w:spacing w:val="-8"/>
          <w:sz w:val="18"/>
          <w:szCs w:val="18"/>
          <w:lang w:val="es-ES_tradnl"/>
        </w:rPr>
        <w:t xml:space="preserve">n por la </w:t>
      </w:r>
      <w:r>
        <w:rPr>
          <w:rFonts w:cs="Times New Roman"/>
          <w:spacing w:val="-8"/>
          <w:sz w:val="18"/>
          <w:szCs w:val="18"/>
          <w:lang w:val="es-ES_tradnl"/>
        </w:rPr>
        <w:t>“</w:t>
      </w:r>
      <w:r>
        <w:rPr>
          <w:spacing w:val="-8"/>
          <w:sz w:val="18"/>
          <w:szCs w:val="18"/>
          <w:lang w:val="es-ES_tradnl"/>
        </w:rPr>
        <w:t>sola lectura de las afirmaciones (hechas en la demanda de acci</w:t>
      </w:r>
      <w:r>
        <w:rPr>
          <w:rFonts w:cs="Times New Roman"/>
          <w:spacing w:val="-8"/>
          <w:sz w:val="18"/>
          <w:szCs w:val="18"/>
          <w:lang w:val="es-ES_tradnl"/>
        </w:rPr>
        <w:t>ó</w:t>
      </w:r>
      <w:r>
        <w:rPr>
          <w:spacing w:val="-8"/>
          <w:sz w:val="18"/>
          <w:szCs w:val="18"/>
          <w:lang w:val="es-ES_tradnl"/>
        </w:rPr>
        <w:t xml:space="preserve">n de </w:t>
      </w:r>
      <w:r>
        <w:rPr>
          <w:spacing w:val="-6"/>
          <w:sz w:val="18"/>
          <w:szCs w:val="18"/>
          <w:lang w:val="es-ES_tradnl"/>
        </w:rPr>
        <w:t>protecci</w:t>
      </w:r>
      <w:r>
        <w:rPr>
          <w:rFonts w:cs="Times New Roman"/>
          <w:spacing w:val="-6"/>
          <w:sz w:val="18"/>
          <w:szCs w:val="18"/>
          <w:lang w:val="es-ES_tradnl"/>
        </w:rPr>
        <w:t>ó</w:t>
      </w:r>
      <w:r>
        <w:rPr>
          <w:spacing w:val="-6"/>
          <w:sz w:val="18"/>
          <w:szCs w:val="18"/>
          <w:lang w:val="es-ES_tradnl"/>
        </w:rPr>
        <w:t xml:space="preserve">n), y el examen del documento adjuntado a la </w:t>
      </w:r>
      <w:r>
        <w:rPr>
          <w:spacing w:val="-2"/>
          <w:sz w:val="18"/>
          <w:szCs w:val="18"/>
          <w:lang w:val="es-ES_tradnl"/>
        </w:rPr>
        <w:t>acci</w:t>
      </w:r>
      <w:r>
        <w:rPr>
          <w:rFonts w:cs="Times New Roman"/>
          <w:spacing w:val="-2"/>
          <w:sz w:val="18"/>
          <w:szCs w:val="18"/>
          <w:lang w:val="es-ES_tradnl"/>
        </w:rPr>
        <w:t>ó</w:t>
      </w:r>
      <w:r>
        <w:rPr>
          <w:spacing w:val="-2"/>
          <w:sz w:val="18"/>
          <w:szCs w:val="18"/>
          <w:lang w:val="es-ES_tradnl"/>
        </w:rPr>
        <w:t>n</w:t>
      </w:r>
      <w:r>
        <w:rPr>
          <w:rFonts w:cs="Times New Roman"/>
          <w:spacing w:val="-2"/>
          <w:sz w:val="18"/>
          <w:szCs w:val="18"/>
          <w:lang w:val="es-ES_tradnl"/>
        </w:rPr>
        <w:t>”</w:t>
      </w:r>
      <w:r>
        <w:rPr>
          <w:spacing w:val="-2"/>
          <w:sz w:val="18"/>
          <w:szCs w:val="18"/>
          <w:lang w:val="es-ES_tradnl"/>
        </w:rPr>
        <w:t xml:space="preserve"> y adicionalmente, se limitaron a referir en base </w:t>
      </w:r>
      <w:r>
        <w:rPr>
          <w:spacing w:val="-6"/>
          <w:sz w:val="18"/>
          <w:szCs w:val="18"/>
          <w:lang w:val="es-ES_tradnl"/>
        </w:rPr>
        <w:t>a las normas jur</w:t>
      </w:r>
      <w:r>
        <w:rPr>
          <w:rFonts w:cs="Times New Roman"/>
          <w:spacing w:val="-6"/>
          <w:sz w:val="18"/>
          <w:szCs w:val="18"/>
          <w:lang w:val="es-ES_tradnl"/>
        </w:rPr>
        <w:t>í</w:t>
      </w:r>
      <w:r>
        <w:rPr>
          <w:spacing w:val="-6"/>
          <w:sz w:val="18"/>
          <w:szCs w:val="18"/>
          <w:lang w:val="es-ES_tradnl"/>
        </w:rPr>
        <w:t>dicas por ellos citados en la decisi</w:t>
      </w:r>
      <w:r>
        <w:rPr>
          <w:rFonts w:cs="Times New Roman"/>
          <w:spacing w:val="-6"/>
          <w:sz w:val="18"/>
          <w:szCs w:val="18"/>
          <w:lang w:val="es-ES_tradnl"/>
        </w:rPr>
        <w:t>ó</w:t>
      </w:r>
      <w:r>
        <w:rPr>
          <w:spacing w:val="-6"/>
          <w:sz w:val="18"/>
          <w:szCs w:val="18"/>
          <w:lang w:val="es-ES_tradnl"/>
        </w:rPr>
        <w:t xml:space="preserve">n </w:t>
      </w:r>
      <w:r>
        <w:rPr>
          <w:spacing w:val="-7"/>
          <w:sz w:val="18"/>
          <w:szCs w:val="18"/>
          <w:lang w:val="es-ES_tradnl"/>
        </w:rPr>
        <w:t xml:space="preserve">impugnada, que se trataba de un tema de legalidad que </w:t>
      </w:r>
      <w:r>
        <w:rPr>
          <w:spacing w:val="-9"/>
          <w:sz w:val="18"/>
          <w:szCs w:val="18"/>
          <w:lang w:val="es-ES_tradnl"/>
        </w:rPr>
        <w:t>pod</w:t>
      </w:r>
      <w:r>
        <w:rPr>
          <w:rFonts w:cs="Times New Roman"/>
          <w:spacing w:val="-9"/>
          <w:sz w:val="18"/>
          <w:szCs w:val="18"/>
          <w:lang w:val="es-ES_tradnl"/>
        </w:rPr>
        <w:t>í</w:t>
      </w:r>
      <w:r>
        <w:rPr>
          <w:spacing w:val="-9"/>
          <w:sz w:val="18"/>
          <w:szCs w:val="18"/>
          <w:lang w:val="es-ES_tradnl"/>
        </w:rPr>
        <w:t xml:space="preserve">a ser impugnado en otra sede, tomando una causal de </w:t>
      </w:r>
      <w:r>
        <w:rPr>
          <w:spacing w:val="-8"/>
          <w:sz w:val="18"/>
          <w:szCs w:val="18"/>
          <w:lang w:val="es-ES_tradnl"/>
        </w:rPr>
        <w:t>inadmisi</w:t>
      </w:r>
      <w:r>
        <w:rPr>
          <w:rFonts w:cs="Times New Roman"/>
          <w:spacing w:val="-8"/>
          <w:sz w:val="18"/>
          <w:szCs w:val="18"/>
          <w:lang w:val="es-ES_tradnl"/>
        </w:rPr>
        <w:t>ó</w:t>
      </w:r>
      <w:r>
        <w:rPr>
          <w:spacing w:val="-8"/>
          <w:sz w:val="18"/>
          <w:szCs w:val="18"/>
          <w:lang w:val="es-ES_tradnl"/>
        </w:rPr>
        <w:t>n de la acci</w:t>
      </w:r>
      <w:r>
        <w:rPr>
          <w:rFonts w:cs="Times New Roman"/>
          <w:spacing w:val="-8"/>
          <w:sz w:val="18"/>
          <w:szCs w:val="18"/>
          <w:lang w:val="es-ES_tradnl"/>
        </w:rPr>
        <w:t>ó</w:t>
      </w:r>
      <w:r>
        <w:rPr>
          <w:spacing w:val="-8"/>
          <w:sz w:val="18"/>
          <w:szCs w:val="18"/>
          <w:lang w:val="es-ES_tradnl"/>
        </w:rPr>
        <w:t>n, para inadmitir a tr</w:t>
      </w:r>
      <w:r>
        <w:rPr>
          <w:rFonts w:cs="Times New Roman"/>
          <w:spacing w:val="-8"/>
          <w:sz w:val="18"/>
          <w:szCs w:val="18"/>
          <w:lang w:val="es-ES_tradnl"/>
        </w:rPr>
        <w:t>á</w:t>
      </w:r>
      <w:r>
        <w:rPr>
          <w:spacing w:val="-8"/>
          <w:sz w:val="18"/>
          <w:szCs w:val="18"/>
          <w:lang w:val="es-ES_tradnl"/>
        </w:rPr>
        <w:t>mite la garant</w:t>
      </w:r>
      <w:r>
        <w:rPr>
          <w:rFonts w:cs="Times New Roman"/>
          <w:spacing w:val="-8"/>
          <w:sz w:val="18"/>
          <w:szCs w:val="18"/>
          <w:lang w:val="es-ES_tradnl"/>
        </w:rPr>
        <w:t>í</w:t>
      </w:r>
      <w:r>
        <w:rPr>
          <w:spacing w:val="-8"/>
          <w:sz w:val="18"/>
          <w:szCs w:val="18"/>
          <w:lang w:val="es-ES_tradnl"/>
        </w:rPr>
        <w:t xml:space="preserve">a </w:t>
      </w:r>
      <w:r>
        <w:rPr>
          <w:spacing w:val="-7"/>
          <w:sz w:val="18"/>
          <w:szCs w:val="18"/>
          <w:lang w:val="es-ES_tradnl"/>
        </w:rPr>
        <w:t>jurisdiccional, lo cual, denota una inobservancia al esp</w:t>
      </w:r>
      <w:r>
        <w:rPr>
          <w:rFonts w:cs="Times New Roman"/>
          <w:spacing w:val="-7"/>
          <w:sz w:val="18"/>
          <w:szCs w:val="18"/>
          <w:lang w:val="es-ES_tradnl"/>
        </w:rPr>
        <w:t>í</w:t>
      </w:r>
      <w:r>
        <w:rPr>
          <w:spacing w:val="-7"/>
          <w:sz w:val="18"/>
          <w:szCs w:val="18"/>
          <w:lang w:val="es-ES_tradnl"/>
        </w:rPr>
        <w:t xml:space="preserve">ritu </w:t>
      </w:r>
      <w:r>
        <w:rPr>
          <w:sz w:val="18"/>
          <w:szCs w:val="18"/>
          <w:lang w:val="es-ES_tradnl"/>
        </w:rPr>
        <w:t>de la Constituci</w:t>
      </w:r>
      <w:r>
        <w:rPr>
          <w:rFonts w:cs="Times New Roman"/>
          <w:sz w:val="18"/>
          <w:szCs w:val="18"/>
          <w:lang w:val="es-ES_tradnl"/>
        </w:rPr>
        <w:t>ó</w:t>
      </w:r>
      <w:r>
        <w:rPr>
          <w:sz w:val="18"/>
          <w:szCs w:val="18"/>
          <w:lang w:val="es-ES_tradnl"/>
        </w:rPr>
        <w:t>n.</w:t>
      </w:r>
    </w:p>
    <w:p w14:paraId="4F67AE6C" w14:textId="77777777" w:rsidR="00591D54" w:rsidRDefault="00591D54">
      <w:pPr>
        <w:shd w:val="clear" w:color="auto" w:fill="FFFFFF"/>
        <w:spacing w:before="192" w:line="216" w:lineRule="exact"/>
        <w:jc w:val="both"/>
      </w:pPr>
      <w:r>
        <w:rPr>
          <w:spacing w:val="-8"/>
          <w:sz w:val="18"/>
          <w:szCs w:val="18"/>
          <w:lang w:val="es-ES_tradnl"/>
        </w:rPr>
        <w:t>En esta l</w:t>
      </w:r>
      <w:r>
        <w:rPr>
          <w:rFonts w:cs="Times New Roman"/>
          <w:spacing w:val="-8"/>
          <w:sz w:val="18"/>
          <w:szCs w:val="18"/>
          <w:lang w:val="es-ES_tradnl"/>
        </w:rPr>
        <w:t>í</w:t>
      </w:r>
      <w:r>
        <w:rPr>
          <w:spacing w:val="-8"/>
          <w:sz w:val="18"/>
          <w:szCs w:val="18"/>
          <w:lang w:val="es-ES_tradnl"/>
        </w:rPr>
        <w:t xml:space="preserve">nea y en virtud de las alegaciones expuestas por </w:t>
      </w:r>
      <w:r>
        <w:rPr>
          <w:spacing w:val="-7"/>
          <w:sz w:val="18"/>
          <w:szCs w:val="18"/>
          <w:lang w:val="es-ES_tradnl"/>
        </w:rPr>
        <w:t>los jueces accionados, se debe recordar que el art</w:t>
      </w:r>
      <w:r>
        <w:rPr>
          <w:rFonts w:cs="Times New Roman"/>
          <w:spacing w:val="-7"/>
          <w:sz w:val="18"/>
          <w:szCs w:val="18"/>
          <w:lang w:val="es-ES_tradnl"/>
        </w:rPr>
        <w:t>í</w:t>
      </w:r>
      <w:r>
        <w:rPr>
          <w:spacing w:val="-7"/>
          <w:sz w:val="18"/>
          <w:szCs w:val="18"/>
          <w:lang w:val="es-ES_tradnl"/>
        </w:rPr>
        <w:t xml:space="preserve">culo 88 </w:t>
      </w:r>
      <w:r>
        <w:rPr>
          <w:spacing w:val="-4"/>
          <w:sz w:val="18"/>
          <w:szCs w:val="18"/>
          <w:lang w:val="es-ES_tradnl"/>
        </w:rPr>
        <w:t>de la Constituci</w:t>
      </w:r>
      <w:r>
        <w:rPr>
          <w:rFonts w:cs="Times New Roman"/>
          <w:spacing w:val="-4"/>
          <w:sz w:val="18"/>
          <w:szCs w:val="18"/>
          <w:lang w:val="es-ES_tradnl"/>
        </w:rPr>
        <w:t>ó</w:t>
      </w:r>
      <w:r>
        <w:rPr>
          <w:spacing w:val="-4"/>
          <w:sz w:val="18"/>
          <w:szCs w:val="18"/>
          <w:lang w:val="es-ES_tradnl"/>
        </w:rPr>
        <w:t>n en concordancia con el art</w:t>
      </w:r>
      <w:r>
        <w:rPr>
          <w:rFonts w:cs="Times New Roman"/>
          <w:spacing w:val="-4"/>
          <w:sz w:val="18"/>
          <w:szCs w:val="18"/>
          <w:lang w:val="es-ES_tradnl"/>
        </w:rPr>
        <w:t>í</w:t>
      </w:r>
      <w:r>
        <w:rPr>
          <w:spacing w:val="-4"/>
          <w:sz w:val="18"/>
          <w:szCs w:val="18"/>
          <w:lang w:val="es-ES_tradnl"/>
        </w:rPr>
        <w:t xml:space="preserve">culo 39 de </w:t>
      </w:r>
      <w:r>
        <w:rPr>
          <w:spacing w:val="-6"/>
          <w:sz w:val="18"/>
          <w:szCs w:val="18"/>
          <w:lang w:val="es-ES_tradnl"/>
        </w:rPr>
        <w:t>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Control </w:t>
      </w:r>
      <w:r>
        <w:rPr>
          <w:spacing w:val="-4"/>
          <w:sz w:val="18"/>
          <w:szCs w:val="18"/>
          <w:lang w:val="es-ES_tradnl"/>
        </w:rPr>
        <w:t>Constitucional, establecen que la acci</w:t>
      </w:r>
      <w:r>
        <w:rPr>
          <w:rFonts w:cs="Times New Roman"/>
          <w:spacing w:val="-4"/>
          <w:sz w:val="18"/>
          <w:szCs w:val="18"/>
          <w:lang w:val="es-ES_tradnl"/>
        </w:rPr>
        <w:t>ó</w:t>
      </w:r>
      <w:r>
        <w:rPr>
          <w:spacing w:val="-4"/>
          <w:sz w:val="18"/>
          <w:szCs w:val="18"/>
          <w:lang w:val="es-ES_tradnl"/>
        </w:rPr>
        <w:t>n de protecci</w:t>
      </w:r>
      <w:r>
        <w:rPr>
          <w:rFonts w:cs="Times New Roman"/>
          <w:spacing w:val="-4"/>
          <w:sz w:val="18"/>
          <w:szCs w:val="18"/>
          <w:lang w:val="es-ES_tradnl"/>
        </w:rPr>
        <w:t>ó</w:t>
      </w:r>
      <w:r>
        <w:rPr>
          <w:spacing w:val="-4"/>
          <w:sz w:val="18"/>
          <w:szCs w:val="18"/>
          <w:lang w:val="es-ES_tradnl"/>
        </w:rPr>
        <w:t xml:space="preserve">n </w:t>
      </w:r>
      <w:r>
        <w:rPr>
          <w:spacing w:val="-8"/>
          <w:sz w:val="18"/>
          <w:szCs w:val="18"/>
          <w:lang w:val="es-ES_tradnl"/>
        </w:rPr>
        <w:t>tiene por objeto el amparo directo y eficaz de los derechos</w:t>
      </w:r>
    </w:p>
    <w:p w14:paraId="4F67AE6D" w14:textId="77777777" w:rsidR="00591D54" w:rsidRDefault="00591D54">
      <w:pPr>
        <w:shd w:val="clear" w:color="auto" w:fill="FFFFFF"/>
        <w:tabs>
          <w:tab w:val="left" w:pos="144"/>
        </w:tabs>
        <w:spacing w:before="389" w:line="178" w:lineRule="exact"/>
        <w:ind w:left="144" w:hanging="144"/>
        <w:jc w:val="both"/>
      </w:pPr>
      <w:r>
        <w:rPr>
          <w:sz w:val="8"/>
          <w:szCs w:val="8"/>
          <w:vertAlign w:val="superscript"/>
          <w:lang w:val="es-ES_tradnl"/>
        </w:rPr>
        <w:t>9</w:t>
      </w:r>
      <w:r>
        <w:rPr>
          <w:sz w:val="18"/>
          <w:szCs w:val="18"/>
          <w:lang w:val="es-ES_tradnl"/>
        </w:rPr>
        <w:tab/>
      </w:r>
      <w:r>
        <w:rPr>
          <w:spacing w:val="-3"/>
          <w:sz w:val="14"/>
          <w:szCs w:val="14"/>
          <w:lang w:val="es-ES_tradnl"/>
        </w:rPr>
        <w:t>La</w:t>
      </w:r>
      <w:r>
        <w:rPr>
          <w:spacing w:val="-3"/>
          <w:sz w:val="18"/>
          <w:szCs w:val="18"/>
          <w:lang w:val="es-ES_tradnl"/>
        </w:rPr>
        <w:t xml:space="preserve"> </w:t>
      </w:r>
      <w:r>
        <w:rPr>
          <w:spacing w:val="-3"/>
          <w:sz w:val="14"/>
          <w:szCs w:val="14"/>
          <w:lang w:val="es-ES_tradnl"/>
        </w:rPr>
        <w:t>sentencia</w:t>
      </w:r>
      <w:r>
        <w:rPr>
          <w:spacing w:val="-3"/>
          <w:sz w:val="18"/>
          <w:szCs w:val="18"/>
          <w:lang w:val="es-ES_tradnl"/>
        </w:rPr>
        <w:t xml:space="preserve"> </w:t>
      </w:r>
      <w:r>
        <w:rPr>
          <w:spacing w:val="-3"/>
          <w:sz w:val="14"/>
          <w:szCs w:val="14"/>
          <w:lang w:val="es-ES_tradnl"/>
        </w:rPr>
        <w:t>N.</w:t>
      </w:r>
      <w:r>
        <w:rPr>
          <w:rFonts w:cs="Times New Roman"/>
          <w:spacing w:val="-3"/>
          <w:sz w:val="14"/>
          <w:szCs w:val="14"/>
          <w:lang w:val="es-ES_tradnl"/>
        </w:rPr>
        <w:t>º</w:t>
      </w:r>
      <w:r>
        <w:rPr>
          <w:spacing w:val="-3"/>
          <w:sz w:val="18"/>
          <w:szCs w:val="18"/>
          <w:lang w:val="es-ES_tradnl"/>
        </w:rPr>
        <w:t xml:space="preserve"> </w:t>
      </w:r>
      <w:r>
        <w:rPr>
          <w:spacing w:val="-3"/>
          <w:sz w:val="14"/>
          <w:szCs w:val="14"/>
          <w:lang w:val="es-ES_tradnl"/>
        </w:rPr>
        <w:t>102-13-SEP-CC,</w:t>
      </w:r>
      <w:r>
        <w:rPr>
          <w:spacing w:val="-3"/>
          <w:sz w:val="18"/>
          <w:szCs w:val="18"/>
          <w:lang w:val="es-ES_tradnl"/>
        </w:rPr>
        <w:t xml:space="preserve"> </w:t>
      </w:r>
      <w:r>
        <w:rPr>
          <w:spacing w:val="-3"/>
          <w:sz w:val="14"/>
          <w:szCs w:val="14"/>
          <w:lang w:val="es-ES_tradnl"/>
        </w:rPr>
        <w:t>dictada</w:t>
      </w:r>
      <w:r>
        <w:rPr>
          <w:spacing w:val="-3"/>
          <w:sz w:val="18"/>
          <w:szCs w:val="18"/>
          <w:lang w:val="es-ES_tradnl"/>
        </w:rPr>
        <w:t xml:space="preserve"> </w:t>
      </w:r>
      <w:r>
        <w:rPr>
          <w:spacing w:val="-3"/>
          <w:sz w:val="14"/>
          <w:szCs w:val="14"/>
          <w:lang w:val="es-ES_tradnl"/>
        </w:rPr>
        <w:t>por</w:t>
      </w:r>
      <w:r>
        <w:rPr>
          <w:spacing w:val="-3"/>
          <w:sz w:val="18"/>
          <w:szCs w:val="18"/>
          <w:lang w:val="es-ES_tradnl"/>
        </w:rPr>
        <w:t xml:space="preserve"> </w:t>
      </w:r>
      <w:r>
        <w:rPr>
          <w:spacing w:val="-3"/>
          <w:sz w:val="14"/>
          <w:szCs w:val="14"/>
          <w:lang w:val="es-ES_tradnl"/>
        </w:rPr>
        <w:t>la</w:t>
      </w:r>
      <w:r>
        <w:rPr>
          <w:spacing w:val="-3"/>
          <w:sz w:val="18"/>
          <w:szCs w:val="18"/>
          <w:lang w:val="es-ES_tradnl"/>
        </w:rPr>
        <w:t xml:space="preserve"> </w:t>
      </w:r>
      <w:r>
        <w:rPr>
          <w:spacing w:val="-3"/>
          <w:sz w:val="14"/>
          <w:szCs w:val="14"/>
          <w:lang w:val="es-ES_tradnl"/>
        </w:rPr>
        <w:t>Corte</w:t>
      </w:r>
      <w:r>
        <w:rPr>
          <w:spacing w:val="-3"/>
          <w:sz w:val="18"/>
          <w:szCs w:val="18"/>
          <w:lang w:val="es-ES_tradnl"/>
        </w:rPr>
        <w:t xml:space="preserve"> </w:t>
      </w:r>
      <w:r>
        <w:rPr>
          <w:spacing w:val="-3"/>
          <w:sz w:val="14"/>
          <w:szCs w:val="14"/>
          <w:lang w:val="es-ES_tradnl"/>
        </w:rPr>
        <w:t>Constitucional </w:t>
      </w:r>
      <w:r>
        <w:rPr>
          <w:sz w:val="14"/>
          <w:szCs w:val="14"/>
          <w:lang w:val="es-ES_tradnl"/>
        </w:rPr>
        <w:t>del Ecuador fue publicada en el tercer suplemento, del Registro Oficial, el 27 de diciembre de 2013.</w:t>
      </w:r>
    </w:p>
    <w:p w14:paraId="4F67AE6E" w14:textId="77777777" w:rsidR="00591D54" w:rsidRDefault="00591D54">
      <w:pPr>
        <w:shd w:val="clear" w:color="auto" w:fill="FFFFFF"/>
        <w:tabs>
          <w:tab w:val="left" w:pos="144"/>
        </w:tabs>
        <w:spacing w:before="154" w:line="178" w:lineRule="exact"/>
        <w:ind w:left="144" w:hanging="144"/>
        <w:jc w:val="both"/>
      </w:pPr>
      <w:r>
        <w:rPr>
          <w:spacing w:val="-5"/>
          <w:sz w:val="8"/>
          <w:szCs w:val="8"/>
          <w:vertAlign w:val="superscript"/>
          <w:lang w:val="es-ES_tradnl"/>
        </w:rPr>
        <w:t>10</w:t>
      </w:r>
      <w:r>
        <w:rPr>
          <w:sz w:val="18"/>
          <w:szCs w:val="18"/>
          <w:lang w:val="es-ES_tradnl"/>
        </w:rPr>
        <w:tab/>
      </w:r>
      <w:r>
        <w:rPr>
          <w:sz w:val="14"/>
          <w:szCs w:val="14"/>
          <w:lang w:val="es-ES_tradnl"/>
        </w:rPr>
        <w:t>La</w:t>
      </w:r>
      <w:r>
        <w:rPr>
          <w:sz w:val="18"/>
          <w:szCs w:val="18"/>
          <w:lang w:val="es-ES_tradnl"/>
        </w:rPr>
        <w:t xml:space="preserve"> </w:t>
      </w:r>
      <w:r>
        <w:rPr>
          <w:sz w:val="14"/>
          <w:szCs w:val="14"/>
          <w:lang w:val="es-ES_tradnl"/>
        </w:rPr>
        <w:t>vigente</w:t>
      </w:r>
      <w:r>
        <w:rPr>
          <w:sz w:val="18"/>
          <w:szCs w:val="18"/>
          <w:lang w:val="es-ES_tradnl"/>
        </w:rPr>
        <w:t xml:space="preserve"> </w:t>
      </w:r>
      <w:r>
        <w:rPr>
          <w:sz w:val="14"/>
          <w:szCs w:val="14"/>
          <w:lang w:val="es-ES_tradnl"/>
        </w:rPr>
        <w:t>Constituci</w:t>
      </w:r>
      <w:r>
        <w:rPr>
          <w:rFonts w:cs="Times New Roman"/>
          <w:sz w:val="14"/>
          <w:szCs w:val="14"/>
          <w:lang w:val="es-ES_tradnl"/>
        </w:rPr>
        <w:t>ó</w:t>
      </w:r>
      <w:r>
        <w:rPr>
          <w:sz w:val="14"/>
          <w:szCs w:val="14"/>
          <w:lang w:val="es-ES_tradnl"/>
        </w:rPr>
        <w:t>n</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fue</w:t>
      </w:r>
      <w:r>
        <w:rPr>
          <w:sz w:val="18"/>
          <w:szCs w:val="18"/>
          <w:lang w:val="es-ES_tradnl"/>
        </w:rPr>
        <w:t xml:space="preserve"> </w:t>
      </w:r>
      <w:r>
        <w:rPr>
          <w:sz w:val="14"/>
          <w:szCs w:val="14"/>
          <w:lang w:val="es-ES_tradnl"/>
        </w:rPr>
        <w:t>publicada</w:t>
      </w:r>
      <w:r>
        <w:rPr>
          <w:sz w:val="18"/>
          <w:szCs w:val="18"/>
          <w:lang w:val="es-ES_tradnl"/>
        </w:rPr>
        <w:t xml:space="preserve"> </w:t>
      </w:r>
      <w:r>
        <w:rPr>
          <w:sz w:val="14"/>
          <w:szCs w:val="14"/>
          <w:lang w:val="es-ES_tradnl"/>
        </w:rPr>
        <w:t>en</w:t>
      </w:r>
      <w:r>
        <w:rPr>
          <w:sz w:val="18"/>
          <w:szCs w:val="18"/>
          <w:lang w:val="es-ES_tradnl"/>
        </w:rPr>
        <w:t xml:space="preserve"> </w:t>
      </w:r>
      <w:r>
        <w:rPr>
          <w:sz w:val="14"/>
          <w:szCs w:val="14"/>
          <w:lang w:val="es-ES_tradnl"/>
        </w:rPr>
        <w:t>el</w:t>
      </w:r>
      <w:r>
        <w:rPr>
          <w:sz w:val="18"/>
          <w:szCs w:val="18"/>
          <w:lang w:val="es-ES_tradnl"/>
        </w:rPr>
        <w:t xml:space="preserve"> </w:t>
      </w:r>
      <w:r>
        <w:rPr>
          <w:sz w:val="14"/>
          <w:szCs w:val="14"/>
          <w:lang w:val="es-ES_tradnl"/>
        </w:rPr>
        <w:t>Registro Oficial N.</w:t>
      </w:r>
      <w:r>
        <w:rPr>
          <w:rFonts w:cs="Times New Roman"/>
          <w:sz w:val="14"/>
          <w:szCs w:val="14"/>
          <w:lang w:val="es-ES_tradnl"/>
        </w:rPr>
        <w:t>º</w:t>
      </w:r>
      <w:r>
        <w:rPr>
          <w:sz w:val="14"/>
          <w:szCs w:val="14"/>
          <w:lang w:val="es-ES_tradnl"/>
        </w:rPr>
        <w:t xml:space="preserve"> 449, el 20 de octubre de 2008.</w:t>
      </w:r>
    </w:p>
    <w:p w14:paraId="4F67AE6F" w14:textId="77777777" w:rsidR="00591D54" w:rsidRDefault="00591D54">
      <w:pPr>
        <w:shd w:val="clear" w:color="auto" w:fill="FFFFFF"/>
        <w:tabs>
          <w:tab w:val="left" w:pos="144"/>
        </w:tabs>
        <w:spacing w:before="154" w:line="178" w:lineRule="exact"/>
        <w:ind w:left="144" w:hanging="144"/>
        <w:jc w:val="both"/>
      </w:pPr>
      <w:r>
        <w:rPr>
          <w:spacing w:val="-40"/>
          <w:sz w:val="14"/>
          <w:szCs w:val="14"/>
          <w:vertAlign w:val="superscript"/>
          <w:lang w:val="es-ES_tradnl"/>
        </w:rPr>
        <w:t>11</w:t>
      </w:r>
      <w:r>
        <w:rPr>
          <w:sz w:val="18"/>
          <w:szCs w:val="18"/>
          <w:lang w:val="es-ES_tradnl"/>
        </w:rPr>
        <w:tab/>
      </w:r>
      <w:r>
        <w:rPr>
          <w:sz w:val="14"/>
          <w:szCs w:val="14"/>
          <w:lang w:val="es-ES_tradnl"/>
        </w:rPr>
        <w:t>El</w:t>
      </w:r>
      <w:r>
        <w:rPr>
          <w:sz w:val="18"/>
          <w:szCs w:val="18"/>
          <w:lang w:val="es-ES_tradnl"/>
        </w:rPr>
        <w:t xml:space="preserve"> </w:t>
      </w:r>
      <w:r>
        <w:rPr>
          <w:sz w:val="14"/>
          <w:szCs w:val="14"/>
          <w:lang w:val="es-ES_tradnl"/>
        </w:rPr>
        <w:t>art</w:t>
      </w:r>
      <w:r>
        <w:rPr>
          <w:rFonts w:cs="Times New Roman"/>
          <w:sz w:val="14"/>
          <w:szCs w:val="14"/>
          <w:lang w:val="es-ES_tradnl"/>
        </w:rPr>
        <w:t>í</w:t>
      </w:r>
      <w:r>
        <w:rPr>
          <w:sz w:val="14"/>
          <w:szCs w:val="14"/>
          <w:lang w:val="es-ES_tradnl"/>
        </w:rPr>
        <w:t>culo</w:t>
      </w:r>
      <w:r>
        <w:rPr>
          <w:sz w:val="18"/>
          <w:szCs w:val="18"/>
          <w:lang w:val="es-ES_tradnl"/>
        </w:rPr>
        <w:t xml:space="preserve"> </w:t>
      </w:r>
      <w:r>
        <w:rPr>
          <w:sz w:val="14"/>
          <w:szCs w:val="14"/>
          <w:lang w:val="es-ES_tradnl"/>
        </w:rPr>
        <w:t>426</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la</w:t>
      </w:r>
      <w:r>
        <w:rPr>
          <w:sz w:val="18"/>
          <w:szCs w:val="18"/>
          <w:lang w:val="es-ES_tradnl"/>
        </w:rPr>
        <w:t xml:space="preserve"> </w:t>
      </w:r>
      <w:r>
        <w:rPr>
          <w:sz w:val="14"/>
          <w:szCs w:val="14"/>
          <w:lang w:val="es-ES_tradnl"/>
        </w:rPr>
        <w:t>Constituci</w:t>
      </w:r>
      <w:r>
        <w:rPr>
          <w:rFonts w:cs="Times New Roman"/>
          <w:sz w:val="14"/>
          <w:szCs w:val="14"/>
          <w:lang w:val="es-ES_tradnl"/>
        </w:rPr>
        <w:t>ó</w:t>
      </w:r>
      <w:r>
        <w:rPr>
          <w:sz w:val="14"/>
          <w:szCs w:val="14"/>
          <w:lang w:val="es-ES_tradnl"/>
        </w:rPr>
        <w:t>n</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la</w:t>
      </w:r>
      <w:r>
        <w:rPr>
          <w:sz w:val="18"/>
          <w:szCs w:val="18"/>
          <w:lang w:val="es-ES_tradnl"/>
        </w:rPr>
        <w:t xml:space="preserve"> </w:t>
      </w:r>
      <w:r>
        <w:rPr>
          <w:sz w:val="14"/>
          <w:szCs w:val="14"/>
          <w:lang w:val="es-ES_tradnl"/>
        </w:rPr>
        <w:t>Rep</w:t>
      </w:r>
      <w:r>
        <w:rPr>
          <w:rFonts w:cs="Times New Roman"/>
          <w:sz w:val="14"/>
          <w:szCs w:val="14"/>
          <w:lang w:val="es-ES_tradnl"/>
        </w:rPr>
        <w:t>ú</w:t>
      </w:r>
      <w:r>
        <w:rPr>
          <w:sz w:val="14"/>
          <w:szCs w:val="14"/>
          <w:lang w:val="es-ES_tradnl"/>
        </w:rPr>
        <w:t>blica</w:t>
      </w:r>
      <w:r>
        <w:rPr>
          <w:sz w:val="18"/>
          <w:szCs w:val="18"/>
          <w:lang w:val="es-ES_tradnl"/>
        </w:rPr>
        <w:t xml:space="preserve"> </w:t>
      </w:r>
      <w:r>
        <w:rPr>
          <w:sz w:val="14"/>
          <w:szCs w:val="14"/>
          <w:lang w:val="es-ES_tradnl"/>
        </w:rPr>
        <w:t>dispone: </w:t>
      </w:r>
      <w:r>
        <w:rPr>
          <w:rFonts w:cs="Times New Roman"/>
          <w:spacing w:val="-2"/>
          <w:sz w:val="14"/>
          <w:szCs w:val="14"/>
          <w:lang w:val="es-ES_tradnl"/>
        </w:rPr>
        <w:t>“</w:t>
      </w:r>
      <w:r>
        <w:rPr>
          <w:spacing w:val="-2"/>
          <w:sz w:val="14"/>
          <w:szCs w:val="14"/>
          <w:lang w:val="es-ES_tradnl"/>
        </w:rPr>
        <w:t>Todas las personas, autoridades e instituciones est</w:t>
      </w:r>
      <w:r>
        <w:rPr>
          <w:rFonts w:cs="Times New Roman"/>
          <w:spacing w:val="-2"/>
          <w:sz w:val="14"/>
          <w:szCs w:val="14"/>
          <w:lang w:val="es-ES_tradnl"/>
        </w:rPr>
        <w:t>á</w:t>
      </w:r>
      <w:r>
        <w:rPr>
          <w:spacing w:val="-2"/>
          <w:sz w:val="14"/>
          <w:szCs w:val="14"/>
          <w:lang w:val="es-ES_tradnl"/>
        </w:rPr>
        <w:t>n sujetas a la </w:t>
      </w:r>
      <w:r>
        <w:rPr>
          <w:spacing w:val="-1"/>
          <w:sz w:val="14"/>
          <w:szCs w:val="14"/>
          <w:lang w:val="es-ES_tradnl"/>
        </w:rPr>
        <w:t>Constituci</w:t>
      </w:r>
      <w:r>
        <w:rPr>
          <w:rFonts w:cs="Times New Roman"/>
          <w:spacing w:val="-1"/>
          <w:sz w:val="14"/>
          <w:szCs w:val="14"/>
          <w:lang w:val="es-ES_tradnl"/>
        </w:rPr>
        <w:t>ó</w:t>
      </w:r>
      <w:r>
        <w:rPr>
          <w:spacing w:val="-1"/>
          <w:sz w:val="14"/>
          <w:szCs w:val="14"/>
          <w:lang w:val="es-ES_tradnl"/>
        </w:rPr>
        <w:t>n. Las juezas y jueces, autoridades administrativas y </w:t>
      </w:r>
      <w:r>
        <w:rPr>
          <w:spacing w:val="-2"/>
          <w:sz w:val="14"/>
          <w:szCs w:val="14"/>
          <w:lang w:val="es-ES_tradnl"/>
        </w:rPr>
        <w:t>servidoras y servidores p</w:t>
      </w:r>
      <w:r>
        <w:rPr>
          <w:rFonts w:cs="Times New Roman"/>
          <w:spacing w:val="-2"/>
          <w:sz w:val="14"/>
          <w:szCs w:val="14"/>
          <w:lang w:val="es-ES_tradnl"/>
        </w:rPr>
        <w:t>ú</w:t>
      </w:r>
      <w:r>
        <w:rPr>
          <w:spacing w:val="-2"/>
          <w:sz w:val="14"/>
          <w:szCs w:val="14"/>
          <w:lang w:val="es-ES_tradnl"/>
        </w:rPr>
        <w:t>blicos, aplicar</w:t>
      </w:r>
      <w:r>
        <w:rPr>
          <w:rFonts w:cs="Times New Roman"/>
          <w:spacing w:val="-2"/>
          <w:sz w:val="14"/>
          <w:szCs w:val="14"/>
          <w:lang w:val="es-ES_tradnl"/>
        </w:rPr>
        <w:t>á</w:t>
      </w:r>
      <w:r>
        <w:rPr>
          <w:spacing w:val="-2"/>
          <w:sz w:val="14"/>
          <w:szCs w:val="14"/>
          <w:lang w:val="es-ES_tradnl"/>
        </w:rPr>
        <w:t>n directamente las normas </w:t>
      </w:r>
      <w:r>
        <w:rPr>
          <w:spacing w:val="-1"/>
          <w:sz w:val="14"/>
          <w:szCs w:val="14"/>
          <w:lang w:val="es-ES_tradnl"/>
        </w:rPr>
        <w:t>constitucionales y las previstas en los instrumentos internacionales de derechos humanos siempre que sean m</w:t>
      </w:r>
      <w:r>
        <w:rPr>
          <w:rFonts w:cs="Times New Roman"/>
          <w:spacing w:val="-1"/>
          <w:sz w:val="14"/>
          <w:szCs w:val="14"/>
          <w:lang w:val="es-ES_tradnl"/>
        </w:rPr>
        <w:t>á</w:t>
      </w:r>
      <w:r>
        <w:rPr>
          <w:spacing w:val="-1"/>
          <w:sz w:val="14"/>
          <w:szCs w:val="14"/>
          <w:lang w:val="es-ES_tradnl"/>
        </w:rPr>
        <w:t>s favorables a las </w:t>
      </w:r>
      <w:r>
        <w:rPr>
          <w:spacing w:val="-2"/>
          <w:sz w:val="14"/>
          <w:szCs w:val="14"/>
          <w:lang w:val="es-ES_tradnl"/>
        </w:rPr>
        <w:t>establecidas en la Constituci</w:t>
      </w:r>
      <w:r>
        <w:rPr>
          <w:rFonts w:cs="Times New Roman"/>
          <w:spacing w:val="-2"/>
          <w:sz w:val="14"/>
          <w:szCs w:val="14"/>
          <w:lang w:val="es-ES_tradnl"/>
        </w:rPr>
        <w:t>ó</w:t>
      </w:r>
      <w:r>
        <w:rPr>
          <w:spacing w:val="-2"/>
          <w:sz w:val="14"/>
          <w:szCs w:val="14"/>
          <w:lang w:val="es-ES_tradnl"/>
        </w:rPr>
        <w:t>n, aunque las partes no las invoquen </w:t>
      </w:r>
      <w:r>
        <w:rPr>
          <w:sz w:val="14"/>
          <w:szCs w:val="14"/>
          <w:lang w:val="es-ES_tradnl"/>
        </w:rPr>
        <w:t>expresamente.</w:t>
      </w:r>
    </w:p>
    <w:p w14:paraId="4F67AE70" w14:textId="77777777" w:rsidR="00591D54" w:rsidRDefault="00591D54">
      <w:pPr>
        <w:shd w:val="clear" w:color="auto" w:fill="FFFFFF"/>
        <w:spacing w:line="178" w:lineRule="exact"/>
        <w:ind w:left="144"/>
        <w:jc w:val="both"/>
      </w:pPr>
      <w:r>
        <w:rPr>
          <w:spacing w:val="-1"/>
          <w:sz w:val="14"/>
          <w:szCs w:val="14"/>
          <w:lang w:val="es-ES_tradnl"/>
        </w:rPr>
        <w:t>Los derechos consagrados en la Constituci</w:t>
      </w:r>
      <w:r>
        <w:rPr>
          <w:rFonts w:cs="Times New Roman"/>
          <w:spacing w:val="-1"/>
          <w:sz w:val="14"/>
          <w:szCs w:val="14"/>
          <w:lang w:val="es-ES_tradnl"/>
        </w:rPr>
        <w:t>ó</w:t>
      </w:r>
      <w:r>
        <w:rPr>
          <w:spacing w:val="-1"/>
          <w:sz w:val="14"/>
          <w:szCs w:val="14"/>
          <w:lang w:val="es-ES_tradnl"/>
        </w:rPr>
        <w:t xml:space="preserve">n y los instrumentos </w:t>
      </w:r>
      <w:r>
        <w:rPr>
          <w:sz w:val="14"/>
          <w:szCs w:val="14"/>
          <w:lang w:val="es-ES_tradnl"/>
        </w:rPr>
        <w:t>internacionales de derechos humanos ser</w:t>
      </w:r>
      <w:r>
        <w:rPr>
          <w:rFonts w:cs="Times New Roman"/>
          <w:sz w:val="14"/>
          <w:szCs w:val="14"/>
          <w:lang w:val="es-ES_tradnl"/>
        </w:rPr>
        <w:t>á</w:t>
      </w:r>
      <w:r>
        <w:rPr>
          <w:sz w:val="14"/>
          <w:szCs w:val="14"/>
          <w:lang w:val="es-ES_tradnl"/>
        </w:rPr>
        <w:t>n de inmediato cumplimiento y aplicaci</w:t>
      </w:r>
      <w:r>
        <w:rPr>
          <w:rFonts w:cs="Times New Roman"/>
          <w:sz w:val="14"/>
          <w:szCs w:val="14"/>
          <w:lang w:val="es-ES_tradnl"/>
        </w:rPr>
        <w:t>ó</w:t>
      </w:r>
      <w:r>
        <w:rPr>
          <w:sz w:val="14"/>
          <w:szCs w:val="14"/>
          <w:lang w:val="es-ES_tradnl"/>
        </w:rPr>
        <w:t>n. No podr</w:t>
      </w:r>
      <w:r>
        <w:rPr>
          <w:rFonts w:cs="Times New Roman"/>
          <w:sz w:val="14"/>
          <w:szCs w:val="14"/>
          <w:lang w:val="es-ES_tradnl"/>
        </w:rPr>
        <w:t>á</w:t>
      </w:r>
      <w:r>
        <w:rPr>
          <w:sz w:val="14"/>
          <w:szCs w:val="14"/>
          <w:lang w:val="es-ES_tradnl"/>
        </w:rPr>
        <w:t xml:space="preserve"> alegarse falta de ley o </w:t>
      </w:r>
      <w:r>
        <w:rPr>
          <w:spacing w:val="-2"/>
          <w:sz w:val="14"/>
          <w:szCs w:val="14"/>
          <w:lang w:val="es-ES_tradnl"/>
        </w:rPr>
        <w:t>desconocimiento de las normas para justificar la vulneraci</w:t>
      </w:r>
      <w:r>
        <w:rPr>
          <w:rFonts w:cs="Times New Roman"/>
          <w:spacing w:val="-2"/>
          <w:sz w:val="14"/>
          <w:szCs w:val="14"/>
          <w:lang w:val="es-ES_tradnl"/>
        </w:rPr>
        <w:t>ó</w:t>
      </w:r>
      <w:r>
        <w:rPr>
          <w:spacing w:val="-2"/>
          <w:sz w:val="14"/>
          <w:szCs w:val="14"/>
          <w:lang w:val="es-ES_tradnl"/>
        </w:rPr>
        <w:t xml:space="preserve">n de los </w:t>
      </w:r>
      <w:r>
        <w:rPr>
          <w:spacing w:val="-4"/>
          <w:sz w:val="14"/>
          <w:szCs w:val="14"/>
          <w:lang w:val="es-ES_tradnl"/>
        </w:rPr>
        <w:t>derechos y garant</w:t>
      </w:r>
      <w:r>
        <w:rPr>
          <w:rFonts w:cs="Times New Roman"/>
          <w:spacing w:val="-4"/>
          <w:sz w:val="14"/>
          <w:szCs w:val="14"/>
          <w:lang w:val="es-ES_tradnl"/>
        </w:rPr>
        <w:t>í</w:t>
      </w:r>
      <w:r>
        <w:rPr>
          <w:spacing w:val="-4"/>
          <w:sz w:val="14"/>
          <w:szCs w:val="14"/>
          <w:lang w:val="es-ES_tradnl"/>
        </w:rPr>
        <w:t>as establecidos en la Constituci</w:t>
      </w:r>
      <w:r>
        <w:rPr>
          <w:rFonts w:cs="Times New Roman"/>
          <w:spacing w:val="-4"/>
          <w:sz w:val="14"/>
          <w:szCs w:val="14"/>
          <w:lang w:val="es-ES_tradnl"/>
        </w:rPr>
        <w:t>ó</w:t>
      </w:r>
      <w:r>
        <w:rPr>
          <w:spacing w:val="-4"/>
          <w:sz w:val="14"/>
          <w:szCs w:val="14"/>
          <w:lang w:val="es-ES_tradnl"/>
        </w:rPr>
        <w:t xml:space="preserve">n, para desechar la </w:t>
      </w:r>
      <w:r>
        <w:rPr>
          <w:spacing w:val="-3"/>
          <w:sz w:val="14"/>
          <w:szCs w:val="14"/>
          <w:lang w:val="es-ES_tradnl"/>
        </w:rPr>
        <w:t>acci</w:t>
      </w:r>
      <w:r>
        <w:rPr>
          <w:rFonts w:cs="Times New Roman"/>
          <w:spacing w:val="-3"/>
          <w:sz w:val="14"/>
          <w:szCs w:val="14"/>
          <w:lang w:val="es-ES_tradnl"/>
        </w:rPr>
        <w:t>ó</w:t>
      </w:r>
      <w:r>
        <w:rPr>
          <w:spacing w:val="-3"/>
          <w:sz w:val="14"/>
          <w:szCs w:val="14"/>
          <w:lang w:val="es-ES_tradnl"/>
        </w:rPr>
        <w:t xml:space="preserve">n interpuesta en su defensa, ni para negar el reconocimiento de </w:t>
      </w:r>
      <w:r>
        <w:rPr>
          <w:sz w:val="14"/>
          <w:szCs w:val="14"/>
          <w:lang w:val="es-ES_tradnl"/>
        </w:rPr>
        <w:t>tales derechos</w:t>
      </w:r>
      <w:r>
        <w:rPr>
          <w:rFonts w:cs="Times New Roman"/>
          <w:sz w:val="14"/>
          <w:szCs w:val="14"/>
          <w:lang w:val="es-ES_tradnl"/>
        </w:rPr>
        <w:t>”</w:t>
      </w:r>
      <w:r>
        <w:rPr>
          <w:sz w:val="14"/>
          <w:szCs w:val="14"/>
          <w:lang w:val="es-ES_tradnl"/>
        </w:rPr>
        <w:t>.</w:t>
      </w:r>
    </w:p>
    <w:p w14:paraId="4F67AE71" w14:textId="77777777" w:rsidR="00591D54" w:rsidRDefault="00591D54">
      <w:pPr>
        <w:shd w:val="clear" w:color="auto" w:fill="FFFFFF"/>
        <w:spacing w:line="178" w:lineRule="exact"/>
        <w:ind w:left="144"/>
        <w:jc w:val="both"/>
        <w:sectPr w:rsidR="00591D54">
          <w:type w:val="continuous"/>
          <w:pgSz w:w="11909" w:h="16834"/>
          <w:pgMar w:top="1356" w:right="1309" w:bottom="360" w:left="1308" w:header="720" w:footer="720" w:gutter="0"/>
          <w:cols w:num="2" w:space="720" w:equalWidth="0">
            <w:col w:w="4305" w:space="682"/>
            <w:col w:w="4305"/>
          </w:cols>
          <w:noEndnote/>
        </w:sectPr>
      </w:pPr>
    </w:p>
    <w:p w14:paraId="4F67AE72" w14:textId="77777777" w:rsidR="00591D54" w:rsidRDefault="00591D54">
      <w:pPr>
        <w:shd w:val="clear" w:color="auto" w:fill="FFFFFF"/>
        <w:tabs>
          <w:tab w:val="left" w:pos="4814"/>
        </w:tabs>
        <w:spacing w:after="235"/>
        <w:ind w:left="14"/>
      </w:pPr>
      <w:r>
        <w:rPr>
          <w:b/>
          <w:bCs/>
          <w:sz w:val="18"/>
          <w:szCs w:val="18"/>
          <w:lang w:val="es-ES_tradnl"/>
        </w:rPr>
        <w:t xml:space="preserve">134 -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E73" w14:textId="77777777" w:rsidR="00591D54" w:rsidRDefault="00591D54">
      <w:pPr>
        <w:shd w:val="clear" w:color="auto" w:fill="FFFFFF"/>
        <w:tabs>
          <w:tab w:val="left" w:pos="4814"/>
        </w:tabs>
        <w:spacing w:after="235"/>
        <w:ind w:left="14"/>
        <w:sectPr w:rsidR="00591D54">
          <w:pgSz w:w="11909" w:h="16834"/>
          <w:pgMar w:top="1366" w:right="1309" w:bottom="360" w:left="1308" w:header="720" w:footer="720" w:gutter="0"/>
          <w:cols w:space="60"/>
          <w:noEndnote/>
        </w:sectPr>
      </w:pPr>
    </w:p>
    <w:p w14:paraId="4F67AE74" w14:textId="77777777" w:rsidR="00591D54" w:rsidRDefault="00591D54">
      <w:pPr>
        <w:shd w:val="clear" w:color="auto" w:fill="FFFFFF"/>
        <w:spacing w:line="216" w:lineRule="exact"/>
        <w:jc w:val="both"/>
      </w:pPr>
      <w:r>
        <w:rPr>
          <w:spacing w:val="-1"/>
          <w:sz w:val="18"/>
          <w:szCs w:val="18"/>
          <w:lang w:val="es-ES_tradnl"/>
        </w:rPr>
        <w:t>reconocidos en la Constituci</w:t>
      </w:r>
      <w:r>
        <w:rPr>
          <w:rFonts w:cs="Times New Roman"/>
          <w:spacing w:val="-1"/>
          <w:sz w:val="18"/>
          <w:szCs w:val="18"/>
          <w:lang w:val="es-ES_tradnl"/>
        </w:rPr>
        <w:t>ó</w:t>
      </w:r>
      <w:r>
        <w:rPr>
          <w:spacing w:val="-1"/>
          <w:sz w:val="18"/>
          <w:szCs w:val="18"/>
          <w:lang w:val="es-ES_tradnl"/>
        </w:rPr>
        <w:t xml:space="preserve">n, cuando </w:t>
      </w:r>
      <w:r>
        <w:rPr>
          <w:rFonts w:cs="Times New Roman"/>
          <w:spacing w:val="-1"/>
          <w:sz w:val="18"/>
          <w:szCs w:val="18"/>
          <w:lang w:val="es-ES_tradnl"/>
        </w:rPr>
        <w:t>–</w:t>
      </w:r>
      <w:r>
        <w:rPr>
          <w:spacing w:val="-1"/>
          <w:sz w:val="18"/>
          <w:szCs w:val="18"/>
          <w:lang w:val="es-ES_tradnl"/>
        </w:rPr>
        <w:t>entre otros</w:t>
      </w:r>
      <w:r>
        <w:rPr>
          <w:rFonts w:cs="Times New Roman"/>
          <w:spacing w:val="-1"/>
          <w:sz w:val="18"/>
          <w:szCs w:val="18"/>
          <w:lang w:val="es-ES_tradnl"/>
        </w:rPr>
        <w:t xml:space="preserve">– </w:t>
      </w:r>
      <w:r>
        <w:rPr>
          <w:spacing w:val="-5"/>
          <w:sz w:val="18"/>
          <w:szCs w:val="18"/>
          <w:lang w:val="es-ES_tradnl"/>
        </w:rPr>
        <w:t>los actos u omisiones de cualquier autoridad p</w:t>
      </w:r>
      <w:r>
        <w:rPr>
          <w:rFonts w:cs="Times New Roman"/>
          <w:spacing w:val="-5"/>
          <w:sz w:val="18"/>
          <w:szCs w:val="18"/>
          <w:lang w:val="es-ES_tradnl"/>
        </w:rPr>
        <w:t>ú</w:t>
      </w:r>
      <w:r>
        <w:rPr>
          <w:spacing w:val="-5"/>
          <w:sz w:val="18"/>
          <w:szCs w:val="18"/>
          <w:lang w:val="es-ES_tradnl"/>
        </w:rPr>
        <w:t xml:space="preserve">blica no </w:t>
      </w:r>
      <w:r>
        <w:rPr>
          <w:spacing w:val="-8"/>
          <w:sz w:val="18"/>
          <w:szCs w:val="18"/>
          <w:lang w:val="es-ES_tradnl"/>
        </w:rPr>
        <w:t>judicial, supongan la privaci</w:t>
      </w:r>
      <w:r>
        <w:rPr>
          <w:rFonts w:cs="Times New Roman"/>
          <w:spacing w:val="-8"/>
          <w:sz w:val="18"/>
          <w:szCs w:val="18"/>
          <w:lang w:val="es-ES_tradnl"/>
        </w:rPr>
        <w:t>ó</w:t>
      </w:r>
      <w:r>
        <w:rPr>
          <w:spacing w:val="-8"/>
          <w:sz w:val="18"/>
          <w:szCs w:val="18"/>
          <w:lang w:val="es-ES_tradnl"/>
        </w:rPr>
        <w:t xml:space="preserve">n del ejercicio de los derechos </w:t>
      </w:r>
      <w:r>
        <w:rPr>
          <w:sz w:val="18"/>
          <w:szCs w:val="18"/>
          <w:lang w:val="es-ES_tradnl"/>
        </w:rPr>
        <w:t>constitucionales.</w:t>
      </w:r>
    </w:p>
    <w:p w14:paraId="4F67AE75" w14:textId="77777777" w:rsidR="00591D54" w:rsidRDefault="00591D54">
      <w:pPr>
        <w:shd w:val="clear" w:color="auto" w:fill="FFFFFF"/>
        <w:spacing w:before="197" w:line="216" w:lineRule="exact"/>
        <w:jc w:val="both"/>
      </w:pPr>
      <w:r>
        <w:rPr>
          <w:spacing w:val="-4"/>
          <w:sz w:val="18"/>
          <w:szCs w:val="18"/>
          <w:lang w:val="es-ES_tradnl"/>
        </w:rPr>
        <w:t>En este orden de ideas, tambi</w:t>
      </w:r>
      <w:r>
        <w:rPr>
          <w:rFonts w:cs="Times New Roman"/>
          <w:spacing w:val="-4"/>
          <w:sz w:val="18"/>
          <w:szCs w:val="18"/>
          <w:lang w:val="es-ES_tradnl"/>
        </w:rPr>
        <w:t>é</w:t>
      </w:r>
      <w:r>
        <w:rPr>
          <w:spacing w:val="-4"/>
          <w:sz w:val="18"/>
          <w:szCs w:val="18"/>
          <w:lang w:val="es-ES_tradnl"/>
        </w:rPr>
        <w:t xml:space="preserve">n debe recordarse lo </w:t>
      </w:r>
      <w:r>
        <w:rPr>
          <w:spacing w:val="-9"/>
          <w:sz w:val="18"/>
          <w:szCs w:val="18"/>
          <w:lang w:val="es-ES_tradnl"/>
        </w:rPr>
        <w:t xml:space="preserve">dispuesto por la Corte Constitucional, mediante la sentencia </w:t>
      </w:r>
      <w:r>
        <w:rPr>
          <w:sz w:val="18"/>
          <w:szCs w:val="18"/>
          <w:lang w:val="es-ES_tradnl"/>
        </w:rPr>
        <w:t>N.</w:t>
      </w:r>
      <w:r>
        <w:rPr>
          <w:rFonts w:cs="Times New Roman"/>
          <w:sz w:val="18"/>
          <w:szCs w:val="18"/>
          <w:lang w:val="es-ES_tradnl"/>
        </w:rPr>
        <w:t>º</w:t>
      </w:r>
      <w:r>
        <w:rPr>
          <w:sz w:val="18"/>
          <w:szCs w:val="18"/>
          <w:lang w:val="es-ES_tradnl"/>
        </w:rPr>
        <w:t xml:space="preserve"> 016-13-SEP-CC, en la cual afirm</w:t>
      </w:r>
      <w:r>
        <w:rPr>
          <w:rFonts w:cs="Times New Roman"/>
          <w:sz w:val="18"/>
          <w:szCs w:val="18"/>
          <w:lang w:val="es-ES_tradnl"/>
        </w:rPr>
        <w:t>ó</w:t>
      </w:r>
      <w:r>
        <w:rPr>
          <w:sz w:val="18"/>
          <w:szCs w:val="18"/>
          <w:lang w:val="es-ES_tradnl"/>
        </w:rPr>
        <w:t>:</w:t>
      </w:r>
    </w:p>
    <w:p w14:paraId="4F67AE76" w14:textId="77777777" w:rsidR="00591D54" w:rsidRDefault="00591D54">
      <w:pPr>
        <w:shd w:val="clear" w:color="auto" w:fill="FFFFFF"/>
        <w:spacing w:before="202" w:line="216" w:lineRule="exact"/>
        <w:ind w:left="283" w:right="5"/>
        <w:jc w:val="both"/>
      </w:pPr>
      <w:r>
        <w:rPr>
          <w:spacing w:val="-4"/>
          <w:sz w:val="16"/>
          <w:szCs w:val="16"/>
          <w:lang w:val="es-ES_tradnl"/>
        </w:rPr>
        <w:t>(</w:t>
      </w:r>
      <w:r>
        <w:rPr>
          <w:rFonts w:cs="Times New Roman"/>
          <w:spacing w:val="-4"/>
          <w:sz w:val="16"/>
          <w:szCs w:val="16"/>
          <w:lang w:val="es-ES_tradnl"/>
        </w:rPr>
        <w:t>…</w:t>
      </w:r>
      <w:r>
        <w:rPr>
          <w:spacing w:val="-4"/>
          <w:sz w:val="16"/>
          <w:szCs w:val="16"/>
          <w:lang w:val="es-ES_tradnl"/>
        </w:rPr>
        <w:t>) la acci</w:t>
      </w:r>
      <w:r>
        <w:rPr>
          <w:rFonts w:cs="Times New Roman"/>
          <w:spacing w:val="-4"/>
          <w:sz w:val="16"/>
          <w:szCs w:val="16"/>
          <w:lang w:val="es-ES_tradnl"/>
        </w:rPr>
        <w:t>ó</w:t>
      </w:r>
      <w:r>
        <w:rPr>
          <w:spacing w:val="-4"/>
          <w:sz w:val="16"/>
          <w:szCs w:val="16"/>
          <w:lang w:val="es-ES_tradnl"/>
        </w:rPr>
        <w:t>n de protecci</w:t>
      </w:r>
      <w:r>
        <w:rPr>
          <w:rFonts w:cs="Times New Roman"/>
          <w:spacing w:val="-4"/>
          <w:sz w:val="16"/>
          <w:szCs w:val="16"/>
          <w:lang w:val="es-ES_tradnl"/>
        </w:rPr>
        <w:t>ó</w:t>
      </w:r>
      <w:r>
        <w:rPr>
          <w:spacing w:val="-4"/>
          <w:sz w:val="16"/>
          <w:szCs w:val="16"/>
          <w:lang w:val="es-ES_tradnl"/>
        </w:rPr>
        <w:t>n es la garant</w:t>
      </w:r>
      <w:r>
        <w:rPr>
          <w:rFonts w:cs="Times New Roman"/>
          <w:spacing w:val="-4"/>
          <w:sz w:val="16"/>
          <w:szCs w:val="16"/>
          <w:lang w:val="es-ES_tradnl"/>
        </w:rPr>
        <w:t>í</w:t>
      </w:r>
      <w:r>
        <w:rPr>
          <w:spacing w:val="-4"/>
          <w:sz w:val="16"/>
          <w:szCs w:val="16"/>
          <w:lang w:val="es-ES_tradnl"/>
        </w:rPr>
        <w:t>a id</w:t>
      </w:r>
      <w:r>
        <w:rPr>
          <w:rFonts w:cs="Times New Roman"/>
          <w:spacing w:val="-4"/>
          <w:sz w:val="16"/>
          <w:szCs w:val="16"/>
          <w:lang w:val="es-ES_tradnl"/>
        </w:rPr>
        <w:t>ó</w:t>
      </w:r>
      <w:r>
        <w:rPr>
          <w:spacing w:val="-4"/>
          <w:sz w:val="16"/>
          <w:szCs w:val="16"/>
          <w:lang w:val="es-ES_tradnl"/>
        </w:rPr>
        <w:t xml:space="preserve">nea y eficaz </w:t>
      </w:r>
      <w:r>
        <w:rPr>
          <w:spacing w:val="-6"/>
          <w:sz w:val="16"/>
          <w:szCs w:val="16"/>
          <w:lang w:val="es-ES_tradnl"/>
        </w:rPr>
        <w:t xml:space="preserve">que procede cuando el juez efectivamente verifica una real </w:t>
      </w:r>
      <w:r>
        <w:rPr>
          <w:spacing w:val="-2"/>
          <w:sz w:val="16"/>
          <w:szCs w:val="16"/>
          <w:lang w:val="es-ES_tradnl"/>
        </w:rPr>
        <w:t>vulneraci</w:t>
      </w:r>
      <w:r>
        <w:rPr>
          <w:rFonts w:cs="Times New Roman"/>
          <w:spacing w:val="-2"/>
          <w:sz w:val="16"/>
          <w:szCs w:val="16"/>
          <w:lang w:val="es-ES_tradnl"/>
        </w:rPr>
        <w:t>ó</w:t>
      </w:r>
      <w:r>
        <w:rPr>
          <w:spacing w:val="-2"/>
          <w:sz w:val="16"/>
          <w:szCs w:val="16"/>
          <w:lang w:val="es-ES_tradnl"/>
        </w:rPr>
        <w:t xml:space="preserve">n a derechos constitucionales, con lo cual, no </w:t>
      </w:r>
      <w:r>
        <w:rPr>
          <w:spacing w:val="-8"/>
          <w:sz w:val="16"/>
          <w:szCs w:val="16"/>
          <w:lang w:val="es-ES_tradnl"/>
        </w:rPr>
        <w:t>existe otra v</w:t>
      </w:r>
      <w:r>
        <w:rPr>
          <w:rFonts w:cs="Times New Roman"/>
          <w:spacing w:val="-8"/>
          <w:sz w:val="16"/>
          <w:szCs w:val="16"/>
          <w:lang w:val="es-ES_tradnl"/>
        </w:rPr>
        <w:t>í</w:t>
      </w:r>
      <w:r>
        <w:rPr>
          <w:spacing w:val="-8"/>
          <w:sz w:val="16"/>
          <w:szCs w:val="16"/>
          <w:lang w:val="es-ES_tradnl"/>
        </w:rPr>
        <w:t xml:space="preserve">a para la tutela de estos derechos que no sean las </w:t>
      </w:r>
      <w:r>
        <w:rPr>
          <w:spacing w:val="-5"/>
          <w:sz w:val="16"/>
          <w:szCs w:val="16"/>
          <w:lang w:val="es-ES_tradnl"/>
        </w:rPr>
        <w:t>garant</w:t>
      </w:r>
      <w:r>
        <w:rPr>
          <w:rFonts w:cs="Times New Roman"/>
          <w:spacing w:val="-5"/>
          <w:sz w:val="16"/>
          <w:szCs w:val="16"/>
          <w:lang w:val="es-ES_tradnl"/>
        </w:rPr>
        <w:t>í</w:t>
      </w:r>
      <w:r>
        <w:rPr>
          <w:spacing w:val="-5"/>
          <w:sz w:val="16"/>
          <w:szCs w:val="16"/>
          <w:lang w:val="es-ES_tradnl"/>
        </w:rPr>
        <w:t>as jurisdiccionales. (</w:t>
      </w:r>
      <w:r>
        <w:rPr>
          <w:rFonts w:cs="Times New Roman"/>
          <w:spacing w:val="-5"/>
          <w:sz w:val="16"/>
          <w:szCs w:val="16"/>
          <w:lang w:val="es-ES_tradnl"/>
        </w:rPr>
        <w:t>…</w:t>
      </w:r>
      <w:r>
        <w:rPr>
          <w:spacing w:val="-5"/>
          <w:sz w:val="16"/>
          <w:szCs w:val="16"/>
          <w:lang w:val="es-ES_tradnl"/>
        </w:rPr>
        <w:t xml:space="preserve">) El juez constitucional cuando </w:t>
      </w:r>
      <w:r>
        <w:rPr>
          <w:spacing w:val="-6"/>
          <w:sz w:val="16"/>
          <w:szCs w:val="16"/>
          <w:lang w:val="es-ES_tradnl"/>
        </w:rPr>
        <w:t>de la sustanciaci</w:t>
      </w:r>
      <w:r>
        <w:rPr>
          <w:rFonts w:cs="Times New Roman"/>
          <w:spacing w:val="-6"/>
          <w:sz w:val="16"/>
          <w:szCs w:val="16"/>
          <w:lang w:val="es-ES_tradnl"/>
        </w:rPr>
        <w:t>ó</w:t>
      </w:r>
      <w:r>
        <w:rPr>
          <w:spacing w:val="-6"/>
          <w:sz w:val="16"/>
          <w:szCs w:val="16"/>
          <w:lang w:val="es-ES_tradnl"/>
        </w:rPr>
        <w:t>n de garant</w:t>
      </w:r>
      <w:r>
        <w:rPr>
          <w:rFonts w:cs="Times New Roman"/>
          <w:spacing w:val="-6"/>
          <w:sz w:val="16"/>
          <w:szCs w:val="16"/>
          <w:lang w:val="es-ES_tradnl"/>
        </w:rPr>
        <w:t>í</w:t>
      </w:r>
      <w:r>
        <w:rPr>
          <w:spacing w:val="-6"/>
          <w:sz w:val="16"/>
          <w:szCs w:val="16"/>
          <w:lang w:val="es-ES_tradnl"/>
        </w:rPr>
        <w:t>a jurisdiccional establezca que no existe vulneraci</w:t>
      </w:r>
      <w:r>
        <w:rPr>
          <w:rFonts w:cs="Times New Roman"/>
          <w:spacing w:val="-6"/>
          <w:sz w:val="16"/>
          <w:szCs w:val="16"/>
          <w:lang w:val="es-ES_tradnl"/>
        </w:rPr>
        <w:t>ó</w:t>
      </w:r>
      <w:r>
        <w:rPr>
          <w:spacing w:val="-6"/>
          <w:sz w:val="16"/>
          <w:szCs w:val="16"/>
          <w:lang w:val="es-ES_tradnl"/>
        </w:rPr>
        <w:t xml:space="preserve">n de derechos constitucionales, sino </w:t>
      </w:r>
      <w:r>
        <w:rPr>
          <w:rFonts w:cs="Times New Roman"/>
          <w:spacing w:val="-8"/>
          <w:sz w:val="16"/>
          <w:szCs w:val="16"/>
          <w:lang w:val="es-ES_tradnl"/>
        </w:rPr>
        <w:t>ú</w:t>
      </w:r>
      <w:r>
        <w:rPr>
          <w:spacing w:val="-8"/>
          <w:sz w:val="16"/>
          <w:szCs w:val="16"/>
          <w:lang w:val="es-ES_tradnl"/>
        </w:rPr>
        <w:t xml:space="preserve">nicamente posibles controversias de </w:t>
      </w:r>
      <w:r>
        <w:rPr>
          <w:rFonts w:cs="Times New Roman"/>
          <w:spacing w:val="-8"/>
          <w:sz w:val="16"/>
          <w:szCs w:val="16"/>
          <w:lang w:val="es-ES_tradnl"/>
        </w:rPr>
        <w:t>í</w:t>
      </w:r>
      <w:r>
        <w:rPr>
          <w:spacing w:val="-8"/>
          <w:sz w:val="16"/>
          <w:szCs w:val="16"/>
          <w:lang w:val="es-ES_tradnl"/>
        </w:rPr>
        <w:t xml:space="preserve">ndole infraconstitucional </w:t>
      </w:r>
      <w:r>
        <w:rPr>
          <w:spacing w:val="-4"/>
          <w:sz w:val="16"/>
          <w:szCs w:val="16"/>
          <w:lang w:val="es-ES_tradnl"/>
        </w:rPr>
        <w:t>puede se</w:t>
      </w:r>
      <w:r>
        <w:rPr>
          <w:rFonts w:cs="Times New Roman"/>
          <w:spacing w:val="-4"/>
          <w:sz w:val="16"/>
          <w:szCs w:val="16"/>
          <w:lang w:val="es-ES_tradnl"/>
        </w:rPr>
        <w:t>ñ</w:t>
      </w:r>
      <w:r>
        <w:rPr>
          <w:spacing w:val="-4"/>
          <w:sz w:val="16"/>
          <w:szCs w:val="16"/>
          <w:lang w:val="es-ES_tradnl"/>
        </w:rPr>
        <w:t>alar la existencia de otras v</w:t>
      </w:r>
      <w:r>
        <w:rPr>
          <w:rFonts w:cs="Times New Roman"/>
          <w:spacing w:val="-4"/>
          <w:sz w:val="16"/>
          <w:szCs w:val="16"/>
          <w:lang w:val="es-ES_tradnl"/>
        </w:rPr>
        <w:t>í</w:t>
      </w:r>
      <w:r>
        <w:rPr>
          <w:spacing w:val="-4"/>
          <w:sz w:val="16"/>
          <w:szCs w:val="16"/>
          <w:lang w:val="es-ES_tradnl"/>
        </w:rPr>
        <w:t xml:space="preserve">as. El razonamiento </w:t>
      </w:r>
      <w:r>
        <w:rPr>
          <w:spacing w:val="-6"/>
          <w:sz w:val="16"/>
          <w:szCs w:val="16"/>
          <w:lang w:val="es-ES_tradnl"/>
        </w:rPr>
        <w:t>que desarrolla la Ley de Garant</w:t>
      </w:r>
      <w:r>
        <w:rPr>
          <w:rFonts w:cs="Times New Roman"/>
          <w:spacing w:val="-6"/>
          <w:sz w:val="16"/>
          <w:szCs w:val="16"/>
          <w:lang w:val="es-ES_tradnl"/>
        </w:rPr>
        <w:t>í</w:t>
      </w:r>
      <w:r>
        <w:rPr>
          <w:spacing w:val="-6"/>
          <w:sz w:val="16"/>
          <w:szCs w:val="16"/>
          <w:lang w:val="es-ES_tradnl"/>
        </w:rPr>
        <w:t xml:space="preserve">as Jurisdiccionales y Control </w:t>
      </w:r>
      <w:r>
        <w:rPr>
          <w:spacing w:val="-7"/>
          <w:sz w:val="16"/>
          <w:szCs w:val="16"/>
          <w:lang w:val="es-ES_tradnl"/>
        </w:rPr>
        <w:t>Constitucional establece que la acci</w:t>
      </w:r>
      <w:r>
        <w:rPr>
          <w:rFonts w:cs="Times New Roman"/>
          <w:spacing w:val="-7"/>
          <w:sz w:val="16"/>
          <w:szCs w:val="16"/>
          <w:lang w:val="es-ES_tradnl"/>
        </w:rPr>
        <w:t>ó</w:t>
      </w:r>
      <w:r>
        <w:rPr>
          <w:spacing w:val="-7"/>
          <w:sz w:val="16"/>
          <w:szCs w:val="16"/>
          <w:lang w:val="es-ES_tradnl"/>
        </w:rPr>
        <w:t>n de protecci</w:t>
      </w:r>
      <w:r>
        <w:rPr>
          <w:rFonts w:cs="Times New Roman"/>
          <w:spacing w:val="-7"/>
          <w:sz w:val="16"/>
          <w:szCs w:val="16"/>
          <w:lang w:val="es-ES_tradnl"/>
        </w:rPr>
        <w:t>ó</w:t>
      </w:r>
      <w:r>
        <w:rPr>
          <w:spacing w:val="-7"/>
          <w:sz w:val="16"/>
          <w:szCs w:val="16"/>
          <w:lang w:val="es-ES_tradnl"/>
        </w:rPr>
        <w:t xml:space="preserve">n procede </w:t>
      </w:r>
      <w:r>
        <w:rPr>
          <w:spacing w:val="-9"/>
          <w:sz w:val="16"/>
          <w:szCs w:val="16"/>
          <w:lang w:val="es-ES_tradnl"/>
        </w:rPr>
        <w:t xml:space="preserve">cuando no exista otro mecanismo de defensa judicial adecuado </w:t>
      </w:r>
      <w:r>
        <w:rPr>
          <w:spacing w:val="-7"/>
          <w:sz w:val="16"/>
          <w:szCs w:val="16"/>
          <w:lang w:val="es-ES_tradnl"/>
        </w:rPr>
        <w:t>y eficaz para proteger el derecho violado (</w:t>
      </w:r>
      <w:r>
        <w:rPr>
          <w:rFonts w:cs="Times New Roman"/>
          <w:spacing w:val="-7"/>
          <w:sz w:val="16"/>
          <w:szCs w:val="16"/>
          <w:lang w:val="es-ES_tradnl"/>
        </w:rPr>
        <w:t>…</w:t>
      </w:r>
      <w:r>
        <w:rPr>
          <w:spacing w:val="-7"/>
          <w:sz w:val="16"/>
          <w:szCs w:val="16"/>
          <w:lang w:val="es-ES_tradnl"/>
        </w:rPr>
        <w:t>).</w:t>
      </w:r>
    </w:p>
    <w:p w14:paraId="4F67AE77" w14:textId="77777777" w:rsidR="00591D54" w:rsidRDefault="00591D54">
      <w:pPr>
        <w:shd w:val="clear" w:color="auto" w:fill="FFFFFF"/>
        <w:spacing w:before="197" w:line="216" w:lineRule="exact"/>
        <w:jc w:val="both"/>
      </w:pPr>
      <w:r>
        <w:rPr>
          <w:spacing w:val="-7"/>
          <w:sz w:val="18"/>
          <w:szCs w:val="18"/>
          <w:lang w:val="es-ES_tradnl"/>
        </w:rPr>
        <w:t>De ah</w:t>
      </w:r>
      <w:r>
        <w:rPr>
          <w:rFonts w:cs="Times New Roman"/>
          <w:spacing w:val="-7"/>
          <w:sz w:val="18"/>
          <w:szCs w:val="18"/>
          <w:lang w:val="es-ES_tradnl"/>
        </w:rPr>
        <w:t>í</w:t>
      </w:r>
      <w:r>
        <w:rPr>
          <w:spacing w:val="-7"/>
          <w:sz w:val="18"/>
          <w:szCs w:val="18"/>
          <w:lang w:val="es-ES_tradnl"/>
        </w:rPr>
        <w:t xml:space="preserve"> que la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n procede cuando exista una vulneraci</w:t>
      </w:r>
      <w:r>
        <w:rPr>
          <w:rFonts w:cs="Times New Roman"/>
          <w:spacing w:val="-7"/>
          <w:sz w:val="18"/>
          <w:szCs w:val="18"/>
          <w:lang w:val="es-ES_tradnl"/>
        </w:rPr>
        <w:t>ó</w:t>
      </w:r>
      <w:r>
        <w:rPr>
          <w:spacing w:val="-7"/>
          <w:sz w:val="18"/>
          <w:szCs w:val="18"/>
          <w:lang w:val="es-ES_tradnl"/>
        </w:rPr>
        <w:t xml:space="preserve">n de derechos constitucionales, con lo cual, </w:t>
      </w:r>
      <w:r>
        <w:rPr>
          <w:spacing w:val="-1"/>
          <w:sz w:val="18"/>
          <w:szCs w:val="18"/>
          <w:lang w:val="es-ES_tradnl"/>
        </w:rPr>
        <w:t xml:space="preserve">le corresponde al juez verificar y argumentar si existe </w:t>
      </w:r>
      <w:r>
        <w:rPr>
          <w:spacing w:val="-7"/>
          <w:sz w:val="18"/>
          <w:szCs w:val="18"/>
          <w:lang w:val="es-ES_tradnl"/>
        </w:rPr>
        <w:t>o no afectaci</w:t>
      </w:r>
      <w:r>
        <w:rPr>
          <w:rFonts w:cs="Times New Roman"/>
          <w:spacing w:val="-7"/>
          <w:sz w:val="18"/>
          <w:szCs w:val="18"/>
          <w:lang w:val="es-ES_tradnl"/>
        </w:rPr>
        <w:t>ó</w:t>
      </w:r>
      <w:r>
        <w:rPr>
          <w:spacing w:val="-7"/>
          <w:sz w:val="18"/>
          <w:szCs w:val="18"/>
          <w:lang w:val="es-ES_tradnl"/>
        </w:rPr>
        <w:t xml:space="preserve">n de un derecho constitucional. Es a este a </w:t>
      </w:r>
      <w:r>
        <w:rPr>
          <w:spacing w:val="-6"/>
          <w:sz w:val="18"/>
          <w:szCs w:val="18"/>
          <w:lang w:val="es-ES_tradnl"/>
        </w:rPr>
        <w:t xml:space="preserve">quien le corresponde analizar caso a caso, sobre la base </w:t>
      </w:r>
      <w:r>
        <w:rPr>
          <w:spacing w:val="-3"/>
          <w:sz w:val="18"/>
          <w:szCs w:val="18"/>
          <w:lang w:val="es-ES_tradnl"/>
        </w:rPr>
        <w:t xml:space="preserve">de un ejercicio de profunda razonabilidad, los hechos y </w:t>
      </w:r>
      <w:r>
        <w:rPr>
          <w:spacing w:val="-5"/>
          <w:sz w:val="18"/>
          <w:szCs w:val="18"/>
          <w:lang w:val="es-ES_tradnl"/>
        </w:rPr>
        <w:t xml:space="preserve">las pretensiones del actor para poder dilucidar si se trata de un caso de justicia constitucional o si por el contrario, por su naturaleza infraconstitucional, su conocimiento le </w:t>
      </w:r>
      <w:r>
        <w:rPr>
          <w:spacing w:val="-7"/>
          <w:sz w:val="18"/>
          <w:szCs w:val="18"/>
          <w:lang w:val="es-ES_tradnl"/>
        </w:rPr>
        <w:t>corresponde a la justicia ordinaria; este ejercicio requerir</w:t>
      </w:r>
      <w:r>
        <w:rPr>
          <w:rFonts w:cs="Times New Roman"/>
          <w:spacing w:val="-7"/>
          <w:sz w:val="18"/>
          <w:szCs w:val="18"/>
          <w:lang w:val="es-ES_tradnl"/>
        </w:rPr>
        <w:t>á</w:t>
      </w:r>
      <w:r>
        <w:rPr>
          <w:spacing w:val="-7"/>
          <w:sz w:val="18"/>
          <w:szCs w:val="18"/>
          <w:lang w:val="es-ES_tradnl"/>
        </w:rPr>
        <w:t xml:space="preserve">, </w:t>
      </w:r>
      <w:r>
        <w:rPr>
          <w:spacing w:val="-8"/>
          <w:sz w:val="18"/>
          <w:szCs w:val="18"/>
          <w:lang w:val="es-ES_tradnl"/>
        </w:rPr>
        <w:t>por tanto, un an</w:t>
      </w:r>
      <w:r>
        <w:rPr>
          <w:rFonts w:cs="Times New Roman"/>
          <w:spacing w:val="-8"/>
          <w:sz w:val="18"/>
          <w:szCs w:val="18"/>
          <w:lang w:val="es-ES_tradnl"/>
        </w:rPr>
        <w:t>á</w:t>
      </w:r>
      <w:r>
        <w:rPr>
          <w:spacing w:val="-8"/>
          <w:sz w:val="18"/>
          <w:szCs w:val="18"/>
          <w:lang w:val="es-ES_tradnl"/>
        </w:rPr>
        <w:t>lisis de procedencia de la acci</w:t>
      </w:r>
      <w:r>
        <w:rPr>
          <w:rFonts w:cs="Times New Roman"/>
          <w:spacing w:val="-8"/>
          <w:sz w:val="18"/>
          <w:szCs w:val="18"/>
          <w:lang w:val="es-ES_tradnl"/>
        </w:rPr>
        <w:t>ó</w:t>
      </w:r>
      <w:r>
        <w:rPr>
          <w:spacing w:val="-8"/>
          <w:sz w:val="18"/>
          <w:szCs w:val="18"/>
          <w:lang w:val="es-ES_tradnl"/>
        </w:rPr>
        <w:t>n.</w:t>
      </w:r>
    </w:p>
    <w:p w14:paraId="4F67AE78" w14:textId="77777777" w:rsidR="00591D54" w:rsidRDefault="00591D54">
      <w:pPr>
        <w:shd w:val="clear" w:color="auto" w:fill="FFFFFF"/>
        <w:spacing w:before="192" w:line="216" w:lineRule="exact"/>
        <w:jc w:val="both"/>
      </w:pPr>
      <w:r>
        <w:rPr>
          <w:spacing w:val="-6"/>
          <w:sz w:val="18"/>
          <w:szCs w:val="18"/>
          <w:lang w:val="es-ES_tradnl"/>
        </w:rPr>
        <w:t>No obstante, tal como ya qued</w:t>
      </w:r>
      <w:r>
        <w:rPr>
          <w:rFonts w:cs="Times New Roman"/>
          <w:spacing w:val="-6"/>
          <w:sz w:val="18"/>
          <w:szCs w:val="18"/>
          <w:lang w:val="es-ES_tradnl"/>
        </w:rPr>
        <w:t>ó</w:t>
      </w:r>
      <w:r>
        <w:rPr>
          <w:spacing w:val="-6"/>
          <w:sz w:val="18"/>
          <w:szCs w:val="18"/>
          <w:lang w:val="es-ES_tradnl"/>
        </w:rPr>
        <w:t xml:space="preserve"> advertido en el ac</w:t>
      </w:r>
      <w:r>
        <w:rPr>
          <w:rFonts w:cs="Times New Roman"/>
          <w:spacing w:val="-6"/>
          <w:sz w:val="18"/>
          <w:szCs w:val="18"/>
          <w:lang w:val="es-ES_tradnl"/>
        </w:rPr>
        <w:t>á</w:t>
      </w:r>
      <w:r>
        <w:rPr>
          <w:spacing w:val="-6"/>
          <w:sz w:val="18"/>
          <w:szCs w:val="18"/>
          <w:lang w:val="es-ES_tradnl"/>
        </w:rPr>
        <w:t xml:space="preserve">pite </w:t>
      </w:r>
      <w:r>
        <w:rPr>
          <w:spacing w:val="-9"/>
          <w:sz w:val="18"/>
          <w:szCs w:val="18"/>
          <w:lang w:val="es-ES_tradnl"/>
        </w:rPr>
        <w:t xml:space="preserve">precedente de esta sentencia, dentro del caso en concreto, </w:t>
      </w:r>
      <w:r>
        <w:rPr>
          <w:spacing w:val="-6"/>
          <w:sz w:val="18"/>
          <w:szCs w:val="18"/>
          <w:lang w:val="es-ES_tradnl"/>
        </w:rPr>
        <w:t xml:space="preserve">los jueces constitucionales demandados, al inadmitir la </w:t>
      </w:r>
      <w:r>
        <w:rPr>
          <w:spacing w:val="-8"/>
          <w:sz w:val="18"/>
          <w:szCs w:val="18"/>
          <w:lang w:val="es-ES_tradnl"/>
        </w:rPr>
        <w:t>acci</w:t>
      </w:r>
      <w:r>
        <w:rPr>
          <w:rFonts w:cs="Times New Roman"/>
          <w:spacing w:val="-8"/>
          <w:sz w:val="18"/>
          <w:szCs w:val="18"/>
          <w:lang w:val="es-ES_tradnl"/>
        </w:rPr>
        <w:t>ó</w:t>
      </w:r>
      <w:r>
        <w:rPr>
          <w:spacing w:val="-8"/>
          <w:sz w:val="18"/>
          <w:szCs w:val="18"/>
          <w:lang w:val="es-ES_tradnl"/>
        </w:rPr>
        <w:t>n mediante auto carente de motivaci</w:t>
      </w:r>
      <w:r>
        <w:rPr>
          <w:rFonts w:cs="Times New Roman"/>
          <w:spacing w:val="-8"/>
          <w:sz w:val="18"/>
          <w:szCs w:val="18"/>
          <w:lang w:val="es-ES_tradnl"/>
        </w:rPr>
        <w:t>ó</w:t>
      </w:r>
      <w:r>
        <w:rPr>
          <w:spacing w:val="-8"/>
          <w:sz w:val="18"/>
          <w:szCs w:val="18"/>
          <w:lang w:val="es-ES_tradnl"/>
        </w:rPr>
        <w:t xml:space="preserve">n, no indagaron </w:t>
      </w:r>
      <w:r>
        <w:rPr>
          <w:spacing w:val="-7"/>
          <w:sz w:val="18"/>
          <w:szCs w:val="18"/>
          <w:lang w:val="es-ES_tradnl"/>
        </w:rPr>
        <w:t xml:space="preserve">ni se inteligenciaron sobre elemento alguno que estuviera </w:t>
      </w:r>
      <w:r>
        <w:rPr>
          <w:spacing w:val="-6"/>
          <w:sz w:val="18"/>
          <w:szCs w:val="18"/>
          <w:lang w:val="es-ES_tradnl"/>
        </w:rPr>
        <w:t xml:space="preserve">relacionado con los hechos del </w:t>
      </w:r>
      <w:r>
        <w:rPr>
          <w:rFonts w:cs="Times New Roman"/>
          <w:spacing w:val="-6"/>
          <w:sz w:val="18"/>
          <w:szCs w:val="18"/>
          <w:lang w:val="es-ES_tradnl"/>
        </w:rPr>
        <w:t>á</w:t>
      </w:r>
      <w:r>
        <w:rPr>
          <w:spacing w:val="-6"/>
          <w:sz w:val="18"/>
          <w:szCs w:val="18"/>
          <w:lang w:val="es-ES_tradnl"/>
        </w:rPr>
        <w:t xml:space="preserve">mbito constitucional </w:t>
      </w:r>
      <w:r>
        <w:rPr>
          <w:spacing w:val="-7"/>
          <w:sz w:val="18"/>
          <w:szCs w:val="18"/>
          <w:lang w:val="es-ES_tradnl"/>
        </w:rPr>
        <w:t>denunciados, es decir, no se estableci</w:t>
      </w:r>
      <w:r>
        <w:rPr>
          <w:rFonts w:cs="Times New Roman"/>
          <w:spacing w:val="-7"/>
          <w:sz w:val="18"/>
          <w:szCs w:val="18"/>
          <w:lang w:val="es-ES_tradnl"/>
        </w:rPr>
        <w:t>ó</w:t>
      </w:r>
      <w:r>
        <w:rPr>
          <w:spacing w:val="-7"/>
          <w:sz w:val="18"/>
          <w:szCs w:val="18"/>
          <w:lang w:val="es-ES_tradnl"/>
        </w:rPr>
        <w:t xml:space="preserve"> la relaci</w:t>
      </w:r>
      <w:r>
        <w:rPr>
          <w:rFonts w:cs="Times New Roman"/>
          <w:spacing w:val="-7"/>
          <w:sz w:val="18"/>
          <w:szCs w:val="18"/>
          <w:lang w:val="es-ES_tradnl"/>
        </w:rPr>
        <w:t>ó</w:t>
      </w:r>
      <w:r>
        <w:rPr>
          <w:spacing w:val="-7"/>
          <w:sz w:val="18"/>
          <w:szCs w:val="18"/>
          <w:lang w:val="es-ES_tradnl"/>
        </w:rPr>
        <w:t>n jur</w:t>
      </w:r>
      <w:r>
        <w:rPr>
          <w:rFonts w:cs="Times New Roman"/>
          <w:spacing w:val="-7"/>
          <w:sz w:val="18"/>
          <w:szCs w:val="18"/>
          <w:lang w:val="es-ES_tradnl"/>
        </w:rPr>
        <w:t>í</w:t>
      </w:r>
      <w:r>
        <w:rPr>
          <w:spacing w:val="-7"/>
          <w:sz w:val="18"/>
          <w:szCs w:val="18"/>
          <w:lang w:val="es-ES_tradnl"/>
        </w:rPr>
        <w:t xml:space="preserve">dico </w:t>
      </w:r>
      <w:r>
        <w:rPr>
          <w:spacing w:val="-5"/>
          <w:sz w:val="18"/>
          <w:szCs w:val="18"/>
          <w:lang w:val="es-ES_tradnl"/>
        </w:rPr>
        <w:t>procesal, no se verific</w:t>
      </w:r>
      <w:r>
        <w:rPr>
          <w:rFonts w:cs="Times New Roman"/>
          <w:spacing w:val="-5"/>
          <w:sz w:val="18"/>
          <w:szCs w:val="18"/>
          <w:lang w:val="es-ES_tradnl"/>
        </w:rPr>
        <w:t>ó</w:t>
      </w:r>
      <w:r>
        <w:rPr>
          <w:spacing w:val="-5"/>
          <w:sz w:val="18"/>
          <w:szCs w:val="18"/>
          <w:lang w:val="es-ES_tradnl"/>
        </w:rPr>
        <w:t xml:space="preserve"> si hubo o no vulneraciones constitucionales, con la acci</w:t>
      </w:r>
      <w:r>
        <w:rPr>
          <w:rFonts w:cs="Times New Roman"/>
          <w:spacing w:val="-5"/>
          <w:sz w:val="18"/>
          <w:szCs w:val="18"/>
          <w:lang w:val="es-ES_tradnl"/>
        </w:rPr>
        <w:t>ó</w:t>
      </w:r>
      <w:r>
        <w:rPr>
          <w:spacing w:val="-5"/>
          <w:sz w:val="18"/>
          <w:szCs w:val="18"/>
          <w:lang w:val="es-ES_tradnl"/>
        </w:rPr>
        <w:t>n u omisi</w:t>
      </w:r>
      <w:r>
        <w:rPr>
          <w:rFonts w:cs="Times New Roman"/>
          <w:spacing w:val="-5"/>
          <w:sz w:val="18"/>
          <w:szCs w:val="18"/>
          <w:lang w:val="es-ES_tradnl"/>
        </w:rPr>
        <w:t>ó</w:t>
      </w:r>
      <w:r>
        <w:rPr>
          <w:spacing w:val="-5"/>
          <w:sz w:val="18"/>
          <w:szCs w:val="18"/>
          <w:lang w:val="es-ES_tradnl"/>
        </w:rPr>
        <w:t xml:space="preserve">n de la entidad </w:t>
      </w:r>
      <w:r>
        <w:rPr>
          <w:spacing w:val="-9"/>
          <w:sz w:val="18"/>
          <w:szCs w:val="18"/>
          <w:lang w:val="es-ES_tradnl"/>
        </w:rPr>
        <w:t xml:space="preserve">accionada, pues se limitaron a inferir con fundamento en las normas legales mencionadas en la sentencia constitucional </w:t>
      </w:r>
      <w:r>
        <w:rPr>
          <w:spacing w:val="-11"/>
          <w:sz w:val="18"/>
          <w:szCs w:val="18"/>
          <w:lang w:val="es-ES_tradnl"/>
        </w:rPr>
        <w:t>objeto de la presente acci</w:t>
      </w:r>
      <w:r>
        <w:rPr>
          <w:rFonts w:cs="Times New Roman"/>
          <w:spacing w:val="-11"/>
          <w:sz w:val="18"/>
          <w:szCs w:val="18"/>
          <w:lang w:val="es-ES_tradnl"/>
        </w:rPr>
        <w:t>ó</w:t>
      </w:r>
      <w:r>
        <w:rPr>
          <w:spacing w:val="-11"/>
          <w:sz w:val="18"/>
          <w:szCs w:val="18"/>
          <w:lang w:val="es-ES_tradnl"/>
        </w:rPr>
        <w:t>n extraordinaria de protecci</w:t>
      </w:r>
      <w:r>
        <w:rPr>
          <w:rFonts w:cs="Times New Roman"/>
          <w:spacing w:val="-11"/>
          <w:sz w:val="18"/>
          <w:szCs w:val="18"/>
          <w:lang w:val="es-ES_tradnl"/>
        </w:rPr>
        <w:t>ó</w:t>
      </w:r>
      <w:r>
        <w:rPr>
          <w:spacing w:val="-11"/>
          <w:sz w:val="18"/>
          <w:szCs w:val="18"/>
          <w:lang w:val="es-ES_tradnl"/>
        </w:rPr>
        <w:t>n, que se trataba de un tema de legalidad que pod</w:t>
      </w:r>
      <w:r>
        <w:rPr>
          <w:rFonts w:cs="Times New Roman"/>
          <w:spacing w:val="-11"/>
          <w:sz w:val="18"/>
          <w:szCs w:val="18"/>
          <w:lang w:val="es-ES_tradnl"/>
        </w:rPr>
        <w:t>í</w:t>
      </w:r>
      <w:r>
        <w:rPr>
          <w:spacing w:val="-11"/>
          <w:sz w:val="18"/>
          <w:szCs w:val="18"/>
          <w:lang w:val="es-ES_tradnl"/>
        </w:rPr>
        <w:t xml:space="preserve">a ser impugnado </w:t>
      </w:r>
      <w:r>
        <w:rPr>
          <w:spacing w:val="-8"/>
          <w:sz w:val="18"/>
          <w:szCs w:val="18"/>
          <w:lang w:val="es-ES_tradnl"/>
        </w:rPr>
        <w:t xml:space="preserve">en otra sede, tomando una causal de improcedencia de la </w:t>
      </w:r>
      <w:r>
        <w:rPr>
          <w:spacing w:val="-5"/>
          <w:sz w:val="18"/>
          <w:szCs w:val="18"/>
          <w:lang w:val="es-ES_tradnl"/>
        </w:rPr>
        <w:t>acci</w:t>
      </w:r>
      <w:r>
        <w:rPr>
          <w:rFonts w:cs="Times New Roman"/>
          <w:spacing w:val="-5"/>
          <w:sz w:val="18"/>
          <w:szCs w:val="18"/>
          <w:lang w:val="es-ES_tradnl"/>
        </w:rPr>
        <w:t>ó</w:t>
      </w:r>
      <w:r>
        <w:rPr>
          <w:spacing w:val="-5"/>
          <w:sz w:val="18"/>
          <w:szCs w:val="18"/>
          <w:lang w:val="es-ES_tradnl"/>
        </w:rPr>
        <w:t>n para inadmitir la garant</w:t>
      </w:r>
      <w:r>
        <w:rPr>
          <w:rFonts w:cs="Times New Roman"/>
          <w:spacing w:val="-5"/>
          <w:sz w:val="18"/>
          <w:szCs w:val="18"/>
          <w:lang w:val="es-ES_tradnl"/>
        </w:rPr>
        <w:t>í</w:t>
      </w:r>
      <w:r>
        <w:rPr>
          <w:spacing w:val="-5"/>
          <w:sz w:val="18"/>
          <w:szCs w:val="18"/>
          <w:lang w:val="es-ES_tradnl"/>
        </w:rPr>
        <w:t>a jurisdiccional.</w:t>
      </w:r>
    </w:p>
    <w:p w14:paraId="4F67AE79" w14:textId="77777777" w:rsidR="00591D54" w:rsidRDefault="00591D54">
      <w:pPr>
        <w:shd w:val="clear" w:color="auto" w:fill="FFFFFF"/>
        <w:spacing w:before="192" w:line="216" w:lineRule="exact"/>
        <w:jc w:val="both"/>
      </w:pPr>
      <w:r>
        <w:rPr>
          <w:spacing w:val="-6"/>
          <w:sz w:val="18"/>
          <w:szCs w:val="18"/>
          <w:lang w:val="es-ES_tradnl"/>
        </w:rPr>
        <w:t>De esta forma, la decisi</w:t>
      </w:r>
      <w:r>
        <w:rPr>
          <w:rFonts w:cs="Times New Roman"/>
          <w:spacing w:val="-6"/>
          <w:sz w:val="18"/>
          <w:szCs w:val="18"/>
          <w:lang w:val="es-ES_tradnl"/>
        </w:rPr>
        <w:t>ó</w:t>
      </w:r>
      <w:r>
        <w:rPr>
          <w:spacing w:val="-6"/>
          <w:sz w:val="18"/>
          <w:szCs w:val="18"/>
          <w:lang w:val="es-ES_tradnl"/>
        </w:rPr>
        <w:t xml:space="preserve">n judicial impugnada, al declarar </w:t>
      </w:r>
      <w:r>
        <w:rPr>
          <w:rFonts w:cs="Times New Roman"/>
          <w:spacing w:val="-4"/>
          <w:sz w:val="18"/>
          <w:szCs w:val="18"/>
          <w:lang w:val="es-ES_tradnl"/>
        </w:rPr>
        <w:t>“</w:t>
      </w:r>
      <w:r>
        <w:rPr>
          <w:spacing w:val="-4"/>
          <w:sz w:val="18"/>
          <w:szCs w:val="18"/>
          <w:lang w:val="es-ES_tradnl"/>
        </w:rPr>
        <w:t>inadmisible</w:t>
      </w:r>
      <w:r>
        <w:rPr>
          <w:rFonts w:cs="Times New Roman"/>
          <w:spacing w:val="-4"/>
          <w:sz w:val="18"/>
          <w:szCs w:val="18"/>
          <w:lang w:val="es-ES_tradnl"/>
        </w:rPr>
        <w:t>”</w:t>
      </w:r>
      <w:r>
        <w:rPr>
          <w:spacing w:val="-4"/>
          <w:sz w:val="18"/>
          <w:szCs w:val="18"/>
          <w:lang w:val="es-ES_tradnl"/>
        </w:rPr>
        <w:t xml:space="preserve"> la acci</w:t>
      </w:r>
      <w:r>
        <w:rPr>
          <w:rFonts w:cs="Times New Roman"/>
          <w:spacing w:val="-4"/>
          <w:sz w:val="18"/>
          <w:szCs w:val="18"/>
          <w:lang w:val="es-ES_tradnl"/>
        </w:rPr>
        <w:t>ó</w:t>
      </w:r>
      <w:r>
        <w:rPr>
          <w:spacing w:val="-4"/>
          <w:sz w:val="18"/>
          <w:szCs w:val="18"/>
          <w:lang w:val="es-ES_tradnl"/>
        </w:rPr>
        <w:t>n de protecci</w:t>
      </w:r>
      <w:r>
        <w:rPr>
          <w:rFonts w:cs="Times New Roman"/>
          <w:spacing w:val="-4"/>
          <w:sz w:val="18"/>
          <w:szCs w:val="18"/>
          <w:lang w:val="es-ES_tradnl"/>
        </w:rPr>
        <w:t>ó</w:t>
      </w:r>
      <w:r>
        <w:rPr>
          <w:spacing w:val="-4"/>
          <w:sz w:val="18"/>
          <w:szCs w:val="18"/>
          <w:lang w:val="es-ES_tradnl"/>
        </w:rPr>
        <w:t>n objeto de an</w:t>
      </w:r>
      <w:r>
        <w:rPr>
          <w:rFonts w:cs="Times New Roman"/>
          <w:spacing w:val="-4"/>
          <w:sz w:val="18"/>
          <w:szCs w:val="18"/>
          <w:lang w:val="es-ES_tradnl"/>
        </w:rPr>
        <w:t>á</w:t>
      </w:r>
      <w:r>
        <w:rPr>
          <w:spacing w:val="-4"/>
          <w:sz w:val="18"/>
          <w:szCs w:val="18"/>
          <w:lang w:val="es-ES_tradnl"/>
        </w:rPr>
        <w:t xml:space="preserve">lisis, </w:t>
      </w:r>
      <w:r>
        <w:rPr>
          <w:spacing w:val="-7"/>
          <w:sz w:val="18"/>
          <w:szCs w:val="18"/>
          <w:lang w:val="es-ES_tradnl"/>
        </w:rPr>
        <w:t>obviando la argumentaci</w:t>
      </w:r>
      <w:r>
        <w:rPr>
          <w:rFonts w:cs="Times New Roman"/>
          <w:spacing w:val="-7"/>
          <w:sz w:val="18"/>
          <w:szCs w:val="18"/>
          <w:lang w:val="es-ES_tradnl"/>
        </w:rPr>
        <w:t>ó</w:t>
      </w:r>
      <w:r>
        <w:rPr>
          <w:spacing w:val="-7"/>
          <w:sz w:val="18"/>
          <w:szCs w:val="18"/>
          <w:lang w:val="es-ES_tradnl"/>
        </w:rPr>
        <w:t>n y motivaci</w:t>
      </w:r>
      <w:r>
        <w:rPr>
          <w:rFonts w:cs="Times New Roman"/>
          <w:spacing w:val="-7"/>
          <w:sz w:val="18"/>
          <w:szCs w:val="18"/>
          <w:lang w:val="es-ES_tradnl"/>
        </w:rPr>
        <w:t>ó</w:t>
      </w:r>
      <w:r>
        <w:rPr>
          <w:spacing w:val="-7"/>
          <w:sz w:val="18"/>
          <w:szCs w:val="18"/>
          <w:lang w:val="es-ES_tradnl"/>
        </w:rPr>
        <w:t xml:space="preserve">n sobre la presunta </w:t>
      </w:r>
      <w:r>
        <w:rPr>
          <w:sz w:val="18"/>
          <w:szCs w:val="18"/>
          <w:lang w:val="es-ES_tradnl"/>
        </w:rPr>
        <w:t>vulneraci</w:t>
      </w:r>
      <w:r>
        <w:rPr>
          <w:rFonts w:cs="Times New Roman"/>
          <w:sz w:val="18"/>
          <w:szCs w:val="18"/>
          <w:lang w:val="es-ES_tradnl"/>
        </w:rPr>
        <w:t>ó</w:t>
      </w:r>
      <w:r>
        <w:rPr>
          <w:sz w:val="18"/>
          <w:szCs w:val="18"/>
          <w:lang w:val="es-ES_tradnl"/>
        </w:rPr>
        <w:t>n de derechos constitucionales, contrar</w:t>
      </w:r>
      <w:r>
        <w:rPr>
          <w:rFonts w:cs="Times New Roman"/>
          <w:sz w:val="18"/>
          <w:szCs w:val="18"/>
          <w:lang w:val="es-ES_tradnl"/>
        </w:rPr>
        <w:t>í</w:t>
      </w:r>
      <w:r>
        <w:rPr>
          <w:sz w:val="18"/>
          <w:szCs w:val="18"/>
          <w:lang w:val="es-ES_tradnl"/>
        </w:rPr>
        <w:t xml:space="preserve">a </w:t>
      </w:r>
      <w:r>
        <w:rPr>
          <w:spacing w:val="-2"/>
          <w:sz w:val="18"/>
          <w:szCs w:val="18"/>
          <w:lang w:val="es-ES_tradnl"/>
        </w:rPr>
        <w:t>el contenido del art</w:t>
      </w:r>
      <w:r>
        <w:rPr>
          <w:rFonts w:cs="Times New Roman"/>
          <w:spacing w:val="-2"/>
          <w:sz w:val="18"/>
          <w:szCs w:val="18"/>
          <w:lang w:val="es-ES_tradnl"/>
        </w:rPr>
        <w:t>í</w:t>
      </w:r>
      <w:r>
        <w:rPr>
          <w:spacing w:val="-2"/>
          <w:sz w:val="18"/>
          <w:szCs w:val="18"/>
          <w:lang w:val="es-ES_tradnl"/>
        </w:rPr>
        <w:t>culo 88 de la Constituci</w:t>
      </w:r>
      <w:r>
        <w:rPr>
          <w:rFonts w:cs="Times New Roman"/>
          <w:spacing w:val="-2"/>
          <w:sz w:val="18"/>
          <w:szCs w:val="18"/>
          <w:lang w:val="es-ES_tradnl"/>
        </w:rPr>
        <w:t>ó</w:t>
      </w:r>
      <w:r>
        <w:rPr>
          <w:spacing w:val="-2"/>
          <w:sz w:val="18"/>
          <w:szCs w:val="18"/>
          <w:lang w:val="es-ES_tradnl"/>
        </w:rPr>
        <w:t xml:space="preserve">n de la </w:t>
      </w:r>
      <w:r>
        <w:rPr>
          <w:spacing w:val="-5"/>
          <w:sz w:val="18"/>
          <w:szCs w:val="18"/>
          <w:lang w:val="es-ES_tradnl"/>
        </w:rPr>
        <w:t>Rep</w:t>
      </w:r>
      <w:r>
        <w:rPr>
          <w:rFonts w:cs="Times New Roman"/>
          <w:spacing w:val="-5"/>
          <w:sz w:val="18"/>
          <w:szCs w:val="18"/>
          <w:lang w:val="es-ES_tradnl"/>
        </w:rPr>
        <w:t>ú</w:t>
      </w:r>
      <w:r>
        <w:rPr>
          <w:spacing w:val="-5"/>
          <w:sz w:val="18"/>
          <w:szCs w:val="18"/>
          <w:lang w:val="es-ES_tradnl"/>
        </w:rPr>
        <w:t>blica respecto a la naturaleza jur</w:t>
      </w:r>
      <w:r>
        <w:rPr>
          <w:rFonts w:cs="Times New Roman"/>
          <w:spacing w:val="-5"/>
          <w:sz w:val="18"/>
          <w:szCs w:val="18"/>
          <w:lang w:val="es-ES_tradnl"/>
        </w:rPr>
        <w:t>í</w:t>
      </w:r>
      <w:r>
        <w:rPr>
          <w:spacing w:val="-5"/>
          <w:sz w:val="18"/>
          <w:szCs w:val="18"/>
          <w:lang w:val="es-ES_tradnl"/>
        </w:rPr>
        <w:t xml:space="preserve">dica y el objeto de </w:t>
      </w:r>
      <w:r>
        <w:rPr>
          <w:spacing w:val="-7"/>
          <w:sz w:val="18"/>
          <w:szCs w:val="18"/>
          <w:lang w:val="es-ES_tradnl"/>
        </w:rPr>
        <w:t>la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 xml:space="preserve">n de derechos. Por lo expuesto, la </w:t>
      </w:r>
      <w:r>
        <w:rPr>
          <w:spacing w:val="-2"/>
          <w:sz w:val="18"/>
          <w:szCs w:val="18"/>
          <w:lang w:val="es-ES_tradnl"/>
        </w:rPr>
        <w:t>Corte Constitucional considera que existi</w:t>
      </w:r>
      <w:r>
        <w:rPr>
          <w:rFonts w:cs="Times New Roman"/>
          <w:spacing w:val="-2"/>
          <w:sz w:val="18"/>
          <w:szCs w:val="18"/>
          <w:lang w:val="es-ES_tradnl"/>
        </w:rPr>
        <w:t>ó</w:t>
      </w:r>
      <w:r>
        <w:rPr>
          <w:spacing w:val="-2"/>
          <w:sz w:val="18"/>
          <w:szCs w:val="18"/>
          <w:lang w:val="es-ES_tradnl"/>
        </w:rPr>
        <w:t xml:space="preserve"> vulneraci</w:t>
      </w:r>
      <w:r>
        <w:rPr>
          <w:rFonts w:cs="Times New Roman"/>
          <w:spacing w:val="-2"/>
          <w:sz w:val="18"/>
          <w:szCs w:val="18"/>
          <w:lang w:val="es-ES_tradnl"/>
        </w:rPr>
        <w:t>ó</w:t>
      </w:r>
      <w:r>
        <w:rPr>
          <w:spacing w:val="-2"/>
          <w:sz w:val="18"/>
          <w:szCs w:val="18"/>
          <w:lang w:val="es-ES_tradnl"/>
        </w:rPr>
        <w:t>n del debido proceso en la garant</w:t>
      </w:r>
      <w:r>
        <w:rPr>
          <w:rFonts w:cs="Times New Roman"/>
          <w:spacing w:val="-2"/>
          <w:sz w:val="18"/>
          <w:szCs w:val="18"/>
          <w:lang w:val="es-ES_tradnl"/>
        </w:rPr>
        <w:t>í</w:t>
      </w:r>
      <w:r>
        <w:rPr>
          <w:spacing w:val="-2"/>
          <w:sz w:val="18"/>
          <w:szCs w:val="18"/>
          <w:lang w:val="es-ES_tradnl"/>
        </w:rPr>
        <w:t>a de la motivaci</w:t>
      </w:r>
      <w:r>
        <w:rPr>
          <w:rFonts w:cs="Times New Roman"/>
          <w:spacing w:val="-2"/>
          <w:sz w:val="18"/>
          <w:szCs w:val="18"/>
          <w:lang w:val="es-ES_tradnl"/>
        </w:rPr>
        <w:t>ó</w:t>
      </w:r>
      <w:r>
        <w:rPr>
          <w:spacing w:val="-2"/>
          <w:sz w:val="18"/>
          <w:szCs w:val="18"/>
          <w:lang w:val="es-ES_tradnl"/>
        </w:rPr>
        <w:t xml:space="preserve">n, ya </w:t>
      </w:r>
      <w:r>
        <w:rPr>
          <w:spacing w:val="-9"/>
          <w:sz w:val="18"/>
          <w:szCs w:val="18"/>
          <w:lang w:val="es-ES_tradnl"/>
        </w:rPr>
        <w:t xml:space="preserve">que la sentencia impugnada no se encuentra motivada con </w:t>
      </w:r>
      <w:r>
        <w:rPr>
          <w:spacing w:val="-8"/>
          <w:sz w:val="18"/>
          <w:szCs w:val="18"/>
          <w:lang w:val="es-ES_tradnl"/>
        </w:rPr>
        <w:t xml:space="preserve">estricto apego a los preceptos constitucionales, esto es no </w:t>
      </w:r>
      <w:r>
        <w:rPr>
          <w:spacing w:val="-3"/>
          <w:sz w:val="18"/>
          <w:szCs w:val="18"/>
          <w:lang w:val="es-ES_tradnl"/>
        </w:rPr>
        <w:t>supera el test de motivaci</w:t>
      </w:r>
      <w:r>
        <w:rPr>
          <w:rFonts w:cs="Times New Roman"/>
          <w:spacing w:val="-3"/>
          <w:sz w:val="18"/>
          <w:szCs w:val="18"/>
          <w:lang w:val="es-ES_tradnl"/>
        </w:rPr>
        <w:t>ó</w:t>
      </w:r>
      <w:r>
        <w:rPr>
          <w:spacing w:val="-3"/>
          <w:sz w:val="18"/>
          <w:szCs w:val="18"/>
          <w:lang w:val="es-ES_tradnl"/>
        </w:rPr>
        <w:t>n establecido por esta Corte</w:t>
      </w:r>
    </w:p>
    <w:p w14:paraId="4F67AE7A" w14:textId="77777777" w:rsidR="00591D54" w:rsidRDefault="00591D54">
      <w:pPr>
        <w:shd w:val="clear" w:color="auto" w:fill="FFFFFF"/>
        <w:spacing w:line="221" w:lineRule="exact"/>
        <w:jc w:val="both"/>
      </w:pPr>
      <w:r>
        <w:br w:type="column"/>
      </w:r>
      <w:r>
        <w:rPr>
          <w:spacing w:val="-4"/>
          <w:sz w:val="18"/>
          <w:szCs w:val="18"/>
          <w:lang w:val="es-ES_tradnl"/>
        </w:rPr>
        <w:t>para analizar la motivaci</w:t>
      </w:r>
      <w:r>
        <w:rPr>
          <w:rFonts w:cs="Times New Roman"/>
          <w:spacing w:val="-4"/>
          <w:sz w:val="18"/>
          <w:szCs w:val="18"/>
          <w:lang w:val="es-ES_tradnl"/>
        </w:rPr>
        <w:t>ó</w:t>
      </w:r>
      <w:r>
        <w:rPr>
          <w:spacing w:val="-4"/>
          <w:sz w:val="18"/>
          <w:szCs w:val="18"/>
          <w:lang w:val="es-ES_tradnl"/>
        </w:rPr>
        <w:t xml:space="preserve">n de las decisiones judiciales, </w:t>
      </w:r>
      <w:r>
        <w:rPr>
          <w:spacing w:val="-8"/>
          <w:sz w:val="18"/>
          <w:szCs w:val="18"/>
          <w:lang w:val="es-ES_tradnl"/>
        </w:rPr>
        <w:t>m</w:t>
      </w:r>
      <w:r>
        <w:rPr>
          <w:rFonts w:cs="Times New Roman"/>
          <w:spacing w:val="-8"/>
          <w:sz w:val="18"/>
          <w:szCs w:val="18"/>
          <w:lang w:val="es-ES_tradnl"/>
        </w:rPr>
        <w:t>á</w:t>
      </w:r>
      <w:r>
        <w:rPr>
          <w:spacing w:val="-8"/>
          <w:sz w:val="18"/>
          <w:szCs w:val="18"/>
          <w:lang w:val="es-ES_tradnl"/>
        </w:rPr>
        <w:t>s aun, considerando que los jueces deb</w:t>
      </w:r>
      <w:r>
        <w:rPr>
          <w:rFonts w:cs="Times New Roman"/>
          <w:spacing w:val="-8"/>
          <w:sz w:val="18"/>
          <w:szCs w:val="18"/>
          <w:lang w:val="es-ES_tradnl"/>
        </w:rPr>
        <w:t>í</w:t>
      </w:r>
      <w:r>
        <w:rPr>
          <w:spacing w:val="-8"/>
          <w:sz w:val="18"/>
          <w:szCs w:val="18"/>
          <w:lang w:val="es-ES_tradnl"/>
        </w:rPr>
        <w:t xml:space="preserve">an realizar una </w:t>
      </w:r>
      <w:r>
        <w:rPr>
          <w:spacing w:val="-7"/>
          <w:sz w:val="18"/>
          <w:szCs w:val="18"/>
          <w:lang w:val="es-ES_tradnl"/>
        </w:rPr>
        <w:t>interpretaci</w:t>
      </w:r>
      <w:r>
        <w:rPr>
          <w:rFonts w:cs="Times New Roman"/>
          <w:spacing w:val="-7"/>
          <w:sz w:val="18"/>
          <w:szCs w:val="18"/>
          <w:lang w:val="es-ES_tradnl"/>
        </w:rPr>
        <w:t>ó</w:t>
      </w:r>
      <w:r>
        <w:rPr>
          <w:spacing w:val="-7"/>
          <w:sz w:val="18"/>
          <w:szCs w:val="18"/>
          <w:lang w:val="es-ES_tradnl"/>
        </w:rPr>
        <w:t>n sistem</w:t>
      </w:r>
      <w:r>
        <w:rPr>
          <w:rFonts w:cs="Times New Roman"/>
          <w:spacing w:val="-7"/>
          <w:sz w:val="18"/>
          <w:szCs w:val="18"/>
          <w:lang w:val="es-ES_tradnl"/>
        </w:rPr>
        <w:t>á</w:t>
      </w:r>
      <w:r>
        <w:rPr>
          <w:spacing w:val="-7"/>
          <w:sz w:val="18"/>
          <w:szCs w:val="18"/>
          <w:lang w:val="es-ES_tradnl"/>
        </w:rPr>
        <w:t xml:space="preserve">tica e integral del texto constitucional </w:t>
      </w:r>
      <w:r>
        <w:rPr>
          <w:sz w:val="18"/>
          <w:szCs w:val="18"/>
          <w:lang w:val="es-ES_tradnl"/>
        </w:rPr>
        <w:t>dentro de su decisi</w:t>
      </w:r>
      <w:r>
        <w:rPr>
          <w:rFonts w:cs="Times New Roman"/>
          <w:sz w:val="18"/>
          <w:szCs w:val="18"/>
          <w:lang w:val="es-ES_tradnl"/>
        </w:rPr>
        <w:t>ó</w:t>
      </w:r>
      <w:r>
        <w:rPr>
          <w:sz w:val="18"/>
          <w:szCs w:val="18"/>
          <w:lang w:val="es-ES_tradnl"/>
        </w:rPr>
        <w:t>n.</w:t>
      </w:r>
    </w:p>
    <w:p w14:paraId="4F67AE7B" w14:textId="77777777" w:rsidR="00591D54" w:rsidRDefault="00591D54">
      <w:pPr>
        <w:shd w:val="clear" w:color="auto" w:fill="FFFFFF"/>
        <w:spacing w:before="197"/>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AE7C" w14:textId="77777777" w:rsidR="00591D54" w:rsidRDefault="00591D54">
      <w:pPr>
        <w:shd w:val="clear" w:color="auto" w:fill="FFFFFF"/>
        <w:spacing w:before="202" w:line="221" w:lineRule="exact"/>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5"/>
          <w:sz w:val="18"/>
          <w:szCs w:val="18"/>
          <w:lang w:val="es-ES_tradnl"/>
        </w:rPr>
        <w:t>constitucional y por mandato de la Constituci</w:t>
      </w:r>
      <w:r>
        <w:rPr>
          <w:rFonts w:cs="Times New Roman"/>
          <w:spacing w:val="-5"/>
          <w:sz w:val="18"/>
          <w:szCs w:val="18"/>
          <w:lang w:val="es-ES_tradnl"/>
        </w:rPr>
        <w:t>ó</w:t>
      </w:r>
      <w:r>
        <w:rPr>
          <w:spacing w:val="-5"/>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 xml:space="preserve">blica del Ecuador, el Pleno de la Corte Constitucional </w:t>
      </w:r>
      <w:r>
        <w:rPr>
          <w:sz w:val="18"/>
          <w:szCs w:val="18"/>
          <w:lang w:val="es-ES_tradnl"/>
        </w:rPr>
        <w:t>expide la siguiente:</w:t>
      </w:r>
    </w:p>
    <w:p w14:paraId="4F67AE7D" w14:textId="77777777" w:rsidR="00591D54" w:rsidRDefault="00591D54">
      <w:pPr>
        <w:shd w:val="clear" w:color="auto" w:fill="FFFFFF"/>
        <w:spacing w:before="197"/>
        <w:ind w:left="10"/>
        <w:jc w:val="center"/>
      </w:pPr>
      <w:r>
        <w:rPr>
          <w:b/>
          <w:bCs/>
          <w:sz w:val="18"/>
          <w:szCs w:val="18"/>
          <w:lang w:val="es-ES_tradnl"/>
        </w:rPr>
        <w:t>SENTENCIA</w:t>
      </w:r>
    </w:p>
    <w:p w14:paraId="4F67AE7E" w14:textId="77777777" w:rsidR="00591D54" w:rsidRDefault="00591D54" w:rsidP="00251195">
      <w:pPr>
        <w:numPr>
          <w:ilvl w:val="0"/>
          <w:numId w:val="67"/>
        </w:numPr>
        <w:shd w:val="clear" w:color="auto" w:fill="FFFFFF"/>
        <w:tabs>
          <w:tab w:val="left" w:pos="566"/>
        </w:tabs>
        <w:spacing w:before="202" w:line="221" w:lineRule="exact"/>
        <w:ind w:left="566" w:hanging="283"/>
        <w:rPr>
          <w:spacing w:val="-9"/>
          <w:sz w:val="18"/>
          <w:szCs w:val="18"/>
          <w:lang w:val="es-ES_tradnl"/>
        </w:rPr>
      </w:pPr>
      <w:r>
        <w:rPr>
          <w:spacing w:val="-6"/>
          <w:sz w:val="18"/>
          <w:szCs w:val="18"/>
          <w:lang w:val="es-ES_tradnl"/>
        </w:rPr>
        <w:t>Declarar la vulneraci</w:t>
      </w:r>
      <w:r>
        <w:rPr>
          <w:rFonts w:cs="Times New Roman"/>
          <w:spacing w:val="-6"/>
          <w:sz w:val="18"/>
          <w:szCs w:val="18"/>
          <w:lang w:val="es-ES_tradnl"/>
        </w:rPr>
        <w:t>ó</w:t>
      </w:r>
      <w:r>
        <w:rPr>
          <w:spacing w:val="-6"/>
          <w:sz w:val="18"/>
          <w:szCs w:val="18"/>
          <w:lang w:val="es-ES_tradnl"/>
        </w:rPr>
        <w:t xml:space="preserve">n del derecho constitucional </w:t>
      </w:r>
      <w:r>
        <w:rPr>
          <w:spacing w:val="-7"/>
          <w:sz w:val="18"/>
          <w:szCs w:val="18"/>
          <w:lang w:val="es-ES_tradnl"/>
        </w:rPr>
        <w:t>al debido proceso en la garant</w:t>
      </w:r>
      <w:r>
        <w:rPr>
          <w:rFonts w:cs="Times New Roman"/>
          <w:spacing w:val="-7"/>
          <w:sz w:val="18"/>
          <w:szCs w:val="18"/>
          <w:lang w:val="es-ES_tradnl"/>
        </w:rPr>
        <w:t>í</w:t>
      </w:r>
      <w:r>
        <w:rPr>
          <w:spacing w:val="-7"/>
          <w:sz w:val="18"/>
          <w:szCs w:val="18"/>
          <w:lang w:val="es-ES_tradnl"/>
        </w:rPr>
        <w:t>a de la motivaci</w:t>
      </w:r>
      <w:r>
        <w:rPr>
          <w:rFonts w:cs="Times New Roman"/>
          <w:spacing w:val="-7"/>
          <w:sz w:val="18"/>
          <w:szCs w:val="18"/>
          <w:lang w:val="es-ES_tradnl"/>
        </w:rPr>
        <w:t>ó</w:t>
      </w:r>
      <w:r>
        <w:rPr>
          <w:spacing w:val="-7"/>
          <w:sz w:val="18"/>
          <w:szCs w:val="18"/>
          <w:lang w:val="es-ES_tradnl"/>
        </w:rPr>
        <w:t>n.</w:t>
      </w:r>
    </w:p>
    <w:p w14:paraId="4F67AE7F" w14:textId="77777777" w:rsidR="00591D54" w:rsidRDefault="00591D54" w:rsidP="00251195">
      <w:pPr>
        <w:numPr>
          <w:ilvl w:val="0"/>
          <w:numId w:val="67"/>
        </w:numPr>
        <w:shd w:val="clear" w:color="auto" w:fill="FFFFFF"/>
        <w:tabs>
          <w:tab w:val="left" w:pos="566"/>
        </w:tabs>
        <w:spacing w:before="202" w:line="221" w:lineRule="exact"/>
        <w:ind w:left="566" w:hanging="283"/>
        <w:rPr>
          <w:spacing w:val="-9"/>
          <w:sz w:val="18"/>
          <w:szCs w:val="18"/>
          <w:lang w:val="es-ES_tradnl"/>
        </w:rPr>
      </w:pPr>
      <w:r>
        <w:rPr>
          <w:spacing w:val="-4"/>
          <w:sz w:val="18"/>
          <w:szCs w:val="18"/>
          <w:lang w:val="es-ES_tradnl"/>
        </w:rPr>
        <w:t>Aceptar  la  acci</w:t>
      </w:r>
      <w:r>
        <w:rPr>
          <w:rFonts w:cs="Times New Roman"/>
          <w:spacing w:val="-4"/>
          <w:sz w:val="18"/>
          <w:szCs w:val="18"/>
          <w:lang w:val="es-ES_tradnl"/>
        </w:rPr>
        <w:t>ó</w:t>
      </w:r>
      <w:r>
        <w:rPr>
          <w:spacing w:val="-4"/>
          <w:sz w:val="18"/>
          <w:szCs w:val="18"/>
          <w:lang w:val="es-ES_tradnl"/>
        </w:rPr>
        <w:t>n  extraordinaria  de  protecci</w:t>
      </w:r>
      <w:r>
        <w:rPr>
          <w:rFonts w:cs="Times New Roman"/>
          <w:spacing w:val="-4"/>
          <w:sz w:val="18"/>
          <w:szCs w:val="18"/>
          <w:lang w:val="es-ES_tradnl"/>
        </w:rPr>
        <w:t>ó</w:t>
      </w:r>
      <w:r>
        <w:rPr>
          <w:spacing w:val="-4"/>
          <w:sz w:val="18"/>
          <w:szCs w:val="18"/>
          <w:lang w:val="es-ES_tradnl"/>
        </w:rPr>
        <w:t xml:space="preserve">n </w:t>
      </w:r>
      <w:r>
        <w:rPr>
          <w:sz w:val="18"/>
          <w:szCs w:val="18"/>
          <w:lang w:val="es-ES_tradnl"/>
        </w:rPr>
        <w:t>presentada.</w:t>
      </w:r>
    </w:p>
    <w:p w14:paraId="4F67AE80" w14:textId="77777777" w:rsidR="00591D54" w:rsidRDefault="00591D54" w:rsidP="00251195">
      <w:pPr>
        <w:numPr>
          <w:ilvl w:val="0"/>
          <w:numId w:val="67"/>
        </w:numPr>
        <w:shd w:val="clear" w:color="auto" w:fill="FFFFFF"/>
        <w:tabs>
          <w:tab w:val="left" w:pos="566"/>
        </w:tabs>
        <w:spacing w:before="202"/>
        <w:ind w:left="283"/>
        <w:rPr>
          <w:spacing w:val="-9"/>
          <w:sz w:val="18"/>
          <w:szCs w:val="18"/>
          <w:lang w:val="es-ES_tradnl"/>
        </w:rPr>
      </w:pPr>
      <w:r>
        <w:rPr>
          <w:spacing w:val="-8"/>
          <w:sz w:val="18"/>
          <w:szCs w:val="18"/>
          <w:lang w:val="es-ES_tradnl"/>
        </w:rPr>
        <w:t>Como medidas de reparaci</w:t>
      </w:r>
      <w:r>
        <w:rPr>
          <w:rFonts w:cs="Times New Roman"/>
          <w:spacing w:val="-8"/>
          <w:sz w:val="18"/>
          <w:szCs w:val="18"/>
          <w:lang w:val="es-ES_tradnl"/>
        </w:rPr>
        <w:t>ó</w:t>
      </w:r>
      <w:r>
        <w:rPr>
          <w:spacing w:val="-8"/>
          <w:sz w:val="18"/>
          <w:szCs w:val="18"/>
          <w:lang w:val="es-ES_tradnl"/>
        </w:rPr>
        <w:t>n integral se dispone.</w:t>
      </w:r>
    </w:p>
    <w:p w14:paraId="4F67AE81" w14:textId="77777777" w:rsidR="00591D54" w:rsidRDefault="00591D54">
      <w:pPr>
        <w:rPr>
          <w:rFonts w:cs="Times New Roman"/>
          <w:sz w:val="2"/>
          <w:szCs w:val="2"/>
        </w:rPr>
      </w:pPr>
    </w:p>
    <w:p w14:paraId="4F67AE82" w14:textId="77777777" w:rsidR="00591D54" w:rsidRDefault="00591D54" w:rsidP="00251195">
      <w:pPr>
        <w:numPr>
          <w:ilvl w:val="0"/>
          <w:numId w:val="68"/>
        </w:numPr>
        <w:shd w:val="clear" w:color="auto" w:fill="FFFFFF"/>
        <w:tabs>
          <w:tab w:val="left" w:pos="850"/>
        </w:tabs>
        <w:spacing w:before="202" w:line="221" w:lineRule="exact"/>
        <w:ind w:left="850" w:hanging="283"/>
        <w:jc w:val="both"/>
        <w:rPr>
          <w:spacing w:val="-9"/>
          <w:sz w:val="18"/>
          <w:szCs w:val="18"/>
          <w:lang w:val="es-ES_tradnl"/>
        </w:rPr>
      </w:pPr>
      <w:r>
        <w:rPr>
          <w:spacing w:val="-8"/>
          <w:sz w:val="18"/>
          <w:szCs w:val="18"/>
          <w:lang w:val="es-ES_tradnl"/>
        </w:rPr>
        <w:t xml:space="preserve">Dejar sin efecto la sentencia dictada por la Sala </w:t>
      </w:r>
      <w:r>
        <w:rPr>
          <w:spacing w:val="-4"/>
          <w:sz w:val="18"/>
          <w:szCs w:val="18"/>
          <w:lang w:val="es-ES_tradnl"/>
        </w:rPr>
        <w:t xml:space="preserve">Multicompetente de la Corte Provincial de </w:t>
      </w:r>
      <w:r>
        <w:rPr>
          <w:spacing w:val="-8"/>
          <w:sz w:val="18"/>
          <w:szCs w:val="18"/>
          <w:lang w:val="es-ES_tradnl"/>
        </w:rPr>
        <w:t xml:space="preserve">Justicia de Imbabura, el 25 de octubre de 2013, </w:t>
      </w:r>
      <w:r>
        <w:rPr>
          <w:spacing w:val="-10"/>
          <w:sz w:val="18"/>
          <w:szCs w:val="18"/>
          <w:lang w:val="es-ES_tradnl"/>
        </w:rPr>
        <w:t>que resolvi</w:t>
      </w:r>
      <w:r>
        <w:rPr>
          <w:rFonts w:cs="Times New Roman"/>
          <w:spacing w:val="-10"/>
          <w:sz w:val="18"/>
          <w:szCs w:val="18"/>
          <w:lang w:val="es-ES_tradnl"/>
        </w:rPr>
        <w:t>ó</w:t>
      </w:r>
      <w:r>
        <w:rPr>
          <w:spacing w:val="-10"/>
          <w:sz w:val="18"/>
          <w:szCs w:val="18"/>
          <w:lang w:val="es-ES_tradnl"/>
        </w:rPr>
        <w:t xml:space="preserve"> el recurso de apelaci</w:t>
      </w:r>
      <w:r>
        <w:rPr>
          <w:rFonts w:cs="Times New Roman"/>
          <w:spacing w:val="-10"/>
          <w:sz w:val="18"/>
          <w:szCs w:val="18"/>
          <w:lang w:val="es-ES_tradnl"/>
        </w:rPr>
        <w:t>ó</w:t>
      </w:r>
      <w:r>
        <w:rPr>
          <w:spacing w:val="-10"/>
          <w:sz w:val="18"/>
          <w:szCs w:val="18"/>
          <w:lang w:val="es-ES_tradnl"/>
        </w:rPr>
        <w:t xml:space="preserve">n dentro de la </w:t>
      </w:r>
      <w:r>
        <w:rPr>
          <w:spacing w:val="-7"/>
          <w:sz w:val="18"/>
          <w:szCs w:val="18"/>
          <w:lang w:val="es-ES_tradnl"/>
        </w:rPr>
        <w:t>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n N.</w:t>
      </w:r>
      <w:r>
        <w:rPr>
          <w:rFonts w:cs="Times New Roman"/>
          <w:spacing w:val="-7"/>
          <w:sz w:val="18"/>
          <w:szCs w:val="18"/>
          <w:lang w:val="es-ES_tradnl"/>
        </w:rPr>
        <w:t>º</w:t>
      </w:r>
      <w:r>
        <w:rPr>
          <w:spacing w:val="-7"/>
          <w:sz w:val="18"/>
          <w:szCs w:val="18"/>
          <w:lang w:val="es-ES_tradnl"/>
        </w:rPr>
        <w:t xml:space="preserve"> 288-2013.</w:t>
      </w:r>
    </w:p>
    <w:p w14:paraId="4F67AE83" w14:textId="77777777" w:rsidR="00591D54" w:rsidRDefault="00591D54" w:rsidP="00251195">
      <w:pPr>
        <w:numPr>
          <w:ilvl w:val="0"/>
          <w:numId w:val="68"/>
        </w:numPr>
        <w:shd w:val="clear" w:color="auto" w:fill="FFFFFF"/>
        <w:tabs>
          <w:tab w:val="left" w:pos="850"/>
        </w:tabs>
        <w:spacing w:before="202" w:line="221" w:lineRule="exact"/>
        <w:ind w:left="850" w:hanging="283"/>
        <w:jc w:val="both"/>
        <w:rPr>
          <w:spacing w:val="-9"/>
          <w:sz w:val="18"/>
          <w:szCs w:val="18"/>
          <w:lang w:val="es-ES_tradnl"/>
        </w:rPr>
      </w:pPr>
      <w:r>
        <w:rPr>
          <w:spacing w:val="-8"/>
          <w:sz w:val="18"/>
          <w:szCs w:val="18"/>
          <w:lang w:val="es-ES_tradnl"/>
        </w:rPr>
        <w:t xml:space="preserve">Disponer que previo sorteo sea otra Sala de la </w:t>
      </w:r>
      <w:r>
        <w:rPr>
          <w:spacing w:val="-9"/>
          <w:sz w:val="18"/>
          <w:szCs w:val="18"/>
          <w:lang w:val="es-ES_tradnl"/>
        </w:rPr>
        <w:t xml:space="preserve">Corte Provincial de Justicia de Imbabura, la que </w:t>
      </w:r>
      <w:r>
        <w:rPr>
          <w:spacing w:val="-10"/>
          <w:sz w:val="18"/>
          <w:szCs w:val="18"/>
          <w:lang w:val="es-ES_tradnl"/>
        </w:rPr>
        <w:t>resuelva el recurso de apelaci</w:t>
      </w:r>
      <w:r>
        <w:rPr>
          <w:rFonts w:cs="Times New Roman"/>
          <w:spacing w:val="-10"/>
          <w:sz w:val="18"/>
          <w:szCs w:val="18"/>
          <w:lang w:val="es-ES_tradnl"/>
        </w:rPr>
        <w:t>ó</w:t>
      </w:r>
      <w:r>
        <w:rPr>
          <w:spacing w:val="-10"/>
          <w:sz w:val="18"/>
          <w:szCs w:val="18"/>
          <w:lang w:val="es-ES_tradnl"/>
        </w:rPr>
        <w:t xml:space="preserve">n, en observancia </w:t>
      </w:r>
      <w:r>
        <w:rPr>
          <w:spacing w:val="-9"/>
          <w:sz w:val="18"/>
          <w:szCs w:val="18"/>
          <w:lang w:val="es-ES_tradnl"/>
        </w:rPr>
        <w:t>de las garant</w:t>
      </w:r>
      <w:r>
        <w:rPr>
          <w:rFonts w:cs="Times New Roman"/>
          <w:spacing w:val="-9"/>
          <w:sz w:val="18"/>
          <w:szCs w:val="18"/>
          <w:lang w:val="es-ES_tradnl"/>
        </w:rPr>
        <w:t>í</w:t>
      </w:r>
      <w:r>
        <w:rPr>
          <w:spacing w:val="-9"/>
          <w:sz w:val="18"/>
          <w:szCs w:val="18"/>
          <w:lang w:val="es-ES_tradnl"/>
        </w:rPr>
        <w:t xml:space="preserve">as del debido proceso, de la tutela </w:t>
      </w:r>
      <w:r>
        <w:rPr>
          <w:spacing w:val="-5"/>
          <w:sz w:val="18"/>
          <w:szCs w:val="18"/>
          <w:lang w:val="es-ES_tradnl"/>
        </w:rPr>
        <w:t>judicial efectiva y del an</w:t>
      </w:r>
      <w:r>
        <w:rPr>
          <w:rFonts w:cs="Times New Roman"/>
          <w:spacing w:val="-5"/>
          <w:sz w:val="18"/>
          <w:szCs w:val="18"/>
          <w:lang w:val="es-ES_tradnl"/>
        </w:rPr>
        <w:t>á</w:t>
      </w:r>
      <w:r>
        <w:rPr>
          <w:spacing w:val="-5"/>
          <w:sz w:val="18"/>
          <w:szCs w:val="18"/>
          <w:lang w:val="es-ES_tradnl"/>
        </w:rPr>
        <w:t xml:space="preserve">lisis realizado en la </w:t>
      </w:r>
      <w:r>
        <w:rPr>
          <w:sz w:val="18"/>
          <w:szCs w:val="18"/>
          <w:lang w:val="es-ES_tradnl"/>
        </w:rPr>
        <w:t>presente sentencia.</w:t>
      </w:r>
    </w:p>
    <w:p w14:paraId="4F67AE84" w14:textId="77777777" w:rsidR="00591D54" w:rsidRDefault="00591D54">
      <w:pPr>
        <w:shd w:val="clear" w:color="auto" w:fill="FFFFFF"/>
        <w:tabs>
          <w:tab w:val="left" w:pos="566"/>
        </w:tabs>
        <w:spacing w:before="34" w:line="437" w:lineRule="exact"/>
        <w:ind w:left="283"/>
      </w:pPr>
      <w:r>
        <w:rPr>
          <w:spacing w:val="-9"/>
          <w:sz w:val="18"/>
          <w:szCs w:val="18"/>
          <w:lang w:val="es-ES_tradnl"/>
        </w:rPr>
        <w:t>4.</w:t>
      </w:r>
      <w:r>
        <w:rPr>
          <w:sz w:val="18"/>
          <w:szCs w:val="18"/>
          <w:lang w:val="es-ES_tradnl"/>
        </w:rPr>
        <w:tab/>
      </w:r>
      <w:r>
        <w:rPr>
          <w:spacing w:val="-7"/>
          <w:sz w:val="18"/>
          <w:szCs w:val="18"/>
          <w:lang w:val="es-ES_tradnl"/>
        </w:rPr>
        <w:t>Notif</w:t>
      </w:r>
      <w:r>
        <w:rPr>
          <w:rFonts w:cs="Times New Roman"/>
          <w:spacing w:val="-7"/>
          <w:sz w:val="18"/>
          <w:szCs w:val="18"/>
          <w:lang w:val="es-ES_tradnl"/>
        </w:rPr>
        <w:t>í</w:t>
      </w:r>
      <w:r>
        <w:rPr>
          <w:spacing w:val="-7"/>
          <w:sz w:val="18"/>
          <w:szCs w:val="18"/>
          <w:lang w:val="es-ES_tradnl"/>
        </w:rPr>
        <w:t>quese, publ</w:t>
      </w:r>
      <w:r>
        <w:rPr>
          <w:rFonts w:cs="Times New Roman"/>
          <w:spacing w:val="-7"/>
          <w:sz w:val="18"/>
          <w:szCs w:val="18"/>
          <w:lang w:val="es-ES_tradnl"/>
        </w:rPr>
        <w:t>í</w:t>
      </w:r>
      <w:r>
        <w:rPr>
          <w:spacing w:val="-7"/>
          <w:sz w:val="18"/>
          <w:szCs w:val="18"/>
          <w:lang w:val="es-ES_tradnl"/>
        </w:rPr>
        <w:t>quese y c</w:t>
      </w:r>
      <w:r>
        <w:rPr>
          <w:rFonts w:cs="Times New Roman"/>
          <w:spacing w:val="-7"/>
          <w:sz w:val="18"/>
          <w:szCs w:val="18"/>
          <w:lang w:val="es-ES_tradnl"/>
        </w:rPr>
        <w:t>ú</w:t>
      </w:r>
      <w:r>
        <w:rPr>
          <w:spacing w:val="-7"/>
          <w:sz w:val="18"/>
          <w:szCs w:val="18"/>
          <w:lang w:val="es-ES_tradnl"/>
        </w:rPr>
        <w:t>mplase.</w:t>
      </w:r>
    </w:p>
    <w:p w14:paraId="4F67AE85" w14:textId="77777777" w:rsidR="00591D54" w:rsidRDefault="00591D54">
      <w:pPr>
        <w:shd w:val="clear" w:color="auto" w:fill="FFFFFF"/>
        <w:spacing w:line="437" w:lineRule="exact"/>
      </w:pPr>
      <w:r>
        <w:rPr>
          <w:spacing w:val="-4"/>
          <w:sz w:val="18"/>
          <w:szCs w:val="18"/>
          <w:lang w:val="es-ES_tradnl"/>
        </w:rPr>
        <w:t>f.) Patricio Pazmi</w:t>
      </w:r>
      <w:r>
        <w:rPr>
          <w:rFonts w:cs="Times New Roman"/>
          <w:spacing w:val="-4"/>
          <w:sz w:val="18"/>
          <w:szCs w:val="18"/>
          <w:lang w:val="es-ES_tradnl"/>
        </w:rPr>
        <w:t>ñ</w:t>
      </w:r>
      <w:r>
        <w:rPr>
          <w:spacing w:val="-4"/>
          <w:sz w:val="18"/>
          <w:szCs w:val="18"/>
          <w:lang w:val="es-ES_tradnl"/>
        </w:rPr>
        <w:t xml:space="preserve">o Freire, </w:t>
      </w:r>
      <w:r>
        <w:rPr>
          <w:b/>
          <w:bCs/>
          <w:spacing w:val="-4"/>
          <w:sz w:val="18"/>
          <w:szCs w:val="18"/>
          <w:lang w:val="es-ES_tradnl"/>
        </w:rPr>
        <w:t>PRESIDENTE.</w:t>
      </w:r>
    </w:p>
    <w:p w14:paraId="4F67AE86" w14:textId="77777777" w:rsidR="00591D54" w:rsidRDefault="00591D54">
      <w:pPr>
        <w:shd w:val="clear" w:color="auto" w:fill="FFFFFF"/>
        <w:spacing w:line="437" w:lineRule="exact"/>
      </w:pPr>
      <w:r>
        <w:rPr>
          <w:spacing w:val="-4"/>
          <w:sz w:val="18"/>
          <w:szCs w:val="18"/>
          <w:lang w:val="es-ES_tradnl"/>
        </w:rPr>
        <w:t xml:space="preserve">f.) Jaime Pozo Chamorro, </w:t>
      </w:r>
      <w:r>
        <w:rPr>
          <w:b/>
          <w:bCs/>
          <w:spacing w:val="-4"/>
          <w:sz w:val="18"/>
          <w:szCs w:val="18"/>
          <w:lang w:val="es-ES_tradnl"/>
        </w:rPr>
        <w:t>SECRETARIO GENERAL.</w:t>
      </w:r>
    </w:p>
    <w:p w14:paraId="4F67AE87" w14:textId="77777777" w:rsidR="00591D54" w:rsidRDefault="00591D54">
      <w:pPr>
        <w:shd w:val="clear" w:color="auto" w:fill="FFFFFF"/>
        <w:spacing w:before="158" w:line="221" w:lineRule="exact"/>
        <w:jc w:val="both"/>
      </w:pPr>
      <w:r>
        <w:rPr>
          <w:b/>
          <w:bCs/>
          <w:spacing w:val="-4"/>
          <w:sz w:val="18"/>
          <w:szCs w:val="18"/>
          <w:lang w:val="es-ES_tradnl"/>
        </w:rPr>
        <w:t>RAZ</w:t>
      </w:r>
      <w:r>
        <w:rPr>
          <w:rFonts w:cs="Times New Roman"/>
          <w:b/>
          <w:bCs/>
          <w:spacing w:val="-4"/>
          <w:sz w:val="18"/>
          <w:szCs w:val="18"/>
          <w:lang w:val="es-ES_tradnl"/>
        </w:rPr>
        <w:t>Ó</w:t>
      </w:r>
      <w:r>
        <w:rPr>
          <w:b/>
          <w:bCs/>
          <w:spacing w:val="-4"/>
          <w:sz w:val="18"/>
          <w:szCs w:val="18"/>
          <w:lang w:val="es-ES_tradnl"/>
        </w:rPr>
        <w:t xml:space="preserve">N.- </w:t>
      </w:r>
      <w:r>
        <w:rPr>
          <w:spacing w:val="-4"/>
          <w:sz w:val="18"/>
          <w:szCs w:val="18"/>
          <w:lang w:val="es-ES_tradnl"/>
        </w:rPr>
        <w:t xml:space="preserve">Siento por tal, que la sentencia que antecede </w:t>
      </w:r>
      <w:r>
        <w:rPr>
          <w:spacing w:val="-7"/>
          <w:sz w:val="18"/>
          <w:szCs w:val="18"/>
          <w:lang w:val="es-ES_tradnl"/>
        </w:rPr>
        <w:t xml:space="preserve">fue aprobada por el Pleno de la Corte Constitucional, con </w:t>
      </w:r>
      <w:r>
        <w:rPr>
          <w:spacing w:val="-10"/>
          <w:sz w:val="18"/>
          <w:szCs w:val="18"/>
          <w:lang w:val="es-ES_tradnl"/>
        </w:rPr>
        <w:t>ocho votos de las se</w:t>
      </w:r>
      <w:r>
        <w:rPr>
          <w:rFonts w:cs="Times New Roman"/>
          <w:spacing w:val="-10"/>
          <w:sz w:val="18"/>
          <w:szCs w:val="18"/>
          <w:lang w:val="es-ES_tradnl"/>
        </w:rPr>
        <w:t>ñ</w:t>
      </w:r>
      <w:r>
        <w:rPr>
          <w:spacing w:val="-10"/>
          <w:sz w:val="18"/>
          <w:szCs w:val="18"/>
          <w:lang w:val="es-ES_tradnl"/>
        </w:rPr>
        <w:t>oras juezas y se</w:t>
      </w:r>
      <w:r>
        <w:rPr>
          <w:rFonts w:cs="Times New Roman"/>
          <w:spacing w:val="-10"/>
          <w:sz w:val="18"/>
          <w:szCs w:val="18"/>
          <w:lang w:val="es-ES_tradnl"/>
        </w:rPr>
        <w:t>ñ</w:t>
      </w:r>
      <w:r>
        <w:rPr>
          <w:spacing w:val="-10"/>
          <w:sz w:val="18"/>
          <w:szCs w:val="18"/>
          <w:lang w:val="es-ES_tradnl"/>
        </w:rPr>
        <w:t xml:space="preserve">ores jueces: Antonio </w:t>
      </w:r>
      <w:r>
        <w:rPr>
          <w:spacing w:val="-3"/>
          <w:sz w:val="18"/>
          <w:szCs w:val="18"/>
          <w:lang w:val="es-ES_tradnl"/>
        </w:rPr>
        <w:t xml:space="preserve">Gagliardo Loor, Marcelo Jaramillo Villa, Wendy Molina </w:t>
      </w:r>
      <w:r>
        <w:rPr>
          <w:spacing w:val="-7"/>
          <w:sz w:val="18"/>
          <w:szCs w:val="18"/>
          <w:lang w:val="es-ES_tradnl"/>
        </w:rPr>
        <w:t>Andrade, Tatiana Orde</w:t>
      </w:r>
      <w:r>
        <w:rPr>
          <w:rFonts w:cs="Times New Roman"/>
          <w:spacing w:val="-7"/>
          <w:sz w:val="18"/>
          <w:szCs w:val="18"/>
          <w:lang w:val="es-ES_tradnl"/>
        </w:rPr>
        <w:t>ñ</w:t>
      </w:r>
      <w:r>
        <w:rPr>
          <w:spacing w:val="-7"/>
          <w:sz w:val="18"/>
          <w:szCs w:val="18"/>
          <w:lang w:val="es-ES_tradnl"/>
        </w:rPr>
        <w:t>ana Sierra, Alfredo Ruiz Guzm</w:t>
      </w:r>
      <w:r>
        <w:rPr>
          <w:rFonts w:cs="Times New Roman"/>
          <w:spacing w:val="-7"/>
          <w:sz w:val="18"/>
          <w:szCs w:val="18"/>
          <w:lang w:val="es-ES_tradnl"/>
        </w:rPr>
        <w:t>á</w:t>
      </w:r>
      <w:r>
        <w:rPr>
          <w:spacing w:val="-7"/>
          <w:sz w:val="18"/>
          <w:szCs w:val="18"/>
          <w:lang w:val="es-ES_tradnl"/>
        </w:rPr>
        <w:t xml:space="preserve">n, </w:t>
      </w:r>
      <w:r>
        <w:rPr>
          <w:spacing w:val="-3"/>
          <w:sz w:val="18"/>
          <w:szCs w:val="18"/>
          <w:lang w:val="es-ES_tradnl"/>
        </w:rPr>
        <w:t xml:space="preserve">Ruth Seni Pinoargote, Manuel Viteri Olvera y Patricio </w:t>
      </w:r>
      <w:r>
        <w:rPr>
          <w:spacing w:val="-7"/>
          <w:sz w:val="18"/>
          <w:szCs w:val="18"/>
          <w:lang w:val="es-ES_tradnl"/>
        </w:rPr>
        <w:t>Pazmi</w:t>
      </w:r>
      <w:r>
        <w:rPr>
          <w:rFonts w:cs="Times New Roman"/>
          <w:spacing w:val="-7"/>
          <w:sz w:val="18"/>
          <w:szCs w:val="18"/>
          <w:lang w:val="es-ES_tradnl"/>
        </w:rPr>
        <w:t>ñ</w:t>
      </w:r>
      <w:r>
        <w:rPr>
          <w:spacing w:val="-7"/>
          <w:sz w:val="18"/>
          <w:szCs w:val="18"/>
          <w:lang w:val="es-ES_tradnl"/>
        </w:rPr>
        <w:t>o Freire, sin contar con la presencia de la jueza constitucional Mar</w:t>
      </w:r>
      <w:r>
        <w:rPr>
          <w:rFonts w:cs="Times New Roman"/>
          <w:spacing w:val="-7"/>
          <w:sz w:val="18"/>
          <w:szCs w:val="18"/>
          <w:lang w:val="es-ES_tradnl"/>
        </w:rPr>
        <w:t>í</w:t>
      </w:r>
      <w:r>
        <w:rPr>
          <w:spacing w:val="-7"/>
          <w:sz w:val="18"/>
          <w:szCs w:val="18"/>
          <w:lang w:val="es-ES_tradnl"/>
        </w:rPr>
        <w:t>a del Carmen Maldonado S</w:t>
      </w:r>
      <w:r>
        <w:rPr>
          <w:rFonts w:cs="Times New Roman"/>
          <w:spacing w:val="-7"/>
          <w:sz w:val="18"/>
          <w:szCs w:val="18"/>
          <w:lang w:val="es-ES_tradnl"/>
        </w:rPr>
        <w:t>á</w:t>
      </w:r>
      <w:r>
        <w:rPr>
          <w:spacing w:val="-7"/>
          <w:sz w:val="18"/>
          <w:szCs w:val="18"/>
          <w:lang w:val="es-ES_tradnl"/>
        </w:rPr>
        <w:t xml:space="preserve">nchez, en </w:t>
      </w:r>
      <w:r>
        <w:rPr>
          <w:spacing w:val="-6"/>
          <w:sz w:val="18"/>
          <w:szCs w:val="18"/>
          <w:lang w:val="es-ES_tradnl"/>
        </w:rPr>
        <w:t>sesi</w:t>
      </w:r>
      <w:r>
        <w:rPr>
          <w:rFonts w:cs="Times New Roman"/>
          <w:spacing w:val="-6"/>
          <w:sz w:val="18"/>
          <w:szCs w:val="18"/>
          <w:lang w:val="es-ES_tradnl"/>
        </w:rPr>
        <w:t>ó</w:t>
      </w:r>
      <w:r>
        <w:rPr>
          <w:spacing w:val="-6"/>
          <w:sz w:val="18"/>
          <w:szCs w:val="18"/>
          <w:lang w:val="es-ES_tradnl"/>
        </w:rPr>
        <w:t>n del 15 de julio de 2015. Lo certifico.</w:t>
      </w:r>
    </w:p>
    <w:p w14:paraId="4F67AE88" w14:textId="77777777" w:rsidR="00591D54" w:rsidRDefault="00591D54">
      <w:pPr>
        <w:shd w:val="clear" w:color="auto" w:fill="FFFFFF"/>
        <w:spacing w:before="197"/>
      </w:pPr>
      <w:r>
        <w:rPr>
          <w:spacing w:val="-4"/>
          <w:sz w:val="18"/>
          <w:szCs w:val="18"/>
          <w:lang w:val="es-ES_tradnl"/>
        </w:rPr>
        <w:t xml:space="preserve">f.) Jaime Pozo Chamorro, </w:t>
      </w:r>
      <w:r>
        <w:rPr>
          <w:b/>
          <w:bCs/>
          <w:spacing w:val="-4"/>
          <w:sz w:val="18"/>
          <w:szCs w:val="18"/>
          <w:lang w:val="es-ES_tradnl"/>
        </w:rPr>
        <w:t>SECRETARIO GENERAL.</w:t>
      </w:r>
    </w:p>
    <w:p w14:paraId="4F67AE89" w14:textId="77777777" w:rsidR="00591D54" w:rsidRDefault="00591D54">
      <w:pPr>
        <w:shd w:val="clear" w:color="auto" w:fill="FFFFFF"/>
        <w:spacing w:before="197" w:line="221"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AE8A" w14:textId="77777777" w:rsidR="00591D54" w:rsidRDefault="00591D54">
      <w:pPr>
        <w:shd w:val="clear" w:color="auto" w:fill="FFFFFF"/>
        <w:spacing w:before="197"/>
      </w:pPr>
      <w:r>
        <w:rPr>
          <w:b/>
          <w:bCs/>
          <w:spacing w:val="-5"/>
          <w:sz w:val="18"/>
          <w:szCs w:val="18"/>
          <w:u w:val="single"/>
          <w:lang w:val="es-ES_tradnl"/>
        </w:rPr>
        <w:t>CASO Nro. 2102-13-EP</w:t>
      </w:r>
    </w:p>
    <w:p w14:paraId="4F67AE8B" w14:textId="77777777" w:rsidR="00591D54" w:rsidRDefault="00591D54">
      <w:pPr>
        <w:shd w:val="clear" w:color="auto" w:fill="FFFFFF"/>
        <w:spacing w:before="197" w:line="221" w:lineRule="exact"/>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w:t>
      </w:r>
      <w:r>
        <w:rPr>
          <w:spacing w:val="-7"/>
          <w:sz w:val="18"/>
          <w:szCs w:val="18"/>
          <w:lang w:val="es-ES_tradnl"/>
        </w:rPr>
        <w:t>suscrita por el Juez Patricio Pazmi</w:t>
      </w:r>
      <w:r>
        <w:rPr>
          <w:rFonts w:cs="Times New Roman"/>
          <w:spacing w:val="-7"/>
          <w:sz w:val="18"/>
          <w:szCs w:val="18"/>
          <w:lang w:val="es-ES_tradnl"/>
        </w:rPr>
        <w:t>ñ</w:t>
      </w:r>
      <w:r>
        <w:rPr>
          <w:spacing w:val="-7"/>
          <w:sz w:val="18"/>
          <w:szCs w:val="18"/>
          <w:lang w:val="es-ES_tradnl"/>
        </w:rPr>
        <w:t>o Freire, Presidente de</w:t>
      </w:r>
    </w:p>
    <w:p w14:paraId="4F67AE8C" w14:textId="77777777" w:rsidR="00591D54" w:rsidRDefault="00591D54">
      <w:pPr>
        <w:shd w:val="clear" w:color="auto" w:fill="FFFFFF"/>
        <w:spacing w:before="197" w:line="221" w:lineRule="exact"/>
        <w:jc w:val="both"/>
        <w:sectPr w:rsidR="00591D54">
          <w:type w:val="continuous"/>
          <w:pgSz w:w="11909" w:h="16834"/>
          <w:pgMar w:top="1366" w:right="1309" w:bottom="360" w:left="1308" w:header="720" w:footer="720" w:gutter="0"/>
          <w:cols w:num="2" w:space="720" w:equalWidth="0">
            <w:col w:w="4305" w:space="682"/>
            <w:col w:w="4305"/>
          </w:cols>
          <w:noEndnote/>
        </w:sectPr>
      </w:pPr>
    </w:p>
    <w:p w14:paraId="4F67AE8D"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- 135</w:t>
      </w:r>
    </w:p>
    <w:p w14:paraId="4F67AE8E" w14:textId="77777777" w:rsidR="00591D54" w:rsidRDefault="00591D54">
      <w:pPr>
        <w:shd w:val="clear" w:color="auto" w:fill="FFFFFF"/>
        <w:tabs>
          <w:tab w:val="left" w:pos="5842"/>
        </w:tabs>
        <w:spacing w:after="235"/>
        <w:ind w:left="5"/>
        <w:sectPr w:rsidR="00591D54">
          <w:pgSz w:w="11909" w:h="16834"/>
          <w:pgMar w:top="1361" w:right="1309" w:bottom="360" w:left="1308" w:header="720" w:footer="720" w:gutter="0"/>
          <w:cols w:space="60"/>
          <w:noEndnote/>
        </w:sectPr>
      </w:pPr>
    </w:p>
    <w:p w14:paraId="4F67AE8F" w14:textId="77777777" w:rsidR="00591D54" w:rsidRDefault="00591D54">
      <w:pPr>
        <w:shd w:val="clear" w:color="auto" w:fill="FFFFFF"/>
        <w:spacing w:line="216" w:lineRule="exact"/>
        <w:jc w:val="both"/>
      </w:pPr>
      <w:r>
        <w:rPr>
          <w:spacing w:val="-7"/>
          <w:sz w:val="18"/>
          <w:szCs w:val="18"/>
          <w:lang w:val="es-ES_tradnl"/>
        </w:rPr>
        <w:t>la Corte Constitucional, el d</w:t>
      </w:r>
      <w:r>
        <w:rPr>
          <w:rFonts w:cs="Times New Roman"/>
          <w:spacing w:val="-7"/>
          <w:sz w:val="18"/>
          <w:szCs w:val="18"/>
          <w:lang w:val="es-ES_tradnl"/>
        </w:rPr>
        <w:t>í</w:t>
      </w:r>
      <w:r>
        <w:rPr>
          <w:spacing w:val="-7"/>
          <w:sz w:val="18"/>
          <w:szCs w:val="18"/>
          <w:lang w:val="es-ES_tradnl"/>
        </w:rPr>
        <w:t xml:space="preserve">a martes 01 de septiembre del </w:t>
      </w:r>
      <w:r>
        <w:rPr>
          <w:sz w:val="18"/>
          <w:szCs w:val="18"/>
          <w:lang w:val="es-ES_tradnl"/>
        </w:rPr>
        <w:t>dos mil quince.- Lo certifico.</w:t>
      </w:r>
    </w:p>
    <w:p w14:paraId="4F67AE90" w14:textId="77777777" w:rsidR="00591D54" w:rsidRDefault="00591D54">
      <w:pPr>
        <w:shd w:val="clear" w:color="auto" w:fill="FFFFFF"/>
        <w:spacing w:before="192"/>
      </w:pPr>
      <w:r>
        <w:rPr>
          <w:spacing w:val="-7"/>
          <w:sz w:val="18"/>
          <w:szCs w:val="18"/>
          <w:lang w:val="es-ES_tradnl"/>
        </w:rPr>
        <w:t xml:space="preserve">f.) Jaime Pozo Chamorro, </w:t>
      </w:r>
      <w:r>
        <w:rPr>
          <w:b/>
          <w:bCs/>
          <w:spacing w:val="-7"/>
          <w:sz w:val="18"/>
          <w:szCs w:val="18"/>
          <w:lang w:val="es-ES_tradnl"/>
        </w:rPr>
        <w:t>Secretario General.</w:t>
      </w:r>
    </w:p>
    <w:p w14:paraId="4F67AE91" w14:textId="77777777" w:rsidR="00591D54" w:rsidRDefault="00591D54">
      <w:pPr>
        <w:shd w:val="clear" w:color="auto" w:fill="FFFFFF"/>
        <w:spacing w:before="192"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AE92" w14:textId="77777777" w:rsidR="00591D54" w:rsidRDefault="00591D54">
      <w:pPr>
        <w:shd w:val="clear" w:color="auto" w:fill="FFFFFF"/>
        <w:spacing w:before="1133" w:line="427" w:lineRule="exact"/>
      </w:pPr>
      <w:r>
        <w:rPr>
          <w:spacing w:val="-5"/>
          <w:sz w:val="18"/>
          <w:szCs w:val="18"/>
          <w:lang w:val="es-ES_tradnl"/>
        </w:rPr>
        <w:t>Quito, D. M., 22 de julio de 2015</w:t>
      </w:r>
    </w:p>
    <w:p w14:paraId="4F67AE93" w14:textId="77777777" w:rsidR="00591D54" w:rsidRDefault="00591D54">
      <w:pPr>
        <w:shd w:val="clear" w:color="auto" w:fill="FFFFFF"/>
        <w:spacing w:line="427" w:lineRule="exact"/>
        <w:ind w:left="850"/>
      </w:pPr>
      <w:r>
        <w:rPr>
          <w:b/>
          <w:bCs/>
          <w:spacing w:val="-3"/>
          <w:sz w:val="18"/>
          <w:szCs w:val="18"/>
          <w:u w:val="single"/>
          <w:lang w:val="es-ES_tradnl"/>
        </w:rPr>
        <w:t>SENTENCIA N.</w:t>
      </w:r>
      <w:r>
        <w:rPr>
          <w:rFonts w:cs="Times New Roman"/>
          <w:b/>
          <w:bCs/>
          <w:spacing w:val="-3"/>
          <w:sz w:val="18"/>
          <w:szCs w:val="18"/>
          <w:u w:val="single"/>
          <w:lang w:val="es-ES_tradnl"/>
        </w:rPr>
        <w:t>º</w:t>
      </w:r>
      <w:r>
        <w:rPr>
          <w:b/>
          <w:bCs/>
          <w:spacing w:val="-3"/>
          <w:sz w:val="18"/>
          <w:szCs w:val="18"/>
          <w:u w:val="single"/>
          <w:lang w:val="es-ES_tradnl"/>
        </w:rPr>
        <w:t xml:space="preserve"> 233-15-SEP-CC</w:t>
      </w:r>
    </w:p>
    <w:p w14:paraId="4F67AE94" w14:textId="77777777" w:rsidR="00591D54" w:rsidRDefault="00591D54">
      <w:pPr>
        <w:shd w:val="clear" w:color="auto" w:fill="FFFFFF"/>
        <w:spacing w:line="427" w:lineRule="exact"/>
        <w:ind w:left="1291"/>
      </w:pPr>
      <w:r>
        <w:rPr>
          <w:b/>
          <w:bCs/>
          <w:spacing w:val="-5"/>
          <w:sz w:val="18"/>
          <w:szCs w:val="18"/>
          <w:u w:val="single"/>
          <w:lang w:val="es-ES_tradnl"/>
        </w:rPr>
        <w:t>CASO N.</w:t>
      </w:r>
      <w:r>
        <w:rPr>
          <w:rFonts w:cs="Times New Roman"/>
          <w:b/>
          <w:bCs/>
          <w:spacing w:val="-5"/>
          <w:sz w:val="18"/>
          <w:szCs w:val="18"/>
          <w:u w:val="single"/>
          <w:lang w:val="es-ES_tradnl"/>
        </w:rPr>
        <w:t>º</w:t>
      </w:r>
      <w:r>
        <w:rPr>
          <w:b/>
          <w:bCs/>
          <w:spacing w:val="-5"/>
          <w:sz w:val="18"/>
          <w:szCs w:val="18"/>
          <w:u w:val="single"/>
          <w:lang w:val="es-ES_tradnl"/>
        </w:rPr>
        <w:t xml:space="preserve"> 0026-12-EP</w:t>
      </w:r>
    </w:p>
    <w:p w14:paraId="4F67AE95" w14:textId="77777777" w:rsidR="00591D54" w:rsidRDefault="00591D54">
      <w:pPr>
        <w:shd w:val="clear" w:color="auto" w:fill="FFFFFF"/>
        <w:spacing w:line="427" w:lineRule="exact"/>
        <w:ind w:left="250"/>
      </w:pPr>
      <w:r>
        <w:rPr>
          <w:b/>
          <w:bCs/>
          <w:sz w:val="18"/>
          <w:szCs w:val="18"/>
          <w:lang w:val="es-ES_tradnl"/>
        </w:rPr>
        <w:t>CORTE CONSTITUCIONAL   DEL ECUADOR</w:t>
      </w:r>
    </w:p>
    <w:p w14:paraId="4F67AE96" w14:textId="77777777" w:rsidR="00591D54" w:rsidRDefault="00591D54">
      <w:pPr>
        <w:shd w:val="clear" w:color="auto" w:fill="FFFFFF"/>
        <w:spacing w:line="427" w:lineRule="exact"/>
        <w:ind w:left="1334"/>
      </w:pPr>
      <w:r>
        <w:rPr>
          <w:b/>
          <w:bCs/>
          <w:sz w:val="18"/>
          <w:szCs w:val="18"/>
          <w:lang w:val="es-ES_tradnl"/>
        </w:rPr>
        <w:t>I. ANTECEDENTES</w:t>
      </w:r>
    </w:p>
    <w:p w14:paraId="4F67AE97" w14:textId="77777777" w:rsidR="00591D54" w:rsidRDefault="00591D54">
      <w:pPr>
        <w:shd w:val="clear" w:color="auto" w:fill="FFFFFF"/>
        <w:spacing w:line="427" w:lineRule="exact"/>
      </w:pPr>
      <w:r>
        <w:rPr>
          <w:b/>
          <w:bCs/>
          <w:spacing w:val="-9"/>
          <w:sz w:val="18"/>
          <w:szCs w:val="18"/>
          <w:lang w:val="es-ES_tradnl"/>
        </w:rPr>
        <w:t>Resumen de admisibilidad</w:t>
      </w:r>
    </w:p>
    <w:p w14:paraId="4F67AE98" w14:textId="77777777" w:rsidR="00591D54" w:rsidRDefault="00591D54">
      <w:pPr>
        <w:shd w:val="clear" w:color="auto" w:fill="FFFFFF"/>
        <w:spacing w:before="163" w:line="216" w:lineRule="exact"/>
        <w:ind w:right="5"/>
        <w:jc w:val="both"/>
      </w:pPr>
      <w:r>
        <w:rPr>
          <w:spacing w:val="-5"/>
          <w:sz w:val="18"/>
          <w:szCs w:val="18"/>
          <w:lang w:val="es-ES_tradnl"/>
        </w:rPr>
        <w:t>La presente acci</w:t>
      </w:r>
      <w:r>
        <w:rPr>
          <w:rFonts w:cs="Times New Roman"/>
          <w:spacing w:val="-5"/>
          <w:sz w:val="18"/>
          <w:szCs w:val="18"/>
          <w:lang w:val="es-ES_tradnl"/>
        </w:rPr>
        <w:t>ó</w:t>
      </w:r>
      <w:r>
        <w:rPr>
          <w:spacing w:val="-5"/>
          <w:sz w:val="18"/>
          <w:szCs w:val="18"/>
          <w:lang w:val="es-ES_tradnl"/>
        </w:rPr>
        <w:t>n extraordinaria de protecci</w:t>
      </w:r>
      <w:r>
        <w:rPr>
          <w:rFonts w:cs="Times New Roman"/>
          <w:spacing w:val="-5"/>
          <w:sz w:val="18"/>
          <w:szCs w:val="18"/>
          <w:lang w:val="es-ES_tradnl"/>
        </w:rPr>
        <w:t>ó</w:t>
      </w:r>
      <w:r>
        <w:rPr>
          <w:spacing w:val="-5"/>
          <w:sz w:val="18"/>
          <w:szCs w:val="18"/>
          <w:lang w:val="es-ES_tradnl"/>
        </w:rPr>
        <w:t xml:space="preserve">n ha sido </w:t>
      </w:r>
      <w:r>
        <w:rPr>
          <w:spacing w:val="-6"/>
          <w:sz w:val="18"/>
          <w:szCs w:val="18"/>
          <w:lang w:val="es-ES_tradnl"/>
        </w:rPr>
        <w:t xml:space="preserve">propuesta por la doctora Helen Alexandra Maldonado </w:t>
      </w:r>
      <w:r>
        <w:rPr>
          <w:sz w:val="18"/>
          <w:szCs w:val="18"/>
          <w:lang w:val="es-ES_tradnl"/>
        </w:rPr>
        <w:t>Albarrac</w:t>
      </w:r>
      <w:r>
        <w:rPr>
          <w:rFonts w:cs="Times New Roman"/>
          <w:sz w:val="18"/>
          <w:szCs w:val="18"/>
          <w:lang w:val="es-ES_tradnl"/>
        </w:rPr>
        <w:t>í</w:t>
      </w:r>
      <w:r>
        <w:rPr>
          <w:sz w:val="18"/>
          <w:szCs w:val="18"/>
          <w:lang w:val="es-ES_tradnl"/>
        </w:rPr>
        <w:t>n y Byron Vladimir Maldonado Albarrac</w:t>
      </w:r>
      <w:r>
        <w:rPr>
          <w:rFonts w:cs="Times New Roman"/>
          <w:sz w:val="18"/>
          <w:szCs w:val="18"/>
          <w:lang w:val="es-ES_tradnl"/>
        </w:rPr>
        <w:t>í</w:t>
      </w:r>
      <w:r>
        <w:rPr>
          <w:sz w:val="18"/>
          <w:szCs w:val="18"/>
          <w:lang w:val="es-ES_tradnl"/>
        </w:rPr>
        <w:t xml:space="preserve">n, </w:t>
      </w:r>
      <w:r>
        <w:rPr>
          <w:spacing w:val="-8"/>
          <w:sz w:val="18"/>
          <w:szCs w:val="18"/>
          <w:lang w:val="es-ES_tradnl"/>
        </w:rPr>
        <w:t>quienes comparecen fundamentados en los art</w:t>
      </w:r>
      <w:r>
        <w:rPr>
          <w:rFonts w:cs="Times New Roman"/>
          <w:spacing w:val="-8"/>
          <w:sz w:val="18"/>
          <w:szCs w:val="18"/>
          <w:lang w:val="es-ES_tradnl"/>
        </w:rPr>
        <w:t>í</w:t>
      </w:r>
      <w:r>
        <w:rPr>
          <w:spacing w:val="-8"/>
          <w:sz w:val="18"/>
          <w:szCs w:val="18"/>
          <w:lang w:val="es-ES_tradnl"/>
        </w:rPr>
        <w:t xml:space="preserve">culos 58 y </w:t>
      </w:r>
      <w:r>
        <w:rPr>
          <w:spacing w:val="-9"/>
          <w:sz w:val="18"/>
          <w:szCs w:val="18"/>
          <w:lang w:val="es-ES_tradnl"/>
        </w:rPr>
        <w:t>siguientes de la Ley Org</w:t>
      </w:r>
      <w:r>
        <w:rPr>
          <w:rFonts w:cs="Times New Roman"/>
          <w:spacing w:val="-9"/>
          <w:sz w:val="18"/>
          <w:szCs w:val="18"/>
          <w:lang w:val="es-ES_tradnl"/>
        </w:rPr>
        <w:t>á</w:t>
      </w:r>
      <w:r>
        <w:rPr>
          <w:spacing w:val="-9"/>
          <w:sz w:val="18"/>
          <w:szCs w:val="18"/>
          <w:lang w:val="es-ES_tradnl"/>
        </w:rPr>
        <w:t>nica de Garant</w:t>
      </w:r>
      <w:r>
        <w:rPr>
          <w:rFonts w:cs="Times New Roman"/>
          <w:spacing w:val="-9"/>
          <w:sz w:val="18"/>
          <w:szCs w:val="18"/>
          <w:lang w:val="es-ES_tradnl"/>
        </w:rPr>
        <w:t>í</w:t>
      </w:r>
      <w:r>
        <w:rPr>
          <w:spacing w:val="-9"/>
          <w:sz w:val="18"/>
          <w:szCs w:val="18"/>
          <w:lang w:val="es-ES_tradnl"/>
        </w:rPr>
        <w:t xml:space="preserve">as Jurisdiccionales </w:t>
      </w:r>
      <w:r>
        <w:rPr>
          <w:sz w:val="18"/>
          <w:szCs w:val="18"/>
          <w:lang w:val="es-ES_tradnl"/>
        </w:rPr>
        <w:t>y Control Constitucional; acci</w:t>
      </w:r>
      <w:r>
        <w:rPr>
          <w:rFonts w:cs="Times New Roman"/>
          <w:sz w:val="18"/>
          <w:szCs w:val="18"/>
          <w:lang w:val="es-ES_tradnl"/>
        </w:rPr>
        <w:t>ó</w:t>
      </w:r>
      <w:r>
        <w:rPr>
          <w:sz w:val="18"/>
          <w:szCs w:val="18"/>
          <w:lang w:val="es-ES_tradnl"/>
        </w:rPr>
        <w:t xml:space="preserve">n mediante la cual, </w:t>
      </w:r>
      <w:r>
        <w:rPr>
          <w:spacing w:val="-9"/>
          <w:sz w:val="18"/>
          <w:szCs w:val="18"/>
          <w:lang w:val="es-ES_tradnl"/>
        </w:rPr>
        <w:t xml:space="preserve">impugnan el auto expedido el 7 de noviembre de 2011 a las </w:t>
      </w:r>
      <w:r>
        <w:rPr>
          <w:spacing w:val="-7"/>
          <w:sz w:val="18"/>
          <w:szCs w:val="18"/>
          <w:lang w:val="es-ES_tradnl"/>
        </w:rPr>
        <w:t>16h43, por los jueces de la Sala Especializada de lo Civil, Mercantil, Inquilinato, Laboral, Materias Residuales, Ni</w:t>
      </w:r>
      <w:r>
        <w:rPr>
          <w:rFonts w:cs="Times New Roman"/>
          <w:spacing w:val="-7"/>
          <w:sz w:val="18"/>
          <w:szCs w:val="18"/>
          <w:lang w:val="es-ES_tradnl"/>
        </w:rPr>
        <w:t>ñ</w:t>
      </w:r>
      <w:r>
        <w:rPr>
          <w:spacing w:val="-7"/>
          <w:sz w:val="18"/>
          <w:szCs w:val="18"/>
          <w:lang w:val="es-ES_tradnl"/>
        </w:rPr>
        <w:t xml:space="preserve">ez </w:t>
      </w:r>
      <w:r>
        <w:rPr>
          <w:spacing w:val="-8"/>
          <w:sz w:val="18"/>
          <w:szCs w:val="18"/>
          <w:lang w:val="es-ES_tradnl"/>
        </w:rPr>
        <w:t xml:space="preserve">y Adolescencia de la Corte Provincial de Justicia de El Oro, </w:t>
      </w:r>
      <w:r>
        <w:rPr>
          <w:spacing w:val="-3"/>
          <w:sz w:val="18"/>
          <w:szCs w:val="18"/>
          <w:lang w:val="es-ES_tradnl"/>
        </w:rPr>
        <w:t>dentro del juicio de alimentos N.</w:t>
      </w:r>
      <w:r>
        <w:rPr>
          <w:rFonts w:cs="Times New Roman"/>
          <w:spacing w:val="-3"/>
          <w:sz w:val="18"/>
          <w:szCs w:val="18"/>
          <w:lang w:val="es-ES_tradnl"/>
        </w:rPr>
        <w:t>º</w:t>
      </w:r>
      <w:r>
        <w:rPr>
          <w:spacing w:val="-3"/>
          <w:sz w:val="18"/>
          <w:szCs w:val="18"/>
          <w:lang w:val="es-ES_tradnl"/>
        </w:rPr>
        <w:t xml:space="preserve"> 158-2011, propuesto </w:t>
      </w:r>
      <w:r>
        <w:rPr>
          <w:spacing w:val="-7"/>
          <w:sz w:val="18"/>
          <w:szCs w:val="18"/>
          <w:lang w:val="es-ES_tradnl"/>
        </w:rPr>
        <w:t>por la se</w:t>
      </w:r>
      <w:r>
        <w:rPr>
          <w:rFonts w:cs="Times New Roman"/>
          <w:spacing w:val="-7"/>
          <w:sz w:val="18"/>
          <w:szCs w:val="18"/>
          <w:lang w:val="es-ES_tradnl"/>
        </w:rPr>
        <w:t>ñ</w:t>
      </w:r>
      <w:r>
        <w:rPr>
          <w:spacing w:val="-7"/>
          <w:sz w:val="18"/>
          <w:szCs w:val="18"/>
          <w:lang w:val="es-ES_tradnl"/>
        </w:rPr>
        <w:t>ora Mireya Mu</w:t>
      </w:r>
      <w:r>
        <w:rPr>
          <w:rFonts w:cs="Times New Roman"/>
          <w:spacing w:val="-7"/>
          <w:sz w:val="18"/>
          <w:szCs w:val="18"/>
          <w:lang w:val="es-ES_tradnl"/>
        </w:rPr>
        <w:t>ñ</w:t>
      </w:r>
      <w:r>
        <w:rPr>
          <w:spacing w:val="-7"/>
          <w:sz w:val="18"/>
          <w:szCs w:val="18"/>
          <w:lang w:val="es-ES_tradnl"/>
        </w:rPr>
        <w:t xml:space="preserve">oz Blacio en contra de los ahora </w:t>
      </w:r>
      <w:r>
        <w:rPr>
          <w:sz w:val="18"/>
          <w:szCs w:val="18"/>
          <w:lang w:val="es-ES_tradnl"/>
        </w:rPr>
        <w:t>accionantes.</w:t>
      </w:r>
    </w:p>
    <w:p w14:paraId="4F67AE99" w14:textId="77777777" w:rsidR="00591D54" w:rsidRDefault="00591D54">
      <w:pPr>
        <w:shd w:val="clear" w:color="auto" w:fill="FFFFFF"/>
        <w:spacing w:before="192" w:line="216" w:lineRule="exact"/>
        <w:jc w:val="both"/>
      </w:pPr>
      <w:r>
        <w:rPr>
          <w:spacing w:val="-1"/>
          <w:sz w:val="18"/>
          <w:szCs w:val="18"/>
          <w:lang w:val="es-ES_tradnl"/>
        </w:rPr>
        <w:t>De conformidad con el art</w:t>
      </w:r>
      <w:r>
        <w:rPr>
          <w:rFonts w:cs="Times New Roman"/>
          <w:spacing w:val="-1"/>
          <w:sz w:val="18"/>
          <w:szCs w:val="18"/>
          <w:lang w:val="es-ES_tradnl"/>
        </w:rPr>
        <w:t>í</w:t>
      </w:r>
      <w:r>
        <w:rPr>
          <w:spacing w:val="-1"/>
          <w:sz w:val="18"/>
          <w:szCs w:val="18"/>
          <w:lang w:val="es-ES_tradnl"/>
        </w:rPr>
        <w:t>culo 62 de la Ley Org</w:t>
      </w:r>
      <w:r>
        <w:rPr>
          <w:rFonts w:cs="Times New Roman"/>
          <w:spacing w:val="-1"/>
          <w:sz w:val="18"/>
          <w:szCs w:val="18"/>
          <w:lang w:val="es-ES_tradnl"/>
        </w:rPr>
        <w:t>á</w:t>
      </w:r>
      <w:r>
        <w:rPr>
          <w:spacing w:val="-1"/>
          <w:sz w:val="18"/>
          <w:szCs w:val="18"/>
          <w:lang w:val="es-ES_tradnl"/>
        </w:rPr>
        <w:t xml:space="preserve">nica </w:t>
      </w:r>
      <w:r>
        <w:rPr>
          <w:spacing w:val="-2"/>
          <w:sz w:val="18"/>
          <w:szCs w:val="18"/>
          <w:lang w:val="es-ES_tradnl"/>
        </w:rPr>
        <w:t>de Garant</w:t>
      </w:r>
      <w:r>
        <w:rPr>
          <w:rFonts w:cs="Times New Roman"/>
          <w:spacing w:val="-2"/>
          <w:sz w:val="18"/>
          <w:szCs w:val="18"/>
          <w:lang w:val="es-ES_tradnl"/>
        </w:rPr>
        <w:t>í</w:t>
      </w:r>
      <w:r>
        <w:rPr>
          <w:spacing w:val="-2"/>
          <w:sz w:val="18"/>
          <w:szCs w:val="18"/>
          <w:lang w:val="es-ES_tradnl"/>
        </w:rPr>
        <w:t xml:space="preserve">as Jurisdiccionales y Control Constitucional, </w:t>
      </w:r>
      <w:r>
        <w:rPr>
          <w:spacing w:val="-5"/>
          <w:sz w:val="18"/>
          <w:szCs w:val="18"/>
          <w:lang w:val="es-ES_tradnl"/>
        </w:rPr>
        <w:t>el proceso judicial N.</w:t>
      </w:r>
      <w:r>
        <w:rPr>
          <w:rFonts w:cs="Times New Roman"/>
          <w:spacing w:val="-5"/>
          <w:sz w:val="18"/>
          <w:szCs w:val="18"/>
          <w:lang w:val="es-ES_tradnl"/>
        </w:rPr>
        <w:t>º</w:t>
      </w:r>
      <w:r>
        <w:rPr>
          <w:spacing w:val="-5"/>
          <w:sz w:val="18"/>
          <w:szCs w:val="18"/>
          <w:lang w:val="es-ES_tradnl"/>
        </w:rPr>
        <w:t xml:space="preserve"> 158-2011 (segunda instancia), as</w:t>
      </w:r>
      <w:r>
        <w:rPr>
          <w:rFonts w:cs="Times New Roman"/>
          <w:spacing w:val="-5"/>
          <w:sz w:val="18"/>
          <w:szCs w:val="18"/>
          <w:lang w:val="es-ES_tradnl"/>
        </w:rPr>
        <w:t xml:space="preserve">í </w:t>
      </w:r>
      <w:r>
        <w:rPr>
          <w:spacing w:val="-5"/>
          <w:sz w:val="18"/>
          <w:szCs w:val="18"/>
          <w:lang w:val="es-ES_tradnl"/>
        </w:rPr>
        <w:t>como el proceso N.</w:t>
      </w:r>
      <w:r>
        <w:rPr>
          <w:rFonts w:cs="Times New Roman"/>
          <w:spacing w:val="-5"/>
          <w:sz w:val="18"/>
          <w:szCs w:val="18"/>
          <w:lang w:val="es-ES_tradnl"/>
        </w:rPr>
        <w:t>º</w:t>
      </w:r>
      <w:r>
        <w:rPr>
          <w:spacing w:val="-5"/>
          <w:sz w:val="18"/>
          <w:szCs w:val="18"/>
          <w:lang w:val="es-ES_tradnl"/>
        </w:rPr>
        <w:t xml:space="preserve"> 702-2010 (por resorteo se le asign</w:t>
      </w:r>
      <w:r>
        <w:rPr>
          <w:rFonts w:cs="Times New Roman"/>
          <w:spacing w:val="-5"/>
          <w:sz w:val="18"/>
          <w:szCs w:val="18"/>
          <w:lang w:val="es-ES_tradnl"/>
        </w:rPr>
        <w:t xml:space="preserve">ó </w:t>
      </w:r>
      <w:r>
        <w:rPr>
          <w:spacing w:val="-5"/>
          <w:sz w:val="18"/>
          <w:szCs w:val="18"/>
          <w:lang w:val="es-ES_tradnl"/>
        </w:rPr>
        <w:t>el N.</w:t>
      </w:r>
      <w:r>
        <w:rPr>
          <w:rFonts w:cs="Times New Roman"/>
          <w:spacing w:val="-5"/>
          <w:sz w:val="18"/>
          <w:szCs w:val="18"/>
          <w:lang w:val="es-ES_tradnl"/>
        </w:rPr>
        <w:t>º</w:t>
      </w:r>
      <w:r>
        <w:rPr>
          <w:spacing w:val="-5"/>
          <w:sz w:val="18"/>
          <w:szCs w:val="18"/>
          <w:lang w:val="es-ES_tradnl"/>
        </w:rPr>
        <w:t xml:space="preserve"> 640-2011) de primera instancia, fueron remitidos a </w:t>
      </w:r>
      <w:r>
        <w:rPr>
          <w:spacing w:val="-6"/>
          <w:sz w:val="18"/>
          <w:szCs w:val="18"/>
          <w:lang w:val="es-ES_tradnl"/>
        </w:rPr>
        <w:t>la Corte Constitucional mediante oficio N.</w:t>
      </w:r>
      <w:r>
        <w:rPr>
          <w:rFonts w:cs="Times New Roman"/>
          <w:spacing w:val="-6"/>
          <w:sz w:val="18"/>
          <w:szCs w:val="18"/>
          <w:lang w:val="es-ES_tradnl"/>
        </w:rPr>
        <w:t>º</w:t>
      </w:r>
      <w:r>
        <w:rPr>
          <w:spacing w:val="-6"/>
          <w:sz w:val="18"/>
          <w:szCs w:val="18"/>
          <w:lang w:val="es-ES_tradnl"/>
        </w:rPr>
        <w:t xml:space="preserve"> 853-SC del 13 </w:t>
      </w:r>
      <w:r>
        <w:rPr>
          <w:spacing w:val="-7"/>
          <w:sz w:val="18"/>
          <w:szCs w:val="18"/>
          <w:lang w:val="es-ES_tradnl"/>
        </w:rPr>
        <w:t xml:space="preserve">de diciembre de 2011, suscrito por el doctor Luis Valarezo Honores, secretario relator de la Sala de lo Civil, Mercantil, </w:t>
      </w:r>
      <w:r>
        <w:rPr>
          <w:spacing w:val="-8"/>
          <w:sz w:val="18"/>
          <w:szCs w:val="18"/>
          <w:lang w:val="es-ES_tradnl"/>
        </w:rPr>
        <w:t>Inquilinato, Materias Residuales y Ni</w:t>
      </w:r>
      <w:r>
        <w:rPr>
          <w:rFonts w:cs="Times New Roman"/>
          <w:spacing w:val="-8"/>
          <w:sz w:val="18"/>
          <w:szCs w:val="18"/>
          <w:lang w:val="es-ES_tradnl"/>
        </w:rPr>
        <w:t>ñ</w:t>
      </w:r>
      <w:r>
        <w:rPr>
          <w:spacing w:val="-8"/>
          <w:sz w:val="18"/>
          <w:szCs w:val="18"/>
          <w:lang w:val="es-ES_tradnl"/>
        </w:rPr>
        <w:t xml:space="preserve">ez y Adolescencia de </w:t>
      </w:r>
      <w:r>
        <w:rPr>
          <w:sz w:val="18"/>
          <w:szCs w:val="18"/>
          <w:lang w:val="es-ES_tradnl"/>
        </w:rPr>
        <w:t>la Corte Provincial de Justicia de El Oro.</w:t>
      </w:r>
    </w:p>
    <w:p w14:paraId="4F67AE9A" w14:textId="77777777" w:rsidR="00591D54" w:rsidRDefault="00591D54">
      <w:pPr>
        <w:shd w:val="clear" w:color="auto" w:fill="FFFFFF"/>
        <w:spacing w:before="197" w:line="216" w:lineRule="exact"/>
        <w:jc w:val="both"/>
      </w:pPr>
      <w:r>
        <w:rPr>
          <w:spacing w:val="-4"/>
          <w:sz w:val="18"/>
          <w:szCs w:val="18"/>
          <w:lang w:val="es-ES_tradnl"/>
        </w:rPr>
        <w:t>En cumplimiento de lo dispuesto en el art</w:t>
      </w:r>
      <w:r>
        <w:rPr>
          <w:rFonts w:cs="Times New Roman"/>
          <w:spacing w:val="-4"/>
          <w:sz w:val="18"/>
          <w:szCs w:val="18"/>
          <w:lang w:val="es-ES_tradnl"/>
        </w:rPr>
        <w:t>í</w:t>
      </w:r>
      <w:r>
        <w:rPr>
          <w:spacing w:val="-4"/>
          <w:sz w:val="18"/>
          <w:szCs w:val="18"/>
          <w:lang w:val="es-ES_tradnl"/>
        </w:rPr>
        <w:t xml:space="preserve">culo 17 del </w:t>
      </w:r>
      <w:r>
        <w:rPr>
          <w:spacing w:val="-10"/>
          <w:sz w:val="18"/>
          <w:szCs w:val="18"/>
          <w:lang w:val="es-ES_tradnl"/>
        </w:rPr>
        <w:t>Reglamento de Sustanciaci</w:t>
      </w:r>
      <w:r>
        <w:rPr>
          <w:rFonts w:cs="Times New Roman"/>
          <w:spacing w:val="-10"/>
          <w:sz w:val="18"/>
          <w:szCs w:val="18"/>
          <w:lang w:val="es-ES_tradnl"/>
        </w:rPr>
        <w:t>ó</w:t>
      </w:r>
      <w:r>
        <w:rPr>
          <w:spacing w:val="-10"/>
          <w:sz w:val="18"/>
          <w:szCs w:val="18"/>
          <w:lang w:val="es-ES_tradnl"/>
        </w:rPr>
        <w:t xml:space="preserve">n de Procesos de Competencia </w:t>
      </w:r>
      <w:r>
        <w:rPr>
          <w:spacing w:val="-2"/>
          <w:sz w:val="18"/>
          <w:szCs w:val="18"/>
          <w:lang w:val="es-ES_tradnl"/>
        </w:rPr>
        <w:t xml:space="preserve">de la Corte Constitucional (vigente a esa fecha), la </w:t>
      </w:r>
      <w:r>
        <w:rPr>
          <w:spacing w:val="-5"/>
          <w:sz w:val="18"/>
          <w:szCs w:val="18"/>
          <w:lang w:val="es-ES_tradnl"/>
        </w:rPr>
        <w:t>Secretar</w:t>
      </w:r>
      <w:r>
        <w:rPr>
          <w:rFonts w:cs="Times New Roman"/>
          <w:spacing w:val="-5"/>
          <w:sz w:val="18"/>
          <w:szCs w:val="18"/>
          <w:lang w:val="es-ES_tradnl"/>
        </w:rPr>
        <w:t>í</w:t>
      </w:r>
      <w:r>
        <w:rPr>
          <w:spacing w:val="-5"/>
          <w:sz w:val="18"/>
          <w:szCs w:val="18"/>
          <w:lang w:val="es-ES_tradnl"/>
        </w:rPr>
        <w:t xml:space="preserve">a General de la Corte Constitucional, para el </w:t>
      </w:r>
      <w:r>
        <w:rPr>
          <w:spacing w:val="-10"/>
          <w:sz w:val="18"/>
          <w:szCs w:val="18"/>
          <w:lang w:val="es-ES_tradnl"/>
        </w:rPr>
        <w:t>per</w:t>
      </w:r>
      <w:r>
        <w:rPr>
          <w:rFonts w:cs="Times New Roman"/>
          <w:spacing w:val="-10"/>
          <w:sz w:val="18"/>
          <w:szCs w:val="18"/>
          <w:lang w:val="es-ES_tradnl"/>
        </w:rPr>
        <w:t>í</w:t>
      </w:r>
      <w:r>
        <w:rPr>
          <w:spacing w:val="-10"/>
          <w:sz w:val="18"/>
          <w:szCs w:val="18"/>
          <w:lang w:val="es-ES_tradnl"/>
        </w:rPr>
        <w:t>odo de transici</w:t>
      </w:r>
      <w:r>
        <w:rPr>
          <w:rFonts w:cs="Times New Roman"/>
          <w:spacing w:val="-10"/>
          <w:sz w:val="18"/>
          <w:szCs w:val="18"/>
          <w:lang w:val="es-ES_tradnl"/>
        </w:rPr>
        <w:t>ó</w:t>
      </w:r>
      <w:r>
        <w:rPr>
          <w:spacing w:val="-10"/>
          <w:sz w:val="18"/>
          <w:szCs w:val="18"/>
          <w:lang w:val="es-ES_tradnl"/>
        </w:rPr>
        <w:t>n, certific</w:t>
      </w:r>
      <w:r>
        <w:rPr>
          <w:rFonts w:cs="Times New Roman"/>
          <w:spacing w:val="-10"/>
          <w:sz w:val="18"/>
          <w:szCs w:val="18"/>
          <w:lang w:val="es-ES_tradnl"/>
        </w:rPr>
        <w:t>ó</w:t>
      </w:r>
      <w:r>
        <w:rPr>
          <w:spacing w:val="-10"/>
          <w:sz w:val="18"/>
          <w:szCs w:val="18"/>
          <w:lang w:val="es-ES_tradnl"/>
        </w:rPr>
        <w:t xml:space="preserve"> que no se ha presentado otra demanda con identidad de objeto y acci</w:t>
      </w:r>
      <w:r>
        <w:rPr>
          <w:rFonts w:cs="Times New Roman"/>
          <w:spacing w:val="-10"/>
          <w:sz w:val="18"/>
          <w:szCs w:val="18"/>
          <w:lang w:val="es-ES_tradnl"/>
        </w:rPr>
        <w:t>ó</w:t>
      </w:r>
      <w:r>
        <w:rPr>
          <w:spacing w:val="-10"/>
          <w:sz w:val="18"/>
          <w:szCs w:val="18"/>
          <w:lang w:val="es-ES_tradnl"/>
        </w:rPr>
        <w:t xml:space="preserve">n, como se advierte </w:t>
      </w:r>
      <w:r>
        <w:rPr>
          <w:spacing w:val="-11"/>
          <w:sz w:val="18"/>
          <w:szCs w:val="18"/>
          <w:lang w:val="es-ES_tradnl"/>
        </w:rPr>
        <w:t>de la raz</w:t>
      </w:r>
      <w:r>
        <w:rPr>
          <w:rFonts w:cs="Times New Roman"/>
          <w:spacing w:val="-11"/>
          <w:sz w:val="18"/>
          <w:szCs w:val="18"/>
          <w:lang w:val="es-ES_tradnl"/>
        </w:rPr>
        <w:t>ó</w:t>
      </w:r>
      <w:r>
        <w:rPr>
          <w:spacing w:val="-11"/>
          <w:sz w:val="18"/>
          <w:szCs w:val="18"/>
          <w:lang w:val="es-ES_tradnl"/>
        </w:rPr>
        <w:t xml:space="preserve">n actuarial del 5 de enero de 2012, que obra a fojas </w:t>
      </w:r>
      <w:r>
        <w:rPr>
          <w:sz w:val="18"/>
          <w:szCs w:val="18"/>
          <w:lang w:val="es-ES_tradnl"/>
        </w:rPr>
        <w:t>3 del proceso.</w:t>
      </w:r>
    </w:p>
    <w:p w14:paraId="4F67AE9B" w14:textId="77777777" w:rsidR="00591D54" w:rsidRDefault="00591D54">
      <w:pPr>
        <w:shd w:val="clear" w:color="auto" w:fill="FFFFFF"/>
        <w:spacing w:before="197" w:line="216" w:lineRule="exact"/>
        <w:jc w:val="both"/>
      </w:pPr>
      <w:r>
        <w:rPr>
          <w:sz w:val="18"/>
          <w:szCs w:val="18"/>
          <w:lang w:val="es-ES_tradnl"/>
        </w:rPr>
        <w:t>La Sala de Admisi</w:t>
      </w:r>
      <w:r>
        <w:rPr>
          <w:rFonts w:cs="Times New Roman"/>
          <w:sz w:val="18"/>
          <w:szCs w:val="18"/>
          <w:lang w:val="es-ES_tradnl"/>
        </w:rPr>
        <w:t>ó</w:t>
      </w:r>
      <w:r>
        <w:rPr>
          <w:sz w:val="18"/>
          <w:szCs w:val="18"/>
          <w:lang w:val="es-ES_tradnl"/>
        </w:rPr>
        <w:t xml:space="preserve">n de la Corte Constitucional, para </w:t>
      </w:r>
      <w:r>
        <w:rPr>
          <w:spacing w:val="-5"/>
          <w:sz w:val="18"/>
          <w:szCs w:val="18"/>
          <w:lang w:val="es-ES_tradnl"/>
        </w:rPr>
        <w:t>el  per</w:t>
      </w:r>
      <w:r>
        <w:rPr>
          <w:rFonts w:cs="Times New Roman"/>
          <w:spacing w:val="-5"/>
          <w:sz w:val="18"/>
          <w:szCs w:val="18"/>
          <w:lang w:val="es-ES_tradnl"/>
        </w:rPr>
        <w:t>í</w:t>
      </w:r>
      <w:r>
        <w:rPr>
          <w:spacing w:val="-5"/>
          <w:sz w:val="18"/>
          <w:szCs w:val="18"/>
          <w:lang w:val="es-ES_tradnl"/>
        </w:rPr>
        <w:t>odo  de  transici</w:t>
      </w:r>
      <w:r>
        <w:rPr>
          <w:rFonts w:cs="Times New Roman"/>
          <w:spacing w:val="-5"/>
          <w:sz w:val="18"/>
          <w:szCs w:val="18"/>
          <w:lang w:val="es-ES_tradnl"/>
        </w:rPr>
        <w:t>ó</w:t>
      </w:r>
      <w:r>
        <w:rPr>
          <w:spacing w:val="-5"/>
          <w:sz w:val="18"/>
          <w:szCs w:val="18"/>
          <w:lang w:val="es-ES_tradnl"/>
        </w:rPr>
        <w:t>n,  integrada  por  los  ex  jueces</w:t>
      </w:r>
    </w:p>
    <w:p w14:paraId="4F67AE9C" w14:textId="77777777" w:rsidR="00591D54" w:rsidRDefault="00591D54">
      <w:pPr>
        <w:shd w:val="clear" w:color="auto" w:fill="FFFFFF"/>
        <w:spacing w:line="216" w:lineRule="exact"/>
        <w:jc w:val="both"/>
      </w:pPr>
      <w:r>
        <w:br w:type="column"/>
      </w:r>
      <w:r>
        <w:rPr>
          <w:spacing w:val="-1"/>
          <w:sz w:val="18"/>
          <w:szCs w:val="18"/>
          <w:lang w:val="es-ES_tradnl"/>
        </w:rPr>
        <w:t xml:space="preserve">constitucionales Nina Pacari Vega, Alfonso Luz Yunes </w:t>
      </w:r>
      <w:r>
        <w:rPr>
          <w:spacing w:val="-5"/>
          <w:sz w:val="18"/>
          <w:szCs w:val="18"/>
          <w:lang w:val="es-ES_tradnl"/>
        </w:rPr>
        <w:t xml:space="preserve">y Patricio Herrera Betancourt, mediante auto del 29 de </w:t>
      </w:r>
      <w:r>
        <w:rPr>
          <w:spacing w:val="-7"/>
          <w:sz w:val="18"/>
          <w:szCs w:val="18"/>
          <w:lang w:val="es-ES_tradnl"/>
        </w:rPr>
        <w:t>febrero de 2012 a las 12h01, admiti</w:t>
      </w:r>
      <w:r>
        <w:rPr>
          <w:rFonts w:cs="Times New Roman"/>
          <w:spacing w:val="-7"/>
          <w:sz w:val="18"/>
          <w:szCs w:val="18"/>
          <w:lang w:val="es-ES_tradnl"/>
        </w:rPr>
        <w:t>ó</w:t>
      </w:r>
      <w:r>
        <w:rPr>
          <w:spacing w:val="-7"/>
          <w:sz w:val="18"/>
          <w:szCs w:val="18"/>
          <w:lang w:val="es-ES_tradnl"/>
        </w:rPr>
        <w:t xml:space="preserve"> a tr</w:t>
      </w:r>
      <w:r>
        <w:rPr>
          <w:rFonts w:cs="Times New Roman"/>
          <w:spacing w:val="-7"/>
          <w:sz w:val="18"/>
          <w:szCs w:val="18"/>
          <w:lang w:val="es-ES_tradnl"/>
        </w:rPr>
        <w:t>á</w:t>
      </w:r>
      <w:r>
        <w:rPr>
          <w:spacing w:val="-7"/>
          <w:sz w:val="18"/>
          <w:szCs w:val="18"/>
          <w:lang w:val="es-ES_tradnl"/>
        </w:rPr>
        <w:t xml:space="preserve">mite la presente </w:t>
      </w:r>
      <w:r>
        <w:rPr>
          <w:sz w:val="18"/>
          <w:szCs w:val="18"/>
          <w:lang w:val="es-ES_tradnl"/>
        </w:rPr>
        <w:t>acci</w:t>
      </w:r>
      <w:r>
        <w:rPr>
          <w:rFonts w:cs="Times New Roman"/>
          <w:sz w:val="18"/>
          <w:szCs w:val="18"/>
          <w:lang w:val="es-ES_tradnl"/>
        </w:rPr>
        <w:t>ó</w:t>
      </w:r>
      <w:r>
        <w:rPr>
          <w:sz w:val="18"/>
          <w:szCs w:val="18"/>
          <w:lang w:val="es-ES_tradnl"/>
        </w:rPr>
        <w:t>n.</w:t>
      </w:r>
    </w:p>
    <w:p w14:paraId="4F67AE9D" w14:textId="77777777" w:rsidR="00591D54" w:rsidRDefault="00591D54">
      <w:pPr>
        <w:shd w:val="clear" w:color="auto" w:fill="FFFFFF"/>
        <w:spacing w:before="197" w:line="216" w:lineRule="exact"/>
        <w:jc w:val="both"/>
      </w:pPr>
      <w:r>
        <w:rPr>
          <w:spacing w:val="-7"/>
          <w:sz w:val="18"/>
          <w:szCs w:val="18"/>
          <w:lang w:val="es-ES_tradnl"/>
        </w:rPr>
        <w:t xml:space="preserve">El 6 de noviembre de 2012, ante el Pleno de la Asamblea Nacional, se posesionaron los jueces de la Primera Corte Constitucional, integrada de conformidad con lo dispuesto </w:t>
      </w:r>
      <w:r>
        <w:rPr>
          <w:spacing w:val="-10"/>
          <w:sz w:val="18"/>
          <w:szCs w:val="18"/>
          <w:lang w:val="es-ES_tradnl"/>
        </w:rPr>
        <w:t>en los art</w:t>
      </w:r>
      <w:r>
        <w:rPr>
          <w:rFonts w:cs="Times New Roman"/>
          <w:spacing w:val="-10"/>
          <w:sz w:val="18"/>
          <w:szCs w:val="18"/>
          <w:lang w:val="es-ES_tradnl"/>
        </w:rPr>
        <w:t>í</w:t>
      </w:r>
      <w:r>
        <w:rPr>
          <w:spacing w:val="-10"/>
          <w:sz w:val="18"/>
          <w:szCs w:val="18"/>
          <w:lang w:val="es-ES_tradnl"/>
        </w:rPr>
        <w:t>culos 432 y 434 de la Constituci</w:t>
      </w:r>
      <w:r>
        <w:rPr>
          <w:rFonts w:cs="Times New Roman"/>
          <w:spacing w:val="-10"/>
          <w:sz w:val="18"/>
          <w:szCs w:val="18"/>
          <w:lang w:val="es-ES_tradnl"/>
        </w:rPr>
        <w:t>ó</w:t>
      </w:r>
      <w:r>
        <w:rPr>
          <w:spacing w:val="-10"/>
          <w:sz w:val="18"/>
          <w:szCs w:val="18"/>
          <w:lang w:val="es-ES_tradnl"/>
        </w:rPr>
        <w:t>n de la Rep</w:t>
      </w:r>
      <w:r>
        <w:rPr>
          <w:rFonts w:cs="Times New Roman"/>
          <w:spacing w:val="-10"/>
          <w:sz w:val="18"/>
          <w:szCs w:val="18"/>
          <w:lang w:val="es-ES_tradnl"/>
        </w:rPr>
        <w:t>ú</w:t>
      </w:r>
      <w:r>
        <w:rPr>
          <w:spacing w:val="-10"/>
          <w:sz w:val="18"/>
          <w:szCs w:val="18"/>
          <w:lang w:val="es-ES_tradnl"/>
        </w:rPr>
        <w:t>blica.</w:t>
      </w:r>
    </w:p>
    <w:p w14:paraId="4F67AE9E" w14:textId="77777777" w:rsidR="00591D54" w:rsidRDefault="00591D54">
      <w:pPr>
        <w:shd w:val="clear" w:color="auto" w:fill="FFFFFF"/>
        <w:spacing w:before="197" w:line="216" w:lineRule="exact"/>
        <w:jc w:val="both"/>
      </w:pPr>
      <w:r>
        <w:rPr>
          <w:spacing w:val="-5"/>
          <w:sz w:val="18"/>
          <w:szCs w:val="18"/>
          <w:lang w:val="es-ES_tradnl"/>
        </w:rPr>
        <w:t>En virtud del sorteo de causas realizado en sesi</w:t>
      </w:r>
      <w:r>
        <w:rPr>
          <w:rFonts w:cs="Times New Roman"/>
          <w:spacing w:val="-5"/>
          <w:sz w:val="18"/>
          <w:szCs w:val="18"/>
          <w:lang w:val="es-ES_tradnl"/>
        </w:rPr>
        <w:t>ó</w:t>
      </w:r>
      <w:r>
        <w:rPr>
          <w:spacing w:val="-5"/>
          <w:sz w:val="18"/>
          <w:szCs w:val="18"/>
          <w:lang w:val="es-ES_tradnl"/>
        </w:rPr>
        <w:t xml:space="preserve">n </w:t>
      </w:r>
      <w:r>
        <w:rPr>
          <w:spacing w:val="-6"/>
          <w:sz w:val="18"/>
          <w:szCs w:val="18"/>
          <w:lang w:val="es-ES_tradnl"/>
        </w:rPr>
        <w:t xml:space="preserve">extraordinaria del 3 de enero de 2013, por el Pleno de la </w:t>
      </w:r>
      <w:r>
        <w:rPr>
          <w:spacing w:val="-5"/>
          <w:sz w:val="18"/>
          <w:szCs w:val="18"/>
          <w:lang w:val="es-ES_tradnl"/>
        </w:rPr>
        <w:t>Corte Constitucional, correspondi</w:t>
      </w:r>
      <w:r>
        <w:rPr>
          <w:rFonts w:cs="Times New Roman"/>
          <w:spacing w:val="-5"/>
          <w:sz w:val="18"/>
          <w:szCs w:val="18"/>
          <w:lang w:val="es-ES_tradnl"/>
        </w:rPr>
        <w:t>ó</w:t>
      </w:r>
      <w:r>
        <w:rPr>
          <w:spacing w:val="-5"/>
          <w:sz w:val="18"/>
          <w:szCs w:val="18"/>
          <w:lang w:val="es-ES_tradnl"/>
        </w:rPr>
        <w:t xml:space="preserve"> al juez constitucional </w:t>
      </w:r>
      <w:r>
        <w:rPr>
          <w:spacing w:val="-6"/>
          <w:sz w:val="18"/>
          <w:szCs w:val="18"/>
          <w:lang w:val="es-ES_tradnl"/>
        </w:rPr>
        <w:t xml:space="preserve">Manuel Viteri Olvera actuar como juez sustanciador del </w:t>
      </w:r>
      <w:r>
        <w:rPr>
          <w:spacing w:val="-7"/>
          <w:sz w:val="18"/>
          <w:szCs w:val="18"/>
          <w:lang w:val="es-ES_tradnl"/>
        </w:rPr>
        <w:t xml:space="preserve">presente caso, quien, mediante providencia del 17 de julio </w:t>
      </w:r>
      <w:r>
        <w:rPr>
          <w:spacing w:val="-1"/>
          <w:sz w:val="18"/>
          <w:szCs w:val="18"/>
          <w:lang w:val="es-ES_tradnl"/>
        </w:rPr>
        <w:t>de 2013 a las 08h40, avoc</w:t>
      </w:r>
      <w:r>
        <w:rPr>
          <w:rFonts w:cs="Times New Roman"/>
          <w:spacing w:val="-1"/>
          <w:sz w:val="18"/>
          <w:szCs w:val="18"/>
          <w:lang w:val="es-ES_tradnl"/>
        </w:rPr>
        <w:t>ó</w:t>
      </w:r>
      <w:r>
        <w:rPr>
          <w:spacing w:val="-1"/>
          <w:sz w:val="18"/>
          <w:szCs w:val="18"/>
          <w:lang w:val="es-ES_tradnl"/>
        </w:rPr>
        <w:t xml:space="preserve"> conocimiento de la causa </w:t>
      </w:r>
      <w:r>
        <w:rPr>
          <w:spacing w:val="-7"/>
          <w:sz w:val="18"/>
          <w:szCs w:val="18"/>
          <w:lang w:val="es-ES_tradnl"/>
        </w:rPr>
        <w:t xml:space="preserve">y dispuso notificar a los accionados, jueces de la Sala </w:t>
      </w:r>
      <w:r>
        <w:rPr>
          <w:spacing w:val="-3"/>
          <w:sz w:val="18"/>
          <w:szCs w:val="18"/>
          <w:lang w:val="es-ES_tradnl"/>
        </w:rPr>
        <w:t xml:space="preserve">Especializada de lo Civil, Mercantil, Inquilinato, Laboral, </w:t>
      </w:r>
      <w:r>
        <w:rPr>
          <w:spacing w:val="-6"/>
          <w:sz w:val="18"/>
          <w:szCs w:val="18"/>
          <w:lang w:val="es-ES_tradnl"/>
        </w:rPr>
        <w:t>Materias Residuales, Ni</w:t>
      </w:r>
      <w:r>
        <w:rPr>
          <w:rFonts w:cs="Times New Roman"/>
          <w:spacing w:val="-6"/>
          <w:sz w:val="18"/>
          <w:szCs w:val="18"/>
          <w:lang w:val="es-ES_tradnl"/>
        </w:rPr>
        <w:t>ñ</w:t>
      </w:r>
      <w:r>
        <w:rPr>
          <w:spacing w:val="-6"/>
          <w:sz w:val="18"/>
          <w:szCs w:val="18"/>
          <w:lang w:val="es-ES_tradnl"/>
        </w:rPr>
        <w:t xml:space="preserve">ez y Adolescencia de la Corte </w:t>
      </w:r>
      <w:r>
        <w:rPr>
          <w:spacing w:val="-7"/>
          <w:sz w:val="18"/>
          <w:szCs w:val="18"/>
          <w:lang w:val="es-ES_tradnl"/>
        </w:rPr>
        <w:t xml:space="preserve">Provincial de Justicia de El Oro, a fin de que presenten un </w:t>
      </w:r>
      <w:r>
        <w:rPr>
          <w:spacing w:val="-10"/>
          <w:sz w:val="18"/>
          <w:szCs w:val="18"/>
          <w:lang w:val="es-ES_tradnl"/>
        </w:rPr>
        <w:t xml:space="preserve">informe de descargo debidamente motivado, respecto de los </w:t>
      </w:r>
      <w:r>
        <w:rPr>
          <w:spacing w:val="-9"/>
          <w:sz w:val="18"/>
          <w:szCs w:val="18"/>
          <w:lang w:val="es-ES_tradnl"/>
        </w:rPr>
        <w:t>fundamentos de la acci</w:t>
      </w:r>
      <w:r>
        <w:rPr>
          <w:rFonts w:cs="Times New Roman"/>
          <w:spacing w:val="-9"/>
          <w:sz w:val="18"/>
          <w:szCs w:val="18"/>
          <w:lang w:val="es-ES_tradnl"/>
        </w:rPr>
        <w:t>ó</w:t>
      </w:r>
      <w:r>
        <w:rPr>
          <w:spacing w:val="-9"/>
          <w:sz w:val="18"/>
          <w:szCs w:val="18"/>
          <w:lang w:val="es-ES_tradnl"/>
        </w:rPr>
        <w:t xml:space="preserve">n propuesta, de conformidad con lo </w:t>
      </w:r>
      <w:r>
        <w:rPr>
          <w:spacing w:val="-8"/>
          <w:sz w:val="18"/>
          <w:szCs w:val="18"/>
          <w:lang w:val="es-ES_tradnl"/>
        </w:rPr>
        <w:t>previsto en el art</w:t>
      </w:r>
      <w:r>
        <w:rPr>
          <w:rFonts w:cs="Times New Roman"/>
          <w:spacing w:val="-8"/>
          <w:sz w:val="18"/>
          <w:szCs w:val="18"/>
          <w:lang w:val="es-ES_tradnl"/>
        </w:rPr>
        <w:t>í</w:t>
      </w:r>
      <w:r>
        <w:rPr>
          <w:spacing w:val="-8"/>
          <w:sz w:val="18"/>
          <w:szCs w:val="18"/>
          <w:lang w:val="es-ES_tradnl"/>
        </w:rPr>
        <w:t>culo 37 del Reglamento de Sustanciaci</w:t>
      </w:r>
      <w:r>
        <w:rPr>
          <w:rFonts w:cs="Times New Roman"/>
          <w:spacing w:val="-8"/>
          <w:sz w:val="18"/>
          <w:szCs w:val="18"/>
          <w:lang w:val="es-ES_tradnl"/>
        </w:rPr>
        <w:t>ó</w:t>
      </w:r>
      <w:r>
        <w:rPr>
          <w:spacing w:val="-8"/>
          <w:sz w:val="18"/>
          <w:szCs w:val="18"/>
          <w:lang w:val="es-ES_tradnl"/>
        </w:rPr>
        <w:t xml:space="preserve">n </w:t>
      </w:r>
      <w:r>
        <w:rPr>
          <w:spacing w:val="-10"/>
          <w:sz w:val="18"/>
          <w:szCs w:val="18"/>
          <w:lang w:val="es-ES_tradnl"/>
        </w:rPr>
        <w:t>de Procesos de Competencia de la Corte Constitucional, as</w:t>
      </w:r>
      <w:r>
        <w:rPr>
          <w:rFonts w:cs="Times New Roman"/>
          <w:spacing w:val="-10"/>
          <w:sz w:val="18"/>
          <w:szCs w:val="18"/>
          <w:lang w:val="es-ES_tradnl"/>
        </w:rPr>
        <w:t xml:space="preserve">í </w:t>
      </w:r>
      <w:r>
        <w:rPr>
          <w:spacing w:val="-9"/>
          <w:sz w:val="18"/>
          <w:szCs w:val="18"/>
          <w:lang w:val="es-ES_tradnl"/>
        </w:rPr>
        <w:t>como se cuente con la se</w:t>
      </w:r>
      <w:r>
        <w:rPr>
          <w:rFonts w:cs="Times New Roman"/>
          <w:spacing w:val="-9"/>
          <w:sz w:val="18"/>
          <w:szCs w:val="18"/>
          <w:lang w:val="es-ES_tradnl"/>
        </w:rPr>
        <w:t>ñ</w:t>
      </w:r>
      <w:r>
        <w:rPr>
          <w:spacing w:val="-9"/>
          <w:sz w:val="18"/>
          <w:szCs w:val="18"/>
          <w:lang w:val="es-ES_tradnl"/>
        </w:rPr>
        <w:t>ora Mireya Mu</w:t>
      </w:r>
      <w:r>
        <w:rPr>
          <w:rFonts w:cs="Times New Roman"/>
          <w:spacing w:val="-9"/>
          <w:sz w:val="18"/>
          <w:szCs w:val="18"/>
          <w:lang w:val="es-ES_tradnl"/>
        </w:rPr>
        <w:t>ñ</w:t>
      </w:r>
      <w:r>
        <w:rPr>
          <w:spacing w:val="-9"/>
          <w:sz w:val="18"/>
          <w:szCs w:val="18"/>
          <w:lang w:val="es-ES_tradnl"/>
        </w:rPr>
        <w:t xml:space="preserve">oz Blacio, por ser </w:t>
      </w:r>
      <w:r>
        <w:rPr>
          <w:spacing w:val="-6"/>
          <w:sz w:val="18"/>
          <w:szCs w:val="18"/>
          <w:lang w:val="es-ES_tradnl"/>
        </w:rPr>
        <w:t>parte en el proceso judicial en que se expidi</w:t>
      </w:r>
      <w:r>
        <w:rPr>
          <w:rFonts w:cs="Times New Roman"/>
          <w:spacing w:val="-6"/>
          <w:sz w:val="18"/>
          <w:szCs w:val="18"/>
          <w:lang w:val="es-ES_tradnl"/>
        </w:rPr>
        <w:t>ó</w:t>
      </w:r>
      <w:r>
        <w:rPr>
          <w:spacing w:val="-6"/>
          <w:sz w:val="18"/>
          <w:szCs w:val="18"/>
          <w:lang w:val="es-ES_tradnl"/>
        </w:rPr>
        <w:t xml:space="preserve"> la decisi</w:t>
      </w:r>
      <w:r>
        <w:rPr>
          <w:rFonts w:cs="Times New Roman"/>
          <w:spacing w:val="-6"/>
          <w:sz w:val="18"/>
          <w:szCs w:val="18"/>
          <w:lang w:val="es-ES_tradnl"/>
        </w:rPr>
        <w:t>ó</w:t>
      </w:r>
      <w:r>
        <w:rPr>
          <w:spacing w:val="-6"/>
          <w:sz w:val="18"/>
          <w:szCs w:val="18"/>
          <w:lang w:val="es-ES_tradnl"/>
        </w:rPr>
        <w:t xml:space="preserve">n </w:t>
      </w:r>
      <w:r>
        <w:rPr>
          <w:sz w:val="18"/>
          <w:szCs w:val="18"/>
          <w:lang w:val="es-ES_tradnl"/>
        </w:rPr>
        <w:t>judicial que se impugna.</w:t>
      </w:r>
    </w:p>
    <w:p w14:paraId="4F67AE9F" w14:textId="77777777" w:rsidR="00591D54" w:rsidRDefault="00591D54">
      <w:pPr>
        <w:shd w:val="clear" w:color="auto" w:fill="FFFFFF"/>
        <w:spacing w:before="192"/>
      </w:pPr>
      <w:r>
        <w:rPr>
          <w:b/>
          <w:bCs/>
          <w:spacing w:val="-9"/>
          <w:sz w:val="18"/>
          <w:szCs w:val="18"/>
          <w:lang w:val="es-ES_tradnl"/>
        </w:rPr>
        <w:t>Detalle de la acci</w:t>
      </w:r>
      <w:r>
        <w:rPr>
          <w:rFonts w:cs="Times New Roman"/>
          <w:b/>
          <w:bCs/>
          <w:spacing w:val="-9"/>
          <w:sz w:val="18"/>
          <w:szCs w:val="18"/>
          <w:lang w:val="es-ES_tradnl"/>
        </w:rPr>
        <w:t>ó</w:t>
      </w:r>
      <w:r>
        <w:rPr>
          <w:b/>
          <w:bCs/>
          <w:spacing w:val="-9"/>
          <w:sz w:val="18"/>
          <w:szCs w:val="18"/>
          <w:lang w:val="es-ES_tradnl"/>
        </w:rPr>
        <w:t>n propuesta</w:t>
      </w:r>
    </w:p>
    <w:p w14:paraId="4F67AEA0" w14:textId="77777777" w:rsidR="00591D54" w:rsidRDefault="00591D54">
      <w:pPr>
        <w:shd w:val="clear" w:color="auto" w:fill="FFFFFF"/>
        <w:spacing w:before="192" w:line="216" w:lineRule="exact"/>
        <w:jc w:val="both"/>
      </w:pPr>
      <w:r>
        <w:rPr>
          <w:spacing w:val="-5"/>
          <w:sz w:val="18"/>
          <w:szCs w:val="18"/>
          <w:lang w:val="es-ES_tradnl"/>
        </w:rPr>
        <w:t xml:space="preserve">Los accionantes en lo principal, manifiestan que fueron </w:t>
      </w:r>
      <w:r>
        <w:rPr>
          <w:spacing w:val="-7"/>
          <w:sz w:val="18"/>
          <w:szCs w:val="18"/>
          <w:lang w:val="es-ES_tradnl"/>
        </w:rPr>
        <w:t xml:space="preserve">demandados como </w:t>
      </w:r>
      <w:r>
        <w:rPr>
          <w:rFonts w:cs="Times New Roman"/>
          <w:spacing w:val="-7"/>
          <w:sz w:val="18"/>
          <w:szCs w:val="18"/>
          <w:lang w:val="es-ES_tradnl"/>
        </w:rPr>
        <w:t>“</w:t>
      </w:r>
      <w:r>
        <w:rPr>
          <w:spacing w:val="-7"/>
          <w:sz w:val="18"/>
          <w:szCs w:val="18"/>
          <w:lang w:val="es-ES_tradnl"/>
        </w:rPr>
        <w:t>obligados subsidiarios de alimentos</w:t>
      </w:r>
      <w:r>
        <w:rPr>
          <w:rFonts w:cs="Times New Roman"/>
          <w:spacing w:val="-7"/>
          <w:sz w:val="18"/>
          <w:szCs w:val="18"/>
          <w:lang w:val="es-ES_tradnl"/>
        </w:rPr>
        <w:t>”</w:t>
      </w:r>
      <w:r>
        <w:rPr>
          <w:spacing w:val="-7"/>
          <w:sz w:val="18"/>
          <w:szCs w:val="18"/>
          <w:lang w:val="es-ES_tradnl"/>
        </w:rPr>
        <w:t>, por la se</w:t>
      </w:r>
      <w:r>
        <w:rPr>
          <w:rFonts w:cs="Times New Roman"/>
          <w:spacing w:val="-7"/>
          <w:sz w:val="18"/>
          <w:szCs w:val="18"/>
          <w:lang w:val="es-ES_tradnl"/>
        </w:rPr>
        <w:t>ñ</w:t>
      </w:r>
      <w:r>
        <w:rPr>
          <w:spacing w:val="-7"/>
          <w:sz w:val="18"/>
          <w:szCs w:val="18"/>
          <w:lang w:val="es-ES_tradnl"/>
        </w:rPr>
        <w:t>ora Mireya Mu</w:t>
      </w:r>
      <w:r>
        <w:rPr>
          <w:rFonts w:cs="Times New Roman"/>
          <w:spacing w:val="-7"/>
          <w:sz w:val="18"/>
          <w:szCs w:val="18"/>
          <w:lang w:val="es-ES_tradnl"/>
        </w:rPr>
        <w:t>ñ</w:t>
      </w:r>
      <w:r>
        <w:rPr>
          <w:spacing w:val="-7"/>
          <w:sz w:val="18"/>
          <w:szCs w:val="18"/>
          <w:lang w:val="es-ES_tradnl"/>
        </w:rPr>
        <w:t xml:space="preserve">oz Blacio, quien aduce tener dos </w:t>
      </w:r>
      <w:r>
        <w:rPr>
          <w:spacing w:val="-4"/>
          <w:sz w:val="18"/>
          <w:szCs w:val="18"/>
          <w:lang w:val="es-ES_tradnl"/>
        </w:rPr>
        <w:t>hijos de su fallecido padre, Hermel Alcides Maldonado L</w:t>
      </w:r>
      <w:r>
        <w:rPr>
          <w:rFonts w:cs="Times New Roman"/>
          <w:spacing w:val="-4"/>
          <w:sz w:val="18"/>
          <w:szCs w:val="18"/>
          <w:lang w:val="es-ES_tradnl"/>
        </w:rPr>
        <w:t>ó</w:t>
      </w:r>
      <w:r>
        <w:rPr>
          <w:spacing w:val="-4"/>
          <w:sz w:val="18"/>
          <w:szCs w:val="18"/>
          <w:lang w:val="es-ES_tradnl"/>
        </w:rPr>
        <w:t xml:space="preserve">pez, hijos a quienes afirman no conocer y ni siquiera </w:t>
      </w:r>
      <w:r>
        <w:rPr>
          <w:spacing w:val="-11"/>
          <w:sz w:val="18"/>
          <w:szCs w:val="18"/>
          <w:lang w:val="es-ES_tradnl"/>
        </w:rPr>
        <w:t>sab</w:t>
      </w:r>
      <w:r>
        <w:rPr>
          <w:rFonts w:cs="Times New Roman"/>
          <w:spacing w:val="-11"/>
          <w:sz w:val="18"/>
          <w:szCs w:val="18"/>
          <w:lang w:val="es-ES_tradnl"/>
        </w:rPr>
        <w:t>í</w:t>
      </w:r>
      <w:r>
        <w:rPr>
          <w:spacing w:val="-11"/>
          <w:sz w:val="18"/>
          <w:szCs w:val="18"/>
          <w:lang w:val="es-ES_tradnl"/>
        </w:rPr>
        <w:t xml:space="preserve">an de su existencia. Que tienen sus proyectos de vida en </w:t>
      </w:r>
      <w:r>
        <w:rPr>
          <w:spacing w:val="-9"/>
          <w:sz w:val="18"/>
          <w:szCs w:val="18"/>
          <w:lang w:val="es-ES_tradnl"/>
        </w:rPr>
        <w:t>raz</w:t>
      </w:r>
      <w:r>
        <w:rPr>
          <w:rFonts w:cs="Times New Roman"/>
          <w:spacing w:val="-9"/>
          <w:sz w:val="18"/>
          <w:szCs w:val="18"/>
          <w:lang w:val="es-ES_tradnl"/>
        </w:rPr>
        <w:t>ó</w:t>
      </w:r>
      <w:r>
        <w:rPr>
          <w:spacing w:val="-9"/>
          <w:sz w:val="18"/>
          <w:szCs w:val="18"/>
          <w:lang w:val="es-ES_tradnl"/>
        </w:rPr>
        <w:t xml:space="preserve">n de sus profesiones y ocupaciones; que desean tener </w:t>
      </w:r>
      <w:r>
        <w:rPr>
          <w:spacing w:val="-6"/>
          <w:sz w:val="18"/>
          <w:szCs w:val="18"/>
          <w:lang w:val="es-ES_tradnl"/>
        </w:rPr>
        <w:t>hijos cuando sus posibilidades econ</w:t>
      </w:r>
      <w:r>
        <w:rPr>
          <w:rFonts w:cs="Times New Roman"/>
          <w:spacing w:val="-6"/>
          <w:sz w:val="18"/>
          <w:szCs w:val="18"/>
          <w:lang w:val="es-ES_tradnl"/>
        </w:rPr>
        <w:t>ó</w:t>
      </w:r>
      <w:r>
        <w:rPr>
          <w:spacing w:val="-6"/>
          <w:sz w:val="18"/>
          <w:szCs w:val="18"/>
          <w:lang w:val="es-ES_tradnl"/>
        </w:rPr>
        <w:t xml:space="preserve">micas lo permitan y </w:t>
      </w:r>
      <w:r>
        <w:rPr>
          <w:spacing w:val="-9"/>
          <w:sz w:val="18"/>
          <w:szCs w:val="18"/>
          <w:lang w:val="es-ES_tradnl"/>
        </w:rPr>
        <w:t xml:space="preserve">sobre todo, desean vivir en un estado de dignidad y respeto </w:t>
      </w:r>
      <w:r>
        <w:rPr>
          <w:spacing w:val="-3"/>
          <w:sz w:val="18"/>
          <w:szCs w:val="18"/>
          <w:lang w:val="es-ES_tradnl"/>
        </w:rPr>
        <w:t>a su libertad e integridad f</w:t>
      </w:r>
      <w:r>
        <w:rPr>
          <w:rFonts w:cs="Times New Roman"/>
          <w:spacing w:val="-3"/>
          <w:sz w:val="18"/>
          <w:szCs w:val="18"/>
          <w:lang w:val="es-ES_tradnl"/>
        </w:rPr>
        <w:t>í</w:t>
      </w:r>
      <w:r>
        <w:rPr>
          <w:spacing w:val="-3"/>
          <w:sz w:val="18"/>
          <w:szCs w:val="18"/>
          <w:lang w:val="es-ES_tradnl"/>
        </w:rPr>
        <w:t>sica, ps</w:t>
      </w:r>
      <w:r>
        <w:rPr>
          <w:rFonts w:cs="Times New Roman"/>
          <w:spacing w:val="-3"/>
          <w:sz w:val="18"/>
          <w:szCs w:val="18"/>
          <w:lang w:val="es-ES_tradnl"/>
        </w:rPr>
        <w:t>í</w:t>
      </w:r>
      <w:r>
        <w:rPr>
          <w:spacing w:val="-3"/>
          <w:sz w:val="18"/>
          <w:szCs w:val="18"/>
          <w:lang w:val="es-ES_tradnl"/>
        </w:rPr>
        <w:t xml:space="preserve">quica y moral, cosa </w:t>
      </w:r>
      <w:r>
        <w:rPr>
          <w:spacing w:val="-10"/>
          <w:sz w:val="18"/>
          <w:szCs w:val="18"/>
          <w:lang w:val="es-ES_tradnl"/>
        </w:rPr>
        <w:t>que, aseguran, no tienen desde que empez</w:t>
      </w:r>
      <w:r>
        <w:rPr>
          <w:rFonts w:cs="Times New Roman"/>
          <w:spacing w:val="-10"/>
          <w:sz w:val="18"/>
          <w:szCs w:val="18"/>
          <w:lang w:val="es-ES_tradnl"/>
        </w:rPr>
        <w:t>ó</w:t>
      </w:r>
      <w:r>
        <w:rPr>
          <w:spacing w:val="-10"/>
          <w:sz w:val="18"/>
          <w:szCs w:val="18"/>
          <w:lang w:val="es-ES_tradnl"/>
        </w:rPr>
        <w:t xml:space="preserve"> la demanda de </w:t>
      </w:r>
      <w:r>
        <w:rPr>
          <w:sz w:val="18"/>
          <w:szCs w:val="18"/>
          <w:lang w:val="es-ES_tradnl"/>
        </w:rPr>
        <w:t>alimentos en su contra.</w:t>
      </w:r>
    </w:p>
    <w:p w14:paraId="4F67AEA1" w14:textId="77777777" w:rsidR="00591D54" w:rsidRDefault="00591D54">
      <w:pPr>
        <w:shd w:val="clear" w:color="auto" w:fill="FFFFFF"/>
        <w:spacing w:before="192" w:line="216" w:lineRule="exact"/>
        <w:jc w:val="both"/>
      </w:pPr>
      <w:r>
        <w:rPr>
          <w:spacing w:val="-9"/>
          <w:sz w:val="18"/>
          <w:szCs w:val="18"/>
          <w:lang w:val="es-ES_tradnl"/>
        </w:rPr>
        <w:t>Que la doctora Helen Maldonado Albarrac</w:t>
      </w:r>
      <w:r>
        <w:rPr>
          <w:rFonts w:cs="Times New Roman"/>
          <w:spacing w:val="-9"/>
          <w:sz w:val="18"/>
          <w:szCs w:val="18"/>
          <w:lang w:val="es-ES_tradnl"/>
        </w:rPr>
        <w:t>í</w:t>
      </w:r>
      <w:r>
        <w:rPr>
          <w:spacing w:val="-9"/>
          <w:sz w:val="18"/>
          <w:szCs w:val="18"/>
          <w:lang w:val="es-ES_tradnl"/>
        </w:rPr>
        <w:t xml:space="preserve">n constaba en el banco de elegibles para ser designada jueza por el Consejo </w:t>
      </w:r>
      <w:r>
        <w:rPr>
          <w:spacing w:val="-8"/>
          <w:sz w:val="18"/>
          <w:szCs w:val="18"/>
          <w:lang w:val="es-ES_tradnl"/>
        </w:rPr>
        <w:t>de la Judicatura, pues particip</w:t>
      </w:r>
      <w:r>
        <w:rPr>
          <w:rFonts w:cs="Times New Roman"/>
          <w:spacing w:val="-8"/>
          <w:sz w:val="18"/>
          <w:szCs w:val="18"/>
          <w:lang w:val="es-ES_tradnl"/>
        </w:rPr>
        <w:t>ó</w:t>
      </w:r>
      <w:r>
        <w:rPr>
          <w:spacing w:val="-8"/>
          <w:sz w:val="18"/>
          <w:szCs w:val="18"/>
          <w:lang w:val="es-ES_tradnl"/>
        </w:rPr>
        <w:t xml:space="preserve"> en un concurso para jueza </w:t>
      </w:r>
      <w:r>
        <w:rPr>
          <w:spacing w:val="-7"/>
          <w:sz w:val="18"/>
          <w:szCs w:val="18"/>
          <w:lang w:val="es-ES_tradnl"/>
        </w:rPr>
        <w:t>de la ni</w:t>
      </w:r>
      <w:r>
        <w:rPr>
          <w:rFonts w:cs="Times New Roman"/>
          <w:spacing w:val="-7"/>
          <w:sz w:val="18"/>
          <w:szCs w:val="18"/>
          <w:lang w:val="es-ES_tradnl"/>
        </w:rPr>
        <w:t>ñ</w:t>
      </w:r>
      <w:r>
        <w:rPr>
          <w:spacing w:val="-7"/>
          <w:sz w:val="18"/>
          <w:szCs w:val="18"/>
          <w:lang w:val="es-ES_tradnl"/>
        </w:rPr>
        <w:t xml:space="preserve">ez y adolescencia en la ciudad de Cuenca, cargo </w:t>
      </w:r>
      <w:r>
        <w:rPr>
          <w:spacing w:val="-8"/>
          <w:sz w:val="18"/>
          <w:szCs w:val="18"/>
          <w:lang w:val="es-ES_tradnl"/>
        </w:rPr>
        <w:t>del cual no se posesion</w:t>
      </w:r>
      <w:r>
        <w:rPr>
          <w:rFonts w:cs="Times New Roman"/>
          <w:spacing w:val="-8"/>
          <w:sz w:val="18"/>
          <w:szCs w:val="18"/>
          <w:lang w:val="es-ES_tradnl"/>
        </w:rPr>
        <w:t>ó</w:t>
      </w:r>
      <w:r>
        <w:rPr>
          <w:spacing w:val="-8"/>
          <w:sz w:val="18"/>
          <w:szCs w:val="18"/>
          <w:lang w:val="es-ES_tradnl"/>
        </w:rPr>
        <w:t xml:space="preserve">, no solo por los cuestionamientos </w:t>
      </w:r>
      <w:r>
        <w:rPr>
          <w:spacing w:val="-9"/>
          <w:sz w:val="18"/>
          <w:szCs w:val="18"/>
          <w:lang w:val="es-ES_tradnl"/>
        </w:rPr>
        <w:t xml:space="preserve">humanos, </w:t>
      </w:r>
      <w:r>
        <w:rPr>
          <w:rFonts w:cs="Times New Roman"/>
          <w:spacing w:val="-9"/>
          <w:sz w:val="18"/>
          <w:szCs w:val="18"/>
          <w:lang w:val="es-ES_tradnl"/>
        </w:rPr>
        <w:t>é</w:t>
      </w:r>
      <w:r>
        <w:rPr>
          <w:spacing w:val="-9"/>
          <w:sz w:val="18"/>
          <w:szCs w:val="18"/>
          <w:lang w:val="es-ES_tradnl"/>
        </w:rPr>
        <w:t>ticos, profesionales y sociales, sino adem</w:t>
      </w:r>
      <w:r>
        <w:rPr>
          <w:rFonts w:cs="Times New Roman"/>
          <w:spacing w:val="-9"/>
          <w:sz w:val="18"/>
          <w:szCs w:val="18"/>
          <w:lang w:val="es-ES_tradnl"/>
        </w:rPr>
        <w:t>á</w:t>
      </w:r>
      <w:r>
        <w:rPr>
          <w:spacing w:val="-9"/>
          <w:sz w:val="18"/>
          <w:szCs w:val="18"/>
          <w:lang w:val="es-ES_tradnl"/>
        </w:rPr>
        <w:t xml:space="preserve">s por </w:t>
      </w:r>
      <w:r>
        <w:rPr>
          <w:spacing w:val="-8"/>
          <w:sz w:val="18"/>
          <w:szCs w:val="18"/>
          <w:lang w:val="es-ES_tradnl"/>
        </w:rPr>
        <w:t>las afectaciones a su integridad de las que ha sido v</w:t>
      </w:r>
      <w:r>
        <w:rPr>
          <w:rFonts w:cs="Times New Roman"/>
          <w:spacing w:val="-8"/>
          <w:sz w:val="18"/>
          <w:szCs w:val="18"/>
          <w:lang w:val="es-ES_tradnl"/>
        </w:rPr>
        <w:t>í</w:t>
      </w:r>
      <w:r>
        <w:rPr>
          <w:spacing w:val="-8"/>
          <w:sz w:val="18"/>
          <w:szCs w:val="18"/>
          <w:lang w:val="es-ES_tradnl"/>
        </w:rPr>
        <w:t xml:space="preserve">ctima </w:t>
      </w:r>
      <w:r>
        <w:rPr>
          <w:rFonts w:cs="Times New Roman"/>
          <w:spacing w:val="-5"/>
          <w:sz w:val="18"/>
          <w:szCs w:val="18"/>
          <w:lang w:val="es-ES_tradnl"/>
        </w:rPr>
        <w:t>“</w:t>
      </w:r>
      <w:r>
        <w:rPr>
          <w:spacing w:val="-5"/>
          <w:sz w:val="18"/>
          <w:szCs w:val="18"/>
          <w:lang w:val="es-ES_tradnl"/>
        </w:rPr>
        <w:t>por la inadecuada administraci</w:t>
      </w:r>
      <w:r>
        <w:rPr>
          <w:rFonts w:cs="Times New Roman"/>
          <w:spacing w:val="-5"/>
          <w:sz w:val="18"/>
          <w:szCs w:val="18"/>
          <w:lang w:val="es-ES_tradnl"/>
        </w:rPr>
        <w:t>ó</w:t>
      </w:r>
      <w:r>
        <w:rPr>
          <w:spacing w:val="-5"/>
          <w:sz w:val="18"/>
          <w:szCs w:val="18"/>
          <w:lang w:val="es-ES_tradnl"/>
        </w:rPr>
        <w:t>n de justicia</w:t>
      </w:r>
      <w:r>
        <w:rPr>
          <w:rFonts w:cs="Times New Roman"/>
          <w:spacing w:val="-5"/>
          <w:sz w:val="18"/>
          <w:szCs w:val="18"/>
          <w:lang w:val="es-ES_tradnl"/>
        </w:rPr>
        <w:t>”</w:t>
      </w:r>
      <w:r>
        <w:rPr>
          <w:spacing w:val="-5"/>
          <w:sz w:val="18"/>
          <w:szCs w:val="18"/>
          <w:lang w:val="es-ES_tradnl"/>
        </w:rPr>
        <w:t>.</w:t>
      </w:r>
    </w:p>
    <w:p w14:paraId="4F67AEA2" w14:textId="77777777" w:rsidR="00591D54" w:rsidRDefault="00591D54">
      <w:pPr>
        <w:shd w:val="clear" w:color="auto" w:fill="FFFFFF"/>
        <w:spacing w:before="192" w:line="216" w:lineRule="exact"/>
        <w:jc w:val="both"/>
      </w:pPr>
      <w:r>
        <w:rPr>
          <w:spacing w:val="-7"/>
          <w:sz w:val="18"/>
          <w:szCs w:val="18"/>
          <w:lang w:val="es-ES_tradnl"/>
        </w:rPr>
        <w:t>Que la resoluci</w:t>
      </w:r>
      <w:r>
        <w:rPr>
          <w:rFonts w:cs="Times New Roman"/>
          <w:spacing w:val="-7"/>
          <w:sz w:val="18"/>
          <w:szCs w:val="18"/>
          <w:lang w:val="es-ES_tradnl"/>
        </w:rPr>
        <w:t>ó</w:t>
      </w:r>
      <w:r>
        <w:rPr>
          <w:spacing w:val="-7"/>
          <w:sz w:val="18"/>
          <w:szCs w:val="18"/>
          <w:lang w:val="es-ES_tradnl"/>
        </w:rPr>
        <w:t xml:space="preserve">n expedida por los jueces de la Sala </w:t>
      </w:r>
      <w:r>
        <w:rPr>
          <w:spacing w:val="-3"/>
          <w:sz w:val="18"/>
          <w:szCs w:val="18"/>
          <w:lang w:val="es-ES_tradnl"/>
        </w:rPr>
        <w:t xml:space="preserve">Especializada de lo Civil, Mercantil, Inquilinato, Laboral, </w:t>
      </w:r>
      <w:r>
        <w:rPr>
          <w:spacing w:val="-6"/>
          <w:sz w:val="18"/>
          <w:szCs w:val="18"/>
          <w:lang w:val="es-ES_tradnl"/>
        </w:rPr>
        <w:t>Materias Residuales, Ni</w:t>
      </w:r>
      <w:r>
        <w:rPr>
          <w:rFonts w:cs="Times New Roman"/>
          <w:spacing w:val="-6"/>
          <w:sz w:val="18"/>
          <w:szCs w:val="18"/>
          <w:lang w:val="es-ES_tradnl"/>
        </w:rPr>
        <w:t>ñ</w:t>
      </w:r>
      <w:r>
        <w:rPr>
          <w:spacing w:val="-6"/>
          <w:sz w:val="18"/>
          <w:szCs w:val="18"/>
          <w:lang w:val="es-ES_tradnl"/>
        </w:rPr>
        <w:t xml:space="preserve">ez y Adolescencia de la Corte </w:t>
      </w:r>
      <w:r>
        <w:rPr>
          <w:spacing w:val="-5"/>
          <w:sz w:val="18"/>
          <w:szCs w:val="18"/>
          <w:lang w:val="es-ES_tradnl"/>
        </w:rPr>
        <w:t xml:space="preserve">Provincial de Justicia de El Oro no cumple los requisitos </w:t>
      </w:r>
      <w:r>
        <w:rPr>
          <w:spacing w:val="-7"/>
          <w:sz w:val="18"/>
          <w:szCs w:val="18"/>
          <w:lang w:val="es-ES_tradnl"/>
        </w:rPr>
        <w:t>b</w:t>
      </w:r>
      <w:r>
        <w:rPr>
          <w:rFonts w:cs="Times New Roman"/>
          <w:spacing w:val="-7"/>
          <w:sz w:val="18"/>
          <w:szCs w:val="18"/>
          <w:lang w:val="es-ES_tradnl"/>
        </w:rPr>
        <w:t>á</w:t>
      </w:r>
      <w:r>
        <w:rPr>
          <w:spacing w:val="-7"/>
          <w:sz w:val="18"/>
          <w:szCs w:val="18"/>
          <w:lang w:val="es-ES_tradnl"/>
        </w:rPr>
        <w:t>sicos de una sentencia o auto resolutorio, peor a</w:t>
      </w:r>
      <w:r>
        <w:rPr>
          <w:rFonts w:cs="Times New Roman"/>
          <w:spacing w:val="-7"/>
          <w:sz w:val="18"/>
          <w:szCs w:val="18"/>
          <w:lang w:val="es-ES_tradnl"/>
        </w:rPr>
        <w:t>ú</w:t>
      </w:r>
      <w:r>
        <w:rPr>
          <w:spacing w:val="-7"/>
          <w:sz w:val="18"/>
          <w:szCs w:val="18"/>
          <w:lang w:val="es-ES_tradnl"/>
        </w:rPr>
        <w:t>n, con la motivaci</w:t>
      </w:r>
      <w:r>
        <w:rPr>
          <w:rFonts w:cs="Times New Roman"/>
          <w:spacing w:val="-7"/>
          <w:sz w:val="18"/>
          <w:szCs w:val="18"/>
          <w:lang w:val="es-ES_tradnl"/>
        </w:rPr>
        <w:t>ó</w:t>
      </w:r>
      <w:r>
        <w:rPr>
          <w:spacing w:val="-7"/>
          <w:sz w:val="18"/>
          <w:szCs w:val="18"/>
          <w:lang w:val="es-ES_tradnl"/>
        </w:rPr>
        <w:t>n que exige el art</w:t>
      </w:r>
      <w:r>
        <w:rPr>
          <w:rFonts w:cs="Times New Roman"/>
          <w:spacing w:val="-7"/>
          <w:sz w:val="18"/>
          <w:szCs w:val="18"/>
          <w:lang w:val="es-ES_tradnl"/>
        </w:rPr>
        <w:t>í</w:t>
      </w:r>
      <w:r>
        <w:rPr>
          <w:spacing w:val="-7"/>
          <w:sz w:val="18"/>
          <w:szCs w:val="18"/>
          <w:lang w:val="es-ES_tradnl"/>
        </w:rPr>
        <w:t xml:space="preserve">culo 76 numeral 7 literal </w:t>
      </w:r>
      <w:r>
        <w:rPr>
          <w:b/>
          <w:bCs/>
          <w:spacing w:val="-7"/>
          <w:sz w:val="18"/>
          <w:szCs w:val="18"/>
          <w:lang w:val="es-ES_tradnl"/>
        </w:rPr>
        <w:t xml:space="preserve">l </w:t>
      </w:r>
      <w:r>
        <w:rPr>
          <w:spacing w:val="-7"/>
          <w:sz w:val="18"/>
          <w:szCs w:val="18"/>
          <w:lang w:val="es-ES_tradnl"/>
        </w:rPr>
        <w:t xml:space="preserve">de </w:t>
      </w:r>
      <w:r>
        <w:rPr>
          <w:spacing w:val="-5"/>
          <w:sz w:val="18"/>
          <w:szCs w:val="18"/>
          <w:lang w:val="es-ES_tradnl"/>
        </w:rPr>
        <w:t>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blica; que dicha resoluci</w:t>
      </w:r>
      <w:r>
        <w:rPr>
          <w:rFonts w:cs="Times New Roman"/>
          <w:spacing w:val="-5"/>
          <w:sz w:val="18"/>
          <w:szCs w:val="18"/>
          <w:lang w:val="es-ES_tradnl"/>
        </w:rPr>
        <w:t>ó</w:t>
      </w:r>
      <w:r>
        <w:rPr>
          <w:spacing w:val="-5"/>
          <w:sz w:val="18"/>
          <w:szCs w:val="18"/>
          <w:lang w:val="es-ES_tradnl"/>
        </w:rPr>
        <w:t xml:space="preserve">n no </w:t>
      </w:r>
      <w:r>
        <w:rPr>
          <w:spacing w:val="-7"/>
          <w:sz w:val="18"/>
          <w:szCs w:val="18"/>
          <w:lang w:val="es-ES_tradnl"/>
        </w:rPr>
        <w:t>dice nada respecto de los argumentos jur</w:t>
      </w:r>
      <w:r>
        <w:rPr>
          <w:rFonts w:cs="Times New Roman"/>
          <w:spacing w:val="-7"/>
          <w:sz w:val="18"/>
          <w:szCs w:val="18"/>
          <w:lang w:val="es-ES_tradnl"/>
        </w:rPr>
        <w:t>í</w:t>
      </w:r>
      <w:r>
        <w:rPr>
          <w:spacing w:val="-7"/>
          <w:sz w:val="18"/>
          <w:szCs w:val="18"/>
          <w:lang w:val="es-ES_tradnl"/>
        </w:rPr>
        <w:t>dicos expuestos al fundamentar su recurso de apelaci</w:t>
      </w:r>
      <w:r>
        <w:rPr>
          <w:rFonts w:cs="Times New Roman"/>
          <w:spacing w:val="-7"/>
          <w:sz w:val="18"/>
          <w:szCs w:val="18"/>
          <w:lang w:val="es-ES_tradnl"/>
        </w:rPr>
        <w:t>ó</w:t>
      </w:r>
      <w:r>
        <w:rPr>
          <w:spacing w:val="-7"/>
          <w:sz w:val="18"/>
          <w:szCs w:val="18"/>
          <w:lang w:val="es-ES_tradnl"/>
        </w:rPr>
        <w:t xml:space="preserve">n en contar de la </w:t>
      </w:r>
      <w:r>
        <w:rPr>
          <w:spacing w:val="-3"/>
          <w:sz w:val="18"/>
          <w:szCs w:val="18"/>
          <w:lang w:val="es-ES_tradnl"/>
        </w:rPr>
        <w:t>resoluci</w:t>
      </w:r>
      <w:r>
        <w:rPr>
          <w:rFonts w:cs="Times New Roman"/>
          <w:spacing w:val="-3"/>
          <w:sz w:val="18"/>
          <w:szCs w:val="18"/>
          <w:lang w:val="es-ES_tradnl"/>
        </w:rPr>
        <w:t>ó</w:t>
      </w:r>
      <w:r>
        <w:rPr>
          <w:spacing w:val="-3"/>
          <w:sz w:val="18"/>
          <w:szCs w:val="18"/>
          <w:lang w:val="es-ES_tradnl"/>
        </w:rPr>
        <w:t xml:space="preserve">n de la jueza </w:t>
      </w:r>
      <w:r>
        <w:rPr>
          <w:i/>
          <w:iCs/>
          <w:spacing w:val="-3"/>
          <w:sz w:val="18"/>
          <w:szCs w:val="18"/>
          <w:lang w:val="es-ES_tradnl"/>
        </w:rPr>
        <w:t>a quo</w:t>
      </w:r>
      <w:r>
        <w:rPr>
          <w:spacing w:val="-3"/>
          <w:sz w:val="18"/>
          <w:szCs w:val="18"/>
          <w:lang w:val="es-ES_tradnl"/>
        </w:rPr>
        <w:t xml:space="preserve">, y por el contrario, se limita </w:t>
      </w:r>
      <w:r>
        <w:rPr>
          <w:spacing w:val="-2"/>
          <w:sz w:val="18"/>
          <w:szCs w:val="18"/>
          <w:lang w:val="es-ES_tradnl"/>
        </w:rPr>
        <w:t xml:space="preserve">a </w:t>
      </w:r>
      <w:r>
        <w:rPr>
          <w:rFonts w:cs="Times New Roman"/>
          <w:spacing w:val="-2"/>
          <w:sz w:val="18"/>
          <w:szCs w:val="18"/>
          <w:lang w:val="es-ES_tradnl"/>
        </w:rPr>
        <w:t>”</w:t>
      </w:r>
      <w:r>
        <w:rPr>
          <w:spacing w:val="-2"/>
          <w:sz w:val="18"/>
          <w:szCs w:val="18"/>
          <w:lang w:val="es-ES_tradnl"/>
        </w:rPr>
        <w:t>rechazar el recurso de apelaci</w:t>
      </w:r>
      <w:r>
        <w:rPr>
          <w:rFonts w:cs="Times New Roman"/>
          <w:spacing w:val="-2"/>
          <w:sz w:val="18"/>
          <w:szCs w:val="18"/>
          <w:lang w:val="es-ES_tradnl"/>
        </w:rPr>
        <w:t>ó</w:t>
      </w:r>
      <w:r>
        <w:rPr>
          <w:spacing w:val="-2"/>
          <w:sz w:val="18"/>
          <w:szCs w:val="18"/>
          <w:lang w:val="es-ES_tradnl"/>
        </w:rPr>
        <w:t>n interpuesto por los</w:t>
      </w:r>
    </w:p>
    <w:p w14:paraId="4F67AEA3" w14:textId="77777777" w:rsidR="00591D54" w:rsidRDefault="00591D54">
      <w:pPr>
        <w:shd w:val="clear" w:color="auto" w:fill="FFFFFF"/>
        <w:spacing w:before="192" w:line="216" w:lineRule="exact"/>
        <w:jc w:val="both"/>
        <w:sectPr w:rsidR="00591D54">
          <w:type w:val="continuous"/>
          <w:pgSz w:w="11909" w:h="16834"/>
          <w:pgMar w:top="1361" w:right="1309" w:bottom="360" w:left="1308" w:header="720" w:footer="720" w:gutter="0"/>
          <w:cols w:num="2" w:space="720" w:equalWidth="0">
            <w:col w:w="4305" w:space="682"/>
            <w:col w:w="4305"/>
          </w:cols>
          <w:noEndnote/>
        </w:sectPr>
      </w:pPr>
    </w:p>
    <w:p w14:paraId="4F67AEA4" w14:textId="77777777" w:rsidR="00591D54" w:rsidRDefault="00591D54">
      <w:pPr>
        <w:shd w:val="clear" w:color="auto" w:fill="FFFFFF"/>
        <w:tabs>
          <w:tab w:val="left" w:pos="4814"/>
        </w:tabs>
        <w:spacing w:after="235"/>
        <w:ind w:left="14"/>
      </w:pPr>
      <w:r>
        <w:rPr>
          <w:b/>
          <w:bCs/>
          <w:sz w:val="18"/>
          <w:szCs w:val="18"/>
          <w:lang w:val="es-ES_tradnl"/>
        </w:rPr>
        <w:t xml:space="preserve">136 -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EA5" w14:textId="77777777" w:rsidR="00591D54" w:rsidRDefault="00591D54">
      <w:pPr>
        <w:shd w:val="clear" w:color="auto" w:fill="FFFFFF"/>
        <w:tabs>
          <w:tab w:val="left" w:pos="4814"/>
        </w:tabs>
        <w:spacing w:after="235"/>
        <w:ind w:left="14"/>
        <w:sectPr w:rsidR="00591D54">
          <w:pgSz w:w="11909" w:h="16834"/>
          <w:pgMar w:top="1366" w:right="1304" w:bottom="360" w:left="1308" w:header="720" w:footer="720" w:gutter="0"/>
          <w:cols w:space="60"/>
          <w:noEndnote/>
        </w:sectPr>
      </w:pPr>
    </w:p>
    <w:p w14:paraId="4F67AEA6" w14:textId="77777777" w:rsidR="00591D54" w:rsidRDefault="00591D54">
      <w:pPr>
        <w:shd w:val="clear" w:color="auto" w:fill="FFFFFF"/>
        <w:spacing w:line="216" w:lineRule="exact"/>
        <w:ind w:right="5"/>
        <w:jc w:val="both"/>
      </w:pPr>
      <w:r>
        <w:rPr>
          <w:spacing w:val="-5"/>
          <w:sz w:val="18"/>
          <w:szCs w:val="18"/>
          <w:lang w:val="es-ES_tradnl"/>
        </w:rPr>
        <w:t>demandados (</w:t>
      </w:r>
      <w:r>
        <w:rPr>
          <w:rFonts w:cs="Times New Roman"/>
          <w:spacing w:val="-5"/>
          <w:sz w:val="18"/>
          <w:szCs w:val="18"/>
          <w:lang w:val="es-ES_tradnl"/>
        </w:rPr>
        <w:t>…</w:t>
      </w:r>
      <w:r>
        <w:rPr>
          <w:spacing w:val="-5"/>
          <w:sz w:val="18"/>
          <w:szCs w:val="18"/>
          <w:lang w:val="es-ES_tradnl"/>
        </w:rPr>
        <w:t>) y confirmar la resoluci</w:t>
      </w:r>
      <w:r>
        <w:rPr>
          <w:rFonts w:cs="Times New Roman"/>
          <w:spacing w:val="-5"/>
          <w:sz w:val="18"/>
          <w:szCs w:val="18"/>
          <w:lang w:val="es-ES_tradnl"/>
        </w:rPr>
        <w:t>ó</w:t>
      </w:r>
      <w:r>
        <w:rPr>
          <w:spacing w:val="-5"/>
          <w:sz w:val="18"/>
          <w:szCs w:val="18"/>
          <w:lang w:val="es-ES_tradnl"/>
        </w:rPr>
        <w:t xml:space="preserve">n venida en </w:t>
      </w:r>
      <w:r>
        <w:rPr>
          <w:spacing w:val="-6"/>
          <w:sz w:val="18"/>
          <w:szCs w:val="18"/>
          <w:lang w:val="es-ES_tradnl"/>
        </w:rPr>
        <w:t>grado</w:t>
      </w:r>
      <w:r>
        <w:rPr>
          <w:rFonts w:cs="Times New Roman"/>
          <w:spacing w:val="-6"/>
          <w:sz w:val="18"/>
          <w:szCs w:val="18"/>
          <w:lang w:val="es-ES_tradnl"/>
        </w:rPr>
        <w:t>”</w:t>
      </w:r>
      <w:r>
        <w:rPr>
          <w:spacing w:val="-6"/>
          <w:sz w:val="18"/>
          <w:szCs w:val="18"/>
          <w:lang w:val="es-ES_tradnl"/>
        </w:rPr>
        <w:t xml:space="preserve">, ni siquiera se hizo el esfuerzo por adecuar sus </w:t>
      </w:r>
      <w:r>
        <w:rPr>
          <w:spacing w:val="-7"/>
          <w:sz w:val="18"/>
          <w:szCs w:val="18"/>
          <w:lang w:val="es-ES_tradnl"/>
        </w:rPr>
        <w:t>consideraciones al art</w:t>
      </w:r>
      <w:r>
        <w:rPr>
          <w:rFonts w:cs="Times New Roman"/>
          <w:spacing w:val="-7"/>
          <w:sz w:val="18"/>
          <w:szCs w:val="18"/>
          <w:lang w:val="es-ES_tradnl"/>
        </w:rPr>
        <w:t>í</w:t>
      </w:r>
      <w:r>
        <w:rPr>
          <w:spacing w:val="-7"/>
          <w:sz w:val="18"/>
          <w:szCs w:val="18"/>
          <w:lang w:val="es-ES_tradnl"/>
        </w:rPr>
        <w:t>culo 5 innumerado del C</w:t>
      </w:r>
      <w:r>
        <w:rPr>
          <w:rFonts w:cs="Times New Roman"/>
          <w:spacing w:val="-7"/>
          <w:sz w:val="18"/>
          <w:szCs w:val="18"/>
          <w:lang w:val="es-ES_tradnl"/>
        </w:rPr>
        <w:t>ó</w:t>
      </w:r>
      <w:r>
        <w:rPr>
          <w:spacing w:val="-7"/>
          <w:sz w:val="18"/>
          <w:szCs w:val="18"/>
          <w:lang w:val="es-ES_tradnl"/>
        </w:rPr>
        <w:t xml:space="preserve">digo de la </w:t>
      </w:r>
      <w:r>
        <w:rPr>
          <w:spacing w:val="-8"/>
          <w:sz w:val="18"/>
          <w:szCs w:val="18"/>
          <w:lang w:val="es-ES_tradnl"/>
        </w:rPr>
        <w:t>Ni</w:t>
      </w:r>
      <w:r>
        <w:rPr>
          <w:rFonts w:cs="Times New Roman"/>
          <w:spacing w:val="-8"/>
          <w:sz w:val="18"/>
          <w:szCs w:val="18"/>
          <w:lang w:val="es-ES_tradnl"/>
        </w:rPr>
        <w:t>ñ</w:t>
      </w:r>
      <w:r>
        <w:rPr>
          <w:spacing w:val="-8"/>
          <w:sz w:val="18"/>
          <w:szCs w:val="18"/>
          <w:lang w:val="es-ES_tradnl"/>
        </w:rPr>
        <w:t>ez y Adolescencia, que establece el orden de prelaci</w:t>
      </w:r>
      <w:r>
        <w:rPr>
          <w:rFonts w:cs="Times New Roman"/>
          <w:spacing w:val="-8"/>
          <w:sz w:val="18"/>
          <w:szCs w:val="18"/>
          <w:lang w:val="es-ES_tradnl"/>
        </w:rPr>
        <w:t>ó</w:t>
      </w:r>
      <w:r>
        <w:rPr>
          <w:spacing w:val="-8"/>
          <w:sz w:val="18"/>
          <w:szCs w:val="18"/>
          <w:lang w:val="es-ES_tradnl"/>
        </w:rPr>
        <w:t xml:space="preserve">n </w:t>
      </w:r>
      <w:r>
        <w:rPr>
          <w:sz w:val="18"/>
          <w:szCs w:val="18"/>
          <w:lang w:val="es-ES_tradnl"/>
        </w:rPr>
        <w:t>de los obligados a pagar alimentos.</w:t>
      </w:r>
    </w:p>
    <w:p w14:paraId="4F67AEA7" w14:textId="77777777" w:rsidR="00591D54" w:rsidRDefault="00591D54">
      <w:pPr>
        <w:shd w:val="clear" w:color="auto" w:fill="FFFFFF"/>
        <w:spacing w:before="197" w:line="216" w:lineRule="exact"/>
        <w:jc w:val="both"/>
      </w:pPr>
      <w:r>
        <w:rPr>
          <w:spacing w:val="-4"/>
          <w:sz w:val="18"/>
          <w:szCs w:val="18"/>
          <w:lang w:val="es-ES_tradnl"/>
        </w:rPr>
        <w:t>Que la resoluci</w:t>
      </w:r>
      <w:r>
        <w:rPr>
          <w:rFonts w:cs="Times New Roman"/>
          <w:spacing w:val="-4"/>
          <w:sz w:val="18"/>
          <w:szCs w:val="18"/>
          <w:lang w:val="es-ES_tradnl"/>
        </w:rPr>
        <w:t>ó</w:t>
      </w:r>
      <w:r>
        <w:rPr>
          <w:spacing w:val="-4"/>
          <w:sz w:val="18"/>
          <w:szCs w:val="18"/>
          <w:lang w:val="es-ES_tradnl"/>
        </w:rPr>
        <w:t xml:space="preserve">n impugnada no solo que ha vulnerado </w:t>
      </w:r>
      <w:r>
        <w:rPr>
          <w:spacing w:val="-8"/>
          <w:sz w:val="18"/>
          <w:szCs w:val="18"/>
          <w:lang w:val="es-ES_tradnl"/>
        </w:rPr>
        <w:t>sus derechos constitucionales, sino, que adem</w:t>
      </w:r>
      <w:r>
        <w:rPr>
          <w:rFonts w:cs="Times New Roman"/>
          <w:spacing w:val="-8"/>
          <w:sz w:val="18"/>
          <w:szCs w:val="18"/>
          <w:lang w:val="es-ES_tradnl"/>
        </w:rPr>
        <w:t>á</w:t>
      </w:r>
      <w:r>
        <w:rPr>
          <w:spacing w:val="-8"/>
          <w:sz w:val="18"/>
          <w:szCs w:val="18"/>
          <w:lang w:val="es-ES_tradnl"/>
        </w:rPr>
        <w:t xml:space="preserve">s, otorga </w:t>
      </w:r>
      <w:r>
        <w:rPr>
          <w:spacing w:val="-7"/>
          <w:sz w:val="18"/>
          <w:szCs w:val="18"/>
          <w:lang w:val="es-ES_tradnl"/>
        </w:rPr>
        <w:t xml:space="preserve">vigencia y valida los actos generados como consecuencia </w:t>
      </w:r>
      <w:r>
        <w:rPr>
          <w:spacing w:val="-5"/>
          <w:sz w:val="18"/>
          <w:szCs w:val="18"/>
          <w:lang w:val="es-ES_tradnl"/>
        </w:rPr>
        <w:t>de dicha decisi</w:t>
      </w:r>
      <w:r>
        <w:rPr>
          <w:rFonts w:cs="Times New Roman"/>
          <w:spacing w:val="-5"/>
          <w:sz w:val="18"/>
          <w:szCs w:val="18"/>
          <w:lang w:val="es-ES_tradnl"/>
        </w:rPr>
        <w:t>ó</w:t>
      </w:r>
      <w:r>
        <w:rPr>
          <w:spacing w:val="-5"/>
          <w:sz w:val="18"/>
          <w:szCs w:val="18"/>
          <w:lang w:val="es-ES_tradnl"/>
        </w:rPr>
        <w:t xml:space="preserve">n judicial, tales como abusos policiales, </w:t>
      </w:r>
      <w:r>
        <w:rPr>
          <w:spacing w:val="-4"/>
          <w:sz w:val="18"/>
          <w:szCs w:val="18"/>
          <w:lang w:val="es-ES_tradnl"/>
        </w:rPr>
        <w:t>privaci</w:t>
      </w:r>
      <w:r>
        <w:rPr>
          <w:rFonts w:cs="Times New Roman"/>
          <w:spacing w:val="-4"/>
          <w:sz w:val="18"/>
          <w:szCs w:val="18"/>
          <w:lang w:val="es-ES_tradnl"/>
        </w:rPr>
        <w:t>ó</w:t>
      </w:r>
      <w:r>
        <w:rPr>
          <w:spacing w:val="-4"/>
          <w:sz w:val="18"/>
          <w:szCs w:val="18"/>
          <w:lang w:val="es-ES_tradnl"/>
        </w:rPr>
        <w:t xml:space="preserve">n de la libertad, uso excesivo e irracional de la </w:t>
      </w:r>
      <w:r>
        <w:rPr>
          <w:spacing w:val="-6"/>
          <w:sz w:val="18"/>
          <w:szCs w:val="18"/>
          <w:lang w:val="es-ES_tradnl"/>
        </w:rPr>
        <w:t>fuerza por parte de la polic</w:t>
      </w:r>
      <w:r>
        <w:rPr>
          <w:rFonts w:cs="Times New Roman"/>
          <w:spacing w:val="-6"/>
          <w:sz w:val="18"/>
          <w:szCs w:val="18"/>
          <w:lang w:val="es-ES_tradnl"/>
        </w:rPr>
        <w:t>í</w:t>
      </w:r>
      <w:r>
        <w:rPr>
          <w:spacing w:val="-6"/>
          <w:sz w:val="18"/>
          <w:szCs w:val="18"/>
          <w:lang w:val="es-ES_tradnl"/>
        </w:rPr>
        <w:t>a nacional, acoso policial, etc.</w:t>
      </w:r>
    </w:p>
    <w:p w14:paraId="4F67AEA8" w14:textId="77777777" w:rsidR="00591D54" w:rsidRDefault="00591D54">
      <w:pPr>
        <w:shd w:val="clear" w:color="auto" w:fill="FFFFFF"/>
        <w:spacing w:before="197" w:line="216" w:lineRule="exact"/>
        <w:jc w:val="both"/>
      </w:pPr>
      <w:r>
        <w:rPr>
          <w:spacing w:val="-11"/>
          <w:sz w:val="18"/>
          <w:szCs w:val="18"/>
          <w:lang w:val="es-ES_tradnl"/>
        </w:rPr>
        <w:t xml:space="preserve">Que en el juicio de alimentos seguido en su contra, el juez de </w:t>
      </w:r>
      <w:r>
        <w:rPr>
          <w:spacing w:val="-9"/>
          <w:sz w:val="18"/>
          <w:szCs w:val="18"/>
          <w:lang w:val="es-ES_tradnl"/>
        </w:rPr>
        <w:t>primera instancia orden</w:t>
      </w:r>
      <w:r>
        <w:rPr>
          <w:rFonts w:cs="Times New Roman"/>
          <w:spacing w:val="-9"/>
          <w:sz w:val="18"/>
          <w:szCs w:val="18"/>
          <w:lang w:val="es-ES_tradnl"/>
        </w:rPr>
        <w:t>ó</w:t>
      </w:r>
      <w:r>
        <w:rPr>
          <w:spacing w:val="-9"/>
          <w:sz w:val="18"/>
          <w:szCs w:val="18"/>
          <w:lang w:val="es-ES_tradnl"/>
        </w:rPr>
        <w:t xml:space="preserve"> el pago de una pensi</w:t>
      </w:r>
      <w:r>
        <w:rPr>
          <w:rFonts w:cs="Times New Roman"/>
          <w:spacing w:val="-9"/>
          <w:sz w:val="18"/>
          <w:szCs w:val="18"/>
          <w:lang w:val="es-ES_tradnl"/>
        </w:rPr>
        <w:t>ó</w:t>
      </w:r>
      <w:r>
        <w:rPr>
          <w:spacing w:val="-9"/>
          <w:sz w:val="18"/>
          <w:szCs w:val="18"/>
          <w:lang w:val="es-ES_tradnl"/>
        </w:rPr>
        <w:t xml:space="preserve">n provisional </w:t>
      </w:r>
      <w:r>
        <w:rPr>
          <w:spacing w:val="-5"/>
          <w:sz w:val="18"/>
          <w:szCs w:val="18"/>
          <w:lang w:val="es-ES_tradnl"/>
        </w:rPr>
        <w:t>y la prohibici</w:t>
      </w:r>
      <w:r>
        <w:rPr>
          <w:rFonts w:cs="Times New Roman"/>
          <w:spacing w:val="-5"/>
          <w:sz w:val="18"/>
          <w:szCs w:val="18"/>
          <w:lang w:val="es-ES_tradnl"/>
        </w:rPr>
        <w:t>ó</w:t>
      </w:r>
      <w:r>
        <w:rPr>
          <w:spacing w:val="-5"/>
          <w:sz w:val="18"/>
          <w:szCs w:val="18"/>
          <w:lang w:val="es-ES_tradnl"/>
        </w:rPr>
        <w:t>n de salida del pa</w:t>
      </w:r>
      <w:r>
        <w:rPr>
          <w:rFonts w:cs="Times New Roman"/>
          <w:spacing w:val="-5"/>
          <w:sz w:val="18"/>
          <w:szCs w:val="18"/>
          <w:lang w:val="es-ES_tradnl"/>
        </w:rPr>
        <w:t>í</w:t>
      </w:r>
      <w:r>
        <w:rPr>
          <w:spacing w:val="-5"/>
          <w:sz w:val="18"/>
          <w:szCs w:val="18"/>
          <w:lang w:val="es-ES_tradnl"/>
        </w:rPr>
        <w:t xml:space="preserve">s; que solicitaron que se </w:t>
      </w:r>
      <w:r>
        <w:rPr>
          <w:spacing w:val="-4"/>
          <w:sz w:val="18"/>
          <w:szCs w:val="18"/>
          <w:lang w:val="es-ES_tradnl"/>
        </w:rPr>
        <w:t>declare la nulidad de esas medidas cautelares, petici</w:t>
      </w:r>
      <w:r>
        <w:rPr>
          <w:rFonts w:cs="Times New Roman"/>
          <w:spacing w:val="-4"/>
          <w:sz w:val="18"/>
          <w:szCs w:val="18"/>
          <w:lang w:val="es-ES_tradnl"/>
        </w:rPr>
        <w:t>ó</w:t>
      </w:r>
      <w:r>
        <w:rPr>
          <w:spacing w:val="-4"/>
          <w:sz w:val="18"/>
          <w:szCs w:val="18"/>
          <w:lang w:val="es-ES_tradnl"/>
        </w:rPr>
        <w:t xml:space="preserve">n que fue negada, por lo que interpusieron recurso de </w:t>
      </w:r>
      <w:r>
        <w:rPr>
          <w:spacing w:val="-7"/>
          <w:sz w:val="18"/>
          <w:szCs w:val="18"/>
          <w:lang w:val="es-ES_tradnl"/>
        </w:rPr>
        <w:t>apelaci</w:t>
      </w:r>
      <w:r>
        <w:rPr>
          <w:rFonts w:cs="Times New Roman"/>
          <w:spacing w:val="-7"/>
          <w:sz w:val="18"/>
          <w:szCs w:val="18"/>
          <w:lang w:val="es-ES_tradnl"/>
        </w:rPr>
        <w:t>ó</w:t>
      </w:r>
      <w:r>
        <w:rPr>
          <w:spacing w:val="-7"/>
          <w:sz w:val="18"/>
          <w:szCs w:val="18"/>
          <w:lang w:val="es-ES_tradnl"/>
        </w:rPr>
        <w:t xml:space="preserve">n, mas el juez </w:t>
      </w:r>
      <w:r>
        <w:rPr>
          <w:i/>
          <w:iCs/>
          <w:spacing w:val="-7"/>
          <w:sz w:val="18"/>
          <w:szCs w:val="18"/>
          <w:lang w:val="es-ES_tradnl"/>
        </w:rPr>
        <w:t xml:space="preserve">a quo </w:t>
      </w:r>
      <w:r>
        <w:rPr>
          <w:spacing w:val="-7"/>
          <w:sz w:val="18"/>
          <w:szCs w:val="18"/>
          <w:lang w:val="es-ES_tradnl"/>
        </w:rPr>
        <w:t>rechaz</w:t>
      </w:r>
      <w:r>
        <w:rPr>
          <w:rFonts w:cs="Times New Roman"/>
          <w:spacing w:val="-7"/>
          <w:sz w:val="18"/>
          <w:szCs w:val="18"/>
          <w:lang w:val="es-ES_tradnl"/>
        </w:rPr>
        <w:t>ó</w:t>
      </w:r>
      <w:r>
        <w:rPr>
          <w:spacing w:val="-7"/>
          <w:sz w:val="18"/>
          <w:szCs w:val="18"/>
          <w:lang w:val="es-ES_tradnl"/>
        </w:rPr>
        <w:t xml:space="preserve"> dicho recurso, por lo que interpusieron el de hecho; sin embargo, dicho juez, a </w:t>
      </w:r>
      <w:r>
        <w:rPr>
          <w:spacing w:val="-6"/>
          <w:sz w:val="18"/>
          <w:szCs w:val="18"/>
          <w:lang w:val="es-ES_tradnl"/>
        </w:rPr>
        <w:t>pesar de haber concedido el recurso, continu</w:t>
      </w:r>
      <w:r>
        <w:rPr>
          <w:rFonts w:cs="Times New Roman"/>
          <w:spacing w:val="-6"/>
          <w:sz w:val="18"/>
          <w:szCs w:val="18"/>
          <w:lang w:val="es-ES_tradnl"/>
        </w:rPr>
        <w:t>ó</w:t>
      </w:r>
      <w:r>
        <w:rPr>
          <w:spacing w:val="-6"/>
          <w:sz w:val="18"/>
          <w:szCs w:val="18"/>
          <w:lang w:val="es-ES_tradnl"/>
        </w:rPr>
        <w:t xml:space="preserve"> tramitando </w:t>
      </w:r>
      <w:r>
        <w:rPr>
          <w:spacing w:val="-4"/>
          <w:sz w:val="18"/>
          <w:szCs w:val="18"/>
          <w:lang w:val="es-ES_tradnl"/>
        </w:rPr>
        <w:t xml:space="preserve">el proceso judicial hasta dictar un auto resolutorio en el </w:t>
      </w:r>
      <w:r>
        <w:rPr>
          <w:spacing w:val="-7"/>
          <w:sz w:val="18"/>
          <w:szCs w:val="18"/>
          <w:lang w:val="es-ES_tradnl"/>
        </w:rPr>
        <w:t>cual se les impuso una pensi</w:t>
      </w:r>
      <w:r>
        <w:rPr>
          <w:rFonts w:cs="Times New Roman"/>
          <w:spacing w:val="-7"/>
          <w:sz w:val="18"/>
          <w:szCs w:val="18"/>
          <w:lang w:val="es-ES_tradnl"/>
        </w:rPr>
        <w:t>ó</w:t>
      </w:r>
      <w:r>
        <w:rPr>
          <w:spacing w:val="-7"/>
          <w:sz w:val="18"/>
          <w:szCs w:val="18"/>
          <w:lang w:val="es-ES_tradnl"/>
        </w:rPr>
        <w:t>n definitiva y dict</w:t>
      </w:r>
      <w:r>
        <w:rPr>
          <w:rFonts w:cs="Times New Roman"/>
          <w:spacing w:val="-7"/>
          <w:sz w:val="18"/>
          <w:szCs w:val="18"/>
          <w:lang w:val="es-ES_tradnl"/>
        </w:rPr>
        <w:t>ó</w:t>
      </w:r>
      <w:r>
        <w:rPr>
          <w:spacing w:val="-7"/>
          <w:sz w:val="18"/>
          <w:szCs w:val="18"/>
          <w:lang w:val="es-ES_tradnl"/>
        </w:rPr>
        <w:t xml:space="preserve"> adem</w:t>
      </w:r>
      <w:r>
        <w:rPr>
          <w:rFonts w:cs="Times New Roman"/>
          <w:spacing w:val="-7"/>
          <w:sz w:val="18"/>
          <w:szCs w:val="18"/>
          <w:lang w:val="es-ES_tradnl"/>
        </w:rPr>
        <w:t>á</w:t>
      </w:r>
      <w:r>
        <w:rPr>
          <w:spacing w:val="-7"/>
          <w:sz w:val="18"/>
          <w:szCs w:val="18"/>
          <w:lang w:val="es-ES_tradnl"/>
        </w:rPr>
        <w:t>s medidas de apremio en su contra, as</w:t>
      </w:r>
      <w:r>
        <w:rPr>
          <w:rFonts w:cs="Times New Roman"/>
          <w:spacing w:val="-7"/>
          <w:sz w:val="18"/>
          <w:szCs w:val="18"/>
          <w:lang w:val="es-ES_tradnl"/>
        </w:rPr>
        <w:t>í</w:t>
      </w:r>
      <w:r>
        <w:rPr>
          <w:spacing w:val="-7"/>
          <w:sz w:val="18"/>
          <w:szCs w:val="18"/>
          <w:lang w:val="es-ES_tradnl"/>
        </w:rPr>
        <w:t xml:space="preserve"> como dispuso su </w:t>
      </w:r>
      <w:r>
        <w:rPr>
          <w:spacing w:val="-6"/>
          <w:sz w:val="18"/>
          <w:szCs w:val="18"/>
          <w:lang w:val="es-ES_tradnl"/>
        </w:rPr>
        <w:t xml:space="preserve">registro en la Central de Riesgos y en la lista del Consejo </w:t>
      </w:r>
      <w:r>
        <w:rPr>
          <w:spacing w:val="-8"/>
          <w:sz w:val="18"/>
          <w:szCs w:val="18"/>
          <w:lang w:val="es-ES_tradnl"/>
        </w:rPr>
        <w:t>de la Judicatura, as</w:t>
      </w:r>
      <w:r>
        <w:rPr>
          <w:rFonts w:cs="Times New Roman"/>
          <w:spacing w:val="-8"/>
          <w:sz w:val="18"/>
          <w:szCs w:val="18"/>
          <w:lang w:val="es-ES_tradnl"/>
        </w:rPr>
        <w:t>í</w:t>
      </w:r>
      <w:r>
        <w:rPr>
          <w:spacing w:val="-8"/>
          <w:sz w:val="18"/>
          <w:szCs w:val="18"/>
          <w:lang w:val="es-ES_tradnl"/>
        </w:rPr>
        <w:t xml:space="preserve"> como el allanamiento en la casa de su </w:t>
      </w:r>
      <w:r>
        <w:rPr>
          <w:sz w:val="18"/>
          <w:szCs w:val="18"/>
          <w:lang w:val="es-ES_tradnl"/>
        </w:rPr>
        <w:t>madre en la ciudad de Machala.</w:t>
      </w:r>
    </w:p>
    <w:p w14:paraId="4F67AEA9" w14:textId="77777777" w:rsidR="00591D54" w:rsidRDefault="00591D54">
      <w:pPr>
        <w:shd w:val="clear" w:color="auto" w:fill="FFFFFF"/>
        <w:spacing w:before="192" w:line="216" w:lineRule="exact"/>
        <w:jc w:val="both"/>
      </w:pPr>
      <w:r>
        <w:rPr>
          <w:sz w:val="18"/>
          <w:szCs w:val="18"/>
          <w:lang w:val="es-ES_tradnl"/>
        </w:rPr>
        <w:t>Que apelaron esa decisi</w:t>
      </w:r>
      <w:r>
        <w:rPr>
          <w:rFonts w:cs="Times New Roman"/>
          <w:sz w:val="18"/>
          <w:szCs w:val="18"/>
          <w:lang w:val="es-ES_tradnl"/>
        </w:rPr>
        <w:t>ó</w:t>
      </w:r>
      <w:r>
        <w:rPr>
          <w:sz w:val="18"/>
          <w:szCs w:val="18"/>
          <w:lang w:val="es-ES_tradnl"/>
        </w:rPr>
        <w:t xml:space="preserve">n judicial, para ante la Sala </w:t>
      </w:r>
      <w:r>
        <w:rPr>
          <w:spacing w:val="-1"/>
          <w:sz w:val="18"/>
          <w:szCs w:val="18"/>
          <w:lang w:val="es-ES_tradnl"/>
        </w:rPr>
        <w:t xml:space="preserve">de lo Civil, Mercantil, Laboral, Inquilinato, Materias </w:t>
      </w:r>
      <w:r>
        <w:rPr>
          <w:spacing w:val="-5"/>
          <w:sz w:val="18"/>
          <w:szCs w:val="18"/>
          <w:lang w:val="es-ES_tradnl"/>
        </w:rPr>
        <w:t>Residuales, Ni</w:t>
      </w:r>
      <w:r>
        <w:rPr>
          <w:rFonts w:cs="Times New Roman"/>
          <w:spacing w:val="-5"/>
          <w:sz w:val="18"/>
          <w:szCs w:val="18"/>
          <w:lang w:val="es-ES_tradnl"/>
        </w:rPr>
        <w:t>ñ</w:t>
      </w:r>
      <w:r>
        <w:rPr>
          <w:spacing w:val="-5"/>
          <w:sz w:val="18"/>
          <w:szCs w:val="18"/>
          <w:lang w:val="es-ES_tradnl"/>
        </w:rPr>
        <w:t xml:space="preserve">ez y Adolescencia de la Corte Provincial </w:t>
      </w:r>
      <w:r>
        <w:rPr>
          <w:sz w:val="18"/>
          <w:szCs w:val="18"/>
          <w:lang w:val="es-ES_tradnl"/>
        </w:rPr>
        <w:t xml:space="preserve">de Justicia de El Oro, pues la actora del juicio de </w:t>
      </w:r>
      <w:r>
        <w:rPr>
          <w:spacing w:val="-8"/>
          <w:sz w:val="18"/>
          <w:szCs w:val="18"/>
          <w:lang w:val="es-ES_tradnl"/>
        </w:rPr>
        <w:t>alimentos no present</w:t>
      </w:r>
      <w:r>
        <w:rPr>
          <w:rFonts w:cs="Times New Roman"/>
          <w:spacing w:val="-8"/>
          <w:sz w:val="18"/>
          <w:szCs w:val="18"/>
          <w:lang w:val="es-ES_tradnl"/>
        </w:rPr>
        <w:t>ó</w:t>
      </w:r>
      <w:r>
        <w:rPr>
          <w:spacing w:val="-8"/>
          <w:sz w:val="18"/>
          <w:szCs w:val="18"/>
          <w:lang w:val="es-ES_tradnl"/>
        </w:rPr>
        <w:t xml:space="preserve"> demanda de acuerdo al orden de </w:t>
      </w:r>
      <w:r>
        <w:rPr>
          <w:spacing w:val="-4"/>
          <w:sz w:val="18"/>
          <w:szCs w:val="18"/>
          <w:lang w:val="es-ES_tradnl"/>
        </w:rPr>
        <w:t>obligados subsidiarios previsto en el C</w:t>
      </w:r>
      <w:r>
        <w:rPr>
          <w:rFonts w:cs="Times New Roman"/>
          <w:spacing w:val="-4"/>
          <w:sz w:val="18"/>
          <w:szCs w:val="18"/>
          <w:lang w:val="es-ES_tradnl"/>
        </w:rPr>
        <w:t>ó</w:t>
      </w:r>
      <w:r>
        <w:rPr>
          <w:spacing w:val="-4"/>
          <w:sz w:val="18"/>
          <w:szCs w:val="18"/>
          <w:lang w:val="es-ES_tradnl"/>
        </w:rPr>
        <w:t>digo de la Ni</w:t>
      </w:r>
      <w:r>
        <w:rPr>
          <w:rFonts w:cs="Times New Roman"/>
          <w:spacing w:val="-4"/>
          <w:sz w:val="18"/>
          <w:szCs w:val="18"/>
          <w:lang w:val="es-ES_tradnl"/>
        </w:rPr>
        <w:t>ñ</w:t>
      </w:r>
      <w:r>
        <w:rPr>
          <w:spacing w:val="-4"/>
          <w:sz w:val="18"/>
          <w:szCs w:val="18"/>
          <w:lang w:val="es-ES_tradnl"/>
        </w:rPr>
        <w:t xml:space="preserve">ez </w:t>
      </w:r>
      <w:r>
        <w:rPr>
          <w:spacing w:val="-8"/>
          <w:sz w:val="18"/>
          <w:szCs w:val="18"/>
          <w:lang w:val="es-ES_tradnl"/>
        </w:rPr>
        <w:t xml:space="preserve">y Adolescencia, que establece que en caso de ausencia, </w:t>
      </w:r>
      <w:r>
        <w:rPr>
          <w:spacing w:val="-7"/>
          <w:sz w:val="18"/>
          <w:szCs w:val="18"/>
          <w:lang w:val="es-ES_tradnl"/>
        </w:rPr>
        <w:t xml:space="preserve">impedimento, insuficiencia de recursos o discapacidad de </w:t>
      </w:r>
      <w:r>
        <w:rPr>
          <w:spacing w:val="-4"/>
          <w:sz w:val="18"/>
          <w:szCs w:val="18"/>
          <w:lang w:val="es-ES_tradnl"/>
        </w:rPr>
        <w:t>los obligados principales, se debe ordenar la prestaci</w:t>
      </w:r>
      <w:r>
        <w:rPr>
          <w:rFonts w:cs="Times New Roman"/>
          <w:spacing w:val="-4"/>
          <w:sz w:val="18"/>
          <w:szCs w:val="18"/>
          <w:lang w:val="es-ES_tradnl"/>
        </w:rPr>
        <w:t>ó</w:t>
      </w:r>
      <w:r>
        <w:rPr>
          <w:spacing w:val="-4"/>
          <w:sz w:val="18"/>
          <w:szCs w:val="18"/>
          <w:lang w:val="es-ES_tradnl"/>
        </w:rPr>
        <w:t xml:space="preserve">n </w:t>
      </w:r>
      <w:r>
        <w:rPr>
          <w:spacing w:val="-7"/>
          <w:sz w:val="18"/>
          <w:szCs w:val="18"/>
          <w:lang w:val="es-ES_tradnl"/>
        </w:rPr>
        <w:t>de alimentos o que sea completada, en su orden. 1) Los abuelos; 2) Los hermanos que hayan cumplido 21 a</w:t>
      </w:r>
      <w:r>
        <w:rPr>
          <w:rFonts w:cs="Times New Roman"/>
          <w:spacing w:val="-7"/>
          <w:sz w:val="18"/>
          <w:szCs w:val="18"/>
          <w:lang w:val="es-ES_tradnl"/>
        </w:rPr>
        <w:t>ñ</w:t>
      </w:r>
      <w:r>
        <w:rPr>
          <w:spacing w:val="-7"/>
          <w:sz w:val="18"/>
          <w:szCs w:val="18"/>
          <w:lang w:val="es-ES_tradnl"/>
        </w:rPr>
        <w:t>os y no est</w:t>
      </w:r>
      <w:r>
        <w:rPr>
          <w:rFonts w:cs="Times New Roman"/>
          <w:spacing w:val="-7"/>
          <w:sz w:val="18"/>
          <w:szCs w:val="18"/>
          <w:lang w:val="es-ES_tradnl"/>
        </w:rPr>
        <w:t>é</w:t>
      </w:r>
      <w:r>
        <w:rPr>
          <w:spacing w:val="-7"/>
          <w:sz w:val="18"/>
          <w:szCs w:val="18"/>
          <w:lang w:val="es-ES_tradnl"/>
        </w:rPr>
        <w:t xml:space="preserve">n comprendidos en los casos de los numerales 2 y </w:t>
      </w:r>
      <w:r>
        <w:rPr>
          <w:spacing w:val="-5"/>
          <w:sz w:val="18"/>
          <w:szCs w:val="18"/>
          <w:lang w:val="es-ES_tradnl"/>
        </w:rPr>
        <w:t>3 del art</w:t>
      </w:r>
      <w:r>
        <w:rPr>
          <w:rFonts w:cs="Times New Roman"/>
          <w:spacing w:val="-5"/>
          <w:sz w:val="18"/>
          <w:szCs w:val="18"/>
          <w:lang w:val="es-ES_tradnl"/>
        </w:rPr>
        <w:t>í</w:t>
      </w:r>
      <w:r>
        <w:rPr>
          <w:spacing w:val="-5"/>
          <w:sz w:val="18"/>
          <w:szCs w:val="18"/>
          <w:lang w:val="es-ES_tradnl"/>
        </w:rPr>
        <w:t>culo anterior y, 3) Los t</w:t>
      </w:r>
      <w:r>
        <w:rPr>
          <w:rFonts w:cs="Times New Roman"/>
          <w:spacing w:val="-5"/>
          <w:sz w:val="18"/>
          <w:szCs w:val="18"/>
          <w:lang w:val="es-ES_tradnl"/>
        </w:rPr>
        <w:t>í</w:t>
      </w:r>
      <w:r>
        <w:rPr>
          <w:spacing w:val="-5"/>
          <w:sz w:val="18"/>
          <w:szCs w:val="18"/>
          <w:lang w:val="es-ES_tradnl"/>
        </w:rPr>
        <w:t xml:space="preserve">os/as, orden que no fue </w:t>
      </w:r>
      <w:r>
        <w:rPr>
          <w:spacing w:val="-9"/>
          <w:sz w:val="18"/>
          <w:szCs w:val="18"/>
          <w:lang w:val="es-ES_tradnl"/>
        </w:rPr>
        <w:t>respetado por la actora ni tampoco advertido por los jueces.</w:t>
      </w:r>
    </w:p>
    <w:p w14:paraId="4F67AEAA" w14:textId="77777777" w:rsidR="00591D54" w:rsidRDefault="00591D54">
      <w:pPr>
        <w:shd w:val="clear" w:color="auto" w:fill="FFFFFF"/>
        <w:spacing w:before="192" w:line="216" w:lineRule="exact"/>
        <w:jc w:val="both"/>
      </w:pPr>
      <w:r>
        <w:rPr>
          <w:spacing w:val="-7"/>
          <w:sz w:val="18"/>
          <w:szCs w:val="18"/>
          <w:lang w:val="es-ES_tradnl"/>
        </w:rPr>
        <w:t xml:space="preserve">Que el tribunal </w:t>
      </w:r>
      <w:r>
        <w:rPr>
          <w:i/>
          <w:iCs/>
          <w:spacing w:val="-7"/>
          <w:sz w:val="18"/>
          <w:szCs w:val="18"/>
          <w:lang w:val="es-ES_tradnl"/>
        </w:rPr>
        <w:t>ad quem</w:t>
      </w:r>
      <w:r>
        <w:rPr>
          <w:spacing w:val="-7"/>
          <w:sz w:val="18"/>
          <w:szCs w:val="18"/>
          <w:lang w:val="es-ES_tradnl"/>
        </w:rPr>
        <w:t xml:space="preserve">, mediante auto del 3 de junio de </w:t>
      </w:r>
      <w:r>
        <w:rPr>
          <w:spacing w:val="-9"/>
          <w:sz w:val="18"/>
          <w:szCs w:val="18"/>
          <w:lang w:val="es-ES_tradnl"/>
        </w:rPr>
        <w:t>2011 a las 11h48, declar</w:t>
      </w:r>
      <w:r>
        <w:rPr>
          <w:rFonts w:cs="Times New Roman"/>
          <w:spacing w:val="-9"/>
          <w:sz w:val="18"/>
          <w:szCs w:val="18"/>
          <w:lang w:val="es-ES_tradnl"/>
        </w:rPr>
        <w:t>ó</w:t>
      </w:r>
      <w:r>
        <w:rPr>
          <w:spacing w:val="-9"/>
          <w:sz w:val="18"/>
          <w:szCs w:val="18"/>
          <w:lang w:val="es-ES_tradnl"/>
        </w:rPr>
        <w:t xml:space="preserve"> la nulidad del proceso de primera </w:t>
      </w:r>
      <w:r>
        <w:rPr>
          <w:spacing w:val="-5"/>
          <w:sz w:val="18"/>
          <w:szCs w:val="18"/>
          <w:lang w:val="es-ES_tradnl"/>
        </w:rPr>
        <w:t>instancia a partir de fojas 68, nulidad que alcanz</w:t>
      </w:r>
      <w:r>
        <w:rPr>
          <w:rFonts w:cs="Times New Roman"/>
          <w:spacing w:val="-5"/>
          <w:sz w:val="18"/>
          <w:szCs w:val="18"/>
          <w:lang w:val="es-ES_tradnl"/>
        </w:rPr>
        <w:t>ó</w:t>
      </w:r>
      <w:r>
        <w:rPr>
          <w:spacing w:val="-5"/>
          <w:sz w:val="18"/>
          <w:szCs w:val="18"/>
          <w:lang w:val="es-ES_tradnl"/>
        </w:rPr>
        <w:t xml:space="preserve"> a las </w:t>
      </w:r>
      <w:r>
        <w:rPr>
          <w:spacing w:val="-10"/>
          <w:sz w:val="18"/>
          <w:szCs w:val="18"/>
          <w:lang w:val="es-ES_tradnl"/>
        </w:rPr>
        <w:t xml:space="preserve">medidas de apremio ordenadas por el juez </w:t>
      </w:r>
      <w:r>
        <w:rPr>
          <w:i/>
          <w:iCs/>
          <w:spacing w:val="-10"/>
          <w:sz w:val="18"/>
          <w:szCs w:val="18"/>
          <w:lang w:val="es-ES_tradnl"/>
        </w:rPr>
        <w:t>a quo</w:t>
      </w:r>
      <w:r>
        <w:rPr>
          <w:spacing w:val="-10"/>
          <w:sz w:val="18"/>
          <w:szCs w:val="18"/>
          <w:lang w:val="es-ES_tradnl"/>
        </w:rPr>
        <w:t xml:space="preserve">, por lo que </w:t>
      </w:r>
      <w:r>
        <w:rPr>
          <w:spacing w:val="-7"/>
          <w:sz w:val="18"/>
          <w:szCs w:val="18"/>
          <w:lang w:val="es-ES_tradnl"/>
        </w:rPr>
        <w:t xml:space="preserve">solicitaron que se deje sin efecto las medidas cautelares y </w:t>
      </w:r>
      <w:r>
        <w:rPr>
          <w:spacing w:val="-9"/>
          <w:sz w:val="18"/>
          <w:szCs w:val="18"/>
          <w:lang w:val="es-ES_tradnl"/>
        </w:rPr>
        <w:t xml:space="preserve">de apremio ordenadas en su contra; sin embargo, el juez </w:t>
      </w:r>
      <w:r>
        <w:rPr>
          <w:i/>
          <w:iCs/>
          <w:spacing w:val="-9"/>
          <w:sz w:val="18"/>
          <w:szCs w:val="18"/>
          <w:lang w:val="es-ES_tradnl"/>
        </w:rPr>
        <w:t xml:space="preserve">a </w:t>
      </w:r>
      <w:r>
        <w:rPr>
          <w:i/>
          <w:iCs/>
          <w:spacing w:val="-10"/>
          <w:sz w:val="18"/>
          <w:szCs w:val="18"/>
          <w:lang w:val="es-ES_tradnl"/>
        </w:rPr>
        <w:t xml:space="preserve">quo </w:t>
      </w:r>
      <w:r>
        <w:rPr>
          <w:spacing w:val="-10"/>
          <w:sz w:val="18"/>
          <w:szCs w:val="18"/>
          <w:lang w:val="es-ES_tradnl"/>
        </w:rPr>
        <w:t>ni siquiera mand</w:t>
      </w:r>
      <w:r>
        <w:rPr>
          <w:rFonts w:cs="Times New Roman"/>
          <w:spacing w:val="-10"/>
          <w:sz w:val="18"/>
          <w:szCs w:val="18"/>
          <w:lang w:val="es-ES_tradnl"/>
        </w:rPr>
        <w:t>ó</w:t>
      </w:r>
      <w:r>
        <w:rPr>
          <w:spacing w:val="-10"/>
          <w:sz w:val="18"/>
          <w:szCs w:val="18"/>
          <w:lang w:val="es-ES_tradnl"/>
        </w:rPr>
        <w:t xml:space="preserve"> a agregar su escrito al proceso, lo que </w:t>
      </w:r>
      <w:r>
        <w:rPr>
          <w:spacing w:val="-6"/>
          <w:sz w:val="18"/>
          <w:szCs w:val="18"/>
          <w:lang w:val="es-ES_tradnl"/>
        </w:rPr>
        <w:t>ocasion</w:t>
      </w:r>
      <w:r>
        <w:rPr>
          <w:rFonts w:cs="Times New Roman"/>
          <w:spacing w:val="-6"/>
          <w:sz w:val="18"/>
          <w:szCs w:val="18"/>
          <w:lang w:val="es-ES_tradnl"/>
        </w:rPr>
        <w:t>ó</w:t>
      </w:r>
      <w:r>
        <w:rPr>
          <w:spacing w:val="-6"/>
          <w:sz w:val="18"/>
          <w:szCs w:val="18"/>
          <w:lang w:val="es-ES_tradnl"/>
        </w:rPr>
        <w:t xml:space="preserve"> que el demandado Byron Vladimir Maldonado Albarrac</w:t>
      </w:r>
      <w:r>
        <w:rPr>
          <w:rFonts w:cs="Times New Roman"/>
          <w:spacing w:val="-6"/>
          <w:sz w:val="18"/>
          <w:szCs w:val="18"/>
          <w:lang w:val="es-ES_tradnl"/>
        </w:rPr>
        <w:t>í</w:t>
      </w:r>
      <w:r>
        <w:rPr>
          <w:spacing w:val="-6"/>
          <w:sz w:val="18"/>
          <w:szCs w:val="18"/>
          <w:lang w:val="es-ES_tradnl"/>
        </w:rPr>
        <w:t xml:space="preserve">n sea privado de su libertad por agentes de la </w:t>
      </w:r>
      <w:r>
        <w:rPr>
          <w:spacing w:val="-7"/>
          <w:sz w:val="18"/>
          <w:szCs w:val="18"/>
          <w:lang w:val="es-ES_tradnl"/>
        </w:rPr>
        <w:t>polic</w:t>
      </w:r>
      <w:r>
        <w:rPr>
          <w:rFonts w:cs="Times New Roman"/>
          <w:spacing w:val="-7"/>
          <w:sz w:val="18"/>
          <w:szCs w:val="18"/>
          <w:lang w:val="es-ES_tradnl"/>
        </w:rPr>
        <w:t>í</w:t>
      </w:r>
      <w:r>
        <w:rPr>
          <w:spacing w:val="-7"/>
          <w:sz w:val="18"/>
          <w:szCs w:val="18"/>
          <w:lang w:val="es-ES_tradnl"/>
        </w:rPr>
        <w:t xml:space="preserve">a de El Oro, no obstante de que la orden de apremio </w:t>
      </w:r>
      <w:r>
        <w:rPr>
          <w:spacing w:val="-9"/>
          <w:sz w:val="18"/>
          <w:szCs w:val="18"/>
          <w:lang w:val="es-ES_tradnl"/>
        </w:rPr>
        <w:t>hab</w:t>
      </w:r>
      <w:r>
        <w:rPr>
          <w:rFonts w:cs="Times New Roman"/>
          <w:spacing w:val="-9"/>
          <w:sz w:val="18"/>
          <w:szCs w:val="18"/>
          <w:lang w:val="es-ES_tradnl"/>
        </w:rPr>
        <w:t>í</w:t>
      </w:r>
      <w:r>
        <w:rPr>
          <w:spacing w:val="-9"/>
          <w:sz w:val="18"/>
          <w:szCs w:val="18"/>
          <w:lang w:val="es-ES_tradnl"/>
        </w:rPr>
        <w:t>a sido declarada nula por decisi</w:t>
      </w:r>
      <w:r>
        <w:rPr>
          <w:rFonts w:cs="Times New Roman"/>
          <w:spacing w:val="-9"/>
          <w:sz w:val="18"/>
          <w:szCs w:val="18"/>
          <w:lang w:val="es-ES_tradnl"/>
        </w:rPr>
        <w:t>ó</w:t>
      </w:r>
      <w:r>
        <w:rPr>
          <w:spacing w:val="-9"/>
          <w:sz w:val="18"/>
          <w:szCs w:val="18"/>
          <w:lang w:val="es-ES_tradnl"/>
        </w:rPr>
        <w:t xml:space="preserve">n de la Sala de lo Civil, </w:t>
      </w:r>
      <w:r>
        <w:rPr>
          <w:spacing w:val="-6"/>
          <w:sz w:val="18"/>
          <w:szCs w:val="18"/>
          <w:lang w:val="es-ES_tradnl"/>
        </w:rPr>
        <w:t xml:space="preserve">Mercantil, Laboral, Inquilinato y Materias Residuales de la </w:t>
      </w:r>
      <w:r>
        <w:rPr>
          <w:sz w:val="18"/>
          <w:szCs w:val="18"/>
          <w:lang w:val="es-ES_tradnl"/>
        </w:rPr>
        <w:t>Corte de Justicia de El Oro.</w:t>
      </w:r>
    </w:p>
    <w:p w14:paraId="4F67AEAB" w14:textId="77777777" w:rsidR="00591D54" w:rsidRDefault="00591D54">
      <w:pPr>
        <w:shd w:val="clear" w:color="auto" w:fill="FFFFFF"/>
        <w:spacing w:before="192" w:line="216" w:lineRule="exact"/>
        <w:jc w:val="both"/>
      </w:pPr>
      <w:r>
        <w:rPr>
          <w:spacing w:val="-4"/>
          <w:sz w:val="18"/>
          <w:szCs w:val="18"/>
          <w:lang w:val="es-ES_tradnl"/>
        </w:rPr>
        <w:t>Que posteriormente el juez cuarto de la ni</w:t>
      </w:r>
      <w:r>
        <w:rPr>
          <w:rFonts w:cs="Times New Roman"/>
          <w:spacing w:val="-4"/>
          <w:sz w:val="18"/>
          <w:szCs w:val="18"/>
          <w:lang w:val="es-ES_tradnl"/>
        </w:rPr>
        <w:t>ñ</w:t>
      </w:r>
      <w:r>
        <w:rPr>
          <w:spacing w:val="-4"/>
          <w:sz w:val="18"/>
          <w:szCs w:val="18"/>
          <w:lang w:val="es-ES_tradnl"/>
        </w:rPr>
        <w:t xml:space="preserve">ez de El Oro </w:t>
      </w:r>
      <w:r>
        <w:rPr>
          <w:spacing w:val="-7"/>
          <w:sz w:val="18"/>
          <w:szCs w:val="18"/>
          <w:lang w:val="es-ES_tradnl"/>
        </w:rPr>
        <w:t>se inhibi</w:t>
      </w:r>
      <w:r>
        <w:rPr>
          <w:rFonts w:cs="Times New Roman"/>
          <w:spacing w:val="-7"/>
          <w:sz w:val="18"/>
          <w:szCs w:val="18"/>
          <w:lang w:val="es-ES_tradnl"/>
        </w:rPr>
        <w:t>ó</w:t>
      </w:r>
      <w:r>
        <w:rPr>
          <w:spacing w:val="-7"/>
          <w:sz w:val="18"/>
          <w:szCs w:val="18"/>
          <w:lang w:val="es-ES_tradnl"/>
        </w:rPr>
        <w:t xml:space="preserve"> de continuar tramitando el proceso judicial, pero </w:t>
      </w:r>
      <w:r>
        <w:rPr>
          <w:spacing w:val="-6"/>
          <w:sz w:val="18"/>
          <w:szCs w:val="18"/>
          <w:lang w:val="es-ES_tradnl"/>
        </w:rPr>
        <w:t>la jueza que lo reemplaz</w:t>
      </w:r>
      <w:r>
        <w:rPr>
          <w:rFonts w:cs="Times New Roman"/>
          <w:spacing w:val="-6"/>
          <w:sz w:val="18"/>
          <w:szCs w:val="18"/>
          <w:lang w:val="es-ES_tradnl"/>
        </w:rPr>
        <w:t>ó</w:t>
      </w:r>
      <w:r>
        <w:rPr>
          <w:spacing w:val="-6"/>
          <w:sz w:val="18"/>
          <w:szCs w:val="18"/>
          <w:lang w:val="es-ES_tradnl"/>
        </w:rPr>
        <w:t xml:space="preserve"> valid</w:t>
      </w:r>
      <w:r>
        <w:rPr>
          <w:rFonts w:cs="Times New Roman"/>
          <w:spacing w:val="-6"/>
          <w:sz w:val="18"/>
          <w:szCs w:val="18"/>
          <w:lang w:val="es-ES_tradnl"/>
        </w:rPr>
        <w:t>ó</w:t>
      </w:r>
      <w:r>
        <w:rPr>
          <w:spacing w:val="-6"/>
          <w:sz w:val="18"/>
          <w:szCs w:val="18"/>
          <w:lang w:val="es-ES_tradnl"/>
        </w:rPr>
        <w:t xml:space="preserve"> todo lo actuado por su </w:t>
      </w:r>
      <w:r>
        <w:rPr>
          <w:spacing w:val="-10"/>
          <w:sz w:val="18"/>
          <w:szCs w:val="18"/>
          <w:lang w:val="es-ES_tradnl"/>
        </w:rPr>
        <w:t>antecesor, neg</w:t>
      </w:r>
      <w:r>
        <w:rPr>
          <w:rFonts w:cs="Times New Roman"/>
          <w:spacing w:val="-10"/>
          <w:sz w:val="18"/>
          <w:szCs w:val="18"/>
          <w:lang w:val="es-ES_tradnl"/>
        </w:rPr>
        <w:t>á</w:t>
      </w:r>
      <w:r>
        <w:rPr>
          <w:spacing w:val="-10"/>
          <w:sz w:val="18"/>
          <w:szCs w:val="18"/>
          <w:lang w:val="es-ES_tradnl"/>
        </w:rPr>
        <w:t xml:space="preserve">ndoles el derecho a la defensa y a pesar de </w:t>
      </w:r>
      <w:r>
        <w:rPr>
          <w:spacing w:val="-7"/>
          <w:sz w:val="18"/>
          <w:szCs w:val="18"/>
          <w:lang w:val="es-ES_tradnl"/>
        </w:rPr>
        <w:t>que presentaron escritos con sus anuncios de prueba con la debida anticipaci</w:t>
      </w:r>
      <w:r>
        <w:rPr>
          <w:rFonts w:cs="Times New Roman"/>
          <w:spacing w:val="-7"/>
          <w:sz w:val="18"/>
          <w:szCs w:val="18"/>
          <w:lang w:val="es-ES_tradnl"/>
        </w:rPr>
        <w:t>ó</w:t>
      </w:r>
      <w:r>
        <w:rPr>
          <w:spacing w:val="-7"/>
          <w:sz w:val="18"/>
          <w:szCs w:val="18"/>
          <w:lang w:val="es-ES_tradnl"/>
        </w:rPr>
        <w:t>n, estas fueron ordenadas a 24 horas</w:t>
      </w:r>
    </w:p>
    <w:p w14:paraId="4F67AEAC" w14:textId="77777777" w:rsidR="00591D54" w:rsidRDefault="00591D54">
      <w:pPr>
        <w:shd w:val="clear" w:color="auto" w:fill="FFFFFF"/>
        <w:spacing w:line="216" w:lineRule="exact"/>
        <w:ind w:right="5"/>
        <w:jc w:val="both"/>
      </w:pPr>
      <w:r>
        <w:br w:type="column"/>
      </w:r>
      <w:r>
        <w:rPr>
          <w:spacing w:val="-6"/>
          <w:sz w:val="18"/>
          <w:szCs w:val="18"/>
          <w:lang w:val="es-ES_tradnl"/>
        </w:rPr>
        <w:t xml:space="preserve">previas a la audiencia; que solicitaron copias certificadas </w:t>
      </w:r>
      <w:r>
        <w:rPr>
          <w:spacing w:val="-4"/>
          <w:sz w:val="18"/>
          <w:szCs w:val="18"/>
          <w:lang w:val="es-ES_tradnl"/>
        </w:rPr>
        <w:t>del proceso, pero la jueza exigi</w:t>
      </w:r>
      <w:r>
        <w:rPr>
          <w:rFonts w:cs="Times New Roman"/>
          <w:spacing w:val="-4"/>
          <w:sz w:val="18"/>
          <w:szCs w:val="18"/>
          <w:lang w:val="es-ES_tradnl"/>
        </w:rPr>
        <w:t>ó</w:t>
      </w:r>
      <w:r>
        <w:rPr>
          <w:spacing w:val="-4"/>
          <w:sz w:val="18"/>
          <w:szCs w:val="18"/>
          <w:lang w:val="es-ES_tradnl"/>
        </w:rPr>
        <w:t xml:space="preserve"> el cumplimiento de </w:t>
      </w:r>
      <w:r>
        <w:rPr>
          <w:spacing w:val="-2"/>
          <w:sz w:val="18"/>
          <w:szCs w:val="18"/>
          <w:lang w:val="es-ES_tradnl"/>
        </w:rPr>
        <w:t xml:space="preserve">requisitos no previstos en la ley, como que indiquen </w:t>
      </w:r>
      <w:r>
        <w:rPr>
          <w:rFonts w:cs="Times New Roman"/>
          <w:spacing w:val="-6"/>
          <w:sz w:val="18"/>
          <w:szCs w:val="18"/>
          <w:lang w:val="es-ES_tradnl"/>
        </w:rPr>
        <w:t>“</w:t>
      </w:r>
      <w:r>
        <w:rPr>
          <w:spacing w:val="-6"/>
          <w:sz w:val="18"/>
          <w:szCs w:val="18"/>
          <w:lang w:val="es-ES_tradnl"/>
        </w:rPr>
        <w:t>contra quien har</w:t>
      </w:r>
      <w:r>
        <w:rPr>
          <w:rFonts w:cs="Times New Roman"/>
          <w:spacing w:val="-6"/>
          <w:sz w:val="18"/>
          <w:szCs w:val="18"/>
          <w:lang w:val="es-ES_tradnl"/>
        </w:rPr>
        <w:t>á</w:t>
      </w:r>
      <w:r>
        <w:rPr>
          <w:spacing w:val="-6"/>
          <w:sz w:val="18"/>
          <w:szCs w:val="18"/>
          <w:lang w:val="es-ES_tradnl"/>
        </w:rPr>
        <w:t>n valer esas copias certificadas</w:t>
      </w:r>
      <w:r>
        <w:rPr>
          <w:rFonts w:cs="Times New Roman"/>
          <w:spacing w:val="-6"/>
          <w:sz w:val="18"/>
          <w:szCs w:val="18"/>
          <w:lang w:val="es-ES_tradnl"/>
        </w:rPr>
        <w:t>”</w:t>
      </w:r>
      <w:r>
        <w:rPr>
          <w:spacing w:val="-6"/>
          <w:sz w:val="18"/>
          <w:szCs w:val="18"/>
          <w:lang w:val="es-ES_tradnl"/>
        </w:rPr>
        <w:t>.</w:t>
      </w:r>
    </w:p>
    <w:p w14:paraId="4F67AEAD" w14:textId="77777777" w:rsidR="00591D54" w:rsidRDefault="00591D54">
      <w:pPr>
        <w:shd w:val="clear" w:color="auto" w:fill="FFFFFF"/>
        <w:spacing w:before="197" w:line="216" w:lineRule="exact"/>
        <w:ind w:right="5"/>
        <w:jc w:val="both"/>
      </w:pPr>
      <w:r>
        <w:rPr>
          <w:spacing w:val="-2"/>
          <w:sz w:val="18"/>
          <w:szCs w:val="18"/>
          <w:lang w:val="es-ES_tradnl"/>
        </w:rPr>
        <w:t>Que finalmente se les impuso el pago de una pensi</w:t>
      </w:r>
      <w:r>
        <w:rPr>
          <w:rFonts w:cs="Times New Roman"/>
          <w:spacing w:val="-2"/>
          <w:sz w:val="18"/>
          <w:szCs w:val="18"/>
          <w:lang w:val="es-ES_tradnl"/>
        </w:rPr>
        <w:t>ó</w:t>
      </w:r>
      <w:r>
        <w:rPr>
          <w:spacing w:val="-2"/>
          <w:sz w:val="18"/>
          <w:szCs w:val="18"/>
          <w:lang w:val="es-ES_tradnl"/>
        </w:rPr>
        <w:t xml:space="preserve">n </w:t>
      </w:r>
      <w:r>
        <w:rPr>
          <w:spacing w:val="-5"/>
          <w:sz w:val="18"/>
          <w:szCs w:val="18"/>
          <w:lang w:val="es-ES_tradnl"/>
        </w:rPr>
        <w:t xml:space="preserve">de alimentos a favor de los hijos de la demandante, sin </w:t>
      </w:r>
      <w:r>
        <w:rPr>
          <w:spacing w:val="-6"/>
          <w:sz w:val="18"/>
          <w:szCs w:val="18"/>
          <w:lang w:val="es-ES_tradnl"/>
        </w:rPr>
        <w:t>observar el orden de prelaci</w:t>
      </w:r>
      <w:r>
        <w:rPr>
          <w:rFonts w:cs="Times New Roman"/>
          <w:spacing w:val="-6"/>
          <w:sz w:val="18"/>
          <w:szCs w:val="18"/>
          <w:lang w:val="es-ES_tradnl"/>
        </w:rPr>
        <w:t>ó</w:t>
      </w:r>
      <w:r>
        <w:rPr>
          <w:spacing w:val="-6"/>
          <w:sz w:val="18"/>
          <w:szCs w:val="18"/>
          <w:lang w:val="es-ES_tradnl"/>
        </w:rPr>
        <w:t xml:space="preserve">n de obligados subsidiarios </w:t>
      </w:r>
      <w:r>
        <w:rPr>
          <w:spacing w:val="-5"/>
          <w:sz w:val="18"/>
          <w:szCs w:val="18"/>
          <w:lang w:val="es-ES_tradnl"/>
        </w:rPr>
        <w:t>establecido en el art</w:t>
      </w:r>
      <w:r>
        <w:rPr>
          <w:rFonts w:cs="Times New Roman"/>
          <w:spacing w:val="-5"/>
          <w:sz w:val="18"/>
          <w:szCs w:val="18"/>
          <w:lang w:val="es-ES_tradnl"/>
        </w:rPr>
        <w:t>í</w:t>
      </w:r>
      <w:r>
        <w:rPr>
          <w:spacing w:val="-5"/>
          <w:sz w:val="18"/>
          <w:szCs w:val="18"/>
          <w:lang w:val="es-ES_tradnl"/>
        </w:rPr>
        <w:t>culo 5 innumerado del C</w:t>
      </w:r>
      <w:r>
        <w:rPr>
          <w:rFonts w:cs="Times New Roman"/>
          <w:spacing w:val="-5"/>
          <w:sz w:val="18"/>
          <w:szCs w:val="18"/>
          <w:lang w:val="es-ES_tradnl"/>
        </w:rPr>
        <w:t>ó</w:t>
      </w:r>
      <w:r>
        <w:rPr>
          <w:spacing w:val="-5"/>
          <w:sz w:val="18"/>
          <w:szCs w:val="18"/>
          <w:lang w:val="es-ES_tradnl"/>
        </w:rPr>
        <w:t>digo de la Ni</w:t>
      </w:r>
      <w:r>
        <w:rPr>
          <w:rFonts w:cs="Times New Roman"/>
          <w:spacing w:val="-5"/>
          <w:sz w:val="18"/>
          <w:szCs w:val="18"/>
          <w:lang w:val="es-ES_tradnl"/>
        </w:rPr>
        <w:t>ñ</w:t>
      </w:r>
      <w:r>
        <w:rPr>
          <w:spacing w:val="-5"/>
          <w:sz w:val="18"/>
          <w:szCs w:val="18"/>
          <w:lang w:val="es-ES_tradnl"/>
        </w:rPr>
        <w:t xml:space="preserve">ez y Adolescencia, pues, de haberse aplicado dicha </w:t>
      </w:r>
      <w:r>
        <w:rPr>
          <w:spacing w:val="-7"/>
          <w:sz w:val="18"/>
          <w:szCs w:val="18"/>
          <w:lang w:val="es-ES_tradnl"/>
        </w:rPr>
        <w:t>norma, se habr</w:t>
      </w:r>
      <w:r>
        <w:rPr>
          <w:rFonts w:cs="Times New Roman"/>
          <w:spacing w:val="-7"/>
          <w:sz w:val="18"/>
          <w:szCs w:val="18"/>
          <w:lang w:val="es-ES_tradnl"/>
        </w:rPr>
        <w:t>í</w:t>
      </w:r>
      <w:r>
        <w:rPr>
          <w:spacing w:val="-7"/>
          <w:sz w:val="18"/>
          <w:szCs w:val="18"/>
          <w:lang w:val="es-ES_tradnl"/>
        </w:rPr>
        <w:t xml:space="preserve">a rechazado la demanda de alimentos </w:t>
      </w:r>
      <w:r>
        <w:rPr>
          <w:spacing w:val="-8"/>
          <w:sz w:val="18"/>
          <w:szCs w:val="18"/>
          <w:lang w:val="es-ES_tradnl"/>
        </w:rPr>
        <w:t xml:space="preserve">propuesta en su contra; que en virtud de que se les impuso </w:t>
      </w:r>
      <w:r>
        <w:rPr>
          <w:spacing w:val="-6"/>
          <w:sz w:val="18"/>
          <w:szCs w:val="18"/>
          <w:lang w:val="es-ES_tradnl"/>
        </w:rPr>
        <w:t>el pago de la pensi</w:t>
      </w:r>
      <w:r>
        <w:rPr>
          <w:rFonts w:cs="Times New Roman"/>
          <w:spacing w:val="-6"/>
          <w:sz w:val="18"/>
          <w:szCs w:val="18"/>
          <w:lang w:val="es-ES_tradnl"/>
        </w:rPr>
        <w:t>ó</w:t>
      </w:r>
      <w:r>
        <w:rPr>
          <w:spacing w:val="-6"/>
          <w:sz w:val="18"/>
          <w:szCs w:val="18"/>
          <w:lang w:val="es-ES_tradnl"/>
        </w:rPr>
        <w:t xml:space="preserve">n de alimentos, interpusieron recurso </w:t>
      </w:r>
      <w:r>
        <w:rPr>
          <w:spacing w:val="-8"/>
          <w:sz w:val="18"/>
          <w:szCs w:val="18"/>
          <w:lang w:val="es-ES_tradnl"/>
        </w:rPr>
        <w:t>de apelaci</w:t>
      </w:r>
      <w:r>
        <w:rPr>
          <w:rFonts w:cs="Times New Roman"/>
          <w:spacing w:val="-8"/>
          <w:sz w:val="18"/>
          <w:szCs w:val="18"/>
          <w:lang w:val="es-ES_tradnl"/>
        </w:rPr>
        <w:t>ó</w:t>
      </w:r>
      <w:r>
        <w:rPr>
          <w:spacing w:val="-8"/>
          <w:sz w:val="18"/>
          <w:szCs w:val="18"/>
          <w:lang w:val="es-ES_tradnl"/>
        </w:rPr>
        <w:t>n; sin embargo, a</w:t>
      </w:r>
      <w:r>
        <w:rPr>
          <w:rFonts w:cs="Times New Roman"/>
          <w:spacing w:val="-8"/>
          <w:sz w:val="18"/>
          <w:szCs w:val="18"/>
          <w:lang w:val="es-ES_tradnl"/>
        </w:rPr>
        <w:t>ñ</w:t>
      </w:r>
      <w:r>
        <w:rPr>
          <w:spacing w:val="-8"/>
          <w:sz w:val="18"/>
          <w:szCs w:val="18"/>
          <w:lang w:val="es-ES_tradnl"/>
        </w:rPr>
        <w:t xml:space="preserve">aden, que la Sala de lo Civil, </w:t>
      </w:r>
      <w:r>
        <w:rPr>
          <w:spacing w:val="-1"/>
          <w:sz w:val="18"/>
          <w:szCs w:val="18"/>
          <w:lang w:val="es-ES_tradnl"/>
        </w:rPr>
        <w:t xml:space="preserve">Mercantil, Inquilinato, Laboral, Materias Residuales, </w:t>
      </w:r>
      <w:r>
        <w:rPr>
          <w:spacing w:val="-3"/>
          <w:sz w:val="18"/>
          <w:szCs w:val="18"/>
          <w:lang w:val="es-ES_tradnl"/>
        </w:rPr>
        <w:t>Ni</w:t>
      </w:r>
      <w:r>
        <w:rPr>
          <w:rFonts w:cs="Times New Roman"/>
          <w:spacing w:val="-3"/>
          <w:sz w:val="18"/>
          <w:szCs w:val="18"/>
          <w:lang w:val="es-ES_tradnl"/>
        </w:rPr>
        <w:t>ñ</w:t>
      </w:r>
      <w:r>
        <w:rPr>
          <w:spacing w:val="-3"/>
          <w:sz w:val="18"/>
          <w:szCs w:val="18"/>
          <w:lang w:val="es-ES_tradnl"/>
        </w:rPr>
        <w:t>ez y Adolescencia de la Corte Provincial de Justicia de El Oro incurri</w:t>
      </w:r>
      <w:r>
        <w:rPr>
          <w:rFonts w:cs="Times New Roman"/>
          <w:spacing w:val="-3"/>
          <w:sz w:val="18"/>
          <w:szCs w:val="18"/>
          <w:lang w:val="es-ES_tradnl"/>
        </w:rPr>
        <w:t>ó</w:t>
      </w:r>
      <w:r>
        <w:rPr>
          <w:spacing w:val="-3"/>
          <w:sz w:val="18"/>
          <w:szCs w:val="18"/>
          <w:lang w:val="es-ES_tradnl"/>
        </w:rPr>
        <w:t xml:space="preserve"> en la misma actitud, vulnerando sus </w:t>
      </w:r>
      <w:r>
        <w:rPr>
          <w:sz w:val="18"/>
          <w:szCs w:val="18"/>
          <w:lang w:val="es-ES_tradnl"/>
        </w:rPr>
        <w:t>derechos.</w:t>
      </w:r>
    </w:p>
    <w:p w14:paraId="4F67AEAE" w14:textId="77777777" w:rsidR="00591D54" w:rsidRDefault="00591D54">
      <w:pPr>
        <w:shd w:val="clear" w:color="auto" w:fill="FFFFFF"/>
        <w:spacing w:before="197"/>
      </w:pPr>
      <w:r>
        <w:rPr>
          <w:b/>
          <w:bCs/>
          <w:spacing w:val="-9"/>
          <w:sz w:val="18"/>
          <w:szCs w:val="18"/>
          <w:lang w:val="es-ES_tradnl"/>
        </w:rPr>
        <w:t>Derechos presuntamente vulnerados</w:t>
      </w:r>
    </w:p>
    <w:p w14:paraId="4F67AEAF" w14:textId="77777777" w:rsidR="00591D54" w:rsidRDefault="00591D54">
      <w:pPr>
        <w:shd w:val="clear" w:color="auto" w:fill="FFFFFF"/>
        <w:spacing w:before="197" w:line="216" w:lineRule="exact"/>
        <w:ind w:right="5"/>
        <w:jc w:val="both"/>
      </w:pPr>
      <w:r>
        <w:rPr>
          <w:spacing w:val="-4"/>
          <w:sz w:val="18"/>
          <w:szCs w:val="18"/>
          <w:lang w:val="es-ES_tradnl"/>
        </w:rPr>
        <w:t>Los legitimados activos se</w:t>
      </w:r>
      <w:r>
        <w:rPr>
          <w:rFonts w:cs="Times New Roman"/>
          <w:spacing w:val="-4"/>
          <w:sz w:val="18"/>
          <w:szCs w:val="18"/>
          <w:lang w:val="es-ES_tradnl"/>
        </w:rPr>
        <w:t>ñ</w:t>
      </w:r>
      <w:r>
        <w:rPr>
          <w:spacing w:val="-4"/>
          <w:sz w:val="18"/>
          <w:szCs w:val="18"/>
          <w:lang w:val="es-ES_tradnl"/>
        </w:rPr>
        <w:t>alan que la decisi</w:t>
      </w:r>
      <w:r>
        <w:rPr>
          <w:rFonts w:cs="Times New Roman"/>
          <w:spacing w:val="-4"/>
          <w:sz w:val="18"/>
          <w:szCs w:val="18"/>
          <w:lang w:val="es-ES_tradnl"/>
        </w:rPr>
        <w:t>ó</w:t>
      </w:r>
      <w:r>
        <w:rPr>
          <w:spacing w:val="-4"/>
          <w:sz w:val="18"/>
          <w:szCs w:val="18"/>
          <w:lang w:val="es-ES_tradnl"/>
        </w:rPr>
        <w:t xml:space="preserve">n judicial </w:t>
      </w:r>
      <w:r>
        <w:rPr>
          <w:spacing w:val="-6"/>
          <w:sz w:val="18"/>
          <w:szCs w:val="18"/>
          <w:lang w:val="es-ES_tradnl"/>
        </w:rPr>
        <w:t>contra la cual proponen la presente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n, vulnera los derechos consagrados en los art</w:t>
      </w:r>
      <w:r>
        <w:rPr>
          <w:rFonts w:cs="Times New Roman"/>
          <w:spacing w:val="-6"/>
          <w:sz w:val="18"/>
          <w:szCs w:val="18"/>
          <w:lang w:val="es-ES_tradnl"/>
        </w:rPr>
        <w:t>í</w:t>
      </w:r>
      <w:r>
        <w:rPr>
          <w:spacing w:val="-6"/>
          <w:sz w:val="18"/>
          <w:szCs w:val="18"/>
          <w:lang w:val="es-ES_tradnl"/>
        </w:rPr>
        <w:t>culos 11 numerales 1 al 9; 66 numerales 2 y 3 literales</w:t>
      </w:r>
    </w:p>
    <w:p w14:paraId="4F67AEB0" w14:textId="77777777" w:rsidR="00591D54" w:rsidRDefault="00591D54">
      <w:pPr>
        <w:shd w:val="clear" w:color="auto" w:fill="FFFFFF"/>
        <w:tabs>
          <w:tab w:val="left" w:pos="197"/>
        </w:tabs>
        <w:spacing w:line="216" w:lineRule="exact"/>
      </w:pPr>
      <w:r>
        <w:rPr>
          <w:b/>
          <w:bCs/>
          <w:spacing w:val="-9"/>
          <w:sz w:val="18"/>
          <w:szCs w:val="18"/>
          <w:lang w:val="es-ES_tradnl"/>
        </w:rPr>
        <w:t>a</w:t>
      </w:r>
      <w:r>
        <w:rPr>
          <w:spacing w:val="-9"/>
          <w:sz w:val="18"/>
          <w:szCs w:val="18"/>
          <w:lang w:val="es-ES_tradnl"/>
        </w:rPr>
        <w:t>,</w:t>
      </w:r>
      <w:r>
        <w:rPr>
          <w:sz w:val="18"/>
          <w:szCs w:val="18"/>
          <w:lang w:val="es-ES_tradnl"/>
        </w:rPr>
        <w:tab/>
      </w:r>
      <w:r>
        <w:rPr>
          <w:b/>
          <w:bCs/>
          <w:spacing w:val="-3"/>
          <w:sz w:val="18"/>
          <w:szCs w:val="18"/>
          <w:lang w:val="es-ES_tradnl"/>
        </w:rPr>
        <w:t>b</w:t>
      </w:r>
      <w:r>
        <w:rPr>
          <w:spacing w:val="-3"/>
          <w:sz w:val="18"/>
          <w:szCs w:val="18"/>
          <w:lang w:val="es-ES_tradnl"/>
        </w:rPr>
        <w:t xml:space="preserve">, </w:t>
      </w:r>
      <w:r>
        <w:rPr>
          <w:b/>
          <w:bCs/>
          <w:spacing w:val="-3"/>
          <w:sz w:val="18"/>
          <w:szCs w:val="18"/>
          <w:lang w:val="es-ES_tradnl"/>
        </w:rPr>
        <w:t xml:space="preserve">c </w:t>
      </w:r>
      <w:r>
        <w:rPr>
          <w:spacing w:val="-3"/>
          <w:sz w:val="18"/>
          <w:szCs w:val="18"/>
          <w:lang w:val="es-ES_tradnl"/>
        </w:rPr>
        <w:t xml:space="preserve">y </w:t>
      </w:r>
      <w:r>
        <w:rPr>
          <w:b/>
          <w:bCs/>
          <w:spacing w:val="-3"/>
          <w:sz w:val="18"/>
          <w:szCs w:val="18"/>
          <w:lang w:val="es-ES_tradnl"/>
        </w:rPr>
        <w:t>d</w:t>
      </w:r>
      <w:r>
        <w:rPr>
          <w:spacing w:val="-3"/>
          <w:sz w:val="18"/>
          <w:szCs w:val="18"/>
          <w:lang w:val="es-ES_tradnl"/>
        </w:rPr>
        <w:t xml:space="preserve">; 75; 76 numerales 1, 2, 3, 4, 6 y 7 literales </w:t>
      </w:r>
      <w:r>
        <w:rPr>
          <w:b/>
          <w:bCs/>
          <w:spacing w:val="-3"/>
          <w:sz w:val="18"/>
          <w:szCs w:val="18"/>
          <w:lang w:val="es-ES_tradnl"/>
        </w:rPr>
        <w:t>a</w:t>
      </w:r>
      <w:r>
        <w:rPr>
          <w:spacing w:val="-3"/>
          <w:sz w:val="18"/>
          <w:szCs w:val="18"/>
          <w:lang w:val="es-ES_tradnl"/>
        </w:rPr>
        <w:t>,</w:t>
      </w:r>
    </w:p>
    <w:p w14:paraId="4F67AEB1" w14:textId="77777777" w:rsidR="00591D54" w:rsidRDefault="00591D54">
      <w:pPr>
        <w:shd w:val="clear" w:color="auto" w:fill="FFFFFF"/>
        <w:tabs>
          <w:tab w:val="left" w:pos="197"/>
        </w:tabs>
        <w:spacing w:line="216" w:lineRule="exact"/>
        <w:ind w:right="5"/>
        <w:jc w:val="both"/>
      </w:pPr>
      <w:r>
        <w:rPr>
          <w:b/>
          <w:bCs/>
          <w:spacing w:val="-9"/>
          <w:sz w:val="18"/>
          <w:szCs w:val="18"/>
          <w:lang w:val="es-ES_tradnl"/>
        </w:rPr>
        <w:t>b</w:t>
      </w:r>
      <w:r>
        <w:rPr>
          <w:spacing w:val="-9"/>
          <w:sz w:val="18"/>
          <w:szCs w:val="18"/>
          <w:lang w:val="es-ES_tradnl"/>
        </w:rPr>
        <w:t>,</w:t>
      </w:r>
      <w:r>
        <w:rPr>
          <w:sz w:val="18"/>
          <w:szCs w:val="18"/>
          <w:lang w:val="es-ES_tradnl"/>
        </w:rPr>
        <w:tab/>
      </w:r>
      <w:r>
        <w:rPr>
          <w:b/>
          <w:bCs/>
          <w:spacing w:val="-2"/>
          <w:sz w:val="18"/>
          <w:szCs w:val="18"/>
          <w:lang w:val="es-ES_tradnl"/>
        </w:rPr>
        <w:t>c</w:t>
      </w:r>
      <w:r>
        <w:rPr>
          <w:spacing w:val="-2"/>
          <w:sz w:val="18"/>
          <w:szCs w:val="18"/>
          <w:lang w:val="es-ES_tradnl"/>
        </w:rPr>
        <w:t xml:space="preserve">, </w:t>
      </w:r>
      <w:r>
        <w:rPr>
          <w:b/>
          <w:bCs/>
          <w:spacing w:val="-2"/>
          <w:sz w:val="18"/>
          <w:szCs w:val="18"/>
          <w:lang w:val="es-ES_tradnl"/>
        </w:rPr>
        <w:t xml:space="preserve">l </w:t>
      </w:r>
      <w:r>
        <w:rPr>
          <w:spacing w:val="-2"/>
          <w:sz w:val="18"/>
          <w:szCs w:val="18"/>
          <w:lang w:val="es-ES_tradnl"/>
        </w:rPr>
        <w:t>y m); 77 numerales 1, 12 y 14; 82; 84; 85; 168 </w:t>
      </w:r>
      <w:r>
        <w:rPr>
          <w:spacing w:val="-4"/>
          <w:sz w:val="18"/>
          <w:szCs w:val="18"/>
          <w:lang w:val="es-ES_tradnl"/>
        </w:rPr>
        <w:t>numeral 6; 158; 159; 163; 169; 172; 417; 424; 425; 426; y, 427 de la Constituci</w:t>
      </w:r>
      <w:r>
        <w:rPr>
          <w:rFonts w:cs="Times New Roman"/>
          <w:spacing w:val="-4"/>
          <w:sz w:val="18"/>
          <w:szCs w:val="18"/>
          <w:lang w:val="es-ES_tradnl"/>
        </w:rPr>
        <w:t>ó</w:t>
      </w:r>
      <w:r>
        <w:rPr>
          <w:spacing w:val="-4"/>
          <w:sz w:val="18"/>
          <w:szCs w:val="18"/>
          <w:lang w:val="es-ES_tradnl"/>
        </w:rPr>
        <w:t>n de la Rep</w:t>
      </w:r>
      <w:r>
        <w:rPr>
          <w:rFonts w:cs="Times New Roman"/>
          <w:spacing w:val="-4"/>
          <w:sz w:val="18"/>
          <w:szCs w:val="18"/>
          <w:lang w:val="es-ES_tradnl"/>
        </w:rPr>
        <w:t>ú</w:t>
      </w:r>
      <w:r>
        <w:rPr>
          <w:spacing w:val="-4"/>
          <w:sz w:val="18"/>
          <w:szCs w:val="18"/>
          <w:lang w:val="es-ES_tradnl"/>
        </w:rPr>
        <w:t>blica, as</w:t>
      </w:r>
      <w:r>
        <w:rPr>
          <w:rFonts w:cs="Times New Roman"/>
          <w:spacing w:val="-4"/>
          <w:sz w:val="18"/>
          <w:szCs w:val="18"/>
          <w:lang w:val="es-ES_tradnl"/>
        </w:rPr>
        <w:t>í</w:t>
      </w:r>
      <w:r>
        <w:rPr>
          <w:spacing w:val="-4"/>
          <w:sz w:val="18"/>
          <w:szCs w:val="18"/>
          <w:lang w:val="es-ES_tradnl"/>
        </w:rPr>
        <w:t xml:space="preserve"> como los </w:t>
      </w:r>
      <w:r>
        <w:rPr>
          <w:spacing w:val="-2"/>
          <w:sz w:val="18"/>
          <w:szCs w:val="18"/>
          <w:lang w:val="es-ES_tradnl"/>
        </w:rPr>
        <w:t>art</w:t>
      </w:r>
      <w:r>
        <w:rPr>
          <w:rFonts w:cs="Times New Roman"/>
          <w:spacing w:val="-2"/>
          <w:sz w:val="18"/>
          <w:szCs w:val="18"/>
          <w:lang w:val="es-ES_tradnl"/>
        </w:rPr>
        <w:t>í</w:t>
      </w:r>
      <w:r>
        <w:rPr>
          <w:spacing w:val="-2"/>
          <w:sz w:val="18"/>
          <w:szCs w:val="18"/>
          <w:lang w:val="es-ES_tradnl"/>
        </w:rPr>
        <w:t>culos 96; 98; 100; 101; 102 y 103 del C</w:t>
      </w:r>
      <w:r>
        <w:rPr>
          <w:rFonts w:cs="Times New Roman"/>
          <w:spacing w:val="-2"/>
          <w:sz w:val="18"/>
          <w:szCs w:val="18"/>
          <w:lang w:val="es-ES_tradnl"/>
        </w:rPr>
        <w:t>ó</w:t>
      </w:r>
      <w:r>
        <w:rPr>
          <w:spacing w:val="-2"/>
          <w:sz w:val="18"/>
          <w:szCs w:val="18"/>
          <w:lang w:val="es-ES_tradnl"/>
        </w:rPr>
        <w:t>digo de la </w:t>
      </w:r>
      <w:r>
        <w:rPr>
          <w:spacing w:val="-3"/>
          <w:sz w:val="18"/>
          <w:szCs w:val="18"/>
          <w:lang w:val="es-ES_tradnl"/>
        </w:rPr>
        <w:t>Ni</w:t>
      </w:r>
      <w:r>
        <w:rPr>
          <w:rFonts w:cs="Times New Roman"/>
          <w:spacing w:val="-3"/>
          <w:sz w:val="18"/>
          <w:szCs w:val="18"/>
          <w:lang w:val="es-ES_tradnl"/>
        </w:rPr>
        <w:t>ñ</w:t>
      </w:r>
      <w:r>
        <w:rPr>
          <w:spacing w:val="-3"/>
          <w:sz w:val="18"/>
          <w:szCs w:val="18"/>
          <w:lang w:val="es-ES_tradnl"/>
        </w:rPr>
        <w:t>ez y Adolescencia; y 344; 346 y 349 del C</w:t>
      </w:r>
      <w:r>
        <w:rPr>
          <w:rFonts w:cs="Times New Roman"/>
          <w:spacing w:val="-3"/>
          <w:sz w:val="18"/>
          <w:szCs w:val="18"/>
          <w:lang w:val="es-ES_tradnl"/>
        </w:rPr>
        <w:t>ó</w:t>
      </w:r>
      <w:r>
        <w:rPr>
          <w:spacing w:val="-3"/>
          <w:sz w:val="18"/>
          <w:szCs w:val="18"/>
          <w:lang w:val="es-ES_tradnl"/>
        </w:rPr>
        <w:t>digo de </w:t>
      </w:r>
      <w:r>
        <w:rPr>
          <w:sz w:val="18"/>
          <w:szCs w:val="18"/>
          <w:lang w:val="es-ES_tradnl"/>
        </w:rPr>
        <w:t>Procedimiento Civil.</w:t>
      </w:r>
    </w:p>
    <w:p w14:paraId="4F67AEB2" w14:textId="77777777" w:rsidR="00591D54" w:rsidRDefault="00591D54">
      <w:pPr>
        <w:shd w:val="clear" w:color="auto" w:fill="FFFFFF"/>
        <w:spacing w:before="197"/>
      </w:pPr>
      <w:r>
        <w:rPr>
          <w:b/>
          <w:bCs/>
          <w:spacing w:val="-9"/>
          <w:sz w:val="18"/>
          <w:szCs w:val="18"/>
          <w:lang w:val="es-ES_tradnl"/>
        </w:rPr>
        <w:t>Pretensi</w:t>
      </w:r>
      <w:r>
        <w:rPr>
          <w:rFonts w:cs="Times New Roman"/>
          <w:b/>
          <w:bCs/>
          <w:spacing w:val="-9"/>
          <w:sz w:val="18"/>
          <w:szCs w:val="18"/>
          <w:lang w:val="es-ES_tradnl"/>
        </w:rPr>
        <w:t>ó</w:t>
      </w:r>
      <w:r>
        <w:rPr>
          <w:b/>
          <w:bCs/>
          <w:spacing w:val="-9"/>
          <w:sz w:val="18"/>
          <w:szCs w:val="18"/>
          <w:lang w:val="es-ES_tradnl"/>
        </w:rPr>
        <w:t>n concreta</w:t>
      </w:r>
    </w:p>
    <w:p w14:paraId="4F67AEB3" w14:textId="77777777" w:rsidR="00591D54" w:rsidRDefault="00591D54">
      <w:pPr>
        <w:shd w:val="clear" w:color="auto" w:fill="FFFFFF"/>
        <w:spacing w:before="197" w:line="216" w:lineRule="exact"/>
        <w:ind w:right="5"/>
        <w:jc w:val="both"/>
      </w:pPr>
      <w:r>
        <w:rPr>
          <w:spacing w:val="-3"/>
          <w:sz w:val="18"/>
          <w:szCs w:val="18"/>
          <w:lang w:val="es-ES_tradnl"/>
        </w:rPr>
        <w:t xml:space="preserve">Los accionantes solicitan que la Corte Constitucional </w:t>
      </w:r>
      <w:r>
        <w:rPr>
          <w:spacing w:val="-4"/>
          <w:sz w:val="18"/>
          <w:szCs w:val="18"/>
          <w:lang w:val="es-ES_tradnl"/>
        </w:rPr>
        <w:t>declare la violaci</w:t>
      </w:r>
      <w:r>
        <w:rPr>
          <w:rFonts w:cs="Times New Roman"/>
          <w:spacing w:val="-4"/>
          <w:sz w:val="18"/>
          <w:szCs w:val="18"/>
          <w:lang w:val="es-ES_tradnl"/>
        </w:rPr>
        <w:t>ó</w:t>
      </w:r>
      <w:r>
        <w:rPr>
          <w:spacing w:val="-4"/>
          <w:sz w:val="18"/>
          <w:szCs w:val="18"/>
          <w:lang w:val="es-ES_tradnl"/>
        </w:rPr>
        <w:t xml:space="preserve">n de los derechos que han invocado, </w:t>
      </w:r>
      <w:r>
        <w:rPr>
          <w:spacing w:val="-7"/>
          <w:sz w:val="18"/>
          <w:szCs w:val="18"/>
          <w:lang w:val="es-ES_tradnl"/>
        </w:rPr>
        <w:t>que se ordene la reparaci</w:t>
      </w:r>
      <w:r>
        <w:rPr>
          <w:rFonts w:cs="Times New Roman"/>
          <w:spacing w:val="-7"/>
          <w:sz w:val="18"/>
          <w:szCs w:val="18"/>
          <w:lang w:val="es-ES_tradnl"/>
        </w:rPr>
        <w:t>ó</w:t>
      </w:r>
      <w:r>
        <w:rPr>
          <w:spacing w:val="-7"/>
          <w:sz w:val="18"/>
          <w:szCs w:val="18"/>
          <w:lang w:val="es-ES_tradnl"/>
        </w:rPr>
        <w:t xml:space="preserve">n integral de sus derechos, se </w:t>
      </w:r>
      <w:r>
        <w:rPr>
          <w:spacing w:val="-10"/>
          <w:sz w:val="18"/>
          <w:szCs w:val="18"/>
          <w:lang w:val="es-ES_tradnl"/>
        </w:rPr>
        <w:t xml:space="preserve">revoquen las medidas dispuestas en su contra y se sancione </w:t>
      </w:r>
      <w:r>
        <w:rPr>
          <w:spacing w:val="-6"/>
          <w:sz w:val="18"/>
          <w:szCs w:val="18"/>
          <w:lang w:val="es-ES_tradnl"/>
        </w:rPr>
        <w:t>a los jueces de primera y segunda instancia que han sustanciado el juicio de alimentos seguido en su contra.</w:t>
      </w:r>
    </w:p>
    <w:p w14:paraId="4F67AEB4" w14:textId="77777777" w:rsidR="00591D54" w:rsidRDefault="00591D54">
      <w:pPr>
        <w:shd w:val="clear" w:color="auto" w:fill="FFFFFF"/>
        <w:spacing w:before="197"/>
      </w:pPr>
      <w:r>
        <w:rPr>
          <w:b/>
          <w:bCs/>
          <w:spacing w:val="-8"/>
          <w:sz w:val="18"/>
          <w:szCs w:val="18"/>
          <w:lang w:val="es-ES_tradnl"/>
        </w:rPr>
        <w:t>Informe de los jueces accionados y tercera interesada</w:t>
      </w:r>
    </w:p>
    <w:p w14:paraId="4F67AEB5" w14:textId="77777777" w:rsidR="00591D54" w:rsidRDefault="00591D54">
      <w:pPr>
        <w:shd w:val="clear" w:color="auto" w:fill="FFFFFF"/>
        <w:spacing w:before="202" w:line="216" w:lineRule="exact"/>
        <w:ind w:right="5"/>
        <w:jc w:val="both"/>
      </w:pPr>
      <w:r>
        <w:rPr>
          <w:spacing w:val="-6"/>
          <w:sz w:val="18"/>
          <w:szCs w:val="18"/>
          <w:lang w:val="es-ES_tradnl"/>
        </w:rPr>
        <w:t xml:space="preserve">Mediante auto del 17 de julio de 2013 a las 08h40, el juez </w:t>
      </w:r>
      <w:r>
        <w:rPr>
          <w:spacing w:val="-3"/>
          <w:sz w:val="18"/>
          <w:szCs w:val="18"/>
          <w:lang w:val="es-ES_tradnl"/>
        </w:rPr>
        <w:t xml:space="preserve">constitucional sustanciador dispuso que se notifique a </w:t>
      </w:r>
      <w:r>
        <w:rPr>
          <w:spacing w:val="-4"/>
          <w:sz w:val="18"/>
          <w:szCs w:val="18"/>
          <w:lang w:val="es-ES_tradnl"/>
        </w:rPr>
        <w:t xml:space="preserve">los accionados, jueces de la Sala de lo Civil, Mercantil, </w:t>
      </w:r>
      <w:r>
        <w:rPr>
          <w:spacing w:val="-2"/>
          <w:sz w:val="18"/>
          <w:szCs w:val="18"/>
          <w:lang w:val="es-ES_tradnl"/>
        </w:rPr>
        <w:t>Inquilinato, Laboral, Materias Residuales, Ni</w:t>
      </w:r>
      <w:r>
        <w:rPr>
          <w:rFonts w:cs="Times New Roman"/>
          <w:spacing w:val="-2"/>
          <w:sz w:val="18"/>
          <w:szCs w:val="18"/>
          <w:lang w:val="es-ES_tradnl"/>
        </w:rPr>
        <w:t>ñ</w:t>
      </w:r>
      <w:r>
        <w:rPr>
          <w:spacing w:val="-2"/>
          <w:sz w:val="18"/>
          <w:szCs w:val="18"/>
          <w:lang w:val="es-ES_tradnl"/>
        </w:rPr>
        <w:t xml:space="preserve">ez y </w:t>
      </w:r>
      <w:r>
        <w:rPr>
          <w:spacing w:val="-6"/>
          <w:sz w:val="18"/>
          <w:szCs w:val="18"/>
          <w:lang w:val="es-ES_tradnl"/>
        </w:rPr>
        <w:t xml:space="preserve">Adolescencia de la Corte Provincial de Justicia de El Oro, </w:t>
      </w:r>
      <w:r>
        <w:rPr>
          <w:spacing w:val="-3"/>
          <w:sz w:val="18"/>
          <w:szCs w:val="18"/>
          <w:lang w:val="es-ES_tradnl"/>
        </w:rPr>
        <w:t xml:space="preserve">a fin de que emitan su informe debidamente motivado </w:t>
      </w:r>
      <w:r>
        <w:rPr>
          <w:spacing w:val="-5"/>
          <w:sz w:val="18"/>
          <w:szCs w:val="18"/>
          <w:lang w:val="es-ES_tradnl"/>
        </w:rPr>
        <w:t>sobre los fundamentos de la acci</w:t>
      </w:r>
      <w:r>
        <w:rPr>
          <w:rFonts w:cs="Times New Roman"/>
          <w:spacing w:val="-5"/>
          <w:sz w:val="18"/>
          <w:szCs w:val="18"/>
          <w:lang w:val="es-ES_tradnl"/>
        </w:rPr>
        <w:t>ó</w:t>
      </w:r>
      <w:r>
        <w:rPr>
          <w:spacing w:val="-5"/>
          <w:sz w:val="18"/>
          <w:szCs w:val="18"/>
          <w:lang w:val="es-ES_tradnl"/>
        </w:rPr>
        <w:t xml:space="preserve">n extraordinaria de </w:t>
      </w:r>
      <w:r>
        <w:rPr>
          <w:spacing w:val="-6"/>
          <w:sz w:val="18"/>
          <w:szCs w:val="18"/>
          <w:lang w:val="es-ES_tradnl"/>
        </w:rPr>
        <w:t>protecci</w:t>
      </w:r>
      <w:r>
        <w:rPr>
          <w:rFonts w:cs="Times New Roman"/>
          <w:spacing w:val="-6"/>
          <w:sz w:val="18"/>
          <w:szCs w:val="18"/>
          <w:lang w:val="es-ES_tradnl"/>
        </w:rPr>
        <w:t>ó</w:t>
      </w:r>
      <w:r>
        <w:rPr>
          <w:spacing w:val="-6"/>
          <w:sz w:val="18"/>
          <w:szCs w:val="18"/>
          <w:lang w:val="es-ES_tradnl"/>
        </w:rPr>
        <w:t>n deducida, as</w:t>
      </w:r>
      <w:r>
        <w:rPr>
          <w:rFonts w:cs="Times New Roman"/>
          <w:spacing w:val="-6"/>
          <w:sz w:val="18"/>
          <w:szCs w:val="18"/>
          <w:lang w:val="es-ES_tradnl"/>
        </w:rPr>
        <w:t>í</w:t>
      </w:r>
      <w:r>
        <w:rPr>
          <w:spacing w:val="-6"/>
          <w:sz w:val="18"/>
          <w:szCs w:val="18"/>
          <w:lang w:val="es-ES_tradnl"/>
        </w:rPr>
        <w:t xml:space="preserve"> como a la se</w:t>
      </w:r>
      <w:r>
        <w:rPr>
          <w:rFonts w:cs="Times New Roman"/>
          <w:spacing w:val="-6"/>
          <w:sz w:val="18"/>
          <w:szCs w:val="18"/>
          <w:lang w:val="es-ES_tradnl"/>
        </w:rPr>
        <w:t>ñ</w:t>
      </w:r>
      <w:r>
        <w:rPr>
          <w:spacing w:val="-6"/>
          <w:sz w:val="18"/>
          <w:szCs w:val="18"/>
          <w:lang w:val="es-ES_tradnl"/>
        </w:rPr>
        <w:t>ora Mireya Mu</w:t>
      </w:r>
      <w:r>
        <w:rPr>
          <w:rFonts w:cs="Times New Roman"/>
          <w:spacing w:val="-6"/>
          <w:sz w:val="18"/>
          <w:szCs w:val="18"/>
          <w:lang w:val="es-ES_tradnl"/>
        </w:rPr>
        <w:t>ñ</w:t>
      </w:r>
      <w:r>
        <w:rPr>
          <w:spacing w:val="-6"/>
          <w:sz w:val="18"/>
          <w:szCs w:val="18"/>
          <w:lang w:val="es-ES_tradnl"/>
        </w:rPr>
        <w:t>oz Blacio, tercera interesada, para que pueda exponer sus alegaciones respecto de la presente acci</w:t>
      </w:r>
      <w:r>
        <w:rPr>
          <w:rFonts w:cs="Times New Roman"/>
          <w:spacing w:val="-6"/>
          <w:sz w:val="18"/>
          <w:szCs w:val="18"/>
          <w:lang w:val="es-ES_tradnl"/>
        </w:rPr>
        <w:t>ó</w:t>
      </w:r>
      <w:r>
        <w:rPr>
          <w:spacing w:val="-6"/>
          <w:sz w:val="18"/>
          <w:szCs w:val="18"/>
          <w:lang w:val="es-ES_tradnl"/>
        </w:rPr>
        <w:t xml:space="preserve">n, sin que los </w:t>
      </w:r>
      <w:r>
        <w:rPr>
          <w:spacing w:val="-7"/>
          <w:sz w:val="18"/>
          <w:szCs w:val="18"/>
          <w:lang w:val="es-ES_tradnl"/>
        </w:rPr>
        <w:t>jueces requeridos hayan emitido pronunciamiento alguno, pese a haber sido legal y oportunamente notificados.</w:t>
      </w:r>
    </w:p>
    <w:p w14:paraId="4F67AEB6" w14:textId="77777777" w:rsidR="00591D54" w:rsidRDefault="00591D54">
      <w:pPr>
        <w:shd w:val="clear" w:color="auto" w:fill="FFFFFF"/>
        <w:spacing w:before="197" w:line="216" w:lineRule="exact"/>
        <w:ind w:right="5"/>
        <w:jc w:val="both"/>
      </w:pPr>
      <w:r>
        <w:rPr>
          <w:sz w:val="18"/>
          <w:szCs w:val="18"/>
          <w:lang w:val="es-ES_tradnl"/>
        </w:rPr>
        <w:t>Por su parte, la tercera interesada, Mireya Mu</w:t>
      </w:r>
      <w:r>
        <w:rPr>
          <w:rFonts w:cs="Times New Roman"/>
          <w:sz w:val="18"/>
          <w:szCs w:val="18"/>
          <w:lang w:val="es-ES_tradnl"/>
        </w:rPr>
        <w:t>ñ</w:t>
      </w:r>
      <w:r>
        <w:rPr>
          <w:sz w:val="18"/>
          <w:szCs w:val="18"/>
          <w:lang w:val="es-ES_tradnl"/>
        </w:rPr>
        <w:t xml:space="preserve">oz </w:t>
      </w:r>
      <w:r>
        <w:rPr>
          <w:spacing w:val="-4"/>
          <w:sz w:val="18"/>
          <w:szCs w:val="18"/>
          <w:lang w:val="es-ES_tradnl"/>
        </w:rPr>
        <w:t xml:space="preserve">Blacio, mediante escrito que obra a fojas 95, se limita a </w:t>
      </w:r>
      <w:r>
        <w:rPr>
          <w:spacing w:val="-3"/>
          <w:sz w:val="18"/>
          <w:szCs w:val="18"/>
          <w:lang w:val="es-ES_tradnl"/>
        </w:rPr>
        <w:t>se</w:t>
      </w:r>
      <w:r>
        <w:rPr>
          <w:rFonts w:cs="Times New Roman"/>
          <w:spacing w:val="-3"/>
          <w:sz w:val="18"/>
          <w:szCs w:val="18"/>
          <w:lang w:val="es-ES_tradnl"/>
        </w:rPr>
        <w:t>ñ</w:t>
      </w:r>
      <w:r>
        <w:rPr>
          <w:spacing w:val="-3"/>
          <w:sz w:val="18"/>
          <w:szCs w:val="18"/>
          <w:lang w:val="es-ES_tradnl"/>
        </w:rPr>
        <w:t>alar casilla judicial y correo electr</w:t>
      </w:r>
      <w:r>
        <w:rPr>
          <w:rFonts w:cs="Times New Roman"/>
          <w:spacing w:val="-3"/>
          <w:sz w:val="18"/>
          <w:szCs w:val="18"/>
          <w:lang w:val="es-ES_tradnl"/>
        </w:rPr>
        <w:t>ó</w:t>
      </w:r>
      <w:r>
        <w:rPr>
          <w:spacing w:val="-3"/>
          <w:sz w:val="18"/>
          <w:szCs w:val="18"/>
          <w:lang w:val="es-ES_tradnl"/>
        </w:rPr>
        <w:t xml:space="preserve">nico para recibir </w:t>
      </w:r>
      <w:r>
        <w:rPr>
          <w:spacing w:val="-6"/>
          <w:sz w:val="18"/>
          <w:szCs w:val="18"/>
          <w:lang w:val="es-ES_tradnl"/>
        </w:rPr>
        <w:t xml:space="preserve">notificaciones, sin emitir pronunciamiento alguno sobre la </w:t>
      </w:r>
      <w:r>
        <w:rPr>
          <w:sz w:val="18"/>
          <w:szCs w:val="18"/>
          <w:lang w:val="es-ES_tradnl"/>
        </w:rPr>
        <w:t>presente acci</w:t>
      </w:r>
      <w:r>
        <w:rPr>
          <w:rFonts w:cs="Times New Roman"/>
          <w:sz w:val="18"/>
          <w:szCs w:val="18"/>
          <w:lang w:val="es-ES_tradnl"/>
        </w:rPr>
        <w:t>ó</w:t>
      </w:r>
      <w:r>
        <w:rPr>
          <w:sz w:val="18"/>
          <w:szCs w:val="18"/>
          <w:lang w:val="es-ES_tradnl"/>
        </w:rPr>
        <w:t>n constitucional.</w:t>
      </w:r>
    </w:p>
    <w:p w14:paraId="4F67AEB7" w14:textId="77777777" w:rsidR="00591D54" w:rsidRDefault="00591D54">
      <w:pPr>
        <w:shd w:val="clear" w:color="auto" w:fill="FFFFFF"/>
        <w:spacing w:before="197" w:line="216" w:lineRule="exact"/>
        <w:ind w:right="5"/>
        <w:jc w:val="both"/>
        <w:sectPr w:rsidR="00591D54">
          <w:type w:val="continuous"/>
          <w:pgSz w:w="11909" w:h="16834"/>
          <w:pgMar w:top="1366" w:right="1304" w:bottom="360" w:left="1308" w:header="720" w:footer="720" w:gutter="0"/>
          <w:cols w:num="2" w:space="720" w:equalWidth="0">
            <w:col w:w="4305" w:space="682"/>
            <w:col w:w="4310"/>
          </w:cols>
          <w:noEndnote/>
        </w:sectPr>
      </w:pPr>
    </w:p>
    <w:p w14:paraId="4F67AEB8" w14:textId="77777777" w:rsidR="00591D54" w:rsidRDefault="00591D54">
      <w:pPr>
        <w:shd w:val="clear" w:color="auto" w:fill="FFFFFF"/>
        <w:tabs>
          <w:tab w:val="left" w:pos="5842"/>
        </w:tabs>
        <w:spacing w:after="226"/>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- 137</w:t>
      </w:r>
    </w:p>
    <w:p w14:paraId="4F67AEB9" w14:textId="77777777" w:rsidR="00591D54" w:rsidRDefault="00591D54">
      <w:pPr>
        <w:shd w:val="clear" w:color="auto" w:fill="FFFFFF"/>
        <w:tabs>
          <w:tab w:val="left" w:pos="5842"/>
        </w:tabs>
        <w:spacing w:after="226"/>
        <w:ind w:left="5"/>
        <w:sectPr w:rsidR="00591D54">
          <w:pgSz w:w="11909" w:h="16834"/>
          <w:pgMar w:top="1356" w:right="1309" w:bottom="360" w:left="1308" w:header="720" w:footer="720" w:gutter="0"/>
          <w:cols w:space="60"/>
          <w:noEndnote/>
        </w:sectPr>
      </w:pPr>
    </w:p>
    <w:p w14:paraId="4F67AEBA" w14:textId="77777777" w:rsidR="00591D54" w:rsidRDefault="00591D54">
      <w:pPr>
        <w:shd w:val="clear" w:color="auto" w:fill="FFFFFF"/>
        <w:spacing w:line="216" w:lineRule="exact"/>
        <w:ind w:left="686" w:right="326" w:hanging="355"/>
      </w:pPr>
      <w:r>
        <w:rPr>
          <w:b/>
          <w:bCs/>
          <w:spacing w:val="-1"/>
          <w:sz w:val="18"/>
          <w:szCs w:val="18"/>
          <w:lang w:val="es-ES_tradnl"/>
        </w:rPr>
        <w:t xml:space="preserve">II. CONSIDERACIONES Y FUNDAMENTOS </w:t>
      </w:r>
      <w:r>
        <w:rPr>
          <w:b/>
          <w:bCs/>
          <w:sz w:val="18"/>
          <w:szCs w:val="18"/>
          <w:lang w:val="es-ES_tradnl"/>
        </w:rPr>
        <w:t>DE LA CORTE CONSTITUCIONAL</w:t>
      </w:r>
    </w:p>
    <w:p w14:paraId="4F67AEBB" w14:textId="77777777" w:rsidR="00591D54" w:rsidRDefault="00591D54">
      <w:pPr>
        <w:shd w:val="clear" w:color="auto" w:fill="FFFFFF"/>
        <w:spacing w:before="192"/>
      </w:pPr>
      <w:r>
        <w:rPr>
          <w:b/>
          <w:bCs/>
          <w:spacing w:val="-11"/>
          <w:sz w:val="18"/>
          <w:szCs w:val="18"/>
          <w:lang w:val="es-ES_tradnl"/>
        </w:rPr>
        <w:t>Competencia</w:t>
      </w:r>
    </w:p>
    <w:p w14:paraId="4F67AEBC" w14:textId="77777777" w:rsidR="00591D54" w:rsidRDefault="00591D54">
      <w:pPr>
        <w:shd w:val="clear" w:color="auto" w:fill="FFFFFF"/>
        <w:spacing w:before="192" w:line="216" w:lineRule="exact"/>
        <w:jc w:val="both"/>
      </w:pPr>
      <w:r>
        <w:rPr>
          <w:spacing w:val="-6"/>
          <w:sz w:val="18"/>
          <w:szCs w:val="18"/>
          <w:lang w:val="es-ES_tradnl"/>
        </w:rPr>
        <w:t xml:space="preserve">La Corte Constitucional es competente para conocer y </w:t>
      </w:r>
      <w:r>
        <w:rPr>
          <w:spacing w:val="-7"/>
          <w:sz w:val="18"/>
          <w:szCs w:val="18"/>
          <w:lang w:val="es-ES_tradnl"/>
        </w:rPr>
        <w:t xml:space="preserve">resolver la presente causa, de conformidad con lo previsto </w:t>
      </w:r>
      <w:r>
        <w:rPr>
          <w:spacing w:val="-5"/>
          <w:sz w:val="18"/>
          <w:szCs w:val="18"/>
          <w:lang w:val="es-ES_tradnl"/>
        </w:rPr>
        <w:t>en los art</w:t>
      </w:r>
      <w:r>
        <w:rPr>
          <w:rFonts w:cs="Times New Roman"/>
          <w:spacing w:val="-5"/>
          <w:sz w:val="18"/>
          <w:szCs w:val="18"/>
          <w:lang w:val="es-ES_tradnl"/>
        </w:rPr>
        <w:t>í</w:t>
      </w:r>
      <w:r>
        <w:rPr>
          <w:spacing w:val="-5"/>
          <w:sz w:val="18"/>
          <w:szCs w:val="18"/>
          <w:lang w:val="es-ES_tradnl"/>
        </w:rPr>
        <w:t>culos 94, 429 y 437 de la Constituci</w:t>
      </w:r>
      <w:r>
        <w:rPr>
          <w:rFonts w:cs="Times New Roman"/>
          <w:spacing w:val="-5"/>
          <w:sz w:val="18"/>
          <w:szCs w:val="18"/>
          <w:lang w:val="es-ES_tradnl"/>
        </w:rPr>
        <w:t>ó</w:t>
      </w:r>
      <w:r>
        <w:rPr>
          <w:spacing w:val="-5"/>
          <w:sz w:val="18"/>
          <w:szCs w:val="18"/>
          <w:lang w:val="es-ES_tradnl"/>
        </w:rPr>
        <w:t xml:space="preserve">n de la </w:t>
      </w:r>
      <w:r>
        <w:rPr>
          <w:spacing w:val="-6"/>
          <w:sz w:val="18"/>
          <w:szCs w:val="18"/>
          <w:lang w:val="es-ES_tradnl"/>
        </w:rPr>
        <w:t>Rep</w:t>
      </w:r>
      <w:r>
        <w:rPr>
          <w:rFonts w:cs="Times New Roman"/>
          <w:spacing w:val="-6"/>
          <w:sz w:val="18"/>
          <w:szCs w:val="18"/>
          <w:lang w:val="es-ES_tradnl"/>
        </w:rPr>
        <w:t>ú</w:t>
      </w:r>
      <w:r>
        <w:rPr>
          <w:spacing w:val="-6"/>
          <w:sz w:val="18"/>
          <w:szCs w:val="18"/>
          <w:lang w:val="es-ES_tradnl"/>
        </w:rPr>
        <w:t>blica en concordancia con el art</w:t>
      </w:r>
      <w:r>
        <w:rPr>
          <w:rFonts w:cs="Times New Roman"/>
          <w:spacing w:val="-6"/>
          <w:sz w:val="18"/>
          <w:szCs w:val="18"/>
          <w:lang w:val="es-ES_tradnl"/>
        </w:rPr>
        <w:t>í</w:t>
      </w:r>
      <w:r>
        <w:rPr>
          <w:spacing w:val="-6"/>
          <w:sz w:val="18"/>
          <w:szCs w:val="18"/>
          <w:lang w:val="es-ES_tradnl"/>
        </w:rPr>
        <w:t xml:space="preserve">culo 191 numeral 2 </w:t>
      </w:r>
      <w:r>
        <w:rPr>
          <w:spacing w:val="-8"/>
          <w:sz w:val="18"/>
          <w:szCs w:val="18"/>
          <w:lang w:val="es-ES_tradnl"/>
        </w:rPr>
        <w:t xml:space="preserve">literal </w:t>
      </w:r>
      <w:r>
        <w:rPr>
          <w:b/>
          <w:bCs/>
          <w:spacing w:val="-8"/>
          <w:sz w:val="18"/>
          <w:szCs w:val="18"/>
          <w:lang w:val="es-ES_tradnl"/>
        </w:rPr>
        <w:t xml:space="preserve">d </w:t>
      </w:r>
      <w:r>
        <w:rPr>
          <w:spacing w:val="-8"/>
          <w:sz w:val="18"/>
          <w:szCs w:val="18"/>
          <w:lang w:val="es-ES_tradnl"/>
        </w:rPr>
        <w:t>de la Ley Org</w:t>
      </w:r>
      <w:r>
        <w:rPr>
          <w:rFonts w:cs="Times New Roman"/>
          <w:spacing w:val="-8"/>
          <w:sz w:val="18"/>
          <w:szCs w:val="18"/>
          <w:lang w:val="es-ES_tradnl"/>
        </w:rPr>
        <w:t>á</w:t>
      </w:r>
      <w:r>
        <w:rPr>
          <w:spacing w:val="-8"/>
          <w:sz w:val="18"/>
          <w:szCs w:val="18"/>
          <w:lang w:val="es-ES_tradnl"/>
        </w:rPr>
        <w:t>nica de Garant</w:t>
      </w:r>
      <w:r>
        <w:rPr>
          <w:rFonts w:cs="Times New Roman"/>
          <w:spacing w:val="-8"/>
          <w:sz w:val="18"/>
          <w:szCs w:val="18"/>
          <w:lang w:val="es-ES_tradnl"/>
        </w:rPr>
        <w:t>í</w:t>
      </w:r>
      <w:r>
        <w:rPr>
          <w:spacing w:val="-8"/>
          <w:sz w:val="18"/>
          <w:szCs w:val="18"/>
          <w:lang w:val="es-ES_tradnl"/>
        </w:rPr>
        <w:t xml:space="preserve">as Jurisdiccionales y </w:t>
      </w:r>
      <w:r>
        <w:rPr>
          <w:spacing w:val="-5"/>
          <w:sz w:val="18"/>
          <w:szCs w:val="18"/>
          <w:lang w:val="es-ES_tradnl"/>
        </w:rPr>
        <w:t>Control Constitucional, y art</w:t>
      </w:r>
      <w:r>
        <w:rPr>
          <w:rFonts w:cs="Times New Roman"/>
          <w:spacing w:val="-5"/>
          <w:sz w:val="18"/>
          <w:szCs w:val="18"/>
          <w:lang w:val="es-ES_tradnl"/>
        </w:rPr>
        <w:t>í</w:t>
      </w:r>
      <w:r>
        <w:rPr>
          <w:spacing w:val="-5"/>
          <w:sz w:val="18"/>
          <w:szCs w:val="18"/>
          <w:lang w:val="es-ES_tradnl"/>
        </w:rPr>
        <w:t xml:space="preserve">culo 3 numeral 8 literal </w:t>
      </w:r>
      <w:r>
        <w:rPr>
          <w:b/>
          <w:bCs/>
          <w:spacing w:val="-5"/>
          <w:sz w:val="18"/>
          <w:szCs w:val="18"/>
          <w:lang w:val="es-ES_tradnl"/>
        </w:rPr>
        <w:t xml:space="preserve">b </w:t>
      </w:r>
      <w:r>
        <w:rPr>
          <w:spacing w:val="-5"/>
          <w:sz w:val="18"/>
          <w:szCs w:val="18"/>
          <w:lang w:val="es-ES_tradnl"/>
        </w:rPr>
        <w:t xml:space="preserve">del </w:t>
      </w:r>
      <w:r>
        <w:rPr>
          <w:spacing w:val="-10"/>
          <w:sz w:val="18"/>
          <w:szCs w:val="18"/>
          <w:lang w:val="es-ES_tradnl"/>
        </w:rPr>
        <w:t>Reglamento de Sustanciaci</w:t>
      </w:r>
      <w:r>
        <w:rPr>
          <w:rFonts w:cs="Times New Roman"/>
          <w:spacing w:val="-10"/>
          <w:sz w:val="18"/>
          <w:szCs w:val="18"/>
          <w:lang w:val="es-ES_tradnl"/>
        </w:rPr>
        <w:t>ó</w:t>
      </w:r>
      <w:r>
        <w:rPr>
          <w:spacing w:val="-10"/>
          <w:sz w:val="18"/>
          <w:szCs w:val="18"/>
          <w:lang w:val="es-ES_tradnl"/>
        </w:rPr>
        <w:t xml:space="preserve">n de Procesos de Competencia </w:t>
      </w:r>
      <w:r>
        <w:rPr>
          <w:sz w:val="18"/>
          <w:szCs w:val="18"/>
          <w:lang w:val="es-ES_tradnl"/>
        </w:rPr>
        <w:t>de la Corte Constitucional.</w:t>
      </w:r>
    </w:p>
    <w:p w14:paraId="4F67AEBD" w14:textId="77777777" w:rsidR="00591D54" w:rsidRDefault="00591D54">
      <w:pPr>
        <w:shd w:val="clear" w:color="auto" w:fill="FFFFFF"/>
        <w:spacing w:before="197" w:line="216" w:lineRule="exact"/>
        <w:jc w:val="both"/>
      </w:pPr>
      <w:r>
        <w:rPr>
          <w:spacing w:val="-7"/>
          <w:sz w:val="18"/>
          <w:szCs w:val="18"/>
          <w:lang w:val="es-ES_tradnl"/>
        </w:rPr>
        <w:t xml:space="preserve">El proceso ha sido sustanciado conforme las normas constitucionales y legales pertinentes, sin que se advierta </w:t>
      </w:r>
      <w:r>
        <w:rPr>
          <w:spacing w:val="-8"/>
          <w:sz w:val="18"/>
          <w:szCs w:val="18"/>
          <w:lang w:val="es-ES_tradnl"/>
        </w:rPr>
        <w:t>omisi</w:t>
      </w:r>
      <w:r>
        <w:rPr>
          <w:rFonts w:cs="Times New Roman"/>
          <w:spacing w:val="-8"/>
          <w:sz w:val="18"/>
          <w:szCs w:val="18"/>
          <w:lang w:val="es-ES_tradnl"/>
        </w:rPr>
        <w:t>ó</w:t>
      </w:r>
      <w:r>
        <w:rPr>
          <w:spacing w:val="-8"/>
          <w:sz w:val="18"/>
          <w:szCs w:val="18"/>
          <w:lang w:val="es-ES_tradnl"/>
        </w:rPr>
        <w:t>n que pueda infl uir en la decisi</w:t>
      </w:r>
      <w:r>
        <w:rPr>
          <w:rFonts w:cs="Times New Roman"/>
          <w:spacing w:val="-8"/>
          <w:sz w:val="18"/>
          <w:szCs w:val="18"/>
          <w:lang w:val="es-ES_tradnl"/>
        </w:rPr>
        <w:t>ó</w:t>
      </w:r>
      <w:r>
        <w:rPr>
          <w:spacing w:val="-8"/>
          <w:sz w:val="18"/>
          <w:szCs w:val="18"/>
          <w:lang w:val="es-ES_tradnl"/>
        </w:rPr>
        <w:t xml:space="preserve">n de la causa, por lo </w:t>
      </w:r>
      <w:r>
        <w:rPr>
          <w:sz w:val="18"/>
          <w:szCs w:val="18"/>
          <w:lang w:val="es-ES_tradnl"/>
        </w:rPr>
        <w:t>cual se declara su validez.</w:t>
      </w:r>
    </w:p>
    <w:p w14:paraId="4F67AEBE" w14:textId="77777777" w:rsidR="00591D54" w:rsidRDefault="00591D54">
      <w:pPr>
        <w:shd w:val="clear" w:color="auto" w:fill="FFFFFF"/>
        <w:spacing w:before="192"/>
      </w:pPr>
      <w:r>
        <w:rPr>
          <w:b/>
          <w:bCs/>
          <w:spacing w:val="-8"/>
          <w:sz w:val="18"/>
          <w:szCs w:val="18"/>
          <w:lang w:val="es-ES_tradnl"/>
        </w:rPr>
        <w:t>Objeto de la acci</w:t>
      </w:r>
      <w:r>
        <w:rPr>
          <w:rFonts w:cs="Times New Roman"/>
          <w:b/>
          <w:bCs/>
          <w:spacing w:val="-8"/>
          <w:sz w:val="18"/>
          <w:szCs w:val="18"/>
          <w:lang w:val="es-ES_tradnl"/>
        </w:rPr>
        <w:t>ó</w:t>
      </w:r>
      <w:r>
        <w:rPr>
          <w:b/>
          <w:bCs/>
          <w:spacing w:val="-8"/>
          <w:sz w:val="18"/>
          <w:szCs w:val="18"/>
          <w:lang w:val="es-ES_tradnl"/>
        </w:rPr>
        <w:t>n extraordinaria de protecci</w:t>
      </w:r>
      <w:r>
        <w:rPr>
          <w:rFonts w:cs="Times New Roman"/>
          <w:b/>
          <w:bCs/>
          <w:spacing w:val="-8"/>
          <w:sz w:val="18"/>
          <w:szCs w:val="18"/>
          <w:lang w:val="es-ES_tradnl"/>
        </w:rPr>
        <w:t>ó</w:t>
      </w:r>
      <w:r>
        <w:rPr>
          <w:b/>
          <w:bCs/>
          <w:spacing w:val="-8"/>
          <w:sz w:val="18"/>
          <w:szCs w:val="18"/>
          <w:lang w:val="es-ES_tradnl"/>
        </w:rPr>
        <w:t>n</w:t>
      </w:r>
    </w:p>
    <w:p w14:paraId="4F67AEBF" w14:textId="77777777" w:rsidR="00591D54" w:rsidRDefault="00591D54">
      <w:pPr>
        <w:shd w:val="clear" w:color="auto" w:fill="FFFFFF"/>
        <w:spacing w:before="192" w:line="216" w:lineRule="exact"/>
        <w:jc w:val="both"/>
      </w:pPr>
      <w:r>
        <w:rPr>
          <w:spacing w:val="-7"/>
          <w:sz w:val="18"/>
          <w:szCs w:val="18"/>
          <w:lang w:val="es-ES_tradnl"/>
        </w:rPr>
        <w:t>El art</w:t>
      </w:r>
      <w:r>
        <w:rPr>
          <w:rFonts w:cs="Times New Roman"/>
          <w:spacing w:val="-7"/>
          <w:sz w:val="18"/>
          <w:szCs w:val="18"/>
          <w:lang w:val="es-ES_tradnl"/>
        </w:rPr>
        <w:t>í</w:t>
      </w:r>
      <w:r>
        <w:rPr>
          <w:spacing w:val="-7"/>
          <w:sz w:val="18"/>
          <w:szCs w:val="18"/>
          <w:lang w:val="es-ES_tradnl"/>
        </w:rPr>
        <w:t>culo 94 de 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 xml:space="preserve">blica establece </w:t>
      </w:r>
      <w:r>
        <w:rPr>
          <w:sz w:val="18"/>
          <w:szCs w:val="18"/>
          <w:lang w:val="es-ES_tradnl"/>
        </w:rPr>
        <w:t>que:</w:t>
      </w:r>
    </w:p>
    <w:p w14:paraId="4F67AEC0" w14:textId="77777777" w:rsidR="00591D54" w:rsidRDefault="00591D54">
      <w:pPr>
        <w:shd w:val="clear" w:color="auto" w:fill="FFFFFF"/>
        <w:spacing w:before="206" w:line="216" w:lineRule="exact"/>
        <w:ind w:left="283"/>
        <w:jc w:val="both"/>
      </w:pPr>
      <w:r>
        <w:rPr>
          <w:sz w:val="14"/>
          <w:szCs w:val="14"/>
          <w:lang w:val="es-ES_tradnl"/>
        </w:rPr>
        <w:t>La acci</w:t>
      </w:r>
      <w:r>
        <w:rPr>
          <w:rFonts w:cs="Times New Roman"/>
          <w:sz w:val="14"/>
          <w:szCs w:val="14"/>
          <w:lang w:val="es-ES_tradnl"/>
        </w:rPr>
        <w:t>ó</w:t>
      </w:r>
      <w:r>
        <w:rPr>
          <w:sz w:val="14"/>
          <w:szCs w:val="14"/>
          <w:lang w:val="es-ES_tradnl"/>
        </w:rPr>
        <w:t>n extraordinaria de protecci</w:t>
      </w:r>
      <w:r>
        <w:rPr>
          <w:rFonts w:cs="Times New Roman"/>
          <w:sz w:val="14"/>
          <w:szCs w:val="14"/>
          <w:lang w:val="es-ES_tradnl"/>
        </w:rPr>
        <w:t>ó</w:t>
      </w:r>
      <w:r>
        <w:rPr>
          <w:sz w:val="14"/>
          <w:szCs w:val="14"/>
          <w:lang w:val="es-ES_tradnl"/>
        </w:rPr>
        <w:t>n proceder</w:t>
      </w:r>
      <w:r>
        <w:rPr>
          <w:rFonts w:cs="Times New Roman"/>
          <w:sz w:val="14"/>
          <w:szCs w:val="14"/>
          <w:lang w:val="es-ES_tradnl"/>
        </w:rPr>
        <w:t>á</w:t>
      </w:r>
      <w:r>
        <w:rPr>
          <w:sz w:val="14"/>
          <w:szCs w:val="14"/>
          <w:lang w:val="es-ES_tradnl"/>
        </w:rPr>
        <w:t xml:space="preserve"> contra sentencias o autos definitivos en los que se hayan violado por acci</w:t>
      </w:r>
      <w:r>
        <w:rPr>
          <w:rFonts w:cs="Times New Roman"/>
          <w:sz w:val="14"/>
          <w:szCs w:val="14"/>
          <w:lang w:val="es-ES_tradnl"/>
        </w:rPr>
        <w:t>ó</w:t>
      </w:r>
      <w:r>
        <w:rPr>
          <w:sz w:val="14"/>
          <w:szCs w:val="14"/>
          <w:lang w:val="es-ES_tradnl"/>
        </w:rPr>
        <w:t>n u omisi</w:t>
      </w:r>
      <w:r>
        <w:rPr>
          <w:rFonts w:cs="Times New Roman"/>
          <w:sz w:val="14"/>
          <w:szCs w:val="14"/>
          <w:lang w:val="es-ES_tradnl"/>
        </w:rPr>
        <w:t>ó</w:t>
      </w:r>
      <w:r>
        <w:rPr>
          <w:sz w:val="14"/>
          <w:szCs w:val="14"/>
          <w:lang w:val="es-ES_tradnl"/>
        </w:rPr>
        <w:t>n derechos reconocidos en la Constituci</w:t>
      </w:r>
      <w:r>
        <w:rPr>
          <w:rFonts w:cs="Times New Roman"/>
          <w:sz w:val="14"/>
          <w:szCs w:val="14"/>
          <w:lang w:val="es-ES_tradnl"/>
        </w:rPr>
        <w:t>ó</w:t>
      </w:r>
      <w:r>
        <w:rPr>
          <w:sz w:val="14"/>
          <w:szCs w:val="14"/>
          <w:lang w:val="es-ES_tradnl"/>
        </w:rPr>
        <w:t>n, y se interpondr</w:t>
      </w:r>
      <w:r>
        <w:rPr>
          <w:rFonts w:cs="Times New Roman"/>
          <w:sz w:val="14"/>
          <w:szCs w:val="14"/>
          <w:lang w:val="es-ES_tradnl"/>
        </w:rPr>
        <w:t>á</w:t>
      </w:r>
      <w:r>
        <w:rPr>
          <w:sz w:val="14"/>
          <w:szCs w:val="14"/>
          <w:lang w:val="es-ES_tradnl"/>
        </w:rPr>
        <w:t xml:space="preserve"> ante la Corte Constitucional. El recurso proceder</w:t>
      </w:r>
      <w:r>
        <w:rPr>
          <w:rFonts w:cs="Times New Roman"/>
          <w:sz w:val="14"/>
          <w:szCs w:val="14"/>
          <w:lang w:val="es-ES_tradnl"/>
        </w:rPr>
        <w:t>á</w:t>
      </w:r>
      <w:r>
        <w:rPr>
          <w:sz w:val="14"/>
          <w:szCs w:val="14"/>
          <w:lang w:val="es-ES_tradnl"/>
        </w:rPr>
        <w:t xml:space="preserve"> cuando se hayan agotado los recursos ordinarios y extraordinarios dentro del t</w:t>
      </w:r>
      <w:r>
        <w:rPr>
          <w:rFonts w:cs="Times New Roman"/>
          <w:sz w:val="14"/>
          <w:szCs w:val="14"/>
          <w:lang w:val="es-ES_tradnl"/>
        </w:rPr>
        <w:t>é</w:t>
      </w:r>
      <w:r>
        <w:rPr>
          <w:sz w:val="14"/>
          <w:szCs w:val="14"/>
          <w:lang w:val="es-ES_tradnl"/>
        </w:rPr>
        <w:t>rmino legal, a menos que la falta de interposici</w:t>
      </w:r>
      <w:r>
        <w:rPr>
          <w:rFonts w:cs="Times New Roman"/>
          <w:sz w:val="14"/>
          <w:szCs w:val="14"/>
          <w:lang w:val="es-ES_tradnl"/>
        </w:rPr>
        <w:t>ó</w:t>
      </w:r>
      <w:r>
        <w:rPr>
          <w:sz w:val="14"/>
          <w:szCs w:val="14"/>
          <w:lang w:val="es-ES_tradnl"/>
        </w:rPr>
        <w:t>n de estos recursos no fuera atribuible a la negligencia de la persona titular del derecho constitucional vulnerado.</w:t>
      </w:r>
    </w:p>
    <w:p w14:paraId="4F67AEC1" w14:textId="77777777" w:rsidR="00591D54" w:rsidRDefault="00591D54">
      <w:pPr>
        <w:shd w:val="clear" w:color="auto" w:fill="FFFFFF"/>
        <w:spacing w:before="202" w:line="216" w:lineRule="exact"/>
        <w:jc w:val="both"/>
      </w:pPr>
      <w:r>
        <w:rPr>
          <w:spacing w:val="-6"/>
          <w:sz w:val="18"/>
          <w:szCs w:val="18"/>
          <w:lang w:val="es-ES_tradnl"/>
        </w:rPr>
        <w:t>En consecuencia, el objeto de esta garant</w:t>
      </w:r>
      <w:r>
        <w:rPr>
          <w:rFonts w:cs="Times New Roman"/>
          <w:spacing w:val="-6"/>
          <w:sz w:val="18"/>
          <w:szCs w:val="18"/>
          <w:lang w:val="es-ES_tradnl"/>
        </w:rPr>
        <w:t>í</w:t>
      </w:r>
      <w:r>
        <w:rPr>
          <w:spacing w:val="-6"/>
          <w:sz w:val="18"/>
          <w:szCs w:val="18"/>
          <w:lang w:val="es-ES_tradnl"/>
        </w:rPr>
        <w:t xml:space="preserve">a jurisdiccional es el aseguramiento y efectividad de los derechos </w:t>
      </w:r>
      <w:r>
        <w:rPr>
          <w:spacing w:val="-4"/>
          <w:sz w:val="18"/>
          <w:szCs w:val="18"/>
          <w:lang w:val="es-ES_tradnl"/>
        </w:rPr>
        <w:t xml:space="preserve">constitucionales, evitando un perjuicio irremediable, al </w:t>
      </w:r>
      <w:r>
        <w:rPr>
          <w:spacing w:val="-7"/>
          <w:sz w:val="18"/>
          <w:szCs w:val="18"/>
          <w:lang w:val="es-ES_tradnl"/>
        </w:rPr>
        <w:t>incurrir los jueces en violaci</w:t>
      </w:r>
      <w:r>
        <w:rPr>
          <w:rFonts w:cs="Times New Roman"/>
          <w:spacing w:val="-7"/>
          <w:sz w:val="18"/>
          <w:szCs w:val="18"/>
          <w:lang w:val="es-ES_tradnl"/>
        </w:rPr>
        <w:t>ó</w:t>
      </w:r>
      <w:r>
        <w:rPr>
          <w:spacing w:val="-7"/>
          <w:sz w:val="18"/>
          <w:szCs w:val="18"/>
          <w:lang w:val="es-ES_tradnl"/>
        </w:rPr>
        <w:t xml:space="preserve">n de normas constitucionales, </w:t>
      </w:r>
      <w:r>
        <w:rPr>
          <w:spacing w:val="-3"/>
          <w:sz w:val="18"/>
          <w:szCs w:val="18"/>
          <w:lang w:val="es-ES_tradnl"/>
        </w:rPr>
        <w:t>sea por acci</w:t>
      </w:r>
      <w:r>
        <w:rPr>
          <w:rFonts w:cs="Times New Roman"/>
          <w:spacing w:val="-3"/>
          <w:sz w:val="18"/>
          <w:szCs w:val="18"/>
          <w:lang w:val="es-ES_tradnl"/>
        </w:rPr>
        <w:t>ó</w:t>
      </w:r>
      <w:r>
        <w:rPr>
          <w:spacing w:val="-3"/>
          <w:sz w:val="18"/>
          <w:szCs w:val="18"/>
          <w:lang w:val="es-ES_tradnl"/>
        </w:rPr>
        <w:t>n u omisi</w:t>
      </w:r>
      <w:r>
        <w:rPr>
          <w:rFonts w:cs="Times New Roman"/>
          <w:spacing w:val="-3"/>
          <w:sz w:val="18"/>
          <w:szCs w:val="18"/>
          <w:lang w:val="es-ES_tradnl"/>
        </w:rPr>
        <w:t>ó</w:t>
      </w:r>
      <w:r>
        <w:rPr>
          <w:spacing w:val="-3"/>
          <w:sz w:val="18"/>
          <w:szCs w:val="18"/>
          <w:lang w:val="es-ES_tradnl"/>
        </w:rPr>
        <w:t xml:space="preserve">n, en una sentencia, auto o </w:t>
      </w:r>
      <w:r>
        <w:rPr>
          <w:spacing w:val="-7"/>
          <w:sz w:val="18"/>
          <w:szCs w:val="18"/>
          <w:lang w:val="es-ES_tradnl"/>
        </w:rPr>
        <w:t>resoluci</w:t>
      </w:r>
      <w:r>
        <w:rPr>
          <w:rFonts w:cs="Times New Roman"/>
          <w:spacing w:val="-7"/>
          <w:sz w:val="18"/>
          <w:szCs w:val="18"/>
          <w:lang w:val="es-ES_tradnl"/>
        </w:rPr>
        <w:t>ó</w:t>
      </w:r>
      <w:r>
        <w:rPr>
          <w:spacing w:val="-7"/>
          <w:sz w:val="18"/>
          <w:szCs w:val="18"/>
          <w:lang w:val="es-ES_tradnl"/>
        </w:rPr>
        <w:t>n, en el ejercicio de su actividad jurisdiccional. En otras palabras, la acci</w:t>
      </w:r>
      <w:r>
        <w:rPr>
          <w:rFonts w:cs="Times New Roman"/>
          <w:spacing w:val="-7"/>
          <w:sz w:val="18"/>
          <w:szCs w:val="18"/>
          <w:lang w:val="es-ES_tradnl"/>
        </w:rPr>
        <w:t>ó</w:t>
      </w:r>
      <w:r>
        <w:rPr>
          <w:spacing w:val="-7"/>
          <w:sz w:val="18"/>
          <w:szCs w:val="18"/>
          <w:lang w:val="es-ES_tradnl"/>
        </w:rPr>
        <w:t>n extraordinaria de protecci</w:t>
      </w:r>
      <w:r>
        <w:rPr>
          <w:rFonts w:cs="Times New Roman"/>
          <w:spacing w:val="-7"/>
          <w:sz w:val="18"/>
          <w:szCs w:val="18"/>
          <w:lang w:val="es-ES_tradnl"/>
        </w:rPr>
        <w:t>ó</w:t>
      </w:r>
      <w:r>
        <w:rPr>
          <w:spacing w:val="-7"/>
          <w:sz w:val="18"/>
          <w:szCs w:val="18"/>
          <w:lang w:val="es-ES_tradnl"/>
        </w:rPr>
        <w:t xml:space="preserve">n tiene </w:t>
      </w:r>
      <w:r>
        <w:rPr>
          <w:spacing w:val="-6"/>
          <w:sz w:val="18"/>
          <w:szCs w:val="18"/>
          <w:lang w:val="es-ES_tradnl"/>
        </w:rPr>
        <w:t xml:space="preserve">la finalidad de preservar o restablecer cualquier derecho </w:t>
      </w:r>
      <w:r>
        <w:rPr>
          <w:spacing w:val="-8"/>
          <w:sz w:val="18"/>
          <w:szCs w:val="18"/>
          <w:lang w:val="es-ES_tradnl"/>
        </w:rPr>
        <w:t>fundamental de libertad o de protecci</w:t>
      </w:r>
      <w:r>
        <w:rPr>
          <w:rFonts w:cs="Times New Roman"/>
          <w:spacing w:val="-8"/>
          <w:sz w:val="18"/>
          <w:szCs w:val="18"/>
          <w:lang w:val="es-ES_tradnl"/>
        </w:rPr>
        <w:t>ó</w:t>
      </w:r>
      <w:r>
        <w:rPr>
          <w:spacing w:val="-8"/>
          <w:sz w:val="18"/>
          <w:szCs w:val="18"/>
          <w:lang w:val="es-ES_tradnl"/>
        </w:rPr>
        <w:t xml:space="preserve">n </w:t>
      </w:r>
      <w:r>
        <w:rPr>
          <w:rFonts w:ascii="Arial Unicode MS" w:eastAsia="Arial Unicode MS" w:cs="Arial Unicode MS" w:hint="eastAsia"/>
          <w:spacing w:val="-8"/>
          <w:sz w:val="18"/>
          <w:szCs w:val="18"/>
          <w:lang w:val="es-ES_tradnl"/>
        </w:rPr>
        <w:t>‒</w:t>
      </w:r>
      <w:r>
        <w:rPr>
          <w:spacing w:val="-8"/>
          <w:sz w:val="18"/>
          <w:szCs w:val="18"/>
          <w:lang w:val="es-ES_tradnl"/>
        </w:rPr>
        <w:t xml:space="preserve">referido al debido </w:t>
      </w:r>
      <w:r>
        <w:rPr>
          <w:spacing w:val="-10"/>
          <w:sz w:val="18"/>
          <w:szCs w:val="18"/>
          <w:lang w:val="es-ES_tradnl"/>
        </w:rPr>
        <w:t>proceso</w:t>
      </w:r>
      <w:r>
        <w:rPr>
          <w:rFonts w:ascii="Arial Unicode MS" w:eastAsia="Arial Unicode MS" w:cs="Arial Unicode MS" w:hint="eastAsia"/>
          <w:spacing w:val="-10"/>
          <w:sz w:val="18"/>
          <w:szCs w:val="18"/>
          <w:lang w:val="es-ES_tradnl"/>
        </w:rPr>
        <w:t>‒</w:t>
      </w:r>
      <w:r>
        <w:rPr>
          <w:spacing w:val="-10"/>
          <w:sz w:val="18"/>
          <w:szCs w:val="18"/>
          <w:lang w:val="es-ES_tradnl"/>
        </w:rPr>
        <w:t xml:space="preserve"> de toda persona que es parte de una controversia </w:t>
      </w:r>
      <w:r>
        <w:rPr>
          <w:sz w:val="18"/>
          <w:szCs w:val="18"/>
          <w:lang w:val="es-ES_tradnl"/>
        </w:rPr>
        <w:t>judicial.</w:t>
      </w:r>
    </w:p>
    <w:p w14:paraId="4F67AEC2" w14:textId="77777777" w:rsidR="00591D54" w:rsidRDefault="00591D54">
      <w:pPr>
        <w:shd w:val="clear" w:color="auto" w:fill="FFFFFF"/>
        <w:spacing w:before="197" w:line="216" w:lineRule="exact"/>
        <w:jc w:val="both"/>
      </w:pPr>
      <w:r>
        <w:rPr>
          <w:spacing w:val="-7"/>
          <w:sz w:val="18"/>
          <w:szCs w:val="18"/>
          <w:lang w:val="es-ES_tradnl"/>
        </w:rPr>
        <w:t>Por tanto, el an</w:t>
      </w:r>
      <w:r>
        <w:rPr>
          <w:rFonts w:cs="Times New Roman"/>
          <w:spacing w:val="-7"/>
          <w:sz w:val="18"/>
          <w:szCs w:val="18"/>
          <w:lang w:val="es-ES_tradnl"/>
        </w:rPr>
        <w:t>á</w:t>
      </w:r>
      <w:r>
        <w:rPr>
          <w:spacing w:val="-7"/>
          <w:sz w:val="18"/>
          <w:szCs w:val="18"/>
          <w:lang w:val="es-ES_tradnl"/>
        </w:rPr>
        <w:t>lisis que efect</w:t>
      </w:r>
      <w:r>
        <w:rPr>
          <w:rFonts w:cs="Times New Roman"/>
          <w:spacing w:val="-7"/>
          <w:sz w:val="18"/>
          <w:szCs w:val="18"/>
          <w:lang w:val="es-ES_tradnl"/>
        </w:rPr>
        <w:t>ú</w:t>
      </w:r>
      <w:r>
        <w:rPr>
          <w:spacing w:val="-7"/>
          <w:sz w:val="18"/>
          <w:szCs w:val="18"/>
          <w:lang w:val="es-ES_tradnl"/>
        </w:rPr>
        <w:t>e esta Corte est</w:t>
      </w:r>
      <w:r>
        <w:rPr>
          <w:rFonts w:cs="Times New Roman"/>
          <w:spacing w:val="-7"/>
          <w:sz w:val="18"/>
          <w:szCs w:val="18"/>
          <w:lang w:val="es-ES_tradnl"/>
        </w:rPr>
        <w:t>á</w:t>
      </w:r>
      <w:r>
        <w:rPr>
          <w:spacing w:val="-7"/>
          <w:sz w:val="18"/>
          <w:szCs w:val="18"/>
          <w:lang w:val="es-ES_tradnl"/>
        </w:rPr>
        <w:t xml:space="preserve"> orientado a determinar si en la sustanciaci</w:t>
      </w:r>
      <w:r>
        <w:rPr>
          <w:rFonts w:cs="Times New Roman"/>
          <w:spacing w:val="-7"/>
          <w:sz w:val="18"/>
          <w:szCs w:val="18"/>
          <w:lang w:val="es-ES_tradnl"/>
        </w:rPr>
        <w:t>ó</w:t>
      </w:r>
      <w:r>
        <w:rPr>
          <w:spacing w:val="-7"/>
          <w:sz w:val="18"/>
          <w:szCs w:val="18"/>
          <w:lang w:val="es-ES_tradnl"/>
        </w:rPr>
        <w:t xml:space="preserve">n del proceso judicial de </w:t>
      </w:r>
      <w:r>
        <w:rPr>
          <w:spacing w:val="-3"/>
          <w:sz w:val="18"/>
          <w:szCs w:val="18"/>
          <w:lang w:val="es-ES_tradnl"/>
        </w:rPr>
        <w:t xml:space="preserve">alimentos seguido en contra de los legitimados activos, </w:t>
      </w:r>
      <w:r>
        <w:rPr>
          <w:spacing w:val="-1"/>
          <w:sz w:val="18"/>
          <w:szCs w:val="18"/>
          <w:lang w:val="es-ES_tradnl"/>
        </w:rPr>
        <w:t>se han vulnerado las garant</w:t>
      </w:r>
      <w:r>
        <w:rPr>
          <w:rFonts w:cs="Times New Roman"/>
          <w:spacing w:val="-1"/>
          <w:sz w:val="18"/>
          <w:szCs w:val="18"/>
          <w:lang w:val="es-ES_tradnl"/>
        </w:rPr>
        <w:t>í</w:t>
      </w:r>
      <w:r>
        <w:rPr>
          <w:spacing w:val="-1"/>
          <w:sz w:val="18"/>
          <w:szCs w:val="18"/>
          <w:lang w:val="es-ES_tradnl"/>
        </w:rPr>
        <w:t xml:space="preserve">as del debido proceso u </w:t>
      </w:r>
      <w:r>
        <w:rPr>
          <w:spacing w:val="-8"/>
          <w:sz w:val="18"/>
          <w:szCs w:val="18"/>
          <w:lang w:val="es-ES_tradnl"/>
        </w:rPr>
        <w:t xml:space="preserve">otros derechos constitucionales, pues este es el objeto de </w:t>
      </w:r>
      <w:r>
        <w:rPr>
          <w:spacing w:val="-6"/>
          <w:sz w:val="18"/>
          <w:szCs w:val="18"/>
          <w:lang w:val="es-ES_tradnl"/>
        </w:rPr>
        <w:t>esta garant</w:t>
      </w:r>
      <w:r>
        <w:rPr>
          <w:rFonts w:cs="Times New Roman"/>
          <w:spacing w:val="-6"/>
          <w:sz w:val="18"/>
          <w:szCs w:val="18"/>
          <w:lang w:val="es-ES_tradnl"/>
        </w:rPr>
        <w:t>í</w:t>
      </w:r>
      <w:r>
        <w:rPr>
          <w:spacing w:val="-6"/>
          <w:sz w:val="18"/>
          <w:szCs w:val="18"/>
          <w:lang w:val="es-ES_tradnl"/>
        </w:rPr>
        <w:t xml:space="preserve">a constitucional, que conlleva el control de </w:t>
      </w:r>
      <w:r>
        <w:rPr>
          <w:spacing w:val="-5"/>
          <w:sz w:val="18"/>
          <w:szCs w:val="18"/>
          <w:lang w:val="es-ES_tradnl"/>
        </w:rPr>
        <w:t xml:space="preserve">constitucionalidad de las actuaciones de los jueces, que </w:t>
      </w:r>
      <w:r>
        <w:rPr>
          <w:spacing w:val="-2"/>
          <w:sz w:val="18"/>
          <w:szCs w:val="18"/>
          <w:lang w:val="es-ES_tradnl"/>
        </w:rPr>
        <w:t>con anterioridad a la vigencia de la actual Constituci</w:t>
      </w:r>
      <w:r>
        <w:rPr>
          <w:rFonts w:cs="Times New Roman"/>
          <w:spacing w:val="-2"/>
          <w:sz w:val="18"/>
          <w:szCs w:val="18"/>
          <w:lang w:val="es-ES_tradnl"/>
        </w:rPr>
        <w:t>ó</w:t>
      </w:r>
      <w:r>
        <w:rPr>
          <w:spacing w:val="-2"/>
          <w:sz w:val="18"/>
          <w:szCs w:val="18"/>
          <w:lang w:val="es-ES_tradnl"/>
        </w:rPr>
        <w:t xml:space="preserve">n </w:t>
      </w:r>
      <w:r>
        <w:rPr>
          <w:spacing w:val="-7"/>
          <w:sz w:val="18"/>
          <w:szCs w:val="18"/>
          <w:lang w:val="es-ES_tradnl"/>
        </w:rPr>
        <w:t>se hallaban exentos del mismo; control que deviene del car</w:t>
      </w:r>
      <w:r>
        <w:rPr>
          <w:rFonts w:cs="Times New Roman"/>
          <w:spacing w:val="-7"/>
          <w:sz w:val="18"/>
          <w:szCs w:val="18"/>
          <w:lang w:val="es-ES_tradnl"/>
        </w:rPr>
        <w:t>á</w:t>
      </w:r>
      <w:r>
        <w:rPr>
          <w:spacing w:val="-7"/>
          <w:sz w:val="18"/>
          <w:szCs w:val="18"/>
          <w:lang w:val="es-ES_tradnl"/>
        </w:rPr>
        <w:t xml:space="preserve">cter normativo de la Carta Fundamental y del principio </w:t>
      </w:r>
      <w:r>
        <w:rPr>
          <w:spacing w:val="-5"/>
          <w:sz w:val="18"/>
          <w:szCs w:val="18"/>
          <w:lang w:val="es-ES_tradnl"/>
        </w:rPr>
        <w:t>de supremac</w:t>
      </w:r>
      <w:r>
        <w:rPr>
          <w:rFonts w:cs="Times New Roman"/>
          <w:spacing w:val="-5"/>
          <w:sz w:val="18"/>
          <w:szCs w:val="18"/>
          <w:lang w:val="es-ES_tradnl"/>
        </w:rPr>
        <w:t>í</w:t>
      </w:r>
      <w:r>
        <w:rPr>
          <w:spacing w:val="-5"/>
          <w:sz w:val="18"/>
          <w:szCs w:val="18"/>
          <w:lang w:val="es-ES_tradnl"/>
        </w:rPr>
        <w:t xml:space="preserve">a constitucional, en virtud del cual, toda </w:t>
      </w:r>
      <w:r>
        <w:rPr>
          <w:spacing w:val="-10"/>
          <w:sz w:val="18"/>
          <w:szCs w:val="18"/>
          <w:lang w:val="es-ES_tradnl"/>
        </w:rPr>
        <w:t xml:space="preserve">autoridad se encuentra sujeta al control de constitucionalidad </w:t>
      </w:r>
      <w:r>
        <w:rPr>
          <w:spacing w:val="-7"/>
          <w:sz w:val="18"/>
          <w:szCs w:val="18"/>
          <w:lang w:val="es-ES_tradnl"/>
        </w:rPr>
        <w:t>mediante las diversas acciones de garant</w:t>
      </w:r>
      <w:r>
        <w:rPr>
          <w:rFonts w:cs="Times New Roman"/>
          <w:spacing w:val="-7"/>
          <w:sz w:val="18"/>
          <w:szCs w:val="18"/>
          <w:lang w:val="es-ES_tradnl"/>
        </w:rPr>
        <w:t>í</w:t>
      </w:r>
      <w:r>
        <w:rPr>
          <w:spacing w:val="-7"/>
          <w:sz w:val="18"/>
          <w:szCs w:val="18"/>
          <w:lang w:val="es-ES_tradnl"/>
        </w:rPr>
        <w:t>a jurisdiccional.</w:t>
      </w:r>
    </w:p>
    <w:p w14:paraId="4F67AEC3" w14:textId="77777777" w:rsidR="00591D54" w:rsidRDefault="00591D54">
      <w:pPr>
        <w:shd w:val="clear" w:color="auto" w:fill="FFFFFF"/>
        <w:spacing w:before="192" w:line="216" w:lineRule="exact"/>
        <w:jc w:val="both"/>
      </w:pPr>
      <w:r>
        <w:rPr>
          <w:b/>
          <w:bCs/>
          <w:spacing w:val="-8"/>
          <w:sz w:val="18"/>
          <w:szCs w:val="18"/>
          <w:lang w:val="es-ES_tradnl"/>
        </w:rPr>
        <w:t>El derecho de alimentos a favor de las ni</w:t>
      </w:r>
      <w:r>
        <w:rPr>
          <w:rFonts w:cs="Times New Roman"/>
          <w:b/>
          <w:bCs/>
          <w:spacing w:val="-8"/>
          <w:sz w:val="18"/>
          <w:szCs w:val="18"/>
          <w:lang w:val="es-ES_tradnl"/>
        </w:rPr>
        <w:t>ñ</w:t>
      </w:r>
      <w:r>
        <w:rPr>
          <w:b/>
          <w:bCs/>
          <w:spacing w:val="-8"/>
          <w:sz w:val="18"/>
          <w:szCs w:val="18"/>
          <w:lang w:val="es-ES_tradnl"/>
        </w:rPr>
        <w:t>as, ni</w:t>
      </w:r>
      <w:r>
        <w:rPr>
          <w:rFonts w:cs="Times New Roman"/>
          <w:b/>
          <w:bCs/>
          <w:spacing w:val="-8"/>
          <w:sz w:val="18"/>
          <w:szCs w:val="18"/>
          <w:lang w:val="es-ES_tradnl"/>
        </w:rPr>
        <w:t>ñ</w:t>
      </w:r>
      <w:r>
        <w:rPr>
          <w:b/>
          <w:bCs/>
          <w:spacing w:val="-8"/>
          <w:sz w:val="18"/>
          <w:szCs w:val="18"/>
          <w:lang w:val="es-ES_tradnl"/>
        </w:rPr>
        <w:t xml:space="preserve">os y </w:t>
      </w:r>
      <w:r>
        <w:rPr>
          <w:b/>
          <w:bCs/>
          <w:spacing w:val="-9"/>
          <w:sz w:val="18"/>
          <w:szCs w:val="18"/>
          <w:lang w:val="es-ES_tradnl"/>
        </w:rPr>
        <w:t>adolescentes, consagrado en la Constituci</w:t>
      </w:r>
      <w:r>
        <w:rPr>
          <w:rFonts w:cs="Times New Roman"/>
          <w:b/>
          <w:bCs/>
          <w:spacing w:val="-9"/>
          <w:sz w:val="18"/>
          <w:szCs w:val="18"/>
          <w:lang w:val="es-ES_tradnl"/>
        </w:rPr>
        <w:t>ó</w:t>
      </w:r>
      <w:r>
        <w:rPr>
          <w:b/>
          <w:bCs/>
          <w:spacing w:val="-9"/>
          <w:sz w:val="18"/>
          <w:szCs w:val="18"/>
          <w:lang w:val="es-ES_tradnl"/>
        </w:rPr>
        <w:t xml:space="preserve">n de la </w:t>
      </w:r>
      <w:r>
        <w:rPr>
          <w:b/>
          <w:bCs/>
          <w:sz w:val="18"/>
          <w:szCs w:val="18"/>
          <w:lang w:val="es-ES_tradnl"/>
        </w:rPr>
        <w:t>Rep</w:t>
      </w:r>
      <w:r>
        <w:rPr>
          <w:rFonts w:cs="Times New Roman"/>
          <w:b/>
          <w:bCs/>
          <w:sz w:val="18"/>
          <w:szCs w:val="18"/>
          <w:lang w:val="es-ES_tradnl"/>
        </w:rPr>
        <w:t>ú</w:t>
      </w:r>
      <w:r>
        <w:rPr>
          <w:b/>
          <w:bCs/>
          <w:sz w:val="18"/>
          <w:szCs w:val="18"/>
          <w:lang w:val="es-ES_tradnl"/>
        </w:rPr>
        <w:t>blica</w:t>
      </w:r>
    </w:p>
    <w:p w14:paraId="4F67AEC4" w14:textId="77777777" w:rsidR="00591D54" w:rsidRDefault="00591D54">
      <w:pPr>
        <w:shd w:val="clear" w:color="auto" w:fill="FFFFFF"/>
        <w:spacing w:before="10" w:line="216" w:lineRule="exact"/>
        <w:jc w:val="both"/>
      </w:pPr>
      <w:r>
        <w:br w:type="column"/>
      </w:r>
      <w:r>
        <w:rPr>
          <w:spacing w:val="-6"/>
          <w:sz w:val="18"/>
          <w:szCs w:val="18"/>
          <w:lang w:val="es-ES_tradnl"/>
        </w:rPr>
        <w:t>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consagra, a favor de las </w:t>
      </w:r>
      <w:r>
        <w:rPr>
          <w:spacing w:val="-8"/>
          <w:sz w:val="18"/>
          <w:szCs w:val="18"/>
          <w:lang w:val="es-ES_tradnl"/>
        </w:rPr>
        <w:t>ni</w:t>
      </w:r>
      <w:r>
        <w:rPr>
          <w:rFonts w:cs="Times New Roman"/>
          <w:spacing w:val="-8"/>
          <w:sz w:val="18"/>
          <w:szCs w:val="18"/>
          <w:lang w:val="es-ES_tradnl"/>
        </w:rPr>
        <w:t>ñ</w:t>
      </w:r>
      <w:r>
        <w:rPr>
          <w:spacing w:val="-8"/>
          <w:sz w:val="18"/>
          <w:szCs w:val="18"/>
          <w:lang w:val="es-ES_tradnl"/>
        </w:rPr>
        <w:t>as, ni</w:t>
      </w:r>
      <w:r>
        <w:rPr>
          <w:rFonts w:cs="Times New Roman"/>
          <w:spacing w:val="-8"/>
          <w:sz w:val="18"/>
          <w:szCs w:val="18"/>
          <w:lang w:val="es-ES_tradnl"/>
        </w:rPr>
        <w:t>ñ</w:t>
      </w:r>
      <w:r>
        <w:rPr>
          <w:spacing w:val="-8"/>
          <w:sz w:val="18"/>
          <w:szCs w:val="18"/>
          <w:lang w:val="es-ES_tradnl"/>
        </w:rPr>
        <w:t xml:space="preserve">os y adolescentes, entre otros, los derechos a la </w:t>
      </w:r>
      <w:r>
        <w:rPr>
          <w:spacing w:val="-5"/>
          <w:sz w:val="18"/>
          <w:szCs w:val="18"/>
          <w:lang w:val="es-ES_tradnl"/>
        </w:rPr>
        <w:t>integridad f</w:t>
      </w:r>
      <w:r>
        <w:rPr>
          <w:rFonts w:cs="Times New Roman"/>
          <w:spacing w:val="-5"/>
          <w:sz w:val="18"/>
          <w:szCs w:val="18"/>
          <w:lang w:val="es-ES_tradnl"/>
        </w:rPr>
        <w:t>í</w:t>
      </w:r>
      <w:r>
        <w:rPr>
          <w:spacing w:val="-5"/>
          <w:sz w:val="18"/>
          <w:szCs w:val="18"/>
          <w:lang w:val="es-ES_tradnl"/>
        </w:rPr>
        <w:t>sica y ps</w:t>
      </w:r>
      <w:r>
        <w:rPr>
          <w:rFonts w:cs="Times New Roman"/>
          <w:spacing w:val="-5"/>
          <w:sz w:val="18"/>
          <w:szCs w:val="18"/>
          <w:lang w:val="es-ES_tradnl"/>
        </w:rPr>
        <w:t>í</w:t>
      </w:r>
      <w:r>
        <w:rPr>
          <w:spacing w:val="-5"/>
          <w:sz w:val="18"/>
          <w:szCs w:val="18"/>
          <w:lang w:val="es-ES_tradnl"/>
        </w:rPr>
        <w:t>quica, a la salud integral y nutrici</w:t>
      </w:r>
      <w:r>
        <w:rPr>
          <w:rFonts w:cs="Times New Roman"/>
          <w:spacing w:val="-5"/>
          <w:sz w:val="18"/>
          <w:szCs w:val="18"/>
          <w:lang w:val="es-ES_tradnl"/>
        </w:rPr>
        <w:t>ó</w:t>
      </w:r>
      <w:r>
        <w:rPr>
          <w:spacing w:val="-5"/>
          <w:sz w:val="18"/>
          <w:szCs w:val="18"/>
          <w:lang w:val="es-ES_tradnl"/>
        </w:rPr>
        <w:t>n, a la educaci</w:t>
      </w:r>
      <w:r>
        <w:rPr>
          <w:rFonts w:cs="Times New Roman"/>
          <w:spacing w:val="-5"/>
          <w:sz w:val="18"/>
          <w:szCs w:val="18"/>
          <w:lang w:val="es-ES_tradnl"/>
        </w:rPr>
        <w:t>ó</w:t>
      </w:r>
      <w:r>
        <w:rPr>
          <w:spacing w:val="-5"/>
          <w:sz w:val="18"/>
          <w:szCs w:val="18"/>
          <w:lang w:val="es-ES_tradnl"/>
        </w:rPr>
        <w:t>n y cultura (art. 45), cuyo disfrute y goce se halla regulado en la legislaci</w:t>
      </w:r>
      <w:r>
        <w:rPr>
          <w:rFonts w:cs="Times New Roman"/>
          <w:spacing w:val="-5"/>
          <w:sz w:val="18"/>
          <w:szCs w:val="18"/>
          <w:lang w:val="es-ES_tradnl"/>
        </w:rPr>
        <w:t>ó</w:t>
      </w:r>
      <w:r>
        <w:rPr>
          <w:spacing w:val="-5"/>
          <w:sz w:val="18"/>
          <w:szCs w:val="18"/>
          <w:lang w:val="es-ES_tradnl"/>
        </w:rPr>
        <w:t>n infraconstitucional; en tal virtud, el C</w:t>
      </w:r>
      <w:r>
        <w:rPr>
          <w:rFonts w:cs="Times New Roman"/>
          <w:spacing w:val="-5"/>
          <w:sz w:val="18"/>
          <w:szCs w:val="18"/>
          <w:lang w:val="es-ES_tradnl"/>
        </w:rPr>
        <w:t>ó</w:t>
      </w:r>
      <w:r>
        <w:rPr>
          <w:spacing w:val="-5"/>
          <w:sz w:val="18"/>
          <w:szCs w:val="18"/>
          <w:lang w:val="es-ES_tradnl"/>
        </w:rPr>
        <w:t>digo de la Ni</w:t>
      </w:r>
      <w:r>
        <w:rPr>
          <w:rFonts w:cs="Times New Roman"/>
          <w:spacing w:val="-5"/>
          <w:sz w:val="18"/>
          <w:szCs w:val="18"/>
          <w:lang w:val="es-ES_tradnl"/>
        </w:rPr>
        <w:t>ñ</w:t>
      </w:r>
      <w:r>
        <w:rPr>
          <w:spacing w:val="-5"/>
          <w:sz w:val="18"/>
          <w:szCs w:val="18"/>
          <w:lang w:val="es-ES_tradnl"/>
        </w:rPr>
        <w:t xml:space="preserve">ez y Adolescencia incorpora el </w:t>
      </w:r>
      <w:r>
        <w:rPr>
          <w:spacing w:val="-8"/>
          <w:sz w:val="18"/>
          <w:szCs w:val="18"/>
          <w:lang w:val="es-ES_tradnl"/>
        </w:rPr>
        <w:t xml:space="preserve">denominado derecho de alimentos, que es connatural a la </w:t>
      </w:r>
      <w:r>
        <w:rPr>
          <w:spacing w:val="-9"/>
          <w:sz w:val="18"/>
          <w:szCs w:val="18"/>
          <w:lang w:val="es-ES_tradnl"/>
        </w:rPr>
        <w:t>relaci</w:t>
      </w:r>
      <w:r>
        <w:rPr>
          <w:rFonts w:cs="Times New Roman"/>
          <w:spacing w:val="-9"/>
          <w:sz w:val="18"/>
          <w:szCs w:val="18"/>
          <w:lang w:val="es-ES_tradnl"/>
        </w:rPr>
        <w:t>ó</w:t>
      </w:r>
      <w:r>
        <w:rPr>
          <w:spacing w:val="-9"/>
          <w:sz w:val="18"/>
          <w:szCs w:val="18"/>
          <w:lang w:val="es-ES_tradnl"/>
        </w:rPr>
        <w:t>n parento-filial y est</w:t>
      </w:r>
      <w:r>
        <w:rPr>
          <w:rFonts w:cs="Times New Roman"/>
          <w:spacing w:val="-9"/>
          <w:sz w:val="18"/>
          <w:szCs w:val="18"/>
          <w:lang w:val="es-ES_tradnl"/>
        </w:rPr>
        <w:t>á</w:t>
      </w:r>
      <w:r>
        <w:rPr>
          <w:spacing w:val="-9"/>
          <w:sz w:val="18"/>
          <w:szCs w:val="18"/>
          <w:lang w:val="es-ES_tradnl"/>
        </w:rPr>
        <w:t xml:space="preserve"> relacionado con el derecho a la </w:t>
      </w:r>
      <w:r>
        <w:rPr>
          <w:spacing w:val="-7"/>
          <w:sz w:val="18"/>
          <w:szCs w:val="18"/>
          <w:lang w:val="es-ES_tradnl"/>
        </w:rPr>
        <w:t xml:space="preserve">vida, la supervivencia y una vida digna; a su vez, implica la </w:t>
      </w:r>
      <w:r>
        <w:rPr>
          <w:spacing w:val="-9"/>
          <w:sz w:val="18"/>
          <w:szCs w:val="18"/>
          <w:lang w:val="es-ES_tradnl"/>
        </w:rPr>
        <w:t>garant</w:t>
      </w:r>
      <w:r>
        <w:rPr>
          <w:rFonts w:cs="Times New Roman"/>
          <w:spacing w:val="-9"/>
          <w:sz w:val="18"/>
          <w:szCs w:val="18"/>
          <w:lang w:val="es-ES_tradnl"/>
        </w:rPr>
        <w:t>í</w:t>
      </w:r>
      <w:r>
        <w:rPr>
          <w:spacing w:val="-9"/>
          <w:sz w:val="18"/>
          <w:szCs w:val="18"/>
          <w:lang w:val="es-ES_tradnl"/>
        </w:rPr>
        <w:t>a de la satisfacci</w:t>
      </w:r>
      <w:r>
        <w:rPr>
          <w:rFonts w:cs="Times New Roman"/>
          <w:spacing w:val="-9"/>
          <w:sz w:val="18"/>
          <w:szCs w:val="18"/>
          <w:lang w:val="es-ES_tradnl"/>
        </w:rPr>
        <w:t>ó</w:t>
      </w:r>
      <w:r>
        <w:rPr>
          <w:spacing w:val="-9"/>
          <w:sz w:val="18"/>
          <w:szCs w:val="18"/>
          <w:lang w:val="es-ES_tradnl"/>
        </w:rPr>
        <w:t>n de las necesidades de las ni</w:t>
      </w:r>
      <w:r>
        <w:rPr>
          <w:rFonts w:cs="Times New Roman"/>
          <w:spacing w:val="-9"/>
          <w:sz w:val="18"/>
          <w:szCs w:val="18"/>
          <w:lang w:val="es-ES_tradnl"/>
        </w:rPr>
        <w:t>ñ</w:t>
      </w:r>
      <w:r>
        <w:rPr>
          <w:spacing w:val="-9"/>
          <w:sz w:val="18"/>
          <w:szCs w:val="18"/>
          <w:lang w:val="es-ES_tradnl"/>
        </w:rPr>
        <w:t xml:space="preserve">as, </w:t>
      </w:r>
      <w:r>
        <w:rPr>
          <w:spacing w:val="-8"/>
          <w:sz w:val="18"/>
          <w:szCs w:val="18"/>
          <w:lang w:val="es-ES_tradnl"/>
        </w:rPr>
        <w:t>ni</w:t>
      </w:r>
      <w:r>
        <w:rPr>
          <w:rFonts w:cs="Times New Roman"/>
          <w:spacing w:val="-8"/>
          <w:sz w:val="18"/>
          <w:szCs w:val="18"/>
          <w:lang w:val="es-ES_tradnl"/>
        </w:rPr>
        <w:t>ñ</w:t>
      </w:r>
      <w:r>
        <w:rPr>
          <w:spacing w:val="-8"/>
          <w:sz w:val="18"/>
          <w:szCs w:val="18"/>
          <w:lang w:val="es-ES_tradnl"/>
        </w:rPr>
        <w:t>os y adolescentes beneficiarios (denominados tambi</w:t>
      </w:r>
      <w:r>
        <w:rPr>
          <w:rFonts w:cs="Times New Roman"/>
          <w:spacing w:val="-8"/>
          <w:sz w:val="18"/>
          <w:szCs w:val="18"/>
          <w:lang w:val="es-ES_tradnl"/>
        </w:rPr>
        <w:t>é</w:t>
      </w:r>
      <w:r>
        <w:rPr>
          <w:spacing w:val="-8"/>
          <w:sz w:val="18"/>
          <w:szCs w:val="18"/>
          <w:lang w:val="es-ES_tradnl"/>
        </w:rPr>
        <w:t xml:space="preserve">n </w:t>
      </w:r>
      <w:r>
        <w:rPr>
          <w:spacing w:val="-4"/>
          <w:sz w:val="18"/>
          <w:szCs w:val="18"/>
          <w:lang w:val="es-ES_tradnl"/>
        </w:rPr>
        <w:t>alimentarios), que incluye una alimentaci</w:t>
      </w:r>
      <w:r>
        <w:rPr>
          <w:rFonts w:cs="Times New Roman"/>
          <w:spacing w:val="-4"/>
          <w:sz w:val="18"/>
          <w:szCs w:val="18"/>
          <w:lang w:val="es-ES_tradnl"/>
        </w:rPr>
        <w:t>ó</w:t>
      </w:r>
      <w:r>
        <w:rPr>
          <w:spacing w:val="-4"/>
          <w:sz w:val="18"/>
          <w:szCs w:val="18"/>
          <w:lang w:val="es-ES_tradnl"/>
        </w:rPr>
        <w:t xml:space="preserve">n nutritiva, </w:t>
      </w:r>
      <w:r>
        <w:rPr>
          <w:spacing w:val="-8"/>
          <w:sz w:val="18"/>
          <w:szCs w:val="18"/>
          <w:lang w:val="es-ES_tradnl"/>
        </w:rPr>
        <w:t>equilibrada y suficiente; salud integral; educaci</w:t>
      </w:r>
      <w:r>
        <w:rPr>
          <w:rFonts w:cs="Times New Roman"/>
          <w:spacing w:val="-8"/>
          <w:sz w:val="18"/>
          <w:szCs w:val="18"/>
          <w:lang w:val="es-ES_tradnl"/>
        </w:rPr>
        <w:t>ó</w:t>
      </w:r>
      <w:r>
        <w:rPr>
          <w:spacing w:val="-8"/>
          <w:sz w:val="18"/>
          <w:szCs w:val="18"/>
          <w:lang w:val="es-ES_tradnl"/>
        </w:rPr>
        <w:t>n; cuidado; vestuario adecuado; vivienda segura, higi</w:t>
      </w:r>
      <w:r>
        <w:rPr>
          <w:rFonts w:cs="Times New Roman"/>
          <w:spacing w:val="-8"/>
          <w:sz w:val="18"/>
          <w:szCs w:val="18"/>
          <w:lang w:val="es-ES_tradnl"/>
        </w:rPr>
        <w:t>é</w:t>
      </w:r>
      <w:r>
        <w:rPr>
          <w:spacing w:val="-8"/>
          <w:sz w:val="18"/>
          <w:szCs w:val="18"/>
          <w:lang w:val="es-ES_tradnl"/>
        </w:rPr>
        <w:t>nica y dotada de servicios b</w:t>
      </w:r>
      <w:r>
        <w:rPr>
          <w:rFonts w:cs="Times New Roman"/>
          <w:spacing w:val="-8"/>
          <w:sz w:val="18"/>
          <w:szCs w:val="18"/>
          <w:lang w:val="es-ES_tradnl"/>
        </w:rPr>
        <w:t>á</w:t>
      </w:r>
      <w:r>
        <w:rPr>
          <w:spacing w:val="-8"/>
          <w:sz w:val="18"/>
          <w:szCs w:val="18"/>
          <w:lang w:val="es-ES_tradnl"/>
        </w:rPr>
        <w:t>sicos; transporte; cultura, recreaci</w:t>
      </w:r>
      <w:r>
        <w:rPr>
          <w:rFonts w:cs="Times New Roman"/>
          <w:spacing w:val="-8"/>
          <w:sz w:val="18"/>
          <w:szCs w:val="18"/>
          <w:lang w:val="es-ES_tradnl"/>
        </w:rPr>
        <w:t>ó</w:t>
      </w:r>
      <w:r>
        <w:rPr>
          <w:spacing w:val="-8"/>
          <w:sz w:val="18"/>
          <w:szCs w:val="18"/>
          <w:lang w:val="es-ES_tradnl"/>
        </w:rPr>
        <w:t xml:space="preserve">n y deportes </w:t>
      </w:r>
      <w:r>
        <w:rPr>
          <w:spacing w:val="-7"/>
          <w:sz w:val="18"/>
          <w:szCs w:val="18"/>
          <w:lang w:val="es-ES_tradnl"/>
        </w:rPr>
        <w:t>y, rehabilitaci</w:t>
      </w:r>
      <w:r>
        <w:rPr>
          <w:rFonts w:cs="Times New Roman"/>
          <w:spacing w:val="-7"/>
          <w:sz w:val="18"/>
          <w:szCs w:val="18"/>
          <w:lang w:val="es-ES_tradnl"/>
        </w:rPr>
        <w:t>ó</w:t>
      </w:r>
      <w:r>
        <w:rPr>
          <w:spacing w:val="-7"/>
          <w:sz w:val="18"/>
          <w:szCs w:val="18"/>
          <w:lang w:val="es-ES_tradnl"/>
        </w:rPr>
        <w:t>n y ayuda t</w:t>
      </w:r>
      <w:r>
        <w:rPr>
          <w:rFonts w:cs="Times New Roman"/>
          <w:spacing w:val="-7"/>
          <w:sz w:val="18"/>
          <w:szCs w:val="18"/>
          <w:lang w:val="es-ES_tradnl"/>
        </w:rPr>
        <w:t>é</w:t>
      </w:r>
      <w:r>
        <w:rPr>
          <w:spacing w:val="-7"/>
          <w:sz w:val="18"/>
          <w:szCs w:val="18"/>
          <w:lang w:val="es-ES_tradnl"/>
        </w:rPr>
        <w:t xml:space="preserve">cnica en caso de discapacidad </w:t>
      </w:r>
      <w:r>
        <w:rPr>
          <w:spacing w:val="-4"/>
          <w:sz w:val="18"/>
          <w:szCs w:val="18"/>
          <w:lang w:val="es-ES_tradnl"/>
        </w:rPr>
        <w:t>temporal o definitiva, conforme lo previsto en el art</w:t>
      </w:r>
      <w:r>
        <w:rPr>
          <w:rFonts w:cs="Times New Roman"/>
          <w:spacing w:val="-4"/>
          <w:sz w:val="18"/>
          <w:szCs w:val="18"/>
          <w:lang w:val="es-ES_tradnl"/>
        </w:rPr>
        <w:t>í</w:t>
      </w:r>
      <w:r>
        <w:rPr>
          <w:spacing w:val="-4"/>
          <w:sz w:val="18"/>
          <w:szCs w:val="18"/>
          <w:lang w:val="es-ES_tradnl"/>
        </w:rPr>
        <w:t>culo innumerado 2 de la Ley Reformatoria al T</w:t>
      </w:r>
      <w:r>
        <w:rPr>
          <w:rFonts w:cs="Times New Roman"/>
          <w:spacing w:val="-4"/>
          <w:sz w:val="18"/>
          <w:szCs w:val="18"/>
          <w:lang w:val="es-ES_tradnl"/>
        </w:rPr>
        <w:t>í</w:t>
      </w:r>
      <w:r>
        <w:rPr>
          <w:spacing w:val="-4"/>
          <w:sz w:val="18"/>
          <w:szCs w:val="18"/>
          <w:lang w:val="es-ES_tradnl"/>
        </w:rPr>
        <w:t xml:space="preserve">tulo V, Libro II </w:t>
      </w:r>
      <w:r>
        <w:rPr>
          <w:sz w:val="18"/>
          <w:szCs w:val="18"/>
          <w:lang w:val="es-ES_tradnl"/>
        </w:rPr>
        <w:t>del C</w:t>
      </w:r>
      <w:r>
        <w:rPr>
          <w:rFonts w:cs="Times New Roman"/>
          <w:sz w:val="18"/>
          <w:szCs w:val="18"/>
          <w:lang w:val="es-ES_tradnl"/>
        </w:rPr>
        <w:t>ó</w:t>
      </w:r>
      <w:r>
        <w:rPr>
          <w:sz w:val="18"/>
          <w:szCs w:val="18"/>
          <w:lang w:val="es-ES_tradnl"/>
        </w:rPr>
        <w:t>digo de la Ni</w:t>
      </w:r>
      <w:r>
        <w:rPr>
          <w:rFonts w:cs="Times New Roman"/>
          <w:sz w:val="18"/>
          <w:szCs w:val="18"/>
          <w:lang w:val="es-ES_tradnl"/>
        </w:rPr>
        <w:t>ñ</w:t>
      </w:r>
      <w:r>
        <w:rPr>
          <w:sz w:val="18"/>
          <w:szCs w:val="18"/>
          <w:lang w:val="es-ES_tradnl"/>
        </w:rPr>
        <w:t>ez y Adolescencia.</w:t>
      </w:r>
    </w:p>
    <w:p w14:paraId="4F67AEC5" w14:textId="77777777" w:rsidR="00591D54" w:rsidRDefault="00591D54">
      <w:pPr>
        <w:shd w:val="clear" w:color="auto" w:fill="FFFFFF"/>
        <w:spacing w:before="192" w:line="216" w:lineRule="exact"/>
        <w:jc w:val="both"/>
      </w:pPr>
      <w:r>
        <w:rPr>
          <w:spacing w:val="-8"/>
          <w:sz w:val="18"/>
          <w:szCs w:val="18"/>
          <w:lang w:val="es-ES_tradnl"/>
        </w:rPr>
        <w:t xml:space="preserve">Por regla general, los llamados principalmente a satisfacer </w:t>
      </w:r>
      <w:r>
        <w:rPr>
          <w:spacing w:val="-9"/>
          <w:sz w:val="18"/>
          <w:szCs w:val="18"/>
          <w:lang w:val="es-ES_tradnl"/>
        </w:rPr>
        <w:t>esas necesidades son los padres, quienes est</w:t>
      </w:r>
      <w:r>
        <w:rPr>
          <w:rFonts w:cs="Times New Roman"/>
          <w:spacing w:val="-9"/>
          <w:sz w:val="18"/>
          <w:szCs w:val="18"/>
          <w:lang w:val="es-ES_tradnl"/>
        </w:rPr>
        <w:t>á</w:t>
      </w:r>
      <w:r>
        <w:rPr>
          <w:spacing w:val="-9"/>
          <w:sz w:val="18"/>
          <w:szCs w:val="18"/>
          <w:lang w:val="es-ES_tradnl"/>
        </w:rPr>
        <w:t xml:space="preserve">n </w:t>
      </w:r>
      <w:r>
        <w:rPr>
          <w:rFonts w:cs="Times New Roman"/>
          <w:spacing w:val="-9"/>
          <w:sz w:val="18"/>
          <w:szCs w:val="18"/>
          <w:lang w:val="es-ES_tradnl"/>
        </w:rPr>
        <w:t>“</w:t>
      </w:r>
      <w:r>
        <w:rPr>
          <w:spacing w:val="-9"/>
          <w:sz w:val="18"/>
          <w:szCs w:val="18"/>
          <w:lang w:val="es-ES_tradnl"/>
        </w:rPr>
        <w:t xml:space="preserve">obligados </w:t>
      </w:r>
      <w:r>
        <w:rPr>
          <w:spacing w:val="-5"/>
          <w:sz w:val="18"/>
          <w:szCs w:val="18"/>
          <w:lang w:val="es-ES_tradnl"/>
        </w:rPr>
        <w:t>al cuidado, crianza, educaci</w:t>
      </w:r>
      <w:r>
        <w:rPr>
          <w:rFonts w:cs="Times New Roman"/>
          <w:spacing w:val="-5"/>
          <w:sz w:val="18"/>
          <w:szCs w:val="18"/>
          <w:lang w:val="es-ES_tradnl"/>
        </w:rPr>
        <w:t>ó</w:t>
      </w:r>
      <w:r>
        <w:rPr>
          <w:spacing w:val="-5"/>
          <w:sz w:val="18"/>
          <w:szCs w:val="18"/>
          <w:lang w:val="es-ES_tradnl"/>
        </w:rPr>
        <w:t>n, alimentaci</w:t>
      </w:r>
      <w:r>
        <w:rPr>
          <w:rFonts w:cs="Times New Roman"/>
          <w:spacing w:val="-5"/>
          <w:sz w:val="18"/>
          <w:szCs w:val="18"/>
          <w:lang w:val="es-ES_tradnl"/>
        </w:rPr>
        <w:t>ó</w:t>
      </w:r>
      <w:r>
        <w:rPr>
          <w:spacing w:val="-5"/>
          <w:sz w:val="18"/>
          <w:szCs w:val="18"/>
          <w:lang w:val="es-ES_tradnl"/>
        </w:rPr>
        <w:t xml:space="preserve">n, desarrollo </w:t>
      </w:r>
      <w:r>
        <w:rPr>
          <w:sz w:val="18"/>
          <w:szCs w:val="18"/>
          <w:lang w:val="es-ES_tradnl"/>
        </w:rPr>
        <w:t>integral y protecci</w:t>
      </w:r>
      <w:r>
        <w:rPr>
          <w:rFonts w:cs="Times New Roman"/>
          <w:sz w:val="18"/>
          <w:szCs w:val="18"/>
          <w:lang w:val="es-ES_tradnl"/>
        </w:rPr>
        <w:t>ó</w:t>
      </w:r>
      <w:r>
        <w:rPr>
          <w:sz w:val="18"/>
          <w:szCs w:val="18"/>
          <w:lang w:val="es-ES_tradnl"/>
        </w:rPr>
        <w:t xml:space="preserve">n de los derechos de sus hijas e </w:t>
      </w:r>
      <w:r>
        <w:rPr>
          <w:spacing w:val="-4"/>
          <w:sz w:val="18"/>
          <w:szCs w:val="18"/>
          <w:lang w:val="es-ES_tradnl"/>
        </w:rPr>
        <w:t>hijos</w:t>
      </w:r>
      <w:r>
        <w:rPr>
          <w:rFonts w:cs="Times New Roman"/>
          <w:spacing w:val="-4"/>
          <w:sz w:val="18"/>
          <w:szCs w:val="18"/>
          <w:lang w:val="es-ES_tradnl"/>
        </w:rPr>
        <w:t>”</w:t>
      </w:r>
      <w:r>
        <w:rPr>
          <w:spacing w:val="-4"/>
          <w:sz w:val="18"/>
          <w:szCs w:val="18"/>
          <w:lang w:val="es-ES_tradnl"/>
        </w:rPr>
        <w:t>, seg</w:t>
      </w:r>
      <w:r>
        <w:rPr>
          <w:rFonts w:cs="Times New Roman"/>
          <w:spacing w:val="-4"/>
          <w:sz w:val="18"/>
          <w:szCs w:val="18"/>
          <w:lang w:val="es-ES_tradnl"/>
        </w:rPr>
        <w:t>ú</w:t>
      </w:r>
      <w:r>
        <w:rPr>
          <w:spacing w:val="-4"/>
          <w:sz w:val="18"/>
          <w:szCs w:val="18"/>
          <w:lang w:val="es-ES_tradnl"/>
        </w:rPr>
        <w:t>n lo dispuesto en el art</w:t>
      </w:r>
      <w:r>
        <w:rPr>
          <w:rFonts w:cs="Times New Roman"/>
          <w:spacing w:val="-4"/>
          <w:sz w:val="18"/>
          <w:szCs w:val="18"/>
          <w:lang w:val="es-ES_tradnl"/>
        </w:rPr>
        <w:t>í</w:t>
      </w:r>
      <w:r>
        <w:rPr>
          <w:spacing w:val="-4"/>
          <w:sz w:val="18"/>
          <w:szCs w:val="18"/>
          <w:lang w:val="es-ES_tradnl"/>
        </w:rPr>
        <w:t xml:space="preserve">culo 69 numeral 1 de </w:t>
      </w:r>
      <w:r>
        <w:rPr>
          <w:spacing w:val="-6"/>
          <w:sz w:val="18"/>
          <w:szCs w:val="18"/>
          <w:lang w:val="es-ES_tradnl"/>
        </w:rPr>
        <w:t>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sin embargo, pueden </w:t>
      </w:r>
      <w:r>
        <w:rPr>
          <w:spacing w:val="-9"/>
          <w:sz w:val="18"/>
          <w:szCs w:val="18"/>
          <w:lang w:val="es-ES_tradnl"/>
        </w:rPr>
        <w:t xml:space="preserve">presentarse casos en los que ello no sea posible, supuesto </w:t>
      </w:r>
      <w:r>
        <w:rPr>
          <w:spacing w:val="-3"/>
          <w:sz w:val="18"/>
          <w:szCs w:val="18"/>
          <w:lang w:val="es-ES_tradnl"/>
        </w:rPr>
        <w:t>para el cual la ley prev</w:t>
      </w:r>
      <w:r>
        <w:rPr>
          <w:rFonts w:cs="Times New Roman"/>
          <w:spacing w:val="-3"/>
          <w:sz w:val="18"/>
          <w:szCs w:val="18"/>
          <w:lang w:val="es-ES_tradnl"/>
        </w:rPr>
        <w:t>é</w:t>
      </w:r>
      <w:r>
        <w:rPr>
          <w:spacing w:val="-3"/>
          <w:sz w:val="18"/>
          <w:szCs w:val="18"/>
          <w:lang w:val="es-ES_tradnl"/>
        </w:rPr>
        <w:t xml:space="preserve"> la posibilidad de hacer recaer </w:t>
      </w:r>
      <w:r>
        <w:rPr>
          <w:spacing w:val="-10"/>
          <w:sz w:val="18"/>
          <w:szCs w:val="18"/>
          <w:lang w:val="es-ES_tradnl"/>
        </w:rPr>
        <w:t>esas obligaciones y deberes en las dem</w:t>
      </w:r>
      <w:r>
        <w:rPr>
          <w:rFonts w:cs="Times New Roman"/>
          <w:spacing w:val="-10"/>
          <w:sz w:val="18"/>
          <w:szCs w:val="18"/>
          <w:lang w:val="es-ES_tradnl"/>
        </w:rPr>
        <w:t>á</w:t>
      </w:r>
      <w:r>
        <w:rPr>
          <w:spacing w:val="-10"/>
          <w:sz w:val="18"/>
          <w:szCs w:val="18"/>
          <w:lang w:val="es-ES_tradnl"/>
        </w:rPr>
        <w:t xml:space="preserve">s personas que </w:t>
      </w:r>
      <w:r>
        <w:rPr>
          <w:spacing w:val="-4"/>
          <w:sz w:val="18"/>
          <w:szCs w:val="18"/>
          <w:lang w:val="es-ES_tradnl"/>
        </w:rPr>
        <w:t>conforman el entorno familiar de las ni</w:t>
      </w:r>
      <w:r>
        <w:rPr>
          <w:rFonts w:cs="Times New Roman"/>
          <w:spacing w:val="-4"/>
          <w:sz w:val="18"/>
          <w:szCs w:val="18"/>
          <w:lang w:val="es-ES_tradnl"/>
        </w:rPr>
        <w:t>ñ</w:t>
      </w:r>
      <w:r>
        <w:rPr>
          <w:spacing w:val="-4"/>
          <w:sz w:val="18"/>
          <w:szCs w:val="18"/>
          <w:lang w:val="es-ES_tradnl"/>
        </w:rPr>
        <w:t>as, ni</w:t>
      </w:r>
      <w:r>
        <w:rPr>
          <w:rFonts w:cs="Times New Roman"/>
          <w:spacing w:val="-4"/>
          <w:sz w:val="18"/>
          <w:szCs w:val="18"/>
          <w:lang w:val="es-ES_tradnl"/>
        </w:rPr>
        <w:t>ñ</w:t>
      </w:r>
      <w:r>
        <w:rPr>
          <w:spacing w:val="-4"/>
          <w:sz w:val="18"/>
          <w:szCs w:val="18"/>
          <w:lang w:val="es-ES_tradnl"/>
        </w:rPr>
        <w:t xml:space="preserve">os y </w:t>
      </w:r>
      <w:r>
        <w:rPr>
          <w:spacing w:val="-7"/>
          <w:sz w:val="18"/>
          <w:szCs w:val="18"/>
          <w:lang w:val="es-ES_tradnl"/>
        </w:rPr>
        <w:t xml:space="preserve">adolescentes, a quienes se les identifica como </w:t>
      </w:r>
      <w:r>
        <w:rPr>
          <w:rFonts w:cs="Times New Roman"/>
          <w:spacing w:val="-7"/>
          <w:sz w:val="18"/>
          <w:szCs w:val="18"/>
          <w:lang w:val="es-ES_tradnl"/>
        </w:rPr>
        <w:t>“</w:t>
      </w:r>
      <w:r>
        <w:rPr>
          <w:spacing w:val="-7"/>
          <w:sz w:val="18"/>
          <w:szCs w:val="18"/>
          <w:lang w:val="es-ES_tradnl"/>
        </w:rPr>
        <w:t xml:space="preserve">obligados </w:t>
      </w:r>
      <w:r>
        <w:rPr>
          <w:spacing w:val="-8"/>
          <w:sz w:val="18"/>
          <w:szCs w:val="18"/>
          <w:lang w:val="es-ES_tradnl"/>
        </w:rPr>
        <w:t>subsidiarios</w:t>
      </w:r>
      <w:r>
        <w:rPr>
          <w:rFonts w:cs="Times New Roman"/>
          <w:spacing w:val="-8"/>
          <w:sz w:val="18"/>
          <w:szCs w:val="18"/>
          <w:lang w:val="es-ES_tradnl"/>
        </w:rPr>
        <w:t>”</w:t>
      </w:r>
      <w:r>
        <w:rPr>
          <w:spacing w:val="-8"/>
          <w:sz w:val="18"/>
          <w:szCs w:val="18"/>
          <w:lang w:val="es-ES_tradnl"/>
        </w:rPr>
        <w:t xml:space="preserve">, siendo estos, en su orden: 1) Los abuelos; 2) </w:t>
      </w:r>
      <w:r>
        <w:rPr>
          <w:spacing w:val="-11"/>
          <w:sz w:val="18"/>
          <w:szCs w:val="18"/>
          <w:lang w:val="es-ES_tradnl"/>
        </w:rPr>
        <w:t>Los hermanos que han cumplido 21 a</w:t>
      </w:r>
      <w:r>
        <w:rPr>
          <w:rFonts w:cs="Times New Roman"/>
          <w:spacing w:val="-11"/>
          <w:sz w:val="18"/>
          <w:szCs w:val="18"/>
          <w:lang w:val="es-ES_tradnl"/>
        </w:rPr>
        <w:t>ñ</w:t>
      </w:r>
      <w:r>
        <w:rPr>
          <w:spacing w:val="-11"/>
          <w:sz w:val="18"/>
          <w:szCs w:val="18"/>
          <w:lang w:val="es-ES_tradnl"/>
        </w:rPr>
        <w:t xml:space="preserve">os de edad que no se </w:t>
      </w:r>
      <w:r>
        <w:rPr>
          <w:spacing w:val="-8"/>
          <w:sz w:val="18"/>
          <w:szCs w:val="18"/>
          <w:lang w:val="es-ES_tradnl"/>
        </w:rPr>
        <w:t xml:space="preserve">hallen cursando estudios que les impidan dedicarse a una </w:t>
      </w:r>
      <w:r>
        <w:rPr>
          <w:spacing w:val="-7"/>
          <w:sz w:val="18"/>
          <w:szCs w:val="18"/>
          <w:lang w:val="es-ES_tradnl"/>
        </w:rPr>
        <w:t>actividad productiva, ni padezcan de discapacidad f</w:t>
      </w:r>
      <w:r>
        <w:rPr>
          <w:rFonts w:cs="Times New Roman"/>
          <w:spacing w:val="-7"/>
          <w:sz w:val="18"/>
          <w:szCs w:val="18"/>
          <w:lang w:val="es-ES_tradnl"/>
        </w:rPr>
        <w:t>í</w:t>
      </w:r>
      <w:r>
        <w:rPr>
          <w:spacing w:val="-7"/>
          <w:sz w:val="18"/>
          <w:szCs w:val="18"/>
          <w:lang w:val="es-ES_tradnl"/>
        </w:rPr>
        <w:t xml:space="preserve">sica o </w:t>
      </w:r>
      <w:r>
        <w:rPr>
          <w:spacing w:val="-6"/>
          <w:sz w:val="18"/>
          <w:szCs w:val="18"/>
          <w:lang w:val="es-ES_tradnl"/>
        </w:rPr>
        <w:t>mental acreditada por el CONADIS y, 3) Los t</w:t>
      </w:r>
      <w:r>
        <w:rPr>
          <w:rFonts w:cs="Times New Roman"/>
          <w:spacing w:val="-6"/>
          <w:sz w:val="18"/>
          <w:szCs w:val="18"/>
          <w:lang w:val="es-ES_tradnl"/>
        </w:rPr>
        <w:t>í</w:t>
      </w:r>
      <w:r>
        <w:rPr>
          <w:spacing w:val="-6"/>
          <w:sz w:val="18"/>
          <w:szCs w:val="18"/>
          <w:lang w:val="es-ES_tradnl"/>
        </w:rPr>
        <w:t>os o t</w:t>
      </w:r>
      <w:r>
        <w:rPr>
          <w:rFonts w:cs="Times New Roman"/>
          <w:spacing w:val="-6"/>
          <w:sz w:val="18"/>
          <w:szCs w:val="18"/>
          <w:lang w:val="es-ES_tradnl"/>
        </w:rPr>
        <w:t>í</w:t>
      </w:r>
      <w:r>
        <w:rPr>
          <w:spacing w:val="-6"/>
          <w:sz w:val="18"/>
          <w:szCs w:val="18"/>
          <w:lang w:val="es-ES_tradnl"/>
        </w:rPr>
        <w:t>as.</w:t>
      </w:r>
    </w:p>
    <w:p w14:paraId="4F67AEC6" w14:textId="77777777" w:rsidR="00591D54" w:rsidRDefault="00591D54">
      <w:pPr>
        <w:shd w:val="clear" w:color="auto" w:fill="FFFFFF"/>
        <w:spacing w:before="192" w:line="211" w:lineRule="exact"/>
        <w:jc w:val="both"/>
      </w:pPr>
      <w:r>
        <w:rPr>
          <w:spacing w:val="-13"/>
          <w:sz w:val="18"/>
          <w:szCs w:val="18"/>
          <w:lang w:val="es-ES_tradnl"/>
        </w:rPr>
        <w:t xml:space="preserve">De lo anotado se infiere entonces que al proponerse demanda </w:t>
      </w:r>
      <w:r>
        <w:rPr>
          <w:spacing w:val="-8"/>
          <w:sz w:val="18"/>
          <w:szCs w:val="18"/>
          <w:lang w:val="es-ES_tradnl"/>
        </w:rPr>
        <w:t>de alimentos a favor de ni</w:t>
      </w:r>
      <w:r>
        <w:rPr>
          <w:rFonts w:cs="Times New Roman"/>
          <w:spacing w:val="-8"/>
          <w:sz w:val="18"/>
          <w:szCs w:val="18"/>
          <w:lang w:val="es-ES_tradnl"/>
        </w:rPr>
        <w:t>ñ</w:t>
      </w:r>
      <w:r>
        <w:rPr>
          <w:spacing w:val="-8"/>
          <w:sz w:val="18"/>
          <w:szCs w:val="18"/>
          <w:lang w:val="es-ES_tradnl"/>
        </w:rPr>
        <w:t>as, ni</w:t>
      </w:r>
      <w:r>
        <w:rPr>
          <w:rFonts w:cs="Times New Roman"/>
          <w:spacing w:val="-8"/>
          <w:sz w:val="18"/>
          <w:szCs w:val="18"/>
          <w:lang w:val="es-ES_tradnl"/>
        </w:rPr>
        <w:t>ñ</w:t>
      </w:r>
      <w:r>
        <w:rPr>
          <w:spacing w:val="-8"/>
          <w:sz w:val="18"/>
          <w:szCs w:val="18"/>
          <w:lang w:val="es-ES_tradnl"/>
        </w:rPr>
        <w:t>os y adolescentes, dicho reclamo deber</w:t>
      </w:r>
      <w:r>
        <w:rPr>
          <w:rFonts w:cs="Times New Roman"/>
          <w:spacing w:val="-8"/>
          <w:sz w:val="18"/>
          <w:szCs w:val="18"/>
          <w:lang w:val="es-ES_tradnl"/>
        </w:rPr>
        <w:t>á</w:t>
      </w:r>
      <w:r>
        <w:rPr>
          <w:spacing w:val="-8"/>
          <w:sz w:val="18"/>
          <w:szCs w:val="18"/>
          <w:lang w:val="es-ES_tradnl"/>
        </w:rPr>
        <w:t xml:space="preserve"> estar dirigido contra los padres de aquellos</w:t>
      </w:r>
    </w:p>
    <w:p w14:paraId="4F67AEC7" w14:textId="77777777" w:rsidR="00591D54" w:rsidRDefault="00591D54">
      <w:pPr>
        <w:shd w:val="clear" w:color="auto" w:fill="FFFFFF"/>
        <w:tabs>
          <w:tab w:val="left" w:pos="144"/>
        </w:tabs>
        <w:spacing w:line="211" w:lineRule="exact"/>
        <w:jc w:val="both"/>
      </w:pPr>
      <w:r>
        <w:rPr>
          <w:sz w:val="18"/>
          <w:szCs w:val="18"/>
          <w:lang w:val="es-ES_tradnl"/>
        </w:rPr>
        <w:t>0</w:t>
      </w:r>
      <w:r>
        <w:rPr>
          <w:sz w:val="18"/>
          <w:szCs w:val="18"/>
          <w:lang w:val="es-ES_tradnl"/>
        </w:rPr>
        <w:tab/>
      </w:r>
      <w:r>
        <w:rPr>
          <w:spacing w:val="-5"/>
          <w:sz w:val="18"/>
          <w:szCs w:val="18"/>
          <w:lang w:val="es-ES_tradnl"/>
        </w:rPr>
        <w:t>a falta, o imposibilidad de dichos obligados principales, </w:t>
      </w:r>
      <w:r>
        <w:rPr>
          <w:spacing w:val="-6"/>
          <w:sz w:val="18"/>
          <w:szCs w:val="18"/>
          <w:lang w:val="es-ES_tradnl"/>
        </w:rPr>
        <w:t>bien se puede exigir el pago de la respectiva pensi</w:t>
      </w:r>
      <w:r>
        <w:rPr>
          <w:rFonts w:cs="Times New Roman"/>
          <w:spacing w:val="-6"/>
          <w:sz w:val="18"/>
          <w:szCs w:val="18"/>
          <w:lang w:val="es-ES_tradnl"/>
        </w:rPr>
        <w:t>ó</w:t>
      </w:r>
      <w:r>
        <w:rPr>
          <w:spacing w:val="-6"/>
          <w:sz w:val="18"/>
          <w:szCs w:val="18"/>
          <w:lang w:val="es-ES_tradnl"/>
        </w:rPr>
        <w:t>n </w:t>
      </w:r>
      <w:r>
        <w:rPr>
          <w:spacing w:val="-7"/>
          <w:sz w:val="18"/>
          <w:szCs w:val="18"/>
          <w:lang w:val="es-ES_tradnl"/>
        </w:rPr>
        <w:t>alimenticia a los dem</w:t>
      </w:r>
      <w:r>
        <w:rPr>
          <w:rFonts w:cs="Times New Roman"/>
          <w:spacing w:val="-7"/>
          <w:sz w:val="18"/>
          <w:szCs w:val="18"/>
          <w:lang w:val="es-ES_tradnl"/>
        </w:rPr>
        <w:t>á</w:t>
      </w:r>
      <w:r>
        <w:rPr>
          <w:spacing w:val="-7"/>
          <w:sz w:val="18"/>
          <w:szCs w:val="18"/>
          <w:lang w:val="es-ES_tradnl"/>
        </w:rPr>
        <w:t>s parientes, en calidad de obligados </w:t>
      </w:r>
      <w:r>
        <w:rPr>
          <w:spacing w:val="-12"/>
          <w:sz w:val="18"/>
          <w:szCs w:val="18"/>
          <w:lang w:val="es-ES_tradnl"/>
        </w:rPr>
        <w:t>subsidiarios, pues de esta manera se garantizar</w:t>
      </w:r>
      <w:r>
        <w:rPr>
          <w:rFonts w:cs="Times New Roman"/>
          <w:spacing w:val="-12"/>
          <w:sz w:val="18"/>
          <w:szCs w:val="18"/>
          <w:lang w:val="es-ES_tradnl"/>
        </w:rPr>
        <w:t>á</w:t>
      </w:r>
      <w:r>
        <w:rPr>
          <w:spacing w:val="-12"/>
          <w:sz w:val="18"/>
          <w:szCs w:val="18"/>
          <w:lang w:val="es-ES_tradnl"/>
        </w:rPr>
        <w:t xml:space="preserve"> la aplicaci</w:t>
      </w:r>
      <w:r>
        <w:rPr>
          <w:rFonts w:cs="Times New Roman"/>
          <w:spacing w:val="-12"/>
          <w:sz w:val="18"/>
          <w:szCs w:val="18"/>
          <w:lang w:val="es-ES_tradnl"/>
        </w:rPr>
        <w:t>ó</w:t>
      </w:r>
      <w:r>
        <w:rPr>
          <w:spacing w:val="-12"/>
          <w:sz w:val="18"/>
          <w:szCs w:val="18"/>
          <w:lang w:val="es-ES_tradnl"/>
        </w:rPr>
        <w:t>n </w:t>
      </w:r>
      <w:r>
        <w:rPr>
          <w:spacing w:val="-5"/>
          <w:sz w:val="18"/>
          <w:szCs w:val="18"/>
          <w:lang w:val="es-ES_tradnl"/>
        </w:rPr>
        <w:t>del principio del inter</w:t>
      </w:r>
      <w:r>
        <w:rPr>
          <w:rFonts w:cs="Times New Roman"/>
          <w:spacing w:val="-5"/>
          <w:sz w:val="18"/>
          <w:szCs w:val="18"/>
          <w:lang w:val="es-ES_tradnl"/>
        </w:rPr>
        <w:t>é</w:t>
      </w:r>
      <w:r>
        <w:rPr>
          <w:spacing w:val="-5"/>
          <w:sz w:val="18"/>
          <w:szCs w:val="18"/>
          <w:lang w:val="es-ES_tradnl"/>
        </w:rPr>
        <w:t>s superior de las ni</w:t>
      </w:r>
      <w:r>
        <w:rPr>
          <w:rFonts w:cs="Times New Roman"/>
          <w:spacing w:val="-5"/>
          <w:sz w:val="18"/>
          <w:szCs w:val="18"/>
          <w:lang w:val="es-ES_tradnl"/>
        </w:rPr>
        <w:t>ñ</w:t>
      </w:r>
      <w:r>
        <w:rPr>
          <w:spacing w:val="-5"/>
          <w:sz w:val="18"/>
          <w:szCs w:val="18"/>
          <w:lang w:val="es-ES_tradnl"/>
        </w:rPr>
        <w:t>as, ni</w:t>
      </w:r>
      <w:r>
        <w:rPr>
          <w:rFonts w:cs="Times New Roman"/>
          <w:spacing w:val="-5"/>
          <w:sz w:val="18"/>
          <w:szCs w:val="18"/>
          <w:lang w:val="es-ES_tradnl"/>
        </w:rPr>
        <w:t>ñ</w:t>
      </w:r>
      <w:r>
        <w:rPr>
          <w:spacing w:val="-5"/>
          <w:sz w:val="18"/>
          <w:szCs w:val="18"/>
          <w:lang w:val="es-ES_tradnl"/>
        </w:rPr>
        <w:t>os y </w:t>
      </w:r>
      <w:r>
        <w:rPr>
          <w:spacing w:val="-11"/>
          <w:sz w:val="18"/>
          <w:szCs w:val="18"/>
          <w:lang w:val="es-ES_tradnl"/>
        </w:rPr>
        <w:t xml:space="preserve">adolescentes, cuyos derechos </w:t>
      </w:r>
      <w:r>
        <w:rPr>
          <w:rFonts w:cs="Times New Roman"/>
          <w:spacing w:val="-11"/>
          <w:sz w:val="18"/>
          <w:szCs w:val="18"/>
          <w:lang w:val="es-ES_tradnl"/>
        </w:rPr>
        <w:t>“</w:t>
      </w:r>
      <w:r>
        <w:rPr>
          <w:spacing w:val="-11"/>
          <w:sz w:val="18"/>
          <w:szCs w:val="18"/>
          <w:lang w:val="es-ES_tradnl"/>
        </w:rPr>
        <w:t>prevalecer</w:t>
      </w:r>
      <w:r>
        <w:rPr>
          <w:rFonts w:cs="Times New Roman"/>
          <w:spacing w:val="-11"/>
          <w:sz w:val="18"/>
          <w:szCs w:val="18"/>
          <w:lang w:val="es-ES_tradnl"/>
        </w:rPr>
        <w:t>á</w:t>
      </w:r>
      <w:r>
        <w:rPr>
          <w:spacing w:val="-11"/>
          <w:sz w:val="18"/>
          <w:szCs w:val="18"/>
          <w:lang w:val="es-ES_tradnl"/>
        </w:rPr>
        <w:t>n sobre los de las </w:t>
      </w:r>
      <w:r>
        <w:rPr>
          <w:spacing w:val="-9"/>
          <w:sz w:val="18"/>
          <w:szCs w:val="18"/>
          <w:lang w:val="es-ES_tradnl"/>
        </w:rPr>
        <w:t>dem</w:t>
      </w:r>
      <w:r>
        <w:rPr>
          <w:rFonts w:cs="Times New Roman"/>
          <w:spacing w:val="-9"/>
          <w:sz w:val="18"/>
          <w:szCs w:val="18"/>
          <w:lang w:val="es-ES_tradnl"/>
        </w:rPr>
        <w:t>á</w:t>
      </w:r>
      <w:r>
        <w:rPr>
          <w:spacing w:val="-9"/>
          <w:sz w:val="18"/>
          <w:szCs w:val="18"/>
          <w:lang w:val="es-ES_tradnl"/>
        </w:rPr>
        <w:t>s personas</w:t>
      </w:r>
      <w:r>
        <w:rPr>
          <w:rFonts w:cs="Times New Roman"/>
          <w:spacing w:val="-9"/>
          <w:sz w:val="18"/>
          <w:szCs w:val="18"/>
          <w:lang w:val="es-ES_tradnl"/>
        </w:rPr>
        <w:t>”</w:t>
      </w:r>
      <w:r>
        <w:rPr>
          <w:spacing w:val="-9"/>
          <w:sz w:val="18"/>
          <w:szCs w:val="18"/>
          <w:lang w:val="es-ES_tradnl"/>
        </w:rPr>
        <w:t>, conforme lo consagra el art</w:t>
      </w:r>
      <w:r>
        <w:rPr>
          <w:rFonts w:cs="Times New Roman"/>
          <w:spacing w:val="-9"/>
          <w:sz w:val="18"/>
          <w:szCs w:val="18"/>
          <w:lang w:val="es-ES_tradnl"/>
        </w:rPr>
        <w:t>í</w:t>
      </w:r>
      <w:r>
        <w:rPr>
          <w:spacing w:val="-9"/>
          <w:sz w:val="18"/>
          <w:szCs w:val="18"/>
          <w:lang w:val="es-ES_tradnl"/>
        </w:rPr>
        <w:t>culo 44 de la </w:t>
      </w:r>
      <w:r>
        <w:rPr>
          <w:spacing w:val="-8"/>
          <w:sz w:val="18"/>
          <w:szCs w:val="18"/>
          <w:lang w:val="es-ES_tradnl"/>
        </w:rPr>
        <w:t>Carta Suprema de la Rep</w:t>
      </w:r>
      <w:r>
        <w:rPr>
          <w:rFonts w:cs="Times New Roman"/>
          <w:spacing w:val="-8"/>
          <w:sz w:val="18"/>
          <w:szCs w:val="18"/>
          <w:lang w:val="es-ES_tradnl"/>
        </w:rPr>
        <w:t>ú</w:t>
      </w:r>
      <w:r>
        <w:rPr>
          <w:spacing w:val="-8"/>
          <w:sz w:val="18"/>
          <w:szCs w:val="18"/>
          <w:lang w:val="es-ES_tradnl"/>
        </w:rPr>
        <w:t>blica; principio en virtud del cual, </w:t>
      </w:r>
      <w:r>
        <w:rPr>
          <w:spacing w:val="-9"/>
          <w:sz w:val="18"/>
          <w:szCs w:val="18"/>
          <w:lang w:val="es-ES_tradnl"/>
        </w:rPr>
        <w:t>en caso de confl icto de derechos de igual rango, el derecho </w:t>
      </w:r>
      <w:r>
        <w:rPr>
          <w:spacing w:val="-6"/>
          <w:sz w:val="18"/>
          <w:szCs w:val="18"/>
          <w:lang w:val="es-ES_tradnl"/>
        </w:rPr>
        <w:t>de prioridad del inter</w:t>
      </w:r>
      <w:r>
        <w:rPr>
          <w:rFonts w:cs="Times New Roman"/>
          <w:spacing w:val="-6"/>
          <w:sz w:val="18"/>
          <w:szCs w:val="18"/>
          <w:lang w:val="es-ES_tradnl"/>
        </w:rPr>
        <w:t>é</w:t>
      </w:r>
      <w:r>
        <w:rPr>
          <w:spacing w:val="-6"/>
          <w:sz w:val="18"/>
          <w:szCs w:val="18"/>
          <w:lang w:val="es-ES_tradnl"/>
        </w:rPr>
        <w:t>s superior del ni</w:t>
      </w:r>
      <w:r>
        <w:rPr>
          <w:rFonts w:cs="Times New Roman"/>
          <w:spacing w:val="-6"/>
          <w:sz w:val="18"/>
          <w:szCs w:val="18"/>
          <w:lang w:val="es-ES_tradnl"/>
        </w:rPr>
        <w:t>ñ</w:t>
      </w:r>
      <w:r>
        <w:rPr>
          <w:spacing w:val="-6"/>
          <w:sz w:val="18"/>
          <w:szCs w:val="18"/>
          <w:lang w:val="es-ES_tradnl"/>
        </w:rPr>
        <w:t>o/ni</w:t>
      </w:r>
      <w:r>
        <w:rPr>
          <w:rFonts w:cs="Times New Roman"/>
          <w:spacing w:val="-6"/>
          <w:sz w:val="18"/>
          <w:szCs w:val="18"/>
          <w:lang w:val="es-ES_tradnl"/>
        </w:rPr>
        <w:t>ñ</w:t>
      </w:r>
      <w:r>
        <w:rPr>
          <w:spacing w:val="-6"/>
          <w:sz w:val="18"/>
          <w:szCs w:val="18"/>
          <w:lang w:val="es-ES_tradnl"/>
        </w:rPr>
        <w:t>a prima sobre </w:t>
      </w:r>
      <w:r>
        <w:rPr>
          <w:spacing w:val="-11"/>
          <w:sz w:val="18"/>
          <w:szCs w:val="18"/>
          <w:lang w:val="es-ES_tradnl"/>
        </w:rPr>
        <w:t>cualquier otro que pueda afectar derechos fundamentales de </w:t>
      </w:r>
      <w:r>
        <w:rPr>
          <w:spacing w:val="-10"/>
          <w:sz w:val="18"/>
          <w:szCs w:val="18"/>
          <w:lang w:val="es-ES_tradnl"/>
        </w:rPr>
        <w:t>aquellos. As</w:t>
      </w:r>
      <w:r>
        <w:rPr>
          <w:rFonts w:cs="Times New Roman"/>
          <w:spacing w:val="-10"/>
          <w:sz w:val="18"/>
          <w:szCs w:val="18"/>
          <w:lang w:val="es-ES_tradnl"/>
        </w:rPr>
        <w:t>í</w:t>
      </w:r>
      <w:r>
        <w:rPr>
          <w:spacing w:val="-10"/>
          <w:sz w:val="18"/>
          <w:szCs w:val="18"/>
          <w:lang w:val="es-ES_tradnl"/>
        </w:rPr>
        <w:t>, ni el inter</w:t>
      </w:r>
      <w:r>
        <w:rPr>
          <w:rFonts w:cs="Times New Roman"/>
          <w:spacing w:val="-10"/>
          <w:sz w:val="18"/>
          <w:szCs w:val="18"/>
          <w:lang w:val="es-ES_tradnl"/>
        </w:rPr>
        <w:t>é</w:t>
      </w:r>
      <w:r>
        <w:rPr>
          <w:spacing w:val="-10"/>
          <w:sz w:val="18"/>
          <w:szCs w:val="18"/>
          <w:lang w:val="es-ES_tradnl"/>
        </w:rPr>
        <w:t>s de los padres, ni el de la sociedad, </w:t>
      </w:r>
      <w:r>
        <w:rPr>
          <w:spacing w:val="-6"/>
          <w:sz w:val="18"/>
          <w:szCs w:val="18"/>
          <w:lang w:val="es-ES_tradnl"/>
        </w:rPr>
        <w:t>ni el del Estado pueden ser considerados prioritarios en </w:t>
      </w:r>
      <w:r>
        <w:rPr>
          <w:sz w:val="18"/>
          <w:szCs w:val="18"/>
          <w:lang w:val="es-ES_tradnl"/>
        </w:rPr>
        <w:t>relaci</w:t>
      </w:r>
      <w:r>
        <w:rPr>
          <w:rFonts w:cs="Times New Roman"/>
          <w:sz w:val="18"/>
          <w:szCs w:val="18"/>
          <w:lang w:val="es-ES_tradnl"/>
        </w:rPr>
        <w:t>ó</w:t>
      </w:r>
      <w:r>
        <w:rPr>
          <w:sz w:val="18"/>
          <w:szCs w:val="18"/>
          <w:lang w:val="es-ES_tradnl"/>
        </w:rPr>
        <w:t>n a los derechos del ni</w:t>
      </w:r>
      <w:r>
        <w:rPr>
          <w:rFonts w:cs="Times New Roman"/>
          <w:sz w:val="18"/>
          <w:szCs w:val="18"/>
          <w:lang w:val="es-ES_tradnl"/>
        </w:rPr>
        <w:t>ñ</w:t>
      </w:r>
      <w:r>
        <w:rPr>
          <w:sz w:val="18"/>
          <w:szCs w:val="18"/>
          <w:lang w:val="es-ES_tradnl"/>
        </w:rPr>
        <w:t>o/ni</w:t>
      </w:r>
      <w:r>
        <w:rPr>
          <w:rFonts w:cs="Times New Roman"/>
          <w:sz w:val="18"/>
          <w:szCs w:val="18"/>
          <w:lang w:val="es-ES_tradnl"/>
        </w:rPr>
        <w:t>ñ</w:t>
      </w:r>
      <w:r>
        <w:rPr>
          <w:sz w:val="18"/>
          <w:szCs w:val="18"/>
          <w:lang w:val="es-ES_tradnl"/>
        </w:rPr>
        <w:t>a</w:t>
      </w:r>
      <w:r>
        <w:rPr>
          <w:sz w:val="18"/>
          <w:szCs w:val="18"/>
          <w:vertAlign w:val="superscript"/>
          <w:lang w:val="es-ES_tradnl"/>
        </w:rPr>
        <w:t>1</w:t>
      </w:r>
      <w:r>
        <w:rPr>
          <w:sz w:val="18"/>
          <w:szCs w:val="18"/>
          <w:lang w:val="es-ES_tradnl"/>
        </w:rPr>
        <w:t>.</w:t>
      </w:r>
    </w:p>
    <w:p w14:paraId="4F67AEC8" w14:textId="77777777" w:rsidR="00591D54" w:rsidRDefault="00591D54">
      <w:pPr>
        <w:shd w:val="clear" w:color="auto" w:fill="FFFFFF"/>
        <w:tabs>
          <w:tab w:val="left" w:pos="144"/>
        </w:tabs>
        <w:spacing w:before="509" w:line="178" w:lineRule="exact"/>
        <w:ind w:left="144" w:hanging="144"/>
        <w:jc w:val="both"/>
      </w:pPr>
      <w:r>
        <w:rPr>
          <w:sz w:val="16"/>
          <w:szCs w:val="16"/>
          <w:vertAlign w:val="superscript"/>
          <w:lang w:val="es-ES_tradnl"/>
        </w:rPr>
        <w:t>1</w:t>
      </w:r>
      <w:r>
        <w:rPr>
          <w:sz w:val="18"/>
          <w:szCs w:val="18"/>
          <w:lang w:val="es-ES_tradnl"/>
        </w:rPr>
        <w:tab/>
      </w:r>
      <w:r>
        <w:rPr>
          <w:sz w:val="14"/>
          <w:szCs w:val="14"/>
          <w:lang w:val="es-ES_tradnl"/>
        </w:rPr>
        <w:t>GATICA</w:t>
      </w:r>
      <w:r>
        <w:rPr>
          <w:sz w:val="18"/>
          <w:szCs w:val="18"/>
          <w:lang w:val="es-ES_tradnl"/>
        </w:rPr>
        <w:t xml:space="preserve"> </w:t>
      </w:r>
      <w:r>
        <w:rPr>
          <w:sz w:val="14"/>
          <w:szCs w:val="14"/>
          <w:lang w:val="es-ES_tradnl"/>
        </w:rPr>
        <w:t>Nora</w:t>
      </w:r>
      <w:r>
        <w:rPr>
          <w:sz w:val="18"/>
          <w:szCs w:val="18"/>
          <w:lang w:val="es-ES_tradnl"/>
        </w:rPr>
        <w:t xml:space="preserve"> </w:t>
      </w:r>
      <w:r>
        <w:rPr>
          <w:sz w:val="14"/>
          <w:szCs w:val="14"/>
          <w:lang w:val="es-ES_tradnl"/>
        </w:rPr>
        <w:t>y</w:t>
      </w:r>
      <w:r>
        <w:rPr>
          <w:sz w:val="18"/>
          <w:szCs w:val="18"/>
          <w:lang w:val="es-ES_tradnl"/>
        </w:rPr>
        <w:t xml:space="preserve"> </w:t>
      </w:r>
      <w:r>
        <w:rPr>
          <w:sz w:val="14"/>
          <w:szCs w:val="14"/>
          <w:lang w:val="es-ES_tradnl"/>
        </w:rPr>
        <w:t>CHAIMOVIC</w:t>
      </w:r>
      <w:r>
        <w:rPr>
          <w:sz w:val="18"/>
          <w:szCs w:val="18"/>
          <w:lang w:val="es-ES_tradnl"/>
        </w:rPr>
        <w:t xml:space="preserve"> </w:t>
      </w:r>
      <w:r>
        <w:rPr>
          <w:sz w:val="14"/>
          <w:szCs w:val="14"/>
          <w:lang w:val="es-ES_tradnl"/>
        </w:rPr>
        <w:t>Claudia;</w:t>
      </w:r>
      <w:r>
        <w:rPr>
          <w:sz w:val="18"/>
          <w:szCs w:val="18"/>
          <w:lang w:val="es-ES_tradnl"/>
        </w:rPr>
        <w:t xml:space="preserve"> </w:t>
      </w:r>
      <w:r>
        <w:rPr>
          <w:rFonts w:cs="Times New Roman"/>
          <w:sz w:val="14"/>
          <w:szCs w:val="14"/>
          <w:lang w:val="es-ES_tradnl"/>
        </w:rPr>
        <w:t>“</w:t>
      </w:r>
      <w:r>
        <w:rPr>
          <w:sz w:val="14"/>
          <w:szCs w:val="14"/>
          <w:lang w:val="es-ES_tradnl"/>
        </w:rPr>
        <w:t>La</w:t>
      </w:r>
      <w:r>
        <w:rPr>
          <w:sz w:val="18"/>
          <w:szCs w:val="18"/>
          <w:lang w:val="es-ES_tradnl"/>
        </w:rPr>
        <w:t xml:space="preserve"> </w:t>
      </w:r>
      <w:r>
        <w:rPr>
          <w:sz w:val="14"/>
          <w:szCs w:val="14"/>
          <w:lang w:val="es-ES_tradnl"/>
        </w:rPr>
        <w:t>justicia</w:t>
      </w:r>
      <w:r>
        <w:rPr>
          <w:sz w:val="18"/>
          <w:szCs w:val="18"/>
          <w:lang w:val="es-ES_tradnl"/>
        </w:rPr>
        <w:t xml:space="preserve"> </w:t>
      </w:r>
      <w:r>
        <w:rPr>
          <w:sz w:val="14"/>
          <w:szCs w:val="14"/>
          <w:lang w:val="es-ES_tradnl"/>
        </w:rPr>
        <w:t>no</w:t>
      </w:r>
      <w:r>
        <w:rPr>
          <w:sz w:val="18"/>
          <w:szCs w:val="18"/>
          <w:lang w:val="es-ES_tradnl"/>
        </w:rPr>
        <w:t xml:space="preserve"> </w:t>
      </w:r>
      <w:r>
        <w:rPr>
          <w:sz w:val="14"/>
          <w:szCs w:val="14"/>
          <w:lang w:val="es-ES_tradnl"/>
        </w:rPr>
        <w:t>entra</w:t>
      </w:r>
      <w:r>
        <w:rPr>
          <w:sz w:val="18"/>
          <w:szCs w:val="18"/>
          <w:lang w:val="es-ES_tradnl"/>
        </w:rPr>
        <w:t xml:space="preserve"> </w:t>
      </w:r>
      <w:r>
        <w:rPr>
          <w:sz w:val="14"/>
          <w:szCs w:val="14"/>
          <w:lang w:val="es-ES_tradnl"/>
        </w:rPr>
        <w:t>a la escuela. An</w:t>
      </w:r>
      <w:r>
        <w:rPr>
          <w:rFonts w:cs="Times New Roman"/>
          <w:sz w:val="14"/>
          <w:szCs w:val="14"/>
          <w:lang w:val="es-ES_tradnl"/>
        </w:rPr>
        <w:t>á</w:t>
      </w:r>
      <w:r>
        <w:rPr>
          <w:sz w:val="14"/>
          <w:szCs w:val="14"/>
          <w:lang w:val="es-ES_tradnl"/>
        </w:rPr>
        <w:t>lisis de los principales principios contenidos en la Convenci</w:t>
      </w:r>
      <w:r>
        <w:rPr>
          <w:rFonts w:cs="Times New Roman"/>
          <w:sz w:val="14"/>
          <w:szCs w:val="14"/>
          <w:lang w:val="es-ES_tradnl"/>
        </w:rPr>
        <w:t>ó</w:t>
      </w:r>
      <w:r>
        <w:rPr>
          <w:sz w:val="14"/>
          <w:szCs w:val="14"/>
          <w:lang w:val="es-ES_tradnl"/>
        </w:rPr>
        <w:t>n sobre los Derechos del Ni</w:t>
      </w:r>
      <w:r>
        <w:rPr>
          <w:rFonts w:cs="Times New Roman"/>
          <w:sz w:val="14"/>
          <w:szCs w:val="14"/>
          <w:lang w:val="es-ES_tradnl"/>
        </w:rPr>
        <w:t>ñ</w:t>
      </w:r>
      <w:r>
        <w:rPr>
          <w:sz w:val="14"/>
          <w:szCs w:val="14"/>
          <w:lang w:val="es-ES_tradnl"/>
        </w:rPr>
        <w:t>o</w:t>
      </w:r>
      <w:r>
        <w:rPr>
          <w:rFonts w:cs="Times New Roman"/>
          <w:sz w:val="14"/>
          <w:szCs w:val="14"/>
          <w:lang w:val="es-ES_tradnl"/>
        </w:rPr>
        <w:t>”</w:t>
      </w:r>
      <w:r>
        <w:rPr>
          <w:sz w:val="14"/>
          <w:szCs w:val="14"/>
          <w:lang w:val="es-ES_tradnl"/>
        </w:rPr>
        <w:t xml:space="preserve">; Revista </w:t>
      </w:r>
      <w:r>
        <w:rPr>
          <w:rFonts w:cs="Times New Roman"/>
          <w:sz w:val="14"/>
          <w:szCs w:val="14"/>
          <w:lang w:val="es-ES_tradnl"/>
        </w:rPr>
        <w:t>“</w:t>
      </w:r>
      <w:r>
        <w:rPr>
          <w:sz w:val="14"/>
          <w:szCs w:val="14"/>
          <w:lang w:val="es-ES_tradnl"/>
        </w:rPr>
        <w:t>La Semana </w:t>
      </w:r>
      <w:r>
        <w:rPr>
          <w:spacing w:val="-1"/>
          <w:sz w:val="14"/>
          <w:szCs w:val="14"/>
          <w:lang w:val="es-ES_tradnl"/>
        </w:rPr>
        <w:t>Jur</w:t>
      </w:r>
      <w:r>
        <w:rPr>
          <w:rFonts w:cs="Times New Roman"/>
          <w:spacing w:val="-1"/>
          <w:sz w:val="14"/>
          <w:szCs w:val="14"/>
          <w:lang w:val="es-ES_tradnl"/>
        </w:rPr>
        <w:t>í</w:t>
      </w:r>
      <w:r>
        <w:rPr>
          <w:spacing w:val="-1"/>
          <w:sz w:val="14"/>
          <w:szCs w:val="14"/>
          <w:lang w:val="es-ES_tradnl"/>
        </w:rPr>
        <w:t>dica</w:t>
      </w:r>
      <w:r>
        <w:rPr>
          <w:rFonts w:cs="Times New Roman"/>
          <w:spacing w:val="-1"/>
          <w:sz w:val="14"/>
          <w:szCs w:val="14"/>
          <w:lang w:val="es-ES_tradnl"/>
        </w:rPr>
        <w:t>”</w:t>
      </w:r>
      <w:r>
        <w:rPr>
          <w:spacing w:val="-1"/>
          <w:sz w:val="14"/>
          <w:szCs w:val="14"/>
          <w:lang w:val="es-ES_tradnl"/>
        </w:rPr>
        <w:t xml:space="preserve"> del 13 al 19 de mayo de 2002 - Chile; citadas por Gonzalo </w:t>
      </w:r>
      <w:r>
        <w:rPr>
          <w:sz w:val="14"/>
          <w:szCs w:val="14"/>
          <w:lang w:val="es-ES_tradnl"/>
        </w:rPr>
        <w:t xml:space="preserve">Aguilar Cavallo en </w:t>
      </w:r>
      <w:r>
        <w:rPr>
          <w:rFonts w:cs="Times New Roman"/>
          <w:sz w:val="14"/>
          <w:szCs w:val="14"/>
          <w:lang w:val="es-ES_tradnl"/>
        </w:rPr>
        <w:t>“</w:t>
      </w:r>
      <w:r>
        <w:rPr>
          <w:sz w:val="14"/>
          <w:szCs w:val="14"/>
          <w:lang w:val="es-ES_tradnl"/>
        </w:rPr>
        <w:t>El principio del inter</w:t>
      </w:r>
      <w:r>
        <w:rPr>
          <w:rFonts w:cs="Times New Roman"/>
          <w:sz w:val="14"/>
          <w:szCs w:val="14"/>
          <w:lang w:val="es-ES_tradnl"/>
        </w:rPr>
        <w:t>é</w:t>
      </w:r>
      <w:r>
        <w:rPr>
          <w:sz w:val="14"/>
          <w:szCs w:val="14"/>
          <w:lang w:val="es-ES_tradnl"/>
        </w:rPr>
        <w:t>s superior del ni</w:t>
      </w:r>
      <w:r>
        <w:rPr>
          <w:rFonts w:cs="Times New Roman"/>
          <w:sz w:val="14"/>
          <w:szCs w:val="14"/>
          <w:lang w:val="es-ES_tradnl"/>
        </w:rPr>
        <w:t>ñ</w:t>
      </w:r>
      <w:r>
        <w:rPr>
          <w:sz w:val="14"/>
          <w:szCs w:val="14"/>
          <w:lang w:val="es-ES_tradnl"/>
        </w:rPr>
        <w:t>o y la Corte Interamericana de Derechos Humanos</w:t>
      </w:r>
      <w:r>
        <w:rPr>
          <w:rFonts w:cs="Times New Roman"/>
          <w:sz w:val="14"/>
          <w:szCs w:val="14"/>
          <w:lang w:val="es-ES_tradnl"/>
        </w:rPr>
        <w:t>”</w:t>
      </w:r>
      <w:r>
        <w:rPr>
          <w:sz w:val="14"/>
          <w:szCs w:val="14"/>
          <w:lang w:val="es-ES_tradnl"/>
        </w:rPr>
        <w:t xml:space="preserve">; Serie </w:t>
      </w:r>
      <w:r>
        <w:rPr>
          <w:rFonts w:cs="Times New Roman"/>
          <w:sz w:val="14"/>
          <w:szCs w:val="14"/>
          <w:lang w:val="es-ES_tradnl"/>
        </w:rPr>
        <w:t>“</w:t>
      </w:r>
      <w:r>
        <w:rPr>
          <w:sz w:val="14"/>
          <w:szCs w:val="14"/>
          <w:lang w:val="es-ES_tradnl"/>
        </w:rPr>
        <w:t>Estudios </w:t>
      </w:r>
      <w:r>
        <w:rPr>
          <w:spacing w:val="-1"/>
          <w:sz w:val="14"/>
          <w:szCs w:val="14"/>
          <w:lang w:val="es-ES_tradnl"/>
        </w:rPr>
        <w:t>Constitucionales</w:t>
      </w:r>
      <w:r>
        <w:rPr>
          <w:rFonts w:cs="Times New Roman"/>
          <w:spacing w:val="-1"/>
          <w:sz w:val="14"/>
          <w:szCs w:val="14"/>
          <w:lang w:val="es-ES_tradnl"/>
        </w:rPr>
        <w:t>”</w:t>
      </w:r>
      <w:r>
        <w:rPr>
          <w:spacing w:val="-1"/>
          <w:sz w:val="14"/>
          <w:szCs w:val="14"/>
          <w:lang w:val="es-ES_tradnl"/>
        </w:rPr>
        <w:t xml:space="preserve"> </w:t>
      </w:r>
      <w:r>
        <w:rPr>
          <w:rFonts w:cs="Times New Roman"/>
          <w:spacing w:val="-1"/>
          <w:sz w:val="14"/>
          <w:szCs w:val="14"/>
          <w:lang w:val="es-ES_tradnl"/>
        </w:rPr>
        <w:t>–</w:t>
      </w:r>
      <w:r>
        <w:rPr>
          <w:spacing w:val="-1"/>
          <w:sz w:val="14"/>
          <w:szCs w:val="14"/>
          <w:lang w:val="es-ES_tradnl"/>
        </w:rPr>
        <w:t xml:space="preserve"> Centro de Estudios Constitucionales de Chile </w:t>
      </w:r>
      <w:r>
        <w:rPr>
          <w:rFonts w:cs="Times New Roman"/>
          <w:spacing w:val="-1"/>
          <w:sz w:val="14"/>
          <w:szCs w:val="14"/>
          <w:lang w:val="es-ES_tradnl"/>
        </w:rPr>
        <w:t>– </w:t>
      </w:r>
      <w:r>
        <w:rPr>
          <w:sz w:val="14"/>
          <w:szCs w:val="14"/>
          <w:lang w:val="es-ES_tradnl"/>
        </w:rPr>
        <w:t xml:space="preserve">Universidad de Talca </w:t>
      </w:r>
      <w:r>
        <w:rPr>
          <w:rFonts w:cs="Times New Roman"/>
          <w:sz w:val="14"/>
          <w:szCs w:val="14"/>
          <w:lang w:val="es-ES_tradnl"/>
        </w:rPr>
        <w:t>–</w:t>
      </w:r>
      <w:r>
        <w:rPr>
          <w:sz w:val="14"/>
          <w:szCs w:val="14"/>
          <w:lang w:val="es-ES_tradnl"/>
        </w:rPr>
        <w:t xml:space="preserve"> a</w:t>
      </w:r>
      <w:r>
        <w:rPr>
          <w:rFonts w:cs="Times New Roman"/>
          <w:sz w:val="14"/>
          <w:szCs w:val="14"/>
          <w:lang w:val="es-ES_tradnl"/>
        </w:rPr>
        <w:t>ñ</w:t>
      </w:r>
      <w:r>
        <w:rPr>
          <w:sz w:val="14"/>
          <w:szCs w:val="14"/>
          <w:lang w:val="es-ES_tradnl"/>
        </w:rPr>
        <w:t xml:space="preserve">o 2008 </w:t>
      </w:r>
      <w:r>
        <w:rPr>
          <w:rFonts w:cs="Times New Roman"/>
          <w:sz w:val="14"/>
          <w:szCs w:val="14"/>
          <w:lang w:val="es-ES_tradnl"/>
        </w:rPr>
        <w:t>–</w:t>
      </w:r>
      <w:r>
        <w:rPr>
          <w:sz w:val="14"/>
          <w:szCs w:val="14"/>
          <w:lang w:val="es-ES_tradnl"/>
        </w:rPr>
        <w:t xml:space="preserve"> p</w:t>
      </w:r>
      <w:r>
        <w:rPr>
          <w:rFonts w:cs="Times New Roman"/>
          <w:sz w:val="14"/>
          <w:szCs w:val="14"/>
          <w:lang w:val="es-ES_tradnl"/>
        </w:rPr>
        <w:t>á</w:t>
      </w:r>
      <w:r>
        <w:rPr>
          <w:sz w:val="14"/>
          <w:szCs w:val="14"/>
          <w:lang w:val="es-ES_tradnl"/>
        </w:rPr>
        <w:t>g. 230.</w:t>
      </w:r>
    </w:p>
    <w:p w14:paraId="4F67AEC9" w14:textId="77777777" w:rsidR="00591D54" w:rsidRDefault="00591D54">
      <w:pPr>
        <w:shd w:val="clear" w:color="auto" w:fill="FFFFFF"/>
        <w:tabs>
          <w:tab w:val="left" w:pos="144"/>
        </w:tabs>
        <w:spacing w:before="509" w:line="178" w:lineRule="exact"/>
        <w:ind w:left="144" w:hanging="144"/>
        <w:jc w:val="both"/>
        <w:sectPr w:rsidR="00591D54">
          <w:type w:val="continuous"/>
          <w:pgSz w:w="11909" w:h="16834"/>
          <w:pgMar w:top="1356" w:right="1309" w:bottom="360" w:left="1308" w:header="720" w:footer="720" w:gutter="0"/>
          <w:cols w:num="2" w:space="720" w:equalWidth="0">
            <w:col w:w="4300" w:space="686"/>
            <w:col w:w="4305"/>
          </w:cols>
          <w:noEndnote/>
        </w:sectPr>
      </w:pPr>
    </w:p>
    <w:p w14:paraId="4F67AECA" w14:textId="77777777" w:rsidR="00591D54" w:rsidRDefault="00591D54">
      <w:pPr>
        <w:shd w:val="clear" w:color="auto" w:fill="FFFFFF"/>
        <w:tabs>
          <w:tab w:val="left" w:pos="4814"/>
        </w:tabs>
        <w:spacing w:after="226"/>
        <w:ind w:left="14"/>
      </w:pPr>
      <w:r>
        <w:rPr>
          <w:b/>
          <w:bCs/>
          <w:sz w:val="18"/>
          <w:szCs w:val="18"/>
          <w:lang w:val="es-ES_tradnl"/>
        </w:rPr>
        <w:t xml:space="preserve">138 -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ECB" w14:textId="77777777" w:rsidR="00591D54" w:rsidRDefault="00591D54">
      <w:pPr>
        <w:shd w:val="clear" w:color="auto" w:fill="FFFFFF"/>
        <w:tabs>
          <w:tab w:val="left" w:pos="4814"/>
        </w:tabs>
        <w:spacing w:after="226"/>
        <w:ind w:left="14"/>
        <w:sectPr w:rsidR="00591D54">
          <w:pgSz w:w="11909" w:h="16834"/>
          <w:pgMar w:top="1356" w:right="1309" w:bottom="360" w:left="1308" w:header="720" w:footer="720" w:gutter="0"/>
          <w:cols w:space="60"/>
          <w:noEndnote/>
        </w:sectPr>
      </w:pPr>
    </w:p>
    <w:p w14:paraId="4F67AECC" w14:textId="77777777" w:rsidR="00591D54" w:rsidRDefault="00591D54">
      <w:pPr>
        <w:shd w:val="clear" w:color="auto" w:fill="FFFFFF"/>
      </w:pPr>
      <w:r>
        <w:rPr>
          <w:b/>
          <w:bCs/>
          <w:spacing w:val="-9"/>
          <w:sz w:val="18"/>
          <w:szCs w:val="18"/>
          <w:lang w:val="es-ES_tradnl"/>
        </w:rPr>
        <w:t>Determinaci</w:t>
      </w:r>
      <w:r>
        <w:rPr>
          <w:rFonts w:cs="Times New Roman"/>
          <w:b/>
          <w:bCs/>
          <w:spacing w:val="-9"/>
          <w:sz w:val="18"/>
          <w:szCs w:val="18"/>
          <w:lang w:val="es-ES_tradnl"/>
        </w:rPr>
        <w:t>ó</w:t>
      </w:r>
      <w:r>
        <w:rPr>
          <w:b/>
          <w:bCs/>
          <w:spacing w:val="-9"/>
          <w:sz w:val="18"/>
          <w:szCs w:val="18"/>
          <w:lang w:val="es-ES_tradnl"/>
        </w:rPr>
        <w:t>n de los problemas jur</w:t>
      </w:r>
      <w:r>
        <w:rPr>
          <w:rFonts w:cs="Times New Roman"/>
          <w:b/>
          <w:bCs/>
          <w:spacing w:val="-9"/>
          <w:sz w:val="18"/>
          <w:szCs w:val="18"/>
          <w:lang w:val="es-ES_tradnl"/>
        </w:rPr>
        <w:t>í</w:t>
      </w:r>
      <w:r>
        <w:rPr>
          <w:b/>
          <w:bCs/>
          <w:spacing w:val="-9"/>
          <w:sz w:val="18"/>
          <w:szCs w:val="18"/>
          <w:lang w:val="es-ES_tradnl"/>
        </w:rPr>
        <w:t>dicos</w:t>
      </w:r>
    </w:p>
    <w:p w14:paraId="4F67AECD" w14:textId="77777777" w:rsidR="00591D54" w:rsidRDefault="00591D54">
      <w:pPr>
        <w:shd w:val="clear" w:color="auto" w:fill="FFFFFF"/>
        <w:spacing w:before="197" w:line="216" w:lineRule="exact"/>
        <w:jc w:val="both"/>
      </w:pPr>
      <w:r>
        <w:rPr>
          <w:spacing w:val="-8"/>
          <w:sz w:val="18"/>
          <w:szCs w:val="18"/>
          <w:lang w:val="es-ES_tradnl"/>
        </w:rPr>
        <w:t xml:space="preserve">Para resolver el fondo de la presente causa, la Corte </w:t>
      </w:r>
      <w:r>
        <w:rPr>
          <w:spacing w:val="-10"/>
          <w:sz w:val="18"/>
          <w:szCs w:val="18"/>
          <w:lang w:val="es-ES_tradnl"/>
        </w:rPr>
        <w:t xml:space="preserve">Constitucional estima necesario sistematizar los argumentos </w:t>
      </w:r>
      <w:r>
        <w:rPr>
          <w:spacing w:val="-8"/>
          <w:sz w:val="18"/>
          <w:szCs w:val="18"/>
          <w:lang w:val="es-ES_tradnl"/>
        </w:rPr>
        <w:t xml:space="preserve">expuestos por las partes, a fin de verificar si existe o no la </w:t>
      </w:r>
      <w:r>
        <w:rPr>
          <w:spacing w:val="-10"/>
          <w:sz w:val="18"/>
          <w:szCs w:val="18"/>
          <w:lang w:val="es-ES_tradnl"/>
        </w:rPr>
        <w:t>vulneraci</w:t>
      </w:r>
      <w:r>
        <w:rPr>
          <w:rFonts w:cs="Times New Roman"/>
          <w:spacing w:val="-10"/>
          <w:sz w:val="18"/>
          <w:szCs w:val="18"/>
          <w:lang w:val="es-ES_tradnl"/>
        </w:rPr>
        <w:t>ó</w:t>
      </w:r>
      <w:r>
        <w:rPr>
          <w:spacing w:val="-10"/>
          <w:sz w:val="18"/>
          <w:szCs w:val="18"/>
          <w:lang w:val="es-ES_tradnl"/>
        </w:rPr>
        <w:t xml:space="preserve">n de derechos constitucionales que se ha alegado </w:t>
      </w:r>
      <w:r>
        <w:rPr>
          <w:spacing w:val="-8"/>
          <w:sz w:val="18"/>
          <w:szCs w:val="18"/>
          <w:lang w:val="es-ES_tradnl"/>
        </w:rPr>
        <w:t>en la presente acci</w:t>
      </w:r>
      <w:r>
        <w:rPr>
          <w:rFonts w:cs="Times New Roman"/>
          <w:spacing w:val="-8"/>
          <w:sz w:val="18"/>
          <w:szCs w:val="18"/>
          <w:lang w:val="es-ES_tradnl"/>
        </w:rPr>
        <w:t>ó</w:t>
      </w:r>
      <w:r>
        <w:rPr>
          <w:spacing w:val="-8"/>
          <w:sz w:val="18"/>
          <w:szCs w:val="18"/>
          <w:lang w:val="es-ES_tradnl"/>
        </w:rPr>
        <w:t xml:space="preserve">n, a partir de los siguientes problemas </w:t>
      </w:r>
      <w:r>
        <w:rPr>
          <w:sz w:val="18"/>
          <w:szCs w:val="18"/>
          <w:lang w:val="es-ES_tradnl"/>
        </w:rPr>
        <w:t>jur</w:t>
      </w:r>
      <w:r>
        <w:rPr>
          <w:rFonts w:cs="Times New Roman"/>
          <w:sz w:val="18"/>
          <w:szCs w:val="18"/>
          <w:lang w:val="es-ES_tradnl"/>
        </w:rPr>
        <w:t>í</w:t>
      </w:r>
      <w:r>
        <w:rPr>
          <w:sz w:val="18"/>
          <w:szCs w:val="18"/>
          <w:lang w:val="es-ES_tradnl"/>
        </w:rPr>
        <w:t>dicos:</w:t>
      </w:r>
    </w:p>
    <w:p w14:paraId="4F67AECE" w14:textId="77777777" w:rsidR="00591D54" w:rsidRDefault="00591D54" w:rsidP="00251195">
      <w:pPr>
        <w:numPr>
          <w:ilvl w:val="0"/>
          <w:numId w:val="69"/>
        </w:numPr>
        <w:shd w:val="clear" w:color="auto" w:fill="FFFFFF"/>
        <w:tabs>
          <w:tab w:val="left" w:pos="566"/>
        </w:tabs>
        <w:spacing w:before="197" w:line="216" w:lineRule="exact"/>
        <w:ind w:left="566" w:hanging="283"/>
        <w:jc w:val="both"/>
        <w:rPr>
          <w:spacing w:val="-11"/>
          <w:sz w:val="18"/>
          <w:szCs w:val="18"/>
          <w:lang w:val="es-ES_tradnl"/>
        </w:rPr>
      </w:pPr>
      <w:r>
        <w:rPr>
          <w:rFonts w:cs="Times New Roman"/>
          <w:spacing w:val="-9"/>
          <w:sz w:val="18"/>
          <w:szCs w:val="18"/>
          <w:lang w:val="es-ES_tradnl"/>
        </w:rPr>
        <w:t>¿</w:t>
      </w:r>
      <w:r>
        <w:rPr>
          <w:spacing w:val="-9"/>
          <w:sz w:val="18"/>
          <w:szCs w:val="18"/>
          <w:lang w:val="es-ES_tradnl"/>
        </w:rPr>
        <w:t>Se garantiz</w:t>
      </w:r>
      <w:r>
        <w:rPr>
          <w:rFonts w:cs="Times New Roman"/>
          <w:spacing w:val="-9"/>
          <w:sz w:val="18"/>
          <w:szCs w:val="18"/>
          <w:lang w:val="es-ES_tradnl"/>
        </w:rPr>
        <w:t>ó</w:t>
      </w:r>
      <w:r>
        <w:rPr>
          <w:spacing w:val="-9"/>
          <w:sz w:val="18"/>
          <w:szCs w:val="18"/>
          <w:lang w:val="es-ES_tradnl"/>
        </w:rPr>
        <w:t xml:space="preserve"> el derecho a la defensa a los ahora </w:t>
      </w:r>
      <w:r>
        <w:rPr>
          <w:spacing w:val="-5"/>
          <w:sz w:val="18"/>
          <w:szCs w:val="18"/>
          <w:lang w:val="es-ES_tradnl"/>
        </w:rPr>
        <w:t xml:space="preserve">legitimados activos dentro del juicio de alimentos </w:t>
      </w:r>
      <w:r>
        <w:rPr>
          <w:sz w:val="18"/>
          <w:szCs w:val="18"/>
          <w:lang w:val="es-ES_tradnl"/>
        </w:rPr>
        <w:t>seguido en su contra?</w:t>
      </w:r>
    </w:p>
    <w:p w14:paraId="4F67AECF" w14:textId="77777777" w:rsidR="00591D54" w:rsidRDefault="00591D54" w:rsidP="00251195">
      <w:pPr>
        <w:numPr>
          <w:ilvl w:val="0"/>
          <w:numId w:val="69"/>
        </w:numPr>
        <w:shd w:val="clear" w:color="auto" w:fill="FFFFFF"/>
        <w:tabs>
          <w:tab w:val="left" w:pos="566"/>
        </w:tabs>
        <w:spacing w:before="197" w:line="216" w:lineRule="exact"/>
        <w:ind w:left="566" w:hanging="283"/>
        <w:jc w:val="both"/>
        <w:rPr>
          <w:spacing w:val="-11"/>
          <w:sz w:val="18"/>
          <w:szCs w:val="18"/>
          <w:lang w:val="es-ES_tradnl"/>
        </w:rPr>
      </w:pPr>
      <w:r>
        <w:rPr>
          <w:spacing w:val="-6"/>
          <w:sz w:val="18"/>
          <w:szCs w:val="18"/>
          <w:lang w:val="es-ES_tradnl"/>
        </w:rPr>
        <w:t>La decisi</w:t>
      </w:r>
      <w:r>
        <w:rPr>
          <w:rFonts w:cs="Times New Roman"/>
          <w:spacing w:val="-6"/>
          <w:sz w:val="18"/>
          <w:szCs w:val="18"/>
          <w:lang w:val="es-ES_tradnl"/>
        </w:rPr>
        <w:t>ó</w:t>
      </w:r>
      <w:r>
        <w:rPr>
          <w:spacing w:val="-6"/>
          <w:sz w:val="18"/>
          <w:szCs w:val="18"/>
          <w:lang w:val="es-ES_tradnl"/>
        </w:rPr>
        <w:t>n judicial materia de la presente acci</w:t>
      </w:r>
      <w:r>
        <w:rPr>
          <w:rFonts w:cs="Times New Roman"/>
          <w:spacing w:val="-6"/>
          <w:sz w:val="18"/>
          <w:szCs w:val="18"/>
          <w:lang w:val="es-ES_tradnl"/>
        </w:rPr>
        <w:t>ó</w:t>
      </w:r>
      <w:r>
        <w:rPr>
          <w:spacing w:val="-6"/>
          <w:sz w:val="18"/>
          <w:szCs w:val="18"/>
          <w:lang w:val="es-ES_tradnl"/>
        </w:rPr>
        <w:t xml:space="preserve">n </w:t>
      </w:r>
      <w:r>
        <w:rPr>
          <w:spacing w:val="-8"/>
          <w:sz w:val="18"/>
          <w:szCs w:val="18"/>
          <w:lang w:val="es-ES_tradnl"/>
        </w:rPr>
        <w:t>extraordinaria de protecci</w:t>
      </w:r>
      <w:r>
        <w:rPr>
          <w:rFonts w:cs="Times New Roman"/>
          <w:spacing w:val="-8"/>
          <w:sz w:val="18"/>
          <w:szCs w:val="18"/>
          <w:lang w:val="es-ES_tradnl"/>
        </w:rPr>
        <w:t>ó</w:t>
      </w:r>
      <w:r>
        <w:rPr>
          <w:spacing w:val="-8"/>
          <w:sz w:val="18"/>
          <w:szCs w:val="18"/>
          <w:lang w:val="es-ES_tradnl"/>
        </w:rPr>
        <w:t xml:space="preserve">n </w:t>
      </w:r>
      <w:r>
        <w:rPr>
          <w:rFonts w:cs="Times New Roman"/>
          <w:spacing w:val="-8"/>
          <w:sz w:val="18"/>
          <w:szCs w:val="18"/>
          <w:lang w:val="es-ES_tradnl"/>
        </w:rPr>
        <w:t>¿</w:t>
      </w:r>
      <w:r>
        <w:rPr>
          <w:spacing w:val="-8"/>
          <w:sz w:val="18"/>
          <w:szCs w:val="18"/>
          <w:lang w:val="es-ES_tradnl"/>
        </w:rPr>
        <w:t xml:space="preserve">vulnera los derechos </w:t>
      </w:r>
      <w:r>
        <w:rPr>
          <w:sz w:val="18"/>
          <w:szCs w:val="18"/>
          <w:lang w:val="es-ES_tradnl"/>
        </w:rPr>
        <w:t>invocados por los accionantes?</w:t>
      </w:r>
    </w:p>
    <w:p w14:paraId="4F67AED0" w14:textId="77777777" w:rsidR="00591D54" w:rsidRDefault="00591D54">
      <w:pPr>
        <w:shd w:val="clear" w:color="auto" w:fill="FFFFFF"/>
        <w:spacing w:before="192"/>
      </w:pPr>
      <w:r>
        <w:rPr>
          <w:b/>
          <w:bCs/>
          <w:spacing w:val="-10"/>
          <w:sz w:val="18"/>
          <w:szCs w:val="18"/>
          <w:lang w:val="es-ES_tradnl"/>
        </w:rPr>
        <w:t>Resoluci</w:t>
      </w:r>
      <w:r>
        <w:rPr>
          <w:rFonts w:cs="Times New Roman"/>
          <w:b/>
          <w:bCs/>
          <w:spacing w:val="-10"/>
          <w:sz w:val="18"/>
          <w:szCs w:val="18"/>
          <w:lang w:val="es-ES_tradnl"/>
        </w:rPr>
        <w:t>ó</w:t>
      </w:r>
      <w:r>
        <w:rPr>
          <w:b/>
          <w:bCs/>
          <w:spacing w:val="-10"/>
          <w:sz w:val="18"/>
          <w:szCs w:val="18"/>
          <w:lang w:val="es-ES_tradnl"/>
        </w:rPr>
        <w:t>n de los problemas jur</w:t>
      </w:r>
      <w:r>
        <w:rPr>
          <w:rFonts w:cs="Times New Roman"/>
          <w:b/>
          <w:bCs/>
          <w:spacing w:val="-10"/>
          <w:sz w:val="18"/>
          <w:szCs w:val="18"/>
          <w:lang w:val="es-ES_tradnl"/>
        </w:rPr>
        <w:t>í</w:t>
      </w:r>
      <w:r>
        <w:rPr>
          <w:b/>
          <w:bCs/>
          <w:spacing w:val="-10"/>
          <w:sz w:val="18"/>
          <w:szCs w:val="18"/>
          <w:lang w:val="es-ES_tradnl"/>
        </w:rPr>
        <w:t>dicos</w:t>
      </w:r>
    </w:p>
    <w:p w14:paraId="4F67AED1" w14:textId="77777777" w:rsidR="00591D54" w:rsidRDefault="00591D54">
      <w:pPr>
        <w:shd w:val="clear" w:color="auto" w:fill="FFFFFF"/>
        <w:spacing w:before="197" w:line="216" w:lineRule="exact"/>
        <w:jc w:val="both"/>
      </w:pPr>
      <w:r>
        <w:rPr>
          <w:spacing w:val="-4"/>
          <w:sz w:val="18"/>
          <w:szCs w:val="18"/>
          <w:lang w:val="es-ES_tradnl"/>
        </w:rPr>
        <w:t>A partir del planteamiento de estos problemas jur</w:t>
      </w:r>
      <w:r>
        <w:rPr>
          <w:rFonts w:cs="Times New Roman"/>
          <w:spacing w:val="-4"/>
          <w:sz w:val="18"/>
          <w:szCs w:val="18"/>
          <w:lang w:val="es-ES_tradnl"/>
        </w:rPr>
        <w:t>í</w:t>
      </w:r>
      <w:r>
        <w:rPr>
          <w:spacing w:val="-4"/>
          <w:sz w:val="18"/>
          <w:szCs w:val="18"/>
          <w:lang w:val="es-ES_tradnl"/>
        </w:rPr>
        <w:t xml:space="preserve">dicos, </w:t>
      </w:r>
      <w:r>
        <w:rPr>
          <w:spacing w:val="-6"/>
          <w:sz w:val="18"/>
          <w:szCs w:val="18"/>
          <w:lang w:val="es-ES_tradnl"/>
        </w:rPr>
        <w:t xml:space="preserve">la Corte Constitucional analiza la causa en los siguientes </w:t>
      </w:r>
      <w:r>
        <w:rPr>
          <w:sz w:val="18"/>
          <w:szCs w:val="18"/>
          <w:lang w:val="es-ES_tradnl"/>
        </w:rPr>
        <w:t>t</w:t>
      </w:r>
      <w:r>
        <w:rPr>
          <w:rFonts w:cs="Times New Roman"/>
          <w:sz w:val="18"/>
          <w:szCs w:val="18"/>
          <w:lang w:val="es-ES_tradnl"/>
        </w:rPr>
        <w:t>é</w:t>
      </w:r>
      <w:r>
        <w:rPr>
          <w:sz w:val="18"/>
          <w:szCs w:val="18"/>
          <w:lang w:val="es-ES_tradnl"/>
        </w:rPr>
        <w:t>rminos:</w:t>
      </w:r>
    </w:p>
    <w:p w14:paraId="4F67AED2" w14:textId="77777777" w:rsidR="00591D54" w:rsidRDefault="00591D54">
      <w:pPr>
        <w:shd w:val="clear" w:color="auto" w:fill="FFFFFF"/>
        <w:spacing w:before="192" w:line="216" w:lineRule="exact"/>
        <w:jc w:val="both"/>
      </w:pPr>
      <w:r>
        <w:rPr>
          <w:b/>
          <w:bCs/>
          <w:spacing w:val="-12"/>
          <w:sz w:val="18"/>
          <w:szCs w:val="18"/>
          <w:lang w:val="es-ES_tradnl"/>
        </w:rPr>
        <w:t xml:space="preserve">1. </w:t>
      </w:r>
      <w:r>
        <w:rPr>
          <w:rFonts w:cs="Times New Roman"/>
          <w:b/>
          <w:bCs/>
          <w:spacing w:val="-12"/>
          <w:sz w:val="18"/>
          <w:szCs w:val="18"/>
          <w:lang w:val="es-ES_tradnl"/>
        </w:rPr>
        <w:t>¿</w:t>
      </w:r>
      <w:r>
        <w:rPr>
          <w:b/>
          <w:bCs/>
          <w:spacing w:val="-12"/>
          <w:sz w:val="18"/>
          <w:szCs w:val="18"/>
          <w:lang w:val="es-ES_tradnl"/>
        </w:rPr>
        <w:t>Se garantiz</w:t>
      </w:r>
      <w:r>
        <w:rPr>
          <w:rFonts w:cs="Times New Roman"/>
          <w:b/>
          <w:bCs/>
          <w:spacing w:val="-12"/>
          <w:sz w:val="18"/>
          <w:szCs w:val="18"/>
          <w:lang w:val="es-ES_tradnl"/>
        </w:rPr>
        <w:t>ó</w:t>
      </w:r>
      <w:r>
        <w:rPr>
          <w:b/>
          <w:bCs/>
          <w:spacing w:val="-12"/>
          <w:sz w:val="18"/>
          <w:szCs w:val="18"/>
          <w:lang w:val="es-ES_tradnl"/>
        </w:rPr>
        <w:t xml:space="preserve"> el derecho a la defensa a los legitimados </w:t>
      </w:r>
      <w:r>
        <w:rPr>
          <w:b/>
          <w:bCs/>
          <w:spacing w:val="-9"/>
          <w:sz w:val="18"/>
          <w:szCs w:val="18"/>
          <w:lang w:val="es-ES_tradnl"/>
        </w:rPr>
        <w:t xml:space="preserve">activos dentro del juicio de alimentos seguido en su </w:t>
      </w:r>
      <w:r>
        <w:rPr>
          <w:b/>
          <w:bCs/>
          <w:sz w:val="18"/>
          <w:szCs w:val="18"/>
          <w:lang w:val="es-ES_tradnl"/>
        </w:rPr>
        <w:t>contra?</w:t>
      </w:r>
    </w:p>
    <w:p w14:paraId="4F67AED3" w14:textId="77777777" w:rsidR="00591D54" w:rsidRDefault="00591D54">
      <w:pPr>
        <w:shd w:val="clear" w:color="auto" w:fill="FFFFFF"/>
        <w:spacing w:before="192" w:line="216" w:lineRule="exact"/>
        <w:jc w:val="both"/>
      </w:pPr>
      <w:r>
        <w:rPr>
          <w:spacing w:val="-7"/>
          <w:sz w:val="18"/>
          <w:szCs w:val="18"/>
          <w:lang w:val="es-ES_tradnl"/>
        </w:rPr>
        <w:t>El art</w:t>
      </w:r>
      <w:r>
        <w:rPr>
          <w:rFonts w:cs="Times New Roman"/>
          <w:spacing w:val="-7"/>
          <w:sz w:val="18"/>
          <w:szCs w:val="18"/>
          <w:lang w:val="es-ES_tradnl"/>
        </w:rPr>
        <w:t>í</w:t>
      </w:r>
      <w:r>
        <w:rPr>
          <w:spacing w:val="-7"/>
          <w:sz w:val="18"/>
          <w:szCs w:val="18"/>
          <w:lang w:val="es-ES_tradnl"/>
        </w:rPr>
        <w:t>culo 76 de 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 xml:space="preserve">blica establece </w:t>
      </w:r>
      <w:r>
        <w:rPr>
          <w:spacing w:val="-8"/>
          <w:sz w:val="18"/>
          <w:szCs w:val="18"/>
          <w:lang w:val="es-ES_tradnl"/>
        </w:rPr>
        <w:t xml:space="preserve">que en todo proceso en el que se determinen derechos y </w:t>
      </w:r>
      <w:r>
        <w:rPr>
          <w:spacing w:val="-6"/>
          <w:sz w:val="18"/>
          <w:szCs w:val="18"/>
          <w:lang w:val="es-ES_tradnl"/>
        </w:rPr>
        <w:t>obligaciones de cualquier orden, se asegurar</w:t>
      </w:r>
      <w:r>
        <w:rPr>
          <w:rFonts w:cs="Times New Roman"/>
          <w:spacing w:val="-6"/>
          <w:sz w:val="18"/>
          <w:szCs w:val="18"/>
          <w:lang w:val="es-ES_tradnl"/>
        </w:rPr>
        <w:t>á</w:t>
      </w:r>
      <w:r>
        <w:rPr>
          <w:spacing w:val="-6"/>
          <w:sz w:val="18"/>
          <w:szCs w:val="18"/>
          <w:lang w:val="es-ES_tradnl"/>
        </w:rPr>
        <w:t xml:space="preserve"> el derecho </w:t>
      </w:r>
      <w:r>
        <w:rPr>
          <w:spacing w:val="-9"/>
          <w:sz w:val="18"/>
          <w:szCs w:val="18"/>
          <w:lang w:val="es-ES_tradnl"/>
        </w:rPr>
        <w:t xml:space="preserve">al debido proceso, este derecho se compone de algunas </w:t>
      </w:r>
      <w:r>
        <w:rPr>
          <w:spacing w:val="-11"/>
          <w:sz w:val="18"/>
          <w:szCs w:val="18"/>
          <w:lang w:val="es-ES_tradnl"/>
        </w:rPr>
        <w:t>garant</w:t>
      </w:r>
      <w:r>
        <w:rPr>
          <w:rFonts w:cs="Times New Roman"/>
          <w:spacing w:val="-11"/>
          <w:sz w:val="18"/>
          <w:szCs w:val="18"/>
          <w:lang w:val="es-ES_tradnl"/>
        </w:rPr>
        <w:t>í</w:t>
      </w:r>
      <w:r>
        <w:rPr>
          <w:spacing w:val="-11"/>
          <w:sz w:val="18"/>
          <w:szCs w:val="18"/>
          <w:lang w:val="es-ES_tradnl"/>
        </w:rPr>
        <w:t>as b</w:t>
      </w:r>
      <w:r>
        <w:rPr>
          <w:rFonts w:cs="Times New Roman"/>
          <w:spacing w:val="-11"/>
          <w:sz w:val="18"/>
          <w:szCs w:val="18"/>
          <w:lang w:val="es-ES_tradnl"/>
        </w:rPr>
        <w:t>á</w:t>
      </w:r>
      <w:r>
        <w:rPr>
          <w:spacing w:val="-11"/>
          <w:sz w:val="18"/>
          <w:szCs w:val="18"/>
          <w:lang w:val="es-ES_tradnl"/>
        </w:rPr>
        <w:t xml:space="preserve">sicas, mismas que constituyen los presupuestos </w:t>
      </w:r>
      <w:r>
        <w:rPr>
          <w:spacing w:val="-9"/>
          <w:sz w:val="18"/>
          <w:szCs w:val="18"/>
          <w:lang w:val="es-ES_tradnl"/>
        </w:rPr>
        <w:t>esenciales para la validez de los procesos, las garant</w:t>
      </w:r>
      <w:r>
        <w:rPr>
          <w:rFonts w:cs="Times New Roman"/>
          <w:spacing w:val="-9"/>
          <w:sz w:val="18"/>
          <w:szCs w:val="18"/>
          <w:lang w:val="es-ES_tradnl"/>
        </w:rPr>
        <w:t>í</w:t>
      </w:r>
      <w:r>
        <w:rPr>
          <w:spacing w:val="-9"/>
          <w:sz w:val="18"/>
          <w:szCs w:val="18"/>
          <w:lang w:val="es-ES_tradnl"/>
        </w:rPr>
        <w:t xml:space="preserve">as del debido proceso, entre las que se cuenta con el derecho de </w:t>
      </w:r>
      <w:r>
        <w:rPr>
          <w:spacing w:val="-8"/>
          <w:sz w:val="18"/>
          <w:szCs w:val="18"/>
          <w:lang w:val="es-ES_tradnl"/>
        </w:rPr>
        <w:t>defensa. Esta garant</w:t>
      </w:r>
      <w:r>
        <w:rPr>
          <w:rFonts w:cs="Times New Roman"/>
          <w:spacing w:val="-8"/>
          <w:sz w:val="18"/>
          <w:szCs w:val="18"/>
          <w:lang w:val="es-ES_tradnl"/>
        </w:rPr>
        <w:t>í</w:t>
      </w:r>
      <w:r>
        <w:rPr>
          <w:spacing w:val="-8"/>
          <w:sz w:val="18"/>
          <w:szCs w:val="18"/>
          <w:lang w:val="es-ES_tradnl"/>
        </w:rPr>
        <w:t xml:space="preserve">a constitucional constituye un blindaje </w:t>
      </w:r>
      <w:r>
        <w:rPr>
          <w:spacing w:val="-7"/>
          <w:sz w:val="18"/>
          <w:szCs w:val="18"/>
          <w:lang w:val="es-ES_tradnl"/>
        </w:rPr>
        <w:t>ciudadano ante la arbitrariedad en la sustanciaci</w:t>
      </w:r>
      <w:r>
        <w:rPr>
          <w:rFonts w:cs="Times New Roman"/>
          <w:spacing w:val="-7"/>
          <w:sz w:val="18"/>
          <w:szCs w:val="18"/>
          <w:lang w:val="es-ES_tradnl"/>
        </w:rPr>
        <w:t>ó</w:t>
      </w:r>
      <w:r>
        <w:rPr>
          <w:spacing w:val="-7"/>
          <w:sz w:val="18"/>
          <w:szCs w:val="18"/>
          <w:lang w:val="es-ES_tradnl"/>
        </w:rPr>
        <w:t xml:space="preserve">n de las </w:t>
      </w:r>
      <w:r>
        <w:rPr>
          <w:spacing w:val="-8"/>
          <w:sz w:val="18"/>
          <w:szCs w:val="18"/>
          <w:lang w:val="es-ES_tradnl"/>
        </w:rPr>
        <w:t xml:space="preserve">causas y una herramienta fundamental para legitimar la </w:t>
      </w:r>
      <w:r>
        <w:rPr>
          <w:spacing w:val="-7"/>
          <w:sz w:val="18"/>
          <w:szCs w:val="18"/>
          <w:lang w:val="es-ES_tradnl"/>
        </w:rPr>
        <w:t>actuaci</w:t>
      </w:r>
      <w:r>
        <w:rPr>
          <w:rFonts w:cs="Times New Roman"/>
          <w:spacing w:val="-7"/>
          <w:sz w:val="18"/>
          <w:szCs w:val="18"/>
          <w:lang w:val="es-ES_tradnl"/>
        </w:rPr>
        <w:t>ó</w:t>
      </w:r>
      <w:r>
        <w:rPr>
          <w:spacing w:val="-7"/>
          <w:sz w:val="18"/>
          <w:szCs w:val="18"/>
          <w:lang w:val="es-ES_tradnl"/>
        </w:rPr>
        <w:t>n de los administradores de justicia.</w:t>
      </w:r>
    </w:p>
    <w:p w14:paraId="4F67AED4" w14:textId="77777777" w:rsidR="00591D54" w:rsidRDefault="00591D54">
      <w:pPr>
        <w:shd w:val="clear" w:color="auto" w:fill="FFFFFF"/>
        <w:spacing w:before="192" w:line="211" w:lineRule="exact"/>
        <w:jc w:val="both"/>
      </w:pPr>
      <w:r>
        <w:rPr>
          <w:spacing w:val="-3"/>
          <w:sz w:val="18"/>
          <w:szCs w:val="18"/>
          <w:lang w:val="es-ES_tradnl"/>
        </w:rPr>
        <w:t xml:space="preserve">El derecho a la defensa es el que tiene toda persona </w:t>
      </w:r>
      <w:r>
        <w:rPr>
          <w:spacing w:val="-6"/>
          <w:sz w:val="18"/>
          <w:szCs w:val="18"/>
          <w:lang w:val="es-ES_tradnl"/>
        </w:rPr>
        <w:t xml:space="preserve">contra quien se ha instaurado un proceso ya sea judicial, </w:t>
      </w:r>
      <w:r>
        <w:rPr>
          <w:spacing w:val="-10"/>
          <w:sz w:val="18"/>
          <w:szCs w:val="18"/>
          <w:lang w:val="es-ES_tradnl"/>
        </w:rPr>
        <w:t xml:space="preserve">administrativo o de cualquier </w:t>
      </w:r>
      <w:r>
        <w:rPr>
          <w:rFonts w:cs="Times New Roman"/>
          <w:spacing w:val="-10"/>
          <w:sz w:val="18"/>
          <w:szCs w:val="18"/>
          <w:lang w:val="es-ES_tradnl"/>
        </w:rPr>
        <w:t>í</w:t>
      </w:r>
      <w:r>
        <w:rPr>
          <w:spacing w:val="-10"/>
          <w:sz w:val="18"/>
          <w:szCs w:val="18"/>
          <w:lang w:val="es-ES_tradnl"/>
        </w:rPr>
        <w:t xml:space="preserve">ndole, para acceder al sistema </w:t>
      </w:r>
      <w:r>
        <w:rPr>
          <w:spacing w:val="-8"/>
          <w:sz w:val="18"/>
          <w:szCs w:val="18"/>
          <w:lang w:val="es-ES_tradnl"/>
        </w:rPr>
        <w:t xml:space="preserve">y hacer valer sus derechos frente a </w:t>
      </w:r>
      <w:r>
        <w:rPr>
          <w:rFonts w:cs="Times New Roman"/>
          <w:spacing w:val="-8"/>
          <w:sz w:val="18"/>
          <w:szCs w:val="18"/>
          <w:lang w:val="es-ES_tradnl"/>
        </w:rPr>
        <w:t>é</w:t>
      </w:r>
      <w:r>
        <w:rPr>
          <w:spacing w:val="-8"/>
          <w:sz w:val="18"/>
          <w:szCs w:val="18"/>
          <w:lang w:val="es-ES_tradnl"/>
        </w:rPr>
        <w:t xml:space="preserve">l; en este sentido, el </w:t>
      </w:r>
      <w:r>
        <w:rPr>
          <w:spacing w:val="-9"/>
          <w:sz w:val="18"/>
          <w:szCs w:val="18"/>
          <w:lang w:val="es-ES_tradnl"/>
        </w:rPr>
        <w:t>derecho a la defensa busca garantizar la contradicci</w:t>
      </w:r>
      <w:r>
        <w:rPr>
          <w:rFonts w:cs="Times New Roman"/>
          <w:spacing w:val="-9"/>
          <w:sz w:val="18"/>
          <w:szCs w:val="18"/>
          <w:lang w:val="es-ES_tradnl"/>
        </w:rPr>
        <w:t>ó</w:t>
      </w:r>
      <w:r>
        <w:rPr>
          <w:spacing w:val="-9"/>
          <w:sz w:val="18"/>
          <w:szCs w:val="18"/>
          <w:lang w:val="es-ES_tradnl"/>
        </w:rPr>
        <w:t xml:space="preserve">n ante </w:t>
      </w:r>
      <w:r>
        <w:rPr>
          <w:spacing w:val="-6"/>
          <w:sz w:val="18"/>
          <w:szCs w:val="18"/>
          <w:lang w:val="es-ES_tradnl"/>
        </w:rPr>
        <w:t>la acci</w:t>
      </w:r>
      <w:r>
        <w:rPr>
          <w:rFonts w:cs="Times New Roman"/>
          <w:spacing w:val="-6"/>
          <w:sz w:val="18"/>
          <w:szCs w:val="18"/>
          <w:lang w:val="es-ES_tradnl"/>
        </w:rPr>
        <w:t>ó</w:t>
      </w:r>
      <w:r>
        <w:rPr>
          <w:spacing w:val="-6"/>
          <w:sz w:val="18"/>
          <w:szCs w:val="18"/>
          <w:lang w:val="es-ES_tradnl"/>
        </w:rPr>
        <w:t>n, permitiendo que el accionado pueda ser o</w:t>
      </w:r>
      <w:r>
        <w:rPr>
          <w:rFonts w:cs="Times New Roman"/>
          <w:spacing w:val="-6"/>
          <w:sz w:val="18"/>
          <w:szCs w:val="18"/>
          <w:lang w:val="es-ES_tradnl"/>
        </w:rPr>
        <w:t>í</w:t>
      </w:r>
      <w:r>
        <w:rPr>
          <w:spacing w:val="-6"/>
          <w:sz w:val="18"/>
          <w:szCs w:val="18"/>
          <w:lang w:val="es-ES_tradnl"/>
        </w:rPr>
        <w:t xml:space="preserve">do, </w:t>
      </w:r>
      <w:r>
        <w:rPr>
          <w:spacing w:val="-7"/>
          <w:sz w:val="18"/>
          <w:szCs w:val="18"/>
          <w:lang w:val="es-ES_tradnl"/>
        </w:rPr>
        <w:t xml:space="preserve">hacer valer sus razones, ofrecer y controlar la prueba e </w:t>
      </w:r>
      <w:r>
        <w:rPr>
          <w:spacing w:val="-11"/>
          <w:sz w:val="18"/>
          <w:szCs w:val="18"/>
          <w:lang w:val="es-ES_tradnl"/>
        </w:rPr>
        <w:t>intervenir en la causa en pie de igualdad con la parte actora</w:t>
      </w:r>
      <w:r>
        <w:rPr>
          <w:spacing w:val="-11"/>
          <w:sz w:val="18"/>
          <w:szCs w:val="18"/>
          <w:vertAlign w:val="superscript"/>
          <w:lang w:val="es-ES_tradnl"/>
        </w:rPr>
        <w:t>2</w:t>
      </w:r>
      <w:r>
        <w:rPr>
          <w:spacing w:val="-11"/>
          <w:sz w:val="18"/>
          <w:szCs w:val="18"/>
          <w:lang w:val="es-ES_tradnl"/>
        </w:rPr>
        <w:t>.</w:t>
      </w:r>
    </w:p>
    <w:p w14:paraId="4F67AED5" w14:textId="77777777" w:rsidR="00591D54" w:rsidRDefault="00591D54">
      <w:pPr>
        <w:shd w:val="clear" w:color="auto" w:fill="FFFFFF"/>
        <w:spacing w:before="192" w:line="216" w:lineRule="exact"/>
        <w:ind w:right="5"/>
        <w:jc w:val="both"/>
      </w:pPr>
      <w:r>
        <w:rPr>
          <w:spacing w:val="-6"/>
          <w:sz w:val="18"/>
          <w:szCs w:val="18"/>
          <w:lang w:val="es-ES_tradnl"/>
        </w:rPr>
        <w:t xml:space="preserve">Ahora bien, dentro de los elementos que configuran el </w:t>
      </w:r>
      <w:r>
        <w:rPr>
          <w:spacing w:val="-5"/>
          <w:sz w:val="18"/>
          <w:szCs w:val="18"/>
          <w:lang w:val="es-ES_tradnl"/>
        </w:rPr>
        <w:t>derecho a la defensa, tenemos el derecho previsto en el en art</w:t>
      </w:r>
      <w:r>
        <w:rPr>
          <w:rFonts w:cs="Times New Roman"/>
          <w:spacing w:val="-5"/>
          <w:sz w:val="18"/>
          <w:szCs w:val="18"/>
          <w:lang w:val="es-ES_tradnl"/>
        </w:rPr>
        <w:t>í</w:t>
      </w:r>
      <w:r>
        <w:rPr>
          <w:spacing w:val="-5"/>
          <w:sz w:val="18"/>
          <w:szCs w:val="18"/>
          <w:lang w:val="es-ES_tradnl"/>
        </w:rPr>
        <w:t xml:space="preserve">culo 76 numeral 7 literal </w:t>
      </w:r>
      <w:r>
        <w:rPr>
          <w:b/>
          <w:bCs/>
          <w:spacing w:val="-5"/>
          <w:sz w:val="18"/>
          <w:szCs w:val="18"/>
          <w:lang w:val="es-ES_tradnl"/>
        </w:rPr>
        <w:t xml:space="preserve">a </w:t>
      </w:r>
      <w:r>
        <w:rPr>
          <w:spacing w:val="-5"/>
          <w:sz w:val="18"/>
          <w:szCs w:val="18"/>
          <w:lang w:val="es-ES_tradnl"/>
        </w:rPr>
        <w:t>de la Constituci</w:t>
      </w:r>
      <w:r>
        <w:rPr>
          <w:rFonts w:cs="Times New Roman"/>
          <w:spacing w:val="-5"/>
          <w:sz w:val="18"/>
          <w:szCs w:val="18"/>
          <w:lang w:val="es-ES_tradnl"/>
        </w:rPr>
        <w:t>ó</w:t>
      </w:r>
      <w:r>
        <w:rPr>
          <w:spacing w:val="-5"/>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 xml:space="preserve">blica que prescribe: </w:t>
      </w:r>
      <w:r>
        <w:rPr>
          <w:rFonts w:cs="Times New Roman"/>
          <w:spacing w:val="-7"/>
          <w:sz w:val="18"/>
          <w:szCs w:val="18"/>
          <w:lang w:val="es-ES_tradnl"/>
        </w:rPr>
        <w:t>“</w:t>
      </w:r>
      <w:r>
        <w:rPr>
          <w:spacing w:val="-7"/>
          <w:sz w:val="18"/>
          <w:szCs w:val="18"/>
          <w:lang w:val="es-ES_tradnl"/>
        </w:rPr>
        <w:t>Art. 76 (</w:t>
      </w:r>
      <w:r>
        <w:rPr>
          <w:rFonts w:cs="Times New Roman"/>
          <w:spacing w:val="-7"/>
          <w:sz w:val="18"/>
          <w:szCs w:val="18"/>
          <w:lang w:val="es-ES_tradnl"/>
        </w:rPr>
        <w:t>…</w:t>
      </w:r>
      <w:r>
        <w:rPr>
          <w:spacing w:val="-7"/>
          <w:sz w:val="18"/>
          <w:szCs w:val="18"/>
          <w:lang w:val="es-ES_tradnl"/>
        </w:rPr>
        <w:t xml:space="preserve">) 7. El derecho de las </w:t>
      </w:r>
      <w:r>
        <w:rPr>
          <w:spacing w:val="-8"/>
          <w:sz w:val="18"/>
          <w:szCs w:val="18"/>
          <w:lang w:val="es-ES_tradnl"/>
        </w:rPr>
        <w:t>personas a la defensa incluir</w:t>
      </w:r>
      <w:r>
        <w:rPr>
          <w:rFonts w:cs="Times New Roman"/>
          <w:spacing w:val="-8"/>
          <w:sz w:val="18"/>
          <w:szCs w:val="18"/>
          <w:lang w:val="es-ES_tradnl"/>
        </w:rPr>
        <w:t>á</w:t>
      </w:r>
      <w:r>
        <w:rPr>
          <w:spacing w:val="-8"/>
          <w:sz w:val="18"/>
          <w:szCs w:val="18"/>
          <w:lang w:val="es-ES_tradnl"/>
        </w:rPr>
        <w:t xml:space="preserve"> las siguientes garant</w:t>
      </w:r>
      <w:r>
        <w:rPr>
          <w:rFonts w:cs="Times New Roman"/>
          <w:spacing w:val="-8"/>
          <w:sz w:val="18"/>
          <w:szCs w:val="18"/>
          <w:lang w:val="es-ES_tradnl"/>
        </w:rPr>
        <w:t>í</w:t>
      </w:r>
      <w:r>
        <w:rPr>
          <w:spacing w:val="-8"/>
          <w:sz w:val="18"/>
          <w:szCs w:val="18"/>
          <w:lang w:val="es-ES_tradnl"/>
        </w:rPr>
        <w:t xml:space="preserve">as: a) </w:t>
      </w:r>
      <w:r>
        <w:rPr>
          <w:spacing w:val="-11"/>
          <w:sz w:val="18"/>
          <w:szCs w:val="18"/>
          <w:lang w:val="es-ES_tradnl"/>
        </w:rPr>
        <w:t>Nadie podr</w:t>
      </w:r>
      <w:r>
        <w:rPr>
          <w:rFonts w:cs="Times New Roman"/>
          <w:spacing w:val="-11"/>
          <w:sz w:val="18"/>
          <w:szCs w:val="18"/>
          <w:lang w:val="es-ES_tradnl"/>
        </w:rPr>
        <w:t>á</w:t>
      </w:r>
      <w:r>
        <w:rPr>
          <w:spacing w:val="-11"/>
          <w:sz w:val="18"/>
          <w:szCs w:val="18"/>
          <w:lang w:val="es-ES_tradnl"/>
        </w:rPr>
        <w:t xml:space="preserve"> ser privado del derecho a la defensa en ninguna </w:t>
      </w:r>
      <w:r>
        <w:rPr>
          <w:sz w:val="18"/>
          <w:szCs w:val="18"/>
          <w:lang w:val="es-ES_tradnl"/>
        </w:rPr>
        <w:t>etapa o grado del procedimiento</w:t>
      </w:r>
      <w:r>
        <w:rPr>
          <w:rFonts w:cs="Times New Roman"/>
          <w:sz w:val="18"/>
          <w:szCs w:val="18"/>
          <w:lang w:val="es-ES_tradnl"/>
        </w:rPr>
        <w:t>”</w:t>
      </w:r>
      <w:r>
        <w:rPr>
          <w:sz w:val="18"/>
          <w:szCs w:val="18"/>
          <w:lang w:val="es-ES_tradnl"/>
        </w:rPr>
        <w:t>.</w:t>
      </w:r>
    </w:p>
    <w:p w14:paraId="4F67AED6" w14:textId="77777777" w:rsidR="00591D54" w:rsidRDefault="00591D54">
      <w:pPr>
        <w:shd w:val="clear" w:color="auto" w:fill="FFFFFF"/>
        <w:spacing w:before="197" w:line="216" w:lineRule="exact"/>
        <w:jc w:val="both"/>
      </w:pPr>
      <w:r>
        <w:rPr>
          <w:spacing w:val="-5"/>
          <w:sz w:val="18"/>
          <w:szCs w:val="18"/>
          <w:lang w:val="es-ES_tradnl"/>
        </w:rPr>
        <w:t xml:space="preserve">La norma citada, garantiza a las partes la posibilidad de </w:t>
      </w:r>
      <w:r>
        <w:rPr>
          <w:spacing w:val="-9"/>
          <w:sz w:val="18"/>
          <w:szCs w:val="18"/>
          <w:lang w:val="es-ES_tradnl"/>
        </w:rPr>
        <w:t xml:space="preserve">defenderse durante todas las etapas de procedimiento y </w:t>
      </w:r>
      <w:r>
        <w:rPr>
          <w:spacing w:val="-4"/>
          <w:sz w:val="18"/>
          <w:szCs w:val="18"/>
          <w:lang w:val="es-ES_tradnl"/>
        </w:rPr>
        <w:t>contradecir los alegatos que se hayan presentado en su</w:t>
      </w:r>
    </w:p>
    <w:p w14:paraId="4F67AED7" w14:textId="77777777" w:rsidR="00591D54" w:rsidRDefault="00591D54">
      <w:pPr>
        <w:shd w:val="clear" w:color="auto" w:fill="FFFFFF"/>
        <w:spacing w:before="518" w:line="178" w:lineRule="exact"/>
        <w:ind w:left="139" w:hanging="139"/>
      </w:pPr>
      <w:r>
        <w:rPr>
          <w:sz w:val="14"/>
          <w:szCs w:val="14"/>
          <w:vertAlign w:val="superscript"/>
          <w:lang w:val="es-ES_tradnl"/>
        </w:rPr>
        <w:t>2</w:t>
      </w:r>
      <w:r>
        <w:rPr>
          <w:sz w:val="14"/>
          <w:szCs w:val="14"/>
          <w:lang w:val="es-ES_tradnl"/>
        </w:rPr>
        <w:t xml:space="preserve">  Corte Constitucional del Ecuador, para el periodo de transici</w:t>
      </w:r>
      <w:r>
        <w:rPr>
          <w:rFonts w:cs="Times New Roman"/>
          <w:sz w:val="14"/>
          <w:szCs w:val="14"/>
          <w:lang w:val="es-ES_tradnl"/>
        </w:rPr>
        <w:t>ó</w:t>
      </w:r>
      <w:r>
        <w:rPr>
          <w:sz w:val="14"/>
          <w:szCs w:val="14"/>
          <w:lang w:val="es-ES_tradnl"/>
        </w:rPr>
        <w:t xml:space="preserve">n, </w:t>
      </w:r>
      <w:r>
        <w:rPr>
          <w:spacing w:val="-2"/>
          <w:sz w:val="14"/>
          <w:szCs w:val="14"/>
          <w:lang w:val="es-ES_tradnl"/>
        </w:rPr>
        <w:t>sentencia N.</w:t>
      </w:r>
      <w:r>
        <w:rPr>
          <w:rFonts w:cs="Times New Roman"/>
          <w:spacing w:val="-2"/>
          <w:sz w:val="14"/>
          <w:szCs w:val="14"/>
          <w:lang w:val="es-ES_tradnl"/>
        </w:rPr>
        <w:t>°</w:t>
      </w:r>
      <w:r>
        <w:rPr>
          <w:spacing w:val="-2"/>
          <w:sz w:val="14"/>
          <w:szCs w:val="14"/>
          <w:lang w:val="es-ES_tradnl"/>
        </w:rPr>
        <w:t xml:space="preserve"> 212-12-SEP-CC, caso N.</w:t>
      </w:r>
      <w:r>
        <w:rPr>
          <w:rFonts w:cs="Times New Roman"/>
          <w:spacing w:val="-2"/>
          <w:sz w:val="14"/>
          <w:szCs w:val="14"/>
          <w:lang w:val="es-ES_tradnl"/>
        </w:rPr>
        <w:t>°</w:t>
      </w:r>
      <w:r>
        <w:rPr>
          <w:spacing w:val="-2"/>
          <w:sz w:val="14"/>
          <w:szCs w:val="14"/>
          <w:lang w:val="es-ES_tradnl"/>
        </w:rPr>
        <w:t xml:space="preserve"> 1259-11-EP.</w:t>
      </w:r>
    </w:p>
    <w:p w14:paraId="4F67AED8" w14:textId="77777777" w:rsidR="00591D54" w:rsidRDefault="00591D54">
      <w:pPr>
        <w:shd w:val="clear" w:color="auto" w:fill="FFFFFF"/>
        <w:spacing w:before="10" w:line="211" w:lineRule="exact"/>
        <w:jc w:val="both"/>
      </w:pPr>
      <w:r>
        <w:br w:type="column"/>
      </w:r>
      <w:r>
        <w:rPr>
          <w:spacing w:val="-8"/>
          <w:sz w:val="18"/>
          <w:szCs w:val="18"/>
          <w:lang w:val="es-ES_tradnl"/>
        </w:rPr>
        <w:t xml:space="preserve">contra; pero, para acceder a la defensa, debe garantizarse </w:t>
      </w:r>
      <w:r>
        <w:rPr>
          <w:spacing w:val="-7"/>
          <w:sz w:val="18"/>
          <w:szCs w:val="18"/>
          <w:lang w:val="es-ES_tradnl"/>
        </w:rPr>
        <w:t xml:space="preserve">el derecho a la </w:t>
      </w:r>
      <w:r>
        <w:rPr>
          <w:rFonts w:cs="Times New Roman"/>
          <w:spacing w:val="-7"/>
          <w:sz w:val="18"/>
          <w:szCs w:val="18"/>
          <w:lang w:val="es-ES_tradnl"/>
        </w:rPr>
        <w:t>“</w:t>
      </w:r>
      <w:r>
        <w:rPr>
          <w:spacing w:val="-7"/>
          <w:sz w:val="18"/>
          <w:szCs w:val="18"/>
          <w:lang w:val="es-ES_tradnl"/>
        </w:rPr>
        <w:t>debida comunicaci</w:t>
      </w:r>
      <w:r>
        <w:rPr>
          <w:rFonts w:cs="Times New Roman"/>
          <w:spacing w:val="-7"/>
          <w:sz w:val="18"/>
          <w:szCs w:val="18"/>
          <w:lang w:val="es-ES_tradnl"/>
        </w:rPr>
        <w:t>ó</w:t>
      </w:r>
      <w:r>
        <w:rPr>
          <w:spacing w:val="-7"/>
          <w:sz w:val="18"/>
          <w:szCs w:val="18"/>
          <w:lang w:val="es-ES_tradnl"/>
        </w:rPr>
        <w:t xml:space="preserve">n de la demanda al </w:t>
      </w:r>
      <w:r>
        <w:rPr>
          <w:spacing w:val="-11"/>
          <w:sz w:val="18"/>
          <w:szCs w:val="18"/>
          <w:lang w:val="es-ES_tradnl"/>
        </w:rPr>
        <w:t>demandado, es importante se</w:t>
      </w:r>
      <w:r>
        <w:rPr>
          <w:rFonts w:cs="Times New Roman"/>
          <w:spacing w:val="-11"/>
          <w:sz w:val="18"/>
          <w:szCs w:val="18"/>
          <w:lang w:val="es-ES_tradnl"/>
        </w:rPr>
        <w:t>ñ</w:t>
      </w:r>
      <w:r>
        <w:rPr>
          <w:spacing w:val="-11"/>
          <w:sz w:val="18"/>
          <w:szCs w:val="18"/>
          <w:lang w:val="es-ES_tradnl"/>
        </w:rPr>
        <w:t xml:space="preserve">alar que el acto procesal de la </w:t>
      </w:r>
      <w:r>
        <w:rPr>
          <w:spacing w:val="-9"/>
          <w:sz w:val="18"/>
          <w:szCs w:val="18"/>
          <w:lang w:val="es-ES_tradnl"/>
        </w:rPr>
        <w:t>citaci</w:t>
      </w:r>
      <w:r>
        <w:rPr>
          <w:rFonts w:cs="Times New Roman"/>
          <w:spacing w:val="-9"/>
          <w:sz w:val="18"/>
          <w:szCs w:val="18"/>
          <w:lang w:val="es-ES_tradnl"/>
        </w:rPr>
        <w:t>ó</w:t>
      </w:r>
      <w:r>
        <w:rPr>
          <w:spacing w:val="-9"/>
          <w:sz w:val="18"/>
          <w:szCs w:val="18"/>
          <w:lang w:val="es-ES_tradnl"/>
        </w:rPr>
        <w:t>n como un acto de comunicaci</w:t>
      </w:r>
      <w:r>
        <w:rPr>
          <w:rFonts w:cs="Times New Roman"/>
          <w:spacing w:val="-9"/>
          <w:sz w:val="18"/>
          <w:szCs w:val="18"/>
          <w:lang w:val="es-ES_tradnl"/>
        </w:rPr>
        <w:t>ó</w:t>
      </w:r>
      <w:r>
        <w:rPr>
          <w:spacing w:val="-9"/>
          <w:sz w:val="18"/>
          <w:szCs w:val="18"/>
          <w:lang w:val="es-ES_tradnl"/>
        </w:rPr>
        <w:t>n (</w:t>
      </w:r>
      <w:r>
        <w:rPr>
          <w:i/>
          <w:iCs/>
          <w:spacing w:val="-9"/>
          <w:sz w:val="18"/>
          <w:szCs w:val="18"/>
          <w:lang w:val="es-ES_tradnl"/>
        </w:rPr>
        <w:t>notum facere</w:t>
      </w:r>
      <w:r>
        <w:rPr>
          <w:spacing w:val="-9"/>
          <w:sz w:val="18"/>
          <w:szCs w:val="18"/>
          <w:lang w:val="es-ES_tradnl"/>
        </w:rPr>
        <w:t xml:space="preserve">) es el acto fundamental que permite dotar a la estructura procesal </w:t>
      </w:r>
      <w:r>
        <w:rPr>
          <w:spacing w:val="-5"/>
          <w:sz w:val="18"/>
          <w:szCs w:val="18"/>
          <w:lang w:val="es-ES_tradnl"/>
        </w:rPr>
        <w:t xml:space="preserve">de validez y constitucionalidad, alertando al legitimado </w:t>
      </w:r>
      <w:r>
        <w:rPr>
          <w:spacing w:val="-3"/>
          <w:sz w:val="18"/>
          <w:szCs w:val="18"/>
          <w:lang w:val="es-ES_tradnl"/>
        </w:rPr>
        <w:t xml:space="preserve">pasivo que el </w:t>
      </w:r>
      <w:r>
        <w:rPr>
          <w:rFonts w:cs="Times New Roman"/>
          <w:spacing w:val="-3"/>
          <w:sz w:val="18"/>
          <w:szCs w:val="18"/>
          <w:lang w:val="es-ES_tradnl"/>
        </w:rPr>
        <w:t>ó</w:t>
      </w:r>
      <w:r>
        <w:rPr>
          <w:spacing w:val="-3"/>
          <w:sz w:val="18"/>
          <w:szCs w:val="18"/>
          <w:lang w:val="es-ES_tradnl"/>
        </w:rPr>
        <w:t xml:space="preserve">rgano jurisdiccional (constitucional u </w:t>
      </w:r>
      <w:r>
        <w:rPr>
          <w:spacing w:val="-7"/>
          <w:sz w:val="18"/>
          <w:szCs w:val="18"/>
          <w:lang w:val="es-ES_tradnl"/>
        </w:rPr>
        <w:t>ordinario) ha sido activado y requiere de su participaci</w:t>
      </w:r>
      <w:r>
        <w:rPr>
          <w:rFonts w:cs="Times New Roman"/>
          <w:spacing w:val="-7"/>
          <w:sz w:val="18"/>
          <w:szCs w:val="18"/>
          <w:lang w:val="es-ES_tradnl"/>
        </w:rPr>
        <w:t>ó</w:t>
      </w:r>
      <w:r>
        <w:rPr>
          <w:spacing w:val="-7"/>
          <w:sz w:val="18"/>
          <w:szCs w:val="18"/>
          <w:lang w:val="es-ES_tradnl"/>
        </w:rPr>
        <w:t>n e intervenci</w:t>
      </w:r>
      <w:r>
        <w:rPr>
          <w:rFonts w:cs="Times New Roman"/>
          <w:spacing w:val="-7"/>
          <w:sz w:val="18"/>
          <w:szCs w:val="18"/>
          <w:lang w:val="es-ES_tradnl"/>
        </w:rPr>
        <w:t>ó</w:t>
      </w:r>
      <w:r>
        <w:rPr>
          <w:spacing w:val="-7"/>
          <w:sz w:val="18"/>
          <w:szCs w:val="18"/>
          <w:lang w:val="es-ES_tradnl"/>
        </w:rPr>
        <w:t xml:space="preserve">n para continuar el desarrollo del proceso en el </w:t>
      </w:r>
      <w:r>
        <w:rPr>
          <w:spacing w:val="-6"/>
          <w:sz w:val="18"/>
          <w:szCs w:val="18"/>
          <w:lang w:val="es-ES_tradnl"/>
        </w:rPr>
        <w:t>marco del principio de igualdad y contradicci</w:t>
      </w:r>
      <w:r>
        <w:rPr>
          <w:rFonts w:cs="Times New Roman"/>
          <w:spacing w:val="-6"/>
          <w:sz w:val="18"/>
          <w:szCs w:val="18"/>
          <w:lang w:val="es-ES_tradnl"/>
        </w:rPr>
        <w:t>ó</w:t>
      </w:r>
      <w:r>
        <w:rPr>
          <w:spacing w:val="-6"/>
          <w:sz w:val="18"/>
          <w:szCs w:val="18"/>
          <w:lang w:val="es-ES_tradnl"/>
        </w:rPr>
        <w:t>n</w:t>
      </w:r>
      <w:r>
        <w:rPr>
          <w:rFonts w:cs="Times New Roman"/>
          <w:spacing w:val="-6"/>
          <w:sz w:val="18"/>
          <w:szCs w:val="18"/>
          <w:lang w:val="es-ES_tradnl"/>
        </w:rPr>
        <w:t>”</w:t>
      </w:r>
      <w:r>
        <w:rPr>
          <w:spacing w:val="-6"/>
          <w:sz w:val="18"/>
          <w:szCs w:val="18"/>
          <w:lang w:val="es-ES_tradnl"/>
        </w:rPr>
        <w:t>.</w:t>
      </w:r>
      <w:r>
        <w:rPr>
          <w:spacing w:val="-6"/>
          <w:sz w:val="18"/>
          <w:szCs w:val="18"/>
          <w:vertAlign w:val="superscript"/>
          <w:lang w:val="es-ES_tradnl"/>
        </w:rPr>
        <w:t>3</w:t>
      </w:r>
    </w:p>
    <w:p w14:paraId="4F67AED9" w14:textId="77777777" w:rsidR="00591D54" w:rsidRDefault="00591D54">
      <w:pPr>
        <w:shd w:val="clear" w:color="auto" w:fill="FFFFFF"/>
        <w:spacing w:before="197" w:line="216" w:lineRule="exact"/>
        <w:jc w:val="both"/>
      </w:pPr>
      <w:r>
        <w:rPr>
          <w:spacing w:val="-3"/>
          <w:sz w:val="18"/>
          <w:szCs w:val="18"/>
          <w:lang w:val="es-ES_tradnl"/>
        </w:rPr>
        <w:t xml:space="preserve">Los accionantes imputan a los jueces de la Sala de lo </w:t>
      </w:r>
      <w:r>
        <w:rPr>
          <w:spacing w:val="-5"/>
          <w:sz w:val="18"/>
          <w:szCs w:val="18"/>
          <w:lang w:val="es-ES_tradnl"/>
        </w:rPr>
        <w:t>Civil, Mercantil, Inquilinato, Materias Residuales, Ni</w:t>
      </w:r>
      <w:r>
        <w:rPr>
          <w:rFonts w:cs="Times New Roman"/>
          <w:spacing w:val="-5"/>
          <w:sz w:val="18"/>
          <w:szCs w:val="18"/>
          <w:lang w:val="es-ES_tradnl"/>
        </w:rPr>
        <w:t>ñ</w:t>
      </w:r>
      <w:r>
        <w:rPr>
          <w:spacing w:val="-5"/>
          <w:sz w:val="18"/>
          <w:szCs w:val="18"/>
          <w:lang w:val="es-ES_tradnl"/>
        </w:rPr>
        <w:t xml:space="preserve">ez y </w:t>
      </w:r>
      <w:r>
        <w:rPr>
          <w:spacing w:val="-8"/>
          <w:sz w:val="18"/>
          <w:szCs w:val="18"/>
          <w:lang w:val="es-ES_tradnl"/>
        </w:rPr>
        <w:t xml:space="preserve">Adolescencia de la Corte Provincial de Justicia de El Oro la </w:t>
      </w:r>
      <w:r>
        <w:rPr>
          <w:spacing w:val="-10"/>
          <w:sz w:val="18"/>
          <w:szCs w:val="18"/>
          <w:lang w:val="es-ES_tradnl"/>
        </w:rPr>
        <w:t>afectaci</w:t>
      </w:r>
      <w:r>
        <w:rPr>
          <w:rFonts w:cs="Times New Roman"/>
          <w:spacing w:val="-10"/>
          <w:sz w:val="18"/>
          <w:szCs w:val="18"/>
          <w:lang w:val="es-ES_tradnl"/>
        </w:rPr>
        <w:t>ó</w:t>
      </w:r>
      <w:r>
        <w:rPr>
          <w:spacing w:val="-10"/>
          <w:sz w:val="18"/>
          <w:szCs w:val="18"/>
          <w:lang w:val="es-ES_tradnl"/>
        </w:rPr>
        <w:t xml:space="preserve">n del derecho a la defensa, supuesto que demanda </w:t>
      </w:r>
      <w:r>
        <w:rPr>
          <w:spacing w:val="-8"/>
          <w:sz w:val="18"/>
          <w:szCs w:val="18"/>
          <w:lang w:val="es-ES_tradnl"/>
        </w:rPr>
        <w:t>la revisi</w:t>
      </w:r>
      <w:r>
        <w:rPr>
          <w:rFonts w:cs="Times New Roman"/>
          <w:spacing w:val="-8"/>
          <w:sz w:val="18"/>
          <w:szCs w:val="18"/>
          <w:lang w:val="es-ES_tradnl"/>
        </w:rPr>
        <w:t>ó</w:t>
      </w:r>
      <w:r>
        <w:rPr>
          <w:spacing w:val="-8"/>
          <w:sz w:val="18"/>
          <w:szCs w:val="18"/>
          <w:lang w:val="es-ES_tradnl"/>
        </w:rPr>
        <w:t xml:space="preserve">n </w:t>
      </w:r>
      <w:r>
        <w:rPr>
          <w:rFonts w:cs="Times New Roman"/>
          <w:spacing w:val="-8"/>
          <w:sz w:val="18"/>
          <w:szCs w:val="18"/>
          <w:lang w:val="es-ES_tradnl"/>
        </w:rPr>
        <w:t>í</w:t>
      </w:r>
      <w:r>
        <w:rPr>
          <w:spacing w:val="-8"/>
          <w:sz w:val="18"/>
          <w:szCs w:val="18"/>
          <w:lang w:val="es-ES_tradnl"/>
        </w:rPr>
        <w:t xml:space="preserve">ntegra del proceso judicial de alimentos seguido </w:t>
      </w:r>
      <w:r>
        <w:rPr>
          <w:spacing w:val="-5"/>
          <w:sz w:val="18"/>
          <w:szCs w:val="18"/>
          <w:lang w:val="es-ES_tradnl"/>
        </w:rPr>
        <w:t xml:space="preserve">en contra de los legitimados activos, a fin de verificar tal </w:t>
      </w:r>
      <w:r>
        <w:rPr>
          <w:sz w:val="18"/>
          <w:szCs w:val="18"/>
          <w:lang w:val="es-ES_tradnl"/>
        </w:rPr>
        <w:t>afirmaci</w:t>
      </w:r>
      <w:r>
        <w:rPr>
          <w:rFonts w:cs="Times New Roman"/>
          <w:sz w:val="18"/>
          <w:szCs w:val="18"/>
          <w:lang w:val="es-ES_tradnl"/>
        </w:rPr>
        <w:t>ó</w:t>
      </w:r>
      <w:r>
        <w:rPr>
          <w:sz w:val="18"/>
          <w:szCs w:val="18"/>
          <w:lang w:val="es-ES_tradnl"/>
        </w:rPr>
        <w:t>n.</w:t>
      </w:r>
    </w:p>
    <w:p w14:paraId="4F67AEDA" w14:textId="77777777" w:rsidR="00591D54" w:rsidRDefault="00591D54">
      <w:pPr>
        <w:shd w:val="clear" w:color="auto" w:fill="FFFFFF"/>
        <w:spacing w:before="197" w:line="211" w:lineRule="exact"/>
        <w:jc w:val="both"/>
      </w:pPr>
      <w:r>
        <w:rPr>
          <w:spacing w:val="-8"/>
          <w:sz w:val="18"/>
          <w:szCs w:val="18"/>
          <w:lang w:val="es-ES_tradnl"/>
        </w:rPr>
        <w:t>Al respecto, el Tribunal Constitucional espa</w:t>
      </w:r>
      <w:r>
        <w:rPr>
          <w:rFonts w:cs="Times New Roman"/>
          <w:spacing w:val="-8"/>
          <w:sz w:val="18"/>
          <w:szCs w:val="18"/>
          <w:lang w:val="es-ES_tradnl"/>
        </w:rPr>
        <w:t>ñ</w:t>
      </w:r>
      <w:r>
        <w:rPr>
          <w:spacing w:val="-8"/>
          <w:sz w:val="18"/>
          <w:szCs w:val="18"/>
          <w:lang w:val="es-ES_tradnl"/>
        </w:rPr>
        <w:t>ol ha se</w:t>
      </w:r>
      <w:r>
        <w:rPr>
          <w:rFonts w:cs="Times New Roman"/>
          <w:spacing w:val="-8"/>
          <w:sz w:val="18"/>
          <w:szCs w:val="18"/>
          <w:lang w:val="es-ES_tradnl"/>
        </w:rPr>
        <w:t>ñ</w:t>
      </w:r>
      <w:r>
        <w:rPr>
          <w:spacing w:val="-8"/>
          <w:sz w:val="18"/>
          <w:szCs w:val="18"/>
          <w:lang w:val="es-ES_tradnl"/>
        </w:rPr>
        <w:t xml:space="preserve">alado </w:t>
      </w:r>
      <w:r>
        <w:rPr>
          <w:spacing w:val="-9"/>
          <w:sz w:val="18"/>
          <w:szCs w:val="18"/>
          <w:lang w:val="es-ES_tradnl"/>
        </w:rPr>
        <w:t xml:space="preserve">que el derecho a la defensa </w:t>
      </w:r>
      <w:r>
        <w:rPr>
          <w:rFonts w:cs="Times New Roman"/>
          <w:spacing w:val="-9"/>
          <w:sz w:val="18"/>
          <w:szCs w:val="18"/>
          <w:lang w:val="es-ES_tradnl"/>
        </w:rPr>
        <w:t>“</w:t>
      </w:r>
      <w:r>
        <w:rPr>
          <w:spacing w:val="-9"/>
          <w:sz w:val="18"/>
          <w:szCs w:val="18"/>
          <w:lang w:val="es-ES_tradnl"/>
        </w:rPr>
        <w:t>es exactamente el ant</w:t>
      </w:r>
      <w:r>
        <w:rPr>
          <w:rFonts w:cs="Times New Roman"/>
          <w:spacing w:val="-9"/>
          <w:sz w:val="18"/>
          <w:szCs w:val="18"/>
          <w:lang w:val="es-ES_tradnl"/>
        </w:rPr>
        <w:t>í</w:t>
      </w:r>
      <w:r>
        <w:rPr>
          <w:spacing w:val="-9"/>
          <w:sz w:val="18"/>
          <w:szCs w:val="18"/>
          <w:lang w:val="es-ES_tradnl"/>
        </w:rPr>
        <w:t xml:space="preserve">doto de </w:t>
      </w:r>
      <w:r>
        <w:rPr>
          <w:spacing w:val="-10"/>
          <w:sz w:val="18"/>
          <w:szCs w:val="18"/>
          <w:lang w:val="es-ES_tradnl"/>
        </w:rPr>
        <w:t>la tacha m</w:t>
      </w:r>
      <w:r>
        <w:rPr>
          <w:rFonts w:cs="Times New Roman"/>
          <w:spacing w:val="-10"/>
          <w:sz w:val="18"/>
          <w:szCs w:val="18"/>
          <w:lang w:val="es-ES_tradnl"/>
        </w:rPr>
        <w:t>á</w:t>
      </w:r>
      <w:r>
        <w:rPr>
          <w:spacing w:val="-10"/>
          <w:sz w:val="18"/>
          <w:szCs w:val="18"/>
          <w:lang w:val="es-ES_tradnl"/>
        </w:rPr>
        <w:t xml:space="preserve">s grave que puede enervar la tutela judicial hasta </w:t>
      </w:r>
      <w:r>
        <w:rPr>
          <w:spacing w:val="-9"/>
          <w:sz w:val="18"/>
          <w:szCs w:val="18"/>
          <w:lang w:val="es-ES_tradnl"/>
        </w:rPr>
        <w:t>hacerla desaparecer: la indefensi</w:t>
      </w:r>
      <w:r>
        <w:rPr>
          <w:rFonts w:cs="Times New Roman"/>
          <w:spacing w:val="-9"/>
          <w:sz w:val="18"/>
          <w:szCs w:val="18"/>
          <w:lang w:val="es-ES_tradnl"/>
        </w:rPr>
        <w:t>ó</w:t>
      </w:r>
      <w:r>
        <w:rPr>
          <w:spacing w:val="-9"/>
          <w:sz w:val="18"/>
          <w:szCs w:val="18"/>
          <w:lang w:val="es-ES_tradnl"/>
        </w:rPr>
        <w:t>n, y a su vez act</w:t>
      </w:r>
      <w:r>
        <w:rPr>
          <w:rFonts w:cs="Times New Roman"/>
          <w:spacing w:val="-9"/>
          <w:sz w:val="18"/>
          <w:szCs w:val="18"/>
          <w:lang w:val="es-ES_tradnl"/>
        </w:rPr>
        <w:t>ú</w:t>
      </w:r>
      <w:r>
        <w:rPr>
          <w:spacing w:val="-9"/>
          <w:sz w:val="18"/>
          <w:szCs w:val="18"/>
          <w:lang w:val="es-ES_tradnl"/>
        </w:rPr>
        <w:t xml:space="preserve">a como </w:t>
      </w:r>
      <w:r>
        <w:rPr>
          <w:spacing w:val="-8"/>
          <w:sz w:val="18"/>
          <w:szCs w:val="18"/>
          <w:lang w:val="es-ES_tradnl"/>
        </w:rPr>
        <w:t xml:space="preserve">cabecera o capitular de otros derechos que le siguen en el </w:t>
      </w:r>
      <w:r>
        <w:rPr>
          <w:sz w:val="18"/>
          <w:szCs w:val="18"/>
          <w:lang w:val="es-ES_tradnl"/>
        </w:rPr>
        <w:t>mismo texto constitucional</w:t>
      </w:r>
      <w:r>
        <w:rPr>
          <w:rFonts w:cs="Times New Roman"/>
          <w:sz w:val="18"/>
          <w:szCs w:val="18"/>
          <w:lang w:val="es-ES_tradnl"/>
        </w:rPr>
        <w:t>”</w:t>
      </w:r>
      <w:r>
        <w:rPr>
          <w:sz w:val="18"/>
          <w:szCs w:val="18"/>
          <w:vertAlign w:val="superscript"/>
          <w:lang w:val="es-ES_tradnl"/>
        </w:rPr>
        <w:t>4</w:t>
      </w:r>
      <w:r>
        <w:rPr>
          <w:sz w:val="18"/>
          <w:szCs w:val="18"/>
          <w:lang w:val="es-ES_tradnl"/>
        </w:rPr>
        <w:t>.</w:t>
      </w:r>
    </w:p>
    <w:p w14:paraId="4F67AEDB" w14:textId="77777777" w:rsidR="00591D54" w:rsidRDefault="00591D54">
      <w:pPr>
        <w:shd w:val="clear" w:color="auto" w:fill="FFFFFF"/>
        <w:spacing w:before="192" w:line="216" w:lineRule="exact"/>
        <w:jc w:val="both"/>
      </w:pPr>
      <w:r>
        <w:rPr>
          <w:spacing w:val="-8"/>
          <w:sz w:val="18"/>
          <w:szCs w:val="18"/>
          <w:lang w:val="es-ES_tradnl"/>
        </w:rPr>
        <w:t>De la revisi</w:t>
      </w:r>
      <w:r>
        <w:rPr>
          <w:rFonts w:cs="Times New Roman"/>
          <w:spacing w:val="-8"/>
          <w:sz w:val="18"/>
          <w:szCs w:val="18"/>
          <w:lang w:val="es-ES_tradnl"/>
        </w:rPr>
        <w:t>ó</w:t>
      </w:r>
      <w:r>
        <w:rPr>
          <w:spacing w:val="-8"/>
          <w:sz w:val="18"/>
          <w:szCs w:val="18"/>
          <w:lang w:val="es-ES_tradnl"/>
        </w:rPr>
        <w:t xml:space="preserve">n del proceso judicial por alimentos seguido en </w:t>
      </w:r>
      <w:r>
        <w:rPr>
          <w:spacing w:val="-7"/>
          <w:sz w:val="18"/>
          <w:szCs w:val="18"/>
          <w:lang w:val="es-ES_tradnl"/>
        </w:rPr>
        <w:t xml:space="preserve">contra de los legitimados activos, doctora Helen Alexandra </w:t>
      </w:r>
      <w:r>
        <w:rPr>
          <w:spacing w:val="-3"/>
          <w:sz w:val="18"/>
          <w:szCs w:val="18"/>
          <w:lang w:val="es-ES_tradnl"/>
        </w:rPr>
        <w:t>Maldonado Albarrac</w:t>
      </w:r>
      <w:r>
        <w:rPr>
          <w:rFonts w:cs="Times New Roman"/>
          <w:spacing w:val="-3"/>
          <w:sz w:val="18"/>
          <w:szCs w:val="18"/>
          <w:lang w:val="es-ES_tradnl"/>
        </w:rPr>
        <w:t>í</w:t>
      </w:r>
      <w:r>
        <w:rPr>
          <w:spacing w:val="-3"/>
          <w:sz w:val="18"/>
          <w:szCs w:val="18"/>
          <w:lang w:val="es-ES_tradnl"/>
        </w:rPr>
        <w:t xml:space="preserve">n y Byron Vladimir Maldonado </w:t>
      </w:r>
      <w:r>
        <w:rPr>
          <w:spacing w:val="-7"/>
          <w:sz w:val="18"/>
          <w:szCs w:val="18"/>
          <w:lang w:val="es-ES_tradnl"/>
        </w:rPr>
        <w:t>Albarrac</w:t>
      </w:r>
      <w:r>
        <w:rPr>
          <w:rFonts w:cs="Times New Roman"/>
          <w:spacing w:val="-7"/>
          <w:sz w:val="18"/>
          <w:szCs w:val="18"/>
          <w:lang w:val="es-ES_tradnl"/>
        </w:rPr>
        <w:t>í</w:t>
      </w:r>
      <w:r>
        <w:rPr>
          <w:spacing w:val="-7"/>
          <w:sz w:val="18"/>
          <w:szCs w:val="18"/>
          <w:lang w:val="es-ES_tradnl"/>
        </w:rPr>
        <w:t xml:space="preserve">n, se advierte que, propuesta la demanda por la </w:t>
      </w:r>
      <w:r>
        <w:rPr>
          <w:spacing w:val="-9"/>
          <w:sz w:val="18"/>
          <w:szCs w:val="18"/>
          <w:lang w:val="es-ES_tradnl"/>
        </w:rPr>
        <w:t>se</w:t>
      </w:r>
      <w:r>
        <w:rPr>
          <w:rFonts w:cs="Times New Roman"/>
          <w:spacing w:val="-9"/>
          <w:sz w:val="18"/>
          <w:szCs w:val="18"/>
          <w:lang w:val="es-ES_tradnl"/>
        </w:rPr>
        <w:t>ñ</w:t>
      </w:r>
      <w:r>
        <w:rPr>
          <w:spacing w:val="-9"/>
          <w:sz w:val="18"/>
          <w:szCs w:val="18"/>
          <w:lang w:val="es-ES_tradnl"/>
        </w:rPr>
        <w:t>ora Mireya Mu</w:t>
      </w:r>
      <w:r>
        <w:rPr>
          <w:rFonts w:cs="Times New Roman"/>
          <w:spacing w:val="-9"/>
          <w:sz w:val="18"/>
          <w:szCs w:val="18"/>
          <w:lang w:val="es-ES_tradnl"/>
        </w:rPr>
        <w:t>ñ</w:t>
      </w:r>
      <w:r>
        <w:rPr>
          <w:spacing w:val="-9"/>
          <w:sz w:val="18"/>
          <w:szCs w:val="18"/>
          <w:lang w:val="es-ES_tradnl"/>
        </w:rPr>
        <w:t>oz Blacio en representaci</w:t>
      </w:r>
      <w:r>
        <w:rPr>
          <w:rFonts w:cs="Times New Roman"/>
          <w:spacing w:val="-9"/>
          <w:sz w:val="18"/>
          <w:szCs w:val="18"/>
          <w:lang w:val="es-ES_tradnl"/>
        </w:rPr>
        <w:t>ó</w:t>
      </w:r>
      <w:r>
        <w:rPr>
          <w:spacing w:val="-9"/>
          <w:sz w:val="18"/>
          <w:szCs w:val="18"/>
          <w:lang w:val="es-ES_tradnl"/>
        </w:rPr>
        <w:t xml:space="preserve">n de sus hijos menores de edad, los demandados fueron citados en las </w:t>
      </w:r>
      <w:r>
        <w:rPr>
          <w:spacing w:val="-7"/>
          <w:sz w:val="18"/>
          <w:szCs w:val="18"/>
          <w:lang w:val="es-ES_tradnl"/>
        </w:rPr>
        <w:t>formas previstas en el ordenamiento jur</w:t>
      </w:r>
      <w:r>
        <w:rPr>
          <w:rFonts w:cs="Times New Roman"/>
          <w:spacing w:val="-7"/>
          <w:sz w:val="18"/>
          <w:szCs w:val="18"/>
          <w:lang w:val="es-ES_tradnl"/>
        </w:rPr>
        <w:t>í</w:t>
      </w:r>
      <w:r>
        <w:rPr>
          <w:spacing w:val="-7"/>
          <w:sz w:val="18"/>
          <w:szCs w:val="18"/>
          <w:lang w:val="es-ES_tradnl"/>
        </w:rPr>
        <w:t xml:space="preserve">dico ecuatoriano, </w:t>
      </w:r>
      <w:r>
        <w:rPr>
          <w:spacing w:val="-3"/>
          <w:sz w:val="18"/>
          <w:szCs w:val="18"/>
          <w:lang w:val="es-ES_tradnl"/>
        </w:rPr>
        <w:t xml:space="preserve">pudiendo comparecer al proceso a ejercer el derecho a </w:t>
      </w:r>
      <w:r>
        <w:rPr>
          <w:spacing w:val="-8"/>
          <w:sz w:val="18"/>
          <w:szCs w:val="18"/>
          <w:lang w:val="es-ES_tradnl"/>
        </w:rPr>
        <w:t>la defensa, en toda su dimensi</w:t>
      </w:r>
      <w:r>
        <w:rPr>
          <w:rFonts w:cs="Times New Roman"/>
          <w:spacing w:val="-8"/>
          <w:sz w:val="18"/>
          <w:szCs w:val="18"/>
          <w:lang w:val="es-ES_tradnl"/>
        </w:rPr>
        <w:t>ó</w:t>
      </w:r>
      <w:r>
        <w:rPr>
          <w:spacing w:val="-8"/>
          <w:sz w:val="18"/>
          <w:szCs w:val="18"/>
          <w:lang w:val="es-ES_tradnl"/>
        </w:rPr>
        <w:t xml:space="preserve">n, esto es, contestando la </w:t>
      </w:r>
      <w:r>
        <w:rPr>
          <w:spacing w:val="-10"/>
          <w:sz w:val="18"/>
          <w:szCs w:val="18"/>
          <w:lang w:val="es-ES_tradnl"/>
        </w:rPr>
        <w:t xml:space="preserve">demanda, anunciando y practicando las pruebas en defensa </w:t>
      </w:r>
      <w:r>
        <w:rPr>
          <w:spacing w:val="-8"/>
          <w:sz w:val="18"/>
          <w:szCs w:val="18"/>
          <w:lang w:val="es-ES_tradnl"/>
        </w:rPr>
        <w:t>de sus derechos y a</w:t>
      </w:r>
      <w:r>
        <w:rPr>
          <w:rFonts w:cs="Times New Roman"/>
          <w:spacing w:val="-8"/>
          <w:sz w:val="18"/>
          <w:szCs w:val="18"/>
          <w:lang w:val="es-ES_tradnl"/>
        </w:rPr>
        <w:t>ú</w:t>
      </w:r>
      <w:r>
        <w:rPr>
          <w:spacing w:val="-8"/>
          <w:sz w:val="18"/>
          <w:szCs w:val="18"/>
          <w:lang w:val="es-ES_tradnl"/>
        </w:rPr>
        <w:t xml:space="preserve">n, interponiendo los recursos de </w:t>
      </w:r>
      <w:r>
        <w:rPr>
          <w:spacing w:val="-7"/>
          <w:sz w:val="18"/>
          <w:szCs w:val="18"/>
          <w:lang w:val="es-ES_tradnl"/>
        </w:rPr>
        <w:t>impugnaci</w:t>
      </w:r>
      <w:r>
        <w:rPr>
          <w:rFonts w:cs="Times New Roman"/>
          <w:spacing w:val="-7"/>
          <w:sz w:val="18"/>
          <w:szCs w:val="18"/>
          <w:lang w:val="es-ES_tradnl"/>
        </w:rPr>
        <w:t>ó</w:t>
      </w:r>
      <w:r>
        <w:rPr>
          <w:spacing w:val="-7"/>
          <w:sz w:val="18"/>
          <w:szCs w:val="18"/>
          <w:lang w:val="es-ES_tradnl"/>
        </w:rPr>
        <w:t>n que permite nuestro ordenamiento jur</w:t>
      </w:r>
      <w:r>
        <w:rPr>
          <w:rFonts w:cs="Times New Roman"/>
          <w:spacing w:val="-7"/>
          <w:sz w:val="18"/>
          <w:szCs w:val="18"/>
          <w:lang w:val="es-ES_tradnl"/>
        </w:rPr>
        <w:t>í</w:t>
      </w:r>
      <w:r>
        <w:rPr>
          <w:spacing w:val="-7"/>
          <w:sz w:val="18"/>
          <w:szCs w:val="18"/>
          <w:lang w:val="es-ES_tradnl"/>
        </w:rPr>
        <w:t>dico.</w:t>
      </w:r>
    </w:p>
    <w:p w14:paraId="4F67AEDC" w14:textId="77777777" w:rsidR="00591D54" w:rsidRDefault="00591D54">
      <w:pPr>
        <w:shd w:val="clear" w:color="auto" w:fill="FFFFFF"/>
        <w:spacing w:before="192" w:line="216" w:lineRule="exact"/>
        <w:jc w:val="both"/>
      </w:pPr>
      <w:r>
        <w:rPr>
          <w:spacing w:val="-7"/>
          <w:sz w:val="18"/>
          <w:szCs w:val="18"/>
          <w:lang w:val="es-ES_tradnl"/>
        </w:rPr>
        <w:t xml:space="preserve">Por tanto, esta Corte estima que los demandados en el </w:t>
      </w:r>
      <w:r>
        <w:rPr>
          <w:sz w:val="18"/>
          <w:szCs w:val="18"/>
          <w:lang w:val="es-ES_tradnl"/>
        </w:rPr>
        <w:t xml:space="preserve">proceso judicial por alimentos (legitimados activos en </w:t>
      </w:r>
      <w:r>
        <w:rPr>
          <w:spacing w:val="-6"/>
          <w:sz w:val="18"/>
          <w:szCs w:val="18"/>
          <w:lang w:val="es-ES_tradnl"/>
        </w:rPr>
        <w:t>la presente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no han </w:t>
      </w:r>
      <w:r>
        <w:rPr>
          <w:spacing w:val="-8"/>
          <w:sz w:val="18"/>
          <w:szCs w:val="18"/>
          <w:lang w:val="es-ES_tradnl"/>
        </w:rPr>
        <w:t>quedado en estado de indefensi</w:t>
      </w:r>
      <w:r>
        <w:rPr>
          <w:rFonts w:cs="Times New Roman"/>
          <w:spacing w:val="-8"/>
          <w:sz w:val="18"/>
          <w:szCs w:val="18"/>
          <w:lang w:val="es-ES_tradnl"/>
        </w:rPr>
        <w:t>ó</w:t>
      </w:r>
      <w:r>
        <w:rPr>
          <w:spacing w:val="-8"/>
          <w:sz w:val="18"/>
          <w:szCs w:val="18"/>
          <w:lang w:val="es-ES_tradnl"/>
        </w:rPr>
        <w:t xml:space="preserve">n en ninguna etapa del </w:t>
      </w:r>
      <w:r>
        <w:rPr>
          <w:spacing w:val="-4"/>
          <w:sz w:val="18"/>
          <w:szCs w:val="18"/>
          <w:lang w:val="es-ES_tradnl"/>
        </w:rPr>
        <w:t>proceso, el cual se ha tramitado con sujeci</w:t>
      </w:r>
      <w:r>
        <w:rPr>
          <w:rFonts w:cs="Times New Roman"/>
          <w:spacing w:val="-4"/>
          <w:sz w:val="18"/>
          <w:szCs w:val="18"/>
          <w:lang w:val="es-ES_tradnl"/>
        </w:rPr>
        <w:t>ó</w:t>
      </w:r>
      <w:r>
        <w:rPr>
          <w:spacing w:val="-4"/>
          <w:sz w:val="18"/>
          <w:szCs w:val="18"/>
          <w:lang w:val="es-ES_tradnl"/>
        </w:rPr>
        <w:t xml:space="preserve">n al ritual </w:t>
      </w:r>
      <w:r>
        <w:rPr>
          <w:spacing w:val="-8"/>
          <w:sz w:val="18"/>
          <w:szCs w:val="18"/>
          <w:lang w:val="es-ES_tradnl"/>
        </w:rPr>
        <w:t>procesal previsto en el C</w:t>
      </w:r>
      <w:r>
        <w:rPr>
          <w:rFonts w:cs="Times New Roman"/>
          <w:spacing w:val="-8"/>
          <w:sz w:val="18"/>
          <w:szCs w:val="18"/>
          <w:lang w:val="es-ES_tradnl"/>
        </w:rPr>
        <w:t>ó</w:t>
      </w:r>
      <w:r>
        <w:rPr>
          <w:spacing w:val="-8"/>
          <w:sz w:val="18"/>
          <w:szCs w:val="18"/>
          <w:lang w:val="es-ES_tradnl"/>
        </w:rPr>
        <w:t>digo de la Ni</w:t>
      </w:r>
      <w:r>
        <w:rPr>
          <w:rFonts w:cs="Times New Roman"/>
          <w:spacing w:val="-8"/>
          <w:sz w:val="18"/>
          <w:szCs w:val="18"/>
          <w:lang w:val="es-ES_tradnl"/>
        </w:rPr>
        <w:t>ñ</w:t>
      </w:r>
      <w:r>
        <w:rPr>
          <w:spacing w:val="-8"/>
          <w:sz w:val="18"/>
          <w:szCs w:val="18"/>
          <w:lang w:val="es-ES_tradnl"/>
        </w:rPr>
        <w:t>ez y Adolescencia.</w:t>
      </w:r>
    </w:p>
    <w:p w14:paraId="4F67AEDD" w14:textId="77777777" w:rsidR="00591D54" w:rsidRDefault="00591D54">
      <w:pPr>
        <w:shd w:val="clear" w:color="auto" w:fill="FFFFFF"/>
        <w:spacing w:before="192" w:line="216" w:lineRule="exact"/>
        <w:ind w:left="283" w:hanging="283"/>
        <w:jc w:val="both"/>
      </w:pPr>
      <w:r>
        <w:rPr>
          <w:b/>
          <w:bCs/>
          <w:spacing w:val="-7"/>
          <w:sz w:val="18"/>
          <w:szCs w:val="18"/>
          <w:lang w:val="es-ES_tradnl"/>
        </w:rPr>
        <w:t>2. La decisi</w:t>
      </w:r>
      <w:r>
        <w:rPr>
          <w:rFonts w:cs="Times New Roman"/>
          <w:b/>
          <w:bCs/>
          <w:spacing w:val="-7"/>
          <w:sz w:val="18"/>
          <w:szCs w:val="18"/>
          <w:lang w:val="es-ES_tradnl"/>
        </w:rPr>
        <w:t>ó</w:t>
      </w:r>
      <w:r>
        <w:rPr>
          <w:b/>
          <w:bCs/>
          <w:spacing w:val="-7"/>
          <w:sz w:val="18"/>
          <w:szCs w:val="18"/>
          <w:lang w:val="es-ES_tradnl"/>
        </w:rPr>
        <w:t>n judicial materia de la presente acci</w:t>
      </w:r>
      <w:r>
        <w:rPr>
          <w:rFonts w:cs="Times New Roman"/>
          <w:b/>
          <w:bCs/>
          <w:spacing w:val="-7"/>
          <w:sz w:val="18"/>
          <w:szCs w:val="18"/>
          <w:lang w:val="es-ES_tradnl"/>
        </w:rPr>
        <w:t>ó</w:t>
      </w:r>
      <w:r>
        <w:rPr>
          <w:b/>
          <w:bCs/>
          <w:spacing w:val="-7"/>
          <w:sz w:val="18"/>
          <w:szCs w:val="18"/>
          <w:lang w:val="es-ES_tradnl"/>
        </w:rPr>
        <w:t xml:space="preserve">n </w:t>
      </w:r>
      <w:r>
        <w:rPr>
          <w:b/>
          <w:bCs/>
          <w:spacing w:val="-9"/>
          <w:sz w:val="18"/>
          <w:szCs w:val="18"/>
          <w:lang w:val="es-ES_tradnl"/>
        </w:rPr>
        <w:t>extraordinaria de protecci</w:t>
      </w:r>
      <w:r>
        <w:rPr>
          <w:rFonts w:cs="Times New Roman"/>
          <w:b/>
          <w:bCs/>
          <w:spacing w:val="-9"/>
          <w:sz w:val="18"/>
          <w:szCs w:val="18"/>
          <w:lang w:val="es-ES_tradnl"/>
        </w:rPr>
        <w:t>ó</w:t>
      </w:r>
      <w:r>
        <w:rPr>
          <w:b/>
          <w:bCs/>
          <w:spacing w:val="-9"/>
          <w:sz w:val="18"/>
          <w:szCs w:val="18"/>
          <w:lang w:val="es-ES_tradnl"/>
        </w:rPr>
        <w:t xml:space="preserve">n </w:t>
      </w:r>
      <w:r>
        <w:rPr>
          <w:rFonts w:cs="Times New Roman"/>
          <w:b/>
          <w:bCs/>
          <w:spacing w:val="-9"/>
          <w:sz w:val="18"/>
          <w:szCs w:val="18"/>
          <w:lang w:val="es-ES_tradnl"/>
        </w:rPr>
        <w:t>¿</w:t>
      </w:r>
      <w:r>
        <w:rPr>
          <w:b/>
          <w:bCs/>
          <w:spacing w:val="-9"/>
          <w:sz w:val="18"/>
          <w:szCs w:val="18"/>
          <w:lang w:val="es-ES_tradnl"/>
        </w:rPr>
        <w:t xml:space="preserve">vulnera los derechos </w:t>
      </w:r>
      <w:r>
        <w:rPr>
          <w:b/>
          <w:bCs/>
          <w:sz w:val="18"/>
          <w:szCs w:val="18"/>
          <w:lang w:val="es-ES_tradnl"/>
        </w:rPr>
        <w:t>invocados por los accionantes?</w:t>
      </w:r>
    </w:p>
    <w:p w14:paraId="4F67AEDE" w14:textId="77777777" w:rsidR="00591D54" w:rsidRDefault="00591D54">
      <w:pPr>
        <w:shd w:val="clear" w:color="auto" w:fill="FFFFFF"/>
        <w:spacing w:before="192" w:line="216" w:lineRule="exact"/>
        <w:jc w:val="both"/>
      </w:pPr>
      <w:r>
        <w:rPr>
          <w:spacing w:val="-9"/>
          <w:sz w:val="18"/>
          <w:szCs w:val="18"/>
          <w:lang w:val="es-ES_tradnl"/>
        </w:rPr>
        <w:t>Si bien los demandados (legitimados activos en esta acci</w:t>
      </w:r>
      <w:r>
        <w:rPr>
          <w:rFonts w:cs="Times New Roman"/>
          <w:spacing w:val="-9"/>
          <w:sz w:val="18"/>
          <w:szCs w:val="18"/>
          <w:lang w:val="es-ES_tradnl"/>
        </w:rPr>
        <w:t>ó</w:t>
      </w:r>
      <w:r>
        <w:rPr>
          <w:spacing w:val="-9"/>
          <w:sz w:val="18"/>
          <w:szCs w:val="18"/>
          <w:lang w:val="es-ES_tradnl"/>
        </w:rPr>
        <w:t xml:space="preserve">n </w:t>
      </w:r>
      <w:r>
        <w:rPr>
          <w:spacing w:val="-4"/>
          <w:sz w:val="18"/>
          <w:szCs w:val="18"/>
          <w:lang w:val="es-ES_tradnl"/>
        </w:rPr>
        <w:t xml:space="preserve">constitucional) han ejercido su defensa en el proceso judicial de alimentos seguido en su contra, es preciso </w:t>
      </w:r>
      <w:r>
        <w:rPr>
          <w:spacing w:val="-8"/>
          <w:sz w:val="18"/>
          <w:szCs w:val="18"/>
          <w:lang w:val="es-ES_tradnl"/>
        </w:rPr>
        <w:t>analizar si se han respetado las otras garant</w:t>
      </w:r>
      <w:r>
        <w:rPr>
          <w:rFonts w:cs="Times New Roman"/>
          <w:spacing w:val="-8"/>
          <w:sz w:val="18"/>
          <w:szCs w:val="18"/>
          <w:lang w:val="es-ES_tradnl"/>
        </w:rPr>
        <w:t>í</w:t>
      </w:r>
      <w:r>
        <w:rPr>
          <w:spacing w:val="-8"/>
          <w:sz w:val="18"/>
          <w:szCs w:val="18"/>
          <w:lang w:val="es-ES_tradnl"/>
        </w:rPr>
        <w:t xml:space="preserve">as del debido </w:t>
      </w:r>
      <w:r>
        <w:rPr>
          <w:spacing w:val="-10"/>
          <w:sz w:val="18"/>
          <w:szCs w:val="18"/>
          <w:lang w:val="es-ES_tradnl"/>
        </w:rPr>
        <w:t xml:space="preserve">proceso, a fin de determinar si son fundados o no los cargos </w:t>
      </w:r>
      <w:r>
        <w:rPr>
          <w:spacing w:val="-9"/>
          <w:sz w:val="18"/>
          <w:szCs w:val="18"/>
          <w:lang w:val="es-ES_tradnl"/>
        </w:rPr>
        <w:t>de vulneraci</w:t>
      </w:r>
      <w:r>
        <w:rPr>
          <w:rFonts w:cs="Times New Roman"/>
          <w:spacing w:val="-9"/>
          <w:sz w:val="18"/>
          <w:szCs w:val="18"/>
          <w:lang w:val="es-ES_tradnl"/>
        </w:rPr>
        <w:t>ó</w:t>
      </w:r>
      <w:r>
        <w:rPr>
          <w:spacing w:val="-9"/>
          <w:sz w:val="18"/>
          <w:szCs w:val="18"/>
          <w:lang w:val="es-ES_tradnl"/>
        </w:rPr>
        <w:t>n de derechos, alegados por los accionantes.</w:t>
      </w:r>
    </w:p>
    <w:p w14:paraId="4F67AEDF" w14:textId="77777777" w:rsidR="00591D54" w:rsidRDefault="00591D54">
      <w:pPr>
        <w:shd w:val="clear" w:color="auto" w:fill="FFFFFF"/>
        <w:tabs>
          <w:tab w:val="left" w:pos="144"/>
        </w:tabs>
        <w:spacing w:before="456" w:line="178" w:lineRule="exact"/>
        <w:ind w:left="144" w:hanging="144"/>
        <w:jc w:val="both"/>
      </w:pPr>
      <w:r>
        <w:rPr>
          <w:sz w:val="10"/>
          <w:szCs w:val="10"/>
          <w:vertAlign w:val="superscript"/>
          <w:lang w:val="es-ES_tradnl"/>
        </w:rPr>
        <w:t>3</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w:t>
      </w:r>
      <w:r>
        <w:rPr>
          <w:sz w:val="18"/>
          <w:szCs w:val="18"/>
          <w:lang w:val="es-ES_tradnl"/>
        </w:rPr>
        <w:t xml:space="preserve"> </w:t>
      </w:r>
      <w:r>
        <w:rPr>
          <w:sz w:val="14"/>
          <w:szCs w:val="14"/>
          <w:lang w:val="es-ES_tradnl"/>
        </w:rPr>
        <w:t>025-15-SEP-CC, caso N.</w:t>
      </w:r>
      <w:r>
        <w:rPr>
          <w:rFonts w:cs="Times New Roman"/>
          <w:sz w:val="14"/>
          <w:szCs w:val="14"/>
          <w:lang w:val="es-ES_tradnl"/>
        </w:rPr>
        <w:t>°</w:t>
      </w:r>
      <w:r>
        <w:rPr>
          <w:sz w:val="14"/>
          <w:szCs w:val="14"/>
          <w:lang w:val="es-ES_tradnl"/>
        </w:rPr>
        <w:t xml:space="preserve"> 0725-12-EP</w:t>
      </w:r>
    </w:p>
    <w:p w14:paraId="4F67AEE0" w14:textId="77777777" w:rsidR="00591D54" w:rsidRDefault="00591D54">
      <w:pPr>
        <w:shd w:val="clear" w:color="auto" w:fill="FFFFFF"/>
        <w:tabs>
          <w:tab w:val="left" w:pos="144"/>
        </w:tabs>
        <w:spacing w:before="154" w:line="178" w:lineRule="exact"/>
        <w:ind w:left="144" w:hanging="144"/>
        <w:jc w:val="both"/>
      </w:pPr>
      <w:r>
        <w:rPr>
          <w:sz w:val="10"/>
          <w:szCs w:val="10"/>
          <w:vertAlign w:val="superscript"/>
          <w:lang w:val="es-ES_tradnl"/>
        </w:rPr>
        <w:t>4</w:t>
      </w:r>
      <w:r>
        <w:rPr>
          <w:sz w:val="18"/>
          <w:szCs w:val="18"/>
          <w:lang w:val="es-ES_tradnl"/>
        </w:rPr>
        <w:tab/>
      </w:r>
      <w:r>
        <w:rPr>
          <w:spacing w:val="-2"/>
          <w:sz w:val="14"/>
          <w:szCs w:val="14"/>
          <w:lang w:val="es-ES_tradnl"/>
        </w:rPr>
        <w:t>Sentencia</w:t>
      </w:r>
      <w:r>
        <w:rPr>
          <w:spacing w:val="-2"/>
          <w:sz w:val="18"/>
          <w:szCs w:val="18"/>
          <w:lang w:val="es-ES_tradnl"/>
        </w:rPr>
        <w:t xml:space="preserve"> </w:t>
      </w:r>
      <w:r>
        <w:rPr>
          <w:spacing w:val="-2"/>
          <w:sz w:val="14"/>
          <w:szCs w:val="14"/>
          <w:lang w:val="es-ES_tradnl"/>
        </w:rPr>
        <w:t>STC</w:t>
      </w:r>
      <w:r>
        <w:rPr>
          <w:spacing w:val="-2"/>
          <w:sz w:val="18"/>
          <w:szCs w:val="18"/>
          <w:lang w:val="es-ES_tradnl"/>
        </w:rPr>
        <w:t xml:space="preserve"> </w:t>
      </w:r>
      <w:r>
        <w:rPr>
          <w:spacing w:val="-2"/>
          <w:sz w:val="14"/>
          <w:szCs w:val="14"/>
          <w:lang w:val="es-ES_tradnl"/>
        </w:rPr>
        <w:t>34/1996</w:t>
      </w:r>
      <w:r>
        <w:rPr>
          <w:spacing w:val="-2"/>
          <w:sz w:val="18"/>
          <w:szCs w:val="18"/>
          <w:lang w:val="es-ES_tradnl"/>
        </w:rPr>
        <w:t xml:space="preserve"> </w:t>
      </w:r>
      <w:r>
        <w:rPr>
          <w:spacing w:val="-2"/>
          <w:sz w:val="14"/>
          <w:szCs w:val="14"/>
          <w:lang w:val="es-ES_tradnl"/>
        </w:rPr>
        <w:t>del</w:t>
      </w:r>
      <w:r>
        <w:rPr>
          <w:spacing w:val="-2"/>
          <w:sz w:val="18"/>
          <w:szCs w:val="18"/>
          <w:lang w:val="es-ES_tradnl"/>
        </w:rPr>
        <w:t xml:space="preserve"> </w:t>
      </w:r>
      <w:r>
        <w:rPr>
          <w:spacing w:val="-2"/>
          <w:sz w:val="14"/>
          <w:szCs w:val="14"/>
          <w:lang w:val="es-ES_tradnl"/>
        </w:rPr>
        <w:t>11</w:t>
      </w:r>
      <w:r>
        <w:rPr>
          <w:spacing w:val="-2"/>
          <w:sz w:val="18"/>
          <w:szCs w:val="18"/>
          <w:lang w:val="es-ES_tradnl"/>
        </w:rPr>
        <w:t xml:space="preserve"> </w:t>
      </w:r>
      <w:r>
        <w:rPr>
          <w:spacing w:val="-2"/>
          <w:sz w:val="14"/>
          <w:szCs w:val="14"/>
          <w:lang w:val="es-ES_tradnl"/>
        </w:rPr>
        <w:t>de</w:t>
      </w:r>
      <w:r>
        <w:rPr>
          <w:spacing w:val="-2"/>
          <w:sz w:val="18"/>
          <w:szCs w:val="18"/>
          <w:lang w:val="es-ES_tradnl"/>
        </w:rPr>
        <w:t xml:space="preserve"> </w:t>
      </w:r>
      <w:r>
        <w:rPr>
          <w:spacing w:val="-2"/>
          <w:sz w:val="14"/>
          <w:szCs w:val="14"/>
          <w:lang w:val="es-ES_tradnl"/>
        </w:rPr>
        <w:t>marzo</w:t>
      </w:r>
      <w:r>
        <w:rPr>
          <w:spacing w:val="-2"/>
          <w:sz w:val="18"/>
          <w:szCs w:val="18"/>
          <w:lang w:val="es-ES_tradnl"/>
        </w:rPr>
        <w:t xml:space="preserve"> </w:t>
      </w:r>
      <w:r>
        <w:rPr>
          <w:spacing w:val="-2"/>
          <w:sz w:val="14"/>
          <w:szCs w:val="14"/>
          <w:lang w:val="es-ES_tradnl"/>
        </w:rPr>
        <w:t>de</w:t>
      </w:r>
      <w:r>
        <w:rPr>
          <w:spacing w:val="-2"/>
          <w:sz w:val="18"/>
          <w:szCs w:val="18"/>
          <w:lang w:val="es-ES_tradnl"/>
        </w:rPr>
        <w:t xml:space="preserve"> </w:t>
      </w:r>
      <w:r>
        <w:rPr>
          <w:spacing w:val="-2"/>
          <w:sz w:val="14"/>
          <w:szCs w:val="14"/>
          <w:lang w:val="es-ES_tradnl"/>
        </w:rPr>
        <w:t>1996,</w:t>
      </w:r>
      <w:r>
        <w:rPr>
          <w:spacing w:val="-2"/>
          <w:sz w:val="18"/>
          <w:szCs w:val="18"/>
          <w:lang w:val="es-ES_tradnl"/>
        </w:rPr>
        <w:t xml:space="preserve"> </w:t>
      </w:r>
      <w:r>
        <w:rPr>
          <w:spacing w:val="-2"/>
          <w:sz w:val="14"/>
          <w:szCs w:val="14"/>
          <w:lang w:val="es-ES_tradnl"/>
        </w:rPr>
        <w:t>citada</w:t>
      </w:r>
      <w:r>
        <w:rPr>
          <w:spacing w:val="-2"/>
          <w:sz w:val="18"/>
          <w:szCs w:val="18"/>
          <w:lang w:val="es-ES_tradnl"/>
        </w:rPr>
        <w:t xml:space="preserve"> </w:t>
      </w:r>
      <w:r>
        <w:rPr>
          <w:spacing w:val="-2"/>
          <w:sz w:val="14"/>
          <w:szCs w:val="14"/>
          <w:lang w:val="es-ES_tradnl"/>
        </w:rPr>
        <w:t>por</w:t>
      </w:r>
      <w:r>
        <w:rPr>
          <w:spacing w:val="-2"/>
          <w:sz w:val="18"/>
          <w:szCs w:val="18"/>
          <w:lang w:val="es-ES_tradnl"/>
        </w:rPr>
        <w:t xml:space="preserve"> </w:t>
      </w:r>
      <w:r>
        <w:rPr>
          <w:spacing w:val="-2"/>
          <w:sz w:val="14"/>
          <w:szCs w:val="14"/>
          <w:lang w:val="es-ES_tradnl"/>
        </w:rPr>
        <w:t>Jes</w:t>
      </w:r>
      <w:r>
        <w:rPr>
          <w:rFonts w:cs="Times New Roman"/>
          <w:spacing w:val="-2"/>
          <w:sz w:val="14"/>
          <w:szCs w:val="14"/>
          <w:lang w:val="es-ES_tradnl"/>
        </w:rPr>
        <w:t>ú</w:t>
      </w:r>
      <w:r>
        <w:rPr>
          <w:spacing w:val="-2"/>
          <w:sz w:val="14"/>
          <w:szCs w:val="14"/>
          <w:lang w:val="es-ES_tradnl"/>
        </w:rPr>
        <w:t>s </w:t>
      </w:r>
      <w:r>
        <w:rPr>
          <w:sz w:val="14"/>
          <w:szCs w:val="14"/>
          <w:lang w:val="es-ES_tradnl"/>
        </w:rPr>
        <w:t>Gonz</w:t>
      </w:r>
      <w:r>
        <w:rPr>
          <w:rFonts w:cs="Times New Roman"/>
          <w:sz w:val="14"/>
          <w:szCs w:val="14"/>
          <w:lang w:val="es-ES_tradnl"/>
        </w:rPr>
        <w:t>á</w:t>
      </w:r>
      <w:r>
        <w:rPr>
          <w:sz w:val="14"/>
          <w:szCs w:val="14"/>
          <w:lang w:val="es-ES_tradnl"/>
        </w:rPr>
        <w:t>lez P</w:t>
      </w:r>
      <w:r>
        <w:rPr>
          <w:rFonts w:cs="Times New Roman"/>
          <w:sz w:val="14"/>
          <w:szCs w:val="14"/>
          <w:lang w:val="es-ES_tradnl"/>
        </w:rPr>
        <w:t>é</w:t>
      </w:r>
      <w:r>
        <w:rPr>
          <w:sz w:val="14"/>
          <w:szCs w:val="14"/>
          <w:lang w:val="es-ES_tradnl"/>
        </w:rPr>
        <w:t xml:space="preserve">rez en </w:t>
      </w:r>
      <w:r>
        <w:rPr>
          <w:rFonts w:cs="Times New Roman"/>
          <w:sz w:val="14"/>
          <w:szCs w:val="14"/>
          <w:lang w:val="es-ES_tradnl"/>
        </w:rPr>
        <w:t>“</w:t>
      </w:r>
      <w:r>
        <w:rPr>
          <w:sz w:val="14"/>
          <w:szCs w:val="14"/>
          <w:lang w:val="es-ES_tradnl"/>
        </w:rPr>
        <w:t>El Derecho a la Tutela Jurisdiccional</w:t>
      </w:r>
      <w:r>
        <w:rPr>
          <w:rFonts w:cs="Times New Roman"/>
          <w:sz w:val="14"/>
          <w:szCs w:val="14"/>
          <w:lang w:val="es-ES_tradnl"/>
        </w:rPr>
        <w:t>”</w:t>
      </w:r>
      <w:r>
        <w:rPr>
          <w:sz w:val="14"/>
          <w:szCs w:val="14"/>
          <w:lang w:val="es-ES_tradnl"/>
        </w:rPr>
        <w:t xml:space="preserve"> III Edici</w:t>
      </w:r>
      <w:r>
        <w:rPr>
          <w:rFonts w:cs="Times New Roman"/>
          <w:sz w:val="14"/>
          <w:szCs w:val="14"/>
          <w:lang w:val="es-ES_tradnl"/>
        </w:rPr>
        <w:t>ó</w:t>
      </w:r>
      <w:r>
        <w:rPr>
          <w:sz w:val="14"/>
          <w:szCs w:val="14"/>
          <w:lang w:val="es-ES_tradnl"/>
        </w:rPr>
        <w:t xml:space="preserve">n </w:t>
      </w:r>
      <w:r>
        <w:rPr>
          <w:rFonts w:cs="Times New Roman"/>
          <w:sz w:val="14"/>
          <w:szCs w:val="14"/>
          <w:lang w:val="es-ES_tradnl"/>
        </w:rPr>
        <w:t>–</w:t>
      </w:r>
      <w:r>
        <w:rPr>
          <w:sz w:val="14"/>
          <w:szCs w:val="14"/>
          <w:lang w:val="es-ES_tradnl"/>
        </w:rPr>
        <w:t xml:space="preserve"> Editorial CIVITAS, Madrid - a</w:t>
      </w:r>
      <w:r>
        <w:rPr>
          <w:rFonts w:cs="Times New Roman"/>
          <w:sz w:val="14"/>
          <w:szCs w:val="14"/>
          <w:lang w:val="es-ES_tradnl"/>
        </w:rPr>
        <w:t>ñ</w:t>
      </w:r>
      <w:r>
        <w:rPr>
          <w:sz w:val="14"/>
          <w:szCs w:val="14"/>
          <w:lang w:val="es-ES_tradnl"/>
        </w:rPr>
        <w:t>o 2001 - p</w:t>
      </w:r>
      <w:r>
        <w:rPr>
          <w:rFonts w:cs="Times New Roman"/>
          <w:sz w:val="14"/>
          <w:szCs w:val="14"/>
          <w:lang w:val="es-ES_tradnl"/>
        </w:rPr>
        <w:t>á</w:t>
      </w:r>
      <w:r>
        <w:rPr>
          <w:sz w:val="14"/>
          <w:szCs w:val="14"/>
          <w:lang w:val="es-ES_tradnl"/>
        </w:rPr>
        <w:t>g. 197.</w:t>
      </w:r>
    </w:p>
    <w:p w14:paraId="4F67AEE1" w14:textId="77777777" w:rsidR="00591D54" w:rsidRDefault="00591D54">
      <w:pPr>
        <w:shd w:val="clear" w:color="auto" w:fill="FFFFFF"/>
        <w:tabs>
          <w:tab w:val="left" w:pos="144"/>
        </w:tabs>
        <w:spacing w:before="154" w:line="178" w:lineRule="exact"/>
        <w:ind w:left="144" w:hanging="144"/>
        <w:jc w:val="both"/>
        <w:sectPr w:rsidR="00591D54">
          <w:type w:val="continuous"/>
          <w:pgSz w:w="11909" w:h="16834"/>
          <w:pgMar w:top="1356" w:right="1309" w:bottom="360" w:left="1308" w:header="720" w:footer="720" w:gutter="0"/>
          <w:cols w:num="2" w:space="720" w:equalWidth="0">
            <w:col w:w="4305" w:space="682"/>
            <w:col w:w="4305"/>
          </w:cols>
          <w:noEndnote/>
        </w:sectPr>
      </w:pPr>
    </w:p>
    <w:p w14:paraId="4F67AEE2"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- 139</w:t>
      </w:r>
    </w:p>
    <w:p w14:paraId="4F67AEE3" w14:textId="77777777" w:rsidR="00591D54" w:rsidRDefault="00591D54">
      <w:pPr>
        <w:shd w:val="clear" w:color="auto" w:fill="FFFFFF"/>
        <w:tabs>
          <w:tab w:val="left" w:pos="5842"/>
        </w:tabs>
        <w:spacing w:after="235"/>
        <w:ind w:left="5"/>
        <w:sectPr w:rsidR="00591D54">
          <w:pgSz w:w="11909" w:h="16834"/>
          <w:pgMar w:top="1366" w:right="1309" w:bottom="360" w:left="1308" w:header="720" w:footer="720" w:gutter="0"/>
          <w:cols w:space="60"/>
          <w:noEndnote/>
        </w:sectPr>
      </w:pPr>
    </w:p>
    <w:p w14:paraId="4F67AEE4" w14:textId="77777777" w:rsidR="00591D54" w:rsidRDefault="00591D54">
      <w:pPr>
        <w:shd w:val="clear" w:color="auto" w:fill="FFFFFF"/>
        <w:spacing w:line="211" w:lineRule="exact"/>
        <w:jc w:val="both"/>
      </w:pPr>
      <w:r>
        <w:rPr>
          <w:spacing w:val="-10"/>
          <w:sz w:val="18"/>
          <w:szCs w:val="18"/>
          <w:lang w:val="es-ES_tradnl"/>
        </w:rPr>
        <w:t xml:space="preserve">Debemos tener presente que el debido proceso </w:t>
      </w:r>
      <w:r>
        <w:rPr>
          <w:rFonts w:cs="Times New Roman"/>
          <w:spacing w:val="-10"/>
          <w:sz w:val="18"/>
          <w:szCs w:val="18"/>
          <w:lang w:val="es-ES_tradnl"/>
        </w:rPr>
        <w:t>“</w:t>
      </w:r>
      <w:r>
        <w:rPr>
          <w:spacing w:val="-10"/>
          <w:sz w:val="18"/>
          <w:szCs w:val="18"/>
          <w:lang w:val="es-ES_tradnl"/>
        </w:rPr>
        <w:t>comprende una serie de garant</w:t>
      </w:r>
      <w:r>
        <w:rPr>
          <w:rFonts w:cs="Times New Roman"/>
          <w:spacing w:val="-10"/>
          <w:sz w:val="18"/>
          <w:szCs w:val="18"/>
          <w:lang w:val="es-ES_tradnl"/>
        </w:rPr>
        <w:t>í</w:t>
      </w:r>
      <w:r>
        <w:rPr>
          <w:spacing w:val="-10"/>
          <w:sz w:val="18"/>
          <w:szCs w:val="18"/>
          <w:lang w:val="es-ES_tradnl"/>
        </w:rPr>
        <w:t xml:space="preserve">as con las cuales se busca sujetar a las </w:t>
      </w:r>
      <w:r>
        <w:rPr>
          <w:spacing w:val="-8"/>
          <w:sz w:val="18"/>
          <w:szCs w:val="18"/>
          <w:lang w:val="es-ES_tradnl"/>
        </w:rPr>
        <w:t>reglas m</w:t>
      </w:r>
      <w:r>
        <w:rPr>
          <w:rFonts w:cs="Times New Roman"/>
          <w:spacing w:val="-8"/>
          <w:sz w:val="18"/>
          <w:szCs w:val="18"/>
          <w:lang w:val="es-ES_tradnl"/>
        </w:rPr>
        <w:t>í</w:t>
      </w:r>
      <w:r>
        <w:rPr>
          <w:spacing w:val="-8"/>
          <w:sz w:val="18"/>
          <w:szCs w:val="18"/>
          <w:lang w:val="es-ES_tradnl"/>
        </w:rPr>
        <w:t xml:space="preserve">nimas sustantivas y procedimentales el desarrollo </w:t>
      </w:r>
      <w:r>
        <w:rPr>
          <w:spacing w:val="-9"/>
          <w:sz w:val="18"/>
          <w:szCs w:val="18"/>
          <w:lang w:val="es-ES_tradnl"/>
        </w:rPr>
        <w:t xml:space="preserve">de las actuaciones adelantadas por las autoridades en el </w:t>
      </w:r>
      <w:r>
        <w:rPr>
          <w:rFonts w:cs="Times New Roman"/>
          <w:spacing w:val="-5"/>
          <w:sz w:val="18"/>
          <w:szCs w:val="18"/>
          <w:lang w:val="es-ES_tradnl"/>
        </w:rPr>
        <w:t>á</w:t>
      </w:r>
      <w:r>
        <w:rPr>
          <w:spacing w:val="-5"/>
          <w:sz w:val="18"/>
          <w:szCs w:val="18"/>
          <w:lang w:val="es-ES_tradnl"/>
        </w:rPr>
        <w:t xml:space="preserve">mbito judicial y administrativo, con el fin de proteger los </w:t>
      </w:r>
      <w:r>
        <w:rPr>
          <w:spacing w:val="-8"/>
          <w:sz w:val="18"/>
          <w:szCs w:val="18"/>
          <w:lang w:val="es-ES_tradnl"/>
        </w:rPr>
        <w:t>derechos e intereses de las personas vinculadas (</w:t>
      </w:r>
      <w:r>
        <w:rPr>
          <w:rFonts w:cs="Times New Roman"/>
          <w:spacing w:val="-8"/>
          <w:sz w:val="18"/>
          <w:szCs w:val="18"/>
          <w:lang w:val="es-ES_tradnl"/>
        </w:rPr>
        <w:t>…</w:t>
      </w:r>
      <w:r>
        <w:rPr>
          <w:spacing w:val="-8"/>
          <w:sz w:val="18"/>
          <w:szCs w:val="18"/>
          <w:lang w:val="es-ES_tradnl"/>
        </w:rPr>
        <w:t xml:space="preserve">) toda </w:t>
      </w:r>
      <w:r>
        <w:rPr>
          <w:spacing w:val="-6"/>
          <w:sz w:val="18"/>
          <w:szCs w:val="18"/>
          <w:lang w:val="es-ES_tradnl"/>
        </w:rPr>
        <w:t>vez que salvaguarda la primac</w:t>
      </w:r>
      <w:r>
        <w:rPr>
          <w:rFonts w:cs="Times New Roman"/>
          <w:spacing w:val="-6"/>
          <w:sz w:val="18"/>
          <w:szCs w:val="18"/>
          <w:lang w:val="es-ES_tradnl"/>
        </w:rPr>
        <w:t>í</w:t>
      </w:r>
      <w:r>
        <w:rPr>
          <w:spacing w:val="-6"/>
          <w:sz w:val="18"/>
          <w:szCs w:val="18"/>
          <w:lang w:val="es-ES_tradnl"/>
        </w:rPr>
        <w:t xml:space="preserve">a del principio de legalidad </w:t>
      </w:r>
      <w:r>
        <w:rPr>
          <w:spacing w:val="-7"/>
          <w:sz w:val="18"/>
          <w:szCs w:val="18"/>
          <w:lang w:val="es-ES_tradnl"/>
        </w:rPr>
        <w:t>e igualdad, as</w:t>
      </w:r>
      <w:r>
        <w:rPr>
          <w:rFonts w:cs="Times New Roman"/>
          <w:spacing w:val="-7"/>
          <w:sz w:val="18"/>
          <w:szCs w:val="18"/>
          <w:lang w:val="es-ES_tradnl"/>
        </w:rPr>
        <w:t>í</w:t>
      </w:r>
      <w:r>
        <w:rPr>
          <w:spacing w:val="-7"/>
          <w:sz w:val="18"/>
          <w:szCs w:val="18"/>
          <w:lang w:val="es-ES_tradnl"/>
        </w:rPr>
        <w:t xml:space="preserve"> como realiza efectivamente el derecho de acceso a la administraci</w:t>
      </w:r>
      <w:r>
        <w:rPr>
          <w:rFonts w:cs="Times New Roman"/>
          <w:spacing w:val="-7"/>
          <w:sz w:val="18"/>
          <w:szCs w:val="18"/>
          <w:lang w:val="es-ES_tradnl"/>
        </w:rPr>
        <w:t>ó</w:t>
      </w:r>
      <w:r>
        <w:rPr>
          <w:spacing w:val="-7"/>
          <w:sz w:val="18"/>
          <w:szCs w:val="18"/>
          <w:lang w:val="es-ES_tradnl"/>
        </w:rPr>
        <w:t>n de justicia, sustento b</w:t>
      </w:r>
      <w:r>
        <w:rPr>
          <w:rFonts w:cs="Times New Roman"/>
          <w:spacing w:val="-7"/>
          <w:sz w:val="18"/>
          <w:szCs w:val="18"/>
          <w:lang w:val="es-ES_tradnl"/>
        </w:rPr>
        <w:t>á</w:t>
      </w:r>
      <w:r>
        <w:rPr>
          <w:spacing w:val="-7"/>
          <w:sz w:val="18"/>
          <w:szCs w:val="18"/>
          <w:lang w:val="es-ES_tradnl"/>
        </w:rPr>
        <w:t xml:space="preserve">sico y </w:t>
      </w:r>
      <w:r>
        <w:rPr>
          <w:sz w:val="18"/>
          <w:szCs w:val="18"/>
          <w:lang w:val="es-ES_tradnl"/>
        </w:rPr>
        <w:t>esencial de una sociedad democr</w:t>
      </w:r>
      <w:r>
        <w:rPr>
          <w:rFonts w:cs="Times New Roman"/>
          <w:sz w:val="18"/>
          <w:szCs w:val="18"/>
          <w:lang w:val="es-ES_tradnl"/>
        </w:rPr>
        <w:t>á</w:t>
      </w:r>
      <w:r>
        <w:rPr>
          <w:sz w:val="18"/>
          <w:szCs w:val="18"/>
          <w:lang w:val="es-ES_tradnl"/>
        </w:rPr>
        <w:t>tica</w:t>
      </w:r>
      <w:r>
        <w:rPr>
          <w:rFonts w:cs="Times New Roman"/>
          <w:sz w:val="18"/>
          <w:szCs w:val="18"/>
          <w:lang w:val="es-ES_tradnl"/>
        </w:rPr>
        <w:t>”</w:t>
      </w:r>
      <w:r>
        <w:rPr>
          <w:sz w:val="18"/>
          <w:szCs w:val="18"/>
          <w:vertAlign w:val="superscript"/>
          <w:lang w:val="es-ES_tradnl"/>
        </w:rPr>
        <w:t>5</w:t>
      </w:r>
      <w:r>
        <w:rPr>
          <w:sz w:val="18"/>
          <w:szCs w:val="18"/>
          <w:lang w:val="es-ES_tradnl"/>
        </w:rPr>
        <w:t>.</w:t>
      </w:r>
    </w:p>
    <w:p w14:paraId="4F67AEE5" w14:textId="77777777" w:rsidR="00591D54" w:rsidRDefault="00591D54">
      <w:pPr>
        <w:shd w:val="clear" w:color="auto" w:fill="FFFFFF"/>
        <w:spacing w:before="197" w:line="216" w:lineRule="exact"/>
        <w:jc w:val="both"/>
      </w:pPr>
      <w:r>
        <w:rPr>
          <w:spacing w:val="-6"/>
          <w:sz w:val="18"/>
          <w:szCs w:val="18"/>
          <w:lang w:val="es-ES_tradnl"/>
        </w:rPr>
        <w:t>La alegaci</w:t>
      </w:r>
      <w:r>
        <w:rPr>
          <w:rFonts w:cs="Times New Roman"/>
          <w:spacing w:val="-6"/>
          <w:sz w:val="18"/>
          <w:szCs w:val="18"/>
          <w:lang w:val="es-ES_tradnl"/>
        </w:rPr>
        <w:t>ó</w:t>
      </w:r>
      <w:r>
        <w:rPr>
          <w:spacing w:val="-6"/>
          <w:sz w:val="18"/>
          <w:szCs w:val="18"/>
          <w:lang w:val="es-ES_tradnl"/>
        </w:rPr>
        <w:t>n central contenida en la presente acci</w:t>
      </w:r>
      <w:r>
        <w:rPr>
          <w:rFonts w:cs="Times New Roman"/>
          <w:spacing w:val="-6"/>
          <w:sz w:val="18"/>
          <w:szCs w:val="18"/>
          <w:lang w:val="es-ES_tradnl"/>
        </w:rPr>
        <w:t>ó</w:t>
      </w:r>
      <w:r>
        <w:rPr>
          <w:spacing w:val="-6"/>
          <w:sz w:val="18"/>
          <w:szCs w:val="18"/>
          <w:lang w:val="es-ES_tradnl"/>
        </w:rPr>
        <w:t xml:space="preserve">n </w:t>
      </w:r>
      <w:r>
        <w:rPr>
          <w:spacing w:val="-7"/>
          <w:sz w:val="18"/>
          <w:szCs w:val="18"/>
          <w:lang w:val="es-ES_tradnl"/>
        </w:rPr>
        <w:t>extraordinaria de protecci</w:t>
      </w:r>
      <w:r>
        <w:rPr>
          <w:rFonts w:cs="Times New Roman"/>
          <w:spacing w:val="-7"/>
          <w:sz w:val="18"/>
          <w:szCs w:val="18"/>
          <w:lang w:val="es-ES_tradnl"/>
        </w:rPr>
        <w:t>ó</w:t>
      </w:r>
      <w:r>
        <w:rPr>
          <w:spacing w:val="-7"/>
          <w:sz w:val="18"/>
          <w:szCs w:val="18"/>
          <w:lang w:val="es-ES_tradnl"/>
        </w:rPr>
        <w:t xml:space="preserve">n, por parte de los accionantes, </w:t>
      </w:r>
      <w:r>
        <w:rPr>
          <w:spacing w:val="-10"/>
          <w:sz w:val="18"/>
          <w:szCs w:val="18"/>
          <w:lang w:val="es-ES_tradnl"/>
        </w:rPr>
        <w:t xml:space="preserve">es que el juzgador </w:t>
      </w:r>
      <w:r>
        <w:rPr>
          <w:rFonts w:cs="Times New Roman"/>
          <w:spacing w:val="-10"/>
          <w:sz w:val="18"/>
          <w:szCs w:val="18"/>
          <w:lang w:val="es-ES_tradnl"/>
        </w:rPr>
        <w:t>“</w:t>
      </w:r>
      <w:r>
        <w:rPr>
          <w:spacing w:val="-10"/>
          <w:sz w:val="18"/>
          <w:szCs w:val="18"/>
          <w:lang w:val="es-ES_tradnl"/>
        </w:rPr>
        <w:t>solamente pod</w:t>
      </w:r>
      <w:r>
        <w:rPr>
          <w:rFonts w:cs="Times New Roman"/>
          <w:spacing w:val="-10"/>
          <w:sz w:val="18"/>
          <w:szCs w:val="18"/>
          <w:lang w:val="es-ES_tradnl"/>
        </w:rPr>
        <w:t>í</w:t>
      </w:r>
      <w:r>
        <w:rPr>
          <w:spacing w:val="-10"/>
          <w:sz w:val="18"/>
          <w:szCs w:val="18"/>
          <w:lang w:val="es-ES_tradnl"/>
        </w:rPr>
        <w:t xml:space="preserve">a actuar en base al orden </w:t>
      </w:r>
      <w:r>
        <w:rPr>
          <w:spacing w:val="-6"/>
          <w:sz w:val="18"/>
          <w:szCs w:val="18"/>
          <w:lang w:val="es-ES_tradnl"/>
        </w:rPr>
        <w:t>de prelaci</w:t>
      </w:r>
      <w:r>
        <w:rPr>
          <w:rFonts w:cs="Times New Roman"/>
          <w:spacing w:val="-6"/>
          <w:sz w:val="18"/>
          <w:szCs w:val="18"/>
          <w:lang w:val="es-ES_tradnl"/>
        </w:rPr>
        <w:t>ó</w:t>
      </w:r>
      <w:r>
        <w:rPr>
          <w:spacing w:val="-6"/>
          <w:sz w:val="18"/>
          <w:szCs w:val="18"/>
          <w:lang w:val="es-ES_tradnl"/>
        </w:rPr>
        <w:t>n establecido tal como lo manda el art</w:t>
      </w:r>
      <w:r>
        <w:rPr>
          <w:rFonts w:cs="Times New Roman"/>
          <w:spacing w:val="-6"/>
          <w:sz w:val="18"/>
          <w:szCs w:val="18"/>
          <w:lang w:val="es-ES_tradnl"/>
        </w:rPr>
        <w:t>í</w:t>
      </w:r>
      <w:r>
        <w:rPr>
          <w:spacing w:val="-6"/>
          <w:sz w:val="18"/>
          <w:szCs w:val="18"/>
          <w:lang w:val="es-ES_tradnl"/>
        </w:rPr>
        <w:t xml:space="preserve">culo </w:t>
      </w:r>
      <w:r>
        <w:rPr>
          <w:sz w:val="18"/>
          <w:szCs w:val="18"/>
          <w:lang w:val="es-ES_tradnl"/>
        </w:rPr>
        <w:t>innumerado 5</w:t>
      </w:r>
      <w:r>
        <w:rPr>
          <w:rFonts w:cs="Times New Roman"/>
          <w:sz w:val="18"/>
          <w:szCs w:val="18"/>
          <w:lang w:val="es-ES_tradnl"/>
        </w:rPr>
        <w:t>”</w:t>
      </w:r>
      <w:r>
        <w:rPr>
          <w:sz w:val="18"/>
          <w:szCs w:val="18"/>
          <w:lang w:val="es-ES_tradnl"/>
        </w:rPr>
        <w:t xml:space="preserve"> (de la Ley Reformatoria del T</w:t>
      </w:r>
      <w:r>
        <w:rPr>
          <w:rFonts w:cs="Times New Roman"/>
          <w:sz w:val="18"/>
          <w:szCs w:val="18"/>
          <w:lang w:val="es-ES_tradnl"/>
        </w:rPr>
        <w:t>í</w:t>
      </w:r>
      <w:r>
        <w:rPr>
          <w:sz w:val="18"/>
          <w:szCs w:val="18"/>
          <w:lang w:val="es-ES_tradnl"/>
        </w:rPr>
        <w:t xml:space="preserve">tulo V </w:t>
      </w:r>
      <w:r>
        <w:rPr>
          <w:spacing w:val="-2"/>
          <w:sz w:val="18"/>
          <w:szCs w:val="18"/>
          <w:lang w:val="es-ES_tradnl"/>
        </w:rPr>
        <w:t>del Libro II del C</w:t>
      </w:r>
      <w:r>
        <w:rPr>
          <w:rFonts w:cs="Times New Roman"/>
          <w:spacing w:val="-2"/>
          <w:sz w:val="18"/>
          <w:szCs w:val="18"/>
          <w:lang w:val="es-ES_tradnl"/>
        </w:rPr>
        <w:t>ó</w:t>
      </w:r>
      <w:r>
        <w:rPr>
          <w:spacing w:val="-2"/>
          <w:sz w:val="18"/>
          <w:szCs w:val="18"/>
          <w:lang w:val="es-ES_tradnl"/>
        </w:rPr>
        <w:t>digo de la Ni</w:t>
      </w:r>
      <w:r>
        <w:rPr>
          <w:rFonts w:cs="Times New Roman"/>
          <w:spacing w:val="-2"/>
          <w:sz w:val="18"/>
          <w:szCs w:val="18"/>
          <w:lang w:val="es-ES_tradnl"/>
        </w:rPr>
        <w:t>ñ</w:t>
      </w:r>
      <w:r>
        <w:rPr>
          <w:spacing w:val="-2"/>
          <w:sz w:val="18"/>
          <w:szCs w:val="18"/>
          <w:lang w:val="es-ES_tradnl"/>
        </w:rPr>
        <w:t xml:space="preserve">ez y Adolescencia </w:t>
      </w:r>
      <w:r>
        <w:rPr>
          <w:rFonts w:cs="Times New Roman"/>
          <w:spacing w:val="-2"/>
          <w:sz w:val="18"/>
          <w:szCs w:val="18"/>
          <w:lang w:val="es-ES_tradnl"/>
        </w:rPr>
        <w:t>–</w:t>
      </w:r>
      <w:r>
        <w:rPr>
          <w:spacing w:val="-2"/>
          <w:sz w:val="18"/>
          <w:szCs w:val="18"/>
          <w:lang w:val="es-ES_tradnl"/>
        </w:rPr>
        <w:t xml:space="preserve"> R. </w:t>
      </w:r>
      <w:r>
        <w:rPr>
          <w:spacing w:val="-6"/>
          <w:sz w:val="18"/>
          <w:szCs w:val="18"/>
          <w:lang w:val="es-ES_tradnl"/>
        </w:rPr>
        <w:t xml:space="preserve">O. -S- 643 del 28 de julio de 2009), esto es que, ante la ausencia, impedimento, falta de recursos o discapacidad </w:t>
      </w:r>
      <w:r>
        <w:rPr>
          <w:spacing w:val="-5"/>
          <w:sz w:val="18"/>
          <w:szCs w:val="18"/>
          <w:lang w:val="es-ES_tradnl"/>
        </w:rPr>
        <w:t xml:space="preserve">de los obligados principales, la responsabilidad del pago </w:t>
      </w:r>
      <w:r>
        <w:rPr>
          <w:spacing w:val="-9"/>
          <w:sz w:val="18"/>
          <w:szCs w:val="18"/>
          <w:lang w:val="es-ES_tradnl"/>
        </w:rPr>
        <w:t>de alimentos se traslada a los dem</w:t>
      </w:r>
      <w:r>
        <w:rPr>
          <w:rFonts w:cs="Times New Roman"/>
          <w:spacing w:val="-9"/>
          <w:sz w:val="18"/>
          <w:szCs w:val="18"/>
          <w:lang w:val="es-ES_tradnl"/>
        </w:rPr>
        <w:t>á</w:t>
      </w:r>
      <w:r>
        <w:rPr>
          <w:spacing w:val="-9"/>
          <w:sz w:val="18"/>
          <w:szCs w:val="18"/>
          <w:lang w:val="es-ES_tradnl"/>
        </w:rPr>
        <w:t xml:space="preserve">s parientes de los </w:t>
      </w:r>
      <w:r>
        <w:rPr>
          <w:spacing w:val="-7"/>
          <w:sz w:val="18"/>
          <w:szCs w:val="18"/>
          <w:lang w:val="es-ES_tradnl"/>
        </w:rPr>
        <w:t xml:space="preserve">alimentarios, en calidad de obligados subsidiarios, siendo </w:t>
      </w:r>
      <w:r>
        <w:rPr>
          <w:spacing w:val="-8"/>
          <w:sz w:val="18"/>
          <w:szCs w:val="18"/>
          <w:lang w:val="es-ES_tradnl"/>
        </w:rPr>
        <w:t xml:space="preserve">estos: 1) Los abuelos/as; 2) Los hermanos/as que sean </w:t>
      </w:r>
      <w:r>
        <w:rPr>
          <w:spacing w:val="-12"/>
          <w:sz w:val="18"/>
          <w:szCs w:val="18"/>
          <w:lang w:val="es-ES_tradnl"/>
        </w:rPr>
        <w:t>mayores de 21 a</w:t>
      </w:r>
      <w:r>
        <w:rPr>
          <w:rFonts w:cs="Times New Roman"/>
          <w:spacing w:val="-12"/>
          <w:sz w:val="18"/>
          <w:szCs w:val="18"/>
          <w:lang w:val="es-ES_tradnl"/>
        </w:rPr>
        <w:t>ñ</w:t>
      </w:r>
      <w:r>
        <w:rPr>
          <w:spacing w:val="-12"/>
          <w:sz w:val="18"/>
          <w:szCs w:val="18"/>
          <w:lang w:val="es-ES_tradnl"/>
        </w:rPr>
        <w:t xml:space="preserve">os y no se hallen cursando estudios que les </w:t>
      </w:r>
      <w:r>
        <w:rPr>
          <w:spacing w:val="-6"/>
          <w:sz w:val="18"/>
          <w:szCs w:val="18"/>
          <w:lang w:val="es-ES_tradnl"/>
        </w:rPr>
        <w:t xml:space="preserve">impidan o dificulten dedicarse a una actividad productiva, </w:t>
      </w:r>
      <w:r>
        <w:rPr>
          <w:spacing w:val="-2"/>
          <w:sz w:val="18"/>
          <w:szCs w:val="18"/>
          <w:lang w:val="es-ES_tradnl"/>
        </w:rPr>
        <w:t xml:space="preserve">ni padezcan discapacidad debidamente acreditada por </w:t>
      </w:r>
      <w:r>
        <w:rPr>
          <w:spacing w:val="-1"/>
          <w:sz w:val="18"/>
          <w:szCs w:val="18"/>
          <w:lang w:val="es-ES_tradnl"/>
        </w:rPr>
        <w:t>el CONADIS; y, 3) Los t</w:t>
      </w:r>
      <w:r>
        <w:rPr>
          <w:rFonts w:cs="Times New Roman"/>
          <w:spacing w:val="-1"/>
          <w:sz w:val="18"/>
          <w:szCs w:val="18"/>
          <w:lang w:val="es-ES_tradnl"/>
        </w:rPr>
        <w:t>í</w:t>
      </w:r>
      <w:r>
        <w:rPr>
          <w:spacing w:val="-1"/>
          <w:sz w:val="18"/>
          <w:szCs w:val="18"/>
          <w:lang w:val="es-ES_tradnl"/>
        </w:rPr>
        <w:t xml:space="preserve">os/as; y que la inobservancia </w:t>
      </w:r>
      <w:r>
        <w:rPr>
          <w:spacing w:val="-5"/>
          <w:sz w:val="18"/>
          <w:szCs w:val="18"/>
          <w:lang w:val="es-ES_tradnl"/>
        </w:rPr>
        <w:t xml:space="preserve">de la norma legal invocada por los legitimados activos </w:t>
      </w:r>
      <w:r>
        <w:rPr>
          <w:spacing w:val="-7"/>
          <w:sz w:val="18"/>
          <w:szCs w:val="18"/>
          <w:lang w:val="es-ES_tradnl"/>
        </w:rPr>
        <w:t>gener</w:t>
      </w:r>
      <w:r>
        <w:rPr>
          <w:rFonts w:cs="Times New Roman"/>
          <w:spacing w:val="-7"/>
          <w:sz w:val="18"/>
          <w:szCs w:val="18"/>
          <w:lang w:val="es-ES_tradnl"/>
        </w:rPr>
        <w:t>ó</w:t>
      </w:r>
      <w:r>
        <w:rPr>
          <w:spacing w:val="-7"/>
          <w:sz w:val="18"/>
          <w:szCs w:val="18"/>
          <w:lang w:val="es-ES_tradnl"/>
        </w:rPr>
        <w:t xml:space="preserve"> que se les considere como </w:t>
      </w:r>
      <w:r>
        <w:rPr>
          <w:rFonts w:cs="Times New Roman"/>
          <w:spacing w:val="-7"/>
          <w:sz w:val="18"/>
          <w:szCs w:val="18"/>
          <w:lang w:val="es-ES_tradnl"/>
        </w:rPr>
        <w:t>ú</w:t>
      </w:r>
      <w:r>
        <w:rPr>
          <w:spacing w:val="-7"/>
          <w:sz w:val="18"/>
          <w:szCs w:val="18"/>
          <w:lang w:val="es-ES_tradnl"/>
        </w:rPr>
        <w:t xml:space="preserve">nicos obligados a </w:t>
      </w:r>
      <w:r>
        <w:rPr>
          <w:spacing w:val="-6"/>
          <w:sz w:val="18"/>
          <w:szCs w:val="18"/>
          <w:lang w:val="es-ES_tradnl"/>
        </w:rPr>
        <w:t>satisfacer el pago de la pensi</w:t>
      </w:r>
      <w:r>
        <w:rPr>
          <w:rFonts w:cs="Times New Roman"/>
          <w:spacing w:val="-6"/>
          <w:sz w:val="18"/>
          <w:szCs w:val="18"/>
          <w:lang w:val="es-ES_tradnl"/>
        </w:rPr>
        <w:t>ó</w:t>
      </w:r>
      <w:r>
        <w:rPr>
          <w:spacing w:val="-6"/>
          <w:sz w:val="18"/>
          <w:szCs w:val="18"/>
          <w:lang w:val="es-ES_tradnl"/>
        </w:rPr>
        <w:t xml:space="preserve">n de alimentos demandada </w:t>
      </w:r>
      <w:r>
        <w:rPr>
          <w:spacing w:val="-5"/>
          <w:sz w:val="18"/>
          <w:szCs w:val="18"/>
          <w:lang w:val="es-ES_tradnl"/>
        </w:rPr>
        <w:t xml:space="preserve">y se les imponga el pago de $ 120,06 ($ 70,00 a la Dra. </w:t>
      </w:r>
      <w:r>
        <w:rPr>
          <w:spacing w:val="-7"/>
          <w:sz w:val="18"/>
          <w:szCs w:val="18"/>
          <w:lang w:val="es-ES_tradnl"/>
        </w:rPr>
        <w:t>Helen Alexandra Maldonado Albarrac</w:t>
      </w:r>
      <w:r>
        <w:rPr>
          <w:rFonts w:cs="Times New Roman"/>
          <w:spacing w:val="-7"/>
          <w:sz w:val="18"/>
          <w:szCs w:val="18"/>
          <w:lang w:val="es-ES_tradnl"/>
        </w:rPr>
        <w:t>í</w:t>
      </w:r>
      <w:r>
        <w:rPr>
          <w:spacing w:val="-7"/>
          <w:sz w:val="18"/>
          <w:szCs w:val="18"/>
          <w:lang w:val="es-ES_tradnl"/>
        </w:rPr>
        <w:t xml:space="preserve">n y $ 50,06 a Byron </w:t>
      </w:r>
      <w:r>
        <w:rPr>
          <w:spacing w:val="-5"/>
          <w:sz w:val="18"/>
          <w:szCs w:val="18"/>
          <w:lang w:val="es-ES_tradnl"/>
        </w:rPr>
        <w:t>Maldonado Albarrac</w:t>
      </w:r>
      <w:r>
        <w:rPr>
          <w:rFonts w:cs="Times New Roman"/>
          <w:spacing w:val="-5"/>
          <w:sz w:val="18"/>
          <w:szCs w:val="18"/>
          <w:lang w:val="es-ES_tradnl"/>
        </w:rPr>
        <w:t>í</w:t>
      </w:r>
      <w:r>
        <w:rPr>
          <w:spacing w:val="-5"/>
          <w:sz w:val="18"/>
          <w:szCs w:val="18"/>
          <w:lang w:val="es-ES_tradnl"/>
        </w:rPr>
        <w:t>n) como pensi</w:t>
      </w:r>
      <w:r>
        <w:rPr>
          <w:rFonts w:cs="Times New Roman"/>
          <w:spacing w:val="-5"/>
          <w:sz w:val="18"/>
          <w:szCs w:val="18"/>
          <w:lang w:val="es-ES_tradnl"/>
        </w:rPr>
        <w:t>ó</w:t>
      </w:r>
      <w:r>
        <w:rPr>
          <w:spacing w:val="-5"/>
          <w:sz w:val="18"/>
          <w:szCs w:val="18"/>
          <w:lang w:val="es-ES_tradnl"/>
        </w:rPr>
        <w:t xml:space="preserve">n alimenticia a favor </w:t>
      </w:r>
      <w:r>
        <w:rPr>
          <w:spacing w:val="-7"/>
          <w:sz w:val="18"/>
          <w:szCs w:val="18"/>
          <w:lang w:val="es-ES_tradnl"/>
        </w:rPr>
        <w:t>de los hijos de la actora, m</w:t>
      </w:r>
      <w:r>
        <w:rPr>
          <w:rFonts w:cs="Times New Roman"/>
          <w:spacing w:val="-7"/>
          <w:sz w:val="18"/>
          <w:szCs w:val="18"/>
          <w:lang w:val="es-ES_tradnl"/>
        </w:rPr>
        <w:t>á</w:t>
      </w:r>
      <w:r>
        <w:rPr>
          <w:spacing w:val="-7"/>
          <w:sz w:val="18"/>
          <w:szCs w:val="18"/>
          <w:lang w:val="es-ES_tradnl"/>
        </w:rPr>
        <w:t xml:space="preserve">s los beneficios legales (fojas </w:t>
      </w:r>
      <w:r>
        <w:rPr>
          <w:spacing w:val="-5"/>
          <w:sz w:val="18"/>
          <w:szCs w:val="18"/>
          <w:lang w:val="es-ES_tradnl"/>
        </w:rPr>
        <w:t>299 del proceso N.</w:t>
      </w:r>
      <w:r>
        <w:rPr>
          <w:rFonts w:cs="Times New Roman"/>
          <w:spacing w:val="-5"/>
          <w:sz w:val="18"/>
          <w:szCs w:val="18"/>
          <w:lang w:val="es-ES_tradnl"/>
        </w:rPr>
        <w:t>º</w:t>
      </w:r>
      <w:r>
        <w:rPr>
          <w:spacing w:val="-5"/>
          <w:sz w:val="18"/>
          <w:szCs w:val="18"/>
          <w:lang w:val="es-ES_tradnl"/>
        </w:rPr>
        <w:t xml:space="preserve"> 640-2011), decisi</w:t>
      </w:r>
      <w:r>
        <w:rPr>
          <w:rFonts w:cs="Times New Roman"/>
          <w:spacing w:val="-5"/>
          <w:sz w:val="18"/>
          <w:szCs w:val="18"/>
          <w:lang w:val="es-ES_tradnl"/>
        </w:rPr>
        <w:t>ó</w:t>
      </w:r>
      <w:r>
        <w:rPr>
          <w:spacing w:val="-5"/>
          <w:sz w:val="18"/>
          <w:szCs w:val="18"/>
          <w:lang w:val="es-ES_tradnl"/>
        </w:rPr>
        <w:t xml:space="preserve">n judicial que fue </w:t>
      </w:r>
      <w:r>
        <w:rPr>
          <w:spacing w:val="-7"/>
          <w:sz w:val="18"/>
          <w:szCs w:val="18"/>
          <w:lang w:val="es-ES_tradnl"/>
        </w:rPr>
        <w:t xml:space="preserve">confirmada por el Tribunal </w:t>
      </w:r>
      <w:r>
        <w:rPr>
          <w:i/>
          <w:iCs/>
          <w:spacing w:val="-7"/>
          <w:sz w:val="18"/>
          <w:szCs w:val="18"/>
          <w:lang w:val="es-ES_tradnl"/>
        </w:rPr>
        <w:t>ad quem</w:t>
      </w:r>
      <w:r>
        <w:rPr>
          <w:spacing w:val="-7"/>
          <w:sz w:val="18"/>
          <w:szCs w:val="18"/>
          <w:lang w:val="es-ES_tradnl"/>
        </w:rPr>
        <w:t xml:space="preserve">, al resolver el recurso </w:t>
      </w:r>
      <w:r>
        <w:rPr>
          <w:spacing w:val="-10"/>
          <w:sz w:val="18"/>
          <w:szCs w:val="18"/>
          <w:lang w:val="es-ES_tradnl"/>
        </w:rPr>
        <w:t>de apelaci</w:t>
      </w:r>
      <w:r>
        <w:rPr>
          <w:rFonts w:cs="Times New Roman"/>
          <w:spacing w:val="-10"/>
          <w:sz w:val="18"/>
          <w:szCs w:val="18"/>
          <w:lang w:val="es-ES_tradnl"/>
        </w:rPr>
        <w:t>ó</w:t>
      </w:r>
      <w:r>
        <w:rPr>
          <w:spacing w:val="-10"/>
          <w:sz w:val="18"/>
          <w:szCs w:val="18"/>
          <w:lang w:val="es-ES_tradnl"/>
        </w:rPr>
        <w:t>n interpuesto por los alimentantes demandados.</w:t>
      </w:r>
    </w:p>
    <w:p w14:paraId="4F67AEE6" w14:textId="77777777" w:rsidR="00591D54" w:rsidRDefault="00591D54">
      <w:pPr>
        <w:shd w:val="clear" w:color="auto" w:fill="FFFFFF"/>
        <w:spacing w:before="197" w:line="216" w:lineRule="exact"/>
        <w:jc w:val="both"/>
      </w:pPr>
      <w:r>
        <w:rPr>
          <w:spacing w:val="-6"/>
          <w:sz w:val="18"/>
          <w:szCs w:val="18"/>
          <w:lang w:val="es-ES_tradnl"/>
        </w:rPr>
        <w:t>De la revisi</w:t>
      </w:r>
      <w:r>
        <w:rPr>
          <w:rFonts w:cs="Times New Roman"/>
          <w:spacing w:val="-6"/>
          <w:sz w:val="18"/>
          <w:szCs w:val="18"/>
          <w:lang w:val="es-ES_tradnl"/>
        </w:rPr>
        <w:t>ó</w:t>
      </w:r>
      <w:r>
        <w:rPr>
          <w:spacing w:val="-6"/>
          <w:sz w:val="18"/>
          <w:szCs w:val="18"/>
          <w:lang w:val="es-ES_tradnl"/>
        </w:rPr>
        <w:t xml:space="preserve">n del proceso judicial de alimentos remitido a </w:t>
      </w:r>
      <w:r>
        <w:rPr>
          <w:spacing w:val="-11"/>
          <w:sz w:val="18"/>
          <w:szCs w:val="18"/>
          <w:lang w:val="es-ES_tradnl"/>
        </w:rPr>
        <w:t xml:space="preserve">esta Corte, se advierte que, si bien la jueza </w:t>
      </w:r>
      <w:r>
        <w:rPr>
          <w:i/>
          <w:iCs/>
          <w:spacing w:val="-11"/>
          <w:sz w:val="18"/>
          <w:szCs w:val="18"/>
          <w:lang w:val="es-ES_tradnl"/>
        </w:rPr>
        <w:t xml:space="preserve">a quo </w:t>
      </w:r>
      <w:r>
        <w:rPr>
          <w:spacing w:val="-11"/>
          <w:sz w:val="18"/>
          <w:szCs w:val="18"/>
          <w:lang w:val="es-ES_tradnl"/>
        </w:rPr>
        <w:t xml:space="preserve">y el Tribunal </w:t>
      </w:r>
      <w:r>
        <w:rPr>
          <w:i/>
          <w:iCs/>
          <w:spacing w:val="-8"/>
          <w:sz w:val="18"/>
          <w:szCs w:val="18"/>
          <w:lang w:val="es-ES_tradnl"/>
        </w:rPr>
        <w:t xml:space="preserve">ad quem </w:t>
      </w:r>
      <w:r>
        <w:rPr>
          <w:spacing w:val="-8"/>
          <w:sz w:val="18"/>
          <w:szCs w:val="18"/>
          <w:lang w:val="es-ES_tradnl"/>
        </w:rPr>
        <w:t xml:space="preserve">no observaron el </w:t>
      </w:r>
      <w:r>
        <w:rPr>
          <w:rFonts w:cs="Times New Roman"/>
          <w:spacing w:val="-8"/>
          <w:sz w:val="18"/>
          <w:szCs w:val="18"/>
          <w:lang w:val="es-ES_tradnl"/>
        </w:rPr>
        <w:t>“</w:t>
      </w:r>
      <w:r>
        <w:rPr>
          <w:spacing w:val="-8"/>
          <w:sz w:val="18"/>
          <w:szCs w:val="18"/>
          <w:lang w:val="es-ES_tradnl"/>
        </w:rPr>
        <w:t>orden de prelaci</w:t>
      </w:r>
      <w:r>
        <w:rPr>
          <w:rFonts w:cs="Times New Roman"/>
          <w:spacing w:val="-8"/>
          <w:sz w:val="18"/>
          <w:szCs w:val="18"/>
          <w:lang w:val="es-ES_tradnl"/>
        </w:rPr>
        <w:t>ó</w:t>
      </w:r>
      <w:r>
        <w:rPr>
          <w:spacing w:val="-8"/>
          <w:sz w:val="18"/>
          <w:szCs w:val="18"/>
          <w:lang w:val="es-ES_tradnl"/>
        </w:rPr>
        <w:t>n</w:t>
      </w:r>
      <w:r>
        <w:rPr>
          <w:rFonts w:cs="Times New Roman"/>
          <w:spacing w:val="-8"/>
          <w:sz w:val="18"/>
          <w:szCs w:val="18"/>
          <w:lang w:val="es-ES_tradnl"/>
        </w:rPr>
        <w:t>”</w:t>
      </w:r>
      <w:r>
        <w:rPr>
          <w:spacing w:val="-8"/>
          <w:sz w:val="18"/>
          <w:szCs w:val="18"/>
          <w:lang w:val="es-ES_tradnl"/>
        </w:rPr>
        <w:t xml:space="preserve"> previsto en </w:t>
      </w:r>
      <w:r>
        <w:rPr>
          <w:spacing w:val="-6"/>
          <w:sz w:val="18"/>
          <w:szCs w:val="18"/>
          <w:lang w:val="es-ES_tradnl"/>
        </w:rPr>
        <w:t>el art</w:t>
      </w:r>
      <w:r>
        <w:rPr>
          <w:rFonts w:cs="Times New Roman"/>
          <w:spacing w:val="-6"/>
          <w:sz w:val="18"/>
          <w:szCs w:val="18"/>
          <w:lang w:val="es-ES_tradnl"/>
        </w:rPr>
        <w:t>í</w:t>
      </w:r>
      <w:r>
        <w:rPr>
          <w:spacing w:val="-6"/>
          <w:sz w:val="18"/>
          <w:szCs w:val="18"/>
          <w:lang w:val="es-ES_tradnl"/>
        </w:rPr>
        <w:t>culo innumerado 5 de la Ley Reformatoria del T</w:t>
      </w:r>
      <w:r>
        <w:rPr>
          <w:rFonts w:cs="Times New Roman"/>
          <w:spacing w:val="-6"/>
          <w:sz w:val="18"/>
          <w:szCs w:val="18"/>
          <w:lang w:val="es-ES_tradnl"/>
        </w:rPr>
        <w:t>í</w:t>
      </w:r>
      <w:r>
        <w:rPr>
          <w:spacing w:val="-6"/>
          <w:sz w:val="18"/>
          <w:szCs w:val="18"/>
          <w:lang w:val="es-ES_tradnl"/>
        </w:rPr>
        <w:t>tulo V del libro II del C</w:t>
      </w:r>
      <w:r>
        <w:rPr>
          <w:rFonts w:cs="Times New Roman"/>
          <w:spacing w:val="-6"/>
          <w:sz w:val="18"/>
          <w:szCs w:val="18"/>
          <w:lang w:val="es-ES_tradnl"/>
        </w:rPr>
        <w:t>ó</w:t>
      </w:r>
      <w:r>
        <w:rPr>
          <w:spacing w:val="-6"/>
          <w:sz w:val="18"/>
          <w:szCs w:val="18"/>
          <w:lang w:val="es-ES_tradnl"/>
        </w:rPr>
        <w:t>digo de la Ni</w:t>
      </w:r>
      <w:r>
        <w:rPr>
          <w:rFonts w:cs="Times New Roman"/>
          <w:spacing w:val="-6"/>
          <w:sz w:val="18"/>
          <w:szCs w:val="18"/>
          <w:lang w:val="es-ES_tradnl"/>
        </w:rPr>
        <w:t>ñ</w:t>
      </w:r>
      <w:r>
        <w:rPr>
          <w:spacing w:val="-6"/>
          <w:sz w:val="18"/>
          <w:szCs w:val="18"/>
          <w:lang w:val="es-ES_tradnl"/>
        </w:rPr>
        <w:t>ez y Adolescencia, dicha omisi</w:t>
      </w:r>
      <w:r>
        <w:rPr>
          <w:rFonts w:cs="Times New Roman"/>
          <w:spacing w:val="-6"/>
          <w:sz w:val="18"/>
          <w:szCs w:val="18"/>
          <w:lang w:val="es-ES_tradnl"/>
        </w:rPr>
        <w:t>ó</w:t>
      </w:r>
      <w:r>
        <w:rPr>
          <w:spacing w:val="-6"/>
          <w:sz w:val="18"/>
          <w:szCs w:val="18"/>
          <w:lang w:val="es-ES_tradnl"/>
        </w:rPr>
        <w:t xml:space="preserve">n implica </w:t>
      </w:r>
      <w:r>
        <w:rPr>
          <w:rFonts w:cs="Times New Roman"/>
          <w:spacing w:val="-6"/>
          <w:sz w:val="18"/>
          <w:szCs w:val="18"/>
          <w:lang w:val="es-ES_tradnl"/>
        </w:rPr>
        <w:t>“</w:t>
      </w:r>
      <w:r>
        <w:rPr>
          <w:spacing w:val="-6"/>
          <w:sz w:val="18"/>
          <w:szCs w:val="18"/>
          <w:lang w:val="es-ES_tradnl"/>
        </w:rPr>
        <w:t>la falta de aplicaci</w:t>
      </w:r>
      <w:r>
        <w:rPr>
          <w:rFonts w:cs="Times New Roman"/>
          <w:spacing w:val="-6"/>
          <w:sz w:val="18"/>
          <w:szCs w:val="18"/>
          <w:lang w:val="es-ES_tradnl"/>
        </w:rPr>
        <w:t>ó</w:t>
      </w:r>
      <w:r>
        <w:rPr>
          <w:spacing w:val="-6"/>
          <w:sz w:val="18"/>
          <w:szCs w:val="18"/>
          <w:lang w:val="es-ES_tradnl"/>
        </w:rPr>
        <w:t>n de la ley</w:t>
      </w:r>
      <w:r>
        <w:rPr>
          <w:rFonts w:cs="Times New Roman"/>
          <w:spacing w:val="-6"/>
          <w:sz w:val="18"/>
          <w:szCs w:val="18"/>
          <w:lang w:val="es-ES_tradnl"/>
        </w:rPr>
        <w:t>”</w:t>
      </w:r>
      <w:r>
        <w:rPr>
          <w:spacing w:val="-6"/>
          <w:sz w:val="18"/>
          <w:szCs w:val="18"/>
          <w:lang w:val="es-ES_tradnl"/>
        </w:rPr>
        <w:t xml:space="preserve">, supuesto </w:t>
      </w:r>
      <w:r>
        <w:rPr>
          <w:spacing w:val="-7"/>
          <w:sz w:val="18"/>
          <w:szCs w:val="18"/>
          <w:lang w:val="es-ES_tradnl"/>
        </w:rPr>
        <w:t>que torna inadmisible la presente acci</w:t>
      </w:r>
      <w:r>
        <w:rPr>
          <w:rFonts w:cs="Times New Roman"/>
          <w:spacing w:val="-7"/>
          <w:sz w:val="18"/>
          <w:szCs w:val="18"/>
          <w:lang w:val="es-ES_tradnl"/>
        </w:rPr>
        <w:t>ó</w:t>
      </w:r>
      <w:r>
        <w:rPr>
          <w:spacing w:val="-7"/>
          <w:sz w:val="18"/>
          <w:szCs w:val="18"/>
          <w:lang w:val="es-ES_tradnl"/>
        </w:rPr>
        <w:t xml:space="preserve">n extraordinaria de </w:t>
      </w:r>
      <w:r>
        <w:rPr>
          <w:spacing w:val="-4"/>
          <w:sz w:val="18"/>
          <w:szCs w:val="18"/>
          <w:lang w:val="es-ES_tradnl"/>
        </w:rPr>
        <w:t>protecci</w:t>
      </w:r>
      <w:r>
        <w:rPr>
          <w:rFonts w:cs="Times New Roman"/>
          <w:spacing w:val="-4"/>
          <w:sz w:val="18"/>
          <w:szCs w:val="18"/>
          <w:lang w:val="es-ES_tradnl"/>
        </w:rPr>
        <w:t>ó</w:t>
      </w:r>
      <w:r>
        <w:rPr>
          <w:spacing w:val="-4"/>
          <w:sz w:val="18"/>
          <w:szCs w:val="18"/>
          <w:lang w:val="es-ES_tradnl"/>
        </w:rPr>
        <w:t>n, de conformidad con el art</w:t>
      </w:r>
      <w:r>
        <w:rPr>
          <w:rFonts w:cs="Times New Roman"/>
          <w:spacing w:val="-4"/>
          <w:sz w:val="18"/>
          <w:szCs w:val="18"/>
          <w:lang w:val="es-ES_tradnl"/>
        </w:rPr>
        <w:t>í</w:t>
      </w:r>
      <w:r>
        <w:rPr>
          <w:spacing w:val="-4"/>
          <w:sz w:val="18"/>
          <w:szCs w:val="18"/>
          <w:lang w:val="es-ES_tradnl"/>
        </w:rPr>
        <w:t xml:space="preserve">culo 62 numeral 4 </w:t>
      </w:r>
      <w:r>
        <w:rPr>
          <w:spacing w:val="-8"/>
          <w:sz w:val="18"/>
          <w:szCs w:val="18"/>
          <w:lang w:val="es-ES_tradnl"/>
        </w:rPr>
        <w:t>de la Ley Org</w:t>
      </w:r>
      <w:r>
        <w:rPr>
          <w:rFonts w:cs="Times New Roman"/>
          <w:spacing w:val="-8"/>
          <w:sz w:val="18"/>
          <w:szCs w:val="18"/>
          <w:lang w:val="es-ES_tradnl"/>
        </w:rPr>
        <w:t>á</w:t>
      </w:r>
      <w:r>
        <w:rPr>
          <w:spacing w:val="-8"/>
          <w:sz w:val="18"/>
          <w:szCs w:val="18"/>
          <w:lang w:val="es-ES_tradnl"/>
        </w:rPr>
        <w:t>nica de Garant</w:t>
      </w:r>
      <w:r>
        <w:rPr>
          <w:rFonts w:cs="Times New Roman"/>
          <w:spacing w:val="-8"/>
          <w:sz w:val="18"/>
          <w:szCs w:val="18"/>
          <w:lang w:val="es-ES_tradnl"/>
        </w:rPr>
        <w:t>í</w:t>
      </w:r>
      <w:r>
        <w:rPr>
          <w:spacing w:val="-8"/>
          <w:sz w:val="18"/>
          <w:szCs w:val="18"/>
          <w:lang w:val="es-ES_tradnl"/>
        </w:rPr>
        <w:t xml:space="preserve">as Jurisdiccionales y Control </w:t>
      </w:r>
      <w:r>
        <w:rPr>
          <w:sz w:val="18"/>
          <w:szCs w:val="18"/>
          <w:lang w:val="es-ES_tradnl"/>
        </w:rPr>
        <w:t>Constitucional.</w:t>
      </w:r>
    </w:p>
    <w:p w14:paraId="4F67AEE7" w14:textId="77777777" w:rsidR="00591D54" w:rsidRDefault="00591D54">
      <w:pPr>
        <w:shd w:val="clear" w:color="auto" w:fill="FFFFFF"/>
        <w:spacing w:before="192" w:line="216" w:lineRule="exact"/>
        <w:jc w:val="both"/>
      </w:pPr>
      <w:r>
        <w:rPr>
          <w:spacing w:val="-7"/>
          <w:sz w:val="18"/>
          <w:szCs w:val="18"/>
          <w:lang w:val="es-ES_tradnl"/>
        </w:rPr>
        <w:t>Los legitimados activos imputan adem</w:t>
      </w:r>
      <w:r>
        <w:rPr>
          <w:rFonts w:cs="Times New Roman"/>
          <w:spacing w:val="-7"/>
          <w:sz w:val="18"/>
          <w:szCs w:val="18"/>
          <w:lang w:val="es-ES_tradnl"/>
        </w:rPr>
        <w:t>á</w:t>
      </w:r>
      <w:r>
        <w:rPr>
          <w:spacing w:val="-7"/>
          <w:sz w:val="18"/>
          <w:szCs w:val="18"/>
          <w:lang w:val="es-ES_tradnl"/>
        </w:rPr>
        <w:t xml:space="preserve">s a los jueces </w:t>
      </w:r>
      <w:r>
        <w:rPr>
          <w:spacing w:val="-9"/>
          <w:sz w:val="18"/>
          <w:szCs w:val="18"/>
          <w:lang w:val="es-ES_tradnl"/>
        </w:rPr>
        <w:t>accionados la vulneraci</w:t>
      </w:r>
      <w:r>
        <w:rPr>
          <w:rFonts w:cs="Times New Roman"/>
          <w:spacing w:val="-9"/>
          <w:sz w:val="18"/>
          <w:szCs w:val="18"/>
          <w:lang w:val="es-ES_tradnl"/>
        </w:rPr>
        <w:t>ó</w:t>
      </w:r>
      <w:r>
        <w:rPr>
          <w:spacing w:val="-9"/>
          <w:sz w:val="18"/>
          <w:szCs w:val="18"/>
          <w:lang w:val="es-ES_tradnl"/>
        </w:rPr>
        <w:t xml:space="preserve">n de los derechos consagrados en </w:t>
      </w:r>
      <w:r>
        <w:rPr>
          <w:spacing w:val="-3"/>
          <w:sz w:val="18"/>
          <w:szCs w:val="18"/>
          <w:lang w:val="es-ES_tradnl"/>
        </w:rPr>
        <w:t>los art</w:t>
      </w:r>
      <w:r>
        <w:rPr>
          <w:rFonts w:cs="Times New Roman"/>
          <w:spacing w:val="-3"/>
          <w:sz w:val="18"/>
          <w:szCs w:val="18"/>
          <w:lang w:val="es-ES_tradnl"/>
        </w:rPr>
        <w:t>í</w:t>
      </w:r>
      <w:r>
        <w:rPr>
          <w:spacing w:val="-3"/>
          <w:sz w:val="18"/>
          <w:szCs w:val="18"/>
          <w:lang w:val="es-ES_tradnl"/>
        </w:rPr>
        <w:t xml:space="preserve">culos 11 numerales 1, 2, 3 , 4, 5, 6, 7, 8 y 9; 66, </w:t>
      </w:r>
      <w:r>
        <w:rPr>
          <w:spacing w:val="-9"/>
          <w:sz w:val="18"/>
          <w:szCs w:val="18"/>
          <w:lang w:val="es-ES_tradnl"/>
        </w:rPr>
        <w:t xml:space="preserve">numerales 2, 3, literales </w:t>
      </w:r>
      <w:r>
        <w:rPr>
          <w:b/>
          <w:bCs/>
          <w:spacing w:val="-9"/>
          <w:sz w:val="18"/>
          <w:szCs w:val="18"/>
          <w:lang w:val="es-ES_tradnl"/>
        </w:rPr>
        <w:t>a</w:t>
      </w:r>
      <w:r>
        <w:rPr>
          <w:spacing w:val="-9"/>
          <w:sz w:val="18"/>
          <w:szCs w:val="18"/>
          <w:lang w:val="es-ES_tradnl"/>
        </w:rPr>
        <w:t xml:space="preserve">, </w:t>
      </w:r>
      <w:r>
        <w:rPr>
          <w:b/>
          <w:bCs/>
          <w:spacing w:val="-9"/>
          <w:sz w:val="18"/>
          <w:szCs w:val="18"/>
          <w:lang w:val="es-ES_tradnl"/>
        </w:rPr>
        <w:t xml:space="preserve">b </w:t>
      </w:r>
      <w:r>
        <w:rPr>
          <w:spacing w:val="-9"/>
          <w:sz w:val="18"/>
          <w:szCs w:val="18"/>
          <w:lang w:val="es-ES_tradnl"/>
        </w:rPr>
        <w:t xml:space="preserve">y </w:t>
      </w:r>
      <w:r>
        <w:rPr>
          <w:b/>
          <w:bCs/>
          <w:spacing w:val="-9"/>
          <w:sz w:val="18"/>
          <w:szCs w:val="18"/>
          <w:lang w:val="es-ES_tradnl"/>
        </w:rPr>
        <w:t>c</w:t>
      </w:r>
      <w:r>
        <w:rPr>
          <w:spacing w:val="-9"/>
          <w:sz w:val="18"/>
          <w:szCs w:val="18"/>
          <w:lang w:val="es-ES_tradnl"/>
        </w:rPr>
        <w:t xml:space="preserve">, 4, 5, 14, 15, 16, 17, 18, 20, 22, 24 y 29 literales </w:t>
      </w:r>
      <w:r>
        <w:rPr>
          <w:b/>
          <w:bCs/>
          <w:spacing w:val="-9"/>
          <w:sz w:val="18"/>
          <w:szCs w:val="18"/>
          <w:lang w:val="es-ES_tradnl"/>
        </w:rPr>
        <w:t>a</w:t>
      </w:r>
      <w:r>
        <w:rPr>
          <w:spacing w:val="-9"/>
          <w:sz w:val="18"/>
          <w:szCs w:val="18"/>
          <w:lang w:val="es-ES_tradnl"/>
        </w:rPr>
        <w:t xml:space="preserve">, </w:t>
      </w:r>
      <w:r>
        <w:rPr>
          <w:b/>
          <w:bCs/>
          <w:spacing w:val="-9"/>
          <w:sz w:val="18"/>
          <w:szCs w:val="18"/>
          <w:lang w:val="es-ES_tradnl"/>
        </w:rPr>
        <w:t>b</w:t>
      </w:r>
      <w:r>
        <w:rPr>
          <w:spacing w:val="-9"/>
          <w:sz w:val="18"/>
          <w:szCs w:val="18"/>
          <w:lang w:val="es-ES_tradnl"/>
        </w:rPr>
        <w:t xml:space="preserve">, </w:t>
      </w:r>
      <w:r>
        <w:rPr>
          <w:b/>
          <w:bCs/>
          <w:spacing w:val="-9"/>
          <w:sz w:val="18"/>
          <w:szCs w:val="18"/>
          <w:lang w:val="es-ES_tradnl"/>
        </w:rPr>
        <w:t xml:space="preserve">c </w:t>
      </w:r>
      <w:r>
        <w:rPr>
          <w:spacing w:val="-9"/>
          <w:sz w:val="18"/>
          <w:szCs w:val="18"/>
          <w:lang w:val="es-ES_tradnl"/>
        </w:rPr>
        <w:t xml:space="preserve">y </w:t>
      </w:r>
      <w:r>
        <w:rPr>
          <w:b/>
          <w:bCs/>
          <w:spacing w:val="-9"/>
          <w:sz w:val="18"/>
          <w:szCs w:val="18"/>
          <w:lang w:val="es-ES_tradnl"/>
        </w:rPr>
        <w:t>d</w:t>
      </w:r>
      <w:r>
        <w:rPr>
          <w:spacing w:val="-9"/>
          <w:sz w:val="18"/>
          <w:szCs w:val="18"/>
          <w:lang w:val="es-ES_tradnl"/>
        </w:rPr>
        <w:t xml:space="preserve">; 75; 76 numerales 1, 2, 3, 4, 6 y 7 literales </w:t>
      </w:r>
      <w:r>
        <w:rPr>
          <w:b/>
          <w:bCs/>
          <w:spacing w:val="-9"/>
          <w:sz w:val="18"/>
          <w:szCs w:val="18"/>
          <w:lang w:val="es-ES_tradnl"/>
        </w:rPr>
        <w:t>a</w:t>
      </w:r>
      <w:r>
        <w:rPr>
          <w:spacing w:val="-9"/>
          <w:sz w:val="18"/>
          <w:szCs w:val="18"/>
          <w:lang w:val="es-ES_tradnl"/>
        </w:rPr>
        <w:t xml:space="preserve">, </w:t>
      </w:r>
      <w:r>
        <w:rPr>
          <w:b/>
          <w:bCs/>
          <w:spacing w:val="-9"/>
          <w:sz w:val="18"/>
          <w:szCs w:val="18"/>
          <w:lang w:val="es-ES_tradnl"/>
        </w:rPr>
        <w:t>b</w:t>
      </w:r>
      <w:r>
        <w:rPr>
          <w:spacing w:val="-9"/>
          <w:sz w:val="18"/>
          <w:szCs w:val="18"/>
          <w:lang w:val="es-ES_tradnl"/>
        </w:rPr>
        <w:t xml:space="preserve">, </w:t>
      </w:r>
      <w:r>
        <w:rPr>
          <w:b/>
          <w:bCs/>
          <w:spacing w:val="-9"/>
          <w:sz w:val="18"/>
          <w:szCs w:val="18"/>
          <w:lang w:val="es-ES_tradnl"/>
        </w:rPr>
        <w:t>c</w:t>
      </w:r>
      <w:r>
        <w:rPr>
          <w:spacing w:val="-9"/>
          <w:sz w:val="18"/>
          <w:szCs w:val="18"/>
          <w:lang w:val="es-ES_tradnl"/>
        </w:rPr>
        <w:t xml:space="preserve">, </w:t>
      </w:r>
      <w:r>
        <w:rPr>
          <w:b/>
          <w:bCs/>
          <w:spacing w:val="-9"/>
          <w:sz w:val="18"/>
          <w:szCs w:val="18"/>
          <w:lang w:val="es-ES_tradnl"/>
        </w:rPr>
        <w:t xml:space="preserve">l </w:t>
      </w:r>
      <w:r>
        <w:rPr>
          <w:spacing w:val="-9"/>
          <w:sz w:val="18"/>
          <w:szCs w:val="18"/>
          <w:lang w:val="es-ES_tradnl"/>
        </w:rPr>
        <w:t xml:space="preserve">y </w:t>
      </w:r>
      <w:r>
        <w:rPr>
          <w:b/>
          <w:bCs/>
          <w:spacing w:val="-9"/>
          <w:sz w:val="18"/>
          <w:szCs w:val="18"/>
          <w:lang w:val="es-ES_tradnl"/>
        </w:rPr>
        <w:t xml:space="preserve">m </w:t>
      </w:r>
      <w:r>
        <w:rPr>
          <w:spacing w:val="-9"/>
          <w:sz w:val="18"/>
          <w:szCs w:val="18"/>
          <w:lang w:val="es-ES_tradnl"/>
        </w:rPr>
        <w:t>de la Constituci</w:t>
      </w:r>
      <w:r>
        <w:rPr>
          <w:rFonts w:cs="Times New Roman"/>
          <w:spacing w:val="-9"/>
          <w:sz w:val="18"/>
          <w:szCs w:val="18"/>
          <w:lang w:val="es-ES_tradnl"/>
        </w:rPr>
        <w:t>ó</w:t>
      </w:r>
      <w:r>
        <w:rPr>
          <w:spacing w:val="-9"/>
          <w:sz w:val="18"/>
          <w:szCs w:val="18"/>
          <w:lang w:val="es-ES_tradnl"/>
        </w:rPr>
        <w:t>n de la Rep</w:t>
      </w:r>
      <w:r>
        <w:rPr>
          <w:rFonts w:cs="Times New Roman"/>
          <w:spacing w:val="-9"/>
          <w:sz w:val="18"/>
          <w:szCs w:val="18"/>
          <w:lang w:val="es-ES_tradnl"/>
        </w:rPr>
        <w:t>ú</w:t>
      </w:r>
      <w:r>
        <w:rPr>
          <w:spacing w:val="-9"/>
          <w:sz w:val="18"/>
          <w:szCs w:val="18"/>
          <w:lang w:val="es-ES_tradnl"/>
        </w:rPr>
        <w:t xml:space="preserve">blica. </w:t>
      </w:r>
      <w:r>
        <w:rPr>
          <w:spacing w:val="-7"/>
          <w:sz w:val="18"/>
          <w:szCs w:val="18"/>
          <w:lang w:val="es-ES_tradnl"/>
        </w:rPr>
        <w:t xml:space="preserve">Ante lo cual la Corte Constitucional analiza lo siguiente: 1) </w:t>
      </w:r>
      <w:r>
        <w:rPr>
          <w:spacing w:val="-9"/>
          <w:sz w:val="18"/>
          <w:szCs w:val="18"/>
          <w:lang w:val="es-ES_tradnl"/>
        </w:rPr>
        <w:t>En relaci</w:t>
      </w:r>
      <w:r>
        <w:rPr>
          <w:rFonts w:cs="Times New Roman"/>
          <w:spacing w:val="-9"/>
          <w:sz w:val="18"/>
          <w:szCs w:val="18"/>
          <w:lang w:val="es-ES_tradnl"/>
        </w:rPr>
        <w:t>ó</w:t>
      </w:r>
      <w:r>
        <w:rPr>
          <w:spacing w:val="-9"/>
          <w:sz w:val="18"/>
          <w:szCs w:val="18"/>
          <w:lang w:val="es-ES_tradnl"/>
        </w:rPr>
        <w:t>n al art</w:t>
      </w:r>
      <w:r>
        <w:rPr>
          <w:rFonts w:cs="Times New Roman"/>
          <w:spacing w:val="-9"/>
          <w:sz w:val="18"/>
          <w:szCs w:val="18"/>
          <w:lang w:val="es-ES_tradnl"/>
        </w:rPr>
        <w:t>í</w:t>
      </w:r>
      <w:r>
        <w:rPr>
          <w:spacing w:val="-9"/>
          <w:sz w:val="18"/>
          <w:szCs w:val="18"/>
          <w:lang w:val="es-ES_tradnl"/>
        </w:rPr>
        <w:t>culo 11, la Carta Suprema de la Rep</w:t>
      </w:r>
      <w:r>
        <w:rPr>
          <w:rFonts w:cs="Times New Roman"/>
          <w:spacing w:val="-9"/>
          <w:sz w:val="18"/>
          <w:szCs w:val="18"/>
          <w:lang w:val="es-ES_tradnl"/>
        </w:rPr>
        <w:t>ú</w:t>
      </w:r>
      <w:r>
        <w:rPr>
          <w:spacing w:val="-9"/>
          <w:sz w:val="18"/>
          <w:szCs w:val="18"/>
          <w:lang w:val="es-ES_tradnl"/>
        </w:rPr>
        <w:t xml:space="preserve">blica </w:t>
      </w:r>
      <w:r>
        <w:rPr>
          <w:spacing w:val="-5"/>
          <w:sz w:val="18"/>
          <w:szCs w:val="18"/>
          <w:lang w:val="es-ES_tradnl"/>
        </w:rPr>
        <w:t xml:space="preserve">consagra los principios que rigen para el ejercicio de los </w:t>
      </w:r>
      <w:r>
        <w:rPr>
          <w:spacing w:val="-9"/>
          <w:sz w:val="18"/>
          <w:szCs w:val="18"/>
          <w:lang w:val="es-ES_tradnl"/>
        </w:rPr>
        <w:t>derechos; sin embargo, los accionantes no precisan de qu</w:t>
      </w:r>
      <w:r>
        <w:rPr>
          <w:rFonts w:cs="Times New Roman"/>
          <w:spacing w:val="-9"/>
          <w:sz w:val="18"/>
          <w:szCs w:val="18"/>
          <w:lang w:val="es-ES_tradnl"/>
        </w:rPr>
        <w:t xml:space="preserve">é </w:t>
      </w:r>
      <w:r>
        <w:rPr>
          <w:spacing w:val="-6"/>
          <w:sz w:val="18"/>
          <w:szCs w:val="18"/>
          <w:lang w:val="es-ES_tradnl"/>
        </w:rPr>
        <w:t>forma se han vulnerado cada uno de aquellos   principios</w:t>
      </w:r>
    </w:p>
    <w:p w14:paraId="4F67AEE8" w14:textId="77777777" w:rsidR="00591D54" w:rsidRDefault="00591D54">
      <w:pPr>
        <w:shd w:val="clear" w:color="auto" w:fill="FFFFFF"/>
        <w:spacing w:before="475"/>
      </w:pPr>
      <w:r>
        <w:rPr>
          <w:sz w:val="14"/>
          <w:szCs w:val="14"/>
          <w:vertAlign w:val="superscript"/>
          <w:lang w:val="es-ES_tradnl"/>
        </w:rPr>
        <w:t>5</w:t>
      </w:r>
      <w:r>
        <w:rPr>
          <w:sz w:val="14"/>
          <w:szCs w:val="14"/>
          <w:lang w:val="es-ES_tradnl"/>
        </w:rPr>
        <w:t xml:space="preserve">  </w:t>
      </w:r>
      <w:r>
        <w:rPr>
          <w:spacing w:val="-1"/>
          <w:sz w:val="14"/>
          <w:szCs w:val="14"/>
          <w:lang w:val="es-ES_tradnl"/>
        </w:rPr>
        <w:t>Corte Constitucional de Colombia, Sentencia C-383-2000.</w:t>
      </w:r>
    </w:p>
    <w:p w14:paraId="4F67AEE9" w14:textId="77777777" w:rsidR="00591D54" w:rsidRDefault="00591D54">
      <w:pPr>
        <w:shd w:val="clear" w:color="auto" w:fill="FFFFFF"/>
        <w:spacing w:line="216" w:lineRule="exact"/>
        <w:jc w:val="both"/>
      </w:pPr>
      <w:r>
        <w:br w:type="column"/>
      </w:r>
      <w:r>
        <w:rPr>
          <w:spacing w:val="-9"/>
          <w:sz w:val="18"/>
          <w:szCs w:val="18"/>
          <w:lang w:val="es-ES_tradnl"/>
        </w:rPr>
        <w:t xml:space="preserve">constitucionales, lo que torna imposible un pronunciamiento </w:t>
      </w:r>
      <w:r>
        <w:rPr>
          <w:spacing w:val="-6"/>
          <w:sz w:val="18"/>
          <w:szCs w:val="18"/>
          <w:lang w:val="es-ES_tradnl"/>
        </w:rPr>
        <w:t>de parte de esta magistratura constitucional; 2) El art</w:t>
      </w:r>
      <w:r>
        <w:rPr>
          <w:rFonts w:cs="Times New Roman"/>
          <w:spacing w:val="-6"/>
          <w:sz w:val="18"/>
          <w:szCs w:val="18"/>
          <w:lang w:val="es-ES_tradnl"/>
        </w:rPr>
        <w:t>í</w:t>
      </w:r>
      <w:r>
        <w:rPr>
          <w:spacing w:val="-6"/>
          <w:sz w:val="18"/>
          <w:szCs w:val="18"/>
          <w:lang w:val="es-ES_tradnl"/>
        </w:rPr>
        <w:t xml:space="preserve">culo </w:t>
      </w:r>
      <w:r>
        <w:rPr>
          <w:spacing w:val="-9"/>
          <w:sz w:val="18"/>
          <w:szCs w:val="18"/>
          <w:lang w:val="es-ES_tradnl"/>
        </w:rPr>
        <w:t xml:space="preserve">66 del texto constitucional establece los llamados derechos </w:t>
      </w:r>
      <w:r>
        <w:rPr>
          <w:spacing w:val="-7"/>
          <w:sz w:val="18"/>
          <w:szCs w:val="18"/>
          <w:lang w:val="es-ES_tradnl"/>
        </w:rPr>
        <w:t xml:space="preserve">de libertad, entre ellos, el de derecho a una vida digna que </w:t>
      </w:r>
      <w:r>
        <w:rPr>
          <w:spacing w:val="-6"/>
          <w:sz w:val="18"/>
          <w:szCs w:val="18"/>
          <w:lang w:val="es-ES_tradnl"/>
        </w:rPr>
        <w:t>le asegure salud, alimentaci</w:t>
      </w:r>
      <w:r>
        <w:rPr>
          <w:rFonts w:cs="Times New Roman"/>
          <w:spacing w:val="-6"/>
          <w:sz w:val="18"/>
          <w:szCs w:val="18"/>
          <w:lang w:val="es-ES_tradnl"/>
        </w:rPr>
        <w:t>ó</w:t>
      </w:r>
      <w:r>
        <w:rPr>
          <w:spacing w:val="-6"/>
          <w:sz w:val="18"/>
          <w:szCs w:val="18"/>
          <w:lang w:val="es-ES_tradnl"/>
        </w:rPr>
        <w:t>n, nutrici</w:t>
      </w:r>
      <w:r>
        <w:rPr>
          <w:rFonts w:cs="Times New Roman"/>
          <w:spacing w:val="-6"/>
          <w:sz w:val="18"/>
          <w:szCs w:val="18"/>
          <w:lang w:val="es-ES_tradnl"/>
        </w:rPr>
        <w:t>ó</w:t>
      </w:r>
      <w:r>
        <w:rPr>
          <w:spacing w:val="-6"/>
          <w:sz w:val="18"/>
          <w:szCs w:val="18"/>
          <w:lang w:val="es-ES_tradnl"/>
        </w:rPr>
        <w:t xml:space="preserve">n, agua potable, </w:t>
      </w:r>
      <w:r>
        <w:rPr>
          <w:spacing w:val="-4"/>
          <w:sz w:val="18"/>
          <w:szCs w:val="18"/>
          <w:lang w:val="es-ES_tradnl"/>
        </w:rPr>
        <w:t>vivienda, saneamiento ambiental, educaci</w:t>
      </w:r>
      <w:r>
        <w:rPr>
          <w:rFonts w:cs="Times New Roman"/>
          <w:spacing w:val="-4"/>
          <w:sz w:val="18"/>
          <w:szCs w:val="18"/>
          <w:lang w:val="es-ES_tradnl"/>
        </w:rPr>
        <w:t>ó</w:t>
      </w:r>
      <w:r>
        <w:rPr>
          <w:spacing w:val="-4"/>
          <w:sz w:val="18"/>
          <w:szCs w:val="18"/>
          <w:lang w:val="es-ES_tradnl"/>
        </w:rPr>
        <w:t xml:space="preserve">n, trabajo, </w:t>
      </w:r>
      <w:r>
        <w:rPr>
          <w:spacing w:val="-5"/>
          <w:sz w:val="18"/>
          <w:szCs w:val="18"/>
          <w:lang w:val="es-ES_tradnl"/>
        </w:rPr>
        <w:t>empleo, descanso y ocio; la integridad f</w:t>
      </w:r>
      <w:r>
        <w:rPr>
          <w:rFonts w:cs="Times New Roman"/>
          <w:spacing w:val="-5"/>
          <w:sz w:val="18"/>
          <w:szCs w:val="18"/>
          <w:lang w:val="es-ES_tradnl"/>
        </w:rPr>
        <w:t>í</w:t>
      </w:r>
      <w:r>
        <w:rPr>
          <w:spacing w:val="-5"/>
          <w:sz w:val="18"/>
          <w:szCs w:val="18"/>
          <w:lang w:val="es-ES_tradnl"/>
        </w:rPr>
        <w:t>sica, ps</w:t>
      </w:r>
      <w:r>
        <w:rPr>
          <w:rFonts w:cs="Times New Roman"/>
          <w:spacing w:val="-5"/>
          <w:sz w:val="18"/>
          <w:szCs w:val="18"/>
          <w:lang w:val="es-ES_tradnl"/>
        </w:rPr>
        <w:t>í</w:t>
      </w:r>
      <w:r>
        <w:rPr>
          <w:spacing w:val="-5"/>
          <w:sz w:val="18"/>
          <w:szCs w:val="18"/>
          <w:lang w:val="es-ES_tradnl"/>
        </w:rPr>
        <w:t xml:space="preserve">quica, moral y sexual, una vida libre de violencia en el </w:t>
      </w:r>
      <w:r>
        <w:rPr>
          <w:rFonts w:cs="Times New Roman"/>
          <w:spacing w:val="-5"/>
          <w:sz w:val="18"/>
          <w:szCs w:val="18"/>
          <w:lang w:val="es-ES_tradnl"/>
        </w:rPr>
        <w:t>á</w:t>
      </w:r>
      <w:r>
        <w:rPr>
          <w:spacing w:val="-5"/>
          <w:sz w:val="18"/>
          <w:szCs w:val="18"/>
          <w:lang w:val="es-ES_tradnl"/>
        </w:rPr>
        <w:t xml:space="preserve">mbito </w:t>
      </w:r>
      <w:r>
        <w:rPr>
          <w:spacing w:val="-4"/>
          <w:sz w:val="18"/>
          <w:szCs w:val="18"/>
          <w:lang w:val="es-ES_tradnl"/>
        </w:rPr>
        <w:t>p</w:t>
      </w:r>
      <w:r>
        <w:rPr>
          <w:rFonts w:cs="Times New Roman"/>
          <w:spacing w:val="-4"/>
          <w:sz w:val="18"/>
          <w:szCs w:val="18"/>
          <w:lang w:val="es-ES_tradnl"/>
        </w:rPr>
        <w:t>ú</w:t>
      </w:r>
      <w:r>
        <w:rPr>
          <w:spacing w:val="-4"/>
          <w:sz w:val="18"/>
          <w:szCs w:val="18"/>
          <w:lang w:val="es-ES_tradnl"/>
        </w:rPr>
        <w:t>blico y privado, la prohibici</w:t>
      </w:r>
      <w:r>
        <w:rPr>
          <w:rFonts w:cs="Times New Roman"/>
          <w:spacing w:val="-4"/>
          <w:sz w:val="18"/>
          <w:szCs w:val="18"/>
          <w:lang w:val="es-ES_tradnl"/>
        </w:rPr>
        <w:t>ó</w:t>
      </w:r>
      <w:r>
        <w:rPr>
          <w:spacing w:val="-4"/>
          <w:sz w:val="18"/>
          <w:szCs w:val="18"/>
          <w:lang w:val="es-ES_tradnl"/>
        </w:rPr>
        <w:t>n de tortura, desaparici</w:t>
      </w:r>
      <w:r>
        <w:rPr>
          <w:rFonts w:cs="Times New Roman"/>
          <w:spacing w:val="-4"/>
          <w:sz w:val="18"/>
          <w:szCs w:val="18"/>
          <w:lang w:val="es-ES_tradnl"/>
        </w:rPr>
        <w:t>ó</w:t>
      </w:r>
      <w:r>
        <w:rPr>
          <w:spacing w:val="-4"/>
          <w:sz w:val="18"/>
          <w:szCs w:val="18"/>
          <w:lang w:val="es-ES_tradnl"/>
        </w:rPr>
        <w:t xml:space="preserve">n </w:t>
      </w:r>
      <w:r>
        <w:rPr>
          <w:spacing w:val="-8"/>
          <w:sz w:val="18"/>
          <w:szCs w:val="18"/>
          <w:lang w:val="es-ES_tradnl"/>
        </w:rPr>
        <w:t xml:space="preserve">forzada, tratos crueles, inhumanos o degradantes; derecho </w:t>
      </w:r>
      <w:r>
        <w:rPr>
          <w:sz w:val="18"/>
          <w:szCs w:val="18"/>
          <w:lang w:val="es-ES_tradnl"/>
        </w:rPr>
        <w:t>a la igualdad formal y material y no discriminaci</w:t>
      </w:r>
      <w:r>
        <w:rPr>
          <w:rFonts w:cs="Times New Roman"/>
          <w:sz w:val="18"/>
          <w:szCs w:val="18"/>
          <w:lang w:val="es-ES_tradnl"/>
        </w:rPr>
        <w:t>ó</w:t>
      </w:r>
      <w:r>
        <w:rPr>
          <w:sz w:val="18"/>
          <w:szCs w:val="18"/>
          <w:lang w:val="es-ES_tradnl"/>
        </w:rPr>
        <w:t xml:space="preserve">n; </w:t>
      </w:r>
      <w:r>
        <w:rPr>
          <w:spacing w:val="-5"/>
          <w:sz w:val="18"/>
          <w:szCs w:val="18"/>
          <w:lang w:val="es-ES_tradnl"/>
        </w:rPr>
        <w:t xml:space="preserve">derecho a transitar libremente en el territorio nacional; </w:t>
      </w:r>
      <w:r>
        <w:rPr>
          <w:spacing w:val="-7"/>
          <w:sz w:val="18"/>
          <w:szCs w:val="18"/>
          <w:lang w:val="es-ES_tradnl"/>
        </w:rPr>
        <w:t>derecho a desarrollar actividades econ</w:t>
      </w:r>
      <w:r>
        <w:rPr>
          <w:rFonts w:cs="Times New Roman"/>
          <w:spacing w:val="-7"/>
          <w:sz w:val="18"/>
          <w:szCs w:val="18"/>
          <w:lang w:val="es-ES_tradnl"/>
        </w:rPr>
        <w:t>ó</w:t>
      </w:r>
      <w:r>
        <w:rPr>
          <w:spacing w:val="-7"/>
          <w:sz w:val="18"/>
          <w:szCs w:val="18"/>
          <w:lang w:val="es-ES_tradnl"/>
        </w:rPr>
        <w:t xml:space="preserve">micas; libertad de </w:t>
      </w:r>
      <w:r>
        <w:rPr>
          <w:spacing w:val="-6"/>
          <w:sz w:val="18"/>
          <w:szCs w:val="18"/>
          <w:lang w:val="es-ES_tradnl"/>
        </w:rPr>
        <w:t>contrataci</w:t>
      </w:r>
      <w:r>
        <w:rPr>
          <w:rFonts w:cs="Times New Roman"/>
          <w:spacing w:val="-6"/>
          <w:sz w:val="18"/>
          <w:szCs w:val="18"/>
          <w:lang w:val="es-ES_tradnl"/>
        </w:rPr>
        <w:t>ó</w:t>
      </w:r>
      <w:r>
        <w:rPr>
          <w:spacing w:val="-6"/>
          <w:sz w:val="18"/>
          <w:szCs w:val="18"/>
          <w:lang w:val="es-ES_tradnl"/>
        </w:rPr>
        <w:t xml:space="preserve">n; libertad de trabajo; derecho al honor y buen </w:t>
      </w:r>
      <w:r>
        <w:rPr>
          <w:spacing w:val="-3"/>
          <w:sz w:val="18"/>
          <w:szCs w:val="18"/>
          <w:lang w:val="es-ES_tradnl"/>
        </w:rPr>
        <w:t xml:space="preserve">nombre; inviolabilidad del domicilio; participar en la vida </w:t>
      </w:r>
      <w:r>
        <w:rPr>
          <w:spacing w:val="-7"/>
          <w:sz w:val="18"/>
          <w:szCs w:val="18"/>
          <w:lang w:val="es-ES_tradnl"/>
        </w:rPr>
        <w:t>cultural de la comunidad; derecho a la libertad, prohibici</w:t>
      </w:r>
      <w:r>
        <w:rPr>
          <w:rFonts w:cs="Times New Roman"/>
          <w:spacing w:val="-7"/>
          <w:sz w:val="18"/>
          <w:szCs w:val="18"/>
          <w:lang w:val="es-ES_tradnl"/>
        </w:rPr>
        <w:t>ó</w:t>
      </w:r>
      <w:r>
        <w:rPr>
          <w:spacing w:val="-7"/>
          <w:sz w:val="18"/>
          <w:szCs w:val="18"/>
          <w:lang w:val="es-ES_tradnl"/>
        </w:rPr>
        <w:t xml:space="preserve">n </w:t>
      </w:r>
      <w:r>
        <w:rPr>
          <w:spacing w:val="-6"/>
          <w:sz w:val="18"/>
          <w:szCs w:val="18"/>
          <w:lang w:val="es-ES_tradnl"/>
        </w:rPr>
        <w:t>de esclavitud, explotaci</w:t>
      </w:r>
      <w:r>
        <w:rPr>
          <w:rFonts w:cs="Times New Roman"/>
          <w:spacing w:val="-6"/>
          <w:sz w:val="18"/>
          <w:szCs w:val="18"/>
          <w:lang w:val="es-ES_tradnl"/>
        </w:rPr>
        <w:t>ó</w:t>
      </w:r>
      <w:r>
        <w:rPr>
          <w:spacing w:val="-6"/>
          <w:sz w:val="18"/>
          <w:szCs w:val="18"/>
          <w:lang w:val="es-ES_tradnl"/>
        </w:rPr>
        <w:t>n, servidumbre, tr</w:t>
      </w:r>
      <w:r>
        <w:rPr>
          <w:rFonts w:cs="Times New Roman"/>
          <w:spacing w:val="-6"/>
          <w:sz w:val="18"/>
          <w:szCs w:val="18"/>
          <w:lang w:val="es-ES_tradnl"/>
        </w:rPr>
        <w:t>á</w:t>
      </w:r>
      <w:r>
        <w:rPr>
          <w:spacing w:val="-6"/>
          <w:sz w:val="18"/>
          <w:szCs w:val="18"/>
          <w:lang w:val="es-ES_tradnl"/>
        </w:rPr>
        <w:t xml:space="preserve">fico y trata de </w:t>
      </w:r>
      <w:r>
        <w:rPr>
          <w:spacing w:val="-9"/>
          <w:sz w:val="18"/>
          <w:szCs w:val="18"/>
          <w:lang w:val="es-ES_tradnl"/>
        </w:rPr>
        <w:t xml:space="preserve">seres humanos, no ser privados de la libertad por deudas, y </w:t>
      </w:r>
      <w:r>
        <w:rPr>
          <w:spacing w:val="-8"/>
          <w:sz w:val="18"/>
          <w:szCs w:val="18"/>
          <w:lang w:val="es-ES_tradnl"/>
        </w:rPr>
        <w:t xml:space="preserve">no ser obligados a hacer algo prohibido o a dejar de hacer </w:t>
      </w:r>
      <w:r>
        <w:rPr>
          <w:spacing w:val="-3"/>
          <w:sz w:val="18"/>
          <w:szCs w:val="18"/>
          <w:lang w:val="es-ES_tradnl"/>
        </w:rPr>
        <w:t xml:space="preserve">algo no prohibido por la ley; al respecto, no se advierte </w:t>
      </w:r>
      <w:r>
        <w:rPr>
          <w:spacing w:val="-6"/>
          <w:sz w:val="18"/>
          <w:szCs w:val="18"/>
          <w:lang w:val="es-ES_tradnl"/>
        </w:rPr>
        <w:t>que la decisi</w:t>
      </w:r>
      <w:r>
        <w:rPr>
          <w:rFonts w:cs="Times New Roman"/>
          <w:spacing w:val="-6"/>
          <w:sz w:val="18"/>
          <w:szCs w:val="18"/>
          <w:lang w:val="es-ES_tradnl"/>
        </w:rPr>
        <w:t>ó</w:t>
      </w:r>
      <w:r>
        <w:rPr>
          <w:spacing w:val="-6"/>
          <w:sz w:val="18"/>
          <w:szCs w:val="18"/>
          <w:lang w:val="es-ES_tradnl"/>
        </w:rPr>
        <w:t xml:space="preserve">n judicial cuestionada por los legitimados activos les haya privado del derecho a la salud, no se les </w:t>
      </w:r>
      <w:r>
        <w:rPr>
          <w:spacing w:val="-8"/>
          <w:sz w:val="18"/>
          <w:szCs w:val="18"/>
          <w:lang w:val="es-ES_tradnl"/>
        </w:rPr>
        <w:t xml:space="preserve">ha impedido alimentarse, descansar, ejercer una actividad </w:t>
      </w:r>
      <w:r>
        <w:rPr>
          <w:spacing w:val="-7"/>
          <w:sz w:val="18"/>
          <w:szCs w:val="18"/>
          <w:lang w:val="es-ES_tradnl"/>
        </w:rPr>
        <w:t>econ</w:t>
      </w:r>
      <w:r>
        <w:rPr>
          <w:rFonts w:cs="Times New Roman"/>
          <w:spacing w:val="-7"/>
          <w:sz w:val="18"/>
          <w:szCs w:val="18"/>
          <w:lang w:val="es-ES_tradnl"/>
        </w:rPr>
        <w:t>ó</w:t>
      </w:r>
      <w:r>
        <w:rPr>
          <w:spacing w:val="-7"/>
          <w:sz w:val="18"/>
          <w:szCs w:val="18"/>
          <w:lang w:val="es-ES_tradnl"/>
        </w:rPr>
        <w:t xml:space="preserve">mica, tampoco se les ha impedido trabajar; no han </w:t>
      </w:r>
      <w:r>
        <w:rPr>
          <w:spacing w:val="-5"/>
          <w:sz w:val="18"/>
          <w:szCs w:val="18"/>
          <w:lang w:val="es-ES_tradnl"/>
        </w:rPr>
        <w:t>sido sometidos a esclavitud, servidumbre, tr</w:t>
      </w:r>
      <w:r>
        <w:rPr>
          <w:rFonts w:cs="Times New Roman"/>
          <w:spacing w:val="-5"/>
          <w:sz w:val="18"/>
          <w:szCs w:val="18"/>
          <w:lang w:val="es-ES_tradnl"/>
        </w:rPr>
        <w:t>á</w:t>
      </w:r>
      <w:r>
        <w:rPr>
          <w:spacing w:val="-5"/>
          <w:sz w:val="18"/>
          <w:szCs w:val="18"/>
          <w:lang w:val="es-ES_tradnl"/>
        </w:rPr>
        <w:t xml:space="preserve">fico ni trata </w:t>
      </w:r>
      <w:r>
        <w:rPr>
          <w:spacing w:val="-7"/>
          <w:sz w:val="18"/>
          <w:szCs w:val="18"/>
          <w:lang w:val="es-ES_tradnl"/>
        </w:rPr>
        <w:t xml:space="preserve">de seres humanos; no se advierte trato discriminatorio de </w:t>
      </w:r>
      <w:r>
        <w:rPr>
          <w:spacing w:val="-9"/>
          <w:sz w:val="18"/>
          <w:szCs w:val="18"/>
          <w:lang w:val="es-ES_tradnl"/>
        </w:rPr>
        <w:t xml:space="preserve">ninguna forma; y si bien se han emitido medidas cautelares </w:t>
      </w:r>
      <w:r>
        <w:rPr>
          <w:spacing w:val="-5"/>
          <w:sz w:val="18"/>
          <w:szCs w:val="18"/>
          <w:lang w:val="es-ES_tradnl"/>
        </w:rPr>
        <w:t>en su contra (prohibici</w:t>
      </w:r>
      <w:r>
        <w:rPr>
          <w:rFonts w:cs="Times New Roman"/>
          <w:spacing w:val="-5"/>
          <w:sz w:val="18"/>
          <w:szCs w:val="18"/>
          <w:lang w:val="es-ES_tradnl"/>
        </w:rPr>
        <w:t>ó</w:t>
      </w:r>
      <w:r>
        <w:rPr>
          <w:spacing w:val="-5"/>
          <w:sz w:val="18"/>
          <w:szCs w:val="18"/>
          <w:lang w:val="es-ES_tradnl"/>
        </w:rPr>
        <w:t>n de salida del pa</w:t>
      </w:r>
      <w:r>
        <w:rPr>
          <w:rFonts w:cs="Times New Roman"/>
          <w:spacing w:val="-5"/>
          <w:sz w:val="18"/>
          <w:szCs w:val="18"/>
          <w:lang w:val="es-ES_tradnl"/>
        </w:rPr>
        <w:t>í</w:t>
      </w:r>
      <w:r>
        <w:rPr>
          <w:spacing w:val="-5"/>
          <w:sz w:val="18"/>
          <w:szCs w:val="18"/>
          <w:lang w:val="es-ES_tradnl"/>
        </w:rPr>
        <w:t xml:space="preserve">s y apremio </w:t>
      </w:r>
      <w:r>
        <w:rPr>
          <w:spacing w:val="-8"/>
          <w:sz w:val="18"/>
          <w:szCs w:val="18"/>
          <w:lang w:val="es-ES_tradnl"/>
        </w:rPr>
        <w:t xml:space="preserve">personal) las mismas no devienen de arbitrariedad alguna, </w:t>
      </w:r>
      <w:r>
        <w:rPr>
          <w:spacing w:val="-2"/>
          <w:sz w:val="18"/>
          <w:szCs w:val="18"/>
          <w:lang w:val="es-ES_tradnl"/>
        </w:rPr>
        <w:t xml:space="preserve">sino que son el resultado de la falta de pago de dos o </w:t>
      </w:r>
      <w:r>
        <w:rPr>
          <w:spacing w:val="-6"/>
          <w:sz w:val="18"/>
          <w:szCs w:val="18"/>
          <w:lang w:val="es-ES_tradnl"/>
        </w:rPr>
        <w:t>m</w:t>
      </w:r>
      <w:r>
        <w:rPr>
          <w:rFonts w:cs="Times New Roman"/>
          <w:spacing w:val="-6"/>
          <w:sz w:val="18"/>
          <w:szCs w:val="18"/>
          <w:lang w:val="es-ES_tradnl"/>
        </w:rPr>
        <w:t>á</w:t>
      </w:r>
      <w:r>
        <w:rPr>
          <w:spacing w:val="-6"/>
          <w:sz w:val="18"/>
          <w:szCs w:val="18"/>
          <w:lang w:val="es-ES_tradnl"/>
        </w:rPr>
        <w:t xml:space="preserve">s pensiones alimenticias por parte de los demandados </w:t>
      </w:r>
      <w:r>
        <w:rPr>
          <w:spacing w:val="-7"/>
          <w:sz w:val="18"/>
          <w:szCs w:val="18"/>
          <w:lang w:val="es-ES_tradnl"/>
        </w:rPr>
        <w:t>y adem</w:t>
      </w:r>
      <w:r>
        <w:rPr>
          <w:rFonts w:cs="Times New Roman"/>
          <w:spacing w:val="-7"/>
          <w:sz w:val="18"/>
          <w:szCs w:val="18"/>
          <w:lang w:val="es-ES_tradnl"/>
        </w:rPr>
        <w:t>á</w:t>
      </w:r>
      <w:r>
        <w:rPr>
          <w:spacing w:val="-7"/>
          <w:sz w:val="18"/>
          <w:szCs w:val="18"/>
          <w:lang w:val="es-ES_tradnl"/>
        </w:rPr>
        <w:t xml:space="preserve">s se hallan previstas en nuestro ordenamiento </w:t>
      </w:r>
      <w:r>
        <w:rPr>
          <w:spacing w:val="-6"/>
          <w:sz w:val="18"/>
          <w:szCs w:val="18"/>
          <w:lang w:val="es-ES_tradnl"/>
        </w:rPr>
        <w:t>jur</w:t>
      </w:r>
      <w:r>
        <w:rPr>
          <w:rFonts w:cs="Times New Roman"/>
          <w:spacing w:val="-6"/>
          <w:sz w:val="18"/>
          <w:szCs w:val="18"/>
          <w:lang w:val="es-ES_tradnl"/>
        </w:rPr>
        <w:t>í</w:t>
      </w:r>
      <w:r>
        <w:rPr>
          <w:spacing w:val="-6"/>
          <w:sz w:val="18"/>
          <w:szCs w:val="18"/>
          <w:lang w:val="es-ES_tradnl"/>
        </w:rPr>
        <w:t>dico; 3) En cuanto a las garant</w:t>
      </w:r>
      <w:r>
        <w:rPr>
          <w:rFonts w:cs="Times New Roman"/>
          <w:spacing w:val="-6"/>
          <w:sz w:val="18"/>
          <w:szCs w:val="18"/>
          <w:lang w:val="es-ES_tradnl"/>
        </w:rPr>
        <w:t>í</w:t>
      </w:r>
      <w:r>
        <w:rPr>
          <w:spacing w:val="-6"/>
          <w:sz w:val="18"/>
          <w:szCs w:val="18"/>
          <w:lang w:val="es-ES_tradnl"/>
        </w:rPr>
        <w:t xml:space="preserve">as del debido proceso </w:t>
      </w:r>
      <w:r>
        <w:rPr>
          <w:spacing w:val="-7"/>
          <w:sz w:val="18"/>
          <w:szCs w:val="18"/>
          <w:lang w:val="es-ES_tradnl"/>
        </w:rPr>
        <w:t>consagradas en el art</w:t>
      </w:r>
      <w:r>
        <w:rPr>
          <w:rFonts w:cs="Times New Roman"/>
          <w:spacing w:val="-7"/>
          <w:sz w:val="18"/>
          <w:szCs w:val="18"/>
          <w:lang w:val="es-ES_tradnl"/>
        </w:rPr>
        <w:t>í</w:t>
      </w:r>
      <w:r>
        <w:rPr>
          <w:spacing w:val="-7"/>
          <w:sz w:val="18"/>
          <w:szCs w:val="18"/>
          <w:lang w:val="es-ES_tradnl"/>
        </w:rPr>
        <w:t xml:space="preserve">culo 76 de la Carta Magna, queda </w:t>
      </w:r>
      <w:r>
        <w:rPr>
          <w:spacing w:val="-6"/>
          <w:sz w:val="18"/>
          <w:szCs w:val="18"/>
          <w:lang w:val="es-ES_tradnl"/>
        </w:rPr>
        <w:t xml:space="preserve">claro que los demandados han ejercido el derecho a la </w:t>
      </w:r>
      <w:r>
        <w:rPr>
          <w:spacing w:val="-9"/>
          <w:sz w:val="18"/>
          <w:szCs w:val="18"/>
          <w:lang w:val="es-ES_tradnl"/>
        </w:rPr>
        <w:t>defensa sin que hayan quedado en indefensi</w:t>
      </w:r>
      <w:r>
        <w:rPr>
          <w:rFonts w:cs="Times New Roman"/>
          <w:spacing w:val="-9"/>
          <w:sz w:val="18"/>
          <w:szCs w:val="18"/>
          <w:lang w:val="es-ES_tradnl"/>
        </w:rPr>
        <w:t>ó</w:t>
      </w:r>
      <w:r>
        <w:rPr>
          <w:spacing w:val="-9"/>
          <w:sz w:val="18"/>
          <w:szCs w:val="18"/>
          <w:lang w:val="es-ES_tradnl"/>
        </w:rPr>
        <w:t xml:space="preserve">n en ninguna </w:t>
      </w:r>
      <w:r>
        <w:rPr>
          <w:spacing w:val="-10"/>
          <w:sz w:val="18"/>
          <w:szCs w:val="18"/>
          <w:lang w:val="es-ES_tradnl"/>
        </w:rPr>
        <w:t xml:space="preserve">etapa del proceso judicial seguido en su contra, han contado </w:t>
      </w:r>
      <w:r>
        <w:rPr>
          <w:spacing w:val="-8"/>
          <w:sz w:val="18"/>
          <w:szCs w:val="18"/>
          <w:lang w:val="es-ES_tradnl"/>
        </w:rPr>
        <w:t>con el tiempo y los medios adecuados para la preparaci</w:t>
      </w:r>
      <w:r>
        <w:rPr>
          <w:rFonts w:cs="Times New Roman"/>
          <w:spacing w:val="-8"/>
          <w:sz w:val="18"/>
          <w:szCs w:val="18"/>
          <w:lang w:val="es-ES_tradnl"/>
        </w:rPr>
        <w:t>ó</w:t>
      </w:r>
      <w:r>
        <w:rPr>
          <w:spacing w:val="-8"/>
          <w:sz w:val="18"/>
          <w:szCs w:val="18"/>
          <w:lang w:val="es-ES_tradnl"/>
        </w:rPr>
        <w:t xml:space="preserve">n </w:t>
      </w:r>
      <w:r>
        <w:rPr>
          <w:spacing w:val="-12"/>
          <w:sz w:val="18"/>
          <w:szCs w:val="18"/>
          <w:lang w:val="es-ES_tradnl"/>
        </w:rPr>
        <w:t xml:space="preserve">de su defensa, no se les ha impedido el derecho de acceder a </w:t>
      </w:r>
      <w:r>
        <w:rPr>
          <w:spacing w:val="-9"/>
          <w:sz w:val="18"/>
          <w:szCs w:val="18"/>
          <w:lang w:val="es-ES_tradnl"/>
        </w:rPr>
        <w:t xml:space="preserve">los documentos que forman parte del proceso de alimentos </w:t>
      </w:r>
      <w:r>
        <w:rPr>
          <w:spacing w:val="-10"/>
          <w:sz w:val="18"/>
          <w:szCs w:val="18"/>
          <w:lang w:val="es-ES_tradnl"/>
        </w:rPr>
        <w:t xml:space="preserve">incoado en su contra, y han podido interponer los recurso de </w:t>
      </w:r>
      <w:r>
        <w:rPr>
          <w:spacing w:val="-9"/>
          <w:sz w:val="18"/>
          <w:szCs w:val="18"/>
          <w:lang w:val="es-ES_tradnl"/>
        </w:rPr>
        <w:t>impugnaci</w:t>
      </w:r>
      <w:r>
        <w:rPr>
          <w:rFonts w:cs="Times New Roman"/>
          <w:spacing w:val="-9"/>
          <w:sz w:val="18"/>
          <w:szCs w:val="18"/>
          <w:lang w:val="es-ES_tradnl"/>
        </w:rPr>
        <w:t>ó</w:t>
      </w:r>
      <w:r>
        <w:rPr>
          <w:spacing w:val="-9"/>
          <w:sz w:val="18"/>
          <w:szCs w:val="18"/>
          <w:lang w:val="es-ES_tradnl"/>
        </w:rPr>
        <w:t xml:space="preserve">n previstos en la ley; 4) Por tanto, no se advierte </w:t>
      </w:r>
      <w:r>
        <w:rPr>
          <w:spacing w:val="-7"/>
          <w:sz w:val="18"/>
          <w:szCs w:val="18"/>
          <w:lang w:val="es-ES_tradnl"/>
        </w:rPr>
        <w:t>la vulneraci</w:t>
      </w:r>
      <w:r>
        <w:rPr>
          <w:rFonts w:cs="Times New Roman"/>
          <w:spacing w:val="-7"/>
          <w:sz w:val="18"/>
          <w:szCs w:val="18"/>
          <w:lang w:val="es-ES_tradnl"/>
        </w:rPr>
        <w:t>ó</w:t>
      </w:r>
      <w:r>
        <w:rPr>
          <w:spacing w:val="-7"/>
          <w:sz w:val="18"/>
          <w:szCs w:val="18"/>
          <w:lang w:val="es-ES_tradnl"/>
        </w:rPr>
        <w:t xml:space="preserve">n de los derechos constitucionales que han </w:t>
      </w:r>
      <w:r>
        <w:rPr>
          <w:sz w:val="18"/>
          <w:szCs w:val="18"/>
          <w:lang w:val="es-ES_tradnl"/>
        </w:rPr>
        <w:t>invocado los legitimados activos.</w:t>
      </w:r>
    </w:p>
    <w:p w14:paraId="4F67AEEA" w14:textId="77777777" w:rsidR="00591D54" w:rsidRDefault="00591D54">
      <w:pPr>
        <w:shd w:val="clear" w:color="auto" w:fill="FFFFFF"/>
        <w:spacing w:before="197" w:line="216" w:lineRule="exact"/>
        <w:jc w:val="both"/>
      </w:pPr>
      <w:r>
        <w:rPr>
          <w:spacing w:val="-5"/>
          <w:sz w:val="18"/>
          <w:szCs w:val="18"/>
          <w:lang w:val="es-ES_tradnl"/>
        </w:rPr>
        <w:t xml:space="preserve">Esta Magistratura constitucional estima que si bien los </w:t>
      </w:r>
      <w:r>
        <w:rPr>
          <w:spacing w:val="-7"/>
          <w:sz w:val="18"/>
          <w:szCs w:val="18"/>
          <w:lang w:val="es-ES_tradnl"/>
        </w:rPr>
        <w:t xml:space="preserve">jueces de primera y de segunda instancia obviaron aplicar </w:t>
      </w:r>
      <w:r>
        <w:rPr>
          <w:spacing w:val="-3"/>
          <w:sz w:val="18"/>
          <w:szCs w:val="18"/>
          <w:lang w:val="es-ES_tradnl"/>
        </w:rPr>
        <w:t xml:space="preserve">el </w:t>
      </w:r>
      <w:r>
        <w:rPr>
          <w:rFonts w:cs="Times New Roman"/>
          <w:spacing w:val="-3"/>
          <w:sz w:val="18"/>
          <w:szCs w:val="18"/>
          <w:lang w:val="es-ES_tradnl"/>
        </w:rPr>
        <w:t>“</w:t>
      </w:r>
      <w:r>
        <w:rPr>
          <w:spacing w:val="-3"/>
          <w:sz w:val="18"/>
          <w:szCs w:val="18"/>
          <w:lang w:val="es-ES_tradnl"/>
        </w:rPr>
        <w:t>orden de prelaci</w:t>
      </w:r>
      <w:r>
        <w:rPr>
          <w:rFonts w:cs="Times New Roman"/>
          <w:spacing w:val="-3"/>
          <w:sz w:val="18"/>
          <w:szCs w:val="18"/>
          <w:lang w:val="es-ES_tradnl"/>
        </w:rPr>
        <w:t>ó</w:t>
      </w:r>
      <w:r>
        <w:rPr>
          <w:spacing w:val="-3"/>
          <w:sz w:val="18"/>
          <w:szCs w:val="18"/>
          <w:lang w:val="es-ES_tradnl"/>
        </w:rPr>
        <w:t>n</w:t>
      </w:r>
      <w:r>
        <w:rPr>
          <w:rFonts w:cs="Times New Roman"/>
          <w:spacing w:val="-3"/>
          <w:sz w:val="18"/>
          <w:szCs w:val="18"/>
          <w:lang w:val="es-ES_tradnl"/>
        </w:rPr>
        <w:t>”</w:t>
      </w:r>
      <w:r>
        <w:rPr>
          <w:spacing w:val="-3"/>
          <w:sz w:val="18"/>
          <w:szCs w:val="18"/>
          <w:lang w:val="es-ES_tradnl"/>
        </w:rPr>
        <w:t xml:space="preserve"> invocado por los demandados, </w:t>
      </w:r>
      <w:r>
        <w:rPr>
          <w:spacing w:val="-7"/>
          <w:sz w:val="18"/>
          <w:szCs w:val="18"/>
          <w:lang w:val="es-ES_tradnl"/>
        </w:rPr>
        <w:t>ello no les ocasiona da</w:t>
      </w:r>
      <w:r>
        <w:rPr>
          <w:rFonts w:cs="Times New Roman"/>
          <w:spacing w:val="-7"/>
          <w:sz w:val="18"/>
          <w:szCs w:val="18"/>
          <w:lang w:val="es-ES_tradnl"/>
        </w:rPr>
        <w:t>ñ</w:t>
      </w:r>
      <w:r>
        <w:rPr>
          <w:spacing w:val="-7"/>
          <w:sz w:val="18"/>
          <w:szCs w:val="18"/>
          <w:lang w:val="es-ES_tradnl"/>
        </w:rPr>
        <w:t>o grave e irreparable, m</w:t>
      </w:r>
      <w:r>
        <w:rPr>
          <w:rFonts w:cs="Times New Roman"/>
          <w:spacing w:val="-7"/>
          <w:sz w:val="18"/>
          <w:szCs w:val="18"/>
          <w:lang w:val="es-ES_tradnl"/>
        </w:rPr>
        <w:t>á</w:t>
      </w:r>
      <w:r>
        <w:rPr>
          <w:spacing w:val="-7"/>
          <w:sz w:val="18"/>
          <w:szCs w:val="18"/>
          <w:lang w:val="es-ES_tradnl"/>
        </w:rPr>
        <w:t>s a</w:t>
      </w:r>
      <w:r>
        <w:rPr>
          <w:rFonts w:cs="Times New Roman"/>
          <w:spacing w:val="-7"/>
          <w:sz w:val="18"/>
          <w:szCs w:val="18"/>
          <w:lang w:val="es-ES_tradnl"/>
        </w:rPr>
        <w:t>ú</w:t>
      </w:r>
      <w:r>
        <w:rPr>
          <w:spacing w:val="-7"/>
          <w:sz w:val="18"/>
          <w:szCs w:val="18"/>
          <w:lang w:val="es-ES_tradnl"/>
        </w:rPr>
        <w:t xml:space="preserve">n, si </w:t>
      </w:r>
      <w:r>
        <w:rPr>
          <w:spacing w:val="-6"/>
          <w:sz w:val="18"/>
          <w:szCs w:val="18"/>
          <w:lang w:val="es-ES_tradnl"/>
        </w:rPr>
        <w:t>dentro del juicio de alimentos N.</w:t>
      </w:r>
      <w:r>
        <w:rPr>
          <w:rFonts w:cs="Times New Roman"/>
          <w:spacing w:val="-6"/>
          <w:sz w:val="18"/>
          <w:szCs w:val="18"/>
          <w:lang w:val="es-ES_tradnl"/>
        </w:rPr>
        <w:t>º</w:t>
      </w:r>
      <w:r>
        <w:rPr>
          <w:spacing w:val="-6"/>
          <w:sz w:val="18"/>
          <w:szCs w:val="18"/>
          <w:lang w:val="es-ES_tradnl"/>
        </w:rPr>
        <w:t xml:space="preserve"> 640-2011, se advierte el </w:t>
      </w:r>
      <w:r>
        <w:rPr>
          <w:spacing w:val="-8"/>
          <w:sz w:val="18"/>
          <w:szCs w:val="18"/>
          <w:lang w:val="es-ES_tradnl"/>
        </w:rPr>
        <w:t>proceso ejecutivo N.</w:t>
      </w:r>
      <w:r>
        <w:rPr>
          <w:rFonts w:cs="Times New Roman"/>
          <w:spacing w:val="-8"/>
          <w:sz w:val="18"/>
          <w:szCs w:val="18"/>
          <w:lang w:val="es-ES_tradnl"/>
        </w:rPr>
        <w:t>º</w:t>
      </w:r>
      <w:r>
        <w:rPr>
          <w:spacing w:val="-8"/>
          <w:sz w:val="18"/>
          <w:szCs w:val="18"/>
          <w:lang w:val="es-ES_tradnl"/>
        </w:rPr>
        <w:t xml:space="preserve"> 57-2004, sustanciado en el Juzgado </w:t>
      </w:r>
      <w:r>
        <w:rPr>
          <w:spacing w:val="-9"/>
          <w:sz w:val="18"/>
          <w:szCs w:val="18"/>
          <w:lang w:val="es-ES_tradnl"/>
        </w:rPr>
        <w:t>S</w:t>
      </w:r>
      <w:r>
        <w:rPr>
          <w:rFonts w:cs="Times New Roman"/>
          <w:spacing w:val="-9"/>
          <w:sz w:val="18"/>
          <w:szCs w:val="18"/>
          <w:lang w:val="es-ES_tradnl"/>
        </w:rPr>
        <w:t>é</w:t>
      </w:r>
      <w:r>
        <w:rPr>
          <w:spacing w:val="-9"/>
          <w:sz w:val="18"/>
          <w:szCs w:val="18"/>
          <w:lang w:val="es-ES_tradnl"/>
        </w:rPr>
        <w:t xml:space="preserve">ptimo de lo Civil del Azuay en la ciudad de Cuenca (fojas </w:t>
      </w:r>
      <w:r>
        <w:rPr>
          <w:spacing w:val="-5"/>
          <w:sz w:val="18"/>
          <w:szCs w:val="18"/>
          <w:lang w:val="es-ES_tradnl"/>
        </w:rPr>
        <w:t xml:space="preserve">68 a 188), en virtud del cual la doctora Helen Alexandra </w:t>
      </w:r>
      <w:r>
        <w:rPr>
          <w:spacing w:val="-9"/>
          <w:sz w:val="18"/>
          <w:szCs w:val="18"/>
          <w:lang w:val="es-ES_tradnl"/>
        </w:rPr>
        <w:t>Maldonado Albarrac</w:t>
      </w:r>
      <w:r>
        <w:rPr>
          <w:rFonts w:cs="Times New Roman"/>
          <w:spacing w:val="-9"/>
          <w:sz w:val="18"/>
          <w:szCs w:val="18"/>
          <w:lang w:val="es-ES_tradnl"/>
        </w:rPr>
        <w:t>í</w:t>
      </w:r>
      <w:r>
        <w:rPr>
          <w:spacing w:val="-9"/>
          <w:sz w:val="18"/>
          <w:szCs w:val="18"/>
          <w:lang w:val="es-ES_tradnl"/>
        </w:rPr>
        <w:t>n demand</w:t>
      </w:r>
      <w:r>
        <w:rPr>
          <w:rFonts w:cs="Times New Roman"/>
          <w:spacing w:val="-9"/>
          <w:sz w:val="18"/>
          <w:szCs w:val="18"/>
          <w:lang w:val="es-ES_tradnl"/>
        </w:rPr>
        <w:t>ó</w:t>
      </w:r>
      <w:r>
        <w:rPr>
          <w:spacing w:val="-9"/>
          <w:sz w:val="18"/>
          <w:szCs w:val="18"/>
          <w:lang w:val="es-ES_tradnl"/>
        </w:rPr>
        <w:t xml:space="preserve"> a su padre Hermel Alcides </w:t>
      </w:r>
      <w:r>
        <w:rPr>
          <w:spacing w:val="-7"/>
          <w:sz w:val="18"/>
          <w:szCs w:val="18"/>
          <w:lang w:val="es-ES_tradnl"/>
        </w:rPr>
        <w:t>Maldonado L</w:t>
      </w:r>
      <w:r>
        <w:rPr>
          <w:rFonts w:cs="Times New Roman"/>
          <w:spacing w:val="-7"/>
          <w:sz w:val="18"/>
          <w:szCs w:val="18"/>
          <w:lang w:val="es-ES_tradnl"/>
        </w:rPr>
        <w:t>ó</w:t>
      </w:r>
      <w:r>
        <w:rPr>
          <w:spacing w:val="-7"/>
          <w:sz w:val="18"/>
          <w:szCs w:val="18"/>
          <w:lang w:val="es-ES_tradnl"/>
        </w:rPr>
        <w:t>pez (tambi</w:t>
      </w:r>
      <w:r>
        <w:rPr>
          <w:rFonts w:cs="Times New Roman"/>
          <w:spacing w:val="-7"/>
          <w:sz w:val="18"/>
          <w:szCs w:val="18"/>
          <w:lang w:val="es-ES_tradnl"/>
        </w:rPr>
        <w:t>é</w:t>
      </w:r>
      <w:r>
        <w:rPr>
          <w:spacing w:val="-7"/>
          <w:sz w:val="18"/>
          <w:szCs w:val="18"/>
          <w:lang w:val="es-ES_tradnl"/>
        </w:rPr>
        <w:t xml:space="preserve">n padre de los menores a favor </w:t>
      </w:r>
      <w:r>
        <w:rPr>
          <w:spacing w:val="-9"/>
          <w:sz w:val="18"/>
          <w:szCs w:val="18"/>
          <w:lang w:val="es-ES_tradnl"/>
        </w:rPr>
        <w:t xml:space="preserve">de quienes se demanda alimentos) y reclama el pago de $ </w:t>
      </w:r>
      <w:r>
        <w:rPr>
          <w:spacing w:val="-7"/>
          <w:sz w:val="18"/>
          <w:szCs w:val="18"/>
          <w:lang w:val="es-ES_tradnl"/>
        </w:rPr>
        <w:t>38.000,00, por un pr</w:t>
      </w:r>
      <w:r>
        <w:rPr>
          <w:rFonts w:cs="Times New Roman"/>
          <w:spacing w:val="-7"/>
          <w:sz w:val="18"/>
          <w:szCs w:val="18"/>
          <w:lang w:val="es-ES_tradnl"/>
        </w:rPr>
        <w:t>é</w:t>
      </w:r>
      <w:r>
        <w:rPr>
          <w:spacing w:val="-7"/>
          <w:sz w:val="18"/>
          <w:szCs w:val="18"/>
          <w:lang w:val="es-ES_tradnl"/>
        </w:rPr>
        <w:t xml:space="preserve">stamo que afirma haber hecho a su </w:t>
      </w:r>
      <w:r>
        <w:rPr>
          <w:spacing w:val="-11"/>
          <w:sz w:val="18"/>
          <w:szCs w:val="18"/>
          <w:lang w:val="es-ES_tradnl"/>
        </w:rPr>
        <w:t>padre, de lo cual se infiere su solvencia econ</w:t>
      </w:r>
      <w:r>
        <w:rPr>
          <w:rFonts w:cs="Times New Roman"/>
          <w:spacing w:val="-11"/>
          <w:sz w:val="18"/>
          <w:szCs w:val="18"/>
          <w:lang w:val="es-ES_tradnl"/>
        </w:rPr>
        <w:t>ó</w:t>
      </w:r>
      <w:r>
        <w:rPr>
          <w:spacing w:val="-11"/>
          <w:sz w:val="18"/>
          <w:szCs w:val="18"/>
          <w:lang w:val="es-ES_tradnl"/>
        </w:rPr>
        <w:t>mica; adem</w:t>
      </w:r>
      <w:r>
        <w:rPr>
          <w:rFonts w:cs="Times New Roman"/>
          <w:spacing w:val="-11"/>
          <w:sz w:val="18"/>
          <w:szCs w:val="18"/>
          <w:lang w:val="es-ES_tradnl"/>
        </w:rPr>
        <w:t>á</w:t>
      </w:r>
      <w:r>
        <w:rPr>
          <w:spacing w:val="-11"/>
          <w:sz w:val="18"/>
          <w:szCs w:val="18"/>
          <w:lang w:val="es-ES_tradnl"/>
        </w:rPr>
        <w:t xml:space="preserve">s, </w:t>
      </w:r>
      <w:r>
        <w:rPr>
          <w:spacing w:val="-5"/>
          <w:sz w:val="18"/>
          <w:szCs w:val="18"/>
          <w:lang w:val="es-ES_tradnl"/>
        </w:rPr>
        <w:t xml:space="preserve">en el referido proceso ejecutivo, seguido por la doctora </w:t>
      </w:r>
      <w:r>
        <w:rPr>
          <w:spacing w:val="-7"/>
          <w:sz w:val="18"/>
          <w:szCs w:val="18"/>
          <w:lang w:val="es-ES_tradnl"/>
        </w:rPr>
        <w:t>Helen Maldonado Albarrac</w:t>
      </w:r>
      <w:r>
        <w:rPr>
          <w:rFonts w:cs="Times New Roman"/>
          <w:spacing w:val="-7"/>
          <w:sz w:val="18"/>
          <w:szCs w:val="18"/>
          <w:lang w:val="es-ES_tradnl"/>
        </w:rPr>
        <w:t>í</w:t>
      </w:r>
      <w:r>
        <w:rPr>
          <w:spacing w:val="-7"/>
          <w:sz w:val="18"/>
          <w:szCs w:val="18"/>
          <w:lang w:val="es-ES_tradnl"/>
        </w:rPr>
        <w:t xml:space="preserve">n, se ha ordenado el embargo </w:t>
      </w:r>
      <w:r>
        <w:rPr>
          <w:spacing w:val="-11"/>
          <w:sz w:val="18"/>
          <w:szCs w:val="18"/>
          <w:lang w:val="es-ES_tradnl"/>
        </w:rPr>
        <w:t xml:space="preserve">de 4 bienes inmuebles de propiedad de su padre demandado </w:t>
      </w:r>
      <w:r>
        <w:rPr>
          <w:spacing w:val="-6"/>
          <w:sz w:val="18"/>
          <w:szCs w:val="18"/>
          <w:lang w:val="es-ES_tradnl"/>
        </w:rPr>
        <w:t>y de Irlanda Teresa Albarrac</w:t>
      </w:r>
      <w:r>
        <w:rPr>
          <w:rFonts w:cs="Times New Roman"/>
          <w:spacing w:val="-6"/>
          <w:sz w:val="18"/>
          <w:szCs w:val="18"/>
          <w:lang w:val="es-ES_tradnl"/>
        </w:rPr>
        <w:t>í</w:t>
      </w:r>
      <w:r>
        <w:rPr>
          <w:spacing w:val="-6"/>
          <w:sz w:val="18"/>
          <w:szCs w:val="18"/>
          <w:lang w:val="es-ES_tradnl"/>
        </w:rPr>
        <w:t xml:space="preserve">n Encalada (fojas 102 y vta., </w:t>
      </w:r>
      <w:r>
        <w:rPr>
          <w:spacing w:val="-7"/>
          <w:sz w:val="18"/>
          <w:szCs w:val="18"/>
          <w:lang w:val="es-ES_tradnl"/>
        </w:rPr>
        <w:t>del juicio de alimentos N.</w:t>
      </w:r>
      <w:r>
        <w:rPr>
          <w:rFonts w:cs="Times New Roman"/>
          <w:spacing w:val="-7"/>
          <w:sz w:val="18"/>
          <w:szCs w:val="18"/>
          <w:lang w:val="es-ES_tradnl"/>
        </w:rPr>
        <w:t>º</w:t>
      </w:r>
      <w:r>
        <w:rPr>
          <w:spacing w:val="-7"/>
          <w:sz w:val="18"/>
          <w:szCs w:val="18"/>
          <w:lang w:val="es-ES_tradnl"/>
        </w:rPr>
        <w:t xml:space="preserve"> 640-2011), madre de la doctora</w:t>
      </w:r>
    </w:p>
    <w:p w14:paraId="4F67AEEB" w14:textId="77777777" w:rsidR="00591D54" w:rsidRDefault="00591D54">
      <w:pPr>
        <w:shd w:val="clear" w:color="auto" w:fill="FFFFFF"/>
        <w:spacing w:before="197" w:line="216" w:lineRule="exact"/>
        <w:jc w:val="both"/>
        <w:sectPr w:rsidR="00591D54">
          <w:type w:val="continuous"/>
          <w:pgSz w:w="11909" w:h="16834"/>
          <w:pgMar w:top="1366" w:right="1309" w:bottom="360" w:left="1308" w:header="720" w:footer="720" w:gutter="0"/>
          <w:cols w:num="2" w:space="720" w:equalWidth="0">
            <w:col w:w="4305" w:space="682"/>
            <w:col w:w="4305"/>
          </w:cols>
          <w:noEndnote/>
        </w:sectPr>
      </w:pPr>
    </w:p>
    <w:p w14:paraId="4F67AEEC" w14:textId="77777777" w:rsidR="00591D54" w:rsidRDefault="00591D54">
      <w:pPr>
        <w:shd w:val="clear" w:color="auto" w:fill="FFFFFF"/>
        <w:tabs>
          <w:tab w:val="left" w:pos="4814"/>
        </w:tabs>
        <w:spacing w:after="235"/>
        <w:ind w:left="14"/>
      </w:pPr>
      <w:r>
        <w:rPr>
          <w:b/>
          <w:bCs/>
          <w:sz w:val="18"/>
          <w:szCs w:val="18"/>
          <w:lang w:val="es-ES_tradnl"/>
        </w:rPr>
        <w:t xml:space="preserve">140 -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EED" w14:textId="77777777" w:rsidR="00591D54" w:rsidRDefault="00591D54">
      <w:pPr>
        <w:shd w:val="clear" w:color="auto" w:fill="FFFFFF"/>
        <w:tabs>
          <w:tab w:val="left" w:pos="4814"/>
        </w:tabs>
        <w:spacing w:after="235"/>
        <w:ind w:left="14"/>
        <w:sectPr w:rsidR="00591D54">
          <w:pgSz w:w="11909" w:h="16834"/>
          <w:pgMar w:top="1361" w:right="1309" w:bottom="360" w:left="1308" w:header="720" w:footer="720" w:gutter="0"/>
          <w:cols w:space="60"/>
          <w:noEndnote/>
        </w:sectPr>
      </w:pPr>
    </w:p>
    <w:p w14:paraId="4F67AEEE" w14:textId="77777777" w:rsidR="00591D54" w:rsidRDefault="00591D54">
      <w:pPr>
        <w:shd w:val="clear" w:color="auto" w:fill="FFFFFF"/>
        <w:spacing w:line="216" w:lineRule="exact"/>
        <w:jc w:val="both"/>
      </w:pPr>
      <w:r>
        <w:rPr>
          <w:spacing w:val="-2"/>
          <w:sz w:val="18"/>
          <w:szCs w:val="18"/>
          <w:lang w:val="es-ES_tradnl"/>
        </w:rPr>
        <w:t>Helen Maldonado Albarrac</w:t>
      </w:r>
      <w:r>
        <w:rPr>
          <w:rFonts w:cs="Times New Roman"/>
          <w:spacing w:val="-2"/>
          <w:sz w:val="18"/>
          <w:szCs w:val="18"/>
          <w:lang w:val="es-ES_tradnl"/>
        </w:rPr>
        <w:t>í</w:t>
      </w:r>
      <w:r>
        <w:rPr>
          <w:spacing w:val="-2"/>
          <w:sz w:val="18"/>
          <w:szCs w:val="18"/>
          <w:lang w:val="es-ES_tradnl"/>
        </w:rPr>
        <w:t xml:space="preserve">n y de Byron Maldonado </w:t>
      </w:r>
      <w:r>
        <w:rPr>
          <w:sz w:val="18"/>
          <w:szCs w:val="18"/>
          <w:lang w:val="es-ES_tradnl"/>
        </w:rPr>
        <w:t>Albarrac</w:t>
      </w:r>
      <w:r>
        <w:rPr>
          <w:rFonts w:cs="Times New Roman"/>
          <w:sz w:val="18"/>
          <w:szCs w:val="18"/>
          <w:lang w:val="es-ES_tradnl"/>
        </w:rPr>
        <w:t>í</w:t>
      </w:r>
      <w:r>
        <w:rPr>
          <w:sz w:val="18"/>
          <w:szCs w:val="18"/>
          <w:lang w:val="es-ES_tradnl"/>
        </w:rPr>
        <w:t xml:space="preserve">n (demandados en el juicio de alimentos) y </w:t>
      </w:r>
      <w:r>
        <w:rPr>
          <w:spacing w:val="-2"/>
          <w:sz w:val="18"/>
          <w:szCs w:val="18"/>
          <w:lang w:val="es-ES_tradnl"/>
        </w:rPr>
        <w:t xml:space="preserve">a quien se ha designado depositaria judicial de tales </w:t>
      </w:r>
      <w:r>
        <w:rPr>
          <w:spacing w:val="-7"/>
          <w:sz w:val="18"/>
          <w:szCs w:val="18"/>
          <w:lang w:val="es-ES_tradnl"/>
        </w:rPr>
        <w:t>bienes, cuyo aval</w:t>
      </w:r>
      <w:r>
        <w:rPr>
          <w:rFonts w:cs="Times New Roman"/>
          <w:spacing w:val="-7"/>
          <w:sz w:val="18"/>
          <w:szCs w:val="18"/>
          <w:lang w:val="es-ES_tradnl"/>
        </w:rPr>
        <w:t>ú</w:t>
      </w:r>
      <w:r>
        <w:rPr>
          <w:spacing w:val="-7"/>
          <w:sz w:val="18"/>
          <w:szCs w:val="18"/>
          <w:lang w:val="es-ES_tradnl"/>
        </w:rPr>
        <w:t>o y ubicaci</w:t>
      </w:r>
      <w:r>
        <w:rPr>
          <w:rFonts w:cs="Times New Roman"/>
          <w:spacing w:val="-7"/>
          <w:sz w:val="18"/>
          <w:szCs w:val="18"/>
          <w:lang w:val="es-ES_tradnl"/>
        </w:rPr>
        <w:t>ó</w:t>
      </w:r>
      <w:r>
        <w:rPr>
          <w:spacing w:val="-7"/>
          <w:sz w:val="18"/>
          <w:szCs w:val="18"/>
          <w:lang w:val="es-ES_tradnl"/>
        </w:rPr>
        <w:t xml:space="preserve">n se hallan precisados en el </w:t>
      </w:r>
      <w:r>
        <w:rPr>
          <w:spacing w:val="-5"/>
          <w:sz w:val="18"/>
          <w:szCs w:val="18"/>
          <w:lang w:val="es-ES_tradnl"/>
        </w:rPr>
        <w:t xml:space="preserve">correspondiente informe pericial que obra de fojas 120 a </w:t>
      </w:r>
      <w:r>
        <w:rPr>
          <w:spacing w:val="-6"/>
          <w:sz w:val="18"/>
          <w:szCs w:val="18"/>
          <w:lang w:val="es-ES_tradnl"/>
        </w:rPr>
        <w:t>136 del proceso de alimentos N.</w:t>
      </w:r>
      <w:r>
        <w:rPr>
          <w:rFonts w:cs="Times New Roman"/>
          <w:spacing w:val="-6"/>
          <w:sz w:val="18"/>
          <w:szCs w:val="18"/>
          <w:lang w:val="es-ES_tradnl"/>
        </w:rPr>
        <w:t>º</w:t>
      </w:r>
      <w:r>
        <w:rPr>
          <w:spacing w:val="-6"/>
          <w:sz w:val="18"/>
          <w:szCs w:val="18"/>
          <w:lang w:val="es-ES_tradnl"/>
        </w:rPr>
        <w:t xml:space="preserve"> 640-2011. Por su parte, </w:t>
      </w:r>
      <w:r>
        <w:rPr>
          <w:spacing w:val="-2"/>
          <w:sz w:val="18"/>
          <w:szCs w:val="18"/>
          <w:lang w:val="es-ES_tradnl"/>
        </w:rPr>
        <w:t>el demandado Byron Vladimir Maldonado Albarrac</w:t>
      </w:r>
      <w:r>
        <w:rPr>
          <w:rFonts w:cs="Times New Roman"/>
          <w:spacing w:val="-2"/>
          <w:sz w:val="18"/>
          <w:szCs w:val="18"/>
          <w:lang w:val="es-ES_tradnl"/>
        </w:rPr>
        <w:t>í</w:t>
      </w:r>
      <w:r>
        <w:rPr>
          <w:spacing w:val="-2"/>
          <w:sz w:val="18"/>
          <w:szCs w:val="18"/>
          <w:lang w:val="es-ES_tradnl"/>
        </w:rPr>
        <w:t xml:space="preserve">n </w:t>
      </w:r>
      <w:r>
        <w:rPr>
          <w:spacing w:val="-4"/>
          <w:sz w:val="18"/>
          <w:szCs w:val="18"/>
          <w:lang w:val="es-ES_tradnl"/>
        </w:rPr>
        <w:t>cuenta con un trabajo formal y recibe una remuneraci</w:t>
      </w:r>
      <w:r>
        <w:rPr>
          <w:rFonts w:cs="Times New Roman"/>
          <w:spacing w:val="-4"/>
          <w:sz w:val="18"/>
          <w:szCs w:val="18"/>
          <w:lang w:val="es-ES_tradnl"/>
        </w:rPr>
        <w:t>ó</w:t>
      </w:r>
      <w:r>
        <w:rPr>
          <w:spacing w:val="-4"/>
          <w:sz w:val="18"/>
          <w:szCs w:val="18"/>
          <w:lang w:val="es-ES_tradnl"/>
        </w:rPr>
        <w:t xml:space="preserve">n </w:t>
      </w:r>
      <w:r>
        <w:rPr>
          <w:spacing w:val="-5"/>
          <w:sz w:val="18"/>
          <w:szCs w:val="18"/>
          <w:lang w:val="es-ES_tradnl"/>
        </w:rPr>
        <w:t>y los dem</w:t>
      </w:r>
      <w:r>
        <w:rPr>
          <w:rFonts w:cs="Times New Roman"/>
          <w:spacing w:val="-5"/>
          <w:sz w:val="18"/>
          <w:szCs w:val="18"/>
          <w:lang w:val="es-ES_tradnl"/>
        </w:rPr>
        <w:t>á</w:t>
      </w:r>
      <w:r>
        <w:rPr>
          <w:spacing w:val="-5"/>
          <w:sz w:val="18"/>
          <w:szCs w:val="18"/>
          <w:lang w:val="es-ES_tradnl"/>
        </w:rPr>
        <w:t xml:space="preserve">s beneficios, entre ellos, las prestaciones del </w:t>
      </w:r>
      <w:r>
        <w:rPr>
          <w:sz w:val="18"/>
          <w:szCs w:val="18"/>
          <w:lang w:val="es-ES_tradnl"/>
        </w:rPr>
        <w:t>IESS (fojas 57 del juicio de alimentos N.</w:t>
      </w:r>
      <w:r>
        <w:rPr>
          <w:rFonts w:cs="Times New Roman"/>
          <w:sz w:val="18"/>
          <w:szCs w:val="18"/>
          <w:lang w:val="es-ES_tradnl"/>
        </w:rPr>
        <w:t>º</w:t>
      </w:r>
      <w:r>
        <w:rPr>
          <w:sz w:val="18"/>
          <w:szCs w:val="18"/>
          <w:lang w:val="es-ES_tradnl"/>
        </w:rPr>
        <w:t xml:space="preserve"> 640-2011); </w:t>
      </w:r>
      <w:r>
        <w:rPr>
          <w:spacing w:val="-6"/>
          <w:sz w:val="18"/>
          <w:szCs w:val="18"/>
          <w:lang w:val="es-ES_tradnl"/>
        </w:rPr>
        <w:t xml:space="preserve">por tanto, se hallan en capacidad de satisfacer el pago de </w:t>
      </w:r>
      <w:r>
        <w:rPr>
          <w:spacing w:val="-5"/>
          <w:sz w:val="18"/>
          <w:szCs w:val="18"/>
          <w:lang w:val="es-ES_tradnl"/>
        </w:rPr>
        <w:t>la pensi</w:t>
      </w:r>
      <w:r>
        <w:rPr>
          <w:rFonts w:cs="Times New Roman"/>
          <w:spacing w:val="-5"/>
          <w:sz w:val="18"/>
          <w:szCs w:val="18"/>
          <w:lang w:val="es-ES_tradnl"/>
        </w:rPr>
        <w:t>ó</w:t>
      </w:r>
      <w:r>
        <w:rPr>
          <w:spacing w:val="-5"/>
          <w:sz w:val="18"/>
          <w:szCs w:val="18"/>
          <w:lang w:val="es-ES_tradnl"/>
        </w:rPr>
        <w:t xml:space="preserve">n de alimentos fijada a favor de sus hermanos </w:t>
      </w:r>
      <w:r>
        <w:rPr>
          <w:spacing w:val="-8"/>
          <w:sz w:val="18"/>
          <w:szCs w:val="18"/>
          <w:lang w:val="es-ES_tradnl"/>
        </w:rPr>
        <w:t>menores de edad, en las sumas de $ 70,00 y $ 50.06 cada uno de dichos demandados, respectivamente.</w:t>
      </w:r>
    </w:p>
    <w:p w14:paraId="4F67AEEF" w14:textId="77777777" w:rsidR="00591D54" w:rsidRDefault="00591D54">
      <w:pPr>
        <w:shd w:val="clear" w:color="auto" w:fill="FFFFFF"/>
        <w:spacing w:before="197" w:line="216" w:lineRule="exact"/>
        <w:jc w:val="both"/>
      </w:pPr>
      <w:r>
        <w:rPr>
          <w:spacing w:val="-7"/>
          <w:sz w:val="18"/>
          <w:szCs w:val="18"/>
          <w:lang w:val="es-ES_tradnl"/>
        </w:rPr>
        <w:t>Adem</w:t>
      </w:r>
      <w:r>
        <w:rPr>
          <w:rFonts w:cs="Times New Roman"/>
          <w:spacing w:val="-7"/>
          <w:sz w:val="18"/>
          <w:szCs w:val="18"/>
          <w:lang w:val="es-ES_tradnl"/>
        </w:rPr>
        <w:t>á</w:t>
      </w:r>
      <w:r>
        <w:rPr>
          <w:spacing w:val="-7"/>
          <w:sz w:val="18"/>
          <w:szCs w:val="18"/>
          <w:lang w:val="es-ES_tradnl"/>
        </w:rPr>
        <w:t xml:space="preserve">s, debe tenerse presente un elemento de gran </w:t>
      </w:r>
      <w:r>
        <w:rPr>
          <w:spacing w:val="-4"/>
          <w:sz w:val="18"/>
          <w:szCs w:val="18"/>
          <w:lang w:val="es-ES_tradnl"/>
        </w:rPr>
        <w:t xml:space="preserve">importancia, esto es que </w:t>
      </w:r>
      <w:r>
        <w:rPr>
          <w:rFonts w:cs="Times New Roman"/>
          <w:spacing w:val="-4"/>
          <w:sz w:val="18"/>
          <w:szCs w:val="18"/>
          <w:lang w:val="es-ES_tradnl"/>
        </w:rPr>
        <w:t>“</w:t>
      </w:r>
      <w:r>
        <w:rPr>
          <w:b/>
          <w:bCs/>
          <w:spacing w:val="-4"/>
          <w:sz w:val="18"/>
          <w:szCs w:val="18"/>
          <w:lang w:val="es-ES_tradnl"/>
        </w:rPr>
        <w:t xml:space="preserve">la providencia que fija el </w:t>
      </w:r>
      <w:r>
        <w:rPr>
          <w:b/>
          <w:bCs/>
          <w:spacing w:val="-8"/>
          <w:sz w:val="18"/>
          <w:szCs w:val="18"/>
          <w:lang w:val="es-ES_tradnl"/>
        </w:rPr>
        <w:t>monto de la pensi</w:t>
      </w:r>
      <w:r>
        <w:rPr>
          <w:rFonts w:cs="Times New Roman"/>
          <w:b/>
          <w:bCs/>
          <w:spacing w:val="-8"/>
          <w:sz w:val="18"/>
          <w:szCs w:val="18"/>
          <w:lang w:val="es-ES_tradnl"/>
        </w:rPr>
        <w:t>ó</w:t>
      </w:r>
      <w:r>
        <w:rPr>
          <w:b/>
          <w:bCs/>
          <w:spacing w:val="-8"/>
          <w:sz w:val="18"/>
          <w:szCs w:val="18"/>
          <w:lang w:val="es-ES_tradnl"/>
        </w:rPr>
        <w:t>n de alimentos y los obligados a prestarla, no tiene el efecto de cosa juzgada</w:t>
      </w:r>
      <w:r>
        <w:rPr>
          <w:rFonts w:cs="Times New Roman"/>
          <w:spacing w:val="-8"/>
          <w:sz w:val="18"/>
          <w:szCs w:val="18"/>
          <w:lang w:val="es-ES_tradnl"/>
        </w:rPr>
        <w:t>”</w:t>
      </w:r>
      <w:r>
        <w:rPr>
          <w:spacing w:val="-8"/>
          <w:sz w:val="18"/>
          <w:szCs w:val="18"/>
          <w:lang w:val="es-ES_tradnl"/>
        </w:rPr>
        <w:t xml:space="preserve">, conforme </w:t>
      </w:r>
      <w:r>
        <w:rPr>
          <w:spacing w:val="-2"/>
          <w:sz w:val="18"/>
          <w:szCs w:val="18"/>
          <w:lang w:val="es-ES_tradnl"/>
        </w:rPr>
        <w:t>lo previsto en el art</w:t>
      </w:r>
      <w:r>
        <w:rPr>
          <w:rFonts w:cs="Times New Roman"/>
          <w:spacing w:val="-2"/>
          <w:sz w:val="18"/>
          <w:szCs w:val="18"/>
          <w:lang w:val="es-ES_tradnl"/>
        </w:rPr>
        <w:t>í</w:t>
      </w:r>
      <w:r>
        <w:rPr>
          <w:spacing w:val="-2"/>
          <w:sz w:val="18"/>
          <w:szCs w:val="18"/>
          <w:lang w:val="es-ES_tradnl"/>
        </w:rPr>
        <w:t xml:space="preserve">culo innumerado 17 de la Ley </w:t>
      </w:r>
      <w:r>
        <w:rPr>
          <w:spacing w:val="-1"/>
          <w:sz w:val="18"/>
          <w:szCs w:val="18"/>
          <w:lang w:val="es-ES_tradnl"/>
        </w:rPr>
        <w:t>Reformatoria del T</w:t>
      </w:r>
      <w:r>
        <w:rPr>
          <w:rFonts w:cs="Times New Roman"/>
          <w:spacing w:val="-1"/>
          <w:sz w:val="18"/>
          <w:szCs w:val="18"/>
          <w:lang w:val="es-ES_tradnl"/>
        </w:rPr>
        <w:t>í</w:t>
      </w:r>
      <w:r>
        <w:rPr>
          <w:spacing w:val="-1"/>
          <w:sz w:val="18"/>
          <w:szCs w:val="18"/>
          <w:lang w:val="es-ES_tradnl"/>
        </w:rPr>
        <w:t>tulo V del Libro II del C</w:t>
      </w:r>
      <w:r>
        <w:rPr>
          <w:rFonts w:cs="Times New Roman"/>
          <w:spacing w:val="-1"/>
          <w:sz w:val="18"/>
          <w:szCs w:val="18"/>
          <w:lang w:val="es-ES_tradnl"/>
        </w:rPr>
        <w:t>ó</w:t>
      </w:r>
      <w:r>
        <w:rPr>
          <w:spacing w:val="-1"/>
          <w:sz w:val="18"/>
          <w:szCs w:val="18"/>
          <w:lang w:val="es-ES_tradnl"/>
        </w:rPr>
        <w:t xml:space="preserve">digo de la </w:t>
      </w:r>
      <w:r>
        <w:rPr>
          <w:spacing w:val="-6"/>
          <w:sz w:val="18"/>
          <w:szCs w:val="18"/>
          <w:lang w:val="es-ES_tradnl"/>
        </w:rPr>
        <w:t>Ni</w:t>
      </w:r>
      <w:r>
        <w:rPr>
          <w:rFonts w:cs="Times New Roman"/>
          <w:spacing w:val="-6"/>
          <w:sz w:val="18"/>
          <w:szCs w:val="18"/>
          <w:lang w:val="es-ES_tradnl"/>
        </w:rPr>
        <w:t>ñ</w:t>
      </w:r>
      <w:r>
        <w:rPr>
          <w:spacing w:val="-6"/>
          <w:sz w:val="18"/>
          <w:szCs w:val="18"/>
          <w:lang w:val="es-ES_tradnl"/>
        </w:rPr>
        <w:t xml:space="preserve">ez y Adolescencia y bien puede ser modificada por el </w:t>
      </w:r>
      <w:r>
        <w:rPr>
          <w:sz w:val="18"/>
          <w:szCs w:val="18"/>
          <w:lang w:val="es-ES_tradnl"/>
        </w:rPr>
        <w:t>juez de la causa.</w:t>
      </w:r>
    </w:p>
    <w:p w14:paraId="4F67AEF0" w14:textId="77777777" w:rsidR="00591D54" w:rsidRDefault="00591D54">
      <w:pPr>
        <w:shd w:val="clear" w:color="auto" w:fill="FFFFFF"/>
        <w:spacing w:before="202" w:line="216" w:lineRule="exact"/>
        <w:jc w:val="both"/>
      </w:pPr>
      <w:r>
        <w:rPr>
          <w:spacing w:val="-4"/>
          <w:sz w:val="18"/>
          <w:szCs w:val="18"/>
          <w:lang w:val="es-ES_tradnl"/>
        </w:rPr>
        <w:t xml:space="preserve">Por tanto, la Corte Constitucional estima que no se ha </w:t>
      </w:r>
      <w:r>
        <w:rPr>
          <w:spacing w:val="-6"/>
          <w:sz w:val="18"/>
          <w:szCs w:val="18"/>
          <w:lang w:val="es-ES_tradnl"/>
        </w:rPr>
        <w:t>acreditado la vulneraci</w:t>
      </w:r>
      <w:r>
        <w:rPr>
          <w:rFonts w:cs="Times New Roman"/>
          <w:spacing w:val="-6"/>
          <w:sz w:val="18"/>
          <w:szCs w:val="18"/>
          <w:lang w:val="es-ES_tradnl"/>
        </w:rPr>
        <w:t>ó</w:t>
      </w:r>
      <w:r>
        <w:rPr>
          <w:spacing w:val="-6"/>
          <w:sz w:val="18"/>
          <w:szCs w:val="18"/>
          <w:lang w:val="es-ES_tradnl"/>
        </w:rPr>
        <w:t xml:space="preserve">n de derechos alegada por los </w:t>
      </w:r>
      <w:r>
        <w:rPr>
          <w:spacing w:val="-7"/>
          <w:sz w:val="18"/>
          <w:szCs w:val="18"/>
          <w:lang w:val="es-ES_tradnl"/>
        </w:rPr>
        <w:t xml:space="preserve">accionantes y en consecuencia, tampoco cabe dejar sin </w:t>
      </w:r>
      <w:r>
        <w:rPr>
          <w:spacing w:val="-5"/>
          <w:sz w:val="18"/>
          <w:szCs w:val="18"/>
          <w:lang w:val="es-ES_tradnl"/>
        </w:rPr>
        <w:t>efecto, mediante la presente acci</w:t>
      </w:r>
      <w:r>
        <w:rPr>
          <w:rFonts w:cs="Times New Roman"/>
          <w:spacing w:val="-5"/>
          <w:sz w:val="18"/>
          <w:szCs w:val="18"/>
          <w:lang w:val="es-ES_tradnl"/>
        </w:rPr>
        <w:t>ó</w:t>
      </w:r>
      <w:r>
        <w:rPr>
          <w:spacing w:val="-5"/>
          <w:sz w:val="18"/>
          <w:szCs w:val="18"/>
          <w:lang w:val="es-ES_tradnl"/>
        </w:rPr>
        <w:t xml:space="preserve">n extraordinaria de </w:t>
      </w:r>
      <w:r>
        <w:rPr>
          <w:spacing w:val="-6"/>
          <w:sz w:val="18"/>
          <w:szCs w:val="18"/>
          <w:lang w:val="es-ES_tradnl"/>
        </w:rPr>
        <w:t>protecci</w:t>
      </w:r>
      <w:r>
        <w:rPr>
          <w:rFonts w:cs="Times New Roman"/>
          <w:spacing w:val="-6"/>
          <w:sz w:val="18"/>
          <w:szCs w:val="18"/>
          <w:lang w:val="es-ES_tradnl"/>
        </w:rPr>
        <w:t>ó</w:t>
      </w:r>
      <w:r>
        <w:rPr>
          <w:spacing w:val="-6"/>
          <w:sz w:val="18"/>
          <w:szCs w:val="18"/>
          <w:lang w:val="es-ES_tradnl"/>
        </w:rPr>
        <w:t xml:space="preserve">n, las decisiones judiciales expedidas dentro del </w:t>
      </w:r>
      <w:r>
        <w:rPr>
          <w:spacing w:val="-9"/>
          <w:sz w:val="18"/>
          <w:szCs w:val="18"/>
          <w:lang w:val="es-ES_tradnl"/>
        </w:rPr>
        <w:t xml:space="preserve">juicio de alimentos, en tanto estas aseguran a los hermanos </w:t>
      </w:r>
      <w:r>
        <w:rPr>
          <w:spacing w:val="-3"/>
          <w:sz w:val="18"/>
          <w:szCs w:val="18"/>
          <w:lang w:val="es-ES_tradnl"/>
        </w:rPr>
        <w:t>menores de los legitimados activos una pensi</w:t>
      </w:r>
      <w:r>
        <w:rPr>
          <w:rFonts w:cs="Times New Roman"/>
          <w:spacing w:val="-3"/>
          <w:sz w:val="18"/>
          <w:szCs w:val="18"/>
          <w:lang w:val="es-ES_tradnl"/>
        </w:rPr>
        <w:t>ó</w:t>
      </w:r>
      <w:r>
        <w:rPr>
          <w:spacing w:val="-3"/>
          <w:sz w:val="18"/>
          <w:szCs w:val="18"/>
          <w:lang w:val="es-ES_tradnl"/>
        </w:rPr>
        <w:t xml:space="preserve">n de </w:t>
      </w:r>
      <w:r>
        <w:rPr>
          <w:spacing w:val="-6"/>
          <w:sz w:val="18"/>
          <w:szCs w:val="18"/>
          <w:lang w:val="es-ES_tradnl"/>
        </w:rPr>
        <w:t>alimentos que permita la satisfacci</w:t>
      </w:r>
      <w:r>
        <w:rPr>
          <w:rFonts w:cs="Times New Roman"/>
          <w:spacing w:val="-6"/>
          <w:sz w:val="18"/>
          <w:szCs w:val="18"/>
          <w:lang w:val="es-ES_tradnl"/>
        </w:rPr>
        <w:t>ó</w:t>
      </w:r>
      <w:r>
        <w:rPr>
          <w:spacing w:val="-6"/>
          <w:sz w:val="18"/>
          <w:szCs w:val="18"/>
          <w:lang w:val="es-ES_tradnl"/>
        </w:rPr>
        <w:t xml:space="preserve">n de sus necesidades y les garantiza el goce de los derechos comunes de todo </w:t>
      </w:r>
      <w:r>
        <w:rPr>
          <w:spacing w:val="-5"/>
          <w:sz w:val="18"/>
          <w:szCs w:val="18"/>
          <w:lang w:val="es-ES_tradnl"/>
        </w:rPr>
        <w:t>ser humano y los espec</w:t>
      </w:r>
      <w:r>
        <w:rPr>
          <w:rFonts w:cs="Times New Roman"/>
          <w:spacing w:val="-5"/>
          <w:sz w:val="18"/>
          <w:szCs w:val="18"/>
          <w:lang w:val="es-ES_tradnl"/>
        </w:rPr>
        <w:t>í</w:t>
      </w:r>
      <w:r>
        <w:rPr>
          <w:spacing w:val="-5"/>
          <w:sz w:val="18"/>
          <w:szCs w:val="18"/>
          <w:lang w:val="es-ES_tradnl"/>
        </w:rPr>
        <w:t xml:space="preserve">ficos de su edad, conforme lo </w:t>
      </w:r>
      <w:r>
        <w:rPr>
          <w:spacing w:val="-4"/>
          <w:sz w:val="18"/>
          <w:szCs w:val="18"/>
          <w:lang w:val="es-ES_tradnl"/>
        </w:rPr>
        <w:t>previsto en el art</w:t>
      </w:r>
      <w:r>
        <w:rPr>
          <w:rFonts w:cs="Times New Roman"/>
          <w:spacing w:val="-4"/>
          <w:sz w:val="18"/>
          <w:szCs w:val="18"/>
          <w:lang w:val="es-ES_tradnl"/>
        </w:rPr>
        <w:t>í</w:t>
      </w:r>
      <w:r>
        <w:rPr>
          <w:spacing w:val="-4"/>
          <w:sz w:val="18"/>
          <w:szCs w:val="18"/>
          <w:lang w:val="es-ES_tradnl"/>
        </w:rPr>
        <w:t xml:space="preserve">culo 45 de la Carta Suprema; lo cual, </w:t>
      </w:r>
      <w:r>
        <w:rPr>
          <w:sz w:val="18"/>
          <w:szCs w:val="18"/>
          <w:lang w:val="es-ES_tradnl"/>
        </w:rPr>
        <w:t>halla sustento en el principio del inter</w:t>
      </w:r>
      <w:r>
        <w:rPr>
          <w:rFonts w:cs="Times New Roman"/>
          <w:sz w:val="18"/>
          <w:szCs w:val="18"/>
          <w:lang w:val="es-ES_tradnl"/>
        </w:rPr>
        <w:t>é</w:t>
      </w:r>
      <w:r>
        <w:rPr>
          <w:sz w:val="18"/>
          <w:szCs w:val="18"/>
          <w:lang w:val="es-ES_tradnl"/>
        </w:rPr>
        <w:t xml:space="preserve">s superior del </w:t>
      </w:r>
      <w:r>
        <w:rPr>
          <w:spacing w:val="-4"/>
          <w:sz w:val="18"/>
          <w:szCs w:val="18"/>
          <w:lang w:val="es-ES_tradnl"/>
        </w:rPr>
        <w:t>ni</w:t>
      </w:r>
      <w:r>
        <w:rPr>
          <w:rFonts w:cs="Times New Roman"/>
          <w:spacing w:val="-4"/>
          <w:sz w:val="18"/>
          <w:szCs w:val="18"/>
          <w:lang w:val="es-ES_tradnl"/>
        </w:rPr>
        <w:t>ñ</w:t>
      </w:r>
      <w:r>
        <w:rPr>
          <w:spacing w:val="-4"/>
          <w:sz w:val="18"/>
          <w:szCs w:val="18"/>
          <w:lang w:val="es-ES_tradnl"/>
        </w:rPr>
        <w:t>o, consagrado en el art</w:t>
      </w:r>
      <w:r>
        <w:rPr>
          <w:rFonts w:cs="Times New Roman"/>
          <w:spacing w:val="-4"/>
          <w:sz w:val="18"/>
          <w:szCs w:val="18"/>
          <w:lang w:val="es-ES_tradnl"/>
        </w:rPr>
        <w:t>í</w:t>
      </w:r>
      <w:r>
        <w:rPr>
          <w:spacing w:val="-4"/>
          <w:sz w:val="18"/>
          <w:szCs w:val="18"/>
          <w:lang w:val="es-ES_tradnl"/>
        </w:rPr>
        <w:t>culo 44 de la Constituci</w:t>
      </w:r>
      <w:r>
        <w:rPr>
          <w:rFonts w:cs="Times New Roman"/>
          <w:spacing w:val="-4"/>
          <w:sz w:val="18"/>
          <w:szCs w:val="18"/>
          <w:lang w:val="es-ES_tradnl"/>
        </w:rPr>
        <w:t>ó</w:t>
      </w:r>
      <w:r>
        <w:rPr>
          <w:spacing w:val="-4"/>
          <w:sz w:val="18"/>
          <w:szCs w:val="18"/>
          <w:lang w:val="es-ES_tradnl"/>
        </w:rPr>
        <w:t xml:space="preserve">n de </w:t>
      </w:r>
      <w:r>
        <w:rPr>
          <w:sz w:val="18"/>
          <w:szCs w:val="18"/>
          <w:lang w:val="es-ES_tradnl"/>
        </w:rPr>
        <w:t>la Rep</w:t>
      </w:r>
      <w:r>
        <w:rPr>
          <w:rFonts w:cs="Times New Roman"/>
          <w:sz w:val="18"/>
          <w:szCs w:val="18"/>
          <w:lang w:val="es-ES_tradnl"/>
        </w:rPr>
        <w:t>ú</w:t>
      </w:r>
      <w:r>
        <w:rPr>
          <w:sz w:val="18"/>
          <w:szCs w:val="18"/>
          <w:lang w:val="es-ES_tradnl"/>
        </w:rPr>
        <w:t>blica, principio que deriva de la aplicaci</w:t>
      </w:r>
      <w:r>
        <w:rPr>
          <w:rFonts w:cs="Times New Roman"/>
          <w:sz w:val="18"/>
          <w:szCs w:val="18"/>
          <w:lang w:val="es-ES_tradnl"/>
        </w:rPr>
        <w:t>ó</w:t>
      </w:r>
      <w:r>
        <w:rPr>
          <w:sz w:val="18"/>
          <w:szCs w:val="18"/>
          <w:lang w:val="es-ES_tradnl"/>
        </w:rPr>
        <w:t xml:space="preserve">n de </w:t>
      </w:r>
      <w:r>
        <w:rPr>
          <w:spacing w:val="-6"/>
          <w:sz w:val="18"/>
          <w:szCs w:val="18"/>
          <w:lang w:val="es-ES_tradnl"/>
        </w:rPr>
        <w:t xml:space="preserve">los instrumentos internacionales de derechos humanos </w:t>
      </w:r>
      <w:r>
        <w:rPr>
          <w:spacing w:val="-4"/>
          <w:sz w:val="18"/>
          <w:szCs w:val="18"/>
          <w:lang w:val="es-ES_tradnl"/>
        </w:rPr>
        <w:t>suscritos por el Ecuador, como la Convenci</w:t>
      </w:r>
      <w:r>
        <w:rPr>
          <w:rFonts w:cs="Times New Roman"/>
          <w:spacing w:val="-4"/>
          <w:sz w:val="18"/>
          <w:szCs w:val="18"/>
          <w:lang w:val="es-ES_tradnl"/>
        </w:rPr>
        <w:t>ó</w:t>
      </w:r>
      <w:r>
        <w:rPr>
          <w:spacing w:val="-4"/>
          <w:sz w:val="18"/>
          <w:szCs w:val="18"/>
          <w:lang w:val="es-ES_tradnl"/>
        </w:rPr>
        <w:t>n sobre Derechos del Ni</w:t>
      </w:r>
      <w:r>
        <w:rPr>
          <w:rFonts w:cs="Times New Roman"/>
          <w:spacing w:val="-4"/>
          <w:sz w:val="18"/>
          <w:szCs w:val="18"/>
          <w:lang w:val="es-ES_tradnl"/>
        </w:rPr>
        <w:t>ñ</w:t>
      </w:r>
      <w:r>
        <w:rPr>
          <w:spacing w:val="-4"/>
          <w:sz w:val="18"/>
          <w:szCs w:val="18"/>
          <w:lang w:val="es-ES_tradnl"/>
        </w:rPr>
        <w:t>o, cuyo art</w:t>
      </w:r>
      <w:r>
        <w:rPr>
          <w:rFonts w:cs="Times New Roman"/>
          <w:spacing w:val="-4"/>
          <w:sz w:val="18"/>
          <w:szCs w:val="18"/>
          <w:lang w:val="es-ES_tradnl"/>
        </w:rPr>
        <w:t>í</w:t>
      </w:r>
      <w:r>
        <w:rPr>
          <w:spacing w:val="-4"/>
          <w:sz w:val="18"/>
          <w:szCs w:val="18"/>
          <w:lang w:val="es-ES_tradnl"/>
        </w:rPr>
        <w:t xml:space="preserve">culo 3.1 dispone: </w:t>
      </w:r>
      <w:r>
        <w:rPr>
          <w:rFonts w:cs="Times New Roman"/>
          <w:spacing w:val="-4"/>
          <w:sz w:val="18"/>
          <w:szCs w:val="18"/>
          <w:lang w:val="es-ES_tradnl"/>
        </w:rPr>
        <w:t>“</w:t>
      </w:r>
      <w:r>
        <w:rPr>
          <w:spacing w:val="-4"/>
          <w:sz w:val="18"/>
          <w:szCs w:val="18"/>
          <w:lang w:val="es-ES_tradnl"/>
        </w:rPr>
        <w:t xml:space="preserve">En todas </w:t>
      </w:r>
      <w:r>
        <w:rPr>
          <w:spacing w:val="-6"/>
          <w:sz w:val="18"/>
          <w:szCs w:val="18"/>
          <w:lang w:val="es-ES_tradnl"/>
        </w:rPr>
        <w:t>las medidas concernientes a los ni</w:t>
      </w:r>
      <w:r>
        <w:rPr>
          <w:rFonts w:cs="Times New Roman"/>
          <w:spacing w:val="-6"/>
          <w:sz w:val="18"/>
          <w:szCs w:val="18"/>
          <w:lang w:val="es-ES_tradnl"/>
        </w:rPr>
        <w:t>ñ</w:t>
      </w:r>
      <w:r>
        <w:rPr>
          <w:spacing w:val="-6"/>
          <w:sz w:val="18"/>
          <w:szCs w:val="18"/>
          <w:lang w:val="es-ES_tradnl"/>
        </w:rPr>
        <w:t xml:space="preserve">os que tomen las </w:t>
      </w:r>
      <w:r>
        <w:rPr>
          <w:spacing w:val="-5"/>
          <w:sz w:val="18"/>
          <w:szCs w:val="18"/>
          <w:lang w:val="es-ES_tradnl"/>
        </w:rPr>
        <w:t>instituciones p</w:t>
      </w:r>
      <w:r>
        <w:rPr>
          <w:rFonts w:cs="Times New Roman"/>
          <w:spacing w:val="-5"/>
          <w:sz w:val="18"/>
          <w:szCs w:val="18"/>
          <w:lang w:val="es-ES_tradnl"/>
        </w:rPr>
        <w:t>ú</w:t>
      </w:r>
      <w:r>
        <w:rPr>
          <w:spacing w:val="-5"/>
          <w:sz w:val="18"/>
          <w:szCs w:val="18"/>
          <w:lang w:val="es-ES_tradnl"/>
        </w:rPr>
        <w:t xml:space="preserve">blicas o privadas de bienestar social, los tribunales, las autoridades administrativas o los </w:t>
      </w:r>
      <w:r>
        <w:rPr>
          <w:rFonts w:cs="Times New Roman"/>
          <w:spacing w:val="-5"/>
          <w:sz w:val="18"/>
          <w:szCs w:val="18"/>
          <w:lang w:val="es-ES_tradnl"/>
        </w:rPr>
        <w:t>ó</w:t>
      </w:r>
      <w:r>
        <w:rPr>
          <w:spacing w:val="-5"/>
          <w:sz w:val="18"/>
          <w:szCs w:val="18"/>
          <w:lang w:val="es-ES_tradnl"/>
        </w:rPr>
        <w:t xml:space="preserve">rganos </w:t>
      </w:r>
      <w:r>
        <w:rPr>
          <w:spacing w:val="-1"/>
          <w:sz w:val="18"/>
          <w:szCs w:val="18"/>
          <w:lang w:val="es-ES_tradnl"/>
        </w:rPr>
        <w:t>legislativos, una consideraci</w:t>
      </w:r>
      <w:r>
        <w:rPr>
          <w:rFonts w:cs="Times New Roman"/>
          <w:spacing w:val="-1"/>
          <w:sz w:val="18"/>
          <w:szCs w:val="18"/>
          <w:lang w:val="es-ES_tradnl"/>
        </w:rPr>
        <w:t>ó</w:t>
      </w:r>
      <w:r>
        <w:rPr>
          <w:spacing w:val="-1"/>
          <w:sz w:val="18"/>
          <w:szCs w:val="18"/>
          <w:lang w:val="es-ES_tradnl"/>
        </w:rPr>
        <w:t xml:space="preserve">n primordial a que se </w:t>
      </w:r>
      <w:r>
        <w:rPr>
          <w:spacing w:val="-5"/>
          <w:sz w:val="18"/>
          <w:szCs w:val="18"/>
          <w:lang w:val="es-ES_tradnl"/>
        </w:rPr>
        <w:t>atender</w:t>
      </w:r>
      <w:r>
        <w:rPr>
          <w:rFonts w:cs="Times New Roman"/>
          <w:spacing w:val="-5"/>
          <w:sz w:val="18"/>
          <w:szCs w:val="18"/>
          <w:lang w:val="es-ES_tradnl"/>
        </w:rPr>
        <w:t>á</w:t>
      </w:r>
      <w:r>
        <w:rPr>
          <w:spacing w:val="-5"/>
          <w:sz w:val="18"/>
          <w:szCs w:val="18"/>
          <w:lang w:val="es-ES_tradnl"/>
        </w:rPr>
        <w:t xml:space="preserve"> ser</w:t>
      </w:r>
      <w:r>
        <w:rPr>
          <w:rFonts w:cs="Times New Roman"/>
          <w:spacing w:val="-5"/>
          <w:sz w:val="18"/>
          <w:szCs w:val="18"/>
          <w:lang w:val="es-ES_tradnl"/>
        </w:rPr>
        <w:t>á</w:t>
      </w:r>
      <w:r>
        <w:rPr>
          <w:spacing w:val="-5"/>
          <w:sz w:val="18"/>
          <w:szCs w:val="18"/>
          <w:lang w:val="es-ES_tradnl"/>
        </w:rPr>
        <w:t xml:space="preserve"> el inter</w:t>
      </w:r>
      <w:r>
        <w:rPr>
          <w:rFonts w:cs="Times New Roman"/>
          <w:spacing w:val="-5"/>
          <w:sz w:val="18"/>
          <w:szCs w:val="18"/>
          <w:lang w:val="es-ES_tradnl"/>
        </w:rPr>
        <w:t>é</w:t>
      </w:r>
      <w:r>
        <w:rPr>
          <w:spacing w:val="-5"/>
          <w:sz w:val="18"/>
          <w:szCs w:val="18"/>
          <w:lang w:val="es-ES_tradnl"/>
        </w:rPr>
        <w:t>s superior del ni</w:t>
      </w:r>
      <w:r>
        <w:rPr>
          <w:rFonts w:cs="Times New Roman"/>
          <w:spacing w:val="-5"/>
          <w:sz w:val="18"/>
          <w:szCs w:val="18"/>
          <w:lang w:val="es-ES_tradnl"/>
        </w:rPr>
        <w:t>ñ</w:t>
      </w:r>
      <w:r>
        <w:rPr>
          <w:spacing w:val="-5"/>
          <w:sz w:val="18"/>
          <w:szCs w:val="18"/>
          <w:lang w:val="es-ES_tradnl"/>
        </w:rPr>
        <w:t>o</w:t>
      </w:r>
      <w:r>
        <w:rPr>
          <w:rFonts w:cs="Times New Roman"/>
          <w:spacing w:val="-5"/>
          <w:sz w:val="18"/>
          <w:szCs w:val="18"/>
          <w:lang w:val="es-ES_tradnl"/>
        </w:rPr>
        <w:t>”</w:t>
      </w:r>
      <w:r>
        <w:rPr>
          <w:spacing w:val="-5"/>
          <w:sz w:val="18"/>
          <w:szCs w:val="18"/>
          <w:lang w:val="es-ES_tradnl"/>
        </w:rPr>
        <w:t>.</w:t>
      </w:r>
    </w:p>
    <w:p w14:paraId="4F67AEF1" w14:textId="77777777" w:rsidR="00591D54" w:rsidRDefault="00591D54">
      <w:pPr>
        <w:shd w:val="clear" w:color="auto" w:fill="FFFFFF"/>
        <w:spacing w:before="202" w:line="216" w:lineRule="exact"/>
        <w:jc w:val="both"/>
      </w:pPr>
      <w:r>
        <w:rPr>
          <w:spacing w:val="-5"/>
          <w:sz w:val="18"/>
          <w:szCs w:val="18"/>
          <w:lang w:val="es-ES_tradnl"/>
        </w:rPr>
        <w:t>En consecuencia, la presente acci</w:t>
      </w:r>
      <w:r>
        <w:rPr>
          <w:rFonts w:cs="Times New Roman"/>
          <w:spacing w:val="-5"/>
          <w:sz w:val="18"/>
          <w:szCs w:val="18"/>
          <w:lang w:val="es-ES_tradnl"/>
        </w:rPr>
        <w:t>ó</w:t>
      </w:r>
      <w:r>
        <w:rPr>
          <w:spacing w:val="-5"/>
          <w:sz w:val="18"/>
          <w:szCs w:val="18"/>
          <w:lang w:val="es-ES_tradnl"/>
        </w:rPr>
        <w:t xml:space="preserve">n extraordinaria de </w:t>
      </w:r>
      <w:r>
        <w:rPr>
          <w:spacing w:val="-4"/>
          <w:sz w:val="18"/>
          <w:szCs w:val="18"/>
          <w:lang w:val="es-ES_tradnl"/>
        </w:rPr>
        <w:t>protecci</w:t>
      </w:r>
      <w:r>
        <w:rPr>
          <w:rFonts w:cs="Times New Roman"/>
          <w:spacing w:val="-4"/>
          <w:sz w:val="18"/>
          <w:szCs w:val="18"/>
          <w:lang w:val="es-ES_tradnl"/>
        </w:rPr>
        <w:t>ó</w:t>
      </w:r>
      <w:r>
        <w:rPr>
          <w:spacing w:val="-4"/>
          <w:sz w:val="18"/>
          <w:szCs w:val="18"/>
          <w:lang w:val="es-ES_tradnl"/>
        </w:rPr>
        <w:t xml:space="preserve">n deviene en improcedente, pues no se ha </w:t>
      </w:r>
      <w:r>
        <w:rPr>
          <w:spacing w:val="-5"/>
          <w:sz w:val="18"/>
          <w:szCs w:val="18"/>
          <w:lang w:val="es-ES_tradnl"/>
        </w:rPr>
        <w:t>acreditado la vulneraci</w:t>
      </w:r>
      <w:r>
        <w:rPr>
          <w:rFonts w:cs="Times New Roman"/>
          <w:spacing w:val="-5"/>
          <w:sz w:val="18"/>
          <w:szCs w:val="18"/>
          <w:lang w:val="es-ES_tradnl"/>
        </w:rPr>
        <w:t>ó</w:t>
      </w:r>
      <w:r>
        <w:rPr>
          <w:spacing w:val="-5"/>
          <w:sz w:val="18"/>
          <w:szCs w:val="18"/>
          <w:lang w:val="es-ES_tradnl"/>
        </w:rPr>
        <w:t xml:space="preserve">n de derechos constitucionales </w:t>
      </w:r>
      <w:r>
        <w:rPr>
          <w:spacing w:val="-3"/>
          <w:sz w:val="18"/>
          <w:szCs w:val="18"/>
          <w:lang w:val="es-ES_tradnl"/>
        </w:rPr>
        <w:t xml:space="preserve">invocados por los legitimados activos; mas, si estos, </w:t>
      </w:r>
      <w:r>
        <w:rPr>
          <w:spacing w:val="-8"/>
          <w:sz w:val="18"/>
          <w:szCs w:val="18"/>
          <w:lang w:val="es-ES_tradnl"/>
        </w:rPr>
        <w:t>estiman que deben ser exonerados del pago de la pensi</w:t>
      </w:r>
      <w:r>
        <w:rPr>
          <w:rFonts w:cs="Times New Roman"/>
          <w:spacing w:val="-8"/>
          <w:sz w:val="18"/>
          <w:szCs w:val="18"/>
          <w:lang w:val="es-ES_tradnl"/>
        </w:rPr>
        <w:t>ó</w:t>
      </w:r>
      <w:r>
        <w:rPr>
          <w:spacing w:val="-8"/>
          <w:sz w:val="18"/>
          <w:szCs w:val="18"/>
          <w:lang w:val="es-ES_tradnl"/>
        </w:rPr>
        <w:t xml:space="preserve">n </w:t>
      </w:r>
      <w:r>
        <w:rPr>
          <w:spacing w:val="-11"/>
          <w:sz w:val="18"/>
          <w:szCs w:val="18"/>
          <w:lang w:val="es-ES_tradnl"/>
        </w:rPr>
        <w:t xml:space="preserve">de alimentos demandada en su contra, bien pueden </w:t>
      </w:r>
      <w:r>
        <w:rPr>
          <w:rFonts w:ascii="Arial Unicode MS" w:eastAsia="Arial Unicode MS" w:cs="Arial Unicode MS" w:hint="eastAsia"/>
          <w:spacing w:val="-11"/>
          <w:sz w:val="18"/>
          <w:szCs w:val="18"/>
          <w:lang w:val="es-ES_tradnl"/>
        </w:rPr>
        <w:t>‒</w:t>
      </w:r>
      <w:r>
        <w:rPr>
          <w:spacing w:val="-11"/>
          <w:sz w:val="18"/>
          <w:szCs w:val="18"/>
          <w:lang w:val="es-ES_tradnl"/>
        </w:rPr>
        <w:t xml:space="preserve">dentro </w:t>
      </w:r>
      <w:r>
        <w:rPr>
          <w:spacing w:val="-4"/>
          <w:sz w:val="18"/>
          <w:szCs w:val="18"/>
          <w:lang w:val="es-ES_tradnl"/>
        </w:rPr>
        <w:t>del mismo proceso judicial de alimentos</w:t>
      </w:r>
      <w:r>
        <w:rPr>
          <w:rFonts w:ascii="Arial Unicode MS" w:eastAsia="Arial Unicode MS" w:cs="Arial Unicode MS" w:hint="eastAsia"/>
          <w:spacing w:val="-4"/>
          <w:sz w:val="18"/>
          <w:szCs w:val="18"/>
          <w:lang w:val="es-ES_tradnl"/>
        </w:rPr>
        <w:t>‒</w:t>
      </w:r>
      <w:r>
        <w:rPr>
          <w:spacing w:val="-4"/>
          <w:sz w:val="18"/>
          <w:szCs w:val="18"/>
          <w:lang w:val="es-ES_tradnl"/>
        </w:rPr>
        <w:t xml:space="preserve"> solicitar a los </w:t>
      </w:r>
      <w:r>
        <w:rPr>
          <w:spacing w:val="-7"/>
          <w:sz w:val="18"/>
          <w:szCs w:val="18"/>
          <w:lang w:val="es-ES_tradnl"/>
        </w:rPr>
        <w:t>jueces que dicha obligaci</w:t>
      </w:r>
      <w:r>
        <w:rPr>
          <w:rFonts w:cs="Times New Roman"/>
          <w:spacing w:val="-7"/>
          <w:sz w:val="18"/>
          <w:szCs w:val="18"/>
          <w:lang w:val="es-ES_tradnl"/>
        </w:rPr>
        <w:t>ó</w:t>
      </w:r>
      <w:r>
        <w:rPr>
          <w:spacing w:val="-7"/>
          <w:sz w:val="18"/>
          <w:szCs w:val="18"/>
          <w:lang w:val="es-ES_tradnl"/>
        </w:rPr>
        <w:t>n sea trasladada a los dem</w:t>
      </w:r>
      <w:r>
        <w:rPr>
          <w:rFonts w:cs="Times New Roman"/>
          <w:spacing w:val="-7"/>
          <w:sz w:val="18"/>
          <w:szCs w:val="18"/>
          <w:lang w:val="es-ES_tradnl"/>
        </w:rPr>
        <w:t>á</w:t>
      </w:r>
      <w:r>
        <w:rPr>
          <w:spacing w:val="-7"/>
          <w:sz w:val="18"/>
          <w:szCs w:val="18"/>
          <w:lang w:val="es-ES_tradnl"/>
        </w:rPr>
        <w:t xml:space="preserve">s </w:t>
      </w:r>
      <w:r>
        <w:rPr>
          <w:spacing w:val="-5"/>
          <w:sz w:val="18"/>
          <w:szCs w:val="18"/>
          <w:lang w:val="es-ES_tradnl"/>
        </w:rPr>
        <w:t xml:space="preserve">parientes de los alimentarios que tengan la calidad de </w:t>
      </w:r>
      <w:r>
        <w:rPr>
          <w:spacing w:val="-9"/>
          <w:sz w:val="18"/>
          <w:szCs w:val="18"/>
          <w:lang w:val="es-ES_tradnl"/>
        </w:rPr>
        <w:t xml:space="preserve">obligados subsidiarios </w:t>
      </w:r>
      <w:r>
        <w:rPr>
          <w:rFonts w:ascii="Arial Unicode MS" w:eastAsia="Arial Unicode MS" w:cs="Arial Unicode MS" w:hint="eastAsia"/>
          <w:b/>
          <w:bCs/>
          <w:spacing w:val="-9"/>
          <w:sz w:val="18"/>
          <w:szCs w:val="18"/>
          <w:lang w:val="es-ES_tradnl"/>
        </w:rPr>
        <w:t>‒</w:t>
      </w:r>
      <w:r>
        <w:rPr>
          <w:b/>
          <w:bCs/>
          <w:spacing w:val="-9"/>
          <w:sz w:val="18"/>
          <w:szCs w:val="18"/>
          <w:lang w:val="es-ES_tradnl"/>
        </w:rPr>
        <w:t>tanto paternos como maternos</w:t>
      </w:r>
      <w:r>
        <w:rPr>
          <w:rFonts w:ascii="Arial Unicode MS" w:eastAsia="Arial Unicode MS" w:cs="Arial Unicode MS" w:hint="eastAsia"/>
          <w:b/>
          <w:bCs/>
          <w:spacing w:val="-9"/>
          <w:sz w:val="18"/>
          <w:szCs w:val="18"/>
          <w:lang w:val="es-ES_tradnl"/>
        </w:rPr>
        <w:t>‒</w:t>
      </w:r>
      <w:r>
        <w:rPr>
          <w:b/>
          <w:bCs/>
          <w:spacing w:val="-9"/>
          <w:sz w:val="18"/>
          <w:szCs w:val="18"/>
          <w:lang w:val="es-ES_tradnl"/>
        </w:rPr>
        <w:t xml:space="preserve"> </w:t>
      </w:r>
      <w:r>
        <w:rPr>
          <w:spacing w:val="-1"/>
          <w:sz w:val="18"/>
          <w:szCs w:val="18"/>
          <w:lang w:val="es-ES_tradnl"/>
        </w:rPr>
        <w:t>cuya existencia y capacidad econ</w:t>
      </w:r>
      <w:r>
        <w:rPr>
          <w:rFonts w:cs="Times New Roman"/>
          <w:spacing w:val="-1"/>
          <w:sz w:val="18"/>
          <w:szCs w:val="18"/>
          <w:lang w:val="es-ES_tradnl"/>
        </w:rPr>
        <w:t>ó</w:t>
      </w:r>
      <w:r>
        <w:rPr>
          <w:spacing w:val="-1"/>
          <w:sz w:val="18"/>
          <w:szCs w:val="18"/>
          <w:lang w:val="es-ES_tradnl"/>
        </w:rPr>
        <w:t>mica, as</w:t>
      </w:r>
      <w:r>
        <w:rPr>
          <w:rFonts w:cs="Times New Roman"/>
          <w:spacing w:val="-1"/>
          <w:sz w:val="18"/>
          <w:szCs w:val="18"/>
          <w:lang w:val="es-ES_tradnl"/>
        </w:rPr>
        <w:t>í</w:t>
      </w:r>
      <w:r>
        <w:rPr>
          <w:spacing w:val="-1"/>
          <w:sz w:val="18"/>
          <w:szCs w:val="18"/>
          <w:lang w:val="es-ES_tradnl"/>
        </w:rPr>
        <w:t xml:space="preserve"> como la </w:t>
      </w:r>
      <w:r>
        <w:rPr>
          <w:spacing w:val="-6"/>
          <w:sz w:val="18"/>
          <w:szCs w:val="18"/>
          <w:lang w:val="es-ES_tradnl"/>
        </w:rPr>
        <w:t xml:space="preserve">falta de impedimentos para asumirla sean demostradas </w:t>
      </w:r>
      <w:r>
        <w:rPr>
          <w:spacing w:val="-2"/>
          <w:sz w:val="18"/>
          <w:szCs w:val="18"/>
          <w:lang w:val="es-ES_tradnl"/>
        </w:rPr>
        <w:t xml:space="preserve">conforme a derecho, supuesto en el cual el juez, </w:t>
      </w:r>
      <w:r>
        <w:rPr>
          <w:rFonts w:cs="Times New Roman"/>
          <w:spacing w:val="-2"/>
          <w:sz w:val="18"/>
          <w:szCs w:val="18"/>
          <w:lang w:val="es-ES_tradnl"/>
        </w:rPr>
        <w:t>“</w:t>
      </w:r>
      <w:r>
        <w:rPr>
          <w:spacing w:val="-2"/>
          <w:sz w:val="18"/>
          <w:szCs w:val="18"/>
          <w:lang w:val="es-ES_tradnl"/>
        </w:rPr>
        <w:t xml:space="preserve">de </w:t>
      </w:r>
      <w:r>
        <w:rPr>
          <w:spacing w:val="-3"/>
          <w:sz w:val="18"/>
          <w:szCs w:val="18"/>
          <w:lang w:val="es-ES_tradnl"/>
        </w:rPr>
        <w:t>modo simult</w:t>
      </w:r>
      <w:r>
        <w:rPr>
          <w:rFonts w:cs="Times New Roman"/>
          <w:spacing w:val="-3"/>
          <w:sz w:val="18"/>
          <w:szCs w:val="18"/>
          <w:lang w:val="es-ES_tradnl"/>
        </w:rPr>
        <w:t>á</w:t>
      </w:r>
      <w:r>
        <w:rPr>
          <w:spacing w:val="-3"/>
          <w:sz w:val="18"/>
          <w:szCs w:val="18"/>
          <w:lang w:val="es-ES_tradnl"/>
        </w:rPr>
        <w:t>neo y con base en sus recursos, regular</w:t>
      </w:r>
      <w:r>
        <w:rPr>
          <w:rFonts w:cs="Times New Roman"/>
          <w:spacing w:val="-3"/>
          <w:sz w:val="18"/>
          <w:szCs w:val="18"/>
          <w:lang w:val="es-ES_tradnl"/>
        </w:rPr>
        <w:t xml:space="preserve">á </w:t>
      </w:r>
      <w:r>
        <w:rPr>
          <w:sz w:val="18"/>
          <w:szCs w:val="18"/>
          <w:lang w:val="es-ES_tradnl"/>
        </w:rPr>
        <w:t>la proporci</w:t>
      </w:r>
      <w:r>
        <w:rPr>
          <w:rFonts w:cs="Times New Roman"/>
          <w:sz w:val="18"/>
          <w:szCs w:val="18"/>
          <w:lang w:val="es-ES_tradnl"/>
        </w:rPr>
        <w:t>ó</w:t>
      </w:r>
      <w:r>
        <w:rPr>
          <w:sz w:val="18"/>
          <w:szCs w:val="18"/>
          <w:lang w:val="es-ES_tradnl"/>
        </w:rPr>
        <w:t>n en la que dichos parientes proveer</w:t>
      </w:r>
      <w:r>
        <w:rPr>
          <w:rFonts w:cs="Times New Roman"/>
          <w:sz w:val="18"/>
          <w:szCs w:val="18"/>
          <w:lang w:val="es-ES_tradnl"/>
        </w:rPr>
        <w:t>á</w:t>
      </w:r>
      <w:r>
        <w:rPr>
          <w:sz w:val="18"/>
          <w:szCs w:val="18"/>
          <w:lang w:val="es-ES_tradnl"/>
        </w:rPr>
        <w:t>n la</w:t>
      </w:r>
    </w:p>
    <w:p w14:paraId="4F67AEF2" w14:textId="77777777" w:rsidR="00591D54" w:rsidRDefault="00591D54">
      <w:pPr>
        <w:shd w:val="clear" w:color="auto" w:fill="FFFFFF"/>
        <w:spacing w:line="226" w:lineRule="exact"/>
        <w:jc w:val="both"/>
      </w:pPr>
      <w:r>
        <w:br w:type="column"/>
      </w:r>
      <w:r>
        <w:rPr>
          <w:spacing w:val="-5"/>
          <w:sz w:val="18"/>
          <w:szCs w:val="18"/>
          <w:lang w:val="es-ES_tradnl"/>
        </w:rPr>
        <w:t>pensi</w:t>
      </w:r>
      <w:r>
        <w:rPr>
          <w:rFonts w:cs="Times New Roman"/>
          <w:spacing w:val="-5"/>
          <w:sz w:val="18"/>
          <w:szCs w:val="18"/>
          <w:lang w:val="es-ES_tradnl"/>
        </w:rPr>
        <w:t>ó</w:t>
      </w:r>
      <w:r>
        <w:rPr>
          <w:spacing w:val="-5"/>
          <w:sz w:val="18"/>
          <w:szCs w:val="18"/>
          <w:lang w:val="es-ES_tradnl"/>
        </w:rPr>
        <w:t xml:space="preserve">n alimenticia, hasta completar el monto total de la </w:t>
      </w:r>
      <w:r>
        <w:rPr>
          <w:spacing w:val="-6"/>
          <w:sz w:val="18"/>
          <w:szCs w:val="18"/>
          <w:lang w:val="es-ES_tradnl"/>
        </w:rPr>
        <w:t>pensi</w:t>
      </w:r>
      <w:r>
        <w:rPr>
          <w:rFonts w:cs="Times New Roman"/>
          <w:spacing w:val="-6"/>
          <w:sz w:val="18"/>
          <w:szCs w:val="18"/>
          <w:lang w:val="es-ES_tradnl"/>
        </w:rPr>
        <w:t>ó</w:t>
      </w:r>
      <w:r>
        <w:rPr>
          <w:spacing w:val="-6"/>
          <w:sz w:val="18"/>
          <w:szCs w:val="18"/>
          <w:lang w:val="es-ES_tradnl"/>
        </w:rPr>
        <w:t>n fijada o asumirla en su totalidad, seg</w:t>
      </w:r>
      <w:r>
        <w:rPr>
          <w:rFonts w:cs="Times New Roman"/>
          <w:spacing w:val="-6"/>
          <w:sz w:val="18"/>
          <w:szCs w:val="18"/>
          <w:lang w:val="es-ES_tradnl"/>
        </w:rPr>
        <w:t>ú</w:t>
      </w:r>
      <w:r>
        <w:rPr>
          <w:spacing w:val="-6"/>
          <w:sz w:val="18"/>
          <w:szCs w:val="18"/>
          <w:lang w:val="es-ES_tradnl"/>
        </w:rPr>
        <w:t>n el caso</w:t>
      </w:r>
      <w:r>
        <w:rPr>
          <w:rFonts w:cs="Times New Roman"/>
          <w:spacing w:val="-6"/>
          <w:sz w:val="18"/>
          <w:szCs w:val="18"/>
          <w:lang w:val="es-ES_tradnl"/>
        </w:rPr>
        <w:t>”</w:t>
      </w:r>
      <w:r>
        <w:rPr>
          <w:spacing w:val="-6"/>
          <w:sz w:val="18"/>
          <w:szCs w:val="18"/>
          <w:lang w:val="es-ES_tradnl"/>
        </w:rPr>
        <w:t xml:space="preserve">, </w:t>
      </w:r>
      <w:r>
        <w:rPr>
          <w:spacing w:val="-2"/>
          <w:sz w:val="18"/>
          <w:szCs w:val="18"/>
          <w:lang w:val="es-ES_tradnl"/>
        </w:rPr>
        <w:t>conforme lo previsto en el art</w:t>
      </w:r>
      <w:r>
        <w:rPr>
          <w:rFonts w:cs="Times New Roman"/>
          <w:spacing w:val="-2"/>
          <w:sz w:val="18"/>
          <w:szCs w:val="18"/>
          <w:lang w:val="es-ES_tradnl"/>
        </w:rPr>
        <w:t>í</w:t>
      </w:r>
      <w:r>
        <w:rPr>
          <w:spacing w:val="-2"/>
          <w:sz w:val="18"/>
          <w:szCs w:val="18"/>
          <w:lang w:val="es-ES_tradnl"/>
        </w:rPr>
        <w:t xml:space="preserve">culo innumerado 5 de la </w:t>
      </w:r>
      <w:r>
        <w:rPr>
          <w:spacing w:val="-1"/>
          <w:sz w:val="18"/>
          <w:szCs w:val="18"/>
          <w:lang w:val="es-ES_tradnl"/>
        </w:rPr>
        <w:t>Ley Reformatoria del T</w:t>
      </w:r>
      <w:r>
        <w:rPr>
          <w:rFonts w:cs="Times New Roman"/>
          <w:spacing w:val="-1"/>
          <w:sz w:val="18"/>
          <w:szCs w:val="18"/>
          <w:lang w:val="es-ES_tradnl"/>
        </w:rPr>
        <w:t>í</w:t>
      </w:r>
      <w:r>
        <w:rPr>
          <w:spacing w:val="-1"/>
          <w:sz w:val="18"/>
          <w:szCs w:val="18"/>
          <w:lang w:val="es-ES_tradnl"/>
        </w:rPr>
        <w:t>tulo V del libro II del C</w:t>
      </w:r>
      <w:r>
        <w:rPr>
          <w:rFonts w:cs="Times New Roman"/>
          <w:spacing w:val="-1"/>
          <w:sz w:val="18"/>
          <w:szCs w:val="18"/>
          <w:lang w:val="es-ES_tradnl"/>
        </w:rPr>
        <w:t>ó</w:t>
      </w:r>
      <w:r>
        <w:rPr>
          <w:spacing w:val="-1"/>
          <w:sz w:val="18"/>
          <w:szCs w:val="18"/>
          <w:lang w:val="es-ES_tradnl"/>
        </w:rPr>
        <w:t xml:space="preserve">digo de </w:t>
      </w:r>
      <w:r>
        <w:rPr>
          <w:sz w:val="18"/>
          <w:szCs w:val="18"/>
          <w:lang w:val="es-ES_tradnl"/>
        </w:rPr>
        <w:t>la Ni</w:t>
      </w:r>
      <w:r>
        <w:rPr>
          <w:rFonts w:cs="Times New Roman"/>
          <w:sz w:val="18"/>
          <w:szCs w:val="18"/>
          <w:lang w:val="es-ES_tradnl"/>
        </w:rPr>
        <w:t>ñ</w:t>
      </w:r>
      <w:r>
        <w:rPr>
          <w:sz w:val="18"/>
          <w:szCs w:val="18"/>
          <w:lang w:val="es-ES_tradnl"/>
        </w:rPr>
        <w:t>ez y Adolescencia.</w:t>
      </w:r>
    </w:p>
    <w:p w14:paraId="4F67AEF3" w14:textId="77777777" w:rsidR="00591D54" w:rsidRDefault="00591D54">
      <w:pPr>
        <w:shd w:val="clear" w:color="auto" w:fill="FFFFFF"/>
        <w:spacing w:before="206"/>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AEF4" w14:textId="77777777" w:rsidR="00591D54" w:rsidRDefault="00591D54">
      <w:pPr>
        <w:shd w:val="clear" w:color="auto" w:fill="FFFFFF"/>
        <w:spacing w:before="202" w:line="230" w:lineRule="exact"/>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5"/>
          <w:sz w:val="18"/>
          <w:szCs w:val="18"/>
          <w:lang w:val="es-ES_tradnl"/>
        </w:rPr>
        <w:t>constitucional y por mandato de la Constituci</w:t>
      </w:r>
      <w:r>
        <w:rPr>
          <w:rFonts w:cs="Times New Roman"/>
          <w:spacing w:val="-5"/>
          <w:sz w:val="18"/>
          <w:szCs w:val="18"/>
          <w:lang w:val="es-ES_tradnl"/>
        </w:rPr>
        <w:t>ó</w:t>
      </w:r>
      <w:r>
        <w:rPr>
          <w:spacing w:val="-5"/>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 xml:space="preserve">blica del Ecuador, el Pleno de la Corte Constitucional </w:t>
      </w:r>
      <w:r>
        <w:rPr>
          <w:sz w:val="18"/>
          <w:szCs w:val="18"/>
          <w:lang w:val="es-ES_tradnl"/>
        </w:rPr>
        <w:t>expide la siguiente:</w:t>
      </w:r>
    </w:p>
    <w:p w14:paraId="4F67AEF5" w14:textId="77777777" w:rsidR="00591D54" w:rsidRDefault="00591D54">
      <w:pPr>
        <w:shd w:val="clear" w:color="auto" w:fill="FFFFFF"/>
        <w:spacing w:before="206"/>
        <w:ind w:left="10"/>
        <w:jc w:val="center"/>
      </w:pPr>
      <w:r>
        <w:rPr>
          <w:b/>
          <w:bCs/>
          <w:sz w:val="18"/>
          <w:szCs w:val="18"/>
          <w:lang w:val="es-ES_tradnl"/>
        </w:rPr>
        <w:t>SENTENCIA</w:t>
      </w:r>
    </w:p>
    <w:p w14:paraId="4F67AEF6" w14:textId="77777777" w:rsidR="00591D54" w:rsidRDefault="00591D54" w:rsidP="00251195">
      <w:pPr>
        <w:numPr>
          <w:ilvl w:val="0"/>
          <w:numId w:val="70"/>
        </w:numPr>
        <w:shd w:val="clear" w:color="auto" w:fill="FFFFFF"/>
        <w:tabs>
          <w:tab w:val="left" w:pos="566"/>
        </w:tabs>
        <w:spacing w:before="202" w:line="230" w:lineRule="exact"/>
        <w:ind w:left="566" w:hanging="283"/>
        <w:rPr>
          <w:spacing w:val="-9"/>
          <w:sz w:val="18"/>
          <w:szCs w:val="18"/>
          <w:lang w:val="es-ES_tradnl"/>
        </w:rPr>
      </w:pPr>
      <w:r>
        <w:rPr>
          <w:spacing w:val="-3"/>
          <w:sz w:val="18"/>
          <w:szCs w:val="18"/>
          <w:lang w:val="es-ES_tradnl"/>
        </w:rPr>
        <w:t>Declarar que no existe vulneraci</w:t>
      </w:r>
      <w:r>
        <w:rPr>
          <w:rFonts w:cs="Times New Roman"/>
          <w:spacing w:val="-3"/>
          <w:sz w:val="18"/>
          <w:szCs w:val="18"/>
          <w:lang w:val="es-ES_tradnl"/>
        </w:rPr>
        <w:t>ó</w:t>
      </w:r>
      <w:r>
        <w:rPr>
          <w:spacing w:val="-3"/>
          <w:sz w:val="18"/>
          <w:szCs w:val="18"/>
          <w:lang w:val="es-ES_tradnl"/>
        </w:rPr>
        <w:t xml:space="preserve">n de derechos </w:t>
      </w:r>
      <w:r>
        <w:rPr>
          <w:sz w:val="18"/>
          <w:szCs w:val="18"/>
          <w:lang w:val="es-ES_tradnl"/>
        </w:rPr>
        <w:t>constitucionales.</w:t>
      </w:r>
    </w:p>
    <w:p w14:paraId="4F67AEF7" w14:textId="77777777" w:rsidR="00591D54" w:rsidRDefault="00591D54" w:rsidP="00251195">
      <w:pPr>
        <w:numPr>
          <w:ilvl w:val="0"/>
          <w:numId w:val="70"/>
        </w:numPr>
        <w:shd w:val="clear" w:color="auto" w:fill="FFFFFF"/>
        <w:tabs>
          <w:tab w:val="left" w:pos="566"/>
        </w:tabs>
        <w:spacing w:before="202" w:line="230" w:lineRule="exact"/>
        <w:ind w:left="566" w:hanging="283"/>
        <w:rPr>
          <w:spacing w:val="-9"/>
          <w:sz w:val="18"/>
          <w:szCs w:val="18"/>
          <w:lang w:val="es-ES_tradnl"/>
        </w:rPr>
      </w:pPr>
      <w:r>
        <w:rPr>
          <w:spacing w:val="-6"/>
          <w:sz w:val="18"/>
          <w:szCs w:val="18"/>
          <w:lang w:val="es-ES_tradnl"/>
        </w:rPr>
        <w:t>Negar   la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w:t>
      </w:r>
      <w:r>
        <w:rPr>
          <w:sz w:val="18"/>
          <w:szCs w:val="18"/>
          <w:lang w:val="es-ES_tradnl"/>
        </w:rPr>
        <w:t>propuesta.</w:t>
      </w:r>
    </w:p>
    <w:p w14:paraId="4F67AEF8" w14:textId="77777777" w:rsidR="00591D54" w:rsidRDefault="00591D54" w:rsidP="00251195">
      <w:pPr>
        <w:numPr>
          <w:ilvl w:val="0"/>
          <w:numId w:val="70"/>
        </w:numPr>
        <w:shd w:val="clear" w:color="auto" w:fill="FFFFFF"/>
        <w:tabs>
          <w:tab w:val="left" w:pos="566"/>
        </w:tabs>
        <w:spacing w:before="29" w:line="446" w:lineRule="exact"/>
        <w:ind w:left="283"/>
        <w:rPr>
          <w:spacing w:val="-9"/>
          <w:sz w:val="18"/>
          <w:szCs w:val="18"/>
          <w:lang w:val="es-ES_tradnl"/>
        </w:rPr>
      </w:pPr>
      <w:r>
        <w:rPr>
          <w:spacing w:val="-7"/>
          <w:sz w:val="18"/>
          <w:szCs w:val="18"/>
          <w:lang w:val="es-ES_tradnl"/>
        </w:rPr>
        <w:t>Notif</w:t>
      </w:r>
      <w:r>
        <w:rPr>
          <w:rFonts w:cs="Times New Roman"/>
          <w:spacing w:val="-7"/>
          <w:sz w:val="18"/>
          <w:szCs w:val="18"/>
          <w:lang w:val="es-ES_tradnl"/>
        </w:rPr>
        <w:t>í</w:t>
      </w:r>
      <w:r>
        <w:rPr>
          <w:spacing w:val="-7"/>
          <w:sz w:val="18"/>
          <w:szCs w:val="18"/>
          <w:lang w:val="es-ES_tradnl"/>
        </w:rPr>
        <w:t>quese, publ</w:t>
      </w:r>
      <w:r>
        <w:rPr>
          <w:rFonts w:cs="Times New Roman"/>
          <w:spacing w:val="-7"/>
          <w:sz w:val="18"/>
          <w:szCs w:val="18"/>
          <w:lang w:val="es-ES_tradnl"/>
        </w:rPr>
        <w:t>í</w:t>
      </w:r>
      <w:r>
        <w:rPr>
          <w:spacing w:val="-7"/>
          <w:sz w:val="18"/>
          <w:szCs w:val="18"/>
          <w:lang w:val="es-ES_tradnl"/>
        </w:rPr>
        <w:t>quese y c</w:t>
      </w:r>
      <w:r>
        <w:rPr>
          <w:rFonts w:cs="Times New Roman"/>
          <w:spacing w:val="-7"/>
          <w:sz w:val="18"/>
          <w:szCs w:val="18"/>
          <w:lang w:val="es-ES_tradnl"/>
        </w:rPr>
        <w:t>ú</w:t>
      </w:r>
      <w:r>
        <w:rPr>
          <w:spacing w:val="-7"/>
          <w:sz w:val="18"/>
          <w:szCs w:val="18"/>
          <w:lang w:val="es-ES_tradnl"/>
        </w:rPr>
        <w:t>mplase.</w:t>
      </w:r>
    </w:p>
    <w:p w14:paraId="4F67AEF9" w14:textId="77777777" w:rsidR="00591D54" w:rsidRDefault="00591D54">
      <w:pPr>
        <w:shd w:val="clear" w:color="auto" w:fill="FFFFFF"/>
        <w:spacing w:line="446" w:lineRule="exact"/>
      </w:pPr>
      <w:r>
        <w:rPr>
          <w:spacing w:val="-4"/>
          <w:sz w:val="18"/>
          <w:szCs w:val="18"/>
          <w:lang w:val="es-ES_tradnl"/>
        </w:rPr>
        <w:t>f.) Patricio Pazmi</w:t>
      </w:r>
      <w:r>
        <w:rPr>
          <w:rFonts w:cs="Times New Roman"/>
          <w:spacing w:val="-4"/>
          <w:sz w:val="18"/>
          <w:szCs w:val="18"/>
          <w:lang w:val="es-ES_tradnl"/>
        </w:rPr>
        <w:t>ñ</w:t>
      </w:r>
      <w:r>
        <w:rPr>
          <w:spacing w:val="-4"/>
          <w:sz w:val="18"/>
          <w:szCs w:val="18"/>
          <w:lang w:val="es-ES_tradnl"/>
        </w:rPr>
        <w:t xml:space="preserve">o Freire, </w:t>
      </w:r>
      <w:r>
        <w:rPr>
          <w:b/>
          <w:bCs/>
          <w:spacing w:val="-4"/>
          <w:sz w:val="18"/>
          <w:szCs w:val="18"/>
          <w:lang w:val="es-ES_tradnl"/>
        </w:rPr>
        <w:t>PRESIDENTE.</w:t>
      </w:r>
    </w:p>
    <w:p w14:paraId="4F67AEFA" w14:textId="77777777" w:rsidR="00591D54" w:rsidRDefault="00591D54">
      <w:pPr>
        <w:shd w:val="clear" w:color="auto" w:fill="FFFFFF"/>
        <w:spacing w:line="446" w:lineRule="exact"/>
      </w:pPr>
      <w:r>
        <w:rPr>
          <w:spacing w:val="-4"/>
          <w:sz w:val="18"/>
          <w:szCs w:val="18"/>
          <w:lang w:val="es-ES_tradnl"/>
        </w:rPr>
        <w:t xml:space="preserve">f.) Jaime Pozo Chamorro, </w:t>
      </w:r>
      <w:r>
        <w:rPr>
          <w:b/>
          <w:bCs/>
          <w:spacing w:val="-4"/>
          <w:sz w:val="18"/>
          <w:szCs w:val="18"/>
          <w:lang w:val="es-ES_tradnl"/>
        </w:rPr>
        <w:t>SECRETARIO GENERAL.</w:t>
      </w:r>
    </w:p>
    <w:p w14:paraId="4F67AEFB" w14:textId="77777777" w:rsidR="00591D54" w:rsidRDefault="00591D54">
      <w:pPr>
        <w:shd w:val="clear" w:color="auto" w:fill="FFFFFF"/>
        <w:spacing w:before="168" w:line="226" w:lineRule="exact"/>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aprobada por el Pleno de la Corte Constitucional, con ocho </w:t>
      </w:r>
      <w:r>
        <w:rPr>
          <w:spacing w:val="-5"/>
          <w:sz w:val="18"/>
          <w:szCs w:val="18"/>
          <w:lang w:val="es-ES_tradnl"/>
        </w:rPr>
        <w:t xml:space="preserve">votos a favor, de las juezas y jueces Antonio Gagliardo </w:t>
      </w:r>
      <w:r>
        <w:rPr>
          <w:spacing w:val="-3"/>
          <w:sz w:val="18"/>
          <w:szCs w:val="18"/>
          <w:lang w:val="es-ES_tradnl"/>
        </w:rPr>
        <w:t xml:space="preserve">Loor, Marcelo Jaramillo Villa, Wendy Molina Andrade, </w:t>
      </w:r>
      <w:r>
        <w:rPr>
          <w:spacing w:val="-2"/>
          <w:sz w:val="18"/>
          <w:szCs w:val="18"/>
          <w:lang w:val="es-ES_tradnl"/>
        </w:rPr>
        <w:t>Tatiana Orde</w:t>
      </w:r>
      <w:r>
        <w:rPr>
          <w:rFonts w:cs="Times New Roman"/>
          <w:spacing w:val="-2"/>
          <w:sz w:val="18"/>
          <w:szCs w:val="18"/>
          <w:lang w:val="es-ES_tradnl"/>
        </w:rPr>
        <w:t>ñ</w:t>
      </w:r>
      <w:r>
        <w:rPr>
          <w:spacing w:val="-2"/>
          <w:sz w:val="18"/>
          <w:szCs w:val="18"/>
          <w:lang w:val="es-ES_tradnl"/>
        </w:rPr>
        <w:t>ana Sierra, Alfredo Ruiz Guzm</w:t>
      </w:r>
      <w:r>
        <w:rPr>
          <w:rFonts w:cs="Times New Roman"/>
          <w:spacing w:val="-2"/>
          <w:sz w:val="18"/>
          <w:szCs w:val="18"/>
          <w:lang w:val="es-ES_tradnl"/>
        </w:rPr>
        <w:t>á</w:t>
      </w:r>
      <w:r>
        <w:rPr>
          <w:spacing w:val="-2"/>
          <w:sz w:val="18"/>
          <w:szCs w:val="18"/>
          <w:lang w:val="es-ES_tradnl"/>
        </w:rPr>
        <w:t xml:space="preserve">n, Ruth </w:t>
      </w:r>
      <w:r>
        <w:rPr>
          <w:spacing w:val="-5"/>
          <w:sz w:val="18"/>
          <w:szCs w:val="18"/>
          <w:lang w:val="es-ES_tradnl"/>
        </w:rPr>
        <w:t>Seni Pinoargote, Manuel Viteri Olvera y Patricio Pazmi</w:t>
      </w:r>
      <w:r>
        <w:rPr>
          <w:rFonts w:cs="Times New Roman"/>
          <w:spacing w:val="-5"/>
          <w:sz w:val="18"/>
          <w:szCs w:val="18"/>
          <w:lang w:val="es-ES_tradnl"/>
        </w:rPr>
        <w:t>ñ</w:t>
      </w:r>
      <w:r>
        <w:rPr>
          <w:spacing w:val="-5"/>
          <w:sz w:val="18"/>
          <w:szCs w:val="18"/>
          <w:lang w:val="es-ES_tradnl"/>
        </w:rPr>
        <w:t xml:space="preserve">o </w:t>
      </w:r>
      <w:r>
        <w:rPr>
          <w:spacing w:val="-6"/>
          <w:sz w:val="18"/>
          <w:szCs w:val="18"/>
          <w:lang w:val="es-ES_tradnl"/>
        </w:rPr>
        <w:t>Freire, sin contar con la presencia de la jueza Mar</w:t>
      </w:r>
      <w:r>
        <w:rPr>
          <w:rFonts w:cs="Times New Roman"/>
          <w:spacing w:val="-6"/>
          <w:sz w:val="18"/>
          <w:szCs w:val="18"/>
          <w:lang w:val="es-ES_tradnl"/>
        </w:rPr>
        <w:t>í</w:t>
      </w:r>
      <w:r>
        <w:rPr>
          <w:spacing w:val="-6"/>
          <w:sz w:val="18"/>
          <w:szCs w:val="18"/>
          <w:lang w:val="es-ES_tradnl"/>
        </w:rPr>
        <w:t xml:space="preserve">a del </w:t>
      </w:r>
      <w:r>
        <w:rPr>
          <w:spacing w:val="-8"/>
          <w:sz w:val="18"/>
          <w:szCs w:val="18"/>
          <w:lang w:val="es-ES_tradnl"/>
        </w:rPr>
        <w:t>Carmen Maldonado S</w:t>
      </w:r>
      <w:r>
        <w:rPr>
          <w:rFonts w:cs="Times New Roman"/>
          <w:spacing w:val="-8"/>
          <w:sz w:val="18"/>
          <w:szCs w:val="18"/>
          <w:lang w:val="es-ES_tradnl"/>
        </w:rPr>
        <w:t>á</w:t>
      </w:r>
      <w:r>
        <w:rPr>
          <w:spacing w:val="-8"/>
          <w:sz w:val="18"/>
          <w:szCs w:val="18"/>
          <w:lang w:val="es-ES_tradnl"/>
        </w:rPr>
        <w:t>nchez, en sesi</w:t>
      </w:r>
      <w:r>
        <w:rPr>
          <w:rFonts w:cs="Times New Roman"/>
          <w:spacing w:val="-8"/>
          <w:sz w:val="18"/>
          <w:szCs w:val="18"/>
          <w:lang w:val="es-ES_tradnl"/>
        </w:rPr>
        <w:t>ó</w:t>
      </w:r>
      <w:r>
        <w:rPr>
          <w:spacing w:val="-8"/>
          <w:sz w:val="18"/>
          <w:szCs w:val="18"/>
          <w:lang w:val="es-ES_tradnl"/>
        </w:rPr>
        <w:t xml:space="preserve">n de 22 de julio del </w:t>
      </w:r>
      <w:r>
        <w:rPr>
          <w:sz w:val="18"/>
          <w:szCs w:val="18"/>
          <w:lang w:val="es-ES_tradnl"/>
        </w:rPr>
        <w:t>2015. Lo certifico.</w:t>
      </w:r>
    </w:p>
    <w:p w14:paraId="4F67AEFC" w14:textId="77777777" w:rsidR="00591D54" w:rsidRDefault="00591D54">
      <w:pPr>
        <w:shd w:val="clear" w:color="auto" w:fill="FFFFFF"/>
        <w:spacing w:before="206"/>
      </w:pPr>
      <w:r>
        <w:rPr>
          <w:spacing w:val="-4"/>
          <w:sz w:val="18"/>
          <w:szCs w:val="18"/>
          <w:lang w:val="es-ES_tradnl"/>
        </w:rPr>
        <w:t xml:space="preserve">f.) Jaime Pozo Chamorro, </w:t>
      </w:r>
      <w:r>
        <w:rPr>
          <w:b/>
          <w:bCs/>
          <w:spacing w:val="-4"/>
          <w:sz w:val="18"/>
          <w:szCs w:val="18"/>
          <w:lang w:val="es-ES_tradnl"/>
        </w:rPr>
        <w:t>SECRETARIO GENERAL.</w:t>
      </w:r>
    </w:p>
    <w:p w14:paraId="4F67AEFD" w14:textId="77777777" w:rsidR="00591D54" w:rsidRDefault="00591D54">
      <w:pPr>
        <w:shd w:val="clear" w:color="auto" w:fill="FFFFFF"/>
        <w:spacing w:before="202" w:line="22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AEFE" w14:textId="77777777" w:rsidR="00591D54" w:rsidRDefault="00591D54">
      <w:pPr>
        <w:shd w:val="clear" w:color="auto" w:fill="FFFFFF"/>
        <w:spacing w:before="206"/>
      </w:pPr>
      <w:r>
        <w:rPr>
          <w:b/>
          <w:bCs/>
          <w:spacing w:val="-5"/>
          <w:sz w:val="18"/>
          <w:szCs w:val="18"/>
          <w:u w:val="single"/>
          <w:lang w:val="es-ES_tradnl"/>
        </w:rPr>
        <w:t>CASO Nro. 0026-12-EP</w:t>
      </w:r>
    </w:p>
    <w:p w14:paraId="4F67AEFF" w14:textId="77777777" w:rsidR="00591D54" w:rsidRDefault="00591D54">
      <w:pPr>
        <w:shd w:val="clear" w:color="auto" w:fill="FFFFFF"/>
        <w:spacing w:before="206" w:line="226" w:lineRule="exact"/>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w:t>
      </w:r>
      <w:r>
        <w:rPr>
          <w:spacing w:val="-7"/>
          <w:sz w:val="18"/>
          <w:szCs w:val="18"/>
          <w:lang w:val="es-ES_tradnl"/>
        </w:rPr>
        <w:t>suscrita por el Juez Patricio Pazmi</w:t>
      </w:r>
      <w:r>
        <w:rPr>
          <w:rFonts w:cs="Times New Roman"/>
          <w:spacing w:val="-7"/>
          <w:sz w:val="18"/>
          <w:szCs w:val="18"/>
          <w:lang w:val="es-ES_tradnl"/>
        </w:rPr>
        <w:t>ñ</w:t>
      </w:r>
      <w:r>
        <w:rPr>
          <w:spacing w:val="-7"/>
          <w:sz w:val="18"/>
          <w:szCs w:val="18"/>
          <w:lang w:val="es-ES_tradnl"/>
        </w:rPr>
        <w:t xml:space="preserve">o Freire, Presidente de </w:t>
      </w:r>
      <w:r>
        <w:rPr>
          <w:spacing w:val="-6"/>
          <w:sz w:val="18"/>
          <w:szCs w:val="18"/>
          <w:lang w:val="es-ES_tradnl"/>
        </w:rPr>
        <w:t>la Corte Constitucional, el d</w:t>
      </w:r>
      <w:r>
        <w:rPr>
          <w:rFonts w:cs="Times New Roman"/>
          <w:spacing w:val="-6"/>
          <w:sz w:val="18"/>
          <w:szCs w:val="18"/>
          <w:lang w:val="es-ES_tradnl"/>
        </w:rPr>
        <w:t>í</w:t>
      </w:r>
      <w:r>
        <w:rPr>
          <w:spacing w:val="-6"/>
          <w:sz w:val="18"/>
          <w:szCs w:val="18"/>
          <w:lang w:val="es-ES_tradnl"/>
        </w:rPr>
        <w:t xml:space="preserve">a lunes 07 de septiembre del </w:t>
      </w:r>
      <w:r>
        <w:rPr>
          <w:sz w:val="18"/>
          <w:szCs w:val="18"/>
          <w:lang w:val="es-ES_tradnl"/>
        </w:rPr>
        <w:t>dos mil quince.- Lo certifico.</w:t>
      </w:r>
    </w:p>
    <w:p w14:paraId="4F67AF00" w14:textId="77777777" w:rsidR="00591D54" w:rsidRDefault="00591D54">
      <w:pPr>
        <w:shd w:val="clear" w:color="auto" w:fill="FFFFFF"/>
        <w:spacing w:before="202"/>
      </w:pPr>
      <w:r>
        <w:rPr>
          <w:spacing w:val="-7"/>
          <w:sz w:val="18"/>
          <w:szCs w:val="18"/>
          <w:lang w:val="es-ES_tradnl"/>
        </w:rPr>
        <w:t xml:space="preserve">f.) Jaime Pozo Chamorro, </w:t>
      </w:r>
      <w:r>
        <w:rPr>
          <w:b/>
          <w:bCs/>
          <w:spacing w:val="-7"/>
          <w:sz w:val="18"/>
          <w:szCs w:val="18"/>
          <w:lang w:val="es-ES_tradnl"/>
        </w:rPr>
        <w:t>Secretario General.</w:t>
      </w:r>
    </w:p>
    <w:p w14:paraId="4F67AF01" w14:textId="77777777" w:rsidR="00591D54" w:rsidRDefault="00591D54">
      <w:pPr>
        <w:shd w:val="clear" w:color="auto" w:fill="FFFFFF"/>
        <w:spacing w:before="206" w:line="22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AF02" w14:textId="77777777" w:rsidR="00591D54" w:rsidRDefault="00591D54">
      <w:pPr>
        <w:shd w:val="clear" w:color="auto" w:fill="FFFFFF"/>
        <w:spacing w:before="206" w:line="226" w:lineRule="exact"/>
        <w:jc w:val="both"/>
        <w:sectPr w:rsidR="00591D54">
          <w:type w:val="continuous"/>
          <w:pgSz w:w="11909" w:h="16834"/>
          <w:pgMar w:top="1361" w:right="1309" w:bottom="360" w:left="1308" w:header="720" w:footer="720" w:gutter="0"/>
          <w:cols w:num="2" w:space="720" w:equalWidth="0">
            <w:col w:w="4305" w:space="682"/>
            <w:col w:w="4305"/>
          </w:cols>
          <w:noEndnote/>
        </w:sectPr>
      </w:pPr>
    </w:p>
    <w:p w14:paraId="4F67AF03" w14:textId="77777777" w:rsidR="00591D54" w:rsidRDefault="00591D54">
      <w:pPr>
        <w:shd w:val="clear" w:color="auto" w:fill="FFFFFF"/>
        <w:tabs>
          <w:tab w:val="left" w:pos="5842"/>
        </w:tabs>
        <w:spacing w:after="72"/>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- 141</w:t>
      </w:r>
    </w:p>
    <w:p w14:paraId="4F67AF04" w14:textId="77777777" w:rsidR="00591D54" w:rsidRDefault="00591D54">
      <w:pPr>
        <w:shd w:val="clear" w:color="auto" w:fill="FFFFFF"/>
        <w:tabs>
          <w:tab w:val="left" w:pos="5842"/>
        </w:tabs>
        <w:spacing w:after="72"/>
        <w:ind w:left="5"/>
        <w:sectPr w:rsidR="00591D54">
          <w:pgSz w:w="11909" w:h="16834"/>
          <w:pgMar w:top="1378" w:right="1309" w:bottom="360" w:left="1308" w:header="720" w:footer="720" w:gutter="0"/>
          <w:cols w:space="60"/>
          <w:noEndnote/>
        </w:sectPr>
      </w:pPr>
    </w:p>
    <w:p w14:paraId="4F67AF05" w14:textId="77777777" w:rsidR="00591D54" w:rsidRDefault="00591D54">
      <w:pPr>
        <w:shd w:val="clear" w:color="auto" w:fill="FFFFFF"/>
        <w:spacing w:line="427" w:lineRule="exact"/>
      </w:pPr>
      <w:r>
        <w:rPr>
          <w:spacing w:val="-4"/>
          <w:sz w:val="18"/>
          <w:szCs w:val="18"/>
          <w:lang w:val="es-ES_tradnl"/>
        </w:rPr>
        <w:t>Quito, D. M., 22 de julio del 2015</w:t>
      </w:r>
    </w:p>
    <w:p w14:paraId="4F67AF06" w14:textId="77777777" w:rsidR="00591D54" w:rsidRDefault="00591D54">
      <w:pPr>
        <w:shd w:val="clear" w:color="auto" w:fill="FFFFFF"/>
        <w:spacing w:line="427" w:lineRule="exact"/>
        <w:ind w:left="850"/>
      </w:pPr>
      <w:r>
        <w:rPr>
          <w:b/>
          <w:bCs/>
          <w:spacing w:val="-3"/>
          <w:sz w:val="18"/>
          <w:szCs w:val="18"/>
          <w:u w:val="single"/>
          <w:lang w:val="es-ES_tradnl"/>
        </w:rPr>
        <w:t>SENTENCIA N.</w:t>
      </w:r>
      <w:r>
        <w:rPr>
          <w:rFonts w:cs="Times New Roman"/>
          <w:b/>
          <w:bCs/>
          <w:spacing w:val="-3"/>
          <w:sz w:val="18"/>
          <w:szCs w:val="18"/>
          <w:u w:val="single"/>
          <w:lang w:val="es-ES_tradnl"/>
        </w:rPr>
        <w:t>º</w:t>
      </w:r>
      <w:r>
        <w:rPr>
          <w:b/>
          <w:bCs/>
          <w:spacing w:val="-3"/>
          <w:sz w:val="18"/>
          <w:szCs w:val="18"/>
          <w:u w:val="single"/>
          <w:lang w:val="es-ES_tradnl"/>
        </w:rPr>
        <w:t xml:space="preserve"> 239-15-SEP-CC</w:t>
      </w:r>
    </w:p>
    <w:p w14:paraId="4F67AF07" w14:textId="77777777" w:rsidR="00591D54" w:rsidRDefault="00591D54">
      <w:pPr>
        <w:shd w:val="clear" w:color="auto" w:fill="FFFFFF"/>
        <w:spacing w:line="427" w:lineRule="exact"/>
        <w:ind w:left="1291"/>
      </w:pPr>
      <w:r>
        <w:rPr>
          <w:b/>
          <w:bCs/>
          <w:spacing w:val="-5"/>
          <w:sz w:val="18"/>
          <w:szCs w:val="18"/>
          <w:u w:val="single"/>
          <w:lang w:val="es-ES_tradnl"/>
        </w:rPr>
        <w:t>CASO N.</w:t>
      </w:r>
      <w:r>
        <w:rPr>
          <w:rFonts w:cs="Times New Roman"/>
          <w:b/>
          <w:bCs/>
          <w:spacing w:val="-5"/>
          <w:sz w:val="18"/>
          <w:szCs w:val="18"/>
          <w:u w:val="single"/>
          <w:lang w:val="es-ES_tradnl"/>
        </w:rPr>
        <w:t>º</w:t>
      </w:r>
      <w:r>
        <w:rPr>
          <w:b/>
          <w:bCs/>
          <w:spacing w:val="-5"/>
          <w:sz w:val="18"/>
          <w:szCs w:val="18"/>
          <w:u w:val="single"/>
          <w:lang w:val="es-ES_tradnl"/>
        </w:rPr>
        <w:t xml:space="preserve"> 0782-13-EP</w:t>
      </w:r>
    </w:p>
    <w:p w14:paraId="4F67AF08" w14:textId="77777777" w:rsidR="00591D54" w:rsidRDefault="00591D54">
      <w:pPr>
        <w:shd w:val="clear" w:color="auto" w:fill="FFFFFF"/>
        <w:spacing w:line="427" w:lineRule="exact"/>
        <w:ind w:left="293"/>
      </w:pPr>
      <w:r>
        <w:rPr>
          <w:b/>
          <w:bCs/>
          <w:sz w:val="18"/>
          <w:szCs w:val="18"/>
          <w:lang w:val="es-ES_tradnl"/>
        </w:rPr>
        <w:t>CORTE CONSTITUCIONAL DEL ECUADOR</w:t>
      </w:r>
    </w:p>
    <w:p w14:paraId="4F67AF09" w14:textId="77777777" w:rsidR="00591D54" w:rsidRDefault="00591D54">
      <w:pPr>
        <w:shd w:val="clear" w:color="auto" w:fill="FFFFFF"/>
        <w:spacing w:line="427" w:lineRule="exact"/>
        <w:ind w:left="1334"/>
      </w:pPr>
      <w:r>
        <w:rPr>
          <w:b/>
          <w:bCs/>
          <w:sz w:val="18"/>
          <w:szCs w:val="18"/>
          <w:lang w:val="es-ES_tradnl"/>
        </w:rPr>
        <w:t>I. ANTECEDENTES</w:t>
      </w:r>
    </w:p>
    <w:p w14:paraId="4F67AF0A" w14:textId="77777777" w:rsidR="00591D54" w:rsidRDefault="00591D54">
      <w:pPr>
        <w:shd w:val="clear" w:color="auto" w:fill="FFFFFF"/>
        <w:spacing w:line="427" w:lineRule="exact"/>
      </w:pPr>
      <w:r>
        <w:rPr>
          <w:b/>
          <w:bCs/>
          <w:spacing w:val="-9"/>
          <w:sz w:val="18"/>
          <w:szCs w:val="18"/>
          <w:lang w:val="es-ES_tradnl"/>
        </w:rPr>
        <w:t>Resumen de admisibilidad</w:t>
      </w:r>
    </w:p>
    <w:p w14:paraId="4F67AF0B" w14:textId="77777777" w:rsidR="00591D54" w:rsidRDefault="00591D54">
      <w:pPr>
        <w:shd w:val="clear" w:color="auto" w:fill="FFFFFF"/>
        <w:spacing w:before="163" w:line="216" w:lineRule="exact"/>
        <w:jc w:val="both"/>
      </w:pPr>
      <w:r>
        <w:rPr>
          <w:spacing w:val="-10"/>
          <w:sz w:val="18"/>
          <w:szCs w:val="18"/>
          <w:lang w:val="es-ES_tradnl"/>
        </w:rPr>
        <w:t>La presente demanda de acci</w:t>
      </w:r>
      <w:r>
        <w:rPr>
          <w:rFonts w:cs="Times New Roman"/>
          <w:spacing w:val="-10"/>
          <w:sz w:val="18"/>
          <w:szCs w:val="18"/>
          <w:lang w:val="es-ES_tradnl"/>
        </w:rPr>
        <w:t>ó</w:t>
      </w:r>
      <w:r>
        <w:rPr>
          <w:spacing w:val="-10"/>
          <w:sz w:val="18"/>
          <w:szCs w:val="18"/>
          <w:lang w:val="es-ES_tradnl"/>
        </w:rPr>
        <w:t>n extraordinaria de protecci</w:t>
      </w:r>
      <w:r>
        <w:rPr>
          <w:rFonts w:cs="Times New Roman"/>
          <w:spacing w:val="-10"/>
          <w:sz w:val="18"/>
          <w:szCs w:val="18"/>
          <w:lang w:val="es-ES_tradnl"/>
        </w:rPr>
        <w:t>ó</w:t>
      </w:r>
      <w:r>
        <w:rPr>
          <w:spacing w:val="-10"/>
          <w:sz w:val="18"/>
          <w:szCs w:val="18"/>
          <w:lang w:val="es-ES_tradnl"/>
        </w:rPr>
        <w:t>n fue presentada el 25 de abril de 2013, por el se</w:t>
      </w:r>
      <w:r>
        <w:rPr>
          <w:rFonts w:cs="Times New Roman"/>
          <w:spacing w:val="-10"/>
          <w:sz w:val="18"/>
          <w:szCs w:val="18"/>
          <w:lang w:val="es-ES_tradnl"/>
        </w:rPr>
        <w:t>ñ</w:t>
      </w:r>
      <w:r>
        <w:rPr>
          <w:spacing w:val="-10"/>
          <w:sz w:val="18"/>
          <w:szCs w:val="18"/>
          <w:lang w:val="es-ES_tradnl"/>
        </w:rPr>
        <w:t xml:space="preserve">or Julio Diez </w:t>
      </w:r>
      <w:r>
        <w:rPr>
          <w:spacing w:val="-7"/>
          <w:sz w:val="18"/>
          <w:szCs w:val="18"/>
          <w:lang w:val="es-ES_tradnl"/>
        </w:rPr>
        <w:t>Merino, en contra del auto de inadmisi</w:t>
      </w:r>
      <w:r>
        <w:rPr>
          <w:rFonts w:cs="Times New Roman"/>
          <w:spacing w:val="-7"/>
          <w:sz w:val="18"/>
          <w:szCs w:val="18"/>
          <w:lang w:val="es-ES_tradnl"/>
        </w:rPr>
        <w:t>ó</w:t>
      </w:r>
      <w:r>
        <w:rPr>
          <w:spacing w:val="-7"/>
          <w:sz w:val="18"/>
          <w:szCs w:val="18"/>
          <w:lang w:val="es-ES_tradnl"/>
        </w:rPr>
        <w:t>n del 11 de abril de 2013, dictado por la Sala de la Ni</w:t>
      </w:r>
      <w:r>
        <w:rPr>
          <w:rFonts w:cs="Times New Roman"/>
          <w:spacing w:val="-7"/>
          <w:sz w:val="18"/>
          <w:szCs w:val="18"/>
          <w:lang w:val="es-ES_tradnl"/>
        </w:rPr>
        <w:t>ñ</w:t>
      </w:r>
      <w:r>
        <w:rPr>
          <w:spacing w:val="-7"/>
          <w:sz w:val="18"/>
          <w:szCs w:val="18"/>
          <w:lang w:val="es-ES_tradnl"/>
        </w:rPr>
        <w:t>ez y Adolescencia de la Corte Nacional de Justicia, dentro de la acci</w:t>
      </w:r>
      <w:r>
        <w:rPr>
          <w:rFonts w:cs="Times New Roman"/>
          <w:spacing w:val="-7"/>
          <w:sz w:val="18"/>
          <w:szCs w:val="18"/>
          <w:lang w:val="es-ES_tradnl"/>
        </w:rPr>
        <w:t>ó</w:t>
      </w:r>
      <w:r>
        <w:rPr>
          <w:spacing w:val="-7"/>
          <w:sz w:val="18"/>
          <w:szCs w:val="18"/>
          <w:lang w:val="es-ES_tradnl"/>
        </w:rPr>
        <w:t>n de h</w:t>
      </w:r>
      <w:r>
        <w:rPr>
          <w:rFonts w:cs="Times New Roman"/>
          <w:spacing w:val="-7"/>
          <w:sz w:val="18"/>
          <w:szCs w:val="18"/>
          <w:lang w:val="es-ES_tradnl"/>
        </w:rPr>
        <w:t>á</w:t>
      </w:r>
      <w:r>
        <w:rPr>
          <w:spacing w:val="-7"/>
          <w:sz w:val="18"/>
          <w:szCs w:val="18"/>
          <w:lang w:val="es-ES_tradnl"/>
        </w:rPr>
        <w:t xml:space="preserve">beas </w:t>
      </w:r>
      <w:r>
        <w:rPr>
          <w:sz w:val="18"/>
          <w:szCs w:val="18"/>
          <w:lang w:val="es-ES_tradnl"/>
        </w:rPr>
        <w:t>corpus.</w:t>
      </w:r>
    </w:p>
    <w:p w14:paraId="4F67AF0C" w14:textId="77777777" w:rsidR="00591D54" w:rsidRDefault="00591D54">
      <w:pPr>
        <w:shd w:val="clear" w:color="auto" w:fill="FFFFFF"/>
        <w:spacing w:before="197" w:line="216" w:lineRule="exact"/>
        <w:jc w:val="both"/>
      </w:pPr>
      <w:r>
        <w:rPr>
          <w:spacing w:val="-7"/>
          <w:sz w:val="18"/>
          <w:szCs w:val="18"/>
          <w:lang w:val="es-ES_tradnl"/>
        </w:rPr>
        <w:t>De conformidad con lo se</w:t>
      </w:r>
      <w:r>
        <w:rPr>
          <w:rFonts w:cs="Times New Roman"/>
          <w:spacing w:val="-7"/>
          <w:sz w:val="18"/>
          <w:szCs w:val="18"/>
          <w:lang w:val="es-ES_tradnl"/>
        </w:rPr>
        <w:t>ñ</w:t>
      </w:r>
      <w:r>
        <w:rPr>
          <w:spacing w:val="-7"/>
          <w:sz w:val="18"/>
          <w:szCs w:val="18"/>
          <w:lang w:val="es-ES_tradnl"/>
        </w:rPr>
        <w:t xml:space="preserve">alado en el segundo inciso del </w:t>
      </w:r>
      <w:r>
        <w:rPr>
          <w:spacing w:val="-6"/>
          <w:sz w:val="18"/>
          <w:szCs w:val="18"/>
          <w:lang w:val="es-ES_tradnl"/>
        </w:rPr>
        <w:t>cuarto art</w:t>
      </w:r>
      <w:r>
        <w:rPr>
          <w:rFonts w:cs="Times New Roman"/>
          <w:spacing w:val="-6"/>
          <w:sz w:val="18"/>
          <w:szCs w:val="18"/>
          <w:lang w:val="es-ES_tradnl"/>
        </w:rPr>
        <w:t>í</w:t>
      </w:r>
      <w:r>
        <w:rPr>
          <w:spacing w:val="-6"/>
          <w:sz w:val="18"/>
          <w:szCs w:val="18"/>
          <w:lang w:val="es-ES_tradnl"/>
        </w:rPr>
        <w:t>culo innumerado agregado a continuaci</w:t>
      </w:r>
      <w:r>
        <w:rPr>
          <w:rFonts w:cs="Times New Roman"/>
          <w:spacing w:val="-6"/>
          <w:sz w:val="18"/>
          <w:szCs w:val="18"/>
          <w:lang w:val="es-ES_tradnl"/>
        </w:rPr>
        <w:t>ó</w:t>
      </w:r>
      <w:r>
        <w:rPr>
          <w:spacing w:val="-6"/>
          <w:sz w:val="18"/>
          <w:szCs w:val="18"/>
          <w:lang w:val="es-ES_tradnl"/>
        </w:rPr>
        <w:t>n del art</w:t>
      </w:r>
      <w:r>
        <w:rPr>
          <w:rFonts w:cs="Times New Roman"/>
          <w:spacing w:val="-6"/>
          <w:sz w:val="18"/>
          <w:szCs w:val="18"/>
          <w:lang w:val="es-ES_tradnl"/>
        </w:rPr>
        <w:t>í</w:t>
      </w:r>
      <w:r>
        <w:rPr>
          <w:spacing w:val="-6"/>
          <w:sz w:val="18"/>
          <w:szCs w:val="18"/>
          <w:lang w:val="es-ES_tradnl"/>
        </w:rPr>
        <w:t>culo 8 del Reglamento de Sustanciaci</w:t>
      </w:r>
      <w:r>
        <w:rPr>
          <w:rFonts w:cs="Times New Roman"/>
          <w:spacing w:val="-6"/>
          <w:sz w:val="18"/>
          <w:szCs w:val="18"/>
          <w:lang w:val="es-ES_tradnl"/>
        </w:rPr>
        <w:t>ó</w:t>
      </w:r>
      <w:r>
        <w:rPr>
          <w:spacing w:val="-6"/>
          <w:sz w:val="18"/>
          <w:szCs w:val="18"/>
          <w:lang w:val="es-ES_tradnl"/>
        </w:rPr>
        <w:t xml:space="preserve">n de Procesos </w:t>
      </w:r>
      <w:r>
        <w:rPr>
          <w:spacing w:val="-7"/>
          <w:sz w:val="18"/>
          <w:szCs w:val="18"/>
          <w:lang w:val="es-ES_tradnl"/>
        </w:rPr>
        <w:t>de Competencia de la Corte Constitucional, la Secretar</w:t>
      </w:r>
      <w:r>
        <w:rPr>
          <w:rFonts w:cs="Times New Roman"/>
          <w:spacing w:val="-7"/>
          <w:sz w:val="18"/>
          <w:szCs w:val="18"/>
          <w:lang w:val="es-ES_tradnl"/>
        </w:rPr>
        <w:t>í</w:t>
      </w:r>
      <w:r>
        <w:rPr>
          <w:spacing w:val="-7"/>
          <w:sz w:val="18"/>
          <w:szCs w:val="18"/>
          <w:lang w:val="es-ES_tradnl"/>
        </w:rPr>
        <w:t xml:space="preserve">a </w:t>
      </w:r>
      <w:r>
        <w:rPr>
          <w:spacing w:val="-11"/>
          <w:sz w:val="18"/>
          <w:szCs w:val="18"/>
          <w:lang w:val="es-ES_tradnl"/>
        </w:rPr>
        <w:t>General certific</w:t>
      </w:r>
      <w:r>
        <w:rPr>
          <w:rFonts w:cs="Times New Roman"/>
          <w:spacing w:val="-11"/>
          <w:sz w:val="18"/>
          <w:szCs w:val="18"/>
          <w:lang w:val="es-ES_tradnl"/>
        </w:rPr>
        <w:t>ó</w:t>
      </w:r>
      <w:r>
        <w:rPr>
          <w:spacing w:val="-11"/>
          <w:sz w:val="18"/>
          <w:szCs w:val="18"/>
          <w:lang w:val="es-ES_tradnl"/>
        </w:rPr>
        <w:t xml:space="preserve"> el 06 de mayo de 2013, que en referencia a </w:t>
      </w:r>
      <w:r>
        <w:rPr>
          <w:spacing w:val="-12"/>
          <w:sz w:val="18"/>
          <w:szCs w:val="18"/>
          <w:lang w:val="es-ES_tradnl"/>
        </w:rPr>
        <w:t>la acci</w:t>
      </w:r>
      <w:r>
        <w:rPr>
          <w:rFonts w:cs="Times New Roman"/>
          <w:spacing w:val="-12"/>
          <w:sz w:val="18"/>
          <w:szCs w:val="18"/>
          <w:lang w:val="es-ES_tradnl"/>
        </w:rPr>
        <w:t>ó</w:t>
      </w:r>
      <w:r>
        <w:rPr>
          <w:spacing w:val="-12"/>
          <w:sz w:val="18"/>
          <w:szCs w:val="18"/>
          <w:lang w:val="es-ES_tradnl"/>
        </w:rPr>
        <w:t>n N.</w:t>
      </w:r>
      <w:r>
        <w:rPr>
          <w:rFonts w:cs="Times New Roman"/>
          <w:spacing w:val="-12"/>
          <w:sz w:val="18"/>
          <w:szCs w:val="18"/>
          <w:lang w:val="es-ES_tradnl"/>
        </w:rPr>
        <w:t>°</w:t>
      </w:r>
      <w:r>
        <w:rPr>
          <w:spacing w:val="-12"/>
          <w:sz w:val="18"/>
          <w:szCs w:val="18"/>
          <w:lang w:val="es-ES_tradnl"/>
        </w:rPr>
        <w:t xml:space="preserve"> 0782-13-EP, no se ha presentado otra demanda </w:t>
      </w:r>
      <w:r>
        <w:rPr>
          <w:sz w:val="18"/>
          <w:szCs w:val="18"/>
          <w:lang w:val="es-ES_tradnl"/>
        </w:rPr>
        <w:t>con identidad de objeto y acci</w:t>
      </w:r>
      <w:r>
        <w:rPr>
          <w:rFonts w:cs="Times New Roman"/>
          <w:sz w:val="18"/>
          <w:szCs w:val="18"/>
          <w:lang w:val="es-ES_tradnl"/>
        </w:rPr>
        <w:t>ó</w:t>
      </w:r>
      <w:r>
        <w:rPr>
          <w:sz w:val="18"/>
          <w:szCs w:val="18"/>
          <w:lang w:val="es-ES_tradnl"/>
        </w:rPr>
        <w:t>n.</w:t>
      </w:r>
    </w:p>
    <w:p w14:paraId="4F67AF0D" w14:textId="77777777" w:rsidR="00591D54" w:rsidRDefault="00591D54">
      <w:pPr>
        <w:shd w:val="clear" w:color="auto" w:fill="FFFFFF"/>
        <w:spacing w:before="197" w:line="216" w:lineRule="exact"/>
        <w:ind w:right="5"/>
        <w:jc w:val="both"/>
      </w:pPr>
      <w:r>
        <w:rPr>
          <w:sz w:val="18"/>
          <w:szCs w:val="18"/>
          <w:lang w:val="es-ES_tradnl"/>
        </w:rPr>
        <w:t>La Sala de Admisi</w:t>
      </w:r>
      <w:r>
        <w:rPr>
          <w:rFonts w:cs="Times New Roman"/>
          <w:sz w:val="18"/>
          <w:szCs w:val="18"/>
          <w:lang w:val="es-ES_tradnl"/>
        </w:rPr>
        <w:t>ó</w:t>
      </w:r>
      <w:r>
        <w:rPr>
          <w:sz w:val="18"/>
          <w:szCs w:val="18"/>
          <w:lang w:val="es-ES_tradnl"/>
        </w:rPr>
        <w:t xml:space="preserve">n de la Corte Constitucional, </w:t>
      </w:r>
      <w:r>
        <w:rPr>
          <w:spacing w:val="-3"/>
          <w:sz w:val="18"/>
          <w:szCs w:val="18"/>
          <w:lang w:val="es-ES_tradnl"/>
        </w:rPr>
        <w:t xml:space="preserve">conformada por los jueces constitucionales Antonio </w:t>
      </w:r>
      <w:r>
        <w:rPr>
          <w:spacing w:val="-7"/>
          <w:sz w:val="18"/>
          <w:szCs w:val="18"/>
          <w:lang w:val="es-ES_tradnl"/>
        </w:rPr>
        <w:t>Gagliardo Loor, Marcelo Jaramillo Villa y Patricio Pazmi</w:t>
      </w:r>
      <w:r>
        <w:rPr>
          <w:rFonts w:cs="Times New Roman"/>
          <w:spacing w:val="-7"/>
          <w:sz w:val="18"/>
          <w:szCs w:val="18"/>
          <w:lang w:val="es-ES_tradnl"/>
        </w:rPr>
        <w:t>ñ</w:t>
      </w:r>
      <w:r>
        <w:rPr>
          <w:spacing w:val="-7"/>
          <w:sz w:val="18"/>
          <w:szCs w:val="18"/>
          <w:lang w:val="es-ES_tradnl"/>
        </w:rPr>
        <w:t xml:space="preserve">o </w:t>
      </w:r>
      <w:r>
        <w:rPr>
          <w:spacing w:val="-9"/>
          <w:sz w:val="18"/>
          <w:szCs w:val="18"/>
          <w:lang w:val="es-ES_tradnl"/>
        </w:rPr>
        <w:t xml:space="preserve">Freire, mediante auto del 22 de agosto de 2013 a las 11:20, </w:t>
      </w:r>
      <w:r>
        <w:rPr>
          <w:spacing w:val="-6"/>
          <w:sz w:val="18"/>
          <w:szCs w:val="18"/>
          <w:lang w:val="es-ES_tradnl"/>
        </w:rPr>
        <w:t>admiti</w:t>
      </w:r>
      <w:r>
        <w:rPr>
          <w:rFonts w:cs="Times New Roman"/>
          <w:spacing w:val="-6"/>
          <w:sz w:val="18"/>
          <w:szCs w:val="18"/>
          <w:lang w:val="es-ES_tradnl"/>
        </w:rPr>
        <w:t>ó</w:t>
      </w:r>
      <w:r>
        <w:rPr>
          <w:spacing w:val="-6"/>
          <w:sz w:val="18"/>
          <w:szCs w:val="18"/>
          <w:lang w:val="es-ES_tradnl"/>
        </w:rPr>
        <w:t xml:space="preserve"> a tr</w:t>
      </w:r>
      <w:r>
        <w:rPr>
          <w:rFonts w:cs="Times New Roman"/>
          <w:spacing w:val="-6"/>
          <w:sz w:val="18"/>
          <w:szCs w:val="18"/>
          <w:lang w:val="es-ES_tradnl"/>
        </w:rPr>
        <w:t>á</w:t>
      </w:r>
      <w:r>
        <w:rPr>
          <w:spacing w:val="-6"/>
          <w:sz w:val="18"/>
          <w:szCs w:val="18"/>
          <w:lang w:val="es-ES_tradnl"/>
        </w:rPr>
        <w:t>mite la acci</w:t>
      </w:r>
      <w:r>
        <w:rPr>
          <w:rFonts w:cs="Times New Roman"/>
          <w:spacing w:val="-6"/>
          <w:sz w:val="18"/>
          <w:szCs w:val="18"/>
          <w:lang w:val="es-ES_tradnl"/>
        </w:rPr>
        <w:t>ó</w:t>
      </w:r>
      <w:r>
        <w:rPr>
          <w:spacing w:val="-6"/>
          <w:sz w:val="18"/>
          <w:szCs w:val="18"/>
          <w:lang w:val="es-ES_tradnl"/>
        </w:rPr>
        <w:t xml:space="preserve">n planteada por considerar que </w:t>
      </w:r>
      <w:r>
        <w:rPr>
          <w:spacing w:val="-8"/>
          <w:sz w:val="18"/>
          <w:szCs w:val="18"/>
          <w:lang w:val="es-ES_tradnl"/>
        </w:rPr>
        <w:t>cumple con los requisitos previstos en los art</w:t>
      </w:r>
      <w:r>
        <w:rPr>
          <w:rFonts w:cs="Times New Roman"/>
          <w:spacing w:val="-8"/>
          <w:sz w:val="18"/>
          <w:szCs w:val="18"/>
          <w:lang w:val="es-ES_tradnl"/>
        </w:rPr>
        <w:t>í</w:t>
      </w:r>
      <w:r>
        <w:rPr>
          <w:spacing w:val="-8"/>
          <w:sz w:val="18"/>
          <w:szCs w:val="18"/>
          <w:lang w:val="es-ES_tradnl"/>
        </w:rPr>
        <w:t>culos 61 y 62 de la Ley Org</w:t>
      </w:r>
      <w:r>
        <w:rPr>
          <w:rFonts w:cs="Times New Roman"/>
          <w:spacing w:val="-8"/>
          <w:sz w:val="18"/>
          <w:szCs w:val="18"/>
          <w:lang w:val="es-ES_tradnl"/>
        </w:rPr>
        <w:t>á</w:t>
      </w:r>
      <w:r>
        <w:rPr>
          <w:spacing w:val="-8"/>
          <w:sz w:val="18"/>
          <w:szCs w:val="18"/>
          <w:lang w:val="es-ES_tradnl"/>
        </w:rPr>
        <w:t>nica de Garant</w:t>
      </w:r>
      <w:r>
        <w:rPr>
          <w:rFonts w:cs="Times New Roman"/>
          <w:spacing w:val="-8"/>
          <w:sz w:val="18"/>
          <w:szCs w:val="18"/>
          <w:lang w:val="es-ES_tradnl"/>
        </w:rPr>
        <w:t>í</w:t>
      </w:r>
      <w:r>
        <w:rPr>
          <w:spacing w:val="-8"/>
          <w:sz w:val="18"/>
          <w:szCs w:val="18"/>
          <w:lang w:val="es-ES_tradnl"/>
        </w:rPr>
        <w:t xml:space="preserve">as Jurisdiccionales y Control </w:t>
      </w:r>
      <w:r>
        <w:rPr>
          <w:sz w:val="18"/>
          <w:szCs w:val="18"/>
          <w:lang w:val="es-ES_tradnl"/>
        </w:rPr>
        <w:t>Constitucional.</w:t>
      </w:r>
    </w:p>
    <w:p w14:paraId="4F67AF0E" w14:textId="77777777" w:rsidR="00591D54" w:rsidRDefault="00591D54">
      <w:pPr>
        <w:shd w:val="clear" w:color="auto" w:fill="FFFFFF"/>
        <w:spacing w:before="197" w:line="216" w:lineRule="exact"/>
        <w:jc w:val="both"/>
      </w:pPr>
      <w:r>
        <w:rPr>
          <w:sz w:val="18"/>
          <w:szCs w:val="18"/>
          <w:lang w:val="es-ES_tradnl"/>
        </w:rPr>
        <w:t xml:space="preserve">El 09 de octubre de 2013, el Pleno del Organismo </w:t>
      </w:r>
      <w:r>
        <w:rPr>
          <w:spacing w:val="-9"/>
          <w:sz w:val="18"/>
          <w:szCs w:val="18"/>
          <w:lang w:val="es-ES_tradnl"/>
        </w:rPr>
        <w:t>procedi</w:t>
      </w:r>
      <w:r>
        <w:rPr>
          <w:rFonts w:cs="Times New Roman"/>
          <w:spacing w:val="-9"/>
          <w:sz w:val="18"/>
          <w:szCs w:val="18"/>
          <w:lang w:val="es-ES_tradnl"/>
        </w:rPr>
        <w:t>ó</w:t>
      </w:r>
      <w:r>
        <w:rPr>
          <w:spacing w:val="-9"/>
          <w:sz w:val="18"/>
          <w:szCs w:val="18"/>
          <w:lang w:val="es-ES_tradnl"/>
        </w:rPr>
        <w:t xml:space="preserve"> al sorteo de las causas, correspondi</w:t>
      </w:r>
      <w:r>
        <w:rPr>
          <w:rFonts w:cs="Times New Roman"/>
          <w:spacing w:val="-9"/>
          <w:sz w:val="18"/>
          <w:szCs w:val="18"/>
          <w:lang w:val="es-ES_tradnl"/>
        </w:rPr>
        <w:t>é</w:t>
      </w:r>
      <w:r>
        <w:rPr>
          <w:spacing w:val="-9"/>
          <w:sz w:val="18"/>
          <w:szCs w:val="18"/>
          <w:lang w:val="es-ES_tradnl"/>
        </w:rPr>
        <w:t xml:space="preserve">ndole al juez </w:t>
      </w:r>
      <w:r>
        <w:rPr>
          <w:spacing w:val="-4"/>
          <w:sz w:val="18"/>
          <w:szCs w:val="18"/>
          <w:lang w:val="es-ES_tradnl"/>
        </w:rPr>
        <w:t>constitucional Fabi</w:t>
      </w:r>
      <w:r>
        <w:rPr>
          <w:rFonts w:cs="Times New Roman"/>
          <w:spacing w:val="-4"/>
          <w:sz w:val="18"/>
          <w:szCs w:val="18"/>
          <w:lang w:val="es-ES_tradnl"/>
        </w:rPr>
        <w:t>á</w:t>
      </w:r>
      <w:r>
        <w:rPr>
          <w:spacing w:val="-4"/>
          <w:sz w:val="18"/>
          <w:szCs w:val="18"/>
          <w:lang w:val="es-ES_tradnl"/>
        </w:rPr>
        <w:t xml:space="preserve">n Marcelo Jaramillo Villa, sustanciar </w:t>
      </w:r>
      <w:r>
        <w:rPr>
          <w:spacing w:val="-9"/>
          <w:sz w:val="18"/>
          <w:szCs w:val="18"/>
          <w:lang w:val="es-ES_tradnl"/>
        </w:rPr>
        <w:t>el presente proceso, conforme consta en el memorando de Secretar</w:t>
      </w:r>
      <w:r>
        <w:rPr>
          <w:rFonts w:cs="Times New Roman"/>
          <w:spacing w:val="-9"/>
          <w:sz w:val="18"/>
          <w:szCs w:val="18"/>
          <w:lang w:val="es-ES_tradnl"/>
        </w:rPr>
        <w:t>í</w:t>
      </w:r>
      <w:r>
        <w:rPr>
          <w:spacing w:val="-9"/>
          <w:sz w:val="18"/>
          <w:szCs w:val="18"/>
          <w:lang w:val="es-ES_tradnl"/>
        </w:rPr>
        <w:t>a General de la Corte Constitucional N.</w:t>
      </w:r>
      <w:r>
        <w:rPr>
          <w:rFonts w:cs="Times New Roman"/>
          <w:spacing w:val="-9"/>
          <w:sz w:val="18"/>
          <w:szCs w:val="18"/>
          <w:lang w:val="es-ES_tradnl"/>
        </w:rPr>
        <w:t>º</w:t>
      </w:r>
      <w:r>
        <w:rPr>
          <w:spacing w:val="-9"/>
          <w:sz w:val="18"/>
          <w:szCs w:val="18"/>
          <w:lang w:val="es-ES_tradnl"/>
        </w:rPr>
        <w:t xml:space="preserve"> 449-CCE-</w:t>
      </w:r>
      <w:r>
        <w:rPr>
          <w:sz w:val="18"/>
          <w:szCs w:val="18"/>
          <w:lang w:val="es-ES_tradnl"/>
        </w:rPr>
        <w:t>SG-SUS-2013 del 16 de octubre de 2013.</w:t>
      </w:r>
    </w:p>
    <w:p w14:paraId="4F67AF0F" w14:textId="77777777" w:rsidR="00591D54" w:rsidRDefault="00591D54">
      <w:pPr>
        <w:shd w:val="clear" w:color="auto" w:fill="FFFFFF"/>
        <w:spacing w:before="197" w:line="216" w:lineRule="exact"/>
        <w:jc w:val="both"/>
      </w:pPr>
      <w:r>
        <w:rPr>
          <w:spacing w:val="-10"/>
          <w:sz w:val="18"/>
          <w:szCs w:val="18"/>
          <w:lang w:val="es-ES_tradnl"/>
        </w:rPr>
        <w:t xml:space="preserve">Mediante auto de 29 de mayo de 2015, el juez constitucional </w:t>
      </w:r>
      <w:r>
        <w:rPr>
          <w:spacing w:val="-5"/>
          <w:sz w:val="18"/>
          <w:szCs w:val="18"/>
          <w:lang w:val="es-ES_tradnl"/>
        </w:rPr>
        <w:t>Fabi</w:t>
      </w:r>
      <w:r>
        <w:rPr>
          <w:rFonts w:cs="Times New Roman"/>
          <w:spacing w:val="-5"/>
          <w:sz w:val="18"/>
          <w:szCs w:val="18"/>
          <w:lang w:val="es-ES_tradnl"/>
        </w:rPr>
        <w:t>á</w:t>
      </w:r>
      <w:r>
        <w:rPr>
          <w:spacing w:val="-5"/>
          <w:sz w:val="18"/>
          <w:szCs w:val="18"/>
          <w:lang w:val="es-ES_tradnl"/>
        </w:rPr>
        <w:t>n Marcelo Jaramillo Villa avoc</w:t>
      </w:r>
      <w:r>
        <w:rPr>
          <w:rFonts w:cs="Times New Roman"/>
          <w:spacing w:val="-5"/>
          <w:sz w:val="18"/>
          <w:szCs w:val="18"/>
          <w:lang w:val="es-ES_tradnl"/>
        </w:rPr>
        <w:t>ó</w:t>
      </w:r>
      <w:r>
        <w:rPr>
          <w:spacing w:val="-5"/>
          <w:sz w:val="18"/>
          <w:szCs w:val="18"/>
          <w:lang w:val="es-ES_tradnl"/>
        </w:rPr>
        <w:t xml:space="preserve"> conocimiento de la </w:t>
      </w:r>
      <w:r>
        <w:rPr>
          <w:spacing w:val="-7"/>
          <w:sz w:val="18"/>
          <w:szCs w:val="18"/>
          <w:lang w:val="es-ES_tradnl"/>
        </w:rPr>
        <w:t>presente causa y determin</w:t>
      </w:r>
      <w:r>
        <w:rPr>
          <w:rFonts w:cs="Times New Roman"/>
          <w:spacing w:val="-7"/>
          <w:sz w:val="18"/>
          <w:szCs w:val="18"/>
          <w:lang w:val="es-ES_tradnl"/>
        </w:rPr>
        <w:t>ó</w:t>
      </w:r>
      <w:r>
        <w:rPr>
          <w:spacing w:val="-7"/>
          <w:sz w:val="18"/>
          <w:szCs w:val="18"/>
          <w:lang w:val="es-ES_tradnl"/>
        </w:rPr>
        <w:t xml:space="preserve"> su competencia para conocer y resolver la presente acci</w:t>
      </w:r>
      <w:r>
        <w:rPr>
          <w:rFonts w:cs="Times New Roman"/>
          <w:spacing w:val="-7"/>
          <w:sz w:val="18"/>
          <w:szCs w:val="18"/>
          <w:lang w:val="es-ES_tradnl"/>
        </w:rPr>
        <w:t>ó</w:t>
      </w:r>
      <w:r>
        <w:rPr>
          <w:spacing w:val="-7"/>
          <w:sz w:val="18"/>
          <w:szCs w:val="18"/>
          <w:lang w:val="es-ES_tradnl"/>
        </w:rPr>
        <w:t>n extraordinaria de protecci</w:t>
      </w:r>
      <w:r>
        <w:rPr>
          <w:rFonts w:cs="Times New Roman"/>
          <w:spacing w:val="-7"/>
          <w:sz w:val="18"/>
          <w:szCs w:val="18"/>
          <w:lang w:val="es-ES_tradnl"/>
        </w:rPr>
        <w:t>ó</w:t>
      </w:r>
      <w:r>
        <w:rPr>
          <w:spacing w:val="-7"/>
          <w:sz w:val="18"/>
          <w:szCs w:val="18"/>
          <w:lang w:val="es-ES_tradnl"/>
        </w:rPr>
        <w:t>n.</w:t>
      </w:r>
    </w:p>
    <w:p w14:paraId="4F67AF10" w14:textId="77777777" w:rsidR="00591D54" w:rsidRDefault="00591D54">
      <w:pPr>
        <w:shd w:val="clear" w:color="auto" w:fill="FFFFFF"/>
        <w:spacing w:before="192"/>
      </w:pPr>
      <w:r>
        <w:rPr>
          <w:b/>
          <w:bCs/>
          <w:spacing w:val="-8"/>
          <w:sz w:val="18"/>
          <w:szCs w:val="18"/>
          <w:lang w:val="es-ES_tradnl"/>
        </w:rPr>
        <w:t>Decisi</w:t>
      </w:r>
      <w:r>
        <w:rPr>
          <w:rFonts w:cs="Times New Roman"/>
          <w:b/>
          <w:bCs/>
          <w:spacing w:val="-8"/>
          <w:sz w:val="18"/>
          <w:szCs w:val="18"/>
          <w:lang w:val="es-ES_tradnl"/>
        </w:rPr>
        <w:t>ó</w:t>
      </w:r>
      <w:r>
        <w:rPr>
          <w:b/>
          <w:bCs/>
          <w:spacing w:val="-8"/>
          <w:sz w:val="18"/>
          <w:szCs w:val="18"/>
          <w:lang w:val="es-ES_tradnl"/>
        </w:rPr>
        <w:t>n judicial impugnada</w:t>
      </w:r>
    </w:p>
    <w:p w14:paraId="4F67AF11" w14:textId="77777777" w:rsidR="00591D54" w:rsidRDefault="00591D54">
      <w:pPr>
        <w:shd w:val="clear" w:color="auto" w:fill="FFFFFF"/>
        <w:spacing w:before="192" w:line="216" w:lineRule="exact"/>
        <w:jc w:val="both"/>
      </w:pPr>
      <w:r>
        <w:rPr>
          <w:spacing w:val="-5"/>
          <w:sz w:val="18"/>
          <w:szCs w:val="18"/>
          <w:lang w:val="es-ES_tradnl"/>
        </w:rPr>
        <w:t>La decisi</w:t>
      </w:r>
      <w:r>
        <w:rPr>
          <w:rFonts w:cs="Times New Roman"/>
          <w:spacing w:val="-5"/>
          <w:sz w:val="18"/>
          <w:szCs w:val="18"/>
          <w:lang w:val="es-ES_tradnl"/>
        </w:rPr>
        <w:t>ó</w:t>
      </w:r>
      <w:r>
        <w:rPr>
          <w:spacing w:val="-5"/>
          <w:sz w:val="18"/>
          <w:szCs w:val="18"/>
          <w:lang w:val="es-ES_tradnl"/>
        </w:rPr>
        <w:t xml:space="preserve">n judicial impugnada es el auto dictado por los </w:t>
      </w:r>
      <w:r>
        <w:rPr>
          <w:spacing w:val="-6"/>
          <w:sz w:val="18"/>
          <w:szCs w:val="18"/>
          <w:lang w:val="es-ES_tradnl"/>
        </w:rPr>
        <w:t>jueces de la Sala Especializada de la Familia, Ni</w:t>
      </w:r>
      <w:r>
        <w:rPr>
          <w:rFonts w:cs="Times New Roman"/>
          <w:spacing w:val="-6"/>
          <w:sz w:val="18"/>
          <w:szCs w:val="18"/>
          <w:lang w:val="es-ES_tradnl"/>
        </w:rPr>
        <w:t>ñ</w:t>
      </w:r>
      <w:r>
        <w:rPr>
          <w:spacing w:val="-6"/>
          <w:sz w:val="18"/>
          <w:szCs w:val="18"/>
          <w:lang w:val="es-ES_tradnl"/>
        </w:rPr>
        <w:t xml:space="preserve">ez y </w:t>
      </w:r>
      <w:r>
        <w:rPr>
          <w:spacing w:val="-9"/>
          <w:sz w:val="18"/>
          <w:szCs w:val="18"/>
          <w:lang w:val="es-ES_tradnl"/>
        </w:rPr>
        <w:t xml:space="preserve">Adolescencia de la Corte Nacional de Justicia de 11 de abril </w:t>
      </w:r>
      <w:r>
        <w:rPr>
          <w:sz w:val="18"/>
          <w:szCs w:val="18"/>
          <w:lang w:val="es-ES_tradnl"/>
        </w:rPr>
        <w:t>de 2013, la misma que reza lo siguiente:</w:t>
      </w:r>
    </w:p>
    <w:p w14:paraId="4F67AF12" w14:textId="77777777" w:rsidR="00591D54" w:rsidRDefault="00591D54">
      <w:pPr>
        <w:shd w:val="clear" w:color="auto" w:fill="FFFFFF"/>
        <w:spacing w:before="202" w:line="216" w:lineRule="exact"/>
        <w:ind w:left="283" w:right="5"/>
        <w:jc w:val="both"/>
      </w:pPr>
      <w:r>
        <w:rPr>
          <w:rFonts w:cs="Times New Roman"/>
          <w:spacing w:val="-2"/>
          <w:sz w:val="16"/>
          <w:szCs w:val="16"/>
          <w:lang w:val="es-ES_tradnl"/>
        </w:rPr>
        <w:t>…</w:t>
      </w:r>
      <w:r>
        <w:rPr>
          <w:spacing w:val="-2"/>
          <w:sz w:val="16"/>
          <w:szCs w:val="16"/>
          <w:lang w:val="es-ES_tradnl"/>
        </w:rPr>
        <w:t xml:space="preserve">COMPETENCIA: </w:t>
      </w:r>
      <w:r>
        <w:rPr>
          <w:b/>
          <w:bCs/>
          <w:spacing w:val="-2"/>
          <w:sz w:val="16"/>
          <w:szCs w:val="16"/>
          <w:lang w:val="es-ES_tradnl"/>
        </w:rPr>
        <w:t xml:space="preserve">2.1. </w:t>
      </w:r>
      <w:r>
        <w:rPr>
          <w:spacing w:val="-2"/>
          <w:sz w:val="16"/>
          <w:szCs w:val="16"/>
          <w:lang w:val="es-ES_tradnl"/>
        </w:rPr>
        <w:t xml:space="preserve">El Art. 44, numeral 1 de la Ley </w:t>
      </w:r>
      <w:r>
        <w:rPr>
          <w:spacing w:val="-7"/>
          <w:sz w:val="16"/>
          <w:szCs w:val="16"/>
          <w:lang w:val="es-ES_tradnl"/>
        </w:rPr>
        <w:t>Org</w:t>
      </w:r>
      <w:r>
        <w:rPr>
          <w:rFonts w:cs="Times New Roman"/>
          <w:spacing w:val="-7"/>
          <w:sz w:val="16"/>
          <w:szCs w:val="16"/>
          <w:lang w:val="es-ES_tradnl"/>
        </w:rPr>
        <w:t>á</w:t>
      </w:r>
      <w:r>
        <w:rPr>
          <w:spacing w:val="-7"/>
          <w:sz w:val="16"/>
          <w:szCs w:val="16"/>
          <w:lang w:val="es-ES_tradnl"/>
        </w:rPr>
        <w:t>nica de Garant</w:t>
      </w:r>
      <w:r>
        <w:rPr>
          <w:rFonts w:cs="Times New Roman"/>
          <w:spacing w:val="-7"/>
          <w:sz w:val="16"/>
          <w:szCs w:val="16"/>
          <w:lang w:val="es-ES_tradnl"/>
        </w:rPr>
        <w:t>í</w:t>
      </w:r>
      <w:r>
        <w:rPr>
          <w:spacing w:val="-7"/>
          <w:sz w:val="16"/>
          <w:szCs w:val="16"/>
          <w:lang w:val="es-ES_tradnl"/>
        </w:rPr>
        <w:t xml:space="preserve">as Jurisdiccionales, en concordancia con </w:t>
      </w:r>
      <w:r>
        <w:rPr>
          <w:spacing w:val="-5"/>
          <w:sz w:val="16"/>
          <w:szCs w:val="16"/>
          <w:lang w:val="es-ES_tradnl"/>
        </w:rPr>
        <w:t>el Art. 89 de la Constituci</w:t>
      </w:r>
      <w:r>
        <w:rPr>
          <w:rFonts w:cs="Times New Roman"/>
          <w:spacing w:val="-5"/>
          <w:sz w:val="16"/>
          <w:szCs w:val="16"/>
          <w:lang w:val="es-ES_tradnl"/>
        </w:rPr>
        <w:t>ó</w:t>
      </w:r>
      <w:r>
        <w:rPr>
          <w:spacing w:val="-5"/>
          <w:sz w:val="16"/>
          <w:szCs w:val="16"/>
          <w:lang w:val="es-ES_tradnl"/>
        </w:rPr>
        <w:t>n de la Rep</w:t>
      </w:r>
      <w:r>
        <w:rPr>
          <w:rFonts w:cs="Times New Roman"/>
          <w:spacing w:val="-5"/>
          <w:sz w:val="16"/>
          <w:szCs w:val="16"/>
          <w:lang w:val="es-ES_tradnl"/>
        </w:rPr>
        <w:t>ú</w:t>
      </w:r>
      <w:r>
        <w:rPr>
          <w:spacing w:val="-5"/>
          <w:sz w:val="16"/>
          <w:szCs w:val="16"/>
          <w:lang w:val="es-ES_tradnl"/>
        </w:rPr>
        <w:t xml:space="preserve">blica del Ecuador, al </w:t>
      </w:r>
      <w:r>
        <w:rPr>
          <w:spacing w:val="-8"/>
          <w:sz w:val="16"/>
          <w:szCs w:val="16"/>
          <w:lang w:val="es-ES_tradnl"/>
        </w:rPr>
        <w:t>precisar el tr</w:t>
      </w:r>
      <w:r>
        <w:rPr>
          <w:rFonts w:cs="Times New Roman"/>
          <w:spacing w:val="-8"/>
          <w:sz w:val="16"/>
          <w:szCs w:val="16"/>
          <w:lang w:val="es-ES_tradnl"/>
        </w:rPr>
        <w:t>á</w:t>
      </w:r>
      <w:r>
        <w:rPr>
          <w:spacing w:val="-8"/>
          <w:sz w:val="16"/>
          <w:szCs w:val="16"/>
          <w:lang w:val="es-ES_tradnl"/>
        </w:rPr>
        <w:t>mite que ha de seguirse para ventilar la acci</w:t>
      </w:r>
      <w:r>
        <w:rPr>
          <w:rFonts w:cs="Times New Roman"/>
          <w:spacing w:val="-8"/>
          <w:sz w:val="16"/>
          <w:szCs w:val="16"/>
          <w:lang w:val="es-ES_tradnl"/>
        </w:rPr>
        <w:t>ó</w:t>
      </w:r>
      <w:r>
        <w:rPr>
          <w:spacing w:val="-8"/>
          <w:sz w:val="16"/>
          <w:szCs w:val="16"/>
          <w:lang w:val="es-ES_tradnl"/>
        </w:rPr>
        <w:t xml:space="preserve">n de </w:t>
      </w:r>
      <w:r>
        <w:rPr>
          <w:spacing w:val="-7"/>
          <w:sz w:val="16"/>
          <w:szCs w:val="16"/>
          <w:lang w:val="es-ES_tradnl"/>
        </w:rPr>
        <w:t xml:space="preserve">Habeas Corpus, dispone: </w:t>
      </w:r>
      <w:r>
        <w:rPr>
          <w:rFonts w:cs="Times New Roman"/>
          <w:spacing w:val="-7"/>
          <w:sz w:val="16"/>
          <w:szCs w:val="16"/>
          <w:lang w:val="es-ES_tradnl"/>
        </w:rPr>
        <w:t>“</w:t>
      </w:r>
      <w:r>
        <w:rPr>
          <w:spacing w:val="-7"/>
          <w:sz w:val="16"/>
          <w:szCs w:val="16"/>
          <w:lang w:val="es-ES_tradnl"/>
        </w:rPr>
        <w:t>1. La acci</w:t>
      </w:r>
      <w:r>
        <w:rPr>
          <w:rFonts w:cs="Times New Roman"/>
          <w:spacing w:val="-7"/>
          <w:sz w:val="16"/>
          <w:szCs w:val="16"/>
          <w:lang w:val="es-ES_tradnl"/>
        </w:rPr>
        <w:t>ó</w:t>
      </w:r>
      <w:r>
        <w:rPr>
          <w:spacing w:val="-7"/>
          <w:sz w:val="16"/>
          <w:szCs w:val="16"/>
          <w:lang w:val="es-ES_tradnl"/>
        </w:rPr>
        <w:t xml:space="preserve">n puede ser interpuesta </w:t>
      </w:r>
      <w:r>
        <w:rPr>
          <w:spacing w:val="-8"/>
          <w:sz w:val="16"/>
          <w:szCs w:val="16"/>
          <w:lang w:val="es-ES_tradnl"/>
        </w:rPr>
        <w:t>ante cualquier jueza o juez del lugar donde se presuma est</w:t>
      </w:r>
      <w:r>
        <w:rPr>
          <w:rFonts w:cs="Times New Roman"/>
          <w:spacing w:val="-8"/>
          <w:sz w:val="16"/>
          <w:szCs w:val="16"/>
          <w:lang w:val="es-ES_tradnl"/>
        </w:rPr>
        <w:t xml:space="preserve">á </w:t>
      </w:r>
      <w:r>
        <w:rPr>
          <w:spacing w:val="-3"/>
          <w:sz w:val="16"/>
          <w:szCs w:val="16"/>
          <w:lang w:val="es-ES_tradnl"/>
        </w:rPr>
        <w:t>privada de libertad la persona. Cuando se desconozca el lugar de privaci</w:t>
      </w:r>
      <w:r>
        <w:rPr>
          <w:rFonts w:cs="Times New Roman"/>
          <w:spacing w:val="-3"/>
          <w:sz w:val="16"/>
          <w:szCs w:val="16"/>
          <w:lang w:val="es-ES_tradnl"/>
        </w:rPr>
        <w:t>ó</w:t>
      </w:r>
      <w:r>
        <w:rPr>
          <w:spacing w:val="-3"/>
          <w:sz w:val="16"/>
          <w:szCs w:val="16"/>
          <w:lang w:val="es-ES_tradnl"/>
        </w:rPr>
        <w:t>n de libertad, se podr</w:t>
      </w:r>
      <w:r>
        <w:rPr>
          <w:rFonts w:cs="Times New Roman"/>
          <w:spacing w:val="-3"/>
          <w:sz w:val="16"/>
          <w:szCs w:val="16"/>
          <w:lang w:val="es-ES_tradnl"/>
        </w:rPr>
        <w:t>á</w:t>
      </w:r>
      <w:r>
        <w:rPr>
          <w:spacing w:val="-3"/>
          <w:sz w:val="16"/>
          <w:szCs w:val="16"/>
          <w:lang w:val="es-ES_tradnl"/>
        </w:rPr>
        <w:t xml:space="preserve"> presentar la acci</w:t>
      </w:r>
      <w:r>
        <w:rPr>
          <w:rFonts w:cs="Times New Roman"/>
          <w:spacing w:val="-3"/>
          <w:sz w:val="16"/>
          <w:szCs w:val="16"/>
          <w:lang w:val="es-ES_tradnl"/>
        </w:rPr>
        <w:t>ó</w:t>
      </w:r>
      <w:r>
        <w:rPr>
          <w:spacing w:val="-3"/>
          <w:sz w:val="16"/>
          <w:szCs w:val="16"/>
          <w:lang w:val="es-ES_tradnl"/>
        </w:rPr>
        <w:t>n</w:t>
      </w:r>
    </w:p>
    <w:p w14:paraId="4F67AF13" w14:textId="77777777" w:rsidR="00591D54" w:rsidRDefault="00591D54">
      <w:pPr>
        <w:shd w:val="clear" w:color="auto" w:fill="FFFFFF"/>
        <w:spacing w:before="158" w:line="216" w:lineRule="exact"/>
        <w:ind w:left="283"/>
        <w:jc w:val="both"/>
      </w:pPr>
      <w:r>
        <w:br w:type="column"/>
      </w:r>
      <w:r>
        <w:rPr>
          <w:spacing w:val="-6"/>
          <w:sz w:val="16"/>
          <w:szCs w:val="16"/>
          <w:lang w:val="es-ES_tradnl"/>
        </w:rPr>
        <w:t xml:space="preserve">ante la jueza o juez del domicilio del accionante. Cuando la </w:t>
      </w:r>
      <w:r>
        <w:rPr>
          <w:spacing w:val="-5"/>
          <w:sz w:val="16"/>
          <w:szCs w:val="16"/>
          <w:lang w:val="es-ES_tradnl"/>
        </w:rPr>
        <w:t>orden de privaci</w:t>
      </w:r>
      <w:r>
        <w:rPr>
          <w:rFonts w:cs="Times New Roman"/>
          <w:spacing w:val="-5"/>
          <w:sz w:val="16"/>
          <w:szCs w:val="16"/>
          <w:lang w:val="es-ES_tradnl"/>
        </w:rPr>
        <w:t>ó</w:t>
      </w:r>
      <w:r>
        <w:rPr>
          <w:spacing w:val="-5"/>
          <w:sz w:val="16"/>
          <w:szCs w:val="16"/>
          <w:lang w:val="es-ES_tradnl"/>
        </w:rPr>
        <w:t xml:space="preserve">n de la libertad haya sido dispuesta en un </w:t>
      </w:r>
      <w:r>
        <w:rPr>
          <w:spacing w:val="-6"/>
          <w:sz w:val="16"/>
          <w:szCs w:val="16"/>
          <w:lang w:val="es-ES_tradnl"/>
        </w:rPr>
        <w:t>proceso penal, la acci</w:t>
      </w:r>
      <w:r>
        <w:rPr>
          <w:rFonts w:cs="Times New Roman"/>
          <w:spacing w:val="-6"/>
          <w:sz w:val="16"/>
          <w:szCs w:val="16"/>
          <w:lang w:val="es-ES_tradnl"/>
        </w:rPr>
        <w:t>ó</w:t>
      </w:r>
      <w:r>
        <w:rPr>
          <w:spacing w:val="-6"/>
          <w:sz w:val="16"/>
          <w:szCs w:val="16"/>
          <w:lang w:val="es-ES_tradnl"/>
        </w:rPr>
        <w:t>n se impondr</w:t>
      </w:r>
      <w:r>
        <w:rPr>
          <w:rFonts w:cs="Times New Roman"/>
          <w:spacing w:val="-6"/>
          <w:sz w:val="16"/>
          <w:szCs w:val="16"/>
          <w:lang w:val="es-ES_tradnl"/>
        </w:rPr>
        <w:t>á</w:t>
      </w:r>
      <w:r>
        <w:rPr>
          <w:spacing w:val="-6"/>
          <w:sz w:val="16"/>
          <w:szCs w:val="16"/>
          <w:lang w:val="es-ES_tradnl"/>
        </w:rPr>
        <w:t xml:space="preserve"> ante la Corte Provincial </w:t>
      </w:r>
      <w:r>
        <w:rPr>
          <w:spacing w:val="-3"/>
          <w:sz w:val="16"/>
          <w:szCs w:val="16"/>
          <w:lang w:val="es-ES_tradnl"/>
        </w:rPr>
        <w:t>de Justicia; de haber m</w:t>
      </w:r>
      <w:r>
        <w:rPr>
          <w:rFonts w:cs="Times New Roman"/>
          <w:spacing w:val="-3"/>
          <w:sz w:val="16"/>
          <w:szCs w:val="16"/>
          <w:lang w:val="es-ES_tradnl"/>
        </w:rPr>
        <w:t>á</w:t>
      </w:r>
      <w:r>
        <w:rPr>
          <w:spacing w:val="-3"/>
          <w:sz w:val="16"/>
          <w:szCs w:val="16"/>
          <w:lang w:val="es-ES_tradnl"/>
        </w:rPr>
        <w:t>s de una sala, se sortear</w:t>
      </w:r>
      <w:r>
        <w:rPr>
          <w:rFonts w:cs="Times New Roman"/>
          <w:spacing w:val="-3"/>
          <w:sz w:val="16"/>
          <w:szCs w:val="16"/>
          <w:lang w:val="es-ES_tradnl"/>
        </w:rPr>
        <w:t>á</w:t>
      </w:r>
      <w:r>
        <w:rPr>
          <w:spacing w:val="-3"/>
          <w:sz w:val="16"/>
          <w:szCs w:val="16"/>
          <w:lang w:val="es-ES_tradnl"/>
        </w:rPr>
        <w:t xml:space="preserve"> entre </w:t>
      </w:r>
      <w:r>
        <w:rPr>
          <w:spacing w:val="-1"/>
          <w:sz w:val="16"/>
          <w:szCs w:val="16"/>
          <w:lang w:val="es-ES_tradnl"/>
        </w:rPr>
        <w:t>ellas</w:t>
      </w:r>
      <w:r>
        <w:rPr>
          <w:rFonts w:cs="Times New Roman"/>
          <w:spacing w:val="-1"/>
          <w:sz w:val="16"/>
          <w:szCs w:val="16"/>
          <w:lang w:val="es-ES_tradnl"/>
        </w:rPr>
        <w:t>”</w:t>
      </w:r>
      <w:r>
        <w:rPr>
          <w:spacing w:val="-1"/>
          <w:sz w:val="16"/>
          <w:szCs w:val="16"/>
          <w:lang w:val="es-ES_tradnl"/>
        </w:rPr>
        <w:t xml:space="preserve">. </w:t>
      </w:r>
      <w:r>
        <w:rPr>
          <w:b/>
          <w:bCs/>
          <w:spacing w:val="-1"/>
          <w:sz w:val="16"/>
          <w:szCs w:val="16"/>
          <w:lang w:val="es-ES_tradnl"/>
        </w:rPr>
        <w:t xml:space="preserve">2.2 </w:t>
      </w:r>
      <w:r>
        <w:rPr>
          <w:spacing w:val="-1"/>
          <w:sz w:val="16"/>
          <w:szCs w:val="16"/>
          <w:lang w:val="es-ES_tradnl"/>
        </w:rPr>
        <w:t xml:space="preserve">Por su parte, el inciso primero del Art. 7 de la </w:t>
      </w:r>
      <w:r>
        <w:rPr>
          <w:spacing w:val="-3"/>
          <w:sz w:val="16"/>
          <w:szCs w:val="16"/>
          <w:lang w:val="es-ES_tradnl"/>
        </w:rPr>
        <w:t>Ley de la referencia, que forma parte del T</w:t>
      </w:r>
      <w:r>
        <w:rPr>
          <w:rFonts w:cs="Times New Roman"/>
          <w:spacing w:val="-3"/>
          <w:sz w:val="16"/>
          <w:szCs w:val="16"/>
          <w:lang w:val="es-ES_tradnl"/>
        </w:rPr>
        <w:t>í</w:t>
      </w:r>
      <w:r>
        <w:rPr>
          <w:spacing w:val="-3"/>
          <w:sz w:val="16"/>
          <w:szCs w:val="16"/>
          <w:lang w:val="es-ES_tradnl"/>
        </w:rPr>
        <w:t>tulo II, Cap</w:t>
      </w:r>
      <w:r>
        <w:rPr>
          <w:rFonts w:cs="Times New Roman"/>
          <w:spacing w:val="-3"/>
          <w:sz w:val="16"/>
          <w:szCs w:val="16"/>
          <w:lang w:val="es-ES_tradnl"/>
        </w:rPr>
        <w:t>í</w:t>
      </w:r>
      <w:r>
        <w:rPr>
          <w:spacing w:val="-3"/>
          <w:sz w:val="16"/>
          <w:szCs w:val="16"/>
          <w:lang w:val="es-ES_tradnl"/>
        </w:rPr>
        <w:t xml:space="preserve">tulo </w:t>
      </w:r>
      <w:r>
        <w:rPr>
          <w:spacing w:val="-6"/>
          <w:sz w:val="16"/>
          <w:szCs w:val="16"/>
          <w:lang w:val="es-ES_tradnl"/>
        </w:rPr>
        <w:t xml:space="preserve">I, que contiene las normas comunes al procedimiento de las </w:t>
      </w:r>
      <w:r>
        <w:rPr>
          <w:spacing w:val="-7"/>
          <w:sz w:val="16"/>
          <w:szCs w:val="16"/>
          <w:lang w:val="es-ES_tradnl"/>
        </w:rPr>
        <w:t>Garant</w:t>
      </w:r>
      <w:r>
        <w:rPr>
          <w:rFonts w:cs="Times New Roman"/>
          <w:spacing w:val="-7"/>
          <w:sz w:val="16"/>
          <w:szCs w:val="16"/>
          <w:lang w:val="es-ES_tradnl"/>
        </w:rPr>
        <w:t>í</w:t>
      </w:r>
      <w:r>
        <w:rPr>
          <w:spacing w:val="-7"/>
          <w:sz w:val="16"/>
          <w:szCs w:val="16"/>
          <w:lang w:val="es-ES_tradnl"/>
        </w:rPr>
        <w:t xml:space="preserve">as Jurisdiccionales de los Derechos Constitucionales, </w:t>
      </w:r>
      <w:r>
        <w:rPr>
          <w:spacing w:val="-2"/>
          <w:sz w:val="16"/>
          <w:szCs w:val="16"/>
          <w:lang w:val="es-ES_tradnl"/>
        </w:rPr>
        <w:t xml:space="preserve">dice: </w:t>
      </w:r>
      <w:r>
        <w:rPr>
          <w:rFonts w:cs="Times New Roman"/>
          <w:spacing w:val="-2"/>
          <w:sz w:val="16"/>
          <w:szCs w:val="16"/>
          <w:lang w:val="es-ES_tradnl"/>
        </w:rPr>
        <w:t>“</w:t>
      </w:r>
      <w:r>
        <w:rPr>
          <w:spacing w:val="-2"/>
          <w:sz w:val="16"/>
          <w:szCs w:val="16"/>
          <w:lang w:val="es-ES_tradnl"/>
        </w:rPr>
        <w:t>Competencia.- Ser</w:t>
      </w:r>
      <w:r>
        <w:rPr>
          <w:rFonts w:cs="Times New Roman"/>
          <w:spacing w:val="-2"/>
          <w:sz w:val="16"/>
          <w:szCs w:val="16"/>
          <w:lang w:val="es-ES_tradnl"/>
        </w:rPr>
        <w:t>á</w:t>
      </w:r>
      <w:r>
        <w:rPr>
          <w:spacing w:val="-2"/>
          <w:sz w:val="16"/>
          <w:szCs w:val="16"/>
          <w:lang w:val="es-ES_tradnl"/>
        </w:rPr>
        <w:t xml:space="preserve"> competente cualquier jueza o </w:t>
      </w:r>
      <w:r>
        <w:rPr>
          <w:spacing w:val="-6"/>
          <w:sz w:val="16"/>
          <w:szCs w:val="16"/>
          <w:lang w:val="es-ES_tradnl"/>
        </w:rPr>
        <w:t xml:space="preserve">juez de primera instancia del lugar donde se origina el acto u </w:t>
      </w:r>
      <w:r>
        <w:rPr>
          <w:spacing w:val="-9"/>
          <w:sz w:val="16"/>
          <w:szCs w:val="16"/>
          <w:lang w:val="es-ES_tradnl"/>
        </w:rPr>
        <w:t>omisi</w:t>
      </w:r>
      <w:r>
        <w:rPr>
          <w:rFonts w:cs="Times New Roman"/>
          <w:spacing w:val="-9"/>
          <w:sz w:val="16"/>
          <w:szCs w:val="16"/>
          <w:lang w:val="es-ES_tradnl"/>
        </w:rPr>
        <w:t>ó</w:t>
      </w:r>
      <w:r>
        <w:rPr>
          <w:spacing w:val="-9"/>
          <w:sz w:val="16"/>
          <w:szCs w:val="16"/>
          <w:lang w:val="es-ES_tradnl"/>
        </w:rPr>
        <w:t>n o donde se producen sus efectos</w:t>
      </w:r>
      <w:r>
        <w:rPr>
          <w:rFonts w:cs="Times New Roman"/>
          <w:spacing w:val="-9"/>
          <w:sz w:val="16"/>
          <w:szCs w:val="16"/>
          <w:lang w:val="es-ES_tradnl"/>
        </w:rPr>
        <w:t>…”</w:t>
      </w:r>
      <w:r>
        <w:rPr>
          <w:spacing w:val="-9"/>
          <w:sz w:val="16"/>
          <w:szCs w:val="16"/>
          <w:lang w:val="es-ES_tradnl"/>
        </w:rPr>
        <w:t xml:space="preserve">, de modo que fija </w:t>
      </w:r>
      <w:r>
        <w:rPr>
          <w:spacing w:val="-6"/>
          <w:sz w:val="16"/>
          <w:szCs w:val="16"/>
          <w:lang w:val="es-ES_tradnl"/>
        </w:rPr>
        <w:t xml:space="preserve">en los jueces de primera instancia para conocer las acciones </w:t>
      </w:r>
      <w:r>
        <w:rPr>
          <w:spacing w:val="-7"/>
          <w:sz w:val="16"/>
          <w:szCs w:val="16"/>
          <w:lang w:val="es-ES_tradnl"/>
        </w:rPr>
        <w:t>de H</w:t>
      </w:r>
      <w:r>
        <w:rPr>
          <w:rFonts w:cs="Times New Roman"/>
          <w:spacing w:val="-7"/>
          <w:sz w:val="16"/>
          <w:szCs w:val="16"/>
          <w:lang w:val="es-ES_tradnl"/>
        </w:rPr>
        <w:t>á</w:t>
      </w:r>
      <w:r>
        <w:rPr>
          <w:spacing w:val="-7"/>
          <w:sz w:val="16"/>
          <w:szCs w:val="16"/>
          <w:lang w:val="es-ES_tradnl"/>
        </w:rPr>
        <w:t>beas Corpus, a excepci</w:t>
      </w:r>
      <w:r>
        <w:rPr>
          <w:rFonts w:cs="Times New Roman"/>
          <w:spacing w:val="-7"/>
          <w:sz w:val="16"/>
          <w:szCs w:val="16"/>
          <w:lang w:val="es-ES_tradnl"/>
        </w:rPr>
        <w:t>ó</w:t>
      </w:r>
      <w:r>
        <w:rPr>
          <w:spacing w:val="-7"/>
          <w:sz w:val="16"/>
          <w:szCs w:val="16"/>
          <w:lang w:val="es-ES_tradnl"/>
        </w:rPr>
        <w:t xml:space="preserve">n de aquellos casos en los que </w:t>
      </w:r>
      <w:r>
        <w:rPr>
          <w:spacing w:val="-6"/>
          <w:sz w:val="16"/>
          <w:szCs w:val="16"/>
          <w:lang w:val="es-ES_tradnl"/>
        </w:rPr>
        <w:t>la orden de privaci</w:t>
      </w:r>
      <w:r>
        <w:rPr>
          <w:rFonts w:cs="Times New Roman"/>
          <w:spacing w:val="-6"/>
          <w:sz w:val="16"/>
          <w:szCs w:val="16"/>
          <w:lang w:val="es-ES_tradnl"/>
        </w:rPr>
        <w:t>ó</w:t>
      </w:r>
      <w:r>
        <w:rPr>
          <w:spacing w:val="-6"/>
          <w:sz w:val="16"/>
          <w:szCs w:val="16"/>
          <w:lang w:val="es-ES_tradnl"/>
        </w:rPr>
        <w:t>n de la libertad haya sido dispuesta en un proceso penal, salvedad que est</w:t>
      </w:r>
      <w:r>
        <w:rPr>
          <w:rFonts w:cs="Times New Roman"/>
          <w:spacing w:val="-6"/>
          <w:sz w:val="16"/>
          <w:szCs w:val="16"/>
          <w:lang w:val="es-ES_tradnl"/>
        </w:rPr>
        <w:t>á</w:t>
      </w:r>
      <w:r>
        <w:rPr>
          <w:spacing w:val="-6"/>
          <w:sz w:val="16"/>
          <w:szCs w:val="16"/>
          <w:lang w:val="es-ES_tradnl"/>
        </w:rPr>
        <w:t xml:space="preserve"> prevista por la parte citada </w:t>
      </w:r>
      <w:r>
        <w:rPr>
          <w:spacing w:val="-5"/>
          <w:sz w:val="16"/>
          <w:szCs w:val="16"/>
          <w:lang w:val="es-ES_tradnl"/>
        </w:rPr>
        <w:t xml:space="preserve">del Art. 44. </w:t>
      </w:r>
      <w:r>
        <w:rPr>
          <w:b/>
          <w:bCs/>
          <w:spacing w:val="-5"/>
          <w:sz w:val="16"/>
          <w:szCs w:val="16"/>
          <w:lang w:val="es-ES_tradnl"/>
        </w:rPr>
        <w:t xml:space="preserve">2.3. </w:t>
      </w:r>
      <w:r>
        <w:rPr>
          <w:spacing w:val="-5"/>
          <w:sz w:val="16"/>
          <w:szCs w:val="16"/>
          <w:lang w:val="es-ES_tradnl"/>
        </w:rPr>
        <w:t>El Art. 169 de la Ley Org</w:t>
      </w:r>
      <w:r>
        <w:rPr>
          <w:rFonts w:cs="Times New Roman"/>
          <w:spacing w:val="-5"/>
          <w:sz w:val="16"/>
          <w:szCs w:val="16"/>
          <w:lang w:val="es-ES_tradnl"/>
        </w:rPr>
        <w:t>á</w:t>
      </w:r>
      <w:r>
        <w:rPr>
          <w:spacing w:val="-5"/>
          <w:sz w:val="16"/>
          <w:szCs w:val="16"/>
          <w:lang w:val="es-ES_tradnl"/>
        </w:rPr>
        <w:t>nica de Garant</w:t>
      </w:r>
      <w:r>
        <w:rPr>
          <w:rFonts w:cs="Times New Roman"/>
          <w:spacing w:val="-5"/>
          <w:sz w:val="16"/>
          <w:szCs w:val="16"/>
          <w:lang w:val="es-ES_tradnl"/>
        </w:rPr>
        <w:t>í</w:t>
      </w:r>
      <w:r>
        <w:rPr>
          <w:spacing w:val="-5"/>
          <w:sz w:val="16"/>
          <w:szCs w:val="16"/>
          <w:lang w:val="es-ES_tradnl"/>
        </w:rPr>
        <w:t>as Jurisdiccionales y Control Constitucional, prev</w:t>
      </w:r>
      <w:r>
        <w:rPr>
          <w:rFonts w:cs="Times New Roman"/>
          <w:spacing w:val="-5"/>
          <w:sz w:val="16"/>
          <w:szCs w:val="16"/>
          <w:lang w:val="es-ES_tradnl"/>
        </w:rPr>
        <w:t>é</w:t>
      </w:r>
      <w:r>
        <w:rPr>
          <w:spacing w:val="-5"/>
          <w:sz w:val="16"/>
          <w:szCs w:val="16"/>
          <w:lang w:val="es-ES_tradnl"/>
        </w:rPr>
        <w:t xml:space="preserve">: </w:t>
      </w:r>
      <w:r>
        <w:rPr>
          <w:rFonts w:cs="Times New Roman"/>
          <w:spacing w:val="-5"/>
          <w:sz w:val="16"/>
          <w:szCs w:val="16"/>
          <w:lang w:val="es-ES_tradnl"/>
        </w:rPr>
        <w:t>“</w:t>
      </w:r>
      <w:r>
        <w:rPr>
          <w:spacing w:val="-5"/>
          <w:sz w:val="16"/>
          <w:szCs w:val="16"/>
          <w:lang w:val="es-ES_tradnl"/>
        </w:rPr>
        <w:t xml:space="preserve">Compete a </w:t>
      </w:r>
      <w:r>
        <w:rPr>
          <w:spacing w:val="-9"/>
          <w:sz w:val="16"/>
          <w:szCs w:val="16"/>
          <w:lang w:val="es-ES_tradnl"/>
        </w:rPr>
        <w:t xml:space="preserve">la Corte Nacional de Justicia: 1. Conocer y resolver los recursos </w:t>
      </w:r>
      <w:r>
        <w:rPr>
          <w:spacing w:val="-10"/>
          <w:sz w:val="16"/>
          <w:szCs w:val="16"/>
          <w:lang w:val="es-ES_tradnl"/>
        </w:rPr>
        <w:t>de apelaci</w:t>
      </w:r>
      <w:r>
        <w:rPr>
          <w:rFonts w:cs="Times New Roman"/>
          <w:spacing w:val="-10"/>
          <w:sz w:val="16"/>
          <w:szCs w:val="16"/>
          <w:lang w:val="es-ES_tradnl"/>
        </w:rPr>
        <w:t>ó</w:t>
      </w:r>
      <w:r>
        <w:rPr>
          <w:spacing w:val="-10"/>
          <w:sz w:val="16"/>
          <w:szCs w:val="16"/>
          <w:lang w:val="es-ES_tradnl"/>
        </w:rPr>
        <w:t>n de las acciones de h</w:t>
      </w:r>
      <w:r>
        <w:rPr>
          <w:rFonts w:cs="Times New Roman"/>
          <w:spacing w:val="-10"/>
          <w:sz w:val="16"/>
          <w:szCs w:val="16"/>
          <w:lang w:val="es-ES_tradnl"/>
        </w:rPr>
        <w:t>á</w:t>
      </w:r>
      <w:r>
        <w:rPr>
          <w:spacing w:val="-10"/>
          <w:sz w:val="16"/>
          <w:szCs w:val="16"/>
          <w:lang w:val="es-ES_tradnl"/>
        </w:rPr>
        <w:t xml:space="preserve">beas corpus resueltos por las </w:t>
      </w:r>
      <w:r>
        <w:rPr>
          <w:spacing w:val="-8"/>
          <w:sz w:val="16"/>
          <w:szCs w:val="16"/>
          <w:lang w:val="es-ES_tradnl"/>
        </w:rPr>
        <w:t>cortes provinciales, en los t</w:t>
      </w:r>
      <w:r>
        <w:rPr>
          <w:rFonts w:cs="Times New Roman"/>
          <w:spacing w:val="-8"/>
          <w:sz w:val="16"/>
          <w:szCs w:val="16"/>
          <w:lang w:val="es-ES_tradnl"/>
        </w:rPr>
        <w:t>é</w:t>
      </w:r>
      <w:r>
        <w:rPr>
          <w:spacing w:val="-8"/>
          <w:sz w:val="16"/>
          <w:szCs w:val="16"/>
          <w:lang w:val="es-ES_tradnl"/>
        </w:rPr>
        <w:t>rminos establecidos en esta ley. 2. Conocer las acciones de h</w:t>
      </w:r>
      <w:r>
        <w:rPr>
          <w:rFonts w:cs="Times New Roman"/>
          <w:spacing w:val="-8"/>
          <w:sz w:val="16"/>
          <w:szCs w:val="16"/>
          <w:lang w:val="es-ES_tradnl"/>
        </w:rPr>
        <w:t>á</w:t>
      </w:r>
      <w:r>
        <w:rPr>
          <w:spacing w:val="-8"/>
          <w:sz w:val="16"/>
          <w:szCs w:val="16"/>
          <w:lang w:val="es-ES_tradnl"/>
        </w:rPr>
        <w:t xml:space="preserve">beas corpus en los casos de fuero. </w:t>
      </w:r>
      <w:r>
        <w:rPr>
          <w:spacing w:val="-5"/>
          <w:sz w:val="16"/>
          <w:szCs w:val="16"/>
          <w:lang w:val="es-ES_tradnl"/>
        </w:rPr>
        <w:t xml:space="preserve">3. Ejercer el control concreto de constitucionalidad en los </w:t>
      </w:r>
      <w:r>
        <w:rPr>
          <w:spacing w:val="-7"/>
          <w:sz w:val="16"/>
          <w:szCs w:val="16"/>
          <w:lang w:val="es-ES_tradnl"/>
        </w:rPr>
        <w:t>t</w:t>
      </w:r>
      <w:r>
        <w:rPr>
          <w:rFonts w:cs="Times New Roman"/>
          <w:spacing w:val="-7"/>
          <w:sz w:val="16"/>
          <w:szCs w:val="16"/>
          <w:lang w:val="es-ES_tradnl"/>
        </w:rPr>
        <w:t>é</w:t>
      </w:r>
      <w:r>
        <w:rPr>
          <w:spacing w:val="-7"/>
          <w:sz w:val="16"/>
          <w:szCs w:val="16"/>
          <w:lang w:val="es-ES_tradnl"/>
        </w:rPr>
        <w:t>rminos establecidos en esta ley.</w:t>
      </w:r>
      <w:r>
        <w:rPr>
          <w:rFonts w:cs="Times New Roman"/>
          <w:spacing w:val="-7"/>
          <w:sz w:val="16"/>
          <w:szCs w:val="16"/>
          <w:lang w:val="es-ES_tradnl"/>
        </w:rPr>
        <w:t>”</w:t>
      </w:r>
      <w:r>
        <w:rPr>
          <w:spacing w:val="-7"/>
          <w:sz w:val="16"/>
          <w:szCs w:val="16"/>
          <w:lang w:val="es-ES_tradnl"/>
        </w:rPr>
        <w:t xml:space="preserve">. </w:t>
      </w:r>
      <w:r>
        <w:rPr>
          <w:b/>
          <w:bCs/>
          <w:spacing w:val="-7"/>
          <w:sz w:val="16"/>
          <w:szCs w:val="16"/>
          <w:lang w:val="es-ES_tradnl"/>
        </w:rPr>
        <w:t xml:space="preserve">2.4. </w:t>
      </w:r>
      <w:r>
        <w:rPr>
          <w:spacing w:val="-7"/>
          <w:sz w:val="16"/>
          <w:szCs w:val="16"/>
          <w:lang w:val="es-ES_tradnl"/>
        </w:rPr>
        <w:t xml:space="preserve">La Corte Nacional de </w:t>
      </w:r>
      <w:r>
        <w:rPr>
          <w:spacing w:val="-9"/>
          <w:sz w:val="16"/>
          <w:szCs w:val="16"/>
          <w:lang w:val="es-ES_tradnl"/>
        </w:rPr>
        <w:t>Justicia, mediante Resoluci</w:t>
      </w:r>
      <w:r>
        <w:rPr>
          <w:rFonts w:cs="Times New Roman"/>
          <w:spacing w:val="-9"/>
          <w:sz w:val="16"/>
          <w:szCs w:val="16"/>
          <w:lang w:val="es-ES_tradnl"/>
        </w:rPr>
        <w:t>ó</w:t>
      </w:r>
      <w:r>
        <w:rPr>
          <w:spacing w:val="-9"/>
          <w:sz w:val="16"/>
          <w:szCs w:val="16"/>
          <w:lang w:val="es-ES_tradnl"/>
        </w:rPr>
        <w:t xml:space="preserve">n dictada el 19 de marzo de 2009 y </w:t>
      </w:r>
      <w:r>
        <w:rPr>
          <w:spacing w:val="-8"/>
          <w:sz w:val="16"/>
          <w:szCs w:val="16"/>
          <w:lang w:val="es-ES_tradnl"/>
        </w:rPr>
        <w:t xml:space="preserve">publicada en el Registro Oficial No. 565 de 7 de abril de 2009, </w:t>
      </w:r>
      <w:r>
        <w:rPr>
          <w:spacing w:val="-6"/>
          <w:sz w:val="16"/>
          <w:szCs w:val="16"/>
          <w:lang w:val="es-ES_tradnl"/>
        </w:rPr>
        <w:t xml:space="preserve">dispone que: </w:t>
      </w:r>
      <w:r>
        <w:rPr>
          <w:rFonts w:cs="Times New Roman"/>
          <w:spacing w:val="-6"/>
          <w:sz w:val="16"/>
          <w:szCs w:val="16"/>
          <w:lang w:val="es-ES_tradnl"/>
        </w:rPr>
        <w:t>“</w:t>
      </w:r>
      <w:r>
        <w:rPr>
          <w:spacing w:val="-6"/>
          <w:sz w:val="16"/>
          <w:szCs w:val="16"/>
          <w:lang w:val="es-ES_tradnl"/>
        </w:rPr>
        <w:t>Los recursos de apelaci</w:t>
      </w:r>
      <w:r>
        <w:rPr>
          <w:rFonts w:cs="Times New Roman"/>
          <w:spacing w:val="-6"/>
          <w:sz w:val="16"/>
          <w:szCs w:val="16"/>
          <w:lang w:val="es-ES_tradnl"/>
        </w:rPr>
        <w:t>ó</w:t>
      </w:r>
      <w:r>
        <w:rPr>
          <w:spacing w:val="-6"/>
          <w:sz w:val="16"/>
          <w:szCs w:val="16"/>
          <w:lang w:val="es-ES_tradnl"/>
        </w:rPr>
        <w:t xml:space="preserve">n que se interpongan </w:t>
      </w:r>
      <w:r>
        <w:rPr>
          <w:spacing w:val="-7"/>
          <w:sz w:val="16"/>
          <w:szCs w:val="16"/>
          <w:lang w:val="es-ES_tradnl"/>
        </w:rPr>
        <w:t xml:space="preserve">en contra de las sentencias dictadas por las Salas de la (sic) </w:t>
      </w:r>
      <w:r>
        <w:rPr>
          <w:spacing w:val="-8"/>
          <w:sz w:val="16"/>
          <w:szCs w:val="16"/>
          <w:lang w:val="es-ES_tradnl"/>
        </w:rPr>
        <w:t>Cortes Provinciales, dentro de los Recursos de h</w:t>
      </w:r>
      <w:r>
        <w:rPr>
          <w:rFonts w:cs="Times New Roman"/>
          <w:spacing w:val="-8"/>
          <w:sz w:val="16"/>
          <w:szCs w:val="16"/>
          <w:lang w:val="es-ES_tradnl"/>
        </w:rPr>
        <w:t>á</w:t>
      </w:r>
      <w:r>
        <w:rPr>
          <w:spacing w:val="-8"/>
          <w:sz w:val="16"/>
          <w:szCs w:val="16"/>
          <w:lang w:val="es-ES_tradnl"/>
        </w:rPr>
        <w:t xml:space="preserve">beas corpus </w:t>
      </w:r>
      <w:r>
        <w:rPr>
          <w:spacing w:val="-4"/>
          <w:sz w:val="16"/>
          <w:szCs w:val="16"/>
          <w:lang w:val="es-ES_tradnl"/>
        </w:rPr>
        <w:t xml:space="preserve">propuestos de conformidad con el </w:t>
      </w:r>
      <w:r>
        <w:rPr>
          <w:rFonts w:cs="Times New Roman"/>
          <w:spacing w:val="-4"/>
          <w:sz w:val="16"/>
          <w:szCs w:val="16"/>
          <w:lang w:val="es-ES_tradnl"/>
        </w:rPr>
        <w:t>ú</w:t>
      </w:r>
      <w:r>
        <w:rPr>
          <w:spacing w:val="-4"/>
          <w:sz w:val="16"/>
          <w:szCs w:val="16"/>
          <w:lang w:val="es-ES_tradnl"/>
        </w:rPr>
        <w:t>ltimo inciso del art</w:t>
      </w:r>
      <w:r>
        <w:rPr>
          <w:rFonts w:cs="Times New Roman"/>
          <w:spacing w:val="-4"/>
          <w:sz w:val="16"/>
          <w:szCs w:val="16"/>
          <w:lang w:val="es-ES_tradnl"/>
        </w:rPr>
        <w:t>í</w:t>
      </w:r>
      <w:r>
        <w:rPr>
          <w:spacing w:val="-4"/>
          <w:sz w:val="16"/>
          <w:szCs w:val="16"/>
          <w:lang w:val="es-ES_tradnl"/>
        </w:rPr>
        <w:t xml:space="preserve">culo </w:t>
      </w:r>
      <w:r>
        <w:rPr>
          <w:spacing w:val="-1"/>
          <w:sz w:val="16"/>
          <w:szCs w:val="16"/>
          <w:lang w:val="es-ES_tradnl"/>
        </w:rPr>
        <w:t>89 de la Constituci</w:t>
      </w:r>
      <w:r>
        <w:rPr>
          <w:rFonts w:cs="Times New Roman"/>
          <w:spacing w:val="-1"/>
          <w:sz w:val="16"/>
          <w:szCs w:val="16"/>
          <w:lang w:val="es-ES_tradnl"/>
        </w:rPr>
        <w:t>ó</w:t>
      </w:r>
      <w:r>
        <w:rPr>
          <w:spacing w:val="-1"/>
          <w:sz w:val="16"/>
          <w:szCs w:val="16"/>
          <w:lang w:val="es-ES_tradnl"/>
        </w:rPr>
        <w:t>n de la Rep</w:t>
      </w:r>
      <w:r>
        <w:rPr>
          <w:rFonts w:cs="Times New Roman"/>
          <w:spacing w:val="-1"/>
          <w:sz w:val="16"/>
          <w:szCs w:val="16"/>
          <w:lang w:val="es-ES_tradnl"/>
        </w:rPr>
        <w:t>ú</w:t>
      </w:r>
      <w:r>
        <w:rPr>
          <w:spacing w:val="-1"/>
          <w:sz w:val="16"/>
          <w:szCs w:val="16"/>
          <w:lang w:val="es-ES_tradnl"/>
        </w:rPr>
        <w:t>blica, ser</w:t>
      </w:r>
      <w:r>
        <w:rPr>
          <w:rFonts w:cs="Times New Roman"/>
          <w:spacing w:val="-1"/>
          <w:sz w:val="16"/>
          <w:szCs w:val="16"/>
          <w:lang w:val="es-ES_tradnl"/>
        </w:rPr>
        <w:t>á</w:t>
      </w:r>
      <w:r>
        <w:rPr>
          <w:spacing w:val="-1"/>
          <w:sz w:val="16"/>
          <w:szCs w:val="16"/>
          <w:lang w:val="es-ES_tradnl"/>
        </w:rPr>
        <w:t xml:space="preserve">n conocidos </w:t>
      </w:r>
      <w:r>
        <w:rPr>
          <w:spacing w:val="-6"/>
          <w:sz w:val="16"/>
          <w:szCs w:val="16"/>
          <w:lang w:val="es-ES_tradnl"/>
        </w:rPr>
        <w:t xml:space="preserve">previo sorteo, por cualquiera de las Salas que conforman la </w:t>
      </w:r>
      <w:r>
        <w:rPr>
          <w:spacing w:val="-1"/>
          <w:sz w:val="16"/>
          <w:szCs w:val="16"/>
          <w:lang w:val="es-ES_tradnl"/>
        </w:rPr>
        <w:t>Corte Nacional de Justicia.</w:t>
      </w:r>
      <w:r>
        <w:rPr>
          <w:rFonts w:cs="Times New Roman"/>
          <w:spacing w:val="-1"/>
          <w:sz w:val="16"/>
          <w:szCs w:val="16"/>
          <w:lang w:val="es-ES_tradnl"/>
        </w:rPr>
        <w:t>”</w:t>
      </w:r>
      <w:r>
        <w:rPr>
          <w:spacing w:val="-1"/>
          <w:sz w:val="16"/>
          <w:szCs w:val="16"/>
          <w:lang w:val="es-ES_tradnl"/>
        </w:rPr>
        <w:t xml:space="preserve">. </w:t>
      </w:r>
      <w:r>
        <w:rPr>
          <w:b/>
          <w:bCs/>
          <w:spacing w:val="-1"/>
          <w:sz w:val="16"/>
          <w:szCs w:val="16"/>
          <w:lang w:val="es-ES_tradnl"/>
        </w:rPr>
        <w:t xml:space="preserve">2.5. </w:t>
      </w:r>
      <w:r>
        <w:rPr>
          <w:spacing w:val="-1"/>
          <w:sz w:val="16"/>
          <w:szCs w:val="16"/>
          <w:lang w:val="es-ES_tradnl"/>
        </w:rPr>
        <w:t xml:space="preserve">El numeral 4 del Art. 44 </w:t>
      </w:r>
      <w:r>
        <w:rPr>
          <w:spacing w:val="-6"/>
          <w:sz w:val="16"/>
          <w:szCs w:val="16"/>
          <w:lang w:val="es-ES_tradnl"/>
        </w:rPr>
        <w:t>de la Ley Org</w:t>
      </w:r>
      <w:r>
        <w:rPr>
          <w:rFonts w:cs="Times New Roman"/>
          <w:spacing w:val="-6"/>
          <w:sz w:val="16"/>
          <w:szCs w:val="16"/>
          <w:lang w:val="es-ES_tradnl"/>
        </w:rPr>
        <w:t>á</w:t>
      </w:r>
      <w:r>
        <w:rPr>
          <w:spacing w:val="-6"/>
          <w:sz w:val="16"/>
          <w:szCs w:val="16"/>
          <w:lang w:val="es-ES_tradnl"/>
        </w:rPr>
        <w:t>nica de Garant</w:t>
      </w:r>
      <w:r>
        <w:rPr>
          <w:rFonts w:cs="Times New Roman"/>
          <w:spacing w:val="-6"/>
          <w:sz w:val="16"/>
          <w:szCs w:val="16"/>
          <w:lang w:val="es-ES_tradnl"/>
        </w:rPr>
        <w:t>í</w:t>
      </w:r>
      <w:r>
        <w:rPr>
          <w:spacing w:val="-6"/>
          <w:sz w:val="16"/>
          <w:szCs w:val="16"/>
          <w:lang w:val="es-ES_tradnl"/>
        </w:rPr>
        <w:t xml:space="preserve">as Jurisdiccionales y Control </w:t>
      </w:r>
      <w:r>
        <w:rPr>
          <w:spacing w:val="-4"/>
          <w:sz w:val="16"/>
          <w:szCs w:val="16"/>
          <w:lang w:val="es-ES_tradnl"/>
        </w:rPr>
        <w:t>Constitucional, en cuanto trata del recurso de apelaci</w:t>
      </w:r>
      <w:r>
        <w:rPr>
          <w:rFonts w:cs="Times New Roman"/>
          <w:spacing w:val="-4"/>
          <w:sz w:val="16"/>
          <w:szCs w:val="16"/>
          <w:lang w:val="es-ES_tradnl"/>
        </w:rPr>
        <w:t>ó</w:t>
      </w:r>
      <w:r>
        <w:rPr>
          <w:spacing w:val="-4"/>
          <w:sz w:val="16"/>
          <w:szCs w:val="16"/>
          <w:lang w:val="es-ES_tradnl"/>
        </w:rPr>
        <w:t xml:space="preserve">n de </w:t>
      </w:r>
      <w:r>
        <w:rPr>
          <w:spacing w:val="-8"/>
          <w:sz w:val="16"/>
          <w:szCs w:val="16"/>
          <w:lang w:val="es-ES_tradnl"/>
        </w:rPr>
        <w:t>las resoluciones dictadas en las acciones de H</w:t>
      </w:r>
      <w:r>
        <w:rPr>
          <w:rFonts w:cs="Times New Roman"/>
          <w:spacing w:val="-8"/>
          <w:sz w:val="16"/>
          <w:szCs w:val="16"/>
          <w:lang w:val="es-ES_tradnl"/>
        </w:rPr>
        <w:t>á</w:t>
      </w:r>
      <w:r>
        <w:rPr>
          <w:spacing w:val="-8"/>
          <w:sz w:val="16"/>
          <w:szCs w:val="16"/>
          <w:lang w:val="es-ES_tradnl"/>
        </w:rPr>
        <w:t xml:space="preserve">beas Corpus, </w:t>
      </w:r>
      <w:r>
        <w:rPr>
          <w:spacing w:val="-5"/>
          <w:sz w:val="16"/>
          <w:szCs w:val="16"/>
          <w:lang w:val="es-ES_tradnl"/>
        </w:rPr>
        <w:t xml:space="preserve">determina: </w:t>
      </w:r>
      <w:r>
        <w:rPr>
          <w:rFonts w:cs="Times New Roman"/>
          <w:spacing w:val="-5"/>
          <w:sz w:val="16"/>
          <w:szCs w:val="16"/>
          <w:lang w:val="es-ES_tradnl"/>
        </w:rPr>
        <w:t>“</w:t>
      </w:r>
      <w:r>
        <w:rPr>
          <w:spacing w:val="-5"/>
          <w:sz w:val="16"/>
          <w:szCs w:val="16"/>
          <w:lang w:val="es-ES_tradnl"/>
        </w:rPr>
        <w:t>4. Procede apelaci</w:t>
      </w:r>
      <w:r>
        <w:rPr>
          <w:rFonts w:cs="Times New Roman"/>
          <w:spacing w:val="-5"/>
          <w:sz w:val="16"/>
          <w:szCs w:val="16"/>
          <w:lang w:val="es-ES_tradnl"/>
        </w:rPr>
        <w:t>ó</w:t>
      </w:r>
      <w:r>
        <w:rPr>
          <w:spacing w:val="-5"/>
          <w:sz w:val="16"/>
          <w:szCs w:val="16"/>
          <w:lang w:val="es-ES_tradnl"/>
        </w:rPr>
        <w:t xml:space="preserve">n de conformidad con las </w:t>
      </w:r>
      <w:r>
        <w:rPr>
          <w:spacing w:val="-7"/>
          <w:sz w:val="16"/>
          <w:szCs w:val="16"/>
          <w:lang w:val="es-ES_tradnl"/>
        </w:rPr>
        <w:t>normas comunes a las garant</w:t>
      </w:r>
      <w:r>
        <w:rPr>
          <w:rFonts w:cs="Times New Roman"/>
          <w:spacing w:val="-7"/>
          <w:sz w:val="16"/>
          <w:szCs w:val="16"/>
          <w:lang w:val="es-ES_tradnl"/>
        </w:rPr>
        <w:t>í</w:t>
      </w:r>
      <w:r>
        <w:rPr>
          <w:spacing w:val="-7"/>
          <w:sz w:val="16"/>
          <w:szCs w:val="16"/>
          <w:lang w:val="es-ES_tradnl"/>
        </w:rPr>
        <w:t xml:space="preserve">as jurisdiccionales. Cuando la </w:t>
      </w:r>
      <w:r>
        <w:rPr>
          <w:spacing w:val="-8"/>
          <w:sz w:val="16"/>
          <w:szCs w:val="16"/>
          <w:lang w:val="es-ES_tradnl"/>
        </w:rPr>
        <w:t>privaci</w:t>
      </w:r>
      <w:r>
        <w:rPr>
          <w:rFonts w:cs="Times New Roman"/>
          <w:spacing w:val="-8"/>
          <w:sz w:val="16"/>
          <w:szCs w:val="16"/>
          <w:lang w:val="es-ES_tradnl"/>
        </w:rPr>
        <w:t>ó</w:t>
      </w:r>
      <w:r>
        <w:rPr>
          <w:spacing w:val="-8"/>
          <w:sz w:val="16"/>
          <w:szCs w:val="16"/>
          <w:lang w:val="es-ES_tradnl"/>
        </w:rPr>
        <w:t xml:space="preserve">n haya sido dispuesta en la Corte Provincial de Justicia, </w:t>
      </w:r>
      <w:r>
        <w:rPr>
          <w:spacing w:val="-9"/>
          <w:sz w:val="16"/>
          <w:szCs w:val="16"/>
          <w:lang w:val="es-ES_tradnl"/>
        </w:rPr>
        <w:t>se apelar</w:t>
      </w:r>
      <w:r>
        <w:rPr>
          <w:rFonts w:cs="Times New Roman"/>
          <w:spacing w:val="-9"/>
          <w:sz w:val="16"/>
          <w:szCs w:val="16"/>
          <w:lang w:val="es-ES_tradnl"/>
        </w:rPr>
        <w:t>á</w:t>
      </w:r>
      <w:r>
        <w:rPr>
          <w:spacing w:val="-9"/>
          <w:sz w:val="16"/>
          <w:szCs w:val="16"/>
          <w:lang w:val="es-ES_tradnl"/>
        </w:rPr>
        <w:t xml:space="preserve"> ante la Presidenta o Presidente de la Corte Nacional; </w:t>
      </w:r>
      <w:r>
        <w:rPr>
          <w:spacing w:val="-8"/>
          <w:sz w:val="16"/>
          <w:szCs w:val="16"/>
          <w:lang w:val="es-ES_tradnl"/>
        </w:rPr>
        <w:t xml:space="preserve">y, </w:t>
      </w:r>
      <w:r>
        <w:rPr>
          <w:b/>
          <w:bCs/>
          <w:spacing w:val="-8"/>
          <w:sz w:val="16"/>
          <w:szCs w:val="16"/>
          <w:lang w:val="es-ES_tradnl"/>
        </w:rPr>
        <w:t xml:space="preserve">cuando hubiere sido dispuesta por la Corte Nacional de Justicia, se </w:t>
      </w:r>
      <w:r>
        <w:rPr>
          <w:b/>
          <w:bCs/>
          <w:spacing w:val="-8"/>
          <w:sz w:val="16"/>
          <w:szCs w:val="16"/>
          <w:u w:val="single"/>
          <w:lang w:val="es-ES_tradnl"/>
        </w:rPr>
        <w:t>apelar</w:t>
      </w:r>
      <w:r>
        <w:rPr>
          <w:rFonts w:cs="Times New Roman"/>
          <w:b/>
          <w:bCs/>
          <w:spacing w:val="-8"/>
          <w:sz w:val="16"/>
          <w:szCs w:val="16"/>
          <w:u w:val="single"/>
          <w:lang w:val="es-ES_tradnl"/>
        </w:rPr>
        <w:t>á</w:t>
      </w:r>
      <w:r>
        <w:rPr>
          <w:b/>
          <w:bCs/>
          <w:spacing w:val="-8"/>
          <w:sz w:val="16"/>
          <w:szCs w:val="16"/>
          <w:lang w:val="es-ES_tradnl"/>
        </w:rPr>
        <w:t xml:space="preserve"> ante cualquier otra sala que no orden</w:t>
      </w:r>
      <w:r>
        <w:rPr>
          <w:rFonts w:cs="Times New Roman"/>
          <w:b/>
          <w:bCs/>
          <w:spacing w:val="-8"/>
          <w:sz w:val="16"/>
          <w:szCs w:val="16"/>
          <w:lang w:val="es-ES_tradnl"/>
        </w:rPr>
        <w:t xml:space="preserve">ó </w:t>
      </w:r>
      <w:r>
        <w:rPr>
          <w:b/>
          <w:bCs/>
          <w:spacing w:val="-7"/>
          <w:sz w:val="16"/>
          <w:szCs w:val="16"/>
          <w:lang w:val="es-ES_tradnl"/>
        </w:rPr>
        <w:t>la prisi</w:t>
      </w:r>
      <w:r>
        <w:rPr>
          <w:rFonts w:cs="Times New Roman"/>
          <w:b/>
          <w:bCs/>
          <w:spacing w:val="-7"/>
          <w:sz w:val="16"/>
          <w:szCs w:val="16"/>
          <w:lang w:val="es-ES_tradnl"/>
        </w:rPr>
        <w:t>ó</w:t>
      </w:r>
      <w:r>
        <w:rPr>
          <w:b/>
          <w:bCs/>
          <w:spacing w:val="-7"/>
          <w:sz w:val="16"/>
          <w:szCs w:val="16"/>
          <w:lang w:val="es-ES_tradnl"/>
        </w:rPr>
        <w:t>n preventiva.</w:t>
      </w:r>
      <w:r>
        <w:rPr>
          <w:rFonts w:cs="Times New Roman"/>
          <w:b/>
          <w:bCs/>
          <w:spacing w:val="-7"/>
          <w:sz w:val="16"/>
          <w:szCs w:val="16"/>
          <w:lang w:val="es-ES_tradnl"/>
        </w:rPr>
        <w:t>”</w:t>
      </w:r>
      <w:r>
        <w:rPr>
          <w:b/>
          <w:bCs/>
          <w:spacing w:val="-7"/>
          <w:sz w:val="16"/>
          <w:szCs w:val="16"/>
          <w:lang w:val="es-ES_tradnl"/>
        </w:rPr>
        <w:t xml:space="preserve"> </w:t>
      </w:r>
      <w:r>
        <w:rPr>
          <w:spacing w:val="-7"/>
          <w:sz w:val="16"/>
          <w:szCs w:val="16"/>
          <w:lang w:val="es-ES_tradnl"/>
        </w:rPr>
        <w:t xml:space="preserve">(lo resaltado nos corresponde). Por lo </w:t>
      </w:r>
      <w:r>
        <w:rPr>
          <w:spacing w:val="-8"/>
          <w:sz w:val="16"/>
          <w:szCs w:val="16"/>
          <w:lang w:val="es-ES_tradnl"/>
        </w:rPr>
        <w:t xml:space="preserve">expuesto, este Tribunal de la Sala Especializada de la Familia, </w:t>
      </w:r>
      <w:r>
        <w:rPr>
          <w:spacing w:val="-4"/>
          <w:sz w:val="16"/>
          <w:szCs w:val="16"/>
          <w:lang w:val="es-ES_tradnl"/>
        </w:rPr>
        <w:t>Ni</w:t>
      </w:r>
      <w:r>
        <w:rPr>
          <w:rFonts w:cs="Times New Roman"/>
          <w:spacing w:val="-4"/>
          <w:sz w:val="16"/>
          <w:szCs w:val="16"/>
          <w:lang w:val="es-ES_tradnl"/>
        </w:rPr>
        <w:t>ñ</w:t>
      </w:r>
      <w:r>
        <w:rPr>
          <w:spacing w:val="-4"/>
          <w:sz w:val="16"/>
          <w:szCs w:val="16"/>
          <w:lang w:val="es-ES_tradnl"/>
        </w:rPr>
        <w:t xml:space="preserve">ez y Adolescencia de la Corte Nacional de Justicia, no </w:t>
      </w:r>
      <w:r>
        <w:rPr>
          <w:spacing w:val="-5"/>
          <w:sz w:val="16"/>
          <w:szCs w:val="16"/>
          <w:lang w:val="es-ES_tradnl"/>
        </w:rPr>
        <w:t>tiene competencia, en raz</w:t>
      </w:r>
      <w:r>
        <w:rPr>
          <w:rFonts w:cs="Times New Roman"/>
          <w:spacing w:val="-5"/>
          <w:sz w:val="16"/>
          <w:szCs w:val="16"/>
          <w:lang w:val="es-ES_tradnl"/>
        </w:rPr>
        <w:t>ó</w:t>
      </w:r>
      <w:r>
        <w:rPr>
          <w:spacing w:val="-5"/>
          <w:sz w:val="16"/>
          <w:szCs w:val="16"/>
          <w:lang w:val="es-ES_tradnl"/>
        </w:rPr>
        <w:t xml:space="preserve">n de los grados para actuar en </w:t>
      </w:r>
      <w:r>
        <w:rPr>
          <w:spacing w:val="-4"/>
          <w:sz w:val="16"/>
          <w:szCs w:val="16"/>
          <w:lang w:val="es-ES_tradnl"/>
        </w:rPr>
        <w:t xml:space="preserve">calidad de juez de primera instancia en el conocimiento de </w:t>
      </w:r>
      <w:r>
        <w:rPr>
          <w:spacing w:val="-6"/>
          <w:sz w:val="16"/>
          <w:szCs w:val="16"/>
          <w:lang w:val="es-ES_tradnl"/>
        </w:rPr>
        <w:t>esta acci</w:t>
      </w:r>
      <w:r>
        <w:rPr>
          <w:rFonts w:cs="Times New Roman"/>
          <w:spacing w:val="-6"/>
          <w:sz w:val="16"/>
          <w:szCs w:val="16"/>
          <w:lang w:val="es-ES_tradnl"/>
        </w:rPr>
        <w:t>ó</w:t>
      </w:r>
      <w:r>
        <w:rPr>
          <w:spacing w:val="-6"/>
          <w:sz w:val="16"/>
          <w:szCs w:val="16"/>
          <w:lang w:val="es-ES_tradnl"/>
        </w:rPr>
        <w:t>n constitucional de h</w:t>
      </w:r>
      <w:r>
        <w:rPr>
          <w:rFonts w:cs="Times New Roman"/>
          <w:spacing w:val="-6"/>
          <w:sz w:val="16"/>
          <w:szCs w:val="16"/>
          <w:lang w:val="es-ES_tradnl"/>
        </w:rPr>
        <w:t>á</w:t>
      </w:r>
      <w:r>
        <w:rPr>
          <w:spacing w:val="-6"/>
          <w:sz w:val="16"/>
          <w:szCs w:val="16"/>
          <w:lang w:val="es-ES_tradnl"/>
        </w:rPr>
        <w:t xml:space="preserve">beas corpus, por lo que, de </w:t>
      </w:r>
      <w:r>
        <w:rPr>
          <w:spacing w:val="-5"/>
          <w:sz w:val="16"/>
          <w:szCs w:val="16"/>
          <w:lang w:val="es-ES_tradnl"/>
        </w:rPr>
        <w:t xml:space="preserve">conformidad con lo previsto en el inciso tercero del Art. 7 de </w:t>
      </w:r>
      <w:r>
        <w:rPr>
          <w:spacing w:val="-6"/>
          <w:sz w:val="16"/>
          <w:szCs w:val="16"/>
          <w:lang w:val="es-ES_tradnl"/>
        </w:rPr>
        <w:t>la Ley Org</w:t>
      </w:r>
      <w:r>
        <w:rPr>
          <w:rFonts w:cs="Times New Roman"/>
          <w:spacing w:val="-6"/>
          <w:sz w:val="16"/>
          <w:szCs w:val="16"/>
          <w:lang w:val="es-ES_tradnl"/>
        </w:rPr>
        <w:t>á</w:t>
      </w:r>
      <w:r>
        <w:rPr>
          <w:spacing w:val="-6"/>
          <w:sz w:val="16"/>
          <w:szCs w:val="16"/>
          <w:lang w:val="es-ES_tradnl"/>
        </w:rPr>
        <w:t>nica de Garant</w:t>
      </w:r>
      <w:r>
        <w:rPr>
          <w:rFonts w:cs="Times New Roman"/>
          <w:spacing w:val="-6"/>
          <w:sz w:val="16"/>
          <w:szCs w:val="16"/>
          <w:lang w:val="es-ES_tradnl"/>
        </w:rPr>
        <w:t>í</w:t>
      </w:r>
      <w:r>
        <w:rPr>
          <w:spacing w:val="-6"/>
          <w:sz w:val="16"/>
          <w:szCs w:val="16"/>
          <w:lang w:val="es-ES_tradnl"/>
        </w:rPr>
        <w:t xml:space="preserve">as Jurisdiccionales, que dispone: </w:t>
      </w:r>
      <w:r>
        <w:rPr>
          <w:rFonts w:cs="Times New Roman"/>
          <w:spacing w:val="-5"/>
          <w:sz w:val="16"/>
          <w:szCs w:val="16"/>
          <w:lang w:val="es-ES_tradnl"/>
        </w:rPr>
        <w:t>“</w:t>
      </w:r>
      <w:r>
        <w:rPr>
          <w:spacing w:val="-5"/>
          <w:sz w:val="16"/>
          <w:szCs w:val="16"/>
          <w:lang w:val="es-ES_tradnl"/>
        </w:rPr>
        <w:t>La jueza o juez que sea incompetente en raz</w:t>
      </w:r>
      <w:r>
        <w:rPr>
          <w:rFonts w:cs="Times New Roman"/>
          <w:spacing w:val="-5"/>
          <w:sz w:val="16"/>
          <w:szCs w:val="16"/>
          <w:lang w:val="es-ES_tradnl"/>
        </w:rPr>
        <w:t>ó</w:t>
      </w:r>
      <w:r>
        <w:rPr>
          <w:spacing w:val="-5"/>
          <w:sz w:val="16"/>
          <w:szCs w:val="16"/>
          <w:lang w:val="es-ES_tradnl"/>
        </w:rPr>
        <w:t xml:space="preserve">n del territorio </w:t>
      </w:r>
      <w:r>
        <w:rPr>
          <w:spacing w:val="-6"/>
          <w:sz w:val="16"/>
          <w:szCs w:val="16"/>
          <w:lang w:val="es-ES_tradnl"/>
        </w:rPr>
        <w:t>o los grados, inadmitir</w:t>
      </w:r>
      <w:r>
        <w:rPr>
          <w:rFonts w:cs="Times New Roman"/>
          <w:spacing w:val="-6"/>
          <w:sz w:val="16"/>
          <w:szCs w:val="16"/>
          <w:lang w:val="es-ES_tradnl"/>
        </w:rPr>
        <w:t>á</w:t>
      </w:r>
      <w:r>
        <w:rPr>
          <w:spacing w:val="-6"/>
          <w:sz w:val="16"/>
          <w:szCs w:val="16"/>
          <w:lang w:val="es-ES_tradnl"/>
        </w:rPr>
        <w:t xml:space="preserve"> la acci</w:t>
      </w:r>
      <w:r>
        <w:rPr>
          <w:rFonts w:cs="Times New Roman"/>
          <w:spacing w:val="-6"/>
          <w:sz w:val="16"/>
          <w:szCs w:val="16"/>
          <w:lang w:val="es-ES_tradnl"/>
        </w:rPr>
        <w:t>ó</w:t>
      </w:r>
      <w:r>
        <w:rPr>
          <w:spacing w:val="-6"/>
          <w:sz w:val="16"/>
          <w:szCs w:val="16"/>
          <w:lang w:val="es-ES_tradnl"/>
        </w:rPr>
        <w:t>n en su primera providencia.</w:t>
      </w:r>
      <w:r>
        <w:rPr>
          <w:rFonts w:cs="Times New Roman"/>
          <w:spacing w:val="-6"/>
          <w:sz w:val="16"/>
          <w:szCs w:val="16"/>
          <w:lang w:val="es-ES_tradnl"/>
        </w:rPr>
        <w:t>”</w:t>
      </w:r>
      <w:r>
        <w:rPr>
          <w:spacing w:val="-6"/>
          <w:sz w:val="16"/>
          <w:szCs w:val="16"/>
          <w:lang w:val="es-ES_tradnl"/>
        </w:rPr>
        <w:t xml:space="preserve">, </w:t>
      </w:r>
      <w:r>
        <w:rPr>
          <w:b/>
          <w:bCs/>
          <w:spacing w:val="-4"/>
          <w:sz w:val="16"/>
          <w:szCs w:val="16"/>
          <w:lang w:val="es-ES_tradnl"/>
        </w:rPr>
        <w:t xml:space="preserve">INADMITE </w:t>
      </w:r>
      <w:r>
        <w:rPr>
          <w:spacing w:val="-4"/>
          <w:sz w:val="16"/>
          <w:szCs w:val="16"/>
          <w:lang w:val="es-ES_tradnl"/>
        </w:rPr>
        <w:t>la acci</w:t>
      </w:r>
      <w:r>
        <w:rPr>
          <w:rFonts w:cs="Times New Roman"/>
          <w:spacing w:val="-4"/>
          <w:sz w:val="16"/>
          <w:szCs w:val="16"/>
          <w:lang w:val="es-ES_tradnl"/>
        </w:rPr>
        <w:t>ó</w:t>
      </w:r>
      <w:r>
        <w:rPr>
          <w:spacing w:val="-4"/>
          <w:sz w:val="16"/>
          <w:szCs w:val="16"/>
          <w:lang w:val="es-ES_tradnl"/>
        </w:rPr>
        <w:t>n de h</w:t>
      </w:r>
      <w:r>
        <w:rPr>
          <w:rFonts w:cs="Times New Roman"/>
          <w:spacing w:val="-4"/>
          <w:sz w:val="16"/>
          <w:szCs w:val="16"/>
          <w:lang w:val="es-ES_tradnl"/>
        </w:rPr>
        <w:t>á</w:t>
      </w:r>
      <w:r>
        <w:rPr>
          <w:spacing w:val="-4"/>
          <w:sz w:val="16"/>
          <w:szCs w:val="16"/>
          <w:lang w:val="es-ES_tradnl"/>
        </w:rPr>
        <w:t xml:space="preserve">beas corpus propuesta por el </w:t>
      </w:r>
      <w:r>
        <w:rPr>
          <w:sz w:val="16"/>
          <w:szCs w:val="16"/>
          <w:lang w:val="es-ES_tradnl"/>
        </w:rPr>
        <w:t>peticionario JULIO DIEZ MERINO</w:t>
      </w:r>
      <w:r>
        <w:rPr>
          <w:rFonts w:cs="Times New Roman"/>
          <w:sz w:val="16"/>
          <w:szCs w:val="16"/>
          <w:lang w:val="es-ES_tradnl"/>
        </w:rPr>
        <w:t>…</w:t>
      </w:r>
    </w:p>
    <w:p w14:paraId="4F67AF14" w14:textId="77777777" w:rsidR="00591D54" w:rsidRDefault="00591D54">
      <w:pPr>
        <w:shd w:val="clear" w:color="auto" w:fill="FFFFFF"/>
        <w:spacing w:before="197"/>
      </w:pPr>
      <w:r>
        <w:rPr>
          <w:b/>
          <w:bCs/>
          <w:spacing w:val="-10"/>
          <w:sz w:val="18"/>
          <w:szCs w:val="18"/>
          <w:lang w:val="es-ES_tradnl"/>
        </w:rPr>
        <w:t>Fundamentos y pretensi</w:t>
      </w:r>
      <w:r>
        <w:rPr>
          <w:rFonts w:cs="Times New Roman"/>
          <w:b/>
          <w:bCs/>
          <w:spacing w:val="-10"/>
          <w:sz w:val="18"/>
          <w:szCs w:val="18"/>
          <w:lang w:val="es-ES_tradnl"/>
        </w:rPr>
        <w:t>ó</w:t>
      </w:r>
      <w:r>
        <w:rPr>
          <w:b/>
          <w:bCs/>
          <w:spacing w:val="-10"/>
          <w:sz w:val="18"/>
          <w:szCs w:val="18"/>
          <w:lang w:val="es-ES_tradnl"/>
        </w:rPr>
        <w:t>n de la demanda</w:t>
      </w:r>
    </w:p>
    <w:p w14:paraId="4F67AF15" w14:textId="77777777" w:rsidR="00591D54" w:rsidRDefault="00591D54">
      <w:pPr>
        <w:shd w:val="clear" w:color="auto" w:fill="FFFFFF"/>
        <w:spacing w:before="192"/>
      </w:pPr>
      <w:r>
        <w:rPr>
          <w:b/>
          <w:bCs/>
          <w:spacing w:val="-13"/>
          <w:sz w:val="18"/>
          <w:szCs w:val="18"/>
          <w:lang w:val="es-ES_tradnl"/>
        </w:rPr>
        <w:t>Antecedentes</w:t>
      </w:r>
    </w:p>
    <w:p w14:paraId="4F67AF16" w14:textId="77777777" w:rsidR="00591D54" w:rsidRDefault="00591D54">
      <w:pPr>
        <w:shd w:val="clear" w:color="auto" w:fill="FFFFFF"/>
        <w:spacing w:before="197" w:line="216" w:lineRule="exact"/>
        <w:jc w:val="both"/>
      </w:pPr>
      <w:r>
        <w:rPr>
          <w:spacing w:val="-5"/>
          <w:sz w:val="18"/>
          <w:szCs w:val="18"/>
          <w:lang w:val="es-ES_tradnl"/>
        </w:rPr>
        <w:t xml:space="preserve">El presidente de la Corte Nacional de Justicia dio inicio al </w:t>
      </w:r>
      <w:r>
        <w:rPr>
          <w:spacing w:val="-10"/>
          <w:sz w:val="18"/>
          <w:szCs w:val="18"/>
          <w:lang w:val="es-ES_tradnl"/>
        </w:rPr>
        <w:t>tr</w:t>
      </w:r>
      <w:r>
        <w:rPr>
          <w:rFonts w:cs="Times New Roman"/>
          <w:spacing w:val="-10"/>
          <w:sz w:val="18"/>
          <w:szCs w:val="18"/>
          <w:lang w:val="es-ES_tradnl"/>
        </w:rPr>
        <w:t>á</w:t>
      </w:r>
      <w:r>
        <w:rPr>
          <w:spacing w:val="-10"/>
          <w:sz w:val="18"/>
          <w:szCs w:val="18"/>
          <w:lang w:val="es-ES_tradnl"/>
        </w:rPr>
        <w:t>mite de extradici</w:t>
      </w:r>
      <w:r>
        <w:rPr>
          <w:rFonts w:cs="Times New Roman"/>
          <w:spacing w:val="-10"/>
          <w:sz w:val="18"/>
          <w:szCs w:val="18"/>
          <w:lang w:val="es-ES_tradnl"/>
        </w:rPr>
        <w:t>ó</w:t>
      </w:r>
      <w:r>
        <w:rPr>
          <w:spacing w:val="-10"/>
          <w:sz w:val="18"/>
          <w:szCs w:val="18"/>
          <w:lang w:val="es-ES_tradnl"/>
        </w:rPr>
        <w:t>n el 22 de mayo del a</w:t>
      </w:r>
      <w:r>
        <w:rPr>
          <w:rFonts w:cs="Times New Roman"/>
          <w:spacing w:val="-10"/>
          <w:sz w:val="18"/>
          <w:szCs w:val="18"/>
          <w:lang w:val="es-ES_tradnl"/>
        </w:rPr>
        <w:t>ñ</w:t>
      </w:r>
      <w:r>
        <w:rPr>
          <w:spacing w:val="-10"/>
          <w:sz w:val="18"/>
          <w:szCs w:val="18"/>
          <w:lang w:val="es-ES_tradnl"/>
        </w:rPr>
        <w:t xml:space="preserve">o 2012, en contra </w:t>
      </w:r>
      <w:r>
        <w:rPr>
          <w:spacing w:val="-6"/>
          <w:sz w:val="18"/>
          <w:szCs w:val="18"/>
          <w:lang w:val="es-ES_tradnl"/>
        </w:rPr>
        <w:t>del se</w:t>
      </w:r>
      <w:r>
        <w:rPr>
          <w:rFonts w:cs="Times New Roman"/>
          <w:spacing w:val="-6"/>
          <w:sz w:val="18"/>
          <w:szCs w:val="18"/>
          <w:lang w:val="es-ES_tradnl"/>
        </w:rPr>
        <w:t>ñ</w:t>
      </w:r>
      <w:r>
        <w:rPr>
          <w:spacing w:val="-6"/>
          <w:sz w:val="18"/>
          <w:szCs w:val="18"/>
          <w:lang w:val="es-ES_tradnl"/>
        </w:rPr>
        <w:t>or Julio Diez Merino, de nacionalidad espa</w:t>
      </w:r>
      <w:r>
        <w:rPr>
          <w:rFonts w:cs="Times New Roman"/>
          <w:spacing w:val="-6"/>
          <w:sz w:val="18"/>
          <w:szCs w:val="18"/>
          <w:lang w:val="es-ES_tradnl"/>
        </w:rPr>
        <w:t>ñ</w:t>
      </w:r>
      <w:r>
        <w:rPr>
          <w:spacing w:val="-6"/>
          <w:sz w:val="18"/>
          <w:szCs w:val="18"/>
          <w:lang w:val="es-ES_tradnl"/>
        </w:rPr>
        <w:t xml:space="preserve">ola, </w:t>
      </w:r>
      <w:r>
        <w:rPr>
          <w:spacing w:val="-7"/>
          <w:sz w:val="18"/>
          <w:szCs w:val="18"/>
          <w:lang w:val="es-ES_tradnl"/>
        </w:rPr>
        <w:t>acogiendo la solicitud realizada por Espa</w:t>
      </w:r>
      <w:r>
        <w:rPr>
          <w:rFonts w:cs="Times New Roman"/>
          <w:spacing w:val="-7"/>
          <w:sz w:val="18"/>
          <w:szCs w:val="18"/>
          <w:lang w:val="es-ES_tradnl"/>
        </w:rPr>
        <w:t>ñ</w:t>
      </w:r>
      <w:r>
        <w:rPr>
          <w:spacing w:val="-7"/>
          <w:sz w:val="18"/>
          <w:szCs w:val="18"/>
          <w:lang w:val="es-ES_tradnl"/>
        </w:rPr>
        <w:t xml:space="preserve">a, por lo que se </w:t>
      </w:r>
      <w:r>
        <w:rPr>
          <w:sz w:val="18"/>
          <w:szCs w:val="18"/>
          <w:lang w:val="es-ES_tradnl"/>
        </w:rPr>
        <w:t>orden</w:t>
      </w:r>
      <w:r>
        <w:rPr>
          <w:rFonts w:cs="Times New Roman"/>
          <w:sz w:val="18"/>
          <w:szCs w:val="18"/>
          <w:lang w:val="es-ES_tradnl"/>
        </w:rPr>
        <w:t>ó</w:t>
      </w:r>
      <w:r>
        <w:rPr>
          <w:sz w:val="18"/>
          <w:szCs w:val="18"/>
          <w:lang w:val="es-ES_tradnl"/>
        </w:rPr>
        <w:t xml:space="preserve"> la prisi</w:t>
      </w:r>
      <w:r>
        <w:rPr>
          <w:rFonts w:cs="Times New Roman"/>
          <w:sz w:val="18"/>
          <w:szCs w:val="18"/>
          <w:lang w:val="es-ES_tradnl"/>
        </w:rPr>
        <w:t>ó</w:t>
      </w:r>
      <w:r>
        <w:rPr>
          <w:sz w:val="18"/>
          <w:szCs w:val="18"/>
          <w:lang w:val="es-ES_tradnl"/>
        </w:rPr>
        <w:t>n preventiva.</w:t>
      </w:r>
    </w:p>
    <w:p w14:paraId="4F67AF17" w14:textId="77777777" w:rsidR="00591D54" w:rsidRDefault="00591D54">
      <w:pPr>
        <w:shd w:val="clear" w:color="auto" w:fill="FFFFFF"/>
        <w:spacing w:before="197" w:line="216" w:lineRule="exact"/>
        <w:jc w:val="both"/>
        <w:sectPr w:rsidR="00591D54">
          <w:type w:val="continuous"/>
          <w:pgSz w:w="11909" w:h="16834"/>
          <w:pgMar w:top="1378" w:right="1309" w:bottom="360" w:left="1308" w:header="720" w:footer="720" w:gutter="0"/>
          <w:cols w:num="2" w:space="720" w:equalWidth="0">
            <w:col w:w="4305" w:space="682"/>
            <w:col w:w="4305"/>
          </w:cols>
          <w:noEndnote/>
        </w:sectPr>
      </w:pPr>
    </w:p>
    <w:p w14:paraId="4F67AF18" w14:textId="77777777" w:rsidR="00591D54" w:rsidRDefault="00591D54">
      <w:pPr>
        <w:shd w:val="clear" w:color="auto" w:fill="FFFFFF"/>
        <w:tabs>
          <w:tab w:val="left" w:pos="4814"/>
        </w:tabs>
        <w:spacing w:after="235"/>
        <w:ind w:left="14"/>
      </w:pPr>
      <w:r>
        <w:rPr>
          <w:b/>
          <w:bCs/>
          <w:sz w:val="18"/>
          <w:szCs w:val="18"/>
          <w:lang w:val="es-ES_tradnl"/>
        </w:rPr>
        <w:t xml:space="preserve">142 -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F19" w14:textId="77777777" w:rsidR="00591D54" w:rsidRDefault="00591D54">
      <w:pPr>
        <w:shd w:val="clear" w:color="auto" w:fill="FFFFFF"/>
        <w:tabs>
          <w:tab w:val="left" w:pos="4814"/>
        </w:tabs>
        <w:spacing w:after="235"/>
        <w:ind w:left="14"/>
        <w:sectPr w:rsidR="00591D54">
          <w:pgSz w:w="11909" w:h="16834"/>
          <w:pgMar w:top="1371" w:right="1309" w:bottom="360" w:left="1308" w:header="720" w:footer="720" w:gutter="0"/>
          <w:cols w:space="60"/>
          <w:noEndnote/>
        </w:sectPr>
      </w:pPr>
    </w:p>
    <w:p w14:paraId="4F67AF1A" w14:textId="77777777" w:rsidR="00591D54" w:rsidRDefault="00591D54">
      <w:pPr>
        <w:shd w:val="clear" w:color="auto" w:fill="FFFFFF"/>
        <w:spacing w:line="216" w:lineRule="exact"/>
        <w:jc w:val="both"/>
      </w:pPr>
      <w:r>
        <w:rPr>
          <w:spacing w:val="-6"/>
          <w:sz w:val="18"/>
          <w:szCs w:val="18"/>
          <w:lang w:val="es-ES_tradnl"/>
        </w:rPr>
        <w:t>El se</w:t>
      </w:r>
      <w:r>
        <w:rPr>
          <w:rFonts w:cs="Times New Roman"/>
          <w:spacing w:val="-6"/>
          <w:sz w:val="18"/>
          <w:szCs w:val="18"/>
          <w:lang w:val="es-ES_tradnl"/>
        </w:rPr>
        <w:t>ñ</w:t>
      </w:r>
      <w:r>
        <w:rPr>
          <w:spacing w:val="-6"/>
          <w:sz w:val="18"/>
          <w:szCs w:val="18"/>
          <w:lang w:val="es-ES_tradnl"/>
        </w:rPr>
        <w:t>or Julio Diez Merino present</w:t>
      </w:r>
      <w:r>
        <w:rPr>
          <w:rFonts w:cs="Times New Roman"/>
          <w:spacing w:val="-6"/>
          <w:sz w:val="18"/>
          <w:szCs w:val="18"/>
          <w:lang w:val="es-ES_tradnl"/>
        </w:rPr>
        <w:t>ó</w:t>
      </w:r>
      <w:r>
        <w:rPr>
          <w:spacing w:val="-6"/>
          <w:sz w:val="18"/>
          <w:szCs w:val="18"/>
          <w:lang w:val="es-ES_tradnl"/>
        </w:rPr>
        <w:t xml:space="preserve"> la acci</w:t>
      </w:r>
      <w:r>
        <w:rPr>
          <w:rFonts w:cs="Times New Roman"/>
          <w:spacing w:val="-6"/>
          <w:sz w:val="18"/>
          <w:szCs w:val="18"/>
          <w:lang w:val="es-ES_tradnl"/>
        </w:rPr>
        <w:t>ó</w:t>
      </w:r>
      <w:r>
        <w:rPr>
          <w:spacing w:val="-6"/>
          <w:sz w:val="18"/>
          <w:szCs w:val="18"/>
          <w:lang w:val="es-ES_tradnl"/>
        </w:rPr>
        <w:t>n de h</w:t>
      </w:r>
      <w:r>
        <w:rPr>
          <w:rFonts w:cs="Times New Roman"/>
          <w:spacing w:val="-6"/>
          <w:sz w:val="18"/>
          <w:szCs w:val="18"/>
          <w:lang w:val="es-ES_tradnl"/>
        </w:rPr>
        <w:t>á</w:t>
      </w:r>
      <w:r>
        <w:rPr>
          <w:spacing w:val="-6"/>
          <w:sz w:val="18"/>
          <w:szCs w:val="18"/>
          <w:lang w:val="es-ES_tradnl"/>
        </w:rPr>
        <w:t xml:space="preserve">beas corpus el 8 de abril del 2013 ante la Corte Nacional de </w:t>
      </w:r>
      <w:r>
        <w:rPr>
          <w:spacing w:val="-7"/>
          <w:sz w:val="18"/>
          <w:szCs w:val="18"/>
          <w:lang w:val="es-ES_tradnl"/>
        </w:rPr>
        <w:t>Justicia, correspondi</w:t>
      </w:r>
      <w:r>
        <w:rPr>
          <w:rFonts w:cs="Times New Roman"/>
          <w:spacing w:val="-7"/>
          <w:sz w:val="18"/>
          <w:szCs w:val="18"/>
          <w:lang w:val="es-ES_tradnl"/>
        </w:rPr>
        <w:t>é</w:t>
      </w:r>
      <w:r>
        <w:rPr>
          <w:spacing w:val="-7"/>
          <w:sz w:val="18"/>
          <w:szCs w:val="18"/>
          <w:lang w:val="es-ES_tradnl"/>
        </w:rPr>
        <w:t>ndole la sustanciaci</w:t>
      </w:r>
      <w:r>
        <w:rPr>
          <w:rFonts w:cs="Times New Roman"/>
          <w:spacing w:val="-7"/>
          <w:sz w:val="18"/>
          <w:szCs w:val="18"/>
          <w:lang w:val="es-ES_tradnl"/>
        </w:rPr>
        <w:t>ó</w:t>
      </w:r>
      <w:r>
        <w:rPr>
          <w:spacing w:val="-7"/>
          <w:sz w:val="18"/>
          <w:szCs w:val="18"/>
          <w:lang w:val="es-ES_tradnl"/>
        </w:rPr>
        <w:t xml:space="preserve">n a la Sala </w:t>
      </w:r>
      <w:r>
        <w:rPr>
          <w:spacing w:val="-6"/>
          <w:sz w:val="18"/>
          <w:szCs w:val="18"/>
          <w:lang w:val="es-ES_tradnl"/>
        </w:rPr>
        <w:t>Especializada de la Familia, Ni</w:t>
      </w:r>
      <w:r>
        <w:rPr>
          <w:rFonts w:cs="Times New Roman"/>
          <w:spacing w:val="-6"/>
          <w:sz w:val="18"/>
          <w:szCs w:val="18"/>
          <w:lang w:val="es-ES_tradnl"/>
        </w:rPr>
        <w:t>ñ</w:t>
      </w:r>
      <w:r>
        <w:rPr>
          <w:spacing w:val="-6"/>
          <w:sz w:val="18"/>
          <w:szCs w:val="18"/>
          <w:lang w:val="es-ES_tradnl"/>
        </w:rPr>
        <w:t xml:space="preserve">ez y Adolescencia de la </w:t>
      </w:r>
      <w:r>
        <w:rPr>
          <w:sz w:val="18"/>
          <w:szCs w:val="18"/>
          <w:lang w:val="es-ES_tradnl"/>
        </w:rPr>
        <w:t>Corte Nacional de Justicia.</w:t>
      </w:r>
    </w:p>
    <w:p w14:paraId="4F67AF1B" w14:textId="77777777" w:rsidR="00591D54" w:rsidRDefault="00591D54">
      <w:pPr>
        <w:shd w:val="clear" w:color="auto" w:fill="FFFFFF"/>
        <w:spacing w:before="197" w:line="216" w:lineRule="exact"/>
        <w:jc w:val="both"/>
      </w:pPr>
      <w:r>
        <w:rPr>
          <w:spacing w:val="-5"/>
          <w:sz w:val="18"/>
          <w:szCs w:val="18"/>
          <w:lang w:val="es-ES_tradnl"/>
        </w:rPr>
        <w:t>La Sala de la Familia, Ni</w:t>
      </w:r>
      <w:r>
        <w:rPr>
          <w:rFonts w:cs="Times New Roman"/>
          <w:spacing w:val="-5"/>
          <w:sz w:val="18"/>
          <w:szCs w:val="18"/>
          <w:lang w:val="es-ES_tradnl"/>
        </w:rPr>
        <w:t>ñ</w:t>
      </w:r>
      <w:r>
        <w:rPr>
          <w:spacing w:val="-5"/>
          <w:sz w:val="18"/>
          <w:szCs w:val="18"/>
          <w:lang w:val="es-ES_tradnl"/>
        </w:rPr>
        <w:t xml:space="preserve">ez y Adolescencia de la Corte </w:t>
      </w:r>
      <w:r>
        <w:rPr>
          <w:spacing w:val="-9"/>
          <w:sz w:val="18"/>
          <w:szCs w:val="18"/>
          <w:lang w:val="es-ES_tradnl"/>
        </w:rPr>
        <w:t xml:space="preserve">Nacional de Justicia, mediante auto del 11 de abril del 2013, </w:t>
      </w:r>
      <w:r>
        <w:rPr>
          <w:spacing w:val="-8"/>
          <w:sz w:val="18"/>
          <w:szCs w:val="18"/>
          <w:lang w:val="es-ES_tradnl"/>
        </w:rPr>
        <w:t>inadmiti</w:t>
      </w:r>
      <w:r>
        <w:rPr>
          <w:rFonts w:cs="Times New Roman"/>
          <w:spacing w:val="-8"/>
          <w:sz w:val="18"/>
          <w:szCs w:val="18"/>
          <w:lang w:val="es-ES_tradnl"/>
        </w:rPr>
        <w:t>ó</w:t>
      </w:r>
      <w:r>
        <w:rPr>
          <w:spacing w:val="-8"/>
          <w:sz w:val="18"/>
          <w:szCs w:val="18"/>
          <w:lang w:val="es-ES_tradnl"/>
        </w:rPr>
        <w:t xml:space="preserve"> la acci</w:t>
      </w:r>
      <w:r>
        <w:rPr>
          <w:rFonts w:cs="Times New Roman"/>
          <w:spacing w:val="-8"/>
          <w:sz w:val="18"/>
          <w:szCs w:val="18"/>
          <w:lang w:val="es-ES_tradnl"/>
        </w:rPr>
        <w:t>ó</w:t>
      </w:r>
      <w:r>
        <w:rPr>
          <w:spacing w:val="-8"/>
          <w:sz w:val="18"/>
          <w:szCs w:val="18"/>
          <w:lang w:val="es-ES_tradnl"/>
        </w:rPr>
        <w:t>n de h</w:t>
      </w:r>
      <w:r>
        <w:rPr>
          <w:rFonts w:cs="Times New Roman"/>
          <w:spacing w:val="-8"/>
          <w:sz w:val="18"/>
          <w:szCs w:val="18"/>
          <w:lang w:val="es-ES_tradnl"/>
        </w:rPr>
        <w:t>á</w:t>
      </w:r>
      <w:r>
        <w:rPr>
          <w:spacing w:val="-8"/>
          <w:sz w:val="18"/>
          <w:szCs w:val="18"/>
          <w:lang w:val="es-ES_tradnl"/>
        </w:rPr>
        <w:t xml:space="preserve">beas corpus, al establecer que no </w:t>
      </w:r>
      <w:r>
        <w:rPr>
          <w:spacing w:val="-9"/>
          <w:sz w:val="18"/>
          <w:szCs w:val="18"/>
          <w:lang w:val="es-ES_tradnl"/>
        </w:rPr>
        <w:t>ten</w:t>
      </w:r>
      <w:r>
        <w:rPr>
          <w:rFonts w:cs="Times New Roman"/>
          <w:spacing w:val="-9"/>
          <w:sz w:val="18"/>
          <w:szCs w:val="18"/>
          <w:lang w:val="es-ES_tradnl"/>
        </w:rPr>
        <w:t>í</w:t>
      </w:r>
      <w:r>
        <w:rPr>
          <w:spacing w:val="-9"/>
          <w:sz w:val="18"/>
          <w:szCs w:val="18"/>
          <w:lang w:val="es-ES_tradnl"/>
        </w:rPr>
        <w:t>a competencia en raz</w:t>
      </w:r>
      <w:r>
        <w:rPr>
          <w:rFonts w:cs="Times New Roman"/>
          <w:spacing w:val="-9"/>
          <w:sz w:val="18"/>
          <w:szCs w:val="18"/>
          <w:lang w:val="es-ES_tradnl"/>
        </w:rPr>
        <w:t>ó</w:t>
      </w:r>
      <w:r>
        <w:rPr>
          <w:spacing w:val="-9"/>
          <w:sz w:val="18"/>
          <w:szCs w:val="18"/>
          <w:lang w:val="es-ES_tradnl"/>
        </w:rPr>
        <w:t>n de los grados para actuar.</w:t>
      </w:r>
    </w:p>
    <w:p w14:paraId="4F67AF1C" w14:textId="77777777" w:rsidR="00591D54" w:rsidRDefault="00591D54">
      <w:pPr>
        <w:shd w:val="clear" w:color="auto" w:fill="FFFFFF"/>
        <w:spacing w:before="197" w:line="216" w:lineRule="exact"/>
        <w:jc w:val="both"/>
      </w:pPr>
      <w:r>
        <w:rPr>
          <w:spacing w:val="-8"/>
          <w:sz w:val="18"/>
          <w:szCs w:val="18"/>
          <w:lang w:val="es-ES_tradnl"/>
        </w:rPr>
        <w:t>De este auto, el accionante present</w:t>
      </w:r>
      <w:r>
        <w:rPr>
          <w:rFonts w:cs="Times New Roman"/>
          <w:spacing w:val="-8"/>
          <w:sz w:val="18"/>
          <w:szCs w:val="18"/>
          <w:lang w:val="es-ES_tradnl"/>
        </w:rPr>
        <w:t>ó</w:t>
      </w:r>
      <w:r>
        <w:rPr>
          <w:spacing w:val="-8"/>
          <w:sz w:val="18"/>
          <w:szCs w:val="18"/>
          <w:lang w:val="es-ES_tradnl"/>
        </w:rPr>
        <w:t xml:space="preserve"> el 25 de abril de 2013 </w:t>
      </w:r>
      <w:r>
        <w:rPr>
          <w:sz w:val="18"/>
          <w:szCs w:val="18"/>
          <w:lang w:val="es-ES_tradnl"/>
        </w:rPr>
        <w:t>la acci</w:t>
      </w:r>
      <w:r>
        <w:rPr>
          <w:rFonts w:cs="Times New Roman"/>
          <w:sz w:val="18"/>
          <w:szCs w:val="18"/>
          <w:lang w:val="es-ES_tradnl"/>
        </w:rPr>
        <w:t>ó</w:t>
      </w:r>
      <w:r>
        <w:rPr>
          <w:sz w:val="18"/>
          <w:szCs w:val="18"/>
          <w:lang w:val="es-ES_tradnl"/>
        </w:rPr>
        <w:t>n extraordinaria de protecci</w:t>
      </w:r>
      <w:r>
        <w:rPr>
          <w:rFonts w:cs="Times New Roman"/>
          <w:sz w:val="18"/>
          <w:szCs w:val="18"/>
          <w:lang w:val="es-ES_tradnl"/>
        </w:rPr>
        <w:t>ó</w:t>
      </w:r>
      <w:r>
        <w:rPr>
          <w:sz w:val="18"/>
          <w:szCs w:val="18"/>
          <w:lang w:val="es-ES_tradnl"/>
        </w:rPr>
        <w:t>n.</w:t>
      </w:r>
    </w:p>
    <w:p w14:paraId="4F67AF1D" w14:textId="77777777" w:rsidR="00591D54" w:rsidRDefault="00591D54">
      <w:pPr>
        <w:shd w:val="clear" w:color="auto" w:fill="FFFFFF"/>
        <w:spacing w:before="192"/>
      </w:pPr>
      <w:r>
        <w:rPr>
          <w:b/>
          <w:bCs/>
          <w:spacing w:val="-8"/>
          <w:sz w:val="18"/>
          <w:szCs w:val="18"/>
          <w:lang w:val="es-ES_tradnl"/>
        </w:rPr>
        <w:t>Detalle y fundamento de la demanda</w:t>
      </w:r>
    </w:p>
    <w:p w14:paraId="4F67AF1E" w14:textId="77777777" w:rsidR="00591D54" w:rsidRDefault="00591D54">
      <w:pPr>
        <w:shd w:val="clear" w:color="auto" w:fill="FFFFFF"/>
        <w:spacing w:before="192" w:line="216" w:lineRule="exact"/>
        <w:ind w:right="5"/>
        <w:jc w:val="both"/>
      </w:pPr>
      <w:r>
        <w:rPr>
          <w:spacing w:val="-6"/>
          <w:sz w:val="18"/>
          <w:szCs w:val="18"/>
          <w:lang w:val="es-ES_tradnl"/>
        </w:rPr>
        <w:t xml:space="preserve">En lo principal, el accionante en su demanda manifiesta </w:t>
      </w:r>
      <w:r>
        <w:rPr>
          <w:sz w:val="18"/>
          <w:szCs w:val="18"/>
          <w:lang w:val="es-ES_tradnl"/>
        </w:rPr>
        <w:t>que:</w:t>
      </w:r>
    </w:p>
    <w:p w14:paraId="4F67AF1F" w14:textId="77777777" w:rsidR="00591D54" w:rsidRDefault="00591D54">
      <w:pPr>
        <w:shd w:val="clear" w:color="auto" w:fill="FFFFFF"/>
        <w:spacing w:before="192" w:line="216" w:lineRule="exact"/>
        <w:jc w:val="both"/>
      </w:pPr>
      <w:r>
        <w:rPr>
          <w:spacing w:val="-4"/>
          <w:sz w:val="18"/>
          <w:szCs w:val="18"/>
          <w:lang w:val="es-ES_tradnl"/>
        </w:rPr>
        <w:t>El 22 de mayo del a</w:t>
      </w:r>
      <w:r>
        <w:rPr>
          <w:rFonts w:cs="Times New Roman"/>
          <w:spacing w:val="-4"/>
          <w:sz w:val="18"/>
          <w:szCs w:val="18"/>
          <w:lang w:val="es-ES_tradnl"/>
        </w:rPr>
        <w:t>ñ</w:t>
      </w:r>
      <w:r>
        <w:rPr>
          <w:spacing w:val="-4"/>
          <w:sz w:val="18"/>
          <w:szCs w:val="18"/>
          <w:lang w:val="es-ES_tradnl"/>
        </w:rPr>
        <w:t>o 2012 se dio inicio al tr</w:t>
      </w:r>
      <w:r>
        <w:rPr>
          <w:rFonts w:cs="Times New Roman"/>
          <w:spacing w:val="-4"/>
          <w:sz w:val="18"/>
          <w:szCs w:val="18"/>
          <w:lang w:val="es-ES_tradnl"/>
        </w:rPr>
        <w:t>á</w:t>
      </w:r>
      <w:r>
        <w:rPr>
          <w:spacing w:val="-4"/>
          <w:sz w:val="18"/>
          <w:szCs w:val="18"/>
          <w:lang w:val="es-ES_tradnl"/>
        </w:rPr>
        <w:t xml:space="preserve">mite de </w:t>
      </w:r>
      <w:r>
        <w:rPr>
          <w:spacing w:val="-6"/>
          <w:sz w:val="18"/>
          <w:szCs w:val="18"/>
          <w:lang w:val="es-ES_tradnl"/>
        </w:rPr>
        <w:t>extradici</w:t>
      </w:r>
      <w:r>
        <w:rPr>
          <w:rFonts w:cs="Times New Roman"/>
          <w:spacing w:val="-6"/>
          <w:sz w:val="18"/>
          <w:szCs w:val="18"/>
          <w:lang w:val="es-ES_tradnl"/>
        </w:rPr>
        <w:t>ó</w:t>
      </w:r>
      <w:r>
        <w:rPr>
          <w:spacing w:val="-6"/>
          <w:sz w:val="18"/>
          <w:szCs w:val="18"/>
          <w:lang w:val="es-ES_tradnl"/>
        </w:rPr>
        <w:t>n en su contra, signado con el n</w:t>
      </w:r>
      <w:r>
        <w:rPr>
          <w:rFonts w:cs="Times New Roman"/>
          <w:spacing w:val="-6"/>
          <w:sz w:val="18"/>
          <w:szCs w:val="18"/>
          <w:lang w:val="es-ES_tradnl"/>
        </w:rPr>
        <w:t>ú</w:t>
      </w:r>
      <w:r>
        <w:rPr>
          <w:spacing w:val="-6"/>
          <w:sz w:val="18"/>
          <w:szCs w:val="18"/>
          <w:lang w:val="es-ES_tradnl"/>
        </w:rPr>
        <w:t>mero 15-2012, en el que se dispuso su prisi</w:t>
      </w:r>
      <w:r>
        <w:rPr>
          <w:rFonts w:cs="Times New Roman"/>
          <w:spacing w:val="-6"/>
          <w:sz w:val="18"/>
          <w:szCs w:val="18"/>
          <w:lang w:val="es-ES_tradnl"/>
        </w:rPr>
        <w:t>ó</w:t>
      </w:r>
      <w:r>
        <w:rPr>
          <w:spacing w:val="-6"/>
          <w:sz w:val="18"/>
          <w:szCs w:val="18"/>
          <w:lang w:val="es-ES_tradnl"/>
        </w:rPr>
        <w:t xml:space="preserve">n preventiva, acogiendo la </w:t>
      </w:r>
      <w:r>
        <w:rPr>
          <w:spacing w:val="-5"/>
          <w:sz w:val="18"/>
          <w:szCs w:val="18"/>
          <w:lang w:val="es-ES_tradnl"/>
        </w:rPr>
        <w:t>solicitud del Reino de Espa</w:t>
      </w:r>
      <w:r>
        <w:rPr>
          <w:rFonts w:cs="Times New Roman"/>
          <w:spacing w:val="-5"/>
          <w:sz w:val="18"/>
          <w:szCs w:val="18"/>
          <w:lang w:val="es-ES_tradnl"/>
        </w:rPr>
        <w:t>ñ</w:t>
      </w:r>
      <w:r>
        <w:rPr>
          <w:spacing w:val="-5"/>
          <w:sz w:val="18"/>
          <w:szCs w:val="18"/>
          <w:lang w:val="es-ES_tradnl"/>
        </w:rPr>
        <w:t>a. Se</w:t>
      </w:r>
      <w:r>
        <w:rPr>
          <w:rFonts w:cs="Times New Roman"/>
          <w:spacing w:val="-5"/>
          <w:sz w:val="18"/>
          <w:szCs w:val="18"/>
          <w:lang w:val="es-ES_tradnl"/>
        </w:rPr>
        <w:t>ñ</w:t>
      </w:r>
      <w:r>
        <w:rPr>
          <w:spacing w:val="-5"/>
          <w:sz w:val="18"/>
          <w:szCs w:val="18"/>
          <w:lang w:val="es-ES_tradnl"/>
        </w:rPr>
        <w:t xml:space="preserve">ala que tramitada la </w:t>
      </w:r>
      <w:r>
        <w:rPr>
          <w:spacing w:val="-8"/>
          <w:sz w:val="18"/>
          <w:szCs w:val="18"/>
          <w:lang w:val="es-ES_tradnl"/>
        </w:rPr>
        <w:t>causa, el presidente de la Corte Nacional de Justicia emiti</w:t>
      </w:r>
      <w:r>
        <w:rPr>
          <w:rFonts w:cs="Times New Roman"/>
          <w:spacing w:val="-8"/>
          <w:sz w:val="18"/>
          <w:szCs w:val="18"/>
          <w:lang w:val="es-ES_tradnl"/>
        </w:rPr>
        <w:t xml:space="preserve">ó </w:t>
      </w:r>
      <w:r>
        <w:rPr>
          <w:spacing w:val="-7"/>
          <w:sz w:val="18"/>
          <w:szCs w:val="18"/>
          <w:lang w:val="es-ES_tradnl"/>
        </w:rPr>
        <w:t>sentencia en la que concedi</w:t>
      </w:r>
      <w:r>
        <w:rPr>
          <w:rFonts w:cs="Times New Roman"/>
          <w:spacing w:val="-7"/>
          <w:sz w:val="18"/>
          <w:szCs w:val="18"/>
          <w:lang w:val="es-ES_tradnl"/>
        </w:rPr>
        <w:t>ó</w:t>
      </w:r>
      <w:r>
        <w:rPr>
          <w:spacing w:val="-7"/>
          <w:sz w:val="18"/>
          <w:szCs w:val="18"/>
          <w:lang w:val="es-ES_tradnl"/>
        </w:rPr>
        <w:t xml:space="preserve"> la extradici</w:t>
      </w:r>
      <w:r>
        <w:rPr>
          <w:rFonts w:cs="Times New Roman"/>
          <w:spacing w:val="-7"/>
          <w:sz w:val="18"/>
          <w:szCs w:val="18"/>
          <w:lang w:val="es-ES_tradnl"/>
        </w:rPr>
        <w:t>ó</w:t>
      </w:r>
      <w:r>
        <w:rPr>
          <w:spacing w:val="-7"/>
          <w:sz w:val="18"/>
          <w:szCs w:val="18"/>
          <w:lang w:val="es-ES_tradnl"/>
        </w:rPr>
        <w:t>n del se</w:t>
      </w:r>
      <w:r>
        <w:rPr>
          <w:rFonts w:cs="Times New Roman"/>
          <w:spacing w:val="-7"/>
          <w:sz w:val="18"/>
          <w:szCs w:val="18"/>
          <w:lang w:val="es-ES_tradnl"/>
        </w:rPr>
        <w:t>ñ</w:t>
      </w:r>
      <w:r>
        <w:rPr>
          <w:spacing w:val="-7"/>
          <w:sz w:val="18"/>
          <w:szCs w:val="18"/>
          <w:lang w:val="es-ES_tradnl"/>
        </w:rPr>
        <w:t xml:space="preserve">or Julio </w:t>
      </w:r>
      <w:r>
        <w:rPr>
          <w:spacing w:val="-10"/>
          <w:sz w:val="18"/>
          <w:szCs w:val="18"/>
          <w:lang w:val="es-ES_tradnl"/>
        </w:rPr>
        <w:t>Diez Merino al Reino de Espa</w:t>
      </w:r>
      <w:r>
        <w:rPr>
          <w:rFonts w:cs="Times New Roman"/>
          <w:spacing w:val="-10"/>
          <w:sz w:val="18"/>
          <w:szCs w:val="18"/>
          <w:lang w:val="es-ES_tradnl"/>
        </w:rPr>
        <w:t>ñ</w:t>
      </w:r>
      <w:r>
        <w:rPr>
          <w:spacing w:val="-10"/>
          <w:sz w:val="18"/>
          <w:szCs w:val="18"/>
          <w:lang w:val="es-ES_tradnl"/>
        </w:rPr>
        <w:t xml:space="preserve">a, sentencia que fue apelada, y que la Sala Especializada de lo Penal de la Corte Nacional </w:t>
      </w:r>
      <w:r>
        <w:rPr>
          <w:spacing w:val="-8"/>
          <w:sz w:val="18"/>
          <w:szCs w:val="18"/>
          <w:lang w:val="es-ES_tradnl"/>
        </w:rPr>
        <w:t>de Justicia, el d</w:t>
      </w:r>
      <w:r>
        <w:rPr>
          <w:rFonts w:cs="Times New Roman"/>
          <w:spacing w:val="-8"/>
          <w:sz w:val="18"/>
          <w:szCs w:val="18"/>
          <w:lang w:val="es-ES_tradnl"/>
        </w:rPr>
        <w:t>í</w:t>
      </w:r>
      <w:r>
        <w:rPr>
          <w:spacing w:val="-8"/>
          <w:sz w:val="18"/>
          <w:szCs w:val="18"/>
          <w:lang w:val="es-ES_tradnl"/>
        </w:rPr>
        <w:t>a 11 de enero del 2013, la ratific</w:t>
      </w:r>
      <w:r>
        <w:rPr>
          <w:rFonts w:cs="Times New Roman"/>
          <w:spacing w:val="-8"/>
          <w:sz w:val="18"/>
          <w:szCs w:val="18"/>
          <w:lang w:val="es-ES_tradnl"/>
        </w:rPr>
        <w:t>ó</w:t>
      </w:r>
      <w:r>
        <w:rPr>
          <w:spacing w:val="-8"/>
          <w:sz w:val="18"/>
          <w:szCs w:val="18"/>
          <w:lang w:val="es-ES_tradnl"/>
        </w:rPr>
        <w:t>.</w:t>
      </w:r>
    </w:p>
    <w:p w14:paraId="4F67AF20" w14:textId="77777777" w:rsidR="00591D54" w:rsidRDefault="00591D54">
      <w:pPr>
        <w:shd w:val="clear" w:color="auto" w:fill="FFFFFF"/>
        <w:spacing w:before="192" w:line="216" w:lineRule="exact"/>
        <w:jc w:val="both"/>
      </w:pPr>
      <w:r>
        <w:rPr>
          <w:spacing w:val="-11"/>
          <w:sz w:val="18"/>
          <w:szCs w:val="18"/>
          <w:lang w:val="es-ES_tradnl"/>
        </w:rPr>
        <w:t>Se</w:t>
      </w:r>
      <w:r>
        <w:rPr>
          <w:rFonts w:cs="Times New Roman"/>
          <w:spacing w:val="-11"/>
          <w:sz w:val="18"/>
          <w:szCs w:val="18"/>
          <w:lang w:val="es-ES_tradnl"/>
        </w:rPr>
        <w:t>ñ</w:t>
      </w:r>
      <w:r>
        <w:rPr>
          <w:spacing w:val="-11"/>
          <w:sz w:val="18"/>
          <w:szCs w:val="18"/>
          <w:lang w:val="es-ES_tradnl"/>
        </w:rPr>
        <w:t xml:space="preserve">ala que por tal motivo se encuentra detenido desde mayo </w:t>
      </w:r>
      <w:r>
        <w:rPr>
          <w:spacing w:val="-7"/>
          <w:sz w:val="18"/>
          <w:szCs w:val="18"/>
          <w:lang w:val="es-ES_tradnl"/>
        </w:rPr>
        <w:t>del 2012, que no tiene orden de prisi</w:t>
      </w:r>
      <w:r>
        <w:rPr>
          <w:rFonts w:cs="Times New Roman"/>
          <w:spacing w:val="-7"/>
          <w:sz w:val="18"/>
          <w:szCs w:val="18"/>
          <w:lang w:val="es-ES_tradnl"/>
        </w:rPr>
        <w:t>ó</w:t>
      </w:r>
      <w:r>
        <w:rPr>
          <w:spacing w:val="-7"/>
          <w:sz w:val="18"/>
          <w:szCs w:val="18"/>
          <w:lang w:val="es-ES_tradnl"/>
        </w:rPr>
        <w:t xml:space="preserve">n preventiva emitida por autoridad competente, y que lo </w:t>
      </w:r>
      <w:r>
        <w:rPr>
          <w:rFonts w:cs="Times New Roman"/>
          <w:spacing w:val="-7"/>
          <w:sz w:val="18"/>
          <w:szCs w:val="18"/>
          <w:lang w:val="es-ES_tradnl"/>
        </w:rPr>
        <w:t>ú</w:t>
      </w:r>
      <w:r>
        <w:rPr>
          <w:spacing w:val="-7"/>
          <w:sz w:val="18"/>
          <w:szCs w:val="18"/>
          <w:lang w:val="es-ES_tradnl"/>
        </w:rPr>
        <w:t xml:space="preserve">nico que pesa en su </w:t>
      </w:r>
      <w:r>
        <w:rPr>
          <w:spacing w:val="-4"/>
          <w:sz w:val="18"/>
          <w:szCs w:val="18"/>
          <w:lang w:val="es-ES_tradnl"/>
        </w:rPr>
        <w:t>contra es la orden de extradici</w:t>
      </w:r>
      <w:r>
        <w:rPr>
          <w:rFonts w:cs="Times New Roman"/>
          <w:spacing w:val="-4"/>
          <w:sz w:val="18"/>
          <w:szCs w:val="18"/>
          <w:lang w:val="es-ES_tradnl"/>
        </w:rPr>
        <w:t>ó</w:t>
      </w:r>
      <w:r>
        <w:rPr>
          <w:spacing w:val="-4"/>
          <w:sz w:val="18"/>
          <w:szCs w:val="18"/>
          <w:lang w:val="es-ES_tradnl"/>
        </w:rPr>
        <w:t xml:space="preserve">n por un supuesto delito </w:t>
      </w:r>
      <w:r>
        <w:rPr>
          <w:spacing w:val="-9"/>
          <w:sz w:val="18"/>
          <w:szCs w:val="18"/>
          <w:lang w:val="es-ES_tradnl"/>
        </w:rPr>
        <w:t>de estafa perpetrado en las Islas Canarias en Espa</w:t>
      </w:r>
      <w:r>
        <w:rPr>
          <w:rFonts w:cs="Times New Roman"/>
          <w:spacing w:val="-9"/>
          <w:sz w:val="18"/>
          <w:szCs w:val="18"/>
          <w:lang w:val="es-ES_tradnl"/>
        </w:rPr>
        <w:t>ñ</w:t>
      </w:r>
      <w:r>
        <w:rPr>
          <w:spacing w:val="-9"/>
          <w:sz w:val="18"/>
          <w:szCs w:val="18"/>
          <w:lang w:val="es-ES_tradnl"/>
        </w:rPr>
        <w:t xml:space="preserve">a. Dice </w:t>
      </w:r>
      <w:r>
        <w:rPr>
          <w:spacing w:val="-7"/>
          <w:sz w:val="18"/>
          <w:szCs w:val="18"/>
          <w:lang w:val="es-ES_tradnl"/>
        </w:rPr>
        <w:t>haber presentado varios escritos dirigidos al presidente de la Corte Nacional de Justicia, solicitando que por su edad, 65 a</w:t>
      </w:r>
      <w:r>
        <w:rPr>
          <w:rFonts w:cs="Times New Roman"/>
          <w:spacing w:val="-7"/>
          <w:sz w:val="18"/>
          <w:szCs w:val="18"/>
          <w:lang w:val="es-ES_tradnl"/>
        </w:rPr>
        <w:t>ñ</w:t>
      </w:r>
      <w:r>
        <w:rPr>
          <w:spacing w:val="-7"/>
          <w:sz w:val="18"/>
          <w:szCs w:val="18"/>
          <w:lang w:val="es-ES_tradnl"/>
        </w:rPr>
        <w:t xml:space="preserve">os, se le conceda fianza, arresto domiciliario o se le </w:t>
      </w:r>
      <w:r>
        <w:rPr>
          <w:spacing w:val="-9"/>
          <w:sz w:val="18"/>
          <w:szCs w:val="18"/>
          <w:lang w:val="es-ES_tradnl"/>
        </w:rPr>
        <w:t>sustituya la medida cautelar de car</w:t>
      </w:r>
      <w:r>
        <w:rPr>
          <w:rFonts w:cs="Times New Roman"/>
          <w:spacing w:val="-9"/>
          <w:sz w:val="18"/>
          <w:szCs w:val="18"/>
          <w:lang w:val="es-ES_tradnl"/>
        </w:rPr>
        <w:t>á</w:t>
      </w:r>
      <w:r>
        <w:rPr>
          <w:spacing w:val="-9"/>
          <w:sz w:val="18"/>
          <w:szCs w:val="18"/>
          <w:lang w:val="es-ES_tradnl"/>
        </w:rPr>
        <w:t xml:space="preserve">cter personal que pesa </w:t>
      </w:r>
      <w:r>
        <w:rPr>
          <w:spacing w:val="-10"/>
          <w:sz w:val="18"/>
          <w:szCs w:val="18"/>
          <w:lang w:val="es-ES_tradnl"/>
        </w:rPr>
        <w:t xml:space="preserve">en su contra, solicitudes que han sido negadas por parte del </w:t>
      </w:r>
      <w:r>
        <w:rPr>
          <w:spacing w:val="-7"/>
          <w:sz w:val="18"/>
          <w:szCs w:val="18"/>
          <w:lang w:val="es-ES_tradnl"/>
        </w:rPr>
        <w:t>presidente de la Corte Nacional de Justicia.</w:t>
      </w:r>
    </w:p>
    <w:p w14:paraId="4F67AF21" w14:textId="77777777" w:rsidR="00591D54" w:rsidRDefault="00591D54">
      <w:pPr>
        <w:shd w:val="clear" w:color="auto" w:fill="FFFFFF"/>
        <w:spacing w:before="197" w:line="216" w:lineRule="exact"/>
        <w:ind w:right="5"/>
        <w:jc w:val="both"/>
      </w:pPr>
      <w:r>
        <w:rPr>
          <w:spacing w:val="-11"/>
          <w:sz w:val="18"/>
          <w:szCs w:val="18"/>
          <w:lang w:val="es-ES_tradnl"/>
        </w:rPr>
        <w:t>Manifiesta adem</w:t>
      </w:r>
      <w:r>
        <w:rPr>
          <w:rFonts w:cs="Times New Roman"/>
          <w:spacing w:val="-11"/>
          <w:sz w:val="18"/>
          <w:szCs w:val="18"/>
          <w:lang w:val="es-ES_tradnl"/>
        </w:rPr>
        <w:t>á</w:t>
      </w:r>
      <w:r>
        <w:rPr>
          <w:spacing w:val="-11"/>
          <w:sz w:val="18"/>
          <w:szCs w:val="18"/>
          <w:lang w:val="es-ES_tradnl"/>
        </w:rPr>
        <w:t xml:space="preserve">s que es necesario tomar en cuenta que la </w:t>
      </w:r>
      <w:r>
        <w:rPr>
          <w:spacing w:val="-10"/>
          <w:sz w:val="18"/>
          <w:szCs w:val="18"/>
          <w:lang w:val="es-ES_tradnl"/>
        </w:rPr>
        <w:t>estafa es un delito sancionado con prisi</w:t>
      </w:r>
      <w:r>
        <w:rPr>
          <w:rFonts w:cs="Times New Roman"/>
          <w:spacing w:val="-10"/>
          <w:sz w:val="18"/>
          <w:szCs w:val="18"/>
          <w:lang w:val="es-ES_tradnl"/>
        </w:rPr>
        <w:t>ó</w:t>
      </w:r>
      <w:r>
        <w:rPr>
          <w:spacing w:val="-10"/>
          <w:sz w:val="18"/>
          <w:szCs w:val="18"/>
          <w:lang w:val="es-ES_tradnl"/>
        </w:rPr>
        <w:t xml:space="preserve">n, y que de acuerdo </w:t>
      </w:r>
      <w:r>
        <w:rPr>
          <w:spacing w:val="-5"/>
          <w:sz w:val="18"/>
          <w:szCs w:val="18"/>
          <w:lang w:val="es-ES_tradnl"/>
        </w:rPr>
        <w:t>con el r</w:t>
      </w:r>
      <w:r>
        <w:rPr>
          <w:rFonts w:cs="Times New Roman"/>
          <w:spacing w:val="-5"/>
          <w:sz w:val="18"/>
          <w:szCs w:val="18"/>
          <w:lang w:val="es-ES_tradnl"/>
        </w:rPr>
        <w:t>é</w:t>
      </w:r>
      <w:r>
        <w:rPr>
          <w:spacing w:val="-5"/>
          <w:sz w:val="18"/>
          <w:szCs w:val="18"/>
          <w:lang w:val="es-ES_tradnl"/>
        </w:rPr>
        <w:t xml:space="preserve">gimen constitucional, al no existir sentencia </w:t>
      </w:r>
      <w:r>
        <w:rPr>
          <w:spacing w:val="-11"/>
          <w:sz w:val="18"/>
          <w:szCs w:val="18"/>
          <w:lang w:val="es-ES_tradnl"/>
        </w:rPr>
        <w:t>condenatoria, la prisi</w:t>
      </w:r>
      <w:r>
        <w:rPr>
          <w:rFonts w:cs="Times New Roman"/>
          <w:spacing w:val="-11"/>
          <w:sz w:val="18"/>
          <w:szCs w:val="18"/>
          <w:lang w:val="es-ES_tradnl"/>
        </w:rPr>
        <w:t>ó</w:t>
      </w:r>
      <w:r>
        <w:rPr>
          <w:spacing w:val="-11"/>
          <w:sz w:val="18"/>
          <w:szCs w:val="18"/>
          <w:lang w:val="es-ES_tradnl"/>
        </w:rPr>
        <w:t xml:space="preserve">n preventiva caduca en el plazo de seis </w:t>
      </w:r>
      <w:r>
        <w:rPr>
          <w:spacing w:val="-10"/>
          <w:sz w:val="18"/>
          <w:szCs w:val="18"/>
          <w:lang w:val="es-ES_tradnl"/>
        </w:rPr>
        <w:t>meses, plazo que se ha vencido en exceso, y que se deber</w:t>
      </w:r>
      <w:r>
        <w:rPr>
          <w:rFonts w:cs="Times New Roman"/>
          <w:spacing w:val="-10"/>
          <w:sz w:val="18"/>
          <w:szCs w:val="18"/>
          <w:lang w:val="es-ES_tradnl"/>
        </w:rPr>
        <w:t xml:space="preserve">á </w:t>
      </w:r>
      <w:r>
        <w:rPr>
          <w:spacing w:val="-9"/>
          <w:sz w:val="18"/>
          <w:szCs w:val="18"/>
          <w:lang w:val="es-ES_tradnl"/>
        </w:rPr>
        <w:t xml:space="preserve">tomar en cuenta que su salud se encuentra gravemente </w:t>
      </w:r>
      <w:r>
        <w:rPr>
          <w:spacing w:val="-8"/>
          <w:sz w:val="18"/>
          <w:szCs w:val="18"/>
          <w:lang w:val="es-ES_tradnl"/>
        </w:rPr>
        <w:t>deteriorada como efecto de su injusta detenci</w:t>
      </w:r>
      <w:r>
        <w:rPr>
          <w:rFonts w:cs="Times New Roman"/>
          <w:spacing w:val="-8"/>
          <w:sz w:val="18"/>
          <w:szCs w:val="18"/>
          <w:lang w:val="es-ES_tradnl"/>
        </w:rPr>
        <w:t>ó</w:t>
      </w:r>
      <w:r>
        <w:rPr>
          <w:spacing w:val="-8"/>
          <w:sz w:val="18"/>
          <w:szCs w:val="18"/>
          <w:lang w:val="es-ES_tradnl"/>
        </w:rPr>
        <w:t>n.</w:t>
      </w:r>
    </w:p>
    <w:p w14:paraId="4F67AF22" w14:textId="77777777" w:rsidR="00591D54" w:rsidRDefault="00591D54">
      <w:pPr>
        <w:shd w:val="clear" w:color="auto" w:fill="FFFFFF"/>
        <w:spacing w:before="197" w:line="216" w:lineRule="exact"/>
        <w:ind w:right="5"/>
        <w:jc w:val="both"/>
      </w:pPr>
      <w:r>
        <w:rPr>
          <w:spacing w:val="-8"/>
          <w:sz w:val="18"/>
          <w:szCs w:val="18"/>
          <w:lang w:val="es-ES_tradnl"/>
        </w:rPr>
        <w:t>Por otra parte, invoca el art</w:t>
      </w:r>
      <w:r>
        <w:rPr>
          <w:rFonts w:cs="Times New Roman"/>
          <w:spacing w:val="-8"/>
          <w:sz w:val="18"/>
          <w:szCs w:val="18"/>
          <w:lang w:val="es-ES_tradnl"/>
        </w:rPr>
        <w:t>í</w:t>
      </w:r>
      <w:r>
        <w:rPr>
          <w:spacing w:val="-8"/>
          <w:sz w:val="18"/>
          <w:szCs w:val="18"/>
          <w:lang w:val="es-ES_tradnl"/>
        </w:rPr>
        <w:t>culo 8 de la Ley de Extradici</w:t>
      </w:r>
      <w:r>
        <w:rPr>
          <w:rFonts w:cs="Times New Roman"/>
          <w:spacing w:val="-8"/>
          <w:sz w:val="18"/>
          <w:szCs w:val="18"/>
          <w:lang w:val="es-ES_tradnl"/>
        </w:rPr>
        <w:t>ó</w:t>
      </w:r>
      <w:r>
        <w:rPr>
          <w:spacing w:val="-8"/>
          <w:sz w:val="18"/>
          <w:szCs w:val="18"/>
          <w:lang w:val="es-ES_tradnl"/>
        </w:rPr>
        <w:t>n, se</w:t>
      </w:r>
      <w:r>
        <w:rPr>
          <w:rFonts w:cs="Times New Roman"/>
          <w:spacing w:val="-8"/>
          <w:sz w:val="18"/>
          <w:szCs w:val="18"/>
          <w:lang w:val="es-ES_tradnl"/>
        </w:rPr>
        <w:t>ñ</w:t>
      </w:r>
      <w:r>
        <w:rPr>
          <w:spacing w:val="-8"/>
          <w:sz w:val="18"/>
          <w:szCs w:val="18"/>
          <w:lang w:val="es-ES_tradnl"/>
        </w:rPr>
        <w:t xml:space="preserve">alando que este dispone que el presidente de la Corte </w:t>
      </w:r>
      <w:r>
        <w:rPr>
          <w:spacing w:val="-9"/>
          <w:sz w:val="18"/>
          <w:szCs w:val="18"/>
          <w:lang w:val="es-ES_tradnl"/>
        </w:rPr>
        <w:t>Suprema de Justicia podr</w:t>
      </w:r>
      <w:r>
        <w:rPr>
          <w:rFonts w:cs="Times New Roman"/>
          <w:spacing w:val="-9"/>
          <w:sz w:val="18"/>
          <w:szCs w:val="18"/>
          <w:lang w:val="es-ES_tradnl"/>
        </w:rPr>
        <w:t>á</w:t>
      </w:r>
      <w:r>
        <w:rPr>
          <w:spacing w:val="-9"/>
          <w:sz w:val="18"/>
          <w:szCs w:val="18"/>
          <w:lang w:val="es-ES_tradnl"/>
        </w:rPr>
        <w:t xml:space="preserve">, en cualquier momento, ordenar </w:t>
      </w:r>
      <w:r>
        <w:rPr>
          <w:spacing w:val="-7"/>
          <w:sz w:val="18"/>
          <w:szCs w:val="18"/>
          <w:lang w:val="es-ES_tradnl"/>
        </w:rPr>
        <w:t>la libertad del detenido, adoptando otra medida para evitar su fuga, situaci</w:t>
      </w:r>
      <w:r>
        <w:rPr>
          <w:rFonts w:cs="Times New Roman"/>
          <w:spacing w:val="-7"/>
          <w:sz w:val="18"/>
          <w:szCs w:val="18"/>
          <w:lang w:val="es-ES_tradnl"/>
        </w:rPr>
        <w:t>ó</w:t>
      </w:r>
      <w:r>
        <w:rPr>
          <w:spacing w:val="-7"/>
          <w:sz w:val="18"/>
          <w:szCs w:val="18"/>
          <w:lang w:val="es-ES_tradnl"/>
        </w:rPr>
        <w:t xml:space="preserve">n que indica no ha sido tomada en cuenta </w:t>
      </w:r>
      <w:r>
        <w:rPr>
          <w:spacing w:val="-8"/>
          <w:sz w:val="18"/>
          <w:szCs w:val="18"/>
          <w:lang w:val="es-ES_tradnl"/>
        </w:rPr>
        <w:t>en su caso, por lo cual considera que su detenci</w:t>
      </w:r>
      <w:r>
        <w:rPr>
          <w:rFonts w:cs="Times New Roman"/>
          <w:spacing w:val="-8"/>
          <w:sz w:val="18"/>
          <w:szCs w:val="18"/>
          <w:lang w:val="es-ES_tradnl"/>
        </w:rPr>
        <w:t>ó</w:t>
      </w:r>
      <w:r>
        <w:rPr>
          <w:spacing w:val="-8"/>
          <w:sz w:val="18"/>
          <w:szCs w:val="18"/>
          <w:lang w:val="es-ES_tradnl"/>
        </w:rPr>
        <w:t xml:space="preserve">n se ha </w:t>
      </w:r>
      <w:r>
        <w:rPr>
          <w:spacing w:val="-5"/>
          <w:sz w:val="18"/>
          <w:szCs w:val="18"/>
          <w:lang w:val="es-ES_tradnl"/>
        </w:rPr>
        <w:t xml:space="preserve">convertido en ilegal, arbitraria y atentatoria contra su </w:t>
      </w:r>
      <w:r>
        <w:rPr>
          <w:sz w:val="18"/>
          <w:szCs w:val="18"/>
          <w:lang w:val="es-ES_tradnl"/>
        </w:rPr>
        <w:t>integridad f</w:t>
      </w:r>
      <w:r>
        <w:rPr>
          <w:rFonts w:cs="Times New Roman"/>
          <w:sz w:val="18"/>
          <w:szCs w:val="18"/>
          <w:lang w:val="es-ES_tradnl"/>
        </w:rPr>
        <w:t>í</w:t>
      </w:r>
      <w:r>
        <w:rPr>
          <w:sz w:val="18"/>
          <w:szCs w:val="18"/>
          <w:lang w:val="es-ES_tradnl"/>
        </w:rPr>
        <w:t>sica, psicol</w:t>
      </w:r>
      <w:r>
        <w:rPr>
          <w:rFonts w:cs="Times New Roman"/>
          <w:sz w:val="18"/>
          <w:szCs w:val="18"/>
          <w:lang w:val="es-ES_tradnl"/>
        </w:rPr>
        <w:t>ó</w:t>
      </w:r>
      <w:r>
        <w:rPr>
          <w:sz w:val="18"/>
          <w:szCs w:val="18"/>
          <w:lang w:val="es-ES_tradnl"/>
        </w:rPr>
        <w:t>gica y moral.</w:t>
      </w:r>
    </w:p>
    <w:p w14:paraId="4F67AF23" w14:textId="77777777" w:rsidR="00591D54" w:rsidRDefault="00591D54">
      <w:pPr>
        <w:shd w:val="clear" w:color="auto" w:fill="FFFFFF"/>
        <w:spacing w:before="197" w:line="216" w:lineRule="exact"/>
        <w:ind w:right="5"/>
        <w:jc w:val="both"/>
      </w:pPr>
      <w:r>
        <w:rPr>
          <w:spacing w:val="-9"/>
          <w:sz w:val="18"/>
          <w:szCs w:val="18"/>
          <w:lang w:val="es-ES_tradnl"/>
        </w:rPr>
        <w:t>Expresa adem</w:t>
      </w:r>
      <w:r>
        <w:rPr>
          <w:rFonts w:cs="Times New Roman"/>
          <w:spacing w:val="-9"/>
          <w:sz w:val="18"/>
          <w:szCs w:val="18"/>
          <w:lang w:val="es-ES_tradnl"/>
        </w:rPr>
        <w:t>á</w:t>
      </w:r>
      <w:r>
        <w:rPr>
          <w:spacing w:val="-9"/>
          <w:sz w:val="18"/>
          <w:szCs w:val="18"/>
          <w:lang w:val="es-ES_tradnl"/>
        </w:rPr>
        <w:t>s que ha presentado peticiones de h</w:t>
      </w:r>
      <w:r>
        <w:rPr>
          <w:rFonts w:cs="Times New Roman"/>
          <w:spacing w:val="-9"/>
          <w:sz w:val="18"/>
          <w:szCs w:val="18"/>
          <w:lang w:val="es-ES_tradnl"/>
        </w:rPr>
        <w:t>á</w:t>
      </w:r>
      <w:r>
        <w:rPr>
          <w:spacing w:val="-9"/>
          <w:sz w:val="18"/>
          <w:szCs w:val="18"/>
          <w:lang w:val="es-ES_tradnl"/>
        </w:rPr>
        <w:t xml:space="preserve">beas corpus debidamente fundamentadas, tanto a los jueces de </w:t>
      </w:r>
      <w:r>
        <w:rPr>
          <w:spacing w:val="-7"/>
          <w:sz w:val="18"/>
          <w:szCs w:val="18"/>
          <w:lang w:val="es-ES_tradnl"/>
        </w:rPr>
        <w:t>Garant</w:t>
      </w:r>
      <w:r>
        <w:rPr>
          <w:rFonts w:cs="Times New Roman"/>
          <w:spacing w:val="-7"/>
          <w:sz w:val="18"/>
          <w:szCs w:val="18"/>
          <w:lang w:val="es-ES_tradnl"/>
        </w:rPr>
        <w:t>í</w:t>
      </w:r>
      <w:r>
        <w:rPr>
          <w:spacing w:val="-7"/>
          <w:sz w:val="18"/>
          <w:szCs w:val="18"/>
          <w:lang w:val="es-ES_tradnl"/>
        </w:rPr>
        <w:t xml:space="preserve">as Constitucionales de la Corte Nacional, como de </w:t>
      </w:r>
      <w:r>
        <w:rPr>
          <w:spacing w:val="-4"/>
          <w:sz w:val="18"/>
          <w:szCs w:val="18"/>
          <w:lang w:val="es-ES_tradnl"/>
        </w:rPr>
        <w:t>la Corte Provincial, habi</w:t>
      </w:r>
      <w:r>
        <w:rPr>
          <w:rFonts w:cs="Times New Roman"/>
          <w:spacing w:val="-4"/>
          <w:sz w:val="18"/>
          <w:szCs w:val="18"/>
          <w:lang w:val="es-ES_tradnl"/>
        </w:rPr>
        <w:t>é</w:t>
      </w:r>
      <w:r>
        <w:rPr>
          <w:spacing w:val="-4"/>
          <w:sz w:val="18"/>
          <w:szCs w:val="18"/>
          <w:lang w:val="es-ES_tradnl"/>
        </w:rPr>
        <w:t xml:space="preserve">ndose inadmitido en el primer </w:t>
      </w:r>
      <w:r>
        <w:rPr>
          <w:spacing w:val="-7"/>
          <w:sz w:val="18"/>
          <w:szCs w:val="18"/>
          <w:lang w:val="es-ES_tradnl"/>
        </w:rPr>
        <w:t>caso, y en el segundo se dispuso que se remita a la Corte</w:t>
      </w:r>
    </w:p>
    <w:p w14:paraId="4F67AF24" w14:textId="77777777" w:rsidR="00591D54" w:rsidRDefault="00591D54">
      <w:pPr>
        <w:shd w:val="clear" w:color="auto" w:fill="FFFFFF"/>
        <w:spacing w:line="216" w:lineRule="exact"/>
        <w:jc w:val="both"/>
      </w:pPr>
      <w:r>
        <w:br w:type="column"/>
      </w:r>
      <w:r>
        <w:rPr>
          <w:spacing w:val="-7"/>
          <w:sz w:val="18"/>
          <w:szCs w:val="18"/>
          <w:lang w:val="es-ES_tradnl"/>
        </w:rPr>
        <w:t>Nacional para que se conozca su petici</w:t>
      </w:r>
      <w:r>
        <w:rPr>
          <w:rFonts w:cs="Times New Roman"/>
          <w:spacing w:val="-7"/>
          <w:sz w:val="18"/>
          <w:szCs w:val="18"/>
          <w:lang w:val="es-ES_tradnl"/>
        </w:rPr>
        <w:t>ó</w:t>
      </w:r>
      <w:r>
        <w:rPr>
          <w:spacing w:val="-7"/>
          <w:sz w:val="18"/>
          <w:szCs w:val="18"/>
          <w:lang w:val="es-ES_tradnl"/>
        </w:rPr>
        <w:t>n; situaci</w:t>
      </w:r>
      <w:r>
        <w:rPr>
          <w:rFonts w:cs="Times New Roman"/>
          <w:spacing w:val="-7"/>
          <w:sz w:val="18"/>
          <w:szCs w:val="18"/>
          <w:lang w:val="es-ES_tradnl"/>
        </w:rPr>
        <w:t>ó</w:t>
      </w:r>
      <w:r>
        <w:rPr>
          <w:spacing w:val="-7"/>
          <w:sz w:val="18"/>
          <w:szCs w:val="18"/>
          <w:lang w:val="es-ES_tradnl"/>
        </w:rPr>
        <w:t xml:space="preserve">n que lo </w:t>
      </w:r>
      <w:r>
        <w:rPr>
          <w:spacing w:val="-10"/>
          <w:sz w:val="18"/>
          <w:szCs w:val="18"/>
          <w:lang w:val="es-ES_tradnl"/>
        </w:rPr>
        <w:t>ha dejado en estado de indefensi</w:t>
      </w:r>
      <w:r>
        <w:rPr>
          <w:rFonts w:cs="Times New Roman"/>
          <w:spacing w:val="-10"/>
          <w:sz w:val="18"/>
          <w:szCs w:val="18"/>
          <w:lang w:val="es-ES_tradnl"/>
        </w:rPr>
        <w:t>ó</w:t>
      </w:r>
      <w:r>
        <w:rPr>
          <w:spacing w:val="-10"/>
          <w:sz w:val="18"/>
          <w:szCs w:val="18"/>
          <w:lang w:val="es-ES_tradnl"/>
        </w:rPr>
        <w:t xml:space="preserve">n, ya que se le ha negado </w:t>
      </w:r>
      <w:r>
        <w:rPr>
          <w:spacing w:val="-8"/>
          <w:sz w:val="18"/>
          <w:szCs w:val="18"/>
          <w:lang w:val="es-ES_tradnl"/>
        </w:rPr>
        <w:t xml:space="preserve">el derecho al acceso gratuito a la justicia y la tutela efectiva; </w:t>
      </w:r>
      <w:r>
        <w:rPr>
          <w:spacing w:val="-7"/>
          <w:sz w:val="18"/>
          <w:szCs w:val="18"/>
          <w:lang w:val="es-ES_tradnl"/>
        </w:rPr>
        <w:t>por tanto, considera que su detenci</w:t>
      </w:r>
      <w:r>
        <w:rPr>
          <w:rFonts w:cs="Times New Roman"/>
          <w:spacing w:val="-7"/>
          <w:sz w:val="18"/>
          <w:szCs w:val="18"/>
          <w:lang w:val="es-ES_tradnl"/>
        </w:rPr>
        <w:t>ó</w:t>
      </w:r>
      <w:r>
        <w:rPr>
          <w:spacing w:val="-7"/>
          <w:sz w:val="18"/>
          <w:szCs w:val="18"/>
          <w:lang w:val="es-ES_tradnl"/>
        </w:rPr>
        <w:t xml:space="preserve">n es ilegal al ser la </w:t>
      </w:r>
      <w:r>
        <w:rPr>
          <w:spacing w:val="-8"/>
          <w:sz w:val="18"/>
          <w:szCs w:val="18"/>
          <w:lang w:val="es-ES_tradnl"/>
        </w:rPr>
        <w:t>extradici</w:t>
      </w:r>
      <w:r>
        <w:rPr>
          <w:rFonts w:cs="Times New Roman"/>
          <w:spacing w:val="-8"/>
          <w:sz w:val="18"/>
          <w:szCs w:val="18"/>
          <w:lang w:val="es-ES_tradnl"/>
        </w:rPr>
        <w:t>ó</w:t>
      </w:r>
      <w:r>
        <w:rPr>
          <w:spacing w:val="-8"/>
          <w:sz w:val="18"/>
          <w:szCs w:val="18"/>
          <w:lang w:val="es-ES_tradnl"/>
        </w:rPr>
        <w:t>n un tr</w:t>
      </w:r>
      <w:r>
        <w:rPr>
          <w:rFonts w:cs="Times New Roman"/>
          <w:spacing w:val="-8"/>
          <w:sz w:val="18"/>
          <w:szCs w:val="18"/>
          <w:lang w:val="es-ES_tradnl"/>
        </w:rPr>
        <w:t>á</w:t>
      </w:r>
      <w:r>
        <w:rPr>
          <w:spacing w:val="-8"/>
          <w:sz w:val="18"/>
          <w:szCs w:val="18"/>
          <w:lang w:val="es-ES_tradnl"/>
        </w:rPr>
        <w:t>mite administrativo en el que jam</w:t>
      </w:r>
      <w:r>
        <w:rPr>
          <w:rFonts w:cs="Times New Roman"/>
          <w:spacing w:val="-8"/>
          <w:sz w:val="18"/>
          <w:szCs w:val="18"/>
          <w:lang w:val="es-ES_tradnl"/>
        </w:rPr>
        <w:t>á</w:t>
      </w:r>
      <w:r>
        <w:rPr>
          <w:spacing w:val="-8"/>
          <w:sz w:val="18"/>
          <w:szCs w:val="18"/>
          <w:lang w:val="es-ES_tradnl"/>
        </w:rPr>
        <w:t>s debi</w:t>
      </w:r>
      <w:r>
        <w:rPr>
          <w:rFonts w:cs="Times New Roman"/>
          <w:spacing w:val="-8"/>
          <w:sz w:val="18"/>
          <w:szCs w:val="18"/>
          <w:lang w:val="es-ES_tradnl"/>
        </w:rPr>
        <w:t xml:space="preserve">ó </w:t>
      </w:r>
      <w:r>
        <w:rPr>
          <w:sz w:val="18"/>
          <w:szCs w:val="18"/>
          <w:lang w:val="es-ES_tradnl"/>
        </w:rPr>
        <w:t>haberse ordenado prisi</w:t>
      </w:r>
      <w:r>
        <w:rPr>
          <w:rFonts w:cs="Times New Roman"/>
          <w:sz w:val="18"/>
          <w:szCs w:val="18"/>
          <w:lang w:val="es-ES_tradnl"/>
        </w:rPr>
        <w:t>ó</w:t>
      </w:r>
      <w:r>
        <w:rPr>
          <w:sz w:val="18"/>
          <w:szCs w:val="18"/>
          <w:lang w:val="es-ES_tradnl"/>
        </w:rPr>
        <w:t>n preventiva.</w:t>
      </w:r>
    </w:p>
    <w:p w14:paraId="4F67AF25" w14:textId="77777777" w:rsidR="00591D54" w:rsidRDefault="00591D54">
      <w:pPr>
        <w:shd w:val="clear" w:color="auto" w:fill="FFFFFF"/>
        <w:spacing w:before="192"/>
      </w:pPr>
      <w:r>
        <w:rPr>
          <w:b/>
          <w:bCs/>
          <w:spacing w:val="-11"/>
          <w:sz w:val="18"/>
          <w:szCs w:val="18"/>
          <w:lang w:val="es-ES_tradnl"/>
        </w:rPr>
        <w:t>Pretensi</w:t>
      </w:r>
      <w:r>
        <w:rPr>
          <w:rFonts w:cs="Times New Roman"/>
          <w:b/>
          <w:bCs/>
          <w:spacing w:val="-11"/>
          <w:sz w:val="18"/>
          <w:szCs w:val="18"/>
          <w:lang w:val="es-ES_tradnl"/>
        </w:rPr>
        <w:t>ó</w:t>
      </w:r>
      <w:r>
        <w:rPr>
          <w:b/>
          <w:bCs/>
          <w:spacing w:val="-11"/>
          <w:sz w:val="18"/>
          <w:szCs w:val="18"/>
          <w:lang w:val="es-ES_tradnl"/>
        </w:rPr>
        <w:t>n</w:t>
      </w:r>
    </w:p>
    <w:p w14:paraId="4F67AF26" w14:textId="77777777" w:rsidR="00591D54" w:rsidRDefault="00591D54">
      <w:pPr>
        <w:shd w:val="clear" w:color="auto" w:fill="FFFFFF"/>
        <w:spacing w:before="197"/>
      </w:pPr>
      <w:r>
        <w:rPr>
          <w:spacing w:val="-8"/>
          <w:sz w:val="18"/>
          <w:szCs w:val="18"/>
          <w:lang w:val="es-ES_tradnl"/>
        </w:rPr>
        <w:t>Con estos antecedentes, el accionante solicita:</w:t>
      </w:r>
    </w:p>
    <w:p w14:paraId="4F67AF27" w14:textId="77777777" w:rsidR="00591D54" w:rsidRDefault="00591D54">
      <w:pPr>
        <w:shd w:val="clear" w:color="auto" w:fill="FFFFFF"/>
        <w:spacing w:before="202" w:line="216" w:lineRule="exact"/>
        <w:ind w:left="283"/>
        <w:jc w:val="both"/>
      </w:pPr>
      <w:r>
        <w:rPr>
          <w:rFonts w:cs="Times New Roman"/>
          <w:spacing w:val="-4"/>
          <w:sz w:val="16"/>
          <w:szCs w:val="16"/>
          <w:lang w:val="es-ES_tradnl"/>
        </w:rPr>
        <w:t>…</w:t>
      </w:r>
      <w:r>
        <w:rPr>
          <w:spacing w:val="-4"/>
          <w:sz w:val="16"/>
          <w:szCs w:val="16"/>
          <w:lang w:val="es-ES_tradnl"/>
        </w:rPr>
        <w:t xml:space="preserve">Con los fundamentos de hecho y de derecho expuestos </w:t>
      </w:r>
      <w:r>
        <w:rPr>
          <w:spacing w:val="-3"/>
          <w:sz w:val="16"/>
          <w:szCs w:val="16"/>
          <w:lang w:val="es-ES_tradnl"/>
        </w:rPr>
        <w:t>con claridad y precisi</w:t>
      </w:r>
      <w:r>
        <w:rPr>
          <w:rFonts w:cs="Times New Roman"/>
          <w:spacing w:val="-3"/>
          <w:sz w:val="16"/>
          <w:szCs w:val="16"/>
          <w:lang w:val="es-ES_tradnl"/>
        </w:rPr>
        <w:t>ó</w:t>
      </w:r>
      <w:r>
        <w:rPr>
          <w:spacing w:val="-3"/>
          <w:sz w:val="16"/>
          <w:szCs w:val="16"/>
          <w:lang w:val="es-ES_tradnl"/>
        </w:rPr>
        <w:t>n, a m</w:t>
      </w:r>
      <w:r>
        <w:rPr>
          <w:rFonts w:cs="Times New Roman"/>
          <w:spacing w:val="-3"/>
          <w:sz w:val="16"/>
          <w:szCs w:val="16"/>
          <w:lang w:val="es-ES_tradnl"/>
        </w:rPr>
        <w:t>á</w:t>
      </w:r>
      <w:r>
        <w:rPr>
          <w:spacing w:val="-3"/>
          <w:sz w:val="16"/>
          <w:szCs w:val="16"/>
          <w:lang w:val="es-ES_tradnl"/>
        </w:rPr>
        <w:t xml:space="preserve">s de los establecidos en los </w:t>
      </w:r>
      <w:r>
        <w:rPr>
          <w:spacing w:val="-4"/>
          <w:sz w:val="16"/>
          <w:szCs w:val="16"/>
          <w:lang w:val="es-ES_tradnl"/>
        </w:rPr>
        <w:t>Art. 94, 437 y 439 de la Constituci</w:t>
      </w:r>
      <w:r>
        <w:rPr>
          <w:rFonts w:cs="Times New Roman"/>
          <w:spacing w:val="-4"/>
          <w:sz w:val="16"/>
          <w:szCs w:val="16"/>
          <w:lang w:val="es-ES_tradnl"/>
        </w:rPr>
        <w:t>ó</w:t>
      </w:r>
      <w:r>
        <w:rPr>
          <w:spacing w:val="-4"/>
          <w:sz w:val="16"/>
          <w:szCs w:val="16"/>
          <w:lang w:val="es-ES_tradnl"/>
        </w:rPr>
        <w:t>n de la Rep</w:t>
      </w:r>
      <w:r>
        <w:rPr>
          <w:rFonts w:cs="Times New Roman"/>
          <w:spacing w:val="-4"/>
          <w:sz w:val="16"/>
          <w:szCs w:val="16"/>
          <w:lang w:val="es-ES_tradnl"/>
        </w:rPr>
        <w:t>ú</w:t>
      </w:r>
      <w:r>
        <w:rPr>
          <w:spacing w:val="-4"/>
          <w:sz w:val="16"/>
          <w:szCs w:val="16"/>
          <w:lang w:val="es-ES_tradnl"/>
        </w:rPr>
        <w:t xml:space="preserve">blica del </w:t>
      </w:r>
      <w:r>
        <w:rPr>
          <w:spacing w:val="-6"/>
          <w:sz w:val="16"/>
          <w:szCs w:val="16"/>
          <w:lang w:val="es-ES_tradnl"/>
        </w:rPr>
        <w:t>Ecuador, solicito a los se</w:t>
      </w:r>
      <w:r>
        <w:rPr>
          <w:rFonts w:cs="Times New Roman"/>
          <w:spacing w:val="-6"/>
          <w:sz w:val="16"/>
          <w:szCs w:val="16"/>
          <w:lang w:val="es-ES_tradnl"/>
        </w:rPr>
        <w:t>ñ</w:t>
      </w:r>
      <w:r>
        <w:rPr>
          <w:spacing w:val="-6"/>
          <w:sz w:val="16"/>
          <w:szCs w:val="16"/>
          <w:lang w:val="es-ES_tradnl"/>
        </w:rPr>
        <w:t xml:space="preserve">ores Magistrados de la Corte </w:t>
      </w:r>
      <w:r>
        <w:rPr>
          <w:spacing w:val="-8"/>
          <w:sz w:val="16"/>
          <w:szCs w:val="16"/>
          <w:lang w:val="es-ES_tradnl"/>
        </w:rPr>
        <w:t>Constitucional, declaren la fl agrante violaci</w:t>
      </w:r>
      <w:r>
        <w:rPr>
          <w:rFonts w:cs="Times New Roman"/>
          <w:spacing w:val="-8"/>
          <w:sz w:val="16"/>
          <w:szCs w:val="16"/>
          <w:lang w:val="es-ES_tradnl"/>
        </w:rPr>
        <w:t>ó</w:t>
      </w:r>
      <w:r>
        <w:rPr>
          <w:spacing w:val="-8"/>
          <w:sz w:val="16"/>
          <w:szCs w:val="16"/>
          <w:lang w:val="es-ES_tradnl"/>
        </w:rPr>
        <w:t xml:space="preserve">n de mis derechos </w:t>
      </w:r>
      <w:r>
        <w:rPr>
          <w:spacing w:val="-6"/>
          <w:sz w:val="16"/>
          <w:szCs w:val="16"/>
          <w:lang w:val="es-ES_tradnl"/>
        </w:rPr>
        <w:t>constitucionales, disponiendo la correspondiente reparaci</w:t>
      </w:r>
      <w:r>
        <w:rPr>
          <w:rFonts w:cs="Times New Roman"/>
          <w:spacing w:val="-6"/>
          <w:sz w:val="16"/>
          <w:szCs w:val="16"/>
          <w:lang w:val="es-ES_tradnl"/>
        </w:rPr>
        <w:t>ó</w:t>
      </w:r>
      <w:r>
        <w:rPr>
          <w:spacing w:val="-6"/>
          <w:sz w:val="16"/>
          <w:szCs w:val="16"/>
          <w:lang w:val="es-ES_tradnl"/>
        </w:rPr>
        <w:t xml:space="preserve">n </w:t>
      </w:r>
      <w:r>
        <w:rPr>
          <w:spacing w:val="-3"/>
          <w:sz w:val="16"/>
          <w:szCs w:val="16"/>
          <w:lang w:val="es-ES_tradnl"/>
        </w:rPr>
        <w:t>integral, dejando sin efecto la orden de prisi</w:t>
      </w:r>
      <w:r>
        <w:rPr>
          <w:rFonts w:cs="Times New Roman"/>
          <w:spacing w:val="-3"/>
          <w:sz w:val="16"/>
          <w:szCs w:val="16"/>
          <w:lang w:val="es-ES_tradnl"/>
        </w:rPr>
        <w:t>ó</w:t>
      </w:r>
      <w:r>
        <w:rPr>
          <w:spacing w:val="-3"/>
          <w:sz w:val="16"/>
          <w:szCs w:val="16"/>
          <w:lang w:val="es-ES_tradnl"/>
        </w:rPr>
        <w:t xml:space="preserve">n preventiva </w:t>
      </w:r>
      <w:r>
        <w:rPr>
          <w:spacing w:val="-7"/>
          <w:sz w:val="16"/>
          <w:szCs w:val="16"/>
          <w:lang w:val="es-ES_tradnl"/>
        </w:rPr>
        <w:t xml:space="preserve">que pesa en mi contra conforme la Corte Constitucional se ha </w:t>
      </w:r>
      <w:r>
        <w:rPr>
          <w:sz w:val="16"/>
          <w:szCs w:val="16"/>
          <w:lang w:val="es-ES_tradnl"/>
        </w:rPr>
        <w:t>pronunciado en otros casos</w:t>
      </w:r>
      <w:r>
        <w:rPr>
          <w:rFonts w:cs="Times New Roman"/>
          <w:sz w:val="16"/>
          <w:szCs w:val="16"/>
          <w:lang w:val="es-ES_tradnl"/>
        </w:rPr>
        <w:t>…</w:t>
      </w:r>
    </w:p>
    <w:p w14:paraId="4F67AF28" w14:textId="77777777" w:rsidR="00591D54" w:rsidRDefault="00591D54">
      <w:pPr>
        <w:shd w:val="clear" w:color="auto" w:fill="FFFFFF"/>
        <w:spacing w:before="202"/>
      </w:pPr>
      <w:r>
        <w:rPr>
          <w:b/>
          <w:bCs/>
          <w:spacing w:val="-11"/>
          <w:sz w:val="18"/>
          <w:szCs w:val="18"/>
          <w:lang w:val="es-ES_tradnl"/>
        </w:rPr>
        <w:t>De la contestaci</w:t>
      </w:r>
      <w:r>
        <w:rPr>
          <w:rFonts w:cs="Times New Roman"/>
          <w:b/>
          <w:bCs/>
          <w:spacing w:val="-11"/>
          <w:sz w:val="18"/>
          <w:szCs w:val="18"/>
          <w:lang w:val="es-ES_tradnl"/>
        </w:rPr>
        <w:t>ó</w:t>
      </w:r>
      <w:r>
        <w:rPr>
          <w:b/>
          <w:bCs/>
          <w:spacing w:val="-11"/>
          <w:sz w:val="18"/>
          <w:szCs w:val="18"/>
          <w:lang w:val="es-ES_tradnl"/>
        </w:rPr>
        <w:t>n y sus argumentos</w:t>
      </w:r>
    </w:p>
    <w:p w14:paraId="4F67AF29" w14:textId="77777777" w:rsidR="00591D54" w:rsidRDefault="00591D54">
      <w:pPr>
        <w:shd w:val="clear" w:color="auto" w:fill="FFFFFF"/>
        <w:spacing w:before="192"/>
      </w:pPr>
      <w:r>
        <w:rPr>
          <w:b/>
          <w:bCs/>
          <w:spacing w:val="-9"/>
          <w:sz w:val="18"/>
          <w:szCs w:val="18"/>
          <w:lang w:val="es-ES_tradnl"/>
        </w:rPr>
        <w:t>Argumentos de la parte accionada</w:t>
      </w:r>
    </w:p>
    <w:p w14:paraId="4F67AF2A" w14:textId="77777777" w:rsidR="00591D54" w:rsidRDefault="00591D54">
      <w:pPr>
        <w:shd w:val="clear" w:color="auto" w:fill="FFFFFF"/>
        <w:spacing w:before="192" w:line="216" w:lineRule="exact"/>
        <w:jc w:val="both"/>
      </w:pPr>
      <w:r>
        <w:rPr>
          <w:spacing w:val="-4"/>
          <w:sz w:val="18"/>
          <w:szCs w:val="18"/>
          <w:lang w:val="es-ES_tradnl"/>
        </w:rPr>
        <w:t>Los jueces de la Sala Especializada de la Familia, Ni</w:t>
      </w:r>
      <w:r>
        <w:rPr>
          <w:rFonts w:cs="Times New Roman"/>
          <w:spacing w:val="-4"/>
          <w:sz w:val="18"/>
          <w:szCs w:val="18"/>
          <w:lang w:val="es-ES_tradnl"/>
        </w:rPr>
        <w:t>ñ</w:t>
      </w:r>
      <w:r>
        <w:rPr>
          <w:spacing w:val="-4"/>
          <w:sz w:val="18"/>
          <w:szCs w:val="18"/>
          <w:lang w:val="es-ES_tradnl"/>
        </w:rPr>
        <w:t xml:space="preserve">ez </w:t>
      </w:r>
      <w:r>
        <w:rPr>
          <w:spacing w:val="-6"/>
          <w:sz w:val="18"/>
          <w:szCs w:val="18"/>
          <w:lang w:val="es-ES_tradnl"/>
        </w:rPr>
        <w:t>y Adolescencia de la Corte Nacional de Justicia, Roc</w:t>
      </w:r>
      <w:r>
        <w:rPr>
          <w:rFonts w:cs="Times New Roman"/>
          <w:spacing w:val="-6"/>
          <w:sz w:val="18"/>
          <w:szCs w:val="18"/>
          <w:lang w:val="es-ES_tradnl"/>
        </w:rPr>
        <w:t>í</w:t>
      </w:r>
      <w:r>
        <w:rPr>
          <w:spacing w:val="-6"/>
          <w:sz w:val="18"/>
          <w:szCs w:val="18"/>
          <w:lang w:val="es-ES_tradnl"/>
        </w:rPr>
        <w:t xml:space="preserve">o </w:t>
      </w:r>
      <w:r>
        <w:rPr>
          <w:spacing w:val="-3"/>
          <w:sz w:val="18"/>
          <w:szCs w:val="18"/>
          <w:lang w:val="es-ES_tradnl"/>
        </w:rPr>
        <w:t>Salgado Carpio, Mar</w:t>
      </w:r>
      <w:r>
        <w:rPr>
          <w:rFonts w:cs="Times New Roman"/>
          <w:spacing w:val="-3"/>
          <w:sz w:val="18"/>
          <w:szCs w:val="18"/>
          <w:lang w:val="es-ES_tradnl"/>
        </w:rPr>
        <w:t>í</w:t>
      </w:r>
      <w:r>
        <w:rPr>
          <w:spacing w:val="-3"/>
          <w:sz w:val="18"/>
          <w:szCs w:val="18"/>
          <w:lang w:val="es-ES_tradnl"/>
        </w:rPr>
        <w:t xml:space="preserve">a del Carmen Espinoza Valdivieso </w:t>
      </w:r>
      <w:r>
        <w:rPr>
          <w:sz w:val="18"/>
          <w:szCs w:val="18"/>
          <w:lang w:val="es-ES_tradnl"/>
        </w:rPr>
        <w:t>y Alfonso Asdr</w:t>
      </w:r>
      <w:r>
        <w:rPr>
          <w:rFonts w:cs="Times New Roman"/>
          <w:sz w:val="18"/>
          <w:szCs w:val="18"/>
          <w:lang w:val="es-ES_tradnl"/>
        </w:rPr>
        <w:t>ú</w:t>
      </w:r>
      <w:r>
        <w:rPr>
          <w:sz w:val="18"/>
          <w:szCs w:val="18"/>
          <w:lang w:val="es-ES_tradnl"/>
        </w:rPr>
        <w:t xml:space="preserve">bal Granizo Gavidia, el 5 de junio del </w:t>
      </w:r>
      <w:r>
        <w:rPr>
          <w:spacing w:val="-7"/>
          <w:sz w:val="18"/>
          <w:szCs w:val="18"/>
          <w:lang w:val="es-ES_tradnl"/>
        </w:rPr>
        <w:t>a</w:t>
      </w:r>
      <w:r>
        <w:rPr>
          <w:rFonts w:cs="Times New Roman"/>
          <w:spacing w:val="-7"/>
          <w:sz w:val="18"/>
          <w:szCs w:val="18"/>
          <w:lang w:val="es-ES_tradnl"/>
        </w:rPr>
        <w:t>ñ</w:t>
      </w:r>
      <w:r>
        <w:rPr>
          <w:spacing w:val="-7"/>
          <w:sz w:val="18"/>
          <w:szCs w:val="18"/>
          <w:lang w:val="es-ES_tradnl"/>
        </w:rPr>
        <w:t xml:space="preserve">o 2015 presentaron su informe de descargo en el que </w:t>
      </w:r>
      <w:r>
        <w:rPr>
          <w:sz w:val="18"/>
          <w:szCs w:val="18"/>
          <w:lang w:val="es-ES_tradnl"/>
        </w:rPr>
        <w:t>manifiestan:</w:t>
      </w:r>
    </w:p>
    <w:p w14:paraId="4F67AF2B" w14:textId="77777777" w:rsidR="00591D54" w:rsidRDefault="00591D54">
      <w:pPr>
        <w:shd w:val="clear" w:color="auto" w:fill="FFFFFF"/>
        <w:spacing w:before="197" w:line="216" w:lineRule="exact"/>
        <w:jc w:val="both"/>
      </w:pPr>
      <w:r>
        <w:rPr>
          <w:spacing w:val="-6"/>
          <w:sz w:val="18"/>
          <w:szCs w:val="18"/>
          <w:lang w:val="es-ES_tradnl"/>
        </w:rPr>
        <w:t>Que el accionante en su demanda alega la violaci</w:t>
      </w:r>
      <w:r>
        <w:rPr>
          <w:rFonts w:cs="Times New Roman"/>
          <w:spacing w:val="-6"/>
          <w:sz w:val="18"/>
          <w:szCs w:val="18"/>
          <w:lang w:val="es-ES_tradnl"/>
        </w:rPr>
        <w:t>ó</w:t>
      </w:r>
      <w:r>
        <w:rPr>
          <w:spacing w:val="-6"/>
          <w:sz w:val="18"/>
          <w:szCs w:val="18"/>
          <w:lang w:val="es-ES_tradnl"/>
        </w:rPr>
        <w:t xml:space="preserve">n de </w:t>
      </w:r>
      <w:r>
        <w:rPr>
          <w:spacing w:val="-9"/>
          <w:sz w:val="18"/>
          <w:szCs w:val="18"/>
          <w:lang w:val="es-ES_tradnl"/>
        </w:rPr>
        <w:t xml:space="preserve">varios derechos constitucionales, por cuanto el auto dictado </w:t>
      </w:r>
      <w:r>
        <w:rPr>
          <w:spacing w:val="-6"/>
          <w:sz w:val="18"/>
          <w:szCs w:val="18"/>
          <w:lang w:val="es-ES_tradnl"/>
        </w:rPr>
        <w:t>por la Sala, al inadmitir la acci</w:t>
      </w:r>
      <w:r>
        <w:rPr>
          <w:rFonts w:cs="Times New Roman"/>
          <w:spacing w:val="-6"/>
          <w:sz w:val="18"/>
          <w:szCs w:val="18"/>
          <w:lang w:val="es-ES_tradnl"/>
        </w:rPr>
        <w:t>ó</w:t>
      </w:r>
      <w:r>
        <w:rPr>
          <w:spacing w:val="-6"/>
          <w:sz w:val="18"/>
          <w:szCs w:val="18"/>
          <w:lang w:val="es-ES_tradnl"/>
        </w:rPr>
        <w:t>n de h</w:t>
      </w:r>
      <w:r>
        <w:rPr>
          <w:rFonts w:cs="Times New Roman"/>
          <w:spacing w:val="-6"/>
          <w:sz w:val="18"/>
          <w:szCs w:val="18"/>
          <w:lang w:val="es-ES_tradnl"/>
        </w:rPr>
        <w:t>á</w:t>
      </w:r>
      <w:r>
        <w:rPr>
          <w:spacing w:val="-6"/>
          <w:sz w:val="18"/>
          <w:szCs w:val="18"/>
          <w:lang w:val="es-ES_tradnl"/>
        </w:rPr>
        <w:t xml:space="preserve">beas corpus, lo ha </w:t>
      </w:r>
      <w:r>
        <w:rPr>
          <w:spacing w:val="-10"/>
          <w:sz w:val="18"/>
          <w:szCs w:val="18"/>
          <w:lang w:val="es-ES_tradnl"/>
        </w:rPr>
        <w:t>dejado en total indefensi</w:t>
      </w:r>
      <w:r>
        <w:rPr>
          <w:rFonts w:cs="Times New Roman"/>
          <w:spacing w:val="-10"/>
          <w:sz w:val="18"/>
          <w:szCs w:val="18"/>
          <w:lang w:val="es-ES_tradnl"/>
        </w:rPr>
        <w:t>ó</w:t>
      </w:r>
      <w:r>
        <w:rPr>
          <w:spacing w:val="-10"/>
          <w:sz w:val="18"/>
          <w:szCs w:val="18"/>
          <w:lang w:val="es-ES_tradnl"/>
        </w:rPr>
        <w:t>n, lo que consideran est</w:t>
      </w:r>
      <w:r>
        <w:rPr>
          <w:rFonts w:cs="Times New Roman"/>
          <w:spacing w:val="-10"/>
          <w:sz w:val="18"/>
          <w:szCs w:val="18"/>
          <w:lang w:val="es-ES_tradnl"/>
        </w:rPr>
        <w:t>á</w:t>
      </w:r>
      <w:r>
        <w:rPr>
          <w:spacing w:val="-10"/>
          <w:sz w:val="18"/>
          <w:szCs w:val="18"/>
          <w:lang w:val="es-ES_tradnl"/>
        </w:rPr>
        <w:t xml:space="preserve"> alejado a la realidad procesal, pues lo que han hecho es pronunciarse </w:t>
      </w:r>
      <w:r>
        <w:rPr>
          <w:spacing w:val="-9"/>
          <w:sz w:val="18"/>
          <w:szCs w:val="18"/>
          <w:lang w:val="es-ES_tradnl"/>
        </w:rPr>
        <w:t xml:space="preserve">sobre su competencia para conocer y resolver la demanda </w:t>
      </w:r>
      <w:r>
        <w:rPr>
          <w:spacing w:val="-7"/>
          <w:sz w:val="18"/>
          <w:szCs w:val="18"/>
          <w:lang w:val="es-ES_tradnl"/>
        </w:rPr>
        <w:t>planteada. Que con la motivaci</w:t>
      </w:r>
      <w:r>
        <w:rPr>
          <w:rFonts w:cs="Times New Roman"/>
          <w:spacing w:val="-7"/>
          <w:sz w:val="18"/>
          <w:szCs w:val="18"/>
          <w:lang w:val="es-ES_tradnl"/>
        </w:rPr>
        <w:t>ó</w:t>
      </w:r>
      <w:r>
        <w:rPr>
          <w:spacing w:val="-7"/>
          <w:sz w:val="18"/>
          <w:szCs w:val="18"/>
          <w:lang w:val="es-ES_tradnl"/>
        </w:rPr>
        <w:t xml:space="preserve">n expuesta lo que se hizo </w:t>
      </w:r>
      <w:r>
        <w:rPr>
          <w:spacing w:val="-4"/>
          <w:sz w:val="18"/>
          <w:szCs w:val="18"/>
          <w:lang w:val="es-ES_tradnl"/>
        </w:rPr>
        <w:t xml:space="preserve">fue inadmitirla de acuerdo a lo establecido en el tercer </w:t>
      </w:r>
      <w:r>
        <w:rPr>
          <w:spacing w:val="-5"/>
          <w:sz w:val="18"/>
          <w:szCs w:val="18"/>
          <w:lang w:val="es-ES_tradnl"/>
        </w:rPr>
        <w:t>inciso del art</w:t>
      </w:r>
      <w:r>
        <w:rPr>
          <w:rFonts w:cs="Times New Roman"/>
          <w:spacing w:val="-5"/>
          <w:sz w:val="18"/>
          <w:szCs w:val="18"/>
          <w:lang w:val="es-ES_tradnl"/>
        </w:rPr>
        <w:t>í</w:t>
      </w:r>
      <w:r>
        <w:rPr>
          <w:spacing w:val="-5"/>
          <w:sz w:val="18"/>
          <w:szCs w:val="18"/>
          <w:lang w:val="es-ES_tradnl"/>
        </w:rPr>
        <w:t>culo 7 de la Ley Org</w:t>
      </w:r>
      <w:r>
        <w:rPr>
          <w:rFonts w:cs="Times New Roman"/>
          <w:spacing w:val="-5"/>
          <w:sz w:val="18"/>
          <w:szCs w:val="18"/>
          <w:lang w:val="es-ES_tradnl"/>
        </w:rPr>
        <w:t>á</w:t>
      </w:r>
      <w:r>
        <w:rPr>
          <w:spacing w:val="-5"/>
          <w:sz w:val="18"/>
          <w:szCs w:val="18"/>
          <w:lang w:val="es-ES_tradnl"/>
        </w:rPr>
        <w:t>nica de Garant</w:t>
      </w:r>
      <w:r>
        <w:rPr>
          <w:rFonts w:cs="Times New Roman"/>
          <w:spacing w:val="-5"/>
          <w:sz w:val="18"/>
          <w:szCs w:val="18"/>
          <w:lang w:val="es-ES_tradnl"/>
        </w:rPr>
        <w:t>í</w:t>
      </w:r>
      <w:r>
        <w:rPr>
          <w:spacing w:val="-5"/>
          <w:sz w:val="18"/>
          <w:szCs w:val="18"/>
          <w:lang w:val="es-ES_tradnl"/>
        </w:rPr>
        <w:t xml:space="preserve">as </w:t>
      </w:r>
      <w:r>
        <w:rPr>
          <w:spacing w:val="-7"/>
          <w:sz w:val="18"/>
          <w:szCs w:val="18"/>
          <w:lang w:val="es-ES_tradnl"/>
        </w:rPr>
        <w:t>Jurisdiccionales y Control Constitucional, ya que, en raz</w:t>
      </w:r>
      <w:r>
        <w:rPr>
          <w:rFonts w:cs="Times New Roman"/>
          <w:spacing w:val="-7"/>
          <w:sz w:val="18"/>
          <w:szCs w:val="18"/>
          <w:lang w:val="es-ES_tradnl"/>
        </w:rPr>
        <w:t>ó</w:t>
      </w:r>
      <w:r>
        <w:rPr>
          <w:spacing w:val="-7"/>
          <w:sz w:val="18"/>
          <w:szCs w:val="18"/>
          <w:lang w:val="es-ES_tradnl"/>
        </w:rPr>
        <w:t xml:space="preserve">n </w:t>
      </w:r>
      <w:r>
        <w:rPr>
          <w:spacing w:val="-9"/>
          <w:sz w:val="18"/>
          <w:szCs w:val="18"/>
          <w:lang w:val="es-ES_tradnl"/>
        </w:rPr>
        <w:t xml:space="preserve">de los grados, se encuentran impedidos de entrar a conocer </w:t>
      </w:r>
      <w:r>
        <w:rPr>
          <w:spacing w:val="-7"/>
          <w:sz w:val="18"/>
          <w:szCs w:val="18"/>
          <w:lang w:val="es-ES_tradnl"/>
        </w:rPr>
        <w:t xml:space="preserve">y resolver como juezas y jueces de primera instancia. </w:t>
      </w:r>
      <w:r>
        <w:rPr>
          <w:spacing w:val="-6"/>
          <w:sz w:val="18"/>
          <w:szCs w:val="18"/>
          <w:lang w:val="es-ES_tradnl"/>
        </w:rPr>
        <w:t xml:space="preserve">Consideran que al haber emitido un pronunciamiento de </w:t>
      </w:r>
      <w:r>
        <w:rPr>
          <w:spacing w:val="-10"/>
          <w:sz w:val="18"/>
          <w:szCs w:val="18"/>
          <w:lang w:val="es-ES_tradnl"/>
        </w:rPr>
        <w:t>fondo sobre la pretensi</w:t>
      </w:r>
      <w:r>
        <w:rPr>
          <w:rFonts w:cs="Times New Roman"/>
          <w:spacing w:val="-10"/>
          <w:sz w:val="18"/>
          <w:szCs w:val="18"/>
          <w:lang w:val="es-ES_tradnl"/>
        </w:rPr>
        <w:t>ó</w:t>
      </w:r>
      <w:r>
        <w:rPr>
          <w:spacing w:val="-10"/>
          <w:sz w:val="18"/>
          <w:szCs w:val="18"/>
          <w:lang w:val="es-ES_tradnl"/>
        </w:rPr>
        <w:t>n planteada, el accionante no puede alegar afectaci</w:t>
      </w:r>
      <w:r>
        <w:rPr>
          <w:rFonts w:cs="Times New Roman"/>
          <w:spacing w:val="-10"/>
          <w:sz w:val="18"/>
          <w:szCs w:val="18"/>
          <w:lang w:val="es-ES_tradnl"/>
        </w:rPr>
        <w:t>ó</w:t>
      </w:r>
      <w:r>
        <w:rPr>
          <w:spacing w:val="-10"/>
          <w:sz w:val="18"/>
          <w:szCs w:val="18"/>
          <w:lang w:val="es-ES_tradnl"/>
        </w:rPr>
        <w:t xml:space="preserve">n a sus derechos constitucionales, ya que no se le ha privado de acudir ante juez competente a ejercer las </w:t>
      </w:r>
      <w:r>
        <w:rPr>
          <w:spacing w:val="-7"/>
          <w:sz w:val="18"/>
          <w:szCs w:val="18"/>
          <w:lang w:val="es-ES_tradnl"/>
        </w:rPr>
        <w:t>acciones establecidas en la Constituci</w:t>
      </w:r>
      <w:r>
        <w:rPr>
          <w:rFonts w:cs="Times New Roman"/>
          <w:spacing w:val="-7"/>
          <w:sz w:val="18"/>
          <w:szCs w:val="18"/>
          <w:lang w:val="es-ES_tradnl"/>
        </w:rPr>
        <w:t>ó</w:t>
      </w:r>
      <w:r>
        <w:rPr>
          <w:spacing w:val="-7"/>
          <w:sz w:val="18"/>
          <w:szCs w:val="18"/>
          <w:lang w:val="es-ES_tradnl"/>
        </w:rPr>
        <w:t>n y la ley.</w:t>
      </w:r>
    </w:p>
    <w:p w14:paraId="4F67AF2C" w14:textId="77777777" w:rsidR="00591D54" w:rsidRDefault="00591D54">
      <w:pPr>
        <w:shd w:val="clear" w:color="auto" w:fill="FFFFFF"/>
        <w:spacing w:before="197" w:line="216" w:lineRule="exact"/>
        <w:jc w:val="both"/>
      </w:pPr>
      <w:r>
        <w:rPr>
          <w:spacing w:val="-9"/>
          <w:sz w:val="18"/>
          <w:szCs w:val="18"/>
          <w:lang w:val="es-ES_tradnl"/>
        </w:rPr>
        <w:t>Adem</w:t>
      </w:r>
      <w:r>
        <w:rPr>
          <w:rFonts w:cs="Times New Roman"/>
          <w:spacing w:val="-9"/>
          <w:sz w:val="18"/>
          <w:szCs w:val="18"/>
          <w:lang w:val="es-ES_tradnl"/>
        </w:rPr>
        <w:t>á</w:t>
      </w:r>
      <w:r>
        <w:rPr>
          <w:spacing w:val="-9"/>
          <w:sz w:val="18"/>
          <w:szCs w:val="18"/>
          <w:lang w:val="es-ES_tradnl"/>
        </w:rPr>
        <w:t>s, se</w:t>
      </w:r>
      <w:r>
        <w:rPr>
          <w:rFonts w:cs="Times New Roman"/>
          <w:spacing w:val="-9"/>
          <w:sz w:val="18"/>
          <w:szCs w:val="18"/>
          <w:lang w:val="es-ES_tradnl"/>
        </w:rPr>
        <w:t>ñ</w:t>
      </w:r>
      <w:r>
        <w:rPr>
          <w:spacing w:val="-9"/>
          <w:sz w:val="18"/>
          <w:szCs w:val="18"/>
          <w:lang w:val="es-ES_tradnl"/>
        </w:rPr>
        <w:t>alan que la relaci</w:t>
      </w:r>
      <w:r>
        <w:rPr>
          <w:rFonts w:cs="Times New Roman"/>
          <w:spacing w:val="-9"/>
          <w:sz w:val="18"/>
          <w:szCs w:val="18"/>
          <w:lang w:val="es-ES_tradnl"/>
        </w:rPr>
        <w:t>ó</w:t>
      </w:r>
      <w:r>
        <w:rPr>
          <w:spacing w:val="-9"/>
          <w:sz w:val="18"/>
          <w:szCs w:val="18"/>
          <w:lang w:val="es-ES_tradnl"/>
        </w:rPr>
        <w:t xml:space="preserve">n y secuencia de los hechos </w:t>
      </w:r>
      <w:r>
        <w:rPr>
          <w:spacing w:val="-7"/>
          <w:sz w:val="18"/>
          <w:szCs w:val="18"/>
          <w:lang w:val="es-ES_tradnl"/>
        </w:rPr>
        <w:t xml:space="preserve">narrados por el accionante no se ajusta a la realidad de lo </w:t>
      </w:r>
      <w:r>
        <w:rPr>
          <w:spacing w:val="-5"/>
          <w:sz w:val="18"/>
          <w:szCs w:val="18"/>
          <w:lang w:val="es-ES_tradnl"/>
        </w:rPr>
        <w:t>sucedido, ya que de la revisi</w:t>
      </w:r>
      <w:r>
        <w:rPr>
          <w:rFonts w:cs="Times New Roman"/>
          <w:spacing w:val="-5"/>
          <w:sz w:val="18"/>
          <w:szCs w:val="18"/>
          <w:lang w:val="es-ES_tradnl"/>
        </w:rPr>
        <w:t>ó</w:t>
      </w:r>
      <w:r>
        <w:rPr>
          <w:spacing w:val="-5"/>
          <w:sz w:val="18"/>
          <w:szCs w:val="18"/>
          <w:lang w:val="es-ES_tradnl"/>
        </w:rPr>
        <w:t>n de la informaci</w:t>
      </w:r>
      <w:r>
        <w:rPr>
          <w:rFonts w:cs="Times New Roman"/>
          <w:spacing w:val="-5"/>
          <w:sz w:val="18"/>
          <w:szCs w:val="18"/>
          <w:lang w:val="es-ES_tradnl"/>
        </w:rPr>
        <w:t>ó</w:t>
      </w:r>
      <w:r>
        <w:rPr>
          <w:spacing w:val="-5"/>
          <w:sz w:val="18"/>
          <w:szCs w:val="18"/>
          <w:lang w:val="es-ES_tradnl"/>
        </w:rPr>
        <w:t>n p</w:t>
      </w:r>
      <w:r>
        <w:rPr>
          <w:rFonts w:cs="Times New Roman"/>
          <w:spacing w:val="-5"/>
          <w:sz w:val="18"/>
          <w:szCs w:val="18"/>
          <w:lang w:val="es-ES_tradnl"/>
        </w:rPr>
        <w:t>ú</w:t>
      </w:r>
      <w:r>
        <w:rPr>
          <w:spacing w:val="-5"/>
          <w:sz w:val="18"/>
          <w:szCs w:val="18"/>
          <w:lang w:val="es-ES_tradnl"/>
        </w:rPr>
        <w:t xml:space="preserve">blica </w:t>
      </w:r>
      <w:r>
        <w:rPr>
          <w:spacing w:val="-6"/>
          <w:sz w:val="18"/>
          <w:szCs w:val="18"/>
          <w:lang w:val="es-ES_tradnl"/>
        </w:rPr>
        <w:t xml:space="preserve">registrada en la Corte Nacional de Justicia a la que han </w:t>
      </w:r>
      <w:r>
        <w:rPr>
          <w:spacing w:val="-4"/>
          <w:sz w:val="18"/>
          <w:szCs w:val="18"/>
          <w:lang w:val="es-ES_tradnl"/>
        </w:rPr>
        <w:t xml:space="preserve">podido acceder, conocen que en forma posterior al auto </w:t>
      </w:r>
      <w:r>
        <w:rPr>
          <w:spacing w:val="-8"/>
          <w:sz w:val="18"/>
          <w:szCs w:val="18"/>
          <w:lang w:val="es-ES_tradnl"/>
        </w:rPr>
        <w:t>de inadmisi</w:t>
      </w:r>
      <w:r>
        <w:rPr>
          <w:rFonts w:cs="Times New Roman"/>
          <w:spacing w:val="-8"/>
          <w:sz w:val="18"/>
          <w:szCs w:val="18"/>
          <w:lang w:val="es-ES_tradnl"/>
        </w:rPr>
        <w:t>ó</w:t>
      </w:r>
      <w:r>
        <w:rPr>
          <w:spacing w:val="-8"/>
          <w:sz w:val="18"/>
          <w:szCs w:val="18"/>
          <w:lang w:val="es-ES_tradnl"/>
        </w:rPr>
        <w:t>n que se encuentra impugnado, el se</w:t>
      </w:r>
      <w:r>
        <w:rPr>
          <w:rFonts w:cs="Times New Roman"/>
          <w:spacing w:val="-8"/>
          <w:sz w:val="18"/>
          <w:szCs w:val="18"/>
          <w:lang w:val="es-ES_tradnl"/>
        </w:rPr>
        <w:t>ñ</w:t>
      </w:r>
      <w:r>
        <w:rPr>
          <w:spacing w:val="-8"/>
          <w:sz w:val="18"/>
          <w:szCs w:val="18"/>
          <w:lang w:val="es-ES_tradnl"/>
        </w:rPr>
        <w:t xml:space="preserve">or Diez </w:t>
      </w:r>
      <w:r>
        <w:rPr>
          <w:spacing w:val="-7"/>
          <w:sz w:val="18"/>
          <w:szCs w:val="18"/>
          <w:lang w:val="es-ES_tradnl"/>
        </w:rPr>
        <w:t>Merino, ha presentado, en m</w:t>
      </w:r>
      <w:r>
        <w:rPr>
          <w:rFonts w:cs="Times New Roman"/>
          <w:spacing w:val="-7"/>
          <w:sz w:val="18"/>
          <w:szCs w:val="18"/>
          <w:lang w:val="es-ES_tradnl"/>
        </w:rPr>
        <w:t>á</w:t>
      </w:r>
      <w:r>
        <w:rPr>
          <w:spacing w:val="-7"/>
          <w:sz w:val="18"/>
          <w:szCs w:val="18"/>
          <w:lang w:val="es-ES_tradnl"/>
        </w:rPr>
        <w:t>s de una ocasi</w:t>
      </w:r>
      <w:r>
        <w:rPr>
          <w:rFonts w:cs="Times New Roman"/>
          <w:spacing w:val="-7"/>
          <w:sz w:val="18"/>
          <w:szCs w:val="18"/>
          <w:lang w:val="es-ES_tradnl"/>
        </w:rPr>
        <w:t>ó</w:t>
      </w:r>
      <w:r>
        <w:rPr>
          <w:spacing w:val="-7"/>
          <w:sz w:val="18"/>
          <w:szCs w:val="18"/>
          <w:lang w:val="es-ES_tradnl"/>
        </w:rPr>
        <w:t>n, al juez competente, otras acciones constitucionales de h</w:t>
      </w:r>
      <w:r>
        <w:rPr>
          <w:rFonts w:cs="Times New Roman"/>
          <w:spacing w:val="-7"/>
          <w:sz w:val="18"/>
          <w:szCs w:val="18"/>
          <w:lang w:val="es-ES_tradnl"/>
        </w:rPr>
        <w:t>á</w:t>
      </w:r>
      <w:r>
        <w:rPr>
          <w:spacing w:val="-7"/>
          <w:sz w:val="18"/>
          <w:szCs w:val="18"/>
          <w:lang w:val="es-ES_tradnl"/>
        </w:rPr>
        <w:t xml:space="preserve">beas corpus, esgrimiendo los mismos argumentos de hecho y </w:t>
      </w:r>
      <w:r>
        <w:rPr>
          <w:sz w:val="18"/>
          <w:szCs w:val="18"/>
          <w:lang w:val="es-ES_tradnl"/>
        </w:rPr>
        <w:t>derecho.</w:t>
      </w:r>
    </w:p>
    <w:p w14:paraId="4F67AF2D" w14:textId="77777777" w:rsidR="00591D54" w:rsidRDefault="00591D54">
      <w:pPr>
        <w:shd w:val="clear" w:color="auto" w:fill="FFFFFF"/>
        <w:spacing w:before="197" w:line="216" w:lineRule="exact"/>
        <w:jc w:val="both"/>
      </w:pPr>
      <w:r>
        <w:rPr>
          <w:spacing w:val="-5"/>
          <w:sz w:val="18"/>
          <w:szCs w:val="18"/>
          <w:lang w:val="es-ES_tradnl"/>
        </w:rPr>
        <w:t>Afirman tambi</w:t>
      </w:r>
      <w:r>
        <w:rPr>
          <w:rFonts w:cs="Times New Roman"/>
          <w:spacing w:val="-5"/>
          <w:sz w:val="18"/>
          <w:szCs w:val="18"/>
          <w:lang w:val="es-ES_tradnl"/>
        </w:rPr>
        <w:t>é</w:t>
      </w:r>
      <w:r>
        <w:rPr>
          <w:spacing w:val="-5"/>
          <w:sz w:val="18"/>
          <w:szCs w:val="18"/>
          <w:lang w:val="es-ES_tradnl"/>
        </w:rPr>
        <w:t xml:space="preserve">n que lo que se ha resuelto es un asunto </w:t>
      </w:r>
      <w:r>
        <w:rPr>
          <w:spacing w:val="-7"/>
          <w:sz w:val="18"/>
          <w:szCs w:val="18"/>
          <w:lang w:val="es-ES_tradnl"/>
        </w:rPr>
        <w:t>de competencia que mira a una solemnidad sustancial, de</w:t>
      </w:r>
    </w:p>
    <w:p w14:paraId="4F67AF2E" w14:textId="77777777" w:rsidR="00591D54" w:rsidRDefault="00591D54">
      <w:pPr>
        <w:shd w:val="clear" w:color="auto" w:fill="FFFFFF"/>
        <w:spacing w:before="197" w:line="216" w:lineRule="exact"/>
        <w:jc w:val="both"/>
        <w:sectPr w:rsidR="00591D54">
          <w:type w:val="continuous"/>
          <w:pgSz w:w="11909" w:h="16834"/>
          <w:pgMar w:top="1371" w:right="1309" w:bottom="360" w:left="1308" w:header="720" w:footer="720" w:gutter="0"/>
          <w:cols w:num="2" w:space="720" w:equalWidth="0">
            <w:col w:w="4305" w:space="682"/>
            <w:col w:w="4305"/>
          </w:cols>
          <w:noEndnote/>
        </w:sectPr>
      </w:pPr>
    </w:p>
    <w:p w14:paraId="4F67AF2F" w14:textId="77777777" w:rsidR="00591D54" w:rsidRDefault="00591D54">
      <w:pPr>
        <w:shd w:val="clear" w:color="auto" w:fill="FFFFFF"/>
        <w:tabs>
          <w:tab w:val="left" w:pos="5842"/>
        </w:tabs>
        <w:spacing w:after="226"/>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- 143</w:t>
      </w:r>
    </w:p>
    <w:p w14:paraId="4F67AF30" w14:textId="77777777" w:rsidR="00591D54" w:rsidRDefault="00591D54">
      <w:pPr>
        <w:shd w:val="clear" w:color="auto" w:fill="FFFFFF"/>
        <w:tabs>
          <w:tab w:val="left" w:pos="5842"/>
        </w:tabs>
        <w:spacing w:after="226"/>
        <w:ind w:left="5"/>
        <w:sectPr w:rsidR="00591D54">
          <w:pgSz w:w="11909" w:h="16834"/>
          <w:pgMar w:top="1373" w:right="1309" w:bottom="360" w:left="1308" w:header="720" w:footer="720" w:gutter="0"/>
          <w:cols w:space="60"/>
          <w:noEndnote/>
        </w:sectPr>
      </w:pPr>
    </w:p>
    <w:p w14:paraId="4F67AF31" w14:textId="77777777" w:rsidR="00591D54" w:rsidRDefault="00591D54">
      <w:pPr>
        <w:shd w:val="clear" w:color="auto" w:fill="FFFFFF"/>
        <w:spacing w:before="10" w:line="216" w:lineRule="exact"/>
        <w:jc w:val="both"/>
      </w:pPr>
      <w:r>
        <w:rPr>
          <w:spacing w:val="-6"/>
          <w:sz w:val="18"/>
          <w:szCs w:val="18"/>
          <w:lang w:val="es-ES_tradnl"/>
        </w:rPr>
        <w:t xml:space="preserve">lo que no puede sustraerse el proceso constitucional por </w:t>
      </w:r>
      <w:r>
        <w:rPr>
          <w:spacing w:val="-7"/>
          <w:sz w:val="18"/>
          <w:szCs w:val="18"/>
          <w:lang w:val="es-ES_tradnl"/>
        </w:rPr>
        <w:t>m</w:t>
      </w:r>
      <w:r>
        <w:rPr>
          <w:rFonts w:cs="Times New Roman"/>
          <w:spacing w:val="-7"/>
          <w:sz w:val="18"/>
          <w:szCs w:val="18"/>
          <w:lang w:val="es-ES_tradnl"/>
        </w:rPr>
        <w:t>á</w:t>
      </w:r>
      <w:r>
        <w:rPr>
          <w:spacing w:val="-7"/>
          <w:sz w:val="18"/>
          <w:szCs w:val="18"/>
          <w:lang w:val="es-ES_tradnl"/>
        </w:rPr>
        <w:t>s que su tr</w:t>
      </w:r>
      <w:r>
        <w:rPr>
          <w:rFonts w:cs="Times New Roman"/>
          <w:spacing w:val="-7"/>
          <w:sz w:val="18"/>
          <w:szCs w:val="18"/>
          <w:lang w:val="es-ES_tradnl"/>
        </w:rPr>
        <w:t>á</w:t>
      </w:r>
      <w:r>
        <w:rPr>
          <w:spacing w:val="-7"/>
          <w:sz w:val="18"/>
          <w:szCs w:val="18"/>
          <w:lang w:val="es-ES_tradnl"/>
        </w:rPr>
        <w:t xml:space="preserve">mite sea informal, sumario, pues unos son </w:t>
      </w:r>
      <w:r>
        <w:rPr>
          <w:spacing w:val="-6"/>
          <w:sz w:val="18"/>
          <w:szCs w:val="18"/>
          <w:lang w:val="es-ES_tradnl"/>
        </w:rPr>
        <w:t xml:space="preserve">los ritos y formalidades insustanciales en los que se ve </w:t>
      </w:r>
      <w:r>
        <w:rPr>
          <w:spacing w:val="-8"/>
          <w:sz w:val="18"/>
          <w:szCs w:val="18"/>
          <w:lang w:val="es-ES_tradnl"/>
        </w:rPr>
        <w:t xml:space="preserve">entrampado el proceso, y de los que es preciso despojarle </w:t>
      </w:r>
      <w:r>
        <w:rPr>
          <w:spacing w:val="-7"/>
          <w:sz w:val="18"/>
          <w:szCs w:val="18"/>
          <w:lang w:val="es-ES_tradnl"/>
        </w:rPr>
        <w:t xml:space="preserve">para dar cabida a los derechos de los justiciables, y otras solemnidades de las que no se puede prescindir, como </w:t>
      </w:r>
      <w:r>
        <w:rPr>
          <w:spacing w:val="-2"/>
          <w:sz w:val="18"/>
          <w:szCs w:val="18"/>
          <w:lang w:val="es-ES_tradnl"/>
        </w:rPr>
        <w:t xml:space="preserve">aquella que mira la competencia del juez, no por otra </w:t>
      </w:r>
      <w:r>
        <w:rPr>
          <w:spacing w:val="-7"/>
          <w:sz w:val="18"/>
          <w:szCs w:val="18"/>
          <w:lang w:val="es-ES_tradnl"/>
        </w:rPr>
        <w:t>raz</w:t>
      </w:r>
      <w:r>
        <w:rPr>
          <w:rFonts w:cs="Times New Roman"/>
          <w:spacing w:val="-7"/>
          <w:sz w:val="18"/>
          <w:szCs w:val="18"/>
          <w:lang w:val="es-ES_tradnl"/>
        </w:rPr>
        <w:t>ó</w:t>
      </w:r>
      <w:r>
        <w:rPr>
          <w:spacing w:val="-7"/>
          <w:sz w:val="18"/>
          <w:szCs w:val="18"/>
          <w:lang w:val="es-ES_tradnl"/>
        </w:rPr>
        <w:t>n se encuentra consagrada en la Constituci</w:t>
      </w:r>
      <w:r>
        <w:rPr>
          <w:rFonts w:cs="Times New Roman"/>
          <w:spacing w:val="-7"/>
          <w:sz w:val="18"/>
          <w:szCs w:val="18"/>
          <w:lang w:val="es-ES_tradnl"/>
        </w:rPr>
        <w:t>ó</w:t>
      </w:r>
      <w:r>
        <w:rPr>
          <w:spacing w:val="-7"/>
          <w:sz w:val="18"/>
          <w:szCs w:val="18"/>
          <w:lang w:val="es-ES_tradnl"/>
        </w:rPr>
        <w:t xml:space="preserve">n y en la ley; por lo que manifiestan que resulta insostenible la tesis </w:t>
      </w:r>
      <w:r>
        <w:rPr>
          <w:spacing w:val="-9"/>
          <w:sz w:val="18"/>
          <w:szCs w:val="18"/>
          <w:lang w:val="es-ES_tradnl"/>
        </w:rPr>
        <w:t>sustentada por el accionante, al pretender que act</w:t>
      </w:r>
      <w:r>
        <w:rPr>
          <w:rFonts w:cs="Times New Roman"/>
          <w:spacing w:val="-9"/>
          <w:sz w:val="18"/>
          <w:szCs w:val="18"/>
          <w:lang w:val="es-ES_tradnl"/>
        </w:rPr>
        <w:t>ú</w:t>
      </w:r>
      <w:r>
        <w:rPr>
          <w:spacing w:val="-9"/>
          <w:sz w:val="18"/>
          <w:szCs w:val="18"/>
          <w:lang w:val="es-ES_tradnl"/>
        </w:rPr>
        <w:t xml:space="preserve">en como </w:t>
      </w:r>
      <w:r>
        <w:rPr>
          <w:spacing w:val="-5"/>
          <w:sz w:val="18"/>
          <w:szCs w:val="18"/>
          <w:lang w:val="es-ES_tradnl"/>
        </w:rPr>
        <w:t>tribunal de primera instancia en la acci</w:t>
      </w:r>
      <w:r>
        <w:rPr>
          <w:rFonts w:cs="Times New Roman"/>
          <w:spacing w:val="-5"/>
          <w:sz w:val="18"/>
          <w:szCs w:val="18"/>
          <w:lang w:val="es-ES_tradnl"/>
        </w:rPr>
        <w:t>ó</w:t>
      </w:r>
      <w:r>
        <w:rPr>
          <w:spacing w:val="-5"/>
          <w:sz w:val="18"/>
          <w:szCs w:val="18"/>
          <w:lang w:val="es-ES_tradnl"/>
        </w:rPr>
        <w:t xml:space="preserve">n constitucional </w:t>
      </w:r>
      <w:r>
        <w:rPr>
          <w:spacing w:val="-9"/>
          <w:sz w:val="18"/>
          <w:szCs w:val="18"/>
          <w:lang w:val="es-ES_tradnl"/>
        </w:rPr>
        <w:t>deducida, ya que no existe disposici</w:t>
      </w:r>
      <w:r>
        <w:rPr>
          <w:rFonts w:cs="Times New Roman"/>
          <w:spacing w:val="-9"/>
          <w:sz w:val="18"/>
          <w:szCs w:val="18"/>
          <w:lang w:val="es-ES_tradnl"/>
        </w:rPr>
        <w:t>ó</w:t>
      </w:r>
      <w:r>
        <w:rPr>
          <w:spacing w:val="-9"/>
          <w:sz w:val="18"/>
          <w:szCs w:val="18"/>
          <w:lang w:val="es-ES_tradnl"/>
        </w:rPr>
        <w:t xml:space="preserve">n legal que les otorgue </w:t>
      </w:r>
      <w:r>
        <w:rPr>
          <w:sz w:val="18"/>
          <w:szCs w:val="18"/>
          <w:lang w:val="es-ES_tradnl"/>
        </w:rPr>
        <w:t>dicha competencia.</w:t>
      </w:r>
    </w:p>
    <w:p w14:paraId="4F67AF32" w14:textId="77777777" w:rsidR="00591D54" w:rsidRDefault="00591D54">
      <w:pPr>
        <w:shd w:val="clear" w:color="auto" w:fill="FFFFFF"/>
        <w:spacing w:before="197" w:line="216" w:lineRule="exact"/>
        <w:ind w:right="5"/>
        <w:jc w:val="both"/>
      </w:pPr>
      <w:r>
        <w:rPr>
          <w:spacing w:val="-3"/>
          <w:sz w:val="18"/>
          <w:szCs w:val="18"/>
          <w:lang w:val="es-ES_tradnl"/>
        </w:rPr>
        <w:t>Realizan adem</w:t>
      </w:r>
      <w:r>
        <w:rPr>
          <w:rFonts w:cs="Times New Roman"/>
          <w:spacing w:val="-3"/>
          <w:sz w:val="18"/>
          <w:szCs w:val="18"/>
          <w:lang w:val="es-ES_tradnl"/>
        </w:rPr>
        <w:t>á</w:t>
      </w:r>
      <w:r>
        <w:rPr>
          <w:spacing w:val="-3"/>
          <w:sz w:val="18"/>
          <w:szCs w:val="18"/>
          <w:lang w:val="es-ES_tradnl"/>
        </w:rPr>
        <w:t>s una exposici</w:t>
      </w:r>
      <w:r>
        <w:rPr>
          <w:rFonts w:cs="Times New Roman"/>
          <w:spacing w:val="-3"/>
          <w:sz w:val="18"/>
          <w:szCs w:val="18"/>
          <w:lang w:val="es-ES_tradnl"/>
        </w:rPr>
        <w:t>ó</w:t>
      </w:r>
      <w:r>
        <w:rPr>
          <w:spacing w:val="-3"/>
          <w:sz w:val="18"/>
          <w:szCs w:val="18"/>
          <w:lang w:val="es-ES_tradnl"/>
        </w:rPr>
        <w:t xml:space="preserve">n de la normativa </w:t>
      </w:r>
      <w:r>
        <w:rPr>
          <w:spacing w:val="-8"/>
          <w:sz w:val="18"/>
          <w:szCs w:val="18"/>
          <w:lang w:val="es-ES_tradnl"/>
        </w:rPr>
        <w:t xml:space="preserve">constitucional y legal aplicable al caso, con lo que justifican </w:t>
      </w:r>
      <w:r>
        <w:rPr>
          <w:spacing w:val="-7"/>
          <w:sz w:val="18"/>
          <w:szCs w:val="18"/>
          <w:lang w:val="es-ES_tradnl"/>
        </w:rPr>
        <w:t>la falta de competencia para conocer dicha acci</w:t>
      </w:r>
      <w:r>
        <w:rPr>
          <w:rFonts w:cs="Times New Roman"/>
          <w:spacing w:val="-7"/>
          <w:sz w:val="18"/>
          <w:szCs w:val="18"/>
          <w:lang w:val="es-ES_tradnl"/>
        </w:rPr>
        <w:t>ó</w:t>
      </w:r>
      <w:r>
        <w:rPr>
          <w:spacing w:val="-7"/>
          <w:sz w:val="18"/>
          <w:szCs w:val="18"/>
          <w:lang w:val="es-ES_tradnl"/>
        </w:rPr>
        <w:t xml:space="preserve">n, motivo </w:t>
      </w:r>
      <w:r>
        <w:rPr>
          <w:spacing w:val="-10"/>
          <w:sz w:val="18"/>
          <w:szCs w:val="18"/>
          <w:lang w:val="es-ES_tradnl"/>
        </w:rPr>
        <w:t xml:space="preserve">por el cual se pronunciaron en el momento correspondiente, </w:t>
      </w:r>
      <w:r>
        <w:rPr>
          <w:sz w:val="18"/>
          <w:szCs w:val="18"/>
          <w:lang w:val="es-ES_tradnl"/>
        </w:rPr>
        <w:t>de conformidad con el art</w:t>
      </w:r>
      <w:r>
        <w:rPr>
          <w:rFonts w:cs="Times New Roman"/>
          <w:sz w:val="18"/>
          <w:szCs w:val="18"/>
          <w:lang w:val="es-ES_tradnl"/>
        </w:rPr>
        <w:t>í</w:t>
      </w:r>
      <w:r>
        <w:rPr>
          <w:sz w:val="18"/>
          <w:szCs w:val="18"/>
          <w:lang w:val="es-ES_tradnl"/>
        </w:rPr>
        <w:t xml:space="preserve">culo 7 tercer inciso de la </w:t>
      </w:r>
      <w:r>
        <w:rPr>
          <w:spacing w:val="-6"/>
          <w:sz w:val="18"/>
          <w:szCs w:val="18"/>
          <w:lang w:val="es-ES_tradnl"/>
        </w:rPr>
        <w:t>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Control </w:t>
      </w:r>
      <w:r>
        <w:rPr>
          <w:sz w:val="18"/>
          <w:szCs w:val="18"/>
          <w:lang w:val="es-ES_tradnl"/>
        </w:rPr>
        <w:t>Constitucional.</w:t>
      </w:r>
    </w:p>
    <w:p w14:paraId="4F67AF33" w14:textId="77777777" w:rsidR="00591D54" w:rsidRDefault="00591D54">
      <w:pPr>
        <w:shd w:val="clear" w:color="auto" w:fill="FFFFFF"/>
        <w:spacing w:before="197" w:line="216" w:lineRule="exact"/>
        <w:ind w:right="5"/>
        <w:jc w:val="both"/>
      </w:pPr>
      <w:r>
        <w:rPr>
          <w:spacing w:val="-9"/>
          <w:sz w:val="18"/>
          <w:szCs w:val="18"/>
          <w:lang w:val="es-ES_tradnl"/>
        </w:rPr>
        <w:t>Por otra parte, se</w:t>
      </w:r>
      <w:r>
        <w:rPr>
          <w:rFonts w:cs="Times New Roman"/>
          <w:spacing w:val="-9"/>
          <w:sz w:val="18"/>
          <w:szCs w:val="18"/>
          <w:lang w:val="es-ES_tradnl"/>
        </w:rPr>
        <w:t>ñ</w:t>
      </w:r>
      <w:r>
        <w:rPr>
          <w:spacing w:val="-9"/>
          <w:sz w:val="18"/>
          <w:szCs w:val="18"/>
          <w:lang w:val="es-ES_tradnl"/>
        </w:rPr>
        <w:t>alan que si bien la Constituci</w:t>
      </w:r>
      <w:r>
        <w:rPr>
          <w:rFonts w:cs="Times New Roman"/>
          <w:spacing w:val="-9"/>
          <w:sz w:val="18"/>
          <w:szCs w:val="18"/>
          <w:lang w:val="es-ES_tradnl"/>
        </w:rPr>
        <w:t>ó</w:t>
      </w:r>
      <w:r>
        <w:rPr>
          <w:spacing w:val="-9"/>
          <w:sz w:val="18"/>
          <w:szCs w:val="18"/>
          <w:lang w:val="es-ES_tradnl"/>
        </w:rPr>
        <w:t xml:space="preserve">n garantiza </w:t>
      </w:r>
      <w:r>
        <w:rPr>
          <w:spacing w:val="-10"/>
          <w:sz w:val="18"/>
          <w:szCs w:val="18"/>
          <w:lang w:val="es-ES_tradnl"/>
        </w:rPr>
        <w:t xml:space="preserve">el acceso a la justicia en forma gratuita, imparcial y expedita, </w:t>
      </w:r>
      <w:r>
        <w:rPr>
          <w:spacing w:val="-12"/>
          <w:sz w:val="18"/>
          <w:szCs w:val="18"/>
          <w:lang w:val="es-ES_tradnl"/>
        </w:rPr>
        <w:t xml:space="preserve">para gozar y hacer efectiva la tutela de los derechos, no puede </w:t>
      </w:r>
      <w:r>
        <w:rPr>
          <w:spacing w:val="-8"/>
          <w:sz w:val="18"/>
          <w:szCs w:val="18"/>
          <w:lang w:val="es-ES_tradnl"/>
        </w:rPr>
        <w:t>el afectado acudir ante un juez o tribunal discrecionalmente escogido de acuerdo a su conveniencia o comodidad, sino ante el competente, porque entre las garant</w:t>
      </w:r>
      <w:r>
        <w:rPr>
          <w:rFonts w:cs="Times New Roman"/>
          <w:spacing w:val="-8"/>
          <w:sz w:val="18"/>
          <w:szCs w:val="18"/>
          <w:lang w:val="es-ES_tradnl"/>
        </w:rPr>
        <w:t>í</w:t>
      </w:r>
      <w:r>
        <w:rPr>
          <w:spacing w:val="-8"/>
          <w:sz w:val="18"/>
          <w:szCs w:val="18"/>
          <w:lang w:val="es-ES_tradnl"/>
        </w:rPr>
        <w:t>as del debido proceso tambi</w:t>
      </w:r>
      <w:r>
        <w:rPr>
          <w:rFonts w:cs="Times New Roman"/>
          <w:spacing w:val="-8"/>
          <w:sz w:val="18"/>
          <w:szCs w:val="18"/>
          <w:lang w:val="es-ES_tradnl"/>
        </w:rPr>
        <w:t>é</w:t>
      </w:r>
      <w:r>
        <w:rPr>
          <w:spacing w:val="-8"/>
          <w:sz w:val="18"/>
          <w:szCs w:val="18"/>
          <w:lang w:val="es-ES_tradnl"/>
        </w:rPr>
        <w:t>n esta aquella que dice que solo se podr</w:t>
      </w:r>
      <w:r>
        <w:rPr>
          <w:rFonts w:cs="Times New Roman"/>
          <w:spacing w:val="-8"/>
          <w:sz w:val="18"/>
          <w:szCs w:val="18"/>
          <w:lang w:val="es-ES_tradnl"/>
        </w:rPr>
        <w:t xml:space="preserve">á </w:t>
      </w:r>
      <w:r>
        <w:rPr>
          <w:spacing w:val="-10"/>
          <w:sz w:val="18"/>
          <w:szCs w:val="18"/>
          <w:lang w:val="es-ES_tradnl"/>
        </w:rPr>
        <w:t xml:space="preserve">juzgar a una persona ante un juez o autoridad competente y </w:t>
      </w:r>
      <w:r>
        <w:rPr>
          <w:spacing w:val="-8"/>
          <w:sz w:val="18"/>
          <w:szCs w:val="18"/>
          <w:lang w:val="es-ES_tradnl"/>
        </w:rPr>
        <w:t>con observancia del tr</w:t>
      </w:r>
      <w:r>
        <w:rPr>
          <w:rFonts w:cs="Times New Roman"/>
          <w:spacing w:val="-8"/>
          <w:sz w:val="18"/>
          <w:szCs w:val="18"/>
          <w:lang w:val="es-ES_tradnl"/>
        </w:rPr>
        <w:t>á</w:t>
      </w:r>
      <w:r>
        <w:rPr>
          <w:spacing w:val="-8"/>
          <w:sz w:val="18"/>
          <w:szCs w:val="18"/>
          <w:lang w:val="es-ES_tradnl"/>
        </w:rPr>
        <w:t xml:space="preserve">mite propio de cada procedimiento. </w:t>
      </w:r>
      <w:r>
        <w:rPr>
          <w:spacing w:val="-6"/>
          <w:sz w:val="18"/>
          <w:szCs w:val="18"/>
          <w:lang w:val="es-ES_tradnl"/>
        </w:rPr>
        <w:t>Expresan que su decisi</w:t>
      </w:r>
      <w:r>
        <w:rPr>
          <w:rFonts w:cs="Times New Roman"/>
          <w:spacing w:val="-6"/>
          <w:sz w:val="18"/>
          <w:szCs w:val="18"/>
          <w:lang w:val="es-ES_tradnl"/>
        </w:rPr>
        <w:t>ó</w:t>
      </w:r>
      <w:r>
        <w:rPr>
          <w:spacing w:val="-6"/>
          <w:sz w:val="18"/>
          <w:szCs w:val="18"/>
          <w:lang w:val="es-ES_tradnl"/>
        </w:rPr>
        <w:t xml:space="preserve">n fue basada en el principio de </w:t>
      </w:r>
      <w:r>
        <w:rPr>
          <w:spacing w:val="-10"/>
          <w:sz w:val="18"/>
          <w:szCs w:val="18"/>
          <w:lang w:val="es-ES_tradnl"/>
        </w:rPr>
        <w:t>saneamiento o depuraci</w:t>
      </w:r>
      <w:r>
        <w:rPr>
          <w:rFonts w:cs="Times New Roman"/>
          <w:spacing w:val="-10"/>
          <w:sz w:val="18"/>
          <w:szCs w:val="18"/>
          <w:lang w:val="es-ES_tradnl"/>
        </w:rPr>
        <w:t>ó</w:t>
      </w:r>
      <w:r>
        <w:rPr>
          <w:spacing w:val="-10"/>
          <w:sz w:val="18"/>
          <w:szCs w:val="18"/>
          <w:lang w:val="es-ES_tradnl"/>
        </w:rPr>
        <w:t xml:space="preserve">n procesal, verificada la existencia </w:t>
      </w:r>
      <w:r>
        <w:rPr>
          <w:spacing w:val="-6"/>
          <w:sz w:val="18"/>
          <w:szCs w:val="18"/>
          <w:lang w:val="es-ES_tradnl"/>
        </w:rPr>
        <w:t xml:space="preserve">de un vicio insanable, para evitar males mayores que </w:t>
      </w:r>
      <w:r>
        <w:rPr>
          <w:spacing w:val="-11"/>
          <w:sz w:val="18"/>
          <w:szCs w:val="18"/>
          <w:lang w:val="es-ES_tradnl"/>
        </w:rPr>
        <w:t>sobrevendr</w:t>
      </w:r>
      <w:r>
        <w:rPr>
          <w:rFonts w:cs="Times New Roman"/>
          <w:spacing w:val="-11"/>
          <w:sz w:val="18"/>
          <w:szCs w:val="18"/>
          <w:lang w:val="es-ES_tradnl"/>
        </w:rPr>
        <w:t>í</w:t>
      </w:r>
      <w:r>
        <w:rPr>
          <w:spacing w:val="-11"/>
          <w:sz w:val="18"/>
          <w:szCs w:val="18"/>
          <w:lang w:val="es-ES_tradnl"/>
        </w:rPr>
        <w:t xml:space="preserve">an como consecuencia de una sentencia dictada </w:t>
      </w:r>
      <w:r>
        <w:rPr>
          <w:spacing w:val="-8"/>
          <w:sz w:val="18"/>
          <w:szCs w:val="18"/>
          <w:lang w:val="es-ES_tradnl"/>
        </w:rPr>
        <w:t>por un tribunal que carece de competencia.</w:t>
      </w:r>
    </w:p>
    <w:p w14:paraId="4F67AF34" w14:textId="77777777" w:rsidR="00591D54" w:rsidRDefault="00591D54">
      <w:pPr>
        <w:shd w:val="clear" w:color="auto" w:fill="FFFFFF"/>
        <w:spacing w:before="197" w:line="221" w:lineRule="exact"/>
        <w:ind w:left="686" w:right="326" w:hanging="355"/>
      </w:pPr>
      <w:r>
        <w:rPr>
          <w:b/>
          <w:bCs/>
          <w:spacing w:val="-1"/>
          <w:sz w:val="18"/>
          <w:szCs w:val="18"/>
          <w:lang w:val="es-ES_tradnl"/>
        </w:rPr>
        <w:t xml:space="preserve">II. CONSIDERACIONES Y FUNDAMENTOS </w:t>
      </w:r>
      <w:r>
        <w:rPr>
          <w:b/>
          <w:bCs/>
          <w:sz w:val="18"/>
          <w:szCs w:val="18"/>
          <w:lang w:val="es-ES_tradnl"/>
        </w:rPr>
        <w:t>DE LA CORTE CONSTITUCIONAL</w:t>
      </w:r>
    </w:p>
    <w:p w14:paraId="4F67AF35" w14:textId="77777777" w:rsidR="00591D54" w:rsidRDefault="00591D54">
      <w:pPr>
        <w:shd w:val="clear" w:color="auto" w:fill="FFFFFF"/>
        <w:spacing w:before="192"/>
      </w:pPr>
      <w:r>
        <w:rPr>
          <w:b/>
          <w:bCs/>
          <w:spacing w:val="-8"/>
          <w:sz w:val="18"/>
          <w:szCs w:val="18"/>
          <w:lang w:val="es-ES_tradnl"/>
        </w:rPr>
        <w:t>Competencia de la Corte</w:t>
      </w:r>
    </w:p>
    <w:p w14:paraId="4F67AF36" w14:textId="77777777" w:rsidR="00591D54" w:rsidRDefault="00591D54">
      <w:pPr>
        <w:shd w:val="clear" w:color="auto" w:fill="FFFFFF"/>
        <w:spacing w:before="202" w:line="216" w:lineRule="exact"/>
        <w:ind w:right="5"/>
        <w:jc w:val="both"/>
      </w:pPr>
      <w:r>
        <w:rPr>
          <w:spacing w:val="-7"/>
          <w:sz w:val="18"/>
          <w:szCs w:val="18"/>
          <w:lang w:val="es-ES_tradnl"/>
        </w:rPr>
        <w:t>El Pleno de la Corte Constitucional, seg</w:t>
      </w:r>
      <w:r>
        <w:rPr>
          <w:rFonts w:cs="Times New Roman"/>
          <w:spacing w:val="-7"/>
          <w:sz w:val="18"/>
          <w:szCs w:val="18"/>
          <w:lang w:val="es-ES_tradnl"/>
        </w:rPr>
        <w:t>ú</w:t>
      </w:r>
      <w:r>
        <w:rPr>
          <w:spacing w:val="-7"/>
          <w:sz w:val="18"/>
          <w:szCs w:val="18"/>
          <w:lang w:val="es-ES_tradnl"/>
        </w:rPr>
        <w:t xml:space="preserve">n las atribuciones </w:t>
      </w:r>
      <w:r>
        <w:rPr>
          <w:spacing w:val="-8"/>
          <w:sz w:val="18"/>
          <w:szCs w:val="18"/>
          <w:lang w:val="es-ES_tradnl"/>
        </w:rPr>
        <w:t>establecidas en los art</w:t>
      </w:r>
      <w:r>
        <w:rPr>
          <w:rFonts w:cs="Times New Roman"/>
          <w:spacing w:val="-8"/>
          <w:sz w:val="18"/>
          <w:szCs w:val="18"/>
          <w:lang w:val="es-ES_tradnl"/>
        </w:rPr>
        <w:t>í</w:t>
      </w:r>
      <w:r>
        <w:rPr>
          <w:spacing w:val="-8"/>
          <w:sz w:val="18"/>
          <w:szCs w:val="18"/>
          <w:lang w:val="es-ES_tradnl"/>
        </w:rPr>
        <w:t>culos 94 y 437 de la Constituci</w:t>
      </w:r>
      <w:r>
        <w:rPr>
          <w:rFonts w:cs="Times New Roman"/>
          <w:spacing w:val="-8"/>
          <w:sz w:val="18"/>
          <w:szCs w:val="18"/>
          <w:lang w:val="es-ES_tradnl"/>
        </w:rPr>
        <w:t>ó</w:t>
      </w:r>
      <w:r>
        <w:rPr>
          <w:spacing w:val="-8"/>
          <w:sz w:val="18"/>
          <w:szCs w:val="18"/>
          <w:lang w:val="es-ES_tradnl"/>
        </w:rPr>
        <w:t xml:space="preserve">n de </w:t>
      </w:r>
      <w:r>
        <w:rPr>
          <w:spacing w:val="-5"/>
          <w:sz w:val="18"/>
          <w:szCs w:val="18"/>
          <w:lang w:val="es-ES_tradnl"/>
        </w:rPr>
        <w:t>la Rep</w:t>
      </w:r>
      <w:r>
        <w:rPr>
          <w:rFonts w:cs="Times New Roman"/>
          <w:spacing w:val="-5"/>
          <w:sz w:val="18"/>
          <w:szCs w:val="18"/>
          <w:lang w:val="es-ES_tradnl"/>
        </w:rPr>
        <w:t>ú</w:t>
      </w:r>
      <w:r>
        <w:rPr>
          <w:spacing w:val="-5"/>
          <w:sz w:val="18"/>
          <w:szCs w:val="18"/>
          <w:lang w:val="es-ES_tradnl"/>
        </w:rPr>
        <w:t>blica, art</w:t>
      </w:r>
      <w:r>
        <w:rPr>
          <w:rFonts w:cs="Times New Roman"/>
          <w:spacing w:val="-5"/>
          <w:sz w:val="18"/>
          <w:szCs w:val="18"/>
          <w:lang w:val="es-ES_tradnl"/>
        </w:rPr>
        <w:t>í</w:t>
      </w:r>
      <w:r>
        <w:rPr>
          <w:spacing w:val="-5"/>
          <w:sz w:val="18"/>
          <w:szCs w:val="18"/>
          <w:lang w:val="es-ES_tradnl"/>
        </w:rPr>
        <w:t>culo 58 y siguientes de la Ley Org</w:t>
      </w:r>
      <w:r>
        <w:rPr>
          <w:rFonts w:cs="Times New Roman"/>
          <w:spacing w:val="-5"/>
          <w:sz w:val="18"/>
          <w:szCs w:val="18"/>
          <w:lang w:val="es-ES_tradnl"/>
        </w:rPr>
        <w:t>á</w:t>
      </w:r>
      <w:r>
        <w:rPr>
          <w:spacing w:val="-5"/>
          <w:sz w:val="18"/>
          <w:szCs w:val="18"/>
          <w:lang w:val="es-ES_tradnl"/>
        </w:rPr>
        <w:t xml:space="preserve">nica </w:t>
      </w:r>
      <w:r>
        <w:rPr>
          <w:spacing w:val="-7"/>
          <w:sz w:val="18"/>
          <w:szCs w:val="18"/>
          <w:lang w:val="es-ES_tradnl"/>
        </w:rPr>
        <w:t>de Garant</w:t>
      </w:r>
      <w:r>
        <w:rPr>
          <w:rFonts w:cs="Times New Roman"/>
          <w:spacing w:val="-7"/>
          <w:sz w:val="18"/>
          <w:szCs w:val="18"/>
          <w:lang w:val="es-ES_tradnl"/>
        </w:rPr>
        <w:t>í</w:t>
      </w:r>
      <w:r>
        <w:rPr>
          <w:spacing w:val="-7"/>
          <w:sz w:val="18"/>
          <w:szCs w:val="18"/>
          <w:lang w:val="es-ES_tradnl"/>
        </w:rPr>
        <w:t xml:space="preserve">as Jurisdiccionales y Control Constitucional, es </w:t>
      </w:r>
      <w:r>
        <w:rPr>
          <w:spacing w:val="-8"/>
          <w:sz w:val="18"/>
          <w:szCs w:val="18"/>
          <w:lang w:val="es-ES_tradnl"/>
        </w:rPr>
        <w:t>competente para conocer y pronunciarse sobre la acci</w:t>
      </w:r>
      <w:r>
        <w:rPr>
          <w:rFonts w:cs="Times New Roman"/>
          <w:spacing w:val="-8"/>
          <w:sz w:val="18"/>
          <w:szCs w:val="18"/>
          <w:lang w:val="es-ES_tradnl"/>
        </w:rPr>
        <w:t>ó</w:t>
      </w:r>
      <w:r>
        <w:rPr>
          <w:spacing w:val="-8"/>
          <w:sz w:val="18"/>
          <w:szCs w:val="18"/>
          <w:lang w:val="es-ES_tradnl"/>
        </w:rPr>
        <w:t xml:space="preserve">n </w:t>
      </w:r>
      <w:r>
        <w:rPr>
          <w:spacing w:val="-6"/>
          <w:sz w:val="18"/>
          <w:szCs w:val="18"/>
          <w:lang w:val="es-ES_tradnl"/>
        </w:rPr>
        <w:t>extraordinaria de protecci</w:t>
      </w:r>
      <w:r>
        <w:rPr>
          <w:rFonts w:cs="Times New Roman"/>
          <w:spacing w:val="-6"/>
          <w:sz w:val="18"/>
          <w:szCs w:val="18"/>
          <w:lang w:val="es-ES_tradnl"/>
        </w:rPr>
        <w:t>ó</w:t>
      </w:r>
      <w:r>
        <w:rPr>
          <w:spacing w:val="-6"/>
          <w:sz w:val="18"/>
          <w:szCs w:val="18"/>
          <w:lang w:val="es-ES_tradnl"/>
        </w:rPr>
        <w:t>n contenida en el proceso N.</w:t>
      </w:r>
      <w:r>
        <w:rPr>
          <w:rFonts w:cs="Times New Roman"/>
          <w:spacing w:val="-6"/>
          <w:sz w:val="18"/>
          <w:szCs w:val="18"/>
          <w:lang w:val="es-ES_tradnl"/>
        </w:rPr>
        <w:t xml:space="preserve">º </w:t>
      </w:r>
      <w:r>
        <w:rPr>
          <w:spacing w:val="-7"/>
          <w:sz w:val="18"/>
          <w:szCs w:val="18"/>
          <w:lang w:val="es-ES_tradnl"/>
        </w:rPr>
        <w:t xml:space="preserve">0782-13-EP, con el fin de establecer si el auto dictado ha </w:t>
      </w:r>
      <w:r>
        <w:rPr>
          <w:spacing w:val="-8"/>
          <w:sz w:val="18"/>
          <w:szCs w:val="18"/>
          <w:lang w:val="es-ES_tradnl"/>
        </w:rPr>
        <w:t>vulnerado los derechos constitucionales se</w:t>
      </w:r>
      <w:r>
        <w:rPr>
          <w:rFonts w:cs="Times New Roman"/>
          <w:spacing w:val="-8"/>
          <w:sz w:val="18"/>
          <w:szCs w:val="18"/>
          <w:lang w:val="es-ES_tradnl"/>
        </w:rPr>
        <w:t>ñ</w:t>
      </w:r>
      <w:r>
        <w:rPr>
          <w:spacing w:val="-8"/>
          <w:sz w:val="18"/>
          <w:szCs w:val="18"/>
          <w:lang w:val="es-ES_tradnl"/>
        </w:rPr>
        <w:t>alados.</w:t>
      </w:r>
    </w:p>
    <w:p w14:paraId="4F67AF37" w14:textId="77777777" w:rsidR="00591D54" w:rsidRDefault="00591D54">
      <w:pPr>
        <w:shd w:val="clear" w:color="auto" w:fill="FFFFFF"/>
        <w:spacing w:before="197"/>
      </w:pPr>
      <w:r>
        <w:rPr>
          <w:b/>
          <w:bCs/>
          <w:spacing w:val="-8"/>
          <w:sz w:val="18"/>
          <w:szCs w:val="18"/>
          <w:lang w:val="es-ES_tradnl"/>
        </w:rPr>
        <w:t>Legitimaci</w:t>
      </w:r>
      <w:r>
        <w:rPr>
          <w:rFonts w:cs="Times New Roman"/>
          <w:b/>
          <w:bCs/>
          <w:spacing w:val="-8"/>
          <w:sz w:val="18"/>
          <w:szCs w:val="18"/>
          <w:lang w:val="es-ES_tradnl"/>
        </w:rPr>
        <w:t>ó</w:t>
      </w:r>
      <w:r>
        <w:rPr>
          <w:b/>
          <w:bCs/>
          <w:spacing w:val="-8"/>
          <w:sz w:val="18"/>
          <w:szCs w:val="18"/>
          <w:lang w:val="es-ES_tradnl"/>
        </w:rPr>
        <w:t>n activa</w:t>
      </w:r>
    </w:p>
    <w:p w14:paraId="4F67AF38" w14:textId="77777777" w:rsidR="00591D54" w:rsidRDefault="00591D54">
      <w:pPr>
        <w:shd w:val="clear" w:color="auto" w:fill="FFFFFF"/>
        <w:spacing w:before="197" w:line="216" w:lineRule="exact"/>
        <w:ind w:right="5"/>
        <w:jc w:val="both"/>
      </w:pPr>
      <w:r>
        <w:rPr>
          <w:spacing w:val="-8"/>
          <w:sz w:val="18"/>
          <w:szCs w:val="18"/>
          <w:lang w:val="es-ES_tradnl"/>
        </w:rPr>
        <w:t xml:space="preserve">El accionante se encuentra legitimado para presentar la </w:t>
      </w:r>
      <w:r>
        <w:rPr>
          <w:spacing w:val="-6"/>
          <w:sz w:val="18"/>
          <w:szCs w:val="18"/>
          <w:lang w:val="es-ES_tradnl"/>
        </w:rPr>
        <w:t>presente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en virtud de </w:t>
      </w:r>
      <w:r>
        <w:rPr>
          <w:spacing w:val="-7"/>
          <w:sz w:val="18"/>
          <w:szCs w:val="18"/>
          <w:lang w:val="es-ES_tradnl"/>
        </w:rPr>
        <w:t>cumplir con los requerimientos establecidos en el art</w:t>
      </w:r>
      <w:r>
        <w:rPr>
          <w:rFonts w:cs="Times New Roman"/>
          <w:spacing w:val="-7"/>
          <w:sz w:val="18"/>
          <w:szCs w:val="18"/>
          <w:lang w:val="es-ES_tradnl"/>
        </w:rPr>
        <w:t>í</w:t>
      </w:r>
      <w:r>
        <w:rPr>
          <w:spacing w:val="-7"/>
          <w:sz w:val="18"/>
          <w:szCs w:val="18"/>
          <w:lang w:val="es-ES_tradnl"/>
        </w:rPr>
        <w:t xml:space="preserve">culo </w:t>
      </w:r>
      <w:r>
        <w:rPr>
          <w:spacing w:val="-6"/>
          <w:sz w:val="18"/>
          <w:szCs w:val="18"/>
          <w:lang w:val="es-ES_tradnl"/>
        </w:rPr>
        <w:t>437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y de conformidad </w:t>
      </w:r>
      <w:r>
        <w:rPr>
          <w:spacing w:val="-8"/>
          <w:sz w:val="18"/>
          <w:szCs w:val="18"/>
          <w:lang w:val="es-ES_tradnl"/>
        </w:rPr>
        <w:t>con el art</w:t>
      </w:r>
      <w:r>
        <w:rPr>
          <w:rFonts w:cs="Times New Roman"/>
          <w:spacing w:val="-8"/>
          <w:sz w:val="18"/>
          <w:szCs w:val="18"/>
          <w:lang w:val="es-ES_tradnl"/>
        </w:rPr>
        <w:t>í</w:t>
      </w:r>
      <w:r>
        <w:rPr>
          <w:spacing w:val="-8"/>
          <w:sz w:val="18"/>
          <w:szCs w:val="18"/>
          <w:lang w:val="es-ES_tradnl"/>
        </w:rPr>
        <w:t xml:space="preserve">culo 439 </w:t>
      </w:r>
      <w:r>
        <w:rPr>
          <w:i/>
          <w:iCs/>
          <w:spacing w:val="-8"/>
          <w:sz w:val="18"/>
          <w:szCs w:val="18"/>
          <w:lang w:val="es-ES_tradnl"/>
        </w:rPr>
        <w:t>ib</w:t>
      </w:r>
      <w:r>
        <w:rPr>
          <w:rFonts w:cs="Times New Roman"/>
          <w:i/>
          <w:iCs/>
          <w:spacing w:val="-8"/>
          <w:sz w:val="18"/>
          <w:szCs w:val="18"/>
          <w:lang w:val="es-ES_tradnl"/>
        </w:rPr>
        <w:t>í</w:t>
      </w:r>
      <w:r>
        <w:rPr>
          <w:i/>
          <w:iCs/>
          <w:spacing w:val="-8"/>
          <w:sz w:val="18"/>
          <w:szCs w:val="18"/>
          <w:lang w:val="es-ES_tradnl"/>
        </w:rPr>
        <w:t>dem</w:t>
      </w:r>
      <w:r>
        <w:rPr>
          <w:spacing w:val="-8"/>
          <w:sz w:val="18"/>
          <w:szCs w:val="18"/>
          <w:lang w:val="es-ES_tradnl"/>
        </w:rPr>
        <w:t xml:space="preserve">, que establece que las acciones </w:t>
      </w:r>
      <w:r>
        <w:rPr>
          <w:spacing w:val="-7"/>
          <w:sz w:val="18"/>
          <w:szCs w:val="18"/>
          <w:lang w:val="es-ES_tradnl"/>
        </w:rPr>
        <w:t>constitucionales podr</w:t>
      </w:r>
      <w:r>
        <w:rPr>
          <w:rFonts w:cs="Times New Roman"/>
          <w:spacing w:val="-7"/>
          <w:sz w:val="18"/>
          <w:szCs w:val="18"/>
          <w:lang w:val="es-ES_tradnl"/>
        </w:rPr>
        <w:t>á</w:t>
      </w:r>
      <w:r>
        <w:rPr>
          <w:spacing w:val="-7"/>
          <w:sz w:val="18"/>
          <w:szCs w:val="18"/>
          <w:lang w:val="es-ES_tradnl"/>
        </w:rPr>
        <w:t xml:space="preserve">n ser presentadas por cualquier </w:t>
      </w:r>
      <w:r>
        <w:rPr>
          <w:spacing w:val="-6"/>
          <w:sz w:val="18"/>
          <w:szCs w:val="18"/>
          <w:lang w:val="es-ES_tradnl"/>
        </w:rPr>
        <w:t>ciudadana o ciudadano, individual o colectivamente, en concordancia con el art</w:t>
      </w:r>
      <w:r>
        <w:rPr>
          <w:rFonts w:cs="Times New Roman"/>
          <w:spacing w:val="-6"/>
          <w:sz w:val="18"/>
          <w:szCs w:val="18"/>
          <w:lang w:val="es-ES_tradnl"/>
        </w:rPr>
        <w:t>í</w:t>
      </w:r>
      <w:r>
        <w:rPr>
          <w:spacing w:val="-6"/>
          <w:sz w:val="18"/>
          <w:szCs w:val="18"/>
          <w:lang w:val="es-ES_tradnl"/>
        </w:rPr>
        <w:t>culo 59 de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as Jurisdiccionales y Control Constitucional.</w:t>
      </w:r>
    </w:p>
    <w:p w14:paraId="4F67AF39" w14:textId="77777777" w:rsidR="00591D54" w:rsidRDefault="00591D54">
      <w:pPr>
        <w:shd w:val="clear" w:color="auto" w:fill="FFFFFF"/>
      </w:pPr>
      <w:r>
        <w:br w:type="column"/>
      </w:r>
      <w:r>
        <w:rPr>
          <w:b/>
          <w:bCs/>
          <w:spacing w:val="-9"/>
          <w:sz w:val="18"/>
          <w:szCs w:val="18"/>
          <w:lang w:val="es-ES_tradnl"/>
        </w:rPr>
        <w:t>An</w:t>
      </w:r>
      <w:r>
        <w:rPr>
          <w:rFonts w:cs="Times New Roman"/>
          <w:b/>
          <w:bCs/>
          <w:spacing w:val="-9"/>
          <w:sz w:val="18"/>
          <w:szCs w:val="18"/>
          <w:lang w:val="es-ES_tradnl"/>
        </w:rPr>
        <w:t>á</w:t>
      </w:r>
      <w:r>
        <w:rPr>
          <w:b/>
          <w:bCs/>
          <w:spacing w:val="-9"/>
          <w:sz w:val="18"/>
          <w:szCs w:val="18"/>
          <w:lang w:val="es-ES_tradnl"/>
        </w:rPr>
        <w:t>lisis constitucional</w:t>
      </w:r>
    </w:p>
    <w:p w14:paraId="4F67AF3A" w14:textId="77777777" w:rsidR="00591D54" w:rsidRDefault="00591D54">
      <w:pPr>
        <w:shd w:val="clear" w:color="auto" w:fill="FFFFFF"/>
        <w:spacing w:before="192" w:line="216" w:lineRule="exact"/>
        <w:jc w:val="both"/>
      </w:pPr>
      <w:r>
        <w:rPr>
          <w:b/>
          <w:bCs/>
          <w:spacing w:val="-5"/>
          <w:sz w:val="18"/>
          <w:szCs w:val="18"/>
          <w:lang w:val="es-ES_tradnl"/>
        </w:rPr>
        <w:t>Naturaleza jur</w:t>
      </w:r>
      <w:r>
        <w:rPr>
          <w:rFonts w:cs="Times New Roman"/>
          <w:b/>
          <w:bCs/>
          <w:spacing w:val="-5"/>
          <w:sz w:val="18"/>
          <w:szCs w:val="18"/>
          <w:lang w:val="es-ES_tradnl"/>
        </w:rPr>
        <w:t>í</w:t>
      </w:r>
      <w:r>
        <w:rPr>
          <w:b/>
          <w:bCs/>
          <w:spacing w:val="-5"/>
          <w:sz w:val="18"/>
          <w:szCs w:val="18"/>
          <w:lang w:val="es-ES_tradnl"/>
        </w:rPr>
        <w:t>dica de la acci</w:t>
      </w:r>
      <w:r>
        <w:rPr>
          <w:rFonts w:cs="Times New Roman"/>
          <w:b/>
          <w:bCs/>
          <w:spacing w:val="-5"/>
          <w:sz w:val="18"/>
          <w:szCs w:val="18"/>
          <w:lang w:val="es-ES_tradnl"/>
        </w:rPr>
        <w:t>ó</w:t>
      </w:r>
      <w:r>
        <w:rPr>
          <w:b/>
          <w:bCs/>
          <w:spacing w:val="-5"/>
          <w:sz w:val="18"/>
          <w:szCs w:val="18"/>
          <w:lang w:val="es-ES_tradnl"/>
        </w:rPr>
        <w:t xml:space="preserve">n extraordinaria de </w:t>
      </w:r>
      <w:r>
        <w:rPr>
          <w:b/>
          <w:bCs/>
          <w:sz w:val="18"/>
          <w:szCs w:val="18"/>
          <w:lang w:val="es-ES_tradnl"/>
        </w:rPr>
        <w:t>protecci</w:t>
      </w:r>
      <w:r>
        <w:rPr>
          <w:rFonts w:cs="Times New Roman"/>
          <w:b/>
          <w:bCs/>
          <w:sz w:val="18"/>
          <w:szCs w:val="18"/>
          <w:lang w:val="es-ES_tradnl"/>
        </w:rPr>
        <w:t>ó</w:t>
      </w:r>
      <w:r>
        <w:rPr>
          <w:b/>
          <w:bCs/>
          <w:sz w:val="18"/>
          <w:szCs w:val="18"/>
          <w:lang w:val="es-ES_tradnl"/>
        </w:rPr>
        <w:t>n</w:t>
      </w:r>
    </w:p>
    <w:p w14:paraId="4F67AF3B" w14:textId="77777777" w:rsidR="00591D54" w:rsidRDefault="00591D54">
      <w:pPr>
        <w:shd w:val="clear" w:color="auto" w:fill="FFFFFF"/>
        <w:spacing w:before="197" w:line="216" w:lineRule="exact"/>
        <w:jc w:val="both"/>
      </w:pPr>
      <w:r>
        <w:rPr>
          <w:spacing w:val="-1"/>
          <w:sz w:val="18"/>
          <w:szCs w:val="18"/>
          <w:lang w:val="es-ES_tradnl"/>
        </w:rPr>
        <w:t>La acci</w:t>
      </w:r>
      <w:r>
        <w:rPr>
          <w:rFonts w:cs="Times New Roman"/>
          <w:spacing w:val="-1"/>
          <w:sz w:val="18"/>
          <w:szCs w:val="18"/>
          <w:lang w:val="es-ES_tradnl"/>
        </w:rPr>
        <w:t>ó</w:t>
      </w:r>
      <w:r>
        <w:rPr>
          <w:spacing w:val="-1"/>
          <w:sz w:val="18"/>
          <w:szCs w:val="18"/>
          <w:lang w:val="es-ES_tradnl"/>
        </w:rPr>
        <w:t>n extraordinaria de protecci</w:t>
      </w:r>
      <w:r>
        <w:rPr>
          <w:rFonts w:cs="Times New Roman"/>
          <w:spacing w:val="-1"/>
          <w:sz w:val="18"/>
          <w:szCs w:val="18"/>
          <w:lang w:val="es-ES_tradnl"/>
        </w:rPr>
        <w:t>ó</w:t>
      </w:r>
      <w:r>
        <w:rPr>
          <w:spacing w:val="-1"/>
          <w:sz w:val="18"/>
          <w:szCs w:val="18"/>
          <w:lang w:val="es-ES_tradnl"/>
        </w:rPr>
        <w:t xml:space="preserve">n, establecida en </w:t>
      </w:r>
      <w:r>
        <w:rPr>
          <w:spacing w:val="-5"/>
          <w:sz w:val="18"/>
          <w:szCs w:val="18"/>
          <w:lang w:val="es-ES_tradnl"/>
        </w:rPr>
        <w:t>el art</w:t>
      </w:r>
      <w:r>
        <w:rPr>
          <w:rFonts w:cs="Times New Roman"/>
          <w:spacing w:val="-5"/>
          <w:sz w:val="18"/>
          <w:szCs w:val="18"/>
          <w:lang w:val="es-ES_tradnl"/>
        </w:rPr>
        <w:t>í</w:t>
      </w:r>
      <w:r>
        <w:rPr>
          <w:spacing w:val="-5"/>
          <w:sz w:val="18"/>
          <w:szCs w:val="18"/>
          <w:lang w:val="es-ES_tradnl"/>
        </w:rPr>
        <w:t>culo 94 de la Constituci</w:t>
      </w:r>
      <w:r>
        <w:rPr>
          <w:rFonts w:cs="Times New Roman"/>
          <w:spacing w:val="-5"/>
          <w:sz w:val="18"/>
          <w:szCs w:val="18"/>
          <w:lang w:val="es-ES_tradnl"/>
        </w:rPr>
        <w:t>ó</w:t>
      </w:r>
      <w:r>
        <w:rPr>
          <w:spacing w:val="-5"/>
          <w:sz w:val="18"/>
          <w:szCs w:val="18"/>
          <w:lang w:val="es-ES_tradnl"/>
        </w:rPr>
        <w:t>n, constituye una garant</w:t>
      </w:r>
      <w:r>
        <w:rPr>
          <w:rFonts w:cs="Times New Roman"/>
          <w:spacing w:val="-5"/>
          <w:sz w:val="18"/>
          <w:szCs w:val="18"/>
          <w:lang w:val="es-ES_tradnl"/>
        </w:rPr>
        <w:t>í</w:t>
      </w:r>
      <w:r>
        <w:rPr>
          <w:spacing w:val="-5"/>
          <w:sz w:val="18"/>
          <w:szCs w:val="18"/>
          <w:lang w:val="es-ES_tradnl"/>
        </w:rPr>
        <w:t xml:space="preserve">a </w:t>
      </w:r>
      <w:r>
        <w:rPr>
          <w:spacing w:val="-3"/>
          <w:sz w:val="18"/>
          <w:szCs w:val="18"/>
          <w:lang w:val="es-ES_tradnl"/>
        </w:rPr>
        <w:t xml:space="preserve">jurisdiccional creada por el constituyente para proteger </w:t>
      </w:r>
      <w:r>
        <w:rPr>
          <w:spacing w:val="-9"/>
          <w:sz w:val="18"/>
          <w:szCs w:val="18"/>
          <w:lang w:val="es-ES_tradnl"/>
        </w:rPr>
        <w:t>los derechos constitucionales de las personas en contra de cualquier vulneraci</w:t>
      </w:r>
      <w:r>
        <w:rPr>
          <w:rFonts w:cs="Times New Roman"/>
          <w:spacing w:val="-9"/>
          <w:sz w:val="18"/>
          <w:szCs w:val="18"/>
          <w:lang w:val="es-ES_tradnl"/>
        </w:rPr>
        <w:t>ó</w:t>
      </w:r>
      <w:r>
        <w:rPr>
          <w:spacing w:val="-9"/>
          <w:sz w:val="18"/>
          <w:szCs w:val="18"/>
          <w:lang w:val="es-ES_tradnl"/>
        </w:rPr>
        <w:t xml:space="preserve">n que se produzca mediante sentencias </w:t>
      </w:r>
      <w:r>
        <w:rPr>
          <w:spacing w:val="-10"/>
          <w:sz w:val="18"/>
          <w:szCs w:val="18"/>
          <w:lang w:val="es-ES_tradnl"/>
        </w:rPr>
        <w:t>o autos definitivos. Esta acci</w:t>
      </w:r>
      <w:r>
        <w:rPr>
          <w:rFonts w:cs="Times New Roman"/>
          <w:spacing w:val="-10"/>
          <w:sz w:val="18"/>
          <w:szCs w:val="18"/>
          <w:lang w:val="es-ES_tradnl"/>
        </w:rPr>
        <w:t>ó</w:t>
      </w:r>
      <w:r>
        <w:rPr>
          <w:spacing w:val="-10"/>
          <w:sz w:val="18"/>
          <w:szCs w:val="18"/>
          <w:lang w:val="es-ES_tradnl"/>
        </w:rPr>
        <w:t xml:space="preserve">n nace y existe para garantizar </w:t>
      </w:r>
      <w:r>
        <w:rPr>
          <w:spacing w:val="-8"/>
          <w:sz w:val="18"/>
          <w:szCs w:val="18"/>
          <w:lang w:val="es-ES_tradnl"/>
        </w:rPr>
        <w:t xml:space="preserve">y defender el respeto de los derechos constitucionales y el debido proceso. Por consiguiente, tiene como fin proteger, </w:t>
      </w:r>
      <w:r>
        <w:rPr>
          <w:spacing w:val="-10"/>
          <w:sz w:val="18"/>
          <w:szCs w:val="18"/>
          <w:lang w:val="es-ES_tradnl"/>
        </w:rPr>
        <w:t xml:space="preserve">precautelar, tutelar y amparar los derechos de las personas </w:t>
      </w:r>
      <w:r>
        <w:rPr>
          <w:spacing w:val="-11"/>
          <w:sz w:val="18"/>
          <w:szCs w:val="18"/>
          <w:lang w:val="es-ES_tradnl"/>
        </w:rPr>
        <w:t>que, por acci</w:t>
      </w:r>
      <w:r>
        <w:rPr>
          <w:rFonts w:cs="Times New Roman"/>
          <w:spacing w:val="-11"/>
          <w:sz w:val="18"/>
          <w:szCs w:val="18"/>
          <w:lang w:val="es-ES_tradnl"/>
        </w:rPr>
        <w:t>ó</w:t>
      </w:r>
      <w:r>
        <w:rPr>
          <w:spacing w:val="-11"/>
          <w:sz w:val="18"/>
          <w:szCs w:val="18"/>
          <w:lang w:val="es-ES_tradnl"/>
        </w:rPr>
        <w:t>n u omisi</w:t>
      </w:r>
      <w:r>
        <w:rPr>
          <w:rFonts w:cs="Times New Roman"/>
          <w:spacing w:val="-11"/>
          <w:sz w:val="18"/>
          <w:szCs w:val="18"/>
          <w:lang w:val="es-ES_tradnl"/>
        </w:rPr>
        <w:t>ó</w:t>
      </w:r>
      <w:r>
        <w:rPr>
          <w:spacing w:val="-11"/>
          <w:sz w:val="18"/>
          <w:szCs w:val="18"/>
          <w:lang w:val="es-ES_tradnl"/>
        </w:rPr>
        <w:t xml:space="preserve">n, sean vulnerados en las decisiones </w:t>
      </w:r>
      <w:r>
        <w:rPr>
          <w:sz w:val="18"/>
          <w:szCs w:val="18"/>
          <w:lang w:val="es-ES_tradnl"/>
        </w:rPr>
        <w:t>judiciales.</w:t>
      </w:r>
    </w:p>
    <w:p w14:paraId="4F67AF3C" w14:textId="77777777" w:rsidR="00591D54" w:rsidRDefault="00591D54">
      <w:pPr>
        <w:shd w:val="clear" w:color="auto" w:fill="FFFFFF"/>
        <w:spacing w:before="192" w:line="216" w:lineRule="exact"/>
        <w:jc w:val="both"/>
      </w:pPr>
      <w:r>
        <w:rPr>
          <w:spacing w:val="-6"/>
          <w:sz w:val="18"/>
          <w:szCs w:val="18"/>
          <w:lang w:val="es-ES_tradnl"/>
        </w:rPr>
        <w:t>En este sentido, de acuerdo con el art</w:t>
      </w:r>
      <w:r>
        <w:rPr>
          <w:rFonts w:cs="Times New Roman"/>
          <w:spacing w:val="-6"/>
          <w:sz w:val="18"/>
          <w:szCs w:val="18"/>
          <w:lang w:val="es-ES_tradnl"/>
        </w:rPr>
        <w:t>í</w:t>
      </w:r>
      <w:r>
        <w:rPr>
          <w:spacing w:val="-6"/>
          <w:sz w:val="18"/>
          <w:szCs w:val="18"/>
          <w:lang w:val="es-ES_tradnl"/>
        </w:rPr>
        <w:t xml:space="preserve">culo 437 de la </w:t>
      </w:r>
      <w:r>
        <w:rPr>
          <w:sz w:val="18"/>
          <w:szCs w:val="18"/>
          <w:lang w:val="es-ES_tradnl"/>
        </w:rPr>
        <w:t>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 la acci</w:t>
      </w:r>
      <w:r>
        <w:rPr>
          <w:rFonts w:cs="Times New Roman"/>
          <w:sz w:val="18"/>
          <w:szCs w:val="18"/>
          <w:lang w:val="es-ES_tradnl"/>
        </w:rPr>
        <w:t>ó</w:t>
      </w:r>
      <w:r>
        <w:rPr>
          <w:sz w:val="18"/>
          <w:szCs w:val="18"/>
          <w:lang w:val="es-ES_tradnl"/>
        </w:rPr>
        <w:t xml:space="preserve">n extraordinaria </w:t>
      </w:r>
      <w:r>
        <w:rPr>
          <w:spacing w:val="-8"/>
          <w:sz w:val="18"/>
          <w:szCs w:val="18"/>
          <w:lang w:val="es-ES_tradnl"/>
        </w:rPr>
        <w:t>de protecci</w:t>
      </w:r>
      <w:r>
        <w:rPr>
          <w:rFonts w:cs="Times New Roman"/>
          <w:spacing w:val="-8"/>
          <w:sz w:val="18"/>
          <w:szCs w:val="18"/>
          <w:lang w:val="es-ES_tradnl"/>
        </w:rPr>
        <w:t>ó</w:t>
      </w:r>
      <w:r>
        <w:rPr>
          <w:spacing w:val="-8"/>
          <w:sz w:val="18"/>
          <w:szCs w:val="18"/>
          <w:lang w:val="es-ES_tradnl"/>
        </w:rPr>
        <w:t xml:space="preserve">n procede </w:t>
      </w:r>
      <w:r>
        <w:rPr>
          <w:rFonts w:cs="Times New Roman"/>
          <w:spacing w:val="-8"/>
          <w:sz w:val="18"/>
          <w:szCs w:val="18"/>
          <w:lang w:val="es-ES_tradnl"/>
        </w:rPr>
        <w:t>ú</w:t>
      </w:r>
      <w:r>
        <w:rPr>
          <w:spacing w:val="-8"/>
          <w:sz w:val="18"/>
          <w:szCs w:val="18"/>
          <w:lang w:val="es-ES_tradnl"/>
        </w:rPr>
        <w:t xml:space="preserve">nicamente cuando se trate de </w:t>
      </w:r>
      <w:r>
        <w:rPr>
          <w:spacing w:val="-9"/>
          <w:sz w:val="18"/>
          <w:szCs w:val="18"/>
          <w:lang w:val="es-ES_tradnl"/>
        </w:rPr>
        <w:t xml:space="preserve">sentencias, autos y resoluciones firmes o ejecutoriados, en </w:t>
      </w:r>
      <w:r>
        <w:rPr>
          <w:spacing w:val="-8"/>
          <w:sz w:val="18"/>
          <w:szCs w:val="18"/>
          <w:lang w:val="es-ES_tradnl"/>
        </w:rPr>
        <w:t>los que el accionante demuestre que en el juzgamiento se ha violado, por acci</w:t>
      </w:r>
      <w:r>
        <w:rPr>
          <w:rFonts w:cs="Times New Roman"/>
          <w:spacing w:val="-8"/>
          <w:sz w:val="18"/>
          <w:szCs w:val="18"/>
          <w:lang w:val="es-ES_tradnl"/>
        </w:rPr>
        <w:t>ó</w:t>
      </w:r>
      <w:r>
        <w:rPr>
          <w:spacing w:val="-8"/>
          <w:sz w:val="18"/>
          <w:szCs w:val="18"/>
          <w:lang w:val="es-ES_tradnl"/>
        </w:rPr>
        <w:t>n u omisi</w:t>
      </w:r>
      <w:r>
        <w:rPr>
          <w:rFonts w:cs="Times New Roman"/>
          <w:spacing w:val="-8"/>
          <w:sz w:val="18"/>
          <w:szCs w:val="18"/>
          <w:lang w:val="es-ES_tradnl"/>
        </w:rPr>
        <w:t>ó</w:t>
      </w:r>
      <w:r>
        <w:rPr>
          <w:spacing w:val="-8"/>
          <w:sz w:val="18"/>
          <w:szCs w:val="18"/>
          <w:lang w:val="es-ES_tradnl"/>
        </w:rPr>
        <w:t xml:space="preserve">n, el debido proceso u otros </w:t>
      </w:r>
      <w:r>
        <w:rPr>
          <w:sz w:val="18"/>
          <w:szCs w:val="18"/>
          <w:lang w:val="es-ES_tradnl"/>
        </w:rPr>
        <w:t>derechos reconocidos en la Constituci</w:t>
      </w:r>
      <w:r>
        <w:rPr>
          <w:rFonts w:cs="Times New Roman"/>
          <w:sz w:val="18"/>
          <w:szCs w:val="18"/>
          <w:lang w:val="es-ES_tradnl"/>
        </w:rPr>
        <w:t>ó</w:t>
      </w:r>
      <w:r>
        <w:rPr>
          <w:sz w:val="18"/>
          <w:szCs w:val="18"/>
          <w:lang w:val="es-ES_tradnl"/>
        </w:rPr>
        <w:t>n.</w:t>
      </w:r>
    </w:p>
    <w:p w14:paraId="4F67AF3D" w14:textId="77777777" w:rsidR="00591D54" w:rsidRDefault="00591D54">
      <w:pPr>
        <w:shd w:val="clear" w:color="auto" w:fill="FFFFFF"/>
        <w:spacing w:before="192" w:line="216" w:lineRule="exact"/>
        <w:jc w:val="both"/>
      </w:pPr>
      <w:r>
        <w:rPr>
          <w:spacing w:val="-6"/>
          <w:sz w:val="18"/>
          <w:szCs w:val="18"/>
          <w:lang w:val="es-ES_tradnl"/>
        </w:rPr>
        <w:t>La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es un mecanismo </w:t>
      </w:r>
      <w:r>
        <w:rPr>
          <w:spacing w:val="-8"/>
          <w:sz w:val="18"/>
          <w:szCs w:val="18"/>
          <w:lang w:val="es-ES_tradnl"/>
        </w:rPr>
        <w:t>excepcional que busca garantizar la supremac</w:t>
      </w:r>
      <w:r>
        <w:rPr>
          <w:rFonts w:cs="Times New Roman"/>
          <w:spacing w:val="-8"/>
          <w:sz w:val="18"/>
          <w:szCs w:val="18"/>
          <w:lang w:val="es-ES_tradnl"/>
        </w:rPr>
        <w:t>í</w:t>
      </w:r>
      <w:r>
        <w:rPr>
          <w:spacing w:val="-8"/>
          <w:sz w:val="18"/>
          <w:szCs w:val="18"/>
          <w:lang w:val="es-ES_tradnl"/>
        </w:rPr>
        <w:t xml:space="preserve">a de la </w:t>
      </w:r>
      <w:r>
        <w:rPr>
          <w:spacing w:val="-7"/>
          <w:sz w:val="18"/>
          <w:szCs w:val="18"/>
          <w:lang w:val="es-ES_tradnl"/>
        </w:rPr>
        <w:t>Constituci</w:t>
      </w:r>
      <w:r>
        <w:rPr>
          <w:rFonts w:cs="Times New Roman"/>
          <w:spacing w:val="-7"/>
          <w:sz w:val="18"/>
          <w:szCs w:val="18"/>
          <w:lang w:val="es-ES_tradnl"/>
        </w:rPr>
        <w:t>ó</w:t>
      </w:r>
      <w:r>
        <w:rPr>
          <w:spacing w:val="-7"/>
          <w:sz w:val="18"/>
          <w:szCs w:val="18"/>
          <w:lang w:val="es-ES_tradnl"/>
        </w:rPr>
        <w:t xml:space="preserve">n frente a acciones y omisiones de los jueces. </w:t>
      </w:r>
      <w:r>
        <w:rPr>
          <w:spacing w:val="-5"/>
          <w:sz w:val="18"/>
          <w:szCs w:val="18"/>
          <w:lang w:val="es-ES_tradnl"/>
        </w:rPr>
        <w:t>As</w:t>
      </w:r>
      <w:r>
        <w:rPr>
          <w:rFonts w:cs="Times New Roman"/>
          <w:spacing w:val="-5"/>
          <w:sz w:val="18"/>
          <w:szCs w:val="18"/>
          <w:lang w:val="es-ES_tradnl"/>
        </w:rPr>
        <w:t>í</w:t>
      </w:r>
      <w:r>
        <w:rPr>
          <w:spacing w:val="-5"/>
          <w:sz w:val="18"/>
          <w:szCs w:val="18"/>
          <w:lang w:val="es-ES_tradnl"/>
        </w:rPr>
        <w:t>, la incorporaci</w:t>
      </w:r>
      <w:r>
        <w:rPr>
          <w:rFonts w:cs="Times New Roman"/>
          <w:spacing w:val="-5"/>
          <w:sz w:val="18"/>
          <w:szCs w:val="18"/>
          <w:lang w:val="es-ES_tradnl"/>
        </w:rPr>
        <w:t>ó</w:t>
      </w:r>
      <w:r>
        <w:rPr>
          <w:spacing w:val="-5"/>
          <w:sz w:val="18"/>
          <w:szCs w:val="18"/>
          <w:lang w:val="es-ES_tradnl"/>
        </w:rPr>
        <w:t xml:space="preserve">n del control de constitucionalidad de </w:t>
      </w:r>
      <w:r>
        <w:rPr>
          <w:spacing w:val="-7"/>
          <w:sz w:val="18"/>
          <w:szCs w:val="18"/>
          <w:lang w:val="es-ES_tradnl"/>
        </w:rPr>
        <w:t xml:space="preserve">las decisiones judiciales permite garantizar que tal como </w:t>
      </w:r>
      <w:r>
        <w:rPr>
          <w:spacing w:val="-6"/>
          <w:sz w:val="18"/>
          <w:szCs w:val="18"/>
          <w:lang w:val="es-ES_tradnl"/>
        </w:rPr>
        <w:t>sucede con las decisiones de autoridad p</w:t>
      </w:r>
      <w:r>
        <w:rPr>
          <w:rFonts w:cs="Times New Roman"/>
          <w:spacing w:val="-6"/>
          <w:sz w:val="18"/>
          <w:szCs w:val="18"/>
          <w:lang w:val="es-ES_tradnl"/>
        </w:rPr>
        <w:t>ú</w:t>
      </w:r>
      <w:r>
        <w:rPr>
          <w:spacing w:val="-6"/>
          <w:sz w:val="18"/>
          <w:szCs w:val="18"/>
          <w:lang w:val="es-ES_tradnl"/>
        </w:rPr>
        <w:t>blica, tambi</w:t>
      </w:r>
      <w:r>
        <w:rPr>
          <w:rFonts w:cs="Times New Roman"/>
          <w:spacing w:val="-6"/>
          <w:sz w:val="18"/>
          <w:szCs w:val="18"/>
          <w:lang w:val="es-ES_tradnl"/>
        </w:rPr>
        <w:t>é</w:t>
      </w:r>
      <w:r>
        <w:rPr>
          <w:spacing w:val="-6"/>
          <w:sz w:val="18"/>
          <w:szCs w:val="18"/>
          <w:lang w:val="es-ES_tradnl"/>
        </w:rPr>
        <w:t xml:space="preserve">n </w:t>
      </w:r>
      <w:r>
        <w:rPr>
          <w:spacing w:val="-7"/>
          <w:sz w:val="18"/>
          <w:szCs w:val="18"/>
          <w:lang w:val="es-ES_tradnl"/>
        </w:rPr>
        <w:t>las decisiones judiciales se encuentren conformes al texto de la Constituci</w:t>
      </w:r>
      <w:r>
        <w:rPr>
          <w:rFonts w:cs="Times New Roman"/>
          <w:spacing w:val="-7"/>
          <w:sz w:val="18"/>
          <w:szCs w:val="18"/>
          <w:lang w:val="es-ES_tradnl"/>
        </w:rPr>
        <w:t>ó</w:t>
      </w:r>
      <w:r>
        <w:rPr>
          <w:spacing w:val="-7"/>
          <w:sz w:val="18"/>
          <w:szCs w:val="18"/>
          <w:lang w:val="es-ES_tradnl"/>
        </w:rPr>
        <w:t xml:space="preserve">n y respeten los derechos de las partes </w:t>
      </w:r>
      <w:r>
        <w:rPr>
          <w:spacing w:val="-8"/>
          <w:sz w:val="18"/>
          <w:szCs w:val="18"/>
          <w:lang w:val="es-ES_tradnl"/>
        </w:rPr>
        <w:t xml:space="preserve">procesales. No se trata de una instancia superpuesta a las ya existentes, ni tiene por objeto deslegitimar o desmerecer </w:t>
      </w:r>
      <w:r>
        <w:rPr>
          <w:spacing w:val="-7"/>
          <w:sz w:val="18"/>
          <w:szCs w:val="18"/>
          <w:lang w:val="es-ES_tradnl"/>
        </w:rPr>
        <w:t>la actuaci</w:t>
      </w:r>
      <w:r>
        <w:rPr>
          <w:rFonts w:cs="Times New Roman"/>
          <w:spacing w:val="-7"/>
          <w:sz w:val="18"/>
          <w:szCs w:val="18"/>
          <w:lang w:val="es-ES_tradnl"/>
        </w:rPr>
        <w:t>ó</w:t>
      </w:r>
      <w:r>
        <w:rPr>
          <w:spacing w:val="-7"/>
          <w:sz w:val="18"/>
          <w:szCs w:val="18"/>
          <w:lang w:val="es-ES_tradnl"/>
        </w:rPr>
        <w:t xml:space="preserve">n de los jueces ordinarios, sino por el contrario, </w:t>
      </w:r>
      <w:r>
        <w:rPr>
          <w:spacing w:val="-11"/>
          <w:sz w:val="18"/>
          <w:szCs w:val="18"/>
          <w:lang w:val="es-ES_tradnl"/>
        </w:rPr>
        <w:t xml:space="preserve">tiene como </w:t>
      </w:r>
      <w:r>
        <w:rPr>
          <w:rFonts w:cs="Times New Roman"/>
          <w:spacing w:val="-11"/>
          <w:sz w:val="18"/>
          <w:szCs w:val="18"/>
          <w:lang w:val="es-ES_tradnl"/>
        </w:rPr>
        <w:t>ú</w:t>
      </w:r>
      <w:r>
        <w:rPr>
          <w:spacing w:val="-11"/>
          <w:sz w:val="18"/>
          <w:szCs w:val="18"/>
          <w:lang w:val="es-ES_tradnl"/>
        </w:rPr>
        <w:t>nico fin la consecuci</w:t>
      </w:r>
      <w:r>
        <w:rPr>
          <w:rFonts w:cs="Times New Roman"/>
          <w:spacing w:val="-11"/>
          <w:sz w:val="18"/>
          <w:szCs w:val="18"/>
          <w:lang w:val="es-ES_tradnl"/>
        </w:rPr>
        <w:t>ó</w:t>
      </w:r>
      <w:r>
        <w:rPr>
          <w:spacing w:val="-11"/>
          <w:sz w:val="18"/>
          <w:szCs w:val="18"/>
          <w:lang w:val="es-ES_tradnl"/>
        </w:rPr>
        <w:t xml:space="preserve">n de un sistema de justicia </w:t>
      </w:r>
      <w:r>
        <w:rPr>
          <w:spacing w:val="-8"/>
          <w:sz w:val="18"/>
          <w:szCs w:val="18"/>
          <w:lang w:val="es-ES_tradnl"/>
        </w:rPr>
        <w:t>caracterizado por el respeto y la sujeci</w:t>
      </w:r>
      <w:r>
        <w:rPr>
          <w:rFonts w:cs="Times New Roman"/>
          <w:spacing w:val="-8"/>
          <w:sz w:val="18"/>
          <w:szCs w:val="18"/>
          <w:lang w:val="es-ES_tradnl"/>
        </w:rPr>
        <w:t>ó</w:t>
      </w:r>
      <w:r>
        <w:rPr>
          <w:spacing w:val="-8"/>
          <w:sz w:val="18"/>
          <w:szCs w:val="18"/>
          <w:lang w:val="es-ES_tradnl"/>
        </w:rPr>
        <w:t>n a la Constituci</w:t>
      </w:r>
      <w:r>
        <w:rPr>
          <w:rFonts w:cs="Times New Roman"/>
          <w:spacing w:val="-8"/>
          <w:sz w:val="18"/>
          <w:szCs w:val="18"/>
          <w:lang w:val="es-ES_tradnl"/>
        </w:rPr>
        <w:t>ó</w:t>
      </w:r>
      <w:r>
        <w:rPr>
          <w:spacing w:val="-8"/>
          <w:sz w:val="18"/>
          <w:szCs w:val="18"/>
          <w:lang w:val="es-ES_tradnl"/>
        </w:rPr>
        <w:t>n.</w:t>
      </w:r>
    </w:p>
    <w:p w14:paraId="4F67AF3E" w14:textId="77777777" w:rsidR="00591D54" w:rsidRDefault="00591D54">
      <w:pPr>
        <w:shd w:val="clear" w:color="auto" w:fill="FFFFFF"/>
        <w:spacing w:before="192"/>
      </w:pPr>
      <w:r>
        <w:rPr>
          <w:b/>
          <w:bCs/>
          <w:spacing w:val="-7"/>
          <w:sz w:val="18"/>
          <w:szCs w:val="18"/>
          <w:lang w:val="es-ES_tradnl"/>
        </w:rPr>
        <w:t>Determinaci</w:t>
      </w:r>
      <w:r>
        <w:rPr>
          <w:rFonts w:cs="Times New Roman"/>
          <w:b/>
          <w:bCs/>
          <w:spacing w:val="-7"/>
          <w:sz w:val="18"/>
          <w:szCs w:val="18"/>
          <w:lang w:val="es-ES_tradnl"/>
        </w:rPr>
        <w:t>ó</w:t>
      </w:r>
      <w:r>
        <w:rPr>
          <w:b/>
          <w:bCs/>
          <w:spacing w:val="-7"/>
          <w:sz w:val="18"/>
          <w:szCs w:val="18"/>
          <w:lang w:val="es-ES_tradnl"/>
        </w:rPr>
        <w:t>n del problema jur</w:t>
      </w:r>
      <w:r>
        <w:rPr>
          <w:rFonts w:cs="Times New Roman"/>
          <w:b/>
          <w:bCs/>
          <w:spacing w:val="-7"/>
          <w:sz w:val="18"/>
          <w:szCs w:val="18"/>
          <w:lang w:val="es-ES_tradnl"/>
        </w:rPr>
        <w:t>í</w:t>
      </w:r>
      <w:r>
        <w:rPr>
          <w:b/>
          <w:bCs/>
          <w:spacing w:val="-7"/>
          <w:sz w:val="18"/>
          <w:szCs w:val="18"/>
          <w:lang w:val="es-ES_tradnl"/>
        </w:rPr>
        <w:t>dico</w:t>
      </w:r>
    </w:p>
    <w:p w14:paraId="4F67AF3F" w14:textId="77777777" w:rsidR="00591D54" w:rsidRDefault="00591D54">
      <w:pPr>
        <w:shd w:val="clear" w:color="auto" w:fill="FFFFFF"/>
        <w:spacing w:before="192" w:line="216" w:lineRule="exact"/>
        <w:jc w:val="both"/>
      </w:pPr>
      <w:r>
        <w:rPr>
          <w:spacing w:val="-7"/>
          <w:sz w:val="18"/>
          <w:szCs w:val="18"/>
          <w:lang w:val="es-ES_tradnl"/>
        </w:rPr>
        <w:t>Una vez analizado el expediente, para la resoluci</w:t>
      </w:r>
      <w:r>
        <w:rPr>
          <w:rFonts w:cs="Times New Roman"/>
          <w:spacing w:val="-7"/>
          <w:sz w:val="18"/>
          <w:szCs w:val="18"/>
          <w:lang w:val="es-ES_tradnl"/>
        </w:rPr>
        <w:t>ó</w:t>
      </w:r>
      <w:r>
        <w:rPr>
          <w:spacing w:val="-7"/>
          <w:sz w:val="18"/>
          <w:szCs w:val="18"/>
          <w:lang w:val="es-ES_tradnl"/>
        </w:rPr>
        <w:t xml:space="preserve">n de la </w:t>
      </w:r>
      <w:r>
        <w:rPr>
          <w:spacing w:val="-4"/>
          <w:sz w:val="18"/>
          <w:szCs w:val="18"/>
          <w:lang w:val="es-ES_tradnl"/>
        </w:rPr>
        <w:t xml:space="preserve">presente causa, esta Corte estima necesario desarrollar </w:t>
      </w:r>
      <w:r>
        <w:rPr>
          <w:spacing w:val="-6"/>
          <w:sz w:val="18"/>
          <w:szCs w:val="18"/>
          <w:lang w:val="es-ES_tradnl"/>
        </w:rPr>
        <w:t>su an</w:t>
      </w:r>
      <w:r>
        <w:rPr>
          <w:rFonts w:cs="Times New Roman"/>
          <w:spacing w:val="-6"/>
          <w:sz w:val="18"/>
          <w:szCs w:val="18"/>
          <w:lang w:val="es-ES_tradnl"/>
        </w:rPr>
        <w:t>á</w:t>
      </w:r>
      <w:r>
        <w:rPr>
          <w:spacing w:val="-6"/>
          <w:sz w:val="18"/>
          <w:szCs w:val="18"/>
          <w:lang w:val="es-ES_tradnl"/>
        </w:rPr>
        <w:t>lisis a trav</w:t>
      </w:r>
      <w:r>
        <w:rPr>
          <w:rFonts w:cs="Times New Roman"/>
          <w:spacing w:val="-6"/>
          <w:sz w:val="18"/>
          <w:szCs w:val="18"/>
          <w:lang w:val="es-ES_tradnl"/>
        </w:rPr>
        <w:t>é</w:t>
      </w:r>
      <w:r>
        <w:rPr>
          <w:spacing w:val="-6"/>
          <w:sz w:val="18"/>
          <w:szCs w:val="18"/>
          <w:lang w:val="es-ES_tradnl"/>
        </w:rPr>
        <w:t>s de la soluci</w:t>
      </w:r>
      <w:r>
        <w:rPr>
          <w:rFonts w:cs="Times New Roman"/>
          <w:spacing w:val="-6"/>
          <w:sz w:val="18"/>
          <w:szCs w:val="18"/>
          <w:lang w:val="es-ES_tradnl"/>
        </w:rPr>
        <w:t>ó</w:t>
      </w:r>
      <w:r>
        <w:rPr>
          <w:spacing w:val="-6"/>
          <w:sz w:val="18"/>
          <w:szCs w:val="18"/>
          <w:lang w:val="es-ES_tradnl"/>
        </w:rPr>
        <w:t xml:space="preserve">n del siguiente problema </w:t>
      </w:r>
      <w:r>
        <w:rPr>
          <w:sz w:val="18"/>
          <w:szCs w:val="18"/>
          <w:lang w:val="es-ES_tradnl"/>
        </w:rPr>
        <w:t>jur</w:t>
      </w:r>
      <w:r>
        <w:rPr>
          <w:rFonts w:cs="Times New Roman"/>
          <w:sz w:val="18"/>
          <w:szCs w:val="18"/>
          <w:lang w:val="es-ES_tradnl"/>
        </w:rPr>
        <w:t>í</w:t>
      </w:r>
      <w:r>
        <w:rPr>
          <w:sz w:val="18"/>
          <w:szCs w:val="18"/>
          <w:lang w:val="es-ES_tradnl"/>
        </w:rPr>
        <w:t>dico:</w:t>
      </w:r>
    </w:p>
    <w:p w14:paraId="4F67AF40" w14:textId="77777777" w:rsidR="00591D54" w:rsidRDefault="00591D54">
      <w:pPr>
        <w:shd w:val="clear" w:color="auto" w:fill="FFFFFF"/>
        <w:spacing w:before="197" w:line="216" w:lineRule="exact"/>
        <w:jc w:val="both"/>
      </w:pPr>
      <w:r>
        <w:rPr>
          <w:spacing w:val="-3"/>
          <w:sz w:val="18"/>
          <w:szCs w:val="18"/>
          <w:lang w:val="es-ES_tradnl"/>
        </w:rPr>
        <w:t>El auto expedido el 11 de abril del 2013, emitido por la Sala Especializada dela Familia, Ni</w:t>
      </w:r>
      <w:r>
        <w:rPr>
          <w:rFonts w:cs="Times New Roman"/>
          <w:spacing w:val="-3"/>
          <w:sz w:val="18"/>
          <w:szCs w:val="18"/>
          <w:lang w:val="es-ES_tradnl"/>
        </w:rPr>
        <w:t>ñ</w:t>
      </w:r>
      <w:r>
        <w:rPr>
          <w:spacing w:val="-3"/>
          <w:sz w:val="18"/>
          <w:szCs w:val="18"/>
          <w:lang w:val="es-ES_tradnl"/>
        </w:rPr>
        <w:t xml:space="preserve">ez y Adolescencia </w:t>
      </w:r>
      <w:r>
        <w:rPr>
          <w:spacing w:val="-6"/>
          <w:sz w:val="18"/>
          <w:szCs w:val="18"/>
          <w:lang w:val="es-ES_tradnl"/>
        </w:rPr>
        <w:t xml:space="preserve">de la Corte Nacional de Justicia, </w:t>
      </w:r>
      <w:r>
        <w:rPr>
          <w:rFonts w:cs="Times New Roman"/>
          <w:spacing w:val="-6"/>
          <w:sz w:val="18"/>
          <w:szCs w:val="18"/>
          <w:lang w:val="es-ES_tradnl"/>
        </w:rPr>
        <w:t>¿</w:t>
      </w:r>
      <w:r>
        <w:rPr>
          <w:spacing w:val="-6"/>
          <w:sz w:val="18"/>
          <w:szCs w:val="18"/>
          <w:lang w:val="es-ES_tradnl"/>
        </w:rPr>
        <w:t>vulner</w:t>
      </w:r>
      <w:r>
        <w:rPr>
          <w:rFonts w:cs="Times New Roman"/>
          <w:spacing w:val="-6"/>
          <w:sz w:val="18"/>
          <w:szCs w:val="18"/>
          <w:lang w:val="es-ES_tradnl"/>
        </w:rPr>
        <w:t>ó</w:t>
      </w:r>
      <w:r>
        <w:rPr>
          <w:spacing w:val="-6"/>
          <w:sz w:val="18"/>
          <w:szCs w:val="18"/>
          <w:lang w:val="es-ES_tradnl"/>
        </w:rPr>
        <w:t xml:space="preserve"> el derecho a la tutela judicial efectiva, determinado en el art</w:t>
      </w:r>
      <w:r>
        <w:rPr>
          <w:rFonts w:cs="Times New Roman"/>
          <w:spacing w:val="-6"/>
          <w:sz w:val="18"/>
          <w:szCs w:val="18"/>
          <w:lang w:val="es-ES_tradnl"/>
        </w:rPr>
        <w:t>í</w:t>
      </w:r>
      <w:r>
        <w:rPr>
          <w:spacing w:val="-6"/>
          <w:sz w:val="18"/>
          <w:szCs w:val="18"/>
          <w:lang w:val="es-ES_tradnl"/>
        </w:rPr>
        <w:t xml:space="preserve">culo 75 de la </w:t>
      </w:r>
      <w:r>
        <w:rPr>
          <w:sz w:val="18"/>
          <w:szCs w:val="18"/>
          <w:lang w:val="es-ES_tradnl"/>
        </w:rPr>
        <w:t>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AF41" w14:textId="77777777" w:rsidR="00591D54" w:rsidRDefault="00591D54">
      <w:pPr>
        <w:shd w:val="clear" w:color="auto" w:fill="FFFFFF"/>
        <w:spacing w:before="192"/>
      </w:pPr>
      <w:r>
        <w:rPr>
          <w:b/>
          <w:bCs/>
          <w:spacing w:val="-8"/>
          <w:sz w:val="18"/>
          <w:szCs w:val="18"/>
          <w:lang w:val="es-ES_tradnl"/>
        </w:rPr>
        <w:t>Resoluci</w:t>
      </w:r>
      <w:r>
        <w:rPr>
          <w:rFonts w:cs="Times New Roman"/>
          <w:b/>
          <w:bCs/>
          <w:spacing w:val="-8"/>
          <w:sz w:val="18"/>
          <w:szCs w:val="18"/>
          <w:lang w:val="es-ES_tradnl"/>
        </w:rPr>
        <w:t>ó</w:t>
      </w:r>
      <w:r>
        <w:rPr>
          <w:b/>
          <w:bCs/>
          <w:spacing w:val="-8"/>
          <w:sz w:val="18"/>
          <w:szCs w:val="18"/>
          <w:lang w:val="es-ES_tradnl"/>
        </w:rPr>
        <w:t>n del problema jur</w:t>
      </w:r>
      <w:r>
        <w:rPr>
          <w:rFonts w:cs="Times New Roman"/>
          <w:b/>
          <w:bCs/>
          <w:spacing w:val="-8"/>
          <w:sz w:val="18"/>
          <w:szCs w:val="18"/>
          <w:lang w:val="es-ES_tradnl"/>
        </w:rPr>
        <w:t>í</w:t>
      </w:r>
      <w:r>
        <w:rPr>
          <w:b/>
          <w:bCs/>
          <w:spacing w:val="-8"/>
          <w:sz w:val="18"/>
          <w:szCs w:val="18"/>
          <w:lang w:val="es-ES_tradnl"/>
        </w:rPr>
        <w:t>dico</w:t>
      </w:r>
    </w:p>
    <w:p w14:paraId="4F67AF42" w14:textId="77777777" w:rsidR="00591D54" w:rsidRDefault="00591D54">
      <w:pPr>
        <w:shd w:val="clear" w:color="auto" w:fill="FFFFFF"/>
        <w:spacing w:before="192" w:line="216" w:lineRule="exact"/>
        <w:jc w:val="both"/>
      </w:pPr>
      <w:r>
        <w:rPr>
          <w:b/>
          <w:bCs/>
          <w:spacing w:val="-7"/>
          <w:sz w:val="18"/>
          <w:szCs w:val="18"/>
          <w:lang w:val="es-ES_tradnl"/>
        </w:rPr>
        <w:t xml:space="preserve">El auto expedido el 11 de abril del 2013, emitido por la </w:t>
      </w:r>
      <w:r>
        <w:rPr>
          <w:b/>
          <w:bCs/>
          <w:spacing w:val="-8"/>
          <w:sz w:val="18"/>
          <w:szCs w:val="18"/>
          <w:lang w:val="es-ES_tradnl"/>
        </w:rPr>
        <w:t>Sala Especializada dela Familia, Ni</w:t>
      </w:r>
      <w:r>
        <w:rPr>
          <w:rFonts w:cs="Times New Roman"/>
          <w:b/>
          <w:bCs/>
          <w:spacing w:val="-8"/>
          <w:sz w:val="18"/>
          <w:szCs w:val="18"/>
          <w:lang w:val="es-ES_tradnl"/>
        </w:rPr>
        <w:t>ñ</w:t>
      </w:r>
      <w:r>
        <w:rPr>
          <w:b/>
          <w:bCs/>
          <w:spacing w:val="-8"/>
          <w:sz w:val="18"/>
          <w:szCs w:val="18"/>
          <w:lang w:val="es-ES_tradnl"/>
        </w:rPr>
        <w:t xml:space="preserve">ez y Adolescencia de la Corte Nacional de Justicia, </w:t>
      </w:r>
      <w:r>
        <w:rPr>
          <w:rFonts w:cs="Times New Roman"/>
          <w:b/>
          <w:bCs/>
          <w:spacing w:val="-8"/>
          <w:sz w:val="18"/>
          <w:szCs w:val="18"/>
          <w:lang w:val="es-ES_tradnl"/>
        </w:rPr>
        <w:t>¿</w:t>
      </w:r>
      <w:r>
        <w:rPr>
          <w:b/>
          <w:bCs/>
          <w:spacing w:val="-8"/>
          <w:sz w:val="18"/>
          <w:szCs w:val="18"/>
          <w:lang w:val="es-ES_tradnl"/>
        </w:rPr>
        <w:t>vulner</w:t>
      </w:r>
      <w:r>
        <w:rPr>
          <w:rFonts w:cs="Times New Roman"/>
          <w:b/>
          <w:bCs/>
          <w:spacing w:val="-8"/>
          <w:sz w:val="18"/>
          <w:szCs w:val="18"/>
          <w:lang w:val="es-ES_tradnl"/>
        </w:rPr>
        <w:t>ó</w:t>
      </w:r>
      <w:r>
        <w:rPr>
          <w:b/>
          <w:bCs/>
          <w:spacing w:val="-8"/>
          <w:sz w:val="18"/>
          <w:szCs w:val="18"/>
          <w:lang w:val="es-ES_tradnl"/>
        </w:rPr>
        <w:t xml:space="preserve"> el derecho a </w:t>
      </w:r>
      <w:r>
        <w:rPr>
          <w:b/>
          <w:bCs/>
          <w:spacing w:val="-7"/>
          <w:sz w:val="18"/>
          <w:szCs w:val="18"/>
          <w:lang w:val="es-ES_tradnl"/>
        </w:rPr>
        <w:t>la tutela judicial efectiva, determinado en el art</w:t>
      </w:r>
      <w:r>
        <w:rPr>
          <w:rFonts w:cs="Times New Roman"/>
          <w:b/>
          <w:bCs/>
          <w:spacing w:val="-7"/>
          <w:sz w:val="18"/>
          <w:szCs w:val="18"/>
          <w:lang w:val="es-ES_tradnl"/>
        </w:rPr>
        <w:t>í</w:t>
      </w:r>
      <w:r>
        <w:rPr>
          <w:b/>
          <w:bCs/>
          <w:spacing w:val="-7"/>
          <w:sz w:val="18"/>
          <w:szCs w:val="18"/>
          <w:lang w:val="es-ES_tradnl"/>
        </w:rPr>
        <w:t xml:space="preserve">culo 75 </w:t>
      </w:r>
      <w:r>
        <w:rPr>
          <w:b/>
          <w:bCs/>
          <w:sz w:val="18"/>
          <w:szCs w:val="18"/>
          <w:lang w:val="es-ES_tradnl"/>
        </w:rPr>
        <w:t>de la Constituci</w:t>
      </w:r>
      <w:r>
        <w:rPr>
          <w:rFonts w:cs="Times New Roman"/>
          <w:b/>
          <w:bCs/>
          <w:sz w:val="18"/>
          <w:szCs w:val="18"/>
          <w:lang w:val="es-ES_tradnl"/>
        </w:rPr>
        <w:t>ó</w:t>
      </w:r>
      <w:r>
        <w:rPr>
          <w:b/>
          <w:bCs/>
          <w:sz w:val="18"/>
          <w:szCs w:val="18"/>
          <w:lang w:val="es-ES_tradnl"/>
        </w:rPr>
        <w:t>n de la Rep</w:t>
      </w:r>
      <w:r>
        <w:rPr>
          <w:rFonts w:cs="Times New Roman"/>
          <w:b/>
          <w:bCs/>
          <w:sz w:val="18"/>
          <w:szCs w:val="18"/>
          <w:lang w:val="es-ES_tradnl"/>
        </w:rPr>
        <w:t>ú</w:t>
      </w:r>
      <w:r>
        <w:rPr>
          <w:b/>
          <w:bCs/>
          <w:sz w:val="18"/>
          <w:szCs w:val="18"/>
          <w:lang w:val="es-ES_tradnl"/>
        </w:rPr>
        <w:t>blica?</w:t>
      </w:r>
    </w:p>
    <w:p w14:paraId="4F67AF43" w14:textId="77777777" w:rsidR="00591D54" w:rsidRDefault="00591D54">
      <w:pPr>
        <w:shd w:val="clear" w:color="auto" w:fill="FFFFFF"/>
        <w:spacing w:before="197" w:line="216" w:lineRule="exact"/>
        <w:jc w:val="both"/>
      </w:pPr>
      <w:r>
        <w:rPr>
          <w:spacing w:val="-7"/>
          <w:sz w:val="18"/>
          <w:szCs w:val="18"/>
          <w:lang w:val="es-ES_tradnl"/>
        </w:rPr>
        <w:t>Previo a pronunciarse sobre la presunta vulneraci</w:t>
      </w:r>
      <w:r>
        <w:rPr>
          <w:rFonts w:cs="Times New Roman"/>
          <w:spacing w:val="-7"/>
          <w:sz w:val="18"/>
          <w:szCs w:val="18"/>
          <w:lang w:val="es-ES_tradnl"/>
        </w:rPr>
        <w:t>ó</w:t>
      </w:r>
      <w:r>
        <w:rPr>
          <w:spacing w:val="-7"/>
          <w:sz w:val="18"/>
          <w:szCs w:val="18"/>
          <w:lang w:val="es-ES_tradnl"/>
        </w:rPr>
        <w:t xml:space="preserve">n, es </w:t>
      </w:r>
      <w:r>
        <w:rPr>
          <w:spacing w:val="-5"/>
          <w:sz w:val="18"/>
          <w:szCs w:val="18"/>
          <w:lang w:val="es-ES_tradnl"/>
        </w:rPr>
        <w:t>preciso revisar lo establecido por la Constituci</w:t>
      </w:r>
      <w:r>
        <w:rPr>
          <w:rFonts w:cs="Times New Roman"/>
          <w:spacing w:val="-5"/>
          <w:sz w:val="18"/>
          <w:szCs w:val="18"/>
          <w:lang w:val="es-ES_tradnl"/>
        </w:rPr>
        <w:t>ó</w:t>
      </w:r>
      <w:r>
        <w:rPr>
          <w:spacing w:val="-5"/>
          <w:sz w:val="18"/>
          <w:szCs w:val="18"/>
          <w:lang w:val="es-ES_tradnl"/>
        </w:rPr>
        <w:t xml:space="preserve">n de la </w:t>
      </w:r>
      <w:r>
        <w:rPr>
          <w:spacing w:val="-8"/>
          <w:sz w:val="18"/>
          <w:szCs w:val="18"/>
          <w:lang w:val="es-ES_tradnl"/>
        </w:rPr>
        <w:t>Rep</w:t>
      </w:r>
      <w:r>
        <w:rPr>
          <w:rFonts w:cs="Times New Roman"/>
          <w:spacing w:val="-8"/>
          <w:sz w:val="18"/>
          <w:szCs w:val="18"/>
          <w:lang w:val="es-ES_tradnl"/>
        </w:rPr>
        <w:t>ú</w:t>
      </w:r>
      <w:r>
        <w:rPr>
          <w:spacing w:val="-8"/>
          <w:sz w:val="18"/>
          <w:szCs w:val="18"/>
          <w:lang w:val="es-ES_tradnl"/>
        </w:rPr>
        <w:t>blica, en cuanto al derecho a la tutela judicial efectiva:</w:t>
      </w:r>
    </w:p>
    <w:p w14:paraId="4F67AF44" w14:textId="77777777" w:rsidR="00591D54" w:rsidRDefault="00591D54">
      <w:pPr>
        <w:shd w:val="clear" w:color="auto" w:fill="FFFFFF"/>
        <w:spacing w:before="197" w:line="216" w:lineRule="exact"/>
        <w:jc w:val="both"/>
        <w:sectPr w:rsidR="00591D54">
          <w:type w:val="continuous"/>
          <w:pgSz w:w="11909" w:h="16834"/>
          <w:pgMar w:top="1373" w:right="1309" w:bottom="360" w:left="1308" w:header="720" w:footer="720" w:gutter="0"/>
          <w:cols w:num="2" w:space="720" w:equalWidth="0">
            <w:col w:w="4305" w:space="682"/>
            <w:col w:w="4305"/>
          </w:cols>
          <w:noEndnote/>
        </w:sectPr>
      </w:pPr>
    </w:p>
    <w:p w14:paraId="4F67AF45" w14:textId="77777777" w:rsidR="00591D54" w:rsidRDefault="00591D54">
      <w:pPr>
        <w:shd w:val="clear" w:color="auto" w:fill="FFFFFF"/>
        <w:tabs>
          <w:tab w:val="left" w:pos="4814"/>
        </w:tabs>
        <w:spacing w:after="230"/>
        <w:ind w:left="14"/>
      </w:pPr>
      <w:r>
        <w:rPr>
          <w:b/>
          <w:bCs/>
          <w:sz w:val="18"/>
          <w:szCs w:val="18"/>
          <w:lang w:val="es-ES_tradnl"/>
        </w:rPr>
        <w:t xml:space="preserve">144 -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F46" w14:textId="77777777" w:rsidR="00591D54" w:rsidRDefault="00591D54">
      <w:pPr>
        <w:shd w:val="clear" w:color="auto" w:fill="FFFFFF"/>
        <w:tabs>
          <w:tab w:val="left" w:pos="4814"/>
        </w:tabs>
        <w:spacing w:after="230"/>
        <w:ind w:left="14"/>
        <w:sectPr w:rsidR="00591D54">
          <w:pgSz w:w="11909" w:h="16834"/>
          <w:pgMar w:top="1356" w:right="1309" w:bottom="360" w:left="1308" w:header="720" w:footer="720" w:gutter="0"/>
          <w:cols w:space="60"/>
          <w:noEndnote/>
        </w:sectPr>
      </w:pPr>
    </w:p>
    <w:p w14:paraId="4F67AF47" w14:textId="77777777" w:rsidR="00591D54" w:rsidRDefault="00591D54">
      <w:pPr>
        <w:shd w:val="clear" w:color="auto" w:fill="FFFFFF"/>
        <w:spacing w:line="216" w:lineRule="exact"/>
        <w:ind w:left="283" w:right="5"/>
        <w:jc w:val="both"/>
      </w:pPr>
      <w:r>
        <w:rPr>
          <w:spacing w:val="-1"/>
          <w:sz w:val="16"/>
          <w:szCs w:val="16"/>
          <w:lang w:val="es-ES_tradnl"/>
        </w:rPr>
        <w:t xml:space="preserve">Art. 75. Toda persona tiene derecho al acceso gratuito a </w:t>
      </w:r>
      <w:r>
        <w:rPr>
          <w:sz w:val="16"/>
          <w:szCs w:val="16"/>
          <w:lang w:val="es-ES_tradnl"/>
        </w:rPr>
        <w:t>la justicia y a la tutela efectiva, imparcial y expedita de sus derechos e intereses, con sujeci</w:t>
      </w:r>
      <w:r>
        <w:rPr>
          <w:rFonts w:cs="Times New Roman"/>
          <w:sz w:val="16"/>
          <w:szCs w:val="16"/>
          <w:lang w:val="es-ES_tradnl"/>
        </w:rPr>
        <w:t>ó</w:t>
      </w:r>
      <w:r>
        <w:rPr>
          <w:sz w:val="16"/>
          <w:szCs w:val="16"/>
          <w:lang w:val="es-ES_tradnl"/>
        </w:rPr>
        <w:t xml:space="preserve">n a los principios </w:t>
      </w:r>
      <w:r>
        <w:rPr>
          <w:spacing w:val="-5"/>
          <w:sz w:val="16"/>
          <w:szCs w:val="16"/>
          <w:lang w:val="es-ES_tradnl"/>
        </w:rPr>
        <w:t>de inmediaci</w:t>
      </w:r>
      <w:r>
        <w:rPr>
          <w:rFonts w:cs="Times New Roman"/>
          <w:spacing w:val="-5"/>
          <w:sz w:val="16"/>
          <w:szCs w:val="16"/>
          <w:lang w:val="es-ES_tradnl"/>
        </w:rPr>
        <w:t>ó</w:t>
      </w:r>
      <w:r>
        <w:rPr>
          <w:spacing w:val="-5"/>
          <w:sz w:val="16"/>
          <w:szCs w:val="16"/>
          <w:lang w:val="es-ES_tradnl"/>
        </w:rPr>
        <w:t>n y celeridad; en ning</w:t>
      </w:r>
      <w:r>
        <w:rPr>
          <w:rFonts w:cs="Times New Roman"/>
          <w:spacing w:val="-5"/>
          <w:sz w:val="16"/>
          <w:szCs w:val="16"/>
          <w:lang w:val="es-ES_tradnl"/>
        </w:rPr>
        <w:t>ú</w:t>
      </w:r>
      <w:r>
        <w:rPr>
          <w:spacing w:val="-5"/>
          <w:sz w:val="16"/>
          <w:szCs w:val="16"/>
          <w:lang w:val="es-ES_tradnl"/>
        </w:rPr>
        <w:t>n caso quedar</w:t>
      </w:r>
      <w:r>
        <w:rPr>
          <w:rFonts w:cs="Times New Roman"/>
          <w:spacing w:val="-5"/>
          <w:sz w:val="16"/>
          <w:szCs w:val="16"/>
          <w:lang w:val="es-ES_tradnl"/>
        </w:rPr>
        <w:t>á</w:t>
      </w:r>
      <w:r>
        <w:rPr>
          <w:spacing w:val="-5"/>
          <w:sz w:val="16"/>
          <w:szCs w:val="16"/>
          <w:lang w:val="es-ES_tradnl"/>
        </w:rPr>
        <w:t xml:space="preserve"> en </w:t>
      </w:r>
      <w:r>
        <w:rPr>
          <w:spacing w:val="-4"/>
          <w:sz w:val="16"/>
          <w:szCs w:val="16"/>
          <w:lang w:val="es-ES_tradnl"/>
        </w:rPr>
        <w:t>indefensi</w:t>
      </w:r>
      <w:r>
        <w:rPr>
          <w:rFonts w:cs="Times New Roman"/>
          <w:spacing w:val="-4"/>
          <w:sz w:val="16"/>
          <w:szCs w:val="16"/>
          <w:lang w:val="es-ES_tradnl"/>
        </w:rPr>
        <w:t>ó</w:t>
      </w:r>
      <w:r>
        <w:rPr>
          <w:spacing w:val="-4"/>
          <w:sz w:val="16"/>
          <w:szCs w:val="16"/>
          <w:lang w:val="es-ES_tradnl"/>
        </w:rPr>
        <w:t xml:space="preserve">n. El cumplimiento de las resoluciones judiciales </w:t>
      </w:r>
      <w:r>
        <w:rPr>
          <w:sz w:val="16"/>
          <w:szCs w:val="16"/>
          <w:lang w:val="es-ES_tradnl"/>
        </w:rPr>
        <w:t>ser</w:t>
      </w:r>
      <w:r>
        <w:rPr>
          <w:rFonts w:cs="Times New Roman"/>
          <w:sz w:val="16"/>
          <w:szCs w:val="16"/>
          <w:lang w:val="es-ES_tradnl"/>
        </w:rPr>
        <w:t>á</w:t>
      </w:r>
      <w:r>
        <w:rPr>
          <w:sz w:val="16"/>
          <w:szCs w:val="16"/>
          <w:lang w:val="es-ES_tradnl"/>
        </w:rPr>
        <w:t xml:space="preserve"> sancionado por la ley.</w:t>
      </w:r>
    </w:p>
    <w:p w14:paraId="4F67AF48" w14:textId="77777777" w:rsidR="00591D54" w:rsidRDefault="00591D54">
      <w:pPr>
        <w:shd w:val="clear" w:color="auto" w:fill="FFFFFF"/>
        <w:spacing w:before="202" w:line="216" w:lineRule="exact"/>
        <w:jc w:val="both"/>
      </w:pPr>
      <w:r>
        <w:rPr>
          <w:spacing w:val="-6"/>
          <w:sz w:val="18"/>
          <w:szCs w:val="18"/>
          <w:lang w:val="es-ES_tradnl"/>
        </w:rPr>
        <w:t xml:space="preserve">Por su parte, la Corte Constitucional del Ecuador ha </w:t>
      </w:r>
      <w:r>
        <w:rPr>
          <w:sz w:val="18"/>
          <w:szCs w:val="18"/>
          <w:lang w:val="es-ES_tradnl"/>
        </w:rPr>
        <w:t>manifestado:</w:t>
      </w:r>
    </w:p>
    <w:p w14:paraId="4F67AF49" w14:textId="77777777" w:rsidR="00591D54" w:rsidRDefault="00591D54">
      <w:pPr>
        <w:shd w:val="clear" w:color="auto" w:fill="FFFFFF"/>
        <w:spacing w:before="202" w:line="211" w:lineRule="exact"/>
        <w:ind w:left="283"/>
        <w:jc w:val="both"/>
      </w:pPr>
      <w:r>
        <w:rPr>
          <w:rFonts w:cs="Times New Roman"/>
          <w:spacing w:val="-12"/>
          <w:sz w:val="16"/>
          <w:szCs w:val="16"/>
          <w:lang w:val="es-ES_tradnl"/>
        </w:rPr>
        <w:t>…</w:t>
      </w:r>
      <w:r>
        <w:rPr>
          <w:spacing w:val="-12"/>
          <w:sz w:val="16"/>
          <w:szCs w:val="16"/>
          <w:lang w:val="es-ES_tradnl"/>
        </w:rPr>
        <w:t xml:space="preserve">es aquel derecho que garantiza que todas las personas puedan </w:t>
      </w:r>
      <w:r>
        <w:rPr>
          <w:spacing w:val="-7"/>
          <w:sz w:val="16"/>
          <w:szCs w:val="16"/>
          <w:lang w:val="es-ES_tradnl"/>
        </w:rPr>
        <w:t>acceder a los medios de justicia, sin que dicho acceso est</w:t>
      </w:r>
      <w:r>
        <w:rPr>
          <w:rFonts w:cs="Times New Roman"/>
          <w:spacing w:val="-7"/>
          <w:sz w:val="16"/>
          <w:szCs w:val="16"/>
          <w:lang w:val="es-ES_tradnl"/>
        </w:rPr>
        <w:t xml:space="preserve">é </w:t>
      </w:r>
      <w:r>
        <w:rPr>
          <w:spacing w:val="-7"/>
          <w:sz w:val="16"/>
          <w:szCs w:val="16"/>
          <w:lang w:val="es-ES_tradnl"/>
        </w:rPr>
        <w:t xml:space="preserve">limitado por trabas o condiciones que les impidan justiciar sus </w:t>
      </w:r>
      <w:r>
        <w:rPr>
          <w:spacing w:val="-9"/>
          <w:sz w:val="16"/>
          <w:szCs w:val="16"/>
          <w:lang w:val="es-ES_tradnl"/>
        </w:rPr>
        <w:t xml:space="preserve">derechos constitucionales. En este sentido, se constituye en un </w:t>
      </w:r>
      <w:r>
        <w:rPr>
          <w:spacing w:val="-8"/>
          <w:sz w:val="16"/>
          <w:szCs w:val="16"/>
          <w:lang w:val="es-ES_tradnl"/>
        </w:rPr>
        <w:t>deber de los operadores de justicia garantizar la sustanciaci</w:t>
      </w:r>
      <w:r>
        <w:rPr>
          <w:rFonts w:cs="Times New Roman"/>
          <w:spacing w:val="-8"/>
          <w:sz w:val="16"/>
          <w:szCs w:val="16"/>
          <w:lang w:val="es-ES_tradnl"/>
        </w:rPr>
        <w:t>ó</w:t>
      </w:r>
      <w:r>
        <w:rPr>
          <w:spacing w:val="-8"/>
          <w:sz w:val="16"/>
          <w:szCs w:val="16"/>
          <w:lang w:val="es-ES_tradnl"/>
        </w:rPr>
        <w:t xml:space="preserve">n </w:t>
      </w:r>
      <w:r>
        <w:rPr>
          <w:spacing w:val="-11"/>
          <w:sz w:val="16"/>
          <w:szCs w:val="16"/>
          <w:lang w:val="es-ES_tradnl"/>
        </w:rPr>
        <w:t xml:space="preserve">de procesos transparentes y eficientes en los cuales se respeten </w:t>
      </w:r>
      <w:r>
        <w:rPr>
          <w:spacing w:val="-5"/>
          <w:sz w:val="16"/>
          <w:szCs w:val="16"/>
          <w:lang w:val="es-ES_tradnl"/>
        </w:rPr>
        <w:t xml:space="preserve">por igual los derechos de las partes procesales, sobre las </w:t>
      </w:r>
      <w:r>
        <w:rPr>
          <w:spacing w:val="-7"/>
          <w:sz w:val="16"/>
          <w:szCs w:val="16"/>
          <w:lang w:val="es-ES_tradnl"/>
        </w:rPr>
        <w:t>s</w:t>
      </w:r>
      <w:r>
        <w:rPr>
          <w:rFonts w:cs="Times New Roman"/>
          <w:spacing w:val="-7"/>
          <w:sz w:val="16"/>
          <w:szCs w:val="16"/>
          <w:lang w:val="es-ES_tradnl"/>
        </w:rPr>
        <w:t>ó</w:t>
      </w:r>
      <w:r>
        <w:rPr>
          <w:spacing w:val="-7"/>
          <w:sz w:val="16"/>
          <w:szCs w:val="16"/>
          <w:lang w:val="es-ES_tradnl"/>
        </w:rPr>
        <w:t>lidas bases de los principios de inmediaci</w:t>
      </w:r>
      <w:r>
        <w:rPr>
          <w:rFonts w:cs="Times New Roman"/>
          <w:spacing w:val="-7"/>
          <w:sz w:val="16"/>
          <w:szCs w:val="16"/>
          <w:lang w:val="es-ES_tradnl"/>
        </w:rPr>
        <w:t>ó</w:t>
      </w:r>
      <w:r>
        <w:rPr>
          <w:spacing w:val="-7"/>
          <w:sz w:val="16"/>
          <w:szCs w:val="16"/>
          <w:lang w:val="es-ES_tradnl"/>
        </w:rPr>
        <w:t xml:space="preserve">n y celeridad. La </w:t>
      </w:r>
      <w:r>
        <w:rPr>
          <w:spacing w:val="-6"/>
          <w:sz w:val="16"/>
          <w:szCs w:val="16"/>
          <w:lang w:val="es-ES_tradnl"/>
        </w:rPr>
        <w:t>Corte Constitucional sobre este derecho manifest</w:t>
      </w:r>
      <w:r>
        <w:rPr>
          <w:rFonts w:cs="Times New Roman"/>
          <w:spacing w:val="-6"/>
          <w:sz w:val="16"/>
          <w:szCs w:val="16"/>
          <w:lang w:val="es-ES_tradnl"/>
        </w:rPr>
        <w:t>ó</w:t>
      </w:r>
      <w:r>
        <w:rPr>
          <w:spacing w:val="-6"/>
          <w:sz w:val="16"/>
          <w:szCs w:val="16"/>
          <w:lang w:val="es-ES_tradnl"/>
        </w:rPr>
        <w:t xml:space="preserve">: A la hora </w:t>
      </w:r>
      <w:r>
        <w:rPr>
          <w:spacing w:val="-4"/>
          <w:sz w:val="16"/>
          <w:szCs w:val="16"/>
          <w:lang w:val="es-ES_tradnl"/>
        </w:rPr>
        <w:t xml:space="preserve">de definir o interpretar el alcance de la tutela jurisdiccional </w:t>
      </w:r>
      <w:r>
        <w:rPr>
          <w:spacing w:val="-6"/>
          <w:sz w:val="16"/>
          <w:szCs w:val="16"/>
          <w:lang w:val="es-ES_tradnl"/>
        </w:rPr>
        <w:t>efectiva, se podr</w:t>
      </w:r>
      <w:r>
        <w:rPr>
          <w:rFonts w:cs="Times New Roman"/>
          <w:spacing w:val="-6"/>
          <w:sz w:val="16"/>
          <w:szCs w:val="16"/>
          <w:lang w:val="es-ES_tradnl"/>
        </w:rPr>
        <w:t>í</w:t>
      </w:r>
      <w:r>
        <w:rPr>
          <w:spacing w:val="-6"/>
          <w:sz w:val="16"/>
          <w:szCs w:val="16"/>
          <w:lang w:val="es-ES_tradnl"/>
        </w:rPr>
        <w:t>a indicar en t</w:t>
      </w:r>
      <w:r>
        <w:rPr>
          <w:rFonts w:cs="Times New Roman"/>
          <w:spacing w:val="-6"/>
          <w:sz w:val="16"/>
          <w:szCs w:val="16"/>
          <w:lang w:val="es-ES_tradnl"/>
        </w:rPr>
        <w:t>é</w:t>
      </w:r>
      <w:r>
        <w:rPr>
          <w:spacing w:val="-6"/>
          <w:sz w:val="16"/>
          <w:szCs w:val="16"/>
          <w:lang w:val="es-ES_tradnl"/>
        </w:rPr>
        <w:t xml:space="preserve">rminos generales que este constituye en el derecho que tiene toda persona de acudir a </w:t>
      </w:r>
      <w:r>
        <w:rPr>
          <w:spacing w:val="-7"/>
          <w:sz w:val="16"/>
          <w:szCs w:val="16"/>
          <w:lang w:val="es-ES_tradnl"/>
        </w:rPr>
        <w:t xml:space="preserve">los </w:t>
      </w:r>
      <w:r>
        <w:rPr>
          <w:rFonts w:cs="Times New Roman"/>
          <w:spacing w:val="-7"/>
          <w:sz w:val="16"/>
          <w:szCs w:val="16"/>
          <w:lang w:val="es-ES_tradnl"/>
        </w:rPr>
        <w:t>ó</w:t>
      </w:r>
      <w:r>
        <w:rPr>
          <w:spacing w:val="-7"/>
          <w:sz w:val="16"/>
          <w:szCs w:val="16"/>
          <w:lang w:val="es-ES_tradnl"/>
        </w:rPr>
        <w:t>rganos jurisdiccionales, para que a trav</w:t>
      </w:r>
      <w:r>
        <w:rPr>
          <w:rFonts w:cs="Times New Roman"/>
          <w:spacing w:val="-7"/>
          <w:sz w:val="16"/>
          <w:szCs w:val="16"/>
          <w:lang w:val="es-ES_tradnl"/>
        </w:rPr>
        <w:t>é</w:t>
      </w:r>
      <w:r>
        <w:rPr>
          <w:spacing w:val="-7"/>
          <w:sz w:val="16"/>
          <w:szCs w:val="16"/>
          <w:lang w:val="es-ES_tradnl"/>
        </w:rPr>
        <w:t xml:space="preserve">s de los debidos </w:t>
      </w:r>
      <w:r>
        <w:rPr>
          <w:spacing w:val="-8"/>
          <w:sz w:val="16"/>
          <w:szCs w:val="16"/>
          <w:lang w:val="es-ES_tradnl"/>
        </w:rPr>
        <w:t>cauces procesales y con unas garant</w:t>
      </w:r>
      <w:r>
        <w:rPr>
          <w:rFonts w:cs="Times New Roman"/>
          <w:spacing w:val="-8"/>
          <w:sz w:val="16"/>
          <w:szCs w:val="16"/>
          <w:lang w:val="es-ES_tradnl"/>
        </w:rPr>
        <w:t>í</w:t>
      </w:r>
      <w:r>
        <w:rPr>
          <w:spacing w:val="-8"/>
          <w:sz w:val="16"/>
          <w:szCs w:val="16"/>
          <w:lang w:val="es-ES_tradnl"/>
        </w:rPr>
        <w:t>as m</w:t>
      </w:r>
      <w:r>
        <w:rPr>
          <w:rFonts w:cs="Times New Roman"/>
          <w:spacing w:val="-8"/>
          <w:sz w:val="16"/>
          <w:szCs w:val="16"/>
          <w:lang w:val="es-ES_tradnl"/>
        </w:rPr>
        <w:t>í</w:t>
      </w:r>
      <w:r>
        <w:rPr>
          <w:spacing w:val="-8"/>
          <w:sz w:val="16"/>
          <w:szCs w:val="16"/>
          <w:lang w:val="es-ES_tradnl"/>
        </w:rPr>
        <w:t>nimas, se obtenga una decisi</w:t>
      </w:r>
      <w:r>
        <w:rPr>
          <w:rFonts w:cs="Times New Roman"/>
          <w:spacing w:val="-8"/>
          <w:sz w:val="16"/>
          <w:szCs w:val="16"/>
          <w:lang w:val="es-ES_tradnl"/>
        </w:rPr>
        <w:t>ó</w:t>
      </w:r>
      <w:r>
        <w:rPr>
          <w:spacing w:val="-8"/>
          <w:sz w:val="16"/>
          <w:szCs w:val="16"/>
          <w:lang w:val="es-ES_tradnl"/>
        </w:rPr>
        <w:t xml:space="preserve">n fundada en derecho, sobre las pretensiones </w:t>
      </w:r>
      <w:r>
        <w:rPr>
          <w:sz w:val="16"/>
          <w:szCs w:val="16"/>
          <w:lang w:val="es-ES_tradnl"/>
        </w:rPr>
        <w:t>propuestas</w:t>
      </w:r>
      <w:r>
        <w:rPr>
          <w:sz w:val="16"/>
          <w:szCs w:val="16"/>
          <w:vertAlign w:val="superscript"/>
          <w:lang w:val="es-ES_tradnl"/>
        </w:rPr>
        <w:t>1</w:t>
      </w:r>
      <w:r>
        <w:rPr>
          <w:sz w:val="16"/>
          <w:szCs w:val="16"/>
          <w:lang w:val="es-ES_tradnl"/>
        </w:rPr>
        <w:t>.</w:t>
      </w:r>
    </w:p>
    <w:p w14:paraId="4F67AF4A" w14:textId="77777777" w:rsidR="00591D54" w:rsidRDefault="00591D54">
      <w:pPr>
        <w:shd w:val="clear" w:color="auto" w:fill="FFFFFF"/>
        <w:spacing w:before="202" w:line="216" w:lineRule="exact"/>
        <w:ind w:right="5"/>
        <w:jc w:val="both"/>
      </w:pPr>
      <w:r>
        <w:rPr>
          <w:spacing w:val="-8"/>
          <w:sz w:val="18"/>
          <w:szCs w:val="18"/>
          <w:lang w:val="es-ES_tradnl"/>
        </w:rPr>
        <w:t>En este contexto, este derecho hace posible el ejercicio de todos los dem</w:t>
      </w:r>
      <w:r>
        <w:rPr>
          <w:rFonts w:cs="Times New Roman"/>
          <w:spacing w:val="-8"/>
          <w:sz w:val="18"/>
          <w:szCs w:val="18"/>
          <w:lang w:val="es-ES_tradnl"/>
        </w:rPr>
        <w:t>á</w:t>
      </w:r>
      <w:r>
        <w:rPr>
          <w:spacing w:val="-8"/>
          <w:sz w:val="18"/>
          <w:szCs w:val="18"/>
          <w:lang w:val="es-ES_tradnl"/>
        </w:rPr>
        <w:t>s derechos constitucionales, as</w:t>
      </w:r>
      <w:r>
        <w:rPr>
          <w:rFonts w:cs="Times New Roman"/>
          <w:spacing w:val="-8"/>
          <w:sz w:val="18"/>
          <w:szCs w:val="18"/>
          <w:lang w:val="es-ES_tradnl"/>
        </w:rPr>
        <w:t>í</w:t>
      </w:r>
      <w:r>
        <w:rPr>
          <w:spacing w:val="-8"/>
          <w:sz w:val="18"/>
          <w:szCs w:val="18"/>
          <w:lang w:val="es-ES_tradnl"/>
        </w:rPr>
        <w:t xml:space="preserve"> como de aquellos que est</w:t>
      </w:r>
      <w:r>
        <w:rPr>
          <w:rFonts w:cs="Times New Roman"/>
          <w:spacing w:val="-8"/>
          <w:sz w:val="18"/>
          <w:szCs w:val="18"/>
          <w:lang w:val="es-ES_tradnl"/>
        </w:rPr>
        <w:t>á</w:t>
      </w:r>
      <w:r>
        <w:rPr>
          <w:spacing w:val="-8"/>
          <w:sz w:val="18"/>
          <w:szCs w:val="18"/>
          <w:lang w:val="es-ES_tradnl"/>
        </w:rPr>
        <w:t>n consagrados en normativas inferiores.</w:t>
      </w:r>
    </w:p>
    <w:p w14:paraId="4F67AF4B" w14:textId="77777777" w:rsidR="00591D54" w:rsidRDefault="00591D54">
      <w:pPr>
        <w:shd w:val="clear" w:color="auto" w:fill="FFFFFF"/>
        <w:spacing w:before="192" w:line="216" w:lineRule="exact"/>
        <w:ind w:right="5"/>
        <w:jc w:val="both"/>
      </w:pPr>
      <w:r>
        <w:rPr>
          <w:spacing w:val="-5"/>
          <w:sz w:val="18"/>
          <w:szCs w:val="18"/>
          <w:lang w:val="es-ES_tradnl"/>
        </w:rPr>
        <w:t xml:space="preserve">En el caso </w:t>
      </w:r>
      <w:r>
        <w:rPr>
          <w:i/>
          <w:iCs/>
          <w:spacing w:val="-5"/>
          <w:sz w:val="18"/>
          <w:szCs w:val="18"/>
          <w:lang w:val="es-ES_tradnl"/>
        </w:rPr>
        <w:t>sub j</w:t>
      </w:r>
      <w:r>
        <w:rPr>
          <w:rFonts w:cs="Times New Roman"/>
          <w:i/>
          <w:iCs/>
          <w:spacing w:val="-5"/>
          <w:sz w:val="18"/>
          <w:szCs w:val="18"/>
          <w:lang w:val="es-ES_tradnl"/>
        </w:rPr>
        <w:t>ú</w:t>
      </w:r>
      <w:r>
        <w:rPr>
          <w:i/>
          <w:iCs/>
          <w:spacing w:val="-5"/>
          <w:sz w:val="18"/>
          <w:szCs w:val="18"/>
          <w:lang w:val="es-ES_tradnl"/>
        </w:rPr>
        <w:t>dice</w:t>
      </w:r>
      <w:r>
        <w:rPr>
          <w:spacing w:val="-5"/>
          <w:sz w:val="18"/>
          <w:szCs w:val="18"/>
          <w:lang w:val="es-ES_tradnl"/>
        </w:rPr>
        <w:t xml:space="preserve">, el accionante ha manifestado que </w:t>
      </w:r>
      <w:r>
        <w:rPr>
          <w:spacing w:val="-3"/>
          <w:sz w:val="18"/>
          <w:szCs w:val="18"/>
          <w:lang w:val="es-ES_tradnl"/>
        </w:rPr>
        <w:t>los jueces de la Sala Especializada de la Familia, Ni</w:t>
      </w:r>
      <w:r>
        <w:rPr>
          <w:rFonts w:cs="Times New Roman"/>
          <w:spacing w:val="-3"/>
          <w:sz w:val="18"/>
          <w:szCs w:val="18"/>
          <w:lang w:val="es-ES_tradnl"/>
        </w:rPr>
        <w:t>ñ</w:t>
      </w:r>
      <w:r>
        <w:rPr>
          <w:spacing w:val="-3"/>
          <w:sz w:val="18"/>
          <w:szCs w:val="18"/>
          <w:lang w:val="es-ES_tradnl"/>
        </w:rPr>
        <w:t xml:space="preserve">ez </w:t>
      </w:r>
      <w:r>
        <w:rPr>
          <w:spacing w:val="-6"/>
          <w:sz w:val="18"/>
          <w:szCs w:val="18"/>
          <w:lang w:val="es-ES_tradnl"/>
        </w:rPr>
        <w:t>y Adolescencia, al inadmitir su petici</w:t>
      </w:r>
      <w:r>
        <w:rPr>
          <w:rFonts w:cs="Times New Roman"/>
          <w:spacing w:val="-6"/>
          <w:sz w:val="18"/>
          <w:szCs w:val="18"/>
          <w:lang w:val="es-ES_tradnl"/>
        </w:rPr>
        <w:t>ó</w:t>
      </w:r>
      <w:r>
        <w:rPr>
          <w:spacing w:val="-6"/>
          <w:sz w:val="18"/>
          <w:szCs w:val="18"/>
          <w:lang w:val="es-ES_tradnl"/>
        </w:rPr>
        <w:t xml:space="preserve">n, lo han dejado en </w:t>
      </w:r>
      <w:r>
        <w:rPr>
          <w:spacing w:val="-8"/>
          <w:sz w:val="18"/>
          <w:szCs w:val="18"/>
          <w:lang w:val="es-ES_tradnl"/>
        </w:rPr>
        <w:t>total indefensi</w:t>
      </w:r>
      <w:r>
        <w:rPr>
          <w:rFonts w:cs="Times New Roman"/>
          <w:spacing w:val="-8"/>
          <w:sz w:val="18"/>
          <w:szCs w:val="18"/>
          <w:lang w:val="es-ES_tradnl"/>
        </w:rPr>
        <w:t>ó</w:t>
      </w:r>
      <w:r>
        <w:rPr>
          <w:spacing w:val="-8"/>
          <w:sz w:val="18"/>
          <w:szCs w:val="18"/>
          <w:lang w:val="es-ES_tradnl"/>
        </w:rPr>
        <w:t xml:space="preserve">n, ya que se le ha negado el acceso gratuito </w:t>
      </w:r>
      <w:r>
        <w:rPr>
          <w:sz w:val="18"/>
          <w:szCs w:val="18"/>
          <w:lang w:val="es-ES_tradnl"/>
        </w:rPr>
        <w:t>a la justicia y tutela judicial efectiva:</w:t>
      </w:r>
    </w:p>
    <w:p w14:paraId="4F67AF4C" w14:textId="77777777" w:rsidR="00591D54" w:rsidRDefault="00591D54">
      <w:pPr>
        <w:shd w:val="clear" w:color="auto" w:fill="FFFFFF"/>
        <w:spacing w:before="202" w:line="216" w:lineRule="exact"/>
        <w:ind w:left="283" w:right="5"/>
        <w:jc w:val="both"/>
      </w:pPr>
      <w:r>
        <w:rPr>
          <w:rFonts w:cs="Times New Roman"/>
          <w:spacing w:val="-8"/>
          <w:sz w:val="16"/>
          <w:szCs w:val="16"/>
          <w:lang w:val="es-ES_tradnl"/>
        </w:rPr>
        <w:t>…</w:t>
      </w:r>
      <w:r>
        <w:rPr>
          <w:spacing w:val="-8"/>
          <w:sz w:val="16"/>
          <w:szCs w:val="16"/>
          <w:lang w:val="es-ES_tradnl"/>
        </w:rPr>
        <w:t>he presentado peticiones de h</w:t>
      </w:r>
      <w:r>
        <w:rPr>
          <w:rFonts w:cs="Times New Roman"/>
          <w:spacing w:val="-8"/>
          <w:sz w:val="16"/>
          <w:szCs w:val="16"/>
          <w:lang w:val="es-ES_tradnl"/>
        </w:rPr>
        <w:t>á</w:t>
      </w:r>
      <w:r>
        <w:rPr>
          <w:spacing w:val="-8"/>
          <w:sz w:val="16"/>
          <w:szCs w:val="16"/>
          <w:lang w:val="es-ES_tradnl"/>
        </w:rPr>
        <w:t xml:space="preserve">beas corpus debidamente </w:t>
      </w:r>
      <w:r>
        <w:rPr>
          <w:spacing w:val="-1"/>
          <w:sz w:val="16"/>
          <w:szCs w:val="16"/>
          <w:lang w:val="es-ES_tradnl"/>
        </w:rPr>
        <w:t>fundamentada, amparado en la disposici</w:t>
      </w:r>
      <w:r>
        <w:rPr>
          <w:rFonts w:cs="Times New Roman"/>
          <w:spacing w:val="-1"/>
          <w:sz w:val="16"/>
          <w:szCs w:val="16"/>
          <w:lang w:val="es-ES_tradnl"/>
        </w:rPr>
        <w:t>ó</w:t>
      </w:r>
      <w:r>
        <w:rPr>
          <w:spacing w:val="-1"/>
          <w:sz w:val="16"/>
          <w:szCs w:val="16"/>
          <w:lang w:val="es-ES_tradnl"/>
        </w:rPr>
        <w:t xml:space="preserve">n del Art. 44 </w:t>
      </w:r>
      <w:r>
        <w:rPr>
          <w:spacing w:val="-5"/>
          <w:sz w:val="16"/>
          <w:szCs w:val="16"/>
          <w:lang w:val="es-ES_tradnl"/>
        </w:rPr>
        <w:t>numero 1 de la Ley de Garant</w:t>
      </w:r>
      <w:r>
        <w:rPr>
          <w:rFonts w:cs="Times New Roman"/>
          <w:spacing w:val="-5"/>
          <w:sz w:val="16"/>
          <w:szCs w:val="16"/>
          <w:lang w:val="es-ES_tradnl"/>
        </w:rPr>
        <w:t>í</w:t>
      </w:r>
      <w:r>
        <w:rPr>
          <w:spacing w:val="-5"/>
          <w:sz w:val="16"/>
          <w:szCs w:val="16"/>
          <w:lang w:val="es-ES_tradnl"/>
        </w:rPr>
        <w:t xml:space="preserve">as Jurisdiccionales y Control </w:t>
      </w:r>
      <w:r>
        <w:rPr>
          <w:spacing w:val="-8"/>
          <w:sz w:val="16"/>
          <w:szCs w:val="16"/>
          <w:lang w:val="es-ES_tradnl"/>
        </w:rPr>
        <w:t>Constitucional, tanto ante los se</w:t>
      </w:r>
      <w:r>
        <w:rPr>
          <w:rFonts w:cs="Times New Roman"/>
          <w:spacing w:val="-8"/>
          <w:sz w:val="16"/>
          <w:szCs w:val="16"/>
          <w:lang w:val="es-ES_tradnl"/>
        </w:rPr>
        <w:t>ñ</w:t>
      </w:r>
      <w:r>
        <w:rPr>
          <w:spacing w:val="-8"/>
          <w:sz w:val="16"/>
          <w:szCs w:val="16"/>
          <w:lang w:val="es-ES_tradnl"/>
        </w:rPr>
        <w:t>ores Jueces de Garant</w:t>
      </w:r>
      <w:r>
        <w:rPr>
          <w:rFonts w:cs="Times New Roman"/>
          <w:spacing w:val="-8"/>
          <w:sz w:val="16"/>
          <w:szCs w:val="16"/>
          <w:lang w:val="es-ES_tradnl"/>
        </w:rPr>
        <w:t>í</w:t>
      </w:r>
      <w:r>
        <w:rPr>
          <w:spacing w:val="-8"/>
          <w:sz w:val="16"/>
          <w:szCs w:val="16"/>
          <w:lang w:val="es-ES_tradnl"/>
        </w:rPr>
        <w:t xml:space="preserve">as </w:t>
      </w:r>
      <w:r>
        <w:rPr>
          <w:spacing w:val="-4"/>
          <w:sz w:val="16"/>
          <w:szCs w:val="16"/>
          <w:lang w:val="es-ES_tradnl"/>
        </w:rPr>
        <w:t xml:space="preserve">Constitucionales de la Corte Nacional como de la Corte </w:t>
      </w:r>
      <w:r>
        <w:rPr>
          <w:spacing w:val="-7"/>
          <w:sz w:val="16"/>
          <w:szCs w:val="16"/>
          <w:lang w:val="es-ES_tradnl"/>
        </w:rPr>
        <w:t>Provincial habi</w:t>
      </w:r>
      <w:r>
        <w:rPr>
          <w:rFonts w:cs="Times New Roman"/>
          <w:spacing w:val="-7"/>
          <w:sz w:val="16"/>
          <w:szCs w:val="16"/>
          <w:lang w:val="es-ES_tradnl"/>
        </w:rPr>
        <w:t>é</w:t>
      </w:r>
      <w:r>
        <w:rPr>
          <w:spacing w:val="-7"/>
          <w:sz w:val="16"/>
          <w:szCs w:val="16"/>
          <w:lang w:val="es-ES_tradnl"/>
        </w:rPr>
        <w:t>ndose en el primer caso, inadmitido la petici</w:t>
      </w:r>
      <w:r>
        <w:rPr>
          <w:rFonts w:cs="Times New Roman"/>
          <w:spacing w:val="-7"/>
          <w:sz w:val="16"/>
          <w:szCs w:val="16"/>
          <w:lang w:val="es-ES_tradnl"/>
        </w:rPr>
        <w:t>ó</w:t>
      </w:r>
      <w:r>
        <w:rPr>
          <w:spacing w:val="-7"/>
          <w:sz w:val="16"/>
          <w:szCs w:val="16"/>
          <w:lang w:val="es-ES_tradnl"/>
        </w:rPr>
        <w:t xml:space="preserve">n </w:t>
      </w:r>
      <w:r>
        <w:rPr>
          <w:spacing w:val="-9"/>
          <w:sz w:val="16"/>
          <w:szCs w:val="16"/>
          <w:lang w:val="es-ES_tradnl"/>
        </w:rPr>
        <w:t>raz</w:t>
      </w:r>
      <w:r>
        <w:rPr>
          <w:rFonts w:cs="Times New Roman"/>
          <w:spacing w:val="-9"/>
          <w:sz w:val="16"/>
          <w:szCs w:val="16"/>
          <w:lang w:val="es-ES_tradnl"/>
        </w:rPr>
        <w:t>ó</w:t>
      </w:r>
      <w:r>
        <w:rPr>
          <w:spacing w:val="-9"/>
          <w:sz w:val="16"/>
          <w:szCs w:val="16"/>
          <w:lang w:val="es-ES_tradnl"/>
        </w:rPr>
        <w:t>n por la que presento esta acci</w:t>
      </w:r>
      <w:r>
        <w:rPr>
          <w:rFonts w:cs="Times New Roman"/>
          <w:spacing w:val="-9"/>
          <w:sz w:val="16"/>
          <w:szCs w:val="16"/>
          <w:lang w:val="es-ES_tradnl"/>
        </w:rPr>
        <w:t>ó</w:t>
      </w:r>
      <w:r>
        <w:rPr>
          <w:spacing w:val="-9"/>
          <w:sz w:val="16"/>
          <w:szCs w:val="16"/>
          <w:lang w:val="es-ES_tradnl"/>
        </w:rPr>
        <w:t xml:space="preserve">n, y en el segundo, dispone </w:t>
      </w:r>
      <w:r>
        <w:rPr>
          <w:spacing w:val="-6"/>
          <w:sz w:val="16"/>
          <w:szCs w:val="16"/>
          <w:lang w:val="es-ES_tradnl"/>
        </w:rPr>
        <w:t>que se remita a la Corte Nacional (una vez m</w:t>
      </w:r>
      <w:r>
        <w:rPr>
          <w:rFonts w:cs="Times New Roman"/>
          <w:spacing w:val="-6"/>
          <w:sz w:val="16"/>
          <w:szCs w:val="16"/>
          <w:lang w:val="es-ES_tradnl"/>
        </w:rPr>
        <w:t>á</w:t>
      </w:r>
      <w:r>
        <w:rPr>
          <w:spacing w:val="-6"/>
          <w:sz w:val="16"/>
          <w:szCs w:val="16"/>
          <w:lang w:val="es-ES_tradnl"/>
        </w:rPr>
        <w:t xml:space="preserve">s) para que </w:t>
      </w:r>
      <w:r>
        <w:rPr>
          <w:spacing w:val="-2"/>
          <w:sz w:val="16"/>
          <w:szCs w:val="16"/>
          <w:lang w:val="es-ES_tradnl"/>
        </w:rPr>
        <w:t>conozca que mi petici</w:t>
      </w:r>
      <w:r>
        <w:rPr>
          <w:rFonts w:cs="Times New Roman"/>
          <w:spacing w:val="-2"/>
          <w:sz w:val="16"/>
          <w:szCs w:val="16"/>
          <w:lang w:val="es-ES_tradnl"/>
        </w:rPr>
        <w:t>ó</w:t>
      </w:r>
      <w:r>
        <w:rPr>
          <w:spacing w:val="-2"/>
          <w:sz w:val="16"/>
          <w:szCs w:val="16"/>
          <w:lang w:val="es-ES_tradnl"/>
        </w:rPr>
        <w:t xml:space="preserve">n lo cual indudablemente, me deja </w:t>
      </w:r>
      <w:r>
        <w:rPr>
          <w:spacing w:val="-6"/>
          <w:sz w:val="16"/>
          <w:szCs w:val="16"/>
          <w:lang w:val="es-ES_tradnl"/>
        </w:rPr>
        <w:t>en total indefensi</w:t>
      </w:r>
      <w:r>
        <w:rPr>
          <w:rFonts w:cs="Times New Roman"/>
          <w:spacing w:val="-6"/>
          <w:sz w:val="16"/>
          <w:szCs w:val="16"/>
          <w:lang w:val="es-ES_tradnl"/>
        </w:rPr>
        <w:t>ó</w:t>
      </w:r>
      <w:r>
        <w:rPr>
          <w:spacing w:val="-6"/>
          <w:sz w:val="16"/>
          <w:szCs w:val="16"/>
          <w:lang w:val="es-ES_tradnl"/>
        </w:rPr>
        <w:t>n, indefensi</w:t>
      </w:r>
      <w:r>
        <w:rPr>
          <w:rFonts w:cs="Times New Roman"/>
          <w:spacing w:val="-6"/>
          <w:sz w:val="16"/>
          <w:szCs w:val="16"/>
          <w:lang w:val="es-ES_tradnl"/>
        </w:rPr>
        <w:t>ó</w:t>
      </w:r>
      <w:r>
        <w:rPr>
          <w:spacing w:val="-6"/>
          <w:sz w:val="16"/>
          <w:szCs w:val="16"/>
          <w:lang w:val="es-ES_tradnl"/>
        </w:rPr>
        <w:t xml:space="preserve">n provocada desde el Estado </w:t>
      </w:r>
      <w:r>
        <w:rPr>
          <w:sz w:val="16"/>
          <w:szCs w:val="16"/>
          <w:lang w:val="es-ES_tradnl"/>
        </w:rPr>
        <w:t>neg</w:t>
      </w:r>
      <w:r>
        <w:rPr>
          <w:rFonts w:cs="Times New Roman"/>
          <w:sz w:val="16"/>
          <w:szCs w:val="16"/>
          <w:lang w:val="es-ES_tradnl"/>
        </w:rPr>
        <w:t>á</w:t>
      </w:r>
      <w:r>
        <w:rPr>
          <w:sz w:val="16"/>
          <w:szCs w:val="16"/>
          <w:lang w:val="es-ES_tradnl"/>
        </w:rPr>
        <w:t xml:space="preserve">ndome el derecho constitucional de acceso gratuito </w:t>
      </w:r>
      <w:r>
        <w:rPr>
          <w:spacing w:val="-4"/>
          <w:sz w:val="16"/>
          <w:szCs w:val="16"/>
          <w:lang w:val="es-ES_tradnl"/>
        </w:rPr>
        <w:t xml:space="preserve">a la justicia y la tutela efectiva, conforme el Art. 75 de la </w:t>
      </w:r>
      <w:r>
        <w:rPr>
          <w:sz w:val="16"/>
          <w:szCs w:val="16"/>
          <w:lang w:val="es-ES_tradnl"/>
        </w:rPr>
        <w:t>Constituci</w:t>
      </w:r>
      <w:r>
        <w:rPr>
          <w:rFonts w:cs="Times New Roman"/>
          <w:sz w:val="16"/>
          <w:szCs w:val="16"/>
          <w:lang w:val="es-ES_tradnl"/>
        </w:rPr>
        <w:t>ó</w:t>
      </w:r>
      <w:r>
        <w:rPr>
          <w:sz w:val="16"/>
          <w:szCs w:val="16"/>
          <w:lang w:val="es-ES_tradnl"/>
        </w:rPr>
        <w:t>n.</w:t>
      </w:r>
    </w:p>
    <w:p w14:paraId="4F67AF4D" w14:textId="77777777" w:rsidR="00591D54" w:rsidRDefault="00591D54">
      <w:pPr>
        <w:shd w:val="clear" w:color="auto" w:fill="FFFFFF"/>
        <w:spacing w:before="202" w:line="216" w:lineRule="exact"/>
        <w:ind w:right="5"/>
        <w:jc w:val="both"/>
      </w:pPr>
      <w:r>
        <w:rPr>
          <w:sz w:val="18"/>
          <w:szCs w:val="18"/>
          <w:lang w:val="es-ES_tradnl"/>
        </w:rPr>
        <w:t>Por lo que esta Corte, previo a realizar un an</w:t>
      </w:r>
      <w:r>
        <w:rPr>
          <w:rFonts w:cs="Times New Roman"/>
          <w:sz w:val="18"/>
          <w:szCs w:val="18"/>
          <w:lang w:val="es-ES_tradnl"/>
        </w:rPr>
        <w:t>á</w:t>
      </w:r>
      <w:r>
        <w:rPr>
          <w:sz w:val="18"/>
          <w:szCs w:val="18"/>
          <w:lang w:val="es-ES_tradnl"/>
        </w:rPr>
        <w:t xml:space="preserve">lisis de </w:t>
      </w:r>
      <w:r>
        <w:rPr>
          <w:spacing w:val="-5"/>
          <w:sz w:val="18"/>
          <w:szCs w:val="18"/>
          <w:lang w:val="es-ES_tradnl"/>
        </w:rPr>
        <w:t xml:space="preserve">lo ocurrido en el caso concreto, considera necesario </w:t>
      </w:r>
      <w:r>
        <w:rPr>
          <w:spacing w:val="-9"/>
          <w:sz w:val="18"/>
          <w:szCs w:val="18"/>
          <w:lang w:val="es-ES_tradnl"/>
        </w:rPr>
        <w:t>desarrollar algunas consideraciones respecto a la acci</w:t>
      </w:r>
      <w:r>
        <w:rPr>
          <w:rFonts w:cs="Times New Roman"/>
          <w:spacing w:val="-9"/>
          <w:sz w:val="18"/>
          <w:szCs w:val="18"/>
          <w:lang w:val="es-ES_tradnl"/>
        </w:rPr>
        <w:t>ó</w:t>
      </w:r>
      <w:r>
        <w:rPr>
          <w:spacing w:val="-9"/>
          <w:sz w:val="18"/>
          <w:szCs w:val="18"/>
          <w:lang w:val="es-ES_tradnl"/>
        </w:rPr>
        <w:t xml:space="preserve">n de </w:t>
      </w:r>
      <w:r>
        <w:rPr>
          <w:sz w:val="18"/>
          <w:szCs w:val="18"/>
          <w:lang w:val="es-ES_tradnl"/>
        </w:rPr>
        <w:t>habeas corpus.</w:t>
      </w:r>
    </w:p>
    <w:p w14:paraId="4F67AF4E" w14:textId="77777777" w:rsidR="00591D54" w:rsidRDefault="00591D54">
      <w:pPr>
        <w:shd w:val="clear" w:color="auto" w:fill="FFFFFF"/>
        <w:spacing w:before="197" w:line="216" w:lineRule="exact"/>
        <w:ind w:right="5"/>
        <w:jc w:val="both"/>
      </w:pPr>
      <w:r>
        <w:rPr>
          <w:spacing w:val="-8"/>
          <w:sz w:val="18"/>
          <w:szCs w:val="18"/>
          <w:lang w:val="es-ES_tradnl"/>
        </w:rPr>
        <w:t>La Constituci</w:t>
      </w:r>
      <w:r>
        <w:rPr>
          <w:rFonts w:cs="Times New Roman"/>
          <w:spacing w:val="-8"/>
          <w:sz w:val="18"/>
          <w:szCs w:val="18"/>
          <w:lang w:val="es-ES_tradnl"/>
        </w:rPr>
        <w:t>ó</w:t>
      </w:r>
      <w:r>
        <w:rPr>
          <w:spacing w:val="-8"/>
          <w:sz w:val="18"/>
          <w:szCs w:val="18"/>
          <w:lang w:val="es-ES_tradnl"/>
        </w:rPr>
        <w:t>n de la Rep</w:t>
      </w:r>
      <w:r>
        <w:rPr>
          <w:rFonts w:cs="Times New Roman"/>
          <w:spacing w:val="-8"/>
          <w:sz w:val="18"/>
          <w:szCs w:val="18"/>
          <w:lang w:val="es-ES_tradnl"/>
        </w:rPr>
        <w:t>ú</w:t>
      </w:r>
      <w:r>
        <w:rPr>
          <w:spacing w:val="-8"/>
          <w:sz w:val="18"/>
          <w:szCs w:val="18"/>
          <w:lang w:val="es-ES_tradnl"/>
        </w:rPr>
        <w:t>blica del Ecuador, en su art</w:t>
      </w:r>
      <w:r>
        <w:rPr>
          <w:rFonts w:cs="Times New Roman"/>
          <w:spacing w:val="-8"/>
          <w:sz w:val="18"/>
          <w:szCs w:val="18"/>
          <w:lang w:val="es-ES_tradnl"/>
        </w:rPr>
        <w:t>í</w:t>
      </w:r>
      <w:r>
        <w:rPr>
          <w:spacing w:val="-8"/>
          <w:sz w:val="18"/>
          <w:szCs w:val="18"/>
          <w:lang w:val="es-ES_tradnl"/>
        </w:rPr>
        <w:t xml:space="preserve">culo </w:t>
      </w:r>
      <w:r>
        <w:rPr>
          <w:spacing w:val="-9"/>
          <w:sz w:val="18"/>
          <w:szCs w:val="18"/>
          <w:lang w:val="es-ES_tradnl"/>
        </w:rPr>
        <w:t>89, se</w:t>
      </w:r>
      <w:r>
        <w:rPr>
          <w:rFonts w:cs="Times New Roman"/>
          <w:spacing w:val="-9"/>
          <w:sz w:val="18"/>
          <w:szCs w:val="18"/>
          <w:lang w:val="es-ES_tradnl"/>
        </w:rPr>
        <w:t>ñ</w:t>
      </w:r>
      <w:r>
        <w:rPr>
          <w:spacing w:val="-9"/>
          <w:sz w:val="18"/>
          <w:szCs w:val="18"/>
          <w:lang w:val="es-ES_tradnl"/>
        </w:rPr>
        <w:t>ala que la acci</w:t>
      </w:r>
      <w:r>
        <w:rPr>
          <w:rFonts w:cs="Times New Roman"/>
          <w:spacing w:val="-9"/>
          <w:sz w:val="18"/>
          <w:szCs w:val="18"/>
          <w:lang w:val="es-ES_tradnl"/>
        </w:rPr>
        <w:t>ó</w:t>
      </w:r>
      <w:r>
        <w:rPr>
          <w:spacing w:val="-9"/>
          <w:sz w:val="18"/>
          <w:szCs w:val="18"/>
          <w:lang w:val="es-ES_tradnl"/>
        </w:rPr>
        <w:t>n de h</w:t>
      </w:r>
      <w:r>
        <w:rPr>
          <w:rFonts w:cs="Times New Roman"/>
          <w:spacing w:val="-9"/>
          <w:sz w:val="18"/>
          <w:szCs w:val="18"/>
          <w:lang w:val="es-ES_tradnl"/>
        </w:rPr>
        <w:t>á</w:t>
      </w:r>
      <w:r>
        <w:rPr>
          <w:spacing w:val="-9"/>
          <w:sz w:val="18"/>
          <w:szCs w:val="18"/>
          <w:lang w:val="es-ES_tradnl"/>
        </w:rPr>
        <w:t xml:space="preserve">beas corpus tiene por objeto </w:t>
      </w:r>
      <w:r>
        <w:rPr>
          <w:spacing w:val="-7"/>
          <w:sz w:val="18"/>
          <w:szCs w:val="18"/>
          <w:lang w:val="es-ES_tradnl"/>
        </w:rPr>
        <w:t>recuperar la libertad de quien se encuentre privado de ella</w:t>
      </w:r>
    </w:p>
    <w:p w14:paraId="4F67AF4F" w14:textId="77777777" w:rsidR="00591D54" w:rsidRDefault="00591D54">
      <w:pPr>
        <w:shd w:val="clear" w:color="auto" w:fill="FFFFFF"/>
        <w:spacing w:before="528" w:line="178" w:lineRule="exact"/>
        <w:ind w:left="139" w:hanging="139"/>
      </w:pPr>
      <w:r>
        <w:rPr>
          <w:spacing w:val="-9"/>
          <w:sz w:val="16"/>
          <w:szCs w:val="16"/>
          <w:lang w:val="es-ES_tradnl"/>
        </w:rPr>
        <w:t xml:space="preserve">1 Corte Constitucional del Ecuador, sentencia N. </w:t>
      </w:r>
      <w:r>
        <w:rPr>
          <w:rFonts w:cs="Times New Roman"/>
          <w:spacing w:val="-9"/>
          <w:sz w:val="16"/>
          <w:szCs w:val="16"/>
          <w:lang w:val="es-ES_tradnl"/>
        </w:rPr>
        <w:t>º</w:t>
      </w:r>
      <w:r>
        <w:rPr>
          <w:spacing w:val="-9"/>
          <w:sz w:val="16"/>
          <w:szCs w:val="16"/>
          <w:lang w:val="es-ES_tradnl"/>
        </w:rPr>
        <w:t xml:space="preserve"> 036-13-SEP-CC, </w:t>
      </w:r>
      <w:r>
        <w:rPr>
          <w:sz w:val="16"/>
          <w:szCs w:val="16"/>
          <w:lang w:val="es-ES_tradnl"/>
        </w:rPr>
        <w:t xml:space="preserve">caso N. </w:t>
      </w:r>
      <w:r>
        <w:rPr>
          <w:rFonts w:cs="Times New Roman"/>
          <w:sz w:val="16"/>
          <w:szCs w:val="16"/>
          <w:lang w:val="es-ES_tradnl"/>
        </w:rPr>
        <w:t>º</w:t>
      </w:r>
      <w:r>
        <w:rPr>
          <w:sz w:val="16"/>
          <w:szCs w:val="16"/>
          <w:lang w:val="es-ES_tradnl"/>
        </w:rPr>
        <w:t xml:space="preserve"> 1646-10-EP.</w:t>
      </w:r>
    </w:p>
    <w:p w14:paraId="4F67AF50" w14:textId="77777777" w:rsidR="00591D54" w:rsidRDefault="00591D54">
      <w:pPr>
        <w:shd w:val="clear" w:color="auto" w:fill="FFFFFF"/>
        <w:spacing w:before="5" w:line="216" w:lineRule="exact"/>
        <w:jc w:val="both"/>
      </w:pPr>
      <w:r>
        <w:br w:type="column"/>
      </w:r>
      <w:r>
        <w:rPr>
          <w:spacing w:val="-6"/>
          <w:sz w:val="18"/>
          <w:szCs w:val="18"/>
          <w:lang w:val="es-ES_tradnl"/>
        </w:rPr>
        <w:t>de forma ilegal, arbitraria e ileg</w:t>
      </w:r>
      <w:r>
        <w:rPr>
          <w:rFonts w:cs="Times New Roman"/>
          <w:spacing w:val="-6"/>
          <w:sz w:val="18"/>
          <w:szCs w:val="18"/>
          <w:lang w:val="es-ES_tradnl"/>
        </w:rPr>
        <w:t>í</w:t>
      </w:r>
      <w:r>
        <w:rPr>
          <w:spacing w:val="-6"/>
          <w:sz w:val="18"/>
          <w:szCs w:val="18"/>
          <w:lang w:val="es-ES_tradnl"/>
        </w:rPr>
        <w:t xml:space="preserve">tima, ya sea por orden de </w:t>
      </w:r>
      <w:r>
        <w:rPr>
          <w:spacing w:val="-9"/>
          <w:sz w:val="18"/>
          <w:szCs w:val="18"/>
          <w:lang w:val="es-ES_tradnl"/>
        </w:rPr>
        <w:t>autoridad p</w:t>
      </w:r>
      <w:r>
        <w:rPr>
          <w:rFonts w:cs="Times New Roman"/>
          <w:spacing w:val="-9"/>
          <w:sz w:val="18"/>
          <w:szCs w:val="18"/>
          <w:lang w:val="es-ES_tradnl"/>
        </w:rPr>
        <w:t>ú</w:t>
      </w:r>
      <w:r>
        <w:rPr>
          <w:spacing w:val="-9"/>
          <w:sz w:val="18"/>
          <w:szCs w:val="18"/>
          <w:lang w:val="es-ES_tradnl"/>
        </w:rPr>
        <w:t>blica o de cualquier persona, as</w:t>
      </w:r>
      <w:r>
        <w:rPr>
          <w:rFonts w:cs="Times New Roman"/>
          <w:spacing w:val="-9"/>
          <w:sz w:val="18"/>
          <w:szCs w:val="18"/>
          <w:lang w:val="es-ES_tradnl"/>
        </w:rPr>
        <w:t>í</w:t>
      </w:r>
      <w:r>
        <w:rPr>
          <w:spacing w:val="-9"/>
          <w:sz w:val="18"/>
          <w:szCs w:val="18"/>
          <w:lang w:val="es-ES_tradnl"/>
        </w:rPr>
        <w:t xml:space="preserve"> como proteger </w:t>
      </w:r>
      <w:r>
        <w:rPr>
          <w:spacing w:val="-6"/>
          <w:sz w:val="18"/>
          <w:szCs w:val="18"/>
          <w:lang w:val="es-ES_tradnl"/>
        </w:rPr>
        <w:t>la vida y la integridad f</w:t>
      </w:r>
      <w:r>
        <w:rPr>
          <w:rFonts w:cs="Times New Roman"/>
          <w:spacing w:val="-6"/>
          <w:sz w:val="18"/>
          <w:szCs w:val="18"/>
          <w:lang w:val="es-ES_tradnl"/>
        </w:rPr>
        <w:t>í</w:t>
      </w:r>
      <w:r>
        <w:rPr>
          <w:spacing w:val="-6"/>
          <w:sz w:val="18"/>
          <w:szCs w:val="18"/>
          <w:lang w:val="es-ES_tradnl"/>
        </w:rPr>
        <w:t xml:space="preserve">sica de las personas privadas de </w:t>
      </w:r>
      <w:r>
        <w:rPr>
          <w:spacing w:val="-2"/>
          <w:sz w:val="18"/>
          <w:szCs w:val="18"/>
          <w:lang w:val="es-ES_tradnl"/>
        </w:rPr>
        <w:t>libertad. Por su parte, el art</w:t>
      </w:r>
      <w:r>
        <w:rPr>
          <w:rFonts w:cs="Times New Roman"/>
          <w:spacing w:val="-2"/>
          <w:sz w:val="18"/>
          <w:szCs w:val="18"/>
          <w:lang w:val="es-ES_tradnl"/>
        </w:rPr>
        <w:t>í</w:t>
      </w:r>
      <w:r>
        <w:rPr>
          <w:spacing w:val="-2"/>
          <w:sz w:val="18"/>
          <w:szCs w:val="18"/>
          <w:lang w:val="es-ES_tradnl"/>
        </w:rPr>
        <w:t>culo 43 de la Ley Org</w:t>
      </w:r>
      <w:r>
        <w:rPr>
          <w:rFonts w:cs="Times New Roman"/>
          <w:spacing w:val="-2"/>
          <w:sz w:val="18"/>
          <w:szCs w:val="18"/>
          <w:lang w:val="es-ES_tradnl"/>
        </w:rPr>
        <w:t>á</w:t>
      </w:r>
      <w:r>
        <w:rPr>
          <w:spacing w:val="-2"/>
          <w:sz w:val="18"/>
          <w:szCs w:val="18"/>
          <w:lang w:val="es-ES_tradnl"/>
        </w:rPr>
        <w:t xml:space="preserve">nica </w:t>
      </w:r>
      <w:r>
        <w:rPr>
          <w:spacing w:val="-4"/>
          <w:sz w:val="18"/>
          <w:szCs w:val="18"/>
          <w:lang w:val="es-ES_tradnl"/>
        </w:rPr>
        <w:t>de Garant</w:t>
      </w:r>
      <w:r>
        <w:rPr>
          <w:rFonts w:cs="Times New Roman"/>
          <w:spacing w:val="-4"/>
          <w:sz w:val="18"/>
          <w:szCs w:val="18"/>
          <w:lang w:val="es-ES_tradnl"/>
        </w:rPr>
        <w:t>í</w:t>
      </w:r>
      <w:r>
        <w:rPr>
          <w:spacing w:val="-4"/>
          <w:sz w:val="18"/>
          <w:szCs w:val="18"/>
          <w:lang w:val="es-ES_tradnl"/>
        </w:rPr>
        <w:t xml:space="preserve">as Jurisdiccionales y Control Constitucional </w:t>
      </w:r>
      <w:r>
        <w:rPr>
          <w:spacing w:val="-6"/>
          <w:sz w:val="18"/>
          <w:szCs w:val="18"/>
          <w:lang w:val="es-ES_tradnl"/>
        </w:rPr>
        <w:t>manifiesta que el objeto de esta acci</w:t>
      </w:r>
      <w:r>
        <w:rPr>
          <w:rFonts w:cs="Times New Roman"/>
          <w:spacing w:val="-6"/>
          <w:sz w:val="18"/>
          <w:szCs w:val="18"/>
          <w:lang w:val="es-ES_tradnl"/>
        </w:rPr>
        <w:t>ó</w:t>
      </w:r>
      <w:r>
        <w:rPr>
          <w:spacing w:val="-6"/>
          <w:sz w:val="18"/>
          <w:szCs w:val="18"/>
          <w:lang w:val="es-ES_tradnl"/>
        </w:rPr>
        <w:t xml:space="preserve">n es proteger la </w:t>
      </w:r>
      <w:r>
        <w:rPr>
          <w:spacing w:val="-2"/>
          <w:sz w:val="18"/>
          <w:szCs w:val="18"/>
          <w:lang w:val="es-ES_tradnl"/>
        </w:rPr>
        <w:t>libertad, la vida, la integridad f</w:t>
      </w:r>
      <w:r>
        <w:rPr>
          <w:rFonts w:cs="Times New Roman"/>
          <w:spacing w:val="-2"/>
          <w:sz w:val="18"/>
          <w:szCs w:val="18"/>
          <w:lang w:val="es-ES_tradnl"/>
        </w:rPr>
        <w:t>í</w:t>
      </w:r>
      <w:r>
        <w:rPr>
          <w:spacing w:val="-2"/>
          <w:sz w:val="18"/>
          <w:szCs w:val="18"/>
          <w:lang w:val="es-ES_tradnl"/>
        </w:rPr>
        <w:t xml:space="preserve">sica y otros derechos </w:t>
      </w:r>
      <w:r>
        <w:rPr>
          <w:spacing w:val="-8"/>
          <w:sz w:val="18"/>
          <w:szCs w:val="18"/>
          <w:lang w:val="es-ES_tradnl"/>
        </w:rPr>
        <w:t xml:space="preserve">conexos de la persona privada o restringida de libertad, por </w:t>
      </w:r>
      <w:r>
        <w:rPr>
          <w:spacing w:val="-7"/>
          <w:sz w:val="18"/>
          <w:szCs w:val="18"/>
          <w:lang w:val="es-ES_tradnl"/>
        </w:rPr>
        <w:t>autoridad p</w:t>
      </w:r>
      <w:r>
        <w:rPr>
          <w:rFonts w:cs="Times New Roman"/>
          <w:spacing w:val="-7"/>
          <w:sz w:val="18"/>
          <w:szCs w:val="18"/>
          <w:lang w:val="es-ES_tradnl"/>
        </w:rPr>
        <w:t>ú</w:t>
      </w:r>
      <w:r>
        <w:rPr>
          <w:spacing w:val="-7"/>
          <w:sz w:val="18"/>
          <w:szCs w:val="18"/>
          <w:lang w:val="es-ES_tradnl"/>
        </w:rPr>
        <w:t>blica o por cualquier persona.</w:t>
      </w:r>
    </w:p>
    <w:p w14:paraId="4F67AF51" w14:textId="77777777" w:rsidR="00591D54" w:rsidRDefault="00591D54">
      <w:pPr>
        <w:shd w:val="clear" w:color="auto" w:fill="FFFFFF"/>
        <w:spacing w:before="197" w:line="216" w:lineRule="exact"/>
        <w:jc w:val="both"/>
      </w:pPr>
      <w:r>
        <w:rPr>
          <w:spacing w:val="-7"/>
          <w:sz w:val="18"/>
          <w:szCs w:val="18"/>
          <w:lang w:val="es-ES_tradnl"/>
        </w:rPr>
        <w:t>La Corte Interamericana, en la opini</w:t>
      </w:r>
      <w:r>
        <w:rPr>
          <w:rFonts w:cs="Times New Roman"/>
          <w:spacing w:val="-7"/>
          <w:sz w:val="18"/>
          <w:szCs w:val="18"/>
          <w:lang w:val="es-ES_tradnl"/>
        </w:rPr>
        <w:t>ó</w:t>
      </w:r>
      <w:r>
        <w:rPr>
          <w:spacing w:val="-7"/>
          <w:sz w:val="18"/>
          <w:szCs w:val="18"/>
          <w:lang w:val="es-ES_tradnl"/>
        </w:rPr>
        <w:t xml:space="preserve">n consultiva OC-8/87 </w:t>
      </w:r>
      <w:r>
        <w:rPr>
          <w:spacing w:val="-9"/>
          <w:sz w:val="18"/>
          <w:szCs w:val="18"/>
          <w:lang w:val="es-ES_tradnl"/>
        </w:rPr>
        <w:t>del 30 de enero de 1987, determin</w:t>
      </w:r>
      <w:r>
        <w:rPr>
          <w:rFonts w:cs="Times New Roman"/>
          <w:spacing w:val="-9"/>
          <w:sz w:val="18"/>
          <w:szCs w:val="18"/>
          <w:lang w:val="es-ES_tradnl"/>
        </w:rPr>
        <w:t>ó</w:t>
      </w:r>
      <w:r>
        <w:rPr>
          <w:spacing w:val="-9"/>
          <w:sz w:val="18"/>
          <w:szCs w:val="18"/>
          <w:lang w:val="es-ES_tradnl"/>
        </w:rPr>
        <w:t xml:space="preserve"> sobre el h</w:t>
      </w:r>
      <w:r>
        <w:rPr>
          <w:rFonts w:cs="Times New Roman"/>
          <w:spacing w:val="-9"/>
          <w:sz w:val="18"/>
          <w:szCs w:val="18"/>
          <w:lang w:val="es-ES_tradnl"/>
        </w:rPr>
        <w:t>á</w:t>
      </w:r>
      <w:r>
        <w:rPr>
          <w:spacing w:val="-9"/>
          <w:sz w:val="18"/>
          <w:szCs w:val="18"/>
          <w:lang w:val="es-ES_tradnl"/>
        </w:rPr>
        <w:t xml:space="preserve">beas corpus </w:t>
      </w:r>
      <w:r>
        <w:rPr>
          <w:sz w:val="18"/>
          <w:szCs w:val="18"/>
          <w:lang w:val="es-ES_tradnl"/>
        </w:rPr>
        <w:t>que:</w:t>
      </w:r>
    </w:p>
    <w:p w14:paraId="4F67AF52" w14:textId="77777777" w:rsidR="00591D54" w:rsidRDefault="00591D54">
      <w:pPr>
        <w:shd w:val="clear" w:color="auto" w:fill="FFFFFF"/>
        <w:spacing w:before="216"/>
        <w:ind w:left="283"/>
      </w:pPr>
      <w:r>
        <w:rPr>
          <w:spacing w:val="-6"/>
          <w:sz w:val="16"/>
          <w:szCs w:val="16"/>
          <w:lang w:val="es-ES_tradnl"/>
        </w:rPr>
        <w:t>El art</w:t>
      </w:r>
      <w:r>
        <w:rPr>
          <w:rFonts w:cs="Times New Roman"/>
          <w:spacing w:val="-6"/>
          <w:sz w:val="16"/>
          <w:szCs w:val="16"/>
          <w:lang w:val="es-ES_tradnl"/>
        </w:rPr>
        <w:t>í</w:t>
      </w:r>
      <w:r>
        <w:rPr>
          <w:spacing w:val="-6"/>
          <w:sz w:val="16"/>
          <w:szCs w:val="16"/>
          <w:lang w:val="es-ES_tradnl"/>
        </w:rPr>
        <w:t>culo 25.1 de la Convenci</w:t>
      </w:r>
      <w:r>
        <w:rPr>
          <w:rFonts w:cs="Times New Roman"/>
          <w:spacing w:val="-6"/>
          <w:sz w:val="16"/>
          <w:szCs w:val="16"/>
          <w:lang w:val="es-ES_tradnl"/>
        </w:rPr>
        <w:t>ó</w:t>
      </w:r>
      <w:r>
        <w:rPr>
          <w:spacing w:val="-6"/>
          <w:sz w:val="16"/>
          <w:szCs w:val="16"/>
          <w:lang w:val="es-ES_tradnl"/>
        </w:rPr>
        <w:t>n dispone:</w:t>
      </w:r>
    </w:p>
    <w:p w14:paraId="4F67AF53" w14:textId="77777777" w:rsidR="00591D54" w:rsidRDefault="00591D54">
      <w:pPr>
        <w:shd w:val="clear" w:color="auto" w:fill="FFFFFF"/>
        <w:spacing w:before="206" w:line="216" w:lineRule="exact"/>
        <w:ind w:left="283"/>
        <w:jc w:val="both"/>
      </w:pPr>
      <w:r>
        <w:rPr>
          <w:spacing w:val="-5"/>
          <w:sz w:val="16"/>
          <w:szCs w:val="16"/>
          <w:lang w:val="es-ES_tradnl"/>
        </w:rPr>
        <w:t>Toda persona tiene derecho a un recurso sencillo y r</w:t>
      </w:r>
      <w:r>
        <w:rPr>
          <w:rFonts w:cs="Times New Roman"/>
          <w:spacing w:val="-5"/>
          <w:sz w:val="16"/>
          <w:szCs w:val="16"/>
          <w:lang w:val="es-ES_tradnl"/>
        </w:rPr>
        <w:t>á</w:t>
      </w:r>
      <w:r>
        <w:rPr>
          <w:spacing w:val="-5"/>
          <w:sz w:val="16"/>
          <w:szCs w:val="16"/>
          <w:lang w:val="es-ES_tradnl"/>
        </w:rPr>
        <w:t xml:space="preserve">pido o </w:t>
      </w:r>
      <w:r>
        <w:rPr>
          <w:spacing w:val="-6"/>
          <w:sz w:val="16"/>
          <w:szCs w:val="16"/>
          <w:lang w:val="es-ES_tradnl"/>
        </w:rPr>
        <w:t xml:space="preserve">a cualquier otro recurso efectivo ante los jueces o tribunales </w:t>
      </w:r>
      <w:r>
        <w:rPr>
          <w:spacing w:val="-5"/>
          <w:sz w:val="16"/>
          <w:szCs w:val="16"/>
          <w:lang w:val="es-ES_tradnl"/>
        </w:rPr>
        <w:t>competentes, que la ampare contra actos que violen sus derechos fundamentales reconocidos por la Constituci</w:t>
      </w:r>
      <w:r>
        <w:rPr>
          <w:rFonts w:cs="Times New Roman"/>
          <w:spacing w:val="-5"/>
          <w:sz w:val="16"/>
          <w:szCs w:val="16"/>
          <w:lang w:val="es-ES_tradnl"/>
        </w:rPr>
        <w:t>ó</w:t>
      </w:r>
      <w:r>
        <w:rPr>
          <w:spacing w:val="-5"/>
          <w:sz w:val="16"/>
          <w:szCs w:val="16"/>
          <w:lang w:val="es-ES_tradnl"/>
        </w:rPr>
        <w:t xml:space="preserve">n, la </w:t>
      </w:r>
      <w:r>
        <w:rPr>
          <w:spacing w:val="-6"/>
          <w:sz w:val="16"/>
          <w:szCs w:val="16"/>
          <w:lang w:val="es-ES_tradnl"/>
        </w:rPr>
        <w:t>ley o la presente Convenci</w:t>
      </w:r>
      <w:r>
        <w:rPr>
          <w:rFonts w:cs="Times New Roman"/>
          <w:spacing w:val="-6"/>
          <w:sz w:val="16"/>
          <w:szCs w:val="16"/>
          <w:lang w:val="es-ES_tradnl"/>
        </w:rPr>
        <w:t>ó</w:t>
      </w:r>
      <w:r>
        <w:rPr>
          <w:spacing w:val="-6"/>
          <w:sz w:val="16"/>
          <w:szCs w:val="16"/>
          <w:lang w:val="es-ES_tradnl"/>
        </w:rPr>
        <w:t>n, aun cuando tal violaci</w:t>
      </w:r>
      <w:r>
        <w:rPr>
          <w:rFonts w:cs="Times New Roman"/>
          <w:spacing w:val="-6"/>
          <w:sz w:val="16"/>
          <w:szCs w:val="16"/>
          <w:lang w:val="es-ES_tradnl"/>
        </w:rPr>
        <w:t>ó</w:t>
      </w:r>
      <w:r>
        <w:rPr>
          <w:spacing w:val="-6"/>
          <w:sz w:val="16"/>
          <w:szCs w:val="16"/>
          <w:lang w:val="es-ES_tradnl"/>
        </w:rPr>
        <w:t xml:space="preserve">n sea </w:t>
      </w:r>
      <w:r>
        <w:rPr>
          <w:spacing w:val="-10"/>
          <w:sz w:val="16"/>
          <w:szCs w:val="16"/>
          <w:lang w:val="es-ES_tradnl"/>
        </w:rPr>
        <w:t>cometida por personas que act</w:t>
      </w:r>
      <w:r>
        <w:rPr>
          <w:rFonts w:cs="Times New Roman"/>
          <w:spacing w:val="-10"/>
          <w:sz w:val="16"/>
          <w:szCs w:val="16"/>
          <w:lang w:val="es-ES_tradnl"/>
        </w:rPr>
        <w:t>ú</w:t>
      </w:r>
      <w:r>
        <w:rPr>
          <w:spacing w:val="-10"/>
          <w:sz w:val="16"/>
          <w:szCs w:val="16"/>
          <w:lang w:val="es-ES_tradnl"/>
        </w:rPr>
        <w:t xml:space="preserve">en en ejercicio de sus funciones </w:t>
      </w:r>
      <w:r>
        <w:rPr>
          <w:sz w:val="16"/>
          <w:szCs w:val="16"/>
          <w:lang w:val="es-ES_tradnl"/>
        </w:rPr>
        <w:t>oficiales.</w:t>
      </w:r>
    </w:p>
    <w:p w14:paraId="4F67AF54" w14:textId="77777777" w:rsidR="00591D54" w:rsidRDefault="00591D54">
      <w:pPr>
        <w:shd w:val="clear" w:color="auto" w:fill="FFFFFF"/>
        <w:spacing w:before="211" w:line="216" w:lineRule="exact"/>
        <w:ind w:left="283"/>
        <w:jc w:val="both"/>
      </w:pPr>
      <w:r>
        <w:rPr>
          <w:spacing w:val="-6"/>
          <w:sz w:val="16"/>
          <w:szCs w:val="16"/>
          <w:lang w:val="es-ES_tradnl"/>
        </w:rPr>
        <w:t>E1 texto citado es una disposici</w:t>
      </w:r>
      <w:r>
        <w:rPr>
          <w:rFonts w:cs="Times New Roman"/>
          <w:spacing w:val="-6"/>
          <w:sz w:val="16"/>
          <w:szCs w:val="16"/>
          <w:lang w:val="es-ES_tradnl"/>
        </w:rPr>
        <w:t>ó</w:t>
      </w:r>
      <w:r>
        <w:rPr>
          <w:spacing w:val="-6"/>
          <w:sz w:val="16"/>
          <w:szCs w:val="16"/>
          <w:lang w:val="es-ES_tradnl"/>
        </w:rPr>
        <w:t>n de car</w:t>
      </w:r>
      <w:r>
        <w:rPr>
          <w:rFonts w:cs="Times New Roman"/>
          <w:spacing w:val="-6"/>
          <w:sz w:val="16"/>
          <w:szCs w:val="16"/>
          <w:lang w:val="es-ES_tradnl"/>
        </w:rPr>
        <w:t>á</w:t>
      </w:r>
      <w:r>
        <w:rPr>
          <w:spacing w:val="-6"/>
          <w:sz w:val="16"/>
          <w:szCs w:val="16"/>
          <w:lang w:val="es-ES_tradnl"/>
        </w:rPr>
        <w:t>cter general que recoge la instituci</w:t>
      </w:r>
      <w:r>
        <w:rPr>
          <w:rFonts w:cs="Times New Roman"/>
          <w:spacing w:val="-6"/>
          <w:sz w:val="16"/>
          <w:szCs w:val="16"/>
          <w:lang w:val="es-ES_tradnl"/>
        </w:rPr>
        <w:t>ó</w:t>
      </w:r>
      <w:r>
        <w:rPr>
          <w:spacing w:val="-6"/>
          <w:sz w:val="16"/>
          <w:szCs w:val="16"/>
          <w:lang w:val="es-ES_tradnl"/>
        </w:rPr>
        <w:t xml:space="preserve">n procesal del amparo, entendido como el procedimiento judicial sencillo y breve que tiene por objeto la </w:t>
      </w:r>
      <w:r>
        <w:rPr>
          <w:spacing w:val="-8"/>
          <w:sz w:val="16"/>
          <w:szCs w:val="16"/>
          <w:lang w:val="es-ES_tradnl"/>
        </w:rPr>
        <w:t>tutela de todos los derechos reconocidos por las constituciones y leyes de los Estados Partes y por la Convenci</w:t>
      </w:r>
      <w:r>
        <w:rPr>
          <w:rFonts w:cs="Times New Roman"/>
          <w:spacing w:val="-8"/>
          <w:sz w:val="16"/>
          <w:szCs w:val="16"/>
          <w:lang w:val="es-ES_tradnl"/>
        </w:rPr>
        <w:t>ó</w:t>
      </w:r>
      <w:r>
        <w:rPr>
          <w:spacing w:val="-8"/>
          <w:sz w:val="16"/>
          <w:szCs w:val="16"/>
          <w:lang w:val="es-ES_tradnl"/>
        </w:rPr>
        <w:t xml:space="preserve">n. Puesto que </w:t>
      </w:r>
      <w:r>
        <w:rPr>
          <w:spacing w:val="-9"/>
          <w:sz w:val="16"/>
          <w:szCs w:val="16"/>
          <w:lang w:val="es-ES_tradnl"/>
        </w:rPr>
        <w:t>todos los derechos son susceptibles de amparo, lo son tambi</w:t>
      </w:r>
      <w:r>
        <w:rPr>
          <w:rFonts w:cs="Times New Roman"/>
          <w:spacing w:val="-9"/>
          <w:sz w:val="16"/>
          <w:szCs w:val="16"/>
          <w:lang w:val="es-ES_tradnl"/>
        </w:rPr>
        <w:t>é</w:t>
      </w:r>
      <w:r>
        <w:rPr>
          <w:spacing w:val="-9"/>
          <w:sz w:val="16"/>
          <w:szCs w:val="16"/>
          <w:lang w:val="es-ES_tradnl"/>
        </w:rPr>
        <w:t xml:space="preserve">n </w:t>
      </w:r>
      <w:r>
        <w:rPr>
          <w:spacing w:val="-5"/>
          <w:sz w:val="16"/>
          <w:szCs w:val="16"/>
          <w:lang w:val="es-ES_tradnl"/>
        </w:rPr>
        <w:t>los que est</w:t>
      </w:r>
      <w:r>
        <w:rPr>
          <w:rFonts w:cs="Times New Roman"/>
          <w:spacing w:val="-5"/>
          <w:sz w:val="16"/>
          <w:szCs w:val="16"/>
          <w:lang w:val="es-ES_tradnl"/>
        </w:rPr>
        <w:t>á</w:t>
      </w:r>
      <w:r>
        <w:rPr>
          <w:spacing w:val="-5"/>
          <w:sz w:val="16"/>
          <w:szCs w:val="16"/>
          <w:lang w:val="es-ES_tradnl"/>
        </w:rPr>
        <w:t>n se</w:t>
      </w:r>
      <w:r>
        <w:rPr>
          <w:rFonts w:cs="Times New Roman"/>
          <w:spacing w:val="-5"/>
          <w:sz w:val="16"/>
          <w:szCs w:val="16"/>
          <w:lang w:val="es-ES_tradnl"/>
        </w:rPr>
        <w:t>ñ</w:t>
      </w:r>
      <w:r>
        <w:rPr>
          <w:spacing w:val="-5"/>
          <w:sz w:val="16"/>
          <w:szCs w:val="16"/>
          <w:lang w:val="es-ES_tradnl"/>
        </w:rPr>
        <w:t>alados de manera expresa por el art</w:t>
      </w:r>
      <w:r>
        <w:rPr>
          <w:rFonts w:cs="Times New Roman"/>
          <w:spacing w:val="-5"/>
          <w:sz w:val="16"/>
          <w:szCs w:val="16"/>
          <w:lang w:val="es-ES_tradnl"/>
        </w:rPr>
        <w:t>í</w:t>
      </w:r>
      <w:r>
        <w:rPr>
          <w:spacing w:val="-5"/>
          <w:sz w:val="16"/>
          <w:szCs w:val="16"/>
          <w:lang w:val="es-ES_tradnl"/>
        </w:rPr>
        <w:t xml:space="preserve">culo </w:t>
      </w:r>
      <w:r>
        <w:rPr>
          <w:spacing w:val="-7"/>
          <w:sz w:val="16"/>
          <w:szCs w:val="16"/>
          <w:lang w:val="es-ES_tradnl"/>
        </w:rPr>
        <w:t>27.2 como no susceptibles de suspensi</w:t>
      </w:r>
      <w:r>
        <w:rPr>
          <w:rFonts w:cs="Times New Roman"/>
          <w:spacing w:val="-7"/>
          <w:sz w:val="16"/>
          <w:szCs w:val="16"/>
          <w:lang w:val="es-ES_tradnl"/>
        </w:rPr>
        <w:t>ó</w:t>
      </w:r>
      <w:r>
        <w:rPr>
          <w:spacing w:val="-7"/>
          <w:sz w:val="16"/>
          <w:szCs w:val="16"/>
          <w:lang w:val="es-ES_tradnl"/>
        </w:rPr>
        <w:t xml:space="preserve">n en situaciones de </w:t>
      </w:r>
      <w:r>
        <w:rPr>
          <w:sz w:val="16"/>
          <w:szCs w:val="16"/>
          <w:lang w:val="es-ES_tradnl"/>
        </w:rPr>
        <w:t>emergencia.</w:t>
      </w:r>
    </w:p>
    <w:p w14:paraId="4F67AF55" w14:textId="77777777" w:rsidR="00591D54" w:rsidRDefault="00591D54">
      <w:pPr>
        <w:shd w:val="clear" w:color="auto" w:fill="FFFFFF"/>
        <w:tabs>
          <w:tab w:val="left" w:pos="590"/>
        </w:tabs>
        <w:spacing w:before="211" w:line="216" w:lineRule="exact"/>
        <w:ind w:left="283"/>
        <w:jc w:val="both"/>
      </w:pPr>
      <w:r>
        <w:rPr>
          <w:spacing w:val="-10"/>
          <w:sz w:val="16"/>
          <w:szCs w:val="16"/>
          <w:lang w:val="es-ES_tradnl"/>
        </w:rPr>
        <w:t>33.</w:t>
      </w:r>
      <w:r>
        <w:rPr>
          <w:sz w:val="18"/>
          <w:szCs w:val="18"/>
          <w:lang w:val="es-ES_tradnl"/>
        </w:rPr>
        <w:tab/>
      </w:r>
      <w:r>
        <w:rPr>
          <w:spacing w:val="-7"/>
          <w:sz w:val="16"/>
          <w:szCs w:val="16"/>
          <w:lang w:val="es-ES_tradnl"/>
        </w:rPr>
        <w:t>El</w:t>
      </w:r>
      <w:r>
        <w:rPr>
          <w:spacing w:val="-7"/>
          <w:sz w:val="18"/>
          <w:szCs w:val="18"/>
          <w:lang w:val="es-ES_tradnl"/>
        </w:rPr>
        <w:t xml:space="preserve"> </w:t>
      </w:r>
      <w:r>
        <w:rPr>
          <w:spacing w:val="-7"/>
          <w:sz w:val="16"/>
          <w:szCs w:val="16"/>
          <w:lang w:val="es-ES_tradnl"/>
        </w:rPr>
        <w:t>habeas</w:t>
      </w:r>
      <w:r>
        <w:rPr>
          <w:spacing w:val="-7"/>
          <w:sz w:val="18"/>
          <w:szCs w:val="18"/>
          <w:lang w:val="es-ES_tradnl"/>
        </w:rPr>
        <w:t xml:space="preserve"> </w:t>
      </w:r>
      <w:r>
        <w:rPr>
          <w:spacing w:val="-7"/>
          <w:sz w:val="16"/>
          <w:szCs w:val="16"/>
          <w:lang w:val="es-ES_tradnl"/>
        </w:rPr>
        <w:t>corpus</w:t>
      </w:r>
      <w:r>
        <w:rPr>
          <w:spacing w:val="-7"/>
          <w:sz w:val="18"/>
          <w:szCs w:val="18"/>
          <w:lang w:val="es-ES_tradnl"/>
        </w:rPr>
        <w:t xml:space="preserve"> </w:t>
      </w:r>
      <w:r>
        <w:rPr>
          <w:spacing w:val="-7"/>
          <w:sz w:val="16"/>
          <w:szCs w:val="16"/>
          <w:lang w:val="es-ES_tradnl"/>
        </w:rPr>
        <w:t>en</w:t>
      </w:r>
      <w:r>
        <w:rPr>
          <w:spacing w:val="-7"/>
          <w:sz w:val="18"/>
          <w:szCs w:val="18"/>
          <w:lang w:val="es-ES_tradnl"/>
        </w:rPr>
        <w:t xml:space="preserve"> </w:t>
      </w:r>
      <w:r>
        <w:rPr>
          <w:spacing w:val="-7"/>
          <w:sz w:val="16"/>
          <w:szCs w:val="16"/>
          <w:lang w:val="es-ES_tradnl"/>
        </w:rPr>
        <w:t>su</w:t>
      </w:r>
      <w:r>
        <w:rPr>
          <w:spacing w:val="-7"/>
          <w:sz w:val="18"/>
          <w:szCs w:val="18"/>
          <w:lang w:val="es-ES_tradnl"/>
        </w:rPr>
        <w:t xml:space="preserve"> </w:t>
      </w:r>
      <w:r>
        <w:rPr>
          <w:spacing w:val="-7"/>
          <w:sz w:val="16"/>
          <w:szCs w:val="16"/>
          <w:lang w:val="es-ES_tradnl"/>
        </w:rPr>
        <w:t>sentido</w:t>
      </w:r>
      <w:r>
        <w:rPr>
          <w:spacing w:val="-7"/>
          <w:sz w:val="18"/>
          <w:szCs w:val="18"/>
          <w:lang w:val="es-ES_tradnl"/>
        </w:rPr>
        <w:t xml:space="preserve"> </w:t>
      </w:r>
      <w:r>
        <w:rPr>
          <w:spacing w:val="-7"/>
          <w:sz w:val="16"/>
          <w:szCs w:val="16"/>
          <w:lang w:val="es-ES_tradnl"/>
        </w:rPr>
        <w:t>cl</w:t>
      </w:r>
      <w:r>
        <w:rPr>
          <w:rFonts w:cs="Times New Roman"/>
          <w:spacing w:val="-7"/>
          <w:sz w:val="16"/>
          <w:szCs w:val="16"/>
          <w:lang w:val="es-ES_tradnl"/>
        </w:rPr>
        <w:t>á</w:t>
      </w:r>
      <w:r>
        <w:rPr>
          <w:spacing w:val="-7"/>
          <w:sz w:val="16"/>
          <w:szCs w:val="16"/>
          <w:lang w:val="es-ES_tradnl"/>
        </w:rPr>
        <w:t>sico,</w:t>
      </w:r>
      <w:r>
        <w:rPr>
          <w:spacing w:val="-7"/>
          <w:sz w:val="18"/>
          <w:szCs w:val="18"/>
          <w:lang w:val="es-ES_tradnl"/>
        </w:rPr>
        <w:t xml:space="preserve"> </w:t>
      </w:r>
      <w:r>
        <w:rPr>
          <w:spacing w:val="-7"/>
          <w:sz w:val="16"/>
          <w:szCs w:val="16"/>
          <w:lang w:val="es-ES_tradnl"/>
        </w:rPr>
        <w:t>regulado</w:t>
      </w:r>
      <w:r>
        <w:rPr>
          <w:spacing w:val="-7"/>
          <w:sz w:val="18"/>
          <w:szCs w:val="18"/>
          <w:lang w:val="es-ES_tradnl"/>
        </w:rPr>
        <w:t xml:space="preserve"> </w:t>
      </w:r>
      <w:r>
        <w:rPr>
          <w:spacing w:val="-7"/>
          <w:sz w:val="16"/>
          <w:szCs w:val="16"/>
          <w:lang w:val="es-ES_tradnl"/>
        </w:rPr>
        <w:t>por</w:t>
      </w:r>
      <w:r>
        <w:rPr>
          <w:spacing w:val="-7"/>
          <w:sz w:val="18"/>
          <w:szCs w:val="18"/>
          <w:lang w:val="es-ES_tradnl"/>
        </w:rPr>
        <w:t xml:space="preserve"> </w:t>
      </w:r>
      <w:r>
        <w:rPr>
          <w:spacing w:val="-7"/>
          <w:sz w:val="16"/>
          <w:szCs w:val="16"/>
          <w:lang w:val="es-ES_tradnl"/>
        </w:rPr>
        <w:t>los </w:t>
      </w:r>
      <w:r>
        <w:rPr>
          <w:spacing w:val="-8"/>
          <w:sz w:val="16"/>
          <w:szCs w:val="16"/>
          <w:lang w:val="es-ES_tradnl"/>
        </w:rPr>
        <w:t>ordenamientos americanos, tutela de manera directa la libertad </w:t>
      </w:r>
      <w:r>
        <w:rPr>
          <w:spacing w:val="-7"/>
          <w:sz w:val="16"/>
          <w:szCs w:val="16"/>
          <w:lang w:val="es-ES_tradnl"/>
        </w:rPr>
        <w:t>personal o f</w:t>
      </w:r>
      <w:r>
        <w:rPr>
          <w:rFonts w:cs="Times New Roman"/>
          <w:spacing w:val="-7"/>
          <w:sz w:val="16"/>
          <w:szCs w:val="16"/>
          <w:lang w:val="es-ES_tradnl"/>
        </w:rPr>
        <w:t>í</w:t>
      </w:r>
      <w:r>
        <w:rPr>
          <w:spacing w:val="-7"/>
          <w:sz w:val="16"/>
          <w:szCs w:val="16"/>
          <w:lang w:val="es-ES_tradnl"/>
        </w:rPr>
        <w:t>sica contra detenciones arbitrarias, por medio del mandato judicial dirigido a las autoridades correspondientes a </w:t>
      </w:r>
      <w:r>
        <w:rPr>
          <w:spacing w:val="-8"/>
          <w:sz w:val="16"/>
          <w:szCs w:val="16"/>
          <w:lang w:val="es-ES_tradnl"/>
        </w:rPr>
        <w:t>fin de que se lleve al detenido a la presencia del juez para que </w:t>
      </w:r>
      <w:r>
        <w:rPr>
          <w:rFonts w:cs="Times New Roman"/>
          <w:spacing w:val="-8"/>
          <w:sz w:val="16"/>
          <w:szCs w:val="16"/>
          <w:lang w:val="es-ES_tradnl"/>
        </w:rPr>
        <w:t>é</w:t>
      </w:r>
      <w:r>
        <w:rPr>
          <w:spacing w:val="-8"/>
          <w:sz w:val="16"/>
          <w:szCs w:val="16"/>
          <w:lang w:val="es-ES_tradnl"/>
        </w:rPr>
        <w:t>ste pueda examinar la legalidad de la privaci</w:t>
      </w:r>
      <w:r>
        <w:rPr>
          <w:rFonts w:cs="Times New Roman"/>
          <w:spacing w:val="-8"/>
          <w:sz w:val="16"/>
          <w:szCs w:val="16"/>
          <w:lang w:val="es-ES_tradnl"/>
        </w:rPr>
        <w:t>ó</w:t>
      </w:r>
      <w:r>
        <w:rPr>
          <w:spacing w:val="-8"/>
          <w:sz w:val="16"/>
          <w:szCs w:val="16"/>
          <w:lang w:val="es-ES_tradnl"/>
        </w:rPr>
        <w:t>n y, en su caso, </w:t>
      </w:r>
      <w:r>
        <w:rPr>
          <w:spacing w:val="-5"/>
          <w:sz w:val="16"/>
          <w:szCs w:val="16"/>
          <w:lang w:val="es-ES_tradnl"/>
        </w:rPr>
        <w:t>decretar su libertad. En la Convenci</w:t>
      </w:r>
      <w:r>
        <w:rPr>
          <w:rFonts w:cs="Times New Roman"/>
          <w:spacing w:val="-5"/>
          <w:sz w:val="16"/>
          <w:szCs w:val="16"/>
          <w:lang w:val="es-ES_tradnl"/>
        </w:rPr>
        <w:t>ó</w:t>
      </w:r>
      <w:r>
        <w:rPr>
          <w:spacing w:val="-5"/>
          <w:sz w:val="16"/>
          <w:szCs w:val="16"/>
          <w:lang w:val="es-ES_tradnl"/>
        </w:rPr>
        <w:t>n este procedimiento </w:t>
      </w:r>
      <w:r>
        <w:rPr>
          <w:sz w:val="16"/>
          <w:szCs w:val="16"/>
          <w:lang w:val="es-ES_tradnl"/>
        </w:rPr>
        <w:t>aparece en el art</w:t>
      </w:r>
      <w:r>
        <w:rPr>
          <w:rFonts w:cs="Times New Roman"/>
          <w:sz w:val="16"/>
          <w:szCs w:val="16"/>
          <w:lang w:val="es-ES_tradnl"/>
        </w:rPr>
        <w:t>í</w:t>
      </w:r>
      <w:r>
        <w:rPr>
          <w:sz w:val="16"/>
          <w:szCs w:val="16"/>
          <w:lang w:val="es-ES_tradnl"/>
        </w:rPr>
        <w:t>culo 7.6 que dice:</w:t>
      </w:r>
    </w:p>
    <w:p w14:paraId="4F67AF56" w14:textId="77777777" w:rsidR="00591D54" w:rsidRDefault="00591D54">
      <w:pPr>
        <w:shd w:val="clear" w:color="auto" w:fill="FFFFFF"/>
        <w:spacing w:before="211" w:line="216" w:lineRule="exact"/>
        <w:ind w:left="283"/>
        <w:jc w:val="both"/>
      </w:pPr>
      <w:r>
        <w:rPr>
          <w:spacing w:val="-7"/>
          <w:sz w:val="16"/>
          <w:szCs w:val="16"/>
          <w:lang w:val="es-ES_tradnl"/>
        </w:rPr>
        <w:t xml:space="preserve">Toda persona privada de libertad tiene derecho a recurrir ante </w:t>
      </w:r>
      <w:r>
        <w:rPr>
          <w:spacing w:val="-5"/>
          <w:sz w:val="16"/>
          <w:szCs w:val="16"/>
          <w:lang w:val="es-ES_tradnl"/>
        </w:rPr>
        <w:t xml:space="preserve">un juez o tribunal competente, a fin de que </w:t>
      </w:r>
      <w:r>
        <w:rPr>
          <w:rFonts w:cs="Times New Roman"/>
          <w:spacing w:val="-5"/>
          <w:sz w:val="16"/>
          <w:szCs w:val="16"/>
          <w:lang w:val="es-ES_tradnl"/>
        </w:rPr>
        <w:t>é</w:t>
      </w:r>
      <w:r>
        <w:rPr>
          <w:spacing w:val="-5"/>
          <w:sz w:val="16"/>
          <w:szCs w:val="16"/>
          <w:lang w:val="es-ES_tradnl"/>
        </w:rPr>
        <w:t xml:space="preserve">ste decida, sin </w:t>
      </w:r>
      <w:r>
        <w:rPr>
          <w:spacing w:val="-7"/>
          <w:sz w:val="16"/>
          <w:szCs w:val="16"/>
          <w:lang w:val="es-ES_tradnl"/>
        </w:rPr>
        <w:t>demora, sobre la legalidad de su arresto o detenci</w:t>
      </w:r>
      <w:r>
        <w:rPr>
          <w:rFonts w:cs="Times New Roman"/>
          <w:spacing w:val="-7"/>
          <w:sz w:val="16"/>
          <w:szCs w:val="16"/>
          <w:lang w:val="es-ES_tradnl"/>
        </w:rPr>
        <w:t>ó</w:t>
      </w:r>
      <w:r>
        <w:rPr>
          <w:spacing w:val="-7"/>
          <w:sz w:val="16"/>
          <w:szCs w:val="16"/>
          <w:lang w:val="es-ES_tradnl"/>
        </w:rPr>
        <w:t xml:space="preserve">n y ordene </w:t>
      </w:r>
      <w:r>
        <w:rPr>
          <w:spacing w:val="-5"/>
          <w:sz w:val="16"/>
          <w:szCs w:val="16"/>
          <w:lang w:val="es-ES_tradnl"/>
        </w:rPr>
        <w:t>su libertad si el arresto o la detenci</w:t>
      </w:r>
      <w:r>
        <w:rPr>
          <w:rFonts w:cs="Times New Roman"/>
          <w:spacing w:val="-5"/>
          <w:sz w:val="16"/>
          <w:szCs w:val="16"/>
          <w:lang w:val="es-ES_tradnl"/>
        </w:rPr>
        <w:t>ó</w:t>
      </w:r>
      <w:r>
        <w:rPr>
          <w:spacing w:val="-5"/>
          <w:sz w:val="16"/>
          <w:szCs w:val="16"/>
          <w:lang w:val="es-ES_tradnl"/>
        </w:rPr>
        <w:t xml:space="preserve">n fueran ilegales. En los </w:t>
      </w:r>
      <w:r>
        <w:rPr>
          <w:spacing w:val="-8"/>
          <w:sz w:val="16"/>
          <w:szCs w:val="16"/>
          <w:lang w:val="es-ES_tradnl"/>
        </w:rPr>
        <w:t>Estados Partes cuyas leyes prev</w:t>
      </w:r>
      <w:r>
        <w:rPr>
          <w:rFonts w:cs="Times New Roman"/>
          <w:spacing w:val="-8"/>
          <w:sz w:val="16"/>
          <w:szCs w:val="16"/>
          <w:lang w:val="es-ES_tradnl"/>
        </w:rPr>
        <w:t>é</w:t>
      </w:r>
      <w:r>
        <w:rPr>
          <w:spacing w:val="-8"/>
          <w:sz w:val="16"/>
          <w:szCs w:val="16"/>
          <w:lang w:val="es-ES_tradnl"/>
        </w:rPr>
        <w:t xml:space="preserve">n que toda persona que se viera amenazada de ser privada de su libertad tiene derecho a </w:t>
      </w:r>
      <w:r>
        <w:rPr>
          <w:spacing w:val="-9"/>
          <w:sz w:val="16"/>
          <w:szCs w:val="16"/>
          <w:lang w:val="es-ES_tradnl"/>
        </w:rPr>
        <w:t xml:space="preserve">recurrir a un juez o tribunal competente a fin de que </w:t>
      </w:r>
      <w:r>
        <w:rPr>
          <w:rFonts w:cs="Times New Roman"/>
          <w:spacing w:val="-9"/>
          <w:sz w:val="16"/>
          <w:szCs w:val="16"/>
          <w:lang w:val="es-ES_tradnl"/>
        </w:rPr>
        <w:t>é</w:t>
      </w:r>
      <w:r>
        <w:rPr>
          <w:spacing w:val="-9"/>
          <w:sz w:val="16"/>
          <w:szCs w:val="16"/>
          <w:lang w:val="es-ES_tradnl"/>
        </w:rPr>
        <w:t xml:space="preserve">ste decida </w:t>
      </w:r>
      <w:r>
        <w:rPr>
          <w:spacing w:val="-8"/>
          <w:sz w:val="16"/>
          <w:szCs w:val="16"/>
          <w:lang w:val="es-ES_tradnl"/>
        </w:rPr>
        <w:t xml:space="preserve">sobre la legalidad de tal amenaza, dicho recurso no puede ser </w:t>
      </w:r>
      <w:r>
        <w:rPr>
          <w:spacing w:val="-7"/>
          <w:sz w:val="16"/>
          <w:szCs w:val="16"/>
          <w:lang w:val="es-ES_tradnl"/>
        </w:rPr>
        <w:t>restringido ni abolido. Los recursos podr</w:t>
      </w:r>
      <w:r>
        <w:rPr>
          <w:rFonts w:cs="Times New Roman"/>
          <w:spacing w:val="-7"/>
          <w:sz w:val="16"/>
          <w:szCs w:val="16"/>
          <w:lang w:val="es-ES_tradnl"/>
        </w:rPr>
        <w:t>á</w:t>
      </w:r>
      <w:r>
        <w:rPr>
          <w:spacing w:val="-7"/>
          <w:sz w:val="16"/>
          <w:szCs w:val="16"/>
          <w:lang w:val="es-ES_tradnl"/>
        </w:rPr>
        <w:t>n interponerse por s</w:t>
      </w:r>
      <w:r>
        <w:rPr>
          <w:rFonts w:cs="Times New Roman"/>
          <w:spacing w:val="-7"/>
          <w:sz w:val="16"/>
          <w:szCs w:val="16"/>
          <w:lang w:val="es-ES_tradnl"/>
        </w:rPr>
        <w:t xml:space="preserve">í </w:t>
      </w:r>
      <w:r>
        <w:rPr>
          <w:sz w:val="16"/>
          <w:szCs w:val="16"/>
          <w:lang w:val="es-ES_tradnl"/>
        </w:rPr>
        <w:t>o por otra persona.</w:t>
      </w:r>
    </w:p>
    <w:p w14:paraId="4F67AF57" w14:textId="77777777" w:rsidR="00591D54" w:rsidRDefault="00591D54">
      <w:pPr>
        <w:shd w:val="clear" w:color="auto" w:fill="FFFFFF"/>
        <w:tabs>
          <w:tab w:val="left" w:pos="590"/>
        </w:tabs>
        <w:spacing w:before="211" w:line="216" w:lineRule="exact"/>
        <w:ind w:left="283"/>
        <w:jc w:val="both"/>
      </w:pPr>
      <w:r>
        <w:rPr>
          <w:spacing w:val="-10"/>
          <w:sz w:val="16"/>
          <w:szCs w:val="16"/>
          <w:lang w:val="es-ES_tradnl"/>
        </w:rPr>
        <w:t>34.</w:t>
      </w:r>
      <w:r>
        <w:rPr>
          <w:sz w:val="18"/>
          <w:szCs w:val="18"/>
          <w:lang w:val="es-ES_tradnl"/>
        </w:rPr>
        <w:tab/>
      </w:r>
      <w:r>
        <w:rPr>
          <w:spacing w:val="-6"/>
          <w:sz w:val="16"/>
          <w:szCs w:val="16"/>
          <w:lang w:val="es-ES_tradnl"/>
        </w:rPr>
        <w:t>Si</w:t>
      </w:r>
      <w:r>
        <w:rPr>
          <w:spacing w:val="-6"/>
          <w:sz w:val="18"/>
          <w:szCs w:val="18"/>
          <w:lang w:val="es-ES_tradnl"/>
        </w:rPr>
        <w:t xml:space="preserve"> </w:t>
      </w:r>
      <w:r>
        <w:rPr>
          <w:spacing w:val="-6"/>
          <w:sz w:val="16"/>
          <w:szCs w:val="16"/>
          <w:lang w:val="es-ES_tradnl"/>
        </w:rPr>
        <w:t>se</w:t>
      </w:r>
      <w:r>
        <w:rPr>
          <w:spacing w:val="-6"/>
          <w:sz w:val="18"/>
          <w:szCs w:val="18"/>
          <w:lang w:val="es-ES_tradnl"/>
        </w:rPr>
        <w:t xml:space="preserve"> </w:t>
      </w:r>
      <w:r>
        <w:rPr>
          <w:spacing w:val="-6"/>
          <w:sz w:val="16"/>
          <w:szCs w:val="16"/>
          <w:lang w:val="es-ES_tradnl"/>
        </w:rPr>
        <w:t>examinan</w:t>
      </w:r>
      <w:r>
        <w:rPr>
          <w:spacing w:val="-6"/>
          <w:sz w:val="18"/>
          <w:szCs w:val="18"/>
          <w:lang w:val="es-ES_tradnl"/>
        </w:rPr>
        <w:t xml:space="preserve"> </w:t>
      </w:r>
      <w:r>
        <w:rPr>
          <w:spacing w:val="-6"/>
          <w:sz w:val="16"/>
          <w:szCs w:val="16"/>
          <w:lang w:val="es-ES_tradnl"/>
        </w:rPr>
        <w:t>conjuntamente</w:t>
      </w:r>
      <w:r>
        <w:rPr>
          <w:spacing w:val="-6"/>
          <w:sz w:val="18"/>
          <w:szCs w:val="18"/>
          <w:lang w:val="es-ES_tradnl"/>
        </w:rPr>
        <w:t xml:space="preserve"> </w:t>
      </w:r>
      <w:r>
        <w:rPr>
          <w:spacing w:val="-6"/>
          <w:sz w:val="16"/>
          <w:szCs w:val="16"/>
          <w:lang w:val="es-ES_tradnl"/>
        </w:rPr>
        <w:t>los</w:t>
      </w:r>
      <w:r>
        <w:rPr>
          <w:spacing w:val="-6"/>
          <w:sz w:val="18"/>
          <w:szCs w:val="18"/>
          <w:lang w:val="es-ES_tradnl"/>
        </w:rPr>
        <w:t xml:space="preserve"> </w:t>
      </w:r>
      <w:r>
        <w:rPr>
          <w:spacing w:val="-6"/>
          <w:sz w:val="16"/>
          <w:szCs w:val="16"/>
          <w:lang w:val="es-ES_tradnl"/>
        </w:rPr>
        <w:t>dos</w:t>
      </w:r>
      <w:r>
        <w:rPr>
          <w:spacing w:val="-6"/>
          <w:sz w:val="18"/>
          <w:szCs w:val="18"/>
          <w:lang w:val="es-ES_tradnl"/>
        </w:rPr>
        <w:t xml:space="preserve"> </w:t>
      </w:r>
      <w:r>
        <w:rPr>
          <w:spacing w:val="-6"/>
          <w:sz w:val="16"/>
          <w:szCs w:val="16"/>
          <w:lang w:val="es-ES_tradnl"/>
        </w:rPr>
        <w:t>procedimientos, </w:t>
      </w:r>
      <w:r>
        <w:rPr>
          <w:spacing w:val="-10"/>
          <w:sz w:val="16"/>
          <w:szCs w:val="16"/>
          <w:lang w:val="es-ES_tradnl"/>
        </w:rPr>
        <w:t>puede afirmarse que el amparo es el g</w:t>
      </w:r>
      <w:r>
        <w:rPr>
          <w:rFonts w:cs="Times New Roman"/>
          <w:spacing w:val="-10"/>
          <w:sz w:val="16"/>
          <w:szCs w:val="16"/>
          <w:lang w:val="es-ES_tradnl"/>
        </w:rPr>
        <w:t>é</w:t>
      </w:r>
      <w:r>
        <w:rPr>
          <w:spacing w:val="-10"/>
          <w:sz w:val="16"/>
          <w:szCs w:val="16"/>
          <w:lang w:val="es-ES_tradnl"/>
        </w:rPr>
        <w:t>nero y el h</w:t>
      </w:r>
      <w:r>
        <w:rPr>
          <w:rFonts w:cs="Times New Roman"/>
          <w:spacing w:val="-10"/>
          <w:sz w:val="16"/>
          <w:szCs w:val="16"/>
          <w:lang w:val="es-ES_tradnl"/>
        </w:rPr>
        <w:t>á</w:t>
      </w:r>
      <w:r>
        <w:rPr>
          <w:spacing w:val="-10"/>
          <w:sz w:val="16"/>
          <w:szCs w:val="16"/>
          <w:lang w:val="es-ES_tradnl"/>
        </w:rPr>
        <w:t>beas corpus </w:t>
      </w:r>
      <w:r>
        <w:rPr>
          <w:spacing w:val="-6"/>
          <w:sz w:val="16"/>
          <w:szCs w:val="16"/>
          <w:lang w:val="es-ES_tradnl"/>
        </w:rPr>
        <w:t>uno de sus aspectos espec</w:t>
      </w:r>
      <w:r>
        <w:rPr>
          <w:rFonts w:cs="Times New Roman"/>
          <w:spacing w:val="-6"/>
          <w:sz w:val="16"/>
          <w:szCs w:val="16"/>
          <w:lang w:val="es-ES_tradnl"/>
        </w:rPr>
        <w:t>í</w:t>
      </w:r>
      <w:r>
        <w:rPr>
          <w:spacing w:val="-6"/>
          <w:sz w:val="16"/>
          <w:szCs w:val="16"/>
          <w:lang w:val="es-ES_tradnl"/>
        </w:rPr>
        <w:t>ficos. En efecto, de acuerdo con </w:t>
      </w:r>
      <w:r>
        <w:rPr>
          <w:spacing w:val="-7"/>
          <w:sz w:val="16"/>
          <w:szCs w:val="16"/>
          <w:lang w:val="es-ES_tradnl"/>
        </w:rPr>
        <w:t>los principios b</w:t>
      </w:r>
      <w:r>
        <w:rPr>
          <w:rFonts w:cs="Times New Roman"/>
          <w:spacing w:val="-7"/>
          <w:sz w:val="16"/>
          <w:szCs w:val="16"/>
          <w:lang w:val="es-ES_tradnl"/>
        </w:rPr>
        <w:t>á</w:t>
      </w:r>
      <w:r>
        <w:rPr>
          <w:spacing w:val="-7"/>
          <w:sz w:val="16"/>
          <w:szCs w:val="16"/>
          <w:lang w:val="es-ES_tradnl"/>
        </w:rPr>
        <w:t>sicos de ambas garant</w:t>
      </w:r>
      <w:r>
        <w:rPr>
          <w:rFonts w:cs="Times New Roman"/>
          <w:spacing w:val="-7"/>
          <w:sz w:val="16"/>
          <w:szCs w:val="16"/>
          <w:lang w:val="es-ES_tradnl"/>
        </w:rPr>
        <w:t>í</w:t>
      </w:r>
      <w:r>
        <w:rPr>
          <w:spacing w:val="-7"/>
          <w:sz w:val="16"/>
          <w:szCs w:val="16"/>
          <w:lang w:val="es-ES_tradnl"/>
        </w:rPr>
        <w:t>as recogidos por la </w:t>
      </w:r>
      <w:r>
        <w:rPr>
          <w:spacing w:val="-5"/>
          <w:sz w:val="16"/>
          <w:szCs w:val="16"/>
          <w:lang w:val="es-ES_tradnl"/>
        </w:rPr>
        <w:t>Convenci</w:t>
      </w:r>
      <w:r>
        <w:rPr>
          <w:rFonts w:cs="Times New Roman"/>
          <w:spacing w:val="-5"/>
          <w:sz w:val="16"/>
          <w:szCs w:val="16"/>
          <w:lang w:val="es-ES_tradnl"/>
        </w:rPr>
        <w:t>ó</w:t>
      </w:r>
      <w:r>
        <w:rPr>
          <w:spacing w:val="-5"/>
          <w:sz w:val="16"/>
          <w:szCs w:val="16"/>
          <w:lang w:val="es-ES_tradnl"/>
        </w:rPr>
        <w:t>n as</w:t>
      </w:r>
      <w:r>
        <w:rPr>
          <w:rFonts w:cs="Times New Roman"/>
          <w:spacing w:val="-5"/>
          <w:sz w:val="16"/>
          <w:szCs w:val="16"/>
          <w:lang w:val="es-ES_tradnl"/>
        </w:rPr>
        <w:t>í</w:t>
      </w:r>
      <w:r>
        <w:rPr>
          <w:spacing w:val="-5"/>
          <w:sz w:val="16"/>
          <w:szCs w:val="16"/>
          <w:lang w:val="es-ES_tradnl"/>
        </w:rPr>
        <w:t xml:space="preserve"> como con los diversos matices establecidos </w:t>
      </w:r>
      <w:r>
        <w:rPr>
          <w:spacing w:val="-6"/>
          <w:sz w:val="16"/>
          <w:szCs w:val="16"/>
          <w:lang w:val="es-ES_tradnl"/>
        </w:rPr>
        <w:t>en los ordenamientos de los Estados Partes, se observa que </w:t>
      </w:r>
      <w:r>
        <w:rPr>
          <w:spacing w:val="-8"/>
          <w:sz w:val="16"/>
          <w:szCs w:val="16"/>
          <w:lang w:val="es-ES_tradnl"/>
        </w:rPr>
        <w:t>en algunos supuestos el h</w:t>
      </w:r>
      <w:r>
        <w:rPr>
          <w:rFonts w:cs="Times New Roman"/>
          <w:spacing w:val="-8"/>
          <w:sz w:val="16"/>
          <w:szCs w:val="16"/>
          <w:lang w:val="es-ES_tradnl"/>
        </w:rPr>
        <w:t>á</w:t>
      </w:r>
      <w:r>
        <w:rPr>
          <w:spacing w:val="-8"/>
          <w:sz w:val="16"/>
          <w:szCs w:val="16"/>
          <w:lang w:val="es-ES_tradnl"/>
        </w:rPr>
        <w:t>beas corpus se regula de manera </w:t>
      </w:r>
      <w:r>
        <w:rPr>
          <w:spacing w:val="-4"/>
          <w:sz w:val="16"/>
          <w:szCs w:val="16"/>
          <w:lang w:val="es-ES_tradnl"/>
        </w:rPr>
        <w:t>aut</w:t>
      </w:r>
      <w:r>
        <w:rPr>
          <w:rFonts w:cs="Times New Roman"/>
          <w:spacing w:val="-4"/>
          <w:sz w:val="16"/>
          <w:szCs w:val="16"/>
          <w:lang w:val="es-ES_tradnl"/>
        </w:rPr>
        <w:t>ó</w:t>
      </w:r>
      <w:r>
        <w:rPr>
          <w:spacing w:val="-4"/>
          <w:sz w:val="16"/>
          <w:szCs w:val="16"/>
          <w:lang w:val="es-ES_tradnl"/>
        </w:rPr>
        <w:t>noma con la finalidad de proteger esencialmente la </w:t>
      </w:r>
      <w:r>
        <w:rPr>
          <w:spacing w:val="-3"/>
          <w:sz w:val="16"/>
          <w:szCs w:val="16"/>
          <w:lang w:val="es-ES_tradnl"/>
        </w:rPr>
        <w:t>libertad  personal de los detenidos  o  de aqu</w:t>
      </w:r>
      <w:r>
        <w:rPr>
          <w:rFonts w:cs="Times New Roman"/>
          <w:spacing w:val="-3"/>
          <w:sz w:val="16"/>
          <w:szCs w:val="16"/>
          <w:lang w:val="es-ES_tradnl"/>
        </w:rPr>
        <w:t>é</w:t>
      </w:r>
      <w:r>
        <w:rPr>
          <w:spacing w:val="-3"/>
          <w:sz w:val="16"/>
          <w:szCs w:val="16"/>
          <w:lang w:val="es-ES_tradnl"/>
        </w:rPr>
        <w:t>llos  que  se</w:t>
      </w:r>
    </w:p>
    <w:p w14:paraId="4F67AF58" w14:textId="77777777" w:rsidR="00591D54" w:rsidRDefault="00591D54">
      <w:pPr>
        <w:shd w:val="clear" w:color="auto" w:fill="FFFFFF"/>
        <w:tabs>
          <w:tab w:val="left" w:pos="590"/>
        </w:tabs>
        <w:spacing w:before="211" w:line="216" w:lineRule="exact"/>
        <w:ind w:left="283"/>
        <w:jc w:val="both"/>
        <w:sectPr w:rsidR="00591D54" w:rsidSect="00171846">
          <w:type w:val="continuous"/>
          <w:pgSz w:w="11909" w:h="16834"/>
          <w:pgMar w:top="1356" w:right="994" w:bottom="360" w:left="1308" w:header="720" w:footer="720" w:gutter="0"/>
          <w:cols w:num="2" w:space="720" w:equalWidth="0">
            <w:col w:w="4305" w:space="682"/>
            <w:col w:w="4620"/>
          </w:cols>
          <w:noEndnote/>
        </w:sectPr>
      </w:pPr>
    </w:p>
    <w:p w14:paraId="4F67AF59" w14:textId="77777777" w:rsidR="00591D54" w:rsidRDefault="00591D54">
      <w:pPr>
        <w:shd w:val="clear" w:color="auto" w:fill="FFFFFF"/>
        <w:tabs>
          <w:tab w:val="left" w:pos="584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- 145</w:t>
      </w:r>
    </w:p>
    <w:p w14:paraId="4F67AF5A" w14:textId="77777777" w:rsidR="00591D54" w:rsidRDefault="00591D54">
      <w:pPr>
        <w:shd w:val="clear" w:color="auto" w:fill="FFFFFF"/>
        <w:tabs>
          <w:tab w:val="left" w:pos="5842"/>
        </w:tabs>
        <w:spacing w:after="230"/>
        <w:ind w:left="5"/>
        <w:sectPr w:rsidR="00591D54">
          <w:pgSz w:w="11909" w:h="16834"/>
          <w:pgMar w:top="1356" w:right="1309" w:bottom="360" w:left="1308" w:header="720" w:footer="720" w:gutter="0"/>
          <w:cols w:space="60"/>
          <w:noEndnote/>
        </w:sectPr>
      </w:pPr>
    </w:p>
    <w:p w14:paraId="4F67AF5B" w14:textId="77777777" w:rsidR="00591D54" w:rsidRDefault="00591D54">
      <w:pPr>
        <w:shd w:val="clear" w:color="auto" w:fill="FFFFFF"/>
        <w:spacing w:line="216" w:lineRule="exact"/>
        <w:ind w:left="283"/>
        <w:jc w:val="both"/>
      </w:pPr>
      <w:r>
        <w:rPr>
          <w:sz w:val="14"/>
          <w:szCs w:val="14"/>
          <w:lang w:val="es-ES_tradnl"/>
        </w:rPr>
        <w:t xml:space="preserve">encuentran amenazados de ser privados de su libertad, pero en otras ocasiones el habeas corpus es denominado </w:t>
      </w:r>
      <w:r>
        <w:rPr>
          <w:rFonts w:cs="Times New Roman"/>
          <w:sz w:val="14"/>
          <w:szCs w:val="14"/>
          <w:lang w:val="es-ES_tradnl"/>
        </w:rPr>
        <w:t>“</w:t>
      </w:r>
      <w:r>
        <w:rPr>
          <w:sz w:val="14"/>
          <w:szCs w:val="14"/>
          <w:lang w:val="es-ES_tradnl"/>
        </w:rPr>
        <w:t>amparo de la libertad</w:t>
      </w:r>
      <w:r>
        <w:rPr>
          <w:rFonts w:cs="Times New Roman"/>
          <w:sz w:val="14"/>
          <w:szCs w:val="14"/>
          <w:lang w:val="es-ES_tradnl"/>
        </w:rPr>
        <w:t>”</w:t>
      </w:r>
      <w:r>
        <w:rPr>
          <w:sz w:val="14"/>
          <w:szCs w:val="14"/>
          <w:lang w:val="es-ES_tradnl"/>
        </w:rPr>
        <w:t xml:space="preserve"> o forma parte integrante del amparo.</w:t>
      </w:r>
    </w:p>
    <w:p w14:paraId="4F67AF5C" w14:textId="77777777" w:rsidR="00591D54" w:rsidRDefault="00591D54">
      <w:pPr>
        <w:shd w:val="clear" w:color="auto" w:fill="FFFFFF"/>
        <w:tabs>
          <w:tab w:val="left" w:pos="538"/>
        </w:tabs>
        <w:spacing w:before="211" w:line="216" w:lineRule="exact"/>
        <w:ind w:left="283" w:right="5"/>
        <w:jc w:val="both"/>
      </w:pPr>
      <w:r>
        <w:rPr>
          <w:sz w:val="14"/>
          <w:szCs w:val="14"/>
          <w:lang w:val="es-ES_tradnl"/>
        </w:rPr>
        <w:t>35.</w:t>
      </w:r>
      <w:r>
        <w:rPr>
          <w:lang w:val="es-ES_tradnl"/>
        </w:rPr>
        <w:tab/>
      </w:r>
      <w:r>
        <w:rPr>
          <w:spacing w:val="-1"/>
          <w:sz w:val="14"/>
          <w:szCs w:val="14"/>
          <w:lang w:val="es-ES_tradnl"/>
        </w:rPr>
        <w:t>El</w:t>
      </w:r>
      <w:r>
        <w:rPr>
          <w:spacing w:val="-1"/>
          <w:lang w:val="es-ES_tradnl"/>
        </w:rPr>
        <w:t xml:space="preserve"> </w:t>
      </w:r>
      <w:r>
        <w:rPr>
          <w:spacing w:val="-1"/>
          <w:sz w:val="14"/>
          <w:szCs w:val="14"/>
          <w:lang w:val="es-ES_tradnl"/>
        </w:rPr>
        <w:t>h</w:t>
      </w:r>
      <w:r>
        <w:rPr>
          <w:rFonts w:cs="Times New Roman"/>
          <w:spacing w:val="-1"/>
          <w:sz w:val="14"/>
          <w:szCs w:val="14"/>
          <w:lang w:val="es-ES_tradnl"/>
        </w:rPr>
        <w:t>á</w:t>
      </w:r>
      <w:r>
        <w:rPr>
          <w:spacing w:val="-1"/>
          <w:sz w:val="14"/>
          <w:szCs w:val="14"/>
          <w:lang w:val="es-ES_tradnl"/>
        </w:rPr>
        <w:t>beas</w:t>
      </w:r>
      <w:r>
        <w:rPr>
          <w:spacing w:val="-1"/>
          <w:lang w:val="es-ES_tradnl"/>
        </w:rPr>
        <w:t xml:space="preserve"> </w:t>
      </w:r>
      <w:r>
        <w:rPr>
          <w:spacing w:val="-1"/>
          <w:sz w:val="14"/>
          <w:szCs w:val="14"/>
          <w:lang w:val="es-ES_tradnl"/>
        </w:rPr>
        <w:t>corpus,</w:t>
      </w:r>
      <w:r>
        <w:rPr>
          <w:spacing w:val="-1"/>
          <w:lang w:val="es-ES_tradnl"/>
        </w:rPr>
        <w:t xml:space="preserve"> </w:t>
      </w:r>
      <w:r>
        <w:rPr>
          <w:spacing w:val="-1"/>
          <w:sz w:val="14"/>
          <w:szCs w:val="14"/>
          <w:lang w:val="es-ES_tradnl"/>
        </w:rPr>
        <w:t>para</w:t>
      </w:r>
      <w:r>
        <w:rPr>
          <w:spacing w:val="-1"/>
          <w:lang w:val="es-ES_tradnl"/>
        </w:rPr>
        <w:t xml:space="preserve"> </w:t>
      </w:r>
      <w:r>
        <w:rPr>
          <w:spacing w:val="-1"/>
          <w:sz w:val="14"/>
          <w:szCs w:val="14"/>
          <w:lang w:val="es-ES_tradnl"/>
        </w:rPr>
        <w:t>cumplir</w:t>
      </w:r>
      <w:r>
        <w:rPr>
          <w:spacing w:val="-1"/>
          <w:lang w:val="es-ES_tradnl"/>
        </w:rPr>
        <w:t xml:space="preserve"> </w:t>
      </w:r>
      <w:r>
        <w:rPr>
          <w:spacing w:val="-1"/>
          <w:sz w:val="14"/>
          <w:szCs w:val="14"/>
          <w:lang w:val="es-ES_tradnl"/>
        </w:rPr>
        <w:t>con</w:t>
      </w:r>
      <w:r>
        <w:rPr>
          <w:spacing w:val="-1"/>
          <w:lang w:val="es-ES_tradnl"/>
        </w:rPr>
        <w:t xml:space="preserve"> </w:t>
      </w:r>
      <w:r>
        <w:rPr>
          <w:spacing w:val="-1"/>
          <w:sz w:val="14"/>
          <w:szCs w:val="14"/>
          <w:lang w:val="es-ES_tradnl"/>
        </w:rPr>
        <w:t>su</w:t>
      </w:r>
      <w:r>
        <w:rPr>
          <w:spacing w:val="-1"/>
          <w:lang w:val="es-ES_tradnl"/>
        </w:rPr>
        <w:t xml:space="preserve"> </w:t>
      </w:r>
      <w:r>
        <w:rPr>
          <w:spacing w:val="-1"/>
          <w:sz w:val="14"/>
          <w:szCs w:val="14"/>
          <w:lang w:val="es-ES_tradnl"/>
        </w:rPr>
        <w:t>objeto</w:t>
      </w:r>
      <w:r>
        <w:rPr>
          <w:spacing w:val="-1"/>
          <w:lang w:val="es-ES_tradnl"/>
        </w:rPr>
        <w:t xml:space="preserve"> </w:t>
      </w:r>
      <w:r>
        <w:rPr>
          <w:spacing w:val="-1"/>
          <w:sz w:val="14"/>
          <w:szCs w:val="14"/>
          <w:lang w:val="es-ES_tradnl"/>
        </w:rPr>
        <w:t>de</w:t>
      </w:r>
      <w:r>
        <w:rPr>
          <w:spacing w:val="-1"/>
          <w:lang w:val="es-ES_tradnl"/>
        </w:rPr>
        <w:t xml:space="preserve"> </w:t>
      </w:r>
      <w:r>
        <w:rPr>
          <w:spacing w:val="-1"/>
          <w:sz w:val="14"/>
          <w:szCs w:val="14"/>
          <w:lang w:val="es-ES_tradnl"/>
        </w:rPr>
        <w:t>verificaci</w:t>
      </w:r>
      <w:r>
        <w:rPr>
          <w:rFonts w:cs="Times New Roman"/>
          <w:spacing w:val="-1"/>
          <w:sz w:val="14"/>
          <w:szCs w:val="14"/>
          <w:lang w:val="es-ES_tradnl"/>
        </w:rPr>
        <w:t>ó</w:t>
      </w:r>
      <w:r>
        <w:rPr>
          <w:spacing w:val="-1"/>
          <w:sz w:val="14"/>
          <w:szCs w:val="14"/>
          <w:lang w:val="es-ES_tradnl"/>
        </w:rPr>
        <w:t>n </w:t>
      </w:r>
      <w:r>
        <w:rPr>
          <w:sz w:val="14"/>
          <w:szCs w:val="14"/>
          <w:lang w:val="es-ES_tradnl"/>
        </w:rPr>
        <w:t>judicial de la legalidad de la privaci</w:t>
      </w:r>
      <w:r>
        <w:rPr>
          <w:rFonts w:cs="Times New Roman"/>
          <w:sz w:val="14"/>
          <w:szCs w:val="14"/>
          <w:lang w:val="es-ES_tradnl"/>
        </w:rPr>
        <w:t>ó</w:t>
      </w:r>
      <w:r>
        <w:rPr>
          <w:sz w:val="14"/>
          <w:szCs w:val="14"/>
          <w:lang w:val="es-ES_tradnl"/>
        </w:rPr>
        <w:t>n de libertad, exige la presentaci</w:t>
      </w:r>
      <w:r>
        <w:rPr>
          <w:rFonts w:cs="Times New Roman"/>
          <w:sz w:val="14"/>
          <w:szCs w:val="14"/>
          <w:lang w:val="es-ES_tradnl"/>
        </w:rPr>
        <w:t>ó</w:t>
      </w:r>
      <w:r>
        <w:rPr>
          <w:sz w:val="14"/>
          <w:szCs w:val="14"/>
          <w:lang w:val="es-ES_tradnl"/>
        </w:rPr>
        <w:t>n del detenido ante el juez o tribunal competente bajo cuya disposici</w:t>
      </w:r>
      <w:r>
        <w:rPr>
          <w:rFonts w:cs="Times New Roman"/>
          <w:sz w:val="14"/>
          <w:szCs w:val="14"/>
          <w:lang w:val="es-ES_tradnl"/>
        </w:rPr>
        <w:t>ó</w:t>
      </w:r>
      <w:r>
        <w:rPr>
          <w:sz w:val="14"/>
          <w:szCs w:val="14"/>
          <w:lang w:val="es-ES_tradnl"/>
        </w:rPr>
        <w:t>n queda la persona afectada. En este sentido es esencial la funci</w:t>
      </w:r>
      <w:r>
        <w:rPr>
          <w:rFonts w:cs="Times New Roman"/>
          <w:sz w:val="14"/>
          <w:szCs w:val="14"/>
          <w:lang w:val="es-ES_tradnl"/>
        </w:rPr>
        <w:t>ó</w:t>
      </w:r>
      <w:r>
        <w:rPr>
          <w:sz w:val="14"/>
          <w:szCs w:val="14"/>
          <w:lang w:val="es-ES_tradnl"/>
        </w:rPr>
        <w:t>n que cumple el h</w:t>
      </w:r>
      <w:r>
        <w:rPr>
          <w:rFonts w:cs="Times New Roman"/>
          <w:sz w:val="14"/>
          <w:szCs w:val="14"/>
          <w:lang w:val="es-ES_tradnl"/>
        </w:rPr>
        <w:t>á</w:t>
      </w:r>
      <w:r>
        <w:rPr>
          <w:sz w:val="14"/>
          <w:szCs w:val="14"/>
          <w:lang w:val="es-ES_tradnl"/>
        </w:rPr>
        <w:t>beas corpus como medio para controlar el respeto a la vida e integridad de la persona, para impedir su desaparici</w:t>
      </w:r>
      <w:r>
        <w:rPr>
          <w:rFonts w:cs="Times New Roman"/>
          <w:sz w:val="14"/>
          <w:szCs w:val="14"/>
          <w:lang w:val="es-ES_tradnl"/>
        </w:rPr>
        <w:t>ó</w:t>
      </w:r>
      <w:r>
        <w:rPr>
          <w:sz w:val="14"/>
          <w:szCs w:val="14"/>
          <w:lang w:val="es-ES_tradnl"/>
        </w:rPr>
        <w:t>n o la indeterminaci</w:t>
      </w:r>
      <w:r>
        <w:rPr>
          <w:rFonts w:cs="Times New Roman"/>
          <w:sz w:val="14"/>
          <w:szCs w:val="14"/>
          <w:lang w:val="es-ES_tradnl"/>
        </w:rPr>
        <w:t>ó</w:t>
      </w:r>
      <w:r>
        <w:rPr>
          <w:sz w:val="14"/>
          <w:szCs w:val="14"/>
          <w:lang w:val="es-ES_tradnl"/>
        </w:rPr>
        <w:t>n de su lugar de detenci</w:t>
      </w:r>
      <w:r>
        <w:rPr>
          <w:rFonts w:cs="Times New Roman"/>
          <w:sz w:val="14"/>
          <w:szCs w:val="14"/>
          <w:lang w:val="es-ES_tradnl"/>
        </w:rPr>
        <w:t>ó</w:t>
      </w:r>
      <w:r>
        <w:rPr>
          <w:sz w:val="14"/>
          <w:szCs w:val="14"/>
          <w:lang w:val="es-ES_tradnl"/>
        </w:rPr>
        <w:t>n, as</w:t>
      </w:r>
      <w:r>
        <w:rPr>
          <w:rFonts w:cs="Times New Roman"/>
          <w:sz w:val="14"/>
          <w:szCs w:val="14"/>
          <w:lang w:val="es-ES_tradnl"/>
        </w:rPr>
        <w:t>í</w:t>
      </w:r>
      <w:r>
        <w:rPr>
          <w:sz w:val="14"/>
          <w:szCs w:val="14"/>
          <w:lang w:val="es-ES_tradnl"/>
        </w:rPr>
        <w:t xml:space="preserve"> como para protegerla contra la </w:t>
      </w:r>
      <w:r>
        <w:rPr>
          <w:spacing w:val="-1"/>
          <w:sz w:val="14"/>
          <w:szCs w:val="14"/>
          <w:lang w:val="es-ES_tradnl"/>
        </w:rPr>
        <w:t>tortura u otros tratos o penas crueles, inhumanos o degradantes.</w:t>
      </w:r>
    </w:p>
    <w:p w14:paraId="4F67AF5D" w14:textId="77777777" w:rsidR="00591D54" w:rsidRDefault="00591D54">
      <w:pPr>
        <w:shd w:val="clear" w:color="auto" w:fill="FFFFFF"/>
        <w:tabs>
          <w:tab w:val="left" w:pos="590"/>
        </w:tabs>
        <w:spacing w:before="206" w:line="216" w:lineRule="exact"/>
        <w:ind w:left="283" w:right="5"/>
        <w:jc w:val="both"/>
      </w:pPr>
      <w:r>
        <w:rPr>
          <w:sz w:val="14"/>
          <w:szCs w:val="14"/>
          <w:lang w:val="es-ES_tradnl"/>
        </w:rPr>
        <w:t>36.</w:t>
      </w:r>
      <w:r>
        <w:rPr>
          <w:lang w:val="es-ES_tradnl"/>
        </w:rPr>
        <w:tab/>
      </w:r>
      <w:r>
        <w:rPr>
          <w:sz w:val="14"/>
          <w:szCs w:val="14"/>
          <w:lang w:val="es-ES_tradnl"/>
        </w:rPr>
        <w:t>Esta</w:t>
      </w:r>
      <w:r>
        <w:rPr>
          <w:lang w:val="es-ES_tradnl"/>
        </w:rPr>
        <w:t xml:space="preserve"> </w:t>
      </w:r>
      <w:r>
        <w:rPr>
          <w:sz w:val="14"/>
          <w:szCs w:val="14"/>
          <w:lang w:val="es-ES_tradnl"/>
        </w:rPr>
        <w:t>conclusi</w:t>
      </w:r>
      <w:r>
        <w:rPr>
          <w:rFonts w:cs="Times New Roman"/>
          <w:sz w:val="14"/>
          <w:szCs w:val="14"/>
          <w:lang w:val="es-ES_tradnl"/>
        </w:rPr>
        <w:t>ó</w:t>
      </w:r>
      <w:r>
        <w:rPr>
          <w:sz w:val="14"/>
          <w:szCs w:val="14"/>
          <w:lang w:val="es-ES_tradnl"/>
        </w:rPr>
        <w:t>n</w:t>
      </w:r>
      <w:r>
        <w:rPr>
          <w:lang w:val="es-ES_tradnl"/>
        </w:rPr>
        <w:t xml:space="preserve"> </w:t>
      </w:r>
      <w:r>
        <w:rPr>
          <w:sz w:val="14"/>
          <w:szCs w:val="14"/>
          <w:lang w:val="es-ES_tradnl"/>
        </w:rPr>
        <w:t>se</w:t>
      </w:r>
      <w:r>
        <w:rPr>
          <w:lang w:val="es-ES_tradnl"/>
        </w:rPr>
        <w:t xml:space="preserve"> </w:t>
      </w:r>
      <w:r>
        <w:rPr>
          <w:sz w:val="14"/>
          <w:szCs w:val="14"/>
          <w:lang w:val="es-ES_tradnl"/>
        </w:rPr>
        <w:t>fundamenta</w:t>
      </w:r>
      <w:r>
        <w:rPr>
          <w:lang w:val="es-ES_tradnl"/>
        </w:rPr>
        <w:t xml:space="preserve"> </w:t>
      </w:r>
      <w:r>
        <w:rPr>
          <w:sz w:val="14"/>
          <w:szCs w:val="14"/>
          <w:lang w:val="es-ES_tradnl"/>
        </w:rPr>
        <w:t>en</w:t>
      </w:r>
      <w:r>
        <w:rPr>
          <w:lang w:val="es-ES_tradnl"/>
        </w:rPr>
        <w:t xml:space="preserve"> </w:t>
      </w:r>
      <w:r>
        <w:rPr>
          <w:sz w:val="14"/>
          <w:szCs w:val="14"/>
          <w:lang w:val="es-ES_tradnl"/>
        </w:rPr>
        <w:t>la</w:t>
      </w:r>
      <w:r>
        <w:rPr>
          <w:lang w:val="es-ES_tradnl"/>
        </w:rPr>
        <w:t xml:space="preserve"> </w:t>
      </w:r>
      <w:r>
        <w:rPr>
          <w:sz w:val="14"/>
          <w:szCs w:val="14"/>
          <w:lang w:val="es-ES_tradnl"/>
        </w:rPr>
        <w:t>experiencia</w:t>
      </w:r>
      <w:r>
        <w:rPr>
          <w:lang w:val="es-ES_tradnl"/>
        </w:rPr>
        <w:t xml:space="preserve"> </w:t>
      </w:r>
      <w:r>
        <w:rPr>
          <w:sz w:val="14"/>
          <w:szCs w:val="14"/>
          <w:lang w:val="es-ES_tradnl"/>
        </w:rPr>
        <w:t>sufrida por varias poblaciones de nuestro hemisferio en d</w:t>
      </w:r>
      <w:r>
        <w:rPr>
          <w:rFonts w:cs="Times New Roman"/>
          <w:sz w:val="14"/>
          <w:szCs w:val="14"/>
          <w:lang w:val="es-ES_tradnl"/>
        </w:rPr>
        <w:t>é</w:t>
      </w:r>
      <w:r>
        <w:rPr>
          <w:sz w:val="14"/>
          <w:szCs w:val="14"/>
          <w:lang w:val="es-ES_tradnl"/>
        </w:rPr>
        <w:t>cadas recientes, particularmente por desapariciones, torturas y asesinatos cometidos o tolerados por algunos gobiernos. Esa realidad ha demostrado una y otra vez que el derecho a la vida y a la integridad personal son amenazados cuando el h</w:t>
      </w:r>
      <w:r>
        <w:rPr>
          <w:rFonts w:cs="Times New Roman"/>
          <w:sz w:val="14"/>
          <w:szCs w:val="14"/>
          <w:lang w:val="es-ES_tradnl"/>
        </w:rPr>
        <w:t>á</w:t>
      </w:r>
      <w:r>
        <w:rPr>
          <w:sz w:val="14"/>
          <w:szCs w:val="14"/>
          <w:lang w:val="es-ES_tradnl"/>
        </w:rPr>
        <w:t>beas corpus es parcial o totalmente suspendido.</w:t>
      </w:r>
    </w:p>
    <w:p w14:paraId="4F67AF5E" w14:textId="77777777" w:rsidR="00591D54" w:rsidRDefault="00591D54">
      <w:pPr>
        <w:shd w:val="clear" w:color="auto" w:fill="FFFFFF"/>
        <w:spacing w:before="202" w:line="216" w:lineRule="exact"/>
        <w:ind w:right="5"/>
        <w:jc w:val="both"/>
      </w:pPr>
      <w:r>
        <w:rPr>
          <w:sz w:val="16"/>
          <w:szCs w:val="16"/>
          <w:lang w:val="es-ES_tradnl"/>
        </w:rPr>
        <w:t>Adicionalmente, este alto organismo de derechos humanos, en su jurisprudencia, ha sido enf</w:t>
      </w:r>
      <w:r>
        <w:rPr>
          <w:rFonts w:cs="Times New Roman"/>
          <w:sz w:val="16"/>
          <w:szCs w:val="16"/>
          <w:lang w:val="es-ES_tradnl"/>
        </w:rPr>
        <w:t>á</w:t>
      </w:r>
      <w:r>
        <w:rPr>
          <w:sz w:val="16"/>
          <w:szCs w:val="16"/>
          <w:lang w:val="es-ES_tradnl"/>
        </w:rPr>
        <w:t>tico en reiterar que no es suficiente con que las acciones de protecci</w:t>
      </w:r>
      <w:r>
        <w:rPr>
          <w:rFonts w:cs="Times New Roman"/>
          <w:sz w:val="16"/>
          <w:szCs w:val="16"/>
          <w:lang w:val="es-ES_tradnl"/>
        </w:rPr>
        <w:t>ó</w:t>
      </w:r>
      <w:r>
        <w:rPr>
          <w:sz w:val="16"/>
          <w:szCs w:val="16"/>
          <w:lang w:val="es-ES_tradnl"/>
        </w:rPr>
        <w:t xml:space="preserve">n de derechos </w:t>
      </w:r>
      <w:r>
        <w:rPr>
          <w:spacing w:val="-1"/>
          <w:sz w:val="16"/>
          <w:szCs w:val="16"/>
          <w:lang w:val="es-ES_tradnl"/>
        </w:rPr>
        <w:t xml:space="preserve">existan, sino que es necesario que sean efectivas y eficaces </w:t>
      </w:r>
      <w:r>
        <w:rPr>
          <w:sz w:val="16"/>
          <w:szCs w:val="16"/>
          <w:lang w:val="es-ES_tradnl"/>
        </w:rPr>
        <w:t>para resarcir las agresiones a los derechos humanos, en efecto:</w:t>
      </w:r>
    </w:p>
    <w:p w14:paraId="4F67AF5F" w14:textId="77777777" w:rsidR="00591D54" w:rsidRDefault="00591D54">
      <w:pPr>
        <w:shd w:val="clear" w:color="auto" w:fill="FFFFFF"/>
        <w:spacing w:before="202" w:line="216" w:lineRule="exact"/>
        <w:ind w:left="283" w:right="5"/>
        <w:jc w:val="both"/>
      </w:pPr>
      <w:r>
        <w:rPr>
          <w:spacing w:val="-2"/>
          <w:sz w:val="14"/>
          <w:szCs w:val="14"/>
          <w:lang w:val="es-ES_tradnl"/>
        </w:rPr>
        <w:t>128.</w:t>
      </w:r>
      <w:r>
        <w:rPr>
          <w:rFonts w:cs="Times New Roman"/>
          <w:spacing w:val="-2"/>
          <w:sz w:val="14"/>
          <w:szCs w:val="14"/>
          <w:lang w:val="es-ES_tradnl"/>
        </w:rPr>
        <w:t>…</w:t>
      </w:r>
      <w:r>
        <w:rPr>
          <w:spacing w:val="-2"/>
          <w:sz w:val="14"/>
          <w:szCs w:val="14"/>
          <w:lang w:val="es-ES_tradnl"/>
        </w:rPr>
        <w:t>la Corte advierte que exist</w:t>
      </w:r>
      <w:r>
        <w:rPr>
          <w:rFonts w:cs="Times New Roman"/>
          <w:spacing w:val="-2"/>
          <w:sz w:val="14"/>
          <w:szCs w:val="14"/>
          <w:lang w:val="es-ES_tradnl"/>
        </w:rPr>
        <w:t>í</w:t>
      </w:r>
      <w:r>
        <w:rPr>
          <w:spacing w:val="-2"/>
          <w:sz w:val="14"/>
          <w:szCs w:val="14"/>
          <w:lang w:val="es-ES_tradnl"/>
        </w:rPr>
        <w:t>a en Panam</w:t>
      </w:r>
      <w:r>
        <w:rPr>
          <w:rFonts w:cs="Times New Roman"/>
          <w:spacing w:val="-2"/>
          <w:sz w:val="14"/>
          <w:szCs w:val="14"/>
          <w:lang w:val="es-ES_tradnl"/>
        </w:rPr>
        <w:t>á</w:t>
      </w:r>
      <w:r>
        <w:rPr>
          <w:spacing w:val="-2"/>
          <w:sz w:val="14"/>
          <w:szCs w:val="14"/>
          <w:lang w:val="es-ES_tradnl"/>
        </w:rPr>
        <w:t xml:space="preserve"> en la </w:t>
      </w:r>
      <w:r>
        <w:rPr>
          <w:rFonts w:cs="Times New Roman"/>
          <w:spacing w:val="-2"/>
          <w:sz w:val="14"/>
          <w:szCs w:val="14"/>
          <w:lang w:val="es-ES_tradnl"/>
        </w:rPr>
        <w:t>é</w:t>
      </w:r>
      <w:r>
        <w:rPr>
          <w:spacing w:val="-2"/>
          <w:sz w:val="14"/>
          <w:szCs w:val="14"/>
          <w:lang w:val="es-ES_tradnl"/>
        </w:rPr>
        <w:t xml:space="preserve">poca de los </w:t>
      </w:r>
      <w:r>
        <w:rPr>
          <w:sz w:val="14"/>
          <w:szCs w:val="14"/>
          <w:lang w:val="es-ES_tradnl"/>
        </w:rPr>
        <w:t>hechos un recurso jurisdiccional que permit</w:t>
      </w:r>
      <w:r>
        <w:rPr>
          <w:rFonts w:cs="Times New Roman"/>
          <w:sz w:val="14"/>
          <w:szCs w:val="14"/>
          <w:lang w:val="es-ES_tradnl"/>
        </w:rPr>
        <w:t>í</w:t>
      </w:r>
      <w:r>
        <w:rPr>
          <w:sz w:val="14"/>
          <w:szCs w:val="14"/>
          <w:lang w:val="es-ES_tradnl"/>
        </w:rPr>
        <w:t>a espec</w:t>
      </w:r>
      <w:r>
        <w:rPr>
          <w:rFonts w:cs="Times New Roman"/>
          <w:sz w:val="14"/>
          <w:szCs w:val="14"/>
          <w:lang w:val="es-ES_tradnl"/>
        </w:rPr>
        <w:t>í</w:t>
      </w:r>
      <w:r>
        <w:rPr>
          <w:sz w:val="14"/>
          <w:szCs w:val="14"/>
          <w:lang w:val="es-ES_tradnl"/>
        </w:rPr>
        <w:t>ficamente revisar la legalidad de una privaci</w:t>
      </w:r>
      <w:r>
        <w:rPr>
          <w:rFonts w:cs="Times New Roman"/>
          <w:sz w:val="14"/>
          <w:szCs w:val="14"/>
          <w:lang w:val="es-ES_tradnl"/>
        </w:rPr>
        <w:t>ó</w:t>
      </w:r>
      <w:r>
        <w:rPr>
          <w:sz w:val="14"/>
          <w:szCs w:val="14"/>
          <w:lang w:val="es-ES_tradnl"/>
        </w:rPr>
        <w:t>n de libertad, que era la acci</w:t>
      </w:r>
      <w:r>
        <w:rPr>
          <w:rFonts w:cs="Times New Roman"/>
          <w:sz w:val="14"/>
          <w:szCs w:val="14"/>
          <w:lang w:val="es-ES_tradnl"/>
        </w:rPr>
        <w:t>ó</w:t>
      </w:r>
      <w:r>
        <w:rPr>
          <w:sz w:val="14"/>
          <w:szCs w:val="14"/>
          <w:lang w:val="es-ES_tradnl"/>
        </w:rPr>
        <w:t>n de h</w:t>
      </w:r>
      <w:r>
        <w:rPr>
          <w:rFonts w:cs="Times New Roman"/>
          <w:sz w:val="14"/>
          <w:szCs w:val="14"/>
          <w:lang w:val="es-ES_tradnl"/>
        </w:rPr>
        <w:t>á</w:t>
      </w:r>
      <w:r>
        <w:rPr>
          <w:sz w:val="14"/>
          <w:szCs w:val="14"/>
          <w:lang w:val="es-ES_tradnl"/>
        </w:rPr>
        <w:t>beas corpus, prevista en el art</w:t>
      </w:r>
      <w:r>
        <w:rPr>
          <w:rFonts w:cs="Times New Roman"/>
          <w:sz w:val="14"/>
          <w:szCs w:val="14"/>
          <w:lang w:val="es-ES_tradnl"/>
        </w:rPr>
        <w:t>í</w:t>
      </w:r>
      <w:r>
        <w:rPr>
          <w:sz w:val="14"/>
          <w:szCs w:val="14"/>
          <w:lang w:val="es-ES_tradnl"/>
        </w:rPr>
        <w:t>culo 23 de la Constituci</w:t>
      </w:r>
      <w:r>
        <w:rPr>
          <w:rFonts w:cs="Times New Roman"/>
          <w:sz w:val="14"/>
          <w:szCs w:val="14"/>
          <w:lang w:val="es-ES_tradnl"/>
        </w:rPr>
        <w:t>ó</w:t>
      </w:r>
      <w:r>
        <w:rPr>
          <w:sz w:val="14"/>
          <w:szCs w:val="14"/>
          <w:lang w:val="es-ES_tradnl"/>
        </w:rPr>
        <w:t>n Nacional</w:t>
      </w:r>
      <w:r>
        <w:rPr>
          <w:sz w:val="14"/>
          <w:szCs w:val="14"/>
          <w:vertAlign w:val="superscript"/>
          <w:lang w:val="es-ES_tradnl"/>
        </w:rPr>
        <w:t>2</w:t>
      </w:r>
      <w:r>
        <w:rPr>
          <w:sz w:val="14"/>
          <w:szCs w:val="14"/>
          <w:lang w:val="es-ES_tradnl"/>
        </w:rPr>
        <w:t>. Adem</w:t>
      </w:r>
      <w:r>
        <w:rPr>
          <w:rFonts w:cs="Times New Roman"/>
          <w:sz w:val="14"/>
          <w:szCs w:val="14"/>
          <w:lang w:val="es-ES_tradnl"/>
        </w:rPr>
        <w:t>á</w:t>
      </w:r>
      <w:r>
        <w:rPr>
          <w:sz w:val="14"/>
          <w:szCs w:val="14"/>
          <w:lang w:val="es-ES_tradnl"/>
        </w:rPr>
        <w:t>s, el Tribunal observa que exist</w:t>
      </w:r>
      <w:r>
        <w:rPr>
          <w:rFonts w:cs="Times New Roman"/>
          <w:sz w:val="14"/>
          <w:szCs w:val="14"/>
          <w:lang w:val="es-ES_tradnl"/>
        </w:rPr>
        <w:t>í</w:t>
      </w:r>
      <w:r>
        <w:rPr>
          <w:sz w:val="14"/>
          <w:szCs w:val="14"/>
          <w:lang w:val="es-ES_tradnl"/>
        </w:rPr>
        <w:t>a el recurso de protecci</w:t>
      </w:r>
      <w:r>
        <w:rPr>
          <w:rFonts w:cs="Times New Roman"/>
          <w:sz w:val="14"/>
          <w:szCs w:val="14"/>
          <w:lang w:val="es-ES_tradnl"/>
        </w:rPr>
        <w:t>ó</w:t>
      </w:r>
      <w:r>
        <w:rPr>
          <w:sz w:val="14"/>
          <w:szCs w:val="14"/>
          <w:lang w:val="es-ES_tradnl"/>
        </w:rPr>
        <w:t>n de derechos humanos en v</w:t>
      </w:r>
      <w:r>
        <w:rPr>
          <w:rFonts w:cs="Times New Roman"/>
          <w:sz w:val="14"/>
          <w:szCs w:val="14"/>
          <w:lang w:val="es-ES_tradnl"/>
        </w:rPr>
        <w:t>í</w:t>
      </w:r>
      <w:r>
        <w:rPr>
          <w:sz w:val="14"/>
          <w:szCs w:val="14"/>
          <w:lang w:val="es-ES_tradnl"/>
        </w:rPr>
        <w:t>a contencioso-administrativa de competencia de la Sala III de la Corte Suprema de Justicia de Panam</w:t>
      </w:r>
      <w:r>
        <w:rPr>
          <w:rFonts w:cs="Times New Roman"/>
          <w:sz w:val="14"/>
          <w:szCs w:val="14"/>
          <w:lang w:val="es-ES_tradnl"/>
        </w:rPr>
        <w:t>á</w:t>
      </w:r>
      <w:r>
        <w:rPr>
          <w:sz w:val="14"/>
          <w:szCs w:val="14"/>
          <w:lang w:val="es-ES_tradnl"/>
        </w:rPr>
        <w:t>, que podr</w:t>
      </w:r>
      <w:r>
        <w:rPr>
          <w:rFonts w:cs="Times New Roman"/>
          <w:sz w:val="14"/>
          <w:szCs w:val="14"/>
          <w:lang w:val="es-ES_tradnl"/>
        </w:rPr>
        <w:t>í</w:t>
      </w:r>
      <w:r>
        <w:rPr>
          <w:sz w:val="14"/>
          <w:szCs w:val="14"/>
          <w:lang w:val="es-ES_tradnl"/>
        </w:rPr>
        <w:t>a haber servido para controlar las actuaciones de la administraci</w:t>
      </w:r>
      <w:r>
        <w:rPr>
          <w:rFonts w:cs="Times New Roman"/>
          <w:sz w:val="14"/>
          <w:szCs w:val="14"/>
          <w:lang w:val="es-ES_tradnl"/>
        </w:rPr>
        <w:t>ó</w:t>
      </w:r>
      <w:r>
        <w:rPr>
          <w:sz w:val="14"/>
          <w:szCs w:val="14"/>
          <w:lang w:val="es-ES_tradnl"/>
        </w:rPr>
        <w:t>n p</w:t>
      </w:r>
      <w:r>
        <w:rPr>
          <w:rFonts w:cs="Times New Roman"/>
          <w:sz w:val="14"/>
          <w:szCs w:val="14"/>
          <w:lang w:val="es-ES_tradnl"/>
        </w:rPr>
        <w:t>ú</w:t>
      </w:r>
      <w:r>
        <w:rPr>
          <w:sz w:val="14"/>
          <w:szCs w:val="14"/>
          <w:lang w:val="es-ES_tradnl"/>
        </w:rPr>
        <w:t>blica y proteger los derechos humanos, el cual no requer</w:t>
      </w:r>
      <w:r>
        <w:rPr>
          <w:rFonts w:cs="Times New Roman"/>
          <w:sz w:val="14"/>
          <w:szCs w:val="14"/>
          <w:lang w:val="es-ES_tradnl"/>
        </w:rPr>
        <w:t>í</w:t>
      </w:r>
      <w:r>
        <w:rPr>
          <w:sz w:val="14"/>
          <w:szCs w:val="14"/>
          <w:lang w:val="es-ES_tradnl"/>
        </w:rPr>
        <w:t>a del agotamiento de la v</w:t>
      </w:r>
      <w:r>
        <w:rPr>
          <w:rFonts w:cs="Times New Roman"/>
          <w:sz w:val="14"/>
          <w:szCs w:val="14"/>
          <w:lang w:val="es-ES_tradnl"/>
        </w:rPr>
        <w:t>í</w:t>
      </w:r>
      <w:r>
        <w:rPr>
          <w:sz w:val="14"/>
          <w:szCs w:val="14"/>
          <w:lang w:val="es-ES_tradnl"/>
        </w:rPr>
        <w:t>a gubernativa.</w:t>
      </w:r>
    </w:p>
    <w:p w14:paraId="4F67AF60" w14:textId="77777777" w:rsidR="00591D54" w:rsidRDefault="00591D54">
      <w:pPr>
        <w:shd w:val="clear" w:color="auto" w:fill="FFFFFF"/>
        <w:spacing w:before="211" w:line="211" w:lineRule="exact"/>
        <w:ind w:left="283" w:right="5"/>
        <w:jc w:val="both"/>
      </w:pPr>
      <w:r>
        <w:rPr>
          <w:sz w:val="14"/>
          <w:szCs w:val="14"/>
          <w:lang w:val="es-ES_tradnl"/>
        </w:rPr>
        <w:t>129. Al respecto, la jurisprudencia de este Tribunal ya ha referido que estos recursos no solo deben existir formalmente en la legislaci</w:t>
      </w:r>
      <w:r>
        <w:rPr>
          <w:rFonts w:cs="Times New Roman"/>
          <w:sz w:val="14"/>
          <w:szCs w:val="14"/>
          <w:lang w:val="es-ES_tradnl"/>
        </w:rPr>
        <w:t>ó</w:t>
      </w:r>
      <w:r>
        <w:rPr>
          <w:sz w:val="14"/>
          <w:szCs w:val="14"/>
          <w:lang w:val="es-ES_tradnl"/>
        </w:rPr>
        <w:t>n sino que deben ser efectivos, esto es, cumplir con el objetivo de obtener sin demora una decisi</w:t>
      </w:r>
      <w:r>
        <w:rPr>
          <w:rFonts w:cs="Times New Roman"/>
          <w:sz w:val="14"/>
          <w:szCs w:val="14"/>
          <w:lang w:val="es-ES_tradnl"/>
        </w:rPr>
        <w:t>ó</w:t>
      </w:r>
      <w:r>
        <w:rPr>
          <w:sz w:val="14"/>
          <w:szCs w:val="14"/>
          <w:lang w:val="es-ES_tradnl"/>
        </w:rPr>
        <w:t>n sobre la legalidad del arresto o de la detenci</w:t>
      </w:r>
      <w:r>
        <w:rPr>
          <w:rFonts w:cs="Times New Roman"/>
          <w:sz w:val="14"/>
          <w:szCs w:val="14"/>
          <w:lang w:val="es-ES_tradnl"/>
        </w:rPr>
        <w:t>ó</w:t>
      </w:r>
      <w:r>
        <w:rPr>
          <w:sz w:val="14"/>
          <w:szCs w:val="14"/>
          <w:lang w:val="es-ES_tradnl"/>
        </w:rPr>
        <w:t>n</w:t>
      </w:r>
      <w:r>
        <w:rPr>
          <w:sz w:val="14"/>
          <w:szCs w:val="14"/>
          <w:vertAlign w:val="superscript"/>
          <w:lang w:val="es-ES_tradnl"/>
        </w:rPr>
        <w:t>3</w:t>
      </w:r>
      <w:r>
        <w:rPr>
          <w:sz w:val="14"/>
          <w:szCs w:val="14"/>
          <w:lang w:val="es-ES_tradnl"/>
        </w:rPr>
        <w:t>.</w:t>
      </w:r>
    </w:p>
    <w:p w14:paraId="4F67AF61" w14:textId="77777777" w:rsidR="00591D54" w:rsidRDefault="00591D54">
      <w:pPr>
        <w:shd w:val="clear" w:color="auto" w:fill="FFFFFF"/>
        <w:spacing w:before="202" w:line="216" w:lineRule="exact"/>
        <w:ind w:right="5"/>
        <w:jc w:val="both"/>
      </w:pPr>
      <w:r>
        <w:rPr>
          <w:sz w:val="16"/>
          <w:szCs w:val="16"/>
          <w:lang w:val="es-ES_tradnl"/>
        </w:rPr>
        <w:t>Por su parte, la Comisi</w:t>
      </w:r>
      <w:r>
        <w:rPr>
          <w:rFonts w:cs="Times New Roman"/>
          <w:sz w:val="16"/>
          <w:szCs w:val="16"/>
          <w:lang w:val="es-ES_tradnl"/>
        </w:rPr>
        <w:t>ó</w:t>
      </w:r>
      <w:r>
        <w:rPr>
          <w:sz w:val="16"/>
          <w:szCs w:val="16"/>
          <w:lang w:val="es-ES_tradnl"/>
        </w:rPr>
        <w:t>n Interamericana de Derechos Humanos, en su informe anual, correspondiente al a</w:t>
      </w:r>
      <w:r>
        <w:rPr>
          <w:rFonts w:cs="Times New Roman"/>
          <w:sz w:val="16"/>
          <w:szCs w:val="16"/>
          <w:lang w:val="es-ES_tradnl"/>
        </w:rPr>
        <w:t>ñ</w:t>
      </w:r>
      <w:r>
        <w:rPr>
          <w:sz w:val="16"/>
          <w:szCs w:val="16"/>
          <w:lang w:val="es-ES_tradnl"/>
        </w:rPr>
        <w:t>o de 1998, estableci</w:t>
      </w:r>
      <w:r>
        <w:rPr>
          <w:rFonts w:cs="Times New Roman"/>
          <w:sz w:val="16"/>
          <w:szCs w:val="16"/>
          <w:lang w:val="es-ES_tradnl"/>
        </w:rPr>
        <w:t>ó</w:t>
      </w:r>
      <w:r>
        <w:rPr>
          <w:sz w:val="16"/>
          <w:szCs w:val="16"/>
          <w:lang w:val="es-ES_tradnl"/>
        </w:rPr>
        <w:t xml:space="preserve"> que:</w:t>
      </w:r>
    </w:p>
    <w:p w14:paraId="4F67AF62" w14:textId="77777777" w:rsidR="00591D54" w:rsidRDefault="00591D54">
      <w:pPr>
        <w:shd w:val="clear" w:color="auto" w:fill="FFFFFF"/>
        <w:spacing w:before="206" w:line="216" w:lineRule="exact"/>
        <w:ind w:left="283" w:right="5"/>
        <w:jc w:val="both"/>
      </w:pPr>
      <w:r>
        <w:rPr>
          <w:spacing w:val="-4"/>
          <w:sz w:val="16"/>
          <w:szCs w:val="16"/>
          <w:lang w:val="es-ES_tradnl"/>
        </w:rPr>
        <w:t>El recurso de habeas corpus es la garant</w:t>
      </w:r>
      <w:r>
        <w:rPr>
          <w:rFonts w:cs="Times New Roman"/>
          <w:spacing w:val="-4"/>
          <w:sz w:val="16"/>
          <w:szCs w:val="16"/>
          <w:lang w:val="es-ES_tradnl"/>
        </w:rPr>
        <w:t>í</w:t>
      </w:r>
      <w:r>
        <w:rPr>
          <w:spacing w:val="-4"/>
          <w:sz w:val="16"/>
          <w:szCs w:val="16"/>
          <w:lang w:val="es-ES_tradnl"/>
        </w:rPr>
        <w:t>a tradicional que, en calidad de acci</w:t>
      </w:r>
      <w:r>
        <w:rPr>
          <w:rFonts w:cs="Times New Roman"/>
          <w:spacing w:val="-4"/>
          <w:sz w:val="16"/>
          <w:szCs w:val="16"/>
          <w:lang w:val="es-ES_tradnl"/>
        </w:rPr>
        <w:t>ó</w:t>
      </w:r>
      <w:r>
        <w:rPr>
          <w:spacing w:val="-4"/>
          <w:sz w:val="16"/>
          <w:szCs w:val="16"/>
          <w:lang w:val="es-ES_tradnl"/>
        </w:rPr>
        <w:t>n, tutela la libertad f</w:t>
      </w:r>
      <w:r>
        <w:rPr>
          <w:rFonts w:cs="Times New Roman"/>
          <w:spacing w:val="-4"/>
          <w:sz w:val="16"/>
          <w:szCs w:val="16"/>
          <w:lang w:val="es-ES_tradnl"/>
        </w:rPr>
        <w:t>í</w:t>
      </w:r>
      <w:r>
        <w:rPr>
          <w:spacing w:val="-4"/>
          <w:sz w:val="16"/>
          <w:szCs w:val="16"/>
          <w:lang w:val="es-ES_tradnl"/>
        </w:rPr>
        <w:t>sica o corporal o de</w:t>
      </w:r>
    </w:p>
    <w:p w14:paraId="4F67AF63" w14:textId="77777777" w:rsidR="00591D54" w:rsidRDefault="00591D54">
      <w:pPr>
        <w:shd w:val="clear" w:color="auto" w:fill="FFFFFF"/>
        <w:tabs>
          <w:tab w:val="left" w:pos="139"/>
        </w:tabs>
        <w:spacing w:before="398" w:line="178" w:lineRule="exact"/>
        <w:ind w:left="139" w:hanging="139"/>
        <w:jc w:val="both"/>
      </w:pPr>
      <w:r>
        <w:rPr>
          <w:sz w:val="10"/>
          <w:szCs w:val="10"/>
          <w:vertAlign w:val="superscript"/>
          <w:lang w:val="es-ES_tradnl"/>
        </w:rPr>
        <w:t>2</w:t>
      </w:r>
      <w:r>
        <w:rPr>
          <w:lang w:val="es-ES_tradnl"/>
        </w:rPr>
        <w:tab/>
      </w:r>
      <w:r>
        <w:rPr>
          <w:i/>
          <w:iCs/>
          <w:sz w:val="14"/>
          <w:szCs w:val="14"/>
          <w:lang w:val="es-ES_tradnl"/>
        </w:rPr>
        <w:t>Cfr.</w:t>
      </w:r>
      <w:r>
        <w:rPr>
          <w:i/>
          <w:iCs/>
          <w:lang w:val="es-ES_tradnl"/>
        </w:rPr>
        <w:t xml:space="preserve"> </w:t>
      </w:r>
      <w:r>
        <w:rPr>
          <w:sz w:val="14"/>
          <w:szCs w:val="14"/>
          <w:lang w:val="es-ES_tradnl"/>
        </w:rPr>
        <w:t>Constituci</w:t>
      </w:r>
      <w:r>
        <w:rPr>
          <w:rFonts w:cs="Times New Roman"/>
          <w:sz w:val="14"/>
          <w:szCs w:val="14"/>
          <w:lang w:val="es-ES_tradnl"/>
        </w:rPr>
        <w:t>ó</w:t>
      </w:r>
      <w:r>
        <w:rPr>
          <w:sz w:val="14"/>
          <w:szCs w:val="14"/>
          <w:lang w:val="es-ES_tradnl"/>
        </w:rPr>
        <w:t>n</w:t>
      </w:r>
      <w:r>
        <w:rPr>
          <w:lang w:val="es-ES_tradnl"/>
        </w:rPr>
        <w:t xml:space="preserve"> </w:t>
      </w:r>
      <w:r>
        <w:rPr>
          <w:sz w:val="14"/>
          <w:szCs w:val="14"/>
          <w:lang w:val="es-ES_tradnl"/>
        </w:rPr>
        <w:t>Pol</w:t>
      </w:r>
      <w:r>
        <w:rPr>
          <w:rFonts w:cs="Times New Roman"/>
          <w:sz w:val="14"/>
          <w:szCs w:val="14"/>
          <w:lang w:val="es-ES_tradnl"/>
        </w:rPr>
        <w:t>í</w:t>
      </w:r>
      <w:r>
        <w:rPr>
          <w:sz w:val="14"/>
          <w:szCs w:val="14"/>
          <w:lang w:val="es-ES_tradnl"/>
        </w:rPr>
        <w:t>tica</w:t>
      </w:r>
      <w:r>
        <w:rPr>
          <w:lang w:val="es-ES_tradnl"/>
        </w:rPr>
        <w:t xml:space="preserve"> </w:t>
      </w:r>
      <w:r>
        <w:rPr>
          <w:sz w:val="14"/>
          <w:szCs w:val="14"/>
          <w:lang w:val="es-ES_tradnl"/>
        </w:rPr>
        <w:t>de</w:t>
      </w:r>
      <w:r>
        <w:rPr>
          <w:lang w:val="es-ES_tradnl"/>
        </w:rPr>
        <w:t xml:space="preserve"> </w:t>
      </w:r>
      <w:r>
        <w:rPr>
          <w:sz w:val="14"/>
          <w:szCs w:val="14"/>
          <w:lang w:val="es-ES_tradnl"/>
        </w:rPr>
        <w:t>la</w:t>
      </w:r>
      <w:r>
        <w:rPr>
          <w:lang w:val="es-ES_tradnl"/>
        </w:rPr>
        <w:t xml:space="preserve"> </w:t>
      </w:r>
      <w:r>
        <w:rPr>
          <w:sz w:val="14"/>
          <w:szCs w:val="14"/>
          <w:lang w:val="es-ES_tradnl"/>
        </w:rPr>
        <w:t>Rep</w:t>
      </w:r>
      <w:r>
        <w:rPr>
          <w:rFonts w:cs="Times New Roman"/>
          <w:sz w:val="14"/>
          <w:szCs w:val="14"/>
          <w:lang w:val="es-ES_tradnl"/>
        </w:rPr>
        <w:t>ú</w:t>
      </w:r>
      <w:r>
        <w:rPr>
          <w:sz w:val="14"/>
          <w:szCs w:val="14"/>
          <w:lang w:val="es-ES_tradnl"/>
        </w:rPr>
        <w:t>blica</w:t>
      </w:r>
      <w:r>
        <w:rPr>
          <w:lang w:val="es-ES_tradnl"/>
        </w:rPr>
        <w:t xml:space="preserve"> </w:t>
      </w:r>
      <w:r>
        <w:rPr>
          <w:sz w:val="14"/>
          <w:szCs w:val="14"/>
          <w:lang w:val="es-ES_tradnl"/>
        </w:rPr>
        <w:t>de</w:t>
      </w:r>
      <w:r>
        <w:rPr>
          <w:lang w:val="es-ES_tradnl"/>
        </w:rPr>
        <w:t xml:space="preserve"> </w:t>
      </w:r>
      <w:r>
        <w:rPr>
          <w:sz w:val="14"/>
          <w:szCs w:val="14"/>
          <w:lang w:val="es-ES_tradnl"/>
        </w:rPr>
        <w:t>Panam</w:t>
      </w:r>
      <w:r>
        <w:rPr>
          <w:rFonts w:cs="Times New Roman"/>
          <w:sz w:val="14"/>
          <w:szCs w:val="14"/>
          <w:lang w:val="es-ES_tradnl"/>
        </w:rPr>
        <w:t>á</w:t>
      </w:r>
      <w:r>
        <w:rPr>
          <w:lang w:val="es-ES_tradnl"/>
        </w:rPr>
        <w:t xml:space="preserve"> </w:t>
      </w:r>
      <w:r>
        <w:rPr>
          <w:sz w:val="14"/>
          <w:szCs w:val="14"/>
          <w:lang w:val="es-ES_tradnl"/>
        </w:rPr>
        <w:t>de</w:t>
      </w:r>
      <w:r>
        <w:rPr>
          <w:lang w:val="es-ES_tradnl"/>
        </w:rPr>
        <w:t xml:space="preserve"> </w:t>
      </w:r>
      <w:r>
        <w:rPr>
          <w:sz w:val="14"/>
          <w:szCs w:val="14"/>
          <w:lang w:val="es-ES_tradnl"/>
        </w:rPr>
        <w:t>1972 (expediente de prueba, tomo VIII, anexo 5 a la contestaci</w:t>
      </w:r>
      <w:r>
        <w:rPr>
          <w:rFonts w:cs="Times New Roman"/>
          <w:sz w:val="14"/>
          <w:szCs w:val="14"/>
          <w:lang w:val="es-ES_tradnl"/>
        </w:rPr>
        <w:t>ó</w:t>
      </w:r>
      <w:r>
        <w:rPr>
          <w:sz w:val="14"/>
          <w:szCs w:val="14"/>
          <w:lang w:val="es-ES_tradnl"/>
        </w:rPr>
        <w:t>n de la demanda, folios 2659 y 2660); Dictamen rendido ante fedatario p</w:t>
      </w:r>
      <w:r>
        <w:rPr>
          <w:rFonts w:cs="Times New Roman"/>
          <w:sz w:val="14"/>
          <w:szCs w:val="14"/>
          <w:lang w:val="es-ES_tradnl"/>
        </w:rPr>
        <w:t>ú</w:t>
      </w:r>
      <w:r>
        <w:rPr>
          <w:sz w:val="14"/>
          <w:szCs w:val="14"/>
          <w:lang w:val="es-ES_tradnl"/>
        </w:rPr>
        <w:t>blico (affid</w:t>
      </w:r>
      <w:r>
        <w:rPr>
          <w:rFonts w:cs="Times New Roman"/>
          <w:sz w:val="14"/>
          <w:szCs w:val="14"/>
          <w:lang w:val="es-ES_tradnl"/>
        </w:rPr>
        <w:t>á</w:t>
      </w:r>
      <w:r>
        <w:rPr>
          <w:sz w:val="14"/>
          <w:szCs w:val="14"/>
          <w:lang w:val="es-ES_tradnl"/>
        </w:rPr>
        <w:t xml:space="preserve">vit) por el perito Arturo Hoyos Phillips, </w:t>
      </w:r>
      <w:r>
        <w:rPr>
          <w:i/>
          <w:iCs/>
          <w:sz w:val="14"/>
          <w:szCs w:val="14"/>
          <w:lang w:val="es-ES_tradnl"/>
        </w:rPr>
        <w:t xml:space="preserve">supra </w:t>
      </w:r>
      <w:r>
        <w:rPr>
          <w:sz w:val="14"/>
          <w:szCs w:val="14"/>
          <w:lang w:val="es-ES_tradnl"/>
        </w:rPr>
        <w:t>nota 126, folios 3726 a 3727, y Declaraci</w:t>
      </w:r>
      <w:r>
        <w:rPr>
          <w:rFonts w:cs="Times New Roman"/>
          <w:sz w:val="14"/>
          <w:szCs w:val="14"/>
          <w:lang w:val="es-ES_tradnl"/>
        </w:rPr>
        <w:t>ó</w:t>
      </w:r>
      <w:r>
        <w:rPr>
          <w:sz w:val="14"/>
          <w:szCs w:val="14"/>
          <w:lang w:val="es-ES_tradnl"/>
        </w:rPr>
        <w:t>n rendida por Carlos Benigno </w:t>
      </w:r>
      <w:r>
        <w:rPr>
          <w:spacing w:val="-1"/>
          <w:sz w:val="14"/>
          <w:szCs w:val="14"/>
          <w:lang w:val="es-ES_tradnl"/>
        </w:rPr>
        <w:t>Gonz</w:t>
      </w:r>
      <w:r>
        <w:rPr>
          <w:rFonts w:cs="Times New Roman"/>
          <w:spacing w:val="-1"/>
          <w:sz w:val="14"/>
          <w:szCs w:val="14"/>
          <w:lang w:val="es-ES_tradnl"/>
        </w:rPr>
        <w:t>á</w:t>
      </w:r>
      <w:r>
        <w:rPr>
          <w:spacing w:val="-1"/>
          <w:sz w:val="14"/>
          <w:szCs w:val="14"/>
          <w:lang w:val="es-ES_tradnl"/>
        </w:rPr>
        <w:t>lez G</w:t>
      </w:r>
      <w:r>
        <w:rPr>
          <w:rFonts w:cs="Times New Roman"/>
          <w:spacing w:val="-1"/>
          <w:sz w:val="14"/>
          <w:szCs w:val="14"/>
          <w:lang w:val="es-ES_tradnl"/>
        </w:rPr>
        <w:t>ó</w:t>
      </w:r>
      <w:r>
        <w:rPr>
          <w:spacing w:val="-1"/>
          <w:sz w:val="14"/>
          <w:szCs w:val="14"/>
          <w:lang w:val="es-ES_tradnl"/>
        </w:rPr>
        <w:t xml:space="preserve">mez, </w:t>
      </w:r>
      <w:r>
        <w:rPr>
          <w:i/>
          <w:iCs/>
          <w:spacing w:val="-1"/>
          <w:sz w:val="14"/>
          <w:szCs w:val="14"/>
          <w:lang w:val="es-ES_tradnl"/>
        </w:rPr>
        <w:t xml:space="preserve">supra </w:t>
      </w:r>
      <w:r>
        <w:rPr>
          <w:spacing w:val="-1"/>
          <w:sz w:val="14"/>
          <w:szCs w:val="14"/>
          <w:lang w:val="es-ES_tradnl"/>
        </w:rPr>
        <w:t>nota 122, folios 3782 a 3783.</w:t>
      </w:r>
    </w:p>
    <w:p w14:paraId="4F67AF64" w14:textId="77777777" w:rsidR="00591D54" w:rsidRDefault="00591D54">
      <w:pPr>
        <w:shd w:val="clear" w:color="auto" w:fill="FFFFFF"/>
        <w:tabs>
          <w:tab w:val="left" w:pos="139"/>
        </w:tabs>
        <w:spacing w:before="154" w:line="178" w:lineRule="exact"/>
        <w:ind w:left="139" w:right="5" w:hanging="139"/>
        <w:jc w:val="both"/>
      </w:pPr>
      <w:r>
        <w:rPr>
          <w:sz w:val="10"/>
          <w:szCs w:val="10"/>
          <w:vertAlign w:val="superscript"/>
          <w:lang w:val="es-ES_tradnl"/>
        </w:rPr>
        <w:t>3</w:t>
      </w:r>
      <w:r>
        <w:rPr>
          <w:lang w:val="es-ES_tradnl"/>
        </w:rPr>
        <w:tab/>
      </w:r>
      <w:r>
        <w:rPr>
          <w:spacing w:val="-3"/>
          <w:sz w:val="14"/>
          <w:szCs w:val="14"/>
          <w:lang w:val="es-ES_tradnl"/>
        </w:rPr>
        <w:t>Corte</w:t>
      </w:r>
      <w:r>
        <w:rPr>
          <w:spacing w:val="-3"/>
          <w:lang w:val="es-ES_tradnl"/>
        </w:rPr>
        <w:t xml:space="preserve"> </w:t>
      </w:r>
      <w:r>
        <w:rPr>
          <w:spacing w:val="-3"/>
          <w:sz w:val="14"/>
          <w:szCs w:val="14"/>
          <w:lang w:val="es-ES_tradnl"/>
        </w:rPr>
        <w:t>Interamericana</w:t>
      </w:r>
      <w:r>
        <w:rPr>
          <w:spacing w:val="-3"/>
          <w:lang w:val="es-ES_tradnl"/>
        </w:rPr>
        <w:t xml:space="preserve"> </w:t>
      </w:r>
      <w:r>
        <w:rPr>
          <w:spacing w:val="-3"/>
          <w:sz w:val="14"/>
          <w:szCs w:val="14"/>
          <w:lang w:val="es-ES_tradnl"/>
        </w:rPr>
        <w:t>de</w:t>
      </w:r>
      <w:r>
        <w:rPr>
          <w:spacing w:val="-3"/>
          <w:lang w:val="es-ES_tradnl"/>
        </w:rPr>
        <w:t xml:space="preserve"> </w:t>
      </w:r>
      <w:r>
        <w:rPr>
          <w:spacing w:val="-3"/>
          <w:sz w:val="14"/>
          <w:szCs w:val="14"/>
          <w:lang w:val="es-ES_tradnl"/>
        </w:rPr>
        <w:t>Derechos</w:t>
      </w:r>
      <w:r>
        <w:rPr>
          <w:spacing w:val="-3"/>
          <w:lang w:val="es-ES_tradnl"/>
        </w:rPr>
        <w:t xml:space="preserve"> </w:t>
      </w:r>
      <w:r>
        <w:rPr>
          <w:spacing w:val="-3"/>
          <w:sz w:val="14"/>
          <w:szCs w:val="14"/>
          <w:lang w:val="es-ES_tradnl"/>
        </w:rPr>
        <w:t>Humanos,</w:t>
      </w:r>
      <w:r>
        <w:rPr>
          <w:spacing w:val="-3"/>
          <w:lang w:val="es-ES_tradnl"/>
        </w:rPr>
        <w:t xml:space="preserve"> </w:t>
      </w:r>
      <w:r>
        <w:rPr>
          <w:spacing w:val="-3"/>
          <w:sz w:val="14"/>
          <w:szCs w:val="14"/>
          <w:lang w:val="es-ES_tradnl"/>
        </w:rPr>
        <w:t>sentencia</w:t>
      </w:r>
      <w:r>
        <w:rPr>
          <w:spacing w:val="-3"/>
          <w:lang w:val="es-ES_tradnl"/>
        </w:rPr>
        <w:t xml:space="preserve"> </w:t>
      </w:r>
      <w:r>
        <w:rPr>
          <w:spacing w:val="-3"/>
          <w:sz w:val="14"/>
          <w:szCs w:val="14"/>
          <w:lang w:val="es-ES_tradnl"/>
        </w:rPr>
        <w:t>excepciones </w:t>
      </w:r>
      <w:r>
        <w:rPr>
          <w:spacing w:val="-4"/>
          <w:sz w:val="14"/>
          <w:szCs w:val="14"/>
          <w:lang w:val="es-ES_tradnl"/>
        </w:rPr>
        <w:t>preliminares, fondo, reparaciones y costas V</w:t>
      </w:r>
      <w:r>
        <w:rPr>
          <w:rFonts w:cs="Times New Roman"/>
          <w:spacing w:val="-4"/>
          <w:sz w:val="14"/>
          <w:szCs w:val="14"/>
          <w:lang w:val="es-ES_tradnl"/>
        </w:rPr>
        <w:t>é</w:t>
      </w:r>
      <w:r>
        <w:rPr>
          <w:spacing w:val="-4"/>
          <w:sz w:val="14"/>
          <w:szCs w:val="14"/>
          <w:lang w:val="es-ES_tradnl"/>
        </w:rPr>
        <w:t>lez Loor vs. Panam</w:t>
      </w:r>
      <w:r>
        <w:rPr>
          <w:rFonts w:cs="Times New Roman"/>
          <w:spacing w:val="-4"/>
          <w:sz w:val="14"/>
          <w:szCs w:val="14"/>
          <w:lang w:val="es-ES_tradnl"/>
        </w:rPr>
        <w:t>á</w:t>
      </w:r>
      <w:r>
        <w:rPr>
          <w:spacing w:val="-4"/>
          <w:sz w:val="14"/>
          <w:szCs w:val="14"/>
          <w:lang w:val="es-ES_tradnl"/>
        </w:rPr>
        <w:t>, 23 </w:t>
      </w:r>
      <w:r>
        <w:rPr>
          <w:sz w:val="14"/>
          <w:szCs w:val="14"/>
          <w:lang w:val="es-ES_tradnl"/>
        </w:rPr>
        <w:t>de noviembre de 2010</w:t>
      </w:r>
    </w:p>
    <w:p w14:paraId="4F67AF65" w14:textId="77777777" w:rsidR="00591D54" w:rsidRDefault="00591D54">
      <w:pPr>
        <w:shd w:val="clear" w:color="auto" w:fill="FFFFFF"/>
        <w:spacing w:before="10" w:line="197" w:lineRule="exact"/>
        <w:ind w:left="283"/>
        <w:jc w:val="both"/>
      </w:pPr>
      <w:r>
        <w:br w:type="column"/>
      </w:r>
      <w:r>
        <w:rPr>
          <w:sz w:val="14"/>
          <w:szCs w:val="14"/>
          <w:lang w:val="es-ES_tradnl"/>
        </w:rPr>
        <w:t>locomoci</w:t>
      </w:r>
      <w:r>
        <w:rPr>
          <w:rFonts w:cs="Times New Roman"/>
          <w:sz w:val="14"/>
          <w:szCs w:val="14"/>
          <w:lang w:val="es-ES_tradnl"/>
        </w:rPr>
        <w:t>ó</w:t>
      </w:r>
      <w:r>
        <w:rPr>
          <w:sz w:val="14"/>
          <w:szCs w:val="14"/>
          <w:lang w:val="es-ES_tradnl"/>
        </w:rPr>
        <w:t>n a trav</w:t>
      </w:r>
      <w:r>
        <w:rPr>
          <w:rFonts w:cs="Times New Roman"/>
          <w:sz w:val="14"/>
          <w:szCs w:val="14"/>
          <w:lang w:val="es-ES_tradnl"/>
        </w:rPr>
        <w:t>é</w:t>
      </w:r>
      <w:r>
        <w:rPr>
          <w:sz w:val="14"/>
          <w:szCs w:val="14"/>
          <w:lang w:val="es-ES_tradnl"/>
        </w:rPr>
        <w:t>s de un procedimiento judicial sumario, que se tramita en forma de juicio. Generalmente, el habeas corpus extiende su tutela a favor de personas que ya est</w:t>
      </w:r>
      <w:r>
        <w:rPr>
          <w:rFonts w:cs="Times New Roman"/>
          <w:sz w:val="14"/>
          <w:szCs w:val="14"/>
          <w:lang w:val="es-ES_tradnl"/>
        </w:rPr>
        <w:t>á</w:t>
      </w:r>
      <w:r>
        <w:rPr>
          <w:sz w:val="14"/>
          <w:szCs w:val="14"/>
          <w:lang w:val="es-ES_tradnl"/>
        </w:rPr>
        <w:t>n privadas de libertad en condiciones ilegales o arbitrarias, justamente para hacer cesar las restricciones que han agravado su privaci</w:t>
      </w:r>
      <w:r>
        <w:rPr>
          <w:rFonts w:cs="Times New Roman"/>
          <w:sz w:val="14"/>
          <w:szCs w:val="14"/>
          <w:lang w:val="es-ES_tradnl"/>
        </w:rPr>
        <w:t>ó</w:t>
      </w:r>
      <w:r>
        <w:rPr>
          <w:sz w:val="14"/>
          <w:szCs w:val="14"/>
          <w:lang w:val="es-ES_tradnl"/>
        </w:rPr>
        <w:t>n de libertad. La efectividad de la tutela que se busca ejercer con este recurso depende, en gran medida, de que su tr</w:t>
      </w:r>
      <w:r>
        <w:rPr>
          <w:rFonts w:cs="Times New Roman"/>
          <w:sz w:val="14"/>
          <w:szCs w:val="14"/>
          <w:lang w:val="es-ES_tradnl"/>
        </w:rPr>
        <w:t>á</w:t>
      </w:r>
      <w:r>
        <w:rPr>
          <w:sz w:val="14"/>
          <w:szCs w:val="14"/>
          <w:lang w:val="es-ES_tradnl"/>
        </w:rPr>
        <w:t>mite sea sumario, a efecto de que, por su celeridad, se transforme en una v</w:t>
      </w:r>
      <w:r>
        <w:rPr>
          <w:rFonts w:cs="Times New Roman"/>
          <w:sz w:val="14"/>
          <w:szCs w:val="14"/>
          <w:lang w:val="es-ES_tradnl"/>
        </w:rPr>
        <w:t>í</w:t>
      </w:r>
      <w:r>
        <w:rPr>
          <w:sz w:val="14"/>
          <w:szCs w:val="14"/>
          <w:lang w:val="es-ES_tradnl"/>
        </w:rPr>
        <w:t>a id</w:t>
      </w:r>
      <w:r>
        <w:rPr>
          <w:rFonts w:cs="Times New Roman"/>
          <w:sz w:val="14"/>
          <w:szCs w:val="14"/>
          <w:lang w:val="es-ES_tradnl"/>
        </w:rPr>
        <w:t>ó</w:t>
      </w:r>
      <w:r>
        <w:rPr>
          <w:sz w:val="14"/>
          <w:szCs w:val="14"/>
          <w:lang w:val="es-ES_tradnl"/>
        </w:rPr>
        <w:t>nea y apta para llegar a una decisi</w:t>
      </w:r>
      <w:r>
        <w:rPr>
          <w:rFonts w:cs="Times New Roman"/>
          <w:sz w:val="14"/>
          <w:szCs w:val="14"/>
          <w:lang w:val="es-ES_tradnl"/>
        </w:rPr>
        <w:t>ó</w:t>
      </w:r>
      <w:r>
        <w:rPr>
          <w:sz w:val="14"/>
          <w:szCs w:val="14"/>
          <w:lang w:val="es-ES_tradnl"/>
        </w:rPr>
        <w:t>n efectiva del asunto en el menor tiempo posible.</w:t>
      </w:r>
    </w:p>
    <w:p w14:paraId="4F67AF66" w14:textId="77777777" w:rsidR="00591D54" w:rsidRDefault="00591D54">
      <w:pPr>
        <w:shd w:val="clear" w:color="auto" w:fill="FFFFFF"/>
        <w:spacing w:before="149" w:line="197" w:lineRule="exact"/>
        <w:jc w:val="both"/>
      </w:pPr>
      <w:r>
        <w:rPr>
          <w:sz w:val="16"/>
          <w:szCs w:val="16"/>
          <w:lang w:val="es-ES_tradnl"/>
        </w:rPr>
        <w:t>En cuanto a su procedimiento, y concretamente respecto a la competencia de los jueces para conocer estos casos, de acuerdo a lo establecido en los art</w:t>
      </w:r>
      <w:r>
        <w:rPr>
          <w:rFonts w:cs="Times New Roman"/>
          <w:sz w:val="16"/>
          <w:szCs w:val="16"/>
          <w:lang w:val="es-ES_tradnl"/>
        </w:rPr>
        <w:t>í</w:t>
      </w:r>
      <w:r>
        <w:rPr>
          <w:sz w:val="16"/>
          <w:szCs w:val="16"/>
          <w:lang w:val="es-ES_tradnl"/>
        </w:rPr>
        <w:t>culos 7, 44 numeral 1, y 167 de la Ley Org</w:t>
      </w:r>
      <w:r>
        <w:rPr>
          <w:rFonts w:cs="Times New Roman"/>
          <w:sz w:val="16"/>
          <w:szCs w:val="16"/>
          <w:lang w:val="es-ES_tradnl"/>
        </w:rPr>
        <w:t>á</w:t>
      </w:r>
      <w:r>
        <w:rPr>
          <w:sz w:val="16"/>
          <w:szCs w:val="16"/>
          <w:lang w:val="es-ES_tradnl"/>
        </w:rPr>
        <w:t>nica de Garant</w:t>
      </w:r>
      <w:r>
        <w:rPr>
          <w:rFonts w:cs="Times New Roman"/>
          <w:sz w:val="16"/>
          <w:szCs w:val="16"/>
          <w:lang w:val="es-ES_tradnl"/>
        </w:rPr>
        <w:t>í</w:t>
      </w:r>
      <w:r>
        <w:rPr>
          <w:sz w:val="16"/>
          <w:szCs w:val="16"/>
          <w:lang w:val="es-ES_tradnl"/>
        </w:rPr>
        <w:t>as Jurisdiccionales y Control Constitucional</w:t>
      </w:r>
      <w:r>
        <w:rPr>
          <w:sz w:val="16"/>
          <w:szCs w:val="16"/>
          <w:vertAlign w:val="superscript"/>
          <w:lang w:val="es-ES_tradnl"/>
        </w:rPr>
        <w:t>4</w:t>
      </w:r>
      <w:r>
        <w:rPr>
          <w:sz w:val="16"/>
          <w:szCs w:val="16"/>
          <w:lang w:val="es-ES_tradnl"/>
        </w:rPr>
        <w:t>, la acci</w:t>
      </w:r>
      <w:r>
        <w:rPr>
          <w:rFonts w:cs="Times New Roman"/>
          <w:sz w:val="16"/>
          <w:szCs w:val="16"/>
          <w:lang w:val="es-ES_tradnl"/>
        </w:rPr>
        <w:t>ó</w:t>
      </w:r>
      <w:r>
        <w:rPr>
          <w:sz w:val="16"/>
          <w:szCs w:val="16"/>
          <w:lang w:val="es-ES_tradnl"/>
        </w:rPr>
        <w:t>n de h</w:t>
      </w:r>
      <w:r>
        <w:rPr>
          <w:rFonts w:cs="Times New Roman"/>
          <w:sz w:val="16"/>
          <w:szCs w:val="16"/>
          <w:lang w:val="es-ES_tradnl"/>
        </w:rPr>
        <w:t>á</w:t>
      </w:r>
      <w:r>
        <w:rPr>
          <w:sz w:val="16"/>
          <w:szCs w:val="16"/>
          <w:lang w:val="es-ES_tradnl"/>
        </w:rPr>
        <w:t>beas corpus debe ser conocida y resuelta por los jueces de primera instancia del lugar donde se presuma est</w:t>
      </w:r>
      <w:r>
        <w:rPr>
          <w:rFonts w:cs="Times New Roman"/>
          <w:sz w:val="16"/>
          <w:szCs w:val="16"/>
          <w:lang w:val="es-ES_tradnl"/>
        </w:rPr>
        <w:t>á</w:t>
      </w:r>
      <w:r>
        <w:rPr>
          <w:sz w:val="16"/>
          <w:szCs w:val="16"/>
          <w:lang w:val="es-ES_tradnl"/>
        </w:rPr>
        <w:t xml:space="preserve"> privada de la libertad la persona, excepto cuando la orden de privaci</w:t>
      </w:r>
      <w:r>
        <w:rPr>
          <w:rFonts w:cs="Times New Roman"/>
          <w:sz w:val="16"/>
          <w:szCs w:val="16"/>
          <w:lang w:val="es-ES_tradnl"/>
        </w:rPr>
        <w:t>ó</w:t>
      </w:r>
      <w:r>
        <w:rPr>
          <w:sz w:val="16"/>
          <w:szCs w:val="16"/>
          <w:lang w:val="es-ES_tradnl"/>
        </w:rPr>
        <w:t>n de libertad haya sido dispuesta dentro de un proceso penal, en cuyo caso la acci</w:t>
      </w:r>
      <w:r>
        <w:rPr>
          <w:rFonts w:cs="Times New Roman"/>
          <w:sz w:val="16"/>
          <w:szCs w:val="16"/>
          <w:lang w:val="es-ES_tradnl"/>
        </w:rPr>
        <w:t>ó</w:t>
      </w:r>
      <w:r>
        <w:rPr>
          <w:sz w:val="16"/>
          <w:szCs w:val="16"/>
          <w:lang w:val="es-ES_tradnl"/>
        </w:rPr>
        <w:t>n se la presentar</w:t>
      </w:r>
      <w:r>
        <w:rPr>
          <w:rFonts w:cs="Times New Roman"/>
          <w:sz w:val="16"/>
          <w:szCs w:val="16"/>
          <w:lang w:val="es-ES_tradnl"/>
        </w:rPr>
        <w:t>á</w:t>
      </w:r>
      <w:r>
        <w:rPr>
          <w:sz w:val="16"/>
          <w:szCs w:val="16"/>
          <w:lang w:val="es-ES_tradnl"/>
        </w:rPr>
        <w:t xml:space="preserve"> ante la Corte Provincial de Justicia</w:t>
      </w:r>
      <w:r>
        <w:rPr>
          <w:sz w:val="16"/>
          <w:szCs w:val="16"/>
          <w:vertAlign w:val="superscript"/>
          <w:lang w:val="es-ES_tradnl"/>
        </w:rPr>
        <w:t>5.</w:t>
      </w:r>
      <w:r>
        <w:rPr>
          <w:sz w:val="16"/>
          <w:szCs w:val="16"/>
          <w:lang w:val="es-ES_tradnl"/>
        </w:rPr>
        <w:t xml:space="preserve"> (En el caso de que exista m</w:t>
      </w:r>
      <w:r>
        <w:rPr>
          <w:rFonts w:cs="Times New Roman"/>
          <w:sz w:val="16"/>
          <w:szCs w:val="16"/>
          <w:lang w:val="es-ES_tradnl"/>
        </w:rPr>
        <w:t>á</w:t>
      </w:r>
      <w:r>
        <w:rPr>
          <w:sz w:val="16"/>
          <w:szCs w:val="16"/>
          <w:lang w:val="es-ES_tradnl"/>
        </w:rPr>
        <w:t>s de una sala, el proceso ser</w:t>
      </w:r>
      <w:r>
        <w:rPr>
          <w:rFonts w:cs="Times New Roman"/>
          <w:sz w:val="16"/>
          <w:szCs w:val="16"/>
          <w:lang w:val="es-ES_tradnl"/>
        </w:rPr>
        <w:t>á</w:t>
      </w:r>
      <w:r>
        <w:rPr>
          <w:sz w:val="16"/>
          <w:szCs w:val="16"/>
          <w:lang w:val="es-ES_tradnl"/>
        </w:rPr>
        <w:t xml:space="preserve"> sorteado entre ellas).</w:t>
      </w:r>
    </w:p>
    <w:p w14:paraId="4F67AF67" w14:textId="77777777" w:rsidR="00591D54" w:rsidRDefault="00591D54">
      <w:pPr>
        <w:shd w:val="clear" w:color="auto" w:fill="FFFFFF"/>
        <w:spacing w:before="144" w:line="197" w:lineRule="exact"/>
        <w:jc w:val="both"/>
      </w:pPr>
      <w:r>
        <w:rPr>
          <w:sz w:val="16"/>
          <w:szCs w:val="16"/>
          <w:lang w:val="es-ES_tradnl"/>
        </w:rPr>
        <w:t>Una vez que la causa haya sido conocida en primera instancia, en caso de presentarse una apelaci</w:t>
      </w:r>
      <w:r>
        <w:rPr>
          <w:rFonts w:cs="Times New Roman"/>
          <w:sz w:val="16"/>
          <w:szCs w:val="16"/>
          <w:lang w:val="es-ES_tradnl"/>
        </w:rPr>
        <w:t>ó</w:t>
      </w:r>
      <w:r>
        <w:rPr>
          <w:sz w:val="16"/>
          <w:szCs w:val="16"/>
          <w:lang w:val="es-ES_tradnl"/>
        </w:rPr>
        <w:t>n, el numeral 4 del art</w:t>
      </w:r>
      <w:r>
        <w:rPr>
          <w:rFonts w:cs="Times New Roman"/>
          <w:sz w:val="16"/>
          <w:szCs w:val="16"/>
          <w:lang w:val="es-ES_tradnl"/>
        </w:rPr>
        <w:t>í</w:t>
      </w:r>
      <w:r>
        <w:rPr>
          <w:sz w:val="16"/>
          <w:szCs w:val="16"/>
          <w:lang w:val="es-ES_tradnl"/>
        </w:rPr>
        <w:t>culo 44 de la Ley Org</w:t>
      </w:r>
      <w:r>
        <w:rPr>
          <w:rFonts w:cs="Times New Roman"/>
          <w:sz w:val="16"/>
          <w:szCs w:val="16"/>
          <w:lang w:val="es-ES_tradnl"/>
        </w:rPr>
        <w:t>á</w:t>
      </w:r>
      <w:r>
        <w:rPr>
          <w:sz w:val="16"/>
          <w:szCs w:val="16"/>
          <w:lang w:val="es-ES_tradnl"/>
        </w:rPr>
        <w:t>nica de Garant</w:t>
      </w:r>
      <w:r>
        <w:rPr>
          <w:rFonts w:cs="Times New Roman"/>
          <w:sz w:val="16"/>
          <w:szCs w:val="16"/>
          <w:lang w:val="es-ES_tradnl"/>
        </w:rPr>
        <w:t>í</w:t>
      </w:r>
      <w:r>
        <w:rPr>
          <w:sz w:val="16"/>
          <w:szCs w:val="16"/>
          <w:lang w:val="es-ES_tradnl"/>
        </w:rPr>
        <w:t xml:space="preserve">as Jurisdiccionales y Control Constitucional establece que su </w:t>
      </w:r>
      <w:r>
        <w:rPr>
          <w:spacing w:val="-1"/>
          <w:sz w:val="16"/>
          <w:szCs w:val="16"/>
          <w:lang w:val="es-ES_tradnl"/>
        </w:rPr>
        <w:t>tr</w:t>
      </w:r>
      <w:r>
        <w:rPr>
          <w:rFonts w:cs="Times New Roman"/>
          <w:spacing w:val="-1"/>
          <w:sz w:val="16"/>
          <w:szCs w:val="16"/>
          <w:lang w:val="es-ES_tradnl"/>
        </w:rPr>
        <w:t>á</w:t>
      </w:r>
      <w:r>
        <w:rPr>
          <w:spacing w:val="-1"/>
          <w:sz w:val="16"/>
          <w:szCs w:val="16"/>
          <w:lang w:val="es-ES_tradnl"/>
        </w:rPr>
        <w:t>mite proceder</w:t>
      </w:r>
      <w:r>
        <w:rPr>
          <w:rFonts w:cs="Times New Roman"/>
          <w:spacing w:val="-1"/>
          <w:sz w:val="16"/>
          <w:szCs w:val="16"/>
          <w:lang w:val="es-ES_tradnl"/>
        </w:rPr>
        <w:t>á</w:t>
      </w:r>
      <w:r>
        <w:rPr>
          <w:spacing w:val="-1"/>
          <w:sz w:val="16"/>
          <w:szCs w:val="16"/>
          <w:lang w:val="es-ES_tradnl"/>
        </w:rPr>
        <w:t xml:space="preserve"> de acuerdo con las normas comunes a las garant</w:t>
      </w:r>
      <w:r>
        <w:rPr>
          <w:rFonts w:cs="Times New Roman"/>
          <w:spacing w:val="-1"/>
          <w:sz w:val="16"/>
          <w:szCs w:val="16"/>
          <w:lang w:val="es-ES_tradnl"/>
        </w:rPr>
        <w:t>í</w:t>
      </w:r>
      <w:r>
        <w:rPr>
          <w:spacing w:val="-1"/>
          <w:sz w:val="16"/>
          <w:szCs w:val="16"/>
          <w:lang w:val="es-ES_tradnl"/>
        </w:rPr>
        <w:t>as jurisdiccionales</w:t>
      </w:r>
      <w:r>
        <w:rPr>
          <w:spacing w:val="-1"/>
          <w:sz w:val="16"/>
          <w:szCs w:val="16"/>
          <w:vertAlign w:val="superscript"/>
          <w:lang w:val="es-ES_tradnl"/>
        </w:rPr>
        <w:t>6</w:t>
      </w:r>
      <w:r>
        <w:rPr>
          <w:spacing w:val="-1"/>
          <w:sz w:val="16"/>
          <w:szCs w:val="16"/>
          <w:lang w:val="es-ES_tradnl"/>
        </w:rPr>
        <w:t>, es decir, la apelaci</w:t>
      </w:r>
      <w:r>
        <w:rPr>
          <w:rFonts w:cs="Times New Roman"/>
          <w:spacing w:val="-1"/>
          <w:sz w:val="16"/>
          <w:szCs w:val="16"/>
          <w:lang w:val="es-ES_tradnl"/>
        </w:rPr>
        <w:t>ó</w:t>
      </w:r>
      <w:r>
        <w:rPr>
          <w:spacing w:val="-1"/>
          <w:sz w:val="16"/>
          <w:szCs w:val="16"/>
          <w:lang w:val="es-ES_tradnl"/>
        </w:rPr>
        <w:t>n deber</w:t>
      </w:r>
      <w:r>
        <w:rPr>
          <w:rFonts w:cs="Times New Roman"/>
          <w:spacing w:val="-1"/>
          <w:sz w:val="16"/>
          <w:szCs w:val="16"/>
          <w:lang w:val="es-ES_tradnl"/>
        </w:rPr>
        <w:t>á</w:t>
      </w:r>
      <w:r>
        <w:rPr>
          <w:spacing w:val="-1"/>
          <w:sz w:val="16"/>
          <w:szCs w:val="16"/>
          <w:lang w:val="es-ES_tradnl"/>
        </w:rPr>
        <w:t xml:space="preserve"> ser</w:t>
      </w:r>
    </w:p>
    <w:p w14:paraId="4F67AF68" w14:textId="77777777" w:rsidR="00591D54" w:rsidRDefault="00591D54">
      <w:pPr>
        <w:shd w:val="clear" w:color="auto" w:fill="FFFFFF"/>
        <w:tabs>
          <w:tab w:val="left" w:pos="144"/>
        </w:tabs>
        <w:spacing w:before="470" w:line="178" w:lineRule="exact"/>
        <w:ind w:left="144" w:hanging="144"/>
        <w:jc w:val="both"/>
      </w:pPr>
      <w:r>
        <w:rPr>
          <w:sz w:val="10"/>
          <w:szCs w:val="10"/>
          <w:vertAlign w:val="superscript"/>
          <w:lang w:val="es-ES_tradnl"/>
        </w:rPr>
        <w:t>4</w:t>
      </w:r>
      <w:r>
        <w:rPr>
          <w:lang w:val="es-ES_tradnl"/>
        </w:rPr>
        <w:tab/>
      </w:r>
      <w:r>
        <w:rPr>
          <w:spacing w:val="-1"/>
          <w:sz w:val="14"/>
          <w:szCs w:val="14"/>
          <w:lang w:val="es-ES_tradnl"/>
        </w:rPr>
        <w:t>Art.</w:t>
      </w:r>
      <w:r>
        <w:rPr>
          <w:spacing w:val="-1"/>
          <w:lang w:val="es-ES_tradnl"/>
        </w:rPr>
        <w:t xml:space="preserve"> </w:t>
      </w:r>
      <w:r>
        <w:rPr>
          <w:spacing w:val="-1"/>
          <w:sz w:val="14"/>
          <w:szCs w:val="14"/>
          <w:lang w:val="es-ES_tradnl"/>
        </w:rPr>
        <w:t>7.-</w:t>
      </w:r>
      <w:r>
        <w:rPr>
          <w:spacing w:val="-1"/>
          <w:lang w:val="es-ES_tradnl"/>
        </w:rPr>
        <w:t xml:space="preserve"> </w:t>
      </w:r>
      <w:r>
        <w:rPr>
          <w:spacing w:val="-1"/>
          <w:sz w:val="14"/>
          <w:szCs w:val="14"/>
          <w:lang w:val="es-ES_tradnl"/>
        </w:rPr>
        <w:t>Competencia.-</w:t>
      </w:r>
      <w:r>
        <w:rPr>
          <w:spacing w:val="-1"/>
          <w:lang w:val="es-ES_tradnl"/>
        </w:rPr>
        <w:t xml:space="preserve"> </w:t>
      </w:r>
      <w:r>
        <w:rPr>
          <w:spacing w:val="-1"/>
          <w:sz w:val="14"/>
          <w:szCs w:val="14"/>
          <w:lang w:val="es-ES_tradnl"/>
        </w:rPr>
        <w:t>Ser</w:t>
      </w:r>
      <w:r>
        <w:rPr>
          <w:rFonts w:cs="Times New Roman"/>
          <w:spacing w:val="-1"/>
          <w:sz w:val="14"/>
          <w:szCs w:val="14"/>
          <w:lang w:val="es-ES_tradnl"/>
        </w:rPr>
        <w:t>á</w:t>
      </w:r>
      <w:r>
        <w:rPr>
          <w:spacing w:val="-1"/>
          <w:lang w:val="es-ES_tradnl"/>
        </w:rPr>
        <w:t xml:space="preserve"> </w:t>
      </w:r>
      <w:r>
        <w:rPr>
          <w:spacing w:val="-1"/>
          <w:sz w:val="14"/>
          <w:szCs w:val="14"/>
          <w:lang w:val="es-ES_tradnl"/>
        </w:rPr>
        <w:t>competente</w:t>
      </w:r>
      <w:r>
        <w:rPr>
          <w:spacing w:val="-1"/>
          <w:lang w:val="es-ES_tradnl"/>
        </w:rPr>
        <w:t xml:space="preserve"> </w:t>
      </w:r>
      <w:r>
        <w:rPr>
          <w:spacing w:val="-1"/>
          <w:sz w:val="14"/>
          <w:szCs w:val="14"/>
          <w:lang w:val="es-ES_tradnl"/>
        </w:rPr>
        <w:t>cualquier</w:t>
      </w:r>
      <w:r>
        <w:rPr>
          <w:spacing w:val="-1"/>
          <w:lang w:val="es-ES_tradnl"/>
        </w:rPr>
        <w:t xml:space="preserve"> </w:t>
      </w:r>
      <w:r>
        <w:rPr>
          <w:spacing w:val="-1"/>
          <w:sz w:val="14"/>
          <w:szCs w:val="14"/>
          <w:lang w:val="es-ES_tradnl"/>
        </w:rPr>
        <w:t>jueza</w:t>
      </w:r>
      <w:r>
        <w:rPr>
          <w:spacing w:val="-1"/>
          <w:lang w:val="es-ES_tradnl"/>
        </w:rPr>
        <w:t xml:space="preserve"> </w:t>
      </w:r>
      <w:r>
        <w:rPr>
          <w:spacing w:val="-1"/>
          <w:sz w:val="14"/>
          <w:szCs w:val="14"/>
          <w:lang w:val="es-ES_tradnl"/>
        </w:rPr>
        <w:t>o</w:t>
      </w:r>
      <w:r>
        <w:rPr>
          <w:spacing w:val="-1"/>
          <w:lang w:val="es-ES_tradnl"/>
        </w:rPr>
        <w:t xml:space="preserve"> </w:t>
      </w:r>
      <w:r>
        <w:rPr>
          <w:spacing w:val="-1"/>
          <w:sz w:val="14"/>
          <w:szCs w:val="14"/>
          <w:lang w:val="es-ES_tradnl"/>
        </w:rPr>
        <w:t>juez</w:t>
      </w:r>
      <w:r>
        <w:rPr>
          <w:spacing w:val="-1"/>
          <w:lang w:val="es-ES_tradnl"/>
        </w:rPr>
        <w:t xml:space="preserve"> </w:t>
      </w:r>
      <w:r>
        <w:rPr>
          <w:spacing w:val="-1"/>
          <w:sz w:val="14"/>
          <w:szCs w:val="14"/>
          <w:lang w:val="es-ES_tradnl"/>
        </w:rPr>
        <w:t>de primera instancia del lugar en donde se origina el acto u omisi</w:t>
      </w:r>
      <w:r>
        <w:rPr>
          <w:rFonts w:cs="Times New Roman"/>
          <w:spacing w:val="-1"/>
          <w:sz w:val="14"/>
          <w:szCs w:val="14"/>
          <w:lang w:val="es-ES_tradnl"/>
        </w:rPr>
        <w:t>ó</w:t>
      </w:r>
      <w:r>
        <w:rPr>
          <w:spacing w:val="-1"/>
          <w:sz w:val="14"/>
          <w:szCs w:val="14"/>
          <w:lang w:val="es-ES_tradnl"/>
        </w:rPr>
        <w:t>n o </w:t>
      </w:r>
      <w:r>
        <w:rPr>
          <w:spacing w:val="-3"/>
          <w:sz w:val="14"/>
          <w:szCs w:val="14"/>
          <w:lang w:val="es-ES_tradnl"/>
        </w:rPr>
        <w:t>donde se producen sus efectos. Cuando en la misma circunscripci</w:t>
      </w:r>
      <w:r>
        <w:rPr>
          <w:rFonts w:cs="Times New Roman"/>
          <w:spacing w:val="-3"/>
          <w:sz w:val="14"/>
          <w:szCs w:val="14"/>
          <w:lang w:val="es-ES_tradnl"/>
        </w:rPr>
        <w:t>ó</w:t>
      </w:r>
      <w:r>
        <w:rPr>
          <w:spacing w:val="-3"/>
          <w:sz w:val="14"/>
          <w:szCs w:val="14"/>
          <w:lang w:val="es-ES_tradnl"/>
        </w:rPr>
        <w:t>n </w:t>
      </w:r>
      <w:r>
        <w:rPr>
          <w:sz w:val="14"/>
          <w:szCs w:val="14"/>
          <w:lang w:val="es-ES_tradnl"/>
        </w:rPr>
        <w:t>territorial hubiere varias juezas o jueces competentes, la demanda </w:t>
      </w:r>
      <w:r>
        <w:rPr>
          <w:spacing w:val="-3"/>
          <w:sz w:val="14"/>
          <w:szCs w:val="14"/>
          <w:lang w:val="es-ES_tradnl"/>
        </w:rPr>
        <w:t>se sortear</w:t>
      </w:r>
      <w:r>
        <w:rPr>
          <w:rFonts w:cs="Times New Roman"/>
          <w:spacing w:val="-3"/>
          <w:sz w:val="14"/>
          <w:szCs w:val="14"/>
          <w:lang w:val="es-ES_tradnl"/>
        </w:rPr>
        <w:t>á</w:t>
      </w:r>
      <w:r>
        <w:rPr>
          <w:spacing w:val="-3"/>
          <w:sz w:val="14"/>
          <w:szCs w:val="14"/>
          <w:lang w:val="es-ES_tradnl"/>
        </w:rPr>
        <w:t xml:space="preserve"> entre ellos. Estas acciones ser</w:t>
      </w:r>
      <w:r>
        <w:rPr>
          <w:rFonts w:cs="Times New Roman"/>
          <w:spacing w:val="-3"/>
          <w:sz w:val="14"/>
          <w:szCs w:val="14"/>
          <w:lang w:val="es-ES_tradnl"/>
        </w:rPr>
        <w:t>á</w:t>
      </w:r>
      <w:r>
        <w:rPr>
          <w:spacing w:val="-3"/>
          <w:sz w:val="14"/>
          <w:szCs w:val="14"/>
          <w:lang w:val="es-ES_tradnl"/>
        </w:rPr>
        <w:t>n sorteadas de modo </w:t>
      </w:r>
      <w:r>
        <w:rPr>
          <w:spacing w:val="-2"/>
          <w:sz w:val="14"/>
          <w:szCs w:val="14"/>
          <w:lang w:val="es-ES_tradnl"/>
        </w:rPr>
        <w:t>adecuado, preferente e inmediato. En caso de que se presente la demanda oralmente, se realizar</w:t>
      </w:r>
      <w:r>
        <w:rPr>
          <w:rFonts w:cs="Times New Roman"/>
          <w:spacing w:val="-2"/>
          <w:sz w:val="14"/>
          <w:szCs w:val="14"/>
          <w:lang w:val="es-ES_tradnl"/>
        </w:rPr>
        <w:t>á</w:t>
      </w:r>
      <w:r>
        <w:rPr>
          <w:spacing w:val="-2"/>
          <w:sz w:val="14"/>
          <w:szCs w:val="14"/>
          <w:lang w:val="es-ES_tradnl"/>
        </w:rPr>
        <w:t xml:space="preserve"> el sorteo s</w:t>
      </w:r>
      <w:r>
        <w:rPr>
          <w:rFonts w:cs="Times New Roman"/>
          <w:spacing w:val="-2"/>
          <w:sz w:val="14"/>
          <w:szCs w:val="14"/>
          <w:lang w:val="es-ES_tradnl"/>
        </w:rPr>
        <w:t>ó</w:t>
      </w:r>
      <w:r>
        <w:rPr>
          <w:spacing w:val="-2"/>
          <w:sz w:val="14"/>
          <w:szCs w:val="14"/>
          <w:lang w:val="es-ES_tradnl"/>
        </w:rPr>
        <w:t>lo con la identificaci</w:t>
      </w:r>
      <w:r>
        <w:rPr>
          <w:rFonts w:cs="Times New Roman"/>
          <w:spacing w:val="-2"/>
          <w:sz w:val="14"/>
          <w:szCs w:val="14"/>
          <w:lang w:val="es-ES_tradnl"/>
        </w:rPr>
        <w:t>ó</w:t>
      </w:r>
      <w:r>
        <w:rPr>
          <w:spacing w:val="-2"/>
          <w:sz w:val="14"/>
          <w:szCs w:val="14"/>
          <w:lang w:val="es-ES_tradnl"/>
        </w:rPr>
        <w:t>n personal. En las acciones de h</w:t>
      </w:r>
      <w:r>
        <w:rPr>
          <w:rFonts w:cs="Times New Roman"/>
          <w:spacing w:val="-2"/>
          <w:sz w:val="14"/>
          <w:szCs w:val="14"/>
          <w:lang w:val="es-ES_tradnl"/>
        </w:rPr>
        <w:t>á</w:t>
      </w:r>
      <w:r>
        <w:rPr>
          <w:spacing w:val="-2"/>
          <w:sz w:val="14"/>
          <w:szCs w:val="14"/>
          <w:lang w:val="es-ES_tradnl"/>
        </w:rPr>
        <w:t>beas data y acceso a la informaci</w:t>
      </w:r>
      <w:r>
        <w:rPr>
          <w:rFonts w:cs="Times New Roman"/>
          <w:spacing w:val="-2"/>
          <w:sz w:val="14"/>
          <w:szCs w:val="14"/>
          <w:lang w:val="es-ES_tradnl"/>
        </w:rPr>
        <w:t>ó</w:t>
      </w:r>
      <w:r>
        <w:rPr>
          <w:spacing w:val="-2"/>
          <w:sz w:val="14"/>
          <w:szCs w:val="14"/>
          <w:lang w:val="es-ES_tradnl"/>
        </w:rPr>
        <w:t>n </w:t>
      </w:r>
      <w:r>
        <w:rPr>
          <w:sz w:val="14"/>
          <w:szCs w:val="14"/>
          <w:lang w:val="es-ES_tradnl"/>
        </w:rPr>
        <w:t>p</w:t>
      </w:r>
      <w:r>
        <w:rPr>
          <w:rFonts w:cs="Times New Roman"/>
          <w:sz w:val="14"/>
          <w:szCs w:val="14"/>
          <w:lang w:val="es-ES_tradnl"/>
        </w:rPr>
        <w:t>ú</w:t>
      </w:r>
      <w:r>
        <w:rPr>
          <w:sz w:val="14"/>
          <w:szCs w:val="14"/>
          <w:lang w:val="es-ES_tradnl"/>
        </w:rPr>
        <w:t>blica, se estar</w:t>
      </w:r>
      <w:r>
        <w:rPr>
          <w:rFonts w:cs="Times New Roman"/>
          <w:sz w:val="14"/>
          <w:szCs w:val="14"/>
          <w:lang w:val="es-ES_tradnl"/>
        </w:rPr>
        <w:t>á</w:t>
      </w:r>
      <w:r>
        <w:rPr>
          <w:sz w:val="14"/>
          <w:szCs w:val="14"/>
          <w:lang w:val="es-ES_tradnl"/>
        </w:rPr>
        <w:t xml:space="preserve"> a lo dispuesto en esta ley.</w:t>
      </w:r>
    </w:p>
    <w:p w14:paraId="4F67AF69" w14:textId="77777777" w:rsidR="00591D54" w:rsidRDefault="00591D54">
      <w:pPr>
        <w:shd w:val="clear" w:color="auto" w:fill="FFFFFF"/>
        <w:spacing w:line="178" w:lineRule="exact"/>
        <w:ind w:left="144"/>
        <w:jc w:val="both"/>
      </w:pPr>
      <w:r>
        <w:rPr>
          <w:spacing w:val="-1"/>
          <w:sz w:val="14"/>
          <w:szCs w:val="14"/>
          <w:lang w:val="es-ES_tradnl"/>
        </w:rPr>
        <w:t>Art. 44.- Tr</w:t>
      </w:r>
      <w:r>
        <w:rPr>
          <w:rFonts w:cs="Times New Roman"/>
          <w:spacing w:val="-1"/>
          <w:sz w:val="14"/>
          <w:szCs w:val="14"/>
          <w:lang w:val="es-ES_tradnl"/>
        </w:rPr>
        <w:t>á</w:t>
      </w:r>
      <w:r>
        <w:rPr>
          <w:spacing w:val="-1"/>
          <w:sz w:val="14"/>
          <w:szCs w:val="14"/>
          <w:lang w:val="es-ES_tradnl"/>
        </w:rPr>
        <w:t>mite.- La acci</w:t>
      </w:r>
      <w:r>
        <w:rPr>
          <w:rFonts w:cs="Times New Roman"/>
          <w:spacing w:val="-1"/>
          <w:sz w:val="14"/>
          <w:szCs w:val="14"/>
          <w:lang w:val="es-ES_tradnl"/>
        </w:rPr>
        <w:t>ó</w:t>
      </w:r>
      <w:r>
        <w:rPr>
          <w:spacing w:val="-1"/>
          <w:sz w:val="14"/>
          <w:szCs w:val="14"/>
          <w:lang w:val="es-ES_tradnl"/>
        </w:rPr>
        <w:t>n de h</w:t>
      </w:r>
      <w:r>
        <w:rPr>
          <w:rFonts w:cs="Times New Roman"/>
          <w:spacing w:val="-1"/>
          <w:sz w:val="14"/>
          <w:szCs w:val="14"/>
          <w:lang w:val="es-ES_tradnl"/>
        </w:rPr>
        <w:t>á</w:t>
      </w:r>
      <w:r>
        <w:rPr>
          <w:spacing w:val="-1"/>
          <w:sz w:val="14"/>
          <w:szCs w:val="14"/>
          <w:lang w:val="es-ES_tradnl"/>
        </w:rPr>
        <w:t>beas corpus, en lo que no fueren aplicables las normas generales seguir</w:t>
      </w:r>
      <w:r>
        <w:rPr>
          <w:rFonts w:cs="Times New Roman"/>
          <w:spacing w:val="-1"/>
          <w:sz w:val="14"/>
          <w:szCs w:val="14"/>
          <w:lang w:val="es-ES_tradnl"/>
        </w:rPr>
        <w:t>á</w:t>
      </w:r>
      <w:r>
        <w:rPr>
          <w:spacing w:val="-1"/>
          <w:sz w:val="14"/>
          <w:szCs w:val="14"/>
          <w:lang w:val="es-ES_tradnl"/>
        </w:rPr>
        <w:t xml:space="preserve"> el siguiente tr</w:t>
      </w:r>
      <w:r>
        <w:rPr>
          <w:rFonts w:cs="Times New Roman"/>
          <w:spacing w:val="-1"/>
          <w:sz w:val="14"/>
          <w:szCs w:val="14"/>
          <w:lang w:val="es-ES_tradnl"/>
        </w:rPr>
        <w:t>á</w:t>
      </w:r>
      <w:r>
        <w:rPr>
          <w:spacing w:val="-1"/>
          <w:sz w:val="14"/>
          <w:szCs w:val="14"/>
          <w:lang w:val="es-ES_tradnl"/>
        </w:rPr>
        <w:t>mite: 1. La acci</w:t>
      </w:r>
      <w:r>
        <w:rPr>
          <w:rFonts w:cs="Times New Roman"/>
          <w:spacing w:val="-1"/>
          <w:sz w:val="14"/>
          <w:szCs w:val="14"/>
          <w:lang w:val="es-ES_tradnl"/>
        </w:rPr>
        <w:t>ó</w:t>
      </w:r>
      <w:r>
        <w:rPr>
          <w:spacing w:val="-1"/>
          <w:sz w:val="14"/>
          <w:szCs w:val="14"/>
          <w:lang w:val="es-ES_tradnl"/>
        </w:rPr>
        <w:t xml:space="preserve">n puede ser interpuesta ante cualquier jueza o juez del lugar </w:t>
      </w:r>
      <w:r>
        <w:rPr>
          <w:spacing w:val="-2"/>
          <w:sz w:val="14"/>
          <w:szCs w:val="14"/>
          <w:lang w:val="es-ES_tradnl"/>
        </w:rPr>
        <w:t>donde se presuma est</w:t>
      </w:r>
      <w:r>
        <w:rPr>
          <w:rFonts w:cs="Times New Roman"/>
          <w:spacing w:val="-2"/>
          <w:sz w:val="14"/>
          <w:szCs w:val="14"/>
          <w:lang w:val="es-ES_tradnl"/>
        </w:rPr>
        <w:t>á</w:t>
      </w:r>
      <w:r>
        <w:rPr>
          <w:spacing w:val="-2"/>
          <w:sz w:val="14"/>
          <w:szCs w:val="14"/>
          <w:lang w:val="es-ES_tradnl"/>
        </w:rPr>
        <w:t xml:space="preserve"> privada de libertad la persona. Cuando se desconozca el lugar de privaci</w:t>
      </w:r>
      <w:r>
        <w:rPr>
          <w:rFonts w:cs="Times New Roman"/>
          <w:spacing w:val="-2"/>
          <w:sz w:val="14"/>
          <w:szCs w:val="14"/>
          <w:lang w:val="es-ES_tradnl"/>
        </w:rPr>
        <w:t>ó</w:t>
      </w:r>
      <w:r>
        <w:rPr>
          <w:spacing w:val="-2"/>
          <w:sz w:val="14"/>
          <w:szCs w:val="14"/>
          <w:lang w:val="es-ES_tradnl"/>
        </w:rPr>
        <w:t>n de libertad, se podr</w:t>
      </w:r>
      <w:r>
        <w:rPr>
          <w:rFonts w:cs="Times New Roman"/>
          <w:spacing w:val="-2"/>
          <w:sz w:val="14"/>
          <w:szCs w:val="14"/>
          <w:lang w:val="es-ES_tradnl"/>
        </w:rPr>
        <w:t>á</w:t>
      </w:r>
      <w:r>
        <w:rPr>
          <w:spacing w:val="-2"/>
          <w:sz w:val="14"/>
          <w:szCs w:val="14"/>
          <w:lang w:val="es-ES_tradnl"/>
        </w:rPr>
        <w:t xml:space="preserve"> presentar la </w:t>
      </w:r>
      <w:r>
        <w:rPr>
          <w:spacing w:val="-1"/>
          <w:sz w:val="14"/>
          <w:szCs w:val="14"/>
          <w:lang w:val="es-ES_tradnl"/>
        </w:rPr>
        <w:t>acci</w:t>
      </w:r>
      <w:r>
        <w:rPr>
          <w:rFonts w:cs="Times New Roman"/>
          <w:spacing w:val="-1"/>
          <w:sz w:val="14"/>
          <w:szCs w:val="14"/>
          <w:lang w:val="es-ES_tradnl"/>
        </w:rPr>
        <w:t>ó</w:t>
      </w:r>
      <w:r>
        <w:rPr>
          <w:spacing w:val="-1"/>
          <w:sz w:val="14"/>
          <w:szCs w:val="14"/>
          <w:lang w:val="es-ES_tradnl"/>
        </w:rPr>
        <w:t>n ante la jueza o juez del domicilio del accionante. Cuando la orden de privaci</w:t>
      </w:r>
      <w:r>
        <w:rPr>
          <w:rFonts w:cs="Times New Roman"/>
          <w:spacing w:val="-1"/>
          <w:sz w:val="14"/>
          <w:szCs w:val="14"/>
          <w:lang w:val="es-ES_tradnl"/>
        </w:rPr>
        <w:t>ó</w:t>
      </w:r>
      <w:r>
        <w:rPr>
          <w:spacing w:val="-1"/>
          <w:sz w:val="14"/>
          <w:szCs w:val="14"/>
          <w:lang w:val="es-ES_tradnl"/>
        </w:rPr>
        <w:t xml:space="preserve">n de la libertad haya sido dispuesta en un proceso </w:t>
      </w:r>
      <w:r>
        <w:rPr>
          <w:spacing w:val="-3"/>
          <w:sz w:val="14"/>
          <w:szCs w:val="14"/>
          <w:lang w:val="es-ES_tradnl"/>
        </w:rPr>
        <w:t>penal, la acci</w:t>
      </w:r>
      <w:r>
        <w:rPr>
          <w:rFonts w:cs="Times New Roman"/>
          <w:spacing w:val="-3"/>
          <w:sz w:val="14"/>
          <w:szCs w:val="14"/>
          <w:lang w:val="es-ES_tradnl"/>
        </w:rPr>
        <w:t>ó</w:t>
      </w:r>
      <w:r>
        <w:rPr>
          <w:spacing w:val="-3"/>
          <w:sz w:val="14"/>
          <w:szCs w:val="14"/>
          <w:lang w:val="es-ES_tradnl"/>
        </w:rPr>
        <w:t>n se interpondr</w:t>
      </w:r>
      <w:r>
        <w:rPr>
          <w:rFonts w:cs="Times New Roman"/>
          <w:spacing w:val="-3"/>
          <w:sz w:val="14"/>
          <w:szCs w:val="14"/>
          <w:lang w:val="es-ES_tradnl"/>
        </w:rPr>
        <w:t>á</w:t>
      </w:r>
      <w:r>
        <w:rPr>
          <w:spacing w:val="-3"/>
          <w:sz w:val="14"/>
          <w:szCs w:val="14"/>
          <w:lang w:val="es-ES_tradnl"/>
        </w:rPr>
        <w:t xml:space="preserve"> ante la Corte Provincial de Justicia; de </w:t>
      </w:r>
      <w:r>
        <w:rPr>
          <w:sz w:val="14"/>
          <w:szCs w:val="14"/>
          <w:lang w:val="es-ES_tradnl"/>
        </w:rPr>
        <w:t>haber m</w:t>
      </w:r>
      <w:r>
        <w:rPr>
          <w:rFonts w:cs="Times New Roman"/>
          <w:sz w:val="14"/>
          <w:szCs w:val="14"/>
          <w:lang w:val="es-ES_tradnl"/>
        </w:rPr>
        <w:t>á</w:t>
      </w:r>
      <w:r>
        <w:rPr>
          <w:sz w:val="14"/>
          <w:szCs w:val="14"/>
          <w:lang w:val="es-ES_tradnl"/>
        </w:rPr>
        <w:t>s de una sala, se sortear</w:t>
      </w:r>
      <w:r>
        <w:rPr>
          <w:rFonts w:cs="Times New Roman"/>
          <w:sz w:val="14"/>
          <w:szCs w:val="14"/>
          <w:lang w:val="es-ES_tradnl"/>
        </w:rPr>
        <w:t>á</w:t>
      </w:r>
      <w:r>
        <w:rPr>
          <w:sz w:val="14"/>
          <w:szCs w:val="14"/>
          <w:lang w:val="es-ES_tradnl"/>
        </w:rPr>
        <w:t xml:space="preserve"> entre ellas.</w:t>
      </w:r>
    </w:p>
    <w:p w14:paraId="4F67AF6A" w14:textId="77777777" w:rsidR="00591D54" w:rsidRDefault="00591D54">
      <w:pPr>
        <w:shd w:val="clear" w:color="auto" w:fill="FFFFFF"/>
        <w:spacing w:line="178" w:lineRule="exact"/>
        <w:ind w:left="144"/>
        <w:jc w:val="both"/>
      </w:pPr>
      <w:r>
        <w:rPr>
          <w:sz w:val="14"/>
          <w:szCs w:val="14"/>
          <w:lang w:val="es-ES_tradnl"/>
        </w:rPr>
        <w:t xml:space="preserve">Art. 167.- Juezas y jueces de primer nivel.- Compete a las juezas y jueces de primer nivel conocer y resolver, en primera instancia, </w:t>
      </w:r>
      <w:r>
        <w:rPr>
          <w:spacing w:val="-3"/>
          <w:sz w:val="14"/>
          <w:szCs w:val="14"/>
          <w:lang w:val="es-ES_tradnl"/>
        </w:rPr>
        <w:t>la acci</w:t>
      </w:r>
      <w:r>
        <w:rPr>
          <w:rFonts w:cs="Times New Roman"/>
          <w:spacing w:val="-3"/>
          <w:sz w:val="14"/>
          <w:szCs w:val="14"/>
          <w:lang w:val="es-ES_tradnl"/>
        </w:rPr>
        <w:t>ó</w:t>
      </w:r>
      <w:r>
        <w:rPr>
          <w:spacing w:val="-3"/>
          <w:sz w:val="14"/>
          <w:szCs w:val="14"/>
          <w:lang w:val="es-ES_tradnl"/>
        </w:rPr>
        <w:t>n de protecci</w:t>
      </w:r>
      <w:r>
        <w:rPr>
          <w:rFonts w:cs="Times New Roman"/>
          <w:spacing w:val="-3"/>
          <w:sz w:val="14"/>
          <w:szCs w:val="14"/>
          <w:lang w:val="es-ES_tradnl"/>
        </w:rPr>
        <w:t>ó</w:t>
      </w:r>
      <w:r>
        <w:rPr>
          <w:spacing w:val="-3"/>
          <w:sz w:val="14"/>
          <w:szCs w:val="14"/>
          <w:lang w:val="es-ES_tradnl"/>
        </w:rPr>
        <w:t>n, h</w:t>
      </w:r>
      <w:r>
        <w:rPr>
          <w:rFonts w:cs="Times New Roman"/>
          <w:spacing w:val="-3"/>
          <w:sz w:val="14"/>
          <w:szCs w:val="14"/>
          <w:lang w:val="es-ES_tradnl"/>
        </w:rPr>
        <w:t>á</w:t>
      </w:r>
      <w:r>
        <w:rPr>
          <w:spacing w:val="-3"/>
          <w:sz w:val="14"/>
          <w:szCs w:val="14"/>
          <w:lang w:val="es-ES_tradnl"/>
        </w:rPr>
        <w:t>beas corpus, h</w:t>
      </w:r>
      <w:r>
        <w:rPr>
          <w:rFonts w:cs="Times New Roman"/>
          <w:spacing w:val="-3"/>
          <w:sz w:val="14"/>
          <w:szCs w:val="14"/>
          <w:lang w:val="es-ES_tradnl"/>
        </w:rPr>
        <w:t>á</w:t>
      </w:r>
      <w:r>
        <w:rPr>
          <w:spacing w:val="-3"/>
          <w:sz w:val="14"/>
          <w:szCs w:val="14"/>
          <w:lang w:val="es-ES_tradnl"/>
        </w:rPr>
        <w:t xml:space="preserve">beas data, acceso a la </w:t>
      </w:r>
      <w:r>
        <w:rPr>
          <w:sz w:val="14"/>
          <w:szCs w:val="14"/>
          <w:lang w:val="es-ES_tradnl"/>
        </w:rPr>
        <w:t>informaci</w:t>
      </w:r>
      <w:r>
        <w:rPr>
          <w:rFonts w:cs="Times New Roman"/>
          <w:sz w:val="14"/>
          <w:szCs w:val="14"/>
          <w:lang w:val="es-ES_tradnl"/>
        </w:rPr>
        <w:t>ó</w:t>
      </w:r>
      <w:r>
        <w:rPr>
          <w:sz w:val="14"/>
          <w:szCs w:val="14"/>
          <w:lang w:val="es-ES_tradnl"/>
        </w:rPr>
        <w:t>n p</w:t>
      </w:r>
      <w:r>
        <w:rPr>
          <w:rFonts w:cs="Times New Roman"/>
          <w:sz w:val="14"/>
          <w:szCs w:val="14"/>
          <w:lang w:val="es-ES_tradnl"/>
        </w:rPr>
        <w:t>ú</w:t>
      </w:r>
      <w:r>
        <w:rPr>
          <w:sz w:val="14"/>
          <w:szCs w:val="14"/>
          <w:lang w:val="es-ES_tradnl"/>
        </w:rPr>
        <w:t>blica, petici</w:t>
      </w:r>
      <w:r>
        <w:rPr>
          <w:rFonts w:cs="Times New Roman"/>
          <w:sz w:val="14"/>
          <w:szCs w:val="14"/>
          <w:lang w:val="es-ES_tradnl"/>
        </w:rPr>
        <w:t>ó</w:t>
      </w:r>
      <w:r>
        <w:rPr>
          <w:sz w:val="14"/>
          <w:szCs w:val="14"/>
          <w:lang w:val="es-ES_tradnl"/>
        </w:rPr>
        <w:t xml:space="preserve">n de medidas cautelares; y ejercer </w:t>
      </w:r>
      <w:r>
        <w:rPr>
          <w:spacing w:val="-2"/>
          <w:sz w:val="14"/>
          <w:szCs w:val="14"/>
          <w:lang w:val="es-ES_tradnl"/>
        </w:rPr>
        <w:t>control concreto en los t</w:t>
      </w:r>
      <w:r>
        <w:rPr>
          <w:rFonts w:cs="Times New Roman"/>
          <w:spacing w:val="-2"/>
          <w:sz w:val="14"/>
          <w:szCs w:val="14"/>
          <w:lang w:val="es-ES_tradnl"/>
        </w:rPr>
        <w:t>é</w:t>
      </w:r>
      <w:r>
        <w:rPr>
          <w:spacing w:val="-2"/>
          <w:sz w:val="14"/>
          <w:szCs w:val="14"/>
          <w:lang w:val="es-ES_tradnl"/>
        </w:rPr>
        <w:t>rminos establecidos en esta ley.</w:t>
      </w:r>
    </w:p>
    <w:p w14:paraId="4F67AF6B" w14:textId="77777777" w:rsidR="00591D54" w:rsidRDefault="00591D54">
      <w:pPr>
        <w:shd w:val="clear" w:color="auto" w:fill="FFFFFF"/>
        <w:tabs>
          <w:tab w:val="left" w:pos="144"/>
        </w:tabs>
        <w:spacing w:before="154" w:line="178" w:lineRule="exact"/>
        <w:ind w:left="144" w:hanging="144"/>
        <w:jc w:val="both"/>
      </w:pPr>
      <w:r>
        <w:rPr>
          <w:sz w:val="10"/>
          <w:szCs w:val="10"/>
          <w:vertAlign w:val="superscript"/>
          <w:lang w:val="es-ES_tradnl"/>
        </w:rPr>
        <w:t>5</w:t>
      </w:r>
      <w:r>
        <w:rPr>
          <w:lang w:val="es-ES_tradnl"/>
        </w:rPr>
        <w:tab/>
      </w:r>
      <w:r>
        <w:rPr>
          <w:sz w:val="14"/>
          <w:szCs w:val="14"/>
          <w:lang w:val="es-ES_tradnl"/>
        </w:rPr>
        <w:t>Art.</w:t>
      </w:r>
      <w:r>
        <w:rPr>
          <w:lang w:val="es-ES_tradnl"/>
        </w:rPr>
        <w:t xml:space="preserve"> </w:t>
      </w:r>
      <w:r>
        <w:rPr>
          <w:sz w:val="14"/>
          <w:szCs w:val="14"/>
          <w:lang w:val="es-ES_tradnl"/>
        </w:rPr>
        <w:t>44</w:t>
      </w:r>
      <w:r>
        <w:rPr>
          <w:lang w:val="es-ES_tradnl"/>
        </w:rPr>
        <w:t xml:space="preserve"> </w:t>
      </w:r>
      <w:r>
        <w:rPr>
          <w:sz w:val="14"/>
          <w:szCs w:val="14"/>
          <w:lang w:val="es-ES_tradnl"/>
        </w:rPr>
        <w:t>numeral</w:t>
      </w:r>
      <w:r>
        <w:rPr>
          <w:lang w:val="es-ES_tradnl"/>
        </w:rPr>
        <w:t xml:space="preserve"> </w:t>
      </w:r>
      <w:r>
        <w:rPr>
          <w:sz w:val="14"/>
          <w:szCs w:val="14"/>
          <w:lang w:val="es-ES_tradnl"/>
        </w:rPr>
        <w:t>1</w:t>
      </w:r>
      <w:r>
        <w:rPr>
          <w:lang w:val="es-ES_tradnl"/>
        </w:rPr>
        <w:t xml:space="preserve"> </w:t>
      </w:r>
      <w:r>
        <w:rPr>
          <w:sz w:val="14"/>
          <w:szCs w:val="14"/>
          <w:lang w:val="es-ES_tradnl"/>
        </w:rPr>
        <w:t>Ley</w:t>
      </w:r>
      <w:r>
        <w:rPr>
          <w:lang w:val="es-ES_tradnl"/>
        </w:rPr>
        <w:t xml:space="preserve"> </w:t>
      </w:r>
      <w:r>
        <w:rPr>
          <w:sz w:val="14"/>
          <w:szCs w:val="14"/>
          <w:lang w:val="es-ES_tradnl"/>
        </w:rPr>
        <w:t>Org</w:t>
      </w:r>
      <w:r>
        <w:rPr>
          <w:rFonts w:cs="Times New Roman"/>
          <w:sz w:val="14"/>
          <w:szCs w:val="14"/>
          <w:lang w:val="es-ES_tradnl"/>
        </w:rPr>
        <w:t>á</w:t>
      </w:r>
      <w:r>
        <w:rPr>
          <w:sz w:val="14"/>
          <w:szCs w:val="14"/>
          <w:lang w:val="es-ES_tradnl"/>
        </w:rPr>
        <w:t>nica</w:t>
      </w:r>
      <w:r>
        <w:rPr>
          <w:lang w:val="es-ES_tradnl"/>
        </w:rPr>
        <w:t xml:space="preserve"> </w:t>
      </w:r>
      <w:r>
        <w:rPr>
          <w:sz w:val="14"/>
          <w:szCs w:val="14"/>
          <w:lang w:val="es-ES_tradnl"/>
        </w:rPr>
        <w:t>de</w:t>
      </w:r>
      <w:r>
        <w:rPr>
          <w:lang w:val="es-ES_tradnl"/>
        </w:rPr>
        <w:t xml:space="preserve"> </w:t>
      </w:r>
      <w:r>
        <w:rPr>
          <w:sz w:val="14"/>
          <w:szCs w:val="14"/>
          <w:lang w:val="es-ES_tradnl"/>
        </w:rPr>
        <w:t>Garant</w:t>
      </w:r>
      <w:r>
        <w:rPr>
          <w:rFonts w:cs="Times New Roman"/>
          <w:sz w:val="14"/>
          <w:szCs w:val="14"/>
          <w:lang w:val="es-ES_tradnl"/>
        </w:rPr>
        <w:t>í</w:t>
      </w:r>
      <w:r>
        <w:rPr>
          <w:sz w:val="14"/>
          <w:szCs w:val="14"/>
          <w:lang w:val="es-ES_tradnl"/>
        </w:rPr>
        <w:t>as</w:t>
      </w:r>
      <w:r>
        <w:rPr>
          <w:lang w:val="es-ES_tradnl"/>
        </w:rPr>
        <w:t xml:space="preserve"> </w:t>
      </w:r>
      <w:r>
        <w:rPr>
          <w:sz w:val="14"/>
          <w:szCs w:val="14"/>
          <w:lang w:val="es-ES_tradnl"/>
        </w:rPr>
        <w:t>Jurisdiccionales y Control Constitucional; Art</w:t>
      </w:r>
      <w:r>
        <w:rPr>
          <w:rFonts w:cs="Times New Roman"/>
          <w:sz w:val="14"/>
          <w:szCs w:val="14"/>
          <w:lang w:val="es-ES_tradnl"/>
        </w:rPr>
        <w:t>í</w:t>
      </w:r>
      <w:r>
        <w:rPr>
          <w:sz w:val="14"/>
          <w:szCs w:val="14"/>
          <w:lang w:val="es-ES_tradnl"/>
        </w:rPr>
        <w:t>culo 89 de la Constituci</w:t>
      </w:r>
      <w:r>
        <w:rPr>
          <w:rFonts w:cs="Times New Roman"/>
          <w:sz w:val="14"/>
          <w:szCs w:val="14"/>
          <w:lang w:val="es-ES_tradnl"/>
        </w:rPr>
        <w:t>ó</w:t>
      </w:r>
      <w:r>
        <w:rPr>
          <w:sz w:val="14"/>
          <w:szCs w:val="14"/>
          <w:lang w:val="es-ES_tradnl"/>
        </w:rPr>
        <w:t>n de la Rep</w:t>
      </w:r>
      <w:r>
        <w:rPr>
          <w:rFonts w:cs="Times New Roman"/>
          <w:sz w:val="14"/>
          <w:szCs w:val="14"/>
          <w:lang w:val="es-ES_tradnl"/>
        </w:rPr>
        <w:t>ú</w:t>
      </w:r>
      <w:r>
        <w:rPr>
          <w:sz w:val="14"/>
          <w:szCs w:val="14"/>
          <w:lang w:val="es-ES_tradnl"/>
        </w:rPr>
        <w:t>blica, inciso final.</w:t>
      </w:r>
    </w:p>
    <w:p w14:paraId="4F67AF6C" w14:textId="77777777" w:rsidR="00591D54" w:rsidRDefault="00591D54">
      <w:pPr>
        <w:shd w:val="clear" w:color="auto" w:fill="FFFFFF"/>
        <w:tabs>
          <w:tab w:val="left" w:pos="144"/>
        </w:tabs>
        <w:spacing w:before="149" w:line="178" w:lineRule="exact"/>
        <w:ind w:left="144" w:hanging="144"/>
        <w:jc w:val="both"/>
      </w:pPr>
      <w:r>
        <w:rPr>
          <w:sz w:val="10"/>
          <w:szCs w:val="10"/>
          <w:vertAlign w:val="superscript"/>
          <w:lang w:val="es-ES_tradnl"/>
        </w:rPr>
        <w:t>6</w:t>
      </w:r>
      <w:r>
        <w:rPr>
          <w:lang w:val="es-ES_tradnl"/>
        </w:rPr>
        <w:tab/>
      </w:r>
      <w:r>
        <w:rPr>
          <w:spacing w:val="-2"/>
          <w:sz w:val="14"/>
          <w:szCs w:val="14"/>
          <w:lang w:val="es-ES_tradnl"/>
        </w:rPr>
        <w:t>Art.</w:t>
      </w:r>
      <w:r>
        <w:rPr>
          <w:spacing w:val="-2"/>
          <w:lang w:val="es-ES_tradnl"/>
        </w:rPr>
        <w:t xml:space="preserve"> </w:t>
      </w:r>
      <w:r>
        <w:rPr>
          <w:spacing w:val="-2"/>
          <w:sz w:val="14"/>
          <w:szCs w:val="14"/>
          <w:lang w:val="es-ES_tradnl"/>
        </w:rPr>
        <w:t>24.-</w:t>
      </w:r>
      <w:r>
        <w:rPr>
          <w:spacing w:val="-2"/>
          <w:lang w:val="es-ES_tradnl"/>
        </w:rPr>
        <w:t xml:space="preserve"> </w:t>
      </w:r>
      <w:r>
        <w:rPr>
          <w:spacing w:val="-2"/>
          <w:sz w:val="14"/>
          <w:szCs w:val="14"/>
          <w:lang w:val="es-ES_tradnl"/>
        </w:rPr>
        <w:t>Apelaci</w:t>
      </w:r>
      <w:r>
        <w:rPr>
          <w:rFonts w:cs="Times New Roman"/>
          <w:spacing w:val="-2"/>
          <w:sz w:val="14"/>
          <w:szCs w:val="14"/>
          <w:lang w:val="es-ES_tradnl"/>
        </w:rPr>
        <w:t>ó</w:t>
      </w:r>
      <w:r>
        <w:rPr>
          <w:spacing w:val="-2"/>
          <w:sz w:val="14"/>
          <w:szCs w:val="14"/>
          <w:lang w:val="es-ES_tradnl"/>
        </w:rPr>
        <w:t>n.-</w:t>
      </w:r>
      <w:r>
        <w:rPr>
          <w:spacing w:val="-2"/>
          <w:lang w:val="es-ES_tradnl"/>
        </w:rPr>
        <w:t xml:space="preserve"> </w:t>
      </w:r>
      <w:r>
        <w:rPr>
          <w:spacing w:val="-2"/>
          <w:sz w:val="14"/>
          <w:szCs w:val="14"/>
          <w:lang w:val="es-ES_tradnl"/>
        </w:rPr>
        <w:t>Las</w:t>
      </w:r>
      <w:r>
        <w:rPr>
          <w:spacing w:val="-2"/>
          <w:lang w:val="es-ES_tradnl"/>
        </w:rPr>
        <w:t xml:space="preserve"> </w:t>
      </w:r>
      <w:r>
        <w:rPr>
          <w:spacing w:val="-2"/>
          <w:sz w:val="14"/>
          <w:szCs w:val="14"/>
          <w:lang w:val="es-ES_tradnl"/>
        </w:rPr>
        <w:t>partes</w:t>
      </w:r>
      <w:r>
        <w:rPr>
          <w:spacing w:val="-2"/>
          <w:lang w:val="es-ES_tradnl"/>
        </w:rPr>
        <w:t xml:space="preserve"> </w:t>
      </w:r>
      <w:r>
        <w:rPr>
          <w:spacing w:val="-2"/>
          <w:sz w:val="14"/>
          <w:szCs w:val="14"/>
          <w:lang w:val="es-ES_tradnl"/>
        </w:rPr>
        <w:t>podr</w:t>
      </w:r>
      <w:r>
        <w:rPr>
          <w:rFonts w:cs="Times New Roman"/>
          <w:spacing w:val="-2"/>
          <w:sz w:val="14"/>
          <w:szCs w:val="14"/>
          <w:lang w:val="es-ES_tradnl"/>
        </w:rPr>
        <w:t>á</w:t>
      </w:r>
      <w:r>
        <w:rPr>
          <w:spacing w:val="-2"/>
          <w:sz w:val="14"/>
          <w:szCs w:val="14"/>
          <w:lang w:val="es-ES_tradnl"/>
        </w:rPr>
        <w:t>n</w:t>
      </w:r>
      <w:r>
        <w:rPr>
          <w:spacing w:val="-2"/>
          <w:lang w:val="es-ES_tradnl"/>
        </w:rPr>
        <w:t xml:space="preserve"> </w:t>
      </w:r>
      <w:r>
        <w:rPr>
          <w:spacing w:val="-2"/>
          <w:sz w:val="14"/>
          <w:szCs w:val="14"/>
          <w:lang w:val="es-ES_tradnl"/>
        </w:rPr>
        <w:t>apelar</w:t>
      </w:r>
      <w:r>
        <w:rPr>
          <w:spacing w:val="-2"/>
          <w:lang w:val="es-ES_tradnl"/>
        </w:rPr>
        <w:t xml:space="preserve"> </w:t>
      </w:r>
      <w:r>
        <w:rPr>
          <w:spacing w:val="-2"/>
          <w:sz w:val="14"/>
          <w:szCs w:val="14"/>
          <w:lang w:val="es-ES_tradnl"/>
        </w:rPr>
        <w:t>en</w:t>
      </w:r>
      <w:r>
        <w:rPr>
          <w:spacing w:val="-2"/>
          <w:lang w:val="es-ES_tradnl"/>
        </w:rPr>
        <w:t xml:space="preserve"> </w:t>
      </w:r>
      <w:r>
        <w:rPr>
          <w:spacing w:val="-2"/>
          <w:sz w:val="14"/>
          <w:szCs w:val="14"/>
          <w:lang w:val="es-ES_tradnl"/>
        </w:rPr>
        <w:t>la</w:t>
      </w:r>
      <w:r>
        <w:rPr>
          <w:spacing w:val="-2"/>
          <w:lang w:val="es-ES_tradnl"/>
        </w:rPr>
        <w:t xml:space="preserve"> </w:t>
      </w:r>
      <w:r>
        <w:rPr>
          <w:spacing w:val="-2"/>
          <w:sz w:val="14"/>
          <w:szCs w:val="14"/>
          <w:lang w:val="es-ES_tradnl"/>
        </w:rPr>
        <w:t>misma</w:t>
      </w:r>
      <w:r>
        <w:rPr>
          <w:spacing w:val="-2"/>
          <w:lang w:val="es-ES_tradnl"/>
        </w:rPr>
        <w:t xml:space="preserve"> </w:t>
      </w:r>
      <w:r>
        <w:rPr>
          <w:spacing w:val="-2"/>
          <w:sz w:val="14"/>
          <w:szCs w:val="14"/>
          <w:lang w:val="es-ES_tradnl"/>
        </w:rPr>
        <w:t>audiencia </w:t>
      </w:r>
      <w:r>
        <w:rPr>
          <w:spacing w:val="-5"/>
          <w:sz w:val="14"/>
          <w:szCs w:val="14"/>
          <w:lang w:val="es-ES_tradnl"/>
        </w:rPr>
        <w:t>o hasta tres d</w:t>
      </w:r>
      <w:r>
        <w:rPr>
          <w:rFonts w:cs="Times New Roman"/>
          <w:spacing w:val="-5"/>
          <w:sz w:val="14"/>
          <w:szCs w:val="14"/>
          <w:lang w:val="es-ES_tradnl"/>
        </w:rPr>
        <w:t>í</w:t>
      </w:r>
      <w:r>
        <w:rPr>
          <w:spacing w:val="-5"/>
          <w:sz w:val="14"/>
          <w:szCs w:val="14"/>
          <w:lang w:val="es-ES_tradnl"/>
        </w:rPr>
        <w:t>as h</w:t>
      </w:r>
      <w:r>
        <w:rPr>
          <w:rFonts w:cs="Times New Roman"/>
          <w:spacing w:val="-5"/>
          <w:sz w:val="14"/>
          <w:szCs w:val="14"/>
          <w:lang w:val="es-ES_tradnl"/>
        </w:rPr>
        <w:t>á</w:t>
      </w:r>
      <w:r>
        <w:rPr>
          <w:spacing w:val="-5"/>
          <w:sz w:val="14"/>
          <w:szCs w:val="14"/>
          <w:lang w:val="es-ES_tradnl"/>
        </w:rPr>
        <w:t>biles despu</w:t>
      </w:r>
      <w:r>
        <w:rPr>
          <w:rFonts w:cs="Times New Roman"/>
          <w:spacing w:val="-5"/>
          <w:sz w:val="14"/>
          <w:szCs w:val="14"/>
          <w:lang w:val="es-ES_tradnl"/>
        </w:rPr>
        <w:t>é</w:t>
      </w:r>
      <w:r>
        <w:rPr>
          <w:spacing w:val="-5"/>
          <w:sz w:val="14"/>
          <w:szCs w:val="14"/>
          <w:lang w:val="es-ES_tradnl"/>
        </w:rPr>
        <w:t>s de haber sido notificadas por escrito. </w:t>
      </w:r>
      <w:r>
        <w:rPr>
          <w:sz w:val="14"/>
          <w:szCs w:val="14"/>
          <w:lang w:val="es-ES_tradnl"/>
        </w:rPr>
        <w:t>La apelaci</w:t>
      </w:r>
      <w:r>
        <w:rPr>
          <w:rFonts w:cs="Times New Roman"/>
          <w:sz w:val="14"/>
          <w:szCs w:val="14"/>
          <w:lang w:val="es-ES_tradnl"/>
        </w:rPr>
        <w:t>ó</w:t>
      </w:r>
      <w:r>
        <w:rPr>
          <w:sz w:val="14"/>
          <w:szCs w:val="14"/>
          <w:lang w:val="es-ES_tradnl"/>
        </w:rPr>
        <w:t>n ser</w:t>
      </w:r>
      <w:r>
        <w:rPr>
          <w:rFonts w:cs="Times New Roman"/>
          <w:sz w:val="14"/>
          <w:szCs w:val="14"/>
          <w:lang w:val="es-ES_tradnl"/>
        </w:rPr>
        <w:t>á</w:t>
      </w:r>
      <w:r>
        <w:rPr>
          <w:sz w:val="14"/>
          <w:szCs w:val="14"/>
          <w:lang w:val="es-ES_tradnl"/>
        </w:rPr>
        <w:t xml:space="preserve"> conocida por la Corte Provincial; si hubiere m</w:t>
      </w:r>
      <w:r>
        <w:rPr>
          <w:rFonts w:cs="Times New Roman"/>
          <w:sz w:val="14"/>
          <w:szCs w:val="14"/>
          <w:lang w:val="es-ES_tradnl"/>
        </w:rPr>
        <w:t>á</w:t>
      </w:r>
      <w:r>
        <w:rPr>
          <w:sz w:val="14"/>
          <w:szCs w:val="14"/>
          <w:lang w:val="es-ES_tradnl"/>
        </w:rPr>
        <w:t>s </w:t>
      </w:r>
      <w:r>
        <w:rPr>
          <w:spacing w:val="-1"/>
          <w:sz w:val="14"/>
          <w:szCs w:val="14"/>
          <w:lang w:val="es-ES_tradnl"/>
        </w:rPr>
        <w:t>de una sala, se radicar</w:t>
      </w:r>
      <w:r>
        <w:rPr>
          <w:rFonts w:cs="Times New Roman"/>
          <w:spacing w:val="-1"/>
          <w:sz w:val="14"/>
          <w:szCs w:val="14"/>
          <w:lang w:val="es-ES_tradnl"/>
        </w:rPr>
        <w:t>á</w:t>
      </w:r>
      <w:r>
        <w:rPr>
          <w:spacing w:val="-1"/>
          <w:sz w:val="14"/>
          <w:szCs w:val="14"/>
          <w:lang w:val="es-ES_tradnl"/>
        </w:rPr>
        <w:t xml:space="preserve"> por sorteo. La interposici</w:t>
      </w:r>
      <w:r>
        <w:rPr>
          <w:rFonts w:cs="Times New Roman"/>
          <w:spacing w:val="-1"/>
          <w:sz w:val="14"/>
          <w:szCs w:val="14"/>
          <w:lang w:val="es-ES_tradnl"/>
        </w:rPr>
        <w:t>ó</w:t>
      </w:r>
      <w:r>
        <w:rPr>
          <w:spacing w:val="-1"/>
          <w:sz w:val="14"/>
          <w:szCs w:val="14"/>
          <w:lang w:val="es-ES_tradnl"/>
        </w:rPr>
        <w:t>n del recurso no </w:t>
      </w:r>
      <w:r>
        <w:rPr>
          <w:spacing w:val="-3"/>
          <w:sz w:val="14"/>
          <w:szCs w:val="14"/>
          <w:lang w:val="es-ES_tradnl"/>
        </w:rPr>
        <w:t>suspende la ejecuci</w:t>
      </w:r>
      <w:r>
        <w:rPr>
          <w:rFonts w:cs="Times New Roman"/>
          <w:spacing w:val="-3"/>
          <w:sz w:val="14"/>
          <w:szCs w:val="14"/>
          <w:lang w:val="es-ES_tradnl"/>
        </w:rPr>
        <w:t>ó</w:t>
      </w:r>
      <w:r>
        <w:rPr>
          <w:spacing w:val="-3"/>
          <w:sz w:val="14"/>
          <w:szCs w:val="14"/>
          <w:lang w:val="es-ES_tradnl"/>
        </w:rPr>
        <w:t>n de la sentencia, cuando el apelante fuere la </w:t>
      </w:r>
      <w:r>
        <w:rPr>
          <w:spacing w:val="-2"/>
          <w:sz w:val="14"/>
          <w:szCs w:val="14"/>
          <w:lang w:val="es-ES_tradnl"/>
        </w:rPr>
        <w:t>persona o entidad accionada. Cuando hubiere m</w:t>
      </w:r>
      <w:r>
        <w:rPr>
          <w:rFonts w:cs="Times New Roman"/>
          <w:spacing w:val="-2"/>
          <w:sz w:val="14"/>
          <w:szCs w:val="14"/>
          <w:lang w:val="es-ES_tradnl"/>
        </w:rPr>
        <w:t>á</w:t>
      </w:r>
      <w:r>
        <w:rPr>
          <w:spacing w:val="-2"/>
          <w:sz w:val="14"/>
          <w:szCs w:val="14"/>
          <w:lang w:val="es-ES_tradnl"/>
        </w:rPr>
        <w:t>s de una sala, la </w:t>
      </w:r>
      <w:r>
        <w:rPr>
          <w:spacing w:val="-1"/>
          <w:sz w:val="14"/>
          <w:szCs w:val="14"/>
          <w:lang w:val="es-ES_tradnl"/>
        </w:rPr>
        <w:t>competencia se radicar</w:t>
      </w:r>
      <w:r>
        <w:rPr>
          <w:rFonts w:cs="Times New Roman"/>
          <w:spacing w:val="-1"/>
          <w:sz w:val="14"/>
          <w:szCs w:val="14"/>
          <w:lang w:val="es-ES_tradnl"/>
        </w:rPr>
        <w:t>á</w:t>
      </w:r>
      <w:r>
        <w:rPr>
          <w:spacing w:val="-1"/>
          <w:sz w:val="14"/>
          <w:szCs w:val="14"/>
          <w:lang w:val="es-ES_tradnl"/>
        </w:rPr>
        <w:t xml:space="preserve"> por sorteo. La Corte Provincial avocar</w:t>
      </w:r>
      <w:r>
        <w:rPr>
          <w:rFonts w:cs="Times New Roman"/>
          <w:spacing w:val="-1"/>
          <w:sz w:val="14"/>
          <w:szCs w:val="14"/>
          <w:lang w:val="es-ES_tradnl"/>
        </w:rPr>
        <w:t>á </w:t>
      </w:r>
      <w:r>
        <w:rPr>
          <w:spacing w:val="-1"/>
          <w:sz w:val="14"/>
          <w:szCs w:val="14"/>
          <w:lang w:val="es-ES_tradnl"/>
        </w:rPr>
        <w:t>conocimiento y resolver</w:t>
      </w:r>
      <w:r>
        <w:rPr>
          <w:rFonts w:cs="Times New Roman"/>
          <w:spacing w:val="-1"/>
          <w:sz w:val="14"/>
          <w:szCs w:val="14"/>
          <w:lang w:val="es-ES_tradnl"/>
        </w:rPr>
        <w:t>á</w:t>
      </w:r>
      <w:r>
        <w:rPr>
          <w:spacing w:val="-1"/>
          <w:sz w:val="14"/>
          <w:szCs w:val="14"/>
          <w:lang w:val="es-ES_tradnl"/>
        </w:rPr>
        <w:t xml:space="preserve"> por el m</w:t>
      </w:r>
      <w:r>
        <w:rPr>
          <w:rFonts w:cs="Times New Roman"/>
          <w:spacing w:val="-1"/>
          <w:sz w:val="14"/>
          <w:szCs w:val="14"/>
          <w:lang w:val="es-ES_tradnl"/>
        </w:rPr>
        <w:t>é</w:t>
      </w:r>
      <w:r>
        <w:rPr>
          <w:spacing w:val="-1"/>
          <w:sz w:val="14"/>
          <w:szCs w:val="14"/>
          <w:lang w:val="es-ES_tradnl"/>
        </w:rPr>
        <w:t>rito del expediente en el t</w:t>
      </w:r>
      <w:r>
        <w:rPr>
          <w:rFonts w:cs="Times New Roman"/>
          <w:spacing w:val="-1"/>
          <w:sz w:val="14"/>
          <w:szCs w:val="14"/>
          <w:lang w:val="es-ES_tradnl"/>
        </w:rPr>
        <w:t>é</w:t>
      </w:r>
      <w:r>
        <w:rPr>
          <w:spacing w:val="-1"/>
          <w:sz w:val="14"/>
          <w:szCs w:val="14"/>
          <w:lang w:val="es-ES_tradnl"/>
        </w:rPr>
        <w:t>rmino </w:t>
      </w:r>
      <w:r>
        <w:rPr>
          <w:spacing w:val="-4"/>
          <w:sz w:val="14"/>
          <w:szCs w:val="14"/>
          <w:lang w:val="es-ES_tradnl"/>
        </w:rPr>
        <w:t>de ocho d</w:t>
      </w:r>
      <w:r>
        <w:rPr>
          <w:rFonts w:cs="Times New Roman"/>
          <w:spacing w:val="-4"/>
          <w:sz w:val="14"/>
          <w:szCs w:val="14"/>
          <w:lang w:val="es-ES_tradnl"/>
        </w:rPr>
        <w:t>í</w:t>
      </w:r>
      <w:r>
        <w:rPr>
          <w:spacing w:val="-4"/>
          <w:sz w:val="14"/>
          <w:szCs w:val="14"/>
          <w:lang w:val="es-ES_tradnl"/>
        </w:rPr>
        <w:t>as. De considerarlo necesario, la jueza o juez podr</w:t>
      </w:r>
      <w:r>
        <w:rPr>
          <w:rFonts w:cs="Times New Roman"/>
          <w:spacing w:val="-4"/>
          <w:sz w:val="14"/>
          <w:szCs w:val="14"/>
          <w:lang w:val="es-ES_tradnl"/>
        </w:rPr>
        <w:t>á</w:t>
      </w:r>
      <w:r>
        <w:rPr>
          <w:spacing w:val="-4"/>
          <w:sz w:val="14"/>
          <w:szCs w:val="14"/>
          <w:lang w:val="es-ES_tradnl"/>
        </w:rPr>
        <w:t xml:space="preserve"> ordenar </w:t>
      </w:r>
      <w:r>
        <w:rPr>
          <w:spacing w:val="-1"/>
          <w:sz w:val="14"/>
          <w:szCs w:val="14"/>
          <w:lang w:val="es-ES_tradnl"/>
        </w:rPr>
        <w:t>la pr</w:t>
      </w:r>
      <w:r>
        <w:rPr>
          <w:rFonts w:cs="Times New Roman"/>
          <w:spacing w:val="-1"/>
          <w:sz w:val="14"/>
          <w:szCs w:val="14"/>
          <w:lang w:val="es-ES_tradnl"/>
        </w:rPr>
        <w:t>á</w:t>
      </w:r>
      <w:r>
        <w:rPr>
          <w:spacing w:val="-1"/>
          <w:sz w:val="14"/>
          <w:szCs w:val="14"/>
          <w:lang w:val="es-ES_tradnl"/>
        </w:rPr>
        <w:t>ctica de elementos probatorios y convocar a audiencia, que </w:t>
      </w:r>
      <w:r>
        <w:rPr>
          <w:spacing w:val="-3"/>
          <w:sz w:val="14"/>
          <w:szCs w:val="14"/>
          <w:lang w:val="es-ES_tradnl"/>
        </w:rPr>
        <w:t>deber</w:t>
      </w:r>
      <w:r>
        <w:rPr>
          <w:rFonts w:cs="Times New Roman"/>
          <w:spacing w:val="-3"/>
          <w:sz w:val="14"/>
          <w:szCs w:val="14"/>
          <w:lang w:val="es-ES_tradnl"/>
        </w:rPr>
        <w:t>á</w:t>
      </w:r>
      <w:r>
        <w:rPr>
          <w:spacing w:val="-3"/>
          <w:sz w:val="14"/>
          <w:szCs w:val="14"/>
          <w:lang w:val="es-ES_tradnl"/>
        </w:rPr>
        <w:t xml:space="preserve"> realizarse dentro de los siguientes ocho d</w:t>
      </w:r>
      <w:r>
        <w:rPr>
          <w:rFonts w:cs="Times New Roman"/>
          <w:spacing w:val="-3"/>
          <w:sz w:val="14"/>
          <w:szCs w:val="14"/>
          <w:lang w:val="es-ES_tradnl"/>
        </w:rPr>
        <w:t>í</w:t>
      </w:r>
      <w:r>
        <w:rPr>
          <w:spacing w:val="-3"/>
          <w:sz w:val="14"/>
          <w:szCs w:val="14"/>
          <w:lang w:val="es-ES_tradnl"/>
        </w:rPr>
        <w:t>as h</w:t>
      </w:r>
      <w:r>
        <w:rPr>
          <w:rFonts w:cs="Times New Roman"/>
          <w:spacing w:val="-3"/>
          <w:sz w:val="14"/>
          <w:szCs w:val="14"/>
          <w:lang w:val="es-ES_tradnl"/>
        </w:rPr>
        <w:t>á</w:t>
      </w:r>
      <w:r>
        <w:rPr>
          <w:spacing w:val="-3"/>
          <w:sz w:val="14"/>
          <w:szCs w:val="14"/>
          <w:lang w:val="es-ES_tradnl"/>
        </w:rPr>
        <w:t>biles; en estos </w:t>
      </w:r>
      <w:r>
        <w:rPr>
          <w:spacing w:val="-2"/>
          <w:sz w:val="14"/>
          <w:szCs w:val="14"/>
          <w:lang w:val="es-ES_tradnl"/>
        </w:rPr>
        <w:t>casos, el t</w:t>
      </w:r>
      <w:r>
        <w:rPr>
          <w:rFonts w:cs="Times New Roman"/>
          <w:spacing w:val="-2"/>
          <w:sz w:val="14"/>
          <w:szCs w:val="14"/>
          <w:lang w:val="es-ES_tradnl"/>
        </w:rPr>
        <w:t>é</w:t>
      </w:r>
      <w:r>
        <w:rPr>
          <w:spacing w:val="-2"/>
          <w:sz w:val="14"/>
          <w:szCs w:val="14"/>
          <w:lang w:val="es-ES_tradnl"/>
        </w:rPr>
        <w:t>rmino se suspende y corre a partir de la audiencia.</w:t>
      </w:r>
    </w:p>
    <w:p w14:paraId="4F67AF6D" w14:textId="77777777" w:rsidR="00591D54" w:rsidRDefault="00591D54">
      <w:pPr>
        <w:shd w:val="clear" w:color="auto" w:fill="FFFFFF"/>
        <w:tabs>
          <w:tab w:val="left" w:pos="144"/>
        </w:tabs>
        <w:spacing w:before="149" w:line="178" w:lineRule="exact"/>
        <w:ind w:left="144" w:hanging="144"/>
        <w:jc w:val="both"/>
        <w:sectPr w:rsidR="00591D54" w:rsidSect="00171846">
          <w:type w:val="continuous"/>
          <w:pgSz w:w="11909" w:h="16834"/>
          <w:pgMar w:top="1356" w:right="1309" w:bottom="360" w:left="993" w:header="720" w:footer="720" w:gutter="0"/>
          <w:cols w:num="2" w:space="720" w:equalWidth="0">
            <w:col w:w="4620" w:space="682"/>
            <w:col w:w="4305"/>
          </w:cols>
          <w:noEndnote/>
        </w:sectPr>
      </w:pPr>
    </w:p>
    <w:p w14:paraId="4F67AF6E" w14:textId="77777777" w:rsidR="00591D54" w:rsidRDefault="00591D54">
      <w:pPr>
        <w:shd w:val="clear" w:color="auto" w:fill="FFFFFF"/>
        <w:tabs>
          <w:tab w:val="left" w:pos="4814"/>
        </w:tabs>
        <w:spacing w:after="230"/>
        <w:ind w:left="14"/>
      </w:pPr>
      <w:r>
        <w:rPr>
          <w:b/>
          <w:bCs/>
          <w:sz w:val="18"/>
          <w:szCs w:val="18"/>
          <w:lang w:val="es-ES_tradnl"/>
        </w:rPr>
        <w:t xml:space="preserve">146 -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F6F" w14:textId="77777777" w:rsidR="00591D54" w:rsidRDefault="00591D54">
      <w:pPr>
        <w:shd w:val="clear" w:color="auto" w:fill="FFFFFF"/>
        <w:tabs>
          <w:tab w:val="left" w:pos="4814"/>
        </w:tabs>
        <w:spacing w:after="230"/>
        <w:ind w:left="14"/>
        <w:sectPr w:rsidR="00591D54">
          <w:pgSz w:w="11909" w:h="16834"/>
          <w:pgMar w:top="1327" w:right="1309" w:bottom="360" w:left="1308" w:header="720" w:footer="720" w:gutter="0"/>
          <w:cols w:space="60"/>
          <w:noEndnote/>
        </w:sectPr>
      </w:pPr>
    </w:p>
    <w:p w14:paraId="4F67AF70" w14:textId="77777777" w:rsidR="00591D54" w:rsidRDefault="00591D54">
      <w:pPr>
        <w:shd w:val="clear" w:color="auto" w:fill="FFFFFF"/>
        <w:spacing w:before="5" w:line="216" w:lineRule="exact"/>
        <w:jc w:val="both"/>
      </w:pPr>
      <w:r>
        <w:rPr>
          <w:spacing w:val="-5"/>
          <w:sz w:val="18"/>
          <w:szCs w:val="18"/>
          <w:lang w:val="es-ES_tradnl"/>
        </w:rPr>
        <w:t xml:space="preserve">conocida y resuelta por la Corte Provincial. No obstante, </w:t>
      </w:r>
      <w:r>
        <w:rPr>
          <w:spacing w:val="-6"/>
          <w:sz w:val="18"/>
          <w:szCs w:val="18"/>
          <w:lang w:val="es-ES_tradnl"/>
        </w:rPr>
        <w:t>cuando la privaci</w:t>
      </w:r>
      <w:r>
        <w:rPr>
          <w:rFonts w:cs="Times New Roman"/>
          <w:spacing w:val="-6"/>
          <w:sz w:val="18"/>
          <w:szCs w:val="18"/>
          <w:lang w:val="es-ES_tradnl"/>
        </w:rPr>
        <w:t>ó</w:t>
      </w:r>
      <w:r>
        <w:rPr>
          <w:spacing w:val="-6"/>
          <w:sz w:val="18"/>
          <w:szCs w:val="18"/>
          <w:lang w:val="es-ES_tradnl"/>
        </w:rPr>
        <w:t>n de libertad haya sido dispuesta en la Corte Provincial de Justicia, se apelar</w:t>
      </w:r>
      <w:r>
        <w:rPr>
          <w:rFonts w:cs="Times New Roman"/>
          <w:spacing w:val="-6"/>
          <w:sz w:val="18"/>
          <w:szCs w:val="18"/>
          <w:lang w:val="es-ES_tradnl"/>
        </w:rPr>
        <w:t>á</w:t>
      </w:r>
      <w:r>
        <w:rPr>
          <w:spacing w:val="-6"/>
          <w:sz w:val="18"/>
          <w:szCs w:val="18"/>
          <w:lang w:val="es-ES_tradnl"/>
        </w:rPr>
        <w:t xml:space="preserve"> ante la presidenta o presidente de la Corte Nacional; y cuando hubiere sido </w:t>
      </w:r>
      <w:r>
        <w:rPr>
          <w:spacing w:val="-8"/>
          <w:sz w:val="18"/>
          <w:szCs w:val="18"/>
          <w:lang w:val="es-ES_tradnl"/>
        </w:rPr>
        <w:t>dispuesta por la Corte Nacional de Justicia, se apelar</w:t>
      </w:r>
      <w:r>
        <w:rPr>
          <w:rFonts w:cs="Times New Roman"/>
          <w:spacing w:val="-8"/>
          <w:sz w:val="18"/>
          <w:szCs w:val="18"/>
          <w:lang w:val="es-ES_tradnl"/>
        </w:rPr>
        <w:t>á</w:t>
      </w:r>
      <w:r>
        <w:rPr>
          <w:spacing w:val="-8"/>
          <w:sz w:val="18"/>
          <w:szCs w:val="18"/>
          <w:lang w:val="es-ES_tradnl"/>
        </w:rPr>
        <w:t xml:space="preserve"> ante </w:t>
      </w:r>
      <w:r>
        <w:rPr>
          <w:spacing w:val="-9"/>
          <w:sz w:val="18"/>
          <w:szCs w:val="18"/>
          <w:lang w:val="es-ES_tradnl"/>
        </w:rPr>
        <w:t>cualquier otra sala que no haya sido la que orden</w:t>
      </w:r>
      <w:r>
        <w:rPr>
          <w:rFonts w:cs="Times New Roman"/>
          <w:spacing w:val="-9"/>
          <w:sz w:val="18"/>
          <w:szCs w:val="18"/>
          <w:lang w:val="es-ES_tradnl"/>
        </w:rPr>
        <w:t>ó</w:t>
      </w:r>
      <w:r>
        <w:rPr>
          <w:spacing w:val="-9"/>
          <w:sz w:val="18"/>
          <w:szCs w:val="18"/>
          <w:lang w:val="es-ES_tradnl"/>
        </w:rPr>
        <w:t xml:space="preserve"> la prisi</w:t>
      </w:r>
      <w:r>
        <w:rPr>
          <w:rFonts w:cs="Times New Roman"/>
          <w:spacing w:val="-9"/>
          <w:sz w:val="18"/>
          <w:szCs w:val="18"/>
          <w:lang w:val="es-ES_tradnl"/>
        </w:rPr>
        <w:t>ó</w:t>
      </w:r>
      <w:r>
        <w:rPr>
          <w:spacing w:val="-9"/>
          <w:sz w:val="18"/>
          <w:szCs w:val="18"/>
          <w:lang w:val="es-ES_tradnl"/>
        </w:rPr>
        <w:t xml:space="preserve">n </w:t>
      </w:r>
      <w:r>
        <w:rPr>
          <w:sz w:val="18"/>
          <w:szCs w:val="18"/>
          <w:lang w:val="es-ES_tradnl"/>
        </w:rPr>
        <w:t>preventiva.</w:t>
      </w:r>
    </w:p>
    <w:p w14:paraId="4F67AF71" w14:textId="77777777" w:rsidR="00591D54" w:rsidRDefault="00591D54">
      <w:pPr>
        <w:shd w:val="clear" w:color="auto" w:fill="FFFFFF"/>
        <w:spacing w:before="163" w:line="216" w:lineRule="exact"/>
        <w:jc w:val="both"/>
      </w:pPr>
      <w:r>
        <w:rPr>
          <w:spacing w:val="-5"/>
          <w:sz w:val="18"/>
          <w:szCs w:val="18"/>
          <w:lang w:val="es-ES_tradnl"/>
        </w:rPr>
        <w:t>Sobre el mismo tema, el art</w:t>
      </w:r>
      <w:r>
        <w:rPr>
          <w:rFonts w:cs="Times New Roman"/>
          <w:spacing w:val="-5"/>
          <w:sz w:val="18"/>
          <w:szCs w:val="18"/>
          <w:lang w:val="es-ES_tradnl"/>
        </w:rPr>
        <w:t>í</w:t>
      </w:r>
      <w:r>
        <w:rPr>
          <w:spacing w:val="-5"/>
          <w:sz w:val="18"/>
          <w:szCs w:val="18"/>
          <w:lang w:val="es-ES_tradnl"/>
        </w:rPr>
        <w:t>culo 168 de la Ley Org</w:t>
      </w:r>
      <w:r>
        <w:rPr>
          <w:rFonts w:cs="Times New Roman"/>
          <w:spacing w:val="-5"/>
          <w:sz w:val="18"/>
          <w:szCs w:val="18"/>
          <w:lang w:val="es-ES_tradnl"/>
        </w:rPr>
        <w:t>á</w:t>
      </w:r>
      <w:r>
        <w:rPr>
          <w:spacing w:val="-5"/>
          <w:sz w:val="18"/>
          <w:szCs w:val="18"/>
          <w:lang w:val="es-ES_tradnl"/>
        </w:rPr>
        <w:t xml:space="preserve">nica </w:t>
      </w:r>
      <w:r>
        <w:rPr>
          <w:spacing w:val="-7"/>
          <w:sz w:val="18"/>
          <w:szCs w:val="18"/>
          <w:lang w:val="es-ES_tradnl"/>
        </w:rPr>
        <w:t>de Garant</w:t>
      </w:r>
      <w:r>
        <w:rPr>
          <w:rFonts w:cs="Times New Roman"/>
          <w:spacing w:val="-7"/>
          <w:sz w:val="18"/>
          <w:szCs w:val="18"/>
          <w:lang w:val="es-ES_tradnl"/>
        </w:rPr>
        <w:t>í</w:t>
      </w:r>
      <w:r>
        <w:rPr>
          <w:spacing w:val="-7"/>
          <w:sz w:val="18"/>
          <w:szCs w:val="18"/>
          <w:lang w:val="es-ES_tradnl"/>
        </w:rPr>
        <w:t>as Jurisdiccionales y Control Constitucional</w:t>
      </w:r>
      <w:r>
        <w:rPr>
          <w:spacing w:val="-7"/>
          <w:sz w:val="18"/>
          <w:szCs w:val="18"/>
          <w:vertAlign w:val="superscript"/>
          <w:lang w:val="es-ES_tradnl"/>
        </w:rPr>
        <w:t xml:space="preserve">7 </w:t>
      </w:r>
      <w:r>
        <w:rPr>
          <w:spacing w:val="-8"/>
          <w:sz w:val="18"/>
          <w:szCs w:val="18"/>
          <w:lang w:val="es-ES_tradnl"/>
        </w:rPr>
        <w:t xml:space="preserve">determina que le corresponde a las Cortes Provinciales de </w:t>
      </w:r>
      <w:r>
        <w:rPr>
          <w:spacing w:val="-6"/>
          <w:sz w:val="18"/>
          <w:szCs w:val="18"/>
          <w:lang w:val="es-ES_tradnl"/>
        </w:rPr>
        <w:t>Justicia conocer y resolver los recursos de apelaci</w:t>
      </w:r>
      <w:r>
        <w:rPr>
          <w:rFonts w:cs="Times New Roman"/>
          <w:spacing w:val="-6"/>
          <w:sz w:val="18"/>
          <w:szCs w:val="18"/>
          <w:lang w:val="es-ES_tradnl"/>
        </w:rPr>
        <w:t>ó</w:t>
      </w:r>
      <w:r>
        <w:rPr>
          <w:spacing w:val="-6"/>
          <w:sz w:val="18"/>
          <w:szCs w:val="18"/>
          <w:lang w:val="es-ES_tradnl"/>
        </w:rPr>
        <w:t xml:space="preserve">n que </w:t>
      </w:r>
      <w:r>
        <w:rPr>
          <w:spacing w:val="-7"/>
          <w:sz w:val="18"/>
          <w:szCs w:val="18"/>
          <w:lang w:val="es-ES_tradnl"/>
        </w:rPr>
        <w:t xml:space="preserve">se interpongan en contra de los autos y las sentencias de </w:t>
      </w:r>
      <w:r>
        <w:rPr>
          <w:spacing w:val="-11"/>
          <w:sz w:val="18"/>
          <w:szCs w:val="18"/>
          <w:lang w:val="es-ES_tradnl"/>
        </w:rPr>
        <w:t>los jueces de instancia, en este caso, h</w:t>
      </w:r>
      <w:r>
        <w:rPr>
          <w:rFonts w:cs="Times New Roman"/>
          <w:spacing w:val="-11"/>
          <w:sz w:val="18"/>
          <w:szCs w:val="18"/>
          <w:lang w:val="es-ES_tradnl"/>
        </w:rPr>
        <w:t>á</w:t>
      </w:r>
      <w:r>
        <w:rPr>
          <w:spacing w:val="-11"/>
          <w:sz w:val="18"/>
          <w:szCs w:val="18"/>
          <w:lang w:val="es-ES_tradnl"/>
        </w:rPr>
        <w:t xml:space="preserve">beas corpus; en este </w:t>
      </w:r>
      <w:r>
        <w:rPr>
          <w:spacing w:val="-8"/>
          <w:sz w:val="18"/>
          <w:szCs w:val="18"/>
          <w:lang w:val="es-ES_tradnl"/>
        </w:rPr>
        <w:t>mismo art</w:t>
      </w:r>
      <w:r>
        <w:rPr>
          <w:rFonts w:cs="Times New Roman"/>
          <w:spacing w:val="-8"/>
          <w:sz w:val="18"/>
          <w:szCs w:val="18"/>
          <w:lang w:val="es-ES_tradnl"/>
        </w:rPr>
        <w:t>í</w:t>
      </w:r>
      <w:r>
        <w:rPr>
          <w:spacing w:val="-8"/>
          <w:sz w:val="18"/>
          <w:szCs w:val="18"/>
          <w:lang w:val="es-ES_tradnl"/>
        </w:rPr>
        <w:t>culo se se</w:t>
      </w:r>
      <w:r>
        <w:rPr>
          <w:rFonts w:cs="Times New Roman"/>
          <w:spacing w:val="-8"/>
          <w:sz w:val="18"/>
          <w:szCs w:val="18"/>
          <w:lang w:val="es-ES_tradnl"/>
        </w:rPr>
        <w:t>ñ</w:t>
      </w:r>
      <w:r>
        <w:rPr>
          <w:spacing w:val="-8"/>
          <w:sz w:val="18"/>
          <w:szCs w:val="18"/>
          <w:lang w:val="es-ES_tradnl"/>
        </w:rPr>
        <w:t>ala que las Cortes Provinciales ser</w:t>
      </w:r>
      <w:r>
        <w:rPr>
          <w:rFonts w:cs="Times New Roman"/>
          <w:spacing w:val="-8"/>
          <w:sz w:val="18"/>
          <w:szCs w:val="18"/>
          <w:lang w:val="es-ES_tradnl"/>
        </w:rPr>
        <w:t>á</w:t>
      </w:r>
      <w:r>
        <w:rPr>
          <w:spacing w:val="-8"/>
          <w:sz w:val="18"/>
          <w:szCs w:val="18"/>
          <w:lang w:val="es-ES_tradnl"/>
        </w:rPr>
        <w:t xml:space="preserve">n </w:t>
      </w:r>
      <w:r>
        <w:rPr>
          <w:spacing w:val="-10"/>
          <w:sz w:val="18"/>
          <w:szCs w:val="18"/>
          <w:lang w:val="es-ES_tradnl"/>
        </w:rPr>
        <w:t>competentes para conocer las acciones de h</w:t>
      </w:r>
      <w:r>
        <w:rPr>
          <w:rFonts w:cs="Times New Roman"/>
          <w:spacing w:val="-10"/>
          <w:sz w:val="18"/>
          <w:szCs w:val="18"/>
          <w:lang w:val="es-ES_tradnl"/>
        </w:rPr>
        <w:t>á</w:t>
      </w:r>
      <w:r>
        <w:rPr>
          <w:spacing w:val="-10"/>
          <w:sz w:val="18"/>
          <w:szCs w:val="18"/>
          <w:lang w:val="es-ES_tradnl"/>
        </w:rPr>
        <w:t xml:space="preserve">beas corpus </w:t>
      </w:r>
      <w:r>
        <w:rPr>
          <w:spacing w:val="-7"/>
          <w:sz w:val="18"/>
          <w:szCs w:val="18"/>
          <w:lang w:val="es-ES_tradnl"/>
        </w:rPr>
        <w:t xml:space="preserve">como jueces de primera instancia, en los casos de fuero y </w:t>
      </w:r>
      <w:r>
        <w:rPr>
          <w:spacing w:val="-6"/>
          <w:sz w:val="18"/>
          <w:szCs w:val="18"/>
          <w:lang w:val="es-ES_tradnl"/>
        </w:rPr>
        <w:t xml:space="preserve">de </w:t>
      </w:r>
      <w:r>
        <w:rPr>
          <w:rFonts w:cs="Times New Roman"/>
          <w:spacing w:val="-6"/>
          <w:sz w:val="18"/>
          <w:szCs w:val="18"/>
          <w:lang w:val="es-ES_tradnl"/>
        </w:rPr>
        <w:t>ó</w:t>
      </w:r>
      <w:r>
        <w:rPr>
          <w:spacing w:val="-6"/>
          <w:sz w:val="18"/>
          <w:szCs w:val="18"/>
          <w:lang w:val="es-ES_tradnl"/>
        </w:rPr>
        <w:t>rdenes de privaci</w:t>
      </w:r>
      <w:r>
        <w:rPr>
          <w:rFonts w:cs="Times New Roman"/>
          <w:spacing w:val="-6"/>
          <w:sz w:val="18"/>
          <w:szCs w:val="18"/>
          <w:lang w:val="es-ES_tradnl"/>
        </w:rPr>
        <w:t>ó</w:t>
      </w:r>
      <w:r>
        <w:rPr>
          <w:spacing w:val="-6"/>
          <w:sz w:val="18"/>
          <w:szCs w:val="18"/>
          <w:lang w:val="es-ES_tradnl"/>
        </w:rPr>
        <w:t xml:space="preserve">n de libertad dictadas por un juez </w:t>
      </w:r>
      <w:r>
        <w:rPr>
          <w:sz w:val="18"/>
          <w:szCs w:val="18"/>
          <w:lang w:val="es-ES_tradnl"/>
        </w:rPr>
        <w:t>penal de primera instancia.</w:t>
      </w:r>
    </w:p>
    <w:p w14:paraId="4F67AF72" w14:textId="77777777" w:rsidR="00591D54" w:rsidRDefault="00591D54">
      <w:pPr>
        <w:shd w:val="clear" w:color="auto" w:fill="FFFFFF"/>
        <w:spacing w:before="192" w:line="216" w:lineRule="exact"/>
        <w:ind w:right="5"/>
        <w:jc w:val="both"/>
      </w:pPr>
      <w:r>
        <w:rPr>
          <w:spacing w:val="-9"/>
          <w:sz w:val="18"/>
          <w:szCs w:val="18"/>
          <w:lang w:val="es-ES_tradnl"/>
        </w:rPr>
        <w:t>Por su parte, al art</w:t>
      </w:r>
      <w:r>
        <w:rPr>
          <w:rFonts w:cs="Times New Roman"/>
          <w:spacing w:val="-9"/>
          <w:sz w:val="18"/>
          <w:szCs w:val="18"/>
          <w:lang w:val="es-ES_tradnl"/>
        </w:rPr>
        <w:t>í</w:t>
      </w:r>
      <w:r>
        <w:rPr>
          <w:spacing w:val="-9"/>
          <w:sz w:val="18"/>
          <w:szCs w:val="18"/>
          <w:lang w:val="es-ES_tradnl"/>
        </w:rPr>
        <w:t xml:space="preserve">culo 169 </w:t>
      </w:r>
      <w:r>
        <w:rPr>
          <w:i/>
          <w:iCs/>
          <w:spacing w:val="-9"/>
          <w:sz w:val="18"/>
          <w:szCs w:val="18"/>
          <w:lang w:val="es-ES_tradnl"/>
        </w:rPr>
        <w:t>ib</w:t>
      </w:r>
      <w:r>
        <w:rPr>
          <w:rFonts w:cs="Times New Roman"/>
          <w:i/>
          <w:iCs/>
          <w:spacing w:val="-9"/>
          <w:sz w:val="18"/>
          <w:szCs w:val="18"/>
          <w:lang w:val="es-ES_tradnl"/>
        </w:rPr>
        <w:t>í</w:t>
      </w:r>
      <w:r>
        <w:rPr>
          <w:i/>
          <w:iCs/>
          <w:spacing w:val="-9"/>
          <w:sz w:val="18"/>
          <w:szCs w:val="18"/>
          <w:lang w:val="es-ES_tradnl"/>
        </w:rPr>
        <w:t>dem</w:t>
      </w:r>
      <w:r>
        <w:rPr>
          <w:spacing w:val="-9"/>
          <w:sz w:val="18"/>
          <w:szCs w:val="18"/>
          <w:vertAlign w:val="superscript"/>
          <w:lang w:val="es-ES_tradnl"/>
        </w:rPr>
        <w:t>8</w:t>
      </w:r>
      <w:r>
        <w:rPr>
          <w:spacing w:val="-9"/>
          <w:sz w:val="18"/>
          <w:szCs w:val="18"/>
          <w:lang w:val="es-ES_tradnl"/>
        </w:rPr>
        <w:t>, se</w:t>
      </w:r>
      <w:r>
        <w:rPr>
          <w:rFonts w:cs="Times New Roman"/>
          <w:spacing w:val="-9"/>
          <w:sz w:val="18"/>
          <w:szCs w:val="18"/>
          <w:lang w:val="es-ES_tradnl"/>
        </w:rPr>
        <w:t>ñ</w:t>
      </w:r>
      <w:r>
        <w:rPr>
          <w:spacing w:val="-9"/>
          <w:sz w:val="18"/>
          <w:szCs w:val="18"/>
          <w:lang w:val="es-ES_tradnl"/>
        </w:rPr>
        <w:t xml:space="preserve">ala que le compete </w:t>
      </w:r>
      <w:r>
        <w:rPr>
          <w:spacing w:val="-5"/>
          <w:sz w:val="18"/>
          <w:szCs w:val="18"/>
          <w:lang w:val="es-ES_tradnl"/>
        </w:rPr>
        <w:t xml:space="preserve">a la Corte Nacional de Justicia, conocer y resolver los </w:t>
      </w:r>
      <w:r>
        <w:rPr>
          <w:spacing w:val="-9"/>
          <w:sz w:val="18"/>
          <w:szCs w:val="18"/>
          <w:lang w:val="es-ES_tradnl"/>
        </w:rPr>
        <w:t>recursos de apelaci</w:t>
      </w:r>
      <w:r>
        <w:rPr>
          <w:rFonts w:cs="Times New Roman"/>
          <w:spacing w:val="-9"/>
          <w:sz w:val="18"/>
          <w:szCs w:val="18"/>
          <w:lang w:val="es-ES_tradnl"/>
        </w:rPr>
        <w:t>ó</w:t>
      </w:r>
      <w:r>
        <w:rPr>
          <w:spacing w:val="-9"/>
          <w:sz w:val="18"/>
          <w:szCs w:val="18"/>
          <w:lang w:val="es-ES_tradnl"/>
        </w:rPr>
        <w:t>n de las acciones de h</w:t>
      </w:r>
      <w:r>
        <w:rPr>
          <w:rFonts w:cs="Times New Roman"/>
          <w:spacing w:val="-9"/>
          <w:sz w:val="18"/>
          <w:szCs w:val="18"/>
          <w:lang w:val="es-ES_tradnl"/>
        </w:rPr>
        <w:t>á</w:t>
      </w:r>
      <w:r>
        <w:rPr>
          <w:spacing w:val="-9"/>
          <w:sz w:val="18"/>
          <w:szCs w:val="18"/>
          <w:lang w:val="es-ES_tradnl"/>
        </w:rPr>
        <w:t xml:space="preserve">beas corpus </w:t>
      </w:r>
      <w:r>
        <w:rPr>
          <w:spacing w:val="-4"/>
          <w:sz w:val="18"/>
          <w:szCs w:val="18"/>
          <w:lang w:val="es-ES_tradnl"/>
        </w:rPr>
        <w:t>resueltos por las Cortes Provinciales, as</w:t>
      </w:r>
      <w:r>
        <w:rPr>
          <w:rFonts w:cs="Times New Roman"/>
          <w:spacing w:val="-4"/>
          <w:sz w:val="18"/>
          <w:szCs w:val="18"/>
          <w:lang w:val="es-ES_tradnl"/>
        </w:rPr>
        <w:t>í</w:t>
      </w:r>
      <w:r>
        <w:rPr>
          <w:spacing w:val="-4"/>
          <w:sz w:val="18"/>
          <w:szCs w:val="18"/>
          <w:lang w:val="es-ES_tradnl"/>
        </w:rPr>
        <w:t xml:space="preserve"> tambi</w:t>
      </w:r>
      <w:r>
        <w:rPr>
          <w:rFonts w:cs="Times New Roman"/>
          <w:spacing w:val="-4"/>
          <w:sz w:val="18"/>
          <w:szCs w:val="18"/>
          <w:lang w:val="es-ES_tradnl"/>
        </w:rPr>
        <w:t>é</w:t>
      </w:r>
      <w:r>
        <w:rPr>
          <w:spacing w:val="-4"/>
          <w:sz w:val="18"/>
          <w:szCs w:val="18"/>
          <w:lang w:val="es-ES_tradnl"/>
        </w:rPr>
        <w:t xml:space="preserve">n las </w:t>
      </w:r>
      <w:r>
        <w:rPr>
          <w:spacing w:val="-10"/>
          <w:sz w:val="18"/>
          <w:szCs w:val="18"/>
          <w:lang w:val="es-ES_tradnl"/>
        </w:rPr>
        <w:t>acciones de h</w:t>
      </w:r>
      <w:r>
        <w:rPr>
          <w:rFonts w:cs="Times New Roman"/>
          <w:spacing w:val="-10"/>
          <w:sz w:val="18"/>
          <w:szCs w:val="18"/>
          <w:lang w:val="es-ES_tradnl"/>
        </w:rPr>
        <w:t>á</w:t>
      </w:r>
      <w:r>
        <w:rPr>
          <w:spacing w:val="-10"/>
          <w:sz w:val="18"/>
          <w:szCs w:val="18"/>
          <w:lang w:val="es-ES_tradnl"/>
        </w:rPr>
        <w:t>beas corpus en los casos de fuero.</w:t>
      </w:r>
    </w:p>
    <w:p w14:paraId="4F67AF73" w14:textId="77777777" w:rsidR="00591D54" w:rsidRDefault="00591D54">
      <w:pPr>
        <w:shd w:val="clear" w:color="auto" w:fill="FFFFFF"/>
        <w:spacing w:before="192" w:line="216" w:lineRule="exact"/>
        <w:jc w:val="both"/>
      </w:pPr>
      <w:r>
        <w:rPr>
          <w:spacing w:val="-10"/>
          <w:sz w:val="18"/>
          <w:szCs w:val="18"/>
          <w:lang w:val="es-ES_tradnl"/>
        </w:rPr>
        <w:t xml:space="preserve">En tal sentido, el auto de la Sala Especializada de la Familia, </w:t>
      </w:r>
      <w:r>
        <w:rPr>
          <w:spacing w:val="-6"/>
          <w:sz w:val="18"/>
          <w:szCs w:val="18"/>
          <w:lang w:val="es-ES_tradnl"/>
        </w:rPr>
        <w:t>Ni</w:t>
      </w:r>
      <w:r>
        <w:rPr>
          <w:rFonts w:cs="Times New Roman"/>
          <w:spacing w:val="-6"/>
          <w:sz w:val="18"/>
          <w:szCs w:val="18"/>
          <w:lang w:val="es-ES_tradnl"/>
        </w:rPr>
        <w:t>ñ</w:t>
      </w:r>
      <w:r>
        <w:rPr>
          <w:spacing w:val="-6"/>
          <w:sz w:val="18"/>
          <w:szCs w:val="18"/>
          <w:lang w:val="es-ES_tradnl"/>
        </w:rPr>
        <w:t>ez y Adolescencia, en su auto del 11 de abril del a</w:t>
      </w:r>
      <w:r>
        <w:rPr>
          <w:rFonts w:cs="Times New Roman"/>
          <w:spacing w:val="-6"/>
          <w:sz w:val="18"/>
          <w:szCs w:val="18"/>
          <w:lang w:val="es-ES_tradnl"/>
        </w:rPr>
        <w:t>ñ</w:t>
      </w:r>
      <w:r>
        <w:rPr>
          <w:spacing w:val="-6"/>
          <w:sz w:val="18"/>
          <w:szCs w:val="18"/>
          <w:lang w:val="es-ES_tradnl"/>
        </w:rPr>
        <w:t xml:space="preserve">o </w:t>
      </w:r>
      <w:r>
        <w:rPr>
          <w:sz w:val="18"/>
          <w:szCs w:val="18"/>
          <w:lang w:val="es-ES_tradnl"/>
        </w:rPr>
        <w:t>2013, estableci</w:t>
      </w:r>
      <w:r>
        <w:rPr>
          <w:rFonts w:cs="Times New Roman"/>
          <w:sz w:val="18"/>
          <w:szCs w:val="18"/>
          <w:lang w:val="es-ES_tradnl"/>
        </w:rPr>
        <w:t>ó</w:t>
      </w:r>
      <w:r>
        <w:rPr>
          <w:sz w:val="18"/>
          <w:szCs w:val="18"/>
          <w:lang w:val="es-ES_tradnl"/>
        </w:rPr>
        <w:t xml:space="preserve"> que:</w:t>
      </w:r>
    </w:p>
    <w:p w14:paraId="4F67AF74" w14:textId="77777777" w:rsidR="00591D54" w:rsidRDefault="00591D54">
      <w:pPr>
        <w:shd w:val="clear" w:color="auto" w:fill="FFFFFF"/>
        <w:spacing w:before="202" w:line="216" w:lineRule="exact"/>
        <w:ind w:left="283"/>
        <w:jc w:val="both"/>
      </w:pPr>
      <w:r>
        <w:rPr>
          <w:b/>
          <w:bCs/>
          <w:sz w:val="14"/>
          <w:szCs w:val="14"/>
          <w:lang w:val="es-ES_tradnl"/>
        </w:rPr>
        <w:t xml:space="preserve">2.3. </w:t>
      </w:r>
      <w:r>
        <w:rPr>
          <w:sz w:val="14"/>
          <w:szCs w:val="14"/>
          <w:lang w:val="es-ES_tradnl"/>
        </w:rPr>
        <w:t>El Art. 169 de la Ley Org</w:t>
      </w:r>
      <w:r>
        <w:rPr>
          <w:rFonts w:cs="Times New Roman"/>
          <w:sz w:val="14"/>
          <w:szCs w:val="14"/>
          <w:lang w:val="es-ES_tradnl"/>
        </w:rPr>
        <w:t>á</w:t>
      </w:r>
      <w:r>
        <w:rPr>
          <w:sz w:val="14"/>
          <w:szCs w:val="14"/>
          <w:lang w:val="es-ES_tradnl"/>
        </w:rPr>
        <w:t>nica de Garant</w:t>
      </w:r>
      <w:r>
        <w:rPr>
          <w:rFonts w:cs="Times New Roman"/>
          <w:sz w:val="14"/>
          <w:szCs w:val="14"/>
          <w:lang w:val="es-ES_tradnl"/>
        </w:rPr>
        <w:t>í</w:t>
      </w:r>
      <w:r>
        <w:rPr>
          <w:sz w:val="14"/>
          <w:szCs w:val="14"/>
          <w:lang w:val="es-ES_tradnl"/>
        </w:rPr>
        <w:t>as Jurisdiccionales y Control Constitucional, prev</w:t>
      </w:r>
      <w:r>
        <w:rPr>
          <w:rFonts w:cs="Times New Roman"/>
          <w:sz w:val="14"/>
          <w:szCs w:val="14"/>
          <w:lang w:val="es-ES_tradnl"/>
        </w:rPr>
        <w:t>é</w:t>
      </w:r>
      <w:r>
        <w:rPr>
          <w:sz w:val="14"/>
          <w:szCs w:val="14"/>
          <w:lang w:val="es-ES_tradnl"/>
        </w:rPr>
        <w:t xml:space="preserve">: </w:t>
      </w:r>
      <w:r>
        <w:rPr>
          <w:rFonts w:cs="Times New Roman"/>
          <w:sz w:val="14"/>
          <w:szCs w:val="14"/>
          <w:lang w:val="es-ES_tradnl"/>
        </w:rPr>
        <w:t>“</w:t>
      </w:r>
      <w:r>
        <w:rPr>
          <w:sz w:val="14"/>
          <w:szCs w:val="14"/>
          <w:lang w:val="es-ES_tradnl"/>
        </w:rPr>
        <w:t>Compete a la Corte Nacional de Justicia: 1. Conocer y resolver los recursos de apelaci</w:t>
      </w:r>
      <w:r>
        <w:rPr>
          <w:rFonts w:cs="Times New Roman"/>
          <w:sz w:val="14"/>
          <w:szCs w:val="14"/>
          <w:lang w:val="es-ES_tradnl"/>
        </w:rPr>
        <w:t>ó</w:t>
      </w:r>
      <w:r>
        <w:rPr>
          <w:sz w:val="14"/>
          <w:szCs w:val="14"/>
          <w:lang w:val="es-ES_tradnl"/>
        </w:rPr>
        <w:t>n de las acciones de h</w:t>
      </w:r>
      <w:r>
        <w:rPr>
          <w:rFonts w:cs="Times New Roman"/>
          <w:sz w:val="14"/>
          <w:szCs w:val="14"/>
          <w:lang w:val="es-ES_tradnl"/>
        </w:rPr>
        <w:t>á</w:t>
      </w:r>
      <w:r>
        <w:rPr>
          <w:sz w:val="14"/>
          <w:szCs w:val="14"/>
          <w:lang w:val="es-ES_tradnl"/>
        </w:rPr>
        <w:t>beas corpus resueltos por las cortes provinciales, en los t</w:t>
      </w:r>
      <w:r>
        <w:rPr>
          <w:rFonts w:cs="Times New Roman"/>
          <w:sz w:val="14"/>
          <w:szCs w:val="14"/>
          <w:lang w:val="es-ES_tradnl"/>
        </w:rPr>
        <w:t>é</w:t>
      </w:r>
      <w:r>
        <w:rPr>
          <w:sz w:val="14"/>
          <w:szCs w:val="14"/>
          <w:lang w:val="es-ES_tradnl"/>
        </w:rPr>
        <w:t>rminos establecidos en esta ley. 2. Conocer las acciones de h</w:t>
      </w:r>
      <w:r>
        <w:rPr>
          <w:rFonts w:cs="Times New Roman"/>
          <w:sz w:val="14"/>
          <w:szCs w:val="14"/>
          <w:lang w:val="es-ES_tradnl"/>
        </w:rPr>
        <w:t>á</w:t>
      </w:r>
      <w:r>
        <w:rPr>
          <w:sz w:val="14"/>
          <w:szCs w:val="14"/>
          <w:lang w:val="es-ES_tradnl"/>
        </w:rPr>
        <w:t>beas corpus en los casos de fuero. 3. Ejercer el control concreto de constitucionalidad en los t</w:t>
      </w:r>
      <w:r>
        <w:rPr>
          <w:rFonts w:cs="Times New Roman"/>
          <w:sz w:val="14"/>
          <w:szCs w:val="14"/>
          <w:lang w:val="es-ES_tradnl"/>
        </w:rPr>
        <w:t>é</w:t>
      </w:r>
      <w:r>
        <w:rPr>
          <w:sz w:val="14"/>
          <w:szCs w:val="14"/>
          <w:lang w:val="es-ES_tradnl"/>
        </w:rPr>
        <w:t>rminos establecidos en esta ley.</w:t>
      </w:r>
      <w:r>
        <w:rPr>
          <w:rFonts w:cs="Times New Roman"/>
          <w:sz w:val="14"/>
          <w:szCs w:val="14"/>
          <w:lang w:val="es-ES_tradnl"/>
        </w:rPr>
        <w:t>”</w:t>
      </w:r>
      <w:r>
        <w:rPr>
          <w:sz w:val="14"/>
          <w:szCs w:val="14"/>
          <w:lang w:val="es-ES_tradnl"/>
        </w:rPr>
        <w:t xml:space="preserve">. </w:t>
      </w:r>
      <w:r>
        <w:rPr>
          <w:b/>
          <w:bCs/>
          <w:sz w:val="14"/>
          <w:szCs w:val="14"/>
          <w:lang w:val="es-ES_tradnl"/>
        </w:rPr>
        <w:t xml:space="preserve">2.4. </w:t>
      </w:r>
      <w:r>
        <w:rPr>
          <w:sz w:val="14"/>
          <w:szCs w:val="14"/>
          <w:lang w:val="es-ES_tradnl"/>
        </w:rPr>
        <w:t>La Corte Nacional de Justicia, mediante Resoluci</w:t>
      </w:r>
      <w:r>
        <w:rPr>
          <w:rFonts w:cs="Times New Roman"/>
          <w:sz w:val="14"/>
          <w:szCs w:val="14"/>
          <w:lang w:val="es-ES_tradnl"/>
        </w:rPr>
        <w:t>ó</w:t>
      </w:r>
      <w:r>
        <w:rPr>
          <w:sz w:val="14"/>
          <w:szCs w:val="14"/>
          <w:lang w:val="es-ES_tradnl"/>
        </w:rPr>
        <w:t xml:space="preserve">n dictada el 19 de marzo de 2009 y publicada en el Registro Oficial No. 565 de 7 de abril de 2009, dispone que: </w:t>
      </w:r>
      <w:r>
        <w:rPr>
          <w:rFonts w:cs="Times New Roman"/>
          <w:sz w:val="14"/>
          <w:szCs w:val="14"/>
          <w:lang w:val="es-ES_tradnl"/>
        </w:rPr>
        <w:t>“</w:t>
      </w:r>
      <w:r>
        <w:rPr>
          <w:sz w:val="14"/>
          <w:szCs w:val="14"/>
          <w:lang w:val="es-ES_tradnl"/>
        </w:rPr>
        <w:t>Los recursos de apelaci</w:t>
      </w:r>
      <w:r>
        <w:rPr>
          <w:rFonts w:cs="Times New Roman"/>
          <w:sz w:val="14"/>
          <w:szCs w:val="14"/>
          <w:lang w:val="es-ES_tradnl"/>
        </w:rPr>
        <w:t>ó</w:t>
      </w:r>
      <w:r>
        <w:rPr>
          <w:sz w:val="14"/>
          <w:szCs w:val="14"/>
          <w:lang w:val="es-ES_tradnl"/>
        </w:rPr>
        <w:t>n que se interpongan en contra de las sentencias dictadas por las Salas de la (sic) Cortes Provinciales, dentro de los Recursos de h</w:t>
      </w:r>
      <w:r>
        <w:rPr>
          <w:rFonts w:cs="Times New Roman"/>
          <w:sz w:val="14"/>
          <w:szCs w:val="14"/>
          <w:lang w:val="es-ES_tradnl"/>
        </w:rPr>
        <w:t>á</w:t>
      </w:r>
      <w:r>
        <w:rPr>
          <w:sz w:val="14"/>
          <w:szCs w:val="14"/>
          <w:lang w:val="es-ES_tradnl"/>
        </w:rPr>
        <w:t xml:space="preserve">beas corpus propuestos de conformidad con el </w:t>
      </w:r>
      <w:r>
        <w:rPr>
          <w:rFonts w:cs="Times New Roman"/>
          <w:sz w:val="14"/>
          <w:szCs w:val="14"/>
          <w:lang w:val="es-ES_tradnl"/>
        </w:rPr>
        <w:t>ú</w:t>
      </w:r>
      <w:r>
        <w:rPr>
          <w:sz w:val="14"/>
          <w:szCs w:val="14"/>
          <w:lang w:val="es-ES_tradnl"/>
        </w:rPr>
        <w:t>ltimo inciso del art</w:t>
      </w:r>
      <w:r>
        <w:rPr>
          <w:rFonts w:cs="Times New Roman"/>
          <w:sz w:val="14"/>
          <w:szCs w:val="14"/>
          <w:lang w:val="es-ES_tradnl"/>
        </w:rPr>
        <w:t>í</w:t>
      </w:r>
      <w:r>
        <w:rPr>
          <w:sz w:val="14"/>
          <w:szCs w:val="14"/>
          <w:lang w:val="es-ES_tradnl"/>
        </w:rPr>
        <w:t>culo</w:t>
      </w:r>
    </w:p>
    <w:p w14:paraId="4F67AF75" w14:textId="77777777" w:rsidR="00591D54" w:rsidRDefault="00591D54">
      <w:pPr>
        <w:shd w:val="clear" w:color="auto" w:fill="FFFFFF"/>
        <w:tabs>
          <w:tab w:val="left" w:pos="139"/>
        </w:tabs>
        <w:spacing w:before="566" w:line="178" w:lineRule="exact"/>
        <w:ind w:left="139" w:hanging="139"/>
      </w:pPr>
      <w:r>
        <w:rPr>
          <w:sz w:val="10"/>
          <w:szCs w:val="10"/>
          <w:vertAlign w:val="superscript"/>
          <w:lang w:val="es-ES_tradnl"/>
        </w:rPr>
        <w:t>7</w:t>
      </w:r>
      <w:r>
        <w:rPr>
          <w:sz w:val="18"/>
          <w:szCs w:val="18"/>
          <w:lang w:val="es-ES_tradnl"/>
        </w:rPr>
        <w:tab/>
      </w:r>
      <w:r>
        <w:rPr>
          <w:sz w:val="14"/>
          <w:szCs w:val="14"/>
          <w:lang w:val="es-ES_tradnl"/>
        </w:rPr>
        <w:t>Art.</w:t>
      </w:r>
      <w:r>
        <w:rPr>
          <w:sz w:val="18"/>
          <w:szCs w:val="18"/>
          <w:lang w:val="es-ES_tradnl"/>
        </w:rPr>
        <w:t xml:space="preserve"> </w:t>
      </w:r>
      <w:r>
        <w:rPr>
          <w:sz w:val="14"/>
          <w:szCs w:val="14"/>
          <w:lang w:val="es-ES_tradnl"/>
        </w:rPr>
        <w:t>168.-</w:t>
      </w:r>
      <w:r>
        <w:rPr>
          <w:sz w:val="18"/>
          <w:szCs w:val="18"/>
          <w:lang w:val="es-ES_tradnl"/>
        </w:rPr>
        <w:t xml:space="preserve"> </w:t>
      </w:r>
      <w:r>
        <w:rPr>
          <w:sz w:val="14"/>
          <w:szCs w:val="14"/>
          <w:lang w:val="es-ES_tradnl"/>
        </w:rPr>
        <w:t>Cortes</w:t>
      </w:r>
      <w:r>
        <w:rPr>
          <w:sz w:val="18"/>
          <w:szCs w:val="18"/>
          <w:lang w:val="es-ES_tradnl"/>
        </w:rPr>
        <w:t xml:space="preserve"> </w:t>
      </w:r>
      <w:r>
        <w:rPr>
          <w:sz w:val="14"/>
          <w:szCs w:val="14"/>
          <w:lang w:val="es-ES_tradnl"/>
        </w:rPr>
        <w:t>Provinciales</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Justicia.-</w:t>
      </w:r>
      <w:r>
        <w:rPr>
          <w:sz w:val="18"/>
          <w:szCs w:val="18"/>
          <w:lang w:val="es-ES_tradnl"/>
        </w:rPr>
        <w:t xml:space="preserve"> </w:t>
      </w:r>
      <w:r>
        <w:rPr>
          <w:sz w:val="14"/>
          <w:szCs w:val="14"/>
          <w:lang w:val="es-ES_tradnl"/>
        </w:rPr>
        <w:t>Compete</w:t>
      </w:r>
      <w:r>
        <w:rPr>
          <w:sz w:val="18"/>
          <w:szCs w:val="18"/>
          <w:lang w:val="es-ES_tradnl"/>
        </w:rPr>
        <w:t xml:space="preserve"> </w:t>
      </w:r>
      <w:r>
        <w:rPr>
          <w:sz w:val="14"/>
          <w:szCs w:val="14"/>
          <w:lang w:val="es-ES_tradnl"/>
        </w:rPr>
        <w:t>a</w:t>
      </w:r>
      <w:r>
        <w:rPr>
          <w:sz w:val="18"/>
          <w:szCs w:val="18"/>
          <w:lang w:val="es-ES_tradnl"/>
        </w:rPr>
        <w:t xml:space="preserve"> </w:t>
      </w:r>
      <w:r>
        <w:rPr>
          <w:sz w:val="14"/>
          <w:szCs w:val="14"/>
          <w:lang w:val="es-ES_tradnl"/>
        </w:rPr>
        <w:t>las</w:t>
      </w:r>
      <w:r>
        <w:rPr>
          <w:sz w:val="18"/>
          <w:szCs w:val="18"/>
          <w:lang w:val="es-ES_tradnl"/>
        </w:rPr>
        <w:t xml:space="preserve"> </w:t>
      </w:r>
      <w:r>
        <w:rPr>
          <w:sz w:val="14"/>
          <w:szCs w:val="14"/>
          <w:lang w:val="es-ES_tradnl"/>
        </w:rPr>
        <w:t>Cortes Provinciales:</w:t>
      </w:r>
    </w:p>
    <w:p w14:paraId="4F67AF76" w14:textId="77777777" w:rsidR="00591D54" w:rsidRDefault="00591D54" w:rsidP="00251195">
      <w:pPr>
        <w:numPr>
          <w:ilvl w:val="0"/>
          <w:numId w:val="71"/>
        </w:numPr>
        <w:shd w:val="clear" w:color="auto" w:fill="FFFFFF"/>
        <w:tabs>
          <w:tab w:val="left" w:pos="288"/>
        </w:tabs>
        <w:spacing w:line="178" w:lineRule="exact"/>
        <w:ind w:left="139" w:right="5"/>
        <w:jc w:val="both"/>
        <w:rPr>
          <w:spacing w:val="-4"/>
          <w:sz w:val="14"/>
          <w:szCs w:val="14"/>
          <w:lang w:val="es-ES_tradnl"/>
        </w:rPr>
      </w:pPr>
      <w:r>
        <w:rPr>
          <w:spacing w:val="-4"/>
          <w:sz w:val="14"/>
          <w:szCs w:val="14"/>
          <w:lang w:val="es-ES_tradnl"/>
        </w:rPr>
        <w:t>Conocer</w:t>
      </w:r>
      <w:r>
        <w:rPr>
          <w:spacing w:val="-4"/>
          <w:sz w:val="18"/>
          <w:szCs w:val="18"/>
          <w:lang w:val="es-ES_tradnl"/>
        </w:rPr>
        <w:t xml:space="preserve"> </w:t>
      </w:r>
      <w:r>
        <w:rPr>
          <w:spacing w:val="-4"/>
          <w:sz w:val="14"/>
          <w:szCs w:val="14"/>
          <w:lang w:val="es-ES_tradnl"/>
        </w:rPr>
        <w:t>y</w:t>
      </w:r>
      <w:r>
        <w:rPr>
          <w:spacing w:val="-4"/>
          <w:sz w:val="18"/>
          <w:szCs w:val="18"/>
          <w:lang w:val="es-ES_tradnl"/>
        </w:rPr>
        <w:t xml:space="preserve"> </w:t>
      </w:r>
      <w:r>
        <w:rPr>
          <w:spacing w:val="-4"/>
          <w:sz w:val="14"/>
          <w:szCs w:val="14"/>
          <w:lang w:val="es-ES_tradnl"/>
        </w:rPr>
        <w:t>resolver</w:t>
      </w:r>
      <w:r>
        <w:rPr>
          <w:spacing w:val="-4"/>
          <w:sz w:val="18"/>
          <w:szCs w:val="18"/>
          <w:lang w:val="es-ES_tradnl"/>
        </w:rPr>
        <w:t xml:space="preserve"> </w:t>
      </w:r>
      <w:r>
        <w:rPr>
          <w:spacing w:val="-4"/>
          <w:sz w:val="14"/>
          <w:szCs w:val="14"/>
          <w:lang w:val="es-ES_tradnl"/>
        </w:rPr>
        <w:t>los</w:t>
      </w:r>
      <w:r>
        <w:rPr>
          <w:spacing w:val="-4"/>
          <w:sz w:val="18"/>
          <w:szCs w:val="18"/>
          <w:lang w:val="es-ES_tradnl"/>
        </w:rPr>
        <w:t xml:space="preserve"> </w:t>
      </w:r>
      <w:r>
        <w:rPr>
          <w:spacing w:val="-4"/>
          <w:sz w:val="14"/>
          <w:szCs w:val="14"/>
          <w:lang w:val="es-ES_tradnl"/>
        </w:rPr>
        <w:t>recursos</w:t>
      </w:r>
      <w:r>
        <w:rPr>
          <w:spacing w:val="-4"/>
          <w:sz w:val="18"/>
          <w:szCs w:val="18"/>
          <w:lang w:val="es-ES_tradnl"/>
        </w:rPr>
        <w:t xml:space="preserve"> </w:t>
      </w:r>
      <w:r>
        <w:rPr>
          <w:spacing w:val="-4"/>
          <w:sz w:val="14"/>
          <w:szCs w:val="14"/>
          <w:lang w:val="es-ES_tradnl"/>
        </w:rPr>
        <w:t>de</w:t>
      </w:r>
      <w:r>
        <w:rPr>
          <w:spacing w:val="-4"/>
          <w:sz w:val="18"/>
          <w:szCs w:val="18"/>
          <w:lang w:val="es-ES_tradnl"/>
        </w:rPr>
        <w:t xml:space="preserve"> </w:t>
      </w:r>
      <w:r>
        <w:rPr>
          <w:spacing w:val="-4"/>
          <w:sz w:val="14"/>
          <w:szCs w:val="14"/>
          <w:lang w:val="es-ES_tradnl"/>
        </w:rPr>
        <w:t>apelaci</w:t>
      </w:r>
      <w:r>
        <w:rPr>
          <w:rFonts w:cs="Times New Roman"/>
          <w:spacing w:val="-4"/>
          <w:sz w:val="14"/>
          <w:szCs w:val="14"/>
          <w:lang w:val="es-ES_tradnl"/>
        </w:rPr>
        <w:t>ó</w:t>
      </w:r>
      <w:r>
        <w:rPr>
          <w:spacing w:val="-4"/>
          <w:sz w:val="14"/>
          <w:szCs w:val="14"/>
          <w:lang w:val="es-ES_tradnl"/>
        </w:rPr>
        <w:t>n</w:t>
      </w:r>
      <w:r>
        <w:rPr>
          <w:spacing w:val="-4"/>
          <w:sz w:val="18"/>
          <w:szCs w:val="18"/>
          <w:lang w:val="es-ES_tradnl"/>
        </w:rPr>
        <w:t xml:space="preserve"> </w:t>
      </w:r>
      <w:r>
        <w:rPr>
          <w:spacing w:val="-4"/>
          <w:sz w:val="14"/>
          <w:szCs w:val="14"/>
          <w:lang w:val="es-ES_tradnl"/>
        </w:rPr>
        <w:t>que</w:t>
      </w:r>
      <w:r>
        <w:rPr>
          <w:spacing w:val="-4"/>
          <w:sz w:val="18"/>
          <w:szCs w:val="18"/>
          <w:lang w:val="es-ES_tradnl"/>
        </w:rPr>
        <w:t xml:space="preserve"> </w:t>
      </w:r>
      <w:r>
        <w:rPr>
          <w:spacing w:val="-4"/>
          <w:sz w:val="14"/>
          <w:szCs w:val="14"/>
          <w:lang w:val="es-ES_tradnl"/>
        </w:rPr>
        <w:t>se</w:t>
      </w:r>
      <w:r>
        <w:rPr>
          <w:spacing w:val="-4"/>
          <w:sz w:val="18"/>
          <w:szCs w:val="18"/>
          <w:lang w:val="es-ES_tradnl"/>
        </w:rPr>
        <w:t xml:space="preserve"> </w:t>
      </w:r>
      <w:r>
        <w:rPr>
          <w:spacing w:val="-4"/>
          <w:sz w:val="14"/>
          <w:szCs w:val="14"/>
          <w:lang w:val="es-ES_tradnl"/>
        </w:rPr>
        <w:t>interpongan</w:t>
      </w:r>
      <w:r>
        <w:rPr>
          <w:spacing w:val="-4"/>
          <w:sz w:val="18"/>
          <w:szCs w:val="18"/>
          <w:lang w:val="es-ES_tradnl"/>
        </w:rPr>
        <w:t xml:space="preserve"> </w:t>
      </w:r>
      <w:r>
        <w:rPr>
          <w:spacing w:val="-4"/>
          <w:sz w:val="14"/>
          <w:szCs w:val="14"/>
          <w:lang w:val="es-ES_tradnl"/>
        </w:rPr>
        <w:t>en contra de los autos y las sentencias de las juezas y jueces de instancia respecto de las acciones de protecci</w:t>
      </w:r>
      <w:r>
        <w:rPr>
          <w:rFonts w:cs="Times New Roman"/>
          <w:spacing w:val="-4"/>
          <w:sz w:val="14"/>
          <w:szCs w:val="14"/>
          <w:lang w:val="es-ES_tradnl"/>
        </w:rPr>
        <w:t>ó</w:t>
      </w:r>
      <w:r>
        <w:rPr>
          <w:spacing w:val="-4"/>
          <w:sz w:val="14"/>
          <w:szCs w:val="14"/>
          <w:lang w:val="es-ES_tradnl"/>
        </w:rPr>
        <w:t>n, h</w:t>
      </w:r>
      <w:r>
        <w:rPr>
          <w:rFonts w:cs="Times New Roman"/>
          <w:spacing w:val="-4"/>
          <w:sz w:val="14"/>
          <w:szCs w:val="14"/>
          <w:lang w:val="es-ES_tradnl"/>
        </w:rPr>
        <w:t>á</w:t>
      </w:r>
      <w:r>
        <w:rPr>
          <w:spacing w:val="-4"/>
          <w:sz w:val="14"/>
          <w:szCs w:val="14"/>
          <w:lang w:val="es-ES_tradnl"/>
        </w:rPr>
        <w:t>beas corpus, h</w:t>
      </w:r>
      <w:r>
        <w:rPr>
          <w:rFonts w:cs="Times New Roman"/>
          <w:spacing w:val="-4"/>
          <w:sz w:val="14"/>
          <w:szCs w:val="14"/>
          <w:lang w:val="es-ES_tradnl"/>
        </w:rPr>
        <w:t>á</w:t>
      </w:r>
      <w:r>
        <w:rPr>
          <w:spacing w:val="-4"/>
          <w:sz w:val="14"/>
          <w:szCs w:val="14"/>
          <w:lang w:val="es-ES_tradnl"/>
        </w:rPr>
        <w:t xml:space="preserve">beas data y </w:t>
      </w:r>
      <w:r>
        <w:rPr>
          <w:sz w:val="14"/>
          <w:szCs w:val="14"/>
          <w:lang w:val="es-ES_tradnl"/>
        </w:rPr>
        <w:t>acci</w:t>
      </w:r>
      <w:r>
        <w:rPr>
          <w:rFonts w:cs="Times New Roman"/>
          <w:sz w:val="14"/>
          <w:szCs w:val="14"/>
          <w:lang w:val="es-ES_tradnl"/>
        </w:rPr>
        <w:t>ó</w:t>
      </w:r>
      <w:r>
        <w:rPr>
          <w:sz w:val="14"/>
          <w:szCs w:val="14"/>
          <w:lang w:val="es-ES_tradnl"/>
        </w:rPr>
        <w:t>n de acceso a la informaci</w:t>
      </w:r>
      <w:r>
        <w:rPr>
          <w:rFonts w:cs="Times New Roman"/>
          <w:sz w:val="14"/>
          <w:szCs w:val="14"/>
          <w:lang w:val="es-ES_tradnl"/>
        </w:rPr>
        <w:t>ó</w:t>
      </w:r>
      <w:r>
        <w:rPr>
          <w:sz w:val="14"/>
          <w:szCs w:val="14"/>
          <w:lang w:val="es-ES_tradnl"/>
        </w:rPr>
        <w:t>n.</w:t>
      </w:r>
    </w:p>
    <w:p w14:paraId="4F67AF77" w14:textId="77777777" w:rsidR="00591D54" w:rsidRDefault="00591D54" w:rsidP="00251195">
      <w:pPr>
        <w:numPr>
          <w:ilvl w:val="0"/>
          <w:numId w:val="71"/>
        </w:numPr>
        <w:shd w:val="clear" w:color="auto" w:fill="FFFFFF"/>
        <w:tabs>
          <w:tab w:val="left" w:pos="288"/>
        </w:tabs>
        <w:spacing w:line="178" w:lineRule="exact"/>
        <w:ind w:left="139" w:right="5"/>
        <w:jc w:val="both"/>
        <w:rPr>
          <w:spacing w:val="-4"/>
          <w:sz w:val="14"/>
          <w:szCs w:val="14"/>
          <w:lang w:val="es-ES_tradnl"/>
        </w:rPr>
      </w:pPr>
      <w:r>
        <w:rPr>
          <w:spacing w:val="-4"/>
          <w:sz w:val="14"/>
          <w:szCs w:val="14"/>
          <w:lang w:val="es-ES_tradnl"/>
        </w:rPr>
        <w:t>Conocer</w:t>
      </w:r>
      <w:r>
        <w:rPr>
          <w:spacing w:val="-4"/>
          <w:sz w:val="18"/>
          <w:szCs w:val="18"/>
          <w:lang w:val="es-ES_tradnl"/>
        </w:rPr>
        <w:t xml:space="preserve"> </w:t>
      </w:r>
      <w:r>
        <w:rPr>
          <w:spacing w:val="-4"/>
          <w:sz w:val="14"/>
          <w:szCs w:val="14"/>
          <w:lang w:val="es-ES_tradnl"/>
        </w:rPr>
        <w:t>las</w:t>
      </w:r>
      <w:r>
        <w:rPr>
          <w:spacing w:val="-4"/>
          <w:sz w:val="18"/>
          <w:szCs w:val="18"/>
          <w:lang w:val="es-ES_tradnl"/>
        </w:rPr>
        <w:t xml:space="preserve"> </w:t>
      </w:r>
      <w:r>
        <w:rPr>
          <w:spacing w:val="-4"/>
          <w:sz w:val="14"/>
          <w:szCs w:val="14"/>
          <w:lang w:val="es-ES_tradnl"/>
        </w:rPr>
        <w:t>acciones</w:t>
      </w:r>
      <w:r>
        <w:rPr>
          <w:spacing w:val="-4"/>
          <w:sz w:val="18"/>
          <w:szCs w:val="18"/>
          <w:lang w:val="es-ES_tradnl"/>
        </w:rPr>
        <w:t xml:space="preserve"> </w:t>
      </w:r>
      <w:r>
        <w:rPr>
          <w:spacing w:val="-4"/>
          <w:sz w:val="14"/>
          <w:szCs w:val="14"/>
          <w:lang w:val="es-ES_tradnl"/>
        </w:rPr>
        <w:t>de</w:t>
      </w:r>
      <w:r>
        <w:rPr>
          <w:spacing w:val="-4"/>
          <w:sz w:val="18"/>
          <w:szCs w:val="18"/>
          <w:lang w:val="es-ES_tradnl"/>
        </w:rPr>
        <w:t xml:space="preserve"> </w:t>
      </w:r>
      <w:r>
        <w:rPr>
          <w:spacing w:val="-4"/>
          <w:sz w:val="14"/>
          <w:szCs w:val="14"/>
          <w:lang w:val="es-ES_tradnl"/>
        </w:rPr>
        <w:t>h</w:t>
      </w:r>
      <w:r>
        <w:rPr>
          <w:rFonts w:cs="Times New Roman"/>
          <w:spacing w:val="-4"/>
          <w:sz w:val="14"/>
          <w:szCs w:val="14"/>
          <w:lang w:val="es-ES_tradnl"/>
        </w:rPr>
        <w:t>á</w:t>
      </w:r>
      <w:r>
        <w:rPr>
          <w:spacing w:val="-4"/>
          <w:sz w:val="14"/>
          <w:szCs w:val="14"/>
          <w:lang w:val="es-ES_tradnl"/>
        </w:rPr>
        <w:t>beas</w:t>
      </w:r>
      <w:r>
        <w:rPr>
          <w:spacing w:val="-4"/>
          <w:sz w:val="18"/>
          <w:szCs w:val="18"/>
          <w:lang w:val="es-ES_tradnl"/>
        </w:rPr>
        <w:t xml:space="preserve"> </w:t>
      </w:r>
      <w:r>
        <w:rPr>
          <w:spacing w:val="-4"/>
          <w:sz w:val="14"/>
          <w:szCs w:val="14"/>
          <w:lang w:val="es-ES_tradnl"/>
        </w:rPr>
        <w:t>corpus</w:t>
      </w:r>
      <w:r>
        <w:rPr>
          <w:spacing w:val="-4"/>
          <w:sz w:val="18"/>
          <w:szCs w:val="18"/>
          <w:lang w:val="es-ES_tradnl"/>
        </w:rPr>
        <w:t xml:space="preserve"> </w:t>
      </w:r>
      <w:r>
        <w:rPr>
          <w:spacing w:val="-4"/>
          <w:sz w:val="14"/>
          <w:szCs w:val="14"/>
          <w:lang w:val="es-ES_tradnl"/>
        </w:rPr>
        <w:t>en</w:t>
      </w:r>
      <w:r>
        <w:rPr>
          <w:spacing w:val="-4"/>
          <w:sz w:val="18"/>
          <w:szCs w:val="18"/>
          <w:lang w:val="es-ES_tradnl"/>
        </w:rPr>
        <w:t xml:space="preserve"> </w:t>
      </w:r>
      <w:r>
        <w:rPr>
          <w:spacing w:val="-4"/>
          <w:sz w:val="14"/>
          <w:szCs w:val="14"/>
          <w:lang w:val="es-ES_tradnl"/>
        </w:rPr>
        <w:t>los</w:t>
      </w:r>
      <w:r>
        <w:rPr>
          <w:spacing w:val="-4"/>
          <w:sz w:val="18"/>
          <w:szCs w:val="18"/>
          <w:lang w:val="es-ES_tradnl"/>
        </w:rPr>
        <w:t xml:space="preserve"> </w:t>
      </w:r>
      <w:r>
        <w:rPr>
          <w:spacing w:val="-4"/>
          <w:sz w:val="14"/>
          <w:szCs w:val="14"/>
          <w:lang w:val="es-ES_tradnl"/>
        </w:rPr>
        <w:t>casos</w:t>
      </w:r>
      <w:r>
        <w:rPr>
          <w:spacing w:val="-4"/>
          <w:sz w:val="18"/>
          <w:szCs w:val="18"/>
          <w:lang w:val="es-ES_tradnl"/>
        </w:rPr>
        <w:t xml:space="preserve"> </w:t>
      </w:r>
      <w:r>
        <w:rPr>
          <w:spacing w:val="-4"/>
          <w:sz w:val="14"/>
          <w:szCs w:val="14"/>
          <w:lang w:val="es-ES_tradnl"/>
        </w:rPr>
        <w:t>de</w:t>
      </w:r>
      <w:r>
        <w:rPr>
          <w:spacing w:val="-4"/>
          <w:sz w:val="18"/>
          <w:szCs w:val="18"/>
          <w:lang w:val="es-ES_tradnl"/>
        </w:rPr>
        <w:t xml:space="preserve"> </w:t>
      </w:r>
      <w:r>
        <w:rPr>
          <w:spacing w:val="-4"/>
          <w:sz w:val="14"/>
          <w:szCs w:val="14"/>
          <w:lang w:val="es-ES_tradnl"/>
        </w:rPr>
        <w:t>fuero</w:t>
      </w:r>
      <w:r>
        <w:rPr>
          <w:spacing w:val="-4"/>
          <w:sz w:val="18"/>
          <w:szCs w:val="18"/>
          <w:lang w:val="es-ES_tradnl"/>
        </w:rPr>
        <w:t xml:space="preserve"> </w:t>
      </w:r>
      <w:r>
        <w:rPr>
          <w:spacing w:val="-4"/>
          <w:sz w:val="14"/>
          <w:szCs w:val="14"/>
          <w:lang w:val="es-ES_tradnl"/>
        </w:rPr>
        <w:t>y</w:t>
      </w:r>
      <w:r>
        <w:rPr>
          <w:spacing w:val="-4"/>
          <w:sz w:val="18"/>
          <w:szCs w:val="18"/>
          <w:lang w:val="es-ES_tradnl"/>
        </w:rPr>
        <w:t xml:space="preserve"> </w:t>
      </w:r>
      <w:r>
        <w:rPr>
          <w:spacing w:val="-4"/>
          <w:sz w:val="14"/>
          <w:szCs w:val="14"/>
          <w:lang w:val="es-ES_tradnl"/>
        </w:rPr>
        <w:t xml:space="preserve">de </w:t>
      </w:r>
      <w:r>
        <w:rPr>
          <w:rFonts w:cs="Times New Roman"/>
          <w:spacing w:val="-1"/>
          <w:sz w:val="14"/>
          <w:szCs w:val="14"/>
          <w:lang w:val="es-ES_tradnl"/>
        </w:rPr>
        <w:t>ó</w:t>
      </w:r>
      <w:r>
        <w:rPr>
          <w:spacing w:val="-1"/>
          <w:sz w:val="14"/>
          <w:szCs w:val="14"/>
          <w:lang w:val="es-ES_tradnl"/>
        </w:rPr>
        <w:t>rdenes de privaci</w:t>
      </w:r>
      <w:r>
        <w:rPr>
          <w:rFonts w:cs="Times New Roman"/>
          <w:spacing w:val="-1"/>
          <w:sz w:val="14"/>
          <w:szCs w:val="14"/>
          <w:lang w:val="es-ES_tradnl"/>
        </w:rPr>
        <w:t>ó</w:t>
      </w:r>
      <w:r>
        <w:rPr>
          <w:spacing w:val="-1"/>
          <w:sz w:val="14"/>
          <w:szCs w:val="14"/>
          <w:lang w:val="es-ES_tradnl"/>
        </w:rPr>
        <w:t xml:space="preserve">n de libertad dictadas por jueza o juez penal de </w:t>
      </w:r>
      <w:r>
        <w:rPr>
          <w:sz w:val="14"/>
          <w:szCs w:val="14"/>
          <w:lang w:val="es-ES_tradnl"/>
        </w:rPr>
        <w:t>primera instancia.</w:t>
      </w:r>
    </w:p>
    <w:p w14:paraId="4F67AF78" w14:textId="77777777" w:rsidR="00591D54" w:rsidRDefault="00591D54" w:rsidP="00251195">
      <w:pPr>
        <w:numPr>
          <w:ilvl w:val="0"/>
          <w:numId w:val="71"/>
        </w:numPr>
        <w:shd w:val="clear" w:color="auto" w:fill="FFFFFF"/>
        <w:tabs>
          <w:tab w:val="left" w:pos="288"/>
        </w:tabs>
        <w:spacing w:line="178" w:lineRule="exact"/>
        <w:ind w:left="139" w:right="5"/>
        <w:jc w:val="both"/>
        <w:rPr>
          <w:spacing w:val="-4"/>
          <w:sz w:val="14"/>
          <w:szCs w:val="14"/>
          <w:lang w:val="es-ES_tradnl"/>
        </w:rPr>
      </w:pPr>
      <w:r>
        <w:rPr>
          <w:spacing w:val="-1"/>
          <w:sz w:val="14"/>
          <w:szCs w:val="14"/>
          <w:lang w:val="es-ES_tradnl"/>
        </w:rPr>
        <w:t>Ejercer</w:t>
      </w:r>
      <w:r>
        <w:rPr>
          <w:spacing w:val="-1"/>
          <w:sz w:val="18"/>
          <w:szCs w:val="18"/>
          <w:lang w:val="es-ES_tradnl"/>
        </w:rPr>
        <w:t xml:space="preserve"> </w:t>
      </w:r>
      <w:r>
        <w:rPr>
          <w:spacing w:val="-1"/>
          <w:sz w:val="14"/>
          <w:szCs w:val="14"/>
          <w:lang w:val="es-ES_tradnl"/>
        </w:rPr>
        <w:t>el</w:t>
      </w:r>
      <w:r>
        <w:rPr>
          <w:spacing w:val="-1"/>
          <w:sz w:val="18"/>
          <w:szCs w:val="18"/>
          <w:lang w:val="es-ES_tradnl"/>
        </w:rPr>
        <w:t xml:space="preserve"> </w:t>
      </w:r>
      <w:r>
        <w:rPr>
          <w:spacing w:val="-1"/>
          <w:sz w:val="14"/>
          <w:szCs w:val="14"/>
          <w:lang w:val="es-ES_tradnl"/>
        </w:rPr>
        <w:t>control</w:t>
      </w:r>
      <w:r>
        <w:rPr>
          <w:spacing w:val="-1"/>
          <w:sz w:val="18"/>
          <w:szCs w:val="18"/>
          <w:lang w:val="es-ES_tradnl"/>
        </w:rPr>
        <w:t xml:space="preserve"> </w:t>
      </w:r>
      <w:r>
        <w:rPr>
          <w:spacing w:val="-1"/>
          <w:sz w:val="14"/>
          <w:szCs w:val="14"/>
          <w:lang w:val="es-ES_tradnl"/>
        </w:rPr>
        <w:t>concreto</w:t>
      </w:r>
      <w:r>
        <w:rPr>
          <w:spacing w:val="-1"/>
          <w:sz w:val="18"/>
          <w:szCs w:val="18"/>
          <w:lang w:val="es-ES_tradnl"/>
        </w:rPr>
        <w:t xml:space="preserve"> </w:t>
      </w:r>
      <w:r>
        <w:rPr>
          <w:spacing w:val="-1"/>
          <w:sz w:val="14"/>
          <w:szCs w:val="14"/>
          <w:lang w:val="es-ES_tradnl"/>
        </w:rPr>
        <w:t>de</w:t>
      </w:r>
      <w:r>
        <w:rPr>
          <w:spacing w:val="-1"/>
          <w:sz w:val="18"/>
          <w:szCs w:val="18"/>
          <w:lang w:val="es-ES_tradnl"/>
        </w:rPr>
        <w:t xml:space="preserve"> </w:t>
      </w:r>
      <w:r>
        <w:rPr>
          <w:spacing w:val="-1"/>
          <w:sz w:val="14"/>
          <w:szCs w:val="14"/>
          <w:lang w:val="es-ES_tradnl"/>
        </w:rPr>
        <w:t>constitucionalidad</w:t>
      </w:r>
      <w:r>
        <w:rPr>
          <w:spacing w:val="-1"/>
          <w:sz w:val="18"/>
          <w:szCs w:val="18"/>
          <w:lang w:val="es-ES_tradnl"/>
        </w:rPr>
        <w:t xml:space="preserve"> </w:t>
      </w:r>
      <w:r>
        <w:rPr>
          <w:spacing w:val="-1"/>
          <w:sz w:val="14"/>
          <w:szCs w:val="14"/>
          <w:lang w:val="es-ES_tradnl"/>
        </w:rPr>
        <w:t>en</w:t>
      </w:r>
      <w:r>
        <w:rPr>
          <w:spacing w:val="-1"/>
          <w:sz w:val="18"/>
          <w:szCs w:val="18"/>
          <w:lang w:val="es-ES_tradnl"/>
        </w:rPr>
        <w:t xml:space="preserve"> </w:t>
      </w:r>
      <w:r>
        <w:rPr>
          <w:spacing w:val="-1"/>
          <w:sz w:val="14"/>
          <w:szCs w:val="14"/>
          <w:lang w:val="es-ES_tradnl"/>
        </w:rPr>
        <w:t>los</w:t>
      </w:r>
      <w:r>
        <w:rPr>
          <w:spacing w:val="-1"/>
          <w:sz w:val="18"/>
          <w:szCs w:val="18"/>
          <w:lang w:val="es-ES_tradnl"/>
        </w:rPr>
        <w:t xml:space="preserve"> </w:t>
      </w:r>
      <w:r>
        <w:rPr>
          <w:spacing w:val="-1"/>
          <w:sz w:val="14"/>
          <w:szCs w:val="14"/>
          <w:lang w:val="es-ES_tradnl"/>
        </w:rPr>
        <w:t>t</w:t>
      </w:r>
      <w:r>
        <w:rPr>
          <w:rFonts w:cs="Times New Roman"/>
          <w:spacing w:val="-1"/>
          <w:sz w:val="14"/>
          <w:szCs w:val="14"/>
          <w:lang w:val="es-ES_tradnl"/>
        </w:rPr>
        <w:t>é</w:t>
      </w:r>
      <w:r>
        <w:rPr>
          <w:spacing w:val="-1"/>
          <w:sz w:val="14"/>
          <w:szCs w:val="14"/>
          <w:lang w:val="es-ES_tradnl"/>
        </w:rPr>
        <w:t xml:space="preserve">rminos </w:t>
      </w:r>
      <w:r>
        <w:rPr>
          <w:sz w:val="14"/>
          <w:szCs w:val="14"/>
          <w:lang w:val="es-ES_tradnl"/>
        </w:rPr>
        <w:t>previstos en esta Ley.</w:t>
      </w:r>
    </w:p>
    <w:p w14:paraId="4F67AF79" w14:textId="77777777" w:rsidR="00591D54" w:rsidRDefault="00591D54">
      <w:pPr>
        <w:shd w:val="clear" w:color="auto" w:fill="FFFFFF"/>
        <w:tabs>
          <w:tab w:val="left" w:pos="139"/>
        </w:tabs>
        <w:spacing w:before="149" w:line="178" w:lineRule="exact"/>
        <w:ind w:left="139" w:hanging="139"/>
      </w:pPr>
      <w:r>
        <w:rPr>
          <w:sz w:val="10"/>
          <w:szCs w:val="10"/>
          <w:vertAlign w:val="superscript"/>
          <w:lang w:val="es-ES_tradnl"/>
        </w:rPr>
        <w:t>8</w:t>
      </w:r>
      <w:r>
        <w:rPr>
          <w:sz w:val="18"/>
          <w:szCs w:val="18"/>
          <w:lang w:val="es-ES_tradnl"/>
        </w:rPr>
        <w:tab/>
      </w:r>
      <w:r>
        <w:rPr>
          <w:spacing w:val="-1"/>
          <w:sz w:val="14"/>
          <w:szCs w:val="14"/>
          <w:lang w:val="es-ES_tradnl"/>
        </w:rPr>
        <w:t>Art.</w:t>
      </w:r>
      <w:r>
        <w:rPr>
          <w:spacing w:val="-1"/>
          <w:sz w:val="18"/>
          <w:szCs w:val="18"/>
          <w:lang w:val="es-ES_tradnl"/>
        </w:rPr>
        <w:t xml:space="preserve"> </w:t>
      </w:r>
      <w:r>
        <w:rPr>
          <w:spacing w:val="-1"/>
          <w:sz w:val="14"/>
          <w:szCs w:val="14"/>
          <w:lang w:val="es-ES_tradnl"/>
        </w:rPr>
        <w:t>169.-</w:t>
      </w:r>
      <w:r>
        <w:rPr>
          <w:spacing w:val="-1"/>
          <w:sz w:val="18"/>
          <w:szCs w:val="18"/>
          <w:lang w:val="es-ES_tradnl"/>
        </w:rPr>
        <w:t xml:space="preserve"> </w:t>
      </w:r>
      <w:r>
        <w:rPr>
          <w:spacing w:val="-1"/>
          <w:sz w:val="14"/>
          <w:szCs w:val="14"/>
          <w:lang w:val="es-ES_tradnl"/>
        </w:rPr>
        <w:t>Corte</w:t>
      </w:r>
      <w:r>
        <w:rPr>
          <w:spacing w:val="-1"/>
          <w:sz w:val="18"/>
          <w:szCs w:val="18"/>
          <w:lang w:val="es-ES_tradnl"/>
        </w:rPr>
        <w:t xml:space="preserve"> </w:t>
      </w:r>
      <w:r>
        <w:rPr>
          <w:spacing w:val="-1"/>
          <w:sz w:val="14"/>
          <w:szCs w:val="14"/>
          <w:lang w:val="es-ES_tradnl"/>
        </w:rPr>
        <w:t>Nacional</w:t>
      </w:r>
      <w:r>
        <w:rPr>
          <w:spacing w:val="-1"/>
          <w:sz w:val="18"/>
          <w:szCs w:val="18"/>
          <w:lang w:val="es-ES_tradnl"/>
        </w:rPr>
        <w:t xml:space="preserve"> </w:t>
      </w:r>
      <w:r>
        <w:rPr>
          <w:spacing w:val="-1"/>
          <w:sz w:val="14"/>
          <w:szCs w:val="14"/>
          <w:lang w:val="es-ES_tradnl"/>
        </w:rPr>
        <w:t>de</w:t>
      </w:r>
      <w:r>
        <w:rPr>
          <w:spacing w:val="-1"/>
          <w:sz w:val="18"/>
          <w:szCs w:val="18"/>
          <w:lang w:val="es-ES_tradnl"/>
        </w:rPr>
        <w:t xml:space="preserve"> </w:t>
      </w:r>
      <w:r>
        <w:rPr>
          <w:spacing w:val="-1"/>
          <w:sz w:val="14"/>
          <w:szCs w:val="14"/>
          <w:lang w:val="es-ES_tradnl"/>
        </w:rPr>
        <w:t>Justicia.-</w:t>
      </w:r>
      <w:r>
        <w:rPr>
          <w:spacing w:val="-1"/>
          <w:sz w:val="18"/>
          <w:szCs w:val="18"/>
          <w:lang w:val="es-ES_tradnl"/>
        </w:rPr>
        <w:t xml:space="preserve"> </w:t>
      </w:r>
      <w:r>
        <w:rPr>
          <w:spacing w:val="-1"/>
          <w:sz w:val="14"/>
          <w:szCs w:val="14"/>
          <w:lang w:val="es-ES_tradnl"/>
        </w:rPr>
        <w:t>Compete</w:t>
      </w:r>
      <w:r>
        <w:rPr>
          <w:spacing w:val="-1"/>
          <w:sz w:val="18"/>
          <w:szCs w:val="18"/>
          <w:lang w:val="es-ES_tradnl"/>
        </w:rPr>
        <w:t xml:space="preserve"> </w:t>
      </w:r>
      <w:r>
        <w:rPr>
          <w:spacing w:val="-1"/>
          <w:sz w:val="14"/>
          <w:szCs w:val="14"/>
          <w:lang w:val="es-ES_tradnl"/>
        </w:rPr>
        <w:t>a</w:t>
      </w:r>
      <w:r>
        <w:rPr>
          <w:spacing w:val="-1"/>
          <w:sz w:val="18"/>
          <w:szCs w:val="18"/>
          <w:lang w:val="es-ES_tradnl"/>
        </w:rPr>
        <w:t xml:space="preserve"> </w:t>
      </w:r>
      <w:r>
        <w:rPr>
          <w:spacing w:val="-1"/>
          <w:sz w:val="14"/>
          <w:szCs w:val="14"/>
          <w:lang w:val="es-ES_tradnl"/>
        </w:rPr>
        <w:t>la</w:t>
      </w:r>
      <w:r>
        <w:rPr>
          <w:spacing w:val="-1"/>
          <w:sz w:val="18"/>
          <w:szCs w:val="18"/>
          <w:lang w:val="es-ES_tradnl"/>
        </w:rPr>
        <w:t xml:space="preserve"> </w:t>
      </w:r>
      <w:r>
        <w:rPr>
          <w:spacing w:val="-1"/>
          <w:sz w:val="14"/>
          <w:szCs w:val="14"/>
          <w:lang w:val="es-ES_tradnl"/>
        </w:rPr>
        <w:t>Corte</w:t>
      </w:r>
      <w:r>
        <w:rPr>
          <w:spacing w:val="-1"/>
          <w:sz w:val="18"/>
          <w:szCs w:val="18"/>
          <w:lang w:val="es-ES_tradnl"/>
        </w:rPr>
        <w:t xml:space="preserve"> </w:t>
      </w:r>
      <w:r>
        <w:rPr>
          <w:spacing w:val="-1"/>
          <w:sz w:val="14"/>
          <w:szCs w:val="14"/>
          <w:lang w:val="es-ES_tradnl"/>
        </w:rPr>
        <w:t>Nacional </w:t>
      </w:r>
      <w:r>
        <w:rPr>
          <w:sz w:val="14"/>
          <w:szCs w:val="14"/>
          <w:lang w:val="es-ES_tradnl"/>
        </w:rPr>
        <w:t>de Justicia:</w:t>
      </w:r>
    </w:p>
    <w:p w14:paraId="4F67AF7A" w14:textId="77777777" w:rsidR="00591D54" w:rsidRDefault="00591D54" w:rsidP="00251195">
      <w:pPr>
        <w:numPr>
          <w:ilvl w:val="0"/>
          <w:numId w:val="72"/>
        </w:numPr>
        <w:shd w:val="clear" w:color="auto" w:fill="FFFFFF"/>
        <w:tabs>
          <w:tab w:val="left" w:pos="293"/>
        </w:tabs>
        <w:spacing w:line="178" w:lineRule="exact"/>
        <w:ind w:left="139" w:right="5"/>
        <w:jc w:val="both"/>
        <w:rPr>
          <w:spacing w:val="-4"/>
          <w:sz w:val="14"/>
          <w:szCs w:val="14"/>
          <w:lang w:val="es-ES_tradnl"/>
        </w:rPr>
      </w:pPr>
      <w:r>
        <w:rPr>
          <w:spacing w:val="-2"/>
          <w:sz w:val="14"/>
          <w:szCs w:val="14"/>
          <w:lang w:val="es-ES_tradnl"/>
        </w:rPr>
        <w:t>Conocer</w:t>
      </w:r>
      <w:r>
        <w:rPr>
          <w:spacing w:val="-2"/>
          <w:sz w:val="18"/>
          <w:szCs w:val="18"/>
          <w:lang w:val="es-ES_tradnl"/>
        </w:rPr>
        <w:t xml:space="preserve"> </w:t>
      </w:r>
      <w:r>
        <w:rPr>
          <w:spacing w:val="-2"/>
          <w:sz w:val="14"/>
          <w:szCs w:val="14"/>
          <w:lang w:val="es-ES_tradnl"/>
        </w:rPr>
        <w:t>y</w:t>
      </w:r>
      <w:r>
        <w:rPr>
          <w:spacing w:val="-2"/>
          <w:sz w:val="18"/>
          <w:szCs w:val="18"/>
          <w:lang w:val="es-ES_tradnl"/>
        </w:rPr>
        <w:t xml:space="preserve"> </w:t>
      </w:r>
      <w:r>
        <w:rPr>
          <w:spacing w:val="-2"/>
          <w:sz w:val="14"/>
          <w:szCs w:val="14"/>
          <w:lang w:val="es-ES_tradnl"/>
        </w:rPr>
        <w:t>resolver</w:t>
      </w:r>
      <w:r>
        <w:rPr>
          <w:spacing w:val="-2"/>
          <w:sz w:val="18"/>
          <w:szCs w:val="18"/>
          <w:lang w:val="es-ES_tradnl"/>
        </w:rPr>
        <w:t xml:space="preserve"> </w:t>
      </w:r>
      <w:r>
        <w:rPr>
          <w:spacing w:val="-2"/>
          <w:sz w:val="14"/>
          <w:szCs w:val="14"/>
          <w:lang w:val="es-ES_tradnl"/>
        </w:rPr>
        <w:t>los</w:t>
      </w:r>
      <w:r>
        <w:rPr>
          <w:spacing w:val="-2"/>
          <w:sz w:val="18"/>
          <w:szCs w:val="18"/>
          <w:lang w:val="es-ES_tradnl"/>
        </w:rPr>
        <w:t xml:space="preserve"> </w:t>
      </w:r>
      <w:r>
        <w:rPr>
          <w:spacing w:val="-2"/>
          <w:sz w:val="14"/>
          <w:szCs w:val="14"/>
          <w:lang w:val="es-ES_tradnl"/>
        </w:rPr>
        <w:t>recursos</w:t>
      </w:r>
      <w:r>
        <w:rPr>
          <w:spacing w:val="-2"/>
          <w:sz w:val="18"/>
          <w:szCs w:val="18"/>
          <w:lang w:val="es-ES_tradnl"/>
        </w:rPr>
        <w:t xml:space="preserve"> </w:t>
      </w:r>
      <w:r>
        <w:rPr>
          <w:spacing w:val="-2"/>
          <w:sz w:val="14"/>
          <w:szCs w:val="14"/>
          <w:lang w:val="es-ES_tradnl"/>
        </w:rPr>
        <w:t>de</w:t>
      </w:r>
      <w:r>
        <w:rPr>
          <w:spacing w:val="-2"/>
          <w:sz w:val="18"/>
          <w:szCs w:val="18"/>
          <w:lang w:val="es-ES_tradnl"/>
        </w:rPr>
        <w:t xml:space="preserve"> </w:t>
      </w:r>
      <w:r>
        <w:rPr>
          <w:spacing w:val="-2"/>
          <w:sz w:val="14"/>
          <w:szCs w:val="14"/>
          <w:lang w:val="es-ES_tradnl"/>
        </w:rPr>
        <w:t>apelaci</w:t>
      </w:r>
      <w:r>
        <w:rPr>
          <w:rFonts w:cs="Times New Roman"/>
          <w:spacing w:val="-2"/>
          <w:sz w:val="14"/>
          <w:szCs w:val="14"/>
          <w:lang w:val="es-ES_tradnl"/>
        </w:rPr>
        <w:t>ó</w:t>
      </w:r>
      <w:r>
        <w:rPr>
          <w:spacing w:val="-2"/>
          <w:sz w:val="14"/>
          <w:szCs w:val="14"/>
          <w:lang w:val="es-ES_tradnl"/>
        </w:rPr>
        <w:t>n</w:t>
      </w:r>
      <w:r>
        <w:rPr>
          <w:spacing w:val="-2"/>
          <w:sz w:val="18"/>
          <w:szCs w:val="18"/>
          <w:lang w:val="es-ES_tradnl"/>
        </w:rPr>
        <w:t xml:space="preserve"> </w:t>
      </w:r>
      <w:r>
        <w:rPr>
          <w:spacing w:val="-2"/>
          <w:sz w:val="14"/>
          <w:szCs w:val="14"/>
          <w:lang w:val="es-ES_tradnl"/>
        </w:rPr>
        <w:t>de</w:t>
      </w:r>
      <w:r>
        <w:rPr>
          <w:spacing w:val="-2"/>
          <w:sz w:val="18"/>
          <w:szCs w:val="18"/>
          <w:lang w:val="es-ES_tradnl"/>
        </w:rPr>
        <w:t xml:space="preserve"> </w:t>
      </w:r>
      <w:r>
        <w:rPr>
          <w:spacing w:val="-2"/>
          <w:sz w:val="14"/>
          <w:szCs w:val="14"/>
          <w:lang w:val="es-ES_tradnl"/>
        </w:rPr>
        <w:t>las</w:t>
      </w:r>
      <w:r>
        <w:rPr>
          <w:spacing w:val="-2"/>
          <w:sz w:val="18"/>
          <w:szCs w:val="18"/>
          <w:lang w:val="es-ES_tradnl"/>
        </w:rPr>
        <w:t xml:space="preserve"> </w:t>
      </w:r>
      <w:r>
        <w:rPr>
          <w:spacing w:val="-2"/>
          <w:sz w:val="14"/>
          <w:szCs w:val="14"/>
          <w:lang w:val="es-ES_tradnl"/>
        </w:rPr>
        <w:t>acciones</w:t>
      </w:r>
      <w:r>
        <w:rPr>
          <w:spacing w:val="-2"/>
          <w:sz w:val="18"/>
          <w:szCs w:val="18"/>
          <w:lang w:val="es-ES_tradnl"/>
        </w:rPr>
        <w:t xml:space="preserve"> </w:t>
      </w:r>
      <w:r>
        <w:rPr>
          <w:spacing w:val="-2"/>
          <w:sz w:val="14"/>
          <w:szCs w:val="14"/>
          <w:lang w:val="es-ES_tradnl"/>
        </w:rPr>
        <w:t>de h</w:t>
      </w:r>
      <w:r>
        <w:rPr>
          <w:rFonts w:cs="Times New Roman"/>
          <w:spacing w:val="-2"/>
          <w:sz w:val="14"/>
          <w:szCs w:val="14"/>
          <w:lang w:val="es-ES_tradnl"/>
        </w:rPr>
        <w:t>á</w:t>
      </w:r>
      <w:r>
        <w:rPr>
          <w:spacing w:val="-2"/>
          <w:sz w:val="14"/>
          <w:szCs w:val="14"/>
          <w:lang w:val="es-ES_tradnl"/>
        </w:rPr>
        <w:t>beas corpus resueltos por las cortes provinciales, en los t</w:t>
      </w:r>
      <w:r>
        <w:rPr>
          <w:rFonts w:cs="Times New Roman"/>
          <w:spacing w:val="-2"/>
          <w:sz w:val="14"/>
          <w:szCs w:val="14"/>
          <w:lang w:val="es-ES_tradnl"/>
        </w:rPr>
        <w:t>é</w:t>
      </w:r>
      <w:r>
        <w:rPr>
          <w:spacing w:val="-2"/>
          <w:sz w:val="14"/>
          <w:szCs w:val="14"/>
          <w:lang w:val="es-ES_tradnl"/>
        </w:rPr>
        <w:t xml:space="preserve">rminos </w:t>
      </w:r>
      <w:r>
        <w:rPr>
          <w:sz w:val="14"/>
          <w:szCs w:val="14"/>
          <w:lang w:val="es-ES_tradnl"/>
        </w:rPr>
        <w:t>establecidos en esta ley.</w:t>
      </w:r>
    </w:p>
    <w:p w14:paraId="4F67AF7B" w14:textId="77777777" w:rsidR="00591D54" w:rsidRDefault="00591D54" w:rsidP="00251195">
      <w:pPr>
        <w:numPr>
          <w:ilvl w:val="0"/>
          <w:numId w:val="72"/>
        </w:numPr>
        <w:shd w:val="clear" w:color="auto" w:fill="FFFFFF"/>
        <w:tabs>
          <w:tab w:val="left" w:pos="293"/>
        </w:tabs>
        <w:spacing w:line="178" w:lineRule="exact"/>
        <w:ind w:left="139"/>
        <w:rPr>
          <w:spacing w:val="-4"/>
          <w:sz w:val="14"/>
          <w:szCs w:val="14"/>
          <w:lang w:val="es-ES_tradnl"/>
        </w:rPr>
      </w:pPr>
      <w:r>
        <w:rPr>
          <w:spacing w:val="-3"/>
          <w:sz w:val="14"/>
          <w:szCs w:val="14"/>
          <w:lang w:val="es-ES_tradnl"/>
        </w:rPr>
        <w:t>Conocer</w:t>
      </w:r>
      <w:r>
        <w:rPr>
          <w:spacing w:val="-3"/>
          <w:sz w:val="18"/>
          <w:szCs w:val="18"/>
          <w:lang w:val="es-ES_tradnl"/>
        </w:rPr>
        <w:t xml:space="preserve"> </w:t>
      </w:r>
      <w:r>
        <w:rPr>
          <w:spacing w:val="-3"/>
          <w:sz w:val="14"/>
          <w:szCs w:val="14"/>
          <w:lang w:val="es-ES_tradnl"/>
        </w:rPr>
        <w:t>las</w:t>
      </w:r>
      <w:r>
        <w:rPr>
          <w:spacing w:val="-3"/>
          <w:sz w:val="18"/>
          <w:szCs w:val="18"/>
          <w:lang w:val="es-ES_tradnl"/>
        </w:rPr>
        <w:t xml:space="preserve"> </w:t>
      </w:r>
      <w:r>
        <w:rPr>
          <w:spacing w:val="-3"/>
          <w:sz w:val="14"/>
          <w:szCs w:val="14"/>
          <w:lang w:val="es-ES_tradnl"/>
        </w:rPr>
        <w:t>acciones</w:t>
      </w:r>
      <w:r>
        <w:rPr>
          <w:spacing w:val="-3"/>
          <w:sz w:val="18"/>
          <w:szCs w:val="18"/>
          <w:lang w:val="es-ES_tradnl"/>
        </w:rPr>
        <w:t xml:space="preserve"> </w:t>
      </w:r>
      <w:r>
        <w:rPr>
          <w:spacing w:val="-3"/>
          <w:sz w:val="14"/>
          <w:szCs w:val="14"/>
          <w:lang w:val="es-ES_tradnl"/>
        </w:rPr>
        <w:t>de</w:t>
      </w:r>
      <w:r>
        <w:rPr>
          <w:spacing w:val="-3"/>
          <w:sz w:val="18"/>
          <w:szCs w:val="18"/>
          <w:lang w:val="es-ES_tradnl"/>
        </w:rPr>
        <w:t xml:space="preserve"> </w:t>
      </w:r>
      <w:r>
        <w:rPr>
          <w:spacing w:val="-3"/>
          <w:sz w:val="14"/>
          <w:szCs w:val="14"/>
          <w:lang w:val="es-ES_tradnl"/>
        </w:rPr>
        <w:t>h</w:t>
      </w:r>
      <w:r>
        <w:rPr>
          <w:rFonts w:cs="Times New Roman"/>
          <w:spacing w:val="-3"/>
          <w:sz w:val="14"/>
          <w:szCs w:val="14"/>
          <w:lang w:val="es-ES_tradnl"/>
        </w:rPr>
        <w:t>á</w:t>
      </w:r>
      <w:r>
        <w:rPr>
          <w:spacing w:val="-3"/>
          <w:sz w:val="14"/>
          <w:szCs w:val="14"/>
          <w:lang w:val="es-ES_tradnl"/>
        </w:rPr>
        <w:t>beas</w:t>
      </w:r>
      <w:r>
        <w:rPr>
          <w:spacing w:val="-3"/>
          <w:sz w:val="18"/>
          <w:szCs w:val="18"/>
          <w:lang w:val="es-ES_tradnl"/>
        </w:rPr>
        <w:t xml:space="preserve"> </w:t>
      </w:r>
      <w:r>
        <w:rPr>
          <w:spacing w:val="-3"/>
          <w:sz w:val="14"/>
          <w:szCs w:val="14"/>
          <w:lang w:val="es-ES_tradnl"/>
        </w:rPr>
        <w:t>corpus</w:t>
      </w:r>
      <w:r>
        <w:rPr>
          <w:spacing w:val="-3"/>
          <w:sz w:val="18"/>
          <w:szCs w:val="18"/>
          <w:lang w:val="es-ES_tradnl"/>
        </w:rPr>
        <w:t xml:space="preserve"> </w:t>
      </w:r>
      <w:r>
        <w:rPr>
          <w:spacing w:val="-3"/>
          <w:sz w:val="14"/>
          <w:szCs w:val="14"/>
          <w:lang w:val="es-ES_tradnl"/>
        </w:rPr>
        <w:t>en</w:t>
      </w:r>
      <w:r>
        <w:rPr>
          <w:spacing w:val="-3"/>
          <w:sz w:val="18"/>
          <w:szCs w:val="18"/>
          <w:lang w:val="es-ES_tradnl"/>
        </w:rPr>
        <w:t xml:space="preserve"> </w:t>
      </w:r>
      <w:r>
        <w:rPr>
          <w:spacing w:val="-3"/>
          <w:sz w:val="14"/>
          <w:szCs w:val="14"/>
          <w:lang w:val="es-ES_tradnl"/>
        </w:rPr>
        <w:t>los</w:t>
      </w:r>
      <w:r>
        <w:rPr>
          <w:spacing w:val="-3"/>
          <w:sz w:val="18"/>
          <w:szCs w:val="18"/>
          <w:lang w:val="es-ES_tradnl"/>
        </w:rPr>
        <w:t xml:space="preserve"> </w:t>
      </w:r>
      <w:r>
        <w:rPr>
          <w:spacing w:val="-3"/>
          <w:sz w:val="14"/>
          <w:szCs w:val="14"/>
          <w:lang w:val="es-ES_tradnl"/>
        </w:rPr>
        <w:t>casos</w:t>
      </w:r>
      <w:r>
        <w:rPr>
          <w:spacing w:val="-3"/>
          <w:sz w:val="18"/>
          <w:szCs w:val="18"/>
          <w:lang w:val="es-ES_tradnl"/>
        </w:rPr>
        <w:t xml:space="preserve"> </w:t>
      </w:r>
      <w:r>
        <w:rPr>
          <w:spacing w:val="-3"/>
          <w:sz w:val="14"/>
          <w:szCs w:val="14"/>
          <w:lang w:val="es-ES_tradnl"/>
        </w:rPr>
        <w:t>de</w:t>
      </w:r>
      <w:r>
        <w:rPr>
          <w:spacing w:val="-3"/>
          <w:sz w:val="18"/>
          <w:szCs w:val="18"/>
          <w:lang w:val="es-ES_tradnl"/>
        </w:rPr>
        <w:t xml:space="preserve"> </w:t>
      </w:r>
      <w:r>
        <w:rPr>
          <w:spacing w:val="-3"/>
          <w:sz w:val="14"/>
          <w:szCs w:val="14"/>
          <w:lang w:val="es-ES_tradnl"/>
        </w:rPr>
        <w:t>fuero.</w:t>
      </w:r>
    </w:p>
    <w:p w14:paraId="4F67AF7C" w14:textId="77777777" w:rsidR="00591D54" w:rsidRDefault="00591D54" w:rsidP="00251195">
      <w:pPr>
        <w:numPr>
          <w:ilvl w:val="0"/>
          <w:numId w:val="72"/>
        </w:numPr>
        <w:shd w:val="clear" w:color="auto" w:fill="FFFFFF"/>
        <w:tabs>
          <w:tab w:val="left" w:pos="293"/>
        </w:tabs>
        <w:spacing w:line="178" w:lineRule="exact"/>
        <w:ind w:left="139" w:right="5"/>
        <w:jc w:val="both"/>
        <w:rPr>
          <w:spacing w:val="-4"/>
          <w:sz w:val="14"/>
          <w:szCs w:val="14"/>
          <w:lang w:val="es-ES_tradnl"/>
        </w:rPr>
      </w:pPr>
      <w:r>
        <w:rPr>
          <w:spacing w:val="-1"/>
          <w:sz w:val="14"/>
          <w:szCs w:val="14"/>
          <w:lang w:val="es-ES_tradnl"/>
        </w:rPr>
        <w:t>Ejercer</w:t>
      </w:r>
      <w:r>
        <w:rPr>
          <w:spacing w:val="-1"/>
          <w:sz w:val="18"/>
          <w:szCs w:val="18"/>
          <w:lang w:val="es-ES_tradnl"/>
        </w:rPr>
        <w:t xml:space="preserve"> </w:t>
      </w:r>
      <w:r>
        <w:rPr>
          <w:spacing w:val="-1"/>
          <w:sz w:val="14"/>
          <w:szCs w:val="14"/>
          <w:lang w:val="es-ES_tradnl"/>
        </w:rPr>
        <w:t>el</w:t>
      </w:r>
      <w:r>
        <w:rPr>
          <w:spacing w:val="-1"/>
          <w:sz w:val="18"/>
          <w:szCs w:val="18"/>
          <w:lang w:val="es-ES_tradnl"/>
        </w:rPr>
        <w:t xml:space="preserve"> </w:t>
      </w:r>
      <w:r>
        <w:rPr>
          <w:spacing w:val="-1"/>
          <w:sz w:val="14"/>
          <w:szCs w:val="14"/>
          <w:lang w:val="es-ES_tradnl"/>
        </w:rPr>
        <w:t>control</w:t>
      </w:r>
      <w:r>
        <w:rPr>
          <w:spacing w:val="-1"/>
          <w:sz w:val="18"/>
          <w:szCs w:val="18"/>
          <w:lang w:val="es-ES_tradnl"/>
        </w:rPr>
        <w:t xml:space="preserve"> </w:t>
      </w:r>
      <w:r>
        <w:rPr>
          <w:spacing w:val="-1"/>
          <w:sz w:val="14"/>
          <w:szCs w:val="14"/>
          <w:lang w:val="es-ES_tradnl"/>
        </w:rPr>
        <w:t>concreto</w:t>
      </w:r>
      <w:r>
        <w:rPr>
          <w:spacing w:val="-1"/>
          <w:sz w:val="18"/>
          <w:szCs w:val="18"/>
          <w:lang w:val="es-ES_tradnl"/>
        </w:rPr>
        <w:t xml:space="preserve"> </w:t>
      </w:r>
      <w:r>
        <w:rPr>
          <w:spacing w:val="-1"/>
          <w:sz w:val="14"/>
          <w:szCs w:val="14"/>
          <w:lang w:val="es-ES_tradnl"/>
        </w:rPr>
        <w:t>de</w:t>
      </w:r>
      <w:r>
        <w:rPr>
          <w:spacing w:val="-1"/>
          <w:sz w:val="18"/>
          <w:szCs w:val="18"/>
          <w:lang w:val="es-ES_tradnl"/>
        </w:rPr>
        <w:t xml:space="preserve"> </w:t>
      </w:r>
      <w:r>
        <w:rPr>
          <w:spacing w:val="-1"/>
          <w:sz w:val="14"/>
          <w:szCs w:val="14"/>
          <w:lang w:val="es-ES_tradnl"/>
        </w:rPr>
        <w:t>constitucionalidad</w:t>
      </w:r>
      <w:r>
        <w:rPr>
          <w:spacing w:val="-1"/>
          <w:sz w:val="18"/>
          <w:szCs w:val="18"/>
          <w:lang w:val="es-ES_tradnl"/>
        </w:rPr>
        <w:t xml:space="preserve"> </w:t>
      </w:r>
      <w:r>
        <w:rPr>
          <w:spacing w:val="-1"/>
          <w:sz w:val="14"/>
          <w:szCs w:val="14"/>
          <w:lang w:val="es-ES_tradnl"/>
        </w:rPr>
        <w:t>en</w:t>
      </w:r>
      <w:r>
        <w:rPr>
          <w:spacing w:val="-1"/>
          <w:sz w:val="18"/>
          <w:szCs w:val="18"/>
          <w:lang w:val="es-ES_tradnl"/>
        </w:rPr>
        <w:t xml:space="preserve"> </w:t>
      </w:r>
      <w:r>
        <w:rPr>
          <w:spacing w:val="-1"/>
          <w:sz w:val="14"/>
          <w:szCs w:val="14"/>
          <w:lang w:val="es-ES_tradnl"/>
        </w:rPr>
        <w:t>los</w:t>
      </w:r>
      <w:r>
        <w:rPr>
          <w:spacing w:val="-1"/>
          <w:sz w:val="18"/>
          <w:szCs w:val="18"/>
          <w:lang w:val="es-ES_tradnl"/>
        </w:rPr>
        <w:t xml:space="preserve"> </w:t>
      </w:r>
      <w:r>
        <w:rPr>
          <w:spacing w:val="-1"/>
          <w:sz w:val="14"/>
          <w:szCs w:val="14"/>
          <w:lang w:val="es-ES_tradnl"/>
        </w:rPr>
        <w:t>t</w:t>
      </w:r>
      <w:r>
        <w:rPr>
          <w:rFonts w:cs="Times New Roman"/>
          <w:spacing w:val="-1"/>
          <w:sz w:val="14"/>
          <w:szCs w:val="14"/>
          <w:lang w:val="es-ES_tradnl"/>
        </w:rPr>
        <w:t>é</w:t>
      </w:r>
      <w:r>
        <w:rPr>
          <w:spacing w:val="-1"/>
          <w:sz w:val="14"/>
          <w:szCs w:val="14"/>
          <w:lang w:val="es-ES_tradnl"/>
        </w:rPr>
        <w:t xml:space="preserve">rminos </w:t>
      </w:r>
      <w:r>
        <w:rPr>
          <w:sz w:val="14"/>
          <w:szCs w:val="14"/>
          <w:lang w:val="es-ES_tradnl"/>
        </w:rPr>
        <w:t>establecidos en esta ley.</w:t>
      </w:r>
    </w:p>
    <w:p w14:paraId="4F67AF7D" w14:textId="77777777" w:rsidR="00591D54" w:rsidRDefault="00591D54">
      <w:pPr>
        <w:shd w:val="clear" w:color="auto" w:fill="FFFFFF"/>
        <w:spacing w:line="216" w:lineRule="exact"/>
        <w:ind w:left="283"/>
        <w:jc w:val="both"/>
      </w:pPr>
      <w:r>
        <w:rPr>
          <w:spacing w:val="-4"/>
          <w:sz w:val="14"/>
          <w:szCs w:val="14"/>
          <w:lang w:val="es-ES_tradnl"/>
        </w:rPr>
        <w:br w:type="column"/>
      </w:r>
      <w:r>
        <w:rPr>
          <w:sz w:val="14"/>
          <w:szCs w:val="14"/>
          <w:lang w:val="es-ES_tradnl"/>
        </w:rPr>
        <w:t>89 de la Constituci</w:t>
      </w:r>
      <w:r>
        <w:rPr>
          <w:rFonts w:cs="Times New Roman"/>
          <w:sz w:val="14"/>
          <w:szCs w:val="14"/>
          <w:lang w:val="es-ES_tradnl"/>
        </w:rPr>
        <w:t>ó</w:t>
      </w:r>
      <w:r>
        <w:rPr>
          <w:sz w:val="14"/>
          <w:szCs w:val="14"/>
          <w:lang w:val="es-ES_tradnl"/>
        </w:rPr>
        <w:t>n de la Rep</w:t>
      </w:r>
      <w:r>
        <w:rPr>
          <w:rFonts w:cs="Times New Roman"/>
          <w:sz w:val="14"/>
          <w:szCs w:val="14"/>
          <w:lang w:val="es-ES_tradnl"/>
        </w:rPr>
        <w:t>ú</w:t>
      </w:r>
      <w:r>
        <w:rPr>
          <w:sz w:val="14"/>
          <w:szCs w:val="14"/>
          <w:lang w:val="es-ES_tradnl"/>
        </w:rPr>
        <w:t>blica, ser</w:t>
      </w:r>
      <w:r>
        <w:rPr>
          <w:rFonts w:cs="Times New Roman"/>
          <w:sz w:val="14"/>
          <w:szCs w:val="14"/>
          <w:lang w:val="es-ES_tradnl"/>
        </w:rPr>
        <w:t>á</w:t>
      </w:r>
      <w:r>
        <w:rPr>
          <w:sz w:val="14"/>
          <w:szCs w:val="14"/>
          <w:lang w:val="es-ES_tradnl"/>
        </w:rPr>
        <w:t>n conocidos previo sorteo, por cualquiera de las Salas que conforman la Corte Nacional de Justicia.</w:t>
      </w:r>
      <w:r>
        <w:rPr>
          <w:rFonts w:cs="Times New Roman"/>
          <w:sz w:val="14"/>
          <w:szCs w:val="14"/>
          <w:lang w:val="es-ES_tradnl"/>
        </w:rPr>
        <w:t>”</w:t>
      </w:r>
      <w:r>
        <w:rPr>
          <w:sz w:val="14"/>
          <w:szCs w:val="14"/>
          <w:lang w:val="es-ES_tradnl"/>
        </w:rPr>
        <w:t xml:space="preserve">. </w:t>
      </w:r>
      <w:r>
        <w:rPr>
          <w:b/>
          <w:bCs/>
          <w:sz w:val="14"/>
          <w:szCs w:val="14"/>
          <w:lang w:val="es-ES_tradnl"/>
        </w:rPr>
        <w:t xml:space="preserve">2.5. </w:t>
      </w:r>
      <w:r>
        <w:rPr>
          <w:sz w:val="14"/>
          <w:szCs w:val="14"/>
          <w:lang w:val="es-ES_tradnl"/>
        </w:rPr>
        <w:t>El numeral 4 del Art. 44 de la Ley Org</w:t>
      </w:r>
      <w:r>
        <w:rPr>
          <w:rFonts w:cs="Times New Roman"/>
          <w:sz w:val="14"/>
          <w:szCs w:val="14"/>
          <w:lang w:val="es-ES_tradnl"/>
        </w:rPr>
        <w:t>á</w:t>
      </w:r>
      <w:r>
        <w:rPr>
          <w:sz w:val="14"/>
          <w:szCs w:val="14"/>
          <w:lang w:val="es-ES_tradnl"/>
        </w:rPr>
        <w:t>nica de Garant</w:t>
      </w:r>
      <w:r>
        <w:rPr>
          <w:rFonts w:cs="Times New Roman"/>
          <w:sz w:val="14"/>
          <w:szCs w:val="14"/>
          <w:lang w:val="es-ES_tradnl"/>
        </w:rPr>
        <w:t>í</w:t>
      </w:r>
      <w:r>
        <w:rPr>
          <w:sz w:val="14"/>
          <w:szCs w:val="14"/>
          <w:lang w:val="es-ES_tradnl"/>
        </w:rPr>
        <w:t>as Jurisdiccionales y Control Constitucional, en cuanto trata del recurso de apelaci</w:t>
      </w:r>
      <w:r>
        <w:rPr>
          <w:rFonts w:cs="Times New Roman"/>
          <w:sz w:val="14"/>
          <w:szCs w:val="14"/>
          <w:lang w:val="es-ES_tradnl"/>
        </w:rPr>
        <w:t>ó</w:t>
      </w:r>
      <w:r>
        <w:rPr>
          <w:sz w:val="14"/>
          <w:szCs w:val="14"/>
          <w:lang w:val="es-ES_tradnl"/>
        </w:rPr>
        <w:t>n de las resoluciones dictadas en las acciones de H</w:t>
      </w:r>
      <w:r>
        <w:rPr>
          <w:rFonts w:cs="Times New Roman"/>
          <w:sz w:val="14"/>
          <w:szCs w:val="14"/>
          <w:lang w:val="es-ES_tradnl"/>
        </w:rPr>
        <w:t>á</w:t>
      </w:r>
      <w:r>
        <w:rPr>
          <w:sz w:val="14"/>
          <w:szCs w:val="14"/>
          <w:lang w:val="es-ES_tradnl"/>
        </w:rPr>
        <w:t xml:space="preserve">beas Corpus, determina: </w:t>
      </w:r>
      <w:r>
        <w:rPr>
          <w:rFonts w:cs="Times New Roman"/>
          <w:sz w:val="14"/>
          <w:szCs w:val="14"/>
          <w:lang w:val="es-ES_tradnl"/>
        </w:rPr>
        <w:t>“</w:t>
      </w:r>
      <w:r>
        <w:rPr>
          <w:sz w:val="14"/>
          <w:szCs w:val="14"/>
          <w:lang w:val="es-ES_tradnl"/>
        </w:rPr>
        <w:t>4. Procede apelaci</w:t>
      </w:r>
      <w:r>
        <w:rPr>
          <w:rFonts w:cs="Times New Roman"/>
          <w:sz w:val="14"/>
          <w:szCs w:val="14"/>
          <w:lang w:val="es-ES_tradnl"/>
        </w:rPr>
        <w:t>ó</w:t>
      </w:r>
      <w:r>
        <w:rPr>
          <w:sz w:val="14"/>
          <w:szCs w:val="14"/>
          <w:lang w:val="es-ES_tradnl"/>
        </w:rPr>
        <w:t>n de conformidad con las normas comunes a las garant</w:t>
      </w:r>
      <w:r>
        <w:rPr>
          <w:rFonts w:cs="Times New Roman"/>
          <w:sz w:val="14"/>
          <w:szCs w:val="14"/>
          <w:lang w:val="es-ES_tradnl"/>
        </w:rPr>
        <w:t>í</w:t>
      </w:r>
      <w:r>
        <w:rPr>
          <w:sz w:val="14"/>
          <w:szCs w:val="14"/>
          <w:lang w:val="es-ES_tradnl"/>
        </w:rPr>
        <w:t>as jurisdiccionales. Cuando la privaci</w:t>
      </w:r>
      <w:r>
        <w:rPr>
          <w:rFonts w:cs="Times New Roman"/>
          <w:sz w:val="14"/>
          <w:szCs w:val="14"/>
          <w:lang w:val="es-ES_tradnl"/>
        </w:rPr>
        <w:t>ó</w:t>
      </w:r>
      <w:r>
        <w:rPr>
          <w:sz w:val="14"/>
          <w:szCs w:val="14"/>
          <w:lang w:val="es-ES_tradnl"/>
        </w:rPr>
        <w:t>n haya sido dispuesta en la Corte Provincial de Justicia, se apelar</w:t>
      </w:r>
      <w:r>
        <w:rPr>
          <w:rFonts w:cs="Times New Roman"/>
          <w:sz w:val="14"/>
          <w:szCs w:val="14"/>
          <w:lang w:val="es-ES_tradnl"/>
        </w:rPr>
        <w:t>á</w:t>
      </w:r>
      <w:r>
        <w:rPr>
          <w:sz w:val="14"/>
          <w:szCs w:val="14"/>
          <w:lang w:val="es-ES_tradnl"/>
        </w:rPr>
        <w:t xml:space="preserve"> ante la Presidenta o Presidente de la Corte Nacional; y, </w:t>
      </w:r>
      <w:r>
        <w:rPr>
          <w:b/>
          <w:bCs/>
          <w:sz w:val="14"/>
          <w:szCs w:val="14"/>
          <w:lang w:val="es-ES_tradnl"/>
        </w:rPr>
        <w:t xml:space="preserve">cuando hubiere sido dispuesta por la Corte Nacional de Justicia, se </w:t>
      </w:r>
      <w:r>
        <w:rPr>
          <w:b/>
          <w:bCs/>
          <w:sz w:val="14"/>
          <w:szCs w:val="14"/>
          <w:u w:val="single"/>
          <w:lang w:val="es-ES_tradnl"/>
        </w:rPr>
        <w:t>apelar</w:t>
      </w:r>
      <w:r>
        <w:rPr>
          <w:rFonts w:cs="Times New Roman"/>
          <w:b/>
          <w:bCs/>
          <w:sz w:val="14"/>
          <w:szCs w:val="14"/>
          <w:u w:val="single"/>
          <w:lang w:val="es-ES_tradnl"/>
        </w:rPr>
        <w:t>á</w:t>
      </w:r>
      <w:r>
        <w:rPr>
          <w:b/>
          <w:bCs/>
          <w:sz w:val="14"/>
          <w:szCs w:val="14"/>
          <w:lang w:val="es-ES_tradnl"/>
        </w:rPr>
        <w:t xml:space="preserve"> ante cualquier otra sala que no orden</w:t>
      </w:r>
      <w:r>
        <w:rPr>
          <w:rFonts w:cs="Times New Roman"/>
          <w:b/>
          <w:bCs/>
          <w:sz w:val="14"/>
          <w:szCs w:val="14"/>
          <w:lang w:val="es-ES_tradnl"/>
        </w:rPr>
        <w:t xml:space="preserve">ó </w:t>
      </w:r>
      <w:r>
        <w:rPr>
          <w:b/>
          <w:bCs/>
          <w:sz w:val="14"/>
          <w:szCs w:val="14"/>
          <w:lang w:val="es-ES_tradnl"/>
        </w:rPr>
        <w:t>la prisi</w:t>
      </w:r>
      <w:r>
        <w:rPr>
          <w:rFonts w:cs="Times New Roman"/>
          <w:b/>
          <w:bCs/>
          <w:sz w:val="14"/>
          <w:szCs w:val="14"/>
          <w:lang w:val="es-ES_tradnl"/>
        </w:rPr>
        <w:t>ó</w:t>
      </w:r>
      <w:r>
        <w:rPr>
          <w:b/>
          <w:bCs/>
          <w:sz w:val="14"/>
          <w:szCs w:val="14"/>
          <w:lang w:val="es-ES_tradnl"/>
        </w:rPr>
        <w:t>n preventiva.</w:t>
      </w:r>
      <w:r>
        <w:rPr>
          <w:rFonts w:cs="Times New Roman"/>
          <w:b/>
          <w:bCs/>
          <w:sz w:val="14"/>
          <w:szCs w:val="14"/>
          <w:lang w:val="es-ES_tradnl"/>
        </w:rPr>
        <w:t>”</w:t>
      </w:r>
      <w:r>
        <w:rPr>
          <w:b/>
          <w:bCs/>
          <w:sz w:val="14"/>
          <w:szCs w:val="14"/>
          <w:lang w:val="es-ES_tradnl"/>
        </w:rPr>
        <w:t xml:space="preserve"> </w:t>
      </w:r>
      <w:r>
        <w:rPr>
          <w:sz w:val="14"/>
          <w:szCs w:val="14"/>
          <w:lang w:val="es-ES_tradnl"/>
        </w:rPr>
        <w:t>(lo resaltado nos corresponde). Por lo expuesto, este Tribunal de la Sala Especializada de la Familia, Ni</w:t>
      </w:r>
      <w:r>
        <w:rPr>
          <w:rFonts w:cs="Times New Roman"/>
          <w:sz w:val="14"/>
          <w:szCs w:val="14"/>
          <w:lang w:val="es-ES_tradnl"/>
        </w:rPr>
        <w:t>ñ</w:t>
      </w:r>
      <w:r>
        <w:rPr>
          <w:sz w:val="14"/>
          <w:szCs w:val="14"/>
          <w:lang w:val="es-ES_tradnl"/>
        </w:rPr>
        <w:t>ez y Adolescencia de la Corte Nacional de Justicia, no tiene competencia, en raz</w:t>
      </w:r>
      <w:r>
        <w:rPr>
          <w:rFonts w:cs="Times New Roman"/>
          <w:sz w:val="14"/>
          <w:szCs w:val="14"/>
          <w:lang w:val="es-ES_tradnl"/>
        </w:rPr>
        <w:t>ó</w:t>
      </w:r>
      <w:r>
        <w:rPr>
          <w:sz w:val="14"/>
          <w:szCs w:val="14"/>
          <w:lang w:val="es-ES_tradnl"/>
        </w:rPr>
        <w:t>n de los grados para actuar en calidad de juez de primera instancia en el conocimiento de esta acci</w:t>
      </w:r>
      <w:r>
        <w:rPr>
          <w:rFonts w:cs="Times New Roman"/>
          <w:sz w:val="14"/>
          <w:szCs w:val="14"/>
          <w:lang w:val="es-ES_tradnl"/>
        </w:rPr>
        <w:t>ó</w:t>
      </w:r>
      <w:r>
        <w:rPr>
          <w:sz w:val="14"/>
          <w:szCs w:val="14"/>
          <w:lang w:val="es-ES_tradnl"/>
        </w:rPr>
        <w:t>n constitucional de h</w:t>
      </w:r>
      <w:r>
        <w:rPr>
          <w:rFonts w:cs="Times New Roman"/>
          <w:sz w:val="14"/>
          <w:szCs w:val="14"/>
          <w:lang w:val="es-ES_tradnl"/>
        </w:rPr>
        <w:t>á</w:t>
      </w:r>
      <w:r>
        <w:rPr>
          <w:sz w:val="14"/>
          <w:szCs w:val="14"/>
          <w:lang w:val="es-ES_tradnl"/>
        </w:rPr>
        <w:t>beas corpus, por lo que, de conformidad con lo previsto en el inciso tercero del Art. 7 de la Ley Org</w:t>
      </w:r>
      <w:r>
        <w:rPr>
          <w:rFonts w:cs="Times New Roman"/>
          <w:sz w:val="14"/>
          <w:szCs w:val="14"/>
          <w:lang w:val="es-ES_tradnl"/>
        </w:rPr>
        <w:t>á</w:t>
      </w:r>
      <w:r>
        <w:rPr>
          <w:sz w:val="14"/>
          <w:szCs w:val="14"/>
          <w:lang w:val="es-ES_tradnl"/>
        </w:rPr>
        <w:t>nica de Garant</w:t>
      </w:r>
      <w:r>
        <w:rPr>
          <w:rFonts w:cs="Times New Roman"/>
          <w:sz w:val="14"/>
          <w:szCs w:val="14"/>
          <w:lang w:val="es-ES_tradnl"/>
        </w:rPr>
        <w:t>í</w:t>
      </w:r>
      <w:r>
        <w:rPr>
          <w:sz w:val="14"/>
          <w:szCs w:val="14"/>
          <w:lang w:val="es-ES_tradnl"/>
        </w:rPr>
        <w:t xml:space="preserve">as Jurisdiccionales, que dispone: </w:t>
      </w:r>
      <w:r>
        <w:rPr>
          <w:rFonts w:cs="Times New Roman"/>
          <w:sz w:val="14"/>
          <w:szCs w:val="14"/>
          <w:lang w:val="es-ES_tradnl"/>
        </w:rPr>
        <w:t>“</w:t>
      </w:r>
      <w:r>
        <w:rPr>
          <w:sz w:val="14"/>
          <w:szCs w:val="14"/>
          <w:lang w:val="es-ES_tradnl"/>
        </w:rPr>
        <w:t>La jueza o juez que sea incompetente en raz</w:t>
      </w:r>
      <w:r>
        <w:rPr>
          <w:rFonts w:cs="Times New Roman"/>
          <w:sz w:val="14"/>
          <w:szCs w:val="14"/>
          <w:lang w:val="es-ES_tradnl"/>
        </w:rPr>
        <w:t>ó</w:t>
      </w:r>
      <w:r>
        <w:rPr>
          <w:sz w:val="14"/>
          <w:szCs w:val="14"/>
          <w:lang w:val="es-ES_tradnl"/>
        </w:rPr>
        <w:t>n del territorio o los grados, inadmitir</w:t>
      </w:r>
      <w:r>
        <w:rPr>
          <w:rFonts w:cs="Times New Roman"/>
          <w:sz w:val="14"/>
          <w:szCs w:val="14"/>
          <w:lang w:val="es-ES_tradnl"/>
        </w:rPr>
        <w:t>á</w:t>
      </w:r>
      <w:r>
        <w:rPr>
          <w:sz w:val="14"/>
          <w:szCs w:val="14"/>
          <w:lang w:val="es-ES_tradnl"/>
        </w:rPr>
        <w:t xml:space="preserve"> la acci</w:t>
      </w:r>
      <w:r>
        <w:rPr>
          <w:rFonts w:cs="Times New Roman"/>
          <w:sz w:val="14"/>
          <w:szCs w:val="14"/>
          <w:lang w:val="es-ES_tradnl"/>
        </w:rPr>
        <w:t>ó</w:t>
      </w:r>
      <w:r>
        <w:rPr>
          <w:sz w:val="14"/>
          <w:szCs w:val="14"/>
          <w:lang w:val="es-ES_tradnl"/>
        </w:rPr>
        <w:t>n en su primera providencia.</w:t>
      </w:r>
      <w:r>
        <w:rPr>
          <w:rFonts w:cs="Times New Roman"/>
          <w:sz w:val="14"/>
          <w:szCs w:val="14"/>
          <w:lang w:val="es-ES_tradnl"/>
        </w:rPr>
        <w:t>”</w:t>
      </w:r>
      <w:r>
        <w:rPr>
          <w:sz w:val="14"/>
          <w:szCs w:val="14"/>
          <w:lang w:val="es-ES_tradnl"/>
        </w:rPr>
        <w:t xml:space="preserve">, </w:t>
      </w:r>
      <w:r>
        <w:rPr>
          <w:b/>
          <w:bCs/>
          <w:sz w:val="14"/>
          <w:szCs w:val="14"/>
          <w:lang w:val="es-ES_tradnl"/>
        </w:rPr>
        <w:t xml:space="preserve">INADMITE </w:t>
      </w:r>
      <w:r>
        <w:rPr>
          <w:sz w:val="14"/>
          <w:szCs w:val="14"/>
          <w:lang w:val="es-ES_tradnl"/>
        </w:rPr>
        <w:t>la acci</w:t>
      </w:r>
      <w:r>
        <w:rPr>
          <w:rFonts w:cs="Times New Roman"/>
          <w:sz w:val="14"/>
          <w:szCs w:val="14"/>
          <w:lang w:val="es-ES_tradnl"/>
        </w:rPr>
        <w:t>ó</w:t>
      </w:r>
      <w:r>
        <w:rPr>
          <w:sz w:val="14"/>
          <w:szCs w:val="14"/>
          <w:lang w:val="es-ES_tradnl"/>
        </w:rPr>
        <w:t>n de h</w:t>
      </w:r>
      <w:r>
        <w:rPr>
          <w:rFonts w:cs="Times New Roman"/>
          <w:sz w:val="14"/>
          <w:szCs w:val="14"/>
          <w:lang w:val="es-ES_tradnl"/>
        </w:rPr>
        <w:t>á</w:t>
      </w:r>
      <w:r>
        <w:rPr>
          <w:sz w:val="14"/>
          <w:szCs w:val="14"/>
          <w:lang w:val="es-ES_tradnl"/>
        </w:rPr>
        <w:t>beas corpus propuesta por el peticionario JULIO DIEZ MERINO</w:t>
      </w:r>
      <w:r>
        <w:rPr>
          <w:rFonts w:cs="Times New Roman"/>
          <w:sz w:val="14"/>
          <w:szCs w:val="14"/>
          <w:lang w:val="es-ES_tradnl"/>
        </w:rPr>
        <w:t>…</w:t>
      </w:r>
    </w:p>
    <w:p w14:paraId="4F67AF7E" w14:textId="77777777" w:rsidR="00591D54" w:rsidRDefault="00591D54">
      <w:pPr>
        <w:shd w:val="clear" w:color="auto" w:fill="FFFFFF"/>
        <w:spacing w:before="197" w:line="216" w:lineRule="exact"/>
        <w:jc w:val="both"/>
      </w:pPr>
      <w:r>
        <w:rPr>
          <w:spacing w:val="-2"/>
          <w:sz w:val="18"/>
          <w:szCs w:val="18"/>
          <w:lang w:val="es-ES_tradnl"/>
        </w:rPr>
        <w:t xml:space="preserve">Analizado el caso </w:t>
      </w:r>
      <w:r>
        <w:rPr>
          <w:i/>
          <w:iCs/>
          <w:spacing w:val="-2"/>
          <w:sz w:val="18"/>
          <w:szCs w:val="18"/>
          <w:lang w:val="es-ES_tradnl"/>
        </w:rPr>
        <w:t>sub j</w:t>
      </w:r>
      <w:r>
        <w:rPr>
          <w:rFonts w:cs="Times New Roman"/>
          <w:i/>
          <w:iCs/>
          <w:spacing w:val="-2"/>
          <w:sz w:val="18"/>
          <w:szCs w:val="18"/>
          <w:lang w:val="es-ES_tradnl"/>
        </w:rPr>
        <w:t>ú</w:t>
      </w:r>
      <w:r>
        <w:rPr>
          <w:i/>
          <w:iCs/>
          <w:spacing w:val="-2"/>
          <w:sz w:val="18"/>
          <w:szCs w:val="18"/>
          <w:lang w:val="es-ES_tradnl"/>
        </w:rPr>
        <w:t>dice</w:t>
      </w:r>
      <w:r>
        <w:rPr>
          <w:spacing w:val="-2"/>
          <w:sz w:val="18"/>
          <w:szCs w:val="18"/>
          <w:lang w:val="es-ES_tradnl"/>
        </w:rPr>
        <w:t xml:space="preserve">, no se evidencia que el </w:t>
      </w:r>
      <w:r>
        <w:rPr>
          <w:spacing w:val="-9"/>
          <w:sz w:val="18"/>
          <w:szCs w:val="18"/>
          <w:lang w:val="es-ES_tradnl"/>
        </w:rPr>
        <w:t xml:space="preserve">mismo se encuentre incurso en alguno de los presupuestos </w:t>
      </w:r>
      <w:r>
        <w:rPr>
          <w:spacing w:val="-6"/>
          <w:sz w:val="18"/>
          <w:szCs w:val="18"/>
          <w:lang w:val="es-ES_tradnl"/>
        </w:rPr>
        <w:t>comprendidos en el art</w:t>
      </w:r>
      <w:r>
        <w:rPr>
          <w:rFonts w:cs="Times New Roman"/>
          <w:spacing w:val="-6"/>
          <w:sz w:val="18"/>
          <w:szCs w:val="18"/>
          <w:lang w:val="es-ES_tradnl"/>
        </w:rPr>
        <w:t>í</w:t>
      </w:r>
      <w:r>
        <w:rPr>
          <w:spacing w:val="-6"/>
          <w:sz w:val="18"/>
          <w:szCs w:val="18"/>
          <w:lang w:val="es-ES_tradnl"/>
        </w:rPr>
        <w:t>culo 169 de la Ley Org</w:t>
      </w:r>
      <w:r>
        <w:rPr>
          <w:rFonts w:cs="Times New Roman"/>
          <w:spacing w:val="-6"/>
          <w:sz w:val="18"/>
          <w:szCs w:val="18"/>
          <w:lang w:val="es-ES_tradnl"/>
        </w:rPr>
        <w:t>á</w:t>
      </w:r>
      <w:r>
        <w:rPr>
          <w:spacing w:val="-6"/>
          <w:sz w:val="18"/>
          <w:szCs w:val="18"/>
          <w:lang w:val="es-ES_tradnl"/>
        </w:rPr>
        <w:t xml:space="preserve">nica de </w:t>
      </w:r>
      <w:r>
        <w:rPr>
          <w:spacing w:val="-7"/>
          <w:sz w:val="18"/>
          <w:szCs w:val="18"/>
          <w:lang w:val="es-ES_tradnl"/>
        </w:rPr>
        <w:t>Garant</w:t>
      </w:r>
      <w:r>
        <w:rPr>
          <w:rFonts w:cs="Times New Roman"/>
          <w:spacing w:val="-7"/>
          <w:sz w:val="18"/>
          <w:szCs w:val="18"/>
          <w:lang w:val="es-ES_tradnl"/>
        </w:rPr>
        <w:t>í</w:t>
      </w:r>
      <w:r>
        <w:rPr>
          <w:spacing w:val="-7"/>
          <w:sz w:val="18"/>
          <w:szCs w:val="18"/>
          <w:lang w:val="es-ES_tradnl"/>
        </w:rPr>
        <w:t>as Jurisdiccionales y Control Constitucional. No se trata de una apelaci</w:t>
      </w:r>
      <w:r>
        <w:rPr>
          <w:rFonts w:cs="Times New Roman"/>
          <w:spacing w:val="-7"/>
          <w:sz w:val="18"/>
          <w:szCs w:val="18"/>
          <w:lang w:val="es-ES_tradnl"/>
        </w:rPr>
        <w:t>ó</w:t>
      </w:r>
      <w:r>
        <w:rPr>
          <w:spacing w:val="-7"/>
          <w:sz w:val="18"/>
          <w:szCs w:val="18"/>
          <w:lang w:val="es-ES_tradnl"/>
        </w:rPr>
        <w:t>n, ya que no existe resoluci</w:t>
      </w:r>
      <w:r>
        <w:rPr>
          <w:rFonts w:cs="Times New Roman"/>
          <w:spacing w:val="-7"/>
          <w:sz w:val="18"/>
          <w:szCs w:val="18"/>
          <w:lang w:val="es-ES_tradnl"/>
        </w:rPr>
        <w:t>ó</w:t>
      </w:r>
      <w:r>
        <w:rPr>
          <w:spacing w:val="-7"/>
          <w:sz w:val="18"/>
          <w:szCs w:val="18"/>
          <w:lang w:val="es-ES_tradnl"/>
        </w:rPr>
        <w:t xml:space="preserve">n de un </w:t>
      </w:r>
      <w:r>
        <w:rPr>
          <w:spacing w:val="-8"/>
          <w:sz w:val="18"/>
          <w:szCs w:val="18"/>
          <w:lang w:val="es-ES_tradnl"/>
        </w:rPr>
        <w:t>recurso de h</w:t>
      </w:r>
      <w:r>
        <w:rPr>
          <w:rFonts w:cs="Times New Roman"/>
          <w:spacing w:val="-8"/>
          <w:sz w:val="18"/>
          <w:szCs w:val="18"/>
          <w:lang w:val="es-ES_tradnl"/>
        </w:rPr>
        <w:t>á</w:t>
      </w:r>
      <w:r>
        <w:rPr>
          <w:spacing w:val="-8"/>
          <w:sz w:val="18"/>
          <w:szCs w:val="18"/>
          <w:lang w:val="es-ES_tradnl"/>
        </w:rPr>
        <w:t xml:space="preserve">beas corpus emitido por una Corte Provincial </w:t>
      </w:r>
      <w:r>
        <w:rPr>
          <w:spacing w:val="-9"/>
          <w:sz w:val="18"/>
          <w:szCs w:val="18"/>
          <w:lang w:val="es-ES_tradnl"/>
        </w:rPr>
        <w:t xml:space="preserve">de Justicia, ni tampoco se trata de un caso de fuero, ya que </w:t>
      </w:r>
      <w:r>
        <w:rPr>
          <w:spacing w:val="-7"/>
          <w:sz w:val="18"/>
          <w:szCs w:val="18"/>
          <w:lang w:val="es-ES_tradnl"/>
        </w:rPr>
        <w:t>de la revisi</w:t>
      </w:r>
      <w:r>
        <w:rPr>
          <w:rFonts w:cs="Times New Roman"/>
          <w:spacing w:val="-7"/>
          <w:sz w:val="18"/>
          <w:szCs w:val="18"/>
          <w:lang w:val="es-ES_tradnl"/>
        </w:rPr>
        <w:t>ó</w:t>
      </w:r>
      <w:r>
        <w:rPr>
          <w:spacing w:val="-7"/>
          <w:sz w:val="18"/>
          <w:szCs w:val="18"/>
          <w:lang w:val="es-ES_tradnl"/>
        </w:rPr>
        <w:t xml:space="preserve">n de la demanda y del expediente, no se ha </w:t>
      </w:r>
      <w:r>
        <w:rPr>
          <w:spacing w:val="-6"/>
          <w:sz w:val="18"/>
          <w:szCs w:val="18"/>
          <w:lang w:val="es-ES_tradnl"/>
        </w:rPr>
        <w:t>podido evidenciar que el se</w:t>
      </w:r>
      <w:r>
        <w:rPr>
          <w:rFonts w:cs="Times New Roman"/>
          <w:spacing w:val="-6"/>
          <w:sz w:val="18"/>
          <w:szCs w:val="18"/>
          <w:lang w:val="es-ES_tradnl"/>
        </w:rPr>
        <w:t>ñ</w:t>
      </w:r>
      <w:r>
        <w:rPr>
          <w:spacing w:val="-6"/>
          <w:sz w:val="18"/>
          <w:szCs w:val="18"/>
          <w:lang w:val="es-ES_tradnl"/>
        </w:rPr>
        <w:t xml:space="preserve">or Julio Diez Merino goce de </w:t>
      </w:r>
      <w:r>
        <w:rPr>
          <w:sz w:val="18"/>
          <w:szCs w:val="18"/>
          <w:lang w:val="es-ES_tradnl"/>
        </w:rPr>
        <w:t>fuero de Corte Nacional.</w:t>
      </w:r>
    </w:p>
    <w:p w14:paraId="4F67AF7F" w14:textId="77777777" w:rsidR="00591D54" w:rsidRDefault="00591D54">
      <w:pPr>
        <w:shd w:val="clear" w:color="auto" w:fill="FFFFFF"/>
        <w:spacing w:before="197" w:line="216" w:lineRule="exact"/>
        <w:jc w:val="both"/>
      </w:pPr>
      <w:r>
        <w:rPr>
          <w:spacing w:val="-8"/>
          <w:sz w:val="18"/>
          <w:szCs w:val="18"/>
          <w:lang w:val="es-ES_tradnl"/>
        </w:rPr>
        <w:t>No obstante, en el expediente consta que la detenci</w:t>
      </w:r>
      <w:r>
        <w:rPr>
          <w:rFonts w:cs="Times New Roman"/>
          <w:spacing w:val="-8"/>
          <w:sz w:val="18"/>
          <w:szCs w:val="18"/>
          <w:lang w:val="es-ES_tradnl"/>
        </w:rPr>
        <w:t>ó</w:t>
      </w:r>
      <w:r>
        <w:rPr>
          <w:spacing w:val="-8"/>
          <w:sz w:val="18"/>
          <w:szCs w:val="18"/>
          <w:lang w:val="es-ES_tradnl"/>
        </w:rPr>
        <w:t xml:space="preserve">n fue ordenada como medida preventiva por parte del presidente </w:t>
      </w:r>
      <w:r>
        <w:rPr>
          <w:spacing w:val="-1"/>
          <w:sz w:val="18"/>
          <w:szCs w:val="18"/>
          <w:lang w:val="es-ES_tradnl"/>
        </w:rPr>
        <w:t xml:space="preserve">de la Corte Nacional de Justicia dentro de un proceso </w:t>
      </w:r>
      <w:r>
        <w:rPr>
          <w:spacing w:val="-5"/>
          <w:sz w:val="18"/>
          <w:szCs w:val="18"/>
          <w:lang w:val="es-ES_tradnl"/>
        </w:rPr>
        <w:t>de extradici</w:t>
      </w:r>
      <w:r>
        <w:rPr>
          <w:rFonts w:cs="Times New Roman"/>
          <w:spacing w:val="-5"/>
          <w:sz w:val="18"/>
          <w:szCs w:val="18"/>
          <w:lang w:val="es-ES_tradnl"/>
        </w:rPr>
        <w:t>ó</w:t>
      </w:r>
      <w:r>
        <w:rPr>
          <w:spacing w:val="-5"/>
          <w:sz w:val="18"/>
          <w:szCs w:val="18"/>
          <w:lang w:val="es-ES_tradnl"/>
        </w:rPr>
        <w:t xml:space="preserve">n, de conformidad con el procedimiento </w:t>
      </w:r>
      <w:r>
        <w:rPr>
          <w:spacing w:val="-10"/>
          <w:sz w:val="18"/>
          <w:szCs w:val="18"/>
          <w:lang w:val="es-ES_tradnl"/>
        </w:rPr>
        <w:t>establecido en el art</w:t>
      </w:r>
      <w:r>
        <w:rPr>
          <w:rFonts w:cs="Times New Roman"/>
          <w:spacing w:val="-10"/>
          <w:sz w:val="18"/>
          <w:szCs w:val="18"/>
          <w:lang w:val="es-ES_tradnl"/>
        </w:rPr>
        <w:t>í</w:t>
      </w:r>
      <w:r>
        <w:rPr>
          <w:spacing w:val="-10"/>
          <w:sz w:val="18"/>
          <w:szCs w:val="18"/>
          <w:lang w:val="es-ES_tradnl"/>
        </w:rPr>
        <w:t>culo 8 de la ley de extradici</w:t>
      </w:r>
      <w:r>
        <w:rPr>
          <w:rFonts w:cs="Times New Roman"/>
          <w:spacing w:val="-10"/>
          <w:sz w:val="18"/>
          <w:szCs w:val="18"/>
          <w:lang w:val="es-ES_tradnl"/>
        </w:rPr>
        <w:t>ó</w:t>
      </w:r>
      <w:r>
        <w:rPr>
          <w:spacing w:val="-10"/>
          <w:sz w:val="18"/>
          <w:szCs w:val="18"/>
          <w:lang w:val="es-ES_tradnl"/>
        </w:rPr>
        <w:t>n</w:t>
      </w:r>
      <w:r>
        <w:rPr>
          <w:spacing w:val="-10"/>
          <w:sz w:val="18"/>
          <w:szCs w:val="18"/>
          <w:vertAlign w:val="superscript"/>
          <w:lang w:val="es-ES_tradnl"/>
        </w:rPr>
        <w:t>9</w:t>
      </w:r>
      <w:r>
        <w:rPr>
          <w:spacing w:val="-10"/>
          <w:sz w:val="18"/>
          <w:szCs w:val="18"/>
          <w:lang w:val="es-ES_tradnl"/>
        </w:rPr>
        <w:t xml:space="preserve">. En este </w:t>
      </w:r>
      <w:r>
        <w:rPr>
          <w:spacing w:val="-4"/>
          <w:sz w:val="18"/>
          <w:szCs w:val="18"/>
          <w:lang w:val="es-ES_tradnl"/>
        </w:rPr>
        <w:t>caso, al haber privaci</w:t>
      </w:r>
      <w:r>
        <w:rPr>
          <w:rFonts w:cs="Times New Roman"/>
          <w:spacing w:val="-4"/>
          <w:sz w:val="18"/>
          <w:szCs w:val="18"/>
          <w:lang w:val="es-ES_tradnl"/>
        </w:rPr>
        <w:t>ó</w:t>
      </w:r>
      <w:r>
        <w:rPr>
          <w:spacing w:val="-4"/>
          <w:sz w:val="18"/>
          <w:szCs w:val="18"/>
          <w:lang w:val="es-ES_tradnl"/>
        </w:rPr>
        <w:t xml:space="preserve">n de libertad, existe la posibilidad </w:t>
      </w:r>
      <w:r>
        <w:rPr>
          <w:spacing w:val="-8"/>
          <w:sz w:val="18"/>
          <w:szCs w:val="18"/>
          <w:lang w:val="es-ES_tradnl"/>
        </w:rPr>
        <w:t>de que se presente una acci</w:t>
      </w:r>
      <w:r>
        <w:rPr>
          <w:rFonts w:cs="Times New Roman"/>
          <w:spacing w:val="-8"/>
          <w:sz w:val="18"/>
          <w:szCs w:val="18"/>
          <w:lang w:val="es-ES_tradnl"/>
        </w:rPr>
        <w:t>ó</w:t>
      </w:r>
      <w:r>
        <w:rPr>
          <w:spacing w:val="-8"/>
          <w:sz w:val="18"/>
          <w:szCs w:val="18"/>
          <w:lang w:val="es-ES_tradnl"/>
        </w:rPr>
        <w:t>n constitucional de h</w:t>
      </w:r>
      <w:r>
        <w:rPr>
          <w:rFonts w:cs="Times New Roman"/>
          <w:spacing w:val="-8"/>
          <w:sz w:val="18"/>
          <w:szCs w:val="18"/>
          <w:lang w:val="es-ES_tradnl"/>
        </w:rPr>
        <w:t>á</w:t>
      </w:r>
      <w:r>
        <w:rPr>
          <w:spacing w:val="-8"/>
          <w:sz w:val="18"/>
          <w:szCs w:val="18"/>
          <w:lang w:val="es-ES_tradnl"/>
        </w:rPr>
        <w:t xml:space="preserve">beas </w:t>
      </w:r>
      <w:r>
        <w:rPr>
          <w:spacing w:val="-1"/>
          <w:sz w:val="18"/>
          <w:szCs w:val="18"/>
          <w:lang w:val="es-ES_tradnl"/>
        </w:rPr>
        <w:t>corpus, tal como ocurri</w:t>
      </w:r>
      <w:r>
        <w:rPr>
          <w:rFonts w:cs="Times New Roman"/>
          <w:spacing w:val="-1"/>
          <w:sz w:val="18"/>
          <w:szCs w:val="18"/>
          <w:lang w:val="es-ES_tradnl"/>
        </w:rPr>
        <w:t>ó</w:t>
      </w:r>
      <w:r>
        <w:rPr>
          <w:spacing w:val="-1"/>
          <w:sz w:val="18"/>
          <w:szCs w:val="18"/>
          <w:lang w:val="es-ES_tradnl"/>
        </w:rPr>
        <w:t>, ya que el se</w:t>
      </w:r>
      <w:r>
        <w:rPr>
          <w:rFonts w:cs="Times New Roman"/>
          <w:spacing w:val="-1"/>
          <w:sz w:val="18"/>
          <w:szCs w:val="18"/>
          <w:lang w:val="es-ES_tradnl"/>
        </w:rPr>
        <w:t>ñ</w:t>
      </w:r>
      <w:r>
        <w:rPr>
          <w:spacing w:val="-1"/>
          <w:sz w:val="18"/>
          <w:szCs w:val="18"/>
          <w:lang w:val="es-ES_tradnl"/>
        </w:rPr>
        <w:t xml:space="preserve">or Julio Diez </w:t>
      </w:r>
      <w:r>
        <w:rPr>
          <w:spacing w:val="-6"/>
          <w:sz w:val="18"/>
          <w:szCs w:val="18"/>
          <w:lang w:val="es-ES_tradnl"/>
        </w:rPr>
        <w:t>Merino, consider</w:t>
      </w:r>
      <w:r>
        <w:rPr>
          <w:rFonts w:cs="Times New Roman"/>
          <w:spacing w:val="-6"/>
          <w:sz w:val="18"/>
          <w:szCs w:val="18"/>
          <w:lang w:val="es-ES_tradnl"/>
        </w:rPr>
        <w:t>ó</w:t>
      </w:r>
      <w:r>
        <w:rPr>
          <w:spacing w:val="-6"/>
          <w:sz w:val="18"/>
          <w:szCs w:val="18"/>
          <w:lang w:val="es-ES_tradnl"/>
        </w:rPr>
        <w:t xml:space="preserve"> que: </w:t>
      </w:r>
      <w:r>
        <w:rPr>
          <w:rFonts w:cs="Times New Roman"/>
          <w:spacing w:val="-6"/>
          <w:sz w:val="18"/>
          <w:szCs w:val="18"/>
          <w:lang w:val="es-ES_tradnl"/>
        </w:rPr>
        <w:t>“…</w:t>
      </w:r>
      <w:r>
        <w:rPr>
          <w:spacing w:val="-6"/>
          <w:sz w:val="18"/>
          <w:szCs w:val="18"/>
          <w:lang w:val="es-ES_tradnl"/>
        </w:rPr>
        <w:t xml:space="preserve"> mi detenci</w:t>
      </w:r>
      <w:r>
        <w:rPr>
          <w:rFonts w:cs="Times New Roman"/>
          <w:spacing w:val="-6"/>
          <w:sz w:val="18"/>
          <w:szCs w:val="18"/>
          <w:lang w:val="es-ES_tradnl"/>
        </w:rPr>
        <w:t>ó</w:t>
      </w:r>
      <w:r>
        <w:rPr>
          <w:spacing w:val="-6"/>
          <w:sz w:val="18"/>
          <w:szCs w:val="18"/>
          <w:lang w:val="es-ES_tradnl"/>
        </w:rPr>
        <w:t xml:space="preserve">n se ha convertido </w:t>
      </w:r>
      <w:r>
        <w:rPr>
          <w:spacing w:val="-5"/>
          <w:sz w:val="18"/>
          <w:szCs w:val="18"/>
          <w:lang w:val="es-ES_tradnl"/>
        </w:rPr>
        <w:t>en ilegal, arbitraria, atentatoria contra mi integridad f</w:t>
      </w:r>
      <w:r>
        <w:rPr>
          <w:rFonts w:cs="Times New Roman"/>
          <w:spacing w:val="-5"/>
          <w:sz w:val="18"/>
          <w:szCs w:val="18"/>
          <w:lang w:val="es-ES_tradnl"/>
        </w:rPr>
        <w:t>í</w:t>
      </w:r>
      <w:r>
        <w:rPr>
          <w:spacing w:val="-5"/>
          <w:sz w:val="18"/>
          <w:szCs w:val="18"/>
          <w:lang w:val="es-ES_tradnl"/>
        </w:rPr>
        <w:t xml:space="preserve">sica, </w:t>
      </w:r>
      <w:r>
        <w:rPr>
          <w:spacing w:val="-6"/>
          <w:sz w:val="18"/>
          <w:szCs w:val="18"/>
          <w:lang w:val="es-ES_tradnl"/>
        </w:rPr>
        <w:t>psicol</w:t>
      </w:r>
      <w:r>
        <w:rPr>
          <w:rFonts w:cs="Times New Roman"/>
          <w:spacing w:val="-6"/>
          <w:sz w:val="18"/>
          <w:szCs w:val="18"/>
          <w:lang w:val="es-ES_tradnl"/>
        </w:rPr>
        <w:t>ó</w:t>
      </w:r>
      <w:r>
        <w:rPr>
          <w:spacing w:val="-6"/>
          <w:sz w:val="18"/>
          <w:szCs w:val="18"/>
          <w:lang w:val="es-ES_tradnl"/>
        </w:rPr>
        <w:t>gica y moral...</w:t>
      </w:r>
      <w:r>
        <w:rPr>
          <w:rFonts w:cs="Times New Roman"/>
          <w:spacing w:val="-6"/>
          <w:sz w:val="18"/>
          <w:szCs w:val="18"/>
          <w:lang w:val="es-ES_tradnl"/>
        </w:rPr>
        <w:t>”</w:t>
      </w:r>
      <w:r>
        <w:rPr>
          <w:spacing w:val="-6"/>
          <w:sz w:val="18"/>
          <w:szCs w:val="18"/>
          <w:lang w:val="es-ES_tradnl"/>
        </w:rPr>
        <w:t xml:space="preserve"> y por ello present</w:t>
      </w:r>
      <w:r>
        <w:rPr>
          <w:rFonts w:cs="Times New Roman"/>
          <w:spacing w:val="-6"/>
          <w:sz w:val="18"/>
          <w:szCs w:val="18"/>
          <w:lang w:val="es-ES_tradnl"/>
        </w:rPr>
        <w:t>ó</w:t>
      </w:r>
      <w:r>
        <w:rPr>
          <w:spacing w:val="-6"/>
          <w:sz w:val="18"/>
          <w:szCs w:val="18"/>
          <w:lang w:val="es-ES_tradnl"/>
        </w:rPr>
        <w:t xml:space="preserve"> la acci</w:t>
      </w:r>
      <w:r>
        <w:rPr>
          <w:rFonts w:cs="Times New Roman"/>
          <w:spacing w:val="-6"/>
          <w:sz w:val="18"/>
          <w:szCs w:val="18"/>
          <w:lang w:val="es-ES_tradnl"/>
        </w:rPr>
        <w:t>ó</w:t>
      </w:r>
      <w:r>
        <w:rPr>
          <w:spacing w:val="-6"/>
          <w:sz w:val="18"/>
          <w:szCs w:val="18"/>
          <w:lang w:val="es-ES_tradnl"/>
        </w:rPr>
        <w:t xml:space="preserve">n ante la </w:t>
      </w:r>
      <w:r>
        <w:rPr>
          <w:spacing w:val="-5"/>
          <w:sz w:val="18"/>
          <w:szCs w:val="18"/>
          <w:lang w:val="es-ES_tradnl"/>
        </w:rPr>
        <w:t>Corte Nacional de Justicia que fue la que emiti</w:t>
      </w:r>
      <w:r>
        <w:rPr>
          <w:rFonts w:cs="Times New Roman"/>
          <w:spacing w:val="-5"/>
          <w:sz w:val="18"/>
          <w:szCs w:val="18"/>
          <w:lang w:val="es-ES_tradnl"/>
        </w:rPr>
        <w:t>ó</w:t>
      </w:r>
      <w:r>
        <w:rPr>
          <w:spacing w:val="-5"/>
          <w:sz w:val="18"/>
          <w:szCs w:val="18"/>
          <w:lang w:val="es-ES_tradnl"/>
        </w:rPr>
        <w:t xml:space="preserve"> la orden </w:t>
      </w:r>
      <w:r>
        <w:rPr>
          <w:sz w:val="18"/>
          <w:szCs w:val="18"/>
          <w:lang w:val="es-ES_tradnl"/>
        </w:rPr>
        <w:t>de detenci</w:t>
      </w:r>
      <w:r>
        <w:rPr>
          <w:rFonts w:cs="Times New Roman"/>
          <w:sz w:val="18"/>
          <w:szCs w:val="18"/>
          <w:lang w:val="es-ES_tradnl"/>
        </w:rPr>
        <w:t>ó</w:t>
      </w:r>
      <w:r>
        <w:rPr>
          <w:sz w:val="18"/>
          <w:szCs w:val="18"/>
          <w:lang w:val="es-ES_tradnl"/>
        </w:rPr>
        <w:t>n.</w:t>
      </w:r>
    </w:p>
    <w:p w14:paraId="4F67AF80" w14:textId="77777777" w:rsidR="00591D54" w:rsidRDefault="00591D54">
      <w:pPr>
        <w:shd w:val="clear" w:color="auto" w:fill="FFFFFF"/>
        <w:spacing w:before="178" w:line="197" w:lineRule="exact"/>
        <w:jc w:val="both"/>
      </w:pPr>
      <w:r>
        <w:rPr>
          <w:spacing w:val="-8"/>
          <w:sz w:val="18"/>
          <w:szCs w:val="18"/>
          <w:lang w:val="es-ES_tradnl"/>
        </w:rPr>
        <w:t>Respecto de la extradici</w:t>
      </w:r>
      <w:r>
        <w:rPr>
          <w:rFonts w:cs="Times New Roman"/>
          <w:spacing w:val="-8"/>
          <w:sz w:val="18"/>
          <w:szCs w:val="18"/>
          <w:lang w:val="es-ES_tradnl"/>
        </w:rPr>
        <w:t>ó</w:t>
      </w:r>
      <w:r>
        <w:rPr>
          <w:spacing w:val="-8"/>
          <w:sz w:val="18"/>
          <w:szCs w:val="18"/>
          <w:lang w:val="es-ES_tradnl"/>
        </w:rPr>
        <w:t>n, cabe se</w:t>
      </w:r>
      <w:r>
        <w:rPr>
          <w:rFonts w:cs="Times New Roman"/>
          <w:spacing w:val="-8"/>
          <w:sz w:val="18"/>
          <w:szCs w:val="18"/>
          <w:lang w:val="es-ES_tradnl"/>
        </w:rPr>
        <w:t>ñ</w:t>
      </w:r>
      <w:r>
        <w:rPr>
          <w:spacing w:val="-8"/>
          <w:sz w:val="18"/>
          <w:szCs w:val="18"/>
          <w:lang w:val="es-ES_tradnl"/>
        </w:rPr>
        <w:t>alar que puede ser entendida como el acto a trav</w:t>
      </w:r>
      <w:r>
        <w:rPr>
          <w:rFonts w:cs="Times New Roman"/>
          <w:spacing w:val="-8"/>
          <w:sz w:val="18"/>
          <w:szCs w:val="18"/>
          <w:lang w:val="es-ES_tradnl"/>
        </w:rPr>
        <w:t>é</w:t>
      </w:r>
      <w:r>
        <w:rPr>
          <w:spacing w:val="-8"/>
          <w:sz w:val="18"/>
          <w:szCs w:val="18"/>
          <w:lang w:val="es-ES_tradnl"/>
        </w:rPr>
        <w:t xml:space="preserve">s del cual un Estado hace la </w:t>
      </w:r>
      <w:r>
        <w:rPr>
          <w:spacing w:val="-9"/>
          <w:sz w:val="18"/>
          <w:szCs w:val="18"/>
          <w:lang w:val="es-ES_tradnl"/>
        </w:rPr>
        <w:t xml:space="preserve">entrega a otro, de una persona que este </w:t>
      </w:r>
      <w:r>
        <w:rPr>
          <w:rFonts w:cs="Times New Roman"/>
          <w:spacing w:val="-9"/>
          <w:sz w:val="18"/>
          <w:szCs w:val="18"/>
          <w:lang w:val="es-ES_tradnl"/>
        </w:rPr>
        <w:t>ú</w:t>
      </w:r>
      <w:r>
        <w:rPr>
          <w:spacing w:val="-9"/>
          <w:sz w:val="18"/>
          <w:szCs w:val="18"/>
          <w:lang w:val="es-ES_tradnl"/>
        </w:rPr>
        <w:t>ltimo reclama por</w:t>
      </w:r>
    </w:p>
    <w:p w14:paraId="4F67AF81" w14:textId="77777777" w:rsidR="00591D54" w:rsidRDefault="00591D54">
      <w:pPr>
        <w:shd w:val="clear" w:color="auto" w:fill="FFFFFF"/>
        <w:spacing w:before="427" w:line="178" w:lineRule="exact"/>
        <w:ind w:left="144" w:hanging="144"/>
        <w:jc w:val="both"/>
      </w:pPr>
      <w:r>
        <w:rPr>
          <w:sz w:val="14"/>
          <w:szCs w:val="14"/>
          <w:vertAlign w:val="superscript"/>
          <w:lang w:val="es-ES_tradnl"/>
        </w:rPr>
        <w:t>9</w:t>
      </w:r>
      <w:r>
        <w:rPr>
          <w:sz w:val="14"/>
          <w:szCs w:val="14"/>
          <w:lang w:val="es-ES_tradnl"/>
        </w:rPr>
        <w:t xml:space="preserve"> Art. 8.- En caso de urgencia, el Presidente de la Corte Suprema </w:t>
      </w:r>
      <w:r>
        <w:rPr>
          <w:spacing w:val="-1"/>
          <w:sz w:val="14"/>
          <w:szCs w:val="14"/>
          <w:lang w:val="es-ES_tradnl"/>
        </w:rPr>
        <w:t>de Justicia podr</w:t>
      </w:r>
      <w:r>
        <w:rPr>
          <w:rFonts w:cs="Times New Roman"/>
          <w:spacing w:val="-1"/>
          <w:sz w:val="14"/>
          <w:szCs w:val="14"/>
          <w:lang w:val="es-ES_tradnl"/>
        </w:rPr>
        <w:t>á</w:t>
      </w:r>
      <w:r>
        <w:rPr>
          <w:spacing w:val="-1"/>
          <w:sz w:val="14"/>
          <w:szCs w:val="14"/>
          <w:lang w:val="es-ES_tradnl"/>
        </w:rPr>
        <w:t xml:space="preserve"> ordenar la detenci</w:t>
      </w:r>
      <w:r>
        <w:rPr>
          <w:rFonts w:cs="Times New Roman"/>
          <w:spacing w:val="-1"/>
          <w:sz w:val="14"/>
          <w:szCs w:val="14"/>
          <w:lang w:val="es-ES_tradnl"/>
        </w:rPr>
        <w:t>ó</w:t>
      </w:r>
      <w:r>
        <w:rPr>
          <w:spacing w:val="-1"/>
          <w:sz w:val="14"/>
          <w:szCs w:val="14"/>
          <w:lang w:val="es-ES_tradnl"/>
        </w:rPr>
        <w:t xml:space="preserve">n del sujeto reclamado en </w:t>
      </w:r>
      <w:r>
        <w:rPr>
          <w:spacing w:val="-2"/>
          <w:sz w:val="14"/>
          <w:szCs w:val="14"/>
          <w:lang w:val="es-ES_tradnl"/>
        </w:rPr>
        <w:t>extradici</w:t>
      </w:r>
      <w:r>
        <w:rPr>
          <w:rFonts w:cs="Times New Roman"/>
          <w:spacing w:val="-2"/>
          <w:sz w:val="14"/>
          <w:szCs w:val="14"/>
          <w:lang w:val="es-ES_tradnl"/>
        </w:rPr>
        <w:t>ó</w:t>
      </w:r>
      <w:r>
        <w:rPr>
          <w:spacing w:val="-2"/>
          <w:sz w:val="14"/>
          <w:szCs w:val="14"/>
          <w:lang w:val="es-ES_tradnl"/>
        </w:rPr>
        <w:t xml:space="preserve">n, como medida preventiva, de oficio o a solicitud expresa </w:t>
      </w:r>
      <w:r>
        <w:rPr>
          <w:spacing w:val="-1"/>
          <w:sz w:val="14"/>
          <w:szCs w:val="14"/>
          <w:lang w:val="es-ES_tradnl"/>
        </w:rPr>
        <w:t>del Juez o Tribunal competente, funcionario diplom</w:t>
      </w:r>
      <w:r>
        <w:rPr>
          <w:rFonts w:cs="Times New Roman"/>
          <w:spacing w:val="-1"/>
          <w:sz w:val="14"/>
          <w:szCs w:val="14"/>
          <w:lang w:val="es-ES_tradnl"/>
        </w:rPr>
        <w:t>á</w:t>
      </w:r>
      <w:r>
        <w:rPr>
          <w:spacing w:val="-1"/>
          <w:sz w:val="14"/>
          <w:szCs w:val="14"/>
          <w:lang w:val="es-ES_tradnl"/>
        </w:rPr>
        <w:t xml:space="preserve">tico o consular </w:t>
      </w:r>
      <w:r>
        <w:rPr>
          <w:spacing w:val="-5"/>
          <w:sz w:val="14"/>
          <w:szCs w:val="14"/>
          <w:lang w:val="es-ES_tradnl"/>
        </w:rPr>
        <w:t>del Estado requirente, en la que deber</w:t>
      </w:r>
      <w:r>
        <w:rPr>
          <w:rFonts w:cs="Times New Roman"/>
          <w:spacing w:val="-5"/>
          <w:sz w:val="14"/>
          <w:szCs w:val="14"/>
          <w:lang w:val="es-ES_tradnl"/>
        </w:rPr>
        <w:t>á</w:t>
      </w:r>
      <w:r>
        <w:rPr>
          <w:spacing w:val="-5"/>
          <w:sz w:val="14"/>
          <w:szCs w:val="14"/>
          <w:lang w:val="es-ES_tradnl"/>
        </w:rPr>
        <w:t xml:space="preserve"> hacerse constar expresamente </w:t>
      </w:r>
      <w:r>
        <w:rPr>
          <w:spacing w:val="-3"/>
          <w:sz w:val="14"/>
          <w:szCs w:val="14"/>
          <w:lang w:val="es-ES_tradnl"/>
        </w:rPr>
        <w:t xml:space="preserve">que </w:t>
      </w:r>
      <w:r>
        <w:rPr>
          <w:rFonts w:cs="Times New Roman"/>
          <w:spacing w:val="-3"/>
          <w:sz w:val="14"/>
          <w:szCs w:val="14"/>
          <w:lang w:val="es-ES_tradnl"/>
        </w:rPr>
        <w:t>é</w:t>
      </w:r>
      <w:r>
        <w:rPr>
          <w:spacing w:val="-3"/>
          <w:sz w:val="14"/>
          <w:szCs w:val="14"/>
          <w:lang w:val="es-ES_tradnl"/>
        </w:rPr>
        <w:t xml:space="preserve">sta responde a una sentencia condenatoria o mandamiento de </w:t>
      </w:r>
      <w:r>
        <w:rPr>
          <w:spacing w:val="-2"/>
          <w:sz w:val="14"/>
          <w:szCs w:val="14"/>
          <w:lang w:val="es-ES_tradnl"/>
        </w:rPr>
        <w:t>detenci</w:t>
      </w:r>
      <w:r>
        <w:rPr>
          <w:rFonts w:cs="Times New Roman"/>
          <w:spacing w:val="-2"/>
          <w:sz w:val="14"/>
          <w:szCs w:val="14"/>
          <w:lang w:val="es-ES_tradnl"/>
        </w:rPr>
        <w:t>ó</w:t>
      </w:r>
      <w:r>
        <w:rPr>
          <w:spacing w:val="-2"/>
          <w:sz w:val="14"/>
          <w:szCs w:val="14"/>
          <w:lang w:val="es-ES_tradnl"/>
        </w:rPr>
        <w:t>n con expresi</w:t>
      </w:r>
      <w:r>
        <w:rPr>
          <w:rFonts w:cs="Times New Roman"/>
          <w:spacing w:val="-2"/>
          <w:sz w:val="14"/>
          <w:szCs w:val="14"/>
          <w:lang w:val="es-ES_tradnl"/>
        </w:rPr>
        <w:t>ó</w:t>
      </w:r>
      <w:r>
        <w:rPr>
          <w:spacing w:val="-2"/>
          <w:sz w:val="14"/>
          <w:szCs w:val="14"/>
          <w:lang w:val="es-ES_tradnl"/>
        </w:rPr>
        <w:t xml:space="preserve">n de la fecha y hechos que lo motiven, tiempo </w:t>
      </w:r>
      <w:r>
        <w:rPr>
          <w:spacing w:val="-3"/>
          <w:sz w:val="14"/>
          <w:szCs w:val="14"/>
          <w:lang w:val="es-ES_tradnl"/>
        </w:rPr>
        <w:t>y lugar de la comisi</w:t>
      </w:r>
      <w:r>
        <w:rPr>
          <w:rFonts w:cs="Times New Roman"/>
          <w:spacing w:val="-3"/>
          <w:sz w:val="14"/>
          <w:szCs w:val="14"/>
          <w:lang w:val="es-ES_tradnl"/>
        </w:rPr>
        <w:t>ó</w:t>
      </w:r>
      <w:r>
        <w:rPr>
          <w:spacing w:val="-3"/>
          <w:sz w:val="14"/>
          <w:szCs w:val="14"/>
          <w:lang w:val="es-ES_tradnl"/>
        </w:rPr>
        <w:t>n, datos y filiaci</w:t>
      </w:r>
      <w:r>
        <w:rPr>
          <w:rFonts w:cs="Times New Roman"/>
          <w:spacing w:val="-3"/>
          <w:sz w:val="14"/>
          <w:szCs w:val="14"/>
          <w:lang w:val="es-ES_tradnl"/>
        </w:rPr>
        <w:t>ó</w:t>
      </w:r>
      <w:r>
        <w:rPr>
          <w:spacing w:val="-3"/>
          <w:sz w:val="14"/>
          <w:szCs w:val="14"/>
          <w:lang w:val="es-ES_tradnl"/>
        </w:rPr>
        <w:t>n de la persona cuya detenci</w:t>
      </w:r>
      <w:r>
        <w:rPr>
          <w:rFonts w:cs="Times New Roman"/>
          <w:spacing w:val="-3"/>
          <w:sz w:val="14"/>
          <w:szCs w:val="14"/>
          <w:lang w:val="es-ES_tradnl"/>
        </w:rPr>
        <w:t>ó</w:t>
      </w:r>
      <w:r>
        <w:rPr>
          <w:spacing w:val="-3"/>
          <w:sz w:val="14"/>
          <w:szCs w:val="14"/>
          <w:lang w:val="es-ES_tradnl"/>
        </w:rPr>
        <w:t xml:space="preserve">n le interesa, con ofrecimiento de presentar seguidamente demanda de </w:t>
      </w:r>
      <w:r>
        <w:rPr>
          <w:sz w:val="14"/>
          <w:szCs w:val="14"/>
          <w:lang w:val="es-ES_tradnl"/>
        </w:rPr>
        <w:t>extradici</w:t>
      </w:r>
      <w:r>
        <w:rPr>
          <w:rFonts w:cs="Times New Roman"/>
          <w:sz w:val="14"/>
          <w:szCs w:val="14"/>
          <w:lang w:val="es-ES_tradnl"/>
        </w:rPr>
        <w:t>ó</w:t>
      </w:r>
      <w:r>
        <w:rPr>
          <w:sz w:val="14"/>
          <w:szCs w:val="14"/>
          <w:lang w:val="es-ES_tradnl"/>
        </w:rPr>
        <w:t>n.</w:t>
      </w:r>
    </w:p>
    <w:p w14:paraId="4F67AF82" w14:textId="77777777" w:rsidR="00591D54" w:rsidRDefault="00591D54">
      <w:pPr>
        <w:shd w:val="clear" w:color="auto" w:fill="FFFFFF"/>
        <w:spacing w:before="427" w:line="178" w:lineRule="exact"/>
        <w:ind w:left="144" w:hanging="144"/>
        <w:jc w:val="both"/>
        <w:sectPr w:rsidR="00591D54">
          <w:type w:val="continuous"/>
          <w:pgSz w:w="11909" w:h="16834"/>
          <w:pgMar w:top="1327" w:right="1309" w:bottom="360" w:left="1308" w:header="720" w:footer="720" w:gutter="0"/>
          <w:cols w:num="2" w:space="720" w:equalWidth="0">
            <w:col w:w="4305" w:space="682"/>
            <w:col w:w="4305"/>
          </w:cols>
          <w:noEndnote/>
        </w:sectPr>
      </w:pPr>
    </w:p>
    <w:p w14:paraId="4F67AF83" w14:textId="77777777" w:rsidR="00591D54" w:rsidRDefault="00591D54">
      <w:pPr>
        <w:shd w:val="clear" w:color="auto" w:fill="FFFFFF"/>
        <w:tabs>
          <w:tab w:val="left" w:pos="5842"/>
        </w:tabs>
        <w:spacing w:after="226"/>
        <w:ind w:left="14"/>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- 147</w:t>
      </w:r>
    </w:p>
    <w:p w14:paraId="4F67AF84" w14:textId="77777777" w:rsidR="00591D54" w:rsidRDefault="00591D54">
      <w:pPr>
        <w:shd w:val="clear" w:color="auto" w:fill="FFFFFF"/>
        <w:tabs>
          <w:tab w:val="left" w:pos="5842"/>
        </w:tabs>
        <w:spacing w:after="226"/>
        <w:ind w:left="14"/>
        <w:sectPr w:rsidR="00591D54">
          <w:pgSz w:w="11909" w:h="16834"/>
          <w:pgMar w:top="1356" w:right="1309" w:bottom="360" w:left="1308" w:header="720" w:footer="720" w:gutter="0"/>
          <w:cols w:space="60"/>
          <w:noEndnote/>
        </w:sectPr>
      </w:pPr>
    </w:p>
    <w:p w14:paraId="4F67AF85" w14:textId="77777777" w:rsidR="00591D54" w:rsidRDefault="00591D54">
      <w:pPr>
        <w:shd w:val="clear" w:color="auto" w:fill="FFFFFF"/>
        <w:spacing w:before="10" w:line="197" w:lineRule="exact"/>
        <w:jc w:val="both"/>
      </w:pPr>
      <w:r>
        <w:rPr>
          <w:spacing w:val="-10"/>
          <w:sz w:val="18"/>
          <w:szCs w:val="18"/>
          <w:lang w:val="es-ES_tradnl"/>
        </w:rPr>
        <w:t>encontrarse inculpada, sentenciada o procesada en relaci</w:t>
      </w:r>
      <w:r>
        <w:rPr>
          <w:rFonts w:cs="Times New Roman"/>
          <w:spacing w:val="-10"/>
          <w:sz w:val="18"/>
          <w:szCs w:val="18"/>
          <w:lang w:val="es-ES_tradnl"/>
        </w:rPr>
        <w:t>ó</w:t>
      </w:r>
      <w:r>
        <w:rPr>
          <w:spacing w:val="-10"/>
          <w:sz w:val="18"/>
          <w:szCs w:val="18"/>
          <w:lang w:val="es-ES_tradnl"/>
        </w:rPr>
        <w:t xml:space="preserve">n </w:t>
      </w:r>
      <w:r>
        <w:rPr>
          <w:spacing w:val="-9"/>
          <w:sz w:val="18"/>
          <w:szCs w:val="18"/>
          <w:lang w:val="es-ES_tradnl"/>
        </w:rPr>
        <w:t xml:space="preserve">al cometimiento de un delito. En este sentido, es importante </w:t>
      </w:r>
      <w:r>
        <w:rPr>
          <w:spacing w:val="-11"/>
          <w:sz w:val="18"/>
          <w:szCs w:val="18"/>
          <w:lang w:val="es-ES_tradnl"/>
        </w:rPr>
        <w:t>se</w:t>
      </w:r>
      <w:r>
        <w:rPr>
          <w:rFonts w:cs="Times New Roman"/>
          <w:spacing w:val="-11"/>
          <w:sz w:val="18"/>
          <w:szCs w:val="18"/>
          <w:lang w:val="es-ES_tradnl"/>
        </w:rPr>
        <w:t>ñ</w:t>
      </w:r>
      <w:r>
        <w:rPr>
          <w:spacing w:val="-11"/>
          <w:sz w:val="18"/>
          <w:szCs w:val="18"/>
          <w:lang w:val="es-ES_tradnl"/>
        </w:rPr>
        <w:t>alar que el Ecuador ratific</w:t>
      </w:r>
      <w:r>
        <w:rPr>
          <w:rFonts w:cs="Times New Roman"/>
          <w:spacing w:val="-11"/>
          <w:sz w:val="18"/>
          <w:szCs w:val="18"/>
          <w:lang w:val="es-ES_tradnl"/>
        </w:rPr>
        <w:t>ó</w:t>
      </w:r>
      <w:r>
        <w:rPr>
          <w:spacing w:val="-11"/>
          <w:sz w:val="18"/>
          <w:szCs w:val="18"/>
          <w:lang w:val="es-ES_tradnl"/>
        </w:rPr>
        <w:t xml:space="preserve"> la Convenci</w:t>
      </w:r>
      <w:r>
        <w:rPr>
          <w:rFonts w:cs="Times New Roman"/>
          <w:spacing w:val="-11"/>
          <w:sz w:val="18"/>
          <w:szCs w:val="18"/>
          <w:lang w:val="es-ES_tradnl"/>
        </w:rPr>
        <w:t>ó</w:t>
      </w:r>
      <w:r>
        <w:rPr>
          <w:spacing w:val="-11"/>
          <w:sz w:val="18"/>
          <w:szCs w:val="18"/>
          <w:lang w:val="es-ES_tradnl"/>
        </w:rPr>
        <w:t xml:space="preserve">n Interamericana </w:t>
      </w:r>
      <w:r>
        <w:rPr>
          <w:spacing w:val="-8"/>
          <w:sz w:val="18"/>
          <w:szCs w:val="18"/>
          <w:lang w:val="es-ES_tradnl"/>
        </w:rPr>
        <w:t>sobre Extradici</w:t>
      </w:r>
      <w:r>
        <w:rPr>
          <w:rFonts w:cs="Times New Roman"/>
          <w:spacing w:val="-8"/>
          <w:sz w:val="18"/>
          <w:szCs w:val="18"/>
          <w:lang w:val="es-ES_tradnl"/>
        </w:rPr>
        <w:t>ó</w:t>
      </w:r>
      <w:r>
        <w:rPr>
          <w:spacing w:val="-8"/>
          <w:sz w:val="18"/>
          <w:szCs w:val="18"/>
          <w:lang w:val="es-ES_tradnl"/>
        </w:rPr>
        <w:t xml:space="preserve">n, adoptada en Caracas, Venezuela, el 25 </w:t>
      </w:r>
      <w:r>
        <w:rPr>
          <w:spacing w:val="-10"/>
          <w:sz w:val="18"/>
          <w:szCs w:val="18"/>
          <w:lang w:val="es-ES_tradnl"/>
        </w:rPr>
        <w:t>de febrero de 1981. Adem</w:t>
      </w:r>
      <w:r>
        <w:rPr>
          <w:rFonts w:cs="Times New Roman"/>
          <w:spacing w:val="-10"/>
          <w:sz w:val="18"/>
          <w:szCs w:val="18"/>
          <w:lang w:val="es-ES_tradnl"/>
        </w:rPr>
        <w:t>á</w:t>
      </w:r>
      <w:r>
        <w:rPr>
          <w:spacing w:val="-10"/>
          <w:sz w:val="18"/>
          <w:szCs w:val="18"/>
          <w:lang w:val="es-ES_tradnl"/>
        </w:rPr>
        <w:t>s, en cuanto a legislaci</w:t>
      </w:r>
      <w:r>
        <w:rPr>
          <w:rFonts w:cs="Times New Roman"/>
          <w:spacing w:val="-10"/>
          <w:sz w:val="18"/>
          <w:szCs w:val="18"/>
          <w:lang w:val="es-ES_tradnl"/>
        </w:rPr>
        <w:t>ó</w:t>
      </w:r>
      <w:r>
        <w:rPr>
          <w:spacing w:val="-10"/>
          <w:sz w:val="18"/>
          <w:szCs w:val="18"/>
          <w:lang w:val="es-ES_tradnl"/>
        </w:rPr>
        <w:t xml:space="preserve">n interna </w:t>
      </w:r>
      <w:r>
        <w:rPr>
          <w:spacing w:val="-6"/>
          <w:sz w:val="18"/>
          <w:szCs w:val="18"/>
          <w:lang w:val="es-ES_tradnl"/>
        </w:rPr>
        <w:t>se refiere, el pa</w:t>
      </w:r>
      <w:r>
        <w:rPr>
          <w:rFonts w:cs="Times New Roman"/>
          <w:spacing w:val="-6"/>
          <w:sz w:val="18"/>
          <w:szCs w:val="18"/>
          <w:lang w:val="es-ES_tradnl"/>
        </w:rPr>
        <w:t>í</w:t>
      </w:r>
      <w:r>
        <w:rPr>
          <w:spacing w:val="-6"/>
          <w:sz w:val="18"/>
          <w:szCs w:val="18"/>
          <w:lang w:val="es-ES_tradnl"/>
        </w:rPr>
        <w:t>s posee una Ley de Extradici</w:t>
      </w:r>
      <w:r>
        <w:rPr>
          <w:rFonts w:cs="Times New Roman"/>
          <w:spacing w:val="-6"/>
          <w:sz w:val="18"/>
          <w:szCs w:val="18"/>
          <w:lang w:val="es-ES_tradnl"/>
        </w:rPr>
        <w:t>ó</w:t>
      </w:r>
      <w:r>
        <w:rPr>
          <w:spacing w:val="-6"/>
          <w:sz w:val="18"/>
          <w:szCs w:val="18"/>
          <w:lang w:val="es-ES_tradnl"/>
        </w:rPr>
        <w:t>n que fue publicada en el Registro Oficial N.</w:t>
      </w:r>
      <w:r>
        <w:rPr>
          <w:rFonts w:cs="Times New Roman"/>
          <w:spacing w:val="-6"/>
          <w:sz w:val="18"/>
          <w:szCs w:val="18"/>
          <w:lang w:val="es-ES_tradnl"/>
        </w:rPr>
        <w:t>º</w:t>
      </w:r>
      <w:r>
        <w:rPr>
          <w:spacing w:val="-6"/>
          <w:sz w:val="18"/>
          <w:szCs w:val="18"/>
          <w:lang w:val="es-ES_tradnl"/>
        </w:rPr>
        <w:t xml:space="preserve"> 152 del 30 de agosto </w:t>
      </w:r>
      <w:r>
        <w:rPr>
          <w:spacing w:val="-8"/>
          <w:sz w:val="18"/>
          <w:szCs w:val="18"/>
          <w:lang w:val="es-ES_tradnl"/>
        </w:rPr>
        <w:t xml:space="preserve">de 2000, en la que se establece a modo general los casos </w:t>
      </w:r>
      <w:r>
        <w:rPr>
          <w:spacing w:val="-6"/>
          <w:sz w:val="18"/>
          <w:szCs w:val="18"/>
          <w:lang w:val="es-ES_tradnl"/>
        </w:rPr>
        <w:t>de concesi</w:t>
      </w:r>
      <w:r>
        <w:rPr>
          <w:rFonts w:cs="Times New Roman"/>
          <w:spacing w:val="-6"/>
          <w:sz w:val="18"/>
          <w:szCs w:val="18"/>
          <w:lang w:val="es-ES_tradnl"/>
        </w:rPr>
        <w:t>ó</w:t>
      </w:r>
      <w:r>
        <w:rPr>
          <w:spacing w:val="-6"/>
          <w:sz w:val="18"/>
          <w:szCs w:val="18"/>
          <w:lang w:val="es-ES_tradnl"/>
        </w:rPr>
        <w:t>n y denegaci</w:t>
      </w:r>
      <w:r>
        <w:rPr>
          <w:rFonts w:cs="Times New Roman"/>
          <w:spacing w:val="-6"/>
          <w:sz w:val="18"/>
          <w:szCs w:val="18"/>
          <w:lang w:val="es-ES_tradnl"/>
        </w:rPr>
        <w:t>ó</w:t>
      </w:r>
      <w:r>
        <w:rPr>
          <w:spacing w:val="-6"/>
          <w:sz w:val="18"/>
          <w:szCs w:val="18"/>
          <w:lang w:val="es-ES_tradnl"/>
        </w:rPr>
        <w:t>n de la extradici</w:t>
      </w:r>
      <w:r>
        <w:rPr>
          <w:rFonts w:cs="Times New Roman"/>
          <w:spacing w:val="-6"/>
          <w:sz w:val="18"/>
          <w:szCs w:val="18"/>
          <w:lang w:val="es-ES_tradnl"/>
        </w:rPr>
        <w:t>ó</w:t>
      </w:r>
      <w:r>
        <w:rPr>
          <w:spacing w:val="-6"/>
          <w:sz w:val="18"/>
          <w:szCs w:val="18"/>
          <w:lang w:val="es-ES_tradnl"/>
        </w:rPr>
        <w:t xml:space="preserve">n, regula su </w:t>
      </w:r>
      <w:r>
        <w:rPr>
          <w:spacing w:val="-8"/>
          <w:sz w:val="18"/>
          <w:szCs w:val="18"/>
          <w:lang w:val="es-ES_tradnl"/>
        </w:rPr>
        <w:t>procedimiento, as</w:t>
      </w:r>
      <w:r>
        <w:rPr>
          <w:rFonts w:cs="Times New Roman"/>
          <w:spacing w:val="-8"/>
          <w:sz w:val="18"/>
          <w:szCs w:val="18"/>
          <w:lang w:val="es-ES_tradnl"/>
        </w:rPr>
        <w:t>í</w:t>
      </w:r>
      <w:r>
        <w:rPr>
          <w:spacing w:val="-8"/>
          <w:sz w:val="18"/>
          <w:szCs w:val="18"/>
          <w:lang w:val="es-ES_tradnl"/>
        </w:rPr>
        <w:t xml:space="preserve"> como el procedimiento en los casos de </w:t>
      </w:r>
      <w:r>
        <w:rPr>
          <w:spacing w:val="-7"/>
          <w:sz w:val="18"/>
          <w:szCs w:val="18"/>
          <w:lang w:val="es-ES_tradnl"/>
        </w:rPr>
        <w:t>extradici</w:t>
      </w:r>
      <w:r>
        <w:rPr>
          <w:rFonts w:cs="Times New Roman"/>
          <w:spacing w:val="-7"/>
          <w:sz w:val="18"/>
          <w:szCs w:val="18"/>
          <w:lang w:val="es-ES_tradnl"/>
        </w:rPr>
        <w:t>ó</w:t>
      </w:r>
      <w:r>
        <w:rPr>
          <w:spacing w:val="-7"/>
          <w:sz w:val="18"/>
          <w:szCs w:val="18"/>
          <w:lang w:val="es-ES_tradnl"/>
        </w:rPr>
        <w:t xml:space="preserve">n activa. Con base a lo expuesto, el Ecuador ha </w:t>
      </w:r>
      <w:r>
        <w:rPr>
          <w:spacing w:val="-8"/>
          <w:sz w:val="18"/>
          <w:szCs w:val="18"/>
          <w:lang w:val="es-ES_tradnl"/>
        </w:rPr>
        <w:t>sido signatario de algunos convenios celebrados con otros pa</w:t>
      </w:r>
      <w:r>
        <w:rPr>
          <w:rFonts w:cs="Times New Roman"/>
          <w:spacing w:val="-8"/>
          <w:sz w:val="18"/>
          <w:szCs w:val="18"/>
          <w:lang w:val="es-ES_tradnl"/>
        </w:rPr>
        <w:t>í</w:t>
      </w:r>
      <w:r>
        <w:rPr>
          <w:spacing w:val="-8"/>
          <w:sz w:val="18"/>
          <w:szCs w:val="18"/>
          <w:lang w:val="es-ES_tradnl"/>
        </w:rPr>
        <w:t>ses en materia de cooperaci</w:t>
      </w:r>
      <w:r>
        <w:rPr>
          <w:rFonts w:cs="Times New Roman"/>
          <w:spacing w:val="-8"/>
          <w:sz w:val="18"/>
          <w:szCs w:val="18"/>
          <w:lang w:val="es-ES_tradnl"/>
        </w:rPr>
        <w:t>ó</w:t>
      </w:r>
      <w:r>
        <w:rPr>
          <w:spacing w:val="-8"/>
          <w:sz w:val="18"/>
          <w:szCs w:val="18"/>
          <w:lang w:val="es-ES_tradnl"/>
        </w:rPr>
        <w:t xml:space="preserve">n para los procesos de </w:t>
      </w:r>
      <w:r>
        <w:rPr>
          <w:sz w:val="18"/>
          <w:szCs w:val="18"/>
          <w:lang w:val="es-ES_tradnl"/>
        </w:rPr>
        <w:t>extradici</w:t>
      </w:r>
      <w:r>
        <w:rPr>
          <w:rFonts w:cs="Times New Roman"/>
          <w:sz w:val="18"/>
          <w:szCs w:val="18"/>
          <w:lang w:val="es-ES_tradnl"/>
        </w:rPr>
        <w:t>ó</w:t>
      </w:r>
      <w:r>
        <w:rPr>
          <w:sz w:val="18"/>
          <w:szCs w:val="18"/>
          <w:lang w:val="es-ES_tradnl"/>
        </w:rPr>
        <w:t>n.</w:t>
      </w:r>
    </w:p>
    <w:p w14:paraId="4F67AF86" w14:textId="77777777" w:rsidR="00591D54" w:rsidRDefault="00591D54">
      <w:pPr>
        <w:shd w:val="clear" w:color="auto" w:fill="FFFFFF"/>
        <w:spacing w:before="178" w:line="197" w:lineRule="exact"/>
        <w:jc w:val="both"/>
      </w:pPr>
      <w:r>
        <w:rPr>
          <w:spacing w:val="-5"/>
          <w:sz w:val="18"/>
          <w:szCs w:val="18"/>
          <w:lang w:val="es-ES_tradnl"/>
        </w:rPr>
        <w:t>En t</w:t>
      </w:r>
      <w:r>
        <w:rPr>
          <w:rFonts w:cs="Times New Roman"/>
          <w:spacing w:val="-5"/>
          <w:sz w:val="18"/>
          <w:szCs w:val="18"/>
          <w:lang w:val="es-ES_tradnl"/>
        </w:rPr>
        <w:t>é</w:t>
      </w:r>
      <w:r>
        <w:rPr>
          <w:spacing w:val="-5"/>
          <w:sz w:val="18"/>
          <w:szCs w:val="18"/>
          <w:lang w:val="es-ES_tradnl"/>
        </w:rPr>
        <w:t>rminos generales, la instituci</w:t>
      </w:r>
      <w:r>
        <w:rPr>
          <w:rFonts w:cs="Times New Roman"/>
          <w:spacing w:val="-5"/>
          <w:sz w:val="18"/>
          <w:szCs w:val="18"/>
          <w:lang w:val="es-ES_tradnl"/>
        </w:rPr>
        <w:t>ó</w:t>
      </w:r>
      <w:r>
        <w:rPr>
          <w:spacing w:val="-5"/>
          <w:sz w:val="18"/>
          <w:szCs w:val="18"/>
          <w:lang w:val="es-ES_tradnl"/>
        </w:rPr>
        <w:t>n de la extradici</w:t>
      </w:r>
      <w:r>
        <w:rPr>
          <w:rFonts w:cs="Times New Roman"/>
          <w:spacing w:val="-5"/>
          <w:sz w:val="18"/>
          <w:szCs w:val="18"/>
          <w:lang w:val="es-ES_tradnl"/>
        </w:rPr>
        <w:t>ó</w:t>
      </w:r>
      <w:r>
        <w:rPr>
          <w:spacing w:val="-5"/>
          <w:sz w:val="18"/>
          <w:szCs w:val="18"/>
          <w:lang w:val="es-ES_tradnl"/>
        </w:rPr>
        <w:t xml:space="preserve">n </w:t>
      </w:r>
      <w:r>
        <w:rPr>
          <w:sz w:val="18"/>
          <w:szCs w:val="18"/>
          <w:lang w:val="es-ES_tradnl"/>
        </w:rPr>
        <w:t xml:space="preserve">encuentra su objetivo en el </w:t>
      </w:r>
      <w:r>
        <w:rPr>
          <w:rFonts w:cs="Times New Roman"/>
          <w:sz w:val="18"/>
          <w:szCs w:val="18"/>
          <w:lang w:val="es-ES_tradnl"/>
        </w:rPr>
        <w:t>“</w:t>
      </w:r>
      <w:r>
        <w:rPr>
          <w:sz w:val="18"/>
          <w:szCs w:val="18"/>
          <w:lang w:val="es-ES_tradnl"/>
        </w:rPr>
        <w:t>inter</w:t>
      </w:r>
      <w:r>
        <w:rPr>
          <w:rFonts w:cs="Times New Roman"/>
          <w:sz w:val="18"/>
          <w:szCs w:val="18"/>
          <w:lang w:val="es-ES_tradnl"/>
        </w:rPr>
        <w:t>é</w:t>
      </w:r>
      <w:r>
        <w:rPr>
          <w:sz w:val="18"/>
          <w:szCs w:val="18"/>
          <w:lang w:val="es-ES_tradnl"/>
        </w:rPr>
        <w:t xml:space="preserve">s de la comunidad </w:t>
      </w:r>
      <w:r>
        <w:rPr>
          <w:spacing w:val="-9"/>
          <w:sz w:val="18"/>
          <w:szCs w:val="18"/>
          <w:lang w:val="es-ES_tradnl"/>
        </w:rPr>
        <w:t xml:space="preserve">de naciones que las personas que han sido imputadas de </w:t>
      </w:r>
      <w:r>
        <w:rPr>
          <w:spacing w:val="-10"/>
          <w:sz w:val="18"/>
          <w:szCs w:val="18"/>
          <w:lang w:val="es-ES_tradnl"/>
        </w:rPr>
        <w:t>determinados delitos pueden ser llevadas ante la justicia</w:t>
      </w:r>
      <w:r>
        <w:rPr>
          <w:spacing w:val="-10"/>
          <w:sz w:val="18"/>
          <w:szCs w:val="18"/>
          <w:vertAlign w:val="superscript"/>
          <w:lang w:val="es-ES_tradnl"/>
        </w:rPr>
        <w:t>10</w:t>
      </w:r>
      <w:r>
        <w:rPr>
          <w:rFonts w:cs="Times New Roman"/>
          <w:spacing w:val="-10"/>
          <w:sz w:val="18"/>
          <w:szCs w:val="18"/>
          <w:lang w:val="es-ES_tradnl"/>
        </w:rPr>
        <w:t>”</w:t>
      </w:r>
      <w:r>
        <w:rPr>
          <w:spacing w:val="-10"/>
          <w:sz w:val="18"/>
          <w:szCs w:val="18"/>
          <w:lang w:val="es-ES_tradnl"/>
        </w:rPr>
        <w:t xml:space="preserve">. </w:t>
      </w:r>
      <w:r>
        <w:rPr>
          <w:spacing w:val="-8"/>
          <w:sz w:val="18"/>
          <w:szCs w:val="18"/>
          <w:lang w:val="es-ES_tradnl"/>
        </w:rPr>
        <w:t>As</w:t>
      </w:r>
      <w:r>
        <w:rPr>
          <w:rFonts w:cs="Times New Roman"/>
          <w:spacing w:val="-8"/>
          <w:sz w:val="18"/>
          <w:szCs w:val="18"/>
          <w:lang w:val="es-ES_tradnl"/>
        </w:rPr>
        <w:t>í</w:t>
      </w:r>
      <w:r>
        <w:rPr>
          <w:spacing w:val="-8"/>
          <w:sz w:val="18"/>
          <w:szCs w:val="18"/>
          <w:lang w:val="es-ES_tradnl"/>
        </w:rPr>
        <w:t>, corresponde al Estado asegurar que el proceso de extradici</w:t>
      </w:r>
      <w:r>
        <w:rPr>
          <w:rFonts w:cs="Times New Roman"/>
          <w:spacing w:val="-8"/>
          <w:sz w:val="18"/>
          <w:szCs w:val="18"/>
          <w:lang w:val="es-ES_tradnl"/>
        </w:rPr>
        <w:t>ó</w:t>
      </w:r>
      <w:r>
        <w:rPr>
          <w:spacing w:val="-8"/>
          <w:sz w:val="18"/>
          <w:szCs w:val="18"/>
          <w:lang w:val="es-ES_tradnl"/>
        </w:rPr>
        <w:t xml:space="preserve">n observe el debido proceso; sin embargo, si bien debe observar otros derechos, esto </w:t>
      </w:r>
      <w:r>
        <w:rPr>
          <w:rFonts w:cs="Times New Roman"/>
          <w:spacing w:val="-8"/>
          <w:sz w:val="18"/>
          <w:szCs w:val="18"/>
          <w:lang w:val="es-ES_tradnl"/>
        </w:rPr>
        <w:t>“</w:t>
      </w:r>
      <w:r>
        <w:rPr>
          <w:spacing w:val="-8"/>
          <w:sz w:val="18"/>
          <w:szCs w:val="18"/>
          <w:lang w:val="es-ES_tradnl"/>
        </w:rPr>
        <w:t xml:space="preserve">no puede ser utilizada </w:t>
      </w:r>
      <w:r>
        <w:rPr>
          <w:sz w:val="18"/>
          <w:szCs w:val="18"/>
          <w:lang w:val="es-ES_tradnl"/>
        </w:rPr>
        <w:t>como una v</w:t>
      </w:r>
      <w:r>
        <w:rPr>
          <w:rFonts w:cs="Times New Roman"/>
          <w:sz w:val="18"/>
          <w:szCs w:val="18"/>
          <w:lang w:val="es-ES_tradnl"/>
        </w:rPr>
        <w:t>í</w:t>
      </w:r>
      <w:r>
        <w:rPr>
          <w:sz w:val="18"/>
          <w:szCs w:val="18"/>
          <w:lang w:val="es-ES_tradnl"/>
        </w:rPr>
        <w:t>a para la impunidad</w:t>
      </w:r>
      <w:r>
        <w:rPr>
          <w:sz w:val="18"/>
          <w:szCs w:val="18"/>
          <w:vertAlign w:val="superscript"/>
          <w:lang w:val="es-ES_tradnl"/>
        </w:rPr>
        <w:t>11</w:t>
      </w:r>
      <w:r>
        <w:rPr>
          <w:rFonts w:cs="Times New Roman"/>
          <w:sz w:val="18"/>
          <w:szCs w:val="18"/>
          <w:lang w:val="es-ES_tradnl"/>
        </w:rPr>
        <w:t>”</w:t>
      </w:r>
      <w:r>
        <w:rPr>
          <w:sz w:val="18"/>
          <w:szCs w:val="18"/>
          <w:lang w:val="es-ES_tradnl"/>
        </w:rPr>
        <w:t>.</w:t>
      </w:r>
    </w:p>
    <w:p w14:paraId="4F67AF87" w14:textId="77777777" w:rsidR="00591D54" w:rsidRDefault="00591D54">
      <w:pPr>
        <w:shd w:val="clear" w:color="auto" w:fill="FFFFFF"/>
        <w:spacing w:before="178" w:line="197" w:lineRule="exact"/>
        <w:ind w:right="5"/>
        <w:jc w:val="both"/>
      </w:pPr>
      <w:r>
        <w:rPr>
          <w:spacing w:val="-5"/>
          <w:sz w:val="18"/>
          <w:szCs w:val="18"/>
          <w:lang w:val="es-ES_tradnl"/>
        </w:rPr>
        <w:t>Por tratarse de un proceso de extradici</w:t>
      </w:r>
      <w:r>
        <w:rPr>
          <w:rFonts w:cs="Times New Roman"/>
          <w:spacing w:val="-5"/>
          <w:sz w:val="18"/>
          <w:szCs w:val="18"/>
          <w:lang w:val="es-ES_tradnl"/>
        </w:rPr>
        <w:t>ó</w:t>
      </w:r>
      <w:r>
        <w:rPr>
          <w:spacing w:val="-5"/>
          <w:sz w:val="18"/>
          <w:szCs w:val="18"/>
          <w:lang w:val="es-ES_tradnl"/>
        </w:rPr>
        <w:t>n</w:t>
      </w:r>
      <w:r>
        <w:rPr>
          <w:spacing w:val="-5"/>
          <w:sz w:val="18"/>
          <w:szCs w:val="18"/>
          <w:vertAlign w:val="superscript"/>
          <w:lang w:val="es-ES_tradnl"/>
        </w:rPr>
        <w:t>12</w:t>
      </w:r>
      <w:r>
        <w:rPr>
          <w:spacing w:val="-5"/>
          <w:sz w:val="18"/>
          <w:szCs w:val="18"/>
          <w:lang w:val="es-ES_tradnl"/>
        </w:rPr>
        <w:t xml:space="preserve">, de acuerdo </w:t>
      </w:r>
      <w:r>
        <w:rPr>
          <w:sz w:val="18"/>
          <w:szCs w:val="18"/>
          <w:lang w:val="es-ES_tradnl"/>
        </w:rPr>
        <w:t xml:space="preserve">al procedimiento establecido en la normativa vigente </w:t>
      </w:r>
      <w:r>
        <w:rPr>
          <w:spacing w:val="-1"/>
          <w:sz w:val="18"/>
          <w:szCs w:val="18"/>
          <w:lang w:val="es-ES_tradnl"/>
        </w:rPr>
        <w:t>al momento de presentarse una acci</w:t>
      </w:r>
      <w:r>
        <w:rPr>
          <w:rFonts w:cs="Times New Roman"/>
          <w:spacing w:val="-1"/>
          <w:sz w:val="18"/>
          <w:szCs w:val="18"/>
          <w:lang w:val="es-ES_tradnl"/>
        </w:rPr>
        <w:t>ó</w:t>
      </w:r>
      <w:r>
        <w:rPr>
          <w:spacing w:val="-1"/>
          <w:sz w:val="18"/>
          <w:szCs w:val="18"/>
          <w:lang w:val="es-ES_tradnl"/>
        </w:rPr>
        <w:t xml:space="preserve">n constitucional </w:t>
      </w:r>
      <w:r>
        <w:rPr>
          <w:spacing w:val="-5"/>
          <w:sz w:val="18"/>
          <w:szCs w:val="18"/>
          <w:lang w:val="es-ES_tradnl"/>
        </w:rPr>
        <w:t>de h</w:t>
      </w:r>
      <w:r>
        <w:rPr>
          <w:rFonts w:cs="Times New Roman"/>
          <w:spacing w:val="-5"/>
          <w:sz w:val="18"/>
          <w:szCs w:val="18"/>
          <w:lang w:val="es-ES_tradnl"/>
        </w:rPr>
        <w:t>á</w:t>
      </w:r>
      <w:r>
        <w:rPr>
          <w:spacing w:val="-5"/>
          <w:sz w:val="18"/>
          <w:szCs w:val="18"/>
          <w:lang w:val="es-ES_tradnl"/>
        </w:rPr>
        <w:t>beas corpus, esta acci</w:t>
      </w:r>
      <w:r>
        <w:rPr>
          <w:rFonts w:cs="Times New Roman"/>
          <w:spacing w:val="-5"/>
          <w:sz w:val="18"/>
          <w:szCs w:val="18"/>
          <w:lang w:val="es-ES_tradnl"/>
        </w:rPr>
        <w:t>ó</w:t>
      </w:r>
      <w:r>
        <w:rPr>
          <w:spacing w:val="-5"/>
          <w:sz w:val="18"/>
          <w:szCs w:val="18"/>
          <w:lang w:val="es-ES_tradnl"/>
        </w:rPr>
        <w:t>n deber</w:t>
      </w:r>
      <w:r>
        <w:rPr>
          <w:rFonts w:cs="Times New Roman"/>
          <w:spacing w:val="-5"/>
          <w:sz w:val="18"/>
          <w:szCs w:val="18"/>
          <w:lang w:val="es-ES_tradnl"/>
        </w:rPr>
        <w:t>í</w:t>
      </w:r>
      <w:r>
        <w:rPr>
          <w:spacing w:val="-5"/>
          <w:sz w:val="18"/>
          <w:szCs w:val="18"/>
          <w:lang w:val="es-ES_tradnl"/>
        </w:rPr>
        <w:t xml:space="preserve">a ser conocida por </w:t>
      </w:r>
      <w:r>
        <w:rPr>
          <w:spacing w:val="-8"/>
          <w:sz w:val="18"/>
          <w:szCs w:val="18"/>
          <w:lang w:val="es-ES_tradnl"/>
        </w:rPr>
        <w:t xml:space="preserve">los jueces de instancia del lugar en donde se encuentre </w:t>
      </w:r>
      <w:r>
        <w:rPr>
          <w:spacing w:val="-7"/>
          <w:sz w:val="18"/>
          <w:szCs w:val="18"/>
          <w:lang w:val="es-ES_tradnl"/>
        </w:rPr>
        <w:t>privado de su libertad el accionante</w:t>
      </w:r>
      <w:r>
        <w:rPr>
          <w:spacing w:val="-7"/>
          <w:sz w:val="18"/>
          <w:szCs w:val="18"/>
          <w:vertAlign w:val="superscript"/>
          <w:lang w:val="es-ES_tradnl"/>
        </w:rPr>
        <w:t>13</w:t>
      </w:r>
      <w:r>
        <w:rPr>
          <w:spacing w:val="-7"/>
          <w:sz w:val="18"/>
          <w:szCs w:val="18"/>
          <w:lang w:val="es-ES_tradnl"/>
        </w:rPr>
        <w:t>, y en apelaci</w:t>
      </w:r>
      <w:r>
        <w:rPr>
          <w:rFonts w:cs="Times New Roman"/>
          <w:spacing w:val="-7"/>
          <w:sz w:val="18"/>
          <w:szCs w:val="18"/>
          <w:lang w:val="es-ES_tradnl"/>
        </w:rPr>
        <w:t>ó</w:t>
      </w:r>
      <w:r>
        <w:rPr>
          <w:spacing w:val="-7"/>
          <w:sz w:val="18"/>
          <w:szCs w:val="18"/>
          <w:lang w:val="es-ES_tradnl"/>
        </w:rPr>
        <w:t>n a la</w:t>
      </w:r>
    </w:p>
    <w:p w14:paraId="4F67AF88" w14:textId="77777777" w:rsidR="00591D54" w:rsidRDefault="00591D54">
      <w:pPr>
        <w:shd w:val="clear" w:color="auto" w:fill="FFFFFF"/>
        <w:tabs>
          <w:tab w:val="left" w:pos="139"/>
        </w:tabs>
        <w:spacing w:before="398" w:line="178" w:lineRule="exact"/>
        <w:ind w:left="139" w:right="5" w:hanging="139"/>
        <w:jc w:val="both"/>
      </w:pPr>
      <w:r>
        <w:rPr>
          <w:spacing w:val="-5"/>
          <w:sz w:val="8"/>
          <w:szCs w:val="8"/>
          <w:vertAlign w:val="superscript"/>
          <w:lang w:val="es-ES_tradnl"/>
        </w:rPr>
        <w:t>10</w:t>
      </w:r>
      <w:r>
        <w:rPr>
          <w:sz w:val="18"/>
          <w:szCs w:val="18"/>
          <w:lang w:val="es-ES_tradnl"/>
        </w:rPr>
        <w:tab/>
      </w:r>
      <w:r>
        <w:rPr>
          <w:sz w:val="14"/>
          <w:szCs w:val="14"/>
          <w:lang w:val="es-ES_tradnl"/>
        </w:rPr>
        <w:t>Resoluci</w:t>
      </w:r>
      <w:r>
        <w:rPr>
          <w:rFonts w:cs="Times New Roman"/>
          <w:sz w:val="14"/>
          <w:szCs w:val="14"/>
          <w:lang w:val="es-ES_tradnl"/>
        </w:rPr>
        <w:t>ó</w:t>
      </w:r>
      <w:r>
        <w:rPr>
          <w:sz w:val="14"/>
          <w:szCs w:val="14"/>
          <w:lang w:val="es-ES_tradnl"/>
        </w:rPr>
        <w:t>n</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la</w:t>
      </w:r>
      <w:r>
        <w:rPr>
          <w:sz w:val="18"/>
          <w:szCs w:val="18"/>
          <w:lang w:val="es-ES_tradnl"/>
        </w:rPr>
        <w:t xml:space="preserve"> </w:t>
      </w:r>
      <w:r>
        <w:rPr>
          <w:sz w:val="14"/>
          <w:szCs w:val="14"/>
          <w:lang w:val="es-ES_tradnl"/>
        </w:rPr>
        <w:t>Corte</w:t>
      </w:r>
      <w:r>
        <w:rPr>
          <w:sz w:val="18"/>
          <w:szCs w:val="18"/>
          <w:lang w:val="es-ES_tradnl"/>
        </w:rPr>
        <w:t xml:space="preserve"> </w:t>
      </w:r>
      <w:r>
        <w:rPr>
          <w:sz w:val="14"/>
          <w:szCs w:val="14"/>
          <w:lang w:val="es-ES_tradnl"/>
        </w:rPr>
        <w:t>Interamericana</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Derechos</w:t>
      </w:r>
      <w:r>
        <w:rPr>
          <w:sz w:val="18"/>
          <w:szCs w:val="18"/>
          <w:lang w:val="es-ES_tradnl"/>
        </w:rPr>
        <w:t xml:space="preserve"> </w:t>
      </w:r>
      <w:r>
        <w:rPr>
          <w:sz w:val="14"/>
          <w:szCs w:val="14"/>
          <w:lang w:val="es-ES_tradnl"/>
        </w:rPr>
        <w:t>Humanos, medidas provisionales, asunto Wong Ho Wing, 13 de febrero de 2013, par. 18.</w:t>
      </w:r>
    </w:p>
    <w:p w14:paraId="4F67AF89" w14:textId="77777777" w:rsidR="00591D54" w:rsidRDefault="00591D54">
      <w:pPr>
        <w:shd w:val="clear" w:color="auto" w:fill="FFFFFF"/>
        <w:tabs>
          <w:tab w:val="left" w:pos="139"/>
        </w:tabs>
        <w:spacing w:before="154"/>
      </w:pPr>
      <w:r>
        <w:rPr>
          <w:spacing w:val="-40"/>
          <w:sz w:val="14"/>
          <w:szCs w:val="14"/>
          <w:vertAlign w:val="superscript"/>
          <w:lang w:val="es-ES_tradnl"/>
        </w:rPr>
        <w:t>11</w:t>
      </w:r>
      <w:r>
        <w:rPr>
          <w:sz w:val="18"/>
          <w:szCs w:val="18"/>
          <w:lang w:val="es-ES_tradnl"/>
        </w:rPr>
        <w:tab/>
      </w:r>
      <w:r>
        <w:rPr>
          <w:rFonts w:cs="Times New Roman"/>
          <w:spacing w:val="-1"/>
          <w:sz w:val="14"/>
          <w:szCs w:val="14"/>
          <w:lang w:val="es-ES_tradnl"/>
        </w:rPr>
        <w:t>Í</w:t>
      </w:r>
      <w:r>
        <w:rPr>
          <w:spacing w:val="-1"/>
          <w:sz w:val="14"/>
          <w:szCs w:val="14"/>
          <w:lang w:val="es-ES_tradnl"/>
        </w:rPr>
        <w:t>dem</w:t>
      </w:r>
    </w:p>
    <w:p w14:paraId="4F67AF8A" w14:textId="77777777" w:rsidR="00591D54" w:rsidRDefault="00591D54">
      <w:pPr>
        <w:shd w:val="clear" w:color="auto" w:fill="FFFFFF"/>
        <w:tabs>
          <w:tab w:val="left" w:pos="139"/>
        </w:tabs>
        <w:spacing w:before="154" w:line="178" w:lineRule="exact"/>
        <w:ind w:left="139" w:hanging="139"/>
        <w:jc w:val="both"/>
      </w:pPr>
      <w:r>
        <w:rPr>
          <w:spacing w:val="-5"/>
          <w:sz w:val="8"/>
          <w:szCs w:val="8"/>
          <w:vertAlign w:val="superscript"/>
          <w:lang w:val="es-ES_tradnl"/>
        </w:rPr>
        <w:t>12</w:t>
      </w:r>
      <w:r>
        <w:rPr>
          <w:sz w:val="18"/>
          <w:szCs w:val="18"/>
          <w:lang w:val="es-ES_tradnl"/>
        </w:rPr>
        <w:tab/>
      </w:r>
      <w:r>
        <w:rPr>
          <w:sz w:val="14"/>
          <w:szCs w:val="14"/>
          <w:lang w:val="es-ES_tradnl"/>
        </w:rPr>
        <w:t>Art.</w:t>
      </w:r>
      <w:r>
        <w:rPr>
          <w:sz w:val="18"/>
          <w:szCs w:val="18"/>
          <w:lang w:val="es-ES_tradnl"/>
        </w:rPr>
        <w:t xml:space="preserve"> </w:t>
      </w:r>
      <w:r>
        <w:rPr>
          <w:sz w:val="14"/>
          <w:szCs w:val="14"/>
          <w:lang w:val="es-ES_tradnl"/>
        </w:rPr>
        <w:t>8.-</w:t>
      </w:r>
      <w:r>
        <w:rPr>
          <w:sz w:val="18"/>
          <w:szCs w:val="18"/>
          <w:lang w:val="es-ES_tradnl"/>
        </w:rPr>
        <w:t xml:space="preserve"> </w:t>
      </w:r>
      <w:r>
        <w:rPr>
          <w:sz w:val="14"/>
          <w:szCs w:val="14"/>
          <w:lang w:val="es-ES_tradnl"/>
        </w:rPr>
        <w:t>En</w:t>
      </w:r>
      <w:r>
        <w:rPr>
          <w:sz w:val="18"/>
          <w:szCs w:val="18"/>
          <w:lang w:val="es-ES_tradnl"/>
        </w:rPr>
        <w:t xml:space="preserve"> </w:t>
      </w:r>
      <w:r>
        <w:rPr>
          <w:sz w:val="14"/>
          <w:szCs w:val="14"/>
          <w:lang w:val="es-ES_tradnl"/>
        </w:rPr>
        <w:t>caso</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urgencia,</w:t>
      </w:r>
      <w:r>
        <w:rPr>
          <w:sz w:val="18"/>
          <w:szCs w:val="18"/>
          <w:lang w:val="es-ES_tradnl"/>
        </w:rPr>
        <w:t xml:space="preserve"> </w:t>
      </w:r>
      <w:r>
        <w:rPr>
          <w:sz w:val="14"/>
          <w:szCs w:val="14"/>
          <w:lang w:val="es-ES_tradnl"/>
        </w:rPr>
        <w:t>el</w:t>
      </w:r>
      <w:r>
        <w:rPr>
          <w:sz w:val="18"/>
          <w:szCs w:val="18"/>
          <w:lang w:val="es-ES_tradnl"/>
        </w:rPr>
        <w:t xml:space="preserve"> </w:t>
      </w:r>
      <w:r>
        <w:rPr>
          <w:sz w:val="14"/>
          <w:szCs w:val="14"/>
          <w:lang w:val="es-ES_tradnl"/>
        </w:rPr>
        <w:t>Presidente</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la</w:t>
      </w:r>
      <w:r>
        <w:rPr>
          <w:sz w:val="18"/>
          <w:szCs w:val="18"/>
          <w:lang w:val="es-ES_tradnl"/>
        </w:rPr>
        <w:t xml:space="preserve"> </w:t>
      </w:r>
      <w:r>
        <w:rPr>
          <w:sz w:val="14"/>
          <w:szCs w:val="14"/>
          <w:lang w:val="es-ES_tradnl"/>
        </w:rPr>
        <w:t>Corte</w:t>
      </w:r>
      <w:r>
        <w:rPr>
          <w:sz w:val="18"/>
          <w:szCs w:val="18"/>
          <w:lang w:val="es-ES_tradnl"/>
        </w:rPr>
        <w:t xml:space="preserve"> </w:t>
      </w:r>
      <w:r>
        <w:rPr>
          <w:sz w:val="14"/>
          <w:szCs w:val="14"/>
          <w:lang w:val="es-ES_tradnl"/>
        </w:rPr>
        <w:t>Suprema </w:t>
      </w:r>
      <w:r>
        <w:rPr>
          <w:spacing w:val="-1"/>
          <w:sz w:val="14"/>
          <w:szCs w:val="14"/>
          <w:lang w:val="es-ES_tradnl"/>
        </w:rPr>
        <w:t>de Justicia podr</w:t>
      </w:r>
      <w:r>
        <w:rPr>
          <w:rFonts w:cs="Times New Roman"/>
          <w:spacing w:val="-1"/>
          <w:sz w:val="14"/>
          <w:szCs w:val="14"/>
          <w:lang w:val="es-ES_tradnl"/>
        </w:rPr>
        <w:t>á</w:t>
      </w:r>
      <w:r>
        <w:rPr>
          <w:spacing w:val="-1"/>
          <w:sz w:val="14"/>
          <w:szCs w:val="14"/>
          <w:lang w:val="es-ES_tradnl"/>
        </w:rPr>
        <w:t xml:space="preserve"> ordenar la detenci</w:t>
      </w:r>
      <w:r>
        <w:rPr>
          <w:rFonts w:cs="Times New Roman"/>
          <w:spacing w:val="-1"/>
          <w:sz w:val="14"/>
          <w:szCs w:val="14"/>
          <w:lang w:val="es-ES_tradnl"/>
        </w:rPr>
        <w:t>ó</w:t>
      </w:r>
      <w:r>
        <w:rPr>
          <w:spacing w:val="-1"/>
          <w:sz w:val="14"/>
          <w:szCs w:val="14"/>
          <w:lang w:val="es-ES_tradnl"/>
        </w:rPr>
        <w:t>n del sujeto reclamado en </w:t>
      </w:r>
      <w:r>
        <w:rPr>
          <w:spacing w:val="-2"/>
          <w:sz w:val="14"/>
          <w:szCs w:val="14"/>
          <w:lang w:val="es-ES_tradnl"/>
        </w:rPr>
        <w:t>extradici</w:t>
      </w:r>
      <w:r>
        <w:rPr>
          <w:rFonts w:cs="Times New Roman"/>
          <w:spacing w:val="-2"/>
          <w:sz w:val="14"/>
          <w:szCs w:val="14"/>
          <w:lang w:val="es-ES_tradnl"/>
        </w:rPr>
        <w:t>ó</w:t>
      </w:r>
      <w:r>
        <w:rPr>
          <w:spacing w:val="-2"/>
          <w:sz w:val="14"/>
          <w:szCs w:val="14"/>
          <w:lang w:val="es-ES_tradnl"/>
        </w:rPr>
        <w:t>n, como medida preventiva, de oficio o a solicitud expresa </w:t>
      </w:r>
      <w:r>
        <w:rPr>
          <w:spacing w:val="-1"/>
          <w:sz w:val="14"/>
          <w:szCs w:val="14"/>
          <w:lang w:val="es-ES_tradnl"/>
        </w:rPr>
        <w:t>del Juez o Tribunal competente, funcionario diplom</w:t>
      </w:r>
      <w:r>
        <w:rPr>
          <w:rFonts w:cs="Times New Roman"/>
          <w:spacing w:val="-1"/>
          <w:sz w:val="14"/>
          <w:szCs w:val="14"/>
          <w:lang w:val="es-ES_tradnl"/>
        </w:rPr>
        <w:t>á</w:t>
      </w:r>
      <w:r>
        <w:rPr>
          <w:spacing w:val="-1"/>
          <w:sz w:val="14"/>
          <w:szCs w:val="14"/>
          <w:lang w:val="es-ES_tradnl"/>
        </w:rPr>
        <w:t>tico o consular </w:t>
      </w:r>
      <w:r>
        <w:rPr>
          <w:spacing w:val="-5"/>
          <w:sz w:val="14"/>
          <w:szCs w:val="14"/>
          <w:lang w:val="es-ES_tradnl"/>
        </w:rPr>
        <w:t>del Estado requirente, en la que deber</w:t>
      </w:r>
      <w:r>
        <w:rPr>
          <w:rFonts w:cs="Times New Roman"/>
          <w:spacing w:val="-5"/>
          <w:sz w:val="14"/>
          <w:szCs w:val="14"/>
          <w:lang w:val="es-ES_tradnl"/>
        </w:rPr>
        <w:t>á</w:t>
      </w:r>
      <w:r>
        <w:rPr>
          <w:spacing w:val="-5"/>
          <w:sz w:val="14"/>
          <w:szCs w:val="14"/>
          <w:lang w:val="es-ES_tradnl"/>
        </w:rPr>
        <w:t xml:space="preserve"> hacerse constar expresamente </w:t>
      </w:r>
      <w:r>
        <w:rPr>
          <w:spacing w:val="-3"/>
          <w:sz w:val="14"/>
          <w:szCs w:val="14"/>
          <w:lang w:val="es-ES_tradnl"/>
        </w:rPr>
        <w:t xml:space="preserve">que </w:t>
      </w:r>
      <w:r>
        <w:rPr>
          <w:rFonts w:cs="Times New Roman"/>
          <w:spacing w:val="-3"/>
          <w:sz w:val="14"/>
          <w:szCs w:val="14"/>
          <w:lang w:val="es-ES_tradnl"/>
        </w:rPr>
        <w:t>é</w:t>
      </w:r>
      <w:r>
        <w:rPr>
          <w:spacing w:val="-3"/>
          <w:sz w:val="14"/>
          <w:szCs w:val="14"/>
          <w:lang w:val="es-ES_tradnl"/>
        </w:rPr>
        <w:t>sta responde a una sentencia condenatoria o mandamiento de </w:t>
      </w:r>
      <w:r>
        <w:rPr>
          <w:spacing w:val="-2"/>
          <w:sz w:val="14"/>
          <w:szCs w:val="14"/>
          <w:lang w:val="es-ES_tradnl"/>
        </w:rPr>
        <w:t>detenci</w:t>
      </w:r>
      <w:r>
        <w:rPr>
          <w:rFonts w:cs="Times New Roman"/>
          <w:spacing w:val="-2"/>
          <w:sz w:val="14"/>
          <w:szCs w:val="14"/>
          <w:lang w:val="es-ES_tradnl"/>
        </w:rPr>
        <w:t>ó</w:t>
      </w:r>
      <w:r>
        <w:rPr>
          <w:spacing w:val="-2"/>
          <w:sz w:val="14"/>
          <w:szCs w:val="14"/>
          <w:lang w:val="es-ES_tradnl"/>
        </w:rPr>
        <w:t>n con expresi</w:t>
      </w:r>
      <w:r>
        <w:rPr>
          <w:rFonts w:cs="Times New Roman"/>
          <w:spacing w:val="-2"/>
          <w:sz w:val="14"/>
          <w:szCs w:val="14"/>
          <w:lang w:val="es-ES_tradnl"/>
        </w:rPr>
        <w:t>ó</w:t>
      </w:r>
      <w:r>
        <w:rPr>
          <w:spacing w:val="-2"/>
          <w:sz w:val="14"/>
          <w:szCs w:val="14"/>
          <w:lang w:val="es-ES_tradnl"/>
        </w:rPr>
        <w:t>n de la fecha y hechos que lo motiven, tiempo </w:t>
      </w:r>
      <w:r>
        <w:rPr>
          <w:spacing w:val="-3"/>
          <w:sz w:val="14"/>
          <w:szCs w:val="14"/>
          <w:lang w:val="es-ES_tradnl"/>
        </w:rPr>
        <w:t>y lugar de la comisi</w:t>
      </w:r>
      <w:r>
        <w:rPr>
          <w:rFonts w:cs="Times New Roman"/>
          <w:spacing w:val="-3"/>
          <w:sz w:val="14"/>
          <w:szCs w:val="14"/>
          <w:lang w:val="es-ES_tradnl"/>
        </w:rPr>
        <w:t>ó</w:t>
      </w:r>
      <w:r>
        <w:rPr>
          <w:spacing w:val="-3"/>
          <w:sz w:val="14"/>
          <w:szCs w:val="14"/>
          <w:lang w:val="es-ES_tradnl"/>
        </w:rPr>
        <w:t>n, datos y filiaci</w:t>
      </w:r>
      <w:r>
        <w:rPr>
          <w:rFonts w:cs="Times New Roman"/>
          <w:spacing w:val="-3"/>
          <w:sz w:val="14"/>
          <w:szCs w:val="14"/>
          <w:lang w:val="es-ES_tradnl"/>
        </w:rPr>
        <w:t>ó</w:t>
      </w:r>
      <w:r>
        <w:rPr>
          <w:spacing w:val="-3"/>
          <w:sz w:val="14"/>
          <w:szCs w:val="14"/>
          <w:lang w:val="es-ES_tradnl"/>
        </w:rPr>
        <w:t>n de la persona cuya detenci</w:t>
      </w:r>
      <w:r>
        <w:rPr>
          <w:rFonts w:cs="Times New Roman"/>
          <w:spacing w:val="-3"/>
          <w:sz w:val="14"/>
          <w:szCs w:val="14"/>
          <w:lang w:val="es-ES_tradnl"/>
        </w:rPr>
        <w:t>ó</w:t>
      </w:r>
      <w:r>
        <w:rPr>
          <w:spacing w:val="-3"/>
          <w:sz w:val="14"/>
          <w:szCs w:val="14"/>
          <w:lang w:val="es-ES_tradnl"/>
        </w:rPr>
        <w:t>n le interesa, con ofrecimiento de presentar seguidamente demanda de </w:t>
      </w:r>
      <w:r>
        <w:rPr>
          <w:sz w:val="14"/>
          <w:szCs w:val="14"/>
          <w:lang w:val="es-ES_tradnl"/>
        </w:rPr>
        <w:t>extradici</w:t>
      </w:r>
      <w:r>
        <w:rPr>
          <w:rFonts w:cs="Times New Roman"/>
          <w:sz w:val="14"/>
          <w:szCs w:val="14"/>
          <w:lang w:val="es-ES_tradnl"/>
        </w:rPr>
        <w:t>ó</w:t>
      </w:r>
      <w:r>
        <w:rPr>
          <w:sz w:val="14"/>
          <w:szCs w:val="14"/>
          <w:lang w:val="es-ES_tradnl"/>
        </w:rPr>
        <w:t>n.</w:t>
      </w:r>
    </w:p>
    <w:p w14:paraId="4F67AF8B" w14:textId="77777777" w:rsidR="00591D54" w:rsidRDefault="00591D54">
      <w:pPr>
        <w:shd w:val="clear" w:color="auto" w:fill="FFFFFF"/>
        <w:tabs>
          <w:tab w:val="left" w:pos="139"/>
        </w:tabs>
        <w:spacing w:before="154" w:line="178" w:lineRule="exact"/>
        <w:ind w:left="139" w:right="5" w:hanging="139"/>
        <w:jc w:val="both"/>
      </w:pPr>
      <w:r>
        <w:rPr>
          <w:spacing w:val="-5"/>
          <w:sz w:val="8"/>
          <w:szCs w:val="8"/>
          <w:vertAlign w:val="superscript"/>
          <w:lang w:val="es-ES_tradnl"/>
        </w:rPr>
        <w:t>13</w:t>
      </w:r>
      <w:r>
        <w:rPr>
          <w:sz w:val="18"/>
          <w:szCs w:val="18"/>
          <w:lang w:val="es-ES_tradnl"/>
        </w:rPr>
        <w:tab/>
      </w:r>
      <w:r>
        <w:rPr>
          <w:spacing w:val="-1"/>
          <w:sz w:val="14"/>
          <w:szCs w:val="14"/>
          <w:lang w:val="es-ES_tradnl"/>
        </w:rPr>
        <w:t>Art.</w:t>
      </w:r>
      <w:r>
        <w:rPr>
          <w:spacing w:val="-1"/>
          <w:sz w:val="18"/>
          <w:szCs w:val="18"/>
          <w:lang w:val="es-ES_tradnl"/>
        </w:rPr>
        <w:t xml:space="preserve"> </w:t>
      </w:r>
      <w:r>
        <w:rPr>
          <w:spacing w:val="-1"/>
          <w:sz w:val="14"/>
          <w:szCs w:val="14"/>
          <w:lang w:val="es-ES_tradnl"/>
        </w:rPr>
        <w:t>7.-</w:t>
      </w:r>
      <w:r>
        <w:rPr>
          <w:spacing w:val="-1"/>
          <w:sz w:val="18"/>
          <w:szCs w:val="18"/>
          <w:lang w:val="es-ES_tradnl"/>
        </w:rPr>
        <w:t xml:space="preserve"> </w:t>
      </w:r>
      <w:r>
        <w:rPr>
          <w:spacing w:val="-1"/>
          <w:sz w:val="14"/>
          <w:szCs w:val="14"/>
          <w:lang w:val="es-ES_tradnl"/>
        </w:rPr>
        <w:t>Competencia.-</w:t>
      </w:r>
      <w:r>
        <w:rPr>
          <w:spacing w:val="-1"/>
          <w:sz w:val="18"/>
          <w:szCs w:val="18"/>
          <w:lang w:val="es-ES_tradnl"/>
        </w:rPr>
        <w:t xml:space="preserve"> </w:t>
      </w:r>
      <w:r>
        <w:rPr>
          <w:spacing w:val="-1"/>
          <w:sz w:val="14"/>
          <w:szCs w:val="14"/>
          <w:lang w:val="es-ES_tradnl"/>
        </w:rPr>
        <w:t>Ser</w:t>
      </w:r>
      <w:r>
        <w:rPr>
          <w:rFonts w:cs="Times New Roman"/>
          <w:spacing w:val="-1"/>
          <w:sz w:val="14"/>
          <w:szCs w:val="14"/>
          <w:lang w:val="es-ES_tradnl"/>
        </w:rPr>
        <w:t>á</w:t>
      </w:r>
      <w:r>
        <w:rPr>
          <w:spacing w:val="-1"/>
          <w:sz w:val="18"/>
          <w:szCs w:val="18"/>
          <w:lang w:val="es-ES_tradnl"/>
        </w:rPr>
        <w:t xml:space="preserve"> </w:t>
      </w:r>
      <w:r>
        <w:rPr>
          <w:spacing w:val="-1"/>
          <w:sz w:val="14"/>
          <w:szCs w:val="14"/>
          <w:lang w:val="es-ES_tradnl"/>
        </w:rPr>
        <w:t>competente</w:t>
      </w:r>
      <w:r>
        <w:rPr>
          <w:spacing w:val="-1"/>
          <w:sz w:val="18"/>
          <w:szCs w:val="18"/>
          <w:lang w:val="es-ES_tradnl"/>
        </w:rPr>
        <w:t xml:space="preserve"> </w:t>
      </w:r>
      <w:r>
        <w:rPr>
          <w:spacing w:val="-1"/>
          <w:sz w:val="14"/>
          <w:szCs w:val="14"/>
          <w:lang w:val="es-ES_tradnl"/>
        </w:rPr>
        <w:t>cualquier</w:t>
      </w:r>
      <w:r>
        <w:rPr>
          <w:spacing w:val="-1"/>
          <w:sz w:val="18"/>
          <w:szCs w:val="18"/>
          <w:lang w:val="es-ES_tradnl"/>
        </w:rPr>
        <w:t xml:space="preserve"> </w:t>
      </w:r>
      <w:r>
        <w:rPr>
          <w:spacing w:val="-1"/>
          <w:sz w:val="14"/>
          <w:szCs w:val="14"/>
          <w:lang w:val="es-ES_tradnl"/>
        </w:rPr>
        <w:t>jueza</w:t>
      </w:r>
      <w:r>
        <w:rPr>
          <w:spacing w:val="-1"/>
          <w:sz w:val="18"/>
          <w:szCs w:val="18"/>
          <w:lang w:val="es-ES_tradnl"/>
        </w:rPr>
        <w:t xml:space="preserve"> </w:t>
      </w:r>
      <w:r>
        <w:rPr>
          <w:spacing w:val="-1"/>
          <w:sz w:val="14"/>
          <w:szCs w:val="14"/>
          <w:lang w:val="es-ES_tradnl"/>
        </w:rPr>
        <w:t>o</w:t>
      </w:r>
      <w:r>
        <w:rPr>
          <w:spacing w:val="-1"/>
          <w:sz w:val="18"/>
          <w:szCs w:val="18"/>
          <w:lang w:val="es-ES_tradnl"/>
        </w:rPr>
        <w:t xml:space="preserve"> </w:t>
      </w:r>
      <w:r>
        <w:rPr>
          <w:spacing w:val="-1"/>
          <w:sz w:val="14"/>
          <w:szCs w:val="14"/>
          <w:lang w:val="es-ES_tradnl"/>
        </w:rPr>
        <w:t>juez</w:t>
      </w:r>
      <w:r>
        <w:rPr>
          <w:spacing w:val="-1"/>
          <w:sz w:val="18"/>
          <w:szCs w:val="18"/>
          <w:lang w:val="es-ES_tradnl"/>
        </w:rPr>
        <w:t xml:space="preserve"> </w:t>
      </w:r>
      <w:r>
        <w:rPr>
          <w:spacing w:val="-1"/>
          <w:sz w:val="14"/>
          <w:szCs w:val="14"/>
          <w:lang w:val="es-ES_tradnl"/>
        </w:rPr>
        <w:t>de primera instancia del lugar en donde se origina el acto u omisi</w:t>
      </w:r>
      <w:r>
        <w:rPr>
          <w:rFonts w:cs="Times New Roman"/>
          <w:spacing w:val="-1"/>
          <w:sz w:val="14"/>
          <w:szCs w:val="14"/>
          <w:lang w:val="es-ES_tradnl"/>
        </w:rPr>
        <w:t>ó</w:t>
      </w:r>
      <w:r>
        <w:rPr>
          <w:spacing w:val="-1"/>
          <w:sz w:val="14"/>
          <w:szCs w:val="14"/>
          <w:lang w:val="es-ES_tradnl"/>
        </w:rPr>
        <w:t>n o </w:t>
      </w:r>
      <w:r>
        <w:rPr>
          <w:spacing w:val="-3"/>
          <w:sz w:val="14"/>
          <w:szCs w:val="14"/>
          <w:lang w:val="es-ES_tradnl"/>
        </w:rPr>
        <w:t>donde se producen sus efectos. Cuando en la misma circunscripci</w:t>
      </w:r>
      <w:r>
        <w:rPr>
          <w:rFonts w:cs="Times New Roman"/>
          <w:spacing w:val="-3"/>
          <w:sz w:val="14"/>
          <w:szCs w:val="14"/>
          <w:lang w:val="es-ES_tradnl"/>
        </w:rPr>
        <w:t>ó</w:t>
      </w:r>
      <w:r>
        <w:rPr>
          <w:spacing w:val="-3"/>
          <w:sz w:val="14"/>
          <w:szCs w:val="14"/>
          <w:lang w:val="es-ES_tradnl"/>
        </w:rPr>
        <w:t>n </w:t>
      </w:r>
      <w:r>
        <w:rPr>
          <w:sz w:val="14"/>
          <w:szCs w:val="14"/>
          <w:lang w:val="es-ES_tradnl"/>
        </w:rPr>
        <w:t>territorial hubiere varias juezas o jueces competentes, la demanda </w:t>
      </w:r>
      <w:r>
        <w:rPr>
          <w:spacing w:val="-3"/>
          <w:sz w:val="14"/>
          <w:szCs w:val="14"/>
          <w:lang w:val="es-ES_tradnl"/>
        </w:rPr>
        <w:t>se sortear</w:t>
      </w:r>
      <w:r>
        <w:rPr>
          <w:rFonts w:cs="Times New Roman"/>
          <w:spacing w:val="-3"/>
          <w:sz w:val="14"/>
          <w:szCs w:val="14"/>
          <w:lang w:val="es-ES_tradnl"/>
        </w:rPr>
        <w:t>á</w:t>
      </w:r>
      <w:r>
        <w:rPr>
          <w:spacing w:val="-3"/>
          <w:sz w:val="14"/>
          <w:szCs w:val="14"/>
          <w:lang w:val="es-ES_tradnl"/>
        </w:rPr>
        <w:t xml:space="preserve"> entre ellos. Estas acciones ser</w:t>
      </w:r>
      <w:r>
        <w:rPr>
          <w:rFonts w:cs="Times New Roman"/>
          <w:spacing w:val="-3"/>
          <w:sz w:val="14"/>
          <w:szCs w:val="14"/>
          <w:lang w:val="es-ES_tradnl"/>
        </w:rPr>
        <w:t>á</w:t>
      </w:r>
      <w:r>
        <w:rPr>
          <w:spacing w:val="-3"/>
          <w:sz w:val="14"/>
          <w:szCs w:val="14"/>
          <w:lang w:val="es-ES_tradnl"/>
        </w:rPr>
        <w:t>n sorteadas de modo </w:t>
      </w:r>
      <w:r>
        <w:rPr>
          <w:spacing w:val="-2"/>
          <w:sz w:val="14"/>
          <w:szCs w:val="14"/>
          <w:lang w:val="es-ES_tradnl"/>
        </w:rPr>
        <w:t>adecuado, preferente e inmediato. En caso de que se presente la demanda oralmente, se realizar</w:t>
      </w:r>
      <w:r>
        <w:rPr>
          <w:rFonts w:cs="Times New Roman"/>
          <w:spacing w:val="-2"/>
          <w:sz w:val="14"/>
          <w:szCs w:val="14"/>
          <w:lang w:val="es-ES_tradnl"/>
        </w:rPr>
        <w:t>á</w:t>
      </w:r>
      <w:r>
        <w:rPr>
          <w:spacing w:val="-2"/>
          <w:sz w:val="14"/>
          <w:szCs w:val="14"/>
          <w:lang w:val="es-ES_tradnl"/>
        </w:rPr>
        <w:t xml:space="preserve"> el sorteo s</w:t>
      </w:r>
      <w:r>
        <w:rPr>
          <w:rFonts w:cs="Times New Roman"/>
          <w:spacing w:val="-2"/>
          <w:sz w:val="14"/>
          <w:szCs w:val="14"/>
          <w:lang w:val="es-ES_tradnl"/>
        </w:rPr>
        <w:t>ó</w:t>
      </w:r>
      <w:r>
        <w:rPr>
          <w:spacing w:val="-2"/>
          <w:sz w:val="14"/>
          <w:szCs w:val="14"/>
          <w:lang w:val="es-ES_tradnl"/>
        </w:rPr>
        <w:t>lo con la identificaci</w:t>
      </w:r>
      <w:r>
        <w:rPr>
          <w:rFonts w:cs="Times New Roman"/>
          <w:spacing w:val="-2"/>
          <w:sz w:val="14"/>
          <w:szCs w:val="14"/>
          <w:lang w:val="es-ES_tradnl"/>
        </w:rPr>
        <w:t>ó</w:t>
      </w:r>
      <w:r>
        <w:rPr>
          <w:spacing w:val="-2"/>
          <w:sz w:val="14"/>
          <w:szCs w:val="14"/>
          <w:lang w:val="es-ES_tradnl"/>
        </w:rPr>
        <w:t>n personal. En las acciones de h</w:t>
      </w:r>
      <w:r>
        <w:rPr>
          <w:rFonts w:cs="Times New Roman"/>
          <w:spacing w:val="-2"/>
          <w:sz w:val="14"/>
          <w:szCs w:val="14"/>
          <w:lang w:val="es-ES_tradnl"/>
        </w:rPr>
        <w:t>á</w:t>
      </w:r>
      <w:r>
        <w:rPr>
          <w:spacing w:val="-2"/>
          <w:sz w:val="14"/>
          <w:szCs w:val="14"/>
          <w:lang w:val="es-ES_tradnl"/>
        </w:rPr>
        <w:t>beas data y acceso a la informaci</w:t>
      </w:r>
      <w:r>
        <w:rPr>
          <w:rFonts w:cs="Times New Roman"/>
          <w:spacing w:val="-2"/>
          <w:sz w:val="14"/>
          <w:szCs w:val="14"/>
          <w:lang w:val="es-ES_tradnl"/>
        </w:rPr>
        <w:t>ó</w:t>
      </w:r>
      <w:r>
        <w:rPr>
          <w:spacing w:val="-2"/>
          <w:sz w:val="14"/>
          <w:szCs w:val="14"/>
          <w:lang w:val="es-ES_tradnl"/>
        </w:rPr>
        <w:t>n </w:t>
      </w:r>
      <w:r>
        <w:rPr>
          <w:sz w:val="14"/>
          <w:szCs w:val="14"/>
          <w:lang w:val="es-ES_tradnl"/>
        </w:rPr>
        <w:t>p</w:t>
      </w:r>
      <w:r>
        <w:rPr>
          <w:rFonts w:cs="Times New Roman"/>
          <w:sz w:val="14"/>
          <w:szCs w:val="14"/>
          <w:lang w:val="es-ES_tradnl"/>
        </w:rPr>
        <w:t>ú</w:t>
      </w:r>
      <w:r>
        <w:rPr>
          <w:sz w:val="14"/>
          <w:szCs w:val="14"/>
          <w:lang w:val="es-ES_tradnl"/>
        </w:rPr>
        <w:t>blica, se estar</w:t>
      </w:r>
      <w:r>
        <w:rPr>
          <w:rFonts w:cs="Times New Roman"/>
          <w:sz w:val="14"/>
          <w:szCs w:val="14"/>
          <w:lang w:val="es-ES_tradnl"/>
        </w:rPr>
        <w:t>á</w:t>
      </w:r>
      <w:r>
        <w:rPr>
          <w:sz w:val="14"/>
          <w:szCs w:val="14"/>
          <w:lang w:val="es-ES_tradnl"/>
        </w:rPr>
        <w:t xml:space="preserve"> a lo dispuesto en esta ley.</w:t>
      </w:r>
    </w:p>
    <w:p w14:paraId="4F67AF8C" w14:textId="77777777" w:rsidR="00591D54" w:rsidRDefault="00591D54">
      <w:pPr>
        <w:shd w:val="clear" w:color="auto" w:fill="FFFFFF"/>
        <w:spacing w:line="178" w:lineRule="exact"/>
        <w:ind w:left="139" w:right="5"/>
        <w:jc w:val="both"/>
      </w:pPr>
      <w:r>
        <w:rPr>
          <w:spacing w:val="-2"/>
          <w:sz w:val="14"/>
          <w:szCs w:val="14"/>
          <w:lang w:val="es-ES_tradnl"/>
        </w:rPr>
        <w:t>Art. 44.- Tr</w:t>
      </w:r>
      <w:r>
        <w:rPr>
          <w:rFonts w:cs="Times New Roman"/>
          <w:spacing w:val="-2"/>
          <w:sz w:val="14"/>
          <w:szCs w:val="14"/>
          <w:lang w:val="es-ES_tradnl"/>
        </w:rPr>
        <w:t>á</w:t>
      </w:r>
      <w:r>
        <w:rPr>
          <w:spacing w:val="-2"/>
          <w:sz w:val="14"/>
          <w:szCs w:val="14"/>
          <w:lang w:val="es-ES_tradnl"/>
        </w:rPr>
        <w:t>mite.- La acci</w:t>
      </w:r>
      <w:r>
        <w:rPr>
          <w:rFonts w:cs="Times New Roman"/>
          <w:spacing w:val="-2"/>
          <w:sz w:val="14"/>
          <w:szCs w:val="14"/>
          <w:lang w:val="es-ES_tradnl"/>
        </w:rPr>
        <w:t>ó</w:t>
      </w:r>
      <w:r>
        <w:rPr>
          <w:spacing w:val="-2"/>
          <w:sz w:val="14"/>
          <w:szCs w:val="14"/>
          <w:lang w:val="es-ES_tradnl"/>
        </w:rPr>
        <w:t>n de h</w:t>
      </w:r>
      <w:r>
        <w:rPr>
          <w:rFonts w:cs="Times New Roman"/>
          <w:spacing w:val="-2"/>
          <w:sz w:val="14"/>
          <w:szCs w:val="14"/>
          <w:lang w:val="es-ES_tradnl"/>
        </w:rPr>
        <w:t>á</w:t>
      </w:r>
      <w:r>
        <w:rPr>
          <w:spacing w:val="-2"/>
          <w:sz w:val="14"/>
          <w:szCs w:val="14"/>
          <w:lang w:val="es-ES_tradnl"/>
        </w:rPr>
        <w:t xml:space="preserve">beas corpus, en lo que no fueren </w:t>
      </w:r>
      <w:r>
        <w:rPr>
          <w:spacing w:val="-1"/>
          <w:sz w:val="14"/>
          <w:szCs w:val="14"/>
          <w:lang w:val="es-ES_tradnl"/>
        </w:rPr>
        <w:t>aplicables las normas generales seguir</w:t>
      </w:r>
      <w:r>
        <w:rPr>
          <w:rFonts w:cs="Times New Roman"/>
          <w:spacing w:val="-1"/>
          <w:sz w:val="14"/>
          <w:szCs w:val="14"/>
          <w:lang w:val="es-ES_tradnl"/>
        </w:rPr>
        <w:t>á</w:t>
      </w:r>
      <w:r>
        <w:rPr>
          <w:spacing w:val="-1"/>
          <w:sz w:val="14"/>
          <w:szCs w:val="14"/>
          <w:lang w:val="es-ES_tradnl"/>
        </w:rPr>
        <w:t xml:space="preserve"> el siguiente tr</w:t>
      </w:r>
      <w:r>
        <w:rPr>
          <w:rFonts w:cs="Times New Roman"/>
          <w:spacing w:val="-1"/>
          <w:sz w:val="14"/>
          <w:szCs w:val="14"/>
          <w:lang w:val="es-ES_tradnl"/>
        </w:rPr>
        <w:t>á</w:t>
      </w:r>
      <w:r>
        <w:rPr>
          <w:spacing w:val="-1"/>
          <w:sz w:val="14"/>
          <w:szCs w:val="14"/>
          <w:lang w:val="es-ES_tradnl"/>
        </w:rPr>
        <w:t>mite: 1. La acci</w:t>
      </w:r>
      <w:r>
        <w:rPr>
          <w:rFonts w:cs="Times New Roman"/>
          <w:spacing w:val="-1"/>
          <w:sz w:val="14"/>
          <w:szCs w:val="14"/>
          <w:lang w:val="es-ES_tradnl"/>
        </w:rPr>
        <w:t>ó</w:t>
      </w:r>
      <w:r>
        <w:rPr>
          <w:spacing w:val="-1"/>
          <w:sz w:val="14"/>
          <w:szCs w:val="14"/>
          <w:lang w:val="es-ES_tradnl"/>
        </w:rPr>
        <w:t xml:space="preserve">n puede ser interpuesta ante cualquier jueza o juez del lugar </w:t>
      </w:r>
      <w:r>
        <w:rPr>
          <w:spacing w:val="-2"/>
          <w:sz w:val="14"/>
          <w:szCs w:val="14"/>
          <w:lang w:val="es-ES_tradnl"/>
        </w:rPr>
        <w:t>donde se presuma est</w:t>
      </w:r>
      <w:r>
        <w:rPr>
          <w:rFonts w:cs="Times New Roman"/>
          <w:spacing w:val="-2"/>
          <w:sz w:val="14"/>
          <w:szCs w:val="14"/>
          <w:lang w:val="es-ES_tradnl"/>
        </w:rPr>
        <w:t>á</w:t>
      </w:r>
      <w:r>
        <w:rPr>
          <w:spacing w:val="-2"/>
          <w:sz w:val="14"/>
          <w:szCs w:val="14"/>
          <w:lang w:val="es-ES_tradnl"/>
        </w:rPr>
        <w:t xml:space="preserve"> privada de libertad la persona. Cuando se desconozca el lugar de privaci</w:t>
      </w:r>
      <w:r>
        <w:rPr>
          <w:rFonts w:cs="Times New Roman"/>
          <w:spacing w:val="-2"/>
          <w:sz w:val="14"/>
          <w:szCs w:val="14"/>
          <w:lang w:val="es-ES_tradnl"/>
        </w:rPr>
        <w:t>ó</w:t>
      </w:r>
      <w:r>
        <w:rPr>
          <w:spacing w:val="-2"/>
          <w:sz w:val="14"/>
          <w:szCs w:val="14"/>
          <w:lang w:val="es-ES_tradnl"/>
        </w:rPr>
        <w:t>n de libertad, se podr</w:t>
      </w:r>
      <w:r>
        <w:rPr>
          <w:rFonts w:cs="Times New Roman"/>
          <w:spacing w:val="-2"/>
          <w:sz w:val="14"/>
          <w:szCs w:val="14"/>
          <w:lang w:val="es-ES_tradnl"/>
        </w:rPr>
        <w:t>á</w:t>
      </w:r>
      <w:r>
        <w:rPr>
          <w:spacing w:val="-2"/>
          <w:sz w:val="14"/>
          <w:szCs w:val="14"/>
          <w:lang w:val="es-ES_tradnl"/>
        </w:rPr>
        <w:t xml:space="preserve"> presentar la </w:t>
      </w:r>
      <w:r>
        <w:rPr>
          <w:spacing w:val="-1"/>
          <w:sz w:val="14"/>
          <w:szCs w:val="14"/>
          <w:lang w:val="es-ES_tradnl"/>
        </w:rPr>
        <w:t>acci</w:t>
      </w:r>
      <w:r>
        <w:rPr>
          <w:rFonts w:cs="Times New Roman"/>
          <w:spacing w:val="-1"/>
          <w:sz w:val="14"/>
          <w:szCs w:val="14"/>
          <w:lang w:val="es-ES_tradnl"/>
        </w:rPr>
        <w:t>ó</w:t>
      </w:r>
      <w:r>
        <w:rPr>
          <w:spacing w:val="-1"/>
          <w:sz w:val="14"/>
          <w:szCs w:val="14"/>
          <w:lang w:val="es-ES_tradnl"/>
        </w:rPr>
        <w:t xml:space="preserve">n ante la jueza o juez del domicilio del accionante. Cuando la </w:t>
      </w:r>
      <w:r>
        <w:rPr>
          <w:spacing w:val="-2"/>
          <w:sz w:val="14"/>
          <w:szCs w:val="14"/>
          <w:lang w:val="es-ES_tradnl"/>
        </w:rPr>
        <w:t>orden de privaci</w:t>
      </w:r>
      <w:r>
        <w:rPr>
          <w:rFonts w:cs="Times New Roman"/>
          <w:spacing w:val="-2"/>
          <w:sz w:val="14"/>
          <w:szCs w:val="14"/>
          <w:lang w:val="es-ES_tradnl"/>
        </w:rPr>
        <w:t>ó</w:t>
      </w:r>
      <w:r>
        <w:rPr>
          <w:spacing w:val="-2"/>
          <w:sz w:val="14"/>
          <w:szCs w:val="14"/>
          <w:lang w:val="es-ES_tradnl"/>
        </w:rPr>
        <w:t xml:space="preserve">n de la libertad haya sido dispuesta en un proceso </w:t>
      </w:r>
      <w:r>
        <w:rPr>
          <w:spacing w:val="-3"/>
          <w:sz w:val="14"/>
          <w:szCs w:val="14"/>
          <w:lang w:val="es-ES_tradnl"/>
        </w:rPr>
        <w:t>penal, la acci</w:t>
      </w:r>
      <w:r>
        <w:rPr>
          <w:rFonts w:cs="Times New Roman"/>
          <w:spacing w:val="-3"/>
          <w:sz w:val="14"/>
          <w:szCs w:val="14"/>
          <w:lang w:val="es-ES_tradnl"/>
        </w:rPr>
        <w:t>ó</w:t>
      </w:r>
      <w:r>
        <w:rPr>
          <w:spacing w:val="-3"/>
          <w:sz w:val="14"/>
          <w:szCs w:val="14"/>
          <w:lang w:val="es-ES_tradnl"/>
        </w:rPr>
        <w:t>n se interpondr</w:t>
      </w:r>
      <w:r>
        <w:rPr>
          <w:rFonts w:cs="Times New Roman"/>
          <w:spacing w:val="-3"/>
          <w:sz w:val="14"/>
          <w:szCs w:val="14"/>
          <w:lang w:val="es-ES_tradnl"/>
        </w:rPr>
        <w:t>á</w:t>
      </w:r>
      <w:r>
        <w:rPr>
          <w:spacing w:val="-3"/>
          <w:sz w:val="14"/>
          <w:szCs w:val="14"/>
          <w:lang w:val="es-ES_tradnl"/>
        </w:rPr>
        <w:t xml:space="preserve"> ante la Corte Provincial de Justicia; de </w:t>
      </w:r>
      <w:r>
        <w:rPr>
          <w:sz w:val="14"/>
          <w:szCs w:val="14"/>
          <w:lang w:val="es-ES_tradnl"/>
        </w:rPr>
        <w:t>haber m</w:t>
      </w:r>
      <w:r>
        <w:rPr>
          <w:rFonts w:cs="Times New Roman"/>
          <w:sz w:val="14"/>
          <w:szCs w:val="14"/>
          <w:lang w:val="es-ES_tradnl"/>
        </w:rPr>
        <w:t>á</w:t>
      </w:r>
      <w:r>
        <w:rPr>
          <w:sz w:val="14"/>
          <w:szCs w:val="14"/>
          <w:lang w:val="es-ES_tradnl"/>
        </w:rPr>
        <w:t>s de una sala, se sortear</w:t>
      </w:r>
      <w:r>
        <w:rPr>
          <w:rFonts w:cs="Times New Roman"/>
          <w:sz w:val="14"/>
          <w:szCs w:val="14"/>
          <w:lang w:val="es-ES_tradnl"/>
        </w:rPr>
        <w:t>á</w:t>
      </w:r>
      <w:r>
        <w:rPr>
          <w:sz w:val="14"/>
          <w:szCs w:val="14"/>
          <w:lang w:val="es-ES_tradnl"/>
        </w:rPr>
        <w:t xml:space="preserve"> entre ellas.</w:t>
      </w:r>
    </w:p>
    <w:p w14:paraId="4F67AF8D" w14:textId="77777777" w:rsidR="00591D54" w:rsidRDefault="00591D54">
      <w:pPr>
        <w:shd w:val="clear" w:color="auto" w:fill="FFFFFF"/>
        <w:spacing w:line="178" w:lineRule="exact"/>
        <w:ind w:left="139" w:right="5"/>
        <w:jc w:val="both"/>
      </w:pPr>
      <w:r>
        <w:rPr>
          <w:sz w:val="14"/>
          <w:szCs w:val="14"/>
          <w:lang w:val="es-ES_tradnl"/>
        </w:rPr>
        <w:t xml:space="preserve">Art. 167.- Juezas y jueces de primer nivel.- Compete a las juezas y jueces de primer nivel conocer y resolver, en primera instancia, </w:t>
      </w:r>
      <w:r>
        <w:rPr>
          <w:spacing w:val="-3"/>
          <w:sz w:val="14"/>
          <w:szCs w:val="14"/>
          <w:lang w:val="es-ES_tradnl"/>
        </w:rPr>
        <w:t>la acci</w:t>
      </w:r>
      <w:r>
        <w:rPr>
          <w:rFonts w:cs="Times New Roman"/>
          <w:spacing w:val="-3"/>
          <w:sz w:val="14"/>
          <w:szCs w:val="14"/>
          <w:lang w:val="es-ES_tradnl"/>
        </w:rPr>
        <w:t>ó</w:t>
      </w:r>
      <w:r>
        <w:rPr>
          <w:spacing w:val="-3"/>
          <w:sz w:val="14"/>
          <w:szCs w:val="14"/>
          <w:lang w:val="es-ES_tradnl"/>
        </w:rPr>
        <w:t>n de protecci</w:t>
      </w:r>
      <w:r>
        <w:rPr>
          <w:rFonts w:cs="Times New Roman"/>
          <w:spacing w:val="-3"/>
          <w:sz w:val="14"/>
          <w:szCs w:val="14"/>
          <w:lang w:val="es-ES_tradnl"/>
        </w:rPr>
        <w:t>ó</w:t>
      </w:r>
      <w:r>
        <w:rPr>
          <w:spacing w:val="-3"/>
          <w:sz w:val="14"/>
          <w:szCs w:val="14"/>
          <w:lang w:val="es-ES_tradnl"/>
        </w:rPr>
        <w:t>n, h</w:t>
      </w:r>
      <w:r>
        <w:rPr>
          <w:rFonts w:cs="Times New Roman"/>
          <w:spacing w:val="-3"/>
          <w:sz w:val="14"/>
          <w:szCs w:val="14"/>
          <w:lang w:val="es-ES_tradnl"/>
        </w:rPr>
        <w:t>á</w:t>
      </w:r>
      <w:r>
        <w:rPr>
          <w:spacing w:val="-3"/>
          <w:sz w:val="14"/>
          <w:szCs w:val="14"/>
          <w:lang w:val="es-ES_tradnl"/>
        </w:rPr>
        <w:t>beas corpus, h</w:t>
      </w:r>
      <w:r>
        <w:rPr>
          <w:rFonts w:cs="Times New Roman"/>
          <w:spacing w:val="-3"/>
          <w:sz w:val="14"/>
          <w:szCs w:val="14"/>
          <w:lang w:val="es-ES_tradnl"/>
        </w:rPr>
        <w:t>á</w:t>
      </w:r>
      <w:r>
        <w:rPr>
          <w:spacing w:val="-3"/>
          <w:sz w:val="14"/>
          <w:szCs w:val="14"/>
          <w:lang w:val="es-ES_tradnl"/>
        </w:rPr>
        <w:t xml:space="preserve">beas data, acceso a la </w:t>
      </w:r>
      <w:r>
        <w:rPr>
          <w:sz w:val="14"/>
          <w:szCs w:val="14"/>
          <w:lang w:val="es-ES_tradnl"/>
        </w:rPr>
        <w:t>informaci</w:t>
      </w:r>
      <w:r>
        <w:rPr>
          <w:rFonts w:cs="Times New Roman"/>
          <w:sz w:val="14"/>
          <w:szCs w:val="14"/>
          <w:lang w:val="es-ES_tradnl"/>
        </w:rPr>
        <w:t>ó</w:t>
      </w:r>
      <w:r>
        <w:rPr>
          <w:sz w:val="14"/>
          <w:szCs w:val="14"/>
          <w:lang w:val="es-ES_tradnl"/>
        </w:rPr>
        <w:t>n p</w:t>
      </w:r>
      <w:r>
        <w:rPr>
          <w:rFonts w:cs="Times New Roman"/>
          <w:sz w:val="14"/>
          <w:szCs w:val="14"/>
          <w:lang w:val="es-ES_tradnl"/>
        </w:rPr>
        <w:t>ú</w:t>
      </w:r>
      <w:r>
        <w:rPr>
          <w:sz w:val="14"/>
          <w:szCs w:val="14"/>
          <w:lang w:val="es-ES_tradnl"/>
        </w:rPr>
        <w:t>blica, petici</w:t>
      </w:r>
      <w:r>
        <w:rPr>
          <w:rFonts w:cs="Times New Roman"/>
          <w:sz w:val="14"/>
          <w:szCs w:val="14"/>
          <w:lang w:val="es-ES_tradnl"/>
        </w:rPr>
        <w:t>ó</w:t>
      </w:r>
      <w:r>
        <w:rPr>
          <w:sz w:val="14"/>
          <w:szCs w:val="14"/>
          <w:lang w:val="es-ES_tradnl"/>
        </w:rPr>
        <w:t xml:space="preserve">n de medidas cautelares; y ejercer </w:t>
      </w:r>
      <w:r>
        <w:rPr>
          <w:spacing w:val="-2"/>
          <w:sz w:val="14"/>
          <w:szCs w:val="14"/>
          <w:lang w:val="es-ES_tradnl"/>
        </w:rPr>
        <w:t>control concreto en los t</w:t>
      </w:r>
      <w:r>
        <w:rPr>
          <w:rFonts w:cs="Times New Roman"/>
          <w:spacing w:val="-2"/>
          <w:sz w:val="14"/>
          <w:szCs w:val="14"/>
          <w:lang w:val="es-ES_tradnl"/>
        </w:rPr>
        <w:t>é</w:t>
      </w:r>
      <w:r>
        <w:rPr>
          <w:spacing w:val="-2"/>
          <w:sz w:val="14"/>
          <w:szCs w:val="14"/>
          <w:lang w:val="es-ES_tradnl"/>
        </w:rPr>
        <w:t>rminos establecidos en esta ley.</w:t>
      </w:r>
    </w:p>
    <w:p w14:paraId="4F67AF8E" w14:textId="77777777" w:rsidR="00591D54" w:rsidRDefault="00591D54">
      <w:pPr>
        <w:shd w:val="clear" w:color="auto" w:fill="FFFFFF"/>
        <w:spacing w:line="240" w:lineRule="exact"/>
        <w:jc w:val="both"/>
      </w:pPr>
      <w:r>
        <w:br w:type="column"/>
      </w:r>
      <w:r>
        <w:rPr>
          <w:spacing w:val="-4"/>
          <w:sz w:val="18"/>
          <w:szCs w:val="18"/>
          <w:lang w:val="es-ES_tradnl"/>
        </w:rPr>
        <w:t>Corte Provincial de Justicia, lo cual no parece l</w:t>
      </w:r>
      <w:r>
        <w:rPr>
          <w:rFonts w:cs="Times New Roman"/>
          <w:spacing w:val="-4"/>
          <w:sz w:val="18"/>
          <w:szCs w:val="18"/>
          <w:lang w:val="es-ES_tradnl"/>
        </w:rPr>
        <w:t>ó</w:t>
      </w:r>
      <w:r>
        <w:rPr>
          <w:spacing w:val="-4"/>
          <w:sz w:val="18"/>
          <w:szCs w:val="18"/>
          <w:lang w:val="es-ES_tradnl"/>
        </w:rPr>
        <w:t>gico ni apropiado, pues deja de lado el principio de jerarqu</w:t>
      </w:r>
      <w:r>
        <w:rPr>
          <w:rFonts w:cs="Times New Roman"/>
          <w:spacing w:val="-4"/>
          <w:sz w:val="18"/>
          <w:szCs w:val="18"/>
          <w:lang w:val="es-ES_tradnl"/>
        </w:rPr>
        <w:t>í</w:t>
      </w:r>
      <w:r>
        <w:rPr>
          <w:spacing w:val="-4"/>
          <w:sz w:val="18"/>
          <w:szCs w:val="18"/>
          <w:lang w:val="es-ES_tradnl"/>
        </w:rPr>
        <w:t xml:space="preserve">a de </w:t>
      </w:r>
      <w:r>
        <w:rPr>
          <w:spacing w:val="-6"/>
          <w:sz w:val="18"/>
          <w:szCs w:val="18"/>
          <w:lang w:val="es-ES_tradnl"/>
        </w:rPr>
        <w:t>la administraci</w:t>
      </w:r>
      <w:r>
        <w:rPr>
          <w:rFonts w:cs="Times New Roman"/>
          <w:spacing w:val="-6"/>
          <w:sz w:val="18"/>
          <w:szCs w:val="18"/>
          <w:lang w:val="es-ES_tradnl"/>
        </w:rPr>
        <w:t>ó</w:t>
      </w:r>
      <w:r>
        <w:rPr>
          <w:spacing w:val="-6"/>
          <w:sz w:val="18"/>
          <w:szCs w:val="18"/>
          <w:lang w:val="es-ES_tradnl"/>
        </w:rPr>
        <w:t>n p</w:t>
      </w:r>
      <w:r>
        <w:rPr>
          <w:rFonts w:cs="Times New Roman"/>
          <w:spacing w:val="-6"/>
          <w:sz w:val="18"/>
          <w:szCs w:val="18"/>
          <w:lang w:val="es-ES_tradnl"/>
        </w:rPr>
        <w:t>ú</w:t>
      </w:r>
      <w:r>
        <w:rPr>
          <w:spacing w:val="-6"/>
          <w:sz w:val="18"/>
          <w:szCs w:val="18"/>
          <w:lang w:val="es-ES_tradnl"/>
        </w:rPr>
        <w:t>blica, al someter a revisi</w:t>
      </w:r>
      <w:r>
        <w:rPr>
          <w:rFonts w:cs="Times New Roman"/>
          <w:spacing w:val="-6"/>
          <w:sz w:val="18"/>
          <w:szCs w:val="18"/>
          <w:lang w:val="es-ES_tradnl"/>
        </w:rPr>
        <w:t>ó</w:t>
      </w:r>
      <w:r>
        <w:rPr>
          <w:spacing w:val="-6"/>
          <w:sz w:val="18"/>
          <w:szCs w:val="18"/>
          <w:lang w:val="es-ES_tradnl"/>
        </w:rPr>
        <w:t xml:space="preserve">n de un juez </w:t>
      </w:r>
      <w:r>
        <w:rPr>
          <w:spacing w:val="-7"/>
          <w:sz w:val="18"/>
          <w:szCs w:val="18"/>
          <w:lang w:val="es-ES_tradnl"/>
        </w:rPr>
        <w:t>de primera instancia la decisi</w:t>
      </w:r>
      <w:r>
        <w:rPr>
          <w:rFonts w:cs="Times New Roman"/>
          <w:spacing w:val="-7"/>
          <w:sz w:val="18"/>
          <w:szCs w:val="18"/>
          <w:lang w:val="es-ES_tradnl"/>
        </w:rPr>
        <w:t>ó</w:t>
      </w:r>
      <w:r>
        <w:rPr>
          <w:spacing w:val="-7"/>
          <w:sz w:val="18"/>
          <w:szCs w:val="18"/>
          <w:lang w:val="es-ES_tradnl"/>
        </w:rPr>
        <w:t xml:space="preserve">n tomada por una autoridad </w:t>
      </w:r>
      <w:r>
        <w:rPr>
          <w:spacing w:val="-9"/>
          <w:sz w:val="18"/>
          <w:szCs w:val="18"/>
          <w:lang w:val="es-ES_tradnl"/>
        </w:rPr>
        <w:t>jer</w:t>
      </w:r>
      <w:r>
        <w:rPr>
          <w:rFonts w:cs="Times New Roman"/>
          <w:spacing w:val="-9"/>
          <w:sz w:val="18"/>
          <w:szCs w:val="18"/>
          <w:lang w:val="es-ES_tradnl"/>
        </w:rPr>
        <w:t>á</w:t>
      </w:r>
      <w:r>
        <w:rPr>
          <w:spacing w:val="-9"/>
          <w:sz w:val="18"/>
          <w:szCs w:val="18"/>
          <w:lang w:val="es-ES_tradnl"/>
        </w:rPr>
        <w:t xml:space="preserve">rquicamente superior como es el presidente de la Corte </w:t>
      </w:r>
      <w:r>
        <w:rPr>
          <w:spacing w:val="-6"/>
          <w:sz w:val="18"/>
          <w:szCs w:val="18"/>
          <w:lang w:val="es-ES_tradnl"/>
        </w:rPr>
        <w:t xml:space="preserve">Nacional de Justicia, lo que rompe en estricto sentido con </w:t>
      </w:r>
      <w:r>
        <w:rPr>
          <w:spacing w:val="-8"/>
          <w:sz w:val="18"/>
          <w:szCs w:val="18"/>
          <w:lang w:val="es-ES_tradnl"/>
        </w:rPr>
        <w:t xml:space="preserve">el elemento de la prevalencia del </w:t>
      </w:r>
      <w:r>
        <w:rPr>
          <w:rFonts w:cs="Times New Roman"/>
          <w:spacing w:val="-8"/>
          <w:sz w:val="18"/>
          <w:szCs w:val="18"/>
          <w:lang w:val="es-ES_tradnl"/>
        </w:rPr>
        <w:t>ó</w:t>
      </w:r>
      <w:r>
        <w:rPr>
          <w:spacing w:val="-8"/>
          <w:sz w:val="18"/>
          <w:szCs w:val="18"/>
          <w:lang w:val="es-ES_tradnl"/>
        </w:rPr>
        <w:t xml:space="preserve">rgano superior sobre los </w:t>
      </w:r>
      <w:r>
        <w:rPr>
          <w:sz w:val="18"/>
          <w:szCs w:val="18"/>
          <w:lang w:val="es-ES_tradnl"/>
        </w:rPr>
        <w:t>inferiores.</w:t>
      </w:r>
    </w:p>
    <w:p w14:paraId="4F67AF8F" w14:textId="77777777" w:rsidR="00591D54" w:rsidRDefault="00591D54">
      <w:pPr>
        <w:shd w:val="clear" w:color="auto" w:fill="FFFFFF"/>
        <w:spacing w:before="254" w:line="240" w:lineRule="exact"/>
        <w:jc w:val="both"/>
      </w:pPr>
      <w:r>
        <w:rPr>
          <w:spacing w:val="-5"/>
          <w:sz w:val="18"/>
          <w:szCs w:val="18"/>
          <w:lang w:val="es-ES_tradnl"/>
        </w:rPr>
        <w:t>El art</w:t>
      </w:r>
      <w:r>
        <w:rPr>
          <w:rFonts w:cs="Times New Roman"/>
          <w:spacing w:val="-5"/>
          <w:sz w:val="18"/>
          <w:szCs w:val="18"/>
          <w:lang w:val="es-ES_tradnl"/>
        </w:rPr>
        <w:t>í</w:t>
      </w:r>
      <w:r>
        <w:rPr>
          <w:spacing w:val="-5"/>
          <w:sz w:val="18"/>
          <w:szCs w:val="18"/>
          <w:lang w:val="es-ES_tradnl"/>
        </w:rPr>
        <w:t>culo 227 de la Constituci</w:t>
      </w:r>
      <w:r>
        <w:rPr>
          <w:rFonts w:cs="Times New Roman"/>
          <w:spacing w:val="-5"/>
          <w:sz w:val="18"/>
          <w:szCs w:val="18"/>
          <w:lang w:val="es-ES_tradnl"/>
        </w:rPr>
        <w:t>ó</w:t>
      </w:r>
      <w:r>
        <w:rPr>
          <w:spacing w:val="-5"/>
          <w:sz w:val="18"/>
          <w:szCs w:val="18"/>
          <w:lang w:val="es-ES_tradnl"/>
        </w:rPr>
        <w:t>n del Ecuador</w:t>
      </w:r>
      <w:r>
        <w:rPr>
          <w:spacing w:val="-5"/>
          <w:sz w:val="18"/>
          <w:szCs w:val="18"/>
          <w:vertAlign w:val="superscript"/>
          <w:lang w:val="es-ES_tradnl"/>
        </w:rPr>
        <w:t>14</w:t>
      </w:r>
      <w:r>
        <w:rPr>
          <w:spacing w:val="-5"/>
          <w:sz w:val="18"/>
          <w:szCs w:val="18"/>
          <w:lang w:val="es-ES_tradnl"/>
        </w:rPr>
        <w:t xml:space="preserve"> define que la administraci</w:t>
      </w:r>
      <w:r>
        <w:rPr>
          <w:rFonts w:cs="Times New Roman"/>
          <w:spacing w:val="-5"/>
          <w:sz w:val="18"/>
          <w:szCs w:val="18"/>
          <w:lang w:val="es-ES_tradnl"/>
        </w:rPr>
        <w:t>ó</w:t>
      </w:r>
      <w:r>
        <w:rPr>
          <w:spacing w:val="-5"/>
          <w:sz w:val="18"/>
          <w:szCs w:val="18"/>
          <w:lang w:val="es-ES_tradnl"/>
        </w:rPr>
        <w:t>n p</w:t>
      </w:r>
      <w:r>
        <w:rPr>
          <w:rFonts w:cs="Times New Roman"/>
          <w:spacing w:val="-5"/>
          <w:sz w:val="18"/>
          <w:szCs w:val="18"/>
          <w:lang w:val="es-ES_tradnl"/>
        </w:rPr>
        <w:t>ú</w:t>
      </w:r>
      <w:r>
        <w:rPr>
          <w:spacing w:val="-5"/>
          <w:sz w:val="18"/>
          <w:szCs w:val="18"/>
          <w:lang w:val="es-ES_tradnl"/>
        </w:rPr>
        <w:t xml:space="preserve">blica constituye un servicio a la </w:t>
      </w:r>
      <w:r>
        <w:rPr>
          <w:spacing w:val="-1"/>
          <w:sz w:val="18"/>
          <w:szCs w:val="18"/>
          <w:lang w:val="es-ES_tradnl"/>
        </w:rPr>
        <w:t xml:space="preserve">colectividad y que esta se rige, entre otros principios, </w:t>
      </w:r>
      <w:r>
        <w:rPr>
          <w:spacing w:val="-7"/>
          <w:sz w:val="18"/>
          <w:szCs w:val="18"/>
          <w:lang w:val="es-ES_tradnl"/>
        </w:rPr>
        <w:t>por el de jerarqu</w:t>
      </w:r>
      <w:r>
        <w:rPr>
          <w:rFonts w:cs="Times New Roman"/>
          <w:spacing w:val="-7"/>
          <w:sz w:val="18"/>
          <w:szCs w:val="18"/>
          <w:lang w:val="es-ES_tradnl"/>
        </w:rPr>
        <w:t>í</w:t>
      </w:r>
      <w:r>
        <w:rPr>
          <w:spacing w:val="-7"/>
          <w:sz w:val="18"/>
          <w:szCs w:val="18"/>
          <w:lang w:val="es-ES_tradnl"/>
        </w:rPr>
        <w:t xml:space="preserve">a; es por este principio que se crea una </w:t>
      </w:r>
      <w:r>
        <w:rPr>
          <w:sz w:val="18"/>
          <w:szCs w:val="18"/>
          <w:lang w:val="es-ES_tradnl"/>
        </w:rPr>
        <w:t xml:space="preserve">estructura piramidal en los </w:t>
      </w:r>
      <w:r>
        <w:rPr>
          <w:rFonts w:cs="Times New Roman"/>
          <w:sz w:val="18"/>
          <w:szCs w:val="18"/>
          <w:lang w:val="es-ES_tradnl"/>
        </w:rPr>
        <w:t>ó</w:t>
      </w:r>
      <w:r>
        <w:rPr>
          <w:sz w:val="18"/>
          <w:szCs w:val="18"/>
          <w:lang w:val="es-ES_tradnl"/>
        </w:rPr>
        <w:t>rganos del poder p</w:t>
      </w:r>
      <w:r>
        <w:rPr>
          <w:rFonts w:cs="Times New Roman"/>
          <w:sz w:val="18"/>
          <w:szCs w:val="18"/>
          <w:lang w:val="es-ES_tradnl"/>
        </w:rPr>
        <w:t>ú</w:t>
      </w:r>
      <w:r>
        <w:rPr>
          <w:sz w:val="18"/>
          <w:szCs w:val="18"/>
          <w:lang w:val="es-ES_tradnl"/>
        </w:rPr>
        <w:t xml:space="preserve">blico, </w:t>
      </w:r>
      <w:r>
        <w:rPr>
          <w:spacing w:val="-4"/>
          <w:sz w:val="18"/>
          <w:szCs w:val="18"/>
          <w:lang w:val="es-ES_tradnl"/>
        </w:rPr>
        <w:t>y en su c</w:t>
      </w:r>
      <w:r>
        <w:rPr>
          <w:rFonts w:cs="Times New Roman"/>
          <w:spacing w:val="-4"/>
          <w:sz w:val="18"/>
          <w:szCs w:val="18"/>
          <w:lang w:val="es-ES_tradnl"/>
        </w:rPr>
        <w:t>ú</w:t>
      </w:r>
      <w:r>
        <w:rPr>
          <w:spacing w:val="-4"/>
          <w:sz w:val="18"/>
          <w:szCs w:val="18"/>
          <w:lang w:val="es-ES_tradnl"/>
        </w:rPr>
        <w:t xml:space="preserve">spide encontramos </w:t>
      </w:r>
      <w:r>
        <w:rPr>
          <w:rFonts w:cs="Times New Roman"/>
          <w:spacing w:val="-4"/>
          <w:sz w:val="18"/>
          <w:szCs w:val="18"/>
          <w:lang w:val="es-ES_tradnl"/>
        </w:rPr>
        <w:t>ó</w:t>
      </w:r>
      <w:r>
        <w:rPr>
          <w:spacing w:val="-4"/>
          <w:sz w:val="18"/>
          <w:szCs w:val="18"/>
          <w:lang w:val="es-ES_tradnl"/>
        </w:rPr>
        <w:t xml:space="preserve">rganos superiores que </w:t>
      </w:r>
      <w:r>
        <w:rPr>
          <w:spacing w:val="-9"/>
          <w:sz w:val="18"/>
          <w:szCs w:val="18"/>
          <w:lang w:val="es-ES_tradnl"/>
        </w:rPr>
        <w:t>tienen mayores facultades y potestades que los dem</w:t>
      </w:r>
      <w:r>
        <w:rPr>
          <w:rFonts w:cs="Times New Roman"/>
          <w:spacing w:val="-9"/>
          <w:sz w:val="18"/>
          <w:szCs w:val="18"/>
          <w:lang w:val="es-ES_tradnl"/>
        </w:rPr>
        <w:t>á</w:t>
      </w:r>
      <w:r>
        <w:rPr>
          <w:spacing w:val="-9"/>
          <w:sz w:val="18"/>
          <w:szCs w:val="18"/>
          <w:lang w:val="es-ES_tradnl"/>
        </w:rPr>
        <w:t xml:space="preserve">s. Es </w:t>
      </w:r>
      <w:r>
        <w:rPr>
          <w:spacing w:val="-7"/>
          <w:sz w:val="18"/>
          <w:szCs w:val="18"/>
          <w:lang w:val="es-ES_tradnl"/>
        </w:rPr>
        <w:t xml:space="preserve">decir, supone la existencia de un sistema organizado de </w:t>
      </w:r>
      <w:r>
        <w:rPr>
          <w:spacing w:val="-8"/>
          <w:sz w:val="18"/>
          <w:szCs w:val="18"/>
          <w:lang w:val="es-ES_tradnl"/>
        </w:rPr>
        <w:t>estructuraci</w:t>
      </w:r>
      <w:r>
        <w:rPr>
          <w:rFonts w:cs="Times New Roman"/>
          <w:spacing w:val="-8"/>
          <w:sz w:val="18"/>
          <w:szCs w:val="18"/>
          <w:lang w:val="es-ES_tradnl"/>
        </w:rPr>
        <w:t>ó</w:t>
      </w:r>
      <w:r>
        <w:rPr>
          <w:spacing w:val="-8"/>
          <w:sz w:val="18"/>
          <w:szCs w:val="18"/>
          <w:lang w:val="es-ES_tradnl"/>
        </w:rPr>
        <w:t xml:space="preserve">n escalonada en que los </w:t>
      </w:r>
      <w:r>
        <w:rPr>
          <w:rFonts w:cs="Times New Roman"/>
          <w:spacing w:val="-8"/>
          <w:sz w:val="18"/>
          <w:szCs w:val="18"/>
          <w:lang w:val="es-ES_tradnl"/>
        </w:rPr>
        <w:t>ó</w:t>
      </w:r>
      <w:r>
        <w:rPr>
          <w:spacing w:val="-8"/>
          <w:sz w:val="18"/>
          <w:szCs w:val="18"/>
          <w:lang w:val="es-ES_tradnl"/>
        </w:rPr>
        <w:t xml:space="preserve">rganos superiores </w:t>
      </w:r>
      <w:r>
        <w:rPr>
          <w:spacing w:val="-5"/>
          <w:sz w:val="18"/>
          <w:szCs w:val="18"/>
          <w:lang w:val="es-ES_tradnl"/>
        </w:rPr>
        <w:t xml:space="preserve">dirigen a los inferiores; por lo que dichos </w:t>
      </w:r>
      <w:r>
        <w:rPr>
          <w:rFonts w:cs="Times New Roman"/>
          <w:spacing w:val="-5"/>
          <w:sz w:val="18"/>
          <w:szCs w:val="18"/>
          <w:lang w:val="es-ES_tradnl"/>
        </w:rPr>
        <w:t>ó</w:t>
      </w:r>
      <w:r>
        <w:rPr>
          <w:spacing w:val="-5"/>
          <w:sz w:val="18"/>
          <w:szCs w:val="18"/>
          <w:lang w:val="es-ES_tradnl"/>
        </w:rPr>
        <w:t>rganos, debido a su profesionalizaci</w:t>
      </w:r>
      <w:r>
        <w:rPr>
          <w:rFonts w:cs="Times New Roman"/>
          <w:spacing w:val="-5"/>
          <w:sz w:val="18"/>
          <w:szCs w:val="18"/>
          <w:lang w:val="es-ES_tradnl"/>
        </w:rPr>
        <w:t>ó</w:t>
      </w:r>
      <w:r>
        <w:rPr>
          <w:spacing w:val="-5"/>
          <w:sz w:val="18"/>
          <w:szCs w:val="18"/>
          <w:lang w:val="es-ES_tradnl"/>
        </w:rPr>
        <w:t>n, preparaci</w:t>
      </w:r>
      <w:r>
        <w:rPr>
          <w:rFonts w:cs="Times New Roman"/>
          <w:spacing w:val="-5"/>
          <w:sz w:val="18"/>
          <w:szCs w:val="18"/>
          <w:lang w:val="es-ES_tradnl"/>
        </w:rPr>
        <w:t>ó</w:t>
      </w:r>
      <w:r>
        <w:rPr>
          <w:spacing w:val="-5"/>
          <w:sz w:val="18"/>
          <w:szCs w:val="18"/>
          <w:lang w:val="es-ES_tradnl"/>
        </w:rPr>
        <w:t xml:space="preserve">n y responsabilidad, </w:t>
      </w:r>
      <w:r>
        <w:rPr>
          <w:spacing w:val="-9"/>
          <w:sz w:val="18"/>
          <w:szCs w:val="18"/>
          <w:lang w:val="es-ES_tradnl"/>
        </w:rPr>
        <w:t xml:space="preserve">hacen primar su voluntad sobre aquellos que se encuentran </w:t>
      </w:r>
      <w:r>
        <w:rPr>
          <w:spacing w:val="-7"/>
          <w:sz w:val="18"/>
          <w:szCs w:val="18"/>
          <w:lang w:val="es-ES_tradnl"/>
        </w:rPr>
        <w:t xml:space="preserve">en los niveles inferiores. Para el desarrollo del principio de </w:t>
      </w:r>
      <w:r>
        <w:rPr>
          <w:spacing w:val="-8"/>
          <w:sz w:val="18"/>
          <w:szCs w:val="18"/>
          <w:lang w:val="es-ES_tradnl"/>
        </w:rPr>
        <w:t>jerarqu</w:t>
      </w:r>
      <w:r>
        <w:rPr>
          <w:rFonts w:cs="Times New Roman"/>
          <w:spacing w:val="-8"/>
          <w:sz w:val="18"/>
          <w:szCs w:val="18"/>
          <w:lang w:val="es-ES_tradnl"/>
        </w:rPr>
        <w:t>í</w:t>
      </w:r>
      <w:r>
        <w:rPr>
          <w:spacing w:val="-8"/>
          <w:sz w:val="18"/>
          <w:szCs w:val="18"/>
          <w:lang w:val="es-ES_tradnl"/>
        </w:rPr>
        <w:t xml:space="preserve">a, es necesaria la presencia de dos condiciones: la </w:t>
      </w:r>
      <w:r>
        <w:rPr>
          <w:spacing w:val="-7"/>
          <w:sz w:val="18"/>
          <w:szCs w:val="18"/>
          <w:lang w:val="es-ES_tradnl"/>
        </w:rPr>
        <w:t xml:space="preserve">primera de ellas es que exista una pluralidad de </w:t>
      </w:r>
      <w:r>
        <w:rPr>
          <w:rFonts w:cs="Times New Roman"/>
          <w:spacing w:val="-7"/>
          <w:sz w:val="18"/>
          <w:szCs w:val="18"/>
          <w:lang w:val="es-ES_tradnl"/>
        </w:rPr>
        <w:t>ó</w:t>
      </w:r>
      <w:r>
        <w:rPr>
          <w:spacing w:val="-7"/>
          <w:sz w:val="18"/>
          <w:szCs w:val="18"/>
          <w:lang w:val="es-ES_tradnl"/>
        </w:rPr>
        <w:t xml:space="preserve">rganos </w:t>
      </w:r>
      <w:r>
        <w:rPr>
          <w:spacing w:val="-4"/>
          <w:sz w:val="18"/>
          <w:szCs w:val="18"/>
          <w:lang w:val="es-ES_tradnl"/>
        </w:rPr>
        <w:t>competentes ante una actuaci</w:t>
      </w:r>
      <w:r>
        <w:rPr>
          <w:rFonts w:cs="Times New Roman"/>
          <w:spacing w:val="-4"/>
          <w:sz w:val="18"/>
          <w:szCs w:val="18"/>
          <w:lang w:val="es-ES_tradnl"/>
        </w:rPr>
        <w:t>ó</w:t>
      </w:r>
      <w:r>
        <w:rPr>
          <w:spacing w:val="-4"/>
          <w:sz w:val="18"/>
          <w:szCs w:val="18"/>
          <w:lang w:val="es-ES_tradnl"/>
        </w:rPr>
        <w:t xml:space="preserve">n que guarde diferente </w:t>
      </w:r>
      <w:r>
        <w:rPr>
          <w:spacing w:val="-5"/>
          <w:sz w:val="18"/>
          <w:szCs w:val="18"/>
          <w:lang w:val="es-ES_tradnl"/>
        </w:rPr>
        <w:t xml:space="preserve">nivel en la estructura piramidal, y que la prevalencia del </w:t>
      </w:r>
      <w:r>
        <w:rPr>
          <w:rFonts w:cs="Times New Roman"/>
          <w:spacing w:val="-5"/>
          <w:sz w:val="18"/>
          <w:szCs w:val="18"/>
          <w:lang w:val="es-ES_tradnl"/>
        </w:rPr>
        <w:t>ó</w:t>
      </w:r>
      <w:r>
        <w:rPr>
          <w:spacing w:val="-5"/>
          <w:sz w:val="18"/>
          <w:szCs w:val="18"/>
          <w:lang w:val="es-ES_tradnl"/>
        </w:rPr>
        <w:t xml:space="preserve">rgano con grado superior sobre los inferiores para dirigir y sustituir la voluntad de estos con el fin de alcanzar la </w:t>
      </w:r>
      <w:r>
        <w:rPr>
          <w:spacing w:val="-6"/>
          <w:sz w:val="18"/>
          <w:szCs w:val="18"/>
          <w:lang w:val="es-ES_tradnl"/>
        </w:rPr>
        <w:t>necesaria unidad administrativa o judicial.</w:t>
      </w:r>
    </w:p>
    <w:p w14:paraId="4F67AF90" w14:textId="77777777" w:rsidR="00591D54" w:rsidRDefault="00591D54">
      <w:pPr>
        <w:shd w:val="clear" w:color="auto" w:fill="FFFFFF"/>
        <w:spacing w:before="254" w:line="240" w:lineRule="exact"/>
        <w:jc w:val="both"/>
      </w:pPr>
      <w:r>
        <w:rPr>
          <w:sz w:val="18"/>
          <w:szCs w:val="18"/>
          <w:lang w:val="es-ES_tradnl"/>
        </w:rPr>
        <w:t>En nuestro pa</w:t>
      </w:r>
      <w:r>
        <w:rPr>
          <w:rFonts w:cs="Times New Roman"/>
          <w:sz w:val="18"/>
          <w:szCs w:val="18"/>
          <w:lang w:val="es-ES_tradnl"/>
        </w:rPr>
        <w:t>í</w:t>
      </w:r>
      <w:r>
        <w:rPr>
          <w:sz w:val="18"/>
          <w:szCs w:val="18"/>
          <w:lang w:val="es-ES_tradnl"/>
        </w:rPr>
        <w:t>s, la estructura de la Funci</w:t>
      </w:r>
      <w:r>
        <w:rPr>
          <w:rFonts w:cs="Times New Roman"/>
          <w:sz w:val="18"/>
          <w:szCs w:val="18"/>
          <w:lang w:val="es-ES_tradnl"/>
        </w:rPr>
        <w:t>ó</w:t>
      </w:r>
      <w:r>
        <w:rPr>
          <w:sz w:val="18"/>
          <w:szCs w:val="18"/>
          <w:lang w:val="es-ES_tradnl"/>
        </w:rPr>
        <w:t xml:space="preserve">n Judicial </w:t>
      </w:r>
      <w:r>
        <w:rPr>
          <w:spacing w:val="-6"/>
          <w:sz w:val="18"/>
          <w:szCs w:val="18"/>
          <w:lang w:val="es-ES_tradnl"/>
        </w:rPr>
        <w:t>la encontramos desarrollada en el art</w:t>
      </w:r>
      <w:r>
        <w:rPr>
          <w:rFonts w:cs="Times New Roman"/>
          <w:spacing w:val="-6"/>
          <w:sz w:val="18"/>
          <w:szCs w:val="18"/>
          <w:lang w:val="es-ES_tradnl"/>
        </w:rPr>
        <w:t>í</w:t>
      </w:r>
      <w:r>
        <w:rPr>
          <w:spacing w:val="-6"/>
          <w:sz w:val="18"/>
          <w:szCs w:val="18"/>
          <w:lang w:val="es-ES_tradnl"/>
        </w:rPr>
        <w:t xml:space="preserve">culo 178 de la </w:t>
      </w:r>
      <w:r>
        <w:rPr>
          <w:spacing w:val="-4"/>
          <w:sz w:val="18"/>
          <w:szCs w:val="18"/>
          <w:lang w:val="es-ES_tradnl"/>
        </w:rPr>
        <w:t>Constituci</w:t>
      </w:r>
      <w:r>
        <w:rPr>
          <w:rFonts w:cs="Times New Roman"/>
          <w:spacing w:val="-4"/>
          <w:sz w:val="18"/>
          <w:szCs w:val="18"/>
          <w:lang w:val="es-ES_tradnl"/>
        </w:rPr>
        <w:t>ó</w:t>
      </w:r>
      <w:r>
        <w:rPr>
          <w:spacing w:val="-4"/>
          <w:sz w:val="18"/>
          <w:szCs w:val="18"/>
          <w:lang w:val="es-ES_tradnl"/>
        </w:rPr>
        <w:t>n de la Rep</w:t>
      </w:r>
      <w:r>
        <w:rPr>
          <w:rFonts w:cs="Times New Roman"/>
          <w:spacing w:val="-4"/>
          <w:sz w:val="18"/>
          <w:szCs w:val="18"/>
          <w:lang w:val="es-ES_tradnl"/>
        </w:rPr>
        <w:t>ú</w:t>
      </w:r>
      <w:r>
        <w:rPr>
          <w:spacing w:val="-4"/>
          <w:sz w:val="18"/>
          <w:szCs w:val="18"/>
          <w:lang w:val="es-ES_tradnl"/>
        </w:rPr>
        <w:t>blica</w:t>
      </w:r>
      <w:r>
        <w:rPr>
          <w:spacing w:val="-4"/>
          <w:sz w:val="18"/>
          <w:szCs w:val="18"/>
          <w:vertAlign w:val="superscript"/>
          <w:lang w:val="es-ES_tradnl"/>
        </w:rPr>
        <w:t>15</w:t>
      </w:r>
      <w:r>
        <w:rPr>
          <w:spacing w:val="-4"/>
          <w:sz w:val="18"/>
          <w:szCs w:val="18"/>
          <w:lang w:val="es-ES_tradnl"/>
        </w:rPr>
        <w:t>, as</w:t>
      </w:r>
      <w:r>
        <w:rPr>
          <w:rFonts w:cs="Times New Roman"/>
          <w:spacing w:val="-4"/>
          <w:sz w:val="18"/>
          <w:szCs w:val="18"/>
          <w:lang w:val="es-ES_tradnl"/>
        </w:rPr>
        <w:t>í</w:t>
      </w:r>
      <w:r>
        <w:rPr>
          <w:spacing w:val="-4"/>
          <w:sz w:val="18"/>
          <w:szCs w:val="18"/>
          <w:lang w:val="es-ES_tradnl"/>
        </w:rPr>
        <w:t xml:space="preserve"> como en el art</w:t>
      </w:r>
      <w:r>
        <w:rPr>
          <w:rFonts w:cs="Times New Roman"/>
          <w:spacing w:val="-4"/>
          <w:sz w:val="18"/>
          <w:szCs w:val="18"/>
          <w:lang w:val="es-ES_tradnl"/>
        </w:rPr>
        <w:t>í</w:t>
      </w:r>
      <w:r>
        <w:rPr>
          <w:spacing w:val="-4"/>
          <w:sz w:val="18"/>
          <w:szCs w:val="18"/>
          <w:lang w:val="es-ES_tradnl"/>
        </w:rPr>
        <w:t>culo 170 del C</w:t>
      </w:r>
      <w:r>
        <w:rPr>
          <w:rFonts w:cs="Times New Roman"/>
          <w:spacing w:val="-4"/>
          <w:sz w:val="18"/>
          <w:szCs w:val="18"/>
          <w:lang w:val="es-ES_tradnl"/>
        </w:rPr>
        <w:t>ó</w:t>
      </w:r>
      <w:r>
        <w:rPr>
          <w:spacing w:val="-4"/>
          <w:sz w:val="18"/>
          <w:szCs w:val="18"/>
          <w:lang w:val="es-ES_tradnl"/>
        </w:rPr>
        <w:t>digo Org</w:t>
      </w:r>
      <w:r>
        <w:rPr>
          <w:rFonts w:cs="Times New Roman"/>
          <w:spacing w:val="-4"/>
          <w:sz w:val="18"/>
          <w:szCs w:val="18"/>
          <w:lang w:val="es-ES_tradnl"/>
        </w:rPr>
        <w:t>á</w:t>
      </w:r>
      <w:r>
        <w:rPr>
          <w:spacing w:val="-4"/>
          <w:sz w:val="18"/>
          <w:szCs w:val="18"/>
          <w:lang w:val="es-ES_tradnl"/>
        </w:rPr>
        <w:t>nico de la Funci</w:t>
      </w:r>
      <w:r>
        <w:rPr>
          <w:rFonts w:cs="Times New Roman"/>
          <w:spacing w:val="-4"/>
          <w:sz w:val="18"/>
          <w:szCs w:val="18"/>
          <w:lang w:val="es-ES_tradnl"/>
        </w:rPr>
        <w:t>ó</w:t>
      </w:r>
      <w:r>
        <w:rPr>
          <w:spacing w:val="-4"/>
          <w:sz w:val="18"/>
          <w:szCs w:val="18"/>
          <w:lang w:val="es-ES_tradnl"/>
        </w:rPr>
        <w:t>n Judicial</w:t>
      </w:r>
      <w:r>
        <w:rPr>
          <w:spacing w:val="-4"/>
          <w:sz w:val="18"/>
          <w:szCs w:val="18"/>
          <w:vertAlign w:val="superscript"/>
          <w:lang w:val="es-ES_tradnl"/>
        </w:rPr>
        <w:t>16</w:t>
      </w:r>
      <w:r>
        <w:rPr>
          <w:spacing w:val="-4"/>
          <w:sz w:val="18"/>
          <w:szCs w:val="18"/>
          <w:lang w:val="es-ES_tradnl"/>
        </w:rPr>
        <w:t xml:space="preserve">, en </w:t>
      </w:r>
      <w:r>
        <w:rPr>
          <w:spacing w:val="-9"/>
          <w:sz w:val="18"/>
          <w:szCs w:val="18"/>
          <w:lang w:val="es-ES_tradnl"/>
        </w:rPr>
        <w:t>donde claramente podemos observar que la Corte Nacional de Justicia se encuentra en el m</w:t>
      </w:r>
      <w:r>
        <w:rPr>
          <w:rFonts w:cs="Times New Roman"/>
          <w:spacing w:val="-9"/>
          <w:sz w:val="18"/>
          <w:szCs w:val="18"/>
          <w:lang w:val="es-ES_tradnl"/>
        </w:rPr>
        <w:t>á</w:t>
      </w:r>
      <w:r>
        <w:rPr>
          <w:spacing w:val="-9"/>
          <w:sz w:val="18"/>
          <w:szCs w:val="18"/>
          <w:lang w:val="es-ES_tradnl"/>
        </w:rPr>
        <w:t>s alto esca</w:t>
      </w:r>
      <w:r>
        <w:rPr>
          <w:rFonts w:cs="Times New Roman"/>
          <w:spacing w:val="-9"/>
          <w:sz w:val="18"/>
          <w:szCs w:val="18"/>
          <w:lang w:val="es-ES_tradnl"/>
        </w:rPr>
        <w:t>ñ</w:t>
      </w:r>
      <w:r>
        <w:rPr>
          <w:spacing w:val="-9"/>
          <w:sz w:val="18"/>
          <w:szCs w:val="18"/>
          <w:lang w:val="es-ES_tradnl"/>
        </w:rPr>
        <w:t xml:space="preserve">o de esta </w:t>
      </w:r>
      <w:r>
        <w:rPr>
          <w:spacing w:val="-6"/>
          <w:sz w:val="18"/>
          <w:szCs w:val="18"/>
          <w:lang w:val="es-ES_tradnl"/>
        </w:rPr>
        <w:t>organizaci</w:t>
      </w:r>
      <w:r>
        <w:rPr>
          <w:rFonts w:cs="Times New Roman"/>
          <w:spacing w:val="-6"/>
          <w:sz w:val="18"/>
          <w:szCs w:val="18"/>
          <w:lang w:val="es-ES_tradnl"/>
        </w:rPr>
        <w:t>ó</w:t>
      </w:r>
      <w:r>
        <w:rPr>
          <w:spacing w:val="-6"/>
          <w:sz w:val="18"/>
          <w:szCs w:val="18"/>
          <w:lang w:val="es-ES_tradnl"/>
        </w:rPr>
        <w:t>n. Es decir, constituye el m</w:t>
      </w:r>
      <w:r>
        <w:rPr>
          <w:rFonts w:cs="Times New Roman"/>
          <w:spacing w:val="-6"/>
          <w:sz w:val="18"/>
          <w:szCs w:val="18"/>
          <w:lang w:val="es-ES_tradnl"/>
        </w:rPr>
        <w:t>á</w:t>
      </w:r>
      <w:r>
        <w:rPr>
          <w:spacing w:val="-6"/>
          <w:sz w:val="18"/>
          <w:szCs w:val="18"/>
          <w:lang w:val="es-ES_tradnl"/>
        </w:rPr>
        <w:t xml:space="preserve">ximo </w:t>
      </w:r>
      <w:r>
        <w:rPr>
          <w:rFonts w:cs="Times New Roman"/>
          <w:spacing w:val="-6"/>
          <w:sz w:val="18"/>
          <w:szCs w:val="18"/>
          <w:lang w:val="es-ES_tradnl"/>
        </w:rPr>
        <w:t>ó</w:t>
      </w:r>
      <w:r>
        <w:rPr>
          <w:spacing w:val="-6"/>
          <w:sz w:val="18"/>
          <w:szCs w:val="18"/>
          <w:lang w:val="es-ES_tradnl"/>
        </w:rPr>
        <w:t xml:space="preserve">rgano de </w:t>
      </w:r>
      <w:r>
        <w:rPr>
          <w:spacing w:val="-7"/>
          <w:sz w:val="18"/>
          <w:szCs w:val="18"/>
          <w:lang w:val="es-ES_tradnl"/>
        </w:rPr>
        <w:t xml:space="preserve">justicia ordinaria y, por ende, sus decisiones priman sobre </w:t>
      </w:r>
      <w:r>
        <w:rPr>
          <w:sz w:val="18"/>
          <w:szCs w:val="18"/>
          <w:lang w:val="es-ES_tradnl"/>
        </w:rPr>
        <w:t xml:space="preserve">las de los </w:t>
      </w:r>
      <w:r>
        <w:rPr>
          <w:rFonts w:cs="Times New Roman"/>
          <w:sz w:val="18"/>
          <w:szCs w:val="18"/>
          <w:lang w:val="es-ES_tradnl"/>
        </w:rPr>
        <w:t>ó</w:t>
      </w:r>
      <w:r>
        <w:rPr>
          <w:sz w:val="18"/>
          <w:szCs w:val="18"/>
          <w:lang w:val="es-ES_tradnl"/>
        </w:rPr>
        <w:t>rganos inferiores.</w:t>
      </w:r>
    </w:p>
    <w:p w14:paraId="4F67AF91" w14:textId="77777777" w:rsidR="00591D54" w:rsidRDefault="00591D54">
      <w:pPr>
        <w:shd w:val="clear" w:color="auto" w:fill="FFFFFF"/>
        <w:tabs>
          <w:tab w:val="left" w:pos="144"/>
        </w:tabs>
        <w:spacing w:before="691" w:line="178" w:lineRule="exact"/>
        <w:ind w:left="144" w:hanging="144"/>
        <w:jc w:val="both"/>
      </w:pPr>
      <w:r>
        <w:rPr>
          <w:spacing w:val="-5"/>
          <w:sz w:val="8"/>
          <w:szCs w:val="8"/>
          <w:vertAlign w:val="superscript"/>
          <w:lang w:val="es-ES_tradnl"/>
        </w:rPr>
        <w:t>14</w:t>
      </w:r>
      <w:r>
        <w:rPr>
          <w:sz w:val="18"/>
          <w:szCs w:val="18"/>
          <w:lang w:val="es-ES_tradnl"/>
        </w:rPr>
        <w:tab/>
      </w:r>
      <w:r>
        <w:rPr>
          <w:sz w:val="14"/>
          <w:szCs w:val="14"/>
          <w:lang w:val="es-ES_tradnl"/>
        </w:rPr>
        <w:t>Art.</w:t>
      </w:r>
      <w:r>
        <w:rPr>
          <w:sz w:val="18"/>
          <w:szCs w:val="18"/>
          <w:lang w:val="es-ES_tradnl"/>
        </w:rPr>
        <w:t xml:space="preserve"> </w:t>
      </w:r>
      <w:r>
        <w:rPr>
          <w:sz w:val="14"/>
          <w:szCs w:val="14"/>
          <w:lang w:val="es-ES_tradnl"/>
        </w:rPr>
        <w:t>227.-</w:t>
      </w:r>
      <w:r>
        <w:rPr>
          <w:sz w:val="18"/>
          <w:szCs w:val="18"/>
          <w:lang w:val="es-ES_tradnl"/>
        </w:rPr>
        <w:t xml:space="preserve"> </w:t>
      </w:r>
      <w:r>
        <w:rPr>
          <w:sz w:val="14"/>
          <w:szCs w:val="14"/>
          <w:lang w:val="es-ES_tradnl"/>
        </w:rPr>
        <w:t>La</w:t>
      </w:r>
      <w:r>
        <w:rPr>
          <w:sz w:val="18"/>
          <w:szCs w:val="18"/>
          <w:lang w:val="es-ES_tradnl"/>
        </w:rPr>
        <w:t xml:space="preserve"> </w:t>
      </w:r>
      <w:r>
        <w:rPr>
          <w:sz w:val="14"/>
          <w:szCs w:val="14"/>
          <w:lang w:val="es-ES_tradnl"/>
        </w:rPr>
        <w:t>administraci</w:t>
      </w:r>
      <w:r>
        <w:rPr>
          <w:rFonts w:cs="Times New Roman"/>
          <w:sz w:val="14"/>
          <w:szCs w:val="14"/>
          <w:lang w:val="es-ES_tradnl"/>
        </w:rPr>
        <w:t>ó</w:t>
      </w:r>
      <w:r>
        <w:rPr>
          <w:sz w:val="14"/>
          <w:szCs w:val="14"/>
          <w:lang w:val="es-ES_tradnl"/>
        </w:rPr>
        <w:t>n</w:t>
      </w:r>
      <w:r>
        <w:rPr>
          <w:sz w:val="18"/>
          <w:szCs w:val="18"/>
          <w:lang w:val="es-ES_tradnl"/>
        </w:rPr>
        <w:t xml:space="preserve"> </w:t>
      </w:r>
      <w:r>
        <w:rPr>
          <w:sz w:val="14"/>
          <w:szCs w:val="14"/>
          <w:lang w:val="es-ES_tradnl"/>
        </w:rPr>
        <w:t>p</w:t>
      </w:r>
      <w:r>
        <w:rPr>
          <w:rFonts w:cs="Times New Roman"/>
          <w:sz w:val="14"/>
          <w:szCs w:val="14"/>
          <w:lang w:val="es-ES_tradnl"/>
        </w:rPr>
        <w:t>ú</w:t>
      </w:r>
      <w:r>
        <w:rPr>
          <w:sz w:val="14"/>
          <w:szCs w:val="14"/>
          <w:lang w:val="es-ES_tradnl"/>
        </w:rPr>
        <w:t>blica</w:t>
      </w:r>
      <w:r>
        <w:rPr>
          <w:sz w:val="18"/>
          <w:szCs w:val="18"/>
          <w:lang w:val="es-ES_tradnl"/>
        </w:rPr>
        <w:t xml:space="preserve"> </w:t>
      </w:r>
      <w:r>
        <w:rPr>
          <w:sz w:val="14"/>
          <w:szCs w:val="14"/>
          <w:lang w:val="es-ES_tradnl"/>
        </w:rPr>
        <w:t>constituye</w:t>
      </w:r>
      <w:r>
        <w:rPr>
          <w:sz w:val="18"/>
          <w:szCs w:val="18"/>
          <w:lang w:val="es-ES_tradnl"/>
        </w:rPr>
        <w:t xml:space="preserve"> </w:t>
      </w:r>
      <w:r>
        <w:rPr>
          <w:sz w:val="14"/>
          <w:szCs w:val="14"/>
          <w:lang w:val="es-ES_tradnl"/>
        </w:rPr>
        <w:t>un</w:t>
      </w:r>
      <w:r>
        <w:rPr>
          <w:sz w:val="18"/>
          <w:szCs w:val="18"/>
          <w:lang w:val="es-ES_tradnl"/>
        </w:rPr>
        <w:t xml:space="preserve"> </w:t>
      </w:r>
      <w:r>
        <w:rPr>
          <w:sz w:val="14"/>
          <w:szCs w:val="14"/>
          <w:lang w:val="es-ES_tradnl"/>
        </w:rPr>
        <w:t>servicio</w:t>
      </w:r>
      <w:r>
        <w:rPr>
          <w:sz w:val="18"/>
          <w:szCs w:val="18"/>
          <w:lang w:val="es-ES_tradnl"/>
        </w:rPr>
        <w:t xml:space="preserve"> </w:t>
      </w:r>
      <w:r>
        <w:rPr>
          <w:sz w:val="14"/>
          <w:szCs w:val="14"/>
          <w:lang w:val="es-ES_tradnl"/>
        </w:rPr>
        <w:t>a</w:t>
      </w:r>
      <w:r>
        <w:rPr>
          <w:sz w:val="18"/>
          <w:szCs w:val="18"/>
          <w:lang w:val="es-ES_tradnl"/>
        </w:rPr>
        <w:t xml:space="preserve"> </w:t>
      </w:r>
      <w:r>
        <w:rPr>
          <w:sz w:val="14"/>
          <w:szCs w:val="14"/>
          <w:lang w:val="es-ES_tradnl"/>
        </w:rPr>
        <w:t>la colectividad que se rige por los principios de eficacia, eficiencia, </w:t>
      </w:r>
      <w:r>
        <w:rPr>
          <w:spacing w:val="-3"/>
          <w:sz w:val="14"/>
          <w:szCs w:val="14"/>
          <w:lang w:val="es-ES_tradnl"/>
        </w:rPr>
        <w:t>calidad, jerarqu</w:t>
      </w:r>
      <w:r>
        <w:rPr>
          <w:rFonts w:cs="Times New Roman"/>
          <w:spacing w:val="-3"/>
          <w:sz w:val="14"/>
          <w:szCs w:val="14"/>
          <w:lang w:val="es-ES_tradnl"/>
        </w:rPr>
        <w:t>í</w:t>
      </w:r>
      <w:r>
        <w:rPr>
          <w:spacing w:val="-3"/>
          <w:sz w:val="14"/>
          <w:szCs w:val="14"/>
          <w:lang w:val="es-ES_tradnl"/>
        </w:rPr>
        <w:t>a, desconcentraci</w:t>
      </w:r>
      <w:r>
        <w:rPr>
          <w:rFonts w:cs="Times New Roman"/>
          <w:spacing w:val="-3"/>
          <w:sz w:val="14"/>
          <w:szCs w:val="14"/>
          <w:lang w:val="es-ES_tradnl"/>
        </w:rPr>
        <w:t>ó</w:t>
      </w:r>
      <w:r>
        <w:rPr>
          <w:spacing w:val="-3"/>
          <w:sz w:val="14"/>
          <w:szCs w:val="14"/>
          <w:lang w:val="es-ES_tradnl"/>
        </w:rPr>
        <w:t>n, descentralizaci</w:t>
      </w:r>
      <w:r>
        <w:rPr>
          <w:rFonts w:cs="Times New Roman"/>
          <w:spacing w:val="-3"/>
          <w:sz w:val="14"/>
          <w:szCs w:val="14"/>
          <w:lang w:val="es-ES_tradnl"/>
        </w:rPr>
        <w:t>ó</w:t>
      </w:r>
      <w:r>
        <w:rPr>
          <w:spacing w:val="-3"/>
          <w:sz w:val="14"/>
          <w:szCs w:val="14"/>
          <w:lang w:val="es-ES_tradnl"/>
        </w:rPr>
        <w:t>n, coordinaci</w:t>
      </w:r>
      <w:r>
        <w:rPr>
          <w:rFonts w:cs="Times New Roman"/>
          <w:spacing w:val="-3"/>
          <w:sz w:val="14"/>
          <w:szCs w:val="14"/>
          <w:lang w:val="es-ES_tradnl"/>
        </w:rPr>
        <w:t>ó</w:t>
      </w:r>
      <w:r>
        <w:rPr>
          <w:spacing w:val="-3"/>
          <w:sz w:val="14"/>
          <w:szCs w:val="14"/>
          <w:lang w:val="es-ES_tradnl"/>
        </w:rPr>
        <w:t>n, </w:t>
      </w:r>
      <w:r>
        <w:rPr>
          <w:spacing w:val="-1"/>
          <w:sz w:val="14"/>
          <w:szCs w:val="14"/>
          <w:lang w:val="es-ES_tradnl"/>
        </w:rPr>
        <w:t>participaci</w:t>
      </w:r>
      <w:r>
        <w:rPr>
          <w:rFonts w:cs="Times New Roman"/>
          <w:spacing w:val="-1"/>
          <w:sz w:val="14"/>
          <w:szCs w:val="14"/>
          <w:lang w:val="es-ES_tradnl"/>
        </w:rPr>
        <w:t>ó</w:t>
      </w:r>
      <w:r>
        <w:rPr>
          <w:spacing w:val="-1"/>
          <w:sz w:val="14"/>
          <w:szCs w:val="14"/>
          <w:lang w:val="es-ES_tradnl"/>
        </w:rPr>
        <w:t>n, planificaci</w:t>
      </w:r>
      <w:r>
        <w:rPr>
          <w:rFonts w:cs="Times New Roman"/>
          <w:spacing w:val="-1"/>
          <w:sz w:val="14"/>
          <w:szCs w:val="14"/>
          <w:lang w:val="es-ES_tradnl"/>
        </w:rPr>
        <w:t>ó</w:t>
      </w:r>
      <w:r>
        <w:rPr>
          <w:spacing w:val="-1"/>
          <w:sz w:val="14"/>
          <w:szCs w:val="14"/>
          <w:lang w:val="es-ES_tradnl"/>
        </w:rPr>
        <w:t>n, transparencia y evaluaci</w:t>
      </w:r>
      <w:r>
        <w:rPr>
          <w:rFonts w:cs="Times New Roman"/>
          <w:spacing w:val="-1"/>
          <w:sz w:val="14"/>
          <w:szCs w:val="14"/>
          <w:lang w:val="es-ES_tradnl"/>
        </w:rPr>
        <w:t>ó</w:t>
      </w:r>
      <w:r>
        <w:rPr>
          <w:spacing w:val="-1"/>
          <w:sz w:val="14"/>
          <w:szCs w:val="14"/>
          <w:lang w:val="es-ES_tradnl"/>
        </w:rPr>
        <w:t>n.</w:t>
      </w:r>
    </w:p>
    <w:p w14:paraId="4F67AF92" w14:textId="77777777" w:rsidR="00591D54" w:rsidRDefault="00591D54">
      <w:pPr>
        <w:shd w:val="clear" w:color="auto" w:fill="FFFFFF"/>
        <w:tabs>
          <w:tab w:val="left" w:pos="144"/>
        </w:tabs>
        <w:spacing w:before="154" w:line="178" w:lineRule="exact"/>
        <w:ind w:left="144" w:hanging="144"/>
        <w:jc w:val="both"/>
      </w:pPr>
      <w:r>
        <w:rPr>
          <w:spacing w:val="-5"/>
          <w:sz w:val="8"/>
          <w:szCs w:val="8"/>
          <w:vertAlign w:val="superscript"/>
          <w:lang w:val="es-ES_tradnl"/>
        </w:rPr>
        <w:t>15</w:t>
      </w:r>
      <w:r>
        <w:rPr>
          <w:sz w:val="18"/>
          <w:szCs w:val="18"/>
          <w:lang w:val="es-ES_tradnl"/>
        </w:rPr>
        <w:tab/>
      </w:r>
      <w:r>
        <w:rPr>
          <w:sz w:val="14"/>
          <w:szCs w:val="14"/>
          <w:lang w:val="es-ES_tradnl"/>
        </w:rPr>
        <w:t>Art.</w:t>
      </w:r>
      <w:r>
        <w:rPr>
          <w:sz w:val="18"/>
          <w:szCs w:val="18"/>
          <w:lang w:val="es-ES_tradnl"/>
        </w:rPr>
        <w:t xml:space="preserve"> </w:t>
      </w:r>
      <w:r>
        <w:rPr>
          <w:sz w:val="14"/>
          <w:szCs w:val="14"/>
          <w:lang w:val="es-ES_tradnl"/>
        </w:rPr>
        <w:t>178.-</w:t>
      </w:r>
      <w:r>
        <w:rPr>
          <w:sz w:val="18"/>
          <w:szCs w:val="18"/>
          <w:lang w:val="es-ES_tradnl"/>
        </w:rPr>
        <w:t xml:space="preserve"> </w:t>
      </w:r>
      <w:r>
        <w:rPr>
          <w:sz w:val="14"/>
          <w:szCs w:val="14"/>
          <w:lang w:val="es-ES_tradnl"/>
        </w:rPr>
        <w:t>Los</w:t>
      </w:r>
      <w:r>
        <w:rPr>
          <w:sz w:val="18"/>
          <w:szCs w:val="18"/>
          <w:lang w:val="es-ES_tradnl"/>
        </w:rPr>
        <w:t xml:space="preserve"> </w:t>
      </w:r>
      <w:r>
        <w:rPr>
          <w:rFonts w:cs="Times New Roman"/>
          <w:sz w:val="14"/>
          <w:szCs w:val="14"/>
          <w:lang w:val="es-ES_tradnl"/>
        </w:rPr>
        <w:t>ó</w:t>
      </w:r>
      <w:r>
        <w:rPr>
          <w:sz w:val="14"/>
          <w:szCs w:val="14"/>
          <w:lang w:val="es-ES_tradnl"/>
        </w:rPr>
        <w:t>rganos</w:t>
      </w:r>
      <w:r>
        <w:rPr>
          <w:sz w:val="18"/>
          <w:szCs w:val="18"/>
          <w:lang w:val="es-ES_tradnl"/>
        </w:rPr>
        <w:t xml:space="preserve"> </w:t>
      </w:r>
      <w:r>
        <w:rPr>
          <w:sz w:val="14"/>
          <w:szCs w:val="14"/>
          <w:lang w:val="es-ES_tradnl"/>
        </w:rPr>
        <w:t>jurisdiccionales,</w:t>
      </w:r>
      <w:r>
        <w:rPr>
          <w:sz w:val="18"/>
          <w:szCs w:val="18"/>
          <w:lang w:val="es-ES_tradnl"/>
        </w:rPr>
        <w:t xml:space="preserve"> </w:t>
      </w:r>
      <w:r>
        <w:rPr>
          <w:sz w:val="14"/>
          <w:szCs w:val="14"/>
          <w:lang w:val="es-ES_tradnl"/>
        </w:rPr>
        <w:t>sin</w:t>
      </w:r>
      <w:r>
        <w:rPr>
          <w:sz w:val="18"/>
          <w:szCs w:val="18"/>
          <w:lang w:val="es-ES_tradnl"/>
        </w:rPr>
        <w:t xml:space="preserve"> </w:t>
      </w:r>
      <w:r>
        <w:rPr>
          <w:sz w:val="14"/>
          <w:szCs w:val="14"/>
          <w:lang w:val="es-ES_tradnl"/>
        </w:rPr>
        <w:t>perjuicio</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otros </w:t>
      </w:r>
      <w:r>
        <w:rPr>
          <w:rFonts w:cs="Times New Roman"/>
          <w:spacing w:val="-2"/>
          <w:sz w:val="14"/>
          <w:szCs w:val="14"/>
          <w:lang w:val="es-ES_tradnl"/>
        </w:rPr>
        <w:t>ó</w:t>
      </w:r>
      <w:r>
        <w:rPr>
          <w:spacing w:val="-2"/>
          <w:sz w:val="14"/>
          <w:szCs w:val="14"/>
          <w:lang w:val="es-ES_tradnl"/>
        </w:rPr>
        <w:t>rganos con iguales potestades reconocidos en la Constituci</w:t>
      </w:r>
      <w:r>
        <w:rPr>
          <w:rFonts w:cs="Times New Roman"/>
          <w:spacing w:val="-2"/>
          <w:sz w:val="14"/>
          <w:szCs w:val="14"/>
          <w:lang w:val="es-ES_tradnl"/>
        </w:rPr>
        <w:t>ó</w:t>
      </w:r>
      <w:r>
        <w:rPr>
          <w:spacing w:val="-2"/>
          <w:sz w:val="14"/>
          <w:szCs w:val="14"/>
          <w:lang w:val="es-ES_tradnl"/>
        </w:rPr>
        <w:t>n, son los encargados de administrar justicia, y ser</w:t>
      </w:r>
      <w:r>
        <w:rPr>
          <w:rFonts w:cs="Times New Roman"/>
          <w:spacing w:val="-2"/>
          <w:sz w:val="14"/>
          <w:szCs w:val="14"/>
          <w:lang w:val="es-ES_tradnl"/>
        </w:rPr>
        <w:t>á</w:t>
      </w:r>
      <w:r>
        <w:rPr>
          <w:spacing w:val="-2"/>
          <w:sz w:val="14"/>
          <w:szCs w:val="14"/>
          <w:lang w:val="es-ES_tradnl"/>
        </w:rPr>
        <w:t>n los siguientes:</w:t>
      </w:r>
    </w:p>
    <w:p w14:paraId="4F67AF93" w14:textId="77777777" w:rsidR="00591D54" w:rsidRDefault="00591D54" w:rsidP="00251195">
      <w:pPr>
        <w:numPr>
          <w:ilvl w:val="0"/>
          <w:numId w:val="73"/>
        </w:numPr>
        <w:shd w:val="clear" w:color="auto" w:fill="FFFFFF"/>
        <w:tabs>
          <w:tab w:val="left" w:pos="293"/>
        </w:tabs>
        <w:spacing w:line="178" w:lineRule="exact"/>
        <w:ind w:left="144"/>
        <w:rPr>
          <w:spacing w:val="-7"/>
          <w:sz w:val="14"/>
          <w:szCs w:val="14"/>
          <w:lang w:val="es-ES_tradnl"/>
        </w:rPr>
      </w:pPr>
      <w:r>
        <w:rPr>
          <w:spacing w:val="-1"/>
          <w:sz w:val="14"/>
          <w:szCs w:val="14"/>
          <w:lang w:val="es-ES_tradnl"/>
        </w:rPr>
        <w:t>La</w:t>
      </w:r>
      <w:r>
        <w:rPr>
          <w:spacing w:val="-1"/>
          <w:sz w:val="18"/>
          <w:szCs w:val="18"/>
          <w:lang w:val="es-ES_tradnl"/>
        </w:rPr>
        <w:t xml:space="preserve"> </w:t>
      </w:r>
      <w:r>
        <w:rPr>
          <w:spacing w:val="-1"/>
          <w:sz w:val="14"/>
          <w:szCs w:val="14"/>
          <w:lang w:val="es-ES_tradnl"/>
        </w:rPr>
        <w:t>Corte</w:t>
      </w:r>
      <w:r>
        <w:rPr>
          <w:spacing w:val="-1"/>
          <w:sz w:val="18"/>
          <w:szCs w:val="18"/>
          <w:lang w:val="es-ES_tradnl"/>
        </w:rPr>
        <w:t xml:space="preserve"> </w:t>
      </w:r>
      <w:r>
        <w:rPr>
          <w:spacing w:val="-1"/>
          <w:sz w:val="14"/>
          <w:szCs w:val="14"/>
          <w:lang w:val="es-ES_tradnl"/>
        </w:rPr>
        <w:t>Nacional</w:t>
      </w:r>
      <w:r>
        <w:rPr>
          <w:spacing w:val="-1"/>
          <w:sz w:val="18"/>
          <w:szCs w:val="18"/>
          <w:lang w:val="es-ES_tradnl"/>
        </w:rPr>
        <w:t xml:space="preserve"> </w:t>
      </w:r>
      <w:r>
        <w:rPr>
          <w:spacing w:val="-1"/>
          <w:sz w:val="14"/>
          <w:szCs w:val="14"/>
          <w:lang w:val="es-ES_tradnl"/>
        </w:rPr>
        <w:t>de</w:t>
      </w:r>
      <w:r>
        <w:rPr>
          <w:spacing w:val="-1"/>
          <w:sz w:val="18"/>
          <w:szCs w:val="18"/>
          <w:lang w:val="es-ES_tradnl"/>
        </w:rPr>
        <w:t xml:space="preserve"> </w:t>
      </w:r>
      <w:r>
        <w:rPr>
          <w:spacing w:val="-1"/>
          <w:sz w:val="14"/>
          <w:szCs w:val="14"/>
          <w:lang w:val="es-ES_tradnl"/>
        </w:rPr>
        <w:t>Justicia.</w:t>
      </w:r>
    </w:p>
    <w:p w14:paraId="4F67AF94" w14:textId="77777777" w:rsidR="00591D54" w:rsidRDefault="00591D54" w:rsidP="00251195">
      <w:pPr>
        <w:numPr>
          <w:ilvl w:val="0"/>
          <w:numId w:val="73"/>
        </w:numPr>
        <w:shd w:val="clear" w:color="auto" w:fill="FFFFFF"/>
        <w:tabs>
          <w:tab w:val="left" w:pos="293"/>
        </w:tabs>
        <w:spacing w:line="178" w:lineRule="exact"/>
        <w:ind w:left="144"/>
        <w:rPr>
          <w:spacing w:val="-7"/>
          <w:sz w:val="14"/>
          <w:szCs w:val="14"/>
          <w:lang w:val="es-ES_tradnl"/>
        </w:rPr>
      </w:pPr>
      <w:r>
        <w:rPr>
          <w:spacing w:val="-1"/>
          <w:sz w:val="14"/>
          <w:szCs w:val="14"/>
          <w:lang w:val="es-ES_tradnl"/>
        </w:rPr>
        <w:t>Las</w:t>
      </w:r>
      <w:r>
        <w:rPr>
          <w:spacing w:val="-1"/>
          <w:sz w:val="18"/>
          <w:szCs w:val="18"/>
          <w:lang w:val="es-ES_tradnl"/>
        </w:rPr>
        <w:t xml:space="preserve"> </w:t>
      </w:r>
      <w:r>
        <w:rPr>
          <w:spacing w:val="-1"/>
          <w:sz w:val="14"/>
          <w:szCs w:val="14"/>
          <w:lang w:val="es-ES_tradnl"/>
        </w:rPr>
        <w:t>cortes</w:t>
      </w:r>
      <w:r>
        <w:rPr>
          <w:spacing w:val="-1"/>
          <w:sz w:val="18"/>
          <w:szCs w:val="18"/>
          <w:lang w:val="es-ES_tradnl"/>
        </w:rPr>
        <w:t xml:space="preserve"> </w:t>
      </w:r>
      <w:r>
        <w:rPr>
          <w:spacing w:val="-1"/>
          <w:sz w:val="14"/>
          <w:szCs w:val="14"/>
          <w:lang w:val="es-ES_tradnl"/>
        </w:rPr>
        <w:t>provinciales</w:t>
      </w:r>
      <w:r>
        <w:rPr>
          <w:spacing w:val="-1"/>
          <w:sz w:val="18"/>
          <w:szCs w:val="18"/>
          <w:lang w:val="es-ES_tradnl"/>
        </w:rPr>
        <w:t xml:space="preserve"> </w:t>
      </w:r>
      <w:r>
        <w:rPr>
          <w:spacing w:val="-1"/>
          <w:sz w:val="14"/>
          <w:szCs w:val="14"/>
          <w:lang w:val="es-ES_tradnl"/>
        </w:rPr>
        <w:t>de</w:t>
      </w:r>
      <w:r>
        <w:rPr>
          <w:spacing w:val="-1"/>
          <w:sz w:val="18"/>
          <w:szCs w:val="18"/>
          <w:lang w:val="es-ES_tradnl"/>
        </w:rPr>
        <w:t xml:space="preserve"> </w:t>
      </w:r>
      <w:r>
        <w:rPr>
          <w:spacing w:val="-1"/>
          <w:sz w:val="14"/>
          <w:szCs w:val="14"/>
          <w:lang w:val="es-ES_tradnl"/>
        </w:rPr>
        <w:t>justicia.</w:t>
      </w:r>
    </w:p>
    <w:p w14:paraId="4F67AF95" w14:textId="77777777" w:rsidR="00591D54" w:rsidRDefault="00591D54" w:rsidP="00251195">
      <w:pPr>
        <w:numPr>
          <w:ilvl w:val="0"/>
          <w:numId w:val="73"/>
        </w:numPr>
        <w:shd w:val="clear" w:color="auto" w:fill="FFFFFF"/>
        <w:tabs>
          <w:tab w:val="left" w:pos="293"/>
        </w:tabs>
        <w:spacing w:line="178" w:lineRule="exact"/>
        <w:ind w:left="144"/>
        <w:rPr>
          <w:spacing w:val="-7"/>
          <w:sz w:val="14"/>
          <w:szCs w:val="14"/>
          <w:lang w:val="es-ES_tradnl"/>
        </w:rPr>
      </w:pPr>
      <w:r>
        <w:rPr>
          <w:spacing w:val="-2"/>
          <w:sz w:val="14"/>
          <w:szCs w:val="14"/>
          <w:lang w:val="es-ES_tradnl"/>
        </w:rPr>
        <w:t>Los</w:t>
      </w:r>
      <w:r>
        <w:rPr>
          <w:spacing w:val="-2"/>
          <w:sz w:val="18"/>
          <w:szCs w:val="18"/>
          <w:lang w:val="es-ES_tradnl"/>
        </w:rPr>
        <w:t xml:space="preserve"> </w:t>
      </w:r>
      <w:r>
        <w:rPr>
          <w:spacing w:val="-2"/>
          <w:sz w:val="14"/>
          <w:szCs w:val="14"/>
          <w:lang w:val="es-ES_tradnl"/>
        </w:rPr>
        <w:t>tribunales</w:t>
      </w:r>
      <w:r>
        <w:rPr>
          <w:spacing w:val="-2"/>
          <w:sz w:val="18"/>
          <w:szCs w:val="18"/>
          <w:lang w:val="es-ES_tradnl"/>
        </w:rPr>
        <w:t xml:space="preserve"> </w:t>
      </w:r>
      <w:r>
        <w:rPr>
          <w:spacing w:val="-2"/>
          <w:sz w:val="14"/>
          <w:szCs w:val="14"/>
          <w:lang w:val="es-ES_tradnl"/>
        </w:rPr>
        <w:t>y</w:t>
      </w:r>
      <w:r>
        <w:rPr>
          <w:spacing w:val="-2"/>
          <w:sz w:val="18"/>
          <w:szCs w:val="18"/>
          <w:lang w:val="es-ES_tradnl"/>
        </w:rPr>
        <w:t xml:space="preserve"> </w:t>
      </w:r>
      <w:r>
        <w:rPr>
          <w:spacing w:val="-2"/>
          <w:sz w:val="14"/>
          <w:szCs w:val="14"/>
          <w:lang w:val="es-ES_tradnl"/>
        </w:rPr>
        <w:t>juzgados</w:t>
      </w:r>
      <w:r>
        <w:rPr>
          <w:spacing w:val="-2"/>
          <w:sz w:val="18"/>
          <w:szCs w:val="18"/>
          <w:lang w:val="es-ES_tradnl"/>
        </w:rPr>
        <w:t xml:space="preserve"> </w:t>
      </w:r>
      <w:r>
        <w:rPr>
          <w:spacing w:val="-2"/>
          <w:sz w:val="14"/>
          <w:szCs w:val="14"/>
          <w:lang w:val="es-ES_tradnl"/>
        </w:rPr>
        <w:t>que</w:t>
      </w:r>
      <w:r>
        <w:rPr>
          <w:spacing w:val="-2"/>
          <w:sz w:val="18"/>
          <w:szCs w:val="18"/>
          <w:lang w:val="es-ES_tradnl"/>
        </w:rPr>
        <w:t xml:space="preserve"> </w:t>
      </w:r>
      <w:r>
        <w:rPr>
          <w:spacing w:val="-2"/>
          <w:sz w:val="14"/>
          <w:szCs w:val="14"/>
          <w:lang w:val="es-ES_tradnl"/>
        </w:rPr>
        <w:t>establezca</w:t>
      </w:r>
      <w:r>
        <w:rPr>
          <w:spacing w:val="-2"/>
          <w:sz w:val="18"/>
          <w:szCs w:val="18"/>
          <w:lang w:val="es-ES_tradnl"/>
        </w:rPr>
        <w:t xml:space="preserve"> </w:t>
      </w:r>
      <w:r>
        <w:rPr>
          <w:spacing w:val="-2"/>
          <w:sz w:val="14"/>
          <w:szCs w:val="14"/>
          <w:lang w:val="es-ES_tradnl"/>
        </w:rPr>
        <w:t>la</w:t>
      </w:r>
      <w:r>
        <w:rPr>
          <w:spacing w:val="-2"/>
          <w:sz w:val="18"/>
          <w:szCs w:val="18"/>
          <w:lang w:val="es-ES_tradnl"/>
        </w:rPr>
        <w:t xml:space="preserve"> </w:t>
      </w:r>
      <w:r>
        <w:rPr>
          <w:spacing w:val="-2"/>
          <w:sz w:val="14"/>
          <w:szCs w:val="14"/>
          <w:lang w:val="es-ES_tradnl"/>
        </w:rPr>
        <w:t>ley.</w:t>
      </w:r>
    </w:p>
    <w:p w14:paraId="4F67AF96" w14:textId="77777777" w:rsidR="00591D54" w:rsidRDefault="00591D54" w:rsidP="00251195">
      <w:pPr>
        <w:numPr>
          <w:ilvl w:val="0"/>
          <w:numId w:val="73"/>
        </w:numPr>
        <w:shd w:val="clear" w:color="auto" w:fill="FFFFFF"/>
        <w:tabs>
          <w:tab w:val="left" w:pos="293"/>
        </w:tabs>
        <w:spacing w:line="178" w:lineRule="exact"/>
        <w:ind w:left="144"/>
        <w:rPr>
          <w:spacing w:val="-7"/>
          <w:sz w:val="14"/>
          <w:szCs w:val="14"/>
          <w:lang w:val="es-ES_tradnl"/>
        </w:rPr>
      </w:pPr>
      <w:r>
        <w:rPr>
          <w:spacing w:val="-3"/>
          <w:sz w:val="14"/>
          <w:szCs w:val="14"/>
          <w:lang w:val="es-ES_tradnl"/>
        </w:rPr>
        <w:t>Los</w:t>
      </w:r>
      <w:r>
        <w:rPr>
          <w:spacing w:val="-3"/>
          <w:sz w:val="18"/>
          <w:szCs w:val="18"/>
          <w:lang w:val="es-ES_tradnl"/>
        </w:rPr>
        <w:t xml:space="preserve"> </w:t>
      </w:r>
      <w:r>
        <w:rPr>
          <w:spacing w:val="-3"/>
          <w:sz w:val="14"/>
          <w:szCs w:val="14"/>
          <w:lang w:val="es-ES_tradnl"/>
        </w:rPr>
        <w:t>juzgados</w:t>
      </w:r>
      <w:r>
        <w:rPr>
          <w:spacing w:val="-3"/>
          <w:sz w:val="18"/>
          <w:szCs w:val="18"/>
          <w:lang w:val="es-ES_tradnl"/>
        </w:rPr>
        <w:t xml:space="preserve"> </w:t>
      </w:r>
      <w:r>
        <w:rPr>
          <w:spacing w:val="-3"/>
          <w:sz w:val="14"/>
          <w:szCs w:val="14"/>
          <w:lang w:val="es-ES_tradnl"/>
        </w:rPr>
        <w:t>de</w:t>
      </w:r>
      <w:r>
        <w:rPr>
          <w:spacing w:val="-3"/>
          <w:sz w:val="18"/>
          <w:szCs w:val="18"/>
          <w:lang w:val="es-ES_tradnl"/>
        </w:rPr>
        <w:t xml:space="preserve"> </w:t>
      </w:r>
      <w:r>
        <w:rPr>
          <w:spacing w:val="-3"/>
          <w:sz w:val="14"/>
          <w:szCs w:val="14"/>
          <w:lang w:val="es-ES_tradnl"/>
        </w:rPr>
        <w:t>paz.</w:t>
      </w:r>
    </w:p>
    <w:p w14:paraId="4F67AF97" w14:textId="77777777" w:rsidR="00591D54" w:rsidRDefault="00591D54">
      <w:pPr>
        <w:shd w:val="clear" w:color="auto" w:fill="FFFFFF"/>
        <w:tabs>
          <w:tab w:val="left" w:pos="144"/>
        </w:tabs>
        <w:spacing w:before="149" w:line="178" w:lineRule="exact"/>
        <w:ind w:left="144" w:hanging="144"/>
        <w:jc w:val="both"/>
      </w:pPr>
      <w:r>
        <w:rPr>
          <w:spacing w:val="-5"/>
          <w:sz w:val="8"/>
          <w:szCs w:val="8"/>
          <w:vertAlign w:val="superscript"/>
          <w:lang w:val="es-ES_tradnl"/>
        </w:rPr>
        <w:t>16</w:t>
      </w:r>
      <w:r>
        <w:rPr>
          <w:sz w:val="18"/>
          <w:szCs w:val="18"/>
          <w:lang w:val="es-ES_tradnl"/>
        </w:rPr>
        <w:tab/>
      </w:r>
      <w:r>
        <w:rPr>
          <w:spacing w:val="-3"/>
          <w:sz w:val="14"/>
          <w:szCs w:val="14"/>
          <w:lang w:val="es-ES_tradnl"/>
        </w:rPr>
        <w:t>Art.</w:t>
      </w:r>
      <w:r>
        <w:rPr>
          <w:spacing w:val="-3"/>
          <w:sz w:val="18"/>
          <w:szCs w:val="18"/>
          <w:lang w:val="es-ES_tradnl"/>
        </w:rPr>
        <w:t xml:space="preserve"> </w:t>
      </w:r>
      <w:r>
        <w:rPr>
          <w:spacing w:val="-3"/>
          <w:sz w:val="14"/>
          <w:szCs w:val="14"/>
          <w:lang w:val="es-ES_tradnl"/>
        </w:rPr>
        <w:t>170.-</w:t>
      </w:r>
      <w:r>
        <w:rPr>
          <w:spacing w:val="-3"/>
          <w:sz w:val="18"/>
          <w:szCs w:val="18"/>
          <w:lang w:val="es-ES_tradnl"/>
        </w:rPr>
        <w:t xml:space="preserve"> </w:t>
      </w:r>
      <w:r>
        <w:rPr>
          <w:spacing w:val="-3"/>
          <w:sz w:val="14"/>
          <w:szCs w:val="14"/>
          <w:lang w:val="es-ES_tradnl"/>
        </w:rPr>
        <w:t>Los</w:t>
      </w:r>
      <w:r>
        <w:rPr>
          <w:spacing w:val="-3"/>
          <w:sz w:val="18"/>
          <w:szCs w:val="18"/>
          <w:lang w:val="es-ES_tradnl"/>
        </w:rPr>
        <w:t xml:space="preserve"> </w:t>
      </w:r>
      <w:r>
        <w:rPr>
          <w:rFonts w:cs="Times New Roman"/>
          <w:spacing w:val="-3"/>
          <w:sz w:val="14"/>
          <w:szCs w:val="14"/>
          <w:lang w:val="es-ES_tradnl"/>
        </w:rPr>
        <w:t>ó</w:t>
      </w:r>
      <w:r>
        <w:rPr>
          <w:spacing w:val="-3"/>
          <w:sz w:val="14"/>
          <w:szCs w:val="14"/>
          <w:lang w:val="es-ES_tradnl"/>
        </w:rPr>
        <w:t>rganos</w:t>
      </w:r>
      <w:r>
        <w:rPr>
          <w:spacing w:val="-3"/>
          <w:sz w:val="18"/>
          <w:szCs w:val="18"/>
          <w:lang w:val="es-ES_tradnl"/>
        </w:rPr>
        <w:t xml:space="preserve"> </w:t>
      </w:r>
      <w:r>
        <w:rPr>
          <w:spacing w:val="-3"/>
          <w:sz w:val="14"/>
          <w:szCs w:val="14"/>
          <w:lang w:val="es-ES_tradnl"/>
        </w:rPr>
        <w:t>jurisdiccionales,</w:t>
      </w:r>
      <w:r>
        <w:rPr>
          <w:spacing w:val="-3"/>
          <w:sz w:val="18"/>
          <w:szCs w:val="18"/>
          <w:lang w:val="es-ES_tradnl"/>
        </w:rPr>
        <w:t xml:space="preserve"> </w:t>
      </w:r>
      <w:r>
        <w:rPr>
          <w:spacing w:val="-3"/>
          <w:sz w:val="14"/>
          <w:szCs w:val="14"/>
          <w:lang w:val="es-ES_tradnl"/>
        </w:rPr>
        <w:t>sin</w:t>
      </w:r>
      <w:r>
        <w:rPr>
          <w:spacing w:val="-3"/>
          <w:sz w:val="18"/>
          <w:szCs w:val="18"/>
          <w:lang w:val="es-ES_tradnl"/>
        </w:rPr>
        <w:t xml:space="preserve"> </w:t>
      </w:r>
      <w:r>
        <w:rPr>
          <w:spacing w:val="-3"/>
          <w:sz w:val="14"/>
          <w:szCs w:val="14"/>
          <w:lang w:val="es-ES_tradnl"/>
        </w:rPr>
        <w:t>perjuicio</w:t>
      </w:r>
      <w:r>
        <w:rPr>
          <w:spacing w:val="-3"/>
          <w:sz w:val="18"/>
          <w:szCs w:val="18"/>
          <w:lang w:val="es-ES_tradnl"/>
        </w:rPr>
        <w:t xml:space="preserve"> </w:t>
      </w:r>
      <w:r>
        <w:rPr>
          <w:spacing w:val="-3"/>
          <w:sz w:val="14"/>
          <w:szCs w:val="14"/>
          <w:lang w:val="es-ES_tradnl"/>
        </w:rPr>
        <w:t>de</w:t>
      </w:r>
      <w:r>
        <w:rPr>
          <w:spacing w:val="-3"/>
          <w:sz w:val="18"/>
          <w:szCs w:val="18"/>
          <w:lang w:val="es-ES_tradnl"/>
        </w:rPr>
        <w:t xml:space="preserve"> </w:t>
      </w:r>
      <w:r>
        <w:rPr>
          <w:spacing w:val="-3"/>
          <w:sz w:val="14"/>
          <w:szCs w:val="14"/>
          <w:lang w:val="es-ES_tradnl"/>
        </w:rPr>
        <w:t>otros</w:t>
      </w:r>
      <w:r>
        <w:rPr>
          <w:spacing w:val="-3"/>
          <w:sz w:val="18"/>
          <w:szCs w:val="18"/>
          <w:lang w:val="es-ES_tradnl"/>
        </w:rPr>
        <w:t xml:space="preserve"> </w:t>
      </w:r>
      <w:r>
        <w:rPr>
          <w:rFonts w:cs="Times New Roman"/>
          <w:spacing w:val="-3"/>
          <w:sz w:val="14"/>
          <w:szCs w:val="14"/>
          <w:lang w:val="es-ES_tradnl"/>
        </w:rPr>
        <w:t>ó</w:t>
      </w:r>
      <w:r>
        <w:rPr>
          <w:spacing w:val="-3"/>
          <w:sz w:val="14"/>
          <w:szCs w:val="14"/>
          <w:lang w:val="es-ES_tradnl"/>
        </w:rPr>
        <w:t>rganos </w:t>
      </w:r>
      <w:r>
        <w:rPr>
          <w:spacing w:val="-1"/>
          <w:sz w:val="14"/>
          <w:szCs w:val="14"/>
          <w:lang w:val="es-ES_tradnl"/>
        </w:rPr>
        <w:t>con iguales potestades reconocidos en la Constituci</w:t>
      </w:r>
      <w:r>
        <w:rPr>
          <w:rFonts w:cs="Times New Roman"/>
          <w:spacing w:val="-1"/>
          <w:sz w:val="14"/>
          <w:szCs w:val="14"/>
          <w:lang w:val="es-ES_tradnl"/>
        </w:rPr>
        <w:t>ó</w:t>
      </w:r>
      <w:r>
        <w:rPr>
          <w:spacing w:val="-1"/>
          <w:sz w:val="14"/>
          <w:szCs w:val="14"/>
          <w:lang w:val="es-ES_tradnl"/>
        </w:rPr>
        <w:t>n, son los </w:t>
      </w:r>
      <w:r>
        <w:rPr>
          <w:spacing w:val="-3"/>
          <w:sz w:val="14"/>
          <w:szCs w:val="14"/>
          <w:lang w:val="es-ES_tradnl"/>
        </w:rPr>
        <w:t>encargados de administrar justicia y hacer ejecutar lo juzgado. Ser</w:t>
      </w:r>
      <w:r>
        <w:rPr>
          <w:rFonts w:cs="Times New Roman"/>
          <w:spacing w:val="-3"/>
          <w:sz w:val="14"/>
          <w:szCs w:val="14"/>
          <w:lang w:val="es-ES_tradnl"/>
        </w:rPr>
        <w:t>á</w:t>
      </w:r>
      <w:r>
        <w:rPr>
          <w:spacing w:val="-3"/>
          <w:sz w:val="14"/>
          <w:szCs w:val="14"/>
          <w:lang w:val="es-ES_tradnl"/>
        </w:rPr>
        <w:t>n </w:t>
      </w:r>
      <w:r>
        <w:rPr>
          <w:spacing w:val="-2"/>
          <w:sz w:val="14"/>
          <w:szCs w:val="14"/>
          <w:lang w:val="es-ES_tradnl"/>
        </w:rPr>
        <w:t>los siguientes: las juezas y jueces de paz; los tribunales y juzgados </w:t>
      </w:r>
      <w:r>
        <w:rPr>
          <w:spacing w:val="-1"/>
          <w:sz w:val="14"/>
          <w:szCs w:val="14"/>
          <w:lang w:val="es-ES_tradnl"/>
        </w:rPr>
        <w:t>que establece este C</w:t>
      </w:r>
      <w:r>
        <w:rPr>
          <w:rFonts w:cs="Times New Roman"/>
          <w:spacing w:val="-1"/>
          <w:sz w:val="14"/>
          <w:szCs w:val="14"/>
          <w:lang w:val="es-ES_tradnl"/>
        </w:rPr>
        <w:t>ó</w:t>
      </w:r>
      <w:r>
        <w:rPr>
          <w:spacing w:val="-1"/>
          <w:sz w:val="14"/>
          <w:szCs w:val="14"/>
          <w:lang w:val="es-ES_tradnl"/>
        </w:rPr>
        <w:t>digo; las cortes provinciales de justicia y la </w:t>
      </w:r>
      <w:r>
        <w:rPr>
          <w:sz w:val="14"/>
          <w:szCs w:val="14"/>
          <w:lang w:val="es-ES_tradnl"/>
        </w:rPr>
        <w:t>Corte Nacional de Justicia.</w:t>
      </w:r>
    </w:p>
    <w:p w14:paraId="4F67AF98" w14:textId="77777777" w:rsidR="00591D54" w:rsidRDefault="00591D54">
      <w:pPr>
        <w:shd w:val="clear" w:color="auto" w:fill="FFFFFF"/>
        <w:tabs>
          <w:tab w:val="left" w:pos="144"/>
        </w:tabs>
        <w:spacing w:before="149" w:line="178" w:lineRule="exact"/>
        <w:ind w:left="144" w:hanging="144"/>
        <w:jc w:val="both"/>
        <w:sectPr w:rsidR="00591D54">
          <w:type w:val="continuous"/>
          <w:pgSz w:w="11909" w:h="16834"/>
          <w:pgMar w:top="1356" w:right="1309" w:bottom="360" w:left="1308" w:header="720" w:footer="720" w:gutter="0"/>
          <w:cols w:num="2" w:space="720" w:equalWidth="0">
            <w:col w:w="4305" w:space="682"/>
            <w:col w:w="4305"/>
          </w:cols>
          <w:noEndnote/>
        </w:sectPr>
      </w:pPr>
    </w:p>
    <w:p w14:paraId="4F67AF99" w14:textId="77777777" w:rsidR="00591D54" w:rsidRDefault="00591D54">
      <w:pPr>
        <w:shd w:val="clear" w:color="auto" w:fill="FFFFFF"/>
        <w:tabs>
          <w:tab w:val="left" w:pos="4814"/>
        </w:tabs>
        <w:spacing w:after="235"/>
        <w:ind w:left="14"/>
      </w:pPr>
      <w:r>
        <w:rPr>
          <w:b/>
          <w:bCs/>
          <w:sz w:val="18"/>
          <w:szCs w:val="18"/>
          <w:lang w:val="es-ES_tradnl"/>
        </w:rPr>
        <w:t xml:space="preserve">148 -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F9A" w14:textId="77777777" w:rsidR="00591D54" w:rsidRDefault="00591D54">
      <w:pPr>
        <w:shd w:val="clear" w:color="auto" w:fill="FFFFFF"/>
        <w:tabs>
          <w:tab w:val="left" w:pos="4814"/>
        </w:tabs>
        <w:spacing w:after="235"/>
        <w:ind w:left="14"/>
        <w:sectPr w:rsidR="00591D54">
          <w:pgSz w:w="11909" w:h="16834"/>
          <w:pgMar w:top="1356" w:right="1309" w:bottom="360" w:left="1308" w:header="720" w:footer="720" w:gutter="0"/>
          <w:cols w:space="60"/>
          <w:noEndnote/>
        </w:sectPr>
      </w:pPr>
    </w:p>
    <w:p w14:paraId="4F67AF9B" w14:textId="77777777" w:rsidR="00591D54" w:rsidRDefault="00591D54">
      <w:pPr>
        <w:shd w:val="clear" w:color="auto" w:fill="FFFFFF"/>
        <w:spacing w:line="216" w:lineRule="exact"/>
        <w:jc w:val="both"/>
      </w:pPr>
      <w:r>
        <w:rPr>
          <w:spacing w:val="-2"/>
          <w:sz w:val="18"/>
          <w:szCs w:val="18"/>
          <w:lang w:val="es-ES_tradnl"/>
        </w:rPr>
        <w:t>Tanto es as</w:t>
      </w:r>
      <w:r>
        <w:rPr>
          <w:rFonts w:cs="Times New Roman"/>
          <w:spacing w:val="-2"/>
          <w:sz w:val="18"/>
          <w:szCs w:val="18"/>
          <w:lang w:val="es-ES_tradnl"/>
        </w:rPr>
        <w:t>í</w:t>
      </w:r>
      <w:r>
        <w:rPr>
          <w:spacing w:val="-2"/>
          <w:sz w:val="18"/>
          <w:szCs w:val="18"/>
          <w:lang w:val="es-ES_tradnl"/>
        </w:rPr>
        <w:t xml:space="preserve"> que de conformidad con lo establecido en </w:t>
      </w:r>
      <w:r>
        <w:rPr>
          <w:spacing w:val="-6"/>
          <w:sz w:val="18"/>
          <w:szCs w:val="18"/>
          <w:lang w:val="es-ES_tradnl"/>
        </w:rPr>
        <w:t>el art</w:t>
      </w:r>
      <w:r>
        <w:rPr>
          <w:rFonts w:cs="Times New Roman"/>
          <w:spacing w:val="-6"/>
          <w:sz w:val="18"/>
          <w:szCs w:val="18"/>
          <w:lang w:val="es-ES_tradnl"/>
        </w:rPr>
        <w:t>í</w:t>
      </w:r>
      <w:r>
        <w:rPr>
          <w:spacing w:val="-6"/>
          <w:sz w:val="18"/>
          <w:szCs w:val="18"/>
          <w:lang w:val="es-ES_tradnl"/>
        </w:rPr>
        <w:t>culo 182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w:t>
      </w:r>
      <w:r>
        <w:rPr>
          <w:spacing w:val="-6"/>
          <w:sz w:val="18"/>
          <w:szCs w:val="18"/>
          <w:vertAlign w:val="superscript"/>
          <w:lang w:val="es-ES_tradnl"/>
        </w:rPr>
        <w:t>17</w:t>
      </w:r>
      <w:r>
        <w:rPr>
          <w:spacing w:val="-6"/>
          <w:sz w:val="18"/>
          <w:szCs w:val="18"/>
          <w:lang w:val="es-ES_tradnl"/>
        </w:rPr>
        <w:t xml:space="preserve">, y el </w:t>
      </w:r>
      <w:r>
        <w:rPr>
          <w:spacing w:val="-7"/>
          <w:sz w:val="18"/>
          <w:szCs w:val="18"/>
          <w:lang w:val="es-ES_tradnl"/>
        </w:rPr>
        <w:t>articulo 199 del C</w:t>
      </w:r>
      <w:r>
        <w:rPr>
          <w:rFonts w:cs="Times New Roman"/>
          <w:spacing w:val="-7"/>
          <w:sz w:val="18"/>
          <w:szCs w:val="18"/>
          <w:lang w:val="es-ES_tradnl"/>
        </w:rPr>
        <w:t>ó</w:t>
      </w:r>
      <w:r>
        <w:rPr>
          <w:spacing w:val="-7"/>
          <w:sz w:val="18"/>
          <w:szCs w:val="18"/>
          <w:lang w:val="es-ES_tradnl"/>
        </w:rPr>
        <w:t>digo Org</w:t>
      </w:r>
      <w:r>
        <w:rPr>
          <w:rFonts w:cs="Times New Roman"/>
          <w:spacing w:val="-7"/>
          <w:sz w:val="18"/>
          <w:szCs w:val="18"/>
          <w:lang w:val="es-ES_tradnl"/>
        </w:rPr>
        <w:t>á</w:t>
      </w:r>
      <w:r>
        <w:rPr>
          <w:spacing w:val="-7"/>
          <w:sz w:val="18"/>
          <w:szCs w:val="18"/>
          <w:lang w:val="es-ES_tradnl"/>
        </w:rPr>
        <w:t>nico de la Funci</w:t>
      </w:r>
      <w:r>
        <w:rPr>
          <w:rFonts w:cs="Times New Roman"/>
          <w:spacing w:val="-7"/>
          <w:sz w:val="18"/>
          <w:szCs w:val="18"/>
          <w:lang w:val="es-ES_tradnl"/>
        </w:rPr>
        <w:t>ó</w:t>
      </w:r>
      <w:r>
        <w:rPr>
          <w:spacing w:val="-7"/>
          <w:sz w:val="18"/>
          <w:szCs w:val="18"/>
          <w:lang w:val="es-ES_tradnl"/>
        </w:rPr>
        <w:t>n Judicial</w:t>
      </w:r>
      <w:r>
        <w:rPr>
          <w:spacing w:val="-7"/>
          <w:sz w:val="18"/>
          <w:szCs w:val="18"/>
          <w:vertAlign w:val="superscript"/>
          <w:lang w:val="es-ES_tradnl"/>
        </w:rPr>
        <w:t>18</w:t>
      </w:r>
      <w:r>
        <w:rPr>
          <w:spacing w:val="-7"/>
          <w:sz w:val="18"/>
          <w:szCs w:val="18"/>
          <w:lang w:val="es-ES_tradnl"/>
        </w:rPr>
        <w:t xml:space="preserve">, el presidente de la Corte Nacional de Justicia representa a </w:t>
      </w:r>
      <w:r>
        <w:rPr>
          <w:spacing w:val="-6"/>
          <w:sz w:val="18"/>
          <w:szCs w:val="18"/>
          <w:lang w:val="es-ES_tradnl"/>
        </w:rPr>
        <w:t>la Funci</w:t>
      </w:r>
      <w:r>
        <w:rPr>
          <w:rFonts w:cs="Times New Roman"/>
          <w:spacing w:val="-6"/>
          <w:sz w:val="18"/>
          <w:szCs w:val="18"/>
          <w:lang w:val="es-ES_tradnl"/>
        </w:rPr>
        <w:t>ó</w:t>
      </w:r>
      <w:r>
        <w:rPr>
          <w:spacing w:val="-6"/>
          <w:sz w:val="18"/>
          <w:szCs w:val="18"/>
          <w:lang w:val="es-ES_tradnl"/>
        </w:rPr>
        <w:t>n Judicial, lo que lo ubica en el nivel m</w:t>
      </w:r>
      <w:r>
        <w:rPr>
          <w:rFonts w:cs="Times New Roman"/>
          <w:spacing w:val="-6"/>
          <w:sz w:val="18"/>
          <w:szCs w:val="18"/>
          <w:lang w:val="es-ES_tradnl"/>
        </w:rPr>
        <w:t>á</w:t>
      </w:r>
      <w:r>
        <w:rPr>
          <w:spacing w:val="-6"/>
          <w:sz w:val="18"/>
          <w:szCs w:val="18"/>
          <w:lang w:val="es-ES_tradnl"/>
        </w:rPr>
        <w:t xml:space="preserve">s alto de </w:t>
      </w:r>
      <w:r>
        <w:rPr>
          <w:spacing w:val="-10"/>
          <w:sz w:val="18"/>
          <w:szCs w:val="18"/>
          <w:lang w:val="es-ES_tradnl"/>
        </w:rPr>
        <w:t>dicha funci</w:t>
      </w:r>
      <w:r>
        <w:rPr>
          <w:rFonts w:cs="Times New Roman"/>
          <w:spacing w:val="-10"/>
          <w:sz w:val="18"/>
          <w:szCs w:val="18"/>
          <w:lang w:val="es-ES_tradnl"/>
        </w:rPr>
        <w:t>ó</w:t>
      </w:r>
      <w:r>
        <w:rPr>
          <w:spacing w:val="-10"/>
          <w:sz w:val="18"/>
          <w:szCs w:val="18"/>
          <w:lang w:val="es-ES_tradnl"/>
        </w:rPr>
        <w:t>n del Estado, por lo que sus decisiones priman y son jer</w:t>
      </w:r>
      <w:r>
        <w:rPr>
          <w:rFonts w:cs="Times New Roman"/>
          <w:spacing w:val="-10"/>
          <w:sz w:val="18"/>
          <w:szCs w:val="18"/>
          <w:lang w:val="es-ES_tradnl"/>
        </w:rPr>
        <w:t>á</w:t>
      </w:r>
      <w:r>
        <w:rPr>
          <w:spacing w:val="-10"/>
          <w:sz w:val="18"/>
          <w:szCs w:val="18"/>
          <w:lang w:val="es-ES_tradnl"/>
        </w:rPr>
        <w:t xml:space="preserve">rquicamente superiores a las decisiones de aquellos </w:t>
      </w:r>
      <w:r>
        <w:rPr>
          <w:spacing w:val="-5"/>
          <w:sz w:val="18"/>
          <w:szCs w:val="18"/>
          <w:lang w:val="es-ES_tradnl"/>
        </w:rPr>
        <w:t xml:space="preserve">jueces que se encuentran en los niveles inferiores; tal es </w:t>
      </w:r>
      <w:r>
        <w:rPr>
          <w:spacing w:val="-9"/>
          <w:sz w:val="18"/>
          <w:szCs w:val="18"/>
          <w:lang w:val="es-ES_tradnl"/>
        </w:rPr>
        <w:t xml:space="preserve">el caso de los jueces de las cortes provinciales y jueces de </w:t>
      </w:r>
      <w:r>
        <w:rPr>
          <w:sz w:val="18"/>
          <w:szCs w:val="18"/>
          <w:lang w:val="es-ES_tradnl"/>
        </w:rPr>
        <w:t>primera instancia.</w:t>
      </w:r>
    </w:p>
    <w:p w14:paraId="4F67AF9C" w14:textId="77777777" w:rsidR="00591D54" w:rsidRDefault="00591D54">
      <w:pPr>
        <w:shd w:val="clear" w:color="auto" w:fill="FFFFFF"/>
        <w:spacing w:before="197" w:line="216" w:lineRule="exact"/>
        <w:jc w:val="both"/>
      </w:pPr>
      <w:r>
        <w:rPr>
          <w:spacing w:val="-7"/>
          <w:sz w:val="18"/>
          <w:szCs w:val="18"/>
          <w:lang w:val="es-ES_tradnl"/>
        </w:rPr>
        <w:t>Por ello, esta Corte considera que en garant</w:t>
      </w:r>
      <w:r>
        <w:rPr>
          <w:rFonts w:cs="Times New Roman"/>
          <w:spacing w:val="-7"/>
          <w:sz w:val="18"/>
          <w:szCs w:val="18"/>
          <w:lang w:val="es-ES_tradnl"/>
        </w:rPr>
        <w:t>í</w:t>
      </w:r>
      <w:r>
        <w:rPr>
          <w:spacing w:val="-7"/>
          <w:sz w:val="18"/>
          <w:szCs w:val="18"/>
          <w:lang w:val="es-ES_tradnl"/>
        </w:rPr>
        <w:t xml:space="preserve">a del principio </w:t>
      </w:r>
      <w:r>
        <w:rPr>
          <w:spacing w:val="-3"/>
          <w:sz w:val="18"/>
          <w:szCs w:val="18"/>
          <w:lang w:val="es-ES_tradnl"/>
        </w:rPr>
        <w:t>de jerarqu</w:t>
      </w:r>
      <w:r>
        <w:rPr>
          <w:rFonts w:cs="Times New Roman"/>
          <w:spacing w:val="-3"/>
          <w:sz w:val="18"/>
          <w:szCs w:val="18"/>
          <w:lang w:val="es-ES_tradnl"/>
        </w:rPr>
        <w:t>í</w:t>
      </w:r>
      <w:r>
        <w:rPr>
          <w:spacing w:val="-3"/>
          <w:sz w:val="18"/>
          <w:szCs w:val="18"/>
          <w:lang w:val="es-ES_tradnl"/>
        </w:rPr>
        <w:t xml:space="preserve">a, cuando el presidente de la Corte Nacional </w:t>
      </w:r>
      <w:r>
        <w:rPr>
          <w:spacing w:val="-4"/>
          <w:sz w:val="18"/>
          <w:szCs w:val="18"/>
          <w:lang w:val="es-ES_tradnl"/>
        </w:rPr>
        <w:t>de Justicia haya dictado una orden de detenci</w:t>
      </w:r>
      <w:r>
        <w:rPr>
          <w:rFonts w:cs="Times New Roman"/>
          <w:spacing w:val="-4"/>
          <w:sz w:val="18"/>
          <w:szCs w:val="18"/>
          <w:lang w:val="es-ES_tradnl"/>
        </w:rPr>
        <w:t>ó</w:t>
      </w:r>
      <w:r>
        <w:rPr>
          <w:spacing w:val="-4"/>
          <w:sz w:val="18"/>
          <w:szCs w:val="18"/>
          <w:lang w:val="es-ES_tradnl"/>
        </w:rPr>
        <w:t xml:space="preserve">n dentro </w:t>
      </w:r>
      <w:r>
        <w:rPr>
          <w:spacing w:val="-7"/>
          <w:sz w:val="18"/>
          <w:szCs w:val="18"/>
          <w:lang w:val="es-ES_tradnl"/>
        </w:rPr>
        <w:t>de un proceso de extradici</w:t>
      </w:r>
      <w:r>
        <w:rPr>
          <w:rFonts w:cs="Times New Roman"/>
          <w:spacing w:val="-7"/>
          <w:sz w:val="18"/>
          <w:szCs w:val="18"/>
          <w:lang w:val="es-ES_tradnl"/>
        </w:rPr>
        <w:t>ó</w:t>
      </w:r>
      <w:r>
        <w:rPr>
          <w:spacing w:val="-7"/>
          <w:sz w:val="18"/>
          <w:szCs w:val="18"/>
          <w:lang w:val="es-ES_tradnl"/>
        </w:rPr>
        <w:t>n y se presente una acci</w:t>
      </w:r>
      <w:r>
        <w:rPr>
          <w:rFonts w:cs="Times New Roman"/>
          <w:spacing w:val="-7"/>
          <w:sz w:val="18"/>
          <w:szCs w:val="18"/>
          <w:lang w:val="es-ES_tradnl"/>
        </w:rPr>
        <w:t>ó</w:t>
      </w:r>
      <w:r>
        <w:rPr>
          <w:spacing w:val="-7"/>
          <w:sz w:val="18"/>
          <w:szCs w:val="18"/>
          <w:lang w:val="es-ES_tradnl"/>
        </w:rPr>
        <w:t xml:space="preserve">n </w:t>
      </w:r>
      <w:r>
        <w:rPr>
          <w:spacing w:val="-9"/>
          <w:sz w:val="18"/>
          <w:szCs w:val="18"/>
          <w:lang w:val="es-ES_tradnl"/>
        </w:rPr>
        <w:t>constitucional de h</w:t>
      </w:r>
      <w:r>
        <w:rPr>
          <w:rFonts w:cs="Times New Roman"/>
          <w:spacing w:val="-9"/>
          <w:sz w:val="18"/>
          <w:szCs w:val="18"/>
          <w:lang w:val="es-ES_tradnl"/>
        </w:rPr>
        <w:t>á</w:t>
      </w:r>
      <w:r>
        <w:rPr>
          <w:spacing w:val="-9"/>
          <w:sz w:val="18"/>
          <w:szCs w:val="18"/>
          <w:lang w:val="es-ES_tradnl"/>
        </w:rPr>
        <w:t>beas corpus, esta deber</w:t>
      </w:r>
      <w:r>
        <w:rPr>
          <w:rFonts w:cs="Times New Roman"/>
          <w:spacing w:val="-9"/>
          <w:sz w:val="18"/>
          <w:szCs w:val="18"/>
          <w:lang w:val="es-ES_tradnl"/>
        </w:rPr>
        <w:t>á</w:t>
      </w:r>
      <w:r>
        <w:rPr>
          <w:spacing w:val="-9"/>
          <w:sz w:val="18"/>
          <w:szCs w:val="18"/>
          <w:lang w:val="es-ES_tradnl"/>
        </w:rPr>
        <w:t xml:space="preserve"> ser conocida </w:t>
      </w:r>
      <w:r>
        <w:rPr>
          <w:spacing w:val="-10"/>
          <w:sz w:val="18"/>
          <w:szCs w:val="18"/>
          <w:lang w:val="es-ES_tradnl"/>
        </w:rPr>
        <w:t>por una de las salas de la Corte Nacional de Justicia y podr</w:t>
      </w:r>
      <w:r>
        <w:rPr>
          <w:rFonts w:cs="Times New Roman"/>
          <w:spacing w:val="-10"/>
          <w:sz w:val="18"/>
          <w:szCs w:val="18"/>
          <w:lang w:val="es-ES_tradnl"/>
        </w:rPr>
        <w:t xml:space="preserve">á </w:t>
      </w:r>
      <w:r>
        <w:rPr>
          <w:spacing w:val="-7"/>
          <w:sz w:val="18"/>
          <w:szCs w:val="18"/>
          <w:lang w:val="es-ES_tradnl"/>
        </w:rPr>
        <w:t>ser apelada tal como se lo establece en la parte final del numeral 4 del art</w:t>
      </w:r>
      <w:r>
        <w:rPr>
          <w:rFonts w:cs="Times New Roman"/>
          <w:spacing w:val="-7"/>
          <w:sz w:val="18"/>
          <w:szCs w:val="18"/>
          <w:lang w:val="es-ES_tradnl"/>
        </w:rPr>
        <w:t>í</w:t>
      </w:r>
      <w:r>
        <w:rPr>
          <w:spacing w:val="-7"/>
          <w:sz w:val="18"/>
          <w:szCs w:val="18"/>
          <w:lang w:val="es-ES_tradnl"/>
        </w:rPr>
        <w:t>culo 44 de la Ley Org</w:t>
      </w:r>
      <w:r>
        <w:rPr>
          <w:rFonts w:cs="Times New Roman"/>
          <w:spacing w:val="-7"/>
          <w:sz w:val="18"/>
          <w:szCs w:val="18"/>
          <w:lang w:val="es-ES_tradnl"/>
        </w:rPr>
        <w:t>á</w:t>
      </w:r>
      <w:r>
        <w:rPr>
          <w:spacing w:val="-7"/>
          <w:sz w:val="18"/>
          <w:szCs w:val="18"/>
          <w:lang w:val="es-ES_tradnl"/>
        </w:rPr>
        <w:t>nica de Garant</w:t>
      </w:r>
      <w:r>
        <w:rPr>
          <w:rFonts w:cs="Times New Roman"/>
          <w:spacing w:val="-7"/>
          <w:sz w:val="18"/>
          <w:szCs w:val="18"/>
          <w:lang w:val="es-ES_tradnl"/>
        </w:rPr>
        <w:t>í</w:t>
      </w:r>
      <w:r>
        <w:rPr>
          <w:spacing w:val="-7"/>
          <w:sz w:val="18"/>
          <w:szCs w:val="18"/>
          <w:lang w:val="es-ES_tradnl"/>
        </w:rPr>
        <w:t>as Jurisdiccionales y Control Constitucional</w:t>
      </w:r>
      <w:r>
        <w:rPr>
          <w:spacing w:val="-7"/>
          <w:sz w:val="18"/>
          <w:szCs w:val="18"/>
          <w:vertAlign w:val="superscript"/>
          <w:lang w:val="es-ES_tradnl"/>
        </w:rPr>
        <w:t>19</w:t>
      </w:r>
      <w:r>
        <w:rPr>
          <w:spacing w:val="-7"/>
          <w:sz w:val="18"/>
          <w:szCs w:val="18"/>
          <w:lang w:val="es-ES_tradnl"/>
        </w:rPr>
        <w:t>, es decir, ante otra Sala distinta a la que conoci</w:t>
      </w:r>
      <w:r>
        <w:rPr>
          <w:rFonts w:cs="Times New Roman"/>
          <w:spacing w:val="-7"/>
          <w:sz w:val="18"/>
          <w:szCs w:val="18"/>
          <w:lang w:val="es-ES_tradnl"/>
        </w:rPr>
        <w:t>ó</w:t>
      </w:r>
      <w:r>
        <w:rPr>
          <w:spacing w:val="-7"/>
          <w:sz w:val="18"/>
          <w:szCs w:val="18"/>
          <w:lang w:val="es-ES_tradnl"/>
        </w:rPr>
        <w:t xml:space="preserve"> originalmente la acci</w:t>
      </w:r>
      <w:r>
        <w:rPr>
          <w:rFonts w:cs="Times New Roman"/>
          <w:spacing w:val="-7"/>
          <w:sz w:val="18"/>
          <w:szCs w:val="18"/>
          <w:lang w:val="es-ES_tradnl"/>
        </w:rPr>
        <w:t>ó</w:t>
      </w:r>
      <w:r>
        <w:rPr>
          <w:spacing w:val="-7"/>
          <w:sz w:val="18"/>
          <w:szCs w:val="18"/>
          <w:lang w:val="es-ES_tradnl"/>
        </w:rPr>
        <w:t>n. No obstante, existe un vac</w:t>
      </w:r>
      <w:r>
        <w:rPr>
          <w:rFonts w:cs="Times New Roman"/>
          <w:spacing w:val="-7"/>
          <w:sz w:val="18"/>
          <w:szCs w:val="18"/>
          <w:lang w:val="es-ES_tradnl"/>
        </w:rPr>
        <w:t>í</w:t>
      </w:r>
      <w:r>
        <w:rPr>
          <w:spacing w:val="-7"/>
          <w:sz w:val="18"/>
          <w:szCs w:val="18"/>
          <w:lang w:val="es-ES_tradnl"/>
        </w:rPr>
        <w:t>o legal en el art</w:t>
      </w:r>
      <w:r>
        <w:rPr>
          <w:rFonts w:cs="Times New Roman"/>
          <w:spacing w:val="-7"/>
          <w:sz w:val="18"/>
          <w:szCs w:val="18"/>
          <w:lang w:val="es-ES_tradnl"/>
        </w:rPr>
        <w:t>í</w:t>
      </w:r>
      <w:r>
        <w:rPr>
          <w:spacing w:val="-7"/>
          <w:sz w:val="18"/>
          <w:szCs w:val="18"/>
          <w:lang w:val="es-ES_tradnl"/>
        </w:rPr>
        <w:t xml:space="preserve">culo 169, pues </w:t>
      </w:r>
      <w:r>
        <w:rPr>
          <w:spacing w:val="-6"/>
          <w:sz w:val="18"/>
          <w:szCs w:val="18"/>
          <w:lang w:val="es-ES_tradnl"/>
        </w:rPr>
        <w:t xml:space="preserve">como ya se dijo, este permite </w:t>
      </w:r>
      <w:r>
        <w:rPr>
          <w:rFonts w:cs="Times New Roman"/>
          <w:spacing w:val="-6"/>
          <w:sz w:val="18"/>
          <w:szCs w:val="18"/>
          <w:lang w:val="es-ES_tradnl"/>
        </w:rPr>
        <w:t>ú</w:t>
      </w:r>
      <w:r>
        <w:rPr>
          <w:spacing w:val="-6"/>
          <w:sz w:val="18"/>
          <w:szCs w:val="18"/>
          <w:lang w:val="es-ES_tradnl"/>
        </w:rPr>
        <w:t xml:space="preserve">nicamente que la Corte </w:t>
      </w:r>
      <w:r>
        <w:rPr>
          <w:spacing w:val="-9"/>
          <w:sz w:val="18"/>
          <w:szCs w:val="18"/>
          <w:lang w:val="es-ES_tradnl"/>
        </w:rPr>
        <w:t xml:space="preserve">Nacional de Justicia se pronuncie </w:t>
      </w:r>
      <w:r>
        <w:rPr>
          <w:rFonts w:cs="Times New Roman"/>
          <w:spacing w:val="-9"/>
          <w:sz w:val="18"/>
          <w:szCs w:val="18"/>
          <w:lang w:val="es-ES_tradnl"/>
        </w:rPr>
        <w:t>ú</w:t>
      </w:r>
      <w:r>
        <w:rPr>
          <w:spacing w:val="-9"/>
          <w:sz w:val="18"/>
          <w:szCs w:val="18"/>
          <w:lang w:val="es-ES_tradnl"/>
        </w:rPr>
        <w:t xml:space="preserve">nicamente como </w:t>
      </w:r>
      <w:r>
        <w:rPr>
          <w:rFonts w:cs="Times New Roman"/>
          <w:spacing w:val="-9"/>
          <w:sz w:val="18"/>
          <w:szCs w:val="18"/>
          <w:lang w:val="es-ES_tradnl"/>
        </w:rPr>
        <w:t>ó</w:t>
      </w:r>
      <w:r>
        <w:rPr>
          <w:spacing w:val="-9"/>
          <w:sz w:val="18"/>
          <w:szCs w:val="18"/>
          <w:lang w:val="es-ES_tradnl"/>
        </w:rPr>
        <w:t xml:space="preserve">rgano </w:t>
      </w:r>
      <w:r>
        <w:rPr>
          <w:sz w:val="18"/>
          <w:szCs w:val="18"/>
          <w:lang w:val="es-ES_tradnl"/>
        </w:rPr>
        <w:t>de primera instancia en casos de fuero.</w:t>
      </w:r>
    </w:p>
    <w:p w14:paraId="4F67AF9D" w14:textId="77777777" w:rsidR="00591D54" w:rsidRDefault="00591D54">
      <w:pPr>
        <w:shd w:val="clear" w:color="auto" w:fill="FFFFFF"/>
        <w:spacing w:before="197" w:line="216" w:lineRule="exact"/>
        <w:ind w:right="5"/>
        <w:jc w:val="both"/>
      </w:pPr>
      <w:r>
        <w:rPr>
          <w:spacing w:val="-7"/>
          <w:sz w:val="18"/>
          <w:szCs w:val="18"/>
          <w:lang w:val="es-ES_tradnl"/>
        </w:rPr>
        <w:t>Es justamente ante este vac</w:t>
      </w:r>
      <w:r>
        <w:rPr>
          <w:rFonts w:cs="Times New Roman"/>
          <w:spacing w:val="-7"/>
          <w:sz w:val="18"/>
          <w:szCs w:val="18"/>
          <w:lang w:val="es-ES_tradnl"/>
        </w:rPr>
        <w:t>í</w:t>
      </w:r>
      <w:r>
        <w:rPr>
          <w:spacing w:val="-7"/>
          <w:sz w:val="18"/>
          <w:szCs w:val="18"/>
          <w:lang w:val="es-ES_tradnl"/>
        </w:rPr>
        <w:t xml:space="preserve">o legal generado por los </w:t>
      </w:r>
      <w:r>
        <w:rPr>
          <w:spacing w:val="-12"/>
          <w:sz w:val="18"/>
          <w:szCs w:val="18"/>
          <w:lang w:val="es-ES_tradnl"/>
        </w:rPr>
        <w:t xml:space="preserve">legisladores el momento de redactar la norma, que esta Corte </w:t>
      </w:r>
      <w:r>
        <w:rPr>
          <w:spacing w:val="-2"/>
          <w:sz w:val="18"/>
          <w:szCs w:val="18"/>
          <w:lang w:val="es-ES_tradnl"/>
        </w:rPr>
        <w:t>Constitucional, como m</w:t>
      </w:r>
      <w:r>
        <w:rPr>
          <w:rFonts w:cs="Times New Roman"/>
          <w:spacing w:val="-2"/>
          <w:sz w:val="18"/>
          <w:szCs w:val="18"/>
          <w:lang w:val="es-ES_tradnl"/>
        </w:rPr>
        <w:t>á</w:t>
      </w:r>
      <w:r>
        <w:rPr>
          <w:spacing w:val="-2"/>
          <w:sz w:val="18"/>
          <w:szCs w:val="18"/>
          <w:lang w:val="es-ES_tradnl"/>
        </w:rPr>
        <w:t xml:space="preserve">ximo </w:t>
      </w:r>
      <w:r>
        <w:rPr>
          <w:rFonts w:cs="Times New Roman"/>
          <w:spacing w:val="-2"/>
          <w:sz w:val="18"/>
          <w:szCs w:val="18"/>
          <w:lang w:val="es-ES_tradnl"/>
        </w:rPr>
        <w:t>ó</w:t>
      </w:r>
      <w:r>
        <w:rPr>
          <w:spacing w:val="-2"/>
          <w:sz w:val="18"/>
          <w:szCs w:val="18"/>
          <w:lang w:val="es-ES_tradnl"/>
        </w:rPr>
        <w:t>rgano de interpretaci</w:t>
      </w:r>
      <w:r>
        <w:rPr>
          <w:rFonts w:cs="Times New Roman"/>
          <w:spacing w:val="-2"/>
          <w:sz w:val="18"/>
          <w:szCs w:val="18"/>
          <w:lang w:val="es-ES_tradnl"/>
        </w:rPr>
        <w:t>ó</w:t>
      </w:r>
      <w:r>
        <w:rPr>
          <w:spacing w:val="-2"/>
          <w:sz w:val="18"/>
          <w:szCs w:val="18"/>
          <w:lang w:val="es-ES_tradnl"/>
        </w:rPr>
        <w:t xml:space="preserve">n </w:t>
      </w:r>
      <w:r>
        <w:rPr>
          <w:sz w:val="18"/>
          <w:szCs w:val="18"/>
          <w:lang w:val="es-ES_tradnl"/>
        </w:rPr>
        <w:t xml:space="preserve">y control constitucional, para evitar afectaciones a </w:t>
      </w:r>
      <w:r>
        <w:rPr>
          <w:spacing w:val="-5"/>
          <w:sz w:val="18"/>
          <w:szCs w:val="18"/>
          <w:lang w:val="es-ES_tradnl"/>
        </w:rPr>
        <w:t>derechos constitucionales de las personas y en atenci</w:t>
      </w:r>
      <w:r>
        <w:rPr>
          <w:rFonts w:cs="Times New Roman"/>
          <w:spacing w:val="-5"/>
          <w:sz w:val="18"/>
          <w:szCs w:val="18"/>
          <w:lang w:val="es-ES_tradnl"/>
        </w:rPr>
        <w:t>ó</w:t>
      </w:r>
      <w:r>
        <w:rPr>
          <w:spacing w:val="-5"/>
          <w:sz w:val="18"/>
          <w:szCs w:val="18"/>
          <w:lang w:val="es-ES_tradnl"/>
        </w:rPr>
        <w:t xml:space="preserve">n </w:t>
      </w:r>
      <w:r>
        <w:rPr>
          <w:sz w:val="18"/>
          <w:szCs w:val="18"/>
          <w:lang w:val="es-ES_tradnl"/>
        </w:rPr>
        <w:t>al principio de conservaci</w:t>
      </w:r>
      <w:r>
        <w:rPr>
          <w:rFonts w:cs="Times New Roman"/>
          <w:sz w:val="18"/>
          <w:szCs w:val="18"/>
          <w:lang w:val="es-ES_tradnl"/>
        </w:rPr>
        <w:t>ó</w:t>
      </w:r>
      <w:r>
        <w:rPr>
          <w:sz w:val="18"/>
          <w:szCs w:val="18"/>
          <w:lang w:val="es-ES_tradnl"/>
        </w:rPr>
        <w:t xml:space="preserve">n del Derecho, con objeto </w:t>
      </w:r>
      <w:r>
        <w:rPr>
          <w:spacing w:val="-6"/>
          <w:sz w:val="18"/>
          <w:szCs w:val="18"/>
          <w:lang w:val="es-ES_tradnl"/>
        </w:rPr>
        <w:t xml:space="preserve">de armonizar la pertinente norma legal a los principios </w:t>
      </w:r>
      <w:r>
        <w:rPr>
          <w:sz w:val="18"/>
          <w:szCs w:val="18"/>
          <w:lang w:val="es-ES_tradnl"/>
        </w:rPr>
        <w:t xml:space="preserve">constitucionales analizados, considera conveniente </w:t>
      </w:r>
      <w:r>
        <w:rPr>
          <w:spacing w:val="-5"/>
          <w:sz w:val="18"/>
          <w:szCs w:val="18"/>
          <w:lang w:val="es-ES_tradnl"/>
        </w:rPr>
        <w:t>emitir una interpretaci</w:t>
      </w:r>
      <w:r>
        <w:rPr>
          <w:rFonts w:cs="Times New Roman"/>
          <w:spacing w:val="-5"/>
          <w:sz w:val="18"/>
          <w:szCs w:val="18"/>
          <w:lang w:val="es-ES_tradnl"/>
        </w:rPr>
        <w:t>ó</w:t>
      </w:r>
      <w:r>
        <w:rPr>
          <w:spacing w:val="-5"/>
          <w:sz w:val="18"/>
          <w:szCs w:val="18"/>
          <w:lang w:val="es-ES_tradnl"/>
        </w:rPr>
        <w:t>n sistem</w:t>
      </w:r>
      <w:r>
        <w:rPr>
          <w:rFonts w:cs="Times New Roman"/>
          <w:spacing w:val="-5"/>
          <w:sz w:val="18"/>
          <w:szCs w:val="18"/>
          <w:lang w:val="es-ES_tradnl"/>
        </w:rPr>
        <w:t>á</w:t>
      </w:r>
      <w:r>
        <w:rPr>
          <w:spacing w:val="-5"/>
          <w:sz w:val="18"/>
          <w:szCs w:val="18"/>
          <w:lang w:val="es-ES_tradnl"/>
        </w:rPr>
        <w:t xml:space="preserve">tica constitucional de la </w:t>
      </w:r>
      <w:r>
        <w:rPr>
          <w:spacing w:val="-7"/>
          <w:sz w:val="18"/>
          <w:szCs w:val="18"/>
          <w:lang w:val="es-ES_tradnl"/>
        </w:rPr>
        <w:t>norma contenida en el art</w:t>
      </w:r>
      <w:r>
        <w:rPr>
          <w:rFonts w:cs="Times New Roman"/>
          <w:spacing w:val="-7"/>
          <w:sz w:val="18"/>
          <w:szCs w:val="18"/>
          <w:lang w:val="es-ES_tradnl"/>
        </w:rPr>
        <w:t>í</w:t>
      </w:r>
      <w:r>
        <w:rPr>
          <w:spacing w:val="-7"/>
          <w:sz w:val="18"/>
          <w:szCs w:val="18"/>
          <w:lang w:val="es-ES_tradnl"/>
        </w:rPr>
        <w:t>culo 169 de la Ley Org</w:t>
      </w:r>
      <w:r>
        <w:rPr>
          <w:rFonts w:cs="Times New Roman"/>
          <w:spacing w:val="-7"/>
          <w:sz w:val="18"/>
          <w:szCs w:val="18"/>
          <w:lang w:val="es-ES_tradnl"/>
        </w:rPr>
        <w:t>á</w:t>
      </w:r>
      <w:r>
        <w:rPr>
          <w:spacing w:val="-7"/>
          <w:sz w:val="18"/>
          <w:szCs w:val="18"/>
          <w:lang w:val="es-ES_tradnl"/>
        </w:rPr>
        <w:t>nica de Garant</w:t>
      </w:r>
      <w:r>
        <w:rPr>
          <w:rFonts w:cs="Times New Roman"/>
          <w:spacing w:val="-7"/>
          <w:sz w:val="18"/>
          <w:szCs w:val="18"/>
          <w:lang w:val="es-ES_tradnl"/>
        </w:rPr>
        <w:t>í</w:t>
      </w:r>
      <w:r>
        <w:rPr>
          <w:spacing w:val="-7"/>
          <w:sz w:val="18"/>
          <w:szCs w:val="18"/>
          <w:lang w:val="es-ES_tradnl"/>
        </w:rPr>
        <w:t xml:space="preserve">as Jurisdiccionales y Control Constitucional, con el </w:t>
      </w:r>
      <w:r>
        <w:rPr>
          <w:spacing w:val="-6"/>
          <w:sz w:val="18"/>
          <w:szCs w:val="18"/>
          <w:lang w:val="es-ES_tradnl"/>
        </w:rPr>
        <w:t>fin de respetar la Constituci</w:t>
      </w:r>
      <w:r>
        <w:rPr>
          <w:rFonts w:cs="Times New Roman"/>
          <w:spacing w:val="-6"/>
          <w:sz w:val="18"/>
          <w:szCs w:val="18"/>
          <w:lang w:val="es-ES_tradnl"/>
        </w:rPr>
        <w:t>ó</w:t>
      </w:r>
      <w:r>
        <w:rPr>
          <w:spacing w:val="-6"/>
          <w:sz w:val="18"/>
          <w:szCs w:val="18"/>
          <w:lang w:val="es-ES_tradnl"/>
        </w:rPr>
        <w:t>n y garantizar el principio de jerarqu</w:t>
      </w:r>
      <w:r>
        <w:rPr>
          <w:rFonts w:cs="Times New Roman"/>
          <w:spacing w:val="-6"/>
          <w:sz w:val="18"/>
          <w:szCs w:val="18"/>
          <w:lang w:val="es-ES_tradnl"/>
        </w:rPr>
        <w:t>í</w:t>
      </w:r>
      <w:r>
        <w:rPr>
          <w:spacing w:val="-6"/>
          <w:sz w:val="18"/>
          <w:szCs w:val="18"/>
          <w:lang w:val="es-ES_tradnl"/>
        </w:rPr>
        <w:t>a contenido en el art</w:t>
      </w:r>
      <w:r>
        <w:rPr>
          <w:rFonts w:cs="Times New Roman"/>
          <w:spacing w:val="-6"/>
          <w:sz w:val="18"/>
          <w:szCs w:val="18"/>
          <w:lang w:val="es-ES_tradnl"/>
        </w:rPr>
        <w:t>í</w:t>
      </w:r>
      <w:r>
        <w:rPr>
          <w:spacing w:val="-6"/>
          <w:sz w:val="18"/>
          <w:szCs w:val="18"/>
          <w:lang w:val="es-ES_tradnl"/>
        </w:rPr>
        <w:t>culo 227 de la Constituci</w:t>
      </w:r>
      <w:r>
        <w:rPr>
          <w:rFonts w:cs="Times New Roman"/>
          <w:spacing w:val="-6"/>
          <w:sz w:val="18"/>
          <w:szCs w:val="18"/>
          <w:lang w:val="es-ES_tradnl"/>
        </w:rPr>
        <w:t>ó</w:t>
      </w:r>
      <w:r>
        <w:rPr>
          <w:spacing w:val="-6"/>
          <w:sz w:val="18"/>
          <w:szCs w:val="18"/>
          <w:lang w:val="es-ES_tradnl"/>
        </w:rPr>
        <w:t>n.</w:t>
      </w:r>
    </w:p>
    <w:p w14:paraId="4F67AF9E" w14:textId="77777777" w:rsidR="00591D54" w:rsidRDefault="00591D54">
      <w:pPr>
        <w:shd w:val="clear" w:color="auto" w:fill="FFFFFF"/>
        <w:spacing w:before="192" w:line="216" w:lineRule="exact"/>
        <w:ind w:right="5"/>
        <w:jc w:val="both"/>
      </w:pPr>
      <w:r>
        <w:rPr>
          <w:spacing w:val="-7"/>
          <w:sz w:val="18"/>
          <w:szCs w:val="18"/>
          <w:lang w:val="es-ES_tradnl"/>
        </w:rPr>
        <w:t>En este sentido, esta norma deber</w:t>
      </w:r>
      <w:r>
        <w:rPr>
          <w:rFonts w:cs="Times New Roman"/>
          <w:spacing w:val="-7"/>
          <w:sz w:val="18"/>
          <w:szCs w:val="18"/>
          <w:lang w:val="es-ES_tradnl"/>
        </w:rPr>
        <w:t>á</w:t>
      </w:r>
      <w:r>
        <w:rPr>
          <w:spacing w:val="-7"/>
          <w:sz w:val="18"/>
          <w:szCs w:val="18"/>
          <w:lang w:val="es-ES_tradnl"/>
        </w:rPr>
        <w:t xml:space="preserve"> ser interpretada </w:t>
      </w:r>
      <w:r>
        <w:rPr>
          <w:spacing w:val="-8"/>
          <w:sz w:val="18"/>
          <w:szCs w:val="18"/>
          <w:lang w:val="es-ES_tradnl"/>
        </w:rPr>
        <w:t>considerando como una competencia de la Corte Nacional</w:t>
      </w:r>
    </w:p>
    <w:p w14:paraId="4F67AF9F" w14:textId="77777777" w:rsidR="00591D54" w:rsidRDefault="00591D54">
      <w:pPr>
        <w:shd w:val="clear" w:color="auto" w:fill="FFFFFF"/>
        <w:tabs>
          <w:tab w:val="left" w:pos="139"/>
        </w:tabs>
        <w:spacing w:before="422" w:line="178" w:lineRule="exact"/>
        <w:ind w:left="139" w:right="5" w:hanging="139"/>
        <w:jc w:val="both"/>
      </w:pPr>
      <w:r>
        <w:rPr>
          <w:spacing w:val="-5"/>
          <w:sz w:val="8"/>
          <w:szCs w:val="8"/>
          <w:vertAlign w:val="superscript"/>
          <w:lang w:val="es-ES_tradnl"/>
        </w:rPr>
        <w:t>17</w:t>
      </w:r>
      <w:r>
        <w:rPr>
          <w:sz w:val="18"/>
          <w:szCs w:val="18"/>
          <w:lang w:val="es-ES_tradnl"/>
        </w:rPr>
        <w:tab/>
      </w:r>
      <w:r>
        <w:rPr>
          <w:spacing w:val="-3"/>
          <w:sz w:val="14"/>
          <w:szCs w:val="14"/>
          <w:lang w:val="es-ES_tradnl"/>
        </w:rPr>
        <w:t>Art.</w:t>
      </w:r>
      <w:r>
        <w:rPr>
          <w:spacing w:val="-3"/>
          <w:sz w:val="18"/>
          <w:szCs w:val="18"/>
          <w:lang w:val="es-ES_tradnl"/>
        </w:rPr>
        <w:t xml:space="preserve"> </w:t>
      </w:r>
      <w:r>
        <w:rPr>
          <w:spacing w:val="-3"/>
          <w:sz w:val="14"/>
          <w:szCs w:val="14"/>
          <w:lang w:val="es-ES_tradnl"/>
        </w:rPr>
        <w:t>182.-</w:t>
      </w:r>
      <w:r>
        <w:rPr>
          <w:spacing w:val="-3"/>
          <w:sz w:val="18"/>
          <w:szCs w:val="18"/>
          <w:lang w:val="es-ES_tradnl"/>
        </w:rPr>
        <w:t xml:space="preserve"> </w:t>
      </w:r>
      <w:r>
        <w:rPr>
          <w:spacing w:val="-3"/>
          <w:sz w:val="14"/>
          <w:szCs w:val="14"/>
          <w:lang w:val="es-ES_tradnl"/>
        </w:rPr>
        <w:t>La</w:t>
      </w:r>
      <w:r>
        <w:rPr>
          <w:spacing w:val="-3"/>
          <w:sz w:val="18"/>
          <w:szCs w:val="18"/>
          <w:lang w:val="es-ES_tradnl"/>
        </w:rPr>
        <w:t xml:space="preserve"> </w:t>
      </w:r>
      <w:r>
        <w:rPr>
          <w:spacing w:val="-3"/>
          <w:sz w:val="14"/>
          <w:szCs w:val="14"/>
          <w:lang w:val="es-ES_tradnl"/>
        </w:rPr>
        <w:t>Corte</w:t>
      </w:r>
      <w:r>
        <w:rPr>
          <w:spacing w:val="-3"/>
          <w:sz w:val="18"/>
          <w:szCs w:val="18"/>
          <w:lang w:val="es-ES_tradnl"/>
        </w:rPr>
        <w:t xml:space="preserve"> </w:t>
      </w:r>
      <w:r>
        <w:rPr>
          <w:spacing w:val="-3"/>
          <w:sz w:val="14"/>
          <w:szCs w:val="14"/>
          <w:lang w:val="es-ES_tradnl"/>
        </w:rPr>
        <w:t>Nacional</w:t>
      </w:r>
      <w:r>
        <w:rPr>
          <w:spacing w:val="-3"/>
          <w:sz w:val="18"/>
          <w:szCs w:val="18"/>
          <w:lang w:val="es-ES_tradnl"/>
        </w:rPr>
        <w:t xml:space="preserve"> </w:t>
      </w:r>
      <w:r>
        <w:rPr>
          <w:spacing w:val="-3"/>
          <w:sz w:val="14"/>
          <w:szCs w:val="14"/>
          <w:lang w:val="es-ES_tradnl"/>
        </w:rPr>
        <w:t>de</w:t>
      </w:r>
      <w:r>
        <w:rPr>
          <w:spacing w:val="-3"/>
          <w:sz w:val="18"/>
          <w:szCs w:val="18"/>
          <w:lang w:val="es-ES_tradnl"/>
        </w:rPr>
        <w:t xml:space="preserve"> </w:t>
      </w:r>
      <w:r>
        <w:rPr>
          <w:spacing w:val="-3"/>
          <w:sz w:val="14"/>
          <w:szCs w:val="14"/>
          <w:lang w:val="es-ES_tradnl"/>
        </w:rPr>
        <w:t>Justicia</w:t>
      </w:r>
      <w:r>
        <w:rPr>
          <w:spacing w:val="-3"/>
          <w:sz w:val="18"/>
          <w:szCs w:val="18"/>
          <w:lang w:val="es-ES_tradnl"/>
        </w:rPr>
        <w:t xml:space="preserve"> </w:t>
      </w:r>
      <w:r>
        <w:rPr>
          <w:spacing w:val="-3"/>
          <w:sz w:val="14"/>
          <w:szCs w:val="14"/>
          <w:lang w:val="es-ES_tradnl"/>
        </w:rPr>
        <w:t>estar</w:t>
      </w:r>
      <w:r>
        <w:rPr>
          <w:rFonts w:cs="Times New Roman"/>
          <w:spacing w:val="-3"/>
          <w:sz w:val="14"/>
          <w:szCs w:val="14"/>
          <w:lang w:val="es-ES_tradnl"/>
        </w:rPr>
        <w:t>á</w:t>
      </w:r>
      <w:r>
        <w:rPr>
          <w:spacing w:val="-3"/>
          <w:sz w:val="18"/>
          <w:szCs w:val="18"/>
          <w:lang w:val="es-ES_tradnl"/>
        </w:rPr>
        <w:t xml:space="preserve"> </w:t>
      </w:r>
      <w:r>
        <w:rPr>
          <w:spacing w:val="-3"/>
          <w:sz w:val="14"/>
          <w:szCs w:val="14"/>
          <w:lang w:val="es-ES_tradnl"/>
        </w:rPr>
        <w:t>integrada</w:t>
      </w:r>
      <w:r>
        <w:rPr>
          <w:spacing w:val="-3"/>
          <w:sz w:val="18"/>
          <w:szCs w:val="18"/>
          <w:lang w:val="es-ES_tradnl"/>
        </w:rPr>
        <w:t xml:space="preserve"> </w:t>
      </w:r>
      <w:r>
        <w:rPr>
          <w:spacing w:val="-3"/>
          <w:sz w:val="14"/>
          <w:szCs w:val="14"/>
          <w:lang w:val="es-ES_tradnl"/>
        </w:rPr>
        <w:t>por</w:t>
      </w:r>
      <w:r>
        <w:rPr>
          <w:spacing w:val="-3"/>
          <w:sz w:val="18"/>
          <w:szCs w:val="18"/>
          <w:lang w:val="es-ES_tradnl"/>
        </w:rPr>
        <w:t xml:space="preserve"> </w:t>
      </w:r>
      <w:r>
        <w:rPr>
          <w:spacing w:val="-3"/>
          <w:sz w:val="14"/>
          <w:szCs w:val="14"/>
          <w:lang w:val="es-ES_tradnl"/>
        </w:rPr>
        <w:t>juezas</w:t>
      </w:r>
      <w:r>
        <w:rPr>
          <w:spacing w:val="-3"/>
          <w:sz w:val="18"/>
          <w:szCs w:val="18"/>
          <w:lang w:val="es-ES_tradnl"/>
        </w:rPr>
        <w:t xml:space="preserve"> </w:t>
      </w:r>
      <w:r>
        <w:rPr>
          <w:spacing w:val="-3"/>
          <w:sz w:val="14"/>
          <w:szCs w:val="14"/>
          <w:lang w:val="es-ES_tradnl"/>
        </w:rPr>
        <w:t>y </w:t>
      </w:r>
      <w:r>
        <w:rPr>
          <w:spacing w:val="-4"/>
          <w:sz w:val="14"/>
          <w:szCs w:val="14"/>
          <w:lang w:val="es-ES_tradnl"/>
        </w:rPr>
        <w:t>jueces en el n</w:t>
      </w:r>
      <w:r>
        <w:rPr>
          <w:rFonts w:cs="Times New Roman"/>
          <w:spacing w:val="-4"/>
          <w:sz w:val="14"/>
          <w:szCs w:val="14"/>
          <w:lang w:val="es-ES_tradnl"/>
        </w:rPr>
        <w:t>ú</w:t>
      </w:r>
      <w:r>
        <w:rPr>
          <w:spacing w:val="-4"/>
          <w:sz w:val="14"/>
          <w:szCs w:val="14"/>
          <w:lang w:val="es-ES_tradnl"/>
        </w:rPr>
        <w:t>mero de veinte y uno, quienes se organizar</w:t>
      </w:r>
      <w:r>
        <w:rPr>
          <w:rFonts w:cs="Times New Roman"/>
          <w:spacing w:val="-4"/>
          <w:sz w:val="14"/>
          <w:szCs w:val="14"/>
          <w:lang w:val="es-ES_tradnl"/>
        </w:rPr>
        <w:t>á</w:t>
      </w:r>
      <w:r>
        <w:rPr>
          <w:spacing w:val="-4"/>
          <w:sz w:val="14"/>
          <w:szCs w:val="14"/>
          <w:lang w:val="es-ES_tradnl"/>
        </w:rPr>
        <w:t>n en salas </w:t>
      </w:r>
      <w:r>
        <w:rPr>
          <w:spacing w:val="-5"/>
          <w:sz w:val="14"/>
          <w:szCs w:val="14"/>
          <w:lang w:val="es-ES_tradnl"/>
        </w:rPr>
        <w:t>especializadas, y ser</w:t>
      </w:r>
      <w:r>
        <w:rPr>
          <w:rFonts w:cs="Times New Roman"/>
          <w:spacing w:val="-5"/>
          <w:sz w:val="14"/>
          <w:szCs w:val="14"/>
          <w:lang w:val="es-ES_tradnl"/>
        </w:rPr>
        <w:t>á</w:t>
      </w:r>
      <w:r>
        <w:rPr>
          <w:spacing w:val="-5"/>
          <w:sz w:val="14"/>
          <w:szCs w:val="14"/>
          <w:lang w:val="es-ES_tradnl"/>
        </w:rPr>
        <w:t>n designados para un periodo de nueve a</w:t>
      </w:r>
      <w:r>
        <w:rPr>
          <w:rFonts w:cs="Times New Roman"/>
          <w:spacing w:val="-5"/>
          <w:sz w:val="14"/>
          <w:szCs w:val="14"/>
          <w:lang w:val="es-ES_tradnl"/>
        </w:rPr>
        <w:t>ñ</w:t>
      </w:r>
      <w:r>
        <w:rPr>
          <w:spacing w:val="-5"/>
          <w:sz w:val="14"/>
          <w:szCs w:val="14"/>
          <w:lang w:val="es-ES_tradnl"/>
        </w:rPr>
        <w:t>os; no </w:t>
      </w:r>
      <w:r>
        <w:rPr>
          <w:spacing w:val="-6"/>
          <w:sz w:val="14"/>
          <w:szCs w:val="14"/>
          <w:lang w:val="es-ES_tradnl"/>
        </w:rPr>
        <w:t>podr</w:t>
      </w:r>
      <w:r>
        <w:rPr>
          <w:rFonts w:cs="Times New Roman"/>
          <w:spacing w:val="-6"/>
          <w:sz w:val="14"/>
          <w:szCs w:val="14"/>
          <w:lang w:val="es-ES_tradnl"/>
        </w:rPr>
        <w:t>á</w:t>
      </w:r>
      <w:r>
        <w:rPr>
          <w:spacing w:val="-6"/>
          <w:sz w:val="14"/>
          <w:szCs w:val="14"/>
          <w:lang w:val="es-ES_tradnl"/>
        </w:rPr>
        <w:t>n ser reelectos y se renovar</w:t>
      </w:r>
      <w:r>
        <w:rPr>
          <w:rFonts w:cs="Times New Roman"/>
          <w:spacing w:val="-6"/>
          <w:sz w:val="14"/>
          <w:szCs w:val="14"/>
          <w:lang w:val="es-ES_tradnl"/>
        </w:rPr>
        <w:t>á</w:t>
      </w:r>
      <w:r>
        <w:rPr>
          <w:spacing w:val="-6"/>
          <w:sz w:val="14"/>
          <w:szCs w:val="14"/>
          <w:lang w:val="es-ES_tradnl"/>
        </w:rPr>
        <w:t>n por tercios cada tres a</w:t>
      </w:r>
      <w:r>
        <w:rPr>
          <w:rFonts w:cs="Times New Roman"/>
          <w:spacing w:val="-6"/>
          <w:sz w:val="14"/>
          <w:szCs w:val="14"/>
          <w:lang w:val="es-ES_tradnl"/>
        </w:rPr>
        <w:t>ñ</w:t>
      </w:r>
      <w:r>
        <w:rPr>
          <w:spacing w:val="-6"/>
          <w:sz w:val="14"/>
          <w:szCs w:val="14"/>
          <w:lang w:val="es-ES_tradnl"/>
        </w:rPr>
        <w:t>os. Cesar</w:t>
      </w:r>
      <w:r>
        <w:rPr>
          <w:rFonts w:cs="Times New Roman"/>
          <w:spacing w:val="-6"/>
          <w:sz w:val="14"/>
          <w:szCs w:val="14"/>
          <w:lang w:val="es-ES_tradnl"/>
        </w:rPr>
        <w:t>á</w:t>
      </w:r>
      <w:r>
        <w:rPr>
          <w:spacing w:val="-6"/>
          <w:sz w:val="14"/>
          <w:szCs w:val="14"/>
          <w:lang w:val="es-ES_tradnl"/>
        </w:rPr>
        <w:t>n </w:t>
      </w:r>
      <w:r>
        <w:rPr>
          <w:spacing w:val="-2"/>
          <w:sz w:val="14"/>
          <w:szCs w:val="14"/>
          <w:lang w:val="es-ES_tradnl"/>
        </w:rPr>
        <w:t>en sus cargos conforme a la ley. Las juezas y jueces de la Corte </w:t>
      </w:r>
      <w:r>
        <w:rPr>
          <w:spacing w:val="-1"/>
          <w:sz w:val="14"/>
          <w:szCs w:val="14"/>
          <w:lang w:val="es-ES_tradnl"/>
        </w:rPr>
        <w:t>Nacional de Justicia elegir</w:t>
      </w:r>
      <w:r>
        <w:rPr>
          <w:rFonts w:cs="Times New Roman"/>
          <w:spacing w:val="-1"/>
          <w:sz w:val="14"/>
          <w:szCs w:val="14"/>
          <w:lang w:val="es-ES_tradnl"/>
        </w:rPr>
        <w:t>á</w:t>
      </w:r>
      <w:r>
        <w:rPr>
          <w:spacing w:val="-1"/>
          <w:sz w:val="14"/>
          <w:szCs w:val="14"/>
          <w:lang w:val="es-ES_tradnl"/>
        </w:rPr>
        <w:t>n de entre sus miembros a la Presidenta </w:t>
      </w:r>
      <w:r>
        <w:rPr>
          <w:spacing w:val="-3"/>
          <w:sz w:val="14"/>
          <w:szCs w:val="14"/>
          <w:lang w:val="es-ES_tradnl"/>
        </w:rPr>
        <w:t>o Presidente, que representar</w:t>
      </w:r>
      <w:r>
        <w:rPr>
          <w:rFonts w:cs="Times New Roman"/>
          <w:spacing w:val="-3"/>
          <w:sz w:val="14"/>
          <w:szCs w:val="14"/>
          <w:lang w:val="es-ES_tradnl"/>
        </w:rPr>
        <w:t>á</w:t>
      </w:r>
      <w:r>
        <w:rPr>
          <w:spacing w:val="-3"/>
          <w:sz w:val="14"/>
          <w:szCs w:val="14"/>
          <w:lang w:val="es-ES_tradnl"/>
        </w:rPr>
        <w:t xml:space="preserve"> a la Funci</w:t>
      </w:r>
      <w:r>
        <w:rPr>
          <w:rFonts w:cs="Times New Roman"/>
          <w:spacing w:val="-3"/>
          <w:sz w:val="14"/>
          <w:szCs w:val="14"/>
          <w:lang w:val="es-ES_tradnl"/>
        </w:rPr>
        <w:t>ó</w:t>
      </w:r>
      <w:r>
        <w:rPr>
          <w:spacing w:val="-3"/>
          <w:sz w:val="14"/>
          <w:szCs w:val="14"/>
          <w:lang w:val="es-ES_tradnl"/>
        </w:rPr>
        <w:t>n Judicial y durar</w:t>
      </w:r>
      <w:r>
        <w:rPr>
          <w:rFonts w:cs="Times New Roman"/>
          <w:spacing w:val="-3"/>
          <w:sz w:val="14"/>
          <w:szCs w:val="14"/>
          <w:lang w:val="es-ES_tradnl"/>
        </w:rPr>
        <w:t>á</w:t>
      </w:r>
      <w:r>
        <w:rPr>
          <w:spacing w:val="-3"/>
          <w:sz w:val="14"/>
          <w:szCs w:val="14"/>
          <w:lang w:val="es-ES_tradnl"/>
        </w:rPr>
        <w:t xml:space="preserve"> en sus </w:t>
      </w:r>
      <w:r>
        <w:rPr>
          <w:spacing w:val="-1"/>
          <w:sz w:val="14"/>
          <w:szCs w:val="14"/>
          <w:lang w:val="es-ES_tradnl"/>
        </w:rPr>
        <w:t>funciones tres a</w:t>
      </w:r>
      <w:r>
        <w:rPr>
          <w:rFonts w:cs="Times New Roman"/>
          <w:spacing w:val="-1"/>
          <w:sz w:val="14"/>
          <w:szCs w:val="14"/>
          <w:lang w:val="es-ES_tradnl"/>
        </w:rPr>
        <w:t>ñ</w:t>
      </w:r>
      <w:r>
        <w:rPr>
          <w:spacing w:val="-1"/>
          <w:sz w:val="14"/>
          <w:szCs w:val="14"/>
          <w:lang w:val="es-ES_tradnl"/>
        </w:rPr>
        <w:t>os. En cada sala se elegir</w:t>
      </w:r>
      <w:r>
        <w:rPr>
          <w:rFonts w:cs="Times New Roman"/>
          <w:spacing w:val="-1"/>
          <w:sz w:val="14"/>
          <w:szCs w:val="14"/>
          <w:lang w:val="es-ES_tradnl"/>
        </w:rPr>
        <w:t>á</w:t>
      </w:r>
      <w:r>
        <w:rPr>
          <w:spacing w:val="-1"/>
          <w:sz w:val="14"/>
          <w:szCs w:val="14"/>
          <w:lang w:val="es-ES_tradnl"/>
        </w:rPr>
        <w:t xml:space="preserve"> un presidente para el per</w:t>
      </w:r>
      <w:r>
        <w:rPr>
          <w:rFonts w:cs="Times New Roman"/>
          <w:spacing w:val="-1"/>
          <w:sz w:val="14"/>
          <w:szCs w:val="14"/>
          <w:lang w:val="es-ES_tradnl"/>
        </w:rPr>
        <w:t>í</w:t>
      </w:r>
      <w:r>
        <w:rPr>
          <w:spacing w:val="-1"/>
          <w:sz w:val="14"/>
          <w:szCs w:val="14"/>
          <w:lang w:val="es-ES_tradnl"/>
        </w:rPr>
        <w:t>odo de un a</w:t>
      </w:r>
      <w:r>
        <w:rPr>
          <w:rFonts w:cs="Times New Roman"/>
          <w:spacing w:val="-1"/>
          <w:sz w:val="14"/>
          <w:szCs w:val="14"/>
          <w:lang w:val="es-ES_tradnl"/>
        </w:rPr>
        <w:t>ñ</w:t>
      </w:r>
      <w:r>
        <w:rPr>
          <w:spacing w:val="-1"/>
          <w:sz w:val="14"/>
          <w:szCs w:val="14"/>
          <w:lang w:val="es-ES_tradnl"/>
        </w:rPr>
        <w:t>o. Existir</w:t>
      </w:r>
      <w:r>
        <w:rPr>
          <w:rFonts w:cs="Times New Roman"/>
          <w:spacing w:val="-1"/>
          <w:sz w:val="14"/>
          <w:szCs w:val="14"/>
          <w:lang w:val="es-ES_tradnl"/>
        </w:rPr>
        <w:t>á</w:t>
      </w:r>
      <w:r>
        <w:rPr>
          <w:spacing w:val="-1"/>
          <w:sz w:val="14"/>
          <w:szCs w:val="14"/>
          <w:lang w:val="es-ES_tradnl"/>
        </w:rPr>
        <w:t>n conjuezas y conjueces que formar</w:t>
      </w:r>
      <w:r>
        <w:rPr>
          <w:rFonts w:cs="Times New Roman"/>
          <w:spacing w:val="-1"/>
          <w:sz w:val="14"/>
          <w:szCs w:val="14"/>
          <w:lang w:val="es-ES_tradnl"/>
        </w:rPr>
        <w:t>á</w:t>
      </w:r>
      <w:r>
        <w:rPr>
          <w:spacing w:val="-1"/>
          <w:sz w:val="14"/>
          <w:szCs w:val="14"/>
          <w:lang w:val="es-ES_tradnl"/>
        </w:rPr>
        <w:t>n parte de la Funci</w:t>
      </w:r>
      <w:r>
        <w:rPr>
          <w:rFonts w:cs="Times New Roman"/>
          <w:spacing w:val="-1"/>
          <w:sz w:val="14"/>
          <w:szCs w:val="14"/>
          <w:lang w:val="es-ES_tradnl"/>
        </w:rPr>
        <w:t>ó</w:t>
      </w:r>
      <w:r>
        <w:rPr>
          <w:spacing w:val="-1"/>
          <w:sz w:val="14"/>
          <w:szCs w:val="14"/>
          <w:lang w:val="es-ES_tradnl"/>
        </w:rPr>
        <w:t>n Judicial, quienes ser</w:t>
      </w:r>
      <w:r>
        <w:rPr>
          <w:rFonts w:cs="Times New Roman"/>
          <w:spacing w:val="-1"/>
          <w:sz w:val="14"/>
          <w:szCs w:val="14"/>
          <w:lang w:val="es-ES_tradnl"/>
        </w:rPr>
        <w:t>á</w:t>
      </w:r>
      <w:r>
        <w:rPr>
          <w:spacing w:val="-1"/>
          <w:sz w:val="14"/>
          <w:szCs w:val="14"/>
          <w:lang w:val="es-ES_tradnl"/>
        </w:rPr>
        <w:t>n seleccionados con los </w:t>
      </w:r>
      <w:r>
        <w:rPr>
          <w:spacing w:val="-4"/>
          <w:sz w:val="14"/>
          <w:szCs w:val="14"/>
          <w:lang w:val="es-ES_tradnl"/>
        </w:rPr>
        <w:t>mismos procesos y tendr</w:t>
      </w:r>
      <w:r>
        <w:rPr>
          <w:rFonts w:cs="Times New Roman"/>
          <w:spacing w:val="-4"/>
          <w:sz w:val="14"/>
          <w:szCs w:val="14"/>
          <w:lang w:val="es-ES_tradnl"/>
        </w:rPr>
        <w:t>á</w:t>
      </w:r>
      <w:r>
        <w:rPr>
          <w:spacing w:val="-4"/>
          <w:sz w:val="14"/>
          <w:szCs w:val="14"/>
          <w:lang w:val="es-ES_tradnl"/>
        </w:rPr>
        <w:t>n las mismas responsabilidades y el mismo </w:t>
      </w:r>
      <w:r>
        <w:rPr>
          <w:spacing w:val="-1"/>
          <w:sz w:val="14"/>
          <w:szCs w:val="14"/>
          <w:lang w:val="es-ES_tradnl"/>
        </w:rPr>
        <w:t>r</w:t>
      </w:r>
      <w:r>
        <w:rPr>
          <w:rFonts w:cs="Times New Roman"/>
          <w:spacing w:val="-1"/>
          <w:sz w:val="14"/>
          <w:szCs w:val="14"/>
          <w:lang w:val="es-ES_tradnl"/>
        </w:rPr>
        <w:t>é</w:t>
      </w:r>
      <w:r>
        <w:rPr>
          <w:spacing w:val="-1"/>
          <w:sz w:val="14"/>
          <w:szCs w:val="14"/>
          <w:lang w:val="es-ES_tradnl"/>
        </w:rPr>
        <w:t>gimen de incompatibilidades que sus titulares. La Corte Nacional </w:t>
      </w:r>
      <w:r>
        <w:rPr>
          <w:spacing w:val="-2"/>
          <w:sz w:val="14"/>
          <w:szCs w:val="14"/>
          <w:lang w:val="es-ES_tradnl"/>
        </w:rPr>
        <w:t>de Justicia tendr</w:t>
      </w:r>
      <w:r>
        <w:rPr>
          <w:rFonts w:cs="Times New Roman"/>
          <w:spacing w:val="-2"/>
          <w:sz w:val="14"/>
          <w:szCs w:val="14"/>
          <w:lang w:val="es-ES_tradnl"/>
        </w:rPr>
        <w:t>á</w:t>
      </w:r>
      <w:r>
        <w:rPr>
          <w:spacing w:val="-2"/>
          <w:sz w:val="14"/>
          <w:szCs w:val="14"/>
          <w:lang w:val="es-ES_tradnl"/>
        </w:rPr>
        <w:t xml:space="preserve"> jurisdicci</w:t>
      </w:r>
      <w:r>
        <w:rPr>
          <w:rFonts w:cs="Times New Roman"/>
          <w:spacing w:val="-2"/>
          <w:sz w:val="14"/>
          <w:szCs w:val="14"/>
          <w:lang w:val="es-ES_tradnl"/>
        </w:rPr>
        <w:t>ó</w:t>
      </w:r>
      <w:r>
        <w:rPr>
          <w:spacing w:val="-2"/>
          <w:sz w:val="14"/>
          <w:szCs w:val="14"/>
          <w:lang w:val="es-ES_tradnl"/>
        </w:rPr>
        <w:t>n en todo el territorio nacional y su sede </w:t>
      </w:r>
      <w:r>
        <w:rPr>
          <w:sz w:val="14"/>
          <w:szCs w:val="14"/>
          <w:lang w:val="es-ES_tradnl"/>
        </w:rPr>
        <w:t>estar</w:t>
      </w:r>
      <w:r>
        <w:rPr>
          <w:rFonts w:cs="Times New Roman"/>
          <w:sz w:val="14"/>
          <w:szCs w:val="14"/>
          <w:lang w:val="es-ES_tradnl"/>
        </w:rPr>
        <w:t>á</w:t>
      </w:r>
      <w:r>
        <w:rPr>
          <w:sz w:val="14"/>
          <w:szCs w:val="14"/>
          <w:lang w:val="es-ES_tradnl"/>
        </w:rPr>
        <w:t xml:space="preserve"> en Quito.</w:t>
      </w:r>
    </w:p>
    <w:p w14:paraId="4F67AFA0" w14:textId="77777777" w:rsidR="00591D54" w:rsidRDefault="00591D54">
      <w:pPr>
        <w:shd w:val="clear" w:color="auto" w:fill="FFFFFF"/>
        <w:tabs>
          <w:tab w:val="left" w:pos="139"/>
        </w:tabs>
        <w:spacing w:before="154" w:line="178" w:lineRule="exact"/>
        <w:ind w:left="139" w:right="5" w:hanging="139"/>
        <w:jc w:val="both"/>
      </w:pPr>
      <w:r>
        <w:rPr>
          <w:spacing w:val="-5"/>
          <w:sz w:val="8"/>
          <w:szCs w:val="8"/>
          <w:vertAlign w:val="superscript"/>
          <w:lang w:val="es-ES_tradnl"/>
        </w:rPr>
        <w:t>18</w:t>
      </w:r>
      <w:r>
        <w:rPr>
          <w:sz w:val="18"/>
          <w:szCs w:val="18"/>
          <w:lang w:val="es-ES_tradnl"/>
        </w:rPr>
        <w:tab/>
      </w:r>
      <w:r>
        <w:rPr>
          <w:spacing w:val="-1"/>
          <w:sz w:val="14"/>
          <w:szCs w:val="14"/>
          <w:lang w:val="es-ES_tradnl"/>
        </w:rPr>
        <w:t>Art.</w:t>
      </w:r>
      <w:r>
        <w:rPr>
          <w:spacing w:val="-1"/>
          <w:sz w:val="18"/>
          <w:szCs w:val="18"/>
          <w:lang w:val="es-ES_tradnl"/>
        </w:rPr>
        <w:t xml:space="preserve"> </w:t>
      </w:r>
      <w:r>
        <w:rPr>
          <w:spacing w:val="-1"/>
          <w:sz w:val="14"/>
          <w:szCs w:val="14"/>
          <w:lang w:val="es-ES_tradnl"/>
        </w:rPr>
        <w:t>199.-</w:t>
      </w:r>
      <w:r>
        <w:rPr>
          <w:spacing w:val="-1"/>
          <w:sz w:val="18"/>
          <w:szCs w:val="18"/>
          <w:lang w:val="es-ES_tradnl"/>
        </w:rPr>
        <w:t xml:space="preserve"> </w:t>
      </w:r>
      <w:r>
        <w:rPr>
          <w:spacing w:val="-1"/>
          <w:sz w:val="14"/>
          <w:szCs w:val="14"/>
          <w:lang w:val="es-ES_tradnl"/>
        </w:rPr>
        <w:t>A</w:t>
      </w:r>
      <w:r>
        <w:rPr>
          <w:spacing w:val="-1"/>
          <w:sz w:val="18"/>
          <w:szCs w:val="18"/>
          <w:lang w:val="es-ES_tradnl"/>
        </w:rPr>
        <w:t xml:space="preserve"> </w:t>
      </w:r>
      <w:r>
        <w:rPr>
          <w:spacing w:val="-1"/>
          <w:sz w:val="14"/>
          <w:szCs w:val="14"/>
          <w:lang w:val="es-ES_tradnl"/>
        </w:rPr>
        <w:t>la</w:t>
      </w:r>
      <w:r>
        <w:rPr>
          <w:spacing w:val="-1"/>
          <w:sz w:val="18"/>
          <w:szCs w:val="18"/>
          <w:lang w:val="es-ES_tradnl"/>
        </w:rPr>
        <w:t xml:space="preserve"> </w:t>
      </w:r>
      <w:r>
        <w:rPr>
          <w:spacing w:val="-1"/>
          <w:sz w:val="14"/>
          <w:szCs w:val="14"/>
          <w:lang w:val="es-ES_tradnl"/>
        </w:rPr>
        <w:t>Presidenta</w:t>
      </w:r>
      <w:r>
        <w:rPr>
          <w:spacing w:val="-1"/>
          <w:sz w:val="18"/>
          <w:szCs w:val="18"/>
          <w:lang w:val="es-ES_tradnl"/>
        </w:rPr>
        <w:t xml:space="preserve"> </w:t>
      </w:r>
      <w:r>
        <w:rPr>
          <w:spacing w:val="-1"/>
          <w:sz w:val="14"/>
          <w:szCs w:val="14"/>
          <w:lang w:val="es-ES_tradnl"/>
        </w:rPr>
        <w:t>o</w:t>
      </w:r>
      <w:r>
        <w:rPr>
          <w:spacing w:val="-1"/>
          <w:sz w:val="18"/>
          <w:szCs w:val="18"/>
          <w:lang w:val="es-ES_tradnl"/>
        </w:rPr>
        <w:t xml:space="preserve"> </w:t>
      </w:r>
      <w:r>
        <w:rPr>
          <w:spacing w:val="-1"/>
          <w:sz w:val="14"/>
          <w:szCs w:val="14"/>
          <w:lang w:val="es-ES_tradnl"/>
        </w:rPr>
        <w:t>al</w:t>
      </w:r>
      <w:r>
        <w:rPr>
          <w:spacing w:val="-1"/>
          <w:sz w:val="18"/>
          <w:szCs w:val="18"/>
          <w:lang w:val="es-ES_tradnl"/>
        </w:rPr>
        <w:t xml:space="preserve"> </w:t>
      </w:r>
      <w:r>
        <w:rPr>
          <w:spacing w:val="-1"/>
          <w:sz w:val="14"/>
          <w:szCs w:val="14"/>
          <w:lang w:val="es-ES_tradnl"/>
        </w:rPr>
        <w:t>Presidente</w:t>
      </w:r>
      <w:r>
        <w:rPr>
          <w:spacing w:val="-1"/>
          <w:sz w:val="18"/>
          <w:szCs w:val="18"/>
          <w:lang w:val="es-ES_tradnl"/>
        </w:rPr>
        <w:t xml:space="preserve"> </w:t>
      </w:r>
      <w:r>
        <w:rPr>
          <w:spacing w:val="-1"/>
          <w:sz w:val="14"/>
          <w:szCs w:val="14"/>
          <w:lang w:val="es-ES_tradnl"/>
        </w:rPr>
        <w:t>de</w:t>
      </w:r>
      <w:r>
        <w:rPr>
          <w:spacing w:val="-1"/>
          <w:sz w:val="18"/>
          <w:szCs w:val="18"/>
          <w:lang w:val="es-ES_tradnl"/>
        </w:rPr>
        <w:t xml:space="preserve"> </w:t>
      </w:r>
      <w:r>
        <w:rPr>
          <w:spacing w:val="-1"/>
          <w:sz w:val="14"/>
          <w:szCs w:val="14"/>
          <w:lang w:val="es-ES_tradnl"/>
        </w:rPr>
        <w:t>la</w:t>
      </w:r>
      <w:r>
        <w:rPr>
          <w:spacing w:val="-1"/>
          <w:sz w:val="18"/>
          <w:szCs w:val="18"/>
          <w:lang w:val="es-ES_tradnl"/>
        </w:rPr>
        <w:t xml:space="preserve"> </w:t>
      </w:r>
      <w:r>
        <w:rPr>
          <w:spacing w:val="-1"/>
          <w:sz w:val="14"/>
          <w:szCs w:val="14"/>
          <w:lang w:val="es-ES_tradnl"/>
        </w:rPr>
        <w:t>Corte</w:t>
      </w:r>
      <w:r>
        <w:rPr>
          <w:spacing w:val="-1"/>
          <w:sz w:val="18"/>
          <w:szCs w:val="18"/>
          <w:lang w:val="es-ES_tradnl"/>
        </w:rPr>
        <w:t xml:space="preserve"> </w:t>
      </w:r>
      <w:r>
        <w:rPr>
          <w:spacing w:val="-1"/>
          <w:sz w:val="14"/>
          <w:szCs w:val="14"/>
          <w:lang w:val="es-ES_tradnl"/>
        </w:rPr>
        <w:t>Nacional</w:t>
      </w:r>
      <w:r>
        <w:rPr>
          <w:spacing w:val="-1"/>
          <w:sz w:val="18"/>
          <w:szCs w:val="18"/>
          <w:lang w:val="es-ES_tradnl"/>
        </w:rPr>
        <w:t xml:space="preserve"> </w:t>
      </w:r>
      <w:r>
        <w:rPr>
          <w:spacing w:val="-1"/>
          <w:sz w:val="14"/>
          <w:szCs w:val="14"/>
          <w:lang w:val="es-ES_tradnl"/>
        </w:rPr>
        <w:t>de Justicia le corresponde: 1. Representar a la Funci</w:t>
      </w:r>
      <w:r>
        <w:rPr>
          <w:rFonts w:cs="Times New Roman"/>
          <w:spacing w:val="-1"/>
          <w:sz w:val="14"/>
          <w:szCs w:val="14"/>
          <w:lang w:val="es-ES_tradnl"/>
        </w:rPr>
        <w:t>ó</w:t>
      </w:r>
      <w:r>
        <w:rPr>
          <w:spacing w:val="-1"/>
          <w:sz w:val="14"/>
          <w:szCs w:val="14"/>
          <w:lang w:val="es-ES_tradnl"/>
        </w:rPr>
        <w:t>n Judicial. Esta </w:t>
      </w:r>
      <w:r>
        <w:rPr>
          <w:spacing w:val="-2"/>
          <w:sz w:val="14"/>
          <w:szCs w:val="14"/>
          <w:lang w:val="es-ES_tradnl"/>
        </w:rPr>
        <w:t>representaci</w:t>
      </w:r>
      <w:r>
        <w:rPr>
          <w:rFonts w:cs="Times New Roman"/>
          <w:spacing w:val="-2"/>
          <w:sz w:val="14"/>
          <w:szCs w:val="14"/>
          <w:lang w:val="es-ES_tradnl"/>
        </w:rPr>
        <w:t>ó</w:t>
      </w:r>
      <w:r>
        <w:rPr>
          <w:spacing w:val="-2"/>
          <w:sz w:val="14"/>
          <w:szCs w:val="14"/>
          <w:lang w:val="es-ES_tradnl"/>
        </w:rPr>
        <w:t>n no deber</w:t>
      </w:r>
      <w:r>
        <w:rPr>
          <w:rFonts w:cs="Times New Roman"/>
          <w:spacing w:val="-2"/>
          <w:sz w:val="14"/>
          <w:szCs w:val="14"/>
          <w:lang w:val="es-ES_tradnl"/>
        </w:rPr>
        <w:t>á</w:t>
      </w:r>
      <w:r>
        <w:rPr>
          <w:spacing w:val="-2"/>
          <w:sz w:val="14"/>
          <w:szCs w:val="14"/>
          <w:lang w:val="es-ES_tradnl"/>
        </w:rPr>
        <w:t xml:space="preserve"> entenderse como la representaci</w:t>
      </w:r>
      <w:r>
        <w:rPr>
          <w:rFonts w:cs="Times New Roman"/>
          <w:spacing w:val="-2"/>
          <w:sz w:val="14"/>
          <w:szCs w:val="14"/>
          <w:lang w:val="es-ES_tradnl"/>
        </w:rPr>
        <w:t>ó</w:t>
      </w:r>
      <w:r>
        <w:rPr>
          <w:spacing w:val="-2"/>
          <w:sz w:val="14"/>
          <w:szCs w:val="14"/>
          <w:lang w:val="es-ES_tradnl"/>
        </w:rPr>
        <w:t>n legal </w:t>
      </w:r>
      <w:r>
        <w:rPr>
          <w:spacing w:val="-1"/>
          <w:sz w:val="14"/>
          <w:szCs w:val="14"/>
          <w:lang w:val="es-ES_tradnl"/>
        </w:rPr>
        <w:t>que, para fines de administraci</w:t>
      </w:r>
      <w:r>
        <w:rPr>
          <w:rFonts w:cs="Times New Roman"/>
          <w:spacing w:val="-1"/>
          <w:sz w:val="14"/>
          <w:szCs w:val="14"/>
          <w:lang w:val="es-ES_tradnl"/>
        </w:rPr>
        <w:t>ó</w:t>
      </w:r>
      <w:r>
        <w:rPr>
          <w:spacing w:val="-1"/>
          <w:sz w:val="14"/>
          <w:szCs w:val="14"/>
          <w:lang w:val="es-ES_tradnl"/>
        </w:rPr>
        <w:t>n y gobierno, le corresponde a la </w:t>
      </w:r>
      <w:r>
        <w:rPr>
          <w:spacing w:val="-2"/>
          <w:sz w:val="14"/>
          <w:szCs w:val="14"/>
          <w:lang w:val="es-ES_tradnl"/>
        </w:rPr>
        <w:t>Presidenta o Presidente del Consejo de la Judicatura;</w:t>
      </w:r>
    </w:p>
    <w:p w14:paraId="4F67AFA1" w14:textId="77777777" w:rsidR="00591D54" w:rsidRDefault="00591D54">
      <w:pPr>
        <w:shd w:val="clear" w:color="auto" w:fill="FFFFFF"/>
        <w:tabs>
          <w:tab w:val="left" w:pos="139"/>
        </w:tabs>
        <w:spacing w:before="149" w:line="178" w:lineRule="exact"/>
        <w:ind w:left="139" w:right="5" w:hanging="139"/>
        <w:jc w:val="both"/>
      </w:pPr>
      <w:r>
        <w:rPr>
          <w:spacing w:val="-5"/>
          <w:sz w:val="8"/>
          <w:szCs w:val="8"/>
          <w:vertAlign w:val="superscript"/>
          <w:lang w:val="es-ES_tradnl"/>
        </w:rPr>
        <w:t>19</w:t>
      </w:r>
      <w:r>
        <w:rPr>
          <w:sz w:val="18"/>
          <w:szCs w:val="18"/>
          <w:lang w:val="es-ES_tradnl"/>
        </w:rPr>
        <w:tab/>
      </w:r>
      <w:r>
        <w:rPr>
          <w:spacing w:val="-2"/>
          <w:sz w:val="14"/>
          <w:szCs w:val="14"/>
          <w:lang w:val="es-ES_tradnl"/>
        </w:rPr>
        <w:t>Cuando</w:t>
      </w:r>
      <w:r>
        <w:rPr>
          <w:spacing w:val="-2"/>
          <w:sz w:val="18"/>
          <w:szCs w:val="18"/>
          <w:lang w:val="es-ES_tradnl"/>
        </w:rPr>
        <w:t xml:space="preserve"> </w:t>
      </w:r>
      <w:r>
        <w:rPr>
          <w:spacing w:val="-2"/>
          <w:sz w:val="14"/>
          <w:szCs w:val="14"/>
          <w:lang w:val="es-ES_tradnl"/>
        </w:rPr>
        <w:t>hubiere</w:t>
      </w:r>
      <w:r>
        <w:rPr>
          <w:spacing w:val="-2"/>
          <w:sz w:val="18"/>
          <w:szCs w:val="18"/>
          <w:lang w:val="es-ES_tradnl"/>
        </w:rPr>
        <w:t xml:space="preserve"> </w:t>
      </w:r>
      <w:r>
        <w:rPr>
          <w:spacing w:val="-2"/>
          <w:sz w:val="14"/>
          <w:szCs w:val="14"/>
          <w:lang w:val="es-ES_tradnl"/>
        </w:rPr>
        <w:t>sido</w:t>
      </w:r>
      <w:r>
        <w:rPr>
          <w:spacing w:val="-2"/>
          <w:sz w:val="18"/>
          <w:szCs w:val="18"/>
          <w:lang w:val="es-ES_tradnl"/>
        </w:rPr>
        <w:t xml:space="preserve"> </w:t>
      </w:r>
      <w:r>
        <w:rPr>
          <w:spacing w:val="-2"/>
          <w:sz w:val="14"/>
          <w:szCs w:val="14"/>
          <w:lang w:val="es-ES_tradnl"/>
        </w:rPr>
        <w:t>dispuesta</w:t>
      </w:r>
      <w:r>
        <w:rPr>
          <w:spacing w:val="-2"/>
          <w:sz w:val="18"/>
          <w:szCs w:val="18"/>
          <w:lang w:val="es-ES_tradnl"/>
        </w:rPr>
        <w:t xml:space="preserve"> </w:t>
      </w:r>
      <w:r>
        <w:rPr>
          <w:spacing w:val="-2"/>
          <w:sz w:val="14"/>
          <w:szCs w:val="14"/>
          <w:lang w:val="es-ES_tradnl"/>
        </w:rPr>
        <w:t>por</w:t>
      </w:r>
      <w:r>
        <w:rPr>
          <w:spacing w:val="-2"/>
          <w:sz w:val="18"/>
          <w:szCs w:val="18"/>
          <w:lang w:val="es-ES_tradnl"/>
        </w:rPr>
        <w:t xml:space="preserve"> </w:t>
      </w:r>
      <w:r>
        <w:rPr>
          <w:spacing w:val="-2"/>
          <w:sz w:val="14"/>
          <w:szCs w:val="14"/>
          <w:lang w:val="es-ES_tradnl"/>
        </w:rPr>
        <w:t>la</w:t>
      </w:r>
      <w:r>
        <w:rPr>
          <w:spacing w:val="-2"/>
          <w:sz w:val="18"/>
          <w:szCs w:val="18"/>
          <w:lang w:val="es-ES_tradnl"/>
        </w:rPr>
        <w:t xml:space="preserve"> </w:t>
      </w:r>
      <w:r>
        <w:rPr>
          <w:spacing w:val="-2"/>
          <w:sz w:val="14"/>
          <w:szCs w:val="14"/>
          <w:lang w:val="es-ES_tradnl"/>
        </w:rPr>
        <w:t>Corte</w:t>
      </w:r>
      <w:r>
        <w:rPr>
          <w:spacing w:val="-2"/>
          <w:sz w:val="18"/>
          <w:szCs w:val="18"/>
          <w:lang w:val="es-ES_tradnl"/>
        </w:rPr>
        <w:t xml:space="preserve"> </w:t>
      </w:r>
      <w:r>
        <w:rPr>
          <w:spacing w:val="-2"/>
          <w:sz w:val="14"/>
          <w:szCs w:val="14"/>
          <w:lang w:val="es-ES_tradnl"/>
        </w:rPr>
        <w:t>Nacional</w:t>
      </w:r>
      <w:r>
        <w:rPr>
          <w:spacing w:val="-2"/>
          <w:sz w:val="18"/>
          <w:szCs w:val="18"/>
          <w:lang w:val="es-ES_tradnl"/>
        </w:rPr>
        <w:t xml:space="preserve"> </w:t>
      </w:r>
      <w:r>
        <w:rPr>
          <w:spacing w:val="-2"/>
          <w:sz w:val="14"/>
          <w:szCs w:val="14"/>
          <w:lang w:val="es-ES_tradnl"/>
        </w:rPr>
        <w:t>de</w:t>
      </w:r>
      <w:r>
        <w:rPr>
          <w:spacing w:val="-2"/>
          <w:sz w:val="18"/>
          <w:szCs w:val="18"/>
          <w:lang w:val="es-ES_tradnl"/>
        </w:rPr>
        <w:t xml:space="preserve"> </w:t>
      </w:r>
      <w:r>
        <w:rPr>
          <w:spacing w:val="-2"/>
          <w:sz w:val="14"/>
          <w:szCs w:val="14"/>
          <w:lang w:val="es-ES_tradnl"/>
        </w:rPr>
        <w:t>Justicia,</w:t>
      </w:r>
      <w:r>
        <w:rPr>
          <w:spacing w:val="-2"/>
          <w:sz w:val="18"/>
          <w:szCs w:val="18"/>
          <w:lang w:val="es-ES_tradnl"/>
        </w:rPr>
        <w:t xml:space="preserve"> </w:t>
      </w:r>
      <w:r>
        <w:rPr>
          <w:spacing w:val="-2"/>
          <w:sz w:val="14"/>
          <w:szCs w:val="14"/>
          <w:lang w:val="es-ES_tradnl"/>
        </w:rPr>
        <w:t>se apelar</w:t>
      </w:r>
      <w:r>
        <w:rPr>
          <w:rFonts w:cs="Times New Roman"/>
          <w:spacing w:val="-2"/>
          <w:sz w:val="14"/>
          <w:szCs w:val="14"/>
          <w:lang w:val="es-ES_tradnl"/>
        </w:rPr>
        <w:t>á</w:t>
      </w:r>
      <w:r>
        <w:rPr>
          <w:spacing w:val="-2"/>
          <w:sz w:val="14"/>
          <w:szCs w:val="14"/>
          <w:lang w:val="es-ES_tradnl"/>
        </w:rPr>
        <w:t xml:space="preserve"> ante cualquier otra sala que no orden</w:t>
      </w:r>
      <w:r>
        <w:rPr>
          <w:rFonts w:cs="Times New Roman"/>
          <w:spacing w:val="-2"/>
          <w:sz w:val="14"/>
          <w:szCs w:val="14"/>
          <w:lang w:val="es-ES_tradnl"/>
        </w:rPr>
        <w:t>ó</w:t>
      </w:r>
      <w:r>
        <w:rPr>
          <w:spacing w:val="-2"/>
          <w:sz w:val="14"/>
          <w:szCs w:val="14"/>
          <w:lang w:val="es-ES_tradnl"/>
        </w:rPr>
        <w:t xml:space="preserve"> la prisi</w:t>
      </w:r>
      <w:r>
        <w:rPr>
          <w:rFonts w:cs="Times New Roman"/>
          <w:spacing w:val="-2"/>
          <w:sz w:val="14"/>
          <w:szCs w:val="14"/>
          <w:lang w:val="es-ES_tradnl"/>
        </w:rPr>
        <w:t>ó</w:t>
      </w:r>
      <w:r>
        <w:rPr>
          <w:spacing w:val="-2"/>
          <w:sz w:val="14"/>
          <w:szCs w:val="14"/>
          <w:lang w:val="es-ES_tradnl"/>
        </w:rPr>
        <w:t>n preventiva.</w:t>
      </w:r>
    </w:p>
    <w:p w14:paraId="4F67AFA2" w14:textId="77777777" w:rsidR="00591D54" w:rsidRDefault="00591D54">
      <w:pPr>
        <w:shd w:val="clear" w:color="auto" w:fill="FFFFFF"/>
        <w:spacing w:line="216" w:lineRule="exact"/>
        <w:jc w:val="both"/>
      </w:pPr>
      <w:r>
        <w:br w:type="column"/>
      </w:r>
      <w:r>
        <w:rPr>
          <w:spacing w:val="-11"/>
          <w:sz w:val="18"/>
          <w:szCs w:val="18"/>
          <w:lang w:val="es-ES_tradnl"/>
        </w:rPr>
        <w:t>de Justicia, la de conocer las acciones de h</w:t>
      </w:r>
      <w:r>
        <w:rPr>
          <w:rFonts w:cs="Times New Roman"/>
          <w:spacing w:val="-11"/>
          <w:sz w:val="18"/>
          <w:szCs w:val="18"/>
          <w:lang w:val="es-ES_tradnl"/>
        </w:rPr>
        <w:t>á</w:t>
      </w:r>
      <w:r>
        <w:rPr>
          <w:spacing w:val="-11"/>
          <w:sz w:val="18"/>
          <w:szCs w:val="18"/>
          <w:lang w:val="es-ES_tradnl"/>
        </w:rPr>
        <w:t xml:space="preserve">beas corpus que </w:t>
      </w:r>
      <w:r>
        <w:rPr>
          <w:spacing w:val="-9"/>
          <w:sz w:val="18"/>
          <w:szCs w:val="18"/>
          <w:lang w:val="es-ES_tradnl"/>
        </w:rPr>
        <w:t>han sido planteadas en los procesos de extradici</w:t>
      </w:r>
      <w:r>
        <w:rPr>
          <w:rFonts w:cs="Times New Roman"/>
          <w:spacing w:val="-9"/>
          <w:sz w:val="18"/>
          <w:szCs w:val="18"/>
          <w:lang w:val="es-ES_tradnl"/>
        </w:rPr>
        <w:t>ó</w:t>
      </w:r>
      <w:r>
        <w:rPr>
          <w:spacing w:val="-9"/>
          <w:sz w:val="18"/>
          <w:szCs w:val="18"/>
          <w:lang w:val="es-ES_tradnl"/>
        </w:rPr>
        <w:t xml:space="preserve">n, por ser </w:t>
      </w:r>
      <w:r>
        <w:rPr>
          <w:spacing w:val="-6"/>
          <w:sz w:val="18"/>
          <w:szCs w:val="18"/>
          <w:lang w:val="es-ES_tradnl"/>
        </w:rPr>
        <w:t xml:space="preserve">el presidente de la Corte Nacional de Justicia a quien le </w:t>
      </w:r>
      <w:r>
        <w:rPr>
          <w:spacing w:val="-8"/>
          <w:sz w:val="18"/>
          <w:szCs w:val="18"/>
          <w:lang w:val="es-ES_tradnl"/>
        </w:rPr>
        <w:t>corresponde ordenar la detenci</w:t>
      </w:r>
      <w:r>
        <w:rPr>
          <w:rFonts w:cs="Times New Roman"/>
          <w:spacing w:val="-8"/>
          <w:sz w:val="18"/>
          <w:szCs w:val="18"/>
          <w:lang w:val="es-ES_tradnl"/>
        </w:rPr>
        <w:t>ó</w:t>
      </w:r>
      <w:r>
        <w:rPr>
          <w:spacing w:val="-8"/>
          <w:sz w:val="18"/>
          <w:szCs w:val="18"/>
          <w:lang w:val="es-ES_tradnl"/>
        </w:rPr>
        <w:t xml:space="preserve">n del sujeto reclamado en </w:t>
      </w:r>
      <w:r>
        <w:rPr>
          <w:spacing w:val="-11"/>
          <w:sz w:val="18"/>
          <w:szCs w:val="18"/>
          <w:lang w:val="es-ES_tradnl"/>
        </w:rPr>
        <w:t>extradici</w:t>
      </w:r>
      <w:r>
        <w:rPr>
          <w:rFonts w:cs="Times New Roman"/>
          <w:spacing w:val="-11"/>
          <w:sz w:val="18"/>
          <w:szCs w:val="18"/>
          <w:lang w:val="es-ES_tradnl"/>
        </w:rPr>
        <w:t>ó</w:t>
      </w:r>
      <w:r>
        <w:rPr>
          <w:spacing w:val="-11"/>
          <w:sz w:val="18"/>
          <w:szCs w:val="18"/>
          <w:lang w:val="es-ES_tradnl"/>
        </w:rPr>
        <w:t>n. De este modo, en aras de subsanar el vac</w:t>
      </w:r>
      <w:r>
        <w:rPr>
          <w:rFonts w:cs="Times New Roman"/>
          <w:spacing w:val="-11"/>
          <w:sz w:val="18"/>
          <w:szCs w:val="18"/>
          <w:lang w:val="es-ES_tradnl"/>
        </w:rPr>
        <w:t>í</w:t>
      </w:r>
      <w:r>
        <w:rPr>
          <w:spacing w:val="-11"/>
          <w:sz w:val="18"/>
          <w:szCs w:val="18"/>
          <w:lang w:val="es-ES_tradnl"/>
        </w:rPr>
        <w:t xml:space="preserve">o legal </w:t>
      </w:r>
      <w:r>
        <w:rPr>
          <w:spacing w:val="-8"/>
          <w:sz w:val="18"/>
          <w:szCs w:val="18"/>
          <w:lang w:val="es-ES_tradnl"/>
        </w:rPr>
        <w:t>al que hemos hecho menci</w:t>
      </w:r>
      <w:r>
        <w:rPr>
          <w:rFonts w:cs="Times New Roman"/>
          <w:spacing w:val="-8"/>
          <w:sz w:val="18"/>
          <w:szCs w:val="18"/>
          <w:lang w:val="es-ES_tradnl"/>
        </w:rPr>
        <w:t>ó</w:t>
      </w:r>
      <w:r>
        <w:rPr>
          <w:spacing w:val="-8"/>
          <w:sz w:val="18"/>
          <w:szCs w:val="18"/>
          <w:lang w:val="es-ES_tradnl"/>
        </w:rPr>
        <w:t xml:space="preserve">n, y para garantizar el derecho </w:t>
      </w:r>
      <w:r>
        <w:rPr>
          <w:spacing w:val="-6"/>
          <w:sz w:val="18"/>
          <w:szCs w:val="18"/>
          <w:lang w:val="es-ES_tradnl"/>
        </w:rPr>
        <w:t>a la tutela judicial efectiva, al debido proceso y dem</w:t>
      </w:r>
      <w:r>
        <w:rPr>
          <w:rFonts w:cs="Times New Roman"/>
          <w:spacing w:val="-6"/>
          <w:sz w:val="18"/>
          <w:szCs w:val="18"/>
          <w:lang w:val="es-ES_tradnl"/>
        </w:rPr>
        <w:t>á</w:t>
      </w:r>
      <w:r>
        <w:rPr>
          <w:spacing w:val="-6"/>
          <w:sz w:val="18"/>
          <w:szCs w:val="18"/>
          <w:lang w:val="es-ES_tradnl"/>
        </w:rPr>
        <w:t xml:space="preserve">s </w:t>
      </w:r>
      <w:r>
        <w:rPr>
          <w:spacing w:val="-8"/>
          <w:sz w:val="18"/>
          <w:szCs w:val="18"/>
          <w:lang w:val="es-ES_tradnl"/>
        </w:rPr>
        <w:t>derechos constitucionales, el numeral segundo del art</w:t>
      </w:r>
      <w:r>
        <w:rPr>
          <w:rFonts w:cs="Times New Roman"/>
          <w:spacing w:val="-8"/>
          <w:sz w:val="18"/>
          <w:szCs w:val="18"/>
          <w:lang w:val="es-ES_tradnl"/>
        </w:rPr>
        <w:t>í</w:t>
      </w:r>
      <w:r>
        <w:rPr>
          <w:spacing w:val="-8"/>
          <w:sz w:val="18"/>
          <w:szCs w:val="18"/>
          <w:lang w:val="es-ES_tradnl"/>
        </w:rPr>
        <w:t xml:space="preserve">culo </w:t>
      </w:r>
      <w:r>
        <w:rPr>
          <w:sz w:val="18"/>
          <w:szCs w:val="18"/>
          <w:lang w:val="es-ES_tradnl"/>
        </w:rPr>
        <w:t>169 de la Ley Org</w:t>
      </w:r>
      <w:r>
        <w:rPr>
          <w:rFonts w:cs="Times New Roman"/>
          <w:sz w:val="18"/>
          <w:szCs w:val="18"/>
          <w:lang w:val="es-ES_tradnl"/>
        </w:rPr>
        <w:t>á</w:t>
      </w:r>
      <w:r>
        <w:rPr>
          <w:sz w:val="18"/>
          <w:szCs w:val="18"/>
          <w:lang w:val="es-ES_tradnl"/>
        </w:rPr>
        <w:t>nica de Garant</w:t>
      </w:r>
      <w:r>
        <w:rPr>
          <w:rFonts w:cs="Times New Roman"/>
          <w:sz w:val="18"/>
          <w:szCs w:val="18"/>
          <w:lang w:val="es-ES_tradnl"/>
        </w:rPr>
        <w:t>í</w:t>
      </w:r>
      <w:r>
        <w:rPr>
          <w:sz w:val="18"/>
          <w:szCs w:val="18"/>
          <w:lang w:val="es-ES_tradnl"/>
        </w:rPr>
        <w:t xml:space="preserve">as Jurisdiccionales </w:t>
      </w:r>
      <w:r>
        <w:rPr>
          <w:spacing w:val="-5"/>
          <w:sz w:val="18"/>
          <w:szCs w:val="18"/>
          <w:lang w:val="es-ES_tradnl"/>
        </w:rPr>
        <w:t>y Control Constitucional deber</w:t>
      </w:r>
      <w:r>
        <w:rPr>
          <w:rFonts w:cs="Times New Roman"/>
          <w:spacing w:val="-5"/>
          <w:sz w:val="18"/>
          <w:szCs w:val="18"/>
          <w:lang w:val="es-ES_tradnl"/>
        </w:rPr>
        <w:t>á</w:t>
      </w:r>
      <w:r>
        <w:rPr>
          <w:spacing w:val="-5"/>
          <w:sz w:val="18"/>
          <w:szCs w:val="18"/>
          <w:lang w:val="es-ES_tradnl"/>
        </w:rPr>
        <w:t xml:space="preserve"> ser interpretado como </w:t>
      </w:r>
      <w:r>
        <w:rPr>
          <w:spacing w:val="-10"/>
          <w:sz w:val="18"/>
          <w:szCs w:val="18"/>
          <w:lang w:val="es-ES_tradnl"/>
        </w:rPr>
        <w:t>adem</w:t>
      </w:r>
      <w:r>
        <w:rPr>
          <w:rFonts w:cs="Times New Roman"/>
          <w:spacing w:val="-10"/>
          <w:sz w:val="18"/>
          <w:szCs w:val="18"/>
          <w:lang w:val="es-ES_tradnl"/>
        </w:rPr>
        <w:t>á</w:t>
      </w:r>
      <w:r>
        <w:rPr>
          <w:spacing w:val="-10"/>
          <w:sz w:val="18"/>
          <w:szCs w:val="18"/>
          <w:lang w:val="es-ES_tradnl"/>
        </w:rPr>
        <w:t xml:space="preserve">s de conocer las acciones de habeas corpus en los </w:t>
      </w:r>
      <w:r>
        <w:rPr>
          <w:spacing w:val="-12"/>
          <w:sz w:val="18"/>
          <w:szCs w:val="18"/>
          <w:lang w:val="es-ES_tradnl"/>
        </w:rPr>
        <w:t>casos de fuero, conocer</w:t>
      </w:r>
      <w:r>
        <w:rPr>
          <w:rFonts w:cs="Times New Roman"/>
          <w:spacing w:val="-12"/>
          <w:sz w:val="18"/>
          <w:szCs w:val="18"/>
          <w:lang w:val="es-ES_tradnl"/>
        </w:rPr>
        <w:t>á</w:t>
      </w:r>
      <w:r>
        <w:rPr>
          <w:spacing w:val="-12"/>
          <w:sz w:val="18"/>
          <w:szCs w:val="18"/>
          <w:lang w:val="es-ES_tradnl"/>
        </w:rPr>
        <w:t xml:space="preserve"> aquellas acciones de habeas corpus </w:t>
      </w:r>
      <w:r>
        <w:rPr>
          <w:spacing w:val="-10"/>
          <w:sz w:val="18"/>
          <w:szCs w:val="18"/>
          <w:lang w:val="es-ES_tradnl"/>
        </w:rPr>
        <w:t>en los procesos de extradici</w:t>
      </w:r>
      <w:r>
        <w:rPr>
          <w:rFonts w:cs="Times New Roman"/>
          <w:spacing w:val="-10"/>
          <w:sz w:val="18"/>
          <w:szCs w:val="18"/>
          <w:lang w:val="es-ES_tradnl"/>
        </w:rPr>
        <w:t>ó</w:t>
      </w:r>
      <w:r>
        <w:rPr>
          <w:spacing w:val="-10"/>
          <w:sz w:val="18"/>
          <w:szCs w:val="18"/>
          <w:lang w:val="es-ES_tradnl"/>
        </w:rPr>
        <w:t xml:space="preserve">n en los que el presidente de la </w:t>
      </w:r>
      <w:r>
        <w:rPr>
          <w:spacing w:val="-7"/>
          <w:sz w:val="18"/>
          <w:szCs w:val="18"/>
          <w:lang w:val="es-ES_tradnl"/>
        </w:rPr>
        <w:t>Corte Nacional de Justicia haya ordenado la detenci</w:t>
      </w:r>
      <w:r>
        <w:rPr>
          <w:rFonts w:cs="Times New Roman"/>
          <w:spacing w:val="-7"/>
          <w:sz w:val="18"/>
          <w:szCs w:val="18"/>
          <w:lang w:val="es-ES_tradnl"/>
        </w:rPr>
        <w:t>ó</w:t>
      </w:r>
      <w:r>
        <w:rPr>
          <w:spacing w:val="-7"/>
          <w:sz w:val="18"/>
          <w:szCs w:val="18"/>
          <w:lang w:val="es-ES_tradnl"/>
        </w:rPr>
        <w:t xml:space="preserve">n del </w:t>
      </w:r>
      <w:r>
        <w:rPr>
          <w:sz w:val="18"/>
          <w:szCs w:val="18"/>
          <w:lang w:val="es-ES_tradnl"/>
        </w:rPr>
        <w:t>sujeto reclamado en extradici</w:t>
      </w:r>
      <w:r>
        <w:rPr>
          <w:rFonts w:cs="Times New Roman"/>
          <w:sz w:val="18"/>
          <w:szCs w:val="18"/>
          <w:lang w:val="es-ES_tradnl"/>
        </w:rPr>
        <w:t>ó</w:t>
      </w:r>
      <w:r>
        <w:rPr>
          <w:sz w:val="18"/>
          <w:szCs w:val="18"/>
          <w:lang w:val="es-ES_tradnl"/>
        </w:rPr>
        <w:t>n.</w:t>
      </w:r>
    </w:p>
    <w:p w14:paraId="4F67AFA3" w14:textId="77777777" w:rsidR="00591D54" w:rsidRDefault="00591D54">
      <w:pPr>
        <w:shd w:val="clear" w:color="auto" w:fill="FFFFFF"/>
        <w:spacing w:before="197" w:line="221" w:lineRule="exact"/>
        <w:jc w:val="both"/>
      </w:pPr>
      <w:r>
        <w:rPr>
          <w:spacing w:val="-8"/>
          <w:sz w:val="18"/>
          <w:szCs w:val="18"/>
          <w:lang w:val="es-ES_tradnl"/>
        </w:rPr>
        <w:t>Es as</w:t>
      </w:r>
      <w:r>
        <w:rPr>
          <w:rFonts w:cs="Times New Roman"/>
          <w:spacing w:val="-8"/>
          <w:sz w:val="18"/>
          <w:szCs w:val="18"/>
          <w:lang w:val="es-ES_tradnl"/>
        </w:rPr>
        <w:t>í</w:t>
      </w:r>
      <w:r>
        <w:rPr>
          <w:spacing w:val="-8"/>
          <w:sz w:val="18"/>
          <w:szCs w:val="18"/>
          <w:lang w:val="es-ES_tradnl"/>
        </w:rPr>
        <w:t xml:space="preserve"> que conforme a la facultad consagrada en el art</w:t>
      </w:r>
      <w:r>
        <w:rPr>
          <w:rFonts w:cs="Times New Roman"/>
          <w:spacing w:val="-8"/>
          <w:sz w:val="18"/>
          <w:szCs w:val="18"/>
          <w:lang w:val="es-ES_tradnl"/>
        </w:rPr>
        <w:t>í</w:t>
      </w:r>
      <w:r>
        <w:rPr>
          <w:spacing w:val="-8"/>
          <w:sz w:val="18"/>
          <w:szCs w:val="18"/>
          <w:lang w:val="es-ES_tradnl"/>
        </w:rPr>
        <w:t xml:space="preserve">culo </w:t>
      </w:r>
      <w:r>
        <w:rPr>
          <w:spacing w:val="-2"/>
          <w:sz w:val="18"/>
          <w:szCs w:val="18"/>
          <w:lang w:val="es-ES_tradnl"/>
        </w:rPr>
        <w:t>436 numerales 1 y 6 de la Constituci</w:t>
      </w:r>
      <w:r>
        <w:rPr>
          <w:rFonts w:cs="Times New Roman"/>
          <w:spacing w:val="-2"/>
          <w:sz w:val="18"/>
          <w:szCs w:val="18"/>
          <w:lang w:val="es-ES_tradnl"/>
        </w:rPr>
        <w:t>ó</w:t>
      </w:r>
      <w:r>
        <w:rPr>
          <w:spacing w:val="-2"/>
          <w:sz w:val="18"/>
          <w:szCs w:val="18"/>
          <w:lang w:val="es-ES_tradnl"/>
        </w:rPr>
        <w:t>n de la Rep</w:t>
      </w:r>
      <w:r>
        <w:rPr>
          <w:rFonts w:cs="Times New Roman"/>
          <w:spacing w:val="-2"/>
          <w:sz w:val="18"/>
          <w:szCs w:val="18"/>
          <w:lang w:val="es-ES_tradnl"/>
        </w:rPr>
        <w:t>ú</w:t>
      </w:r>
      <w:r>
        <w:rPr>
          <w:spacing w:val="-2"/>
          <w:sz w:val="18"/>
          <w:szCs w:val="18"/>
          <w:lang w:val="es-ES_tradnl"/>
        </w:rPr>
        <w:t xml:space="preserve">blica </w:t>
      </w:r>
      <w:r>
        <w:rPr>
          <w:spacing w:val="-3"/>
          <w:sz w:val="18"/>
          <w:szCs w:val="18"/>
          <w:lang w:val="es-ES_tradnl"/>
        </w:rPr>
        <w:t xml:space="preserve">a la Corte Constitucional, emite la siguiente regla </w:t>
      </w:r>
      <w:r>
        <w:rPr>
          <w:sz w:val="18"/>
          <w:szCs w:val="18"/>
          <w:lang w:val="es-ES_tradnl"/>
        </w:rPr>
        <w:t>jurisprudencial:</w:t>
      </w:r>
    </w:p>
    <w:p w14:paraId="4F67AFA4" w14:textId="77777777" w:rsidR="00591D54" w:rsidRDefault="00591D54">
      <w:pPr>
        <w:shd w:val="clear" w:color="auto" w:fill="FFFFFF"/>
        <w:spacing w:before="211" w:line="216" w:lineRule="exact"/>
        <w:ind w:left="283"/>
        <w:jc w:val="both"/>
      </w:pPr>
      <w:r>
        <w:rPr>
          <w:sz w:val="14"/>
          <w:szCs w:val="14"/>
          <w:lang w:val="es-ES_tradnl"/>
        </w:rPr>
        <w:t>La Corte Nacional de Justicia es competente para conocer las acciones de habeas corpus en casos de fuero, as</w:t>
      </w:r>
      <w:r>
        <w:rPr>
          <w:rFonts w:cs="Times New Roman"/>
          <w:sz w:val="14"/>
          <w:szCs w:val="14"/>
          <w:lang w:val="es-ES_tradnl"/>
        </w:rPr>
        <w:t>í</w:t>
      </w:r>
      <w:r>
        <w:rPr>
          <w:sz w:val="14"/>
          <w:szCs w:val="14"/>
          <w:lang w:val="es-ES_tradnl"/>
        </w:rPr>
        <w:t xml:space="preserve"> como en los casos de h</w:t>
      </w:r>
      <w:r>
        <w:rPr>
          <w:rFonts w:cs="Times New Roman"/>
          <w:sz w:val="14"/>
          <w:szCs w:val="14"/>
          <w:lang w:val="es-ES_tradnl"/>
        </w:rPr>
        <w:t>á</w:t>
      </w:r>
      <w:r>
        <w:rPr>
          <w:sz w:val="14"/>
          <w:szCs w:val="14"/>
          <w:lang w:val="es-ES_tradnl"/>
        </w:rPr>
        <w:t>beas corpus propuestos en contra de procesos de extradici</w:t>
      </w:r>
      <w:r>
        <w:rPr>
          <w:rFonts w:cs="Times New Roman"/>
          <w:sz w:val="14"/>
          <w:szCs w:val="14"/>
          <w:lang w:val="es-ES_tradnl"/>
        </w:rPr>
        <w:t>ó</w:t>
      </w:r>
      <w:r>
        <w:rPr>
          <w:sz w:val="14"/>
          <w:szCs w:val="14"/>
          <w:lang w:val="es-ES_tradnl"/>
        </w:rPr>
        <w:t>n en los que exista orden de detenci</w:t>
      </w:r>
      <w:r>
        <w:rPr>
          <w:rFonts w:cs="Times New Roman"/>
          <w:sz w:val="14"/>
          <w:szCs w:val="14"/>
          <w:lang w:val="es-ES_tradnl"/>
        </w:rPr>
        <w:t>ó</w:t>
      </w:r>
      <w:r>
        <w:rPr>
          <w:sz w:val="14"/>
          <w:szCs w:val="14"/>
          <w:lang w:val="es-ES_tradnl"/>
        </w:rPr>
        <w:t>n del sujeto reclamado.</w:t>
      </w:r>
    </w:p>
    <w:p w14:paraId="4F67AFA5" w14:textId="77777777" w:rsidR="00591D54" w:rsidRDefault="00591D54">
      <w:pPr>
        <w:shd w:val="clear" w:color="auto" w:fill="FFFFFF"/>
        <w:spacing w:before="202" w:line="221" w:lineRule="exact"/>
        <w:jc w:val="both"/>
      </w:pPr>
      <w:r>
        <w:rPr>
          <w:spacing w:val="-9"/>
          <w:sz w:val="18"/>
          <w:szCs w:val="18"/>
          <w:lang w:val="es-ES_tradnl"/>
        </w:rPr>
        <w:t>Dicho todo esto, en el caso materia de nuestro an</w:t>
      </w:r>
      <w:r>
        <w:rPr>
          <w:rFonts w:cs="Times New Roman"/>
          <w:spacing w:val="-9"/>
          <w:sz w:val="18"/>
          <w:szCs w:val="18"/>
          <w:lang w:val="es-ES_tradnl"/>
        </w:rPr>
        <w:t>á</w:t>
      </w:r>
      <w:r>
        <w:rPr>
          <w:spacing w:val="-9"/>
          <w:sz w:val="18"/>
          <w:szCs w:val="18"/>
          <w:lang w:val="es-ES_tradnl"/>
        </w:rPr>
        <w:t xml:space="preserve">lisis, esta </w:t>
      </w:r>
      <w:r>
        <w:rPr>
          <w:spacing w:val="-6"/>
          <w:sz w:val="18"/>
          <w:szCs w:val="18"/>
          <w:lang w:val="es-ES_tradnl"/>
        </w:rPr>
        <w:t>Corte evidencia que pese a que la Sala Especializada de la Familia, Ni</w:t>
      </w:r>
      <w:r>
        <w:rPr>
          <w:rFonts w:cs="Times New Roman"/>
          <w:spacing w:val="-6"/>
          <w:sz w:val="18"/>
          <w:szCs w:val="18"/>
          <w:lang w:val="es-ES_tradnl"/>
        </w:rPr>
        <w:t>ñ</w:t>
      </w:r>
      <w:r>
        <w:rPr>
          <w:spacing w:val="-6"/>
          <w:sz w:val="18"/>
          <w:szCs w:val="18"/>
          <w:lang w:val="es-ES_tradnl"/>
        </w:rPr>
        <w:t xml:space="preserve">ez y Adolescencia de la Corte Nacional de </w:t>
      </w:r>
      <w:r>
        <w:rPr>
          <w:spacing w:val="-8"/>
          <w:sz w:val="18"/>
          <w:szCs w:val="18"/>
          <w:lang w:val="es-ES_tradnl"/>
        </w:rPr>
        <w:t>Justicia, en principio, actu</w:t>
      </w:r>
      <w:r>
        <w:rPr>
          <w:rFonts w:cs="Times New Roman"/>
          <w:spacing w:val="-8"/>
          <w:sz w:val="18"/>
          <w:szCs w:val="18"/>
          <w:lang w:val="es-ES_tradnl"/>
        </w:rPr>
        <w:t>ó</w:t>
      </w:r>
      <w:r>
        <w:rPr>
          <w:spacing w:val="-8"/>
          <w:sz w:val="18"/>
          <w:szCs w:val="18"/>
          <w:lang w:val="es-ES_tradnl"/>
        </w:rPr>
        <w:t xml:space="preserve"> de conformidad con las normas </w:t>
      </w:r>
      <w:r>
        <w:rPr>
          <w:spacing w:val="-6"/>
          <w:sz w:val="18"/>
          <w:szCs w:val="18"/>
          <w:lang w:val="es-ES_tradnl"/>
        </w:rPr>
        <w:t>constitucionales y legales aplicables y vigentes, el vac</w:t>
      </w:r>
      <w:r>
        <w:rPr>
          <w:rFonts w:cs="Times New Roman"/>
          <w:spacing w:val="-6"/>
          <w:sz w:val="18"/>
          <w:szCs w:val="18"/>
          <w:lang w:val="es-ES_tradnl"/>
        </w:rPr>
        <w:t>í</w:t>
      </w:r>
      <w:r>
        <w:rPr>
          <w:spacing w:val="-6"/>
          <w:sz w:val="18"/>
          <w:szCs w:val="18"/>
          <w:lang w:val="es-ES_tradnl"/>
        </w:rPr>
        <w:t xml:space="preserve">o </w:t>
      </w:r>
      <w:r>
        <w:rPr>
          <w:spacing w:val="-8"/>
          <w:sz w:val="18"/>
          <w:szCs w:val="18"/>
          <w:lang w:val="es-ES_tradnl"/>
        </w:rPr>
        <w:t>legal existente s</w:t>
      </w:r>
      <w:r>
        <w:rPr>
          <w:rFonts w:cs="Times New Roman"/>
          <w:spacing w:val="-8"/>
          <w:sz w:val="18"/>
          <w:szCs w:val="18"/>
          <w:lang w:val="es-ES_tradnl"/>
        </w:rPr>
        <w:t>í</w:t>
      </w:r>
      <w:r>
        <w:rPr>
          <w:spacing w:val="-8"/>
          <w:sz w:val="18"/>
          <w:szCs w:val="18"/>
          <w:lang w:val="es-ES_tradnl"/>
        </w:rPr>
        <w:t xml:space="preserve"> provoc</w:t>
      </w:r>
      <w:r>
        <w:rPr>
          <w:rFonts w:cs="Times New Roman"/>
          <w:spacing w:val="-8"/>
          <w:sz w:val="18"/>
          <w:szCs w:val="18"/>
          <w:lang w:val="es-ES_tradnl"/>
        </w:rPr>
        <w:t>ó</w:t>
      </w:r>
      <w:r>
        <w:rPr>
          <w:spacing w:val="-8"/>
          <w:sz w:val="18"/>
          <w:szCs w:val="18"/>
          <w:lang w:val="es-ES_tradnl"/>
        </w:rPr>
        <w:t xml:space="preserve"> que se afectaran los derechos </w:t>
      </w:r>
      <w:r>
        <w:rPr>
          <w:sz w:val="18"/>
          <w:szCs w:val="18"/>
          <w:lang w:val="es-ES_tradnl"/>
        </w:rPr>
        <w:t>constitucionales del accionante.</w:t>
      </w:r>
    </w:p>
    <w:p w14:paraId="4F67AFA6" w14:textId="77777777" w:rsidR="00591D54" w:rsidRDefault="00591D54">
      <w:pPr>
        <w:shd w:val="clear" w:color="auto" w:fill="FFFFFF"/>
        <w:spacing w:before="197" w:line="221" w:lineRule="exact"/>
        <w:jc w:val="both"/>
      </w:pPr>
      <w:r>
        <w:rPr>
          <w:spacing w:val="-7"/>
          <w:sz w:val="18"/>
          <w:szCs w:val="18"/>
          <w:lang w:val="es-ES_tradnl"/>
        </w:rPr>
        <w:t>La decisi</w:t>
      </w:r>
      <w:r>
        <w:rPr>
          <w:rFonts w:cs="Times New Roman"/>
          <w:spacing w:val="-7"/>
          <w:sz w:val="18"/>
          <w:szCs w:val="18"/>
          <w:lang w:val="es-ES_tradnl"/>
        </w:rPr>
        <w:t>ó</w:t>
      </w:r>
      <w:r>
        <w:rPr>
          <w:spacing w:val="-7"/>
          <w:sz w:val="18"/>
          <w:szCs w:val="18"/>
          <w:lang w:val="es-ES_tradnl"/>
        </w:rPr>
        <w:t xml:space="preserve">n de la Sala de la Corte Nacional de Justicia, al </w:t>
      </w:r>
      <w:r>
        <w:rPr>
          <w:spacing w:val="-9"/>
          <w:sz w:val="18"/>
          <w:szCs w:val="18"/>
          <w:lang w:val="es-ES_tradnl"/>
        </w:rPr>
        <w:t>declararse incompetente, deja al se</w:t>
      </w:r>
      <w:r>
        <w:rPr>
          <w:rFonts w:cs="Times New Roman"/>
          <w:spacing w:val="-9"/>
          <w:sz w:val="18"/>
          <w:szCs w:val="18"/>
          <w:lang w:val="es-ES_tradnl"/>
        </w:rPr>
        <w:t>ñ</w:t>
      </w:r>
      <w:r>
        <w:rPr>
          <w:spacing w:val="-9"/>
          <w:sz w:val="18"/>
          <w:szCs w:val="18"/>
          <w:lang w:val="es-ES_tradnl"/>
        </w:rPr>
        <w:t xml:space="preserve">or Julio Diez Merino en </w:t>
      </w:r>
      <w:r>
        <w:rPr>
          <w:spacing w:val="-5"/>
          <w:sz w:val="18"/>
          <w:szCs w:val="18"/>
          <w:lang w:val="es-ES_tradnl"/>
        </w:rPr>
        <w:t>una situaci</w:t>
      </w:r>
      <w:r>
        <w:rPr>
          <w:rFonts w:cs="Times New Roman"/>
          <w:spacing w:val="-5"/>
          <w:sz w:val="18"/>
          <w:szCs w:val="18"/>
          <w:lang w:val="es-ES_tradnl"/>
        </w:rPr>
        <w:t>ó</w:t>
      </w:r>
      <w:r>
        <w:rPr>
          <w:spacing w:val="-5"/>
          <w:sz w:val="18"/>
          <w:szCs w:val="18"/>
          <w:lang w:val="es-ES_tradnl"/>
        </w:rPr>
        <w:t>n de vulnerabilidad, ya que le corresponder</w:t>
      </w:r>
      <w:r>
        <w:rPr>
          <w:rFonts w:cs="Times New Roman"/>
          <w:spacing w:val="-5"/>
          <w:sz w:val="18"/>
          <w:szCs w:val="18"/>
          <w:lang w:val="es-ES_tradnl"/>
        </w:rPr>
        <w:t>í</w:t>
      </w:r>
      <w:r>
        <w:rPr>
          <w:spacing w:val="-5"/>
          <w:sz w:val="18"/>
          <w:szCs w:val="18"/>
          <w:lang w:val="es-ES_tradnl"/>
        </w:rPr>
        <w:t xml:space="preserve">a </w:t>
      </w:r>
      <w:r>
        <w:rPr>
          <w:spacing w:val="-3"/>
          <w:sz w:val="18"/>
          <w:szCs w:val="18"/>
          <w:lang w:val="es-ES_tradnl"/>
        </w:rPr>
        <w:t>a un juez de instancia revisar la decisi</w:t>
      </w:r>
      <w:r>
        <w:rPr>
          <w:rFonts w:cs="Times New Roman"/>
          <w:spacing w:val="-3"/>
          <w:sz w:val="18"/>
          <w:szCs w:val="18"/>
          <w:lang w:val="es-ES_tradnl"/>
        </w:rPr>
        <w:t>ó</w:t>
      </w:r>
      <w:r>
        <w:rPr>
          <w:spacing w:val="-3"/>
          <w:sz w:val="18"/>
          <w:szCs w:val="18"/>
          <w:lang w:val="es-ES_tradnl"/>
        </w:rPr>
        <w:t xml:space="preserve">n del presidente </w:t>
      </w:r>
      <w:r>
        <w:rPr>
          <w:spacing w:val="-6"/>
          <w:sz w:val="18"/>
          <w:szCs w:val="18"/>
          <w:lang w:val="es-ES_tradnl"/>
        </w:rPr>
        <w:t xml:space="preserve">de la Corte Nacional de Justicia, lo cual, tal como ha sido </w:t>
      </w:r>
      <w:r>
        <w:rPr>
          <w:spacing w:val="-7"/>
          <w:sz w:val="18"/>
          <w:szCs w:val="18"/>
          <w:lang w:val="es-ES_tradnl"/>
        </w:rPr>
        <w:t xml:space="preserve">demostrado en esta sentencia, rompe con el principio de </w:t>
      </w:r>
      <w:r>
        <w:rPr>
          <w:spacing w:val="-3"/>
          <w:sz w:val="18"/>
          <w:szCs w:val="18"/>
          <w:lang w:val="es-ES_tradnl"/>
        </w:rPr>
        <w:t>jerarqu</w:t>
      </w:r>
      <w:r>
        <w:rPr>
          <w:rFonts w:cs="Times New Roman"/>
          <w:spacing w:val="-3"/>
          <w:sz w:val="18"/>
          <w:szCs w:val="18"/>
          <w:lang w:val="es-ES_tradnl"/>
        </w:rPr>
        <w:t>í</w:t>
      </w:r>
      <w:r>
        <w:rPr>
          <w:spacing w:val="-3"/>
          <w:sz w:val="18"/>
          <w:szCs w:val="18"/>
          <w:lang w:val="es-ES_tradnl"/>
        </w:rPr>
        <w:t xml:space="preserve">a, al permitir que un juez de primera instancia </w:t>
      </w:r>
      <w:r>
        <w:rPr>
          <w:spacing w:val="-6"/>
          <w:sz w:val="18"/>
          <w:szCs w:val="18"/>
          <w:lang w:val="es-ES_tradnl"/>
        </w:rPr>
        <w:t>revise una decisi</w:t>
      </w:r>
      <w:r>
        <w:rPr>
          <w:rFonts w:cs="Times New Roman"/>
          <w:spacing w:val="-6"/>
          <w:sz w:val="18"/>
          <w:szCs w:val="18"/>
          <w:lang w:val="es-ES_tradnl"/>
        </w:rPr>
        <w:t>ó</w:t>
      </w:r>
      <w:r>
        <w:rPr>
          <w:spacing w:val="-6"/>
          <w:sz w:val="18"/>
          <w:szCs w:val="18"/>
          <w:lang w:val="es-ES_tradnl"/>
        </w:rPr>
        <w:t>n de la m</w:t>
      </w:r>
      <w:r>
        <w:rPr>
          <w:rFonts w:cs="Times New Roman"/>
          <w:spacing w:val="-6"/>
          <w:sz w:val="18"/>
          <w:szCs w:val="18"/>
          <w:lang w:val="es-ES_tradnl"/>
        </w:rPr>
        <w:t>á</w:t>
      </w:r>
      <w:r>
        <w:rPr>
          <w:spacing w:val="-6"/>
          <w:sz w:val="18"/>
          <w:szCs w:val="18"/>
          <w:lang w:val="es-ES_tradnl"/>
        </w:rPr>
        <w:t>xima autoridad de la Funci</w:t>
      </w:r>
      <w:r>
        <w:rPr>
          <w:rFonts w:cs="Times New Roman"/>
          <w:spacing w:val="-6"/>
          <w:sz w:val="18"/>
          <w:szCs w:val="18"/>
          <w:lang w:val="es-ES_tradnl"/>
        </w:rPr>
        <w:t>ó</w:t>
      </w:r>
      <w:r>
        <w:rPr>
          <w:spacing w:val="-6"/>
          <w:sz w:val="18"/>
          <w:szCs w:val="18"/>
          <w:lang w:val="es-ES_tradnl"/>
        </w:rPr>
        <w:t xml:space="preserve">n </w:t>
      </w:r>
      <w:r>
        <w:rPr>
          <w:spacing w:val="-5"/>
          <w:sz w:val="18"/>
          <w:szCs w:val="18"/>
          <w:lang w:val="es-ES_tradnl"/>
        </w:rPr>
        <w:t xml:space="preserve">Judicial, y aquello impide que el accionante reciba tutela </w:t>
      </w:r>
      <w:r>
        <w:rPr>
          <w:spacing w:val="-7"/>
          <w:sz w:val="18"/>
          <w:szCs w:val="18"/>
          <w:lang w:val="es-ES_tradnl"/>
        </w:rPr>
        <w:t>de sus derechos por parte del juez competente en funci</w:t>
      </w:r>
      <w:r>
        <w:rPr>
          <w:rFonts w:cs="Times New Roman"/>
          <w:spacing w:val="-7"/>
          <w:sz w:val="18"/>
          <w:szCs w:val="18"/>
          <w:lang w:val="es-ES_tradnl"/>
        </w:rPr>
        <w:t>ó</w:t>
      </w:r>
      <w:r>
        <w:rPr>
          <w:spacing w:val="-7"/>
          <w:sz w:val="18"/>
          <w:szCs w:val="18"/>
          <w:lang w:val="es-ES_tradnl"/>
        </w:rPr>
        <w:t xml:space="preserve">n </w:t>
      </w:r>
      <w:r>
        <w:rPr>
          <w:sz w:val="18"/>
          <w:szCs w:val="18"/>
          <w:lang w:val="es-ES_tradnl"/>
        </w:rPr>
        <w:t>de los grados.</w:t>
      </w:r>
    </w:p>
    <w:p w14:paraId="4F67AFA7" w14:textId="77777777" w:rsidR="00591D54" w:rsidRDefault="00591D54">
      <w:pPr>
        <w:shd w:val="clear" w:color="auto" w:fill="FFFFFF"/>
        <w:spacing w:before="197"/>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AFA8" w14:textId="77777777" w:rsidR="00591D54" w:rsidRDefault="00591D54">
      <w:pPr>
        <w:shd w:val="clear" w:color="auto" w:fill="FFFFFF"/>
        <w:spacing w:before="202" w:line="221" w:lineRule="exact"/>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5"/>
          <w:sz w:val="18"/>
          <w:szCs w:val="18"/>
          <w:lang w:val="es-ES_tradnl"/>
        </w:rPr>
        <w:t>constitucional y por mandato de la Constituci</w:t>
      </w:r>
      <w:r>
        <w:rPr>
          <w:rFonts w:cs="Times New Roman"/>
          <w:spacing w:val="-5"/>
          <w:sz w:val="18"/>
          <w:szCs w:val="18"/>
          <w:lang w:val="es-ES_tradnl"/>
        </w:rPr>
        <w:t>ó</w:t>
      </w:r>
      <w:r>
        <w:rPr>
          <w:spacing w:val="-5"/>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 xml:space="preserve">blica del Ecuador, el Pleno de la Corte Constitucional </w:t>
      </w:r>
      <w:r>
        <w:rPr>
          <w:sz w:val="18"/>
          <w:szCs w:val="18"/>
          <w:lang w:val="es-ES_tradnl"/>
        </w:rPr>
        <w:t>expide la siguiente sentencia:</w:t>
      </w:r>
    </w:p>
    <w:p w14:paraId="4F67AFA9" w14:textId="77777777" w:rsidR="00591D54" w:rsidRDefault="00591D54">
      <w:pPr>
        <w:shd w:val="clear" w:color="auto" w:fill="FFFFFF"/>
        <w:spacing w:before="197"/>
        <w:jc w:val="center"/>
      </w:pPr>
      <w:r>
        <w:rPr>
          <w:b/>
          <w:bCs/>
          <w:sz w:val="18"/>
          <w:szCs w:val="18"/>
          <w:lang w:val="es-ES_tradnl"/>
        </w:rPr>
        <w:t>SENTENCIA</w:t>
      </w:r>
    </w:p>
    <w:p w14:paraId="4F67AFAA" w14:textId="77777777" w:rsidR="00591D54" w:rsidRDefault="00591D54" w:rsidP="00251195">
      <w:pPr>
        <w:numPr>
          <w:ilvl w:val="0"/>
          <w:numId w:val="74"/>
        </w:numPr>
        <w:shd w:val="clear" w:color="auto" w:fill="FFFFFF"/>
        <w:tabs>
          <w:tab w:val="left" w:pos="566"/>
        </w:tabs>
        <w:spacing w:before="197" w:line="221" w:lineRule="exact"/>
        <w:ind w:left="566" w:hanging="283"/>
        <w:jc w:val="both"/>
        <w:rPr>
          <w:spacing w:val="-9"/>
          <w:sz w:val="18"/>
          <w:szCs w:val="18"/>
          <w:lang w:val="es-ES_tradnl"/>
        </w:rPr>
      </w:pPr>
      <w:r>
        <w:rPr>
          <w:spacing w:val="-5"/>
          <w:sz w:val="18"/>
          <w:szCs w:val="18"/>
          <w:lang w:val="es-ES_tradnl"/>
        </w:rPr>
        <w:t>Declarar la vulneraci</w:t>
      </w:r>
      <w:r>
        <w:rPr>
          <w:rFonts w:cs="Times New Roman"/>
          <w:spacing w:val="-5"/>
          <w:sz w:val="18"/>
          <w:szCs w:val="18"/>
          <w:lang w:val="es-ES_tradnl"/>
        </w:rPr>
        <w:t>ó</w:t>
      </w:r>
      <w:r>
        <w:rPr>
          <w:spacing w:val="-5"/>
          <w:sz w:val="18"/>
          <w:szCs w:val="18"/>
          <w:lang w:val="es-ES_tradnl"/>
        </w:rPr>
        <w:t xml:space="preserve">n del derecho constitucional </w:t>
      </w:r>
      <w:r>
        <w:rPr>
          <w:spacing w:val="-6"/>
          <w:sz w:val="18"/>
          <w:szCs w:val="18"/>
          <w:lang w:val="es-ES_tradnl"/>
        </w:rPr>
        <w:t>a la tutela judicial efectiva, contenido en el art</w:t>
      </w:r>
      <w:r>
        <w:rPr>
          <w:rFonts w:cs="Times New Roman"/>
          <w:spacing w:val="-6"/>
          <w:sz w:val="18"/>
          <w:szCs w:val="18"/>
          <w:lang w:val="es-ES_tradnl"/>
        </w:rPr>
        <w:t>í</w:t>
      </w:r>
      <w:r>
        <w:rPr>
          <w:spacing w:val="-6"/>
          <w:sz w:val="18"/>
          <w:szCs w:val="18"/>
          <w:lang w:val="es-ES_tradnl"/>
        </w:rPr>
        <w:t xml:space="preserve">culo </w:t>
      </w:r>
      <w:r>
        <w:rPr>
          <w:spacing w:val="-7"/>
          <w:sz w:val="18"/>
          <w:szCs w:val="18"/>
          <w:lang w:val="es-ES_tradnl"/>
        </w:rPr>
        <w:t>75 de 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blica.</w:t>
      </w:r>
    </w:p>
    <w:p w14:paraId="4F67AFAB" w14:textId="77777777" w:rsidR="00591D54" w:rsidRDefault="00591D54" w:rsidP="00251195">
      <w:pPr>
        <w:numPr>
          <w:ilvl w:val="0"/>
          <w:numId w:val="74"/>
        </w:numPr>
        <w:shd w:val="clear" w:color="auto" w:fill="FFFFFF"/>
        <w:tabs>
          <w:tab w:val="left" w:pos="566"/>
        </w:tabs>
        <w:spacing w:before="202" w:line="221" w:lineRule="exact"/>
        <w:ind w:left="566" w:hanging="283"/>
        <w:jc w:val="both"/>
        <w:rPr>
          <w:spacing w:val="-9"/>
          <w:sz w:val="18"/>
          <w:szCs w:val="18"/>
          <w:lang w:val="es-ES_tradnl"/>
        </w:rPr>
      </w:pPr>
      <w:r>
        <w:rPr>
          <w:spacing w:val="-6"/>
          <w:sz w:val="18"/>
          <w:szCs w:val="18"/>
          <w:lang w:val="es-ES_tradnl"/>
        </w:rPr>
        <w:t>Aceptar la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w:t>
      </w:r>
      <w:r>
        <w:rPr>
          <w:sz w:val="18"/>
          <w:szCs w:val="18"/>
          <w:lang w:val="es-ES_tradnl"/>
        </w:rPr>
        <w:t>planteada.</w:t>
      </w:r>
    </w:p>
    <w:p w14:paraId="4F67AFAC" w14:textId="77777777" w:rsidR="00591D54" w:rsidRDefault="00591D54" w:rsidP="00251195">
      <w:pPr>
        <w:numPr>
          <w:ilvl w:val="0"/>
          <w:numId w:val="74"/>
        </w:numPr>
        <w:shd w:val="clear" w:color="auto" w:fill="FFFFFF"/>
        <w:tabs>
          <w:tab w:val="left" w:pos="566"/>
        </w:tabs>
        <w:spacing w:before="202" w:line="221" w:lineRule="exact"/>
        <w:ind w:left="566" w:hanging="283"/>
        <w:jc w:val="both"/>
        <w:rPr>
          <w:spacing w:val="-9"/>
          <w:sz w:val="18"/>
          <w:szCs w:val="18"/>
          <w:lang w:val="es-ES_tradnl"/>
        </w:rPr>
        <w:sectPr w:rsidR="00591D54">
          <w:type w:val="continuous"/>
          <w:pgSz w:w="11909" w:h="16834"/>
          <w:pgMar w:top="1356" w:right="1309" w:bottom="360" w:left="1308" w:header="720" w:footer="720" w:gutter="0"/>
          <w:cols w:num="2" w:space="720" w:equalWidth="0">
            <w:col w:w="4305" w:space="682"/>
            <w:col w:w="4305"/>
          </w:cols>
          <w:noEndnote/>
        </w:sectPr>
      </w:pPr>
    </w:p>
    <w:p w14:paraId="4F67AFAD"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- 149</w:t>
      </w:r>
    </w:p>
    <w:p w14:paraId="4F67AFAE" w14:textId="77777777" w:rsidR="00591D54" w:rsidRDefault="00591D54">
      <w:pPr>
        <w:shd w:val="clear" w:color="auto" w:fill="FFFFFF"/>
        <w:tabs>
          <w:tab w:val="left" w:pos="5842"/>
        </w:tabs>
        <w:spacing w:after="235"/>
        <w:ind w:left="5"/>
        <w:sectPr w:rsidR="00591D54">
          <w:pgSz w:w="11909" w:h="16834"/>
          <w:pgMar w:top="1361" w:right="1309" w:bottom="360" w:left="1308" w:header="720" w:footer="720" w:gutter="0"/>
          <w:cols w:space="60"/>
          <w:noEndnote/>
        </w:sectPr>
      </w:pPr>
    </w:p>
    <w:p w14:paraId="4F67AFAF" w14:textId="77777777" w:rsidR="00591D54" w:rsidRDefault="00591D54">
      <w:pPr>
        <w:shd w:val="clear" w:color="auto" w:fill="FFFFFF"/>
        <w:tabs>
          <w:tab w:val="left" w:pos="566"/>
        </w:tabs>
        <w:spacing w:line="226" w:lineRule="exact"/>
        <w:ind w:left="566" w:hanging="283"/>
        <w:jc w:val="both"/>
      </w:pPr>
      <w:r>
        <w:rPr>
          <w:spacing w:val="-11"/>
          <w:sz w:val="18"/>
          <w:szCs w:val="18"/>
          <w:lang w:val="es-ES_tradnl"/>
        </w:rPr>
        <w:t>3.</w:t>
      </w:r>
      <w:r>
        <w:rPr>
          <w:sz w:val="18"/>
          <w:szCs w:val="18"/>
          <w:lang w:val="es-ES_tradnl"/>
        </w:rPr>
        <w:tab/>
      </w:r>
      <w:r>
        <w:rPr>
          <w:spacing w:val="-6"/>
          <w:sz w:val="18"/>
          <w:szCs w:val="18"/>
          <w:lang w:val="es-ES_tradnl"/>
        </w:rPr>
        <w:t>Disponer como medidas de reparaci</w:t>
      </w:r>
      <w:r>
        <w:rPr>
          <w:rFonts w:cs="Times New Roman"/>
          <w:spacing w:val="-6"/>
          <w:sz w:val="18"/>
          <w:szCs w:val="18"/>
          <w:lang w:val="es-ES_tradnl"/>
        </w:rPr>
        <w:t>ó</w:t>
      </w:r>
      <w:r>
        <w:rPr>
          <w:spacing w:val="-6"/>
          <w:sz w:val="18"/>
          <w:szCs w:val="18"/>
          <w:lang w:val="es-ES_tradnl"/>
        </w:rPr>
        <w:t>n integral lo </w:t>
      </w:r>
      <w:r>
        <w:rPr>
          <w:sz w:val="18"/>
          <w:szCs w:val="18"/>
          <w:lang w:val="es-ES_tradnl"/>
        </w:rPr>
        <w:t>siguiente:</w:t>
      </w:r>
    </w:p>
    <w:p w14:paraId="4F67AFB0" w14:textId="77777777" w:rsidR="00591D54" w:rsidRDefault="00591D54" w:rsidP="00251195">
      <w:pPr>
        <w:numPr>
          <w:ilvl w:val="0"/>
          <w:numId w:val="75"/>
        </w:numPr>
        <w:shd w:val="clear" w:color="auto" w:fill="FFFFFF"/>
        <w:tabs>
          <w:tab w:val="left" w:pos="826"/>
        </w:tabs>
        <w:spacing w:before="206" w:line="226" w:lineRule="exact"/>
        <w:ind w:left="566"/>
        <w:jc w:val="both"/>
        <w:rPr>
          <w:spacing w:val="-11"/>
          <w:sz w:val="18"/>
          <w:szCs w:val="18"/>
          <w:lang w:val="es-ES_tradnl"/>
        </w:rPr>
      </w:pPr>
      <w:r>
        <w:rPr>
          <w:spacing w:val="-7"/>
          <w:sz w:val="18"/>
          <w:szCs w:val="18"/>
          <w:lang w:val="es-ES_tradnl"/>
        </w:rPr>
        <w:t xml:space="preserve">Dejar sin efecto el auto del 11 de abril de 2013, </w:t>
      </w:r>
      <w:r>
        <w:rPr>
          <w:spacing w:val="-9"/>
          <w:sz w:val="18"/>
          <w:szCs w:val="18"/>
          <w:lang w:val="es-ES_tradnl"/>
        </w:rPr>
        <w:t>dictado por la Sala de la Ni</w:t>
      </w:r>
      <w:r>
        <w:rPr>
          <w:rFonts w:cs="Times New Roman"/>
          <w:spacing w:val="-9"/>
          <w:sz w:val="18"/>
          <w:szCs w:val="18"/>
          <w:lang w:val="es-ES_tradnl"/>
        </w:rPr>
        <w:t>ñ</w:t>
      </w:r>
      <w:r>
        <w:rPr>
          <w:spacing w:val="-9"/>
          <w:sz w:val="18"/>
          <w:szCs w:val="18"/>
          <w:lang w:val="es-ES_tradnl"/>
        </w:rPr>
        <w:t xml:space="preserve">ez y Adolescencia de la </w:t>
      </w:r>
      <w:r>
        <w:rPr>
          <w:spacing w:val="-7"/>
          <w:sz w:val="18"/>
          <w:szCs w:val="18"/>
          <w:lang w:val="es-ES_tradnl"/>
        </w:rPr>
        <w:t>Corte Nacional de Justicia, dentro de la acci</w:t>
      </w:r>
      <w:r>
        <w:rPr>
          <w:rFonts w:cs="Times New Roman"/>
          <w:spacing w:val="-7"/>
          <w:sz w:val="18"/>
          <w:szCs w:val="18"/>
          <w:lang w:val="es-ES_tradnl"/>
        </w:rPr>
        <w:t>ó</w:t>
      </w:r>
      <w:r>
        <w:rPr>
          <w:spacing w:val="-7"/>
          <w:sz w:val="18"/>
          <w:szCs w:val="18"/>
          <w:lang w:val="es-ES_tradnl"/>
        </w:rPr>
        <w:t xml:space="preserve">n de </w:t>
      </w:r>
      <w:r>
        <w:rPr>
          <w:sz w:val="18"/>
          <w:szCs w:val="18"/>
          <w:lang w:val="es-ES_tradnl"/>
        </w:rPr>
        <w:t>h</w:t>
      </w:r>
      <w:r>
        <w:rPr>
          <w:rFonts w:cs="Times New Roman"/>
          <w:sz w:val="18"/>
          <w:szCs w:val="18"/>
          <w:lang w:val="es-ES_tradnl"/>
        </w:rPr>
        <w:t>á</w:t>
      </w:r>
      <w:r>
        <w:rPr>
          <w:sz w:val="18"/>
          <w:szCs w:val="18"/>
          <w:lang w:val="es-ES_tradnl"/>
        </w:rPr>
        <w:t>beas corpus.</w:t>
      </w:r>
    </w:p>
    <w:p w14:paraId="4F67AFB1" w14:textId="77777777" w:rsidR="00591D54" w:rsidRDefault="00591D54" w:rsidP="00251195">
      <w:pPr>
        <w:numPr>
          <w:ilvl w:val="0"/>
          <w:numId w:val="75"/>
        </w:numPr>
        <w:shd w:val="clear" w:color="auto" w:fill="FFFFFF"/>
        <w:tabs>
          <w:tab w:val="left" w:pos="826"/>
        </w:tabs>
        <w:spacing w:before="206" w:line="226" w:lineRule="exact"/>
        <w:ind w:left="566"/>
        <w:jc w:val="both"/>
        <w:rPr>
          <w:spacing w:val="-11"/>
          <w:sz w:val="18"/>
          <w:szCs w:val="18"/>
          <w:lang w:val="es-ES_tradnl"/>
        </w:rPr>
      </w:pPr>
      <w:r>
        <w:rPr>
          <w:spacing w:val="-11"/>
          <w:sz w:val="18"/>
          <w:szCs w:val="18"/>
          <w:lang w:val="es-ES_tradnl"/>
        </w:rPr>
        <w:t xml:space="preserve">Disponer que, previo sorteo, otra Sala de la Corte </w:t>
      </w:r>
      <w:r>
        <w:rPr>
          <w:spacing w:val="-10"/>
          <w:sz w:val="18"/>
          <w:szCs w:val="18"/>
          <w:lang w:val="es-ES_tradnl"/>
        </w:rPr>
        <w:t xml:space="preserve">Nacional de Justicia sustancie la causa, tomando en </w:t>
      </w:r>
      <w:r>
        <w:rPr>
          <w:spacing w:val="-9"/>
          <w:sz w:val="18"/>
          <w:szCs w:val="18"/>
          <w:lang w:val="es-ES_tradnl"/>
        </w:rPr>
        <w:t>consideraci</w:t>
      </w:r>
      <w:r>
        <w:rPr>
          <w:rFonts w:cs="Times New Roman"/>
          <w:spacing w:val="-9"/>
          <w:sz w:val="18"/>
          <w:szCs w:val="18"/>
          <w:lang w:val="es-ES_tradnl"/>
        </w:rPr>
        <w:t>ó</w:t>
      </w:r>
      <w:r>
        <w:rPr>
          <w:spacing w:val="-9"/>
          <w:sz w:val="18"/>
          <w:szCs w:val="18"/>
          <w:lang w:val="es-ES_tradnl"/>
        </w:rPr>
        <w:t>n lo dispuesto en esta sentencia.</w:t>
      </w:r>
    </w:p>
    <w:p w14:paraId="4F67AFB2" w14:textId="77777777" w:rsidR="00591D54" w:rsidRDefault="00591D54">
      <w:pPr>
        <w:shd w:val="clear" w:color="auto" w:fill="FFFFFF"/>
        <w:tabs>
          <w:tab w:val="left" w:pos="566"/>
        </w:tabs>
        <w:spacing w:before="202" w:line="226" w:lineRule="exact"/>
        <w:ind w:left="566" w:hanging="283"/>
        <w:jc w:val="both"/>
      </w:pPr>
      <w:r>
        <w:rPr>
          <w:spacing w:val="-11"/>
          <w:sz w:val="18"/>
          <w:szCs w:val="18"/>
          <w:lang w:val="es-ES_tradnl"/>
        </w:rPr>
        <w:t>4.</w:t>
      </w:r>
      <w:r>
        <w:rPr>
          <w:sz w:val="18"/>
          <w:szCs w:val="18"/>
          <w:lang w:val="es-ES_tradnl"/>
        </w:rPr>
        <w:tab/>
      </w:r>
      <w:r>
        <w:rPr>
          <w:spacing w:val="-5"/>
          <w:sz w:val="18"/>
          <w:szCs w:val="18"/>
          <w:lang w:val="es-ES_tradnl"/>
        </w:rPr>
        <w:t>En virtud de la facultad consagrada a la Corte </w:t>
      </w:r>
      <w:r>
        <w:rPr>
          <w:spacing w:val="-9"/>
          <w:sz w:val="18"/>
          <w:szCs w:val="18"/>
          <w:lang w:val="es-ES_tradnl"/>
        </w:rPr>
        <w:t>Constitucional en el art</w:t>
      </w:r>
      <w:r>
        <w:rPr>
          <w:rFonts w:cs="Times New Roman"/>
          <w:spacing w:val="-9"/>
          <w:sz w:val="18"/>
          <w:szCs w:val="18"/>
          <w:lang w:val="es-ES_tradnl"/>
        </w:rPr>
        <w:t>í</w:t>
      </w:r>
      <w:r>
        <w:rPr>
          <w:spacing w:val="-9"/>
          <w:sz w:val="18"/>
          <w:szCs w:val="18"/>
          <w:lang w:val="es-ES_tradnl"/>
        </w:rPr>
        <w:t>culo 436 numerales 1 y 6 de </w:t>
      </w:r>
      <w:r>
        <w:rPr>
          <w:spacing w:val="-6"/>
          <w:sz w:val="18"/>
          <w:szCs w:val="18"/>
          <w:lang w:val="es-ES_tradnl"/>
        </w:rPr>
        <w:t>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 emite la siguiente </w:t>
      </w:r>
      <w:r>
        <w:rPr>
          <w:sz w:val="18"/>
          <w:szCs w:val="18"/>
          <w:lang w:val="es-ES_tradnl"/>
        </w:rPr>
        <w:t>regla jurisprudencial:</w:t>
      </w:r>
    </w:p>
    <w:p w14:paraId="4F67AFB3" w14:textId="77777777" w:rsidR="00591D54" w:rsidRDefault="00591D54">
      <w:pPr>
        <w:shd w:val="clear" w:color="auto" w:fill="FFFFFF"/>
        <w:spacing w:before="202" w:line="226" w:lineRule="exact"/>
        <w:ind w:left="566"/>
        <w:jc w:val="both"/>
      </w:pPr>
      <w:r>
        <w:rPr>
          <w:spacing w:val="-7"/>
          <w:sz w:val="18"/>
          <w:szCs w:val="18"/>
          <w:lang w:val="es-ES_tradnl"/>
        </w:rPr>
        <w:t xml:space="preserve">La Corte Nacional de Justicia es competente para </w:t>
      </w:r>
      <w:r>
        <w:rPr>
          <w:spacing w:val="-6"/>
          <w:sz w:val="18"/>
          <w:szCs w:val="18"/>
          <w:lang w:val="es-ES_tradnl"/>
        </w:rPr>
        <w:t xml:space="preserve">conocer las acciones de habeas corpus en casos </w:t>
      </w:r>
      <w:r>
        <w:rPr>
          <w:spacing w:val="-9"/>
          <w:sz w:val="18"/>
          <w:szCs w:val="18"/>
          <w:lang w:val="es-ES_tradnl"/>
        </w:rPr>
        <w:t>de fuero, as</w:t>
      </w:r>
      <w:r>
        <w:rPr>
          <w:rFonts w:cs="Times New Roman"/>
          <w:spacing w:val="-9"/>
          <w:sz w:val="18"/>
          <w:szCs w:val="18"/>
          <w:lang w:val="es-ES_tradnl"/>
        </w:rPr>
        <w:t>í</w:t>
      </w:r>
      <w:r>
        <w:rPr>
          <w:spacing w:val="-9"/>
          <w:sz w:val="18"/>
          <w:szCs w:val="18"/>
          <w:lang w:val="es-ES_tradnl"/>
        </w:rPr>
        <w:t xml:space="preserve"> como en los casos de h</w:t>
      </w:r>
      <w:r>
        <w:rPr>
          <w:rFonts w:cs="Times New Roman"/>
          <w:spacing w:val="-9"/>
          <w:sz w:val="18"/>
          <w:szCs w:val="18"/>
          <w:lang w:val="es-ES_tradnl"/>
        </w:rPr>
        <w:t>á</w:t>
      </w:r>
      <w:r>
        <w:rPr>
          <w:spacing w:val="-9"/>
          <w:sz w:val="18"/>
          <w:szCs w:val="18"/>
          <w:lang w:val="es-ES_tradnl"/>
        </w:rPr>
        <w:t xml:space="preserve">beas corpus </w:t>
      </w:r>
      <w:r>
        <w:rPr>
          <w:spacing w:val="-5"/>
          <w:sz w:val="18"/>
          <w:szCs w:val="18"/>
          <w:lang w:val="es-ES_tradnl"/>
        </w:rPr>
        <w:t>propuestos en contra de procesos de extradici</w:t>
      </w:r>
      <w:r>
        <w:rPr>
          <w:rFonts w:cs="Times New Roman"/>
          <w:spacing w:val="-5"/>
          <w:sz w:val="18"/>
          <w:szCs w:val="18"/>
          <w:lang w:val="es-ES_tradnl"/>
        </w:rPr>
        <w:t>ó</w:t>
      </w:r>
      <w:r>
        <w:rPr>
          <w:spacing w:val="-5"/>
          <w:sz w:val="18"/>
          <w:szCs w:val="18"/>
          <w:lang w:val="es-ES_tradnl"/>
        </w:rPr>
        <w:t xml:space="preserve">n </w:t>
      </w:r>
      <w:r>
        <w:rPr>
          <w:spacing w:val="-7"/>
          <w:sz w:val="18"/>
          <w:szCs w:val="18"/>
          <w:lang w:val="es-ES_tradnl"/>
        </w:rPr>
        <w:t>en los que exista orden de detenci</w:t>
      </w:r>
      <w:r>
        <w:rPr>
          <w:rFonts w:cs="Times New Roman"/>
          <w:spacing w:val="-7"/>
          <w:sz w:val="18"/>
          <w:szCs w:val="18"/>
          <w:lang w:val="es-ES_tradnl"/>
        </w:rPr>
        <w:t>ó</w:t>
      </w:r>
      <w:r>
        <w:rPr>
          <w:spacing w:val="-7"/>
          <w:sz w:val="18"/>
          <w:szCs w:val="18"/>
          <w:lang w:val="es-ES_tradnl"/>
        </w:rPr>
        <w:t xml:space="preserve">n del sujeto </w:t>
      </w:r>
      <w:r>
        <w:rPr>
          <w:sz w:val="18"/>
          <w:szCs w:val="18"/>
          <w:lang w:val="es-ES_tradnl"/>
        </w:rPr>
        <w:t>reclamado.</w:t>
      </w:r>
    </w:p>
    <w:p w14:paraId="4F67AFB4" w14:textId="77777777" w:rsidR="00591D54" w:rsidRDefault="00591D54" w:rsidP="00251195">
      <w:pPr>
        <w:numPr>
          <w:ilvl w:val="0"/>
          <w:numId w:val="76"/>
        </w:numPr>
        <w:shd w:val="clear" w:color="auto" w:fill="FFFFFF"/>
        <w:tabs>
          <w:tab w:val="left" w:pos="566"/>
        </w:tabs>
        <w:spacing w:before="206" w:line="226" w:lineRule="exact"/>
        <w:ind w:left="566" w:hanging="283"/>
        <w:jc w:val="both"/>
        <w:rPr>
          <w:spacing w:val="-11"/>
          <w:sz w:val="18"/>
          <w:szCs w:val="18"/>
          <w:lang w:val="es-ES_tradnl"/>
        </w:rPr>
      </w:pPr>
      <w:r>
        <w:rPr>
          <w:spacing w:val="-6"/>
          <w:sz w:val="18"/>
          <w:szCs w:val="18"/>
          <w:lang w:val="es-ES_tradnl"/>
        </w:rPr>
        <w:t xml:space="preserve">Remitir copia de la presente sentencia al Consejo </w:t>
      </w:r>
      <w:r>
        <w:rPr>
          <w:spacing w:val="-7"/>
          <w:sz w:val="18"/>
          <w:szCs w:val="18"/>
          <w:lang w:val="es-ES_tradnl"/>
        </w:rPr>
        <w:t xml:space="preserve">de la Judicatura, a fin de que en el marco de sus competencias y atribuciones, realice una debida, </w:t>
      </w:r>
      <w:r>
        <w:rPr>
          <w:spacing w:val="-8"/>
          <w:sz w:val="18"/>
          <w:szCs w:val="18"/>
          <w:lang w:val="es-ES_tradnl"/>
        </w:rPr>
        <w:t>oportuna y generalizada difusi</w:t>
      </w:r>
      <w:r>
        <w:rPr>
          <w:rFonts w:cs="Times New Roman"/>
          <w:spacing w:val="-8"/>
          <w:sz w:val="18"/>
          <w:szCs w:val="18"/>
          <w:lang w:val="es-ES_tradnl"/>
        </w:rPr>
        <w:t>ó</w:t>
      </w:r>
      <w:r>
        <w:rPr>
          <w:spacing w:val="-8"/>
          <w:sz w:val="18"/>
          <w:szCs w:val="18"/>
          <w:lang w:val="es-ES_tradnl"/>
        </w:rPr>
        <w:t>n de esta sentencia en las instancias pertinentes de la Funci</w:t>
      </w:r>
      <w:r>
        <w:rPr>
          <w:rFonts w:cs="Times New Roman"/>
          <w:spacing w:val="-8"/>
          <w:sz w:val="18"/>
          <w:szCs w:val="18"/>
          <w:lang w:val="es-ES_tradnl"/>
        </w:rPr>
        <w:t>ó</w:t>
      </w:r>
      <w:r>
        <w:rPr>
          <w:spacing w:val="-8"/>
          <w:sz w:val="18"/>
          <w:szCs w:val="18"/>
          <w:lang w:val="es-ES_tradnl"/>
        </w:rPr>
        <w:t>n Judicial.</w:t>
      </w:r>
    </w:p>
    <w:p w14:paraId="4F67AFB5" w14:textId="77777777" w:rsidR="00591D54" w:rsidRDefault="00591D54" w:rsidP="00251195">
      <w:pPr>
        <w:numPr>
          <w:ilvl w:val="0"/>
          <w:numId w:val="76"/>
        </w:numPr>
        <w:shd w:val="clear" w:color="auto" w:fill="FFFFFF"/>
        <w:tabs>
          <w:tab w:val="left" w:pos="566"/>
        </w:tabs>
        <w:spacing w:before="202" w:line="226" w:lineRule="exact"/>
        <w:ind w:left="566" w:hanging="283"/>
        <w:jc w:val="both"/>
        <w:rPr>
          <w:spacing w:val="-11"/>
          <w:sz w:val="18"/>
          <w:szCs w:val="18"/>
          <w:lang w:val="es-ES_tradnl"/>
        </w:rPr>
      </w:pPr>
      <w:r>
        <w:rPr>
          <w:spacing w:val="-9"/>
          <w:sz w:val="18"/>
          <w:szCs w:val="18"/>
          <w:lang w:val="es-ES_tradnl"/>
        </w:rPr>
        <w:t>Disponer la publicaci</w:t>
      </w:r>
      <w:r>
        <w:rPr>
          <w:rFonts w:cs="Times New Roman"/>
          <w:spacing w:val="-9"/>
          <w:sz w:val="18"/>
          <w:szCs w:val="18"/>
          <w:lang w:val="es-ES_tradnl"/>
        </w:rPr>
        <w:t>ó</w:t>
      </w:r>
      <w:r>
        <w:rPr>
          <w:spacing w:val="-9"/>
          <w:sz w:val="18"/>
          <w:szCs w:val="18"/>
          <w:lang w:val="es-ES_tradnl"/>
        </w:rPr>
        <w:t xml:space="preserve">n de la presente sentencia en </w:t>
      </w:r>
      <w:r>
        <w:rPr>
          <w:spacing w:val="-7"/>
          <w:sz w:val="18"/>
          <w:szCs w:val="18"/>
          <w:lang w:val="es-ES_tradnl"/>
        </w:rPr>
        <w:t>la Gaceta Constitucional y en la p</w:t>
      </w:r>
      <w:r>
        <w:rPr>
          <w:rFonts w:cs="Times New Roman"/>
          <w:spacing w:val="-7"/>
          <w:sz w:val="18"/>
          <w:szCs w:val="18"/>
          <w:lang w:val="es-ES_tradnl"/>
        </w:rPr>
        <w:t>á</w:t>
      </w:r>
      <w:r>
        <w:rPr>
          <w:spacing w:val="-7"/>
          <w:sz w:val="18"/>
          <w:szCs w:val="18"/>
          <w:lang w:val="es-ES_tradnl"/>
        </w:rPr>
        <w:t xml:space="preserve">gina web de la </w:t>
      </w:r>
      <w:r>
        <w:rPr>
          <w:sz w:val="18"/>
          <w:szCs w:val="18"/>
          <w:lang w:val="es-ES_tradnl"/>
        </w:rPr>
        <w:t>Corte Constitucional.</w:t>
      </w:r>
    </w:p>
    <w:p w14:paraId="4F67AFB6" w14:textId="77777777" w:rsidR="00591D54" w:rsidRDefault="00591D54">
      <w:pPr>
        <w:shd w:val="clear" w:color="auto" w:fill="FFFFFF"/>
        <w:tabs>
          <w:tab w:val="left" w:pos="566"/>
        </w:tabs>
        <w:spacing w:before="29" w:line="442" w:lineRule="exact"/>
        <w:ind w:right="979" w:firstLine="283"/>
      </w:pPr>
      <w:r>
        <w:rPr>
          <w:spacing w:val="-11"/>
          <w:sz w:val="18"/>
          <w:szCs w:val="18"/>
          <w:lang w:val="es-ES_tradnl"/>
        </w:rPr>
        <w:t>7.</w:t>
      </w:r>
      <w:r>
        <w:rPr>
          <w:sz w:val="18"/>
          <w:szCs w:val="18"/>
          <w:lang w:val="es-ES_tradnl"/>
        </w:rPr>
        <w:tab/>
      </w:r>
      <w:r>
        <w:rPr>
          <w:spacing w:val="-8"/>
          <w:sz w:val="18"/>
          <w:szCs w:val="18"/>
          <w:lang w:val="es-ES_tradnl"/>
        </w:rPr>
        <w:t>Notif</w:t>
      </w:r>
      <w:r>
        <w:rPr>
          <w:rFonts w:cs="Times New Roman"/>
          <w:spacing w:val="-8"/>
          <w:sz w:val="18"/>
          <w:szCs w:val="18"/>
          <w:lang w:val="es-ES_tradnl"/>
        </w:rPr>
        <w:t>í</w:t>
      </w:r>
      <w:r>
        <w:rPr>
          <w:spacing w:val="-8"/>
          <w:sz w:val="18"/>
          <w:szCs w:val="18"/>
          <w:lang w:val="es-ES_tradnl"/>
        </w:rPr>
        <w:t>quese, publ</w:t>
      </w:r>
      <w:r>
        <w:rPr>
          <w:rFonts w:cs="Times New Roman"/>
          <w:spacing w:val="-8"/>
          <w:sz w:val="18"/>
          <w:szCs w:val="18"/>
          <w:lang w:val="es-ES_tradnl"/>
        </w:rPr>
        <w:t>í</w:t>
      </w:r>
      <w:r>
        <w:rPr>
          <w:spacing w:val="-8"/>
          <w:sz w:val="18"/>
          <w:szCs w:val="18"/>
          <w:lang w:val="es-ES_tradnl"/>
        </w:rPr>
        <w:t>quese y c</w:t>
      </w:r>
      <w:r>
        <w:rPr>
          <w:rFonts w:cs="Times New Roman"/>
          <w:spacing w:val="-8"/>
          <w:sz w:val="18"/>
          <w:szCs w:val="18"/>
          <w:lang w:val="es-ES_tradnl"/>
        </w:rPr>
        <w:t>ú</w:t>
      </w:r>
      <w:r>
        <w:rPr>
          <w:spacing w:val="-8"/>
          <w:sz w:val="18"/>
          <w:szCs w:val="18"/>
          <w:lang w:val="es-ES_tradnl"/>
        </w:rPr>
        <w:t>mplase. </w:t>
      </w:r>
      <w:r>
        <w:rPr>
          <w:spacing w:val="-5"/>
          <w:sz w:val="18"/>
          <w:szCs w:val="18"/>
          <w:lang w:val="es-ES_tradnl"/>
        </w:rPr>
        <w:t>f.) Patricio Pazmi</w:t>
      </w:r>
      <w:r>
        <w:rPr>
          <w:rFonts w:cs="Times New Roman"/>
          <w:spacing w:val="-5"/>
          <w:sz w:val="18"/>
          <w:szCs w:val="18"/>
          <w:lang w:val="es-ES_tradnl"/>
        </w:rPr>
        <w:t>ñ</w:t>
      </w:r>
      <w:r>
        <w:rPr>
          <w:spacing w:val="-5"/>
          <w:sz w:val="18"/>
          <w:szCs w:val="18"/>
          <w:lang w:val="es-ES_tradnl"/>
        </w:rPr>
        <w:t xml:space="preserve">o Freire, </w:t>
      </w:r>
      <w:r>
        <w:rPr>
          <w:b/>
          <w:bCs/>
          <w:spacing w:val="-5"/>
          <w:sz w:val="18"/>
          <w:szCs w:val="18"/>
          <w:lang w:val="es-ES_tradnl"/>
        </w:rPr>
        <w:t>PRESIDENTE.</w:t>
      </w:r>
    </w:p>
    <w:p w14:paraId="4F67AFB7" w14:textId="77777777" w:rsidR="00591D54" w:rsidRDefault="00591D54">
      <w:pPr>
        <w:shd w:val="clear" w:color="auto" w:fill="FFFFFF"/>
        <w:spacing w:line="442" w:lineRule="exact"/>
      </w:pPr>
      <w:r>
        <w:rPr>
          <w:spacing w:val="-4"/>
          <w:sz w:val="18"/>
          <w:szCs w:val="18"/>
          <w:lang w:val="es-ES_tradnl"/>
        </w:rPr>
        <w:t xml:space="preserve">f.) Jaime Pozo Chamorro, </w:t>
      </w:r>
      <w:r>
        <w:rPr>
          <w:b/>
          <w:bCs/>
          <w:spacing w:val="-4"/>
          <w:sz w:val="18"/>
          <w:szCs w:val="18"/>
          <w:lang w:val="es-ES_tradnl"/>
        </w:rPr>
        <w:t>SECRETARIO GENERAL.</w:t>
      </w:r>
    </w:p>
    <w:p w14:paraId="4F67AFB8" w14:textId="77777777" w:rsidR="00591D54" w:rsidRDefault="00591D54">
      <w:pPr>
        <w:shd w:val="clear" w:color="auto" w:fill="FFFFFF"/>
        <w:spacing w:before="168" w:line="226" w:lineRule="exact"/>
        <w:jc w:val="both"/>
      </w:pPr>
      <w:r>
        <w:rPr>
          <w:b/>
          <w:bCs/>
          <w:spacing w:val="-4"/>
          <w:sz w:val="18"/>
          <w:szCs w:val="18"/>
          <w:lang w:val="es-ES_tradnl"/>
        </w:rPr>
        <w:t>RAZ</w:t>
      </w:r>
      <w:r>
        <w:rPr>
          <w:rFonts w:cs="Times New Roman"/>
          <w:b/>
          <w:bCs/>
          <w:spacing w:val="-4"/>
          <w:sz w:val="18"/>
          <w:szCs w:val="18"/>
          <w:lang w:val="es-ES_tradnl"/>
        </w:rPr>
        <w:t>Ó</w:t>
      </w:r>
      <w:r>
        <w:rPr>
          <w:b/>
          <w:bCs/>
          <w:spacing w:val="-4"/>
          <w:sz w:val="18"/>
          <w:szCs w:val="18"/>
          <w:lang w:val="es-ES_tradnl"/>
        </w:rPr>
        <w:t xml:space="preserve">N.- </w:t>
      </w:r>
      <w:r>
        <w:rPr>
          <w:spacing w:val="-4"/>
          <w:sz w:val="18"/>
          <w:szCs w:val="18"/>
          <w:lang w:val="es-ES_tradnl"/>
        </w:rPr>
        <w:t xml:space="preserve">Siento por tal, que la sentencia que antecede </w:t>
      </w:r>
      <w:r>
        <w:rPr>
          <w:spacing w:val="-7"/>
          <w:sz w:val="18"/>
          <w:szCs w:val="18"/>
          <w:lang w:val="es-ES_tradnl"/>
        </w:rPr>
        <w:t xml:space="preserve">fue aprobada por el Pleno de la Corte Constitucional, con </w:t>
      </w:r>
      <w:r>
        <w:rPr>
          <w:spacing w:val="-9"/>
          <w:sz w:val="18"/>
          <w:szCs w:val="18"/>
          <w:lang w:val="es-ES_tradnl"/>
        </w:rPr>
        <w:t xml:space="preserve">siete votos a favor, de las juezas y jueces Marcelo Jaramillo </w:t>
      </w:r>
      <w:r>
        <w:rPr>
          <w:spacing w:val="-5"/>
          <w:sz w:val="18"/>
          <w:szCs w:val="18"/>
          <w:lang w:val="es-ES_tradnl"/>
        </w:rPr>
        <w:t>Villa, Wendy Molina Andrade, Tatiana Orde</w:t>
      </w:r>
      <w:r>
        <w:rPr>
          <w:rFonts w:cs="Times New Roman"/>
          <w:spacing w:val="-5"/>
          <w:sz w:val="18"/>
          <w:szCs w:val="18"/>
          <w:lang w:val="es-ES_tradnl"/>
        </w:rPr>
        <w:t>ñ</w:t>
      </w:r>
      <w:r>
        <w:rPr>
          <w:spacing w:val="-5"/>
          <w:sz w:val="18"/>
          <w:szCs w:val="18"/>
          <w:lang w:val="es-ES_tradnl"/>
        </w:rPr>
        <w:t xml:space="preserve">ana Sierra, </w:t>
      </w:r>
      <w:r>
        <w:rPr>
          <w:spacing w:val="-2"/>
          <w:sz w:val="18"/>
          <w:szCs w:val="18"/>
          <w:lang w:val="es-ES_tradnl"/>
        </w:rPr>
        <w:t>Alfredo Ruiz Guzm</w:t>
      </w:r>
      <w:r>
        <w:rPr>
          <w:rFonts w:cs="Times New Roman"/>
          <w:spacing w:val="-2"/>
          <w:sz w:val="18"/>
          <w:szCs w:val="18"/>
          <w:lang w:val="es-ES_tradnl"/>
        </w:rPr>
        <w:t>á</w:t>
      </w:r>
      <w:r>
        <w:rPr>
          <w:spacing w:val="-2"/>
          <w:sz w:val="18"/>
          <w:szCs w:val="18"/>
          <w:lang w:val="es-ES_tradnl"/>
        </w:rPr>
        <w:t xml:space="preserve">n, Ruth Seni Pinoargote, Manuel </w:t>
      </w:r>
      <w:r>
        <w:rPr>
          <w:spacing w:val="-4"/>
          <w:sz w:val="18"/>
          <w:szCs w:val="18"/>
          <w:lang w:val="es-ES_tradnl"/>
        </w:rPr>
        <w:t>Viteri Olvera y Patricio Pazmi</w:t>
      </w:r>
      <w:r>
        <w:rPr>
          <w:rFonts w:cs="Times New Roman"/>
          <w:spacing w:val="-4"/>
          <w:sz w:val="18"/>
          <w:szCs w:val="18"/>
          <w:lang w:val="es-ES_tradnl"/>
        </w:rPr>
        <w:t>ñ</w:t>
      </w:r>
      <w:r>
        <w:rPr>
          <w:spacing w:val="-4"/>
          <w:sz w:val="18"/>
          <w:szCs w:val="18"/>
          <w:lang w:val="es-ES_tradnl"/>
        </w:rPr>
        <w:t xml:space="preserve">o Freire, sin contar con la </w:t>
      </w:r>
      <w:r>
        <w:rPr>
          <w:spacing w:val="-8"/>
          <w:sz w:val="18"/>
          <w:szCs w:val="18"/>
          <w:lang w:val="es-ES_tradnl"/>
        </w:rPr>
        <w:t>presencia de los jueces Antonio Gagliardo Loor y Mar</w:t>
      </w:r>
      <w:r>
        <w:rPr>
          <w:rFonts w:cs="Times New Roman"/>
          <w:spacing w:val="-8"/>
          <w:sz w:val="18"/>
          <w:szCs w:val="18"/>
          <w:lang w:val="es-ES_tradnl"/>
        </w:rPr>
        <w:t>í</w:t>
      </w:r>
      <w:r>
        <w:rPr>
          <w:spacing w:val="-8"/>
          <w:sz w:val="18"/>
          <w:szCs w:val="18"/>
          <w:lang w:val="es-ES_tradnl"/>
        </w:rPr>
        <w:t>a del Carmen Maldonado S</w:t>
      </w:r>
      <w:r>
        <w:rPr>
          <w:rFonts w:cs="Times New Roman"/>
          <w:spacing w:val="-8"/>
          <w:sz w:val="18"/>
          <w:szCs w:val="18"/>
          <w:lang w:val="es-ES_tradnl"/>
        </w:rPr>
        <w:t>á</w:t>
      </w:r>
      <w:r>
        <w:rPr>
          <w:spacing w:val="-8"/>
          <w:sz w:val="18"/>
          <w:szCs w:val="18"/>
          <w:lang w:val="es-ES_tradnl"/>
        </w:rPr>
        <w:t>nchez, en sesi</w:t>
      </w:r>
      <w:r>
        <w:rPr>
          <w:rFonts w:cs="Times New Roman"/>
          <w:spacing w:val="-8"/>
          <w:sz w:val="18"/>
          <w:szCs w:val="18"/>
          <w:lang w:val="es-ES_tradnl"/>
        </w:rPr>
        <w:t>ó</w:t>
      </w:r>
      <w:r>
        <w:rPr>
          <w:spacing w:val="-8"/>
          <w:sz w:val="18"/>
          <w:szCs w:val="18"/>
          <w:lang w:val="es-ES_tradnl"/>
        </w:rPr>
        <w:t xml:space="preserve">n de 22 de julio del </w:t>
      </w:r>
      <w:r>
        <w:rPr>
          <w:sz w:val="18"/>
          <w:szCs w:val="18"/>
          <w:lang w:val="es-ES_tradnl"/>
        </w:rPr>
        <w:t>2015. Lo certifico.</w:t>
      </w:r>
    </w:p>
    <w:p w14:paraId="4F67AFB9" w14:textId="77777777" w:rsidR="00591D54" w:rsidRDefault="00591D54">
      <w:pPr>
        <w:shd w:val="clear" w:color="auto" w:fill="FFFFFF"/>
        <w:spacing w:before="202"/>
      </w:pPr>
      <w:r>
        <w:rPr>
          <w:spacing w:val="-4"/>
          <w:sz w:val="18"/>
          <w:szCs w:val="18"/>
          <w:lang w:val="es-ES_tradnl"/>
        </w:rPr>
        <w:t xml:space="preserve">f.) Jaime Pozo Chamorro, </w:t>
      </w:r>
      <w:r>
        <w:rPr>
          <w:b/>
          <w:bCs/>
          <w:spacing w:val="-4"/>
          <w:sz w:val="18"/>
          <w:szCs w:val="18"/>
          <w:lang w:val="es-ES_tradnl"/>
        </w:rPr>
        <w:t>SECRETARIO GENERAL.</w:t>
      </w:r>
    </w:p>
    <w:p w14:paraId="4F67AFBA" w14:textId="77777777" w:rsidR="00591D54" w:rsidRDefault="00591D54">
      <w:pPr>
        <w:shd w:val="clear" w:color="auto" w:fill="FFFFFF"/>
        <w:spacing w:before="202" w:line="22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AFBB" w14:textId="77777777" w:rsidR="00591D54" w:rsidRDefault="00591D54">
      <w:pPr>
        <w:shd w:val="clear" w:color="auto" w:fill="FFFFFF"/>
        <w:spacing w:before="202"/>
      </w:pPr>
      <w:r>
        <w:rPr>
          <w:b/>
          <w:bCs/>
          <w:spacing w:val="-5"/>
          <w:sz w:val="18"/>
          <w:szCs w:val="18"/>
          <w:u w:val="single"/>
          <w:lang w:val="es-ES_tradnl"/>
        </w:rPr>
        <w:t>CASO Nro. 0782-13-EP</w:t>
      </w:r>
    </w:p>
    <w:p w14:paraId="4F67AFBC" w14:textId="77777777" w:rsidR="00591D54" w:rsidRDefault="00591D54">
      <w:pPr>
        <w:shd w:val="clear" w:color="auto" w:fill="FFFFFF"/>
        <w:spacing w:before="202" w:line="226" w:lineRule="exact"/>
        <w:ind w:right="5"/>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w:t>
      </w:r>
      <w:r>
        <w:rPr>
          <w:spacing w:val="-7"/>
          <w:sz w:val="18"/>
          <w:szCs w:val="18"/>
          <w:lang w:val="es-ES_tradnl"/>
        </w:rPr>
        <w:t>suscrita por el Juez Patricio Pazmi</w:t>
      </w:r>
      <w:r>
        <w:rPr>
          <w:rFonts w:cs="Times New Roman"/>
          <w:spacing w:val="-7"/>
          <w:sz w:val="18"/>
          <w:szCs w:val="18"/>
          <w:lang w:val="es-ES_tradnl"/>
        </w:rPr>
        <w:t>ñ</w:t>
      </w:r>
      <w:r>
        <w:rPr>
          <w:spacing w:val="-7"/>
          <w:sz w:val="18"/>
          <w:szCs w:val="18"/>
          <w:lang w:val="es-ES_tradnl"/>
        </w:rPr>
        <w:t>o Freire, Presidente de</w:t>
      </w:r>
    </w:p>
    <w:p w14:paraId="4F67AFBD" w14:textId="77777777" w:rsidR="00591D54" w:rsidRDefault="00591D54">
      <w:pPr>
        <w:shd w:val="clear" w:color="auto" w:fill="FFFFFF"/>
        <w:spacing w:line="216" w:lineRule="exact"/>
        <w:jc w:val="both"/>
      </w:pPr>
      <w:r>
        <w:br w:type="column"/>
      </w:r>
      <w:r>
        <w:rPr>
          <w:spacing w:val="-6"/>
          <w:sz w:val="18"/>
          <w:szCs w:val="18"/>
          <w:lang w:val="es-ES_tradnl"/>
        </w:rPr>
        <w:t>la Corte Constitucional, el d</w:t>
      </w:r>
      <w:r>
        <w:rPr>
          <w:rFonts w:cs="Times New Roman"/>
          <w:spacing w:val="-6"/>
          <w:sz w:val="18"/>
          <w:szCs w:val="18"/>
          <w:lang w:val="es-ES_tradnl"/>
        </w:rPr>
        <w:t>í</w:t>
      </w:r>
      <w:r>
        <w:rPr>
          <w:spacing w:val="-6"/>
          <w:sz w:val="18"/>
          <w:szCs w:val="18"/>
          <w:lang w:val="es-ES_tradnl"/>
        </w:rPr>
        <w:t xml:space="preserve">a lunes 07 de septiembre del </w:t>
      </w:r>
      <w:r>
        <w:rPr>
          <w:sz w:val="18"/>
          <w:szCs w:val="18"/>
          <w:lang w:val="es-ES_tradnl"/>
        </w:rPr>
        <w:t>dos mil quince.- Lo certifico.</w:t>
      </w:r>
    </w:p>
    <w:p w14:paraId="4F67AFBE" w14:textId="77777777" w:rsidR="00591D54" w:rsidRDefault="00591D54">
      <w:pPr>
        <w:shd w:val="clear" w:color="auto" w:fill="FFFFFF"/>
        <w:spacing w:before="192"/>
      </w:pPr>
      <w:r>
        <w:rPr>
          <w:spacing w:val="-7"/>
          <w:sz w:val="18"/>
          <w:szCs w:val="18"/>
          <w:lang w:val="es-ES_tradnl"/>
        </w:rPr>
        <w:t xml:space="preserve">f.) Jaime Pozo Chamorro, </w:t>
      </w:r>
      <w:r>
        <w:rPr>
          <w:b/>
          <w:bCs/>
          <w:spacing w:val="-7"/>
          <w:sz w:val="18"/>
          <w:szCs w:val="18"/>
          <w:lang w:val="es-ES_tradnl"/>
        </w:rPr>
        <w:t>Secretario General.</w:t>
      </w:r>
    </w:p>
    <w:p w14:paraId="4F67AFBF" w14:textId="77777777" w:rsidR="00591D54" w:rsidRDefault="00591D54">
      <w:pPr>
        <w:shd w:val="clear" w:color="auto" w:fill="FFFFFF"/>
        <w:spacing w:before="192"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AFC0" w14:textId="77777777" w:rsidR="00591D54" w:rsidRDefault="00591D54">
      <w:pPr>
        <w:shd w:val="clear" w:color="auto" w:fill="FFFFFF"/>
        <w:spacing w:before="1133" w:line="427" w:lineRule="exact"/>
      </w:pPr>
      <w:r>
        <w:rPr>
          <w:spacing w:val="-6"/>
          <w:sz w:val="18"/>
          <w:szCs w:val="18"/>
          <w:lang w:val="es-ES_tradnl"/>
        </w:rPr>
        <w:t>Quito, D. M., 05 de agosto del 2015</w:t>
      </w:r>
    </w:p>
    <w:p w14:paraId="4F67AFC1" w14:textId="77777777" w:rsidR="00591D54" w:rsidRDefault="00591D54">
      <w:pPr>
        <w:shd w:val="clear" w:color="auto" w:fill="FFFFFF"/>
        <w:spacing w:line="427" w:lineRule="exact"/>
        <w:ind w:left="850"/>
      </w:pPr>
      <w:r>
        <w:rPr>
          <w:b/>
          <w:bCs/>
          <w:spacing w:val="-3"/>
          <w:sz w:val="18"/>
          <w:szCs w:val="18"/>
          <w:u w:val="single"/>
          <w:lang w:val="es-ES_tradnl"/>
        </w:rPr>
        <w:t>SENTENCIA N.</w:t>
      </w:r>
      <w:r>
        <w:rPr>
          <w:rFonts w:cs="Times New Roman"/>
          <w:b/>
          <w:bCs/>
          <w:spacing w:val="-3"/>
          <w:sz w:val="18"/>
          <w:szCs w:val="18"/>
          <w:u w:val="single"/>
          <w:lang w:val="es-ES_tradnl"/>
        </w:rPr>
        <w:t>º</w:t>
      </w:r>
      <w:r>
        <w:rPr>
          <w:b/>
          <w:bCs/>
          <w:spacing w:val="-3"/>
          <w:sz w:val="18"/>
          <w:szCs w:val="18"/>
          <w:u w:val="single"/>
          <w:lang w:val="es-ES_tradnl"/>
        </w:rPr>
        <w:t xml:space="preserve"> 253-15-SEP-CC</w:t>
      </w:r>
    </w:p>
    <w:p w14:paraId="4F67AFC2" w14:textId="77777777" w:rsidR="00591D54" w:rsidRDefault="00591D54">
      <w:pPr>
        <w:shd w:val="clear" w:color="auto" w:fill="FFFFFF"/>
        <w:spacing w:line="427" w:lineRule="exact"/>
        <w:ind w:left="1296"/>
      </w:pPr>
      <w:r>
        <w:rPr>
          <w:b/>
          <w:bCs/>
          <w:spacing w:val="-5"/>
          <w:sz w:val="18"/>
          <w:szCs w:val="18"/>
          <w:u w:val="single"/>
          <w:lang w:val="es-ES_tradnl"/>
        </w:rPr>
        <w:t>CASO N.</w:t>
      </w:r>
      <w:r>
        <w:rPr>
          <w:rFonts w:cs="Times New Roman"/>
          <w:b/>
          <w:bCs/>
          <w:spacing w:val="-5"/>
          <w:sz w:val="18"/>
          <w:szCs w:val="18"/>
          <w:u w:val="single"/>
          <w:lang w:val="es-ES_tradnl"/>
        </w:rPr>
        <w:t>º</w:t>
      </w:r>
      <w:r>
        <w:rPr>
          <w:b/>
          <w:bCs/>
          <w:spacing w:val="-5"/>
          <w:sz w:val="18"/>
          <w:szCs w:val="18"/>
          <w:u w:val="single"/>
          <w:lang w:val="es-ES_tradnl"/>
        </w:rPr>
        <w:t xml:space="preserve"> 1012-14-EP</w:t>
      </w:r>
    </w:p>
    <w:p w14:paraId="4F67AFC3" w14:textId="77777777" w:rsidR="00591D54" w:rsidRDefault="00591D54">
      <w:pPr>
        <w:shd w:val="clear" w:color="auto" w:fill="FFFFFF"/>
        <w:spacing w:line="427" w:lineRule="exact"/>
        <w:ind w:left="298"/>
      </w:pPr>
      <w:r>
        <w:rPr>
          <w:b/>
          <w:bCs/>
          <w:sz w:val="18"/>
          <w:szCs w:val="18"/>
          <w:lang w:val="es-ES_tradnl"/>
        </w:rPr>
        <w:t>CORTE CONSTITUCIONAL DEL ECUADOR</w:t>
      </w:r>
    </w:p>
    <w:p w14:paraId="4F67AFC4" w14:textId="77777777" w:rsidR="00591D54" w:rsidRDefault="00591D54">
      <w:pPr>
        <w:shd w:val="clear" w:color="auto" w:fill="FFFFFF"/>
        <w:spacing w:line="427" w:lineRule="exact"/>
        <w:ind w:left="1339"/>
      </w:pPr>
      <w:r>
        <w:rPr>
          <w:b/>
          <w:bCs/>
          <w:sz w:val="18"/>
          <w:szCs w:val="18"/>
          <w:lang w:val="es-ES_tradnl"/>
        </w:rPr>
        <w:t>I. ANTECEDENTES</w:t>
      </w:r>
    </w:p>
    <w:p w14:paraId="4F67AFC5" w14:textId="77777777" w:rsidR="00591D54" w:rsidRDefault="00591D54">
      <w:pPr>
        <w:shd w:val="clear" w:color="auto" w:fill="FFFFFF"/>
        <w:spacing w:line="427" w:lineRule="exact"/>
      </w:pPr>
      <w:r>
        <w:rPr>
          <w:b/>
          <w:bCs/>
          <w:spacing w:val="-9"/>
          <w:sz w:val="18"/>
          <w:szCs w:val="18"/>
          <w:lang w:val="es-ES_tradnl"/>
        </w:rPr>
        <w:t>Resumen de admisibilidad</w:t>
      </w:r>
    </w:p>
    <w:p w14:paraId="4F67AFC6" w14:textId="77777777" w:rsidR="00591D54" w:rsidRDefault="00591D54">
      <w:pPr>
        <w:shd w:val="clear" w:color="auto" w:fill="FFFFFF"/>
        <w:spacing w:before="163" w:line="216" w:lineRule="exact"/>
        <w:jc w:val="both"/>
      </w:pPr>
      <w:r>
        <w:rPr>
          <w:spacing w:val="-6"/>
          <w:sz w:val="18"/>
          <w:szCs w:val="18"/>
          <w:lang w:val="es-ES_tradnl"/>
        </w:rPr>
        <w:t>La demanda de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n fue presentada el 30 de junio de 2014, por el se</w:t>
      </w:r>
      <w:r>
        <w:rPr>
          <w:rFonts w:cs="Times New Roman"/>
          <w:spacing w:val="-6"/>
          <w:sz w:val="18"/>
          <w:szCs w:val="18"/>
          <w:lang w:val="es-ES_tradnl"/>
        </w:rPr>
        <w:t>ñ</w:t>
      </w:r>
      <w:r>
        <w:rPr>
          <w:spacing w:val="-6"/>
          <w:sz w:val="18"/>
          <w:szCs w:val="18"/>
          <w:lang w:val="es-ES_tradnl"/>
        </w:rPr>
        <w:t xml:space="preserve">or Wilson </w:t>
      </w:r>
      <w:r>
        <w:rPr>
          <w:spacing w:val="-8"/>
          <w:sz w:val="18"/>
          <w:szCs w:val="18"/>
          <w:lang w:val="es-ES_tradnl"/>
        </w:rPr>
        <w:t xml:space="preserve">Rodrigo Camino Ramos, por sus propios derechos, ante el </w:t>
      </w:r>
      <w:r>
        <w:rPr>
          <w:spacing w:val="-7"/>
          <w:sz w:val="18"/>
          <w:szCs w:val="18"/>
          <w:lang w:val="es-ES_tradnl"/>
        </w:rPr>
        <w:t>juez D</w:t>
      </w:r>
      <w:r>
        <w:rPr>
          <w:rFonts w:cs="Times New Roman"/>
          <w:spacing w:val="-7"/>
          <w:sz w:val="18"/>
          <w:szCs w:val="18"/>
          <w:lang w:val="es-ES_tradnl"/>
        </w:rPr>
        <w:t>é</w:t>
      </w:r>
      <w:r>
        <w:rPr>
          <w:spacing w:val="-7"/>
          <w:sz w:val="18"/>
          <w:szCs w:val="18"/>
          <w:lang w:val="es-ES_tradnl"/>
        </w:rPr>
        <w:t>cimo Tercero de los Civil de Pichincha, quien dict</w:t>
      </w:r>
      <w:r>
        <w:rPr>
          <w:rFonts w:cs="Times New Roman"/>
          <w:spacing w:val="-7"/>
          <w:sz w:val="18"/>
          <w:szCs w:val="18"/>
          <w:lang w:val="es-ES_tradnl"/>
        </w:rPr>
        <w:t xml:space="preserve">ó </w:t>
      </w:r>
      <w:r>
        <w:rPr>
          <w:spacing w:val="-7"/>
          <w:sz w:val="18"/>
          <w:szCs w:val="18"/>
          <w:lang w:val="es-ES_tradnl"/>
        </w:rPr>
        <w:t xml:space="preserve">la sentencia y auto impugnados, dentro del juicio ejecutivo </w:t>
      </w:r>
      <w:r>
        <w:rPr>
          <w:sz w:val="18"/>
          <w:szCs w:val="18"/>
          <w:lang w:val="es-ES_tradnl"/>
        </w:rPr>
        <w:t>N.</w:t>
      </w:r>
      <w:r>
        <w:rPr>
          <w:rFonts w:cs="Times New Roman"/>
          <w:sz w:val="18"/>
          <w:szCs w:val="18"/>
          <w:lang w:val="es-ES_tradnl"/>
        </w:rPr>
        <w:t>º</w:t>
      </w:r>
      <w:r>
        <w:rPr>
          <w:sz w:val="18"/>
          <w:szCs w:val="18"/>
          <w:lang w:val="es-ES_tradnl"/>
        </w:rPr>
        <w:t xml:space="preserve"> 1693-2010.</w:t>
      </w:r>
    </w:p>
    <w:p w14:paraId="4F67AFC7" w14:textId="77777777" w:rsidR="00591D54" w:rsidRDefault="00591D54">
      <w:pPr>
        <w:shd w:val="clear" w:color="auto" w:fill="FFFFFF"/>
        <w:spacing w:before="192" w:line="216" w:lineRule="exact"/>
        <w:jc w:val="both"/>
      </w:pPr>
      <w:r>
        <w:rPr>
          <w:spacing w:val="-7"/>
          <w:sz w:val="18"/>
          <w:szCs w:val="18"/>
          <w:lang w:val="es-ES_tradnl"/>
        </w:rPr>
        <w:t>El 30 de junio del 2014, la Secretar</w:t>
      </w:r>
      <w:r>
        <w:rPr>
          <w:rFonts w:cs="Times New Roman"/>
          <w:spacing w:val="-7"/>
          <w:sz w:val="18"/>
          <w:szCs w:val="18"/>
          <w:lang w:val="es-ES_tradnl"/>
        </w:rPr>
        <w:t>í</w:t>
      </w:r>
      <w:r>
        <w:rPr>
          <w:spacing w:val="-7"/>
          <w:sz w:val="18"/>
          <w:szCs w:val="18"/>
          <w:lang w:val="es-ES_tradnl"/>
        </w:rPr>
        <w:t xml:space="preserve">a General de la Corte </w:t>
      </w:r>
      <w:r>
        <w:rPr>
          <w:spacing w:val="-1"/>
          <w:sz w:val="18"/>
          <w:szCs w:val="18"/>
          <w:lang w:val="es-ES_tradnl"/>
        </w:rPr>
        <w:t>Constitucional, certific</w:t>
      </w:r>
      <w:r>
        <w:rPr>
          <w:rFonts w:cs="Times New Roman"/>
          <w:spacing w:val="-1"/>
          <w:sz w:val="18"/>
          <w:szCs w:val="18"/>
          <w:lang w:val="es-ES_tradnl"/>
        </w:rPr>
        <w:t>ó</w:t>
      </w:r>
      <w:r>
        <w:rPr>
          <w:spacing w:val="-1"/>
          <w:sz w:val="18"/>
          <w:szCs w:val="18"/>
          <w:lang w:val="es-ES_tradnl"/>
        </w:rPr>
        <w:t xml:space="preserve"> que en referencia a la acci</w:t>
      </w:r>
      <w:r>
        <w:rPr>
          <w:rFonts w:cs="Times New Roman"/>
          <w:spacing w:val="-1"/>
          <w:sz w:val="18"/>
          <w:szCs w:val="18"/>
          <w:lang w:val="es-ES_tradnl"/>
        </w:rPr>
        <w:t>ó</w:t>
      </w:r>
      <w:r>
        <w:rPr>
          <w:spacing w:val="-1"/>
          <w:sz w:val="18"/>
          <w:szCs w:val="18"/>
          <w:lang w:val="es-ES_tradnl"/>
        </w:rPr>
        <w:t xml:space="preserve">n </w:t>
      </w:r>
      <w:r>
        <w:rPr>
          <w:spacing w:val="-7"/>
          <w:sz w:val="18"/>
          <w:szCs w:val="18"/>
          <w:lang w:val="es-ES_tradnl"/>
        </w:rPr>
        <w:t>N.</w:t>
      </w:r>
      <w:r>
        <w:rPr>
          <w:rFonts w:cs="Times New Roman"/>
          <w:spacing w:val="-7"/>
          <w:sz w:val="18"/>
          <w:szCs w:val="18"/>
          <w:lang w:val="es-ES_tradnl"/>
        </w:rPr>
        <w:t>º</w:t>
      </w:r>
      <w:r>
        <w:rPr>
          <w:spacing w:val="-7"/>
          <w:sz w:val="18"/>
          <w:szCs w:val="18"/>
          <w:lang w:val="es-ES_tradnl"/>
        </w:rPr>
        <w:t xml:space="preserve"> 1012-14-EP, no se ha presentado otra demanda con </w:t>
      </w:r>
      <w:r>
        <w:rPr>
          <w:sz w:val="18"/>
          <w:szCs w:val="18"/>
          <w:lang w:val="es-ES_tradnl"/>
        </w:rPr>
        <w:t>identidad de objeto y acci</w:t>
      </w:r>
      <w:r>
        <w:rPr>
          <w:rFonts w:cs="Times New Roman"/>
          <w:sz w:val="18"/>
          <w:szCs w:val="18"/>
          <w:lang w:val="es-ES_tradnl"/>
        </w:rPr>
        <w:t>ó</w:t>
      </w:r>
      <w:r>
        <w:rPr>
          <w:sz w:val="18"/>
          <w:szCs w:val="18"/>
          <w:lang w:val="es-ES_tradnl"/>
        </w:rPr>
        <w:t>n.</w:t>
      </w:r>
    </w:p>
    <w:p w14:paraId="4F67AFC8" w14:textId="77777777" w:rsidR="00591D54" w:rsidRDefault="00591D54">
      <w:pPr>
        <w:shd w:val="clear" w:color="auto" w:fill="FFFFFF"/>
        <w:spacing w:before="197" w:line="216" w:lineRule="exact"/>
        <w:jc w:val="both"/>
      </w:pPr>
      <w:r>
        <w:rPr>
          <w:spacing w:val="-3"/>
          <w:sz w:val="18"/>
          <w:szCs w:val="18"/>
          <w:lang w:val="es-ES_tradnl"/>
        </w:rPr>
        <w:t>El 31 de julio de 2014 a las 13h26, la Sala de Admisi</w:t>
      </w:r>
      <w:r>
        <w:rPr>
          <w:rFonts w:cs="Times New Roman"/>
          <w:spacing w:val="-3"/>
          <w:sz w:val="18"/>
          <w:szCs w:val="18"/>
          <w:lang w:val="es-ES_tradnl"/>
        </w:rPr>
        <w:t>ó</w:t>
      </w:r>
      <w:r>
        <w:rPr>
          <w:spacing w:val="-3"/>
          <w:sz w:val="18"/>
          <w:szCs w:val="18"/>
          <w:lang w:val="es-ES_tradnl"/>
        </w:rPr>
        <w:t xml:space="preserve">n </w:t>
      </w:r>
      <w:r>
        <w:rPr>
          <w:spacing w:val="-7"/>
          <w:sz w:val="18"/>
          <w:szCs w:val="18"/>
          <w:lang w:val="es-ES_tradnl"/>
        </w:rPr>
        <w:t xml:space="preserve">de la Corte Constitucional, conformada por los jueces </w:t>
      </w:r>
      <w:r>
        <w:rPr>
          <w:spacing w:val="-2"/>
          <w:sz w:val="18"/>
          <w:szCs w:val="18"/>
          <w:lang w:val="es-ES_tradnl"/>
        </w:rPr>
        <w:t xml:space="preserve">constitucionales Ruth Seni Pinoargote, Alfredo Ruiz </w:t>
      </w:r>
      <w:r>
        <w:rPr>
          <w:spacing w:val="-4"/>
          <w:sz w:val="18"/>
          <w:szCs w:val="18"/>
          <w:lang w:val="es-ES_tradnl"/>
        </w:rPr>
        <w:t>Guzm</w:t>
      </w:r>
      <w:r>
        <w:rPr>
          <w:rFonts w:cs="Times New Roman"/>
          <w:spacing w:val="-4"/>
          <w:sz w:val="18"/>
          <w:szCs w:val="18"/>
          <w:lang w:val="es-ES_tradnl"/>
        </w:rPr>
        <w:t>á</w:t>
      </w:r>
      <w:r>
        <w:rPr>
          <w:spacing w:val="-4"/>
          <w:sz w:val="18"/>
          <w:szCs w:val="18"/>
          <w:lang w:val="es-ES_tradnl"/>
        </w:rPr>
        <w:t>n y Antonio Gagliardo Loor, avoc</w:t>
      </w:r>
      <w:r>
        <w:rPr>
          <w:rFonts w:cs="Times New Roman"/>
          <w:spacing w:val="-4"/>
          <w:sz w:val="18"/>
          <w:szCs w:val="18"/>
          <w:lang w:val="es-ES_tradnl"/>
        </w:rPr>
        <w:t>ó</w:t>
      </w:r>
      <w:r>
        <w:rPr>
          <w:spacing w:val="-4"/>
          <w:sz w:val="18"/>
          <w:szCs w:val="18"/>
          <w:lang w:val="es-ES_tradnl"/>
        </w:rPr>
        <w:t xml:space="preserve"> conocimiento </w:t>
      </w:r>
      <w:r>
        <w:rPr>
          <w:spacing w:val="-7"/>
          <w:sz w:val="18"/>
          <w:szCs w:val="18"/>
          <w:lang w:val="es-ES_tradnl"/>
        </w:rPr>
        <w:t>de la causa y admiti</w:t>
      </w:r>
      <w:r>
        <w:rPr>
          <w:rFonts w:cs="Times New Roman"/>
          <w:spacing w:val="-7"/>
          <w:sz w:val="18"/>
          <w:szCs w:val="18"/>
          <w:lang w:val="es-ES_tradnl"/>
        </w:rPr>
        <w:t>ó</w:t>
      </w:r>
      <w:r>
        <w:rPr>
          <w:spacing w:val="-7"/>
          <w:sz w:val="18"/>
          <w:szCs w:val="18"/>
          <w:lang w:val="es-ES_tradnl"/>
        </w:rPr>
        <w:t xml:space="preserve"> a tr</w:t>
      </w:r>
      <w:r>
        <w:rPr>
          <w:rFonts w:cs="Times New Roman"/>
          <w:spacing w:val="-7"/>
          <w:sz w:val="18"/>
          <w:szCs w:val="18"/>
          <w:lang w:val="es-ES_tradnl"/>
        </w:rPr>
        <w:t>á</w:t>
      </w:r>
      <w:r>
        <w:rPr>
          <w:spacing w:val="-7"/>
          <w:sz w:val="18"/>
          <w:szCs w:val="18"/>
          <w:lang w:val="es-ES_tradnl"/>
        </w:rPr>
        <w:t>mite la acci</w:t>
      </w:r>
      <w:r>
        <w:rPr>
          <w:rFonts w:cs="Times New Roman"/>
          <w:spacing w:val="-7"/>
          <w:sz w:val="18"/>
          <w:szCs w:val="18"/>
          <w:lang w:val="es-ES_tradnl"/>
        </w:rPr>
        <w:t>ó</w:t>
      </w:r>
      <w:r>
        <w:rPr>
          <w:spacing w:val="-7"/>
          <w:sz w:val="18"/>
          <w:szCs w:val="18"/>
          <w:lang w:val="es-ES_tradnl"/>
        </w:rPr>
        <w:t xml:space="preserve">n extraordinaria de </w:t>
      </w:r>
      <w:r>
        <w:rPr>
          <w:sz w:val="18"/>
          <w:szCs w:val="18"/>
          <w:lang w:val="es-ES_tradnl"/>
        </w:rPr>
        <w:t>protecci</w:t>
      </w:r>
      <w:r>
        <w:rPr>
          <w:rFonts w:cs="Times New Roman"/>
          <w:sz w:val="18"/>
          <w:szCs w:val="18"/>
          <w:lang w:val="es-ES_tradnl"/>
        </w:rPr>
        <w:t>ó</w:t>
      </w:r>
      <w:r>
        <w:rPr>
          <w:sz w:val="18"/>
          <w:szCs w:val="18"/>
          <w:lang w:val="es-ES_tradnl"/>
        </w:rPr>
        <w:t>n N.</w:t>
      </w:r>
      <w:r>
        <w:rPr>
          <w:rFonts w:cs="Times New Roman"/>
          <w:sz w:val="18"/>
          <w:szCs w:val="18"/>
          <w:lang w:val="es-ES_tradnl"/>
        </w:rPr>
        <w:t>º</w:t>
      </w:r>
      <w:r>
        <w:rPr>
          <w:sz w:val="18"/>
          <w:szCs w:val="18"/>
          <w:lang w:val="es-ES_tradnl"/>
        </w:rPr>
        <w:t xml:space="preserve"> 1012-14-EP.</w:t>
      </w:r>
    </w:p>
    <w:p w14:paraId="4F67AFC9" w14:textId="77777777" w:rsidR="00591D54" w:rsidRDefault="00591D54">
      <w:pPr>
        <w:shd w:val="clear" w:color="auto" w:fill="FFFFFF"/>
        <w:spacing w:before="197" w:line="216" w:lineRule="exact"/>
        <w:jc w:val="both"/>
      </w:pPr>
      <w:r>
        <w:rPr>
          <w:spacing w:val="-3"/>
          <w:sz w:val="18"/>
          <w:szCs w:val="18"/>
          <w:lang w:val="es-ES_tradnl"/>
        </w:rPr>
        <w:t xml:space="preserve">De conformidad con el sorteo realizado por el Pleno de </w:t>
      </w:r>
      <w:r>
        <w:rPr>
          <w:spacing w:val="-7"/>
          <w:sz w:val="18"/>
          <w:szCs w:val="18"/>
          <w:lang w:val="es-ES_tradnl"/>
        </w:rPr>
        <w:t>la Corte Constitucional en sesi</w:t>
      </w:r>
      <w:r>
        <w:rPr>
          <w:rFonts w:cs="Times New Roman"/>
          <w:spacing w:val="-7"/>
          <w:sz w:val="18"/>
          <w:szCs w:val="18"/>
          <w:lang w:val="es-ES_tradnl"/>
        </w:rPr>
        <w:t>ó</w:t>
      </w:r>
      <w:r>
        <w:rPr>
          <w:spacing w:val="-7"/>
          <w:sz w:val="18"/>
          <w:szCs w:val="18"/>
          <w:lang w:val="es-ES_tradnl"/>
        </w:rPr>
        <w:t xml:space="preserve">n extraordinaria del 20 de </w:t>
      </w:r>
      <w:r>
        <w:rPr>
          <w:spacing w:val="-9"/>
          <w:sz w:val="18"/>
          <w:szCs w:val="18"/>
          <w:lang w:val="es-ES_tradnl"/>
        </w:rPr>
        <w:t>agosto de 2014, correspondi</w:t>
      </w:r>
      <w:r>
        <w:rPr>
          <w:rFonts w:cs="Times New Roman"/>
          <w:spacing w:val="-9"/>
          <w:sz w:val="18"/>
          <w:szCs w:val="18"/>
          <w:lang w:val="es-ES_tradnl"/>
        </w:rPr>
        <w:t>ó</w:t>
      </w:r>
      <w:r>
        <w:rPr>
          <w:spacing w:val="-9"/>
          <w:sz w:val="18"/>
          <w:szCs w:val="18"/>
          <w:lang w:val="es-ES_tradnl"/>
        </w:rPr>
        <w:t xml:space="preserve"> la sustanciaci</w:t>
      </w:r>
      <w:r>
        <w:rPr>
          <w:rFonts w:cs="Times New Roman"/>
          <w:spacing w:val="-9"/>
          <w:sz w:val="18"/>
          <w:szCs w:val="18"/>
          <w:lang w:val="es-ES_tradnl"/>
        </w:rPr>
        <w:t>ó</w:t>
      </w:r>
      <w:r>
        <w:rPr>
          <w:spacing w:val="-9"/>
          <w:sz w:val="18"/>
          <w:szCs w:val="18"/>
          <w:lang w:val="es-ES_tradnl"/>
        </w:rPr>
        <w:t xml:space="preserve">n del presente </w:t>
      </w:r>
      <w:r>
        <w:rPr>
          <w:spacing w:val="-4"/>
          <w:sz w:val="18"/>
          <w:szCs w:val="18"/>
          <w:lang w:val="es-ES_tradnl"/>
        </w:rPr>
        <w:t xml:space="preserve">caso a la jueza constitucional Wendy Molina Andrade, </w:t>
      </w:r>
      <w:r>
        <w:rPr>
          <w:spacing w:val="-10"/>
          <w:sz w:val="18"/>
          <w:szCs w:val="18"/>
          <w:lang w:val="es-ES_tradnl"/>
        </w:rPr>
        <w:t>quien avoc</w:t>
      </w:r>
      <w:r>
        <w:rPr>
          <w:rFonts w:cs="Times New Roman"/>
          <w:spacing w:val="-10"/>
          <w:sz w:val="18"/>
          <w:szCs w:val="18"/>
          <w:lang w:val="es-ES_tradnl"/>
        </w:rPr>
        <w:t>ó</w:t>
      </w:r>
      <w:r>
        <w:rPr>
          <w:spacing w:val="-10"/>
          <w:sz w:val="18"/>
          <w:szCs w:val="18"/>
          <w:lang w:val="es-ES_tradnl"/>
        </w:rPr>
        <w:t xml:space="preserve"> conocimiento de la causa mediante providencia </w:t>
      </w:r>
      <w:r>
        <w:rPr>
          <w:spacing w:val="-4"/>
          <w:sz w:val="18"/>
          <w:szCs w:val="18"/>
          <w:lang w:val="es-ES_tradnl"/>
        </w:rPr>
        <w:t>dictada el 21 de abril de 2015, en la cual concedi</w:t>
      </w:r>
      <w:r>
        <w:rPr>
          <w:rFonts w:cs="Times New Roman"/>
          <w:spacing w:val="-4"/>
          <w:sz w:val="18"/>
          <w:szCs w:val="18"/>
          <w:lang w:val="es-ES_tradnl"/>
        </w:rPr>
        <w:t>ó</w:t>
      </w:r>
      <w:r>
        <w:rPr>
          <w:spacing w:val="-4"/>
          <w:sz w:val="18"/>
          <w:szCs w:val="18"/>
          <w:lang w:val="es-ES_tradnl"/>
        </w:rPr>
        <w:t xml:space="preserve"> un </w:t>
      </w:r>
      <w:r>
        <w:rPr>
          <w:spacing w:val="-10"/>
          <w:sz w:val="18"/>
          <w:szCs w:val="18"/>
          <w:lang w:val="es-ES_tradnl"/>
        </w:rPr>
        <w:t>t</w:t>
      </w:r>
      <w:r>
        <w:rPr>
          <w:rFonts w:cs="Times New Roman"/>
          <w:spacing w:val="-10"/>
          <w:sz w:val="18"/>
          <w:szCs w:val="18"/>
          <w:lang w:val="es-ES_tradnl"/>
        </w:rPr>
        <w:t>é</w:t>
      </w:r>
      <w:r>
        <w:rPr>
          <w:spacing w:val="-10"/>
          <w:sz w:val="18"/>
          <w:szCs w:val="18"/>
          <w:lang w:val="es-ES_tradnl"/>
        </w:rPr>
        <w:t>rmino de 05 d</w:t>
      </w:r>
      <w:r>
        <w:rPr>
          <w:rFonts w:cs="Times New Roman"/>
          <w:spacing w:val="-10"/>
          <w:sz w:val="18"/>
          <w:szCs w:val="18"/>
          <w:lang w:val="es-ES_tradnl"/>
        </w:rPr>
        <w:t>í</w:t>
      </w:r>
      <w:r>
        <w:rPr>
          <w:spacing w:val="-10"/>
          <w:sz w:val="18"/>
          <w:szCs w:val="18"/>
          <w:lang w:val="es-ES_tradnl"/>
        </w:rPr>
        <w:t>as a fin de que el juez D</w:t>
      </w:r>
      <w:r>
        <w:rPr>
          <w:rFonts w:cs="Times New Roman"/>
          <w:spacing w:val="-10"/>
          <w:sz w:val="18"/>
          <w:szCs w:val="18"/>
          <w:lang w:val="es-ES_tradnl"/>
        </w:rPr>
        <w:t>é</w:t>
      </w:r>
      <w:r>
        <w:rPr>
          <w:spacing w:val="-10"/>
          <w:sz w:val="18"/>
          <w:szCs w:val="18"/>
          <w:lang w:val="es-ES_tradnl"/>
        </w:rPr>
        <w:t xml:space="preserve">cimo Tercero de lo </w:t>
      </w:r>
      <w:r>
        <w:rPr>
          <w:spacing w:val="-7"/>
          <w:sz w:val="18"/>
          <w:szCs w:val="18"/>
          <w:lang w:val="es-ES_tradnl"/>
        </w:rPr>
        <w:t xml:space="preserve">Civil de Pichincha presente su informe de descargo, y a su </w:t>
      </w:r>
      <w:r>
        <w:rPr>
          <w:spacing w:val="-9"/>
          <w:sz w:val="18"/>
          <w:szCs w:val="18"/>
          <w:lang w:val="es-ES_tradnl"/>
        </w:rPr>
        <w:t>vez convoc</w:t>
      </w:r>
      <w:r>
        <w:rPr>
          <w:rFonts w:cs="Times New Roman"/>
          <w:spacing w:val="-9"/>
          <w:sz w:val="18"/>
          <w:szCs w:val="18"/>
          <w:lang w:val="es-ES_tradnl"/>
        </w:rPr>
        <w:t>ó</w:t>
      </w:r>
      <w:r>
        <w:rPr>
          <w:spacing w:val="-9"/>
          <w:sz w:val="18"/>
          <w:szCs w:val="18"/>
          <w:lang w:val="es-ES_tradnl"/>
        </w:rPr>
        <w:t xml:space="preserve"> a las partes a audiencia p</w:t>
      </w:r>
      <w:r>
        <w:rPr>
          <w:rFonts w:cs="Times New Roman"/>
          <w:spacing w:val="-9"/>
          <w:sz w:val="18"/>
          <w:szCs w:val="18"/>
          <w:lang w:val="es-ES_tradnl"/>
        </w:rPr>
        <w:t>ú</w:t>
      </w:r>
      <w:r>
        <w:rPr>
          <w:spacing w:val="-9"/>
          <w:sz w:val="18"/>
          <w:szCs w:val="18"/>
          <w:lang w:val="es-ES_tradnl"/>
        </w:rPr>
        <w:t xml:space="preserve">blica, misma que se </w:t>
      </w:r>
      <w:r>
        <w:rPr>
          <w:sz w:val="18"/>
          <w:szCs w:val="18"/>
          <w:lang w:val="es-ES_tradnl"/>
        </w:rPr>
        <w:t>realiz</w:t>
      </w:r>
      <w:r>
        <w:rPr>
          <w:rFonts w:cs="Times New Roman"/>
          <w:sz w:val="18"/>
          <w:szCs w:val="18"/>
          <w:lang w:val="es-ES_tradnl"/>
        </w:rPr>
        <w:t>ó</w:t>
      </w:r>
      <w:r>
        <w:rPr>
          <w:sz w:val="18"/>
          <w:szCs w:val="18"/>
          <w:lang w:val="es-ES_tradnl"/>
        </w:rPr>
        <w:t xml:space="preserve"> el 28 de abril de 2015.</w:t>
      </w:r>
    </w:p>
    <w:p w14:paraId="4F67AFCA" w14:textId="77777777" w:rsidR="00591D54" w:rsidRDefault="00591D54">
      <w:pPr>
        <w:shd w:val="clear" w:color="auto" w:fill="FFFFFF"/>
        <w:spacing w:before="192" w:line="216" w:lineRule="exact"/>
        <w:jc w:val="both"/>
      </w:pPr>
      <w:r>
        <w:rPr>
          <w:b/>
          <w:bCs/>
          <w:spacing w:val="-9"/>
          <w:sz w:val="18"/>
          <w:szCs w:val="18"/>
          <w:lang w:val="es-ES_tradnl"/>
        </w:rPr>
        <w:t>Sentencia, auto o resoluci</w:t>
      </w:r>
      <w:r>
        <w:rPr>
          <w:rFonts w:cs="Times New Roman"/>
          <w:b/>
          <w:bCs/>
          <w:spacing w:val="-9"/>
          <w:sz w:val="18"/>
          <w:szCs w:val="18"/>
          <w:lang w:val="es-ES_tradnl"/>
        </w:rPr>
        <w:t>ó</w:t>
      </w:r>
      <w:r>
        <w:rPr>
          <w:b/>
          <w:bCs/>
          <w:spacing w:val="-9"/>
          <w:sz w:val="18"/>
          <w:szCs w:val="18"/>
          <w:lang w:val="es-ES_tradnl"/>
        </w:rPr>
        <w:t xml:space="preserve">n con fuerza de sentencia </w:t>
      </w:r>
      <w:r>
        <w:rPr>
          <w:b/>
          <w:bCs/>
          <w:sz w:val="18"/>
          <w:szCs w:val="18"/>
          <w:lang w:val="es-ES_tradnl"/>
        </w:rPr>
        <w:t>impugnada</w:t>
      </w:r>
    </w:p>
    <w:p w14:paraId="4F67AFCB" w14:textId="77777777" w:rsidR="00591D54" w:rsidRDefault="00591D54">
      <w:pPr>
        <w:shd w:val="clear" w:color="auto" w:fill="FFFFFF"/>
        <w:spacing w:before="197" w:line="216" w:lineRule="exact"/>
        <w:jc w:val="both"/>
      </w:pPr>
      <w:r>
        <w:rPr>
          <w:spacing w:val="-7"/>
          <w:sz w:val="18"/>
          <w:szCs w:val="18"/>
          <w:lang w:val="es-ES_tradnl"/>
        </w:rPr>
        <w:t xml:space="preserve">Las decisiones judiciales impugnadas son: la sentencia </w:t>
      </w:r>
      <w:r>
        <w:rPr>
          <w:spacing w:val="-8"/>
          <w:sz w:val="18"/>
          <w:szCs w:val="18"/>
          <w:lang w:val="es-ES_tradnl"/>
        </w:rPr>
        <w:t>dictada por el juez D</w:t>
      </w:r>
      <w:r>
        <w:rPr>
          <w:rFonts w:cs="Times New Roman"/>
          <w:spacing w:val="-8"/>
          <w:sz w:val="18"/>
          <w:szCs w:val="18"/>
          <w:lang w:val="es-ES_tradnl"/>
        </w:rPr>
        <w:t>é</w:t>
      </w:r>
      <w:r>
        <w:rPr>
          <w:spacing w:val="-8"/>
          <w:sz w:val="18"/>
          <w:szCs w:val="18"/>
          <w:lang w:val="es-ES_tradnl"/>
        </w:rPr>
        <w:t xml:space="preserve">cimo Tercero de lo Civil de Pichincha </w:t>
      </w:r>
      <w:r>
        <w:rPr>
          <w:sz w:val="18"/>
          <w:szCs w:val="18"/>
          <w:lang w:val="es-ES_tradnl"/>
        </w:rPr>
        <w:t>el 24 de abril de 2014 a las 12h24, dentro del juicio</w:t>
      </w:r>
    </w:p>
    <w:p w14:paraId="4F67AFCC" w14:textId="77777777" w:rsidR="00591D54" w:rsidRDefault="00591D54">
      <w:pPr>
        <w:shd w:val="clear" w:color="auto" w:fill="FFFFFF"/>
        <w:spacing w:before="197" w:line="216" w:lineRule="exact"/>
        <w:jc w:val="both"/>
        <w:sectPr w:rsidR="00591D54" w:rsidSect="00171846">
          <w:type w:val="continuous"/>
          <w:pgSz w:w="11909" w:h="16834"/>
          <w:pgMar w:top="1361" w:right="1309" w:bottom="360" w:left="993" w:header="720" w:footer="720" w:gutter="0"/>
          <w:cols w:num="2" w:space="720" w:equalWidth="0">
            <w:col w:w="4620" w:space="682"/>
            <w:col w:w="4305"/>
          </w:cols>
          <w:noEndnote/>
        </w:sectPr>
      </w:pPr>
    </w:p>
    <w:p w14:paraId="4F67AFCD" w14:textId="77777777" w:rsidR="00591D54" w:rsidRDefault="00591D54">
      <w:pPr>
        <w:shd w:val="clear" w:color="auto" w:fill="FFFFFF"/>
        <w:tabs>
          <w:tab w:val="left" w:pos="4814"/>
        </w:tabs>
        <w:spacing w:after="235"/>
        <w:ind w:left="14"/>
      </w:pPr>
      <w:r>
        <w:rPr>
          <w:b/>
          <w:bCs/>
          <w:sz w:val="18"/>
          <w:szCs w:val="18"/>
          <w:lang w:val="es-ES_tradnl"/>
        </w:rPr>
        <w:t xml:space="preserve">150 -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FCE" w14:textId="77777777" w:rsidR="00591D54" w:rsidRDefault="00591D54">
      <w:pPr>
        <w:shd w:val="clear" w:color="auto" w:fill="FFFFFF"/>
        <w:tabs>
          <w:tab w:val="left" w:pos="4814"/>
        </w:tabs>
        <w:spacing w:after="235"/>
        <w:ind w:left="14"/>
        <w:sectPr w:rsidR="00591D54">
          <w:pgSz w:w="11909" w:h="16834"/>
          <w:pgMar w:top="1371" w:right="1309" w:bottom="360" w:left="1308" w:header="720" w:footer="720" w:gutter="0"/>
          <w:cols w:space="60"/>
          <w:noEndnote/>
        </w:sectPr>
      </w:pPr>
    </w:p>
    <w:p w14:paraId="4F67AFCF" w14:textId="77777777" w:rsidR="00591D54" w:rsidRDefault="00591D54">
      <w:pPr>
        <w:shd w:val="clear" w:color="auto" w:fill="FFFFFF"/>
        <w:spacing w:line="216" w:lineRule="exact"/>
        <w:ind w:right="5"/>
        <w:jc w:val="both"/>
      </w:pPr>
      <w:r>
        <w:rPr>
          <w:spacing w:val="-7"/>
          <w:sz w:val="18"/>
          <w:szCs w:val="18"/>
          <w:lang w:val="es-ES_tradnl"/>
        </w:rPr>
        <w:t>ejecutivo N.</w:t>
      </w:r>
      <w:r>
        <w:rPr>
          <w:rFonts w:cs="Times New Roman"/>
          <w:spacing w:val="-7"/>
          <w:sz w:val="18"/>
          <w:szCs w:val="18"/>
          <w:lang w:val="es-ES_tradnl"/>
        </w:rPr>
        <w:t>º</w:t>
      </w:r>
      <w:r>
        <w:rPr>
          <w:spacing w:val="-7"/>
          <w:sz w:val="18"/>
          <w:szCs w:val="18"/>
          <w:lang w:val="es-ES_tradnl"/>
        </w:rPr>
        <w:t xml:space="preserve"> 1693-2010, en la cual se acepta la demanda </w:t>
      </w:r>
      <w:r>
        <w:rPr>
          <w:spacing w:val="-10"/>
          <w:sz w:val="18"/>
          <w:szCs w:val="18"/>
          <w:lang w:val="es-ES_tradnl"/>
        </w:rPr>
        <w:t>presentada; as</w:t>
      </w:r>
      <w:r>
        <w:rPr>
          <w:rFonts w:cs="Times New Roman"/>
          <w:spacing w:val="-10"/>
          <w:sz w:val="18"/>
          <w:szCs w:val="18"/>
          <w:lang w:val="es-ES_tradnl"/>
        </w:rPr>
        <w:t>í</w:t>
      </w:r>
      <w:r>
        <w:rPr>
          <w:spacing w:val="-10"/>
          <w:sz w:val="18"/>
          <w:szCs w:val="18"/>
          <w:lang w:val="es-ES_tradnl"/>
        </w:rPr>
        <w:t xml:space="preserve"> como el auto emitido el 26 de mayo de 2014 </w:t>
      </w:r>
      <w:r>
        <w:rPr>
          <w:spacing w:val="-6"/>
          <w:sz w:val="18"/>
          <w:szCs w:val="18"/>
          <w:lang w:val="es-ES_tradnl"/>
        </w:rPr>
        <w:t>a las 09h02 y notificado a las partes el mismo d</w:t>
      </w:r>
      <w:r>
        <w:rPr>
          <w:rFonts w:cs="Times New Roman"/>
          <w:spacing w:val="-6"/>
          <w:sz w:val="18"/>
          <w:szCs w:val="18"/>
          <w:lang w:val="es-ES_tradnl"/>
        </w:rPr>
        <w:t>í</w:t>
      </w:r>
      <w:r>
        <w:rPr>
          <w:spacing w:val="-6"/>
          <w:sz w:val="18"/>
          <w:szCs w:val="18"/>
          <w:lang w:val="es-ES_tradnl"/>
        </w:rPr>
        <w:t xml:space="preserve">a, por el </w:t>
      </w:r>
      <w:r>
        <w:rPr>
          <w:spacing w:val="-7"/>
          <w:sz w:val="18"/>
          <w:szCs w:val="18"/>
          <w:lang w:val="es-ES_tradnl"/>
        </w:rPr>
        <w:t>juez D</w:t>
      </w:r>
      <w:r>
        <w:rPr>
          <w:rFonts w:cs="Times New Roman"/>
          <w:spacing w:val="-7"/>
          <w:sz w:val="18"/>
          <w:szCs w:val="18"/>
          <w:lang w:val="es-ES_tradnl"/>
        </w:rPr>
        <w:t>é</w:t>
      </w:r>
      <w:r>
        <w:rPr>
          <w:spacing w:val="-7"/>
          <w:sz w:val="18"/>
          <w:szCs w:val="18"/>
          <w:lang w:val="es-ES_tradnl"/>
        </w:rPr>
        <w:t xml:space="preserve">cimo Tercero de lo Civil de Pichincha, en el cual se </w:t>
      </w:r>
      <w:r>
        <w:rPr>
          <w:spacing w:val="-9"/>
          <w:sz w:val="18"/>
          <w:szCs w:val="18"/>
          <w:lang w:val="es-ES_tradnl"/>
        </w:rPr>
        <w:t>niega el recurso de apelaci</w:t>
      </w:r>
      <w:r>
        <w:rPr>
          <w:rFonts w:cs="Times New Roman"/>
          <w:spacing w:val="-9"/>
          <w:sz w:val="18"/>
          <w:szCs w:val="18"/>
          <w:lang w:val="es-ES_tradnl"/>
        </w:rPr>
        <w:t>ó</w:t>
      </w:r>
      <w:r>
        <w:rPr>
          <w:spacing w:val="-9"/>
          <w:sz w:val="18"/>
          <w:szCs w:val="18"/>
          <w:lang w:val="es-ES_tradnl"/>
        </w:rPr>
        <w:t xml:space="preserve">n interpuesto por el accionante; </w:t>
      </w:r>
      <w:r>
        <w:rPr>
          <w:sz w:val="18"/>
          <w:szCs w:val="18"/>
          <w:lang w:val="es-ES_tradnl"/>
        </w:rPr>
        <w:t>estos escritos, en lo principal, se</w:t>
      </w:r>
      <w:r>
        <w:rPr>
          <w:rFonts w:cs="Times New Roman"/>
          <w:sz w:val="18"/>
          <w:szCs w:val="18"/>
          <w:lang w:val="es-ES_tradnl"/>
        </w:rPr>
        <w:t>ñ</w:t>
      </w:r>
      <w:r>
        <w:rPr>
          <w:sz w:val="18"/>
          <w:szCs w:val="18"/>
          <w:lang w:val="es-ES_tradnl"/>
        </w:rPr>
        <w:t>alan:</w:t>
      </w:r>
    </w:p>
    <w:p w14:paraId="4F67AFD0" w14:textId="77777777" w:rsidR="00591D54" w:rsidRDefault="00591D54">
      <w:pPr>
        <w:shd w:val="clear" w:color="auto" w:fill="FFFFFF"/>
        <w:spacing w:before="202"/>
      </w:pPr>
      <w:r>
        <w:rPr>
          <w:spacing w:val="-8"/>
          <w:sz w:val="18"/>
          <w:szCs w:val="18"/>
          <w:lang w:val="es-ES_tradnl"/>
        </w:rPr>
        <w:t>Sentencia del 24 de abril de 2014:</w:t>
      </w:r>
    </w:p>
    <w:p w14:paraId="4F67AFD1" w14:textId="77777777" w:rsidR="00591D54" w:rsidRDefault="00591D54">
      <w:pPr>
        <w:shd w:val="clear" w:color="auto" w:fill="FFFFFF"/>
        <w:spacing w:before="206" w:line="216" w:lineRule="exact"/>
        <w:ind w:left="283"/>
        <w:jc w:val="both"/>
      </w:pPr>
      <w:r>
        <w:rPr>
          <w:spacing w:val="-7"/>
          <w:sz w:val="16"/>
          <w:szCs w:val="16"/>
          <w:lang w:val="es-ES_tradnl"/>
        </w:rPr>
        <w:t>Como se observa, el accionado no formula excepci</w:t>
      </w:r>
      <w:r>
        <w:rPr>
          <w:rFonts w:cs="Times New Roman"/>
          <w:spacing w:val="-7"/>
          <w:sz w:val="16"/>
          <w:szCs w:val="16"/>
          <w:lang w:val="es-ES_tradnl"/>
        </w:rPr>
        <w:t>ó</w:t>
      </w:r>
      <w:r>
        <w:rPr>
          <w:spacing w:val="-7"/>
          <w:sz w:val="16"/>
          <w:szCs w:val="16"/>
          <w:lang w:val="es-ES_tradnl"/>
        </w:rPr>
        <w:t xml:space="preserve">n alguna, </w:t>
      </w:r>
      <w:r>
        <w:rPr>
          <w:spacing w:val="-10"/>
          <w:sz w:val="16"/>
          <w:szCs w:val="16"/>
          <w:lang w:val="es-ES_tradnl"/>
        </w:rPr>
        <w:t xml:space="preserve">dejando de esta manera que el proceso llegue al estado previsto </w:t>
      </w:r>
      <w:r>
        <w:rPr>
          <w:spacing w:val="-3"/>
          <w:sz w:val="16"/>
          <w:szCs w:val="16"/>
          <w:lang w:val="es-ES_tradnl"/>
        </w:rPr>
        <w:t>en el Art. 430 del C</w:t>
      </w:r>
      <w:r>
        <w:rPr>
          <w:rFonts w:cs="Times New Roman"/>
          <w:spacing w:val="-3"/>
          <w:sz w:val="16"/>
          <w:szCs w:val="16"/>
          <w:lang w:val="es-ES_tradnl"/>
        </w:rPr>
        <w:t>ó</w:t>
      </w:r>
      <w:r>
        <w:rPr>
          <w:spacing w:val="-3"/>
          <w:sz w:val="16"/>
          <w:szCs w:val="16"/>
          <w:lang w:val="es-ES_tradnl"/>
        </w:rPr>
        <w:t xml:space="preserve">digo de Procedimiento Civil; toda vez </w:t>
      </w:r>
      <w:r>
        <w:rPr>
          <w:spacing w:val="-7"/>
          <w:sz w:val="16"/>
          <w:szCs w:val="16"/>
          <w:lang w:val="es-ES_tradnl"/>
        </w:rPr>
        <w:t xml:space="preserve">que el Art. 421 del mismo cuerpo legal dispone que el deudor </w:t>
      </w:r>
      <w:r>
        <w:rPr>
          <w:spacing w:val="-9"/>
          <w:sz w:val="16"/>
          <w:szCs w:val="16"/>
          <w:lang w:val="es-ES_tradnl"/>
        </w:rPr>
        <w:t>debe cumplir o proponer excepciones dentro de 3 d</w:t>
      </w:r>
      <w:r>
        <w:rPr>
          <w:rFonts w:cs="Times New Roman"/>
          <w:spacing w:val="-9"/>
          <w:sz w:val="16"/>
          <w:szCs w:val="16"/>
          <w:lang w:val="es-ES_tradnl"/>
        </w:rPr>
        <w:t>í</w:t>
      </w:r>
      <w:r>
        <w:rPr>
          <w:spacing w:val="-9"/>
          <w:sz w:val="16"/>
          <w:szCs w:val="16"/>
          <w:lang w:val="es-ES_tradnl"/>
        </w:rPr>
        <w:t>as despu</w:t>
      </w:r>
      <w:r>
        <w:rPr>
          <w:rFonts w:cs="Times New Roman"/>
          <w:spacing w:val="-9"/>
          <w:sz w:val="16"/>
          <w:szCs w:val="16"/>
          <w:lang w:val="es-ES_tradnl"/>
        </w:rPr>
        <w:t>é</w:t>
      </w:r>
      <w:r>
        <w:rPr>
          <w:spacing w:val="-9"/>
          <w:sz w:val="16"/>
          <w:szCs w:val="16"/>
          <w:lang w:val="es-ES_tradnl"/>
        </w:rPr>
        <w:t xml:space="preserve">s </w:t>
      </w:r>
      <w:r>
        <w:rPr>
          <w:spacing w:val="-4"/>
          <w:sz w:val="16"/>
          <w:szCs w:val="16"/>
          <w:lang w:val="es-ES_tradnl"/>
        </w:rPr>
        <w:t xml:space="preserve">de citado; y el Art. 84 dice que si una parte manifiesta que </w:t>
      </w:r>
      <w:r>
        <w:rPr>
          <w:spacing w:val="-3"/>
          <w:sz w:val="16"/>
          <w:szCs w:val="16"/>
          <w:lang w:val="es-ES_tradnl"/>
        </w:rPr>
        <w:t>conoce determinada petici</w:t>
      </w:r>
      <w:r>
        <w:rPr>
          <w:rFonts w:cs="Times New Roman"/>
          <w:spacing w:val="-3"/>
          <w:sz w:val="16"/>
          <w:szCs w:val="16"/>
          <w:lang w:val="es-ES_tradnl"/>
        </w:rPr>
        <w:t>ó</w:t>
      </w:r>
      <w:r>
        <w:rPr>
          <w:spacing w:val="-3"/>
          <w:sz w:val="16"/>
          <w:szCs w:val="16"/>
          <w:lang w:val="es-ES_tradnl"/>
        </w:rPr>
        <w:t>n se considerar</w:t>
      </w:r>
      <w:r>
        <w:rPr>
          <w:rFonts w:cs="Times New Roman"/>
          <w:spacing w:val="-3"/>
          <w:sz w:val="16"/>
          <w:szCs w:val="16"/>
          <w:lang w:val="es-ES_tradnl"/>
        </w:rPr>
        <w:t>á</w:t>
      </w:r>
      <w:r>
        <w:rPr>
          <w:spacing w:val="-3"/>
          <w:sz w:val="16"/>
          <w:szCs w:val="16"/>
          <w:lang w:val="es-ES_tradnl"/>
        </w:rPr>
        <w:t xml:space="preserve"> citada en la </w:t>
      </w:r>
      <w:r>
        <w:rPr>
          <w:spacing w:val="-5"/>
          <w:sz w:val="16"/>
          <w:szCs w:val="16"/>
          <w:lang w:val="es-ES_tradnl"/>
        </w:rPr>
        <w:t>fecha de presentaci</w:t>
      </w:r>
      <w:r>
        <w:rPr>
          <w:rFonts w:cs="Times New Roman"/>
          <w:spacing w:val="-5"/>
          <w:sz w:val="16"/>
          <w:szCs w:val="16"/>
          <w:lang w:val="es-ES_tradnl"/>
        </w:rPr>
        <w:t>ó</w:t>
      </w:r>
      <w:r>
        <w:rPr>
          <w:spacing w:val="-5"/>
          <w:sz w:val="16"/>
          <w:szCs w:val="16"/>
          <w:lang w:val="es-ES_tradnl"/>
        </w:rPr>
        <w:t xml:space="preserve">n del escrito. En el presente caso el </w:t>
      </w:r>
      <w:r>
        <w:rPr>
          <w:spacing w:val="-6"/>
          <w:sz w:val="16"/>
          <w:szCs w:val="16"/>
          <w:lang w:val="es-ES_tradnl"/>
        </w:rPr>
        <w:t xml:space="preserve">referido escrito del demandado en el que comparece a juicio </w:t>
      </w:r>
      <w:r>
        <w:rPr>
          <w:spacing w:val="-7"/>
          <w:sz w:val="16"/>
          <w:szCs w:val="16"/>
          <w:lang w:val="es-ES_tradnl"/>
        </w:rPr>
        <w:t>manifestando darse por citado, no contiene excepci</w:t>
      </w:r>
      <w:r>
        <w:rPr>
          <w:rFonts w:cs="Times New Roman"/>
          <w:spacing w:val="-7"/>
          <w:sz w:val="16"/>
          <w:szCs w:val="16"/>
          <w:lang w:val="es-ES_tradnl"/>
        </w:rPr>
        <w:t>ó</w:t>
      </w:r>
      <w:r>
        <w:rPr>
          <w:spacing w:val="-7"/>
          <w:sz w:val="16"/>
          <w:szCs w:val="16"/>
          <w:lang w:val="es-ES_tradnl"/>
        </w:rPr>
        <w:t xml:space="preserve">n alguna </w:t>
      </w:r>
      <w:r>
        <w:rPr>
          <w:spacing w:val="-8"/>
          <w:sz w:val="16"/>
          <w:szCs w:val="16"/>
          <w:lang w:val="es-ES_tradnl"/>
        </w:rPr>
        <w:t>como se dijo, y las excepciones deducidas 3 d</w:t>
      </w:r>
      <w:r>
        <w:rPr>
          <w:rFonts w:cs="Times New Roman"/>
          <w:spacing w:val="-8"/>
          <w:sz w:val="16"/>
          <w:szCs w:val="16"/>
          <w:lang w:val="es-ES_tradnl"/>
        </w:rPr>
        <w:t>í</w:t>
      </w:r>
      <w:r>
        <w:rPr>
          <w:spacing w:val="-8"/>
          <w:sz w:val="16"/>
          <w:szCs w:val="16"/>
          <w:lang w:val="es-ES_tradnl"/>
        </w:rPr>
        <w:t>as despu</w:t>
      </w:r>
      <w:r>
        <w:rPr>
          <w:rFonts w:cs="Times New Roman"/>
          <w:spacing w:val="-8"/>
          <w:sz w:val="16"/>
          <w:szCs w:val="16"/>
          <w:lang w:val="es-ES_tradnl"/>
        </w:rPr>
        <w:t>é</w:t>
      </w:r>
      <w:r>
        <w:rPr>
          <w:spacing w:val="-8"/>
          <w:sz w:val="16"/>
          <w:szCs w:val="16"/>
          <w:lang w:val="es-ES_tradnl"/>
        </w:rPr>
        <w:t xml:space="preserve">s de </w:t>
      </w:r>
      <w:r>
        <w:rPr>
          <w:spacing w:val="-5"/>
          <w:sz w:val="16"/>
          <w:szCs w:val="16"/>
          <w:lang w:val="es-ES_tradnl"/>
        </w:rPr>
        <w:t>darse por citado son extempor</w:t>
      </w:r>
      <w:r>
        <w:rPr>
          <w:rFonts w:cs="Times New Roman"/>
          <w:spacing w:val="-5"/>
          <w:sz w:val="16"/>
          <w:szCs w:val="16"/>
          <w:lang w:val="es-ES_tradnl"/>
        </w:rPr>
        <w:t>á</w:t>
      </w:r>
      <w:r>
        <w:rPr>
          <w:spacing w:val="-5"/>
          <w:sz w:val="16"/>
          <w:szCs w:val="16"/>
          <w:lang w:val="es-ES_tradnl"/>
        </w:rPr>
        <w:t>neas</w:t>
      </w:r>
      <w:r>
        <w:rPr>
          <w:rFonts w:cs="Times New Roman"/>
          <w:spacing w:val="-5"/>
          <w:sz w:val="16"/>
          <w:szCs w:val="16"/>
          <w:lang w:val="es-ES_tradnl"/>
        </w:rPr>
        <w:t>…</w:t>
      </w:r>
      <w:r>
        <w:rPr>
          <w:spacing w:val="-5"/>
          <w:sz w:val="16"/>
          <w:szCs w:val="16"/>
          <w:lang w:val="es-ES_tradnl"/>
        </w:rPr>
        <w:t xml:space="preserve"> ADMINISTRANDO </w:t>
      </w:r>
      <w:r>
        <w:rPr>
          <w:spacing w:val="-2"/>
          <w:sz w:val="16"/>
          <w:szCs w:val="16"/>
          <w:lang w:val="es-ES_tradnl"/>
        </w:rPr>
        <w:t xml:space="preserve">JUSTICIA EN NOMBRE DEL PUEBLO SOBERANO DEL </w:t>
      </w:r>
      <w:r>
        <w:rPr>
          <w:spacing w:val="-3"/>
          <w:sz w:val="16"/>
          <w:szCs w:val="16"/>
          <w:lang w:val="es-ES_tradnl"/>
        </w:rPr>
        <w:t>ECUADOR Y POR AUTORIDAD DE LA CONSTITUCI</w:t>
      </w:r>
      <w:r>
        <w:rPr>
          <w:rFonts w:cs="Times New Roman"/>
          <w:spacing w:val="-3"/>
          <w:sz w:val="16"/>
          <w:szCs w:val="16"/>
          <w:lang w:val="es-ES_tradnl"/>
        </w:rPr>
        <w:t>Ó</w:t>
      </w:r>
      <w:r>
        <w:rPr>
          <w:spacing w:val="-3"/>
          <w:sz w:val="16"/>
          <w:szCs w:val="16"/>
          <w:lang w:val="es-ES_tradnl"/>
        </w:rPr>
        <w:t xml:space="preserve">N </w:t>
      </w:r>
      <w:r>
        <w:rPr>
          <w:spacing w:val="-8"/>
          <w:sz w:val="16"/>
          <w:szCs w:val="16"/>
          <w:lang w:val="es-ES_tradnl"/>
        </w:rPr>
        <w:t>Y LAS LEYES DE LA REP</w:t>
      </w:r>
      <w:r>
        <w:rPr>
          <w:rFonts w:cs="Times New Roman"/>
          <w:spacing w:val="-8"/>
          <w:sz w:val="16"/>
          <w:szCs w:val="16"/>
          <w:lang w:val="es-ES_tradnl"/>
        </w:rPr>
        <w:t>Ú</w:t>
      </w:r>
      <w:r>
        <w:rPr>
          <w:spacing w:val="-8"/>
          <w:sz w:val="16"/>
          <w:szCs w:val="16"/>
          <w:lang w:val="es-ES_tradnl"/>
        </w:rPr>
        <w:t xml:space="preserve">BLICA, se acepta la demanda de </w:t>
      </w:r>
      <w:r>
        <w:rPr>
          <w:spacing w:val="-5"/>
          <w:sz w:val="16"/>
          <w:szCs w:val="16"/>
          <w:lang w:val="es-ES_tradnl"/>
        </w:rPr>
        <w:t>conformidad con los Art. 410 del C</w:t>
      </w:r>
      <w:r>
        <w:rPr>
          <w:rFonts w:cs="Times New Roman"/>
          <w:spacing w:val="-5"/>
          <w:sz w:val="16"/>
          <w:szCs w:val="16"/>
          <w:lang w:val="es-ES_tradnl"/>
        </w:rPr>
        <w:t>ó</w:t>
      </w:r>
      <w:r>
        <w:rPr>
          <w:spacing w:val="-5"/>
          <w:sz w:val="16"/>
          <w:szCs w:val="16"/>
          <w:lang w:val="es-ES_tradnl"/>
        </w:rPr>
        <w:t xml:space="preserve">digo de Comercio y 413, </w:t>
      </w:r>
      <w:r>
        <w:rPr>
          <w:spacing w:val="-3"/>
          <w:sz w:val="16"/>
          <w:szCs w:val="16"/>
          <w:lang w:val="es-ES_tradnl"/>
        </w:rPr>
        <w:t>419 y 430 del C</w:t>
      </w:r>
      <w:r>
        <w:rPr>
          <w:rFonts w:cs="Times New Roman"/>
          <w:spacing w:val="-3"/>
          <w:sz w:val="16"/>
          <w:szCs w:val="16"/>
          <w:lang w:val="es-ES_tradnl"/>
        </w:rPr>
        <w:t>ó</w:t>
      </w:r>
      <w:r>
        <w:rPr>
          <w:spacing w:val="-3"/>
          <w:sz w:val="16"/>
          <w:szCs w:val="16"/>
          <w:lang w:val="es-ES_tradnl"/>
        </w:rPr>
        <w:t xml:space="preserve">digo de Procedimiento Civil y se dispone </w:t>
      </w:r>
      <w:r>
        <w:rPr>
          <w:spacing w:val="-4"/>
          <w:sz w:val="16"/>
          <w:szCs w:val="16"/>
          <w:lang w:val="es-ES_tradnl"/>
        </w:rPr>
        <w:t xml:space="preserve">que Wilson Rodrigo Camino Ramos pague inmediatamente </w:t>
      </w:r>
      <w:r>
        <w:rPr>
          <w:spacing w:val="-6"/>
          <w:sz w:val="16"/>
          <w:szCs w:val="16"/>
          <w:lang w:val="es-ES_tradnl"/>
        </w:rPr>
        <w:t xml:space="preserve">a Eduardo Marcelo Almeida Michelena representante de la </w:t>
      </w:r>
      <w:r>
        <w:rPr>
          <w:spacing w:val="-4"/>
          <w:sz w:val="16"/>
          <w:szCs w:val="16"/>
          <w:lang w:val="es-ES_tradnl"/>
        </w:rPr>
        <w:t xml:space="preserve">Empresa CREDICENTRO CIA. LTDA. la cantidad de USD </w:t>
      </w:r>
      <w:r>
        <w:rPr>
          <w:spacing w:val="-2"/>
          <w:sz w:val="16"/>
          <w:szCs w:val="16"/>
          <w:lang w:val="es-ES_tradnl"/>
        </w:rPr>
        <w:t xml:space="preserve">3.000 de capital constantes en la letra de cambio referida </w:t>
      </w:r>
      <w:r>
        <w:rPr>
          <w:spacing w:val="-4"/>
          <w:sz w:val="16"/>
          <w:szCs w:val="16"/>
          <w:lang w:val="es-ES_tradnl"/>
        </w:rPr>
        <w:t xml:space="preserve">en el Considerando Segundo, los intereses vencidos y que </w:t>
      </w:r>
      <w:r>
        <w:rPr>
          <w:spacing w:val="-5"/>
          <w:sz w:val="16"/>
          <w:szCs w:val="16"/>
          <w:lang w:val="es-ES_tradnl"/>
        </w:rPr>
        <w:t>se vencieren hasta el cumplimiento de la obligaci</w:t>
      </w:r>
      <w:r>
        <w:rPr>
          <w:rFonts w:cs="Times New Roman"/>
          <w:spacing w:val="-5"/>
          <w:sz w:val="16"/>
          <w:szCs w:val="16"/>
          <w:lang w:val="es-ES_tradnl"/>
        </w:rPr>
        <w:t>ó</w:t>
      </w:r>
      <w:r>
        <w:rPr>
          <w:spacing w:val="-5"/>
          <w:sz w:val="16"/>
          <w:szCs w:val="16"/>
          <w:lang w:val="es-ES_tradnl"/>
        </w:rPr>
        <w:t xml:space="preserve">n de conformidad con las regulaciones del Directorio del Banco </w:t>
      </w:r>
      <w:r>
        <w:rPr>
          <w:spacing w:val="-8"/>
          <w:sz w:val="16"/>
          <w:szCs w:val="16"/>
          <w:lang w:val="es-ES_tradnl"/>
        </w:rPr>
        <w:t xml:space="preserve">Central del Ecuador, mismos que se regularan pericialmente, y </w:t>
      </w:r>
      <w:r>
        <w:rPr>
          <w:spacing w:val="-7"/>
          <w:sz w:val="16"/>
          <w:szCs w:val="16"/>
          <w:lang w:val="es-ES_tradnl"/>
        </w:rPr>
        <w:t>de las costas procesales entre las que incluir</w:t>
      </w:r>
      <w:r>
        <w:rPr>
          <w:rFonts w:cs="Times New Roman"/>
          <w:spacing w:val="-7"/>
          <w:sz w:val="16"/>
          <w:szCs w:val="16"/>
          <w:lang w:val="es-ES_tradnl"/>
        </w:rPr>
        <w:t>á</w:t>
      </w:r>
      <w:r>
        <w:rPr>
          <w:spacing w:val="-7"/>
          <w:sz w:val="16"/>
          <w:szCs w:val="16"/>
          <w:lang w:val="es-ES_tradnl"/>
        </w:rPr>
        <w:t xml:space="preserve">n los honorarios </w:t>
      </w:r>
      <w:r>
        <w:rPr>
          <w:spacing w:val="-10"/>
          <w:sz w:val="16"/>
          <w:szCs w:val="16"/>
          <w:lang w:val="es-ES_tradnl"/>
        </w:rPr>
        <w:t>de su defensor que se regulan en $300 d</w:t>
      </w:r>
      <w:r>
        <w:rPr>
          <w:rFonts w:cs="Times New Roman"/>
          <w:spacing w:val="-10"/>
          <w:sz w:val="16"/>
          <w:szCs w:val="16"/>
          <w:lang w:val="es-ES_tradnl"/>
        </w:rPr>
        <w:t>ó</w:t>
      </w:r>
      <w:r>
        <w:rPr>
          <w:spacing w:val="-10"/>
          <w:sz w:val="16"/>
          <w:szCs w:val="16"/>
          <w:lang w:val="es-ES_tradnl"/>
        </w:rPr>
        <w:t xml:space="preserve">lares. No procede que </w:t>
      </w:r>
      <w:r>
        <w:rPr>
          <w:spacing w:val="-7"/>
          <w:sz w:val="16"/>
          <w:szCs w:val="16"/>
          <w:lang w:val="es-ES_tradnl"/>
        </w:rPr>
        <w:t>se ordene pagar el sexto por ciento de la comisi</w:t>
      </w:r>
      <w:r>
        <w:rPr>
          <w:rFonts w:cs="Times New Roman"/>
          <w:spacing w:val="-7"/>
          <w:sz w:val="16"/>
          <w:szCs w:val="16"/>
          <w:lang w:val="es-ES_tradnl"/>
        </w:rPr>
        <w:t>ó</w:t>
      </w:r>
      <w:r>
        <w:rPr>
          <w:spacing w:val="-7"/>
          <w:sz w:val="16"/>
          <w:szCs w:val="16"/>
          <w:lang w:val="es-ES_tradnl"/>
        </w:rPr>
        <w:t xml:space="preserve">n solicitada, </w:t>
      </w:r>
      <w:r>
        <w:rPr>
          <w:spacing w:val="-6"/>
          <w:sz w:val="16"/>
          <w:szCs w:val="16"/>
          <w:lang w:val="es-ES_tradnl"/>
        </w:rPr>
        <w:t>por cuanto la letra de cambio no ha entrado en circulaci</w:t>
      </w:r>
      <w:r>
        <w:rPr>
          <w:rFonts w:cs="Times New Roman"/>
          <w:spacing w:val="-6"/>
          <w:sz w:val="16"/>
          <w:szCs w:val="16"/>
          <w:lang w:val="es-ES_tradnl"/>
        </w:rPr>
        <w:t>ó</w:t>
      </w:r>
      <w:r>
        <w:rPr>
          <w:spacing w:val="-6"/>
          <w:sz w:val="16"/>
          <w:szCs w:val="16"/>
          <w:lang w:val="es-ES_tradnl"/>
        </w:rPr>
        <w:t>n.</w:t>
      </w:r>
    </w:p>
    <w:p w14:paraId="4F67AFD2" w14:textId="77777777" w:rsidR="00591D54" w:rsidRDefault="00591D54">
      <w:pPr>
        <w:shd w:val="clear" w:color="auto" w:fill="FFFFFF"/>
        <w:spacing w:before="202"/>
      </w:pPr>
      <w:r>
        <w:rPr>
          <w:spacing w:val="-7"/>
          <w:sz w:val="18"/>
          <w:szCs w:val="18"/>
          <w:lang w:val="es-ES_tradnl"/>
        </w:rPr>
        <w:t>Auto del 26 de mayo de 2014:</w:t>
      </w:r>
    </w:p>
    <w:p w14:paraId="4F67AFD3" w14:textId="77777777" w:rsidR="00591D54" w:rsidRDefault="00591D54">
      <w:pPr>
        <w:shd w:val="clear" w:color="auto" w:fill="FFFFFF"/>
        <w:spacing w:before="206" w:line="216" w:lineRule="exact"/>
        <w:ind w:left="283" w:right="10"/>
        <w:jc w:val="both"/>
      </w:pPr>
      <w:r>
        <w:rPr>
          <w:spacing w:val="-6"/>
          <w:sz w:val="16"/>
          <w:szCs w:val="16"/>
          <w:lang w:val="es-ES_tradnl"/>
        </w:rPr>
        <w:t>[</w:t>
      </w:r>
      <w:r>
        <w:rPr>
          <w:rFonts w:cs="Times New Roman"/>
          <w:spacing w:val="-6"/>
          <w:sz w:val="16"/>
          <w:szCs w:val="16"/>
          <w:lang w:val="es-ES_tradnl"/>
        </w:rPr>
        <w:t>…</w:t>
      </w:r>
      <w:r>
        <w:rPr>
          <w:spacing w:val="-6"/>
          <w:sz w:val="16"/>
          <w:szCs w:val="16"/>
          <w:lang w:val="es-ES_tradnl"/>
        </w:rPr>
        <w:t>] Agr</w:t>
      </w:r>
      <w:r>
        <w:rPr>
          <w:rFonts w:cs="Times New Roman"/>
          <w:spacing w:val="-6"/>
          <w:sz w:val="16"/>
          <w:szCs w:val="16"/>
          <w:lang w:val="es-ES_tradnl"/>
        </w:rPr>
        <w:t>é</w:t>
      </w:r>
      <w:r>
        <w:rPr>
          <w:spacing w:val="-6"/>
          <w:sz w:val="16"/>
          <w:szCs w:val="16"/>
          <w:lang w:val="es-ES_tradnl"/>
        </w:rPr>
        <w:t xml:space="preserve">guese a los autos el escrito que antecede.- En lo </w:t>
      </w:r>
      <w:r>
        <w:rPr>
          <w:spacing w:val="-7"/>
          <w:sz w:val="16"/>
          <w:szCs w:val="16"/>
          <w:lang w:val="es-ES_tradnl"/>
        </w:rPr>
        <w:t xml:space="preserve">principal, de conformidad con lo dispuesto en la parte final del </w:t>
      </w:r>
      <w:r>
        <w:rPr>
          <w:spacing w:val="-8"/>
          <w:sz w:val="16"/>
          <w:szCs w:val="16"/>
          <w:lang w:val="es-ES_tradnl"/>
        </w:rPr>
        <w:t>Art. 430 del C</w:t>
      </w:r>
      <w:r>
        <w:rPr>
          <w:rFonts w:cs="Times New Roman"/>
          <w:spacing w:val="-8"/>
          <w:sz w:val="16"/>
          <w:szCs w:val="16"/>
          <w:lang w:val="es-ES_tradnl"/>
        </w:rPr>
        <w:t>ó</w:t>
      </w:r>
      <w:r>
        <w:rPr>
          <w:spacing w:val="-8"/>
          <w:sz w:val="16"/>
          <w:szCs w:val="16"/>
          <w:lang w:val="es-ES_tradnl"/>
        </w:rPr>
        <w:t xml:space="preserve">digo de Procedimiento Civil, se niega el recurso </w:t>
      </w:r>
      <w:r>
        <w:rPr>
          <w:spacing w:val="-6"/>
          <w:sz w:val="16"/>
          <w:szCs w:val="16"/>
          <w:lang w:val="es-ES_tradnl"/>
        </w:rPr>
        <w:t>de apelaci</w:t>
      </w:r>
      <w:r>
        <w:rPr>
          <w:rFonts w:cs="Times New Roman"/>
          <w:spacing w:val="-6"/>
          <w:sz w:val="16"/>
          <w:szCs w:val="16"/>
          <w:lang w:val="es-ES_tradnl"/>
        </w:rPr>
        <w:t>ó</w:t>
      </w:r>
      <w:r>
        <w:rPr>
          <w:spacing w:val="-6"/>
          <w:sz w:val="16"/>
          <w:szCs w:val="16"/>
          <w:lang w:val="es-ES_tradnl"/>
        </w:rPr>
        <w:t xml:space="preserve">n interpuesto por el demandado, ejecutoriado el </w:t>
      </w:r>
      <w:r>
        <w:rPr>
          <w:spacing w:val="-7"/>
          <w:sz w:val="16"/>
          <w:szCs w:val="16"/>
          <w:lang w:val="es-ES_tradnl"/>
        </w:rPr>
        <w:t xml:space="preserve">presente decreto vuelvan los autos para atender lo solicitado </w:t>
      </w:r>
      <w:r>
        <w:rPr>
          <w:sz w:val="16"/>
          <w:szCs w:val="16"/>
          <w:lang w:val="es-ES_tradnl"/>
        </w:rPr>
        <w:t>por el actor.</w:t>
      </w:r>
    </w:p>
    <w:p w14:paraId="4F67AFD4" w14:textId="77777777" w:rsidR="00591D54" w:rsidRDefault="00591D54">
      <w:pPr>
        <w:shd w:val="clear" w:color="auto" w:fill="FFFFFF"/>
        <w:spacing w:before="202"/>
      </w:pPr>
      <w:r>
        <w:rPr>
          <w:b/>
          <w:bCs/>
          <w:spacing w:val="-10"/>
          <w:sz w:val="18"/>
          <w:szCs w:val="18"/>
          <w:lang w:val="es-ES_tradnl"/>
        </w:rPr>
        <w:t>Descripci</w:t>
      </w:r>
      <w:r>
        <w:rPr>
          <w:rFonts w:cs="Times New Roman"/>
          <w:b/>
          <w:bCs/>
          <w:spacing w:val="-10"/>
          <w:sz w:val="18"/>
          <w:szCs w:val="18"/>
          <w:lang w:val="es-ES_tradnl"/>
        </w:rPr>
        <w:t>ó</w:t>
      </w:r>
      <w:r>
        <w:rPr>
          <w:b/>
          <w:bCs/>
          <w:spacing w:val="-10"/>
          <w:sz w:val="18"/>
          <w:szCs w:val="18"/>
          <w:lang w:val="es-ES_tradnl"/>
        </w:rPr>
        <w:t>n de la demanda</w:t>
      </w:r>
    </w:p>
    <w:p w14:paraId="4F67AFD5" w14:textId="77777777" w:rsidR="00591D54" w:rsidRDefault="00591D54">
      <w:pPr>
        <w:shd w:val="clear" w:color="auto" w:fill="FFFFFF"/>
        <w:spacing w:before="197"/>
      </w:pPr>
      <w:r>
        <w:rPr>
          <w:b/>
          <w:bCs/>
          <w:spacing w:val="-12"/>
          <w:sz w:val="18"/>
          <w:szCs w:val="18"/>
          <w:lang w:val="es-ES_tradnl"/>
        </w:rPr>
        <w:t>Hechos relatados y derechos presuntamente vulnerados</w:t>
      </w:r>
    </w:p>
    <w:p w14:paraId="4F67AFD6" w14:textId="77777777" w:rsidR="00591D54" w:rsidRDefault="00591D54">
      <w:pPr>
        <w:shd w:val="clear" w:color="auto" w:fill="FFFFFF"/>
        <w:spacing w:before="197" w:line="216" w:lineRule="exact"/>
        <w:ind w:right="10"/>
        <w:jc w:val="both"/>
      </w:pPr>
      <w:r>
        <w:rPr>
          <w:spacing w:val="-7"/>
          <w:sz w:val="18"/>
          <w:szCs w:val="18"/>
          <w:lang w:val="es-ES_tradnl"/>
        </w:rPr>
        <w:t>Wilson Rodrigo Camino Ramos present</w:t>
      </w:r>
      <w:r>
        <w:rPr>
          <w:rFonts w:cs="Times New Roman"/>
          <w:spacing w:val="-7"/>
          <w:sz w:val="18"/>
          <w:szCs w:val="18"/>
          <w:lang w:val="es-ES_tradnl"/>
        </w:rPr>
        <w:t>ó</w:t>
      </w:r>
      <w:r>
        <w:rPr>
          <w:spacing w:val="-7"/>
          <w:sz w:val="18"/>
          <w:szCs w:val="18"/>
          <w:lang w:val="es-ES_tradnl"/>
        </w:rPr>
        <w:t xml:space="preserve">, por sus propios </w:t>
      </w:r>
      <w:r>
        <w:rPr>
          <w:spacing w:val="-9"/>
          <w:sz w:val="18"/>
          <w:szCs w:val="18"/>
          <w:lang w:val="es-ES_tradnl"/>
        </w:rPr>
        <w:t>derechos, una acci</w:t>
      </w:r>
      <w:r>
        <w:rPr>
          <w:rFonts w:cs="Times New Roman"/>
          <w:spacing w:val="-9"/>
          <w:sz w:val="18"/>
          <w:szCs w:val="18"/>
          <w:lang w:val="es-ES_tradnl"/>
        </w:rPr>
        <w:t>ó</w:t>
      </w:r>
      <w:r>
        <w:rPr>
          <w:spacing w:val="-9"/>
          <w:sz w:val="18"/>
          <w:szCs w:val="18"/>
          <w:lang w:val="es-ES_tradnl"/>
        </w:rPr>
        <w:t>n extraordinaria de protecci</w:t>
      </w:r>
      <w:r>
        <w:rPr>
          <w:rFonts w:cs="Times New Roman"/>
          <w:spacing w:val="-9"/>
          <w:sz w:val="18"/>
          <w:szCs w:val="18"/>
          <w:lang w:val="es-ES_tradnl"/>
        </w:rPr>
        <w:t>ó</w:t>
      </w:r>
      <w:r>
        <w:rPr>
          <w:spacing w:val="-9"/>
          <w:sz w:val="18"/>
          <w:szCs w:val="18"/>
          <w:lang w:val="es-ES_tradnl"/>
        </w:rPr>
        <w:t xml:space="preserve">n en contra </w:t>
      </w:r>
      <w:r>
        <w:rPr>
          <w:spacing w:val="-7"/>
          <w:sz w:val="18"/>
          <w:szCs w:val="18"/>
          <w:lang w:val="es-ES_tradnl"/>
        </w:rPr>
        <w:t>de la sentencia dictada por el juez D</w:t>
      </w:r>
      <w:r>
        <w:rPr>
          <w:rFonts w:cs="Times New Roman"/>
          <w:spacing w:val="-7"/>
          <w:sz w:val="18"/>
          <w:szCs w:val="18"/>
          <w:lang w:val="es-ES_tradnl"/>
        </w:rPr>
        <w:t>é</w:t>
      </w:r>
      <w:r>
        <w:rPr>
          <w:spacing w:val="-7"/>
          <w:sz w:val="18"/>
          <w:szCs w:val="18"/>
          <w:lang w:val="es-ES_tradnl"/>
        </w:rPr>
        <w:t xml:space="preserve">cimo Tercero de lo </w:t>
      </w:r>
      <w:r>
        <w:rPr>
          <w:spacing w:val="-5"/>
          <w:sz w:val="18"/>
          <w:szCs w:val="18"/>
          <w:lang w:val="es-ES_tradnl"/>
        </w:rPr>
        <w:t xml:space="preserve">Civil de Pichincha el 24 de abril de 2014, dentro del juicio </w:t>
      </w:r>
      <w:r>
        <w:rPr>
          <w:spacing w:val="-6"/>
          <w:sz w:val="18"/>
          <w:szCs w:val="18"/>
          <w:lang w:val="es-ES_tradnl"/>
        </w:rPr>
        <w:t>ejecutivo N.</w:t>
      </w:r>
      <w:r>
        <w:rPr>
          <w:rFonts w:cs="Times New Roman"/>
          <w:spacing w:val="-6"/>
          <w:sz w:val="18"/>
          <w:szCs w:val="18"/>
          <w:lang w:val="es-ES_tradnl"/>
        </w:rPr>
        <w:t>º</w:t>
      </w:r>
      <w:r>
        <w:rPr>
          <w:spacing w:val="-6"/>
          <w:sz w:val="18"/>
          <w:szCs w:val="18"/>
          <w:lang w:val="es-ES_tradnl"/>
        </w:rPr>
        <w:t xml:space="preserve"> 1693-2010, presentado por Eduardo Macelo </w:t>
      </w:r>
      <w:r>
        <w:rPr>
          <w:spacing w:val="-7"/>
          <w:sz w:val="18"/>
          <w:szCs w:val="18"/>
          <w:lang w:val="es-ES_tradnl"/>
        </w:rPr>
        <w:t>Almeida Michelena, en representaci</w:t>
      </w:r>
      <w:r>
        <w:rPr>
          <w:rFonts w:cs="Times New Roman"/>
          <w:spacing w:val="-7"/>
          <w:sz w:val="18"/>
          <w:szCs w:val="18"/>
          <w:lang w:val="es-ES_tradnl"/>
        </w:rPr>
        <w:t>ó</w:t>
      </w:r>
      <w:r>
        <w:rPr>
          <w:spacing w:val="-7"/>
          <w:sz w:val="18"/>
          <w:szCs w:val="18"/>
          <w:lang w:val="es-ES_tradnl"/>
        </w:rPr>
        <w:t xml:space="preserve">n de la empresa </w:t>
      </w:r>
      <w:r>
        <w:rPr>
          <w:spacing w:val="-3"/>
          <w:sz w:val="18"/>
          <w:szCs w:val="18"/>
          <w:lang w:val="es-ES_tradnl"/>
        </w:rPr>
        <w:t>CREDICENTRO C</w:t>
      </w:r>
      <w:r>
        <w:rPr>
          <w:rFonts w:cs="Times New Roman"/>
          <w:spacing w:val="-3"/>
          <w:sz w:val="18"/>
          <w:szCs w:val="18"/>
          <w:lang w:val="es-ES_tradnl"/>
        </w:rPr>
        <w:t>Í</w:t>
      </w:r>
      <w:r>
        <w:rPr>
          <w:spacing w:val="-3"/>
          <w:sz w:val="18"/>
          <w:szCs w:val="18"/>
          <w:lang w:val="es-ES_tradnl"/>
        </w:rPr>
        <w:t>A. LTDA., as</w:t>
      </w:r>
      <w:r>
        <w:rPr>
          <w:rFonts w:cs="Times New Roman"/>
          <w:spacing w:val="-3"/>
          <w:sz w:val="18"/>
          <w:szCs w:val="18"/>
          <w:lang w:val="es-ES_tradnl"/>
        </w:rPr>
        <w:t>í</w:t>
      </w:r>
      <w:r>
        <w:rPr>
          <w:spacing w:val="-3"/>
          <w:sz w:val="18"/>
          <w:szCs w:val="18"/>
          <w:lang w:val="es-ES_tradnl"/>
        </w:rPr>
        <w:t xml:space="preserve"> como el auto emitido </w:t>
      </w:r>
      <w:r>
        <w:rPr>
          <w:spacing w:val="-2"/>
          <w:sz w:val="18"/>
          <w:szCs w:val="18"/>
          <w:lang w:val="es-ES_tradnl"/>
        </w:rPr>
        <w:t xml:space="preserve">por la referida autoridad judicial el 26 de mayo de 2014 </w:t>
      </w:r>
      <w:r>
        <w:rPr>
          <w:spacing w:val="-8"/>
          <w:sz w:val="18"/>
          <w:szCs w:val="18"/>
          <w:lang w:val="es-ES_tradnl"/>
        </w:rPr>
        <w:t>a las 09h02, en el cual se neg</w:t>
      </w:r>
      <w:r>
        <w:rPr>
          <w:rFonts w:cs="Times New Roman"/>
          <w:spacing w:val="-8"/>
          <w:sz w:val="18"/>
          <w:szCs w:val="18"/>
          <w:lang w:val="es-ES_tradnl"/>
        </w:rPr>
        <w:t>ó</w:t>
      </w:r>
      <w:r>
        <w:rPr>
          <w:spacing w:val="-8"/>
          <w:sz w:val="18"/>
          <w:szCs w:val="18"/>
          <w:lang w:val="es-ES_tradnl"/>
        </w:rPr>
        <w:t xml:space="preserve"> el recurso de apelaci</w:t>
      </w:r>
      <w:r>
        <w:rPr>
          <w:rFonts w:cs="Times New Roman"/>
          <w:spacing w:val="-8"/>
          <w:sz w:val="18"/>
          <w:szCs w:val="18"/>
          <w:lang w:val="es-ES_tradnl"/>
        </w:rPr>
        <w:t>ó</w:t>
      </w:r>
      <w:r>
        <w:rPr>
          <w:spacing w:val="-8"/>
          <w:sz w:val="18"/>
          <w:szCs w:val="18"/>
          <w:lang w:val="es-ES_tradnl"/>
        </w:rPr>
        <w:t xml:space="preserve">n </w:t>
      </w:r>
      <w:r>
        <w:rPr>
          <w:sz w:val="18"/>
          <w:szCs w:val="18"/>
          <w:lang w:val="es-ES_tradnl"/>
        </w:rPr>
        <w:t>interpuesto por el demandado.</w:t>
      </w:r>
    </w:p>
    <w:p w14:paraId="4F67AFD7" w14:textId="77777777" w:rsidR="00591D54" w:rsidRDefault="00591D54">
      <w:pPr>
        <w:shd w:val="clear" w:color="auto" w:fill="FFFFFF"/>
        <w:spacing w:line="216" w:lineRule="exact"/>
        <w:jc w:val="both"/>
      </w:pPr>
      <w:r>
        <w:br w:type="column"/>
      </w:r>
      <w:r>
        <w:rPr>
          <w:spacing w:val="-6"/>
          <w:sz w:val="18"/>
          <w:szCs w:val="18"/>
          <w:lang w:val="es-ES_tradnl"/>
        </w:rPr>
        <w:t>El accionante manifiesta que el se</w:t>
      </w:r>
      <w:r>
        <w:rPr>
          <w:rFonts w:cs="Times New Roman"/>
          <w:spacing w:val="-6"/>
          <w:sz w:val="18"/>
          <w:szCs w:val="18"/>
          <w:lang w:val="es-ES_tradnl"/>
        </w:rPr>
        <w:t>ñ</w:t>
      </w:r>
      <w:r>
        <w:rPr>
          <w:spacing w:val="-6"/>
          <w:sz w:val="18"/>
          <w:szCs w:val="18"/>
          <w:lang w:val="es-ES_tradnl"/>
        </w:rPr>
        <w:t xml:space="preserve">or Eduardo Macelo Almeida Michelena, en su calidad de gerente general y </w:t>
      </w:r>
      <w:r>
        <w:rPr>
          <w:spacing w:val="-2"/>
          <w:sz w:val="18"/>
          <w:szCs w:val="18"/>
          <w:lang w:val="es-ES_tradnl"/>
        </w:rPr>
        <w:t>representante legal de CREDICENTRO C</w:t>
      </w:r>
      <w:r>
        <w:rPr>
          <w:rFonts w:cs="Times New Roman"/>
          <w:spacing w:val="-2"/>
          <w:sz w:val="18"/>
          <w:szCs w:val="18"/>
          <w:lang w:val="es-ES_tradnl"/>
        </w:rPr>
        <w:t>Í</w:t>
      </w:r>
      <w:r>
        <w:rPr>
          <w:spacing w:val="-2"/>
          <w:sz w:val="18"/>
          <w:szCs w:val="18"/>
          <w:lang w:val="es-ES_tradnl"/>
        </w:rPr>
        <w:t xml:space="preserve">A. LTDA., </w:t>
      </w:r>
      <w:r>
        <w:rPr>
          <w:spacing w:val="-7"/>
          <w:sz w:val="18"/>
          <w:szCs w:val="18"/>
          <w:lang w:val="es-ES_tradnl"/>
        </w:rPr>
        <w:t>sigui</w:t>
      </w:r>
      <w:r>
        <w:rPr>
          <w:rFonts w:cs="Times New Roman"/>
          <w:spacing w:val="-7"/>
          <w:sz w:val="18"/>
          <w:szCs w:val="18"/>
          <w:lang w:val="es-ES_tradnl"/>
        </w:rPr>
        <w:t>ó</w:t>
      </w:r>
      <w:r>
        <w:rPr>
          <w:spacing w:val="-7"/>
          <w:sz w:val="18"/>
          <w:szCs w:val="18"/>
          <w:lang w:val="es-ES_tradnl"/>
        </w:rPr>
        <w:t xml:space="preserve"> en su contra un juicio ejecutivo, el cual fue conocido </w:t>
      </w:r>
      <w:r>
        <w:rPr>
          <w:spacing w:val="-1"/>
          <w:sz w:val="18"/>
          <w:szCs w:val="18"/>
          <w:lang w:val="es-ES_tradnl"/>
        </w:rPr>
        <w:t>por el juez D</w:t>
      </w:r>
      <w:r>
        <w:rPr>
          <w:rFonts w:cs="Times New Roman"/>
          <w:spacing w:val="-1"/>
          <w:sz w:val="18"/>
          <w:szCs w:val="18"/>
          <w:lang w:val="es-ES_tradnl"/>
        </w:rPr>
        <w:t>é</w:t>
      </w:r>
      <w:r>
        <w:rPr>
          <w:spacing w:val="-1"/>
          <w:sz w:val="18"/>
          <w:szCs w:val="18"/>
          <w:lang w:val="es-ES_tradnl"/>
        </w:rPr>
        <w:t xml:space="preserve">cimo Tercero de lo civil de Pichincha, </w:t>
      </w:r>
      <w:r>
        <w:rPr>
          <w:spacing w:val="-4"/>
          <w:sz w:val="18"/>
          <w:szCs w:val="18"/>
          <w:lang w:val="es-ES_tradnl"/>
        </w:rPr>
        <w:t>signado con el n</w:t>
      </w:r>
      <w:r>
        <w:rPr>
          <w:rFonts w:cs="Times New Roman"/>
          <w:spacing w:val="-4"/>
          <w:sz w:val="18"/>
          <w:szCs w:val="18"/>
          <w:lang w:val="es-ES_tradnl"/>
        </w:rPr>
        <w:t>ú</w:t>
      </w:r>
      <w:r>
        <w:rPr>
          <w:spacing w:val="-4"/>
          <w:sz w:val="18"/>
          <w:szCs w:val="18"/>
          <w:lang w:val="es-ES_tradnl"/>
        </w:rPr>
        <w:t xml:space="preserve">mero 1696-2010. En dicho proceso, </w:t>
      </w:r>
      <w:r>
        <w:rPr>
          <w:spacing w:val="-9"/>
          <w:sz w:val="18"/>
          <w:szCs w:val="18"/>
          <w:lang w:val="es-ES_tradnl"/>
        </w:rPr>
        <w:t>se</w:t>
      </w:r>
      <w:r>
        <w:rPr>
          <w:rFonts w:cs="Times New Roman"/>
          <w:spacing w:val="-9"/>
          <w:sz w:val="18"/>
          <w:szCs w:val="18"/>
          <w:lang w:val="es-ES_tradnl"/>
        </w:rPr>
        <w:t>ñ</w:t>
      </w:r>
      <w:r>
        <w:rPr>
          <w:spacing w:val="-9"/>
          <w:sz w:val="18"/>
          <w:szCs w:val="18"/>
          <w:lang w:val="es-ES_tradnl"/>
        </w:rPr>
        <w:t>ala el accionante, present</w:t>
      </w:r>
      <w:r>
        <w:rPr>
          <w:rFonts w:cs="Times New Roman"/>
          <w:spacing w:val="-9"/>
          <w:sz w:val="18"/>
          <w:szCs w:val="18"/>
          <w:lang w:val="es-ES_tradnl"/>
        </w:rPr>
        <w:t>ó</w:t>
      </w:r>
      <w:r>
        <w:rPr>
          <w:spacing w:val="-9"/>
          <w:sz w:val="18"/>
          <w:szCs w:val="18"/>
          <w:lang w:val="es-ES_tradnl"/>
        </w:rPr>
        <w:t xml:space="preserve"> sus excepciones dentro del </w:t>
      </w:r>
      <w:r>
        <w:rPr>
          <w:spacing w:val="-7"/>
          <w:sz w:val="18"/>
          <w:szCs w:val="18"/>
          <w:lang w:val="es-ES_tradnl"/>
        </w:rPr>
        <w:t>t</w:t>
      </w:r>
      <w:r>
        <w:rPr>
          <w:rFonts w:cs="Times New Roman"/>
          <w:spacing w:val="-7"/>
          <w:sz w:val="18"/>
          <w:szCs w:val="18"/>
          <w:lang w:val="es-ES_tradnl"/>
        </w:rPr>
        <w:t>é</w:t>
      </w:r>
      <w:r>
        <w:rPr>
          <w:spacing w:val="-7"/>
          <w:sz w:val="18"/>
          <w:szCs w:val="18"/>
          <w:lang w:val="es-ES_tradnl"/>
        </w:rPr>
        <w:t xml:space="preserve">rmino correspondiente, manifestando en lo principal que </w:t>
      </w:r>
      <w:r>
        <w:rPr>
          <w:spacing w:val="-6"/>
          <w:sz w:val="18"/>
          <w:szCs w:val="18"/>
          <w:lang w:val="es-ES_tradnl"/>
        </w:rPr>
        <w:t>la deuda ya hab</w:t>
      </w:r>
      <w:r>
        <w:rPr>
          <w:rFonts w:cs="Times New Roman"/>
          <w:spacing w:val="-6"/>
          <w:sz w:val="18"/>
          <w:szCs w:val="18"/>
          <w:lang w:val="es-ES_tradnl"/>
        </w:rPr>
        <w:t>í</w:t>
      </w:r>
      <w:r>
        <w:rPr>
          <w:spacing w:val="-6"/>
          <w:sz w:val="18"/>
          <w:szCs w:val="18"/>
          <w:lang w:val="es-ES_tradnl"/>
        </w:rPr>
        <w:t xml:space="preserve">a sido cancelada en favor del acreedor. </w:t>
      </w:r>
      <w:r>
        <w:rPr>
          <w:spacing w:val="-8"/>
          <w:sz w:val="18"/>
          <w:szCs w:val="18"/>
          <w:lang w:val="es-ES_tradnl"/>
        </w:rPr>
        <w:t>Una vez presentadas las excepciones, se continu</w:t>
      </w:r>
      <w:r>
        <w:rPr>
          <w:rFonts w:cs="Times New Roman"/>
          <w:spacing w:val="-8"/>
          <w:sz w:val="18"/>
          <w:szCs w:val="18"/>
          <w:lang w:val="es-ES_tradnl"/>
        </w:rPr>
        <w:t>ó</w:t>
      </w:r>
      <w:r>
        <w:rPr>
          <w:spacing w:val="-8"/>
          <w:sz w:val="18"/>
          <w:szCs w:val="18"/>
          <w:lang w:val="es-ES_tradnl"/>
        </w:rPr>
        <w:t xml:space="preserve"> con el </w:t>
      </w:r>
      <w:r>
        <w:rPr>
          <w:spacing w:val="-6"/>
          <w:sz w:val="18"/>
          <w:szCs w:val="18"/>
          <w:lang w:val="es-ES_tradnl"/>
        </w:rPr>
        <w:t>tr</w:t>
      </w:r>
      <w:r>
        <w:rPr>
          <w:rFonts w:cs="Times New Roman"/>
          <w:spacing w:val="-6"/>
          <w:sz w:val="18"/>
          <w:szCs w:val="18"/>
          <w:lang w:val="es-ES_tradnl"/>
        </w:rPr>
        <w:t>á</w:t>
      </w:r>
      <w:r>
        <w:rPr>
          <w:spacing w:val="-6"/>
          <w:sz w:val="18"/>
          <w:szCs w:val="18"/>
          <w:lang w:val="es-ES_tradnl"/>
        </w:rPr>
        <w:t>mite de acuerdo a lo que dispone el art</w:t>
      </w:r>
      <w:r>
        <w:rPr>
          <w:rFonts w:cs="Times New Roman"/>
          <w:spacing w:val="-6"/>
          <w:sz w:val="18"/>
          <w:szCs w:val="18"/>
          <w:lang w:val="es-ES_tradnl"/>
        </w:rPr>
        <w:t>í</w:t>
      </w:r>
      <w:r>
        <w:rPr>
          <w:spacing w:val="-6"/>
          <w:sz w:val="18"/>
          <w:szCs w:val="18"/>
          <w:lang w:val="es-ES_tradnl"/>
        </w:rPr>
        <w:t xml:space="preserve">culo 419 del </w:t>
      </w:r>
      <w:r>
        <w:rPr>
          <w:spacing w:val="-8"/>
          <w:sz w:val="18"/>
          <w:szCs w:val="18"/>
          <w:lang w:val="es-ES_tradnl"/>
        </w:rPr>
        <w:t>C</w:t>
      </w:r>
      <w:r>
        <w:rPr>
          <w:rFonts w:cs="Times New Roman"/>
          <w:spacing w:val="-8"/>
          <w:sz w:val="18"/>
          <w:szCs w:val="18"/>
          <w:lang w:val="es-ES_tradnl"/>
        </w:rPr>
        <w:t>ó</w:t>
      </w:r>
      <w:r>
        <w:rPr>
          <w:spacing w:val="-8"/>
          <w:sz w:val="18"/>
          <w:szCs w:val="18"/>
          <w:lang w:val="es-ES_tradnl"/>
        </w:rPr>
        <w:t xml:space="preserve">digo de Procedimiento Civil; no obstante, el juez dispuso </w:t>
      </w:r>
      <w:r>
        <w:rPr>
          <w:spacing w:val="-9"/>
          <w:sz w:val="18"/>
          <w:szCs w:val="18"/>
          <w:lang w:val="es-ES_tradnl"/>
        </w:rPr>
        <w:t xml:space="preserve">en sentencia la improcedencia de sus excepciones, por ser </w:t>
      </w:r>
      <w:r>
        <w:rPr>
          <w:spacing w:val="-8"/>
          <w:sz w:val="18"/>
          <w:szCs w:val="18"/>
          <w:lang w:val="es-ES_tradnl"/>
        </w:rPr>
        <w:t>extempor</w:t>
      </w:r>
      <w:r>
        <w:rPr>
          <w:rFonts w:cs="Times New Roman"/>
          <w:spacing w:val="-8"/>
          <w:sz w:val="18"/>
          <w:szCs w:val="18"/>
          <w:lang w:val="es-ES_tradnl"/>
        </w:rPr>
        <w:t>á</w:t>
      </w:r>
      <w:r>
        <w:rPr>
          <w:spacing w:val="-8"/>
          <w:sz w:val="18"/>
          <w:szCs w:val="18"/>
          <w:lang w:val="es-ES_tradnl"/>
        </w:rPr>
        <w:t>neas, y falla injustamente en su contra, seg</w:t>
      </w:r>
      <w:r>
        <w:rPr>
          <w:rFonts w:cs="Times New Roman"/>
          <w:spacing w:val="-8"/>
          <w:sz w:val="18"/>
          <w:szCs w:val="18"/>
          <w:lang w:val="es-ES_tradnl"/>
        </w:rPr>
        <w:t>ú</w:t>
      </w:r>
      <w:r>
        <w:rPr>
          <w:spacing w:val="-8"/>
          <w:sz w:val="18"/>
          <w:szCs w:val="18"/>
          <w:lang w:val="es-ES_tradnl"/>
        </w:rPr>
        <w:t xml:space="preserve">n lo </w:t>
      </w:r>
      <w:r>
        <w:rPr>
          <w:sz w:val="18"/>
          <w:szCs w:val="18"/>
          <w:lang w:val="es-ES_tradnl"/>
        </w:rPr>
        <w:t>manifiesta el accionante.</w:t>
      </w:r>
    </w:p>
    <w:p w14:paraId="4F67AFD8" w14:textId="77777777" w:rsidR="00591D54" w:rsidRDefault="00591D54">
      <w:pPr>
        <w:shd w:val="clear" w:color="auto" w:fill="FFFFFF"/>
        <w:spacing w:before="197" w:line="216" w:lineRule="exact"/>
        <w:jc w:val="both"/>
      </w:pPr>
      <w:r>
        <w:rPr>
          <w:spacing w:val="-5"/>
          <w:sz w:val="18"/>
          <w:szCs w:val="18"/>
          <w:lang w:val="es-ES_tradnl"/>
        </w:rPr>
        <w:t xml:space="preserve">En tal sentido, el accionante manifiesta dentro de su </w:t>
      </w:r>
      <w:r>
        <w:rPr>
          <w:sz w:val="18"/>
          <w:szCs w:val="18"/>
          <w:lang w:val="es-ES_tradnl"/>
        </w:rPr>
        <w:t>demanda que:</w:t>
      </w:r>
    </w:p>
    <w:p w14:paraId="4F67AFD9" w14:textId="77777777" w:rsidR="00591D54" w:rsidRDefault="00591D54">
      <w:pPr>
        <w:shd w:val="clear" w:color="auto" w:fill="FFFFFF"/>
        <w:spacing w:before="202" w:line="216" w:lineRule="exact"/>
        <w:ind w:left="283"/>
        <w:jc w:val="both"/>
      </w:pPr>
      <w:r>
        <w:rPr>
          <w:spacing w:val="-7"/>
          <w:sz w:val="16"/>
          <w:szCs w:val="16"/>
          <w:lang w:val="es-ES_tradnl"/>
        </w:rPr>
        <w:t xml:space="preserve">Se ha violentado el derecho al debido proceso establecido en </w:t>
      </w:r>
      <w:r>
        <w:rPr>
          <w:spacing w:val="-6"/>
          <w:sz w:val="16"/>
          <w:szCs w:val="16"/>
          <w:lang w:val="es-ES_tradnl"/>
        </w:rPr>
        <w:t xml:space="preserve">el Art. 76 de la Carta Magna que indica que </w:t>
      </w:r>
      <w:r>
        <w:rPr>
          <w:rFonts w:cs="Times New Roman"/>
          <w:spacing w:val="-6"/>
          <w:sz w:val="16"/>
          <w:szCs w:val="16"/>
          <w:lang w:val="es-ES_tradnl"/>
        </w:rPr>
        <w:t>“</w:t>
      </w:r>
      <w:r>
        <w:rPr>
          <w:spacing w:val="-6"/>
          <w:sz w:val="16"/>
          <w:szCs w:val="16"/>
          <w:lang w:val="es-ES_tradnl"/>
        </w:rPr>
        <w:t xml:space="preserve">en todo proceso </w:t>
      </w:r>
      <w:r>
        <w:rPr>
          <w:spacing w:val="-8"/>
          <w:sz w:val="16"/>
          <w:szCs w:val="16"/>
          <w:lang w:val="es-ES_tradnl"/>
        </w:rPr>
        <w:t xml:space="preserve">en el que se determinen derechos y obligaciones de cualquier </w:t>
      </w:r>
      <w:r>
        <w:rPr>
          <w:spacing w:val="-7"/>
          <w:sz w:val="16"/>
          <w:szCs w:val="16"/>
          <w:lang w:val="es-ES_tradnl"/>
        </w:rPr>
        <w:t>orden, se asegurar</w:t>
      </w:r>
      <w:r>
        <w:rPr>
          <w:rFonts w:cs="Times New Roman"/>
          <w:spacing w:val="-7"/>
          <w:sz w:val="16"/>
          <w:szCs w:val="16"/>
          <w:lang w:val="es-ES_tradnl"/>
        </w:rPr>
        <w:t>á</w:t>
      </w:r>
      <w:r>
        <w:rPr>
          <w:spacing w:val="-7"/>
          <w:sz w:val="16"/>
          <w:szCs w:val="16"/>
          <w:lang w:val="es-ES_tradnl"/>
        </w:rPr>
        <w:t xml:space="preserve"> el derecho al debido proceso</w:t>
      </w:r>
      <w:r>
        <w:rPr>
          <w:rFonts w:cs="Times New Roman"/>
          <w:spacing w:val="-7"/>
          <w:sz w:val="16"/>
          <w:szCs w:val="16"/>
          <w:lang w:val="es-ES_tradnl"/>
        </w:rPr>
        <w:t>”</w:t>
      </w:r>
      <w:r>
        <w:rPr>
          <w:spacing w:val="-7"/>
          <w:sz w:val="16"/>
          <w:szCs w:val="16"/>
          <w:lang w:val="es-ES_tradnl"/>
        </w:rPr>
        <w:t xml:space="preserve">, y esto lo </w:t>
      </w:r>
      <w:r>
        <w:rPr>
          <w:spacing w:val="-8"/>
          <w:sz w:val="16"/>
          <w:szCs w:val="16"/>
          <w:lang w:val="es-ES_tradnl"/>
        </w:rPr>
        <w:t xml:space="preserve">decimos puesto que en la primera instancia se toma en cuenta </w:t>
      </w:r>
      <w:r>
        <w:rPr>
          <w:spacing w:val="-5"/>
          <w:sz w:val="16"/>
          <w:szCs w:val="16"/>
          <w:lang w:val="es-ES_tradnl"/>
        </w:rPr>
        <w:t xml:space="preserve">mis excepciones presentada al juicio ejecutivo objeto del </w:t>
      </w:r>
      <w:r>
        <w:rPr>
          <w:spacing w:val="-6"/>
          <w:sz w:val="16"/>
          <w:szCs w:val="16"/>
          <w:lang w:val="es-ES_tradnl"/>
        </w:rPr>
        <w:t>presente juicio, y sin embargo luego de varios a</w:t>
      </w:r>
      <w:r>
        <w:rPr>
          <w:rFonts w:cs="Times New Roman"/>
          <w:spacing w:val="-6"/>
          <w:sz w:val="16"/>
          <w:szCs w:val="16"/>
          <w:lang w:val="es-ES_tradnl"/>
        </w:rPr>
        <w:t>ñ</w:t>
      </w:r>
      <w:r>
        <w:rPr>
          <w:spacing w:val="-6"/>
          <w:sz w:val="16"/>
          <w:szCs w:val="16"/>
          <w:lang w:val="es-ES_tradnl"/>
        </w:rPr>
        <w:t xml:space="preserve">os de juicio, </w:t>
      </w:r>
      <w:r>
        <w:rPr>
          <w:spacing w:val="-5"/>
          <w:sz w:val="16"/>
          <w:szCs w:val="16"/>
          <w:lang w:val="es-ES_tradnl"/>
        </w:rPr>
        <w:t xml:space="preserve">al momento de dictar sentencia indica que mis excepciones </w:t>
      </w:r>
      <w:r>
        <w:rPr>
          <w:spacing w:val="-8"/>
          <w:sz w:val="16"/>
          <w:szCs w:val="16"/>
          <w:lang w:val="es-ES_tradnl"/>
        </w:rPr>
        <w:t>no son tomadas en cuenta por ser extempor</w:t>
      </w:r>
      <w:r>
        <w:rPr>
          <w:rFonts w:cs="Times New Roman"/>
          <w:spacing w:val="-8"/>
          <w:sz w:val="16"/>
          <w:szCs w:val="16"/>
          <w:lang w:val="es-ES_tradnl"/>
        </w:rPr>
        <w:t>á</w:t>
      </w:r>
      <w:r>
        <w:rPr>
          <w:spacing w:val="-8"/>
          <w:sz w:val="16"/>
          <w:szCs w:val="16"/>
          <w:lang w:val="es-ES_tradnl"/>
        </w:rPr>
        <w:t xml:space="preserve">neas, lo cual </w:t>
      </w:r>
      <w:r>
        <w:rPr>
          <w:spacing w:val="-7"/>
          <w:sz w:val="16"/>
          <w:szCs w:val="16"/>
          <w:lang w:val="es-ES_tradnl"/>
        </w:rPr>
        <w:t xml:space="preserve">constituye un contra sentido ya que si no hubiese presentado </w:t>
      </w:r>
      <w:r>
        <w:rPr>
          <w:spacing w:val="-6"/>
          <w:sz w:val="16"/>
          <w:szCs w:val="16"/>
          <w:lang w:val="es-ES_tradnl"/>
        </w:rPr>
        <w:t xml:space="preserve">las excepciones al juicio ejecutivo o las hubiera presentado </w:t>
      </w:r>
      <w:r>
        <w:rPr>
          <w:spacing w:val="-5"/>
          <w:sz w:val="16"/>
          <w:szCs w:val="16"/>
          <w:lang w:val="es-ES_tradnl"/>
        </w:rPr>
        <w:t>fuera del t</w:t>
      </w:r>
      <w:r>
        <w:rPr>
          <w:rFonts w:cs="Times New Roman"/>
          <w:spacing w:val="-5"/>
          <w:sz w:val="16"/>
          <w:szCs w:val="16"/>
          <w:lang w:val="es-ES_tradnl"/>
        </w:rPr>
        <w:t>é</w:t>
      </w:r>
      <w:r>
        <w:rPr>
          <w:spacing w:val="-5"/>
          <w:sz w:val="16"/>
          <w:szCs w:val="16"/>
          <w:lang w:val="es-ES_tradnl"/>
        </w:rPr>
        <w:t>rmino, se deb</w:t>
      </w:r>
      <w:r>
        <w:rPr>
          <w:rFonts w:cs="Times New Roman"/>
          <w:spacing w:val="-5"/>
          <w:sz w:val="16"/>
          <w:szCs w:val="16"/>
          <w:lang w:val="es-ES_tradnl"/>
        </w:rPr>
        <w:t>í</w:t>
      </w:r>
      <w:r>
        <w:rPr>
          <w:spacing w:val="-5"/>
          <w:sz w:val="16"/>
          <w:szCs w:val="16"/>
          <w:lang w:val="es-ES_tradnl"/>
        </w:rPr>
        <w:t xml:space="preserve">a en esos mismos momentos el </w:t>
      </w:r>
      <w:r>
        <w:rPr>
          <w:spacing w:val="-9"/>
          <w:sz w:val="16"/>
          <w:szCs w:val="16"/>
          <w:lang w:val="es-ES_tradnl"/>
        </w:rPr>
        <w:t>juzgado indicar que por haber presentado extempor</w:t>
      </w:r>
      <w:r>
        <w:rPr>
          <w:rFonts w:cs="Times New Roman"/>
          <w:spacing w:val="-9"/>
          <w:sz w:val="16"/>
          <w:szCs w:val="16"/>
          <w:lang w:val="es-ES_tradnl"/>
        </w:rPr>
        <w:t>á</w:t>
      </w:r>
      <w:r>
        <w:rPr>
          <w:spacing w:val="-9"/>
          <w:sz w:val="16"/>
          <w:szCs w:val="16"/>
          <w:lang w:val="es-ES_tradnl"/>
        </w:rPr>
        <w:t xml:space="preserve">neamente </w:t>
      </w:r>
      <w:r>
        <w:rPr>
          <w:spacing w:val="-10"/>
          <w:sz w:val="16"/>
          <w:szCs w:val="16"/>
          <w:lang w:val="es-ES_tradnl"/>
        </w:rPr>
        <w:t>no se los tomaba en cuenta y por lo tanto tambi</w:t>
      </w:r>
      <w:r>
        <w:rPr>
          <w:rFonts w:cs="Times New Roman"/>
          <w:spacing w:val="-10"/>
          <w:sz w:val="16"/>
          <w:szCs w:val="16"/>
          <w:lang w:val="es-ES_tradnl"/>
        </w:rPr>
        <w:t>é</w:t>
      </w:r>
      <w:r>
        <w:rPr>
          <w:spacing w:val="-10"/>
          <w:sz w:val="16"/>
          <w:szCs w:val="16"/>
          <w:lang w:val="es-ES_tradnl"/>
        </w:rPr>
        <w:t xml:space="preserve">n en ese mismo </w:t>
      </w:r>
      <w:r>
        <w:rPr>
          <w:sz w:val="16"/>
          <w:szCs w:val="16"/>
          <w:lang w:val="es-ES_tradnl"/>
        </w:rPr>
        <w:t>momento dictar sentencia</w:t>
      </w:r>
      <w:r>
        <w:rPr>
          <w:rFonts w:cs="Times New Roman"/>
          <w:sz w:val="16"/>
          <w:szCs w:val="16"/>
          <w:lang w:val="es-ES_tradnl"/>
        </w:rPr>
        <w:t>…</w:t>
      </w:r>
    </w:p>
    <w:p w14:paraId="4F67AFDA" w14:textId="77777777" w:rsidR="00591D54" w:rsidRDefault="00591D54">
      <w:pPr>
        <w:shd w:val="clear" w:color="auto" w:fill="FFFFFF"/>
        <w:spacing w:before="197" w:line="216" w:lineRule="exact"/>
        <w:jc w:val="both"/>
      </w:pPr>
      <w:r>
        <w:rPr>
          <w:spacing w:val="-9"/>
          <w:sz w:val="18"/>
          <w:szCs w:val="18"/>
          <w:lang w:val="es-ES_tradnl"/>
        </w:rPr>
        <w:t>Finalmente, el accionante expresa que present</w:t>
      </w:r>
      <w:r>
        <w:rPr>
          <w:rFonts w:cs="Times New Roman"/>
          <w:spacing w:val="-9"/>
          <w:sz w:val="18"/>
          <w:szCs w:val="18"/>
          <w:lang w:val="es-ES_tradnl"/>
        </w:rPr>
        <w:t>ó</w:t>
      </w:r>
      <w:r>
        <w:rPr>
          <w:spacing w:val="-9"/>
          <w:sz w:val="18"/>
          <w:szCs w:val="18"/>
          <w:lang w:val="es-ES_tradnl"/>
        </w:rPr>
        <w:t xml:space="preserve"> dentro del </w:t>
      </w:r>
      <w:r>
        <w:rPr>
          <w:spacing w:val="-8"/>
          <w:sz w:val="18"/>
          <w:szCs w:val="18"/>
          <w:lang w:val="es-ES_tradnl"/>
        </w:rPr>
        <w:t>t</w:t>
      </w:r>
      <w:r>
        <w:rPr>
          <w:rFonts w:cs="Times New Roman"/>
          <w:spacing w:val="-8"/>
          <w:sz w:val="18"/>
          <w:szCs w:val="18"/>
          <w:lang w:val="es-ES_tradnl"/>
        </w:rPr>
        <w:t>é</w:t>
      </w:r>
      <w:r>
        <w:rPr>
          <w:spacing w:val="-8"/>
          <w:sz w:val="18"/>
          <w:szCs w:val="18"/>
          <w:lang w:val="es-ES_tradnl"/>
        </w:rPr>
        <w:t>rmino que le confiere la ley el recurso de apelaci</w:t>
      </w:r>
      <w:r>
        <w:rPr>
          <w:rFonts w:cs="Times New Roman"/>
          <w:spacing w:val="-8"/>
          <w:sz w:val="18"/>
          <w:szCs w:val="18"/>
          <w:lang w:val="es-ES_tradnl"/>
        </w:rPr>
        <w:t>ó</w:t>
      </w:r>
      <w:r>
        <w:rPr>
          <w:spacing w:val="-8"/>
          <w:sz w:val="18"/>
          <w:szCs w:val="18"/>
          <w:lang w:val="es-ES_tradnl"/>
        </w:rPr>
        <w:t xml:space="preserve">n, pero </w:t>
      </w:r>
      <w:r>
        <w:rPr>
          <w:spacing w:val="-11"/>
          <w:sz w:val="18"/>
          <w:szCs w:val="18"/>
          <w:lang w:val="es-ES_tradnl"/>
        </w:rPr>
        <w:t>que este fue negado por el juez D</w:t>
      </w:r>
      <w:r>
        <w:rPr>
          <w:rFonts w:cs="Times New Roman"/>
          <w:spacing w:val="-11"/>
          <w:sz w:val="18"/>
          <w:szCs w:val="18"/>
          <w:lang w:val="es-ES_tradnl"/>
        </w:rPr>
        <w:t>é</w:t>
      </w:r>
      <w:r>
        <w:rPr>
          <w:spacing w:val="-11"/>
          <w:sz w:val="18"/>
          <w:szCs w:val="18"/>
          <w:lang w:val="es-ES_tradnl"/>
        </w:rPr>
        <w:t xml:space="preserve">cimo Tercero de lo civil de </w:t>
      </w:r>
      <w:r>
        <w:rPr>
          <w:spacing w:val="-7"/>
          <w:sz w:val="18"/>
          <w:szCs w:val="18"/>
          <w:lang w:val="es-ES_tradnl"/>
        </w:rPr>
        <w:t xml:space="preserve">Pichincha, mediante providencia del 26 de mayo de 2014, </w:t>
      </w:r>
      <w:r>
        <w:rPr>
          <w:spacing w:val="-10"/>
          <w:sz w:val="18"/>
          <w:szCs w:val="18"/>
          <w:lang w:val="es-ES_tradnl"/>
        </w:rPr>
        <w:t>vulnerando el derecho al debido proceso y espec</w:t>
      </w:r>
      <w:r>
        <w:rPr>
          <w:rFonts w:cs="Times New Roman"/>
          <w:spacing w:val="-10"/>
          <w:sz w:val="18"/>
          <w:szCs w:val="18"/>
          <w:lang w:val="es-ES_tradnl"/>
        </w:rPr>
        <w:t>í</w:t>
      </w:r>
      <w:r>
        <w:rPr>
          <w:spacing w:val="-10"/>
          <w:sz w:val="18"/>
          <w:szCs w:val="18"/>
          <w:lang w:val="es-ES_tradnl"/>
        </w:rPr>
        <w:t xml:space="preserve">ficamente </w:t>
      </w:r>
      <w:r>
        <w:rPr>
          <w:spacing w:val="-6"/>
          <w:sz w:val="18"/>
          <w:szCs w:val="18"/>
          <w:lang w:val="es-ES_tradnl"/>
        </w:rPr>
        <w:t>el derecho a recurrir, previsto en el art</w:t>
      </w:r>
      <w:r>
        <w:rPr>
          <w:rFonts w:cs="Times New Roman"/>
          <w:spacing w:val="-6"/>
          <w:sz w:val="18"/>
          <w:szCs w:val="18"/>
          <w:lang w:val="es-ES_tradnl"/>
        </w:rPr>
        <w:t>í</w:t>
      </w:r>
      <w:r>
        <w:rPr>
          <w:spacing w:val="-6"/>
          <w:sz w:val="18"/>
          <w:szCs w:val="18"/>
          <w:lang w:val="es-ES_tradnl"/>
        </w:rPr>
        <w:t xml:space="preserve">culo 76 numeral 7 </w:t>
      </w:r>
      <w:r>
        <w:rPr>
          <w:spacing w:val="-5"/>
          <w:sz w:val="18"/>
          <w:szCs w:val="18"/>
          <w:lang w:val="es-ES_tradnl"/>
        </w:rPr>
        <w:t xml:space="preserve">literal </w:t>
      </w:r>
      <w:r>
        <w:rPr>
          <w:b/>
          <w:bCs/>
          <w:spacing w:val="-5"/>
          <w:sz w:val="18"/>
          <w:szCs w:val="18"/>
          <w:lang w:val="es-ES_tradnl"/>
        </w:rPr>
        <w:t xml:space="preserve">m </w:t>
      </w:r>
      <w:r>
        <w:rPr>
          <w:spacing w:val="-5"/>
          <w:sz w:val="18"/>
          <w:szCs w:val="18"/>
          <w:lang w:val="es-ES_tradnl"/>
        </w:rPr>
        <w:t>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blica.</w:t>
      </w:r>
    </w:p>
    <w:p w14:paraId="4F67AFDB" w14:textId="77777777" w:rsidR="00591D54" w:rsidRDefault="00591D54">
      <w:pPr>
        <w:shd w:val="clear" w:color="auto" w:fill="FFFFFF"/>
        <w:spacing w:before="192"/>
      </w:pPr>
      <w:r>
        <w:rPr>
          <w:b/>
          <w:bCs/>
          <w:spacing w:val="-10"/>
          <w:sz w:val="18"/>
          <w:szCs w:val="18"/>
          <w:lang w:val="es-ES_tradnl"/>
        </w:rPr>
        <w:t>Petici</w:t>
      </w:r>
      <w:r>
        <w:rPr>
          <w:rFonts w:cs="Times New Roman"/>
          <w:b/>
          <w:bCs/>
          <w:spacing w:val="-10"/>
          <w:sz w:val="18"/>
          <w:szCs w:val="18"/>
          <w:lang w:val="es-ES_tradnl"/>
        </w:rPr>
        <w:t>ó</w:t>
      </w:r>
      <w:r>
        <w:rPr>
          <w:b/>
          <w:bCs/>
          <w:spacing w:val="-10"/>
          <w:sz w:val="18"/>
          <w:szCs w:val="18"/>
          <w:lang w:val="es-ES_tradnl"/>
        </w:rPr>
        <w:t>n concreta</w:t>
      </w:r>
    </w:p>
    <w:p w14:paraId="4F67AFDC" w14:textId="77777777" w:rsidR="00591D54" w:rsidRDefault="00591D54">
      <w:pPr>
        <w:shd w:val="clear" w:color="auto" w:fill="FFFFFF"/>
        <w:spacing w:before="192" w:line="216" w:lineRule="exact"/>
        <w:jc w:val="both"/>
      </w:pPr>
      <w:r>
        <w:rPr>
          <w:spacing w:val="-7"/>
          <w:sz w:val="18"/>
          <w:szCs w:val="18"/>
          <w:lang w:val="es-ES_tradnl"/>
        </w:rPr>
        <w:t xml:space="preserve">Con estos antecedentes, el accionante solicita a la Corte </w:t>
      </w:r>
      <w:r>
        <w:rPr>
          <w:sz w:val="18"/>
          <w:szCs w:val="18"/>
          <w:lang w:val="es-ES_tradnl"/>
        </w:rPr>
        <w:t>Constitucional lo siguiente:</w:t>
      </w:r>
    </w:p>
    <w:p w14:paraId="4F67AFDD" w14:textId="77777777" w:rsidR="00591D54" w:rsidRDefault="00591D54">
      <w:pPr>
        <w:shd w:val="clear" w:color="auto" w:fill="FFFFFF"/>
        <w:spacing w:before="202" w:line="216" w:lineRule="exact"/>
        <w:ind w:left="283"/>
        <w:jc w:val="both"/>
      </w:pPr>
      <w:r>
        <w:rPr>
          <w:spacing w:val="-6"/>
          <w:sz w:val="16"/>
          <w:szCs w:val="16"/>
          <w:lang w:val="es-ES_tradnl"/>
        </w:rPr>
        <w:t>Se deje sin efecto la resoluci</w:t>
      </w:r>
      <w:r>
        <w:rPr>
          <w:rFonts w:cs="Times New Roman"/>
          <w:spacing w:val="-6"/>
          <w:sz w:val="16"/>
          <w:szCs w:val="16"/>
          <w:lang w:val="es-ES_tradnl"/>
        </w:rPr>
        <w:t>ó</w:t>
      </w:r>
      <w:r>
        <w:rPr>
          <w:spacing w:val="-6"/>
          <w:sz w:val="16"/>
          <w:szCs w:val="16"/>
          <w:lang w:val="es-ES_tradnl"/>
        </w:rPr>
        <w:t xml:space="preserve">n: 1.- La emitida por el Juez 13 de lo Civil de Pichincha, Dr. Edwin Cevallos Ampudia, dentro </w:t>
      </w:r>
      <w:r>
        <w:rPr>
          <w:spacing w:val="-8"/>
          <w:sz w:val="16"/>
          <w:szCs w:val="16"/>
          <w:lang w:val="es-ES_tradnl"/>
        </w:rPr>
        <w:t xml:space="preserve">del presente juicio, ya que no se acepta en sentencia nuestras </w:t>
      </w:r>
      <w:r>
        <w:rPr>
          <w:spacing w:val="-6"/>
          <w:sz w:val="16"/>
          <w:szCs w:val="16"/>
          <w:lang w:val="es-ES_tradnl"/>
        </w:rPr>
        <w:t xml:space="preserve">excepciones al juicio ejecutivo, a pesar de que en primera </w:t>
      </w:r>
      <w:r>
        <w:rPr>
          <w:spacing w:val="-8"/>
          <w:sz w:val="16"/>
          <w:szCs w:val="16"/>
          <w:lang w:val="es-ES_tradnl"/>
        </w:rPr>
        <w:t xml:space="preserve">instancia si acepta nuestras excepciones y da paso que se </w:t>
      </w:r>
      <w:r>
        <w:rPr>
          <w:spacing w:val="-6"/>
          <w:sz w:val="16"/>
          <w:szCs w:val="16"/>
          <w:lang w:val="es-ES_tradnl"/>
        </w:rPr>
        <w:t xml:space="preserve">sustancie todo el procedimiento ejecutivo; 2.- La negativa de </w:t>
      </w:r>
      <w:r>
        <w:rPr>
          <w:spacing w:val="-9"/>
          <w:sz w:val="16"/>
          <w:szCs w:val="16"/>
          <w:lang w:val="es-ES_tradnl"/>
        </w:rPr>
        <w:t>aceptaci</w:t>
      </w:r>
      <w:r>
        <w:rPr>
          <w:rFonts w:cs="Times New Roman"/>
          <w:spacing w:val="-9"/>
          <w:sz w:val="16"/>
          <w:szCs w:val="16"/>
          <w:lang w:val="es-ES_tradnl"/>
        </w:rPr>
        <w:t>ó</w:t>
      </w:r>
      <w:r>
        <w:rPr>
          <w:spacing w:val="-9"/>
          <w:sz w:val="16"/>
          <w:szCs w:val="16"/>
          <w:lang w:val="es-ES_tradnl"/>
        </w:rPr>
        <w:t xml:space="preserve">n por parte de dicha autoridad a dar paso a mi recurso </w:t>
      </w:r>
      <w:r>
        <w:rPr>
          <w:spacing w:val="-7"/>
          <w:sz w:val="16"/>
          <w:szCs w:val="16"/>
          <w:lang w:val="es-ES_tradnl"/>
        </w:rPr>
        <w:t>de apelaci</w:t>
      </w:r>
      <w:r>
        <w:rPr>
          <w:rFonts w:cs="Times New Roman"/>
          <w:spacing w:val="-7"/>
          <w:sz w:val="16"/>
          <w:szCs w:val="16"/>
          <w:lang w:val="es-ES_tradnl"/>
        </w:rPr>
        <w:t>ó</w:t>
      </w:r>
      <w:r>
        <w:rPr>
          <w:spacing w:val="-7"/>
          <w:sz w:val="16"/>
          <w:szCs w:val="16"/>
          <w:lang w:val="es-ES_tradnl"/>
        </w:rPr>
        <w:t xml:space="preserve">n de la sentencia, impidiendo que el caso pase al </w:t>
      </w:r>
      <w:r>
        <w:rPr>
          <w:spacing w:val="-9"/>
          <w:sz w:val="16"/>
          <w:szCs w:val="16"/>
          <w:lang w:val="es-ES_tradnl"/>
        </w:rPr>
        <w:t>Superior a fin de que sean ellos en apelaci</w:t>
      </w:r>
      <w:r>
        <w:rPr>
          <w:rFonts w:cs="Times New Roman"/>
          <w:spacing w:val="-9"/>
          <w:sz w:val="16"/>
          <w:szCs w:val="16"/>
          <w:lang w:val="es-ES_tradnl"/>
        </w:rPr>
        <w:t>ó</w:t>
      </w:r>
      <w:r>
        <w:rPr>
          <w:spacing w:val="-9"/>
          <w:sz w:val="16"/>
          <w:szCs w:val="16"/>
          <w:lang w:val="es-ES_tradnl"/>
        </w:rPr>
        <w:t xml:space="preserve">n los que resuelvan </w:t>
      </w:r>
      <w:r>
        <w:rPr>
          <w:spacing w:val="-7"/>
          <w:sz w:val="16"/>
          <w:szCs w:val="16"/>
          <w:lang w:val="es-ES_tradnl"/>
        </w:rPr>
        <w:t>en derecho, lo cual me deja en la m</w:t>
      </w:r>
      <w:r>
        <w:rPr>
          <w:rFonts w:cs="Times New Roman"/>
          <w:spacing w:val="-7"/>
          <w:sz w:val="16"/>
          <w:szCs w:val="16"/>
          <w:lang w:val="es-ES_tradnl"/>
        </w:rPr>
        <w:t>á</w:t>
      </w:r>
      <w:r>
        <w:rPr>
          <w:spacing w:val="-7"/>
          <w:sz w:val="16"/>
          <w:szCs w:val="16"/>
          <w:lang w:val="es-ES_tradnl"/>
        </w:rPr>
        <w:t>s completa indefensi</w:t>
      </w:r>
      <w:r>
        <w:rPr>
          <w:rFonts w:cs="Times New Roman"/>
          <w:spacing w:val="-7"/>
          <w:sz w:val="16"/>
          <w:szCs w:val="16"/>
          <w:lang w:val="es-ES_tradnl"/>
        </w:rPr>
        <w:t>ó</w:t>
      </w:r>
      <w:r>
        <w:rPr>
          <w:spacing w:val="-7"/>
          <w:sz w:val="16"/>
          <w:szCs w:val="16"/>
          <w:lang w:val="es-ES_tradnl"/>
        </w:rPr>
        <w:t>n.</w:t>
      </w:r>
    </w:p>
    <w:p w14:paraId="4F67AFDE" w14:textId="77777777" w:rsidR="00591D54" w:rsidRDefault="00591D54">
      <w:pPr>
        <w:shd w:val="clear" w:color="auto" w:fill="FFFFFF"/>
        <w:spacing w:before="197"/>
      </w:pPr>
      <w:r>
        <w:rPr>
          <w:b/>
          <w:bCs/>
          <w:spacing w:val="-10"/>
          <w:sz w:val="18"/>
          <w:szCs w:val="18"/>
          <w:lang w:val="es-ES_tradnl"/>
        </w:rPr>
        <w:t>Contestaci</w:t>
      </w:r>
      <w:r>
        <w:rPr>
          <w:rFonts w:cs="Times New Roman"/>
          <w:b/>
          <w:bCs/>
          <w:spacing w:val="-10"/>
          <w:sz w:val="18"/>
          <w:szCs w:val="18"/>
          <w:lang w:val="es-ES_tradnl"/>
        </w:rPr>
        <w:t>ó</w:t>
      </w:r>
      <w:r>
        <w:rPr>
          <w:b/>
          <w:bCs/>
          <w:spacing w:val="-10"/>
          <w:sz w:val="18"/>
          <w:szCs w:val="18"/>
          <w:lang w:val="es-ES_tradnl"/>
        </w:rPr>
        <w:t>n a la demanda</w:t>
      </w:r>
    </w:p>
    <w:p w14:paraId="4F67AFDF" w14:textId="77777777" w:rsidR="00591D54" w:rsidRDefault="00591D54">
      <w:pPr>
        <w:shd w:val="clear" w:color="auto" w:fill="FFFFFF"/>
        <w:spacing w:before="197" w:line="216" w:lineRule="exact"/>
        <w:jc w:val="both"/>
      </w:pPr>
      <w:r>
        <w:rPr>
          <w:spacing w:val="-8"/>
          <w:sz w:val="18"/>
          <w:szCs w:val="18"/>
          <w:lang w:val="es-ES_tradnl"/>
        </w:rPr>
        <w:t>Conforme se manifest</w:t>
      </w:r>
      <w:r>
        <w:rPr>
          <w:rFonts w:cs="Times New Roman"/>
          <w:spacing w:val="-8"/>
          <w:sz w:val="18"/>
          <w:szCs w:val="18"/>
          <w:lang w:val="es-ES_tradnl"/>
        </w:rPr>
        <w:t>ó</w:t>
      </w:r>
      <w:r>
        <w:rPr>
          <w:spacing w:val="-8"/>
          <w:sz w:val="18"/>
          <w:szCs w:val="18"/>
          <w:lang w:val="es-ES_tradnl"/>
        </w:rPr>
        <w:t xml:space="preserve"> en los antecedentes, mediante providencia del 21 de abril de 2015, la jueza sustanciadora</w:t>
      </w:r>
    </w:p>
    <w:p w14:paraId="4F67AFE0" w14:textId="77777777" w:rsidR="00591D54" w:rsidRDefault="00591D54">
      <w:pPr>
        <w:shd w:val="clear" w:color="auto" w:fill="FFFFFF"/>
        <w:spacing w:before="197" w:line="216" w:lineRule="exact"/>
        <w:jc w:val="both"/>
        <w:sectPr w:rsidR="00591D54">
          <w:type w:val="continuous"/>
          <w:pgSz w:w="11909" w:h="16834"/>
          <w:pgMar w:top="1371" w:right="1309" w:bottom="360" w:left="1308" w:header="720" w:footer="720" w:gutter="0"/>
          <w:cols w:num="2" w:space="720" w:equalWidth="0">
            <w:col w:w="4310" w:space="677"/>
            <w:col w:w="4305"/>
          </w:cols>
          <w:noEndnote/>
        </w:sectPr>
      </w:pPr>
    </w:p>
    <w:p w14:paraId="4F67AFE1"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- 151</w:t>
      </w:r>
    </w:p>
    <w:p w14:paraId="4F67AFE2" w14:textId="77777777" w:rsidR="00591D54" w:rsidRDefault="00591D54">
      <w:pPr>
        <w:shd w:val="clear" w:color="auto" w:fill="FFFFFF"/>
        <w:tabs>
          <w:tab w:val="left" w:pos="5842"/>
        </w:tabs>
        <w:spacing w:after="235"/>
        <w:ind w:left="5"/>
        <w:sectPr w:rsidR="00591D54">
          <w:pgSz w:w="11909" w:h="16834"/>
          <w:pgMar w:top="1356" w:right="1309" w:bottom="360" w:left="1308" w:header="720" w:footer="720" w:gutter="0"/>
          <w:cols w:space="60"/>
          <w:noEndnote/>
        </w:sectPr>
      </w:pPr>
    </w:p>
    <w:p w14:paraId="4F67AFE3" w14:textId="77777777" w:rsidR="00591D54" w:rsidRDefault="00591D54">
      <w:pPr>
        <w:shd w:val="clear" w:color="auto" w:fill="FFFFFF"/>
        <w:spacing w:line="216" w:lineRule="exact"/>
        <w:ind w:right="5"/>
        <w:jc w:val="both"/>
      </w:pPr>
      <w:r>
        <w:rPr>
          <w:spacing w:val="-10"/>
          <w:sz w:val="18"/>
          <w:szCs w:val="18"/>
          <w:lang w:val="es-ES_tradnl"/>
        </w:rPr>
        <w:t>avoc</w:t>
      </w:r>
      <w:r>
        <w:rPr>
          <w:rFonts w:cs="Times New Roman"/>
          <w:spacing w:val="-10"/>
          <w:sz w:val="18"/>
          <w:szCs w:val="18"/>
          <w:lang w:val="es-ES_tradnl"/>
        </w:rPr>
        <w:t>ó</w:t>
      </w:r>
      <w:r>
        <w:rPr>
          <w:spacing w:val="-10"/>
          <w:sz w:val="18"/>
          <w:szCs w:val="18"/>
          <w:lang w:val="es-ES_tradnl"/>
        </w:rPr>
        <w:t xml:space="preserve"> conocimiento de la presente causa y dispuso notificar </w:t>
      </w:r>
      <w:r>
        <w:rPr>
          <w:spacing w:val="-7"/>
          <w:sz w:val="18"/>
          <w:szCs w:val="18"/>
          <w:lang w:val="es-ES_tradnl"/>
        </w:rPr>
        <w:t xml:space="preserve">con el contenido de la demanda y la providencia al juez </w:t>
      </w:r>
      <w:r>
        <w:rPr>
          <w:spacing w:val="-5"/>
          <w:sz w:val="18"/>
          <w:szCs w:val="18"/>
          <w:lang w:val="es-ES_tradnl"/>
        </w:rPr>
        <w:t>D</w:t>
      </w:r>
      <w:r>
        <w:rPr>
          <w:rFonts w:cs="Times New Roman"/>
          <w:spacing w:val="-5"/>
          <w:sz w:val="18"/>
          <w:szCs w:val="18"/>
          <w:lang w:val="es-ES_tradnl"/>
        </w:rPr>
        <w:t>é</w:t>
      </w:r>
      <w:r>
        <w:rPr>
          <w:spacing w:val="-5"/>
          <w:sz w:val="18"/>
          <w:szCs w:val="18"/>
          <w:lang w:val="es-ES_tradnl"/>
        </w:rPr>
        <w:t xml:space="preserve">cimo Tercero de lo Civil de Pichincha, a fin de que en </w:t>
      </w:r>
      <w:r>
        <w:rPr>
          <w:spacing w:val="-8"/>
          <w:sz w:val="18"/>
          <w:szCs w:val="18"/>
          <w:lang w:val="es-ES_tradnl"/>
        </w:rPr>
        <w:t>el t</w:t>
      </w:r>
      <w:r>
        <w:rPr>
          <w:rFonts w:cs="Times New Roman"/>
          <w:spacing w:val="-8"/>
          <w:sz w:val="18"/>
          <w:szCs w:val="18"/>
          <w:lang w:val="es-ES_tradnl"/>
        </w:rPr>
        <w:t>é</w:t>
      </w:r>
      <w:r>
        <w:rPr>
          <w:spacing w:val="-8"/>
          <w:sz w:val="18"/>
          <w:szCs w:val="18"/>
          <w:lang w:val="es-ES_tradnl"/>
        </w:rPr>
        <w:t>rmino de cinco d</w:t>
      </w:r>
      <w:r>
        <w:rPr>
          <w:rFonts w:cs="Times New Roman"/>
          <w:spacing w:val="-8"/>
          <w:sz w:val="18"/>
          <w:szCs w:val="18"/>
          <w:lang w:val="es-ES_tradnl"/>
        </w:rPr>
        <w:t>í</w:t>
      </w:r>
      <w:r>
        <w:rPr>
          <w:spacing w:val="-8"/>
          <w:sz w:val="18"/>
          <w:szCs w:val="18"/>
          <w:lang w:val="es-ES_tradnl"/>
        </w:rPr>
        <w:t xml:space="preserve">as presenten un informe de descargo </w:t>
      </w:r>
      <w:r>
        <w:rPr>
          <w:spacing w:val="-9"/>
          <w:sz w:val="18"/>
          <w:szCs w:val="18"/>
          <w:lang w:val="es-ES_tradnl"/>
        </w:rPr>
        <w:t xml:space="preserve">sobre los argumentos que fundamentan la demanda; no </w:t>
      </w:r>
      <w:r>
        <w:rPr>
          <w:spacing w:val="-7"/>
          <w:sz w:val="18"/>
          <w:szCs w:val="18"/>
          <w:lang w:val="es-ES_tradnl"/>
        </w:rPr>
        <w:t>obstante, dicha judicatura no present</w:t>
      </w:r>
      <w:r>
        <w:rPr>
          <w:rFonts w:cs="Times New Roman"/>
          <w:spacing w:val="-7"/>
          <w:sz w:val="18"/>
          <w:szCs w:val="18"/>
          <w:lang w:val="es-ES_tradnl"/>
        </w:rPr>
        <w:t>ó</w:t>
      </w:r>
      <w:r>
        <w:rPr>
          <w:spacing w:val="-7"/>
          <w:sz w:val="18"/>
          <w:szCs w:val="18"/>
          <w:lang w:val="es-ES_tradnl"/>
        </w:rPr>
        <w:t xml:space="preserve"> dentro del t</w:t>
      </w:r>
      <w:r>
        <w:rPr>
          <w:rFonts w:cs="Times New Roman"/>
          <w:spacing w:val="-7"/>
          <w:sz w:val="18"/>
          <w:szCs w:val="18"/>
          <w:lang w:val="es-ES_tradnl"/>
        </w:rPr>
        <w:t>é</w:t>
      </w:r>
      <w:r>
        <w:rPr>
          <w:spacing w:val="-7"/>
          <w:sz w:val="18"/>
          <w:szCs w:val="18"/>
          <w:lang w:val="es-ES_tradnl"/>
        </w:rPr>
        <w:t xml:space="preserve">rmino </w:t>
      </w:r>
      <w:r>
        <w:rPr>
          <w:sz w:val="18"/>
          <w:szCs w:val="18"/>
          <w:lang w:val="es-ES_tradnl"/>
        </w:rPr>
        <w:t>se</w:t>
      </w:r>
      <w:r>
        <w:rPr>
          <w:rFonts w:cs="Times New Roman"/>
          <w:sz w:val="18"/>
          <w:szCs w:val="18"/>
          <w:lang w:val="es-ES_tradnl"/>
        </w:rPr>
        <w:t>ñ</w:t>
      </w:r>
      <w:r>
        <w:rPr>
          <w:sz w:val="18"/>
          <w:szCs w:val="18"/>
          <w:lang w:val="es-ES_tradnl"/>
        </w:rPr>
        <w:t>alado ning</w:t>
      </w:r>
      <w:r>
        <w:rPr>
          <w:rFonts w:cs="Times New Roman"/>
          <w:sz w:val="18"/>
          <w:szCs w:val="18"/>
          <w:lang w:val="es-ES_tradnl"/>
        </w:rPr>
        <w:t>ú</w:t>
      </w:r>
      <w:r>
        <w:rPr>
          <w:sz w:val="18"/>
          <w:szCs w:val="18"/>
          <w:lang w:val="es-ES_tradnl"/>
        </w:rPr>
        <w:t>n informe.</w:t>
      </w:r>
    </w:p>
    <w:p w14:paraId="4F67AFE4" w14:textId="77777777" w:rsidR="00591D54" w:rsidRDefault="00591D54">
      <w:pPr>
        <w:shd w:val="clear" w:color="auto" w:fill="FFFFFF"/>
        <w:spacing w:before="192"/>
      </w:pPr>
      <w:r>
        <w:rPr>
          <w:b/>
          <w:bCs/>
          <w:spacing w:val="-8"/>
          <w:sz w:val="18"/>
          <w:szCs w:val="18"/>
          <w:lang w:val="es-ES_tradnl"/>
        </w:rPr>
        <w:t>Audiencia P</w:t>
      </w:r>
      <w:r>
        <w:rPr>
          <w:rFonts w:cs="Times New Roman"/>
          <w:b/>
          <w:bCs/>
          <w:spacing w:val="-8"/>
          <w:sz w:val="18"/>
          <w:szCs w:val="18"/>
          <w:lang w:val="es-ES_tradnl"/>
        </w:rPr>
        <w:t>ú</w:t>
      </w:r>
      <w:r>
        <w:rPr>
          <w:b/>
          <w:bCs/>
          <w:spacing w:val="-8"/>
          <w:sz w:val="18"/>
          <w:szCs w:val="18"/>
          <w:lang w:val="es-ES_tradnl"/>
        </w:rPr>
        <w:t>blica</w:t>
      </w:r>
    </w:p>
    <w:p w14:paraId="4F67AFE5" w14:textId="77777777" w:rsidR="00591D54" w:rsidRDefault="00591D54">
      <w:pPr>
        <w:shd w:val="clear" w:color="auto" w:fill="FFFFFF"/>
        <w:spacing w:before="197" w:line="216" w:lineRule="exact"/>
        <w:jc w:val="both"/>
      </w:pPr>
      <w:r>
        <w:rPr>
          <w:spacing w:val="-7"/>
          <w:sz w:val="18"/>
          <w:szCs w:val="18"/>
          <w:lang w:val="es-ES_tradnl"/>
        </w:rPr>
        <w:t>El 28 de abril de 2015 se llev</w:t>
      </w:r>
      <w:r>
        <w:rPr>
          <w:rFonts w:cs="Times New Roman"/>
          <w:spacing w:val="-7"/>
          <w:sz w:val="18"/>
          <w:szCs w:val="18"/>
          <w:lang w:val="es-ES_tradnl"/>
        </w:rPr>
        <w:t>ó</w:t>
      </w:r>
      <w:r>
        <w:rPr>
          <w:spacing w:val="-7"/>
          <w:sz w:val="18"/>
          <w:szCs w:val="18"/>
          <w:lang w:val="es-ES_tradnl"/>
        </w:rPr>
        <w:t xml:space="preserve"> a cabo la audiencia p</w:t>
      </w:r>
      <w:r>
        <w:rPr>
          <w:rFonts w:cs="Times New Roman"/>
          <w:spacing w:val="-7"/>
          <w:sz w:val="18"/>
          <w:szCs w:val="18"/>
          <w:lang w:val="es-ES_tradnl"/>
        </w:rPr>
        <w:t>ú</w:t>
      </w:r>
      <w:r>
        <w:rPr>
          <w:spacing w:val="-7"/>
          <w:sz w:val="18"/>
          <w:szCs w:val="18"/>
          <w:lang w:val="es-ES_tradnl"/>
        </w:rPr>
        <w:t xml:space="preserve">blica </w:t>
      </w:r>
      <w:r>
        <w:rPr>
          <w:spacing w:val="-9"/>
          <w:sz w:val="18"/>
          <w:szCs w:val="18"/>
          <w:lang w:val="es-ES_tradnl"/>
        </w:rPr>
        <w:t>convocada por la jueza sustanciadora, a la cual compareci</w:t>
      </w:r>
      <w:r>
        <w:rPr>
          <w:rFonts w:cs="Times New Roman"/>
          <w:spacing w:val="-9"/>
          <w:sz w:val="18"/>
          <w:szCs w:val="18"/>
          <w:lang w:val="es-ES_tradnl"/>
        </w:rPr>
        <w:t xml:space="preserve">ó </w:t>
      </w:r>
      <w:r>
        <w:rPr>
          <w:spacing w:val="-5"/>
          <w:sz w:val="18"/>
          <w:szCs w:val="18"/>
          <w:lang w:val="es-ES_tradnl"/>
        </w:rPr>
        <w:t>el legitimado activo a trav</w:t>
      </w:r>
      <w:r>
        <w:rPr>
          <w:rFonts w:cs="Times New Roman"/>
          <w:spacing w:val="-5"/>
          <w:sz w:val="18"/>
          <w:szCs w:val="18"/>
          <w:lang w:val="es-ES_tradnl"/>
        </w:rPr>
        <w:t>é</w:t>
      </w:r>
      <w:r>
        <w:rPr>
          <w:spacing w:val="-5"/>
          <w:sz w:val="18"/>
          <w:szCs w:val="18"/>
          <w:lang w:val="es-ES_tradnl"/>
        </w:rPr>
        <w:t>s del defensor p</w:t>
      </w:r>
      <w:r>
        <w:rPr>
          <w:rFonts w:cs="Times New Roman"/>
          <w:spacing w:val="-5"/>
          <w:sz w:val="18"/>
          <w:szCs w:val="18"/>
          <w:lang w:val="es-ES_tradnl"/>
        </w:rPr>
        <w:t>ú</w:t>
      </w:r>
      <w:r>
        <w:rPr>
          <w:spacing w:val="-5"/>
          <w:sz w:val="18"/>
          <w:szCs w:val="18"/>
          <w:lang w:val="es-ES_tradnl"/>
        </w:rPr>
        <w:t>blico, el Dr. Wilson Camino, manifestando en lo principal que el juez D</w:t>
      </w:r>
      <w:r>
        <w:rPr>
          <w:rFonts w:cs="Times New Roman"/>
          <w:spacing w:val="-5"/>
          <w:sz w:val="18"/>
          <w:szCs w:val="18"/>
          <w:lang w:val="es-ES_tradnl"/>
        </w:rPr>
        <w:t>é</w:t>
      </w:r>
      <w:r>
        <w:rPr>
          <w:spacing w:val="-5"/>
          <w:sz w:val="18"/>
          <w:szCs w:val="18"/>
          <w:lang w:val="es-ES_tradnl"/>
        </w:rPr>
        <w:t>cimo Tercero de lo Civil de Pichincha entr</w:t>
      </w:r>
      <w:r>
        <w:rPr>
          <w:rFonts w:cs="Times New Roman"/>
          <w:spacing w:val="-5"/>
          <w:sz w:val="18"/>
          <w:szCs w:val="18"/>
          <w:lang w:val="es-ES_tradnl"/>
        </w:rPr>
        <w:t>ó</w:t>
      </w:r>
      <w:r>
        <w:rPr>
          <w:spacing w:val="-5"/>
          <w:sz w:val="18"/>
          <w:szCs w:val="18"/>
          <w:lang w:val="es-ES_tradnl"/>
        </w:rPr>
        <w:t xml:space="preserve"> en una </w:t>
      </w:r>
      <w:r>
        <w:rPr>
          <w:spacing w:val="-6"/>
          <w:sz w:val="18"/>
          <w:szCs w:val="18"/>
          <w:lang w:val="es-ES_tradnl"/>
        </w:rPr>
        <w:t>contradicci</w:t>
      </w:r>
      <w:r>
        <w:rPr>
          <w:rFonts w:cs="Times New Roman"/>
          <w:spacing w:val="-6"/>
          <w:sz w:val="18"/>
          <w:szCs w:val="18"/>
          <w:lang w:val="es-ES_tradnl"/>
        </w:rPr>
        <w:t>ó</w:t>
      </w:r>
      <w:r>
        <w:rPr>
          <w:spacing w:val="-6"/>
          <w:sz w:val="18"/>
          <w:szCs w:val="18"/>
          <w:lang w:val="es-ES_tradnl"/>
        </w:rPr>
        <w:t>n al haber se</w:t>
      </w:r>
      <w:r>
        <w:rPr>
          <w:rFonts w:cs="Times New Roman"/>
          <w:spacing w:val="-6"/>
          <w:sz w:val="18"/>
          <w:szCs w:val="18"/>
          <w:lang w:val="es-ES_tradnl"/>
        </w:rPr>
        <w:t>ñ</w:t>
      </w:r>
      <w:r>
        <w:rPr>
          <w:spacing w:val="-6"/>
          <w:sz w:val="18"/>
          <w:szCs w:val="18"/>
          <w:lang w:val="es-ES_tradnl"/>
        </w:rPr>
        <w:t xml:space="preserve">alado, en un primer momento, </w:t>
      </w:r>
      <w:r>
        <w:rPr>
          <w:spacing w:val="-10"/>
          <w:sz w:val="18"/>
          <w:szCs w:val="18"/>
          <w:lang w:val="es-ES_tradnl"/>
        </w:rPr>
        <w:t xml:space="preserve">que aceptaba las excepciones presentadas por el legitimado </w:t>
      </w:r>
      <w:r>
        <w:rPr>
          <w:spacing w:val="-4"/>
          <w:sz w:val="18"/>
          <w:szCs w:val="18"/>
          <w:lang w:val="es-ES_tradnl"/>
        </w:rPr>
        <w:t xml:space="preserve">pasivo dentro del juicio ejecutivo, y que posteriormente, </w:t>
      </w:r>
      <w:r>
        <w:rPr>
          <w:spacing w:val="-3"/>
          <w:sz w:val="18"/>
          <w:szCs w:val="18"/>
          <w:lang w:val="es-ES_tradnl"/>
        </w:rPr>
        <w:t xml:space="preserve">de forma contradictoria, manifestaba dentro de su fallo </w:t>
      </w:r>
      <w:r>
        <w:rPr>
          <w:spacing w:val="-8"/>
          <w:sz w:val="18"/>
          <w:szCs w:val="18"/>
          <w:lang w:val="es-ES_tradnl"/>
        </w:rPr>
        <w:t xml:space="preserve">que dichas excepciones era improcedentes, pues fueron </w:t>
      </w:r>
      <w:r>
        <w:rPr>
          <w:spacing w:val="-9"/>
          <w:sz w:val="18"/>
          <w:szCs w:val="18"/>
          <w:lang w:val="es-ES_tradnl"/>
        </w:rPr>
        <w:t>presentadas de manera extempor</w:t>
      </w:r>
      <w:r>
        <w:rPr>
          <w:rFonts w:cs="Times New Roman"/>
          <w:spacing w:val="-9"/>
          <w:sz w:val="18"/>
          <w:szCs w:val="18"/>
          <w:lang w:val="es-ES_tradnl"/>
        </w:rPr>
        <w:t>á</w:t>
      </w:r>
      <w:r>
        <w:rPr>
          <w:spacing w:val="-9"/>
          <w:sz w:val="18"/>
          <w:szCs w:val="18"/>
          <w:lang w:val="es-ES_tradnl"/>
        </w:rPr>
        <w:t xml:space="preserve">nea, y por lo tanto dicha </w:t>
      </w:r>
      <w:r>
        <w:rPr>
          <w:spacing w:val="-11"/>
          <w:sz w:val="18"/>
          <w:szCs w:val="18"/>
          <w:lang w:val="es-ES_tradnl"/>
        </w:rPr>
        <w:t>autoridad judicial dej</w:t>
      </w:r>
      <w:r>
        <w:rPr>
          <w:rFonts w:cs="Times New Roman"/>
          <w:spacing w:val="-11"/>
          <w:sz w:val="18"/>
          <w:szCs w:val="18"/>
          <w:lang w:val="es-ES_tradnl"/>
        </w:rPr>
        <w:t>ó</w:t>
      </w:r>
      <w:r>
        <w:rPr>
          <w:spacing w:val="-11"/>
          <w:sz w:val="18"/>
          <w:szCs w:val="18"/>
          <w:lang w:val="es-ES_tradnl"/>
        </w:rPr>
        <w:t xml:space="preserve"> de pronunciarse sobre las excepciones </w:t>
      </w:r>
      <w:r>
        <w:rPr>
          <w:spacing w:val="-12"/>
          <w:sz w:val="18"/>
          <w:szCs w:val="18"/>
          <w:lang w:val="es-ES_tradnl"/>
        </w:rPr>
        <w:t>presentadas, entre las cuales constaba que la deuda ya hab</w:t>
      </w:r>
      <w:r>
        <w:rPr>
          <w:rFonts w:cs="Times New Roman"/>
          <w:spacing w:val="-12"/>
          <w:sz w:val="18"/>
          <w:szCs w:val="18"/>
          <w:lang w:val="es-ES_tradnl"/>
        </w:rPr>
        <w:t>í</w:t>
      </w:r>
      <w:r>
        <w:rPr>
          <w:spacing w:val="-12"/>
          <w:sz w:val="18"/>
          <w:szCs w:val="18"/>
          <w:lang w:val="es-ES_tradnl"/>
        </w:rPr>
        <w:t xml:space="preserve">a </w:t>
      </w:r>
      <w:r>
        <w:rPr>
          <w:spacing w:val="-8"/>
          <w:sz w:val="18"/>
          <w:szCs w:val="18"/>
          <w:lang w:val="es-ES_tradnl"/>
        </w:rPr>
        <w:t>sido cancelada oportunamente. Adicionalmente, manifest</w:t>
      </w:r>
      <w:r>
        <w:rPr>
          <w:rFonts w:cs="Times New Roman"/>
          <w:spacing w:val="-8"/>
          <w:sz w:val="18"/>
          <w:szCs w:val="18"/>
          <w:lang w:val="es-ES_tradnl"/>
        </w:rPr>
        <w:t xml:space="preserve">ó </w:t>
      </w:r>
      <w:r>
        <w:rPr>
          <w:spacing w:val="-6"/>
          <w:sz w:val="18"/>
          <w:szCs w:val="18"/>
          <w:lang w:val="es-ES_tradnl"/>
        </w:rPr>
        <w:t>el defensor p</w:t>
      </w:r>
      <w:r>
        <w:rPr>
          <w:rFonts w:cs="Times New Roman"/>
          <w:spacing w:val="-6"/>
          <w:sz w:val="18"/>
          <w:szCs w:val="18"/>
          <w:lang w:val="es-ES_tradnl"/>
        </w:rPr>
        <w:t>ú</w:t>
      </w:r>
      <w:r>
        <w:rPr>
          <w:spacing w:val="-6"/>
          <w:sz w:val="18"/>
          <w:szCs w:val="18"/>
          <w:lang w:val="es-ES_tradnl"/>
        </w:rPr>
        <w:t>blico que se vulner</w:t>
      </w:r>
      <w:r>
        <w:rPr>
          <w:rFonts w:cs="Times New Roman"/>
          <w:spacing w:val="-6"/>
          <w:sz w:val="18"/>
          <w:szCs w:val="18"/>
          <w:lang w:val="es-ES_tradnl"/>
        </w:rPr>
        <w:t>ó</w:t>
      </w:r>
      <w:r>
        <w:rPr>
          <w:spacing w:val="-6"/>
          <w:sz w:val="18"/>
          <w:szCs w:val="18"/>
          <w:lang w:val="es-ES_tradnl"/>
        </w:rPr>
        <w:t xml:space="preserve"> el derecho a recurrir, </w:t>
      </w:r>
      <w:r>
        <w:rPr>
          <w:spacing w:val="-9"/>
          <w:sz w:val="18"/>
          <w:szCs w:val="18"/>
          <w:lang w:val="es-ES_tradnl"/>
        </w:rPr>
        <w:t>pues se neg</w:t>
      </w:r>
      <w:r>
        <w:rPr>
          <w:rFonts w:cs="Times New Roman"/>
          <w:spacing w:val="-9"/>
          <w:sz w:val="18"/>
          <w:szCs w:val="18"/>
          <w:lang w:val="es-ES_tradnl"/>
        </w:rPr>
        <w:t>ó</w:t>
      </w:r>
      <w:r>
        <w:rPr>
          <w:spacing w:val="-9"/>
          <w:sz w:val="18"/>
          <w:szCs w:val="18"/>
          <w:lang w:val="es-ES_tradnl"/>
        </w:rPr>
        <w:t xml:space="preserve"> de forma injustificada el recurso de apelaci</w:t>
      </w:r>
      <w:r>
        <w:rPr>
          <w:rFonts w:cs="Times New Roman"/>
          <w:spacing w:val="-9"/>
          <w:sz w:val="18"/>
          <w:szCs w:val="18"/>
          <w:lang w:val="es-ES_tradnl"/>
        </w:rPr>
        <w:t>ó</w:t>
      </w:r>
      <w:r>
        <w:rPr>
          <w:spacing w:val="-9"/>
          <w:sz w:val="18"/>
          <w:szCs w:val="18"/>
          <w:lang w:val="es-ES_tradnl"/>
        </w:rPr>
        <w:t>n presentado oportunamente por su defendido.</w:t>
      </w:r>
    </w:p>
    <w:p w14:paraId="4F67AFE6" w14:textId="77777777" w:rsidR="00591D54" w:rsidRDefault="00591D54">
      <w:pPr>
        <w:shd w:val="clear" w:color="auto" w:fill="FFFFFF"/>
        <w:spacing w:before="192" w:line="216" w:lineRule="exact"/>
        <w:jc w:val="both"/>
      </w:pPr>
      <w:r>
        <w:rPr>
          <w:spacing w:val="-7"/>
          <w:sz w:val="18"/>
          <w:szCs w:val="18"/>
          <w:lang w:val="es-ES_tradnl"/>
        </w:rPr>
        <w:t>Asimismo, compareci</w:t>
      </w:r>
      <w:r>
        <w:rPr>
          <w:rFonts w:cs="Times New Roman"/>
          <w:spacing w:val="-7"/>
          <w:sz w:val="18"/>
          <w:szCs w:val="18"/>
          <w:lang w:val="es-ES_tradnl"/>
        </w:rPr>
        <w:t>ó</w:t>
      </w:r>
      <w:r>
        <w:rPr>
          <w:spacing w:val="-7"/>
          <w:sz w:val="18"/>
          <w:szCs w:val="18"/>
          <w:lang w:val="es-ES_tradnl"/>
        </w:rPr>
        <w:t xml:space="preserve"> en calidad de tercero interesado el </w:t>
      </w:r>
      <w:r>
        <w:rPr>
          <w:spacing w:val="-9"/>
          <w:sz w:val="18"/>
          <w:szCs w:val="18"/>
          <w:lang w:val="es-ES_tradnl"/>
        </w:rPr>
        <w:t>se</w:t>
      </w:r>
      <w:r>
        <w:rPr>
          <w:rFonts w:cs="Times New Roman"/>
          <w:spacing w:val="-9"/>
          <w:sz w:val="18"/>
          <w:szCs w:val="18"/>
          <w:lang w:val="es-ES_tradnl"/>
        </w:rPr>
        <w:t>ñ</w:t>
      </w:r>
      <w:r>
        <w:rPr>
          <w:spacing w:val="-9"/>
          <w:sz w:val="18"/>
          <w:szCs w:val="18"/>
          <w:lang w:val="es-ES_tradnl"/>
        </w:rPr>
        <w:t>or Eduardo Almeida Michelena, en representaci</w:t>
      </w:r>
      <w:r>
        <w:rPr>
          <w:rFonts w:cs="Times New Roman"/>
          <w:spacing w:val="-9"/>
          <w:sz w:val="18"/>
          <w:szCs w:val="18"/>
          <w:lang w:val="es-ES_tradnl"/>
        </w:rPr>
        <w:t>ó</w:t>
      </w:r>
      <w:r>
        <w:rPr>
          <w:spacing w:val="-9"/>
          <w:sz w:val="18"/>
          <w:szCs w:val="18"/>
          <w:lang w:val="es-ES_tradnl"/>
        </w:rPr>
        <w:t xml:space="preserve">n de la </w:t>
      </w:r>
      <w:r>
        <w:rPr>
          <w:spacing w:val="-4"/>
          <w:sz w:val="18"/>
          <w:szCs w:val="18"/>
          <w:lang w:val="es-ES_tradnl"/>
        </w:rPr>
        <w:t>empresa CREDICENTRO C</w:t>
      </w:r>
      <w:r>
        <w:rPr>
          <w:rFonts w:cs="Times New Roman"/>
          <w:spacing w:val="-4"/>
          <w:sz w:val="18"/>
          <w:szCs w:val="18"/>
          <w:lang w:val="es-ES_tradnl"/>
        </w:rPr>
        <w:t>Í</w:t>
      </w:r>
      <w:r>
        <w:rPr>
          <w:spacing w:val="-4"/>
          <w:sz w:val="18"/>
          <w:szCs w:val="18"/>
          <w:lang w:val="es-ES_tradnl"/>
        </w:rPr>
        <w:t>A. LTDA., quien manifest</w:t>
      </w:r>
      <w:r>
        <w:rPr>
          <w:rFonts w:cs="Times New Roman"/>
          <w:spacing w:val="-4"/>
          <w:sz w:val="18"/>
          <w:szCs w:val="18"/>
          <w:lang w:val="es-ES_tradnl"/>
        </w:rPr>
        <w:t xml:space="preserve">ó </w:t>
      </w:r>
      <w:r>
        <w:rPr>
          <w:spacing w:val="-6"/>
          <w:sz w:val="18"/>
          <w:szCs w:val="18"/>
          <w:lang w:val="es-ES_tradnl"/>
        </w:rPr>
        <w:t>que lo actuado por el juez D</w:t>
      </w:r>
      <w:r>
        <w:rPr>
          <w:rFonts w:cs="Times New Roman"/>
          <w:spacing w:val="-6"/>
          <w:sz w:val="18"/>
          <w:szCs w:val="18"/>
          <w:lang w:val="es-ES_tradnl"/>
        </w:rPr>
        <w:t>é</w:t>
      </w:r>
      <w:r>
        <w:rPr>
          <w:spacing w:val="-6"/>
          <w:sz w:val="18"/>
          <w:szCs w:val="18"/>
          <w:lang w:val="es-ES_tradnl"/>
        </w:rPr>
        <w:t xml:space="preserve">cimo Tercero de lo Civil de </w:t>
      </w:r>
      <w:r>
        <w:rPr>
          <w:spacing w:val="-12"/>
          <w:sz w:val="18"/>
          <w:szCs w:val="18"/>
          <w:lang w:val="es-ES_tradnl"/>
        </w:rPr>
        <w:t xml:space="preserve">Pichincha fue en base a derecho y los antecedentes del caso, </w:t>
      </w:r>
      <w:r>
        <w:rPr>
          <w:spacing w:val="-10"/>
          <w:sz w:val="18"/>
          <w:szCs w:val="18"/>
          <w:lang w:val="es-ES_tradnl"/>
        </w:rPr>
        <w:t xml:space="preserve">en donde la empresa ha demandado </w:t>
      </w:r>
      <w:r>
        <w:rPr>
          <w:rFonts w:cs="Times New Roman"/>
          <w:spacing w:val="-10"/>
          <w:sz w:val="18"/>
          <w:szCs w:val="18"/>
          <w:lang w:val="es-ES_tradnl"/>
        </w:rPr>
        <w:t>ú</w:t>
      </w:r>
      <w:r>
        <w:rPr>
          <w:spacing w:val="-10"/>
          <w:sz w:val="18"/>
          <w:szCs w:val="18"/>
          <w:lang w:val="es-ES_tradnl"/>
        </w:rPr>
        <w:t xml:space="preserve">nicamente el pago de </w:t>
      </w:r>
      <w:r>
        <w:rPr>
          <w:sz w:val="18"/>
          <w:szCs w:val="18"/>
          <w:lang w:val="es-ES_tradnl"/>
        </w:rPr>
        <w:t>la deuda.</w:t>
      </w:r>
    </w:p>
    <w:p w14:paraId="4F67AFE7" w14:textId="77777777" w:rsidR="00591D54" w:rsidRDefault="00591D54">
      <w:pPr>
        <w:shd w:val="clear" w:color="auto" w:fill="FFFFFF"/>
        <w:spacing w:before="192" w:line="216" w:lineRule="exact"/>
        <w:ind w:left="686" w:right="326" w:hanging="355"/>
      </w:pPr>
      <w:r>
        <w:rPr>
          <w:b/>
          <w:bCs/>
          <w:spacing w:val="-1"/>
          <w:sz w:val="18"/>
          <w:szCs w:val="18"/>
          <w:lang w:val="es-ES_tradnl"/>
        </w:rPr>
        <w:t xml:space="preserve">II. CONSIDERACIONES Y FUNDAMENTOS </w:t>
      </w:r>
      <w:r>
        <w:rPr>
          <w:b/>
          <w:bCs/>
          <w:sz w:val="18"/>
          <w:szCs w:val="18"/>
          <w:lang w:val="es-ES_tradnl"/>
        </w:rPr>
        <w:t>DE LA CORTE CONSTITUCIONAL</w:t>
      </w:r>
    </w:p>
    <w:p w14:paraId="4F67AFE8" w14:textId="77777777" w:rsidR="00591D54" w:rsidRDefault="00591D54">
      <w:pPr>
        <w:shd w:val="clear" w:color="auto" w:fill="FFFFFF"/>
        <w:spacing w:before="192"/>
      </w:pPr>
      <w:r>
        <w:rPr>
          <w:b/>
          <w:bCs/>
          <w:spacing w:val="-8"/>
          <w:sz w:val="18"/>
          <w:szCs w:val="18"/>
          <w:lang w:val="es-ES_tradnl"/>
        </w:rPr>
        <w:t>Competencia de la Corte</w:t>
      </w:r>
    </w:p>
    <w:p w14:paraId="4F67AFE9" w14:textId="77777777" w:rsidR="00591D54" w:rsidRDefault="00591D54">
      <w:pPr>
        <w:shd w:val="clear" w:color="auto" w:fill="FFFFFF"/>
        <w:spacing w:before="192" w:line="211" w:lineRule="exact"/>
        <w:jc w:val="both"/>
      </w:pPr>
      <w:r>
        <w:rPr>
          <w:spacing w:val="-6"/>
          <w:sz w:val="18"/>
          <w:szCs w:val="18"/>
          <w:lang w:val="es-ES_tradnl"/>
        </w:rPr>
        <w:t xml:space="preserve">La Corte Constitucional es competente para conocer y </w:t>
      </w:r>
      <w:r>
        <w:rPr>
          <w:spacing w:val="-4"/>
          <w:sz w:val="18"/>
          <w:szCs w:val="18"/>
          <w:lang w:val="es-ES_tradnl"/>
        </w:rPr>
        <w:t>resolver las acciones extraordinarias de protecci</w:t>
      </w:r>
      <w:r>
        <w:rPr>
          <w:rFonts w:cs="Times New Roman"/>
          <w:spacing w:val="-4"/>
          <w:sz w:val="18"/>
          <w:szCs w:val="18"/>
          <w:lang w:val="es-ES_tradnl"/>
        </w:rPr>
        <w:t>ó</w:t>
      </w:r>
      <w:r>
        <w:rPr>
          <w:spacing w:val="-4"/>
          <w:sz w:val="18"/>
          <w:szCs w:val="18"/>
          <w:lang w:val="es-ES_tradnl"/>
        </w:rPr>
        <w:t xml:space="preserve">n en </w:t>
      </w:r>
      <w:r>
        <w:rPr>
          <w:spacing w:val="-7"/>
          <w:sz w:val="18"/>
          <w:szCs w:val="18"/>
          <w:lang w:val="es-ES_tradnl"/>
        </w:rPr>
        <w:t xml:space="preserve">contra de sentencias, autos definitivos y resoluciones con fuerza de sentencia, de conformidad con lo previsto en los </w:t>
      </w:r>
      <w:r>
        <w:rPr>
          <w:spacing w:val="-5"/>
          <w:sz w:val="18"/>
          <w:szCs w:val="18"/>
          <w:lang w:val="es-ES_tradnl"/>
        </w:rPr>
        <w:t>art</w:t>
      </w:r>
      <w:r>
        <w:rPr>
          <w:rFonts w:cs="Times New Roman"/>
          <w:spacing w:val="-5"/>
          <w:sz w:val="18"/>
          <w:szCs w:val="18"/>
          <w:lang w:val="es-ES_tradnl"/>
        </w:rPr>
        <w:t>í</w:t>
      </w:r>
      <w:r>
        <w:rPr>
          <w:spacing w:val="-5"/>
          <w:sz w:val="18"/>
          <w:szCs w:val="18"/>
          <w:lang w:val="es-ES_tradnl"/>
        </w:rPr>
        <w:t>culos 94 y 437 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 xml:space="preserve">blica, en </w:t>
      </w:r>
      <w:r>
        <w:rPr>
          <w:spacing w:val="-7"/>
          <w:sz w:val="18"/>
          <w:szCs w:val="18"/>
          <w:lang w:val="es-ES_tradnl"/>
        </w:rPr>
        <w:t>concordancia con los art</w:t>
      </w:r>
      <w:r>
        <w:rPr>
          <w:rFonts w:cs="Times New Roman"/>
          <w:spacing w:val="-7"/>
          <w:sz w:val="18"/>
          <w:szCs w:val="18"/>
          <w:lang w:val="es-ES_tradnl"/>
        </w:rPr>
        <w:t>í</w:t>
      </w:r>
      <w:r>
        <w:rPr>
          <w:spacing w:val="-7"/>
          <w:sz w:val="18"/>
          <w:szCs w:val="18"/>
          <w:lang w:val="es-ES_tradnl"/>
        </w:rPr>
        <w:t xml:space="preserve">culos 63 y 191 numeral 2 literal </w:t>
      </w:r>
      <w:r>
        <w:rPr>
          <w:b/>
          <w:bCs/>
          <w:spacing w:val="-7"/>
          <w:sz w:val="18"/>
          <w:szCs w:val="18"/>
          <w:lang w:val="es-ES_tradnl"/>
        </w:rPr>
        <w:t xml:space="preserve">d </w:t>
      </w:r>
      <w:r>
        <w:rPr>
          <w:spacing w:val="-8"/>
          <w:sz w:val="18"/>
          <w:szCs w:val="18"/>
          <w:lang w:val="es-ES_tradnl"/>
        </w:rPr>
        <w:t>de la Ley Org</w:t>
      </w:r>
      <w:r>
        <w:rPr>
          <w:rFonts w:cs="Times New Roman"/>
          <w:spacing w:val="-8"/>
          <w:sz w:val="18"/>
          <w:szCs w:val="18"/>
          <w:lang w:val="es-ES_tradnl"/>
        </w:rPr>
        <w:t>á</w:t>
      </w:r>
      <w:r>
        <w:rPr>
          <w:spacing w:val="-8"/>
          <w:sz w:val="18"/>
          <w:szCs w:val="18"/>
          <w:lang w:val="es-ES_tradnl"/>
        </w:rPr>
        <w:t>nica de Garant</w:t>
      </w:r>
      <w:r>
        <w:rPr>
          <w:rFonts w:cs="Times New Roman"/>
          <w:spacing w:val="-8"/>
          <w:sz w:val="18"/>
          <w:szCs w:val="18"/>
          <w:lang w:val="es-ES_tradnl"/>
        </w:rPr>
        <w:t>í</w:t>
      </w:r>
      <w:r>
        <w:rPr>
          <w:spacing w:val="-8"/>
          <w:sz w:val="18"/>
          <w:szCs w:val="18"/>
          <w:lang w:val="es-ES_tradnl"/>
        </w:rPr>
        <w:t xml:space="preserve">as Jurisdiccionales y Control </w:t>
      </w:r>
      <w:r>
        <w:rPr>
          <w:spacing w:val="-1"/>
          <w:sz w:val="18"/>
          <w:szCs w:val="18"/>
          <w:lang w:val="es-ES_tradnl"/>
        </w:rPr>
        <w:t>Constitucional, art</w:t>
      </w:r>
      <w:r>
        <w:rPr>
          <w:rFonts w:cs="Times New Roman"/>
          <w:spacing w:val="-1"/>
          <w:sz w:val="18"/>
          <w:szCs w:val="18"/>
          <w:lang w:val="es-ES_tradnl"/>
        </w:rPr>
        <w:t>í</w:t>
      </w:r>
      <w:r>
        <w:rPr>
          <w:spacing w:val="-1"/>
          <w:sz w:val="18"/>
          <w:szCs w:val="18"/>
          <w:lang w:val="es-ES_tradnl"/>
        </w:rPr>
        <w:t xml:space="preserve">culo 3 numeral 8 literal </w:t>
      </w:r>
      <w:r>
        <w:rPr>
          <w:b/>
          <w:bCs/>
          <w:spacing w:val="-1"/>
          <w:sz w:val="18"/>
          <w:szCs w:val="18"/>
          <w:lang w:val="es-ES_tradnl"/>
        </w:rPr>
        <w:t>b</w:t>
      </w:r>
      <w:r>
        <w:rPr>
          <w:spacing w:val="-1"/>
          <w:sz w:val="18"/>
          <w:szCs w:val="18"/>
          <w:lang w:val="es-ES_tradnl"/>
        </w:rPr>
        <w:t xml:space="preserve">, y tercer </w:t>
      </w:r>
      <w:r>
        <w:rPr>
          <w:spacing w:val="-7"/>
          <w:sz w:val="18"/>
          <w:szCs w:val="18"/>
          <w:lang w:val="es-ES_tradnl"/>
        </w:rPr>
        <w:t>inciso del art</w:t>
      </w:r>
      <w:r>
        <w:rPr>
          <w:rFonts w:cs="Times New Roman"/>
          <w:spacing w:val="-7"/>
          <w:sz w:val="18"/>
          <w:szCs w:val="18"/>
          <w:lang w:val="es-ES_tradnl"/>
        </w:rPr>
        <w:t>í</w:t>
      </w:r>
      <w:r>
        <w:rPr>
          <w:spacing w:val="-7"/>
          <w:sz w:val="18"/>
          <w:szCs w:val="18"/>
          <w:lang w:val="es-ES_tradnl"/>
        </w:rPr>
        <w:t>culo 35 del Reglamento de Sustanciaci</w:t>
      </w:r>
      <w:r>
        <w:rPr>
          <w:rFonts w:cs="Times New Roman"/>
          <w:spacing w:val="-7"/>
          <w:sz w:val="18"/>
          <w:szCs w:val="18"/>
          <w:lang w:val="es-ES_tradnl"/>
        </w:rPr>
        <w:t>ó</w:t>
      </w:r>
      <w:r>
        <w:rPr>
          <w:spacing w:val="-7"/>
          <w:sz w:val="18"/>
          <w:szCs w:val="18"/>
          <w:lang w:val="es-ES_tradnl"/>
        </w:rPr>
        <w:t xml:space="preserve">n de </w:t>
      </w:r>
      <w:r>
        <w:rPr>
          <w:spacing w:val="-9"/>
          <w:sz w:val="18"/>
          <w:szCs w:val="18"/>
          <w:lang w:val="es-ES_tradnl"/>
        </w:rPr>
        <w:t>Procesos de Competencia de la Corte Constitucional</w:t>
      </w:r>
      <w:r>
        <w:rPr>
          <w:spacing w:val="-9"/>
          <w:sz w:val="18"/>
          <w:szCs w:val="18"/>
          <w:vertAlign w:val="superscript"/>
          <w:lang w:val="es-ES_tradnl"/>
        </w:rPr>
        <w:t>1</w:t>
      </w:r>
      <w:r>
        <w:rPr>
          <w:spacing w:val="-9"/>
          <w:sz w:val="18"/>
          <w:szCs w:val="18"/>
          <w:lang w:val="es-ES_tradnl"/>
        </w:rPr>
        <w:t>.</w:t>
      </w:r>
    </w:p>
    <w:p w14:paraId="4F67AFEA" w14:textId="77777777" w:rsidR="00591D54" w:rsidRDefault="00591D54">
      <w:pPr>
        <w:shd w:val="clear" w:color="auto" w:fill="FFFFFF"/>
        <w:spacing w:before="192"/>
      </w:pPr>
      <w:r>
        <w:rPr>
          <w:b/>
          <w:bCs/>
          <w:spacing w:val="-8"/>
          <w:sz w:val="18"/>
          <w:szCs w:val="18"/>
          <w:lang w:val="es-ES_tradnl"/>
        </w:rPr>
        <w:t>Legitimaci</w:t>
      </w:r>
      <w:r>
        <w:rPr>
          <w:rFonts w:cs="Times New Roman"/>
          <w:b/>
          <w:bCs/>
          <w:spacing w:val="-8"/>
          <w:sz w:val="18"/>
          <w:szCs w:val="18"/>
          <w:lang w:val="es-ES_tradnl"/>
        </w:rPr>
        <w:t>ó</w:t>
      </w:r>
      <w:r>
        <w:rPr>
          <w:b/>
          <w:bCs/>
          <w:spacing w:val="-8"/>
          <w:sz w:val="18"/>
          <w:szCs w:val="18"/>
          <w:lang w:val="es-ES_tradnl"/>
        </w:rPr>
        <w:t>n activa</w:t>
      </w:r>
    </w:p>
    <w:p w14:paraId="4F67AFEB" w14:textId="77777777" w:rsidR="00591D54" w:rsidRDefault="00591D54">
      <w:pPr>
        <w:shd w:val="clear" w:color="auto" w:fill="FFFFFF"/>
        <w:spacing w:before="197" w:line="216" w:lineRule="exact"/>
        <w:jc w:val="both"/>
      </w:pPr>
      <w:r>
        <w:rPr>
          <w:spacing w:val="-7"/>
          <w:sz w:val="18"/>
          <w:szCs w:val="18"/>
          <w:lang w:val="es-ES_tradnl"/>
        </w:rPr>
        <w:t xml:space="preserve">El accionante se encuentra legitimado para interponer la </w:t>
      </w:r>
      <w:r>
        <w:rPr>
          <w:spacing w:val="-6"/>
          <w:sz w:val="18"/>
          <w:szCs w:val="18"/>
          <w:lang w:val="es-ES_tradnl"/>
        </w:rPr>
        <w:t>presente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en virtud de </w:t>
      </w:r>
      <w:r>
        <w:rPr>
          <w:spacing w:val="-7"/>
          <w:sz w:val="18"/>
          <w:szCs w:val="18"/>
          <w:lang w:val="es-ES_tradnl"/>
        </w:rPr>
        <w:t>cumplir con los requerimientos establecidos en el art</w:t>
      </w:r>
      <w:r>
        <w:rPr>
          <w:rFonts w:cs="Times New Roman"/>
          <w:spacing w:val="-7"/>
          <w:sz w:val="18"/>
          <w:szCs w:val="18"/>
          <w:lang w:val="es-ES_tradnl"/>
        </w:rPr>
        <w:t>í</w:t>
      </w:r>
      <w:r>
        <w:rPr>
          <w:spacing w:val="-7"/>
          <w:sz w:val="18"/>
          <w:szCs w:val="18"/>
          <w:lang w:val="es-ES_tradnl"/>
        </w:rPr>
        <w:t xml:space="preserve">culo </w:t>
      </w:r>
      <w:r>
        <w:rPr>
          <w:spacing w:val="-4"/>
          <w:sz w:val="18"/>
          <w:szCs w:val="18"/>
          <w:lang w:val="es-ES_tradnl"/>
        </w:rPr>
        <w:t>437 de la Constituci</w:t>
      </w:r>
      <w:r>
        <w:rPr>
          <w:rFonts w:cs="Times New Roman"/>
          <w:spacing w:val="-4"/>
          <w:sz w:val="18"/>
          <w:szCs w:val="18"/>
          <w:lang w:val="es-ES_tradnl"/>
        </w:rPr>
        <w:t>ó</w:t>
      </w:r>
      <w:r>
        <w:rPr>
          <w:spacing w:val="-4"/>
          <w:sz w:val="18"/>
          <w:szCs w:val="18"/>
          <w:lang w:val="es-ES_tradnl"/>
        </w:rPr>
        <w:t>n de la Rep</w:t>
      </w:r>
      <w:r>
        <w:rPr>
          <w:rFonts w:cs="Times New Roman"/>
          <w:spacing w:val="-4"/>
          <w:sz w:val="18"/>
          <w:szCs w:val="18"/>
          <w:lang w:val="es-ES_tradnl"/>
        </w:rPr>
        <w:t>ú</w:t>
      </w:r>
      <w:r>
        <w:rPr>
          <w:spacing w:val="-4"/>
          <w:sz w:val="18"/>
          <w:szCs w:val="18"/>
          <w:lang w:val="es-ES_tradnl"/>
        </w:rPr>
        <w:t xml:space="preserve">blica, de conformidad </w:t>
      </w:r>
      <w:r>
        <w:rPr>
          <w:spacing w:val="-7"/>
          <w:sz w:val="18"/>
          <w:szCs w:val="18"/>
          <w:lang w:val="es-ES_tradnl"/>
        </w:rPr>
        <w:t>con el art</w:t>
      </w:r>
      <w:r>
        <w:rPr>
          <w:rFonts w:cs="Times New Roman"/>
          <w:spacing w:val="-7"/>
          <w:sz w:val="18"/>
          <w:szCs w:val="18"/>
          <w:lang w:val="es-ES_tradnl"/>
        </w:rPr>
        <w:t>í</w:t>
      </w:r>
      <w:r>
        <w:rPr>
          <w:spacing w:val="-7"/>
          <w:sz w:val="18"/>
          <w:szCs w:val="18"/>
          <w:lang w:val="es-ES_tradnl"/>
        </w:rPr>
        <w:t>culo 439 ib</w:t>
      </w:r>
      <w:r>
        <w:rPr>
          <w:rFonts w:cs="Times New Roman"/>
          <w:spacing w:val="-7"/>
          <w:sz w:val="18"/>
          <w:szCs w:val="18"/>
          <w:lang w:val="es-ES_tradnl"/>
        </w:rPr>
        <w:t>í</w:t>
      </w:r>
      <w:r>
        <w:rPr>
          <w:spacing w:val="-7"/>
          <w:sz w:val="18"/>
          <w:szCs w:val="18"/>
          <w:lang w:val="es-ES_tradnl"/>
        </w:rPr>
        <w:t>dem, que establece que las acciones</w:t>
      </w:r>
    </w:p>
    <w:p w14:paraId="4F67AFEC" w14:textId="77777777" w:rsidR="00591D54" w:rsidRDefault="00591D54">
      <w:pPr>
        <w:shd w:val="clear" w:color="auto" w:fill="FFFFFF"/>
        <w:spacing w:before="514" w:line="178" w:lineRule="exact"/>
        <w:ind w:left="139" w:hanging="139"/>
      </w:pPr>
      <w:r>
        <w:rPr>
          <w:sz w:val="14"/>
          <w:szCs w:val="14"/>
          <w:vertAlign w:val="superscript"/>
          <w:lang w:val="es-ES_tradnl"/>
        </w:rPr>
        <w:t>1</w:t>
      </w:r>
      <w:r>
        <w:rPr>
          <w:sz w:val="14"/>
          <w:szCs w:val="14"/>
          <w:lang w:val="es-ES_tradnl"/>
        </w:rPr>
        <w:t xml:space="preserve">  Publicado en el suplemento del Registro Oficial N.</w:t>
      </w:r>
      <w:r>
        <w:rPr>
          <w:rFonts w:cs="Times New Roman"/>
          <w:sz w:val="14"/>
          <w:szCs w:val="14"/>
          <w:lang w:val="es-ES_tradnl"/>
        </w:rPr>
        <w:t>º</w:t>
      </w:r>
      <w:r>
        <w:rPr>
          <w:sz w:val="14"/>
          <w:szCs w:val="14"/>
          <w:lang w:val="es-ES_tradnl"/>
        </w:rPr>
        <w:t xml:space="preserve"> 127, 10 de febrero de 2010.</w:t>
      </w:r>
    </w:p>
    <w:p w14:paraId="4F67AFED" w14:textId="77777777" w:rsidR="00591D54" w:rsidRDefault="00591D54">
      <w:pPr>
        <w:shd w:val="clear" w:color="auto" w:fill="FFFFFF"/>
        <w:spacing w:line="211" w:lineRule="exact"/>
        <w:jc w:val="both"/>
      </w:pPr>
      <w:r>
        <w:br w:type="column"/>
      </w:r>
      <w:r>
        <w:rPr>
          <w:spacing w:val="-7"/>
          <w:sz w:val="18"/>
          <w:szCs w:val="18"/>
          <w:lang w:val="es-ES_tradnl"/>
        </w:rPr>
        <w:t>constitucionales podr</w:t>
      </w:r>
      <w:r>
        <w:rPr>
          <w:rFonts w:cs="Times New Roman"/>
          <w:spacing w:val="-7"/>
          <w:sz w:val="18"/>
          <w:szCs w:val="18"/>
          <w:lang w:val="es-ES_tradnl"/>
        </w:rPr>
        <w:t>á</w:t>
      </w:r>
      <w:r>
        <w:rPr>
          <w:spacing w:val="-7"/>
          <w:sz w:val="18"/>
          <w:szCs w:val="18"/>
          <w:lang w:val="es-ES_tradnl"/>
        </w:rPr>
        <w:t xml:space="preserve">n ser presentadas por cualquier </w:t>
      </w:r>
      <w:r>
        <w:rPr>
          <w:spacing w:val="-2"/>
          <w:sz w:val="18"/>
          <w:szCs w:val="18"/>
          <w:lang w:val="es-ES_tradnl"/>
        </w:rPr>
        <w:t xml:space="preserve">ciudadana o ciudadano, individual o colectivamente, y </w:t>
      </w:r>
      <w:r>
        <w:rPr>
          <w:spacing w:val="-6"/>
          <w:sz w:val="18"/>
          <w:szCs w:val="18"/>
          <w:lang w:val="es-ES_tradnl"/>
        </w:rPr>
        <w:t>en concordancia con el art</w:t>
      </w:r>
      <w:r>
        <w:rPr>
          <w:rFonts w:cs="Times New Roman"/>
          <w:spacing w:val="-6"/>
          <w:sz w:val="18"/>
          <w:szCs w:val="18"/>
          <w:lang w:val="es-ES_tradnl"/>
        </w:rPr>
        <w:t>í</w:t>
      </w:r>
      <w:r>
        <w:rPr>
          <w:spacing w:val="-6"/>
          <w:sz w:val="18"/>
          <w:szCs w:val="18"/>
          <w:lang w:val="es-ES_tradnl"/>
        </w:rPr>
        <w:t>culo 59 de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as Jurisdiccionales y Control Constitucional.</w:t>
      </w:r>
    </w:p>
    <w:p w14:paraId="4F67AFEE" w14:textId="77777777" w:rsidR="00591D54" w:rsidRDefault="00591D54">
      <w:pPr>
        <w:shd w:val="clear" w:color="auto" w:fill="FFFFFF"/>
        <w:spacing w:before="187"/>
      </w:pPr>
      <w:r>
        <w:rPr>
          <w:b/>
          <w:bCs/>
          <w:spacing w:val="-7"/>
          <w:sz w:val="18"/>
          <w:szCs w:val="18"/>
          <w:lang w:val="es-ES_tradnl"/>
        </w:rPr>
        <w:t>Naturaleza de la acci</w:t>
      </w:r>
      <w:r>
        <w:rPr>
          <w:rFonts w:cs="Times New Roman"/>
          <w:b/>
          <w:bCs/>
          <w:spacing w:val="-7"/>
          <w:sz w:val="18"/>
          <w:szCs w:val="18"/>
          <w:lang w:val="es-ES_tradnl"/>
        </w:rPr>
        <w:t>ó</w:t>
      </w:r>
      <w:r>
        <w:rPr>
          <w:b/>
          <w:bCs/>
          <w:spacing w:val="-7"/>
          <w:sz w:val="18"/>
          <w:szCs w:val="18"/>
          <w:lang w:val="es-ES_tradnl"/>
        </w:rPr>
        <w:t>n extraordinaria de protecci</w:t>
      </w:r>
      <w:r>
        <w:rPr>
          <w:rFonts w:cs="Times New Roman"/>
          <w:b/>
          <w:bCs/>
          <w:spacing w:val="-7"/>
          <w:sz w:val="18"/>
          <w:szCs w:val="18"/>
          <w:lang w:val="es-ES_tradnl"/>
        </w:rPr>
        <w:t>ó</w:t>
      </w:r>
      <w:r>
        <w:rPr>
          <w:b/>
          <w:bCs/>
          <w:spacing w:val="-7"/>
          <w:sz w:val="18"/>
          <w:szCs w:val="18"/>
          <w:lang w:val="es-ES_tradnl"/>
        </w:rPr>
        <w:t>n</w:t>
      </w:r>
    </w:p>
    <w:p w14:paraId="4F67AFEF" w14:textId="77777777" w:rsidR="00591D54" w:rsidRDefault="00591D54">
      <w:pPr>
        <w:shd w:val="clear" w:color="auto" w:fill="FFFFFF"/>
        <w:spacing w:before="187" w:line="211" w:lineRule="exact"/>
        <w:jc w:val="both"/>
      </w:pPr>
      <w:r>
        <w:rPr>
          <w:spacing w:val="-5"/>
          <w:sz w:val="18"/>
          <w:szCs w:val="18"/>
          <w:lang w:val="es-ES_tradnl"/>
        </w:rPr>
        <w:t>La naturaleza y objeto de la acci</w:t>
      </w:r>
      <w:r>
        <w:rPr>
          <w:rFonts w:cs="Times New Roman"/>
          <w:spacing w:val="-5"/>
          <w:sz w:val="18"/>
          <w:szCs w:val="18"/>
          <w:lang w:val="es-ES_tradnl"/>
        </w:rPr>
        <w:t>ó</w:t>
      </w:r>
      <w:r>
        <w:rPr>
          <w:spacing w:val="-5"/>
          <w:sz w:val="18"/>
          <w:szCs w:val="18"/>
          <w:lang w:val="es-ES_tradnl"/>
        </w:rPr>
        <w:t>n extraordinaria de protecci</w:t>
      </w:r>
      <w:r>
        <w:rPr>
          <w:rFonts w:cs="Times New Roman"/>
          <w:spacing w:val="-5"/>
          <w:sz w:val="18"/>
          <w:szCs w:val="18"/>
          <w:lang w:val="es-ES_tradnl"/>
        </w:rPr>
        <w:t>ó</w:t>
      </w:r>
      <w:r>
        <w:rPr>
          <w:spacing w:val="-5"/>
          <w:sz w:val="18"/>
          <w:szCs w:val="18"/>
          <w:lang w:val="es-ES_tradnl"/>
        </w:rPr>
        <w:t xml:space="preserve">n han sido definidos por esta Corte en varios </w:t>
      </w:r>
      <w:r>
        <w:rPr>
          <w:spacing w:val="-13"/>
          <w:sz w:val="18"/>
          <w:szCs w:val="18"/>
          <w:lang w:val="es-ES_tradnl"/>
        </w:rPr>
        <w:t>pronunciamientos, de acuerdo con los cuales est</w:t>
      </w:r>
      <w:r>
        <w:rPr>
          <w:rFonts w:cs="Times New Roman"/>
          <w:spacing w:val="-13"/>
          <w:sz w:val="18"/>
          <w:szCs w:val="18"/>
          <w:lang w:val="es-ES_tradnl"/>
        </w:rPr>
        <w:t>á</w:t>
      </w:r>
      <w:r>
        <w:rPr>
          <w:spacing w:val="-13"/>
          <w:sz w:val="18"/>
          <w:szCs w:val="18"/>
          <w:lang w:val="es-ES_tradnl"/>
        </w:rPr>
        <w:t xml:space="preserve"> encaminada </w:t>
      </w:r>
      <w:r>
        <w:rPr>
          <w:spacing w:val="-4"/>
          <w:sz w:val="18"/>
          <w:szCs w:val="18"/>
          <w:lang w:val="es-ES_tradnl"/>
        </w:rPr>
        <w:t>a reparar la lesi</w:t>
      </w:r>
      <w:r>
        <w:rPr>
          <w:rFonts w:cs="Times New Roman"/>
          <w:spacing w:val="-4"/>
          <w:sz w:val="18"/>
          <w:szCs w:val="18"/>
          <w:lang w:val="es-ES_tradnl"/>
        </w:rPr>
        <w:t>ó</w:t>
      </w:r>
      <w:r>
        <w:rPr>
          <w:spacing w:val="-4"/>
          <w:sz w:val="18"/>
          <w:szCs w:val="18"/>
          <w:lang w:val="es-ES_tradnl"/>
        </w:rPr>
        <w:t xml:space="preserve">n a los derechos constitucionales </w:t>
      </w:r>
      <w:r>
        <w:rPr>
          <w:rFonts w:cs="Times New Roman"/>
          <w:spacing w:val="-4"/>
          <w:sz w:val="18"/>
          <w:szCs w:val="18"/>
          <w:lang w:val="es-ES_tradnl"/>
        </w:rPr>
        <w:t>–</w:t>
      </w:r>
      <w:r>
        <w:rPr>
          <w:spacing w:val="-4"/>
          <w:sz w:val="18"/>
          <w:szCs w:val="18"/>
          <w:lang w:val="es-ES_tradnl"/>
        </w:rPr>
        <w:t xml:space="preserve">el </w:t>
      </w:r>
      <w:r>
        <w:rPr>
          <w:spacing w:val="-6"/>
          <w:sz w:val="18"/>
          <w:szCs w:val="18"/>
          <w:lang w:val="es-ES_tradnl"/>
        </w:rPr>
        <w:t>debido proceso inclusive</w:t>
      </w:r>
      <w:r>
        <w:rPr>
          <w:rFonts w:cs="Times New Roman"/>
          <w:spacing w:val="-6"/>
          <w:sz w:val="18"/>
          <w:szCs w:val="18"/>
          <w:lang w:val="es-ES_tradnl"/>
        </w:rPr>
        <w:t>–</w:t>
      </w:r>
      <w:r>
        <w:rPr>
          <w:spacing w:val="-6"/>
          <w:sz w:val="18"/>
          <w:szCs w:val="18"/>
          <w:lang w:val="es-ES_tradnl"/>
        </w:rPr>
        <w:t xml:space="preserve"> producida por la acci</w:t>
      </w:r>
      <w:r>
        <w:rPr>
          <w:rFonts w:cs="Times New Roman"/>
          <w:spacing w:val="-6"/>
          <w:sz w:val="18"/>
          <w:szCs w:val="18"/>
          <w:lang w:val="es-ES_tradnl"/>
        </w:rPr>
        <w:t>ó</w:t>
      </w:r>
      <w:r>
        <w:rPr>
          <w:spacing w:val="-6"/>
          <w:sz w:val="18"/>
          <w:szCs w:val="18"/>
          <w:lang w:val="es-ES_tradnl"/>
        </w:rPr>
        <w:t>n de las autoridades que ejercen la potestad jurisdiccional</w:t>
      </w:r>
      <w:r>
        <w:rPr>
          <w:spacing w:val="-6"/>
          <w:sz w:val="18"/>
          <w:szCs w:val="18"/>
          <w:vertAlign w:val="superscript"/>
          <w:lang w:val="es-ES_tradnl"/>
        </w:rPr>
        <w:t>2</w:t>
      </w:r>
      <w:r>
        <w:rPr>
          <w:spacing w:val="-6"/>
          <w:sz w:val="18"/>
          <w:szCs w:val="18"/>
          <w:lang w:val="es-ES_tradnl"/>
        </w:rPr>
        <w:t xml:space="preserve">. Por </w:t>
      </w:r>
      <w:r>
        <w:rPr>
          <w:spacing w:val="-5"/>
          <w:sz w:val="18"/>
          <w:szCs w:val="18"/>
          <w:lang w:val="es-ES_tradnl"/>
        </w:rPr>
        <w:t>dicha raz</w:t>
      </w:r>
      <w:r>
        <w:rPr>
          <w:rFonts w:cs="Times New Roman"/>
          <w:spacing w:val="-5"/>
          <w:sz w:val="18"/>
          <w:szCs w:val="18"/>
          <w:lang w:val="es-ES_tradnl"/>
        </w:rPr>
        <w:t>ó</w:t>
      </w:r>
      <w:r>
        <w:rPr>
          <w:spacing w:val="-5"/>
          <w:sz w:val="18"/>
          <w:szCs w:val="18"/>
          <w:lang w:val="es-ES_tradnl"/>
        </w:rPr>
        <w:t>n, la acci</w:t>
      </w:r>
      <w:r>
        <w:rPr>
          <w:rFonts w:cs="Times New Roman"/>
          <w:spacing w:val="-5"/>
          <w:sz w:val="18"/>
          <w:szCs w:val="18"/>
          <w:lang w:val="es-ES_tradnl"/>
        </w:rPr>
        <w:t>ó</w:t>
      </w:r>
      <w:r>
        <w:rPr>
          <w:spacing w:val="-5"/>
          <w:sz w:val="18"/>
          <w:szCs w:val="18"/>
          <w:lang w:val="es-ES_tradnl"/>
        </w:rPr>
        <w:t>n extraordinaria de protecci</w:t>
      </w:r>
      <w:r>
        <w:rPr>
          <w:rFonts w:cs="Times New Roman"/>
          <w:spacing w:val="-5"/>
          <w:sz w:val="18"/>
          <w:szCs w:val="18"/>
          <w:lang w:val="es-ES_tradnl"/>
        </w:rPr>
        <w:t>ó</w:t>
      </w:r>
      <w:r>
        <w:rPr>
          <w:spacing w:val="-5"/>
          <w:sz w:val="18"/>
          <w:szCs w:val="18"/>
          <w:lang w:val="es-ES_tradnl"/>
        </w:rPr>
        <w:t xml:space="preserve">n se </w:t>
      </w:r>
      <w:r>
        <w:rPr>
          <w:spacing w:val="-4"/>
          <w:sz w:val="18"/>
          <w:szCs w:val="18"/>
          <w:lang w:val="es-ES_tradnl"/>
        </w:rPr>
        <w:t>constituye en un juicio de la actuaci</w:t>
      </w:r>
      <w:r>
        <w:rPr>
          <w:rFonts w:cs="Times New Roman"/>
          <w:spacing w:val="-4"/>
          <w:sz w:val="18"/>
          <w:szCs w:val="18"/>
          <w:lang w:val="es-ES_tradnl"/>
        </w:rPr>
        <w:t>ó</w:t>
      </w:r>
      <w:r>
        <w:rPr>
          <w:spacing w:val="-4"/>
          <w:sz w:val="18"/>
          <w:szCs w:val="18"/>
          <w:lang w:val="es-ES_tradnl"/>
        </w:rPr>
        <w:t xml:space="preserve">n judicial a lo largo </w:t>
      </w:r>
      <w:r>
        <w:rPr>
          <w:spacing w:val="-6"/>
          <w:sz w:val="18"/>
          <w:szCs w:val="18"/>
          <w:lang w:val="es-ES_tradnl"/>
        </w:rPr>
        <w:t xml:space="preserve">del proceso que se analiza, utilizando como premisa del </w:t>
      </w:r>
      <w:r>
        <w:rPr>
          <w:spacing w:val="-3"/>
          <w:sz w:val="18"/>
          <w:szCs w:val="18"/>
          <w:lang w:val="es-ES_tradnl"/>
        </w:rPr>
        <w:t>an</w:t>
      </w:r>
      <w:r>
        <w:rPr>
          <w:rFonts w:cs="Times New Roman"/>
          <w:spacing w:val="-3"/>
          <w:sz w:val="18"/>
          <w:szCs w:val="18"/>
          <w:lang w:val="es-ES_tradnl"/>
        </w:rPr>
        <w:t>á</w:t>
      </w:r>
      <w:r>
        <w:rPr>
          <w:spacing w:val="-3"/>
          <w:sz w:val="18"/>
          <w:szCs w:val="18"/>
          <w:lang w:val="es-ES_tradnl"/>
        </w:rPr>
        <w:t xml:space="preserve">lisis el contenido del texto Constitucional. Por ende, </w:t>
      </w:r>
      <w:r>
        <w:rPr>
          <w:spacing w:val="-4"/>
          <w:sz w:val="18"/>
          <w:szCs w:val="18"/>
          <w:lang w:val="es-ES_tradnl"/>
        </w:rPr>
        <w:t xml:space="preserve">la labor de la Corte Constitucional no constituye una </w:t>
      </w:r>
      <w:r>
        <w:rPr>
          <w:spacing w:val="-6"/>
          <w:sz w:val="18"/>
          <w:szCs w:val="18"/>
          <w:lang w:val="es-ES_tradnl"/>
        </w:rPr>
        <w:t>correcci</w:t>
      </w:r>
      <w:r>
        <w:rPr>
          <w:rFonts w:cs="Times New Roman"/>
          <w:spacing w:val="-6"/>
          <w:sz w:val="18"/>
          <w:szCs w:val="18"/>
          <w:lang w:val="es-ES_tradnl"/>
        </w:rPr>
        <w:t>ó</w:t>
      </w:r>
      <w:r>
        <w:rPr>
          <w:spacing w:val="-6"/>
          <w:sz w:val="18"/>
          <w:szCs w:val="18"/>
          <w:lang w:val="es-ES_tradnl"/>
        </w:rPr>
        <w:t>n de errores en la aplicaci</w:t>
      </w:r>
      <w:r>
        <w:rPr>
          <w:rFonts w:cs="Times New Roman"/>
          <w:spacing w:val="-6"/>
          <w:sz w:val="18"/>
          <w:szCs w:val="18"/>
          <w:lang w:val="es-ES_tradnl"/>
        </w:rPr>
        <w:t>ó</w:t>
      </w:r>
      <w:r>
        <w:rPr>
          <w:spacing w:val="-6"/>
          <w:sz w:val="18"/>
          <w:szCs w:val="18"/>
          <w:lang w:val="es-ES_tradnl"/>
        </w:rPr>
        <w:t>n e interpretaci</w:t>
      </w:r>
      <w:r>
        <w:rPr>
          <w:rFonts w:cs="Times New Roman"/>
          <w:spacing w:val="-6"/>
          <w:sz w:val="18"/>
          <w:szCs w:val="18"/>
          <w:lang w:val="es-ES_tradnl"/>
        </w:rPr>
        <w:t>ó</w:t>
      </w:r>
      <w:r>
        <w:rPr>
          <w:spacing w:val="-6"/>
          <w:sz w:val="18"/>
          <w:szCs w:val="18"/>
          <w:lang w:val="es-ES_tradnl"/>
        </w:rPr>
        <w:t xml:space="preserve">n de </w:t>
      </w:r>
      <w:r>
        <w:rPr>
          <w:spacing w:val="-5"/>
          <w:sz w:val="18"/>
          <w:szCs w:val="18"/>
          <w:lang w:val="es-ES_tradnl"/>
        </w:rPr>
        <w:t xml:space="preserve">normas infraconstitucionales, ni un nuevo enjuiciamiento </w:t>
      </w:r>
      <w:r>
        <w:rPr>
          <w:spacing w:val="-8"/>
          <w:sz w:val="18"/>
          <w:szCs w:val="18"/>
          <w:lang w:val="es-ES_tradnl"/>
        </w:rPr>
        <w:t>de los hechos presentados ante las judicaturas inferiores.</w:t>
      </w:r>
    </w:p>
    <w:p w14:paraId="4F67AFF0" w14:textId="77777777" w:rsidR="00591D54" w:rsidRDefault="00591D54">
      <w:pPr>
        <w:shd w:val="clear" w:color="auto" w:fill="FFFFFF"/>
        <w:spacing w:before="192" w:line="211" w:lineRule="exact"/>
        <w:jc w:val="both"/>
      </w:pPr>
      <w:r>
        <w:rPr>
          <w:sz w:val="18"/>
          <w:szCs w:val="18"/>
          <w:lang w:val="es-ES_tradnl"/>
        </w:rPr>
        <w:t>Asimismo, la Corte Constitucional, para el per</w:t>
      </w:r>
      <w:r>
        <w:rPr>
          <w:rFonts w:cs="Times New Roman"/>
          <w:sz w:val="18"/>
          <w:szCs w:val="18"/>
          <w:lang w:val="es-ES_tradnl"/>
        </w:rPr>
        <w:t>í</w:t>
      </w:r>
      <w:r>
        <w:rPr>
          <w:sz w:val="18"/>
          <w:szCs w:val="18"/>
          <w:lang w:val="es-ES_tradnl"/>
        </w:rPr>
        <w:t xml:space="preserve">odo </w:t>
      </w:r>
      <w:r>
        <w:rPr>
          <w:spacing w:val="-6"/>
          <w:sz w:val="18"/>
          <w:szCs w:val="18"/>
          <w:lang w:val="es-ES_tradnl"/>
        </w:rPr>
        <w:t>de transici</w:t>
      </w:r>
      <w:r>
        <w:rPr>
          <w:rFonts w:cs="Times New Roman"/>
          <w:spacing w:val="-6"/>
          <w:sz w:val="18"/>
          <w:szCs w:val="18"/>
          <w:lang w:val="es-ES_tradnl"/>
        </w:rPr>
        <w:t>ó</w:t>
      </w:r>
      <w:r>
        <w:rPr>
          <w:spacing w:val="-6"/>
          <w:sz w:val="18"/>
          <w:szCs w:val="18"/>
          <w:lang w:val="es-ES_tradnl"/>
        </w:rPr>
        <w:t>n, en la sentencia N.</w:t>
      </w:r>
      <w:r>
        <w:rPr>
          <w:rFonts w:cs="Times New Roman"/>
          <w:spacing w:val="-6"/>
          <w:sz w:val="18"/>
          <w:szCs w:val="18"/>
          <w:lang w:val="es-ES_tradnl"/>
        </w:rPr>
        <w:t>º</w:t>
      </w:r>
      <w:r>
        <w:rPr>
          <w:spacing w:val="-6"/>
          <w:sz w:val="18"/>
          <w:szCs w:val="18"/>
          <w:lang w:val="es-ES_tradnl"/>
        </w:rPr>
        <w:t xml:space="preserve"> 227-12-SEP-CC, </w:t>
      </w:r>
      <w:r>
        <w:rPr>
          <w:spacing w:val="-4"/>
          <w:sz w:val="18"/>
          <w:szCs w:val="18"/>
          <w:lang w:val="es-ES_tradnl"/>
        </w:rPr>
        <w:t>correspondiente a la causa N.</w:t>
      </w:r>
      <w:r>
        <w:rPr>
          <w:rFonts w:cs="Times New Roman"/>
          <w:spacing w:val="-4"/>
          <w:sz w:val="18"/>
          <w:szCs w:val="18"/>
          <w:lang w:val="es-ES_tradnl"/>
        </w:rPr>
        <w:t>º</w:t>
      </w:r>
      <w:r>
        <w:rPr>
          <w:spacing w:val="-4"/>
          <w:sz w:val="18"/>
          <w:szCs w:val="18"/>
          <w:lang w:val="es-ES_tradnl"/>
        </w:rPr>
        <w:t xml:space="preserve"> 1212-11-EP, respecto a </w:t>
      </w:r>
      <w:r>
        <w:rPr>
          <w:spacing w:val="-5"/>
          <w:sz w:val="18"/>
          <w:szCs w:val="18"/>
          <w:lang w:val="es-ES_tradnl"/>
        </w:rPr>
        <w:t>las acciones extraordinarias de protecci</w:t>
      </w:r>
      <w:r>
        <w:rPr>
          <w:rFonts w:cs="Times New Roman"/>
          <w:spacing w:val="-5"/>
          <w:sz w:val="18"/>
          <w:szCs w:val="18"/>
          <w:lang w:val="es-ES_tradnl"/>
        </w:rPr>
        <w:t>ó</w:t>
      </w:r>
      <w:r>
        <w:rPr>
          <w:spacing w:val="-5"/>
          <w:sz w:val="18"/>
          <w:szCs w:val="18"/>
          <w:lang w:val="es-ES_tradnl"/>
        </w:rPr>
        <w:t xml:space="preserve">n en las que se ha alegado violaciones del derecho al debido proceso en </w:t>
      </w:r>
      <w:r>
        <w:rPr>
          <w:spacing w:val="-2"/>
          <w:sz w:val="18"/>
          <w:szCs w:val="18"/>
          <w:lang w:val="es-ES_tradnl"/>
        </w:rPr>
        <w:t>la garant</w:t>
      </w:r>
      <w:r>
        <w:rPr>
          <w:rFonts w:cs="Times New Roman"/>
          <w:spacing w:val="-2"/>
          <w:sz w:val="18"/>
          <w:szCs w:val="18"/>
          <w:lang w:val="es-ES_tradnl"/>
        </w:rPr>
        <w:t>í</w:t>
      </w:r>
      <w:r>
        <w:rPr>
          <w:spacing w:val="-2"/>
          <w:sz w:val="18"/>
          <w:szCs w:val="18"/>
          <w:lang w:val="es-ES_tradnl"/>
        </w:rPr>
        <w:t xml:space="preserve">a del cumplimiento de normas y derechos de </w:t>
      </w:r>
      <w:r>
        <w:rPr>
          <w:spacing w:val="-6"/>
          <w:sz w:val="18"/>
          <w:szCs w:val="18"/>
          <w:lang w:val="es-ES_tradnl"/>
        </w:rPr>
        <w:t xml:space="preserve">las partes, ha sostenido lo siguiente: </w:t>
      </w:r>
      <w:r>
        <w:rPr>
          <w:rFonts w:cs="Times New Roman"/>
          <w:spacing w:val="-6"/>
          <w:sz w:val="18"/>
          <w:szCs w:val="18"/>
          <w:lang w:val="es-ES_tradnl"/>
        </w:rPr>
        <w:t>“</w:t>
      </w:r>
      <w:r>
        <w:rPr>
          <w:spacing w:val="-6"/>
          <w:sz w:val="18"/>
          <w:szCs w:val="18"/>
          <w:lang w:val="es-ES_tradnl"/>
        </w:rPr>
        <w:t xml:space="preserve">cualquier autoridad </w:t>
      </w:r>
      <w:r>
        <w:rPr>
          <w:spacing w:val="-8"/>
          <w:sz w:val="18"/>
          <w:szCs w:val="18"/>
          <w:lang w:val="es-ES_tradnl"/>
        </w:rPr>
        <w:t xml:space="preserve">judicial que vulnere un derecho constitucional, por ese solo </w:t>
      </w:r>
      <w:r>
        <w:rPr>
          <w:spacing w:val="-12"/>
          <w:sz w:val="18"/>
          <w:szCs w:val="18"/>
          <w:lang w:val="es-ES_tradnl"/>
        </w:rPr>
        <w:t>hecho faltar</w:t>
      </w:r>
      <w:r>
        <w:rPr>
          <w:rFonts w:cs="Times New Roman"/>
          <w:spacing w:val="-12"/>
          <w:sz w:val="18"/>
          <w:szCs w:val="18"/>
          <w:lang w:val="es-ES_tradnl"/>
        </w:rPr>
        <w:t>á</w:t>
      </w:r>
      <w:r>
        <w:rPr>
          <w:spacing w:val="-12"/>
          <w:sz w:val="18"/>
          <w:szCs w:val="18"/>
          <w:lang w:val="es-ES_tradnl"/>
        </w:rPr>
        <w:t xml:space="preserve"> a su obligaci</w:t>
      </w:r>
      <w:r>
        <w:rPr>
          <w:rFonts w:cs="Times New Roman"/>
          <w:spacing w:val="-12"/>
          <w:sz w:val="18"/>
          <w:szCs w:val="18"/>
          <w:lang w:val="es-ES_tradnl"/>
        </w:rPr>
        <w:t>ó</w:t>
      </w:r>
      <w:r>
        <w:rPr>
          <w:spacing w:val="-12"/>
          <w:sz w:val="18"/>
          <w:szCs w:val="18"/>
          <w:lang w:val="es-ES_tradnl"/>
        </w:rPr>
        <w:t>n de tutelar los derechos, as</w:t>
      </w:r>
      <w:r>
        <w:rPr>
          <w:rFonts w:cs="Times New Roman"/>
          <w:spacing w:val="-12"/>
          <w:sz w:val="18"/>
          <w:szCs w:val="18"/>
          <w:lang w:val="es-ES_tradnl"/>
        </w:rPr>
        <w:t>í</w:t>
      </w:r>
      <w:r>
        <w:rPr>
          <w:spacing w:val="-12"/>
          <w:sz w:val="18"/>
          <w:szCs w:val="18"/>
          <w:lang w:val="es-ES_tradnl"/>
        </w:rPr>
        <w:t xml:space="preserve"> como </w:t>
      </w:r>
      <w:r>
        <w:rPr>
          <w:spacing w:val="-9"/>
          <w:sz w:val="18"/>
          <w:szCs w:val="18"/>
          <w:lang w:val="es-ES_tradnl"/>
        </w:rPr>
        <w:t>su accionar entrar</w:t>
      </w:r>
      <w:r>
        <w:rPr>
          <w:rFonts w:cs="Times New Roman"/>
          <w:spacing w:val="-9"/>
          <w:sz w:val="18"/>
          <w:szCs w:val="18"/>
          <w:lang w:val="es-ES_tradnl"/>
        </w:rPr>
        <w:t>á</w:t>
      </w:r>
      <w:r>
        <w:rPr>
          <w:spacing w:val="-9"/>
          <w:sz w:val="18"/>
          <w:szCs w:val="18"/>
          <w:lang w:val="es-ES_tradnl"/>
        </w:rPr>
        <w:t xml:space="preserve"> en franca contradicci</w:t>
      </w:r>
      <w:r>
        <w:rPr>
          <w:rFonts w:cs="Times New Roman"/>
          <w:spacing w:val="-9"/>
          <w:sz w:val="18"/>
          <w:szCs w:val="18"/>
          <w:lang w:val="es-ES_tradnl"/>
        </w:rPr>
        <w:t>ó</w:t>
      </w:r>
      <w:r>
        <w:rPr>
          <w:spacing w:val="-9"/>
          <w:sz w:val="18"/>
          <w:szCs w:val="18"/>
          <w:lang w:val="es-ES_tradnl"/>
        </w:rPr>
        <w:t xml:space="preserve">n con su deber de </w:t>
      </w:r>
      <w:r>
        <w:rPr>
          <w:spacing w:val="-7"/>
          <w:sz w:val="18"/>
          <w:szCs w:val="18"/>
          <w:lang w:val="es-ES_tradnl"/>
        </w:rPr>
        <w:t xml:space="preserve">garantizar el cumplimiento de las normas constitucionales, </w:t>
      </w:r>
      <w:r>
        <w:rPr>
          <w:spacing w:val="-6"/>
          <w:sz w:val="18"/>
          <w:szCs w:val="18"/>
          <w:lang w:val="es-ES_tradnl"/>
        </w:rPr>
        <w:t>lesionando as</w:t>
      </w:r>
      <w:r>
        <w:rPr>
          <w:rFonts w:cs="Times New Roman"/>
          <w:spacing w:val="-6"/>
          <w:sz w:val="18"/>
          <w:szCs w:val="18"/>
          <w:lang w:val="es-ES_tradnl"/>
        </w:rPr>
        <w:t>í</w:t>
      </w:r>
      <w:r>
        <w:rPr>
          <w:spacing w:val="-6"/>
          <w:sz w:val="18"/>
          <w:szCs w:val="18"/>
          <w:lang w:val="es-ES_tradnl"/>
        </w:rPr>
        <w:t xml:space="preserve"> la seguridad jur</w:t>
      </w:r>
      <w:r>
        <w:rPr>
          <w:rFonts w:cs="Times New Roman"/>
          <w:spacing w:val="-6"/>
          <w:sz w:val="18"/>
          <w:szCs w:val="18"/>
          <w:lang w:val="es-ES_tradnl"/>
        </w:rPr>
        <w:t>í</w:t>
      </w:r>
      <w:r>
        <w:rPr>
          <w:spacing w:val="-6"/>
          <w:sz w:val="18"/>
          <w:szCs w:val="18"/>
          <w:lang w:val="es-ES_tradnl"/>
        </w:rPr>
        <w:t>dica</w:t>
      </w:r>
      <w:r>
        <w:rPr>
          <w:rFonts w:cs="Times New Roman"/>
          <w:spacing w:val="-6"/>
          <w:sz w:val="18"/>
          <w:szCs w:val="18"/>
          <w:lang w:val="es-ES_tradnl"/>
        </w:rPr>
        <w:t>”</w:t>
      </w:r>
      <w:r>
        <w:rPr>
          <w:spacing w:val="-6"/>
          <w:sz w:val="18"/>
          <w:szCs w:val="18"/>
          <w:lang w:val="es-ES_tradnl"/>
        </w:rPr>
        <w:t xml:space="preserve">. Siguiendo el criterio </w:t>
      </w:r>
      <w:r>
        <w:rPr>
          <w:spacing w:val="-5"/>
          <w:sz w:val="18"/>
          <w:szCs w:val="18"/>
          <w:lang w:val="es-ES_tradnl"/>
        </w:rPr>
        <w:t>de la Corte, la implicaci</w:t>
      </w:r>
      <w:r>
        <w:rPr>
          <w:rFonts w:cs="Times New Roman"/>
          <w:spacing w:val="-5"/>
          <w:sz w:val="18"/>
          <w:szCs w:val="18"/>
          <w:lang w:val="es-ES_tradnl"/>
        </w:rPr>
        <w:t>ó</w:t>
      </w:r>
      <w:r>
        <w:rPr>
          <w:spacing w:val="-5"/>
          <w:sz w:val="18"/>
          <w:szCs w:val="18"/>
          <w:lang w:val="es-ES_tradnl"/>
        </w:rPr>
        <w:t>n de declarar la vulneraci</w:t>
      </w:r>
      <w:r>
        <w:rPr>
          <w:rFonts w:cs="Times New Roman"/>
          <w:spacing w:val="-5"/>
          <w:sz w:val="18"/>
          <w:szCs w:val="18"/>
          <w:lang w:val="es-ES_tradnl"/>
        </w:rPr>
        <w:t>ó</w:t>
      </w:r>
      <w:r>
        <w:rPr>
          <w:spacing w:val="-5"/>
          <w:sz w:val="18"/>
          <w:szCs w:val="18"/>
          <w:lang w:val="es-ES_tradnl"/>
        </w:rPr>
        <w:t xml:space="preserve">n de </w:t>
      </w:r>
      <w:r>
        <w:rPr>
          <w:spacing w:val="-8"/>
          <w:sz w:val="18"/>
          <w:szCs w:val="18"/>
          <w:lang w:val="es-ES_tradnl"/>
        </w:rPr>
        <w:t xml:space="preserve">derechos constitucionales es que por ese hecho, la Corte deba </w:t>
      </w:r>
      <w:r>
        <w:rPr>
          <w:rFonts w:cs="Times New Roman"/>
          <w:spacing w:val="-8"/>
          <w:sz w:val="18"/>
          <w:szCs w:val="18"/>
          <w:lang w:val="es-ES_tradnl"/>
        </w:rPr>
        <w:t>“…</w:t>
      </w:r>
      <w:r>
        <w:rPr>
          <w:spacing w:val="-8"/>
          <w:sz w:val="18"/>
          <w:szCs w:val="18"/>
          <w:lang w:val="es-ES_tradnl"/>
        </w:rPr>
        <w:t xml:space="preserve">declarar adicionalmente el quebrantamiento de la </w:t>
      </w:r>
      <w:r>
        <w:rPr>
          <w:spacing w:val="-3"/>
          <w:sz w:val="18"/>
          <w:szCs w:val="18"/>
          <w:lang w:val="es-ES_tradnl"/>
        </w:rPr>
        <w:t>tutela judicial efectiva, (</w:t>
      </w:r>
      <w:r>
        <w:rPr>
          <w:rFonts w:cs="Times New Roman"/>
          <w:spacing w:val="-3"/>
          <w:sz w:val="18"/>
          <w:szCs w:val="18"/>
          <w:lang w:val="es-ES_tradnl"/>
        </w:rPr>
        <w:t>…</w:t>
      </w:r>
      <w:r>
        <w:rPr>
          <w:spacing w:val="-3"/>
          <w:sz w:val="18"/>
          <w:szCs w:val="18"/>
          <w:lang w:val="es-ES_tradnl"/>
        </w:rPr>
        <w:t>) y la obligaci</w:t>
      </w:r>
      <w:r>
        <w:rPr>
          <w:rFonts w:cs="Times New Roman"/>
          <w:spacing w:val="-3"/>
          <w:sz w:val="18"/>
          <w:szCs w:val="18"/>
          <w:lang w:val="es-ES_tradnl"/>
        </w:rPr>
        <w:t>ó</w:t>
      </w:r>
      <w:r>
        <w:rPr>
          <w:spacing w:val="-3"/>
          <w:sz w:val="18"/>
          <w:szCs w:val="18"/>
          <w:lang w:val="es-ES_tradnl"/>
        </w:rPr>
        <w:t xml:space="preserve">n de garantizar </w:t>
      </w:r>
      <w:r>
        <w:rPr>
          <w:spacing w:val="-8"/>
          <w:sz w:val="18"/>
          <w:szCs w:val="18"/>
          <w:lang w:val="es-ES_tradnl"/>
        </w:rPr>
        <w:t>el cumplimiento de normas y derechos constitucionales</w:t>
      </w:r>
      <w:r>
        <w:rPr>
          <w:rFonts w:cs="Times New Roman"/>
          <w:spacing w:val="-8"/>
          <w:sz w:val="18"/>
          <w:szCs w:val="18"/>
          <w:lang w:val="es-ES_tradnl"/>
        </w:rPr>
        <w:t>…”</w:t>
      </w:r>
      <w:r>
        <w:rPr>
          <w:spacing w:val="-8"/>
          <w:sz w:val="18"/>
          <w:szCs w:val="18"/>
          <w:lang w:val="es-ES_tradnl"/>
        </w:rPr>
        <w:t xml:space="preserve">. </w:t>
      </w:r>
      <w:r>
        <w:rPr>
          <w:spacing w:val="-11"/>
          <w:sz w:val="18"/>
          <w:szCs w:val="18"/>
          <w:lang w:val="es-ES_tradnl"/>
        </w:rPr>
        <w:t>Por ende, dicha determinaci</w:t>
      </w:r>
      <w:r>
        <w:rPr>
          <w:rFonts w:cs="Times New Roman"/>
          <w:spacing w:val="-11"/>
          <w:sz w:val="18"/>
          <w:szCs w:val="18"/>
          <w:lang w:val="es-ES_tradnl"/>
        </w:rPr>
        <w:t>ó</w:t>
      </w:r>
      <w:r>
        <w:rPr>
          <w:spacing w:val="-11"/>
          <w:sz w:val="18"/>
          <w:szCs w:val="18"/>
          <w:lang w:val="es-ES_tradnl"/>
        </w:rPr>
        <w:t>n depender</w:t>
      </w:r>
      <w:r>
        <w:rPr>
          <w:rFonts w:cs="Times New Roman"/>
          <w:spacing w:val="-11"/>
          <w:sz w:val="18"/>
          <w:szCs w:val="18"/>
          <w:lang w:val="es-ES_tradnl"/>
        </w:rPr>
        <w:t>á</w:t>
      </w:r>
      <w:r>
        <w:rPr>
          <w:spacing w:val="-11"/>
          <w:sz w:val="18"/>
          <w:szCs w:val="18"/>
          <w:lang w:val="es-ES_tradnl"/>
        </w:rPr>
        <w:t xml:space="preserve"> del an</w:t>
      </w:r>
      <w:r>
        <w:rPr>
          <w:rFonts w:cs="Times New Roman"/>
          <w:spacing w:val="-11"/>
          <w:sz w:val="18"/>
          <w:szCs w:val="18"/>
          <w:lang w:val="es-ES_tradnl"/>
        </w:rPr>
        <w:t>á</w:t>
      </w:r>
      <w:r>
        <w:rPr>
          <w:spacing w:val="-11"/>
          <w:sz w:val="18"/>
          <w:szCs w:val="18"/>
          <w:lang w:val="es-ES_tradnl"/>
        </w:rPr>
        <w:t xml:space="preserve">lisis que se </w:t>
      </w:r>
      <w:r>
        <w:rPr>
          <w:spacing w:val="-9"/>
          <w:sz w:val="18"/>
          <w:szCs w:val="18"/>
          <w:lang w:val="es-ES_tradnl"/>
        </w:rPr>
        <w:t>realice respecto de los dem</w:t>
      </w:r>
      <w:r>
        <w:rPr>
          <w:rFonts w:cs="Times New Roman"/>
          <w:spacing w:val="-9"/>
          <w:sz w:val="18"/>
          <w:szCs w:val="18"/>
          <w:lang w:val="es-ES_tradnl"/>
        </w:rPr>
        <w:t>á</w:t>
      </w:r>
      <w:r>
        <w:rPr>
          <w:spacing w:val="-9"/>
          <w:sz w:val="18"/>
          <w:szCs w:val="18"/>
          <w:lang w:val="es-ES_tradnl"/>
        </w:rPr>
        <w:t>s derechos involucrados.</w:t>
      </w:r>
    </w:p>
    <w:p w14:paraId="4F67AFF1" w14:textId="77777777" w:rsidR="00591D54" w:rsidRDefault="00591D54">
      <w:pPr>
        <w:shd w:val="clear" w:color="auto" w:fill="FFFFFF"/>
        <w:spacing w:before="187"/>
      </w:pPr>
      <w:r>
        <w:rPr>
          <w:b/>
          <w:bCs/>
          <w:spacing w:val="-9"/>
          <w:sz w:val="18"/>
          <w:szCs w:val="18"/>
          <w:lang w:val="es-ES_tradnl"/>
        </w:rPr>
        <w:t>Determinaci</w:t>
      </w:r>
      <w:r>
        <w:rPr>
          <w:rFonts w:cs="Times New Roman"/>
          <w:b/>
          <w:bCs/>
          <w:spacing w:val="-9"/>
          <w:sz w:val="18"/>
          <w:szCs w:val="18"/>
          <w:lang w:val="es-ES_tradnl"/>
        </w:rPr>
        <w:t>ó</w:t>
      </w:r>
      <w:r>
        <w:rPr>
          <w:b/>
          <w:bCs/>
          <w:spacing w:val="-9"/>
          <w:sz w:val="18"/>
          <w:szCs w:val="18"/>
          <w:lang w:val="es-ES_tradnl"/>
        </w:rPr>
        <w:t>n de los problemas jur</w:t>
      </w:r>
      <w:r>
        <w:rPr>
          <w:rFonts w:cs="Times New Roman"/>
          <w:b/>
          <w:bCs/>
          <w:spacing w:val="-9"/>
          <w:sz w:val="18"/>
          <w:szCs w:val="18"/>
          <w:lang w:val="es-ES_tradnl"/>
        </w:rPr>
        <w:t>í</w:t>
      </w:r>
      <w:r>
        <w:rPr>
          <w:b/>
          <w:bCs/>
          <w:spacing w:val="-9"/>
          <w:sz w:val="18"/>
          <w:szCs w:val="18"/>
          <w:lang w:val="es-ES_tradnl"/>
        </w:rPr>
        <w:t>dicos a resolver</w:t>
      </w:r>
    </w:p>
    <w:p w14:paraId="4F67AFF2" w14:textId="77777777" w:rsidR="00591D54" w:rsidRDefault="00591D54">
      <w:pPr>
        <w:shd w:val="clear" w:color="auto" w:fill="FFFFFF"/>
        <w:spacing w:before="192" w:line="211" w:lineRule="exact"/>
        <w:jc w:val="both"/>
      </w:pPr>
      <w:r>
        <w:rPr>
          <w:spacing w:val="-6"/>
          <w:sz w:val="18"/>
          <w:szCs w:val="18"/>
          <w:lang w:val="es-ES_tradnl"/>
        </w:rPr>
        <w:t>La Corte Constitucional, en el presente caso, deber</w:t>
      </w:r>
      <w:r>
        <w:rPr>
          <w:rFonts w:cs="Times New Roman"/>
          <w:spacing w:val="-6"/>
          <w:sz w:val="18"/>
          <w:szCs w:val="18"/>
          <w:lang w:val="es-ES_tradnl"/>
        </w:rPr>
        <w:t xml:space="preserve">á </w:t>
      </w:r>
      <w:r>
        <w:rPr>
          <w:spacing w:val="-9"/>
          <w:sz w:val="18"/>
          <w:szCs w:val="18"/>
          <w:lang w:val="es-ES_tradnl"/>
        </w:rPr>
        <w:t>determinar si la decisi</w:t>
      </w:r>
      <w:r>
        <w:rPr>
          <w:rFonts w:cs="Times New Roman"/>
          <w:spacing w:val="-9"/>
          <w:sz w:val="18"/>
          <w:szCs w:val="18"/>
          <w:lang w:val="es-ES_tradnl"/>
        </w:rPr>
        <w:t>ó</w:t>
      </w:r>
      <w:r>
        <w:rPr>
          <w:spacing w:val="-9"/>
          <w:sz w:val="18"/>
          <w:szCs w:val="18"/>
          <w:lang w:val="es-ES_tradnl"/>
        </w:rPr>
        <w:t xml:space="preserve">n impugnada ha vulnerado derechos constitucionales, ante lo cual, estima necesario sistematizar </w:t>
      </w:r>
      <w:r>
        <w:rPr>
          <w:spacing w:val="-7"/>
          <w:sz w:val="18"/>
          <w:szCs w:val="18"/>
          <w:lang w:val="es-ES_tradnl"/>
        </w:rPr>
        <w:t>su argumentaci</w:t>
      </w:r>
      <w:r>
        <w:rPr>
          <w:rFonts w:cs="Times New Roman"/>
          <w:spacing w:val="-7"/>
          <w:sz w:val="18"/>
          <w:szCs w:val="18"/>
          <w:lang w:val="es-ES_tradnl"/>
        </w:rPr>
        <w:t>ó</w:t>
      </w:r>
      <w:r>
        <w:rPr>
          <w:spacing w:val="-7"/>
          <w:sz w:val="18"/>
          <w:szCs w:val="18"/>
          <w:lang w:val="es-ES_tradnl"/>
        </w:rPr>
        <w:t xml:space="preserve">n a partir de los siguientes problemas </w:t>
      </w:r>
      <w:r>
        <w:rPr>
          <w:sz w:val="18"/>
          <w:szCs w:val="18"/>
          <w:lang w:val="es-ES_tradnl"/>
        </w:rPr>
        <w:t>jur</w:t>
      </w:r>
      <w:r>
        <w:rPr>
          <w:rFonts w:cs="Times New Roman"/>
          <w:sz w:val="18"/>
          <w:szCs w:val="18"/>
          <w:lang w:val="es-ES_tradnl"/>
        </w:rPr>
        <w:t>í</w:t>
      </w:r>
      <w:r>
        <w:rPr>
          <w:sz w:val="18"/>
          <w:szCs w:val="18"/>
          <w:lang w:val="es-ES_tradnl"/>
        </w:rPr>
        <w:t>dicos:</w:t>
      </w:r>
    </w:p>
    <w:p w14:paraId="4F67AFF3" w14:textId="77777777" w:rsidR="00591D54" w:rsidRDefault="00591D54" w:rsidP="00251195">
      <w:pPr>
        <w:numPr>
          <w:ilvl w:val="0"/>
          <w:numId w:val="77"/>
        </w:numPr>
        <w:shd w:val="clear" w:color="auto" w:fill="FFFFFF"/>
        <w:tabs>
          <w:tab w:val="left" w:pos="178"/>
        </w:tabs>
        <w:spacing w:before="192" w:line="211" w:lineRule="exact"/>
        <w:jc w:val="both"/>
        <w:rPr>
          <w:spacing w:val="-9"/>
          <w:sz w:val="18"/>
          <w:szCs w:val="18"/>
          <w:lang w:val="es-ES_tradnl"/>
        </w:rPr>
      </w:pPr>
      <w:r>
        <w:rPr>
          <w:spacing w:val="-6"/>
          <w:sz w:val="18"/>
          <w:szCs w:val="18"/>
          <w:lang w:val="es-ES_tradnl"/>
        </w:rPr>
        <w:t>La sentencia dictada por el juez D</w:t>
      </w:r>
      <w:r>
        <w:rPr>
          <w:rFonts w:cs="Times New Roman"/>
          <w:spacing w:val="-6"/>
          <w:sz w:val="18"/>
          <w:szCs w:val="18"/>
          <w:lang w:val="es-ES_tradnl"/>
        </w:rPr>
        <w:t>é</w:t>
      </w:r>
      <w:r>
        <w:rPr>
          <w:spacing w:val="-6"/>
          <w:sz w:val="18"/>
          <w:szCs w:val="18"/>
          <w:lang w:val="es-ES_tradnl"/>
        </w:rPr>
        <w:t xml:space="preserve">cimo Tercero de lo </w:t>
      </w:r>
      <w:r>
        <w:rPr>
          <w:spacing w:val="-10"/>
          <w:sz w:val="18"/>
          <w:szCs w:val="18"/>
          <w:lang w:val="es-ES_tradnl"/>
        </w:rPr>
        <w:t xml:space="preserve">Civil de Pichincha, </w:t>
      </w:r>
      <w:r>
        <w:rPr>
          <w:rFonts w:cs="Times New Roman"/>
          <w:spacing w:val="-10"/>
          <w:sz w:val="18"/>
          <w:szCs w:val="18"/>
          <w:lang w:val="es-ES_tradnl"/>
        </w:rPr>
        <w:t>¿</w:t>
      </w:r>
      <w:r>
        <w:rPr>
          <w:spacing w:val="-10"/>
          <w:sz w:val="18"/>
          <w:szCs w:val="18"/>
          <w:lang w:val="es-ES_tradnl"/>
        </w:rPr>
        <w:t xml:space="preserve">vulnera el derecho al debido proceso en </w:t>
      </w:r>
      <w:r>
        <w:rPr>
          <w:spacing w:val="-8"/>
          <w:sz w:val="18"/>
          <w:szCs w:val="18"/>
          <w:lang w:val="es-ES_tradnl"/>
        </w:rPr>
        <w:t>la garant</w:t>
      </w:r>
      <w:r>
        <w:rPr>
          <w:rFonts w:cs="Times New Roman"/>
          <w:spacing w:val="-8"/>
          <w:sz w:val="18"/>
          <w:szCs w:val="18"/>
          <w:lang w:val="es-ES_tradnl"/>
        </w:rPr>
        <w:t>í</w:t>
      </w:r>
      <w:r>
        <w:rPr>
          <w:spacing w:val="-8"/>
          <w:sz w:val="18"/>
          <w:szCs w:val="18"/>
          <w:lang w:val="es-ES_tradnl"/>
        </w:rPr>
        <w:t>a de la motivaci</w:t>
      </w:r>
      <w:r>
        <w:rPr>
          <w:rFonts w:cs="Times New Roman"/>
          <w:spacing w:val="-8"/>
          <w:sz w:val="18"/>
          <w:szCs w:val="18"/>
          <w:lang w:val="es-ES_tradnl"/>
        </w:rPr>
        <w:t>ó</w:t>
      </w:r>
      <w:r>
        <w:rPr>
          <w:spacing w:val="-8"/>
          <w:sz w:val="18"/>
          <w:szCs w:val="18"/>
          <w:lang w:val="es-ES_tradnl"/>
        </w:rPr>
        <w:t>n, seg</w:t>
      </w:r>
      <w:r>
        <w:rPr>
          <w:rFonts w:cs="Times New Roman"/>
          <w:spacing w:val="-8"/>
          <w:sz w:val="18"/>
          <w:szCs w:val="18"/>
          <w:lang w:val="es-ES_tradnl"/>
        </w:rPr>
        <w:t>ú</w:t>
      </w:r>
      <w:r>
        <w:rPr>
          <w:spacing w:val="-8"/>
          <w:sz w:val="18"/>
          <w:szCs w:val="18"/>
          <w:lang w:val="es-ES_tradnl"/>
        </w:rPr>
        <w:t>n lo previsto en el art</w:t>
      </w:r>
      <w:r>
        <w:rPr>
          <w:rFonts w:cs="Times New Roman"/>
          <w:spacing w:val="-8"/>
          <w:sz w:val="18"/>
          <w:szCs w:val="18"/>
          <w:lang w:val="es-ES_tradnl"/>
        </w:rPr>
        <w:t>í</w:t>
      </w:r>
      <w:r>
        <w:rPr>
          <w:spacing w:val="-8"/>
          <w:sz w:val="18"/>
          <w:szCs w:val="18"/>
          <w:lang w:val="es-ES_tradnl"/>
        </w:rPr>
        <w:t xml:space="preserve">culo </w:t>
      </w:r>
      <w:r>
        <w:rPr>
          <w:spacing w:val="-6"/>
          <w:sz w:val="18"/>
          <w:szCs w:val="18"/>
          <w:lang w:val="es-ES_tradnl"/>
        </w:rPr>
        <w:t xml:space="preserve">76 numeral 7 literal </w:t>
      </w:r>
      <w:r>
        <w:rPr>
          <w:b/>
          <w:bCs/>
          <w:spacing w:val="-6"/>
          <w:sz w:val="18"/>
          <w:szCs w:val="18"/>
          <w:lang w:val="es-ES_tradnl"/>
        </w:rPr>
        <w:t xml:space="preserve">l </w:t>
      </w:r>
      <w:r>
        <w:rPr>
          <w:spacing w:val="-6"/>
          <w:sz w:val="18"/>
          <w:szCs w:val="18"/>
          <w:lang w:val="es-ES_tradnl"/>
        </w:rPr>
        <w:t>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w:t>
      </w:r>
    </w:p>
    <w:p w14:paraId="4F67AFF4" w14:textId="77777777" w:rsidR="00591D54" w:rsidRDefault="00591D54" w:rsidP="00251195">
      <w:pPr>
        <w:numPr>
          <w:ilvl w:val="0"/>
          <w:numId w:val="77"/>
        </w:numPr>
        <w:shd w:val="clear" w:color="auto" w:fill="FFFFFF"/>
        <w:tabs>
          <w:tab w:val="left" w:pos="178"/>
        </w:tabs>
        <w:spacing w:before="187" w:line="211" w:lineRule="exact"/>
        <w:jc w:val="both"/>
        <w:rPr>
          <w:spacing w:val="-9"/>
          <w:sz w:val="18"/>
          <w:szCs w:val="18"/>
          <w:lang w:val="es-ES_tradnl"/>
        </w:rPr>
      </w:pPr>
      <w:r>
        <w:rPr>
          <w:spacing w:val="-7"/>
          <w:sz w:val="18"/>
          <w:szCs w:val="18"/>
          <w:lang w:val="es-ES_tradnl"/>
        </w:rPr>
        <w:t>El auto dictado por el juez D</w:t>
      </w:r>
      <w:r>
        <w:rPr>
          <w:rFonts w:cs="Times New Roman"/>
          <w:spacing w:val="-7"/>
          <w:sz w:val="18"/>
          <w:szCs w:val="18"/>
          <w:lang w:val="es-ES_tradnl"/>
        </w:rPr>
        <w:t>é</w:t>
      </w:r>
      <w:r>
        <w:rPr>
          <w:spacing w:val="-7"/>
          <w:sz w:val="18"/>
          <w:szCs w:val="18"/>
          <w:lang w:val="es-ES_tradnl"/>
        </w:rPr>
        <w:t xml:space="preserve">cimo Tercero de lo Civil de </w:t>
      </w:r>
      <w:r>
        <w:rPr>
          <w:spacing w:val="-8"/>
          <w:sz w:val="18"/>
          <w:szCs w:val="18"/>
          <w:lang w:val="es-ES_tradnl"/>
        </w:rPr>
        <w:t xml:space="preserve">Pichincha, </w:t>
      </w:r>
      <w:r>
        <w:rPr>
          <w:rFonts w:cs="Times New Roman"/>
          <w:spacing w:val="-8"/>
          <w:sz w:val="18"/>
          <w:szCs w:val="18"/>
          <w:lang w:val="es-ES_tradnl"/>
        </w:rPr>
        <w:t>¿</w:t>
      </w:r>
      <w:r>
        <w:rPr>
          <w:spacing w:val="-8"/>
          <w:sz w:val="18"/>
          <w:szCs w:val="18"/>
          <w:lang w:val="es-ES_tradnl"/>
        </w:rPr>
        <w:t>vulnera el derecho a la defensa, en la garant</w:t>
      </w:r>
      <w:r>
        <w:rPr>
          <w:rFonts w:cs="Times New Roman"/>
          <w:spacing w:val="-8"/>
          <w:sz w:val="18"/>
          <w:szCs w:val="18"/>
          <w:lang w:val="es-ES_tradnl"/>
        </w:rPr>
        <w:t>í</w:t>
      </w:r>
      <w:r>
        <w:rPr>
          <w:spacing w:val="-8"/>
          <w:sz w:val="18"/>
          <w:szCs w:val="18"/>
          <w:lang w:val="es-ES_tradnl"/>
        </w:rPr>
        <w:t xml:space="preserve">a </w:t>
      </w:r>
      <w:r>
        <w:rPr>
          <w:spacing w:val="-4"/>
          <w:sz w:val="18"/>
          <w:szCs w:val="18"/>
          <w:lang w:val="es-ES_tradnl"/>
        </w:rPr>
        <w:t>de recurrir el fallo, que contiene el art</w:t>
      </w:r>
      <w:r>
        <w:rPr>
          <w:rFonts w:cs="Times New Roman"/>
          <w:spacing w:val="-4"/>
          <w:sz w:val="18"/>
          <w:szCs w:val="18"/>
          <w:lang w:val="es-ES_tradnl"/>
        </w:rPr>
        <w:t>í</w:t>
      </w:r>
      <w:r>
        <w:rPr>
          <w:spacing w:val="-4"/>
          <w:sz w:val="18"/>
          <w:szCs w:val="18"/>
          <w:lang w:val="es-ES_tradnl"/>
        </w:rPr>
        <w:t xml:space="preserve">culo 76 numeral 7 </w:t>
      </w:r>
      <w:r>
        <w:rPr>
          <w:spacing w:val="-6"/>
          <w:sz w:val="18"/>
          <w:szCs w:val="18"/>
          <w:lang w:val="es-ES_tradnl"/>
        </w:rPr>
        <w:t xml:space="preserve">literal </w:t>
      </w:r>
      <w:r>
        <w:rPr>
          <w:b/>
          <w:bCs/>
          <w:spacing w:val="-6"/>
          <w:sz w:val="18"/>
          <w:szCs w:val="18"/>
          <w:lang w:val="es-ES_tradnl"/>
        </w:rPr>
        <w:t xml:space="preserve">m </w:t>
      </w:r>
      <w:r>
        <w:rPr>
          <w:spacing w:val="-6"/>
          <w:sz w:val="18"/>
          <w:szCs w:val="18"/>
          <w:lang w:val="es-ES_tradnl"/>
        </w:rPr>
        <w:t>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w:t>
      </w:r>
    </w:p>
    <w:p w14:paraId="4F67AFF5" w14:textId="77777777" w:rsidR="00591D54" w:rsidRDefault="00591D54">
      <w:pPr>
        <w:shd w:val="clear" w:color="auto" w:fill="FFFFFF"/>
        <w:spacing w:before="538" w:line="178" w:lineRule="exact"/>
        <w:ind w:left="144" w:hanging="144"/>
        <w:jc w:val="both"/>
      </w:pPr>
      <w:r>
        <w:rPr>
          <w:sz w:val="14"/>
          <w:szCs w:val="14"/>
          <w:vertAlign w:val="superscript"/>
          <w:lang w:val="es-ES_tradnl"/>
        </w:rPr>
        <w:t>2</w:t>
      </w:r>
      <w:r>
        <w:rPr>
          <w:sz w:val="14"/>
          <w:szCs w:val="14"/>
          <w:lang w:val="es-ES_tradnl"/>
        </w:rPr>
        <w:t xml:space="preserve"> Corte Constitucional del Ecuador, sentencia N.</w:t>
      </w:r>
      <w:r>
        <w:rPr>
          <w:rFonts w:cs="Times New Roman"/>
          <w:sz w:val="14"/>
          <w:szCs w:val="14"/>
          <w:lang w:val="es-ES_tradnl"/>
        </w:rPr>
        <w:t>º</w:t>
      </w:r>
      <w:r>
        <w:rPr>
          <w:sz w:val="14"/>
          <w:szCs w:val="14"/>
          <w:lang w:val="es-ES_tradnl"/>
        </w:rPr>
        <w:t xml:space="preserve"> 001-13-SEP-CC, </w:t>
      </w:r>
      <w:r>
        <w:rPr>
          <w:spacing w:val="-4"/>
          <w:sz w:val="14"/>
          <w:szCs w:val="14"/>
          <w:lang w:val="es-ES_tradnl"/>
        </w:rPr>
        <w:t>caso N.</w:t>
      </w:r>
      <w:r>
        <w:rPr>
          <w:rFonts w:cs="Times New Roman"/>
          <w:spacing w:val="-4"/>
          <w:sz w:val="14"/>
          <w:szCs w:val="14"/>
          <w:lang w:val="es-ES_tradnl"/>
        </w:rPr>
        <w:t>º</w:t>
      </w:r>
      <w:r>
        <w:rPr>
          <w:spacing w:val="-4"/>
          <w:sz w:val="14"/>
          <w:szCs w:val="14"/>
          <w:lang w:val="es-ES_tradnl"/>
        </w:rPr>
        <w:t xml:space="preserve"> 1647-11-EP y sentencia N.</w:t>
      </w:r>
      <w:r>
        <w:rPr>
          <w:rFonts w:cs="Times New Roman"/>
          <w:spacing w:val="-4"/>
          <w:sz w:val="14"/>
          <w:szCs w:val="14"/>
          <w:lang w:val="es-ES_tradnl"/>
        </w:rPr>
        <w:t>º</w:t>
      </w:r>
      <w:r>
        <w:rPr>
          <w:spacing w:val="-4"/>
          <w:sz w:val="14"/>
          <w:szCs w:val="14"/>
          <w:lang w:val="es-ES_tradnl"/>
        </w:rPr>
        <w:t xml:space="preserve"> 020-13-SEP-CC, caso N.</w:t>
      </w:r>
      <w:r>
        <w:rPr>
          <w:rFonts w:cs="Times New Roman"/>
          <w:spacing w:val="-4"/>
          <w:sz w:val="14"/>
          <w:szCs w:val="14"/>
          <w:lang w:val="es-ES_tradnl"/>
        </w:rPr>
        <w:t>º</w:t>
      </w:r>
      <w:r>
        <w:rPr>
          <w:spacing w:val="-4"/>
          <w:sz w:val="14"/>
          <w:szCs w:val="14"/>
          <w:lang w:val="es-ES_tradnl"/>
        </w:rPr>
        <w:t xml:space="preserve"> 0563-</w:t>
      </w:r>
      <w:r>
        <w:rPr>
          <w:sz w:val="14"/>
          <w:szCs w:val="14"/>
          <w:lang w:val="es-ES_tradnl"/>
        </w:rPr>
        <w:t>12-EP.</w:t>
      </w:r>
    </w:p>
    <w:p w14:paraId="4F67AFF6" w14:textId="77777777" w:rsidR="00591D54" w:rsidRDefault="00591D54">
      <w:pPr>
        <w:shd w:val="clear" w:color="auto" w:fill="FFFFFF"/>
        <w:spacing w:before="538" w:line="178" w:lineRule="exact"/>
        <w:ind w:left="144" w:hanging="144"/>
        <w:jc w:val="both"/>
        <w:sectPr w:rsidR="00591D54">
          <w:type w:val="continuous"/>
          <w:pgSz w:w="11909" w:h="16834"/>
          <w:pgMar w:top="1356" w:right="1309" w:bottom="360" w:left="1308" w:header="720" w:footer="720" w:gutter="0"/>
          <w:cols w:num="2" w:space="720" w:equalWidth="0">
            <w:col w:w="4305" w:space="682"/>
            <w:col w:w="4305"/>
          </w:cols>
          <w:noEndnote/>
        </w:sectPr>
      </w:pPr>
    </w:p>
    <w:p w14:paraId="4F67AFF7" w14:textId="77777777" w:rsidR="00591D54" w:rsidRDefault="00591D54">
      <w:pPr>
        <w:shd w:val="clear" w:color="auto" w:fill="FFFFFF"/>
        <w:tabs>
          <w:tab w:val="left" w:pos="4814"/>
        </w:tabs>
        <w:spacing w:after="226"/>
        <w:ind w:left="14"/>
      </w:pPr>
      <w:r>
        <w:rPr>
          <w:b/>
          <w:bCs/>
          <w:sz w:val="18"/>
          <w:szCs w:val="18"/>
          <w:lang w:val="es-ES_tradnl"/>
        </w:rPr>
        <w:t xml:space="preserve">152 -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AFF8" w14:textId="77777777" w:rsidR="00591D54" w:rsidRDefault="00591D54">
      <w:pPr>
        <w:shd w:val="clear" w:color="auto" w:fill="FFFFFF"/>
        <w:tabs>
          <w:tab w:val="left" w:pos="4814"/>
        </w:tabs>
        <w:spacing w:after="226"/>
        <w:ind w:left="14"/>
        <w:sectPr w:rsidR="00591D54">
          <w:pgSz w:w="11909" w:h="16834"/>
          <w:pgMar w:top="1366" w:right="1309" w:bottom="360" w:left="1308" w:header="720" w:footer="720" w:gutter="0"/>
          <w:cols w:space="60"/>
          <w:noEndnote/>
        </w:sectPr>
      </w:pPr>
    </w:p>
    <w:p w14:paraId="4F67AFF9" w14:textId="77777777" w:rsidR="00591D54" w:rsidRDefault="00591D54">
      <w:pPr>
        <w:shd w:val="clear" w:color="auto" w:fill="FFFFFF"/>
      </w:pPr>
      <w:r>
        <w:rPr>
          <w:b/>
          <w:bCs/>
          <w:spacing w:val="-9"/>
          <w:sz w:val="18"/>
          <w:szCs w:val="18"/>
          <w:lang w:val="es-ES_tradnl"/>
        </w:rPr>
        <w:t>Desarrollo de los problemas jur</w:t>
      </w:r>
      <w:r>
        <w:rPr>
          <w:rFonts w:cs="Times New Roman"/>
          <w:b/>
          <w:bCs/>
          <w:spacing w:val="-9"/>
          <w:sz w:val="18"/>
          <w:szCs w:val="18"/>
          <w:lang w:val="es-ES_tradnl"/>
        </w:rPr>
        <w:t>í</w:t>
      </w:r>
      <w:r>
        <w:rPr>
          <w:b/>
          <w:bCs/>
          <w:spacing w:val="-9"/>
          <w:sz w:val="18"/>
          <w:szCs w:val="18"/>
          <w:lang w:val="es-ES_tradnl"/>
        </w:rPr>
        <w:t>dicos</w:t>
      </w:r>
    </w:p>
    <w:p w14:paraId="4F67AFFA" w14:textId="77777777" w:rsidR="00591D54" w:rsidRDefault="00591D54">
      <w:pPr>
        <w:shd w:val="clear" w:color="auto" w:fill="FFFFFF"/>
        <w:spacing w:before="192" w:line="211" w:lineRule="exact"/>
        <w:jc w:val="both"/>
      </w:pPr>
      <w:r>
        <w:rPr>
          <w:b/>
          <w:bCs/>
          <w:spacing w:val="-8"/>
          <w:sz w:val="18"/>
          <w:szCs w:val="18"/>
          <w:lang w:val="es-ES_tradnl"/>
        </w:rPr>
        <w:t>La sentencia dictada por el juez D</w:t>
      </w:r>
      <w:r>
        <w:rPr>
          <w:rFonts w:cs="Times New Roman"/>
          <w:b/>
          <w:bCs/>
          <w:spacing w:val="-8"/>
          <w:sz w:val="18"/>
          <w:szCs w:val="18"/>
          <w:lang w:val="es-ES_tradnl"/>
        </w:rPr>
        <w:t>é</w:t>
      </w:r>
      <w:r>
        <w:rPr>
          <w:b/>
          <w:bCs/>
          <w:spacing w:val="-8"/>
          <w:sz w:val="18"/>
          <w:szCs w:val="18"/>
          <w:lang w:val="es-ES_tradnl"/>
        </w:rPr>
        <w:t xml:space="preserve">cimo Tercero de lo </w:t>
      </w:r>
      <w:r>
        <w:rPr>
          <w:b/>
          <w:bCs/>
          <w:spacing w:val="-12"/>
          <w:sz w:val="18"/>
          <w:szCs w:val="18"/>
          <w:lang w:val="es-ES_tradnl"/>
        </w:rPr>
        <w:t xml:space="preserve">Civil de Pichincha, </w:t>
      </w:r>
      <w:r>
        <w:rPr>
          <w:rFonts w:cs="Times New Roman"/>
          <w:b/>
          <w:bCs/>
          <w:spacing w:val="-12"/>
          <w:sz w:val="18"/>
          <w:szCs w:val="18"/>
          <w:lang w:val="es-ES_tradnl"/>
        </w:rPr>
        <w:t>¿</w:t>
      </w:r>
      <w:r>
        <w:rPr>
          <w:b/>
          <w:bCs/>
          <w:spacing w:val="-12"/>
          <w:sz w:val="18"/>
          <w:szCs w:val="18"/>
          <w:lang w:val="es-ES_tradnl"/>
        </w:rPr>
        <w:t xml:space="preserve">vulnera el derecho al debido proceso </w:t>
      </w:r>
      <w:r>
        <w:rPr>
          <w:b/>
          <w:bCs/>
          <w:spacing w:val="-8"/>
          <w:sz w:val="18"/>
          <w:szCs w:val="18"/>
          <w:lang w:val="es-ES_tradnl"/>
        </w:rPr>
        <w:t>en la garant</w:t>
      </w:r>
      <w:r>
        <w:rPr>
          <w:rFonts w:cs="Times New Roman"/>
          <w:b/>
          <w:bCs/>
          <w:spacing w:val="-8"/>
          <w:sz w:val="18"/>
          <w:szCs w:val="18"/>
          <w:lang w:val="es-ES_tradnl"/>
        </w:rPr>
        <w:t>í</w:t>
      </w:r>
      <w:r>
        <w:rPr>
          <w:b/>
          <w:bCs/>
          <w:spacing w:val="-8"/>
          <w:sz w:val="18"/>
          <w:szCs w:val="18"/>
          <w:lang w:val="es-ES_tradnl"/>
        </w:rPr>
        <w:t>a de la motivaci</w:t>
      </w:r>
      <w:r>
        <w:rPr>
          <w:rFonts w:cs="Times New Roman"/>
          <w:b/>
          <w:bCs/>
          <w:spacing w:val="-8"/>
          <w:sz w:val="18"/>
          <w:szCs w:val="18"/>
          <w:lang w:val="es-ES_tradnl"/>
        </w:rPr>
        <w:t>ó</w:t>
      </w:r>
      <w:r>
        <w:rPr>
          <w:b/>
          <w:bCs/>
          <w:spacing w:val="-8"/>
          <w:sz w:val="18"/>
          <w:szCs w:val="18"/>
          <w:lang w:val="es-ES_tradnl"/>
        </w:rPr>
        <w:t>n, seg</w:t>
      </w:r>
      <w:r>
        <w:rPr>
          <w:rFonts w:cs="Times New Roman"/>
          <w:b/>
          <w:bCs/>
          <w:spacing w:val="-8"/>
          <w:sz w:val="18"/>
          <w:szCs w:val="18"/>
          <w:lang w:val="es-ES_tradnl"/>
        </w:rPr>
        <w:t>ú</w:t>
      </w:r>
      <w:r>
        <w:rPr>
          <w:b/>
          <w:bCs/>
          <w:spacing w:val="-8"/>
          <w:sz w:val="18"/>
          <w:szCs w:val="18"/>
          <w:lang w:val="es-ES_tradnl"/>
        </w:rPr>
        <w:t xml:space="preserve">n lo previsto en el </w:t>
      </w:r>
      <w:r>
        <w:rPr>
          <w:b/>
          <w:bCs/>
          <w:spacing w:val="-5"/>
          <w:sz w:val="18"/>
          <w:szCs w:val="18"/>
          <w:lang w:val="es-ES_tradnl"/>
        </w:rPr>
        <w:t>art</w:t>
      </w:r>
      <w:r>
        <w:rPr>
          <w:rFonts w:cs="Times New Roman"/>
          <w:b/>
          <w:bCs/>
          <w:spacing w:val="-5"/>
          <w:sz w:val="18"/>
          <w:szCs w:val="18"/>
          <w:lang w:val="es-ES_tradnl"/>
        </w:rPr>
        <w:t>í</w:t>
      </w:r>
      <w:r>
        <w:rPr>
          <w:b/>
          <w:bCs/>
          <w:spacing w:val="-5"/>
          <w:sz w:val="18"/>
          <w:szCs w:val="18"/>
          <w:lang w:val="es-ES_tradnl"/>
        </w:rPr>
        <w:t>culo 76 numeral 7 literal l) de la Constituci</w:t>
      </w:r>
      <w:r>
        <w:rPr>
          <w:rFonts w:cs="Times New Roman"/>
          <w:b/>
          <w:bCs/>
          <w:spacing w:val="-5"/>
          <w:sz w:val="18"/>
          <w:szCs w:val="18"/>
          <w:lang w:val="es-ES_tradnl"/>
        </w:rPr>
        <w:t>ó</w:t>
      </w:r>
      <w:r>
        <w:rPr>
          <w:b/>
          <w:bCs/>
          <w:spacing w:val="-5"/>
          <w:sz w:val="18"/>
          <w:szCs w:val="18"/>
          <w:lang w:val="es-ES_tradnl"/>
        </w:rPr>
        <w:t xml:space="preserve">n de la </w:t>
      </w:r>
      <w:r>
        <w:rPr>
          <w:b/>
          <w:bCs/>
          <w:sz w:val="18"/>
          <w:szCs w:val="18"/>
          <w:lang w:val="es-ES_tradnl"/>
        </w:rPr>
        <w:t>Rep</w:t>
      </w:r>
      <w:r>
        <w:rPr>
          <w:rFonts w:cs="Times New Roman"/>
          <w:b/>
          <w:bCs/>
          <w:sz w:val="18"/>
          <w:szCs w:val="18"/>
          <w:lang w:val="es-ES_tradnl"/>
        </w:rPr>
        <w:t>ú</w:t>
      </w:r>
      <w:r>
        <w:rPr>
          <w:b/>
          <w:bCs/>
          <w:sz w:val="18"/>
          <w:szCs w:val="18"/>
          <w:lang w:val="es-ES_tradnl"/>
        </w:rPr>
        <w:t>blica?</w:t>
      </w:r>
    </w:p>
    <w:p w14:paraId="4F67AFFB" w14:textId="77777777" w:rsidR="00591D54" w:rsidRDefault="00591D54">
      <w:pPr>
        <w:shd w:val="clear" w:color="auto" w:fill="FFFFFF"/>
        <w:spacing w:before="192" w:line="211" w:lineRule="exact"/>
        <w:jc w:val="both"/>
      </w:pPr>
      <w:r>
        <w:rPr>
          <w:spacing w:val="-11"/>
          <w:sz w:val="18"/>
          <w:szCs w:val="18"/>
          <w:lang w:val="es-ES_tradnl"/>
        </w:rPr>
        <w:t xml:space="preserve">El debido proceso es, sin ninguna duda, un pilar fundamental </w:t>
      </w:r>
      <w:r>
        <w:rPr>
          <w:spacing w:val="-7"/>
          <w:sz w:val="18"/>
          <w:szCs w:val="18"/>
          <w:lang w:val="es-ES_tradnl"/>
        </w:rPr>
        <w:t xml:space="preserve">para la defensa de los derechos de las personas que </w:t>
      </w:r>
      <w:r>
        <w:rPr>
          <w:spacing w:val="-6"/>
          <w:sz w:val="18"/>
          <w:szCs w:val="18"/>
          <w:lang w:val="es-ES_tradnl"/>
        </w:rPr>
        <w:t>intervienen dentro de un juicio, permitiendo la articulaci</w:t>
      </w:r>
      <w:r>
        <w:rPr>
          <w:rFonts w:cs="Times New Roman"/>
          <w:spacing w:val="-6"/>
          <w:sz w:val="18"/>
          <w:szCs w:val="18"/>
          <w:lang w:val="es-ES_tradnl"/>
        </w:rPr>
        <w:t>ó</w:t>
      </w:r>
      <w:r>
        <w:rPr>
          <w:spacing w:val="-6"/>
          <w:sz w:val="18"/>
          <w:szCs w:val="18"/>
          <w:lang w:val="es-ES_tradnl"/>
        </w:rPr>
        <w:t xml:space="preserve">n </w:t>
      </w:r>
      <w:r>
        <w:rPr>
          <w:spacing w:val="-7"/>
          <w:sz w:val="18"/>
          <w:szCs w:val="18"/>
          <w:lang w:val="es-ES_tradnl"/>
        </w:rPr>
        <w:t>de varios principios y garant</w:t>
      </w:r>
      <w:r>
        <w:rPr>
          <w:rFonts w:cs="Times New Roman"/>
          <w:spacing w:val="-7"/>
          <w:sz w:val="18"/>
          <w:szCs w:val="18"/>
          <w:lang w:val="es-ES_tradnl"/>
        </w:rPr>
        <w:t>í</w:t>
      </w:r>
      <w:r>
        <w:rPr>
          <w:spacing w:val="-7"/>
          <w:sz w:val="18"/>
          <w:szCs w:val="18"/>
          <w:lang w:val="es-ES_tradnl"/>
        </w:rPr>
        <w:t>as b</w:t>
      </w:r>
      <w:r>
        <w:rPr>
          <w:rFonts w:cs="Times New Roman"/>
          <w:spacing w:val="-7"/>
          <w:sz w:val="18"/>
          <w:szCs w:val="18"/>
          <w:lang w:val="es-ES_tradnl"/>
        </w:rPr>
        <w:t>á</w:t>
      </w:r>
      <w:r>
        <w:rPr>
          <w:spacing w:val="-7"/>
          <w:sz w:val="18"/>
          <w:szCs w:val="18"/>
          <w:lang w:val="es-ES_tradnl"/>
        </w:rPr>
        <w:t>sicas que generan una correcta administraci</w:t>
      </w:r>
      <w:r>
        <w:rPr>
          <w:rFonts w:cs="Times New Roman"/>
          <w:spacing w:val="-7"/>
          <w:sz w:val="18"/>
          <w:szCs w:val="18"/>
          <w:lang w:val="es-ES_tradnl"/>
        </w:rPr>
        <w:t>ó</w:t>
      </w:r>
      <w:r>
        <w:rPr>
          <w:spacing w:val="-7"/>
          <w:sz w:val="18"/>
          <w:szCs w:val="18"/>
          <w:lang w:val="es-ES_tradnl"/>
        </w:rPr>
        <w:t xml:space="preserve">n de justicia. La Corte Constitucional </w:t>
      </w:r>
      <w:r>
        <w:rPr>
          <w:spacing w:val="-8"/>
          <w:sz w:val="18"/>
          <w:szCs w:val="18"/>
          <w:lang w:val="es-ES_tradnl"/>
        </w:rPr>
        <w:t xml:space="preserve">sostiene que el debido proceso se constituye en el </w:t>
      </w:r>
      <w:r>
        <w:rPr>
          <w:rFonts w:cs="Times New Roman"/>
          <w:spacing w:val="-8"/>
          <w:sz w:val="18"/>
          <w:szCs w:val="18"/>
          <w:lang w:val="es-ES_tradnl"/>
        </w:rPr>
        <w:t>“</w:t>
      </w:r>
      <w:r>
        <w:rPr>
          <w:spacing w:val="-8"/>
          <w:sz w:val="18"/>
          <w:szCs w:val="18"/>
          <w:lang w:val="es-ES_tradnl"/>
        </w:rPr>
        <w:t xml:space="preserve">axioma </w:t>
      </w:r>
      <w:r>
        <w:rPr>
          <w:spacing w:val="-9"/>
          <w:sz w:val="18"/>
          <w:szCs w:val="18"/>
          <w:lang w:val="es-ES_tradnl"/>
        </w:rPr>
        <w:t>madre</w:t>
      </w:r>
      <w:r>
        <w:rPr>
          <w:rFonts w:cs="Times New Roman"/>
          <w:spacing w:val="-9"/>
          <w:sz w:val="18"/>
          <w:szCs w:val="18"/>
          <w:lang w:val="es-ES_tradnl"/>
        </w:rPr>
        <w:t>”</w:t>
      </w:r>
      <w:r>
        <w:rPr>
          <w:spacing w:val="-9"/>
          <w:sz w:val="18"/>
          <w:szCs w:val="18"/>
          <w:lang w:val="es-ES_tradnl"/>
        </w:rPr>
        <w:t xml:space="preserve">, el generador del cual se desprenden todos y cada </w:t>
      </w:r>
      <w:r>
        <w:rPr>
          <w:spacing w:val="-8"/>
          <w:sz w:val="18"/>
          <w:szCs w:val="18"/>
          <w:lang w:val="es-ES_tradnl"/>
        </w:rPr>
        <w:t>uno de los principios y garant</w:t>
      </w:r>
      <w:r>
        <w:rPr>
          <w:rFonts w:cs="Times New Roman"/>
          <w:spacing w:val="-8"/>
          <w:sz w:val="18"/>
          <w:szCs w:val="18"/>
          <w:lang w:val="es-ES_tradnl"/>
        </w:rPr>
        <w:t>í</w:t>
      </w:r>
      <w:r>
        <w:rPr>
          <w:spacing w:val="-8"/>
          <w:sz w:val="18"/>
          <w:szCs w:val="18"/>
          <w:lang w:val="es-ES_tradnl"/>
        </w:rPr>
        <w:t xml:space="preserve">as que el Estado ecuatoriano </w:t>
      </w:r>
      <w:r>
        <w:rPr>
          <w:spacing w:val="-4"/>
          <w:sz w:val="18"/>
          <w:szCs w:val="18"/>
          <w:lang w:val="es-ES_tradnl"/>
        </w:rPr>
        <w:t xml:space="preserve">se encuentra obligado a tutelar, por lo cual, los jueces, </w:t>
      </w:r>
      <w:r>
        <w:rPr>
          <w:spacing w:val="-6"/>
          <w:sz w:val="18"/>
          <w:szCs w:val="18"/>
          <w:lang w:val="es-ES_tradnl"/>
        </w:rPr>
        <w:t>como garantes del cumplimiento de la Constituci</w:t>
      </w:r>
      <w:r>
        <w:rPr>
          <w:rFonts w:cs="Times New Roman"/>
          <w:spacing w:val="-6"/>
          <w:sz w:val="18"/>
          <w:szCs w:val="18"/>
          <w:lang w:val="es-ES_tradnl"/>
        </w:rPr>
        <w:t>ó</w:t>
      </w:r>
      <w:r>
        <w:rPr>
          <w:spacing w:val="-6"/>
          <w:sz w:val="18"/>
          <w:szCs w:val="18"/>
          <w:lang w:val="es-ES_tradnl"/>
        </w:rPr>
        <w:t xml:space="preserve">n y del </w:t>
      </w:r>
      <w:r>
        <w:rPr>
          <w:spacing w:val="-8"/>
          <w:sz w:val="18"/>
          <w:szCs w:val="18"/>
          <w:lang w:val="es-ES_tradnl"/>
        </w:rPr>
        <w:t>ordenamiento jur</w:t>
      </w:r>
      <w:r>
        <w:rPr>
          <w:rFonts w:cs="Times New Roman"/>
          <w:spacing w:val="-8"/>
          <w:sz w:val="18"/>
          <w:szCs w:val="18"/>
          <w:lang w:val="es-ES_tradnl"/>
        </w:rPr>
        <w:t>í</w:t>
      </w:r>
      <w:r>
        <w:rPr>
          <w:spacing w:val="-8"/>
          <w:sz w:val="18"/>
          <w:szCs w:val="18"/>
          <w:lang w:val="es-ES_tradnl"/>
        </w:rPr>
        <w:t xml:space="preserve">dico, deben ejercer todas las acciones </w:t>
      </w:r>
      <w:r>
        <w:rPr>
          <w:spacing w:val="-10"/>
          <w:sz w:val="18"/>
          <w:szCs w:val="18"/>
          <w:lang w:val="es-ES_tradnl"/>
        </w:rPr>
        <w:t>necesarias para el cumplimiento y respeto de este derecho.</w:t>
      </w:r>
    </w:p>
    <w:p w14:paraId="4F67AFFC" w14:textId="77777777" w:rsidR="00591D54" w:rsidRDefault="00591D54">
      <w:pPr>
        <w:shd w:val="clear" w:color="auto" w:fill="FFFFFF"/>
        <w:spacing w:before="192" w:line="211" w:lineRule="exact"/>
        <w:jc w:val="both"/>
      </w:pPr>
      <w:r>
        <w:rPr>
          <w:spacing w:val="-13"/>
          <w:sz w:val="18"/>
          <w:szCs w:val="18"/>
          <w:lang w:val="es-ES_tradnl"/>
        </w:rPr>
        <w:t>Entre las garant</w:t>
      </w:r>
      <w:r>
        <w:rPr>
          <w:rFonts w:cs="Times New Roman"/>
          <w:spacing w:val="-13"/>
          <w:sz w:val="18"/>
          <w:szCs w:val="18"/>
          <w:lang w:val="es-ES_tradnl"/>
        </w:rPr>
        <w:t>í</w:t>
      </w:r>
      <w:r>
        <w:rPr>
          <w:spacing w:val="-13"/>
          <w:sz w:val="18"/>
          <w:szCs w:val="18"/>
          <w:lang w:val="es-ES_tradnl"/>
        </w:rPr>
        <w:t xml:space="preserve">as que reconoce este derecho se encuentra la </w:t>
      </w:r>
      <w:r>
        <w:rPr>
          <w:spacing w:val="-9"/>
          <w:sz w:val="18"/>
          <w:szCs w:val="18"/>
          <w:lang w:val="es-ES_tradnl"/>
        </w:rPr>
        <w:t>de motivar toda resoluci</w:t>
      </w:r>
      <w:r>
        <w:rPr>
          <w:rFonts w:cs="Times New Roman"/>
          <w:spacing w:val="-9"/>
          <w:sz w:val="18"/>
          <w:szCs w:val="18"/>
          <w:lang w:val="es-ES_tradnl"/>
        </w:rPr>
        <w:t>ó</w:t>
      </w:r>
      <w:r>
        <w:rPr>
          <w:spacing w:val="-9"/>
          <w:sz w:val="18"/>
          <w:szCs w:val="18"/>
          <w:lang w:val="es-ES_tradnl"/>
        </w:rPr>
        <w:t>n de los poderes p</w:t>
      </w:r>
      <w:r>
        <w:rPr>
          <w:rFonts w:cs="Times New Roman"/>
          <w:spacing w:val="-9"/>
          <w:sz w:val="18"/>
          <w:szCs w:val="18"/>
          <w:lang w:val="es-ES_tradnl"/>
        </w:rPr>
        <w:t>ú</w:t>
      </w:r>
      <w:r>
        <w:rPr>
          <w:spacing w:val="-9"/>
          <w:sz w:val="18"/>
          <w:szCs w:val="18"/>
          <w:lang w:val="es-ES_tradnl"/>
        </w:rPr>
        <w:t xml:space="preserve">blicos, previsto </w:t>
      </w:r>
      <w:r>
        <w:rPr>
          <w:spacing w:val="-4"/>
          <w:sz w:val="18"/>
          <w:szCs w:val="18"/>
          <w:lang w:val="es-ES_tradnl"/>
        </w:rPr>
        <w:t>en el art</w:t>
      </w:r>
      <w:r>
        <w:rPr>
          <w:rFonts w:cs="Times New Roman"/>
          <w:spacing w:val="-4"/>
          <w:sz w:val="18"/>
          <w:szCs w:val="18"/>
          <w:lang w:val="es-ES_tradnl"/>
        </w:rPr>
        <w:t>í</w:t>
      </w:r>
      <w:r>
        <w:rPr>
          <w:spacing w:val="-4"/>
          <w:sz w:val="18"/>
          <w:szCs w:val="18"/>
          <w:lang w:val="es-ES_tradnl"/>
        </w:rPr>
        <w:t xml:space="preserve">culo 76 numeral 7 literal </w:t>
      </w:r>
      <w:r>
        <w:rPr>
          <w:b/>
          <w:bCs/>
          <w:spacing w:val="-4"/>
          <w:sz w:val="18"/>
          <w:szCs w:val="18"/>
          <w:lang w:val="es-ES_tradnl"/>
        </w:rPr>
        <w:t xml:space="preserve">l </w:t>
      </w:r>
      <w:r>
        <w:rPr>
          <w:spacing w:val="-4"/>
          <w:sz w:val="18"/>
          <w:szCs w:val="18"/>
          <w:lang w:val="es-ES_tradnl"/>
        </w:rPr>
        <w:t>de la Constituci</w:t>
      </w:r>
      <w:r>
        <w:rPr>
          <w:rFonts w:cs="Times New Roman"/>
          <w:spacing w:val="-4"/>
          <w:sz w:val="18"/>
          <w:szCs w:val="18"/>
          <w:lang w:val="es-ES_tradnl"/>
        </w:rPr>
        <w:t>ó</w:t>
      </w:r>
      <w:r>
        <w:rPr>
          <w:spacing w:val="-4"/>
          <w:sz w:val="18"/>
          <w:szCs w:val="18"/>
          <w:lang w:val="es-ES_tradnl"/>
        </w:rPr>
        <w:t xml:space="preserve">n, el </w:t>
      </w:r>
      <w:r>
        <w:rPr>
          <w:spacing w:val="-8"/>
          <w:sz w:val="18"/>
          <w:szCs w:val="18"/>
          <w:lang w:val="es-ES_tradnl"/>
        </w:rPr>
        <w:t>mismo que se</w:t>
      </w:r>
      <w:r>
        <w:rPr>
          <w:rFonts w:cs="Times New Roman"/>
          <w:spacing w:val="-8"/>
          <w:sz w:val="18"/>
          <w:szCs w:val="18"/>
          <w:lang w:val="es-ES_tradnl"/>
        </w:rPr>
        <w:t>ñ</w:t>
      </w:r>
      <w:r>
        <w:rPr>
          <w:spacing w:val="-8"/>
          <w:sz w:val="18"/>
          <w:szCs w:val="18"/>
          <w:lang w:val="es-ES_tradnl"/>
        </w:rPr>
        <w:t>ala en su parte pertinente lo siguiente:</w:t>
      </w:r>
    </w:p>
    <w:p w14:paraId="4F67AFFD" w14:textId="77777777" w:rsidR="00591D54" w:rsidRDefault="00591D54">
      <w:pPr>
        <w:shd w:val="clear" w:color="auto" w:fill="FFFFFF"/>
        <w:spacing w:before="197" w:line="211" w:lineRule="exact"/>
        <w:ind w:left="283"/>
        <w:jc w:val="both"/>
      </w:pPr>
      <w:r>
        <w:rPr>
          <w:spacing w:val="-6"/>
          <w:sz w:val="16"/>
          <w:szCs w:val="16"/>
          <w:lang w:val="es-ES_tradnl"/>
        </w:rPr>
        <w:t>l) Las resoluciones del poder p</w:t>
      </w:r>
      <w:r>
        <w:rPr>
          <w:rFonts w:cs="Times New Roman"/>
          <w:spacing w:val="-6"/>
          <w:sz w:val="16"/>
          <w:szCs w:val="16"/>
          <w:lang w:val="es-ES_tradnl"/>
        </w:rPr>
        <w:t>ú</w:t>
      </w:r>
      <w:r>
        <w:rPr>
          <w:spacing w:val="-6"/>
          <w:sz w:val="16"/>
          <w:szCs w:val="16"/>
          <w:lang w:val="es-ES_tradnl"/>
        </w:rPr>
        <w:t>blico deber</w:t>
      </w:r>
      <w:r>
        <w:rPr>
          <w:rFonts w:cs="Times New Roman"/>
          <w:spacing w:val="-6"/>
          <w:sz w:val="16"/>
          <w:szCs w:val="16"/>
          <w:lang w:val="es-ES_tradnl"/>
        </w:rPr>
        <w:t>á</w:t>
      </w:r>
      <w:r>
        <w:rPr>
          <w:spacing w:val="-6"/>
          <w:sz w:val="16"/>
          <w:szCs w:val="16"/>
          <w:lang w:val="es-ES_tradnl"/>
        </w:rPr>
        <w:t xml:space="preserve">n ser motivadas. </w:t>
      </w:r>
      <w:r>
        <w:rPr>
          <w:spacing w:val="-4"/>
          <w:sz w:val="16"/>
          <w:szCs w:val="16"/>
          <w:lang w:val="es-ES_tradnl"/>
        </w:rPr>
        <w:t>No habr</w:t>
      </w:r>
      <w:r>
        <w:rPr>
          <w:rFonts w:cs="Times New Roman"/>
          <w:spacing w:val="-4"/>
          <w:sz w:val="16"/>
          <w:szCs w:val="16"/>
          <w:lang w:val="es-ES_tradnl"/>
        </w:rPr>
        <w:t>á</w:t>
      </w:r>
      <w:r>
        <w:rPr>
          <w:spacing w:val="-4"/>
          <w:sz w:val="16"/>
          <w:szCs w:val="16"/>
          <w:lang w:val="es-ES_tradnl"/>
        </w:rPr>
        <w:t xml:space="preserve"> motivaci</w:t>
      </w:r>
      <w:r>
        <w:rPr>
          <w:rFonts w:cs="Times New Roman"/>
          <w:spacing w:val="-4"/>
          <w:sz w:val="16"/>
          <w:szCs w:val="16"/>
          <w:lang w:val="es-ES_tradnl"/>
        </w:rPr>
        <w:t>ó</w:t>
      </w:r>
      <w:r>
        <w:rPr>
          <w:spacing w:val="-4"/>
          <w:sz w:val="16"/>
          <w:szCs w:val="16"/>
          <w:lang w:val="es-ES_tradnl"/>
        </w:rPr>
        <w:t>n si en la resoluci</w:t>
      </w:r>
      <w:r>
        <w:rPr>
          <w:rFonts w:cs="Times New Roman"/>
          <w:spacing w:val="-4"/>
          <w:sz w:val="16"/>
          <w:szCs w:val="16"/>
          <w:lang w:val="es-ES_tradnl"/>
        </w:rPr>
        <w:t>ó</w:t>
      </w:r>
      <w:r>
        <w:rPr>
          <w:spacing w:val="-4"/>
          <w:sz w:val="16"/>
          <w:szCs w:val="16"/>
          <w:lang w:val="es-ES_tradnl"/>
        </w:rPr>
        <w:t xml:space="preserve">n no se enuncian las </w:t>
      </w:r>
      <w:r>
        <w:rPr>
          <w:spacing w:val="-8"/>
          <w:sz w:val="16"/>
          <w:szCs w:val="16"/>
          <w:lang w:val="es-ES_tradnl"/>
        </w:rPr>
        <w:t>normas o principios jur</w:t>
      </w:r>
      <w:r>
        <w:rPr>
          <w:rFonts w:cs="Times New Roman"/>
          <w:spacing w:val="-8"/>
          <w:sz w:val="16"/>
          <w:szCs w:val="16"/>
          <w:lang w:val="es-ES_tradnl"/>
        </w:rPr>
        <w:t>í</w:t>
      </w:r>
      <w:r>
        <w:rPr>
          <w:spacing w:val="-8"/>
          <w:sz w:val="16"/>
          <w:szCs w:val="16"/>
          <w:lang w:val="es-ES_tradnl"/>
        </w:rPr>
        <w:t>dicos en que se funda y no se explica la pertinencia de su aplicaci</w:t>
      </w:r>
      <w:r>
        <w:rPr>
          <w:rFonts w:cs="Times New Roman"/>
          <w:spacing w:val="-8"/>
          <w:sz w:val="16"/>
          <w:szCs w:val="16"/>
          <w:lang w:val="es-ES_tradnl"/>
        </w:rPr>
        <w:t>ó</w:t>
      </w:r>
      <w:r>
        <w:rPr>
          <w:spacing w:val="-8"/>
          <w:sz w:val="16"/>
          <w:szCs w:val="16"/>
          <w:lang w:val="es-ES_tradnl"/>
        </w:rPr>
        <w:t>n a los antecedentes de hecho. [</w:t>
      </w:r>
      <w:r>
        <w:rPr>
          <w:rFonts w:cs="Times New Roman"/>
          <w:spacing w:val="-8"/>
          <w:sz w:val="16"/>
          <w:szCs w:val="16"/>
          <w:lang w:val="es-ES_tradnl"/>
        </w:rPr>
        <w:t>…</w:t>
      </w:r>
      <w:r>
        <w:rPr>
          <w:spacing w:val="-8"/>
          <w:sz w:val="16"/>
          <w:szCs w:val="16"/>
          <w:lang w:val="es-ES_tradnl"/>
        </w:rPr>
        <w:t>]</w:t>
      </w:r>
    </w:p>
    <w:p w14:paraId="4F67AFFE" w14:textId="77777777" w:rsidR="00591D54" w:rsidRDefault="00591D54">
      <w:pPr>
        <w:shd w:val="clear" w:color="auto" w:fill="FFFFFF"/>
        <w:spacing w:before="197" w:line="211" w:lineRule="exact"/>
        <w:jc w:val="both"/>
      </w:pPr>
      <w:r>
        <w:rPr>
          <w:spacing w:val="-6"/>
          <w:sz w:val="18"/>
          <w:szCs w:val="18"/>
          <w:lang w:val="es-ES_tradnl"/>
        </w:rPr>
        <w:t>En este sentido, la motivaci</w:t>
      </w:r>
      <w:r>
        <w:rPr>
          <w:rFonts w:cs="Times New Roman"/>
          <w:spacing w:val="-6"/>
          <w:sz w:val="18"/>
          <w:szCs w:val="18"/>
          <w:lang w:val="es-ES_tradnl"/>
        </w:rPr>
        <w:t>ó</w:t>
      </w:r>
      <w:r>
        <w:rPr>
          <w:spacing w:val="-6"/>
          <w:sz w:val="18"/>
          <w:szCs w:val="18"/>
          <w:lang w:val="es-ES_tradnl"/>
        </w:rPr>
        <w:t xml:space="preserve">n impone al juez el deber de </w:t>
      </w:r>
      <w:r>
        <w:rPr>
          <w:spacing w:val="-9"/>
          <w:sz w:val="18"/>
          <w:szCs w:val="18"/>
          <w:lang w:val="es-ES_tradnl"/>
        </w:rPr>
        <w:t xml:space="preserve">expresar en la sentencia los motivos de hecho y de derecho </w:t>
      </w:r>
      <w:r>
        <w:rPr>
          <w:spacing w:val="-5"/>
          <w:sz w:val="18"/>
          <w:szCs w:val="18"/>
          <w:lang w:val="es-ES_tradnl"/>
        </w:rPr>
        <w:t xml:space="preserve">que sustentan lo decidido. Esta exigencia persigue una doble finalidad: por un lado, controlar la arbitrariedad del </w:t>
      </w:r>
      <w:r>
        <w:rPr>
          <w:spacing w:val="-7"/>
          <w:sz w:val="18"/>
          <w:szCs w:val="18"/>
          <w:lang w:val="es-ES_tradnl"/>
        </w:rPr>
        <w:t xml:space="preserve">sentenciador, pues le impone justificar el razonamiento </w:t>
      </w:r>
      <w:r>
        <w:rPr>
          <w:spacing w:val="-9"/>
          <w:sz w:val="18"/>
          <w:szCs w:val="18"/>
          <w:lang w:val="es-ES_tradnl"/>
        </w:rPr>
        <w:t>l</w:t>
      </w:r>
      <w:r>
        <w:rPr>
          <w:rFonts w:cs="Times New Roman"/>
          <w:spacing w:val="-9"/>
          <w:sz w:val="18"/>
          <w:szCs w:val="18"/>
          <w:lang w:val="es-ES_tradnl"/>
        </w:rPr>
        <w:t>ó</w:t>
      </w:r>
      <w:r>
        <w:rPr>
          <w:spacing w:val="-9"/>
          <w:sz w:val="18"/>
          <w:szCs w:val="18"/>
          <w:lang w:val="es-ES_tradnl"/>
        </w:rPr>
        <w:t>gico que sigui</w:t>
      </w:r>
      <w:r>
        <w:rPr>
          <w:rFonts w:cs="Times New Roman"/>
          <w:spacing w:val="-9"/>
          <w:sz w:val="18"/>
          <w:szCs w:val="18"/>
          <w:lang w:val="es-ES_tradnl"/>
        </w:rPr>
        <w:t>ó</w:t>
      </w:r>
      <w:r>
        <w:rPr>
          <w:spacing w:val="-9"/>
          <w:sz w:val="18"/>
          <w:szCs w:val="18"/>
          <w:lang w:val="es-ES_tradnl"/>
        </w:rPr>
        <w:t xml:space="preserve"> para establecer una conclusi</w:t>
      </w:r>
      <w:r>
        <w:rPr>
          <w:rFonts w:cs="Times New Roman"/>
          <w:spacing w:val="-9"/>
          <w:sz w:val="18"/>
          <w:szCs w:val="18"/>
          <w:lang w:val="es-ES_tradnl"/>
        </w:rPr>
        <w:t>ó</w:t>
      </w:r>
      <w:r>
        <w:rPr>
          <w:spacing w:val="-9"/>
          <w:sz w:val="18"/>
          <w:szCs w:val="18"/>
          <w:lang w:val="es-ES_tradnl"/>
        </w:rPr>
        <w:t>n, y adem</w:t>
      </w:r>
      <w:r>
        <w:rPr>
          <w:rFonts w:cs="Times New Roman"/>
          <w:spacing w:val="-9"/>
          <w:sz w:val="18"/>
          <w:szCs w:val="18"/>
          <w:lang w:val="es-ES_tradnl"/>
        </w:rPr>
        <w:t>á</w:t>
      </w:r>
      <w:r>
        <w:rPr>
          <w:spacing w:val="-9"/>
          <w:sz w:val="18"/>
          <w:szCs w:val="18"/>
          <w:lang w:val="es-ES_tradnl"/>
        </w:rPr>
        <w:t xml:space="preserve">s </w:t>
      </w:r>
      <w:r>
        <w:rPr>
          <w:spacing w:val="-8"/>
          <w:sz w:val="18"/>
          <w:szCs w:val="18"/>
          <w:lang w:val="es-ES_tradnl"/>
        </w:rPr>
        <w:t>garantizar el leg</w:t>
      </w:r>
      <w:r>
        <w:rPr>
          <w:rFonts w:cs="Times New Roman"/>
          <w:spacing w:val="-8"/>
          <w:sz w:val="18"/>
          <w:szCs w:val="18"/>
          <w:lang w:val="es-ES_tradnl"/>
        </w:rPr>
        <w:t>í</w:t>
      </w:r>
      <w:r>
        <w:rPr>
          <w:spacing w:val="-8"/>
          <w:sz w:val="18"/>
          <w:szCs w:val="18"/>
          <w:lang w:val="es-ES_tradnl"/>
        </w:rPr>
        <w:t xml:space="preserve">timo derecho de defensa de las partes, </w:t>
      </w:r>
      <w:r>
        <w:rPr>
          <w:spacing w:val="-10"/>
          <w:sz w:val="18"/>
          <w:szCs w:val="18"/>
          <w:lang w:val="es-ES_tradnl"/>
        </w:rPr>
        <w:t xml:space="preserve">considerando que estas requieren conocer los motivos de la </w:t>
      </w:r>
      <w:r>
        <w:rPr>
          <w:spacing w:val="-8"/>
          <w:sz w:val="18"/>
          <w:szCs w:val="18"/>
          <w:lang w:val="es-ES_tradnl"/>
        </w:rPr>
        <w:t>decisi</w:t>
      </w:r>
      <w:r>
        <w:rPr>
          <w:rFonts w:cs="Times New Roman"/>
          <w:spacing w:val="-8"/>
          <w:sz w:val="18"/>
          <w:szCs w:val="18"/>
          <w:lang w:val="es-ES_tradnl"/>
        </w:rPr>
        <w:t>ó</w:t>
      </w:r>
      <w:r>
        <w:rPr>
          <w:spacing w:val="-8"/>
          <w:sz w:val="18"/>
          <w:szCs w:val="18"/>
          <w:lang w:val="es-ES_tradnl"/>
        </w:rPr>
        <w:t>n para determinar si est</w:t>
      </w:r>
      <w:r>
        <w:rPr>
          <w:rFonts w:cs="Times New Roman"/>
          <w:spacing w:val="-8"/>
          <w:sz w:val="18"/>
          <w:szCs w:val="18"/>
          <w:lang w:val="es-ES_tradnl"/>
        </w:rPr>
        <w:t>á</w:t>
      </w:r>
      <w:r>
        <w:rPr>
          <w:spacing w:val="-8"/>
          <w:sz w:val="18"/>
          <w:szCs w:val="18"/>
          <w:lang w:val="es-ES_tradnl"/>
        </w:rPr>
        <w:t>n conformes con ella.</w:t>
      </w:r>
    </w:p>
    <w:p w14:paraId="4F67AFFF" w14:textId="77777777" w:rsidR="00591D54" w:rsidRDefault="00591D54">
      <w:pPr>
        <w:shd w:val="clear" w:color="auto" w:fill="FFFFFF"/>
        <w:spacing w:before="187" w:line="211" w:lineRule="exact"/>
        <w:jc w:val="both"/>
      </w:pPr>
      <w:r>
        <w:rPr>
          <w:spacing w:val="-4"/>
          <w:sz w:val="18"/>
          <w:szCs w:val="18"/>
          <w:lang w:val="es-ES_tradnl"/>
        </w:rPr>
        <w:t xml:space="preserve">Ahora bien, en base a los elementos previamente </w:t>
      </w:r>
      <w:r>
        <w:rPr>
          <w:spacing w:val="-5"/>
          <w:sz w:val="18"/>
          <w:szCs w:val="18"/>
          <w:lang w:val="es-ES_tradnl"/>
        </w:rPr>
        <w:t xml:space="preserve">desarrollados, la Corte Constitucional ha identificado la </w:t>
      </w:r>
      <w:r>
        <w:rPr>
          <w:spacing w:val="-6"/>
          <w:sz w:val="18"/>
          <w:szCs w:val="18"/>
          <w:lang w:val="es-ES_tradnl"/>
        </w:rPr>
        <w:t>existencia de obligaciones concernientes a la motivaci</w:t>
      </w:r>
      <w:r>
        <w:rPr>
          <w:rFonts w:cs="Times New Roman"/>
          <w:spacing w:val="-6"/>
          <w:sz w:val="18"/>
          <w:szCs w:val="18"/>
          <w:lang w:val="es-ES_tradnl"/>
        </w:rPr>
        <w:t>ó</w:t>
      </w:r>
      <w:r>
        <w:rPr>
          <w:spacing w:val="-6"/>
          <w:sz w:val="18"/>
          <w:szCs w:val="18"/>
          <w:lang w:val="es-ES_tradnl"/>
        </w:rPr>
        <w:t xml:space="preserve">n </w:t>
      </w:r>
      <w:r>
        <w:rPr>
          <w:spacing w:val="-3"/>
          <w:sz w:val="18"/>
          <w:szCs w:val="18"/>
          <w:lang w:val="es-ES_tradnl"/>
        </w:rPr>
        <w:t>que van m</w:t>
      </w:r>
      <w:r>
        <w:rPr>
          <w:rFonts w:cs="Times New Roman"/>
          <w:spacing w:val="-3"/>
          <w:sz w:val="18"/>
          <w:szCs w:val="18"/>
          <w:lang w:val="es-ES_tradnl"/>
        </w:rPr>
        <w:t>á</w:t>
      </w:r>
      <w:r>
        <w:rPr>
          <w:spacing w:val="-3"/>
          <w:sz w:val="18"/>
          <w:szCs w:val="18"/>
          <w:lang w:val="es-ES_tradnl"/>
        </w:rPr>
        <w:t>s all</w:t>
      </w:r>
      <w:r>
        <w:rPr>
          <w:rFonts w:cs="Times New Roman"/>
          <w:spacing w:val="-3"/>
          <w:sz w:val="18"/>
          <w:szCs w:val="18"/>
          <w:lang w:val="es-ES_tradnl"/>
        </w:rPr>
        <w:t>á</w:t>
      </w:r>
      <w:r>
        <w:rPr>
          <w:spacing w:val="-3"/>
          <w:sz w:val="18"/>
          <w:szCs w:val="18"/>
          <w:lang w:val="es-ES_tradnl"/>
        </w:rPr>
        <w:t xml:space="preserve"> de citar normas y principios dentro de </w:t>
      </w:r>
      <w:r>
        <w:rPr>
          <w:spacing w:val="-7"/>
          <w:sz w:val="18"/>
          <w:szCs w:val="18"/>
          <w:lang w:val="es-ES_tradnl"/>
        </w:rPr>
        <w:t>su decisi</w:t>
      </w:r>
      <w:r>
        <w:rPr>
          <w:rFonts w:cs="Times New Roman"/>
          <w:spacing w:val="-7"/>
          <w:sz w:val="18"/>
          <w:szCs w:val="18"/>
          <w:lang w:val="es-ES_tradnl"/>
        </w:rPr>
        <w:t>ó</w:t>
      </w:r>
      <w:r>
        <w:rPr>
          <w:spacing w:val="-7"/>
          <w:sz w:val="18"/>
          <w:szCs w:val="18"/>
          <w:lang w:val="es-ES_tradnl"/>
        </w:rPr>
        <w:t>n, y de se</w:t>
      </w:r>
      <w:r>
        <w:rPr>
          <w:rFonts w:cs="Times New Roman"/>
          <w:spacing w:val="-7"/>
          <w:sz w:val="18"/>
          <w:szCs w:val="18"/>
          <w:lang w:val="es-ES_tradnl"/>
        </w:rPr>
        <w:t>ñ</w:t>
      </w:r>
      <w:r>
        <w:rPr>
          <w:spacing w:val="-7"/>
          <w:sz w:val="18"/>
          <w:szCs w:val="18"/>
          <w:lang w:val="es-ES_tradnl"/>
        </w:rPr>
        <w:t>alar c</w:t>
      </w:r>
      <w:r>
        <w:rPr>
          <w:rFonts w:cs="Times New Roman"/>
          <w:spacing w:val="-7"/>
          <w:sz w:val="18"/>
          <w:szCs w:val="18"/>
          <w:lang w:val="es-ES_tradnl"/>
        </w:rPr>
        <w:t>ó</w:t>
      </w:r>
      <w:r>
        <w:rPr>
          <w:spacing w:val="-7"/>
          <w:sz w:val="18"/>
          <w:szCs w:val="18"/>
          <w:lang w:val="es-ES_tradnl"/>
        </w:rPr>
        <w:t>mo ellos se aplican al caso concreto. En realidad, el examen respecto a la motivaci</w:t>
      </w:r>
      <w:r>
        <w:rPr>
          <w:rFonts w:cs="Times New Roman"/>
          <w:spacing w:val="-7"/>
          <w:sz w:val="18"/>
          <w:szCs w:val="18"/>
          <w:lang w:val="es-ES_tradnl"/>
        </w:rPr>
        <w:t>ó</w:t>
      </w:r>
      <w:r>
        <w:rPr>
          <w:spacing w:val="-7"/>
          <w:sz w:val="18"/>
          <w:szCs w:val="18"/>
          <w:lang w:val="es-ES_tradnl"/>
        </w:rPr>
        <w:t xml:space="preserve">n </w:t>
      </w:r>
      <w:r>
        <w:rPr>
          <w:spacing w:val="-8"/>
          <w:sz w:val="18"/>
          <w:szCs w:val="18"/>
          <w:lang w:val="es-ES_tradnl"/>
        </w:rPr>
        <w:t>que efect</w:t>
      </w:r>
      <w:r>
        <w:rPr>
          <w:rFonts w:cs="Times New Roman"/>
          <w:spacing w:val="-8"/>
          <w:sz w:val="18"/>
          <w:szCs w:val="18"/>
          <w:lang w:val="es-ES_tradnl"/>
        </w:rPr>
        <w:t>ú</w:t>
      </w:r>
      <w:r>
        <w:rPr>
          <w:spacing w:val="-8"/>
          <w:sz w:val="18"/>
          <w:szCs w:val="18"/>
          <w:lang w:val="es-ES_tradnl"/>
        </w:rPr>
        <w:t>a la Corte Constitucional se refiere adem</w:t>
      </w:r>
      <w:r>
        <w:rPr>
          <w:rFonts w:cs="Times New Roman"/>
          <w:spacing w:val="-8"/>
          <w:sz w:val="18"/>
          <w:szCs w:val="18"/>
          <w:lang w:val="es-ES_tradnl"/>
        </w:rPr>
        <w:t>á</w:t>
      </w:r>
      <w:r>
        <w:rPr>
          <w:spacing w:val="-8"/>
          <w:sz w:val="18"/>
          <w:szCs w:val="18"/>
          <w:lang w:val="es-ES_tradnl"/>
        </w:rPr>
        <w:t xml:space="preserve">s a la </w:t>
      </w:r>
      <w:r>
        <w:rPr>
          <w:spacing w:val="-9"/>
          <w:sz w:val="18"/>
          <w:szCs w:val="18"/>
          <w:lang w:val="es-ES_tradnl"/>
        </w:rPr>
        <w:t xml:space="preserve">calidad de los argumentos presentados. En este sentido, la </w:t>
      </w:r>
      <w:r>
        <w:rPr>
          <w:sz w:val="18"/>
          <w:szCs w:val="18"/>
          <w:lang w:val="es-ES_tradnl"/>
        </w:rPr>
        <w:t>Corte manifest</w:t>
      </w:r>
      <w:r>
        <w:rPr>
          <w:rFonts w:cs="Times New Roman"/>
          <w:sz w:val="18"/>
          <w:szCs w:val="18"/>
          <w:lang w:val="es-ES_tradnl"/>
        </w:rPr>
        <w:t>ó</w:t>
      </w:r>
      <w:r>
        <w:rPr>
          <w:sz w:val="18"/>
          <w:szCs w:val="18"/>
          <w:lang w:val="es-ES_tradnl"/>
        </w:rPr>
        <w:t>:</w:t>
      </w:r>
    </w:p>
    <w:p w14:paraId="4F67B000" w14:textId="77777777" w:rsidR="00591D54" w:rsidRDefault="00591D54">
      <w:pPr>
        <w:shd w:val="clear" w:color="auto" w:fill="FFFFFF"/>
        <w:spacing w:before="197" w:line="211" w:lineRule="exact"/>
        <w:ind w:left="283" w:right="5"/>
        <w:jc w:val="both"/>
      </w:pPr>
      <w:r>
        <w:rPr>
          <w:spacing w:val="-6"/>
          <w:sz w:val="16"/>
          <w:szCs w:val="16"/>
          <w:lang w:val="es-ES_tradnl"/>
        </w:rPr>
        <w:t>Cabe se</w:t>
      </w:r>
      <w:r>
        <w:rPr>
          <w:rFonts w:cs="Times New Roman"/>
          <w:spacing w:val="-6"/>
          <w:sz w:val="16"/>
          <w:szCs w:val="16"/>
          <w:lang w:val="es-ES_tradnl"/>
        </w:rPr>
        <w:t>ñ</w:t>
      </w:r>
      <w:r>
        <w:rPr>
          <w:spacing w:val="-6"/>
          <w:sz w:val="16"/>
          <w:szCs w:val="16"/>
          <w:lang w:val="es-ES_tradnl"/>
        </w:rPr>
        <w:t>alar, en aplicaci</w:t>
      </w:r>
      <w:r>
        <w:rPr>
          <w:rFonts w:cs="Times New Roman"/>
          <w:spacing w:val="-6"/>
          <w:sz w:val="16"/>
          <w:szCs w:val="16"/>
          <w:lang w:val="es-ES_tradnl"/>
        </w:rPr>
        <w:t>ó</w:t>
      </w:r>
      <w:r>
        <w:rPr>
          <w:spacing w:val="-6"/>
          <w:sz w:val="16"/>
          <w:szCs w:val="16"/>
          <w:lang w:val="es-ES_tradnl"/>
        </w:rPr>
        <w:t>n del criterio indicado y en relaci</w:t>
      </w:r>
      <w:r>
        <w:rPr>
          <w:rFonts w:cs="Times New Roman"/>
          <w:spacing w:val="-6"/>
          <w:sz w:val="16"/>
          <w:szCs w:val="16"/>
          <w:lang w:val="es-ES_tradnl"/>
        </w:rPr>
        <w:t>ó</w:t>
      </w:r>
      <w:r>
        <w:rPr>
          <w:spacing w:val="-6"/>
          <w:sz w:val="16"/>
          <w:szCs w:val="16"/>
          <w:lang w:val="es-ES_tradnl"/>
        </w:rPr>
        <w:t xml:space="preserve">n </w:t>
      </w:r>
      <w:r>
        <w:rPr>
          <w:spacing w:val="-9"/>
          <w:sz w:val="16"/>
          <w:szCs w:val="16"/>
          <w:lang w:val="es-ES_tradnl"/>
        </w:rPr>
        <w:t>al argumento de los se</w:t>
      </w:r>
      <w:r>
        <w:rPr>
          <w:rFonts w:cs="Times New Roman"/>
          <w:spacing w:val="-9"/>
          <w:sz w:val="16"/>
          <w:szCs w:val="16"/>
          <w:lang w:val="es-ES_tradnl"/>
        </w:rPr>
        <w:t>ñ</w:t>
      </w:r>
      <w:r>
        <w:rPr>
          <w:spacing w:val="-9"/>
          <w:sz w:val="16"/>
          <w:szCs w:val="16"/>
          <w:lang w:val="es-ES_tradnl"/>
        </w:rPr>
        <w:t xml:space="preserve">ores ex conjueces, quienes consideran </w:t>
      </w:r>
      <w:r>
        <w:rPr>
          <w:spacing w:val="-3"/>
          <w:sz w:val="16"/>
          <w:szCs w:val="16"/>
          <w:lang w:val="es-ES_tradnl"/>
        </w:rPr>
        <w:t xml:space="preserve">como un auto debidamente motivado aquel que contiene </w:t>
      </w:r>
      <w:r>
        <w:rPr>
          <w:spacing w:val="-4"/>
          <w:sz w:val="16"/>
          <w:szCs w:val="16"/>
          <w:lang w:val="es-ES_tradnl"/>
        </w:rPr>
        <w:t xml:space="preserve">parte expositiva, motiva y resolutiva; que dicho criterio es </w:t>
      </w:r>
      <w:r>
        <w:rPr>
          <w:spacing w:val="-5"/>
          <w:sz w:val="16"/>
          <w:szCs w:val="16"/>
          <w:lang w:val="es-ES_tradnl"/>
        </w:rPr>
        <w:t xml:space="preserve">extremadamente restrictivo y solamente se restringe a un </w:t>
      </w:r>
      <w:r>
        <w:rPr>
          <w:spacing w:val="-6"/>
          <w:sz w:val="16"/>
          <w:szCs w:val="16"/>
          <w:lang w:val="es-ES_tradnl"/>
        </w:rPr>
        <w:t>an</w:t>
      </w:r>
      <w:r>
        <w:rPr>
          <w:rFonts w:cs="Times New Roman"/>
          <w:spacing w:val="-6"/>
          <w:sz w:val="16"/>
          <w:szCs w:val="16"/>
          <w:lang w:val="es-ES_tradnl"/>
        </w:rPr>
        <w:t>á</w:t>
      </w:r>
      <w:r>
        <w:rPr>
          <w:spacing w:val="-6"/>
          <w:sz w:val="16"/>
          <w:szCs w:val="16"/>
          <w:lang w:val="es-ES_tradnl"/>
        </w:rPr>
        <w:t>lisis formal de la sentencia, auto o resoluci</w:t>
      </w:r>
      <w:r>
        <w:rPr>
          <w:rFonts w:cs="Times New Roman"/>
          <w:spacing w:val="-6"/>
          <w:sz w:val="16"/>
          <w:szCs w:val="16"/>
          <w:lang w:val="es-ES_tradnl"/>
        </w:rPr>
        <w:t>ó</w:t>
      </w:r>
      <w:r>
        <w:rPr>
          <w:spacing w:val="-6"/>
          <w:sz w:val="16"/>
          <w:szCs w:val="16"/>
          <w:lang w:val="es-ES_tradnl"/>
        </w:rPr>
        <w:t xml:space="preserve">n del que se </w:t>
      </w:r>
      <w:r>
        <w:rPr>
          <w:spacing w:val="-7"/>
          <w:sz w:val="16"/>
          <w:szCs w:val="16"/>
          <w:lang w:val="es-ES_tradnl"/>
        </w:rPr>
        <w:t>trate. La motivaci</w:t>
      </w:r>
      <w:r>
        <w:rPr>
          <w:rFonts w:cs="Times New Roman"/>
          <w:spacing w:val="-7"/>
          <w:sz w:val="16"/>
          <w:szCs w:val="16"/>
          <w:lang w:val="es-ES_tradnl"/>
        </w:rPr>
        <w:t>ó</w:t>
      </w:r>
      <w:r>
        <w:rPr>
          <w:spacing w:val="-7"/>
          <w:sz w:val="16"/>
          <w:szCs w:val="16"/>
          <w:lang w:val="es-ES_tradnl"/>
        </w:rPr>
        <w:t xml:space="preserve">n no solamente implica el enunciar hechos, </w:t>
      </w:r>
      <w:r>
        <w:rPr>
          <w:spacing w:val="-5"/>
          <w:sz w:val="16"/>
          <w:szCs w:val="16"/>
          <w:lang w:val="es-ES_tradnl"/>
        </w:rPr>
        <w:t>normas y confrontarlos; sino que debe cumplir adem</w:t>
      </w:r>
      <w:r>
        <w:rPr>
          <w:rFonts w:cs="Times New Roman"/>
          <w:spacing w:val="-5"/>
          <w:sz w:val="16"/>
          <w:szCs w:val="16"/>
          <w:lang w:val="es-ES_tradnl"/>
        </w:rPr>
        <w:t>á</w:t>
      </w:r>
      <w:r>
        <w:rPr>
          <w:spacing w:val="-5"/>
          <w:sz w:val="16"/>
          <w:szCs w:val="16"/>
          <w:lang w:val="es-ES_tradnl"/>
        </w:rPr>
        <w:t xml:space="preserve">s, </w:t>
      </w:r>
      <w:r>
        <w:rPr>
          <w:spacing w:val="-6"/>
          <w:sz w:val="16"/>
          <w:szCs w:val="16"/>
          <w:lang w:val="es-ES_tradnl"/>
        </w:rPr>
        <w:t>est</w:t>
      </w:r>
      <w:r>
        <w:rPr>
          <w:rFonts w:cs="Times New Roman"/>
          <w:spacing w:val="-6"/>
          <w:sz w:val="16"/>
          <w:szCs w:val="16"/>
          <w:lang w:val="es-ES_tradnl"/>
        </w:rPr>
        <w:t>á</w:t>
      </w:r>
      <w:r>
        <w:rPr>
          <w:spacing w:val="-6"/>
          <w:sz w:val="16"/>
          <w:szCs w:val="16"/>
          <w:lang w:val="es-ES_tradnl"/>
        </w:rPr>
        <w:t>ndares que permitan evaluar la prolijidad en la utilizaci</w:t>
      </w:r>
      <w:r>
        <w:rPr>
          <w:rFonts w:cs="Times New Roman"/>
          <w:spacing w:val="-6"/>
          <w:sz w:val="16"/>
          <w:szCs w:val="16"/>
          <w:lang w:val="es-ES_tradnl"/>
        </w:rPr>
        <w:t>ó</w:t>
      </w:r>
      <w:r>
        <w:rPr>
          <w:spacing w:val="-6"/>
          <w:sz w:val="16"/>
          <w:szCs w:val="16"/>
          <w:lang w:val="es-ES_tradnl"/>
        </w:rPr>
        <w:t xml:space="preserve">n </w:t>
      </w:r>
      <w:r>
        <w:rPr>
          <w:spacing w:val="-4"/>
          <w:sz w:val="16"/>
          <w:szCs w:val="16"/>
          <w:lang w:val="es-ES_tradnl"/>
        </w:rPr>
        <w:t>de la l</w:t>
      </w:r>
      <w:r>
        <w:rPr>
          <w:rFonts w:cs="Times New Roman"/>
          <w:spacing w:val="-4"/>
          <w:sz w:val="16"/>
          <w:szCs w:val="16"/>
          <w:lang w:val="es-ES_tradnl"/>
        </w:rPr>
        <w:t>ó</w:t>
      </w:r>
      <w:r>
        <w:rPr>
          <w:spacing w:val="-4"/>
          <w:sz w:val="16"/>
          <w:szCs w:val="16"/>
          <w:lang w:val="es-ES_tradnl"/>
        </w:rPr>
        <w:t>gica y la argumentaci</w:t>
      </w:r>
      <w:r>
        <w:rPr>
          <w:rFonts w:cs="Times New Roman"/>
          <w:spacing w:val="-4"/>
          <w:sz w:val="16"/>
          <w:szCs w:val="16"/>
          <w:lang w:val="es-ES_tradnl"/>
        </w:rPr>
        <w:t>ó</w:t>
      </w:r>
      <w:r>
        <w:rPr>
          <w:spacing w:val="-4"/>
          <w:sz w:val="16"/>
          <w:szCs w:val="16"/>
          <w:lang w:val="es-ES_tradnl"/>
        </w:rPr>
        <w:t>n jur</w:t>
      </w:r>
      <w:r>
        <w:rPr>
          <w:rFonts w:cs="Times New Roman"/>
          <w:spacing w:val="-4"/>
          <w:sz w:val="16"/>
          <w:szCs w:val="16"/>
          <w:lang w:val="es-ES_tradnl"/>
        </w:rPr>
        <w:t>í</w:t>
      </w:r>
      <w:r>
        <w:rPr>
          <w:spacing w:val="-4"/>
          <w:sz w:val="16"/>
          <w:szCs w:val="16"/>
          <w:lang w:val="es-ES_tradnl"/>
        </w:rPr>
        <w:t xml:space="preserve">dica y que den cuenta a </w:t>
      </w:r>
      <w:r>
        <w:rPr>
          <w:spacing w:val="-6"/>
          <w:sz w:val="16"/>
          <w:szCs w:val="16"/>
          <w:lang w:val="es-ES_tradnl"/>
        </w:rPr>
        <w:t>las partes y al auditorio social en general, de que la decisi</w:t>
      </w:r>
      <w:r>
        <w:rPr>
          <w:rFonts w:cs="Times New Roman"/>
          <w:spacing w:val="-6"/>
          <w:sz w:val="16"/>
          <w:szCs w:val="16"/>
          <w:lang w:val="es-ES_tradnl"/>
        </w:rPr>
        <w:t>ó</w:t>
      </w:r>
      <w:r>
        <w:rPr>
          <w:spacing w:val="-6"/>
          <w:sz w:val="16"/>
          <w:szCs w:val="16"/>
          <w:lang w:val="es-ES_tradnl"/>
        </w:rPr>
        <w:t xml:space="preserve">n </w:t>
      </w:r>
      <w:r>
        <w:rPr>
          <w:spacing w:val="-4"/>
          <w:sz w:val="16"/>
          <w:szCs w:val="16"/>
          <w:lang w:val="es-ES_tradnl"/>
        </w:rPr>
        <w:t xml:space="preserve">adoptada ha sido precedida por un verdadero ejercicio </w:t>
      </w:r>
      <w:r>
        <w:rPr>
          <w:sz w:val="16"/>
          <w:szCs w:val="16"/>
          <w:lang w:val="es-ES_tradnl"/>
        </w:rPr>
        <w:t>intelectivo.</w:t>
      </w:r>
    </w:p>
    <w:p w14:paraId="4F67B001" w14:textId="77777777" w:rsidR="00591D54" w:rsidRDefault="00591D54">
      <w:pPr>
        <w:shd w:val="clear" w:color="auto" w:fill="FFFFFF"/>
        <w:spacing w:before="10" w:line="216" w:lineRule="exact"/>
        <w:jc w:val="both"/>
      </w:pPr>
      <w:r>
        <w:br w:type="column"/>
      </w:r>
      <w:r>
        <w:rPr>
          <w:spacing w:val="-8"/>
          <w:sz w:val="18"/>
          <w:szCs w:val="18"/>
          <w:lang w:val="es-ES_tradnl"/>
        </w:rPr>
        <w:t>Es as</w:t>
      </w:r>
      <w:r>
        <w:rPr>
          <w:rFonts w:cs="Times New Roman"/>
          <w:spacing w:val="-8"/>
          <w:sz w:val="18"/>
          <w:szCs w:val="18"/>
          <w:lang w:val="es-ES_tradnl"/>
        </w:rPr>
        <w:t>í</w:t>
      </w:r>
      <w:r>
        <w:rPr>
          <w:spacing w:val="-8"/>
          <w:sz w:val="18"/>
          <w:szCs w:val="18"/>
          <w:lang w:val="es-ES_tradnl"/>
        </w:rPr>
        <w:t xml:space="preserve"> que la motivaci</w:t>
      </w:r>
      <w:r>
        <w:rPr>
          <w:rFonts w:cs="Times New Roman"/>
          <w:spacing w:val="-8"/>
          <w:sz w:val="18"/>
          <w:szCs w:val="18"/>
          <w:lang w:val="es-ES_tradnl"/>
        </w:rPr>
        <w:t>ó</w:t>
      </w:r>
      <w:r>
        <w:rPr>
          <w:spacing w:val="-8"/>
          <w:sz w:val="18"/>
          <w:szCs w:val="18"/>
          <w:lang w:val="es-ES_tradnl"/>
        </w:rPr>
        <w:t>n como garant</w:t>
      </w:r>
      <w:r>
        <w:rPr>
          <w:rFonts w:cs="Times New Roman"/>
          <w:spacing w:val="-8"/>
          <w:sz w:val="18"/>
          <w:szCs w:val="18"/>
          <w:lang w:val="es-ES_tradnl"/>
        </w:rPr>
        <w:t>í</w:t>
      </w:r>
      <w:r>
        <w:rPr>
          <w:spacing w:val="-8"/>
          <w:sz w:val="18"/>
          <w:szCs w:val="18"/>
          <w:lang w:val="es-ES_tradnl"/>
        </w:rPr>
        <w:t xml:space="preserve">a del debido proceso </w:t>
      </w:r>
      <w:r>
        <w:rPr>
          <w:spacing w:val="-6"/>
          <w:sz w:val="18"/>
          <w:szCs w:val="18"/>
          <w:lang w:val="es-ES_tradnl"/>
        </w:rPr>
        <w:t>se encuentra compuesta adem</w:t>
      </w:r>
      <w:r>
        <w:rPr>
          <w:rFonts w:cs="Times New Roman"/>
          <w:spacing w:val="-6"/>
          <w:sz w:val="18"/>
          <w:szCs w:val="18"/>
          <w:lang w:val="es-ES_tradnl"/>
        </w:rPr>
        <w:t>á</w:t>
      </w:r>
      <w:r>
        <w:rPr>
          <w:spacing w:val="-6"/>
          <w:sz w:val="18"/>
          <w:szCs w:val="18"/>
          <w:lang w:val="es-ES_tradnl"/>
        </w:rPr>
        <w:t xml:space="preserve">s por tres requisitos, tal </w:t>
      </w:r>
      <w:r>
        <w:rPr>
          <w:spacing w:val="-8"/>
          <w:sz w:val="18"/>
          <w:szCs w:val="18"/>
          <w:lang w:val="es-ES_tradnl"/>
        </w:rPr>
        <w:t>como lo expres</w:t>
      </w:r>
      <w:r>
        <w:rPr>
          <w:rFonts w:cs="Times New Roman"/>
          <w:spacing w:val="-8"/>
          <w:sz w:val="18"/>
          <w:szCs w:val="18"/>
          <w:lang w:val="es-ES_tradnl"/>
        </w:rPr>
        <w:t>ó</w:t>
      </w:r>
      <w:r>
        <w:rPr>
          <w:spacing w:val="-8"/>
          <w:sz w:val="18"/>
          <w:szCs w:val="18"/>
          <w:lang w:val="es-ES_tradnl"/>
        </w:rPr>
        <w:t xml:space="preserve"> la Corte Constitucional, para el per</w:t>
      </w:r>
      <w:r>
        <w:rPr>
          <w:rFonts w:cs="Times New Roman"/>
          <w:spacing w:val="-8"/>
          <w:sz w:val="18"/>
          <w:szCs w:val="18"/>
          <w:lang w:val="es-ES_tradnl"/>
        </w:rPr>
        <w:t>í</w:t>
      </w:r>
      <w:r>
        <w:rPr>
          <w:spacing w:val="-8"/>
          <w:sz w:val="18"/>
          <w:szCs w:val="18"/>
          <w:lang w:val="es-ES_tradnl"/>
        </w:rPr>
        <w:t xml:space="preserve">odo de </w:t>
      </w:r>
      <w:r>
        <w:rPr>
          <w:spacing w:val="-9"/>
          <w:sz w:val="18"/>
          <w:szCs w:val="18"/>
          <w:lang w:val="es-ES_tradnl"/>
        </w:rPr>
        <w:t>transici</w:t>
      </w:r>
      <w:r>
        <w:rPr>
          <w:rFonts w:cs="Times New Roman"/>
          <w:spacing w:val="-9"/>
          <w:sz w:val="18"/>
          <w:szCs w:val="18"/>
          <w:lang w:val="es-ES_tradnl"/>
        </w:rPr>
        <w:t>ó</w:t>
      </w:r>
      <w:r>
        <w:rPr>
          <w:spacing w:val="-9"/>
          <w:sz w:val="18"/>
          <w:szCs w:val="18"/>
          <w:lang w:val="es-ES_tradnl"/>
        </w:rPr>
        <w:t>n, en su sentencia N.</w:t>
      </w:r>
      <w:r>
        <w:rPr>
          <w:rFonts w:cs="Times New Roman"/>
          <w:spacing w:val="-9"/>
          <w:sz w:val="18"/>
          <w:szCs w:val="18"/>
          <w:lang w:val="es-ES_tradnl"/>
        </w:rPr>
        <w:t>º</w:t>
      </w:r>
      <w:r>
        <w:rPr>
          <w:spacing w:val="-9"/>
          <w:sz w:val="18"/>
          <w:szCs w:val="18"/>
          <w:lang w:val="es-ES_tradnl"/>
        </w:rPr>
        <w:t xml:space="preserve"> 227-12-SEP-CC, misma que </w:t>
      </w:r>
      <w:r>
        <w:rPr>
          <w:spacing w:val="-6"/>
          <w:sz w:val="18"/>
          <w:szCs w:val="18"/>
          <w:lang w:val="es-ES_tradnl"/>
        </w:rPr>
        <w:t xml:space="preserve">ha servido de fundamento para que esta Corte desarrolle, </w:t>
      </w:r>
      <w:r>
        <w:rPr>
          <w:spacing w:val="-9"/>
          <w:sz w:val="18"/>
          <w:szCs w:val="18"/>
          <w:lang w:val="es-ES_tradnl"/>
        </w:rPr>
        <w:t>a trav</w:t>
      </w:r>
      <w:r>
        <w:rPr>
          <w:rFonts w:cs="Times New Roman"/>
          <w:spacing w:val="-9"/>
          <w:sz w:val="18"/>
          <w:szCs w:val="18"/>
          <w:lang w:val="es-ES_tradnl"/>
        </w:rPr>
        <w:t>é</w:t>
      </w:r>
      <w:r>
        <w:rPr>
          <w:spacing w:val="-9"/>
          <w:sz w:val="18"/>
          <w:szCs w:val="18"/>
          <w:lang w:val="es-ES_tradnl"/>
        </w:rPr>
        <w:t xml:space="preserve">s de las sentencias que dicta, lo que ha denominado </w:t>
      </w:r>
      <w:r>
        <w:rPr>
          <w:sz w:val="18"/>
          <w:szCs w:val="18"/>
          <w:lang w:val="es-ES_tradnl"/>
        </w:rPr>
        <w:t xml:space="preserve">como el </w:t>
      </w:r>
      <w:r>
        <w:rPr>
          <w:rFonts w:cs="Times New Roman"/>
          <w:sz w:val="18"/>
          <w:szCs w:val="18"/>
          <w:lang w:val="es-ES_tradnl"/>
        </w:rPr>
        <w:t>“</w:t>
      </w:r>
      <w:r>
        <w:rPr>
          <w:sz w:val="18"/>
          <w:szCs w:val="18"/>
          <w:lang w:val="es-ES_tradnl"/>
        </w:rPr>
        <w:t>test de motivaci</w:t>
      </w:r>
      <w:r>
        <w:rPr>
          <w:rFonts w:cs="Times New Roman"/>
          <w:sz w:val="18"/>
          <w:szCs w:val="18"/>
          <w:lang w:val="es-ES_tradnl"/>
        </w:rPr>
        <w:t>ó</w:t>
      </w:r>
      <w:r>
        <w:rPr>
          <w:sz w:val="18"/>
          <w:szCs w:val="18"/>
          <w:lang w:val="es-ES_tradnl"/>
        </w:rPr>
        <w:t>n</w:t>
      </w:r>
      <w:r>
        <w:rPr>
          <w:rFonts w:cs="Times New Roman"/>
          <w:sz w:val="18"/>
          <w:szCs w:val="18"/>
          <w:lang w:val="es-ES_tradnl"/>
        </w:rPr>
        <w:t>”</w:t>
      </w:r>
      <w:r>
        <w:rPr>
          <w:sz w:val="18"/>
          <w:szCs w:val="18"/>
          <w:lang w:val="es-ES_tradnl"/>
        </w:rPr>
        <w:t>:</w:t>
      </w:r>
    </w:p>
    <w:p w14:paraId="4F67B002" w14:textId="77777777" w:rsidR="00591D54" w:rsidRDefault="00591D54">
      <w:pPr>
        <w:shd w:val="clear" w:color="auto" w:fill="FFFFFF"/>
        <w:spacing w:before="202" w:line="216" w:lineRule="exact"/>
        <w:ind w:left="283"/>
        <w:jc w:val="both"/>
      </w:pPr>
      <w:r>
        <w:rPr>
          <w:spacing w:val="-5"/>
          <w:sz w:val="16"/>
          <w:szCs w:val="16"/>
          <w:lang w:val="es-ES_tradnl"/>
        </w:rPr>
        <w:t>Para que determinada resoluci</w:t>
      </w:r>
      <w:r>
        <w:rPr>
          <w:rFonts w:cs="Times New Roman"/>
          <w:spacing w:val="-5"/>
          <w:sz w:val="16"/>
          <w:szCs w:val="16"/>
          <w:lang w:val="es-ES_tradnl"/>
        </w:rPr>
        <w:t>ó</w:t>
      </w:r>
      <w:r>
        <w:rPr>
          <w:spacing w:val="-5"/>
          <w:sz w:val="16"/>
          <w:szCs w:val="16"/>
          <w:lang w:val="es-ES_tradnl"/>
        </w:rPr>
        <w:t xml:space="preserve">n se halle correctamente </w:t>
      </w:r>
      <w:r>
        <w:rPr>
          <w:spacing w:val="-7"/>
          <w:sz w:val="16"/>
          <w:szCs w:val="16"/>
          <w:lang w:val="es-ES_tradnl"/>
        </w:rPr>
        <w:t>motivada es necesario que la autoridad que tome la decisi</w:t>
      </w:r>
      <w:r>
        <w:rPr>
          <w:rFonts w:cs="Times New Roman"/>
          <w:spacing w:val="-7"/>
          <w:sz w:val="16"/>
          <w:szCs w:val="16"/>
          <w:lang w:val="es-ES_tradnl"/>
        </w:rPr>
        <w:t>ó</w:t>
      </w:r>
      <w:r>
        <w:rPr>
          <w:spacing w:val="-7"/>
          <w:sz w:val="16"/>
          <w:szCs w:val="16"/>
          <w:lang w:val="es-ES_tradnl"/>
        </w:rPr>
        <w:t>n exponga la razones que el derecho le ofrece para adoptarla. Dicha exposici</w:t>
      </w:r>
      <w:r>
        <w:rPr>
          <w:rFonts w:cs="Times New Roman"/>
          <w:spacing w:val="-7"/>
          <w:sz w:val="16"/>
          <w:szCs w:val="16"/>
          <w:lang w:val="es-ES_tradnl"/>
        </w:rPr>
        <w:t>ó</w:t>
      </w:r>
      <w:r>
        <w:rPr>
          <w:spacing w:val="-7"/>
          <w:sz w:val="16"/>
          <w:szCs w:val="16"/>
          <w:lang w:val="es-ES_tradnl"/>
        </w:rPr>
        <w:t>n debe hac</w:t>
      </w:r>
      <w:r>
        <w:rPr>
          <w:rFonts w:cs="Times New Roman"/>
          <w:spacing w:val="-7"/>
          <w:sz w:val="16"/>
          <w:szCs w:val="16"/>
          <w:lang w:val="es-ES_tradnl"/>
        </w:rPr>
        <w:t>é</w:t>
      </w:r>
      <w:r>
        <w:rPr>
          <w:spacing w:val="-7"/>
          <w:sz w:val="16"/>
          <w:szCs w:val="16"/>
          <w:lang w:val="es-ES_tradnl"/>
        </w:rPr>
        <w:t>rsela de manera razonable, l</w:t>
      </w:r>
      <w:r>
        <w:rPr>
          <w:rFonts w:cs="Times New Roman"/>
          <w:spacing w:val="-7"/>
          <w:sz w:val="16"/>
          <w:szCs w:val="16"/>
          <w:lang w:val="es-ES_tradnl"/>
        </w:rPr>
        <w:t>ó</w:t>
      </w:r>
      <w:r>
        <w:rPr>
          <w:spacing w:val="-7"/>
          <w:sz w:val="16"/>
          <w:szCs w:val="16"/>
          <w:lang w:val="es-ES_tradnl"/>
        </w:rPr>
        <w:t xml:space="preserve">gica </w:t>
      </w:r>
      <w:r>
        <w:rPr>
          <w:spacing w:val="-6"/>
          <w:sz w:val="16"/>
          <w:szCs w:val="16"/>
          <w:lang w:val="es-ES_tradnl"/>
        </w:rPr>
        <w:t>y comprensible, as</w:t>
      </w:r>
      <w:r>
        <w:rPr>
          <w:rFonts w:cs="Times New Roman"/>
          <w:spacing w:val="-6"/>
          <w:sz w:val="16"/>
          <w:szCs w:val="16"/>
          <w:lang w:val="es-ES_tradnl"/>
        </w:rPr>
        <w:t>í</w:t>
      </w:r>
      <w:r>
        <w:rPr>
          <w:spacing w:val="-6"/>
          <w:sz w:val="16"/>
          <w:szCs w:val="16"/>
          <w:lang w:val="es-ES_tradnl"/>
        </w:rPr>
        <w:t xml:space="preserve"> como mostrar c</w:t>
      </w:r>
      <w:r>
        <w:rPr>
          <w:rFonts w:cs="Times New Roman"/>
          <w:spacing w:val="-6"/>
          <w:sz w:val="16"/>
          <w:szCs w:val="16"/>
          <w:lang w:val="es-ES_tradnl"/>
        </w:rPr>
        <w:t>ó</w:t>
      </w:r>
      <w:r>
        <w:rPr>
          <w:spacing w:val="-6"/>
          <w:sz w:val="16"/>
          <w:szCs w:val="16"/>
          <w:lang w:val="es-ES_tradnl"/>
        </w:rPr>
        <w:t xml:space="preserve">mo los enunciados </w:t>
      </w:r>
      <w:r>
        <w:rPr>
          <w:spacing w:val="-10"/>
          <w:sz w:val="16"/>
          <w:szCs w:val="16"/>
          <w:lang w:val="es-ES_tradnl"/>
        </w:rPr>
        <w:t xml:space="preserve">normativos se adecuan a los deseos de solucionar los confl ictos </w:t>
      </w:r>
      <w:r>
        <w:rPr>
          <w:spacing w:val="-9"/>
          <w:sz w:val="16"/>
          <w:szCs w:val="16"/>
          <w:lang w:val="es-ES_tradnl"/>
        </w:rPr>
        <w:t>presentados. Una decisi</w:t>
      </w:r>
      <w:r>
        <w:rPr>
          <w:rFonts w:cs="Times New Roman"/>
          <w:spacing w:val="-9"/>
          <w:sz w:val="16"/>
          <w:szCs w:val="16"/>
          <w:lang w:val="es-ES_tradnl"/>
        </w:rPr>
        <w:t>ó</w:t>
      </w:r>
      <w:r>
        <w:rPr>
          <w:spacing w:val="-9"/>
          <w:sz w:val="16"/>
          <w:szCs w:val="16"/>
          <w:lang w:val="es-ES_tradnl"/>
        </w:rPr>
        <w:t xml:space="preserve">n razonable es aquella fundada en los </w:t>
      </w:r>
      <w:r>
        <w:rPr>
          <w:spacing w:val="-4"/>
          <w:sz w:val="16"/>
          <w:szCs w:val="16"/>
          <w:lang w:val="es-ES_tradnl"/>
        </w:rPr>
        <w:t>principios constitucionales. La decisi</w:t>
      </w:r>
      <w:r>
        <w:rPr>
          <w:rFonts w:cs="Times New Roman"/>
          <w:spacing w:val="-4"/>
          <w:sz w:val="16"/>
          <w:szCs w:val="16"/>
          <w:lang w:val="es-ES_tradnl"/>
        </w:rPr>
        <w:t>ó</w:t>
      </w:r>
      <w:r>
        <w:rPr>
          <w:spacing w:val="-4"/>
          <w:sz w:val="16"/>
          <w:szCs w:val="16"/>
          <w:lang w:val="es-ES_tradnl"/>
        </w:rPr>
        <w:t>n l</w:t>
      </w:r>
      <w:r>
        <w:rPr>
          <w:rFonts w:cs="Times New Roman"/>
          <w:spacing w:val="-4"/>
          <w:sz w:val="16"/>
          <w:szCs w:val="16"/>
          <w:lang w:val="es-ES_tradnl"/>
        </w:rPr>
        <w:t>ó</w:t>
      </w:r>
      <w:r>
        <w:rPr>
          <w:spacing w:val="-4"/>
          <w:sz w:val="16"/>
          <w:szCs w:val="16"/>
          <w:lang w:val="es-ES_tradnl"/>
        </w:rPr>
        <w:t>gica, por su lado, implica coherencia entre las premisas y la conclusi</w:t>
      </w:r>
      <w:r>
        <w:rPr>
          <w:rFonts w:cs="Times New Roman"/>
          <w:spacing w:val="-4"/>
          <w:sz w:val="16"/>
          <w:szCs w:val="16"/>
          <w:lang w:val="es-ES_tradnl"/>
        </w:rPr>
        <w:t>ó</w:t>
      </w:r>
      <w:r>
        <w:rPr>
          <w:spacing w:val="-4"/>
          <w:sz w:val="16"/>
          <w:szCs w:val="16"/>
          <w:lang w:val="es-ES_tradnl"/>
        </w:rPr>
        <w:t>n, as</w:t>
      </w:r>
      <w:r>
        <w:rPr>
          <w:rFonts w:cs="Times New Roman"/>
          <w:spacing w:val="-4"/>
          <w:sz w:val="16"/>
          <w:szCs w:val="16"/>
          <w:lang w:val="es-ES_tradnl"/>
        </w:rPr>
        <w:t xml:space="preserve">í </w:t>
      </w:r>
      <w:r>
        <w:rPr>
          <w:spacing w:val="-7"/>
          <w:sz w:val="16"/>
          <w:szCs w:val="16"/>
          <w:lang w:val="es-ES_tradnl"/>
        </w:rPr>
        <w:t xml:space="preserve">como entre </w:t>
      </w:r>
      <w:r>
        <w:rPr>
          <w:rFonts w:cs="Times New Roman"/>
          <w:spacing w:val="-7"/>
          <w:sz w:val="16"/>
          <w:szCs w:val="16"/>
          <w:lang w:val="es-ES_tradnl"/>
        </w:rPr>
        <w:t>é</w:t>
      </w:r>
      <w:r>
        <w:rPr>
          <w:spacing w:val="-7"/>
          <w:sz w:val="16"/>
          <w:szCs w:val="16"/>
          <w:lang w:val="es-ES_tradnl"/>
        </w:rPr>
        <w:t>sta y la decisi</w:t>
      </w:r>
      <w:r>
        <w:rPr>
          <w:rFonts w:cs="Times New Roman"/>
          <w:spacing w:val="-7"/>
          <w:sz w:val="16"/>
          <w:szCs w:val="16"/>
          <w:lang w:val="es-ES_tradnl"/>
        </w:rPr>
        <w:t>ó</w:t>
      </w:r>
      <w:r>
        <w:rPr>
          <w:spacing w:val="-7"/>
          <w:sz w:val="16"/>
          <w:szCs w:val="16"/>
          <w:lang w:val="es-ES_tradnl"/>
        </w:rPr>
        <w:t>n. Una decisi</w:t>
      </w:r>
      <w:r>
        <w:rPr>
          <w:rFonts w:cs="Times New Roman"/>
          <w:spacing w:val="-7"/>
          <w:sz w:val="16"/>
          <w:szCs w:val="16"/>
          <w:lang w:val="es-ES_tradnl"/>
        </w:rPr>
        <w:t>ó</w:t>
      </w:r>
      <w:r>
        <w:rPr>
          <w:spacing w:val="-7"/>
          <w:sz w:val="16"/>
          <w:szCs w:val="16"/>
          <w:lang w:val="es-ES_tradnl"/>
        </w:rPr>
        <w:t xml:space="preserve">n comprensible, por </w:t>
      </w:r>
      <w:r>
        <w:rPr>
          <w:rFonts w:cs="Times New Roman"/>
          <w:spacing w:val="-5"/>
          <w:sz w:val="16"/>
          <w:szCs w:val="16"/>
          <w:lang w:val="es-ES_tradnl"/>
        </w:rPr>
        <w:t>ú</w:t>
      </w:r>
      <w:r>
        <w:rPr>
          <w:spacing w:val="-5"/>
          <w:sz w:val="16"/>
          <w:szCs w:val="16"/>
          <w:lang w:val="es-ES_tradnl"/>
        </w:rPr>
        <w:t xml:space="preserve">ltimo debe gozar de claridad en el lenguaje, con miras a su </w:t>
      </w:r>
      <w:r>
        <w:rPr>
          <w:spacing w:val="-8"/>
          <w:sz w:val="16"/>
          <w:szCs w:val="16"/>
          <w:lang w:val="es-ES_tradnl"/>
        </w:rPr>
        <w:t>fiscalizaci</w:t>
      </w:r>
      <w:r>
        <w:rPr>
          <w:rFonts w:cs="Times New Roman"/>
          <w:spacing w:val="-8"/>
          <w:sz w:val="16"/>
          <w:szCs w:val="16"/>
          <w:lang w:val="es-ES_tradnl"/>
        </w:rPr>
        <w:t>ó</w:t>
      </w:r>
      <w:r>
        <w:rPr>
          <w:spacing w:val="-8"/>
          <w:sz w:val="16"/>
          <w:szCs w:val="16"/>
          <w:lang w:val="es-ES_tradnl"/>
        </w:rPr>
        <w:t>n por parte del gran auditorio social, m</w:t>
      </w:r>
      <w:r>
        <w:rPr>
          <w:rFonts w:cs="Times New Roman"/>
          <w:spacing w:val="-8"/>
          <w:sz w:val="16"/>
          <w:szCs w:val="16"/>
          <w:lang w:val="es-ES_tradnl"/>
        </w:rPr>
        <w:t>á</w:t>
      </w:r>
      <w:r>
        <w:rPr>
          <w:spacing w:val="-8"/>
          <w:sz w:val="16"/>
          <w:szCs w:val="16"/>
          <w:lang w:val="es-ES_tradnl"/>
        </w:rPr>
        <w:t>s all</w:t>
      </w:r>
      <w:r>
        <w:rPr>
          <w:rFonts w:cs="Times New Roman"/>
          <w:spacing w:val="-8"/>
          <w:sz w:val="16"/>
          <w:szCs w:val="16"/>
          <w:lang w:val="es-ES_tradnl"/>
        </w:rPr>
        <w:t>á</w:t>
      </w:r>
      <w:r>
        <w:rPr>
          <w:spacing w:val="-8"/>
          <w:sz w:val="16"/>
          <w:szCs w:val="16"/>
          <w:lang w:val="es-ES_tradnl"/>
        </w:rPr>
        <w:t xml:space="preserve"> de las </w:t>
      </w:r>
      <w:r>
        <w:rPr>
          <w:sz w:val="16"/>
          <w:szCs w:val="16"/>
          <w:lang w:val="es-ES_tradnl"/>
        </w:rPr>
        <w:t>partes en confl icto.</w:t>
      </w:r>
    </w:p>
    <w:p w14:paraId="4F67B003" w14:textId="77777777" w:rsidR="00591D54" w:rsidRDefault="00591D54">
      <w:pPr>
        <w:shd w:val="clear" w:color="auto" w:fill="FFFFFF"/>
        <w:spacing w:before="202" w:line="216" w:lineRule="exact"/>
        <w:jc w:val="both"/>
      </w:pPr>
      <w:r>
        <w:rPr>
          <w:spacing w:val="-8"/>
          <w:sz w:val="18"/>
          <w:szCs w:val="18"/>
          <w:lang w:val="es-ES_tradnl"/>
        </w:rPr>
        <w:t xml:space="preserve">Bajo este esquema de fuentes jurisprudenciales, la Corte </w:t>
      </w:r>
      <w:r>
        <w:rPr>
          <w:spacing w:val="-10"/>
          <w:sz w:val="18"/>
          <w:szCs w:val="18"/>
          <w:lang w:val="es-ES_tradnl"/>
        </w:rPr>
        <w:t>Constitucional ha sido enf</w:t>
      </w:r>
      <w:r>
        <w:rPr>
          <w:rFonts w:cs="Times New Roman"/>
          <w:spacing w:val="-10"/>
          <w:sz w:val="18"/>
          <w:szCs w:val="18"/>
          <w:lang w:val="es-ES_tradnl"/>
        </w:rPr>
        <w:t>á</w:t>
      </w:r>
      <w:r>
        <w:rPr>
          <w:spacing w:val="-10"/>
          <w:sz w:val="18"/>
          <w:szCs w:val="18"/>
          <w:lang w:val="es-ES_tradnl"/>
        </w:rPr>
        <w:t>tica en se</w:t>
      </w:r>
      <w:r>
        <w:rPr>
          <w:rFonts w:cs="Times New Roman"/>
          <w:spacing w:val="-10"/>
          <w:sz w:val="18"/>
          <w:szCs w:val="18"/>
          <w:lang w:val="es-ES_tradnl"/>
        </w:rPr>
        <w:t>ñ</w:t>
      </w:r>
      <w:r>
        <w:rPr>
          <w:spacing w:val="-10"/>
          <w:sz w:val="18"/>
          <w:szCs w:val="18"/>
          <w:lang w:val="es-ES_tradnl"/>
        </w:rPr>
        <w:t xml:space="preserve">alar que toda sentencia </w:t>
      </w:r>
      <w:r>
        <w:rPr>
          <w:spacing w:val="-6"/>
          <w:sz w:val="18"/>
          <w:szCs w:val="18"/>
          <w:lang w:val="es-ES_tradnl"/>
        </w:rPr>
        <w:t>o auto gozar</w:t>
      </w:r>
      <w:r>
        <w:rPr>
          <w:rFonts w:cs="Times New Roman"/>
          <w:spacing w:val="-6"/>
          <w:sz w:val="18"/>
          <w:szCs w:val="18"/>
          <w:lang w:val="es-ES_tradnl"/>
        </w:rPr>
        <w:t>á</w:t>
      </w:r>
      <w:r>
        <w:rPr>
          <w:spacing w:val="-6"/>
          <w:sz w:val="18"/>
          <w:szCs w:val="18"/>
          <w:lang w:val="es-ES_tradnl"/>
        </w:rPr>
        <w:t xml:space="preserve"> de motivaci</w:t>
      </w:r>
      <w:r>
        <w:rPr>
          <w:rFonts w:cs="Times New Roman"/>
          <w:spacing w:val="-6"/>
          <w:sz w:val="18"/>
          <w:szCs w:val="18"/>
          <w:lang w:val="es-ES_tradnl"/>
        </w:rPr>
        <w:t>ó</w:t>
      </w:r>
      <w:r>
        <w:rPr>
          <w:spacing w:val="-6"/>
          <w:sz w:val="18"/>
          <w:szCs w:val="18"/>
          <w:lang w:val="es-ES_tradnl"/>
        </w:rPr>
        <w:t xml:space="preserve">n siempre que su contenido </w:t>
      </w:r>
      <w:r>
        <w:rPr>
          <w:spacing w:val="-9"/>
          <w:sz w:val="18"/>
          <w:szCs w:val="18"/>
          <w:lang w:val="es-ES_tradnl"/>
        </w:rPr>
        <w:t>cumpla con los tres par</w:t>
      </w:r>
      <w:r>
        <w:rPr>
          <w:rFonts w:cs="Times New Roman"/>
          <w:spacing w:val="-9"/>
          <w:sz w:val="18"/>
          <w:szCs w:val="18"/>
          <w:lang w:val="es-ES_tradnl"/>
        </w:rPr>
        <w:t>á</w:t>
      </w:r>
      <w:r>
        <w:rPr>
          <w:spacing w:val="-9"/>
          <w:sz w:val="18"/>
          <w:szCs w:val="18"/>
          <w:lang w:val="es-ES_tradnl"/>
        </w:rPr>
        <w:t xml:space="preserve">metros establecidos, en cuyo caso, </w:t>
      </w:r>
      <w:r>
        <w:rPr>
          <w:spacing w:val="-7"/>
          <w:sz w:val="18"/>
          <w:szCs w:val="18"/>
          <w:lang w:val="es-ES_tradnl"/>
        </w:rPr>
        <w:t>para el efecto de establecer la falta de motivaci</w:t>
      </w:r>
      <w:r>
        <w:rPr>
          <w:rFonts w:cs="Times New Roman"/>
          <w:spacing w:val="-7"/>
          <w:sz w:val="18"/>
          <w:szCs w:val="18"/>
          <w:lang w:val="es-ES_tradnl"/>
        </w:rPr>
        <w:t>ó</w:t>
      </w:r>
      <w:r>
        <w:rPr>
          <w:spacing w:val="-7"/>
          <w:sz w:val="18"/>
          <w:szCs w:val="18"/>
          <w:lang w:val="es-ES_tradnl"/>
        </w:rPr>
        <w:t xml:space="preserve">n, dichos </w:t>
      </w:r>
      <w:r>
        <w:rPr>
          <w:spacing w:val="-11"/>
          <w:sz w:val="18"/>
          <w:szCs w:val="18"/>
          <w:lang w:val="es-ES_tradnl"/>
        </w:rPr>
        <w:t>elementos no son concurrentes, es decir, bastar</w:t>
      </w:r>
      <w:r>
        <w:rPr>
          <w:rFonts w:cs="Times New Roman"/>
          <w:spacing w:val="-11"/>
          <w:sz w:val="18"/>
          <w:szCs w:val="18"/>
          <w:lang w:val="es-ES_tradnl"/>
        </w:rPr>
        <w:t>á</w:t>
      </w:r>
      <w:r>
        <w:rPr>
          <w:spacing w:val="-11"/>
          <w:sz w:val="18"/>
          <w:szCs w:val="18"/>
          <w:lang w:val="es-ES_tradnl"/>
        </w:rPr>
        <w:t xml:space="preserve"> que uno de </w:t>
      </w:r>
      <w:r>
        <w:rPr>
          <w:spacing w:val="-8"/>
          <w:sz w:val="18"/>
          <w:szCs w:val="18"/>
          <w:lang w:val="es-ES_tradnl"/>
        </w:rPr>
        <w:t xml:space="preserve">ellos no se haya cumplido dentro de la sentencia u auto en </w:t>
      </w:r>
      <w:r>
        <w:rPr>
          <w:spacing w:val="-10"/>
          <w:sz w:val="18"/>
          <w:szCs w:val="18"/>
          <w:lang w:val="es-ES_tradnl"/>
        </w:rPr>
        <w:t>an</w:t>
      </w:r>
      <w:r>
        <w:rPr>
          <w:rFonts w:cs="Times New Roman"/>
          <w:spacing w:val="-10"/>
          <w:sz w:val="18"/>
          <w:szCs w:val="18"/>
          <w:lang w:val="es-ES_tradnl"/>
        </w:rPr>
        <w:t>á</w:t>
      </w:r>
      <w:r>
        <w:rPr>
          <w:spacing w:val="-10"/>
          <w:sz w:val="18"/>
          <w:szCs w:val="18"/>
          <w:lang w:val="es-ES_tradnl"/>
        </w:rPr>
        <w:t>lisis, para determinar que la misma carece de motivaci</w:t>
      </w:r>
      <w:r>
        <w:rPr>
          <w:rFonts w:cs="Times New Roman"/>
          <w:spacing w:val="-10"/>
          <w:sz w:val="18"/>
          <w:szCs w:val="18"/>
          <w:lang w:val="es-ES_tradnl"/>
        </w:rPr>
        <w:t>ó</w:t>
      </w:r>
      <w:r>
        <w:rPr>
          <w:spacing w:val="-10"/>
          <w:sz w:val="18"/>
          <w:szCs w:val="18"/>
          <w:lang w:val="es-ES_tradnl"/>
        </w:rPr>
        <w:t xml:space="preserve">n </w:t>
      </w:r>
      <w:r>
        <w:rPr>
          <w:spacing w:val="-7"/>
          <w:sz w:val="18"/>
          <w:szCs w:val="18"/>
          <w:lang w:val="es-ES_tradnl"/>
        </w:rPr>
        <w:t>y como tal vulnera el derecho al debido proceso.</w:t>
      </w:r>
    </w:p>
    <w:p w14:paraId="4F67B004" w14:textId="77777777" w:rsidR="00591D54" w:rsidRDefault="00591D54">
      <w:pPr>
        <w:shd w:val="clear" w:color="auto" w:fill="FFFFFF"/>
        <w:spacing w:before="192" w:line="216" w:lineRule="exact"/>
        <w:jc w:val="both"/>
      </w:pPr>
      <w:r>
        <w:rPr>
          <w:spacing w:val="-9"/>
          <w:sz w:val="18"/>
          <w:szCs w:val="18"/>
          <w:lang w:val="es-ES_tradnl"/>
        </w:rPr>
        <w:t xml:space="preserve">La razonabilidad, en primer lugar, debe ser entendida como </w:t>
      </w:r>
      <w:r>
        <w:rPr>
          <w:spacing w:val="-10"/>
          <w:sz w:val="18"/>
          <w:szCs w:val="18"/>
          <w:lang w:val="es-ES_tradnl"/>
        </w:rPr>
        <w:t>un juicio de adecuaci</w:t>
      </w:r>
      <w:r>
        <w:rPr>
          <w:rFonts w:cs="Times New Roman"/>
          <w:spacing w:val="-10"/>
          <w:sz w:val="18"/>
          <w:szCs w:val="18"/>
          <w:lang w:val="es-ES_tradnl"/>
        </w:rPr>
        <w:t>ó</w:t>
      </w:r>
      <w:r>
        <w:rPr>
          <w:spacing w:val="-10"/>
          <w:sz w:val="18"/>
          <w:szCs w:val="18"/>
          <w:lang w:val="es-ES_tradnl"/>
        </w:rPr>
        <w:t xml:space="preserve">n del caso con los principios y normas constitucionales. A estas se suman las normas de derechos </w:t>
      </w:r>
      <w:r>
        <w:rPr>
          <w:spacing w:val="-7"/>
          <w:sz w:val="18"/>
          <w:szCs w:val="18"/>
          <w:lang w:val="es-ES_tradnl"/>
        </w:rPr>
        <w:t xml:space="preserve">humanos contenidas en los instrumentos internacionales, </w:t>
      </w:r>
      <w:r>
        <w:rPr>
          <w:spacing w:val="-1"/>
          <w:sz w:val="18"/>
          <w:szCs w:val="18"/>
          <w:lang w:val="es-ES_tradnl"/>
        </w:rPr>
        <w:t xml:space="preserve">por constituir parte del bloque de constitucionalidad, y </w:t>
      </w:r>
      <w:r>
        <w:rPr>
          <w:spacing w:val="-6"/>
          <w:sz w:val="18"/>
          <w:szCs w:val="18"/>
          <w:lang w:val="es-ES_tradnl"/>
        </w:rPr>
        <w:t>la jurisprudencia constitucional, la cual constituye una interpretaci</w:t>
      </w:r>
      <w:r>
        <w:rPr>
          <w:rFonts w:cs="Times New Roman"/>
          <w:spacing w:val="-6"/>
          <w:sz w:val="18"/>
          <w:szCs w:val="18"/>
          <w:lang w:val="es-ES_tradnl"/>
        </w:rPr>
        <w:t>ó</w:t>
      </w:r>
      <w:r>
        <w:rPr>
          <w:spacing w:val="-6"/>
          <w:sz w:val="18"/>
          <w:szCs w:val="18"/>
          <w:lang w:val="es-ES_tradnl"/>
        </w:rPr>
        <w:t>n aut</w:t>
      </w:r>
      <w:r>
        <w:rPr>
          <w:rFonts w:cs="Times New Roman"/>
          <w:spacing w:val="-6"/>
          <w:sz w:val="18"/>
          <w:szCs w:val="18"/>
          <w:lang w:val="es-ES_tradnl"/>
        </w:rPr>
        <w:t>é</w:t>
      </w:r>
      <w:r>
        <w:rPr>
          <w:spacing w:val="-6"/>
          <w:sz w:val="18"/>
          <w:szCs w:val="18"/>
          <w:lang w:val="es-ES_tradnl"/>
        </w:rPr>
        <w:t>ntica de la Constituci</w:t>
      </w:r>
      <w:r>
        <w:rPr>
          <w:rFonts w:cs="Times New Roman"/>
          <w:spacing w:val="-6"/>
          <w:sz w:val="18"/>
          <w:szCs w:val="18"/>
          <w:lang w:val="es-ES_tradnl"/>
        </w:rPr>
        <w:t>ó</w:t>
      </w:r>
      <w:r>
        <w:rPr>
          <w:spacing w:val="-6"/>
          <w:sz w:val="18"/>
          <w:szCs w:val="18"/>
          <w:lang w:val="es-ES_tradnl"/>
        </w:rPr>
        <w:t xml:space="preserve">n. Una sentencia </w:t>
      </w:r>
      <w:r>
        <w:rPr>
          <w:spacing w:val="-8"/>
          <w:sz w:val="18"/>
          <w:szCs w:val="18"/>
          <w:lang w:val="es-ES_tradnl"/>
        </w:rPr>
        <w:t xml:space="preserve">es razonable en la medida en que se armoniza al derecho </w:t>
      </w:r>
      <w:r>
        <w:rPr>
          <w:spacing w:val="-6"/>
          <w:sz w:val="18"/>
          <w:szCs w:val="18"/>
          <w:lang w:val="es-ES_tradnl"/>
        </w:rPr>
        <w:t xml:space="preserve">constitucional vigente y apropiado para resolver un caso, </w:t>
      </w:r>
      <w:r>
        <w:rPr>
          <w:spacing w:val="-7"/>
          <w:sz w:val="18"/>
          <w:szCs w:val="18"/>
          <w:lang w:val="es-ES_tradnl"/>
        </w:rPr>
        <w:t xml:space="preserve">de modo que se muestre que el criterio del juzgador se </w:t>
      </w:r>
      <w:r>
        <w:rPr>
          <w:spacing w:val="-8"/>
          <w:sz w:val="18"/>
          <w:szCs w:val="18"/>
          <w:lang w:val="es-ES_tradnl"/>
        </w:rPr>
        <w:t xml:space="preserve">fundamenta en normas e interpretaciones que guarden </w:t>
      </w:r>
      <w:r>
        <w:rPr>
          <w:spacing w:val="-6"/>
          <w:sz w:val="18"/>
          <w:szCs w:val="18"/>
          <w:lang w:val="es-ES_tradnl"/>
        </w:rPr>
        <w:t>conformidad con la Constituci</w:t>
      </w:r>
      <w:r>
        <w:rPr>
          <w:rFonts w:cs="Times New Roman"/>
          <w:spacing w:val="-6"/>
          <w:sz w:val="18"/>
          <w:szCs w:val="18"/>
          <w:lang w:val="es-ES_tradnl"/>
        </w:rPr>
        <w:t>ó</w:t>
      </w:r>
      <w:r>
        <w:rPr>
          <w:spacing w:val="-6"/>
          <w:sz w:val="18"/>
          <w:szCs w:val="18"/>
          <w:lang w:val="es-ES_tradnl"/>
        </w:rPr>
        <w:t xml:space="preserve">n, y no en aspectos que </w:t>
      </w:r>
      <w:r>
        <w:rPr>
          <w:spacing w:val="-12"/>
          <w:sz w:val="18"/>
          <w:szCs w:val="18"/>
          <w:lang w:val="es-ES_tradnl"/>
        </w:rPr>
        <w:t xml:space="preserve">colisionen con esta. En el caso </w:t>
      </w:r>
      <w:r>
        <w:rPr>
          <w:i/>
          <w:iCs/>
          <w:spacing w:val="-12"/>
          <w:sz w:val="18"/>
          <w:szCs w:val="18"/>
          <w:lang w:val="es-ES_tradnl"/>
        </w:rPr>
        <w:t>sub j</w:t>
      </w:r>
      <w:r>
        <w:rPr>
          <w:rFonts w:cs="Times New Roman"/>
          <w:i/>
          <w:iCs/>
          <w:spacing w:val="-12"/>
          <w:sz w:val="18"/>
          <w:szCs w:val="18"/>
          <w:lang w:val="es-ES_tradnl"/>
        </w:rPr>
        <w:t>ú</w:t>
      </w:r>
      <w:r>
        <w:rPr>
          <w:i/>
          <w:iCs/>
          <w:spacing w:val="-12"/>
          <w:sz w:val="18"/>
          <w:szCs w:val="18"/>
          <w:lang w:val="es-ES_tradnl"/>
        </w:rPr>
        <w:t>dice</w:t>
      </w:r>
      <w:r>
        <w:rPr>
          <w:spacing w:val="-12"/>
          <w:sz w:val="18"/>
          <w:szCs w:val="18"/>
          <w:lang w:val="es-ES_tradnl"/>
        </w:rPr>
        <w:t>, luego de un an</w:t>
      </w:r>
      <w:r>
        <w:rPr>
          <w:rFonts w:cs="Times New Roman"/>
          <w:spacing w:val="-12"/>
          <w:sz w:val="18"/>
          <w:szCs w:val="18"/>
          <w:lang w:val="es-ES_tradnl"/>
        </w:rPr>
        <w:t>á</w:t>
      </w:r>
      <w:r>
        <w:rPr>
          <w:spacing w:val="-12"/>
          <w:sz w:val="18"/>
          <w:szCs w:val="18"/>
          <w:lang w:val="es-ES_tradnl"/>
        </w:rPr>
        <w:t xml:space="preserve">lisis </w:t>
      </w:r>
      <w:r>
        <w:rPr>
          <w:spacing w:val="-8"/>
          <w:sz w:val="18"/>
          <w:szCs w:val="18"/>
          <w:lang w:val="es-ES_tradnl"/>
        </w:rPr>
        <w:t>pormenorizado respecto al contenido y argumentaci</w:t>
      </w:r>
      <w:r>
        <w:rPr>
          <w:rFonts w:cs="Times New Roman"/>
          <w:spacing w:val="-8"/>
          <w:sz w:val="18"/>
          <w:szCs w:val="18"/>
          <w:lang w:val="es-ES_tradnl"/>
        </w:rPr>
        <w:t>ó</w:t>
      </w:r>
      <w:r>
        <w:rPr>
          <w:spacing w:val="-8"/>
          <w:sz w:val="18"/>
          <w:szCs w:val="18"/>
          <w:lang w:val="es-ES_tradnl"/>
        </w:rPr>
        <w:t xml:space="preserve">n del </w:t>
      </w:r>
      <w:r>
        <w:rPr>
          <w:spacing w:val="-7"/>
          <w:sz w:val="18"/>
          <w:szCs w:val="18"/>
          <w:lang w:val="es-ES_tradnl"/>
        </w:rPr>
        <w:t xml:space="preserve">fallo, la Corte Constitucional no ha encontrado elementos </w:t>
      </w:r>
      <w:r>
        <w:rPr>
          <w:spacing w:val="-8"/>
          <w:sz w:val="18"/>
          <w:szCs w:val="18"/>
          <w:lang w:val="es-ES_tradnl"/>
        </w:rPr>
        <w:t>que evidencien una falta de motivaci</w:t>
      </w:r>
      <w:r>
        <w:rPr>
          <w:rFonts w:cs="Times New Roman"/>
          <w:spacing w:val="-8"/>
          <w:sz w:val="18"/>
          <w:szCs w:val="18"/>
          <w:lang w:val="es-ES_tradnl"/>
        </w:rPr>
        <w:t>ó</w:t>
      </w:r>
      <w:r>
        <w:rPr>
          <w:spacing w:val="-8"/>
          <w:sz w:val="18"/>
          <w:szCs w:val="18"/>
          <w:lang w:val="es-ES_tradnl"/>
        </w:rPr>
        <w:t xml:space="preserve">n en lo que se refiere </w:t>
      </w:r>
      <w:r>
        <w:rPr>
          <w:spacing w:val="-4"/>
          <w:sz w:val="18"/>
          <w:szCs w:val="18"/>
          <w:lang w:val="es-ES_tradnl"/>
        </w:rPr>
        <w:t xml:space="preserve">a este primer elemento, lo cual indica que el juez ha </w:t>
      </w:r>
      <w:r>
        <w:rPr>
          <w:spacing w:val="-8"/>
          <w:sz w:val="18"/>
          <w:szCs w:val="18"/>
          <w:lang w:val="es-ES_tradnl"/>
        </w:rPr>
        <w:t>argumento su decisi</w:t>
      </w:r>
      <w:r>
        <w:rPr>
          <w:rFonts w:cs="Times New Roman"/>
          <w:spacing w:val="-8"/>
          <w:sz w:val="18"/>
          <w:szCs w:val="18"/>
          <w:lang w:val="es-ES_tradnl"/>
        </w:rPr>
        <w:t>ó</w:t>
      </w:r>
      <w:r>
        <w:rPr>
          <w:spacing w:val="-8"/>
          <w:sz w:val="18"/>
          <w:szCs w:val="18"/>
          <w:lang w:val="es-ES_tradnl"/>
        </w:rPr>
        <w:t>n en armon</w:t>
      </w:r>
      <w:r>
        <w:rPr>
          <w:rFonts w:cs="Times New Roman"/>
          <w:spacing w:val="-8"/>
          <w:sz w:val="18"/>
          <w:szCs w:val="18"/>
          <w:lang w:val="es-ES_tradnl"/>
        </w:rPr>
        <w:t>í</w:t>
      </w:r>
      <w:r>
        <w:rPr>
          <w:spacing w:val="-8"/>
          <w:sz w:val="18"/>
          <w:szCs w:val="18"/>
          <w:lang w:val="es-ES_tradnl"/>
        </w:rPr>
        <w:t xml:space="preserve">a y respeto a las normas, </w:t>
      </w:r>
      <w:r>
        <w:rPr>
          <w:spacing w:val="-5"/>
          <w:sz w:val="18"/>
          <w:szCs w:val="18"/>
          <w:lang w:val="es-ES_tradnl"/>
        </w:rPr>
        <w:t>principios y derechos previstos en la Constituci</w:t>
      </w:r>
      <w:r>
        <w:rPr>
          <w:rFonts w:cs="Times New Roman"/>
          <w:spacing w:val="-5"/>
          <w:sz w:val="18"/>
          <w:szCs w:val="18"/>
          <w:lang w:val="es-ES_tradnl"/>
        </w:rPr>
        <w:t>ó</w:t>
      </w:r>
      <w:r>
        <w:rPr>
          <w:spacing w:val="-5"/>
          <w:sz w:val="18"/>
          <w:szCs w:val="18"/>
          <w:lang w:val="es-ES_tradnl"/>
        </w:rPr>
        <w:t xml:space="preserve">n de la </w:t>
      </w:r>
      <w:r>
        <w:rPr>
          <w:sz w:val="18"/>
          <w:szCs w:val="18"/>
          <w:lang w:val="es-ES_tradnl"/>
        </w:rPr>
        <w:t>Rep</w:t>
      </w:r>
      <w:r>
        <w:rPr>
          <w:rFonts w:cs="Times New Roman"/>
          <w:sz w:val="18"/>
          <w:szCs w:val="18"/>
          <w:lang w:val="es-ES_tradnl"/>
        </w:rPr>
        <w:t>ú</w:t>
      </w:r>
      <w:r>
        <w:rPr>
          <w:sz w:val="18"/>
          <w:szCs w:val="18"/>
          <w:lang w:val="es-ES_tradnl"/>
        </w:rPr>
        <w:t>blica.</w:t>
      </w:r>
    </w:p>
    <w:p w14:paraId="4F67B005" w14:textId="77777777" w:rsidR="00591D54" w:rsidRDefault="00591D54">
      <w:pPr>
        <w:shd w:val="clear" w:color="auto" w:fill="FFFFFF"/>
        <w:spacing w:before="192" w:line="216" w:lineRule="exact"/>
        <w:jc w:val="both"/>
      </w:pPr>
      <w:r>
        <w:rPr>
          <w:sz w:val="18"/>
          <w:szCs w:val="18"/>
          <w:lang w:val="es-ES_tradnl"/>
        </w:rPr>
        <w:t>El requisito de la l</w:t>
      </w:r>
      <w:r>
        <w:rPr>
          <w:rFonts w:cs="Times New Roman"/>
          <w:sz w:val="18"/>
          <w:szCs w:val="18"/>
          <w:lang w:val="es-ES_tradnl"/>
        </w:rPr>
        <w:t>ó</w:t>
      </w:r>
      <w:r>
        <w:rPr>
          <w:sz w:val="18"/>
          <w:szCs w:val="18"/>
          <w:lang w:val="es-ES_tradnl"/>
        </w:rPr>
        <w:t xml:space="preserve">gica debe entenderse como la </w:t>
      </w:r>
      <w:r>
        <w:rPr>
          <w:spacing w:val="-6"/>
          <w:sz w:val="18"/>
          <w:szCs w:val="18"/>
          <w:lang w:val="es-ES_tradnl"/>
        </w:rPr>
        <w:t>coherencia de las conclusiones jur</w:t>
      </w:r>
      <w:r>
        <w:rPr>
          <w:rFonts w:cs="Times New Roman"/>
          <w:spacing w:val="-6"/>
          <w:sz w:val="18"/>
          <w:szCs w:val="18"/>
          <w:lang w:val="es-ES_tradnl"/>
        </w:rPr>
        <w:t>í</w:t>
      </w:r>
      <w:r>
        <w:rPr>
          <w:spacing w:val="-6"/>
          <w:sz w:val="18"/>
          <w:szCs w:val="18"/>
          <w:lang w:val="es-ES_tradnl"/>
        </w:rPr>
        <w:t xml:space="preserve">dicas respaldadas por </w:t>
      </w:r>
      <w:r>
        <w:rPr>
          <w:spacing w:val="-7"/>
          <w:sz w:val="18"/>
          <w:szCs w:val="18"/>
          <w:lang w:val="es-ES_tradnl"/>
        </w:rPr>
        <w:t>las premisas que componen la resoluci</w:t>
      </w:r>
      <w:r>
        <w:rPr>
          <w:rFonts w:cs="Times New Roman"/>
          <w:spacing w:val="-7"/>
          <w:sz w:val="18"/>
          <w:szCs w:val="18"/>
          <w:lang w:val="es-ES_tradnl"/>
        </w:rPr>
        <w:t>ó</w:t>
      </w:r>
      <w:r>
        <w:rPr>
          <w:spacing w:val="-7"/>
          <w:sz w:val="18"/>
          <w:szCs w:val="18"/>
          <w:lang w:val="es-ES_tradnl"/>
        </w:rPr>
        <w:t xml:space="preserve">n, vinculadas por </w:t>
      </w:r>
      <w:r>
        <w:rPr>
          <w:spacing w:val="-6"/>
          <w:sz w:val="18"/>
          <w:szCs w:val="18"/>
          <w:lang w:val="es-ES_tradnl"/>
        </w:rPr>
        <w:t>medio de juicios establecidos en base a reglas. La l</w:t>
      </w:r>
      <w:r>
        <w:rPr>
          <w:rFonts w:cs="Times New Roman"/>
          <w:spacing w:val="-6"/>
          <w:sz w:val="18"/>
          <w:szCs w:val="18"/>
          <w:lang w:val="es-ES_tradnl"/>
        </w:rPr>
        <w:t>ó</w:t>
      </w:r>
      <w:r>
        <w:rPr>
          <w:spacing w:val="-6"/>
          <w:sz w:val="18"/>
          <w:szCs w:val="18"/>
          <w:lang w:val="es-ES_tradnl"/>
        </w:rPr>
        <w:t xml:space="preserve">gica complementa el requisito de la razonabilidad, en cuanto </w:t>
      </w:r>
      <w:r>
        <w:rPr>
          <w:spacing w:val="-2"/>
          <w:sz w:val="18"/>
          <w:szCs w:val="18"/>
          <w:lang w:val="es-ES_tradnl"/>
        </w:rPr>
        <w:t>permite que las fuentes jur</w:t>
      </w:r>
      <w:r>
        <w:rPr>
          <w:rFonts w:cs="Times New Roman"/>
          <w:spacing w:val="-2"/>
          <w:sz w:val="18"/>
          <w:szCs w:val="18"/>
          <w:lang w:val="es-ES_tradnl"/>
        </w:rPr>
        <w:t>í</w:t>
      </w:r>
      <w:r>
        <w:rPr>
          <w:spacing w:val="-2"/>
          <w:sz w:val="18"/>
          <w:szCs w:val="18"/>
          <w:lang w:val="es-ES_tradnl"/>
        </w:rPr>
        <w:t xml:space="preserve">dicas sean aplicadas en el </w:t>
      </w:r>
      <w:r>
        <w:rPr>
          <w:spacing w:val="-9"/>
          <w:sz w:val="18"/>
          <w:szCs w:val="18"/>
          <w:lang w:val="es-ES_tradnl"/>
        </w:rPr>
        <w:t xml:space="preserve">caso concreto en un esquema argumentativo concatenado, </w:t>
      </w:r>
      <w:r>
        <w:rPr>
          <w:spacing w:val="-11"/>
          <w:sz w:val="18"/>
          <w:szCs w:val="18"/>
          <w:lang w:val="es-ES_tradnl"/>
        </w:rPr>
        <w:t xml:space="preserve">evitando que las conclusiones sean absurdas o incoherentes </w:t>
      </w:r>
      <w:r>
        <w:rPr>
          <w:spacing w:val="-9"/>
          <w:sz w:val="18"/>
          <w:szCs w:val="18"/>
          <w:lang w:val="es-ES_tradnl"/>
        </w:rPr>
        <w:t xml:space="preserve">con sus respectivas premisas, lo cual es fundamental como </w:t>
      </w:r>
      <w:r>
        <w:rPr>
          <w:spacing w:val="-5"/>
          <w:sz w:val="18"/>
          <w:szCs w:val="18"/>
          <w:lang w:val="es-ES_tradnl"/>
        </w:rPr>
        <w:t>ejercicio de motivaci</w:t>
      </w:r>
      <w:r>
        <w:rPr>
          <w:rFonts w:cs="Times New Roman"/>
          <w:spacing w:val="-5"/>
          <w:sz w:val="18"/>
          <w:szCs w:val="18"/>
          <w:lang w:val="es-ES_tradnl"/>
        </w:rPr>
        <w:t>ó</w:t>
      </w:r>
      <w:r>
        <w:rPr>
          <w:spacing w:val="-5"/>
          <w:sz w:val="18"/>
          <w:szCs w:val="18"/>
          <w:lang w:val="es-ES_tradnl"/>
        </w:rPr>
        <w:t xml:space="preserve">n. En el caso </w:t>
      </w:r>
      <w:r>
        <w:rPr>
          <w:i/>
          <w:iCs/>
          <w:spacing w:val="-5"/>
          <w:sz w:val="18"/>
          <w:szCs w:val="18"/>
          <w:lang w:val="es-ES_tradnl"/>
        </w:rPr>
        <w:t>sub j</w:t>
      </w:r>
      <w:r>
        <w:rPr>
          <w:rFonts w:cs="Times New Roman"/>
          <w:i/>
          <w:iCs/>
          <w:spacing w:val="-5"/>
          <w:sz w:val="18"/>
          <w:szCs w:val="18"/>
          <w:lang w:val="es-ES_tradnl"/>
        </w:rPr>
        <w:t>ú</w:t>
      </w:r>
      <w:r>
        <w:rPr>
          <w:i/>
          <w:iCs/>
          <w:spacing w:val="-5"/>
          <w:sz w:val="18"/>
          <w:szCs w:val="18"/>
          <w:lang w:val="es-ES_tradnl"/>
        </w:rPr>
        <w:t>dice</w:t>
      </w:r>
      <w:r>
        <w:rPr>
          <w:spacing w:val="-5"/>
          <w:sz w:val="18"/>
          <w:szCs w:val="18"/>
          <w:lang w:val="es-ES_tradnl"/>
        </w:rPr>
        <w:t>, es en este</w:t>
      </w:r>
    </w:p>
    <w:p w14:paraId="4F67B006" w14:textId="77777777" w:rsidR="00591D54" w:rsidRDefault="00591D54">
      <w:pPr>
        <w:shd w:val="clear" w:color="auto" w:fill="FFFFFF"/>
        <w:spacing w:before="192" w:line="216" w:lineRule="exact"/>
        <w:jc w:val="both"/>
        <w:sectPr w:rsidR="00591D54">
          <w:type w:val="continuous"/>
          <w:pgSz w:w="11909" w:h="16834"/>
          <w:pgMar w:top="1366" w:right="1309" w:bottom="360" w:left="1308" w:header="720" w:footer="720" w:gutter="0"/>
          <w:cols w:num="2" w:space="720" w:equalWidth="0">
            <w:col w:w="4305" w:space="682"/>
            <w:col w:w="4305"/>
          </w:cols>
          <w:noEndnote/>
        </w:sectPr>
      </w:pPr>
    </w:p>
    <w:p w14:paraId="4F67B007" w14:textId="77777777" w:rsidR="00591D54" w:rsidRDefault="00591D54">
      <w:pPr>
        <w:shd w:val="clear" w:color="auto" w:fill="FFFFFF"/>
        <w:tabs>
          <w:tab w:val="left" w:pos="584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- 153</w:t>
      </w:r>
    </w:p>
    <w:p w14:paraId="4F67B008" w14:textId="77777777" w:rsidR="00591D54" w:rsidRDefault="00591D54">
      <w:pPr>
        <w:shd w:val="clear" w:color="auto" w:fill="FFFFFF"/>
        <w:tabs>
          <w:tab w:val="left" w:pos="5842"/>
        </w:tabs>
        <w:spacing w:after="230"/>
        <w:ind w:left="5"/>
        <w:sectPr w:rsidR="00591D54">
          <w:pgSz w:w="11909" w:h="16834"/>
          <w:pgMar w:top="1356" w:right="1309" w:bottom="360" w:left="1308" w:header="720" w:footer="720" w:gutter="0"/>
          <w:cols w:space="60"/>
          <w:noEndnote/>
        </w:sectPr>
      </w:pPr>
    </w:p>
    <w:p w14:paraId="4F67B009" w14:textId="77777777" w:rsidR="00591D54" w:rsidRDefault="00591D54">
      <w:pPr>
        <w:shd w:val="clear" w:color="auto" w:fill="FFFFFF"/>
        <w:spacing w:before="5" w:line="216" w:lineRule="exact"/>
        <w:jc w:val="both"/>
      </w:pPr>
      <w:r>
        <w:rPr>
          <w:spacing w:val="-7"/>
          <w:sz w:val="18"/>
          <w:szCs w:val="18"/>
          <w:lang w:val="es-ES_tradnl"/>
        </w:rPr>
        <w:t xml:space="preserve">punto en donde el accionante pone en duda la correcta </w:t>
      </w:r>
      <w:r>
        <w:rPr>
          <w:spacing w:val="-5"/>
          <w:sz w:val="18"/>
          <w:szCs w:val="18"/>
          <w:lang w:val="es-ES_tradnl"/>
        </w:rPr>
        <w:t>motivaci</w:t>
      </w:r>
      <w:r>
        <w:rPr>
          <w:rFonts w:cs="Times New Roman"/>
          <w:spacing w:val="-5"/>
          <w:sz w:val="18"/>
          <w:szCs w:val="18"/>
          <w:lang w:val="es-ES_tradnl"/>
        </w:rPr>
        <w:t>ó</w:t>
      </w:r>
      <w:r>
        <w:rPr>
          <w:spacing w:val="-5"/>
          <w:sz w:val="18"/>
          <w:szCs w:val="18"/>
          <w:lang w:val="es-ES_tradnl"/>
        </w:rPr>
        <w:t>n del fallo, pues denuncia la existencia de una resoluci</w:t>
      </w:r>
      <w:r>
        <w:rPr>
          <w:rFonts w:cs="Times New Roman"/>
          <w:spacing w:val="-5"/>
          <w:sz w:val="18"/>
          <w:szCs w:val="18"/>
          <w:lang w:val="es-ES_tradnl"/>
        </w:rPr>
        <w:t>ó</w:t>
      </w:r>
      <w:r>
        <w:rPr>
          <w:spacing w:val="-5"/>
          <w:sz w:val="18"/>
          <w:szCs w:val="18"/>
          <w:lang w:val="es-ES_tradnl"/>
        </w:rPr>
        <w:t xml:space="preserve">n incoherente, en la medida en que en un inicio </w:t>
      </w:r>
      <w:r>
        <w:rPr>
          <w:spacing w:val="-9"/>
          <w:sz w:val="18"/>
          <w:szCs w:val="18"/>
          <w:lang w:val="es-ES_tradnl"/>
        </w:rPr>
        <w:t xml:space="preserve">fueron </w:t>
      </w:r>
      <w:r>
        <w:rPr>
          <w:rFonts w:cs="Times New Roman"/>
          <w:spacing w:val="-9"/>
          <w:sz w:val="18"/>
          <w:szCs w:val="18"/>
          <w:lang w:val="es-ES_tradnl"/>
        </w:rPr>
        <w:t>“</w:t>
      </w:r>
      <w:r>
        <w:rPr>
          <w:spacing w:val="-9"/>
          <w:sz w:val="18"/>
          <w:szCs w:val="18"/>
          <w:lang w:val="es-ES_tradnl"/>
        </w:rPr>
        <w:t>aceptadas las excepciones</w:t>
      </w:r>
      <w:r>
        <w:rPr>
          <w:rFonts w:cs="Times New Roman"/>
          <w:spacing w:val="-9"/>
          <w:sz w:val="18"/>
          <w:szCs w:val="18"/>
          <w:lang w:val="es-ES_tradnl"/>
        </w:rPr>
        <w:t>”</w:t>
      </w:r>
      <w:r>
        <w:rPr>
          <w:spacing w:val="-9"/>
          <w:sz w:val="18"/>
          <w:szCs w:val="18"/>
          <w:lang w:val="es-ES_tradnl"/>
        </w:rPr>
        <w:t xml:space="preserve"> presentadas dentro del </w:t>
      </w:r>
      <w:r>
        <w:rPr>
          <w:spacing w:val="-3"/>
          <w:sz w:val="18"/>
          <w:szCs w:val="18"/>
          <w:lang w:val="es-ES_tradnl"/>
        </w:rPr>
        <w:t xml:space="preserve">juicio y, posteriormente, dentro del fallo impugnado, el </w:t>
      </w:r>
      <w:r>
        <w:rPr>
          <w:spacing w:val="-8"/>
          <w:sz w:val="18"/>
          <w:szCs w:val="18"/>
          <w:lang w:val="es-ES_tradnl"/>
        </w:rPr>
        <w:t>juez se</w:t>
      </w:r>
      <w:r>
        <w:rPr>
          <w:rFonts w:cs="Times New Roman"/>
          <w:spacing w:val="-8"/>
          <w:sz w:val="18"/>
          <w:szCs w:val="18"/>
          <w:lang w:val="es-ES_tradnl"/>
        </w:rPr>
        <w:t>ñ</w:t>
      </w:r>
      <w:r>
        <w:rPr>
          <w:spacing w:val="-8"/>
          <w:sz w:val="18"/>
          <w:szCs w:val="18"/>
          <w:lang w:val="es-ES_tradnl"/>
        </w:rPr>
        <w:t>al</w:t>
      </w:r>
      <w:r>
        <w:rPr>
          <w:rFonts w:cs="Times New Roman"/>
          <w:spacing w:val="-8"/>
          <w:sz w:val="18"/>
          <w:szCs w:val="18"/>
          <w:lang w:val="es-ES_tradnl"/>
        </w:rPr>
        <w:t>ó</w:t>
      </w:r>
      <w:r>
        <w:rPr>
          <w:spacing w:val="-8"/>
          <w:sz w:val="18"/>
          <w:szCs w:val="18"/>
          <w:lang w:val="es-ES_tradnl"/>
        </w:rPr>
        <w:t xml:space="preserve"> que las excepciones fueron presentadas fuera </w:t>
      </w:r>
      <w:r>
        <w:rPr>
          <w:sz w:val="18"/>
          <w:szCs w:val="18"/>
          <w:lang w:val="es-ES_tradnl"/>
        </w:rPr>
        <w:t>del t</w:t>
      </w:r>
      <w:r>
        <w:rPr>
          <w:rFonts w:cs="Times New Roman"/>
          <w:sz w:val="18"/>
          <w:szCs w:val="18"/>
          <w:lang w:val="es-ES_tradnl"/>
        </w:rPr>
        <w:t>é</w:t>
      </w:r>
      <w:r>
        <w:rPr>
          <w:sz w:val="18"/>
          <w:szCs w:val="18"/>
          <w:lang w:val="es-ES_tradnl"/>
        </w:rPr>
        <w:t>rmino previsto en la ley.</w:t>
      </w:r>
    </w:p>
    <w:p w14:paraId="4F67B00A" w14:textId="77777777" w:rsidR="00591D54" w:rsidRDefault="00591D54">
      <w:pPr>
        <w:shd w:val="clear" w:color="auto" w:fill="FFFFFF"/>
        <w:spacing w:before="202" w:line="216" w:lineRule="exact"/>
        <w:jc w:val="both"/>
      </w:pPr>
      <w:r>
        <w:rPr>
          <w:spacing w:val="-3"/>
          <w:sz w:val="18"/>
          <w:szCs w:val="18"/>
          <w:lang w:val="es-ES_tradnl"/>
        </w:rPr>
        <w:t xml:space="preserve">En base a dichas consideraciones, y bajo el </w:t>
      </w:r>
      <w:r>
        <w:rPr>
          <w:rFonts w:cs="Times New Roman"/>
          <w:spacing w:val="-3"/>
          <w:sz w:val="18"/>
          <w:szCs w:val="18"/>
          <w:lang w:val="es-ES_tradnl"/>
        </w:rPr>
        <w:t>ú</w:t>
      </w:r>
      <w:r>
        <w:rPr>
          <w:spacing w:val="-3"/>
          <w:sz w:val="18"/>
          <w:szCs w:val="18"/>
          <w:lang w:val="es-ES_tradnl"/>
        </w:rPr>
        <w:t>nico af</w:t>
      </w:r>
      <w:r>
        <w:rPr>
          <w:rFonts w:cs="Times New Roman"/>
          <w:spacing w:val="-3"/>
          <w:sz w:val="18"/>
          <w:szCs w:val="18"/>
          <w:lang w:val="es-ES_tradnl"/>
        </w:rPr>
        <w:t>á</w:t>
      </w:r>
      <w:r>
        <w:rPr>
          <w:spacing w:val="-3"/>
          <w:sz w:val="18"/>
          <w:szCs w:val="18"/>
          <w:lang w:val="es-ES_tradnl"/>
        </w:rPr>
        <w:t xml:space="preserve">n </w:t>
      </w:r>
      <w:r>
        <w:rPr>
          <w:spacing w:val="-5"/>
          <w:sz w:val="18"/>
          <w:szCs w:val="18"/>
          <w:lang w:val="es-ES_tradnl"/>
        </w:rPr>
        <w:t xml:space="preserve">de analizar la existencia o no de este segundo elemento </w:t>
      </w:r>
      <w:r>
        <w:rPr>
          <w:spacing w:val="-6"/>
          <w:sz w:val="18"/>
          <w:szCs w:val="18"/>
          <w:lang w:val="es-ES_tradnl"/>
        </w:rPr>
        <w:t>de motivaci</w:t>
      </w:r>
      <w:r>
        <w:rPr>
          <w:rFonts w:cs="Times New Roman"/>
          <w:spacing w:val="-6"/>
          <w:sz w:val="18"/>
          <w:szCs w:val="18"/>
          <w:lang w:val="es-ES_tradnl"/>
        </w:rPr>
        <w:t>ó</w:t>
      </w:r>
      <w:r>
        <w:rPr>
          <w:spacing w:val="-6"/>
          <w:sz w:val="18"/>
          <w:szCs w:val="18"/>
          <w:lang w:val="es-ES_tradnl"/>
        </w:rPr>
        <w:t xml:space="preserve">n, esta Corte manifiesta que la aparente </w:t>
      </w:r>
      <w:r>
        <w:rPr>
          <w:spacing w:val="-1"/>
          <w:sz w:val="18"/>
          <w:szCs w:val="18"/>
          <w:lang w:val="es-ES_tradnl"/>
        </w:rPr>
        <w:t>contradicci</w:t>
      </w:r>
      <w:r>
        <w:rPr>
          <w:rFonts w:cs="Times New Roman"/>
          <w:spacing w:val="-1"/>
          <w:sz w:val="18"/>
          <w:szCs w:val="18"/>
          <w:lang w:val="es-ES_tradnl"/>
        </w:rPr>
        <w:t>ó</w:t>
      </w:r>
      <w:r>
        <w:rPr>
          <w:spacing w:val="-1"/>
          <w:sz w:val="18"/>
          <w:szCs w:val="18"/>
          <w:lang w:val="es-ES_tradnl"/>
        </w:rPr>
        <w:t xml:space="preserve">n o incoherencia que ha sido alertada por </w:t>
      </w:r>
      <w:r>
        <w:rPr>
          <w:spacing w:val="-3"/>
          <w:sz w:val="18"/>
          <w:szCs w:val="18"/>
          <w:lang w:val="es-ES_tradnl"/>
        </w:rPr>
        <w:t>el legitimado activo en la presente acci</w:t>
      </w:r>
      <w:r>
        <w:rPr>
          <w:rFonts w:cs="Times New Roman"/>
          <w:spacing w:val="-3"/>
          <w:sz w:val="18"/>
          <w:szCs w:val="18"/>
          <w:lang w:val="es-ES_tradnl"/>
        </w:rPr>
        <w:t>ó</w:t>
      </w:r>
      <w:r>
        <w:rPr>
          <w:spacing w:val="-3"/>
          <w:sz w:val="18"/>
          <w:szCs w:val="18"/>
          <w:lang w:val="es-ES_tradnl"/>
        </w:rPr>
        <w:t xml:space="preserve">n, corresponde </w:t>
      </w:r>
      <w:r>
        <w:rPr>
          <w:spacing w:val="-7"/>
          <w:sz w:val="18"/>
          <w:szCs w:val="18"/>
          <w:lang w:val="es-ES_tradnl"/>
        </w:rPr>
        <w:t>en realidad a un err</w:t>
      </w:r>
      <w:r>
        <w:rPr>
          <w:rFonts w:cs="Times New Roman"/>
          <w:spacing w:val="-7"/>
          <w:sz w:val="18"/>
          <w:szCs w:val="18"/>
          <w:lang w:val="es-ES_tradnl"/>
        </w:rPr>
        <w:t>ó</w:t>
      </w:r>
      <w:r>
        <w:rPr>
          <w:spacing w:val="-7"/>
          <w:sz w:val="18"/>
          <w:szCs w:val="18"/>
          <w:lang w:val="es-ES_tradnl"/>
        </w:rPr>
        <w:t xml:space="preserve">neo entendimiento sobre los hechos </w:t>
      </w:r>
      <w:r>
        <w:rPr>
          <w:spacing w:val="-8"/>
          <w:sz w:val="18"/>
          <w:szCs w:val="18"/>
          <w:lang w:val="es-ES_tradnl"/>
        </w:rPr>
        <w:t>suscitados dentro del juicio ejecutivo. Seg</w:t>
      </w:r>
      <w:r>
        <w:rPr>
          <w:rFonts w:cs="Times New Roman"/>
          <w:spacing w:val="-8"/>
          <w:sz w:val="18"/>
          <w:szCs w:val="18"/>
          <w:lang w:val="es-ES_tradnl"/>
        </w:rPr>
        <w:t>ú</w:t>
      </w:r>
      <w:r>
        <w:rPr>
          <w:spacing w:val="-8"/>
          <w:sz w:val="18"/>
          <w:szCs w:val="18"/>
          <w:lang w:val="es-ES_tradnl"/>
        </w:rPr>
        <w:t xml:space="preserve">n se desprende, </w:t>
      </w:r>
      <w:r>
        <w:rPr>
          <w:spacing w:val="-6"/>
          <w:sz w:val="18"/>
          <w:szCs w:val="18"/>
          <w:lang w:val="es-ES_tradnl"/>
        </w:rPr>
        <w:t xml:space="preserve">tanto del proceso como de la propia sentencia ahora </w:t>
      </w:r>
      <w:r>
        <w:rPr>
          <w:spacing w:val="-10"/>
          <w:sz w:val="18"/>
          <w:szCs w:val="18"/>
          <w:lang w:val="es-ES_tradnl"/>
        </w:rPr>
        <w:t>impugnada en la presente acci</w:t>
      </w:r>
      <w:r>
        <w:rPr>
          <w:rFonts w:cs="Times New Roman"/>
          <w:spacing w:val="-10"/>
          <w:sz w:val="18"/>
          <w:szCs w:val="18"/>
          <w:lang w:val="es-ES_tradnl"/>
        </w:rPr>
        <w:t>ó</w:t>
      </w:r>
      <w:r>
        <w:rPr>
          <w:spacing w:val="-10"/>
          <w:sz w:val="18"/>
          <w:szCs w:val="18"/>
          <w:lang w:val="es-ES_tradnl"/>
        </w:rPr>
        <w:t xml:space="preserve">n, el fecha 22 de septiembre </w:t>
      </w:r>
      <w:r>
        <w:rPr>
          <w:spacing w:val="-5"/>
          <w:sz w:val="18"/>
          <w:szCs w:val="18"/>
          <w:lang w:val="es-ES_tradnl"/>
        </w:rPr>
        <w:t xml:space="preserve">de 2011, el legitimado pasivo, dentro del juicio ejecutivo, </w:t>
      </w:r>
      <w:r>
        <w:rPr>
          <w:spacing w:val="-7"/>
          <w:sz w:val="18"/>
          <w:szCs w:val="18"/>
          <w:lang w:val="es-ES_tradnl"/>
        </w:rPr>
        <w:t>efectivamente present</w:t>
      </w:r>
      <w:r>
        <w:rPr>
          <w:rFonts w:cs="Times New Roman"/>
          <w:spacing w:val="-7"/>
          <w:sz w:val="18"/>
          <w:szCs w:val="18"/>
          <w:lang w:val="es-ES_tradnl"/>
        </w:rPr>
        <w:t>ó</w:t>
      </w:r>
      <w:r>
        <w:rPr>
          <w:spacing w:val="-7"/>
          <w:sz w:val="18"/>
          <w:szCs w:val="18"/>
          <w:lang w:val="es-ES_tradnl"/>
        </w:rPr>
        <w:t xml:space="preserve"> dentro del t</w:t>
      </w:r>
      <w:r>
        <w:rPr>
          <w:rFonts w:cs="Times New Roman"/>
          <w:spacing w:val="-7"/>
          <w:sz w:val="18"/>
          <w:szCs w:val="18"/>
          <w:lang w:val="es-ES_tradnl"/>
        </w:rPr>
        <w:t>é</w:t>
      </w:r>
      <w:r>
        <w:rPr>
          <w:spacing w:val="-7"/>
          <w:sz w:val="18"/>
          <w:szCs w:val="18"/>
          <w:lang w:val="es-ES_tradnl"/>
        </w:rPr>
        <w:t xml:space="preserve">rmino que dispone la </w:t>
      </w:r>
      <w:r>
        <w:rPr>
          <w:spacing w:val="-6"/>
          <w:sz w:val="18"/>
          <w:szCs w:val="18"/>
          <w:lang w:val="es-ES_tradnl"/>
        </w:rPr>
        <w:t xml:space="preserve">ley un aparente escrito de excepciones (fojas 39), dentro </w:t>
      </w:r>
      <w:r>
        <w:rPr>
          <w:spacing w:val="-10"/>
          <w:sz w:val="18"/>
          <w:szCs w:val="18"/>
          <w:lang w:val="es-ES_tradnl"/>
        </w:rPr>
        <w:t>del cual no se se</w:t>
      </w:r>
      <w:r>
        <w:rPr>
          <w:rFonts w:cs="Times New Roman"/>
          <w:spacing w:val="-10"/>
          <w:sz w:val="18"/>
          <w:szCs w:val="18"/>
          <w:lang w:val="es-ES_tradnl"/>
        </w:rPr>
        <w:t>ñ</w:t>
      </w:r>
      <w:r>
        <w:rPr>
          <w:spacing w:val="-10"/>
          <w:sz w:val="18"/>
          <w:szCs w:val="18"/>
          <w:lang w:val="es-ES_tradnl"/>
        </w:rPr>
        <w:t xml:space="preserve">alaban ni detallaban aquellas excepciones </w:t>
      </w:r>
      <w:r>
        <w:rPr>
          <w:spacing w:val="-8"/>
          <w:sz w:val="18"/>
          <w:szCs w:val="18"/>
          <w:lang w:val="es-ES_tradnl"/>
        </w:rPr>
        <w:t xml:space="preserve">previstas por la ley de la materia, sino argumentos respecto </w:t>
      </w:r>
      <w:r>
        <w:rPr>
          <w:spacing w:val="-6"/>
          <w:sz w:val="18"/>
          <w:szCs w:val="18"/>
          <w:lang w:val="es-ES_tradnl"/>
        </w:rPr>
        <w:t>a la aparente ilegalidad en el secuestro de bienes. No obstante, el juez, mediante providencia, acept</w:t>
      </w:r>
      <w:r>
        <w:rPr>
          <w:rFonts w:cs="Times New Roman"/>
          <w:spacing w:val="-6"/>
          <w:sz w:val="18"/>
          <w:szCs w:val="18"/>
          <w:lang w:val="es-ES_tradnl"/>
        </w:rPr>
        <w:t>ó</w:t>
      </w:r>
      <w:r>
        <w:rPr>
          <w:spacing w:val="-6"/>
          <w:sz w:val="18"/>
          <w:szCs w:val="18"/>
          <w:lang w:val="es-ES_tradnl"/>
        </w:rPr>
        <w:t xml:space="preserve"> a tr</w:t>
      </w:r>
      <w:r>
        <w:rPr>
          <w:rFonts w:cs="Times New Roman"/>
          <w:spacing w:val="-6"/>
          <w:sz w:val="18"/>
          <w:szCs w:val="18"/>
          <w:lang w:val="es-ES_tradnl"/>
        </w:rPr>
        <w:t>á</w:t>
      </w:r>
      <w:r>
        <w:rPr>
          <w:spacing w:val="-6"/>
          <w:sz w:val="18"/>
          <w:szCs w:val="18"/>
          <w:lang w:val="es-ES_tradnl"/>
        </w:rPr>
        <w:t xml:space="preserve">mite </w:t>
      </w:r>
      <w:r>
        <w:rPr>
          <w:spacing w:val="-7"/>
          <w:sz w:val="18"/>
          <w:szCs w:val="18"/>
          <w:lang w:val="es-ES_tradnl"/>
        </w:rPr>
        <w:t>dicho escrito y continu</w:t>
      </w:r>
      <w:r>
        <w:rPr>
          <w:rFonts w:cs="Times New Roman"/>
          <w:spacing w:val="-7"/>
          <w:sz w:val="18"/>
          <w:szCs w:val="18"/>
          <w:lang w:val="es-ES_tradnl"/>
        </w:rPr>
        <w:t>ó</w:t>
      </w:r>
      <w:r>
        <w:rPr>
          <w:spacing w:val="-7"/>
          <w:sz w:val="18"/>
          <w:szCs w:val="18"/>
          <w:lang w:val="es-ES_tradnl"/>
        </w:rPr>
        <w:t xml:space="preserve"> con la sustanciaci</w:t>
      </w:r>
      <w:r>
        <w:rPr>
          <w:rFonts w:cs="Times New Roman"/>
          <w:spacing w:val="-7"/>
          <w:sz w:val="18"/>
          <w:szCs w:val="18"/>
          <w:lang w:val="es-ES_tradnl"/>
        </w:rPr>
        <w:t>ó</w:t>
      </w:r>
      <w:r>
        <w:rPr>
          <w:spacing w:val="-7"/>
          <w:sz w:val="18"/>
          <w:szCs w:val="18"/>
          <w:lang w:val="es-ES_tradnl"/>
        </w:rPr>
        <w:t xml:space="preserve">n del proceso. </w:t>
      </w:r>
      <w:r>
        <w:rPr>
          <w:spacing w:val="-6"/>
          <w:sz w:val="18"/>
          <w:szCs w:val="18"/>
          <w:lang w:val="es-ES_tradnl"/>
        </w:rPr>
        <w:t>Ante este particular, una vez vencido el t</w:t>
      </w:r>
      <w:r>
        <w:rPr>
          <w:rFonts w:cs="Times New Roman"/>
          <w:spacing w:val="-6"/>
          <w:sz w:val="18"/>
          <w:szCs w:val="18"/>
          <w:lang w:val="es-ES_tradnl"/>
        </w:rPr>
        <w:t>é</w:t>
      </w:r>
      <w:r>
        <w:rPr>
          <w:spacing w:val="-6"/>
          <w:sz w:val="18"/>
          <w:szCs w:val="18"/>
          <w:lang w:val="es-ES_tradnl"/>
        </w:rPr>
        <w:t xml:space="preserve">rmino para la </w:t>
      </w:r>
      <w:r>
        <w:rPr>
          <w:spacing w:val="-7"/>
          <w:sz w:val="18"/>
          <w:szCs w:val="18"/>
          <w:lang w:val="es-ES_tradnl"/>
        </w:rPr>
        <w:t>presentaci</w:t>
      </w:r>
      <w:r>
        <w:rPr>
          <w:rFonts w:cs="Times New Roman"/>
          <w:spacing w:val="-7"/>
          <w:sz w:val="18"/>
          <w:szCs w:val="18"/>
          <w:lang w:val="es-ES_tradnl"/>
        </w:rPr>
        <w:t>ó</w:t>
      </w:r>
      <w:r>
        <w:rPr>
          <w:spacing w:val="-7"/>
          <w:sz w:val="18"/>
          <w:szCs w:val="18"/>
          <w:lang w:val="es-ES_tradnl"/>
        </w:rPr>
        <w:t xml:space="preserve">n de excepciones, el legitimado pasivo dentro </w:t>
      </w:r>
      <w:r>
        <w:rPr>
          <w:spacing w:val="-8"/>
          <w:sz w:val="18"/>
          <w:szCs w:val="18"/>
          <w:lang w:val="es-ES_tradnl"/>
        </w:rPr>
        <w:t>del juicio ejecutivo, 5 d</w:t>
      </w:r>
      <w:r>
        <w:rPr>
          <w:rFonts w:cs="Times New Roman"/>
          <w:spacing w:val="-8"/>
          <w:sz w:val="18"/>
          <w:szCs w:val="18"/>
          <w:lang w:val="es-ES_tradnl"/>
        </w:rPr>
        <w:t>í</w:t>
      </w:r>
      <w:r>
        <w:rPr>
          <w:spacing w:val="-8"/>
          <w:sz w:val="18"/>
          <w:szCs w:val="18"/>
          <w:lang w:val="es-ES_tradnl"/>
        </w:rPr>
        <w:t>as despu</w:t>
      </w:r>
      <w:r>
        <w:rPr>
          <w:rFonts w:cs="Times New Roman"/>
          <w:spacing w:val="-8"/>
          <w:sz w:val="18"/>
          <w:szCs w:val="18"/>
          <w:lang w:val="es-ES_tradnl"/>
        </w:rPr>
        <w:t>é</w:t>
      </w:r>
      <w:r>
        <w:rPr>
          <w:spacing w:val="-8"/>
          <w:sz w:val="18"/>
          <w:szCs w:val="18"/>
          <w:lang w:val="es-ES_tradnl"/>
        </w:rPr>
        <w:t xml:space="preserve">s de presentado el primer </w:t>
      </w:r>
      <w:r>
        <w:rPr>
          <w:spacing w:val="-7"/>
          <w:sz w:val="18"/>
          <w:szCs w:val="18"/>
          <w:lang w:val="es-ES_tradnl"/>
        </w:rPr>
        <w:t>escrito de excepciones, es decir, el 27 de septiembre de 2011, present</w:t>
      </w:r>
      <w:r>
        <w:rPr>
          <w:rFonts w:cs="Times New Roman"/>
          <w:spacing w:val="-7"/>
          <w:sz w:val="18"/>
          <w:szCs w:val="18"/>
          <w:lang w:val="es-ES_tradnl"/>
        </w:rPr>
        <w:t>ó</w:t>
      </w:r>
      <w:r>
        <w:rPr>
          <w:spacing w:val="-7"/>
          <w:sz w:val="18"/>
          <w:szCs w:val="18"/>
          <w:lang w:val="es-ES_tradnl"/>
        </w:rPr>
        <w:t xml:space="preserve"> un nuevo escrito (fojas 45) en donde s</w:t>
      </w:r>
      <w:r>
        <w:rPr>
          <w:rFonts w:cs="Times New Roman"/>
          <w:spacing w:val="-7"/>
          <w:sz w:val="18"/>
          <w:szCs w:val="18"/>
          <w:lang w:val="es-ES_tradnl"/>
        </w:rPr>
        <w:t>í</w:t>
      </w:r>
      <w:r>
        <w:rPr>
          <w:spacing w:val="-7"/>
          <w:sz w:val="18"/>
          <w:szCs w:val="18"/>
          <w:lang w:val="es-ES_tradnl"/>
        </w:rPr>
        <w:t xml:space="preserve"> se </w:t>
      </w:r>
      <w:r>
        <w:rPr>
          <w:spacing w:val="-10"/>
          <w:sz w:val="18"/>
          <w:szCs w:val="18"/>
          <w:lang w:val="es-ES_tradnl"/>
        </w:rPr>
        <w:t>establec</w:t>
      </w:r>
      <w:r>
        <w:rPr>
          <w:rFonts w:cs="Times New Roman"/>
          <w:spacing w:val="-10"/>
          <w:sz w:val="18"/>
          <w:szCs w:val="18"/>
          <w:lang w:val="es-ES_tradnl"/>
        </w:rPr>
        <w:t>í</w:t>
      </w:r>
      <w:r>
        <w:rPr>
          <w:spacing w:val="-10"/>
          <w:sz w:val="18"/>
          <w:szCs w:val="18"/>
          <w:lang w:val="es-ES_tradnl"/>
        </w:rPr>
        <w:t xml:space="preserve">an aquellas excepciones previstas por la ley, siendo </w:t>
      </w:r>
      <w:r>
        <w:rPr>
          <w:spacing w:val="-7"/>
          <w:sz w:val="18"/>
          <w:szCs w:val="18"/>
          <w:lang w:val="es-ES_tradnl"/>
        </w:rPr>
        <w:t>la principal de ellas el que ya se hab</w:t>
      </w:r>
      <w:r>
        <w:rPr>
          <w:rFonts w:cs="Times New Roman"/>
          <w:spacing w:val="-7"/>
          <w:sz w:val="18"/>
          <w:szCs w:val="18"/>
          <w:lang w:val="es-ES_tradnl"/>
        </w:rPr>
        <w:t>í</w:t>
      </w:r>
      <w:r>
        <w:rPr>
          <w:spacing w:val="-7"/>
          <w:sz w:val="18"/>
          <w:szCs w:val="18"/>
          <w:lang w:val="es-ES_tradnl"/>
        </w:rPr>
        <w:t xml:space="preserve">a pagado la deuda </w:t>
      </w:r>
      <w:r>
        <w:rPr>
          <w:sz w:val="18"/>
          <w:szCs w:val="18"/>
          <w:lang w:val="es-ES_tradnl"/>
        </w:rPr>
        <w:t>prevista dentro del t</w:t>
      </w:r>
      <w:r>
        <w:rPr>
          <w:rFonts w:cs="Times New Roman"/>
          <w:sz w:val="18"/>
          <w:szCs w:val="18"/>
          <w:lang w:val="es-ES_tradnl"/>
        </w:rPr>
        <w:t>í</w:t>
      </w:r>
      <w:r>
        <w:rPr>
          <w:sz w:val="18"/>
          <w:szCs w:val="18"/>
          <w:lang w:val="es-ES_tradnl"/>
        </w:rPr>
        <w:t>tulo ejecutivo.</w:t>
      </w:r>
    </w:p>
    <w:p w14:paraId="4F67B00B" w14:textId="77777777" w:rsidR="00591D54" w:rsidRDefault="00591D54">
      <w:pPr>
        <w:shd w:val="clear" w:color="auto" w:fill="FFFFFF"/>
        <w:spacing w:before="197" w:line="216" w:lineRule="exact"/>
        <w:ind w:right="5"/>
        <w:jc w:val="both"/>
      </w:pPr>
      <w:r>
        <w:rPr>
          <w:spacing w:val="-11"/>
          <w:sz w:val="18"/>
          <w:szCs w:val="18"/>
          <w:lang w:val="es-ES_tradnl"/>
        </w:rPr>
        <w:t xml:space="preserve">En base a estos hechos, los cuales fueron especificados por </w:t>
      </w:r>
      <w:r>
        <w:rPr>
          <w:spacing w:val="-6"/>
          <w:sz w:val="18"/>
          <w:szCs w:val="18"/>
          <w:lang w:val="es-ES_tradnl"/>
        </w:rPr>
        <w:t>el juez D</w:t>
      </w:r>
      <w:r>
        <w:rPr>
          <w:rFonts w:cs="Times New Roman"/>
          <w:spacing w:val="-6"/>
          <w:sz w:val="18"/>
          <w:szCs w:val="18"/>
          <w:lang w:val="es-ES_tradnl"/>
        </w:rPr>
        <w:t>é</w:t>
      </w:r>
      <w:r>
        <w:rPr>
          <w:spacing w:val="-6"/>
          <w:sz w:val="18"/>
          <w:szCs w:val="18"/>
          <w:lang w:val="es-ES_tradnl"/>
        </w:rPr>
        <w:t xml:space="preserve">cimo Tercero de lo Civil de Pichincha dentro de </w:t>
      </w:r>
      <w:r>
        <w:rPr>
          <w:spacing w:val="-5"/>
          <w:sz w:val="18"/>
          <w:szCs w:val="18"/>
          <w:lang w:val="es-ES_tradnl"/>
        </w:rPr>
        <w:t>su fallo, se resolvi</w:t>
      </w:r>
      <w:r>
        <w:rPr>
          <w:rFonts w:cs="Times New Roman"/>
          <w:spacing w:val="-5"/>
          <w:sz w:val="18"/>
          <w:szCs w:val="18"/>
          <w:lang w:val="es-ES_tradnl"/>
        </w:rPr>
        <w:t>ó</w:t>
      </w:r>
      <w:r>
        <w:rPr>
          <w:spacing w:val="-5"/>
          <w:sz w:val="18"/>
          <w:szCs w:val="18"/>
          <w:lang w:val="es-ES_tradnl"/>
        </w:rPr>
        <w:t xml:space="preserve"> no tomar en consideraci</w:t>
      </w:r>
      <w:r>
        <w:rPr>
          <w:rFonts w:cs="Times New Roman"/>
          <w:spacing w:val="-5"/>
          <w:sz w:val="18"/>
          <w:szCs w:val="18"/>
          <w:lang w:val="es-ES_tradnl"/>
        </w:rPr>
        <w:t>ó</w:t>
      </w:r>
      <w:r>
        <w:rPr>
          <w:spacing w:val="-5"/>
          <w:sz w:val="18"/>
          <w:szCs w:val="18"/>
          <w:lang w:val="es-ES_tradnl"/>
        </w:rPr>
        <w:t xml:space="preserve">n el escrito presentado por el legitimado pasivo el 22 de septiembre </w:t>
      </w:r>
      <w:r>
        <w:rPr>
          <w:spacing w:val="-6"/>
          <w:sz w:val="18"/>
          <w:szCs w:val="18"/>
          <w:lang w:val="es-ES_tradnl"/>
        </w:rPr>
        <w:t>de 2011, ya que el mismo, en base a su contenido, no correspond</w:t>
      </w:r>
      <w:r>
        <w:rPr>
          <w:rFonts w:cs="Times New Roman"/>
          <w:spacing w:val="-6"/>
          <w:sz w:val="18"/>
          <w:szCs w:val="18"/>
          <w:lang w:val="es-ES_tradnl"/>
        </w:rPr>
        <w:t>í</w:t>
      </w:r>
      <w:r>
        <w:rPr>
          <w:spacing w:val="-6"/>
          <w:sz w:val="18"/>
          <w:szCs w:val="18"/>
          <w:lang w:val="es-ES_tradnl"/>
        </w:rPr>
        <w:t>a a un escrito de excepciones, circunstancia que posteriormente el legitimado pasivo trat</w:t>
      </w:r>
      <w:r>
        <w:rPr>
          <w:rFonts w:cs="Times New Roman"/>
          <w:spacing w:val="-6"/>
          <w:sz w:val="18"/>
          <w:szCs w:val="18"/>
          <w:lang w:val="es-ES_tradnl"/>
        </w:rPr>
        <w:t>ó</w:t>
      </w:r>
      <w:r>
        <w:rPr>
          <w:spacing w:val="-6"/>
          <w:sz w:val="18"/>
          <w:szCs w:val="18"/>
          <w:lang w:val="es-ES_tradnl"/>
        </w:rPr>
        <w:t xml:space="preserve"> de subsanar </w:t>
      </w:r>
      <w:r>
        <w:rPr>
          <w:spacing w:val="-10"/>
          <w:sz w:val="18"/>
          <w:szCs w:val="18"/>
          <w:lang w:val="es-ES_tradnl"/>
        </w:rPr>
        <w:t>a trav</w:t>
      </w:r>
      <w:r>
        <w:rPr>
          <w:rFonts w:cs="Times New Roman"/>
          <w:spacing w:val="-10"/>
          <w:sz w:val="18"/>
          <w:szCs w:val="18"/>
          <w:lang w:val="es-ES_tradnl"/>
        </w:rPr>
        <w:t>é</w:t>
      </w:r>
      <w:r>
        <w:rPr>
          <w:spacing w:val="-10"/>
          <w:sz w:val="18"/>
          <w:szCs w:val="18"/>
          <w:lang w:val="es-ES_tradnl"/>
        </w:rPr>
        <w:t>s del segundo escrito presentado el 27 de septiembre de 2011, en donde s</w:t>
      </w:r>
      <w:r>
        <w:rPr>
          <w:rFonts w:cs="Times New Roman"/>
          <w:spacing w:val="-10"/>
          <w:sz w:val="18"/>
          <w:szCs w:val="18"/>
          <w:lang w:val="es-ES_tradnl"/>
        </w:rPr>
        <w:t>í</w:t>
      </w:r>
      <w:r>
        <w:rPr>
          <w:spacing w:val="-10"/>
          <w:sz w:val="18"/>
          <w:szCs w:val="18"/>
          <w:lang w:val="es-ES_tradnl"/>
        </w:rPr>
        <w:t xml:space="preserve"> se presentaron varias excepciones, tal como lo reconoce el juez de la causa dentro de su fallo, pero </w:t>
      </w:r>
      <w:r>
        <w:rPr>
          <w:spacing w:val="-8"/>
          <w:sz w:val="18"/>
          <w:szCs w:val="18"/>
          <w:lang w:val="es-ES_tradnl"/>
        </w:rPr>
        <w:t>que fueron presentadas fuera del t</w:t>
      </w:r>
      <w:r>
        <w:rPr>
          <w:rFonts w:cs="Times New Roman"/>
          <w:spacing w:val="-8"/>
          <w:sz w:val="18"/>
          <w:szCs w:val="18"/>
          <w:lang w:val="es-ES_tradnl"/>
        </w:rPr>
        <w:t>é</w:t>
      </w:r>
      <w:r>
        <w:rPr>
          <w:spacing w:val="-8"/>
          <w:sz w:val="18"/>
          <w:szCs w:val="18"/>
          <w:lang w:val="es-ES_tradnl"/>
        </w:rPr>
        <w:t xml:space="preserve">rmino que establece el </w:t>
      </w:r>
      <w:r>
        <w:rPr>
          <w:sz w:val="18"/>
          <w:szCs w:val="18"/>
          <w:lang w:val="es-ES_tradnl"/>
        </w:rPr>
        <w:t>C</w:t>
      </w:r>
      <w:r>
        <w:rPr>
          <w:rFonts w:cs="Times New Roman"/>
          <w:sz w:val="18"/>
          <w:szCs w:val="18"/>
          <w:lang w:val="es-ES_tradnl"/>
        </w:rPr>
        <w:t>ó</w:t>
      </w:r>
      <w:r>
        <w:rPr>
          <w:sz w:val="18"/>
          <w:szCs w:val="18"/>
          <w:lang w:val="es-ES_tradnl"/>
        </w:rPr>
        <w:t>digo de Procedimiento Civil.</w:t>
      </w:r>
    </w:p>
    <w:p w14:paraId="4F67B00C" w14:textId="77777777" w:rsidR="00591D54" w:rsidRDefault="00591D54">
      <w:pPr>
        <w:shd w:val="clear" w:color="auto" w:fill="FFFFFF"/>
        <w:spacing w:before="197" w:line="216" w:lineRule="exact"/>
        <w:ind w:right="5"/>
        <w:jc w:val="both"/>
      </w:pPr>
      <w:r>
        <w:rPr>
          <w:spacing w:val="-6"/>
          <w:sz w:val="18"/>
          <w:szCs w:val="18"/>
          <w:lang w:val="es-ES_tradnl"/>
        </w:rPr>
        <w:t xml:space="preserve">Siendo estos los hechos suscitados dentro del proceso, </w:t>
      </w:r>
      <w:r>
        <w:rPr>
          <w:spacing w:val="-7"/>
          <w:sz w:val="18"/>
          <w:szCs w:val="18"/>
          <w:lang w:val="es-ES_tradnl"/>
        </w:rPr>
        <w:t>seg</w:t>
      </w:r>
      <w:r>
        <w:rPr>
          <w:rFonts w:cs="Times New Roman"/>
          <w:spacing w:val="-7"/>
          <w:sz w:val="18"/>
          <w:szCs w:val="18"/>
          <w:lang w:val="es-ES_tradnl"/>
        </w:rPr>
        <w:t>ú</w:t>
      </w:r>
      <w:r>
        <w:rPr>
          <w:spacing w:val="-7"/>
          <w:sz w:val="18"/>
          <w:szCs w:val="18"/>
          <w:lang w:val="es-ES_tradnl"/>
        </w:rPr>
        <w:t xml:space="preserve">n se desprende del expediente y del propio fallo </w:t>
      </w:r>
      <w:r>
        <w:rPr>
          <w:spacing w:val="-3"/>
          <w:sz w:val="18"/>
          <w:szCs w:val="18"/>
          <w:lang w:val="es-ES_tradnl"/>
        </w:rPr>
        <w:t>impugnado, se puede evidenciar que el juez D</w:t>
      </w:r>
      <w:r>
        <w:rPr>
          <w:rFonts w:cs="Times New Roman"/>
          <w:spacing w:val="-3"/>
          <w:sz w:val="18"/>
          <w:szCs w:val="18"/>
          <w:lang w:val="es-ES_tradnl"/>
        </w:rPr>
        <w:t>é</w:t>
      </w:r>
      <w:r>
        <w:rPr>
          <w:spacing w:val="-3"/>
          <w:sz w:val="18"/>
          <w:szCs w:val="18"/>
          <w:lang w:val="es-ES_tradnl"/>
        </w:rPr>
        <w:t xml:space="preserve">cimo </w:t>
      </w:r>
      <w:r>
        <w:rPr>
          <w:spacing w:val="-10"/>
          <w:sz w:val="18"/>
          <w:szCs w:val="18"/>
          <w:lang w:val="es-ES_tradnl"/>
        </w:rPr>
        <w:t>Tercero de lo Civil de Pichincha, al rechazar las expresiones presentadas dentro del segundo escrito por extempor</w:t>
      </w:r>
      <w:r>
        <w:rPr>
          <w:rFonts w:cs="Times New Roman"/>
          <w:spacing w:val="-10"/>
          <w:sz w:val="18"/>
          <w:szCs w:val="18"/>
          <w:lang w:val="es-ES_tradnl"/>
        </w:rPr>
        <w:t>á</w:t>
      </w:r>
      <w:r>
        <w:rPr>
          <w:spacing w:val="-10"/>
          <w:sz w:val="18"/>
          <w:szCs w:val="18"/>
          <w:lang w:val="es-ES_tradnl"/>
        </w:rPr>
        <w:t xml:space="preserve">neas, </w:t>
      </w:r>
      <w:r>
        <w:rPr>
          <w:spacing w:val="-8"/>
          <w:sz w:val="18"/>
          <w:szCs w:val="18"/>
          <w:lang w:val="es-ES_tradnl"/>
        </w:rPr>
        <w:t>adopt</w:t>
      </w:r>
      <w:r>
        <w:rPr>
          <w:rFonts w:cs="Times New Roman"/>
          <w:spacing w:val="-8"/>
          <w:sz w:val="18"/>
          <w:szCs w:val="18"/>
          <w:lang w:val="es-ES_tradnl"/>
        </w:rPr>
        <w:t>ó</w:t>
      </w:r>
      <w:r>
        <w:rPr>
          <w:spacing w:val="-8"/>
          <w:sz w:val="18"/>
          <w:szCs w:val="18"/>
          <w:lang w:val="es-ES_tradnl"/>
        </w:rPr>
        <w:t xml:space="preserve"> una decisi</w:t>
      </w:r>
      <w:r>
        <w:rPr>
          <w:rFonts w:cs="Times New Roman"/>
          <w:spacing w:val="-8"/>
          <w:sz w:val="18"/>
          <w:szCs w:val="18"/>
          <w:lang w:val="es-ES_tradnl"/>
        </w:rPr>
        <w:t>ó</w:t>
      </w:r>
      <w:r>
        <w:rPr>
          <w:spacing w:val="-8"/>
          <w:sz w:val="18"/>
          <w:szCs w:val="18"/>
          <w:lang w:val="es-ES_tradnl"/>
        </w:rPr>
        <w:t>n coherente con las premisas f</w:t>
      </w:r>
      <w:r>
        <w:rPr>
          <w:rFonts w:cs="Times New Roman"/>
          <w:spacing w:val="-8"/>
          <w:sz w:val="18"/>
          <w:szCs w:val="18"/>
          <w:lang w:val="es-ES_tradnl"/>
        </w:rPr>
        <w:t>á</w:t>
      </w:r>
      <w:r>
        <w:rPr>
          <w:spacing w:val="-8"/>
          <w:sz w:val="18"/>
          <w:szCs w:val="18"/>
          <w:lang w:val="es-ES_tradnl"/>
        </w:rPr>
        <w:t xml:space="preserve">cticas y </w:t>
      </w:r>
      <w:r>
        <w:rPr>
          <w:spacing w:val="-10"/>
          <w:sz w:val="18"/>
          <w:szCs w:val="18"/>
          <w:lang w:val="es-ES_tradnl"/>
        </w:rPr>
        <w:t>normativas del caso. En consecuencia, esta Corte establece que no existe vulneraci</w:t>
      </w:r>
      <w:r>
        <w:rPr>
          <w:rFonts w:cs="Times New Roman"/>
          <w:spacing w:val="-10"/>
          <w:sz w:val="18"/>
          <w:szCs w:val="18"/>
          <w:lang w:val="es-ES_tradnl"/>
        </w:rPr>
        <w:t>ó</w:t>
      </w:r>
      <w:r>
        <w:rPr>
          <w:spacing w:val="-10"/>
          <w:sz w:val="18"/>
          <w:szCs w:val="18"/>
          <w:lang w:val="es-ES_tradnl"/>
        </w:rPr>
        <w:t xml:space="preserve">n al derecho al debido proceso en la </w:t>
      </w:r>
      <w:r>
        <w:rPr>
          <w:spacing w:val="-8"/>
          <w:sz w:val="18"/>
          <w:szCs w:val="18"/>
          <w:lang w:val="es-ES_tradnl"/>
        </w:rPr>
        <w:t>garant</w:t>
      </w:r>
      <w:r>
        <w:rPr>
          <w:rFonts w:cs="Times New Roman"/>
          <w:spacing w:val="-8"/>
          <w:sz w:val="18"/>
          <w:szCs w:val="18"/>
          <w:lang w:val="es-ES_tradnl"/>
        </w:rPr>
        <w:t>í</w:t>
      </w:r>
      <w:r>
        <w:rPr>
          <w:spacing w:val="-8"/>
          <w:sz w:val="18"/>
          <w:szCs w:val="18"/>
          <w:lang w:val="es-ES_tradnl"/>
        </w:rPr>
        <w:t>a de la motivaci</w:t>
      </w:r>
      <w:r>
        <w:rPr>
          <w:rFonts w:cs="Times New Roman"/>
          <w:spacing w:val="-8"/>
          <w:sz w:val="18"/>
          <w:szCs w:val="18"/>
          <w:lang w:val="es-ES_tradnl"/>
        </w:rPr>
        <w:t>ó</w:t>
      </w:r>
      <w:r>
        <w:rPr>
          <w:spacing w:val="-8"/>
          <w:sz w:val="18"/>
          <w:szCs w:val="18"/>
          <w:lang w:val="es-ES_tradnl"/>
        </w:rPr>
        <w:t>n respecto al elemento de la l</w:t>
      </w:r>
      <w:r>
        <w:rPr>
          <w:rFonts w:cs="Times New Roman"/>
          <w:spacing w:val="-8"/>
          <w:sz w:val="18"/>
          <w:szCs w:val="18"/>
          <w:lang w:val="es-ES_tradnl"/>
        </w:rPr>
        <w:t>ó</w:t>
      </w:r>
      <w:r>
        <w:rPr>
          <w:spacing w:val="-8"/>
          <w:sz w:val="18"/>
          <w:szCs w:val="18"/>
          <w:lang w:val="es-ES_tradnl"/>
        </w:rPr>
        <w:t>gica.</w:t>
      </w:r>
    </w:p>
    <w:p w14:paraId="4F67B00D" w14:textId="77777777" w:rsidR="00591D54" w:rsidRDefault="00591D54">
      <w:pPr>
        <w:shd w:val="clear" w:color="auto" w:fill="FFFFFF"/>
        <w:spacing w:before="197" w:line="216" w:lineRule="exact"/>
        <w:ind w:right="5"/>
        <w:jc w:val="both"/>
      </w:pPr>
      <w:r>
        <w:rPr>
          <w:spacing w:val="-7"/>
          <w:sz w:val="18"/>
          <w:szCs w:val="18"/>
          <w:lang w:val="es-ES_tradnl"/>
        </w:rPr>
        <w:t xml:space="preserve">Finalmente, se establece un tercer criterio respecto de la </w:t>
      </w:r>
      <w:r>
        <w:rPr>
          <w:spacing w:val="-5"/>
          <w:sz w:val="18"/>
          <w:szCs w:val="18"/>
          <w:lang w:val="es-ES_tradnl"/>
        </w:rPr>
        <w:t>garant</w:t>
      </w:r>
      <w:r>
        <w:rPr>
          <w:rFonts w:cs="Times New Roman"/>
          <w:spacing w:val="-5"/>
          <w:sz w:val="18"/>
          <w:szCs w:val="18"/>
          <w:lang w:val="es-ES_tradnl"/>
        </w:rPr>
        <w:t>í</w:t>
      </w:r>
      <w:r>
        <w:rPr>
          <w:spacing w:val="-5"/>
          <w:sz w:val="18"/>
          <w:szCs w:val="18"/>
          <w:lang w:val="es-ES_tradnl"/>
        </w:rPr>
        <w:t>a de la motivaci</w:t>
      </w:r>
      <w:r>
        <w:rPr>
          <w:rFonts w:cs="Times New Roman"/>
          <w:spacing w:val="-5"/>
          <w:sz w:val="18"/>
          <w:szCs w:val="18"/>
          <w:lang w:val="es-ES_tradnl"/>
        </w:rPr>
        <w:t>ó</w:t>
      </w:r>
      <w:r>
        <w:rPr>
          <w:spacing w:val="-5"/>
          <w:sz w:val="18"/>
          <w:szCs w:val="18"/>
          <w:lang w:val="es-ES_tradnl"/>
        </w:rPr>
        <w:t>n: la comprensibilidad, contenida en el numeral 10 del art</w:t>
      </w:r>
      <w:r>
        <w:rPr>
          <w:rFonts w:cs="Times New Roman"/>
          <w:spacing w:val="-5"/>
          <w:sz w:val="18"/>
          <w:szCs w:val="18"/>
          <w:lang w:val="es-ES_tradnl"/>
        </w:rPr>
        <w:t>í</w:t>
      </w:r>
      <w:r>
        <w:rPr>
          <w:spacing w:val="-5"/>
          <w:sz w:val="18"/>
          <w:szCs w:val="18"/>
          <w:lang w:val="es-ES_tradnl"/>
        </w:rPr>
        <w:t>culo 4 de la Ley Org</w:t>
      </w:r>
      <w:r>
        <w:rPr>
          <w:rFonts w:cs="Times New Roman"/>
          <w:spacing w:val="-5"/>
          <w:sz w:val="18"/>
          <w:szCs w:val="18"/>
          <w:lang w:val="es-ES_tradnl"/>
        </w:rPr>
        <w:t>á</w:t>
      </w:r>
      <w:r>
        <w:rPr>
          <w:spacing w:val="-5"/>
          <w:sz w:val="18"/>
          <w:szCs w:val="18"/>
          <w:lang w:val="es-ES_tradnl"/>
        </w:rPr>
        <w:t xml:space="preserve">nica de </w:t>
      </w:r>
      <w:r>
        <w:rPr>
          <w:spacing w:val="-3"/>
          <w:sz w:val="18"/>
          <w:szCs w:val="18"/>
          <w:lang w:val="es-ES_tradnl"/>
        </w:rPr>
        <w:t>Garant</w:t>
      </w:r>
      <w:r>
        <w:rPr>
          <w:rFonts w:cs="Times New Roman"/>
          <w:spacing w:val="-3"/>
          <w:sz w:val="18"/>
          <w:szCs w:val="18"/>
          <w:lang w:val="es-ES_tradnl"/>
        </w:rPr>
        <w:t>í</w:t>
      </w:r>
      <w:r>
        <w:rPr>
          <w:spacing w:val="-3"/>
          <w:sz w:val="18"/>
          <w:szCs w:val="18"/>
          <w:lang w:val="es-ES_tradnl"/>
        </w:rPr>
        <w:t xml:space="preserve">as Jurisdiccionales y Control Constitucional, </w:t>
      </w:r>
      <w:r>
        <w:rPr>
          <w:spacing w:val="-4"/>
          <w:sz w:val="18"/>
          <w:szCs w:val="18"/>
          <w:lang w:val="es-ES_tradnl"/>
        </w:rPr>
        <w:t>principio procesal que obliga a los jueces a redactar sus</w:t>
      </w:r>
    </w:p>
    <w:p w14:paraId="4F67B00E" w14:textId="77777777" w:rsidR="00591D54" w:rsidRDefault="00591D54">
      <w:pPr>
        <w:shd w:val="clear" w:color="auto" w:fill="FFFFFF"/>
        <w:spacing w:line="221" w:lineRule="exact"/>
        <w:jc w:val="both"/>
      </w:pPr>
      <w:r>
        <w:br w:type="column"/>
      </w:r>
      <w:r>
        <w:rPr>
          <w:spacing w:val="-7"/>
          <w:sz w:val="18"/>
          <w:szCs w:val="18"/>
          <w:lang w:val="es-ES_tradnl"/>
        </w:rPr>
        <w:t>resoluciones de forma clara, legible, asequible y sint</w:t>
      </w:r>
      <w:r>
        <w:rPr>
          <w:rFonts w:cs="Times New Roman"/>
          <w:spacing w:val="-7"/>
          <w:sz w:val="18"/>
          <w:szCs w:val="18"/>
          <w:lang w:val="es-ES_tradnl"/>
        </w:rPr>
        <w:t>é</w:t>
      </w:r>
      <w:r>
        <w:rPr>
          <w:spacing w:val="-7"/>
          <w:sz w:val="18"/>
          <w:szCs w:val="18"/>
          <w:lang w:val="es-ES_tradnl"/>
        </w:rPr>
        <w:t xml:space="preserve">tica, </w:t>
      </w:r>
      <w:r>
        <w:rPr>
          <w:spacing w:val="-9"/>
          <w:sz w:val="18"/>
          <w:szCs w:val="18"/>
          <w:lang w:val="es-ES_tradnl"/>
        </w:rPr>
        <w:t xml:space="preserve">incluyendo las cuestiones de hecho y derecho planteadas y </w:t>
      </w:r>
      <w:r>
        <w:rPr>
          <w:spacing w:val="-7"/>
          <w:sz w:val="18"/>
          <w:szCs w:val="18"/>
          <w:lang w:val="es-ES_tradnl"/>
        </w:rPr>
        <w:t>el razonamiento seguido para tomar la decisi</w:t>
      </w:r>
      <w:r>
        <w:rPr>
          <w:rFonts w:cs="Times New Roman"/>
          <w:spacing w:val="-7"/>
          <w:sz w:val="18"/>
          <w:szCs w:val="18"/>
          <w:lang w:val="es-ES_tradnl"/>
        </w:rPr>
        <w:t>ó</w:t>
      </w:r>
      <w:r>
        <w:rPr>
          <w:spacing w:val="-7"/>
          <w:sz w:val="18"/>
          <w:szCs w:val="18"/>
          <w:lang w:val="es-ES_tradnl"/>
        </w:rPr>
        <w:t>n.</w:t>
      </w:r>
    </w:p>
    <w:p w14:paraId="4F67B00F" w14:textId="77777777" w:rsidR="00591D54" w:rsidRDefault="00591D54">
      <w:pPr>
        <w:shd w:val="clear" w:color="auto" w:fill="FFFFFF"/>
        <w:spacing w:before="206" w:line="221" w:lineRule="exact"/>
        <w:jc w:val="both"/>
      </w:pPr>
      <w:r>
        <w:rPr>
          <w:spacing w:val="-10"/>
          <w:sz w:val="18"/>
          <w:szCs w:val="18"/>
          <w:lang w:val="es-ES_tradnl"/>
        </w:rPr>
        <w:t xml:space="preserve">Del texto de la sentencia se desprende la claridad con la que </w:t>
      </w:r>
      <w:r>
        <w:rPr>
          <w:spacing w:val="-8"/>
          <w:sz w:val="18"/>
          <w:szCs w:val="18"/>
          <w:lang w:val="es-ES_tradnl"/>
        </w:rPr>
        <w:t>el juez D</w:t>
      </w:r>
      <w:r>
        <w:rPr>
          <w:rFonts w:cs="Times New Roman"/>
          <w:spacing w:val="-8"/>
          <w:sz w:val="18"/>
          <w:szCs w:val="18"/>
          <w:lang w:val="es-ES_tradnl"/>
        </w:rPr>
        <w:t>é</w:t>
      </w:r>
      <w:r>
        <w:rPr>
          <w:spacing w:val="-8"/>
          <w:sz w:val="18"/>
          <w:szCs w:val="18"/>
          <w:lang w:val="es-ES_tradnl"/>
        </w:rPr>
        <w:t xml:space="preserve">cimo Tercero de lo Civil de Pichincha se expresa, </w:t>
      </w:r>
      <w:r>
        <w:rPr>
          <w:spacing w:val="-9"/>
          <w:sz w:val="18"/>
          <w:szCs w:val="18"/>
          <w:lang w:val="es-ES_tradnl"/>
        </w:rPr>
        <w:t xml:space="preserve">de manera que al lector no le queda ninguna duda respecto </w:t>
      </w:r>
      <w:r>
        <w:rPr>
          <w:spacing w:val="-4"/>
          <w:sz w:val="18"/>
          <w:szCs w:val="18"/>
          <w:lang w:val="es-ES_tradnl"/>
        </w:rPr>
        <w:t>del an</w:t>
      </w:r>
      <w:r>
        <w:rPr>
          <w:rFonts w:cs="Times New Roman"/>
          <w:spacing w:val="-4"/>
          <w:sz w:val="18"/>
          <w:szCs w:val="18"/>
          <w:lang w:val="es-ES_tradnl"/>
        </w:rPr>
        <w:t>á</w:t>
      </w:r>
      <w:r>
        <w:rPr>
          <w:spacing w:val="-4"/>
          <w:sz w:val="18"/>
          <w:szCs w:val="18"/>
          <w:lang w:val="es-ES_tradnl"/>
        </w:rPr>
        <w:t>lisis y la decisi</w:t>
      </w:r>
      <w:r>
        <w:rPr>
          <w:rFonts w:cs="Times New Roman"/>
          <w:spacing w:val="-4"/>
          <w:sz w:val="18"/>
          <w:szCs w:val="18"/>
          <w:lang w:val="es-ES_tradnl"/>
        </w:rPr>
        <w:t>ó</w:t>
      </w:r>
      <w:r>
        <w:rPr>
          <w:spacing w:val="-4"/>
          <w:sz w:val="18"/>
          <w:szCs w:val="18"/>
          <w:lang w:val="es-ES_tradnl"/>
        </w:rPr>
        <w:t xml:space="preserve">n tomada; incluye las cuestiones </w:t>
      </w:r>
      <w:r>
        <w:rPr>
          <w:spacing w:val="-7"/>
          <w:sz w:val="18"/>
          <w:szCs w:val="18"/>
          <w:lang w:val="es-ES_tradnl"/>
        </w:rPr>
        <w:t xml:space="preserve">de hecho y de derecho relevantes, y permite apreciar el </w:t>
      </w:r>
      <w:r>
        <w:rPr>
          <w:spacing w:val="-6"/>
          <w:sz w:val="18"/>
          <w:szCs w:val="18"/>
          <w:lang w:val="es-ES_tradnl"/>
        </w:rPr>
        <w:t>razonamiento que llev</w:t>
      </w:r>
      <w:r>
        <w:rPr>
          <w:rFonts w:cs="Times New Roman"/>
          <w:spacing w:val="-6"/>
          <w:sz w:val="18"/>
          <w:szCs w:val="18"/>
          <w:lang w:val="es-ES_tradnl"/>
        </w:rPr>
        <w:t>ó</w:t>
      </w:r>
      <w:r>
        <w:rPr>
          <w:spacing w:val="-6"/>
          <w:sz w:val="18"/>
          <w:szCs w:val="18"/>
          <w:lang w:val="es-ES_tradnl"/>
        </w:rPr>
        <w:t xml:space="preserve"> al juez a tomar su decisi</w:t>
      </w:r>
      <w:r>
        <w:rPr>
          <w:rFonts w:cs="Times New Roman"/>
          <w:spacing w:val="-6"/>
          <w:sz w:val="18"/>
          <w:szCs w:val="18"/>
          <w:lang w:val="es-ES_tradnl"/>
        </w:rPr>
        <w:t>ó</w:t>
      </w:r>
      <w:r>
        <w:rPr>
          <w:spacing w:val="-6"/>
          <w:sz w:val="18"/>
          <w:szCs w:val="18"/>
          <w:lang w:val="es-ES_tradnl"/>
        </w:rPr>
        <w:t xml:space="preserve">n. En </w:t>
      </w:r>
      <w:r>
        <w:rPr>
          <w:spacing w:val="-7"/>
          <w:sz w:val="18"/>
          <w:szCs w:val="18"/>
          <w:lang w:val="es-ES_tradnl"/>
        </w:rPr>
        <w:t>conclusi</w:t>
      </w:r>
      <w:r>
        <w:rPr>
          <w:rFonts w:cs="Times New Roman"/>
          <w:spacing w:val="-7"/>
          <w:sz w:val="18"/>
          <w:szCs w:val="18"/>
          <w:lang w:val="es-ES_tradnl"/>
        </w:rPr>
        <w:t>ó</w:t>
      </w:r>
      <w:r>
        <w:rPr>
          <w:spacing w:val="-7"/>
          <w:sz w:val="18"/>
          <w:szCs w:val="18"/>
          <w:lang w:val="es-ES_tradnl"/>
        </w:rPr>
        <w:t xml:space="preserve">n, la sentencia impugnada cumple con los tres </w:t>
      </w:r>
      <w:r>
        <w:rPr>
          <w:spacing w:val="-8"/>
          <w:sz w:val="18"/>
          <w:szCs w:val="18"/>
          <w:lang w:val="es-ES_tradnl"/>
        </w:rPr>
        <w:t>requisitos que conforman la motivaci</w:t>
      </w:r>
      <w:r>
        <w:rPr>
          <w:rFonts w:cs="Times New Roman"/>
          <w:spacing w:val="-8"/>
          <w:sz w:val="18"/>
          <w:szCs w:val="18"/>
          <w:lang w:val="es-ES_tradnl"/>
        </w:rPr>
        <w:t>ó</w:t>
      </w:r>
      <w:r>
        <w:rPr>
          <w:spacing w:val="-8"/>
          <w:sz w:val="18"/>
          <w:szCs w:val="18"/>
          <w:lang w:val="es-ES_tradnl"/>
        </w:rPr>
        <w:t xml:space="preserve">n, de manera que no </w:t>
      </w:r>
      <w:r>
        <w:rPr>
          <w:spacing w:val="-9"/>
          <w:sz w:val="18"/>
          <w:szCs w:val="18"/>
          <w:lang w:val="es-ES_tradnl"/>
        </w:rPr>
        <w:t>se ha vulnerado el derecho al debido proceso en la garant</w:t>
      </w:r>
      <w:r>
        <w:rPr>
          <w:rFonts w:cs="Times New Roman"/>
          <w:spacing w:val="-9"/>
          <w:sz w:val="18"/>
          <w:szCs w:val="18"/>
          <w:lang w:val="es-ES_tradnl"/>
        </w:rPr>
        <w:t>í</w:t>
      </w:r>
      <w:r>
        <w:rPr>
          <w:spacing w:val="-9"/>
          <w:sz w:val="18"/>
          <w:szCs w:val="18"/>
          <w:lang w:val="es-ES_tradnl"/>
        </w:rPr>
        <w:t xml:space="preserve">a </w:t>
      </w:r>
      <w:r>
        <w:rPr>
          <w:sz w:val="18"/>
          <w:szCs w:val="18"/>
          <w:lang w:val="es-ES_tradnl"/>
        </w:rPr>
        <w:t>de la motivaci</w:t>
      </w:r>
      <w:r>
        <w:rPr>
          <w:rFonts w:cs="Times New Roman"/>
          <w:sz w:val="18"/>
          <w:szCs w:val="18"/>
          <w:lang w:val="es-ES_tradnl"/>
        </w:rPr>
        <w:t>ó</w:t>
      </w:r>
      <w:r>
        <w:rPr>
          <w:sz w:val="18"/>
          <w:szCs w:val="18"/>
          <w:lang w:val="es-ES_tradnl"/>
        </w:rPr>
        <w:t>n.</w:t>
      </w:r>
    </w:p>
    <w:p w14:paraId="4F67B010" w14:textId="77777777" w:rsidR="00591D54" w:rsidRDefault="00591D54">
      <w:pPr>
        <w:shd w:val="clear" w:color="auto" w:fill="FFFFFF"/>
        <w:spacing w:before="197" w:line="221" w:lineRule="exact"/>
        <w:jc w:val="both"/>
      </w:pPr>
      <w:r>
        <w:rPr>
          <w:b/>
          <w:bCs/>
          <w:spacing w:val="-6"/>
          <w:sz w:val="18"/>
          <w:szCs w:val="18"/>
          <w:lang w:val="es-ES_tradnl"/>
        </w:rPr>
        <w:t>El auto dictado por el juez D</w:t>
      </w:r>
      <w:r>
        <w:rPr>
          <w:rFonts w:cs="Times New Roman"/>
          <w:b/>
          <w:bCs/>
          <w:spacing w:val="-6"/>
          <w:sz w:val="18"/>
          <w:szCs w:val="18"/>
          <w:lang w:val="es-ES_tradnl"/>
        </w:rPr>
        <w:t>é</w:t>
      </w:r>
      <w:r>
        <w:rPr>
          <w:b/>
          <w:bCs/>
          <w:spacing w:val="-6"/>
          <w:sz w:val="18"/>
          <w:szCs w:val="18"/>
          <w:lang w:val="es-ES_tradnl"/>
        </w:rPr>
        <w:t xml:space="preserve">cimo Tercero de lo Civil </w:t>
      </w:r>
      <w:r>
        <w:rPr>
          <w:b/>
          <w:bCs/>
          <w:spacing w:val="-8"/>
          <w:sz w:val="18"/>
          <w:szCs w:val="18"/>
          <w:lang w:val="es-ES_tradnl"/>
        </w:rPr>
        <w:t xml:space="preserve">de Pichincha, </w:t>
      </w:r>
      <w:r>
        <w:rPr>
          <w:rFonts w:cs="Times New Roman"/>
          <w:b/>
          <w:bCs/>
          <w:spacing w:val="-8"/>
          <w:sz w:val="18"/>
          <w:szCs w:val="18"/>
          <w:lang w:val="es-ES_tradnl"/>
        </w:rPr>
        <w:t>¿</w:t>
      </w:r>
      <w:r>
        <w:rPr>
          <w:b/>
          <w:bCs/>
          <w:spacing w:val="-8"/>
          <w:sz w:val="18"/>
          <w:szCs w:val="18"/>
          <w:lang w:val="es-ES_tradnl"/>
        </w:rPr>
        <w:t xml:space="preserve">vulnera el derecho a la defensa, en la </w:t>
      </w:r>
      <w:r>
        <w:rPr>
          <w:b/>
          <w:bCs/>
          <w:spacing w:val="-7"/>
          <w:sz w:val="18"/>
          <w:szCs w:val="18"/>
          <w:lang w:val="es-ES_tradnl"/>
        </w:rPr>
        <w:t>garant</w:t>
      </w:r>
      <w:r>
        <w:rPr>
          <w:rFonts w:cs="Times New Roman"/>
          <w:b/>
          <w:bCs/>
          <w:spacing w:val="-7"/>
          <w:sz w:val="18"/>
          <w:szCs w:val="18"/>
          <w:lang w:val="es-ES_tradnl"/>
        </w:rPr>
        <w:t>í</w:t>
      </w:r>
      <w:r>
        <w:rPr>
          <w:b/>
          <w:bCs/>
          <w:spacing w:val="-7"/>
          <w:sz w:val="18"/>
          <w:szCs w:val="18"/>
          <w:lang w:val="es-ES_tradnl"/>
        </w:rPr>
        <w:t>a de recurrir el fallo, que contiene el art</w:t>
      </w:r>
      <w:r>
        <w:rPr>
          <w:rFonts w:cs="Times New Roman"/>
          <w:b/>
          <w:bCs/>
          <w:spacing w:val="-7"/>
          <w:sz w:val="18"/>
          <w:szCs w:val="18"/>
          <w:lang w:val="es-ES_tradnl"/>
        </w:rPr>
        <w:t>í</w:t>
      </w:r>
      <w:r>
        <w:rPr>
          <w:b/>
          <w:bCs/>
          <w:spacing w:val="-7"/>
          <w:sz w:val="18"/>
          <w:szCs w:val="18"/>
          <w:lang w:val="es-ES_tradnl"/>
        </w:rPr>
        <w:t xml:space="preserve">culo 76 </w:t>
      </w:r>
      <w:r>
        <w:rPr>
          <w:b/>
          <w:bCs/>
          <w:spacing w:val="-8"/>
          <w:sz w:val="18"/>
          <w:szCs w:val="18"/>
          <w:lang w:val="es-ES_tradnl"/>
        </w:rPr>
        <w:t>numeral 7 literal m de la Constituci</w:t>
      </w:r>
      <w:r>
        <w:rPr>
          <w:rFonts w:cs="Times New Roman"/>
          <w:b/>
          <w:bCs/>
          <w:spacing w:val="-8"/>
          <w:sz w:val="18"/>
          <w:szCs w:val="18"/>
          <w:lang w:val="es-ES_tradnl"/>
        </w:rPr>
        <w:t>ó</w:t>
      </w:r>
      <w:r>
        <w:rPr>
          <w:b/>
          <w:bCs/>
          <w:spacing w:val="-8"/>
          <w:sz w:val="18"/>
          <w:szCs w:val="18"/>
          <w:lang w:val="es-ES_tradnl"/>
        </w:rPr>
        <w:t>n de la Rep</w:t>
      </w:r>
      <w:r>
        <w:rPr>
          <w:rFonts w:cs="Times New Roman"/>
          <w:b/>
          <w:bCs/>
          <w:spacing w:val="-8"/>
          <w:sz w:val="18"/>
          <w:szCs w:val="18"/>
          <w:lang w:val="es-ES_tradnl"/>
        </w:rPr>
        <w:t>ú</w:t>
      </w:r>
      <w:r>
        <w:rPr>
          <w:b/>
          <w:bCs/>
          <w:spacing w:val="-8"/>
          <w:sz w:val="18"/>
          <w:szCs w:val="18"/>
          <w:lang w:val="es-ES_tradnl"/>
        </w:rPr>
        <w:t>blica?</w:t>
      </w:r>
    </w:p>
    <w:p w14:paraId="4F67B011" w14:textId="77777777" w:rsidR="00591D54" w:rsidRDefault="00591D54">
      <w:pPr>
        <w:shd w:val="clear" w:color="auto" w:fill="FFFFFF"/>
        <w:spacing w:before="206" w:line="221" w:lineRule="exact"/>
        <w:jc w:val="both"/>
      </w:pPr>
      <w:r>
        <w:rPr>
          <w:spacing w:val="-8"/>
          <w:sz w:val="18"/>
          <w:szCs w:val="18"/>
          <w:lang w:val="es-ES_tradnl"/>
        </w:rPr>
        <w:t>Conforme se manifest</w:t>
      </w:r>
      <w:r>
        <w:rPr>
          <w:rFonts w:cs="Times New Roman"/>
          <w:spacing w:val="-8"/>
          <w:sz w:val="18"/>
          <w:szCs w:val="18"/>
          <w:lang w:val="es-ES_tradnl"/>
        </w:rPr>
        <w:t>ó</w:t>
      </w:r>
      <w:r>
        <w:rPr>
          <w:spacing w:val="-8"/>
          <w:sz w:val="18"/>
          <w:szCs w:val="18"/>
          <w:lang w:val="es-ES_tradnl"/>
        </w:rPr>
        <w:t xml:space="preserve"> dentro de los antecedentes en la </w:t>
      </w:r>
      <w:r>
        <w:rPr>
          <w:spacing w:val="-11"/>
          <w:sz w:val="18"/>
          <w:szCs w:val="18"/>
          <w:lang w:val="es-ES_tradnl"/>
        </w:rPr>
        <w:t>presente sentencia, el accionante argument</w:t>
      </w:r>
      <w:r>
        <w:rPr>
          <w:rFonts w:cs="Times New Roman"/>
          <w:spacing w:val="-11"/>
          <w:sz w:val="18"/>
          <w:szCs w:val="18"/>
          <w:lang w:val="es-ES_tradnl"/>
        </w:rPr>
        <w:t>ó</w:t>
      </w:r>
      <w:r>
        <w:rPr>
          <w:spacing w:val="-11"/>
          <w:sz w:val="18"/>
          <w:szCs w:val="18"/>
          <w:lang w:val="es-ES_tradnl"/>
        </w:rPr>
        <w:t xml:space="preserve"> en su demanda </w:t>
      </w:r>
      <w:r>
        <w:rPr>
          <w:spacing w:val="-10"/>
          <w:sz w:val="18"/>
          <w:szCs w:val="18"/>
          <w:lang w:val="es-ES_tradnl"/>
        </w:rPr>
        <w:t>que el auto mediante el cual se neg</w:t>
      </w:r>
      <w:r>
        <w:rPr>
          <w:rFonts w:cs="Times New Roman"/>
          <w:spacing w:val="-10"/>
          <w:sz w:val="18"/>
          <w:szCs w:val="18"/>
          <w:lang w:val="es-ES_tradnl"/>
        </w:rPr>
        <w:t>ó</w:t>
      </w:r>
      <w:r>
        <w:rPr>
          <w:spacing w:val="-10"/>
          <w:sz w:val="18"/>
          <w:szCs w:val="18"/>
          <w:lang w:val="es-ES_tradnl"/>
        </w:rPr>
        <w:t xml:space="preserve"> el recurso de apelaci</w:t>
      </w:r>
      <w:r>
        <w:rPr>
          <w:rFonts w:cs="Times New Roman"/>
          <w:spacing w:val="-10"/>
          <w:sz w:val="18"/>
          <w:szCs w:val="18"/>
          <w:lang w:val="es-ES_tradnl"/>
        </w:rPr>
        <w:t>ó</w:t>
      </w:r>
      <w:r>
        <w:rPr>
          <w:spacing w:val="-10"/>
          <w:sz w:val="18"/>
          <w:szCs w:val="18"/>
          <w:lang w:val="es-ES_tradnl"/>
        </w:rPr>
        <w:t xml:space="preserve">n </w:t>
      </w:r>
      <w:r>
        <w:rPr>
          <w:spacing w:val="-9"/>
          <w:sz w:val="18"/>
          <w:szCs w:val="18"/>
          <w:lang w:val="es-ES_tradnl"/>
        </w:rPr>
        <w:t>dentro del juicio ejecutivo en base al art</w:t>
      </w:r>
      <w:r>
        <w:rPr>
          <w:rFonts w:cs="Times New Roman"/>
          <w:spacing w:val="-9"/>
          <w:sz w:val="18"/>
          <w:szCs w:val="18"/>
          <w:lang w:val="es-ES_tradnl"/>
        </w:rPr>
        <w:t>í</w:t>
      </w:r>
      <w:r>
        <w:rPr>
          <w:spacing w:val="-9"/>
          <w:sz w:val="18"/>
          <w:szCs w:val="18"/>
          <w:lang w:val="es-ES_tradnl"/>
        </w:rPr>
        <w:t>culo 430 del C</w:t>
      </w:r>
      <w:r>
        <w:rPr>
          <w:rFonts w:cs="Times New Roman"/>
          <w:spacing w:val="-9"/>
          <w:sz w:val="18"/>
          <w:szCs w:val="18"/>
          <w:lang w:val="es-ES_tradnl"/>
        </w:rPr>
        <w:t>ó</w:t>
      </w:r>
      <w:r>
        <w:rPr>
          <w:spacing w:val="-9"/>
          <w:sz w:val="18"/>
          <w:szCs w:val="18"/>
          <w:lang w:val="es-ES_tradnl"/>
        </w:rPr>
        <w:t xml:space="preserve">digo </w:t>
      </w:r>
      <w:r>
        <w:rPr>
          <w:spacing w:val="-4"/>
          <w:sz w:val="18"/>
          <w:szCs w:val="18"/>
          <w:lang w:val="es-ES_tradnl"/>
        </w:rPr>
        <w:t xml:space="preserve">de Procedimiento Civil, vulnera su derecho a recurrir el </w:t>
      </w:r>
      <w:r>
        <w:rPr>
          <w:spacing w:val="-8"/>
          <w:sz w:val="18"/>
          <w:szCs w:val="18"/>
          <w:lang w:val="es-ES_tradnl"/>
        </w:rPr>
        <w:t>fallo en raz</w:t>
      </w:r>
      <w:r>
        <w:rPr>
          <w:rFonts w:cs="Times New Roman"/>
          <w:spacing w:val="-8"/>
          <w:sz w:val="18"/>
          <w:szCs w:val="18"/>
          <w:lang w:val="es-ES_tradnl"/>
        </w:rPr>
        <w:t>ó</w:t>
      </w:r>
      <w:r>
        <w:rPr>
          <w:spacing w:val="-8"/>
          <w:sz w:val="18"/>
          <w:szCs w:val="18"/>
          <w:lang w:val="es-ES_tradnl"/>
        </w:rPr>
        <w:t>n de que s</w:t>
      </w:r>
      <w:r>
        <w:rPr>
          <w:rFonts w:cs="Times New Roman"/>
          <w:spacing w:val="-8"/>
          <w:sz w:val="18"/>
          <w:szCs w:val="18"/>
          <w:lang w:val="es-ES_tradnl"/>
        </w:rPr>
        <w:t>í</w:t>
      </w:r>
      <w:r>
        <w:rPr>
          <w:spacing w:val="-8"/>
          <w:sz w:val="18"/>
          <w:szCs w:val="18"/>
          <w:lang w:val="es-ES_tradnl"/>
        </w:rPr>
        <w:t xml:space="preserve"> se presentaron excepciones dentro del proceso, raz</w:t>
      </w:r>
      <w:r>
        <w:rPr>
          <w:rFonts w:cs="Times New Roman"/>
          <w:spacing w:val="-8"/>
          <w:sz w:val="18"/>
          <w:szCs w:val="18"/>
          <w:lang w:val="es-ES_tradnl"/>
        </w:rPr>
        <w:t>ó</w:t>
      </w:r>
      <w:r>
        <w:rPr>
          <w:spacing w:val="-8"/>
          <w:sz w:val="18"/>
          <w:szCs w:val="18"/>
          <w:lang w:val="es-ES_tradnl"/>
        </w:rPr>
        <w:t xml:space="preserve">n por la cual al no aceptarse el recurso de </w:t>
      </w:r>
      <w:r>
        <w:rPr>
          <w:spacing w:val="-10"/>
          <w:sz w:val="18"/>
          <w:szCs w:val="18"/>
          <w:lang w:val="es-ES_tradnl"/>
        </w:rPr>
        <w:t>apelaci</w:t>
      </w:r>
      <w:r>
        <w:rPr>
          <w:rFonts w:cs="Times New Roman"/>
          <w:spacing w:val="-10"/>
          <w:sz w:val="18"/>
          <w:szCs w:val="18"/>
          <w:lang w:val="es-ES_tradnl"/>
        </w:rPr>
        <w:t>ó</w:t>
      </w:r>
      <w:r>
        <w:rPr>
          <w:spacing w:val="-10"/>
          <w:sz w:val="18"/>
          <w:szCs w:val="18"/>
          <w:lang w:val="es-ES_tradnl"/>
        </w:rPr>
        <w:t>n, se deja al recurrente en completa indefensi</w:t>
      </w:r>
      <w:r>
        <w:rPr>
          <w:rFonts w:cs="Times New Roman"/>
          <w:spacing w:val="-10"/>
          <w:sz w:val="18"/>
          <w:szCs w:val="18"/>
          <w:lang w:val="es-ES_tradnl"/>
        </w:rPr>
        <w:t>ó</w:t>
      </w:r>
      <w:r>
        <w:rPr>
          <w:spacing w:val="-10"/>
          <w:sz w:val="18"/>
          <w:szCs w:val="18"/>
          <w:lang w:val="es-ES_tradnl"/>
        </w:rPr>
        <w:t xml:space="preserve">n. En </w:t>
      </w:r>
      <w:r>
        <w:rPr>
          <w:spacing w:val="-11"/>
          <w:sz w:val="18"/>
          <w:szCs w:val="18"/>
          <w:lang w:val="es-ES_tradnl"/>
        </w:rPr>
        <w:t>relaci</w:t>
      </w:r>
      <w:r>
        <w:rPr>
          <w:rFonts w:cs="Times New Roman"/>
          <w:spacing w:val="-11"/>
          <w:sz w:val="18"/>
          <w:szCs w:val="18"/>
          <w:lang w:val="es-ES_tradnl"/>
        </w:rPr>
        <w:t>ó</w:t>
      </w:r>
      <w:r>
        <w:rPr>
          <w:spacing w:val="-11"/>
          <w:sz w:val="18"/>
          <w:szCs w:val="18"/>
          <w:lang w:val="es-ES_tradnl"/>
        </w:rPr>
        <w:t xml:space="preserve">n con tales argumentos, esta Corte estima que existen </w:t>
      </w:r>
      <w:r>
        <w:rPr>
          <w:spacing w:val="-10"/>
          <w:sz w:val="18"/>
          <w:szCs w:val="18"/>
          <w:lang w:val="es-ES_tradnl"/>
        </w:rPr>
        <w:t xml:space="preserve">elementos sobre los cuales basar un examen constitucional, </w:t>
      </w:r>
      <w:r>
        <w:rPr>
          <w:spacing w:val="-9"/>
          <w:sz w:val="18"/>
          <w:szCs w:val="18"/>
          <w:lang w:val="es-ES_tradnl"/>
        </w:rPr>
        <w:t>al t</w:t>
      </w:r>
      <w:r>
        <w:rPr>
          <w:rFonts w:cs="Times New Roman"/>
          <w:spacing w:val="-9"/>
          <w:sz w:val="18"/>
          <w:szCs w:val="18"/>
          <w:lang w:val="es-ES_tradnl"/>
        </w:rPr>
        <w:t>é</w:t>
      </w:r>
      <w:r>
        <w:rPr>
          <w:spacing w:val="-9"/>
          <w:sz w:val="18"/>
          <w:szCs w:val="18"/>
          <w:lang w:val="es-ES_tradnl"/>
        </w:rPr>
        <w:t>rmino del cual se podr</w:t>
      </w:r>
      <w:r>
        <w:rPr>
          <w:rFonts w:cs="Times New Roman"/>
          <w:spacing w:val="-9"/>
          <w:sz w:val="18"/>
          <w:szCs w:val="18"/>
          <w:lang w:val="es-ES_tradnl"/>
        </w:rPr>
        <w:t>á</w:t>
      </w:r>
      <w:r>
        <w:rPr>
          <w:spacing w:val="-9"/>
          <w:sz w:val="18"/>
          <w:szCs w:val="18"/>
          <w:lang w:val="es-ES_tradnl"/>
        </w:rPr>
        <w:t xml:space="preserve"> determinar la existencia o no de </w:t>
      </w:r>
      <w:r>
        <w:rPr>
          <w:sz w:val="18"/>
          <w:szCs w:val="18"/>
          <w:lang w:val="es-ES_tradnl"/>
        </w:rPr>
        <w:t>vulneraciones al derecho antes citado.</w:t>
      </w:r>
    </w:p>
    <w:p w14:paraId="4F67B012" w14:textId="77777777" w:rsidR="00591D54" w:rsidRDefault="00591D54">
      <w:pPr>
        <w:shd w:val="clear" w:color="auto" w:fill="FFFFFF"/>
        <w:spacing w:before="202" w:line="221" w:lineRule="exact"/>
        <w:jc w:val="both"/>
      </w:pPr>
      <w:r>
        <w:rPr>
          <w:spacing w:val="-3"/>
          <w:sz w:val="18"/>
          <w:szCs w:val="18"/>
          <w:lang w:val="es-ES_tradnl"/>
        </w:rPr>
        <w:t>En primer lugar, cabe se</w:t>
      </w:r>
      <w:r>
        <w:rPr>
          <w:rFonts w:cs="Times New Roman"/>
          <w:spacing w:val="-3"/>
          <w:sz w:val="18"/>
          <w:szCs w:val="18"/>
          <w:lang w:val="es-ES_tradnl"/>
        </w:rPr>
        <w:t>ñ</w:t>
      </w:r>
      <w:r>
        <w:rPr>
          <w:spacing w:val="-3"/>
          <w:sz w:val="18"/>
          <w:szCs w:val="18"/>
          <w:lang w:val="es-ES_tradnl"/>
        </w:rPr>
        <w:t xml:space="preserve">alar que el derecho a recurrir </w:t>
      </w:r>
      <w:r>
        <w:rPr>
          <w:spacing w:val="-5"/>
          <w:sz w:val="18"/>
          <w:szCs w:val="18"/>
          <w:lang w:val="es-ES_tradnl"/>
        </w:rPr>
        <w:t>se encuentra reconocido en nuestro marco constitucional a trav</w:t>
      </w:r>
      <w:r>
        <w:rPr>
          <w:rFonts w:cs="Times New Roman"/>
          <w:spacing w:val="-5"/>
          <w:sz w:val="18"/>
          <w:szCs w:val="18"/>
          <w:lang w:val="es-ES_tradnl"/>
        </w:rPr>
        <w:t>é</w:t>
      </w:r>
      <w:r>
        <w:rPr>
          <w:spacing w:val="-5"/>
          <w:sz w:val="18"/>
          <w:szCs w:val="18"/>
          <w:lang w:val="es-ES_tradnl"/>
        </w:rPr>
        <w:t>s del art</w:t>
      </w:r>
      <w:r>
        <w:rPr>
          <w:rFonts w:cs="Times New Roman"/>
          <w:spacing w:val="-5"/>
          <w:sz w:val="18"/>
          <w:szCs w:val="18"/>
          <w:lang w:val="es-ES_tradnl"/>
        </w:rPr>
        <w:t>í</w:t>
      </w:r>
      <w:r>
        <w:rPr>
          <w:spacing w:val="-5"/>
          <w:sz w:val="18"/>
          <w:szCs w:val="18"/>
          <w:lang w:val="es-ES_tradnl"/>
        </w:rPr>
        <w:t xml:space="preserve">culo 76 numeral 7 literal </w:t>
      </w:r>
      <w:r>
        <w:rPr>
          <w:b/>
          <w:bCs/>
          <w:spacing w:val="-5"/>
          <w:sz w:val="18"/>
          <w:szCs w:val="18"/>
          <w:lang w:val="es-ES_tradnl"/>
        </w:rPr>
        <w:t xml:space="preserve">m </w:t>
      </w:r>
      <w:r>
        <w:rPr>
          <w:spacing w:val="-5"/>
          <w:sz w:val="18"/>
          <w:szCs w:val="18"/>
          <w:lang w:val="es-ES_tradnl"/>
        </w:rPr>
        <w:t xml:space="preserve">de la Carta </w:t>
      </w:r>
      <w:r>
        <w:rPr>
          <w:spacing w:val="-8"/>
          <w:sz w:val="18"/>
          <w:szCs w:val="18"/>
          <w:lang w:val="es-ES_tradnl"/>
        </w:rPr>
        <w:t>Suprema, el mismo que se</w:t>
      </w:r>
      <w:r>
        <w:rPr>
          <w:rFonts w:cs="Times New Roman"/>
          <w:spacing w:val="-8"/>
          <w:sz w:val="18"/>
          <w:szCs w:val="18"/>
          <w:lang w:val="es-ES_tradnl"/>
        </w:rPr>
        <w:t>ñ</w:t>
      </w:r>
      <w:r>
        <w:rPr>
          <w:spacing w:val="-8"/>
          <w:sz w:val="18"/>
          <w:szCs w:val="18"/>
          <w:lang w:val="es-ES_tradnl"/>
        </w:rPr>
        <w:t>ala de forma textual:</w:t>
      </w:r>
    </w:p>
    <w:p w14:paraId="4F67B013" w14:textId="77777777" w:rsidR="00591D54" w:rsidRDefault="00591D54">
      <w:pPr>
        <w:shd w:val="clear" w:color="auto" w:fill="FFFFFF"/>
        <w:spacing w:before="211" w:line="221" w:lineRule="exact"/>
        <w:ind w:left="283"/>
      </w:pPr>
      <w:r>
        <w:rPr>
          <w:sz w:val="14"/>
          <w:szCs w:val="14"/>
          <w:lang w:val="es-ES_tradnl"/>
        </w:rPr>
        <w:t>Art. 76.- En todo proceso en el que se determinen derechos</w:t>
      </w:r>
    </w:p>
    <w:p w14:paraId="4F67B014" w14:textId="77777777" w:rsidR="00591D54" w:rsidRDefault="00591D54">
      <w:pPr>
        <w:shd w:val="clear" w:color="auto" w:fill="FFFFFF"/>
        <w:spacing w:line="221" w:lineRule="exact"/>
        <w:ind w:left="283"/>
      </w:pPr>
      <w:r>
        <w:rPr>
          <w:sz w:val="14"/>
          <w:szCs w:val="14"/>
          <w:lang w:val="es-ES_tradnl"/>
        </w:rPr>
        <w:t>y obligaciones de cualquier orden, se asegurar</w:t>
      </w:r>
      <w:r>
        <w:rPr>
          <w:rFonts w:cs="Times New Roman"/>
          <w:sz w:val="14"/>
          <w:szCs w:val="14"/>
          <w:lang w:val="es-ES_tradnl"/>
        </w:rPr>
        <w:t>á</w:t>
      </w:r>
      <w:r>
        <w:rPr>
          <w:sz w:val="14"/>
          <w:szCs w:val="14"/>
          <w:lang w:val="es-ES_tradnl"/>
        </w:rPr>
        <w:t xml:space="preserve"> el derecho al</w:t>
      </w:r>
    </w:p>
    <w:p w14:paraId="4F67B015" w14:textId="77777777" w:rsidR="00591D54" w:rsidRDefault="00591D54">
      <w:pPr>
        <w:shd w:val="clear" w:color="auto" w:fill="FFFFFF"/>
        <w:spacing w:line="221" w:lineRule="exact"/>
        <w:ind w:left="283"/>
      </w:pPr>
      <w:r>
        <w:rPr>
          <w:sz w:val="14"/>
          <w:szCs w:val="14"/>
          <w:lang w:val="es-ES_tradnl"/>
        </w:rPr>
        <w:t>debido proceso que incluir</w:t>
      </w:r>
      <w:r>
        <w:rPr>
          <w:rFonts w:cs="Times New Roman"/>
          <w:sz w:val="14"/>
          <w:szCs w:val="14"/>
          <w:lang w:val="es-ES_tradnl"/>
        </w:rPr>
        <w:t>á</w:t>
      </w:r>
      <w:r>
        <w:rPr>
          <w:sz w:val="14"/>
          <w:szCs w:val="14"/>
          <w:lang w:val="es-ES_tradnl"/>
        </w:rPr>
        <w:t xml:space="preserve"> las siguientes garant</w:t>
      </w:r>
      <w:r>
        <w:rPr>
          <w:rFonts w:cs="Times New Roman"/>
          <w:sz w:val="14"/>
          <w:szCs w:val="14"/>
          <w:lang w:val="es-ES_tradnl"/>
        </w:rPr>
        <w:t>í</w:t>
      </w:r>
      <w:r>
        <w:rPr>
          <w:sz w:val="14"/>
          <w:szCs w:val="14"/>
          <w:lang w:val="es-ES_tradnl"/>
        </w:rPr>
        <w:t>as b</w:t>
      </w:r>
      <w:r>
        <w:rPr>
          <w:rFonts w:cs="Times New Roman"/>
          <w:sz w:val="14"/>
          <w:szCs w:val="14"/>
          <w:lang w:val="es-ES_tradnl"/>
        </w:rPr>
        <w:t>á</w:t>
      </w:r>
      <w:r>
        <w:rPr>
          <w:sz w:val="14"/>
          <w:szCs w:val="14"/>
          <w:lang w:val="es-ES_tradnl"/>
        </w:rPr>
        <w:t>sicas:</w:t>
      </w:r>
    </w:p>
    <w:p w14:paraId="4F67B016" w14:textId="77777777" w:rsidR="00591D54" w:rsidRDefault="00591D54">
      <w:pPr>
        <w:shd w:val="clear" w:color="auto" w:fill="FFFFFF"/>
        <w:spacing w:line="221" w:lineRule="exact"/>
        <w:ind w:left="283"/>
      </w:pPr>
      <w:r>
        <w:rPr>
          <w:spacing w:val="-1"/>
          <w:sz w:val="14"/>
          <w:szCs w:val="14"/>
          <w:lang w:val="es-ES_tradnl"/>
        </w:rPr>
        <w:t>7. El derecho de las personas a la defensa incluir</w:t>
      </w:r>
      <w:r>
        <w:rPr>
          <w:rFonts w:cs="Times New Roman"/>
          <w:spacing w:val="-1"/>
          <w:sz w:val="14"/>
          <w:szCs w:val="14"/>
          <w:lang w:val="es-ES_tradnl"/>
        </w:rPr>
        <w:t>á</w:t>
      </w:r>
      <w:r>
        <w:rPr>
          <w:spacing w:val="-1"/>
          <w:sz w:val="14"/>
          <w:szCs w:val="14"/>
          <w:lang w:val="es-ES_tradnl"/>
        </w:rPr>
        <w:t xml:space="preserve"> las siguientes</w:t>
      </w:r>
    </w:p>
    <w:p w14:paraId="4F67B017" w14:textId="77777777" w:rsidR="00591D54" w:rsidRDefault="00591D54">
      <w:pPr>
        <w:shd w:val="clear" w:color="auto" w:fill="FFFFFF"/>
        <w:spacing w:line="221" w:lineRule="exact"/>
        <w:ind w:left="283"/>
      </w:pPr>
      <w:r>
        <w:rPr>
          <w:sz w:val="14"/>
          <w:szCs w:val="14"/>
          <w:lang w:val="es-ES_tradnl"/>
        </w:rPr>
        <w:t>garant</w:t>
      </w:r>
      <w:r>
        <w:rPr>
          <w:rFonts w:cs="Times New Roman"/>
          <w:sz w:val="14"/>
          <w:szCs w:val="14"/>
          <w:lang w:val="es-ES_tradnl"/>
        </w:rPr>
        <w:t>í</w:t>
      </w:r>
      <w:r>
        <w:rPr>
          <w:sz w:val="14"/>
          <w:szCs w:val="14"/>
          <w:lang w:val="es-ES_tradnl"/>
        </w:rPr>
        <w:t>as:</w:t>
      </w:r>
    </w:p>
    <w:p w14:paraId="4F67B018" w14:textId="77777777" w:rsidR="00591D54" w:rsidRDefault="00591D54">
      <w:pPr>
        <w:shd w:val="clear" w:color="auto" w:fill="FFFFFF"/>
        <w:spacing w:line="221" w:lineRule="exact"/>
        <w:ind w:left="283"/>
      </w:pPr>
      <w:r>
        <w:rPr>
          <w:sz w:val="14"/>
          <w:szCs w:val="14"/>
          <w:lang w:val="es-ES_tradnl"/>
        </w:rPr>
        <w:t>m) Recurrir el fallo o resoluci</w:t>
      </w:r>
      <w:r>
        <w:rPr>
          <w:rFonts w:cs="Times New Roman"/>
          <w:sz w:val="14"/>
          <w:szCs w:val="14"/>
          <w:lang w:val="es-ES_tradnl"/>
        </w:rPr>
        <w:t>ó</w:t>
      </w:r>
      <w:r>
        <w:rPr>
          <w:sz w:val="14"/>
          <w:szCs w:val="14"/>
          <w:lang w:val="es-ES_tradnl"/>
        </w:rPr>
        <w:t>n en todos los procedimientos</w:t>
      </w:r>
    </w:p>
    <w:p w14:paraId="4F67B019" w14:textId="77777777" w:rsidR="00591D54" w:rsidRDefault="00591D54">
      <w:pPr>
        <w:shd w:val="clear" w:color="auto" w:fill="FFFFFF"/>
        <w:spacing w:line="221" w:lineRule="exact"/>
        <w:ind w:left="283"/>
      </w:pPr>
      <w:r>
        <w:rPr>
          <w:sz w:val="14"/>
          <w:szCs w:val="14"/>
          <w:lang w:val="es-ES_tradnl"/>
        </w:rPr>
        <w:t>en los que se decida sobre sus derechos.</w:t>
      </w:r>
    </w:p>
    <w:p w14:paraId="4F67B01A" w14:textId="77777777" w:rsidR="00591D54" w:rsidRDefault="00591D54">
      <w:pPr>
        <w:shd w:val="clear" w:color="auto" w:fill="FFFFFF"/>
        <w:spacing w:before="211" w:line="221" w:lineRule="exact"/>
        <w:jc w:val="both"/>
      </w:pPr>
      <w:r>
        <w:rPr>
          <w:spacing w:val="-7"/>
          <w:sz w:val="18"/>
          <w:szCs w:val="18"/>
          <w:lang w:val="es-ES_tradnl"/>
        </w:rPr>
        <w:t>El derecho a recurrir es una de las garant</w:t>
      </w:r>
      <w:r>
        <w:rPr>
          <w:rFonts w:cs="Times New Roman"/>
          <w:spacing w:val="-7"/>
          <w:sz w:val="18"/>
          <w:szCs w:val="18"/>
          <w:lang w:val="es-ES_tradnl"/>
        </w:rPr>
        <w:t>í</w:t>
      </w:r>
      <w:r>
        <w:rPr>
          <w:spacing w:val="-7"/>
          <w:sz w:val="18"/>
          <w:szCs w:val="18"/>
          <w:lang w:val="es-ES_tradnl"/>
        </w:rPr>
        <w:t xml:space="preserve">as del debido </w:t>
      </w:r>
      <w:r>
        <w:rPr>
          <w:spacing w:val="-9"/>
          <w:sz w:val="18"/>
          <w:szCs w:val="18"/>
          <w:lang w:val="es-ES_tradnl"/>
        </w:rPr>
        <w:t>proceso, y m</w:t>
      </w:r>
      <w:r>
        <w:rPr>
          <w:rFonts w:cs="Times New Roman"/>
          <w:spacing w:val="-9"/>
          <w:sz w:val="18"/>
          <w:szCs w:val="18"/>
          <w:lang w:val="es-ES_tradnl"/>
        </w:rPr>
        <w:t>á</w:t>
      </w:r>
      <w:r>
        <w:rPr>
          <w:spacing w:val="-9"/>
          <w:sz w:val="18"/>
          <w:szCs w:val="18"/>
          <w:lang w:val="es-ES_tradnl"/>
        </w:rPr>
        <w:t>s espec</w:t>
      </w:r>
      <w:r>
        <w:rPr>
          <w:rFonts w:cs="Times New Roman"/>
          <w:spacing w:val="-9"/>
          <w:sz w:val="18"/>
          <w:szCs w:val="18"/>
          <w:lang w:val="es-ES_tradnl"/>
        </w:rPr>
        <w:t>í</w:t>
      </w:r>
      <w:r>
        <w:rPr>
          <w:spacing w:val="-9"/>
          <w:sz w:val="18"/>
          <w:szCs w:val="18"/>
          <w:lang w:val="es-ES_tradnl"/>
        </w:rPr>
        <w:t xml:space="preserve">ficamente del derecho a la defensa, </w:t>
      </w:r>
      <w:r>
        <w:rPr>
          <w:spacing w:val="-8"/>
          <w:sz w:val="18"/>
          <w:szCs w:val="18"/>
          <w:lang w:val="es-ES_tradnl"/>
        </w:rPr>
        <w:t xml:space="preserve">entendido como la oportunidad reconocida a toda persona, </w:t>
      </w:r>
      <w:r>
        <w:rPr>
          <w:spacing w:val="-6"/>
          <w:sz w:val="18"/>
          <w:szCs w:val="18"/>
          <w:lang w:val="es-ES_tradnl"/>
        </w:rPr>
        <w:t xml:space="preserve">en el </w:t>
      </w:r>
      <w:r>
        <w:rPr>
          <w:rFonts w:cs="Times New Roman"/>
          <w:spacing w:val="-6"/>
          <w:sz w:val="18"/>
          <w:szCs w:val="18"/>
          <w:lang w:val="es-ES_tradnl"/>
        </w:rPr>
        <w:t>á</w:t>
      </w:r>
      <w:r>
        <w:rPr>
          <w:spacing w:val="-6"/>
          <w:sz w:val="18"/>
          <w:szCs w:val="18"/>
          <w:lang w:val="es-ES_tradnl"/>
        </w:rPr>
        <w:t>mbito de cualquier proceso o actuaci</w:t>
      </w:r>
      <w:r>
        <w:rPr>
          <w:rFonts w:cs="Times New Roman"/>
          <w:spacing w:val="-6"/>
          <w:sz w:val="18"/>
          <w:szCs w:val="18"/>
          <w:lang w:val="es-ES_tradnl"/>
        </w:rPr>
        <w:t>ó</w:t>
      </w:r>
      <w:r>
        <w:rPr>
          <w:spacing w:val="-6"/>
          <w:sz w:val="18"/>
          <w:szCs w:val="18"/>
          <w:lang w:val="es-ES_tradnl"/>
        </w:rPr>
        <w:t xml:space="preserve">n judicial o </w:t>
      </w:r>
      <w:r>
        <w:rPr>
          <w:spacing w:val="-4"/>
          <w:sz w:val="18"/>
          <w:szCs w:val="18"/>
          <w:lang w:val="es-ES_tradnl"/>
        </w:rPr>
        <w:t>administrativa, de ser o</w:t>
      </w:r>
      <w:r>
        <w:rPr>
          <w:rFonts w:cs="Times New Roman"/>
          <w:spacing w:val="-4"/>
          <w:sz w:val="18"/>
          <w:szCs w:val="18"/>
          <w:lang w:val="es-ES_tradnl"/>
        </w:rPr>
        <w:t>í</w:t>
      </w:r>
      <w:r>
        <w:rPr>
          <w:spacing w:val="-4"/>
          <w:sz w:val="18"/>
          <w:szCs w:val="18"/>
          <w:lang w:val="es-ES_tradnl"/>
        </w:rPr>
        <w:t xml:space="preserve">da, de hacer valer las propias </w:t>
      </w:r>
      <w:r>
        <w:rPr>
          <w:spacing w:val="-9"/>
          <w:sz w:val="18"/>
          <w:szCs w:val="18"/>
          <w:lang w:val="es-ES_tradnl"/>
        </w:rPr>
        <w:t xml:space="preserve">razones y argumentos, de controvertir, contradecir y objetar </w:t>
      </w:r>
      <w:r>
        <w:rPr>
          <w:spacing w:val="-7"/>
          <w:sz w:val="18"/>
          <w:szCs w:val="18"/>
          <w:lang w:val="es-ES_tradnl"/>
        </w:rPr>
        <w:t>las pruebas en contra y de solicitar la pr</w:t>
      </w:r>
      <w:r>
        <w:rPr>
          <w:rFonts w:cs="Times New Roman"/>
          <w:spacing w:val="-7"/>
          <w:sz w:val="18"/>
          <w:szCs w:val="18"/>
          <w:lang w:val="es-ES_tradnl"/>
        </w:rPr>
        <w:t>á</w:t>
      </w:r>
      <w:r>
        <w:rPr>
          <w:spacing w:val="-7"/>
          <w:sz w:val="18"/>
          <w:szCs w:val="18"/>
          <w:lang w:val="es-ES_tradnl"/>
        </w:rPr>
        <w:t>ctica y evaluaci</w:t>
      </w:r>
      <w:r>
        <w:rPr>
          <w:rFonts w:cs="Times New Roman"/>
          <w:spacing w:val="-7"/>
          <w:sz w:val="18"/>
          <w:szCs w:val="18"/>
          <w:lang w:val="es-ES_tradnl"/>
        </w:rPr>
        <w:t>ó</w:t>
      </w:r>
      <w:r>
        <w:rPr>
          <w:spacing w:val="-7"/>
          <w:sz w:val="18"/>
          <w:szCs w:val="18"/>
          <w:lang w:val="es-ES_tradnl"/>
        </w:rPr>
        <w:t xml:space="preserve">n </w:t>
      </w:r>
      <w:r>
        <w:rPr>
          <w:spacing w:val="-8"/>
          <w:sz w:val="18"/>
          <w:szCs w:val="18"/>
          <w:lang w:val="es-ES_tradnl"/>
        </w:rPr>
        <w:t>de las que se estiman favorables, as</w:t>
      </w:r>
      <w:r>
        <w:rPr>
          <w:rFonts w:cs="Times New Roman"/>
          <w:spacing w:val="-8"/>
          <w:sz w:val="18"/>
          <w:szCs w:val="18"/>
          <w:lang w:val="es-ES_tradnl"/>
        </w:rPr>
        <w:t>í</w:t>
      </w:r>
      <w:r>
        <w:rPr>
          <w:spacing w:val="-8"/>
          <w:sz w:val="18"/>
          <w:szCs w:val="18"/>
          <w:lang w:val="es-ES_tradnl"/>
        </w:rPr>
        <w:t xml:space="preserve"> como de ejercitar las </w:t>
      </w:r>
      <w:r>
        <w:rPr>
          <w:spacing w:val="-7"/>
          <w:sz w:val="18"/>
          <w:szCs w:val="18"/>
          <w:lang w:val="es-ES_tradnl"/>
        </w:rPr>
        <w:t>facultades que la Constituci</w:t>
      </w:r>
      <w:r>
        <w:rPr>
          <w:rFonts w:cs="Times New Roman"/>
          <w:spacing w:val="-7"/>
          <w:sz w:val="18"/>
          <w:szCs w:val="18"/>
          <w:lang w:val="es-ES_tradnl"/>
        </w:rPr>
        <w:t>ó</w:t>
      </w:r>
      <w:r>
        <w:rPr>
          <w:spacing w:val="-7"/>
          <w:sz w:val="18"/>
          <w:szCs w:val="18"/>
          <w:lang w:val="es-ES_tradnl"/>
        </w:rPr>
        <w:t>n y la ley otorgan</w:t>
      </w:r>
      <w:r>
        <w:rPr>
          <w:spacing w:val="-7"/>
          <w:sz w:val="18"/>
          <w:szCs w:val="18"/>
          <w:vertAlign w:val="superscript"/>
          <w:lang w:val="es-ES_tradnl"/>
        </w:rPr>
        <w:t>3</w:t>
      </w:r>
      <w:r>
        <w:rPr>
          <w:spacing w:val="-7"/>
          <w:sz w:val="18"/>
          <w:szCs w:val="18"/>
          <w:lang w:val="es-ES_tradnl"/>
        </w:rPr>
        <w:t>.</w:t>
      </w:r>
    </w:p>
    <w:p w14:paraId="4F67B01B" w14:textId="77777777" w:rsidR="00591D54" w:rsidRDefault="00591D54">
      <w:pPr>
        <w:shd w:val="clear" w:color="auto" w:fill="FFFFFF"/>
        <w:spacing w:before="202" w:line="226" w:lineRule="exact"/>
        <w:jc w:val="both"/>
      </w:pPr>
      <w:r>
        <w:rPr>
          <w:spacing w:val="-10"/>
          <w:sz w:val="18"/>
          <w:szCs w:val="18"/>
          <w:lang w:val="es-ES_tradnl"/>
        </w:rPr>
        <w:t>En tal sentido, el derecho a recurrir, seg</w:t>
      </w:r>
      <w:r>
        <w:rPr>
          <w:rFonts w:cs="Times New Roman"/>
          <w:spacing w:val="-10"/>
          <w:sz w:val="18"/>
          <w:szCs w:val="18"/>
          <w:lang w:val="es-ES_tradnl"/>
        </w:rPr>
        <w:t>ú</w:t>
      </w:r>
      <w:r>
        <w:rPr>
          <w:spacing w:val="-10"/>
          <w:sz w:val="18"/>
          <w:szCs w:val="18"/>
          <w:lang w:val="es-ES_tradnl"/>
        </w:rPr>
        <w:t xml:space="preserve">n lo ha interpretado </w:t>
      </w:r>
      <w:r>
        <w:rPr>
          <w:spacing w:val="-9"/>
          <w:sz w:val="18"/>
          <w:szCs w:val="18"/>
          <w:lang w:val="es-ES_tradnl"/>
        </w:rPr>
        <w:t>esta Corte dentro de su sentencia N.</w:t>
      </w:r>
      <w:r>
        <w:rPr>
          <w:rFonts w:cs="Times New Roman"/>
          <w:spacing w:val="-9"/>
          <w:sz w:val="18"/>
          <w:szCs w:val="18"/>
          <w:lang w:val="es-ES_tradnl"/>
        </w:rPr>
        <w:t>º</w:t>
      </w:r>
      <w:r>
        <w:rPr>
          <w:spacing w:val="-9"/>
          <w:sz w:val="18"/>
          <w:szCs w:val="18"/>
          <w:lang w:val="es-ES_tradnl"/>
        </w:rPr>
        <w:t xml:space="preserve"> 045-15-SEP-CC:</w:t>
      </w:r>
    </w:p>
    <w:p w14:paraId="4F67B01C" w14:textId="77777777" w:rsidR="00591D54" w:rsidRDefault="00591D54">
      <w:pPr>
        <w:shd w:val="clear" w:color="auto" w:fill="FFFFFF"/>
        <w:spacing w:before="509"/>
      </w:pPr>
      <w:r>
        <w:rPr>
          <w:sz w:val="14"/>
          <w:szCs w:val="14"/>
          <w:vertAlign w:val="superscript"/>
          <w:lang w:val="es-ES_tradnl"/>
        </w:rPr>
        <w:t>3</w:t>
      </w:r>
      <w:r>
        <w:rPr>
          <w:sz w:val="14"/>
          <w:szCs w:val="14"/>
          <w:lang w:val="es-ES_tradnl"/>
        </w:rPr>
        <w:t xml:space="preserve">  </w:t>
      </w:r>
      <w:r>
        <w:rPr>
          <w:spacing w:val="-1"/>
          <w:sz w:val="14"/>
          <w:szCs w:val="14"/>
          <w:lang w:val="es-ES_tradnl"/>
        </w:rPr>
        <w:t>Corte Constitucional del Ecuador, sentencia N.</w:t>
      </w:r>
      <w:r>
        <w:rPr>
          <w:rFonts w:cs="Times New Roman"/>
          <w:spacing w:val="-1"/>
          <w:sz w:val="14"/>
          <w:szCs w:val="14"/>
          <w:lang w:val="es-ES_tradnl"/>
        </w:rPr>
        <w:t>º</w:t>
      </w:r>
      <w:r>
        <w:rPr>
          <w:spacing w:val="-1"/>
          <w:sz w:val="14"/>
          <w:szCs w:val="14"/>
          <w:lang w:val="es-ES_tradnl"/>
        </w:rPr>
        <w:t xml:space="preserve"> 008-13-SCN-CC.</w:t>
      </w:r>
    </w:p>
    <w:p w14:paraId="4F67B01D" w14:textId="77777777" w:rsidR="00591D54" w:rsidRDefault="00591D54">
      <w:pPr>
        <w:shd w:val="clear" w:color="auto" w:fill="FFFFFF"/>
        <w:spacing w:before="509"/>
        <w:sectPr w:rsidR="00591D54">
          <w:type w:val="continuous"/>
          <w:pgSz w:w="11909" w:h="16834"/>
          <w:pgMar w:top="1356" w:right="1309" w:bottom="360" w:left="1308" w:header="720" w:footer="720" w:gutter="0"/>
          <w:cols w:num="2" w:space="720" w:equalWidth="0">
            <w:col w:w="4305" w:space="682"/>
            <w:col w:w="4305"/>
          </w:cols>
          <w:noEndnote/>
        </w:sectPr>
      </w:pPr>
    </w:p>
    <w:p w14:paraId="4F67B01E" w14:textId="77777777" w:rsidR="00591D54" w:rsidRDefault="00591D54">
      <w:pPr>
        <w:shd w:val="clear" w:color="auto" w:fill="FFFFFF"/>
        <w:tabs>
          <w:tab w:val="left" w:pos="4814"/>
        </w:tabs>
        <w:spacing w:after="230"/>
        <w:ind w:left="14"/>
      </w:pPr>
      <w:r>
        <w:rPr>
          <w:b/>
          <w:bCs/>
          <w:sz w:val="18"/>
          <w:szCs w:val="18"/>
          <w:lang w:val="es-ES_tradnl"/>
        </w:rPr>
        <w:t xml:space="preserve">154 -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01F" w14:textId="77777777" w:rsidR="00591D54" w:rsidRDefault="00591D54">
      <w:pPr>
        <w:shd w:val="clear" w:color="auto" w:fill="FFFFFF"/>
        <w:tabs>
          <w:tab w:val="left" w:pos="4814"/>
        </w:tabs>
        <w:spacing w:after="230"/>
        <w:ind w:left="14"/>
        <w:sectPr w:rsidR="00591D54">
          <w:pgSz w:w="11909" w:h="16834"/>
          <w:pgMar w:top="1356" w:right="1309" w:bottom="360" w:left="1308" w:header="720" w:footer="720" w:gutter="0"/>
          <w:cols w:space="60"/>
          <w:noEndnote/>
        </w:sectPr>
      </w:pPr>
    </w:p>
    <w:p w14:paraId="4F67B020" w14:textId="77777777" w:rsidR="00591D54" w:rsidRDefault="00591D54">
      <w:pPr>
        <w:shd w:val="clear" w:color="auto" w:fill="FFFFFF"/>
        <w:spacing w:line="216" w:lineRule="exact"/>
        <w:ind w:left="283"/>
        <w:jc w:val="both"/>
      </w:pPr>
      <w:r>
        <w:rPr>
          <w:spacing w:val="-6"/>
          <w:sz w:val="16"/>
          <w:szCs w:val="16"/>
          <w:lang w:val="es-ES_tradnl"/>
        </w:rPr>
        <w:t xml:space="preserve">Se ha incorporado dentro de los textos constitucionales para </w:t>
      </w:r>
      <w:r>
        <w:rPr>
          <w:spacing w:val="-7"/>
          <w:sz w:val="16"/>
          <w:szCs w:val="16"/>
          <w:lang w:val="es-ES_tradnl"/>
        </w:rPr>
        <w:t xml:space="preserve">limitar el poder que asume el juez dentro de una determinada </w:t>
      </w:r>
      <w:r>
        <w:rPr>
          <w:spacing w:val="-10"/>
          <w:sz w:val="16"/>
          <w:szCs w:val="16"/>
          <w:lang w:val="es-ES_tradnl"/>
        </w:rPr>
        <w:t xml:space="preserve">causa, puesto que aquel es susceptible de cometer errores, ante </w:t>
      </w:r>
      <w:r>
        <w:rPr>
          <w:spacing w:val="-6"/>
          <w:sz w:val="16"/>
          <w:szCs w:val="16"/>
          <w:lang w:val="es-ES_tradnl"/>
        </w:rPr>
        <w:t>lo cual, se garantiza que un juez o tribunal superior determine si la actuaci</w:t>
      </w:r>
      <w:r>
        <w:rPr>
          <w:rFonts w:cs="Times New Roman"/>
          <w:spacing w:val="-6"/>
          <w:sz w:val="16"/>
          <w:szCs w:val="16"/>
          <w:lang w:val="es-ES_tradnl"/>
        </w:rPr>
        <w:t>ó</w:t>
      </w:r>
      <w:r>
        <w:rPr>
          <w:spacing w:val="-6"/>
          <w:sz w:val="16"/>
          <w:szCs w:val="16"/>
          <w:lang w:val="es-ES_tradnl"/>
        </w:rPr>
        <w:t xml:space="preserve">n del juez de primera instancia es acorde con la </w:t>
      </w:r>
      <w:r>
        <w:rPr>
          <w:sz w:val="16"/>
          <w:szCs w:val="16"/>
          <w:lang w:val="es-ES_tradnl"/>
        </w:rPr>
        <w:t>Constituci</w:t>
      </w:r>
      <w:r>
        <w:rPr>
          <w:rFonts w:cs="Times New Roman"/>
          <w:sz w:val="16"/>
          <w:szCs w:val="16"/>
          <w:lang w:val="es-ES_tradnl"/>
        </w:rPr>
        <w:t>ó</w:t>
      </w:r>
      <w:r>
        <w:rPr>
          <w:sz w:val="16"/>
          <w:szCs w:val="16"/>
          <w:lang w:val="es-ES_tradnl"/>
        </w:rPr>
        <w:t>n y las leyes.</w:t>
      </w:r>
    </w:p>
    <w:p w14:paraId="4F67B021" w14:textId="77777777" w:rsidR="00591D54" w:rsidRDefault="00591D54">
      <w:pPr>
        <w:shd w:val="clear" w:color="auto" w:fill="FFFFFF"/>
        <w:spacing w:before="202" w:line="216" w:lineRule="exact"/>
        <w:ind w:right="5"/>
        <w:jc w:val="both"/>
      </w:pPr>
      <w:r>
        <w:rPr>
          <w:spacing w:val="-11"/>
          <w:sz w:val="18"/>
          <w:szCs w:val="18"/>
          <w:lang w:val="es-ES_tradnl"/>
        </w:rPr>
        <w:t xml:space="preserve">Sin embargo, es preciso puntualizar que el derecho a recurrir, </w:t>
      </w:r>
      <w:r>
        <w:rPr>
          <w:spacing w:val="-8"/>
          <w:sz w:val="18"/>
          <w:szCs w:val="18"/>
          <w:lang w:val="es-ES_tradnl"/>
        </w:rPr>
        <w:t>al igual que todos los dem</w:t>
      </w:r>
      <w:r>
        <w:rPr>
          <w:rFonts w:cs="Times New Roman"/>
          <w:spacing w:val="-8"/>
          <w:sz w:val="18"/>
          <w:szCs w:val="18"/>
          <w:lang w:val="es-ES_tradnl"/>
        </w:rPr>
        <w:t>á</w:t>
      </w:r>
      <w:r>
        <w:rPr>
          <w:spacing w:val="-8"/>
          <w:sz w:val="18"/>
          <w:szCs w:val="18"/>
          <w:lang w:val="es-ES_tradnl"/>
        </w:rPr>
        <w:t xml:space="preserve">s derechos constitucionales, no </w:t>
      </w:r>
      <w:r>
        <w:rPr>
          <w:spacing w:val="-7"/>
          <w:sz w:val="18"/>
          <w:szCs w:val="18"/>
          <w:lang w:val="es-ES_tradnl"/>
        </w:rPr>
        <w:t>tiene car</w:t>
      </w:r>
      <w:r>
        <w:rPr>
          <w:rFonts w:cs="Times New Roman"/>
          <w:spacing w:val="-7"/>
          <w:sz w:val="18"/>
          <w:szCs w:val="18"/>
          <w:lang w:val="es-ES_tradnl"/>
        </w:rPr>
        <w:t>á</w:t>
      </w:r>
      <w:r>
        <w:rPr>
          <w:spacing w:val="-7"/>
          <w:sz w:val="18"/>
          <w:szCs w:val="18"/>
          <w:lang w:val="es-ES_tradnl"/>
        </w:rPr>
        <w:t>cter absoluto, y su ejercicio se halla sujeto a las limitaciones establecidas tanto en la Constituci</w:t>
      </w:r>
      <w:r>
        <w:rPr>
          <w:rFonts w:cs="Times New Roman"/>
          <w:spacing w:val="-7"/>
          <w:sz w:val="18"/>
          <w:szCs w:val="18"/>
          <w:lang w:val="es-ES_tradnl"/>
        </w:rPr>
        <w:t>ó</w:t>
      </w:r>
      <w:r>
        <w:rPr>
          <w:spacing w:val="-7"/>
          <w:sz w:val="18"/>
          <w:szCs w:val="18"/>
          <w:lang w:val="es-ES_tradnl"/>
        </w:rPr>
        <w:t xml:space="preserve">n como en </w:t>
      </w:r>
      <w:r>
        <w:rPr>
          <w:sz w:val="18"/>
          <w:szCs w:val="18"/>
          <w:lang w:val="es-ES_tradnl"/>
        </w:rPr>
        <w:t>la ley.</w:t>
      </w:r>
    </w:p>
    <w:p w14:paraId="4F67B022" w14:textId="77777777" w:rsidR="00591D54" w:rsidRDefault="00591D54">
      <w:pPr>
        <w:shd w:val="clear" w:color="auto" w:fill="FFFFFF"/>
        <w:spacing w:before="197" w:line="216" w:lineRule="exact"/>
        <w:ind w:right="5"/>
        <w:jc w:val="both"/>
      </w:pPr>
      <w:r>
        <w:rPr>
          <w:spacing w:val="-8"/>
          <w:sz w:val="18"/>
          <w:szCs w:val="18"/>
          <w:lang w:val="es-ES_tradnl"/>
        </w:rPr>
        <w:t xml:space="preserve">En este sentido, siempre que responda a la necesidad de </w:t>
      </w:r>
      <w:r>
        <w:rPr>
          <w:spacing w:val="-3"/>
          <w:sz w:val="18"/>
          <w:szCs w:val="18"/>
          <w:lang w:val="es-ES_tradnl"/>
        </w:rPr>
        <w:t>garantizar los derechos constitucionales y no se afecte su n</w:t>
      </w:r>
      <w:r>
        <w:rPr>
          <w:rFonts w:cs="Times New Roman"/>
          <w:spacing w:val="-3"/>
          <w:sz w:val="18"/>
          <w:szCs w:val="18"/>
          <w:lang w:val="es-ES_tradnl"/>
        </w:rPr>
        <w:t>ú</w:t>
      </w:r>
      <w:r>
        <w:rPr>
          <w:spacing w:val="-3"/>
          <w:sz w:val="18"/>
          <w:szCs w:val="18"/>
          <w:lang w:val="es-ES_tradnl"/>
        </w:rPr>
        <w:t xml:space="preserve">cleo esencial, el ejercicio del derecho a impugnar </w:t>
      </w:r>
      <w:r>
        <w:rPr>
          <w:spacing w:val="-6"/>
          <w:sz w:val="18"/>
          <w:szCs w:val="18"/>
          <w:lang w:val="es-ES_tradnl"/>
        </w:rPr>
        <w:t xml:space="preserve">es susceptible de ser delimitado. Una de las restricciones </w:t>
      </w:r>
      <w:r>
        <w:rPr>
          <w:spacing w:val="-7"/>
          <w:sz w:val="18"/>
          <w:szCs w:val="18"/>
          <w:lang w:val="es-ES_tradnl"/>
        </w:rPr>
        <w:t xml:space="preserve">al derecho a recurrir viene dada por la naturaleza de los </w:t>
      </w:r>
      <w:r>
        <w:rPr>
          <w:spacing w:val="-9"/>
          <w:sz w:val="18"/>
          <w:szCs w:val="18"/>
          <w:lang w:val="es-ES_tradnl"/>
        </w:rPr>
        <w:t>diferentes procesos, como tambi</w:t>
      </w:r>
      <w:r>
        <w:rPr>
          <w:rFonts w:cs="Times New Roman"/>
          <w:spacing w:val="-9"/>
          <w:sz w:val="18"/>
          <w:szCs w:val="18"/>
          <w:lang w:val="es-ES_tradnl"/>
        </w:rPr>
        <w:t>é</w:t>
      </w:r>
      <w:r>
        <w:rPr>
          <w:spacing w:val="-9"/>
          <w:sz w:val="18"/>
          <w:szCs w:val="18"/>
          <w:lang w:val="es-ES_tradnl"/>
        </w:rPr>
        <w:t xml:space="preserve">n por la propia naturaleza </w:t>
      </w:r>
      <w:r>
        <w:rPr>
          <w:spacing w:val="-8"/>
          <w:sz w:val="18"/>
          <w:szCs w:val="18"/>
          <w:lang w:val="es-ES_tradnl"/>
        </w:rPr>
        <w:t>del medio de impugnaci</w:t>
      </w:r>
      <w:r>
        <w:rPr>
          <w:rFonts w:cs="Times New Roman"/>
          <w:spacing w:val="-8"/>
          <w:sz w:val="18"/>
          <w:szCs w:val="18"/>
          <w:lang w:val="es-ES_tradnl"/>
        </w:rPr>
        <w:t>ó</w:t>
      </w:r>
      <w:r>
        <w:rPr>
          <w:spacing w:val="-8"/>
          <w:sz w:val="18"/>
          <w:szCs w:val="18"/>
          <w:lang w:val="es-ES_tradnl"/>
        </w:rPr>
        <w:t>n que se pretende ejercitar. As</w:t>
      </w:r>
      <w:r>
        <w:rPr>
          <w:rFonts w:cs="Times New Roman"/>
          <w:spacing w:val="-8"/>
          <w:sz w:val="18"/>
          <w:szCs w:val="18"/>
          <w:lang w:val="es-ES_tradnl"/>
        </w:rPr>
        <w:t>í</w:t>
      </w:r>
      <w:r>
        <w:rPr>
          <w:spacing w:val="-8"/>
          <w:sz w:val="18"/>
          <w:szCs w:val="18"/>
          <w:lang w:val="es-ES_tradnl"/>
        </w:rPr>
        <w:t xml:space="preserve"> lo </w:t>
      </w:r>
      <w:r>
        <w:rPr>
          <w:spacing w:val="-7"/>
          <w:sz w:val="18"/>
          <w:szCs w:val="18"/>
          <w:lang w:val="es-ES_tradnl"/>
        </w:rPr>
        <w:t>ha se</w:t>
      </w:r>
      <w:r>
        <w:rPr>
          <w:rFonts w:cs="Times New Roman"/>
          <w:spacing w:val="-7"/>
          <w:sz w:val="18"/>
          <w:szCs w:val="18"/>
          <w:lang w:val="es-ES_tradnl"/>
        </w:rPr>
        <w:t>ñ</w:t>
      </w:r>
      <w:r>
        <w:rPr>
          <w:spacing w:val="-7"/>
          <w:sz w:val="18"/>
          <w:szCs w:val="18"/>
          <w:lang w:val="es-ES_tradnl"/>
        </w:rPr>
        <w:t xml:space="preserve">alado la Corte Constitucional en pronunciamientos </w:t>
      </w:r>
      <w:r>
        <w:rPr>
          <w:sz w:val="18"/>
          <w:szCs w:val="18"/>
          <w:lang w:val="es-ES_tradnl"/>
        </w:rPr>
        <w:t>anteriores:</w:t>
      </w:r>
    </w:p>
    <w:p w14:paraId="4F67B023" w14:textId="77777777" w:rsidR="00591D54" w:rsidRDefault="00591D54">
      <w:pPr>
        <w:shd w:val="clear" w:color="auto" w:fill="FFFFFF"/>
        <w:spacing w:before="206" w:line="206" w:lineRule="exact"/>
        <w:ind w:left="283" w:right="5"/>
        <w:jc w:val="both"/>
      </w:pPr>
      <w:r>
        <w:rPr>
          <w:spacing w:val="-6"/>
          <w:sz w:val="16"/>
          <w:szCs w:val="16"/>
          <w:lang w:val="es-ES_tradnl"/>
        </w:rPr>
        <w:t>(</w:t>
      </w:r>
      <w:r>
        <w:rPr>
          <w:rFonts w:cs="Times New Roman"/>
          <w:spacing w:val="-6"/>
          <w:sz w:val="16"/>
          <w:szCs w:val="16"/>
          <w:lang w:val="es-ES_tradnl"/>
        </w:rPr>
        <w:t>…</w:t>
      </w:r>
      <w:r>
        <w:rPr>
          <w:spacing w:val="-6"/>
          <w:sz w:val="16"/>
          <w:szCs w:val="16"/>
          <w:lang w:val="es-ES_tradnl"/>
        </w:rPr>
        <w:t xml:space="preserve">) no en todas circunstancias este derecho a recurrir las </w:t>
      </w:r>
      <w:r>
        <w:rPr>
          <w:spacing w:val="-4"/>
          <w:sz w:val="16"/>
          <w:szCs w:val="16"/>
          <w:lang w:val="es-ES_tradnl"/>
        </w:rPr>
        <w:t xml:space="preserve">resoluciones judiciales se aplica, sin que aquello comporte </w:t>
      </w:r>
      <w:r>
        <w:rPr>
          <w:spacing w:val="-7"/>
          <w:sz w:val="16"/>
          <w:szCs w:val="16"/>
          <w:lang w:val="es-ES_tradnl"/>
        </w:rPr>
        <w:t>una vulneraci</w:t>
      </w:r>
      <w:r>
        <w:rPr>
          <w:rFonts w:cs="Times New Roman"/>
          <w:spacing w:val="-7"/>
          <w:sz w:val="16"/>
          <w:szCs w:val="16"/>
          <w:lang w:val="es-ES_tradnl"/>
        </w:rPr>
        <w:t>ó</w:t>
      </w:r>
      <w:r>
        <w:rPr>
          <w:spacing w:val="-7"/>
          <w:sz w:val="16"/>
          <w:szCs w:val="16"/>
          <w:lang w:val="es-ES_tradnl"/>
        </w:rPr>
        <w:t xml:space="preserve">n de la normativa constitucional, ya que existen procesos que por su naturaleza excepcional ameritan una </w:t>
      </w:r>
      <w:r>
        <w:rPr>
          <w:spacing w:val="-6"/>
          <w:sz w:val="16"/>
          <w:szCs w:val="16"/>
          <w:lang w:val="es-ES_tradnl"/>
        </w:rPr>
        <w:t>tramitaci</w:t>
      </w:r>
      <w:r>
        <w:rPr>
          <w:rFonts w:cs="Times New Roman"/>
          <w:spacing w:val="-6"/>
          <w:sz w:val="16"/>
          <w:szCs w:val="16"/>
          <w:lang w:val="es-ES_tradnl"/>
        </w:rPr>
        <w:t>ó</w:t>
      </w:r>
      <w:r>
        <w:rPr>
          <w:spacing w:val="-6"/>
          <w:sz w:val="16"/>
          <w:szCs w:val="16"/>
          <w:lang w:val="es-ES_tradnl"/>
        </w:rPr>
        <w:t xml:space="preserve">n sumaria sin que medien otras instancias para su </w:t>
      </w:r>
      <w:r>
        <w:rPr>
          <w:sz w:val="16"/>
          <w:szCs w:val="16"/>
          <w:lang w:val="es-ES_tradnl"/>
        </w:rPr>
        <w:t>prosecuci</w:t>
      </w:r>
      <w:r>
        <w:rPr>
          <w:rFonts w:cs="Times New Roman"/>
          <w:sz w:val="16"/>
          <w:szCs w:val="16"/>
          <w:lang w:val="es-ES_tradnl"/>
        </w:rPr>
        <w:t>ó</w:t>
      </w:r>
      <w:r>
        <w:rPr>
          <w:sz w:val="16"/>
          <w:szCs w:val="16"/>
          <w:lang w:val="es-ES_tradnl"/>
        </w:rPr>
        <w:t>n</w:t>
      </w:r>
      <w:r>
        <w:rPr>
          <w:sz w:val="16"/>
          <w:szCs w:val="16"/>
          <w:vertAlign w:val="superscript"/>
          <w:lang w:val="es-ES_tradnl"/>
        </w:rPr>
        <w:t>4</w:t>
      </w:r>
      <w:r>
        <w:rPr>
          <w:sz w:val="16"/>
          <w:szCs w:val="16"/>
          <w:lang w:val="es-ES_tradnl"/>
        </w:rPr>
        <w:t>.</w:t>
      </w:r>
    </w:p>
    <w:p w14:paraId="4F67B024" w14:textId="77777777" w:rsidR="00591D54" w:rsidRDefault="00591D54">
      <w:pPr>
        <w:shd w:val="clear" w:color="auto" w:fill="FFFFFF"/>
        <w:spacing w:before="206" w:line="216" w:lineRule="exact"/>
        <w:ind w:left="283" w:right="5"/>
        <w:jc w:val="both"/>
      </w:pPr>
      <w:r>
        <w:rPr>
          <w:spacing w:val="-5"/>
          <w:sz w:val="16"/>
          <w:szCs w:val="16"/>
          <w:lang w:val="es-ES_tradnl"/>
        </w:rPr>
        <w:t>El concepto de recurrir se lo entiende como acudir otra vez ante un administrador de justicia distinto del anterior, con el prop</w:t>
      </w:r>
      <w:r>
        <w:rPr>
          <w:rFonts w:cs="Times New Roman"/>
          <w:spacing w:val="-5"/>
          <w:sz w:val="16"/>
          <w:szCs w:val="16"/>
          <w:lang w:val="es-ES_tradnl"/>
        </w:rPr>
        <w:t>ó</w:t>
      </w:r>
      <w:r>
        <w:rPr>
          <w:spacing w:val="-5"/>
          <w:sz w:val="16"/>
          <w:szCs w:val="16"/>
          <w:lang w:val="es-ES_tradnl"/>
        </w:rPr>
        <w:t>sito de que la decisi</w:t>
      </w:r>
      <w:r>
        <w:rPr>
          <w:rFonts w:cs="Times New Roman"/>
          <w:spacing w:val="-5"/>
          <w:sz w:val="16"/>
          <w:szCs w:val="16"/>
          <w:lang w:val="es-ES_tradnl"/>
        </w:rPr>
        <w:t>ó</w:t>
      </w:r>
      <w:r>
        <w:rPr>
          <w:spacing w:val="-5"/>
          <w:sz w:val="16"/>
          <w:szCs w:val="16"/>
          <w:lang w:val="es-ES_tradnl"/>
        </w:rPr>
        <w:t xml:space="preserve">n judicial primigenia, que ha sido </w:t>
      </w:r>
      <w:r>
        <w:rPr>
          <w:spacing w:val="-7"/>
          <w:sz w:val="16"/>
          <w:szCs w:val="16"/>
          <w:lang w:val="es-ES_tradnl"/>
        </w:rPr>
        <w:t xml:space="preserve">contraria a los intereses del vencido, pueda ser revisada en </w:t>
      </w:r>
      <w:r>
        <w:rPr>
          <w:spacing w:val="-5"/>
          <w:sz w:val="16"/>
          <w:szCs w:val="16"/>
          <w:lang w:val="es-ES_tradnl"/>
        </w:rPr>
        <w:t>funci</w:t>
      </w:r>
      <w:r>
        <w:rPr>
          <w:rFonts w:cs="Times New Roman"/>
          <w:spacing w:val="-5"/>
          <w:sz w:val="16"/>
          <w:szCs w:val="16"/>
          <w:lang w:val="es-ES_tradnl"/>
        </w:rPr>
        <w:t>ó</w:t>
      </w:r>
      <w:r>
        <w:rPr>
          <w:spacing w:val="-5"/>
          <w:sz w:val="16"/>
          <w:szCs w:val="16"/>
          <w:lang w:val="es-ES_tradnl"/>
        </w:rPr>
        <w:t xml:space="preserve">n de argumentos y requisitos especificados por la ley </w:t>
      </w:r>
      <w:r>
        <w:rPr>
          <w:spacing w:val="-8"/>
          <w:sz w:val="16"/>
          <w:szCs w:val="16"/>
          <w:lang w:val="es-ES_tradnl"/>
        </w:rPr>
        <w:t>para cada recurso; y carecer</w:t>
      </w:r>
      <w:r>
        <w:rPr>
          <w:rFonts w:cs="Times New Roman"/>
          <w:spacing w:val="-8"/>
          <w:sz w:val="16"/>
          <w:szCs w:val="16"/>
          <w:lang w:val="es-ES_tradnl"/>
        </w:rPr>
        <w:t>í</w:t>
      </w:r>
      <w:r>
        <w:rPr>
          <w:spacing w:val="-8"/>
          <w:sz w:val="16"/>
          <w:szCs w:val="16"/>
          <w:lang w:val="es-ES_tradnl"/>
        </w:rPr>
        <w:t>a de sentido que quien obtuvo lo que quer</w:t>
      </w:r>
      <w:r>
        <w:rPr>
          <w:rFonts w:cs="Times New Roman"/>
          <w:spacing w:val="-8"/>
          <w:sz w:val="16"/>
          <w:szCs w:val="16"/>
          <w:lang w:val="es-ES_tradnl"/>
        </w:rPr>
        <w:t>í</w:t>
      </w:r>
      <w:r>
        <w:rPr>
          <w:spacing w:val="-8"/>
          <w:sz w:val="16"/>
          <w:szCs w:val="16"/>
          <w:lang w:val="es-ES_tradnl"/>
        </w:rPr>
        <w:t>a de la administraci</w:t>
      </w:r>
      <w:r>
        <w:rPr>
          <w:rFonts w:cs="Times New Roman"/>
          <w:spacing w:val="-8"/>
          <w:sz w:val="16"/>
          <w:szCs w:val="16"/>
          <w:lang w:val="es-ES_tradnl"/>
        </w:rPr>
        <w:t>ó</w:t>
      </w:r>
      <w:r>
        <w:rPr>
          <w:spacing w:val="-8"/>
          <w:sz w:val="16"/>
          <w:szCs w:val="16"/>
          <w:lang w:val="es-ES_tradnl"/>
        </w:rPr>
        <w:t xml:space="preserve">n de justicia, recurra la sentencia </w:t>
      </w:r>
      <w:r>
        <w:rPr>
          <w:spacing w:val="-7"/>
          <w:sz w:val="16"/>
          <w:szCs w:val="16"/>
          <w:lang w:val="es-ES_tradnl"/>
        </w:rPr>
        <w:t xml:space="preserve">o el fallo; asimismo, </w:t>
      </w:r>
      <w:r>
        <w:rPr>
          <w:b/>
          <w:bCs/>
          <w:spacing w:val="-7"/>
          <w:sz w:val="16"/>
          <w:szCs w:val="16"/>
          <w:lang w:val="es-ES_tradnl"/>
        </w:rPr>
        <w:t xml:space="preserve">cada recurso tiene especificidades </w:t>
      </w:r>
      <w:r>
        <w:rPr>
          <w:b/>
          <w:bCs/>
          <w:spacing w:val="-10"/>
          <w:sz w:val="16"/>
          <w:szCs w:val="16"/>
          <w:lang w:val="es-ES_tradnl"/>
        </w:rPr>
        <w:t xml:space="preserve">propias que deben estar claramente contempladas en la ley </w:t>
      </w:r>
      <w:r>
        <w:rPr>
          <w:b/>
          <w:bCs/>
          <w:spacing w:val="-8"/>
          <w:sz w:val="16"/>
          <w:szCs w:val="16"/>
          <w:lang w:val="es-ES_tradnl"/>
        </w:rPr>
        <w:t>de la materia</w:t>
      </w:r>
      <w:r>
        <w:rPr>
          <w:spacing w:val="-8"/>
          <w:sz w:val="16"/>
          <w:szCs w:val="16"/>
          <w:vertAlign w:val="superscript"/>
          <w:lang w:val="es-ES_tradnl"/>
        </w:rPr>
        <w:t>5</w:t>
      </w:r>
      <w:r>
        <w:rPr>
          <w:spacing w:val="-8"/>
          <w:sz w:val="16"/>
          <w:szCs w:val="16"/>
          <w:lang w:val="es-ES_tradnl"/>
        </w:rPr>
        <w:t>. (El resaltado pertenece a esta Corte).</w:t>
      </w:r>
    </w:p>
    <w:p w14:paraId="4F67B025" w14:textId="77777777" w:rsidR="00591D54" w:rsidRDefault="00591D54">
      <w:pPr>
        <w:shd w:val="clear" w:color="auto" w:fill="FFFFFF"/>
        <w:spacing w:before="202" w:line="216" w:lineRule="exact"/>
        <w:jc w:val="both"/>
      </w:pPr>
      <w:r>
        <w:rPr>
          <w:spacing w:val="-4"/>
          <w:sz w:val="18"/>
          <w:szCs w:val="18"/>
          <w:lang w:val="es-ES_tradnl"/>
        </w:rPr>
        <w:t xml:space="preserve">Dentro del caso que nos ocupa, se debe tomar en </w:t>
      </w:r>
      <w:r>
        <w:rPr>
          <w:spacing w:val="-7"/>
          <w:sz w:val="18"/>
          <w:szCs w:val="18"/>
          <w:lang w:val="es-ES_tradnl"/>
        </w:rPr>
        <w:t>consideraci</w:t>
      </w:r>
      <w:r>
        <w:rPr>
          <w:rFonts w:cs="Times New Roman"/>
          <w:spacing w:val="-7"/>
          <w:sz w:val="18"/>
          <w:szCs w:val="18"/>
          <w:lang w:val="es-ES_tradnl"/>
        </w:rPr>
        <w:t>ó</w:t>
      </w:r>
      <w:r>
        <w:rPr>
          <w:spacing w:val="-7"/>
          <w:sz w:val="18"/>
          <w:szCs w:val="18"/>
          <w:lang w:val="es-ES_tradnl"/>
        </w:rPr>
        <w:t>n que el juez neg</w:t>
      </w:r>
      <w:r>
        <w:rPr>
          <w:rFonts w:cs="Times New Roman"/>
          <w:spacing w:val="-7"/>
          <w:sz w:val="18"/>
          <w:szCs w:val="18"/>
          <w:lang w:val="es-ES_tradnl"/>
        </w:rPr>
        <w:t>ó</w:t>
      </w:r>
      <w:r>
        <w:rPr>
          <w:spacing w:val="-7"/>
          <w:sz w:val="18"/>
          <w:szCs w:val="18"/>
          <w:lang w:val="es-ES_tradnl"/>
        </w:rPr>
        <w:t xml:space="preserve"> el recurso de apelaci</w:t>
      </w:r>
      <w:r>
        <w:rPr>
          <w:rFonts w:cs="Times New Roman"/>
          <w:spacing w:val="-7"/>
          <w:sz w:val="18"/>
          <w:szCs w:val="18"/>
          <w:lang w:val="es-ES_tradnl"/>
        </w:rPr>
        <w:t>ó</w:t>
      </w:r>
      <w:r>
        <w:rPr>
          <w:spacing w:val="-7"/>
          <w:sz w:val="18"/>
          <w:szCs w:val="18"/>
          <w:lang w:val="es-ES_tradnl"/>
        </w:rPr>
        <w:t xml:space="preserve">n </w:t>
      </w:r>
      <w:r>
        <w:rPr>
          <w:spacing w:val="-6"/>
          <w:sz w:val="18"/>
          <w:szCs w:val="18"/>
          <w:lang w:val="es-ES_tradnl"/>
        </w:rPr>
        <w:t xml:space="preserve">mediante auto del 26 de mayo de 2014, utilizando como </w:t>
      </w:r>
      <w:r>
        <w:rPr>
          <w:spacing w:val="-7"/>
          <w:sz w:val="18"/>
          <w:szCs w:val="18"/>
          <w:lang w:val="es-ES_tradnl"/>
        </w:rPr>
        <w:t>sustento legal lo previsto en el art</w:t>
      </w:r>
      <w:r>
        <w:rPr>
          <w:rFonts w:cs="Times New Roman"/>
          <w:spacing w:val="-7"/>
          <w:sz w:val="18"/>
          <w:szCs w:val="18"/>
          <w:lang w:val="es-ES_tradnl"/>
        </w:rPr>
        <w:t>í</w:t>
      </w:r>
      <w:r>
        <w:rPr>
          <w:spacing w:val="-7"/>
          <w:sz w:val="18"/>
          <w:szCs w:val="18"/>
          <w:lang w:val="es-ES_tradnl"/>
        </w:rPr>
        <w:t>culo 430 del C</w:t>
      </w:r>
      <w:r>
        <w:rPr>
          <w:rFonts w:cs="Times New Roman"/>
          <w:spacing w:val="-7"/>
          <w:sz w:val="18"/>
          <w:szCs w:val="18"/>
          <w:lang w:val="es-ES_tradnl"/>
        </w:rPr>
        <w:t>ó</w:t>
      </w:r>
      <w:r>
        <w:rPr>
          <w:spacing w:val="-7"/>
          <w:sz w:val="18"/>
          <w:szCs w:val="18"/>
          <w:lang w:val="es-ES_tradnl"/>
        </w:rPr>
        <w:t xml:space="preserve">digo de </w:t>
      </w:r>
      <w:r>
        <w:rPr>
          <w:sz w:val="18"/>
          <w:szCs w:val="18"/>
          <w:lang w:val="es-ES_tradnl"/>
        </w:rPr>
        <w:t>Procedimiento Civil, que expresa:</w:t>
      </w:r>
    </w:p>
    <w:p w14:paraId="4F67B026" w14:textId="77777777" w:rsidR="00591D54" w:rsidRDefault="00591D54">
      <w:pPr>
        <w:shd w:val="clear" w:color="auto" w:fill="FFFFFF"/>
        <w:spacing w:before="202" w:line="216" w:lineRule="exact"/>
        <w:ind w:left="283"/>
        <w:jc w:val="both"/>
      </w:pPr>
      <w:r>
        <w:rPr>
          <w:spacing w:val="-7"/>
          <w:sz w:val="16"/>
          <w:szCs w:val="16"/>
          <w:lang w:val="es-ES_tradnl"/>
        </w:rPr>
        <w:t xml:space="preserve">Art. 430.- Si el deudor no paga ni propone excepciones dentro </w:t>
      </w:r>
      <w:r>
        <w:rPr>
          <w:spacing w:val="-8"/>
          <w:sz w:val="16"/>
          <w:szCs w:val="16"/>
          <w:lang w:val="es-ES_tradnl"/>
        </w:rPr>
        <w:t>del respectivo t</w:t>
      </w:r>
      <w:r>
        <w:rPr>
          <w:rFonts w:cs="Times New Roman"/>
          <w:spacing w:val="-8"/>
          <w:sz w:val="16"/>
          <w:szCs w:val="16"/>
          <w:lang w:val="es-ES_tradnl"/>
        </w:rPr>
        <w:t>é</w:t>
      </w:r>
      <w:r>
        <w:rPr>
          <w:spacing w:val="-8"/>
          <w:sz w:val="16"/>
          <w:szCs w:val="16"/>
          <w:lang w:val="es-ES_tradnl"/>
        </w:rPr>
        <w:t>rmino, el juez, previa notificaci</w:t>
      </w:r>
      <w:r>
        <w:rPr>
          <w:rFonts w:cs="Times New Roman"/>
          <w:spacing w:val="-8"/>
          <w:sz w:val="16"/>
          <w:szCs w:val="16"/>
          <w:lang w:val="es-ES_tradnl"/>
        </w:rPr>
        <w:t>ó</w:t>
      </w:r>
      <w:r>
        <w:rPr>
          <w:spacing w:val="-8"/>
          <w:sz w:val="16"/>
          <w:szCs w:val="16"/>
          <w:lang w:val="es-ES_tradnl"/>
        </w:rPr>
        <w:t>n, pronunciar</w:t>
      </w:r>
      <w:r>
        <w:rPr>
          <w:rFonts w:cs="Times New Roman"/>
          <w:spacing w:val="-8"/>
          <w:sz w:val="16"/>
          <w:szCs w:val="16"/>
          <w:lang w:val="es-ES_tradnl"/>
        </w:rPr>
        <w:t xml:space="preserve">á </w:t>
      </w:r>
      <w:r>
        <w:rPr>
          <w:spacing w:val="-5"/>
          <w:sz w:val="16"/>
          <w:szCs w:val="16"/>
          <w:lang w:val="es-ES_tradnl"/>
        </w:rPr>
        <w:t xml:space="preserve">sentencia, dentro de veinticuatro horas, mandando que el </w:t>
      </w:r>
      <w:r>
        <w:rPr>
          <w:spacing w:val="-6"/>
          <w:sz w:val="16"/>
          <w:szCs w:val="16"/>
          <w:lang w:val="es-ES_tradnl"/>
        </w:rPr>
        <w:t>deudor cumpla inmediatamente la obligaci</w:t>
      </w:r>
      <w:r>
        <w:rPr>
          <w:rFonts w:cs="Times New Roman"/>
          <w:spacing w:val="-6"/>
          <w:sz w:val="16"/>
          <w:szCs w:val="16"/>
          <w:lang w:val="es-ES_tradnl"/>
        </w:rPr>
        <w:t>ó</w:t>
      </w:r>
      <w:r>
        <w:rPr>
          <w:spacing w:val="-6"/>
          <w:sz w:val="16"/>
          <w:szCs w:val="16"/>
          <w:lang w:val="es-ES_tradnl"/>
        </w:rPr>
        <w:t xml:space="preserve">n. La sentencia </w:t>
      </w:r>
      <w:r>
        <w:rPr>
          <w:sz w:val="16"/>
          <w:szCs w:val="16"/>
          <w:lang w:val="es-ES_tradnl"/>
        </w:rPr>
        <w:t>causar</w:t>
      </w:r>
      <w:r>
        <w:rPr>
          <w:rFonts w:cs="Times New Roman"/>
          <w:sz w:val="16"/>
          <w:szCs w:val="16"/>
          <w:lang w:val="es-ES_tradnl"/>
        </w:rPr>
        <w:t>á</w:t>
      </w:r>
      <w:r>
        <w:rPr>
          <w:sz w:val="16"/>
          <w:szCs w:val="16"/>
          <w:lang w:val="es-ES_tradnl"/>
        </w:rPr>
        <w:t xml:space="preserve"> ejecutoria.</w:t>
      </w:r>
    </w:p>
    <w:p w14:paraId="4F67B027" w14:textId="77777777" w:rsidR="00591D54" w:rsidRDefault="00591D54">
      <w:pPr>
        <w:shd w:val="clear" w:color="auto" w:fill="FFFFFF"/>
        <w:spacing w:before="202" w:line="216" w:lineRule="exact"/>
        <w:ind w:right="5"/>
        <w:jc w:val="both"/>
      </w:pPr>
      <w:r>
        <w:rPr>
          <w:spacing w:val="-8"/>
          <w:sz w:val="18"/>
          <w:szCs w:val="18"/>
          <w:lang w:val="es-ES_tradnl"/>
        </w:rPr>
        <w:t>Se deduce de la lectura del art</w:t>
      </w:r>
      <w:r>
        <w:rPr>
          <w:rFonts w:cs="Times New Roman"/>
          <w:spacing w:val="-8"/>
          <w:sz w:val="18"/>
          <w:szCs w:val="18"/>
          <w:lang w:val="es-ES_tradnl"/>
        </w:rPr>
        <w:t>í</w:t>
      </w:r>
      <w:r>
        <w:rPr>
          <w:spacing w:val="-8"/>
          <w:sz w:val="18"/>
          <w:szCs w:val="18"/>
          <w:lang w:val="es-ES_tradnl"/>
        </w:rPr>
        <w:t xml:space="preserve">culo que en virtud de la falta </w:t>
      </w:r>
      <w:r>
        <w:rPr>
          <w:spacing w:val="-9"/>
          <w:sz w:val="18"/>
          <w:szCs w:val="18"/>
          <w:lang w:val="es-ES_tradnl"/>
        </w:rPr>
        <w:t>de excepciones propuestas dentro del t</w:t>
      </w:r>
      <w:r>
        <w:rPr>
          <w:rFonts w:cs="Times New Roman"/>
          <w:spacing w:val="-9"/>
          <w:sz w:val="18"/>
          <w:szCs w:val="18"/>
          <w:lang w:val="es-ES_tradnl"/>
        </w:rPr>
        <w:t>é</w:t>
      </w:r>
      <w:r>
        <w:rPr>
          <w:spacing w:val="-9"/>
          <w:sz w:val="18"/>
          <w:szCs w:val="18"/>
          <w:lang w:val="es-ES_tradnl"/>
        </w:rPr>
        <w:t xml:space="preserve">rmino legal, el juez </w:t>
      </w:r>
      <w:r>
        <w:rPr>
          <w:spacing w:val="-7"/>
          <w:sz w:val="18"/>
          <w:szCs w:val="18"/>
          <w:lang w:val="es-ES_tradnl"/>
        </w:rPr>
        <w:t>puede emitir una sentencia de la cual no procede ning</w:t>
      </w:r>
      <w:r>
        <w:rPr>
          <w:rFonts w:cs="Times New Roman"/>
          <w:spacing w:val="-7"/>
          <w:sz w:val="18"/>
          <w:szCs w:val="18"/>
          <w:lang w:val="es-ES_tradnl"/>
        </w:rPr>
        <w:t>ú</w:t>
      </w:r>
      <w:r>
        <w:rPr>
          <w:spacing w:val="-7"/>
          <w:sz w:val="18"/>
          <w:szCs w:val="18"/>
          <w:lang w:val="es-ES_tradnl"/>
        </w:rPr>
        <w:t>n recurso, pues dicho pronunciamiento causa ejecutoria. En</w:t>
      </w:r>
    </w:p>
    <w:p w14:paraId="4F67B028" w14:textId="77777777" w:rsidR="00591D54" w:rsidRDefault="00591D54">
      <w:pPr>
        <w:shd w:val="clear" w:color="auto" w:fill="FFFFFF"/>
        <w:tabs>
          <w:tab w:val="left" w:pos="139"/>
        </w:tabs>
        <w:spacing w:before="432" w:line="182" w:lineRule="exact"/>
        <w:ind w:left="139" w:hanging="139"/>
      </w:pPr>
      <w:r>
        <w:rPr>
          <w:sz w:val="10"/>
          <w:szCs w:val="10"/>
          <w:vertAlign w:val="superscript"/>
          <w:lang w:val="es-ES_tradnl"/>
        </w:rPr>
        <w:t>4</w:t>
      </w:r>
      <w:r>
        <w:rPr>
          <w:sz w:val="18"/>
          <w:szCs w:val="18"/>
          <w:lang w:val="es-ES_tradnl"/>
        </w:rPr>
        <w:tab/>
      </w:r>
      <w:r>
        <w:rPr>
          <w:spacing w:val="-7"/>
          <w:sz w:val="16"/>
          <w:szCs w:val="16"/>
          <w:lang w:val="es-ES_tradnl"/>
        </w:rPr>
        <w:t>Corte</w:t>
      </w:r>
      <w:r>
        <w:rPr>
          <w:spacing w:val="-7"/>
          <w:sz w:val="18"/>
          <w:szCs w:val="18"/>
          <w:lang w:val="es-ES_tradnl"/>
        </w:rPr>
        <w:t xml:space="preserve"> </w:t>
      </w:r>
      <w:r>
        <w:rPr>
          <w:spacing w:val="-7"/>
          <w:sz w:val="16"/>
          <w:szCs w:val="16"/>
          <w:lang w:val="es-ES_tradnl"/>
        </w:rPr>
        <w:t>Constitucional</w:t>
      </w:r>
      <w:r>
        <w:rPr>
          <w:spacing w:val="-7"/>
          <w:sz w:val="18"/>
          <w:szCs w:val="18"/>
          <w:lang w:val="es-ES_tradnl"/>
        </w:rPr>
        <w:t xml:space="preserve"> </w:t>
      </w:r>
      <w:r>
        <w:rPr>
          <w:spacing w:val="-7"/>
          <w:sz w:val="16"/>
          <w:szCs w:val="16"/>
          <w:lang w:val="es-ES_tradnl"/>
        </w:rPr>
        <w:t>para</w:t>
      </w:r>
      <w:r>
        <w:rPr>
          <w:spacing w:val="-7"/>
          <w:sz w:val="18"/>
          <w:szCs w:val="18"/>
          <w:lang w:val="es-ES_tradnl"/>
        </w:rPr>
        <w:t xml:space="preserve"> </w:t>
      </w:r>
      <w:r>
        <w:rPr>
          <w:spacing w:val="-7"/>
          <w:sz w:val="16"/>
          <w:szCs w:val="16"/>
          <w:lang w:val="es-ES_tradnl"/>
        </w:rPr>
        <w:t>el</w:t>
      </w:r>
      <w:r>
        <w:rPr>
          <w:spacing w:val="-7"/>
          <w:sz w:val="18"/>
          <w:szCs w:val="18"/>
          <w:lang w:val="es-ES_tradnl"/>
        </w:rPr>
        <w:t xml:space="preserve"> </w:t>
      </w:r>
      <w:r>
        <w:rPr>
          <w:spacing w:val="-7"/>
          <w:sz w:val="16"/>
          <w:szCs w:val="16"/>
          <w:lang w:val="es-ES_tradnl"/>
        </w:rPr>
        <w:t>periodo</w:t>
      </w:r>
      <w:r>
        <w:rPr>
          <w:spacing w:val="-7"/>
          <w:sz w:val="18"/>
          <w:szCs w:val="18"/>
          <w:lang w:val="es-ES_tradnl"/>
        </w:rPr>
        <w:t xml:space="preserve"> </w:t>
      </w:r>
      <w:r>
        <w:rPr>
          <w:spacing w:val="-7"/>
          <w:sz w:val="16"/>
          <w:szCs w:val="16"/>
          <w:lang w:val="es-ES_tradnl"/>
        </w:rPr>
        <w:t>de</w:t>
      </w:r>
      <w:r>
        <w:rPr>
          <w:spacing w:val="-7"/>
          <w:sz w:val="18"/>
          <w:szCs w:val="18"/>
          <w:lang w:val="es-ES_tradnl"/>
        </w:rPr>
        <w:t xml:space="preserve"> </w:t>
      </w:r>
      <w:r>
        <w:rPr>
          <w:spacing w:val="-7"/>
          <w:sz w:val="16"/>
          <w:szCs w:val="16"/>
          <w:lang w:val="es-ES_tradnl"/>
        </w:rPr>
        <w:t>transici</w:t>
      </w:r>
      <w:r>
        <w:rPr>
          <w:rFonts w:cs="Times New Roman"/>
          <w:spacing w:val="-7"/>
          <w:sz w:val="16"/>
          <w:szCs w:val="16"/>
          <w:lang w:val="es-ES_tradnl"/>
        </w:rPr>
        <w:t>ó</w:t>
      </w:r>
      <w:r>
        <w:rPr>
          <w:spacing w:val="-7"/>
          <w:sz w:val="16"/>
          <w:szCs w:val="16"/>
          <w:lang w:val="es-ES_tradnl"/>
        </w:rPr>
        <w:t>n,</w:t>
      </w:r>
      <w:r>
        <w:rPr>
          <w:spacing w:val="-7"/>
          <w:sz w:val="18"/>
          <w:szCs w:val="18"/>
          <w:lang w:val="es-ES_tradnl"/>
        </w:rPr>
        <w:t xml:space="preserve"> </w:t>
      </w:r>
      <w:r>
        <w:rPr>
          <w:spacing w:val="-7"/>
          <w:sz w:val="16"/>
          <w:szCs w:val="16"/>
          <w:lang w:val="es-ES_tradnl"/>
        </w:rPr>
        <w:t>sentencia</w:t>
      </w:r>
      <w:r>
        <w:rPr>
          <w:spacing w:val="-7"/>
          <w:sz w:val="18"/>
          <w:szCs w:val="18"/>
          <w:lang w:val="es-ES_tradnl"/>
        </w:rPr>
        <w:t xml:space="preserve"> </w:t>
      </w:r>
      <w:r>
        <w:rPr>
          <w:spacing w:val="-7"/>
          <w:sz w:val="16"/>
          <w:szCs w:val="16"/>
          <w:lang w:val="es-ES_tradnl"/>
        </w:rPr>
        <w:t>N.</w:t>
      </w:r>
      <w:r>
        <w:rPr>
          <w:rFonts w:cs="Times New Roman"/>
          <w:spacing w:val="-7"/>
          <w:sz w:val="16"/>
          <w:szCs w:val="16"/>
          <w:lang w:val="es-ES_tradnl"/>
        </w:rPr>
        <w:t>º </w:t>
      </w:r>
      <w:r>
        <w:rPr>
          <w:sz w:val="16"/>
          <w:szCs w:val="16"/>
          <w:lang w:val="es-ES_tradnl"/>
        </w:rPr>
        <w:t>003-10-SCN-CC, caso N.</w:t>
      </w:r>
      <w:r>
        <w:rPr>
          <w:rFonts w:cs="Times New Roman"/>
          <w:sz w:val="16"/>
          <w:szCs w:val="16"/>
          <w:lang w:val="es-ES_tradnl"/>
        </w:rPr>
        <w:t>º</w:t>
      </w:r>
      <w:r>
        <w:rPr>
          <w:sz w:val="16"/>
          <w:szCs w:val="16"/>
          <w:lang w:val="es-ES_tradnl"/>
        </w:rPr>
        <w:t xml:space="preserve"> 0005-09-CN.</w:t>
      </w:r>
    </w:p>
    <w:p w14:paraId="4F67B029" w14:textId="77777777" w:rsidR="00591D54" w:rsidRDefault="00591D54">
      <w:pPr>
        <w:shd w:val="clear" w:color="auto" w:fill="FFFFFF"/>
        <w:tabs>
          <w:tab w:val="left" w:pos="139"/>
        </w:tabs>
        <w:spacing w:before="149" w:line="178" w:lineRule="exact"/>
        <w:ind w:left="139" w:hanging="139"/>
      </w:pPr>
      <w:r>
        <w:rPr>
          <w:sz w:val="10"/>
          <w:szCs w:val="10"/>
          <w:vertAlign w:val="superscript"/>
          <w:lang w:val="es-ES_tradnl"/>
        </w:rPr>
        <w:t>5</w:t>
      </w:r>
      <w:r>
        <w:rPr>
          <w:sz w:val="18"/>
          <w:szCs w:val="18"/>
          <w:lang w:val="es-ES_tradnl"/>
        </w:rPr>
        <w:tab/>
      </w:r>
      <w:r>
        <w:rPr>
          <w:spacing w:val="-7"/>
          <w:sz w:val="16"/>
          <w:szCs w:val="16"/>
          <w:lang w:val="es-ES_tradnl"/>
        </w:rPr>
        <w:t>Corte</w:t>
      </w:r>
      <w:r>
        <w:rPr>
          <w:spacing w:val="-7"/>
          <w:sz w:val="18"/>
          <w:szCs w:val="18"/>
          <w:lang w:val="es-ES_tradnl"/>
        </w:rPr>
        <w:t xml:space="preserve"> </w:t>
      </w:r>
      <w:r>
        <w:rPr>
          <w:spacing w:val="-7"/>
          <w:sz w:val="16"/>
          <w:szCs w:val="16"/>
          <w:lang w:val="es-ES_tradnl"/>
        </w:rPr>
        <w:t>Constitucional</w:t>
      </w:r>
      <w:r>
        <w:rPr>
          <w:spacing w:val="-7"/>
          <w:sz w:val="18"/>
          <w:szCs w:val="18"/>
          <w:lang w:val="es-ES_tradnl"/>
        </w:rPr>
        <w:t xml:space="preserve"> </w:t>
      </w:r>
      <w:r>
        <w:rPr>
          <w:spacing w:val="-7"/>
          <w:sz w:val="16"/>
          <w:szCs w:val="16"/>
          <w:lang w:val="es-ES_tradnl"/>
        </w:rPr>
        <w:t>para</w:t>
      </w:r>
      <w:r>
        <w:rPr>
          <w:spacing w:val="-7"/>
          <w:sz w:val="18"/>
          <w:szCs w:val="18"/>
          <w:lang w:val="es-ES_tradnl"/>
        </w:rPr>
        <w:t xml:space="preserve"> </w:t>
      </w:r>
      <w:r>
        <w:rPr>
          <w:spacing w:val="-7"/>
          <w:sz w:val="16"/>
          <w:szCs w:val="16"/>
          <w:lang w:val="es-ES_tradnl"/>
        </w:rPr>
        <w:t>el</w:t>
      </w:r>
      <w:r>
        <w:rPr>
          <w:spacing w:val="-7"/>
          <w:sz w:val="18"/>
          <w:szCs w:val="18"/>
          <w:lang w:val="es-ES_tradnl"/>
        </w:rPr>
        <w:t xml:space="preserve"> </w:t>
      </w:r>
      <w:r>
        <w:rPr>
          <w:spacing w:val="-7"/>
          <w:sz w:val="16"/>
          <w:szCs w:val="16"/>
          <w:lang w:val="es-ES_tradnl"/>
        </w:rPr>
        <w:t>periodo</w:t>
      </w:r>
      <w:r>
        <w:rPr>
          <w:spacing w:val="-7"/>
          <w:sz w:val="18"/>
          <w:szCs w:val="18"/>
          <w:lang w:val="es-ES_tradnl"/>
        </w:rPr>
        <w:t xml:space="preserve"> </w:t>
      </w:r>
      <w:r>
        <w:rPr>
          <w:spacing w:val="-7"/>
          <w:sz w:val="16"/>
          <w:szCs w:val="16"/>
          <w:lang w:val="es-ES_tradnl"/>
        </w:rPr>
        <w:t>de</w:t>
      </w:r>
      <w:r>
        <w:rPr>
          <w:spacing w:val="-7"/>
          <w:sz w:val="18"/>
          <w:szCs w:val="18"/>
          <w:lang w:val="es-ES_tradnl"/>
        </w:rPr>
        <w:t xml:space="preserve"> </w:t>
      </w:r>
      <w:r>
        <w:rPr>
          <w:spacing w:val="-7"/>
          <w:sz w:val="16"/>
          <w:szCs w:val="16"/>
          <w:lang w:val="es-ES_tradnl"/>
        </w:rPr>
        <w:t>transici</w:t>
      </w:r>
      <w:r>
        <w:rPr>
          <w:rFonts w:cs="Times New Roman"/>
          <w:spacing w:val="-7"/>
          <w:sz w:val="16"/>
          <w:szCs w:val="16"/>
          <w:lang w:val="es-ES_tradnl"/>
        </w:rPr>
        <w:t>ó</w:t>
      </w:r>
      <w:r>
        <w:rPr>
          <w:spacing w:val="-7"/>
          <w:sz w:val="16"/>
          <w:szCs w:val="16"/>
          <w:lang w:val="es-ES_tradnl"/>
        </w:rPr>
        <w:t>n,</w:t>
      </w:r>
      <w:r>
        <w:rPr>
          <w:spacing w:val="-7"/>
          <w:sz w:val="18"/>
          <w:szCs w:val="18"/>
          <w:lang w:val="es-ES_tradnl"/>
        </w:rPr>
        <w:t xml:space="preserve"> </w:t>
      </w:r>
      <w:r>
        <w:rPr>
          <w:spacing w:val="-7"/>
          <w:sz w:val="16"/>
          <w:szCs w:val="16"/>
          <w:lang w:val="es-ES_tradnl"/>
        </w:rPr>
        <w:t>sentencia</w:t>
      </w:r>
      <w:r>
        <w:rPr>
          <w:spacing w:val="-7"/>
          <w:sz w:val="18"/>
          <w:szCs w:val="18"/>
          <w:lang w:val="es-ES_tradnl"/>
        </w:rPr>
        <w:t xml:space="preserve"> </w:t>
      </w:r>
      <w:r>
        <w:rPr>
          <w:spacing w:val="-7"/>
          <w:sz w:val="16"/>
          <w:szCs w:val="16"/>
          <w:lang w:val="es-ES_tradnl"/>
        </w:rPr>
        <w:t>N.</w:t>
      </w:r>
      <w:r>
        <w:rPr>
          <w:rFonts w:cs="Times New Roman"/>
          <w:spacing w:val="-7"/>
          <w:sz w:val="16"/>
          <w:szCs w:val="16"/>
          <w:lang w:val="es-ES_tradnl"/>
        </w:rPr>
        <w:t>º </w:t>
      </w:r>
      <w:r>
        <w:rPr>
          <w:sz w:val="16"/>
          <w:szCs w:val="16"/>
          <w:lang w:val="es-ES_tradnl"/>
        </w:rPr>
        <w:t>001-11-SCN-CC, caso N.</w:t>
      </w:r>
      <w:r>
        <w:rPr>
          <w:rFonts w:cs="Times New Roman"/>
          <w:sz w:val="16"/>
          <w:szCs w:val="16"/>
          <w:lang w:val="es-ES_tradnl"/>
        </w:rPr>
        <w:t>º</w:t>
      </w:r>
      <w:r>
        <w:rPr>
          <w:sz w:val="16"/>
          <w:szCs w:val="16"/>
          <w:lang w:val="es-ES_tradnl"/>
        </w:rPr>
        <w:t xml:space="preserve"> 0031-10-CN.</w:t>
      </w:r>
    </w:p>
    <w:p w14:paraId="4F67B02A" w14:textId="77777777" w:rsidR="00591D54" w:rsidRDefault="00591D54">
      <w:pPr>
        <w:shd w:val="clear" w:color="auto" w:fill="FFFFFF"/>
        <w:spacing w:before="5" w:line="216" w:lineRule="exact"/>
        <w:jc w:val="both"/>
      </w:pPr>
      <w:r>
        <w:br w:type="column"/>
      </w:r>
      <w:r>
        <w:rPr>
          <w:spacing w:val="-6"/>
          <w:sz w:val="18"/>
          <w:szCs w:val="18"/>
          <w:lang w:val="es-ES_tradnl"/>
        </w:rPr>
        <w:t>tal virtud, conforme se analiz</w:t>
      </w:r>
      <w:r>
        <w:rPr>
          <w:rFonts w:cs="Times New Roman"/>
          <w:spacing w:val="-6"/>
          <w:sz w:val="18"/>
          <w:szCs w:val="18"/>
          <w:lang w:val="es-ES_tradnl"/>
        </w:rPr>
        <w:t>ó</w:t>
      </w:r>
      <w:r>
        <w:rPr>
          <w:spacing w:val="-6"/>
          <w:sz w:val="18"/>
          <w:szCs w:val="18"/>
          <w:lang w:val="es-ES_tradnl"/>
        </w:rPr>
        <w:t xml:space="preserve"> dentro del primer problema </w:t>
      </w:r>
      <w:r>
        <w:rPr>
          <w:spacing w:val="-3"/>
          <w:sz w:val="18"/>
          <w:szCs w:val="18"/>
          <w:lang w:val="es-ES_tradnl"/>
        </w:rPr>
        <w:t>jur</w:t>
      </w:r>
      <w:r>
        <w:rPr>
          <w:rFonts w:cs="Times New Roman"/>
          <w:spacing w:val="-3"/>
          <w:sz w:val="18"/>
          <w:szCs w:val="18"/>
          <w:lang w:val="es-ES_tradnl"/>
        </w:rPr>
        <w:t>í</w:t>
      </w:r>
      <w:r>
        <w:rPr>
          <w:spacing w:val="-3"/>
          <w:sz w:val="18"/>
          <w:szCs w:val="18"/>
          <w:lang w:val="es-ES_tradnl"/>
        </w:rPr>
        <w:t>dico, el juez manifest</w:t>
      </w:r>
      <w:r>
        <w:rPr>
          <w:rFonts w:cs="Times New Roman"/>
          <w:spacing w:val="-3"/>
          <w:sz w:val="18"/>
          <w:szCs w:val="18"/>
          <w:lang w:val="es-ES_tradnl"/>
        </w:rPr>
        <w:t>ó</w:t>
      </w:r>
      <w:r>
        <w:rPr>
          <w:spacing w:val="-3"/>
          <w:sz w:val="18"/>
          <w:szCs w:val="18"/>
          <w:lang w:val="es-ES_tradnl"/>
        </w:rPr>
        <w:t xml:space="preserve"> dentro de su fallo que el </w:t>
      </w:r>
      <w:r>
        <w:rPr>
          <w:spacing w:val="-7"/>
          <w:sz w:val="18"/>
          <w:szCs w:val="18"/>
          <w:lang w:val="es-ES_tradnl"/>
        </w:rPr>
        <w:t>demandado, si bien present</w:t>
      </w:r>
      <w:r>
        <w:rPr>
          <w:rFonts w:cs="Times New Roman"/>
          <w:spacing w:val="-7"/>
          <w:sz w:val="18"/>
          <w:szCs w:val="18"/>
          <w:lang w:val="es-ES_tradnl"/>
        </w:rPr>
        <w:t>ó</w:t>
      </w:r>
      <w:r>
        <w:rPr>
          <w:spacing w:val="-7"/>
          <w:sz w:val="18"/>
          <w:szCs w:val="18"/>
          <w:lang w:val="es-ES_tradnl"/>
        </w:rPr>
        <w:t xml:space="preserve"> un escrito dentro del t</w:t>
      </w:r>
      <w:r>
        <w:rPr>
          <w:rFonts w:cs="Times New Roman"/>
          <w:spacing w:val="-7"/>
          <w:sz w:val="18"/>
          <w:szCs w:val="18"/>
          <w:lang w:val="es-ES_tradnl"/>
        </w:rPr>
        <w:t>é</w:t>
      </w:r>
      <w:r>
        <w:rPr>
          <w:spacing w:val="-7"/>
          <w:sz w:val="18"/>
          <w:szCs w:val="18"/>
          <w:lang w:val="es-ES_tradnl"/>
        </w:rPr>
        <w:t>rmino de 3 d</w:t>
      </w:r>
      <w:r>
        <w:rPr>
          <w:rFonts w:cs="Times New Roman"/>
          <w:spacing w:val="-7"/>
          <w:sz w:val="18"/>
          <w:szCs w:val="18"/>
          <w:lang w:val="es-ES_tradnl"/>
        </w:rPr>
        <w:t>í</w:t>
      </w:r>
      <w:r>
        <w:rPr>
          <w:spacing w:val="-7"/>
          <w:sz w:val="18"/>
          <w:szCs w:val="18"/>
          <w:lang w:val="es-ES_tradnl"/>
        </w:rPr>
        <w:t>as de citado con la demanda, este no correspondi</w:t>
      </w:r>
      <w:r>
        <w:rPr>
          <w:rFonts w:cs="Times New Roman"/>
          <w:spacing w:val="-7"/>
          <w:sz w:val="18"/>
          <w:szCs w:val="18"/>
          <w:lang w:val="es-ES_tradnl"/>
        </w:rPr>
        <w:t xml:space="preserve">ó </w:t>
      </w:r>
      <w:r>
        <w:rPr>
          <w:spacing w:val="-7"/>
          <w:sz w:val="18"/>
          <w:szCs w:val="18"/>
          <w:lang w:val="es-ES_tradnl"/>
        </w:rPr>
        <w:t>a la formulaci</w:t>
      </w:r>
      <w:r>
        <w:rPr>
          <w:rFonts w:cs="Times New Roman"/>
          <w:spacing w:val="-7"/>
          <w:sz w:val="18"/>
          <w:szCs w:val="18"/>
          <w:lang w:val="es-ES_tradnl"/>
        </w:rPr>
        <w:t>ó</w:t>
      </w:r>
      <w:r>
        <w:rPr>
          <w:spacing w:val="-7"/>
          <w:sz w:val="18"/>
          <w:szCs w:val="18"/>
          <w:lang w:val="es-ES_tradnl"/>
        </w:rPr>
        <w:t xml:space="preserve">n de excepciones conforme lo establece el </w:t>
      </w:r>
      <w:r>
        <w:rPr>
          <w:spacing w:val="-5"/>
          <w:sz w:val="18"/>
          <w:szCs w:val="18"/>
          <w:lang w:val="es-ES_tradnl"/>
        </w:rPr>
        <w:t>art</w:t>
      </w:r>
      <w:r>
        <w:rPr>
          <w:rFonts w:cs="Times New Roman"/>
          <w:spacing w:val="-5"/>
          <w:sz w:val="18"/>
          <w:szCs w:val="18"/>
          <w:lang w:val="es-ES_tradnl"/>
        </w:rPr>
        <w:t>í</w:t>
      </w:r>
      <w:r>
        <w:rPr>
          <w:spacing w:val="-5"/>
          <w:sz w:val="18"/>
          <w:szCs w:val="18"/>
          <w:lang w:val="es-ES_tradnl"/>
        </w:rPr>
        <w:t>culo 99 del C</w:t>
      </w:r>
      <w:r>
        <w:rPr>
          <w:rFonts w:cs="Times New Roman"/>
          <w:spacing w:val="-5"/>
          <w:sz w:val="18"/>
          <w:szCs w:val="18"/>
          <w:lang w:val="es-ES_tradnl"/>
        </w:rPr>
        <w:t>ó</w:t>
      </w:r>
      <w:r>
        <w:rPr>
          <w:spacing w:val="-5"/>
          <w:sz w:val="18"/>
          <w:szCs w:val="18"/>
          <w:lang w:val="es-ES_tradnl"/>
        </w:rPr>
        <w:t xml:space="preserve">digo de Procedimiento Civil, las cuales </w:t>
      </w:r>
      <w:r>
        <w:rPr>
          <w:spacing w:val="-11"/>
          <w:sz w:val="18"/>
          <w:szCs w:val="18"/>
          <w:lang w:val="es-ES_tradnl"/>
        </w:rPr>
        <w:t>deb</w:t>
      </w:r>
      <w:r>
        <w:rPr>
          <w:rFonts w:cs="Times New Roman"/>
          <w:spacing w:val="-11"/>
          <w:sz w:val="18"/>
          <w:szCs w:val="18"/>
          <w:lang w:val="es-ES_tradnl"/>
        </w:rPr>
        <w:t>í</w:t>
      </w:r>
      <w:r>
        <w:rPr>
          <w:spacing w:val="-11"/>
          <w:sz w:val="18"/>
          <w:szCs w:val="18"/>
          <w:lang w:val="es-ES_tradnl"/>
        </w:rPr>
        <w:t>an acompa</w:t>
      </w:r>
      <w:r>
        <w:rPr>
          <w:rFonts w:cs="Times New Roman"/>
          <w:spacing w:val="-11"/>
          <w:sz w:val="18"/>
          <w:szCs w:val="18"/>
          <w:lang w:val="es-ES_tradnl"/>
        </w:rPr>
        <w:t>ñ</w:t>
      </w:r>
      <w:r>
        <w:rPr>
          <w:spacing w:val="-11"/>
          <w:sz w:val="18"/>
          <w:szCs w:val="18"/>
          <w:lang w:val="es-ES_tradnl"/>
        </w:rPr>
        <w:t>ar a la contestaci</w:t>
      </w:r>
      <w:r>
        <w:rPr>
          <w:rFonts w:cs="Times New Roman"/>
          <w:spacing w:val="-11"/>
          <w:sz w:val="18"/>
          <w:szCs w:val="18"/>
          <w:lang w:val="es-ES_tradnl"/>
        </w:rPr>
        <w:t>ó</w:t>
      </w:r>
      <w:r>
        <w:rPr>
          <w:spacing w:val="-11"/>
          <w:sz w:val="18"/>
          <w:szCs w:val="18"/>
          <w:lang w:val="es-ES_tradnl"/>
        </w:rPr>
        <w:t xml:space="preserve">n a la demanda, conforme </w:t>
      </w:r>
      <w:r>
        <w:rPr>
          <w:sz w:val="18"/>
          <w:szCs w:val="18"/>
          <w:lang w:val="es-ES_tradnl"/>
        </w:rPr>
        <w:t>el art</w:t>
      </w:r>
      <w:r>
        <w:rPr>
          <w:rFonts w:cs="Times New Roman"/>
          <w:sz w:val="18"/>
          <w:szCs w:val="18"/>
          <w:lang w:val="es-ES_tradnl"/>
        </w:rPr>
        <w:t>í</w:t>
      </w:r>
      <w:r>
        <w:rPr>
          <w:sz w:val="18"/>
          <w:szCs w:val="18"/>
          <w:lang w:val="es-ES_tradnl"/>
        </w:rPr>
        <w:t>culo 102 del C</w:t>
      </w:r>
      <w:r>
        <w:rPr>
          <w:rFonts w:cs="Times New Roman"/>
          <w:sz w:val="18"/>
          <w:szCs w:val="18"/>
          <w:lang w:val="es-ES_tradnl"/>
        </w:rPr>
        <w:t>ó</w:t>
      </w:r>
      <w:r>
        <w:rPr>
          <w:sz w:val="18"/>
          <w:szCs w:val="18"/>
          <w:lang w:val="es-ES_tradnl"/>
        </w:rPr>
        <w:t>digo en menci</w:t>
      </w:r>
      <w:r>
        <w:rPr>
          <w:rFonts w:cs="Times New Roman"/>
          <w:sz w:val="18"/>
          <w:szCs w:val="18"/>
          <w:lang w:val="es-ES_tradnl"/>
        </w:rPr>
        <w:t>ó</w:t>
      </w:r>
      <w:r>
        <w:rPr>
          <w:sz w:val="18"/>
          <w:szCs w:val="18"/>
          <w:lang w:val="es-ES_tradnl"/>
        </w:rPr>
        <w:t>n.</w:t>
      </w:r>
    </w:p>
    <w:p w14:paraId="4F67B02B" w14:textId="77777777" w:rsidR="00591D54" w:rsidRDefault="00591D54">
      <w:pPr>
        <w:shd w:val="clear" w:color="auto" w:fill="FFFFFF"/>
        <w:spacing w:before="202" w:line="216" w:lineRule="exact"/>
        <w:jc w:val="both"/>
      </w:pPr>
      <w:r>
        <w:rPr>
          <w:spacing w:val="-5"/>
          <w:sz w:val="18"/>
          <w:szCs w:val="18"/>
          <w:lang w:val="es-ES_tradnl"/>
        </w:rPr>
        <w:t xml:space="preserve">En este particular, es claro que el escrito presentado por </w:t>
      </w:r>
      <w:r>
        <w:rPr>
          <w:spacing w:val="-7"/>
          <w:sz w:val="18"/>
          <w:szCs w:val="18"/>
          <w:lang w:val="es-ES_tradnl"/>
        </w:rPr>
        <w:t xml:space="preserve">el demandado en el cual afirma darse por citado, no se </w:t>
      </w:r>
      <w:r>
        <w:rPr>
          <w:spacing w:val="-4"/>
          <w:sz w:val="18"/>
          <w:szCs w:val="18"/>
          <w:lang w:val="es-ES_tradnl"/>
        </w:rPr>
        <w:t>proponen las excepciones exigidas por la ley, lo cual permiti</w:t>
      </w:r>
      <w:r>
        <w:rPr>
          <w:rFonts w:cs="Times New Roman"/>
          <w:spacing w:val="-4"/>
          <w:sz w:val="18"/>
          <w:szCs w:val="18"/>
          <w:lang w:val="es-ES_tradnl"/>
        </w:rPr>
        <w:t>ó</w:t>
      </w:r>
      <w:r>
        <w:rPr>
          <w:spacing w:val="-4"/>
          <w:sz w:val="18"/>
          <w:szCs w:val="18"/>
          <w:lang w:val="es-ES_tradnl"/>
        </w:rPr>
        <w:t xml:space="preserve"> la aplicaci</w:t>
      </w:r>
      <w:r>
        <w:rPr>
          <w:rFonts w:cs="Times New Roman"/>
          <w:spacing w:val="-4"/>
          <w:sz w:val="18"/>
          <w:szCs w:val="18"/>
          <w:lang w:val="es-ES_tradnl"/>
        </w:rPr>
        <w:t>ó</w:t>
      </w:r>
      <w:r>
        <w:rPr>
          <w:spacing w:val="-4"/>
          <w:sz w:val="18"/>
          <w:szCs w:val="18"/>
          <w:lang w:val="es-ES_tradnl"/>
        </w:rPr>
        <w:t>n de lo expresado en el art</w:t>
      </w:r>
      <w:r>
        <w:rPr>
          <w:rFonts w:cs="Times New Roman"/>
          <w:spacing w:val="-4"/>
          <w:sz w:val="18"/>
          <w:szCs w:val="18"/>
          <w:lang w:val="es-ES_tradnl"/>
        </w:rPr>
        <w:t>í</w:t>
      </w:r>
      <w:r>
        <w:rPr>
          <w:spacing w:val="-4"/>
          <w:sz w:val="18"/>
          <w:szCs w:val="18"/>
          <w:lang w:val="es-ES_tradnl"/>
        </w:rPr>
        <w:t>culo 430 del C</w:t>
      </w:r>
      <w:r>
        <w:rPr>
          <w:rFonts w:cs="Times New Roman"/>
          <w:spacing w:val="-4"/>
          <w:sz w:val="18"/>
          <w:szCs w:val="18"/>
          <w:lang w:val="es-ES_tradnl"/>
        </w:rPr>
        <w:t>ó</w:t>
      </w:r>
      <w:r>
        <w:rPr>
          <w:spacing w:val="-4"/>
          <w:sz w:val="18"/>
          <w:szCs w:val="18"/>
          <w:lang w:val="es-ES_tradnl"/>
        </w:rPr>
        <w:t xml:space="preserve">digo de Procedimiento Civil. Adicionalmente, las </w:t>
      </w:r>
      <w:r>
        <w:rPr>
          <w:spacing w:val="-8"/>
          <w:sz w:val="18"/>
          <w:szCs w:val="18"/>
          <w:lang w:val="es-ES_tradnl"/>
        </w:rPr>
        <w:t>excepciones que se presentaron posteriormente fueron extempor</w:t>
      </w:r>
      <w:r>
        <w:rPr>
          <w:rFonts w:cs="Times New Roman"/>
          <w:spacing w:val="-8"/>
          <w:sz w:val="18"/>
          <w:szCs w:val="18"/>
          <w:lang w:val="es-ES_tradnl"/>
        </w:rPr>
        <w:t>á</w:t>
      </w:r>
      <w:r>
        <w:rPr>
          <w:spacing w:val="-8"/>
          <w:sz w:val="18"/>
          <w:szCs w:val="18"/>
          <w:lang w:val="es-ES_tradnl"/>
        </w:rPr>
        <w:t xml:space="preserve">neas, ya que no fueron interpuestas dentro del </w:t>
      </w:r>
      <w:r>
        <w:rPr>
          <w:sz w:val="18"/>
          <w:szCs w:val="18"/>
          <w:lang w:val="es-ES_tradnl"/>
        </w:rPr>
        <w:t>t</w:t>
      </w:r>
      <w:r>
        <w:rPr>
          <w:rFonts w:cs="Times New Roman"/>
          <w:sz w:val="18"/>
          <w:szCs w:val="18"/>
          <w:lang w:val="es-ES_tradnl"/>
        </w:rPr>
        <w:t>é</w:t>
      </w:r>
      <w:r>
        <w:rPr>
          <w:sz w:val="18"/>
          <w:szCs w:val="18"/>
          <w:lang w:val="es-ES_tradnl"/>
        </w:rPr>
        <w:t>rmino legal establecido.</w:t>
      </w:r>
    </w:p>
    <w:p w14:paraId="4F67B02C" w14:textId="77777777" w:rsidR="00591D54" w:rsidRDefault="00591D54">
      <w:pPr>
        <w:shd w:val="clear" w:color="auto" w:fill="FFFFFF"/>
        <w:spacing w:before="202" w:line="216" w:lineRule="exact"/>
        <w:jc w:val="both"/>
      </w:pPr>
      <w:r>
        <w:rPr>
          <w:spacing w:val="-11"/>
          <w:sz w:val="18"/>
          <w:szCs w:val="18"/>
          <w:lang w:val="es-ES_tradnl"/>
        </w:rPr>
        <w:t>De todo lo analizado se deduce que no se vulner</w:t>
      </w:r>
      <w:r>
        <w:rPr>
          <w:rFonts w:cs="Times New Roman"/>
          <w:spacing w:val="-11"/>
          <w:sz w:val="18"/>
          <w:szCs w:val="18"/>
          <w:lang w:val="es-ES_tradnl"/>
        </w:rPr>
        <w:t>ó</w:t>
      </w:r>
      <w:r>
        <w:rPr>
          <w:spacing w:val="-11"/>
          <w:sz w:val="18"/>
          <w:szCs w:val="18"/>
          <w:lang w:val="es-ES_tradnl"/>
        </w:rPr>
        <w:t xml:space="preserve"> el derecho </w:t>
      </w:r>
      <w:r>
        <w:rPr>
          <w:spacing w:val="-6"/>
          <w:sz w:val="18"/>
          <w:szCs w:val="18"/>
          <w:lang w:val="es-ES_tradnl"/>
        </w:rPr>
        <w:t>a recurrir del fallo o resoluci</w:t>
      </w:r>
      <w:r>
        <w:rPr>
          <w:rFonts w:cs="Times New Roman"/>
          <w:spacing w:val="-6"/>
          <w:sz w:val="18"/>
          <w:szCs w:val="18"/>
          <w:lang w:val="es-ES_tradnl"/>
        </w:rPr>
        <w:t>ó</w:t>
      </w:r>
      <w:r>
        <w:rPr>
          <w:spacing w:val="-6"/>
          <w:sz w:val="18"/>
          <w:szCs w:val="18"/>
          <w:lang w:val="es-ES_tradnl"/>
        </w:rPr>
        <w:t xml:space="preserve">n judicial, contemplado en el </w:t>
      </w:r>
      <w:r>
        <w:rPr>
          <w:spacing w:val="-7"/>
          <w:sz w:val="18"/>
          <w:szCs w:val="18"/>
          <w:lang w:val="es-ES_tradnl"/>
        </w:rPr>
        <w:t>art</w:t>
      </w:r>
      <w:r>
        <w:rPr>
          <w:rFonts w:cs="Times New Roman"/>
          <w:spacing w:val="-7"/>
          <w:sz w:val="18"/>
          <w:szCs w:val="18"/>
          <w:lang w:val="es-ES_tradnl"/>
        </w:rPr>
        <w:t>í</w:t>
      </w:r>
      <w:r>
        <w:rPr>
          <w:spacing w:val="-7"/>
          <w:sz w:val="18"/>
          <w:szCs w:val="18"/>
          <w:lang w:val="es-ES_tradnl"/>
        </w:rPr>
        <w:t xml:space="preserve">culo 76 numeral 7 literal </w:t>
      </w:r>
      <w:r>
        <w:rPr>
          <w:b/>
          <w:bCs/>
          <w:spacing w:val="-7"/>
          <w:sz w:val="18"/>
          <w:szCs w:val="18"/>
          <w:lang w:val="es-ES_tradnl"/>
        </w:rPr>
        <w:t>m</w:t>
      </w:r>
      <w:r>
        <w:rPr>
          <w:spacing w:val="-7"/>
          <w:sz w:val="18"/>
          <w:szCs w:val="18"/>
          <w:lang w:val="es-ES_tradnl"/>
        </w:rPr>
        <w:t>, pues conforme lo se</w:t>
      </w:r>
      <w:r>
        <w:rPr>
          <w:rFonts w:cs="Times New Roman"/>
          <w:spacing w:val="-7"/>
          <w:sz w:val="18"/>
          <w:szCs w:val="18"/>
          <w:lang w:val="es-ES_tradnl"/>
        </w:rPr>
        <w:t>ñ</w:t>
      </w:r>
      <w:r>
        <w:rPr>
          <w:spacing w:val="-7"/>
          <w:sz w:val="18"/>
          <w:szCs w:val="18"/>
          <w:lang w:val="es-ES_tradnl"/>
        </w:rPr>
        <w:t>al</w:t>
      </w:r>
      <w:r>
        <w:rPr>
          <w:rFonts w:cs="Times New Roman"/>
          <w:spacing w:val="-7"/>
          <w:sz w:val="18"/>
          <w:szCs w:val="18"/>
          <w:lang w:val="es-ES_tradnl"/>
        </w:rPr>
        <w:t>ó</w:t>
      </w:r>
      <w:r>
        <w:rPr>
          <w:spacing w:val="-7"/>
          <w:sz w:val="18"/>
          <w:szCs w:val="18"/>
          <w:lang w:val="es-ES_tradnl"/>
        </w:rPr>
        <w:t xml:space="preserve"> el </w:t>
      </w:r>
      <w:r>
        <w:rPr>
          <w:spacing w:val="-5"/>
          <w:sz w:val="18"/>
          <w:szCs w:val="18"/>
          <w:lang w:val="es-ES_tradnl"/>
        </w:rPr>
        <w:t>juez D</w:t>
      </w:r>
      <w:r>
        <w:rPr>
          <w:rFonts w:cs="Times New Roman"/>
          <w:spacing w:val="-5"/>
          <w:sz w:val="18"/>
          <w:szCs w:val="18"/>
          <w:lang w:val="es-ES_tradnl"/>
        </w:rPr>
        <w:t>é</w:t>
      </w:r>
      <w:r>
        <w:rPr>
          <w:spacing w:val="-5"/>
          <w:sz w:val="18"/>
          <w:szCs w:val="18"/>
          <w:lang w:val="es-ES_tradnl"/>
        </w:rPr>
        <w:t xml:space="preserve">cimo Tercero de lo Civil de Pichincha, dentro del </w:t>
      </w:r>
      <w:r>
        <w:rPr>
          <w:spacing w:val="-7"/>
          <w:sz w:val="18"/>
          <w:szCs w:val="18"/>
          <w:lang w:val="es-ES_tradnl"/>
        </w:rPr>
        <w:t>auto dictado el 26 de mayo de 2014, aplicando el art</w:t>
      </w:r>
      <w:r>
        <w:rPr>
          <w:rFonts w:cs="Times New Roman"/>
          <w:spacing w:val="-7"/>
          <w:sz w:val="18"/>
          <w:szCs w:val="18"/>
          <w:lang w:val="es-ES_tradnl"/>
        </w:rPr>
        <w:t>í</w:t>
      </w:r>
      <w:r>
        <w:rPr>
          <w:spacing w:val="-7"/>
          <w:sz w:val="18"/>
          <w:szCs w:val="18"/>
          <w:lang w:val="es-ES_tradnl"/>
        </w:rPr>
        <w:t xml:space="preserve">culo </w:t>
      </w:r>
      <w:r>
        <w:rPr>
          <w:spacing w:val="-4"/>
          <w:sz w:val="18"/>
          <w:szCs w:val="18"/>
          <w:lang w:val="es-ES_tradnl"/>
        </w:rPr>
        <w:t>430 del C</w:t>
      </w:r>
      <w:r>
        <w:rPr>
          <w:rFonts w:cs="Times New Roman"/>
          <w:spacing w:val="-4"/>
          <w:sz w:val="18"/>
          <w:szCs w:val="18"/>
          <w:lang w:val="es-ES_tradnl"/>
        </w:rPr>
        <w:t>ó</w:t>
      </w:r>
      <w:r>
        <w:rPr>
          <w:spacing w:val="-4"/>
          <w:sz w:val="18"/>
          <w:szCs w:val="18"/>
          <w:lang w:val="es-ES_tradnl"/>
        </w:rPr>
        <w:t xml:space="preserve">digo de Procedimiento Civil, el recurso de </w:t>
      </w:r>
      <w:r>
        <w:rPr>
          <w:spacing w:val="-7"/>
          <w:sz w:val="18"/>
          <w:szCs w:val="18"/>
          <w:lang w:val="es-ES_tradnl"/>
        </w:rPr>
        <w:t>apelaci</w:t>
      </w:r>
      <w:r>
        <w:rPr>
          <w:rFonts w:cs="Times New Roman"/>
          <w:spacing w:val="-7"/>
          <w:sz w:val="18"/>
          <w:szCs w:val="18"/>
          <w:lang w:val="es-ES_tradnl"/>
        </w:rPr>
        <w:t>ó</w:t>
      </w:r>
      <w:r>
        <w:rPr>
          <w:spacing w:val="-7"/>
          <w:sz w:val="18"/>
          <w:szCs w:val="18"/>
          <w:lang w:val="es-ES_tradnl"/>
        </w:rPr>
        <w:t>n dentro del juico ejecutivo est</w:t>
      </w:r>
      <w:r>
        <w:rPr>
          <w:rFonts w:cs="Times New Roman"/>
          <w:spacing w:val="-7"/>
          <w:sz w:val="18"/>
          <w:szCs w:val="18"/>
          <w:lang w:val="es-ES_tradnl"/>
        </w:rPr>
        <w:t>á</w:t>
      </w:r>
      <w:r>
        <w:rPr>
          <w:spacing w:val="-7"/>
          <w:sz w:val="18"/>
          <w:szCs w:val="18"/>
          <w:lang w:val="es-ES_tradnl"/>
        </w:rPr>
        <w:t xml:space="preserve"> supeditado a que el legitimado pasivo haya presentado excepciones dentro </w:t>
      </w:r>
      <w:r>
        <w:rPr>
          <w:spacing w:val="-5"/>
          <w:sz w:val="18"/>
          <w:szCs w:val="18"/>
          <w:lang w:val="es-ES_tradnl"/>
        </w:rPr>
        <w:t>del t</w:t>
      </w:r>
      <w:r>
        <w:rPr>
          <w:rFonts w:cs="Times New Roman"/>
          <w:spacing w:val="-5"/>
          <w:sz w:val="18"/>
          <w:szCs w:val="18"/>
          <w:lang w:val="es-ES_tradnl"/>
        </w:rPr>
        <w:t>é</w:t>
      </w:r>
      <w:r>
        <w:rPr>
          <w:spacing w:val="-5"/>
          <w:sz w:val="18"/>
          <w:szCs w:val="18"/>
          <w:lang w:val="es-ES_tradnl"/>
        </w:rPr>
        <w:t xml:space="preserve">rmino legal, circunstancia que, a criterio del juez, y </w:t>
      </w:r>
      <w:r>
        <w:rPr>
          <w:spacing w:val="-10"/>
          <w:sz w:val="18"/>
          <w:szCs w:val="18"/>
          <w:lang w:val="es-ES_tradnl"/>
        </w:rPr>
        <w:t>seg</w:t>
      </w:r>
      <w:r>
        <w:rPr>
          <w:rFonts w:cs="Times New Roman"/>
          <w:spacing w:val="-10"/>
          <w:sz w:val="18"/>
          <w:szCs w:val="18"/>
          <w:lang w:val="es-ES_tradnl"/>
        </w:rPr>
        <w:t>ú</w:t>
      </w:r>
      <w:r>
        <w:rPr>
          <w:spacing w:val="-10"/>
          <w:sz w:val="18"/>
          <w:szCs w:val="18"/>
          <w:lang w:val="es-ES_tradnl"/>
        </w:rPr>
        <w:t>n se desprende del expediente, no aconteci</w:t>
      </w:r>
      <w:r>
        <w:rPr>
          <w:rFonts w:cs="Times New Roman"/>
          <w:spacing w:val="-10"/>
          <w:sz w:val="18"/>
          <w:szCs w:val="18"/>
          <w:lang w:val="es-ES_tradnl"/>
        </w:rPr>
        <w:t>ó</w:t>
      </w:r>
      <w:r>
        <w:rPr>
          <w:spacing w:val="-10"/>
          <w:sz w:val="18"/>
          <w:szCs w:val="18"/>
          <w:lang w:val="es-ES_tradnl"/>
        </w:rPr>
        <w:t>.</w:t>
      </w:r>
    </w:p>
    <w:p w14:paraId="4F67B02D" w14:textId="77777777" w:rsidR="00591D54" w:rsidRDefault="00591D54">
      <w:pPr>
        <w:shd w:val="clear" w:color="auto" w:fill="FFFFFF"/>
        <w:spacing w:before="202" w:line="216" w:lineRule="exact"/>
        <w:jc w:val="both"/>
      </w:pPr>
      <w:r>
        <w:rPr>
          <w:spacing w:val="-7"/>
          <w:sz w:val="18"/>
          <w:szCs w:val="18"/>
          <w:lang w:val="es-ES_tradnl"/>
        </w:rPr>
        <w:t>Por lo tanto, de la decisi</w:t>
      </w:r>
      <w:r>
        <w:rPr>
          <w:rFonts w:cs="Times New Roman"/>
          <w:spacing w:val="-7"/>
          <w:sz w:val="18"/>
          <w:szCs w:val="18"/>
          <w:lang w:val="es-ES_tradnl"/>
        </w:rPr>
        <w:t>ó</w:t>
      </w:r>
      <w:r>
        <w:rPr>
          <w:spacing w:val="-7"/>
          <w:sz w:val="18"/>
          <w:szCs w:val="18"/>
          <w:lang w:val="es-ES_tradnl"/>
        </w:rPr>
        <w:t xml:space="preserve">n judicial impugnada se advierte </w:t>
      </w:r>
      <w:r>
        <w:rPr>
          <w:spacing w:val="-8"/>
          <w:sz w:val="18"/>
          <w:szCs w:val="18"/>
          <w:lang w:val="es-ES_tradnl"/>
        </w:rPr>
        <w:t>que el juez ha actuado respetando los l</w:t>
      </w:r>
      <w:r>
        <w:rPr>
          <w:rFonts w:cs="Times New Roman"/>
          <w:spacing w:val="-8"/>
          <w:sz w:val="18"/>
          <w:szCs w:val="18"/>
          <w:lang w:val="es-ES_tradnl"/>
        </w:rPr>
        <w:t>í</w:t>
      </w:r>
      <w:r>
        <w:rPr>
          <w:spacing w:val="-8"/>
          <w:sz w:val="18"/>
          <w:szCs w:val="18"/>
          <w:lang w:val="es-ES_tradnl"/>
        </w:rPr>
        <w:t>mites que la propia legislaci</w:t>
      </w:r>
      <w:r>
        <w:rPr>
          <w:rFonts w:cs="Times New Roman"/>
          <w:spacing w:val="-8"/>
          <w:sz w:val="18"/>
          <w:szCs w:val="18"/>
          <w:lang w:val="es-ES_tradnl"/>
        </w:rPr>
        <w:t>ó</w:t>
      </w:r>
      <w:r>
        <w:rPr>
          <w:spacing w:val="-8"/>
          <w:sz w:val="18"/>
          <w:szCs w:val="18"/>
          <w:lang w:val="es-ES_tradnl"/>
        </w:rPr>
        <w:t xml:space="preserve">n consagra para el recurso analizado, de tal forma </w:t>
      </w:r>
      <w:r>
        <w:rPr>
          <w:spacing w:val="-7"/>
          <w:sz w:val="18"/>
          <w:szCs w:val="18"/>
          <w:lang w:val="es-ES_tradnl"/>
        </w:rPr>
        <w:t xml:space="preserve">que la negativa del recurso no puede tomarse como una </w:t>
      </w:r>
      <w:r>
        <w:rPr>
          <w:spacing w:val="-9"/>
          <w:sz w:val="18"/>
          <w:szCs w:val="18"/>
          <w:lang w:val="es-ES_tradnl"/>
        </w:rPr>
        <w:t>vulneraci</w:t>
      </w:r>
      <w:r>
        <w:rPr>
          <w:rFonts w:cs="Times New Roman"/>
          <w:spacing w:val="-9"/>
          <w:sz w:val="18"/>
          <w:szCs w:val="18"/>
          <w:lang w:val="es-ES_tradnl"/>
        </w:rPr>
        <w:t>ó</w:t>
      </w:r>
      <w:r>
        <w:rPr>
          <w:spacing w:val="-9"/>
          <w:sz w:val="18"/>
          <w:szCs w:val="18"/>
          <w:lang w:val="es-ES_tradnl"/>
        </w:rPr>
        <w:t>n al derecho a recurrir, pues conforme se explic</w:t>
      </w:r>
      <w:r>
        <w:rPr>
          <w:rFonts w:cs="Times New Roman"/>
          <w:spacing w:val="-9"/>
          <w:sz w:val="18"/>
          <w:szCs w:val="18"/>
          <w:lang w:val="es-ES_tradnl"/>
        </w:rPr>
        <w:t>ó</w:t>
      </w:r>
      <w:r>
        <w:rPr>
          <w:spacing w:val="-9"/>
          <w:sz w:val="18"/>
          <w:szCs w:val="18"/>
          <w:lang w:val="es-ES_tradnl"/>
        </w:rPr>
        <w:t xml:space="preserve">, </w:t>
      </w:r>
      <w:r>
        <w:rPr>
          <w:spacing w:val="-10"/>
          <w:sz w:val="18"/>
          <w:szCs w:val="18"/>
          <w:lang w:val="es-ES_tradnl"/>
        </w:rPr>
        <w:t xml:space="preserve">este derecho constitucional, al no ser absoluto, se encuentra </w:t>
      </w:r>
      <w:r>
        <w:rPr>
          <w:spacing w:val="-6"/>
          <w:sz w:val="18"/>
          <w:szCs w:val="18"/>
          <w:lang w:val="es-ES_tradnl"/>
        </w:rPr>
        <w:t xml:space="preserve">sujeto a las restricciones que dentro del ordenamiento </w:t>
      </w:r>
      <w:r>
        <w:rPr>
          <w:spacing w:val="-9"/>
          <w:sz w:val="18"/>
          <w:szCs w:val="18"/>
          <w:lang w:val="es-ES_tradnl"/>
        </w:rPr>
        <w:t>jur</w:t>
      </w:r>
      <w:r>
        <w:rPr>
          <w:rFonts w:cs="Times New Roman"/>
          <w:spacing w:val="-9"/>
          <w:sz w:val="18"/>
          <w:szCs w:val="18"/>
          <w:lang w:val="es-ES_tradnl"/>
        </w:rPr>
        <w:t>í</w:t>
      </w:r>
      <w:r>
        <w:rPr>
          <w:spacing w:val="-9"/>
          <w:sz w:val="18"/>
          <w:szCs w:val="18"/>
          <w:lang w:val="es-ES_tradnl"/>
        </w:rPr>
        <w:t>dico se prev</w:t>
      </w:r>
      <w:r>
        <w:rPr>
          <w:rFonts w:cs="Times New Roman"/>
          <w:spacing w:val="-9"/>
          <w:sz w:val="18"/>
          <w:szCs w:val="18"/>
          <w:lang w:val="es-ES_tradnl"/>
        </w:rPr>
        <w:t>é</w:t>
      </w:r>
      <w:r>
        <w:rPr>
          <w:spacing w:val="-9"/>
          <w:sz w:val="18"/>
          <w:szCs w:val="18"/>
          <w:lang w:val="es-ES_tradnl"/>
        </w:rPr>
        <w:t>n, mismas que en el caso bajo an</w:t>
      </w:r>
      <w:r>
        <w:rPr>
          <w:rFonts w:cs="Times New Roman"/>
          <w:spacing w:val="-9"/>
          <w:sz w:val="18"/>
          <w:szCs w:val="18"/>
          <w:lang w:val="es-ES_tradnl"/>
        </w:rPr>
        <w:t>á</w:t>
      </w:r>
      <w:r>
        <w:rPr>
          <w:spacing w:val="-9"/>
          <w:sz w:val="18"/>
          <w:szCs w:val="18"/>
          <w:lang w:val="es-ES_tradnl"/>
        </w:rPr>
        <w:t>lisis han sido plenamente observadas por los juzgadores. En funci</w:t>
      </w:r>
      <w:r>
        <w:rPr>
          <w:rFonts w:cs="Times New Roman"/>
          <w:spacing w:val="-9"/>
          <w:sz w:val="18"/>
          <w:szCs w:val="18"/>
          <w:lang w:val="es-ES_tradnl"/>
        </w:rPr>
        <w:t>ó</w:t>
      </w:r>
      <w:r>
        <w:rPr>
          <w:spacing w:val="-9"/>
          <w:sz w:val="18"/>
          <w:szCs w:val="18"/>
          <w:lang w:val="es-ES_tradnl"/>
        </w:rPr>
        <w:t xml:space="preserve">n </w:t>
      </w:r>
      <w:r>
        <w:rPr>
          <w:spacing w:val="-10"/>
          <w:sz w:val="18"/>
          <w:szCs w:val="18"/>
          <w:lang w:val="es-ES_tradnl"/>
        </w:rPr>
        <w:t>de lo expuesto, esta Corte no evidencia ninguna vulneraci</w:t>
      </w:r>
      <w:r>
        <w:rPr>
          <w:rFonts w:cs="Times New Roman"/>
          <w:spacing w:val="-10"/>
          <w:sz w:val="18"/>
          <w:szCs w:val="18"/>
          <w:lang w:val="es-ES_tradnl"/>
        </w:rPr>
        <w:t>ó</w:t>
      </w:r>
      <w:r>
        <w:rPr>
          <w:spacing w:val="-10"/>
          <w:sz w:val="18"/>
          <w:szCs w:val="18"/>
          <w:lang w:val="es-ES_tradnl"/>
        </w:rPr>
        <w:t xml:space="preserve">n </w:t>
      </w:r>
      <w:r>
        <w:rPr>
          <w:spacing w:val="-8"/>
          <w:sz w:val="18"/>
          <w:szCs w:val="18"/>
          <w:lang w:val="es-ES_tradnl"/>
        </w:rPr>
        <w:t>al derecho al debido proceso en la garant</w:t>
      </w:r>
      <w:r>
        <w:rPr>
          <w:rFonts w:cs="Times New Roman"/>
          <w:spacing w:val="-8"/>
          <w:sz w:val="18"/>
          <w:szCs w:val="18"/>
          <w:lang w:val="es-ES_tradnl"/>
        </w:rPr>
        <w:t>í</w:t>
      </w:r>
      <w:r>
        <w:rPr>
          <w:spacing w:val="-8"/>
          <w:sz w:val="18"/>
          <w:szCs w:val="18"/>
          <w:lang w:val="es-ES_tradnl"/>
        </w:rPr>
        <w:t xml:space="preserve">a de recurrir a los </w:t>
      </w:r>
      <w:r>
        <w:rPr>
          <w:sz w:val="18"/>
          <w:szCs w:val="18"/>
          <w:lang w:val="es-ES_tradnl"/>
        </w:rPr>
        <w:t>fallos y resoluciones.</w:t>
      </w:r>
    </w:p>
    <w:p w14:paraId="4F67B02E" w14:textId="77777777" w:rsidR="00591D54" w:rsidRDefault="00591D54">
      <w:pPr>
        <w:shd w:val="clear" w:color="auto" w:fill="FFFFFF"/>
        <w:spacing w:before="197"/>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B02F" w14:textId="77777777" w:rsidR="00591D54" w:rsidRDefault="00591D54">
      <w:pPr>
        <w:shd w:val="clear" w:color="auto" w:fill="FFFFFF"/>
        <w:spacing w:before="197" w:line="221" w:lineRule="exact"/>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5"/>
          <w:sz w:val="18"/>
          <w:szCs w:val="18"/>
          <w:lang w:val="es-ES_tradnl"/>
        </w:rPr>
        <w:t>constitucional y por mandato de la Constituci</w:t>
      </w:r>
      <w:r>
        <w:rPr>
          <w:rFonts w:cs="Times New Roman"/>
          <w:spacing w:val="-5"/>
          <w:sz w:val="18"/>
          <w:szCs w:val="18"/>
          <w:lang w:val="es-ES_tradnl"/>
        </w:rPr>
        <w:t>ó</w:t>
      </w:r>
      <w:r>
        <w:rPr>
          <w:spacing w:val="-5"/>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 xml:space="preserve">blica del Ecuador, el Pleno de la Corte Constitucional </w:t>
      </w:r>
      <w:r>
        <w:rPr>
          <w:sz w:val="18"/>
          <w:szCs w:val="18"/>
          <w:lang w:val="es-ES_tradnl"/>
        </w:rPr>
        <w:t>expide la siguiente:</w:t>
      </w:r>
    </w:p>
    <w:p w14:paraId="4F67B030" w14:textId="77777777" w:rsidR="00591D54" w:rsidRDefault="00591D54">
      <w:pPr>
        <w:shd w:val="clear" w:color="auto" w:fill="FFFFFF"/>
        <w:spacing w:before="197"/>
        <w:ind w:left="10"/>
        <w:jc w:val="center"/>
      </w:pPr>
      <w:r>
        <w:rPr>
          <w:b/>
          <w:bCs/>
          <w:sz w:val="18"/>
          <w:szCs w:val="18"/>
          <w:lang w:val="es-ES_tradnl"/>
        </w:rPr>
        <w:t>SENTENCIA</w:t>
      </w:r>
    </w:p>
    <w:p w14:paraId="4F67B031" w14:textId="77777777" w:rsidR="00591D54" w:rsidRDefault="00591D54" w:rsidP="00251195">
      <w:pPr>
        <w:numPr>
          <w:ilvl w:val="0"/>
          <w:numId w:val="78"/>
        </w:numPr>
        <w:shd w:val="clear" w:color="auto" w:fill="FFFFFF"/>
        <w:tabs>
          <w:tab w:val="left" w:pos="566"/>
        </w:tabs>
        <w:spacing w:before="202" w:line="221" w:lineRule="exact"/>
        <w:ind w:left="566" w:hanging="283"/>
        <w:rPr>
          <w:spacing w:val="-9"/>
          <w:sz w:val="18"/>
          <w:szCs w:val="18"/>
          <w:lang w:val="es-ES_tradnl"/>
        </w:rPr>
      </w:pPr>
      <w:r>
        <w:rPr>
          <w:spacing w:val="-3"/>
          <w:sz w:val="18"/>
          <w:szCs w:val="18"/>
          <w:lang w:val="es-ES_tradnl"/>
        </w:rPr>
        <w:t>Declarar que no existe vulneraci</w:t>
      </w:r>
      <w:r>
        <w:rPr>
          <w:rFonts w:cs="Times New Roman"/>
          <w:spacing w:val="-3"/>
          <w:sz w:val="18"/>
          <w:szCs w:val="18"/>
          <w:lang w:val="es-ES_tradnl"/>
        </w:rPr>
        <w:t>ó</w:t>
      </w:r>
      <w:r>
        <w:rPr>
          <w:spacing w:val="-3"/>
          <w:sz w:val="18"/>
          <w:szCs w:val="18"/>
          <w:lang w:val="es-ES_tradnl"/>
        </w:rPr>
        <w:t xml:space="preserve">n de derechos </w:t>
      </w:r>
      <w:r>
        <w:rPr>
          <w:sz w:val="18"/>
          <w:szCs w:val="18"/>
          <w:lang w:val="es-ES_tradnl"/>
        </w:rPr>
        <w:t>constitucionales.</w:t>
      </w:r>
    </w:p>
    <w:p w14:paraId="4F67B032" w14:textId="77777777" w:rsidR="00591D54" w:rsidRDefault="00591D54" w:rsidP="00251195">
      <w:pPr>
        <w:numPr>
          <w:ilvl w:val="0"/>
          <w:numId w:val="78"/>
        </w:numPr>
        <w:shd w:val="clear" w:color="auto" w:fill="FFFFFF"/>
        <w:tabs>
          <w:tab w:val="left" w:pos="566"/>
        </w:tabs>
        <w:spacing w:before="197" w:line="221" w:lineRule="exact"/>
        <w:ind w:left="566" w:hanging="283"/>
        <w:rPr>
          <w:spacing w:val="-9"/>
          <w:sz w:val="18"/>
          <w:szCs w:val="18"/>
          <w:lang w:val="es-ES_tradnl"/>
        </w:rPr>
      </w:pPr>
      <w:r>
        <w:rPr>
          <w:spacing w:val="-6"/>
          <w:sz w:val="18"/>
          <w:szCs w:val="18"/>
          <w:lang w:val="es-ES_tradnl"/>
        </w:rPr>
        <w:t>Negar   la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w:t>
      </w:r>
      <w:r>
        <w:rPr>
          <w:sz w:val="18"/>
          <w:szCs w:val="18"/>
          <w:lang w:val="es-ES_tradnl"/>
        </w:rPr>
        <w:t>planteada.</w:t>
      </w:r>
    </w:p>
    <w:p w14:paraId="4F67B033" w14:textId="77777777" w:rsidR="00591D54" w:rsidRDefault="00591D54">
      <w:pPr>
        <w:shd w:val="clear" w:color="auto" w:fill="FFFFFF"/>
        <w:tabs>
          <w:tab w:val="left" w:pos="566"/>
        </w:tabs>
        <w:spacing w:before="38" w:line="432" w:lineRule="exact"/>
        <w:ind w:firstLine="283"/>
      </w:pPr>
      <w:r>
        <w:rPr>
          <w:spacing w:val="-9"/>
          <w:sz w:val="18"/>
          <w:szCs w:val="18"/>
          <w:lang w:val="es-ES_tradnl"/>
        </w:rPr>
        <w:t>3.</w:t>
      </w:r>
      <w:r>
        <w:rPr>
          <w:sz w:val="18"/>
          <w:szCs w:val="18"/>
          <w:lang w:val="es-ES_tradnl"/>
        </w:rPr>
        <w:tab/>
      </w:r>
      <w:r>
        <w:rPr>
          <w:spacing w:val="-7"/>
          <w:sz w:val="18"/>
          <w:szCs w:val="18"/>
          <w:lang w:val="es-ES_tradnl"/>
        </w:rPr>
        <w:t>Notif</w:t>
      </w:r>
      <w:r>
        <w:rPr>
          <w:rFonts w:cs="Times New Roman"/>
          <w:spacing w:val="-7"/>
          <w:sz w:val="18"/>
          <w:szCs w:val="18"/>
          <w:lang w:val="es-ES_tradnl"/>
        </w:rPr>
        <w:t>í</w:t>
      </w:r>
      <w:r>
        <w:rPr>
          <w:spacing w:val="-7"/>
          <w:sz w:val="18"/>
          <w:szCs w:val="18"/>
          <w:lang w:val="es-ES_tradnl"/>
        </w:rPr>
        <w:t>quese, publ</w:t>
      </w:r>
      <w:r>
        <w:rPr>
          <w:rFonts w:cs="Times New Roman"/>
          <w:spacing w:val="-7"/>
          <w:sz w:val="18"/>
          <w:szCs w:val="18"/>
          <w:lang w:val="es-ES_tradnl"/>
        </w:rPr>
        <w:t>í</w:t>
      </w:r>
      <w:r>
        <w:rPr>
          <w:spacing w:val="-7"/>
          <w:sz w:val="18"/>
          <w:szCs w:val="18"/>
          <w:lang w:val="es-ES_tradnl"/>
        </w:rPr>
        <w:t>quese y c</w:t>
      </w:r>
      <w:r>
        <w:rPr>
          <w:rFonts w:cs="Times New Roman"/>
          <w:spacing w:val="-7"/>
          <w:sz w:val="18"/>
          <w:szCs w:val="18"/>
          <w:lang w:val="es-ES_tradnl"/>
        </w:rPr>
        <w:t>ú</w:t>
      </w:r>
      <w:r>
        <w:rPr>
          <w:spacing w:val="-7"/>
          <w:sz w:val="18"/>
          <w:szCs w:val="18"/>
          <w:lang w:val="es-ES_tradnl"/>
        </w:rPr>
        <w:t>mplase. </w:t>
      </w:r>
      <w:r>
        <w:rPr>
          <w:spacing w:val="-5"/>
          <w:sz w:val="18"/>
          <w:szCs w:val="18"/>
          <w:lang w:val="es-ES_tradnl"/>
        </w:rPr>
        <w:t xml:space="preserve">f.) Wendy Molina Andrade, </w:t>
      </w:r>
      <w:r>
        <w:rPr>
          <w:b/>
          <w:bCs/>
          <w:spacing w:val="-5"/>
          <w:sz w:val="18"/>
          <w:szCs w:val="18"/>
          <w:lang w:val="es-ES_tradnl"/>
        </w:rPr>
        <w:t>PRESIDENTA (E). </w:t>
      </w:r>
      <w:r>
        <w:rPr>
          <w:spacing w:val="-5"/>
          <w:sz w:val="18"/>
          <w:szCs w:val="18"/>
          <w:lang w:val="es-ES_tradnl"/>
        </w:rPr>
        <w:t xml:space="preserve">f.) Jaime Pozo Chamorro, </w:t>
      </w:r>
      <w:r>
        <w:rPr>
          <w:b/>
          <w:bCs/>
          <w:spacing w:val="-5"/>
          <w:sz w:val="18"/>
          <w:szCs w:val="18"/>
          <w:lang w:val="es-ES_tradnl"/>
        </w:rPr>
        <w:t>SECRETARIO GENERAL.</w:t>
      </w:r>
    </w:p>
    <w:p w14:paraId="4F67B034" w14:textId="77777777" w:rsidR="00591D54" w:rsidRDefault="00591D54">
      <w:pPr>
        <w:shd w:val="clear" w:color="auto" w:fill="FFFFFF"/>
        <w:tabs>
          <w:tab w:val="left" w:pos="566"/>
        </w:tabs>
        <w:spacing w:before="38" w:line="432" w:lineRule="exact"/>
        <w:ind w:firstLine="283"/>
        <w:sectPr w:rsidR="00591D54">
          <w:type w:val="continuous"/>
          <w:pgSz w:w="11909" w:h="16834"/>
          <w:pgMar w:top="1356" w:right="1309" w:bottom="360" w:left="1308" w:header="720" w:footer="720" w:gutter="0"/>
          <w:cols w:num="2" w:space="720" w:equalWidth="0">
            <w:col w:w="4305" w:space="682"/>
            <w:col w:w="4305"/>
          </w:cols>
          <w:noEndnote/>
        </w:sectPr>
      </w:pPr>
    </w:p>
    <w:p w14:paraId="4F67B035" w14:textId="77777777" w:rsidR="00591D54" w:rsidRDefault="00591D54">
      <w:pPr>
        <w:shd w:val="clear" w:color="auto" w:fill="FFFFFF"/>
        <w:tabs>
          <w:tab w:val="left" w:pos="584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- 155</w:t>
      </w:r>
    </w:p>
    <w:p w14:paraId="4F67B036" w14:textId="77777777" w:rsidR="00591D54" w:rsidRDefault="00591D54">
      <w:pPr>
        <w:shd w:val="clear" w:color="auto" w:fill="FFFFFF"/>
        <w:tabs>
          <w:tab w:val="left" w:pos="5842"/>
        </w:tabs>
        <w:spacing w:after="230"/>
        <w:ind w:left="5"/>
        <w:sectPr w:rsidR="00591D54">
          <w:pgSz w:w="11909" w:h="16834"/>
          <w:pgMar w:top="1375" w:right="1309" w:bottom="360" w:left="1308" w:header="720" w:footer="720" w:gutter="0"/>
          <w:cols w:space="60"/>
          <w:noEndnote/>
        </w:sectPr>
      </w:pPr>
    </w:p>
    <w:p w14:paraId="4F67B037" w14:textId="77777777" w:rsidR="00591D54" w:rsidRDefault="00591D54">
      <w:pPr>
        <w:shd w:val="clear" w:color="auto" w:fill="FFFFFF"/>
        <w:spacing w:line="216" w:lineRule="exact"/>
        <w:jc w:val="both"/>
      </w:pPr>
      <w:r>
        <w:rPr>
          <w:b/>
          <w:bCs/>
          <w:spacing w:val="-4"/>
          <w:sz w:val="18"/>
          <w:szCs w:val="18"/>
          <w:lang w:val="es-ES_tradnl"/>
        </w:rPr>
        <w:t>RAZ</w:t>
      </w:r>
      <w:r>
        <w:rPr>
          <w:rFonts w:cs="Times New Roman"/>
          <w:b/>
          <w:bCs/>
          <w:spacing w:val="-4"/>
          <w:sz w:val="18"/>
          <w:szCs w:val="18"/>
          <w:lang w:val="es-ES_tradnl"/>
        </w:rPr>
        <w:t>Ó</w:t>
      </w:r>
      <w:r>
        <w:rPr>
          <w:b/>
          <w:bCs/>
          <w:spacing w:val="-4"/>
          <w:sz w:val="18"/>
          <w:szCs w:val="18"/>
          <w:lang w:val="es-ES_tradnl"/>
        </w:rPr>
        <w:t xml:space="preserve">N.- </w:t>
      </w:r>
      <w:r>
        <w:rPr>
          <w:spacing w:val="-4"/>
          <w:sz w:val="18"/>
          <w:szCs w:val="18"/>
          <w:lang w:val="es-ES_tradnl"/>
        </w:rPr>
        <w:t xml:space="preserve">Siento por tal, que la sentencia que antecede </w:t>
      </w:r>
      <w:r>
        <w:rPr>
          <w:spacing w:val="-7"/>
          <w:sz w:val="18"/>
          <w:szCs w:val="18"/>
          <w:lang w:val="es-ES_tradnl"/>
        </w:rPr>
        <w:t xml:space="preserve">fue aprobada por el Pleno de la Corte Constitucional, con </w:t>
      </w:r>
      <w:r>
        <w:rPr>
          <w:spacing w:val="-9"/>
          <w:sz w:val="18"/>
          <w:szCs w:val="18"/>
          <w:lang w:val="es-ES_tradnl"/>
        </w:rPr>
        <w:t>cinco votos de las se</w:t>
      </w:r>
      <w:r>
        <w:rPr>
          <w:rFonts w:cs="Times New Roman"/>
          <w:spacing w:val="-9"/>
          <w:sz w:val="18"/>
          <w:szCs w:val="18"/>
          <w:lang w:val="es-ES_tradnl"/>
        </w:rPr>
        <w:t>ñ</w:t>
      </w:r>
      <w:r>
        <w:rPr>
          <w:spacing w:val="-9"/>
          <w:sz w:val="18"/>
          <w:szCs w:val="18"/>
          <w:lang w:val="es-ES_tradnl"/>
        </w:rPr>
        <w:t>oras juezas y se</w:t>
      </w:r>
      <w:r>
        <w:rPr>
          <w:rFonts w:cs="Times New Roman"/>
          <w:spacing w:val="-9"/>
          <w:sz w:val="18"/>
          <w:szCs w:val="18"/>
          <w:lang w:val="es-ES_tradnl"/>
        </w:rPr>
        <w:t>ñ</w:t>
      </w:r>
      <w:r>
        <w:rPr>
          <w:spacing w:val="-9"/>
          <w:sz w:val="18"/>
          <w:szCs w:val="18"/>
          <w:lang w:val="es-ES_tradnl"/>
        </w:rPr>
        <w:t xml:space="preserve">ores jueces: Antonio </w:t>
      </w:r>
      <w:r>
        <w:rPr>
          <w:spacing w:val="-2"/>
          <w:sz w:val="18"/>
          <w:szCs w:val="18"/>
          <w:lang w:val="es-ES_tradnl"/>
        </w:rPr>
        <w:t xml:space="preserve">Gagliardo Loor, Marcelo Jaramillo Villa, Alfredo Ruiz </w:t>
      </w:r>
      <w:r>
        <w:rPr>
          <w:spacing w:val="-7"/>
          <w:sz w:val="18"/>
          <w:szCs w:val="18"/>
          <w:lang w:val="es-ES_tradnl"/>
        </w:rPr>
        <w:t>Guzm</w:t>
      </w:r>
      <w:r>
        <w:rPr>
          <w:rFonts w:cs="Times New Roman"/>
          <w:spacing w:val="-7"/>
          <w:sz w:val="18"/>
          <w:szCs w:val="18"/>
          <w:lang w:val="es-ES_tradnl"/>
        </w:rPr>
        <w:t>á</w:t>
      </w:r>
      <w:r>
        <w:rPr>
          <w:spacing w:val="-7"/>
          <w:sz w:val="18"/>
          <w:szCs w:val="18"/>
          <w:lang w:val="es-ES_tradnl"/>
        </w:rPr>
        <w:t xml:space="preserve">n, Ruth Seni Pinoargote y Wendy Molina Andrade, </w:t>
      </w:r>
      <w:r>
        <w:rPr>
          <w:spacing w:val="-8"/>
          <w:sz w:val="18"/>
          <w:szCs w:val="18"/>
          <w:lang w:val="es-ES_tradnl"/>
        </w:rPr>
        <w:t>sin contar con la presencia de los jueces Mar</w:t>
      </w:r>
      <w:r>
        <w:rPr>
          <w:rFonts w:cs="Times New Roman"/>
          <w:spacing w:val="-8"/>
          <w:sz w:val="18"/>
          <w:szCs w:val="18"/>
          <w:lang w:val="es-ES_tradnl"/>
        </w:rPr>
        <w:t>í</w:t>
      </w:r>
      <w:r>
        <w:rPr>
          <w:spacing w:val="-8"/>
          <w:sz w:val="18"/>
          <w:szCs w:val="18"/>
          <w:lang w:val="es-ES_tradnl"/>
        </w:rPr>
        <w:t xml:space="preserve">a del Carmen </w:t>
      </w:r>
      <w:r>
        <w:rPr>
          <w:spacing w:val="-6"/>
          <w:sz w:val="18"/>
          <w:szCs w:val="18"/>
          <w:lang w:val="es-ES_tradnl"/>
        </w:rPr>
        <w:t>Maldonado S</w:t>
      </w:r>
      <w:r>
        <w:rPr>
          <w:rFonts w:cs="Times New Roman"/>
          <w:spacing w:val="-6"/>
          <w:sz w:val="18"/>
          <w:szCs w:val="18"/>
          <w:lang w:val="es-ES_tradnl"/>
        </w:rPr>
        <w:t>á</w:t>
      </w:r>
      <w:r>
        <w:rPr>
          <w:spacing w:val="-6"/>
          <w:sz w:val="18"/>
          <w:szCs w:val="18"/>
          <w:lang w:val="es-ES_tradnl"/>
        </w:rPr>
        <w:t>nchez, Tatiana Orde</w:t>
      </w:r>
      <w:r>
        <w:rPr>
          <w:rFonts w:cs="Times New Roman"/>
          <w:spacing w:val="-6"/>
          <w:sz w:val="18"/>
          <w:szCs w:val="18"/>
          <w:lang w:val="es-ES_tradnl"/>
        </w:rPr>
        <w:t>ñ</w:t>
      </w:r>
      <w:r>
        <w:rPr>
          <w:spacing w:val="-6"/>
          <w:sz w:val="18"/>
          <w:szCs w:val="18"/>
          <w:lang w:val="es-ES_tradnl"/>
        </w:rPr>
        <w:t xml:space="preserve">ana Sierra, Manuel </w:t>
      </w:r>
      <w:r>
        <w:rPr>
          <w:spacing w:val="-8"/>
          <w:sz w:val="18"/>
          <w:szCs w:val="18"/>
          <w:lang w:val="es-ES_tradnl"/>
        </w:rPr>
        <w:t>Viteri Olvera y Patricio Pazmi</w:t>
      </w:r>
      <w:r>
        <w:rPr>
          <w:rFonts w:cs="Times New Roman"/>
          <w:spacing w:val="-8"/>
          <w:sz w:val="18"/>
          <w:szCs w:val="18"/>
          <w:lang w:val="es-ES_tradnl"/>
        </w:rPr>
        <w:t>ñ</w:t>
      </w:r>
      <w:r>
        <w:rPr>
          <w:spacing w:val="-8"/>
          <w:sz w:val="18"/>
          <w:szCs w:val="18"/>
          <w:lang w:val="es-ES_tradnl"/>
        </w:rPr>
        <w:t>o Freire, en sesi</w:t>
      </w:r>
      <w:r>
        <w:rPr>
          <w:rFonts w:cs="Times New Roman"/>
          <w:spacing w:val="-8"/>
          <w:sz w:val="18"/>
          <w:szCs w:val="18"/>
          <w:lang w:val="es-ES_tradnl"/>
        </w:rPr>
        <w:t>ó</w:t>
      </w:r>
      <w:r>
        <w:rPr>
          <w:spacing w:val="-8"/>
          <w:sz w:val="18"/>
          <w:szCs w:val="18"/>
          <w:lang w:val="es-ES_tradnl"/>
        </w:rPr>
        <w:t xml:space="preserve">n del 05 de </w:t>
      </w:r>
      <w:r>
        <w:rPr>
          <w:sz w:val="18"/>
          <w:szCs w:val="18"/>
          <w:lang w:val="es-ES_tradnl"/>
        </w:rPr>
        <w:t>agosto de 2015. Lo certifico.</w:t>
      </w:r>
    </w:p>
    <w:p w14:paraId="4F67B038" w14:textId="77777777" w:rsidR="00591D54" w:rsidRDefault="00591D54">
      <w:pPr>
        <w:shd w:val="clear" w:color="auto" w:fill="FFFFFF"/>
        <w:spacing w:before="192"/>
      </w:pPr>
      <w:r>
        <w:rPr>
          <w:spacing w:val="-4"/>
          <w:sz w:val="18"/>
          <w:szCs w:val="18"/>
          <w:lang w:val="es-ES_tradnl"/>
        </w:rPr>
        <w:t xml:space="preserve">f.) Jaime Pozo Chamorro, </w:t>
      </w:r>
      <w:r>
        <w:rPr>
          <w:b/>
          <w:bCs/>
          <w:spacing w:val="-4"/>
          <w:sz w:val="18"/>
          <w:szCs w:val="18"/>
          <w:lang w:val="es-ES_tradnl"/>
        </w:rPr>
        <w:t>SECRETARIO GENERAL.</w:t>
      </w:r>
    </w:p>
    <w:p w14:paraId="4F67B039" w14:textId="77777777" w:rsidR="00591D54" w:rsidRDefault="00591D54">
      <w:pPr>
        <w:shd w:val="clear" w:color="auto" w:fill="FFFFFF"/>
        <w:spacing w:before="192"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03A" w14:textId="77777777" w:rsidR="00591D54" w:rsidRDefault="00591D54">
      <w:pPr>
        <w:shd w:val="clear" w:color="auto" w:fill="FFFFFF"/>
        <w:spacing w:before="192"/>
      </w:pPr>
      <w:r>
        <w:rPr>
          <w:b/>
          <w:bCs/>
          <w:spacing w:val="-5"/>
          <w:sz w:val="18"/>
          <w:szCs w:val="18"/>
          <w:u w:val="single"/>
          <w:lang w:val="es-ES_tradnl"/>
        </w:rPr>
        <w:t>CASO Nro. 1012-14-EP</w:t>
      </w:r>
    </w:p>
    <w:p w14:paraId="4F67B03B" w14:textId="77777777" w:rsidR="00591D54" w:rsidRDefault="00591D54">
      <w:pPr>
        <w:shd w:val="clear" w:color="auto" w:fill="FFFFFF"/>
        <w:spacing w:before="192" w:line="216" w:lineRule="exact"/>
        <w:jc w:val="both"/>
      </w:pPr>
      <w:r>
        <w:rPr>
          <w:b/>
          <w:bCs/>
          <w:spacing w:val="-4"/>
          <w:sz w:val="18"/>
          <w:szCs w:val="18"/>
          <w:lang w:val="es-ES_tradnl"/>
        </w:rPr>
        <w:t>RAZ</w:t>
      </w:r>
      <w:r>
        <w:rPr>
          <w:rFonts w:cs="Times New Roman"/>
          <w:b/>
          <w:bCs/>
          <w:spacing w:val="-4"/>
          <w:sz w:val="18"/>
          <w:szCs w:val="18"/>
          <w:lang w:val="es-ES_tradnl"/>
        </w:rPr>
        <w:t>Ó</w:t>
      </w:r>
      <w:r>
        <w:rPr>
          <w:b/>
          <w:bCs/>
          <w:spacing w:val="-4"/>
          <w:sz w:val="18"/>
          <w:szCs w:val="18"/>
          <w:lang w:val="es-ES_tradnl"/>
        </w:rPr>
        <w:t xml:space="preserve">N.- </w:t>
      </w:r>
      <w:r>
        <w:rPr>
          <w:spacing w:val="-4"/>
          <w:sz w:val="18"/>
          <w:szCs w:val="18"/>
          <w:lang w:val="es-ES_tradnl"/>
        </w:rPr>
        <w:t xml:space="preserve">Siento por tal, que la Jueza Wendy Molina </w:t>
      </w:r>
      <w:r>
        <w:rPr>
          <w:spacing w:val="-6"/>
          <w:sz w:val="18"/>
          <w:szCs w:val="18"/>
          <w:lang w:val="es-ES_tradnl"/>
        </w:rPr>
        <w:t>Andrade, suscribi</w:t>
      </w:r>
      <w:r>
        <w:rPr>
          <w:rFonts w:cs="Times New Roman"/>
          <w:spacing w:val="-6"/>
          <w:sz w:val="18"/>
          <w:szCs w:val="18"/>
          <w:lang w:val="es-ES_tradnl"/>
        </w:rPr>
        <w:t>ó</w:t>
      </w:r>
      <w:r>
        <w:rPr>
          <w:spacing w:val="-6"/>
          <w:sz w:val="18"/>
          <w:szCs w:val="18"/>
          <w:lang w:val="es-ES_tradnl"/>
        </w:rPr>
        <w:t xml:space="preserve"> la presente sentencia el d</w:t>
      </w:r>
      <w:r>
        <w:rPr>
          <w:rFonts w:cs="Times New Roman"/>
          <w:spacing w:val="-6"/>
          <w:sz w:val="18"/>
          <w:szCs w:val="18"/>
          <w:lang w:val="es-ES_tradnl"/>
        </w:rPr>
        <w:t>í</w:t>
      </w:r>
      <w:r>
        <w:rPr>
          <w:spacing w:val="-6"/>
          <w:sz w:val="18"/>
          <w:szCs w:val="18"/>
          <w:lang w:val="es-ES_tradnl"/>
        </w:rPr>
        <w:t xml:space="preserve">a martes 01 </w:t>
      </w:r>
      <w:r>
        <w:rPr>
          <w:spacing w:val="-8"/>
          <w:sz w:val="18"/>
          <w:szCs w:val="18"/>
          <w:lang w:val="es-ES_tradnl"/>
        </w:rPr>
        <w:t xml:space="preserve">de septiembre del 2015, en calidad de presidenta (e) de la </w:t>
      </w:r>
      <w:r>
        <w:rPr>
          <w:spacing w:val="-7"/>
          <w:sz w:val="18"/>
          <w:szCs w:val="18"/>
          <w:lang w:val="es-ES_tradnl"/>
        </w:rPr>
        <w:t>Corte Constitucional, al momento de expedirse la misma.-</w:t>
      </w:r>
      <w:r>
        <w:rPr>
          <w:sz w:val="18"/>
          <w:szCs w:val="18"/>
          <w:lang w:val="es-ES_tradnl"/>
        </w:rPr>
        <w:t>Lo certifico.</w:t>
      </w:r>
    </w:p>
    <w:p w14:paraId="4F67B03C" w14:textId="77777777" w:rsidR="00591D54" w:rsidRDefault="00591D54">
      <w:pPr>
        <w:shd w:val="clear" w:color="auto" w:fill="FFFFFF"/>
        <w:spacing w:before="192"/>
      </w:pPr>
      <w:r>
        <w:rPr>
          <w:spacing w:val="-7"/>
          <w:sz w:val="18"/>
          <w:szCs w:val="18"/>
          <w:lang w:val="es-ES_tradnl"/>
        </w:rPr>
        <w:t xml:space="preserve">f.) Jaime Pozo Chamorro, </w:t>
      </w:r>
      <w:r>
        <w:rPr>
          <w:b/>
          <w:bCs/>
          <w:spacing w:val="-7"/>
          <w:sz w:val="18"/>
          <w:szCs w:val="18"/>
          <w:lang w:val="es-ES_tradnl"/>
        </w:rPr>
        <w:t>Secretario General.</w:t>
      </w:r>
    </w:p>
    <w:p w14:paraId="4F67B03D" w14:textId="77777777" w:rsidR="00591D54" w:rsidRDefault="00591D54">
      <w:pPr>
        <w:shd w:val="clear" w:color="auto" w:fill="FFFFFF"/>
        <w:spacing w:before="187"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03E" w14:textId="77777777" w:rsidR="00591D54" w:rsidRDefault="00591D54">
      <w:pPr>
        <w:shd w:val="clear" w:color="auto" w:fill="FFFFFF"/>
        <w:spacing w:before="1094" w:line="442" w:lineRule="exact"/>
      </w:pPr>
      <w:r>
        <w:rPr>
          <w:spacing w:val="-6"/>
          <w:sz w:val="18"/>
          <w:szCs w:val="18"/>
          <w:lang w:val="es-ES_tradnl"/>
        </w:rPr>
        <w:t>Quito, D. M., 05 de agosto de 2015</w:t>
      </w:r>
    </w:p>
    <w:p w14:paraId="4F67B03F" w14:textId="77777777" w:rsidR="00591D54" w:rsidRDefault="00591D54">
      <w:pPr>
        <w:shd w:val="clear" w:color="auto" w:fill="FFFFFF"/>
        <w:spacing w:line="442" w:lineRule="exact"/>
        <w:ind w:right="5"/>
        <w:jc w:val="center"/>
      </w:pPr>
      <w:r>
        <w:rPr>
          <w:b/>
          <w:bCs/>
          <w:spacing w:val="-2"/>
          <w:sz w:val="18"/>
          <w:szCs w:val="18"/>
          <w:u w:val="single"/>
          <w:lang w:val="es-ES_tradnl"/>
        </w:rPr>
        <w:t>SENTENCIA N.</w:t>
      </w:r>
      <w:r>
        <w:rPr>
          <w:rFonts w:cs="Times New Roman"/>
          <w:b/>
          <w:bCs/>
          <w:spacing w:val="-2"/>
          <w:sz w:val="18"/>
          <w:szCs w:val="18"/>
          <w:u w:val="single"/>
          <w:lang w:val="es-ES_tradnl"/>
        </w:rPr>
        <w:t>º</w:t>
      </w:r>
      <w:r>
        <w:rPr>
          <w:b/>
          <w:bCs/>
          <w:spacing w:val="-2"/>
          <w:sz w:val="18"/>
          <w:szCs w:val="18"/>
          <w:u w:val="single"/>
          <w:lang w:val="es-ES_tradnl"/>
        </w:rPr>
        <w:t xml:space="preserve"> 254-15-SEP-CC</w:t>
      </w:r>
    </w:p>
    <w:p w14:paraId="4F67B040" w14:textId="77777777" w:rsidR="00591D54" w:rsidRDefault="00591D54">
      <w:pPr>
        <w:shd w:val="clear" w:color="auto" w:fill="FFFFFF"/>
        <w:spacing w:line="442" w:lineRule="exact"/>
        <w:ind w:left="10"/>
        <w:jc w:val="center"/>
      </w:pPr>
      <w:r>
        <w:rPr>
          <w:b/>
          <w:bCs/>
          <w:spacing w:val="-4"/>
          <w:sz w:val="18"/>
          <w:szCs w:val="18"/>
          <w:u w:val="single"/>
          <w:lang w:val="es-ES_tradnl"/>
        </w:rPr>
        <w:t>CASO N.</w:t>
      </w:r>
      <w:r>
        <w:rPr>
          <w:rFonts w:cs="Times New Roman"/>
          <w:b/>
          <w:bCs/>
          <w:spacing w:val="-4"/>
          <w:sz w:val="18"/>
          <w:szCs w:val="18"/>
          <w:u w:val="single"/>
          <w:lang w:val="es-ES_tradnl"/>
        </w:rPr>
        <w:t>º</w:t>
      </w:r>
      <w:r>
        <w:rPr>
          <w:b/>
          <w:bCs/>
          <w:spacing w:val="-4"/>
          <w:sz w:val="18"/>
          <w:szCs w:val="18"/>
          <w:u w:val="single"/>
          <w:lang w:val="es-ES_tradnl"/>
        </w:rPr>
        <w:t xml:space="preserve"> 1905-12-EP</w:t>
      </w:r>
    </w:p>
    <w:p w14:paraId="4F67B041" w14:textId="77777777" w:rsidR="00591D54" w:rsidRDefault="00591D54">
      <w:pPr>
        <w:shd w:val="clear" w:color="auto" w:fill="FFFFFF"/>
        <w:spacing w:line="442" w:lineRule="exact"/>
        <w:ind w:right="5"/>
        <w:jc w:val="center"/>
      </w:pPr>
      <w:r>
        <w:rPr>
          <w:b/>
          <w:bCs/>
          <w:sz w:val="18"/>
          <w:szCs w:val="18"/>
          <w:lang w:val="es-ES_tradnl"/>
        </w:rPr>
        <w:t>CORTE CONSTITUCIONAL DEL ECUADOR</w:t>
      </w:r>
    </w:p>
    <w:p w14:paraId="4F67B042" w14:textId="77777777" w:rsidR="00591D54" w:rsidRDefault="00591D54">
      <w:pPr>
        <w:shd w:val="clear" w:color="auto" w:fill="FFFFFF"/>
        <w:spacing w:before="398"/>
        <w:ind w:left="1330"/>
      </w:pPr>
      <w:r>
        <w:rPr>
          <w:b/>
          <w:bCs/>
          <w:sz w:val="18"/>
          <w:szCs w:val="18"/>
          <w:lang w:val="es-ES_tradnl"/>
        </w:rPr>
        <w:t>I. ANTECEDENTES</w:t>
      </w:r>
    </w:p>
    <w:p w14:paraId="4F67B043" w14:textId="77777777" w:rsidR="00591D54" w:rsidRDefault="00591D54">
      <w:pPr>
        <w:shd w:val="clear" w:color="auto" w:fill="FFFFFF"/>
        <w:spacing w:before="206"/>
      </w:pPr>
      <w:r>
        <w:rPr>
          <w:b/>
          <w:bCs/>
          <w:spacing w:val="-8"/>
          <w:sz w:val="18"/>
          <w:szCs w:val="18"/>
          <w:lang w:val="es-ES_tradnl"/>
        </w:rPr>
        <w:t>Resumen de admisibilidad</w:t>
      </w:r>
    </w:p>
    <w:p w14:paraId="4F67B044" w14:textId="77777777" w:rsidR="00591D54" w:rsidRDefault="00591D54">
      <w:pPr>
        <w:shd w:val="clear" w:color="auto" w:fill="FFFFFF"/>
        <w:spacing w:before="206" w:line="226" w:lineRule="exact"/>
        <w:jc w:val="both"/>
      </w:pPr>
      <w:r>
        <w:rPr>
          <w:spacing w:val="-6"/>
          <w:sz w:val="18"/>
          <w:szCs w:val="18"/>
          <w:lang w:val="es-ES_tradnl"/>
        </w:rPr>
        <w:t>La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fue presentada por </w:t>
      </w:r>
      <w:r>
        <w:rPr>
          <w:spacing w:val="-5"/>
          <w:sz w:val="18"/>
          <w:szCs w:val="18"/>
          <w:lang w:val="es-ES_tradnl"/>
        </w:rPr>
        <w:t>Jos</w:t>
      </w:r>
      <w:r>
        <w:rPr>
          <w:rFonts w:cs="Times New Roman"/>
          <w:spacing w:val="-5"/>
          <w:sz w:val="18"/>
          <w:szCs w:val="18"/>
          <w:lang w:val="es-ES_tradnl"/>
        </w:rPr>
        <w:t>é</w:t>
      </w:r>
      <w:r>
        <w:rPr>
          <w:spacing w:val="-5"/>
          <w:sz w:val="18"/>
          <w:szCs w:val="18"/>
          <w:lang w:val="es-ES_tradnl"/>
        </w:rPr>
        <w:t xml:space="preserve"> Francisco Vacas D</w:t>
      </w:r>
      <w:r>
        <w:rPr>
          <w:rFonts w:cs="Times New Roman"/>
          <w:spacing w:val="-5"/>
          <w:sz w:val="18"/>
          <w:szCs w:val="18"/>
          <w:lang w:val="es-ES_tradnl"/>
        </w:rPr>
        <w:t>á</w:t>
      </w:r>
      <w:r>
        <w:rPr>
          <w:spacing w:val="-5"/>
          <w:sz w:val="18"/>
          <w:szCs w:val="18"/>
          <w:lang w:val="es-ES_tradnl"/>
        </w:rPr>
        <w:t xml:space="preserve">vila en calidad de ministro de </w:t>
      </w:r>
      <w:r>
        <w:rPr>
          <w:spacing w:val="-7"/>
          <w:sz w:val="18"/>
          <w:szCs w:val="18"/>
          <w:lang w:val="es-ES_tradnl"/>
        </w:rPr>
        <w:t xml:space="preserve">Relaciones Laborales contra la sentencia dictada el 07 de </w:t>
      </w:r>
      <w:r>
        <w:rPr>
          <w:spacing w:val="-8"/>
          <w:sz w:val="18"/>
          <w:szCs w:val="18"/>
          <w:lang w:val="es-ES_tradnl"/>
        </w:rPr>
        <w:t xml:space="preserve">septiembre de 2012 a las 12h20, por los jueces de la Sala </w:t>
      </w:r>
      <w:r>
        <w:rPr>
          <w:spacing w:val="-5"/>
          <w:sz w:val="18"/>
          <w:szCs w:val="18"/>
          <w:lang w:val="es-ES_tradnl"/>
        </w:rPr>
        <w:t xml:space="preserve">Especializada de lo Civil, Mercantil, Inquilinato y Materias </w:t>
      </w:r>
      <w:r>
        <w:rPr>
          <w:spacing w:val="-9"/>
          <w:sz w:val="18"/>
          <w:szCs w:val="18"/>
          <w:lang w:val="es-ES_tradnl"/>
        </w:rPr>
        <w:t>Residuales de la Corte Provincial de Justicia del Ca</w:t>
      </w:r>
      <w:r>
        <w:rPr>
          <w:rFonts w:cs="Times New Roman"/>
          <w:spacing w:val="-9"/>
          <w:sz w:val="18"/>
          <w:szCs w:val="18"/>
          <w:lang w:val="es-ES_tradnl"/>
        </w:rPr>
        <w:t>ñ</w:t>
      </w:r>
      <w:r>
        <w:rPr>
          <w:spacing w:val="-9"/>
          <w:sz w:val="18"/>
          <w:szCs w:val="18"/>
          <w:lang w:val="es-ES_tradnl"/>
        </w:rPr>
        <w:t xml:space="preserve">ar, que </w:t>
      </w:r>
      <w:r>
        <w:rPr>
          <w:spacing w:val="-6"/>
          <w:sz w:val="18"/>
          <w:szCs w:val="18"/>
          <w:lang w:val="es-ES_tradnl"/>
        </w:rPr>
        <w:t>resuelve rehabilitar a la se</w:t>
      </w:r>
      <w:r>
        <w:rPr>
          <w:rFonts w:cs="Times New Roman"/>
          <w:spacing w:val="-6"/>
          <w:sz w:val="18"/>
          <w:szCs w:val="18"/>
          <w:lang w:val="es-ES_tradnl"/>
        </w:rPr>
        <w:t>ñ</w:t>
      </w:r>
      <w:r>
        <w:rPr>
          <w:spacing w:val="-6"/>
          <w:sz w:val="18"/>
          <w:szCs w:val="18"/>
          <w:lang w:val="es-ES_tradnl"/>
        </w:rPr>
        <w:t>ora Ruth Germania Guti</w:t>
      </w:r>
      <w:r>
        <w:rPr>
          <w:rFonts w:cs="Times New Roman"/>
          <w:spacing w:val="-6"/>
          <w:sz w:val="18"/>
          <w:szCs w:val="18"/>
          <w:lang w:val="es-ES_tradnl"/>
        </w:rPr>
        <w:t>é</w:t>
      </w:r>
      <w:r>
        <w:rPr>
          <w:spacing w:val="-6"/>
          <w:sz w:val="18"/>
          <w:szCs w:val="18"/>
          <w:lang w:val="es-ES_tradnl"/>
        </w:rPr>
        <w:t xml:space="preserve">rrez </w:t>
      </w:r>
      <w:r>
        <w:rPr>
          <w:spacing w:val="-8"/>
          <w:sz w:val="18"/>
          <w:szCs w:val="18"/>
          <w:lang w:val="es-ES_tradnl"/>
        </w:rPr>
        <w:t>Ortega, para que pueda desempe</w:t>
      </w:r>
      <w:r>
        <w:rPr>
          <w:rFonts w:cs="Times New Roman"/>
          <w:spacing w:val="-8"/>
          <w:sz w:val="18"/>
          <w:szCs w:val="18"/>
          <w:lang w:val="es-ES_tradnl"/>
        </w:rPr>
        <w:t>ñ</w:t>
      </w:r>
      <w:r>
        <w:rPr>
          <w:spacing w:val="-8"/>
          <w:sz w:val="18"/>
          <w:szCs w:val="18"/>
          <w:lang w:val="es-ES_tradnl"/>
        </w:rPr>
        <w:t>ar cargo p</w:t>
      </w:r>
      <w:r>
        <w:rPr>
          <w:rFonts w:cs="Times New Roman"/>
          <w:spacing w:val="-8"/>
          <w:sz w:val="18"/>
          <w:szCs w:val="18"/>
          <w:lang w:val="es-ES_tradnl"/>
        </w:rPr>
        <w:t>ú</w:t>
      </w:r>
      <w:r>
        <w:rPr>
          <w:spacing w:val="-8"/>
          <w:sz w:val="18"/>
          <w:szCs w:val="18"/>
          <w:lang w:val="es-ES_tradnl"/>
        </w:rPr>
        <w:t xml:space="preserve">blico, dentro </w:t>
      </w:r>
      <w:r>
        <w:rPr>
          <w:sz w:val="18"/>
          <w:szCs w:val="18"/>
          <w:lang w:val="es-ES_tradnl"/>
        </w:rPr>
        <w:t>de la acci</w:t>
      </w:r>
      <w:r>
        <w:rPr>
          <w:rFonts w:cs="Times New Roman"/>
          <w:sz w:val="18"/>
          <w:szCs w:val="18"/>
          <w:lang w:val="es-ES_tradnl"/>
        </w:rPr>
        <w:t>ó</w:t>
      </w:r>
      <w:r>
        <w:rPr>
          <w:sz w:val="18"/>
          <w:szCs w:val="18"/>
          <w:lang w:val="es-ES_tradnl"/>
        </w:rPr>
        <w:t>n de protecci</w:t>
      </w:r>
      <w:r>
        <w:rPr>
          <w:rFonts w:cs="Times New Roman"/>
          <w:sz w:val="18"/>
          <w:szCs w:val="18"/>
          <w:lang w:val="es-ES_tradnl"/>
        </w:rPr>
        <w:t>ó</w:t>
      </w:r>
      <w:r>
        <w:rPr>
          <w:sz w:val="18"/>
          <w:szCs w:val="18"/>
          <w:lang w:val="es-ES_tradnl"/>
        </w:rPr>
        <w:t>n N.</w:t>
      </w:r>
      <w:r>
        <w:rPr>
          <w:rFonts w:cs="Times New Roman"/>
          <w:sz w:val="18"/>
          <w:szCs w:val="18"/>
          <w:lang w:val="es-ES_tradnl"/>
        </w:rPr>
        <w:t>º</w:t>
      </w:r>
      <w:r>
        <w:rPr>
          <w:sz w:val="18"/>
          <w:szCs w:val="18"/>
          <w:lang w:val="es-ES_tradnl"/>
        </w:rPr>
        <w:t xml:space="preserve"> 2012-467.</w:t>
      </w:r>
    </w:p>
    <w:p w14:paraId="4F67B045" w14:textId="77777777" w:rsidR="00591D54" w:rsidRDefault="00591D54">
      <w:pPr>
        <w:shd w:val="clear" w:color="auto" w:fill="FFFFFF"/>
        <w:spacing w:before="211" w:line="226" w:lineRule="exact"/>
        <w:jc w:val="both"/>
      </w:pPr>
      <w:r>
        <w:rPr>
          <w:spacing w:val="-9"/>
          <w:sz w:val="18"/>
          <w:szCs w:val="18"/>
          <w:lang w:val="es-ES_tradnl"/>
        </w:rPr>
        <w:t xml:space="preserve">El 06 de noviembre de 2012, se posesionaron ante el Pleno </w:t>
      </w:r>
      <w:r>
        <w:rPr>
          <w:spacing w:val="-4"/>
          <w:sz w:val="18"/>
          <w:szCs w:val="18"/>
          <w:lang w:val="es-ES_tradnl"/>
        </w:rPr>
        <w:t>de la Asamblea Nacional los jueces de la Primera Corte</w:t>
      </w:r>
    </w:p>
    <w:p w14:paraId="4F67B046" w14:textId="77777777" w:rsidR="00591D54" w:rsidRDefault="00591D54">
      <w:pPr>
        <w:shd w:val="clear" w:color="auto" w:fill="FFFFFF"/>
        <w:spacing w:before="5" w:line="216" w:lineRule="exact"/>
        <w:jc w:val="both"/>
      </w:pPr>
      <w:r>
        <w:br w:type="column"/>
      </w:r>
      <w:r>
        <w:rPr>
          <w:spacing w:val="-5"/>
          <w:sz w:val="18"/>
          <w:szCs w:val="18"/>
          <w:lang w:val="es-ES_tradnl"/>
        </w:rPr>
        <w:t xml:space="preserve">Constitucional, integrada conforme lo dispuesto en los </w:t>
      </w:r>
      <w:r>
        <w:rPr>
          <w:spacing w:val="-6"/>
          <w:sz w:val="18"/>
          <w:szCs w:val="18"/>
          <w:lang w:val="es-ES_tradnl"/>
        </w:rPr>
        <w:t>art</w:t>
      </w:r>
      <w:r>
        <w:rPr>
          <w:rFonts w:cs="Times New Roman"/>
          <w:spacing w:val="-6"/>
          <w:sz w:val="18"/>
          <w:szCs w:val="18"/>
          <w:lang w:val="es-ES_tradnl"/>
        </w:rPr>
        <w:t>í</w:t>
      </w:r>
      <w:r>
        <w:rPr>
          <w:spacing w:val="-6"/>
          <w:sz w:val="18"/>
          <w:szCs w:val="18"/>
          <w:lang w:val="es-ES_tradnl"/>
        </w:rPr>
        <w:t>culos 432 y 434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del </w:t>
      </w:r>
      <w:r>
        <w:rPr>
          <w:sz w:val="18"/>
          <w:szCs w:val="18"/>
          <w:lang w:val="es-ES_tradnl"/>
        </w:rPr>
        <w:t>Ecuador.</w:t>
      </w:r>
    </w:p>
    <w:p w14:paraId="4F67B047" w14:textId="77777777" w:rsidR="00591D54" w:rsidRDefault="00591D54">
      <w:pPr>
        <w:shd w:val="clear" w:color="auto" w:fill="FFFFFF"/>
        <w:spacing w:before="197" w:line="216" w:lineRule="exact"/>
        <w:jc w:val="both"/>
      </w:pPr>
      <w:r>
        <w:rPr>
          <w:spacing w:val="-4"/>
          <w:sz w:val="18"/>
          <w:szCs w:val="18"/>
          <w:lang w:val="es-ES_tradnl"/>
        </w:rPr>
        <w:t>De conformidad con lo dispuesto en el art</w:t>
      </w:r>
      <w:r>
        <w:rPr>
          <w:rFonts w:cs="Times New Roman"/>
          <w:spacing w:val="-4"/>
          <w:sz w:val="18"/>
          <w:szCs w:val="18"/>
          <w:lang w:val="es-ES_tradnl"/>
        </w:rPr>
        <w:t>í</w:t>
      </w:r>
      <w:r>
        <w:rPr>
          <w:spacing w:val="-4"/>
          <w:sz w:val="18"/>
          <w:szCs w:val="18"/>
          <w:lang w:val="es-ES_tradnl"/>
        </w:rPr>
        <w:t xml:space="preserve">culo 62 de la </w:t>
      </w:r>
      <w:r>
        <w:rPr>
          <w:spacing w:val="-5"/>
          <w:sz w:val="18"/>
          <w:szCs w:val="18"/>
          <w:lang w:val="es-ES_tradnl"/>
        </w:rPr>
        <w:t>Ley Org</w:t>
      </w:r>
      <w:r>
        <w:rPr>
          <w:rFonts w:cs="Times New Roman"/>
          <w:spacing w:val="-5"/>
          <w:sz w:val="18"/>
          <w:szCs w:val="18"/>
          <w:lang w:val="es-ES_tradnl"/>
        </w:rPr>
        <w:t>á</w:t>
      </w:r>
      <w:r>
        <w:rPr>
          <w:spacing w:val="-5"/>
          <w:sz w:val="18"/>
          <w:szCs w:val="18"/>
          <w:lang w:val="es-ES_tradnl"/>
        </w:rPr>
        <w:t>nica de Garant</w:t>
      </w:r>
      <w:r>
        <w:rPr>
          <w:rFonts w:cs="Times New Roman"/>
          <w:spacing w:val="-5"/>
          <w:sz w:val="18"/>
          <w:szCs w:val="18"/>
          <w:lang w:val="es-ES_tradnl"/>
        </w:rPr>
        <w:t>í</w:t>
      </w:r>
      <w:r>
        <w:rPr>
          <w:spacing w:val="-5"/>
          <w:sz w:val="18"/>
          <w:szCs w:val="18"/>
          <w:lang w:val="es-ES_tradnl"/>
        </w:rPr>
        <w:t xml:space="preserve">as Jurisdiccionales y Control </w:t>
      </w:r>
      <w:r>
        <w:rPr>
          <w:spacing w:val="-4"/>
          <w:sz w:val="18"/>
          <w:szCs w:val="18"/>
          <w:lang w:val="es-ES_tradnl"/>
        </w:rPr>
        <w:t>Constitucional, la causa N.</w:t>
      </w:r>
      <w:r>
        <w:rPr>
          <w:rFonts w:cs="Times New Roman"/>
          <w:spacing w:val="-4"/>
          <w:sz w:val="18"/>
          <w:szCs w:val="18"/>
          <w:lang w:val="es-ES_tradnl"/>
        </w:rPr>
        <w:t>º</w:t>
      </w:r>
      <w:r>
        <w:rPr>
          <w:spacing w:val="-4"/>
          <w:sz w:val="18"/>
          <w:szCs w:val="18"/>
          <w:lang w:val="es-ES_tradnl"/>
        </w:rPr>
        <w:t xml:space="preserve"> 2012-467 fue remitida a la </w:t>
      </w:r>
      <w:r>
        <w:rPr>
          <w:spacing w:val="-7"/>
          <w:sz w:val="18"/>
          <w:szCs w:val="18"/>
          <w:lang w:val="es-ES_tradnl"/>
        </w:rPr>
        <w:t>Corte Constitucional mediante oficio N.</w:t>
      </w:r>
      <w:r>
        <w:rPr>
          <w:rFonts w:cs="Times New Roman"/>
          <w:spacing w:val="-7"/>
          <w:sz w:val="18"/>
          <w:szCs w:val="18"/>
          <w:lang w:val="es-ES_tradnl"/>
        </w:rPr>
        <w:t>º</w:t>
      </w:r>
      <w:r>
        <w:rPr>
          <w:spacing w:val="-7"/>
          <w:sz w:val="18"/>
          <w:szCs w:val="18"/>
          <w:lang w:val="es-ES_tradnl"/>
        </w:rPr>
        <w:t xml:space="preserve"> 361-2012-CPJC-</w:t>
      </w:r>
      <w:r>
        <w:rPr>
          <w:spacing w:val="-5"/>
          <w:sz w:val="18"/>
          <w:szCs w:val="18"/>
          <w:lang w:val="es-ES_tradnl"/>
        </w:rPr>
        <w:t xml:space="preserve">SEC-SC del 28 de noviembre de 2012, suscrito por la </w:t>
      </w:r>
      <w:r>
        <w:rPr>
          <w:spacing w:val="-8"/>
          <w:sz w:val="18"/>
          <w:szCs w:val="18"/>
          <w:lang w:val="es-ES_tradnl"/>
        </w:rPr>
        <w:t>doctora Mar</w:t>
      </w:r>
      <w:r>
        <w:rPr>
          <w:rFonts w:cs="Times New Roman"/>
          <w:spacing w:val="-8"/>
          <w:sz w:val="18"/>
          <w:szCs w:val="18"/>
          <w:lang w:val="es-ES_tradnl"/>
        </w:rPr>
        <w:t>í</w:t>
      </w:r>
      <w:r>
        <w:rPr>
          <w:spacing w:val="-8"/>
          <w:sz w:val="18"/>
          <w:szCs w:val="18"/>
          <w:lang w:val="es-ES_tradnl"/>
        </w:rPr>
        <w:t xml:space="preserve">a Augusta Rivas, secretaria relatora de la Sala </w:t>
      </w:r>
      <w:r>
        <w:rPr>
          <w:spacing w:val="-3"/>
          <w:sz w:val="18"/>
          <w:szCs w:val="18"/>
          <w:lang w:val="es-ES_tradnl"/>
        </w:rPr>
        <w:t xml:space="preserve">Especializada de lo Civil, Mercantil, Laboral y Materias </w:t>
      </w:r>
      <w:r>
        <w:rPr>
          <w:spacing w:val="-6"/>
          <w:sz w:val="18"/>
          <w:szCs w:val="18"/>
          <w:lang w:val="es-ES_tradnl"/>
        </w:rPr>
        <w:t>Residuales de la Corte Provincial del Ca</w:t>
      </w:r>
      <w:r>
        <w:rPr>
          <w:rFonts w:cs="Times New Roman"/>
          <w:spacing w:val="-6"/>
          <w:sz w:val="18"/>
          <w:szCs w:val="18"/>
          <w:lang w:val="es-ES_tradnl"/>
        </w:rPr>
        <w:t>ñ</w:t>
      </w:r>
      <w:r>
        <w:rPr>
          <w:spacing w:val="-6"/>
          <w:sz w:val="18"/>
          <w:szCs w:val="18"/>
          <w:lang w:val="es-ES_tradnl"/>
        </w:rPr>
        <w:t>ar.</w:t>
      </w:r>
    </w:p>
    <w:p w14:paraId="4F67B048" w14:textId="77777777" w:rsidR="00591D54" w:rsidRDefault="00591D54">
      <w:pPr>
        <w:shd w:val="clear" w:color="auto" w:fill="FFFFFF"/>
        <w:spacing w:before="197" w:line="216" w:lineRule="exact"/>
        <w:jc w:val="both"/>
      </w:pPr>
      <w:r>
        <w:rPr>
          <w:spacing w:val="-5"/>
          <w:sz w:val="18"/>
          <w:szCs w:val="18"/>
          <w:lang w:val="es-ES_tradnl"/>
        </w:rPr>
        <w:t xml:space="preserve">El secretario general de la Corte Constitucional, el 29 de </w:t>
      </w:r>
      <w:r>
        <w:rPr>
          <w:spacing w:val="-8"/>
          <w:sz w:val="18"/>
          <w:szCs w:val="18"/>
          <w:lang w:val="es-ES_tradnl"/>
        </w:rPr>
        <w:t>noviembre de 2012, certific</w:t>
      </w:r>
      <w:r>
        <w:rPr>
          <w:rFonts w:cs="Times New Roman"/>
          <w:spacing w:val="-8"/>
          <w:sz w:val="18"/>
          <w:szCs w:val="18"/>
          <w:lang w:val="es-ES_tradnl"/>
        </w:rPr>
        <w:t>ó</w:t>
      </w:r>
      <w:r>
        <w:rPr>
          <w:spacing w:val="-8"/>
          <w:sz w:val="18"/>
          <w:szCs w:val="18"/>
          <w:lang w:val="es-ES_tradnl"/>
        </w:rPr>
        <w:t xml:space="preserve"> que no se ha presentado otra </w:t>
      </w:r>
      <w:r>
        <w:rPr>
          <w:spacing w:val="-7"/>
          <w:sz w:val="18"/>
          <w:szCs w:val="18"/>
          <w:lang w:val="es-ES_tradnl"/>
        </w:rPr>
        <w:t>demanda con identidad de objeto y acci</w:t>
      </w:r>
      <w:r>
        <w:rPr>
          <w:rFonts w:cs="Times New Roman"/>
          <w:spacing w:val="-7"/>
          <w:sz w:val="18"/>
          <w:szCs w:val="18"/>
          <w:lang w:val="es-ES_tradnl"/>
        </w:rPr>
        <w:t>ó</w:t>
      </w:r>
      <w:r>
        <w:rPr>
          <w:spacing w:val="-7"/>
          <w:sz w:val="18"/>
          <w:szCs w:val="18"/>
          <w:lang w:val="es-ES_tradnl"/>
        </w:rPr>
        <w:t>n.</w:t>
      </w:r>
    </w:p>
    <w:p w14:paraId="4F67B049" w14:textId="77777777" w:rsidR="00591D54" w:rsidRDefault="00591D54">
      <w:pPr>
        <w:shd w:val="clear" w:color="auto" w:fill="FFFFFF"/>
        <w:spacing w:before="197" w:line="216" w:lineRule="exact"/>
        <w:jc w:val="both"/>
      </w:pPr>
      <w:r>
        <w:rPr>
          <w:spacing w:val="-2"/>
          <w:sz w:val="18"/>
          <w:szCs w:val="18"/>
          <w:lang w:val="es-ES_tradnl"/>
        </w:rPr>
        <w:t>La Sala de Admisi</w:t>
      </w:r>
      <w:r>
        <w:rPr>
          <w:rFonts w:cs="Times New Roman"/>
          <w:spacing w:val="-2"/>
          <w:sz w:val="18"/>
          <w:szCs w:val="18"/>
          <w:lang w:val="es-ES_tradnl"/>
        </w:rPr>
        <w:t>ó</w:t>
      </w:r>
      <w:r>
        <w:rPr>
          <w:spacing w:val="-2"/>
          <w:sz w:val="18"/>
          <w:szCs w:val="18"/>
          <w:lang w:val="es-ES_tradnl"/>
        </w:rPr>
        <w:t xml:space="preserve">n conformada por las juezas </w:t>
      </w:r>
      <w:r>
        <w:rPr>
          <w:spacing w:val="-6"/>
          <w:sz w:val="18"/>
          <w:szCs w:val="18"/>
          <w:lang w:val="es-ES_tradnl"/>
        </w:rPr>
        <w:t>constitucionales Mar</w:t>
      </w:r>
      <w:r>
        <w:rPr>
          <w:rFonts w:cs="Times New Roman"/>
          <w:spacing w:val="-6"/>
          <w:sz w:val="18"/>
          <w:szCs w:val="18"/>
          <w:lang w:val="es-ES_tradnl"/>
        </w:rPr>
        <w:t>í</w:t>
      </w:r>
      <w:r>
        <w:rPr>
          <w:spacing w:val="-6"/>
          <w:sz w:val="18"/>
          <w:szCs w:val="18"/>
          <w:lang w:val="es-ES_tradnl"/>
        </w:rPr>
        <w:t xml:space="preserve">a del Carmen Maldonado y Tatiana </w:t>
      </w:r>
      <w:r>
        <w:rPr>
          <w:spacing w:val="-7"/>
          <w:sz w:val="18"/>
          <w:szCs w:val="18"/>
          <w:lang w:val="es-ES_tradnl"/>
        </w:rPr>
        <w:t>Orde</w:t>
      </w:r>
      <w:r>
        <w:rPr>
          <w:rFonts w:cs="Times New Roman"/>
          <w:spacing w:val="-7"/>
          <w:sz w:val="18"/>
          <w:szCs w:val="18"/>
          <w:lang w:val="es-ES_tradnl"/>
        </w:rPr>
        <w:t>ñ</w:t>
      </w:r>
      <w:r>
        <w:rPr>
          <w:spacing w:val="-7"/>
          <w:sz w:val="18"/>
          <w:szCs w:val="18"/>
          <w:lang w:val="es-ES_tradnl"/>
        </w:rPr>
        <w:t>ana Sierra y el juez constitucional Marcelo Jaramillo Villa, mediante voto de mayor</w:t>
      </w:r>
      <w:r>
        <w:rPr>
          <w:rFonts w:cs="Times New Roman"/>
          <w:spacing w:val="-7"/>
          <w:sz w:val="18"/>
          <w:szCs w:val="18"/>
          <w:lang w:val="es-ES_tradnl"/>
        </w:rPr>
        <w:t>í</w:t>
      </w:r>
      <w:r>
        <w:rPr>
          <w:spacing w:val="-7"/>
          <w:sz w:val="18"/>
          <w:szCs w:val="18"/>
          <w:lang w:val="es-ES_tradnl"/>
        </w:rPr>
        <w:t xml:space="preserve">a expidieron el 20 de marzo </w:t>
      </w:r>
      <w:r>
        <w:rPr>
          <w:spacing w:val="-5"/>
          <w:sz w:val="18"/>
          <w:szCs w:val="18"/>
          <w:lang w:val="es-ES_tradnl"/>
        </w:rPr>
        <w:t>de 2013 a las 10h12, el auto de admisi</w:t>
      </w:r>
      <w:r>
        <w:rPr>
          <w:rFonts w:cs="Times New Roman"/>
          <w:spacing w:val="-5"/>
          <w:sz w:val="18"/>
          <w:szCs w:val="18"/>
          <w:lang w:val="es-ES_tradnl"/>
        </w:rPr>
        <w:t>ó</w:t>
      </w:r>
      <w:r>
        <w:rPr>
          <w:spacing w:val="-5"/>
          <w:sz w:val="18"/>
          <w:szCs w:val="18"/>
          <w:lang w:val="es-ES_tradnl"/>
        </w:rPr>
        <w:t>n a tr</w:t>
      </w:r>
      <w:r>
        <w:rPr>
          <w:rFonts w:cs="Times New Roman"/>
          <w:spacing w:val="-5"/>
          <w:sz w:val="18"/>
          <w:szCs w:val="18"/>
          <w:lang w:val="es-ES_tradnl"/>
        </w:rPr>
        <w:t>á</w:t>
      </w:r>
      <w:r>
        <w:rPr>
          <w:spacing w:val="-5"/>
          <w:sz w:val="18"/>
          <w:szCs w:val="18"/>
          <w:lang w:val="es-ES_tradnl"/>
        </w:rPr>
        <w:t xml:space="preserve">mite de la </w:t>
      </w:r>
      <w:r>
        <w:rPr>
          <w:spacing w:val="-6"/>
          <w:sz w:val="18"/>
          <w:szCs w:val="18"/>
          <w:lang w:val="es-ES_tradnl"/>
        </w:rPr>
        <w:t>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n N.</w:t>
      </w:r>
      <w:r>
        <w:rPr>
          <w:rFonts w:cs="Times New Roman"/>
          <w:spacing w:val="-6"/>
          <w:sz w:val="18"/>
          <w:szCs w:val="18"/>
          <w:lang w:val="es-ES_tradnl"/>
        </w:rPr>
        <w:t>º</w:t>
      </w:r>
      <w:r>
        <w:rPr>
          <w:spacing w:val="-6"/>
          <w:sz w:val="18"/>
          <w:szCs w:val="18"/>
          <w:lang w:val="es-ES_tradnl"/>
        </w:rPr>
        <w:t xml:space="preserve"> 1905-12-EP.</w:t>
      </w:r>
    </w:p>
    <w:p w14:paraId="4F67B04A" w14:textId="77777777" w:rsidR="00591D54" w:rsidRDefault="00591D54">
      <w:pPr>
        <w:shd w:val="clear" w:color="auto" w:fill="FFFFFF"/>
        <w:spacing w:before="192" w:line="216" w:lineRule="exact"/>
        <w:jc w:val="both"/>
      </w:pPr>
      <w:r>
        <w:rPr>
          <w:spacing w:val="-9"/>
          <w:sz w:val="18"/>
          <w:szCs w:val="18"/>
          <w:lang w:val="es-ES_tradnl"/>
        </w:rPr>
        <w:t>Efectuado el sorteo correspondiente en sesi</w:t>
      </w:r>
      <w:r>
        <w:rPr>
          <w:rFonts w:cs="Times New Roman"/>
          <w:spacing w:val="-9"/>
          <w:sz w:val="18"/>
          <w:szCs w:val="18"/>
          <w:lang w:val="es-ES_tradnl"/>
        </w:rPr>
        <w:t>ó</w:t>
      </w:r>
      <w:r>
        <w:rPr>
          <w:spacing w:val="-9"/>
          <w:sz w:val="18"/>
          <w:szCs w:val="18"/>
          <w:lang w:val="es-ES_tradnl"/>
        </w:rPr>
        <w:t xml:space="preserve">n del Pleno de </w:t>
      </w:r>
      <w:r>
        <w:rPr>
          <w:spacing w:val="-4"/>
          <w:sz w:val="18"/>
          <w:szCs w:val="18"/>
          <w:lang w:val="es-ES_tradnl"/>
        </w:rPr>
        <w:t>la Corte Constitucional, realizada el 23 de abril de 2013, le correspondi</w:t>
      </w:r>
      <w:r>
        <w:rPr>
          <w:rFonts w:cs="Times New Roman"/>
          <w:spacing w:val="-4"/>
          <w:sz w:val="18"/>
          <w:szCs w:val="18"/>
          <w:lang w:val="es-ES_tradnl"/>
        </w:rPr>
        <w:t>ó</w:t>
      </w:r>
      <w:r>
        <w:rPr>
          <w:spacing w:val="-4"/>
          <w:sz w:val="18"/>
          <w:szCs w:val="18"/>
          <w:lang w:val="es-ES_tradnl"/>
        </w:rPr>
        <w:t xml:space="preserve"> al juez constitucional Antonio Gagliardo </w:t>
      </w:r>
      <w:r>
        <w:rPr>
          <w:spacing w:val="-7"/>
          <w:sz w:val="18"/>
          <w:szCs w:val="18"/>
          <w:lang w:val="es-ES_tradnl"/>
        </w:rPr>
        <w:t>Loor sustanciar el presente caso conforme al memorando de Secretar</w:t>
      </w:r>
      <w:r>
        <w:rPr>
          <w:rFonts w:cs="Times New Roman"/>
          <w:spacing w:val="-7"/>
          <w:sz w:val="18"/>
          <w:szCs w:val="18"/>
          <w:lang w:val="es-ES_tradnl"/>
        </w:rPr>
        <w:t>í</w:t>
      </w:r>
      <w:r>
        <w:rPr>
          <w:spacing w:val="-7"/>
          <w:sz w:val="18"/>
          <w:szCs w:val="18"/>
          <w:lang w:val="es-ES_tradnl"/>
        </w:rPr>
        <w:t>a General N.</w:t>
      </w:r>
      <w:r>
        <w:rPr>
          <w:rFonts w:cs="Times New Roman"/>
          <w:spacing w:val="-7"/>
          <w:sz w:val="18"/>
          <w:szCs w:val="18"/>
          <w:lang w:val="es-ES_tradnl"/>
        </w:rPr>
        <w:t>º</w:t>
      </w:r>
      <w:r>
        <w:rPr>
          <w:spacing w:val="-7"/>
          <w:sz w:val="18"/>
          <w:szCs w:val="18"/>
          <w:lang w:val="es-ES_tradnl"/>
        </w:rPr>
        <w:t xml:space="preserve"> 191-CCE-SG-SUS-2013 del 24 </w:t>
      </w:r>
      <w:r>
        <w:rPr>
          <w:sz w:val="18"/>
          <w:szCs w:val="18"/>
          <w:lang w:val="es-ES_tradnl"/>
        </w:rPr>
        <w:t>de abril de 2013.</w:t>
      </w:r>
    </w:p>
    <w:p w14:paraId="4F67B04B" w14:textId="77777777" w:rsidR="00591D54" w:rsidRDefault="00591D54">
      <w:pPr>
        <w:shd w:val="clear" w:color="auto" w:fill="FFFFFF"/>
        <w:spacing w:before="192" w:line="216" w:lineRule="exact"/>
        <w:jc w:val="both"/>
      </w:pPr>
      <w:r>
        <w:rPr>
          <w:spacing w:val="-6"/>
          <w:sz w:val="18"/>
          <w:szCs w:val="18"/>
          <w:lang w:val="es-ES_tradnl"/>
        </w:rPr>
        <w:t>El juez sustanciador mediante providencia del 22 de abril de 2015 a las 10h45, avoc</w:t>
      </w:r>
      <w:r>
        <w:rPr>
          <w:rFonts w:cs="Times New Roman"/>
          <w:spacing w:val="-6"/>
          <w:sz w:val="18"/>
          <w:szCs w:val="18"/>
          <w:lang w:val="es-ES_tradnl"/>
        </w:rPr>
        <w:t>ó</w:t>
      </w:r>
      <w:r>
        <w:rPr>
          <w:spacing w:val="-6"/>
          <w:sz w:val="18"/>
          <w:szCs w:val="18"/>
          <w:lang w:val="es-ES_tradnl"/>
        </w:rPr>
        <w:t xml:space="preserve"> conocimiento de la presente </w:t>
      </w:r>
      <w:r>
        <w:rPr>
          <w:spacing w:val="-9"/>
          <w:sz w:val="18"/>
          <w:szCs w:val="18"/>
          <w:lang w:val="es-ES_tradnl"/>
        </w:rPr>
        <w:t xml:space="preserve">causa, notificando a los jueces de la Sala Especializada de </w:t>
      </w:r>
      <w:r>
        <w:rPr>
          <w:spacing w:val="-2"/>
          <w:sz w:val="18"/>
          <w:szCs w:val="18"/>
          <w:lang w:val="es-ES_tradnl"/>
        </w:rPr>
        <w:t xml:space="preserve">lo Civil, Mercantil, Inquilinato y Materias Residuales de </w:t>
      </w:r>
      <w:r>
        <w:rPr>
          <w:spacing w:val="-6"/>
          <w:sz w:val="18"/>
          <w:szCs w:val="18"/>
          <w:lang w:val="es-ES_tradnl"/>
        </w:rPr>
        <w:t>la Corte Provincial de Justicia del Ca</w:t>
      </w:r>
      <w:r>
        <w:rPr>
          <w:rFonts w:cs="Times New Roman"/>
          <w:spacing w:val="-6"/>
          <w:sz w:val="18"/>
          <w:szCs w:val="18"/>
          <w:lang w:val="es-ES_tradnl"/>
        </w:rPr>
        <w:t>ñ</w:t>
      </w:r>
      <w:r>
        <w:rPr>
          <w:spacing w:val="-6"/>
          <w:sz w:val="18"/>
          <w:szCs w:val="18"/>
          <w:lang w:val="es-ES_tradnl"/>
        </w:rPr>
        <w:t>ar, la recepci</w:t>
      </w:r>
      <w:r>
        <w:rPr>
          <w:rFonts w:cs="Times New Roman"/>
          <w:spacing w:val="-6"/>
          <w:sz w:val="18"/>
          <w:szCs w:val="18"/>
          <w:lang w:val="es-ES_tradnl"/>
        </w:rPr>
        <w:t>ó</w:t>
      </w:r>
      <w:r>
        <w:rPr>
          <w:spacing w:val="-6"/>
          <w:sz w:val="18"/>
          <w:szCs w:val="18"/>
          <w:lang w:val="es-ES_tradnl"/>
        </w:rPr>
        <w:t xml:space="preserve">n del </w:t>
      </w:r>
      <w:r>
        <w:rPr>
          <w:spacing w:val="-8"/>
          <w:sz w:val="18"/>
          <w:szCs w:val="18"/>
          <w:lang w:val="es-ES_tradnl"/>
        </w:rPr>
        <w:t xml:space="preserve">proceso y solicitando un informe de descargo debidamente </w:t>
      </w:r>
      <w:r>
        <w:rPr>
          <w:spacing w:val="-9"/>
          <w:sz w:val="18"/>
          <w:szCs w:val="18"/>
          <w:lang w:val="es-ES_tradnl"/>
        </w:rPr>
        <w:t>motivado sobre los fundamentos de la acci</w:t>
      </w:r>
      <w:r>
        <w:rPr>
          <w:rFonts w:cs="Times New Roman"/>
          <w:spacing w:val="-9"/>
          <w:sz w:val="18"/>
          <w:szCs w:val="18"/>
          <w:lang w:val="es-ES_tradnl"/>
        </w:rPr>
        <w:t>ó</w:t>
      </w:r>
      <w:r>
        <w:rPr>
          <w:spacing w:val="-9"/>
          <w:sz w:val="18"/>
          <w:szCs w:val="18"/>
          <w:lang w:val="es-ES_tradnl"/>
        </w:rPr>
        <w:t>n, en el t</w:t>
      </w:r>
      <w:r>
        <w:rPr>
          <w:rFonts w:cs="Times New Roman"/>
          <w:spacing w:val="-9"/>
          <w:sz w:val="18"/>
          <w:szCs w:val="18"/>
          <w:lang w:val="es-ES_tradnl"/>
        </w:rPr>
        <w:t>é</w:t>
      </w:r>
      <w:r>
        <w:rPr>
          <w:spacing w:val="-9"/>
          <w:sz w:val="18"/>
          <w:szCs w:val="18"/>
          <w:lang w:val="es-ES_tradnl"/>
        </w:rPr>
        <w:t xml:space="preserve">rmino </w:t>
      </w:r>
      <w:r>
        <w:rPr>
          <w:spacing w:val="-6"/>
          <w:sz w:val="18"/>
          <w:szCs w:val="18"/>
          <w:lang w:val="es-ES_tradnl"/>
        </w:rPr>
        <w:t>de ocho d</w:t>
      </w:r>
      <w:r>
        <w:rPr>
          <w:rFonts w:cs="Times New Roman"/>
          <w:spacing w:val="-6"/>
          <w:sz w:val="18"/>
          <w:szCs w:val="18"/>
          <w:lang w:val="es-ES_tradnl"/>
        </w:rPr>
        <w:t>í</w:t>
      </w:r>
      <w:r>
        <w:rPr>
          <w:spacing w:val="-6"/>
          <w:sz w:val="18"/>
          <w:szCs w:val="18"/>
          <w:lang w:val="es-ES_tradnl"/>
        </w:rPr>
        <w:t>as; disponiendo adem</w:t>
      </w:r>
      <w:r>
        <w:rPr>
          <w:rFonts w:cs="Times New Roman"/>
          <w:spacing w:val="-6"/>
          <w:sz w:val="18"/>
          <w:szCs w:val="18"/>
          <w:lang w:val="es-ES_tradnl"/>
        </w:rPr>
        <w:t>á</w:t>
      </w:r>
      <w:r>
        <w:rPr>
          <w:spacing w:val="-6"/>
          <w:sz w:val="18"/>
          <w:szCs w:val="18"/>
          <w:lang w:val="es-ES_tradnl"/>
        </w:rPr>
        <w:t xml:space="preserve">s, que se notifique al </w:t>
      </w:r>
      <w:r>
        <w:rPr>
          <w:spacing w:val="-4"/>
          <w:sz w:val="18"/>
          <w:szCs w:val="18"/>
          <w:lang w:val="es-ES_tradnl"/>
        </w:rPr>
        <w:t xml:space="preserve">procurador general del Estado, al gerente general del </w:t>
      </w:r>
      <w:r>
        <w:rPr>
          <w:spacing w:val="-5"/>
          <w:sz w:val="18"/>
          <w:szCs w:val="18"/>
          <w:lang w:val="es-ES_tradnl"/>
        </w:rPr>
        <w:t>Banco Central del Ecuador, al responsable de la Unidad de Recursos Humanos de la Direcci</w:t>
      </w:r>
      <w:r>
        <w:rPr>
          <w:rFonts w:cs="Times New Roman"/>
          <w:spacing w:val="-5"/>
          <w:sz w:val="18"/>
          <w:szCs w:val="18"/>
          <w:lang w:val="es-ES_tradnl"/>
        </w:rPr>
        <w:t>ó</w:t>
      </w:r>
      <w:r>
        <w:rPr>
          <w:spacing w:val="-5"/>
          <w:sz w:val="18"/>
          <w:szCs w:val="18"/>
          <w:lang w:val="es-ES_tradnl"/>
        </w:rPr>
        <w:t xml:space="preserve">n Provincial de </w:t>
      </w:r>
      <w:r>
        <w:rPr>
          <w:spacing w:val="-9"/>
          <w:sz w:val="18"/>
          <w:szCs w:val="18"/>
          <w:lang w:val="es-ES_tradnl"/>
        </w:rPr>
        <w:t>Educaci</w:t>
      </w:r>
      <w:r>
        <w:rPr>
          <w:rFonts w:cs="Times New Roman"/>
          <w:spacing w:val="-9"/>
          <w:sz w:val="18"/>
          <w:szCs w:val="18"/>
          <w:lang w:val="es-ES_tradnl"/>
        </w:rPr>
        <w:t>ó</w:t>
      </w:r>
      <w:r>
        <w:rPr>
          <w:spacing w:val="-9"/>
          <w:sz w:val="18"/>
          <w:szCs w:val="18"/>
          <w:lang w:val="es-ES_tradnl"/>
        </w:rPr>
        <w:t>n Hispana del Ca</w:t>
      </w:r>
      <w:r>
        <w:rPr>
          <w:rFonts w:cs="Times New Roman"/>
          <w:spacing w:val="-9"/>
          <w:sz w:val="18"/>
          <w:szCs w:val="18"/>
          <w:lang w:val="es-ES_tradnl"/>
        </w:rPr>
        <w:t>ñ</w:t>
      </w:r>
      <w:r>
        <w:rPr>
          <w:spacing w:val="-9"/>
          <w:sz w:val="18"/>
          <w:szCs w:val="18"/>
          <w:lang w:val="es-ES_tradnl"/>
        </w:rPr>
        <w:t>ar y a la se</w:t>
      </w:r>
      <w:r>
        <w:rPr>
          <w:rFonts w:cs="Times New Roman"/>
          <w:spacing w:val="-9"/>
          <w:sz w:val="18"/>
          <w:szCs w:val="18"/>
          <w:lang w:val="es-ES_tradnl"/>
        </w:rPr>
        <w:t>ñ</w:t>
      </w:r>
      <w:r>
        <w:rPr>
          <w:spacing w:val="-9"/>
          <w:sz w:val="18"/>
          <w:szCs w:val="18"/>
          <w:lang w:val="es-ES_tradnl"/>
        </w:rPr>
        <w:t xml:space="preserve">ora Ruth Germania </w:t>
      </w:r>
      <w:r>
        <w:rPr>
          <w:spacing w:val="-5"/>
          <w:sz w:val="18"/>
          <w:szCs w:val="18"/>
          <w:lang w:val="es-ES_tradnl"/>
        </w:rPr>
        <w:t>Guti</w:t>
      </w:r>
      <w:r>
        <w:rPr>
          <w:rFonts w:cs="Times New Roman"/>
          <w:spacing w:val="-5"/>
          <w:sz w:val="18"/>
          <w:szCs w:val="18"/>
          <w:lang w:val="es-ES_tradnl"/>
        </w:rPr>
        <w:t>é</w:t>
      </w:r>
      <w:r>
        <w:rPr>
          <w:spacing w:val="-5"/>
          <w:sz w:val="18"/>
          <w:szCs w:val="18"/>
          <w:lang w:val="es-ES_tradnl"/>
        </w:rPr>
        <w:t>rrez Ortega, advirti</w:t>
      </w:r>
      <w:r>
        <w:rPr>
          <w:rFonts w:cs="Times New Roman"/>
          <w:spacing w:val="-5"/>
          <w:sz w:val="18"/>
          <w:szCs w:val="18"/>
          <w:lang w:val="es-ES_tradnl"/>
        </w:rPr>
        <w:t>é</w:t>
      </w:r>
      <w:r>
        <w:rPr>
          <w:spacing w:val="-5"/>
          <w:sz w:val="18"/>
          <w:szCs w:val="18"/>
          <w:lang w:val="es-ES_tradnl"/>
        </w:rPr>
        <w:t>ndoles la obligaci</w:t>
      </w:r>
      <w:r>
        <w:rPr>
          <w:rFonts w:cs="Times New Roman"/>
          <w:spacing w:val="-5"/>
          <w:sz w:val="18"/>
          <w:szCs w:val="18"/>
          <w:lang w:val="es-ES_tradnl"/>
        </w:rPr>
        <w:t>ó</w:t>
      </w:r>
      <w:r>
        <w:rPr>
          <w:spacing w:val="-5"/>
          <w:sz w:val="18"/>
          <w:szCs w:val="18"/>
          <w:lang w:val="es-ES_tradnl"/>
        </w:rPr>
        <w:t>n de se</w:t>
      </w:r>
      <w:r>
        <w:rPr>
          <w:rFonts w:cs="Times New Roman"/>
          <w:spacing w:val="-5"/>
          <w:sz w:val="18"/>
          <w:szCs w:val="18"/>
          <w:lang w:val="es-ES_tradnl"/>
        </w:rPr>
        <w:t>ñ</w:t>
      </w:r>
      <w:r>
        <w:rPr>
          <w:spacing w:val="-5"/>
          <w:sz w:val="18"/>
          <w:szCs w:val="18"/>
          <w:lang w:val="es-ES_tradnl"/>
        </w:rPr>
        <w:t xml:space="preserve">alar </w:t>
      </w:r>
      <w:r>
        <w:rPr>
          <w:sz w:val="18"/>
          <w:szCs w:val="18"/>
          <w:lang w:val="es-ES_tradnl"/>
        </w:rPr>
        <w:t>casilla judicial en la presente causa.</w:t>
      </w:r>
    </w:p>
    <w:p w14:paraId="4F67B04C" w14:textId="77777777" w:rsidR="00591D54" w:rsidRDefault="00591D54">
      <w:pPr>
        <w:shd w:val="clear" w:color="auto" w:fill="FFFFFF"/>
        <w:spacing w:before="187"/>
      </w:pPr>
      <w:r>
        <w:rPr>
          <w:b/>
          <w:bCs/>
          <w:spacing w:val="-9"/>
          <w:sz w:val="18"/>
          <w:szCs w:val="18"/>
          <w:lang w:val="es-ES_tradnl"/>
        </w:rPr>
        <w:t>Decisi</w:t>
      </w:r>
      <w:r>
        <w:rPr>
          <w:rFonts w:cs="Times New Roman"/>
          <w:b/>
          <w:bCs/>
          <w:spacing w:val="-9"/>
          <w:sz w:val="18"/>
          <w:szCs w:val="18"/>
          <w:lang w:val="es-ES_tradnl"/>
        </w:rPr>
        <w:t>ó</w:t>
      </w:r>
      <w:r>
        <w:rPr>
          <w:b/>
          <w:bCs/>
          <w:spacing w:val="-9"/>
          <w:sz w:val="18"/>
          <w:szCs w:val="18"/>
          <w:lang w:val="es-ES_tradnl"/>
        </w:rPr>
        <w:t>n constitucional impugnada</w:t>
      </w:r>
    </w:p>
    <w:p w14:paraId="4F67B04D" w14:textId="77777777" w:rsidR="00591D54" w:rsidRDefault="00591D54">
      <w:pPr>
        <w:shd w:val="clear" w:color="auto" w:fill="FFFFFF"/>
        <w:spacing w:before="206" w:line="216" w:lineRule="exact"/>
        <w:ind w:left="283"/>
        <w:jc w:val="both"/>
      </w:pPr>
      <w:r>
        <w:rPr>
          <w:sz w:val="16"/>
          <w:szCs w:val="16"/>
          <w:lang w:val="es-ES_tradnl"/>
        </w:rPr>
        <w:t>CORTE PROVINCIAL DE JUSTICIA DEL CA</w:t>
      </w:r>
      <w:r>
        <w:rPr>
          <w:rFonts w:cs="Times New Roman"/>
          <w:sz w:val="16"/>
          <w:szCs w:val="16"/>
          <w:lang w:val="es-ES_tradnl"/>
        </w:rPr>
        <w:t>Ñ</w:t>
      </w:r>
      <w:r>
        <w:rPr>
          <w:sz w:val="16"/>
          <w:szCs w:val="16"/>
          <w:lang w:val="es-ES_tradnl"/>
        </w:rPr>
        <w:t xml:space="preserve">AR.-SALA ESPECIALIZADA DE LO CIVIL, MERCANTIL, </w:t>
      </w:r>
      <w:r>
        <w:rPr>
          <w:spacing w:val="-1"/>
          <w:sz w:val="16"/>
          <w:szCs w:val="16"/>
          <w:lang w:val="es-ES_tradnl"/>
        </w:rPr>
        <w:t xml:space="preserve">INQUILINATO Y MATERIAS RESIDUALES. Azogues, </w:t>
      </w:r>
      <w:r>
        <w:rPr>
          <w:spacing w:val="-5"/>
          <w:sz w:val="16"/>
          <w:szCs w:val="16"/>
          <w:lang w:val="es-ES_tradnl"/>
        </w:rPr>
        <w:t xml:space="preserve">viernes 7 de septiembre del 2012, las 12h20.- VISTOS: ( ) </w:t>
      </w:r>
      <w:r>
        <w:rPr>
          <w:spacing w:val="-6"/>
          <w:sz w:val="16"/>
          <w:szCs w:val="16"/>
          <w:lang w:val="es-ES_tradnl"/>
        </w:rPr>
        <w:t>D</w:t>
      </w:r>
      <w:r>
        <w:rPr>
          <w:rFonts w:cs="Times New Roman"/>
          <w:spacing w:val="-6"/>
          <w:sz w:val="16"/>
          <w:szCs w:val="16"/>
          <w:lang w:val="es-ES_tradnl"/>
        </w:rPr>
        <w:t>É</w:t>
      </w:r>
      <w:r>
        <w:rPr>
          <w:spacing w:val="-6"/>
          <w:sz w:val="16"/>
          <w:szCs w:val="16"/>
          <w:lang w:val="es-ES_tradnl"/>
        </w:rPr>
        <w:t xml:space="preserve">CIMO.- Si examinamos en forma minuciosa el expediente </w:t>
      </w:r>
      <w:r>
        <w:rPr>
          <w:spacing w:val="-7"/>
          <w:sz w:val="16"/>
          <w:szCs w:val="16"/>
          <w:lang w:val="es-ES_tradnl"/>
        </w:rPr>
        <w:t>que se ha formado, se encuentran hechos que la Sala los considera trascendentales para emitir su resoluci</w:t>
      </w:r>
      <w:r>
        <w:rPr>
          <w:rFonts w:cs="Times New Roman"/>
          <w:spacing w:val="-7"/>
          <w:sz w:val="16"/>
          <w:szCs w:val="16"/>
          <w:lang w:val="es-ES_tradnl"/>
        </w:rPr>
        <w:t>ó</w:t>
      </w:r>
      <w:r>
        <w:rPr>
          <w:spacing w:val="-7"/>
          <w:sz w:val="16"/>
          <w:szCs w:val="16"/>
          <w:lang w:val="es-ES_tradnl"/>
        </w:rPr>
        <w:t xml:space="preserve">n, a saber: 1).- La actora demuestra haber laborado en el Banco Central </w:t>
      </w:r>
      <w:r>
        <w:rPr>
          <w:spacing w:val="-5"/>
          <w:sz w:val="16"/>
          <w:szCs w:val="16"/>
          <w:lang w:val="es-ES_tradnl"/>
        </w:rPr>
        <w:t xml:space="preserve">del Ecuador, desde el 29 de junio de 1987 hasta el 28 de </w:t>
      </w:r>
      <w:r>
        <w:rPr>
          <w:spacing w:val="-4"/>
          <w:sz w:val="16"/>
          <w:szCs w:val="16"/>
          <w:lang w:val="es-ES_tradnl"/>
        </w:rPr>
        <w:t>febrero de 1994; 2).- Que ha recibido por indemnizaci</w:t>
      </w:r>
      <w:r>
        <w:rPr>
          <w:rFonts w:cs="Times New Roman"/>
          <w:spacing w:val="-4"/>
          <w:sz w:val="16"/>
          <w:szCs w:val="16"/>
          <w:lang w:val="es-ES_tradnl"/>
        </w:rPr>
        <w:t>ó</w:t>
      </w:r>
      <w:r>
        <w:rPr>
          <w:spacing w:val="-4"/>
          <w:sz w:val="16"/>
          <w:szCs w:val="16"/>
          <w:lang w:val="es-ES_tradnl"/>
        </w:rPr>
        <w:t xml:space="preserve">n la cantidad de quince millones novecientos treinta y tres mil </w:t>
      </w:r>
      <w:r>
        <w:rPr>
          <w:spacing w:val="-5"/>
          <w:sz w:val="16"/>
          <w:szCs w:val="16"/>
          <w:lang w:val="es-ES_tradnl"/>
        </w:rPr>
        <w:t xml:space="preserve">quinientos treinta y dos sucres; 3).- Que por mandado de la </w:t>
      </w:r>
      <w:r>
        <w:rPr>
          <w:spacing w:val="-6"/>
          <w:sz w:val="16"/>
          <w:szCs w:val="16"/>
          <w:lang w:val="es-ES_tradnl"/>
        </w:rPr>
        <w:t>Ley de Modernizaci</w:t>
      </w:r>
      <w:r>
        <w:rPr>
          <w:rFonts w:cs="Times New Roman"/>
          <w:spacing w:val="-6"/>
          <w:sz w:val="16"/>
          <w:szCs w:val="16"/>
          <w:lang w:val="es-ES_tradnl"/>
        </w:rPr>
        <w:t>ó</w:t>
      </w:r>
      <w:r>
        <w:rPr>
          <w:spacing w:val="-6"/>
          <w:sz w:val="16"/>
          <w:szCs w:val="16"/>
          <w:lang w:val="es-ES_tradnl"/>
        </w:rPr>
        <w:t xml:space="preserve">n vigente a la </w:t>
      </w:r>
      <w:r>
        <w:rPr>
          <w:rFonts w:cs="Times New Roman"/>
          <w:spacing w:val="-6"/>
          <w:sz w:val="16"/>
          <w:szCs w:val="16"/>
          <w:lang w:val="es-ES_tradnl"/>
        </w:rPr>
        <w:t>é</w:t>
      </w:r>
      <w:r>
        <w:rPr>
          <w:spacing w:val="-6"/>
          <w:sz w:val="16"/>
          <w:szCs w:val="16"/>
          <w:lang w:val="es-ES_tradnl"/>
        </w:rPr>
        <w:t xml:space="preserve">poca, las personas que </w:t>
      </w:r>
      <w:r>
        <w:rPr>
          <w:spacing w:val="-7"/>
          <w:sz w:val="16"/>
          <w:szCs w:val="16"/>
          <w:lang w:val="es-ES_tradnl"/>
        </w:rPr>
        <w:t>hayan vendido la renuncia, no pod</w:t>
      </w:r>
      <w:r>
        <w:rPr>
          <w:rFonts w:cs="Times New Roman"/>
          <w:spacing w:val="-7"/>
          <w:sz w:val="16"/>
          <w:szCs w:val="16"/>
          <w:lang w:val="es-ES_tradnl"/>
        </w:rPr>
        <w:t>í</w:t>
      </w:r>
      <w:r>
        <w:rPr>
          <w:spacing w:val="-7"/>
          <w:sz w:val="16"/>
          <w:szCs w:val="16"/>
          <w:lang w:val="es-ES_tradnl"/>
        </w:rPr>
        <w:t>an volver al sector p</w:t>
      </w:r>
      <w:r>
        <w:rPr>
          <w:rFonts w:cs="Times New Roman"/>
          <w:spacing w:val="-7"/>
          <w:sz w:val="16"/>
          <w:szCs w:val="16"/>
          <w:lang w:val="es-ES_tradnl"/>
        </w:rPr>
        <w:t>ú</w:t>
      </w:r>
      <w:r>
        <w:rPr>
          <w:spacing w:val="-7"/>
          <w:sz w:val="16"/>
          <w:szCs w:val="16"/>
          <w:lang w:val="es-ES_tradnl"/>
        </w:rPr>
        <w:t xml:space="preserve">blico; </w:t>
      </w:r>
      <w:r>
        <w:rPr>
          <w:spacing w:val="-3"/>
          <w:sz w:val="16"/>
          <w:szCs w:val="16"/>
          <w:lang w:val="es-ES_tradnl"/>
        </w:rPr>
        <w:t>4).- Que la Disposici</w:t>
      </w:r>
      <w:r>
        <w:rPr>
          <w:rFonts w:cs="Times New Roman"/>
          <w:spacing w:val="-3"/>
          <w:sz w:val="16"/>
          <w:szCs w:val="16"/>
          <w:lang w:val="es-ES_tradnl"/>
        </w:rPr>
        <w:t>ó</w:t>
      </w:r>
      <w:r>
        <w:rPr>
          <w:spacing w:val="-3"/>
          <w:sz w:val="16"/>
          <w:szCs w:val="16"/>
          <w:lang w:val="es-ES_tradnl"/>
        </w:rPr>
        <w:t>n General Segunda de la Ley para la</w:t>
      </w:r>
    </w:p>
    <w:p w14:paraId="4F67B04E" w14:textId="77777777" w:rsidR="00591D54" w:rsidRDefault="00591D54">
      <w:pPr>
        <w:shd w:val="clear" w:color="auto" w:fill="FFFFFF"/>
        <w:spacing w:before="206" w:line="216" w:lineRule="exact"/>
        <w:ind w:left="283"/>
        <w:jc w:val="both"/>
        <w:sectPr w:rsidR="00591D54">
          <w:type w:val="continuous"/>
          <w:pgSz w:w="11909" w:h="16834"/>
          <w:pgMar w:top="1375" w:right="1309" w:bottom="360" w:left="1308" w:header="720" w:footer="720" w:gutter="0"/>
          <w:cols w:num="2" w:space="720" w:equalWidth="0">
            <w:col w:w="4305" w:space="682"/>
            <w:col w:w="4305"/>
          </w:cols>
          <w:noEndnote/>
        </w:sectPr>
      </w:pPr>
    </w:p>
    <w:p w14:paraId="4F67B04F" w14:textId="77777777" w:rsidR="00591D54" w:rsidRDefault="00591D54">
      <w:pPr>
        <w:shd w:val="clear" w:color="auto" w:fill="FFFFFF"/>
        <w:tabs>
          <w:tab w:val="left" w:pos="4814"/>
        </w:tabs>
        <w:spacing w:after="230"/>
        <w:ind w:left="14"/>
      </w:pPr>
      <w:r>
        <w:rPr>
          <w:b/>
          <w:bCs/>
          <w:sz w:val="18"/>
          <w:szCs w:val="18"/>
          <w:lang w:val="es-ES_tradnl"/>
        </w:rPr>
        <w:t xml:space="preserve">156 -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050" w14:textId="77777777" w:rsidR="00591D54" w:rsidRDefault="00591D54">
      <w:pPr>
        <w:shd w:val="clear" w:color="auto" w:fill="FFFFFF"/>
        <w:tabs>
          <w:tab w:val="left" w:pos="4814"/>
        </w:tabs>
        <w:spacing w:after="230"/>
        <w:ind w:left="14"/>
        <w:sectPr w:rsidR="00591D54">
          <w:pgSz w:w="11909" w:h="16834"/>
          <w:pgMar w:top="1371" w:right="1309" w:bottom="360" w:left="1308" w:header="720" w:footer="720" w:gutter="0"/>
          <w:cols w:space="60"/>
          <w:noEndnote/>
        </w:sectPr>
      </w:pPr>
    </w:p>
    <w:p w14:paraId="4F67B051" w14:textId="77777777" w:rsidR="00591D54" w:rsidRDefault="00591D54">
      <w:pPr>
        <w:shd w:val="clear" w:color="auto" w:fill="FFFFFF"/>
        <w:spacing w:line="216" w:lineRule="exact"/>
        <w:ind w:left="283"/>
        <w:jc w:val="both"/>
      </w:pPr>
      <w:r>
        <w:rPr>
          <w:spacing w:val="-4"/>
          <w:sz w:val="16"/>
          <w:szCs w:val="16"/>
          <w:lang w:val="es-ES_tradnl"/>
        </w:rPr>
        <w:t>Reforma de las Finanzas P</w:t>
      </w:r>
      <w:r>
        <w:rPr>
          <w:rFonts w:cs="Times New Roman"/>
          <w:spacing w:val="-4"/>
          <w:sz w:val="16"/>
          <w:szCs w:val="16"/>
          <w:lang w:val="es-ES_tradnl"/>
        </w:rPr>
        <w:t>ú</w:t>
      </w:r>
      <w:r>
        <w:rPr>
          <w:spacing w:val="-4"/>
          <w:sz w:val="16"/>
          <w:szCs w:val="16"/>
          <w:lang w:val="es-ES_tradnl"/>
        </w:rPr>
        <w:t xml:space="preserve">blicas, vigente desde el 30 de </w:t>
      </w:r>
      <w:r>
        <w:rPr>
          <w:spacing w:val="-6"/>
          <w:sz w:val="16"/>
          <w:szCs w:val="16"/>
          <w:lang w:val="es-ES_tradnl"/>
        </w:rPr>
        <w:t>abril de 1999, daba la oportunidad para que los funcionarios que cesaron en sus funciones por el sistema de venta de renuncias, podr</w:t>
      </w:r>
      <w:r>
        <w:rPr>
          <w:rFonts w:cs="Times New Roman"/>
          <w:spacing w:val="-6"/>
          <w:sz w:val="16"/>
          <w:szCs w:val="16"/>
          <w:lang w:val="es-ES_tradnl"/>
        </w:rPr>
        <w:t>á</w:t>
      </w:r>
      <w:r>
        <w:rPr>
          <w:spacing w:val="-6"/>
          <w:sz w:val="16"/>
          <w:szCs w:val="16"/>
          <w:lang w:val="es-ES_tradnl"/>
        </w:rPr>
        <w:t xml:space="preserve">n reingresar en las instituciones del Estado, </w:t>
      </w:r>
      <w:r>
        <w:rPr>
          <w:spacing w:val="-8"/>
          <w:sz w:val="16"/>
          <w:szCs w:val="16"/>
          <w:lang w:val="es-ES_tradnl"/>
        </w:rPr>
        <w:t>luego de siete a</w:t>
      </w:r>
      <w:r>
        <w:rPr>
          <w:rFonts w:cs="Times New Roman"/>
          <w:spacing w:val="-8"/>
          <w:sz w:val="16"/>
          <w:szCs w:val="16"/>
          <w:lang w:val="es-ES_tradnl"/>
        </w:rPr>
        <w:t>ñ</w:t>
      </w:r>
      <w:r>
        <w:rPr>
          <w:spacing w:val="-8"/>
          <w:sz w:val="16"/>
          <w:szCs w:val="16"/>
          <w:lang w:val="es-ES_tradnl"/>
        </w:rPr>
        <w:t>os; 5).- La LOSCCA, entr</w:t>
      </w:r>
      <w:r>
        <w:rPr>
          <w:rFonts w:cs="Times New Roman"/>
          <w:spacing w:val="-8"/>
          <w:sz w:val="16"/>
          <w:szCs w:val="16"/>
          <w:lang w:val="es-ES_tradnl"/>
        </w:rPr>
        <w:t>ó</w:t>
      </w:r>
      <w:r>
        <w:rPr>
          <w:spacing w:val="-8"/>
          <w:sz w:val="16"/>
          <w:szCs w:val="16"/>
          <w:lang w:val="es-ES_tradnl"/>
        </w:rPr>
        <w:t xml:space="preserve"> en vigencia el 6 de </w:t>
      </w:r>
      <w:r>
        <w:rPr>
          <w:spacing w:val="-7"/>
          <w:sz w:val="16"/>
          <w:szCs w:val="16"/>
          <w:lang w:val="es-ES_tradnl"/>
        </w:rPr>
        <w:t>octubre del 2003, ley que derog</w:t>
      </w:r>
      <w:r>
        <w:rPr>
          <w:rFonts w:cs="Times New Roman"/>
          <w:spacing w:val="-7"/>
          <w:sz w:val="16"/>
          <w:szCs w:val="16"/>
          <w:lang w:val="es-ES_tradnl"/>
        </w:rPr>
        <w:t>ó</w:t>
      </w:r>
      <w:r>
        <w:rPr>
          <w:spacing w:val="-7"/>
          <w:sz w:val="16"/>
          <w:szCs w:val="16"/>
          <w:lang w:val="es-ES_tradnl"/>
        </w:rPr>
        <w:t xml:space="preserve"> en forma expresa la aludida </w:t>
      </w:r>
      <w:r>
        <w:rPr>
          <w:spacing w:val="-6"/>
          <w:sz w:val="16"/>
          <w:szCs w:val="16"/>
          <w:lang w:val="es-ES_tradnl"/>
        </w:rPr>
        <w:t>Disposici</w:t>
      </w:r>
      <w:r>
        <w:rPr>
          <w:rFonts w:cs="Times New Roman"/>
          <w:spacing w:val="-6"/>
          <w:sz w:val="16"/>
          <w:szCs w:val="16"/>
          <w:lang w:val="es-ES_tradnl"/>
        </w:rPr>
        <w:t>ó</w:t>
      </w:r>
      <w:r>
        <w:rPr>
          <w:spacing w:val="-6"/>
          <w:sz w:val="16"/>
          <w:szCs w:val="16"/>
          <w:lang w:val="es-ES_tradnl"/>
        </w:rPr>
        <w:t xml:space="preserve">n General Segunda. 6).- El 6 de octubre del 2010, </w:t>
      </w:r>
      <w:r>
        <w:rPr>
          <w:spacing w:val="-8"/>
          <w:sz w:val="16"/>
          <w:szCs w:val="16"/>
          <w:lang w:val="es-ES_tradnl"/>
        </w:rPr>
        <w:t>tuvo vigencia la actual LOSEP, que proh</w:t>
      </w:r>
      <w:r>
        <w:rPr>
          <w:rFonts w:cs="Times New Roman"/>
          <w:spacing w:val="-8"/>
          <w:sz w:val="16"/>
          <w:szCs w:val="16"/>
          <w:lang w:val="es-ES_tradnl"/>
        </w:rPr>
        <w:t>í</w:t>
      </w:r>
      <w:r>
        <w:rPr>
          <w:spacing w:val="-8"/>
          <w:sz w:val="16"/>
          <w:szCs w:val="16"/>
          <w:lang w:val="es-ES_tradnl"/>
        </w:rPr>
        <w:t xml:space="preserve">be el reingreso de las personas que se encuentren en las circunstancias de la actora, </w:t>
      </w:r>
      <w:r>
        <w:rPr>
          <w:spacing w:val="-5"/>
          <w:sz w:val="16"/>
          <w:szCs w:val="16"/>
          <w:lang w:val="es-ES_tradnl"/>
        </w:rPr>
        <w:t>si no devuelven el monto recibido como indemnizaci</w:t>
      </w:r>
      <w:r>
        <w:rPr>
          <w:rFonts w:cs="Times New Roman"/>
          <w:spacing w:val="-5"/>
          <w:sz w:val="16"/>
          <w:szCs w:val="16"/>
          <w:lang w:val="es-ES_tradnl"/>
        </w:rPr>
        <w:t>ó</w:t>
      </w:r>
      <w:r>
        <w:rPr>
          <w:spacing w:val="-5"/>
          <w:sz w:val="16"/>
          <w:szCs w:val="16"/>
          <w:lang w:val="es-ES_tradnl"/>
        </w:rPr>
        <w:t>n; 7).-</w:t>
      </w:r>
      <w:r>
        <w:rPr>
          <w:spacing w:val="-8"/>
          <w:sz w:val="16"/>
          <w:szCs w:val="16"/>
          <w:lang w:val="es-ES_tradnl"/>
        </w:rPr>
        <w:t xml:space="preserve">Solamente, cuando entra en vigencia la actual Ley de Servicio </w:t>
      </w:r>
      <w:r>
        <w:rPr>
          <w:spacing w:val="-6"/>
          <w:sz w:val="16"/>
          <w:szCs w:val="16"/>
          <w:lang w:val="es-ES_tradnl"/>
        </w:rPr>
        <w:t>P</w:t>
      </w:r>
      <w:r>
        <w:rPr>
          <w:rFonts w:cs="Times New Roman"/>
          <w:spacing w:val="-6"/>
          <w:sz w:val="16"/>
          <w:szCs w:val="16"/>
          <w:lang w:val="es-ES_tradnl"/>
        </w:rPr>
        <w:t>ú</w:t>
      </w:r>
      <w:r>
        <w:rPr>
          <w:spacing w:val="-6"/>
          <w:sz w:val="16"/>
          <w:szCs w:val="16"/>
          <w:lang w:val="es-ES_tradnl"/>
        </w:rPr>
        <w:t xml:space="preserve">blico, es decir a partir de Octubre del 2010, se procede al registro de las personas con impedimento para laborar, pues </w:t>
      </w:r>
      <w:r>
        <w:rPr>
          <w:spacing w:val="-7"/>
          <w:sz w:val="16"/>
          <w:szCs w:val="16"/>
          <w:lang w:val="es-ES_tradnl"/>
        </w:rPr>
        <w:t xml:space="preserve">no de otra manera hemos de entender cuando se certifica </w:t>
      </w:r>
      <w:r>
        <w:rPr>
          <w:spacing w:val="-6"/>
          <w:sz w:val="16"/>
          <w:szCs w:val="16"/>
          <w:lang w:val="es-ES_tradnl"/>
        </w:rPr>
        <w:t>aquello, se remite al art</w:t>
      </w:r>
      <w:r>
        <w:rPr>
          <w:rFonts w:cs="Times New Roman"/>
          <w:spacing w:val="-6"/>
          <w:sz w:val="16"/>
          <w:szCs w:val="16"/>
          <w:lang w:val="es-ES_tradnl"/>
        </w:rPr>
        <w:t>í</w:t>
      </w:r>
      <w:r>
        <w:rPr>
          <w:spacing w:val="-6"/>
          <w:sz w:val="16"/>
          <w:szCs w:val="16"/>
          <w:lang w:val="es-ES_tradnl"/>
        </w:rPr>
        <w:t>culo 14, inciso 2</w:t>
      </w:r>
      <w:r>
        <w:rPr>
          <w:rFonts w:cs="Times New Roman"/>
          <w:spacing w:val="-6"/>
          <w:sz w:val="16"/>
          <w:szCs w:val="16"/>
          <w:lang w:val="es-ES_tradnl"/>
        </w:rPr>
        <w:t>º</w:t>
      </w:r>
      <w:r>
        <w:rPr>
          <w:spacing w:val="-6"/>
          <w:sz w:val="16"/>
          <w:szCs w:val="16"/>
          <w:lang w:val="es-ES_tradnl"/>
        </w:rPr>
        <w:t xml:space="preserve"> del cuerpo legal en </w:t>
      </w:r>
      <w:r>
        <w:rPr>
          <w:spacing w:val="-4"/>
          <w:sz w:val="16"/>
          <w:szCs w:val="16"/>
          <w:lang w:val="es-ES_tradnl"/>
        </w:rPr>
        <w:t>cita; 8).- Si revisamos el texto del art</w:t>
      </w:r>
      <w:r>
        <w:rPr>
          <w:rFonts w:cs="Times New Roman"/>
          <w:spacing w:val="-4"/>
          <w:sz w:val="16"/>
          <w:szCs w:val="16"/>
          <w:lang w:val="es-ES_tradnl"/>
        </w:rPr>
        <w:t>í</w:t>
      </w:r>
      <w:r>
        <w:rPr>
          <w:spacing w:val="-4"/>
          <w:sz w:val="16"/>
          <w:szCs w:val="16"/>
          <w:lang w:val="es-ES_tradnl"/>
        </w:rPr>
        <w:t>culo 7 del C</w:t>
      </w:r>
      <w:r>
        <w:rPr>
          <w:rFonts w:cs="Times New Roman"/>
          <w:spacing w:val="-4"/>
          <w:sz w:val="16"/>
          <w:szCs w:val="16"/>
          <w:lang w:val="es-ES_tradnl"/>
        </w:rPr>
        <w:t>ó</w:t>
      </w:r>
      <w:r>
        <w:rPr>
          <w:spacing w:val="-4"/>
          <w:sz w:val="16"/>
          <w:szCs w:val="16"/>
          <w:lang w:val="es-ES_tradnl"/>
        </w:rPr>
        <w:t xml:space="preserve">digo Civil </w:t>
      </w:r>
      <w:r>
        <w:rPr>
          <w:spacing w:val="-5"/>
          <w:sz w:val="16"/>
          <w:szCs w:val="16"/>
          <w:lang w:val="es-ES_tradnl"/>
        </w:rPr>
        <w:t xml:space="preserve">encontramos que dispone: </w:t>
      </w:r>
      <w:r>
        <w:rPr>
          <w:rFonts w:cs="Times New Roman"/>
          <w:spacing w:val="-5"/>
          <w:sz w:val="16"/>
          <w:szCs w:val="16"/>
          <w:lang w:val="es-ES_tradnl"/>
        </w:rPr>
        <w:t>“</w:t>
      </w:r>
      <w:r>
        <w:rPr>
          <w:spacing w:val="-5"/>
          <w:sz w:val="16"/>
          <w:szCs w:val="16"/>
          <w:lang w:val="es-ES_tradnl"/>
        </w:rPr>
        <w:t xml:space="preserve">La ley no dispone sino para lo </w:t>
      </w:r>
      <w:r>
        <w:rPr>
          <w:spacing w:val="-7"/>
          <w:sz w:val="16"/>
          <w:szCs w:val="16"/>
          <w:lang w:val="es-ES_tradnl"/>
        </w:rPr>
        <w:t xml:space="preserve">venidero: no tiene efecto retroactivo; y en confl icto de una ley </w:t>
      </w:r>
      <w:r>
        <w:rPr>
          <w:spacing w:val="-9"/>
          <w:sz w:val="16"/>
          <w:szCs w:val="16"/>
          <w:lang w:val="es-ES_tradnl"/>
        </w:rPr>
        <w:t>posterior con otra anterior, se observar</w:t>
      </w:r>
      <w:r>
        <w:rPr>
          <w:rFonts w:cs="Times New Roman"/>
          <w:spacing w:val="-9"/>
          <w:sz w:val="16"/>
          <w:szCs w:val="16"/>
          <w:lang w:val="es-ES_tradnl"/>
        </w:rPr>
        <w:t>á</w:t>
      </w:r>
      <w:r>
        <w:rPr>
          <w:spacing w:val="-9"/>
          <w:sz w:val="16"/>
          <w:szCs w:val="16"/>
          <w:lang w:val="es-ES_tradnl"/>
        </w:rPr>
        <w:t xml:space="preserve">n las reglas que detalla; </w:t>
      </w:r>
      <w:r>
        <w:rPr>
          <w:spacing w:val="-6"/>
          <w:sz w:val="16"/>
          <w:szCs w:val="16"/>
          <w:lang w:val="es-ES_tradnl"/>
        </w:rPr>
        <w:t>9).- Entonces, si aplicamos la disposici</w:t>
      </w:r>
      <w:r>
        <w:rPr>
          <w:rFonts w:cs="Times New Roman"/>
          <w:spacing w:val="-6"/>
          <w:sz w:val="16"/>
          <w:szCs w:val="16"/>
          <w:lang w:val="es-ES_tradnl"/>
        </w:rPr>
        <w:t>ó</w:t>
      </w:r>
      <w:r>
        <w:rPr>
          <w:spacing w:val="-6"/>
          <w:sz w:val="16"/>
          <w:szCs w:val="16"/>
          <w:lang w:val="es-ES_tradnl"/>
        </w:rPr>
        <w:t xml:space="preserve">n transcrita, es obvio </w:t>
      </w:r>
      <w:r>
        <w:rPr>
          <w:spacing w:val="-9"/>
          <w:sz w:val="16"/>
          <w:szCs w:val="16"/>
          <w:lang w:val="es-ES_tradnl"/>
        </w:rPr>
        <w:t>que toda ley que se emita en el Ecuador, tendr</w:t>
      </w:r>
      <w:r>
        <w:rPr>
          <w:rFonts w:cs="Times New Roman"/>
          <w:spacing w:val="-9"/>
          <w:sz w:val="16"/>
          <w:szCs w:val="16"/>
          <w:lang w:val="es-ES_tradnl"/>
        </w:rPr>
        <w:t>á</w:t>
      </w:r>
      <w:r>
        <w:rPr>
          <w:spacing w:val="-9"/>
          <w:sz w:val="16"/>
          <w:szCs w:val="16"/>
          <w:lang w:val="es-ES_tradnl"/>
        </w:rPr>
        <w:t xml:space="preserve"> aplicaci</w:t>
      </w:r>
      <w:r>
        <w:rPr>
          <w:rFonts w:cs="Times New Roman"/>
          <w:spacing w:val="-9"/>
          <w:sz w:val="16"/>
          <w:szCs w:val="16"/>
          <w:lang w:val="es-ES_tradnl"/>
        </w:rPr>
        <w:t>ó</w:t>
      </w:r>
      <w:r>
        <w:rPr>
          <w:spacing w:val="-9"/>
          <w:sz w:val="16"/>
          <w:szCs w:val="16"/>
          <w:lang w:val="es-ES_tradnl"/>
        </w:rPr>
        <w:t xml:space="preserve">n para </w:t>
      </w:r>
      <w:r>
        <w:rPr>
          <w:spacing w:val="-5"/>
          <w:sz w:val="16"/>
          <w:szCs w:val="16"/>
          <w:lang w:val="es-ES_tradnl"/>
        </w:rPr>
        <w:t>lo venidero, no hay retroactividad, entendi</w:t>
      </w:r>
      <w:r>
        <w:rPr>
          <w:rFonts w:cs="Times New Roman"/>
          <w:spacing w:val="-5"/>
          <w:sz w:val="16"/>
          <w:szCs w:val="16"/>
          <w:lang w:val="es-ES_tradnl"/>
        </w:rPr>
        <w:t>é</w:t>
      </w:r>
      <w:r>
        <w:rPr>
          <w:spacing w:val="-5"/>
          <w:sz w:val="16"/>
          <w:szCs w:val="16"/>
          <w:lang w:val="es-ES_tradnl"/>
        </w:rPr>
        <w:t>ndose claro est</w:t>
      </w:r>
      <w:r>
        <w:rPr>
          <w:rFonts w:cs="Times New Roman"/>
          <w:spacing w:val="-5"/>
          <w:sz w:val="16"/>
          <w:szCs w:val="16"/>
          <w:lang w:val="es-ES_tradnl"/>
        </w:rPr>
        <w:t xml:space="preserve">á </w:t>
      </w:r>
      <w:r>
        <w:rPr>
          <w:spacing w:val="-9"/>
          <w:sz w:val="16"/>
          <w:szCs w:val="16"/>
          <w:lang w:val="es-ES_tradnl"/>
        </w:rPr>
        <w:t>con las excepciones previstas en la misma ley, como el caso de C</w:t>
      </w:r>
      <w:r>
        <w:rPr>
          <w:rFonts w:cs="Times New Roman"/>
          <w:spacing w:val="-9"/>
          <w:sz w:val="16"/>
          <w:szCs w:val="16"/>
          <w:lang w:val="es-ES_tradnl"/>
        </w:rPr>
        <w:t>ó</w:t>
      </w:r>
      <w:r>
        <w:rPr>
          <w:spacing w:val="-9"/>
          <w:sz w:val="16"/>
          <w:szCs w:val="16"/>
          <w:lang w:val="es-ES_tradnl"/>
        </w:rPr>
        <w:t>digo Penal, por mencionar algo, y, precisamente la regla 11</w:t>
      </w:r>
      <w:r>
        <w:rPr>
          <w:rFonts w:cs="Times New Roman"/>
          <w:spacing w:val="-9"/>
          <w:sz w:val="16"/>
          <w:szCs w:val="16"/>
          <w:lang w:val="es-ES_tradnl"/>
        </w:rPr>
        <w:t>ª</w:t>
      </w:r>
      <w:r>
        <w:rPr>
          <w:spacing w:val="-9"/>
          <w:sz w:val="16"/>
          <w:szCs w:val="16"/>
          <w:lang w:val="es-ES_tradnl"/>
        </w:rPr>
        <w:t xml:space="preserve">, </w:t>
      </w:r>
      <w:r>
        <w:rPr>
          <w:spacing w:val="-6"/>
          <w:sz w:val="16"/>
          <w:szCs w:val="16"/>
          <w:lang w:val="es-ES_tradnl"/>
        </w:rPr>
        <w:t>nos ense</w:t>
      </w:r>
      <w:r>
        <w:rPr>
          <w:rFonts w:cs="Times New Roman"/>
          <w:spacing w:val="-6"/>
          <w:sz w:val="16"/>
          <w:szCs w:val="16"/>
          <w:lang w:val="es-ES_tradnl"/>
        </w:rPr>
        <w:t>ñ</w:t>
      </w:r>
      <w:r>
        <w:rPr>
          <w:spacing w:val="-6"/>
          <w:sz w:val="16"/>
          <w:szCs w:val="16"/>
          <w:lang w:val="es-ES_tradnl"/>
        </w:rPr>
        <w:t>a que los derechos concedidos bajo una condici</w:t>
      </w:r>
      <w:r>
        <w:rPr>
          <w:rFonts w:cs="Times New Roman"/>
          <w:spacing w:val="-6"/>
          <w:sz w:val="16"/>
          <w:szCs w:val="16"/>
          <w:lang w:val="es-ES_tradnl"/>
        </w:rPr>
        <w:t>ó</w:t>
      </w:r>
      <w:r>
        <w:rPr>
          <w:spacing w:val="-6"/>
          <w:sz w:val="16"/>
          <w:szCs w:val="16"/>
          <w:lang w:val="es-ES_tradnl"/>
        </w:rPr>
        <w:t xml:space="preserve">n </w:t>
      </w:r>
      <w:r>
        <w:rPr>
          <w:spacing w:val="-5"/>
          <w:sz w:val="16"/>
          <w:szCs w:val="16"/>
          <w:lang w:val="es-ES_tradnl"/>
        </w:rPr>
        <w:t>si no se realiza dentro de determinado plazo, subsistir</w:t>
      </w:r>
      <w:r>
        <w:rPr>
          <w:rFonts w:cs="Times New Roman"/>
          <w:spacing w:val="-5"/>
          <w:sz w:val="16"/>
          <w:szCs w:val="16"/>
          <w:lang w:val="es-ES_tradnl"/>
        </w:rPr>
        <w:t>á</w:t>
      </w:r>
      <w:r>
        <w:rPr>
          <w:spacing w:val="-5"/>
          <w:sz w:val="16"/>
          <w:szCs w:val="16"/>
          <w:lang w:val="es-ES_tradnl"/>
        </w:rPr>
        <w:t xml:space="preserve">n por </w:t>
      </w:r>
      <w:r>
        <w:rPr>
          <w:spacing w:val="-8"/>
          <w:sz w:val="16"/>
          <w:szCs w:val="16"/>
          <w:lang w:val="es-ES_tradnl"/>
        </w:rPr>
        <w:t>el tiempo que hubiere se</w:t>
      </w:r>
      <w:r>
        <w:rPr>
          <w:rFonts w:cs="Times New Roman"/>
          <w:spacing w:val="-8"/>
          <w:sz w:val="16"/>
          <w:szCs w:val="16"/>
          <w:lang w:val="es-ES_tradnl"/>
        </w:rPr>
        <w:t>ñ</w:t>
      </w:r>
      <w:r>
        <w:rPr>
          <w:spacing w:val="-8"/>
          <w:sz w:val="16"/>
          <w:szCs w:val="16"/>
          <w:lang w:val="es-ES_tradnl"/>
        </w:rPr>
        <w:t xml:space="preserve">alado la ley precedente.- En el caso </w:t>
      </w:r>
      <w:r>
        <w:rPr>
          <w:spacing w:val="-7"/>
          <w:sz w:val="16"/>
          <w:szCs w:val="16"/>
          <w:lang w:val="es-ES_tradnl"/>
        </w:rPr>
        <w:t>motivo de estudio, en verdad los siete a</w:t>
      </w:r>
      <w:r>
        <w:rPr>
          <w:rFonts w:cs="Times New Roman"/>
          <w:spacing w:val="-7"/>
          <w:sz w:val="16"/>
          <w:szCs w:val="16"/>
          <w:lang w:val="es-ES_tradnl"/>
        </w:rPr>
        <w:t>ñ</w:t>
      </w:r>
      <w:r>
        <w:rPr>
          <w:spacing w:val="-7"/>
          <w:sz w:val="16"/>
          <w:szCs w:val="16"/>
          <w:lang w:val="es-ES_tradnl"/>
        </w:rPr>
        <w:t xml:space="preserve">os necesarios para </w:t>
      </w:r>
      <w:r>
        <w:rPr>
          <w:spacing w:val="-4"/>
          <w:sz w:val="16"/>
          <w:szCs w:val="16"/>
          <w:lang w:val="es-ES_tradnl"/>
        </w:rPr>
        <w:t>volver al sector p</w:t>
      </w:r>
      <w:r>
        <w:rPr>
          <w:rFonts w:cs="Times New Roman"/>
          <w:spacing w:val="-4"/>
          <w:sz w:val="16"/>
          <w:szCs w:val="16"/>
          <w:lang w:val="es-ES_tradnl"/>
        </w:rPr>
        <w:t>ú</w:t>
      </w:r>
      <w:r>
        <w:rPr>
          <w:spacing w:val="-4"/>
          <w:sz w:val="16"/>
          <w:szCs w:val="16"/>
          <w:lang w:val="es-ES_tradnl"/>
        </w:rPr>
        <w:t>blico, discurr</w:t>
      </w:r>
      <w:r>
        <w:rPr>
          <w:rFonts w:cs="Times New Roman"/>
          <w:spacing w:val="-4"/>
          <w:sz w:val="16"/>
          <w:szCs w:val="16"/>
          <w:lang w:val="es-ES_tradnl"/>
        </w:rPr>
        <w:t>í</w:t>
      </w:r>
      <w:r>
        <w:rPr>
          <w:spacing w:val="-4"/>
          <w:sz w:val="16"/>
          <w:szCs w:val="16"/>
          <w:lang w:val="es-ES_tradnl"/>
        </w:rPr>
        <w:t xml:space="preserve">an desde el 30 de abril de </w:t>
      </w:r>
      <w:r>
        <w:rPr>
          <w:spacing w:val="-8"/>
          <w:sz w:val="16"/>
          <w:szCs w:val="16"/>
          <w:lang w:val="es-ES_tradnl"/>
        </w:rPr>
        <w:t>1999 hasta ahora, lapso que pas</w:t>
      </w:r>
      <w:r>
        <w:rPr>
          <w:rFonts w:cs="Times New Roman"/>
          <w:spacing w:val="-8"/>
          <w:sz w:val="16"/>
          <w:szCs w:val="16"/>
          <w:lang w:val="es-ES_tradnl"/>
        </w:rPr>
        <w:t>ó</w:t>
      </w:r>
      <w:r>
        <w:rPr>
          <w:spacing w:val="-8"/>
          <w:sz w:val="16"/>
          <w:szCs w:val="16"/>
          <w:lang w:val="es-ES_tradnl"/>
        </w:rPr>
        <w:t xml:space="preserve"> en demas</w:t>
      </w:r>
      <w:r>
        <w:rPr>
          <w:rFonts w:cs="Times New Roman"/>
          <w:spacing w:val="-8"/>
          <w:sz w:val="16"/>
          <w:szCs w:val="16"/>
          <w:lang w:val="es-ES_tradnl"/>
        </w:rPr>
        <w:t>í</w:t>
      </w:r>
      <w:r>
        <w:rPr>
          <w:spacing w:val="-8"/>
          <w:sz w:val="16"/>
          <w:szCs w:val="16"/>
          <w:lang w:val="es-ES_tradnl"/>
        </w:rPr>
        <w:t xml:space="preserve">a para el caso de la actora, pues ella a la fecha necesita volver a laborar, porque </w:t>
      </w:r>
      <w:r>
        <w:rPr>
          <w:spacing w:val="-3"/>
          <w:sz w:val="16"/>
          <w:szCs w:val="16"/>
          <w:lang w:val="es-ES_tradnl"/>
        </w:rPr>
        <w:t>triunf</w:t>
      </w:r>
      <w:r>
        <w:rPr>
          <w:rFonts w:cs="Times New Roman"/>
          <w:spacing w:val="-3"/>
          <w:sz w:val="16"/>
          <w:szCs w:val="16"/>
          <w:lang w:val="es-ES_tradnl"/>
        </w:rPr>
        <w:t>ó</w:t>
      </w:r>
      <w:r>
        <w:rPr>
          <w:spacing w:val="-3"/>
          <w:sz w:val="16"/>
          <w:szCs w:val="16"/>
          <w:lang w:val="es-ES_tradnl"/>
        </w:rPr>
        <w:t xml:space="preserve"> en un concurso. (...) D</w:t>
      </w:r>
      <w:r>
        <w:rPr>
          <w:rFonts w:cs="Times New Roman"/>
          <w:spacing w:val="-3"/>
          <w:sz w:val="16"/>
          <w:szCs w:val="16"/>
          <w:lang w:val="es-ES_tradnl"/>
        </w:rPr>
        <w:t>É</w:t>
      </w:r>
      <w:r>
        <w:rPr>
          <w:spacing w:val="-3"/>
          <w:sz w:val="16"/>
          <w:szCs w:val="16"/>
          <w:lang w:val="es-ES_tradnl"/>
        </w:rPr>
        <w:t xml:space="preserve">CIMO TERCERO.- Por lo </w:t>
      </w:r>
      <w:r>
        <w:rPr>
          <w:spacing w:val="-6"/>
          <w:sz w:val="16"/>
          <w:szCs w:val="16"/>
          <w:lang w:val="es-ES_tradnl"/>
        </w:rPr>
        <w:t xml:space="preserve">anotado, al haberse justificado en forma plena que se han </w:t>
      </w:r>
      <w:r>
        <w:rPr>
          <w:spacing w:val="-8"/>
          <w:sz w:val="16"/>
          <w:szCs w:val="16"/>
          <w:lang w:val="es-ES_tradnl"/>
        </w:rPr>
        <w:t xml:space="preserve">violado los derechos de la accionante especialmente en lo que </w:t>
      </w:r>
      <w:r>
        <w:rPr>
          <w:spacing w:val="-4"/>
          <w:sz w:val="16"/>
          <w:szCs w:val="16"/>
          <w:lang w:val="es-ES_tradnl"/>
        </w:rPr>
        <w:t>respecto al derecho al trabajo (art. 325 de la Constituci</w:t>
      </w:r>
      <w:r>
        <w:rPr>
          <w:rFonts w:cs="Times New Roman"/>
          <w:spacing w:val="-4"/>
          <w:sz w:val="16"/>
          <w:szCs w:val="16"/>
          <w:lang w:val="es-ES_tradnl"/>
        </w:rPr>
        <w:t>ó</w:t>
      </w:r>
      <w:r>
        <w:rPr>
          <w:spacing w:val="-4"/>
          <w:sz w:val="16"/>
          <w:szCs w:val="16"/>
          <w:lang w:val="es-ES_tradnl"/>
        </w:rPr>
        <w:t>n); 33 y 34 del mismo cuerpo legal, (...) evidente la violaci</w:t>
      </w:r>
      <w:r>
        <w:rPr>
          <w:rFonts w:cs="Times New Roman"/>
          <w:spacing w:val="-4"/>
          <w:sz w:val="16"/>
          <w:szCs w:val="16"/>
          <w:lang w:val="es-ES_tradnl"/>
        </w:rPr>
        <w:t>ó</w:t>
      </w:r>
      <w:r>
        <w:rPr>
          <w:spacing w:val="-4"/>
          <w:sz w:val="16"/>
          <w:szCs w:val="16"/>
          <w:lang w:val="es-ES_tradnl"/>
        </w:rPr>
        <w:t xml:space="preserve">n al </w:t>
      </w:r>
      <w:r>
        <w:rPr>
          <w:spacing w:val="-6"/>
          <w:sz w:val="16"/>
          <w:szCs w:val="16"/>
          <w:lang w:val="es-ES_tradnl"/>
        </w:rPr>
        <w:t>debido proceso previsto en nuestra Constituci</w:t>
      </w:r>
      <w:r>
        <w:rPr>
          <w:rFonts w:cs="Times New Roman"/>
          <w:spacing w:val="-6"/>
          <w:sz w:val="16"/>
          <w:szCs w:val="16"/>
          <w:lang w:val="es-ES_tradnl"/>
        </w:rPr>
        <w:t>ó</w:t>
      </w:r>
      <w:r>
        <w:rPr>
          <w:spacing w:val="-6"/>
          <w:sz w:val="16"/>
          <w:szCs w:val="16"/>
          <w:lang w:val="es-ES_tradnl"/>
        </w:rPr>
        <w:t xml:space="preserve">n, cuando el </w:t>
      </w:r>
      <w:r>
        <w:rPr>
          <w:spacing w:val="-7"/>
          <w:sz w:val="16"/>
          <w:szCs w:val="16"/>
          <w:lang w:val="es-ES_tradnl"/>
        </w:rPr>
        <w:t>Ministerio de Relaciones Laborales, para emitir la certificaci</w:t>
      </w:r>
      <w:r>
        <w:rPr>
          <w:rFonts w:cs="Times New Roman"/>
          <w:spacing w:val="-7"/>
          <w:sz w:val="16"/>
          <w:szCs w:val="16"/>
          <w:lang w:val="es-ES_tradnl"/>
        </w:rPr>
        <w:t>ó</w:t>
      </w:r>
      <w:r>
        <w:rPr>
          <w:spacing w:val="-7"/>
          <w:sz w:val="16"/>
          <w:szCs w:val="16"/>
          <w:lang w:val="es-ES_tradnl"/>
        </w:rPr>
        <w:t xml:space="preserve">n </w:t>
      </w:r>
      <w:r>
        <w:rPr>
          <w:spacing w:val="-8"/>
          <w:sz w:val="16"/>
          <w:szCs w:val="16"/>
          <w:lang w:val="es-ES_tradnl"/>
        </w:rPr>
        <w:t>de inhabilidad para el reintegro al sector p</w:t>
      </w:r>
      <w:r>
        <w:rPr>
          <w:rFonts w:cs="Times New Roman"/>
          <w:spacing w:val="-8"/>
          <w:sz w:val="16"/>
          <w:szCs w:val="16"/>
          <w:lang w:val="es-ES_tradnl"/>
        </w:rPr>
        <w:t>ú</w:t>
      </w:r>
      <w:r>
        <w:rPr>
          <w:spacing w:val="-8"/>
          <w:sz w:val="16"/>
          <w:szCs w:val="16"/>
          <w:lang w:val="es-ES_tradnl"/>
        </w:rPr>
        <w:t>blico de la actora se fundamenta en el art</w:t>
      </w:r>
      <w:r>
        <w:rPr>
          <w:rFonts w:cs="Times New Roman"/>
          <w:spacing w:val="-8"/>
          <w:sz w:val="16"/>
          <w:szCs w:val="16"/>
          <w:lang w:val="es-ES_tradnl"/>
        </w:rPr>
        <w:t>í</w:t>
      </w:r>
      <w:r>
        <w:rPr>
          <w:spacing w:val="-8"/>
          <w:sz w:val="16"/>
          <w:szCs w:val="16"/>
          <w:lang w:val="es-ES_tradnl"/>
        </w:rPr>
        <w:t>culo 14 de la LOSEP, la que est</w:t>
      </w:r>
      <w:r>
        <w:rPr>
          <w:rFonts w:cs="Times New Roman"/>
          <w:spacing w:val="-8"/>
          <w:sz w:val="16"/>
          <w:szCs w:val="16"/>
          <w:lang w:val="es-ES_tradnl"/>
        </w:rPr>
        <w:t>á</w:t>
      </w:r>
      <w:r>
        <w:rPr>
          <w:spacing w:val="-8"/>
          <w:sz w:val="16"/>
          <w:szCs w:val="16"/>
          <w:lang w:val="es-ES_tradnl"/>
        </w:rPr>
        <w:t xml:space="preserve"> vigente </w:t>
      </w:r>
      <w:r>
        <w:rPr>
          <w:spacing w:val="-9"/>
          <w:sz w:val="16"/>
          <w:szCs w:val="16"/>
          <w:lang w:val="es-ES_tradnl"/>
        </w:rPr>
        <w:t>desde el 6 de octubre de 2010, cuando la legislaci</w:t>
      </w:r>
      <w:r>
        <w:rPr>
          <w:rFonts w:cs="Times New Roman"/>
          <w:spacing w:val="-9"/>
          <w:sz w:val="16"/>
          <w:szCs w:val="16"/>
          <w:lang w:val="es-ES_tradnl"/>
        </w:rPr>
        <w:t>ó</w:t>
      </w:r>
      <w:r>
        <w:rPr>
          <w:spacing w:val="-9"/>
          <w:sz w:val="16"/>
          <w:szCs w:val="16"/>
          <w:lang w:val="es-ES_tradnl"/>
        </w:rPr>
        <w:t xml:space="preserve">n a aplicarse </w:t>
      </w:r>
      <w:r>
        <w:rPr>
          <w:spacing w:val="-10"/>
          <w:sz w:val="16"/>
          <w:szCs w:val="16"/>
          <w:lang w:val="es-ES_tradnl"/>
        </w:rPr>
        <w:t xml:space="preserve">para el caso, es la anterior y que se refiere al tiempo de los siete </w:t>
      </w:r>
      <w:r>
        <w:rPr>
          <w:spacing w:val="-7"/>
          <w:sz w:val="16"/>
          <w:szCs w:val="16"/>
          <w:lang w:val="es-ES_tradnl"/>
        </w:rPr>
        <w:t>a</w:t>
      </w:r>
      <w:r>
        <w:rPr>
          <w:rFonts w:cs="Times New Roman"/>
          <w:spacing w:val="-7"/>
          <w:sz w:val="16"/>
          <w:szCs w:val="16"/>
          <w:lang w:val="es-ES_tradnl"/>
        </w:rPr>
        <w:t>ñ</w:t>
      </w:r>
      <w:r>
        <w:rPr>
          <w:spacing w:val="-7"/>
          <w:sz w:val="16"/>
          <w:szCs w:val="16"/>
          <w:lang w:val="es-ES_tradnl"/>
        </w:rPr>
        <w:t xml:space="preserve">os transcurridos desde su vigencia. (...) ADMINISTRANDO </w:t>
      </w:r>
      <w:r>
        <w:rPr>
          <w:spacing w:val="-2"/>
          <w:sz w:val="16"/>
          <w:szCs w:val="16"/>
          <w:lang w:val="es-ES_tradnl"/>
        </w:rPr>
        <w:t xml:space="preserve">JUSTICIA EN NOMBRE DEL PUEBLO SOBERANO DEL </w:t>
      </w:r>
      <w:r>
        <w:rPr>
          <w:spacing w:val="-3"/>
          <w:sz w:val="16"/>
          <w:szCs w:val="16"/>
          <w:lang w:val="es-ES_tradnl"/>
        </w:rPr>
        <w:t xml:space="preserve">ECUADOR Y POR AUTORIDAD DE LA CONSTITUCION </w:t>
      </w:r>
      <w:r>
        <w:rPr>
          <w:spacing w:val="-2"/>
          <w:sz w:val="16"/>
          <w:szCs w:val="16"/>
          <w:lang w:val="es-ES_tradnl"/>
        </w:rPr>
        <w:t xml:space="preserve">Y LAS LEYES DE LA REPUBLICA, aceptando el recurso </w:t>
      </w:r>
      <w:r>
        <w:rPr>
          <w:spacing w:val="-8"/>
          <w:sz w:val="16"/>
          <w:szCs w:val="16"/>
          <w:lang w:val="es-ES_tradnl"/>
        </w:rPr>
        <w:t>de apelaci</w:t>
      </w:r>
      <w:r>
        <w:rPr>
          <w:rFonts w:cs="Times New Roman"/>
          <w:spacing w:val="-8"/>
          <w:sz w:val="16"/>
          <w:szCs w:val="16"/>
          <w:lang w:val="es-ES_tradnl"/>
        </w:rPr>
        <w:t>ó</w:t>
      </w:r>
      <w:r>
        <w:rPr>
          <w:spacing w:val="-8"/>
          <w:sz w:val="16"/>
          <w:szCs w:val="16"/>
          <w:lang w:val="es-ES_tradnl"/>
        </w:rPr>
        <w:t>n interpuesto por la accionante, revoca la sentencia subida en grado y declara con lugar esta acci</w:t>
      </w:r>
      <w:r>
        <w:rPr>
          <w:rFonts w:cs="Times New Roman"/>
          <w:spacing w:val="-8"/>
          <w:sz w:val="16"/>
          <w:szCs w:val="16"/>
          <w:lang w:val="es-ES_tradnl"/>
        </w:rPr>
        <w:t>ó</w:t>
      </w:r>
      <w:r>
        <w:rPr>
          <w:spacing w:val="-8"/>
          <w:sz w:val="16"/>
          <w:szCs w:val="16"/>
          <w:lang w:val="es-ES_tradnl"/>
        </w:rPr>
        <w:t>n de protecci</w:t>
      </w:r>
      <w:r>
        <w:rPr>
          <w:rFonts w:cs="Times New Roman"/>
          <w:spacing w:val="-8"/>
          <w:sz w:val="16"/>
          <w:szCs w:val="16"/>
          <w:lang w:val="es-ES_tradnl"/>
        </w:rPr>
        <w:t>ó</w:t>
      </w:r>
      <w:r>
        <w:rPr>
          <w:spacing w:val="-8"/>
          <w:sz w:val="16"/>
          <w:szCs w:val="16"/>
          <w:lang w:val="es-ES_tradnl"/>
        </w:rPr>
        <w:t xml:space="preserve">n, </w:t>
      </w:r>
      <w:r>
        <w:rPr>
          <w:sz w:val="16"/>
          <w:szCs w:val="16"/>
          <w:lang w:val="es-ES_tradnl"/>
        </w:rPr>
        <w:t xml:space="preserve">disponiendo que el Ministerio de Relaciones Laborales </w:t>
      </w:r>
      <w:r>
        <w:rPr>
          <w:spacing w:val="-5"/>
          <w:sz w:val="16"/>
          <w:szCs w:val="16"/>
          <w:lang w:val="es-ES_tradnl"/>
        </w:rPr>
        <w:t xml:space="preserve">del Ecuador, proceda en forma inmediata a rehabilitar a la </w:t>
      </w:r>
      <w:r>
        <w:rPr>
          <w:spacing w:val="-7"/>
          <w:sz w:val="16"/>
          <w:szCs w:val="16"/>
          <w:lang w:val="es-ES_tradnl"/>
        </w:rPr>
        <w:t>se</w:t>
      </w:r>
      <w:r>
        <w:rPr>
          <w:rFonts w:cs="Times New Roman"/>
          <w:spacing w:val="-7"/>
          <w:sz w:val="16"/>
          <w:szCs w:val="16"/>
          <w:lang w:val="es-ES_tradnl"/>
        </w:rPr>
        <w:t>ñ</w:t>
      </w:r>
      <w:r>
        <w:rPr>
          <w:spacing w:val="-7"/>
          <w:sz w:val="16"/>
          <w:szCs w:val="16"/>
          <w:lang w:val="es-ES_tradnl"/>
        </w:rPr>
        <w:t>ora Licenciada Ruth Germania Guti</w:t>
      </w:r>
      <w:r>
        <w:rPr>
          <w:rFonts w:cs="Times New Roman"/>
          <w:spacing w:val="-7"/>
          <w:sz w:val="16"/>
          <w:szCs w:val="16"/>
          <w:lang w:val="es-ES_tradnl"/>
        </w:rPr>
        <w:t>é</w:t>
      </w:r>
      <w:r>
        <w:rPr>
          <w:spacing w:val="-7"/>
          <w:sz w:val="16"/>
          <w:szCs w:val="16"/>
          <w:lang w:val="es-ES_tradnl"/>
        </w:rPr>
        <w:t>rrez Ortega, para que pueda desempe</w:t>
      </w:r>
      <w:r>
        <w:rPr>
          <w:rFonts w:cs="Times New Roman"/>
          <w:spacing w:val="-7"/>
          <w:sz w:val="16"/>
          <w:szCs w:val="16"/>
          <w:lang w:val="es-ES_tradnl"/>
        </w:rPr>
        <w:t>ñ</w:t>
      </w:r>
      <w:r>
        <w:rPr>
          <w:spacing w:val="-7"/>
          <w:sz w:val="16"/>
          <w:szCs w:val="16"/>
          <w:lang w:val="es-ES_tradnl"/>
        </w:rPr>
        <w:t>ar cargo en el Sector P</w:t>
      </w:r>
      <w:r>
        <w:rPr>
          <w:rFonts w:cs="Times New Roman"/>
          <w:spacing w:val="-7"/>
          <w:sz w:val="16"/>
          <w:szCs w:val="16"/>
          <w:lang w:val="es-ES_tradnl"/>
        </w:rPr>
        <w:t>ú</w:t>
      </w:r>
      <w:r>
        <w:rPr>
          <w:spacing w:val="-7"/>
          <w:sz w:val="16"/>
          <w:szCs w:val="16"/>
          <w:lang w:val="es-ES_tradnl"/>
        </w:rPr>
        <w:t xml:space="preserve">blico, previo a la </w:t>
      </w:r>
      <w:r>
        <w:rPr>
          <w:spacing w:val="-8"/>
          <w:sz w:val="16"/>
          <w:szCs w:val="16"/>
          <w:lang w:val="es-ES_tradnl"/>
        </w:rPr>
        <w:t>eliminaci</w:t>
      </w:r>
      <w:r>
        <w:rPr>
          <w:rFonts w:cs="Times New Roman"/>
          <w:spacing w:val="-8"/>
          <w:sz w:val="16"/>
          <w:szCs w:val="16"/>
          <w:lang w:val="es-ES_tradnl"/>
        </w:rPr>
        <w:t>ó</w:t>
      </w:r>
      <w:r>
        <w:rPr>
          <w:spacing w:val="-8"/>
          <w:sz w:val="16"/>
          <w:szCs w:val="16"/>
          <w:lang w:val="es-ES_tradnl"/>
        </w:rPr>
        <w:t>n de la prohibici</w:t>
      </w:r>
      <w:r>
        <w:rPr>
          <w:rFonts w:cs="Times New Roman"/>
          <w:spacing w:val="-8"/>
          <w:sz w:val="16"/>
          <w:szCs w:val="16"/>
          <w:lang w:val="es-ES_tradnl"/>
        </w:rPr>
        <w:t>ó</w:t>
      </w:r>
      <w:r>
        <w:rPr>
          <w:spacing w:val="-8"/>
          <w:sz w:val="16"/>
          <w:szCs w:val="16"/>
          <w:lang w:val="es-ES_tradnl"/>
        </w:rPr>
        <w:t xml:space="preserve">n que reposa en el archivo de datos </w:t>
      </w:r>
      <w:r>
        <w:rPr>
          <w:spacing w:val="-6"/>
          <w:sz w:val="16"/>
          <w:szCs w:val="16"/>
          <w:lang w:val="es-ES_tradnl"/>
        </w:rPr>
        <w:t xml:space="preserve">del aludido Ministerio.- De igual manera, como consecuencia </w:t>
      </w:r>
      <w:r>
        <w:rPr>
          <w:spacing w:val="-7"/>
          <w:sz w:val="16"/>
          <w:szCs w:val="16"/>
          <w:lang w:val="es-ES_tradnl"/>
        </w:rPr>
        <w:t>de lo resuelto, el Banco Central del Ecuador, no har</w:t>
      </w:r>
      <w:r>
        <w:rPr>
          <w:rFonts w:cs="Times New Roman"/>
          <w:spacing w:val="-7"/>
          <w:sz w:val="16"/>
          <w:szCs w:val="16"/>
          <w:lang w:val="es-ES_tradnl"/>
        </w:rPr>
        <w:t>á</w:t>
      </w:r>
      <w:r>
        <w:rPr>
          <w:spacing w:val="-7"/>
          <w:sz w:val="16"/>
          <w:szCs w:val="16"/>
          <w:lang w:val="es-ES_tradnl"/>
        </w:rPr>
        <w:t xml:space="preserve"> ninguna </w:t>
      </w:r>
      <w:r>
        <w:rPr>
          <w:spacing w:val="-6"/>
          <w:sz w:val="16"/>
          <w:szCs w:val="16"/>
          <w:lang w:val="es-ES_tradnl"/>
        </w:rPr>
        <w:t>exigencia a la actora para reintegro de indemnizaci</w:t>
      </w:r>
      <w:r>
        <w:rPr>
          <w:rFonts w:cs="Times New Roman"/>
          <w:spacing w:val="-6"/>
          <w:sz w:val="16"/>
          <w:szCs w:val="16"/>
          <w:lang w:val="es-ES_tradnl"/>
        </w:rPr>
        <w:t>ó</w:t>
      </w:r>
      <w:r>
        <w:rPr>
          <w:spacing w:val="-6"/>
          <w:sz w:val="16"/>
          <w:szCs w:val="16"/>
          <w:lang w:val="es-ES_tradnl"/>
        </w:rPr>
        <w:t xml:space="preserve">n alguna </w:t>
      </w:r>
      <w:r>
        <w:rPr>
          <w:sz w:val="16"/>
          <w:szCs w:val="16"/>
          <w:lang w:val="es-ES_tradnl"/>
        </w:rPr>
        <w:t>(sic).</w:t>
      </w:r>
    </w:p>
    <w:p w14:paraId="4F67B052" w14:textId="77777777" w:rsidR="00591D54" w:rsidRDefault="00591D54">
      <w:pPr>
        <w:shd w:val="clear" w:color="auto" w:fill="FFFFFF"/>
        <w:spacing w:before="197"/>
      </w:pPr>
      <w:r>
        <w:rPr>
          <w:b/>
          <w:bCs/>
          <w:spacing w:val="-13"/>
          <w:sz w:val="18"/>
          <w:szCs w:val="18"/>
          <w:lang w:val="es-ES_tradnl"/>
        </w:rPr>
        <w:t>Antecedentes que dieron origen a la acci</w:t>
      </w:r>
      <w:r>
        <w:rPr>
          <w:rFonts w:cs="Times New Roman"/>
          <w:b/>
          <w:bCs/>
          <w:spacing w:val="-13"/>
          <w:sz w:val="18"/>
          <w:szCs w:val="18"/>
          <w:lang w:val="es-ES_tradnl"/>
        </w:rPr>
        <w:t>ó</w:t>
      </w:r>
      <w:r>
        <w:rPr>
          <w:b/>
          <w:bCs/>
          <w:spacing w:val="-13"/>
          <w:sz w:val="18"/>
          <w:szCs w:val="18"/>
          <w:lang w:val="es-ES_tradnl"/>
        </w:rPr>
        <w:t>n de protecci</w:t>
      </w:r>
      <w:r>
        <w:rPr>
          <w:rFonts w:cs="Times New Roman"/>
          <w:b/>
          <w:bCs/>
          <w:spacing w:val="-13"/>
          <w:sz w:val="18"/>
          <w:szCs w:val="18"/>
          <w:lang w:val="es-ES_tradnl"/>
        </w:rPr>
        <w:t>ó</w:t>
      </w:r>
      <w:r>
        <w:rPr>
          <w:b/>
          <w:bCs/>
          <w:spacing w:val="-13"/>
          <w:sz w:val="18"/>
          <w:szCs w:val="18"/>
          <w:lang w:val="es-ES_tradnl"/>
        </w:rPr>
        <w:t>n</w:t>
      </w:r>
    </w:p>
    <w:p w14:paraId="4F67B053" w14:textId="77777777" w:rsidR="00591D54" w:rsidRDefault="00591D54">
      <w:pPr>
        <w:shd w:val="clear" w:color="auto" w:fill="FFFFFF"/>
        <w:spacing w:before="197" w:line="216" w:lineRule="exact"/>
        <w:ind w:right="5"/>
        <w:jc w:val="both"/>
      </w:pPr>
      <w:r>
        <w:rPr>
          <w:spacing w:val="-5"/>
          <w:sz w:val="18"/>
          <w:szCs w:val="18"/>
          <w:lang w:val="es-ES_tradnl"/>
        </w:rPr>
        <w:t>La se</w:t>
      </w:r>
      <w:r>
        <w:rPr>
          <w:rFonts w:cs="Times New Roman"/>
          <w:spacing w:val="-5"/>
          <w:sz w:val="18"/>
          <w:szCs w:val="18"/>
          <w:lang w:val="es-ES_tradnl"/>
        </w:rPr>
        <w:t>ñ</w:t>
      </w:r>
      <w:r>
        <w:rPr>
          <w:spacing w:val="-5"/>
          <w:sz w:val="18"/>
          <w:szCs w:val="18"/>
          <w:lang w:val="es-ES_tradnl"/>
        </w:rPr>
        <w:t>ora Ruth Germania Guti</w:t>
      </w:r>
      <w:r>
        <w:rPr>
          <w:rFonts w:cs="Times New Roman"/>
          <w:spacing w:val="-5"/>
          <w:sz w:val="18"/>
          <w:szCs w:val="18"/>
          <w:lang w:val="es-ES_tradnl"/>
        </w:rPr>
        <w:t>é</w:t>
      </w:r>
      <w:r>
        <w:rPr>
          <w:spacing w:val="-5"/>
          <w:sz w:val="18"/>
          <w:szCs w:val="18"/>
          <w:lang w:val="es-ES_tradnl"/>
        </w:rPr>
        <w:t>rrez Ortega labor</w:t>
      </w:r>
      <w:r>
        <w:rPr>
          <w:rFonts w:cs="Times New Roman"/>
          <w:spacing w:val="-5"/>
          <w:sz w:val="18"/>
          <w:szCs w:val="18"/>
          <w:lang w:val="es-ES_tradnl"/>
        </w:rPr>
        <w:t>ó</w:t>
      </w:r>
      <w:r>
        <w:rPr>
          <w:spacing w:val="-5"/>
          <w:sz w:val="18"/>
          <w:szCs w:val="18"/>
          <w:lang w:val="es-ES_tradnl"/>
        </w:rPr>
        <w:t xml:space="preserve"> en el </w:t>
      </w:r>
      <w:r>
        <w:rPr>
          <w:spacing w:val="-9"/>
          <w:sz w:val="18"/>
          <w:szCs w:val="18"/>
          <w:lang w:val="es-ES_tradnl"/>
        </w:rPr>
        <w:t>Banco Central del Ecuador por seis a</w:t>
      </w:r>
      <w:r>
        <w:rPr>
          <w:rFonts w:cs="Times New Roman"/>
          <w:spacing w:val="-9"/>
          <w:sz w:val="18"/>
          <w:szCs w:val="18"/>
          <w:lang w:val="es-ES_tradnl"/>
        </w:rPr>
        <w:t>ñ</w:t>
      </w:r>
      <w:r>
        <w:rPr>
          <w:spacing w:val="-9"/>
          <w:sz w:val="18"/>
          <w:szCs w:val="18"/>
          <w:lang w:val="es-ES_tradnl"/>
        </w:rPr>
        <w:t>os ocho meses, en el per</w:t>
      </w:r>
      <w:r>
        <w:rPr>
          <w:rFonts w:cs="Times New Roman"/>
          <w:spacing w:val="-9"/>
          <w:sz w:val="18"/>
          <w:szCs w:val="18"/>
          <w:lang w:val="es-ES_tradnl"/>
        </w:rPr>
        <w:t>í</w:t>
      </w:r>
      <w:r>
        <w:rPr>
          <w:spacing w:val="-9"/>
          <w:sz w:val="18"/>
          <w:szCs w:val="18"/>
          <w:lang w:val="es-ES_tradnl"/>
        </w:rPr>
        <w:t>odo comprendido desde el 29 de junio de 1987 hasta el</w:t>
      </w:r>
    </w:p>
    <w:p w14:paraId="4F67B054" w14:textId="77777777" w:rsidR="00591D54" w:rsidRDefault="00591D54">
      <w:pPr>
        <w:shd w:val="clear" w:color="auto" w:fill="FFFFFF"/>
        <w:spacing w:before="5" w:line="216" w:lineRule="exact"/>
        <w:jc w:val="both"/>
      </w:pPr>
      <w:r>
        <w:br w:type="column"/>
      </w:r>
      <w:r>
        <w:rPr>
          <w:spacing w:val="-7"/>
          <w:sz w:val="18"/>
          <w:szCs w:val="18"/>
          <w:lang w:val="es-ES_tradnl"/>
        </w:rPr>
        <w:t>28 de febrero de 1994, fecha en la que opt</w:t>
      </w:r>
      <w:r>
        <w:rPr>
          <w:rFonts w:cs="Times New Roman"/>
          <w:spacing w:val="-7"/>
          <w:sz w:val="18"/>
          <w:szCs w:val="18"/>
          <w:lang w:val="es-ES_tradnl"/>
        </w:rPr>
        <w:t>ó</w:t>
      </w:r>
      <w:r>
        <w:rPr>
          <w:spacing w:val="-7"/>
          <w:sz w:val="18"/>
          <w:szCs w:val="18"/>
          <w:lang w:val="es-ES_tradnl"/>
        </w:rPr>
        <w:t xml:space="preserve"> por el sistema </w:t>
      </w:r>
      <w:r>
        <w:rPr>
          <w:spacing w:val="-8"/>
          <w:sz w:val="18"/>
          <w:szCs w:val="18"/>
          <w:lang w:val="es-ES_tradnl"/>
        </w:rPr>
        <w:t>de separaci</w:t>
      </w:r>
      <w:r>
        <w:rPr>
          <w:rFonts w:cs="Times New Roman"/>
          <w:spacing w:val="-8"/>
          <w:sz w:val="18"/>
          <w:szCs w:val="18"/>
          <w:lang w:val="es-ES_tradnl"/>
        </w:rPr>
        <w:t>ó</w:t>
      </w:r>
      <w:r>
        <w:rPr>
          <w:spacing w:val="-8"/>
          <w:sz w:val="18"/>
          <w:szCs w:val="18"/>
          <w:lang w:val="es-ES_tradnl"/>
        </w:rPr>
        <w:t>n concentrada y selectiva de los servidores de dicha entidad bancaria, al haberse acogido a la separaci</w:t>
      </w:r>
      <w:r>
        <w:rPr>
          <w:rFonts w:cs="Times New Roman"/>
          <w:spacing w:val="-8"/>
          <w:sz w:val="18"/>
          <w:szCs w:val="18"/>
          <w:lang w:val="es-ES_tradnl"/>
        </w:rPr>
        <w:t>ó</w:t>
      </w:r>
      <w:r>
        <w:rPr>
          <w:spacing w:val="-8"/>
          <w:sz w:val="18"/>
          <w:szCs w:val="18"/>
          <w:lang w:val="es-ES_tradnl"/>
        </w:rPr>
        <w:t xml:space="preserve">n </w:t>
      </w:r>
      <w:r>
        <w:rPr>
          <w:spacing w:val="-6"/>
          <w:sz w:val="18"/>
          <w:szCs w:val="18"/>
          <w:lang w:val="es-ES_tradnl"/>
        </w:rPr>
        <w:t>voluntaria bajo la modalidad de venta de renuncias por la que recibi</w:t>
      </w:r>
      <w:r>
        <w:rPr>
          <w:rFonts w:cs="Times New Roman"/>
          <w:spacing w:val="-6"/>
          <w:sz w:val="18"/>
          <w:szCs w:val="18"/>
          <w:lang w:val="es-ES_tradnl"/>
        </w:rPr>
        <w:t>ó</w:t>
      </w:r>
      <w:r>
        <w:rPr>
          <w:spacing w:val="-6"/>
          <w:sz w:val="18"/>
          <w:szCs w:val="18"/>
          <w:lang w:val="es-ES_tradnl"/>
        </w:rPr>
        <w:t xml:space="preserve"> una compensaci</w:t>
      </w:r>
      <w:r>
        <w:rPr>
          <w:rFonts w:cs="Times New Roman"/>
          <w:spacing w:val="-6"/>
          <w:sz w:val="18"/>
          <w:szCs w:val="18"/>
          <w:lang w:val="es-ES_tradnl"/>
        </w:rPr>
        <w:t>ó</w:t>
      </w:r>
      <w:r>
        <w:rPr>
          <w:spacing w:val="-6"/>
          <w:sz w:val="18"/>
          <w:szCs w:val="18"/>
          <w:lang w:val="es-ES_tradnl"/>
        </w:rPr>
        <w:t xml:space="preserve">n correspondiente a quince </w:t>
      </w:r>
      <w:r>
        <w:rPr>
          <w:spacing w:val="-5"/>
          <w:sz w:val="18"/>
          <w:szCs w:val="18"/>
          <w:lang w:val="es-ES_tradnl"/>
        </w:rPr>
        <w:t xml:space="preserve">millones novecientos treinta y tres mil quinientos treinta y </w:t>
      </w:r>
      <w:r>
        <w:rPr>
          <w:sz w:val="18"/>
          <w:szCs w:val="18"/>
          <w:lang w:val="es-ES_tradnl"/>
        </w:rPr>
        <w:t>dos sucres (15.933.532).</w:t>
      </w:r>
    </w:p>
    <w:p w14:paraId="4F67B055" w14:textId="77777777" w:rsidR="00591D54" w:rsidRDefault="00591D54">
      <w:pPr>
        <w:shd w:val="clear" w:color="auto" w:fill="FFFFFF"/>
        <w:spacing w:before="197" w:line="216" w:lineRule="exact"/>
        <w:jc w:val="both"/>
      </w:pPr>
      <w:r>
        <w:rPr>
          <w:spacing w:val="-7"/>
          <w:sz w:val="18"/>
          <w:szCs w:val="18"/>
          <w:lang w:val="es-ES_tradnl"/>
        </w:rPr>
        <w:t>Transcurrido aproximadamente 18 a</w:t>
      </w:r>
      <w:r>
        <w:rPr>
          <w:rFonts w:cs="Times New Roman"/>
          <w:spacing w:val="-7"/>
          <w:sz w:val="18"/>
          <w:szCs w:val="18"/>
          <w:lang w:val="es-ES_tradnl"/>
        </w:rPr>
        <w:t>ñ</w:t>
      </w:r>
      <w:r>
        <w:rPr>
          <w:spacing w:val="-7"/>
          <w:sz w:val="18"/>
          <w:szCs w:val="18"/>
          <w:lang w:val="es-ES_tradnl"/>
        </w:rPr>
        <w:t xml:space="preserve">os de dicho suceso, </w:t>
      </w:r>
      <w:r>
        <w:rPr>
          <w:spacing w:val="-5"/>
          <w:sz w:val="18"/>
          <w:szCs w:val="18"/>
          <w:lang w:val="es-ES_tradnl"/>
        </w:rPr>
        <w:t>la mencionada se</w:t>
      </w:r>
      <w:r>
        <w:rPr>
          <w:rFonts w:cs="Times New Roman"/>
          <w:spacing w:val="-5"/>
          <w:sz w:val="18"/>
          <w:szCs w:val="18"/>
          <w:lang w:val="es-ES_tradnl"/>
        </w:rPr>
        <w:t>ñ</w:t>
      </w:r>
      <w:r>
        <w:rPr>
          <w:spacing w:val="-5"/>
          <w:sz w:val="18"/>
          <w:szCs w:val="18"/>
          <w:lang w:val="es-ES_tradnl"/>
        </w:rPr>
        <w:t>ora, el 24 de julio de 2012, solicit</w:t>
      </w:r>
      <w:r>
        <w:rPr>
          <w:rFonts w:cs="Times New Roman"/>
          <w:spacing w:val="-5"/>
          <w:sz w:val="18"/>
          <w:szCs w:val="18"/>
          <w:lang w:val="es-ES_tradnl"/>
        </w:rPr>
        <w:t>ó</w:t>
      </w:r>
      <w:r>
        <w:rPr>
          <w:spacing w:val="-5"/>
          <w:sz w:val="18"/>
          <w:szCs w:val="18"/>
          <w:lang w:val="es-ES_tradnl"/>
        </w:rPr>
        <w:t xml:space="preserve"> al </w:t>
      </w:r>
      <w:r>
        <w:rPr>
          <w:spacing w:val="-8"/>
          <w:sz w:val="18"/>
          <w:szCs w:val="18"/>
          <w:lang w:val="es-ES_tradnl"/>
        </w:rPr>
        <w:t>Ministerio de Relaciones Laborales una certificaci</w:t>
      </w:r>
      <w:r>
        <w:rPr>
          <w:rFonts w:cs="Times New Roman"/>
          <w:spacing w:val="-8"/>
          <w:sz w:val="18"/>
          <w:szCs w:val="18"/>
          <w:lang w:val="es-ES_tradnl"/>
        </w:rPr>
        <w:t>ó</w:t>
      </w:r>
      <w:r>
        <w:rPr>
          <w:spacing w:val="-8"/>
          <w:sz w:val="18"/>
          <w:szCs w:val="18"/>
          <w:lang w:val="es-ES_tradnl"/>
        </w:rPr>
        <w:t xml:space="preserve">n de no </w:t>
      </w:r>
      <w:r>
        <w:rPr>
          <w:spacing w:val="-6"/>
          <w:sz w:val="18"/>
          <w:szCs w:val="18"/>
          <w:lang w:val="es-ES_tradnl"/>
        </w:rPr>
        <w:t>tener impedimento legal para ingresar al servicio p</w:t>
      </w:r>
      <w:r>
        <w:rPr>
          <w:rFonts w:cs="Times New Roman"/>
          <w:spacing w:val="-6"/>
          <w:sz w:val="18"/>
          <w:szCs w:val="18"/>
          <w:lang w:val="es-ES_tradnl"/>
        </w:rPr>
        <w:t>ú</w:t>
      </w:r>
      <w:r>
        <w:rPr>
          <w:spacing w:val="-6"/>
          <w:sz w:val="18"/>
          <w:szCs w:val="18"/>
          <w:lang w:val="es-ES_tradnl"/>
        </w:rPr>
        <w:t xml:space="preserve">blico. </w:t>
      </w:r>
      <w:r>
        <w:rPr>
          <w:spacing w:val="-8"/>
          <w:sz w:val="18"/>
          <w:szCs w:val="18"/>
          <w:lang w:val="es-ES_tradnl"/>
        </w:rPr>
        <w:t xml:space="preserve">Sin embargo, en la base de datos de dicha dependencia, </w:t>
      </w:r>
      <w:r>
        <w:rPr>
          <w:spacing w:val="-3"/>
          <w:sz w:val="18"/>
          <w:szCs w:val="18"/>
          <w:lang w:val="es-ES_tradnl"/>
        </w:rPr>
        <w:t xml:space="preserve">constaba registrado el impedimento de ejercer cargo </w:t>
      </w:r>
      <w:r>
        <w:rPr>
          <w:spacing w:val="-1"/>
          <w:sz w:val="18"/>
          <w:szCs w:val="18"/>
          <w:lang w:val="es-ES_tradnl"/>
        </w:rPr>
        <w:t>p</w:t>
      </w:r>
      <w:r>
        <w:rPr>
          <w:rFonts w:cs="Times New Roman"/>
          <w:spacing w:val="-1"/>
          <w:sz w:val="18"/>
          <w:szCs w:val="18"/>
          <w:lang w:val="es-ES_tradnl"/>
        </w:rPr>
        <w:t>ú</w:t>
      </w:r>
      <w:r>
        <w:rPr>
          <w:spacing w:val="-1"/>
          <w:sz w:val="18"/>
          <w:szCs w:val="18"/>
          <w:lang w:val="es-ES_tradnl"/>
        </w:rPr>
        <w:t>blico basado en la compensaci</w:t>
      </w:r>
      <w:r>
        <w:rPr>
          <w:rFonts w:cs="Times New Roman"/>
          <w:spacing w:val="-1"/>
          <w:sz w:val="18"/>
          <w:szCs w:val="18"/>
          <w:lang w:val="es-ES_tradnl"/>
        </w:rPr>
        <w:t>ó</w:t>
      </w:r>
      <w:r>
        <w:rPr>
          <w:spacing w:val="-1"/>
          <w:sz w:val="18"/>
          <w:szCs w:val="18"/>
          <w:lang w:val="es-ES_tradnl"/>
        </w:rPr>
        <w:t xml:space="preserve">n que por retiro </w:t>
      </w:r>
      <w:r>
        <w:rPr>
          <w:sz w:val="18"/>
          <w:szCs w:val="18"/>
          <w:lang w:val="es-ES_tradnl"/>
        </w:rPr>
        <w:t>voluntario recibi</w:t>
      </w:r>
      <w:r>
        <w:rPr>
          <w:rFonts w:cs="Times New Roman"/>
          <w:sz w:val="18"/>
          <w:szCs w:val="18"/>
          <w:lang w:val="es-ES_tradnl"/>
        </w:rPr>
        <w:t>ó</w:t>
      </w:r>
      <w:r>
        <w:rPr>
          <w:sz w:val="18"/>
          <w:szCs w:val="18"/>
          <w:lang w:val="es-ES_tradnl"/>
        </w:rPr>
        <w:t xml:space="preserve"> en 1994.</w:t>
      </w:r>
    </w:p>
    <w:p w14:paraId="4F67B056" w14:textId="77777777" w:rsidR="00591D54" w:rsidRDefault="00591D54">
      <w:pPr>
        <w:shd w:val="clear" w:color="auto" w:fill="FFFFFF"/>
        <w:spacing w:before="197" w:line="216" w:lineRule="exact"/>
        <w:jc w:val="both"/>
      </w:pPr>
      <w:r>
        <w:rPr>
          <w:spacing w:val="-5"/>
          <w:sz w:val="18"/>
          <w:szCs w:val="18"/>
          <w:lang w:val="es-ES_tradnl"/>
        </w:rPr>
        <w:t>En la misma fecha, la se</w:t>
      </w:r>
      <w:r>
        <w:rPr>
          <w:rFonts w:cs="Times New Roman"/>
          <w:spacing w:val="-5"/>
          <w:sz w:val="18"/>
          <w:szCs w:val="18"/>
          <w:lang w:val="es-ES_tradnl"/>
        </w:rPr>
        <w:t>ñ</w:t>
      </w:r>
      <w:r>
        <w:rPr>
          <w:spacing w:val="-5"/>
          <w:sz w:val="18"/>
          <w:szCs w:val="18"/>
          <w:lang w:val="es-ES_tradnl"/>
        </w:rPr>
        <w:t>ora Ruth Germania Guti</w:t>
      </w:r>
      <w:r>
        <w:rPr>
          <w:rFonts w:cs="Times New Roman"/>
          <w:spacing w:val="-5"/>
          <w:sz w:val="18"/>
          <w:szCs w:val="18"/>
          <w:lang w:val="es-ES_tradnl"/>
        </w:rPr>
        <w:t>é</w:t>
      </w:r>
      <w:r>
        <w:rPr>
          <w:spacing w:val="-5"/>
          <w:sz w:val="18"/>
          <w:szCs w:val="18"/>
          <w:lang w:val="es-ES_tradnl"/>
        </w:rPr>
        <w:t xml:space="preserve">rrez </w:t>
      </w:r>
      <w:r>
        <w:rPr>
          <w:spacing w:val="-7"/>
          <w:sz w:val="18"/>
          <w:szCs w:val="18"/>
          <w:lang w:val="es-ES_tradnl"/>
        </w:rPr>
        <w:t>Ortega present</w:t>
      </w:r>
      <w:r>
        <w:rPr>
          <w:rFonts w:cs="Times New Roman"/>
          <w:spacing w:val="-7"/>
          <w:sz w:val="18"/>
          <w:szCs w:val="18"/>
          <w:lang w:val="es-ES_tradnl"/>
        </w:rPr>
        <w:t>ó</w:t>
      </w:r>
      <w:r>
        <w:rPr>
          <w:spacing w:val="-7"/>
          <w:sz w:val="18"/>
          <w:szCs w:val="18"/>
          <w:lang w:val="es-ES_tradnl"/>
        </w:rPr>
        <w:t xml:space="preserve">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n contra la prohibici</w:t>
      </w:r>
      <w:r>
        <w:rPr>
          <w:rFonts w:cs="Times New Roman"/>
          <w:spacing w:val="-7"/>
          <w:sz w:val="18"/>
          <w:szCs w:val="18"/>
          <w:lang w:val="es-ES_tradnl"/>
        </w:rPr>
        <w:t>ó</w:t>
      </w:r>
      <w:r>
        <w:rPr>
          <w:spacing w:val="-7"/>
          <w:sz w:val="18"/>
          <w:szCs w:val="18"/>
          <w:lang w:val="es-ES_tradnl"/>
        </w:rPr>
        <w:t>n para ejercer cargo p</w:t>
      </w:r>
      <w:r>
        <w:rPr>
          <w:rFonts w:cs="Times New Roman"/>
          <w:spacing w:val="-7"/>
          <w:sz w:val="18"/>
          <w:szCs w:val="18"/>
          <w:lang w:val="es-ES_tradnl"/>
        </w:rPr>
        <w:t>ú</w:t>
      </w:r>
      <w:r>
        <w:rPr>
          <w:spacing w:val="-7"/>
          <w:sz w:val="18"/>
          <w:szCs w:val="18"/>
          <w:lang w:val="es-ES_tradnl"/>
        </w:rPr>
        <w:t>blico, por cuanto, fue la ganadora del concurso de m</w:t>
      </w:r>
      <w:r>
        <w:rPr>
          <w:rFonts w:cs="Times New Roman"/>
          <w:spacing w:val="-7"/>
          <w:sz w:val="18"/>
          <w:szCs w:val="18"/>
          <w:lang w:val="es-ES_tradnl"/>
        </w:rPr>
        <w:t>é</w:t>
      </w:r>
      <w:r>
        <w:rPr>
          <w:spacing w:val="-7"/>
          <w:sz w:val="18"/>
          <w:szCs w:val="18"/>
          <w:lang w:val="es-ES_tradnl"/>
        </w:rPr>
        <w:t>ritos y oposici</w:t>
      </w:r>
      <w:r>
        <w:rPr>
          <w:rFonts w:cs="Times New Roman"/>
          <w:spacing w:val="-7"/>
          <w:sz w:val="18"/>
          <w:szCs w:val="18"/>
          <w:lang w:val="es-ES_tradnl"/>
        </w:rPr>
        <w:t>ó</w:t>
      </w:r>
      <w:r>
        <w:rPr>
          <w:spacing w:val="-7"/>
          <w:sz w:val="18"/>
          <w:szCs w:val="18"/>
          <w:lang w:val="es-ES_tradnl"/>
        </w:rPr>
        <w:t xml:space="preserve">n para el cargo de docente </w:t>
      </w:r>
      <w:r>
        <w:rPr>
          <w:sz w:val="18"/>
          <w:szCs w:val="18"/>
          <w:lang w:val="es-ES_tradnl"/>
        </w:rPr>
        <w:t>en la instituci</w:t>
      </w:r>
      <w:r>
        <w:rPr>
          <w:rFonts w:cs="Times New Roman"/>
          <w:sz w:val="18"/>
          <w:szCs w:val="18"/>
          <w:lang w:val="es-ES_tradnl"/>
        </w:rPr>
        <w:t>ó</w:t>
      </w:r>
      <w:r>
        <w:rPr>
          <w:sz w:val="18"/>
          <w:szCs w:val="18"/>
          <w:lang w:val="es-ES_tradnl"/>
        </w:rPr>
        <w:t xml:space="preserve">n educativa </w:t>
      </w:r>
      <w:r>
        <w:rPr>
          <w:rFonts w:cs="Times New Roman"/>
          <w:sz w:val="18"/>
          <w:szCs w:val="18"/>
          <w:lang w:val="es-ES_tradnl"/>
        </w:rPr>
        <w:t>“</w:t>
      </w:r>
      <w:r>
        <w:rPr>
          <w:sz w:val="18"/>
          <w:szCs w:val="18"/>
          <w:lang w:val="es-ES_tradnl"/>
        </w:rPr>
        <w:t>Luis Cordero</w:t>
      </w:r>
      <w:r>
        <w:rPr>
          <w:rFonts w:cs="Times New Roman"/>
          <w:sz w:val="18"/>
          <w:szCs w:val="18"/>
          <w:lang w:val="es-ES_tradnl"/>
        </w:rPr>
        <w:t>”</w:t>
      </w:r>
      <w:r>
        <w:rPr>
          <w:sz w:val="18"/>
          <w:szCs w:val="18"/>
          <w:lang w:val="es-ES_tradnl"/>
        </w:rPr>
        <w:t xml:space="preserve"> ubicada en </w:t>
      </w:r>
      <w:r>
        <w:rPr>
          <w:spacing w:val="-5"/>
          <w:sz w:val="18"/>
          <w:szCs w:val="18"/>
          <w:lang w:val="es-ES_tradnl"/>
        </w:rPr>
        <w:t>la provincia del Ca</w:t>
      </w:r>
      <w:r>
        <w:rPr>
          <w:rFonts w:cs="Times New Roman"/>
          <w:spacing w:val="-5"/>
          <w:sz w:val="18"/>
          <w:szCs w:val="18"/>
          <w:lang w:val="es-ES_tradnl"/>
        </w:rPr>
        <w:t>ñ</w:t>
      </w:r>
      <w:r>
        <w:rPr>
          <w:spacing w:val="-5"/>
          <w:sz w:val="18"/>
          <w:szCs w:val="18"/>
          <w:lang w:val="es-ES_tradnl"/>
        </w:rPr>
        <w:t>ar cant</w:t>
      </w:r>
      <w:r>
        <w:rPr>
          <w:rFonts w:cs="Times New Roman"/>
          <w:spacing w:val="-5"/>
          <w:sz w:val="18"/>
          <w:szCs w:val="18"/>
          <w:lang w:val="es-ES_tradnl"/>
        </w:rPr>
        <w:t>ó</w:t>
      </w:r>
      <w:r>
        <w:rPr>
          <w:spacing w:val="-5"/>
          <w:sz w:val="18"/>
          <w:szCs w:val="18"/>
          <w:lang w:val="es-ES_tradnl"/>
        </w:rPr>
        <w:t>n Azogues. Esta acci</w:t>
      </w:r>
      <w:r>
        <w:rPr>
          <w:rFonts w:cs="Times New Roman"/>
          <w:spacing w:val="-5"/>
          <w:sz w:val="18"/>
          <w:szCs w:val="18"/>
          <w:lang w:val="es-ES_tradnl"/>
        </w:rPr>
        <w:t>ó</w:t>
      </w:r>
      <w:r>
        <w:rPr>
          <w:spacing w:val="-5"/>
          <w:sz w:val="18"/>
          <w:szCs w:val="18"/>
          <w:lang w:val="es-ES_tradnl"/>
        </w:rPr>
        <w:t xml:space="preserve">n fue </w:t>
      </w:r>
      <w:r>
        <w:rPr>
          <w:spacing w:val="-2"/>
          <w:sz w:val="18"/>
          <w:szCs w:val="18"/>
          <w:lang w:val="es-ES_tradnl"/>
        </w:rPr>
        <w:t>declarada improcedente por la jueza cuarta de la ni</w:t>
      </w:r>
      <w:r>
        <w:rPr>
          <w:rFonts w:cs="Times New Roman"/>
          <w:spacing w:val="-2"/>
          <w:sz w:val="18"/>
          <w:szCs w:val="18"/>
          <w:lang w:val="es-ES_tradnl"/>
        </w:rPr>
        <w:t>ñ</w:t>
      </w:r>
      <w:r>
        <w:rPr>
          <w:spacing w:val="-2"/>
          <w:sz w:val="18"/>
          <w:szCs w:val="18"/>
          <w:lang w:val="es-ES_tradnl"/>
        </w:rPr>
        <w:t xml:space="preserve">ez </w:t>
      </w:r>
      <w:r>
        <w:rPr>
          <w:spacing w:val="-7"/>
          <w:sz w:val="18"/>
          <w:szCs w:val="18"/>
          <w:lang w:val="es-ES_tradnl"/>
        </w:rPr>
        <w:t>y adolescencia del Ca</w:t>
      </w:r>
      <w:r>
        <w:rPr>
          <w:rFonts w:cs="Times New Roman"/>
          <w:spacing w:val="-7"/>
          <w:sz w:val="18"/>
          <w:szCs w:val="18"/>
          <w:lang w:val="es-ES_tradnl"/>
        </w:rPr>
        <w:t>ñ</w:t>
      </w:r>
      <w:r>
        <w:rPr>
          <w:spacing w:val="-7"/>
          <w:sz w:val="18"/>
          <w:szCs w:val="18"/>
          <w:lang w:val="es-ES_tradnl"/>
        </w:rPr>
        <w:t xml:space="preserve">ar, el 07 de agosto de 2012 a las </w:t>
      </w:r>
      <w:r>
        <w:rPr>
          <w:sz w:val="18"/>
          <w:szCs w:val="18"/>
          <w:lang w:val="es-ES_tradnl"/>
        </w:rPr>
        <w:t>12h08.</w:t>
      </w:r>
    </w:p>
    <w:p w14:paraId="4F67B057" w14:textId="77777777" w:rsidR="00591D54" w:rsidRDefault="00591D54">
      <w:pPr>
        <w:shd w:val="clear" w:color="auto" w:fill="FFFFFF"/>
        <w:spacing w:before="192" w:line="216" w:lineRule="exact"/>
        <w:jc w:val="both"/>
      </w:pPr>
      <w:r>
        <w:rPr>
          <w:spacing w:val="-2"/>
          <w:sz w:val="18"/>
          <w:szCs w:val="18"/>
          <w:lang w:val="es-ES_tradnl"/>
        </w:rPr>
        <w:t>Inconforme con tal decisi</w:t>
      </w:r>
      <w:r>
        <w:rPr>
          <w:rFonts w:cs="Times New Roman"/>
          <w:spacing w:val="-2"/>
          <w:sz w:val="18"/>
          <w:szCs w:val="18"/>
          <w:lang w:val="es-ES_tradnl"/>
        </w:rPr>
        <w:t>ó</w:t>
      </w:r>
      <w:r>
        <w:rPr>
          <w:spacing w:val="-2"/>
          <w:sz w:val="18"/>
          <w:szCs w:val="18"/>
          <w:lang w:val="es-ES_tradnl"/>
        </w:rPr>
        <w:t xml:space="preserve">n, la accionante interpuso </w:t>
      </w:r>
      <w:r>
        <w:rPr>
          <w:spacing w:val="-6"/>
          <w:sz w:val="18"/>
          <w:szCs w:val="18"/>
          <w:lang w:val="es-ES_tradnl"/>
        </w:rPr>
        <w:t>recurso de apelaci</w:t>
      </w:r>
      <w:r>
        <w:rPr>
          <w:rFonts w:cs="Times New Roman"/>
          <w:spacing w:val="-6"/>
          <w:sz w:val="18"/>
          <w:szCs w:val="18"/>
          <w:lang w:val="es-ES_tradnl"/>
        </w:rPr>
        <w:t>ó</w:t>
      </w:r>
      <w:r>
        <w:rPr>
          <w:spacing w:val="-6"/>
          <w:sz w:val="18"/>
          <w:szCs w:val="18"/>
          <w:lang w:val="es-ES_tradnl"/>
        </w:rPr>
        <w:t xml:space="preserve">n, el cual fue aceptado por los jueces </w:t>
      </w:r>
      <w:r>
        <w:rPr>
          <w:spacing w:val="-5"/>
          <w:sz w:val="18"/>
          <w:szCs w:val="18"/>
          <w:lang w:val="es-ES_tradnl"/>
        </w:rPr>
        <w:t xml:space="preserve">de la Sala Especializada de lo Civil, Mercantil, Inquilinato </w:t>
      </w:r>
      <w:r>
        <w:rPr>
          <w:spacing w:val="-4"/>
          <w:sz w:val="18"/>
          <w:szCs w:val="18"/>
          <w:lang w:val="es-ES_tradnl"/>
        </w:rPr>
        <w:t>y Materias Residuales de la Corte Provincial de Justicia del Ca</w:t>
      </w:r>
      <w:r>
        <w:rPr>
          <w:rFonts w:cs="Times New Roman"/>
          <w:spacing w:val="-4"/>
          <w:sz w:val="18"/>
          <w:szCs w:val="18"/>
          <w:lang w:val="es-ES_tradnl"/>
        </w:rPr>
        <w:t>ñ</w:t>
      </w:r>
      <w:r>
        <w:rPr>
          <w:spacing w:val="-4"/>
          <w:sz w:val="18"/>
          <w:szCs w:val="18"/>
          <w:lang w:val="es-ES_tradnl"/>
        </w:rPr>
        <w:t xml:space="preserve">ar en la sentencia del 07 de septiembre del 2012 </w:t>
      </w:r>
      <w:r>
        <w:rPr>
          <w:spacing w:val="-6"/>
          <w:sz w:val="18"/>
          <w:szCs w:val="18"/>
          <w:lang w:val="es-ES_tradnl"/>
        </w:rPr>
        <w:t>a las 12h20, que revoc</w:t>
      </w:r>
      <w:r>
        <w:rPr>
          <w:rFonts w:cs="Times New Roman"/>
          <w:spacing w:val="-6"/>
          <w:sz w:val="18"/>
          <w:szCs w:val="18"/>
          <w:lang w:val="es-ES_tradnl"/>
        </w:rPr>
        <w:t>ó</w:t>
      </w:r>
      <w:r>
        <w:rPr>
          <w:spacing w:val="-6"/>
          <w:sz w:val="18"/>
          <w:szCs w:val="18"/>
          <w:lang w:val="es-ES_tradnl"/>
        </w:rPr>
        <w:t xml:space="preserve"> el fallo subido en grado y orden</w:t>
      </w:r>
      <w:r>
        <w:rPr>
          <w:rFonts w:cs="Times New Roman"/>
          <w:spacing w:val="-6"/>
          <w:sz w:val="18"/>
          <w:szCs w:val="18"/>
          <w:lang w:val="es-ES_tradnl"/>
        </w:rPr>
        <w:t xml:space="preserve">ó </w:t>
      </w:r>
      <w:r>
        <w:rPr>
          <w:spacing w:val="-2"/>
          <w:sz w:val="18"/>
          <w:szCs w:val="18"/>
          <w:lang w:val="es-ES_tradnl"/>
        </w:rPr>
        <w:t>la rehabilitaci</w:t>
      </w:r>
      <w:r>
        <w:rPr>
          <w:rFonts w:cs="Times New Roman"/>
          <w:spacing w:val="-2"/>
          <w:sz w:val="18"/>
          <w:szCs w:val="18"/>
          <w:lang w:val="es-ES_tradnl"/>
        </w:rPr>
        <w:t>ó</w:t>
      </w:r>
      <w:r>
        <w:rPr>
          <w:spacing w:val="-2"/>
          <w:sz w:val="18"/>
          <w:szCs w:val="18"/>
          <w:lang w:val="es-ES_tradnl"/>
        </w:rPr>
        <w:t xml:space="preserve">n de la accionante para ejercer cargo </w:t>
      </w:r>
      <w:r>
        <w:rPr>
          <w:spacing w:val="-3"/>
          <w:sz w:val="18"/>
          <w:szCs w:val="18"/>
          <w:lang w:val="es-ES_tradnl"/>
        </w:rPr>
        <w:t>p</w:t>
      </w:r>
      <w:r>
        <w:rPr>
          <w:rFonts w:cs="Times New Roman"/>
          <w:spacing w:val="-3"/>
          <w:sz w:val="18"/>
          <w:szCs w:val="18"/>
          <w:lang w:val="es-ES_tradnl"/>
        </w:rPr>
        <w:t>ú</w:t>
      </w:r>
      <w:r>
        <w:rPr>
          <w:spacing w:val="-3"/>
          <w:sz w:val="18"/>
          <w:szCs w:val="18"/>
          <w:lang w:val="es-ES_tradnl"/>
        </w:rPr>
        <w:t>blico dejando sin efecto la prohibici</w:t>
      </w:r>
      <w:r>
        <w:rPr>
          <w:rFonts w:cs="Times New Roman"/>
          <w:spacing w:val="-3"/>
          <w:sz w:val="18"/>
          <w:szCs w:val="18"/>
          <w:lang w:val="es-ES_tradnl"/>
        </w:rPr>
        <w:t>ó</w:t>
      </w:r>
      <w:r>
        <w:rPr>
          <w:spacing w:val="-3"/>
          <w:sz w:val="18"/>
          <w:szCs w:val="18"/>
          <w:lang w:val="es-ES_tradnl"/>
        </w:rPr>
        <w:t xml:space="preserve">n de devolver la </w:t>
      </w:r>
      <w:r>
        <w:rPr>
          <w:spacing w:val="-5"/>
          <w:sz w:val="18"/>
          <w:szCs w:val="18"/>
          <w:lang w:val="es-ES_tradnl"/>
        </w:rPr>
        <w:t>mencionada indemnizaci</w:t>
      </w:r>
      <w:r>
        <w:rPr>
          <w:rFonts w:cs="Times New Roman"/>
          <w:spacing w:val="-5"/>
          <w:sz w:val="18"/>
          <w:szCs w:val="18"/>
          <w:lang w:val="es-ES_tradnl"/>
        </w:rPr>
        <w:t>ó</w:t>
      </w:r>
      <w:r>
        <w:rPr>
          <w:spacing w:val="-5"/>
          <w:sz w:val="18"/>
          <w:szCs w:val="18"/>
          <w:lang w:val="es-ES_tradnl"/>
        </w:rPr>
        <w:t xml:space="preserve">n para su reintegro al servicio </w:t>
      </w:r>
      <w:r>
        <w:rPr>
          <w:sz w:val="18"/>
          <w:szCs w:val="18"/>
          <w:lang w:val="es-ES_tradnl"/>
        </w:rPr>
        <w:t>p</w:t>
      </w:r>
      <w:r>
        <w:rPr>
          <w:rFonts w:cs="Times New Roman"/>
          <w:sz w:val="18"/>
          <w:szCs w:val="18"/>
          <w:lang w:val="es-ES_tradnl"/>
        </w:rPr>
        <w:t>ú</w:t>
      </w:r>
      <w:r>
        <w:rPr>
          <w:sz w:val="18"/>
          <w:szCs w:val="18"/>
          <w:lang w:val="es-ES_tradnl"/>
        </w:rPr>
        <w:t>blico.</w:t>
      </w:r>
    </w:p>
    <w:p w14:paraId="4F67B058" w14:textId="77777777" w:rsidR="00591D54" w:rsidRDefault="00591D54">
      <w:pPr>
        <w:shd w:val="clear" w:color="auto" w:fill="FFFFFF"/>
        <w:spacing w:before="192" w:line="216" w:lineRule="exact"/>
        <w:jc w:val="both"/>
      </w:pPr>
      <w:r>
        <w:rPr>
          <w:spacing w:val="-4"/>
          <w:sz w:val="18"/>
          <w:szCs w:val="18"/>
          <w:lang w:val="es-ES_tradnl"/>
        </w:rPr>
        <w:t>El 05 de octubre de 2012, Jos</w:t>
      </w:r>
      <w:r>
        <w:rPr>
          <w:rFonts w:cs="Times New Roman"/>
          <w:spacing w:val="-4"/>
          <w:sz w:val="18"/>
          <w:szCs w:val="18"/>
          <w:lang w:val="es-ES_tradnl"/>
        </w:rPr>
        <w:t>é</w:t>
      </w:r>
      <w:r>
        <w:rPr>
          <w:spacing w:val="-4"/>
          <w:sz w:val="18"/>
          <w:szCs w:val="18"/>
          <w:lang w:val="es-ES_tradnl"/>
        </w:rPr>
        <w:t xml:space="preserve"> Francisco Vacas D</w:t>
      </w:r>
      <w:r>
        <w:rPr>
          <w:rFonts w:cs="Times New Roman"/>
          <w:spacing w:val="-4"/>
          <w:sz w:val="18"/>
          <w:szCs w:val="18"/>
          <w:lang w:val="es-ES_tradnl"/>
        </w:rPr>
        <w:t>á</w:t>
      </w:r>
      <w:r>
        <w:rPr>
          <w:spacing w:val="-4"/>
          <w:sz w:val="18"/>
          <w:szCs w:val="18"/>
          <w:lang w:val="es-ES_tradnl"/>
        </w:rPr>
        <w:t xml:space="preserve">vila </w:t>
      </w:r>
      <w:r>
        <w:rPr>
          <w:spacing w:val="-6"/>
          <w:sz w:val="18"/>
          <w:szCs w:val="18"/>
          <w:lang w:val="es-ES_tradnl"/>
        </w:rPr>
        <w:t>en calidad de ministro de Relaciones Laborales, present</w:t>
      </w:r>
      <w:r>
        <w:rPr>
          <w:rFonts w:cs="Times New Roman"/>
          <w:spacing w:val="-6"/>
          <w:sz w:val="18"/>
          <w:szCs w:val="18"/>
          <w:lang w:val="es-ES_tradnl"/>
        </w:rPr>
        <w:t xml:space="preserve">ó </w:t>
      </w:r>
      <w:r>
        <w:rPr>
          <w:spacing w:val="-4"/>
          <w:sz w:val="18"/>
          <w:szCs w:val="18"/>
          <w:lang w:val="es-ES_tradnl"/>
        </w:rPr>
        <w:t>acci</w:t>
      </w:r>
      <w:r>
        <w:rPr>
          <w:rFonts w:cs="Times New Roman"/>
          <w:spacing w:val="-4"/>
          <w:sz w:val="18"/>
          <w:szCs w:val="18"/>
          <w:lang w:val="es-ES_tradnl"/>
        </w:rPr>
        <w:t>ó</w:t>
      </w:r>
      <w:r>
        <w:rPr>
          <w:spacing w:val="-4"/>
          <w:sz w:val="18"/>
          <w:szCs w:val="18"/>
          <w:lang w:val="es-ES_tradnl"/>
        </w:rPr>
        <w:t>n extraordinaria de protecci</w:t>
      </w:r>
      <w:r>
        <w:rPr>
          <w:rFonts w:cs="Times New Roman"/>
          <w:spacing w:val="-4"/>
          <w:sz w:val="18"/>
          <w:szCs w:val="18"/>
          <w:lang w:val="es-ES_tradnl"/>
        </w:rPr>
        <w:t>ó</w:t>
      </w:r>
      <w:r>
        <w:rPr>
          <w:spacing w:val="-4"/>
          <w:sz w:val="18"/>
          <w:szCs w:val="18"/>
          <w:lang w:val="es-ES_tradnl"/>
        </w:rPr>
        <w:t>n contra la decisi</w:t>
      </w:r>
      <w:r>
        <w:rPr>
          <w:rFonts w:cs="Times New Roman"/>
          <w:spacing w:val="-4"/>
          <w:sz w:val="18"/>
          <w:szCs w:val="18"/>
          <w:lang w:val="es-ES_tradnl"/>
        </w:rPr>
        <w:t>ó</w:t>
      </w:r>
      <w:r>
        <w:rPr>
          <w:spacing w:val="-4"/>
          <w:sz w:val="18"/>
          <w:szCs w:val="18"/>
          <w:lang w:val="es-ES_tradnl"/>
        </w:rPr>
        <w:t xml:space="preserve">n </w:t>
      </w:r>
      <w:r>
        <w:rPr>
          <w:spacing w:val="-6"/>
          <w:sz w:val="18"/>
          <w:szCs w:val="18"/>
          <w:lang w:val="es-ES_tradnl"/>
        </w:rPr>
        <w:t xml:space="preserve">emitida por los jueces de la Sala de la Corte Provincial de </w:t>
      </w:r>
      <w:r>
        <w:rPr>
          <w:sz w:val="18"/>
          <w:szCs w:val="18"/>
          <w:lang w:val="es-ES_tradnl"/>
        </w:rPr>
        <w:t>Justicia del Ca</w:t>
      </w:r>
      <w:r>
        <w:rPr>
          <w:rFonts w:cs="Times New Roman"/>
          <w:sz w:val="18"/>
          <w:szCs w:val="18"/>
          <w:lang w:val="es-ES_tradnl"/>
        </w:rPr>
        <w:t>ñ</w:t>
      </w:r>
      <w:r>
        <w:rPr>
          <w:sz w:val="18"/>
          <w:szCs w:val="18"/>
          <w:lang w:val="es-ES_tradnl"/>
        </w:rPr>
        <w:t>ar.</w:t>
      </w:r>
    </w:p>
    <w:p w14:paraId="4F67B059" w14:textId="77777777" w:rsidR="00591D54" w:rsidRDefault="00591D54">
      <w:pPr>
        <w:shd w:val="clear" w:color="auto" w:fill="FFFFFF"/>
        <w:spacing w:before="192" w:line="216" w:lineRule="exact"/>
        <w:jc w:val="both"/>
      </w:pPr>
      <w:r>
        <w:rPr>
          <w:b/>
          <w:bCs/>
          <w:sz w:val="18"/>
          <w:szCs w:val="18"/>
          <w:lang w:val="es-ES_tradnl"/>
        </w:rPr>
        <w:t>Fundamento de la demanda extraordinaria de protecci</w:t>
      </w:r>
      <w:r>
        <w:rPr>
          <w:rFonts w:cs="Times New Roman"/>
          <w:b/>
          <w:bCs/>
          <w:sz w:val="18"/>
          <w:szCs w:val="18"/>
          <w:lang w:val="es-ES_tradnl"/>
        </w:rPr>
        <w:t>ó</w:t>
      </w:r>
      <w:r>
        <w:rPr>
          <w:b/>
          <w:bCs/>
          <w:sz w:val="18"/>
          <w:szCs w:val="18"/>
          <w:lang w:val="es-ES_tradnl"/>
        </w:rPr>
        <w:t>n</w:t>
      </w:r>
    </w:p>
    <w:p w14:paraId="4F67B05A" w14:textId="77777777" w:rsidR="00591D54" w:rsidRDefault="00591D54">
      <w:pPr>
        <w:shd w:val="clear" w:color="auto" w:fill="FFFFFF"/>
        <w:spacing w:before="192" w:line="216" w:lineRule="exact"/>
        <w:jc w:val="both"/>
      </w:pPr>
      <w:r>
        <w:rPr>
          <w:spacing w:val="-5"/>
          <w:sz w:val="18"/>
          <w:szCs w:val="18"/>
          <w:lang w:val="es-ES_tradnl"/>
        </w:rPr>
        <w:t xml:space="preserve">El ministro de Relaciones Laborales considera que la </w:t>
      </w:r>
      <w:r>
        <w:rPr>
          <w:spacing w:val="-3"/>
          <w:sz w:val="18"/>
          <w:szCs w:val="18"/>
          <w:lang w:val="es-ES_tradnl"/>
        </w:rPr>
        <w:t>decisi</w:t>
      </w:r>
      <w:r>
        <w:rPr>
          <w:rFonts w:cs="Times New Roman"/>
          <w:spacing w:val="-3"/>
          <w:sz w:val="18"/>
          <w:szCs w:val="18"/>
          <w:lang w:val="es-ES_tradnl"/>
        </w:rPr>
        <w:t>ó</w:t>
      </w:r>
      <w:r>
        <w:rPr>
          <w:spacing w:val="-3"/>
          <w:sz w:val="18"/>
          <w:szCs w:val="18"/>
          <w:lang w:val="es-ES_tradnl"/>
        </w:rPr>
        <w:t>n judicial impugnada pone en duda la aplicaci</w:t>
      </w:r>
      <w:r>
        <w:rPr>
          <w:rFonts w:cs="Times New Roman"/>
          <w:spacing w:val="-3"/>
          <w:sz w:val="18"/>
          <w:szCs w:val="18"/>
          <w:lang w:val="es-ES_tradnl"/>
        </w:rPr>
        <w:t>ó</w:t>
      </w:r>
      <w:r>
        <w:rPr>
          <w:spacing w:val="-3"/>
          <w:sz w:val="18"/>
          <w:szCs w:val="18"/>
          <w:lang w:val="es-ES_tradnl"/>
        </w:rPr>
        <w:t xml:space="preserve">n </w:t>
      </w:r>
      <w:r>
        <w:rPr>
          <w:spacing w:val="-6"/>
          <w:sz w:val="18"/>
          <w:szCs w:val="18"/>
          <w:lang w:val="es-ES_tradnl"/>
        </w:rPr>
        <w:t xml:space="preserve">de principios y normas, pues, manifiesta que la sentencia </w:t>
      </w:r>
      <w:r>
        <w:rPr>
          <w:spacing w:val="-2"/>
          <w:sz w:val="18"/>
          <w:szCs w:val="18"/>
          <w:lang w:val="es-ES_tradnl"/>
        </w:rPr>
        <w:t>recurrida al citar indiscriminadamente los art</w:t>
      </w:r>
      <w:r>
        <w:rPr>
          <w:rFonts w:cs="Times New Roman"/>
          <w:spacing w:val="-2"/>
          <w:sz w:val="18"/>
          <w:szCs w:val="18"/>
          <w:lang w:val="es-ES_tradnl"/>
        </w:rPr>
        <w:t>í</w:t>
      </w:r>
      <w:r>
        <w:rPr>
          <w:spacing w:val="-2"/>
          <w:sz w:val="18"/>
          <w:szCs w:val="18"/>
          <w:lang w:val="es-ES_tradnl"/>
        </w:rPr>
        <w:t xml:space="preserve">culos 33, </w:t>
      </w:r>
      <w:r>
        <w:rPr>
          <w:spacing w:val="-3"/>
          <w:sz w:val="18"/>
          <w:szCs w:val="18"/>
          <w:lang w:val="es-ES_tradnl"/>
        </w:rPr>
        <w:t>34, 76, 77, 84, 113, 325 y 426 de la Constituci</w:t>
      </w:r>
      <w:r>
        <w:rPr>
          <w:rFonts w:cs="Times New Roman"/>
          <w:spacing w:val="-3"/>
          <w:sz w:val="18"/>
          <w:szCs w:val="18"/>
          <w:lang w:val="es-ES_tradnl"/>
        </w:rPr>
        <w:t>ó</w:t>
      </w:r>
      <w:r>
        <w:rPr>
          <w:spacing w:val="-3"/>
          <w:sz w:val="18"/>
          <w:szCs w:val="18"/>
          <w:lang w:val="es-ES_tradnl"/>
        </w:rPr>
        <w:t xml:space="preserve">n de la </w:t>
      </w:r>
      <w:r>
        <w:rPr>
          <w:spacing w:val="-9"/>
          <w:sz w:val="18"/>
          <w:szCs w:val="18"/>
          <w:lang w:val="es-ES_tradnl"/>
        </w:rPr>
        <w:t>Rep</w:t>
      </w:r>
      <w:r>
        <w:rPr>
          <w:rFonts w:cs="Times New Roman"/>
          <w:spacing w:val="-9"/>
          <w:sz w:val="18"/>
          <w:szCs w:val="18"/>
          <w:lang w:val="es-ES_tradnl"/>
        </w:rPr>
        <w:t>ú</w:t>
      </w:r>
      <w:r>
        <w:rPr>
          <w:spacing w:val="-9"/>
          <w:sz w:val="18"/>
          <w:szCs w:val="18"/>
          <w:lang w:val="es-ES_tradnl"/>
        </w:rPr>
        <w:t xml:space="preserve">blica; normas ajenas e improcedentes al amparo de la </w:t>
      </w:r>
      <w:r>
        <w:rPr>
          <w:spacing w:val="-8"/>
          <w:sz w:val="18"/>
          <w:szCs w:val="18"/>
          <w:lang w:val="es-ES_tradnl"/>
        </w:rPr>
        <w:t>acci</w:t>
      </w:r>
      <w:r>
        <w:rPr>
          <w:rFonts w:cs="Times New Roman"/>
          <w:spacing w:val="-8"/>
          <w:sz w:val="18"/>
          <w:szCs w:val="18"/>
          <w:lang w:val="es-ES_tradnl"/>
        </w:rPr>
        <w:t>ó</w:t>
      </w:r>
      <w:r>
        <w:rPr>
          <w:spacing w:val="-8"/>
          <w:sz w:val="18"/>
          <w:szCs w:val="18"/>
          <w:lang w:val="es-ES_tradnl"/>
        </w:rPr>
        <w:t>n de protecci</w:t>
      </w:r>
      <w:r>
        <w:rPr>
          <w:rFonts w:cs="Times New Roman"/>
          <w:spacing w:val="-8"/>
          <w:sz w:val="18"/>
          <w:szCs w:val="18"/>
          <w:lang w:val="es-ES_tradnl"/>
        </w:rPr>
        <w:t>ó</w:t>
      </w:r>
      <w:r>
        <w:rPr>
          <w:spacing w:val="-8"/>
          <w:sz w:val="18"/>
          <w:szCs w:val="18"/>
          <w:lang w:val="es-ES_tradnl"/>
        </w:rPr>
        <w:t xml:space="preserve">n, vulnera el derecho constitucional a la </w:t>
      </w:r>
      <w:r>
        <w:rPr>
          <w:sz w:val="18"/>
          <w:szCs w:val="18"/>
          <w:lang w:val="es-ES_tradnl"/>
        </w:rPr>
        <w:t>seguridad jur</w:t>
      </w:r>
      <w:r>
        <w:rPr>
          <w:rFonts w:cs="Times New Roman"/>
          <w:sz w:val="18"/>
          <w:szCs w:val="18"/>
          <w:lang w:val="es-ES_tradnl"/>
        </w:rPr>
        <w:t>í</w:t>
      </w:r>
      <w:r>
        <w:rPr>
          <w:sz w:val="18"/>
          <w:szCs w:val="18"/>
          <w:lang w:val="es-ES_tradnl"/>
        </w:rPr>
        <w:t>dica.</w:t>
      </w:r>
    </w:p>
    <w:p w14:paraId="4F67B05B" w14:textId="77777777" w:rsidR="00591D54" w:rsidRDefault="00591D54">
      <w:pPr>
        <w:shd w:val="clear" w:color="auto" w:fill="FFFFFF"/>
        <w:spacing w:before="197" w:line="216" w:lineRule="exact"/>
        <w:jc w:val="both"/>
      </w:pPr>
      <w:r>
        <w:rPr>
          <w:sz w:val="18"/>
          <w:szCs w:val="18"/>
          <w:lang w:val="es-ES_tradnl"/>
        </w:rPr>
        <w:t>Adicionalmente alega que la resoluci</w:t>
      </w:r>
      <w:r>
        <w:rPr>
          <w:rFonts w:cs="Times New Roman"/>
          <w:sz w:val="18"/>
          <w:szCs w:val="18"/>
          <w:lang w:val="es-ES_tradnl"/>
        </w:rPr>
        <w:t>ó</w:t>
      </w:r>
      <w:r>
        <w:rPr>
          <w:sz w:val="18"/>
          <w:szCs w:val="18"/>
          <w:lang w:val="es-ES_tradnl"/>
        </w:rPr>
        <w:t xml:space="preserve">n cuestionada </w:t>
      </w:r>
      <w:r>
        <w:rPr>
          <w:spacing w:val="-1"/>
          <w:sz w:val="18"/>
          <w:szCs w:val="18"/>
          <w:lang w:val="es-ES_tradnl"/>
        </w:rPr>
        <w:t xml:space="preserve">no se encuentra debidamente motivada, pues, si bien </w:t>
      </w:r>
      <w:r>
        <w:rPr>
          <w:spacing w:val="-7"/>
          <w:sz w:val="18"/>
          <w:szCs w:val="18"/>
          <w:lang w:val="es-ES_tradnl"/>
        </w:rPr>
        <w:t>la ley no posee car</w:t>
      </w:r>
      <w:r>
        <w:rPr>
          <w:rFonts w:cs="Times New Roman"/>
          <w:spacing w:val="-7"/>
          <w:sz w:val="18"/>
          <w:szCs w:val="18"/>
          <w:lang w:val="es-ES_tradnl"/>
        </w:rPr>
        <w:t>á</w:t>
      </w:r>
      <w:r>
        <w:rPr>
          <w:spacing w:val="-7"/>
          <w:sz w:val="18"/>
          <w:szCs w:val="18"/>
          <w:lang w:val="es-ES_tradnl"/>
        </w:rPr>
        <w:t xml:space="preserve">cter retroactivo, debe analizarse las </w:t>
      </w:r>
      <w:r>
        <w:rPr>
          <w:spacing w:val="-8"/>
          <w:sz w:val="18"/>
          <w:szCs w:val="18"/>
          <w:lang w:val="es-ES_tradnl"/>
        </w:rPr>
        <w:t>circunstancias en las que se desarrolla el caso en cuesti</w:t>
      </w:r>
      <w:r>
        <w:rPr>
          <w:rFonts w:cs="Times New Roman"/>
          <w:spacing w:val="-8"/>
          <w:sz w:val="18"/>
          <w:szCs w:val="18"/>
          <w:lang w:val="es-ES_tradnl"/>
        </w:rPr>
        <w:t>ó</w:t>
      </w:r>
      <w:r>
        <w:rPr>
          <w:spacing w:val="-8"/>
          <w:sz w:val="18"/>
          <w:szCs w:val="18"/>
          <w:lang w:val="es-ES_tradnl"/>
        </w:rPr>
        <w:t xml:space="preserve">n, </w:t>
      </w:r>
      <w:r>
        <w:rPr>
          <w:spacing w:val="-7"/>
          <w:sz w:val="18"/>
          <w:szCs w:val="18"/>
          <w:lang w:val="es-ES_tradnl"/>
        </w:rPr>
        <w:t>pues, es el 05 de abril de 1994, fecha en la cual la se</w:t>
      </w:r>
      <w:r>
        <w:rPr>
          <w:rFonts w:cs="Times New Roman"/>
          <w:spacing w:val="-7"/>
          <w:sz w:val="18"/>
          <w:szCs w:val="18"/>
          <w:lang w:val="es-ES_tradnl"/>
        </w:rPr>
        <w:t>ñ</w:t>
      </w:r>
      <w:r>
        <w:rPr>
          <w:spacing w:val="-7"/>
          <w:sz w:val="18"/>
          <w:szCs w:val="18"/>
          <w:lang w:val="es-ES_tradnl"/>
        </w:rPr>
        <w:t xml:space="preserve">ora </w:t>
      </w:r>
      <w:r>
        <w:rPr>
          <w:spacing w:val="-6"/>
          <w:sz w:val="18"/>
          <w:szCs w:val="18"/>
          <w:lang w:val="es-ES_tradnl"/>
        </w:rPr>
        <w:t>Guti</w:t>
      </w:r>
      <w:r>
        <w:rPr>
          <w:rFonts w:cs="Times New Roman"/>
          <w:spacing w:val="-6"/>
          <w:sz w:val="18"/>
          <w:szCs w:val="18"/>
          <w:lang w:val="es-ES_tradnl"/>
        </w:rPr>
        <w:t>é</w:t>
      </w:r>
      <w:r>
        <w:rPr>
          <w:spacing w:val="-6"/>
          <w:sz w:val="18"/>
          <w:szCs w:val="18"/>
          <w:lang w:val="es-ES_tradnl"/>
        </w:rPr>
        <w:t>rrez Ortega vendi</w:t>
      </w:r>
      <w:r>
        <w:rPr>
          <w:rFonts w:cs="Times New Roman"/>
          <w:spacing w:val="-6"/>
          <w:sz w:val="18"/>
          <w:szCs w:val="18"/>
          <w:lang w:val="es-ES_tradnl"/>
        </w:rPr>
        <w:t>ó</w:t>
      </w:r>
      <w:r>
        <w:rPr>
          <w:spacing w:val="-6"/>
          <w:sz w:val="18"/>
          <w:szCs w:val="18"/>
          <w:lang w:val="es-ES_tradnl"/>
        </w:rPr>
        <w:t xml:space="preserve"> su renuncia al Banco Central del Ecuador, encontr</w:t>
      </w:r>
      <w:r>
        <w:rPr>
          <w:rFonts w:cs="Times New Roman"/>
          <w:spacing w:val="-6"/>
          <w:sz w:val="18"/>
          <w:szCs w:val="18"/>
          <w:lang w:val="es-ES_tradnl"/>
        </w:rPr>
        <w:t>á</w:t>
      </w:r>
      <w:r>
        <w:rPr>
          <w:spacing w:val="-6"/>
          <w:sz w:val="18"/>
          <w:szCs w:val="18"/>
          <w:lang w:val="es-ES_tradnl"/>
        </w:rPr>
        <w:t>ndose vigente la Ley de Modernizaci</w:t>
      </w:r>
      <w:r>
        <w:rPr>
          <w:rFonts w:cs="Times New Roman"/>
          <w:spacing w:val="-6"/>
          <w:sz w:val="18"/>
          <w:szCs w:val="18"/>
          <w:lang w:val="es-ES_tradnl"/>
        </w:rPr>
        <w:t>ó</w:t>
      </w:r>
      <w:r>
        <w:rPr>
          <w:spacing w:val="-6"/>
          <w:sz w:val="18"/>
          <w:szCs w:val="18"/>
          <w:lang w:val="es-ES_tradnl"/>
        </w:rPr>
        <w:t>n</w:t>
      </w:r>
    </w:p>
    <w:p w14:paraId="4F67B05C" w14:textId="77777777" w:rsidR="00591D54" w:rsidRDefault="00591D54">
      <w:pPr>
        <w:shd w:val="clear" w:color="auto" w:fill="FFFFFF"/>
        <w:spacing w:before="197" w:line="216" w:lineRule="exact"/>
        <w:jc w:val="both"/>
        <w:sectPr w:rsidR="00591D54">
          <w:type w:val="continuous"/>
          <w:pgSz w:w="11909" w:h="16834"/>
          <w:pgMar w:top="1371" w:right="1309" w:bottom="360" w:left="1308" w:header="720" w:footer="720" w:gutter="0"/>
          <w:cols w:num="2" w:space="720" w:equalWidth="0">
            <w:col w:w="4310" w:space="677"/>
            <w:col w:w="4305"/>
          </w:cols>
          <w:noEndnote/>
        </w:sectPr>
      </w:pPr>
    </w:p>
    <w:p w14:paraId="4F67B05D"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- 157</w:t>
      </w:r>
    </w:p>
    <w:p w14:paraId="4F67B05E" w14:textId="77777777" w:rsidR="00591D54" w:rsidRDefault="00591D54">
      <w:pPr>
        <w:shd w:val="clear" w:color="auto" w:fill="FFFFFF"/>
        <w:tabs>
          <w:tab w:val="left" w:pos="5842"/>
        </w:tabs>
        <w:spacing w:after="235"/>
        <w:ind w:left="5"/>
        <w:sectPr w:rsidR="00591D54">
          <w:pgSz w:w="11909" w:h="16834"/>
          <w:pgMar w:top="1363" w:right="1309" w:bottom="360" w:left="1308" w:header="720" w:footer="720" w:gutter="0"/>
          <w:cols w:space="60"/>
          <w:noEndnote/>
        </w:sectPr>
      </w:pPr>
    </w:p>
    <w:p w14:paraId="4F67B05F" w14:textId="77777777" w:rsidR="00591D54" w:rsidRDefault="00591D54">
      <w:pPr>
        <w:shd w:val="clear" w:color="auto" w:fill="FFFFFF"/>
        <w:spacing w:line="206" w:lineRule="exact"/>
        <w:jc w:val="both"/>
      </w:pPr>
      <w:r>
        <w:rPr>
          <w:sz w:val="18"/>
          <w:szCs w:val="18"/>
          <w:lang w:val="es-ES_tradnl"/>
        </w:rPr>
        <w:t>del Estado que contemplaba la prohibici</w:t>
      </w:r>
      <w:r>
        <w:rPr>
          <w:rFonts w:cs="Times New Roman"/>
          <w:sz w:val="18"/>
          <w:szCs w:val="18"/>
          <w:lang w:val="es-ES_tradnl"/>
        </w:rPr>
        <w:t>ó</w:t>
      </w:r>
      <w:r>
        <w:rPr>
          <w:sz w:val="18"/>
          <w:szCs w:val="18"/>
          <w:lang w:val="es-ES_tradnl"/>
        </w:rPr>
        <w:t xml:space="preserve">n expresa a </w:t>
      </w:r>
      <w:r>
        <w:rPr>
          <w:spacing w:val="-7"/>
          <w:sz w:val="18"/>
          <w:szCs w:val="18"/>
          <w:lang w:val="es-ES_tradnl"/>
        </w:rPr>
        <w:t>las personas que vend</w:t>
      </w:r>
      <w:r>
        <w:rPr>
          <w:rFonts w:cs="Times New Roman"/>
          <w:spacing w:val="-7"/>
          <w:sz w:val="18"/>
          <w:szCs w:val="18"/>
          <w:lang w:val="es-ES_tradnl"/>
        </w:rPr>
        <w:t>í</w:t>
      </w:r>
      <w:r>
        <w:rPr>
          <w:spacing w:val="-7"/>
          <w:sz w:val="18"/>
          <w:szCs w:val="18"/>
          <w:lang w:val="es-ES_tradnl"/>
        </w:rPr>
        <w:t xml:space="preserve">an su renuncia, de reintegrarse al </w:t>
      </w:r>
      <w:r>
        <w:rPr>
          <w:sz w:val="18"/>
          <w:szCs w:val="18"/>
          <w:lang w:val="es-ES_tradnl"/>
        </w:rPr>
        <w:t>servicio p</w:t>
      </w:r>
      <w:r>
        <w:rPr>
          <w:rFonts w:cs="Times New Roman"/>
          <w:sz w:val="18"/>
          <w:szCs w:val="18"/>
          <w:lang w:val="es-ES_tradnl"/>
        </w:rPr>
        <w:t>ú</w:t>
      </w:r>
      <w:r>
        <w:rPr>
          <w:sz w:val="18"/>
          <w:szCs w:val="18"/>
          <w:lang w:val="es-ES_tradnl"/>
        </w:rPr>
        <w:t>blico.</w:t>
      </w:r>
    </w:p>
    <w:p w14:paraId="4F67B060" w14:textId="77777777" w:rsidR="00591D54" w:rsidRDefault="00591D54">
      <w:pPr>
        <w:shd w:val="clear" w:color="auto" w:fill="FFFFFF"/>
        <w:spacing w:before="187" w:line="206" w:lineRule="exact"/>
        <w:jc w:val="both"/>
      </w:pPr>
      <w:r>
        <w:rPr>
          <w:spacing w:val="-5"/>
          <w:sz w:val="18"/>
          <w:szCs w:val="18"/>
          <w:lang w:val="es-ES_tradnl"/>
        </w:rPr>
        <w:t xml:space="preserve">Dice que resulta necesario y oportuno que la Corte </w:t>
      </w:r>
      <w:r>
        <w:rPr>
          <w:spacing w:val="-8"/>
          <w:sz w:val="18"/>
          <w:szCs w:val="18"/>
          <w:lang w:val="es-ES_tradnl"/>
        </w:rPr>
        <w:t xml:space="preserve">Constitucional realice un pronunciamiento a fin de dilucidar </w:t>
      </w:r>
      <w:r>
        <w:rPr>
          <w:spacing w:val="-2"/>
          <w:sz w:val="18"/>
          <w:szCs w:val="18"/>
          <w:lang w:val="es-ES_tradnl"/>
        </w:rPr>
        <w:t xml:space="preserve">aspectos relativos a la irretroactividad de la ley laboral, </w:t>
      </w:r>
      <w:r>
        <w:rPr>
          <w:spacing w:val="-7"/>
          <w:sz w:val="18"/>
          <w:szCs w:val="18"/>
          <w:lang w:val="es-ES_tradnl"/>
        </w:rPr>
        <w:t xml:space="preserve">la cual debe ser entendida en el contexto de garantizar el </w:t>
      </w:r>
      <w:r>
        <w:rPr>
          <w:spacing w:val="-8"/>
          <w:sz w:val="18"/>
          <w:szCs w:val="18"/>
          <w:lang w:val="es-ES_tradnl"/>
        </w:rPr>
        <w:t>respeto a las exigencias del derecho a la seguridad jur</w:t>
      </w:r>
      <w:r>
        <w:rPr>
          <w:rFonts w:cs="Times New Roman"/>
          <w:spacing w:val="-8"/>
          <w:sz w:val="18"/>
          <w:szCs w:val="18"/>
          <w:lang w:val="es-ES_tradnl"/>
        </w:rPr>
        <w:t>í</w:t>
      </w:r>
      <w:r>
        <w:rPr>
          <w:spacing w:val="-8"/>
          <w:sz w:val="18"/>
          <w:szCs w:val="18"/>
          <w:lang w:val="es-ES_tradnl"/>
        </w:rPr>
        <w:t xml:space="preserve">dica </w:t>
      </w:r>
      <w:r>
        <w:rPr>
          <w:spacing w:val="-7"/>
          <w:sz w:val="18"/>
          <w:szCs w:val="18"/>
          <w:lang w:val="es-ES_tradnl"/>
        </w:rPr>
        <w:t>y a la confianza leg</w:t>
      </w:r>
      <w:r>
        <w:rPr>
          <w:rFonts w:cs="Times New Roman"/>
          <w:spacing w:val="-7"/>
          <w:sz w:val="18"/>
          <w:szCs w:val="18"/>
          <w:lang w:val="es-ES_tradnl"/>
        </w:rPr>
        <w:t>í</w:t>
      </w:r>
      <w:r>
        <w:rPr>
          <w:spacing w:val="-7"/>
          <w:sz w:val="18"/>
          <w:szCs w:val="18"/>
          <w:lang w:val="es-ES_tradnl"/>
        </w:rPr>
        <w:t>tima que posee la norma de car</w:t>
      </w:r>
      <w:r>
        <w:rPr>
          <w:rFonts w:cs="Times New Roman"/>
          <w:spacing w:val="-7"/>
          <w:sz w:val="18"/>
          <w:szCs w:val="18"/>
          <w:lang w:val="es-ES_tradnl"/>
        </w:rPr>
        <w:t>á</w:t>
      </w:r>
      <w:r>
        <w:rPr>
          <w:spacing w:val="-7"/>
          <w:sz w:val="18"/>
          <w:szCs w:val="18"/>
          <w:lang w:val="es-ES_tradnl"/>
        </w:rPr>
        <w:t xml:space="preserve">cter </w:t>
      </w:r>
      <w:r>
        <w:rPr>
          <w:spacing w:val="-5"/>
          <w:sz w:val="18"/>
          <w:szCs w:val="18"/>
          <w:lang w:val="es-ES_tradnl"/>
        </w:rPr>
        <w:t>sustancial al no surtir efectos retroactivos.</w:t>
      </w:r>
    </w:p>
    <w:p w14:paraId="4F67B061" w14:textId="77777777" w:rsidR="00591D54" w:rsidRDefault="00591D54">
      <w:pPr>
        <w:shd w:val="clear" w:color="auto" w:fill="FFFFFF"/>
        <w:spacing w:before="187" w:line="206" w:lineRule="exact"/>
        <w:jc w:val="both"/>
      </w:pPr>
      <w:r>
        <w:rPr>
          <w:spacing w:val="-6"/>
          <w:sz w:val="18"/>
          <w:szCs w:val="18"/>
          <w:lang w:val="es-ES_tradnl"/>
        </w:rPr>
        <w:t xml:space="preserve">El legitimado activo aduce que los jueces de la Sala </w:t>
      </w:r>
      <w:r>
        <w:rPr>
          <w:sz w:val="18"/>
          <w:szCs w:val="18"/>
          <w:lang w:val="es-ES_tradnl"/>
        </w:rPr>
        <w:t xml:space="preserve">Especializada de lo Civil, Mercantil, Inquilinato y </w:t>
      </w:r>
      <w:r>
        <w:rPr>
          <w:spacing w:val="-6"/>
          <w:sz w:val="18"/>
          <w:szCs w:val="18"/>
          <w:lang w:val="es-ES_tradnl"/>
        </w:rPr>
        <w:t xml:space="preserve">Materias Residuales de la Corte Provincial de Justicia de </w:t>
      </w:r>
      <w:r>
        <w:rPr>
          <w:spacing w:val="-8"/>
          <w:sz w:val="18"/>
          <w:szCs w:val="18"/>
          <w:lang w:val="es-ES_tradnl"/>
        </w:rPr>
        <w:t>Ca</w:t>
      </w:r>
      <w:r>
        <w:rPr>
          <w:rFonts w:cs="Times New Roman"/>
          <w:spacing w:val="-8"/>
          <w:sz w:val="18"/>
          <w:szCs w:val="18"/>
          <w:lang w:val="es-ES_tradnl"/>
        </w:rPr>
        <w:t>ñ</w:t>
      </w:r>
      <w:r>
        <w:rPr>
          <w:spacing w:val="-8"/>
          <w:sz w:val="18"/>
          <w:szCs w:val="18"/>
          <w:lang w:val="es-ES_tradnl"/>
        </w:rPr>
        <w:t>ar han resuelto el recurso de apelaci</w:t>
      </w:r>
      <w:r>
        <w:rPr>
          <w:rFonts w:cs="Times New Roman"/>
          <w:spacing w:val="-8"/>
          <w:sz w:val="18"/>
          <w:szCs w:val="18"/>
          <w:lang w:val="es-ES_tradnl"/>
        </w:rPr>
        <w:t>ó</w:t>
      </w:r>
      <w:r>
        <w:rPr>
          <w:spacing w:val="-8"/>
          <w:sz w:val="18"/>
          <w:szCs w:val="18"/>
          <w:lang w:val="es-ES_tradnl"/>
        </w:rPr>
        <w:t>n de la acci</w:t>
      </w:r>
      <w:r>
        <w:rPr>
          <w:rFonts w:cs="Times New Roman"/>
          <w:spacing w:val="-8"/>
          <w:sz w:val="18"/>
          <w:szCs w:val="18"/>
          <w:lang w:val="es-ES_tradnl"/>
        </w:rPr>
        <w:t>ó</w:t>
      </w:r>
      <w:r>
        <w:rPr>
          <w:spacing w:val="-8"/>
          <w:sz w:val="18"/>
          <w:szCs w:val="18"/>
          <w:lang w:val="es-ES_tradnl"/>
        </w:rPr>
        <w:t xml:space="preserve">n de </w:t>
      </w:r>
      <w:r>
        <w:rPr>
          <w:spacing w:val="-9"/>
          <w:sz w:val="18"/>
          <w:szCs w:val="18"/>
          <w:lang w:val="es-ES_tradnl"/>
        </w:rPr>
        <w:t>protecci</w:t>
      </w:r>
      <w:r>
        <w:rPr>
          <w:rFonts w:cs="Times New Roman"/>
          <w:spacing w:val="-9"/>
          <w:sz w:val="18"/>
          <w:szCs w:val="18"/>
          <w:lang w:val="es-ES_tradnl"/>
        </w:rPr>
        <w:t>ó</w:t>
      </w:r>
      <w:r>
        <w:rPr>
          <w:spacing w:val="-9"/>
          <w:sz w:val="18"/>
          <w:szCs w:val="18"/>
          <w:lang w:val="es-ES_tradnl"/>
        </w:rPr>
        <w:t xml:space="preserve">n, apartados de las competencias que les concede </w:t>
      </w:r>
      <w:r>
        <w:rPr>
          <w:spacing w:val="-5"/>
          <w:sz w:val="18"/>
          <w:szCs w:val="18"/>
          <w:lang w:val="es-ES_tradnl"/>
        </w:rPr>
        <w:t>la Constituci</w:t>
      </w:r>
      <w:r>
        <w:rPr>
          <w:rFonts w:cs="Times New Roman"/>
          <w:spacing w:val="-5"/>
          <w:sz w:val="18"/>
          <w:szCs w:val="18"/>
          <w:lang w:val="es-ES_tradnl"/>
        </w:rPr>
        <w:t>ó</w:t>
      </w:r>
      <w:r>
        <w:rPr>
          <w:spacing w:val="-5"/>
          <w:sz w:val="18"/>
          <w:szCs w:val="18"/>
          <w:lang w:val="es-ES_tradnl"/>
        </w:rPr>
        <w:t>n y la ley es as</w:t>
      </w:r>
      <w:r>
        <w:rPr>
          <w:rFonts w:cs="Times New Roman"/>
          <w:spacing w:val="-5"/>
          <w:sz w:val="18"/>
          <w:szCs w:val="18"/>
          <w:lang w:val="es-ES_tradnl"/>
        </w:rPr>
        <w:t>í</w:t>
      </w:r>
      <w:r>
        <w:rPr>
          <w:spacing w:val="-5"/>
          <w:sz w:val="18"/>
          <w:szCs w:val="18"/>
          <w:lang w:val="es-ES_tradnl"/>
        </w:rPr>
        <w:t xml:space="preserve">, que el fallo cuestionado no </w:t>
      </w:r>
      <w:r>
        <w:rPr>
          <w:spacing w:val="-7"/>
          <w:sz w:val="18"/>
          <w:szCs w:val="18"/>
          <w:lang w:val="es-ES_tradnl"/>
        </w:rPr>
        <w:t>tiene asidero en la esfera constitucional sino en la de mera legalidad. Por lo que, a su criterio, considera que la se</w:t>
      </w:r>
      <w:r>
        <w:rPr>
          <w:rFonts w:cs="Times New Roman"/>
          <w:spacing w:val="-7"/>
          <w:sz w:val="18"/>
          <w:szCs w:val="18"/>
          <w:lang w:val="es-ES_tradnl"/>
        </w:rPr>
        <w:t>ñ</w:t>
      </w:r>
      <w:r>
        <w:rPr>
          <w:spacing w:val="-7"/>
          <w:sz w:val="18"/>
          <w:szCs w:val="18"/>
          <w:lang w:val="es-ES_tradnl"/>
        </w:rPr>
        <w:t xml:space="preserve">ora </w:t>
      </w:r>
      <w:r>
        <w:rPr>
          <w:spacing w:val="-3"/>
          <w:sz w:val="18"/>
          <w:szCs w:val="18"/>
          <w:lang w:val="es-ES_tradnl"/>
        </w:rPr>
        <w:t>Guti</w:t>
      </w:r>
      <w:r>
        <w:rPr>
          <w:rFonts w:cs="Times New Roman"/>
          <w:spacing w:val="-3"/>
          <w:sz w:val="18"/>
          <w:szCs w:val="18"/>
          <w:lang w:val="es-ES_tradnl"/>
        </w:rPr>
        <w:t>é</w:t>
      </w:r>
      <w:r>
        <w:rPr>
          <w:spacing w:val="-3"/>
          <w:sz w:val="18"/>
          <w:szCs w:val="18"/>
          <w:lang w:val="es-ES_tradnl"/>
        </w:rPr>
        <w:t>rrez Ortega deb</w:t>
      </w:r>
      <w:r>
        <w:rPr>
          <w:rFonts w:cs="Times New Roman"/>
          <w:spacing w:val="-3"/>
          <w:sz w:val="18"/>
          <w:szCs w:val="18"/>
          <w:lang w:val="es-ES_tradnl"/>
        </w:rPr>
        <w:t>í</w:t>
      </w:r>
      <w:r>
        <w:rPr>
          <w:spacing w:val="-3"/>
          <w:sz w:val="18"/>
          <w:szCs w:val="18"/>
          <w:lang w:val="es-ES_tradnl"/>
        </w:rPr>
        <w:t xml:space="preserve">a impugnar el acto administrativo </w:t>
      </w:r>
      <w:r>
        <w:rPr>
          <w:spacing w:val="-5"/>
          <w:sz w:val="18"/>
          <w:szCs w:val="18"/>
          <w:lang w:val="es-ES_tradnl"/>
        </w:rPr>
        <w:t>en la v</w:t>
      </w:r>
      <w:r>
        <w:rPr>
          <w:rFonts w:cs="Times New Roman"/>
          <w:spacing w:val="-5"/>
          <w:sz w:val="18"/>
          <w:szCs w:val="18"/>
          <w:lang w:val="es-ES_tradnl"/>
        </w:rPr>
        <w:t>í</w:t>
      </w:r>
      <w:r>
        <w:rPr>
          <w:spacing w:val="-5"/>
          <w:sz w:val="18"/>
          <w:szCs w:val="18"/>
          <w:lang w:val="es-ES_tradnl"/>
        </w:rPr>
        <w:t xml:space="preserve">a administrativa o ante los </w:t>
      </w:r>
      <w:r>
        <w:rPr>
          <w:rFonts w:cs="Times New Roman"/>
          <w:spacing w:val="-5"/>
          <w:sz w:val="18"/>
          <w:szCs w:val="18"/>
          <w:lang w:val="es-ES_tradnl"/>
        </w:rPr>
        <w:t>ó</w:t>
      </w:r>
      <w:r>
        <w:rPr>
          <w:spacing w:val="-5"/>
          <w:sz w:val="18"/>
          <w:szCs w:val="18"/>
          <w:lang w:val="es-ES_tradnl"/>
        </w:rPr>
        <w:t>rganos de la funci</w:t>
      </w:r>
      <w:r>
        <w:rPr>
          <w:rFonts w:cs="Times New Roman"/>
          <w:spacing w:val="-5"/>
          <w:sz w:val="18"/>
          <w:szCs w:val="18"/>
          <w:lang w:val="es-ES_tradnl"/>
        </w:rPr>
        <w:t>ó</w:t>
      </w:r>
      <w:r>
        <w:rPr>
          <w:spacing w:val="-5"/>
          <w:sz w:val="18"/>
          <w:szCs w:val="18"/>
          <w:lang w:val="es-ES_tradnl"/>
        </w:rPr>
        <w:t xml:space="preserve">n </w:t>
      </w:r>
      <w:r>
        <w:rPr>
          <w:spacing w:val="-4"/>
          <w:sz w:val="18"/>
          <w:szCs w:val="18"/>
          <w:lang w:val="es-ES_tradnl"/>
        </w:rPr>
        <w:t>judicial tal y como lo determina el art</w:t>
      </w:r>
      <w:r>
        <w:rPr>
          <w:rFonts w:cs="Times New Roman"/>
          <w:spacing w:val="-4"/>
          <w:sz w:val="18"/>
          <w:szCs w:val="18"/>
          <w:lang w:val="es-ES_tradnl"/>
        </w:rPr>
        <w:t>í</w:t>
      </w:r>
      <w:r>
        <w:rPr>
          <w:spacing w:val="-4"/>
          <w:sz w:val="18"/>
          <w:szCs w:val="18"/>
          <w:lang w:val="es-ES_tradnl"/>
        </w:rPr>
        <w:t xml:space="preserve">culo 173 de la </w:t>
      </w:r>
      <w:r>
        <w:rPr>
          <w:spacing w:val="-5"/>
          <w:sz w:val="18"/>
          <w:szCs w:val="18"/>
          <w:lang w:val="es-ES_tradnl"/>
        </w:rPr>
        <w:t>Constituci</w:t>
      </w:r>
      <w:r>
        <w:rPr>
          <w:rFonts w:cs="Times New Roman"/>
          <w:spacing w:val="-5"/>
          <w:sz w:val="18"/>
          <w:szCs w:val="18"/>
          <w:lang w:val="es-ES_tradnl"/>
        </w:rPr>
        <w:t>ó</w:t>
      </w:r>
      <w:r>
        <w:rPr>
          <w:spacing w:val="-5"/>
          <w:sz w:val="18"/>
          <w:szCs w:val="18"/>
          <w:lang w:val="es-ES_tradnl"/>
        </w:rPr>
        <w:t>n y al inobservar la normativa, los jueces han vulnerado el derecho a la seguridad jur</w:t>
      </w:r>
      <w:r>
        <w:rPr>
          <w:rFonts w:cs="Times New Roman"/>
          <w:spacing w:val="-5"/>
          <w:sz w:val="18"/>
          <w:szCs w:val="18"/>
          <w:lang w:val="es-ES_tradnl"/>
        </w:rPr>
        <w:t>í</w:t>
      </w:r>
      <w:r>
        <w:rPr>
          <w:spacing w:val="-5"/>
          <w:sz w:val="18"/>
          <w:szCs w:val="18"/>
          <w:lang w:val="es-ES_tradnl"/>
        </w:rPr>
        <w:t>dica.</w:t>
      </w:r>
    </w:p>
    <w:p w14:paraId="4F67B062" w14:textId="77777777" w:rsidR="00591D54" w:rsidRDefault="00591D54">
      <w:pPr>
        <w:shd w:val="clear" w:color="auto" w:fill="FFFFFF"/>
        <w:spacing w:before="187" w:line="206" w:lineRule="exact"/>
        <w:jc w:val="both"/>
      </w:pPr>
      <w:r>
        <w:rPr>
          <w:spacing w:val="-9"/>
          <w:sz w:val="18"/>
          <w:szCs w:val="18"/>
          <w:lang w:val="es-ES_tradnl"/>
        </w:rPr>
        <w:t>Alega adem</w:t>
      </w:r>
      <w:r>
        <w:rPr>
          <w:rFonts w:cs="Times New Roman"/>
          <w:spacing w:val="-9"/>
          <w:sz w:val="18"/>
          <w:szCs w:val="18"/>
          <w:lang w:val="es-ES_tradnl"/>
        </w:rPr>
        <w:t>á</w:t>
      </w:r>
      <w:r>
        <w:rPr>
          <w:spacing w:val="-9"/>
          <w:sz w:val="18"/>
          <w:szCs w:val="18"/>
          <w:lang w:val="es-ES_tradnl"/>
        </w:rPr>
        <w:t>s la incompetencia de la acci</w:t>
      </w:r>
      <w:r>
        <w:rPr>
          <w:rFonts w:cs="Times New Roman"/>
          <w:spacing w:val="-9"/>
          <w:sz w:val="18"/>
          <w:szCs w:val="18"/>
          <w:lang w:val="es-ES_tradnl"/>
        </w:rPr>
        <w:t>ó</w:t>
      </w:r>
      <w:r>
        <w:rPr>
          <w:spacing w:val="-9"/>
          <w:sz w:val="18"/>
          <w:szCs w:val="18"/>
          <w:lang w:val="es-ES_tradnl"/>
        </w:rPr>
        <w:t>n de protecci</w:t>
      </w:r>
      <w:r>
        <w:rPr>
          <w:rFonts w:cs="Times New Roman"/>
          <w:spacing w:val="-9"/>
          <w:sz w:val="18"/>
          <w:szCs w:val="18"/>
          <w:lang w:val="es-ES_tradnl"/>
        </w:rPr>
        <w:t>ó</w:t>
      </w:r>
      <w:r>
        <w:rPr>
          <w:spacing w:val="-9"/>
          <w:sz w:val="18"/>
          <w:szCs w:val="18"/>
          <w:lang w:val="es-ES_tradnl"/>
        </w:rPr>
        <w:t xml:space="preserve">n, </w:t>
      </w:r>
      <w:r>
        <w:rPr>
          <w:spacing w:val="-6"/>
          <w:sz w:val="18"/>
          <w:szCs w:val="18"/>
          <w:lang w:val="es-ES_tradnl"/>
        </w:rPr>
        <w:t>por cuanto, contraviene la disposici</w:t>
      </w:r>
      <w:r>
        <w:rPr>
          <w:rFonts w:cs="Times New Roman"/>
          <w:spacing w:val="-6"/>
          <w:sz w:val="18"/>
          <w:szCs w:val="18"/>
          <w:lang w:val="es-ES_tradnl"/>
        </w:rPr>
        <w:t>ó</w:t>
      </w:r>
      <w:r>
        <w:rPr>
          <w:spacing w:val="-6"/>
          <w:sz w:val="18"/>
          <w:szCs w:val="18"/>
          <w:lang w:val="es-ES_tradnl"/>
        </w:rPr>
        <w:t>n del art</w:t>
      </w:r>
      <w:r>
        <w:rPr>
          <w:rFonts w:cs="Times New Roman"/>
          <w:spacing w:val="-6"/>
          <w:sz w:val="18"/>
          <w:szCs w:val="18"/>
          <w:lang w:val="es-ES_tradnl"/>
        </w:rPr>
        <w:t>í</w:t>
      </w:r>
      <w:r>
        <w:rPr>
          <w:spacing w:val="-6"/>
          <w:sz w:val="18"/>
          <w:szCs w:val="18"/>
          <w:lang w:val="es-ES_tradnl"/>
        </w:rPr>
        <w:t xml:space="preserve">culo 1 de la </w:t>
      </w:r>
      <w:r>
        <w:rPr>
          <w:spacing w:val="-3"/>
          <w:sz w:val="18"/>
          <w:szCs w:val="18"/>
          <w:lang w:val="es-ES_tradnl"/>
        </w:rPr>
        <w:t>Ley de la Jurisdicci</w:t>
      </w:r>
      <w:r>
        <w:rPr>
          <w:rFonts w:cs="Times New Roman"/>
          <w:spacing w:val="-3"/>
          <w:sz w:val="18"/>
          <w:szCs w:val="18"/>
          <w:lang w:val="es-ES_tradnl"/>
        </w:rPr>
        <w:t>ó</w:t>
      </w:r>
      <w:r>
        <w:rPr>
          <w:spacing w:val="-3"/>
          <w:sz w:val="18"/>
          <w:szCs w:val="18"/>
          <w:lang w:val="es-ES_tradnl"/>
        </w:rPr>
        <w:t xml:space="preserve">n Contencioso Administrativo que </w:t>
      </w:r>
      <w:r>
        <w:rPr>
          <w:spacing w:val="-5"/>
          <w:sz w:val="18"/>
          <w:szCs w:val="18"/>
          <w:lang w:val="es-ES_tradnl"/>
        </w:rPr>
        <w:t>faculta presentar el recurso contencioso administrativo contra actos y resoluciones de la administraci</w:t>
      </w:r>
      <w:r>
        <w:rPr>
          <w:rFonts w:cs="Times New Roman"/>
          <w:spacing w:val="-5"/>
          <w:sz w:val="18"/>
          <w:szCs w:val="18"/>
          <w:lang w:val="es-ES_tradnl"/>
        </w:rPr>
        <w:t>ó</w:t>
      </w:r>
      <w:r>
        <w:rPr>
          <w:spacing w:val="-5"/>
          <w:sz w:val="18"/>
          <w:szCs w:val="18"/>
          <w:lang w:val="es-ES_tradnl"/>
        </w:rPr>
        <w:t>n p</w:t>
      </w:r>
      <w:r>
        <w:rPr>
          <w:rFonts w:cs="Times New Roman"/>
          <w:spacing w:val="-5"/>
          <w:sz w:val="18"/>
          <w:szCs w:val="18"/>
          <w:lang w:val="es-ES_tradnl"/>
        </w:rPr>
        <w:t>ú</w:t>
      </w:r>
      <w:r>
        <w:rPr>
          <w:spacing w:val="-5"/>
          <w:sz w:val="18"/>
          <w:szCs w:val="18"/>
          <w:lang w:val="es-ES_tradnl"/>
        </w:rPr>
        <w:t xml:space="preserve">blica, </w:t>
      </w:r>
      <w:r>
        <w:rPr>
          <w:spacing w:val="-8"/>
          <w:sz w:val="18"/>
          <w:szCs w:val="18"/>
          <w:lang w:val="es-ES_tradnl"/>
        </w:rPr>
        <w:t xml:space="preserve">que vulneren los derechos de la demandante. Lo expuesto </w:t>
      </w:r>
      <w:r>
        <w:rPr>
          <w:spacing w:val="-4"/>
          <w:sz w:val="18"/>
          <w:szCs w:val="18"/>
          <w:lang w:val="es-ES_tradnl"/>
        </w:rPr>
        <w:t>permite concluir que el fallo de apelaci</w:t>
      </w:r>
      <w:r>
        <w:rPr>
          <w:rFonts w:cs="Times New Roman"/>
          <w:spacing w:val="-4"/>
          <w:sz w:val="18"/>
          <w:szCs w:val="18"/>
          <w:lang w:val="es-ES_tradnl"/>
        </w:rPr>
        <w:t>ó</w:t>
      </w:r>
      <w:r>
        <w:rPr>
          <w:spacing w:val="-4"/>
          <w:sz w:val="18"/>
          <w:szCs w:val="18"/>
          <w:lang w:val="es-ES_tradnl"/>
        </w:rPr>
        <w:t xml:space="preserve">n al inhabilitar la </w:t>
      </w:r>
      <w:r>
        <w:rPr>
          <w:spacing w:val="-7"/>
          <w:sz w:val="18"/>
          <w:szCs w:val="18"/>
          <w:lang w:val="es-ES_tradnl"/>
        </w:rPr>
        <w:t>v</w:t>
      </w:r>
      <w:r>
        <w:rPr>
          <w:rFonts w:cs="Times New Roman"/>
          <w:spacing w:val="-7"/>
          <w:sz w:val="18"/>
          <w:szCs w:val="18"/>
          <w:lang w:val="es-ES_tradnl"/>
        </w:rPr>
        <w:t>í</w:t>
      </w:r>
      <w:r>
        <w:rPr>
          <w:spacing w:val="-7"/>
          <w:sz w:val="18"/>
          <w:szCs w:val="18"/>
          <w:lang w:val="es-ES_tradnl"/>
        </w:rPr>
        <w:t>a id</w:t>
      </w:r>
      <w:r>
        <w:rPr>
          <w:rFonts w:cs="Times New Roman"/>
          <w:spacing w:val="-7"/>
          <w:sz w:val="18"/>
          <w:szCs w:val="18"/>
          <w:lang w:val="es-ES_tradnl"/>
        </w:rPr>
        <w:t>ó</w:t>
      </w:r>
      <w:r>
        <w:rPr>
          <w:spacing w:val="-7"/>
          <w:sz w:val="18"/>
          <w:szCs w:val="18"/>
          <w:lang w:val="es-ES_tradnl"/>
        </w:rPr>
        <w:t xml:space="preserve">nea y eficaz del acto administrativo ha vulnerado el </w:t>
      </w:r>
      <w:r>
        <w:rPr>
          <w:sz w:val="18"/>
          <w:szCs w:val="18"/>
          <w:lang w:val="es-ES_tradnl"/>
        </w:rPr>
        <w:t>derecho al debido proceso.</w:t>
      </w:r>
    </w:p>
    <w:p w14:paraId="4F67B063" w14:textId="77777777" w:rsidR="00591D54" w:rsidRDefault="00591D54">
      <w:pPr>
        <w:shd w:val="clear" w:color="auto" w:fill="FFFFFF"/>
        <w:spacing w:before="187"/>
      </w:pPr>
      <w:r>
        <w:rPr>
          <w:b/>
          <w:bCs/>
          <w:spacing w:val="-10"/>
          <w:sz w:val="18"/>
          <w:szCs w:val="18"/>
          <w:lang w:val="es-ES_tradnl"/>
        </w:rPr>
        <w:t>Derechos constitucionales presuntamente vulnerados</w:t>
      </w:r>
    </w:p>
    <w:p w14:paraId="4F67B064" w14:textId="77777777" w:rsidR="00591D54" w:rsidRDefault="00591D54">
      <w:pPr>
        <w:shd w:val="clear" w:color="auto" w:fill="FFFFFF"/>
        <w:spacing w:before="182" w:line="206" w:lineRule="exact"/>
        <w:jc w:val="both"/>
      </w:pPr>
      <w:r>
        <w:rPr>
          <w:spacing w:val="-5"/>
          <w:sz w:val="18"/>
          <w:szCs w:val="18"/>
          <w:lang w:val="es-ES_tradnl"/>
        </w:rPr>
        <w:t>A criterio del legitimado activo a trav</w:t>
      </w:r>
      <w:r>
        <w:rPr>
          <w:rFonts w:cs="Times New Roman"/>
          <w:spacing w:val="-5"/>
          <w:sz w:val="18"/>
          <w:szCs w:val="18"/>
          <w:lang w:val="es-ES_tradnl"/>
        </w:rPr>
        <w:t>é</w:t>
      </w:r>
      <w:r>
        <w:rPr>
          <w:spacing w:val="-5"/>
          <w:sz w:val="18"/>
          <w:szCs w:val="18"/>
          <w:lang w:val="es-ES_tradnl"/>
        </w:rPr>
        <w:t xml:space="preserve">s de la sentencia </w:t>
      </w:r>
      <w:r>
        <w:rPr>
          <w:spacing w:val="-10"/>
          <w:sz w:val="18"/>
          <w:szCs w:val="18"/>
          <w:lang w:val="es-ES_tradnl"/>
        </w:rPr>
        <w:t xml:space="preserve">impugnada, presuntamente, se han vulnerado los siguientes </w:t>
      </w:r>
      <w:r>
        <w:rPr>
          <w:spacing w:val="-3"/>
          <w:sz w:val="18"/>
          <w:szCs w:val="18"/>
          <w:lang w:val="es-ES_tradnl"/>
        </w:rPr>
        <w:t xml:space="preserve">derechos constitucionales: la tutela judicial efectiva </w:t>
      </w:r>
      <w:r>
        <w:rPr>
          <w:spacing w:val="-9"/>
          <w:sz w:val="18"/>
          <w:szCs w:val="18"/>
          <w:lang w:val="es-ES_tradnl"/>
        </w:rPr>
        <w:t>establecida en el art</w:t>
      </w:r>
      <w:r>
        <w:rPr>
          <w:rFonts w:cs="Times New Roman"/>
          <w:spacing w:val="-9"/>
          <w:sz w:val="18"/>
          <w:szCs w:val="18"/>
          <w:lang w:val="es-ES_tradnl"/>
        </w:rPr>
        <w:t>í</w:t>
      </w:r>
      <w:r>
        <w:rPr>
          <w:spacing w:val="-9"/>
          <w:sz w:val="18"/>
          <w:szCs w:val="18"/>
          <w:lang w:val="es-ES_tradnl"/>
        </w:rPr>
        <w:t xml:space="preserve">culo 75, el debido proceso consagrado </w:t>
      </w:r>
      <w:r>
        <w:rPr>
          <w:spacing w:val="-3"/>
          <w:sz w:val="18"/>
          <w:szCs w:val="18"/>
          <w:lang w:val="es-ES_tradnl"/>
        </w:rPr>
        <w:t>en el art</w:t>
      </w:r>
      <w:r>
        <w:rPr>
          <w:rFonts w:cs="Times New Roman"/>
          <w:spacing w:val="-3"/>
          <w:sz w:val="18"/>
          <w:szCs w:val="18"/>
          <w:lang w:val="es-ES_tradnl"/>
        </w:rPr>
        <w:t>í</w:t>
      </w:r>
      <w:r>
        <w:rPr>
          <w:spacing w:val="-3"/>
          <w:sz w:val="18"/>
          <w:szCs w:val="18"/>
          <w:lang w:val="es-ES_tradnl"/>
        </w:rPr>
        <w:t>culo 76 y la seguridad jur</w:t>
      </w:r>
      <w:r>
        <w:rPr>
          <w:rFonts w:cs="Times New Roman"/>
          <w:spacing w:val="-3"/>
          <w:sz w:val="18"/>
          <w:szCs w:val="18"/>
          <w:lang w:val="es-ES_tradnl"/>
        </w:rPr>
        <w:t>í</w:t>
      </w:r>
      <w:r>
        <w:rPr>
          <w:spacing w:val="-3"/>
          <w:sz w:val="18"/>
          <w:szCs w:val="18"/>
          <w:lang w:val="es-ES_tradnl"/>
        </w:rPr>
        <w:t xml:space="preserve">dica prevista en el </w:t>
      </w:r>
      <w:r>
        <w:rPr>
          <w:spacing w:val="-7"/>
          <w:sz w:val="18"/>
          <w:szCs w:val="18"/>
          <w:lang w:val="es-ES_tradnl"/>
        </w:rPr>
        <w:t>art</w:t>
      </w:r>
      <w:r>
        <w:rPr>
          <w:rFonts w:cs="Times New Roman"/>
          <w:spacing w:val="-7"/>
          <w:sz w:val="18"/>
          <w:szCs w:val="18"/>
          <w:lang w:val="es-ES_tradnl"/>
        </w:rPr>
        <w:t>í</w:t>
      </w:r>
      <w:r>
        <w:rPr>
          <w:spacing w:val="-7"/>
          <w:sz w:val="18"/>
          <w:szCs w:val="18"/>
          <w:lang w:val="es-ES_tradnl"/>
        </w:rPr>
        <w:t>culo 82 de 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blica del Ecuador.</w:t>
      </w:r>
    </w:p>
    <w:p w14:paraId="4F67B065" w14:textId="77777777" w:rsidR="00591D54" w:rsidRDefault="00591D54">
      <w:pPr>
        <w:shd w:val="clear" w:color="auto" w:fill="FFFFFF"/>
        <w:spacing w:before="187"/>
      </w:pPr>
      <w:r>
        <w:rPr>
          <w:b/>
          <w:bCs/>
          <w:spacing w:val="-10"/>
          <w:sz w:val="18"/>
          <w:szCs w:val="18"/>
          <w:lang w:val="es-ES_tradnl"/>
        </w:rPr>
        <w:t>Pretensi</w:t>
      </w:r>
      <w:r>
        <w:rPr>
          <w:rFonts w:cs="Times New Roman"/>
          <w:b/>
          <w:bCs/>
          <w:spacing w:val="-10"/>
          <w:sz w:val="18"/>
          <w:szCs w:val="18"/>
          <w:lang w:val="es-ES_tradnl"/>
        </w:rPr>
        <w:t>ó</w:t>
      </w:r>
      <w:r>
        <w:rPr>
          <w:b/>
          <w:bCs/>
          <w:spacing w:val="-10"/>
          <w:sz w:val="18"/>
          <w:szCs w:val="18"/>
          <w:lang w:val="es-ES_tradnl"/>
        </w:rPr>
        <w:t>n</w:t>
      </w:r>
    </w:p>
    <w:p w14:paraId="4F67B066" w14:textId="77777777" w:rsidR="00591D54" w:rsidRDefault="00591D54">
      <w:pPr>
        <w:shd w:val="clear" w:color="auto" w:fill="FFFFFF"/>
        <w:spacing w:before="187" w:line="206" w:lineRule="exact"/>
        <w:jc w:val="both"/>
      </w:pPr>
      <w:r>
        <w:rPr>
          <w:spacing w:val="-4"/>
          <w:sz w:val="18"/>
          <w:szCs w:val="18"/>
          <w:lang w:val="es-ES_tradnl"/>
        </w:rPr>
        <w:t xml:space="preserve">Solicita el accionante </w:t>
      </w:r>
      <w:r>
        <w:rPr>
          <w:rFonts w:cs="Times New Roman"/>
          <w:spacing w:val="-4"/>
          <w:sz w:val="18"/>
          <w:szCs w:val="18"/>
          <w:lang w:val="es-ES_tradnl"/>
        </w:rPr>
        <w:t>“</w:t>
      </w:r>
      <w:r>
        <w:rPr>
          <w:spacing w:val="-4"/>
          <w:sz w:val="18"/>
          <w:szCs w:val="18"/>
          <w:lang w:val="es-ES_tradnl"/>
        </w:rPr>
        <w:t>(</w:t>
      </w:r>
      <w:r>
        <w:rPr>
          <w:rFonts w:cs="Times New Roman"/>
          <w:spacing w:val="-4"/>
          <w:sz w:val="18"/>
          <w:szCs w:val="18"/>
          <w:lang w:val="es-ES_tradnl"/>
        </w:rPr>
        <w:t>…</w:t>
      </w:r>
      <w:r>
        <w:rPr>
          <w:spacing w:val="-4"/>
          <w:sz w:val="18"/>
          <w:szCs w:val="18"/>
          <w:lang w:val="es-ES_tradnl"/>
        </w:rPr>
        <w:t>) la declaraci</w:t>
      </w:r>
      <w:r>
        <w:rPr>
          <w:rFonts w:cs="Times New Roman"/>
          <w:spacing w:val="-4"/>
          <w:sz w:val="18"/>
          <w:szCs w:val="18"/>
          <w:lang w:val="es-ES_tradnl"/>
        </w:rPr>
        <w:t>ó</w:t>
      </w:r>
      <w:r>
        <w:rPr>
          <w:spacing w:val="-4"/>
          <w:sz w:val="18"/>
          <w:szCs w:val="18"/>
          <w:lang w:val="es-ES_tradnl"/>
        </w:rPr>
        <w:t>n de la violaci</w:t>
      </w:r>
      <w:r>
        <w:rPr>
          <w:rFonts w:cs="Times New Roman"/>
          <w:spacing w:val="-4"/>
          <w:sz w:val="18"/>
          <w:szCs w:val="18"/>
          <w:lang w:val="es-ES_tradnl"/>
        </w:rPr>
        <w:t>ó</w:t>
      </w:r>
      <w:r>
        <w:rPr>
          <w:spacing w:val="-4"/>
          <w:sz w:val="18"/>
          <w:szCs w:val="18"/>
          <w:lang w:val="es-ES_tradnl"/>
        </w:rPr>
        <w:t>n de los derechos constitucionales a la seguridad jur</w:t>
      </w:r>
      <w:r>
        <w:rPr>
          <w:rFonts w:cs="Times New Roman"/>
          <w:spacing w:val="-4"/>
          <w:sz w:val="18"/>
          <w:szCs w:val="18"/>
          <w:lang w:val="es-ES_tradnl"/>
        </w:rPr>
        <w:t>í</w:t>
      </w:r>
      <w:r>
        <w:rPr>
          <w:spacing w:val="-4"/>
          <w:sz w:val="18"/>
          <w:szCs w:val="18"/>
          <w:lang w:val="es-ES_tradnl"/>
        </w:rPr>
        <w:t xml:space="preserve">dica, el debido proceso y la tutela judicial efectiva a favor del </w:t>
      </w:r>
      <w:r>
        <w:rPr>
          <w:spacing w:val="-8"/>
          <w:sz w:val="18"/>
          <w:szCs w:val="18"/>
          <w:lang w:val="es-ES_tradnl"/>
        </w:rPr>
        <w:t>Ministerio de Relaciones Laborales; y ordene la reparaci</w:t>
      </w:r>
      <w:r>
        <w:rPr>
          <w:rFonts w:cs="Times New Roman"/>
          <w:spacing w:val="-8"/>
          <w:sz w:val="18"/>
          <w:szCs w:val="18"/>
          <w:lang w:val="es-ES_tradnl"/>
        </w:rPr>
        <w:t>ó</w:t>
      </w:r>
      <w:r>
        <w:rPr>
          <w:spacing w:val="-8"/>
          <w:sz w:val="18"/>
          <w:szCs w:val="18"/>
          <w:lang w:val="es-ES_tradnl"/>
        </w:rPr>
        <w:t xml:space="preserve">n </w:t>
      </w:r>
      <w:r>
        <w:rPr>
          <w:spacing w:val="-6"/>
          <w:sz w:val="18"/>
          <w:szCs w:val="18"/>
          <w:lang w:val="es-ES_tradnl"/>
        </w:rPr>
        <w:t xml:space="preserve">integral de esta Cartera de Estado por parte de la Sala </w:t>
      </w:r>
      <w:r>
        <w:rPr>
          <w:spacing w:val="-5"/>
          <w:sz w:val="18"/>
          <w:szCs w:val="18"/>
          <w:lang w:val="es-ES_tradnl"/>
        </w:rPr>
        <w:t>Especializada de lo Civil, Mercantil, Inquilinato y Materias Residuales de la Corte Provincial del Ca</w:t>
      </w:r>
      <w:r>
        <w:rPr>
          <w:rFonts w:cs="Times New Roman"/>
          <w:spacing w:val="-5"/>
          <w:sz w:val="18"/>
          <w:szCs w:val="18"/>
          <w:lang w:val="es-ES_tradnl"/>
        </w:rPr>
        <w:t>ñ</w:t>
      </w:r>
      <w:r>
        <w:rPr>
          <w:spacing w:val="-5"/>
          <w:sz w:val="18"/>
          <w:szCs w:val="18"/>
          <w:lang w:val="es-ES_tradnl"/>
        </w:rPr>
        <w:t>ar (sic)</w:t>
      </w:r>
      <w:r>
        <w:rPr>
          <w:rFonts w:cs="Times New Roman"/>
          <w:spacing w:val="-5"/>
          <w:sz w:val="18"/>
          <w:szCs w:val="18"/>
          <w:lang w:val="es-ES_tradnl"/>
        </w:rPr>
        <w:t>”</w:t>
      </w:r>
      <w:r>
        <w:rPr>
          <w:spacing w:val="-5"/>
          <w:sz w:val="18"/>
          <w:szCs w:val="18"/>
          <w:lang w:val="es-ES_tradnl"/>
        </w:rPr>
        <w:t>.</w:t>
      </w:r>
    </w:p>
    <w:p w14:paraId="4F67B067" w14:textId="77777777" w:rsidR="00591D54" w:rsidRDefault="00591D54">
      <w:pPr>
        <w:shd w:val="clear" w:color="auto" w:fill="FFFFFF"/>
        <w:spacing w:before="182"/>
      </w:pPr>
      <w:r>
        <w:rPr>
          <w:b/>
          <w:bCs/>
          <w:spacing w:val="-9"/>
          <w:sz w:val="18"/>
          <w:szCs w:val="18"/>
          <w:lang w:val="es-ES_tradnl"/>
        </w:rPr>
        <w:t>Contestaci</w:t>
      </w:r>
      <w:r>
        <w:rPr>
          <w:rFonts w:cs="Times New Roman"/>
          <w:b/>
          <w:bCs/>
          <w:spacing w:val="-9"/>
          <w:sz w:val="18"/>
          <w:szCs w:val="18"/>
          <w:lang w:val="es-ES_tradnl"/>
        </w:rPr>
        <w:t>ó</w:t>
      </w:r>
      <w:r>
        <w:rPr>
          <w:b/>
          <w:bCs/>
          <w:spacing w:val="-9"/>
          <w:sz w:val="18"/>
          <w:szCs w:val="18"/>
          <w:lang w:val="es-ES_tradnl"/>
        </w:rPr>
        <w:t>n de la demanda</w:t>
      </w:r>
    </w:p>
    <w:p w14:paraId="4F67B068" w14:textId="77777777" w:rsidR="00591D54" w:rsidRDefault="00591D54">
      <w:pPr>
        <w:shd w:val="clear" w:color="auto" w:fill="FFFFFF"/>
        <w:spacing w:before="182"/>
      </w:pPr>
      <w:r>
        <w:rPr>
          <w:b/>
          <w:bCs/>
          <w:spacing w:val="-9"/>
          <w:sz w:val="18"/>
          <w:szCs w:val="18"/>
          <w:lang w:val="es-ES_tradnl"/>
        </w:rPr>
        <w:t>Comparecencia de las partes</w:t>
      </w:r>
    </w:p>
    <w:p w14:paraId="4F67B069" w14:textId="77777777" w:rsidR="00591D54" w:rsidRDefault="00591D54">
      <w:pPr>
        <w:shd w:val="clear" w:color="auto" w:fill="FFFFFF"/>
        <w:spacing w:before="187" w:line="206" w:lineRule="exact"/>
        <w:jc w:val="both"/>
      </w:pPr>
      <w:r>
        <w:rPr>
          <w:b/>
          <w:bCs/>
          <w:spacing w:val="-6"/>
          <w:sz w:val="18"/>
          <w:szCs w:val="18"/>
          <w:lang w:val="es-ES_tradnl"/>
        </w:rPr>
        <w:t xml:space="preserve">Jueces de la Sala Especializada de lo Civil, Mercantil, </w:t>
      </w:r>
      <w:r>
        <w:rPr>
          <w:b/>
          <w:bCs/>
          <w:spacing w:val="-9"/>
          <w:sz w:val="18"/>
          <w:szCs w:val="18"/>
          <w:lang w:val="es-ES_tradnl"/>
        </w:rPr>
        <w:t xml:space="preserve">Inquilinato y Materias Residuales de la Corte Provincial </w:t>
      </w:r>
      <w:r>
        <w:rPr>
          <w:b/>
          <w:bCs/>
          <w:sz w:val="18"/>
          <w:szCs w:val="18"/>
          <w:lang w:val="es-ES_tradnl"/>
        </w:rPr>
        <w:t>de Justicia del Ca</w:t>
      </w:r>
      <w:r>
        <w:rPr>
          <w:rFonts w:cs="Times New Roman"/>
          <w:b/>
          <w:bCs/>
          <w:sz w:val="18"/>
          <w:szCs w:val="18"/>
          <w:lang w:val="es-ES_tradnl"/>
        </w:rPr>
        <w:t>ñ</w:t>
      </w:r>
      <w:r>
        <w:rPr>
          <w:b/>
          <w:bCs/>
          <w:sz w:val="18"/>
          <w:szCs w:val="18"/>
          <w:lang w:val="es-ES_tradnl"/>
        </w:rPr>
        <w:t>ar</w:t>
      </w:r>
    </w:p>
    <w:p w14:paraId="4F67B06A" w14:textId="77777777" w:rsidR="00591D54" w:rsidRDefault="00591D54">
      <w:pPr>
        <w:shd w:val="clear" w:color="auto" w:fill="FFFFFF"/>
        <w:spacing w:before="187" w:line="206" w:lineRule="exact"/>
        <w:jc w:val="both"/>
      </w:pPr>
      <w:r>
        <w:rPr>
          <w:spacing w:val="-8"/>
          <w:sz w:val="18"/>
          <w:szCs w:val="18"/>
          <w:lang w:val="es-ES_tradnl"/>
        </w:rPr>
        <w:t>Comparecen los doctores Jos</w:t>
      </w:r>
      <w:r>
        <w:rPr>
          <w:rFonts w:cs="Times New Roman"/>
          <w:spacing w:val="-8"/>
          <w:sz w:val="18"/>
          <w:szCs w:val="18"/>
          <w:lang w:val="es-ES_tradnl"/>
        </w:rPr>
        <w:t>é</w:t>
      </w:r>
      <w:r>
        <w:rPr>
          <w:spacing w:val="-8"/>
          <w:sz w:val="18"/>
          <w:szCs w:val="18"/>
          <w:lang w:val="es-ES_tradnl"/>
        </w:rPr>
        <w:t xml:space="preserve"> Urgil</w:t>
      </w:r>
      <w:r>
        <w:rPr>
          <w:rFonts w:cs="Times New Roman"/>
          <w:spacing w:val="-8"/>
          <w:sz w:val="18"/>
          <w:szCs w:val="18"/>
          <w:lang w:val="es-ES_tradnl"/>
        </w:rPr>
        <w:t>é</w:t>
      </w:r>
      <w:r>
        <w:rPr>
          <w:spacing w:val="-8"/>
          <w:sz w:val="18"/>
          <w:szCs w:val="18"/>
          <w:lang w:val="es-ES_tradnl"/>
        </w:rPr>
        <w:t xml:space="preserve">s Campos y Romero </w:t>
      </w:r>
      <w:r>
        <w:rPr>
          <w:sz w:val="18"/>
          <w:szCs w:val="18"/>
          <w:lang w:val="es-ES_tradnl"/>
        </w:rPr>
        <w:t>Reyes Buest</w:t>
      </w:r>
      <w:r>
        <w:rPr>
          <w:rFonts w:cs="Times New Roman"/>
          <w:sz w:val="18"/>
          <w:szCs w:val="18"/>
          <w:lang w:val="es-ES_tradnl"/>
        </w:rPr>
        <w:t>á</w:t>
      </w:r>
      <w:r>
        <w:rPr>
          <w:sz w:val="18"/>
          <w:szCs w:val="18"/>
          <w:lang w:val="es-ES_tradnl"/>
        </w:rPr>
        <w:t>n el 11 de mayo de 2015 a las 14h40,</w:t>
      </w:r>
    </w:p>
    <w:p w14:paraId="4F67B06B" w14:textId="77777777" w:rsidR="00591D54" w:rsidRDefault="00591D54">
      <w:pPr>
        <w:shd w:val="clear" w:color="auto" w:fill="FFFFFF"/>
        <w:spacing w:line="216" w:lineRule="exact"/>
        <w:jc w:val="both"/>
      </w:pPr>
      <w:r>
        <w:br w:type="column"/>
      </w:r>
      <w:r>
        <w:rPr>
          <w:spacing w:val="-10"/>
          <w:sz w:val="18"/>
          <w:szCs w:val="18"/>
          <w:lang w:val="es-ES_tradnl"/>
        </w:rPr>
        <w:t xml:space="preserve">presentando su informe de descargo constante de fojas 37 a </w:t>
      </w:r>
      <w:r>
        <w:rPr>
          <w:spacing w:val="-6"/>
          <w:sz w:val="18"/>
          <w:szCs w:val="18"/>
          <w:lang w:val="es-ES_tradnl"/>
        </w:rPr>
        <w:t xml:space="preserve">39 del expediente constitucional, el mismo que lo realizan </w:t>
      </w:r>
      <w:r>
        <w:rPr>
          <w:sz w:val="18"/>
          <w:szCs w:val="18"/>
          <w:lang w:val="es-ES_tradnl"/>
        </w:rPr>
        <w:t>en los siguientes t</w:t>
      </w:r>
      <w:r>
        <w:rPr>
          <w:rFonts w:cs="Times New Roman"/>
          <w:sz w:val="18"/>
          <w:szCs w:val="18"/>
          <w:lang w:val="es-ES_tradnl"/>
        </w:rPr>
        <w:t>é</w:t>
      </w:r>
      <w:r>
        <w:rPr>
          <w:sz w:val="18"/>
          <w:szCs w:val="18"/>
          <w:lang w:val="es-ES_tradnl"/>
        </w:rPr>
        <w:t>rminos:</w:t>
      </w:r>
    </w:p>
    <w:p w14:paraId="4F67B06C" w14:textId="77777777" w:rsidR="00591D54" w:rsidRDefault="00591D54">
      <w:pPr>
        <w:shd w:val="clear" w:color="auto" w:fill="FFFFFF"/>
        <w:spacing w:before="202" w:line="216" w:lineRule="exact"/>
        <w:ind w:left="283"/>
        <w:jc w:val="both"/>
      </w:pPr>
      <w:r>
        <w:rPr>
          <w:rFonts w:cs="Times New Roman"/>
          <w:spacing w:val="-7"/>
          <w:sz w:val="16"/>
          <w:szCs w:val="16"/>
          <w:lang w:val="es-ES_tradnl"/>
        </w:rPr>
        <w:t>“</w:t>
      </w:r>
      <w:r>
        <w:rPr>
          <w:spacing w:val="-7"/>
          <w:sz w:val="16"/>
          <w:szCs w:val="16"/>
          <w:lang w:val="es-ES_tradnl"/>
        </w:rPr>
        <w:t xml:space="preserve">Si analizamos los argumentos que contiene la demanda de </w:t>
      </w:r>
      <w:r>
        <w:rPr>
          <w:spacing w:val="-2"/>
          <w:sz w:val="16"/>
          <w:szCs w:val="16"/>
          <w:lang w:val="es-ES_tradnl"/>
        </w:rPr>
        <w:t>Acci</w:t>
      </w:r>
      <w:r>
        <w:rPr>
          <w:rFonts w:cs="Times New Roman"/>
          <w:spacing w:val="-2"/>
          <w:sz w:val="16"/>
          <w:szCs w:val="16"/>
          <w:lang w:val="es-ES_tradnl"/>
        </w:rPr>
        <w:t>ó</w:t>
      </w:r>
      <w:r>
        <w:rPr>
          <w:spacing w:val="-2"/>
          <w:sz w:val="16"/>
          <w:szCs w:val="16"/>
          <w:lang w:val="es-ES_tradnl"/>
        </w:rPr>
        <w:t>n Extraordinaria de Protecci</w:t>
      </w:r>
      <w:r>
        <w:rPr>
          <w:rFonts w:cs="Times New Roman"/>
          <w:spacing w:val="-2"/>
          <w:sz w:val="16"/>
          <w:szCs w:val="16"/>
          <w:lang w:val="es-ES_tradnl"/>
        </w:rPr>
        <w:t>ó</w:t>
      </w:r>
      <w:r>
        <w:rPr>
          <w:spacing w:val="-2"/>
          <w:sz w:val="16"/>
          <w:szCs w:val="16"/>
          <w:lang w:val="es-ES_tradnl"/>
        </w:rPr>
        <w:t>n, se reduce a cumplir las condiciones previstas en el art</w:t>
      </w:r>
      <w:r>
        <w:rPr>
          <w:rFonts w:cs="Times New Roman"/>
          <w:spacing w:val="-2"/>
          <w:sz w:val="16"/>
          <w:szCs w:val="16"/>
          <w:lang w:val="es-ES_tradnl"/>
        </w:rPr>
        <w:t>í</w:t>
      </w:r>
      <w:r>
        <w:rPr>
          <w:spacing w:val="-2"/>
          <w:sz w:val="16"/>
          <w:szCs w:val="16"/>
          <w:lang w:val="es-ES_tradnl"/>
        </w:rPr>
        <w:t xml:space="preserve">culo 58 y siguientes de </w:t>
      </w:r>
      <w:r>
        <w:rPr>
          <w:spacing w:val="-5"/>
          <w:sz w:val="16"/>
          <w:szCs w:val="16"/>
          <w:lang w:val="es-ES_tradnl"/>
        </w:rPr>
        <w:t>la Ley Org</w:t>
      </w:r>
      <w:r>
        <w:rPr>
          <w:rFonts w:cs="Times New Roman"/>
          <w:spacing w:val="-5"/>
          <w:sz w:val="16"/>
          <w:szCs w:val="16"/>
          <w:lang w:val="es-ES_tradnl"/>
        </w:rPr>
        <w:t>á</w:t>
      </w:r>
      <w:r>
        <w:rPr>
          <w:spacing w:val="-5"/>
          <w:sz w:val="16"/>
          <w:szCs w:val="16"/>
          <w:lang w:val="es-ES_tradnl"/>
        </w:rPr>
        <w:t>nica de Garant</w:t>
      </w:r>
      <w:r>
        <w:rPr>
          <w:rFonts w:cs="Times New Roman"/>
          <w:spacing w:val="-5"/>
          <w:sz w:val="16"/>
          <w:szCs w:val="16"/>
          <w:lang w:val="es-ES_tradnl"/>
        </w:rPr>
        <w:t>í</w:t>
      </w:r>
      <w:r>
        <w:rPr>
          <w:spacing w:val="-5"/>
          <w:sz w:val="16"/>
          <w:szCs w:val="16"/>
          <w:lang w:val="es-ES_tradnl"/>
        </w:rPr>
        <w:t xml:space="preserve">as Constitucionales y Control </w:t>
      </w:r>
      <w:r>
        <w:rPr>
          <w:spacing w:val="-6"/>
          <w:sz w:val="16"/>
          <w:szCs w:val="16"/>
          <w:lang w:val="es-ES_tradnl"/>
        </w:rPr>
        <w:t xml:space="preserve">Constitucional, pues la demanda se limita a determinar las </w:t>
      </w:r>
      <w:r>
        <w:rPr>
          <w:spacing w:val="-7"/>
          <w:sz w:val="16"/>
          <w:szCs w:val="16"/>
          <w:lang w:val="es-ES_tradnl"/>
        </w:rPr>
        <w:t xml:space="preserve">supuestas violaciones a los derechos constitucionales a la </w:t>
      </w:r>
      <w:r>
        <w:rPr>
          <w:spacing w:val="-9"/>
          <w:sz w:val="16"/>
          <w:szCs w:val="16"/>
          <w:lang w:val="es-ES_tradnl"/>
        </w:rPr>
        <w:t>seguridad jur</w:t>
      </w:r>
      <w:r>
        <w:rPr>
          <w:rFonts w:cs="Times New Roman"/>
          <w:spacing w:val="-9"/>
          <w:sz w:val="16"/>
          <w:szCs w:val="16"/>
          <w:lang w:val="es-ES_tradnl"/>
        </w:rPr>
        <w:t>í</w:t>
      </w:r>
      <w:r>
        <w:rPr>
          <w:spacing w:val="-9"/>
          <w:sz w:val="16"/>
          <w:szCs w:val="16"/>
          <w:lang w:val="es-ES_tradnl"/>
        </w:rPr>
        <w:t xml:space="preserve">dica, tutela efectiva y debido proceso que emanan </w:t>
      </w:r>
      <w:r>
        <w:rPr>
          <w:spacing w:val="-8"/>
          <w:sz w:val="16"/>
          <w:szCs w:val="16"/>
          <w:lang w:val="es-ES_tradnl"/>
        </w:rPr>
        <w:t xml:space="preserve">de la sentencia cuestionada. Los argumentos expuestos por la </w:t>
      </w:r>
      <w:r>
        <w:rPr>
          <w:spacing w:val="-6"/>
          <w:sz w:val="16"/>
          <w:szCs w:val="16"/>
          <w:lang w:val="es-ES_tradnl"/>
        </w:rPr>
        <w:t>Sala para revocar la sentencia de primer nivel fueron:</w:t>
      </w:r>
    </w:p>
    <w:p w14:paraId="4F67B06D" w14:textId="77777777" w:rsidR="00591D54" w:rsidRDefault="00591D54" w:rsidP="00251195">
      <w:pPr>
        <w:numPr>
          <w:ilvl w:val="0"/>
          <w:numId w:val="79"/>
        </w:numPr>
        <w:shd w:val="clear" w:color="auto" w:fill="FFFFFF"/>
        <w:tabs>
          <w:tab w:val="left" w:pos="566"/>
        </w:tabs>
        <w:spacing w:before="206" w:line="216" w:lineRule="exact"/>
        <w:ind w:left="566" w:hanging="283"/>
        <w:jc w:val="both"/>
        <w:rPr>
          <w:spacing w:val="-10"/>
          <w:sz w:val="16"/>
          <w:szCs w:val="16"/>
          <w:lang w:val="es-ES_tradnl"/>
        </w:rPr>
      </w:pPr>
      <w:r>
        <w:rPr>
          <w:spacing w:val="-7"/>
          <w:sz w:val="16"/>
          <w:szCs w:val="16"/>
          <w:lang w:val="es-ES_tradnl"/>
        </w:rPr>
        <w:t>La</w:t>
      </w:r>
      <w:r>
        <w:rPr>
          <w:spacing w:val="-7"/>
          <w:sz w:val="18"/>
          <w:szCs w:val="18"/>
          <w:lang w:val="es-ES_tradnl"/>
        </w:rPr>
        <w:t xml:space="preserve"> </w:t>
      </w:r>
      <w:r>
        <w:rPr>
          <w:spacing w:val="-7"/>
          <w:sz w:val="16"/>
          <w:szCs w:val="16"/>
          <w:lang w:val="es-ES_tradnl"/>
        </w:rPr>
        <w:t>acci</w:t>
      </w:r>
      <w:r>
        <w:rPr>
          <w:rFonts w:cs="Times New Roman"/>
          <w:spacing w:val="-7"/>
          <w:sz w:val="16"/>
          <w:szCs w:val="16"/>
          <w:lang w:val="es-ES_tradnl"/>
        </w:rPr>
        <w:t>ó</w:t>
      </w:r>
      <w:r>
        <w:rPr>
          <w:spacing w:val="-7"/>
          <w:sz w:val="16"/>
          <w:szCs w:val="16"/>
          <w:lang w:val="es-ES_tradnl"/>
        </w:rPr>
        <w:t>n</w:t>
      </w:r>
      <w:r>
        <w:rPr>
          <w:spacing w:val="-7"/>
          <w:sz w:val="18"/>
          <w:szCs w:val="18"/>
          <w:lang w:val="es-ES_tradnl"/>
        </w:rPr>
        <w:t xml:space="preserve"> </w:t>
      </w:r>
      <w:r>
        <w:rPr>
          <w:spacing w:val="-7"/>
          <w:sz w:val="16"/>
          <w:szCs w:val="16"/>
          <w:lang w:val="es-ES_tradnl"/>
        </w:rPr>
        <w:t>de</w:t>
      </w:r>
      <w:r>
        <w:rPr>
          <w:spacing w:val="-7"/>
          <w:sz w:val="18"/>
          <w:szCs w:val="18"/>
          <w:lang w:val="es-ES_tradnl"/>
        </w:rPr>
        <w:t xml:space="preserve"> </w:t>
      </w:r>
      <w:r>
        <w:rPr>
          <w:spacing w:val="-7"/>
          <w:sz w:val="16"/>
          <w:szCs w:val="16"/>
          <w:lang w:val="es-ES_tradnl"/>
        </w:rPr>
        <w:t>protecci</w:t>
      </w:r>
      <w:r>
        <w:rPr>
          <w:rFonts w:cs="Times New Roman"/>
          <w:spacing w:val="-7"/>
          <w:sz w:val="16"/>
          <w:szCs w:val="16"/>
          <w:lang w:val="es-ES_tradnl"/>
        </w:rPr>
        <w:t>ó</w:t>
      </w:r>
      <w:r>
        <w:rPr>
          <w:spacing w:val="-7"/>
          <w:sz w:val="16"/>
          <w:szCs w:val="16"/>
          <w:lang w:val="es-ES_tradnl"/>
        </w:rPr>
        <w:t>n</w:t>
      </w:r>
      <w:r>
        <w:rPr>
          <w:spacing w:val="-7"/>
          <w:sz w:val="18"/>
          <w:szCs w:val="18"/>
          <w:lang w:val="es-ES_tradnl"/>
        </w:rPr>
        <w:t xml:space="preserve"> </w:t>
      </w:r>
      <w:r>
        <w:rPr>
          <w:spacing w:val="-7"/>
          <w:sz w:val="16"/>
          <w:szCs w:val="16"/>
          <w:lang w:val="es-ES_tradnl"/>
        </w:rPr>
        <w:t>es</w:t>
      </w:r>
      <w:r>
        <w:rPr>
          <w:spacing w:val="-7"/>
          <w:sz w:val="18"/>
          <w:szCs w:val="18"/>
          <w:lang w:val="es-ES_tradnl"/>
        </w:rPr>
        <w:t xml:space="preserve"> </w:t>
      </w:r>
      <w:r>
        <w:rPr>
          <w:spacing w:val="-7"/>
          <w:sz w:val="16"/>
          <w:szCs w:val="16"/>
          <w:lang w:val="es-ES_tradnl"/>
        </w:rPr>
        <w:t>cautelar</w:t>
      </w:r>
      <w:r>
        <w:rPr>
          <w:spacing w:val="-7"/>
          <w:sz w:val="18"/>
          <w:szCs w:val="18"/>
          <w:lang w:val="es-ES_tradnl"/>
        </w:rPr>
        <w:t xml:space="preserve"> </w:t>
      </w:r>
      <w:r>
        <w:rPr>
          <w:spacing w:val="-7"/>
          <w:sz w:val="16"/>
          <w:szCs w:val="16"/>
          <w:lang w:val="es-ES_tradnl"/>
        </w:rPr>
        <w:t>y</w:t>
      </w:r>
      <w:r>
        <w:rPr>
          <w:spacing w:val="-7"/>
          <w:sz w:val="18"/>
          <w:szCs w:val="18"/>
          <w:lang w:val="es-ES_tradnl"/>
        </w:rPr>
        <w:t xml:space="preserve"> </w:t>
      </w:r>
      <w:r>
        <w:rPr>
          <w:spacing w:val="-7"/>
          <w:sz w:val="16"/>
          <w:szCs w:val="16"/>
          <w:lang w:val="es-ES_tradnl"/>
        </w:rPr>
        <w:t>faculta</w:t>
      </w:r>
      <w:r>
        <w:rPr>
          <w:spacing w:val="-7"/>
          <w:sz w:val="18"/>
          <w:szCs w:val="18"/>
          <w:lang w:val="es-ES_tradnl"/>
        </w:rPr>
        <w:t xml:space="preserve"> </w:t>
      </w:r>
      <w:r>
        <w:rPr>
          <w:spacing w:val="-7"/>
          <w:sz w:val="16"/>
          <w:szCs w:val="16"/>
          <w:lang w:val="es-ES_tradnl"/>
        </w:rPr>
        <w:t>a</w:t>
      </w:r>
      <w:r>
        <w:rPr>
          <w:spacing w:val="-7"/>
          <w:sz w:val="18"/>
          <w:szCs w:val="18"/>
          <w:lang w:val="es-ES_tradnl"/>
        </w:rPr>
        <w:t xml:space="preserve"> </w:t>
      </w:r>
      <w:r>
        <w:rPr>
          <w:spacing w:val="-7"/>
          <w:sz w:val="16"/>
          <w:szCs w:val="16"/>
          <w:lang w:val="es-ES_tradnl"/>
        </w:rPr>
        <w:t>los</w:t>
      </w:r>
      <w:r>
        <w:rPr>
          <w:spacing w:val="-7"/>
          <w:sz w:val="18"/>
          <w:szCs w:val="18"/>
          <w:lang w:val="es-ES_tradnl"/>
        </w:rPr>
        <w:t xml:space="preserve"> </w:t>
      </w:r>
      <w:r>
        <w:rPr>
          <w:spacing w:val="-7"/>
          <w:sz w:val="16"/>
          <w:szCs w:val="16"/>
          <w:lang w:val="es-ES_tradnl"/>
        </w:rPr>
        <w:t xml:space="preserve">jueces </w:t>
      </w:r>
      <w:r>
        <w:rPr>
          <w:spacing w:val="-6"/>
          <w:sz w:val="16"/>
          <w:szCs w:val="16"/>
          <w:lang w:val="es-ES_tradnl"/>
        </w:rPr>
        <w:t xml:space="preserve">constitucionales dictar medidas urgentes que puedan </w:t>
      </w:r>
      <w:r>
        <w:rPr>
          <w:spacing w:val="-8"/>
          <w:sz w:val="16"/>
          <w:szCs w:val="16"/>
          <w:lang w:val="es-ES_tradnl"/>
        </w:rPr>
        <w:t>prevenir o hacer cesar la conducta violatoria de derechos.</w:t>
      </w:r>
    </w:p>
    <w:p w14:paraId="4F67B06E" w14:textId="77777777" w:rsidR="00591D54" w:rsidRDefault="00591D54" w:rsidP="00251195">
      <w:pPr>
        <w:numPr>
          <w:ilvl w:val="0"/>
          <w:numId w:val="79"/>
        </w:numPr>
        <w:shd w:val="clear" w:color="auto" w:fill="FFFFFF"/>
        <w:tabs>
          <w:tab w:val="left" w:pos="566"/>
        </w:tabs>
        <w:spacing w:line="216" w:lineRule="exact"/>
        <w:ind w:left="566" w:hanging="283"/>
        <w:jc w:val="both"/>
        <w:rPr>
          <w:spacing w:val="-10"/>
          <w:sz w:val="16"/>
          <w:szCs w:val="16"/>
          <w:lang w:val="es-ES_tradnl"/>
        </w:rPr>
      </w:pPr>
      <w:r>
        <w:rPr>
          <w:spacing w:val="-4"/>
          <w:sz w:val="16"/>
          <w:szCs w:val="16"/>
          <w:lang w:val="es-ES_tradnl"/>
        </w:rPr>
        <w:t>Los</w:t>
      </w:r>
      <w:r>
        <w:rPr>
          <w:spacing w:val="-4"/>
          <w:sz w:val="18"/>
          <w:szCs w:val="18"/>
          <w:lang w:val="es-ES_tradnl"/>
        </w:rPr>
        <w:t xml:space="preserve"> </w:t>
      </w:r>
      <w:r>
        <w:rPr>
          <w:spacing w:val="-4"/>
          <w:sz w:val="16"/>
          <w:szCs w:val="16"/>
          <w:lang w:val="es-ES_tradnl"/>
        </w:rPr>
        <w:t>razonamientos</w:t>
      </w:r>
      <w:r>
        <w:rPr>
          <w:spacing w:val="-4"/>
          <w:sz w:val="18"/>
          <w:szCs w:val="18"/>
          <w:lang w:val="es-ES_tradnl"/>
        </w:rPr>
        <w:t xml:space="preserve"> </w:t>
      </w:r>
      <w:r>
        <w:rPr>
          <w:spacing w:val="-4"/>
          <w:sz w:val="16"/>
          <w:szCs w:val="16"/>
          <w:lang w:val="es-ES_tradnl"/>
        </w:rPr>
        <w:t>expuestos</w:t>
      </w:r>
      <w:r>
        <w:rPr>
          <w:spacing w:val="-4"/>
          <w:sz w:val="18"/>
          <w:szCs w:val="18"/>
          <w:lang w:val="es-ES_tradnl"/>
        </w:rPr>
        <w:t xml:space="preserve"> </w:t>
      </w:r>
      <w:r>
        <w:rPr>
          <w:spacing w:val="-4"/>
          <w:sz w:val="16"/>
          <w:szCs w:val="16"/>
          <w:lang w:val="es-ES_tradnl"/>
        </w:rPr>
        <w:t>en</w:t>
      </w:r>
      <w:r>
        <w:rPr>
          <w:spacing w:val="-4"/>
          <w:sz w:val="18"/>
          <w:szCs w:val="18"/>
          <w:lang w:val="es-ES_tradnl"/>
        </w:rPr>
        <w:t xml:space="preserve"> </w:t>
      </w:r>
      <w:r>
        <w:rPr>
          <w:spacing w:val="-4"/>
          <w:sz w:val="16"/>
          <w:szCs w:val="16"/>
          <w:lang w:val="es-ES_tradnl"/>
        </w:rPr>
        <w:t>la</w:t>
      </w:r>
      <w:r>
        <w:rPr>
          <w:spacing w:val="-4"/>
          <w:sz w:val="18"/>
          <w:szCs w:val="18"/>
          <w:lang w:val="es-ES_tradnl"/>
        </w:rPr>
        <w:t xml:space="preserve"> </w:t>
      </w:r>
      <w:r>
        <w:rPr>
          <w:spacing w:val="-4"/>
          <w:sz w:val="16"/>
          <w:szCs w:val="16"/>
          <w:lang w:val="es-ES_tradnl"/>
        </w:rPr>
        <w:t>sentencia</w:t>
      </w:r>
      <w:r>
        <w:rPr>
          <w:spacing w:val="-4"/>
          <w:sz w:val="18"/>
          <w:szCs w:val="18"/>
          <w:lang w:val="es-ES_tradnl"/>
        </w:rPr>
        <w:t xml:space="preserve"> </w:t>
      </w:r>
      <w:r>
        <w:rPr>
          <w:spacing w:val="-4"/>
          <w:sz w:val="16"/>
          <w:szCs w:val="16"/>
          <w:lang w:val="es-ES_tradnl"/>
        </w:rPr>
        <w:t>es</w:t>
      </w:r>
      <w:r>
        <w:rPr>
          <w:spacing w:val="-4"/>
          <w:sz w:val="18"/>
          <w:szCs w:val="18"/>
          <w:lang w:val="es-ES_tradnl"/>
        </w:rPr>
        <w:t xml:space="preserve"> </w:t>
      </w:r>
      <w:r>
        <w:rPr>
          <w:spacing w:val="-4"/>
          <w:sz w:val="16"/>
          <w:szCs w:val="16"/>
          <w:lang w:val="es-ES_tradnl"/>
        </w:rPr>
        <w:t xml:space="preserve">de </w:t>
      </w:r>
      <w:r>
        <w:rPr>
          <w:spacing w:val="-9"/>
          <w:sz w:val="16"/>
          <w:szCs w:val="16"/>
          <w:lang w:val="es-ES_tradnl"/>
        </w:rPr>
        <w:t xml:space="preserve">claridad meridiana, por lo que se encuentra respaldada por </w:t>
      </w:r>
      <w:r>
        <w:rPr>
          <w:spacing w:val="-7"/>
          <w:sz w:val="16"/>
          <w:szCs w:val="16"/>
          <w:lang w:val="es-ES_tradnl"/>
        </w:rPr>
        <w:t>la documentaci</w:t>
      </w:r>
      <w:r>
        <w:rPr>
          <w:rFonts w:cs="Times New Roman"/>
          <w:spacing w:val="-7"/>
          <w:sz w:val="16"/>
          <w:szCs w:val="16"/>
          <w:lang w:val="es-ES_tradnl"/>
        </w:rPr>
        <w:t>ó</w:t>
      </w:r>
      <w:r>
        <w:rPr>
          <w:spacing w:val="-7"/>
          <w:sz w:val="16"/>
          <w:szCs w:val="16"/>
          <w:lang w:val="es-ES_tradnl"/>
        </w:rPr>
        <w:t>n constante en el expediente.</w:t>
      </w:r>
    </w:p>
    <w:p w14:paraId="4F67B06F" w14:textId="77777777" w:rsidR="00591D54" w:rsidRDefault="00591D54" w:rsidP="00251195">
      <w:pPr>
        <w:numPr>
          <w:ilvl w:val="0"/>
          <w:numId w:val="79"/>
        </w:numPr>
        <w:shd w:val="clear" w:color="auto" w:fill="FFFFFF"/>
        <w:tabs>
          <w:tab w:val="left" w:pos="566"/>
        </w:tabs>
        <w:spacing w:line="216" w:lineRule="exact"/>
        <w:ind w:left="566" w:hanging="283"/>
        <w:jc w:val="both"/>
        <w:rPr>
          <w:spacing w:val="-10"/>
          <w:sz w:val="16"/>
          <w:szCs w:val="16"/>
          <w:lang w:val="es-ES_tradnl"/>
        </w:rPr>
      </w:pPr>
      <w:r>
        <w:rPr>
          <w:spacing w:val="-4"/>
          <w:sz w:val="16"/>
          <w:szCs w:val="16"/>
          <w:lang w:val="es-ES_tradnl"/>
        </w:rPr>
        <w:t>La</w:t>
      </w:r>
      <w:r>
        <w:rPr>
          <w:spacing w:val="-4"/>
          <w:sz w:val="18"/>
          <w:szCs w:val="18"/>
          <w:lang w:val="es-ES_tradnl"/>
        </w:rPr>
        <w:t xml:space="preserve"> </w:t>
      </w:r>
      <w:r>
        <w:rPr>
          <w:spacing w:val="-4"/>
          <w:sz w:val="16"/>
          <w:szCs w:val="16"/>
          <w:lang w:val="es-ES_tradnl"/>
        </w:rPr>
        <w:t>constancia</w:t>
      </w:r>
      <w:r>
        <w:rPr>
          <w:spacing w:val="-4"/>
          <w:sz w:val="18"/>
          <w:szCs w:val="18"/>
          <w:lang w:val="es-ES_tradnl"/>
        </w:rPr>
        <w:t xml:space="preserve"> </w:t>
      </w:r>
      <w:r>
        <w:rPr>
          <w:spacing w:val="-4"/>
          <w:sz w:val="16"/>
          <w:szCs w:val="16"/>
          <w:lang w:val="es-ES_tradnl"/>
        </w:rPr>
        <w:t>de</w:t>
      </w:r>
      <w:r>
        <w:rPr>
          <w:spacing w:val="-4"/>
          <w:sz w:val="18"/>
          <w:szCs w:val="18"/>
          <w:lang w:val="es-ES_tradnl"/>
        </w:rPr>
        <w:t xml:space="preserve"> </w:t>
      </w:r>
      <w:r>
        <w:rPr>
          <w:spacing w:val="-4"/>
          <w:sz w:val="16"/>
          <w:szCs w:val="16"/>
          <w:lang w:val="es-ES_tradnl"/>
        </w:rPr>
        <w:t>hechos</w:t>
      </w:r>
      <w:r>
        <w:rPr>
          <w:spacing w:val="-4"/>
          <w:sz w:val="18"/>
          <w:szCs w:val="18"/>
          <w:lang w:val="es-ES_tradnl"/>
        </w:rPr>
        <w:t xml:space="preserve"> </w:t>
      </w:r>
      <w:r>
        <w:rPr>
          <w:spacing w:val="-4"/>
          <w:sz w:val="16"/>
          <w:szCs w:val="16"/>
          <w:lang w:val="es-ES_tradnl"/>
        </w:rPr>
        <w:t>relevantes,</w:t>
      </w:r>
      <w:r>
        <w:rPr>
          <w:spacing w:val="-4"/>
          <w:sz w:val="18"/>
          <w:szCs w:val="18"/>
          <w:lang w:val="es-ES_tradnl"/>
        </w:rPr>
        <w:t xml:space="preserve"> </w:t>
      </w:r>
      <w:r>
        <w:rPr>
          <w:spacing w:val="-4"/>
          <w:sz w:val="16"/>
          <w:szCs w:val="16"/>
          <w:lang w:val="es-ES_tradnl"/>
        </w:rPr>
        <w:t>realizando</w:t>
      </w:r>
      <w:r>
        <w:rPr>
          <w:spacing w:val="-4"/>
          <w:sz w:val="18"/>
          <w:szCs w:val="18"/>
          <w:lang w:val="es-ES_tradnl"/>
        </w:rPr>
        <w:t xml:space="preserve"> </w:t>
      </w:r>
      <w:r>
        <w:rPr>
          <w:spacing w:val="-4"/>
          <w:sz w:val="16"/>
          <w:szCs w:val="16"/>
          <w:lang w:val="es-ES_tradnl"/>
        </w:rPr>
        <w:t xml:space="preserve">una </w:t>
      </w:r>
      <w:r>
        <w:rPr>
          <w:sz w:val="16"/>
          <w:szCs w:val="16"/>
          <w:lang w:val="es-ES_tradnl"/>
        </w:rPr>
        <w:t>s</w:t>
      </w:r>
      <w:r>
        <w:rPr>
          <w:rFonts w:cs="Times New Roman"/>
          <w:sz w:val="16"/>
          <w:szCs w:val="16"/>
          <w:lang w:val="es-ES_tradnl"/>
        </w:rPr>
        <w:t>í</w:t>
      </w:r>
      <w:r>
        <w:rPr>
          <w:sz w:val="16"/>
          <w:szCs w:val="16"/>
          <w:lang w:val="es-ES_tradnl"/>
        </w:rPr>
        <w:t>ntesis cronol</w:t>
      </w:r>
      <w:r>
        <w:rPr>
          <w:rFonts w:cs="Times New Roman"/>
          <w:sz w:val="16"/>
          <w:szCs w:val="16"/>
          <w:lang w:val="es-ES_tradnl"/>
        </w:rPr>
        <w:t>ó</w:t>
      </w:r>
      <w:r>
        <w:rPr>
          <w:sz w:val="16"/>
          <w:szCs w:val="16"/>
          <w:lang w:val="es-ES_tradnl"/>
        </w:rPr>
        <w:t>gica de antecedentes.</w:t>
      </w:r>
    </w:p>
    <w:p w14:paraId="4F67B070" w14:textId="77777777" w:rsidR="00591D54" w:rsidRDefault="00591D54" w:rsidP="00251195">
      <w:pPr>
        <w:numPr>
          <w:ilvl w:val="0"/>
          <w:numId w:val="79"/>
        </w:numPr>
        <w:shd w:val="clear" w:color="auto" w:fill="FFFFFF"/>
        <w:tabs>
          <w:tab w:val="left" w:pos="566"/>
        </w:tabs>
        <w:spacing w:line="216" w:lineRule="exact"/>
        <w:ind w:left="566" w:hanging="283"/>
        <w:jc w:val="both"/>
        <w:rPr>
          <w:spacing w:val="-10"/>
          <w:sz w:val="16"/>
          <w:szCs w:val="16"/>
          <w:lang w:val="es-ES_tradnl"/>
        </w:rPr>
      </w:pPr>
      <w:r>
        <w:rPr>
          <w:spacing w:val="-6"/>
          <w:sz w:val="16"/>
          <w:szCs w:val="16"/>
          <w:lang w:val="es-ES_tradnl"/>
        </w:rPr>
        <w:t>La</w:t>
      </w:r>
      <w:r>
        <w:rPr>
          <w:spacing w:val="-6"/>
          <w:sz w:val="18"/>
          <w:szCs w:val="18"/>
          <w:lang w:val="es-ES_tradnl"/>
        </w:rPr>
        <w:t xml:space="preserve"> </w:t>
      </w:r>
      <w:r>
        <w:rPr>
          <w:spacing w:val="-6"/>
          <w:sz w:val="16"/>
          <w:szCs w:val="16"/>
          <w:lang w:val="es-ES_tradnl"/>
        </w:rPr>
        <w:t>vigencia</w:t>
      </w:r>
      <w:r>
        <w:rPr>
          <w:spacing w:val="-6"/>
          <w:sz w:val="18"/>
          <w:szCs w:val="18"/>
          <w:lang w:val="es-ES_tradnl"/>
        </w:rPr>
        <w:t xml:space="preserve"> </w:t>
      </w:r>
      <w:r>
        <w:rPr>
          <w:spacing w:val="-6"/>
          <w:sz w:val="16"/>
          <w:szCs w:val="16"/>
          <w:lang w:val="es-ES_tradnl"/>
        </w:rPr>
        <w:t>de</w:t>
      </w:r>
      <w:r>
        <w:rPr>
          <w:spacing w:val="-6"/>
          <w:sz w:val="18"/>
          <w:szCs w:val="18"/>
          <w:lang w:val="es-ES_tradnl"/>
        </w:rPr>
        <w:t xml:space="preserve"> </w:t>
      </w:r>
      <w:r>
        <w:rPr>
          <w:spacing w:val="-6"/>
          <w:sz w:val="16"/>
          <w:szCs w:val="16"/>
          <w:lang w:val="es-ES_tradnl"/>
        </w:rPr>
        <w:t>la</w:t>
      </w:r>
      <w:r>
        <w:rPr>
          <w:spacing w:val="-6"/>
          <w:sz w:val="18"/>
          <w:szCs w:val="18"/>
          <w:lang w:val="es-ES_tradnl"/>
        </w:rPr>
        <w:t xml:space="preserve"> </w:t>
      </w:r>
      <w:r>
        <w:rPr>
          <w:spacing w:val="-6"/>
          <w:sz w:val="16"/>
          <w:szCs w:val="16"/>
          <w:lang w:val="es-ES_tradnl"/>
        </w:rPr>
        <w:t>Disposici</w:t>
      </w:r>
      <w:r>
        <w:rPr>
          <w:rFonts w:cs="Times New Roman"/>
          <w:spacing w:val="-6"/>
          <w:sz w:val="16"/>
          <w:szCs w:val="16"/>
          <w:lang w:val="es-ES_tradnl"/>
        </w:rPr>
        <w:t>ó</w:t>
      </w:r>
      <w:r>
        <w:rPr>
          <w:spacing w:val="-6"/>
          <w:sz w:val="16"/>
          <w:szCs w:val="16"/>
          <w:lang w:val="es-ES_tradnl"/>
        </w:rPr>
        <w:t>n</w:t>
      </w:r>
      <w:r>
        <w:rPr>
          <w:spacing w:val="-6"/>
          <w:sz w:val="18"/>
          <w:szCs w:val="18"/>
          <w:lang w:val="es-ES_tradnl"/>
        </w:rPr>
        <w:t xml:space="preserve"> </w:t>
      </w:r>
      <w:r>
        <w:rPr>
          <w:spacing w:val="-6"/>
          <w:sz w:val="16"/>
          <w:szCs w:val="16"/>
          <w:lang w:val="es-ES_tradnl"/>
        </w:rPr>
        <w:t>General</w:t>
      </w:r>
      <w:r>
        <w:rPr>
          <w:spacing w:val="-6"/>
          <w:sz w:val="18"/>
          <w:szCs w:val="18"/>
          <w:lang w:val="es-ES_tradnl"/>
        </w:rPr>
        <w:t xml:space="preserve"> </w:t>
      </w:r>
      <w:r>
        <w:rPr>
          <w:spacing w:val="-6"/>
          <w:sz w:val="16"/>
          <w:szCs w:val="16"/>
          <w:lang w:val="es-ES_tradnl"/>
        </w:rPr>
        <w:t>Segunda</w:t>
      </w:r>
      <w:r>
        <w:rPr>
          <w:spacing w:val="-6"/>
          <w:sz w:val="18"/>
          <w:szCs w:val="18"/>
          <w:lang w:val="es-ES_tradnl"/>
        </w:rPr>
        <w:t xml:space="preserve"> </w:t>
      </w:r>
      <w:r>
        <w:rPr>
          <w:spacing w:val="-6"/>
          <w:sz w:val="16"/>
          <w:szCs w:val="16"/>
          <w:lang w:val="es-ES_tradnl"/>
        </w:rPr>
        <w:t>a</w:t>
      </w:r>
      <w:r>
        <w:rPr>
          <w:spacing w:val="-6"/>
          <w:sz w:val="18"/>
          <w:szCs w:val="18"/>
          <w:lang w:val="es-ES_tradnl"/>
        </w:rPr>
        <w:t xml:space="preserve"> </w:t>
      </w:r>
      <w:r>
        <w:rPr>
          <w:spacing w:val="-6"/>
          <w:sz w:val="16"/>
          <w:szCs w:val="16"/>
          <w:lang w:val="es-ES_tradnl"/>
        </w:rPr>
        <w:t>la</w:t>
      </w:r>
      <w:r>
        <w:rPr>
          <w:spacing w:val="-6"/>
          <w:sz w:val="18"/>
          <w:szCs w:val="18"/>
          <w:lang w:val="es-ES_tradnl"/>
        </w:rPr>
        <w:t xml:space="preserve"> </w:t>
      </w:r>
      <w:r>
        <w:rPr>
          <w:spacing w:val="-6"/>
          <w:sz w:val="16"/>
          <w:szCs w:val="16"/>
          <w:lang w:val="es-ES_tradnl"/>
        </w:rPr>
        <w:t xml:space="preserve">Ley </w:t>
      </w:r>
      <w:r>
        <w:rPr>
          <w:spacing w:val="-5"/>
          <w:sz w:val="16"/>
          <w:szCs w:val="16"/>
          <w:lang w:val="es-ES_tradnl"/>
        </w:rPr>
        <w:t>para la Reforma de Finanzas P</w:t>
      </w:r>
      <w:r>
        <w:rPr>
          <w:rFonts w:cs="Times New Roman"/>
          <w:spacing w:val="-5"/>
          <w:sz w:val="16"/>
          <w:szCs w:val="16"/>
          <w:lang w:val="es-ES_tradnl"/>
        </w:rPr>
        <w:t>ú</w:t>
      </w:r>
      <w:r>
        <w:rPr>
          <w:spacing w:val="-5"/>
          <w:sz w:val="16"/>
          <w:szCs w:val="16"/>
          <w:lang w:val="es-ES_tradnl"/>
        </w:rPr>
        <w:t xml:space="preserve">blicas determina siete </w:t>
      </w:r>
      <w:r>
        <w:rPr>
          <w:spacing w:val="-6"/>
          <w:sz w:val="16"/>
          <w:szCs w:val="16"/>
          <w:lang w:val="es-ES_tradnl"/>
        </w:rPr>
        <w:t>a</w:t>
      </w:r>
      <w:r>
        <w:rPr>
          <w:rFonts w:cs="Times New Roman"/>
          <w:spacing w:val="-6"/>
          <w:sz w:val="16"/>
          <w:szCs w:val="16"/>
          <w:lang w:val="es-ES_tradnl"/>
        </w:rPr>
        <w:t>ñ</w:t>
      </w:r>
      <w:r>
        <w:rPr>
          <w:spacing w:val="-6"/>
          <w:sz w:val="16"/>
          <w:szCs w:val="16"/>
          <w:lang w:val="es-ES_tradnl"/>
        </w:rPr>
        <w:t>os de sanci</w:t>
      </w:r>
      <w:r>
        <w:rPr>
          <w:rFonts w:cs="Times New Roman"/>
          <w:spacing w:val="-6"/>
          <w:sz w:val="16"/>
          <w:szCs w:val="16"/>
          <w:lang w:val="es-ES_tradnl"/>
        </w:rPr>
        <w:t>ó</w:t>
      </w:r>
      <w:r>
        <w:rPr>
          <w:spacing w:val="-6"/>
          <w:sz w:val="16"/>
          <w:szCs w:val="16"/>
          <w:lang w:val="es-ES_tradnl"/>
        </w:rPr>
        <w:t xml:space="preserve">n a los funcionarios que recibieron una </w:t>
      </w:r>
      <w:r>
        <w:rPr>
          <w:spacing w:val="-4"/>
          <w:sz w:val="16"/>
          <w:szCs w:val="16"/>
          <w:lang w:val="es-ES_tradnl"/>
        </w:rPr>
        <w:t>indemnizaci</w:t>
      </w:r>
      <w:r>
        <w:rPr>
          <w:rFonts w:cs="Times New Roman"/>
          <w:spacing w:val="-4"/>
          <w:sz w:val="16"/>
          <w:szCs w:val="16"/>
          <w:lang w:val="es-ES_tradnl"/>
        </w:rPr>
        <w:t>ó</w:t>
      </w:r>
      <w:r>
        <w:rPr>
          <w:spacing w:val="-4"/>
          <w:sz w:val="16"/>
          <w:szCs w:val="16"/>
          <w:lang w:val="es-ES_tradnl"/>
        </w:rPr>
        <w:t xml:space="preserve">n fenecido este lapso de tiempo, faculta a </w:t>
      </w:r>
      <w:r>
        <w:rPr>
          <w:spacing w:val="-7"/>
          <w:sz w:val="16"/>
          <w:szCs w:val="16"/>
          <w:lang w:val="es-ES_tradnl"/>
        </w:rPr>
        <w:t>los ex servidores el reingreso al sector p</w:t>
      </w:r>
      <w:r>
        <w:rPr>
          <w:rFonts w:cs="Times New Roman"/>
          <w:spacing w:val="-7"/>
          <w:sz w:val="16"/>
          <w:szCs w:val="16"/>
          <w:lang w:val="es-ES_tradnl"/>
        </w:rPr>
        <w:t>ú</w:t>
      </w:r>
      <w:r>
        <w:rPr>
          <w:spacing w:val="-7"/>
          <w:sz w:val="16"/>
          <w:szCs w:val="16"/>
          <w:lang w:val="es-ES_tradnl"/>
        </w:rPr>
        <w:t xml:space="preserve">blico, debiendo </w:t>
      </w:r>
      <w:r>
        <w:rPr>
          <w:spacing w:val="-5"/>
          <w:sz w:val="16"/>
          <w:szCs w:val="16"/>
          <w:lang w:val="es-ES_tradnl"/>
        </w:rPr>
        <w:t>entender en este sentido los plazos que fija la ley, as</w:t>
      </w:r>
      <w:r>
        <w:rPr>
          <w:rFonts w:cs="Times New Roman"/>
          <w:spacing w:val="-5"/>
          <w:sz w:val="16"/>
          <w:szCs w:val="16"/>
          <w:lang w:val="es-ES_tradnl"/>
        </w:rPr>
        <w:t xml:space="preserve">í </w:t>
      </w:r>
      <w:r>
        <w:rPr>
          <w:spacing w:val="-7"/>
          <w:sz w:val="16"/>
          <w:szCs w:val="16"/>
          <w:lang w:val="es-ES_tradnl"/>
        </w:rPr>
        <w:t xml:space="preserve">como los perjuicios y beneficios que se desprenden de la </w:t>
      </w:r>
      <w:r>
        <w:rPr>
          <w:spacing w:val="-9"/>
          <w:sz w:val="16"/>
          <w:szCs w:val="16"/>
          <w:lang w:val="es-ES_tradnl"/>
        </w:rPr>
        <w:t>misma. Es por ello que no podemos pensar que la sanci</w:t>
      </w:r>
      <w:r>
        <w:rPr>
          <w:rFonts w:cs="Times New Roman"/>
          <w:spacing w:val="-9"/>
          <w:sz w:val="16"/>
          <w:szCs w:val="16"/>
          <w:lang w:val="es-ES_tradnl"/>
        </w:rPr>
        <w:t>ó</w:t>
      </w:r>
      <w:r>
        <w:rPr>
          <w:spacing w:val="-9"/>
          <w:sz w:val="16"/>
          <w:szCs w:val="16"/>
          <w:lang w:val="es-ES_tradnl"/>
        </w:rPr>
        <w:t xml:space="preserve">n </w:t>
      </w:r>
      <w:r>
        <w:rPr>
          <w:spacing w:val="-5"/>
          <w:sz w:val="16"/>
          <w:szCs w:val="16"/>
          <w:lang w:val="es-ES_tradnl"/>
        </w:rPr>
        <w:t xml:space="preserve">impuesta a los que vendieron su renuncia y recibieron </w:t>
      </w:r>
      <w:r>
        <w:rPr>
          <w:spacing w:val="-4"/>
          <w:sz w:val="16"/>
          <w:szCs w:val="16"/>
          <w:lang w:val="es-ES_tradnl"/>
        </w:rPr>
        <w:t>compensaci</w:t>
      </w:r>
      <w:r>
        <w:rPr>
          <w:rFonts w:cs="Times New Roman"/>
          <w:spacing w:val="-4"/>
          <w:sz w:val="16"/>
          <w:szCs w:val="16"/>
          <w:lang w:val="es-ES_tradnl"/>
        </w:rPr>
        <w:t>ó</w:t>
      </w:r>
      <w:r>
        <w:rPr>
          <w:spacing w:val="-4"/>
          <w:sz w:val="16"/>
          <w:szCs w:val="16"/>
          <w:lang w:val="es-ES_tradnl"/>
        </w:rPr>
        <w:t xml:space="preserve">n pecuniaria, pueda ser en forma vitalicia </w:t>
      </w:r>
      <w:r>
        <w:rPr>
          <w:spacing w:val="-6"/>
          <w:sz w:val="16"/>
          <w:szCs w:val="16"/>
          <w:lang w:val="es-ES_tradnl"/>
        </w:rPr>
        <w:t>ya que presentar</w:t>
      </w:r>
      <w:r>
        <w:rPr>
          <w:rFonts w:cs="Times New Roman"/>
          <w:spacing w:val="-6"/>
          <w:sz w:val="16"/>
          <w:szCs w:val="16"/>
          <w:lang w:val="es-ES_tradnl"/>
        </w:rPr>
        <w:t>í</w:t>
      </w:r>
      <w:r>
        <w:rPr>
          <w:spacing w:val="-6"/>
          <w:sz w:val="16"/>
          <w:szCs w:val="16"/>
          <w:lang w:val="es-ES_tradnl"/>
        </w:rPr>
        <w:t>a tama</w:t>
      </w:r>
      <w:r>
        <w:rPr>
          <w:rFonts w:cs="Times New Roman"/>
          <w:spacing w:val="-6"/>
          <w:sz w:val="16"/>
          <w:szCs w:val="16"/>
          <w:lang w:val="es-ES_tradnl"/>
        </w:rPr>
        <w:t>ñ</w:t>
      </w:r>
      <w:r>
        <w:rPr>
          <w:spacing w:val="-6"/>
          <w:sz w:val="16"/>
          <w:szCs w:val="16"/>
          <w:lang w:val="es-ES_tradnl"/>
        </w:rPr>
        <w:t>o desprop</w:t>
      </w:r>
      <w:r>
        <w:rPr>
          <w:rFonts w:cs="Times New Roman"/>
          <w:spacing w:val="-6"/>
          <w:sz w:val="16"/>
          <w:szCs w:val="16"/>
          <w:lang w:val="es-ES_tradnl"/>
        </w:rPr>
        <w:t>ó</w:t>
      </w:r>
      <w:r>
        <w:rPr>
          <w:spacing w:val="-6"/>
          <w:sz w:val="16"/>
          <w:szCs w:val="16"/>
          <w:lang w:val="es-ES_tradnl"/>
        </w:rPr>
        <w:t>sito y violaci</w:t>
      </w:r>
      <w:r>
        <w:rPr>
          <w:rFonts w:cs="Times New Roman"/>
          <w:spacing w:val="-6"/>
          <w:sz w:val="16"/>
          <w:szCs w:val="16"/>
          <w:lang w:val="es-ES_tradnl"/>
        </w:rPr>
        <w:t>ó</w:t>
      </w:r>
      <w:r>
        <w:rPr>
          <w:spacing w:val="-6"/>
          <w:sz w:val="16"/>
          <w:szCs w:val="16"/>
          <w:lang w:val="es-ES_tradnl"/>
        </w:rPr>
        <w:t xml:space="preserve">n de derechos, que atentan contra la vida de las personas ya </w:t>
      </w:r>
      <w:r>
        <w:rPr>
          <w:spacing w:val="-8"/>
          <w:sz w:val="16"/>
          <w:szCs w:val="16"/>
          <w:lang w:val="es-ES_tradnl"/>
        </w:rPr>
        <w:t>que estas quedar</w:t>
      </w:r>
      <w:r>
        <w:rPr>
          <w:rFonts w:cs="Times New Roman"/>
          <w:spacing w:val="-8"/>
          <w:sz w:val="16"/>
          <w:szCs w:val="16"/>
          <w:lang w:val="es-ES_tradnl"/>
        </w:rPr>
        <w:t>í</w:t>
      </w:r>
      <w:r>
        <w:rPr>
          <w:spacing w:val="-8"/>
          <w:sz w:val="16"/>
          <w:szCs w:val="16"/>
          <w:lang w:val="es-ES_tradnl"/>
        </w:rPr>
        <w:t>an en la desocupaci</w:t>
      </w:r>
      <w:r>
        <w:rPr>
          <w:rFonts w:cs="Times New Roman"/>
          <w:spacing w:val="-8"/>
          <w:sz w:val="16"/>
          <w:szCs w:val="16"/>
          <w:lang w:val="es-ES_tradnl"/>
        </w:rPr>
        <w:t>ó</w:t>
      </w:r>
      <w:r>
        <w:rPr>
          <w:spacing w:val="-8"/>
          <w:sz w:val="16"/>
          <w:szCs w:val="16"/>
          <w:lang w:val="es-ES_tradnl"/>
        </w:rPr>
        <w:t xml:space="preserve">n. En el presente </w:t>
      </w:r>
      <w:r>
        <w:rPr>
          <w:spacing w:val="-7"/>
          <w:sz w:val="16"/>
          <w:szCs w:val="16"/>
          <w:lang w:val="es-ES_tradnl"/>
        </w:rPr>
        <w:t>caso, en verdad transcurrieron los siete a</w:t>
      </w:r>
      <w:r>
        <w:rPr>
          <w:rFonts w:cs="Times New Roman"/>
          <w:spacing w:val="-7"/>
          <w:sz w:val="16"/>
          <w:szCs w:val="16"/>
          <w:lang w:val="es-ES_tradnl"/>
        </w:rPr>
        <w:t>ñ</w:t>
      </w:r>
      <w:r>
        <w:rPr>
          <w:spacing w:val="-7"/>
          <w:sz w:val="16"/>
          <w:szCs w:val="16"/>
          <w:lang w:val="es-ES_tradnl"/>
        </w:rPr>
        <w:t xml:space="preserve">os previstos en la ley para devolver los derechos a la actora, por ello, ese </w:t>
      </w:r>
      <w:r>
        <w:rPr>
          <w:spacing w:val="-5"/>
          <w:sz w:val="16"/>
          <w:szCs w:val="16"/>
          <w:lang w:val="es-ES_tradnl"/>
        </w:rPr>
        <w:t>transcurrir del tiempo, no tiene obst</w:t>
      </w:r>
      <w:r>
        <w:rPr>
          <w:rFonts w:cs="Times New Roman"/>
          <w:spacing w:val="-5"/>
          <w:sz w:val="16"/>
          <w:szCs w:val="16"/>
          <w:lang w:val="es-ES_tradnl"/>
        </w:rPr>
        <w:t>á</w:t>
      </w:r>
      <w:r>
        <w:rPr>
          <w:spacing w:val="-5"/>
          <w:sz w:val="16"/>
          <w:szCs w:val="16"/>
          <w:lang w:val="es-ES_tradnl"/>
        </w:rPr>
        <w:t xml:space="preserve">culo alguno, por lo que le beneficia directamente a la peticionaria, sin que </w:t>
      </w:r>
      <w:r>
        <w:rPr>
          <w:spacing w:val="-7"/>
          <w:sz w:val="16"/>
          <w:szCs w:val="16"/>
          <w:lang w:val="es-ES_tradnl"/>
        </w:rPr>
        <w:t>tenga raz</w:t>
      </w:r>
      <w:r>
        <w:rPr>
          <w:rFonts w:cs="Times New Roman"/>
          <w:spacing w:val="-7"/>
          <w:sz w:val="16"/>
          <w:szCs w:val="16"/>
          <w:lang w:val="es-ES_tradnl"/>
        </w:rPr>
        <w:t>ó</w:t>
      </w:r>
      <w:r>
        <w:rPr>
          <w:spacing w:val="-7"/>
          <w:sz w:val="16"/>
          <w:szCs w:val="16"/>
          <w:lang w:val="es-ES_tradnl"/>
        </w:rPr>
        <w:t xml:space="preserve">n el Estado al querer aplicar las disposiciones </w:t>
      </w:r>
      <w:r>
        <w:rPr>
          <w:sz w:val="16"/>
          <w:szCs w:val="16"/>
          <w:lang w:val="es-ES_tradnl"/>
        </w:rPr>
        <w:t>contenidas en la LOSEP (sic).</w:t>
      </w:r>
    </w:p>
    <w:p w14:paraId="4F67B071" w14:textId="77777777" w:rsidR="00591D54" w:rsidRDefault="00591D54">
      <w:pPr>
        <w:shd w:val="clear" w:color="auto" w:fill="FFFFFF"/>
        <w:spacing w:before="197"/>
      </w:pPr>
      <w:r>
        <w:rPr>
          <w:b/>
          <w:bCs/>
          <w:spacing w:val="-6"/>
          <w:sz w:val="18"/>
          <w:szCs w:val="18"/>
          <w:lang w:val="es-ES_tradnl"/>
        </w:rPr>
        <w:t>Procuradur</w:t>
      </w:r>
      <w:r>
        <w:rPr>
          <w:rFonts w:cs="Times New Roman"/>
          <w:b/>
          <w:bCs/>
          <w:spacing w:val="-6"/>
          <w:sz w:val="18"/>
          <w:szCs w:val="18"/>
          <w:lang w:val="es-ES_tradnl"/>
        </w:rPr>
        <w:t>í</w:t>
      </w:r>
      <w:r>
        <w:rPr>
          <w:b/>
          <w:bCs/>
          <w:spacing w:val="-6"/>
          <w:sz w:val="18"/>
          <w:szCs w:val="18"/>
          <w:lang w:val="es-ES_tradnl"/>
        </w:rPr>
        <w:t>a General del Estado</w:t>
      </w:r>
    </w:p>
    <w:p w14:paraId="4F67B072" w14:textId="77777777" w:rsidR="00591D54" w:rsidRDefault="00591D54">
      <w:pPr>
        <w:shd w:val="clear" w:color="auto" w:fill="FFFFFF"/>
        <w:spacing w:before="192" w:line="216" w:lineRule="exact"/>
        <w:jc w:val="both"/>
      </w:pPr>
      <w:r>
        <w:rPr>
          <w:spacing w:val="-3"/>
          <w:sz w:val="18"/>
          <w:szCs w:val="18"/>
          <w:lang w:val="es-ES_tradnl"/>
        </w:rPr>
        <w:t xml:space="preserve">Comparece el abogado Marcos Arteaga Valenzuela, </w:t>
      </w:r>
      <w:r>
        <w:rPr>
          <w:spacing w:val="-5"/>
          <w:sz w:val="18"/>
          <w:szCs w:val="18"/>
          <w:lang w:val="es-ES_tradnl"/>
        </w:rPr>
        <w:t xml:space="preserve">director nacional de Patrocinio, delegado del procurador </w:t>
      </w:r>
      <w:r>
        <w:rPr>
          <w:spacing w:val="-6"/>
          <w:sz w:val="18"/>
          <w:szCs w:val="18"/>
          <w:lang w:val="es-ES_tradnl"/>
        </w:rPr>
        <w:t xml:space="preserve">general del Estado, mediante escrito ingresado el 27 de </w:t>
      </w:r>
      <w:r>
        <w:rPr>
          <w:spacing w:val="-8"/>
          <w:sz w:val="18"/>
          <w:szCs w:val="18"/>
          <w:lang w:val="es-ES_tradnl"/>
        </w:rPr>
        <w:t xml:space="preserve">abril de 2015 a las 14h02 y en lo principal, manifiesta: </w:t>
      </w:r>
      <w:r>
        <w:rPr>
          <w:rFonts w:cs="Times New Roman"/>
          <w:spacing w:val="-8"/>
          <w:sz w:val="18"/>
          <w:szCs w:val="18"/>
          <w:lang w:val="es-ES_tradnl"/>
        </w:rPr>
        <w:t>“</w:t>
      </w:r>
      <w:r>
        <w:rPr>
          <w:spacing w:val="-8"/>
          <w:sz w:val="18"/>
          <w:szCs w:val="18"/>
          <w:lang w:val="es-ES_tradnl"/>
        </w:rPr>
        <w:t>(</w:t>
      </w:r>
      <w:r>
        <w:rPr>
          <w:rFonts w:cs="Times New Roman"/>
          <w:spacing w:val="-8"/>
          <w:sz w:val="18"/>
          <w:szCs w:val="18"/>
          <w:lang w:val="es-ES_tradnl"/>
        </w:rPr>
        <w:t>…</w:t>
      </w:r>
      <w:r>
        <w:rPr>
          <w:spacing w:val="-8"/>
          <w:sz w:val="18"/>
          <w:szCs w:val="18"/>
          <w:lang w:val="es-ES_tradnl"/>
        </w:rPr>
        <w:t xml:space="preserve">) </w:t>
      </w:r>
      <w:r>
        <w:rPr>
          <w:spacing w:val="-7"/>
          <w:sz w:val="18"/>
          <w:szCs w:val="18"/>
          <w:lang w:val="es-ES_tradnl"/>
        </w:rPr>
        <w:t>Se</w:t>
      </w:r>
      <w:r>
        <w:rPr>
          <w:rFonts w:cs="Times New Roman"/>
          <w:spacing w:val="-7"/>
          <w:sz w:val="18"/>
          <w:szCs w:val="18"/>
          <w:lang w:val="es-ES_tradnl"/>
        </w:rPr>
        <w:t>ñ</w:t>
      </w:r>
      <w:r>
        <w:rPr>
          <w:spacing w:val="-7"/>
          <w:sz w:val="18"/>
          <w:szCs w:val="18"/>
          <w:lang w:val="es-ES_tradnl"/>
        </w:rPr>
        <w:t xml:space="preserve">alo para futuras notificaciones la casilla constitucional </w:t>
      </w:r>
      <w:r>
        <w:rPr>
          <w:spacing w:val="-8"/>
          <w:sz w:val="18"/>
          <w:szCs w:val="18"/>
          <w:lang w:val="es-ES_tradnl"/>
        </w:rPr>
        <w:t>No. 018. Adjunto copia certificada de la acci</w:t>
      </w:r>
      <w:r>
        <w:rPr>
          <w:rFonts w:cs="Times New Roman"/>
          <w:spacing w:val="-8"/>
          <w:sz w:val="18"/>
          <w:szCs w:val="18"/>
          <w:lang w:val="es-ES_tradnl"/>
        </w:rPr>
        <w:t>ó</w:t>
      </w:r>
      <w:r>
        <w:rPr>
          <w:spacing w:val="-8"/>
          <w:sz w:val="18"/>
          <w:szCs w:val="18"/>
          <w:lang w:val="es-ES_tradnl"/>
        </w:rPr>
        <w:t xml:space="preserve">n de personal </w:t>
      </w:r>
      <w:r>
        <w:rPr>
          <w:spacing w:val="-7"/>
          <w:sz w:val="18"/>
          <w:szCs w:val="18"/>
          <w:lang w:val="es-ES_tradnl"/>
        </w:rPr>
        <w:t>que acredita la calidad en que comparezco</w:t>
      </w:r>
      <w:r>
        <w:rPr>
          <w:rFonts w:cs="Times New Roman"/>
          <w:spacing w:val="-7"/>
          <w:sz w:val="18"/>
          <w:szCs w:val="18"/>
          <w:lang w:val="es-ES_tradnl"/>
        </w:rPr>
        <w:t>”</w:t>
      </w:r>
      <w:r>
        <w:rPr>
          <w:spacing w:val="-7"/>
          <w:sz w:val="18"/>
          <w:szCs w:val="18"/>
          <w:lang w:val="es-ES_tradnl"/>
        </w:rPr>
        <w:t>.</w:t>
      </w:r>
    </w:p>
    <w:p w14:paraId="4F67B073" w14:textId="77777777" w:rsidR="00591D54" w:rsidRDefault="00591D54">
      <w:pPr>
        <w:shd w:val="clear" w:color="auto" w:fill="FFFFFF"/>
        <w:spacing w:before="192" w:line="216" w:lineRule="exact"/>
        <w:jc w:val="both"/>
      </w:pPr>
      <w:r>
        <w:rPr>
          <w:spacing w:val="-10"/>
          <w:sz w:val="18"/>
          <w:szCs w:val="18"/>
          <w:lang w:val="es-ES_tradnl"/>
        </w:rPr>
        <w:t xml:space="preserve">No emite pronunciamiento alguno sobre los fundamentos de </w:t>
      </w:r>
      <w:r>
        <w:rPr>
          <w:spacing w:val="-7"/>
          <w:sz w:val="18"/>
          <w:szCs w:val="18"/>
          <w:lang w:val="es-ES_tradnl"/>
        </w:rPr>
        <w:t>la presente acci</w:t>
      </w:r>
      <w:r>
        <w:rPr>
          <w:rFonts w:cs="Times New Roman"/>
          <w:spacing w:val="-7"/>
          <w:sz w:val="18"/>
          <w:szCs w:val="18"/>
          <w:lang w:val="es-ES_tradnl"/>
        </w:rPr>
        <w:t>ó</w:t>
      </w:r>
      <w:r>
        <w:rPr>
          <w:spacing w:val="-7"/>
          <w:sz w:val="18"/>
          <w:szCs w:val="18"/>
          <w:lang w:val="es-ES_tradnl"/>
        </w:rPr>
        <w:t>n (fojas 17 del expediente constitucional).</w:t>
      </w:r>
    </w:p>
    <w:p w14:paraId="4F67B074" w14:textId="77777777" w:rsidR="00591D54" w:rsidRDefault="00591D54">
      <w:pPr>
        <w:shd w:val="clear" w:color="auto" w:fill="FFFFFF"/>
        <w:spacing w:before="187" w:line="216" w:lineRule="exact"/>
        <w:ind w:left="677" w:hanging="360"/>
      </w:pPr>
      <w:r>
        <w:rPr>
          <w:b/>
          <w:bCs/>
          <w:sz w:val="18"/>
          <w:szCs w:val="18"/>
          <w:lang w:val="es-ES_tradnl"/>
        </w:rPr>
        <w:t>II. CONSIDERACIONES Y FUNDAMENTOS DE LA CORTE CONSTITUCIONAL</w:t>
      </w:r>
    </w:p>
    <w:p w14:paraId="4F67B075" w14:textId="77777777" w:rsidR="00591D54" w:rsidRDefault="00591D54">
      <w:pPr>
        <w:shd w:val="clear" w:color="auto" w:fill="FFFFFF"/>
        <w:spacing w:before="192"/>
      </w:pPr>
      <w:r>
        <w:rPr>
          <w:b/>
          <w:bCs/>
          <w:spacing w:val="-10"/>
          <w:sz w:val="18"/>
          <w:szCs w:val="18"/>
          <w:lang w:val="es-ES_tradnl"/>
        </w:rPr>
        <w:t>Competencia</w:t>
      </w:r>
    </w:p>
    <w:p w14:paraId="4F67B076" w14:textId="77777777" w:rsidR="00591D54" w:rsidRDefault="00591D54">
      <w:pPr>
        <w:shd w:val="clear" w:color="auto" w:fill="FFFFFF"/>
        <w:spacing w:before="197" w:line="216" w:lineRule="exact"/>
        <w:jc w:val="both"/>
      </w:pPr>
      <w:r>
        <w:rPr>
          <w:spacing w:val="-6"/>
          <w:sz w:val="18"/>
          <w:szCs w:val="18"/>
          <w:lang w:val="es-ES_tradnl"/>
        </w:rPr>
        <w:t>La Corte Constitucional es competente para conocer y resolver sobre las acciones extraordinarias de protecci</w:t>
      </w:r>
      <w:r>
        <w:rPr>
          <w:rFonts w:cs="Times New Roman"/>
          <w:spacing w:val="-6"/>
          <w:sz w:val="18"/>
          <w:szCs w:val="18"/>
          <w:lang w:val="es-ES_tradnl"/>
        </w:rPr>
        <w:t>ó</w:t>
      </w:r>
      <w:r>
        <w:rPr>
          <w:spacing w:val="-6"/>
          <w:sz w:val="18"/>
          <w:szCs w:val="18"/>
          <w:lang w:val="es-ES_tradnl"/>
        </w:rPr>
        <w:t xml:space="preserve">n </w:t>
      </w:r>
      <w:r>
        <w:rPr>
          <w:spacing w:val="-3"/>
          <w:sz w:val="18"/>
          <w:szCs w:val="18"/>
          <w:lang w:val="es-ES_tradnl"/>
        </w:rPr>
        <w:t>contra sentencias, autos definitivos y resoluciones con</w:t>
      </w:r>
    </w:p>
    <w:p w14:paraId="4F67B077" w14:textId="77777777" w:rsidR="00591D54" w:rsidRDefault="00591D54">
      <w:pPr>
        <w:shd w:val="clear" w:color="auto" w:fill="FFFFFF"/>
        <w:spacing w:before="197" w:line="216" w:lineRule="exact"/>
        <w:jc w:val="both"/>
        <w:sectPr w:rsidR="00591D54">
          <w:type w:val="continuous"/>
          <w:pgSz w:w="11909" w:h="16834"/>
          <w:pgMar w:top="1363" w:right="1309" w:bottom="360" w:left="1308" w:header="720" w:footer="720" w:gutter="0"/>
          <w:cols w:num="2" w:space="720" w:equalWidth="0">
            <w:col w:w="4305" w:space="682"/>
            <w:col w:w="4305"/>
          </w:cols>
          <w:noEndnote/>
        </w:sectPr>
      </w:pPr>
    </w:p>
    <w:p w14:paraId="4F67B078" w14:textId="77777777" w:rsidR="00591D54" w:rsidRDefault="00591D54">
      <w:pPr>
        <w:shd w:val="clear" w:color="auto" w:fill="FFFFFF"/>
        <w:tabs>
          <w:tab w:val="left" w:pos="4814"/>
        </w:tabs>
        <w:spacing w:after="235"/>
        <w:ind w:left="14"/>
      </w:pPr>
      <w:r>
        <w:rPr>
          <w:b/>
          <w:bCs/>
          <w:sz w:val="18"/>
          <w:szCs w:val="18"/>
          <w:lang w:val="es-ES_tradnl"/>
        </w:rPr>
        <w:t xml:space="preserve">158 -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079" w14:textId="77777777" w:rsidR="00591D54" w:rsidRDefault="00591D54">
      <w:pPr>
        <w:shd w:val="clear" w:color="auto" w:fill="FFFFFF"/>
        <w:tabs>
          <w:tab w:val="left" w:pos="4814"/>
        </w:tabs>
        <w:spacing w:after="235"/>
        <w:ind w:left="14"/>
        <w:sectPr w:rsidR="00591D54">
          <w:pgSz w:w="11909" w:h="16834"/>
          <w:pgMar w:top="1356" w:right="1309" w:bottom="360" w:left="1308" w:header="720" w:footer="720" w:gutter="0"/>
          <w:cols w:space="60"/>
          <w:noEndnote/>
        </w:sectPr>
      </w:pPr>
    </w:p>
    <w:p w14:paraId="4F67B07A" w14:textId="77777777" w:rsidR="00591D54" w:rsidRDefault="00591D54">
      <w:pPr>
        <w:shd w:val="clear" w:color="auto" w:fill="FFFFFF"/>
        <w:spacing w:line="216" w:lineRule="exact"/>
        <w:jc w:val="both"/>
      </w:pPr>
      <w:r>
        <w:rPr>
          <w:spacing w:val="-7"/>
          <w:sz w:val="18"/>
          <w:szCs w:val="18"/>
          <w:lang w:val="es-ES_tradnl"/>
        </w:rPr>
        <w:t xml:space="preserve">fuerza de sentencia, de conformidad con lo previsto en los </w:t>
      </w:r>
      <w:r>
        <w:rPr>
          <w:spacing w:val="-5"/>
          <w:sz w:val="18"/>
          <w:szCs w:val="18"/>
          <w:lang w:val="es-ES_tradnl"/>
        </w:rPr>
        <w:t>art</w:t>
      </w:r>
      <w:r>
        <w:rPr>
          <w:rFonts w:cs="Times New Roman"/>
          <w:spacing w:val="-5"/>
          <w:sz w:val="18"/>
          <w:szCs w:val="18"/>
          <w:lang w:val="es-ES_tradnl"/>
        </w:rPr>
        <w:t>í</w:t>
      </w:r>
      <w:r>
        <w:rPr>
          <w:spacing w:val="-5"/>
          <w:sz w:val="18"/>
          <w:szCs w:val="18"/>
          <w:lang w:val="es-ES_tradnl"/>
        </w:rPr>
        <w:t>culos 94 y 437 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 xml:space="preserve">blica, en </w:t>
      </w:r>
      <w:r>
        <w:rPr>
          <w:spacing w:val="-7"/>
          <w:sz w:val="18"/>
          <w:szCs w:val="18"/>
          <w:lang w:val="es-ES_tradnl"/>
        </w:rPr>
        <w:t>concordancia con los art</w:t>
      </w:r>
      <w:r>
        <w:rPr>
          <w:rFonts w:cs="Times New Roman"/>
          <w:spacing w:val="-7"/>
          <w:sz w:val="18"/>
          <w:szCs w:val="18"/>
          <w:lang w:val="es-ES_tradnl"/>
        </w:rPr>
        <w:t>í</w:t>
      </w:r>
      <w:r>
        <w:rPr>
          <w:spacing w:val="-7"/>
          <w:sz w:val="18"/>
          <w:szCs w:val="18"/>
          <w:lang w:val="es-ES_tradnl"/>
        </w:rPr>
        <w:t xml:space="preserve">culos 63 y 191 numeral 2 literal </w:t>
      </w:r>
      <w:r>
        <w:rPr>
          <w:b/>
          <w:bCs/>
          <w:spacing w:val="-7"/>
          <w:sz w:val="18"/>
          <w:szCs w:val="18"/>
          <w:lang w:val="es-ES_tradnl"/>
        </w:rPr>
        <w:t xml:space="preserve">d </w:t>
      </w:r>
      <w:r>
        <w:rPr>
          <w:spacing w:val="-8"/>
          <w:sz w:val="18"/>
          <w:szCs w:val="18"/>
          <w:lang w:val="es-ES_tradnl"/>
        </w:rPr>
        <w:t>de la Ley Org</w:t>
      </w:r>
      <w:r>
        <w:rPr>
          <w:rFonts w:cs="Times New Roman"/>
          <w:spacing w:val="-8"/>
          <w:sz w:val="18"/>
          <w:szCs w:val="18"/>
          <w:lang w:val="es-ES_tradnl"/>
        </w:rPr>
        <w:t>á</w:t>
      </w:r>
      <w:r>
        <w:rPr>
          <w:spacing w:val="-8"/>
          <w:sz w:val="18"/>
          <w:szCs w:val="18"/>
          <w:lang w:val="es-ES_tradnl"/>
        </w:rPr>
        <w:t>nica de Garant</w:t>
      </w:r>
      <w:r>
        <w:rPr>
          <w:rFonts w:cs="Times New Roman"/>
          <w:spacing w:val="-8"/>
          <w:sz w:val="18"/>
          <w:szCs w:val="18"/>
          <w:lang w:val="es-ES_tradnl"/>
        </w:rPr>
        <w:t>í</w:t>
      </w:r>
      <w:r>
        <w:rPr>
          <w:spacing w:val="-8"/>
          <w:sz w:val="18"/>
          <w:szCs w:val="18"/>
          <w:lang w:val="es-ES_tradnl"/>
        </w:rPr>
        <w:t xml:space="preserve">as Jurisdiccionales y Control </w:t>
      </w:r>
      <w:r>
        <w:rPr>
          <w:spacing w:val="-4"/>
          <w:sz w:val="18"/>
          <w:szCs w:val="18"/>
          <w:lang w:val="es-ES_tradnl"/>
        </w:rPr>
        <w:t>Constitucional, de acuerdo con el art</w:t>
      </w:r>
      <w:r>
        <w:rPr>
          <w:rFonts w:cs="Times New Roman"/>
          <w:spacing w:val="-4"/>
          <w:sz w:val="18"/>
          <w:szCs w:val="18"/>
          <w:lang w:val="es-ES_tradnl"/>
        </w:rPr>
        <w:t>í</w:t>
      </w:r>
      <w:r>
        <w:rPr>
          <w:spacing w:val="-4"/>
          <w:sz w:val="18"/>
          <w:szCs w:val="18"/>
          <w:lang w:val="es-ES_tradnl"/>
        </w:rPr>
        <w:t xml:space="preserve">culo 3 numeral 8 literal </w:t>
      </w:r>
      <w:r>
        <w:rPr>
          <w:b/>
          <w:bCs/>
          <w:spacing w:val="-4"/>
          <w:sz w:val="18"/>
          <w:szCs w:val="18"/>
          <w:lang w:val="es-ES_tradnl"/>
        </w:rPr>
        <w:t xml:space="preserve">b </w:t>
      </w:r>
      <w:r>
        <w:rPr>
          <w:spacing w:val="-4"/>
          <w:sz w:val="18"/>
          <w:szCs w:val="18"/>
          <w:lang w:val="es-ES_tradnl"/>
        </w:rPr>
        <w:t>y el tercer inciso del art</w:t>
      </w:r>
      <w:r>
        <w:rPr>
          <w:rFonts w:cs="Times New Roman"/>
          <w:spacing w:val="-4"/>
          <w:sz w:val="18"/>
          <w:szCs w:val="18"/>
          <w:lang w:val="es-ES_tradnl"/>
        </w:rPr>
        <w:t>í</w:t>
      </w:r>
      <w:r>
        <w:rPr>
          <w:spacing w:val="-4"/>
          <w:sz w:val="18"/>
          <w:szCs w:val="18"/>
          <w:lang w:val="es-ES_tradnl"/>
        </w:rPr>
        <w:t xml:space="preserve">culo 35 del Reglamento </w:t>
      </w:r>
      <w:r>
        <w:rPr>
          <w:spacing w:val="-8"/>
          <w:sz w:val="18"/>
          <w:szCs w:val="18"/>
          <w:lang w:val="es-ES_tradnl"/>
        </w:rPr>
        <w:t>de Sustanciaci</w:t>
      </w:r>
      <w:r>
        <w:rPr>
          <w:rFonts w:cs="Times New Roman"/>
          <w:spacing w:val="-8"/>
          <w:sz w:val="18"/>
          <w:szCs w:val="18"/>
          <w:lang w:val="es-ES_tradnl"/>
        </w:rPr>
        <w:t>ó</w:t>
      </w:r>
      <w:r>
        <w:rPr>
          <w:spacing w:val="-8"/>
          <w:sz w:val="18"/>
          <w:szCs w:val="18"/>
          <w:lang w:val="es-ES_tradnl"/>
        </w:rPr>
        <w:t xml:space="preserve">n de Procesos de Competencia de la Corte </w:t>
      </w:r>
      <w:r>
        <w:rPr>
          <w:sz w:val="18"/>
          <w:szCs w:val="18"/>
          <w:lang w:val="es-ES_tradnl"/>
        </w:rPr>
        <w:t>Constitucional.</w:t>
      </w:r>
    </w:p>
    <w:p w14:paraId="4F67B07B" w14:textId="77777777" w:rsidR="00591D54" w:rsidRDefault="00591D54">
      <w:pPr>
        <w:shd w:val="clear" w:color="auto" w:fill="FFFFFF"/>
        <w:spacing w:before="192"/>
      </w:pPr>
      <w:r>
        <w:rPr>
          <w:b/>
          <w:bCs/>
          <w:spacing w:val="-7"/>
          <w:sz w:val="18"/>
          <w:szCs w:val="18"/>
          <w:lang w:val="es-ES_tradnl"/>
        </w:rPr>
        <w:t>Legitimaci</w:t>
      </w:r>
      <w:r>
        <w:rPr>
          <w:rFonts w:cs="Times New Roman"/>
          <w:b/>
          <w:bCs/>
          <w:spacing w:val="-7"/>
          <w:sz w:val="18"/>
          <w:szCs w:val="18"/>
          <w:lang w:val="es-ES_tradnl"/>
        </w:rPr>
        <w:t>ó</w:t>
      </w:r>
      <w:r>
        <w:rPr>
          <w:b/>
          <w:bCs/>
          <w:spacing w:val="-7"/>
          <w:sz w:val="18"/>
          <w:szCs w:val="18"/>
          <w:lang w:val="es-ES_tradnl"/>
        </w:rPr>
        <w:t>n activa</w:t>
      </w:r>
    </w:p>
    <w:p w14:paraId="4F67B07C" w14:textId="77777777" w:rsidR="00591D54" w:rsidRDefault="00591D54">
      <w:pPr>
        <w:shd w:val="clear" w:color="auto" w:fill="FFFFFF"/>
        <w:spacing w:before="197" w:line="216" w:lineRule="exact"/>
        <w:jc w:val="both"/>
      </w:pPr>
      <w:r>
        <w:rPr>
          <w:sz w:val="18"/>
          <w:szCs w:val="18"/>
          <w:lang w:val="es-ES_tradnl"/>
        </w:rPr>
        <w:t>El art</w:t>
      </w:r>
      <w:r>
        <w:rPr>
          <w:rFonts w:cs="Times New Roman"/>
          <w:sz w:val="18"/>
          <w:szCs w:val="18"/>
          <w:lang w:val="es-ES_tradnl"/>
        </w:rPr>
        <w:t>í</w:t>
      </w:r>
      <w:r>
        <w:rPr>
          <w:sz w:val="18"/>
          <w:szCs w:val="18"/>
          <w:lang w:val="es-ES_tradnl"/>
        </w:rPr>
        <w:t>culo 59 de la Ley Org</w:t>
      </w:r>
      <w:r>
        <w:rPr>
          <w:rFonts w:cs="Times New Roman"/>
          <w:sz w:val="18"/>
          <w:szCs w:val="18"/>
          <w:lang w:val="es-ES_tradnl"/>
        </w:rPr>
        <w:t>á</w:t>
      </w:r>
      <w:r>
        <w:rPr>
          <w:sz w:val="18"/>
          <w:szCs w:val="18"/>
          <w:lang w:val="es-ES_tradnl"/>
        </w:rPr>
        <w:t>nica de Garant</w:t>
      </w:r>
      <w:r>
        <w:rPr>
          <w:rFonts w:cs="Times New Roman"/>
          <w:sz w:val="18"/>
          <w:szCs w:val="18"/>
          <w:lang w:val="es-ES_tradnl"/>
        </w:rPr>
        <w:t>í</w:t>
      </w:r>
      <w:r>
        <w:rPr>
          <w:sz w:val="18"/>
          <w:szCs w:val="18"/>
          <w:lang w:val="es-ES_tradnl"/>
        </w:rPr>
        <w:t xml:space="preserve">as </w:t>
      </w:r>
      <w:r>
        <w:rPr>
          <w:spacing w:val="-3"/>
          <w:sz w:val="18"/>
          <w:szCs w:val="18"/>
          <w:lang w:val="es-ES_tradnl"/>
        </w:rPr>
        <w:t xml:space="preserve">Jurisdiccionales y Control Constitucional que dice: </w:t>
      </w:r>
      <w:r>
        <w:rPr>
          <w:rFonts w:cs="Times New Roman"/>
          <w:spacing w:val="-3"/>
          <w:sz w:val="18"/>
          <w:szCs w:val="18"/>
          <w:lang w:val="es-ES_tradnl"/>
        </w:rPr>
        <w:t>“</w:t>
      </w:r>
      <w:r>
        <w:rPr>
          <w:spacing w:val="-3"/>
          <w:sz w:val="18"/>
          <w:szCs w:val="18"/>
          <w:lang w:val="es-ES_tradnl"/>
        </w:rPr>
        <w:t xml:space="preserve">La </w:t>
      </w:r>
      <w:r>
        <w:rPr>
          <w:spacing w:val="-6"/>
          <w:sz w:val="18"/>
          <w:szCs w:val="18"/>
          <w:lang w:val="es-ES_tradnl"/>
        </w:rPr>
        <w:t>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puede ser interpuesta </w:t>
      </w:r>
      <w:r>
        <w:rPr>
          <w:spacing w:val="-10"/>
          <w:sz w:val="18"/>
          <w:szCs w:val="18"/>
          <w:lang w:val="es-ES_tradnl"/>
        </w:rPr>
        <w:t>por cualquier persona o grupo de personas que han o hayan debido ser parte en un proceso por s</w:t>
      </w:r>
      <w:r>
        <w:rPr>
          <w:rFonts w:cs="Times New Roman"/>
          <w:spacing w:val="-10"/>
          <w:sz w:val="18"/>
          <w:szCs w:val="18"/>
          <w:lang w:val="es-ES_tradnl"/>
        </w:rPr>
        <w:t>í</w:t>
      </w:r>
      <w:r>
        <w:rPr>
          <w:spacing w:val="-10"/>
          <w:sz w:val="18"/>
          <w:szCs w:val="18"/>
          <w:lang w:val="es-ES_tradnl"/>
        </w:rPr>
        <w:t xml:space="preserve"> misma o por medio de </w:t>
      </w:r>
      <w:r>
        <w:rPr>
          <w:spacing w:val="-6"/>
          <w:sz w:val="18"/>
          <w:szCs w:val="18"/>
          <w:lang w:val="es-ES_tradnl"/>
        </w:rPr>
        <w:t>procurador judicial.</w:t>
      </w:r>
      <w:r>
        <w:rPr>
          <w:rFonts w:cs="Times New Roman"/>
          <w:spacing w:val="-6"/>
          <w:sz w:val="18"/>
          <w:szCs w:val="18"/>
          <w:lang w:val="es-ES_tradnl"/>
        </w:rPr>
        <w:t>”</w:t>
      </w:r>
      <w:r>
        <w:rPr>
          <w:spacing w:val="-6"/>
          <w:sz w:val="18"/>
          <w:szCs w:val="18"/>
          <w:lang w:val="es-ES_tradnl"/>
        </w:rPr>
        <w:t xml:space="preserve"> El accionante, Jos</w:t>
      </w:r>
      <w:r>
        <w:rPr>
          <w:rFonts w:cs="Times New Roman"/>
          <w:spacing w:val="-6"/>
          <w:sz w:val="18"/>
          <w:szCs w:val="18"/>
          <w:lang w:val="es-ES_tradnl"/>
        </w:rPr>
        <w:t>é</w:t>
      </w:r>
      <w:r>
        <w:rPr>
          <w:spacing w:val="-6"/>
          <w:sz w:val="18"/>
          <w:szCs w:val="18"/>
          <w:lang w:val="es-ES_tradnl"/>
        </w:rPr>
        <w:t xml:space="preserve"> Francisco Vacas D</w:t>
      </w:r>
      <w:r>
        <w:rPr>
          <w:rFonts w:cs="Times New Roman"/>
          <w:spacing w:val="-6"/>
          <w:sz w:val="18"/>
          <w:szCs w:val="18"/>
          <w:lang w:val="es-ES_tradnl"/>
        </w:rPr>
        <w:t>á</w:t>
      </w:r>
      <w:r>
        <w:rPr>
          <w:spacing w:val="-6"/>
          <w:sz w:val="18"/>
          <w:szCs w:val="18"/>
          <w:lang w:val="es-ES_tradnl"/>
        </w:rPr>
        <w:t>vila en calidad de ministro de Relaciones Laborales se encuentra legitimado para interponer la presente acci</w:t>
      </w:r>
      <w:r>
        <w:rPr>
          <w:rFonts w:cs="Times New Roman"/>
          <w:spacing w:val="-6"/>
          <w:sz w:val="18"/>
          <w:szCs w:val="18"/>
          <w:lang w:val="es-ES_tradnl"/>
        </w:rPr>
        <w:t>ó</w:t>
      </w:r>
      <w:r>
        <w:rPr>
          <w:spacing w:val="-6"/>
          <w:sz w:val="18"/>
          <w:szCs w:val="18"/>
          <w:lang w:val="es-ES_tradnl"/>
        </w:rPr>
        <w:t xml:space="preserve">n </w:t>
      </w:r>
      <w:r>
        <w:rPr>
          <w:spacing w:val="-4"/>
          <w:sz w:val="18"/>
          <w:szCs w:val="18"/>
          <w:lang w:val="es-ES_tradnl"/>
        </w:rPr>
        <w:t>extraordinaria de protecci</w:t>
      </w:r>
      <w:r>
        <w:rPr>
          <w:rFonts w:cs="Times New Roman"/>
          <w:spacing w:val="-4"/>
          <w:sz w:val="18"/>
          <w:szCs w:val="18"/>
          <w:lang w:val="es-ES_tradnl"/>
        </w:rPr>
        <w:t>ó</w:t>
      </w:r>
      <w:r>
        <w:rPr>
          <w:spacing w:val="-4"/>
          <w:sz w:val="18"/>
          <w:szCs w:val="18"/>
          <w:lang w:val="es-ES_tradnl"/>
        </w:rPr>
        <w:t xml:space="preserve">n, en virtud de haber sido </w:t>
      </w:r>
      <w:r>
        <w:rPr>
          <w:spacing w:val="-8"/>
          <w:sz w:val="18"/>
          <w:szCs w:val="18"/>
          <w:lang w:val="es-ES_tradnl"/>
        </w:rPr>
        <w:t>expresamente demandado en la acci</w:t>
      </w:r>
      <w:r>
        <w:rPr>
          <w:rFonts w:cs="Times New Roman"/>
          <w:spacing w:val="-8"/>
          <w:sz w:val="18"/>
          <w:szCs w:val="18"/>
          <w:lang w:val="es-ES_tradnl"/>
        </w:rPr>
        <w:t>ó</w:t>
      </w:r>
      <w:r>
        <w:rPr>
          <w:spacing w:val="-8"/>
          <w:sz w:val="18"/>
          <w:szCs w:val="18"/>
          <w:lang w:val="es-ES_tradnl"/>
        </w:rPr>
        <w:t>n de protecci</w:t>
      </w:r>
      <w:r>
        <w:rPr>
          <w:rFonts w:cs="Times New Roman"/>
          <w:spacing w:val="-8"/>
          <w:sz w:val="18"/>
          <w:szCs w:val="18"/>
          <w:lang w:val="es-ES_tradnl"/>
        </w:rPr>
        <w:t>ó</w:t>
      </w:r>
      <w:r>
        <w:rPr>
          <w:spacing w:val="-8"/>
          <w:sz w:val="18"/>
          <w:szCs w:val="18"/>
          <w:lang w:val="es-ES_tradnl"/>
        </w:rPr>
        <w:t xml:space="preserve">n No. </w:t>
      </w:r>
      <w:r>
        <w:rPr>
          <w:sz w:val="18"/>
          <w:szCs w:val="18"/>
          <w:lang w:val="es-ES_tradnl"/>
        </w:rPr>
        <w:t>2012-467.</w:t>
      </w:r>
    </w:p>
    <w:p w14:paraId="4F67B07D" w14:textId="77777777" w:rsidR="00591D54" w:rsidRDefault="00591D54">
      <w:pPr>
        <w:shd w:val="clear" w:color="auto" w:fill="FFFFFF"/>
        <w:spacing w:before="192"/>
      </w:pPr>
      <w:r>
        <w:rPr>
          <w:b/>
          <w:bCs/>
          <w:spacing w:val="-8"/>
          <w:sz w:val="18"/>
          <w:szCs w:val="18"/>
          <w:lang w:val="es-ES_tradnl"/>
        </w:rPr>
        <w:t>An</w:t>
      </w:r>
      <w:r>
        <w:rPr>
          <w:rFonts w:cs="Times New Roman"/>
          <w:b/>
          <w:bCs/>
          <w:spacing w:val="-8"/>
          <w:sz w:val="18"/>
          <w:szCs w:val="18"/>
          <w:lang w:val="es-ES_tradnl"/>
        </w:rPr>
        <w:t>á</w:t>
      </w:r>
      <w:r>
        <w:rPr>
          <w:b/>
          <w:bCs/>
          <w:spacing w:val="-8"/>
          <w:sz w:val="18"/>
          <w:szCs w:val="18"/>
          <w:lang w:val="es-ES_tradnl"/>
        </w:rPr>
        <w:t>lisis Constitucional</w:t>
      </w:r>
    </w:p>
    <w:p w14:paraId="4F67B07E" w14:textId="77777777" w:rsidR="00591D54" w:rsidRDefault="00591D54">
      <w:pPr>
        <w:shd w:val="clear" w:color="auto" w:fill="FFFFFF"/>
        <w:spacing w:before="192"/>
      </w:pPr>
      <w:r>
        <w:rPr>
          <w:b/>
          <w:bCs/>
          <w:spacing w:val="-6"/>
          <w:sz w:val="18"/>
          <w:szCs w:val="18"/>
          <w:lang w:val="es-ES_tradnl"/>
        </w:rPr>
        <w:t>Finalidad de la acci</w:t>
      </w:r>
      <w:r>
        <w:rPr>
          <w:rFonts w:cs="Times New Roman"/>
          <w:b/>
          <w:bCs/>
          <w:spacing w:val="-6"/>
          <w:sz w:val="18"/>
          <w:szCs w:val="18"/>
          <w:lang w:val="es-ES_tradnl"/>
        </w:rPr>
        <w:t>ó</w:t>
      </w:r>
      <w:r>
        <w:rPr>
          <w:b/>
          <w:bCs/>
          <w:spacing w:val="-6"/>
          <w:sz w:val="18"/>
          <w:szCs w:val="18"/>
          <w:lang w:val="es-ES_tradnl"/>
        </w:rPr>
        <w:t>n extraordinaria de protecci</w:t>
      </w:r>
      <w:r>
        <w:rPr>
          <w:rFonts w:cs="Times New Roman"/>
          <w:b/>
          <w:bCs/>
          <w:spacing w:val="-6"/>
          <w:sz w:val="18"/>
          <w:szCs w:val="18"/>
          <w:lang w:val="es-ES_tradnl"/>
        </w:rPr>
        <w:t>ó</w:t>
      </w:r>
      <w:r>
        <w:rPr>
          <w:b/>
          <w:bCs/>
          <w:spacing w:val="-6"/>
          <w:sz w:val="18"/>
          <w:szCs w:val="18"/>
          <w:lang w:val="es-ES_tradnl"/>
        </w:rPr>
        <w:t>n</w:t>
      </w:r>
    </w:p>
    <w:p w14:paraId="4F67B07F" w14:textId="77777777" w:rsidR="00591D54" w:rsidRDefault="00591D54">
      <w:pPr>
        <w:shd w:val="clear" w:color="auto" w:fill="FFFFFF"/>
        <w:spacing w:before="192" w:line="216" w:lineRule="exact"/>
        <w:jc w:val="both"/>
      </w:pPr>
      <w:r>
        <w:rPr>
          <w:spacing w:val="-10"/>
          <w:sz w:val="18"/>
          <w:szCs w:val="18"/>
          <w:lang w:val="es-ES_tradnl"/>
        </w:rPr>
        <w:t>De conformidad con los art</w:t>
      </w:r>
      <w:r>
        <w:rPr>
          <w:rFonts w:cs="Times New Roman"/>
          <w:spacing w:val="-10"/>
          <w:sz w:val="18"/>
          <w:szCs w:val="18"/>
          <w:lang w:val="es-ES_tradnl"/>
        </w:rPr>
        <w:t>í</w:t>
      </w:r>
      <w:r>
        <w:rPr>
          <w:spacing w:val="-10"/>
          <w:sz w:val="18"/>
          <w:szCs w:val="18"/>
          <w:lang w:val="es-ES_tradnl"/>
        </w:rPr>
        <w:t>culos 94 y 437 de la Constituci</w:t>
      </w:r>
      <w:r>
        <w:rPr>
          <w:rFonts w:cs="Times New Roman"/>
          <w:spacing w:val="-10"/>
          <w:sz w:val="18"/>
          <w:szCs w:val="18"/>
          <w:lang w:val="es-ES_tradnl"/>
        </w:rPr>
        <w:t>ó</w:t>
      </w:r>
      <w:r>
        <w:rPr>
          <w:spacing w:val="-10"/>
          <w:sz w:val="18"/>
          <w:szCs w:val="18"/>
          <w:lang w:val="es-ES_tradnl"/>
        </w:rPr>
        <w:t xml:space="preserve">n </w:t>
      </w:r>
      <w:r>
        <w:rPr>
          <w:sz w:val="18"/>
          <w:szCs w:val="18"/>
          <w:lang w:val="es-ES_tradnl"/>
        </w:rPr>
        <w:t>de la Rep</w:t>
      </w:r>
      <w:r>
        <w:rPr>
          <w:rFonts w:cs="Times New Roman"/>
          <w:sz w:val="18"/>
          <w:szCs w:val="18"/>
          <w:lang w:val="es-ES_tradnl"/>
        </w:rPr>
        <w:t>ú</w:t>
      </w:r>
      <w:r>
        <w:rPr>
          <w:sz w:val="18"/>
          <w:szCs w:val="18"/>
          <w:lang w:val="es-ES_tradnl"/>
        </w:rPr>
        <w:t xml:space="preserve">blica del Ecuador, la Corte Constitucional </w:t>
      </w:r>
      <w:r>
        <w:rPr>
          <w:spacing w:val="-1"/>
          <w:sz w:val="18"/>
          <w:szCs w:val="18"/>
          <w:lang w:val="es-ES_tradnl"/>
        </w:rPr>
        <w:t xml:space="preserve">es el </w:t>
      </w:r>
      <w:r>
        <w:rPr>
          <w:rFonts w:cs="Times New Roman"/>
          <w:spacing w:val="-1"/>
          <w:sz w:val="18"/>
          <w:szCs w:val="18"/>
          <w:lang w:val="es-ES_tradnl"/>
        </w:rPr>
        <w:t>ó</w:t>
      </w:r>
      <w:r>
        <w:rPr>
          <w:spacing w:val="-1"/>
          <w:sz w:val="18"/>
          <w:szCs w:val="18"/>
          <w:lang w:val="es-ES_tradnl"/>
        </w:rPr>
        <w:t>rgano de control constitucional id</w:t>
      </w:r>
      <w:r>
        <w:rPr>
          <w:rFonts w:cs="Times New Roman"/>
          <w:spacing w:val="-1"/>
          <w:sz w:val="18"/>
          <w:szCs w:val="18"/>
          <w:lang w:val="es-ES_tradnl"/>
        </w:rPr>
        <w:t>ó</w:t>
      </w:r>
      <w:r>
        <w:rPr>
          <w:spacing w:val="-1"/>
          <w:sz w:val="18"/>
          <w:szCs w:val="18"/>
          <w:lang w:val="es-ES_tradnl"/>
        </w:rPr>
        <w:t xml:space="preserve">neo, para </w:t>
      </w:r>
      <w:r>
        <w:rPr>
          <w:spacing w:val="-7"/>
          <w:sz w:val="18"/>
          <w:szCs w:val="18"/>
          <w:lang w:val="es-ES_tradnl"/>
        </w:rPr>
        <w:t>examinar mediante acci</w:t>
      </w:r>
      <w:r>
        <w:rPr>
          <w:rFonts w:cs="Times New Roman"/>
          <w:spacing w:val="-7"/>
          <w:sz w:val="18"/>
          <w:szCs w:val="18"/>
          <w:lang w:val="es-ES_tradnl"/>
        </w:rPr>
        <w:t>ó</w:t>
      </w:r>
      <w:r>
        <w:rPr>
          <w:spacing w:val="-7"/>
          <w:sz w:val="18"/>
          <w:szCs w:val="18"/>
          <w:lang w:val="es-ES_tradnl"/>
        </w:rPr>
        <w:t>n extraordinaria de protecci</w:t>
      </w:r>
      <w:r>
        <w:rPr>
          <w:rFonts w:cs="Times New Roman"/>
          <w:spacing w:val="-7"/>
          <w:sz w:val="18"/>
          <w:szCs w:val="18"/>
          <w:lang w:val="es-ES_tradnl"/>
        </w:rPr>
        <w:t>ó</w:t>
      </w:r>
      <w:r>
        <w:rPr>
          <w:spacing w:val="-7"/>
          <w:sz w:val="18"/>
          <w:szCs w:val="18"/>
          <w:lang w:val="es-ES_tradnl"/>
        </w:rPr>
        <w:t xml:space="preserve">n las </w:t>
      </w:r>
      <w:r>
        <w:rPr>
          <w:spacing w:val="-8"/>
          <w:sz w:val="18"/>
          <w:szCs w:val="18"/>
          <w:lang w:val="es-ES_tradnl"/>
        </w:rPr>
        <w:t xml:space="preserve">sentencias, autos en firmes o ejecutoriados expedidos por </w:t>
      </w:r>
      <w:r>
        <w:rPr>
          <w:spacing w:val="-6"/>
          <w:sz w:val="18"/>
          <w:szCs w:val="18"/>
          <w:lang w:val="es-ES_tradnl"/>
        </w:rPr>
        <w:t xml:space="preserve">los jueces ordinarios y constitucionales con el objetivo de verificar si se han vulnerado derechos constitucionales o </w:t>
      </w:r>
      <w:r>
        <w:rPr>
          <w:spacing w:val="-7"/>
          <w:sz w:val="18"/>
          <w:szCs w:val="18"/>
          <w:lang w:val="es-ES_tradnl"/>
        </w:rPr>
        <w:t xml:space="preserve">normas del debido proceso, a fin de alcanzar un equilibrio </w:t>
      </w:r>
      <w:r>
        <w:rPr>
          <w:spacing w:val="-6"/>
          <w:sz w:val="18"/>
          <w:szCs w:val="18"/>
          <w:lang w:val="es-ES_tradnl"/>
        </w:rPr>
        <w:t>razonable que permita mantener la seguridad jur</w:t>
      </w:r>
      <w:r>
        <w:rPr>
          <w:rFonts w:cs="Times New Roman"/>
          <w:spacing w:val="-6"/>
          <w:sz w:val="18"/>
          <w:szCs w:val="18"/>
          <w:lang w:val="es-ES_tradnl"/>
        </w:rPr>
        <w:t>í</w:t>
      </w:r>
      <w:r>
        <w:rPr>
          <w:spacing w:val="-6"/>
          <w:sz w:val="18"/>
          <w:szCs w:val="18"/>
          <w:lang w:val="es-ES_tradnl"/>
        </w:rPr>
        <w:t xml:space="preserve">dica, </w:t>
      </w:r>
      <w:r>
        <w:rPr>
          <w:spacing w:val="-7"/>
          <w:sz w:val="18"/>
          <w:szCs w:val="18"/>
          <w:lang w:val="es-ES_tradnl"/>
        </w:rPr>
        <w:t>vinculada con el respeto a la autonom</w:t>
      </w:r>
      <w:r>
        <w:rPr>
          <w:rFonts w:cs="Times New Roman"/>
          <w:spacing w:val="-7"/>
          <w:sz w:val="18"/>
          <w:szCs w:val="18"/>
          <w:lang w:val="es-ES_tradnl"/>
        </w:rPr>
        <w:t>í</w:t>
      </w:r>
      <w:r>
        <w:rPr>
          <w:spacing w:val="-7"/>
          <w:sz w:val="18"/>
          <w:szCs w:val="18"/>
          <w:lang w:val="es-ES_tradnl"/>
        </w:rPr>
        <w:t>a judicial y principio de especialidad, en raz</w:t>
      </w:r>
      <w:r>
        <w:rPr>
          <w:rFonts w:cs="Times New Roman"/>
          <w:spacing w:val="-7"/>
          <w:sz w:val="18"/>
          <w:szCs w:val="18"/>
          <w:lang w:val="es-ES_tradnl"/>
        </w:rPr>
        <w:t>ó</w:t>
      </w:r>
      <w:r>
        <w:rPr>
          <w:spacing w:val="-7"/>
          <w:sz w:val="18"/>
          <w:szCs w:val="18"/>
          <w:lang w:val="es-ES_tradnl"/>
        </w:rPr>
        <w:t xml:space="preserve">n de la independencia de la que </w:t>
      </w:r>
      <w:r>
        <w:rPr>
          <w:sz w:val="18"/>
          <w:szCs w:val="18"/>
          <w:lang w:val="es-ES_tradnl"/>
        </w:rPr>
        <w:t xml:space="preserve">gozan los </w:t>
      </w:r>
      <w:r>
        <w:rPr>
          <w:rFonts w:cs="Times New Roman"/>
          <w:sz w:val="18"/>
          <w:szCs w:val="18"/>
          <w:lang w:val="es-ES_tradnl"/>
        </w:rPr>
        <w:t>ó</w:t>
      </w:r>
      <w:r>
        <w:rPr>
          <w:sz w:val="18"/>
          <w:szCs w:val="18"/>
          <w:lang w:val="es-ES_tradnl"/>
        </w:rPr>
        <w:t>rganos de la funci</w:t>
      </w:r>
      <w:r>
        <w:rPr>
          <w:rFonts w:cs="Times New Roman"/>
          <w:sz w:val="18"/>
          <w:szCs w:val="18"/>
          <w:lang w:val="es-ES_tradnl"/>
        </w:rPr>
        <w:t>ó</w:t>
      </w:r>
      <w:r>
        <w:rPr>
          <w:sz w:val="18"/>
          <w:szCs w:val="18"/>
          <w:lang w:val="es-ES_tradnl"/>
        </w:rPr>
        <w:t>n judicial.</w:t>
      </w:r>
    </w:p>
    <w:p w14:paraId="4F67B080" w14:textId="77777777" w:rsidR="00591D54" w:rsidRDefault="00591D54">
      <w:pPr>
        <w:shd w:val="clear" w:color="auto" w:fill="FFFFFF"/>
        <w:spacing w:before="192" w:line="216" w:lineRule="exact"/>
        <w:jc w:val="both"/>
      </w:pPr>
      <w:r>
        <w:rPr>
          <w:spacing w:val="-4"/>
          <w:sz w:val="18"/>
          <w:szCs w:val="18"/>
          <w:lang w:val="es-ES_tradnl"/>
        </w:rPr>
        <w:t>El objetivo principal de esta garant</w:t>
      </w:r>
      <w:r>
        <w:rPr>
          <w:rFonts w:cs="Times New Roman"/>
          <w:spacing w:val="-4"/>
          <w:sz w:val="18"/>
          <w:szCs w:val="18"/>
          <w:lang w:val="es-ES_tradnl"/>
        </w:rPr>
        <w:t>í</w:t>
      </w:r>
      <w:r>
        <w:rPr>
          <w:spacing w:val="-4"/>
          <w:sz w:val="18"/>
          <w:szCs w:val="18"/>
          <w:lang w:val="es-ES_tradnl"/>
        </w:rPr>
        <w:t xml:space="preserve">a jurisdiccional es el </w:t>
      </w:r>
      <w:r>
        <w:rPr>
          <w:spacing w:val="-9"/>
          <w:sz w:val="18"/>
          <w:szCs w:val="18"/>
          <w:lang w:val="es-ES_tradnl"/>
        </w:rPr>
        <w:t xml:space="preserve">preservar y restablecer cualquier derecho constitucional que </w:t>
      </w:r>
      <w:r>
        <w:rPr>
          <w:spacing w:val="-8"/>
          <w:sz w:val="18"/>
          <w:szCs w:val="18"/>
          <w:lang w:val="es-ES_tradnl"/>
        </w:rPr>
        <w:t>haya sido vulnerado. De ah</w:t>
      </w:r>
      <w:r>
        <w:rPr>
          <w:rFonts w:cs="Times New Roman"/>
          <w:spacing w:val="-8"/>
          <w:sz w:val="18"/>
          <w:szCs w:val="18"/>
          <w:lang w:val="es-ES_tradnl"/>
        </w:rPr>
        <w:t>í</w:t>
      </w:r>
      <w:r>
        <w:rPr>
          <w:spacing w:val="-8"/>
          <w:sz w:val="18"/>
          <w:szCs w:val="18"/>
          <w:lang w:val="es-ES_tradnl"/>
        </w:rPr>
        <w:t xml:space="preserve"> que </w:t>
      </w:r>
      <w:r>
        <w:rPr>
          <w:rFonts w:cs="Times New Roman"/>
          <w:spacing w:val="-8"/>
          <w:sz w:val="18"/>
          <w:szCs w:val="18"/>
          <w:lang w:val="es-ES_tradnl"/>
        </w:rPr>
        <w:t>“</w:t>
      </w:r>
      <w:r>
        <w:rPr>
          <w:spacing w:val="-8"/>
          <w:sz w:val="18"/>
          <w:szCs w:val="18"/>
          <w:lang w:val="es-ES_tradnl"/>
        </w:rPr>
        <w:t>(</w:t>
      </w:r>
      <w:r>
        <w:rPr>
          <w:rFonts w:cs="Times New Roman"/>
          <w:spacing w:val="-8"/>
          <w:sz w:val="18"/>
          <w:szCs w:val="18"/>
          <w:lang w:val="es-ES_tradnl"/>
        </w:rPr>
        <w:t>…</w:t>
      </w:r>
      <w:r>
        <w:rPr>
          <w:spacing w:val="-8"/>
          <w:sz w:val="18"/>
          <w:szCs w:val="18"/>
          <w:lang w:val="es-ES_tradnl"/>
        </w:rPr>
        <w:t xml:space="preserve">) el juez constitucional </w:t>
      </w:r>
      <w:r>
        <w:rPr>
          <w:spacing w:val="-2"/>
          <w:sz w:val="18"/>
          <w:szCs w:val="18"/>
          <w:lang w:val="es-ES_tradnl"/>
        </w:rPr>
        <w:t>tiene la obligaci</w:t>
      </w:r>
      <w:r>
        <w:rPr>
          <w:rFonts w:cs="Times New Roman"/>
          <w:spacing w:val="-2"/>
          <w:sz w:val="18"/>
          <w:szCs w:val="18"/>
          <w:lang w:val="es-ES_tradnl"/>
        </w:rPr>
        <w:t>ó</w:t>
      </w:r>
      <w:r>
        <w:rPr>
          <w:spacing w:val="-2"/>
          <w:sz w:val="18"/>
          <w:szCs w:val="18"/>
          <w:lang w:val="es-ES_tradnl"/>
        </w:rPr>
        <w:t>n de examinar la descripci</w:t>
      </w:r>
      <w:r>
        <w:rPr>
          <w:rFonts w:cs="Times New Roman"/>
          <w:spacing w:val="-2"/>
          <w:sz w:val="18"/>
          <w:szCs w:val="18"/>
          <w:lang w:val="es-ES_tradnl"/>
        </w:rPr>
        <w:t>ó</w:t>
      </w:r>
      <w:r>
        <w:rPr>
          <w:spacing w:val="-2"/>
          <w:sz w:val="18"/>
          <w:szCs w:val="18"/>
          <w:lang w:val="es-ES_tradnl"/>
        </w:rPr>
        <w:t xml:space="preserve">n de los </w:t>
      </w:r>
      <w:r>
        <w:rPr>
          <w:spacing w:val="-8"/>
          <w:sz w:val="18"/>
          <w:szCs w:val="18"/>
          <w:lang w:val="es-ES_tradnl"/>
        </w:rPr>
        <w:t xml:space="preserve">hechos que ante </w:t>
      </w:r>
      <w:r>
        <w:rPr>
          <w:rFonts w:cs="Times New Roman"/>
          <w:spacing w:val="-8"/>
          <w:sz w:val="18"/>
          <w:szCs w:val="18"/>
          <w:lang w:val="es-ES_tradnl"/>
        </w:rPr>
        <w:t>é</w:t>
      </w:r>
      <w:r>
        <w:rPr>
          <w:spacing w:val="-8"/>
          <w:sz w:val="18"/>
          <w:szCs w:val="18"/>
          <w:lang w:val="es-ES_tradnl"/>
        </w:rPr>
        <w:t>l se exponen, as</w:t>
      </w:r>
      <w:r>
        <w:rPr>
          <w:rFonts w:cs="Times New Roman"/>
          <w:spacing w:val="-8"/>
          <w:sz w:val="18"/>
          <w:szCs w:val="18"/>
          <w:lang w:val="es-ES_tradnl"/>
        </w:rPr>
        <w:t>í</w:t>
      </w:r>
      <w:r>
        <w:rPr>
          <w:spacing w:val="-8"/>
          <w:sz w:val="18"/>
          <w:szCs w:val="18"/>
          <w:lang w:val="es-ES_tradnl"/>
        </w:rPr>
        <w:t xml:space="preserve"> como las pretensiones, </w:t>
      </w:r>
      <w:r>
        <w:rPr>
          <w:spacing w:val="-6"/>
          <w:sz w:val="18"/>
          <w:szCs w:val="18"/>
          <w:lang w:val="es-ES_tradnl"/>
        </w:rPr>
        <w:t>y verificar, si por sus caracter</w:t>
      </w:r>
      <w:r>
        <w:rPr>
          <w:rFonts w:cs="Times New Roman"/>
          <w:spacing w:val="-6"/>
          <w:sz w:val="18"/>
          <w:szCs w:val="18"/>
          <w:lang w:val="es-ES_tradnl"/>
        </w:rPr>
        <w:t>í</w:t>
      </w:r>
      <w:r>
        <w:rPr>
          <w:spacing w:val="-6"/>
          <w:sz w:val="18"/>
          <w:szCs w:val="18"/>
          <w:lang w:val="es-ES_tradnl"/>
        </w:rPr>
        <w:t xml:space="preserve">sticas, el caso puede ser </w:t>
      </w:r>
      <w:r>
        <w:rPr>
          <w:spacing w:val="-5"/>
          <w:sz w:val="18"/>
          <w:szCs w:val="18"/>
          <w:lang w:val="es-ES_tradnl"/>
        </w:rPr>
        <w:t>resuelto en relaci</w:t>
      </w:r>
      <w:r>
        <w:rPr>
          <w:rFonts w:cs="Times New Roman"/>
          <w:spacing w:val="-5"/>
          <w:sz w:val="18"/>
          <w:szCs w:val="18"/>
          <w:lang w:val="es-ES_tradnl"/>
        </w:rPr>
        <w:t>ó</w:t>
      </w:r>
      <w:r>
        <w:rPr>
          <w:spacing w:val="-5"/>
          <w:sz w:val="18"/>
          <w:szCs w:val="18"/>
          <w:lang w:val="es-ES_tradnl"/>
        </w:rPr>
        <w:t xml:space="preserve">n con los derechos constitucionales posiblemente afectados y con efectividad indispensable </w:t>
      </w:r>
      <w:r>
        <w:rPr>
          <w:spacing w:val="-7"/>
          <w:sz w:val="18"/>
          <w:szCs w:val="18"/>
          <w:lang w:val="es-ES_tradnl"/>
        </w:rPr>
        <w:t>para su salvaguardia</w:t>
      </w:r>
      <w:r>
        <w:rPr>
          <w:rFonts w:cs="Times New Roman"/>
          <w:spacing w:val="-7"/>
          <w:sz w:val="18"/>
          <w:szCs w:val="18"/>
          <w:lang w:val="es-ES_tradnl"/>
        </w:rPr>
        <w:t>”</w:t>
      </w:r>
      <w:r>
        <w:rPr>
          <w:spacing w:val="-7"/>
          <w:sz w:val="18"/>
          <w:szCs w:val="18"/>
          <w:vertAlign w:val="superscript"/>
          <w:lang w:val="es-ES_tradnl"/>
        </w:rPr>
        <w:t>1</w:t>
      </w:r>
      <w:r>
        <w:rPr>
          <w:spacing w:val="-7"/>
          <w:sz w:val="18"/>
          <w:szCs w:val="18"/>
          <w:lang w:val="es-ES_tradnl"/>
        </w:rPr>
        <w:t xml:space="preserve">. Estos elementos hacen posible el </w:t>
      </w:r>
      <w:r>
        <w:rPr>
          <w:spacing w:val="-5"/>
          <w:sz w:val="18"/>
          <w:szCs w:val="18"/>
          <w:lang w:val="es-ES_tradnl"/>
        </w:rPr>
        <w:t xml:space="preserve">debate en el </w:t>
      </w:r>
      <w:r>
        <w:rPr>
          <w:rFonts w:cs="Times New Roman"/>
          <w:spacing w:val="-5"/>
          <w:sz w:val="18"/>
          <w:szCs w:val="18"/>
          <w:lang w:val="es-ES_tradnl"/>
        </w:rPr>
        <w:t>á</w:t>
      </w:r>
      <w:r>
        <w:rPr>
          <w:spacing w:val="-5"/>
          <w:sz w:val="18"/>
          <w:szCs w:val="18"/>
          <w:lang w:val="es-ES_tradnl"/>
        </w:rPr>
        <w:t>mbito de la jurisdicci</w:t>
      </w:r>
      <w:r>
        <w:rPr>
          <w:rFonts w:cs="Times New Roman"/>
          <w:spacing w:val="-5"/>
          <w:sz w:val="18"/>
          <w:szCs w:val="18"/>
          <w:lang w:val="es-ES_tradnl"/>
        </w:rPr>
        <w:t>ó</w:t>
      </w:r>
      <w:r>
        <w:rPr>
          <w:spacing w:val="-5"/>
          <w:sz w:val="18"/>
          <w:szCs w:val="18"/>
          <w:lang w:val="es-ES_tradnl"/>
        </w:rPr>
        <w:t>n constitucional.</w:t>
      </w:r>
    </w:p>
    <w:p w14:paraId="4F67B081" w14:textId="77777777" w:rsidR="00591D54" w:rsidRDefault="00591D54">
      <w:pPr>
        <w:shd w:val="clear" w:color="auto" w:fill="FFFFFF"/>
        <w:spacing w:before="197" w:line="216" w:lineRule="exact"/>
        <w:jc w:val="both"/>
      </w:pPr>
      <w:r>
        <w:rPr>
          <w:spacing w:val="-6"/>
          <w:sz w:val="18"/>
          <w:szCs w:val="18"/>
          <w:lang w:val="es-ES_tradnl"/>
        </w:rPr>
        <w:t>Por lo tanto, la presente acci</w:t>
      </w:r>
      <w:r>
        <w:rPr>
          <w:rFonts w:cs="Times New Roman"/>
          <w:spacing w:val="-6"/>
          <w:sz w:val="18"/>
          <w:szCs w:val="18"/>
          <w:lang w:val="es-ES_tradnl"/>
        </w:rPr>
        <w:t>ó</w:t>
      </w:r>
      <w:r>
        <w:rPr>
          <w:spacing w:val="-6"/>
          <w:sz w:val="18"/>
          <w:szCs w:val="18"/>
          <w:lang w:val="es-ES_tradnl"/>
        </w:rPr>
        <w:t xml:space="preserve">n no constituye una nueva </w:t>
      </w:r>
      <w:r>
        <w:rPr>
          <w:spacing w:val="-1"/>
          <w:sz w:val="18"/>
          <w:szCs w:val="18"/>
          <w:lang w:val="es-ES_tradnl"/>
        </w:rPr>
        <w:t>instancia ni tiene como prop</w:t>
      </w:r>
      <w:r>
        <w:rPr>
          <w:rFonts w:cs="Times New Roman"/>
          <w:spacing w:val="-1"/>
          <w:sz w:val="18"/>
          <w:szCs w:val="18"/>
          <w:lang w:val="es-ES_tradnl"/>
        </w:rPr>
        <w:t>ó</w:t>
      </w:r>
      <w:r>
        <w:rPr>
          <w:spacing w:val="-1"/>
          <w:sz w:val="18"/>
          <w:szCs w:val="18"/>
          <w:lang w:val="es-ES_tradnl"/>
        </w:rPr>
        <w:t xml:space="preserve">sito el deslegitimar la </w:t>
      </w:r>
      <w:r>
        <w:rPr>
          <w:spacing w:val="-8"/>
          <w:sz w:val="18"/>
          <w:szCs w:val="18"/>
          <w:lang w:val="es-ES_tradnl"/>
        </w:rPr>
        <w:t>actuaci</w:t>
      </w:r>
      <w:r>
        <w:rPr>
          <w:rFonts w:cs="Times New Roman"/>
          <w:spacing w:val="-8"/>
          <w:sz w:val="18"/>
          <w:szCs w:val="18"/>
          <w:lang w:val="es-ES_tradnl"/>
        </w:rPr>
        <w:t>ó</w:t>
      </w:r>
      <w:r>
        <w:rPr>
          <w:spacing w:val="-8"/>
          <w:sz w:val="18"/>
          <w:szCs w:val="18"/>
          <w:lang w:val="es-ES_tradnl"/>
        </w:rPr>
        <w:t xml:space="preserve">n de juezas y jueces, sino, por el contrario, permite emerger un sistema de justicia caracterizado por el respeto </w:t>
      </w:r>
      <w:r>
        <w:rPr>
          <w:spacing w:val="-7"/>
          <w:sz w:val="18"/>
          <w:szCs w:val="18"/>
          <w:lang w:val="es-ES_tradnl"/>
        </w:rPr>
        <w:t>y la obediencia a las normas y principios constitucionales.</w:t>
      </w:r>
    </w:p>
    <w:p w14:paraId="4F67B082" w14:textId="77777777" w:rsidR="00591D54" w:rsidRDefault="00591D54">
      <w:pPr>
        <w:shd w:val="clear" w:color="auto" w:fill="FFFFFF"/>
        <w:spacing w:before="197" w:line="216" w:lineRule="exact"/>
        <w:jc w:val="both"/>
      </w:pPr>
      <w:r>
        <w:rPr>
          <w:spacing w:val="-6"/>
          <w:sz w:val="18"/>
          <w:szCs w:val="18"/>
          <w:lang w:val="es-ES_tradnl"/>
        </w:rPr>
        <w:t xml:space="preserve">En tal sentido, corresponde a esta Corte Constitucional </w:t>
      </w:r>
      <w:r>
        <w:rPr>
          <w:spacing w:val="-1"/>
          <w:sz w:val="18"/>
          <w:szCs w:val="18"/>
          <w:lang w:val="es-ES_tradnl"/>
        </w:rPr>
        <w:t>analizar la sentencia emitida por los jueces de la Sala</w:t>
      </w:r>
    </w:p>
    <w:p w14:paraId="4F67B083" w14:textId="77777777" w:rsidR="00591D54" w:rsidRDefault="00591D54">
      <w:pPr>
        <w:shd w:val="clear" w:color="auto" w:fill="FFFFFF"/>
        <w:spacing w:before="514" w:line="178" w:lineRule="exact"/>
        <w:ind w:left="139" w:hanging="139"/>
      </w:pPr>
      <w:r>
        <w:rPr>
          <w:sz w:val="14"/>
          <w:szCs w:val="14"/>
          <w:vertAlign w:val="superscript"/>
          <w:lang w:val="es-ES_tradnl"/>
        </w:rPr>
        <w:t>1</w:t>
      </w:r>
      <w:r>
        <w:rPr>
          <w:sz w:val="14"/>
          <w:szCs w:val="14"/>
          <w:lang w:val="es-ES_tradnl"/>
        </w:rPr>
        <w:t xml:space="preserve">  </w:t>
      </w:r>
      <w:r>
        <w:rPr>
          <w:spacing w:val="-1"/>
          <w:sz w:val="14"/>
          <w:szCs w:val="14"/>
          <w:lang w:val="es-ES_tradnl"/>
        </w:rPr>
        <w:t>Corte Constitucional del Ecuador, sentencia N.</w:t>
      </w:r>
      <w:r>
        <w:rPr>
          <w:rFonts w:cs="Times New Roman"/>
          <w:spacing w:val="-1"/>
          <w:sz w:val="14"/>
          <w:szCs w:val="14"/>
          <w:lang w:val="es-ES_tradnl"/>
        </w:rPr>
        <w:t>º</w:t>
      </w:r>
      <w:r>
        <w:rPr>
          <w:spacing w:val="-1"/>
          <w:sz w:val="14"/>
          <w:szCs w:val="14"/>
          <w:lang w:val="es-ES_tradnl"/>
        </w:rPr>
        <w:t xml:space="preserve"> 013-13-SEP-CC de </w:t>
      </w:r>
      <w:r>
        <w:rPr>
          <w:sz w:val="14"/>
          <w:szCs w:val="14"/>
          <w:lang w:val="es-ES_tradnl"/>
        </w:rPr>
        <w:t>09 de mayo de 2013, caso N.</w:t>
      </w:r>
      <w:r>
        <w:rPr>
          <w:rFonts w:cs="Times New Roman"/>
          <w:sz w:val="14"/>
          <w:szCs w:val="14"/>
          <w:lang w:val="es-ES_tradnl"/>
        </w:rPr>
        <w:t>º</w:t>
      </w:r>
      <w:r>
        <w:rPr>
          <w:sz w:val="14"/>
          <w:szCs w:val="14"/>
          <w:lang w:val="es-ES_tradnl"/>
        </w:rPr>
        <w:t xml:space="preserve"> 0991-12-EP.</w:t>
      </w:r>
    </w:p>
    <w:p w14:paraId="4F67B084" w14:textId="77777777" w:rsidR="00591D54" w:rsidRDefault="00591D54">
      <w:pPr>
        <w:shd w:val="clear" w:color="auto" w:fill="FFFFFF"/>
        <w:spacing w:line="216" w:lineRule="exact"/>
        <w:jc w:val="both"/>
      </w:pPr>
      <w:r>
        <w:br w:type="column"/>
      </w:r>
      <w:r>
        <w:rPr>
          <w:spacing w:val="-5"/>
          <w:sz w:val="18"/>
          <w:szCs w:val="18"/>
          <w:lang w:val="es-ES_tradnl"/>
        </w:rPr>
        <w:t xml:space="preserve">Especializada de lo Civil, Mercantil, Inquilinato y Materias </w:t>
      </w:r>
      <w:r>
        <w:rPr>
          <w:spacing w:val="-3"/>
          <w:sz w:val="18"/>
          <w:szCs w:val="18"/>
          <w:lang w:val="es-ES_tradnl"/>
        </w:rPr>
        <w:t>Residuales de la Corte Provincial de Justicia del Ca</w:t>
      </w:r>
      <w:r>
        <w:rPr>
          <w:rFonts w:cs="Times New Roman"/>
          <w:spacing w:val="-3"/>
          <w:sz w:val="18"/>
          <w:szCs w:val="18"/>
          <w:lang w:val="es-ES_tradnl"/>
        </w:rPr>
        <w:t>ñ</w:t>
      </w:r>
      <w:r>
        <w:rPr>
          <w:spacing w:val="-3"/>
          <w:sz w:val="18"/>
          <w:szCs w:val="18"/>
          <w:lang w:val="es-ES_tradnl"/>
        </w:rPr>
        <w:t xml:space="preserve">ar, </w:t>
      </w:r>
      <w:r>
        <w:rPr>
          <w:spacing w:val="-4"/>
          <w:sz w:val="18"/>
          <w:szCs w:val="18"/>
          <w:lang w:val="es-ES_tradnl"/>
        </w:rPr>
        <w:t>el 07 de septiembre de 2012 a las 12h20, la cual acepta el recurso de apelaci</w:t>
      </w:r>
      <w:r>
        <w:rPr>
          <w:rFonts w:cs="Times New Roman"/>
          <w:spacing w:val="-4"/>
          <w:sz w:val="18"/>
          <w:szCs w:val="18"/>
          <w:lang w:val="es-ES_tradnl"/>
        </w:rPr>
        <w:t>ó</w:t>
      </w:r>
      <w:r>
        <w:rPr>
          <w:spacing w:val="-4"/>
          <w:sz w:val="18"/>
          <w:szCs w:val="18"/>
          <w:lang w:val="es-ES_tradnl"/>
        </w:rPr>
        <w:t xml:space="preserve">n y revoca el fallo subido en grado </w:t>
      </w:r>
      <w:r>
        <w:rPr>
          <w:spacing w:val="-5"/>
          <w:sz w:val="18"/>
          <w:szCs w:val="18"/>
          <w:lang w:val="es-ES_tradnl"/>
        </w:rPr>
        <w:t>y ordena la rehabilitaci</w:t>
      </w:r>
      <w:r>
        <w:rPr>
          <w:rFonts w:cs="Times New Roman"/>
          <w:spacing w:val="-5"/>
          <w:sz w:val="18"/>
          <w:szCs w:val="18"/>
          <w:lang w:val="es-ES_tradnl"/>
        </w:rPr>
        <w:t>ó</w:t>
      </w:r>
      <w:r>
        <w:rPr>
          <w:spacing w:val="-5"/>
          <w:sz w:val="18"/>
          <w:szCs w:val="18"/>
          <w:lang w:val="es-ES_tradnl"/>
        </w:rPr>
        <w:t>n de la se</w:t>
      </w:r>
      <w:r>
        <w:rPr>
          <w:rFonts w:cs="Times New Roman"/>
          <w:spacing w:val="-5"/>
          <w:sz w:val="18"/>
          <w:szCs w:val="18"/>
          <w:lang w:val="es-ES_tradnl"/>
        </w:rPr>
        <w:t>ñ</w:t>
      </w:r>
      <w:r>
        <w:rPr>
          <w:spacing w:val="-5"/>
          <w:sz w:val="18"/>
          <w:szCs w:val="18"/>
          <w:lang w:val="es-ES_tradnl"/>
        </w:rPr>
        <w:t xml:space="preserve">ora Ruth Germania </w:t>
      </w:r>
      <w:r>
        <w:rPr>
          <w:spacing w:val="-6"/>
          <w:sz w:val="18"/>
          <w:szCs w:val="18"/>
          <w:lang w:val="es-ES_tradnl"/>
        </w:rPr>
        <w:t>Guti</w:t>
      </w:r>
      <w:r>
        <w:rPr>
          <w:rFonts w:cs="Times New Roman"/>
          <w:spacing w:val="-6"/>
          <w:sz w:val="18"/>
          <w:szCs w:val="18"/>
          <w:lang w:val="es-ES_tradnl"/>
        </w:rPr>
        <w:t>é</w:t>
      </w:r>
      <w:r>
        <w:rPr>
          <w:spacing w:val="-6"/>
          <w:sz w:val="18"/>
          <w:szCs w:val="18"/>
          <w:lang w:val="es-ES_tradnl"/>
        </w:rPr>
        <w:t>rrez Ortega para ejercer cargo p</w:t>
      </w:r>
      <w:r>
        <w:rPr>
          <w:rFonts w:cs="Times New Roman"/>
          <w:spacing w:val="-6"/>
          <w:sz w:val="18"/>
          <w:szCs w:val="18"/>
          <w:lang w:val="es-ES_tradnl"/>
        </w:rPr>
        <w:t>ú</w:t>
      </w:r>
      <w:r>
        <w:rPr>
          <w:spacing w:val="-6"/>
          <w:sz w:val="18"/>
          <w:szCs w:val="18"/>
          <w:lang w:val="es-ES_tradnl"/>
        </w:rPr>
        <w:t xml:space="preserve">blico no debiendo </w:t>
      </w:r>
      <w:r>
        <w:rPr>
          <w:spacing w:val="-7"/>
          <w:sz w:val="18"/>
          <w:szCs w:val="18"/>
          <w:lang w:val="es-ES_tradnl"/>
        </w:rPr>
        <w:t>devolver compensaci</w:t>
      </w:r>
      <w:r>
        <w:rPr>
          <w:rFonts w:cs="Times New Roman"/>
          <w:spacing w:val="-7"/>
          <w:sz w:val="18"/>
          <w:szCs w:val="18"/>
          <w:lang w:val="es-ES_tradnl"/>
        </w:rPr>
        <w:t>ó</w:t>
      </w:r>
      <w:r>
        <w:rPr>
          <w:spacing w:val="-7"/>
          <w:sz w:val="18"/>
          <w:szCs w:val="18"/>
          <w:lang w:val="es-ES_tradnl"/>
        </w:rPr>
        <w:t xml:space="preserve">n alguna por su reintegro al servicio </w:t>
      </w:r>
      <w:r>
        <w:rPr>
          <w:sz w:val="18"/>
          <w:szCs w:val="18"/>
          <w:lang w:val="es-ES_tradnl"/>
        </w:rPr>
        <w:t>p</w:t>
      </w:r>
      <w:r>
        <w:rPr>
          <w:rFonts w:cs="Times New Roman"/>
          <w:sz w:val="18"/>
          <w:szCs w:val="18"/>
          <w:lang w:val="es-ES_tradnl"/>
        </w:rPr>
        <w:t>ú</w:t>
      </w:r>
      <w:r>
        <w:rPr>
          <w:sz w:val="18"/>
          <w:szCs w:val="18"/>
          <w:lang w:val="es-ES_tradnl"/>
        </w:rPr>
        <w:t>blico.</w:t>
      </w:r>
    </w:p>
    <w:p w14:paraId="4F67B085" w14:textId="77777777" w:rsidR="00591D54" w:rsidRDefault="00591D54">
      <w:pPr>
        <w:shd w:val="clear" w:color="auto" w:fill="FFFFFF"/>
        <w:spacing w:before="197"/>
      </w:pPr>
      <w:r>
        <w:rPr>
          <w:b/>
          <w:bCs/>
          <w:spacing w:val="-7"/>
          <w:sz w:val="18"/>
          <w:szCs w:val="18"/>
          <w:lang w:val="es-ES_tradnl"/>
        </w:rPr>
        <w:t>Identificaci</w:t>
      </w:r>
      <w:r>
        <w:rPr>
          <w:rFonts w:cs="Times New Roman"/>
          <w:b/>
          <w:bCs/>
          <w:spacing w:val="-7"/>
          <w:sz w:val="18"/>
          <w:szCs w:val="18"/>
          <w:lang w:val="es-ES_tradnl"/>
        </w:rPr>
        <w:t>ó</w:t>
      </w:r>
      <w:r>
        <w:rPr>
          <w:b/>
          <w:bCs/>
          <w:spacing w:val="-7"/>
          <w:sz w:val="18"/>
          <w:szCs w:val="18"/>
          <w:lang w:val="es-ES_tradnl"/>
        </w:rPr>
        <w:t>n del problema jur</w:t>
      </w:r>
      <w:r>
        <w:rPr>
          <w:rFonts w:cs="Times New Roman"/>
          <w:b/>
          <w:bCs/>
          <w:spacing w:val="-7"/>
          <w:sz w:val="18"/>
          <w:szCs w:val="18"/>
          <w:lang w:val="es-ES_tradnl"/>
        </w:rPr>
        <w:t>í</w:t>
      </w:r>
      <w:r>
        <w:rPr>
          <w:b/>
          <w:bCs/>
          <w:spacing w:val="-7"/>
          <w:sz w:val="18"/>
          <w:szCs w:val="18"/>
          <w:lang w:val="es-ES_tradnl"/>
        </w:rPr>
        <w:t>dico</w:t>
      </w:r>
    </w:p>
    <w:p w14:paraId="4F67B086" w14:textId="77777777" w:rsidR="00591D54" w:rsidRDefault="00591D54">
      <w:pPr>
        <w:shd w:val="clear" w:color="auto" w:fill="FFFFFF"/>
        <w:spacing w:before="192" w:line="216" w:lineRule="exact"/>
        <w:jc w:val="both"/>
      </w:pPr>
      <w:r>
        <w:rPr>
          <w:spacing w:val="-10"/>
          <w:sz w:val="18"/>
          <w:szCs w:val="18"/>
          <w:lang w:val="es-ES_tradnl"/>
        </w:rPr>
        <w:t>Dentro del an</w:t>
      </w:r>
      <w:r>
        <w:rPr>
          <w:rFonts w:cs="Times New Roman"/>
          <w:spacing w:val="-10"/>
          <w:sz w:val="18"/>
          <w:szCs w:val="18"/>
          <w:lang w:val="es-ES_tradnl"/>
        </w:rPr>
        <w:t>á</w:t>
      </w:r>
      <w:r>
        <w:rPr>
          <w:spacing w:val="-10"/>
          <w:sz w:val="18"/>
          <w:szCs w:val="18"/>
          <w:lang w:val="es-ES_tradnl"/>
        </w:rPr>
        <w:t xml:space="preserve">lisis del caso </w:t>
      </w:r>
      <w:r>
        <w:rPr>
          <w:i/>
          <w:iCs/>
          <w:spacing w:val="-10"/>
          <w:sz w:val="18"/>
          <w:szCs w:val="18"/>
          <w:lang w:val="es-ES_tradnl"/>
        </w:rPr>
        <w:t xml:space="preserve">sub examine </w:t>
      </w:r>
      <w:r>
        <w:rPr>
          <w:spacing w:val="-10"/>
          <w:sz w:val="18"/>
          <w:szCs w:val="18"/>
          <w:lang w:val="es-ES_tradnl"/>
        </w:rPr>
        <w:t xml:space="preserve">se ha determinado </w:t>
      </w:r>
      <w:r>
        <w:rPr>
          <w:spacing w:val="-5"/>
          <w:sz w:val="18"/>
          <w:szCs w:val="18"/>
          <w:lang w:val="es-ES_tradnl"/>
        </w:rPr>
        <w:t>el siguiente problema jur</w:t>
      </w:r>
      <w:r>
        <w:rPr>
          <w:rFonts w:cs="Times New Roman"/>
          <w:spacing w:val="-5"/>
          <w:sz w:val="18"/>
          <w:szCs w:val="18"/>
          <w:lang w:val="es-ES_tradnl"/>
        </w:rPr>
        <w:t>í</w:t>
      </w:r>
      <w:r>
        <w:rPr>
          <w:spacing w:val="-5"/>
          <w:sz w:val="18"/>
          <w:szCs w:val="18"/>
          <w:lang w:val="es-ES_tradnl"/>
        </w:rPr>
        <w:t xml:space="preserve">dico a ser resuelto por la Corte </w:t>
      </w:r>
      <w:r>
        <w:rPr>
          <w:sz w:val="18"/>
          <w:szCs w:val="18"/>
          <w:lang w:val="es-ES_tradnl"/>
        </w:rPr>
        <w:t>Constitucional del Ecuador:</w:t>
      </w:r>
    </w:p>
    <w:p w14:paraId="4F67B087" w14:textId="77777777" w:rsidR="00591D54" w:rsidRDefault="00591D54">
      <w:pPr>
        <w:shd w:val="clear" w:color="auto" w:fill="FFFFFF"/>
        <w:spacing w:before="197" w:line="216" w:lineRule="exact"/>
        <w:jc w:val="both"/>
      </w:pPr>
      <w:r>
        <w:rPr>
          <w:b/>
          <w:bCs/>
          <w:spacing w:val="-8"/>
          <w:sz w:val="18"/>
          <w:szCs w:val="18"/>
          <w:lang w:val="es-ES_tradnl"/>
        </w:rPr>
        <w:t xml:space="preserve">La sentencia emitida el 07 de septiembre de 2012 a las </w:t>
      </w:r>
      <w:r>
        <w:rPr>
          <w:b/>
          <w:bCs/>
          <w:spacing w:val="-6"/>
          <w:sz w:val="18"/>
          <w:szCs w:val="18"/>
          <w:lang w:val="es-ES_tradnl"/>
        </w:rPr>
        <w:t xml:space="preserve">12h20, por los jueces de la Sala Especializada de lo </w:t>
      </w:r>
      <w:r>
        <w:rPr>
          <w:b/>
          <w:bCs/>
          <w:spacing w:val="-4"/>
          <w:sz w:val="18"/>
          <w:szCs w:val="18"/>
          <w:lang w:val="es-ES_tradnl"/>
        </w:rPr>
        <w:t xml:space="preserve">Civil, Mercantil, Inquilinato y Materias Residuales de </w:t>
      </w:r>
      <w:r>
        <w:rPr>
          <w:b/>
          <w:bCs/>
          <w:spacing w:val="-8"/>
          <w:sz w:val="18"/>
          <w:szCs w:val="18"/>
          <w:lang w:val="es-ES_tradnl"/>
        </w:rPr>
        <w:t>la Corte Provincial de Justicia del Ca</w:t>
      </w:r>
      <w:r>
        <w:rPr>
          <w:rFonts w:cs="Times New Roman"/>
          <w:b/>
          <w:bCs/>
          <w:spacing w:val="-8"/>
          <w:sz w:val="18"/>
          <w:szCs w:val="18"/>
          <w:lang w:val="es-ES_tradnl"/>
        </w:rPr>
        <w:t>ñ</w:t>
      </w:r>
      <w:r>
        <w:rPr>
          <w:b/>
          <w:bCs/>
          <w:spacing w:val="-8"/>
          <w:sz w:val="18"/>
          <w:szCs w:val="18"/>
          <w:lang w:val="es-ES_tradnl"/>
        </w:rPr>
        <w:t>ar, la cual acept</w:t>
      </w:r>
      <w:r>
        <w:rPr>
          <w:rFonts w:cs="Times New Roman"/>
          <w:b/>
          <w:bCs/>
          <w:spacing w:val="-8"/>
          <w:sz w:val="18"/>
          <w:szCs w:val="18"/>
          <w:lang w:val="es-ES_tradnl"/>
        </w:rPr>
        <w:t xml:space="preserve">ó </w:t>
      </w:r>
      <w:r>
        <w:rPr>
          <w:b/>
          <w:bCs/>
          <w:spacing w:val="-8"/>
          <w:sz w:val="18"/>
          <w:szCs w:val="18"/>
          <w:lang w:val="es-ES_tradnl"/>
        </w:rPr>
        <w:t>el recurso de apelaci</w:t>
      </w:r>
      <w:r>
        <w:rPr>
          <w:rFonts w:cs="Times New Roman"/>
          <w:b/>
          <w:bCs/>
          <w:spacing w:val="-8"/>
          <w:sz w:val="18"/>
          <w:szCs w:val="18"/>
          <w:lang w:val="es-ES_tradnl"/>
        </w:rPr>
        <w:t>ó</w:t>
      </w:r>
      <w:r>
        <w:rPr>
          <w:b/>
          <w:bCs/>
          <w:spacing w:val="-8"/>
          <w:sz w:val="18"/>
          <w:szCs w:val="18"/>
          <w:lang w:val="es-ES_tradnl"/>
        </w:rPr>
        <w:t>n y orden</w:t>
      </w:r>
      <w:r>
        <w:rPr>
          <w:rFonts w:cs="Times New Roman"/>
          <w:b/>
          <w:bCs/>
          <w:spacing w:val="-8"/>
          <w:sz w:val="18"/>
          <w:szCs w:val="18"/>
          <w:lang w:val="es-ES_tradnl"/>
        </w:rPr>
        <w:t>ó</w:t>
      </w:r>
      <w:r>
        <w:rPr>
          <w:b/>
          <w:bCs/>
          <w:spacing w:val="-8"/>
          <w:sz w:val="18"/>
          <w:szCs w:val="18"/>
          <w:lang w:val="es-ES_tradnl"/>
        </w:rPr>
        <w:t xml:space="preserve"> la rehabilitaci</w:t>
      </w:r>
      <w:r>
        <w:rPr>
          <w:rFonts w:cs="Times New Roman"/>
          <w:b/>
          <w:bCs/>
          <w:spacing w:val="-8"/>
          <w:sz w:val="18"/>
          <w:szCs w:val="18"/>
          <w:lang w:val="es-ES_tradnl"/>
        </w:rPr>
        <w:t>ó</w:t>
      </w:r>
      <w:r>
        <w:rPr>
          <w:b/>
          <w:bCs/>
          <w:spacing w:val="-8"/>
          <w:sz w:val="18"/>
          <w:szCs w:val="18"/>
          <w:lang w:val="es-ES_tradnl"/>
        </w:rPr>
        <w:t xml:space="preserve">n de la </w:t>
      </w:r>
      <w:r>
        <w:rPr>
          <w:b/>
          <w:bCs/>
          <w:spacing w:val="-6"/>
          <w:sz w:val="18"/>
          <w:szCs w:val="18"/>
          <w:lang w:val="es-ES_tradnl"/>
        </w:rPr>
        <w:t>se</w:t>
      </w:r>
      <w:r>
        <w:rPr>
          <w:rFonts w:cs="Times New Roman"/>
          <w:b/>
          <w:bCs/>
          <w:spacing w:val="-6"/>
          <w:sz w:val="18"/>
          <w:szCs w:val="18"/>
          <w:lang w:val="es-ES_tradnl"/>
        </w:rPr>
        <w:t>ñ</w:t>
      </w:r>
      <w:r>
        <w:rPr>
          <w:b/>
          <w:bCs/>
          <w:spacing w:val="-6"/>
          <w:sz w:val="18"/>
          <w:szCs w:val="18"/>
          <w:lang w:val="es-ES_tradnl"/>
        </w:rPr>
        <w:t>ora Ruth Germania Guti</w:t>
      </w:r>
      <w:r>
        <w:rPr>
          <w:rFonts w:cs="Times New Roman"/>
          <w:b/>
          <w:bCs/>
          <w:spacing w:val="-6"/>
          <w:sz w:val="18"/>
          <w:szCs w:val="18"/>
          <w:lang w:val="es-ES_tradnl"/>
        </w:rPr>
        <w:t>é</w:t>
      </w:r>
      <w:r>
        <w:rPr>
          <w:b/>
          <w:bCs/>
          <w:spacing w:val="-6"/>
          <w:sz w:val="18"/>
          <w:szCs w:val="18"/>
          <w:lang w:val="es-ES_tradnl"/>
        </w:rPr>
        <w:t xml:space="preserve">rrez Ortega en el sistema del Ministerio de Relaciones Laborales, </w:t>
      </w:r>
      <w:r>
        <w:rPr>
          <w:rFonts w:cs="Times New Roman"/>
          <w:b/>
          <w:bCs/>
          <w:spacing w:val="-6"/>
          <w:sz w:val="18"/>
          <w:szCs w:val="18"/>
          <w:lang w:val="es-ES_tradnl"/>
        </w:rPr>
        <w:t>¿</w:t>
      </w:r>
      <w:r>
        <w:rPr>
          <w:b/>
          <w:bCs/>
          <w:spacing w:val="-6"/>
          <w:sz w:val="18"/>
          <w:szCs w:val="18"/>
          <w:lang w:val="es-ES_tradnl"/>
        </w:rPr>
        <w:t>vulnera el derecho a la seguridad jur</w:t>
      </w:r>
      <w:r>
        <w:rPr>
          <w:rFonts w:cs="Times New Roman"/>
          <w:b/>
          <w:bCs/>
          <w:spacing w:val="-6"/>
          <w:sz w:val="18"/>
          <w:szCs w:val="18"/>
          <w:lang w:val="es-ES_tradnl"/>
        </w:rPr>
        <w:t>í</w:t>
      </w:r>
      <w:r>
        <w:rPr>
          <w:b/>
          <w:bCs/>
          <w:spacing w:val="-6"/>
          <w:sz w:val="18"/>
          <w:szCs w:val="18"/>
          <w:lang w:val="es-ES_tradnl"/>
        </w:rPr>
        <w:t>dica prevista en el art</w:t>
      </w:r>
      <w:r>
        <w:rPr>
          <w:rFonts w:cs="Times New Roman"/>
          <w:b/>
          <w:bCs/>
          <w:spacing w:val="-6"/>
          <w:sz w:val="18"/>
          <w:szCs w:val="18"/>
          <w:lang w:val="es-ES_tradnl"/>
        </w:rPr>
        <w:t>í</w:t>
      </w:r>
      <w:r>
        <w:rPr>
          <w:b/>
          <w:bCs/>
          <w:spacing w:val="-6"/>
          <w:sz w:val="18"/>
          <w:szCs w:val="18"/>
          <w:lang w:val="es-ES_tradnl"/>
        </w:rPr>
        <w:t xml:space="preserve">culo </w:t>
      </w:r>
      <w:r>
        <w:rPr>
          <w:b/>
          <w:bCs/>
          <w:sz w:val="18"/>
          <w:szCs w:val="18"/>
          <w:lang w:val="es-ES_tradnl"/>
        </w:rPr>
        <w:t>82 de la Constituci</w:t>
      </w:r>
      <w:r>
        <w:rPr>
          <w:rFonts w:cs="Times New Roman"/>
          <w:b/>
          <w:bCs/>
          <w:sz w:val="18"/>
          <w:szCs w:val="18"/>
          <w:lang w:val="es-ES_tradnl"/>
        </w:rPr>
        <w:t>ó</w:t>
      </w:r>
      <w:r>
        <w:rPr>
          <w:b/>
          <w:bCs/>
          <w:sz w:val="18"/>
          <w:szCs w:val="18"/>
          <w:lang w:val="es-ES_tradnl"/>
        </w:rPr>
        <w:t>n de la Rep</w:t>
      </w:r>
      <w:r>
        <w:rPr>
          <w:rFonts w:cs="Times New Roman"/>
          <w:b/>
          <w:bCs/>
          <w:sz w:val="18"/>
          <w:szCs w:val="18"/>
          <w:lang w:val="es-ES_tradnl"/>
        </w:rPr>
        <w:t>ú</w:t>
      </w:r>
      <w:r>
        <w:rPr>
          <w:b/>
          <w:bCs/>
          <w:sz w:val="18"/>
          <w:szCs w:val="18"/>
          <w:lang w:val="es-ES_tradnl"/>
        </w:rPr>
        <w:t>blica?</w:t>
      </w:r>
    </w:p>
    <w:p w14:paraId="4F67B088" w14:textId="77777777" w:rsidR="00591D54" w:rsidRDefault="00591D54">
      <w:pPr>
        <w:shd w:val="clear" w:color="auto" w:fill="FFFFFF"/>
        <w:spacing w:before="202" w:line="216" w:lineRule="exact"/>
        <w:jc w:val="both"/>
      </w:pPr>
      <w:r>
        <w:rPr>
          <w:spacing w:val="-5"/>
          <w:sz w:val="18"/>
          <w:szCs w:val="18"/>
          <w:lang w:val="es-ES_tradnl"/>
        </w:rPr>
        <w:t xml:space="preserve">El representante del Ministerio de Relaciones Laborales </w:t>
      </w:r>
      <w:r>
        <w:rPr>
          <w:spacing w:val="-6"/>
          <w:sz w:val="18"/>
          <w:szCs w:val="18"/>
          <w:lang w:val="es-ES_tradnl"/>
        </w:rPr>
        <w:t xml:space="preserve">alega que los jueces de la Sala Especializada de lo Civil, </w:t>
      </w:r>
      <w:r>
        <w:rPr>
          <w:spacing w:val="-4"/>
          <w:sz w:val="18"/>
          <w:szCs w:val="18"/>
          <w:lang w:val="es-ES_tradnl"/>
        </w:rPr>
        <w:t xml:space="preserve">Mercantil, Inquilinato y Materias Residuales de la Corte </w:t>
      </w:r>
      <w:r>
        <w:rPr>
          <w:spacing w:val="-6"/>
          <w:sz w:val="18"/>
          <w:szCs w:val="18"/>
          <w:lang w:val="es-ES_tradnl"/>
        </w:rPr>
        <w:t>Provincial de Justicia del Ca</w:t>
      </w:r>
      <w:r>
        <w:rPr>
          <w:rFonts w:cs="Times New Roman"/>
          <w:spacing w:val="-6"/>
          <w:sz w:val="18"/>
          <w:szCs w:val="18"/>
          <w:lang w:val="es-ES_tradnl"/>
        </w:rPr>
        <w:t>ñ</w:t>
      </w:r>
      <w:r>
        <w:rPr>
          <w:spacing w:val="-6"/>
          <w:sz w:val="18"/>
          <w:szCs w:val="18"/>
          <w:lang w:val="es-ES_tradnl"/>
        </w:rPr>
        <w:t xml:space="preserve">ar, resolvieron el recurso de </w:t>
      </w:r>
      <w:r>
        <w:rPr>
          <w:spacing w:val="-9"/>
          <w:sz w:val="18"/>
          <w:szCs w:val="18"/>
          <w:lang w:val="es-ES_tradnl"/>
        </w:rPr>
        <w:t>apelaci</w:t>
      </w:r>
      <w:r>
        <w:rPr>
          <w:rFonts w:cs="Times New Roman"/>
          <w:spacing w:val="-9"/>
          <w:sz w:val="18"/>
          <w:szCs w:val="18"/>
          <w:lang w:val="es-ES_tradnl"/>
        </w:rPr>
        <w:t>ó</w:t>
      </w:r>
      <w:r>
        <w:rPr>
          <w:spacing w:val="-9"/>
          <w:sz w:val="18"/>
          <w:szCs w:val="18"/>
          <w:lang w:val="es-ES_tradnl"/>
        </w:rPr>
        <w:t xml:space="preserve">n, apartados de las competencias que les concede </w:t>
      </w:r>
      <w:r>
        <w:rPr>
          <w:spacing w:val="-6"/>
          <w:sz w:val="18"/>
          <w:szCs w:val="18"/>
          <w:lang w:val="es-ES_tradnl"/>
        </w:rPr>
        <w:t>la Constituci</w:t>
      </w:r>
      <w:r>
        <w:rPr>
          <w:rFonts w:cs="Times New Roman"/>
          <w:spacing w:val="-6"/>
          <w:sz w:val="18"/>
          <w:szCs w:val="18"/>
          <w:lang w:val="es-ES_tradnl"/>
        </w:rPr>
        <w:t>ó</w:t>
      </w:r>
      <w:r>
        <w:rPr>
          <w:spacing w:val="-6"/>
          <w:sz w:val="18"/>
          <w:szCs w:val="18"/>
          <w:lang w:val="es-ES_tradnl"/>
        </w:rPr>
        <w:t>n y la ley, es as</w:t>
      </w:r>
      <w:r>
        <w:rPr>
          <w:rFonts w:cs="Times New Roman"/>
          <w:spacing w:val="-6"/>
          <w:sz w:val="18"/>
          <w:szCs w:val="18"/>
          <w:lang w:val="es-ES_tradnl"/>
        </w:rPr>
        <w:t>í</w:t>
      </w:r>
      <w:r>
        <w:rPr>
          <w:spacing w:val="-6"/>
          <w:sz w:val="18"/>
          <w:szCs w:val="18"/>
          <w:lang w:val="es-ES_tradnl"/>
        </w:rPr>
        <w:t xml:space="preserve"> que presuntamente el fallo </w:t>
      </w:r>
      <w:r>
        <w:rPr>
          <w:spacing w:val="-7"/>
          <w:sz w:val="18"/>
          <w:szCs w:val="18"/>
          <w:lang w:val="es-ES_tradnl"/>
        </w:rPr>
        <w:t>cuestionado no tendr</w:t>
      </w:r>
      <w:r>
        <w:rPr>
          <w:rFonts w:cs="Times New Roman"/>
          <w:spacing w:val="-7"/>
          <w:sz w:val="18"/>
          <w:szCs w:val="18"/>
          <w:lang w:val="es-ES_tradnl"/>
        </w:rPr>
        <w:t>í</w:t>
      </w:r>
      <w:r>
        <w:rPr>
          <w:spacing w:val="-7"/>
          <w:sz w:val="18"/>
          <w:szCs w:val="18"/>
          <w:lang w:val="es-ES_tradnl"/>
        </w:rPr>
        <w:t xml:space="preserve">a asidero en la esfera constitucional </w:t>
      </w:r>
      <w:r>
        <w:rPr>
          <w:spacing w:val="-9"/>
          <w:sz w:val="18"/>
          <w:szCs w:val="18"/>
          <w:lang w:val="es-ES_tradnl"/>
        </w:rPr>
        <w:t>sino en la mera legalidad. Por lo que, a su criterio, la se</w:t>
      </w:r>
      <w:r>
        <w:rPr>
          <w:rFonts w:cs="Times New Roman"/>
          <w:spacing w:val="-9"/>
          <w:sz w:val="18"/>
          <w:szCs w:val="18"/>
          <w:lang w:val="es-ES_tradnl"/>
        </w:rPr>
        <w:t>ñ</w:t>
      </w:r>
      <w:r>
        <w:rPr>
          <w:spacing w:val="-9"/>
          <w:sz w:val="18"/>
          <w:szCs w:val="18"/>
          <w:lang w:val="es-ES_tradnl"/>
        </w:rPr>
        <w:t xml:space="preserve">ora </w:t>
      </w:r>
      <w:r>
        <w:rPr>
          <w:spacing w:val="-3"/>
          <w:sz w:val="18"/>
          <w:szCs w:val="18"/>
          <w:lang w:val="es-ES_tradnl"/>
        </w:rPr>
        <w:t>Guti</w:t>
      </w:r>
      <w:r>
        <w:rPr>
          <w:rFonts w:cs="Times New Roman"/>
          <w:spacing w:val="-3"/>
          <w:sz w:val="18"/>
          <w:szCs w:val="18"/>
          <w:lang w:val="es-ES_tradnl"/>
        </w:rPr>
        <w:t>é</w:t>
      </w:r>
      <w:r>
        <w:rPr>
          <w:spacing w:val="-3"/>
          <w:sz w:val="18"/>
          <w:szCs w:val="18"/>
          <w:lang w:val="es-ES_tradnl"/>
        </w:rPr>
        <w:t>rrez Ortega deb</w:t>
      </w:r>
      <w:r>
        <w:rPr>
          <w:rFonts w:cs="Times New Roman"/>
          <w:spacing w:val="-3"/>
          <w:sz w:val="18"/>
          <w:szCs w:val="18"/>
          <w:lang w:val="es-ES_tradnl"/>
        </w:rPr>
        <w:t>í</w:t>
      </w:r>
      <w:r>
        <w:rPr>
          <w:spacing w:val="-3"/>
          <w:sz w:val="18"/>
          <w:szCs w:val="18"/>
          <w:lang w:val="es-ES_tradnl"/>
        </w:rPr>
        <w:t xml:space="preserve">a impugnar el acto administrativo </w:t>
      </w:r>
      <w:r>
        <w:rPr>
          <w:spacing w:val="-5"/>
          <w:sz w:val="18"/>
          <w:szCs w:val="18"/>
          <w:lang w:val="es-ES_tradnl"/>
        </w:rPr>
        <w:t>en la v</w:t>
      </w:r>
      <w:r>
        <w:rPr>
          <w:rFonts w:cs="Times New Roman"/>
          <w:spacing w:val="-5"/>
          <w:sz w:val="18"/>
          <w:szCs w:val="18"/>
          <w:lang w:val="es-ES_tradnl"/>
        </w:rPr>
        <w:t>í</w:t>
      </w:r>
      <w:r>
        <w:rPr>
          <w:spacing w:val="-5"/>
          <w:sz w:val="18"/>
          <w:szCs w:val="18"/>
          <w:lang w:val="es-ES_tradnl"/>
        </w:rPr>
        <w:t xml:space="preserve">a administrativa o ante los </w:t>
      </w:r>
      <w:r>
        <w:rPr>
          <w:rFonts w:cs="Times New Roman"/>
          <w:spacing w:val="-5"/>
          <w:sz w:val="18"/>
          <w:szCs w:val="18"/>
          <w:lang w:val="es-ES_tradnl"/>
        </w:rPr>
        <w:t>ó</w:t>
      </w:r>
      <w:r>
        <w:rPr>
          <w:spacing w:val="-5"/>
          <w:sz w:val="18"/>
          <w:szCs w:val="18"/>
          <w:lang w:val="es-ES_tradnl"/>
        </w:rPr>
        <w:t>rganos de la funci</w:t>
      </w:r>
      <w:r>
        <w:rPr>
          <w:rFonts w:cs="Times New Roman"/>
          <w:spacing w:val="-5"/>
          <w:sz w:val="18"/>
          <w:szCs w:val="18"/>
          <w:lang w:val="es-ES_tradnl"/>
        </w:rPr>
        <w:t>ó</w:t>
      </w:r>
      <w:r>
        <w:rPr>
          <w:spacing w:val="-5"/>
          <w:sz w:val="18"/>
          <w:szCs w:val="18"/>
          <w:lang w:val="es-ES_tradnl"/>
        </w:rPr>
        <w:t xml:space="preserve">n </w:t>
      </w:r>
      <w:r>
        <w:rPr>
          <w:spacing w:val="-1"/>
          <w:sz w:val="18"/>
          <w:szCs w:val="18"/>
          <w:lang w:val="es-ES_tradnl"/>
        </w:rPr>
        <w:t>judicial tal y como lo determina el art</w:t>
      </w:r>
      <w:r>
        <w:rPr>
          <w:rFonts w:cs="Times New Roman"/>
          <w:spacing w:val="-1"/>
          <w:sz w:val="18"/>
          <w:szCs w:val="18"/>
          <w:lang w:val="es-ES_tradnl"/>
        </w:rPr>
        <w:t>í</w:t>
      </w:r>
      <w:r>
        <w:rPr>
          <w:spacing w:val="-1"/>
          <w:sz w:val="18"/>
          <w:szCs w:val="18"/>
          <w:lang w:val="es-ES_tradnl"/>
        </w:rPr>
        <w:t xml:space="preserve">culo 173 de la </w:t>
      </w:r>
      <w:r>
        <w:rPr>
          <w:spacing w:val="-7"/>
          <w:sz w:val="18"/>
          <w:szCs w:val="18"/>
          <w:lang w:val="es-ES_tradnl"/>
        </w:rPr>
        <w:t>Norma Suprema. Adem</w:t>
      </w:r>
      <w:r>
        <w:rPr>
          <w:rFonts w:cs="Times New Roman"/>
          <w:spacing w:val="-7"/>
          <w:sz w:val="18"/>
          <w:szCs w:val="18"/>
          <w:lang w:val="es-ES_tradnl"/>
        </w:rPr>
        <w:t>á</w:t>
      </w:r>
      <w:r>
        <w:rPr>
          <w:spacing w:val="-7"/>
          <w:sz w:val="18"/>
          <w:szCs w:val="18"/>
          <w:lang w:val="es-ES_tradnl"/>
        </w:rPr>
        <w:t xml:space="preserve">s, el legitimado activo aduce que </w:t>
      </w:r>
      <w:r>
        <w:rPr>
          <w:spacing w:val="-4"/>
          <w:sz w:val="18"/>
          <w:szCs w:val="18"/>
          <w:lang w:val="es-ES_tradnl"/>
        </w:rPr>
        <w:t>el fallo de apelaci</w:t>
      </w:r>
      <w:r>
        <w:rPr>
          <w:rFonts w:cs="Times New Roman"/>
          <w:spacing w:val="-4"/>
          <w:sz w:val="18"/>
          <w:szCs w:val="18"/>
          <w:lang w:val="es-ES_tradnl"/>
        </w:rPr>
        <w:t>ó</w:t>
      </w:r>
      <w:r>
        <w:rPr>
          <w:spacing w:val="-4"/>
          <w:sz w:val="18"/>
          <w:szCs w:val="18"/>
          <w:lang w:val="es-ES_tradnl"/>
        </w:rPr>
        <w:t xml:space="preserve">n aplica normas y principios legales </w:t>
      </w:r>
      <w:r>
        <w:rPr>
          <w:spacing w:val="-9"/>
          <w:sz w:val="18"/>
          <w:szCs w:val="18"/>
          <w:lang w:val="es-ES_tradnl"/>
        </w:rPr>
        <w:t xml:space="preserve">improcedentes de forma retroactiva, lo cual, presuntamente, </w:t>
      </w:r>
      <w:r>
        <w:rPr>
          <w:spacing w:val="-5"/>
          <w:sz w:val="18"/>
          <w:szCs w:val="18"/>
          <w:lang w:val="es-ES_tradnl"/>
        </w:rPr>
        <w:t>vulnera el derecho constitucional a la seguridad jur</w:t>
      </w:r>
      <w:r>
        <w:rPr>
          <w:rFonts w:cs="Times New Roman"/>
          <w:spacing w:val="-5"/>
          <w:sz w:val="18"/>
          <w:szCs w:val="18"/>
          <w:lang w:val="es-ES_tradnl"/>
        </w:rPr>
        <w:t>í</w:t>
      </w:r>
      <w:r>
        <w:rPr>
          <w:spacing w:val="-5"/>
          <w:sz w:val="18"/>
          <w:szCs w:val="18"/>
          <w:lang w:val="es-ES_tradnl"/>
        </w:rPr>
        <w:t>dica.</w:t>
      </w:r>
    </w:p>
    <w:p w14:paraId="4F67B089" w14:textId="77777777" w:rsidR="00591D54" w:rsidRDefault="00591D54">
      <w:pPr>
        <w:shd w:val="clear" w:color="auto" w:fill="FFFFFF"/>
        <w:spacing w:before="197" w:line="216" w:lineRule="exact"/>
        <w:jc w:val="both"/>
      </w:pPr>
      <w:r>
        <w:rPr>
          <w:spacing w:val="-7"/>
          <w:sz w:val="18"/>
          <w:szCs w:val="18"/>
          <w:lang w:val="es-ES_tradnl"/>
        </w:rPr>
        <w:t>El derecho presuntamente vulnerado est</w:t>
      </w:r>
      <w:r>
        <w:rPr>
          <w:rFonts w:cs="Times New Roman"/>
          <w:spacing w:val="-7"/>
          <w:sz w:val="18"/>
          <w:szCs w:val="18"/>
          <w:lang w:val="es-ES_tradnl"/>
        </w:rPr>
        <w:t>á</w:t>
      </w:r>
      <w:r>
        <w:rPr>
          <w:spacing w:val="-7"/>
          <w:sz w:val="18"/>
          <w:szCs w:val="18"/>
          <w:lang w:val="es-ES_tradnl"/>
        </w:rPr>
        <w:t xml:space="preserve"> previsto en el </w:t>
      </w:r>
      <w:r>
        <w:rPr>
          <w:spacing w:val="-5"/>
          <w:sz w:val="18"/>
          <w:szCs w:val="18"/>
          <w:lang w:val="es-ES_tradnl"/>
        </w:rPr>
        <w:t>art</w:t>
      </w:r>
      <w:r>
        <w:rPr>
          <w:rFonts w:cs="Times New Roman"/>
          <w:spacing w:val="-5"/>
          <w:sz w:val="18"/>
          <w:szCs w:val="18"/>
          <w:lang w:val="es-ES_tradnl"/>
        </w:rPr>
        <w:t>í</w:t>
      </w:r>
      <w:r>
        <w:rPr>
          <w:spacing w:val="-5"/>
          <w:sz w:val="18"/>
          <w:szCs w:val="18"/>
          <w:lang w:val="es-ES_tradnl"/>
        </w:rPr>
        <w:t>culo 82 de la Constituci</w:t>
      </w:r>
      <w:r>
        <w:rPr>
          <w:rFonts w:cs="Times New Roman"/>
          <w:spacing w:val="-5"/>
          <w:sz w:val="18"/>
          <w:szCs w:val="18"/>
          <w:lang w:val="es-ES_tradnl"/>
        </w:rPr>
        <w:t>ó</w:t>
      </w:r>
      <w:r>
        <w:rPr>
          <w:spacing w:val="-5"/>
          <w:sz w:val="18"/>
          <w:szCs w:val="18"/>
          <w:lang w:val="es-ES_tradnl"/>
        </w:rPr>
        <w:t xml:space="preserve">n que prescribe lo siguiente: </w:t>
      </w:r>
      <w:r>
        <w:rPr>
          <w:rFonts w:cs="Times New Roman"/>
          <w:spacing w:val="-6"/>
          <w:sz w:val="18"/>
          <w:szCs w:val="18"/>
          <w:lang w:val="es-ES_tradnl"/>
        </w:rPr>
        <w:t>“</w:t>
      </w:r>
      <w:r>
        <w:rPr>
          <w:spacing w:val="-6"/>
          <w:sz w:val="18"/>
          <w:szCs w:val="18"/>
          <w:lang w:val="es-ES_tradnl"/>
        </w:rPr>
        <w:t>El derecho a la seguridad jur</w:t>
      </w:r>
      <w:r>
        <w:rPr>
          <w:rFonts w:cs="Times New Roman"/>
          <w:spacing w:val="-6"/>
          <w:sz w:val="18"/>
          <w:szCs w:val="18"/>
          <w:lang w:val="es-ES_tradnl"/>
        </w:rPr>
        <w:t>í</w:t>
      </w:r>
      <w:r>
        <w:rPr>
          <w:spacing w:val="-6"/>
          <w:sz w:val="18"/>
          <w:szCs w:val="18"/>
          <w:lang w:val="es-ES_tradnl"/>
        </w:rPr>
        <w:t xml:space="preserve">dica se fundamenta en el </w:t>
      </w:r>
      <w:r>
        <w:rPr>
          <w:spacing w:val="-5"/>
          <w:sz w:val="18"/>
          <w:szCs w:val="18"/>
          <w:lang w:val="es-ES_tradnl"/>
        </w:rPr>
        <w:t>respeto a la Constituci</w:t>
      </w:r>
      <w:r>
        <w:rPr>
          <w:rFonts w:cs="Times New Roman"/>
          <w:spacing w:val="-5"/>
          <w:sz w:val="18"/>
          <w:szCs w:val="18"/>
          <w:lang w:val="es-ES_tradnl"/>
        </w:rPr>
        <w:t>ó</w:t>
      </w:r>
      <w:r>
        <w:rPr>
          <w:spacing w:val="-5"/>
          <w:sz w:val="18"/>
          <w:szCs w:val="18"/>
          <w:lang w:val="es-ES_tradnl"/>
        </w:rPr>
        <w:t>n y en la existencia de normas jur</w:t>
      </w:r>
      <w:r>
        <w:rPr>
          <w:rFonts w:cs="Times New Roman"/>
          <w:spacing w:val="-5"/>
          <w:sz w:val="18"/>
          <w:szCs w:val="18"/>
          <w:lang w:val="es-ES_tradnl"/>
        </w:rPr>
        <w:t>í</w:t>
      </w:r>
      <w:r>
        <w:rPr>
          <w:spacing w:val="-5"/>
          <w:sz w:val="18"/>
          <w:szCs w:val="18"/>
          <w:lang w:val="es-ES_tradnl"/>
        </w:rPr>
        <w:t>dicas previas, claras, p</w:t>
      </w:r>
      <w:r>
        <w:rPr>
          <w:rFonts w:cs="Times New Roman"/>
          <w:spacing w:val="-5"/>
          <w:sz w:val="18"/>
          <w:szCs w:val="18"/>
          <w:lang w:val="es-ES_tradnl"/>
        </w:rPr>
        <w:t>ú</w:t>
      </w:r>
      <w:r>
        <w:rPr>
          <w:spacing w:val="-5"/>
          <w:sz w:val="18"/>
          <w:szCs w:val="18"/>
          <w:lang w:val="es-ES_tradnl"/>
        </w:rPr>
        <w:t xml:space="preserve">blicas y aplicadas por las </w:t>
      </w:r>
      <w:r>
        <w:rPr>
          <w:sz w:val="18"/>
          <w:szCs w:val="18"/>
          <w:lang w:val="es-ES_tradnl"/>
        </w:rPr>
        <w:t>autoridades competentes</w:t>
      </w:r>
      <w:r>
        <w:rPr>
          <w:rFonts w:cs="Times New Roman"/>
          <w:sz w:val="18"/>
          <w:szCs w:val="18"/>
          <w:lang w:val="es-ES_tradnl"/>
        </w:rPr>
        <w:t>”</w:t>
      </w:r>
      <w:r>
        <w:rPr>
          <w:sz w:val="18"/>
          <w:szCs w:val="18"/>
          <w:lang w:val="es-ES_tradnl"/>
        </w:rPr>
        <w:t>.</w:t>
      </w:r>
    </w:p>
    <w:p w14:paraId="4F67B08A" w14:textId="77777777" w:rsidR="00591D54" w:rsidRDefault="00591D54">
      <w:pPr>
        <w:shd w:val="clear" w:color="auto" w:fill="FFFFFF"/>
        <w:spacing w:before="202" w:line="216" w:lineRule="exact"/>
        <w:jc w:val="both"/>
      </w:pPr>
      <w:r>
        <w:rPr>
          <w:spacing w:val="-6"/>
          <w:sz w:val="18"/>
          <w:szCs w:val="18"/>
          <w:lang w:val="es-ES_tradnl"/>
        </w:rPr>
        <w:t xml:space="preserve">Este derecho constituye, la certeza normativa con la que </w:t>
      </w:r>
      <w:r>
        <w:rPr>
          <w:spacing w:val="-1"/>
          <w:sz w:val="18"/>
          <w:szCs w:val="18"/>
          <w:lang w:val="es-ES_tradnl"/>
        </w:rPr>
        <w:t>cuenta un sistema jur</w:t>
      </w:r>
      <w:r>
        <w:rPr>
          <w:rFonts w:cs="Times New Roman"/>
          <w:spacing w:val="-1"/>
          <w:sz w:val="18"/>
          <w:szCs w:val="18"/>
          <w:lang w:val="es-ES_tradnl"/>
        </w:rPr>
        <w:t>í</w:t>
      </w:r>
      <w:r>
        <w:rPr>
          <w:spacing w:val="-1"/>
          <w:sz w:val="18"/>
          <w:szCs w:val="18"/>
          <w:lang w:val="es-ES_tradnl"/>
        </w:rPr>
        <w:t>dico otorg</w:t>
      </w:r>
      <w:r>
        <w:rPr>
          <w:rFonts w:cs="Times New Roman"/>
          <w:spacing w:val="-1"/>
          <w:sz w:val="18"/>
          <w:szCs w:val="18"/>
          <w:lang w:val="es-ES_tradnl"/>
        </w:rPr>
        <w:t>á</w:t>
      </w:r>
      <w:r>
        <w:rPr>
          <w:spacing w:val="-1"/>
          <w:sz w:val="18"/>
          <w:szCs w:val="18"/>
          <w:lang w:val="es-ES_tradnl"/>
        </w:rPr>
        <w:t xml:space="preserve">ndole previsibilidad, </w:t>
      </w:r>
      <w:r>
        <w:rPr>
          <w:spacing w:val="-5"/>
          <w:sz w:val="18"/>
          <w:szCs w:val="18"/>
          <w:lang w:val="es-ES_tradnl"/>
        </w:rPr>
        <w:t>que en definitiva, permitir</w:t>
      </w:r>
      <w:r>
        <w:rPr>
          <w:rFonts w:cs="Times New Roman"/>
          <w:spacing w:val="-5"/>
          <w:sz w:val="18"/>
          <w:szCs w:val="18"/>
          <w:lang w:val="es-ES_tradnl"/>
        </w:rPr>
        <w:t>á</w:t>
      </w:r>
      <w:r>
        <w:rPr>
          <w:spacing w:val="-5"/>
          <w:sz w:val="18"/>
          <w:szCs w:val="18"/>
          <w:lang w:val="es-ES_tradnl"/>
        </w:rPr>
        <w:t xml:space="preserve"> a las personas acatar las </w:t>
      </w:r>
      <w:r>
        <w:rPr>
          <w:spacing w:val="-4"/>
          <w:sz w:val="18"/>
          <w:szCs w:val="18"/>
          <w:lang w:val="es-ES_tradnl"/>
        </w:rPr>
        <w:t>disposiciones con mayor convicci</w:t>
      </w:r>
      <w:r>
        <w:rPr>
          <w:rFonts w:cs="Times New Roman"/>
          <w:spacing w:val="-4"/>
          <w:sz w:val="18"/>
          <w:szCs w:val="18"/>
          <w:lang w:val="es-ES_tradnl"/>
        </w:rPr>
        <w:t>ó</w:t>
      </w:r>
      <w:r>
        <w:rPr>
          <w:spacing w:val="-4"/>
          <w:sz w:val="18"/>
          <w:szCs w:val="18"/>
          <w:lang w:val="es-ES_tradnl"/>
        </w:rPr>
        <w:t xml:space="preserve">n. Asimismo, las </w:t>
      </w:r>
      <w:r>
        <w:rPr>
          <w:spacing w:val="-1"/>
          <w:sz w:val="18"/>
          <w:szCs w:val="18"/>
          <w:lang w:val="es-ES_tradnl"/>
        </w:rPr>
        <w:t>autoridades p</w:t>
      </w:r>
      <w:r>
        <w:rPr>
          <w:rFonts w:cs="Times New Roman"/>
          <w:spacing w:val="-1"/>
          <w:sz w:val="18"/>
          <w:szCs w:val="18"/>
          <w:lang w:val="es-ES_tradnl"/>
        </w:rPr>
        <w:t>ú</w:t>
      </w:r>
      <w:r>
        <w:rPr>
          <w:spacing w:val="-1"/>
          <w:sz w:val="18"/>
          <w:szCs w:val="18"/>
          <w:lang w:val="es-ES_tradnl"/>
        </w:rPr>
        <w:t>blicas deben aplicar la Constituci</w:t>
      </w:r>
      <w:r>
        <w:rPr>
          <w:rFonts w:cs="Times New Roman"/>
          <w:spacing w:val="-1"/>
          <w:sz w:val="18"/>
          <w:szCs w:val="18"/>
          <w:lang w:val="es-ES_tradnl"/>
        </w:rPr>
        <w:t>ó</w:t>
      </w:r>
      <w:r>
        <w:rPr>
          <w:spacing w:val="-1"/>
          <w:sz w:val="18"/>
          <w:szCs w:val="18"/>
          <w:lang w:val="es-ES_tradnl"/>
        </w:rPr>
        <w:t xml:space="preserve">n, </w:t>
      </w:r>
      <w:r>
        <w:rPr>
          <w:spacing w:val="-8"/>
          <w:sz w:val="18"/>
          <w:szCs w:val="18"/>
          <w:lang w:val="es-ES_tradnl"/>
        </w:rPr>
        <w:t xml:space="preserve">tratados internacionales sobre derechos humanos y leyes </w:t>
      </w:r>
      <w:r>
        <w:rPr>
          <w:spacing w:val="-7"/>
          <w:sz w:val="18"/>
          <w:szCs w:val="18"/>
          <w:lang w:val="es-ES_tradnl"/>
        </w:rPr>
        <w:t xml:space="preserve">con la finalidad de no transgredir este derecho, por lo que </w:t>
      </w:r>
      <w:r>
        <w:rPr>
          <w:spacing w:val="-6"/>
          <w:sz w:val="18"/>
          <w:szCs w:val="18"/>
          <w:lang w:val="es-ES_tradnl"/>
        </w:rPr>
        <w:t>est</w:t>
      </w:r>
      <w:r>
        <w:rPr>
          <w:rFonts w:cs="Times New Roman"/>
          <w:spacing w:val="-6"/>
          <w:sz w:val="18"/>
          <w:szCs w:val="18"/>
          <w:lang w:val="es-ES_tradnl"/>
        </w:rPr>
        <w:t>á</w:t>
      </w:r>
      <w:r>
        <w:rPr>
          <w:spacing w:val="-6"/>
          <w:sz w:val="18"/>
          <w:szCs w:val="18"/>
          <w:lang w:val="es-ES_tradnl"/>
        </w:rPr>
        <w:t>n obligadas a garantizar la aplicaci</w:t>
      </w:r>
      <w:r>
        <w:rPr>
          <w:rFonts w:cs="Times New Roman"/>
          <w:spacing w:val="-6"/>
          <w:sz w:val="18"/>
          <w:szCs w:val="18"/>
          <w:lang w:val="es-ES_tradnl"/>
        </w:rPr>
        <w:t>ó</w:t>
      </w:r>
      <w:r>
        <w:rPr>
          <w:spacing w:val="-6"/>
          <w:sz w:val="18"/>
          <w:szCs w:val="18"/>
          <w:lang w:val="es-ES_tradnl"/>
        </w:rPr>
        <w:t xml:space="preserve">n de las normas, </w:t>
      </w:r>
      <w:r>
        <w:rPr>
          <w:spacing w:val="-9"/>
          <w:sz w:val="18"/>
          <w:szCs w:val="18"/>
          <w:lang w:val="es-ES_tradnl"/>
        </w:rPr>
        <w:t xml:space="preserve">no pudiendo inobservar las, pues, su alejamiento, hace que </w:t>
      </w:r>
      <w:r>
        <w:rPr>
          <w:spacing w:val="-6"/>
          <w:sz w:val="18"/>
          <w:szCs w:val="18"/>
          <w:lang w:val="es-ES_tradnl"/>
        </w:rPr>
        <w:t xml:space="preserve">las resoluciones, decisiones, sentencias o disposiciones </w:t>
      </w:r>
      <w:r>
        <w:rPr>
          <w:spacing w:val="-8"/>
          <w:sz w:val="18"/>
          <w:szCs w:val="18"/>
          <w:lang w:val="es-ES_tradnl"/>
        </w:rPr>
        <w:t>sean ileg</w:t>
      </w:r>
      <w:r>
        <w:rPr>
          <w:rFonts w:cs="Times New Roman"/>
          <w:spacing w:val="-8"/>
          <w:sz w:val="18"/>
          <w:szCs w:val="18"/>
          <w:lang w:val="es-ES_tradnl"/>
        </w:rPr>
        <w:t>í</w:t>
      </w:r>
      <w:r>
        <w:rPr>
          <w:spacing w:val="-8"/>
          <w:sz w:val="18"/>
          <w:szCs w:val="18"/>
          <w:lang w:val="es-ES_tradnl"/>
        </w:rPr>
        <w:t xml:space="preserve">timas e ilegales. Lo expuesto es corroborado con </w:t>
      </w:r>
      <w:r>
        <w:rPr>
          <w:spacing w:val="-6"/>
          <w:sz w:val="18"/>
          <w:szCs w:val="18"/>
          <w:lang w:val="es-ES_tradnl"/>
        </w:rPr>
        <w:t>lo manifestado por esta Magistratura Constitucional en la sentencia N.</w:t>
      </w:r>
      <w:r>
        <w:rPr>
          <w:rFonts w:cs="Times New Roman"/>
          <w:spacing w:val="-6"/>
          <w:sz w:val="18"/>
          <w:szCs w:val="18"/>
          <w:lang w:val="es-ES_tradnl"/>
        </w:rPr>
        <w:t>º</w:t>
      </w:r>
      <w:r>
        <w:rPr>
          <w:spacing w:val="-6"/>
          <w:sz w:val="18"/>
          <w:szCs w:val="18"/>
          <w:lang w:val="es-ES_tradnl"/>
        </w:rPr>
        <w:t xml:space="preserve"> 143-14-SEP-CC del 01 de octubre de 2014 </w:t>
      </w:r>
      <w:r>
        <w:rPr>
          <w:spacing w:val="-8"/>
          <w:sz w:val="18"/>
          <w:szCs w:val="18"/>
          <w:lang w:val="es-ES_tradnl"/>
        </w:rPr>
        <w:t>en el caso N.</w:t>
      </w:r>
      <w:r>
        <w:rPr>
          <w:rFonts w:cs="Times New Roman"/>
          <w:spacing w:val="-8"/>
          <w:sz w:val="18"/>
          <w:szCs w:val="18"/>
          <w:lang w:val="es-ES_tradnl"/>
        </w:rPr>
        <w:t>º</w:t>
      </w:r>
      <w:r>
        <w:rPr>
          <w:spacing w:val="-8"/>
          <w:sz w:val="18"/>
          <w:szCs w:val="18"/>
          <w:lang w:val="es-ES_tradnl"/>
        </w:rPr>
        <w:t xml:space="preserve"> 2225-13-EP en la que se estableci</w:t>
      </w:r>
      <w:r>
        <w:rPr>
          <w:rFonts w:cs="Times New Roman"/>
          <w:spacing w:val="-8"/>
          <w:sz w:val="18"/>
          <w:szCs w:val="18"/>
          <w:lang w:val="es-ES_tradnl"/>
        </w:rPr>
        <w:t>ó</w:t>
      </w:r>
      <w:r>
        <w:rPr>
          <w:spacing w:val="-8"/>
          <w:sz w:val="18"/>
          <w:szCs w:val="18"/>
          <w:lang w:val="es-ES_tradnl"/>
        </w:rPr>
        <w:t>:</w:t>
      </w:r>
    </w:p>
    <w:p w14:paraId="4F67B08B" w14:textId="77777777" w:rsidR="00591D54" w:rsidRDefault="00591D54">
      <w:pPr>
        <w:shd w:val="clear" w:color="auto" w:fill="FFFFFF"/>
        <w:spacing w:before="202" w:line="216" w:lineRule="exact"/>
        <w:jc w:val="both"/>
        <w:sectPr w:rsidR="00591D54">
          <w:type w:val="continuous"/>
          <w:pgSz w:w="11909" w:h="16834"/>
          <w:pgMar w:top="1356" w:right="1309" w:bottom="360" w:left="1308" w:header="720" w:footer="720" w:gutter="0"/>
          <w:cols w:num="2" w:space="720" w:equalWidth="0">
            <w:col w:w="4305" w:space="682"/>
            <w:col w:w="4305"/>
          </w:cols>
          <w:noEndnote/>
        </w:sectPr>
      </w:pPr>
    </w:p>
    <w:p w14:paraId="4F67B08C" w14:textId="77777777" w:rsidR="00591D54" w:rsidRDefault="00591D54">
      <w:pPr>
        <w:shd w:val="clear" w:color="auto" w:fill="FFFFFF"/>
        <w:tabs>
          <w:tab w:val="left" w:pos="584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- 159</w:t>
      </w:r>
    </w:p>
    <w:p w14:paraId="4F67B08D" w14:textId="77777777" w:rsidR="00591D54" w:rsidRDefault="00591D54">
      <w:pPr>
        <w:shd w:val="clear" w:color="auto" w:fill="FFFFFF"/>
        <w:tabs>
          <w:tab w:val="left" w:pos="5842"/>
        </w:tabs>
        <w:spacing w:after="230"/>
        <w:ind w:left="5"/>
        <w:sectPr w:rsidR="00591D54">
          <w:pgSz w:w="11909" w:h="16834"/>
          <w:pgMar w:top="1356" w:right="1309" w:bottom="360" w:left="1308" w:header="720" w:footer="720" w:gutter="0"/>
          <w:cols w:space="60"/>
          <w:noEndnote/>
        </w:sectPr>
      </w:pPr>
    </w:p>
    <w:p w14:paraId="4F67B08E" w14:textId="77777777" w:rsidR="00591D54" w:rsidRDefault="00591D54">
      <w:pPr>
        <w:shd w:val="clear" w:color="auto" w:fill="FFFFFF"/>
        <w:spacing w:line="211" w:lineRule="exact"/>
        <w:ind w:left="283"/>
        <w:jc w:val="both"/>
      </w:pPr>
      <w:r>
        <w:rPr>
          <w:spacing w:val="-5"/>
          <w:sz w:val="16"/>
          <w:szCs w:val="16"/>
          <w:lang w:val="es-ES_tradnl"/>
        </w:rPr>
        <w:t>El derecho constitucional a la seguridad jur</w:t>
      </w:r>
      <w:r>
        <w:rPr>
          <w:rFonts w:cs="Times New Roman"/>
          <w:spacing w:val="-5"/>
          <w:sz w:val="16"/>
          <w:szCs w:val="16"/>
          <w:lang w:val="es-ES_tradnl"/>
        </w:rPr>
        <w:t>í</w:t>
      </w:r>
      <w:r>
        <w:rPr>
          <w:spacing w:val="-5"/>
          <w:sz w:val="16"/>
          <w:szCs w:val="16"/>
          <w:lang w:val="es-ES_tradnl"/>
        </w:rPr>
        <w:t xml:space="preserve">dica garantiza </w:t>
      </w:r>
      <w:r>
        <w:rPr>
          <w:spacing w:val="-7"/>
          <w:sz w:val="16"/>
          <w:szCs w:val="16"/>
          <w:lang w:val="es-ES_tradnl"/>
        </w:rPr>
        <w:t>certeza en la aplicaci</w:t>
      </w:r>
      <w:r>
        <w:rPr>
          <w:rFonts w:cs="Times New Roman"/>
          <w:spacing w:val="-7"/>
          <w:sz w:val="16"/>
          <w:szCs w:val="16"/>
          <w:lang w:val="es-ES_tradnl"/>
        </w:rPr>
        <w:t>ó</w:t>
      </w:r>
      <w:r>
        <w:rPr>
          <w:spacing w:val="-7"/>
          <w:sz w:val="16"/>
          <w:szCs w:val="16"/>
          <w:lang w:val="es-ES_tradnl"/>
        </w:rPr>
        <w:t xml:space="preserve">n normativa, en tanto se fundamenta en </w:t>
      </w:r>
      <w:r>
        <w:rPr>
          <w:spacing w:val="-6"/>
          <w:sz w:val="16"/>
          <w:szCs w:val="16"/>
          <w:lang w:val="es-ES_tradnl"/>
        </w:rPr>
        <w:t>el respeto a la Constituci</w:t>
      </w:r>
      <w:r>
        <w:rPr>
          <w:rFonts w:cs="Times New Roman"/>
          <w:spacing w:val="-6"/>
          <w:sz w:val="16"/>
          <w:szCs w:val="16"/>
          <w:lang w:val="es-ES_tradnl"/>
        </w:rPr>
        <w:t>ó</w:t>
      </w:r>
      <w:r>
        <w:rPr>
          <w:spacing w:val="-6"/>
          <w:sz w:val="16"/>
          <w:szCs w:val="16"/>
          <w:lang w:val="es-ES_tradnl"/>
        </w:rPr>
        <w:t>n de la Rep</w:t>
      </w:r>
      <w:r>
        <w:rPr>
          <w:rFonts w:cs="Times New Roman"/>
          <w:spacing w:val="-6"/>
          <w:sz w:val="16"/>
          <w:szCs w:val="16"/>
          <w:lang w:val="es-ES_tradnl"/>
        </w:rPr>
        <w:t>ú</w:t>
      </w:r>
      <w:r>
        <w:rPr>
          <w:spacing w:val="-6"/>
          <w:sz w:val="16"/>
          <w:szCs w:val="16"/>
          <w:lang w:val="es-ES_tradnl"/>
        </w:rPr>
        <w:t>blica y en la aplicaci</w:t>
      </w:r>
      <w:r>
        <w:rPr>
          <w:rFonts w:cs="Times New Roman"/>
          <w:spacing w:val="-6"/>
          <w:sz w:val="16"/>
          <w:szCs w:val="16"/>
          <w:lang w:val="es-ES_tradnl"/>
        </w:rPr>
        <w:t>ó</w:t>
      </w:r>
      <w:r>
        <w:rPr>
          <w:spacing w:val="-6"/>
          <w:sz w:val="16"/>
          <w:szCs w:val="16"/>
          <w:lang w:val="es-ES_tradnl"/>
        </w:rPr>
        <w:t>n de normas jur</w:t>
      </w:r>
      <w:r>
        <w:rPr>
          <w:rFonts w:cs="Times New Roman"/>
          <w:spacing w:val="-6"/>
          <w:sz w:val="16"/>
          <w:szCs w:val="16"/>
          <w:lang w:val="es-ES_tradnl"/>
        </w:rPr>
        <w:t>í</w:t>
      </w:r>
      <w:r>
        <w:rPr>
          <w:spacing w:val="-6"/>
          <w:sz w:val="16"/>
          <w:szCs w:val="16"/>
          <w:lang w:val="es-ES_tradnl"/>
        </w:rPr>
        <w:t>dicas previas, claras, p</w:t>
      </w:r>
      <w:r>
        <w:rPr>
          <w:rFonts w:cs="Times New Roman"/>
          <w:spacing w:val="-6"/>
          <w:sz w:val="16"/>
          <w:szCs w:val="16"/>
          <w:lang w:val="es-ES_tradnl"/>
        </w:rPr>
        <w:t>ú</w:t>
      </w:r>
      <w:r>
        <w:rPr>
          <w:spacing w:val="-6"/>
          <w:sz w:val="16"/>
          <w:szCs w:val="16"/>
          <w:lang w:val="es-ES_tradnl"/>
        </w:rPr>
        <w:t xml:space="preserve">blicas y aplicadas por </w:t>
      </w:r>
      <w:r>
        <w:rPr>
          <w:spacing w:val="-7"/>
          <w:sz w:val="16"/>
          <w:szCs w:val="16"/>
          <w:lang w:val="es-ES_tradnl"/>
        </w:rPr>
        <w:t xml:space="preserve">parte de las autoridades competentes, conforme lo determina </w:t>
      </w:r>
      <w:r>
        <w:rPr>
          <w:sz w:val="16"/>
          <w:szCs w:val="16"/>
          <w:lang w:val="es-ES_tradnl"/>
        </w:rPr>
        <w:t>el art</w:t>
      </w:r>
      <w:r>
        <w:rPr>
          <w:rFonts w:cs="Times New Roman"/>
          <w:sz w:val="16"/>
          <w:szCs w:val="16"/>
          <w:lang w:val="es-ES_tradnl"/>
        </w:rPr>
        <w:t>í</w:t>
      </w:r>
      <w:r>
        <w:rPr>
          <w:sz w:val="16"/>
          <w:szCs w:val="16"/>
          <w:lang w:val="es-ES_tradnl"/>
        </w:rPr>
        <w:t>culo 82 del texto constitucional.</w:t>
      </w:r>
    </w:p>
    <w:p w14:paraId="4F67B08F" w14:textId="77777777" w:rsidR="00591D54" w:rsidRDefault="00591D54">
      <w:pPr>
        <w:shd w:val="clear" w:color="auto" w:fill="FFFFFF"/>
        <w:spacing w:line="211" w:lineRule="exact"/>
        <w:ind w:left="283"/>
        <w:jc w:val="both"/>
      </w:pPr>
      <w:r>
        <w:rPr>
          <w:spacing w:val="-9"/>
          <w:sz w:val="16"/>
          <w:szCs w:val="16"/>
          <w:lang w:val="es-ES_tradnl"/>
        </w:rPr>
        <w:t xml:space="preserve">En este sentido, este derecho genera en todas las autoridades </w:t>
      </w:r>
      <w:r>
        <w:rPr>
          <w:spacing w:val="-1"/>
          <w:sz w:val="16"/>
          <w:szCs w:val="16"/>
          <w:lang w:val="es-ES_tradnl"/>
        </w:rPr>
        <w:t>p</w:t>
      </w:r>
      <w:r>
        <w:rPr>
          <w:rFonts w:cs="Times New Roman"/>
          <w:spacing w:val="-1"/>
          <w:sz w:val="16"/>
          <w:szCs w:val="16"/>
          <w:lang w:val="es-ES_tradnl"/>
        </w:rPr>
        <w:t>ú</w:t>
      </w:r>
      <w:r>
        <w:rPr>
          <w:spacing w:val="-1"/>
          <w:sz w:val="16"/>
          <w:szCs w:val="16"/>
          <w:lang w:val="es-ES_tradnl"/>
        </w:rPr>
        <w:t>blicas una obligaci</w:t>
      </w:r>
      <w:r>
        <w:rPr>
          <w:rFonts w:cs="Times New Roman"/>
          <w:spacing w:val="-1"/>
          <w:sz w:val="16"/>
          <w:szCs w:val="16"/>
          <w:lang w:val="es-ES_tradnl"/>
        </w:rPr>
        <w:t>ó</w:t>
      </w:r>
      <w:r>
        <w:rPr>
          <w:spacing w:val="-1"/>
          <w:sz w:val="16"/>
          <w:szCs w:val="16"/>
          <w:lang w:val="es-ES_tradnl"/>
        </w:rPr>
        <w:t>n de aplicaci</w:t>
      </w:r>
      <w:r>
        <w:rPr>
          <w:rFonts w:cs="Times New Roman"/>
          <w:spacing w:val="-1"/>
          <w:sz w:val="16"/>
          <w:szCs w:val="16"/>
          <w:lang w:val="es-ES_tradnl"/>
        </w:rPr>
        <w:t>ó</w:t>
      </w:r>
      <w:r>
        <w:rPr>
          <w:spacing w:val="-1"/>
          <w:sz w:val="16"/>
          <w:szCs w:val="16"/>
          <w:lang w:val="es-ES_tradnl"/>
        </w:rPr>
        <w:t xml:space="preserve">n de la normativa </w:t>
      </w:r>
      <w:r>
        <w:rPr>
          <w:spacing w:val="-5"/>
          <w:sz w:val="16"/>
          <w:szCs w:val="16"/>
          <w:lang w:val="es-ES_tradnl"/>
        </w:rPr>
        <w:t xml:space="preserve">pertinente a cada caso concreto, que tome como base </w:t>
      </w:r>
      <w:r>
        <w:rPr>
          <w:spacing w:val="-6"/>
          <w:sz w:val="16"/>
          <w:szCs w:val="16"/>
          <w:lang w:val="es-ES_tradnl"/>
        </w:rPr>
        <w:t>fundamental la Constituci</w:t>
      </w:r>
      <w:r>
        <w:rPr>
          <w:rFonts w:cs="Times New Roman"/>
          <w:spacing w:val="-6"/>
          <w:sz w:val="16"/>
          <w:szCs w:val="16"/>
          <w:lang w:val="es-ES_tradnl"/>
        </w:rPr>
        <w:t>ó</w:t>
      </w:r>
      <w:r>
        <w:rPr>
          <w:spacing w:val="-6"/>
          <w:sz w:val="16"/>
          <w:szCs w:val="16"/>
          <w:lang w:val="es-ES_tradnl"/>
        </w:rPr>
        <w:t>n de la Rep</w:t>
      </w:r>
      <w:r>
        <w:rPr>
          <w:rFonts w:cs="Times New Roman"/>
          <w:spacing w:val="-6"/>
          <w:sz w:val="16"/>
          <w:szCs w:val="16"/>
          <w:lang w:val="es-ES_tradnl"/>
        </w:rPr>
        <w:t>ú</w:t>
      </w:r>
      <w:r>
        <w:rPr>
          <w:spacing w:val="-6"/>
          <w:sz w:val="16"/>
          <w:szCs w:val="16"/>
          <w:lang w:val="es-ES_tradnl"/>
        </w:rPr>
        <w:t xml:space="preserve">blica y los derechos </w:t>
      </w:r>
      <w:r>
        <w:rPr>
          <w:spacing w:val="-3"/>
          <w:sz w:val="16"/>
          <w:szCs w:val="16"/>
          <w:lang w:val="es-ES_tradnl"/>
        </w:rPr>
        <w:t xml:space="preserve">constitucionales que en ella se reconocen. De esta forma, las personas adquieren seguridad en cuanto al destino de </w:t>
      </w:r>
      <w:r>
        <w:rPr>
          <w:spacing w:val="-6"/>
          <w:sz w:val="16"/>
          <w:szCs w:val="16"/>
          <w:lang w:val="es-ES_tradnl"/>
        </w:rPr>
        <w:t>sus derechos, ya que el ordenamiento jur</w:t>
      </w:r>
      <w:r>
        <w:rPr>
          <w:rFonts w:cs="Times New Roman"/>
          <w:spacing w:val="-6"/>
          <w:sz w:val="16"/>
          <w:szCs w:val="16"/>
          <w:lang w:val="es-ES_tradnl"/>
        </w:rPr>
        <w:t>í</w:t>
      </w:r>
      <w:r>
        <w:rPr>
          <w:spacing w:val="-6"/>
          <w:sz w:val="16"/>
          <w:szCs w:val="16"/>
          <w:lang w:val="es-ES_tradnl"/>
        </w:rPr>
        <w:t xml:space="preserve">dico previamente </w:t>
      </w:r>
      <w:r>
        <w:rPr>
          <w:spacing w:val="-10"/>
          <w:sz w:val="16"/>
          <w:szCs w:val="16"/>
          <w:lang w:val="es-ES_tradnl"/>
        </w:rPr>
        <w:t>establece una consecuencia para cada hecho determinado</w:t>
      </w:r>
      <w:r>
        <w:rPr>
          <w:spacing w:val="-10"/>
          <w:sz w:val="16"/>
          <w:szCs w:val="16"/>
          <w:vertAlign w:val="superscript"/>
          <w:lang w:val="es-ES_tradnl"/>
        </w:rPr>
        <w:t>2</w:t>
      </w:r>
      <w:r>
        <w:rPr>
          <w:spacing w:val="-10"/>
          <w:sz w:val="16"/>
          <w:szCs w:val="16"/>
          <w:lang w:val="es-ES_tradnl"/>
        </w:rPr>
        <w:t>.</w:t>
      </w:r>
    </w:p>
    <w:p w14:paraId="4F67B090" w14:textId="77777777" w:rsidR="00591D54" w:rsidRDefault="00591D54">
      <w:pPr>
        <w:shd w:val="clear" w:color="auto" w:fill="FFFFFF"/>
        <w:spacing w:before="202" w:line="216" w:lineRule="exact"/>
        <w:jc w:val="both"/>
      </w:pPr>
      <w:r>
        <w:rPr>
          <w:spacing w:val="-5"/>
          <w:sz w:val="18"/>
          <w:szCs w:val="18"/>
          <w:lang w:val="es-ES_tradnl"/>
        </w:rPr>
        <w:t>As</w:t>
      </w:r>
      <w:r>
        <w:rPr>
          <w:rFonts w:cs="Times New Roman"/>
          <w:spacing w:val="-5"/>
          <w:sz w:val="18"/>
          <w:szCs w:val="18"/>
          <w:lang w:val="es-ES_tradnl"/>
        </w:rPr>
        <w:t>í</w:t>
      </w:r>
      <w:r>
        <w:rPr>
          <w:spacing w:val="-5"/>
          <w:sz w:val="18"/>
          <w:szCs w:val="18"/>
          <w:lang w:val="es-ES_tradnl"/>
        </w:rPr>
        <w:t>, la seguridad jur</w:t>
      </w:r>
      <w:r>
        <w:rPr>
          <w:rFonts w:cs="Times New Roman"/>
          <w:spacing w:val="-5"/>
          <w:sz w:val="18"/>
          <w:szCs w:val="18"/>
          <w:lang w:val="es-ES_tradnl"/>
        </w:rPr>
        <w:t>í</w:t>
      </w:r>
      <w:r>
        <w:rPr>
          <w:spacing w:val="-5"/>
          <w:sz w:val="18"/>
          <w:szCs w:val="18"/>
          <w:lang w:val="es-ES_tradnl"/>
        </w:rPr>
        <w:t>dica es una instituci</w:t>
      </w:r>
      <w:r>
        <w:rPr>
          <w:rFonts w:cs="Times New Roman"/>
          <w:spacing w:val="-5"/>
          <w:sz w:val="18"/>
          <w:szCs w:val="18"/>
          <w:lang w:val="es-ES_tradnl"/>
        </w:rPr>
        <w:t>ó</w:t>
      </w:r>
      <w:r>
        <w:rPr>
          <w:spacing w:val="-5"/>
          <w:sz w:val="18"/>
          <w:szCs w:val="18"/>
          <w:lang w:val="es-ES_tradnl"/>
        </w:rPr>
        <w:t xml:space="preserve">n </w:t>
      </w:r>
      <w:r>
        <w:rPr>
          <w:rFonts w:cs="Times New Roman"/>
          <w:spacing w:val="-5"/>
          <w:sz w:val="18"/>
          <w:szCs w:val="18"/>
          <w:lang w:val="es-ES_tradnl"/>
        </w:rPr>
        <w:t>í</w:t>
      </w:r>
      <w:r>
        <w:rPr>
          <w:spacing w:val="-5"/>
          <w:sz w:val="18"/>
          <w:szCs w:val="18"/>
          <w:lang w:val="es-ES_tradnl"/>
        </w:rPr>
        <w:t xml:space="preserve">ntimamente </w:t>
      </w:r>
      <w:r>
        <w:rPr>
          <w:spacing w:val="-9"/>
          <w:sz w:val="18"/>
          <w:szCs w:val="18"/>
          <w:lang w:val="es-ES_tradnl"/>
        </w:rPr>
        <w:t xml:space="preserve">relacionado con otros derechos y principios constitucionales </w:t>
      </w:r>
      <w:r>
        <w:rPr>
          <w:spacing w:val="-7"/>
          <w:sz w:val="18"/>
          <w:szCs w:val="18"/>
          <w:lang w:val="es-ES_tradnl"/>
        </w:rPr>
        <w:t>como la garant</w:t>
      </w:r>
      <w:r>
        <w:rPr>
          <w:rFonts w:cs="Times New Roman"/>
          <w:spacing w:val="-7"/>
          <w:sz w:val="18"/>
          <w:szCs w:val="18"/>
          <w:lang w:val="es-ES_tradnl"/>
        </w:rPr>
        <w:t>í</w:t>
      </w:r>
      <w:r>
        <w:rPr>
          <w:spacing w:val="-7"/>
          <w:sz w:val="18"/>
          <w:szCs w:val="18"/>
          <w:lang w:val="es-ES_tradnl"/>
        </w:rPr>
        <w:t>a del cumplimiento de las normas jur</w:t>
      </w:r>
      <w:r>
        <w:rPr>
          <w:rFonts w:cs="Times New Roman"/>
          <w:spacing w:val="-7"/>
          <w:sz w:val="18"/>
          <w:szCs w:val="18"/>
          <w:lang w:val="es-ES_tradnl"/>
        </w:rPr>
        <w:t>í</w:t>
      </w:r>
      <w:r>
        <w:rPr>
          <w:spacing w:val="-7"/>
          <w:sz w:val="18"/>
          <w:szCs w:val="18"/>
          <w:lang w:val="es-ES_tradnl"/>
        </w:rPr>
        <w:t xml:space="preserve">dicas </w:t>
      </w:r>
      <w:r>
        <w:rPr>
          <w:spacing w:val="-9"/>
          <w:sz w:val="18"/>
          <w:szCs w:val="18"/>
          <w:lang w:val="es-ES_tradnl"/>
        </w:rPr>
        <w:t>y derecho de las partes, prevista en el art</w:t>
      </w:r>
      <w:r>
        <w:rPr>
          <w:rFonts w:cs="Times New Roman"/>
          <w:spacing w:val="-9"/>
          <w:sz w:val="18"/>
          <w:szCs w:val="18"/>
          <w:lang w:val="es-ES_tradnl"/>
        </w:rPr>
        <w:t>í</w:t>
      </w:r>
      <w:r>
        <w:rPr>
          <w:spacing w:val="-9"/>
          <w:sz w:val="18"/>
          <w:szCs w:val="18"/>
          <w:lang w:val="es-ES_tradnl"/>
        </w:rPr>
        <w:t xml:space="preserve">culo 76 numeral 1 </w:t>
      </w:r>
      <w:r>
        <w:rPr>
          <w:spacing w:val="-7"/>
          <w:sz w:val="18"/>
          <w:szCs w:val="18"/>
          <w:lang w:val="es-ES_tradnl"/>
        </w:rPr>
        <w:t>de la Constituci</w:t>
      </w:r>
      <w:r>
        <w:rPr>
          <w:rFonts w:cs="Times New Roman"/>
          <w:spacing w:val="-7"/>
          <w:sz w:val="18"/>
          <w:szCs w:val="18"/>
          <w:lang w:val="es-ES_tradnl"/>
        </w:rPr>
        <w:t>ó</w:t>
      </w:r>
      <w:r>
        <w:rPr>
          <w:spacing w:val="-7"/>
          <w:sz w:val="18"/>
          <w:szCs w:val="18"/>
          <w:lang w:val="es-ES_tradnl"/>
        </w:rPr>
        <w:t xml:space="preserve">n, que de forma conjuntan garantizan que </w:t>
      </w:r>
      <w:r>
        <w:rPr>
          <w:spacing w:val="-8"/>
          <w:sz w:val="18"/>
          <w:szCs w:val="18"/>
          <w:lang w:val="es-ES_tradnl"/>
        </w:rPr>
        <w:t xml:space="preserve">las personas se sometan a un marco constitucional y legal predeterminado, respetando todas las decisiones emitidas </w:t>
      </w:r>
      <w:r>
        <w:rPr>
          <w:sz w:val="18"/>
          <w:szCs w:val="18"/>
          <w:lang w:val="es-ES_tradnl"/>
        </w:rPr>
        <w:t>por las autoridades competentes.</w:t>
      </w:r>
    </w:p>
    <w:p w14:paraId="4F67B091" w14:textId="77777777" w:rsidR="00591D54" w:rsidRDefault="00591D54">
      <w:pPr>
        <w:shd w:val="clear" w:color="auto" w:fill="FFFFFF"/>
        <w:spacing w:before="192" w:line="216" w:lineRule="exact"/>
        <w:jc w:val="both"/>
      </w:pPr>
      <w:r>
        <w:rPr>
          <w:spacing w:val="-8"/>
          <w:sz w:val="18"/>
          <w:szCs w:val="18"/>
          <w:lang w:val="es-ES_tradnl"/>
        </w:rPr>
        <w:t xml:space="preserve">El caso </w:t>
      </w:r>
      <w:r>
        <w:rPr>
          <w:i/>
          <w:iCs/>
          <w:spacing w:val="-8"/>
          <w:sz w:val="18"/>
          <w:szCs w:val="18"/>
          <w:lang w:val="es-ES_tradnl"/>
        </w:rPr>
        <w:t>sub examine</w:t>
      </w:r>
      <w:r>
        <w:rPr>
          <w:spacing w:val="-8"/>
          <w:sz w:val="18"/>
          <w:szCs w:val="18"/>
          <w:lang w:val="es-ES_tradnl"/>
        </w:rPr>
        <w:t>, deviene de una acci</w:t>
      </w:r>
      <w:r>
        <w:rPr>
          <w:rFonts w:cs="Times New Roman"/>
          <w:spacing w:val="-8"/>
          <w:sz w:val="18"/>
          <w:szCs w:val="18"/>
          <w:lang w:val="es-ES_tradnl"/>
        </w:rPr>
        <w:t>ó</w:t>
      </w:r>
      <w:r>
        <w:rPr>
          <w:spacing w:val="-8"/>
          <w:sz w:val="18"/>
          <w:szCs w:val="18"/>
          <w:lang w:val="es-ES_tradnl"/>
        </w:rPr>
        <w:t>n de protecci</w:t>
      </w:r>
      <w:r>
        <w:rPr>
          <w:rFonts w:cs="Times New Roman"/>
          <w:spacing w:val="-8"/>
          <w:sz w:val="18"/>
          <w:szCs w:val="18"/>
          <w:lang w:val="es-ES_tradnl"/>
        </w:rPr>
        <w:t>ó</w:t>
      </w:r>
      <w:r>
        <w:rPr>
          <w:spacing w:val="-8"/>
          <w:sz w:val="18"/>
          <w:szCs w:val="18"/>
          <w:lang w:val="es-ES_tradnl"/>
        </w:rPr>
        <w:t xml:space="preserve">n </w:t>
      </w:r>
      <w:r>
        <w:rPr>
          <w:spacing w:val="-7"/>
          <w:sz w:val="18"/>
          <w:szCs w:val="18"/>
          <w:lang w:val="es-ES_tradnl"/>
        </w:rPr>
        <w:t>propuesta por la se</w:t>
      </w:r>
      <w:r>
        <w:rPr>
          <w:rFonts w:cs="Times New Roman"/>
          <w:spacing w:val="-7"/>
          <w:sz w:val="18"/>
          <w:szCs w:val="18"/>
          <w:lang w:val="es-ES_tradnl"/>
        </w:rPr>
        <w:t>ñ</w:t>
      </w:r>
      <w:r>
        <w:rPr>
          <w:spacing w:val="-7"/>
          <w:sz w:val="18"/>
          <w:szCs w:val="18"/>
          <w:lang w:val="es-ES_tradnl"/>
        </w:rPr>
        <w:t>ora Ruth Germania Guti</w:t>
      </w:r>
      <w:r>
        <w:rPr>
          <w:rFonts w:cs="Times New Roman"/>
          <w:spacing w:val="-7"/>
          <w:sz w:val="18"/>
          <w:szCs w:val="18"/>
          <w:lang w:val="es-ES_tradnl"/>
        </w:rPr>
        <w:t>é</w:t>
      </w:r>
      <w:r>
        <w:rPr>
          <w:spacing w:val="-7"/>
          <w:sz w:val="18"/>
          <w:szCs w:val="18"/>
          <w:lang w:val="es-ES_tradnl"/>
        </w:rPr>
        <w:t xml:space="preserve">rrez Ortega </w:t>
      </w:r>
      <w:r>
        <w:rPr>
          <w:spacing w:val="-4"/>
          <w:sz w:val="18"/>
          <w:szCs w:val="18"/>
          <w:lang w:val="es-ES_tradnl"/>
        </w:rPr>
        <w:t xml:space="preserve">que </w:t>
      </w:r>
      <w:r>
        <w:rPr>
          <w:b/>
          <w:bCs/>
          <w:spacing w:val="-4"/>
          <w:sz w:val="18"/>
          <w:szCs w:val="18"/>
          <w:lang w:val="es-ES_tradnl"/>
        </w:rPr>
        <w:t>impugna la certificaci</w:t>
      </w:r>
      <w:r>
        <w:rPr>
          <w:rFonts w:cs="Times New Roman"/>
          <w:b/>
          <w:bCs/>
          <w:spacing w:val="-4"/>
          <w:sz w:val="18"/>
          <w:szCs w:val="18"/>
          <w:lang w:val="es-ES_tradnl"/>
        </w:rPr>
        <w:t>ó</w:t>
      </w:r>
      <w:r>
        <w:rPr>
          <w:b/>
          <w:bCs/>
          <w:spacing w:val="-4"/>
          <w:sz w:val="18"/>
          <w:szCs w:val="18"/>
          <w:lang w:val="es-ES_tradnl"/>
        </w:rPr>
        <w:t xml:space="preserve">n de inhabilidad para </w:t>
      </w:r>
      <w:r>
        <w:rPr>
          <w:b/>
          <w:bCs/>
          <w:spacing w:val="-8"/>
          <w:sz w:val="18"/>
          <w:szCs w:val="18"/>
          <w:lang w:val="es-ES_tradnl"/>
        </w:rPr>
        <w:t>desempe</w:t>
      </w:r>
      <w:r>
        <w:rPr>
          <w:rFonts w:cs="Times New Roman"/>
          <w:b/>
          <w:bCs/>
          <w:spacing w:val="-8"/>
          <w:sz w:val="18"/>
          <w:szCs w:val="18"/>
          <w:lang w:val="es-ES_tradnl"/>
        </w:rPr>
        <w:t>ñ</w:t>
      </w:r>
      <w:r>
        <w:rPr>
          <w:b/>
          <w:bCs/>
          <w:spacing w:val="-8"/>
          <w:sz w:val="18"/>
          <w:szCs w:val="18"/>
          <w:lang w:val="es-ES_tradnl"/>
        </w:rPr>
        <w:t>ar cargo p</w:t>
      </w:r>
      <w:r>
        <w:rPr>
          <w:rFonts w:cs="Times New Roman"/>
          <w:b/>
          <w:bCs/>
          <w:spacing w:val="-8"/>
          <w:sz w:val="18"/>
          <w:szCs w:val="18"/>
          <w:lang w:val="es-ES_tradnl"/>
        </w:rPr>
        <w:t>ú</w:t>
      </w:r>
      <w:r>
        <w:rPr>
          <w:b/>
          <w:bCs/>
          <w:spacing w:val="-8"/>
          <w:sz w:val="18"/>
          <w:szCs w:val="18"/>
          <w:lang w:val="es-ES_tradnl"/>
        </w:rPr>
        <w:t xml:space="preserve">blico emitida por el Ministerio de </w:t>
      </w:r>
      <w:r>
        <w:rPr>
          <w:b/>
          <w:bCs/>
          <w:spacing w:val="-6"/>
          <w:sz w:val="18"/>
          <w:szCs w:val="18"/>
          <w:lang w:val="es-ES_tradnl"/>
        </w:rPr>
        <w:t>Relaciones Laborales</w:t>
      </w:r>
      <w:r>
        <w:rPr>
          <w:spacing w:val="-6"/>
          <w:sz w:val="18"/>
          <w:szCs w:val="18"/>
          <w:lang w:val="es-ES_tradnl"/>
        </w:rPr>
        <w:t xml:space="preserve">, la cual, en primera instancia fue </w:t>
      </w:r>
      <w:r>
        <w:rPr>
          <w:spacing w:val="-7"/>
          <w:sz w:val="18"/>
          <w:szCs w:val="18"/>
          <w:lang w:val="es-ES_tradnl"/>
        </w:rPr>
        <w:t>resuelta por la jueza cuarta de la ni</w:t>
      </w:r>
      <w:r>
        <w:rPr>
          <w:rFonts w:cs="Times New Roman"/>
          <w:spacing w:val="-7"/>
          <w:sz w:val="18"/>
          <w:szCs w:val="18"/>
          <w:lang w:val="es-ES_tradnl"/>
        </w:rPr>
        <w:t>ñ</w:t>
      </w:r>
      <w:r>
        <w:rPr>
          <w:spacing w:val="-7"/>
          <w:sz w:val="18"/>
          <w:szCs w:val="18"/>
          <w:lang w:val="es-ES_tradnl"/>
        </w:rPr>
        <w:t>ez y adolescencia del Ca</w:t>
      </w:r>
      <w:r>
        <w:rPr>
          <w:rFonts w:cs="Times New Roman"/>
          <w:spacing w:val="-7"/>
          <w:sz w:val="18"/>
          <w:szCs w:val="18"/>
          <w:lang w:val="es-ES_tradnl"/>
        </w:rPr>
        <w:t>ñ</w:t>
      </w:r>
      <w:r>
        <w:rPr>
          <w:spacing w:val="-7"/>
          <w:sz w:val="18"/>
          <w:szCs w:val="18"/>
          <w:lang w:val="es-ES_tradnl"/>
        </w:rPr>
        <w:t>ar que declar</w:t>
      </w:r>
      <w:r>
        <w:rPr>
          <w:rFonts w:cs="Times New Roman"/>
          <w:spacing w:val="-7"/>
          <w:sz w:val="18"/>
          <w:szCs w:val="18"/>
          <w:lang w:val="es-ES_tradnl"/>
        </w:rPr>
        <w:t>ó</w:t>
      </w:r>
      <w:r>
        <w:rPr>
          <w:spacing w:val="-7"/>
          <w:sz w:val="18"/>
          <w:szCs w:val="18"/>
          <w:lang w:val="es-ES_tradnl"/>
        </w:rPr>
        <w:t xml:space="preserve"> improcedente esta acci</w:t>
      </w:r>
      <w:r>
        <w:rPr>
          <w:rFonts w:cs="Times New Roman"/>
          <w:spacing w:val="-7"/>
          <w:sz w:val="18"/>
          <w:szCs w:val="18"/>
          <w:lang w:val="es-ES_tradnl"/>
        </w:rPr>
        <w:t>ó</w:t>
      </w:r>
      <w:r>
        <w:rPr>
          <w:spacing w:val="-7"/>
          <w:sz w:val="18"/>
          <w:szCs w:val="18"/>
          <w:lang w:val="es-ES_tradnl"/>
        </w:rPr>
        <w:t xml:space="preserve">n. Inconforme </w:t>
      </w:r>
      <w:r>
        <w:rPr>
          <w:spacing w:val="-5"/>
          <w:sz w:val="18"/>
          <w:szCs w:val="18"/>
          <w:lang w:val="es-ES_tradnl"/>
        </w:rPr>
        <w:t>con tal decisi</w:t>
      </w:r>
      <w:r>
        <w:rPr>
          <w:rFonts w:cs="Times New Roman"/>
          <w:spacing w:val="-5"/>
          <w:sz w:val="18"/>
          <w:szCs w:val="18"/>
          <w:lang w:val="es-ES_tradnl"/>
        </w:rPr>
        <w:t>ó</w:t>
      </w:r>
      <w:r>
        <w:rPr>
          <w:spacing w:val="-5"/>
          <w:sz w:val="18"/>
          <w:szCs w:val="18"/>
          <w:lang w:val="es-ES_tradnl"/>
        </w:rPr>
        <w:t xml:space="preserve">n, la ex servidora interpuso recurso de </w:t>
      </w:r>
      <w:r>
        <w:rPr>
          <w:spacing w:val="-9"/>
          <w:sz w:val="18"/>
          <w:szCs w:val="18"/>
          <w:lang w:val="es-ES_tradnl"/>
        </w:rPr>
        <w:t>apelaci</w:t>
      </w:r>
      <w:r>
        <w:rPr>
          <w:rFonts w:cs="Times New Roman"/>
          <w:spacing w:val="-9"/>
          <w:sz w:val="18"/>
          <w:szCs w:val="18"/>
          <w:lang w:val="es-ES_tradnl"/>
        </w:rPr>
        <w:t>ó</w:t>
      </w:r>
      <w:r>
        <w:rPr>
          <w:spacing w:val="-9"/>
          <w:sz w:val="18"/>
          <w:szCs w:val="18"/>
          <w:lang w:val="es-ES_tradnl"/>
        </w:rPr>
        <w:t xml:space="preserve">n, siendo aceptado en fallo, el 07 de septiembre de </w:t>
      </w:r>
      <w:r>
        <w:rPr>
          <w:spacing w:val="-7"/>
          <w:sz w:val="18"/>
          <w:szCs w:val="18"/>
          <w:lang w:val="es-ES_tradnl"/>
        </w:rPr>
        <w:t xml:space="preserve">2012 a las 12h20, por los jueces de la Sala Especializada </w:t>
      </w:r>
      <w:r>
        <w:rPr>
          <w:spacing w:val="-2"/>
          <w:sz w:val="18"/>
          <w:szCs w:val="18"/>
          <w:lang w:val="es-ES_tradnl"/>
        </w:rPr>
        <w:t xml:space="preserve">de lo Civil, Mercantil, Inquilinato y Materias Residuales </w:t>
      </w:r>
      <w:r>
        <w:rPr>
          <w:spacing w:val="-3"/>
          <w:sz w:val="18"/>
          <w:szCs w:val="18"/>
          <w:lang w:val="es-ES_tradnl"/>
        </w:rPr>
        <w:t>de la Corte Provincial de Justicia del Ca</w:t>
      </w:r>
      <w:r>
        <w:rPr>
          <w:rFonts w:cs="Times New Roman"/>
          <w:spacing w:val="-3"/>
          <w:sz w:val="18"/>
          <w:szCs w:val="18"/>
          <w:lang w:val="es-ES_tradnl"/>
        </w:rPr>
        <w:t>ñ</w:t>
      </w:r>
      <w:r>
        <w:rPr>
          <w:spacing w:val="-3"/>
          <w:sz w:val="18"/>
          <w:szCs w:val="18"/>
          <w:lang w:val="es-ES_tradnl"/>
        </w:rPr>
        <w:t>ar. De ah</w:t>
      </w:r>
      <w:r>
        <w:rPr>
          <w:rFonts w:cs="Times New Roman"/>
          <w:spacing w:val="-3"/>
          <w:sz w:val="18"/>
          <w:szCs w:val="18"/>
          <w:lang w:val="es-ES_tradnl"/>
        </w:rPr>
        <w:t>í</w:t>
      </w:r>
      <w:r>
        <w:rPr>
          <w:spacing w:val="-3"/>
          <w:sz w:val="18"/>
          <w:szCs w:val="18"/>
          <w:lang w:val="es-ES_tradnl"/>
        </w:rPr>
        <w:t xml:space="preserve"> que </w:t>
      </w:r>
      <w:r>
        <w:rPr>
          <w:spacing w:val="-7"/>
          <w:sz w:val="18"/>
          <w:szCs w:val="18"/>
          <w:lang w:val="es-ES_tradnl"/>
        </w:rPr>
        <w:t xml:space="preserve">el Ministerio de Relaciones Laborales propone la presente </w:t>
      </w:r>
      <w:r>
        <w:rPr>
          <w:spacing w:val="-5"/>
          <w:sz w:val="18"/>
          <w:szCs w:val="18"/>
          <w:lang w:val="es-ES_tradnl"/>
        </w:rPr>
        <w:t>acci</w:t>
      </w:r>
      <w:r>
        <w:rPr>
          <w:rFonts w:cs="Times New Roman"/>
          <w:spacing w:val="-5"/>
          <w:sz w:val="18"/>
          <w:szCs w:val="18"/>
          <w:lang w:val="es-ES_tradnl"/>
        </w:rPr>
        <w:t>ó</w:t>
      </w:r>
      <w:r>
        <w:rPr>
          <w:spacing w:val="-5"/>
          <w:sz w:val="18"/>
          <w:szCs w:val="18"/>
          <w:lang w:val="es-ES_tradnl"/>
        </w:rPr>
        <w:t>n extraordinaria de protecci</w:t>
      </w:r>
      <w:r>
        <w:rPr>
          <w:rFonts w:cs="Times New Roman"/>
          <w:spacing w:val="-5"/>
          <w:sz w:val="18"/>
          <w:szCs w:val="18"/>
          <w:lang w:val="es-ES_tradnl"/>
        </w:rPr>
        <w:t>ó</w:t>
      </w:r>
      <w:r>
        <w:rPr>
          <w:spacing w:val="-5"/>
          <w:sz w:val="18"/>
          <w:szCs w:val="18"/>
          <w:lang w:val="es-ES_tradnl"/>
        </w:rPr>
        <w:t>n, la cual est</w:t>
      </w:r>
      <w:r>
        <w:rPr>
          <w:rFonts w:cs="Times New Roman"/>
          <w:spacing w:val="-5"/>
          <w:sz w:val="18"/>
          <w:szCs w:val="18"/>
          <w:lang w:val="es-ES_tradnl"/>
        </w:rPr>
        <w:t>á</w:t>
      </w:r>
      <w:r>
        <w:rPr>
          <w:spacing w:val="-5"/>
          <w:sz w:val="18"/>
          <w:szCs w:val="18"/>
          <w:lang w:val="es-ES_tradnl"/>
        </w:rPr>
        <w:t xml:space="preserve"> siendo </w:t>
      </w:r>
      <w:r>
        <w:rPr>
          <w:spacing w:val="-6"/>
          <w:sz w:val="18"/>
          <w:szCs w:val="18"/>
          <w:lang w:val="es-ES_tradnl"/>
        </w:rPr>
        <w:t>analizada por esta Magistratura Constitucional.</w:t>
      </w:r>
    </w:p>
    <w:p w14:paraId="4F67B092" w14:textId="77777777" w:rsidR="00591D54" w:rsidRDefault="00591D54">
      <w:pPr>
        <w:shd w:val="clear" w:color="auto" w:fill="FFFFFF"/>
        <w:spacing w:before="197" w:line="216" w:lineRule="exact"/>
        <w:jc w:val="both"/>
      </w:pPr>
      <w:r>
        <w:rPr>
          <w:spacing w:val="-3"/>
          <w:sz w:val="18"/>
          <w:szCs w:val="18"/>
          <w:lang w:val="es-ES_tradnl"/>
        </w:rPr>
        <w:t>Por mandato de la Constituci</w:t>
      </w:r>
      <w:r>
        <w:rPr>
          <w:rFonts w:cs="Times New Roman"/>
          <w:spacing w:val="-3"/>
          <w:sz w:val="18"/>
          <w:szCs w:val="18"/>
          <w:lang w:val="es-ES_tradnl"/>
        </w:rPr>
        <w:t>ó</w:t>
      </w:r>
      <w:r>
        <w:rPr>
          <w:spacing w:val="-3"/>
          <w:sz w:val="18"/>
          <w:szCs w:val="18"/>
          <w:lang w:val="es-ES_tradnl"/>
        </w:rPr>
        <w:t>n, la Ley Org</w:t>
      </w:r>
      <w:r>
        <w:rPr>
          <w:rFonts w:cs="Times New Roman"/>
          <w:spacing w:val="-3"/>
          <w:sz w:val="18"/>
          <w:szCs w:val="18"/>
          <w:lang w:val="es-ES_tradnl"/>
        </w:rPr>
        <w:t>á</w:t>
      </w:r>
      <w:r>
        <w:rPr>
          <w:spacing w:val="-3"/>
          <w:sz w:val="18"/>
          <w:szCs w:val="18"/>
          <w:lang w:val="es-ES_tradnl"/>
        </w:rPr>
        <w:t xml:space="preserve">nica de </w:t>
      </w:r>
      <w:r>
        <w:rPr>
          <w:spacing w:val="-5"/>
          <w:sz w:val="18"/>
          <w:szCs w:val="18"/>
          <w:lang w:val="es-ES_tradnl"/>
        </w:rPr>
        <w:t>Garant</w:t>
      </w:r>
      <w:r>
        <w:rPr>
          <w:rFonts w:cs="Times New Roman"/>
          <w:spacing w:val="-5"/>
          <w:sz w:val="18"/>
          <w:szCs w:val="18"/>
          <w:lang w:val="es-ES_tradnl"/>
        </w:rPr>
        <w:t>í</w:t>
      </w:r>
      <w:r>
        <w:rPr>
          <w:spacing w:val="-5"/>
          <w:sz w:val="18"/>
          <w:szCs w:val="18"/>
          <w:lang w:val="es-ES_tradnl"/>
        </w:rPr>
        <w:t>as Jurisdiccionales y Control Constitucional y la jurisprudencia constitucional, obliga al juez de garant</w:t>
      </w:r>
      <w:r>
        <w:rPr>
          <w:rFonts w:cs="Times New Roman"/>
          <w:spacing w:val="-5"/>
          <w:sz w:val="18"/>
          <w:szCs w:val="18"/>
          <w:lang w:val="es-ES_tradnl"/>
        </w:rPr>
        <w:t>í</w:t>
      </w:r>
      <w:r>
        <w:rPr>
          <w:spacing w:val="-5"/>
          <w:sz w:val="18"/>
          <w:szCs w:val="18"/>
          <w:lang w:val="es-ES_tradnl"/>
        </w:rPr>
        <w:t xml:space="preserve">as </w:t>
      </w:r>
      <w:r>
        <w:rPr>
          <w:spacing w:val="-6"/>
          <w:sz w:val="18"/>
          <w:szCs w:val="18"/>
          <w:lang w:val="es-ES_tradnl"/>
        </w:rPr>
        <w:t xml:space="preserve">jurisdiccionales, a </w:t>
      </w:r>
      <w:r>
        <w:rPr>
          <w:rFonts w:cs="Times New Roman"/>
          <w:spacing w:val="-6"/>
          <w:sz w:val="18"/>
          <w:szCs w:val="18"/>
          <w:lang w:val="es-ES_tradnl"/>
        </w:rPr>
        <w:t>“</w:t>
      </w:r>
      <w:r>
        <w:rPr>
          <w:spacing w:val="-6"/>
          <w:sz w:val="18"/>
          <w:szCs w:val="18"/>
          <w:lang w:val="es-ES_tradnl"/>
        </w:rPr>
        <w:t>examinar la descripci</w:t>
      </w:r>
      <w:r>
        <w:rPr>
          <w:rFonts w:cs="Times New Roman"/>
          <w:spacing w:val="-6"/>
          <w:sz w:val="18"/>
          <w:szCs w:val="18"/>
          <w:lang w:val="es-ES_tradnl"/>
        </w:rPr>
        <w:t>ó</w:t>
      </w:r>
      <w:r>
        <w:rPr>
          <w:spacing w:val="-6"/>
          <w:sz w:val="18"/>
          <w:szCs w:val="18"/>
          <w:lang w:val="es-ES_tradnl"/>
        </w:rPr>
        <w:t xml:space="preserve">n de los hechos </w:t>
      </w:r>
      <w:r>
        <w:rPr>
          <w:spacing w:val="-10"/>
          <w:sz w:val="18"/>
          <w:szCs w:val="18"/>
          <w:lang w:val="es-ES_tradnl"/>
        </w:rPr>
        <w:t xml:space="preserve">que ante </w:t>
      </w:r>
      <w:r>
        <w:rPr>
          <w:rFonts w:cs="Times New Roman"/>
          <w:spacing w:val="-10"/>
          <w:sz w:val="18"/>
          <w:szCs w:val="18"/>
          <w:lang w:val="es-ES_tradnl"/>
        </w:rPr>
        <w:t>é</w:t>
      </w:r>
      <w:r>
        <w:rPr>
          <w:spacing w:val="-10"/>
          <w:sz w:val="18"/>
          <w:szCs w:val="18"/>
          <w:lang w:val="es-ES_tradnl"/>
        </w:rPr>
        <w:t>l se exponen, as</w:t>
      </w:r>
      <w:r>
        <w:rPr>
          <w:rFonts w:cs="Times New Roman"/>
          <w:spacing w:val="-10"/>
          <w:sz w:val="18"/>
          <w:szCs w:val="18"/>
          <w:lang w:val="es-ES_tradnl"/>
        </w:rPr>
        <w:t>í</w:t>
      </w:r>
      <w:r>
        <w:rPr>
          <w:spacing w:val="-10"/>
          <w:sz w:val="18"/>
          <w:szCs w:val="18"/>
          <w:lang w:val="es-ES_tradnl"/>
        </w:rPr>
        <w:t xml:space="preserve"> como las pretensiones del actor, </w:t>
      </w:r>
      <w:r>
        <w:rPr>
          <w:spacing w:val="-6"/>
          <w:sz w:val="18"/>
          <w:szCs w:val="18"/>
          <w:lang w:val="es-ES_tradnl"/>
        </w:rPr>
        <w:t>y a verificar, si por sus caracter</w:t>
      </w:r>
      <w:r>
        <w:rPr>
          <w:rFonts w:cs="Times New Roman"/>
          <w:spacing w:val="-6"/>
          <w:sz w:val="18"/>
          <w:szCs w:val="18"/>
          <w:lang w:val="es-ES_tradnl"/>
        </w:rPr>
        <w:t>í</w:t>
      </w:r>
      <w:r>
        <w:rPr>
          <w:spacing w:val="-6"/>
          <w:sz w:val="18"/>
          <w:szCs w:val="18"/>
          <w:lang w:val="es-ES_tradnl"/>
        </w:rPr>
        <w:t xml:space="preserve">sticas, el caso puede ser </w:t>
      </w:r>
      <w:r>
        <w:rPr>
          <w:spacing w:val="-5"/>
          <w:sz w:val="18"/>
          <w:szCs w:val="18"/>
          <w:lang w:val="es-ES_tradnl"/>
        </w:rPr>
        <w:t>resuelto en relaci</w:t>
      </w:r>
      <w:r>
        <w:rPr>
          <w:rFonts w:cs="Times New Roman"/>
          <w:spacing w:val="-5"/>
          <w:sz w:val="18"/>
          <w:szCs w:val="18"/>
          <w:lang w:val="es-ES_tradnl"/>
        </w:rPr>
        <w:t>ó</w:t>
      </w:r>
      <w:r>
        <w:rPr>
          <w:spacing w:val="-5"/>
          <w:sz w:val="18"/>
          <w:szCs w:val="18"/>
          <w:lang w:val="es-ES_tradnl"/>
        </w:rPr>
        <w:t xml:space="preserve">n con los derechos constitucionales </w:t>
      </w:r>
      <w:r>
        <w:rPr>
          <w:spacing w:val="-7"/>
          <w:sz w:val="18"/>
          <w:szCs w:val="18"/>
          <w:lang w:val="es-ES_tradnl"/>
        </w:rPr>
        <w:t xml:space="preserve">posiblemente afectados y con la efectividad indispensable </w:t>
      </w:r>
      <w:r>
        <w:rPr>
          <w:spacing w:val="-4"/>
          <w:sz w:val="18"/>
          <w:szCs w:val="18"/>
          <w:lang w:val="es-ES_tradnl"/>
        </w:rPr>
        <w:t xml:space="preserve">para su salvaguardia. Por tanto, es ineludible que el </w:t>
      </w:r>
      <w:r>
        <w:rPr>
          <w:spacing w:val="-9"/>
          <w:sz w:val="18"/>
          <w:szCs w:val="18"/>
          <w:lang w:val="es-ES_tradnl"/>
        </w:rPr>
        <w:t>accionante describa el acto u omisi</w:t>
      </w:r>
      <w:r>
        <w:rPr>
          <w:rFonts w:cs="Times New Roman"/>
          <w:spacing w:val="-9"/>
          <w:sz w:val="18"/>
          <w:szCs w:val="18"/>
          <w:lang w:val="es-ES_tradnl"/>
        </w:rPr>
        <w:t>ó</w:t>
      </w:r>
      <w:r>
        <w:rPr>
          <w:spacing w:val="-9"/>
          <w:sz w:val="18"/>
          <w:szCs w:val="18"/>
          <w:lang w:val="es-ES_tradnl"/>
        </w:rPr>
        <w:t xml:space="preserve">n violatorio del derecho </w:t>
      </w:r>
      <w:r>
        <w:rPr>
          <w:spacing w:val="-7"/>
          <w:sz w:val="18"/>
          <w:szCs w:val="18"/>
          <w:lang w:val="es-ES_tradnl"/>
        </w:rPr>
        <w:t>de manera clara, cierta, espec</w:t>
      </w:r>
      <w:r>
        <w:rPr>
          <w:rFonts w:cs="Times New Roman"/>
          <w:spacing w:val="-7"/>
          <w:sz w:val="18"/>
          <w:szCs w:val="18"/>
          <w:lang w:val="es-ES_tradnl"/>
        </w:rPr>
        <w:t>í</w:t>
      </w:r>
      <w:r>
        <w:rPr>
          <w:spacing w:val="-7"/>
          <w:sz w:val="18"/>
          <w:szCs w:val="18"/>
          <w:lang w:val="es-ES_tradnl"/>
        </w:rPr>
        <w:t xml:space="preserve">fica, pertinente y suficiente sobre el derecho constitucional supuestamente vulnerado, </w:t>
      </w:r>
      <w:r>
        <w:rPr>
          <w:spacing w:val="-4"/>
          <w:sz w:val="18"/>
          <w:szCs w:val="18"/>
          <w:lang w:val="es-ES_tradnl"/>
        </w:rPr>
        <w:t xml:space="preserve">a fin de radicar la </w:t>
      </w:r>
      <w:r>
        <w:rPr>
          <w:i/>
          <w:iCs/>
          <w:spacing w:val="-4"/>
          <w:sz w:val="18"/>
          <w:szCs w:val="18"/>
          <w:lang w:val="es-ES_tradnl"/>
        </w:rPr>
        <w:t xml:space="preserve">litis </w:t>
      </w:r>
      <w:r>
        <w:rPr>
          <w:spacing w:val="-4"/>
          <w:sz w:val="18"/>
          <w:szCs w:val="18"/>
          <w:lang w:val="es-ES_tradnl"/>
        </w:rPr>
        <w:t>en la jurisdicci</w:t>
      </w:r>
      <w:r>
        <w:rPr>
          <w:rFonts w:cs="Times New Roman"/>
          <w:spacing w:val="-4"/>
          <w:sz w:val="18"/>
          <w:szCs w:val="18"/>
          <w:lang w:val="es-ES_tradnl"/>
        </w:rPr>
        <w:t>ó</w:t>
      </w:r>
      <w:r>
        <w:rPr>
          <w:spacing w:val="-4"/>
          <w:sz w:val="18"/>
          <w:szCs w:val="18"/>
          <w:lang w:val="es-ES_tradnl"/>
        </w:rPr>
        <w:t>n constitucional</w:t>
      </w:r>
      <w:r>
        <w:rPr>
          <w:rFonts w:cs="Times New Roman"/>
          <w:spacing w:val="-4"/>
          <w:sz w:val="18"/>
          <w:szCs w:val="18"/>
          <w:lang w:val="es-ES_tradnl"/>
        </w:rPr>
        <w:t>”</w:t>
      </w:r>
      <w:r>
        <w:rPr>
          <w:spacing w:val="-4"/>
          <w:sz w:val="18"/>
          <w:szCs w:val="18"/>
          <w:vertAlign w:val="superscript"/>
          <w:lang w:val="es-ES_tradnl"/>
        </w:rPr>
        <w:t>3</w:t>
      </w:r>
      <w:r>
        <w:rPr>
          <w:spacing w:val="-4"/>
          <w:sz w:val="18"/>
          <w:szCs w:val="18"/>
          <w:lang w:val="es-ES_tradnl"/>
        </w:rPr>
        <w:t xml:space="preserve">. </w:t>
      </w:r>
      <w:r>
        <w:rPr>
          <w:spacing w:val="-6"/>
          <w:sz w:val="18"/>
          <w:szCs w:val="18"/>
          <w:lang w:val="es-ES_tradnl"/>
        </w:rPr>
        <w:t>Pues, as</w:t>
      </w:r>
      <w:r>
        <w:rPr>
          <w:rFonts w:cs="Times New Roman"/>
          <w:spacing w:val="-6"/>
          <w:sz w:val="18"/>
          <w:szCs w:val="18"/>
          <w:lang w:val="es-ES_tradnl"/>
        </w:rPr>
        <w:t>í</w:t>
      </w:r>
      <w:r>
        <w:rPr>
          <w:spacing w:val="-6"/>
          <w:sz w:val="18"/>
          <w:szCs w:val="18"/>
          <w:lang w:val="es-ES_tradnl"/>
        </w:rPr>
        <w:t>, el juez sustanciador revelar</w:t>
      </w:r>
      <w:r>
        <w:rPr>
          <w:rFonts w:cs="Times New Roman"/>
          <w:spacing w:val="-6"/>
          <w:sz w:val="18"/>
          <w:szCs w:val="18"/>
          <w:lang w:val="es-ES_tradnl"/>
        </w:rPr>
        <w:t>á</w:t>
      </w:r>
      <w:r>
        <w:rPr>
          <w:spacing w:val="-6"/>
          <w:sz w:val="18"/>
          <w:szCs w:val="18"/>
          <w:lang w:val="es-ES_tradnl"/>
        </w:rPr>
        <w:t xml:space="preserve"> si la cuesti</w:t>
      </w:r>
      <w:r>
        <w:rPr>
          <w:rFonts w:cs="Times New Roman"/>
          <w:spacing w:val="-6"/>
          <w:sz w:val="18"/>
          <w:szCs w:val="18"/>
          <w:lang w:val="es-ES_tradnl"/>
        </w:rPr>
        <w:t>ó</w:t>
      </w:r>
      <w:r>
        <w:rPr>
          <w:spacing w:val="-6"/>
          <w:sz w:val="18"/>
          <w:szCs w:val="18"/>
          <w:lang w:val="es-ES_tradnl"/>
        </w:rPr>
        <w:t xml:space="preserve">n a </w:t>
      </w:r>
      <w:r>
        <w:rPr>
          <w:spacing w:val="-5"/>
          <w:sz w:val="18"/>
          <w:szCs w:val="18"/>
          <w:lang w:val="es-ES_tradnl"/>
        </w:rPr>
        <w:t xml:space="preserve">resolver tiene su cabida en cuestiones de mera legalidad </w:t>
      </w:r>
      <w:r>
        <w:rPr>
          <w:spacing w:val="-4"/>
          <w:sz w:val="18"/>
          <w:szCs w:val="18"/>
          <w:lang w:val="es-ES_tradnl"/>
        </w:rPr>
        <w:t xml:space="preserve">o en el </w:t>
      </w:r>
      <w:r>
        <w:rPr>
          <w:rFonts w:cs="Times New Roman"/>
          <w:spacing w:val="-4"/>
          <w:sz w:val="18"/>
          <w:szCs w:val="18"/>
          <w:lang w:val="es-ES_tradnl"/>
        </w:rPr>
        <w:t>á</w:t>
      </w:r>
      <w:r>
        <w:rPr>
          <w:spacing w:val="-4"/>
          <w:sz w:val="18"/>
          <w:szCs w:val="18"/>
          <w:lang w:val="es-ES_tradnl"/>
        </w:rPr>
        <w:t>mbito de la jurisdicci</w:t>
      </w:r>
      <w:r>
        <w:rPr>
          <w:rFonts w:cs="Times New Roman"/>
          <w:spacing w:val="-4"/>
          <w:sz w:val="18"/>
          <w:szCs w:val="18"/>
          <w:lang w:val="es-ES_tradnl"/>
        </w:rPr>
        <w:t>ó</w:t>
      </w:r>
      <w:r>
        <w:rPr>
          <w:spacing w:val="-4"/>
          <w:sz w:val="18"/>
          <w:szCs w:val="18"/>
          <w:lang w:val="es-ES_tradnl"/>
        </w:rPr>
        <w:t xml:space="preserve">n constitucional, siendo </w:t>
      </w:r>
      <w:r>
        <w:rPr>
          <w:spacing w:val="-6"/>
          <w:sz w:val="18"/>
          <w:szCs w:val="18"/>
          <w:lang w:val="es-ES_tradnl"/>
        </w:rPr>
        <w:t>primordial la protecci</w:t>
      </w:r>
      <w:r>
        <w:rPr>
          <w:rFonts w:cs="Times New Roman"/>
          <w:spacing w:val="-6"/>
          <w:sz w:val="18"/>
          <w:szCs w:val="18"/>
          <w:lang w:val="es-ES_tradnl"/>
        </w:rPr>
        <w:t>ó</w:t>
      </w:r>
      <w:r>
        <w:rPr>
          <w:spacing w:val="-6"/>
          <w:sz w:val="18"/>
          <w:szCs w:val="18"/>
          <w:lang w:val="es-ES_tradnl"/>
        </w:rPr>
        <w:t>n de los derechos, lo cual llegar</w:t>
      </w:r>
      <w:r>
        <w:rPr>
          <w:rFonts w:cs="Times New Roman"/>
          <w:spacing w:val="-6"/>
          <w:sz w:val="18"/>
          <w:szCs w:val="18"/>
          <w:lang w:val="es-ES_tradnl"/>
        </w:rPr>
        <w:t>í</w:t>
      </w:r>
      <w:r>
        <w:rPr>
          <w:spacing w:val="-6"/>
          <w:sz w:val="18"/>
          <w:szCs w:val="18"/>
          <w:lang w:val="es-ES_tradnl"/>
        </w:rPr>
        <w:t>a a</w:t>
      </w:r>
    </w:p>
    <w:p w14:paraId="4F67B093" w14:textId="77777777" w:rsidR="00591D54" w:rsidRDefault="00591D54">
      <w:pPr>
        <w:shd w:val="clear" w:color="auto" w:fill="FFFFFF"/>
        <w:tabs>
          <w:tab w:val="left" w:pos="139"/>
        </w:tabs>
        <w:spacing w:before="427" w:line="182" w:lineRule="exact"/>
        <w:ind w:left="139" w:hanging="139"/>
      </w:pPr>
      <w:r>
        <w:rPr>
          <w:sz w:val="10"/>
          <w:szCs w:val="10"/>
          <w:vertAlign w:val="superscript"/>
          <w:lang w:val="es-ES_tradnl"/>
        </w:rPr>
        <w:t>2</w:t>
      </w:r>
      <w:r>
        <w:rPr>
          <w:sz w:val="18"/>
          <w:szCs w:val="18"/>
          <w:lang w:val="es-ES_tradnl"/>
        </w:rPr>
        <w:tab/>
      </w:r>
      <w:r>
        <w:rPr>
          <w:spacing w:val="-11"/>
          <w:sz w:val="16"/>
          <w:szCs w:val="16"/>
          <w:lang w:val="es-ES_tradnl"/>
        </w:rPr>
        <w:t>Corte</w:t>
      </w:r>
      <w:r>
        <w:rPr>
          <w:spacing w:val="-11"/>
          <w:sz w:val="18"/>
          <w:szCs w:val="18"/>
          <w:lang w:val="es-ES_tradnl"/>
        </w:rPr>
        <w:t xml:space="preserve"> </w:t>
      </w:r>
      <w:r>
        <w:rPr>
          <w:spacing w:val="-11"/>
          <w:sz w:val="16"/>
          <w:szCs w:val="16"/>
          <w:lang w:val="es-ES_tradnl"/>
        </w:rPr>
        <w:t>Constitucional</w:t>
      </w:r>
      <w:r>
        <w:rPr>
          <w:spacing w:val="-11"/>
          <w:sz w:val="18"/>
          <w:szCs w:val="18"/>
          <w:lang w:val="es-ES_tradnl"/>
        </w:rPr>
        <w:t xml:space="preserve"> </w:t>
      </w:r>
      <w:r>
        <w:rPr>
          <w:spacing w:val="-11"/>
          <w:sz w:val="16"/>
          <w:szCs w:val="16"/>
          <w:lang w:val="es-ES_tradnl"/>
        </w:rPr>
        <w:t>del</w:t>
      </w:r>
      <w:r>
        <w:rPr>
          <w:spacing w:val="-11"/>
          <w:sz w:val="18"/>
          <w:szCs w:val="18"/>
          <w:lang w:val="es-ES_tradnl"/>
        </w:rPr>
        <w:t xml:space="preserve"> </w:t>
      </w:r>
      <w:r>
        <w:rPr>
          <w:spacing w:val="-11"/>
          <w:sz w:val="16"/>
          <w:szCs w:val="16"/>
          <w:lang w:val="es-ES_tradnl"/>
        </w:rPr>
        <w:t>Ecuador,</w:t>
      </w:r>
      <w:r>
        <w:rPr>
          <w:spacing w:val="-11"/>
          <w:sz w:val="18"/>
          <w:szCs w:val="18"/>
          <w:lang w:val="es-ES_tradnl"/>
        </w:rPr>
        <w:t xml:space="preserve"> </w:t>
      </w:r>
      <w:r>
        <w:rPr>
          <w:spacing w:val="-11"/>
          <w:sz w:val="16"/>
          <w:szCs w:val="16"/>
          <w:lang w:val="es-ES_tradnl"/>
        </w:rPr>
        <w:t>sentencia</w:t>
      </w:r>
      <w:r>
        <w:rPr>
          <w:spacing w:val="-11"/>
          <w:sz w:val="18"/>
          <w:szCs w:val="18"/>
          <w:lang w:val="es-ES_tradnl"/>
        </w:rPr>
        <w:t xml:space="preserve"> </w:t>
      </w:r>
      <w:r>
        <w:rPr>
          <w:spacing w:val="-11"/>
          <w:sz w:val="16"/>
          <w:szCs w:val="16"/>
          <w:lang w:val="es-ES_tradnl"/>
        </w:rPr>
        <w:t>N.</w:t>
      </w:r>
      <w:r>
        <w:rPr>
          <w:rFonts w:cs="Times New Roman"/>
          <w:spacing w:val="-11"/>
          <w:sz w:val="16"/>
          <w:szCs w:val="16"/>
          <w:lang w:val="es-ES_tradnl"/>
        </w:rPr>
        <w:t>º</w:t>
      </w:r>
      <w:r>
        <w:rPr>
          <w:spacing w:val="-11"/>
          <w:sz w:val="18"/>
          <w:szCs w:val="18"/>
          <w:lang w:val="es-ES_tradnl"/>
        </w:rPr>
        <w:t xml:space="preserve"> </w:t>
      </w:r>
      <w:r>
        <w:rPr>
          <w:spacing w:val="-11"/>
          <w:sz w:val="16"/>
          <w:szCs w:val="16"/>
          <w:lang w:val="es-ES_tradnl"/>
        </w:rPr>
        <w:t>143-14-SEP-CC,</w:t>
      </w:r>
      <w:r>
        <w:rPr>
          <w:spacing w:val="-11"/>
          <w:sz w:val="18"/>
          <w:szCs w:val="18"/>
          <w:lang w:val="es-ES_tradnl"/>
        </w:rPr>
        <w:t xml:space="preserve"> </w:t>
      </w:r>
      <w:r>
        <w:rPr>
          <w:spacing w:val="-11"/>
          <w:sz w:val="16"/>
          <w:szCs w:val="16"/>
          <w:lang w:val="es-ES_tradnl"/>
        </w:rPr>
        <w:t>de </w:t>
      </w:r>
      <w:r>
        <w:rPr>
          <w:spacing w:val="-12"/>
          <w:sz w:val="16"/>
          <w:szCs w:val="16"/>
          <w:lang w:val="es-ES_tradnl"/>
        </w:rPr>
        <w:t>01 de octubre de 2014 dictada dentro del caso N.</w:t>
      </w:r>
      <w:r>
        <w:rPr>
          <w:rFonts w:cs="Times New Roman"/>
          <w:spacing w:val="-12"/>
          <w:sz w:val="16"/>
          <w:szCs w:val="16"/>
          <w:lang w:val="es-ES_tradnl"/>
        </w:rPr>
        <w:t>º</w:t>
      </w:r>
      <w:r>
        <w:rPr>
          <w:spacing w:val="-12"/>
          <w:sz w:val="16"/>
          <w:szCs w:val="16"/>
          <w:lang w:val="es-ES_tradnl"/>
        </w:rPr>
        <w:t xml:space="preserve"> 2225-13-EP.</w:t>
      </w:r>
    </w:p>
    <w:p w14:paraId="4F67B094" w14:textId="77777777" w:rsidR="00591D54" w:rsidRDefault="00591D54">
      <w:pPr>
        <w:shd w:val="clear" w:color="auto" w:fill="FFFFFF"/>
        <w:tabs>
          <w:tab w:val="left" w:pos="139"/>
        </w:tabs>
        <w:spacing w:before="149" w:line="178" w:lineRule="exact"/>
        <w:ind w:left="139" w:hanging="139"/>
      </w:pPr>
      <w:r>
        <w:rPr>
          <w:sz w:val="10"/>
          <w:szCs w:val="10"/>
          <w:vertAlign w:val="superscript"/>
          <w:lang w:val="es-ES_tradnl"/>
        </w:rPr>
        <w:t>3</w:t>
      </w:r>
      <w:r>
        <w:rPr>
          <w:sz w:val="18"/>
          <w:szCs w:val="18"/>
          <w:lang w:val="es-ES_tradnl"/>
        </w:rPr>
        <w:tab/>
      </w:r>
      <w:r>
        <w:rPr>
          <w:spacing w:val="-11"/>
          <w:sz w:val="16"/>
          <w:szCs w:val="16"/>
          <w:lang w:val="es-ES_tradnl"/>
        </w:rPr>
        <w:t>Corte</w:t>
      </w:r>
      <w:r>
        <w:rPr>
          <w:spacing w:val="-11"/>
          <w:sz w:val="18"/>
          <w:szCs w:val="18"/>
          <w:lang w:val="es-ES_tradnl"/>
        </w:rPr>
        <w:t xml:space="preserve"> </w:t>
      </w:r>
      <w:r>
        <w:rPr>
          <w:spacing w:val="-11"/>
          <w:sz w:val="16"/>
          <w:szCs w:val="16"/>
          <w:lang w:val="es-ES_tradnl"/>
        </w:rPr>
        <w:t>Constitucional</w:t>
      </w:r>
      <w:r>
        <w:rPr>
          <w:spacing w:val="-11"/>
          <w:sz w:val="18"/>
          <w:szCs w:val="18"/>
          <w:lang w:val="es-ES_tradnl"/>
        </w:rPr>
        <w:t xml:space="preserve"> </w:t>
      </w:r>
      <w:r>
        <w:rPr>
          <w:spacing w:val="-11"/>
          <w:sz w:val="16"/>
          <w:szCs w:val="16"/>
          <w:lang w:val="es-ES_tradnl"/>
        </w:rPr>
        <w:t>del</w:t>
      </w:r>
      <w:r>
        <w:rPr>
          <w:spacing w:val="-11"/>
          <w:sz w:val="18"/>
          <w:szCs w:val="18"/>
          <w:lang w:val="es-ES_tradnl"/>
        </w:rPr>
        <w:t xml:space="preserve"> </w:t>
      </w:r>
      <w:r>
        <w:rPr>
          <w:spacing w:val="-11"/>
          <w:sz w:val="16"/>
          <w:szCs w:val="16"/>
          <w:lang w:val="es-ES_tradnl"/>
        </w:rPr>
        <w:t>Ecuador,</w:t>
      </w:r>
      <w:r>
        <w:rPr>
          <w:spacing w:val="-11"/>
          <w:sz w:val="18"/>
          <w:szCs w:val="18"/>
          <w:lang w:val="es-ES_tradnl"/>
        </w:rPr>
        <w:t xml:space="preserve"> </w:t>
      </w:r>
      <w:r>
        <w:rPr>
          <w:spacing w:val="-11"/>
          <w:sz w:val="16"/>
          <w:szCs w:val="16"/>
          <w:lang w:val="es-ES_tradnl"/>
        </w:rPr>
        <w:t>sentencia</w:t>
      </w:r>
      <w:r>
        <w:rPr>
          <w:spacing w:val="-11"/>
          <w:sz w:val="18"/>
          <w:szCs w:val="18"/>
          <w:lang w:val="es-ES_tradnl"/>
        </w:rPr>
        <w:t xml:space="preserve"> </w:t>
      </w:r>
      <w:r>
        <w:rPr>
          <w:spacing w:val="-11"/>
          <w:sz w:val="16"/>
          <w:szCs w:val="16"/>
          <w:lang w:val="es-ES_tradnl"/>
        </w:rPr>
        <w:t>No.013-13-SEP-CC</w:t>
      </w:r>
      <w:r>
        <w:rPr>
          <w:spacing w:val="-11"/>
          <w:sz w:val="18"/>
          <w:szCs w:val="18"/>
          <w:lang w:val="es-ES_tradnl"/>
        </w:rPr>
        <w:t xml:space="preserve"> </w:t>
      </w:r>
      <w:r>
        <w:rPr>
          <w:spacing w:val="-11"/>
          <w:sz w:val="16"/>
          <w:szCs w:val="16"/>
          <w:lang w:val="es-ES_tradnl"/>
        </w:rPr>
        <w:t>de </w:t>
      </w:r>
      <w:r>
        <w:rPr>
          <w:sz w:val="16"/>
          <w:szCs w:val="16"/>
          <w:lang w:val="es-ES_tradnl"/>
        </w:rPr>
        <w:t>09 de mayo de 2013, caso No. 0991-12-EP.</w:t>
      </w:r>
    </w:p>
    <w:p w14:paraId="4F67B095" w14:textId="77777777" w:rsidR="00591D54" w:rsidRDefault="00591D54">
      <w:pPr>
        <w:shd w:val="clear" w:color="auto" w:fill="FFFFFF"/>
        <w:spacing w:before="5" w:line="221" w:lineRule="exact"/>
        <w:jc w:val="both"/>
      </w:pPr>
      <w:r>
        <w:br w:type="column"/>
      </w:r>
      <w:r>
        <w:rPr>
          <w:spacing w:val="-6"/>
          <w:sz w:val="18"/>
          <w:szCs w:val="18"/>
          <w:lang w:val="es-ES_tradnl"/>
        </w:rPr>
        <w:t>primar sobre la jurisdicci</w:t>
      </w:r>
      <w:r>
        <w:rPr>
          <w:rFonts w:cs="Times New Roman"/>
          <w:spacing w:val="-6"/>
          <w:sz w:val="18"/>
          <w:szCs w:val="18"/>
          <w:lang w:val="es-ES_tradnl"/>
        </w:rPr>
        <w:t>ó</w:t>
      </w:r>
      <w:r>
        <w:rPr>
          <w:spacing w:val="-6"/>
          <w:sz w:val="18"/>
          <w:szCs w:val="18"/>
          <w:lang w:val="es-ES_tradnl"/>
        </w:rPr>
        <w:t xml:space="preserve">n ordinaria. Para lo cual, resulta </w:t>
      </w:r>
      <w:r>
        <w:rPr>
          <w:spacing w:val="-4"/>
          <w:sz w:val="18"/>
          <w:szCs w:val="18"/>
          <w:lang w:val="es-ES_tradnl"/>
        </w:rPr>
        <w:t xml:space="preserve">indispensable verificar el cumplimiento de los requisitos </w:t>
      </w:r>
      <w:r>
        <w:rPr>
          <w:spacing w:val="-7"/>
          <w:sz w:val="18"/>
          <w:szCs w:val="18"/>
          <w:lang w:val="es-ES_tradnl"/>
        </w:rPr>
        <w:t>de la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n, contenidos en el art</w:t>
      </w:r>
      <w:r>
        <w:rPr>
          <w:rFonts w:cs="Times New Roman"/>
          <w:spacing w:val="-7"/>
          <w:sz w:val="18"/>
          <w:szCs w:val="18"/>
          <w:lang w:val="es-ES_tradnl"/>
        </w:rPr>
        <w:t>í</w:t>
      </w:r>
      <w:r>
        <w:rPr>
          <w:spacing w:val="-7"/>
          <w:sz w:val="18"/>
          <w:szCs w:val="18"/>
          <w:lang w:val="es-ES_tradnl"/>
        </w:rPr>
        <w:t xml:space="preserve">culo 40 de </w:t>
      </w:r>
      <w:r>
        <w:rPr>
          <w:spacing w:val="-5"/>
          <w:sz w:val="18"/>
          <w:szCs w:val="18"/>
          <w:lang w:val="es-ES_tradnl"/>
        </w:rPr>
        <w:t>la Ley Org</w:t>
      </w:r>
      <w:r>
        <w:rPr>
          <w:rFonts w:cs="Times New Roman"/>
          <w:spacing w:val="-5"/>
          <w:sz w:val="18"/>
          <w:szCs w:val="18"/>
          <w:lang w:val="es-ES_tradnl"/>
        </w:rPr>
        <w:t>á</w:t>
      </w:r>
      <w:r>
        <w:rPr>
          <w:spacing w:val="-5"/>
          <w:sz w:val="18"/>
          <w:szCs w:val="18"/>
          <w:lang w:val="es-ES_tradnl"/>
        </w:rPr>
        <w:t>nica de Garant</w:t>
      </w:r>
      <w:r>
        <w:rPr>
          <w:rFonts w:cs="Times New Roman"/>
          <w:spacing w:val="-5"/>
          <w:sz w:val="18"/>
          <w:szCs w:val="18"/>
          <w:lang w:val="es-ES_tradnl"/>
        </w:rPr>
        <w:t>í</w:t>
      </w:r>
      <w:r>
        <w:rPr>
          <w:spacing w:val="-5"/>
          <w:sz w:val="18"/>
          <w:szCs w:val="18"/>
          <w:lang w:val="es-ES_tradnl"/>
        </w:rPr>
        <w:t xml:space="preserve">as Jurisdiccionales y Control </w:t>
      </w:r>
      <w:r>
        <w:rPr>
          <w:sz w:val="18"/>
          <w:szCs w:val="18"/>
          <w:lang w:val="es-ES_tradnl"/>
        </w:rPr>
        <w:t>Constitucional que establece:</w:t>
      </w:r>
    </w:p>
    <w:p w14:paraId="4F67B096" w14:textId="77777777" w:rsidR="00591D54" w:rsidRDefault="00591D54">
      <w:pPr>
        <w:shd w:val="clear" w:color="auto" w:fill="FFFFFF"/>
        <w:spacing w:before="206" w:line="221" w:lineRule="exact"/>
        <w:ind w:left="283"/>
        <w:jc w:val="both"/>
      </w:pPr>
      <w:r>
        <w:rPr>
          <w:spacing w:val="-7"/>
          <w:sz w:val="16"/>
          <w:szCs w:val="16"/>
          <w:lang w:val="es-ES_tradnl"/>
        </w:rPr>
        <w:t>La acci</w:t>
      </w:r>
      <w:r>
        <w:rPr>
          <w:rFonts w:cs="Times New Roman"/>
          <w:spacing w:val="-7"/>
          <w:sz w:val="16"/>
          <w:szCs w:val="16"/>
          <w:lang w:val="es-ES_tradnl"/>
        </w:rPr>
        <w:t>ó</w:t>
      </w:r>
      <w:r>
        <w:rPr>
          <w:spacing w:val="-7"/>
          <w:sz w:val="16"/>
          <w:szCs w:val="16"/>
          <w:lang w:val="es-ES_tradnl"/>
        </w:rPr>
        <w:t>n de protecci</w:t>
      </w:r>
      <w:r>
        <w:rPr>
          <w:rFonts w:cs="Times New Roman"/>
          <w:spacing w:val="-7"/>
          <w:sz w:val="16"/>
          <w:szCs w:val="16"/>
          <w:lang w:val="es-ES_tradnl"/>
        </w:rPr>
        <w:t>ó</w:t>
      </w:r>
      <w:r>
        <w:rPr>
          <w:spacing w:val="-7"/>
          <w:sz w:val="16"/>
          <w:szCs w:val="16"/>
          <w:lang w:val="es-ES_tradnl"/>
        </w:rPr>
        <w:t>n se podr</w:t>
      </w:r>
      <w:r>
        <w:rPr>
          <w:rFonts w:cs="Times New Roman"/>
          <w:spacing w:val="-7"/>
          <w:sz w:val="16"/>
          <w:szCs w:val="16"/>
          <w:lang w:val="es-ES_tradnl"/>
        </w:rPr>
        <w:t>á</w:t>
      </w:r>
      <w:r>
        <w:rPr>
          <w:spacing w:val="-7"/>
          <w:sz w:val="16"/>
          <w:szCs w:val="16"/>
          <w:lang w:val="es-ES_tradnl"/>
        </w:rPr>
        <w:t xml:space="preserve"> presentar cuando concurran </w:t>
      </w:r>
      <w:r>
        <w:rPr>
          <w:sz w:val="16"/>
          <w:szCs w:val="16"/>
          <w:lang w:val="es-ES_tradnl"/>
        </w:rPr>
        <w:t>los siguientes requisitos:</w:t>
      </w:r>
    </w:p>
    <w:p w14:paraId="4F67B097" w14:textId="77777777" w:rsidR="00591D54" w:rsidRDefault="00591D54" w:rsidP="00251195">
      <w:pPr>
        <w:numPr>
          <w:ilvl w:val="0"/>
          <w:numId w:val="80"/>
        </w:numPr>
        <w:shd w:val="clear" w:color="auto" w:fill="FFFFFF"/>
        <w:tabs>
          <w:tab w:val="left" w:pos="850"/>
        </w:tabs>
        <w:spacing w:before="226"/>
        <w:ind w:left="566"/>
        <w:rPr>
          <w:spacing w:val="-10"/>
          <w:sz w:val="16"/>
          <w:szCs w:val="16"/>
          <w:lang w:val="es-ES_tradnl"/>
        </w:rPr>
      </w:pPr>
      <w:r>
        <w:rPr>
          <w:spacing w:val="-5"/>
          <w:sz w:val="16"/>
          <w:szCs w:val="16"/>
          <w:lang w:val="es-ES_tradnl"/>
        </w:rPr>
        <w:t>Violaci</w:t>
      </w:r>
      <w:r>
        <w:rPr>
          <w:rFonts w:cs="Times New Roman"/>
          <w:spacing w:val="-5"/>
          <w:sz w:val="16"/>
          <w:szCs w:val="16"/>
          <w:lang w:val="es-ES_tradnl"/>
        </w:rPr>
        <w:t>ó</w:t>
      </w:r>
      <w:r>
        <w:rPr>
          <w:spacing w:val="-5"/>
          <w:sz w:val="16"/>
          <w:szCs w:val="16"/>
          <w:lang w:val="es-ES_tradnl"/>
        </w:rPr>
        <w:t>n</w:t>
      </w:r>
      <w:r>
        <w:rPr>
          <w:spacing w:val="-5"/>
          <w:sz w:val="18"/>
          <w:szCs w:val="18"/>
          <w:lang w:val="es-ES_tradnl"/>
        </w:rPr>
        <w:t xml:space="preserve"> </w:t>
      </w:r>
      <w:r>
        <w:rPr>
          <w:spacing w:val="-5"/>
          <w:sz w:val="16"/>
          <w:szCs w:val="16"/>
          <w:lang w:val="es-ES_tradnl"/>
        </w:rPr>
        <w:t>de</w:t>
      </w:r>
      <w:r>
        <w:rPr>
          <w:spacing w:val="-5"/>
          <w:sz w:val="18"/>
          <w:szCs w:val="18"/>
          <w:lang w:val="es-ES_tradnl"/>
        </w:rPr>
        <w:t xml:space="preserve"> </w:t>
      </w:r>
      <w:r>
        <w:rPr>
          <w:spacing w:val="-5"/>
          <w:sz w:val="16"/>
          <w:szCs w:val="16"/>
          <w:lang w:val="es-ES_tradnl"/>
        </w:rPr>
        <w:t>un</w:t>
      </w:r>
      <w:r>
        <w:rPr>
          <w:spacing w:val="-5"/>
          <w:sz w:val="18"/>
          <w:szCs w:val="18"/>
          <w:lang w:val="es-ES_tradnl"/>
        </w:rPr>
        <w:t xml:space="preserve"> </w:t>
      </w:r>
      <w:r>
        <w:rPr>
          <w:spacing w:val="-5"/>
          <w:sz w:val="16"/>
          <w:szCs w:val="16"/>
          <w:lang w:val="es-ES_tradnl"/>
        </w:rPr>
        <w:t>derecho</w:t>
      </w:r>
      <w:r>
        <w:rPr>
          <w:spacing w:val="-5"/>
          <w:sz w:val="18"/>
          <w:szCs w:val="18"/>
          <w:lang w:val="es-ES_tradnl"/>
        </w:rPr>
        <w:t xml:space="preserve"> </w:t>
      </w:r>
      <w:r>
        <w:rPr>
          <w:spacing w:val="-5"/>
          <w:sz w:val="16"/>
          <w:szCs w:val="16"/>
          <w:lang w:val="es-ES_tradnl"/>
        </w:rPr>
        <w:t>constitucional;</w:t>
      </w:r>
    </w:p>
    <w:p w14:paraId="4F67B098" w14:textId="77777777" w:rsidR="00591D54" w:rsidRDefault="00591D54" w:rsidP="00251195">
      <w:pPr>
        <w:numPr>
          <w:ilvl w:val="0"/>
          <w:numId w:val="81"/>
        </w:numPr>
        <w:shd w:val="clear" w:color="auto" w:fill="FFFFFF"/>
        <w:tabs>
          <w:tab w:val="left" w:pos="850"/>
        </w:tabs>
        <w:spacing w:line="221" w:lineRule="exact"/>
        <w:ind w:left="850" w:hanging="283"/>
        <w:rPr>
          <w:spacing w:val="-10"/>
          <w:sz w:val="16"/>
          <w:szCs w:val="16"/>
          <w:lang w:val="es-ES_tradnl"/>
        </w:rPr>
      </w:pPr>
      <w:r>
        <w:rPr>
          <w:sz w:val="16"/>
          <w:szCs w:val="16"/>
          <w:lang w:val="es-ES_tradnl"/>
        </w:rPr>
        <w:t>Acci</w:t>
      </w:r>
      <w:r>
        <w:rPr>
          <w:rFonts w:cs="Times New Roman"/>
          <w:sz w:val="16"/>
          <w:szCs w:val="16"/>
          <w:lang w:val="es-ES_tradnl"/>
        </w:rPr>
        <w:t>ó</w:t>
      </w:r>
      <w:r>
        <w:rPr>
          <w:sz w:val="16"/>
          <w:szCs w:val="16"/>
          <w:lang w:val="es-ES_tradnl"/>
        </w:rPr>
        <w:t>n</w:t>
      </w:r>
      <w:r>
        <w:rPr>
          <w:sz w:val="18"/>
          <w:szCs w:val="18"/>
          <w:lang w:val="es-ES_tradnl"/>
        </w:rPr>
        <w:t xml:space="preserve"> </w:t>
      </w:r>
      <w:r>
        <w:rPr>
          <w:sz w:val="16"/>
          <w:szCs w:val="16"/>
          <w:lang w:val="es-ES_tradnl"/>
        </w:rPr>
        <w:t>u</w:t>
      </w:r>
      <w:r>
        <w:rPr>
          <w:sz w:val="18"/>
          <w:szCs w:val="18"/>
          <w:lang w:val="es-ES_tradnl"/>
        </w:rPr>
        <w:t xml:space="preserve"> </w:t>
      </w:r>
      <w:r>
        <w:rPr>
          <w:sz w:val="16"/>
          <w:szCs w:val="16"/>
          <w:lang w:val="es-ES_tradnl"/>
        </w:rPr>
        <w:t>omisi</w:t>
      </w:r>
      <w:r>
        <w:rPr>
          <w:rFonts w:cs="Times New Roman"/>
          <w:sz w:val="16"/>
          <w:szCs w:val="16"/>
          <w:lang w:val="es-ES_tradnl"/>
        </w:rPr>
        <w:t>ó</w:t>
      </w:r>
      <w:r>
        <w:rPr>
          <w:sz w:val="16"/>
          <w:szCs w:val="16"/>
          <w:lang w:val="es-ES_tradnl"/>
        </w:rPr>
        <w:t>n</w:t>
      </w:r>
      <w:r>
        <w:rPr>
          <w:sz w:val="18"/>
          <w:szCs w:val="18"/>
          <w:lang w:val="es-ES_tradnl"/>
        </w:rPr>
        <w:t xml:space="preserve"> </w:t>
      </w:r>
      <w:r>
        <w:rPr>
          <w:sz w:val="16"/>
          <w:szCs w:val="16"/>
          <w:lang w:val="es-ES_tradnl"/>
        </w:rPr>
        <w:t>de</w:t>
      </w:r>
      <w:r>
        <w:rPr>
          <w:sz w:val="18"/>
          <w:szCs w:val="18"/>
          <w:lang w:val="es-ES_tradnl"/>
        </w:rPr>
        <w:t xml:space="preserve"> </w:t>
      </w:r>
      <w:r>
        <w:rPr>
          <w:sz w:val="16"/>
          <w:szCs w:val="16"/>
          <w:lang w:val="es-ES_tradnl"/>
        </w:rPr>
        <w:t>autoridad</w:t>
      </w:r>
      <w:r>
        <w:rPr>
          <w:sz w:val="18"/>
          <w:szCs w:val="18"/>
          <w:lang w:val="es-ES_tradnl"/>
        </w:rPr>
        <w:t xml:space="preserve"> </w:t>
      </w:r>
      <w:r>
        <w:rPr>
          <w:sz w:val="16"/>
          <w:szCs w:val="16"/>
          <w:lang w:val="es-ES_tradnl"/>
        </w:rPr>
        <w:t>p</w:t>
      </w:r>
      <w:r>
        <w:rPr>
          <w:rFonts w:cs="Times New Roman"/>
          <w:sz w:val="16"/>
          <w:szCs w:val="16"/>
          <w:lang w:val="es-ES_tradnl"/>
        </w:rPr>
        <w:t>ú</w:t>
      </w:r>
      <w:r>
        <w:rPr>
          <w:sz w:val="16"/>
          <w:szCs w:val="16"/>
          <w:lang w:val="es-ES_tradnl"/>
        </w:rPr>
        <w:t>blica</w:t>
      </w:r>
      <w:r>
        <w:rPr>
          <w:sz w:val="18"/>
          <w:szCs w:val="18"/>
          <w:lang w:val="es-ES_tradnl"/>
        </w:rPr>
        <w:t xml:space="preserve"> </w:t>
      </w:r>
      <w:r>
        <w:rPr>
          <w:sz w:val="16"/>
          <w:szCs w:val="16"/>
          <w:lang w:val="es-ES_tradnl"/>
        </w:rPr>
        <w:t>o</w:t>
      </w:r>
      <w:r>
        <w:rPr>
          <w:sz w:val="18"/>
          <w:szCs w:val="18"/>
          <w:lang w:val="es-ES_tradnl"/>
        </w:rPr>
        <w:t xml:space="preserve"> </w:t>
      </w:r>
      <w:r>
        <w:rPr>
          <w:sz w:val="16"/>
          <w:szCs w:val="16"/>
          <w:lang w:val="es-ES_tradnl"/>
        </w:rPr>
        <w:t>de</w:t>
      </w:r>
      <w:r>
        <w:rPr>
          <w:sz w:val="18"/>
          <w:szCs w:val="18"/>
          <w:lang w:val="es-ES_tradnl"/>
        </w:rPr>
        <w:t xml:space="preserve"> </w:t>
      </w:r>
      <w:r>
        <w:rPr>
          <w:sz w:val="16"/>
          <w:szCs w:val="16"/>
          <w:lang w:val="es-ES_tradnl"/>
        </w:rPr>
        <w:t xml:space="preserve">un </w:t>
      </w:r>
      <w:r>
        <w:rPr>
          <w:spacing w:val="-6"/>
          <w:sz w:val="16"/>
          <w:szCs w:val="16"/>
          <w:lang w:val="es-ES_tradnl"/>
        </w:rPr>
        <w:t>particular de conformidad con el art</w:t>
      </w:r>
      <w:r>
        <w:rPr>
          <w:rFonts w:cs="Times New Roman"/>
          <w:spacing w:val="-6"/>
          <w:sz w:val="16"/>
          <w:szCs w:val="16"/>
          <w:lang w:val="es-ES_tradnl"/>
        </w:rPr>
        <w:t>í</w:t>
      </w:r>
      <w:r>
        <w:rPr>
          <w:spacing w:val="-6"/>
          <w:sz w:val="16"/>
          <w:szCs w:val="16"/>
          <w:lang w:val="es-ES_tradnl"/>
        </w:rPr>
        <w:t>culo siguiente; y,</w:t>
      </w:r>
    </w:p>
    <w:p w14:paraId="4F67B099" w14:textId="77777777" w:rsidR="00591D54" w:rsidRDefault="00591D54" w:rsidP="00251195">
      <w:pPr>
        <w:numPr>
          <w:ilvl w:val="0"/>
          <w:numId w:val="81"/>
        </w:numPr>
        <w:shd w:val="clear" w:color="auto" w:fill="FFFFFF"/>
        <w:tabs>
          <w:tab w:val="left" w:pos="850"/>
        </w:tabs>
        <w:spacing w:line="226" w:lineRule="exact"/>
        <w:ind w:left="850" w:hanging="283"/>
        <w:rPr>
          <w:spacing w:val="-10"/>
          <w:sz w:val="16"/>
          <w:szCs w:val="16"/>
          <w:lang w:val="es-ES_tradnl"/>
        </w:rPr>
      </w:pPr>
      <w:r>
        <w:rPr>
          <w:spacing w:val="-4"/>
          <w:sz w:val="16"/>
          <w:szCs w:val="16"/>
          <w:lang w:val="es-ES_tradnl"/>
        </w:rPr>
        <w:t>Inexistencia</w:t>
      </w:r>
      <w:r>
        <w:rPr>
          <w:spacing w:val="-4"/>
          <w:sz w:val="18"/>
          <w:szCs w:val="18"/>
          <w:lang w:val="es-ES_tradnl"/>
        </w:rPr>
        <w:t xml:space="preserve"> </w:t>
      </w:r>
      <w:r>
        <w:rPr>
          <w:spacing w:val="-4"/>
          <w:sz w:val="16"/>
          <w:szCs w:val="16"/>
          <w:lang w:val="es-ES_tradnl"/>
        </w:rPr>
        <w:t>de</w:t>
      </w:r>
      <w:r>
        <w:rPr>
          <w:spacing w:val="-4"/>
          <w:sz w:val="18"/>
          <w:szCs w:val="18"/>
          <w:lang w:val="es-ES_tradnl"/>
        </w:rPr>
        <w:t xml:space="preserve"> </w:t>
      </w:r>
      <w:r>
        <w:rPr>
          <w:spacing w:val="-4"/>
          <w:sz w:val="16"/>
          <w:szCs w:val="16"/>
          <w:lang w:val="es-ES_tradnl"/>
        </w:rPr>
        <w:t>otro</w:t>
      </w:r>
      <w:r>
        <w:rPr>
          <w:spacing w:val="-4"/>
          <w:sz w:val="18"/>
          <w:szCs w:val="18"/>
          <w:lang w:val="es-ES_tradnl"/>
        </w:rPr>
        <w:t xml:space="preserve"> </w:t>
      </w:r>
      <w:r>
        <w:rPr>
          <w:spacing w:val="-4"/>
          <w:sz w:val="16"/>
          <w:szCs w:val="16"/>
          <w:lang w:val="es-ES_tradnl"/>
        </w:rPr>
        <w:t>mecanismo</w:t>
      </w:r>
      <w:r>
        <w:rPr>
          <w:spacing w:val="-4"/>
          <w:sz w:val="18"/>
          <w:szCs w:val="18"/>
          <w:lang w:val="es-ES_tradnl"/>
        </w:rPr>
        <w:t xml:space="preserve"> </w:t>
      </w:r>
      <w:r>
        <w:rPr>
          <w:spacing w:val="-4"/>
          <w:sz w:val="16"/>
          <w:szCs w:val="16"/>
          <w:lang w:val="es-ES_tradnl"/>
        </w:rPr>
        <w:t>de</w:t>
      </w:r>
      <w:r>
        <w:rPr>
          <w:spacing w:val="-4"/>
          <w:sz w:val="18"/>
          <w:szCs w:val="18"/>
          <w:lang w:val="es-ES_tradnl"/>
        </w:rPr>
        <w:t xml:space="preserve"> </w:t>
      </w:r>
      <w:r>
        <w:rPr>
          <w:spacing w:val="-4"/>
          <w:sz w:val="16"/>
          <w:szCs w:val="16"/>
          <w:lang w:val="es-ES_tradnl"/>
        </w:rPr>
        <w:t>defensa</w:t>
      </w:r>
      <w:r>
        <w:rPr>
          <w:spacing w:val="-4"/>
          <w:sz w:val="18"/>
          <w:szCs w:val="18"/>
          <w:lang w:val="es-ES_tradnl"/>
        </w:rPr>
        <w:t xml:space="preserve"> </w:t>
      </w:r>
      <w:r>
        <w:rPr>
          <w:spacing w:val="-4"/>
          <w:sz w:val="16"/>
          <w:szCs w:val="16"/>
          <w:lang w:val="es-ES_tradnl"/>
        </w:rPr>
        <w:t xml:space="preserve">judicial </w:t>
      </w:r>
      <w:r>
        <w:rPr>
          <w:spacing w:val="-8"/>
          <w:sz w:val="16"/>
          <w:szCs w:val="16"/>
          <w:lang w:val="es-ES_tradnl"/>
        </w:rPr>
        <w:t>adecuado y eficaz para proteger el derecho violado.</w:t>
      </w:r>
    </w:p>
    <w:p w14:paraId="4F67B09A" w14:textId="77777777" w:rsidR="00591D54" w:rsidRDefault="00591D54">
      <w:pPr>
        <w:shd w:val="clear" w:color="auto" w:fill="FFFFFF"/>
        <w:spacing w:before="206" w:line="221" w:lineRule="exact"/>
        <w:jc w:val="both"/>
      </w:pPr>
      <w:r>
        <w:rPr>
          <w:spacing w:val="-2"/>
          <w:sz w:val="18"/>
          <w:szCs w:val="18"/>
          <w:lang w:val="es-ES_tradnl"/>
        </w:rPr>
        <w:t>Examinado los fundamentos de la demanda de acci</w:t>
      </w:r>
      <w:r>
        <w:rPr>
          <w:rFonts w:cs="Times New Roman"/>
          <w:spacing w:val="-2"/>
          <w:sz w:val="18"/>
          <w:szCs w:val="18"/>
          <w:lang w:val="es-ES_tradnl"/>
        </w:rPr>
        <w:t>ó</w:t>
      </w:r>
      <w:r>
        <w:rPr>
          <w:spacing w:val="-2"/>
          <w:sz w:val="18"/>
          <w:szCs w:val="18"/>
          <w:lang w:val="es-ES_tradnl"/>
        </w:rPr>
        <w:t xml:space="preserve">n </w:t>
      </w:r>
      <w:r>
        <w:rPr>
          <w:spacing w:val="-1"/>
          <w:sz w:val="18"/>
          <w:szCs w:val="18"/>
          <w:lang w:val="es-ES_tradnl"/>
        </w:rPr>
        <w:t>de protecci</w:t>
      </w:r>
      <w:r>
        <w:rPr>
          <w:rFonts w:cs="Times New Roman"/>
          <w:spacing w:val="-1"/>
          <w:sz w:val="18"/>
          <w:szCs w:val="18"/>
          <w:lang w:val="es-ES_tradnl"/>
        </w:rPr>
        <w:t>ó</w:t>
      </w:r>
      <w:r>
        <w:rPr>
          <w:spacing w:val="-1"/>
          <w:sz w:val="18"/>
          <w:szCs w:val="18"/>
          <w:lang w:val="es-ES_tradnl"/>
        </w:rPr>
        <w:t xml:space="preserve">n, los mismos se centran en detallar </w:t>
      </w:r>
      <w:r>
        <w:rPr>
          <w:rFonts w:cs="Times New Roman"/>
          <w:spacing w:val="-1"/>
          <w:sz w:val="18"/>
          <w:szCs w:val="18"/>
          <w:lang w:val="es-ES_tradnl"/>
        </w:rPr>
        <w:t>“</w:t>
      </w:r>
      <w:r>
        <w:rPr>
          <w:spacing w:val="-1"/>
          <w:sz w:val="18"/>
          <w:szCs w:val="18"/>
          <w:lang w:val="es-ES_tradnl"/>
        </w:rPr>
        <w:t>(</w:t>
      </w:r>
      <w:r>
        <w:rPr>
          <w:rFonts w:cs="Times New Roman"/>
          <w:spacing w:val="-1"/>
          <w:sz w:val="18"/>
          <w:szCs w:val="18"/>
          <w:lang w:val="es-ES_tradnl"/>
        </w:rPr>
        <w:t>…</w:t>
      </w:r>
      <w:r>
        <w:rPr>
          <w:spacing w:val="-1"/>
          <w:sz w:val="18"/>
          <w:szCs w:val="18"/>
          <w:lang w:val="es-ES_tradnl"/>
        </w:rPr>
        <w:t xml:space="preserve">) </w:t>
      </w:r>
      <w:r>
        <w:rPr>
          <w:sz w:val="18"/>
          <w:szCs w:val="18"/>
          <w:lang w:val="es-ES_tradnl"/>
        </w:rPr>
        <w:t xml:space="preserve">el accionar ilegitimo, indebido e injusto por parte del Ministerio de Relaciones Laborales y el Banco </w:t>
      </w:r>
      <w:r>
        <w:rPr>
          <w:spacing w:val="-5"/>
          <w:sz w:val="18"/>
          <w:szCs w:val="18"/>
          <w:lang w:val="es-ES_tradnl"/>
        </w:rPr>
        <w:t xml:space="preserve">Central del Ecuador al exigir a la compareciente una </w:t>
      </w:r>
      <w:r>
        <w:rPr>
          <w:spacing w:val="-4"/>
          <w:sz w:val="18"/>
          <w:szCs w:val="18"/>
          <w:lang w:val="es-ES_tradnl"/>
        </w:rPr>
        <w:t>devoluci</w:t>
      </w:r>
      <w:r>
        <w:rPr>
          <w:rFonts w:cs="Times New Roman"/>
          <w:spacing w:val="-4"/>
          <w:sz w:val="18"/>
          <w:szCs w:val="18"/>
          <w:lang w:val="es-ES_tradnl"/>
        </w:rPr>
        <w:t>ó</w:t>
      </w:r>
      <w:r>
        <w:rPr>
          <w:spacing w:val="-4"/>
          <w:sz w:val="18"/>
          <w:szCs w:val="18"/>
          <w:lang w:val="es-ES_tradnl"/>
        </w:rPr>
        <w:t>n o reintegro de valores sin fundamento, (</w:t>
      </w:r>
      <w:r>
        <w:rPr>
          <w:rFonts w:cs="Times New Roman"/>
          <w:spacing w:val="-4"/>
          <w:sz w:val="18"/>
          <w:szCs w:val="18"/>
          <w:lang w:val="es-ES_tradnl"/>
        </w:rPr>
        <w:t>…</w:t>
      </w:r>
      <w:r>
        <w:rPr>
          <w:spacing w:val="-4"/>
          <w:sz w:val="18"/>
          <w:szCs w:val="18"/>
          <w:lang w:val="es-ES_tradnl"/>
        </w:rPr>
        <w:t xml:space="preserve">) </w:t>
      </w:r>
      <w:r>
        <w:rPr>
          <w:spacing w:val="-7"/>
          <w:sz w:val="18"/>
          <w:szCs w:val="18"/>
          <w:lang w:val="es-ES_tradnl"/>
        </w:rPr>
        <w:t>provocando transgresi</w:t>
      </w:r>
      <w:r>
        <w:rPr>
          <w:rFonts w:cs="Times New Roman"/>
          <w:spacing w:val="-7"/>
          <w:sz w:val="18"/>
          <w:szCs w:val="18"/>
          <w:lang w:val="es-ES_tradnl"/>
        </w:rPr>
        <w:t>ó</w:t>
      </w:r>
      <w:r>
        <w:rPr>
          <w:spacing w:val="-7"/>
          <w:sz w:val="18"/>
          <w:szCs w:val="18"/>
          <w:lang w:val="es-ES_tradnl"/>
        </w:rPr>
        <w:t xml:space="preserve">n abusiva y palmaria de derechos </w:t>
      </w:r>
      <w:r>
        <w:rPr>
          <w:spacing w:val="-6"/>
          <w:sz w:val="18"/>
          <w:szCs w:val="18"/>
          <w:lang w:val="es-ES_tradnl"/>
        </w:rPr>
        <w:t xml:space="preserve">constitucionales que tienen como efecto que la actora de </w:t>
      </w:r>
      <w:r>
        <w:rPr>
          <w:spacing w:val="-7"/>
          <w:sz w:val="18"/>
          <w:szCs w:val="18"/>
          <w:lang w:val="es-ES_tradnl"/>
        </w:rPr>
        <w:t xml:space="preserve">manera inminente pueda perder un puesto de trabajo que </w:t>
      </w:r>
      <w:r>
        <w:rPr>
          <w:spacing w:val="-9"/>
          <w:sz w:val="18"/>
          <w:szCs w:val="18"/>
          <w:lang w:val="es-ES_tradnl"/>
        </w:rPr>
        <w:t>ha sido ganado mediante el respectivo concurso de m</w:t>
      </w:r>
      <w:r>
        <w:rPr>
          <w:rFonts w:cs="Times New Roman"/>
          <w:spacing w:val="-9"/>
          <w:sz w:val="18"/>
          <w:szCs w:val="18"/>
          <w:lang w:val="es-ES_tradnl"/>
        </w:rPr>
        <w:t>é</w:t>
      </w:r>
      <w:r>
        <w:rPr>
          <w:spacing w:val="-9"/>
          <w:sz w:val="18"/>
          <w:szCs w:val="18"/>
          <w:lang w:val="es-ES_tradnl"/>
        </w:rPr>
        <w:t xml:space="preserve">ritos </w:t>
      </w:r>
      <w:r>
        <w:rPr>
          <w:spacing w:val="-5"/>
          <w:sz w:val="18"/>
          <w:szCs w:val="18"/>
          <w:lang w:val="es-ES_tradnl"/>
        </w:rPr>
        <w:t>y oposici</w:t>
      </w:r>
      <w:r>
        <w:rPr>
          <w:rFonts w:cs="Times New Roman"/>
          <w:spacing w:val="-5"/>
          <w:sz w:val="18"/>
          <w:szCs w:val="18"/>
          <w:lang w:val="es-ES_tradnl"/>
        </w:rPr>
        <w:t>ó</w:t>
      </w:r>
      <w:r>
        <w:rPr>
          <w:spacing w:val="-5"/>
          <w:sz w:val="18"/>
          <w:szCs w:val="18"/>
          <w:lang w:val="es-ES_tradnl"/>
        </w:rPr>
        <w:t>n. Violando los derechos constitucionales al trabajo, debido proceso y buen vivir (</w:t>
      </w:r>
      <w:r>
        <w:rPr>
          <w:rFonts w:cs="Times New Roman"/>
          <w:spacing w:val="-5"/>
          <w:sz w:val="18"/>
          <w:szCs w:val="18"/>
          <w:lang w:val="es-ES_tradnl"/>
        </w:rPr>
        <w:t>…</w:t>
      </w:r>
      <w:r>
        <w:rPr>
          <w:spacing w:val="-5"/>
          <w:sz w:val="18"/>
          <w:szCs w:val="18"/>
          <w:lang w:val="es-ES_tradnl"/>
        </w:rPr>
        <w:t>)</w:t>
      </w:r>
      <w:r>
        <w:rPr>
          <w:rFonts w:cs="Times New Roman"/>
          <w:spacing w:val="-5"/>
          <w:sz w:val="18"/>
          <w:szCs w:val="18"/>
          <w:lang w:val="es-ES_tradnl"/>
        </w:rPr>
        <w:t>”</w:t>
      </w:r>
      <w:r>
        <w:rPr>
          <w:spacing w:val="-5"/>
          <w:sz w:val="18"/>
          <w:szCs w:val="18"/>
          <w:vertAlign w:val="superscript"/>
          <w:lang w:val="es-ES_tradnl"/>
        </w:rPr>
        <w:t>4</w:t>
      </w:r>
      <w:r>
        <w:rPr>
          <w:spacing w:val="-5"/>
          <w:sz w:val="18"/>
          <w:szCs w:val="18"/>
          <w:lang w:val="es-ES_tradnl"/>
        </w:rPr>
        <w:t>.</w:t>
      </w:r>
    </w:p>
    <w:p w14:paraId="4F67B09B" w14:textId="77777777" w:rsidR="00591D54" w:rsidRDefault="00591D54">
      <w:pPr>
        <w:shd w:val="clear" w:color="auto" w:fill="FFFFFF"/>
        <w:spacing w:before="202" w:line="221" w:lineRule="exact"/>
        <w:jc w:val="both"/>
      </w:pPr>
      <w:r>
        <w:rPr>
          <w:spacing w:val="-8"/>
          <w:sz w:val="18"/>
          <w:szCs w:val="18"/>
          <w:lang w:val="es-ES_tradnl"/>
        </w:rPr>
        <w:t>Como se puede observar, la supuesta vulneraci</w:t>
      </w:r>
      <w:r>
        <w:rPr>
          <w:rFonts w:cs="Times New Roman"/>
          <w:spacing w:val="-8"/>
          <w:sz w:val="18"/>
          <w:szCs w:val="18"/>
          <w:lang w:val="es-ES_tradnl"/>
        </w:rPr>
        <w:t>ó</w:t>
      </w:r>
      <w:r>
        <w:rPr>
          <w:spacing w:val="-8"/>
          <w:sz w:val="18"/>
          <w:szCs w:val="18"/>
          <w:lang w:val="es-ES_tradnl"/>
        </w:rPr>
        <w:t xml:space="preserve">n nace de </w:t>
      </w:r>
      <w:r>
        <w:rPr>
          <w:spacing w:val="-5"/>
          <w:sz w:val="18"/>
          <w:szCs w:val="18"/>
          <w:lang w:val="es-ES_tradnl"/>
        </w:rPr>
        <w:t>la certificaci</w:t>
      </w:r>
      <w:r>
        <w:rPr>
          <w:rFonts w:cs="Times New Roman"/>
          <w:spacing w:val="-5"/>
          <w:sz w:val="18"/>
          <w:szCs w:val="18"/>
          <w:lang w:val="es-ES_tradnl"/>
        </w:rPr>
        <w:t>ó</w:t>
      </w:r>
      <w:r>
        <w:rPr>
          <w:spacing w:val="-5"/>
          <w:sz w:val="18"/>
          <w:szCs w:val="18"/>
          <w:lang w:val="es-ES_tradnl"/>
        </w:rPr>
        <w:t>n que indica que la se</w:t>
      </w:r>
      <w:r>
        <w:rPr>
          <w:rFonts w:cs="Times New Roman"/>
          <w:spacing w:val="-5"/>
          <w:sz w:val="18"/>
          <w:szCs w:val="18"/>
          <w:lang w:val="es-ES_tradnl"/>
        </w:rPr>
        <w:t>ñ</w:t>
      </w:r>
      <w:r>
        <w:rPr>
          <w:spacing w:val="-5"/>
          <w:sz w:val="18"/>
          <w:szCs w:val="18"/>
          <w:lang w:val="es-ES_tradnl"/>
        </w:rPr>
        <w:t xml:space="preserve">ora Ruth Germania </w:t>
      </w:r>
      <w:r>
        <w:rPr>
          <w:spacing w:val="-4"/>
          <w:sz w:val="18"/>
          <w:szCs w:val="18"/>
          <w:lang w:val="es-ES_tradnl"/>
        </w:rPr>
        <w:t>Guti</w:t>
      </w:r>
      <w:r>
        <w:rPr>
          <w:rFonts w:cs="Times New Roman"/>
          <w:spacing w:val="-4"/>
          <w:sz w:val="18"/>
          <w:szCs w:val="18"/>
          <w:lang w:val="es-ES_tradnl"/>
        </w:rPr>
        <w:t>é</w:t>
      </w:r>
      <w:r>
        <w:rPr>
          <w:spacing w:val="-4"/>
          <w:sz w:val="18"/>
          <w:szCs w:val="18"/>
          <w:lang w:val="es-ES_tradnl"/>
        </w:rPr>
        <w:t xml:space="preserve">rrez Ortega tiene impedimento legal para ejercer </w:t>
      </w:r>
      <w:r>
        <w:rPr>
          <w:spacing w:val="-3"/>
          <w:sz w:val="18"/>
          <w:szCs w:val="18"/>
          <w:lang w:val="es-ES_tradnl"/>
        </w:rPr>
        <w:t>cargo p</w:t>
      </w:r>
      <w:r>
        <w:rPr>
          <w:rFonts w:cs="Times New Roman"/>
          <w:spacing w:val="-3"/>
          <w:sz w:val="18"/>
          <w:szCs w:val="18"/>
          <w:lang w:val="es-ES_tradnl"/>
        </w:rPr>
        <w:t>ú</w:t>
      </w:r>
      <w:r>
        <w:rPr>
          <w:spacing w:val="-3"/>
          <w:sz w:val="18"/>
          <w:szCs w:val="18"/>
          <w:lang w:val="es-ES_tradnl"/>
        </w:rPr>
        <w:t xml:space="preserve">blico, emitido por el Ministerio de Relaciones </w:t>
      </w:r>
      <w:r>
        <w:rPr>
          <w:spacing w:val="-6"/>
          <w:sz w:val="18"/>
          <w:szCs w:val="18"/>
          <w:lang w:val="es-ES_tradnl"/>
        </w:rPr>
        <w:t>Laborales, cuyo contenido es el siguiente:</w:t>
      </w:r>
    </w:p>
    <w:p w14:paraId="4F67B09C" w14:textId="77777777" w:rsidR="00591D54" w:rsidRDefault="00591D54">
      <w:pPr>
        <w:shd w:val="clear" w:color="auto" w:fill="FFFFFF"/>
        <w:spacing w:before="206" w:line="221" w:lineRule="exact"/>
        <w:ind w:left="283"/>
        <w:jc w:val="both"/>
      </w:pPr>
      <w:r>
        <w:rPr>
          <w:spacing w:val="-5"/>
          <w:sz w:val="16"/>
          <w:szCs w:val="16"/>
          <w:lang w:val="es-ES_tradnl"/>
        </w:rPr>
        <w:t>Las instituciones del sector p</w:t>
      </w:r>
      <w:r>
        <w:rPr>
          <w:rFonts w:cs="Times New Roman"/>
          <w:spacing w:val="-5"/>
          <w:sz w:val="16"/>
          <w:szCs w:val="16"/>
          <w:lang w:val="es-ES_tradnl"/>
        </w:rPr>
        <w:t>ú</w:t>
      </w:r>
      <w:r>
        <w:rPr>
          <w:spacing w:val="-5"/>
          <w:sz w:val="16"/>
          <w:szCs w:val="16"/>
          <w:lang w:val="es-ES_tradnl"/>
        </w:rPr>
        <w:t>blico dar</w:t>
      </w:r>
      <w:r>
        <w:rPr>
          <w:rFonts w:cs="Times New Roman"/>
          <w:spacing w:val="-5"/>
          <w:sz w:val="16"/>
          <w:szCs w:val="16"/>
          <w:lang w:val="es-ES_tradnl"/>
        </w:rPr>
        <w:t>á</w:t>
      </w:r>
      <w:r>
        <w:rPr>
          <w:spacing w:val="-5"/>
          <w:sz w:val="16"/>
          <w:szCs w:val="16"/>
          <w:lang w:val="es-ES_tradnl"/>
        </w:rPr>
        <w:t xml:space="preserve">n cumplimiento a lo </w:t>
      </w:r>
      <w:r>
        <w:rPr>
          <w:spacing w:val="-6"/>
          <w:sz w:val="16"/>
          <w:szCs w:val="16"/>
          <w:lang w:val="es-ES_tradnl"/>
        </w:rPr>
        <w:t>que establece el art. 14 segundo inciso de la ley org</w:t>
      </w:r>
      <w:r>
        <w:rPr>
          <w:rFonts w:cs="Times New Roman"/>
          <w:spacing w:val="-6"/>
          <w:sz w:val="16"/>
          <w:szCs w:val="16"/>
          <w:lang w:val="es-ES_tradnl"/>
        </w:rPr>
        <w:t>á</w:t>
      </w:r>
      <w:r>
        <w:rPr>
          <w:spacing w:val="-6"/>
          <w:sz w:val="16"/>
          <w:szCs w:val="16"/>
          <w:lang w:val="es-ES_tradnl"/>
        </w:rPr>
        <w:t xml:space="preserve">nica de </w:t>
      </w:r>
      <w:r>
        <w:rPr>
          <w:spacing w:val="-7"/>
          <w:sz w:val="16"/>
          <w:szCs w:val="16"/>
          <w:lang w:val="es-ES_tradnl"/>
        </w:rPr>
        <w:t>servicio p</w:t>
      </w:r>
      <w:r>
        <w:rPr>
          <w:rFonts w:cs="Times New Roman"/>
          <w:spacing w:val="-7"/>
          <w:sz w:val="16"/>
          <w:szCs w:val="16"/>
          <w:lang w:val="es-ES_tradnl"/>
        </w:rPr>
        <w:t>ú</w:t>
      </w:r>
      <w:r>
        <w:rPr>
          <w:spacing w:val="-7"/>
          <w:sz w:val="16"/>
          <w:szCs w:val="16"/>
          <w:lang w:val="es-ES_tradnl"/>
        </w:rPr>
        <w:t xml:space="preserve">blico LOSEP, publicada en el segundo suplemento </w:t>
      </w:r>
      <w:r>
        <w:rPr>
          <w:spacing w:val="-4"/>
          <w:sz w:val="16"/>
          <w:szCs w:val="16"/>
          <w:lang w:val="es-ES_tradnl"/>
        </w:rPr>
        <w:t xml:space="preserve">del registro oficial no. 294, el 06 de octubre de 2010 que </w:t>
      </w:r>
      <w:r>
        <w:rPr>
          <w:spacing w:val="-6"/>
          <w:sz w:val="16"/>
          <w:szCs w:val="16"/>
          <w:lang w:val="es-ES_tradnl"/>
        </w:rPr>
        <w:t xml:space="preserve">establece: </w:t>
      </w:r>
      <w:r>
        <w:rPr>
          <w:rFonts w:cs="Times New Roman"/>
          <w:spacing w:val="-6"/>
          <w:sz w:val="16"/>
          <w:szCs w:val="16"/>
          <w:lang w:val="es-ES_tradnl"/>
        </w:rPr>
        <w:t>“</w:t>
      </w:r>
      <w:r>
        <w:rPr>
          <w:spacing w:val="-6"/>
          <w:sz w:val="16"/>
          <w:szCs w:val="16"/>
          <w:lang w:val="es-ES_tradnl"/>
        </w:rPr>
        <w:t>as</w:t>
      </w:r>
      <w:r>
        <w:rPr>
          <w:rFonts w:cs="Times New Roman"/>
          <w:spacing w:val="-6"/>
          <w:sz w:val="16"/>
          <w:szCs w:val="16"/>
          <w:lang w:val="es-ES_tradnl"/>
        </w:rPr>
        <w:t>í</w:t>
      </w:r>
      <w:r>
        <w:rPr>
          <w:spacing w:val="-6"/>
          <w:sz w:val="16"/>
          <w:szCs w:val="16"/>
          <w:lang w:val="es-ES_tradnl"/>
        </w:rPr>
        <w:t xml:space="preserve"> mismo, podr</w:t>
      </w:r>
      <w:r>
        <w:rPr>
          <w:rFonts w:cs="Times New Roman"/>
          <w:spacing w:val="-6"/>
          <w:sz w:val="16"/>
          <w:szCs w:val="16"/>
          <w:lang w:val="es-ES_tradnl"/>
        </w:rPr>
        <w:t>á</w:t>
      </w:r>
      <w:r>
        <w:rPr>
          <w:spacing w:val="-6"/>
          <w:sz w:val="16"/>
          <w:szCs w:val="16"/>
          <w:lang w:val="es-ES_tradnl"/>
        </w:rPr>
        <w:t xml:space="preserve"> reingresar a la administraci</w:t>
      </w:r>
      <w:r>
        <w:rPr>
          <w:rFonts w:cs="Times New Roman"/>
          <w:spacing w:val="-6"/>
          <w:sz w:val="16"/>
          <w:szCs w:val="16"/>
          <w:lang w:val="es-ES_tradnl"/>
        </w:rPr>
        <w:t>ó</w:t>
      </w:r>
      <w:r>
        <w:rPr>
          <w:spacing w:val="-6"/>
          <w:sz w:val="16"/>
          <w:szCs w:val="16"/>
          <w:lang w:val="es-ES_tradnl"/>
        </w:rPr>
        <w:t>n p</w:t>
      </w:r>
      <w:r>
        <w:rPr>
          <w:rFonts w:cs="Times New Roman"/>
          <w:spacing w:val="-6"/>
          <w:sz w:val="16"/>
          <w:szCs w:val="16"/>
          <w:lang w:val="es-ES_tradnl"/>
        </w:rPr>
        <w:t>ú</w:t>
      </w:r>
      <w:r>
        <w:rPr>
          <w:spacing w:val="-6"/>
          <w:sz w:val="16"/>
          <w:szCs w:val="16"/>
          <w:lang w:val="es-ES_tradnl"/>
        </w:rPr>
        <w:t>blica quien hubiere recibido compensaci</w:t>
      </w:r>
      <w:r>
        <w:rPr>
          <w:rFonts w:cs="Times New Roman"/>
          <w:spacing w:val="-6"/>
          <w:sz w:val="16"/>
          <w:szCs w:val="16"/>
          <w:lang w:val="es-ES_tradnl"/>
        </w:rPr>
        <w:t>ó</w:t>
      </w:r>
      <w:r>
        <w:rPr>
          <w:spacing w:val="-6"/>
          <w:sz w:val="16"/>
          <w:szCs w:val="16"/>
          <w:lang w:val="es-ES_tradnl"/>
        </w:rPr>
        <w:t>n econ</w:t>
      </w:r>
      <w:r>
        <w:rPr>
          <w:rFonts w:cs="Times New Roman"/>
          <w:spacing w:val="-6"/>
          <w:sz w:val="16"/>
          <w:szCs w:val="16"/>
          <w:lang w:val="es-ES_tradnl"/>
        </w:rPr>
        <w:t>ó</w:t>
      </w:r>
      <w:r>
        <w:rPr>
          <w:spacing w:val="-6"/>
          <w:sz w:val="16"/>
          <w:szCs w:val="16"/>
          <w:lang w:val="es-ES_tradnl"/>
        </w:rPr>
        <w:t xml:space="preserve">mica por </w:t>
      </w:r>
      <w:r>
        <w:rPr>
          <w:spacing w:val="-7"/>
          <w:sz w:val="16"/>
          <w:szCs w:val="16"/>
          <w:lang w:val="es-ES_tradnl"/>
        </w:rPr>
        <w:t xml:space="preserve">retiro voluntario, venta de renuncia y otras figuras similares, si </w:t>
      </w:r>
      <w:r>
        <w:rPr>
          <w:spacing w:val="-6"/>
          <w:sz w:val="16"/>
          <w:szCs w:val="16"/>
          <w:lang w:val="es-ES_tradnl"/>
        </w:rPr>
        <w:t>devolviere el valor de la indemnizaci</w:t>
      </w:r>
      <w:r>
        <w:rPr>
          <w:rFonts w:cs="Times New Roman"/>
          <w:spacing w:val="-6"/>
          <w:sz w:val="16"/>
          <w:szCs w:val="16"/>
          <w:lang w:val="es-ES_tradnl"/>
        </w:rPr>
        <w:t>ó</w:t>
      </w:r>
      <w:r>
        <w:rPr>
          <w:spacing w:val="-6"/>
          <w:sz w:val="16"/>
          <w:szCs w:val="16"/>
          <w:lang w:val="es-ES_tradnl"/>
        </w:rPr>
        <w:t>n percibida; en caso de haberla recibido antes de la dolarizaci</w:t>
      </w:r>
      <w:r>
        <w:rPr>
          <w:rFonts w:cs="Times New Roman"/>
          <w:spacing w:val="-6"/>
          <w:sz w:val="16"/>
          <w:szCs w:val="16"/>
          <w:lang w:val="es-ES_tradnl"/>
        </w:rPr>
        <w:t>ó</w:t>
      </w:r>
      <w:r>
        <w:rPr>
          <w:spacing w:val="-6"/>
          <w:sz w:val="16"/>
          <w:szCs w:val="16"/>
          <w:lang w:val="es-ES_tradnl"/>
        </w:rPr>
        <w:t>n, para su devoluci</w:t>
      </w:r>
      <w:r>
        <w:rPr>
          <w:rFonts w:cs="Times New Roman"/>
          <w:spacing w:val="-6"/>
          <w:sz w:val="16"/>
          <w:szCs w:val="16"/>
          <w:lang w:val="es-ES_tradnl"/>
        </w:rPr>
        <w:t>ó</w:t>
      </w:r>
      <w:r>
        <w:rPr>
          <w:spacing w:val="-6"/>
          <w:sz w:val="16"/>
          <w:szCs w:val="16"/>
          <w:lang w:val="es-ES_tradnl"/>
        </w:rPr>
        <w:t xml:space="preserve">n, </w:t>
      </w:r>
      <w:r>
        <w:rPr>
          <w:rFonts w:cs="Times New Roman"/>
          <w:spacing w:val="-4"/>
          <w:sz w:val="16"/>
          <w:szCs w:val="16"/>
          <w:lang w:val="es-ES_tradnl"/>
        </w:rPr>
        <w:t>é</w:t>
      </w:r>
      <w:r>
        <w:rPr>
          <w:spacing w:val="-4"/>
          <w:sz w:val="16"/>
          <w:szCs w:val="16"/>
          <w:lang w:val="es-ES_tradnl"/>
        </w:rPr>
        <w:t>sta calcular</w:t>
      </w:r>
      <w:r>
        <w:rPr>
          <w:rFonts w:cs="Times New Roman"/>
          <w:spacing w:val="-4"/>
          <w:sz w:val="16"/>
          <w:szCs w:val="16"/>
          <w:lang w:val="es-ES_tradnl"/>
        </w:rPr>
        <w:t>á</w:t>
      </w:r>
      <w:r>
        <w:rPr>
          <w:spacing w:val="-4"/>
          <w:sz w:val="16"/>
          <w:szCs w:val="16"/>
          <w:lang w:val="es-ES_tradnl"/>
        </w:rPr>
        <w:t xml:space="preserve"> al tipo de cambio vigente fecha de su pago. </w:t>
      </w:r>
      <w:r>
        <w:rPr>
          <w:spacing w:val="-3"/>
          <w:sz w:val="16"/>
          <w:szCs w:val="16"/>
          <w:lang w:val="es-ES_tradnl"/>
        </w:rPr>
        <w:t>(</w:t>
      </w:r>
      <w:r>
        <w:rPr>
          <w:rFonts w:cs="Times New Roman"/>
          <w:spacing w:val="-3"/>
          <w:sz w:val="16"/>
          <w:szCs w:val="16"/>
          <w:lang w:val="es-ES_tradnl"/>
        </w:rPr>
        <w:t>…</w:t>
      </w:r>
      <w:r>
        <w:rPr>
          <w:spacing w:val="-3"/>
          <w:sz w:val="16"/>
          <w:szCs w:val="16"/>
          <w:lang w:val="es-ES_tradnl"/>
        </w:rPr>
        <w:t>) podr</w:t>
      </w:r>
      <w:r>
        <w:rPr>
          <w:rFonts w:cs="Times New Roman"/>
          <w:spacing w:val="-3"/>
          <w:sz w:val="16"/>
          <w:szCs w:val="16"/>
          <w:lang w:val="es-ES_tradnl"/>
        </w:rPr>
        <w:t>á</w:t>
      </w:r>
      <w:r>
        <w:rPr>
          <w:spacing w:val="-3"/>
          <w:sz w:val="16"/>
          <w:szCs w:val="16"/>
          <w:lang w:val="es-ES_tradnl"/>
        </w:rPr>
        <w:t xml:space="preserve"> reingresar al servicio p</w:t>
      </w:r>
      <w:r>
        <w:rPr>
          <w:rFonts w:cs="Times New Roman"/>
          <w:spacing w:val="-3"/>
          <w:sz w:val="16"/>
          <w:szCs w:val="16"/>
          <w:lang w:val="es-ES_tradnl"/>
        </w:rPr>
        <w:t>ú</w:t>
      </w:r>
      <w:r>
        <w:rPr>
          <w:spacing w:val="-3"/>
          <w:sz w:val="16"/>
          <w:szCs w:val="16"/>
          <w:lang w:val="es-ES_tradnl"/>
        </w:rPr>
        <w:t xml:space="preserve">blico quienes hubieren </w:t>
      </w:r>
      <w:r>
        <w:rPr>
          <w:spacing w:val="-8"/>
          <w:sz w:val="16"/>
          <w:szCs w:val="16"/>
          <w:lang w:val="es-ES_tradnl"/>
        </w:rPr>
        <w:t xml:space="preserve">sido indemnizados o compensados, sin necesidad de devolver </w:t>
      </w:r>
      <w:r>
        <w:rPr>
          <w:spacing w:val="-5"/>
          <w:sz w:val="16"/>
          <w:szCs w:val="16"/>
          <w:lang w:val="es-ES_tradnl"/>
        </w:rPr>
        <w:t>el monto de la indemnizaci</w:t>
      </w:r>
      <w:r>
        <w:rPr>
          <w:rFonts w:cs="Times New Roman"/>
          <w:spacing w:val="-5"/>
          <w:sz w:val="16"/>
          <w:szCs w:val="16"/>
          <w:lang w:val="es-ES_tradnl"/>
        </w:rPr>
        <w:t>ó</w:t>
      </w:r>
      <w:r>
        <w:rPr>
          <w:spacing w:val="-5"/>
          <w:sz w:val="16"/>
          <w:szCs w:val="16"/>
          <w:lang w:val="es-ES_tradnl"/>
        </w:rPr>
        <w:t xml:space="preserve">n recibida, </w:t>
      </w:r>
      <w:r>
        <w:rPr>
          <w:rFonts w:cs="Times New Roman"/>
          <w:spacing w:val="-5"/>
          <w:sz w:val="16"/>
          <w:szCs w:val="16"/>
          <w:lang w:val="es-ES_tradnl"/>
        </w:rPr>
        <w:t>ú</w:t>
      </w:r>
      <w:r>
        <w:rPr>
          <w:spacing w:val="-5"/>
          <w:sz w:val="16"/>
          <w:szCs w:val="16"/>
          <w:lang w:val="es-ES_tradnl"/>
        </w:rPr>
        <w:t xml:space="preserve">nicamente a cargos </w:t>
      </w:r>
      <w:r>
        <w:rPr>
          <w:spacing w:val="-6"/>
          <w:sz w:val="16"/>
          <w:szCs w:val="16"/>
          <w:lang w:val="es-ES_tradnl"/>
        </w:rPr>
        <w:t xml:space="preserve">de nombramiento provisional y a cargos o funciones de libre </w:t>
      </w:r>
      <w:r>
        <w:rPr>
          <w:spacing w:val="-7"/>
          <w:sz w:val="16"/>
          <w:szCs w:val="16"/>
          <w:lang w:val="es-ES_tradnl"/>
        </w:rPr>
        <w:t>nombramiento y remoci</w:t>
      </w:r>
      <w:r>
        <w:rPr>
          <w:rFonts w:cs="Times New Roman"/>
          <w:spacing w:val="-7"/>
          <w:sz w:val="16"/>
          <w:szCs w:val="16"/>
          <w:lang w:val="es-ES_tradnl"/>
        </w:rPr>
        <w:t>ó</w:t>
      </w:r>
      <w:r>
        <w:rPr>
          <w:spacing w:val="-7"/>
          <w:sz w:val="16"/>
          <w:szCs w:val="16"/>
          <w:lang w:val="es-ES_tradnl"/>
        </w:rPr>
        <w:t xml:space="preserve">n establecidos en esta ley, el mismo </w:t>
      </w:r>
      <w:r>
        <w:rPr>
          <w:spacing w:val="-8"/>
          <w:sz w:val="16"/>
          <w:szCs w:val="16"/>
          <w:lang w:val="es-ES_tradnl"/>
        </w:rPr>
        <w:t>beneficio tendr</w:t>
      </w:r>
      <w:r>
        <w:rPr>
          <w:rFonts w:cs="Times New Roman"/>
          <w:spacing w:val="-8"/>
          <w:sz w:val="16"/>
          <w:szCs w:val="16"/>
          <w:lang w:val="es-ES_tradnl"/>
        </w:rPr>
        <w:t>á</w:t>
      </w:r>
      <w:r>
        <w:rPr>
          <w:spacing w:val="-8"/>
          <w:sz w:val="16"/>
          <w:szCs w:val="16"/>
          <w:lang w:val="es-ES_tradnl"/>
        </w:rPr>
        <w:t xml:space="preserve">n quienes reingresen para ejercer la docencia </w:t>
      </w:r>
      <w:r>
        <w:rPr>
          <w:spacing w:val="-5"/>
          <w:sz w:val="16"/>
          <w:szCs w:val="16"/>
          <w:lang w:val="es-ES_tradnl"/>
        </w:rPr>
        <w:t>universitaria, formaci</w:t>
      </w:r>
      <w:r>
        <w:rPr>
          <w:rFonts w:cs="Times New Roman"/>
          <w:spacing w:val="-5"/>
          <w:sz w:val="16"/>
          <w:szCs w:val="16"/>
          <w:lang w:val="es-ES_tradnl"/>
        </w:rPr>
        <w:t>ó</w:t>
      </w:r>
      <w:r>
        <w:rPr>
          <w:spacing w:val="-5"/>
          <w:sz w:val="16"/>
          <w:szCs w:val="16"/>
          <w:lang w:val="es-ES_tradnl"/>
        </w:rPr>
        <w:t>n de las o los servidores p</w:t>
      </w:r>
      <w:r>
        <w:rPr>
          <w:rFonts w:cs="Times New Roman"/>
          <w:spacing w:val="-5"/>
          <w:sz w:val="16"/>
          <w:szCs w:val="16"/>
          <w:lang w:val="es-ES_tradnl"/>
        </w:rPr>
        <w:t>ú</w:t>
      </w:r>
      <w:r>
        <w:rPr>
          <w:spacing w:val="-5"/>
          <w:sz w:val="16"/>
          <w:szCs w:val="16"/>
          <w:lang w:val="es-ES_tradnl"/>
        </w:rPr>
        <w:t xml:space="preserve">blicos o la </w:t>
      </w:r>
      <w:r>
        <w:rPr>
          <w:sz w:val="16"/>
          <w:szCs w:val="16"/>
          <w:lang w:val="es-ES_tradnl"/>
        </w:rPr>
        <w:t>investigaci</w:t>
      </w:r>
      <w:r>
        <w:rPr>
          <w:rFonts w:cs="Times New Roman"/>
          <w:sz w:val="16"/>
          <w:szCs w:val="16"/>
          <w:lang w:val="es-ES_tradnl"/>
        </w:rPr>
        <w:t>ó</w:t>
      </w:r>
      <w:r>
        <w:rPr>
          <w:sz w:val="16"/>
          <w:szCs w:val="16"/>
          <w:lang w:val="es-ES_tradnl"/>
        </w:rPr>
        <w:t>n cient</w:t>
      </w:r>
      <w:r>
        <w:rPr>
          <w:rFonts w:cs="Times New Roman"/>
          <w:sz w:val="16"/>
          <w:szCs w:val="16"/>
          <w:lang w:val="es-ES_tradnl"/>
        </w:rPr>
        <w:t>í</w:t>
      </w:r>
      <w:r>
        <w:rPr>
          <w:sz w:val="16"/>
          <w:szCs w:val="16"/>
          <w:lang w:val="es-ES_tradnl"/>
        </w:rPr>
        <w:t>fica (sic).</w:t>
      </w:r>
    </w:p>
    <w:p w14:paraId="4F67B09D" w14:textId="77777777" w:rsidR="00591D54" w:rsidRDefault="00591D54">
      <w:pPr>
        <w:shd w:val="clear" w:color="auto" w:fill="FFFFFF"/>
        <w:spacing w:before="206" w:line="226" w:lineRule="exact"/>
        <w:jc w:val="both"/>
      </w:pPr>
      <w:r>
        <w:rPr>
          <w:sz w:val="18"/>
          <w:szCs w:val="18"/>
          <w:lang w:val="es-ES_tradnl"/>
        </w:rPr>
        <w:t>La prohibici</w:t>
      </w:r>
      <w:r>
        <w:rPr>
          <w:rFonts w:cs="Times New Roman"/>
          <w:sz w:val="18"/>
          <w:szCs w:val="18"/>
          <w:lang w:val="es-ES_tradnl"/>
        </w:rPr>
        <w:t>ó</w:t>
      </w:r>
      <w:r>
        <w:rPr>
          <w:sz w:val="18"/>
          <w:szCs w:val="18"/>
          <w:lang w:val="es-ES_tradnl"/>
        </w:rPr>
        <w:t>n para la reincorporaci</w:t>
      </w:r>
      <w:r>
        <w:rPr>
          <w:rFonts w:cs="Times New Roman"/>
          <w:sz w:val="18"/>
          <w:szCs w:val="18"/>
          <w:lang w:val="es-ES_tradnl"/>
        </w:rPr>
        <w:t>ó</w:t>
      </w:r>
      <w:r>
        <w:rPr>
          <w:sz w:val="18"/>
          <w:szCs w:val="18"/>
          <w:lang w:val="es-ES_tradnl"/>
        </w:rPr>
        <w:t>n a la funci</w:t>
      </w:r>
      <w:r>
        <w:rPr>
          <w:rFonts w:cs="Times New Roman"/>
          <w:sz w:val="18"/>
          <w:szCs w:val="18"/>
          <w:lang w:val="es-ES_tradnl"/>
        </w:rPr>
        <w:t>ó</w:t>
      </w:r>
      <w:r>
        <w:rPr>
          <w:sz w:val="18"/>
          <w:szCs w:val="18"/>
          <w:lang w:val="es-ES_tradnl"/>
        </w:rPr>
        <w:t xml:space="preserve">n </w:t>
      </w:r>
      <w:r>
        <w:rPr>
          <w:spacing w:val="-6"/>
          <w:sz w:val="18"/>
          <w:szCs w:val="18"/>
          <w:lang w:val="es-ES_tradnl"/>
        </w:rPr>
        <w:t>p</w:t>
      </w:r>
      <w:r>
        <w:rPr>
          <w:rFonts w:cs="Times New Roman"/>
          <w:spacing w:val="-6"/>
          <w:sz w:val="18"/>
          <w:szCs w:val="18"/>
          <w:lang w:val="es-ES_tradnl"/>
        </w:rPr>
        <w:t>ú</w:t>
      </w:r>
      <w:r>
        <w:rPr>
          <w:spacing w:val="-6"/>
          <w:sz w:val="18"/>
          <w:szCs w:val="18"/>
          <w:lang w:val="es-ES_tradnl"/>
        </w:rPr>
        <w:t>blica, se enmarca en la disposici</w:t>
      </w:r>
      <w:r>
        <w:rPr>
          <w:rFonts w:cs="Times New Roman"/>
          <w:spacing w:val="-6"/>
          <w:sz w:val="18"/>
          <w:szCs w:val="18"/>
          <w:lang w:val="es-ES_tradnl"/>
        </w:rPr>
        <w:t>ó</w:t>
      </w:r>
      <w:r>
        <w:rPr>
          <w:spacing w:val="-6"/>
          <w:sz w:val="18"/>
          <w:szCs w:val="18"/>
          <w:lang w:val="es-ES_tradnl"/>
        </w:rPr>
        <w:t>n del art</w:t>
      </w:r>
      <w:r>
        <w:rPr>
          <w:rFonts w:cs="Times New Roman"/>
          <w:spacing w:val="-6"/>
          <w:sz w:val="18"/>
          <w:szCs w:val="18"/>
          <w:lang w:val="es-ES_tradnl"/>
        </w:rPr>
        <w:t>í</w:t>
      </w:r>
      <w:r>
        <w:rPr>
          <w:spacing w:val="-6"/>
          <w:sz w:val="18"/>
          <w:szCs w:val="18"/>
          <w:lang w:val="es-ES_tradnl"/>
        </w:rPr>
        <w:t>culo 14 de la</w:t>
      </w:r>
    </w:p>
    <w:p w14:paraId="4F67B09E" w14:textId="77777777" w:rsidR="00591D54" w:rsidRDefault="00591D54">
      <w:pPr>
        <w:shd w:val="clear" w:color="auto" w:fill="FFFFFF"/>
        <w:spacing w:before="634" w:line="178" w:lineRule="exact"/>
        <w:ind w:left="144" w:hanging="144"/>
        <w:jc w:val="both"/>
      </w:pPr>
      <w:r>
        <w:rPr>
          <w:sz w:val="16"/>
          <w:szCs w:val="16"/>
          <w:vertAlign w:val="superscript"/>
          <w:lang w:val="es-ES_tradnl"/>
        </w:rPr>
        <w:t>4</w:t>
      </w:r>
      <w:r>
        <w:rPr>
          <w:sz w:val="16"/>
          <w:szCs w:val="16"/>
          <w:lang w:val="es-ES_tradnl"/>
        </w:rPr>
        <w:t xml:space="preserve"> </w:t>
      </w:r>
      <w:r>
        <w:rPr>
          <w:spacing w:val="-11"/>
          <w:sz w:val="16"/>
          <w:szCs w:val="16"/>
          <w:lang w:val="es-ES_tradnl"/>
        </w:rPr>
        <w:t>Demanda de acci</w:t>
      </w:r>
      <w:r>
        <w:rPr>
          <w:rFonts w:cs="Times New Roman"/>
          <w:spacing w:val="-11"/>
          <w:sz w:val="16"/>
          <w:szCs w:val="16"/>
          <w:lang w:val="es-ES_tradnl"/>
        </w:rPr>
        <w:t>ó</w:t>
      </w:r>
      <w:r>
        <w:rPr>
          <w:spacing w:val="-11"/>
          <w:sz w:val="16"/>
          <w:szCs w:val="16"/>
          <w:lang w:val="es-ES_tradnl"/>
        </w:rPr>
        <w:t>n de protecci</w:t>
      </w:r>
      <w:r>
        <w:rPr>
          <w:rFonts w:cs="Times New Roman"/>
          <w:spacing w:val="-11"/>
          <w:sz w:val="16"/>
          <w:szCs w:val="16"/>
          <w:lang w:val="es-ES_tradnl"/>
        </w:rPr>
        <w:t>ó</w:t>
      </w:r>
      <w:r>
        <w:rPr>
          <w:spacing w:val="-11"/>
          <w:sz w:val="16"/>
          <w:szCs w:val="16"/>
          <w:lang w:val="es-ES_tradnl"/>
        </w:rPr>
        <w:t>n presentada por la se</w:t>
      </w:r>
      <w:r>
        <w:rPr>
          <w:rFonts w:cs="Times New Roman"/>
          <w:spacing w:val="-11"/>
          <w:sz w:val="16"/>
          <w:szCs w:val="16"/>
          <w:lang w:val="es-ES_tradnl"/>
        </w:rPr>
        <w:t>ñ</w:t>
      </w:r>
      <w:r>
        <w:rPr>
          <w:spacing w:val="-11"/>
          <w:sz w:val="16"/>
          <w:szCs w:val="16"/>
          <w:lang w:val="es-ES_tradnl"/>
        </w:rPr>
        <w:t>ora Ruth Germania Guti</w:t>
      </w:r>
      <w:r>
        <w:rPr>
          <w:rFonts w:cs="Times New Roman"/>
          <w:spacing w:val="-11"/>
          <w:sz w:val="16"/>
          <w:szCs w:val="16"/>
          <w:lang w:val="es-ES_tradnl"/>
        </w:rPr>
        <w:t>é</w:t>
      </w:r>
      <w:r>
        <w:rPr>
          <w:spacing w:val="-11"/>
          <w:sz w:val="16"/>
          <w:szCs w:val="16"/>
          <w:lang w:val="es-ES_tradnl"/>
        </w:rPr>
        <w:t xml:space="preserve">rrez Ortega el 24 de julio de 2012 a las 16h18 en la </w:t>
      </w:r>
      <w:r>
        <w:rPr>
          <w:spacing w:val="-10"/>
          <w:sz w:val="16"/>
          <w:szCs w:val="16"/>
          <w:lang w:val="es-ES_tradnl"/>
        </w:rPr>
        <w:t>Sala de Sorteos de la Corte Provincial de Justicia del Ca</w:t>
      </w:r>
      <w:r>
        <w:rPr>
          <w:rFonts w:cs="Times New Roman"/>
          <w:spacing w:val="-10"/>
          <w:sz w:val="16"/>
          <w:szCs w:val="16"/>
          <w:lang w:val="es-ES_tradnl"/>
        </w:rPr>
        <w:t>ñ</w:t>
      </w:r>
      <w:r>
        <w:rPr>
          <w:spacing w:val="-10"/>
          <w:sz w:val="16"/>
          <w:szCs w:val="16"/>
          <w:lang w:val="es-ES_tradnl"/>
        </w:rPr>
        <w:t xml:space="preserve">ar, foja 15 </w:t>
      </w:r>
      <w:r>
        <w:rPr>
          <w:sz w:val="16"/>
          <w:szCs w:val="16"/>
          <w:lang w:val="es-ES_tradnl"/>
        </w:rPr>
        <w:t>del expediente judicial.</w:t>
      </w:r>
    </w:p>
    <w:p w14:paraId="4F67B09F" w14:textId="77777777" w:rsidR="00591D54" w:rsidRDefault="00591D54">
      <w:pPr>
        <w:shd w:val="clear" w:color="auto" w:fill="FFFFFF"/>
        <w:spacing w:before="634" w:line="178" w:lineRule="exact"/>
        <w:ind w:left="144" w:hanging="144"/>
        <w:jc w:val="both"/>
        <w:sectPr w:rsidR="00591D54">
          <w:type w:val="continuous"/>
          <w:pgSz w:w="11909" w:h="16834"/>
          <w:pgMar w:top="1356" w:right="1309" w:bottom="360" w:left="1308" w:header="720" w:footer="720" w:gutter="0"/>
          <w:cols w:num="2" w:space="720" w:equalWidth="0">
            <w:col w:w="4305" w:space="682"/>
            <w:col w:w="4305"/>
          </w:cols>
          <w:noEndnote/>
        </w:sectPr>
      </w:pPr>
    </w:p>
    <w:p w14:paraId="4F67B0A0" w14:textId="77777777" w:rsidR="00591D54" w:rsidRDefault="00591D54">
      <w:pPr>
        <w:shd w:val="clear" w:color="auto" w:fill="FFFFFF"/>
        <w:tabs>
          <w:tab w:val="left" w:pos="4814"/>
        </w:tabs>
        <w:spacing w:after="235"/>
        <w:ind w:left="14"/>
      </w:pPr>
      <w:r>
        <w:rPr>
          <w:b/>
          <w:bCs/>
          <w:sz w:val="18"/>
          <w:szCs w:val="18"/>
          <w:lang w:val="es-ES_tradnl"/>
        </w:rPr>
        <w:t xml:space="preserve">160 -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0A1" w14:textId="77777777" w:rsidR="00591D54" w:rsidRDefault="00591D54">
      <w:pPr>
        <w:shd w:val="clear" w:color="auto" w:fill="FFFFFF"/>
        <w:tabs>
          <w:tab w:val="left" w:pos="4814"/>
        </w:tabs>
        <w:spacing w:after="235"/>
        <w:ind w:left="14"/>
        <w:sectPr w:rsidR="00591D54">
          <w:pgSz w:w="11909" w:h="16834"/>
          <w:pgMar w:top="1356" w:right="1309" w:bottom="360" w:left="1308" w:header="720" w:footer="720" w:gutter="0"/>
          <w:cols w:space="60"/>
          <w:noEndnote/>
        </w:sectPr>
      </w:pPr>
    </w:p>
    <w:p w14:paraId="4F67B0A2" w14:textId="77777777" w:rsidR="00591D54" w:rsidRDefault="00591D54">
      <w:pPr>
        <w:shd w:val="clear" w:color="auto" w:fill="FFFFFF"/>
        <w:spacing w:line="216" w:lineRule="exact"/>
        <w:jc w:val="both"/>
      </w:pPr>
      <w:r>
        <w:rPr>
          <w:spacing w:val="-5"/>
          <w:sz w:val="18"/>
          <w:szCs w:val="18"/>
          <w:lang w:val="es-ES_tradnl"/>
        </w:rPr>
        <w:t>Ley Org</w:t>
      </w:r>
      <w:r>
        <w:rPr>
          <w:rFonts w:cs="Times New Roman"/>
          <w:spacing w:val="-5"/>
          <w:sz w:val="18"/>
          <w:szCs w:val="18"/>
          <w:lang w:val="es-ES_tradnl"/>
        </w:rPr>
        <w:t>á</w:t>
      </w:r>
      <w:r>
        <w:rPr>
          <w:spacing w:val="-5"/>
          <w:sz w:val="18"/>
          <w:szCs w:val="18"/>
          <w:lang w:val="es-ES_tradnl"/>
        </w:rPr>
        <w:t>nica del Servicio P</w:t>
      </w:r>
      <w:r>
        <w:rPr>
          <w:rFonts w:cs="Times New Roman"/>
          <w:spacing w:val="-5"/>
          <w:sz w:val="18"/>
          <w:szCs w:val="18"/>
          <w:lang w:val="es-ES_tradnl"/>
        </w:rPr>
        <w:t>ú</w:t>
      </w:r>
      <w:r>
        <w:rPr>
          <w:spacing w:val="-5"/>
          <w:sz w:val="18"/>
          <w:szCs w:val="18"/>
          <w:lang w:val="es-ES_tradnl"/>
        </w:rPr>
        <w:t>blico</w:t>
      </w:r>
      <w:r>
        <w:rPr>
          <w:spacing w:val="-5"/>
          <w:sz w:val="18"/>
          <w:szCs w:val="18"/>
          <w:vertAlign w:val="superscript"/>
          <w:lang w:val="es-ES_tradnl"/>
        </w:rPr>
        <w:t>5</w:t>
      </w:r>
      <w:r>
        <w:rPr>
          <w:spacing w:val="-5"/>
          <w:sz w:val="18"/>
          <w:szCs w:val="18"/>
          <w:lang w:val="es-ES_tradnl"/>
        </w:rPr>
        <w:t xml:space="preserve"> en concordancia con el art</w:t>
      </w:r>
      <w:r>
        <w:rPr>
          <w:rFonts w:cs="Times New Roman"/>
          <w:spacing w:val="-5"/>
          <w:sz w:val="18"/>
          <w:szCs w:val="18"/>
          <w:lang w:val="es-ES_tradnl"/>
        </w:rPr>
        <w:t>í</w:t>
      </w:r>
      <w:r>
        <w:rPr>
          <w:spacing w:val="-5"/>
          <w:sz w:val="18"/>
          <w:szCs w:val="18"/>
          <w:lang w:val="es-ES_tradnl"/>
        </w:rPr>
        <w:t>culo 15 del Reglamento General a la Ley Org</w:t>
      </w:r>
      <w:r>
        <w:rPr>
          <w:rFonts w:cs="Times New Roman"/>
          <w:spacing w:val="-5"/>
          <w:sz w:val="18"/>
          <w:szCs w:val="18"/>
          <w:lang w:val="es-ES_tradnl"/>
        </w:rPr>
        <w:t>á</w:t>
      </w:r>
      <w:r>
        <w:rPr>
          <w:spacing w:val="-5"/>
          <w:sz w:val="18"/>
          <w:szCs w:val="18"/>
          <w:lang w:val="es-ES_tradnl"/>
        </w:rPr>
        <w:t xml:space="preserve">nica </w:t>
      </w:r>
      <w:r>
        <w:rPr>
          <w:spacing w:val="-7"/>
          <w:sz w:val="18"/>
          <w:szCs w:val="18"/>
          <w:lang w:val="es-ES_tradnl"/>
        </w:rPr>
        <w:t>de Servicio P</w:t>
      </w:r>
      <w:r>
        <w:rPr>
          <w:rFonts w:cs="Times New Roman"/>
          <w:spacing w:val="-7"/>
          <w:sz w:val="18"/>
          <w:szCs w:val="18"/>
          <w:lang w:val="es-ES_tradnl"/>
        </w:rPr>
        <w:t>ú</w:t>
      </w:r>
      <w:r>
        <w:rPr>
          <w:spacing w:val="-7"/>
          <w:sz w:val="18"/>
          <w:szCs w:val="18"/>
          <w:lang w:val="es-ES_tradnl"/>
        </w:rPr>
        <w:t>blico</w:t>
      </w:r>
      <w:r>
        <w:rPr>
          <w:spacing w:val="-7"/>
          <w:sz w:val="18"/>
          <w:szCs w:val="18"/>
          <w:vertAlign w:val="superscript"/>
          <w:lang w:val="es-ES_tradnl"/>
        </w:rPr>
        <w:t>6</w:t>
      </w:r>
      <w:r>
        <w:rPr>
          <w:spacing w:val="-7"/>
          <w:sz w:val="18"/>
          <w:szCs w:val="18"/>
          <w:lang w:val="es-ES_tradnl"/>
        </w:rPr>
        <w:t xml:space="preserve"> que determinan los requisitos para la </w:t>
      </w:r>
      <w:r>
        <w:rPr>
          <w:spacing w:val="-6"/>
          <w:sz w:val="18"/>
          <w:szCs w:val="18"/>
          <w:lang w:val="es-ES_tradnl"/>
        </w:rPr>
        <w:t>rehabilitaci</w:t>
      </w:r>
      <w:r>
        <w:rPr>
          <w:rFonts w:cs="Times New Roman"/>
          <w:spacing w:val="-6"/>
          <w:sz w:val="18"/>
          <w:szCs w:val="18"/>
          <w:lang w:val="es-ES_tradnl"/>
        </w:rPr>
        <w:t>ó</w:t>
      </w:r>
      <w:r>
        <w:rPr>
          <w:spacing w:val="-6"/>
          <w:sz w:val="18"/>
          <w:szCs w:val="18"/>
          <w:lang w:val="es-ES_tradnl"/>
        </w:rPr>
        <w:t xml:space="preserve">n de personas que se encuentren en iguales </w:t>
      </w:r>
      <w:r>
        <w:rPr>
          <w:spacing w:val="-8"/>
          <w:sz w:val="18"/>
          <w:szCs w:val="18"/>
          <w:lang w:val="es-ES_tradnl"/>
        </w:rPr>
        <w:t xml:space="preserve">circunstancias, lo cual, permite, claramente, establecer que </w:t>
      </w:r>
      <w:r>
        <w:rPr>
          <w:spacing w:val="-10"/>
          <w:sz w:val="18"/>
          <w:szCs w:val="18"/>
          <w:lang w:val="es-ES_tradnl"/>
        </w:rPr>
        <w:t>la cuestionada certificaci</w:t>
      </w:r>
      <w:r>
        <w:rPr>
          <w:rFonts w:cs="Times New Roman"/>
          <w:spacing w:val="-10"/>
          <w:sz w:val="18"/>
          <w:szCs w:val="18"/>
          <w:lang w:val="es-ES_tradnl"/>
        </w:rPr>
        <w:t>ó</w:t>
      </w:r>
      <w:r>
        <w:rPr>
          <w:spacing w:val="-10"/>
          <w:sz w:val="18"/>
          <w:szCs w:val="18"/>
          <w:lang w:val="es-ES_tradnl"/>
        </w:rPr>
        <w:t xml:space="preserve">n de inhabilidad para ejercer cargo </w:t>
      </w:r>
      <w:r>
        <w:rPr>
          <w:spacing w:val="-6"/>
          <w:sz w:val="18"/>
          <w:szCs w:val="18"/>
          <w:lang w:val="es-ES_tradnl"/>
        </w:rPr>
        <w:t>p</w:t>
      </w:r>
      <w:r>
        <w:rPr>
          <w:rFonts w:cs="Times New Roman"/>
          <w:spacing w:val="-6"/>
          <w:sz w:val="18"/>
          <w:szCs w:val="18"/>
          <w:lang w:val="es-ES_tradnl"/>
        </w:rPr>
        <w:t>ú</w:t>
      </w:r>
      <w:r>
        <w:rPr>
          <w:spacing w:val="-6"/>
          <w:sz w:val="18"/>
          <w:szCs w:val="18"/>
          <w:lang w:val="es-ES_tradnl"/>
        </w:rPr>
        <w:t>blico, no limit</w:t>
      </w:r>
      <w:r>
        <w:rPr>
          <w:rFonts w:cs="Times New Roman"/>
          <w:spacing w:val="-6"/>
          <w:sz w:val="18"/>
          <w:szCs w:val="18"/>
          <w:lang w:val="es-ES_tradnl"/>
        </w:rPr>
        <w:t>ó</w:t>
      </w:r>
      <w:r>
        <w:rPr>
          <w:spacing w:val="-6"/>
          <w:sz w:val="18"/>
          <w:szCs w:val="18"/>
          <w:lang w:val="es-ES_tradnl"/>
        </w:rPr>
        <w:t xml:space="preserve"> el ejercicio de los derechos reconocidos </w:t>
      </w:r>
      <w:r>
        <w:rPr>
          <w:spacing w:val="-7"/>
          <w:sz w:val="18"/>
          <w:szCs w:val="18"/>
          <w:lang w:val="es-ES_tradnl"/>
        </w:rPr>
        <w:t>en la Norma Suprema, sino que garantiz</w:t>
      </w:r>
      <w:r>
        <w:rPr>
          <w:rFonts w:cs="Times New Roman"/>
          <w:spacing w:val="-7"/>
          <w:sz w:val="18"/>
          <w:szCs w:val="18"/>
          <w:lang w:val="es-ES_tradnl"/>
        </w:rPr>
        <w:t>ó</w:t>
      </w:r>
      <w:r>
        <w:rPr>
          <w:spacing w:val="-7"/>
          <w:sz w:val="18"/>
          <w:szCs w:val="18"/>
          <w:lang w:val="es-ES_tradnl"/>
        </w:rPr>
        <w:t xml:space="preserve"> el cumplimiento </w:t>
      </w:r>
      <w:r>
        <w:rPr>
          <w:spacing w:val="-6"/>
          <w:sz w:val="18"/>
          <w:szCs w:val="18"/>
          <w:lang w:val="es-ES_tradnl"/>
        </w:rPr>
        <w:t>de las normas vigentes y aplicables a la situaci</w:t>
      </w:r>
      <w:r>
        <w:rPr>
          <w:rFonts w:cs="Times New Roman"/>
          <w:spacing w:val="-6"/>
          <w:sz w:val="18"/>
          <w:szCs w:val="18"/>
          <w:lang w:val="es-ES_tradnl"/>
        </w:rPr>
        <w:t>ó</w:t>
      </w:r>
      <w:r>
        <w:rPr>
          <w:spacing w:val="-6"/>
          <w:sz w:val="18"/>
          <w:szCs w:val="18"/>
          <w:lang w:val="es-ES_tradnl"/>
        </w:rPr>
        <w:t>n jur</w:t>
      </w:r>
      <w:r>
        <w:rPr>
          <w:rFonts w:cs="Times New Roman"/>
          <w:spacing w:val="-6"/>
          <w:sz w:val="18"/>
          <w:szCs w:val="18"/>
          <w:lang w:val="es-ES_tradnl"/>
        </w:rPr>
        <w:t>í</w:t>
      </w:r>
      <w:r>
        <w:rPr>
          <w:spacing w:val="-6"/>
          <w:sz w:val="18"/>
          <w:szCs w:val="18"/>
          <w:lang w:val="es-ES_tradnl"/>
        </w:rPr>
        <w:t>dica concreta, es decir, a la norma infraconstitucional.</w:t>
      </w:r>
    </w:p>
    <w:p w14:paraId="4F67B0A3" w14:textId="77777777" w:rsidR="00591D54" w:rsidRDefault="00591D54">
      <w:pPr>
        <w:shd w:val="clear" w:color="auto" w:fill="FFFFFF"/>
        <w:spacing w:before="197" w:line="216" w:lineRule="exact"/>
        <w:jc w:val="both"/>
      </w:pPr>
      <w:r>
        <w:rPr>
          <w:spacing w:val="-8"/>
          <w:sz w:val="18"/>
          <w:szCs w:val="18"/>
          <w:lang w:val="es-ES_tradnl"/>
        </w:rPr>
        <w:t>Para complementar y configurar una motivaci</w:t>
      </w:r>
      <w:r>
        <w:rPr>
          <w:rFonts w:cs="Times New Roman"/>
          <w:spacing w:val="-8"/>
          <w:sz w:val="18"/>
          <w:szCs w:val="18"/>
          <w:lang w:val="es-ES_tradnl"/>
        </w:rPr>
        <w:t>ó</w:t>
      </w:r>
      <w:r>
        <w:rPr>
          <w:spacing w:val="-8"/>
          <w:sz w:val="18"/>
          <w:szCs w:val="18"/>
          <w:lang w:val="es-ES_tradnl"/>
        </w:rPr>
        <w:t xml:space="preserve">n adecuada </w:t>
      </w:r>
      <w:r>
        <w:rPr>
          <w:spacing w:val="-7"/>
          <w:sz w:val="18"/>
          <w:szCs w:val="18"/>
          <w:lang w:val="es-ES_tradnl"/>
        </w:rPr>
        <w:t>es importante considerar el precedente constante en la sentencia N.</w:t>
      </w:r>
      <w:r>
        <w:rPr>
          <w:rFonts w:cs="Times New Roman"/>
          <w:spacing w:val="-7"/>
          <w:sz w:val="18"/>
          <w:szCs w:val="18"/>
          <w:lang w:val="es-ES_tradnl"/>
        </w:rPr>
        <w:t>º</w:t>
      </w:r>
      <w:r>
        <w:rPr>
          <w:spacing w:val="-7"/>
          <w:sz w:val="18"/>
          <w:szCs w:val="18"/>
          <w:lang w:val="es-ES_tradnl"/>
        </w:rPr>
        <w:t xml:space="preserve"> 052-15-SEP-CC del 25 de febrero de 2015, </w:t>
      </w:r>
      <w:r>
        <w:rPr>
          <w:spacing w:val="-4"/>
          <w:sz w:val="18"/>
          <w:szCs w:val="18"/>
          <w:lang w:val="es-ES_tradnl"/>
        </w:rPr>
        <w:t>caso N.</w:t>
      </w:r>
      <w:r>
        <w:rPr>
          <w:rFonts w:cs="Times New Roman"/>
          <w:spacing w:val="-4"/>
          <w:sz w:val="18"/>
          <w:szCs w:val="18"/>
          <w:lang w:val="es-ES_tradnl"/>
        </w:rPr>
        <w:t>º</w:t>
      </w:r>
      <w:r>
        <w:rPr>
          <w:spacing w:val="-4"/>
          <w:sz w:val="18"/>
          <w:szCs w:val="18"/>
          <w:lang w:val="es-ES_tradnl"/>
        </w:rPr>
        <w:t xml:space="preserve"> 0414-14-EP, que dilucid</w:t>
      </w:r>
      <w:r>
        <w:rPr>
          <w:rFonts w:cs="Times New Roman"/>
          <w:spacing w:val="-4"/>
          <w:sz w:val="18"/>
          <w:szCs w:val="18"/>
          <w:lang w:val="es-ES_tradnl"/>
        </w:rPr>
        <w:t>ó</w:t>
      </w:r>
      <w:r>
        <w:rPr>
          <w:spacing w:val="-4"/>
          <w:sz w:val="18"/>
          <w:szCs w:val="18"/>
          <w:lang w:val="es-ES_tradnl"/>
        </w:rPr>
        <w:t xml:space="preserve"> en un caso similar al </w:t>
      </w:r>
      <w:r>
        <w:rPr>
          <w:spacing w:val="-6"/>
          <w:sz w:val="18"/>
          <w:szCs w:val="18"/>
          <w:lang w:val="es-ES_tradnl"/>
        </w:rPr>
        <w:t xml:space="preserve">presente debate constitucional, por lo que en aras de </w:t>
      </w:r>
      <w:r>
        <w:rPr>
          <w:spacing w:val="-5"/>
          <w:sz w:val="18"/>
          <w:szCs w:val="18"/>
          <w:lang w:val="es-ES_tradnl"/>
        </w:rPr>
        <w:t>conservar la seguridad jur</w:t>
      </w:r>
      <w:r>
        <w:rPr>
          <w:rFonts w:cs="Times New Roman"/>
          <w:spacing w:val="-5"/>
          <w:sz w:val="18"/>
          <w:szCs w:val="18"/>
          <w:lang w:val="es-ES_tradnl"/>
        </w:rPr>
        <w:t>í</w:t>
      </w:r>
      <w:r>
        <w:rPr>
          <w:spacing w:val="-5"/>
          <w:sz w:val="18"/>
          <w:szCs w:val="18"/>
          <w:lang w:val="es-ES_tradnl"/>
        </w:rPr>
        <w:t xml:space="preserve">dica resulta esencial que el </w:t>
      </w:r>
      <w:r>
        <w:rPr>
          <w:spacing w:val="-4"/>
          <w:sz w:val="18"/>
          <w:szCs w:val="18"/>
          <w:lang w:val="es-ES_tradnl"/>
        </w:rPr>
        <w:t>m</w:t>
      </w:r>
      <w:r>
        <w:rPr>
          <w:rFonts w:cs="Times New Roman"/>
          <w:spacing w:val="-4"/>
          <w:sz w:val="18"/>
          <w:szCs w:val="18"/>
          <w:lang w:val="es-ES_tradnl"/>
        </w:rPr>
        <w:t>á</w:t>
      </w:r>
      <w:r>
        <w:rPr>
          <w:spacing w:val="-4"/>
          <w:sz w:val="18"/>
          <w:szCs w:val="18"/>
          <w:lang w:val="es-ES_tradnl"/>
        </w:rPr>
        <w:t xml:space="preserve">ximo organismo de justicia constitucional respete la </w:t>
      </w:r>
      <w:r>
        <w:rPr>
          <w:spacing w:val="-2"/>
          <w:sz w:val="18"/>
          <w:szCs w:val="18"/>
          <w:lang w:val="es-ES_tradnl"/>
        </w:rPr>
        <w:t xml:space="preserve">regla </w:t>
      </w:r>
      <w:r>
        <w:rPr>
          <w:i/>
          <w:iCs/>
          <w:spacing w:val="-2"/>
          <w:sz w:val="18"/>
          <w:szCs w:val="18"/>
          <w:lang w:val="es-ES_tradnl"/>
        </w:rPr>
        <w:t>stare decisis</w:t>
      </w:r>
      <w:r>
        <w:rPr>
          <w:spacing w:val="-2"/>
          <w:sz w:val="18"/>
          <w:szCs w:val="18"/>
          <w:lang w:val="es-ES_tradnl"/>
        </w:rPr>
        <w:t>, la cual vincula la decisi</w:t>
      </w:r>
      <w:r>
        <w:rPr>
          <w:rFonts w:cs="Times New Roman"/>
          <w:spacing w:val="-2"/>
          <w:sz w:val="18"/>
          <w:szCs w:val="18"/>
          <w:lang w:val="es-ES_tradnl"/>
        </w:rPr>
        <w:t>ó</w:t>
      </w:r>
      <w:r>
        <w:rPr>
          <w:spacing w:val="-2"/>
          <w:sz w:val="18"/>
          <w:szCs w:val="18"/>
          <w:lang w:val="es-ES_tradnl"/>
        </w:rPr>
        <w:t xml:space="preserve">n pasada a </w:t>
      </w:r>
      <w:r>
        <w:rPr>
          <w:sz w:val="18"/>
          <w:szCs w:val="18"/>
          <w:lang w:val="es-ES_tradnl"/>
        </w:rPr>
        <w:t>la resoluci</w:t>
      </w:r>
      <w:r>
        <w:rPr>
          <w:rFonts w:cs="Times New Roman"/>
          <w:sz w:val="18"/>
          <w:szCs w:val="18"/>
          <w:lang w:val="es-ES_tradnl"/>
        </w:rPr>
        <w:t>ó</w:t>
      </w:r>
      <w:r>
        <w:rPr>
          <w:sz w:val="18"/>
          <w:szCs w:val="18"/>
          <w:lang w:val="es-ES_tradnl"/>
        </w:rPr>
        <w:t>n futura, para garantizar la igualdad en la</w:t>
      </w:r>
    </w:p>
    <w:p w14:paraId="4F67B0A4" w14:textId="77777777" w:rsidR="00591D54" w:rsidRDefault="00591D54">
      <w:pPr>
        <w:shd w:val="clear" w:color="auto" w:fill="FFFFFF"/>
        <w:tabs>
          <w:tab w:val="left" w:pos="139"/>
        </w:tabs>
        <w:spacing w:before="485" w:line="178" w:lineRule="exact"/>
        <w:ind w:left="139" w:right="5" w:hanging="139"/>
        <w:jc w:val="both"/>
      </w:pPr>
      <w:r>
        <w:rPr>
          <w:sz w:val="10"/>
          <w:szCs w:val="10"/>
          <w:vertAlign w:val="superscript"/>
          <w:lang w:val="es-ES_tradnl"/>
        </w:rPr>
        <w:t>5</w:t>
      </w:r>
      <w:r>
        <w:rPr>
          <w:sz w:val="18"/>
          <w:szCs w:val="18"/>
          <w:lang w:val="es-ES_tradnl"/>
        </w:rPr>
        <w:tab/>
      </w:r>
      <w:r>
        <w:rPr>
          <w:sz w:val="14"/>
          <w:szCs w:val="14"/>
          <w:lang w:val="es-ES_tradnl"/>
        </w:rPr>
        <w:t>Ley</w:t>
      </w:r>
      <w:r>
        <w:rPr>
          <w:sz w:val="18"/>
          <w:szCs w:val="18"/>
          <w:lang w:val="es-ES_tradnl"/>
        </w:rPr>
        <w:t xml:space="preserve"> </w:t>
      </w:r>
      <w:r>
        <w:rPr>
          <w:sz w:val="14"/>
          <w:szCs w:val="14"/>
          <w:lang w:val="es-ES_tradnl"/>
        </w:rPr>
        <w:t>Org</w:t>
      </w:r>
      <w:r>
        <w:rPr>
          <w:rFonts w:cs="Times New Roman"/>
          <w:sz w:val="14"/>
          <w:szCs w:val="14"/>
          <w:lang w:val="es-ES_tradnl"/>
        </w:rPr>
        <w:t>á</w:t>
      </w:r>
      <w:r>
        <w:rPr>
          <w:sz w:val="14"/>
          <w:szCs w:val="14"/>
          <w:lang w:val="es-ES_tradnl"/>
        </w:rPr>
        <w:t>nica</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Servicio</w:t>
      </w:r>
      <w:r>
        <w:rPr>
          <w:sz w:val="18"/>
          <w:szCs w:val="18"/>
          <w:lang w:val="es-ES_tradnl"/>
        </w:rPr>
        <w:t xml:space="preserve"> </w:t>
      </w:r>
      <w:r>
        <w:rPr>
          <w:sz w:val="14"/>
          <w:szCs w:val="14"/>
          <w:lang w:val="es-ES_tradnl"/>
        </w:rPr>
        <w:t>P</w:t>
      </w:r>
      <w:r>
        <w:rPr>
          <w:rFonts w:cs="Times New Roman"/>
          <w:sz w:val="14"/>
          <w:szCs w:val="14"/>
          <w:lang w:val="es-ES_tradnl"/>
        </w:rPr>
        <w:t>ú</w:t>
      </w:r>
      <w:r>
        <w:rPr>
          <w:sz w:val="14"/>
          <w:szCs w:val="14"/>
          <w:lang w:val="es-ES_tradnl"/>
        </w:rPr>
        <w:t>blico,</w:t>
      </w:r>
      <w:r>
        <w:rPr>
          <w:sz w:val="18"/>
          <w:szCs w:val="18"/>
          <w:lang w:val="es-ES_tradnl"/>
        </w:rPr>
        <w:t xml:space="preserve"> </w:t>
      </w:r>
      <w:r>
        <w:rPr>
          <w:sz w:val="14"/>
          <w:szCs w:val="14"/>
          <w:lang w:val="es-ES_tradnl"/>
        </w:rPr>
        <w:t>art</w:t>
      </w:r>
      <w:r>
        <w:rPr>
          <w:rFonts w:cs="Times New Roman"/>
          <w:sz w:val="14"/>
          <w:szCs w:val="14"/>
          <w:lang w:val="es-ES_tradnl"/>
        </w:rPr>
        <w:t>í</w:t>
      </w:r>
      <w:r>
        <w:rPr>
          <w:sz w:val="14"/>
          <w:szCs w:val="14"/>
          <w:lang w:val="es-ES_tradnl"/>
        </w:rPr>
        <w:t>culo</w:t>
      </w:r>
      <w:r>
        <w:rPr>
          <w:sz w:val="18"/>
          <w:szCs w:val="18"/>
          <w:lang w:val="es-ES_tradnl"/>
        </w:rPr>
        <w:t xml:space="preserve"> </w:t>
      </w:r>
      <w:r>
        <w:rPr>
          <w:sz w:val="14"/>
          <w:szCs w:val="14"/>
          <w:lang w:val="es-ES_tradnl"/>
        </w:rPr>
        <w:t>14:</w:t>
      </w:r>
      <w:r>
        <w:rPr>
          <w:sz w:val="18"/>
          <w:szCs w:val="18"/>
          <w:lang w:val="es-ES_tradnl"/>
        </w:rPr>
        <w:t xml:space="preserve"> </w:t>
      </w:r>
      <w:r>
        <w:rPr>
          <w:rFonts w:cs="Times New Roman"/>
          <w:sz w:val="14"/>
          <w:szCs w:val="14"/>
          <w:lang w:val="es-ES_tradnl"/>
        </w:rPr>
        <w:t>“</w:t>
      </w:r>
      <w:r>
        <w:rPr>
          <w:sz w:val="14"/>
          <w:szCs w:val="14"/>
          <w:lang w:val="es-ES_tradnl"/>
        </w:rPr>
        <w:t>Condiciones</w:t>
      </w:r>
      <w:r>
        <w:rPr>
          <w:sz w:val="18"/>
          <w:szCs w:val="18"/>
          <w:lang w:val="es-ES_tradnl"/>
        </w:rPr>
        <w:t xml:space="preserve"> </w:t>
      </w:r>
      <w:r>
        <w:rPr>
          <w:sz w:val="14"/>
          <w:szCs w:val="14"/>
          <w:lang w:val="es-ES_tradnl"/>
        </w:rPr>
        <w:t>para </w:t>
      </w:r>
      <w:r>
        <w:rPr>
          <w:spacing w:val="-1"/>
          <w:sz w:val="14"/>
          <w:szCs w:val="14"/>
          <w:lang w:val="es-ES_tradnl"/>
        </w:rPr>
        <w:t>el reingreso al sector p</w:t>
      </w:r>
      <w:r>
        <w:rPr>
          <w:rFonts w:cs="Times New Roman"/>
          <w:spacing w:val="-1"/>
          <w:sz w:val="14"/>
          <w:szCs w:val="14"/>
          <w:lang w:val="es-ES_tradnl"/>
        </w:rPr>
        <w:t>ú</w:t>
      </w:r>
      <w:r>
        <w:rPr>
          <w:spacing w:val="-1"/>
          <w:sz w:val="14"/>
          <w:szCs w:val="14"/>
          <w:lang w:val="es-ES_tradnl"/>
        </w:rPr>
        <w:t>blico.- Quien hubiere sido indemnizado por </w:t>
      </w:r>
      <w:r>
        <w:rPr>
          <w:spacing w:val="-2"/>
          <w:sz w:val="14"/>
          <w:szCs w:val="14"/>
          <w:lang w:val="es-ES_tradnl"/>
        </w:rPr>
        <w:t>efecto de la supresi</w:t>
      </w:r>
      <w:r>
        <w:rPr>
          <w:rFonts w:cs="Times New Roman"/>
          <w:spacing w:val="-2"/>
          <w:sz w:val="14"/>
          <w:szCs w:val="14"/>
          <w:lang w:val="es-ES_tradnl"/>
        </w:rPr>
        <w:t>ó</w:t>
      </w:r>
      <w:r>
        <w:rPr>
          <w:spacing w:val="-2"/>
          <w:sz w:val="14"/>
          <w:szCs w:val="14"/>
          <w:lang w:val="es-ES_tradnl"/>
        </w:rPr>
        <w:t>n de puesto podr</w:t>
      </w:r>
      <w:r>
        <w:rPr>
          <w:rFonts w:cs="Times New Roman"/>
          <w:spacing w:val="-2"/>
          <w:sz w:val="14"/>
          <w:szCs w:val="14"/>
          <w:lang w:val="es-ES_tradnl"/>
        </w:rPr>
        <w:t>á</w:t>
      </w:r>
      <w:r>
        <w:rPr>
          <w:spacing w:val="-2"/>
          <w:sz w:val="14"/>
          <w:szCs w:val="14"/>
          <w:lang w:val="es-ES_tradnl"/>
        </w:rPr>
        <w:t xml:space="preserve"> reingresar al sector p</w:t>
      </w:r>
      <w:r>
        <w:rPr>
          <w:rFonts w:cs="Times New Roman"/>
          <w:spacing w:val="-2"/>
          <w:sz w:val="14"/>
          <w:szCs w:val="14"/>
          <w:lang w:val="es-ES_tradnl"/>
        </w:rPr>
        <w:t>ú</w:t>
      </w:r>
      <w:r>
        <w:rPr>
          <w:spacing w:val="-2"/>
          <w:sz w:val="14"/>
          <w:szCs w:val="14"/>
          <w:lang w:val="es-ES_tradnl"/>
        </w:rPr>
        <w:t>blico </w:t>
      </w:r>
      <w:r>
        <w:rPr>
          <w:spacing w:val="-5"/>
          <w:sz w:val="14"/>
          <w:szCs w:val="14"/>
          <w:lang w:val="es-ES_tradnl"/>
        </w:rPr>
        <w:t>solamente si devuelve el monto de la indemnizaci</w:t>
      </w:r>
      <w:r>
        <w:rPr>
          <w:rFonts w:cs="Times New Roman"/>
          <w:spacing w:val="-5"/>
          <w:sz w:val="14"/>
          <w:szCs w:val="14"/>
          <w:lang w:val="es-ES_tradnl"/>
        </w:rPr>
        <w:t>ó</w:t>
      </w:r>
      <w:r>
        <w:rPr>
          <w:spacing w:val="-5"/>
          <w:sz w:val="14"/>
          <w:szCs w:val="14"/>
          <w:lang w:val="es-ES_tradnl"/>
        </w:rPr>
        <w:t>n recibida, menos el </w:t>
      </w:r>
      <w:r>
        <w:rPr>
          <w:spacing w:val="-1"/>
          <w:sz w:val="14"/>
          <w:szCs w:val="14"/>
          <w:lang w:val="es-ES_tradnl"/>
        </w:rPr>
        <w:t xml:space="preserve">valor resultante de la </w:t>
      </w:r>
      <w:r>
        <w:rPr>
          <w:rFonts w:cs="Times New Roman"/>
          <w:spacing w:val="-1"/>
          <w:sz w:val="14"/>
          <w:szCs w:val="14"/>
          <w:lang w:val="es-ES_tradnl"/>
        </w:rPr>
        <w:t>ú</w:t>
      </w:r>
      <w:r>
        <w:rPr>
          <w:spacing w:val="-1"/>
          <w:sz w:val="14"/>
          <w:szCs w:val="14"/>
          <w:lang w:val="es-ES_tradnl"/>
        </w:rPr>
        <w:t>ltima remuneraci</w:t>
      </w:r>
      <w:r>
        <w:rPr>
          <w:rFonts w:cs="Times New Roman"/>
          <w:spacing w:val="-1"/>
          <w:sz w:val="14"/>
          <w:szCs w:val="14"/>
          <w:lang w:val="es-ES_tradnl"/>
        </w:rPr>
        <w:t>ó</w:t>
      </w:r>
      <w:r>
        <w:rPr>
          <w:spacing w:val="-1"/>
          <w:sz w:val="14"/>
          <w:szCs w:val="14"/>
          <w:lang w:val="es-ES_tradnl"/>
        </w:rPr>
        <w:t>n que percibi</w:t>
      </w:r>
      <w:r>
        <w:rPr>
          <w:rFonts w:cs="Times New Roman"/>
          <w:spacing w:val="-1"/>
          <w:sz w:val="14"/>
          <w:szCs w:val="14"/>
          <w:lang w:val="es-ES_tradnl"/>
        </w:rPr>
        <w:t>ó</w:t>
      </w:r>
      <w:r>
        <w:rPr>
          <w:spacing w:val="-1"/>
          <w:sz w:val="14"/>
          <w:szCs w:val="14"/>
          <w:lang w:val="es-ES_tradnl"/>
        </w:rPr>
        <w:t xml:space="preserve"> multiplicado </w:t>
      </w:r>
      <w:r>
        <w:rPr>
          <w:sz w:val="14"/>
          <w:szCs w:val="14"/>
          <w:lang w:val="es-ES_tradnl"/>
        </w:rPr>
        <w:t>por el n</w:t>
      </w:r>
      <w:r>
        <w:rPr>
          <w:rFonts w:cs="Times New Roman"/>
          <w:sz w:val="14"/>
          <w:szCs w:val="14"/>
          <w:lang w:val="es-ES_tradnl"/>
        </w:rPr>
        <w:t>ú</w:t>
      </w:r>
      <w:r>
        <w:rPr>
          <w:sz w:val="14"/>
          <w:szCs w:val="14"/>
          <w:lang w:val="es-ES_tradnl"/>
        </w:rPr>
        <w:t>mero de meses que no prest</w:t>
      </w:r>
      <w:r>
        <w:rPr>
          <w:rFonts w:cs="Times New Roman"/>
          <w:sz w:val="14"/>
          <w:szCs w:val="14"/>
          <w:lang w:val="es-ES_tradnl"/>
        </w:rPr>
        <w:t>ó</w:t>
      </w:r>
      <w:r>
        <w:rPr>
          <w:sz w:val="14"/>
          <w:szCs w:val="14"/>
          <w:lang w:val="es-ES_tradnl"/>
        </w:rPr>
        <w:t xml:space="preserve"> servicios en el sector </w:t>
      </w:r>
      <w:r>
        <w:rPr>
          <w:spacing w:val="-1"/>
          <w:sz w:val="14"/>
          <w:szCs w:val="14"/>
          <w:lang w:val="es-ES_tradnl"/>
        </w:rPr>
        <w:t>p</w:t>
      </w:r>
      <w:r>
        <w:rPr>
          <w:rFonts w:cs="Times New Roman"/>
          <w:spacing w:val="-1"/>
          <w:sz w:val="14"/>
          <w:szCs w:val="14"/>
          <w:lang w:val="es-ES_tradnl"/>
        </w:rPr>
        <w:t>ú</w:t>
      </w:r>
      <w:r>
        <w:rPr>
          <w:spacing w:val="-1"/>
          <w:sz w:val="14"/>
          <w:szCs w:val="14"/>
          <w:lang w:val="es-ES_tradnl"/>
        </w:rPr>
        <w:t>blico, contados desde la fecha en que se produjo su separaci</w:t>
      </w:r>
      <w:r>
        <w:rPr>
          <w:rFonts w:cs="Times New Roman"/>
          <w:spacing w:val="-1"/>
          <w:sz w:val="14"/>
          <w:szCs w:val="14"/>
          <w:lang w:val="es-ES_tradnl"/>
        </w:rPr>
        <w:t>ó</w:t>
      </w:r>
      <w:r>
        <w:rPr>
          <w:spacing w:val="-1"/>
          <w:sz w:val="14"/>
          <w:szCs w:val="14"/>
          <w:lang w:val="es-ES_tradnl"/>
        </w:rPr>
        <w:t>n. </w:t>
      </w:r>
      <w:r>
        <w:rPr>
          <w:sz w:val="14"/>
          <w:szCs w:val="14"/>
          <w:lang w:val="es-ES_tradnl"/>
        </w:rPr>
        <w:t>As</w:t>
      </w:r>
      <w:r>
        <w:rPr>
          <w:rFonts w:cs="Times New Roman"/>
          <w:sz w:val="14"/>
          <w:szCs w:val="14"/>
          <w:lang w:val="es-ES_tradnl"/>
        </w:rPr>
        <w:t>í</w:t>
      </w:r>
      <w:r>
        <w:rPr>
          <w:sz w:val="14"/>
          <w:szCs w:val="14"/>
          <w:lang w:val="es-ES_tradnl"/>
        </w:rPr>
        <w:t xml:space="preserve"> mismo, podr</w:t>
      </w:r>
      <w:r>
        <w:rPr>
          <w:rFonts w:cs="Times New Roman"/>
          <w:sz w:val="14"/>
          <w:szCs w:val="14"/>
          <w:lang w:val="es-ES_tradnl"/>
        </w:rPr>
        <w:t>á</w:t>
      </w:r>
      <w:r>
        <w:rPr>
          <w:sz w:val="14"/>
          <w:szCs w:val="14"/>
          <w:lang w:val="es-ES_tradnl"/>
        </w:rPr>
        <w:t xml:space="preserve"> reingresar a la administraci</w:t>
      </w:r>
      <w:r>
        <w:rPr>
          <w:rFonts w:cs="Times New Roman"/>
          <w:sz w:val="14"/>
          <w:szCs w:val="14"/>
          <w:lang w:val="es-ES_tradnl"/>
        </w:rPr>
        <w:t>ó</w:t>
      </w:r>
      <w:r>
        <w:rPr>
          <w:sz w:val="14"/>
          <w:szCs w:val="14"/>
          <w:lang w:val="es-ES_tradnl"/>
        </w:rPr>
        <w:t>n p</w:t>
      </w:r>
      <w:r>
        <w:rPr>
          <w:rFonts w:cs="Times New Roman"/>
          <w:sz w:val="14"/>
          <w:szCs w:val="14"/>
          <w:lang w:val="es-ES_tradnl"/>
        </w:rPr>
        <w:t>ú</w:t>
      </w:r>
      <w:r>
        <w:rPr>
          <w:sz w:val="14"/>
          <w:szCs w:val="14"/>
          <w:lang w:val="es-ES_tradnl"/>
        </w:rPr>
        <w:t>blica quien hubiere recibido compensaci</w:t>
      </w:r>
      <w:r>
        <w:rPr>
          <w:rFonts w:cs="Times New Roman"/>
          <w:sz w:val="14"/>
          <w:szCs w:val="14"/>
          <w:lang w:val="es-ES_tradnl"/>
        </w:rPr>
        <w:t>ó</w:t>
      </w:r>
      <w:r>
        <w:rPr>
          <w:sz w:val="14"/>
          <w:szCs w:val="14"/>
          <w:lang w:val="es-ES_tradnl"/>
        </w:rPr>
        <w:t>n econ</w:t>
      </w:r>
      <w:r>
        <w:rPr>
          <w:rFonts w:cs="Times New Roman"/>
          <w:sz w:val="14"/>
          <w:szCs w:val="14"/>
          <w:lang w:val="es-ES_tradnl"/>
        </w:rPr>
        <w:t>ó</w:t>
      </w:r>
      <w:r>
        <w:rPr>
          <w:sz w:val="14"/>
          <w:szCs w:val="14"/>
          <w:lang w:val="es-ES_tradnl"/>
        </w:rPr>
        <w:t>mica por retiro voluntario, venta de renuncia y otras figuras similares, si devolviere el valor de la indemnizaci</w:t>
      </w:r>
      <w:r>
        <w:rPr>
          <w:rFonts w:cs="Times New Roman"/>
          <w:sz w:val="14"/>
          <w:szCs w:val="14"/>
          <w:lang w:val="es-ES_tradnl"/>
        </w:rPr>
        <w:t>ó</w:t>
      </w:r>
      <w:r>
        <w:rPr>
          <w:sz w:val="14"/>
          <w:szCs w:val="14"/>
          <w:lang w:val="es-ES_tradnl"/>
        </w:rPr>
        <w:t>n percibida; en caso de haberla recibido antes </w:t>
      </w:r>
      <w:r>
        <w:rPr>
          <w:spacing w:val="-1"/>
          <w:sz w:val="14"/>
          <w:szCs w:val="14"/>
          <w:lang w:val="es-ES_tradnl"/>
        </w:rPr>
        <w:t>de la dolarizaci</w:t>
      </w:r>
      <w:r>
        <w:rPr>
          <w:rFonts w:cs="Times New Roman"/>
          <w:spacing w:val="-1"/>
          <w:sz w:val="14"/>
          <w:szCs w:val="14"/>
          <w:lang w:val="es-ES_tradnl"/>
        </w:rPr>
        <w:t>ó</w:t>
      </w:r>
      <w:r>
        <w:rPr>
          <w:spacing w:val="-1"/>
          <w:sz w:val="14"/>
          <w:szCs w:val="14"/>
          <w:lang w:val="es-ES_tradnl"/>
        </w:rPr>
        <w:t>n, para su devoluci</w:t>
      </w:r>
      <w:r>
        <w:rPr>
          <w:rFonts w:cs="Times New Roman"/>
          <w:spacing w:val="-1"/>
          <w:sz w:val="14"/>
          <w:szCs w:val="14"/>
          <w:lang w:val="es-ES_tradnl"/>
        </w:rPr>
        <w:t>ó</w:t>
      </w:r>
      <w:r>
        <w:rPr>
          <w:spacing w:val="-1"/>
          <w:sz w:val="14"/>
          <w:szCs w:val="14"/>
          <w:lang w:val="es-ES_tradnl"/>
        </w:rPr>
        <w:t xml:space="preserve">n, </w:t>
      </w:r>
      <w:r>
        <w:rPr>
          <w:rFonts w:cs="Times New Roman"/>
          <w:spacing w:val="-1"/>
          <w:sz w:val="14"/>
          <w:szCs w:val="14"/>
          <w:lang w:val="es-ES_tradnl"/>
        </w:rPr>
        <w:t>é</w:t>
      </w:r>
      <w:r>
        <w:rPr>
          <w:spacing w:val="-1"/>
          <w:sz w:val="14"/>
          <w:szCs w:val="14"/>
          <w:lang w:val="es-ES_tradnl"/>
        </w:rPr>
        <w:t>sta se calcular</w:t>
      </w:r>
      <w:r>
        <w:rPr>
          <w:rFonts w:cs="Times New Roman"/>
          <w:spacing w:val="-1"/>
          <w:sz w:val="14"/>
          <w:szCs w:val="14"/>
          <w:lang w:val="es-ES_tradnl"/>
        </w:rPr>
        <w:t>á</w:t>
      </w:r>
      <w:r>
        <w:rPr>
          <w:spacing w:val="-1"/>
          <w:sz w:val="14"/>
          <w:szCs w:val="14"/>
          <w:lang w:val="es-ES_tradnl"/>
        </w:rPr>
        <w:t xml:space="preserve"> al tipo de </w:t>
      </w:r>
      <w:r>
        <w:rPr>
          <w:spacing w:val="-2"/>
          <w:sz w:val="14"/>
          <w:szCs w:val="14"/>
          <w:lang w:val="es-ES_tradnl"/>
        </w:rPr>
        <w:t>cambio vigente a la fecha de su pago. / En caso de haber percibido </w:t>
      </w:r>
      <w:r>
        <w:rPr>
          <w:sz w:val="14"/>
          <w:szCs w:val="14"/>
          <w:lang w:val="es-ES_tradnl"/>
        </w:rPr>
        <w:t>indemnizaci</w:t>
      </w:r>
      <w:r>
        <w:rPr>
          <w:rFonts w:cs="Times New Roman"/>
          <w:sz w:val="14"/>
          <w:szCs w:val="14"/>
          <w:lang w:val="es-ES_tradnl"/>
        </w:rPr>
        <w:t>ó</w:t>
      </w:r>
      <w:r>
        <w:rPr>
          <w:sz w:val="14"/>
          <w:szCs w:val="14"/>
          <w:lang w:val="es-ES_tradnl"/>
        </w:rPr>
        <w:t>n por compra de renuncia con indemnizaci</w:t>
      </w:r>
      <w:r>
        <w:rPr>
          <w:rFonts w:cs="Times New Roman"/>
          <w:sz w:val="14"/>
          <w:szCs w:val="14"/>
          <w:lang w:val="es-ES_tradnl"/>
        </w:rPr>
        <w:t>ó</w:t>
      </w:r>
      <w:r>
        <w:rPr>
          <w:sz w:val="14"/>
          <w:szCs w:val="14"/>
          <w:lang w:val="es-ES_tradnl"/>
        </w:rPr>
        <w:t>n, para reingresar al sector p</w:t>
      </w:r>
      <w:r>
        <w:rPr>
          <w:rFonts w:cs="Times New Roman"/>
          <w:sz w:val="14"/>
          <w:szCs w:val="14"/>
          <w:lang w:val="es-ES_tradnl"/>
        </w:rPr>
        <w:t>ú</w:t>
      </w:r>
      <w:r>
        <w:rPr>
          <w:sz w:val="14"/>
          <w:szCs w:val="14"/>
          <w:lang w:val="es-ES_tradnl"/>
        </w:rPr>
        <w:t>blico, a cualquier puesto, deber</w:t>
      </w:r>
      <w:r>
        <w:rPr>
          <w:rFonts w:cs="Times New Roman"/>
          <w:sz w:val="14"/>
          <w:szCs w:val="14"/>
          <w:lang w:val="es-ES_tradnl"/>
        </w:rPr>
        <w:t>á</w:t>
      </w:r>
      <w:r>
        <w:rPr>
          <w:sz w:val="14"/>
          <w:szCs w:val="14"/>
          <w:lang w:val="es-ES_tradnl"/>
        </w:rPr>
        <w:t xml:space="preserve"> devolver en forma previa la totalidad de la indemnizaci</w:t>
      </w:r>
      <w:r>
        <w:rPr>
          <w:rFonts w:cs="Times New Roman"/>
          <w:sz w:val="14"/>
          <w:szCs w:val="14"/>
          <w:lang w:val="es-ES_tradnl"/>
        </w:rPr>
        <w:t>ó</w:t>
      </w:r>
      <w:r>
        <w:rPr>
          <w:sz w:val="14"/>
          <w:szCs w:val="14"/>
          <w:lang w:val="es-ES_tradnl"/>
        </w:rPr>
        <w:t>n percibida. </w:t>
      </w:r>
      <w:r>
        <w:rPr>
          <w:spacing w:val="-2"/>
          <w:sz w:val="14"/>
          <w:szCs w:val="14"/>
          <w:lang w:val="es-ES_tradnl"/>
        </w:rPr>
        <w:t>Adem</w:t>
      </w:r>
      <w:r>
        <w:rPr>
          <w:rFonts w:cs="Times New Roman"/>
          <w:spacing w:val="-2"/>
          <w:sz w:val="14"/>
          <w:szCs w:val="14"/>
          <w:lang w:val="es-ES_tradnl"/>
        </w:rPr>
        <w:t>á</w:t>
      </w:r>
      <w:r>
        <w:rPr>
          <w:spacing w:val="-2"/>
          <w:sz w:val="14"/>
          <w:szCs w:val="14"/>
          <w:lang w:val="es-ES_tradnl"/>
        </w:rPr>
        <w:t>s, podr</w:t>
      </w:r>
      <w:r>
        <w:rPr>
          <w:rFonts w:cs="Times New Roman"/>
          <w:spacing w:val="-2"/>
          <w:sz w:val="14"/>
          <w:szCs w:val="14"/>
          <w:lang w:val="es-ES_tradnl"/>
        </w:rPr>
        <w:t>á</w:t>
      </w:r>
      <w:r>
        <w:rPr>
          <w:spacing w:val="-2"/>
          <w:sz w:val="14"/>
          <w:szCs w:val="14"/>
          <w:lang w:val="es-ES_tradnl"/>
        </w:rPr>
        <w:t>n reingresar al servicio p</w:t>
      </w:r>
      <w:r>
        <w:rPr>
          <w:rFonts w:cs="Times New Roman"/>
          <w:spacing w:val="-2"/>
          <w:sz w:val="14"/>
          <w:szCs w:val="14"/>
          <w:lang w:val="es-ES_tradnl"/>
        </w:rPr>
        <w:t>ú</w:t>
      </w:r>
      <w:r>
        <w:rPr>
          <w:spacing w:val="-2"/>
          <w:sz w:val="14"/>
          <w:szCs w:val="14"/>
          <w:lang w:val="es-ES_tradnl"/>
        </w:rPr>
        <w:t>blico quienes hubieren sido </w:t>
      </w:r>
      <w:r>
        <w:rPr>
          <w:spacing w:val="-1"/>
          <w:sz w:val="14"/>
          <w:szCs w:val="14"/>
          <w:lang w:val="es-ES_tradnl"/>
        </w:rPr>
        <w:t>indemnizados o compensados, sin necesidad de devolver el monto </w:t>
      </w:r>
      <w:r>
        <w:rPr>
          <w:spacing w:val="-3"/>
          <w:sz w:val="14"/>
          <w:szCs w:val="14"/>
          <w:lang w:val="es-ES_tradnl"/>
        </w:rPr>
        <w:t>de la indemnizaci</w:t>
      </w:r>
      <w:r>
        <w:rPr>
          <w:rFonts w:cs="Times New Roman"/>
          <w:spacing w:val="-3"/>
          <w:sz w:val="14"/>
          <w:szCs w:val="14"/>
          <w:lang w:val="es-ES_tradnl"/>
        </w:rPr>
        <w:t>ó</w:t>
      </w:r>
      <w:r>
        <w:rPr>
          <w:spacing w:val="-3"/>
          <w:sz w:val="14"/>
          <w:szCs w:val="14"/>
          <w:lang w:val="es-ES_tradnl"/>
        </w:rPr>
        <w:t xml:space="preserve">n recibida, </w:t>
      </w:r>
      <w:r>
        <w:rPr>
          <w:rFonts w:cs="Times New Roman"/>
          <w:spacing w:val="-3"/>
          <w:sz w:val="14"/>
          <w:szCs w:val="14"/>
          <w:lang w:val="es-ES_tradnl"/>
        </w:rPr>
        <w:t>ú</w:t>
      </w:r>
      <w:r>
        <w:rPr>
          <w:spacing w:val="-3"/>
          <w:sz w:val="14"/>
          <w:szCs w:val="14"/>
          <w:lang w:val="es-ES_tradnl"/>
        </w:rPr>
        <w:t>nicamente a cargos de nombramiento provisional y a cargos o funciones de libre nombramiento y remoci</w:t>
      </w:r>
      <w:r>
        <w:rPr>
          <w:rFonts w:cs="Times New Roman"/>
          <w:spacing w:val="-3"/>
          <w:sz w:val="14"/>
          <w:szCs w:val="14"/>
          <w:lang w:val="es-ES_tradnl"/>
        </w:rPr>
        <w:t>ó</w:t>
      </w:r>
      <w:r>
        <w:rPr>
          <w:spacing w:val="-3"/>
          <w:sz w:val="14"/>
          <w:szCs w:val="14"/>
          <w:lang w:val="es-ES_tradnl"/>
        </w:rPr>
        <w:t>n, </w:t>
      </w:r>
      <w:r>
        <w:rPr>
          <w:sz w:val="14"/>
          <w:szCs w:val="14"/>
          <w:lang w:val="es-ES_tradnl"/>
        </w:rPr>
        <w:t>establecidos en esta ley. El mismo beneficio tendr</w:t>
      </w:r>
      <w:r>
        <w:rPr>
          <w:rFonts w:cs="Times New Roman"/>
          <w:sz w:val="14"/>
          <w:szCs w:val="14"/>
          <w:lang w:val="es-ES_tradnl"/>
        </w:rPr>
        <w:t>á</w:t>
      </w:r>
      <w:r>
        <w:rPr>
          <w:sz w:val="14"/>
          <w:szCs w:val="14"/>
          <w:lang w:val="es-ES_tradnl"/>
        </w:rPr>
        <w:t>n quienes </w:t>
      </w:r>
      <w:r>
        <w:rPr>
          <w:spacing w:val="-2"/>
          <w:sz w:val="14"/>
          <w:szCs w:val="14"/>
          <w:lang w:val="es-ES_tradnl"/>
        </w:rPr>
        <w:t>reingresen para ejercer la docencia universitaria, formaci</w:t>
      </w:r>
      <w:r>
        <w:rPr>
          <w:rFonts w:cs="Times New Roman"/>
          <w:spacing w:val="-2"/>
          <w:sz w:val="14"/>
          <w:szCs w:val="14"/>
          <w:lang w:val="es-ES_tradnl"/>
        </w:rPr>
        <w:t>ó</w:t>
      </w:r>
      <w:r>
        <w:rPr>
          <w:spacing w:val="-2"/>
          <w:sz w:val="14"/>
          <w:szCs w:val="14"/>
          <w:lang w:val="es-ES_tradnl"/>
        </w:rPr>
        <w:t>n de las o los servidores p</w:t>
      </w:r>
      <w:r>
        <w:rPr>
          <w:rFonts w:cs="Times New Roman"/>
          <w:spacing w:val="-2"/>
          <w:sz w:val="14"/>
          <w:szCs w:val="14"/>
          <w:lang w:val="es-ES_tradnl"/>
        </w:rPr>
        <w:t>ú</w:t>
      </w:r>
      <w:r>
        <w:rPr>
          <w:spacing w:val="-2"/>
          <w:sz w:val="14"/>
          <w:szCs w:val="14"/>
          <w:lang w:val="es-ES_tradnl"/>
        </w:rPr>
        <w:t>blicos o la investigaci</w:t>
      </w:r>
      <w:r>
        <w:rPr>
          <w:rFonts w:cs="Times New Roman"/>
          <w:spacing w:val="-2"/>
          <w:sz w:val="14"/>
          <w:szCs w:val="14"/>
          <w:lang w:val="es-ES_tradnl"/>
        </w:rPr>
        <w:t>ó</w:t>
      </w:r>
      <w:r>
        <w:rPr>
          <w:spacing w:val="-2"/>
          <w:sz w:val="14"/>
          <w:szCs w:val="14"/>
          <w:lang w:val="es-ES_tradnl"/>
        </w:rPr>
        <w:t>n cient</w:t>
      </w:r>
      <w:r>
        <w:rPr>
          <w:rFonts w:cs="Times New Roman"/>
          <w:spacing w:val="-2"/>
          <w:sz w:val="14"/>
          <w:szCs w:val="14"/>
          <w:lang w:val="es-ES_tradnl"/>
        </w:rPr>
        <w:t>í</w:t>
      </w:r>
      <w:r>
        <w:rPr>
          <w:spacing w:val="-2"/>
          <w:sz w:val="14"/>
          <w:szCs w:val="14"/>
          <w:lang w:val="es-ES_tradnl"/>
        </w:rPr>
        <w:t>fica. Este per</w:t>
      </w:r>
      <w:r>
        <w:rPr>
          <w:rFonts w:cs="Times New Roman"/>
          <w:spacing w:val="-2"/>
          <w:sz w:val="14"/>
          <w:szCs w:val="14"/>
          <w:lang w:val="es-ES_tradnl"/>
        </w:rPr>
        <w:t>í</w:t>
      </w:r>
      <w:r>
        <w:rPr>
          <w:spacing w:val="-2"/>
          <w:sz w:val="14"/>
          <w:szCs w:val="14"/>
          <w:lang w:val="es-ES_tradnl"/>
        </w:rPr>
        <w:t>odo no </w:t>
      </w:r>
      <w:r>
        <w:rPr>
          <w:spacing w:val="-3"/>
          <w:sz w:val="14"/>
          <w:szCs w:val="14"/>
          <w:lang w:val="es-ES_tradnl"/>
        </w:rPr>
        <w:t>ser</w:t>
      </w:r>
      <w:r>
        <w:rPr>
          <w:rFonts w:cs="Times New Roman"/>
          <w:spacing w:val="-3"/>
          <w:sz w:val="14"/>
          <w:szCs w:val="14"/>
          <w:lang w:val="es-ES_tradnl"/>
        </w:rPr>
        <w:t>á</w:t>
      </w:r>
      <w:r>
        <w:rPr>
          <w:spacing w:val="-3"/>
          <w:sz w:val="14"/>
          <w:szCs w:val="14"/>
          <w:lang w:val="es-ES_tradnl"/>
        </w:rPr>
        <w:t xml:space="preserve"> considerado como parte de la devengaci</w:t>
      </w:r>
      <w:r>
        <w:rPr>
          <w:rFonts w:cs="Times New Roman"/>
          <w:spacing w:val="-3"/>
          <w:sz w:val="14"/>
          <w:szCs w:val="14"/>
          <w:lang w:val="es-ES_tradnl"/>
        </w:rPr>
        <w:t>ó</w:t>
      </w:r>
      <w:r>
        <w:rPr>
          <w:spacing w:val="-3"/>
          <w:sz w:val="14"/>
          <w:szCs w:val="14"/>
          <w:lang w:val="es-ES_tradnl"/>
        </w:rPr>
        <w:t>n de la indemnizaci</w:t>
      </w:r>
      <w:r>
        <w:rPr>
          <w:rFonts w:cs="Times New Roman"/>
          <w:spacing w:val="-3"/>
          <w:sz w:val="14"/>
          <w:szCs w:val="14"/>
          <w:lang w:val="es-ES_tradnl"/>
        </w:rPr>
        <w:t>ó</w:t>
      </w:r>
      <w:r>
        <w:rPr>
          <w:spacing w:val="-3"/>
          <w:sz w:val="14"/>
          <w:szCs w:val="14"/>
          <w:lang w:val="es-ES_tradnl"/>
        </w:rPr>
        <w:t>n </w:t>
      </w:r>
      <w:r>
        <w:rPr>
          <w:sz w:val="14"/>
          <w:szCs w:val="14"/>
          <w:lang w:val="es-ES_tradnl"/>
        </w:rPr>
        <w:t>recibida.</w:t>
      </w:r>
    </w:p>
    <w:p w14:paraId="4F67B0A5" w14:textId="77777777" w:rsidR="00591D54" w:rsidRDefault="00591D54">
      <w:pPr>
        <w:shd w:val="clear" w:color="auto" w:fill="FFFFFF"/>
        <w:spacing w:line="178" w:lineRule="exact"/>
        <w:ind w:left="139" w:right="5"/>
        <w:jc w:val="both"/>
      </w:pPr>
      <w:r>
        <w:rPr>
          <w:spacing w:val="-1"/>
          <w:sz w:val="14"/>
          <w:szCs w:val="14"/>
          <w:lang w:val="es-ES_tradnl"/>
        </w:rPr>
        <w:t xml:space="preserve">Las ex servidoras o los ex servidores que habiendo renunciado </w:t>
      </w:r>
      <w:r>
        <w:rPr>
          <w:sz w:val="14"/>
          <w:szCs w:val="14"/>
          <w:lang w:val="es-ES_tradnl"/>
        </w:rPr>
        <w:t>voluntariamente no recibieron indemnizaci</w:t>
      </w:r>
      <w:r>
        <w:rPr>
          <w:rFonts w:cs="Times New Roman"/>
          <w:sz w:val="14"/>
          <w:szCs w:val="14"/>
          <w:lang w:val="es-ES_tradnl"/>
        </w:rPr>
        <w:t>ó</w:t>
      </w:r>
      <w:r>
        <w:rPr>
          <w:sz w:val="14"/>
          <w:szCs w:val="14"/>
          <w:lang w:val="es-ES_tradnl"/>
        </w:rPr>
        <w:t>n alguna podr</w:t>
      </w:r>
      <w:r>
        <w:rPr>
          <w:rFonts w:cs="Times New Roman"/>
          <w:sz w:val="14"/>
          <w:szCs w:val="14"/>
          <w:lang w:val="es-ES_tradnl"/>
        </w:rPr>
        <w:t>á</w:t>
      </w:r>
      <w:r>
        <w:rPr>
          <w:sz w:val="14"/>
          <w:szCs w:val="14"/>
          <w:lang w:val="es-ES_tradnl"/>
        </w:rPr>
        <w:t xml:space="preserve">n </w:t>
      </w:r>
      <w:r>
        <w:rPr>
          <w:spacing w:val="-1"/>
          <w:sz w:val="14"/>
          <w:szCs w:val="14"/>
          <w:lang w:val="es-ES_tradnl"/>
        </w:rPr>
        <w:t>reingresar al sector p</w:t>
      </w:r>
      <w:r>
        <w:rPr>
          <w:rFonts w:cs="Times New Roman"/>
          <w:spacing w:val="-1"/>
          <w:sz w:val="14"/>
          <w:szCs w:val="14"/>
          <w:lang w:val="es-ES_tradnl"/>
        </w:rPr>
        <w:t>ú</w:t>
      </w:r>
      <w:r>
        <w:rPr>
          <w:spacing w:val="-1"/>
          <w:sz w:val="14"/>
          <w:szCs w:val="14"/>
          <w:lang w:val="es-ES_tradnl"/>
        </w:rPr>
        <w:t xml:space="preserve">blico. /En lo relacionado a los descuentos, </w:t>
      </w:r>
      <w:r>
        <w:rPr>
          <w:spacing w:val="-4"/>
          <w:sz w:val="14"/>
          <w:szCs w:val="14"/>
          <w:lang w:val="es-ES_tradnl"/>
        </w:rPr>
        <w:t>suspensiones y l</w:t>
      </w:r>
      <w:r>
        <w:rPr>
          <w:rFonts w:cs="Times New Roman"/>
          <w:spacing w:val="-4"/>
          <w:sz w:val="14"/>
          <w:szCs w:val="14"/>
          <w:lang w:val="es-ES_tradnl"/>
        </w:rPr>
        <w:t>í</w:t>
      </w:r>
      <w:r>
        <w:rPr>
          <w:spacing w:val="-4"/>
          <w:sz w:val="14"/>
          <w:szCs w:val="14"/>
          <w:lang w:val="es-ES_tradnl"/>
        </w:rPr>
        <w:t>mites de pago de pensiones, se estar</w:t>
      </w:r>
      <w:r>
        <w:rPr>
          <w:rFonts w:cs="Times New Roman"/>
          <w:spacing w:val="-4"/>
          <w:sz w:val="14"/>
          <w:szCs w:val="14"/>
          <w:lang w:val="es-ES_tradnl"/>
        </w:rPr>
        <w:t>á</w:t>
      </w:r>
      <w:r>
        <w:rPr>
          <w:spacing w:val="-4"/>
          <w:sz w:val="14"/>
          <w:szCs w:val="14"/>
          <w:lang w:val="es-ES_tradnl"/>
        </w:rPr>
        <w:t xml:space="preserve"> a lo dispuesto </w:t>
      </w:r>
      <w:r>
        <w:rPr>
          <w:sz w:val="14"/>
          <w:szCs w:val="14"/>
          <w:lang w:val="es-ES_tradnl"/>
        </w:rPr>
        <w:t>en las leyes de seguridad social respectivas.</w:t>
      </w:r>
      <w:r>
        <w:rPr>
          <w:rFonts w:cs="Times New Roman"/>
          <w:sz w:val="14"/>
          <w:szCs w:val="14"/>
          <w:lang w:val="es-ES_tradnl"/>
        </w:rPr>
        <w:t>”</w:t>
      </w:r>
    </w:p>
    <w:p w14:paraId="4F67B0A6" w14:textId="77777777" w:rsidR="00591D54" w:rsidRDefault="00591D54">
      <w:pPr>
        <w:shd w:val="clear" w:color="auto" w:fill="FFFFFF"/>
        <w:tabs>
          <w:tab w:val="left" w:pos="139"/>
        </w:tabs>
        <w:spacing w:before="149" w:line="178" w:lineRule="exact"/>
        <w:ind w:left="139" w:hanging="139"/>
        <w:jc w:val="both"/>
      </w:pPr>
      <w:r>
        <w:rPr>
          <w:sz w:val="10"/>
          <w:szCs w:val="10"/>
          <w:vertAlign w:val="superscript"/>
          <w:lang w:val="es-ES_tradnl"/>
        </w:rPr>
        <w:t>6</w:t>
      </w:r>
      <w:r>
        <w:rPr>
          <w:sz w:val="18"/>
          <w:szCs w:val="18"/>
          <w:lang w:val="es-ES_tradnl"/>
        </w:rPr>
        <w:tab/>
      </w:r>
      <w:r>
        <w:rPr>
          <w:spacing w:val="-3"/>
          <w:sz w:val="14"/>
          <w:szCs w:val="14"/>
          <w:lang w:val="es-ES_tradnl"/>
        </w:rPr>
        <w:t>Reglamento</w:t>
      </w:r>
      <w:r>
        <w:rPr>
          <w:spacing w:val="-3"/>
          <w:sz w:val="18"/>
          <w:szCs w:val="18"/>
          <w:lang w:val="es-ES_tradnl"/>
        </w:rPr>
        <w:t xml:space="preserve"> </w:t>
      </w:r>
      <w:r>
        <w:rPr>
          <w:spacing w:val="-3"/>
          <w:sz w:val="14"/>
          <w:szCs w:val="14"/>
          <w:lang w:val="es-ES_tradnl"/>
        </w:rPr>
        <w:t>general</w:t>
      </w:r>
      <w:r>
        <w:rPr>
          <w:spacing w:val="-3"/>
          <w:sz w:val="18"/>
          <w:szCs w:val="18"/>
          <w:lang w:val="es-ES_tradnl"/>
        </w:rPr>
        <w:t xml:space="preserve"> </w:t>
      </w:r>
      <w:r>
        <w:rPr>
          <w:spacing w:val="-3"/>
          <w:sz w:val="14"/>
          <w:szCs w:val="14"/>
          <w:lang w:val="es-ES_tradnl"/>
        </w:rPr>
        <w:t>a</w:t>
      </w:r>
      <w:r>
        <w:rPr>
          <w:spacing w:val="-3"/>
          <w:sz w:val="18"/>
          <w:szCs w:val="18"/>
          <w:lang w:val="es-ES_tradnl"/>
        </w:rPr>
        <w:t xml:space="preserve"> </w:t>
      </w:r>
      <w:r>
        <w:rPr>
          <w:spacing w:val="-3"/>
          <w:sz w:val="14"/>
          <w:szCs w:val="14"/>
          <w:lang w:val="es-ES_tradnl"/>
        </w:rPr>
        <w:t>la</w:t>
      </w:r>
      <w:r>
        <w:rPr>
          <w:spacing w:val="-3"/>
          <w:sz w:val="18"/>
          <w:szCs w:val="18"/>
          <w:lang w:val="es-ES_tradnl"/>
        </w:rPr>
        <w:t xml:space="preserve"> </w:t>
      </w:r>
      <w:r>
        <w:rPr>
          <w:spacing w:val="-3"/>
          <w:sz w:val="14"/>
          <w:szCs w:val="14"/>
          <w:lang w:val="es-ES_tradnl"/>
        </w:rPr>
        <w:t>ley</w:t>
      </w:r>
      <w:r>
        <w:rPr>
          <w:spacing w:val="-3"/>
          <w:sz w:val="18"/>
          <w:szCs w:val="18"/>
          <w:lang w:val="es-ES_tradnl"/>
        </w:rPr>
        <w:t xml:space="preserve"> </w:t>
      </w:r>
      <w:r>
        <w:rPr>
          <w:spacing w:val="-3"/>
          <w:sz w:val="14"/>
          <w:szCs w:val="14"/>
          <w:lang w:val="es-ES_tradnl"/>
        </w:rPr>
        <w:t>org</w:t>
      </w:r>
      <w:r>
        <w:rPr>
          <w:rFonts w:cs="Times New Roman"/>
          <w:spacing w:val="-3"/>
          <w:sz w:val="14"/>
          <w:szCs w:val="14"/>
          <w:lang w:val="es-ES_tradnl"/>
        </w:rPr>
        <w:t>á</w:t>
      </w:r>
      <w:r>
        <w:rPr>
          <w:spacing w:val="-3"/>
          <w:sz w:val="14"/>
          <w:szCs w:val="14"/>
          <w:lang w:val="es-ES_tradnl"/>
        </w:rPr>
        <w:t>nica</w:t>
      </w:r>
      <w:r>
        <w:rPr>
          <w:spacing w:val="-3"/>
          <w:sz w:val="18"/>
          <w:szCs w:val="18"/>
          <w:lang w:val="es-ES_tradnl"/>
        </w:rPr>
        <w:t xml:space="preserve"> </w:t>
      </w:r>
      <w:r>
        <w:rPr>
          <w:spacing w:val="-3"/>
          <w:sz w:val="14"/>
          <w:szCs w:val="14"/>
          <w:lang w:val="es-ES_tradnl"/>
        </w:rPr>
        <w:t>de</w:t>
      </w:r>
      <w:r>
        <w:rPr>
          <w:spacing w:val="-3"/>
          <w:sz w:val="18"/>
          <w:szCs w:val="18"/>
          <w:lang w:val="es-ES_tradnl"/>
        </w:rPr>
        <w:t xml:space="preserve"> </w:t>
      </w:r>
      <w:r>
        <w:rPr>
          <w:spacing w:val="-3"/>
          <w:sz w:val="14"/>
          <w:szCs w:val="14"/>
          <w:lang w:val="es-ES_tradnl"/>
        </w:rPr>
        <w:t>servicio</w:t>
      </w:r>
      <w:r>
        <w:rPr>
          <w:spacing w:val="-3"/>
          <w:sz w:val="18"/>
          <w:szCs w:val="18"/>
          <w:lang w:val="es-ES_tradnl"/>
        </w:rPr>
        <w:t xml:space="preserve"> </w:t>
      </w:r>
      <w:r>
        <w:rPr>
          <w:spacing w:val="-3"/>
          <w:sz w:val="14"/>
          <w:szCs w:val="14"/>
          <w:lang w:val="es-ES_tradnl"/>
        </w:rPr>
        <w:t>p</w:t>
      </w:r>
      <w:r>
        <w:rPr>
          <w:rFonts w:cs="Times New Roman"/>
          <w:spacing w:val="-3"/>
          <w:sz w:val="14"/>
          <w:szCs w:val="14"/>
          <w:lang w:val="es-ES_tradnl"/>
        </w:rPr>
        <w:t>ú</w:t>
      </w:r>
      <w:r>
        <w:rPr>
          <w:spacing w:val="-3"/>
          <w:sz w:val="14"/>
          <w:szCs w:val="14"/>
          <w:lang w:val="es-ES_tradnl"/>
        </w:rPr>
        <w:t>blico,</w:t>
      </w:r>
      <w:r>
        <w:rPr>
          <w:spacing w:val="-3"/>
          <w:sz w:val="18"/>
          <w:szCs w:val="18"/>
          <w:lang w:val="es-ES_tradnl"/>
        </w:rPr>
        <w:t xml:space="preserve"> </w:t>
      </w:r>
      <w:r>
        <w:rPr>
          <w:spacing w:val="-3"/>
          <w:sz w:val="14"/>
          <w:szCs w:val="14"/>
          <w:lang w:val="es-ES_tradnl"/>
        </w:rPr>
        <w:t>art</w:t>
      </w:r>
      <w:r>
        <w:rPr>
          <w:rFonts w:cs="Times New Roman"/>
          <w:spacing w:val="-3"/>
          <w:sz w:val="14"/>
          <w:szCs w:val="14"/>
          <w:lang w:val="es-ES_tradnl"/>
        </w:rPr>
        <w:t>í</w:t>
      </w:r>
      <w:r>
        <w:rPr>
          <w:spacing w:val="-3"/>
          <w:sz w:val="14"/>
          <w:szCs w:val="14"/>
          <w:lang w:val="es-ES_tradnl"/>
        </w:rPr>
        <w:t>culo</w:t>
      </w:r>
      <w:r>
        <w:rPr>
          <w:spacing w:val="-3"/>
          <w:sz w:val="18"/>
          <w:szCs w:val="18"/>
          <w:lang w:val="es-ES_tradnl"/>
        </w:rPr>
        <w:t xml:space="preserve"> </w:t>
      </w:r>
      <w:r>
        <w:rPr>
          <w:spacing w:val="-3"/>
          <w:sz w:val="14"/>
          <w:szCs w:val="14"/>
          <w:lang w:val="es-ES_tradnl"/>
        </w:rPr>
        <w:t>15: </w:t>
      </w:r>
      <w:r>
        <w:rPr>
          <w:rFonts w:cs="Times New Roman"/>
          <w:spacing w:val="-1"/>
          <w:sz w:val="14"/>
          <w:szCs w:val="14"/>
          <w:lang w:val="es-ES_tradnl"/>
        </w:rPr>
        <w:t>“</w:t>
      </w:r>
      <w:r>
        <w:rPr>
          <w:spacing w:val="-1"/>
          <w:sz w:val="14"/>
          <w:szCs w:val="14"/>
          <w:lang w:val="es-ES_tradnl"/>
        </w:rPr>
        <w:t>Requisitos para la rehabilitaci</w:t>
      </w:r>
      <w:r>
        <w:rPr>
          <w:rFonts w:cs="Times New Roman"/>
          <w:spacing w:val="-1"/>
          <w:sz w:val="14"/>
          <w:szCs w:val="14"/>
          <w:lang w:val="es-ES_tradnl"/>
        </w:rPr>
        <w:t>ó</w:t>
      </w:r>
      <w:r>
        <w:rPr>
          <w:spacing w:val="-1"/>
          <w:sz w:val="14"/>
          <w:szCs w:val="14"/>
          <w:lang w:val="es-ES_tradnl"/>
        </w:rPr>
        <w:t>n de personas impedidas por haber recibido indemnizaci</w:t>
      </w:r>
      <w:r>
        <w:rPr>
          <w:rFonts w:cs="Times New Roman"/>
          <w:spacing w:val="-1"/>
          <w:sz w:val="14"/>
          <w:szCs w:val="14"/>
          <w:lang w:val="es-ES_tradnl"/>
        </w:rPr>
        <w:t>ó</w:t>
      </w:r>
      <w:r>
        <w:rPr>
          <w:spacing w:val="-1"/>
          <w:sz w:val="14"/>
          <w:szCs w:val="14"/>
          <w:lang w:val="es-ES_tradnl"/>
        </w:rPr>
        <w:t>n o compensaci</w:t>
      </w:r>
      <w:r>
        <w:rPr>
          <w:rFonts w:cs="Times New Roman"/>
          <w:spacing w:val="-1"/>
          <w:sz w:val="14"/>
          <w:szCs w:val="14"/>
          <w:lang w:val="es-ES_tradnl"/>
        </w:rPr>
        <w:t>ó</w:t>
      </w:r>
      <w:r>
        <w:rPr>
          <w:spacing w:val="-1"/>
          <w:sz w:val="14"/>
          <w:szCs w:val="14"/>
          <w:lang w:val="es-ES_tradnl"/>
        </w:rPr>
        <w:t>n econ</w:t>
      </w:r>
      <w:r>
        <w:rPr>
          <w:rFonts w:cs="Times New Roman"/>
          <w:spacing w:val="-1"/>
          <w:sz w:val="14"/>
          <w:szCs w:val="14"/>
          <w:lang w:val="es-ES_tradnl"/>
        </w:rPr>
        <w:t>ó</w:t>
      </w:r>
      <w:r>
        <w:rPr>
          <w:spacing w:val="-1"/>
          <w:sz w:val="14"/>
          <w:szCs w:val="14"/>
          <w:lang w:val="es-ES_tradnl"/>
        </w:rPr>
        <w:t>mica por compra de </w:t>
      </w:r>
      <w:r>
        <w:rPr>
          <w:spacing w:val="-5"/>
          <w:sz w:val="14"/>
          <w:szCs w:val="14"/>
          <w:lang w:val="es-ES_tradnl"/>
        </w:rPr>
        <w:t>renuncia, retiro voluntario, venta de renuncia, u otras figuras similares.- </w:t>
      </w:r>
      <w:r>
        <w:rPr>
          <w:spacing w:val="-1"/>
          <w:sz w:val="14"/>
          <w:szCs w:val="14"/>
          <w:lang w:val="es-ES_tradnl"/>
        </w:rPr>
        <w:t>Previo a ingresar al servicio p</w:t>
      </w:r>
      <w:r>
        <w:rPr>
          <w:rFonts w:cs="Times New Roman"/>
          <w:spacing w:val="-1"/>
          <w:sz w:val="14"/>
          <w:szCs w:val="14"/>
          <w:lang w:val="es-ES_tradnl"/>
        </w:rPr>
        <w:t>ú</w:t>
      </w:r>
      <w:r>
        <w:rPr>
          <w:spacing w:val="-1"/>
          <w:sz w:val="14"/>
          <w:szCs w:val="14"/>
          <w:lang w:val="es-ES_tradnl"/>
        </w:rPr>
        <w:t>blico, deber</w:t>
      </w:r>
      <w:r>
        <w:rPr>
          <w:rFonts w:cs="Times New Roman"/>
          <w:spacing w:val="-1"/>
          <w:sz w:val="14"/>
          <w:szCs w:val="14"/>
          <w:lang w:val="es-ES_tradnl"/>
        </w:rPr>
        <w:t>á</w:t>
      </w:r>
      <w:r>
        <w:rPr>
          <w:spacing w:val="-1"/>
          <w:sz w:val="14"/>
          <w:szCs w:val="14"/>
          <w:lang w:val="es-ES_tradnl"/>
        </w:rPr>
        <w:t>n presentar lo siguiente: </w:t>
      </w:r>
      <w:r>
        <w:rPr>
          <w:sz w:val="14"/>
          <w:szCs w:val="14"/>
          <w:lang w:val="es-ES_tradnl"/>
        </w:rPr>
        <w:t>1. Certificado emitido por la instituci</w:t>
      </w:r>
      <w:r>
        <w:rPr>
          <w:rFonts w:cs="Times New Roman"/>
          <w:sz w:val="14"/>
          <w:szCs w:val="14"/>
          <w:lang w:val="es-ES_tradnl"/>
        </w:rPr>
        <w:t>ó</w:t>
      </w:r>
      <w:r>
        <w:rPr>
          <w:sz w:val="14"/>
          <w:szCs w:val="14"/>
          <w:lang w:val="es-ES_tradnl"/>
        </w:rPr>
        <w:t>n del Estado de la que recibi</w:t>
      </w:r>
      <w:r>
        <w:rPr>
          <w:rFonts w:cs="Times New Roman"/>
          <w:sz w:val="14"/>
          <w:szCs w:val="14"/>
          <w:lang w:val="es-ES_tradnl"/>
        </w:rPr>
        <w:t>ó</w:t>
      </w:r>
      <w:r>
        <w:rPr>
          <w:sz w:val="14"/>
          <w:szCs w:val="14"/>
          <w:lang w:val="es-ES_tradnl"/>
        </w:rPr>
        <w:t xml:space="preserve"> indemnizaci</w:t>
      </w:r>
      <w:r>
        <w:rPr>
          <w:rFonts w:cs="Times New Roman"/>
          <w:sz w:val="14"/>
          <w:szCs w:val="14"/>
          <w:lang w:val="es-ES_tradnl"/>
        </w:rPr>
        <w:t>ó</w:t>
      </w:r>
      <w:r>
        <w:rPr>
          <w:sz w:val="14"/>
          <w:szCs w:val="14"/>
          <w:lang w:val="es-ES_tradnl"/>
        </w:rPr>
        <w:t>n o compensaci</w:t>
      </w:r>
      <w:r>
        <w:rPr>
          <w:rFonts w:cs="Times New Roman"/>
          <w:sz w:val="14"/>
          <w:szCs w:val="14"/>
          <w:lang w:val="es-ES_tradnl"/>
        </w:rPr>
        <w:t>ó</w:t>
      </w:r>
      <w:r>
        <w:rPr>
          <w:sz w:val="14"/>
          <w:szCs w:val="14"/>
          <w:lang w:val="es-ES_tradnl"/>
        </w:rPr>
        <w:t>n econ</w:t>
      </w:r>
      <w:r>
        <w:rPr>
          <w:rFonts w:cs="Times New Roman"/>
          <w:sz w:val="14"/>
          <w:szCs w:val="14"/>
          <w:lang w:val="es-ES_tradnl"/>
        </w:rPr>
        <w:t>ó</w:t>
      </w:r>
      <w:r>
        <w:rPr>
          <w:sz w:val="14"/>
          <w:szCs w:val="14"/>
          <w:lang w:val="es-ES_tradnl"/>
        </w:rPr>
        <w:t>mica, en el que se indique: 1.1. Fecha en la que se produjo la separaci</w:t>
      </w:r>
      <w:r>
        <w:rPr>
          <w:rFonts w:cs="Times New Roman"/>
          <w:sz w:val="14"/>
          <w:szCs w:val="14"/>
          <w:lang w:val="es-ES_tradnl"/>
        </w:rPr>
        <w:t>ó</w:t>
      </w:r>
      <w:r>
        <w:rPr>
          <w:sz w:val="14"/>
          <w:szCs w:val="14"/>
          <w:lang w:val="es-ES_tradnl"/>
        </w:rPr>
        <w:t>n de la instituci</w:t>
      </w:r>
      <w:r>
        <w:rPr>
          <w:rFonts w:cs="Times New Roman"/>
          <w:sz w:val="14"/>
          <w:szCs w:val="14"/>
          <w:lang w:val="es-ES_tradnl"/>
        </w:rPr>
        <w:t>ó</w:t>
      </w:r>
      <w:r>
        <w:rPr>
          <w:sz w:val="14"/>
          <w:szCs w:val="14"/>
          <w:lang w:val="es-ES_tradnl"/>
        </w:rPr>
        <w:t>n. 1.2. Fundamentos jur</w:t>
      </w:r>
      <w:r>
        <w:rPr>
          <w:rFonts w:cs="Times New Roman"/>
          <w:sz w:val="14"/>
          <w:szCs w:val="14"/>
          <w:lang w:val="es-ES_tradnl"/>
        </w:rPr>
        <w:t>í</w:t>
      </w:r>
      <w:r>
        <w:rPr>
          <w:sz w:val="14"/>
          <w:szCs w:val="14"/>
          <w:lang w:val="es-ES_tradnl"/>
        </w:rPr>
        <w:t>dicos que justificaron el tipo de indemnizaci</w:t>
      </w:r>
      <w:r>
        <w:rPr>
          <w:rFonts w:cs="Times New Roman"/>
          <w:sz w:val="14"/>
          <w:szCs w:val="14"/>
          <w:lang w:val="es-ES_tradnl"/>
        </w:rPr>
        <w:t>ó</w:t>
      </w:r>
      <w:r>
        <w:rPr>
          <w:sz w:val="14"/>
          <w:szCs w:val="14"/>
          <w:lang w:val="es-ES_tradnl"/>
        </w:rPr>
        <w:t>n o compensaci</w:t>
      </w:r>
      <w:r>
        <w:rPr>
          <w:rFonts w:cs="Times New Roman"/>
          <w:sz w:val="14"/>
          <w:szCs w:val="14"/>
          <w:lang w:val="es-ES_tradnl"/>
        </w:rPr>
        <w:t>ó</w:t>
      </w:r>
      <w:r>
        <w:rPr>
          <w:sz w:val="14"/>
          <w:szCs w:val="14"/>
          <w:lang w:val="es-ES_tradnl"/>
        </w:rPr>
        <w:t>n econ</w:t>
      </w:r>
      <w:r>
        <w:rPr>
          <w:rFonts w:cs="Times New Roman"/>
          <w:sz w:val="14"/>
          <w:szCs w:val="14"/>
          <w:lang w:val="es-ES_tradnl"/>
        </w:rPr>
        <w:t>ó</w:t>
      </w:r>
      <w:r>
        <w:rPr>
          <w:sz w:val="14"/>
          <w:szCs w:val="14"/>
          <w:lang w:val="es-ES_tradnl"/>
        </w:rPr>
        <w:t>mica recibida. 1.3. Determinaci</w:t>
      </w:r>
      <w:r>
        <w:rPr>
          <w:rFonts w:cs="Times New Roman"/>
          <w:sz w:val="14"/>
          <w:szCs w:val="14"/>
          <w:lang w:val="es-ES_tradnl"/>
        </w:rPr>
        <w:t>ó</w:t>
      </w:r>
      <w:r>
        <w:rPr>
          <w:sz w:val="14"/>
          <w:szCs w:val="14"/>
          <w:lang w:val="es-ES_tradnl"/>
        </w:rPr>
        <w:t>n del valor a devolver. </w:t>
      </w:r>
      <w:r>
        <w:rPr>
          <w:spacing w:val="-2"/>
          <w:sz w:val="14"/>
          <w:szCs w:val="14"/>
          <w:lang w:val="es-ES_tradnl"/>
        </w:rPr>
        <w:t>1.4. Copias certificadas de las acciones de personal, resoluciones </w:t>
      </w:r>
      <w:r>
        <w:rPr>
          <w:sz w:val="14"/>
          <w:szCs w:val="14"/>
          <w:lang w:val="es-ES_tradnl"/>
        </w:rPr>
        <w:t>administrativas y dem</w:t>
      </w:r>
      <w:r>
        <w:rPr>
          <w:rFonts w:cs="Times New Roman"/>
          <w:sz w:val="14"/>
          <w:szCs w:val="14"/>
          <w:lang w:val="es-ES_tradnl"/>
        </w:rPr>
        <w:t>á</w:t>
      </w:r>
      <w:r>
        <w:rPr>
          <w:sz w:val="14"/>
          <w:szCs w:val="14"/>
          <w:lang w:val="es-ES_tradnl"/>
        </w:rPr>
        <w:t>s documentos relativos a la separaci</w:t>
      </w:r>
      <w:r>
        <w:rPr>
          <w:rFonts w:cs="Times New Roman"/>
          <w:sz w:val="14"/>
          <w:szCs w:val="14"/>
          <w:lang w:val="es-ES_tradnl"/>
        </w:rPr>
        <w:t>ó</w:t>
      </w:r>
      <w:r>
        <w:rPr>
          <w:sz w:val="14"/>
          <w:szCs w:val="14"/>
          <w:lang w:val="es-ES_tradnl"/>
        </w:rPr>
        <w:t>n de la instituci</w:t>
      </w:r>
      <w:r>
        <w:rPr>
          <w:rFonts w:cs="Times New Roman"/>
          <w:sz w:val="14"/>
          <w:szCs w:val="14"/>
          <w:lang w:val="es-ES_tradnl"/>
        </w:rPr>
        <w:t>ó</w:t>
      </w:r>
      <w:r>
        <w:rPr>
          <w:sz w:val="14"/>
          <w:szCs w:val="14"/>
          <w:lang w:val="es-ES_tradnl"/>
        </w:rPr>
        <w:t>n. 2. Certificado de devoluci</w:t>
      </w:r>
      <w:r>
        <w:rPr>
          <w:rFonts w:cs="Times New Roman"/>
          <w:sz w:val="14"/>
          <w:szCs w:val="14"/>
          <w:lang w:val="es-ES_tradnl"/>
        </w:rPr>
        <w:t>ó</w:t>
      </w:r>
      <w:r>
        <w:rPr>
          <w:sz w:val="14"/>
          <w:szCs w:val="14"/>
          <w:lang w:val="es-ES_tradnl"/>
        </w:rPr>
        <w:t>n de los valores de la </w:t>
      </w:r>
      <w:r>
        <w:rPr>
          <w:spacing w:val="-2"/>
          <w:sz w:val="14"/>
          <w:szCs w:val="14"/>
          <w:lang w:val="es-ES_tradnl"/>
        </w:rPr>
        <w:t>indemnizaci</w:t>
      </w:r>
      <w:r>
        <w:rPr>
          <w:rFonts w:cs="Times New Roman"/>
          <w:spacing w:val="-2"/>
          <w:sz w:val="14"/>
          <w:szCs w:val="14"/>
          <w:lang w:val="es-ES_tradnl"/>
        </w:rPr>
        <w:t>ó</w:t>
      </w:r>
      <w:r>
        <w:rPr>
          <w:spacing w:val="-2"/>
          <w:sz w:val="14"/>
          <w:szCs w:val="14"/>
          <w:lang w:val="es-ES_tradnl"/>
        </w:rPr>
        <w:t>n o compensaci</w:t>
      </w:r>
      <w:r>
        <w:rPr>
          <w:rFonts w:cs="Times New Roman"/>
          <w:spacing w:val="-2"/>
          <w:sz w:val="14"/>
          <w:szCs w:val="14"/>
          <w:lang w:val="es-ES_tradnl"/>
        </w:rPr>
        <w:t>ó</w:t>
      </w:r>
      <w:r>
        <w:rPr>
          <w:spacing w:val="-2"/>
          <w:sz w:val="14"/>
          <w:szCs w:val="14"/>
          <w:lang w:val="es-ES_tradnl"/>
        </w:rPr>
        <w:t>n econ</w:t>
      </w:r>
      <w:r>
        <w:rPr>
          <w:rFonts w:cs="Times New Roman"/>
          <w:spacing w:val="-2"/>
          <w:sz w:val="14"/>
          <w:szCs w:val="14"/>
          <w:lang w:val="es-ES_tradnl"/>
        </w:rPr>
        <w:t>ó</w:t>
      </w:r>
      <w:r>
        <w:rPr>
          <w:spacing w:val="-2"/>
          <w:sz w:val="14"/>
          <w:szCs w:val="14"/>
          <w:lang w:val="es-ES_tradnl"/>
        </w:rPr>
        <w:t>mica emitido por la instituci</w:t>
      </w:r>
      <w:r>
        <w:rPr>
          <w:rFonts w:cs="Times New Roman"/>
          <w:spacing w:val="-2"/>
          <w:sz w:val="14"/>
          <w:szCs w:val="14"/>
          <w:lang w:val="es-ES_tradnl"/>
        </w:rPr>
        <w:t>ó</w:t>
      </w:r>
      <w:r>
        <w:rPr>
          <w:spacing w:val="-2"/>
          <w:sz w:val="14"/>
          <w:szCs w:val="14"/>
          <w:lang w:val="es-ES_tradnl"/>
        </w:rPr>
        <w:t>n, </w:t>
      </w:r>
      <w:r>
        <w:rPr>
          <w:sz w:val="14"/>
          <w:szCs w:val="14"/>
          <w:lang w:val="es-ES_tradnl"/>
        </w:rPr>
        <w:t>entidad u organismo que los recibi</w:t>
      </w:r>
      <w:r>
        <w:rPr>
          <w:rFonts w:cs="Times New Roman"/>
          <w:sz w:val="14"/>
          <w:szCs w:val="14"/>
          <w:lang w:val="es-ES_tradnl"/>
        </w:rPr>
        <w:t>ó</w:t>
      </w:r>
      <w:r>
        <w:rPr>
          <w:sz w:val="14"/>
          <w:szCs w:val="14"/>
          <w:lang w:val="es-ES_tradnl"/>
        </w:rPr>
        <w:t>, o copia certificada de la </w:t>
      </w:r>
      <w:r>
        <w:rPr>
          <w:spacing w:val="-2"/>
          <w:sz w:val="14"/>
          <w:szCs w:val="14"/>
          <w:lang w:val="es-ES_tradnl"/>
        </w:rPr>
        <w:t>declaraci</w:t>
      </w:r>
      <w:r>
        <w:rPr>
          <w:rFonts w:cs="Times New Roman"/>
          <w:spacing w:val="-2"/>
          <w:sz w:val="14"/>
          <w:szCs w:val="14"/>
          <w:lang w:val="es-ES_tradnl"/>
        </w:rPr>
        <w:t>ó</w:t>
      </w:r>
      <w:r>
        <w:rPr>
          <w:spacing w:val="-2"/>
          <w:sz w:val="14"/>
          <w:szCs w:val="14"/>
          <w:lang w:val="es-ES_tradnl"/>
        </w:rPr>
        <w:t>n patrimonial juramentada de la cual conste el respectivo </w:t>
      </w:r>
      <w:r>
        <w:rPr>
          <w:sz w:val="14"/>
          <w:szCs w:val="14"/>
          <w:lang w:val="es-ES_tradnl"/>
        </w:rPr>
        <w:t>convenio de pago.</w:t>
      </w:r>
      <w:r>
        <w:rPr>
          <w:rFonts w:cs="Times New Roman"/>
          <w:sz w:val="14"/>
          <w:szCs w:val="14"/>
          <w:lang w:val="es-ES_tradnl"/>
        </w:rPr>
        <w:t>”</w:t>
      </w:r>
    </w:p>
    <w:p w14:paraId="4F67B0A7" w14:textId="77777777" w:rsidR="00591D54" w:rsidRDefault="00591D54">
      <w:pPr>
        <w:shd w:val="clear" w:color="auto" w:fill="FFFFFF"/>
        <w:spacing w:line="216" w:lineRule="exact"/>
        <w:jc w:val="both"/>
      </w:pPr>
      <w:r>
        <w:br w:type="column"/>
      </w:r>
      <w:r>
        <w:rPr>
          <w:spacing w:val="-5"/>
          <w:sz w:val="18"/>
          <w:szCs w:val="18"/>
          <w:lang w:val="es-ES_tradnl"/>
        </w:rPr>
        <w:t>aplicaci</w:t>
      </w:r>
      <w:r>
        <w:rPr>
          <w:rFonts w:cs="Times New Roman"/>
          <w:spacing w:val="-5"/>
          <w:sz w:val="18"/>
          <w:szCs w:val="18"/>
          <w:lang w:val="es-ES_tradnl"/>
        </w:rPr>
        <w:t>ó</w:t>
      </w:r>
      <w:r>
        <w:rPr>
          <w:spacing w:val="-5"/>
          <w:sz w:val="18"/>
          <w:szCs w:val="18"/>
          <w:lang w:val="es-ES_tradnl"/>
        </w:rPr>
        <w:t>n del ordenamiento jur</w:t>
      </w:r>
      <w:r>
        <w:rPr>
          <w:rFonts w:cs="Times New Roman"/>
          <w:spacing w:val="-5"/>
          <w:sz w:val="18"/>
          <w:szCs w:val="18"/>
          <w:lang w:val="es-ES_tradnl"/>
        </w:rPr>
        <w:t>í</w:t>
      </w:r>
      <w:r>
        <w:rPr>
          <w:spacing w:val="-5"/>
          <w:sz w:val="18"/>
          <w:szCs w:val="18"/>
          <w:lang w:val="es-ES_tradnl"/>
        </w:rPr>
        <w:t>dico, la seguridad jur</w:t>
      </w:r>
      <w:r>
        <w:rPr>
          <w:rFonts w:cs="Times New Roman"/>
          <w:spacing w:val="-5"/>
          <w:sz w:val="18"/>
          <w:szCs w:val="18"/>
          <w:lang w:val="es-ES_tradnl"/>
        </w:rPr>
        <w:t>í</w:t>
      </w:r>
      <w:r>
        <w:rPr>
          <w:spacing w:val="-5"/>
          <w:sz w:val="18"/>
          <w:szCs w:val="18"/>
          <w:lang w:val="es-ES_tradnl"/>
        </w:rPr>
        <w:t xml:space="preserve">dica </w:t>
      </w:r>
      <w:r>
        <w:rPr>
          <w:spacing w:val="-7"/>
          <w:sz w:val="18"/>
          <w:szCs w:val="18"/>
          <w:lang w:val="es-ES_tradnl"/>
        </w:rPr>
        <w:t>y la tutela efectiva de los derechos</w:t>
      </w:r>
      <w:r>
        <w:rPr>
          <w:spacing w:val="-7"/>
          <w:sz w:val="18"/>
          <w:szCs w:val="18"/>
          <w:vertAlign w:val="superscript"/>
          <w:lang w:val="es-ES_tradnl"/>
        </w:rPr>
        <w:t>7</w:t>
      </w:r>
      <w:r>
        <w:rPr>
          <w:spacing w:val="-7"/>
          <w:sz w:val="18"/>
          <w:szCs w:val="18"/>
          <w:lang w:val="es-ES_tradnl"/>
        </w:rPr>
        <w:t>. Es as</w:t>
      </w:r>
      <w:r>
        <w:rPr>
          <w:rFonts w:cs="Times New Roman"/>
          <w:spacing w:val="-7"/>
          <w:sz w:val="18"/>
          <w:szCs w:val="18"/>
          <w:lang w:val="es-ES_tradnl"/>
        </w:rPr>
        <w:t>í</w:t>
      </w:r>
      <w:r>
        <w:rPr>
          <w:spacing w:val="-7"/>
          <w:sz w:val="18"/>
          <w:szCs w:val="18"/>
          <w:lang w:val="es-ES_tradnl"/>
        </w:rPr>
        <w:t xml:space="preserve"> que existiendo </w:t>
      </w:r>
      <w:r>
        <w:rPr>
          <w:spacing w:val="-6"/>
          <w:sz w:val="18"/>
          <w:szCs w:val="18"/>
          <w:lang w:val="es-ES_tradnl"/>
        </w:rPr>
        <w:t xml:space="preserve">una sentencia precedente que goza de legitimidad y juridicidad, es deber de los jueces constitucionales tomar </w:t>
      </w:r>
      <w:r>
        <w:rPr>
          <w:spacing w:val="-11"/>
          <w:sz w:val="18"/>
          <w:szCs w:val="18"/>
          <w:lang w:val="es-ES_tradnl"/>
        </w:rPr>
        <w:t xml:space="preserve">en cuenta las consideraciones expuestas en este precedente </w:t>
      </w:r>
      <w:r>
        <w:rPr>
          <w:spacing w:val="-6"/>
          <w:sz w:val="18"/>
          <w:szCs w:val="18"/>
          <w:lang w:val="es-ES_tradnl"/>
        </w:rPr>
        <w:t xml:space="preserve">para resolver un nuevo caso </w:t>
      </w:r>
      <w:r>
        <w:rPr>
          <w:rFonts w:cs="Times New Roman"/>
          <w:spacing w:val="-6"/>
          <w:sz w:val="18"/>
          <w:szCs w:val="18"/>
          <w:lang w:val="es-ES_tradnl"/>
        </w:rPr>
        <w:t>–</w:t>
      </w:r>
      <w:r>
        <w:rPr>
          <w:spacing w:val="-6"/>
          <w:sz w:val="18"/>
          <w:szCs w:val="18"/>
          <w:lang w:val="es-ES_tradnl"/>
        </w:rPr>
        <w:t>similar</w:t>
      </w:r>
      <w:r>
        <w:rPr>
          <w:rFonts w:ascii="Arial Unicode MS" w:eastAsia="Arial Unicode MS" w:hAnsi="Arial Unicode MS" w:cs="Arial Unicode MS" w:hint="eastAsia"/>
          <w:spacing w:val="-6"/>
          <w:sz w:val="18"/>
          <w:szCs w:val="18"/>
          <w:lang w:val="es-ES_tradnl"/>
        </w:rPr>
        <w:t>‒</w:t>
      </w:r>
      <w:r>
        <w:rPr>
          <w:spacing w:val="-6"/>
          <w:sz w:val="18"/>
          <w:szCs w:val="18"/>
          <w:lang w:val="es-ES_tradnl"/>
        </w:rPr>
        <w:t>, que seg</w:t>
      </w:r>
      <w:r>
        <w:rPr>
          <w:rFonts w:cs="Times New Roman"/>
          <w:spacing w:val="-6"/>
          <w:sz w:val="18"/>
          <w:szCs w:val="18"/>
          <w:lang w:val="es-ES_tradnl"/>
        </w:rPr>
        <w:t>ú</w:t>
      </w:r>
      <w:r>
        <w:rPr>
          <w:spacing w:val="-6"/>
          <w:sz w:val="18"/>
          <w:szCs w:val="18"/>
          <w:lang w:val="es-ES_tradnl"/>
        </w:rPr>
        <w:t xml:space="preserve">n Diego </w:t>
      </w:r>
      <w:r>
        <w:rPr>
          <w:sz w:val="18"/>
          <w:szCs w:val="18"/>
          <w:lang w:val="es-ES_tradnl"/>
        </w:rPr>
        <w:t>L</w:t>
      </w:r>
      <w:r>
        <w:rPr>
          <w:rFonts w:cs="Times New Roman"/>
          <w:sz w:val="18"/>
          <w:szCs w:val="18"/>
          <w:lang w:val="es-ES_tradnl"/>
        </w:rPr>
        <w:t>ó</w:t>
      </w:r>
      <w:r>
        <w:rPr>
          <w:sz w:val="18"/>
          <w:szCs w:val="18"/>
          <w:lang w:val="es-ES_tradnl"/>
        </w:rPr>
        <w:t xml:space="preserve">pez Medina se lo conoce como norma controlante </w:t>
      </w:r>
      <w:r>
        <w:rPr>
          <w:spacing w:val="-6"/>
          <w:sz w:val="18"/>
          <w:szCs w:val="18"/>
          <w:lang w:val="es-ES_tradnl"/>
        </w:rPr>
        <w:t>del caso</w:t>
      </w:r>
      <w:r>
        <w:rPr>
          <w:spacing w:val="-6"/>
          <w:sz w:val="18"/>
          <w:szCs w:val="18"/>
          <w:vertAlign w:val="superscript"/>
          <w:lang w:val="es-ES_tradnl"/>
        </w:rPr>
        <w:t>8</w:t>
      </w:r>
      <w:r>
        <w:rPr>
          <w:spacing w:val="-6"/>
          <w:sz w:val="18"/>
          <w:szCs w:val="18"/>
          <w:lang w:val="es-ES_tradnl"/>
        </w:rPr>
        <w:t xml:space="preserve">. En efecto, la referida sentencia determina lo </w:t>
      </w:r>
      <w:r>
        <w:rPr>
          <w:sz w:val="18"/>
          <w:szCs w:val="18"/>
          <w:lang w:val="es-ES_tradnl"/>
        </w:rPr>
        <w:t>siguiente:</w:t>
      </w:r>
    </w:p>
    <w:p w14:paraId="4F67B0A8" w14:textId="77777777" w:rsidR="00591D54" w:rsidRDefault="00591D54">
      <w:pPr>
        <w:shd w:val="clear" w:color="auto" w:fill="FFFFFF"/>
        <w:spacing w:before="202" w:line="211" w:lineRule="exact"/>
        <w:ind w:left="283"/>
        <w:jc w:val="both"/>
      </w:pPr>
      <w:r>
        <w:rPr>
          <w:sz w:val="14"/>
          <w:szCs w:val="14"/>
          <w:lang w:val="es-ES_tradnl"/>
        </w:rPr>
        <w:t>(</w:t>
      </w:r>
      <w:r>
        <w:rPr>
          <w:rFonts w:cs="Times New Roman"/>
          <w:sz w:val="14"/>
          <w:szCs w:val="14"/>
          <w:lang w:val="es-ES_tradnl"/>
        </w:rPr>
        <w:t>…</w:t>
      </w:r>
      <w:r>
        <w:rPr>
          <w:sz w:val="14"/>
          <w:szCs w:val="14"/>
          <w:lang w:val="es-ES_tradnl"/>
        </w:rPr>
        <w:t>) los jueces en la expedici</w:t>
      </w:r>
      <w:r>
        <w:rPr>
          <w:rFonts w:cs="Times New Roman"/>
          <w:sz w:val="14"/>
          <w:szCs w:val="14"/>
          <w:lang w:val="es-ES_tradnl"/>
        </w:rPr>
        <w:t>ó</w:t>
      </w:r>
      <w:r>
        <w:rPr>
          <w:sz w:val="14"/>
          <w:szCs w:val="14"/>
          <w:lang w:val="es-ES_tradnl"/>
        </w:rPr>
        <w:t>n del fallo objeto de impugnaci</w:t>
      </w:r>
      <w:r>
        <w:rPr>
          <w:rFonts w:cs="Times New Roman"/>
          <w:sz w:val="14"/>
          <w:szCs w:val="14"/>
          <w:lang w:val="es-ES_tradnl"/>
        </w:rPr>
        <w:t>ó</w:t>
      </w:r>
      <w:r>
        <w:rPr>
          <w:sz w:val="14"/>
          <w:szCs w:val="14"/>
          <w:lang w:val="es-ES_tradnl"/>
        </w:rPr>
        <w:t>n, parten de un error al considerar que los hechos sometidos a su judicatura correspond</w:t>
      </w:r>
      <w:r>
        <w:rPr>
          <w:rFonts w:cs="Times New Roman"/>
          <w:sz w:val="14"/>
          <w:szCs w:val="14"/>
          <w:lang w:val="es-ES_tradnl"/>
        </w:rPr>
        <w:t>í</w:t>
      </w:r>
      <w:r>
        <w:rPr>
          <w:sz w:val="14"/>
          <w:szCs w:val="14"/>
          <w:lang w:val="es-ES_tradnl"/>
        </w:rPr>
        <w:t>an a una vulneraci</w:t>
      </w:r>
      <w:r>
        <w:rPr>
          <w:rFonts w:cs="Times New Roman"/>
          <w:sz w:val="14"/>
          <w:szCs w:val="14"/>
          <w:lang w:val="es-ES_tradnl"/>
        </w:rPr>
        <w:t>ó</w:t>
      </w:r>
      <w:r>
        <w:rPr>
          <w:sz w:val="14"/>
          <w:szCs w:val="14"/>
          <w:lang w:val="es-ES_tradnl"/>
        </w:rPr>
        <w:t xml:space="preserve">n de derechos constitucionales, </w:t>
      </w:r>
      <w:r>
        <w:rPr>
          <w:b/>
          <w:bCs/>
          <w:sz w:val="14"/>
          <w:szCs w:val="14"/>
          <w:lang w:val="es-ES_tradnl"/>
        </w:rPr>
        <w:t>toda vez que el certificado emitido por el Ministerio de Relaciones Laborales no vulnera ning</w:t>
      </w:r>
      <w:r>
        <w:rPr>
          <w:rFonts w:cs="Times New Roman"/>
          <w:b/>
          <w:bCs/>
          <w:sz w:val="14"/>
          <w:szCs w:val="14"/>
          <w:lang w:val="es-ES_tradnl"/>
        </w:rPr>
        <w:t>ú</w:t>
      </w:r>
      <w:r>
        <w:rPr>
          <w:b/>
          <w:bCs/>
          <w:sz w:val="14"/>
          <w:szCs w:val="14"/>
          <w:lang w:val="es-ES_tradnl"/>
        </w:rPr>
        <w:t xml:space="preserve">n derecho constitucional, porque se refiere al cumplimiento </w:t>
      </w:r>
      <w:r>
        <w:rPr>
          <w:b/>
          <w:bCs/>
          <w:spacing w:val="-1"/>
          <w:sz w:val="14"/>
          <w:szCs w:val="14"/>
          <w:lang w:val="es-ES_tradnl"/>
        </w:rPr>
        <w:t>de requisitos establecidos en la norma legal espec</w:t>
      </w:r>
      <w:r>
        <w:rPr>
          <w:rFonts w:cs="Times New Roman"/>
          <w:b/>
          <w:bCs/>
          <w:spacing w:val="-1"/>
          <w:sz w:val="14"/>
          <w:szCs w:val="14"/>
          <w:lang w:val="es-ES_tradnl"/>
        </w:rPr>
        <w:t>í</w:t>
      </w:r>
      <w:r>
        <w:rPr>
          <w:b/>
          <w:bCs/>
          <w:spacing w:val="-1"/>
          <w:sz w:val="14"/>
          <w:szCs w:val="14"/>
          <w:lang w:val="es-ES_tradnl"/>
        </w:rPr>
        <w:t>fica para el caso, esto es, el art</w:t>
      </w:r>
      <w:r>
        <w:rPr>
          <w:rFonts w:cs="Times New Roman"/>
          <w:b/>
          <w:bCs/>
          <w:spacing w:val="-1"/>
          <w:sz w:val="14"/>
          <w:szCs w:val="14"/>
          <w:lang w:val="es-ES_tradnl"/>
        </w:rPr>
        <w:t>í</w:t>
      </w:r>
      <w:r>
        <w:rPr>
          <w:b/>
          <w:bCs/>
          <w:spacing w:val="-1"/>
          <w:sz w:val="14"/>
          <w:szCs w:val="14"/>
          <w:lang w:val="es-ES_tradnl"/>
        </w:rPr>
        <w:t>culo 14 de la Ley Org</w:t>
      </w:r>
      <w:r>
        <w:rPr>
          <w:rFonts w:cs="Times New Roman"/>
          <w:b/>
          <w:bCs/>
          <w:spacing w:val="-1"/>
          <w:sz w:val="14"/>
          <w:szCs w:val="14"/>
          <w:lang w:val="es-ES_tradnl"/>
        </w:rPr>
        <w:t>á</w:t>
      </w:r>
      <w:r>
        <w:rPr>
          <w:b/>
          <w:bCs/>
          <w:spacing w:val="-1"/>
          <w:sz w:val="14"/>
          <w:szCs w:val="14"/>
          <w:lang w:val="es-ES_tradnl"/>
        </w:rPr>
        <w:t xml:space="preserve">nica de Servicio </w:t>
      </w:r>
      <w:r>
        <w:rPr>
          <w:b/>
          <w:bCs/>
          <w:sz w:val="14"/>
          <w:szCs w:val="14"/>
          <w:lang w:val="es-ES_tradnl"/>
        </w:rPr>
        <w:t>P</w:t>
      </w:r>
      <w:r>
        <w:rPr>
          <w:rFonts w:cs="Times New Roman"/>
          <w:b/>
          <w:bCs/>
          <w:sz w:val="14"/>
          <w:szCs w:val="14"/>
          <w:lang w:val="es-ES_tradnl"/>
        </w:rPr>
        <w:t>ú</w:t>
      </w:r>
      <w:r>
        <w:rPr>
          <w:b/>
          <w:bCs/>
          <w:sz w:val="14"/>
          <w:szCs w:val="14"/>
          <w:lang w:val="es-ES_tradnl"/>
        </w:rPr>
        <w:t xml:space="preserve">blico </w:t>
      </w:r>
      <w:r>
        <w:rPr>
          <w:sz w:val="14"/>
          <w:szCs w:val="14"/>
          <w:lang w:val="es-ES_tradnl"/>
        </w:rPr>
        <w:t>(</w:t>
      </w:r>
      <w:r>
        <w:rPr>
          <w:rFonts w:cs="Times New Roman"/>
          <w:sz w:val="14"/>
          <w:szCs w:val="14"/>
          <w:lang w:val="es-ES_tradnl"/>
        </w:rPr>
        <w:t>…</w:t>
      </w:r>
      <w:r>
        <w:rPr>
          <w:sz w:val="14"/>
          <w:szCs w:val="14"/>
          <w:lang w:val="es-ES_tradnl"/>
        </w:rPr>
        <w:t>) el confl icto correspond</w:t>
      </w:r>
      <w:r>
        <w:rPr>
          <w:rFonts w:cs="Times New Roman"/>
          <w:sz w:val="14"/>
          <w:szCs w:val="14"/>
          <w:lang w:val="es-ES_tradnl"/>
        </w:rPr>
        <w:t>í</w:t>
      </w:r>
      <w:r>
        <w:rPr>
          <w:sz w:val="14"/>
          <w:szCs w:val="14"/>
          <w:lang w:val="es-ES_tradnl"/>
        </w:rPr>
        <w:t>a a un asunto que no vulnera ning</w:t>
      </w:r>
      <w:r>
        <w:rPr>
          <w:rFonts w:cs="Times New Roman"/>
          <w:sz w:val="14"/>
          <w:szCs w:val="14"/>
          <w:lang w:val="es-ES_tradnl"/>
        </w:rPr>
        <w:t>ú</w:t>
      </w:r>
      <w:r>
        <w:rPr>
          <w:sz w:val="14"/>
          <w:szCs w:val="14"/>
          <w:lang w:val="es-ES_tradnl"/>
        </w:rPr>
        <w:t xml:space="preserve">n derecho constitucional, porque se trataba del cumplimiento de un requisito establecido en la ley </w:t>
      </w:r>
      <w:r>
        <w:rPr>
          <w:rFonts w:cs="Times New Roman"/>
          <w:sz w:val="14"/>
          <w:szCs w:val="14"/>
          <w:lang w:val="es-ES_tradnl"/>
        </w:rPr>
        <w:t>–</w:t>
      </w:r>
      <w:r>
        <w:rPr>
          <w:sz w:val="14"/>
          <w:szCs w:val="14"/>
          <w:lang w:val="es-ES_tradnl"/>
        </w:rPr>
        <w:t xml:space="preserve"> art</w:t>
      </w:r>
      <w:r>
        <w:rPr>
          <w:rFonts w:cs="Times New Roman"/>
          <w:sz w:val="14"/>
          <w:szCs w:val="14"/>
          <w:lang w:val="es-ES_tradnl"/>
        </w:rPr>
        <w:t>í</w:t>
      </w:r>
      <w:r>
        <w:rPr>
          <w:sz w:val="14"/>
          <w:szCs w:val="14"/>
          <w:lang w:val="es-ES_tradnl"/>
        </w:rPr>
        <w:t xml:space="preserve">culo 14 LOSEP </w:t>
      </w:r>
      <w:r>
        <w:rPr>
          <w:rFonts w:cs="Times New Roman"/>
          <w:sz w:val="14"/>
          <w:szCs w:val="14"/>
          <w:lang w:val="es-ES_tradnl"/>
        </w:rPr>
        <w:t>–</w:t>
      </w:r>
      <w:r>
        <w:rPr>
          <w:sz w:val="14"/>
          <w:szCs w:val="14"/>
          <w:lang w:val="es-ES_tradnl"/>
        </w:rPr>
        <w:t xml:space="preserve"> y no como se pretendi</w:t>
      </w:r>
      <w:r>
        <w:rPr>
          <w:rFonts w:cs="Times New Roman"/>
          <w:sz w:val="14"/>
          <w:szCs w:val="14"/>
          <w:lang w:val="es-ES_tradnl"/>
        </w:rPr>
        <w:t>ó</w:t>
      </w:r>
      <w:r>
        <w:rPr>
          <w:sz w:val="14"/>
          <w:szCs w:val="14"/>
          <w:lang w:val="es-ES_tradnl"/>
        </w:rPr>
        <w:t xml:space="preserve"> sostener, al manifestar que se vulneraron los derechos constitucionales a la libertad de trabajo y el acceso a desempe</w:t>
      </w:r>
      <w:r>
        <w:rPr>
          <w:rFonts w:cs="Times New Roman"/>
          <w:sz w:val="14"/>
          <w:szCs w:val="14"/>
          <w:lang w:val="es-ES_tradnl"/>
        </w:rPr>
        <w:t>ñ</w:t>
      </w:r>
      <w:r>
        <w:rPr>
          <w:sz w:val="14"/>
          <w:szCs w:val="14"/>
          <w:lang w:val="es-ES_tradnl"/>
        </w:rPr>
        <w:t>ar cargos o funciones p</w:t>
      </w:r>
      <w:r>
        <w:rPr>
          <w:rFonts w:cs="Times New Roman"/>
          <w:sz w:val="14"/>
          <w:szCs w:val="14"/>
          <w:lang w:val="es-ES_tradnl"/>
        </w:rPr>
        <w:t>ú</w:t>
      </w:r>
      <w:r>
        <w:rPr>
          <w:sz w:val="14"/>
          <w:szCs w:val="14"/>
          <w:lang w:val="es-ES_tradnl"/>
        </w:rPr>
        <w:t>blicas con base en m</w:t>
      </w:r>
      <w:r>
        <w:rPr>
          <w:rFonts w:cs="Times New Roman"/>
          <w:sz w:val="14"/>
          <w:szCs w:val="14"/>
          <w:lang w:val="es-ES_tradnl"/>
        </w:rPr>
        <w:t>é</w:t>
      </w:r>
      <w:r>
        <w:rPr>
          <w:sz w:val="14"/>
          <w:szCs w:val="14"/>
          <w:lang w:val="es-ES_tradnl"/>
        </w:rPr>
        <w:t>rito y oposici</w:t>
      </w:r>
      <w:r>
        <w:rPr>
          <w:rFonts w:cs="Times New Roman"/>
          <w:sz w:val="14"/>
          <w:szCs w:val="14"/>
          <w:lang w:val="es-ES_tradnl"/>
        </w:rPr>
        <w:t>ó</w:t>
      </w:r>
      <w:r>
        <w:rPr>
          <w:sz w:val="14"/>
          <w:szCs w:val="14"/>
          <w:lang w:val="es-ES_tradnl"/>
        </w:rPr>
        <w:t>n, pues los presupuestos f</w:t>
      </w:r>
      <w:r>
        <w:rPr>
          <w:rFonts w:cs="Times New Roman"/>
          <w:sz w:val="14"/>
          <w:szCs w:val="14"/>
          <w:lang w:val="es-ES_tradnl"/>
        </w:rPr>
        <w:t>á</w:t>
      </w:r>
      <w:r>
        <w:rPr>
          <w:sz w:val="14"/>
          <w:szCs w:val="14"/>
          <w:lang w:val="es-ES_tradnl"/>
        </w:rPr>
        <w:t>cticos necesarios para el cumplimiento de los requisitos establecidos en la ley para la rehabilitaci</w:t>
      </w:r>
      <w:r>
        <w:rPr>
          <w:rFonts w:cs="Times New Roman"/>
          <w:sz w:val="14"/>
          <w:szCs w:val="14"/>
          <w:lang w:val="es-ES_tradnl"/>
        </w:rPr>
        <w:t>ó</w:t>
      </w:r>
      <w:r>
        <w:rPr>
          <w:sz w:val="14"/>
          <w:szCs w:val="14"/>
          <w:lang w:val="es-ES_tradnl"/>
        </w:rPr>
        <w:t>n e ingreso al sector p</w:t>
      </w:r>
      <w:r>
        <w:rPr>
          <w:rFonts w:cs="Times New Roman"/>
          <w:sz w:val="14"/>
          <w:szCs w:val="14"/>
          <w:lang w:val="es-ES_tradnl"/>
        </w:rPr>
        <w:t>ú</w:t>
      </w:r>
      <w:r>
        <w:rPr>
          <w:sz w:val="14"/>
          <w:szCs w:val="14"/>
          <w:lang w:val="es-ES_tradnl"/>
        </w:rPr>
        <w:t>blico no se cumplieron; adem</w:t>
      </w:r>
      <w:r>
        <w:rPr>
          <w:rFonts w:cs="Times New Roman"/>
          <w:sz w:val="14"/>
          <w:szCs w:val="14"/>
          <w:lang w:val="es-ES_tradnl"/>
        </w:rPr>
        <w:t>á</w:t>
      </w:r>
      <w:r>
        <w:rPr>
          <w:sz w:val="14"/>
          <w:szCs w:val="14"/>
          <w:lang w:val="es-ES_tradnl"/>
        </w:rPr>
        <w:t>s, el certificado conten</w:t>
      </w:r>
      <w:r>
        <w:rPr>
          <w:rFonts w:cs="Times New Roman"/>
          <w:sz w:val="14"/>
          <w:szCs w:val="14"/>
          <w:lang w:val="es-ES_tradnl"/>
        </w:rPr>
        <w:t>í</w:t>
      </w:r>
      <w:r>
        <w:rPr>
          <w:sz w:val="14"/>
          <w:szCs w:val="14"/>
          <w:lang w:val="es-ES_tradnl"/>
        </w:rPr>
        <w:t xml:space="preserve">a </w:t>
      </w:r>
      <w:r>
        <w:rPr>
          <w:rFonts w:cs="Times New Roman"/>
          <w:sz w:val="14"/>
          <w:szCs w:val="14"/>
          <w:lang w:val="es-ES_tradnl"/>
        </w:rPr>
        <w:t>ú</w:t>
      </w:r>
      <w:r>
        <w:rPr>
          <w:sz w:val="14"/>
          <w:szCs w:val="14"/>
          <w:lang w:val="es-ES_tradnl"/>
        </w:rPr>
        <w:t>nicamente informaci</w:t>
      </w:r>
      <w:r>
        <w:rPr>
          <w:rFonts w:cs="Times New Roman"/>
          <w:sz w:val="14"/>
          <w:szCs w:val="14"/>
          <w:lang w:val="es-ES_tradnl"/>
        </w:rPr>
        <w:t>ó</w:t>
      </w:r>
      <w:r>
        <w:rPr>
          <w:sz w:val="14"/>
          <w:szCs w:val="14"/>
          <w:lang w:val="es-ES_tradnl"/>
        </w:rPr>
        <w:t>n que deb</w:t>
      </w:r>
      <w:r>
        <w:rPr>
          <w:rFonts w:cs="Times New Roman"/>
          <w:sz w:val="14"/>
          <w:szCs w:val="14"/>
          <w:lang w:val="es-ES_tradnl"/>
        </w:rPr>
        <w:t>í</w:t>
      </w:r>
      <w:r>
        <w:rPr>
          <w:sz w:val="14"/>
          <w:szCs w:val="14"/>
          <w:lang w:val="es-ES_tradnl"/>
        </w:rPr>
        <w:t>a cumplirse para reingresar al sector p</w:t>
      </w:r>
      <w:r>
        <w:rPr>
          <w:rFonts w:cs="Times New Roman"/>
          <w:sz w:val="14"/>
          <w:szCs w:val="14"/>
          <w:lang w:val="es-ES_tradnl"/>
        </w:rPr>
        <w:t>ú</w:t>
      </w:r>
      <w:r>
        <w:rPr>
          <w:sz w:val="14"/>
          <w:szCs w:val="14"/>
          <w:lang w:val="es-ES_tradnl"/>
        </w:rPr>
        <w:t xml:space="preserve">blico; en consecuencia, el Tribunal </w:t>
      </w:r>
      <w:r>
        <w:rPr>
          <w:i/>
          <w:iCs/>
          <w:sz w:val="14"/>
          <w:szCs w:val="14"/>
          <w:lang w:val="es-ES_tradnl"/>
        </w:rPr>
        <w:t xml:space="preserve">ad quem </w:t>
      </w:r>
      <w:r>
        <w:rPr>
          <w:sz w:val="14"/>
          <w:szCs w:val="14"/>
          <w:lang w:val="es-ES_tradnl"/>
        </w:rPr>
        <w:t>se apart</w:t>
      </w:r>
      <w:r>
        <w:rPr>
          <w:rFonts w:cs="Times New Roman"/>
          <w:sz w:val="14"/>
          <w:szCs w:val="14"/>
          <w:lang w:val="es-ES_tradnl"/>
        </w:rPr>
        <w:t>ó</w:t>
      </w:r>
      <w:r>
        <w:rPr>
          <w:sz w:val="14"/>
          <w:szCs w:val="14"/>
          <w:lang w:val="es-ES_tradnl"/>
        </w:rPr>
        <w:t xml:space="preserve"> de lo prescrito en el art</w:t>
      </w:r>
      <w:r>
        <w:rPr>
          <w:rFonts w:cs="Times New Roman"/>
          <w:sz w:val="14"/>
          <w:szCs w:val="14"/>
          <w:lang w:val="es-ES_tradnl"/>
        </w:rPr>
        <w:t>í</w:t>
      </w:r>
      <w:r>
        <w:rPr>
          <w:sz w:val="14"/>
          <w:szCs w:val="14"/>
          <w:lang w:val="es-ES_tradnl"/>
        </w:rPr>
        <w:t>culo 88 de la Constituci</w:t>
      </w:r>
      <w:r>
        <w:rPr>
          <w:rFonts w:cs="Times New Roman"/>
          <w:sz w:val="14"/>
          <w:szCs w:val="14"/>
          <w:lang w:val="es-ES_tradnl"/>
        </w:rPr>
        <w:t>ó</w:t>
      </w:r>
      <w:r>
        <w:rPr>
          <w:sz w:val="14"/>
          <w:szCs w:val="14"/>
          <w:lang w:val="es-ES_tradnl"/>
        </w:rPr>
        <w:t>n de la Rep</w:t>
      </w:r>
      <w:r>
        <w:rPr>
          <w:rFonts w:cs="Times New Roman"/>
          <w:sz w:val="14"/>
          <w:szCs w:val="14"/>
          <w:lang w:val="es-ES_tradnl"/>
        </w:rPr>
        <w:t>ú</w:t>
      </w:r>
      <w:r>
        <w:rPr>
          <w:sz w:val="14"/>
          <w:szCs w:val="14"/>
          <w:lang w:val="es-ES_tradnl"/>
        </w:rPr>
        <w:t>blica y art</w:t>
      </w:r>
      <w:r>
        <w:rPr>
          <w:rFonts w:cs="Times New Roman"/>
          <w:sz w:val="14"/>
          <w:szCs w:val="14"/>
          <w:lang w:val="es-ES_tradnl"/>
        </w:rPr>
        <w:t>í</w:t>
      </w:r>
      <w:r>
        <w:rPr>
          <w:sz w:val="14"/>
          <w:szCs w:val="14"/>
          <w:lang w:val="es-ES_tradnl"/>
        </w:rPr>
        <w:t>culo 39 de la Ley Org</w:t>
      </w:r>
      <w:r>
        <w:rPr>
          <w:rFonts w:cs="Times New Roman"/>
          <w:sz w:val="14"/>
          <w:szCs w:val="14"/>
          <w:lang w:val="es-ES_tradnl"/>
        </w:rPr>
        <w:t>á</w:t>
      </w:r>
      <w:r>
        <w:rPr>
          <w:sz w:val="14"/>
          <w:szCs w:val="14"/>
          <w:lang w:val="es-ES_tradnl"/>
        </w:rPr>
        <w:t>nica de Garant</w:t>
      </w:r>
      <w:r>
        <w:rPr>
          <w:rFonts w:cs="Times New Roman"/>
          <w:sz w:val="14"/>
          <w:szCs w:val="14"/>
          <w:lang w:val="es-ES_tradnl"/>
        </w:rPr>
        <w:t>í</w:t>
      </w:r>
      <w:r>
        <w:rPr>
          <w:sz w:val="14"/>
          <w:szCs w:val="14"/>
          <w:lang w:val="es-ES_tradnl"/>
        </w:rPr>
        <w:t>as Jurisdiccionales y Control Constitucional</w:t>
      </w:r>
      <w:r>
        <w:rPr>
          <w:rFonts w:cs="Times New Roman"/>
          <w:sz w:val="14"/>
          <w:szCs w:val="14"/>
          <w:lang w:val="es-ES_tradnl"/>
        </w:rPr>
        <w:t>”</w:t>
      </w:r>
      <w:r>
        <w:rPr>
          <w:sz w:val="14"/>
          <w:szCs w:val="14"/>
          <w:vertAlign w:val="superscript"/>
          <w:lang w:val="es-ES_tradnl"/>
        </w:rPr>
        <w:t>9</w:t>
      </w:r>
      <w:r>
        <w:rPr>
          <w:sz w:val="14"/>
          <w:szCs w:val="14"/>
          <w:lang w:val="es-ES_tradnl"/>
        </w:rPr>
        <w:t>. (</w:t>
      </w:r>
      <w:r>
        <w:rPr>
          <w:rFonts w:cs="Times New Roman"/>
          <w:sz w:val="14"/>
          <w:szCs w:val="14"/>
          <w:lang w:val="es-ES_tradnl"/>
        </w:rPr>
        <w:t>É</w:t>
      </w:r>
      <w:r>
        <w:rPr>
          <w:sz w:val="14"/>
          <w:szCs w:val="14"/>
          <w:lang w:val="es-ES_tradnl"/>
        </w:rPr>
        <w:t>nfasis fuera del texto).</w:t>
      </w:r>
    </w:p>
    <w:p w14:paraId="4F67B0A9" w14:textId="77777777" w:rsidR="00591D54" w:rsidRDefault="00591D54">
      <w:pPr>
        <w:shd w:val="clear" w:color="auto" w:fill="FFFFFF"/>
        <w:spacing w:before="202" w:line="216" w:lineRule="exact"/>
        <w:jc w:val="both"/>
      </w:pPr>
      <w:r>
        <w:rPr>
          <w:spacing w:val="-4"/>
          <w:sz w:val="18"/>
          <w:szCs w:val="18"/>
          <w:lang w:val="es-ES_tradnl"/>
        </w:rPr>
        <w:t>Por lo expuesto, la certificaci</w:t>
      </w:r>
      <w:r>
        <w:rPr>
          <w:rFonts w:cs="Times New Roman"/>
          <w:spacing w:val="-4"/>
          <w:sz w:val="18"/>
          <w:szCs w:val="18"/>
          <w:lang w:val="es-ES_tradnl"/>
        </w:rPr>
        <w:t>ó</w:t>
      </w:r>
      <w:r>
        <w:rPr>
          <w:spacing w:val="-4"/>
          <w:sz w:val="18"/>
          <w:szCs w:val="18"/>
          <w:lang w:val="es-ES_tradnl"/>
        </w:rPr>
        <w:t xml:space="preserve">n emitida por el Ministerio </w:t>
      </w:r>
      <w:r>
        <w:rPr>
          <w:spacing w:val="-8"/>
          <w:sz w:val="18"/>
          <w:szCs w:val="18"/>
          <w:lang w:val="es-ES_tradnl"/>
        </w:rPr>
        <w:t xml:space="preserve">de Relaciones Laborales no constituye un acto que vulnere </w:t>
      </w:r>
      <w:r>
        <w:rPr>
          <w:spacing w:val="-6"/>
          <w:sz w:val="18"/>
          <w:szCs w:val="18"/>
          <w:lang w:val="es-ES_tradnl"/>
        </w:rPr>
        <w:t xml:space="preserve">derechos constitucionales, puesto que el registro de la cuestionada inhabilidad fue proporcionada por la entidad </w:t>
      </w:r>
      <w:r>
        <w:rPr>
          <w:spacing w:val="-8"/>
          <w:sz w:val="18"/>
          <w:szCs w:val="18"/>
          <w:lang w:val="es-ES_tradnl"/>
        </w:rPr>
        <w:t>bancar</w:t>
      </w:r>
      <w:r>
        <w:rPr>
          <w:rFonts w:cs="Times New Roman"/>
          <w:spacing w:val="-8"/>
          <w:sz w:val="18"/>
          <w:szCs w:val="18"/>
          <w:lang w:val="es-ES_tradnl"/>
        </w:rPr>
        <w:t>í</w:t>
      </w:r>
      <w:r>
        <w:rPr>
          <w:spacing w:val="-8"/>
          <w:sz w:val="18"/>
          <w:szCs w:val="18"/>
          <w:lang w:val="es-ES_tradnl"/>
        </w:rPr>
        <w:t>a en la cual prest</w:t>
      </w:r>
      <w:r>
        <w:rPr>
          <w:rFonts w:cs="Times New Roman"/>
          <w:spacing w:val="-8"/>
          <w:sz w:val="18"/>
          <w:szCs w:val="18"/>
          <w:lang w:val="es-ES_tradnl"/>
        </w:rPr>
        <w:t>ó</w:t>
      </w:r>
      <w:r>
        <w:rPr>
          <w:spacing w:val="-8"/>
          <w:sz w:val="18"/>
          <w:szCs w:val="18"/>
          <w:lang w:val="es-ES_tradnl"/>
        </w:rPr>
        <w:t xml:space="preserve"> sus servicios la se</w:t>
      </w:r>
      <w:r>
        <w:rPr>
          <w:rFonts w:cs="Times New Roman"/>
          <w:spacing w:val="-8"/>
          <w:sz w:val="18"/>
          <w:szCs w:val="18"/>
          <w:lang w:val="es-ES_tradnl"/>
        </w:rPr>
        <w:t>ñ</w:t>
      </w:r>
      <w:r>
        <w:rPr>
          <w:spacing w:val="-8"/>
          <w:sz w:val="18"/>
          <w:szCs w:val="18"/>
          <w:lang w:val="es-ES_tradnl"/>
        </w:rPr>
        <w:t>ora Guti</w:t>
      </w:r>
      <w:r>
        <w:rPr>
          <w:rFonts w:cs="Times New Roman"/>
          <w:spacing w:val="-8"/>
          <w:sz w:val="18"/>
          <w:szCs w:val="18"/>
          <w:lang w:val="es-ES_tradnl"/>
        </w:rPr>
        <w:t>é</w:t>
      </w:r>
      <w:r>
        <w:rPr>
          <w:spacing w:val="-8"/>
          <w:sz w:val="18"/>
          <w:szCs w:val="18"/>
          <w:lang w:val="es-ES_tradnl"/>
        </w:rPr>
        <w:t xml:space="preserve">rrez </w:t>
      </w:r>
      <w:r>
        <w:rPr>
          <w:spacing w:val="-4"/>
          <w:sz w:val="18"/>
          <w:szCs w:val="18"/>
          <w:lang w:val="es-ES_tradnl"/>
        </w:rPr>
        <w:t xml:space="preserve">Ortega con anterioridad. En tal virtud, la demanda no </w:t>
      </w:r>
      <w:r>
        <w:rPr>
          <w:spacing w:val="-6"/>
          <w:sz w:val="18"/>
          <w:szCs w:val="18"/>
          <w:lang w:val="es-ES_tradnl"/>
        </w:rPr>
        <w:t>cumpl</w:t>
      </w:r>
      <w:r>
        <w:rPr>
          <w:rFonts w:cs="Times New Roman"/>
          <w:spacing w:val="-6"/>
          <w:sz w:val="18"/>
          <w:szCs w:val="18"/>
          <w:lang w:val="es-ES_tradnl"/>
        </w:rPr>
        <w:t>í</w:t>
      </w:r>
      <w:r>
        <w:rPr>
          <w:spacing w:val="-6"/>
          <w:sz w:val="18"/>
          <w:szCs w:val="18"/>
          <w:lang w:val="es-ES_tradnl"/>
        </w:rPr>
        <w:t>a con el primer requisito en examen.</w:t>
      </w:r>
    </w:p>
    <w:p w14:paraId="4F67B0AA" w14:textId="77777777" w:rsidR="00591D54" w:rsidRDefault="00591D54">
      <w:pPr>
        <w:shd w:val="clear" w:color="auto" w:fill="FFFFFF"/>
        <w:spacing w:before="192" w:line="216" w:lineRule="exact"/>
        <w:jc w:val="both"/>
      </w:pPr>
      <w:r>
        <w:rPr>
          <w:spacing w:val="-4"/>
          <w:sz w:val="18"/>
          <w:szCs w:val="18"/>
          <w:lang w:val="es-ES_tradnl"/>
        </w:rPr>
        <w:t xml:space="preserve">En cuanto a los presupuestos exigidos en los numerales </w:t>
      </w:r>
      <w:r>
        <w:rPr>
          <w:spacing w:val="-2"/>
          <w:sz w:val="18"/>
          <w:szCs w:val="18"/>
          <w:lang w:val="es-ES_tradnl"/>
        </w:rPr>
        <w:t>2 y 3 del art</w:t>
      </w:r>
      <w:r>
        <w:rPr>
          <w:rFonts w:cs="Times New Roman"/>
          <w:spacing w:val="-2"/>
          <w:sz w:val="18"/>
          <w:szCs w:val="18"/>
          <w:lang w:val="es-ES_tradnl"/>
        </w:rPr>
        <w:t>í</w:t>
      </w:r>
      <w:r>
        <w:rPr>
          <w:spacing w:val="-2"/>
          <w:sz w:val="18"/>
          <w:szCs w:val="18"/>
          <w:lang w:val="es-ES_tradnl"/>
        </w:rPr>
        <w:t>culo 40 de la Ley ib</w:t>
      </w:r>
      <w:r>
        <w:rPr>
          <w:rFonts w:cs="Times New Roman"/>
          <w:spacing w:val="-2"/>
          <w:sz w:val="18"/>
          <w:szCs w:val="18"/>
          <w:lang w:val="es-ES_tradnl"/>
        </w:rPr>
        <w:t>í</w:t>
      </w:r>
      <w:r>
        <w:rPr>
          <w:spacing w:val="-2"/>
          <w:sz w:val="18"/>
          <w:szCs w:val="18"/>
          <w:lang w:val="es-ES_tradnl"/>
        </w:rPr>
        <w:t xml:space="preserve">dem, cabe indicar que </w:t>
      </w:r>
      <w:r>
        <w:rPr>
          <w:sz w:val="18"/>
          <w:szCs w:val="18"/>
          <w:lang w:val="es-ES_tradnl"/>
        </w:rPr>
        <w:t>si bien el acto proviene de una autoridad p</w:t>
      </w:r>
      <w:r>
        <w:rPr>
          <w:rFonts w:cs="Times New Roman"/>
          <w:sz w:val="18"/>
          <w:szCs w:val="18"/>
          <w:lang w:val="es-ES_tradnl"/>
        </w:rPr>
        <w:t>ú</w:t>
      </w:r>
      <w:r>
        <w:rPr>
          <w:sz w:val="18"/>
          <w:szCs w:val="18"/>
          <w:lang w:val="es-ES_tradnl"/>
        </w:rPr>
        <w:t xml:space="preserve">blica, en la especie, del Ministerio de Relaciones Laborales, </w:t>
      </w:r>
      <w:r>
        <w:rPr>
          <w:i/>
          <w:iCs/>
          <w:spacing w:val="-5"/>
          <w:sz w:val="18"/>
          <w:szCs w:val="18"/>
          <w:lang w:val="es-ES_tradnl"/>
        </w:rPr>
        <w:t>prima facie</w:t>
      </w:r>
      <w:r>
        <w:rPr>
          <w:spacing w:val="-5"/>
          <w:sz w:val="18"/>
          <w:szCs w:val="18"/>
          <w:lang w:val="es-ES_tradnl"/>
        </w:rPr>
        <w:t>, no todo acto es susceptible de impugnaci</w:t>
      </w:r>
      <w:r>
        <w:rPr>
          <w:rFonts w:cs="Times New Roman"/>
          <w:spacing w:val="-5"/>
          <w:sz w:val="18"/>
          <w:szCs w:val="18"/>
          <w:lang w:val="es-ES_tradnl"/>
        </w:rPr>
        <w:t>ó</w:t>
      </w:r>
      <w:r>
        <w:rPr>
          <w:spacing w:val="-5"/>
          <w:sz w:val="18"/>
          <w:szCs w:val="18"/>
          <w:lang w:val="es-ES_tradnl"/>
        </w:rPr>
        <w:t xml:space="preserve">n </w:t>
      </w:r>
      <w:r>
        <w:rPr>
          <w:spacing w:val="-1"/>
          <w:sz w:val="18"/>
          <w:szCs w:val="18"/>
          <w:lang w:val="es-ES_tradnl"/>
        </w:rPr>
        <w:t>directamente en una garant</w:t>
      </w:r>
      <w:r>
        <w:rPr>
          <w:rFonts w:cs="Times New Roman"/>
          <w:spacing w:val="-1"/>
          <w:sz w:val="18"/>
          <w:szCs w:val="18"/>
          <w:lang w:val="es-ES_tradnl"/>
        </w:rPr>
        <w:t>í</w:t>
      </w:r>
      <w:r>
        <w:rPr>
          <w:spacing w:val="-1"/>
          <w:sz w:val="18"/>
          <w:szCs w:val="18"/>
          <w:lang w:val="es-ES_tradnl"/>
        </w:rPr>
        <w:t xml:space="preserve">a jurisdiccional pues, esta </w:t>
      </w:r>
      <w:r>
        <w:rPr>
          <w:spacing w:val="-6"/>
          <w:sz w:val="18"/>
          <w:szCs w:val="18"/>
          <w:lang w:val="es-ES_tradnl"/>
        </w:rPr>
        <w:t xml:space="preserve">se caracteriza por ser subsidiaria, esto es, no sustituye a </w:t>
      </w:r>
      <w:r>
        <w:rPr>
          <w:spacing w:val="-7"/>
          <w:sz w:val="18"/>
          <w:szCs w:val="18"/>
          <w:lang w:val="es-ES_tradnl"/>
        </w:rPr>
        <w:t>las dem</w:t>
      </w:r>
      <w:r>
        <w:rPr>
          <w:rFonts w:cs="Times New Roman"/>
          <w:spacing w:val="-7"/>
          <w:sz w:val="18"/>
          <w:szCs w:val="18"/>
          <w:lang w:val="es-ES_tradnl"/>
        </w:rPr>
        <w:t>á</w:t>
      </w:r>
      <w:r>
        <w:rPr>
          <w:spacing w:val="-7"/>
          <w:sz w:val="18"/>
          <w:szCs w:val="18"/>
          <w:lang w:val="es-ES_tradnl"/>
        </w:rPr>
        <w:t>s v</w:t>
      </w:r>
      <w:r>
        <w:rPr>
          <w:rFonts w:cs="Times New Roman"/>
          <w:spacing w:val="-7"/>
          <w:sz w:val="18"/>
          <w:szCs w:val="18"/>
          <w:lang w:val="es-ES_tradnl"/>
        </w:rPr>
        <w:t>í</w:t>
      </w:r>
      <w:r>
        <w:rPr>
          <w:spacing w:val="-7"/>
          <w:sz w:val="18"/>
          <w:szCs w:val="18"/>
          <w:lang w:val="es-ES_tradnl"/>
        </w:rPr>
        <w:t>as o canales de impugnaci</w:t>
      </w:r>
      <w:r>
        <w:rPr>
          <w:rFonts w:cs="Times New Roman"/>
          <w:spacing w:val="-7"/>
          <w:sz w:val="18"/>
          <w:szCs w:val="18"/>
          <w:lang w:val="es-ES_tradnl"/>
        </w:rPr>
        <w:t>ó</w:t>
      </w:r>
      <w:r>
        <w:rPr>
          <w:spacing w:val="-7"/>
          <w:sz w:val="18"/>
          <w:szCs w:val="18"/>
          <w:lang w:val="es-ES_tradnl"/>
        </w:rPr>
        <w:t xml:space="preserve">n o reclamo, no </w:t>
      </w:r>
      <w:r>
        <w:rPr>
          <w:spacing w:val="-6"/>
          <w:sz w:val="18"/>
          <w:szCs w:val="18"/>
          <w:lang w:val="es-ES_tradnl"/>
        </w:rPr>
        <w:t xml:space="preserve">siendo un medio complementario ni adicional, puesto que </w:t>
      </w:r>
      <w:r>
        <w:rPr>
          <w:spacing w:val="-8"/>
          <w:sz w:val="18"/>
          <w:szCs w:val="18"/>
          <w:lang w:val="es-ES_tradnl"/>
        </w:rPr>
        <w:t xml:space="preserve">es la </w:t>
      </w:r>
      <w:r>
        <w:rPr>
          <w:rFonts w:cs="Times New Roman"/>
          <w:spacing w:val="-8"/>
          <w:sz w:val="18"/>
          <w:szCs w:val="18"/>
          <w:lang w:val="es-ES_tradnl"/>
        </w:rPr>
        <w:t>ú</w:t>
      </w:r>
      <w:r>
        <w:rPr>
          <w:spacing w:val="-8"/>
          <w:sz w:val="18"/>
          <w:szCs w:val="18"/>
          <w:lang w:val="es-ES_tradnl"/>
        </w:rPr>
        <w:t>nica v</w:t>
      </w:r>
      <w:r>
        <w:rPr>
          <w:rFonts w:cs="Times New Roman"/>
          <w:spacing w:val="-8"/>
          <w:sz w:val="18"/>
          <w:szCs w:val="18"/>
          <w:lang w:val="es-ES_tradnl"/>
        </w:rPr>
        <w:t>í</w:t>
      </w:r>
      <w:r>
        <w:rPr>
          <w:spacing w:val="-8"/>
          <w:sz w:val="18"/>
          <w:szCs w:val="18"/>
          <w:lang w:val="es-ES_tradnl"/>
        </w:rPr>
        <w:t>a de protecci</w:t>
      </w:r>
      <w:r>
        <w:rPr>
          <w:rFonts w:cs="Times New Roman"/>
          <w:spacing w:val="-8"/>
          <w:sz w:val="18"/>
          <w:szCs w:val="18"/>
          <w:lang w:val="es-ES_tradnl"/>
        </w:rPr>
        <w:t>ó</w:t>
      </w:r>
      <w:r>
        <w:rPr>
          <w:spacing w:val="-8"/>
          <w:sz w:val="18"/>
          <w:szCs w:val="18"/>
          <w:lang w:val="es-ES_tradnl"/>
        </w:rPr>
        <w:t xml:space="preserve">n de derechos constitucionales, </w:t>
      </w:r>
      <w:r>
        <w:rPr>
          <w:spacing w:val="-5"/>
          <w:sz w:val="18"/>
          <w:szCs w:val="18"/>
          <w:lang w:val="es-ES_tradnl"/>
        </w:rPr>
        <w:t>por lo tanto, jam</w:t>
      </w:r>
      <w:r>
        <w:rPr>
          <w:rFonts w:cs="Times New Roman"/>
          <w:spacing w:val="-5"/>
          <w:sz w:val="18"/>
          <w:szCs w:val="18"/>
          <w:lang w:val="es-ES_tradnl"/>
        </w:rPr>
        <w:t>á</w:t>
      </w:r>
      <w:r>
        <w:rPr>
          <w:spacing w:val="-5"/>
          <w:sz w:val="18"/>
          <w:szCs w:val="18"/>
          <w:lang w:val="es-ES_tradnl"/>
        </w:rPr>
        <w:t>s puede ampliarse su procedencia para</w:t>
      </w:r>
    </w:p>
    <w:p w14:paraId="4F67B0AB" w14:textId="77777777" w:rsidR="00591D54" w:rsidRDefault="00591D54">
      <w:pPr>
        <w:shd w:val="clear" w:color="auto" w:fill="FFFFFF"/>
        <w:tabs>
          <w:tab w:val="left" w:pos="144"/>
        </w:tabs>
        <w:spacing w:before="566" w:line="178" w:lineRule="exact"/>
        <w:ind w:left="144" w:hanging="144"/>
        <w:jc w:val="both"/>
      </w:pPr>
      <w:r>
        <w:rPr>
          <w:sz w:val="10"/>
          <w:szCs w:val="10"/>
          <w:vertAlign w:val="superscript"/>
          <w:lang w:val="es-ES_tradnl"/>
        </w:rPr>
        <w:t>7</w:t>
      </w:r>
      <w:r>
        <w:rPr>
          <w:sz w:val="18"/>
          <w:szCs w:val="18"/>
          <w:lang w:val="es-ES_tradnl"/>
        </w:rPr>
        <w:tab/>
      </w:r>
      <w:r>
        <w:rPr>
          <w:spacing w:val="-1"/>
          <w:sz w:val="14"/>
          <w:szCs w:val="14"/>
          <w:lang w:val="es-ES_tradnl"/>
        </w:rPr>
        <w:t>PFr.</w:t>
      </w:r>
      <w:r>
        <w:rPr>
          <w:spacing w:val="-1"/>
          <w:sz w:val="18"/>
          <w:szCs w:val="18"/>
          <w:lang w:val="es-ES_tradnl"/>
        </w:rPr>
        <w:t xml:space="preserve"> </w:t>
      </w:r>
      <w:r>
        <w:rPr>
          <w:spacing w:val="-1"/>
          <w:sz w:val="14"/>
          <w:szCs w:val="14"/>
          <w:lang w:val="es-ES_tradnl"/>
        </w:rPr>
        <w:t>Corte</w:t>
      </w:r>
      <w:r>
        <w:rPr>
          <w:spacing w:val="-1"/>
          <w:sz w:val="18"/>
          <w:szCs w:val="18"/>
          <w:lang w:val="es-ES_tradnl"/>
        </w:rPr>
        <w:t xml:space="preserve"> </w:t>
      </w:r>
      <w:r>
        <w:rPr>
          <w:spacing w:val="-1"/>
          <w:sz w:val="14"/>
          <w:szCs w:val="14"/>
          <w:lang w:val="es-ES_tradnl"/>
        </w:rPr>
        <w:t>Constitucional</w:t>
      </w:r>
      <w:r>
        <w:rPr>
          <w:spacing w:val="-1"/>
          <w:sz w:val="18"/>
          <w:szCs w:val="18"/>
          <w:lang w:val="es-ES_tradnl"/>
        </w:rPr>
        <w:t xml:space="preserve"> </w:t>
      </w:r>
      <w:r>
        <w:rPr>
          <w:spacing w:val="-1"/>
          <w:sz w:val="14"/>
          <w:szCs w:val="14"/>
          <w:lang w:val="es-ES_tradnl"/>
        </w:rPr>
        <w:t>del</w:t>
      </w:r>
      <w:r>
        <w:rPr>
          <w:spacing w:val="-1"/>
          <w:sz w:val="18"/>
          <w:szCs w:val="18"/>
          <w:lang w:val="es-ES_tradnl"/>
        </w:rPr>
        <w:t xml:space="preserve"> </w:t>
      </w:r>
      <w:r>
        <w:rPr>
          <w:spacing w:val="-1"/>
          <w:sz w:val="14"/>
          <w:szCs w:val="14"/>
          <w:lang w:val="es-ES_tradnl"/>
        </w:rPr>
        <w:t>Ecuador,</w:t>
      </w:r>
      <w:r>
        <w:rPr>
          <w:spacing w:val="-1"/>
          <w:sz w:val="18"/>
          <w:szCs w:val="18"/>
          <w:lang w:val="es-ES_tradnl"/>
        </w:rPr>
        <w:t xml:space="preserve"> </w:t>
      </w:r>
      <w:r>
        <w:rPr>
          <w:spacing w:val="-1"/>
          <w:sz w:val="14"/>
          <w:szCs w:val="14"/>
          <w:lang w:val="es-ES_tradnl"/>
        </w:rPr>
        <w:t>sentencia</w:t>
      </w:r>
      <w:r>
        <w:rPr>
          <w:spacing w:val="-1"/>
          <w:sz w:val="18"/>
          <w:szCs w:val="18"/>
          <w:lang w:val="es-ES_tradnl"/>
        </w:rPr>
        <w:t xml:space="preserve"> </w:t>
      </w:r>
      <w:r>
        <w:rPr>
          <w:spacing w:val="-1"/>
          <w:sz w:val="14"/>
          <w:szCs w:val="14"/>
          <w:lang w:val="es-ES_tradnl"/>
        </w:rPr>
        <w:t>No.</w:t>
      </w:r>
      <w:r>
        <w:rPr>
          <w:spacing w:val="-1"/>
          <w:sz w:val="18"/>
          <w:szCs w:val="18"/>
          <w:lang w:val="es-ES_tradnl"/>
        </w:rPr>
        <w:t xml:space="preserve"> </w:t>
      </w:r>
      <w:r>
        <w:rPr>
          <w:spacing w:val="-1"/>
          <w:sz w:val="14"/>
          <w:szCs w:val="14"/>
          <w:lang w:val="es-ES_tradnl"/>
        </w:rPr>
        <w:t>040-14-SEP- </w:t>
      </w:r>
      <w:r>
        <w:rPr>
          <w:spacing w:val="-4"/>
          <w:sz w:val="14"/>
          <w:szCs w:val="14"/>
          <w:lang w:val="es-ES_tradnl"/>
        </w:rPr>
        <w:t>CC de 12 de marzo de 2014, en el caso No. 1127-13-EP, publicado en </w:t>
      </w:r>
      <w:r>
        <w:rPr>
          <w:spacing w:val="-2"/>
          <w:sz w:val="14"/>
          <w:szCs w:val="14"/>
          <w:lang w:val="es-ES_tradnl"/>
        </w:rPr>
        <w:t>el Registro Oficial Suplemento 230 de 22 de abril de 2014.</w:t>
      </w:r>
    </w:p>
    <w:p w14:paraId="4F67B0AC" w14:textId="77777777" w:rsidR="00591D54" w:rsidRDefault="00591D54">
      <w:pPr>
        <w:shd w:val="clear" w:color="auto" w:fill="FFFFFF"/>
        <w:tabs>
          <w:tab w:val="left" w:pos="144"/>
        </w:tabs>
        <w:spacing w:before="154" w:line="182" w:lineRule="exact"/>
        <w:ind w:left="144" w:hanging="144"/>
        <w:jc w:val="both"/>
      </w:pPr>
      <w:r>
        <w:rPr>
          <w:sz w:val="10"/>
          <w:szCs w:val="10"/>
          <w:vertAlign w:val="superscript"/>
          <w:lang w:val="es-ES_tradnl"/>
        </w:rPr>
        <w:t>8</w:t>
      </w:r>
      <w:r>
        <w:rPr>
          <w:sz w:val="18"/>
          <w:szCs w:val="18"/>
          <w:lang w:val="es-ES_tradnl"/>
        </w:rPr>
        <w:tab/>
      </w:r>
      <w:r>
        <w:rPr>
          <w:sz w:val="14"/>
          <w:szCs w:val="14"/>
          <w:lang w:val="es-ES_tradnl"/>
        </w:rPr>
        <w:t>PFr.</w:t>
      </w:r>
      <w:r>
        <w:rPr>
          <w:sz w:val="18"/>
          <w:szCs w:val="18"/>
          <w:lang w:val="es-ES_tradnl"/>
        </w:rPr>
        <w:t xml:space="preserve"> </w:t>
      </w:r>
      <w:r>
        <w:rPr>
          <w:sz w:val="14"/>
          <w:szCs w:val="14"/>
          <w:lang w:val="es-ES_tradnl"/>
        </w:rPr>
        <w:t>Diego</w:t>
      </w:r>
      <w:r>
        <w:rPr>
          <w:sz w:val="18"/>
          <w:szCs w:val="18"/>
          <w:lang w:val="es-ES_tradnl"/>
        </w:rPr>
        <w:t xml:space="preserve"> </w:t>
      </w:r>
      <w:r>
        <w:rPr>
          <w:sz w:val="14"/>
          <w:szCs w:val="14"/>
          <w:lang w:val="es-ES_tradnl"/>
        </w:rPr>
        <w:t>L</w:t>
      </w:r>
      <w:r>
        <w:rPr>
          <w:rFonts w:cs="Times New Roman"/>
          <w:sz w:val="14"/>
          <w:szCs w:val="14"/>
          <w:lang w:val="es-ES_tradnl"/>
        </w:rPr>
        <w:t>ó</w:t>
      </w:r>
      <w:r>
        <w:rPr>
          <w:sz w:val="14"/>
          <w:szCs w:val="14"/>
          <w:lang w:val="es-ES_tradnl"/>
        </w:rPr>
        <w:t>pez</w:t>
      </w:r>
      <w:r>
        <w:rPr>
          <w:sz w:val="18"/>
          <w:szCs w:val="18"/>
          <w:lang w:val="es-ES_tradnl"/>
        </w:rPr>
        <w:t xml:space="preserve"> </w:t>
      </w:r>
      <w:r>
        <w:rPr>
          <w:sz w:val="14"/>
          <w:szCs w:val="14"/>
          <w:lang w:val="es-ES_tradnl"/>
        </w:rPr>
        <w:t>Medina,</w:t>
      </w:r>
      <w:r>
        <w:rPr>
          <w:sz w:val="18"/>
          <w:szCs w:val="18"/>
          <w:lang w:val="es-ES_tradnl"/>
        </w:rPr>
        <w:t xml:space="preserve"> </w:t>
      </w:r>
      <w:r>
        <w:rPr>
          <w:rFonts w:cs="Times New Roman"/>
          <w:sz w:val="14"/>
          <w:szCs w:val="14"/>
          <w:lang w:val="es-ES_tradnl"/>
        </w:rPr>
        <w:t>“</w:t>
      </w:r>
      <w:r>
        <w:rPr>
          <w:sz w:val="14"/>
          <w:szCs w:val="14"/>
          <w:lang w:val="es-ES_tradnl"/>
        </w:rPr>
        <w:t>El</w:t>
      </w:r>
      <w:r>
        <w:rPr>
          <w:sz w:val="18"/>
          <w:szCs w:val="18"/>
          <w:lang w:val="es-ES_tradnl"/>
        </w:rPr>
        <w:t xml:space="preserve"> </w:t>
      </w:r>
      <w:r>
        <w:rPr>
          <w:sz w:val="14"/>
          <w:szCs w:val="14"/>
          <w:lang w:val="es-ES_tradnl"/>
        </w:rPr>
        <w:t>Derecho</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los</w:t>
      </w:r>
      <w:r>
        <w:rPr>
          <w:sz w:val="18"/>
          <w:szCs w:val="18"/>
          <w:lang w:val="es-ES_tradnl"/>
        </w:rPr>
        <w:t xml:space="preserve"> </w:t>
      </w:r>
      <w:r>
        <w:rPr>
          <w:sz w:val="14"/>
          <w:szCs w:val="14"/>
          <w:lang w:val="es-ES_tradnl"/>
        </w:rPr>
        <w:t>jueces</w:t>
      </w:r>
      <w:r>
        <w:rPr>
          <w:rFonts w:cs="Times New Roman"/>
          <w:sz w:val="14"/>
          <w:szCs w:val="14"/>
          <w:lang w:val="es-ES_tradnl"/>
        </w:rPr>
        <w:t>”</w:t>
      </w:r>
      <w:r>
        <w:rPr>
          <w:sz w:val="14"/>
          <w:szCs w:val="14"/>
          <w:lang w:val="es-ES_tradnl"/>
        </w:rPr>
        <w:t>,</w:t>
      </w:r>
      <w:r>
        <w:rPr>
          <w:sz w:val="18"/>
          <w:szCs w:val="18"/>
          <w:lang w:val="es-ES_tradnl"/>
        </w:rPr>
        <w:t xml:space="preserve"> </w:t>
      </w:r>
      <w:r>
        <w:rPr>
          <w:sz w:val="14"/>
          <w:szCs w:val="14"/>
          <w:lang w:val="es-ES_tradnl"/>
        </w:rPr>
        <w:t>Legis</w:t>
      </w:r>
      <w:r>
        <w:rPr>
          <w:sz w:val="18"/>
          <w:szCs w:val="18"/>
          <w:lang w:val="es-ES_tradnl"/>
        </w:rPr>
        <w:t xml:space="preserve"> </w:t>
      </w:r>
      <w:r>
        <w:rPr>
          <w:sz w:val="14"/>
          <w:szCs w:val="14"/>
          <w:lang w:val="es-ES_tradnl"/>
        </w:rPr>
        <w:t>S.A., novena reimpresi</w:t>
      </w:r>
      <w:r>
        <w:rPr>
          <w:rFonts w:cs="Times New Roman"/>
          <w:sz w:val="14"/>
          <w:szCs w:val="14"/>
          <w:lang w:val="es-ES_tradnl"/>
        </w:rPr>
        <w:t>ó</w:t>
      </w:r>
      <w:r>
        <w:rPr>
          <w:sz w:val="14"/>
          <w:szCs w:val="14"/>
          <w:lang w:val="es-ES_tradnl"/>
        </w:rPr>
        <w:t>n, julio 2010, p. 196.</w:t>
      </w:r>
    </w:p>
    <w:p w14:paraId="4F67B0AD" w14:textId="77777777" w:rsidR="00591D54" w:rsidRDefault="00591D54">
      <w:pPr>
        <w:shd w:val="clear" w:color="auto" w:fill="FFFFFF"/>
        <w:tabs>
          <w:tab w:val="left" w:pos="144"/>
        </w:tabs>
        <w:spacing w:before="149" w:line="178" w:lineRule="exact"/>
        <w:ind w:left="144" w:hanging="144"/>
        <w:jc w:val="both"/>
      </w:pPr>
      <w:r>
        <w:rPr>
          <w:sz w:val="10"/>
          <w:szCs w:val="10"/>
          <w:vertAlign w:val="superscript"/>
          <w:lang w:val="es-ES_tradnl"/>
        </w:rPr>
        <w:t>9</w:t>
      </w:r>
      <w:r>
        <w:rPr>
          <w:sz w:val="18"/>
          <w:szCs w:val="18"/>
          <w:lang w:val="es-ES_tradnl"/>
        </w:rPr>
        <w:tab/>
      </w:r>
      <w:r>
        <w:rPr>
          <w:spacing w:val="-2"/>
          <w:sz w:val="14"/>
          <w:szCs w:val="14"/>
          <w:lang w:val="es-ES_tradnl"/>
        </w:rPr>
        <w:t>Corte</w:t>
      </w:r>
      <w:r>
        <w:rPr>
          <w:spacing w:val="-2"/>
          <w:sz w:val="18"/>
          <w:szCs w:val="18"/>
          <w:lang w:val="es-ES_tradnl"/>
        </w:rPr>
        <w:t xml:space="preserve"> </w:t>
      </w:r>
      <w:r>
        <w:rPr>
          <w:spacing w:val="-2"/>
          <w:sz w:val="14"/>
          <w:szCs w:val="14"/>
          <w:lang w:val="es-ES_tradnl"/>
        </w:rPr>
        <w:t>Constitucional</w:t>
      </w:r>
      <w:r>
        <w:rPr>
          <w:spacing w:val="-2"/>
          <w:sz w:val="18"/>
          <w:szCs w:val="18"/>
          <w:lang w:val="es-ES_tradnl"/>
        </w:rPr>
        <w:t xml:space="preserve"> </w:t>
      </w:r>
      <w:r>
        <w:rPr>
          <w:spacing w:val="-2"/>
          <w:sz w:val="14"/>
          <w:szCs w:val="14"/>
          <w:lang w:val="es-ES_tradnl"/>
        </w:rPr>
        <w:t>del</w:t>
      </w:r>
      <w:r>
        <w:rPr>
          <w:spacing w:val="-2"/>
          <w:sz w:val="18"/>
          <w:szCs w:val="18"/>
          <w:lang w:val="es-ES_tradnl"/>
        </w:rPr>
        <w:t xml:space="preserve"> </w:t>
      </w:r>
      <w:r>
        <w:rPr>
          <w:spacing w:val="-2"/>
          <w:sz w:val="14"/>
          <w:szCs w:val="14"/>
          <w:lang w:val="es-ES_tradnl"/>
        </w:rPr>
        <w:t>Ecuador,</w:t>
      </w:r>
      <w:r>
        <w:rPr>
          <w:spacing w:val="-2"/>
          <w:sz w:val="18"/>
          <w:szCs w:val="18"/>
          <w:lang w:val="es-ES_tradnl"/>
        </w:rPr>
        <w:t xml:space="preserve"> </w:t>
      </w:r>
      <w:r>
        <w:rPr>
          <w:spacing w:val="-2"/>
          <w:sz w:val="14"/>
          <w:szCs w:val="14"/>
          <w:lang w:val="es-ES_tradnl"/>
        </w:rPr>
        <w:t>sentencia</w:t>
      </w:r>
      <w:r>
        <w:rPr>
          <w:spacing w:val="-2"/>
          <w:sz w:val="18"/>
          <w:szCs w:val="18"/>
          <w:lang w:val="es-ES_tradnl"/>
        </w:rPr>
        <w:t xml:space="preserve"> </w:t>
      </w:r>
      <w:r>
        <w:rPr>
          <w:spacing w:val="-2"/>
          <w:sz w:val="14"/>
          <w:szCs w:val="14"/>
          <w:lang w:val="es-ES_tradnl"/>
        </w:rPr>
        <w:t>No.</w:t>
      </w:r>
      <w:r>
        <w:rPr>
          <w:spacing w:val="-2"/>
          <w:sz w:val="18"/>
          <w:szCs w:val="18"/>
          <w:lang w:val="es-ES_tradnl"/>
        </w:rPr>
        <w:t xml:space="preserve"> </w:t>
      </w:r>
      <w:r>
        <w:rPr>
          <w:spacing w:val="-2"/>
          <w:sz w:val="14"/>
          <w:szCs w:val="14"/>
          <w:lang w:val="es-ES_tradnl"/>
        </w:rPr>
        <w:t>052-15-SEP-CC</w:t>
      </w:r>
      <w:r>
        <w:rPr>
          <w:spacing w:val="-2"/>
          <w:sz w:val="18"/>
          <w:szCs w:val="18"/>
          <w:lang w:val="es-ES_tradnl"/>
        </w:rPr>
        <w:t xml:space="preserve"> </w:t>
      </w:r>
      <w:r>
        <w:rPr>
          <w:spacing w:val="-2"/>
          <w:sz w:val="14"/>
          <w:szCs w:val="14"/>
          <w:lang w:val="es-ES_tradnl"/>
        </w:rPr>
        <w:t>de </w:t>
      </w:r>
      <w:r>
        <w:rPr>
          <w:sz w:val="14"/>
          <w:szCs w:val="14"/>
          <w:lang w:val="es-ES_tradnl"/>
        </w:rPr>
        <w:t>25 de febrero de 2015 en el caso No. 414-14-EP.</w:t>
      </w:r>
    </w:p>
    <w:p w14:paraId="4F67B0AE" w14:textId="77777777" w:rsidR="00591D54" w:rsidRDefault="00591D54">
      <w:pPr>
        <w:shd w:val="clear" w:color="auto" w:fill="FFFFFF"/>
        <w:tabs>
          <w:tab w:val="left" w:pos="144"/>
        </w:tabs>
        <w:spacing w:before="149" w:line="178" w:lineRule="exact"/>
        <w:ind w:left="144" w:hanging="144"/>
        <w:jc w:val="both"/>
        <w:sectPr w:rsidR="00591D54">
          <w:type w:val="continuous"/>
          <w:pgSz w:w="11909" w:h="16834"/>
          <w:pgMar w:top="1356" w:right="1309" w:bottom="360" w:left="1308" w:header="720" w:footer="720" w:gutter="0"/>
          <w:cols w:num="2" w:space="720" w:equalWidth="0">
            <w:col w:w="4305" w:space="682"/>
            <w:col w:w="4305"/>
          </w:cols>
          <w:noEndnote/>
        </w:sectPr>
      </w:pPr>
    </w:p>
    <w:p w14:paraId="4F67B0AF"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- 161</w:t>
      </w:r>
    </w:p>
    <w:p w14:paraId="4F67B0B0" w14:textId="77777777" w:rsidR="00591D54" w:rsidRDefault="00591D54">
      <w:pPr>
        <w:shd w:val="clear" w:color="auto" w:fill="FFFFFF"/>
        <w:tabs>
          <w:tab w:val="left" w:pos="5842"/>
        </w:tabs>
        <w:spacing w:after="235"/>
        <w:ind w:left="5"/>
        <w:sectPr w:rsidR="00591D54">
          <w:pgSz w:w="11909" w:h="16834"/>
          <w:pgMar w:top="1356" w:right="1309" w:bottom="360" w:left="1308" w:header="720" w:footer="720" w:gutter="0"/>
          <w:cols w:space="60"/>
          <w:noEndnote/>
        </w:sectPr>
      </w:pPr>
    </w:p>
    <w:p w14:paraId="4F67B0B1" w14:textId="77777777" w:rsidR="00591D54" w:rsidRDefault="00591D54">
      <w:pPr>
        <w:shd w:val="clear" w:color="auto" w:fill="FFFFFF"/>
        <w:spacing w:line="216" w:lineRule="exact"/>
        <w:jc w:val="both"/>
      </w:pPr>
      <w:r>
        <w:rPr>
          <w:spacing w:val="-8"/>
          <w:sz w:val="18"/>
          <w:szCs w:val="18"/>
          <w:lang w:val="es-ES_tradnl"/>
        </w:rPr>
        <w:t>cualquier impugnaci</w:t>
      </w:r>
      <w:r>
        <w:rPr>
          <w:rFonts w:cs="Times New Roman"/>
          <w:spacing w:val="-8"/>
          <w:sz w:val="18"/>
          <w:szCs w:val="18"/>
          <w:lang w:val="es-ES_tradnl"/>
        </w:rPr>
        <w:t>ó</w:t>
      </w:r>
      <w:r>
        <w:rPr>
          <w:spacing w:val="-8"/>
          <w:sz w:val="18"/>
          <w:szCs w:val="18"/>
          <w:lang w:val="es-ES_tradnl"/>
        </w:rPr>
        <w:t>n so pretexto de invocar esta garant</w:t>
      </w:r>
      <w:r>
        <w:rPr>
          <w:rFonts w:cs="Times New Roman"/>
          <w:spacing w:val="-8"/>
          <w:sz w:val="18"/>
          <w:szCs w:val="18"/>
          <w:lang w:val="es-ES_tradnl"/>
        </w:rPr>
        <w:t>í</w:t>
      </w:r>
      <w:r>
        <w:rPr>
          <w:spacing w:val="-8"/>
          <w:sz w:val="18"/>
          <w:szCs w:val="18"/>
          <w:lang w:val="es-ES_tradnl"/>
        </w:rPr>
        <w:t xml:space="preserve">a </w:t>
      </w:r>
      <w:r>
        <w:rPr>
          <w:spacing w:val="-3"/>
          <w:sz w:val="18"/>
          <w:szCs w:val="18"/>
          <w:lang w:val="es-ES_tradnl"/>
        </w:rPr>
        <w:t>jurisdiccional como v</w:t>
      </w:r>
      <w:r>
        <w:rPr>
          <w:rFonts w:cs="Times New Roman"/>
          <w:spacing w:val="-3"/>
          <w:sz w:val="18"/>
          <w:szCs w:val="18"/>
          <w:lang w:val="es-ES_tradnl"/>
        </w:rPr>
        <w:t>í</w:t>
      </w:r>
      <w:r>
        <w:rPr>
          <w:spacing w:val="-3"/>
          <w:sz w:val="18"/>
          <w:szCs w:val="18"/>
          <w:lang w:val="es-ES_tradnl"/>
        </w:rPr>
        <w:t xml:space="preserve">a sencilla, adecuada y eficaz. </w:t>
      </w:r>
      <w:r>
        <w:rPr>
          <w:spacing w:val="-8"/>
          <w:sz w:val="18"/>
          <w:szCs w:val="18"/>
          <w:lang w:val="es-ES_tradnl"/>
        </w:rPr>
        <w:t>Revisados los fundamentos de la demanda de acci</w:t>
      </w:r>
      <w:r>
        <w:rPr>
          <w:rFonts w:cs="Times New Roman"/>
          <w:spacing w:val="-8"/>
          <w:sz w:val="18"/>
          <w:szCs w:val="18"/>
          <w:lang w:val="es-ES_tradnl"/>
        </w:rPr>
        <w:t>ó</w:t>
      </w:r>
      <w:r>
        <w:rPr>
          <w:spacing w:val="-8"/>
          <w:sz w:val="18"/>
          <w:szCs w:val="18"/>
          <w:lang w:val="es-ES_tradnl"/>
        </w:rPr>
        <w:t xml:space="preserve">n de </w:t>
      </w:r>
      <w:r>
        <w:rPr>
          <w:sz w:val="18"/>
          <w:szCs w:val="18"/>
          <w:lang w:val="es-ES_tradnl"/>
        </w:rPr>
        <w:t>protecci</w:t>
      </w:r>
      <w:r>
        <w:rPr>
          <w:rFonts w:cs="Times New Roman"/>
          <w:sz w:val="18"/>
          <w:szCs w:val="18"/>
          <w:lang w:val="es-ES_tradnl"/>
        </w:rPr>
        <w:t>ó</w:t>
      </w:r>
      <w:r>
        <w:rPr>
          <w:sz w:val="18"/>
          <w:szCs w:val="18"/>
          <w:lang w:val="es-ES_tradnl"/>
        </w:rPr>
        <w:t>n se destaca lo siguiente:</w:t>
      </w:r>
    </w:p>
    <w:p w14:paraId="4F67B0B2" w14:textId="77777777" w:rsidR="00591D54" w:rsidRDefault="00591D54">
      <w:pPr>
        <w:shd w:val="clear" w:color="auto" w:fill="FFFFFF"/>
        <w:spacing w:before="202" w:line="216" w:lineRule="exact"/>
        <w:ind w:left="283" w:right="5"/>
        <w:jc w:val="both"/>
      </w:pPr>
      <w:r>
        <w:rPr>
          <w:spacing w:val="-7"/>
          <w:sz w:val="16"/>
          <w:szCs w:val="16"/>
          <w:lang w:val="es-ES_tradnl"/>
        </w:rPr>
        <w:t>(</w:t>
      </w:r>
      <w:r>
        <w:rPr>
          <w:rFonts w:cs="Times New Roman"/>
          <w:spacing w:val="-7"/>
          <w:sz w:val="16"/>
          <w:szCs w:val="16"/>
          <w:lang w:val="es-ES_tradnl"/>
        </w:rPr>
        <w:t>…</w:t>
      </w:r>
      <w:r>
        <w:rPr>
          <w:spacing w:val="-7"/>
          <w:sz w:val="16"/>
          <w:szCs w:val="16"/>
          <w:lang w:val="es-ES_tradnl"/>
        </w:rPr>
        <w:t xml:space="preserve">) para legalizar el indicado nombramiento se me ha exigido </w:t>
      </w:r>
      <w:r>
        <w:rPr>
          <w:spacing w:val="-2"/>
          <w:sz w:val="16"/>
          <w:szCs w:val="16"/>
          <w:lang w:val="es-ES_tradnl"/>
        </w:rPr>
        <w:t>en la Direcci</w:t>
      </w:r>
      <w:r>
        <w:rPr>
          <w:rFonts w:cs="Times New Roman"/>
          <w:spacing w:val="-2"/>
          <w:sz w:val="16"/>
          <w:szCs w:val="16"/>
          <w:lang w:val="es-ES_tradnl"/>
        </w:rPr>
        <w:t>ó</w:t>
      </w:r>
      <w:r>
        <w:rPr>
          <w:spacing w:val="-2"/>
          <w:sz w:val="16"/>
          <w:szCs w:val="16"/>
          <w:lang w:val="es-ES_tradnl"/>
        </w:rPr>
        <w:t>n Provincial de Educaci</w:t>
      </w:r>
      <w:r>
        <w:rPr>
          <w:rFonts w:cs="Times New Roman"/>
          <w:spacing w:val="-2"/>
          <w:sz w:val="16"/>
          <w:szCs w:val="16"/>
          <w:lang w:val="es-ES_tradnl"/>
        </w:rPr>
        <w:t>ó</w:t>
      </w:r>
      <w:r>
        <w:rPr>
          <w:spacing w:val="-2"/>
          <w:sz w:val="16"/>
          <w:szCs w:val="16"/>
          <w:lang w:val="es-ES_tradnl"/>
        </w:rPr>
        <w:t>n del Ca</w:t>
      </w:r>
      <w:r>
        <w:rPr>
          <w:rFonts w:cs="Times New Roman"/>
          <w:spacing w:val="-2"/>
          <w:sz w:val="16"/>
          <w:szCs w:val="16"/>
          <w:lang w:val="es-ES_tradnl"/>
        </w:rPr>
        <w:t>ñ</w:t>
      </w:r>
      <w:r>
        <w:rPr>
          <w:spacing w:val="-2"/>
          <w:sz w:val="16"/>
          <w:szCs w:val="16"/>
          <w:lang w:val="es-ES_tradnl"/>
        </w:rPr>
        <w:t xml:space="preserve">ar que </w:t>
      </w:r>
      <w:r>
        <w:rPr>
          <w:spacing w:val="-8"/>
          <w:sz w:val="16"/>
          <w:szCs w:val="16"/>
          <w:lang w:val="es-ES_tradnl"/>
        </w:rPr>
        <w:t xml:space="preserve">presente un certificado emitido por el Ministerio de Relaciones </w:t>
      </w:r>
      <w:r>
        <w:rPr>
          <w:spacing w:val="-9"/>
          <w:sz w:val="16"/>
          <w:szCs w:val="16"/>
          <w:lang w:val="es-ES_tradnl"/>
        </w:rPr>
        <w:t xml:space="preserve">Laborales en el que se indique que no tengo impedimento legal </w:t>
      </w:r>
      <w:r>
        <w:rPr>
          <w:spacing w:val="-6"/>
          <w:sz w:val="16"/>
          <w:szCs w:val="16"/>
          <w:lang w:val="es-ES_tradnl"/>
        </w:rPr>
        <w:t>para ingresar al sector p</w:t>
      </w:r>
      <w:r>
        <w:rPr>
          <w:rFonts w:cs="Times New Roman"/>
          <w:spacing w:val="-6"/>
          <w:sz w:val="16"/>
          <w:szCs w:val="16"/>
          <w:lang w:val="es-ES_tradnl"/>
        </w:rPr>
        <w:t>ú</w:t>
      </w:r>
      <w:r>
        <w:rPr>
          <w:spacing w:val="-6"/>
          <w:sz w:val="16"/>
          <w:szCs w:val="16"/>
          <w:lang w:val="es-ES_tradnl"/>
        </w:rPr>
        <w:t>blico; (</w:t>
      </w:r>
      <w:r>
        <w:rPr>
          <w:rFonts w:cs="Times New Roman"/>
          <w:spacing w:val="-6"/>
          <w:sz w:val="16"/>
          <w:szCs w:val="16"/>
          <w:lang w:val="es-ES_tradnl"/>
        </w:rPr>
        <w:t>…</w:t>
      </w:r>
      <w:r>
        <w:rPr>
          <w:spacing w:val="-6"/>
          <w:sz w:val="16"/>
          <w:szCs w:val="16"/>
          <w:lang w:val="es-ES_tradnl"/>
        </w:rPr>
        <w:t>) esta acci</w:t>
      </w:r>
      <w:r>
        <w:rPr>
          <w:rFonts w:cs="Times New Roman"/>
          <w:spacing w:val="-6"/>
          <w:sz w:val="16"/>
          <w:szCs w:val="16"/>
          <w:lang w:val="es-ES_tradnl"/>
        </w:rPr>
        <w:t>ó</w:t>
      </w:r>
      <w:r>
        <w:rPr>
          <w:spacing w:val="-6"/>
          <w:sz w:val="16"/>
          <w:szCs w:val="16"/>
          <w:lang w:val="es-ES_tradnl"/>
        </w:rPr>
        <w:t>n de protecci</w:t>
      </w:r>
      <w:r>
        <w:rPr>
          <w:rFonts w:cs="Times New Roman"/>
          <w:spacing w:val="-6"/>
          <w:sz w:val="16"/>
          <w:szCs w:val="16"/>
          <w:lang w:val="es-ES_tradnl"/>
        </w:rPr>
        <w:t>ó</w:t>
      </w:r>
      <w:r>
        <w:rPr>
          <w:spacing w:val="-6"/>
          <w:sz w:val="16"/>
          <w:szCs w:val="16"/>
          <w:lang w:val="es-ES_tradnl"/>
        </w:rPr>
        <w:t xml:space="preserve">n </w:t>
      </w:r>
      <w:r>
        <w:rPr>
          <w:spacing w:val="-7"/>
          <w:sz w:val="16"/>
          <w:szCs w:val="16"/>
          <w:lang w:val="es-ES_tradnl"/>
        </w:rPr>
        <w:t xml:space="preserve">se presenta </w:t>
      </w:r>
      <w:r>
        <w:rPr>
          <w:b/>
          <w:bCs/>
          <w:spacing w:val="-7"/>
          <w:sz w:val="16"/>
          <w:szCs w:val="16"/>
          <w:lang w:val="es-ES_tradnl"/>
        </w:rPr>
        <w:t xml:space="preserve">por la inminencia y urgencia que se evidencia </w:t>
      </w:r>
      <w:r>
        <w:rPr>
          <w:b/>
          <w:bCs/>
          <w:spacing w:val="-6"/>
          <w:sz w:val="16"/>
          <w:szCs w:val="16"/>
          <w:lang w:val="es-ES_tradnl"/>
        </w:rPr>
        <w:t xml:space="preserve">y prueba que para legalizar o registrar mi nombramiento </w:t>
      </w:r>
      <w:r>
        <w:rPr>
          <w:b/>
          <w:bCs/>
          <w:sz w:val="16"/>
          <w:szCs w:val="16"/>
          <w:lang w:val="es-ES_tradnl"/>
        </w:rPr>
        <w:t>tengo el PLAZO DE QUINCE DIAS</w:t>
      </w:r>
      <w:r>
        <w:rPr>
          <w:sz w:val="16"/>
          <w:szCs w:val="16"/>
          <w:lang w:val="es-ES_tradnl"/>
        </w:rPr>
        <w:t xml:space="preserve">, caso contrario el </w:t>
      </w:r>
      <w:r>
        <w:rPr>
          <w:spacing w:val="-7"/>
          <w:sz w:val="16"/>
          <w:szCs w:val="16"/>
          <w:lang w:val="es-ES_tradnl"/>
        </w:rPr>
        <w:t>mismo quedar</w:t>
      </w:r>
      <w:r>
        <w:rPr>
          <w:rFonts w:cs="Times New Roman"/>
          <w:spacing w:val="-7"/>
          <w:sz w:val="16"/>
          <w:szCs w:val="16"/>
          <w:lang w:val="es-ES_tradnl"/>
        </w:rPr>
        <w:t>í</w:t>
      </w:r>
      <w:r>
        <w:rPr>
          <w:spacing w:val="-7"/>
          <w:sz w:val="16"/>
          <w:szCs w:val="16"/>
          <w:lang w:val="es-ES_tradnl"/>
        </w:rPr>
        <w:t xml:space="preserve">a insubsistente o caducado, lo que sin lugar a </w:t>
      </w:r>
      <w:r>
        <w:rPr>
          <w:spacing w:val="-8"/>
          <w:sz w:val="16"/>
          <w:szCs w:val="16"/>
          <w:lang w:val="es-ES_tradnl"/>
        </w:rPr>
        <w:t>dudas me causar</w:t>
      </w:r>
      <w:r>
        <w:rPr>
          <w:rFonts w:cs="Times New Roman"/>
          <w:spacing w:val="-8"/>
          <w:sz w:val="16"/>
          <w:szCs w:val="16"/>
          <w:lang w:val="es-ES_tradnl"/>
        </w:rPr>
        <w:t>í</w:t>
      </w:r>
      <w:r>
        <w:rPr>
          <w:spacing w:val="-8"/>
          <w:sz w:val="16"/>
          <w:szCs w:val="16"/>
          <w:lang w:val="es-ES_tradnl"/>
        </w:rPr>
        <w:t>a un grave da</w:t>
      </w:r>
      <w:r>
        <w:rPr>
          <w:rFonts w:cs="Times New Roman"/>
          <w:spacing w:val="-8"/>
          <w:sz w:val="16"/>
          <w:szCs w:val="16"/>
          <w:lang w:val="es-ES_tradnl"/>
        </w:rPr>
        <w:t>ñ</w:t>
      </w:r>
      <w:r>
        <w:rPr>
          <w:spacing w:val="-8"/>
          <w:sz w:val="16"/>
          <w:szCs w:val="16"/>
          <w:lang w:val="es-ES_tradnl"/>
        </w:rPr>
        <w:t>o (</w:t>
      </w:r>
      <w:r>
        <w:rPr>
          <w:rFonts w:cs="Times New Roman"/>
          <w:spacing w:val="-8"/>
          <w:sz w:val="16"/>
          <w:szCs w:val="16"/>
          <w:lang w:val="es-ES_tradnl"/>
        </w:rPr>
        <w:t>…</w:t>
      </w:r>
      <w:r>
        <w:rPr>
          <w:spacing w:val="-8"/>
          <w:sz w:val="16"/>
          <w:szCs w:val="16"/>
          <w:lang w:val="es-ES_tradnl"/>
        </w:rPr>
        <w:t>) sic</w:t>
      </w:r>
      <w:r>
        <w:rPr>
          <w:spacing w:val="-8"/>
          <w:sz w:val="16"/>
          <w:szCs w:val="16"/>
          <w:vertAlign w:val="superscript"/>
          <w:lang w:val="es-ES_tradnl"/>
        </w:rPr>
        <w:t>10</w:t>
      </w:r>
      <w:r>
        <w:rPr>
          <w:spacing w:val="-8"/>
          <w:sz w:val="16"/>
          <w:szCs w:val="16"/>
          <w:lang w:val="es-ES_tradnl"/>
        </w:rPr>
        <w:t>. (</w:t>
      </w:r>
      <w:r>
        <w:rPr>
          <w:rFonts w:cs="Times New Roman"/>
          <w:spacing w:val="-8"/>
          <w:sz w:val="16"/>
          <w:szCs w:val="16"/>
          <w:lang w:val="es-ES_tradnl"/>
        </w:rPr>
        <w:t>É</w:t>
      </w:r>
      <w:r>
        <w:rPr>
          <w:spacing w:val="-8"/>
          <w:sz w:val="16"/>
          <w:szCs w:val="16"/>
          <w:lang w:val="es-ES_tradnl"/>
        </w:rPr>
        <w:t xml:space="preserve">nfasis fuera de </w:t>
      </w:r>
      <w:r>
        <w:rPr>
          <w:sz w:val="16"/>
          <w:szCs w:val="16"/>
          <w:lang w:val="es-ES_tradnl"/>
        </w:rPr>
        <w:t>texto).</w:t>
      </w:r>
    </w:p>
    <w:p w14:paraId="4F67B0B3" w14:textId="77777777" w:rsidR="00591D54" w:rsidRDefault="00591D54">
      <w:pPr>
        <w:shd w:val="clear" w:color="auto" w:fill="FFFFFF"/>
        <w:spacing w:before="202" w:line="216" w:lineRule="exact"/>
        <w:jc w:val="both"/>
      </w:pPr>
      <w:r>
        <w:rPr>
          <w:spacing w:val="-3"/>
          <w:sz w:val="18"/>
          <w:szCs w:val="18"/>
          <w:lang w:val="es-ES_tradnl"/>
        </w:rPr>
        <w:t>En el presente caso, la ex funcionaria p</w:t>
      </w:r>
      <w:r>
        <w:rPr>
          <w:rFonts w:cs="Times New Roman"/>
          <w:spacing w:val="-3"/>
          <w:sz w:val="18"/>
          <w:szCs w:val="18"/>
          <w:lang w:val="es-ES_tradnl"/>
        </w:rPr>
        <w:t>ú</w:t>
      </w:r>
      <w:r>
        <w:rPr>
          <w:spacing w:val="-3"/>
          <w:sz w:val="18"/>
          <w:szCs w:val="18"/>
          <w:lang w:val="es-ES_tradnl"/>
        </w:rPr>
        <w:t xml:space="preserve">blica mediante </w:t>
      </w:r>
      <w:r>
        <w:rPr>
          <w:spacing w:val="-6"/>
          <w:sz w:val="18"/>
          <w:szCs w:val="18"/>
          <w:lang w:val="es-ES_tradnl"/>
        </w:rPr>
        <w:t>el empleo de esta garant</w:t>
      </w:r>
      <w:r>
        <w:rPr>
          <w:rFonts w:cs="Times New Roman"/>
          <w:spacing w:val="-6"/>
          <w:sz w:val="18"/>
          <w:szCs w:val="18"/>
          <w:lang w:val="es-ES_tradnl"/>
        </w:rPr>
        <w:t>í</w:t>
      </w:r>
      <w:r>
        <w:rPr>
          <w:spacing w:val="-6"/>
          <w:sz w:val="18"/>
          <w:szCs w:val="18"/>
          <w:lang w:val="es-ES_tradnl"/>
        </w:rPr>
        <w:t>a jurisdiccional ha pretendido levantar la prohibici</w:t>
      </w:r>
      <w:r>
        <w:rPr>
          <w:rFonts w:cs="Times New Roman"/>
          <w:spacing w:val="-6"/>
          <w:sz w:val="18"/>
          <w:szCs w:val="18"/>
          <w:lang w:val="es-ES_tradnl"/>
        </w:rPr>
        <w:t>ó</w:t>
      </w:r>
      <w:r>
        <w:rPr>
          <w:spacing w:val="-6"/>
          <w:sz w:val="18"/>
          <w:szCs w:val="18"/>
          <w:lang w:val="es-ES_tradnl"/>
        </w:rPr>
        <w:t>n de ejercer cargo p</w:t>
      </w:r>
      <w:r>
        <w:rPr>
          <w:rFonts w:cs="Times New Roman"/>
          <w:spacing w:val="-6"/>
          <w:sz w:val="18"/>
          <w:szCs w:val="18"/>
          <w:lang w:val="es-ES_tradnl"/>
        </w:rPr>
        <w:t>ú</w:t>
      </w:r>
      <w:r>
        <w:rPr>
          <w:spacing w:val="-6"/>
          <w:sz w:val="18"/>
          <w:szCs w:val="18"/>
          <w:lang w:val="es-ES_tradnl"/>
        </w:rPr>
        <w:t>blico constante en la certificaci</w:t>
      </w:r>
      <w:r>
        <w:rPr>
          <w:rFonts w:cs="Times New Roman"/>
          <w:spacing w:val="-6"/>
          <w:sz w:val="18"/>
          <w:szCs w:val="18"/>
          <w:lang w:val="es-ES_tradnl"/>
        </w:rPr>
        <w:t>ó</w:t>
      </w:r>
      <w:r>
        <w:rPr>
          <w:spacing w:val="-6"/>
          <w:sz w:val="18"/>
          <w:szCs w:val="18"/>
          <w:lang w:val="es-ES_tradnl"/>
        </w:rPr>
        <w:t xml:space="preserve">n emitida por el Ministerio de Relaciones </w:t>
      </w:r>
      <w:r>
        <w:rPr>
          <w:spacing w:val="-4"/>
          <w:sz w:val="18"/>
          <w:szCs w:val="18"/>
          <w:lang w:val="es-ES_tradnl"/>
        </w:rPr>
        <w:t>Laborales, utilizando de forma sustitutiva la acci</w:t>
      </w:r>
      <w:r>
        <w:rPr>
          <w:rFonts w:cs="Times New Roman"/>
          <w:spacing w:val="-4"/>
          <w:sz w:val="18"/>
          <w:szCs w:val="18"/>
          <w:lang w:val="es-ES_tradnl"/>
        </w:rPr>
        <w:t>ó</w:t>
      </w:r>
      <w:r>
        <w:rPr>
          <w:spacing w:val="-4"/>
          <w:sz w:val="18"/>
          <w:szCs w:val="18"/>
          <w:lang w:val="es-ES_tradnl"/>
        </w:rPr>
        <w:t xml:space="preserve">n de </w:t>
      </w:r>
      <w:r>
        <w:rPr>
          <w:spacing w:val="-5"/>
          <w:sz w:val="18"/>
          <w:szCs w:val="18"/>
          <w:lang w:val="es-ES_tradnl"/>
        </w:rPr>
        <w:t>protecci</w:t>
      </w:r>
      <w:r>
        <w:rPr>
          <w:rFonts w:cs="Times New Roman"/>
          <w:spacing w:val="-5"/>
          <w:sz w:val="18"/>
          <w:szCs w:val="18"/>
          <w:lang w:val="es-ES_tradnl"/>
        </w:rPr>
        <w:t>ó</w:t>
      </w:r>
      <w:r>
        <w:rPr>
          <w:spacing w:val="-5"/>
          <w:sz w:val="18"/>
          <w:szCs w:val="18"/>
          <w:lang w:val="es-ES_tradnl"/>
        </w:rPr>
        <w:t>n al proceso administrativo, desconociendo la estructura jurisdiccional existente al reemplazar la v</w:t>
      </w:r>
      <w:r>
        <w:rPr>
          <w:rFonts w:cs="Times New Roman"/>
          <w:spacing w:val="-5"/>
          <w:sz w:val="18"/>
          <w:szCs w:val="18"/>
          <w:lang w:val="es-ES_tradnl"/>
        </w:rPr>
        <w:t>í</w:t>
      </w:r>
      <w:r>
        <w:rPr>
          <w:spacing w:val="-5"/>
          <w:sz w:val="18"/>
          <w:szCs w:val="18"/>
          <w:lang w:val="es-ES_tradnl"/>
        </w:rPr>
        <w:t xml:space="preserve">a </w:t>
      </w:r>
      <w:r>
        <w:rPr>
          <w:sz w:val="18"/>
          <w:szCs w:val="18"/>
          <w:lang w:val="es-ES_tradnl"/>
        </w:rPr>
        <w:t>administrativa por la constitucional.</w:t>
      </w:r>
    </w:p>
    <w:p w14:paraId="4F67B0B4" w14:textId="77777777" w:rsidR="00591D54" w:rsidRDefault="00591D54">
      <w:pPr>
        <w:shd w:val="clear" w:color="auto" w:fill="FFFFFF"/>
        <w:spacing w:before="192" w:line="216" w:lineRule="exact"/>
        <w:jc w:val="both"/>
      </w:pPr>
      <w:r>
        <w:rPr>
          <w:sz w:val="18"/>
          <w:szCs w:val="18"/>
          <w:lang w:val="es-ES_tradnl"/>
        </w:rPr>
        <w:t>En la sentencia N.</w:t>
      </w:r>
      <w:r>
        <w:rPr>
          <w:rFonts w:cs="Times New Roman"/>
          <w:sz w:val="18"/>
          <w:szCs w:val="18"/>
          <w:lang w:val="es-ES_tradnl"/>
        </w:rPr>
        <w:t>º</w:t>
      </w:r>
      <w:r>
        <w:rPr>
          <w:sz w:val="18"/>
          <w:szCs w:val="18"/>
          <w:lang w:val="es-ES_tradnl"/>
        </w:rPr>
        <w:t xml:space="preserve"> 016-13-SEP-CC del 16 de mayo </w:t>
      </w:r>
      <w:r>
        <w:rPr>
          <w:spacing w:val="-5"/>
          <w:sz w:val="18"/>
          <w:szCs w:val="18"/>
          <w:lang w:val="es-ES_tradnl"/>
        </w:rPr>
        <w:t>de 2013, caso N.</w:t>
      </w:r>
      <w:r>
        <w:rPr>
          <w:rFonts w:cs="Times New Roman"/>
          <w:spacing w:val="-5"/>
          <w:sz w:val="18"/>
          <w:szCs w:val="18"/>
          <w:lang w:val="es-ES_tradnl"/>
        </w:rPr>
        <w:t>º</w:t>
      </w:r>
      <w:r>
        <w:rPr>
          <w:spacing w:val="-5"/>
          <w:sz w:val="18"/>
          <w:szCs w:val="18"/>
          <w:lang w:val="es-ES_tradnl"/>
        </w:rPr>
        <w:t xml:space="preserve"> 1000-12-EP, esta Corte manifest</w:t>
      </w:r>
      <w:r>
        <w:rPr>
          <w:rFonts w:cs="Times New Roman"/>
          <w:spacing w:val="-5"/>
          <w:sz w:val="18"/>
          <w:szCs w:val="18"/>
          <w:lang w:val="es-ES_tradnl"/>
        </w:rPr>
        <w:t>ó</w:t>
      </w:r>
      <w:r>
        <w:rPr>
          <w:spacing w:val="-5"/>
          <w:sz w:val="18"/>
          <w:szCs w:val="18"/>
          <w:lang w:val="es-ES_tradnl"/>
        </w:rPr>
        <w:t xml:space="preserve"> lo </w:t>
      </w:r>
      <w:r>
        <w:rPr>
          <w:sz w:val="18"/>
          <w:szCs w:val="18"/>
          <w:lang w:val="es-ES_tradnl"/>
        </w:rPr>
        <w:t>siguiente:</w:t>
      </w:r>
    </w:p>
    <w:p w14:paraId="4F67B0B5" w14:textId="77777777" w:rsidR="00591D54" w:rsidRDefault="00591D54">
      <w:pPr>
        <w:shd w:val="clear" w:color="auto" w:fill="FFFFFF"/>
        <w:spacing w:before="202" w:line="211" w:lineRule="exact"/>
        <w:ind w:left="283"/>
        <w:jc w:val="both"/>
      </w:pPr>
      <w:r>
        <w:rPr>
          <w:spacing w:val="-5"/>
          <w:sz w:val="16"/>
          <w:szCs w:val="16"/>
          <w:lang w:val="es-ES_tradnl"/>
        </w:rPr>
        <w:t>La acci</w:t>
      </w:r>
      <w:r>
        <w:rPr>
          <w:rFonts w:cs="Times New Roman"/>
          <w:spacing w:val="-5"/>
          <w:sz w:val="16"/>
          <w:szCs w:val="16"/>
          <w:lang w:val="es-ES_tradnl"/>
        </w:rPr>
        <w:t>ó</w:t>
      </w:r>
      <w:r>
        <w:rPr>
          <w:spacing w:val="-5"/>
          <w:sz w:val="16"/>
          <w:szCs w:val="16"/>
          <w:lang w:val="es-ES_tradnl"/>
        </w:rPr>
        <w:t>n de protecci</w:t>
      </w:r>
      <w:r>
        <w:rPr>
          <w:rFonts w:cs="Times New Roman"/>
          <w:spacing w:val="-5"/>
          <w:sz w:val="16"/>
          <w:szCs w:val="16"/>
          <w:lang w:val="es-ES_tradnl"/>
        </w:rPr>
        <w:t>ó</w:t>
      </w:r>
      <w:r>
        <w:rPr>
          <w:spacing w:val="-5"/>
          <w:sz w:val="16"/>
          <w:szCs w:val="16"/>
          <w:lang w:val="es-ES_tradnl"/>
        </w:rPr>
        <w:t xml:space="preserve">n no constituye un mecanismo de </w:t>
      </w:r>
      <w:r>
        <w:rPr>
          <w:spacing w:val="-3"/>
          <w:sz w:val="16"/>
          <w:szCs w:val="16"/>
          <w:lang w:val="es-ES_tradnl"/>
        </w:rPr>
        <w:t>superposici</w:t>
      </w:r>
      <w:r>
        <w:rPr>
          <w:rFonts w:cs="Times New Roman"/>
          <w:spacing w:val="-3"/>
          <w:sz w:val="16"/>
          <w:szCs w:val="16"/>
          <w:lang w:val="es-ES_tradnl"/>
        </w:rPr>
        <w:t>ó</w:t>
      </w:r>
      <w:r>
        <w:rPr>
          <w:spacing w:val="-3"/>
          <w:sz w:val="16"/>
          <w:szCs w:val="16"/>
          <w:lang w:val="es-ES_tradnl"/>
        </w:rPr>
        <w:t xml:space="preserve">n o reemplazo de las instancias judiciales </w:t>
      </w:r>
      <w:r>
        <w:rPr>
          <w:spacing w:val="-6"/>
          <w:sz w:val="16"/>
          <w:szCs w:val="16"/>
          <w:lang w:val="es-ES_tradnl"/>
        </w:rPr>
        <w:t>ordinarias, pues ello ocasionar</w:t>
      </w:r>
      <w:r>
        <w:rPr>
          <w:rFonts w:cs="Times New Roman"/>
          <w:spacing w:val="-6"/>
          <w:sz w:val="16"/>
          <w:szCs w:val="16"/>
          <w:lang w:val="es-ES_tradnl"/>
        </w:rPr>
        <w:t>í</w:t>
      </w:r>
      <w:r>
        <w:rPr>
          <w:spacing w:val="-6"/>
          <w:sz w:val="16"/>
          <w:szCs w:val="16"/>
          <w:lang w:val="es-ES_tradnl"/>
        </w:rPr>
        <w:t xml:space="preserve">a el desconocimiento de la </w:t>
      </w:r>
      <w:r>
        <w:rPr>
          <w:spacing w:val="-8"/>
          <w:sz w:val="16"/>
          <w:szCs w:val="16"/>
          <w:lang w:val="es-ES_tradnl"/>
        </w:rPr>
        <w:t>estructura jurisdiccional estatal establecida por la Constituci</w:t>
      </w:r>
      <w:r>
        <w:rPr>
          <w:rFonts w:cs="Times New Roman"/>
          <w:spacing w:val="-8"/>
          <w:sz w:val="16"/>
          <w:szCs w:val="16"/>
          <w:lang w:val="es-ES_tradnl"/>
        </w:rPr>
        <w:t>ó</w:t>
      </w:r>
      <w:r>
        <w:rPr>
          <w:spacing w:val="-8"/>
          <w:sz w:val="16"/>
          <w:szCs w:val="16"/>
          <w:lang w:val="es-ES_tradnl"/>
        </w:rPr>
        <w:t xml:space="preserve">n. </w:t>
      </w:r>
      <w:r>
        <w:rPr>
          <w:spacing w:val="-7"/>
          <w:sz w:val="16"/>
          <w:szCs w:val="16"/>
          <w:lang w:val="es-ES_tradnl"/>
        </w:rPr>
        <w:t>En tal sentido, para garantizar la seguridad jur</w:t>
      </w:r>
      <w:r>
        <w:rPr>
          <w:rFonts w:cs="Times New Roman"/>
          <w:spacing w:val="-7"/>
          <w:sz w:val="16"/>
          <w:szCs w:val="16"/>
          <w:lang w:val="es-ES_tradnl"/>
        </w:rPr>
        <w:t>í</w:t>
      </w:r>
      <w:r>
        <w:rPr>
          <w:spacing w:val="-7"/>
          <w:sz w:val="16"/>
          <w:szCs w:val="16"/>
          <w:lang w:val="es-ES_tradnl"/>
        </w:rPr>
        <w:t>dica y el debido proceso se debe considerar siempre que seg</w:t>
      </w:r>
      <w:r>
        <w:rPr>
          <w:rFonts w:cs="Times New Roman"/>
          <w:spacing w:val="-7"/>
          <w:sz w:val="16"/>
          <w:szCs w:val="16"/>
          <w:lang w:val="es-ES_tradnl"/>
        </w:rPr>
        <w:t>ú</w:t>
      </w:r>
      <w:r>
        <w:rPr>
          <w:spacing w:val="-7"/>
          <w:sz w:val="16"/>
          <w:szCs w:val="16"/>
          <w:lang w:val="es-ES_tradnl"/>
        </w:rPr>
        <w:t>n el art</w:t>
      </w:r>
      <w:r>
        <w:rPr>
          <w:rFonts w:cs="Times New Roman"/>
          <w:spacing w:val="-7"/>
          <w:sz w:val="16"/>
          <w:szCs w:val="16"/>
          <w:lang w:val="es-ES_tradnl"/>
        </w:rPr>
        <w:t>í</w:t>
      </w:r>
      <w:r>
        <w:rPr>
          <w:spacing w:val="-7"/>
          <w:sz w:val="16"/>
          <w:szCs w:val="16"/>
          <w:lang w:val="es-ES_tradnl"/>
        </w:rPr>
        <w:t>culo 76 numeral 3 de la Carta Suprema solo se podr</w:t>
      </w:r>
      <w:r>
        <w:rPr>
          <w:rFonts w:cs="Times New Roman"/>
          <w:spacing w:val="-7"/>
          <w:sz w:val="16"/>
          <w:szCs w:val="16"/>
          <w:lang w:val="es-ES_tradnl"/>
        </w:rPr>
        <w:t>á</w:t>
      </w:r>
      <w:r>
        <w:rPr>
          <w:spacing w:val="-7"/>
          <w:sz w:val="16"/>
          <w:szCs w:val="16"/>
          <w:lang w:val="es-ES_tradnl"/>
        </w:rPr>
        <w:t xml:space="preserve"> juzgar a una </w:t>
      </w:r>
      <w:r>
        <w:rPr>
          <w:spacing w:val="-9"/>
          <w:sz w:val="16"/>
          <w:szCs w:val="16"/>
          <w:lang w:val="es-ES_tradnl"/>
        </w:rPr>
        <w:t xml:space="preserve">persona ante el juez o autoridad competente y con observancia </w:t>
      </w:r>
      <w:r>
        <w:rPr>
          <w:spacing w:val="-6"/>
          <w:sz w:val="16"/>
          <w:szCs w:val="16"/>
          <w:lang w:val="es-ES_tradnl"/>
        </w:rPr>
        <w:t>del tr</w:t>
      </w:r>
      <w:r>
        <w:rPr>
          <w:rFonts w:cs="Times New Roman"/>
          <w:spacing w:val="-6"/>
          <w:sz w:val="16"/>
          <w:szCs w:val="16"/>
          <w:lang w:val="es-ES_tradnl"/>
        </w:rPr>
        <w:t>á</w:t>
      </w:r>
      <w:r>
        <w:rPr>
          <w:spacing w:val="-6"/>
          <w:sz w:val="16"/>
          <w:szCs w:val="16"/>
          <w:lang w:val="es-ES_tradnl"/>
        </w:rPr>
        <w:t>mite propio para cada procedimiento; y adem</w:t>
      </w:r>
      <w:r>
        <w:rPr>
          <w:rFonts w:cs="Times New Roman"/>
          <w:spacing w:val="-6"/>
          <w:sz w:val="16"/>
          <w:szCs w:val="16"/>
          <w:lang w:val="es-ES_tradnl"/>
        </w:rPr>
        <w:t>á</w:t>
      </w:r>
      <w:r>
        <w:rPr>
          <w:spacing w:val="-6"/>
          <w:sz w:val="16"/>
          <w:szCs w:val="16"/>
          <w:lang w:val="es-ES_tradnl"/>
        </w:rPr>
        <w:t xml:space="preserve">s, de </w:t>
      </w:r>
      <w:r>
        <w:rPr>
          <w:spacing w:val="-7"/>
          <w:sz w:val="16"/>
          <w:szCs w:val="16"/>
          <w:lang w:val="es-ES_tradnl"/>
        </w:rPr>
        <w:t>acuerdo al art</w:t>
      </w:r>
      <w:r>
        <w:rPr>
          <w:rFonts w:cs="Times New Roman"/>
          <w:spacing w:val="-7"/>
          <w:sz w:val="16"/>
          <w:szCs w:val="16"/>
          <w:lang w:val="es-ES_tradnl"/>
        </w:rPr>
        <w:t>í</w:t>
      </w:r>
      <w:r>
        <w:rPr>
          <w:spacing w:val="-7"/>
          <w:sz w:val="16"/>
          <w:szCs w:val="16"/>
          <w:lang w:val="es-ES_tradnl"/>
        </w:rPr>
        <w:t>culo 169 ib</w:t>
      </w:r>
      <w:r>
        <w:rPr>
          <w:rFonts w:cs="Times New Roman"/>
          <w:spacing w:val="-7"/>
          <w:sz w:val="16"/>
          <w:szCs w:val="16"/>
          <w:lang w:val="es-ES_tradnl"/>
        </w:rPr>
        <w:t>í</w:t>
      </w:r>
      <w:r>
        <w:rPr>
          <w:spacing w:val="-7"/>
          <w:sz w:val="16"/>
          <w:szCs w:val="16"/>
          <w:lang w:val="es-ES_tradnl"/>
        </w:rPr>
        <w:t xml:space="preserve">dem, el sistema procesal constituye </w:t>
      </w:r>
      <w:r>
        <w:rPr>
          <w:spacing w:val="-4"/>
          <w:sz w:val="16"/>
          <w:szCs w:val="16"/>
          <w:lang w:val="es-ES_tradnl"/>
        </w:rPr>
        <w:t>un medio para la realizaci</w:t>
      </w:r>
      <w:r>
        <w:rPr>
          <w:rFonts w:cs="Times New Roman"/>
          <w:spacing w:val="-4"/>
          <w:sz w:val="16"/>
          <w:szCs w:val="16"/>
          <w:lang w:val="es-ES_tradnl"/>
        </w:rPr>
        <w:t>ó</w:t>
      </w:r>
      <w:r>
        <w:rPr>
          <w:spacing w:val="-4"/>
          <w:sz w:val="16"/>
          <w:szCs w:val="16"/>
          <w:lang w:val="es-ES_tradnl"/>
        </w:rPr>
        <w:t xml:space="preserve">n de la justicia y por tanto, las </w:t>
      </w:r>
      <w:r>
        <w:rPr>
          <w:spacing w:val="-9"/>
          <w:sz w:val="16"/>
          <w:szCs w:val="16"/>
          <w:lang w:val="es-ES_tradnl"/>
        </w:rPr>
        <w:t>normas procesales consagrar</w:t>
      </w:r>
      <w:r>
        <w:rPr>
          <w:rFonts w:cs="Times New Roman"/>
          <w:spacing w:val="-9"/>
          <w:sz w:val="16"/>
          <w:szCs w:val="16"/>
          <w:lang w:val="es-ES_tradnl"/>
        </w:rPr>
        <w:t>á</w:t>
      </w:r>
      <w:r>
        <w:rPr>
          <w:spacing w:val="-9"/>
          <w:sz w:val="16"/>
          <w:szCs w:val="16"/>
          <w:lang w:val="es-ES_tradnl"/>
        </w:rPr>
        <w:t>n los principios de simplificaci</w:t>
      </w:r>
      <w:r>
        <w:rPr>
          <w:rFonts w:cs="Times New Roman"/>
          <w:spacing w:val="-9"/>
          <w:sz w:val="16"/>
          <w:szCs w:val="16"/>
          <w:lang w:val="es-ES_tradnl"/>
        </w:rPr>
        <w:t>ó</w:t>
      </w:r>
      <w:r>
        <w:rPr>
          <w:spacing w:val="-9"/>
          <w:sz w:val="16"/>
          <w:szCs w:val="16"/>
          <w:lang w:val="es-ES_tradnl"/>
        </w:rPr>
        <w:t xml:space="preserve">n, </w:t>
      </w:r>
      <w:r>
        <w:rPr>
          <w:spacing w:val="-4"/>
          <w:sz w:val="16"/>
          <w:szCs w:val="16"/>
          <w:lang w:val="es-ES_tradnl"/>
        </w:rPr>
        <w:t>uniformidad, eficiencia, inmediaci</w:t>
      </w:r>
      <w:r>
        <w:rPr>
          <w:rFonts w:cs="Times New Roman"/>
          <w:spacing w:val="-4"/>
          <w:sz w:val="16"/>
          <w:szCs w:val="16"/>
          <w:lang w:val="es-ES_tradnl"/>
        </w:rPr>
        <w:t>ó</w:t>
      </w:r>
      <w:r>
        <w:rPr>
          <w:spacing w:val="-4"/>
          <w:sz w:val="16"/>
          <w:szCs w:val="16"/>
          <w:lang w:val="es-ES_tradnl"/>
        </w:rPr>
        <w:t>n, celeridad y econom</w:t>
      </w:r>
      <w:r>
        <w:rPr>
          <w:rFonts w:cs="Times New Roman"/>
          <w:spacing w:val="-4"/>
          <w:sz w:val="16"/>
          <w:szCs w:val="16"/>
          <w:lang w:val="es-ES_tradnl"/>
        </w:rPr>
        <w:t>í</w:t>
      </w:r>
      <w:r>
        <w:rPr>
          <w:spacing w:val="-4"/>
          <w:sz w:val="16"/>
          <w:szCs w:val="16"/>
          <w:lang w:val="es-ES_tradnl"/>
        </w:rPr>
        <w:t xml:space="preserve">a </w:t>
      </w:r>
      <w:r>
        <w:rPr>
          <w:spacing w:val="-9"/>
          <w:sz w:val="16"/>
          <w:szCs w:val="16"/>
          <w:lang w:val="es-ES_tradnl"/>
        </w:rPr>
        <w:t>procesal, y har</w:t>
      </w:r>
      <w:r>
        <w:rPr>
          <w:rFonts w:cs="Times New Roman"/>
          <w:spacing w:val="-9"/>
          <w:sz w:val="16"/>
          <w:szCs w:val="16"/>
          <w:lang w:val="es-ES_tradnl"/>
        </w:rPr>
        <w:t>á</w:t>
      </w:r>
      <w:r>
        <w:rPr>
          <w:spacing w:val="-9"/>
          <w:sz w:val="16"/>
          <w:szCs w:val="16"/>
          <w:lang w:val="es-ES_tradnl"/>
        </w:rPr>
        <w:t>n efectivas las garant</w:t>
      </w:r>
      <w:r>
        <w:rPr>
          <w:rFonts w:cs="Times New Roman"/>
          <w:spacing w:val="-9"/>
          <w:sz w:val="16"/>
          <w:szCs w:val="16"/>
          <w:lang w:val="es-ES_tradnl"/>
        </w:rPr>
        <w:t>í</w:t>
      </w:r>
      <w:r>
        <w:rPr>
          <w:spacing w:val="-9"/>
          <w:sz w:val="16"/>
          <w:szCs w:val="16"/>
          <w:lang w:val="es-ES_tradnl"/>
        </w:rPr>
        <w:t xml:space="preserve">as del debido proceso. En </w:t>
      </w:r>
      <w:r>
        <w:rPr>
          <w:spacing w:val="-8"/>
          <w:sz w:val="16"/>
          <w:szCs w:val="16"/>
          <w:lang w:val="es-ES_tradnl"/>
        </w:rPr>
        <w:t>consecuencia, la acci</w:t>
      </w:r>
      <w:r>
        <w:rPr>
          <w:rFonts w:cs="Times New Roman"/>
          <w:spacing w:val="-8"/>
          <w:sz w:val="16"/>
          <w:szCs w:val="16"/>
          <w:lang w:val="es-ES_tradnl"/>
        </w:rPr>
        <w:t>ó</w:t>
      </w:r>
      <w:r>
        <w:rPr>
          <w:spacing w:val="-8"/>
          <w:sz w:val="16"/>
          <w:szCs w:val="16"/>
          <w:lang w:val="es-ES_tradnl"/>
        </w:rPr>
        <w:t>n de protecci</w:t>
      </w:r>
      <w:r>
        <w:rPr>
          <w:rFonts w:cs="Times New Roman"/>
          <w:spacing w:val="-8"/>
          <w:sz w:val="16"/>
          <w:szCs w:val="16"/>
          <w:lang w:val="es-ES_tradnl"/>
        </w:rPr>
        <w:t>ó</w:t>
      </w:r>
      <w:r>
        <w:rPr>
          <w:spacing w:val="-8"/>
          <w:sz w:val="16"/>
          <w:szCs w:val="16"/>
          <w:lang w:val="es-ES_tradnl"/>
        </w:rPr>
        <w:t>n no sustituye los dem</w:t>
      </w:r>
      <w:r>
        <w:rPr>
          <w:rFonts w:cs="Times New Roman"/>
          <w:spacing w:val="-8"/>
          <w:sz w:val="16"/>
          <w:szCs w:val="16"/>
          <w:lang w:val="es-ES_tradnl"/>
        </w:rPr>
        <w:t>á</w:t>
      </w:r>
      <w:r>
        <w:rPr>
          <w:spacing w:val="-8"/>
          <w:sz w:val="16"/>
          <w:szCs w:val="16"/>
          <w:lang w:val="es-ES_tradnl"/>
        </w:rPr>
        <w:t xml:space="preserve">s </w:t>
      </w:r>
      <w:r>
        <w:rPr>
          <w:spacing w:val="-7"/>
          <w:sz w:val="16"/>
          <w:szCs w:val="16"/>
          <w:lang w:val="es-ES_tradnl"/>
        </w:rPr>
        <w:t xml:space="preserve">medios judiciales, pues en dicho caso la justicia constitucional </w:t>
      </w:r>
      <w:r>
        <w:rPr>
          <w:spacing w:val="-9"/>
          <w:sz w:val="16"/>
          <w:szCs w:val="16"/>
          <w:lang w:val="es-ES_tradnl"/>
        </w:rPr>
        <w:t>pasar</w:t>
      </w:r>
      <w:r>
        <w:rPr>
          <w:rFonts w:cs="Times New Roman"/>
          <w:spacing w:val="-9"/>
          <w:sz w:val="16"/>
          <w:szCs w:val="16"/>
          <w:lang w:val="es-ES_tradnl"/>
        </w:rPr>
        <w:t>í</w:t>
      </w:r>
      <w:r>
        <w:rPr>
          <w:spacing w:val="-9"/>
          <w:sz w:val="16"/>
          <w:szCs w:val="16"/>
          <w:lang w:val="es-ES_tradnl"/>
        </w:rPr>
        <w:t xml:space="preserve">a a asumir potestades que no le corresponden, afectando </w:t>
      </w:r>
      <w:r>
        <w:rPr>
          <w:spacing w:val="-6"/>
          <w:sz w:val="16"/>
          <w:szCs w:val="16"/>
          <w:lang w:val="es-ES_tradnl"/>
        </w:rPr>
        <w:t>la seguridad jur</w:t>
      </w:r>
      <w:r>
        <w:rPr>
          <w:rFonts w:cs="Times New Roman"/>
          <w:spacing w:val="-6"/>
          <w:sz w:val="16"/>
          <w:szCs w:val="16"/>
          <w:lang w:val="es-ES_tradnl"/>
        </w:rPr>
        <w:t>í</w:t>
      </w:r>
      <w:r>
        <w:rPr>
          <w:spacing w:val="-6"/>
          <w:sz w:val="16"/>
          <w:szCs w:val="16"/>
          <w:lang w:val="es-ES_tradnl"/>
        </w:rPr>
        <w:t xml:space="preserve">dica de los ciudadanos y desvirtuando la </w:t>
      </w:r>
      <w:r>
        <w:rPr>
          <w:spacing w:val="-2"/>
          <w:sz w:val="16"/>
          <w:szCs w:val="16"/>
          <w:lang w:val="es-ES_tradnl"/>
        </w:rPr>
        <w:t xml:space="preserve">estructura jurisdiccional del Estado y desconociendo la </w:t>
      </w:r>
      <w:r>
        <w:rPr>
          <w:spacing w:val="-7"/>
          <w:sz w:val="16"/>
          <w:szCs w:val="16"/>
          <w:lang w:val="es-ES_tradnl"/>
        </w:rPr>
        <w:t>garant</w:t>
      </w:r>
      <w:r>
        <w:rPr>
          <w:rFonts w:cs="Times New Roman"/>
          <w:spacing w:val="-7"/>
          <w:sz w:val="16"/>
          <w:szCs w:val="16"/>
          <w:lang w:val="es-ES_tradnl"/>
        </w:rPr>
        <w:t>í</w:t>
      </w:r>
      <w:r>
        <w:rPr>
          <w:spacing w:val="-7"/>
          <w:sz w:val="16"/>
          <w:szCs w:val="16"/>
          <w:lang w:val="es-ES_tradnl"/>
        </w:rPr>
        <w:t>a institucional que representa la Funci</w:t>
      </w:r>
      <w:r>
        <w:rPr>
          <w:rFonts w:cs="Times New Roman"/>
          <w:spacing w:val="-7"/>
          <w:sz w:val="16"/>
          <w:szCs w:val="16"/>
          <w:lang w:val="es-ES_tradnl"/>
        </w:rPr>
        <w:t>ó</w:t>
      </w:r>
      <w:r>
        <w:rPr>
          <w:spacing w:val="-7"/>
          <w:sz w:val="16"/>
          <w:szCs w:val="16"/>
          <w:lang w:val="es-ES_tradnl"/>
        </w:rPr>
        <w:t>n Judicial</w:t>
      </w:r>
      <w:r>
        <w:rPr>
          <w:spacing w:val="-7"/>
          <w:sz w:val="16"/>
          <w:szCs w:val="16"/>
          <w:vertAlign w:val="superscript"/>
          <w:lang w:val="es-ES_tradnl"/>
        </w:rPr>
        <w:t>11</w:t>
      </w:r>
      <w:r>
        <w:rPr>
          <w:spacing w:val="-7"/>
          <w:sz w:val="16"/>
          <w:szCs w:val="16"/>
          <w:lang w:val="es-ES_tradnl"/>
        </w:rPr>
        <w:t>.</w:t>
      </w:r>
    </w:p>
    <w:p w14:paraId="4F67B0B6" w14:textId="77777777" w:rsidR="00591D54" w:rsidRDefault="00591D54">
      <w:pPr>
        <w:shd w:val="clear" w:color="auto" w:fill="FFFFFF"/>
        <w:spacing w:before="202" w:line="216" w:lineRule="exact"/>
        <w:jc w:val="both"/>
      </w:pPr>
      <w:r>
        <w:rPr>
          <w:sz w:val="18"/>
          <w:szCs w:val="18"/>
          <w:lang w:val="es-ES_tradnl"/>
        </w:rPr>
        <w:t xml:space="preserve">Por ello, esta Corte, al analizar el contenido de la </w:t>
      </w:r>
      <w:r>
        <w:rPr>
          <w:spacing w:val="-5"/>
          <w:sz w:val="18"/>
          <w:szCs w:val="18"/>
          <w:lang w:val="es-ES_tradnl"/>
        </w:rPr>
        <w:t>demanda y al contrastarlo con los requisitos de la acci</w:t>
      </w:r>
      <w:r>
        <w:rPr>
          <w:rFonts w:cs="Times New Roman"/>
          <w:spacing w:val="-5"/>
          <w:sz w:val="18"/>
          <w:szCs w:val="18"/>
          <w:lang w:val="es-ES_tradnl"/>
        </w:rPr>
        <w:t>ó</w:t>
      </w:r>
      <w:r>
        <w:rPr>
          <w:spacing w:val="-5"/>
          <w:sz w:val="18"/>
          <w:szCs w:val="18"/>
          <w:lang w:val="es-ES_tradnl"/>
        </w:rPr>
        <w:t xml:space="preserve">n </w:t>
      </w:r>
      <w:r>
        <w:rPr>
          <w:spacing w:val="-3"/>
          <w:sz w:val="18"/>
          <w:szCs w:val="18"/>
          <w:lang w:val="es-ES_tradnl"/>
        </w:rPr>
        <w:t>de protecci</w:t>
      </w:r>
      <w:r>
        <w:rPr>
          <w:rFonts w:cs="Times New Roman"/>
          <w:spacing w:val="-3"/>
          <w:sz w:val="18"/>
          <w:szCs w:val="18"/>
          <w:lang w:val="es-ES_tradnl"/>
        </w:rPr>
        <w:t>ó</w:t>
      </w:r>
      <w:r>
        <w:rPr>
          <w:spacing w:val="-3"/>
          <w:sz w:val="18"/>
          <w:szCs w:val="18"/>
          <w:lang w:val="es-ES_tradnl"/>
        </w:rPr>
        <w:t>n contenidos en el art</w:t>
      </w:r>
      <w:r>
        <w:rPr>
          <w:rFonts w:cs="Times New Roman"/>
          <w:spacing w:val="-3"/>
          <w:sz w:val="18"/>
          <w:szCs w:val="18"/>
          <w:lang w:val="es-ES_tradnl"/>
        </w:rPr>
        <w:t>í</w:t>
      </w:r>
      <w:r>
        <w:rPr>
          <w:spacing w:val="-3"/>
          <w:sz w:val="18"/>
          <w:szCs w:val="18"/>
          <w:lang w:val="es-ES_tradnl"/>
        </w:rPr>
        <w:t xml:space="preserve">culo 40 de la Ley </w:t>
      </w:r>
      <w:r>
        <w:rPr>
          <w:spacing w:val="-6"/>
          <w:sz w:val="18"/>
          <w:szCs w:val="18"/>
          <w:lang w:val="es-ES_tradnl"/>
        </w:rPr>
        <w:t>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as Constitucionales, en obediencia a</w:t>
      </w:r>
    </w:p>
    <w:p w14:paraId="4F67B0B7" w14:textId="77777777" w:rsidR="00591D54" w:rsidRDefault="00591D54">
      <w:pPr>
        <w:shd w:val="clear" w:color="auto" w:fill="FFFFFF"/>
        <w:tabs>
          <w:tab w:val="left" w:pos="139"/>
        </w:tabs>
        <w:spacing w:before="490" w:line="178" w:lineRule="exact"/>
        <w:ind w:left="139" w:hanging="139"/>
        <w:jc w:val="both"/>
      </w:pPr>
      <w:r>
        <w:rPr>
          <w:spacing w:val="-5"/>
          <w:sz w:val="8"/>
          <w:szCs w:val="8"/>
          <w:vertAlign w:val="superscript"/>
          <w:lang w:val="es-ES_tradnl"/>
        </w:rPr>
        <w:t>10</w:t>
      </w:r>
      <w:r>
        <w:rPr>
          <w:sz w:val="18"/>
          <w:szCs w:val="18"/>
          <w:lang w:val="es-ES_tradnl"/>
        </w:rPr>
        <w:tab/>
      </w:r>
      <w:r>
        <w:rPr>
          <w:spacing w:val="-11"/>
          <w:sz w:val="16"/>
          <w:szCs w:val="16"/>
          <w:lang w:val="es-ES_tradnl"/>
        </w:rPr>
        <w:t>Demanda</w:t>
      </w:r>
      <w:r>
        <w:rPr>
          <w:spacing w:val="-11"/>
          <w:sz w:val="18"/>
          <w:szCs w:val="18"/>
          <w:lang w:val="es-ES_tradnl"/>
        </w:rPr>
        <w:t xml:space="preserve"> </w:t>
      </w:r>
      <w:r>
        <w:rPr>
          <w:spacing w:val="-11"/>
          <w:sz w:val="16"/>
          <w:szCs w:val="16"/>
          <w:lang w:val="es-ES_tradnl"/>
        </w:rPr>
        <w:t>de</w:t>
      </w:r>
      <w:r>
        <w:rPr>
          <w:spacing w:val="-11"/>
          <w:sz w:val="18"/>
          <w:szCs w:val="18"/>
          <w:lang w:val="es-ES_tradnl"/>
        </w:rPr>
        <w:t xml:space="preserve"> </w:t>
      </w:r>
      <w:r>
        <w:rPr>
          <w:spacing w:val="-11"/>
          <w:sz w:val="16"/>
          <w:szCs w:val="16"/>
          <w:lang w:val="es-ES_tradnl"/>
        </w:rPr>
        <w:t>acci</w:t>
      </w:r>
      <w:r>
        <w:rPr>
          <w:rFonts w:cs="Times New Roman"/>
          <w:spacing w:val="-11"/>
          <w:sz w:val="16"/>
          <w:szCs w:val="16"/>
          <w:lang w:val="es-ES_tradnl"/>
        </w:rPr>
        <w:t>ó</w:t>
      </w:r>
      <w:r>
        <w:rPr>
          <w:spacing w:val="-11"/>
          <w:sz w:val="16"/>
          <w:szCs w:val="16"/>
          <w:lang w:val="es-ES_tradnl"/>
        </w:rPr>
        <w:t>n</w:t>
      </w:r>
      <w:r>
        <w:rPr>
          <w:spacing w:val="-11"/>
          <w:sz w:val="18"/>
          <w:szCs w:val="18"/>
          <w:lang w:val="es-ES_tradnl"/>
        </w:rPr>
        <w:t xml:space="preserve"> </w:t>
      </w:r>
      <w:r>
        <w:rPr>
          <w:spacing w:val="-11"/>
          <w:sz w:val="16"/>
          <w:szCs w:val="16"/>
          <w:lang w:val="es-ES_tradnl"/>
        </w:rPr>
        <w:t>de</w:t>
      </w:r>
      <w:r>
        <w:rPr>
          <w:spacing w:val="-11"/>
          <w:sz w:val="18"/>
          <w:szCs w:val="18"/>
          <w:lang w:val="es-ES_tradnl"/>
        </w:rPr>
        <w:t xml:space="preserve"> </w:t>
      </w:r>
      <w:r>
        <w:rPr>
          <w:spacing w:val="-11"/>
          <w:sz w:val="16"/>
          <w:szCs w:val="16"/>
          <w:lang w:val="es-ES_tradnl"/>
        </w:rPr>
        <w:t>protecci</w:t>
      </w:r>
      <w:r>
        <w:rPr>
          <w:rFonts w:cs="Times New Roman"/>
          <w:spacing w:val="-11"/>
          <w:sz w:val="16"/>
          <w:szCs w:val="16"/>
          <w:lang w:val="es-ES_tradnl"/>
        </w:rPr>
        <w:t>ó</w:t>
      </w:r>
      <w:r>
        <w:rPr>
          <w:spacing w:val="-11"/>
          <w:sz w:val="16"/>
          <w:szCs w:val="16"/>
          <w:lang w:val="es-ES_tradnl"/>
        </w:rPr>
        <w:t>n</w:t>
      </w:r>
      <w:r>
        <w:rPr>
          <w:spacing w:val="-11"/>
          <w:sz w:val="18"/>
          <w:szCs w:val="18"/>
          <w:lang w:val="es-ES_tradnl"/>
        </w:rPr>
        <w:t xml:space="preserve"> </w:t>
      </w:r>
      <w:r>
        <w:rPr>
          <w:spacing w:val="-11"/>
          <w:sz w:val="16"/>
          <w:szCs w:val="16"/>
          <w:lang w:val="es-ES_tradnl"/>
        </w:rPr>
        <w:t>presentada</w:t>
      </w:r>
      <w:r>
        <w:rPr>
          <w:spacing w:val="-11"/>
          <w:sz w:val="18"/>
          <w:szCs w:val="18"/>
          <w:lang w:val="es-ES_tradnl"/>
        </w:rPr>
        <w:t xml:space="preserve"> </w:t>
      </w:r>
      <w:r>
        <w:rPr>
          <w:spacing w:val="-11"/>
          <w:sz w:val="16"/>
          <w:szCs w:val="16"/>
          <w:lang w:val="es-ES_tradnl"/>
        </w:rPr>
        <w:t>por</w:t>
      </w:r>
      <w:r>
        <w:rPr>
          <w:spacing w:val="-11"/>
          <w:sz w:val="18"/>
          <w:szCs w:val="18"/>
          <w:lang w:val="es-ES_tradnl"/>
        </w:rPr>
        <w:t xml:space="preserve"> </w:t>
      </w:r>
      <w:r>
        <w:rPr>
          <w:spacing w:val="-11"/>
          <w:sz w:val="16"/>
          <w:szCs w:val="16"/>
          <w:lang w:val="es-ES_tradnl"/>
        </w:rPr>
        <w:t>la</w:t>
      </w:r>
      <w:r>
        <w:rPr>
          <w:spacing w:val="-11"/>
          <w:sz w:val="18"/>
          <w:szCs w:val="18"/>
          <w:lang w:val="es-ES_tradnl"/>
        </w:rPr>
        <w:t xml:space="preserve"> </w:t>
      </w:r>
      <w:r>
        <w:rPr>
          <w:spacing w:val="-11"/>
          <w:sz w:val="16"/>
          <w:szCs w:val="16"/>
          <w:lang w:val="es-ES_tradnl"/>
        </w:rPr>
        <w:t>se</w:t>
      </w:r>
      <w:r>
        <w:rPr>
          <w:rFonts w:cs="Times New Roman"/>
          <w:spacing w:val="-11"/>
          <w:sz w:val="16"/>
          <w:szCs w:val="16"/>
          <w:lang w:val="es-ES_tradnl"/>
        </w:rPr>
        <w:t>ñ</w:t>
      </w:r>
      <w:r>
        <w:rPr>
          <w:spacing w:val="-11"/>
          <w:sz w:val="16"/>
          <w:szCs w:val="16"/>
          <w:lang w:val="es-ES_tradnl"/>
        </w:rPr>
        <w:t>ora</w:t>
      </w:r>
      <w:r>
        <w:rPr>
          <w:spacing w:val="-11"/>
          <w:sz w:val="18"/>
          <w:szCs w:val="18"/>
          <w:lang w:val="es-ES_tradnl"/>
        </w:rPr>
        <w:t xml:space="preserve"> </w:t>
      </w:r>
      <w:r>
        <w:rPr>
          <w:spacing w:val="-11"/>
          <w:sz w:val="16"/>
          <w:szCs w:val="16"/>
          <w:lang w:val="es-ES_tradnl"/>
        </w:rPr>
        <w:t>Ruth Germania Guti</w:t>
      </w:r>
      <w:r>
        <w:rPr>
          <w:rFonts w:cs="Times New Roman"/>
          <w:spacing w:val="-11"/>
          <w:sz w:val="16"/>
          <w:szCs w:val="16"/>
          <w:lang w:val="es-ES_tradnl"/>
        </w:rPr>
        <w:t>é</w:t>
      </w:r>
      <w:r>
        <w:rPr>
          <w:spacing w:val="-11"/>
          <w:sz w:val="16"/>
          <w:szCs w:val="16"/>
          <w:lang w:val="es-ES_tradnl"/>
        </w:rPr>
        <w:t>rrez Ortega el 24 de julio de 2012 a las 16h18 en la Sala de Sorteos de la Corte Provincial de Justicia del Ca</w:t>
      </w:r>
      <w:r>
        <w:rPr>
          <w:rFonts w:cs="Times New Roman"/>
          <w:spacing w:val="-11"/>
          <w:sz w:val="16"/>
          <w:szCs w:val="16"/>
          <w:lang w:val="es-ES_tradnl"/>
        </w:rPr>
        <w:t>ñ</w:t>
      </w:r>
      <w:r>
        <w:rPr>
          <w:spacing w:val="-11"/>
          <w:sz w:val="16"/>
          <w:szCs w:val="16"/>
          <w:lang w:val="es-ES_tradnl"/>
        </w:rPr>
        <w:t>ar, fojas 16 </w:t>
      </w:r>
      <w:r>
        <w:rPr>
          <w:sz w:val="16"/>
          <w:szCs w:val="16"/>
          <w:lang w:val="es-ES_tradnl"/>
        </w:rPr>
        <w:t>y 20 del expediente judicial.</w:t>
      </w:r>
    </w:p>
    <w:p w14:paraId="4F67B0B8" w14:textId="77777777" w:rsidR="00591D54" w:rsidRDefault="00591D54">
      <w:pPr>
        <w:shd w:val="clear" w:color="auto" w:fill="FFFFFF"/>
        <w:tabs>
          <w:tab w:val="left" w:pos="139"/>
        </w:tabs>
        <w:spacing w:before="149" w:line="178" w:lineRule="exact"/>
        <w:ind w:left="139" w:right="5" w:hanging="139"/>
        <w:jc w:val="both"/>
      </w:pPr>
      <w:r>
        <w:rPr>
          <w:spacing w:val="-52"/>
          <w:sz w:val="16"/>
          <w:szCs w:val="16"/>
          <w:vertAlign w:val="superscript"/>
          <w:lang w:val="es-ES_tradnl"/>
        </w:rPr>
        <w:t>11</w:t>
      </w:r>
      <w:r>
        <w:rPr>
          <w:sz w:val="18"/>
          <w:szCs w:val="18"/>
          <w:lang w:val="es-ES_tradnl"/>
        </w:rPr>
        <w:tab/>
      </w:r>
      <w:r>
        <w:rPr>
          <w:spacing w:val="-10"/>
          <w:sz w:val="16"/>
          <w:szCs w:val="16"/>
          <w:lang w:val="es-ES_tradnl"/>
        </w:rPr>
        <w:t>Corte</w:t>
      </w:r>
      <w:r>
        <w:rPr>
          <w:spacing w:val="-10"/>
          <w:sz w:val="18"/>
          <w:szCs w:val="18"/>
          <w:lang w:val="es-ES_tradnl"/>
        </w:rPr>
        <w:t xml:space="preserve"> </w:t>
      </w:r>
      <w:r>
        <w:rPr>
          <w:spacing w:val="-10"/>
          <w:sz w:val="16"/>
          <w:szCs w:val="16"/>
          <w:lang w:val="es-ES_tradnl"/>
        </w:rPr>
        <w:t>Constitucional</w:t>
      </w:r>
      <w:r>
        <w:rPr>
          <w:spacing w:val="-10"/>
          <w:sz w:val="18"/>
          <w:szCs w:val="18"/>
          <w:lang w:val="es-ES_tradnl"/>
        </w:rPr>
        <w:t xml:space="preserve"> </w:t>
      </w:r>
      <w:r>
        <w:rPr>
          <w:spacing w:val="-10"/>
          <w:sz w:val="16"/>
          <w:szCs w:val="16"/>
          <w:lang w:val="es-ES_tradnl"/>
        </w:rPr>
        <w:t>del</w:t>
      </w:r>
      <w:r>
        <w:rPr>
          <w:spacing w:val="-10"/>
          <w:sz w:val="18"/>
          <w:szCs w:val="18"/>
          <w:lang w:val="es-ES_tradnl"/>
        </w:rPr>
        <w:t xml:space="preserve"> </w:t>
      </w:r>
      <w:r>
        <w:rPr>
          <w:spacing w:val="-10"/>
          <w:sz w:val="16"/>
          <w:szCs w:val="16"/>
          <w:lang w:val="es-ES_tradnl"/>
        </w:rPr>
        <w:t>Ecuador,</w:t>
      </w:r>
      <w:r>
        <w:rPr>
          <w:spacing w:val="-10"/>
          <w:sz w:val="18"/>
          <w:szCs w:val="18"/>
          <w:lang w:val="es-ES_tradnl"/>
        </w:rPr>
        <w:t xml:space="preserve"> </w:t>
      </w:r>
      <w:r>
        <w:rPr>
          <w:spacing w:val="-10"/>
          <w:sz w:val="16"/>
          <w:szCs w:val="16"/>
          <w:lang w:val="es-ES_tradnl"/>
        </w:rPr>
        <w:t>sentencia</w:t>
      </w:r>
      <w:r>
        <w:rPr>
          <w:spacing w:val="-10"/>
          <w:sz w:val="18"/>
          <w:szCs w:val="18"/>
          <w:lang w:val="es-ES_tradnl"/>
        </w:rPr>
        <w:t xml:space="preserve"> </w:t>
      </w:r>
      <w:r>
        <w:rPr>
          <w:spacing w:val="-10"/>
          <w:sz w:val="16"/>
          <w:szCs w:val="16"/>
          <w:lang w:val="es-ES_tradnl"/>
        </w:rPr>
        <w:t>No.</w:t>
      </w:r>
      <w:r>
        <w:rPr>
          <w:spacing w:val="-10"/>
          <w:sz w:val="18"/>
          <w:szCs w:val="18"/>
          <w:lang w:val="es-ES_tradnl"/>
        </w:rPr>
        <w:t xml:space="preserve"> </w:t>
      </w:r>
      <w:r>
        <w:rPr>
          <w:spacing w:val="-10"/>
          <w:sz w:val="16"/>
          <w:szCs w:val="16"/>
          <w:lang w:val="es-ES_tradnl"/>
        </w:rPr>
        <w:t>16-13-SEP-CC</w:t>
      </w:r>
      <w:r>
        <w:rPr>
          <w:spacing w:val="-10"/>
          <w:sz w:val="18"/>
          <w:szCs w:val="18"/>
          <w:lang w:val="es-ES_tradnl"/>
        </w:rPr>
        <w:t xml:space="preserve"> </w:t>
      </w:r>
      <w:r>
        <w:rPr>
          <w:spacing w:val="-10"/>
          <w:sz w:val="16"/>
          <w:szCs w:val="16"/>
          <w:lang w:val="es-ES_tradnl"/>
        </w:rPr>
        <w:t>de </w:t>
      </w:r>
      <w:r>
        <w:rPr>
          <w:sz w:val="16"/>
          <w:szCs w:val="16"/>
          <w:lang w:val="es-ES_tradnl"/>
        </w:rPr>
        <w:t>16 de mayo de 2013; caso No. 1000-12-EP.</w:t>
      </w:r>
    </w:p>
    <w:p w14:paraId="4F67B0B9" w14:textId="77777777" w:rsidR="00591D54" w:rsidRDefault="00591D54">
      <w:pPr>
        <w:shd w:val="clear" w:color="auto" w:fill="FFFFFF"/>
        <w:spacing w:line="216" w:lineRule="exact"/>
        <w:jc w:val="both"/>
      </w:pPr>
      <w:r>
        <w:br w:type="column"/>
      </w:r>
      <w:r>
        <w:rPr>
          <w:spacing w:val="-7"/>
          <w:sz w:val="18"/>
          <w:szCs w:val="18"/>
          <w:lang w:val="es-ES_tradnl"/>
        </w:rPr>
        <w:t xml:space="preserve">los precedentes jurisprudenciales determinados por esta </w:t>
      </w:r>
      <w:r>
        <w:rPr>
          <w:spacing w:val="-8"/>
          <w:sz w:val="18"/>
          <w:szCs w:val="18"/>
          <w:lang w:val="es-ES_tradnl"/>
        </w:rPr>
        <w:t xml:space="preserve">Magistratura en esta sentencia, se desprende que de las </w:t>
      </w:r>
      <w:r>
        <w:rPr>
          <w:spacing w:val="-6"/>
          <w:sz w:val="18"/>
          <w:szCs w:val="18"/>
          <w:lang w:val="es-ES_tradnl"/>
        </w:rPr>
        <w:t>caracter</w:t>
      </w:r>
      <w:r>
        <w:rPr>
          <w:rFonts w:cs="Times New Roman"/>
          <w:spacing w:val="-6"/>
          <w:sz w:val="18"/>
          <w:szCs w:val="18"/>
          <w:lang w:val="es-ES_tradnl"/>
        </w:rPr>
        <w:t>í</w:t>
      </w:r>
      <w:r>
        <w:rPr>
          <w:spacing w:val="-6"/>
          <w:sz w:val="18"/>
          <w:szCs w:val="18"/>
          <w:lang w:val="es-ES_tradnl"/>
        </w:rPr>
        <w:t>sticas propias de los hechos y de la certificaci</w:t>
      </w:r>
      <w:r>
        <w:rPr>
          <w:rFonts w:cs="Times New Roman"/>
          <w:spacing w:val="-6"/>
          <w:sz w:val="18"/>
          <w:szCs w:val="18"/>
          <w:lang w:val="es-ES_tradnl"/>
        </w:rPr>
        <w:t>ó</w:t>
      </w:r>
      <w:r>
        <w:rPr>
          <w:spacing w:val="-6"/>
          <w:sz w:val="18"/>
          <w:szCs w:val="18"/>
          <w:lang w:val="es-ES_tradnl"/>
        </w:rPr>
        <w:t xml:space="preserve">n </w:t>
      </w:r>
      <w:r>
        <w:rPr>
          <w:spacing w:val="-7"/>
          <w:sz w:val="18"/>
          <w:szCs w:val="18"/>
          <w:lang w:val="es-ES_tradnl"/>
        </w:rPr>
        <w:t xml:space="preserve">cuestionada no constituyen actos que vulneran derechos </w:t>
      </w:r>
      <w:r>
        <w:rPr>
          <w:spacing w:val="-8"/>
          <w:sz w:val="18"/>
          <w:szCs w:val="18"/>
          <w:lang w:val="es-ES_tradnl"/>
        </w:rPr>
        <w:t xml:space="preserve">constitucionales, que deban ser analizados a la luz de una </w:t>
      </w:r>
      <w:r>
        <w:rPr>
          <w:sz w:val="18"/>
          <w:szCs w:val="18"/>
          <w:lang w:val="es-ES_tradnl"/>
        </w:rPr>
        <w:t>garant</w:t>
      </w:r>
      <w:r>
        <w:rPr>
          <w:rFonts w:cs="Times New Roman"/>
          <w:sz w:val="18"/>
          <w:szCs w:val="18"/>
          <w:lang w:val="es-ES_tradnl"/>
        </w:rPr>
        <w:t>í</w:t>
      </w:r>
      <w:r>
        <w:rPr>
          <w:sz w:val="18"/>
          <w:szCs w:val="18"/>
          <w:lang w:val="es-ES_tradnl"/>
        </w:rPr>
        <w:t>a jurisdiccional.</w:t>
      </w:r>
    </w:p>
    <w:p w14:paraId="4F67B0BA" w14:textId="77777777" w:rsidR="00591D54" w:rsidRDefault="00591D54">
      <w:pPr>
        <w:shd w:val="clear" w:color="auto" w:fill="FFFFFF"/>
        <w:spacing w:before="192" w:line="216" w:lineRule="exact"/>
        <w:jc w:val="both"/>
      </w:pPr>
      <w:r>
        <w:rPr>
          <w:spacing w:val="-5"/>
          <w:sz w:val="18"/>
          <w:szCs w:val="18"/>
          <w:lang w:val="es-ES_tradnl"/>
        </w:rPr>
        <w:t xml:space="preserve">Por otra parte, es indispensable referirse a la </w:t>
      </w:r>
      <w:r>
        <w:rPr>
          <w:i/>
          <w:iCs/>
          <w:spacing w:val="-5"/>
          <w:sz w:val="18"/>
          <w:szCs w:val="18"/>
          <w:lang w:val="es-ES_tradnl"/>
        </w:rPr>
        <w:t xml:space="preserve">ratio </w:t>
      </w:r>
      <w:r>
        <w:rPr>
          <w:spacing w:val="-5"/>
          <w:sz w:val="18"/>
          <w:szCs w:val="18"/>
          <w:lang w:val="es-ES_tradnl"/>
        </w:rPr>
        <w:t xml:space="preserve">de la </w:t>
      </w:r>
      <w:r>
        <w:rPr>
          <w:spacing w:val="-9"/>
          <w:sz w:val="18"/>
          <w:szCs w:val="18"/>
          <w:lang w:val="es-ES_tradnl"/>
        </w:rPr>
        <w:t>sentencia cuestionada, cuyo considerando d</w:t>
      </w:r>
      <w:r>
        <w:rPr>
          <w:rFonts w:cs="Times New Roman"/>
          <w:spacing w:val="-9"/>
          <w:sz w:val="18"/>
          <w:szCs w:val="18"/>
          <w:lang w:val="es-ES_tradnl"/>
        </w:rPr>
        <w:t>é</w:t>
      </w:r>
      <w:r>
        <w:rPr>
          <w:spacing w:val="-9"/>
          <w:sz w:val="18"/>
          <w:szCs w:val="18"/>
          <w:lang w:val="es-ES_tradnl"/>
        </w:rPr>
        <w:t xml:space="preserve">cimo, enuncia </w:t>
      </w:r>
      <w:r>
        <w:rPr>
          <w:spacing w:val="-7"/>
          <w:sz w:val="18"/>
          <w:szCs w:val="18"/>
          <w:lang w:val="es-ES_tradnl"/>
        </w:rPr>
        <w:t xml:space="preserve">normas legales mediante las cuales resolvieron la </w:t>
      </w:r>
      <w:r>
        <w:rPr>
          <w:i/>
          <w:iCs/>
          <w:spacing w:val="-7"/>
          <w:sz w:val="18"/>
          <w:szCs w:val="18"/>
          <w:lang w:val="es-ES_tradnl"/>
        </w:rPr>
        <w:t>litis</w:t>
      </w:r>
      <w:r>
        <w:rPr>
          <w:spacing w:val="-7"/>
          <w:sz w:val="18"/>
          <w:szCs w:val="18"/>
          <w:lang w:val="es-ES_tradnl"/>
        </w:rPr>
        <w:t>, as</w:t>
      </w:r>
      <w:r>
        <w:rPr>
          <w:rFonts w:cs="Times New Roman"/>
          <w:spacing w:val="-7"/>
          <w:sz w:val="18"/>
          <w:szCs w:val="18"/>
          <w:lang w:val="es-ES_tradnl"/>
        </w:rPr>
        <w:t>í</w:t>
      </w:r>
      <w:r>
        <w:rPr>
          <w:spacing w:val="-7"/>
          <w:sz w:val="18"/>
          <w:szCs w:val="18"/>
          <w:lang w:val="es-ES_tradnl"/>
        </w:rPr>
        <w:t>:</w:t>
      </w:r>
    </w:p>
    <w:p w14:paraId="4F67B0BB" w14:textId="77777777" w:rsidR="00591D54" w:rsidRDefault="00591D54">
      <w:pPr>
        <w:shd w:val="clear" w:color="auto" w:fill="FFFFFF"/>
        <w:spacing w:before="202" w:line="211" w:lineRule="exact"/>
        <w:ind w:left="283"/>
        <w:jc w:val="both"/>
      </w:pPr>
      <w:r>
        <w:rPr>
          <w:spacing w:val="-2"/>
          <w:sz w:val="16"/>
          <w:szCs w:val="16"/>
          <w:lang w:val="es-ES_tradnl"/>
        </w:rPr>
        <w:t>(</w:t>
      </w:r>
      <w:r>
        <w:rPr>
          <w:rFonts w:cs="Times New Roman"/>
          <w:spacing w:val="-2"/>
          <w:sz w:val="16"/>
          <w:szCs w:val="16"/>
          <w:lang w:val="es-ES_tradnl"/>
        </w:rPr>
        <w:t>…</w:t>
      </w:r>
      <w:r>
        <w:rPr>
          <w:spacing w:val="-2"/>
          <w:sz w:val="16"/>
          <w:szCs w:val="16"/>
          <w:lang w:val="es-ES_tradnl"/>
        </w:rPr>
        <w:t>) D</w:t>
      </w:r>
      <w:r>
        <w:rPr>
          <w:rFonts w:cs="Times New Roman"/>
          <w:spacing w:val="-2"/>
          <w:sz w:val="16"/>
          <w:szCs w:val="16"/>
          <w:lang w:val="es-ES_tradnl"/>
        </w:rPr>
        <w:t>É</w:t>
      </w:r>
      <w:r>
        <w:rPr>
          <w:spacing w:val="-2"/>
          <w:sz w:val="16"/>
          <w:szCs w:val="16"/>
          <w:lang w:val="es-ES_tradnl"/>
        </w:rPr>
        <w:t>CIMO.- (</w:t>
      </w:r>
      <w:r>
        <w:rPr>
          <w:rFonts w:cs="Times New Roman"/>
          <w:spacing w:val="-2"/>
          <w:sz w:val="16"/>
          <w:szCs w:val="16"/>
          <w:lang w:val="es-ES_tradnl"/>
        </w:rPr>
        <w:t>…</w:t>
      </w:r>
      <w:r>
        <w:rPr>
          <w:spacing w:val="-2"/>
          <w:sz w:val="16"/>
          <w:szCs w:val="16"/>
          <w:lang w:val="es-ES_tradnl"/>
        </w:rPr>
        <w:t xml:space="preserve">) 3).- Que por mandado de la Ley de </w:t>
      </w:r>
      <w:r>
        <w:rPr>
          <w:spacing w:val="-7"/>
          <w:sz w:val="16"/>
          <w:szCs w:val="16"/>
          <w:lang w:val="es-ES_tradnl"/>
        </w:rPr>
        <w:t>Modernizaci</w:t>
      </w:r>
      <w:r>
        <w:rPr>
          <w:rFonts w:cs="Times New Roman"/>
          <w:spacing w:val="-7"/>
          <w:sz w:val="16"/>
          <w:szCs w:val="16"/>
          <w:lang w:val="es-ES_tradnl"/>
        </w:rPr>
        <w:t>ó</w:t>
      </w:r>
      <w:r>
        <w:rPr>
          <w:spacing w:val="-7"/>
          <w:sz w:val="16"/>
          <w:szCs w:val="16"/>
          <w:lang w:val="es-ES_tradnl"/>
        </w:rPr>
        <w:t xml:space="preserve">n vigente a la </w:t>
      </w:r>
      <w:r>
        <w:rPr>
          <w:rFonts w:cs="Times New Roman"/>
          <w:spacing w:val="-7"/>
          <w:sz w:val="16"/>
          <w:szCs w:val="16"/>
          <w:lang w:val="es-ES_tradnl"/>
        </w:rPr>
        <w:t>é</w:t>
      </w:r>
      <w:r>
        <w:rPr>
          <w:spacing w:val="-7"/>
          <w:sz w:val="16"/>
          <w:szCs w:val="16"/>
          <w:lang w:val="es-ES_tradnl"/>
        </w:rPr>
        <w:t xml:space="preserve">poca, las personas que hayan </w:t>
      </w:r>
      <w:r>
        <w:rPr>
          <w:sz w:val="16"/>
          <w:szCs w:val="16"/>
          <w:lang w:val="es-ES_tradnl"/>
        </w:rPr>
        <w:t>vendido la renuncia, no pod</w:t>
      </w:r>
      <w:r>
        <w:rPr>
          <w:rFonts w:cs="Times New Roman"/>
          <w:sz w:val="16"/>
          <w:szCs w:val="16"/>
          <w:lang w:val="es-ES_tradnl"/>
        </w:rPr>
        <w:t>í</w:t>
      </w:r>
      <w:r>
        <w:rPr>
          <w:sz w:val="16"/>
          <w:szCs w:val="16"/>
          <w:lang w:val="es-ES_tradnl"/>
        </w:rPr>
        <w:t>an volver al sector p</w:t>
      </w:r>
      <w:r>
        <w:rPr>
          <w:rFonts w:cs="Times New Roman"/>
          <w:sz w:val="16"/>
          <w:szCs w:val="16"/>
          <w:lang w:val="es-ES_tradnl"/>
        </w:rPr>
        <w:t>ú</w:t>
      </w:r>
      <w:r>
        <w:rPr>
          <w:sz w:val="16"/>
          <w:szCs w:val="16"/>
          <w:lang w:val="es-ES_tradnl"/>
        </w:rPr>
        <w:t xml:space="preserve">blico; </w:t>
      </w:r>
      <w:r>
        <w:rPr>
          <w:spacing w:val="-6"/>
          <w:sz w:val="16"/>
          <w:szCs w:val="16"/>
          <w:lang w:val="es-ES_tradnl"/>
        </w:rPr>
        <w:t>4).- Que la Disposici</w:t>
      </w:r>
      <w:r>
        <w:rPr>
          <w:rFonts w:cs="Times New Roman"/>
          <w:spacing w:val="-6"/>
          <w:sz w:val="16"/>
          <w:szCs w:val="16"/>
          <w:lang w:val="es-ES_tradnl"/>
        </w:rPr>
        <w:t>ó</w:t>
      </w:r>
      <w:r>
        <w:rPr>
          <w:spacing w:val="-6"/>
          <w:sz w:val="16"/>
          <w:szCs w:val="16"/>
          <w:lang w:val="es-ES_tradnl"/>
        </w:rPr>
        <w:t xml:space="preserve">n General Segunda de la Ley para la </w:t>
      </w:r>
      <w:r>
        <w:rPr>
          <w:spacing w:val="-4"/>
          <w:sz w:val="16"/>
          <w:szCs w:val="16"/>
          <w:lang w:val="es-ES_tradnl"/>
        </w:rPr>
        <w:t>Reforma de las Finanzas P</w:t>
      </w:r>
      <w:r>
        <w:rPr>
          <w:rFonts w:cs="Times New Roman"/>
          <w:spacing w:val="-4"/>
          <w:sz w:val="16"/>
          <w:szCs w:val="16"/>
          <w:lang w:val="es-ES_tradnl"/>
        </w:rPr>
        <w:t>ú</w:t>
      </w:r>
      <w:r>
        <w:rPr>
          <w:spacing w:val="-4"/>
          <w:sz w:val="16"/>
          <w:szCs w:val="16"/>
          <w:lang w:val="es-ES_tradnl"/>
        </w:rPr>
        <w:t xml:space="preserve">blicas, vigente desde el 30 de </w:t>
      </w:r>
      <w:r>
        <w:rPr>
          <w:spacing w:val="-6"/>
          <w:sz w:val="16"/>
          <w:szCs w:val="16"/>
          <w:lang w:val="es-ES_tradnl"/>
        </w:rPr>
        <w:t>abril de 1999, daba la oportunidad para que los funcionarios que cesaron en sus funciones por el sistema de venta de renuncias, podr</w:t>
      </w:r>
      <w:r>
        <w:rPr>
          <w:rFonts w:cs="Times New Roman"/>
          <w:spacing w:val="-6"/>
          <w:sz w:val="16"/>
          <w:szCs w:val="16"/>
          <w:lang w:val="es-ES_tradnl"/>
        </w:rPr>
        <w:t>á</w:t>
      </w:r>
      <w:r>
        <w:rPr>
          <w:spacing w:val="-6"/>
          <w:sz w:val="16"/>
          <w:szCs w:val="16"/>
          <w:lang w:val="es-ES_tradnl"/>
        </w:rPr>
        <w:t xml:space="preserve">n reingresar en las instituciones del Estado, </w:t>
      </w:r>
      <w:r>
        <w:rPr>
          <w:spacing w:val="-8"/>
          <w:sz w:val="16"/>
          <w:szCs w:val="16"/>
          <w:lang w:val="es-ES_tradnl"/>
        </w:rPr>
        <w:t>luego de siete a</w:t>
      </w:r>
      <w:r>
        <w:rPr>
          <w:rFonts w:cs="Times New Roman"/>
          <w:spacing w:val="-8"/>
          <w:sz w:val="16"/>
          <w:szCs w:val="16"/>
          <w:lang w:val="es-ES_tradnl"/>
        </w:rPr>
        <w:t>ñ</w:t>
      </w:r>
      <w:r>
        <w:rPr>
          <w:spacing w:val="-8"/>
          <w:sz w:val="16"/>
          <w:szCs w:val="16"/>
          <w:lang w:val="es-ES_tradnl"/>
        </w:rPr>
        <w:t>os; 5).- La LOSCCA, entr</w:t>
      </w:r>
      <w:r>
        <w:rPr>
          <w:rFonts w:cs="Times New Roman"/>
          <w:spacing w:val="-8"/>
          <w:sz w:val="16"/>
          <w:szCs w:val="16"/>
          <w:lang w:val="es-ES_tradnl"/>
        </w:rPr>
        <w:t>ó</w:t>
      </w:r>
      <w:r>
        <w:rPr>
          <w:spacing w:val="-8"/>
          <w:sz w:val="16"/>
          <w:szCs w:val="16"/>
          <w:lang w:val="es-ES_tradnl"/>
        </w:rPr>
        <w:t xml:space="preserve"> en vigencia el 6 de </w:t>
      </w:r>
      <w:r>
        <w:rPr>
          <w:spacing w:val="-7"/>
          <w:sz w:val="16"/>
          <w:szCs w:val="16"/>
          <w:lang w:val="es-ES_tradnl"/>
        </w:rPr>
        <w:t>octubre del 2003, ley que derog</w:t>
      </w:r>
      <w:r>
        <w:rPr>
          <w:rFonts w:cs="Times New Roman"/>
          <w:spacing w:val="-7"/>
          <w:sz w:val="16"/>
          <w:szCs w:val="16"/>
          <w:lang w:val="es-ES_tradnl"/>
        </w:rPr>
        <w:t>ó</w:t>
      </w:r>
      <w:r>
        <w:rPr>
          <w:spacing w:val="-7"/>
          <w:sz w:val="16"/>
          <w:szCs w:val="16"/>
          <w:lang w:val="es-ES_tradnl"/>
        </w:rPr>
        <w:t xml:space="preserve"> en forma expresa la aludida </w:t>
      </w:r>
      <w:r>
        <w:rPr>
          <w:spacing w:val="-6"/>
          <w:sz w:val="16"/>
          <w:szCs w:val="16"/>
          <w:lang w:val="es-ES_tradnl"/>
        </w:rPr>
        <w:t>Disposici</w:t>
      </w:r>
      <w:r>
        <w:rPr>
          <w:rFonts w:cs="Times New Roman"/>
          <w:spacing w:val="-6"/>
          <w:sz w:val="16"/>
          <w:szCs w:val="16"/>
          <w:lang w:val="es-ES_tradnl"/>
        </w:rPr>
        <w:t>ó</w:t>
      </w:r>
      <w:r>
        <w:rPr>
          <w:spacing w:val="-6"/>
          <w:sz w:val="16"/>
          <w:szCs w:val="16"/>
          <w:lang w:val="es-ES_tradnl"/>
        </w:rPr>
        <w:t xml:space="preserve">n General Segunda. 6).- El 6 de octubre del 2010, </w:t>
      </w:r>
      <w:r>
        <w:rPr>
          <w:spacing w:val="-8"/>
          <w:sz w:val="16"/>
          <w:szCs w:val="16"/>
          <w:lang w:val="es-ES_tradnl"/>
        </w:rPr>
        <w:t>tuvo vigencia la actual LOSEP, que proh</w:t>
      </w:r>
      <w:r>
        <w:rPr>
          <w:rFonts w:cs="Times New Roman"/>
          <w:spacing w:val="-8"/>
          <w:sz w:val="16"/>
          <w:szCs w:val="16"/>
          <w:lang w:val="es-ES_tradnl"/>
        </w:rPr>
        <w:t>í</w:t>
      </w:r>
      <w:r>
        <w:rPr>
          <w:spacing w:val="-8"/>
          <w:sz w:val="16"/>
          <w:szCs w:val="16"/>
          <w:lang w:val="es-ES_tradnl"/>
        </w:rPr>
        <w:t xml:space="preserve">be el reingreso de las personas que se encuentren en las circunstancias de la actora, </w:t>
      </w:r>
      <w:r>
        <w:rPr>
          <w:spacing w:val="-4"/>
          <w:sz w:val="16"/>
          <w:szCs w:val="16"/>
          <w:lang w:val="es-ES_tradnl"/>
        </w:rPr>
        <w:t>si no devuelven el monto recibido como indemnizaci</w:t>
      </w:r>
      <w:r>
        <w:rPr>
          <w:rFonts w:cs="Times New Roman"/>
          <w:spacing w:val="-4"/>
          <w:sz w:val="16"/>
          <w:szCs w:val="16"/>
          <w:lang w:val="es-ES_tradnl"/>
        </w:rPr>
        <w:t>ó</w:t>
      </w:r>
      <w:r>
        <w:rPr>
          <w:spacing w:val="-4"/>
          <w:sz w:val="16"/>
          <w:szCs w:val="16"/>
          <w:lang w:val="es-ES_tradnl"/>
        </w:rPr>
        <w:t>n; 7).-</w:t>
      </w:r>
      <w:r>
        <w:rPr>
          <w:spacing w:val="-8"/>
          <w:sz w:val="16"/>
          <w:szCs w:val="16"/>
          <w:lang w:val="es-ES_tradnl"/>
        </w:rPr>
        <w:t xml:space="preserve">Solamente, cuando entra en vigencia la actual Ley de Servicio </w:t>
      </w:r>
      <w:r>
        <w:rPr>
          <w:spacing w:val="-6"/>
          <w:sz w:val="16"/>
          <w:szCs w:val="16"/>
          <w:lang w:val="es-ES_tradnl"/>
        </w:rPr>
        <w:t>P</w:t>
      </w:r>
      <w:r>
        <w:rPr>
          <w:rFonts w:cs="Times New Roman"/>
          <w:spacing w:val="-6"/>
          <w:sz w:val="16"/>
          <w:szCs w:val="16"/>
          <w:lang w:val="es-ES_tradnl"/>
        </w:rPr>
        <w:t>ú</w:t>
      </w:r>
      <w:r>
        <w:rPr>
          <w:spacing w:val="-6"/>
          <w:sz w:val="16"/>
          <w:szCs w:val="16"/>
          <w:lang w:val="es-ES_tradnl"/>
        </w:rPr>
        <w:t xml:space="preserve">blico, es decir a partir de Octubre del 2010, se procede al registro de las personas con impedimento para laborar, pues </w:t>
      </w:r>
      <w:r>
        <w:rPr>
          <w:spacing w:val="-7"/>
          <w:sz w:val="16"/>
          <w:szCs w:val="16"/>
          <w:lang w:val="es-ES_tradnl"/>
        </w:rPr>
        <w:t xml:space="preserve">no de otra manera hemos de entender cuando se certifica </w:t>
      </w:r>
      <w:r>
        <w:rPr>
          <w:spacing w:val="-6"/>
          <w:sz w:val="16"/>
          <w:szCs w:val="16"/>
          <w:lang w:val="es-ES_tradnl"/>
        </w:rPr>
        <w:t>aquello, se remite al art</w:t>
      </w:r>
      <w:r>
        <w:rPr>
          <w:rFonts w:cs="Times New Roman"/>
          <w:spacing w:val="-6"/>
          <w:sz w:val="16"/>
          <w:szCs w:val="16"/>
          <w:lang w:val="es-ES_tradnl"/>
        </w:rPr>
        <w:t>í</w:t>
      </w:r>
      <w:r>
        <w:rPr>
          <w:spacing w:val="-6"/>
          <w:sz w:val="16"/>
          <w:szCs w:val="16"/>
          <w:lang w:val="es-ES_tradnl"/>
        </w:rPr>
        <w:t>culo 14, inciso 2</w:t>
      </w:r>
      <w:r>
        <w:rPr>
          <w:rFonts w:cs="Times New Roman"/>
          <w:spacing w:val="-6"/>
          <w:sz w:val="16"/>
          <w:szCs w:val="16"/>
          <w:lang w:val="es-ES_tradnl"/>
        </w:rPr>
        <w:t>º</w:t>
      </w:r>
      <w:r>
        <w:rPr>
          <w:spacing w:val="-6"/>
          <w:sz w:val="16"/>
          <w:szCs w:val="16"/>
          <w:lang w:val="es-ES_tradnl"/>
        </w:rPr>
        <w:t xml:space="preserve"> del cuerpo legal en </w:t>
      </w:r>
      <w:r>
        <w:rPr>
          <w:spacing w:val="-4"/>
          <w:sz w:val="16"/>
          <w:szCs w:val="16"/>
          <w:lang w:val="es-ES_tradnl"/>
        </w:rPr>
        <w:t>cita; 8).- Si revisamos el texto del art</w:t>
      </w:r>
      <w:r>
        <w:rPr>
          <w:rFonts w:cs="Times New Roman"/>
          <w:spacing w:val="-4"/>
          <w:sz w:val="16"/>
          <w:szCs w:val="16"/>
          <w:lang w:val="es-ES_tradnl"/>
        </w:rPr>
        <w:t>í</w:t>
      </w:r>
      <w:r>
        <w:rPr>
          <w:spacing w:val="-4"/>
          <w:sz w:val="16"/>
          <w:szCs w:val="16"/>
          <w:lang w:val="es-ES_tradnl"/>
        </w:rPr>
        <w:t>culo 7 del C</w:t>
      </w:r>
      <w:r>
        <w:rPr>
          <w:rFonts w:cs="Times New Roman"/>
          <w:spacing w:val="-4"/>
          <w:sz w:val="16"/>
          <w:szCs w:val="16"/>
          <w:lang w:val="es-ES_tradnl"/>
        </w:rPr>
        <w:t>ó</w:t>
      </w:r>
      <w:r>
        <w:rPr>
          <w:spacing w:val="-4"/>
          <w:sz w:val="16"/>
          <w:szCs w:val="16"/>
          <w:lang w:val="es-ES_tradnl"/>
        </w:rPr>
        <w:t xml:space="preserve">digo Civil </w:t>
      </w:r>
      <w:r>
        <w:rPr>
          <w:spacing w:val="-6"/>
          <w:sz w:val="16"/>
          <w:szCs w:val="16"/>
          <w:lang w:val="es-ES_tradnl"/>
        </w:rPr>
        <w:t xml:space="preserve">encontramos que dispone: </w:t>
      </w:r>
      <w:r>
        <w:rPr>
          <w:rFonts w:cs="Times New Roman"/>
          <w:spacing w:val="-6"/>
          <w:sz w:val="16"/>
          <w:szCs w:val="16"/>
          <w:lang w:val="es-ES_tradnl"/>
        </w:rPr>
        <w:t>“</w:t>
      </w:r>
      <w:r>
        <w:rPr>
          <w:spacing w:val="-6"/>
          <w:sz w:val="16"/>
          <w:szCs w:val="16"/>
          <w:lang w:val="es-ES_tradnl"/>
        </w:rPr>
        <w:t xml:space="preserve">La ley no dispone sino para lo </w:t>
      </w:r>
      <w:r>
        <w:rPr>
          <w:spacing w:val="-7"/>
          <w:sz w:val="16"/>
          <w:szCs w:val="16"/>
          <w:lang w:val="es-ES_tradnl"/>
        </w:rPr>
        <w:t xml:space="preserve">venidero: no tiene efecto retroactivo; y en confl icto de una ley </w:t>
      </w:r>
      <w:r>
        <w:rPr>
          <w:spacing w:val="-9"/>
          <w:sz w:val="16"/>
          <w:szCs w:val="16"/>
          <w:lang w:val="es-ES_tradnl"/>
        </w:rPr>
        <w:t>posterior con otra anterior, se observar</w:t>
      </w:r>
      <w:r>
        <w:rPr>
          <w:rFonts w:cs="Times New Roman"/>
          <w:spacing w:val="-9"/>
          <w:sz w:val="16"/>
          <w:szCs w:val="16"/>
          <w:lang w:val="es-ES_tradnl"/>
        </w:rPr>
        <w:t>á</w:t>
      </w:r>
      <w:r>
        <w:rPr>
          <w:spacing w:val="-9"/>
          <w:sz w:val="16"/>
          <w:szCs w:val="16"/>
          <w:lang w:val="es-ES_tradnl"/>
        </w:rPr>
        <w:t xml:space="preserve">n las reglas que detalla; </w:t>
      </w:r>
      <w:r>
        <w:rPr>
          <w:spacing w:val="-6"/>
          <w:sz w:val="16"/>
          <w:szCs w:val="16"/>
          <w:lang w:val="es-ES_tradnl"/>
        </w:rPr>
        <w:t>9).- Entonces, si aplicamos la disposici</w:t>
      </w:r>
      <w:r>
        <w:rPr>
          <w:rFonts w:cs="Times New Roman"/>
          <w:spacing w:val="-6"/>
          <w:sz w:val="16"/>
          <w:szCs w:val="16"/>
          <w:lang w:val="es-ES_tradnl"/>
        </w:rPr>
        <w:t>ó</w:t>
      </w:r>
      <w:r>
        <w:rPr>
          <w:spacing w:val="-6"/>
          <w:sz w:val="16"/>
          <w:szCs w:val="16"/>
          <w:lang w:val="es-ES_tradnl"/>
        </w:rPr>
        <w:t xml:space="preserve">n transcrita, es obvio </w:t>
      </w:r>
      <w:r>
        <w:rPr>
          <w:spacing w:val="-9"/>
          <w:sz w:val="16"/>
          <w:szCs w:val="16"/>
          <w:lang w:val="es-ES_tradnl"/>
        </w:rPr>
        <w:t>que toda ley que se emita en el Ecuador, tendr</w:t>
      </w:r>
      <w:r>
        <w:rPr>
          <w:rFonts w:cs="Times New Roman"/>
          <w:spacing w:val="-9"/>
          <w:sz w:val="16"/>
          <w:szCs w:val="16"/>
          <w:lang w:val="es-ES_tradnl"/>
        </w:rPr>
        <w:t>á</w:t>
      </w:r>
      <w:r>
        <w:rPr>
          <w:spacing w:val="-9"/>
          <w:sz w:val="16"/>
          <w:szCs w:val="16"/>
          <w:lang w:val="es-ES_tradnl"/>
        </w:rPr>
        <w:t xml:space="preserve"> aplicaci</w:t>
      </w:r>
      <w:r>
        <w:rPr>
          <w:rFonts w:cs="Times New Roman"/>
          <w:spacing w:val="-9"/>
          <w:sz w:val="16"/>
          <w:szCs w:val="16"/>
          <w:lang w:val="es-ES_tradnl"/>
        </w:rPr>
        <w:t>ó</w:t>
      </w:r>
      <w:r>
        <w:rPr>
          <w:spacing w:val="-9"/>
          <w:sz w:val="16"/>
          <w:szCs w:val="16"/>
          <w:lang w:val="es-ES_tradnl"/>
        </w:rPr>
        <w:t xml:space="preserve">n para </w:t>
      </w:r>
      <w:r>
        <w:rPr>
          <w:spacing w:val="-5"/>
          <w:sz w:val="16"/>
          <w:szCs w:val="16"/>
          <w:lang w:val="es-ES_tradnl"/>
        </w:rPr>
        <w:t>lo venidero, no hay retroactividad, entendi</w:t>
      </w:r>
      <w:r>
        <w:rPr>
          <w:rFonts w:cs="Times New Roman"/>
          <w:spacing w:val="-5"/>
          <w:sz w:val="16"/>
          <w:szCs w:val="16"/>
          <w:lang w:val="es-ES_tradnl"/>
        </w:rPr>
        <w:t>é</w:t>
      </w:r>
      <w:r>
        <w:rPr>
          <w:spacing w:val="-5"/>
          <w:sz w:val="16"/>
          <w:szCs w:val="16"/>
          <w:lang w:val="es-ES_tradnl"/>
        </w:rPr>
        <w:t>ndose claro est</w:t>
      </w:r>
      <w:r>
        <w:rPr>
          <w:rFonts w:cs="Times New Roman"/>
          <w:spacing w:val="-5"/>
          <w:sz w:val="16"/>
          <w:szCs w:val="16"/>
          <w:lang w:val="es-ES_tradnl"/>
        </w:rPr>
        <w:t xml:space="preserve">á </w:t>
      </w:r>
      <w:r>
        <w:rPr>
          <w:spacing w:val="-8"/>
          <w:sz w:val="16"/>
          <w:szCs w:val="16"/>
          <w:lang w:val="es-ES_tradnl"/>
        </w:rPr>
        <w:t>con las excepciones previstas en la misma ley (</w:t>
      </w:r>
      <w:r>
        <w:rPr>
          <w:rFonts w:cs="Times New Roman"/>
          <w:spacing w:val="-8"/>
          <w:sz w:val="16"/>
          <w:szCs w:val="16"/>
          <w:lang w:val="es-ES_tradnl"/>
        </w:rPr>
        <w:t>…</w:t>
      </w:r>
      <w:r>
        <w:rPr>
          <w:spacing w:val="-8"/>
          <w:sz w:val="16"/>
          <w:szCs w:val="16"/>
          <w:lang w:val="es-ES_tradnl"/>
        </w:rPr>
        <w:t>) sic</w:t>
      </w:r>
      <w:r>
        <w:rPr>
          <w:spacing w:val="-8"/>
          <w:sz w:val="16"/>
          <w:szCs w:val="16"/>
          <w:vertAlign w:val="superscript"/>
          <w:lang w:val="es-ES_tradnl"/>
        </w:rPr>
        <w:t>12</w:t>
      </w:r>
      <w:r>
        <w:rPr>
          <w:spacing w:val="-8"/>
          <w:sz w:val="16"/>
          <w:szCs w:val="16"/>
          <w:lang w:val="es-ES_tradnl"/>
        </w:rPr>
        <w:t>.</w:t>
      </w:r>
    </w:p>
    <w:p w14:paraId="4F67B0BC" w14:textId="77777777" w:rsidR="00591D54" w:rsidRDefault="00591D54">
      <w:pPr>
        <w:shd w:val="clear" w:color="auto" w:fill="FFFFFF"/>
        <w:spacing w:before="197" w:line="216" w:lineRule="exact"/>
        <w:jc w:val="both"/>
      </w:pPr>
      <w:r>
        <w:rPr>
          <w:spacing w:val="-11"/>
          <w:sz w:val="18"/>
          <w:szCs w:val="18"/>
          <w:lang w:val="es-ES_tradnl"/>
        </w:rPr>
        <w:t xml:space="preserve">Conforme se puede apreciar de los numerales expuestos, se </w:t>
      </w:r>
      <w:r>
        <w:rPr>
          <w:spacing w:val="-8"/>
          <w:sz w:val="18"/>
          <w:szCs w:val="18"/>
          <w:lang w:val="es-ES_tradnl"/>
        </w:rPr>
        <w:t>desprende que la argumentaci</w:t>
      </w:r>
      <w:r>
        <w:rPr>
          <w:rFonts w:cs="Times New Roman"/>
          <w:spacing w:val="-8"/>
          <w:sz w:val="18"/>
          <w:szCs w:val="18"/>
          <w:lang w:val="es-ES_tradnl"/>
        </w:rPr>
        <w:t>ó</w:t>
      </w:r>
      <w:r>
        <w:rPr>
          <w:spacing w:val="-8"/>
          <w:sz w:val="18"/>
          <w:szCs w:val="18"/>
          <w:lang w:val="es-ES_tradnl"/>
        </w:rPr>
        <w:t xml:space="preserve">n realizada por los jueces, </w:t>
      </w:r>
      <w:r>
        <w:rPr>
          <w:spacing w:val="-5"/>
          <w:sz w:val="18"/>
          <w:szCs w:val="18"/>
          <w:lang w:val="es-ES_tradnl"/>
        </w:rPr>
        <w:t>centra el an</w:t>
      </w:r>
      <w:r>
        <w:rPr>
          <w:rFonts w:cs="Times New Roman"/>
          <w:spacing w:val="-5"/>
          <w:sz w:val="18"/>
          <w:szCs w:val="18"/>
          <w:lang w:val="es-ES_tradnl"/>
        </w:rPr>
        <w:t>á</w:t>
      </w:r>
      <w:r>
        <w:rPr>
          <w:spacing w:val="-5"/>
          <w:sz w:val="18"/>
          <w:szCs w:val="18"/>
          <w:lang w:val="es-ES_tradnl"/>
        </w:rPr>
        <w:t>lisis de la acci</w:t>
      </w:r>
      <w:r>
        <w:rPr>
          <w:rFonts w:cs="Times New Roman"/>
          <w:spacing w:val="-5"/>
          <w:sz w:val="18"/>
          <w:szCs w:val="18"/>
          <w:lang w:val="es-ES_tradnl"/>
        </w:rPr>
        <w:t>ó</w:t>
      </w:r>
      <w:r>
        <w:rPr>
          <w:spacing w:val="-5"/>
          <w:sz w:val="18"/>
          <w:szCs w:val="18"/>
          <w:lang w:val="es-ES_tradnl"/>
        </w:rPr>
        <w:t>n de protecci</w:t>
      </w:r>
      <w:r>
        <w:rPr>
          <w:rFonts w:cs="Times New Roman"/>
          <w:spacing w:val="-5"/>
          <w:sz w:val="18"/>
          <w:szCs w:val="18"/>
          <w:lang w:val="es-ES_tradnl"/>
        </w:rPr>
        <w:t>ó</w:t>
      </w:r>
      <w:r>
        <w:rPr>
          <w:spacing w:val="-5"/>
          <w:sz w:val="18"/>
          <w:szCs w:val="18"/>
          <w:lang w:val="es-ES_tradnl"/>
        </w:rPr>
        <w:t xml:space="preserve">n desde una </w:t>
      </w:r>
      <w:r>
        <w:rPr>
          <w:rFonts w:cs="Times New Roman"/>
          <w:spacing w:val="-7"/>
          <w:sz w:val="18"/>
          <w:szCs w:val="18"/>
          <w:lang w:val="es-ES_tradnl"/>
        </w:rPr>
        <w:t>ó</w:t>
      </w:r>
      <w:r>
        <w:rPr>
          <w:spacing w:val="-7"/>
          <w:sz w:val="18"/>
          <w:szCs w:val="18"/>
          <w:lang w:val="es-ES_tradnl"/>
        </w:rPr>
        <w:t xml:space="preserve">ptica legalista, por cuanto, menciona normas contenidas </w:t>
      </w:r>
      <w:r>
        <w:rPr>
          <w:spacing w:val="-4"/>
          <w:sz w:val="18"/>
          <w:szCs w:val="18"/>
          <w:lang w:val="es-ES_tradnl"/>
        </w:rPr>
        <w:t>en la Ley de Modernizaci</w:t>
      </w:r>
      <w:r>
        <w:rPr>
          <w:rFonts w:cs="Times New Roman"/>
          <w:spacing w:val="-4"/>
          <w:sz w:val="18"/>
          <w:szCs w:val="18"/>
          <w:lang w:val="es-ES_tradnl"/>
        </w:rPr>
        <w:t>ó</w:t>
      </w:r>
      <w:r>
        <w:rPr>
          <w:spacing w:val="-4"/>
          <w:sz w:val="18"/>
          <w:szCs w:val="18"/>
          <w:lang w:val="es-ES_tradnl"/>
        </w:rPr>
        <w:t xml:space="preserve">n, Ley para la Reforma a las </w:t>
      </w:r>
      <w:r>
        <w:rPr>
          <w:sz w:val="18"/>
          <w:szCs w:val="18"/>
          <w:lang w:val="es-ES_tradnl"/>
        </w:rPr>
        <w:t>Finanzas P</w:t>
      </w:r>
      <w:r>
        <w:rPr>
          <w:rFonts w:cs="Times New Roman"/>
          <w:sz w:val="18"/>
          <w:szCs w:val="18"/>
          <w:lang w:val="es-ES_tradnl"/>
        </w:rPr>
        <w:t>ú</w:t>
      </w:r>
      <w:r>
        <w:rPr>
          <w:sz w:val="18"/>
          <w:szCs w:val="18"/>
          <w:lang w:val="es-ES_tradnl"/>
        </w:rPr>
        <w:t>blicas, Ley Org</w:t>
      </w:r>
      <w:r>
        <w:rPr>
          <w:rFonts w:cs="Times New Roman"/>
          <w:sz w:val="18"/>
          <w:szCs w:val="18"/>
          <w:lang w:val="es-ES_tradnl"/>
        </w:rPr>
        <w:t>á</w:t>
      </w:r>
      <w:r>
        <w:rPr>
          <w:sz w:val="18"/>
          <w:szCs w:val="18"/>
          <w:lang w:val="es-ES_tradnl"/>
        </w:rPr>
        <w:t>nica del Servicio P</w:t>
      </w:r>
      <w:r>
        <w:rPr>
          <w:rFonts w:cs="Times New Roman"/>
          <w:sz w:val="18"/>
          <w:szCs w:val="18"/>
          <w:lang w:val="es-ES_tradnl"/>
        </w:rPr>
        <w:t>ú</w:t>
      </w:r>
      <w:r>
        <w:rPr>
          <w:sz w:val="18"/>
          <w:szCs w:val="18"/>
          <w:lang w:val="es-ES_tradnl"/>
        </w:rPr>
        <w:t xml:space="preserve">blico </w:t>
      </w:r>
      <w:r>
        <w:rPr>
          <w:spacing w:val="-3"/>
          <w:sz w:val="18"/>
          <w:szCs w:val="18"/>
          <w:lang w:val="es-ES_tradnl"/>
        </w:rPr>
        <w:t>y Carrera Administrativa, y Ley Org</w:t>
      </w:r>
      <w:r>
        <w:rPr>
          <w:rFonts w:cs="Times New Roman"/>
          <w:spacing w:val="-3"/>
          <w:sz w:val="18"/>
          <w:szCs w:val="18"/>
          <w:lang w:val="es-ES_tradnl"/>
        </w:rPr>
        <w:t>á</w:t>
      </w:r>
      <w:r>
        <w:rPr>
          <w:spacing w:val="-3"/>
          <w:sz w:val="18"/>
          <w:szCs w:val="18"/>
          <w:lang w:val="es-ES_tradnl"/>
        </w:rPr>
        <w:t xml:space="preserve">nica del Servicio </w:t>
      </w:r>
      <w:r>
        <w:rPr>
          <w:spacing w:val="-2"/>
          <w:sz w:val="18"/>
          <w:szCs w:val="18"/>
          <w:lang w:val="es-ES_tradnl"/>
        </w:rPr>
        <w:t>P</w:t>
      </w:r>
      <w:r>
        <w:rPr>
          <w:rFonts w:cs="Times New Roman"/>
          <w:spacing w:val="-2"/>
          <w:sz w:val="18"/>
          <w:szCs w:val="18"/>
          <w:lang w:val="es-ES_tradnl"/>
        </w:rPr>
        <w:t>ú</w:t>
      </w:r>
      <w:r>
        <w:rPr>
          <w:spacing w:val="-2"/>
          <w:sz w:val="18"/>
          <w:szCs w:val="18"/>
          <w:lang w:val="es-ES_tradnl"/>
        </w:rPr>
        <w:t>blico y C</w:t>
      </w:r>
      <w:r>
        <w:rPr>
          <w:rFonts w:cs="Times New Roman"/>
          <w:spacing w:val="-2"/>
          <w:sz w:val="18"/>
          <w:szCs w:val="18"/>
          <w:lang w:val="es-ES_tradnl"/>
        </w:rPr>
        <w:t>ó</w:t>
      </w:r>
      <w:r>
        <w:rPr>
          <w:spacing w:val="-2"/>
          <w:sz w:val="18"/>
          <w:szCs w:val="18"/>
          <w:lang w:val="es-ES_tradnl"/>
        </w:rPr>
        <w:t>digo Civil, prevaleciendo la aplicaci</w:t>
      </w:r>
      <w:r>
        <w:rPr>
          <w:rFonts w:cs="Times New Roman"/>
          <w:spacing w:val="-2"/>
          <w:sz w:val="18"/>
          <w:szCs w:val="18"/>
          <w:lang w:val="es-ES_tradnl"/>
        </w:rPr>
        <w:t>ó</w:t>
      </w:r>
      <w:r>
        <w:rPr>
          <w:spacing w:val="-2"/>
          <w:sz w:val="18"/>
          <w:szCs w:val="18"/>
          <w:lang w:val="es-ES_tradnl"/>
        </w:rPr>
        <w:t xml:space="preserve">n y la </w:t>
      </w:r>
      <w:r>
        <w:rPr>
          <w:spacing w:val="-6"/>
          <w:sz w:val="18"/>
          <w:szCs w:val="18"/>
          <w:lang w:val="es-ES_tradnl"/>
        </w:rPr>
        <w:t>ex</w:t>
      </w:r>
      <w:r>
        <w:rPr>
          <w:rFonts w:cs="Times New Roman"/>
          <w:spacing w:val="-6"/>
          <w:sz w:val="18"/>
          <w:szCs w:val="18"/>
          <w:lang w:val="es-ES_tradnl"/>
        </w:rPr>
        <w:t>é</w:t>
      </w:r>
      <w:r>
        <w:rPr>
          <w:spacing w:val="-6"/>
          <w:sz w:val="18"/>
          <w:szCs w:val="18"/>
          <w:lang w:val="es-ES_tradnl"/>
        </w:rPr>
        <w:t>gesis normativa ordinaria sobre la constitucional.</w:t>
      </w:r>
    </w:p>
    <w:p w14:paraId="4F67B0BD" w14:textId="77777777" w:rsidR="00591D54" w:rsidRDefault="00591D54">
      <w:pPr>
        <w:shd w:val="clear" w:color="auto" w:fill="FFFFFF"/>
        <w:spacing w:before="192" w:line="216" w:lineRule="exact"/>
        <w:jc w:val="both"/>
      </w:pPr>
      <w:r>
        <w:rPr>
          <w:spacing w:val="-8"/>
          <w:sz w:val="18"/>
          <w:szCs w:val="18"/>
          <w:lang w:val="es-ES_tradnl"/>
        </w:rPr>
        <w:t>De esta manera, la Corte Constitucional en la sentencia N.</w:t>
      </w:r>
      <w:r>
        <w:rPr>
          <w:rFonts w:cs="Times New Roman"/>
          <w:spacing w:val="-8"/>
          <w:sz w:val="18"/>
          <w:szCs w:val="18"/>
          <w:lang w:val="es-ES_tradnl"/>
        </w:rPr>
        <w:t xml:space="preserve">º </w:t>
      </w:r>
      <w:r>
        <w:rPr>
          <w:spacing w:val="-7"/>
          <w:sz w:val="18"/>
          <w:szCs w:val="18"/>
          <w:lang w:val="es-ES_tradnl"/>
        </w:rPr>
        <w:t xml:space="preserve">223-14-SEP-CC del 26 de noviembre de 2014 en el caso </w:t>
      </w:r>
      <w:r>
        <w:rPr>
          <w:sz w:val="18"/>
          <w:szCs w:val="18"/>
          <w:lang w:val="es-ES_tradnl"/>
        </w:rPr>
        <w:t>N.</w:t>
      </w:r>
      <w:r>
        <w:rPr>
          <w:rFonts w:cs="Times New Roman"/>
          <w:sz w:val="18"/>
          <w:szCs w:val="18"/>
          <w:lang w:val="es-ES_tradnl"/>
        </w:rPr>
        <w:t>º</w:t>
      </w:r>
      <w:r>
        <w:rPr>
          <w:sz w:val="18"/>
          <w:szCs w:val="18"/>
          <w:lang w:val="es-ES_tradnl"/>
        </w:rPr>
        <w:t xml:space="preserve"> 1240-12-EP estableci</w:t>
      </w:r>
      <w:r>
        <w:rPr>
          <w:rFonts w:cs="Times New Roman"/>
          <w:sz w:val="18"/>
          <w:szCs w:val="18"/>
          <w:lang w:val="es-ES_tradnl"/>
        </w:rPr>
        <w:t>ó</w:t>
      </w:r>
      <w:r>
        <w:rPr>
          <w:sz w:val="18"/>
          <w:szCs w:val="18"/>
          <w:lang w:val="es-ES_tradnl"/>
        </w:rPr>
        <w:t>:</w:t>
      </w:r>
    </w:p>
    <w:p w14:paraId="4F67B0BE" w14:textId="77777777" w:rsidR="00591D54" w:rsidRDefault="00591D54">
      <w:pPr>
        <w:shd w:val="clear" w:color="auto" w:fill="FFFFFF"/>
        <w:spacing w:before="202" w:line="216" w:lineRule="exact"/>
        <w:ind w:left="283"/>
        <w:jc w:val="both"/>
      </w:pPr>
      <w:r>
        <w:rPr>
          <w:spacing w:val="-5"/>
          <w:sz w:val="16"/>
          <w:szCs w:val="16"/>
          <w:lang w:val="es-ES_tradnl"/>
        </w:rPr>
        <w:t>(</w:t>
      </w:r>
      <w:r>
        <w:rPr>
          <w:rFonts w:cs="Times New Roman"/>
          <w:spacing w:val="-5"/>
          <w:sz w:val="16"/>
          <w:szCs w:val="16"/>
          <w:lang w:val="es-ES_tradnl"/>
        </w:rPr>
        <w:t>…</w:t>
      </w:r>
      <w:r>
        <w:rPr>
          <w:spacing w:val="-5"/>
          <w:sz w:val="16"/>
          <w:szCs w:val="16"/>
          <w:lang w:val="es-ES_tradnl"/>
        </w:rPr>
        <w:t>) siendo claro que los presupuestos f</w:t>
      </w:r>
      <w:r>
        <w:rPr>
          <w:rFonts w:cs="Times New Roman"/>
          <w:spacing w:val="-5"/>
          <w:sz w:val="16"/>
          <w:szCs w:val="16"/>
          <w:lang w:val="es-ES_tradnl"/>
        </w:rPr>
        <w:t>á</w:t>
      </w:r>
      <w:r>
        <w:rPr>
          <w:spacing w:val="-5"/>
          <w:sz w:val="16"/>
          <w:szCs w:val="16"/>
          <w:lang w:val="es-ES_tradnl"/>
        </w:rPr>
        <w:t>cticos previstos en la Constituci</w:t>
      </w:r>
      <w:r>
        <w:rPr>
          <w:rFonts w:cs="Times New Roman"/>
          <w:spacing w:val="-5"/>
          <w:sz w:val="16"/>
          <w:szCs w:val="16"/>
          <w:lang w:val="es-ES_tradnl"/>
        </w:rPr>
        <w:t>ó</w:t>
      </w:r>
      <w:r>
        <w:rPr>
          <w:spacing w:val="-5"/>
          <w:sz w:val="16"/>
          <w:szCs w:val="16"/>
          <w:lang w:val="es-ES_tradnl"/>
        </w:rPr>
        <w:t>n de la Rep</w:t>
      </w:r>
      <w:r>
        <w:rPr>
          <w:rFonts w:cs="Times New Roman"/>
          <w:spacing w:val="-5"/>
          <w:sz w:val="16"/>
          <w:szCs w:val="16"/>
          <w:lang w:val="es-ES_tradnl"/>
        </w:rPr>
        <w:t>ú</w:t>
      </w:r>
      <w:r>
        <w:rPr>
          <w:spacing w:val="-5"/>
          <w:sz w:val="16"/>
          <w:szCs w:val="16"/>
          <w:lang w:val="es-ES_tradnl"/>
        </w:rPr>
        <w:t>blica, Ley Org</w:t>
      </w:r>
      <w:r>
        <w:rPr>
          <w:rFonts w:cs="Times New Roman"/>
          <w:spacing w:val="-5"/>
          <w:sz w:val="16"/>
          <w:szCs w:val="16"/>
          <w:lang w:val="es-ES_tradnl"/>
        </w:rPr>
        <w:t>á</w:t>
      </w:r>
      <w:r>
        <w:rPr>
          <w:spacing w:val="-5"/>
          <w:sz w:val="16"/>
          <w:szCs w:val="16"/>
          <w:lang w:val="es-ES_tradnl"/>
        </w:rPr>
        <w:t>nica de Garant</w:t>
      </w:r>
      <w:r>
        <w:rPr>
          <w:rFonts w:cs="Times New Roman"/>
          <w:spacing w:val="-5"/>
          <w:sz w:val="16"/>
          <w:szCs w:val="16"/>
          <w:lang w:val="es-ES_tradnl"/>
        </w:rPr>
        <w:t>í</w:t>
      </w:r>
      <w:r>
        <w:rPr>
          <w:spacing w:val="-5"/>
          <w:sz w:val="16"/>
          <w:szCs w:val="16"/>
          <w:lang w:val="es-ES_tradnl"/>
        </w:rPr>
        <w:t>as Jurisdiccionales y Control Constitucional, as</w:t>
      </w:r>
      <w:r>
        <w:rPr>
          <w:rFonts w:cs="Times New Roman"/>
          <w:spacing w:val="-5"/>
          <w:sz w:val="16"/>
          <w:szCs w:val="16"/>
          <w:lang w:val="es-ES_tradnl"/>
        </w:rPr>
        <w:t>í</w:t>
      </w:r>
      <w:r>
        <w:rPr>
          <w:spacing w:val="-5"/>
          <w:sz w:val="16"/>
          <w:szCs w:val="16"/>
          <w:lang w:val="es-ES_tradnl"/>
        </w:rPr>
        <w:t xml:space="preserve"> como tambi</w:t>
      </w:r>
      <w:r>
        <w:rPr>
          <w:rFonts w:cs="Times New Roman"/>
          <w:spacing w:val="-5"/>
          <w:sz w:val="16"/>
          <w:szCs w:val="16"/>
          <w:lang w:val="es-ES_tradnl"/>
        </w:rPr>
        <w:t>é</w:t>
      </w:r>
      <w:r>
        <w:rPr>
          <w:spacing w:val="-5"/>
          <w:sz w:val="16"/>
          <w:szCs w:val="16"/>
          <w:lang w:val="es-ES_tradnl"/>
        </w:rPr>
        <w:t>n en  la  jurisprudencia  de   la   Corte   Constitucional  para  la</w:t>
      </w:r>
    </w:p>
    <w:p w14:paraId="4F67B0BF" w14:textId="77777777" w:rsidR="00591D54" w:rsidRDefault="00591D54">
      <w:pPr>
        <w:shd w:val="clear" w:color="auto" w:fill="FFFFFF"/>
        <w:spacing w:before="590" w:line="178" w:lineRule="exact"/>
        <w:ind w:left="144" w:hanging="144"/>
        <w:jc w:val="both"/>
      </w:pPr>
      <w:r>
        <w:rPr>
          <w:spacing w:val="-4"/>
          <w:sz w:val="16"/>
          <w:szCs w:val="16"/>
          <w:vertAlign w:val="superscript"/>
          <w:lang w:val="es-ES_tradnl"/>
        </w:rPr>
        <w:t>12</w:t>
      </w:r>
      <w:r>
        <w:rPr>
          <w:spacing w:val="-4"/>
          <w:sz w:val="16"/>
          <w:szCs w:val="16"/>
          <w:lang w:val="es-ES_tradnl"/>
        </w:rPr>
        <w:t xml:space="preserve"> </w:t>
      </w:r>
      <w:r>
        <w:rPr>
          <w:spacing w:val="-7"/>
          <w:sz w:val="16"/>
          <w:szCs w:val="16"/>
          <w:lang w:val="es-ES_tradnl"/>
        </w:rPr>
        <w:t xml:space="preserve">Sala Especializada de lo Civil, Mercantil, Inquilinato y Materias </w:t>
      </w:r>
      <w:r>
        <w:rPr>
          <w:spacing w:val="-10"/>
          <w:sz w:val="16"/>
          <w:szCs w:val="16"/>
          <w:lang w:val="es-ES_tradnl"/>
        </w:rPr>
        <w:t>Residuales de la Corte Provincial de Justicia del Ca</w:t>
      </w:r>
      <w:r>
        <w:rPr>
          <w:rFonts w:cs="Times New Roman"/>
          <w:spacing w:val="-10"/>
          <w:sz w:val="16"/>
          <w:szCs w:val="16"/>
          <w:lang w:val="es-ES_tradnl"/>
        </w:rPr>
        <w:t>ñ</w:t>
      </w:r>
      <w:r>
        <w:rPr>
          <w:spacing w:val="-10"/>
          <w:sz w:val="16"/>
          <w:szCs w:val="16"/>
          <w:lang w:val="es-ES_tradnl"/>
        </w:rPr>
        <w:t>ar, sentencia emitida el 07 de septiembre de 2012 a las 12:20 en la acci</w:t>
      </w:r>
      <w:r>
        <w:rPr>
          <w:rFonts w:cs="Times New Roman"/>
          <w:spacing w:val="-10"/>
          <w:sz w:val="16"/>
          <w:szCs w:val="16"/>
          <w:lang w:val="es-ES_tradnl"/>
        </w:rPr>
        <w:t>ó</w:t>
      </w:r>
      <w:r>
        <w:rPr>
          <w:spacing w:val="-10"/>
          <w:sz w:val="16"/>
          <w:szCs w:val="16"/>
          <w:lang w:val="es-ES_tradnl"/>
        </w:rPr>
        <w:t xml:space="preserve">n de </w:t>
      </w:r>
      <w:r>
        <w:rPr>
          <w:sz w:val="16"/>
          <w:szCs w:val="16"/>
          <w:lang w:val="es-ES_tradnl"/>
        </w:rPr>
        <w:t>protecci</w:t>
      </w:r>
      <w:r>
        <w:rPr>
          <w:rFonts w:cs="Times New Roman"/>
          <w:sz w:val="16"/>
          <w:szCs w:val="16"/>
          <w:lang w:val="es-ES_tradnl"/>
        </w:rPr>
        <w:t>ó</w:t>
      </w:r>
      <w:r>
        <w:rPr>
          <w:sz w:val="16"/>
          <w:szCs w:val="16"/>
          <w:lang w:val="es-ES_tradnl"/>
        </w:rPr>
        <w:t>n No. 2012-467.</w:t>
      </w:r>
    </w:p>
    <w:p w14:paraId="4F67B0C0" w14:textId="77777777" w:rsidR="00591D54" w:rsidRDefault="00591D54">
      <w:pPr>
        <w:shd w:val="clear" w:color="auto" w:fill="FFFFFF"/>
        <w:spacing w:before="590" w:line="178" w:lineRule="exact"/>
        <w:ind w:left="144" w:hanging="144"/>
        <w:jc w:val="both"/>
        <w:sectPr w:rsidR="00591D54">
          <w:type w:val="continuous"/>
          <w:pgSz w:w="11909" w:h="16834"/>
          <w:pgMar w:top="1356" w:right="1309" w:bottom="360" w:left="1308" w:header="720" w:footer="720" w:gutter="0"/>
          <w:cols w:num="2" w:space="720" w:equalWidth="0">
            <w:col w:w="4305" w:space="682"/>
            <w:col w:w="4305"/>
          </w:cols>
          <w:noEndnote/>
        </w:sectPr>
      </w:pPr>
    </w:p>
    <w:p w14:paraId="4F67B0C1" w14:textId="77777777" w:rsidR="00591D54" w:rsidRDefault="00591D54">
      <w:pPr>
        <w:shd w:val="clear" w:color="auto" w:fill="FFFFFF"/>
        <w:tabs>
          <w:tab w:val="left" w:pos="4814"/>
        </w:tabs>
        <w:spacing w:after="226"/>
        <w:ind w:left="14"/>
      </w:pPr>
      <w:r>
        <w:rPr>
          <w:b/>
          <w:bCs/>
          <w:sz w:val="18"/>
          <w:szCs w:val="18"/>
          <w:lang w:val="es-ES_tradnl"/>
        </w:rPr>
        <w:t xml:space="preserve">162 -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0C2" w14:textId="77777777" w:rsidR="00591D54" w:rsidRDefault="00591D54">
      <w:pPr>
        <w:shd w:val="clear" w:color="auto" w:fill="FFFFFF"/>
        <w:tabs>
          <w:tab w:val="left" w:pos="4814"/>
        </w:tabs>
        <w:spacing w:after="226"/>
        <w:ind w:left="14"/>
        <w:sectPr w:rsidR="00591D54">
          <w:pgSz w:w="11909" w:h="16834"/>
          <w:pgMar w:top="1356" w:right="1304" w:bottom="360" w:left="1308" w:header="720" w:footer="720" w:gutter="0"/>
          <w:cols w:space="60"/>
          <w:noEndnote/>
        </w:sectPr>
      </w:pPr>
    </w:p>
    <w:p w14:paraId="4F67B0C3" w14:textId="77777777" w:rsidR="00591D54" w:rsidRDefault="00591D54">
      <w:pPr>
        <w:shd w:val="clear" w:color="auto" w:fill="FFFFFF"/>
        <w:spacing w:line="221" w:lineRule="exact"/>
        <w:ind w:left="283"/>
        <w:jc w:val="both"/>
      </w:pPr>
      <w:r>
        <w:rPr>
          <w:spacing w:val="-2"/>
          <w:sz w:val="16"/>
          <w:szCs w:val="16"/>
          <w:lang w:val="es-ES_tradnl"/>
        </w:rPr>
        <w:t>procedencia de la acci</w:t>
      </w:r>
      <w:r>
        <w:rPr>
          <w:rFonts w:cs="Times New Roman"/>
          <w:spacing w:val="-2"/>
          <w:sz w:val="16"/>
          <w:szCs w:val="16"/>
          <w:lang w:val="es-ES_tradnl"/>
        </w:rPr>
        <w:t>ó</w:t>
      </w:r>
      <w:r>
        <w:rPr>
          <w:spacing w:val="-2"/>
          <w:sz w:val="16"/>
          <w:szCs w:val="16"/>
          <w:lang w:val="es-ES_tradnl"/>
        </w:rPr>
        <w:t>n de protecci</w:t>
      </w:r>
      <w:r>
        <w:rPr>
          <w:rFonts w:cs="Times New Roman"/>
          <w:spacing w:val="-2"/>
          <w:sz w:val="16"/>
          <w:szCs w:val="16"/>
          <w:lang w:val="es-ES_tradnl"/>
        </w:rPr>
        <w:t>ó</w:t>
      </w:r>
      <w:r>
        <w:rPr>
          <w:spacing w:val="-2"/>
          <w:sz w:val="16"/>
          <w:szCs w:val="16"/>
          <w:lang w:val="es-ES_tradnl"/>
        </w:rPr>
        <w:t xml:space="preserve">n, no tuvieron lugar </w:t>
      </w:r>
      <w:r>
        <w:rPr>
          <w:spacing w:val="-6"/>
          <w:sz w:val="16"/>
          <w:szCs w:val="16"/>
          <w:lang w:val="es-ES_tradnl"/>
        </w:rPr>
        <w:t xml:space="preserve">en el caso </w:t>
      </w:r>
      <w:r>
        <w:rPr>
          <w:i/>
          <w:iCs/>
          <w:spacing w:val="-6"/>
          <w:sz w:val="16"/>
          <w:szCs w:val="16"/>
          <w:lang w:val="es-ES_tradnl"/>
        </w:rPr>
        <w:t>sub examine</w:t>
      </w:r>
      <w:r>
        <w:rPr>
          <w:spacing w:val="-6"/>
          <w:sz w:val="16"/>
          <w:szCs w:val="16"/>
          <w:lang w:val="es-ES_tradnl"/>
        </w:rPr>
        <w:t xml:space="preserve">, principalmente por cuanto no se </w:t>
      </w:r>
      <w:r>
        <w:rPr>
          <w:spacing w:val="-8"/>
          <w:sz w:val="16"/>
          <w:szCs w:val="16"/>
          <w:lang w:val="es-ES_tradnl"/>
        </w:rPr>
        <w:t>desprendi</w:t>
      </w:r>
      <w:r>
        <w:rPr>
          <w:rFonts w:cs="Times New Roman"/>
          <w:spacing w:val="-8"/>
          <w:sz w:val="16"/>
          <w:szCs w:val="16"/>
          <w:lang w:val="es-ES_tradnl"/>
        </w:rPr>
        <w:t>ó</w:t>
      </w:r>
      <w:r>
        <w:rPr>
          <w:spacing w:val="-8"/>
          <w:sz w:val="16"/>
          <w:szCs w:val="16"/>
          <w:lang w:val="es-ES_tradnl"/>
        </w:rPr>
        <w:t xml:space="preserve"> ninguna vulneraci</w:t>
      </w:r>
      <w:r>
        <w:rPr>
          <w:rFonts w:cs="Times New Roman"/>
          <w:spacing w:val="-8"/>
          <w:sz w:val="16"/>
          <w:szCs w:val="16"/>
          <w:lang w:val="es-ES_tradnl"/>
        </w:rPr>
        <w:t>ó</w:t>
      </w:r>
      <w:r>
        <w:rPr>
          <w:spacing w:val="-8"/>
          <w:sz w:val="16"/>
          <w:szCs w:val="16"/>
          <w:lang w:val="es-ES_tradnl"/>
        </w:rPr>
        <w:t xml:space="preserve">n de derechos constitucionales, </w:t>
      </w:r>
      <w:r>
        <w:rPr>
          <w:spacing w:val="-9"/>
          <w:sz w:val="16"/>
          <w:szCs w:val="16"/>
          <w:lang w:val="es-ES_tradnl"/>
        </w:rPr>
        <w:t>conforme lo se</w:t>
      </w:r>
      <w:r>
        <w:rPr>
          <w:rFonts w:cs="Times New Roman"/>
          <w:spacing w:val="-9"/>
          <w:sz w:val="16"/>
          <w:szCs w:val="16"/>
          <w:lang w:val="es-ES_tradnl"/>
        </w:rPr>
        <w:t>ñ</w:t>
      </w:r>
      <w:r>
        <w:rPr>
          <w:spacing w:val="-9"/>
          <w:sz w:val="16"/>
          <w:szCs w:val="16"/>
          <w:lang w:val="es-ES_tradnl"/>
        </w:rPr>
        <w:t xml:space="preserve">alado y por cuanto el tema central del caso sub </w:t>
      </w:r>
      <w:r>
        <w:rPr>
          <w:spacing w:val="-7"/>
          <w:sz w:val="16"/>
          <w:szCs w:val="16"/>
          <w:lang w:val="es-ES_tradnl"/>
        </w:rPr>
        <w:t>examine radic</w:t>
      </w:r>
      <w:r>
        <w:rPr>
          <w:rFonts w:cs="Times New Roman"/>
          <w:spacing w:val="-7"/>
          <w:sz w:val="16"/>
          <w:szCs w:val="16"/>
          <w:lang w:val="es-ES_tradnl"/>
        </w:rPr>
        <w:t>ó</w:t>
      </w:r>
      <w:r>
        <w:rPr>
          <w:spacing w:val="-7"/>
          <w:sz w:val="16"/>
          <w:szCs w:val="16"/>
          <w:lang w:val="es-ES_tradnl"/>
        </w:rPr>
        <w:t xml:space="preserve"> en un asunto de interpretaci</w:t>
      </w:r>
      <w:r>
        <w:rPr>
          <w:rFonts w:cs="Times New Roman"/>
          <w:spacing w:val="-7"/>
          <w:sz w:val="16"/>
          <w:szCs w:val="16"/>
          <w:lang w:val="es-ES_tradnl"/>
        </w:rPr>
        <w:t>ó</w:t>
      </w:r>
      <w:r>
        <w:rPr>
          <w:spacing w:val="-7"/>
          <w:sz w:val="16"/>
          <w:szCs w:val="16"/>
          <w:lang w:val="es-ES_tradnl"/>
        </w:rPr>
        <w:t>n y aplicaci</w:t>
      </w:r>
      <w:r>
        <w:rPr>
          <w:rFonts w:cs="Times New Roman"/>
          <w:spacing w:val="-7"/>
          <w:sz w:val="16"/>
          <w:szCs w:val="16"/>
          <w:lang w:val="es-ES_tradnl"/>
        </w:rPr>
        <w:t>ó</w:t>
      </w:r>
      <w:r>
        <w:rPr>
          <w:spacing w:val="-7"/>
          <w:sz w:val="16"/>
          <w:szCs w:val="16"/>
          <w:lang w:val="es-ES_tradnl"/>
        </w:rPr>
        <w:t xml:space="preserve">n de </w:t>
      </w:r>
      <w:r>
        <w:rPr>
          <w:spacing w:val="-8"/>
          <w:sz w:val="16"/>
          <w:szCs w:val="16"/>
          <w:lang w:val="es-ES_tradnl"/>
        </w:rPr>
        <w:t xml:space="preserve">disposiciones legales, esta Corte considera que es totalmente </w:t>
      </w:r>
      <w:r>
        <w:rPr>
          <w:spacing w:val="-6"/>
          <w:sz w:val="16"/>
          <w:szCs w:val="16"/>
          <w:lang w:val="es-ES_tradnl"/>
        </w:rPr>
        <w:t>l</w:t>
      </w:r>
      <w:r>
        <w:rPr>
          <w:rFonts w:cs="Times New Roman"/>
          <w:spacing w:val="-6"/>
          <w:sz w:val="16"/>
          <w:szCs w:val="16"/>
          <w:lang w:val="es-ES_tradnl"/>
        </w:rPr>
        <w:t>ó</w:t>
      </w:r>
      <w:r>
        <w:rPr>
          <w:spacing w:val="-6"/>
          <w:sz w:val="16"/>
          <w:szCs w:val="16"/>
          <w:lang w:val="es-ES_tradnl"/>
        </w:rPr>
        <w:t>gica y acertada la decisi</w:t>
      </w:r>
      <w:r>
        <w:rPr>
          <w:rFonts w:cs="Times New Roman"/>
          <w:spacing w:val="-6"/>
          <w:sz w:val="16"/>
          <w:szCs w:val="16"/>
          <w:lang w:val="es-ES_tradnl"/>
        </w:rPr>
        <w:t>ó</w:t>
      </w:r>
      <w:r>
        <w:rPr>
          <w:spacing w:val="-6"/>
          <w:sz w:val="16"/>
          <w:szCs w:val="16"/>
          <w:lang w:val="es-ES_tradnl"/>
        </w:rPr>
        <w:t xml:space="preserve">n </w:t>
      </w:r>
      <w:r>
        <w:rPr>
          <w:rFonts w:cs="Times New Roman"/>
          <w:spacing w:val="-6"/>
          <w:sz w:val="16"/>
          <w:szCs w:val="16"/>
          <w:lang w:val="es-ES_tradnl"/>
        </w:rPr>
        <w:t>“</w:t>
      </w:r>
      <w:r>
        <w:rPr>
          <w:spacing w:val="-6"/>
          <w:sz w:val="16"/>
          <w:szCs w:val="16"/>
          <w:lang w:val="es-ES_tradnl"/>
        </w:rPr>
        <w:t>[</w:t>
      </w:r>
      <w:r>
        <w:rPr>
          <w:rFonts w:cs="Times New Roman"/>
          <w:spacing w:val="-6"/>
          <w:sz w:val="16"/>
          <w:szCs w:val="16"/>
          <w:lang w:val="es-ES_tradnl"/>
        </w:rPr>
        <w:t>…</w:t>
      </w:r>
      <w:r>
        <w:rPr>
          <w:spacing w:val="-6"/>
          <w:sz w:val="16"/>
          <w:szCs w:val="16"/>
          <w:lang w:val="es-ES_tradnl"/>
        </w:rPr>
        <w:t xml:space="preserve">] de confirmar en todas sus </w:t>
      </w:r>
      <w:r>
        <w:rPr>
          <w:spacing w:val="-8"/>
          <w:sz w:val="16"/>
          <w:szCs w:val="16"/>
          <w:lang w:val="es-ES_tradnl"/>
        </w:rPr>
        <w:t>partes la sentencia recurrida que niega la acci</w:t>
      </w:r>
      <w:r>
        <w:rPr>
          <w:rFonts w:cs="Times New Roman"/>
          <w:spacing w:val="-8"/>
          <w:sz w:val="16"/>
          <w:szCs w:val="16"/>
          <w:lang w:val="es-ES_tradnl"/>
        </w:rPr>
        <w:t>ó</w:t>
      </w:r>
      <w:r>
        <w:rPr>
          <w:spacing w:val="-8"/>
          <w:sz w:val="16"/>
          <w:szCs w:val="16"/>
          <w:lang w:val="es-ES_tradnl"/>
        </w:rPr>
        <w:t>n de protecci</w:t>
      </w:r>
      <w:r>
        <w:rPr>
          <w:rFonts w:cs="Times New Roman"/>
          <w:spacing w:val="-8"/>
          <w:sz w:val="16"/>
          <w:szCs w:val="16"/>
          <w:lang w:val="es-ES_tradnl"/>
        </w:rPr>
        <w:t>ó</w:t>
      </w:r>
      <w:r>
        <w:rPr>
          <w:spacing w:val="-8"/>
          <w:sz w:val="16"/>
          <w:szCs w:val="16"/>
          <w:lang w:val="es-ES_tradnl"/>
        </w:rPr>
        <w:t xml:space="preserve">n </w:t>
      </w:r>
      <w:r>
        <w:rPr>
          <w:sz w:val="16"/>
          <w:szCs w:val="16"/>
          <w:lang w:val="es-ES_tradnl"/>
        </w:rPr>
        <w:t>planteada</w:t>
      </w:r>
      <w:r>
        <w:rPr>
          <w:rFonts w:cs="Times New Roman"/>
          <w:sz w:val="16"/>
          <w:szCs w:val="16"/>
          <w:lang w:val="es-ES_tradnl"/>
        </w:rPr>
        <w:t>”</w:t>
      </w:r>
      <w:r>
        <w:rPr>
          <w:sz w:val="16"/>
          <w:szCs w:val="16"/>
          <w:vertAlign w:val="superscript"/>
          <w:lang w:val="es-ES_tradnl"/>
        </w:rPr>
        <w:t>13</w:t>
      </w:r>
      <w:r>
        <w:rPr>
          <w:sz w:val="16"/>
          <w:szCs w:val="16"/>
          <w:lang w:val="es-ES_tradnl"/>
        </w:rPr>
        <w:t>.</w:t>
      </w:r>
    </w:p>
    <w:p w14:paraId="4F67B0C4" w14:textId="77777777" w:rsidR="00591D54" w:rsidRDefault="00591D54">
      <w:pPr>
        <w:shd w:val="clear" w:color="auto" w:fill="FFFFFF"/>
        <w:spacing w:before="211" w:line="226" w:lineRule="exact"/>
        <w:jc w:val="both"/>
      </w:pPr>
      <w:r>
        <w:rPr>
          <w:spacing w:val="-11"/>
          <w:sz w:val="18"/>
          <w:szCs w:val="18"/>
          <w:lang w:val="es-ES_tradnl"/>
        </w:rPr>
        <w:t xml:space="preserve">En este sentido, resulta necesario manifestar que la finalidad </w:t>
      </w:r>
      <w:r>
        <w:rPr>
          <w:spacing w:val="-9"/>
          <w:sz w:val="18"/>
          <w:szCs w:val="18"/>
          <w:lang w:val="es-ES_tradnl"/>
        </w:rPr>
        <w:t>de las garant</w:t>
      </w:r>
      <w:r>
        <w:rPr>
          <w:rFonts w:cs="Times New Roman"/>
          <w:spacing w:val="-9"/>
          <w:sz w:val="18"/>
          <w:szCs w:val="18"/>
          <w:lang w:val="es-ES_tradnl"/>
        </w:rPr>
        <w:t>í</w:t>
      </w:r>
      <w:r>
        <w:rPr>
          <w:spacing w:val="-9"/>
          <w:sz w:val="18"/>
          <w:szCs w:val="18"/>
          <w:lang w:val="es-ES_tradnl"/>
        </w:rPr>
        <w:t>as jurisdiccionales, se limitan a la protecci</w:t>
      </w:r>
      <w:r>
        <w:rPr>
          <w:rFonts w:cs="Times New Roman"/>
          <w:spacing w:val="-9"/>
          <w:sz w:val="18"/>
          <w:szCs w:val="18"/>
          <w:lang w:val="es-ES_tradnl"/>
        </w:rPr>
        <w:t>ó</w:t>
      </w:r>
      <w:r>
        <w:rPr>
          <w:spacing w:val="-9"/>
          <w:sz w:val="18"/>
          <w:szCs w:val="18"/>
          <w:lang w:val="es-ES_tradnl"/>
        </w:rPr>
        <w:t xml:space="preserve">n o </w:t>
      </w:r>
      <w:r>
        <w:rPr>
          <w:spacing w:val="-8"/>
          <w:sz w:val="18"/>
          <w:szCs w:val="18"/>
          <w:lang w:val="es-ES_tradnl"/>
        </w:rPr>
        <w:t>tutela de derechos reconocidos en la Constituci</w:t>
      </w:r>
      <w:r>
        <w:rPr>
          <w:rFonts w:cs="Times New Roman"/>
          <w:spacing w:val="-8"/>
          <w:sz w:val="18"/>
          <w:szCs w:val="18"/>
          <w:lang w:val="es-ES_tradnl"/>
        </w:rPr>
        <w:t>ó</w:t>
      </w:r>
      <w:r>
        <w:rPr>
          <w:spacing w:val="-8"/>
          <w:sz w:val="18"/>
          <w:szCs w:val="18"/>
          <w:lang w:val="es-ES_tradnl"/>
        </w:rPr>
        <w:t xml:space="preserve">n, declarar </w:t>
      </w:r>
      <w:r>
        <w:rPr>
          <w:spacing w:val="-7"/>
          <w:sz w:val="18"/>
          <w:szCs w:val="18"/>
          <w:lang w:val="es-ES_tradnl"/>
        </w:rPr>
        <w:t>la vulneraci</w:t>
      </w:r>
      <w:r>
        <w:rPr>
          <w:rFonts w:cs="Times New Roman"/>
          <w:spacing w:val="-7"/>
          <w:sz w:val="18"/>
          <w:szCs w:val="18"/>
          <w:lang w:val="es-ES_tradnl"/>
        </w:rPr>
        <w:t>ó</w:t>
      </w:r>
      <w:r>
        <w:rPr>
          <w:spacing w:val="-7"/>
          <w:sz w:val="18"/>
          <w:szCs w:val="18"/>
          <w:lang w:val="es-ES_tradnl"/>
        </w:rPr>
        <w:t>n de estos derechos y ordenar la reparaci</w:t>
      </w:r>
      <w:r>
        <w:rPr>
          <w:rFonts w:cs="Times New Roman"/>
          <w:spacing w:val="-7"/>
          <w:sz w:val="18"/>
          <w:szCs w:val="18"/>
          <w:lang w:val="es-ES_tradnl"/>
        </w:rPr>
        <w:t>ó</w:t>
      </w:r>
      <w:r>
        <w:rPr>
          <w:spacing w:val="-7"/>
          <w:sz w:val="18"/>
          <w:szCs w:val="18"/>
          <w:lang w:val="es-ES_tradnl"/>
        </w:rPr>
        <w:t>n integral del da</w:t>
      </w:r>
      <w:r>
        <w:rPr>
          <w:rFonts w:cs="Times New Roman"/>
          <w:spacing w:val="-7"/>
          <w:sz w:val="18"/>
          <w:szCs w:val="18"/>
          <w:lang w:val="es-ES_tradnl"/>
        </w:rPr>
        <w:t>ñ</w:t>
      </w:r>
      <w:r>
        <w:rPr>
          <w:spacing w:val="-7"/>
          <w:sz w:val="18"/>
          <w:szCs w:val="18"/>
          <w:lang w:val="es-ES_tradnl"/>
        </w:rPr>
        <w:t xml:space="preserve">o causado, tal y como lo ha establecido el </w:t>
      </w:r>
      <w:r>
        <w:rPr>
          <w:spacing w:val="-8"/>
          <w:sz w:val="18"/>
          <w:szCs w:val="18"/>
          <w:lang w:val="es-ES_tradnl"/>
        </w:rPr>
        <w:t>art</w:t>
      </w:r>
      <w:r>
        <w:rPr>
          <w:rFonts w:cs="Times New Roman"/>
          <w:spacing w:val="-8"/>
          <w:sz w:val="18"/>
          <w:szCs w:val="18"/>
          <w:lang w:val="es-ES_tradnl"/>
        </w:rPr>
        <w:t>í</w:t>
      </w:r>
      <w:r>
        <w:rPr>
          <w:spacing w:val="-8"/>
          <w:sz w:val="18"/>
          <w:szCs w:val="18"/>
          <w:lang w:val="es-ES_tradnl"/>
        </w:rPr>
        <w:t>culo 6 de la Ley Org</w:t>
      </w:r>
      <w:r>
        <w:rPr>
          <w:rFonts w:cs="Times New Roman"/>
          <w:spacing w:val="-8"/>
          <w:sz w:val="18"/>
          <w:szCs w:val="18"/>
          <w:lang w:val="es-ES_tradnl"/>
        </w:rPr>
        <w:t>á</w:t>
      </w:r>
      <w:r>
        <w:rPr>
          <w:spacing w:val="-8"/>
          <w:sz w:val="18"/>
          <w:szCs w:val="18"/>
          <w:lang w:val="es-ES_tradnl"/>
        </w:rPr>
        <w:t>nica de Garant</w:t>
      </w:r>
      <w:r>
        <w:rPr>
          <w:rFonts w:cs="Times New Roman"/>
          <w:spacing w:val="-8"/>
          <w:sz w:val="18"/>
          <w:szCs w:val="18"/>
          <w:lang w:val="es-ES_tradnl"/>
        </w:rPr>
        <w:t>í</w:t>
      </w:r>
      <w:r>
        <w:rPr>
          <w:spacing w:val="-8"/>
          <w:sz w:val="18"/>
          <w:szCs w:val="18"/>
          <w:lang w:val="es-ES_tradnl"/>
        </w:rPr>
        <w:t xml:space="preserve">as Jurisdiccionales </w:t>
      </w:r>
      <w:r>
        <w:rPr>
          <w:spacing w:val="-5"/>
          <w:sz w:val="18"/>
          <w:szCs w:val="18"/>
          <w:lang w:val="es-ES_tradnl"/>
        </w:rPr>
        <w:t>y Control Constitucional. Es por ello que la interpretaci</w:t>
      </w:r>
      <w:r>
        <w:rPr>
          <w:rFonts w:cs="Times New Roman"/>
          <w:spacing w:val="-5"/>
          <w:sz w:val="18"/>
          <w:szCs w:val="18"/>
          <w:lang w:val="es-ES_tradnl"/>
        </w:rPr>
        <w:t>ó</w:t>
      </w:r>
      <w:r>
        <w:rPr>
          <w:spacing w:val="-5"/>
          <w:sz w:val="18"/>
          <w:szCs w:val="18"/>
          <w:lang w:val="es-ES_tradnl"/>
        </w:rPr>
        <w:t xml:space="preserve">n </w:t>
      </w:r>
      <w:r>
        <w:rPr>
          <w:spacing w:val="-7"/>
          <w:sz w:val="18"/>
          <w:szCs w:val="18"/>
          <w:lang w:val="es-ES_tradnl"/>
        </w:rPr>
        <w:t>de la norma jur</w:t>
      </w:r>
      <w:r>
        <w:rPr>
          <w:rFonts w:cs="Times New Roman"/>
          <w:spacing w:val="-7"/>
          <w:sz w:val="18"/>
          <w:szCs w:val="18"/>
          <w:lang w:val="es-ES_tradnl"/>
        </w:rPr>
        <w:t>í</w:t>
      </w:r>
      <w:r>
        <w:rPr>
          <w:spacing w:val="-7"/>
          <w:sz w:val="18"/>
          <w:szCs w:val="18"/>
          <w:lang w:val="es-ES_tradnl"/>
        </w:rPr>
        <w:t>dica de naturaleza ordinaria, jam</w:t>
      </w:r>
      <w:r>
        <w:rPr>
          <w:rFonts w:cs="Times New Roman"/>
          <w:spacing w:val="-7"/>
          <w:sz w:val="18"/>
          <w:szCs w:val="18"/>
          <w:lang w:val="es-ES_tradnl"/>
        </w:rPr>
        <w:t>á</w:t>
      </w:r>
      <w:r>
        <w:rPr>
          <w:spacing w:val="-7"/>
          <w:sz w:val="18"/>
          <w:szCs w:val="18"/>
          <w:lang w:val="es-ES_tradnl"/>
        </w:rPr>
        <w:t xml:space="preserve">s puede </w:t>
      </w:r>
      <w:r>
        <w:rPr>
          <w:spacing w:val="-8"/>
          <w:sz w:val="18"/>
          <w:szCs w:val="18"/>
          <w:lang w:val="es-ES_tradnl"/>
        </w:rPr>
        <w:t>servir para demostrar la supuesta vulneraci</w:t>
      </w:r>
      <w:r>
        <w:rPr>
          <w:rFonts w:cs="Times New Roman"/>
          <w:spacing w:val="-8"/>
          <w:sz w:val="18"/>
          <w:szCs w:val="18"/>
          <w:lang w:val="es-ES_tradnl"/>
        </w:rPr>
        <w:t>ó</w:t>
      </w:r>
      <w:r>
        <w:rPr>
          <w:spacing w:val="-8"/>
          <w:sz w:val="18"/>
          <w:szCs w:val="18"/>
          <w:lang w:val="es-ES_tradnl"/>
        </w:rPr>
        <w:t xml:space="preserve">n de derechos </w:t>
      </w:r>
      <w:r>
        <w:rPr>
          <w:spacing w:val="-5"/>
          <w:sz w:val="18"/>
          <w:szCs w:val="18"/>
          <w:lang w:val="es-ES_tradnl"/>
        </w:rPr>
        <w:t>constitucionales, pues, el hacerlo, ser</w:t>
      </w:r>
      <w:r>
        <w:rPr>
          <w:rFonts w:cs="Times New Roman"/>
          <w:spacing w:val="-5"/>
          <w:sz w:val="18"/>
          <w:szCs w:val="18"/>
          <w:lang w:val="es-ES_tradnl"/>
        </w:rPr>
        <w:t>í</w:t>
      </w:r>
      <w:r>
        <w:rPr>
          <w:spacing w:val="-5"/>
          <w:sz w:val="18"/>
          <w:szCs w:val="18"/>
          <w:lang w:val="es-ES_tradnl"/>
        </w:rPr>
        <w:t>a err</w:t>
      </w:r>
      <w:r>
        <w:rPr>
          <w:rFonts w:cs="Times New Roman"/>
          <w:spacing w:val="-5"/>
          <w:sz w:val="18"/>
          <w:szCs w:val="18"/>
          <w:lang w:val="es-ES_tradnl"/>
        </w:rPr>
        <w:t>ó</w:t>
      </w:r>
      <w:r>
        <w:rPr>
          <w:spacing w:val="-5"/>
          <w:sz w:val="18"/>
          <w:szCs w:val="18"/>
          <w:lang w:val="es-ES_tradnl"/>
        </w:rPr>
        <w:t>neo. Es as</w:t>
      </w:r>
      <w:r>
        <w:rPr>
          <w:rFonts w:cs="Times New Roman"/>
          <w:spacing w:val="-5"/>
          <w:sz w:val="18"/>
          <w:szCs w:val="18"/>
          <w:lang w:val="es-ES_tradnl"/>
        </w:rPr>
        <w:t xml:space="preserve">í </w:t>
      </w:r>
      <w:r>
        <w:rPr>
          <w:spacing w:val="-9"/>
          <w:sz w:val="18"/>
          <w:szCs w:val="18"/>
          <w:lang w:val="es-ES_tradnl"/>
        </w:rPr>
        <w:t>que, la vulneraci</w:t>
      </w:r>
      <w:r>
        <w:rPr>
          <w:rFonts w:cs="Times New Roman"/>
          <w:spacing w:val="-9"/>
          <w:sz w:val="18"/>
          <w:szCs w:val="18"/>
          <w:lang w:val="es-ES_tradnl"/>
        </w:rPr>
        <w:t>ó</w:t>
      </w:r>
      <w:r>
        <w:rPr>
          <w:spacing w:val="-9"/>
          <w:sz w:val="18"/>
          <w:szCs w:val="18"/>
          <w:lang w:val="es-ES_tradnl"/>
        </w:rPr>
        <w:t xml:space="preserve">n de estos derechos no puede nacer de la </w:t>
      </w:r>
      <w:r>
        <w:rPr>
          <w:spacing w:val="-6"/>
          <w:sz w:val="18"/>
          <w:szCs w:val="18"/>
          <w:lang w:val="es-ES_tradnl"/>
        </w:rPr>
        <w:t>interpretaci</w:t>
      </w:r>
      <w:r>
        <w:rPr>
          <w:rFonts w:cs="Times New Roman"/>
          <w:spacing w:val="-6"/>
          <w:sz w:val="18"/>
          <w:szCs w:val="18"/>
          <w:lang w:val="es-ES_tradnl"/>
        </w:rPr>
        <w:t>ó</w:t>
      </w:r>
      <w:r>
        <w:rPr>
          <w:spacing w:val="-6"/>
          <w:sz w:val="18"/>
          <w:szCs w:val="18"/>
          <w:lang w:val="es-ES_tradnl"/>
        </w:rPr>
        <w:t>n de normas jur</w:t>
      </w:r>
      <w:r>
        <w:rPr>
          <w:rFonts w:cs="Times New Roman"/>
          <w:spacing w:val="-6"/>
          <w:sz w:val="18"/>
          <w:szCs w:val="18"/>
          <w:lang w:val="es-ES_tradnl"/>
        </w:rPr>
        <w:t>í</w:t>
      </w:r>
      <w:r>
        <w:rPr>
          <w:spacing w:val="-6"/>
          <w:sz w:val="18"/>
          <w:szCs w:val="18"/>
          <w:lang w:val="es-ES_tradnl"/>
        </w:rPr>
        <w:t xml:space="preserve">dicas ordinarias; por cuanto, </w:t>
      </w:r>
      <w:r>
        <w:rPr>
          <w:spacing w:val="-8"/>
          <w:sz w:val="18"/>
          <w:szCs w:val="18"/>
          <w:lang w:val="es-ES_tradnl"/>
        </w:rPr>
        <w:t>para ello, existen organismos jurisdiccionales competentes.</w:t>
      </w:r>
    </w:p>
    <w:p w14:paraId="4F67B0C5" w14:textId="77777777" w:rsidR="00591D54" w:rsidRDefault="00591D54">
      <w:pPr>
        <w:shd w:val="clear" w:color="auto" w:fill="FFFFFF"/>
        <w:spacing w:before="202" w:line="226" w:lineRule="exact"/>
        <w:jc w:val="both"/>
      </w:pPr>
      <w:r>
        <w:rPr>
          <w:spacing w:val="-8"/>
          <w:sz w:val="18"/>
          <w:szCs w:val="18"/>
          <w:lang w:val="es-ES_tradnl"/>
        </w:rPr>
        <w:t xml:space="preserve">Asimismo, la </w:t>
      </w:r>
      <w:r>
        <w:rPr>
          <w:i/>
          <w:iCs/>
          <w:spacing w:val="-8"/>
          <w:sz w:val="18"/>
          <w:szCs w:val="18"/>
          <w:lang w:val="es-ES_tradnl"/>
        </w:rPr>
        <w:t>ratio decidendi</w:t>
      </w:r>
      <w:r>
        <w:rPr>
          <w:spacing w:val="-8"/>
          <w:sz w:val="18"/>
          <w:szCs w:val="18"/>
          <w:lang w:val="es-ES_tradnl"/>
        </w:rPr>
        <w:t xml:space="preserve">, constante en el considerando </w:t>
      </w:r>
      <w:r>
        <w:rPr>
          <w:spacing w:val="-4"/>
          <w:sz w:val="18"/>
          <w:szCs w:val="18"/>
          <w:lang w:val="es-ES_tradnl"/>
        </w:rPr>
        <w:t>d</w:t>
      </w:r>
      <w:r>
        <w:rPr>
          <w:rFonts w:cs="Times New Roman"/>
          <w:spacing w:val="-4"/>
          <w:sz w:val="18"/>
          <w:szCs w:val="18"/>
          <w:lang w:val="es-ES_tradnl"/>
        </w:rPr>
        <w:t>é</w:t>
      </w:r>
      <w:r>
        <w:rPr>
          <w:spacing w:val="-4"/>
          <w:sz w:val="18"/>
          <w:szCs w:val="18"/>
          <w:lang w:val="es-ES_tradnl"/>
        </w:rPr>
        <w:t xml:space="preserve">cimo primero, hace </w:t>
      </w:r>
      <w:r>
        <w:rPr>
          <w:rFonts w:cs="Times New Roman"/>
          <w:spacing w:val="-4"/>
          <w:sz w:val="18"/>
          <w:szCs w:val="18"/>
          <w:lang w:val="es-ES_tradnl"/>
        </w:rPr>
        <w:t>é</w:t>
      </w:r>
      <w:r>
        <w:rPr>
          <w:spacing w:val="-4"/>
          <w:sz w:val="18"/>
          <w:szCs w:val="18"/>
          <w:lang w:val="es-ES_tradnl"/>
        </w:rPr>
        <w:t>nfasis en la aplicaci</w:t>
      </w:r>
      <w:r>
        <w:rPr>
          <w:rFonts w:cs="Times New Roman"/>
          <w:spacing w:val="-4"/>
          <w:sz w:val="18"/>
          <w:szCs w:val="18"/>
          <w:lang w:val="es-ES_tradnl"/>
        </w:rPr>
        <w:t>ó</w:t>
      </w:r>
      <w:r>
        <w:rPr>
          <w:spacing w:val="-4"/>
          <w:sz w:val="18"/>
          <w:szCs w:val="18"/>
          <w:lang w:val="es-ES_tradnl"/>
        </w:rPr>
        <w:t xml:space="preserve">n de la </w:t>
      </w:r>
      <w:r>
        <w:rPr>
          <w:spacing w:val="-2"/>
          <w:sz w:val="18"/>
          <w:szCs w:val="18"/>
          <w:lang w:val="es-ES_tradnl"/>
        </w:rPr>
        <w:t>disposici</w:t>
      </w:r>
      <w:r>
        <w:rPr>
          <w:rFonts w:cs="Times New Roman"/>
          <w:spacing w:val="-2"/>
          <w:sz w:val="18"/>
          <w:szCs w:val="18"/>
          <w:lang w:val="es-ES_tradnl"/>
        </w:rPr>
        <w:t>ó</w:t>
      </w:r>
      <w:r>
        <w:rPr>
          <w:spacing w:val="-2"/>
          <w:sz w:val="18"/>
          <w:szCs w:val="18"/>
          <w:lang w:val="es-ES_tradnl"/>
        </w:rPr>
        <w:t xml:space="preserve">n general segunda a la Ley para la Reforma </w:t>
      </w:r>
      <w:r>
        <w:rPr>
          <w:spacing w:val="-8"/>
          <w:sz w:val="18"/>
          <w:szCs w:val="18"/>
          <w:lang w:val="es-ES_tradnl"/>
        </w:rPr>
        <w:t>de Finanzas P</w:t>
      </w:r>
      <w:r>
        <w:rPr>
          <w:rFonts w:cs="Times New Roman"/>
          <w:spacing w:val="-8"/>
          <w:sz w:val="18"/>
          <w:szCs w:val="18"/>
          <w:lang w:val="es-ES_tradnl"/>
        </w:rPr>
        <w:t>ú</w:t>
      </w:r>
      <w:r>
        <w:rPr>
          <w:spacing w:val="-8"/>
          <w:sz w:val="18"/>
          <w:szCs w:val="18"/>
          <w:lang w:val="es-ES_tradnl"/>
        </w:rPr>
        <w:t xml:space="preserve">blicas, norma derogada que facultaba a la </w:t>
      </w:r>
      <w:r>
        <w:rPr>
          <w:spacing w:val="-9"/>
          <w:sz w:val="18"/>
          <w:szCs w:val="18"/>
          <w:lang w:val="es-ES_tradnl"/>
        </w:rPr>
        <w:t>se</w:t>
      </w:r>
      <w:r>
        <w:rPr>
          <w:rFonts w:cs="Times New Roman"/>
          <w:spacing w:val="-9"/>
          <w:sz w:val="18"/>
          <w:szCs w:val="18"/>
          <w:lang w:val="es-ES_tradnl"/>
        </w:rPr>
        <w:t>ñ</w:t>
      </w:r>
      <w:r>
        <w:rPr>
          <w:spacing w:val="-9"/>
          <w:sz w:val="18"/>
          <w:szCs w:val="18"/>
          <w:lang w:val="es-ES_tradnl"/>
        </w:rPr>
        <w:t>ora Guti</w:t>
      </w:r>
      <w:r>
        <w:rPr>
          <w:rFonts w:cs="Times New Roman"/>
          <w:spacing w:val="-9"/>
          <w:sz w:val="18"/>
          <w:szCs w:val="18"/>
          <w:lang w:val="es-ES_tradnl"/>
        </w:rPr>
        <w:t>é</w:t>
      </w:r>
      <w:r>
        <w:rPr>
          <w:spacing w:val="-9"/>
          <w:sz w:val="18"/>
          <w:szCs w:val="18"/>
          <w:lang w:val="es-ES_tradnl"/>
        </w:rPr>
        <w:t>rrez Ortega reingresar al servicio p</w:t>
      </w:r>
      <w:r>
        <w:rPr>
          <w:rFonts w:cs="Times New Roman"/>
          <w:spacing w:val="-9"/>
          <w:sz w:val="18"/>
          <w:szCs w:val="18"/>
          <w:lang w:val="es-ES_tradnl"/>
        </w:rPr>
        <w:t>ú</w:t>
      </w:r>
      <w:r>
        <w:rPr>
          <w:spacing w:val="-9"/>
          <w:sz w:val="18"/>
          <w:szCs w:val="18"/>
          <w:lang w:val="es-ES_tradnl"/>
        </w:rPr>
        <w:t xml:space="preserve">blico luego </w:t>
      </w:r>
      <w:r>
        <w:rPr>
          <w:spacing w:val="-4"/>
          <w:sz w:val="18"/>
          <w:szCs w:val="18"/>
          <w:lang w:val="es-ES_tradnl"/>
        </w:rPr>
        <w:t>de transcurrido los 7 a</w:t>
      </w:r>
      <w:r>
        <w:rPr>
          <w:rFonts w:cs="Times New Roman"/>
          <w:spacing w:val="-4"/>
          <w:sz w:val="18"/>
          <w:szCs w:val="18"/>
          <w:lang w:val="es-ES_tradnl"/>
        </w:rPr>
        <w:t>ñ</w:t>
      </w:r>
      <w:r>
        <w:rPr>
          <w:spacing w:val="-4"/>
          <w:sz w:val="18"/>
          <w:szCs w:val="18"/>
          <w:lang w:val="es-ES_tradnl"/>
        </w:rPr>
        <w:t>os de recibida la compensaci</w:t>
      </w:r>
      <w:r>
        <w:rPr>
          <w:rFonts w:cs="Times New Roman"/>
          <w:spacing w:val="-4"/>
          <w:sz w:val="18"/>
          <w:szCs w:val="18"/>
          <w:lang w:val="es-ES_tradnl"/>
        </w:rPr>
        <w:t>ó</w:t>
      </w:r>
      <w:r>
        <w:rPr>
          <w:spacing w:val="-4"/>
          <w:sz w:val="18"/>
          <w:szCs w:val="18"/>
          <w:lang w:val="es-ES_tradnl"/>
        </w:rPr>
        <w:t xml:space="preserve">n </w:t>
      </w:r>
      <w:r>
        <w:rPr>
          <w:spacing w:val="-6"/>
          <w:sz w:val="18"/>
          <w:szCs w:val="18"/>
          <w:lang w:val="es-ES_tradnl"/>
        </w:rPr>
        <w:t>por la venta de su renuncia voluntaria. Esta consideraci</w:t>
      </w:r>
      <w:r>
        <w:rPr>
          <w:rFonts w:cs="Times New Roman"/>
          <w:spacing w:val="-6"/>
          <w:sz w:val="18"/>
          <w:szCs w:val="18"/>
          <w:lang w:val="es-ES_tradnl"/>
        </w:rPr>
        <w:t>ó</w:t>
      </w:r>
      <w:r>
        <w:rPr>
          <w:spacing w:val="-6"/>
          <w:sz w:val="18"/>
          <w:szCs w:val="18"/>
          <w:lang w:val="es-ES_tradnl"/>
        </w:rPr>
        <w:t xml:space="preserve">n </w:t>
      </w:r>
      <w:r>
        <w:rPr>
          <w:spacing w:val="-2"/>
          <w:sz w:val="18"/>
          <w:szCs w:val="18"/>
          <w:lang w:val="es-ES_tradnl"/>
        </w:rPr>
        <w:t xml:space="preserve">resulta contraria al precedente jurisprudencial emitido </w:t>
      </w:r>
      <w:r>
        <w:rPr>
          <w:spacing w:val="-5"/>
          <w:sz w:val="18"/>
          <w:szCs w:val="18"/>
          <w:lang w:val="es-ES_tradnl"/>
        </w:rPr>
        <w:t>por esta Magistratura Constitucional en la sentencia N.</w:t>
      </w:r>
      <w:r>
        <w:rPr>
          <w:rFonts w:cs="Times New Roman"/>
          <w:spacing w:val="-5"/>
          <w:sz w:val="18"/>
          <w:szCs w:val="18"/>
          <w:lang w:val="es-ES_tradnl"/>
        </w:rPr>
        <w:t xml:space="preserve">º </w:t>
      </w:r>
      <w:r>
        <w:rPr>
          <w:spacing w:val="-9"/>
          <w:sz w:val="18"/>
          <w:szCs w:val="18"/>
          <w:lang w:val="es-ES_tradnl"/>
        </w:rPr>
        <w:t>020-14-SEP-CC del 29 de enero de 2014, caso N.</w:t>
      </w:r>
      <w:r>
        <w:rPr>
          <w:rFonts w:cs="Times New Roman"/>
          <w:spacing w:val="-9"/>
          <w:sz w:val="18"/>
          <w:szCs w:val="18"/>
          <w:lang w:val="es-ES_tradnl"/>
        </w:rPr>
        <w:t>º</w:t>
      </w:r>
      <w:r>
        <w:rPr>
          <w:spacing w:val="-9"/>
          <w:sz w:val="18"/>
          <w:szCs w:val="18"/>
          <w:lang w:val="es-ES_tradnl"/>
        </w:rPr>
        <w:t xml:space="preserve"> 739-11-</w:t>
      </w:r>
      <w:r>
        <w:rPr>
          <w:sz w:val="18"/>
          <w:szCs w:val="18"/>
          <w:lang w:val="es-ES_tradnl"/>
        </w:rPr>
        <w:t>EP que dispuso:</w:t>
      </w:r>
    </w:p>
    <w:p w14:paraId="4F67B0C6" w14:textId="77777777" w:rsidR="00591D54" w:rsidRDefault="00591D54">
      <w:pPr>
        <w:shd w:val="clear" w:color="auto" w:fill="FFFFFF"/>
        <w:spacing w:before="206" w:line="226" w:lineRule="exact"/>
        <w:ind w:left="283" w:right="5"/>
        <w:jc w:val="both"/>
      </w:pPr>
      <w:r>
        <w:rPr>
          <w:spacing w:val="-6"/>
          <w:sz w:val="16"/>
          <w:szCs w:val="16"/>
          <w:lang w:val="es-ES_tradnl"/>
        </w:rPr>
        <w:t>(</w:t>
      </w:r>
      <w:r>
        <w:rPr>
          <w:rFonts w:cs="Times New Roman"/>
          <w:spacing w:val="-6"/>
          <w:sz w:val="16"/>
          <w:szCs w:val="16"/>
          <w:lang w:val="es-ES_tradnl"/>
        </w:rPr>
        <w:t>…</w:t>
      </w:r>
      <w:r>
        <w:rPr>
          <w:spacing w:val="-6"/>
          <w:sz w:val="16"/>
          <w:szCs w:val="16"/>
          <w:lang w:val="es-ES_tradnl"/>
        </w:rPr>
        <w:t xml:space="preserve">) la normativa que debe ser observada por el accionante </w:t>
      </w:r>
      <w:r>
        <w:rPr>
          <w:spacing w:val="-3"/>
          <w:sz w:val="16"/>
          <w:szCs w:val="16"/>
          <w:lang w:val="es-ES_tradnl"/>
        </w:rPr>
        <w:t>para su reingreso al sector p</w:t>
      </w:r>
      <w:r>
        <w:rPr>
          <w:rFonts w:cs="Times New Roman"/>
          <w:spacing w:val="-3"/>
          <w:sz w:val="16"/>
          <w:szCs w:val="16"/>
          <w:lang w:val="es-ES_tradnl"/>
        </w:rPr>
        <w:t>ú</w:t>
      </w:r>
      <w:r>
        <w:rPr>
          <w:spacing w:val="-3"/>
          <w:sz w:val="16"/>
          <w:szCs w:val="16"/>
          <w:lang w:val="es-ES_tradnl"/>
        </w:rPr>
        <w:t xml:space="preserve">blico es la contenida en la </w:t>
      </w:r>
      <w:r>
        <w:rPr>
          <w:spacing w:val="-5"/>
          <w:sz w:val="16"/>
          <w:szCs w:val="16"/>
          <w:lang w:val="es-ES_tradnl"/>
        </w:rPr>
        <w:t>LOSEP, pues es la que est</w:t>
      </w:r>
      <w:r>
        <w:rPr>
          <w:rFonts w:cs="Times New Roman"/>
          <w:spacing w:val="-5"/>
          <w:sz w:val="16"/>
          <w:szCs w:val="16"/>
          <w:lang w:val="es-ES_tradnl"/>
        </w:rPr>
        <w:t>á</w:t>
      </w:r>
      <w:r>
        <w:rPr>
          <w:spacing w:val="-5"/>
          <w:sz w:val="16"/>
          <w:szCs w:val="16"/>
          <w:lang w:val="es-ES_tradnl"/>
        </w:rPr>
        <w:t xml:space="preserve"> vigente en la actualidad (</w:t>
      </w:r>
      <w:r>
        <w:rPr>
          <w:rFonts w:cs="Times New Roman"/>
          <w:spacing w:val="-5"/>
          <w:sz w:val="16"/>
          <w:szCs w:val="16"/>
          <w:lang w:val="es-ES_tradnl"/>
        </w:rPr>
        <w:t>…</w:t>
      </w:r>
      <w:r>
        <w:rPr>
          <w:spacing w:val="-5"/>
          <w:sz w:val="16"/>
          <w:szCs w:val="16"/>
          <w:lang w:val="es-ES_tradnl"/>
        </w:rPr>
        <w:t xml:space="preserve">) en </w:t>
      </w:r>
      <w:r>
        <w:rPr>
          <w:spacing w:val="-6"/>
          <w:sz w:val="16"/>
          <w:szCs w:val="16"/>
          <w:lang w:val="es-ES_tradnl"/>
        </w:rPr>
        <w:t xml:space="preserve">el caso sub examine la normativa vigente y aplicable al caso </w:t>
      </w:r>
      <w:r>
        <w:rPr>
          <w:spacing w:val="-2"/>
          <w:sz w:val="16"/>
          <w:szCs w:val="16"/>
          <w:lang w:val="es-ES_tradnl"/>
        </w:rPr>
        <w:t>es aquella contenida en el art</w:t>
      </w:r>
      <w:r>
        <w:rPr>
          <w:rFonts w:cs="Times New Roman"/>
          <w:spacing w:val="-2"/>
          <w:sz w:val="16"/>
          <w:szCs w:val="16"/>
          <w:lang w:val="es-ES_tradnl"/>
        </w:rPr>
        <w:t>í</w:t>
      </w:r>
      <w:r>
        <w:rPr>
          <w:spacing w:val="-2"/>
          <w:sz w:val="16"/>
          <w:szCs w:val="16"/>
          <w:lang w:val="es-ES_tradnl"/>
        </w:rPr>
        <w:t>culo 14 de la Ley Org</w:t>
      </w:r>
      <w:r>
        <w:rPr>
          <w:rFonts w:cs="Times New Roman"/>
          <w:spacing w:val="-2"/>
          <w:sz w:val="16"/>
          <w:szCs w:val="16"/>
          <w:lang w:val="es-ES_tradnl"/>
        </w:rPr>
        <w:t>á</w:t>
      </w:r>
      <w:r>
        <w:rPr>
          <w:spacing w:val="-2"/>
          <w:sz w:val="16"/>
          <w:szCs w:val="16"/>
          <w:lang w:val="es-ES_tradnl"/>
        </w:rPr>
        <w:t xml:space="preserve">nica </w:t>
      </w:r>
      <w:r>
        <w:rPr>
          <w:spacing w:val="-4"/>
          <w:sz w:val="16"/>
          <w:szCs w:val="16"/>
          <w:lang w:val="es-ES_tradnl"/>
        </w:rPr>
        <w:t>de Servicio P</w:t>
      </w:r>
      <w:r>
        <w:rPr>
          <w:rFonts w:cs="Times New Roman"/>
          <w:spacing w:val="-4"/>
          <w:sz w:val="16"/>
          <w:szCs w:val="16"/>
          <w:lang w:val="es-ES_tradnl"/>
        </w:rPr>
        <w:t>ú</w:t>
      </w:r>
      <w:r>
        <w:rPr>
          <w:spacing w:val="-4"/>
          <w:sz w:val="16"/>
          <w:szCs w:val="16"/>
          <w:lang w:val="es-ES_tradnl"/>
        </w:rPr>
        <w:t>blico (</w:t>
      </w:r>
      <w:r>
        <w:rPr>
          <w:rFonts w:cs="Times New Roman"/>
          <w:spacing w:val="-4"/>
          <w:sz w:val="16"/>
          <w:szCs w:val="16"/>
          <w:lang w:val="es-ES_tradnl"/>
        </w:rPr>
        <w:t>…</w:t>
      </w:r>
      <w:r>
        <w:rPr>
          <w:spacing w:val="-4"/>
          <w:sz w:val="16"/>
          <w:szCs w:val="16"/>
          <w:lang w:val="es-ES_tradnl"/>
        </w:rPr>
        <w:t>) Seg</w:t>
      </w:r>
      <w:r>
        <w:rPr>
          <w:rFonts w:cs="Times New Roman"/>
          <w:spacing w:val="-4"/>
          <w:sz w:val="16"/>
          <w:szCs w:val="16"/>
          <w:lang w:val="es-ES_tradnl"/>
        </w:rPr>
        <w:t>ú</w:t>
      </w:r>
      <w:r>
        <w:rPr>
          <w:spacing w:val="-4"/>
          <w:sz w:val="16"/>
          <w:szCs w:val="16"/>
          <w:lang w:val="es-ES_tradnl"/>
        </w:rPr>
        <w:t>n consta en el expediente, a fojas 4, el se</w:t>
      </w:r>
      <w:r>
        <w:rPr>
          <w:rFonts w:cs="Times New Roman"/>
          <w:spacing w:val="-4"/>
          <w:sz w:val="16"/>
          <w:szCs w:val="16"/>
          <w:lang w:val="es-ES_tradnl"/>
        </w:rPr>
        <w:t>ñ</w:t>
      </w:r>
      <w:r>
        <w:rPr>
          <w:spacing w:val="-4"/>
          <w:sz w:val="16"/>
          <w:szCs w:val="16"/>
          <w:lang w:val="es-ES_tradnl"/>
        </w:rPr>
        <w:t>or Wilfrido Efra</w:t>
      </w:r>
      <w:r>
        <w:rPr>
          <w:rFonts w:cs="Times New Roman"/>
          <w:spacing w:val="-4"/>
          <w:sz w:val="16"/>
          <w:szCs w:val="16"/>
          <w:lang w:val="es-ES_tradnl"/>
        </w:rPr>
        <w:t>í</w:t>
      </w:r>
      <w:r>
        <w:rPr>
          <w:spacing w:val="-4"/>
          <w:sz w:val="16"/>
          <w:szCs w:val="16"/>
          <w:lang w:val="es-ES_tradnl"/>
        </w:rPr>
        <w:t>n Tandazo Rom</w:t>
      </w:r>
      <w:r>
        <w:rPr>
          <w:rFonts w:cs="Times New Roman"/>
          <w:spacing w:val="-4"/>
          <w:sz w:val="16"/>
          <w:szCs w:val="16"/>
          <w:lang w:val="es-ES_tradnl"/>
        </w:rPr>
        <w:t>á</w:t>
      </w:r>
      <w:r>
        <w:rPr>
          <w:spacing w:val="-4"/>
          <w:sz w:val="16"/>
          <w:szCs w:val="16"/>
          <w:lang w:val="es-ES_tradnl"/>
        </w:rPr>
        <w:t>n solicit</w:t>
      </w:r>
      <w:r>
        <w:rPr>
          <w:rFonts w:cs="Times New Roman"/>
          <w:spacing w:val="-4"/>
          <w:sz w:val="16"/>
          <w:szCs w:val="16"/>
          <w:lang w:val="es-ES_tradnl"/>
        </w:rPr>
        <w:t>ó</w:t>
      </w:r>
      <w:r>
        <w:rPr>
          <w:spacing w:val="-4"/>
          <w:sz w:val="16"/>
          <w:szCs w:val="16"/>
          <w:lang w:val="es-ES_tradnl"/>
        </w:rPr>
        <w:t xml:space="preserve"> al </w:t>
      </w:r>
      <w:r>
        <w:rPr>
          <w:spacing w:val="-7"/>
          <w:sz w:val="16"/>
          <w:szCs w:val="16"/>
          <w:lang w:val="es-ES_tradnl"/>
        </w:rPr>
        <w:t>Ministerio de Relaciones Laborales emita una certificaci</w:t>
      </w:r>
      <w:r>
        <w:rPr>
          <w:rFonts w:cs="Times New Roman"/>
          <w:spacing w:val="-7"/>
          <w:sz w:val="16"/>
          <w:szCs w:val="16"/>
          <w:lang w:val="es-ES_tradnl"/>
        </w:rPr>
        <w:t>ó</w:t>
      </w:r>
      <w:r>
        <w:rPr>
          <w:spacing w:val="-7"/>
          <w:sz w:val="16"/>
          <w:szCs w:val="16"/>
          <w:lang w:val="es-ES_tradnl"/>
        </w:rPr>
        <w:t xml:space="preserve">n de </w:t>
      </w:r>
      <w:r>
        <w:rPr>
          <w:spacing w:val="-6"/>
          <w:sz w:val="16"/>
          <w:szCs w:val="16"/>
          <w:lang w:val="es-ES_tradnl"/>
        </w:rPr>
        <w:t>no tener impedimento legal para ejercer cargo p</w:t>
      </w:r>
      <w:r>
        <w:rPr>
          <w:rFonts w:cs="Times New Roman"/>
          <w:spacing w:val="-6"/>
          <w:sz w:val="16"/>
          <w:szCs w:val="16"/>
          <w:lang w:val="es-ES_tradnl"/>
        </w:rPr>
        <w:t>ú</w:t>
      </w:r>
      <w:r>
        <w:rPr>
          <w:spacing w:val="-6"/>
          <w:sz w:val="16"/>
          <w:szCs w:val="16"/>
          <w:lang w:val="es-ES_tradnl"/>
        </w:rPr>
        <w:t xml:space="preserve">blico. Esta </w:t>
      </w:r>
      <w:r>
        <w:rPr>
          <w:spacing w:val="-7"/>
          <w:sz w:val="16"/>
          <w:szCs w:val="16"/>
          <w:lang w:val="es-ES_tradnl"/>
        </w:rPr>
        <w:t>solicitud est</w:t>
      </w:r>
      <w:r>
        <w:rPr>
          <w:rFonts w:cs="Times New Roman"/>
          <w:spacing w:val="-7"/>
          <w:sz w:val="16"/>
          <w:szCs w:val="16"/>
          <w:lang w:val="es-ES_tradnl"/>
        </w:rPr>
        <w:t>á</w:t>
      </w:r>
      <w:r>
        <w:rPr>
          <w:spacing w:val="-7"/>
          <w:sz w:val="16"/>
          <w:szCs w:val="16"/>
          <w:lang w:val="es-ES_tradnl"/>
        </w:rPr>
        <w:t xml:space="preserve"> fechada el 08 de noviembre de 2010; por lo que, </w:t>
      </w:r>
      <w:r>
        <w:rPr>
          <w:spacing w:val="-3"/>
          <w:sz w:val="16"/>
          <w:szCs w:val="16"/>
          <w:lang w:val="es-ES_tradnl"/>
        </w:rPr>
        <w:t xml:space="preserve">a esa fecha, la normativa vigente y aplicable que regulaba </w:t>
      </w:r>
      <w:r>
        <w:rPr>
          <w:spacing w:val="-7"/>
          <w:sz w:val="16"/>
          <w:szCs w:val="16"/>
          <w:lang w:val="es-ES_tradnl"/>
        </w:rPr>
        <w:t xml:space="preserve">las condiciones para el reingreso de aquellos servidores que </w:t>
      </w:r>
      <w:r>
        <w:rPr>
          <w:spacing w:val="-8"/>
          <w:sz w:val="16"/>
          <w:szCs w:val="16"/>
          <w:lang w:val="es-ES_tradnl"/>
        </w:rPr>
        <w:t xml:space="preserve">hubieren recibido una </w:t>
      </w:r>
      <w:r>
        <w:rPr>
          <w:b/>
          <w:bCs/>
          <w:spacing w:val="-8"/>
          <w:sz w:val="16"/>
          <w:szCs w:val="16"/>
          <w:lang w:val="es-ES_tradnl"/>
        </w:rPr>
        <w:t>compensaci</w:t>
      </w:r>
      <w:r>
        <w:rPr>
          <w:rFonts w:cs="Times New Roman"/>
          <w:b/>
          <w:bCs/>
          <w:spacing w:val="-8"/>
          <w:sz w:val="16"/>
          <w:szCs w:val="16"/>
          <w:lang w:val="es-ES_tradnl"/>
        </w:rPr>
        <w:t>ó</w:t>
      </w:r>
      <w:r>
        <w:rPr>
          <w:b/>
          <w:bCs/>
          <w:spacing w:val="-8"/>
          <w:sz w:val="16"/>
          <w:szCs w:val="16"/>
          <w:lang w:val="es-ES_tradnl"/>
        </w:rPr>
        <w:t>n econ</w:t>
      </w:r>
      <w:r>
        <w:rPr>
          <w:rFonts w:cs="Times New Roman"/>
          <w:b/>
          <w:bCs/>
          <w:spacing w:val="-8"/>
          <w:sz w:val="16"/>
          <w:szCs w:val="16"/>
          <w:lang w:val="es-ES_tradnl"/>
        </w:rPr>
        <w:t>ó</w:t>
      </w:r>
      <w:r>
        <w:rPr>
          <w:b/>
          <w:bCs/>
          <w:spacing w:val="-8"/>
          <w:sz w:val="16"/>
          <w:szCs w:val="16"/>
          <w:lang w:val="es-ES_tradnl"/>
        </w:rPr>
        <w:t xml:space="preserve">mica por su </w:t>
      </w:r>
      <w:r>
        <w:rPr>
          <w:b/>
          <w:bCs/>
          <w:spacing w:val="-7"/>
          <w:sz w:val="16"/>
          <w:szCs w:val="16"/>
          <w:lang w:val="es-ES_tradnl"/>
        </w:rPr>
        <w:t xml:space="preserve">renuncia voluntaria </w:t>
      </w:r>
      <w:r>
        <w:rPr>
          <w:spacing w:val="-7"/>
          <w:sz w:val="16"/>
          <w:szCs w:val="16"/>
          <w:lang w:val="es-ES_tradnl"/>
        </w:rPr>
        <w:t>era la LOSEP, ya que la misma entr</w:t>
      </w:r>
      <w:r>
        <w:rPr>
          <w:rFonts w:cs="Times New Roman"/>
          <w:spacing w:val="-7"/>
          <w:sz w:val="16"/>
          <w:szCs w:val="16"/>
          <w:lang w:val="es-ES_tradnl"/>
        </w:rPr>
        <w:t>ó</w:t>
      </w:r>
      <w:r>
        <w:rPr>
          <w:spacing w:val="-7"/>
          <w:sz w:val="16"/>
          <w:szCs w:val="16"/>
          <w:lang w:val="es-ES_tradnl"/>
        </w:rPr>
        <w:t xml:space="preserve"> en </w:t>
      </w:r>
      <w:r>
        <w:rPr>
          <w:spacing w:val="-3"/>
          <w:sz w:val="16"/>
          <w:szCs w:val="16"/>
          <w:lang w:val="es-ES_tradnl"/>
        </w:rPr>
        <w:t>vigencia el 6 de octubre de ese mismo a</w:t>
      </w:r>
      <w:r>
        <w:rPr>
          <w:rFonts w:cs="Times New Roman"/>
          <w:spacing w:val="-3"/>
          <w:sz w:val="16"/>
          <w:szCs w:val="16"/>
          <w:lang w:val="es-ES_tradnl"/>
        </w:rPr>
        <w:t>ñ</w:t>
      </w:r>
      <w:r>
        <w:rPr>
          <w:spacing w:val="-3"/>
          <w:sz w:val="16"/>
          <w:szCs w:val="16"/>
          <w:lang w:val="es-ES_tradnl"/>
        </w:rPr>
        <w:t>o (</w:t>
      </w:r>
      <w:r>
        <w:rPr>
          <w:rFonts w:cs="Times New Roman"/>
          <w:spacing w:val="-3"/>
          <w:sz w:val="16"/>
          <w:szCs w:val="16"/>
          <w:lang w:val="es-ES_tradnl"/>
        </w:rPr>
        <w:t>…</w:t>
      </w:r>
      <w:r>
        <w:rPr>
          <w:spacing w:val="-3"/>
          <w:sz w:val="16"/>
          <w:szCs w:val="16"/>
          <w:lang w:val="es-ES_tradnl"/>
        </w:rPr>
        <w:t>) por lo que,</w:t>
      </w:r>
    </w:p>
    <w:p w14:paraId="4F67B0C7" w14:textId="77777777" w:rsidR="00591D54" w:rsidRDefault="00591D54">
      <w:pPr>
        <w:shd w:val="clear" w:color="auto" w:fill="FFFFFF"/>
        <w:spacing w:line="226" w:lineRule="exact"/>
        <w:ind w:left="283" w:right="5"/>
        <w:jc w:val="both"/>
      </w:pPr>
      <w:r>
        <w:rPr>
          <w:b/>
          <w:bCs/>
          <w:spacing w:val="-7"/>
          <w:sz w:val="16"/>
          <w:szCs w:val="16"/>
          <w:lang w:val="es-ES_tradnl"/>
        </w:rPr>
        <w:t>no puede pretender que para su reingreso se le apliquen condiciones de normas derogadas</w:t>
      </w:r>
      <w:r>
        <w:rPr>
          <w:spacing w:val="-7"/>
          <w:sz w:val="16"/>
          <w:szCs w:val="16"/>
          <w:lang w:val="es-ES_tradnl"/>
        </w:rPr>
        <w:t xml:space="preserve">. A los operadores de </w:t>
      </w:r>
      <w:r>
        <w:rPr>
          <w:spacing w:val="-6"/>
          <w:sz w:val="16"/>
          <w:szCs w:val="16"/>
          <w:lang w:val="es-ES_tradnl"/>
        </w:rPr>
        <w:t xml:space="preserve">justicia les corresponde siempre aplicar la norma vigente al </w:t>
      </w:r>
      <w:r>
        <w:rPr>
          <w:spacing w:val="-3"/>
          <w:sz w:val="16"/>
          <w:szCs w:val="16"/>
          <w:lang w:val="es-ES_tradnl"/>
        </w:rPr>
        <w:t xml:space="preserve">momento de ocurridos los hechos y aquella, en este caso, </w:t>
      </w:r>
      <w:r>
        <w:rPr>
          <w:spacing w:val="-5"/>
          <w:sz w:val="16"/>
          <w:szCs w:val="16"/>
          <w:lang w:val="es-ES_tradnl"/>
        </w:rPr>
        <w:t>es la LOSEP. De manera que aplicar normas que ya fueron</w:t>
      </w:r>
    </w:p>
    <w:p w14:paraId="4F67B0C8" w14:textId="77777777" w:rsidR="00591D54" w:rsidRDefault="00591D54">
      <w:pPr>
        <w:shd w:val="clear" w:color="auto" w:fill="FFFFFF"/>
        <w:spacing w:before="552" w:line="178" w:lineRule="exact"/>
        <w:ind w:left="139" w:hanging="139"/>
      </w:pPr>
      <w:r>
        <w:rPr>
          <w:spacing w:val="-4"/>
          <w:sz w:val="16"/>
          <w:szCs w:val="16"/>
          <w:vertAlign w:val="superscript"/>
          <w:lang w:val="es-ES_tradnl"/>
        </w:rPr>
        <w:t>13</w:t>
      </w:r>
      <w:r>
        <w:rPr>
          <w:spacing w:val="-4"/>
          <w:sz w:val="16"/>
          <w:szCs w:val="16"/>
          <w:lang w:val="es-ES_tradnl"/>
        </w:rPr>
        <w:t xml:space="preserve"> </w:t>
      </w:r>
      <w:r>
        <w:rPr>
          <w:spacing w:val="-12"/>
          <w:sz w:val="16"/>
          <w:szCs w:val="16"/>
          <w:lang w:val="es-ES_tradnl"/>
        </w:rPr>
        <w:t>Corte Constitucional del Ecuador, sentencia No. 223-14-SEP-CC, de 26 de noviembre de 2014 en el caso No. 1240-12-EP.</w:t>
      </w:r>
    </w:p>
    <w:p w14:paraId="4F67B0C9" w14:textId="77777777" w:rsidR="00591D54" w:rsidRDefault="00591D54">
      <w:pPr>
        <w:shd w:val="clear" w:color="auto" w:fill="FFFFFF"/>
        <w:spacing w:before="5" w:line="211" w:lineRule="exact"/>
        <w:ind w:left="283" w:right="5"/>
        <w:jc w:val="both"/>
      </w:pPr>
      <w:r>
        <w:br w:type="column"/>
      </w:r>
      <w:r>
        <w:rPr>
          <w:spacing w:val="-10"/>
          <w:sz w:val="16"/>
          <w:szCs w:val="16"/>
          <w:lang w:val="es-ES_tradnl"/>
        </w:rPr>
        <w:t xml:space="preserve">derogadas y que ya no regulan las condiciones para el reingreso </w:t>
      </w:r>
      <w:r>
        <w:rPr>
          <w:spacing w:val="-7"/>
          <w:sz w:val="16"/>
          <w:szCs w:val="16"/>
          <w:lang w:val="es-ES_tradnl"/>
        </w:rPr>
        <w:t>al sector p</w:t>
      </w:r>
      <w:r>
        <w:rPr>
          <w:rFonts w:cs="Times New Roman"/>
          <w:spacing w:val="-7"/>
          <w:sz w:val="16"/>
          <w:szCs w:val="16"/>
          <w:lang w:val="es-ES_tradnl"/>
        </w:rPr>
        <w:t>ú</w:t>
      </w:r>
      <w:r>
        <w:rPr>
          <w:spacing w:val="-7"/>
          <w:sz w:val="16"/>
          <w:szCs w:val="16"/>
          <w:lang w:val="es-ES_tradnl"/>
        </w:rPr>
        <w:t>blico s</w:t>
      </w:r>
      <w:r>
        <w:rPr>
          <w:rFonts w:cs="Times New Roman"/>
          <w:spacing w:val="-7"/>
          <w:sz w:val="16"/>
          <w:szCs w:val="16"/>
          <w:lang w:val="es-ES_tradnl"/>
        </w:rPr>
        <w:t>í</w:t>
      </w:r>
      <w:r>
        <w:rPr>
          <w:spacing w:val="-7"/>
          <w:sz w:val="16"/>
          <w:szCs w:val="16"/>
          <w:lang w:val="es-ES_tradnl"/>
        </w:rPr>
        <w:t xml:space="preserve"> constituir</w:t>
      </w:r>
      <w:r>
        <w:rPr>
          <w:rFonts w:cs="Times New Roman"/>
          <w:spacing w:val="-7"/>
          <w:sz w:val="16"/>
          <w:szCs w:val="16"/>
          <w:lang w:val="es-ES_tradnl"/>
        </w:rPr>
        <w:t>í</w:t>
      </w:r>
      <w:r>
        <w:rPr>
          <w:spacing w:val="-7"/>
          <w:sz w:val="16"/>
          <w:szCs w:val="16"/>
          <w:lang w:val="es-ES_tradnl"/>
        </w:rPr>
        <w:t>a una vulneraci</w:t>
      </w:r>
      <w:r>
        <w:rPr>
          <w:rFonts w:cs="Times New Roman"/>
          <w:spacing w:val="-7"/>
          <w:sz w:val="16"/>
          <w:szCs w:val="16"/>
          <w:lang w:val="es-ES_tradnl"/>
        </w:rPr>
        <w:t>ó</w:t>
      </w:r>
      <w:r>
        <w:rPr>
          <w:spacing w:val="-7"/>
          <w:sz w:val="16"/>
          <w:szCs w:val="16"/>
          <w:lang w:val="es-ES_tradnl"/>
        </w:rPr>
        <w:t xml:space="preserve">n al derecho a la </w:t>
      </w:r>
      <w:r>
        <w:rPr>
          <w:sz w:val="16"/>
          <w:szCs w:val="16"/>
          <w:lang w:val="es-ES_tradnl"/>
        </w:rPr>
        <w:t>seguridad jur</w:t>
      </w:r>
      <w:r>
        <w:rPr>
          <w:rFonts w:cs="Times New Roman"/>
          <w:sz w:val="16"/>
          <w:szCs w:val="16"/>
          <w:lang w:val="es-ES_tradnl"/>
        </w:rPr>
        <w:t>í</w:t>
      </w:r>
      <w:r>
        <w:rPr>
          <w:sz w:val="16"/>
          <w:szCs w:val="16"/>
          <w:lang w:val="es-ES_tradnl"/>
        </w:rPr>
        <w:t>dica</w:t>
      </w:r>
      <w:r>
        <w:rPr>
          <w:sz w:val="16"/>
          <w:szCs w:val="16"/>
          <w:vertAlign w:val="superscript"/>
          <w:lang w:val="es-ES_tradnl"/>
        </w:rPr>
        <w:t>14</w:t>
      </w:r>
      <w:r>
        <w:rPr>
          <w:sz w:val="16"/>
          <w:szCs w:val="16"/>
          <w:lang w:val="es-ES_tradnl"/>
        </w:rPr>
        <w:t>. (</w:t>
      </w:r>
      <w:r>
        <w:rPr>
          <w:rFonts w:cs="Times New Roman"/>
          <w:sz w:val="16"/>
          <w:szCs w:val="16"/>
          <w:lang w:val="es-ES_tradnl"/>
        </w:rPr>
        <w:t>É</w:t>
      </w:r>
      <w:r>
        <w:rPr>
          <w:sz w:val="16"/>
          <w:szCs w:val="16"/>
          <w:lang w:val="es-ES_tradnl"/>
        </w:rPr>
        <w:t>nfasis a</w:t>
      </w:r>
      <w:r>
        <w:rPr>
          <w:rFonts w:cs="Times New Roman"/>
          <w:sz w:val="16"/>
          <w:szCs w:val="16"/>
          <w:lang w:val="es-ES_tradnl"/>
        </w:rPr>
        <w:t>ñ</w:t>
      </w:r>
      <w:r>
        <w:rPr>
          <w:sz w:val="16"/>
          <w:szCs w:val="16"/>
          <w:lang w:val="es-ES_tradnl"/>
        </w:rPr>
        <w:t>adido).</w:t>
      </w:r>
    </w:p>
    <w:p w14:paraId="4F67B0CA" w14:textId="77777777" w:rsidR="00591D54" w:rsidRDefault="00591D54">
      <w:pPr>
        <w:shd w:val="clear" w:color="auto" w:fill="FFFFFF"/>
        <w:spacing w:before="202" w:line="216" w:lineRule="exact"/>
        <w:jc w:val="both"/>
      </w:pPr>
      <w:r>
        <w:rPr>
          <w:spacing w:val="-5"/>
          <w:sz w:val="18"/>
          <w:szCs w:val="18"/>
          <w:lang w:val="es-ES_tradnl"/>
        </w:rPr>
        <w:t>En esta misma l</w:t>
      </w:r>
      <w:r>
        <w:rPr>
          <w:rFonts w:cs="Times New Roman"/>
          <w:spacing w:val="-5"/>
          <w:sz w:val="18"/>
          <w:szCs w:val="18"/>
          <w:lang w:val="es-ES_tradnl"/>
        </w:rPr>
        <w:t>í</w:t>
      </w:r>
      <w:r>
        <w:rPr>
          <w:spacing w:val="-5"/>
          <w:sz w:val="18"/>
          <w:szCs w:val="18"/>
          <w:lang w:val="es-ES_tradnl"/>
        </w:rPr>
        <w:t xml:space="preserve">nea de razonamiento, esta Magistratura </w:t>
      </w:r>
      <w:r>
        <w:rPr>
          <w:spacing w:val="-7"/>
          <w:sz w:val="18"/>
          <w:szCs w:val="18"/>
          <w:lang w:val="es-ES_tradnl"/>
        </w:rPr>
        <w:t>en la sentencia N.</w:t>
      </w:r>
      <w:r>
        <w:rPr>
          <w:rFonts w:cs="Times New Roman"/>
          <w:spacing w:val="-7"/>
          <w:sz w:val="18"/>
          <w:szCs w:val="18"/>
          <w:lang w:val="es-ES_tradnl"/>
        </w:rPr>
        <w:t>º</w:t>
      </w:r>
      <w:r>
        <w:rPr>
          <w:spacing w:val="-7"/>
          <w:sz w:val="18"/>
          <w:szCs w:val="18"/>
          <w:lang w:val="es-ES_tradnl"/>
        </w:rPr>
        <w:t xml:space="preserve"> 052-15-SEP-CC, caso N.</w:t>
      </w:r>
      <w:r>
        <w:rPr>
          <w:rFonts w:cs="Times New Roman"/>
          <w:spacing w:val="-7"/>
          <w:sz w:val="18"/>
          <w:szCs w:val="18"/>
          <w:lang w:val="es-ES_tradnl"/>
        </w:rPr>
        <w:t>º</w:t>
      </w:r>
      <w:r>
        <w:rPr>
          <w:spacing w:val="-7"/>
          <w:sz w:val="18"/>
          <w:szCs w:val="18"/>
          <w:lang w:val="es-ES_tradnl"/>
        </w:rPr>
        <w:t xml:space="preserve"> 414-14-EP expedida el 25 de febrero de 2015, manifest</w:t>
      </w:r>
      <w:r>
        <w:rPr>
          <w:rFonts w:cs="Times New Roman"/>
          <w:spacing w:val="-7"/>
          <w:sz w:val="18"/>
          <w:szCs w:val="18"/>
          <w:lang w:val="es-ES_tradnl"/>
        </w:rPr>
        <w:t>ó</w:t>
      </w:r>
      <w:r>
        <w:rPr>
          <w:spacing w:val="-7"/>
          <w:sz w:val="18"/>
          <w:szCs w:val="18"/>
          <w:lang w:val="es-ES_tradnl"/>
        </w:rPr>
        <w:t xml:space="preserve"> que:</w:t>
      </w:r>
    </w:p>
    <w:p w14:paraId="4F67B0CB" w14:textId="77777777" w:rsidR="00591D54" w:rsidRDefault="00591D54">
      <w:pPr>
        <w:shd w:val="clear" w:color="auto" w:fill="FFFFFF"/>
        <w:spacing w:before="202" w:line="216" w:lineRule="exact"/>
        <w:ind w:left="283" w:right="5"/>
        <w:jc w:val="both"/>
      </w:pPr>
      <w:r>
        <w:rPr>
          <w:rFonts w:cs="Times New Roman"/>
          <w:spacing w:val="-5"/>
          <w:sz w:val="16"/>
          <w:szCs w:val="16"/>
          <w:lang w:val="es-ES_tradnl"/>
        </w:rPr>
        <w:t>“</w:t>
      </w:r>
      <w:r>
        <w:rPr>
          <w:spacing w:val="-5"/>
          <w:sz w:val="16"/>
          <w:szCs w:val="16"/>
          <w:lang w:val="es-ES_tradnl"/>
        </w:rPr>
        <w:t>(</w:t>
      </w:r>
      <w:r>
        <w:rPr>
          <w:rFonts w:cs="Times New Roman"/>
          <w:spacing w:val="-5"/>
          <w:sz w:val="16"/>
          <w:szCs w:val="16"/>
          <w:lang w:val="es-ES_tradnl"/>
        </w:rPr>
        <w:t>…</w:t>
      </w:r>
      <w:r>
        <w:rPr>
          <w:spacing w:val="-5"/>
          <w:sz w:val="16"/>
          <w:szCs w:val="16"/>
          <w:lang w:val="es-ES_tradnl"/>
        </w:rPr>
        <w:t>) el principio universal de aplicaci</w:t>
      </w:r>
      <w:r>
        <w:rPr>
          <w:rFonts w:cs="Times New Roman"/>
          <w:spacing w:val="-5"/>
          <w:sz w:val="16"/>
          <w:szCs w:val="16"/>
          <w:lang w:val="es-ES_tradnl"/>
        </w:rPr>
        <w:t>ó</w:t>
      </w:r>
      <w:r>
        <w:rPr>
          <w:spacing w:val="-5"/>
          <w:sz w:val="16"/>
          <w:szCs w:val="16"/>
          <w:lang w:val="es-ES_tradnl"/>
        </w:rPr>
        <w:t xml:space="preserve">n de la ley es que rige </w:t>
      </w:r>
      <w:r>
        <w:rPr>
          <w:spacing w:val="-4"/>
          <w:sz w:val="16"/>
          <w:szCs w:val="16"/>
          <w:lang w:val="es-ES_tradnl"/>
        </w:rPr>
        <w:t>para lo venidero, por tal raz</w:t>
      </w:r>
      <w:r>
        <w:rPr>
          <w:rFonts w:cs="Times New Roman"/>
          <w:spacing w:val="-4"/>
          <w:sz w:val="16"/>
          <w:szCs w:val="16"/>
          <w:lang w:val="es-ES_tradnl"/>
        </w:rPr>
        <w:t>ó</w:t>
      </w:r>
      <w:r>
        <w:rPr>
          <w:spacing w:val="-4"/>
          <w:sz w:val="16"/>
          <w:szCs w:val="16"/>
          <w:lang w:val="es-ES_tradnl"/>
        </w:rPr>
        <w:t>n si el se</w:t>
      </w:r>
      <w:r>
        <w:rPr>
          <w:rFonts w:cs="Times New Roman"/>
          <w:spacing w:val="-4"/>
          <w:sz w:val="16"/>
          <w:szCs w:val="16"/>
          <w:lang w:val="es-ES_tradnl"/>
        </w:rPr>
        <w:t>ñ</w:t>
      </w:r>
      <w:r>
        <w:rPr>
          <w:spacing w:val="-4"/>
          <w:sz w:val="16"/>
          <w:szCs w:val="16"/>
          <w:lang w:val="es-ES_tradnl"/>
        </w:rPr>
        <w:t xml:space="preserve">or Gonzalo Vinicio </w:t>
      </w:r>
      <w:r>
        <w:rPr>
          <w:rFonts w:cs="Times New Roman"/>
          <w:spacing w:val="-5"/>
          <w:sz w:val="16"/>
          <w:szCs w:val="16"/>
          <w:lang w:val="es-ES_tradnl"/>
        </w:rPr>
        <w:t>Á</w:t>
      </w:r>
      <w:r>
        <w:rPr>
          <w:spacing w:val="-5"/>
          <w:sz w:val="16"/>
          <w:szCs w:val="16"/>
          <w:lang w:val="es-ES_tradnl"/>
        </w:rPr>
        <w:t>lvarez Celi deseaba trabajar en el sector p</w:t>
      </w:r>
      <w:r>
        <w:rPr>
          <w:rFonts w:cs="Times New Roman"/>
          <w:spacing w:val="-5"/>
          <w:sz w:val="16"/>
          <w:szCs w:val="16"/>
          <w:lang w:val="es-ES_tradnl"/>
        </w:rPr>
        <w:t>ú</w:t>
      </w:r>
      <w:r>
        <w:rPr>
          <w:spacing w:val="-5"/>
          <w:sz w:val="16"/>
          <w:szCs w:val="16"/>
          <w:lang w:val="es-ES_tradnl"/>
        </w:rPr>
        <w:t xml:space="preserve">blico debida </w:t>
      </w:r>
      <w:r>
        <w:rPr>
          <w:spacing w:val="-10"/>
          <w:sz w:val="16"/>
          <w:szCs w:val="16"/>
          <w:lang w:val="es-ES_tradnl"/>
        </w:rPr>
        <w:t xml:space="preserve">acogerse a lo que establecen las normas que regulan su ingreso </w:t>
      </w:r>
      <w:r>
        <w:rPr>
          <w:spacing w:val="-8"/>
          <w:sz w:val="16"/>
          <w:szCs w:val="16"/>
          <w:lang w:val="es-ES_tradnl"/>
        </w:rPr>
        <w:t xml:space="preserve">y que se encuentran vigentes. En otras palabras todo aspirante </w:t>
      </w:r>
      <w:r>
        <w:rPr>
          <w:spacing w:val="-3"/>
          <w:sz w:val="16"/>
          <w:szCs w:val="16"/>
          <w:lang w:val="es-ES_tradnl"/>
        </w:rPr>
        <w:t>al servicio p</w:t>
      </w:r>
      <w:r>
        <w:rPr>
          <w:rFonts w:cs="Times New Roman"/>
          <w:spacing w:val="-3"/>
          <w:sz w:val="16"/>
          <w:szCs w:val="16"/>
          <w:lang w:val="es-ES_tradnl"/>
        </w:rPr>
        <w:t>ú</w:t>
      </w:r>
      <w:r>
        <w:rPr>
          <w:spacing w:val="-3"/>
          <w:sz w:val="16"/>
          <w:szCs w:val="16"/>
          <w:lang w:val="es-ES_tradnl"/>
        </w:rPr>
        <w:t xml:space="preserve">blico debe cumplir los requisitos que la ley </w:t>
      </w:r>
      <w:r>
        <w:rPr>
          <w:sz w:val="16"/>
          <w:szCs w:val="16"/>
          <w:lang w:val="es-ES_tradnl"/>
        </w:rPr>
        <w:t>manda</w:t>
      </w:r>
      <w:r>
        <w:rPr>
          <w:rFonts w:cs="Times New Roman"/>
          <w:sz w:val="16"/>
          <w:szCs w:val="16"/>
          <w:lang w:val="es-ES_tradnl"/>
        </w:rPr>
        <w:t>”</w:t>
      </w:r>
      <w:r>
        <w:rPr>
          <w:sz w:val="16"/>
          <w:szCs w:val="16"/>
          <w:lang w:val="es-ES_tradnl"/>
        </w:rPr>
        <w:t>.</w:t>
      </w:r>
    </w:p>
    <w:p w14:paraId="4F67B0CC" w14:textId="77777777" w:rsidR="00591D54" w:rsidRDefault="00591D54">
      <w:pPr>
        <w:shd w:val="clear" w:color="auto" w:fill="FFFFFF"/>
        <w:spacing w:before="202" w:line="216" w:lineRule="exact"/>
        <w:ind w:right="5"/>
        <w:jc w:val="both"/>
      </w:pPr>
      <w:r>
        <w:rPr>
          <w:spacing w:val="-5"/>
          <w:sz w:val="18"/>
          <w:szCs w:val="18"/>
          <w:lang w:val="es-ES_tradnl"/>
        </w:rPr>
        <w:t>Lo expuesto permite evidenciar que la aplicaci</w:t>
      </w:r>
      <w:r>
        <w:rPr>
          <w:rFonts w:cs="Times New Roman"/>
          <w:spacing w:val="-5"/>
          <w:sz w:val="18"/>
          <w:szCs w:val="18"/>
          <w:lang w:val="es-ES_tradnl"/>
        </w:rPr>
        <w:t>ó</w:t>
      </w:r>
      <w:r>
        <w:rPr>
          <w:spacing w:val="-5"/>
          <w:sz w:val="18"/>
          <w:szCs w:val="18"/>
          <w:lang w:val="es-ES_tradnl"/>
        </w:rPr>
        <w:t xml:space="preserve">n de la </w:t>
      </w:r>
      <w:r>
        <w:rPr>
          <w:spacing w:val="-7"/>
          <w:sz w:val="18"/>
          <w:szCs w:val="18"/>
          <w:lang w:val="es-ES_tradnl"/>
        </w:rPr>
        <w:t>disposici</w:t>
      </w:r>
      <w:r>
        <w:rPr>
          <w:rFonts w:cs="Times New Roman"/>
          <w:spacing w:val="-7"/>
          <w:sz w:val="18"/>
          <w:szCs w:val="18"/>
          <w:lang w:val="es-ES_tradnl"/>
        </w:rPr>
        <w:t>ó</w:t>
      </w:r>
      <w:r>
        <w:rPr>
          <w:spacing w:val="-7"/>
          <w:sz w:val="18"/>
          <w:szCs w:val="18"/>
          <w:lang w:val="es-ES_tradnl"/>
        </w:rPr>
        <w:t xml:space="preserve">n general segunda a la Ley para la Reforma de </w:t>
      </w:r>
      <w:r>
        <w:rPr>
          <w:spacing w:val="-9"/>
          <w:sz w:val="18"/>
          <w:szCs w:val="18"/>
          <w:lang w:val="es-ES_tradnl"/>
        </w:rPr>
        <w:t>Finanzas P</w:t>
      </w:r>
      <w:r>
        <w:rPr>
          <w:rFonts w:cs="Times New Roman"/>
          <w:spacing w:val="-9"/>
          <w:sz w:val="18"/>
          <w:szCs w:val="18"/>
          <w:lang w:val="es-ES_tradnl"/>
        </w:rPr>
        <w:t>ú</w:t>
      </w:r>
      <w:r>
        <w:rPr>
          <w:spacing w:val="-9"/>
          <w:sz w:val="18"/>
          <w:szCs w:val="18"/>
          <w:lang w:val="es-ES_tradnl"/>
        </w:rPr>
        <w:t xml:space="preserve">blicas en la sentencia cuestionada, claramente, </w:t>
      </w:r>
      <w:r>
        <w:rPr>
          <w:spacing w:val="-7"/>
          <w:sz w:val="18"/>
          <w:szCs w:val="18"/>
          <w:lang w:val="es-ES_tradnl"/>
        </w:rPr>
        <w:t>se aparta de los principios constitucionales, del art</w:t>
      </w:r>
      <w:r>
        <w:rPr>
          <w:rFonts w:cs="Times New Roman"/>
          <w:spacing w:val="-7"/>
          <w:sz w:val="18"/>
          <w:szCs w:val="18"/>
          <w:lang w:val="es-ES_tradnl"/>
        </w:rPr>
        <w:t>í</w:t>
      </w:r>
      <w:r>
        <w:rPr>
          <w:spacing w:val="-7"/>
          <w:sz w:val="18"/>
          <w:szCs w:val="18"/>
          <w:lang w:val="es-ES_tradnl"/>
        </w:rPr>
        <w:t xml:space="preserve">culo 14 </w:t>
      </w:r>
      <w:r>
        <w:rPr>
          <w:spacing w:val="-6"/>
          <w:sz w:val="18"/>
          <w:szCs w:val="18"/>
          <w:lang w:val="es-ES_tradnl"/>
        </w:rPr>
        <w:t>de la Ley Org</w:t>
      </w:r>
      <w:r>
        <w:rPr>
          <w:rFonts w:cs="Times New Roman"/>
          <w:spacing w:val="-6"/>
          <w:sz w:val="18"/>
          <w:szCs w:val="18"/>
          <w:lang w:val="es-ES_tradnl"/>
        </w:rPr>
        <w:t>á</w:t>
      </w:r>
      <w:r>
        <w:rPr>
          <w:spacing w:val="-6"/>
          <w:sz w:val="18"/>
          <w:szCs w:val="18"/>
          <w:lang w:val="es-ES_tradnl"/>
        </w:rPr>
        <w:t>nica de Servicio P</w:t>
      </w:r>
      <w:r>
        <w:rPr>
          <w:rFonts w:cs="Times New Roman"/>
          <w:spacing w:val="-6"/>
          <w:sz w:val="18"/>
          <w:szCs w:val="18"/>
          <w:lang w:val="es-ES_tradnl"/>
        </w:rPr>
        <w:t>ú</w:t>
      </w:r>
      <w:r>
        <w:rPr>
          <w:spacing w:val="-6"/>
          <w:sz w:val="18"/>
          <w:szCs w:val="18"/>
          <w:lang w:val="es-ES_tradnl"/>
        </w:rPr>
        <w:t xml:space="preserve">blico y los precedentes </w:t>
      </w:r>
      <w:r>
        <w:rPr>
          <w:spacing w:val="-5"/>
          <w:sz w:val="18"/>
          <w:szCs w:val="18"/>
          <w:lang w:val="es-ES_tradnl"/>
        </w:rPr>
        <w:t xml:space="preserve">jurisprudenciales mencionados en esta sentencia, por </w:t>
      </w:r>
      <w:r>
        <w:rPr>
          <w:spacing w:val="-3"/>
          <w:sz w:val="18"/>
          <w:szCs w:val="18"/>
          <w:lang w:val="es-ES_tradnl"/>
        </w:rPr>
        <w:t>cuanto, la interpretaci</w:t>
      </w:r>
      <w:r>
        <w:rPr>
          <w:rFonts w:cs="Times New Roman"/>
          <w:spacing w:val="-3"/>
          <w:sz w:val="18"/>
          <w:szCs w:val="18"/>
          <w:lang w:val="es-ES_tradnl"/>
        </w:rPr>
        <w:t>ó</w:t>
      </w:r>
      <w:r>
        <w:rPr>
          <w:spacing w:val="-3"/>
          <w:sz w:val="18"/>
          <w:szCs w:val="18"/>
          <w:lang w:val="es-ES_tradnl"/>
        </w:rPr>
        <w:t xml:space="preserve">n realizada por los jueces de la </w:t>
      </w:r>
      <w:r>
        <w:rPr>
          <w:spacing w:val="-2"/>
          <w:sz w:val="18"/>
          <w:szCs w:val="18"/>
          <w:lang w:val="es-ES_tradnl"/>
        </w:rPr>
        <w:t xml:space="preserve">Sala Especializada de lo Civil, Mercantil, Inquilinato y </w:t>
      </w:r>
      <w:r>
        <w:rPr>
          <w:spacing w:val="-6"/>
          <w:sz w:val="18"/>
          <w:szCs w:val="18"/>
          <w:lang w:val="es-ES_tradnl"/>
        </w:rPr>
        <w:t>Materias Residuales de la Corte Provincial del Ca</w:t>
      </w:r>
      <w:r>
        <w:rPr>
          <w:rFonts w:cs="Times New Roman"/>
          <w:spacing w:val="-6"/>
          <w:sz w:val="18"/>
          <w:szCs w:val="18"/>
          <w:lang w:val="es-ES_tradnl"/>
        </w:rPr>
        <w:t>ñ</w:t>
      </w:r>
      <w:r>
        <w:rPr>
          <w:spacing w:val="-6"/>
          <w:sz w:val="18"/>
          <w:szCs w:val="18"/>
          <w:lang w:val="es-ES_tradnl"/>
        </w:rPr>
        <w:t xml:space="preserve">ar, es </w:t>
      </w:r>
      <w:r>
        <w:rPr>
          <w:spacing w:val="-5"/>
          <w:sz w:val="18"/>
          <w:szCs w:val="18"/>
          <w:lang w:val="es-ES_tradnl"/>
        </w:rPr>
        <w:t>ajena y contraria a la Norma Constitucional.</w:t>
      </w:r>
    </w:p>
    <w:p w14:paraId="4F67B0CD" w14:textId="77777777" w:rsidR="00591D54" w:rsidRDefault="00591D54">
      <w:pPr>
        <w:shd w:val="clear" w:color="auto" w:fill="FFFFFF"/>
        <w:spacing w:before="192" w:line="216" w:lineRule="exact"/>
        <w:ind w:right="5"/>
        <w:jc w:val="both"/>
      </w:pPr>
      <w:r>
        <w:rPr>
          <w:spacing w:val="-7"/>
          <w:sz w:val="18"/>
          <w:szCs w:val="18"/>
          <w:lang w:val="es-ES_tradnl"/>
        </w:rPr>
        <w:t>Por lo que este m</w:t>
      </w:r>
      <w:r>
        <w:rPr>
          <w:rFonts w:cs="Times New Roman"/>
          <w:spacing w:val="-7"/>
          <w:sz w:val="18"/>
          <w:szCs w:val="18"/>
          <w:lang w:val="es-ES_tradnl"/>
        </w:rPr>
        <w:t>á</w:t>
      </w:r>
      <w:r>
        <w:rPr>
          <w:spacing w:val="-7"/>
          <w:sz w:val="18"/>
          <w:szCs w:val="18"/>
          <w:lang w:val="es-ES_tradnl"/>
        </w:rPr>
        <w:t xml:space="preserve">ximo </w:t>
      </w:r>
      <w:r>
        <w:rPr>
          <w:rFonts w:cs="Times New Roman"/>
          <w:spacing w:val="-7"/>
          <w:sz w:val="18"/>
          <w:szCs w:val="18"/>
          <w:lang w:val="es-ES_tradnl"/>
        </w:rPr>
        <w:t>ó</w:t>
      </w:r>
      <w:r>
        <w:rPr>
          <w:spacing w:val="-7"/>
          <w:sz w:val="18"/>
          <w:szCs w:val="18"/>
          <w:lang w:val="es-ES_tradnl"/>
        </w:rPr>
        <w:t>rgano de control e interpretaci</w:t>
      </w:r>
      <w:r>
        <w:rPr>
          <w:rFonts w:cs="Times New Roman"/>
          <w:spacing w:val="-7"/>
          <w:sz w:val="18"/>
          <w:szCs w:val="18"/>
          <w:lang w:val="es-ES_tradnl"/>
        </w:rPr>
        <w:t>ó</w:t>
      </w:r>
      <w:r>
        <w:rPr>
          <w:spacing w:val="-7"/>
          <w:sz w:val="18"/>
          <w:szCs w:val="18"/>
          <w:lang w:val="es-ES_tradnl"/>
        </w:rPr>
        <w:t xml:space="preserve">n </w:t>
      </w:r>
      <w:r>
        <w:rPr>
          <w:spacing w:val="-5"/>
          <w:sz w:val="18"/>
          <w:szCs w:val="18"/>
          <w:lang w:val="es-ES_tradnl"/>
        </w:rPr>
        <w:t>constitucional determina que la decisi</w:t>
      </w:r>
      <w:r>
        <w:rPr>
          <w:rFonts w:cs="Times New Roman"/>
          <w:spacing w:val="-5"/>
          <w:sz w:val="18"/>
          <w:szCs w:val="18"/>
          <w:lang w:val="es-ES_tradnl"/>
        </w:rPr>
        <w:t>ó</w:t>
      </w:r>
      <w:r>
        <w:rPr>
          <w:spacing w:val="-5"/>
          <w:sz w:val="18"/>
          <w:szCs w:val="18"/>
          <w:lang w:val="es-ES_tradnl"/>
        </w:rPr>
        <w:t xml:space="preserve">n judicial antes </w:t>
      </w:r>
      <w:r>
        <w:rPr>
          <w:sz w:val="18"/>
          <w:szCs w:val="18"/>
          <w:lang w:val="es-ES_tradnl"/>
        </w:rPr>
        <w:t>referida no verific</w:t>
      </w:r>
      <w:r>
        <w:rPr>
          <w:rFonts w:cs="Times New Roman"/>
          <w:sz w:val="18"/>
          <w:szCs w:val="18"/>
          <w:lang w:val="es-ES_tradnl"/>
        </w:rPr>
        <w:t>ó</w:t>
      </w:r>
      <w:r>
        <w:rPr>
          <w:sz w:val="18"/>
          <w:szCs w:val="18"/>
          <w:lang w:val="es-ES_tradnl"/>
        </w:rPr>
        <w:t xml:space="preserve"> el cumplimiento de los requisitos </w:t>
      </w:r>
      <w:r>
        <w:rPr>
          <w:spacing w:val="-3"/>
          <w:sz w:val="18"/>
          <w:szCs w:val="18"/>
          <w:lang w:val="es-ES_tradnl"/>
        </w:rPr>
        <w:t>de la demanda de acci</w:t>
      </w:r>
      <w:r>
        <w:rPr>
          <w:rFonts w:cs="Times New Roman"/>
          <w:spacing w:val="-3"/>
          <w:sz w:val="18"/>
          <w:szCs w:val="18"/>
          <w:lang w:val="es-ES_tradnl"/>
        </w:rPr>
        <w:t>ó</w:t>
      </w:r>
      <w:r>
        <w:rPr>
          <w:spacing w:val="-3"/>
          <w:sz w:val="18"/>
          <w:szCs w:val="18"/>
          <w:lang w:val="es-ES_tradnl"/>
        </w:rPr>
        <w:t>n de protecci</w:t>
      </w:r>
      <w:r>
        <w:rPr>
          <w:rFonts w:cs="Times New Roman"/>
          <w:spacing w:val="-3"/>
          <w:sz w:val="18"/>
          <w:szCs w:val="18"/>
          <w:lang w:val="es-ES_tradnl"/>
        </w:rPr>
        <w:t>ó</w:t>
      </w:r>
      <w:r>
        <w:rPr>
          <w:spacing w:val="-3"/>
          <w:sz w:val="18"/>
          <w:szCs w:val="18"/>
          <w:lang w:val="es-ES_tradnl"/>
        </w:rPr>
        <w:t>n por lo cual, la certificaci</w:t>
      </w:r>
      <w:r>
        <w:rPr>
          <w:rFonts w:cs="Times New Roman"/>
          <w:spacing w:val="-3"/>
          <w:sz w:val="18"/>
          <w:szCs w:val="18"/>
          <w:lang w:val="es-ES_tradnl"/>
        </w:rPr>
        <w:t>ó</w:t>
      </w:r>
      <w:r>
        <w:rPr>
          <w:spacing w:val="-3"/>
          <w:sz w:val="18"/>
          <w:szCs w:val="18"/>
          <w:lang w:val="es-ES_tradnl"/>
        </w:rPr>
        <w:t>n de inhabilidad para ejercer cargo p</w:t>
      </w:r>
      <w:r>
        <w:rPr>
          <w:rFonts w:cs="Times New Roman"/>
          <w:spacing w:val="-3"/>
          <w:sz w:val="18"/>
          <w:szCs w:val="18"/>
          <w:lang w:val="es-ES_tradnl"/>
        </w:rPr>
        <w:t>ú</w:t>
      </w:r>
      <w:r>
        <w:rPr>
          <w:spacing w:val="-3"/>
          <w:sz w:val="18"/>
          <w:szCs w:val="18"/>
          <w:lang w:val="es-ES_tradnl"/>
        </w:rPr>
        <w:t xml:space="preserve">blico </w:t>
      </w:r>
      <w:r>
        <w:rPr>
          <w:spacing w:val="-4"/>
          <w:sz w:val="18"/>
          <w:szCs w:val="18"/>
          <w:lang w:val="es-ES_tradnl"/>
        </w:rPr>
        <w:t xml:space="preserve">emitida por el Ministerio de Relaciones Laborales no </w:t>
      </w:r>
      <w:r>
        <w:rPr>
          <w:spacing w:val="-3"/>
          <w:sz w:val="18"/>
          <w:szCs w:val="18"/>
          <w:lang w:val="es-ES_tradnl"/>
        </w:rPr>
        <w:t xml:space="preserve">constituye acto que vulnere derechos constitucionales. </w:t>
      </w:r>
      <w:r>
        <w:rPr>
          <w:spacing w:val="-6"/>
          <w:sz w:val="18"/>
          <w:szCs w:val="18"/>
          <w:lang w:val="es-ES_tradnl"/>
        </w:rPr>
        <w:t>Es as</w:t>
      </w:r>
      <w:r>
        <w:rPr>
          <w:rFonts w:cs="Times New Roman"/>
          <w:spacing w:val="-6"/>
          <w:sz w:val="18"/>
          <w:szCs w:val="18"/>
          <w:lang w:val="es-ES_tradnl"/>
        </w:rPr>
        <w:t>í</w:t>
      </w:r>
      <w:r>
        <w:rPr>
          <w:spacing w:val="-6"/>
          <w:sz w:val="18"/>
          <w:szCs w:val="18"/>
          <w:lang w:val="es-ES_tradnl"/>
        </w:rPr>
        <w:t xml:space="preserve"> que la se</w:t>
      </w:r>
      <w:r>
        <w:rPr>
          <w:rFonts w:cs="Times New Roman"/>
          <w:spacing w:val="-6"/>
          <w:sz w:val="18"/>
          <w:szCs w:val="18"/>
          <w:lang w:val="es-ES_tradnl"/>
        </w:rPr>
        <w:t>ñ</w:t>
      </w:r>
      <w:r>
        <w:rPr>
          <w:spacing w:val="-6"/>
          <w:sz w:val="18"/>
          <w:szCs w:val="18"/>
          <w:lang w:val="es-ES_tradnl"/>
        </w:rPr>
        <w:t>ora Guti</w:t>
      </w:r>
      <w:r>
        <w:rPr>
          <w:rFonts w:cs="Times New Roman"/>
          <w:spacing w:val="-6"/>
          <w:sz w:val="18"/>
          <w:szCs w:val="18"/>
          <w:lang w:val="es-ES_tradnl"/>
        </w:rPr>
        <w:t>é</w:t>
      </w:r>
      <w:r>
        <w:rPr>
          <w:spacing w:val="-6"/>
          <w:sz w:val="18"/>
          <w:szCs w:val="18"/>
          <w:lang w:val="es-ES_tradnl"/>
        </w:rPr>
        <w:t xml:space="preserve">rrez Ortega, previo a participar </w:t>
      </w:r>
      <w:r>
        <w:rPr>
          <w:spacing w:val="-4"/>
          <w:sz w:val="18"/>
          <w:szCs w:val="18"/>
          <w:lang w:val="es-ES_tradnl"/>
        </w:rPr>
        <w:t>en concursos de m</w:t>
      </w:r>
      <w:r>
        <w:rPr>
          <w:rFonts w:cs="Times New Roman"/>
          <w:spacing w:val="-4"/>
          <w:sz w:val="18"/>
          <w:szCs w:val="18"/>
          <w:lang w:val="es-ES_tradnl"/>
        </w:rPr>
        <w:t>é</w:t>
      </w:r>
      <w:r>
        <w:rPr>
          <w:spacing w:val="-4"/>
          <w:sz w:val="18"/>
          <w:szCs w:val="18"/>
          <w:lang w:val="es-ES_tradnl"/>
        </w:rPr>
        <w:t>ritos y oposici</w:t>
      </w:r>
      <w:r>
        <w:rPr>
          <w:rFonts w:cs="Times New Roman"/>
          <w:spacing w:val="-4"/>
          <w:sz w:val="18"/>
          <w:szCs w:val="18"/>
          <w:lang w:val="es-ES_tradnl"/>
        </w:rPr>
        <w:t>ó</w:t>
      </w:r>
      <w:r>
        <w:rPr>
          <w:spacing w:val="-4"/>
          <w:sz w:val="18"/>
          <w:szCs w:val="18"/>
          <w:lang w:val="es-ES_tradnl"/>
        </w:rPr>
        <w:t>n, debi</w:t>
      </w:r>
      <w:r>
        <w:rPr>
          <w:rFonts w:cs="Times New Roman"/>
          <w:spacing w:val="-4"/>
          <w:sz w:val="18"/>
          <w:szCs w:val="18"/>
          <w:lang w:val="es-ES_tradnl"/>
        </w:rPr>
        <w:t>ó</w:t>
      </w:r>
      <w:r>
        <w:rPr>
          <w:spacing w:val="-4"/>
          <w:sz w:val="18"/>
          <w:szCs w:val="18"/>
          <w:lang w:val="es-ES_tradnl"/>
        </w:rPr>
        <w:t xml:space="preserve"> cumplir con </w:t>
      </w:r>
      <w:r>
        <w:rPr>
          <w:spacing w:val="-6"/>
          <w:sz w:val="18"/>
          <w:szCs w:val="18"/>
          <w:lang w:val="es-ES_tradnl"/>
        </w:rPr>
        <w:t xml:space="preserve">los requisitos necesarios establecido por la Ley para ser </w:t>
      </w:r>
      <w:r>
        <w:rPr>
          <w:spacing w:val="-4"/>
          <w:sz w:val="18"/>
          <w:szCs w:val="18"/>
          <w:lang w:val="es-ES_tradnl"/>
        </w:rPr>
        <w:t xml:space="preserve">docente del instituto educativo </w:t>
      </w:r>
      <w:r>
        <w:rPr>
          <w:rFonts w:cs="Times New Roman"/>
          <w:spacing w:val="-4"/>
          <w:sz w:val="18"/>
          <w:szCs w:val="18"/>
          <w:lang w:val="es-ES_tradnl"/>
        </w:rPr>
        <w:t>“</w:t>
      </w:r>
      <w:r>
        <w:rPr>
          <w:spacing w:val="-4"/>
          <w:sz w:val="18"/>
          <w:szCs w:val="18"/>
          <w:lang w:val="es-ES_tradnl"/>
        </w:rPr>
        <w:t>Luis Cordero</w:t>
      </w:r>
      <w:r>
        <w:rPr>
          <w:rFonts w:cs="Times New Roman"/>
          <w:spacing w:val="-4"/>
          <w:sz w:val="18"/>
          <w:szCs w:val="18"/>
          <w:lang w:val="es-ES_tradnl"/>
        </w:rPr>
        <w:t>”</w:t>
      </w:r>
      <w:r>
        <w:rPr>
          <w:spacing w:val="-4"/>
          <w:sz w:val="18"/>
          <w:szCs w:val="18"/>
          <w:lang w:val="es-ES_tradnl"/>
        </w:rPr>
        <w:t>. Adem</w:t>
      </w:r>
      <w:r>
        <w:rPr>
          <w:rFonts w:cs="Times New Roman"/>
          <w:spacing w:val="-4"/>
          <w:sz w:val="18"/>
          <w:szCs w:val="18"/>
          <w:lang w:val="es-ES_tradnl"/>
        </w:rPr>
        <w:t>á</w:t>
      </w:r>
      <w:r>
        <w:rPr>
          <w:spacing w:val="-4"/>
          <w:sz w:val="18"/>
          <w:szCs w:val="18"/>
          <w:lang w:val="es-ES_tradnl"/>
        </w:rPr>
        <w:t xml:space="preserve">s, </w:t>
      </w:r>
      <w:r>
        <w:rPr>
          <w:spacing w:val="-6"/>
          <w:sz w:val="18"/>
          <w:szCs w:val="18"/>
          <w:lang w:val="es-ES_tradnl"/>
        </w:rPr>
        <w:t xml:space="preserve">los jueces de la Sala accionada al aplicar como </w:t>
      </w:r>
      <w:r>
        <w:rPr>
          <w:i/>
          <w:iCs/>
          <w:spacing w:val="-6"/>
          <w:sz w:val="18"/>
          <w:szCs w:val="18"/>
          <w:lang w:val="es-ES_tradnl"/>
        </w:rPr>
        <w:t xml:space="preserve">ratio </w:t>
      </w:r>
      <w:r>
        <w:rPr>
          <w:spacing w:val="-6"/>
          <w:sz w:val="18"/>
          <w:szCs w:val="18"/>
          <w:lang w:val="es-ES_tradnl"/>
        </w:rPr>
        <w:t xml:space="preserve">la </w:t>
      </w:r>
      <w:r>
        <w:rPr>
          <w:spacing w:val="-7"/>
          <w:sz w:val="18"/>
          <w:szCs w:val="18"/>
          <w:lang w:val="es-ES_tradnl"/>
        </w:rPr>
        <w:t>disposici</w:t>
      </w:r>
      <w:r>
        <w:rPr>
          <w:rFonts w:cs="Times New Roman"/>
          <w:spacing w:val="-7"/>
          <w:sz w:val="18"/>
          <w:szCs w:val="18"/>
          <w:lang w:val="es-ES_tradnl"/>
        </w:rPr>
        <w:t>ó</w:t>
      </w:r>
      <w:r>
        <w:rPr>
          <w:spacing w:val="-7"/>
          <w:sz w:val="18"/>
          <w:szCs w:val="18"/>
          <w:lang w:val="es-ES_tradnl"/>
        </w:rPr>
        <w:t>n general segunda a la Ley para la Reforma de Finanzas P</w:t>
      </w:r>
      <w:r>
        <w:rPr>
          <w:rFonts w:cs="Times New Roman"/>
          <w:spacing w:val="-7"/>
          <w:sz w:val="18"/>
          <w:szCs w:val="18"/>
          <w:lang w:val="es-ES_tradnl"/>
        </w:rPr>
        <w:t>ú</w:t>
      </w:r>
      <w:r>
        <w:rPr>
          <w:spacing w:val="-7"/>
          <w:sz w:val="18"/>
          <w:szCs w:val="18"/>
          <w:lang w:val="es-ES_tradnl"/>
        </w:rPr>
        <w:t xml:space="preserve">blicas, norma derogada de forma retroactiva, </w:t>
      </w:r>
      <w:r>
        <w:rPr>
          <w:spacing w:val="-5"/>
          <w:sz w:val="18"/>
          <w:szCs w:val="18"/>
          <w:lang w:val="es-ES_tradnl"/>
        </w:rPr>
        <w:t xml:space="preserve">ha vulnerado el derecho constitucional a la seguridad </w:t>
      </w:r>
      <w:r>
        <w:rPr>
          <w:sz w:val="18"/>
          <w:szCs w:val="18"/>
          <w:lang w:val="es-ES_tradnl"/>
        </w:rPr>
        <w:t>jur</w:t>
      </w:r>
      <w:r>
        <w:rPr>
          <w:rFonts w:cs="Times New Roman"/>
          <w:sz w:val="18"/>
          <w:szCs w:val="18"/>
          <w:lang w:val="es-ES_tradnl"/>
        </w:rPr>
        <w:t>í</w:t>
      </w:r>
      <w:r>
        <w:rPr>
          <w:sz w:val="18"/>
          <w:szCs w:val="18"/>
          <w:lang w:val="es-ES_tradnl"/>
        </w:rPr>
        <w:t>dica.</w:t>
      </w:r>
    </w:p>
    <w:p w14:paraId="4F67B0CE" w14:textId="77777777" w:rsidR="00591D54" w:rsidRDefault="00591D54">
      <w:pPr>
        <w:shd w:val="clear" w:color="auto" w:fill="FFFFFF"/>
        <w:spacing w:before="192"/>
      </w:pPr>
      <w:r>
        <w:rPr>
          <w:b/>
          <w:bCs/>
          <w:spacing w:val="-10"/>
          <w:sz w:val="18"/>
          <w:szCs w:val="18"/>
          <w:lang w:val="es-ES_tradnl"/>
        </w:rPr>
        <w:t>Otras consideraciones</w:t>
      </w:r>
    </w:p>
    <w:p w14:paraId="4F67B0CF" w14:textId="77777777" w:rsidR="00591D54" w:rsidRDefault="00591D54">
      <w:pPr>
        <w:shd w:val="clear" w:color="auto" w:fill="FFFFFF"/>
        <w:spacing w:before="192" w:line="216" w:lineRule="exact"/>
        <w:ind w:right="5"/>
        <w:jc w:val="both"/>
      </w:pPr>
      <w:r>
        <w:rPr>
          <w:spacing w:val="-9"/>
          <w:sz w:val="18"/>
          <w:szCs w:val="18"/>
          <w:lang w:val="es-ES_tradnl"/>
        </w:rPr>
        <w:t xml:space="preserve">A fin de complementar el presente estudio, este Organismo </w:t>
      </w:r>
      <w:r>
        <w:rPr>
          <w:spacing w:val="-5"/>
          <w:sz w:val="18"/>
          <w:szCs w:val="18"/>
          <w:lang w:val="es-ES_tradnl"/>
        </w:rPr>
        <w:t>considera pertinente referirse a la resoluci</w:t>
      </w:r>
      <w:r>
        <w:rPr>
          <w:rFonts w:cs="Times New Roman"/>
          <w:spacing w:val="-5"/>
          <w:sz w:val="18"/>
          <w:szCs w:val="18"/>
          <w:lang w:val="es-ES_tradnl"/>
        </w:rPr>
        <w:t>ó</w:t>
      </w:r>
      <w:r>
        <w:rPr>
          <w:spacing w:val="-5"/>
          <w:sz w:val="18"/>
          <w:szCs w:val="18"/>
          <w:lang w:val="es-ES_tradnl"/>
        </w:rPr>
        <w:t xml:space="preserve">n de primera </w:t>
      </w:r>
      <w:r>
        <w:rPr>
          <w:spacing w:val="-3"/>
          <w:sz w:val="18"/>
          <w:szCs w:val="18"/>
          <w:lang w:val="es-ES_tradnl"/>
        </w:rPr>
        <w:t xml:space="preserve">instancia, esto es, la sentencia emitida el 07 de agosto </w:t>
      </w:r>
      <w:r>
        <w:rPr>
          <w:spacing w:val="-6"/>
          <w:sz w:val="18"/>
          <w:szCs w:val="18"/>
          <w:lang w:val="es-ES_tradnl"/>
        </w:rPr>
        <w:t>de 2012 a las 12h08, por la jueza cuarta de la ni</w:t>
      </w:r>
      <w:r>
        <w:rPr>
          <w:rFonts w:cs="Times New Roman"/>
          <w:spacing w:val="-6"/>
          <w:sz w:val="18"/>
          <w:szCs w:val="18"/>
          <w:lang w:val="es-ES_tradnl"/>
        </w:rPr>
        <w:t>ñ</w:t>
      </w:r>
      <w:r>
        <w:rPr>
          <w:spacing w:val="-6"/>
          <w:sz w:val="18"/>
          <w:szCs w:val="18"/>
          <w:lang w:val="es-ES_tradnl"/>
        </w:rPr>
        <w:t xml:space="preserve">ez y </w:t>
      </w:r>
      <w:r>
        <w:rPr>
          <w:spacing w:val="-3"/>
          <w:sz w:val="18"/>
          <w:szCs w:val="18"/>
          <w:lang w:val="es-ES_tradnl"/>
        </w:rPr>
        <w:t>adolescencia del Ca</w:t>
      </w:r>
      <w:r>
        <w:rPr>
          <w:rFonts w:cs="Times New Roman"/>
          <w:spacing w:val="-3"/>
          <w:sz w:val="18"/>
          <w:szCs w:val="18"/>
          <w:lang w:val="es-ES_tradnl"/>
        </w:rPr>
        <w:t>ñ</w:t>
      </w:r>
      <w:r>
        <w:rPr>
          <w:spacing w:val="-3"/>
          <w:sz w:val="18"/>
          <w:szCs w:val="18"/>
          <w:lang w:val="es-ES_tradnl"/>
        </w:rPr>
        <w:t>ar que declar</w:t>
      </w:r>
      <w:r>
        <w:rPr>
          <w:rFonts w:cs="Times New Roman"/>
          <w:spacing w:val="-3"/>
          <w:sz w:val="18"/>
          <w:szCs w:val="18"/>
          <w:lang w:val="es-ES_tradnl"/>
        </w:rPr>
        <w:t>ó</w:t>
      </w:r>
      <w:r>
        <w:rPr>
          <w:spacing w:val="-3"/>
          <w:sz w:val="18"/>
          <w:szCs w:val="18"/>
          <w:lang w:val="es-ES_tradnl"/>
        </w:rPr>
        <w:t xml:space="preserve"> sin lugar la acci</w:t>
      </w:r>
      <w:r>
        <w:rPr>
          <w:rFonts w:cs="Times New Roman"/>
          <w:spacing w:val="-3"/>
          <w:sz w:val="18"/>
          <w:szCs w:val="18"/>
          <w:lang w:val="es-ES_tradnl"/>
        </w:rPr>
        <w:t>ó</w:t>
      </w:r>
      <w:r>
        <w:rPr>
          <w:spacing w:val="-3"/>
          <w:sz w:val="18"/>
          <w:szCs w:val="18"/>
          <w:lang w:val="es-ES_tradnl"/>
        </w:rPr>
        <w:t xml:space="preserve">n </w:t>
      </w:r>
      <w:r>
        <w:rPr>
          <w:spacing w:val="-6"/>
          <w:sz w:val="18"/>
          <w:szCs w:val="18"/>
          <w:lang w:val="es-ES_tradnl"/>
        </w:rPr>
        <w:t>de protecci</w:t>
      </w:r>
      <w:r>
        <w:rPr>
          <w:rFonts w:cs="Times New Roman"/>
          <w:spacing w:val="-6"/>
          <w:sz w:val="18"/>
          <w:szCs w:val="18"/>
          <w:lang w:val="es-ES_tradnl"/>
        </w:rPr>
        <w:t>ó</w:t>
      </w:r>
      <w:r>
        <w:rPr>
          <w:spacing w:val="-6"/>
          <w:sz w:val="18"/>
          <w:szCs w:val="18"/>
          <w:lang w:val="es-ES_tradnl"/>
        </w:rPr>
        <w:t xml:space="preserve">n propuesta por improcedente, por cuanto, la </w:t>
      </w:r>
      <w:r>
        <w:rPr>
          <w:spacing w:val="-9"/>
          <w:sz w:val="18"/>
          <w:szCs w:val="18"/>
          <w:lang w:val="es-ES_tradnl"/>
        </w:rPr>
        <w:t>mencionada jueza consider</w:t>
      </w:r>
      <w:r>
        <w:rPr>
          <w:rFonts w:cs="Times New Roman"/>
          <w:spacing w:val="-9"/>
          <w:sz w:val="18"/>
          <w:szCs w:val="18"/>
          <w:lang w:val="es-ES_tradnl"/>
        </w:rPr>
        <w:t>ó</w:t>
      </w:r>
      <w:r>
        <w:rPr>
          <w:spacing w:val="-9"/>
          <w:sz w:val="18"/>
          <w:szCs w:val="18"/>
          <w:lang w:val="es-ES_tradnl"/>
        </w:rPr>
        <w:t xml:space="preserve"> que de los hechos puestos en </w:t>
      </w:r>
      <w:r>
        <w:rPr>
          <w:spacing w:val="-8"/>
          <w:sz w:val="18"/>
          <w:szCs w:val="18"/>
          <w:lang w:val="es-ES_tradnl"/>
        </w:rPr>
        <w:t xml:space="preserve">su conocimiento no se desprende que exista vulneraciones </w:t>
      </w:r>
      <w:r>
        <w:rPr>
          <w:spacing w:val="-6"/>
          <w:sz w:val="18"/>
          <w:szCs w:val="18"/>
          <w:lang w:val="es-ES_tradnl"/>
        </w:rPr>
        <w:t xml:space="preserve">de derechos constitucionales, conforme lo determina el </w:t>
      </w:r>
      <w:r>
        <w:rPr>
          <w:spacing w:val="-5"/>
          <w:sz w:val="18"/>
          <w:szCs w:val="18"/>
          <w:lang w:val="es-ES_tradnl"/>
        </w:rPr>
        <w:t>art</w:t>
      </w:r>
      <w:r>
        <w:rPr>
          <w:rFonts w:cs="Times New Roman"/>
          <w:spacing w:val="-5"/>
          <w:sz w:val="18"/>
          <w:szCs w:val="18"/>
          <w:lang w:val="es-ES_tradnl"/>
        </w:rPr>
        <w:t>í</w:t>
      </w:r>
      <w:r>
        <w:rPr>
          <w:spacing w:val="-5"/>
          <w:sz w:val="18"/>
          <w:szCs w:val="18"/>
          <w:lang w:val="es-ES_tradnl"/>
        </w:rPr>
        <w:t>culo 42 numeral 1 de la Ley Org</w:t>
      </w:r>
      <w:r>
        <w:rPr>
          <w:rFonts w:cs="Times New Roman"/>
          <w:spacing w:val="-5"/>
          <w:sz w:val="18"/>
          <w:szCs w:val="18"/>
          <w:lang w:val="es-ES_tradnl"/>
        </w:rPr>
        <w:t>á</w:t>
      </w:r>
      <w:r>
        <w:rPr>
          <w:spacing w:val="-5"/>
          <w:sz w:val="18"/>
          <w:szCs w:val="18"/>
          <w:lang w:val="es-ES_tradnl"/>
        </w:rPr>
        <w:t>nica de Garant</w:t>
      </w:r>
      <w:r>
        <w:rPr>
          <w:rFonts w:cs="Times New Roman"/>
          <w:spacing w:val="-5"/>
          <w:sz w:val="18"/>
          <w:szCs w:val="18"/>
          <w:lang w:val="es-ES_tradnl"/>
        </w:rPr>
        <w:t>í</w:t>
      </w:r>
      <w:r>
        <w:rPr>
          <w:spacing w:val="-5"/>
          <w:sz w:val="18"/>
          <w:szCs w:val="18"/>
          <w:lang w:val="es-ES_tradnl"/>
        </w:rPr>
        <w:t xml:space="preserve">as </w:t>
      </w:r>
      <w:r>
        <w:rPr>
          <w:spacing w:val="-4"/>
          <w:sz w:val="18"/>
          <w:szCs w:val="18"/>
          <w:lang w:val="es-ES_tradnl"/>
        </w:rPr>
        <w:t xml:space="preserve">Jurisdiccionales y Control Constitucional, en tal virtud, el </w:t>
      </w:r>
      <w:r>
        <w:rPr>
          <w:spacing w:val="-6"/>
          <w:sz w:val="18"/>
          <w:szCs w:val="18"/>
          <w:lang w:val="es-ES_tradnl"/>
        </w:rPr>
        <w:t>esp</w:t>
      </w:r>
      <w:r>
        <w:rPr>
          <w:rFonts w:cs="Times New Roman"/>
          <w:spacing w:val="-6"/>
          <w:sz w:val="18"/>
          <w:szCs w:val="18"/>
          <w:lang w:val="es-ES_tradnl"/>
        </w:rPr>
        <w:t>í</w:t>
      </w:r>
      <w:r>
        <w:rPr>
          <w:spacing w:val="-6"/>
          <w:sz w:val="18"/>
          <w:szCs w:val="18"/>
          <w:lang w:val="es-ES_tradnl"/>
        </w:rPr>
        <w:t>ritu de esta acci</w:t>
      </w:r>
      <w:r>
        <w:rPr>
          <w:rFonts w:cs="Times New Roman"/>
          <w:spacing w:val="-6"/>
          <w:sz w:val="18"/>
          <w:szCs w:val="18"/>
          <w:lang w:val="es-ES_tradnl"/>
        </w:rPr>
        <w:t>ó</w:t>
      </w:r>
      <w:r>
        <w:rPr>
          <w:spacing w:val="-6"/>
          <w:sz w:val="18"/>
          <w:szCs w:val="18"/>
          <w:lang w:val="es-ES_tradnl"/>
        </w:rPr>
        <w:t xml:space="preserve">n constitucional es el amparo directo </w:t>
      </w:r>
      <w:r>
        <w:rPr>
          <w:spacing w:val="-11"/>
          <w:sz w:val="18"/>
          <w:szCs w:val="18"/>
          <w:lang w:val="es-ES_tradnl"/>
        </w:rPr>
        <w:t>y eficaz de los derechos reconocidos en la Norma Suprema.</w:t>
      </w:r>
    </w:p>
    <w:p w14:paraId="4F67B0D0" w14:textId="77777777" w:rsidR="00591D54" w:rsidRDefault="00591D54">
      <w:pPr>
        <w:shd w:val="clear" w:color="auto" w:fill="FFFFFF"/>
        <w:spacing w:before="523" w:line="178" w:lineRule="exact"/>
        <w:ind w:left="144" w:hanging="144"/>
      </w:pPr>
      <w:r>
        <w:rPr>
          <w:spacing w:val="-4"/>
          <w:sz w:val="16"/>
          <w:szCs w:val="16"/>
          <w:vertAlign w:val="superscript"/>
          <w:lang w:val="es-ES_tradnl"/>
        </w:rPr>
        <w:t>14</w:t>
      </w:r>
      <w:r>
        <w:rPr>
          <w:spacing w:val="-4"/>
          <w:sz w:val="16"/>
          <w:szCs w:val="16"/>
          <w:lang w:val="es-ES_tradnl"/>
        </w:rPr>
        <w:t xml:space="preserve"> </w:t>
      </w:r>
      <w:r>
        <w:rPr>
          <w:spacing w:val="-11"/>
          <w:sz w:val="16"/>
          <w:szCs w:val="16"/>
          <w:lang w:val="es-ES_tradnl"/>
        </w:rPr>
        <w:t xml:space="preserve">Corte Constitucional del Ecuador, sentencia No. 020-14-SEP-CC de </w:t>
      </w:r>
      <w:r>
        <w:rPr>
          <w:sz w:val="16"/>
          <w:szCs w:val="16"/>
          <w:lang w:val="es-ES_tradnl"/>
        </w:rPr>
        <w:t>29 de enero de 2014, caso No. 739-11-EP.</w:t>
      </w:r>
    </w:p>
    <w:p w14:paraId="4F67B0D1" w14:textId="77777777" w:rsidR="00591D54" w:rsidRDefault="00591D54">
      <w:pPr>
        <w:shd w:val="clear" w:color="auto" w:fill="FFFFFF"/>
        <w:spacing w:before="523" w:line="178" w:lineRule="exact"/>
        <w:ind w:left="144" w:hanging="144"/>
        <w:sectPr w:rsidR="00591D54">
          <w:type w:val="continuous"/>
          <w:pgSz w:w="11909" w:h="16834"/>
          <w:pgMar w:top="1356" w:right="1304" w:bottom="360" w:left="1308" w:header="720" w:footer="720" w:gutter="0"/>
          <w:cols w:num="2" w:space="720" w:equalWidth="0">
            <w:col w:w="4305" w:space="682"/>
            <w:col w:w="4310"/>
          </w:cols>
          <w:noEndnote/>
        </w:sectPr>
      </w:pPr>
    </w:p>
    <w:p w14:paraId="4F67B0D2"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- 163</w:t>
      </w:r>
    </w:p>
    <w:p w14:paraId="4F67B0D3" w14:textId="77777777" w:rsidR="00591D54" w:rsidRDefault="00591D54">
      <w:pPr>
        <w:shd w:val="clear" w:color="auto" w:fill="FFFFFF"/>
        <w:tabs>
          <w:tab w:val="left" w:pos="5842"/>
        </w:tabs>
        <w:spacing w:after="235"/>
        <w:ind w:left="5"/>
        <w:sectPr w:rsidR="00591D54">
          <w:pgSz w:w="11909" w:h="16834"/>
          <w:pgMar w:top="1368" w:right="1309" w:bottom="360" w:left="1308" w:header="720" w:footer="720" w:gutter="0"/>
          <w:cols w:space="60"/>
          <w:noEndnote/>
        </w:sectPr>
      </w:pPr>
    </w:p>
    <w:p w14:paraId="4F67B0D4" w14:textId="77777777" w:rsidR="00591D54" w:rsidRDefault="00591D54">
      <w:pPr>
        <w:shd w:val="clear" w:color="auto" w:fill="FFFFFF"/>
        <w:spacing w:line="216" w:lineRule="exact"/>
        <w:jc w:val="both"/>
      </w:pPr>
      <w:r>
        <w:rPr>
          <w:spacing w:val="-3"/>
          <w:sz w:val="18"/>
          <w:szCs w:val="18"/>
          <w:lang w:val="es-ES_tradnl"/>
        </w:rPr>
        <w:t>En consecuencia, de conformidad con los sustentos jur</w:t>
      </w:r>
      <w:r>
        <w:rPr>
          <w:rFonts w:cs="Times New Roman"/>
          <w:spacing w:val="-3"/>
          <w:sz w:val="18"/>
          <w:szCs w:val="18"/>
          <w:lang w:val="es-ES_tradnl"/>
        </w:rPr>
        <w:t>í</w:t>
      </w:r>
      <w:r>
        <w:rPr>
          <w:spacing w:val="-3"/>
          <w:sz w:val="18"/>
          <w:szCs w:val="18"/>
          <w:lang w:val="es-ES_tradnl"/>
        </w:rPr>
        <w:t xml:space="preserve">dicos expuestos en los considerandos cuarto, quinto y sexto del fallo </w:t>
      </w:r>
      <w:r>
        <w:rPr>
          <w:i/>
          <w:iCs/>
          <w:spacing w:val="-3"/>
          <w:sz w:val="18"/>
          <w:szCs w:val="18"/>
          <w:lang w:val="es-ES_tradnl"/>
        </w:rPr>
        <w:t>ut supra</w:t>
      </w:r>
      <w:r>
        <w:rPr>
          <w:spacing w:val="-3"/>
          <w:sz w:val="18"/>
          <w:szCs w:val="18"/>
          <w:lang w:val="es-ES_tradnl"/>
        </w:rPr>
        <w:t>, concluyen que la prohibici</w:t>
      </w:r>
      <w:r>
        <w:rPr>
          <w:rFonts w:cs="Times New Roman"/>
          <w:spacing w:val="-3"/>
          <w:sz w:val="18"/>
          <w:szCs w:val="18"/>
          <w:lang w:val="es-ES_tradnl"/>
        </w:rPr>
        <w:t>ó</w:t>
      </w:r>
      <w:r>
        <w:rPr>
          <w:spacing w:val="-3"/>
          <w:sz w:val="18"/>
          <w:szCs w:val="18"/>
          <w:lang w:val="es-ES_tradnl"/>
        </w:rPr>
        <w:t xml:space="preserve">n </w:t>
      </w:r>
      <w:r>
        <w:rPr>
          <w:spacing w:val="-5"/>
          <w:sz w:val="18"/>
          <w:szCs w:val="18"/>
          <w:lang w:val="es-ES_tradnl"/>
        </w:rPr>
        <w:t>contenida en la certificaci</w:t>
      </w:r>
      <w:r>
        <w:rPr>
          <w:rFonts w:cs="Times New Roman"/>
          <w:spacing w:val="-5"/>
          <w:sz w:val="18"/>
          <w:szCs w:val="18"/>
          <w:lang w:val="es-ES_tradnl"/>
        </w:rPr>
        <w:t>ó</w:t>
      </w:r>
      <w:r>
        <w:rPr>
          <w:spacing w:val="-5"/>
          <w:sz w:val="18"/>
          <w:szCs w:val="18"/>
          <w:lang w:val="es-ES_tradnl"/>
        </w:rPr>
        <w:t>n para ostentar cargo p</w:t>
      </w:r>
      <w:r>
        <w:rPr>
          <w:rFonts w:cs="Times New Roman"/>
          <w:spacing w:val="-5"/>
          <w:sz w:val="18"/>
          <w:szCs w:val="18"/>
          <w:lang w:val="es-ES_tradnl"/>
        </w:rPr>
        <w:t>ú</w:t>
      </w:r>
      <w:r>
        <w:rPr>
          <w:spacing w:val="-5"/>
          <w:sz w:val="18"/>
          <w:szCs w:val="18"/>
          <w:lang w:val="es-ES_tradnl"/>
        </w:rPr>
        <w:t xml:space="preserve">blico </w:t>
      </w:r>
      <w:r>
        <w:rPr>
          <w:spacing w:val="-2"/>
          <w:sz w:val="18"/>
          <w:szCs w:val="18"/>
          <w:lang w:val="es-ES_tradnl"/>
        </w:rPr>
        <w:t>establecida en el art</w:t>
      </w:r>
      <w:r>
        <w:rPr>
          <w:rFonts w:cs="Times New Roman"/>
          <w:spacing w:val="-2"/>
          <w:sz w:val="18"/>
          <w:szCs w:val="18"/>
          <w:lang w:val="es-ES_tradnl"/>
        </w:rPr>
        <w:t>í</w:t>
      </w:r>
      <w:r>
        <w:rPr>
          <w:spacing w:val="-2"/>
          <w:sz w:val="18"/>
          <w:szCs w:val="18"/>
          <w:lang w:val="es-ES_tradnl"/>
        </w:rPr>
        <w:t>culo 14 de la Ley Org</w:t>
      </w:r>
      <w:r>
        <w:rPr>
          <w:rFonts w:cs="Times New Roman"/>
          <w:spacing w:val="-2"/>
          <w:sz w:val="18"/>
          <w:szCs w:val="18"/>
          <w:lang w:val="es-ES_tradnl"/>
        </w:rPr>
        <w:t>á</w:t>
      </w:r>
      <w:r>
        <w:rPr>
          <w:spacing w:val="-2"/>
          <w:sz w:val="18"/>
          <w:szCs w:val="18"/>
          <w:lang w:val="es-ES_tradnl"/>
        </w:rPr>
        <w:t xml:space="preserve">nica del </w:t>
      </w:r>
      <w:r>
        <w:rPr>
          <w:sz w:val="18"/>
          <w:szCs w:val="18"/>
          <w:lang w:val="es-ES_tradnl"/>
        </w:rPr>
        <w:t>Servicio P</w:t>
      </w:r>
      <w:r>
        <w:rPr>
          <w:rFonts w:cs="Times New Roman"/>
          <w:sz w:val="18"/>
          <w:szCs w:val="18"/>
          <w:lang w:val="es-ES_tradnl"/>
        </w:rPr>
        <w:t>ú</w:t>
      </w:r>
      <w:r>
        <w:rPr>
          <w:sz w:val="18"/>
          <w:szCs w:val="18"/>
          <w:lang w:val="es-ES_tradnl"/>
        </w:rPr>
        <w:t>blico dispone la devoluci</w:t>
      </w:r>
      <w:r>
        <w:rPr>
          <w:rFonts w:cs="Times New Roman"/>
          <w:sz w:val="18"/>
          <w:szCs w:val="18"/>
          <w:lang w:val="es-ES_tradnl"/>
        </w:rPr>
        <w:t>ó</w:t>
      </w:r>
      <w:r>
        <w:rPr>
          <w:sz w:val="18"/>
          <w:szCs w:val="18"/>
          <w:lang w:val="es-ES_tradnl"/>
        </w:rPr>
        <w:t xml:space="preserve">n de la cantidad </w:t>
      </w:r>
      <w:r>
        <w:rPr>
          <w:spacing w:val="-7"/>
          <w:sz w:val="18"/>
          <w:szCs w:val="18"/>
          <w:lang w:val="es-ES_tradnl"/>
        </w:rPr>
        <w:t>de dinero entregada como compensaci</w:t>
      </w:r>
      <w:r>
        <w:rPr>
          <w:rFonts w:cs="Times New Roman"/>
          <w:spacing w:val="-7"/>
          <w:sz w:val="18"/>
          <w:szCs w:val="18"/>
          <w:lang w:val="es-ES_tradnl"/>
        </w:rPr>
        <w:t>ó</w:t>
      </w:r>
      <w:r>
        <w:rPr>
          <w:spacing w:val="-7"/>
          <w:sz w:val="18"/>
          <w:szCs w:val="18"/>
          <w:lang w:val="es-ES_tradnl"/>
        </w:rPr>
        <w:t>n econ</w:t>
      </w:r>
      <w:r>
        <w:rPr>
          <w:rFonts w:cs="Times New Roman"/>
          <w:spacing w:val="-7"/>
          <w:sz w:val="18"/>
          <w:szCs w:val="18"/>
          <w:lang w:val="es-ES_tradnl"/>
        </w:rPr>
        <w:t>ó</w:t>
      </w:r>
      <w:r>
        <w:rPr>
          <w:spacing w:val="-7"/>
          <w:sz w:val="18"/>
          <w:szCs w:val="18"/>
          <w:lang w:val="es-ES_tradnl"/>
        </w:rPr>
        <w:t xml:space="preserve">mica por </w:t>
      </w:r>
      <w:r>
        <w:rPr>
          <w:spacing w:val="-4"/>
          <w:sz w:val="18"/>
          <w:szCs w:val="18"/>
          <w:lang w:val="es-ES_tradnl"/>
        </w:rPr>
        <w:t>retiro voluntario, como condici</w:t>
      </w:r>
      <w:r>
        <w:rPr>
          <w:rFonts w:cs="Times New Roman"/>
          <w:spacing w:val="-4"/>
          <w:sz w:val="18"/>
          <w:szCs w:val="18"/>
          <w:lang w:val="es-ES_tradnl"/>
        </w:rPr>
        <w:t>ó</w:t>
      </w:r>
      <w:r>
        <w:rPr>
          <w:spacing w:val="-4"/>
          <w:sz w:val="18"/>
          <w:szCs w:val="18"/>
          <w:lang w:val="es-ES_tradnl"/>
        </w:rPr>
        <w:t xml:space="preserve">n </w:t>
      </w:r>
      <w:r>
        <w:rPr>
          <w:i/>
          <w:iCs/>
          <w:spacing w:val="-4"/>
          <w:sz w:val="18"/>
          <w:szCs w:val="18"/>
          <w:lang w:val="es-ES_tradnl"/>
        </w:rPr>
        <w:t>sine qua non</w:t>
      </w:r>
      <w:r>
        <w:rPr>
          <w:spacing w:val="-4"/>
          <w:sz w:val="18"/>
          <w:szCs w:val="18"/>
          <w:lang w:val="es-ES_tradnl"/>
        </w:rPr>
        <w:t xml:space="preserve">, para que </w:t>
      </w:r>
      <w:r>
        <w:rPr>
          <w:spacing w:val="-8"/>
          <w:sz w:val="18"/>
          <w:szCs w:val="18"/>
          <w:lang w:val="es-ES_tradnl"/>
        </w:rPr>
        <w:t>la se</w:t>
      </w:r>
      <w:r>
        <w:rPr>
          <w:rFonts w:cs="Times New Roman"/>
          <w:spacing w:val="-8"/>
          <w:sz w:val="18"/>
          <w:szCs w:val="18"/>
          <w:lang w:val="es-ES_tradnl"/>
        </w:rPr>
        <w:t>ñ</w:t>
      </w:r>
      <w:r>
        <w:rPr>
          <w:spacing w:val="-8"/>
          <w:sz w:val="18"/>
          <w:szCs w:val="18"/>
          <w:lang w:val="es-ES_tradnl"/>
        </w:rPr>
        <w:t>ora Ruth Germania Guti</w:t>
      </w:r>
      <w:r>
        <w:rPr>
          <w:rFonts w:cs="Times New Roman"/>
          <w:spacing w:val="-8"/>
          <w:sz w:val="18"/>
          <w:szCs w:val="18"/>
          <w:lang w:val="es-ES_tradnl"/>
        </w:rPr>
        <w:t>é</w:t>
      </w:r>
      <w:r>
        <w:rPr>
          <w:spacing w:val="-8"/>
          <w:sz w:val="18"/>
          <w:szCs w:val="18"/>
          <w:lang w:val="es-ES_tradnl"/>
        </w:rPr>
        <w:t xml:space="preserve">rrez Ortega pueda acceder </w:t>
      </w:r>
      <w:r>
        <w:rPr>
          <w:spacing w:val="-2"/>
          <w:sz w:val="18"/>
          <w:szCs w:val="18"/>
          <w:lang w:val="es-ES_tradnl"/>
        </w:rPr>
        <w:t>como docente, raz</w:t>
      </w:r>
      <w:r>
        <w:rPr>
          <w:rFonts w:cs="Times New Roman"/>
          <w:spacing w:val="-2"/>
          <w:sz w:val="18"/>
          <w:szCs w:val="18"/>
          <w:lang w:val="es-ES_tradnl"/>
        </w:rPr>
        <w:t>ó</w:t>
      </w:r>
      <w:r>
        <w:rPr>
          <w:spacing w:val="-2"/>
          <w:sz w:val="18"/>
          <w:szCs w:val="18"/>
          <w:lang w:val="es-ES_tradnl"/>
        </w:rPr>
        <w:t>n por la cual no existe vulneraci</w:t>
      </w:r>
      <w:r>
        <w:rPr>
          <w:rFonts w:cs="Times New Roman"/>
          <w:spacing w:val="-2"/>
          <w:sz w:val="18"/>
          <w:szCs w:val="18"/>
          <w:lang w:val="es-ES_tradnl"/>
        </w:rPr>
        <w:t>ó</w:t>
      </w:r>
      <w:r>
        <w:rPr>
          <w:spacing w:val="-2"/>
          <w:sz w:val="18"/>
          <w:szCs w:val="18"/>
          <w:lang w:val="es-ES_tradnl"/>
        </w:rPr>
        <w:t xml:space="preserve">n </w:t>
      </w:r>
      <w:r>
        <w:rPr>
          <w:spacing w:val="-4"/>
          <w:sz w:val="18"/>
          <w:szCs w:val="18"/>
          <w:lang w:val="es-ES_tradnl"/>
        </w:rPr>
        <w:t xml:space="preserve">de derechos constitucionales. En tal virtud, este fallo </w:t>
      </w:r>
      <w:r>
        <w:rPr>
          <w:spacing w:val="-7"/>
          <w:sz w:val="18"/>
          <w:szCs w:val="18"/>
          <w:lang w:val="es-ES_tradnl"/>
        </w:rPr>
        <w:t>garantiza la seguridad jur</w:t>
      </w:r>
      <w:r>
        <w:rPr>
          <w:rFonts w:cs="Times New Roman"/>
          <w:spacing w:val="-7"/>
          <w:sz w:val="18"/>
          <w:szCs w:val="18"/>
          <w:lang w:val="es-ES_tradnl"/>
        </w:rPr>
        <w:t>í</w:t>
      </w:r>
      <w:r>
        <w:rPr>
          <w:spacing w:val="-7"/>
          <w:sz w:val="18"/>
          <w:szCs w:val="18"/>
          <w:lang w:val="es-ES_tradnl"/>
        </w:rPr>
        <w:t>dica prevista en el art</w:t>
      </w:r>
      <w:r>
        <w:rPr>
          <w:rFonts w:cs="Times New Roman"/>
          <w:spacing w:val="-7"/>
          <w:sz w:val="18"/>
          <w:szCs w:val="18"/>
          <w:lang w:val="es-ES_tradnl"/>
        </w:rPr>
        <w:t>í</w:t>
      </w:r>
      <w:r>
        <w:rPr>
          <w:spacing w:val="-7"/>
          <w:sz w:val="18"/>
          <w:szCs w:val="18"/>
          <w:lang w:val="es-ES_tradnl"/>
        </w:rPr>
        <w:t xml:space="preserve">culo 82 de </w:t>
      </w:r>
      <w:r>
        <w:rPr>
          <w:spacing w:val="-6"/>
          <w:sz w:val="18"/>
          <w:szCs w:val="18"/>
          <w:lang w:val="es-ES_tradnl"/>
        </w:rPr>
        <w:t>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 del Ecuador.</w:t>
      </w:r>
    </w:p>
    <w:p w14:paraId="4F67B0D5" w14:textId="77777777" w:rsidR="00591D54" w:rsidRDefault="00591D54">
      <w:pPr>
        <w:shd w:val="clear" w:color="auto" w:fill="FFFFFF"/>
        <w:spacing w:before="192"/>
        <w:ind w:right="5"/>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B0D6" w14:textId="77777777" w:rsidR="00591D54" w:rsidRDefault="00591D54">
      <w:pPr>
        <w:shd w:val="clear" w:color="auto" w:fill="FFFFFF"/>
        <w:spacing w:before="197" w:line="216" w:lineRule="exact"/>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5"/>
          <w:sz w:val="18"/>
          <w:szCs w:val="18"/>
          <w:lang w:val="es-ES_tradnl"/>
        </w:rPr>
        <w:t>constitucional y por mandato de la Constituci</w:t>
      </w:r>
      <w:r>
        <w:rPr>
          <w:rFonts w:cs="Times New Roman"/>
          <w:spacing w:val="-5"/>
          <w:sz w:val="18"/>
          <w:szCs w:val="18"/>
          <w:lang w:val="es-ES_tradnl"/>
        </w:rPr>
        <w:t>ó</w:t>
      </w:r>
      <w:r>
        <w:rPr>
          <w:spacing w:val="-5"/>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 xml:space="preserve">blica del Ecuador, el Pleno de la Corte Constitucional </w:t>
      </w:r>
      <w:r>
        <w:rPr>
          <w:sz w:val="18"/>
          <w:szCs w:val="18"/>
          <w:lang w:val="es-ES_tradnl"/>
        </w:rPr>
        <w:t>expide la siguiente:</w:t>
      </w:r>
    </w:p>
    <w:p w14:paraId="4F67B0D7" w14:textId="77777777" w:rsidR="00591D54" w:rsidRDefault="00591D54">
      <w:pPr>
        <w:shd w:val="clear" w:color="auto" w:fill="FFFFFF"/>
        <w:spacing w:before="192"/>
        <w:jc w:val="center"/>
      </w:pPr>
      <w:r>
        <w:rPr>
          <w:b/>
          <w:bCs/>
          <w:sz w:val="18"/>
          <w:szCs w:val="18"/>
          <w:lang w:val="es-ES_tradnl"/>
        </w:rPr>
        <w:t>SENTENCIA</w:t>
      </w:r>
    </w:p>
    <w:p w14:paraId="4F67B0D8" w14:textId="77777777" w:rsidR="00591D54" w:rsidRDefault="00591D54" w:rsidP="00251195">
      <w:pPr>
        <w:numPr>
          <w:ilvl w:val="0"/>
          <w:numId w:val="82"/>
        </w:numPr>
        <w:shd w:val="clear" w:color="auto" w:fill="FFFFFF"/>
        <w:tabs>
          <w:tab w:val="left" w:pos="283"/>
        </w:tabs>
        <w:spacing w:before="192" w:line="216" w:lineRule="exact"/>
        <w:ind w:left="283" w:hanging="283"/>
        <w:rPr>
          <w:spacing w:val="-9"/>
          <w:sz w:val="18"/>
          <w:szCs w:val="18"/>
          <w:lang w:val="es-ES_tradnl"/>
        </w:rPr>
      </w:pPr>
      <w:r>
        <w:rPr>
          <w:spacing w:val="-6"/>
          <w:sz w:val="18"/>
          <w:szCs w:val="18"/>
          <w:lang w:val="es-ES_tradnl"/>
        </w:rPr>
        <w:t>Declarar la vulneraci</w:t>
      </w:r>
      <w:r>
        <w:rPr>
          <w:rFonts w:cs="Times New Roman"/>
          <w:spacing w:val="-6"/>
          <w:sz w:val="18"/>
          <w:szCs w:val="18"/>
          <w:lang w:val="es-ES_tradnl"/>
        </w:rPr>
        <w:t>ó</w:t>
      </w:r>
      <w:r>
        <w:rPr>
          <w:spacing w:val="-6"/>
          <w:sz w:val="18"/>
          <w:szCs w:val="18"/>
          <w:lang w:val="es-ES_tradnl"/>
        </w:rPr>
        <w:t xml:space="preserve">n del derecho constitucional a la </w:t>
      </w:r>
      <w:r>
        <w:rPr>
          <w:sz w:val="18"/>
          <w:szCs w:val="18"/>
          <w:lang w:val="es-ES_tradnl"/>
        </w:rPr>
        <w:t>seguridad jur</w:t>
      </w:r>
      <w:r>
        <w:rPr>
          <w:rFonts w:cs="Times New Roman"/>
          <w:sz w:val="18"/>
          <w:szCs w:val="18"/>
          <w:lang w:val="es-ES_tradnl"/>
        </w:rPr>
        <w:t>í</w:t>
      </w:r>
      <w:r>
        <w:rPr>
          <w:sz w:val="18"/>
          <w:szCs w:val="18"/>
          <w:lang w:val="es-ES_tradnl"/>
        </w:rPr>
        <w:t>dica.</w:t>
      </w:r>
    </w:p>
    <w:p w14:paraId="4F67B0D9" w14:textId="77777777" w:rsidR="00591D54" w:rsidRDefault="00591D54" w:rsidP="00251195">
      <w:pPr>
        <w:numPr>
          <w:ilvl w:val="0"/>
          <w:numId w:val="82"/>
        </w:numPr>
        <w:shd w:val="clear" w:color="auto" w:fill="FFFFFF"/>
        <w:tabs>
          <w:tab w:val="left" w:pos="283"/>
        </w:tabs>
        <w:spacing w:before="192" w:line="216" w:lineRule="exact"/>
        <w:ind w:left="283" w:hanging="283"/>
        <w:rPr>
          <w:spacing w:val="-9"/>
          <w:sz w:val="18"/>
          <w:szCs w:val="18"/>
          <w:lang w:val="es-ES_tradnl"/>
        </w:rPr>
      </w:pPr>
      <w:r>
        <w:rPr>
          <w:spacing w:val="-7"/>
          <w:sz w:val="18"/>
          <w:szCs w:val="18"/>
          <w:lang w:val="es-ES_tradnl"/>
        </w:rPr>
        <w:t>Aceptar    la    acci</w:t>
      </w:r>
      <w:r>
        <w:rPr>
          <w:rFonts w:cs="Times New Roman"/>
          <w:spacing w:val="-7"/>
          <w:sz w:val="18"/>
          <w:szCs w:val="18"/>
          <w:lang w:val="es-ES_tradnl"/>
        </w:rPr>
        <w:t>ó</w:t>
      </w:r>
      <w:r>
        <w:rPr>
          <w:spacing w:val="-7"/>
          <w:sz w:val="18"/>
          <w:szCs w:val="18"/>
          <w:lang w:val="es-ES_tradnl"/>
        </w:rPr>
        <w:t>n    extraordinaria    de    protecci</w:t>
      </w:r>
      <w:r>
        <w:rPr>
          <w:rFonts w:cs="Times New Roman"/>
          <w:spacing w:val="-7"/>
          <w:sz w:val="18"/>
          <w:szCs w:val="18"/>
          <w:lang w:val="es-ES_tradnl"/>
        </w:rPr>
        <w:t>ó</w:t>
      </w:r>
      <w:r>
        <w:rPr>
          <w:spacing w:val="-7"/>
          <w:sz w:val="18"/>
          <w:szCs w:val="18"/>
          <w:lang w:val="es-ES_tradnl"/>
        </w:rPr>
        <w:t xml:space="preserve">n </w:t>
      </w:r>
      <w:r>
        <w:rPr>
          <w:sz w:val="18"/>
          <w:szCs w:val="18"/>
          <w:lang w:val="es-ES_tradnl"/>
        </w:rPr>
        <w:t>propuesta.</w:t>
      </w:r>
    </w:p>
    <w:p w14:paraId="4F67B0DA" w14:textId="77777777" w:rsidR="00591D54" w:rsidRDefault="00591D54" w:rsidP="00251195">
      <w:pPr>
        <w:numPr>
          <w:ilvl w:val="0"/>
          <w:numId w:val="82"/>
        </w:numPr>
        <w:shd w:val="clear" w:color="auto" w:fill="FFFFFF"/>
        <w:tabs>
          <w:tab w:val="left" w:pos="283"/>
        </w:tabs>
        <w:spacing w:before="192"/>
        <w:rPr>
          <w:spacing w:val="-9"/>
          <w:sz w:val="18"/>
          <w:szCs w:val="18"/>
          <w:lang w:val="es-ES_tradnl"/>
        </w:rPr>
      </w:pPr>
      <w:r>
        <w:rPr>
          <w:spacing w:val="-8"/>
          <w:sz w:val="18"/>
          <w:szCs w:val="18"/>
          <w:lang w:val="es-ES_tradnl"/>
        </w:rPr>
        <w:t>Como medidas de reparaci</w:t>
      </w:r>
      <w:r>
        <w:rPr>
          <w:rFonts w:cs="Times New Roman"/>
          <w:spacing w:val="-8"/>
          <w:sz w:val="18"/>
          <w:szCs w:val="18"/>
          <w:lang w:val="es-ES_tradnl"/>
        </w:rPr>
        <w:t>ó</w:t>
      </w:r>
      <w:r>
        <w:rPr>
          <w:spacing w:val="-8"/>
          <w:sz w:val="18"/>
          <w:szCs w:val="18"/>
          <w:lang w:val="es-ES_tradnl"/>
        </w:rPr>
        <w:t>n se dispone:</w:t>
      </w:r>
    </w:p>
    <w:p w14:paraId="4F67B0DB" w14:textId="77777777" w:rsidR="00591D54" w:rsidRDefault="00591D54">
      <w:pPr>
        <w:rPr>
          <w:rFonts w:cs="Times New Roman"/>
          <w:sz w:val="2"/>
          <w:szCs w:val="2"/>
        </w:rPr>
      </w:pPr>
    </w:p>
    <w:p w14:paraId="4F67B0DC" w14:textId="77777777" w:rsidR="00591D54" w:rsidRDefault="00591D54" w:rsidP="00251195">
      <w:pPr>
        <w:numPr>
          <w:ilvl w:val="0"/>
          <w:numId w:val="83"/>
        </w:numPr>
        <w:shd w:val="clear" w:color="auto" w:fill="FFFFFF"/>
        <w:tabs>
          <w:tab w:val="left" w:pos="566"/>
        </w:tabs>
        <w:spacing w:before="197" w:line="216" w:lineRule="exact"/>
        <w:ind w:left="566" w:hanging="283"/>
        <w:jc w:val="both"/>
        <w:rPr>
          <w:spacing w:val="-9"/>
          <w:sz w:val="18"/>
          <w:szCs w:val="18"/>
          <w:lang w:val="es-ES_tradnl"/>
        </w:rPr>
      </w:pPr>
      <w:r>
        <w:rPr>
          <w:spacing w:val="-5"/>
          <w:sz w:val="18"/>
          <w:szCs w:val="18"/>
          <w:lang w:val="es-ES_tradnl"/>
        </w:rPr>
        <w:t xml:space="preserve">Dejar sin efecto la sentencia emitida el 07 de </w:t>
      </w:r>
      <w:r>
        <w:rPr>
          <w:spacing w:val="-3"/>
          <w:sz w:val="18"/>
          <w:szCs w:val="18"/>
          <w:lang w:val="es-ES_tradnl"/>
        </w:rPr>
        <w:t xml:space="preserve">septiembre de 2012 a las 12h20, por los jueces de la Sala Especializada de lo Civil, Mercantil, </w:t>
      </w:r>
      <w:r>
        <w:rPr>
          <w:spacing w:val="-4"/>
          <w:sz w:val="18"/>
          <w:szCs w:val="18"/>
          <w:lang w:val="es-ES_tradnl"/>
        </w:rPr>
        <w:t xml:space="preserve">Inquilinato y Materias Residuales de la Corte </w:t>
      </w:r>
      <w:r>
        <w:rPr>
          <w:spacing w:val="-8"/>
          <w:sz w:val="18"/>
          <w:szCs w:val="18"/>
          <w:lang w:val="es-ES_tradnl"/>
        </w:rPr>
        <w:t>Provincial de Justicia del Ca</w:t>
      </w:r>
      <w:r>
        <w:rPr>
          <w:rFonts w:cs="Times New Roman"/>
          <w:spacing w:val="-8"/>
          <w:sz w:val="18"/>
          <w:szCs w:val="18"/>
          <w:lang w:val="es-ES_tradnl"/>
        </w:rPr>
        <w:t>ñ</w:t>
      </w:r>
      <w:r>
        <w:rPr>
          <w:spacing w:val="-8"/>
          <w:sz w:val="18"/>
          <w:szCs w:val="18"/>
          <w:lang w:val="es-ES_tradnl"/>
        </w:rPr>
        <w:t>ar, dentro de la acci</w:t>
      </w:r>
      <w:r>
        <w:rPr>
          <w:rFonts w:cs="Times New Roman"/>
          <w:spacing w:val="-8"/>
          <w:sz w:val="18"/>
          <w:szCs w:val="18"/>
          <w:lang w:val="es-ES_tradnl"/>
        </w:rPr>
        <w:t>ó</w:t>
      </w:r>
      <w:r>
        <w:rPr>
          <w:spacing w:val="-8"/>
          <w:sz w:val="18"/>
          <w:szCs w:val="18"/>
          <w:lang w:val="es-ES_tradnl"/>
        </w:rPr>
        <w:t xml:space="preserve">n </w:t>
      </w:r>
      <w:r>
        <w:rPr>
          <w:sz w:val="18"/>
          <w:szCs w:val="18"/>
          <w:lang w:val="es-ES_tradnl"/>
        </w:rPr>
        <w:t>de protecci</w:t>
      </w:r>
      <w:r>
        <w:rPr>
          <w:rFonts w:cs="Times New Roman"/>
          <w:sz w:val="18"/>
          <w:szCs w:val="18"/>
          <w:lang w:val="es-ES_tradnl"/>
        </w:rPr>
        <w:t>ó</w:t>
      </w:r>
      <w:r>
        <w:rPr>
          <w:sz w:val="18"/>
          <w:szCs w:val="18"/>
          <w:lang w:val="es-ES_tradnl"/>
        </w:rPr>
        <w:t>n N.</w:t>
      </w:r>
      <w:r>
        <w:rPr>
          <w:rFonts w:cs="Times New Roman"/>
          <w:sz w:val="18"/>
          <w:szCs w:val="18"/>
          <w:lang w:val="es-ES_tradnl"/>
        </w:rPr>
        <w:t>º</w:t>
      </w:r>
      <w:r>
        <w:rPr>
          <w:sz w:val="18"/>
          <w:szCs w:val="18"/>
          <w:lang w:val="es-ES_tradnl"/>
        </w:rPr>
        <w:t xml:space="preserve"> 0467-2012.</w:t>
      </w:r>
    </w:p>
    <w:p w14:paraId="4F67B0DD" w14:textId="77777777" w:rsidR="00591D54" w:rsidRDefault="00591D54" w:rsidP="00251195">
      <w:pPr>
        <w:numPr>
          <w:ilvl w:val="0"/>
          <w:numId w:val="83"/>
        </w:numPr>
        <w:shd w:val="clear" w:color="auto" w:fill="FFFFFF"/>
        <w:tabs>
          <w:tab w:val="left" w:pos="566"/>
        </w:tabs>
        <w:spacing w:before="197" w:line="216" w:lineRule="exact"/>
        <w:ind w:left="566" w:hanging="283"/>
        <w:jc w:val="both"/>
        <w:rPr>
          <w:spacing w:val="-9"/>
          <w:sz w:val="18"/>
          <w:szCs w:val="18"/>
          <w:lang w:val="es-ES_tradnl"/>
        </w:rPr>
      </w:pPr>
      <w:r>
        <w:rPr>
          <w:spacing w:val="-7"/>
          <w:sz w:val="18"/>
          <w:szCs w:val="18"/>
          <w:lang w:val="es-ES_tradnl"/>
        </w:rPr>
        <w:t xml:space="preserve">Se deja en firme la sentencia del 07 de agosto de 2012 a las 12h08, dictada por la jueza cuarta de la </w:t>
      </w:r>
      <w:r>
        <w:rPr>
          <w:spacing w:val="-9"/>
          <w:sz w:val="18"/>
          <w:szCs w:val="18"/>
          <w:lang w:val="es-ES_tradnl"/>
        </w:rPr>
        <w:t>ni</w:t>
      </w:r>
      <w:r>
        <w:rPr>
          <w:rFonts w:cs="Times New Roman"/>
          <w:spacing w:val="-9"/>
          <w:sz w:val="18"/>
          <w:szCs w:val="18"/>
          <w:lang w:val="es-ES_tradnl"/>
        </w:rPr>
        <w:t>ñ</w:t>
      </w:r>
      <w:r>
        <w:rPr>
          <w:spacing w:val="-9"/>
          <w:sz w:val="18"/>
          <w:szCs w:val="18"/>
          <w:lang w:val="es-ES_tradnl"/>
        </w:rPr>
        <w:t>ez y adolescencia del Ca</w:t>
      </w:r>
      <w:r>
        <w:rPr>
          <w:rFonts w:cs="Times New Roman"/>
          <w:spacing w:val="-9"/>
          <w:sz w:val="18"/>
          <w:szCs w:val="18"/>
          <w:lang w:val="es-ES_tradnl"/>
        </w:rPr>
        <w:t>ñ</w:t>
      </w:r>
      <w:r>
        <w:rPr>
          <w:spacing w:val="-9"/>
          <w:sz w:val="18"/>
          <w:szCs w:val="18"/>
          <w:lang w:val="es-ES_tradnl"/>
        </w:rPr>
        <w:t>ar, dentro de la acci</w:t>
      </w:r>
      <w:r>
        <w:rPr>
          <w:rFonts w:cs="Times New Roman"/>
          <w:spacing w:val="-9"/>
          <w:sz w:val="18"/>
          <w:szCs w:val="18"/>
          <w:lang w:val="es-ES_tradnl"/>
        </w:rPr>
        <w:t>ó</w:t>
      </w:r>
      <w:r>
        <w:rPr>
          <w:spacing w:val="-9"/>
          <w:sz w:val="18"/>
          <w:szCs w:val="18"/>
          <w:lang w:val="es-ES_tradnl"/>
        </w:rPr>
        <w:t xml:space="preserve">n </w:t>
      </w:r>
      <w:r>
        <w:rPr>
          <w:sz w:val="18"/>
          <w:szCs w:val="18"/>
          <w:lang w:val="es-ES_tradnl"/>
        </w:rPr>
        <w:t>de protecci</w:t>
      </w:r>
      <w:r>
        <w:rPr>
          <w:rFonts w:cs="Times New Roman"/>
          <w:sz w:val="18"/>
          <w:szCs w:val="18"/>
          <w:lang w:val="es-ES_tradnl"/>
        </w:rPr>
        <w:t>ó</w:t>
      </w:r>
      <w:r>
        <w:rPr>
          <w:sz w:val="18"/>
          <w:szCs w:val="18"/>
          <w:lang w:val="es-ES_tradnl"/>
        </w:rPr>
        <w:t>n N.</w:t>
      </w:r>
      <w:r>
        <w:rPr>
          <w:rFonts w:cs="Times New Roman"/>
          <w:sz w:val="18"/>
          <w:szCs w:val="18"/>
          <w:lang w:val="es-ES_tradnl"/>
        </w:rPr>
        <w:t>º</w:t>
      </w:r>
      <w:r>
        <w:rPr>
          <w:sz w:val="18"/>
          <w:szCs w:val="18"/>
          <w:lang w:val="es-ES_tradnl"/>
        </w:rPr>
        <w:t xml:space="preserve"> 174-2012.</w:t>
      </w:r>
    </w:p>
    <w:p w14:paraId="4F67B0DE" w14:textId="77777777" w:rsidR="00591D54" w:rsidRDefault="00591D54">
      <w:pPr>
        <w:shd w:val="clear" w:color="auto" w:fill="FFFFFF"/>
        <w:tabs>
          <w:tab w:val="left" w:pos="283"/>
        </w:tabs>
        <w:spacing w:before="34" w:line="427" w:lineRule="exact"/>
      </w:pPr>
      <w:r>
        <w:rPr>
          <w:spacing w:val="-9"/>
          <w:sz w:val="18"/>
          <w:szCs w:val="18"/>
          <w:lang w:val="es-ES_tradnl"/>
        </w:rPr>
        <w:t>4.</w:t>
      </w:r>
      <w:r>
        <w:rPr>
          <w:sz w:val="18"/>
          <w:szCs w:val="18"/>
          <w:lang w:val="es-ES_tradnl"/>
        </w:rPr>
        <w:tab/>
      </w:r>
      <w:r>
        <w:rPr>
          <w:spacing w:val="-7"/>
          <w:sz w:val="18"/>
          <w:szCs w:val="18"/>
          <w:lang w:val="es-ES_tradnl"/>
        </w:rPr>
        <w:t>Notif</w:t>
      </w:r>
      <w:r>
        <w:rPr>
          <w:rFonts w:cs="Times New Roman"/>
          <w:spacing w:val="-7"/>
          <w:sz w:val="18"/>
          <w:szCs w:val="18"/>
          <w:lang w:val="es-ES_tradnl"/>
        </w:rPr>
        <w:t>í</w:t>
      </w:r>
      <w:r>
        <w:rPr>
          <w:spacing w:val="-7"/>
          <w:sz w:val="18"/>
          <w:szCs w:val="18"/>
          <w:lang w:val="es-ES_tradnl"/>
        </w:rPr>
        <w:t>quese, publ</w:t>
      </w:r>
      <w:r>
        <w:rPr>
          <w:rFonts w:cs="Times New Roman"/>
          <w:spacing w:val="-7"/>
          <w:sz w:val="18"/>
          <w:szCs w:val="18"/>
          <w:lang w:val="es-ES_tradnl"/>
        </w:rPr>
        <w:t>í</w:t>
      </w:r>
      <w:r>
        <w:rPr>
          <w:spacing w:val="-7"/>
          <w:sz w:val="18"/>
          <w:szCs w:val="18"/>
          <w:lang w:val="es-ES_tradnl"/>
        </w:rPr>
        <w:t>quese y arch</w:t>
      </w:r>
      <w:r>
        <w:rPr>
          <w:rFonts w:cs="Times New Roman"/>
          <w:spacing w:val="-7"/>
          <w:sz w:val="18"/>
          <w:szCs w:val="18"/>
          <w:lang w:val="es-ES_tradnl"/>
        </w:rPr>
        <w:t>í</w:t>
      </w:r>
      <w:r>
        <w:rPr>
          <w:spacing w:val="-7"/>
          <w:sz w:val="18"/>
          <w:szCs w:val="18"/>
          <w:lang w:val="es-ES_tradnl"/>
        </w:rPr>
        <w:t>vese.</w:t>
      </w:r>
    </w:p>
    <w:p w14:paraId="4F67B0DF" w14:textId="77777777" w:rsidR="00591D54" w:rsidRDefault="00591D54">
      <w:pPr>
        <w:shd w:val="clear" w:color="auto" w:fill="FFFFFF"/>
        <w:spacing w:line="427" w:lineRule="exact"/>
      </w:pPr>
      <w:r>
        <w:rPr>
          <w:spacing w:val="-5"/>
          <w:sz w:val="18"/>
          <w:szCs w:val="18"/>
          <w:lang w:val="es-ES_tradnl"/>
        </w:rPr>
        <w:t xml:space="preserve">f.) Wendy Molina Andrade, </w:t>
      </w:r>
      <w:r>
        <w:rPr>
          <w:b/>
          <w:bCs/>
          <w:spacing w:val="-5"/>
          <w:sz w:val="18"/>
          <w:szCs w:val="18"/>
          <w:lang w:val="es-ES_tradnl"/>
        </w:rPr>
        <w:t>PRESIDENTA (E).</w:t>
      </w:r>
    </w:p>
    <w:p w14:paraId="4F67B0E0" w14:textId="77777777" w:rsidR="00591D54" w:rsidRDefault="00591D54">
      <w:pPr>
        <w:shd w:val="clear" w:color="auto" w:fill="FFFFFF"/>
        <w:spacing w:line="427" w:lineRule="exact"/>
      </w:pPr>
      <w:r>
        <w:rPr>
          <w:spacing w:val="-4"/>
          <w:sz w:val="18"/>
          <w:szCs w:val="18"/>
          <w:lang w:val="es-ES_tradnl"/>
        </w:rPr>
        <w:t xml:space="preserve">f.) Jaime Pozo Chamorro, </w:t>
      </w:r>
      <w:r>
        <w:rPr>
          <w:b/>
          <w:bCs/>
          <w:spacing w:val="-4"/>
          <w:sz w:val="18"/>
          <w:szCs w:val="18"/>
          <w:lang w:val="es-ES_tradnl"/>
        </w:rPr>
        <w:t>SECRETARIO GENERAL.</w:t>
      </w:r>
    </w:p>
    <w:p w14:paraId="4F67B0E1" w14:textId="77777777" w:rsidR="00591D54" w:rsidRDefault="00591D54">
      <w:pPr>
        <w:shd w:val="clear" w:color="auto" w:fill="FFFFFF"/>
        <w:spacing w:before="163" w:line="216" w:lineRule="exact"/>
        <w:jc w:val="both"/>
      </w:pPr>
      <w:r>
        <w:rPr>
          <w:b/>
          <w:bCs/>
          <w:spacing w:val="-4"/>
          <w:sz w:val="18"/>
          <w:szCs w:val="18"/>
          <w:lang w:val="es-ES_tradnl"/>
        </w:rPr>
        <w:t>RAZ</w:t>
      </w:r>
      <w:r>
        <w:rPr>
          <w:rFonts w:cs="Times New Roman"/>
          <w:b/>
          <w:bCs/>
          <w:spacing w:val="-4"/>
          <w:sz w:val="18"/>
          <w:szCs w:val="18"/>
          <w:lang w:val="es-ES_tradnl"/>
        </w:rPr>
        <w:t>Ó</w:t>
      </w:r>
      <w:r>
        <w:rPr>
          <w:b/>
          <w:bCs/>
          <w:spacing w:val="-4"/>
          <w:sz w:val="18"/>
          <w:szCs w:val="18"/>
          <w:lang w:val="es-ES_tradnl"/>
        </w:rPr>
        <w:t xml:space="preserve">N.- </w:t>
      </w:r>
      <w:r>
        <w:rPr>
          <w:spacing w:val="-4"/>
          <w:sz w:val="18"/>
          <w:szCs w:val="18"/>
          <w:lang w:val="es-ES_tradnl"/>
        </w:rPr>
        <w:t xml:space="preserve">Siento por tal, que la sentencia que antecede </w:t>
      </w:r>
      <w:r>
        <w:rPr>
          <w:spacing w:val="-6"/>
          <w:sz w:val="18"/>
          <w:szCs w:val="18"/>
          <w:lang w:val="es-ES_tradnl"/>
        </w:rPr>
        <w:t xml:space="preserve">fue aprobada por el Pleno de la Corte Constitucional, con </w:t>
      </w:r>
      <w:r>
        <w:rPr>
          <w:spacing w:val="-9"/>
          <w:sz w:val="18"/>
          <w:szCs w:val="18"/>
          <w:lang w:val="es-ES_tradnl"/>
        </w:rPr>
        <w:t>cinco votos de las se</w:t>
      </w:r>
      <w:r>
        <w:rPr>
          <w:rFonts w:cs="Times New Roman"/>
          <w:spacing w:val="-9"/>
          <w:sz w:val="18"/>
          <w:szCs w:val="18"/>
          <w:lang w:val="es-ES_tradnl"/>
        </w:rPr>
        <w:t>ñ</w:t>
      </w:r>
      <w:r>
        <w:rPr>
          <w:spacing w:val="-9"/>
          <w:sz w:val="18"/>
          <w:szCs w:val="18"/>
          <w:lang w:val="es-ES_tradnl"/>
        </w:rPr>
        <w:t>oras juezas y se</w:t>
      </w:r>
      <w:r>
        <w:rPr>
          <w:rFonts w:cs="Times New Roman"/>
          <w:spacing w:val="-9"/>
          <w:sz w:val="18"/>
          <w:szCs w:val="18"/>
          <w:lang w:val="es-ES_tradnl"/>
        </w:rPr>
        <w:t>ñ</w:t>
      </w:r>
      <w:r>
        <w:rPr>
          <w:spacing w:val="-9"/>
          <w:sz w:val="18"/>
          <w:szCs w:val="18"/>
          <w:lang w:val="es-ES_tradnl"/>
        </w:rPr>
        <w:t xml:space="preserve">ores jueces: Antonio </w:t>
      </w:r>
      <w:r>
        <w:rPr>
          <w:spacing w:val="-1"/>
          <w:sz w:val="18"/>
          <w:szCs w:val="18"/>
          <w:lang w:val="es-ES_tradnl"/>
        </w:rPr>
        <w:t xml:space="preserve">Gagliardo Loor, Marcelo Jaramillo Villa, Alfredo Ruiz </w:t>
      </w:r>
      <w:r>
        <w:rPr>
          <w:spacing w:val="-7"/>
          <w:sz w:val="18"/>
          <w:szCs w:val="18"/>
          <w:lang w:val="es-ES_tradnl"/>
        </w:rPr>
        <w:t>Guzm</w:t>
      </w:r>
      <w:r>
        <w:rPr>
          <w:rFonts w:cs="Times New Roman"/>
          <w:spacing w:val="-7"/>
          <w:sz w:val="18"/>
          <w:szCs w:val="18"/>
          <w:lang w:val="es-ES_tradnl"/>
        </w:rPr>
        <w:t>á</w:t>
      </w:r>
      <w:r>
        <w:rPr>
          <w:spacing w:val="-7"/>
          <w:sz w:val="18"/>
          <w:szCs w:val="18"/>
          <w:lang w:val="es-ES_tradnl"/>
        </w:rPr>
        <w:t xml:space="preserve">n, Ruth Seni Pinoargote y Wendy Molina Andrade; </w:t>
      </w:r>
      <w:r>
        <w:rPr>
          <w:spacing w:val="-8"/>
          <w:sz w:val="18"/>
          <w:szCs w:val="18"/>
          <w:lang w:val="es-ES_tradnl"/>
        </w:rPr>
        <w:t>sin contar con la presencia de los jueces Mar</w:t>
      </w:r>
      <w:r>
        <w:rPr>
          <w:rFonts w:cs="Times New Roman"/>
          <w:spacing w:val="-8"/>
          <w:sz w:val="18"/>
          <w:szCs w:val="18"/>
          <w:lang w:val="es-ES_tradnl"/>
        </w:rPr>
        <w:t>í</w:t>
      </w:r>
      <w:r>
        <w:rPr>
          <w:spacing w:val="-8"/>
          <w:sz w:val="18"/>
          <w:szCs w:val="18"/>
          <w:lang w:val="es-ES_tradnl"/>
        </w:rPr>
        <w:t xml:space="preserve">a del Carmen </w:t>
      </w:r>
      <w:r>
        <w:rPr>
          <w:spacing w:val="-6"/>
          <w:sz w:val="18"/>
          <w:szCs w:val="18"/>
          <w:lang w:val="es-ES_tradnl"/>
        </w:rPr>
        <w:t>Maldonado S</w:t>
      </w:r>
      <w:r>
        <w:rPr>
          <w:rFonts w:cs="Times New Roman"/>
          <w:spacing w:val="-6"/>
          <w:sz w:val="18"/>
          <w:szCs w:val="18"/>
          <w:lang w:val="es-ES_tradnl"/>
        </w:rPr>
        <w:t>á</w:t>
      </w:r>
      <w:r>
        <w:rPr>
          <w:spacing w:val="-6"/>
          <w:sz w:val="18"/>
          <w:szCs w:val="18"/>
          <w:lang w:val="es-ES_tradnl"/>
        </w:rPr>
        <w:t>nchez, Tatiana Orde</w:t>
      </w:r>
      <w:r>
        <w:rPr>
          <w:rFonts w:cs="Times New Roman"/>
          <w:spacing w:val="-6"/>
          <w:sz w:val="18"/>
          <w:szCs w:val="18"/>
          <w:lang w:val="es-ES_tradnl"/>
        </w:rPr>
        <w:t>ñ</w:t>
      </w:r>
      <w:r>
        <w:rPr>
          <w:spacing w:val="-6"/>
          <w:sz w:val="18"/>
          <w:szCs w:val="18"/>
          <w:lang w:val="es-ES_tradnl"/>
        </w:rPr>
        <w:t xml:space="preserve">ana Sierra, Manuel </w:t>
      </w:r>
      <w:r>
        <w:rPr>
          <w:spacing w:val="-4"/>
          <w:sz w:val="18"/>
          <w:szCs w:val="18"/>
          <w:lang w:val="es-ES_tradnl"/>
        </w:rPr>
        <w:t>Viteri Olvera y Patricio Pazmi</w:t>
      </w:r>
      <w:r>
        <w:rPr>
          <w:rFonts w:cs="Times New Roman"/>
          <w:spacing w:val="-4"/>
          <w:sz w:val="18"/>
          <w:szCs w:val="18"/>
          <w:lang w:val="es-ES_tradnl"/>
        </w:rPr>
        <w:t>ñ</w:t>
      </w:r>
      <w:r>
        <w:rPr>
          <w:spacing w:val="-4"/>
          <w:sz w:val="18"/>
          <w:szCs w:val="18"/>
          <w:lang w:val="es-ES_tradnl"/>
        </w:rPr>
        <w:t>o Freire, en sesi</w:t>
      </w:r>
      <w:r>
        <w:rPr>
          <w:rFonts w:cs="Times New Roman"/>
          <w:spacing w:val="-4"/>
          <w:sz w:val="18"/>
          <w:szCs w:val="18"/>
          <w:lang w:val="es-ES_tradnl"/>
        </w:rPr>
        <w:t>ó</w:t>
      </w:r>
      <w:r>
        <w:rPr>
          <w:spacing w:val="-4"/>
          <w:sz w:val="18"/>
          <w:szCs w:val="18"/>
          <w:lang w:val="es-ES_tradnl"/>
        </w:rPr>
        <w:t xml:space="preserve">n del 05 </w:t>
      </w:r>
      <w:r>
        <w:rPr>
          <w:sz w:val="18"/>
          <w:szCs w:val="18"/>
          <w:lang w:val="es-ES_tradnl"/>
        </w:rPr>
        <w:t>de agosto de 2015. Lo certifico.</w:t>
      </w:r>
    </w:p>
    <w:p w14:paraId="4F67B0E2" w14:textId="77777777" w:rsidR="00591D54" w:rsidRDefault="00591D54">
      <w:pPr>
        <w:shd w:val="clear" w:color="auto" w:fill="FFFFFF"/>
        <w:spacing w:before="192"/>
      </w:pPr>
      <w:r>
        <w:rPr>
          <w:spacing w:val="-4"/>
          <w:sz w:val="18"/>
          <w:szCs w:val="18"/>
          <w:lang w:val="es-ES_tradnl"/>
        </w:rPr>
        <w:t xml:space="preserve">f.) Jaime Pozo Chamorro, </w:t>
      </w:r>
      <w:r>
        <w:rPr>
          <w:b/>
          <w:bCs/>
          <w:spacing w:val="-4"/>
          <w:sz w:val="18"/>
          <w:szCs w:val="18"/>
          <w:lang w:val="es-ES_tradnl"/>
        </w:rPr>
        <w:t>SECRETARIO GENERAL.</w:t>
      </w:r>
    </w:p>
    <w:p w14:paraId="4F67B0E3" w14:textId="77777777" w:rsidR="00591D54" w:rsidRDefault="00591D54">
      <w:pPr>
        <w:shd w:val="clear" w:color="auto" w:fill="FFFFFF"/>
        <w:spacing w:before="192"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p>
    <w:p w14:paraId="4F67B0E4" w14:textId="77777777" w:rsidR="00591D54" w:rsidRDefault="00591D54">
      <w:pPr>
        <w:shd w:val="clear" w:color="auto" w:fill="FFFFFF"/>
        <w:spacing w:line="216" w:lineRule="exact"/>
        <w:jc w:val="both"/>
      </w:pPr>
      <w:r>
        <w:br w:type="column"/>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0E5" w14:textId="77777777" w:rsidR="00591D54" w:rsidRDefault="00591D54">
      <w:pPr>
        <w:shd w:val="clear" w:color="auto" w:fill="FFFFFF"/>
        <w:spacing w:before="192"/>
      </w:pPr>
      <w:r>
        <w:rPr>
          <w:b/>
          <w:bCs/>
          <w:spacing w:val="-5"/>
          <w:sz w:val="18"/>
          <w:szCs w:val="18"/>
          <w:u w:val="single"/>
          <w:lang w:val="es-ES_tradnl"/>
        </w:rPr>
        <w:t>CASO Nro. 1905-12-EP</w:t>
      </w:r>
    </w:p>
    <w:p w14:paraId="4F67B0E6" w14:textId="77777777" w:rsidR="00591D54" w:rsidRDefault="00591D54">
      <w:pPr>
        <w:shd w:val="clear" w:color="auto" w:fill="FFFFFF"/>
        <w:spacing w:before="192" w:line="216" w:lineRule="exact"/>
        <w:jc w:val="both"/>
      </w:pPr>
      <w:r>
        <w:rPr>
          <w:b/>
          <w:bCs/>
          <w:spacing w:val="-4"/>
          <w:sz w:val="18"/>
          <w:szCs w:val="18"/>
          <w:lang w:val="es-ES_tradnl"/>
        </w:rPr>
        <w:t>RAZ</w:t>
      </w:r>
      <w:r>
        <w:rPr>
          <w:rFonts w:cs="Times New Roman"/>
          <w:b/>
          <w:bCs/>
          <w:spacing w:val="-4"/>
          <w:sz w:val="18"/>
          <w:szCs w:val="18"/>
          <w:lang w:val="es-ES_tradnl"/>
        </w:rPr>
        <w:t>Ó</w:t>
      </w:r>
      <w:r>
        <w:rPr>
          <w:b/>
          <w:bCs/>
          <w:spacing w:val="-4"/>
          <w:sz w:val="18"/>
          <w:szCs w:val="18"/>
          <w:lang w:val="es-ES_tradnl"/>
        </w:rPr>
        <w:t xml:space="preserve">N.- </w:t>
      </w:r>
      <w:r>
        <w:rPr>
          <w:spacing w:val="-4"/>
          <w:sz w:val="18"/>
          <w:szCs w:val="18"/>
          <w:lang w:val="es-ES_tradnl"/>
        </w:rPr>
        <w:t xml:space="preserve">Siento por tal, que la Jueza Wendy Molina </w:t>
      </w:r>
      <w:r>
        <w:rPr>
          <w:spacing w:val="-7"/>
          <w:sz w:val="18"/>
          <w:szCs w:val="18"/>
          <w:lang w:val="es-ES_tradnl"/>
        </w:rPr>
        <w:t>Andrade, suscribi</w:t>
      </w:r>
      <w:r>
        <w:rPr>
          <w:rFonts w:cs="Times New Roman"/>
          <w:spacing w:val="-7"/>
          <w:sz w:val="18"/>
          <w:szCs w:val="18"/>
          <w:lang w:val="es-ES_tradnl"/>
        </w:rPr>
        <w:t>ó</w:t>
      </w:r>
      <w:r>
        <w:rPr>
          <w:spacing w:val="-7"/>
          <w:sz w:val="18"/>
          <w:szCs w:val="18"/>
          <w:lang w:val="es-ES_tradnl"/>
        </w:rPr>
        <w:t xml:space="preserve"> la presente sentencia el d</w:t>
      </w:r>
      <w:r>
        <w:rPr>
          <w:rFonts w:cs="Times New Roman"/>
          <w:spacing w:val="-7"/>
          <w:sz w:val="18"/>
          <w:szCs w:val="18"/>
          <w:lang w:val="es-ES_tradnl"/>
        </w:rPr>
        <w:t>í</w:t>
      </w:r>
      <w:r>
        <w:rPr>
          <w:spacing w:val="-7"/>
          <w:sz w:val="18"/>
          <w:szCs w:val="18"/>
          <w:lang w:val="es-ES_tradnl"/>
        </w:rPr>
        <w:t xml:space="preserve">a martes 01 </w:t>
      </w:r>
      <w:r>
        <w:rPr>
          <w:spacing w:val="-8"/>
          <w:sz w:val="18"/>
          <w:szCs w:val="18"/>
          <w:lang w:val="es-ES_tradnl"/>
        </w:rPr>
        <w:t xml:space="preserve">de septiembre del 2015, en calidad de presidenta (e) de la </w:t>
      </w:r>
      <w:r>
        <w:rPr>
          <w:spacing w:val="-7"/>
          <w:sz w:val="18"/>
          <w:szCs w:val="18"/>
          <w:lang w:val="es-ES_tradnl"/>
        </w:rPr>
        <w:t>Corte Constitucional, al momento de expedirse la misma.-</w:t>
      </w:r>
      <w:r>
        <w:rPr>
          <w:sz w:val="18"/>
          <w:szCs w:val="18"/>
          <w:lang w:val="es-ES_tradnl"/>
        </w:rPr>
        <w:t>Lo certifico.</w:t>
      </w:r>
    </w:p>
    <w:p w14:paraId="4F67B0E7" w14:textId="77777777" w:rsidR="00591D54" w:rsidRDefault="00591D54">
      <w:pPr>
        <w:shd w:val="clear" w:color="auto" w:fill="FFFFFF"/>
        <w:spacing w:before="192"/>
      </w:pPr>
      <w:r>
        <w:rPr>
          <w:spacing w:val="-7"/>
          <w:sz w:val="18"/>
          <w:szCs w:val="18"/>
          <w:lang w:val="es-ES_tradnl"/>
        </w:rPr>
        <w:t xml:space="preserve">f.) Jaime Pozo Chamorro, </w:t>
      </w:r>
      <w:r>
        <w:rPr>
          <w:b/>
          <w:bCs/>
          <w:spacing w:val="-7"/>
          <w:sz w:val="18"/>
          <w:szCs w:val="18"/>
          <w:lang w:val="es-ES_tradnl"/>
        </w:rPr>
        <w:t>Secretario General.</w:t>
      </w:r>
    </w:p>
    <w:p w14:paraId="4F67B0E8" w14:textId="77777777" w:rsidR="00591D54" w:rsidRDefault="00591D54">
      <w:pPr>
        <w:shd w:val="clear" w:color="auto" w:fill="FFFFFF"/>
        <w:spacing w:before="192"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0E9" w14:textId="77777777" w:rsidR="00591D54" w:rsidRDefault="00591D54">
      <w:pPr>
        <w:shd w:val="clear" w:color="auto" w:fill="FFFFFF"/>
        <w:spacing w:before="1090" w:line="432" w:lineRule="exact"/>
      </w:pPr>
      <w:r>
        <w:rPr>
          <w:spacing w:val="-7"/>
          <w:sz w:val="18"/>
          <w:szCs w:val="18"/>
          <w:lang w:val="es-ES_tradnl"/>
        </w:rPr>
        <w:t>Quito, D. M., 05 de agosto de 2015</w:t>
      </w:r>
    </w:p>
    <w:p w14:paraId="4F67B0EA" w14:textId="77777777" w:rsidR="00591D54" w:rsidRDefault="00591D54">
      <w:pPr>
        <w:shd w:val="clear" w:color="auto" w:fill="FFFFFF"/>
        <w:spacing w:line="432" w:lineRule="exact"/>
        <w:ind w:left="850"/>
      </w:pPr>
      <w:r>
        <w:rPr>
          <w:b/>
          <w:bCs/>
          <w:spacing w:val="-3"/>
          <w:sz w:val="18"/>
          <w:szCs w:val="18"/>
          <w:u w:val="single"/>
          <w:lang w:val="es-ES_tradnl"/>
        </w:rPr>
        <w:t>SENTENCIA N.</w:t>
      </w:r>
      <w:r>
        <w:rPr>
          <w:rFonts w:cs="Times New Roman"/>
          <w:b/>
          <w:bCs/>
          <w:spacing w:val="-3"/>
          <w:sz w:val="18"/>
          <w:szCs w:val="18"/>
          <w:u w:val="single"/>
          <w:lang w:val="es-ES_tradnl"/>
        </w:rPr>
        <w:t>º</w:t>
      </w:r>
      <w:r>
        <w:rPr>
          <w:b/>
          <w:bCs/>
          <w:spacing w:val="-3"/>
          <w:sz w:val="18"/>
          <w:szCs w:val="18"/>
          <w:u w:val="single"/>
          <w:lang w:val="es-ES_tradnl"/>
        </w:rPr>
        <w:t xml:space="preserve"> 256-15-SEP-CC</w:t>
      </w:r>
    </w:p>
    <w:p w14:paraId="4F67B0EB" w14:textId="77777777" w:rsidR="00591D54" w:rsidRDefault="00591D54">
      <w:pPr>
        <w:shd w:val="clear" w:color="auto" w:fill="FFFFFF"/>
        <w:spacing w:line="432" w:lineRule="exact"/>
        <w:ind w:left="1296"/>
      </w:pPr>
      <w:r>
        <w:rPr>
          <w:b/>
          <w:bCs/>
          <w:spacing w:val="-5"/>
          <w:sz w:val="18"/>
          <w:szCs w:val="18"/>
          <w:u w:val="single"/>
          <w:lang w:val="es-ES_tradnl"/>
        </w:rPr>
        <w:t>CASO N.</w:t>
      </w:r>
      <w:r>
        <w:rPr>
          <w:rFonts w:cs="Times New Roman"/>
          <w:b/>
          <w:bCs/>
          <w:spacing w:val="-5"/>
          <w:sz w:val="18"/>
          <w:szCs w:val="18"/>
          <w:u w:val="single"/>
          <w:lang w:val="es-ES_tradnl"/>
        </w:rPr>
        <w:t>º</w:t>
      </w:r>
      <w:r>
        <w:rPr>
          <w:b/>
          <w:bCs/>
          <w:spacing w:val="-5"/>
          <w:sz w:val="18"/>
          <w:szCs w:val="18"/>
          <w:u w:val="single"/>
          <w:lang w:val="es-ES_tradnl"/>
        </w:rPr>
        <w:t xml:space="preserve"> 0445-14-EP</w:t>
      </w:r>
    </w:p>
    <w:p w14:paraId="4F67B0EC" w14:textId="77777777" w:rsidR="00591D54" w:rsidRDefault="00591D54">
      <w:pPr>
        <w:shd w:val="clear" w:color="auto" w:fill="FFFFFF"/>
        <w:spacing w:line="432" w:lineRule="exact"/>
        <w:ind w:left="298"/>
      </w:pPr>
      <w:r>
        <w:rPr>
          <w:b/>
          <w:bCs/>
          <w:sz w:val="18"/>
          <w:szCs w:val="18"/>
          <w:lang w:val="es-ES_tradnl"/>
        </w:rPr>
        <w:t>CORTE CONSTITUCIONAL DEL ECUADOR</w:t>
      </w:r>
    </w:p>
    <w:p w14:paraId="4F67B0ED" w14:textId="77777777" w:rsidR="00591D54" w:rsidRDefault="00591D54">
      <w:pPr>
        <w:shd w:val="clear" w:color="auto" w:fill="FFFFFF"/>
        <w:spacing w:line="432" w:lineRule="exact"/>
        <w:ind w:left="1339"/>
      </w:pPr>
      <w:r>
        <w:rPr>
          <w:b/>
          <w:bCs/>
          <w:sz w:val="18"/>
          <w:szCs w:val="18"/>
          <w:lang w:val="es-ES_tradnl"/>
        </w:rPr>
        <w:t>I. ANTECEDENTES</w:t>
      </w:r>
    </w:p>
    <w:p w14:paraId="4F67B0EE" w14:textId="77777777" w:rsidR="00591D54" w:rsidRDefault="00591D54">
      <w:pPr>
        <w:shd w:val="clear" w:color="auto" w:fill="FFFFFF"/>
        <w:spacing w:line="432" w:lineRule="exact"/>
      </w:pPr>
      <w:r>
        <w:rPr>
          <w:b/>
          <w:bCs/>
          <w:spacing w:val="-9"/>
          <w:sz w:val="18"/>
          <w:szCs w:val="18"/>
          <w:lang w:val="es-ES_tradnl"/>
        </w:rPr>
        <w:t>Resumen de admisibilidad</w:t>
      </w:r>
    </w:p>
    <w:p w14:paraId="4F67B0EF" w14:textId="77777777" w:rsidR="00591D54" w:rsidRDefault="00591D54">
      <w:pPr>
        <w:shd w:val="clear" w:color="auto" w:fill="FFFFFF"/>
        <w:spacing w:before="163" w:line="216" w:lineRule="exact"/>
        <w:jc w:val="both"/>
      </w:pPr>
      <w:r>
        <w:rPr>
          <w:spacing w:val="-9"/>
          <w:sz w:val="18"/>
          <w:szCs w:val="18"/>
          <w:lang w:val="es-ES_tradnl"/>
        </w:rPr>
        <w:t>La se</w:t>
      </w:r>
      <w:r>
        <w:rPr>
          <w:rFonts w:cs="Times New Roman"/>
          <w:spacing w:val="-9"/>
          <w:sz w:val="18"/>
          <w:szCs w:val="18"/>
          <w:lang w:val="es-ES_tradnl"/>
        </w:rPr>
        <w:t>ñ</w:t>
      </w:r>
      <w:r>
        <w:rPr>
          <w:spacing w:val="-9"/>
          <w:sz w:val="18"/>
          <w:szCs w:val="18"/>
          <w:lang w:val="es-ES_tradnl"/>
        </w:rPr>
        <w:t>ora Cecilia Isabel Prieto Vega de la Cadena present</w:t>
      </w:r>
      <w:r>
        <w:rPr>
          <w:rFonts w:cs="Times New Roman"/>
          <w:spacing w:val="-9"/>
          <w:sz w:val="18"/>
          <w:szCs w:val="18"/>
          <w:lang w:val="es-ES_tradnl"/>
        </w:rPr>
        <w:t xml:space="preserve">ó </w:t>
      </w:r>
      <w:r>
        <w:rPr>
          <w:spacing w:val="-10"/>
          <w:sz w:val="18"/>
          <w:szCs w:val="18"/>
          <w:lang w:val="es-ES_tradnl"/>
        </w:rPr>
        <w:t>acci</w:t>
      </w:r>
      <w:r>
        <w:rPr>
          <w:rFonts w:cs="Times New Roman"/>
          <w:spacing w:val="-10"/>
          <w:sz w:val="18"/>
          <w:szCs w:val="18"/>
          <w:lang w:val="es-ES_tradnl"/>
        </w:rPr>
        <w:t>ó</w:t>
      </w:r>
      <w:r>
        <w:rPr>
          <w:spacing w:val="-10"/>
          <w:sz w:val="18"/>
          <w:szCs w:val="18"/>
          <w:lang w:val="es-ES_tradnl"/>
        </w:rPr>
        <w:t>n extraordinaria de protecci</w:t>
      </w:r>
      <w:r>
        <w:rPr>
          <w:rFonts w:cs="Times New Roman"/>
          <w:spacing w:val="-10"/>
          <w:sz w:val="18"/>
          <w:szCs w:val="18"/>
          <w:lang w:val="es-ES_tradnl"/>
        </w:rPr>
        <w:t>ó</w:t>
      </w:r>
      <w:r>
        <w:rPr>
          <w:spacing w:val="-10"/>
          <w:sz w:val="18"/>
          <w:szCs w:val="18"/>
          <w:lang w:val="es-ES_tradnl"/>
        </w:rPr>
        <w:t xml:space="preserve">n en contra de la sentencia </w:t>
      </w:r>
      <w:r>
        <w:rPr>
          <w:spacing w:val="-8"/>
          <w:sz w:val="18"/>
          <w:szCs w:val="18"/>
          <w:lang w:val="es-ES_tradnl"/>
        </w:rPr>
        <w:t xml:space="preserve">del 20 de enero de 2014, dictada por los jueces de la Sala </w:t>
      </w:r>
      <w:r>
        <w:rPr>
          <w:spacing w:val="-10"/>
          <w:sz w:val="18"/>
          <w:szCs w:val="18"/>
          <w:lang w:val="es-ES_tradnl"/>
        </w:rPr>
        <w:t xml:space="preserve">Especializada de lo Laboral de la Corte Nacional de Justicia, </w:t>
      </w:r>
      <w:r>
        <w:rPr>
          <w:spacing w:val="-8"/>
          <w:sz w:val="18"/>
          <w:szCs w:val="18"/>
          <w:lang w:val="es-ES_tradnl"/>
        </w:rPr>
        <w:t>dentro del recurso de casaci</w:t>
      </w:r>
      <w:r>
        <w:rPr>
          <w:rFonts w:cs="Times New Roman"/>
          <w:spacing w:val="-8"/>
          <w:sz w:val="18"/>
          <w:szCs w:val="18"/>
          <w:lang w:val="es-ES_tradnl"/>
        </w:rPr>
        <w:t>ó</w:t>
      </w:r>
      <w:r>
        <w:rPr>
          <w:spacing w:val="-8"/>
          <w:sz w:val="18"/>
          <w:szCs w:val="18"/>
          <w:lang w:val="es-ES_tradnl"/>
        </w:rPr>
        <w:t>n N.</w:t>
      </w:r>
      <w:r>
        <w:rPr>
          <w:rFonts w:cs="Times New Roman"/>
          <w:spacing w:val="-8"/>
          <w:sz w:val="18"/>
          <w:szCs w:val="18"/>
          <w:lang w:val="es-ES_tradnl"/>
        </w:rPr>
        <w:t>º</w:t>
      </w:r>
      <w:r>
        <w:rPr>
          <w:spacing w:val="-8"/>
          <w:sz w:val="18"/>
          <w:szCs w:val="18"/>
          <w:lang w:val="es-ES_tradnl"/>
        </w:rPr>
        <w:t xml:space="preserve"> 0275-2013, mediante el cual se resolvi</w:t>
      </w:r>
      <w:r>
        <w:rPr>
          <w:rFonts w:cs="Times New Roman"/>
          <w:spacing w:val="-8"/>
          <w:sz w:val="18"/>
          <w:szCs w:val="18"/>
          <w:lang w:val="es-ES_tradnl"/>
        </w:rPr>
        <w:t>ó</w:t>
      </w:r>
      <w:r>
        <w:rPr>
          <w:spacing w:val="-8"/>
          <w:sz w:val="18"/>
          <w:szCs w:val="18"/>
          <w:lang w:val="es-ES_tradnl"/>
        </w:rPr>
        <w:t xml:space="preserve"> no casar la sentencia del Tribunal </w:t>
      </w:r>
      <w:r>
        <w:rPr>
          <w:i/>
          <w:iCs/>
          <w:spacing w:val="-8"/>
          <w:sz w:val="18"/>
          <w:szCs w:val="18"/>
          <w:lang w:val="es-ES_tradnl"/>
        </w:rPr>
        <w:t xml:space="preserve">ad quem </w:t>
      </w:r>
      <w:r>
        <w:rPr>
          <w:sz w:val="18"/>
          <w:szCs w:val="18"/>
          <w:lang w:val="es-ES_tradnl"/>
        </w:rPr>
        <w:t>y en consecuencia, la deja en firme.</w:t>
      </w:r>
    </w:p>
    <w:p w14:paraId="4F67B0F0" w14:textId="77777777" w:rsidR="00591D54" w:rsidRDefault="00591D54">
      <w:pPr>
        <w:shd w:val="clear" w:color="auto" w:fill="FFFFFF"/>
        <w:spacing w:before="197" w:line="216" w:lineRule="exact"/>
        <w:jc w:val="both"/>
      </w:pPr>
      <w:r>
        <w:rPr>
          <w:spacing w:val="-4"/>
          <w:sz w:val="18"/>
          <w:szCs w:val="18"/>
          <w:lang w:val="es-ES_tradnl"/>
        </w:rPr>
        <w:t xml:space="preserve">El secretario general de la Corte Constitucional, de </w:t>
      </w:r>
      <w:r>
        <w:rPr>
          <w:spacing w:val="-6"/>
          <w:sz w:val="18"/>
          <w:szCs w:val="18"/>
          <w:lang w:val="es-ES_tradnl"/>
        </w:rPr>
        <w:t xml:space="preserve">conformidad con lo establecido en el segundo inciso del </w:t>
      </w:r>
      <w:r>
        <w:rPr>
          <w:spacing w:val="-9"/>
          <w:sz w:val="18"/>
          <w:szCs w:val="18"/>
          <w:lang w:val="es-ES_tradnl"/>
        </w:rPr>
        <w:t>art</w:t>
      </w:r>
      <w:r>
        <w:rPr>
          <w:rFonts w:cs="Times New Roman"/>
          <w:spacing w:val="-9"/>
          <w:sz w:val="18"/>
          <w:szCs w:val="18"/>
          <w:lang w:val="es-ES_tradnl"/>
        </w:rPr>
        <w:t>í</w:t>
      </w:r>
      <w:r>
        <w:rPr>
          <w:spacing w:val="-9"/>
          <w:sz w:val="18"/>
          <w:szCs w:val="18"/>
          <w:lang w:val="es-ES_tradnl"/>
        </w:rPr>
        <w:t>culo 8 del Reglamento de Sustanciaci</w:t>
      </w:r>
      <w:r>
        <w:rPr>
          <w:rFonts w:cs="Times New Roman"/>
          <w:spacing w:val="-9"/>
          <w:sz w:val="18"/>
          <w:szCs w:val="18"/>
          <w:lang w:val="es-ES_tradnl"/>
        </w:rPr>
        <w:t>ó</w:t>
      </w:r>
      <w:r>
        <w:rPr>
          <w:spacing w:val="-9"/>
          <w:sz w:val="18"/>
          <w:szCs w:val="18"/>
          <w:lang w:val="es-ES_tradnl"/>
        </w:rPr>
        <w:t xml:space="preserve">n de Procesos de </w:t>
      </w:r>
      <w:r>
        <w:rPr>
          <w:spacing w:val="-5"/>
          <w:sz w:val="18"/>
          <w:szCs w:val="18"/>
          <w:lang w:val="es-ES_tradnl"/>
        </w:rPr>
        <w:t xml:space="preserve">Competencia de la Corte Constitucional, el 13 de agosto </w:t>
      </w:r>
      <w:r>
        <w:rPr>
          <w:spacing w:val="-6"/>
          <w:sz w:val="18"/>
          <w:szCs w:val="18"/>
          <w:lang w:val="es-ES_tradnl"/>
        </w:rPr>
        <w:t>de 2012 certific</w:t>
      </w:r>
      <w:r>
        <w:rPr>
          <w:rFonts w:cs="Times New Roman"/>
          <w:spacing w:val="-6"/>
          <w:sz w:val="18"/>
          <w:szCs w:val="18"/>
          <w:lang w:val="es-ES_tradnl"/>
        </w:rPr>
        <w:t>ó</w:t>
      </w:r>
      <w:r>
        <w:rPr>
          <w:spacing w:val="-6"/>
          <w:sz w:val="18"/>
          <w:szCs w:val="18"/>
          <w:lang w:val="es-ES_tradnl"/>
        </w:rPr>
        <w:t xml:space="preserve"> que en referencia a la acci</w:t>
      </w:r>
      <w:r>
        <w:rPr>
          <w:rFonts w:cs="Times New Roman"/>
          <w:spacing w:val="-6"/>
          <w:sz w:val="18"/>
          <w:szCs w:val="18"/>
          <w:lang w:val="es-ES_tradnl"/>
        </w:rPr>
        <w:t>ó</w:t>
      </w:r>
      <w:r>
        <w:rPr>
          <w:spacing w:val="-6"/>
          <w:sz w:val="18"/>
          <w:szCs w:val="18"/>
          <w:lang w:val="es-ES_tradnl"/>
        </w:rPr>
        <w:t xml:space="preserve">n </w:t>
      </w:r>
      <w:r>
        <w:rPr>
          <w:b/>
          <w:bCs/>
          <w:spacing w:val="-6"/>
          <w:sz w:val="18"/>
          <w:szCs w:val="18"/>
          <w:lang w:val="es-ES_tradnl"/>
        </w:rPr>
        <w:t>N.</w:t>
      </w:r>
      <w:r>
        <w:rPr>
          <w:rFonts w:cs="Times New Roman"/>
          <w:b/>
          <w:bCs/>
          <w:spacing w:val="-6"/>
          <w:sz w:val="18"/>
          <w:szCs w:val="18"/>
          <w:lang w:val="es-ES_tradnl"/>
        </w:rPr>
        <w:t>º</w:t>
      </w:r>
      <w:r>
        <w:rPr>
          <w:b/>
          <w:bCs/>
          <w:spacing w:val="-6"/>
          <w:sz w:val="18"/>
          <w:szCs w:val="18"/>
          <w:lang w:val="es-ES_tradnl"/>
        </w:rPr>
        <w:t xml:space="preserve"> 0445-</w:t>
      </w:r>
      <w:r>
        <w:rPr>
          <w:b/>
          <w:bCs/>
          <w:spacing w:val="-9"/>
          <w:sz w:val="18"/>
          <w:szCs w:val="18"/>
          <w:lang w:val="es-ES_tradnl"/>
        </w:rPr>
        <w:t>14-EP</w:t>
      </w:r>
      <w:r>
        <w:rPr>
          <w:spacing w:val="-9"/>
          <w:sz w:val="18"/>
          <w:szCs w:val="18"/>
          <w:lang w:val="es-ES_tradnl"/>
        </w:rPr>
        <w:t xml:space="preserve">, no se ha presentado otra demanda con identidad de </w:t>
      </w:r>
      <w:r>
        <w:rPr>
          <w:sz w:val="18"/>
          <w:szCs w:val="18"/>
          <w:lang w:val="es-ES_tradnl"/>
        </w:rPr>
        <w:t>objeto y acci</w:t>
      </w:r>
      <w:r>
        <w:rPr>
          <w:rFonts w:cs="Times New Roman"/>
          <w:sz w:val="18"/>
          <w:szCs w:val="18"/>
          <w:lang w:val="es-ES_tradnl"/>
        </w:rPr>
        <w:t>ó</w:t>
      </w:r>
      <w:r>
        <w:rPr>
          <w:sz w:val="18"/>
          <w:szCs w:val="18"/>
          <w:lang w:val="es-ES_tradnl"/>
        </w:rPr>
        <w:t>n.</w:t>
      </w:r>
    </w:p>
    <w:p w14:paraId="4F67B0F1" w14:textId="77777777" w:rsidR="00591D54" w:rsidRDefault="00591D54">
      <w:pPr>
        <w:shd w:val="clear" w:color="auto" w:fill="FFFFFF"/>
        <w:spacing w:before="192" w:line="216" w:lineRule="exact"/>
        <w:jc w:val="both"/>
      </w:pPr>
      <w:r>
        <w:rPr>
          <w:spacing w:val="-10"/>
          <w:sz w:val="18"/>
          <w:szCs w:val="18"/>
          <w:lang w:val="es-ES_tradnl"/>
        </w:rPr>
        <w:t>La Sala de Admisi</w:t>
      </w:r>
      <w:r>
        <w:rPr>
          <w:rFonts w:cs="Times New Roman"/>
          <w:spacing w:val="-10"/>
          <w:sz w:val="18"/>
          <w:szCs w:val="18"/>
          <w:lang w:val="es-ES_tradnl"/>
        </w:rPr>
        <w:t>ó</w:t>
      </w:r>
      <w:r>
        <w:rPr>
          <w:spacing w:val="-10"/>
          <w:sz w:val="18"/>
          <w:szCs w:val="18"/>
          <w:lang w:val="es-ES_tradnl"/>
        </w:rPr>
        <w:t xml:space="preserve">n de la Corte Constitucional, conformada </w:t>
      </w:r>
      <w:r>
        <w:rPr>
          <w:spacing w:val="-8"/>
          <w:sz w:val="18"/>
          <w:szCs w:val="18"/>
          <w:lang w:val="es-ES_tradnl"/>
        </w:rPr>
        <w:t>por las juezas constitucionales Tatiana Orde</w:t>
      </w:r>
      <w:r>
        <w:rPr>
          <w:rFonts w:cs="Times New Roman"/>
          <w:spacing w:val="-8"/>
          <w:sz w:val="18"/>
          <w:szCs w:val="18"/>
          <w:lang w:val="es-ES_tradnl"/>
        </w:rPr>
        <w:t>ñ</w:t>
      </w:r>
      <w:r>
        <w:rPr>
          <w:spacing w:val="-8"/>
          <w:sz w:val="18"/>
          <w:szCs w:val="18"/>
          <w:lang w:val="es-ES_tradnl"/>
        </w:rPr>
        <w:t xml:space="preserve">ana Sierra y </w:t>
      </w:r>
      <w:r>
        <w:rPr>
          <w:spacing w:val="-6"/>
          <w:sz w:val="18"/>
          <w:szCs w:val="18"/>
          <w:lang w:val="es-ES_tradnl"/>
        </w:rPr>
        <w:t xml:space="preserve">Wendy Molina Andrade, y juez Manuel Viteri Olvera, el 27 </w:t>
      </w:r>
      <w:r>
        <w:rPr>
          <w:spacing w:val="-9"/>
          <w:sz w:val="18"/>
          <w:szCs w:val="18"/>
          <w:lang w:val="es-ES_tradnl"/>
        </w:rPr>
        <w:t>de marzo de 2014 a las 15h58, admiti</w:t>
      </w:r>
      <w:r>
        <w:rPr>
          <w:rFonts w:cs="Times New Roman"/>
          <w:spacing w:val="-9"/>
          <w:sz w:val="18"/>
          <w:szCs w:val="18"/>
          <w:lang w:val="es-ES_tradnl"/>
        </w:rPr>
        <w:t>ó</w:t>
      </w:r>
      <w:r>
        <w:rPr>
          <w:spacing w:val="-9"/>
          <w:sz w:val="18"/>
          <w:szCs w:val="18"/>
          <w:lang w:val="es-ES_tradnl"/>
        </w:rPr>
        <w:t xml:space="preserve"> a tr</w:t>
      </w:r>
      <w:r>
        <w:rPr>
          <w:rFonts w:cs="Times New Roman"/>
          <w:spacing w:val="-9"/>
          <w:sz w:val="18"/>
          <w:szCs w:val="18"/>
          <w:lang w:val="es-ES_tradnl"/>
        </w:rPr>
        <w:t>á</w:t>
      </w:r>
      <w:r>
        <w:rPr>
          <w:spacing w:val="-9"/>
          <w:sz w:val="18"/>
          <w:szCs w:val="18"/>
          <w:lang w:val="es-ES_tradnl"/>
        </w:rPr>
        <w:t xml:space="preserve">mite la presente </w:t>
      </w:r>
      <w:r>
        <w:rPr>
          <w:sz w:val="18"/>
          <w:szCs w:val="18"/>
          <w:lang w:val="es-ES_tradnl"/>
        </w:rPr>
        <w:t>acci</w:t>
      </w:r>
      <w:r>
        <w:rPr>
          <w:rFonts w:cs="Times New Roman"/>
          <w:sz w:val="18"/>
          <w:szCs w:val="18"/>
          <w:lang w:val="es-ES_tradnl"/>
        </w:rPr>
        <w:t>ó</w:t>
      </w:r>
      <w:r>
        <w:rPr>
          <w:sz w:val="18"/>
          <w:szCs w:val="18"/>
          <w:lang w:val="es-ES_tradnl"/>
        </w:rPr>
        <w:t>n.</w:t>
      </w:r>
    </w:p>
    <w:p w14:paraId="4F67B0F2" w14:textId="77777777" w:rsidR="00591D54" w:rsidRDefault="00591D54">
      <w:pPr>
        <w:shd w:val="clear" w:color="auto" w:fill="FFFFFF"/>
        <w:spacing w:before="192" w:line="216" w:lineRule="exact"/>
        <w:jc w:val="both"/>
      </w:pPr>
      <w:r>
        <w:rPr>
          <w:spacing w:val="-6"/>
          <w:sz w:val="18"/>
          <w:szCs w:val="18"/>
          <w:lang w:val="es-ES_tradnl"/>
        </w:rPr>
        <w:t>De conformidad con el sorteo realizado por el Pleno de la Corte Constitucional en sesi</w:t>
      </w:r>
      <w:r>
        <w:rPr>
          <w:rFonts w:cs="Times New Roman"/>
          <w:spacing w:val="-6"/>
          <w:sz w:val="18"/>
          <w:szCs w:val="18"/>
          <w:lang w:val="es-ES_tradnl"/>
        </w:rPr>
        <w:t>ó</w:t>
      </w:r>
      <w:r>
        <w:rPr>
          <w:spacing w:val="-6"/>
          <w:sz w:val="18"/>
          <w:szCs w:val="18"/>
          <w:lang w:val="es-ES_tradnl"/>
        </w:rPr>
        <w:t xml:space="preserve">n ordinaria del 16 de abril de </w:t>
      </w:r>
      <w:r>
        <w:rPr>
          <w:spacing w:val="-9"/>
          <w:sz w:val="18"/>
          <w:szCs w:val="18"/>
          <w:lang w:val="es-ES_tradnl"/>
        </w:rPr>
        <w:t>2014, como se desprende del memorando N.</w:t>
      </w:r>
      <w:r>
        <w:rPr>
          <w:rFonts w:cs="Times New Roman"/>
          <w:spacing w:val="-9"/>
          <w:sz w:val="18"/>
          <w:szCs w:val="18"/>
          <w:lang w:val="es-ES_tradnl"/>
        </w:rPr>
        <w:t>º</w:t>
      </w:r>
      <w:r>
        <w:rPr>
          <w:spacing w:val="-9"/>
          <w:sz w:val="18"/>
          <w:szCs w:val="18"/>
          <w:lang w:val="es-ES_tradnl"/>
        </w:rPr>
        <w:t xml:space="preserve"> 0196-CCE-</w:t>
      </w:r>
      <w:r>
        <w:rPr>
          <w:spacing w:val="-11"/>
          <w:sz w:val="18"/>
          <w:szCs w:val="18"/>
          <w:lang w:val="es-ES_tradnl"/>
        </w:rPr>
        <w:t>SG-SUS-2014 del 16 de abril de 2014, le correspondi</w:t>
      </w:r>
      <w:r>
        <w:rPr>
          <w:rFonts w:cs="Times New Roman"/>
          <w:spacing w:val="-11"/>
          <w:sz w:val="18"/>
          <w:szCs w:val="18"/>
          <w:lang w:val="es-ES_tradnl"/>
        </w:rPr>
        <w:t>ó</w:t>
      </w:r>
      <w:r>
        <w:rPr>
          <w:spacing w:val="-11"/>
          <w:sz w:val="18"/>
          <w:szCs w:val="18"/>
          <w:lang w:val="es-ES_tradnl"/>
        </w:rPr>
        <w:t xml:space="preserve"> al juez </w:t>
      </w:r>
      <w:r>
        <w:rPr>
          <w:spacing w:val="-6"/>
          <w:sz w:val="18"/>
          <w:szCs w:val="18"/>
          <w:lang w:val="es-ES_tradnl"/>
        </w:rPr>
        <w:t>constitucional Antonio Gagliardo Loor, la sustanciaci</w:t>
      </w:r>
      <w:r>
        <w:rPr>
          <w:rFonts w:cs="Times New Roman"/>
          <w:spacing w:val="-6"/>
          <w:sz w:val="18"/>
          <w:szCs w:val="18"/>
          <w:lang w:val="es-ES_tradnl"/>
        </w:rPr>
        <w:t>ó</w:t>
      </w:r>
      <w:r>
        <w:rPr>
          <w:spacing w:val="-6"/>
          <w:sz w:val="18"/>
          <w:szCs w:val="18"/>
          <w:lang w:val="es-ES_tradnl"/>
        </w:rPr>
        <w:t xml:space="preserve">n de </w:t>
      </w:r>
      <w:r>
        <w:rPr>
          <w:spacing w:val="-9"/>
          <w:sz w:val="18"/>
          <w:szCs w:val="18"/>
          <w:lang w:val="es-ES_tradnl"/>
        </w:rPr>
        <w:t>la presente causa. El juez sustanciador avoc</w:t>
      </w:r>
      <w:r>
        <w:rPr>
          <w:rFonts w:cs="Times New Roman"/>
          <w:spacing w:val="-9"/>
          <w:sz w:val="18"/>
          <w:szCs w:val="18"/>
          <w:lang w:val="es-ES_tradnl"/>
        </w:rPr>
        <w:t>ó</w:t>
      </w:r>
      <w:r>
        <w:rPr>
          <w:spacing w:val="-9"/>
          <w:sz w:val="18"/>
          <w:szCs w:val="18"/>
          <w:lang w:val="es-ES_tradnl"/>
        </w:rPr>
        <w:t xml:space="preserve"> conocimiento</w:t>
      </w:r>
    </w:p>
    <w:p w14:paraId="4F67B0F3" w14:textId="77777777" w:rsidR="00591D54" w:rsidRDefault="00591D54">
      <w:pPr>
        <w:shd w:val="clear" w:color="auto" w:fill="FFFFFF"/>
        <w:spacing w:before="192" w:line="216" w:lineRule="exact"/>
        <w:jc w:val="both"/>
        <w:sectPr w:rsidR="00591D54">
          <w:type w:val="continuous"/>
          <w:pgSz w:w="11909" w:h="16834"/>
          <w:pgMar w:top="1368" w:right="1309" w:bottom="360" w:left="1308" w:header="720" w:footer="720" w:gutter="0"/>
          <w:cols w:num="2" w:space="720" w:equalWidth="0">
            <w:col w:w="4305" w:space="682"/>
            <w:col w:w="4305"/>
          </w:cols>
          <w:noEndnote/>
        </w:sectPr>
      </w:pPr>
    </w:p>
    <w:p w14:paraId="4F67B0F4" w14:textId="77777777" w:rsidR="00591D54" w:rsidRDefault="00591D54">
      <w:pPr>
        <w:shd w:val="clear" w:color="auto" w:fill="FFFFFF"/>
        <w:tabs>
          <w:tab w:val="left" w:pos="4814"/>
        </w:tabs>
        <w:spacing w:after="230"/>
        <w:ind w:left="14"/>
      </w:pPr>
      <w:r>
        <w:rPr>
          <w:b/>
          <w:bCs/>
          <w:sz w:val="18"/>
          <w:szCs w:val="18"/>
          <w:lang w:val="es-ES_tradnl"/>
        </w:rPr>
        <w:t xml:space="preserve">164 -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0F5" w14:textId="77777777" w:rsidR="00591D54" w:rsidRDefault="00591D54">
      <w:pPr>
        <w:shd w:val="clear" w:color="auto" w:fill="FFFFFF"/>
        <w:tabs>
          <w:tab w:val="left" w:pos="4814"/>
        </w:tabs>
        <w:spacing w:after="230"/>
        <w:ind w:left="14"/>
        <w:sectPr w:rsidR="00591D54">
          <w:pgSz w:w="11909" w:h="16834"/>
          <w:pgMar w:top="1380" w:right="1299" w:bottom="360" w:left="1308" w:header="720" w:footer="720" w:gutter="0"/>
          <w:cols w:space="60"/>
          <w:noEndnote/>
        </w:sectPr>
      </w:pPr>
    </w:p>
    <w:p w14:paraId="4F67B0F6" w14:textId="77777777" w:rsidR="00591D54" w:rsidRDefault="00591D54">
      <w:pPr>
        <w:shd w:val="clear" w:color="auto" w:fill="FFFFFF"/>
        <w:spacing w:before="5" w:line="216" w:lineRule="exact"/>
        <w:ind w:right="5"/>
        <w:jc w:val="both"/>
      </w:pPr>
      <w:r>
        <w:rPr>
          <w:spacing w:val="-7"/>
          <w:sz w:val="18"/>
          <w:szCs w:val="18"/>
          <w:lang w:val="es-ES_tradnl"/>
        </w:rPr>
        <w:t>de la causa N.</w:t>
      </w:r>
      <w:r>
        <w:rPr>
          <w:rFonts w:cs="Times New Roman"/>
          <w:spacing w:val="-7"/>
          <w:sz w:val="18"/>
          <w:szCs w:val="18"/>
          <w:lang w:val="es-ES_tradnl"/>
        </w:rPr>
        <w:t>º</w:t>
      </w:r>
      <w:r>
        <w:rPr>
          <w:spacing w:val="-7"/>
          <w:sz w:val="18"/>
          <w:szCs w:val="18"/>
          <w:lang w:val="es-ES_tradnl"/>
        </w:rPr>
        <w:t xml:space="preserve"> 0445-14-EP, mediante providencia emitida </w:t>
      </w:r>
      <w:r>
        <w:rPr>
          <w:spacing w:val="-8"/>
          <w:sz w:val="18"/>
          <w:szCs w:val="18"/>
          <w:lang w:val="es-ES_tradnl"/>
        </w:rPr>
        <w:t xml:space="preserve">el 25 de marzo de 2015 a las 16h00, dispuso que se haga </w:t>
      </w:r>
      <w:r>
        <w:rPr>
          <w:spacing w:val="-10"/>
          <w:sz w:val="18"/>
          <w:szCs w:val="18"/>
          <w:lang w:val="es-ES_tradnl"/>
        </w:rPr>
        <w:t>conocer a las partes procesales la recepci</w:t>
      </w:r>
      <w:r>
        <w:rPr>
          <w:rFonts w:cs="Times New Roman"/>
          <w:spacing w:val="-10"/>
          <w:sz w:val="18"/>
          <w:szCs w:val="18"/>
          <w:lang w:val="es-ES_tradnl"/>
        </w:rPr>
        <w:t>ó</w:t>
      </w:r>
      <w:r>
        <w:rPr>
          <w:spacing w:val="-10"/>
          <w:sz w:val="18"/>
          <w:szCs w:val="18"/>
          <w:lang w:val="es-ES_tradnl"/>
        </w:rPr>
        <w:t xml:space="preserve">n de la causa, se </w:t>
      </w:r>
      <w:r>
        <w:rPr>
          <w:spacing w:val="-9"/>
          <w:sz w:val="18"/>
          <w:szCs w:val="18"/>
          <w:lang w:val="es-ES_tradnl"/>
        </w:rPr>
        <w:t xml:space="preserve">notifique con el contenido de la demanda y la providencia a </w:t>
      </w:r>
      <w:r>
        <w:rPr>
          <w:spacing w:val="-10"/>
          <w:sz w:val="18"/>
          <w:szCs w:val="18"/>
          <w:lang w:val="es-ES_tradnl"/>
        </w:rPr>
        <w:t>los jueces de la Sala Especializada de lo Laboral de la Corte Nacional de Justicia, a fin de que en el t</w:t>
      </w:r>
      <w:r>
        <w:rPr>
          <w:rFonts w:cs="Times New Roman"/>
          <w:spacing w:val="-10"/>
          <w:sz w:val="18"/>
          <w:szCs w:val="18"/>
          <w:lang w:val="es-ES_tradnl"/>
        </w:rPr>
        <w:t>é</w:t>
      </w:r>
      <w:r>
        <w:rPr>
          <w:spacing w:val="-10"/>
          <w:sz w:val="18"/>
          <w:szCs w:val="18"/>
          <w:lang w:val="es-ES_tradnl"/>
        </w:rPr>
        <w:t>rmino de ocho d</w:t>
      </w:r>
      <w:r>
        <w:rPr>
          <w:rFonts w:cs="Times New Roman"/>
          <w:spacing w:val="-10"/>
          <w:sz w:val="18"/>
          <w:szCs w:val="18"/>
          <w:lang w:val="es-ES_tradnl"/>
        </w:rPr>
        <w:t>í</w:t>
      </w:r>
      <w:r>
        <w:rPr>
          <w:spacing w:val="-10"/>
          <w:sz w:val="18"/>
          <w:szCs w:val="18"/>
          <w:lang w:val="es-ES_tradnl"/>
        </w:rPr>
        <w:t xml:space="preserve">as </w:t>
      </w:r>
      <w:r>
        <w:rPr>
          <w:spacing w:val="-8"/>
          <w:sz w:val="18"/>
          <w:szCs w:val="18"/>
          <w:lang w:val="es-ES_tradnl"/>
        </w:rPr>
        <w:t xml:space="preserve">presenten un informe debidamente motivado de descargo </w:t>
      </w:r>
      <w:r>
        <w:rPr>
          <w:spacing w:val="-10"/>
          <w:sz w:val="18"/>
          <w:szCs w:val="18"/>
          <w:lang w:val="es-ES_tradnl"/>
        </w:rPr>
        <w:t xml:space="preserve">acerca de los argumentos que se exponen en la demanda. </w:t>
      </w:r>
      <w:r>
        <w:rPr>
          <w:spacing w:val="-6"/>
          <w:sz w:val="18"/>
          <w:szCs w:val="18"/>
          <w:lang w:val="es-ES_tradnl"/>
        </w:rPr>
        <w:t>Asimismo, para efectos del art</w:t>
      </w:r>
      <w:r>
        <w:rPr>
          <w:rFonts w:cs="Times New Roman"/>
          <w:spacing w:val="-6"/>
          <w:sz w:val="18"/>
          <w:szCs w:val="18"/>
          <w:lang w:val="es-ES_tradnl"/>
        </w:rPr>
        <w:t>í</w:t>
      </w:r>
      <w:r>
        <w:rPr>
          <w:spacing w:val="-6"/>
          <w:sz w:val="18"/>
          <w:szCs w:val="18"/>
          <w:lang w:val="es-ES_tradnl"/>
        </w:rPr>
        <w:t>culo 12 de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Control Constitucional se </w:t>
      </w:r>
      <w:r>
        <w:rPr>
          <w:spacing w:val="-7"/>
          <w:sz w:val="18"/>
          <w:szCs w:val="18"/>
          <w:lang w:val="es-ES_tradnl"/>
        </w:rPr>
        <w:t>notific</w:t>
      </w:r>
      <w:r>
        <w:rPr>
          <w:rFonts w:cs="Times New Roman"/>
          <w:spacing w:val="-7"/>
          <w:sz w:val="18"/>
          <w:szCs w:val="18"/>
          <w:lang w:val="es-ES_tradnl"/>
        </w:rPr>
        <w:t>ó</w:t>
      </w:r>
      <w:r>
        <w:rPr>
          <w:spacing w:val="-7"/>
          <w:sz w:val="18"/>
          <w:szCs w:val="18"/>
          <w:lang w:val="es-ES_tradnl"/>
        </w:rPr>
        <w:t xml:space="preserve"> al gerente y representante legal de la compa</w:t>
      </w:r>
      <w:r>
        <w:rPr>
          <w:rFonts w:cs="Times New Roman"/>
          <w:spacing w:val="-7"/>
          <w:sz w:val="18"/>
          <w:szCs w:val="18"/>
          <w:lang w:val="es-ES_tradnl"/>
        </w:rPr>
        <w:t>ñí</w:t>
      </w:r>
      <w:r>
        <w:rPr>
          <w:spacing w:val="-7"/>
          <w:sz w:val="18"/>
          <w:szCs w:val="18"/>
          <w:lang w:val="es-ES_tradnl"/>
        </w:rPr>
        <w:t xml:space="preserve">a </w:t>
      </w:r>
      <w:r>
        <w:rPr>
          <w:spacing w:val="-9"/>
          <w:sz w:val="18"/>
          <w:szCs w:val="18"/>
          <w:lang w:val="es-ES_tradnl"/>
        </w:rPr>
        <w:t xml:space="preserve">Maqhensa Representaciones S.A., y al procurador general </w:t>
      </w:r>
      <w:r>
        <w:rPr>
          <w:spacing w:val="-6"/>
          <w:sz w:val="18"/>
          <w:szCs w:val="18"/>
          <w:lang w:val="es-ES_tradnl"/>
        </w:rPr>
        <w:t>del Estado (fojas 22 del expediente constitucional).</w:t>
      </w:r>
    </w:p>
    <w:p w14:paraId="4F67B0F7" w14:textId="77777777" w:rsidR="00591D54" w:rsidRDefault="00591D54">
      <w:pPr>
        <w:shd w:val="clear" w:color="auto" w:fill="FFFFFF"/>
        <w:spacing w:before="192"/>
      </w:pPr>
      <w:r>
        <w:rPr>
          <w:b/>
          <w:bCs/>
          <w:spacing w:val="-10"/>
          <w:sz w:val="18"/>
          <w:szCs w:val="18"/>
          <w:lang w:val="es-ES_tradnl"/>
        </w:rPr>
        <w:t>Sentencia de casaci</w:t>
      </w:r>
      <w:r>
        <w:rPr>
          <w:rFonts w:cs="Times New Roman"/>
          <w:b/>
          <w:bCs/>
          <w:spacing w:val="-10"/>
          <w:sz w:val="18"/>
          <w:szCs w:val="18"/>
          <w:lang w:val="es-ES_tradnl"/>
        </w:rPr>
        <w:t>ó</w:t>
      </w:r>
      <w:r>
        <w:rPr>
          <w:b/>
          <w:bCs/>
          <w:spacing w:val="-10"/>
          <w:sz w:val="18"/>
          <w:szCs w:val="18"/>
          <w:lang w:val="es-ES_tradnl"/>
        </w:rPr>
        <w:t>n laboral que se impugna:</w:t>
      </w:r>
    </w:p>
    <w:p w14:paraId="4F67B0F8" w14:textId="77777777" w:rsidR="00591D54" w:rsidRDefault="00591D54">
      <w:pPr>
        <w:shd w:val="clear" w:color="auto" w:fill="FFFFFF"/>
        <w:spacing w:before="202" w:line="216" w:lineRule="exact"/>
        <w:ind w:left="283"/>
        <w:jc w:val="both"/>
      </w:pPr>
      <w:r>
        <w:rPr>
          <w:b/>
          <w:bCs/>
          <w:sz w:val="16"/>
          <w:szCs w:val="16"/>
          <w:lang w:val="es-ES_tradnl"/>
        </w:rPr>
        <w:t xml:space="preserve">CORTE NACIONAL DE JUSTICIA.- SALA ESPECIALIZADA DE LO LABORAL.- Quito, </w:t>
      </w:r>
      <w:r>
        <w:rPr>
          <w:sz w:val="16"/>
          <w:szCs w:val="16"/>
          <w:lang w:val="es-ES_tradnl"/>
        </w:rPr>
        <w:t xml:space="preserve">20 de enero de 2014, las 10h10. </w:t>
      </w:r>
      <w:r>
        <w:rPr>
          <w:b/>
          <w:bCs/>
          <w:sz w:val="16"/>
          <w:szCs w:val="16"/>
          <w:lang w:val="es-ES_tradnl"/>
        </w:rPr>
        <w:t>VISTOS</w:t>
      </w:r>
      <w:r>
        <w:rPr>
          <w:sz w:val="16"/>
          <w:szCs w:val="16"/>
          <w:lang w:val="es-ES_tradnl"/>
        </w:rPr>
        <w:t>: (</w:t>
      </w:r>
      <w:r>
        <w:rPr>
          <w:rFonts w:cs="Times New Roman"/>
          <w:sz w:val="16"/>
          <w:szCs w:val="16"/>
          <w:lang w:val="es-ES_tradnl"/>
        </w:rPr>
        <w:t>…</w:t>
      </w:r>
      <w:r>
        <w:rPr>
          <w:sz w:val="16"/>
          <w:szCs w:val="16"/>
          <w:lang w:val="es-ES_tradnl"/>
        </w:rPr>
        <w:t>) CUARTO: (</w:t>
      </w:r>
      <w:r>
        <w:rPr>
          <w:rFonts w:cs="Times New Roman"/>
          <w:sz w:val="16"/>
          <w:szCs w:val="16"/>
          <w:lang w:val="es-ES_tradnl"/>
        </w:rPr>
        <w:t>…</w:t>
      </w:r>
      <w:r>
        <w:rPr>
          <w:sz w:val="16"/>
          <w:szCs w:val="16"/>
          <w:lang w:val="es-ES_tradnl"/>
        </w:rPr>
        <w:t xml:space="preserve">) </w:t>
      </w:r>
      <w:r>
        <w:rPr>
          <w:b/>
          <w:bCs/>
          <w:spacing w:val="-3"/>
          <w:sz w:val="16"/>
          <w:szCs w:val="16"/>
          <w:lang w:val="es-ES_tradnl"/>
        </w:rPr>
        <w:t xml:space="preserve">1.- </w:t>
      </w:r>
      <w:r>
        <w:rPr>
          <w:spacing w:val="-3"/>
          <w:sz w:val="16"/>
          <w:szCs w:val="16"/>
          <w:lang w:val="es-ES_tradnl"/>
        </w:rPr>
        <w:t>(</w:t>
      </w:r>
      <w:r>
        <w:rPr>
          <w:rFonts w:cs="Times New Roman"/>
          <w:spacing w:val="-3"/>
          <w:sz w:val="16"/>
          <w:szCs w:val="16"/>
          <w:lang w:val="es-ES_tradnl"/>
        </w:rPr>
        <w:t>…</w:t>
      </w:r>
      <w:r>
        <w:rPr>
          <w:spacing w:val="-3"/>
          <w:sz w:val="16"/>
          <w:szCs w:val="16"/>
          <w:lang w:val="es-ES_tradnl"/>
        </w:rPr>
        <w:t>) el an</w:t>
      </w:r>
      <w:r>
        <w:rPr>
          <w:rFonts w:cs="Times New Roman"/>
          <w:spacing w:val="-3"/>
          <w:sz w:val="16"/>
          <w:szCs w:val="16"/>
          <w:lang w:val="es-ES_tradnl"/>
        </w:rPr>
        <w:t>á</w:t>
      </w:r>
      <w:r>
        <w:rPr>
          <w:spacing w:val="-3"/>
          <w:sz w:val="16"/>
          <w:szCs w:val="16"/>
          <w:lang w:val="es-ES_tradnl"/>
        </w:rPr>
        <w:t>lisis y valoraci</w:t>
      </w:r>
      <w:r>
        <w:rPr>
          <w:rFonts w:cs="Times New Roman"/>
          <w:spacing w:val="-3"/>
          <w:sz w:val="16"/>
          <w:szCs w:val="16"/>
          <w:lang w:val="es-ES_tradnl"/>
        </w:rPr>
        <w:t>ó</w:t>
      </w:r>
      <w:r>
        <w:rPr>
          <w:spacing w:val="-3"/>
          <w:sz w:val="16"/>
          <w:szCs w:val="16"/>
          <w:lang w:val="es-ES_tradnl"/>
        </w:rPr>
        <w:t>n de la confesi</w:t>
      </w:r>
      <w:r>
        <w:rPr>
          <w:rFonts w:cs="Times New Roman"/>
          <w:spacing w:val="-3"/>
          <w:sz w:val="16"/>
          <w:szCs w:val="16"/>
          <w:lang w:val="es-ES_tradnl"/>
        </w:rPr>
        <w:t>ó</w:t>
      </w:r>
      <w:r>
        <w:rPr>
          <w:spacing w:val="-3"/>
          <w:sz w:val="16"/>
          <w:szCs w:val="16"/>
          <w:lang w:val="es-ES_tradnl"/>
        </w:rPr>
        <w:t xml:space="preserve">n ficta del </w:t>
      </w:r>
      <w:r>
        <w:rPr>
          <w:spacing w:val="-8"/>
          <w:sz w:val="16"/>
          <w:szCs w:val="16"/>
          <w:lang w:val="es-ES_tradnl"/>
        </w:rPr>
        <w:t>demandado Pa</w:t>
      </w:r>
      <w:r>
        <w:rPr>
          <w:rFonts w:cs="Times New Roman"/>
          <w:spacing w:val="-8"/>
          <w:sz w:val="16"/>
          <w:szCs w:val="16"/>
          <w:lang w:val="es-ES_tradnl"/>
        </w:rPr>
        <w:t>ú</w:t>
      </w:r>
      <w:r>
        <w:rPr>
          <w:spacing w:val="-8"/>
          <w:sz w:val="16"/>
          <w:szCs w:val="16"/>
          <w:lang w:val="es-ES_tradnl"/>
        </w:rPr>
        <w:t>l Alexander Sonnenholzner (</w:t>
      </w:r>
      <w:r>
        <w:rPr>
          <w:rFonts w:cs="Times New Roman"/>
          <w:spacing w:val="-8"/>
          <w:sz w:val="16"/>
          <w:szCs w:val="16"/>
          <w:lang w:val="es-ES_tradnl"/>
        </w:rPr>
        <w:t>…</w:t>
      </w:r>
      <w:r>
        <w:rPr>
          <w:spacing w:val="-8"/>
          <w:sz w:val="16"/>
          <w:szCs w:val="16"/>
          <w:lang w:val="es-ES_tradnl"/>
        </w:rPr>
        <w:t xml:space="preserve">) en la especie, </w:t>
      </w:r>
      <w:r>
        <w:rPr>
          <w:spacing w:val="-5"/>
          <w:sz w:val="16"/>
          <w:szCs w:val="16"/>
          <w:lang w:val="es-ES_tradnl"/>
        </w:rPr>
        <w:t>de la revisi</w:t>
      </w:r>
      <w:r>
        <w:rPr>
          <w:rFonts w:cs="Times New Roman"/>
          <w:spacing w:val="-5"/>
          <w:sz w:val="16"/>
          <w:szCs w:val="16"/>
          <w:lang w:val="es-ES_tradnl"/>
        </w:rPr>
        <w:t>ó</w:t>
      </w:r>
      <w:r>
        <w:rPr>
          <w:spacing w:val="-5"/>
          <w:sz w:val="16"/>
          <w:szCs w:val="16"/>
          <w:lang w:val="es-ES_tradnl"/>
        </w:rPr>
        <w:t xml:space="preserve">n realizada por este Tribunal del proceso para </w:t>
      </w:r>
      <w:r>
        <w:rPr>
          <w:spacing w:val="-2"/>
          <w:sz w:val="16"/>
          <w:szCs w:val="16"/>
          <w:lang w:val="es-ES_tradnl"/>
        </w:rPr>
        <w:t>verificar si el juzgador plural, no ha valorado la confesi</w:t>
      </w:r>
      <w:r>
        <w:rPr>
          <w:rFonts w:cs="Times New Roman"/>
          <w:spacing w:val="-2"/>
          <w:sz w:val="16"/>
          <w:szCs w:val="16"/>
          <w:lang w:val="es-ES_tradnl"/>
        </w:rPr>
        <w:t>ó</w:t>
      </w:r>
      <w:r>
        <w:rPr>
          <w:spacing w:val="-2"/>
          <w:sz w:val="16"/>
          <w:szCs w:val="16"/>
          <w:lang w:val="es-ES_tradnl"/>
        </w:rPr>
        <w:t xml:space="preserve">n </w:t>
      </w:r>
      <w:r>
        <w:rPr>
          <w:spacing w:val="-7"/>
          <w:sz w:val="16"/>
          <w:szCs w:val="16"/>
          <w:lang w:val="es-ES_tradnl"/>
        </w:rPr>
        <w:t xml:space="preserve">ficta del demandado Alexander Sonnenholzner, como afirma </w:t>
      </w:r>
      <w:r>
        <w:rPr>
          <w:spacing w:val="-6"/>
          <w:sz w:val="16"/>
          <w:szCs w:val="16"/>
          <w:lang w:val="es-ES_tradnl"/>
        </w:rPr>
        <w:t>la casacionista, en su pretensi</w:t>
      </w:r>
      <w:r>
        <w:rPr>
          <w:rFonts w:cs="Times New Roman"/>
          <w:spacing w:val="-6"/>
          <w:sz w:val="16"/>
          <w:szCs w:val="16"/>
          <w:lang w:val="es-ES_tradnl"/>
        </w:rPr>
        <w:t>ó</w:t>
      </w:r>
      <w:r>
        <w:rPr>
          <w:spacing w:val="-6"/>
          <w:sz w:val="16"/>
          <w:szCs w:val="16"/>
          <w:lang w:val="es-ES_tradnl"/>
        </w:rPr>
        <w:t xml:space="preserve">n de probar la existencia del despido intempestivo del que afirma haber sido objeto en su </w:t>
      </w:r>
      <w:r>
        <w:rPr>
          <w:spacing w:val="-5"/>
          <w:sz w:val="16"/>
          <w:szCs w:val="16"/>
          <w:lang w:val="es-ES_tradnl"/>
        </w:rPr>
        <w:t xml:space="preserve">libelo de demanda, encuentra que las preguntas contenidas </w:t>
      </w:r>
      <w:r>
        <w:rPr>
          <w:spacing w:val="-7"/>
          <w:sz w:val="16"/>
          <w:szCs w:val="16"/>
          <w:lang w:val="es-ES_tradnl"/>
        </w:rPr>
        <w:t xml:space="preserve">en el pliego de posiciones de fojas 83 vuelta, se refieren a un </w:t>
      </w:r>
      <w:r>
        <w:rPr>
          <w:spacing w:val="-6"/>
          <w:sz w:val="16"/>
          <w:szCs w:val="16"/>
          <w:lang w:val="es-ES_tradnl"/>
        </w:rPr>
        <w:t xml:space="preserve">despido atribuido a una persona diferente al confesante, es decir a un acto atribuido a una tercera persona que en nada </w:t>
      </w:r>
      <w:r>
        <w:rPr>
          <w:spacing w:val="-9"/>
          <w:sz w:val="16"/>
          <w:szCs w:val="16"/>
          <w:lang w:val="es-ES_tradnl"/>
        </w:rPr>
        <w:t xml:space="preserve">aportan al esclarecimiento del hecho que desea probar la actora </w:t>
      </w:r>
      <w:r>
        <w:rPr>
          <w:spacing w:val="-6"/>
          <w:sz w:val="16"/>
          <w:szCs w:val="16"/>
          <w:lang w:val="es-ES_tradnl"/>
        </w:rPr>
        <w:t>y a la final desnaturaliza el objeto de la confesi</w:t>
      </w:r>
      <w:r>
        <w:rPr>
          <w:rFonts w:cs="Times New Roman"/>
          <w:spacing w:val="-6"/>
          <w:sz w:val="16"/>
          <w:szCs w:val="16"/>
          <w:lang w:val="es-ES_tradnl"/>
        </w:rPr>
        <w:t>ó</w:t>
      </w:r>
      <w:r>
        <w:rPr>
          <w:spacing w:val="-6"/>
          <w:sz w:val="16"/>
          <w:szCs w:val="16"/>
          <w:lang w:val="es-ES_tradnl"/>
        </w:rPr>
        <w:t xml:space="preserve">n y hace que </w:t>
      </w:r>
      <w:r>
        <w:rPr>
          <w:spacing w:val="-5"/>
          <w:sz w:val="16"/>
          <w:szCs w:val="16"/>
          <w:lang w:val="es-ES_tradnl"/>
        </w:rPr>
        <w:t>esta pierda valor jur</w:t>
      </w:r>
      <w:r>
        <w:rPr>
          <w:rFonts w:cs="Times New Roman"/>
          <w:spacing w:val="-5"/>
          <w:sz w:val="16"/>
          <w:szCs w:val="16"/>
          <w:lang w:val="es-ES_tradnl"/>
        </w:rPr>
        <w:t>í</w:t>
      </w:r>
      <w:r>
        <w:rPr>
          <w:spacing w:val="-5"/>
          <w:sz w:val="16"/>
          <w:szCs w:val="16"/>
          <w:lang w:val="es-ES_tradnl"/>
        </w:rPr>
        <w:t>dico, como bien lo ha determinado el juzgador plural, en tal raz</w:t>
      </w:r>
      <w:r>
        <w:rPr>
          <w:rFonts w:cs="Times New Roman"/>
          <w:spacing w:val="-5"/>
          <w:sz w:val="16"/>
          <w:szCs w:val="16"/>
          <w:lang w:val="es-ES_tradnl"/>
        </w:rPr>
        <w:t>ó</w:t>
      </w:r>
      <w:r>
        <w:rPr>
          <w:spacing w:val="-5"/>
          <w:sz w:val="16"/>
          <w:szCs w:val="16"/>
          <w:lang w:val="es-ES_tradnl"/>
        </w:rPr>
        <w:t>n no prospera la impugnaci</w:t>
      </w:r>
      <w:r>
        <w:rPr>
          <w:rFonts w:cs="Times New Roman"/>
          <w:spacing w:val="-5"/>
          <w:sz w:val="16"/>
          <w:szCs w:val="16"/>
          <w:lang w:val="es-ES_tradnl"/>
        </w:rPr>
        <w:t>ó</w:t>
      </w:r>
      <w:r>
        <w:rPr>
          <w:spacing w:val="-5"/>
          <w:sz w:val="16"/>
          <w:szCs w:val="16"/>
          <w:lang w:val="es-ES_tradnl"/>
        </w:rPr>
        <w:t xml:space="preserve">n. </w:t>
      </w:r>
      <w:r>
        <w:rPr>
          <w:b/>
          <w:bCs/>
          <w:spacing w:val="-5"/>
          <w:sz w:val="16"/>
          <w:szCs w:val="16"/>
          <w:lang w:val="es-ES_tradnl"/>
        </w:rPr>
        <w:t>2.-</w:t>
      </w:r>
      <w:r>
        <w:rPr>
          <w:spacing w:val="-7"/>
          <w:sz w:val="16"/>
          <w:szCs w:val="16"/>
          <w:lang w:val="es-ES_tradnl"/>
        </w:rPr>
        <w:t>La segunda impugnaci</w:t>
      </w:r>
      <w:r>
        <w:rPr>
          <w:rFonts w:cs="Times New Roman"/>
          <w:spacing w:val="-7"/>
          <w:sz w:val="16"/>
          <w:szCs w:val="16"/>
          <w:lang w:val="es-ES_tradnl"/>
        </w:rPr>
        <w:t>ó</w:t>
      </w:r>
      <w:r>
        <w:rPr>
          <w:spacing w:val="-7"/>
          <w:sz w:val="16"/>
          <w:szCs w:val="16"/>
          <w:lang w:val="es-ES_tradnl"/>
        </w:rPr>
        <w:t>n tiene relaci</w:t>
      </w:r>
      <w:r>
        <w:rPr>
          <w:rFonts w:cs="Times New Roman"/>
          <w:spacing w:val="-7"/>
          <w:sz w:val="16"/>
          <w:szCs w:val="16"/>
          <w:lang w:val="es-ES_tradnl"/>
        </w:rPr>
        <w:t>ó</w:t>
      </w:r>
      <w:r>
        <w:rPr>
          <w:spacing w:val="-7"/>
          <w:sz w:val="16"/>
          <w:szCs w:val="16"/>
          <w:lang w:val="es-ES_tradnl"/>
        </w:rPr>
        <w:t>n a la acusaci</w:t>
      </w:r>
      <w:r>
        <w:rPr>
          <w:rFonts w:cs="Times New Roman"/>
          <w:spacing w:val="-7"/>
          <w:sz w:val="16"/>
          <w:szCs w:val="16"/>
          <w:lang w:val="es-ES_tradnl"/>
        </w:rPr>
        <w:t>ó</w:t>
      </w:r>
      <w:r>
        <w:rPr>
          <w:spacing w:val="-7"/>
          <w:sz w:val="16"/>
          <w:szCs w:val="16"/>
          <w:lang w:val="es-ES_tradnl"/>
        </w:rPr>
        <w:t xml:space="preserve">n de que </w:t>
      </w:r>
      <w:r>
        <w:rPr>
          <w:spacing w:val="-5"/>
          <w:sz w:val="16"/>
          <w:szCs w:val="16"/>
          <w:lang w:val="es-ES_tradnl"/>
        </w:rPr>
        <w:t>el fallo de segundo nivel no ha realizado la valoraci</w:t>
      </w:r>
      <w:r>
        <w:rPr>
          <w:rFonts w:cs="Times New Roman"/>
          <w:spacing w:val="-5"/>
          <w:sz w:val="16"/>
          <w:szCs w:val="16"/>
          <w:lang w:val="es-ES_tradnl"/>
        </w:rPr>
        <w:t>ó</w:t>
      </w:r>
      <w:r>
        <w:rPr>
          <w:spacing w:val="-5"/>
          <w:sz w:val="16"/>
          <w:szCs w:val="16"/>
          <w:lang w:val="es-ES_tradnl"/>
        </w:rPr>
        <w:t xml:space="preserve">n de la </w:t>
      </w:r>
      <w:r>
        <w:rPr>
          <w:spacing w:val="-7"/>
          <w:sz w:val="16"/>
          <w:szCs w:val="16"/>
          <w:lang w:val="es-ES_tradnl"/>
        </w:rPr>
        <w:t>confesi</w:t>
      </w:r>
      <w:r>
        <w:rPr>
          <w:rFonts w:cs="Times New Roman"/>
          <w:spacing w:val="-7"/>
          <w:sz w:val="16"/>
          <w:szCs w:val="16"/>
          <w:lang w:val="es-ES_tradnl"/>
        </w:rPr>
        <w:t>ó</w:t>
      </w:r>
      <w:r>
        <w:rPr>
          <w:spacing w:val="-7"/>
          <w:sz w:val="16"/>
          <w:szCs w:val="16"/>
          <w:lang w:val="es-ES_tradnl"/>
        </w:rPr>
        <w:t>n rendida por la demanda (</w:t>
      </w:r>
      <w:r>
        <w:rPr>
          <w:rFonts w:cs="Times New Roman"/>
          <w:spacing w:val="-7"/>
          <w:sz w:val="16"/>
          <w:szCs w:val="16"/>
          <w:lang w:val="es-ES_tradnl"/>
        </w:rPr>
        <w:t>…</w:t>
      </w:r>
      <w:r>
        <w:rPr>
          <w:spacing w:val="-7"/>
          <w:sz w:val="16"/>
          <w:szCs w:val="16"/>
          <w:lang w:val="es-ES_tradnl"/>
        </w:rPr>
        <w:t xml:space="preserve">) afirma la casacionista, </w:t>
      </w:r>
      <w:r>
        <w:rPr>
          <w:spacing w:val="-6"/>
          <w:sz w:val="16"/>
          <w:szCs w:val="16"/>
          <w:lang w:val="es-ES_tradnl"/>
        </w:rPr>
        <w:t>reconoce su derecho a la jubilaci</w:t>
      </w:r>
      <w:r>
        <w:rPr>
          <w:rFonts w:cs="Times New Roman"/>
          <w:spacing w:val="-6"/>
          <w:sz w:val="16"/>
          <w:szCs w:val="16"/>
          <w:lang w:val="es-ES_tradnl"/>
        </w:rPr>
        <w:t>ó</w:t>
      </w:r>
      <w:r>
        <w:rPr>
          <w:spacing w:val="-6"/>
          <w:sz w:val="16"/>
          <w:szCs w:val="16"/>
          <w:lang w:val="es-ES_tradnl"/>
        </w:rPr>
        <w:t>n patronal proporcional por despido intempestivo (</w:t>
      </w:r>
      <w:r>
        <w:rPr>
          <w:rFonts w:cs="Times New Roman"/>
          <w:spacing w:val="-6"/>
          <w:sz w:val="16"/>
          <w:szCs w:val="16"/>
          <w:lang w:val="es-ES_tradnl"/>
        </w:rPr>
        <w:t>…</w:t>
      </w:r>
      <w:r>
        <w:rPr>
          <w:spacing w:val="-6"/>
          <w:sz w:val="16"/>
          <w:szCs w:val="16"/>
          <w:lang w:val="es-ES_tradnl"/>
        </w:rPr>
        <w:t xml:space="preserve">) este Tribunal considera necesario </w:t>
      </w:r>
      <w:r>
        <w:rPr>
          <w:spacing w:val="-7"/>
          <w:sz w:val="16"/>
          <w:szCs w:val="16"/>
          <w:lang w:val="es-ES_tradnl"/>
        </w:rPr>
        <w:t>se</w:t>
      </w:r>
      <w:r>
        <w:rPr>
          <w:rFonts w:cs="Times New Roman"/>
          <w:spacing w:val="-7"/>
          <w:sz w:val="16"/>
          <w:szCs w:val="16"/>
          <w:lang w:val="es-ES_tradnl"/>
        </w:rPr>
        <w:t>ñ</w:t>
      </w:r>
      <w:r>
        <w:rPr>
          <w:spacing w:val="-7"/>
          <w:sz w:val="16"/>
          <w:szCs w:val="16"/>
          <w:lang w:val="es-ES_tradnl"/>
        </w:rPr>
        <w:t>alar que, el Art. 188 del C</w:t>
      </w:r>
      <w:r>
        <w:rPr>
          <w:rFonts w:cs="Times New Roman"/>
          <w:spacing w:val="-7"/>
          <w:sz w:val="16"/>
          <w:szCs w:val="16"/>
          <w:lang w:val="es-ES_tradnl"/>
        </w:rPr>
        <w:t>ó</w:t>
      </w:r>
      <w:r>
        <w:rPr>
          <w:spacing w:val="-7"/>
          <w:sz w:val="16"/>
          <w:szCs w:val="16"/>
          <w:lang w:val="es-ES_tradnl"/>
        </w:rPr>
        <w:t>digo del Trabajo que establece una indemnizaci</w:t>
      </w:r>
      <w:r>
        <w:rPr>
          <w:rFonts w:cs="Times New Roman"/>
          <w:spacing w:val="-7"/>
          <w:sz w:val="16"/>
          <w:szCs w:val="16"/>
          <w:lang w:val="es-ES_tradnl"/>
        </w:rPr>
        <w:t>ó</w:t>
      </w:r>
      <w:r>
        <w:rPr>
          <w:spacing w:val="-7"/>
          <w:sz w:val="16"/>
          <w:szCs w:val="16"/>
          <w:lang w:val="es-ES_tradnl"/>
        </w:rPr>
        <w:t>n que deber</w:t>
      </w:r>
      <w:r>
        <w:rPr>
          <w:rFonts w:cs="Times New Roman"/>
          <w:spacing w:val="-7"/>
          <w:sz w:val="16"/>
          <w:szCs w:val="16"/>
          <w:lang w:val="es-ES_tradnl"/>
        </w:rPr>
        <w:t>á</w:t>
      </w:r>
      <w:r>
        <w:rPr>
          <w:spacing w:val="-7"/>
          <w:sz w:val="16"/>
          <w:szCs w:val="16"/>
          <w:lang w:val="es-ES_tradnl"/>
        </w:rPr>
        <w:t xml:space="preserve"> cubrir el empleador a favor del </w:t>
      </w:r>
      <w:r>
        <w:rPr>
          <w:spacing w:val="-8"/>
          <w:sz w:val="16"/>
          <w:szCs w:val="16"/>
          <w:lang w:val="es-ES_tradnl"/>
        </w:rPr>
        <w:t xml:space="preserve">trabajador que ha sido despedido intempestivamente, es decir </w:t>
      </w:r>
      <w:r>
        <w:rPr>
          <w:spacing w:val="-6"/>
          <w:sz w:val="16"/>
          <w:szCs w:val="16"/>
          <w:lang w:val="es-ES_tradnl"/>
        </w:rPr>
        <w:t>aquel trabajador cuya relaci</w:t>
      </w:r>
      <w:r>
        <w:rPr>
          <w:rFonts w:cs="Times New Roman"/>
          <w:spacing w:val="-6"/>
          <w:sz w:val="16"/>
          <w:szCs w:val="16"/>
          <w:lang w:val="es-ES_tradnl"/>
        </w:rPr>
        <w:t>ó</w:t>
      </w:r>
      <w:r>
        <w:rPr>
          <w:spacing w:val="-6"/>
          <w:sz w:val="16"/>
          <w:szCs w:val="16"/>
          <w:lang w:val="es-ES_tradnl"/>
        </w:rPr>
        <w:t xml:space="preserve">n laboral se ha extinguido por </w:t>
      </w:r>
      <w:r>
        <w:rPr>
          <w:spacing w:val="-5"/>
          <w:sz w:val="16"/>
          <w:szCs w:val="16"/>
          <w:lang w:val="es-ES_tradnl"/>
        </w:rPr>
        <w:t>decisi</w:t>
      </w:r>
      <w:r>
        <w:rPr>
          <w:rFonts w:cs="Times New Roman"/>
          <w:spacing w:val="-5"/>
          <w:sz w:val="16"/>
          <w:szCs w:val="16"/>
          <w:lang w:val="es-ES_tradnl"/>
        </w:rPr>
        <w:t>ó</w:t>
      </w:r>
      <w:r>
        <w:rPr>
          <w:spacing w:val="-5"/>
          <w:sz w:val="16"/>
          <w:szCs w:val="16"/>
          <w:lang w:val="es-ES_tradnl"/>
        </w:rPr>
        <w:t>n unilateral del empleador, tendr</w:t>
      </w:r>
      <w:r>
        <w:rPr>
          <w:rFonts w:cs="Times New Roman"/>
          <w:spacing w:val="-5"/>
          <w:sz w:val="16"/>
          <w:szCs w:val="16"/>
          <w:lang w:val="es-ES_tradnl"/>
        </w:rPr>
        <w:t>á</w:t>
      </w:r>
      <w:r>
        <w:rPr>
          <w:spacing w:val="-5"/>
          <w:sz w:val="16"/>
          <w:szCs w:val="16"/>
          <w:lang w:val="es-ES_tradnl"/>
        </w:rPr>
        <w:t xml:space="preserve"> derecho, a m</w:t>
      </w:r>
      <w:r>
        <w:rPr>
          <w:rFonts w:cs="Times New Roman"/>
          <w:spacing w:val="-5"/>
          <w:sz w:val="16"/>
          <w:szCs w:val="16"/>
          <w:lang w:val="es-ES_tradnl"/>
        </w:rPr>
        <w:t>á</w:t>
      </w:r>
      <w:r>
        <w:rPr>
          <w:spacing w:val="-5"/>
          <w:sz w:val="16"/>
          <w:szCs w:val="16"/>
          <w:lang w:val="es-ES_tradnl"/>
        </w:rPr>
        <w:t xml:space="preserve">s de </w:t>
      </w:r>
      <w:r>
        <w:rPr>
          <w:spacing w:val="-6"/>
          <w:sz w:val="16"/>
          <w:szCs w:val="16"/>
          <w:lang w:val="es-ES_tradnl"/>
        </w:rPr>
        <w:t>los valores indemnizatorios al reconocimiento de la jubilaci</w:t>
      </w:r>
      <w:r>
        <w:rPr>
          <w:rFonts w:cs="Times New Roman"/>
          <w:spacing w:val="-6"/>
          <w:sz w:val="16"/>
          <w:szCs w:val="16"/>
          <w:lang w:val="es-ES_tradnl"/>
        </w:rPr>
        <w:t>ó</w:t>
      </w:r>
      <w:r>
        <w:rPr>
          <w:spacing w:val="-6"/>
          <w:sz w:val="16"/>
          <w:szCs w:val="16"/>
          <w:lang w:val="es-ES_tradnl"/>
        </w:rPr>
        <w:t xml:space="preserve">n </w:t>
      </w:r>
      <w:r>
        <w:rPr>
          <w:spacing w:val="-8"/>
          <w:sz w:val="16"/>
          <w:szCs w:val="16"/>
          <w:lang w:val="es-ES_tradnl"/>
        </w:rPr>
        <w:t xml:space="preserve">patronal proporcional siempre y cuando hubiere laborado para </w:t>
      </w:r>
      <w:r>
        <w:rPr>
          <w:spacing w:val="-4"/>
          <w:sz w:val="16"/>
          <w:szCs w:val="16"/>
          <w:lang w:val="es-ES_tradnl"/>
        </w:rPr>
        <w:t>su patrono por veinte a</w:t>
      </w:r>
      <w:r>
        <w:rPr>
          <w:rFonts w:cs="Times New Roman"/>
          <w:spacing w:val="-4"/>
          <w:sz w:val="16"/>
          <w:szCs w:val="16"/>
          <w:lang w:val="es-ES_tradnl"/>
        </w:rPr>
        <w:t>ñ</w:t>
      </w:r>
      <w:r>
        <w:rPr>
          <w:spacing w:val="-4"/>
          <w:sz w:val="16"/>
          <w:szCs w:val="16"/>
          <w:lang w:val="es-ES_tradnl"/>
        </w:rPr>
        <w:t>os y menos de veinte y cinco a</w:t>
      </w:r>
      <w:r>
        <w:rPr>
          <w:rFonts w:cs="Times New Roman"/>
          <w:spacing w:val="-4"/>
          <w:sz w:val="16"/>
          <w:szCs w:val="16"/>
          <w:lang w:val="es-ES_tradnl"/>
        </w:rPr>
        <w:t>ñ</w:t>
      </w:r>
      <w:r>
        <w:rPr>
          <w:spacing w:val="-4"/>
          <w:sz w:val="16"/>
          <w:szCs w:val="16"/>
          <w:lang w:val="es-ES_tradnl"/>
        </w:rPr>
        <w:t xml:space="preserve">os </w:t>
      </w:r>
      <w:r>
        <w:rPr>
          <w:spacing w:val="-6"/>
          <w:sz w:val="16"/>
          <w:szCs w:val="16"/>
          <w:lang w:val="es-ES_tradnl"/>
        </w:rPr>
        <w:t>en forma continua o interrumpida, pues as</w:t>
      </w:r>
      <w:r>
        <w:rPr>
          <w:rFonts w:cs="Times New Roman"/>
          <w:spacing w:val="-6"/>
          <w:sz w:val="16"/>
          <w:szCs w:val="16"/>
          <w:lang w:val="es-ES_tradnl"/>
        </w:rPr>
        <w:t>í</w:t>
      </w:r>
      <w:r>
        <w:rPr>
          <w:spacing w:val="-6"/>
          <w:sz w:val="16"/>
          <w:szCs w:val="16"/>
          <w:lang w:val="es-ES_tradnl"/>
        </w:rPr>
        <w:t xml:space="preserve"> lo se</w:t>
      </w:r>
      <w:r>
        <w:rPr>
          <w:rFonts w:cs="Times New Roman"/>
          <w:spacing w:val="-6"/>
          <w:sz w:val="16"/>
          <w:szCs w:val="16"/>
          <w:lang w:val="es-ES_tradnl"/>
        </w:rPr>
        <w:t>ñ</w:t>
      </w:r>
      <w:r>
        <w:rPr>
          <w:spacing w:val="-6"/>
          <w:sz w:val="16"/>
          <w:szCs w:val="16"/>
          <w:lang w:val="es-ES_tradnl"/>
        </w:rPr>
        <w:t xml:space="preserve">ala el inciso </w:t>
      </w:r>
      <w:r>
        <w:rPr>
          <w:spacing w:val="-7"/>
          <w:sz w:val="16"/>
          <w:szCs w:val="16"/>
          <w:lang w:val="es-ES_tradnl"/>
        </w:rPr>
        <w:t>s</w:t>
      </w:r>
      <w:r>
        <w:rPr>
          <w:rFonts w:cs="Times New Roman"/>
          <w:spacing w:val="-7"/>
          <w:sz w:val="16"/>
          <w:szCs w:val="16"/>
          <w:lang w:val="es-ES_tradnl"/>
        </w:rPr>
        <w:t>é</w:t>
      </w:r>
      <w:r>
        <w:rPr>
          <w:spacing w:val="-7"/>
          <w:sz w:val="16"/>
          <w:szCs w:val="16"/>
          <w:lang w:val="es-ES_tradnl"/>
        </w:rPr>
        <w:t>ptimo de la norma legal invocada (</w:t>
      </w:r>
      <w:r>
        <w:rPr>
          <w:rFonts w:cs="Times New Roman"/>
          <w:spacing w:val="-7"/>
          <w:sz w:val="16"/>
          <w:szCs w:val="16"/>
          <w:lang w:val="es-ES_tradnl"/>
        </w:rPr>
        <w:t>…</w:t>
      </w:r>
      <w:r>
        <w:rPr>
          <w:spacing w:val="-7"/>
          <w:sz w:val="16"/>
          <w:szCs w:val="16"/>
          <w:lang w:val="es-ES_tradnl"/>
        </w:rPr>
        <w:t xml:space="preserve">). Derecho cuya fuente </w:t>
      </w:r>
      <w:r>
        <w:rPr>
          <w:spacing w:val="-5"/>
          <w:sz w:val="16"/>
          <w:szCs w:val="16"/>
          <w:lang w:val="es-ES_tradnl"/>
        </w:rPr>
        <w:t xml:space="preserve">de origen se encuentra en la ruptura del contrato de trabajo </w:t>
      </w:r>
      <w:r>
        <w:rPr>
          <w:spacing w:val="-6"/>
          <w:sz w:val="16"/>
          <w:szCs w:val="16"/>
          <w:lang w:val="es-ES_tradnl"/>
        </w:rPr>
        <w:t xml:space="preserve">por voluntad unilateral del empleador, es decir, del despido intempestivo, correspondiendo a este Tribunal determinar si </w:t>
      </w:r>
      <w:r>
        <w:rPr>
          <w:spacing w:val="-7"/>
          <w:sz w:val="16"/>
          <w:szCs w:val="16"/>
          <w:lang w:val="es-ES_tradnl"/>
        </w:rPr>
        <w:t>efectivamente en el presente caso la relaci</w:t>
      </w:r>
      <w:r>
        <w:rPr>
          <w:rFonts w:cs="Times New Roman"/>
          <w:spacing w:val="-7"/>
          <w:sz w:val="16"/>
          <w:szCs w:val="16"/>
          <w:lang w:val="es-ES_tradnl"/>
        </w:rPr>
        <w:t>ó</w:t>
      </w:r>
      <w:r>
        <w:rPr>
          <w:spacing w:val="-7"/>
          <w:sz w:val="16"/>
          <w:szCs w:val="16"/>
          <w:lang w:val="es-ES_tradnl"/>
        </w:rPr>
        <w:t xml:space="preserve">n laboral entre los </w:t>
      </w:r>
      <w:r>
        <w:rPr>
          <w:spacing w:val="-5"/>
          <w:sz w:val="16"/>
          <w:szCs w:val="16"/>
          <w:lang w:val="es-ES_tradnl"/>
        </w:rPr>
        <w:t>justiciables se ha roto por decisi</w:t>
      </w:r>
      <w:r>
        <w:rPr>
          <w:rFonts w:cs="Times New Roman"/>
          <w:spacing w:val="-5"/>
          <w:sz w:val="16"/>
          <w:szCs w:val="16"/>
          <w:lang w:val="es-ES_tradnl"/>
        </w:rPr>
        <w:t>ó</w:t>
      </w:r>
      <w:r>
        <w:rPr>
          <w:spacing w:val="-5"/>
          <w:sz w:val="16"/>
          <w:szCs w:val="16"/>
          <w:lang w:val="es-ES_tradnl"/>
        </w:rPr>
        <w:t>n unilateral del empleador (</w:t>
      </w:r>
      <w:r>
        <w:rPr>
          <w:rFonts w:cs="Times New Roman"/>
          <w:spacing w:val="-5"/>
          <w:sz w:val="16"/>
          <w:szCs w:val="16"/>
          <w:lang w:val="es-ES_tradnl"/>
        </w:rPr>
        <w:t>…</w:t>
      </w:r>
      <w:r>
        <w:rPr>
          <w:spacing w:val="-5"/>
          <w:sz w:val="16"/>
          <w:szCs w:val="16"/>
          <w:lang w:val="es-ES_tradnl"/>
        </w:rPr>
        <w:t xml:space="preserve">). Al respecto, el considerando quinto de la sentencia del </w:t>
      </w:r>
      <w:r>
        <w:rPr>
          <w:spacing w:val="-4"/>
          <w:sz w:val="16"/>
          <w:szCs w:val="16"/>
          <w:lang w:val="es-ES_tradnl"/>
        </w:rPr>
        <w:t xml:space="preserve">juzgador de segundo nivel dice: </w:t>
      </w:r>
      <w:r>
        <w:rPr>
          <w:rFonts w:cs="Times New Roman"/>
          <w:spacing w:val="-4"/>
          <w:sz w:val="16"/>
          <w:szCs w:val="16"/>
          <w:lang w:val="es-ES_tradnl"/>
        </w:rPr>
        <w:t>“</w:t>
      </w:r>
      <w:r>
        <w:rPr>
          <w:spacing w:val="-4"/>
          <w:sz w:val="16"/>
          <w:szCs w:val="16"/>
          <w:lang w:val="es-ES_tradnl"/>
        </w:rPr>
        <w:t xml:space="preserve">El documento de finiquito </w:t>
      </w:r>
      <w:r>
        <w:rPr>
          <w:spacing w:val="-5"/>
          <w:sz w:val="16"/>
          <w:szCs w:val="16"/>
          <w:lang w:val="es-ES_tradnl"/>
        </w:rPr>
        <w:t>el 1 de noviembre de 2011 ante el Ab. Newton Mor</w:t>
      </w:r>
      <w:r>
        <w:rPr>
          <w:rFonts w:cs="Times New Roman"/>
          <w:spacing w:val="-5"/>
          <w:sz w:val="16"/>
          <w:szCs w:val="16"/>
          <w:lang w:val="es-ES_tradnl"/>
        </w:rPr>
        <w:t>á</w:t>
      </w:r>
      <w:r>
        <w:rPr>
          <w:spacing w:val="-5"/>
          <w:sz w:val="16"/>
          <w:szCs w:val="16"/>
          <w:lang w:val="es-ES_tradnl"/>
        </w:rPr>
        <w:t>n Dur</w:t>
      </w:r>
      <w:r>
        <w:rPr>
          <w:rFonts w:cs="Times New Roman"/>
          <w:spacing w:val="-5"/>
          <w:sz w:val="16"/>
          <w:szCs w:val="16"/>
          <w:lang w:val="es-ES_tradnl"/>
        </w:rPr>
        <w:t>á</w:t>
      </w:r>
      <w:r>
        <w:rPr>
          <w:spacing w:val="-5"/>
          <w:sz w:val="16"/>
          <w:szCs w:val="16"/>
          <w:lang w:val="es-ES_tradnl"/>
        </w:rPr>
        <w:t xml:space="preserve">n </w:t>
      </w:r>
      <w:r>
        <w:rPr>
          <w:spacing w:val="-9"/>
          <w:sz w:val="16"/>
          <w:szCs w:val="16"/>
          <w:lang w:val="es-ES_tradnl"/>
        </w:rPr>
        <w:t>inspector del trabajo del Guayas se</w:t>
      </w:r>
      <w:r>
        <w:rPr>
          <w:rFonts w:cs="Times New Roman"/>
          <w:spacing w:val="-9"/>
          <w:sz w:val="16"/>
          <w:szCs w:val="16"/>
          <w:lang w:val="es-ES_tradnl"/>
        </w:rPr>
        <w:t>ñ</w:t>
      </w:r>
      <w:r>
        <w:rPr>
          <w:spacing w:val="-9"/>
          <w:sz w:val="16"/>
          <w:szCs w:val="16"/>
          <w:lang w:val="es-ES_tradnl"/>
        </w:rPr>
        <w:t>ala que la se</w:t>
      </w:r>
      <w:r>
        <w:rPr>
          <w:rFonts w:cs="Times New Roman"/>
          <w:spacing w:val="-9"/>
          <w:sz w:val="16"/>
          <w:szCs w:val="16"/>
          <w:lang w:val="es-ES_tradnl"/>
        </w:rPr>
        <w:t>ñ</w:t>
      </w:r>
      <w:r>
        <w:rPr>
          <w:spacing w:val="-9"/>
          <w:sz w:val="16"/>
          <w:szCs w:val="16"/>
          <w:lang w:val="es-ES_tradnl"/>
        </w:rPr>
        <w:t xml:space="preserve">ora CECILIA </w:t>
      </w:r>
      <w:r>
        <w:rPr>
          <w:spacing w:val="-5"/>
          <w:sz w:val="16"/>
          <w:szCs w:val="16"/>
          <w:lang w:val="es-ES_tradnl"/>
        </w:rPr>
        <w:t>ISABEL PRIETO VEGA prest</w:t>
      </w:r>
      <w:r>
        <w:rPr>
          <w:rFonts w:cs="Times New Roman"/>
          <w:spacing w:val="-5"/>
          <w:sz w:val="16"/>
          <w:szCs w:val="16"/>
          <w:lang w:val="es-ES_tradnl"/>
        </w:rPr>
        <w:t>ó</w:t>
      </w:r>
      <w:r>
        <w:rPr>
          <w:spacing w:val="-5"/>
          <w:sz w:val="16"/>
          <w:szCs w:val="16"/>
          <w:lang w:val="es-ES_tradnl"/>
        </w:rPr>
        <w:t xml:space="preserve"> sus servicios hasta el 27 de octubre del 2011, fecha en la cual concluye la relaci</w:t>
      </w:r>
      <w:r>
        <w:rPr>
          <w:rFonts w:cs="Times New Roman"/>
          <w:spacing w:val="-5"/>
          <w:sz w:val="16"/>
          <w:szCs w:val="16"/>
          <w:lang w:val="es-ES_tradnl"/>
        </w:rPr>
        <w:t>ó</w:t>
      </w:r>
      <w:r>
        <w:rPr>
          <w:spacing w:val="-5"/>
          <w:sz w:val="16"/>
          <w:szCs w:val="16"/>
          <w:lang w:val="es-ES_tradnl"/>
        </w:rPr>
        <w:t xml:space="preserve">n por </w:t>
      </w:r>
      <w:r>
        <w:rPr>
          <w:spacing w:val="-6"/>
          <w:sz w:val="16"/>
          <w:szCs w:val="16"/>
          <w:lang w:val="es-ES_tradnl"/>
        </w:rPr>
        <w:t xml:space="preserve">acuerdo de las partes. Examinado el documento cumple con </w:t>
      </w:r>
      <w:r>
        <w:rPr>
          <w:spacing w:val="-8"/>
          <w:sz w:val="16"/>
          <w:szCs w:val="16"/>
          <w:lang w:val="es-ES_tradnl"/>
        </w:rPr>
        <w:t>las exigencias previstas en el art. 595 del C</w:t>
      </w:r>
      <w:r>
        <w:rPr>
          <w:rFonts w:cs="Times New Roman"/>
          <w:spacing w:val="-8"/>
          <w:sz w:val="16"/>
          <w:szCs w:val="16"/>
          <w:lang w:val="es-ES_tradnl"/>
        </w:rPr>
        <w:t>ó</w:t>
      </w:r>
      <w:r>
        <w:rPr>
          <w:spacing w:val="-8"/>
          <w:sz w:val="16"/>
          <w:szCs w:val="16"/>
          <w:lang w:val="es-ES_tradnl"/>
        </w:rPr>
        <w:t xml:space="preserve">digo de la materia, </w:t>
      </w:r>
      <w:r>
        <w:rPr>
          <w:spacing w:val="-7"/>
          <w:sz w:val="16"/>
          <w:szCs w:val="16"/>
          <w:lang w:val="es-ES_tradnl"/>
        </w:rPr>
        <w:t>ha sido celebrado ante el inspector del trabajo y se encuentra</w:t>
      </w:r>
    </w:p>
    <w:p w14:paraId="4F67B0F9" w14:textId="77777777" w:rsidR="00591D54" w:rsidRDefault="00591D54">
      <w:pPr>
        <w:shd w:val="clear" w:color="auto" w:fill="FFFFFF"/>
        <w:spacing w:line="216" w:lineRule="exact"/>
        <w:ind w:left="283"/>
        <w:jc w:val="both"/>
      </w:pPr>
      <w:r>
        <w:br w:type="column"/>
      </w:r>
      <w:r>
        <w:rPr>
          <w:spacing w:val="-4"/>
          <w:sz w:val="16"/>
          <w:szCs w:val="16"/>
          <w:lang w:val="es-ES_tradnl"/>
        </w:rPr>
        <w:t>pormenorizado.</w:t>
      </w:r>
      <w:r>
        <w:rPr>
          <w:rFonts w:cs="Times New Roman"/>
          <w:spacing w:val="-4"/>
          <w:sz w:val="16"/>
          <w:szCs w:val="16"/>
          <w:lang w:val="es-ES_tradnl"/>
        </w:rPr>
        <w:t>”</w:t>
      </w:r>
      <w:r>
        <w:rPr>
          <w:spacing w:val="-4"/>
          <w:sz w:val="16"/>
          <w:szCs w:val="16"/>
          <w:lang w:val="es-ES_tradnl"/>
        </w:rPr>
        <w:t xml:space="preserve"> (</w:t>
      </w:r>
      <w:r>
        <w:rPr>
          <w:rFonts w:cs="Times New Roman"/>
          <w:spacing w:val="-4"/>
          <w:sz w:val="16"/>
          <w:szCs w:val="16"/>
          <w:lang w:val="es-ES_tradnl"/>
        </w:rPr>
        <w:t>…</w:t>
      </w:r>
      <w:r>
        <w:rPr>
          <w:spacing w:val="-4"/>
          <w:sz w:val="16"/>
          <w:szCs w:val="16"/>
          <w:lang w:val="es-ES_tradnl"/>
        </w:rPr>
        <w:t xml:space="preserve">) Por </w:t>
      </w:r>
      <w:r>
        <w:rPr>
          <w:rFonts w:cs="Times New Roman"/>
          <w:spacing w:val="-4"/>
          <w:sz w:val="16"/>
          <w:szCs w:val="16"/>
          <w:lang w:val="es-ES_tradnl"/>
        </w:rPr>
        <w:t>ú</w:t>
      </w:r>
      <w:r>
        <w:rPr>
          <w:spacing w:val="-4"/>
          <w:sz w:val="16"/>
          <w:szCs w:val="16"/>
          <w:lang w:val="es-ES_tradnl"/>
        </w:rPr>
        <w:t xml:space="preserve">ltimo, este Tribunal considera </w:t>
      </w:r>
      <w:r>
        <w:rPr>
          <w:spacing w:val="-8"/>
          <w:sz w:val="16"/>
          <w:szCs w:val="16"/>
          <w:lang w:val="es-ES_tradnl"/>
        </w:rPr>
        <w:t>necesario se</w:t>
      </w:r>
      <w:r>
        <w:rPr>
          <w:rFonts w:cs="Times New Roman"/>
          <w:spacing w:val="-8"/>
          <w:sz w:val="16"/>
          <w:szCs w:val="16"/>
          <w:lang w:val="es-ES_tradnl"/>
        </w:rPr>
        <w:t>ñ</w:t>
      </w:r>
      <w:r>
        <w:rPr>
          <w:spacing w:val="-8"/>
          <w:sz w:val="16"/>
          <w:szCs w:val="16"/>
          <w:lang w:val="es-ES_tradnl"/>
        </w:rPr>
        <w:t>alar que el Art. 115 del C</w:t>
      </w:r>
      <w:r>
        <w:rPr>
          <w:rFonts w:cs="Times New Roman"/>
          <w:spacing w:val="-8"/>
          <w:sz w:val="16"/>
          <w:szCs w:val="16"/>
          <w:lang w:val="es-ES_tradnl"/>
        </w:rPr>
        <w:t>ó</w:t>
      </w:r>
      <w:r>
        <w:rPr>
          <w:spacing w:val="-8"/>
          <w:sz w:val="16"/>
          <w:szCs w:val="16"/>
          <w:lang w:val="es-ES_tradnl"/>
        </w:rPr>
        <w:t xml:space="preserve">digo de Procedimiento </w:t>
      </w:r>
      <w:r>
        <w:rPr>
          <w:spacing w:val="-6"/>
          <w:sz w:val="16"/>
          <w:szCs w:val="16"/>
          <w:lang w:val="es-ES_tradnl"/>
        </w:rPr>
        <w:t>Civil (</w:t>
      </w:r>
      <w:r>
        <w:rPr>
          <w:rFonts w:cs="Times New Roman"/>
          <w:spacing w:val="-6"/>
          <w:sz w:val="16"/>
          <w:szCs w:val="16"/>
          <w:lang w:val="es-ES_tradnl"/>
        </w:rPr>
        <w:t>…</w:t>
      </w:r>
      <w:r>
        <w:rPr>
          <w:spacing w:val="-6"/>
          <w:sz w:val="16"/>
          <w:szCs w:val="16"/>
          <w:lang w:val="es-ES_tradnl"/>
        </w:rPr>
        <w:t>) claramente nos se</w:t>
      </w:r>
      <w:r>
        <w:rPr>
          <w:rFonts w:cs="Times New Roman"/>
          <w:spacing w:val="-6"/>
          <w:sz w:val="16"/>
          <w:szCs w:val="16"/>
          <w:lang w:val="es-ES_tradnl"/>
        </w:rPr>
        <w:t>ñ</w:t>
      </w:r>
      <w:r>
        <w:rPr>
          <w:spacing w:val="-6"/>
          <w:sz w:val="16"/>
          <w:szCs w:val="16"/>
          <w:lang w:val="es-ES_tradnl"/>
        </w:rPr>
        <w:t xml:space="preserve">ala que el sistema procesal civil </w:t>
      </w:r>
      <w:r>
        <w:rPr>
          <w:spacing w:val="-4"/>
          <w:sz w:val="16"/>
          <w:szCs w:val="16"/>
          <w:lang w:val="es-ES_tradnl"/>
        </w:rPr>
        <w:t>ecuatoriano, deja la valoraci</w:t>
      </w:r>
      <w:r>
        <w:rPr>
          <w:rFonts w:cs="Times New Roman"/>
          <w:spacing w:val="-4"/>
          <w:sz w:val="16"/>
          <w:szCs w:val="16"/>
          <w:lang w:val="es-ES_tradnl"/>
        </w:rPr>
        <w:t>ó</w:t>
      </w:r>
      <w:r>
        <w:rPr>
          <w:spacing w:val="-4"/>
          <w:sz w:val="16"/>
          <w:szCs w:val="16"/>
          <w:lang w:val="es-ES_tradnl"/>
        </w:rPr>
        <w:t xml:space="preserve">n de la prueba a las reglas de </w:t>
      </w:r>
      <w:r>
        <w:rPr>
          <w:spacing w:val="-6"/>
          <w:sz w:val="16"/>
          <w:szCs w:val="16"/>
          <w:lang w:val="es-ES_tradnl"/>
        </w:rPr>
        <w:t>la sana cr</w:t>
      </w:r>
      <w:r>
        <w:rPr>
          <w:rFonts w:cs="Times New Roman"/>
          <w:spacing w:val="-6"/>
          <w:sz w:val="16"/>
          <w:szCs w:val="16"/>
          <w:lang w:val="es-ES_tradnl"/>
        </w:rPr>
        <w:t>í</w:t>
      </w:r>
      <w:r>
        <w:rPr>
          <w:spacing w:val="-6"/>
          <w:sz w:val="16"/>
          <w:szCs w:val="16"/>
          <w:lang w:val="es-ES_tradnl"/>
        </w:rPr>
        <w:t>tica que deber</w:t>
      </w:r>
      <w:r>
        <w:rPr>
          <w:rFonts w:cs="Times New Roman"/>
          <w:spacing w:val="-6"/>
          <w:sz w:val="16"/>
          <w:szCs w:val="16"/>
          <w:lang w:val="es-ES_tradnl"/>
        </w:rPr>
        <w:t>á</w:t>
      </w:r>
      <w:r>
        <w:rPr>
          <w:spacing w:val="-6"/>
          <w:sz w:val="16"/>
          <w:szCs w:val="16"/>
          <w:lang w:val="es-ES_tradnl"/>
        </w:rPr>
        <w:t xml:space="preserve"> aplicar el juzgador, sin que exista </w:t>
      </w:r>
      <w:r>
        <w:rPr>
          <w:spacing w:val="-8"/>
          <w:sz w:val="16"/>
          <w:szCs w:val="16"/>
          <w:lang w:val="es-ES_tradnl"/>
        </w:rPr>
        <w:t>norma alguna que en forma taxativa se</w:t>
      </w:r>
      <w:r>
        <w:rPr>
          <w:rFonts w:cs="Times New Roman"/>
          <w:spacing w:val="-8"/>
          <w:sz w:val="16"/>
          <w:szCs w:val="16"/>
          <w:lang w:val="es-ES_tradnl"/>
        </w:rPr>
        <w:t>ñ</w:t>
      </w:r>
      <w:r>
        <w:rPr>
          <w:spacing w:val="-8"/>
          <w:sz w:val="16"/>
          <w:szCs w:val="16"/>
          <w:lang w:val="es-ES_tradnl"/>
        </w:rPr>
        <w:t xml:space="preserve">ale cuales son dichas </w:t>
      </w:r>
      <w:r>
        <w:rPr>
          <w:spacing w:val="-10"/>
          <w:sz w:val="16"/>
          <w:szCs w:val="16"/>
          <w:lang w:val="es-ES_tradnl"/>
        </w:rPr>
        <w:t>reglas dejando al juzgador para que bajo an</w:t>
      </w:r>
      <w:r>
        <w:rPr>
          <w:rFonts w:cs="Times New Roman"/>
          <w:spacing w:val="-10"/>
          <w:sz w:val="16"/>
          <w:szCs w:val="16"/>
          <w:lang w:val="es-ES_tradnl"/>
        </w:rPr>
        <w:t>á</w:t>
      </w:r>
      <w:r>
        <w:rPr>
          <w:spacing w:val="-10"/>
          <w:sz w:val="16"/>
          <w:szCs w:val="16"/>
          <w:lang w:val="es-ES_tradnl"/>
        </w:rPr>
        <w:t xml:space="preserve">lisis de las pruebas </w:t>
      </w:r>
      <w:r>
        <w:rPr>
          <w:spacing w:val="-7"/>
          <w:sz w:val="16"/>
          <w:szCs w:val="16"/>
          <w:lang w:val="es-ES_tradnl"/>
        </w:rPr>
        <w:t>aportadas por las partes la aplicaci</w:t>
      </w:r>
      <w:r>
        <w:rPr>
          <w:rFonts w:cs="Times New Roman"/>
          <w:spacing w:val="-7"/>
          <w:sz w:val="16"/>
          <w:szCs w:val="16"/>
          <w:lang w:val="es-ES_tradnl"/>
        </w:rPr>
        <w:t>ó</w:t>
      </w:r>
      <w:r>
        <w:rPr>
          <w:spacing w:val="-7"/>
          <w:sz w:val="16"/>
          <w:szCs w:val="16"/>
          <w:lang w:val="es-ES_tradnl"/>
        </w:rPr>
        <w:t xml:space="preserve">n de sus conocimientos </w:t>
      </w:r>
      <w:r>
        <w:rPr>
          <w:spacing w:val="-5"/>
          <w:sz w:val="16"/>
          <w:szCs w:val="16"/>
          <w:lang w:val="es-ES_tradnl"/>
        </w:rPr>
        <w:t>jur</w:t>
      </w:r>
      <w:r>
        <w:rPr>
          <w:rFonts w:cs="Times New Roman"/>
          <w:spacing w:val="-5"/>
          <w:sz w:val="16"/>
          <w:szCs w:val="16"/>
          <w:lang w:val="es-ES_tradnl"/>
        </w:rPr>
        <w:t>í</w:t>
      </w:r>
      <w:r>
        <w:rPr>
          <w:spacing w:val="-5"/>
          <w:sz w:val="16"/>
          <w:szCs w:val="16"/>
          <w:lang w:val="es-ES_tradnl"/>
        </w:rPr>
        <w:t xml:space="preserve">dicos </w:t>
      </w:r>
      <w:r>
        <w:rPr>
          <w:rFonts w:cs="Times New Roman"/>
          <w:spacing w:val="-5"/>
          <w:sz w:val="16"/>
          <w:szCs w:val="16"/>
          <w:lang w:val="es-ES_tradnl"/>
        </w:rPr>
        <w:t>–</w:t>
      </w:r>
      <w:r>
        <w:rPr>
          <w:spacing w:val="-5"/>
          <w:sz w:val="16"/>
          <w:szCs w:val="16"/>
          <w:lang w:val="es-ES_tradnl"/>
        </w:rPr>
        <w:t xml:space="preserve"> cient</w:t>
      </w:r>
      <w:r>
        <w:rPr>
          <w:rFonts w:cs="Times New Roman"/>
          <w:spacing w:val="-5"/>
          <w:sz w:val="16"/>
          <w:szCs w:val="16"/>
          <w:lang w:val="es-ES_tradnl"/>
        </w:rPr>
        <w:t>í</w:t>
      </w:r>
      <w:r>
        <w:rPr>
          <w:spacing w:val="-5"/>
          <w:sz w:val="16"/>
          <w:szCs w:val="16"/>
          <w:lang w:val="es-ES_tradnl"/>
        </w:rPr>
        <w:t>ficos y el consejo de su experiencia, en un proceso l</w:t>
      </w:r>
      <w:r>
        <w:rPr>
          <w:rFonts w:cs="Times New Roman"/>
          <w:spacing w:val="-5"/>
          <w:sz w:val="16"/>
          <w:szCs w:val="16"/>
          <w:lang w:val="es-ES_tradnl"/>
        </w:rPr>
        <w:t>ó</w:t>
      </w:r>
      <w:r>
        <w:rPr>
          <w:spacing w:val="-5"/>
          <w:sz w:val="16"/>
          <w:szCs w:val="16"/>
          <w:lang w:val="es-ES_tradnl"/>
        </w:rPr>
        <w:t xml:space="preserve">gico </w:t>
      </w:r>
      <w:r>
        <w:rPr>
          <w:rFonts w:cs="Times New Roman"/>
          <w:spacing w:val="-5"/>
          <w:sz w:val="16"/>
          <w:szCs w:val="16"/>
          <w:lang w:val="es-ES_tradnl"/>
        </w:rPr>
        <w:t>–</w:t>
      </w:r>
      <w:r>
        <w:rPr>
          <w:spacing w:val="-5"/>
          <w:sz w:val="16"/>
          <w:szCs w:val="16"/>
          <w:lang w:val="es-ES_tradnl"/>
        </w:rPr>
        <w:t xml:space="preserve"> jur</w:t>
      </w:r>
      <w:r>
        <w:rPr>
          <w:rFonts w:cs="Times New Roman"/>
          <w:spacing w:val="-5"/>
          <w:sz w:val="16"/>
          <w:szCs w:val="16"/>
          <w:lang w:val="es-ES_tradnl"/>
        </w:rPr>
        <w:t>í</w:t>
      </w:r>
      <w:r>
        <w:rPr>
          <w:spacing w:val="-5"/>
          <w:sz w:val="16"/>
          <w:szCs w:val="16"/>
          <w:lang w:val="es-ES_tradnl"/>
        </w:rPr>
        <w:t>dico elabore su convicci</w:t>
      </w:r>
      <w:r>
        <w:rPr>
          <w:rFonts w:cs="Times New Roman"/>
          <w:spacing w:val="-5"/>
          <w:sz w:val="16"/>
          <w:szCs w:val="16"/>
          <w:lang w:val="es-ES_tradnl"/>
        </w:rPr>
        <w:t>ó</w:t>
      </w:r>
      <w:r>
        <w:rPr>
          <w:spacing w:val="-5"/>
          <w:sz w:val="16"/>
          <w:szCs w:val="16"/>
          <w:lang w:val="es-ES_tradnl"/>
        </w:rPr>
        <w:t xml:space="preserve">n, proceso que el juzgador del segundo nivel si lo ha realizado. En virtud de </w:t>
      </w:r>
      <w:r>
        <w:rPr>
          <w:spacing w:val="-4"/>
          <w:sz w:val="16"/>
          <w:szCs w:val="16"/>
          <w:lang w:val="es-ES_tradnl"/>
        </w:rPr>
        <w:t>lo expuesto sin necesidad de otro an</w:t>
      </w:r>
      <w:r>
        <w:rPr>
          <w:rFonts w:cs="Times New Roman"/>
          <w:spacing w:val="-4"/>
          <w:sz w:val="16"/>
          <w:szCs w:val="16"/>
          <w:lang w:val="es-ES_tradnl"/>
        </w:rPr>
        <w:t>á</w:t>
      </w:r>
      <w:r>
        <w:rPr>
          <w:spacing w:val="-4"/>
          <w:sz w:val="16"/>
          <w:szCs w:val="16"/>
          <w:lang w:val="es-ES_tradnl"/>
        </w:rPr>
        <w:t xml:space="preserve">lisis, este Tribunal de </w:t>
      </w:r>
      <w:r>
        <w:rPr>
          <w:spacing w:val="-3"/>
          <w:sz w:val="16"/>
          <w:szCs w:val="16"/>
          <w:lang w:val="es-ES_tradnl"/>
        </w:rPr>
        <w:t xml:space="preserve">la Sala Especializada de lo Laboral, </w:t>
      </w:r>
      <w:r>
        <w:rPr>
          <w:b/>
          <w:bCs/>
          <w:spacing w:val="-3"/>
          <w:sz w:val="16"/>
          <w:szCs w:val="16"/>
          <w:lang w:val="es-ES_tradnl"/>
        </w:rPr>
        <w:t xml:space="preserve">ADMINISTRANDO </w:t>
      </w:r>
      <w:r>
        <w:rPr>
          <w:b/>
          <w:bCs/>
          <w:sz w:val="16"/>
          <w:szCs w:val="16"/>
          <w:lang w:val="es-ES_tradnl"/>
        </w:rPr>
        <w:t>JUSTICIA EN NOMBRE DEL PUEBLO SOBERANO DEL ECUADOR Y POR AUTORIDAD DE LA CONSTITUCION Y LAS LEYES DE LA REPUBLICA</w:t>
      </w:r>
      <w:r>
        <w:rPr>
          <w:sz w:val="16"/>
          <w:szCs w:val="16"/>
          <w:lang w:val="es-ES_tradnl"/>
        </w:rPr>
        <w:t xml:space="preserve">, </w:t>
      </w:r>
      <w:r>
        <w:rPr>
          <w:spacing w:val="-8"/>
          <w:sz w:val="16"/>
          <w:szCs w:val="16"/>
          <w:lang w:val="es-ES_tradnl"/>
        </w:rPr>
        <w:t xml:space="preserve">no casa la sentencia del Tribunal </w:t>
      </w:r>
      <w:r>
        <w:rPr>
          <w:i/>
          <w:iCs/>
          <w:spacing w:val="-8"/>
          <w:sz w:val="16"/>
          <w:szCs w:val="16"/>
          <w:lang w:val="es-ES_tradnl"/>
        </w:rPr>
        <w:t>ad quem</w:t>
      </w:r>
      <w:r>
        <w:rPr>
          <w:spacing w:val="-8"/>
          <w:sz w:val="16"/>
          <w:szCs w:val="16"/>
          <w:lang w:val="es-ES_tradnl"/>
        </w:rPr>
        <w:t xml:space="preserve">, y en consecuencia </w:t>
      </w:r>
      <w:r>
        <w:rPr>
          <w:sz w:val="16"/>
          <w:szCs w:val="16"/>
          <w:lang w:val="es-ES_tradnl"/>
        </w:rPr>
        <w:t>la deja en firme. NOTIFIQUESE (sic).</w:t>
      </w:r>
    </w:p>
    <w:p w14:paraId="4F67B0FA" w14:textId="77777777" w:rsidR="00591D54" w:rsidRDefault="00591D54">
      <w:pPr>
        <w:shd w:val="clear" w:color="auto" w:fill="FFFFFF"/>
        <w:spacing w:before="202" w:line="216" w:lineRule="exact"/>
        <w:ind w:right="10"/>
        <w:jc w:val="both"/>
      </w:pPr>
      <w:r>
        <w:rPr>
          <w:b/>
          <w:bCs/>
          <w:sz w:val="18"/>
          <w:szCs w:val="18"/>
          <w:lang w:val="es-ES_tradnl"/>
        </w:rPr>
        <w:t>Antecedentes que dieron origen a la acci</w:t>
      </w:r>
      <w:r>
        <w:rPr>
          <w:rFonts w:cs="Times New Roman"/>
          <w:b/>
          <w:bCs/>
          <w:sz w:val="18"/>
          <w:szCs w:val="18"/>
          <w:lang w:val="es-ES_tradnl"/>
        </w:rPr>
        <w:t>ó</w:t>
      </w:r>
      <w:r>
        <w:rPr>
          <w:b/>
          <w:bCs/>
          <w:sz w:val="18"/>
          <w:szCs w:val="18"/>
          <w:lang w:val="es-ES_tradnl"/>
        </w:rPr>
        <w:t>n extraordinaria de protecci</w:t>
      </w:r>
      <w:r>
        <w:rPr>
          <w:rFonts w:cs="Times New Roman"/>
          <w:b/>
          <w:bCs/>
          <w:sz w:val="18"/>
          <w:szCs w:val="18"/>
          <w:lang w:val="es-ES_tradnl"/>
        </w:rPr>
        <w:t>ó</w:t>
      </w:r>
      <w:r>
        <w:rPr>
          <w:b/>
          <w:bCs/>
          <w:sz w:val="18"/>
          <w:szCs w:val="18"/>
          <w:lang w:val="es-ES_tradnl"/>
        </w:rPr>
        <w:t>n</w:t>
      </w:r>
    </w:p>
    <w:p w14:paraId="4F67B0FB" w14:textId="77777777" w:rsidR="00591D54" w:rsidRDefault="00591D54">
      <w:pPr>
        <w:shd w:val="clear" w:color="auto" w:fill="FFFFFF"/>
        <w:spacing w:before="197" w:line="216" w:lineRule="exact"/>
        <w:ind w:right="10"/>
        <w:jc w:val="both"/>
      </w:pPr>
      <w:r>
        <w:rPr>
          <w:spacing w:val="-2"/>
          <w:sz w:val="18"/>
          <w:szCs w:val="18"/>
          <w:lang w:val="es-ES_tradnl"/>
        </w:rPr>
        <w:t xml:space="preserve">Ante el juez segundo del trabajo del Guayas, Cecilia </w:t>
      </w:r>
      <w:r>
        <w:rPr>
          <w:spacing w:val="-7"/>
          <w:sz w:val="18"/>
          <w:szCs w:val="18"/>
          <w:lang w:val="es-ES_tradnl"/>
        </w:rPr>
        <w:t>Isabel Prieto Vega de Cadena entabl</w:t>
      </w:r>
      <w:r>
        <w:rPr>
          <w:rFonts w:cs="Times New Roman"/>
          <w:spacing w:val="-7"/>
          <w:sz w:val="18"/>
          <w:szCs w:val="18"/>
          <w:lang w:val="es-ES_tradnl"/>
        </w:rPr>
        <w:t>ó</w:t>
      </w:r>
      <w:r>
        <w:rPr>
          <w:spacing w:val="-7"/>
          <w:sz w:val="18"/>
          <w:szCs w:val="18"/>
          <w:lang w:val="es-ES_tradnl"/>
        </w:rPr>
        <w:t xml:space="preserve"> el juicio laboral en </w:t>
      </w:r>
      <w:r>
        <w:rPr>
          <w:spacing w:val="-9"/>
          <w:sz w:val="18"/>
          <w:szCs w:val="18"/>
          <w:lang w:val="es-ES_tradnl"/>
        </w:rPr>
        <w:t>contra de los representantes de la compa</w:t>
      </w:r>
      <w:r>
        <w:rPr>
          <w:rFonts w:cs="Times New Roman"/>
          <w:spacing w:val="-9"/>
          <w:sz w:val="18"/>
          <w:szCs w:val="18"/>
          <w:lang w:val="es-ES_tradnl"/>
        </w:rPr>
        <w:t>ñí</w:t>
      </w:r>
      <w:r>
        <w:rPr>
          <w:spacing w:val="-9"/>
          <w:sz w:val="18"/>
          <w:szCs w:val="18"/>
          <w:lang w:val="es-ES_tradnl"/>
        </w:rPr>
        <w:t xml:space="preserve">a Maqhensa </w:t>
      </w:r>
      <w:r>
        <w:rPr>
          <w:spacing w:val="-10"/>
          <w:sz w:val="18"/>
          <w:szCs w:val="18"/>
          <w:lang w:val="es-ES_tradnl"/>
        </w:rPr>
        <w:t xml:space="preserve">representaciones S. A. El 03 de agosto de 2012 a las 10h18, </w:t>
      </w:r>
      <w:r>
        <w:rPr>
          <w:spacing w:val="-8"/>
          <w:sz w:val="18"/>
          <w:szCs w:val="18"/>
          <w:lang w:val="es-ES_tradnl"/>
        </w:rPr>
        <w:t>el juez segundo del trabajo del Guayas dict</w:t>
      </w:r>
      <w:r>
        <w:rPr>
          <w:rFonts w:cs="Times New Roman"/>
          <w:spacing w:val="-8"/>
          <w:sz w:val="18"/>
          <w:szCs w:val="18"/>
          <w:lang w:val="es-ES_tradnl"/>
        </w:rPr>
        <w:t>ó</w:t>
      </w:r>
      <w:r>
        <w:rPr>
          <w:spacing w:val="-8"/>
          <w:sz w:val="18"/>
          <w:szCs w:val="18"/>
          <w:lang w:val="es-ES_tradnl"/>
        </w:rPr>
        <w:t xml:space="preserve"> sentencia </w:t>
      </w:r>
      <w:r>
        <w:rPr>
          <w:spacing w:val="-9"/>
          <w:sz w:val="18"/>
          <w:szCs w:val="18"/>
          <w:lang w:val="es-ES_tradnl"/>
        </w:rPr>
        <w:t xml:space="preserve">declarando parcialmente, con lugar la demanda propuesta; </w:t>
      </w:r>
      <w:r>
        <w:rPr>
          <w:spacing w:val="-8"/>
          <w:sz w:val="18"/>
          <w:szCs w:val="18"/>
          <w:lang w:val="es-ES_tradnl"/>
        </w:rPr>
        <w:t>decisi</w:t>
      </w:r>
      <w:r>
        <w:rPr>
          <w:rFonts w:cs="Times New Roman"/>
          <w:spacing w:val="-8"/>
          <w:sz w:val="18"/>
          <w:szCs w:val="18"/>
          <w:lang w:val="es-ES_tradnl"/>
        </w:rPr>
        <w:t>ó</w:t>
      </w:r>
      <w:r>
        <w:rPr>
          <w:spacing w:val="-8"/>
          <w:sz w:val="18"/>
          <w:szCs w:val="18"/>
          <w:lang w:val="es-ES_tradnl"/>
        </w:rPr>
        <w:t xml:space="preserve">n que fue apelada por las partes procesales ante la </w:t>
      </w:r>
      <w:r>
        <w:rPr>
          <w:sz w:val="18"/>
          <w:szCs w:val="18"/>
          <w:lang w:val="es-ES_tradnl"/>
        </w:rPr>
        <w:t>Corte Provincial.</w:t>
      </w:r>
    </w:p>
    <w:p w14:paraId="4F67B0FC" w14:textId="77777777" w:rsidR="00591D54" w:rsidRDefault="00591D54">
      <w:pPr>
        <w:shd w:val="clear" w:color="auto" w:fill="FFFFFF"/>
        <w:spacing w:before="202" w:line="216" w:lineRule="exact"/>
        <w:ind w:right="10"/>
        <w:jc w:val="both"/>
      </w:pPr>
      <w:r>
        <w:rPr>
          <w:spacing w:val="-6"/>
          <w:sz w:val="18"/>
          <w:szCs w:val="18"/>
          <w:lang w:val="es-ES_tradnl"/>
        </w:rPr>
        <w:t xml:space="preserve">Los jueces de la Primera Sala de lo Laboral de la Corte </w:t>
      </w:r>
      <w:r>
        <w:rPr>
          <w:spacing w:val="-5"/>
          <w:sz w:val="18"/>
          <w:szCs w:val="18"/>
          <w:lang w:val="es-ES_tradnl"/>
        </w:rPr>
        <w:t xml:space="preserve">Provincial de Justicia del Guayas resolvieron revocar lo dictado por el inferior y declarar sin lugar la demanda; </w:t>
      </w:r>
      <w:r>
        <w:rPr>
          <w:spacing w:val="-6"/>
          <w:sz w:val="18"/>
          <w:szCs w:val="18"/>
          <w:lang w:val="es-ES_tradnl"/>
        </w:rPr>
        <w:t>decisi</w:t>
      </w:r>
      <w:r>
        <w:rPr>
          <w:rFonts w:cs="Times New Roman"/>
          <w:spacing w:val="-6"/>
          <w:sz w:val="18"/>
          <w:szCs w:val="18"/>
          <w:lang w:val="es-ES_tradnl"/>
        </w:rPr>
        <w:t>ó</w:t>
      </w:r>
      <w:r>
        <w:rPr>
          <w:spacing w:val="-6"/>
          <w:sz w:val="18"/>
          <w:szCs w:val="18"/>
          <w:lang w:val="es-ES_tradnl"/>
        </w:rPr>
        <w:t xml:space="preserve">n a la que la demandante interpuso recurso de </w:t>
      </w:r>
      <w:r>
        <w:rPr>
          <w:spacing w:val="-8"/>
          <w:sz w:val="18"/>
          <w:szCs w:val="18"/>
          <w:lang w:val="es-ES_tradnl"/>
        </w:rPr>
        <w:t>casaci</w:t>
      </w:r>
      <w:r>
        <w:rPr>
          <w:rFonts w:cs="Times New Roman"/>
          <w:spacing w:val="-8"/>
          <w:sz w:val="18"/>
          <w:szCs w:val="18"/>
          <w:lang w:val="es-ES_tradnl"/>
        </w:rPr>
        <w:t>ó</w:t>
      </w:r>
      <w:r>
        <w:rPr>
          <w:spacing w:val="-8"/>
          <w:sz w:val="18"/>
          <w:szCs w:val="18"/>
          <w:lang w:val="es-ES_tradnl"/>
        </w:rPr>
        <w:t xml:space="preserve">n. El 29 de agosto de 2013 a las 09h11, la Sala de </w:t>
      </w:r>
      <w:r>
        <w:rPr>
          <w:spacing w:val="-6"/>
          <w:sz w:val="18"/>
          <w:szCs w:val="18"/>
          <w:lang w:val="es-ES_tradnl"/>
        </w:rPr>
        <w:t xml:space="preserve">Conjueces de lo Laboral de la Corte Nacional de Justicia </w:t>
      </w:r>
      <w:r>
        <w:rPr>
          <w:spacing w:val="-7"/>
          <w:sz w:val="18"/>
          <w:szCs w:val="18"/>
          <w:lang w:val="es-ES_tradnl"/>
        </w:rPr>
        <w:t>admitieron a tr</w:t>
      </w:r>
      <w:r>
        <w:rPr>
          <w:rFonts w:cs="Times New Roman"/>
          <w:spacing w:val="-7"/>
          <w:sz w:val="18"/>
          <w:szCs w:val="18"/>
          <w:lang w:val="es-ES_tradnl"/>
        </w:rPr>
        <w:t>á</w:t>
      </w:r>
      <w:r>
        <w:rPr>
          <w:spacing w:val="-7"/>
          <w:sz w:val="18"/>
          <w:szCs w:val="18"/>
          <w:lang w:val="es-ES_tradnl"/>
        </w:rPr>
        <w:t>mite el recurso de casaci</w:t>
      </w:r>
      <w:r>
        <w:rPr>
          <w:rFonts w:cs="Times New Roman"/>
          <w:spacing w:val="-7"/>
          <w:sz w:val="18"/>
          <w:szCs w:val="18"/>
          <w:lang w:val="es-ES_tradnl"/>
        </w:rPr>
        <w:t>ó</w:t>
      </w:r>
      <w:r>
        <w:rPr>
          <w:spacing w:val="-7"/>
          <w:sz w:val="18"/>
          <w:szCs w:val="18"/>
          <w:lang w:val="es-ES_tradnl"/>
        </w:rPr>
        <w:t>n.</w:t>
      </w:r>
    </w:p>
    <w:p w14:paraId="4F67B0FD" w14:textId="77777777" w:rsidR="00591D54" w:rsidRDefault="00591D54">
      <w:pPr>
        <w:shd w:val="clear" w:color="auto" w:fill="FFFFFF"/>
        <w:spacing w:before="197" w:line="216" w:lineRule="exact"/>
        <w:ind w:right="10"/>
        <w:jc w:val="both"/>
      </w:pPr>
      <w:r>
        <w:rPr>
          <w:spacing w:val="-8"/>
          <w:sz w:val="18"/>
          <w:szCs w:val="18"/>
          <w:lang w:val="es-ES_tradnl"/>
        </w:rPr>
        <w:t xml:space="preserve">El 20 de enero de 2014 a las 10h10, los jueces de la Sala </w:t>
      </w:r>
      <w:r>
        <w:rPr>
          <w:spacing w:val="-2"/>
          <w:sz w:val="18"/>
          <w:szCs w:val="18"/>
          <w:lang w:val="es-ES_tradnl"/>
        </w:rPr>
        <w:t xml:space="preserve">Especializada de lo Laboral de la Corte Nacional de </w:t>
      </w:r>
      <w:r>
        <w:rPr>
          <w:spacing w:val="-6"/>
          <w:sz w:val="18"/>
          <w:szCs w:val="18"/>
          <w:lang w:val="es-ES_tradnl"/>
        </w:rPr>
        <w:t xml:space="preserve">Justicia resolvieron no casar la sentencia del Tribunal </w:t>
      </w:r>
      <w:r>
        <w:rPr>
          <w:i/>
          <w:iCs/>
          <w:spacing w:val="-6"/>
          <w:sz w:val="18"/>
          <w:szCs w:val="18"/>
          <w:lang w:val="es-ES_tradnl"/>
        </w:rPr>
        <w:t xml:space="preserve">ad </w:t>
      </w:r>
      <w:r>
        <w:rPr>
          <w:i/>
          <w:iCs/>
          <w:spacing w:val="-5"/>
          <w:sz w:val="18"/>
          <w:szCs w:val="18"/>
          <w:lang w:val="es-ES_tradnl"/>
        </w:rPr>
        <w:t>quem</w:t>
      </w:r>
      <w:r>
        <w:rPr>
          <w:spacing w:val="-5"/>
          <w:sz w:val="18"/>
          <w:szCs w:val="18"/>
          <w:lang w:val="es-ES_tradnl"/>
        </w:rPr>
        <w:t xml:space="preserve">. De esta </w:t>
      </w:r>
      <w:r>
        <w:rPr>
          <w:rFonts w:cs="Times New Roman"/>
          <w:spacing w:val="-5"/>
          <w:sz w:val="18"/>
          <w:szCs w:val="18"/>
          <w:lang w:val="es-ES_tradnl"/>
        </w:rPr>
        <w:t>ú</w:t>
      </w:r>
      <w:r>
        <w:rPr>
          <w:spacing w:val="-5"/>
          <w:sz w:val="18"/>
          <w:szCs w:val="18"/>
          <w:lang w:val="es-ES_tradnl"/>
        </w:rPr>
        <w:t>ltima decisi</w:t>
      </w:r>
      <w:r>
        <w:rPr>
          <w:rFonts w:cs="Times New Roman"/>
          <w:spacing w:val="-5"/>
          <w:sz w:val="18"/>
          <w:szCs w:val="18"/>
          <w:lang w:val="es-ES_tradnl"/>
        </w:rPr>
        <w:t>ó</w:t>
      </w:r>
      <w:r>
        <w:rPr>
          <w:spacing w:val="-5"/>
          <w:sz w:val="18"/>
          <w:szCs w:val="18"/>
          <w:lang w:val="es-ES_tradnl"/>
        </w:rPr>
        <w:t xml:space="preserve">n la ahora legitimada activa, </w:t>
      </w:r>
      <w:r>
        <w:rPr>
          <w:spacing w:val="-7"/>
          <w:sz w:val="18"/>
          <w:szCs w:val="18"/>
          <w:lang w:val="es-ES_tradnl"/>
        </w:rPr>
        <w:t>el 17 de febrero de 2014, present</w:t>
      </w:r>
      <w:r>
        <w:rPr>
          <w:rFonts w:cs="Times New Roman"/>
          <w:spacing w:val="-7"/>
          <w:sz w:val="18"/>
          <w:szCs w:val="18"/>
          <w:lang w:val="es-ES_tradnl"/>
        </w:rPr>
        <w:t>ó</w:t>
      </w:r>
      <w:r>
        <w:rPr>
          <w:spacing w:val="-7"/>
          <w:sz w:val="18"/>
          <w:szCs w:val="18"/>
          <w:lang w:val="es-ES_tradnl"/>
        </w:rPr>
        <w:t xml:space="preserve"> la demanda de acci</w:t>
      </w:r>
      <w:r>
        <w:rPr>
          <w:rFonts w:cs="Times New Roman"/>
          <w:spacing w:val="-7"/>
          <w:sz w:val="18"/>
          <w:szCs w:val="18"/>
          <w:lang w:val="es-ES_tradnl"/>
        </w:rPr>
        <w:t>ó</w:t>
      </w:r>
      <w:r>
        <w:rPr>
          <w:spacing w:val="-7"/>
          <w:sz w:val="18"/>
          <w:szCs w:val="18"/>
          <w:lang w:val="es-ES_tradnl"/>
        </w:rPr>
        <w:t xml:space="preserve">n </w:t>
      </w:r>
      <w:r>
        <w:rPr>
          <w:sz w:val="18"/>
          <w:szCs w:val="18"/>
          <w:lang w:val="es-ES_tradnl"/>
        </w:rPr>
        <w:t>extraordinaria de protecci</w:t>
      </w:r>
      <w:r>
        <w:rPr>
          <w:rFonts w:cs="Times New Roman"/>
          <w:sz w:val="18"/>
          <w:szCs w:val="18"/>
          <w:lang w:val="es-ES_tradnl"/>
        </w:rPr>
        <w:t>ó</w:t>
      </w:r>
      <w:r>
        <w:rPr>
          <w:sz w:val="18"/>
          <w:szCs w:val="18"/>
          <w:lang w:val="es-ES_tradnl"/>
        </w:rPr>
        <w:t>n.</w:t>
      </w:r>
    </w:p>
    <w:p w14:paraId="4F67B0FE" w14:textId="77777777" w:rsidR="00591D54" w:rsidRDefault="00591D54">
      <w:pPr>
        <w:shd w:val="clear" w:color="auto" w:fill="FFFFFF"/>
        <w:spacing w:before="197" w:line="221" w:lineRule="exact"/>
        <w:ind w:right="10"/>
        <w:jc w:val="both"/>
      </w:pPr>
      <w:r>
        <w:rPr>
          <w:b/>
          <w:bCs/>
          <w:spacing w:val="-7"/>
          <w:sz w:val="18"/>
          <w:szCs w:val="18"/>
          <w:lang w:val="es-ES_tradnl"/>
        </w:rPr>
        <w:t xml:space="preserve">Detalle y fundamento de la demanda extraordinaria de </w:t>
      </w:r>
      <w:r>
        <w:rPr>
          <w:b/>
          <w:bCs/>
          <w:sz w:val="18"/>
          <w:szCs w:val="18"/>
          <w:lang w:val="es-ES_tradnl"/>
        </w:rPr>
        <w:t>protecci</w:t>
      </w:r>
      <w:r>
        <w:rPr>
          <w:rFonts w:cs="Times New Roman"/>
          <w:b/>
          <w:bCs/>
          <w:sz w:val="18"/>
          <w:szCs w:val="18"/>
          <w:lang w:val="es-ES_tradnl"/>
        </w:rPr>
        <w:t>ó</w:t>
      </w:r>
      <w:r>
        <w:rPr>
          <w:b/>
          <w:bCs/>
          <w:sz w:val="18"/>
          <w:szCs w:val="18"/>
          <w:lang w:val="es-ES_tradnl"/>
        </w:rPr>
        <w:t>n</w:t>
      </w:r>
    </w:p>
    <w:p w14:paraId="4F67B0FF" w14:textId="77777777" w:rsidR="00591D54" w:rsidRDefault="00591D54">
      <w:pPr>
        <w:shd w:val="clear" w:color="auto" w:fill="FFFFFF"/>
        <w:spacing w:before="202" w:line="216" w:lineRule="exact"/>
        <w:ind w:right="10"/>
        <w:jc w:val="both"/>
      </w:pPr>
      <w:r>
        <w:rPr>
          <w:spacing w:val="-4"/>
          <w:sz w:val="18"/>
          <w:szCs w:val="18"/>
          <w:lang w:val="es-ES_tradnl"/>
        </w:rPr>
        <w:t xml:space="preserve">La legitimada activa, en lo principal, manifiesta que sus </w:t>
      </w:r>
      <w:r>
        <w:rPr>
          <w:spacing w:val="-9"/>
          <w:sz w:val="18"/>
          <w:szCs w:val="18"/>
          <w:lang w:val="es-ES_tradnl"/>
        </w:rPr>
        <w:t xml:space="preserve">reclamos de los derechos laborales no fueron acogidos por </w:t>
      </w:r>
      <w:r>
        <w:rPr>
          <w:spacing w:val="-8"/>
          <w:sz w:val="18"/>
          <w:szCs w:val="18"/>
          <w:lang w:val="es-ES_tradnl"/>
        </w:rPr>
        <w:t>los jueces nacionales, por el contrario, de manera regresiva a sus derechos constitucionales, se contradicen, dej</w:t>
      </w:r>
      <w:r>
        <w:rPr>
          <w:rFonts w:cs="Times New Roman"/>
          <w:spacing w:val="-8"/>
          <w:sz w:val="18"/>
          <w:szCs w:val="18"/>
          <w:lang w:val="es-ES_tradnl"/>
        </w:rPr>
        <w:t>á</w:t>
      </w:r>
      <w:r>
        <w:rPr>
          <w:spacing w:val="-8"/>
          <w:sz w:val="18"/>
          <w:szCs w:val="18"/>
          <w:lang w:val="es-ES_tradnl"/>
        </w:rPr>
        <w:t xml:space="preserve">ndola </w:t>
      </w:r>
      <w:r>
        <w:rPr>
          <w:spacing w:val="-7"/>
          <w:sz w:val="18"/>
          <w:szCs w:val="18"/>
          <w:lang w:val="es-ES_tradnl"/>
        </w:rPr>
        <w:t>en estado de indefensi</w:t>
      </w:r>
      <w:r>
        <w:rPr>
          <w:rFonts w:cs="Times New Roman"/>
          <w:spacing w:val="-7"/>
          <w:sz w:val="18"/>
          <w:szCs w:val="18"/>
          <w:lang w:val="es-ES_tradnl"/>
        </w:rPr>
        <w:t>ó</w:t>
      </w:r>
      <w:r>
        <w:rPr>
          <w:spacing w:val="-7"/>
          <w:sz w:val="18"/>
          <w:szCs w:val="18"/>
          <w:lang w:val="es-ES_tradnl"/>
        </w:rPr>
        <w:t>n. Que la falta de motivaci</w:t>
      </w:r>
      <w:r>
        <w:rPr>
          <w:rFonts w:cs="Times New Roman"/>
          <w:spacing w:val="-7"/>
          <w:sz w:val="18"/>
          <w:szCs w:val="18"/>
          <w:lang w:val="es-ES_tradnl"/>
        </w:rPr>
        <w:t>ó</w:t>
      </w:r>
      <w:r>
        <w:rPr>
          <w:spacing w:val="-7"/>
          <w:sz w:val="18"/>
          <w:szCs w:val="18"/>
          <w:lang w:val="es-ES_tradnl"/>
        </w:rPr>
        <w:t xml:space="preserve">n y de </w:t>
      </w:r>
      <w:r>
        <w:rPr>
          <w:spacing w:val="-8"/>
          <w:sz w:val="18"/>
          <w:szCs w:val="18"/>
          <w:lang w:val="es-ES_tradnl"/>
        </w:rPr>
        <w:t xml:space="preserve">argumentos constitucionales les perjudica su derecho a la </w:t>
      </w:r>
      <w:r>
        <w:rPr>
          <w:sz w:val="18"/>
          <w:szCs w:val="18"/>
          <w:lang w:val="es-ES_tradnl"/>
        </w:rPr>
        <w:t>defensa.</w:t>
      </w:r>
    </w:p>
    <w:p w14:paraId="4F67B100" w14:textId="77777777" w:rsidR="00591D54" w:rsidRDefault="00591D54">
      <w:pPr>
        <w:shd w:val="clear" w:color="auto" w:fill="FFFFFF"/>
        <w:spacing w:before="202" w:line="221" w:lineRule="exact"/>
        <w:ind w:right="10"/>
        <w:jc w:val="both"/>
      </w:pPr>
      <w:r>
        <w:rPr>
          <w:spacing w:val="-5"/>
          <w:sz w:val="18"/>
          <w:szCs w:val="18"/>
          <w:lang w:val="es-ES_tradnl"/>
        </w:rPr>
        <w:t>Se</w:t>
      </w:r>
      <w:r>
        <w:rPr>
          <w:rFonts w:cs="Times New Roman"/>
          <w:spacing w:val="-5"/>
          <w:sz w:val="18"/>
          <w:szCs w:val="18"/>
          <w:lang w:val="es-ES_tradnl"/>
        </w:rPr>
        <w:t>ñ</w:t>
      </w:r>
      <w:r>
        <w:rPr>
          <w:spacing w:val="-5"/>
          <w:sz w:val="18"/>
          <w:szCs w:val="18"/>
          <w:lang w:val="es-ES_tradnl"/>
        </w:rPr>
        <w:t>ala que existe contradicci</w:t>
      </w:r>
      <w:r>
        <w:rPr>
          <w:rFonts w:cs="Times New Roman"/>
          <w:spacing w:val="-5"/>
          <w:sz w:val="18"/>
          <w:szCs w:val="18"/>
          <w:lang w:val="es-ES_tradnl"/>
        </w:rPr>
        <w:t>ó</w:t>
      </w:r>
      <w:r>
        <w:rPr>
          <w:spacing w:val="-5"/>
          <w:sz w:val="18"/>
          <w:szCs w:val="18"/>
          <w:lang w:val="es-ES_tradnl"/>
        </w:rPr>
        <w:t>n en la argumentaci</w:t>
      </w:r>
      <w:r>
        <w:rPr>
          <w:rFonts w:cs="Times New Roman"/>
          <w:spacing w:val="-5"/>
          <w:sz w:val="18"/>
          <w:szCs w:val="18"/>
          <w:lang w:val="es-ES_tradnl"/>
        </w:rPr>
        <w:t>ó</w:t>
      </w:r>
      <w:r>
        <w:rPr>
          <w:spacing w:val="-5"/>
          <w:sz w:val="18"/>
          <w:szCs w:val="18"/>
          <w:lang w:val="es-ES_tradnl"/>
        </w:rPr>
        <w:t xml:space="preserve">n de </w:t>
      </w:r>
      <w:r>
        <w:rPr>
          <w:spacing w:val="-8"/>
          <w:sz w:val="18"/>
          <w:szCs w:val="18"/>
          <w:lang w:val="es-ES_tradnl"/>
        </w:rPr>
        <w:t xml:space="preserve">los jueces, que no corresponde a la verdad ni a la realidad </w:t>
      </w:r>
      <w:r>
        <w:rPr>
          <w:spacing w:val="-11"/>
          <w:sz w:val="18"/>
          <w:szCs w:val="18"/>
          <w:lang w:val="es-ES_tradnl"/>
        </w:rPr>
        <w:t>procesal; la interpretaci</w:t>
      </w:r>
      <w:r>
        <w:rPr>
          <w:rFonts w:cs="Times New Roman"/>
          <w:spacing w:val="-11"/>
          <w:sz w:val="18"/>
          <w:szCs w:val="18"/>
          <w:lang w:val="es-ES_tradnl"/>
        </w:rPr>
        <w:t>ó</w:t>
      </w:r>
      <w:r>
        <w:rPr>
          <w:spacing w:val="-11"/>
          <w:sz w:val="18"/>
          <w:szCs w:val="18"/>
          <w:lang w:val="es-ES_tradnl"/>
        </w:rPr>
        <w:t>n absurda gener</w:t>
      </w:r>
      <w:r>
        <w:rPr>
          <w:rFonts w:cs="Times New Roman"/>
          <w:spacing w:val="-11"/>
          <w:sz w:val="18"/>
          <w:szCs w:val="18"/>
          <w:lang w:val="es-ES_tradnl"/>
        </w:rPr>
        <w:t>ó</w:t>
      </w:r>
      <w:r>
        <w:rPr>
          <w:spacing w:val="-11"/>
          <w:sz w:val="18"/>
          <w:szCs w:val="18"/>
          <w:lang w:val="es-ES_tradnl"/>
        </w:rPr>
        <w:t xml:space="preserve"> abusos de quienes </w:t>
      </w:r>
      <w:r>
        <w:rPr>
          <w:spacing w:val="-7"/>
          <w:sz w:val="18"/>
          <w:szCs w:val="18"/>
          <w:lang w:val="es-ES_tradnl"/>
        </w:rPr>
        <w:t>son los primeros llamados a respetar la Constituci</w:t>
      </w:r>
      <w:r>
        <w:rPr>
          <w:rFonts w:cs="Times New Roman"/>
          <w:spacing w:val="-7"/>
          <w:sz w:val="18"/>
          <w:szCs w:val="18"/>
          <w:lang w:val="es-ES_tradnl"/>
        </w:rPr>
        <w:t>ó</w:t>
      </w:r>
      <w:r>
        <w:rPr>
          <w:spacing w:val="-7"/>
          <w:sz w:val="18"/>
          <w:szCs w:val="18"/>
          <w:lang w:val="es-ES_tradnl"/>
        </w:rPr>
        <w:t xml:space="preserve">n de la </w:t>
      </w:r>
      <w:r>
        <w:rPr>
          <w:sz w:val="18"/>
          <w:szCs w:val="18"/>
          <w:lang w:val="es-ES_tradnl"/>
        </w:rPr>
        <w:t>Rep</w:t>
      </w:r>
      <w:r>
        <w:rPr>
          <w:rFonts w:cs="Times New Roman"/>
          <w:sz w:val="18"/>
          <w:szCs w:val="18"/>
          <w:lang w:val="es-ES_tradnl"/>
        </w:rPr>
        <w:t>ú</w:t>
      </w:r>
      <w:r>
        <w:rPr>
          <w:sz w:val="18"/>
          <w:szCs w:val="18"/>
          <w:lang w:val="es-ES_tradnl"/>
        </w:rPr>
        <w:t>blica.</w:t>
      </w:r>
    </w:p>
    <w:p w14:paraId="4F67B101" w14:textId="77777777" w:rsidR="00591D54" w:rsidRDefault="00591D54">
      <w:pPr>
        <w:shd w:val="clear" w:color="auto" w:fill="FFFFFF"/>
        <w:spacing w:before="202" w:line="221" w:lineRule="exact"/>
        <w:ind w:right="10"/>
        <w:jc w:val="both"/>
        <w:sectPr w:rsidR="00591D54">
          <w:type w:val="continuous"/>
          <w:pgSz w:w="11909" w:h="16834"/>
          <w:pgMar w:top="1380" w:right="1299" w:bottom="360" w:left="1308" w:header="720" w:footer="720" w:gutter="0"/>
          <w:cols w:num="2" w:space="720" w:equalWidth="0">
            <w:col w:w="4310" w:space="677"/>
            <w:col w:w="4315"/>
          </w:cols>
          <w:noEndnote/>
        </w:sectPr>
      </w:pPr>
    </w:p>
    <w:p w14:paraId="4F67B102" w14:textId="77777777" w:rsidR="00591D54" w:rsidRDefault="00591D54">
      <w:pPr>
        <w:shd w:val="clear" w:color="auto" w:fill="FFFFFF"/>
        <w:tabs>
          <w:tab w:val="left" w:pos="584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- 165</w:t>
      </w:r>
    </w:p>
    <w:p w14:paraId="4F67B103" w14:textId="77777777" w:rsidR="00591D54" w:rsidRDefault="00591D54">
      <w:pPr>
        <w:shd w:val="clear" w:color="auto" w:fill="FFFFFF"/>
        <w:tabs>
          <w:tab w:val="left" w:pos="5842"/>
        </w:tabs>
        <w:spacing w:after="230"/>
        <w:ind w:left="5"/>
        <w:sectPr w:rsidR="00591D54">
          <w:pgSz w:w="11909" w:h="16834"/>
          <w:pgMar w:top="1359" w:right="1304" w:bottom="360" w:left="1308" w:header="720" w:footer="720" w:gutter="0"/>
          <w:cols w:space="60"/>
          <w:noEndnote/>
        </w:sectPr>
      </w:pPr>
    </w:p>
    <w:p w14:paraId="4F67B104" w14:textId="77777777" w:rsidR="00591D54" w:rsidRDefault="00591D54">
      <w:pPr>
        <w:shd w:val="clear" w:color="auto" w:fill="FFFFFF"/>
        <w:spacing w:before="5" w:line="202" w:lineRule="exact"/>
        <w:jc w:val="both"/>
      </w:pPr>
      <w:r>
        <w:rPr>
          <w:spacing w:val="-10"/>
          <w:sz w:val="18"/>
          <w:szCs w:val="18"/>
          <w:lang w:val="es-ES_tradnl"/>
        </w:rPr>
        <w:t xml:space="preserve">Menciona que en la sentencia para evadir el reconocimiento </w:t>
      </w:r>
      <w:r>
        <w:rPr>
          <w:spacing w:val="-9"/>
          <w:sz w:val="18"/>
          <w:szCs w:val="18"/>
          <w:lang w:val="es-ES_tradnl"/>
        </w:rPr>
        <w:t xml:space="preserve">de sus derechos se da </w:t>
      </w:r>
      <w:r>
        <w:rPr>
          <w:rFonts w:cs="Times New Roman"/>
          <w:spacing w:val="-9"/>
          <w:sz w:val="18"/>
          <w:szCs w:val="18"/>
          <w:lang w:val="es-ES_tradnl"/>
        </w:rPr>
        <w:t>é</w:t>
      </w:r>
      <w:r>
        <w:rPr>
          <w:spacing w:val="-9"/>
          <w:sz w:val="18"/>
          <w:szCs w:val="18"/>
          <w:lang w:val="es-ES_tradnl"/>
        </w:rPr>
        <w:t>nfasis a las normas del C</w:t>
      </w:r>
      <w:r>
        <w:rPr>
          <w:rFonts w:cs="Times New Roman"/>
          <w:spacing w:val="-9"/>
          <w:sz w:val="18"/>
          <w:szCs w:val="18"/>
          <w:lang w:val="es-ES_tradnl"/>
        </w:rPr>
        <w:t>ó</w:t>
      </w:r>
      <w:r>
        <w:rPr>
          <w:spacing w:val="-9"/>
          <w:sz w:val="18"/>
          <w:szCs w:val="18"/>
          <w:lang w:val="es-ES_tradnl"/>
        </w:rPr>
        <w:t xml:space="preserve">digo de </w:t>
      </w:r>
      <w:r>
        <w:rPr>
          <w:spacing w:val="-4"/>
          <w:sz w:val="18"/>
          <w:szCs w:val="18"/>
          <w:lang w:val="es-ES_tradnl"/>
        </w:rPr>
        <w:t xml:space="preserve">Procedimiento Civil, cuando existe una norma clara y </w:t>
      </w:r>
      <w:r>
        <w:rPr>
          <w:spacing w:val="-7"/>
          <w:sz w:val="18"/>
          <w:szCs w:val="18"/>
          <w:lang w:val="es-ES_tradnl"/>
        </w:rPr>
        <w:t>puntual en el C</w:t>
      </w:r>
      <w:r>
        <w:rPr>
          <w:rFonts w:cs="Times New Roman"/>
          <w:spacing w:val="-7"/>
          <w:sz w:val="18"/>
          <w:szCs w:val="18"/>
          <w:lang w:val="es-ES_tradnl"/>
        </w:rPr>
        <w:t>ó</w:t>
      </w:r>
      <w:r>
        <w:rPr>
          <w:spacing w:val="-7"/>
          <w:sz w:val="18"/>
          <w:szCs w:val="18"/>
          <w:lang w:val="es-ES_tradnl"/>
        </w:rPr>
        <w:t>digo del Trabajo que justifica su reclamo.</w:t>
      </w:r>
    </w:p>
    <w:p w14:paraId="4F67B105" w14:textId="77777777" w:rsidR="00591D54" w:rsidRDefault="00591D54">
      <w:pPr>
        <w:shd w:val="clear" w:color="auto" w:fill="FFFFFF"/>
        <w:spacing w:before="182" w:line="202" w:lineRule="exact"/>
        <w:ind w:right="5"/>
        <w:jc w:val="both"/>
      </w:pPr>
      <w:r>
        <w:rPr>
          <w:spacing w:val="-8"/>
          <w:sz w:val="18"/>
          <w:szCs w:val="18"/>
          <w:lang w:val="es-ES_tradnl"/>
        </w:rPr>
        <w:t xml:space="preserve">Manifiesta que los jueces no analizaron el texto del acta de </w:t>
      </w:r>
      <w:r>
        <w:rPr>
          <w:spacing w:val="-6"/>
          <w:sz w:val="18"/>
          <w:szCs w:val="18"/>
          <w:lang w:val="es-ES_tradnl"/>
        </w:rPr>
        <w:t xml:space="preserve">finiquito, simplemente declaran la validez legal y eficacia </w:t>
      </w:r>
      <w:r>
        <w:rPr>
          <w:spacing w:val="-9"/>
          <w:sz w:val="18"/>
          <w:szCs w:val="18"/>
          <w:lang w:val="es-ES_tradnl"/>
        </w:rPr>
        <w:t>jur</w:t>
      </w:r>
      <w:r>
        <w:rPr>
          <w:rFonts w:cs="Times New Roman"/>
          <w:spacing w:val="-9"/>
          <w:sz w:val="18"/>
          <w:szCs w:val="18"/>
          <w:lang w:val="es-ES_tradnl"/>
        </w:rPr>
        <w:t>í</w:t>
      </w:r>
      <w:r>
        <w:rPr>
          <w:spacing w:val="-9"/>
          <w:sz w:val="18"/>
          <w:szCs w:val="18"/>
          <w:lang w:val="es-ES_tradnl"/>
        </w:rPr>
        <w:t xml:space="preserve">dica de ese instrumento ya que al no ser pormenorizado, </w:t>
      </w:r>
      <w:r>
        <w:rPr>
          <w:spacing w:val="-7"/>
          <w:sz w:val="18"/>
          <w:szCs w:val="18"/>
          <w:lang w:val="es-ES_tradnl"/>
        </w:rPr>
        <w:t xml:space="preserve">no contiene el requisito esencial de la </w:t>
      </w:r>
      <w:r>
        <w:rPr>
          <w:rFonts w:cs="Times New Roman"/>
          <w:spacing w:val="-7"/>
          <w:sz w:val="18"/>
          <w:szCs w:val="18"/>
          <w:lang w:val="es-ES_tradnl"/>
        </w:rPr>
        <w:t>ú</w:t>
      </w:r>
      <w:r>
        <w:rPr>
          <w:spacing w:val="-7"/>
          <w:sz w:val="18"/>
          <w:szCs w:val="18"/>
          <w:lang w:val="es-ES_tradnl"/>
        </w:rPr>
        <w:t>ltima remuneraci</w:t>
      </w:r>
      <w:r>
        <w:rPr>
          <w:rFonts w:cs="Times New Roman"/>
          <w:spacing w:val="-7"/>
          <w:sz w:val="18"/>
          <w:szCs w:val="18"/>
          <w:lang w:val="es-ES_tradnl"/>
        </w:rPr>
        <w:t>ó</w:t>
      </w:r>
      <w:r>
        <w:rPr>
          <w:spacing w:val="-7"/>
          <w:sz w:val="18"/>
          <w:szCs w:val="18"/>
          <w:lang w:val="es-ES_tradnl"/>
        </w:rPr>
        <w:t xml:space="preserve">n </w:t>
      </w:r>
      <w:r>
        <w:rPr>
          <w:sz w:val="18"/>
          <w:szCs w:val="18"/>
          <w:lang w:val="es-ES_tradnl"/>
        </w:rPr>
        <w:t>mensual percibida.</w:t>
      </w:r>
    </w:p>
    <w:p w14:paraId="4F67B106" w14:textId="77777777" w:rsidR="00591D54" w:rsidRDefault="00591D54">
      <w:pPr>
        <w:shd w:val="clear" w:color="auto" w:fill="FFFFFF"/>
        <w:spacing w:before="182" w:line="202" w:lineRule="exact"/>
        <w:jc w:val="both"/>
      </w:pPr>
      <w:r>
        <w:rPr>
          <w:spacing w:val="-7"/>
          <w:sz w:val="18"/>
          <w:szCs w:val="18"/>
          <w:lang w:val="es-ES_tradnl"/>
        </w:rPr>
        <w:t>Asimismo, expresa que labor</w:t>
      </w:r>
      <w:r>
        <w:rPr>
          <w:rFonts w:cs="Times New Roman"/>
          <w:spacing w:val="-7"/>
          <w:sz w:val="18"/>
          <w:szCs w:val="18"/>
          <w:lang w:val="es-ES_tradnl"/>
        </w:rPr>
        <w:t>ó</w:t>
      </w:r>
      <w:r>
        <w:rPr>
          <w:spacing w:val="-7"/>
          <w:sz w:val="18"/>
          <w:szCs w:val="18"/>
          <w:lang w:val="es-ES_tradnl"/>
        </w:rPr>
        <w:t xml:space="preserve"> m</w:t>
      </w:r>
      <w:r>
        <w:rPr>
          <w:rFonts w:cs="Times New Roman"/>
          <w:spacing w:val="-7"/>
          <w:sz w:val="18"/>
          <w:szCs w:val="18"/>
          <w:lang w:val="es-ES_tradnl"/>
        </w:rPr>
        <w:t>á</w:t>
      </w:r>
      <w:r>
        <w:rPr>
          <w:spacing w:val="-7"/>
          <w:sz w:val="18"/>
          <w:szCs w:val="18"/>
          <w:lang w:val="es-ES_tradnl"/>
        </w:rPr>
        <w:t>s de 20 a</w:t>
      </w:r>
      <w:r>
        <w:rPr>
          <w:rFonts w:cs="Times New Roman"/>
          <w:spacing w:val="-7"/>
          <w:sz w:val="18"/>
          <w:szCs w:val="18"/>
          <w:lang w:val="es-ES_tradnl"/>
        </w:rPr>
        <w:t>ñ</w:t>
      </w:r>
      <w:r>
        <w:rPr>
          <w:spacing w:val="-7"/>
          <w:sz w:val="18"/>
          <w:szCs w:val="18"/>
          <w:lang w:val="es-ES_tradnl"/>
        </w:rPr>
        <w:t xml:space="preserve">os para la </w:t>
      </w:r>
      <w:r>
        <w:rPr>
          <w:spacing w:val="-5"/>
          <w:sz w:val="18"/>
          <w:szCs w:val="18"/>
          <w:lang w:val="es-ES_tradnl"/>
        </w:rPr>
        <w:t>empresa accionada y al ser despedida, de conformidad con el art</w:t>
      </w:r>
      <w:r>
        <w:rPr>
          <w:rFonts w:cs="Times New Roman"/>
          <w:spacing w:val="-5"/>
          <w:sz w:val="18"/>
          <w:szCs w:val="18"/>
          <w:lang w:val="es-ES_tradnl"/>
        </w:rPr>
        <w:t>í</w:t>
      </w:r>
      <w:r>
        <w:rPr>
          <w:spacing w:val="-5"/>
          <w:sz w:val="18"/>
          <w:szCs w:val="18"/>
          <w:lang w:val="es-ES_tradnl"/>
        </w:rPr>
        <w:t>culo 188 del C</w:t>
      </w:r>
      <w:r>
        <w:rPr>
          <w:rFonts w:cs="Times New Roman"/>
          <w:spacing w:val="-5"/>
          <w:sz w:val="18"/>
          <w:szCs w:val="18"/>
          <w:lang w:val="es-ES_tradnl"/>
        </w:rPr>
        <w:t>ó</w:t>
      </w:r>
      <w:r>
        <w:rPr>
          <w:spacing w:val="-5"/>
          <w:sz w:val="18"/>
          <w:szCs w:val="18"/>
          <w:lang w:val="es-ES_tradnl"/>
        </w:rPr>
        <w:t>digo del Trabajo tambi</w:t>
      </w:r>
      <w:r>
        <w:rPr>
          <w:rFonts w:cs="Times New Roman"/>
          <w:spacing w:val="-5"/>
          <w:sz w:val="18"/>
          <w:szCs w:val="18"/>
          <w:lang w:val="es-ES_tradnl"/>
        </w:rPr>
        <w:t>é</w:t>
      </w:r>
      <w:r>
        <w:rPr>
          <w:spacing w:val="-5"/>
          <w:sz w:val="18"/>
          <w:szCs w:val="18"/>
          <w:lang w:val="es-ES_tradnl"/>
        </w:rPr>
        <w:t>n ten</w:t>
      </w:r>
      <w:r>
        <w:rPr>
          <w:rFonts w:cs="Times New Roman"/>
          <w:spacing w:val="-5"/>
          <w:sz w:val="18"/>
          <w:szCs w:val="18"/>
          <w:lang w:val="es-ES_tradnl"/>
        </w:rPr>
        <w:t>í</w:t>
      </w:r>
      <w:r>
        <w:rPr>
          <w:spacing w:val="-5"/>
          <w:sz w:val="18"/>
          <w:szCs w:val="18"/>
          <w:lang w:val="es-ES_tradnl"/>
        </w:rPr>
        <w:t xml:space="preserve">a </w:t>
      </w:r>
      <w:r>
        <w:rPr>
          <w:spacing w:val="-6"/>
          <w:sz w:val="18"/>
          <w:szCs w:val="18"/>
          <w:lang w:val="es-ES_tradnl"/>
        </w:rPr>
        <w:t>derecho a la jubilaci</w:t>
      </w:r>
      <w:r>
        <w:rPr>
          <w:rFonts w:cs="Times New Roman"/>
          <w:spacing w:val="-6"/>
          <w:sz w:val="18"/>
          <w:szCs w:val="18"/>
          <w:lang w:val="es-ES_tradnl"/>
        </w:rPr>
        <w:t>ó</w:t>
      </w:r>
      <w:r>
        <w:rPr>
          <w:spacing w:val="-6"/>
          <w:sz w:val="18"/>
          <w:szCs w:val="18"/>
          <w:lang w:val="es-ES_tradnl"/>
        </w:rPr>
        <w:t>n patronal proporcional.</w:t>
      </w:r>
    </w:p>
    <w:p w14:paraId="4F67B107" w14:textId="77777777" w:rsidR="00591D54" w:rsidRDefault="00591D54">
      <w:pPr>
        <w:shd w:val="clear" w:color="auto" w:fill="FFFFFF"/>
        <w:spacing w:before="182" w:line="202" w:lineRule="exact"/>
        <w:ind w:right="5"/>
        <w:jc w:val="both"/>
      </w:pPr>
      <w:r>
        <w:rPr>
          <w:spacing w:val="-8"/>
          <w:sz w:val="18"/>
          <w:szCs w:val="18"/>
          <w:lang w:val="es-ES_tradnl"/>
        </w:rPr>
        <w:t>Indica que existe afectaci</w:t>
      </w:r>
      <w:r>
        <w:rPr>
          <w:rFonts w:cs="Times New Roman"/>
          <w:spacing w:val="-8"/>
          <w:sz w:val="18"/>
          <w:szCs w:val="18"/>
          <w:lang w:val="es-ES_tradnl"/>
        </w:rPr>
        <w:t>ó</w:t>
      </w:r>
      <w:r>
        <w:rPr>
          <w:spacing w:val="-8"/>
          <w:sz w:val="18"/>
          <w:szCs w:val="18"/>
          <w:lang w:val="es-ES_tradnl"/>
        </w:rPr>
        <w:t xml:space="preserve">n a su proyecto de vida, derecho </w:t>
      </w:r>
      <w:r>
        <w:rPr>
          <w:spacing w:val="-6"/>
          <w:sz w:val="18"/>
          <w:szCs w:val="18"/>
          <w:lang w:val="es-ES_tradnl"/>
        </w:rPr>
        <w:t xml:space="preserve">al buen vivir, ya que existen necesidades primarias que </w:t>
      </w:r>
      <w:r>
        <w:rPr>
          <w:spacing w:val="-10"/>
          <w:sz w:val="18"/>
          <w:szCs w:val="18"/>
          <w:lang w:val="es-ES_tradnl"/>
        </w:rPr>
        <w:t>satisfacer que son b</w:t>
      </w:r>
      <w:r>
        <w:rPr>
          <w:rFonts w:cs="Times New Roman"/>
          <w:spacing w:val="-10"/>
          <w:sz w:val="18"/>
          <w:szCs w:val="18"/>
          <w:lang w:val="es-ES_tradnl"/>
        </w:rPr>
        <w:t>á</w:t>
      </w:r>
      <w:r>
        <w:rPr>
          <w:spacing w:val="-10"/>
          <w:sz w:val="18"/>
          <w:szCs w:val="18"/>
          <w:lang w:val="es-ES_tradnl"/>
        </w:rPr>
        <w:t xml:space="preserve">sicas y vitales que a su vez, vinculan el </w:t>
      </w:r>
      <w:r>
        <w:rPr>
          <w:sz w:val="18"/>
          <w:szCs w:val="18"/>
          <w:lang w:val="es-ES_tradnl"/>
        </w:rPr>
        <w:t>aspecto humano con el econ</w:t>
      </w:r>
      <w:r>
        <w:rPr>
          <w:rFonts w:cs="Times New Roman"/>
          <w:sz w:val="18"/>
          <w:szCs w:val="18"/>
          <w:lang w:val="es-ES_tradnl"/>
        </w:rPr>
        <w:t>ó</w:t>
      </w:r>
      <w:r>
        <w:rPr>
          <w:sz w:val="18"/>
          <w:szCs w:val="18"/>
          <w:lang w:val="es-ES_tradnl"/>
        </w:rPr>
        <w:t>mico.</w:t>
      </w:r>
    </w:p>
    <w:p w14:paraId="4F67B108" w14:textId="77777777" w:rsidR="00591D54" w:rsidRDefault="00591D54">
      <w:pPr>
        <w:shd w:val="clear" w:color="auto" w:fill="FFFFFF"/>
        <w:spacing w:before="182" w:line="202" w:lineRule="exact"/>
        <w:ind w:right="5"/>
        <w:jc w:val="both"/>
      </w:pPr>
      <w:r>
        <w:rPr>
          <w:spacing w:val="-10"/>
          <w:sz w:val="18"/>
          <w:szCs w:val="18"/>
          <w:lang w:val="es-ES_tradnl"/>
        </w:rPr>
        <w:t>Finalmente, expresa que la sentencia de casaci</w:t>
      </w:r>
      <w:r>
        <w:rPr>
          <w:rFonts w:cs="Times New Roman"/>
          <w:spacing w:val="-10"/>
          <w:sz w:val="18"/>
          <w:szCs w:val="18"/>
          <w:lang w:val="es-ES_tradnl"/>
        </w:rPr>
        <w:t>ó</w:t>
      </w:r>
      <w:r>
        <w:rPr>
          <w:spacing w:val="-10"/>
          <w:sz w:val="18"/>
          <w:szCs w:val="18"/>
          <w:lang w:val="es-ES_tradnl"/>
        </w:rPr>
        <w:t xml:space="preserve">n vulnera el </w:t>
      </w:r>
      <w:r>
        <w:rPr>
          <w:spacing w:val="-8"/>
          <w:sz w:val="18"/>
          <w:szCs w:val="18"/>
          <w:lang w:val="es-ES_tradnl"/>
        </w:rPr>
        <w:t>derecho a la igualdad formal y material, y no discriminaci</w:t>
      </w:r>
      <w:r>
        <w:rPr>
          <w:rFonts w:cs="Times New Roman"/>
          <w:spacing w:val="-8"/>
          <w:sz w:val="18"/>
          <w:szCs w:val="18"/>
          <w:lang w:val="es-ES_tradnl"/>
        </w:rPr>
        <w:t>ó</w:t>
      </w:r>
      <w:r>
        <w:rPr>
          <w:spacing w:val="-8"/>
          <w:sz w:val="18"/>
          <w:szCs w:val="18"/>
          <w:lang w:val="es-ES_tradnl"/>
        </w:rPr>
        <w:t xml:space="preserve">n </w:t>
      </w:r>
      <w:r>
        <w:rPr>
          <w:spacing w:val="-3"/>
          <w:sz w:val="18"/>
          <w:szCs w:val="18"/>
          <w:lang w:val="es-ES_tradnl"/>
        </w:rPr>
        <w:t>previsto en el art</w:t>
      </w:r>
      <w:r>
        <w:rPr>
          <w:rFonts w:cs="Times New Roman"/>
          <w:spacing w:val="-3"/>
          <w:sz w:val="18"/>
          <w:szCs w:val="18"/>
          <w:lang w:val="es-ES_tradnl"/>
        </w:rPr>
        <w:t>í</w:t>
      </w:r>
      <w:r>
        <w:rPr>
          <w:spacing w:val="-3"/>
          <w:sz w:val="18"/>
          <w:szCs w:val="18"/>
          <w:lang w:val="es-ES_tradnl"/>
        </w:rPr>
        <w:t>culo 66 numeral 4 de la Constituci</w:t>
      </w:r>
      <w:r>
        <w:rPr>
          <w:rFonts w:cs="Times New Roman"/>
          <w:spacing w:val="-3"/>
          <w:sz w:val="18"/>
          <w:szCs w:val="18"/>
          <w:lang w:val="es-ES_tradnl"/>
        </w:rPr>
        <w:t>ó</w:t>
      </w:r>
      <w:r>
        <w:rPr>
          <w:spacing w:val="-3"/>
          <w:sz w:val="18"/>
          <w:szCs w:val="18"/>
          <w:lang w:val="es-ES_tradnl"/>
        </w:rPr>
        <w:t xml:space="preserve">n, </w:t>
      </w:r>
      <w:r>
        <w:rPr>
          <w:spacing w:val="-4"/>
          <w:sz w:val="18"/>
          <w:szCs w:val="18"/>
          <w:lang w:val="es-ES_tradnl"/>
        </w:rPr>
        <w:t xml:space="preserve">por haber rechazado su demanda que aspiraba percibir </w:t>
      </w:r>
      <w:r>
        <w:rPr>
          <w:spacing w:val="-7"/>
          <w:sz w:val="18"/>
          <w:szCs w:val="18"/>
          <w:lang w:val="es-ES_tradnl"/>
        </w:rPr>
        <w:t>la pensi</w:t>
      </w:r>
      <w:r>
        <w:rPr>
          <w:rFonts w:cs="Times New Roman"/>
          <w:spacing w:val="-7"/>
          <w:sz w:val="18"/>
          <w:szCs w:val="18"/>
          <w:lang w:val="es-ES_tradnl"/>
        </w:rPr>
        <w:t>ó</w:t>
      </w:r>
      <w:r>
        <w:rPr>
          <w:spacing w:val="-7"/>
          <w:sz w:val="18"/>
          <w:szCs w:val="18"/>
          <w:lang w:val="es-ES_tradnl"/>
        </w:rPr>
        <w:t>n patronal y las indemnizaciones por el despido intempestivo; pues, a otros ciudadanos, s</w:t>
      </w:r>
      <w:r>
        <w:rPr>
          <w:rFonts w:cs="Times New Roman"/>
          <w:spacing w:val="-7"/>
          <w:sz w:val="18"/>
          <w:szCs w:val="18"/>
          <w:lang w:val="es-ES_tradnl"/>
        </w:rPr>
        <w:t>í</w:t>
      </w:r>
      <w:r>
        <w:rPr>
          <w:spacing w:val="-7"/>
          <w:sz w:val="18"/>
          <w:szCs w:val="18"/>
          <w:lang w:val="es-ES_tradnl"/>
        </w:rPr>
        <w:t xml:space="preserve"> se les ordena </w:t>
      </w:r>
      <w:r>
        <w:rPr>
          <w:spacing w:val="-6"/>
          <w:sz w:val="18"/>
          <w:szCs w:val="18"/>
          <w:lang w:val="es-ES_tradnl"/>
        </w:rPr>
        <w:t>pagar derechos en atenci</w:t>
      </w:r>
      <w:r>
        <w:rPr>
          <w:rFonts w:cs="Times New Roman"/>
          <w:spacing w:val="-6"/>
          <w:sz w:val="18"/>
          <w:szCs w:val="18"/>
          <w:lang w:val="es-ES_tradnl"/>
        </w:rPr>
        <w:t>ó</w:t>
      </w:r>
      <w:r>
        <w:rPr>
          <w:spacing w:val="-6"/>
          <w:sz w:val="18"/>
          <w:szCs w:val="18"/>
          <w:lang w:val="es-ES_tradnl"/>
        </w:rPr>
        <w:t>n al art</w:t>
      </w:r>
      <w:r>
        <w:rPr>
          <w:rFonts w:cs="Times New Roman"/>
          <w:spacing w:val="-6"/>
          <w:sz w:val="18"/>
          <w:szCs w:val="18"/>
          <w:lang w:val="es-ES_tradnl"/>
        </w:rPr>
        <w:t>í</w:t>
      </w:r>
      <w:r>
        <w:rPr>
          <w:spacing w:val="-6"/>
          <w:sz w:val="18"/>
          <w:szCs w:val="18"/>
          <w:lang w:val="es-ES_tradnl"/>
        </w:rPr>
        <w:t>culo 581 del C</w:t>
      </w:r>
      <w:r>
        <w:rPr>
          <w:rFonts w:cs="Times New Roman"/>
          <w:spacing w:val="-6"/>
          <w:sz w:val="18"/>
          <w:szCs w:val="18"/>
          <w:lang w:val="es-ES_tradnl"/>
        </w:rPr>
        <w:t>ó</w:t>
      </w:r>
      <w:r>
        <w:rPr>
          <w:spacing w:val="-6"/>
          <w:sz w:val="18"/>
          <w:szCs w:val="18"/>
          <w:lang w:val="es-ES_tradnl"/>
        </w:rPr>
        <w:t xml:space="preserve">digo </w:t>
      </w:r>
      <w:r>
        <w:rPr>
          <w:sz w:val="18"/>
          <w:szCs w:val="18"/>
          <w:lang w:val="es-ES_tradnl"/>
        </w:rPr>
        <w:t>Laboral, y no as</w:t>
      </w:r>
      <w:r>
        <w:rPr>
          <w:rFonts w:cs="Times New Roman"/>
          <w:sz w:val="18"/>
          <w:szCs w:val="18"/>
          <w:lang w:val="es-ES_tradnl"/>
        </w:rPr>
        <w:t>í</w:t>
      </w:r>
      <w:r>
        <w:rPr>
          <w:sz w:val="18"/>
          <w:szCs w:val="18"/>
          <w:lang w:val="es-ES_tradnl"/>
        </w:rPr>
        <w:t xml:space="preserve"> a ella.</w:t>
      </w:r>
    </w:p>
    <w:p w14:paraId="4F67B109" w14:textId="77777777" w:rsidR="00591D54" w:rsidRDefault="00591D54">
      <w:pPr>
        <w:shd w:val="clear" w:color="auto" w:fill="FFFFFF"/>
        <w:spacing w:before="182" w:line="206" w:lineRule="exact"/>
        <w:ind w:right="5"/>
        <w:jc w:val="both"/>
      </w:pPr>
      <w:r>
        <w:rPr>
          <w:b/>
          <w:bCs/>
          <w:spacing w:val="-9"/>
          <w:sz w:val="18"/>
          <w:szCs w:val="18"/>
          <w:lang w:val="es-ES_tradnl"/>
        </w:rPr>
        <w:t xml:space="preserve">Derechos constitucionales presuntamente vulnerados </w:t>
      </w:r>
      <w:r>
        <w:rPr>
          <w:b/>
          <w:bCs/>
          <w:sz w:val="18"/>
          <w:szCs w:val="18"/>
          <w:lang w:val="es-ES_tradnl"/>
        </w:rPr>
        <w:t>por la sentencia impugnada</w:t>
      </w:r>
    </w:p>
    <w:p w14:paraId="4F67B10A" w14:textId="77777777" w:rsidR="00591D54" w:rsidRDefault="00591D54">
      <w:pPr>
        <w:shd w:val="clear" w:color="auto" w:fill="FFFFFF"/>
        <w:spacing w:before="182" w:line="202" w:lineRule="exact"/>
        <w:jc w:val="both"/>
      </w:pPr>
      <w:r>
        <w:rPr>
          <w:spacing w:val="-4"/>
          <w:sz w:val="18"/>
          <w:szCs w:val="18"/>
          <w:lang w:val="es-ES_tradnl"/>
        </w:rPr>
        <w:t>A criterio de la accionante, a trav</w:t>
      </w:r>
      <w:r>
        <w:rPr>
          <w:rFonts w:cs="Times New Roman"/>
          <w:spacing w:val="-4"/>
          <w:sz w:val="18"/>
          <w:szCs w:val="18"/>
          <w:lang w:val="es-ES_tradnl"/>
        </w:rPr>
        <w:t>é</w:t>
      </w:r>
      <w:r>
        <w:rPr>
          <w:spacing w:val="-4"/>
          <w:sz w:val="18"/>
          <w:szCs w:val="18"/>
          <w:lang w:val="es-ES_tradnl"/>
        </w:rPr>
        <w:t xml:space="preserve">s de la sentencia </w:t>
      </w:r>
      <w:r>
        <w:rPr>
          <w:spacing w:val="-9"/>
          <w:sz w:val="18"/>
          <w:szCs w:val="18"/>
          <w:lang w:val="es-ES_tradnl"/>
        </w:rPr>
        <w:t xml:space="preserve">impugnada, supuestamente, han vulnerado los derechos </w:t>
      </w:r>
      <w:r>
        <w:rPr>
          <w:spacing w:val="-10"/>
          <w:sz w:val="18"/>
          <w:szCs w:val="18"/>
          <w:lang w:val="es-ES_tradnl"/>
        </w:rPr>
        <w:t>reconocidos en los art</w:t>
      </w:r>
      <w:r>
        <w:rPr>
          <w:rFonts w:cs="Times New Roman"/>
          <w:spacing w:val="-10"/>
          <w:sz w:val="18"/>
          <w:szCs w:val="18"/>
          <w:lang w:val="es-ES_tradnl"/>
        </w:rPr>
        <w:t>í</w:t>
      </w:r>
      <w:r>
        <w:rPr>
          <w:spacing w:val="-10"/>
          <w:sz w:val="18"/>
          <w:szCs w:val="18"/>
          <w:lang w:val="es-ES_tradnl"/>
        </w:rPr>
        <w:t>culos 11 numeral 3 (aplicaci</w:t>
      </w:r>
      <w:r>
        <w:rPr>
          <w:rFonts w:cs="Times New Roman"/>
          <w:spacing w:val="-10"/>
          <w:sz w:val="18"/>
          <w:szCs w:val="18"/>
          <w:lang w:val="es-ES_tradnl"/>
        </w:rPr>
        <w:t>ó</w:t>
      </w:r>
      <w:r>
        <w:rPr>
          <w:spacing w:val="-10"/>
          <w:sz w:val="18"/>
          <w:szCs w:val="18"/>
          <w:lang w:val="es-ES_tradnl"/>
        </w:rPr>
        <w:t xml:space="preserve">n directa </w:t>
      </w:r>
      <w:r>
        <w:rPr>
          <w:spacing w:val="-6"/>
          <w:sz w:val="18"/>
          <w:szCs w:val="18"/>
          <w:lang w:val="es-ES_tradnl"/>
        </w:rPr>
        <w:t>de la Constituci</w:t>
      </w:r>
      <w:r>
        <w:rPr>
          <w:rFonts w:cs="Times New Roman"/>
          <w:spacing w:val="-6"/>
          <w:sz w:val="18"/>
          <w:szCs w:val="18"/>
          <w:lang w:val="es-ES_tradnl"/>
        </w:rPr>
        <w:t>ó</w:t>
      </w:r>
      <w:r>
        <w:rPr>
          <w:spacing w:val="-6"/>
          <w:sz w:val="18"/>
          <w:szCs w:val="18"/>
          <w:lang w:val="es-ES_tradnl"/>
        </w:rPr>
        <w:t>n); numeral 4 (no restricci</w:t>
      </w:r>
      <w:r>
        <w:rPr>
          <w:rFonts w:cs="Times New Roman"/>
          <w:spacing w:val="-6"/>
          <w:sz w:val="18"/>
          <w:szCs w:val="18"/>
          <w:lang w:val="es-ES_tradnl"/>
        </w:rPr>
        <w:t>ó</w:t>
      </w:r>
      <w:r>
        <w:rPr>
          <w:spacing w:val="-6"/>
          <w:sz w:val="18"/>
          <w:szCs w:val="18"/>
          <w:lang w:val="es-ES_tradnl"/>
        </w:rPr>
        <w:t>n de derechos y garant</w:t>
      </w:r>
      <w:r>
        <w:rPr>
          <w:rFonts w:cs="Times New Roman"/>
          <w:spacing w:val="-6"/>
          <w:sz w:val="18"/>
          <w:szCs w:val="18"/>
          <w:lang w:val="es-ES_tradnl"/>
        </w:rPr>
        <w:t>í</w:t>
      </w:r>
      <w:r>
        <w:rPr>
          <w:spacing w:val="-6"/>
          <w:sz w:val="18"/>
          <w:szCs w:val="18"/>
          <w:lang w:val="es-ES_tradnl"/>
        </w:rPr>
        <w:t>as constitucionales); numeral 5 (aplicaci</w:t>
      </w:r>
      <w:r>
        <w:rPr>
          <w:rFonts w:cs="Times New Roman"/>
          <w:spacing w:val="-6"/>
          <w:sz w:val="18"/>
          <w:szCs w:val="18"/>
          <w:lang w:val="es-ES_tradnl"/>
        </w:rPr>
        <w:t>ó</w:t>
      </w:r>
      <w:r>
        <w:rPr>
          <w:spacing w:val="-6"/>
          <w:sz w:val="18"/>
          <w:szCs w:val="18"/>
          <w:lang w:val="es-ES_tradnl"/>
        </w:rPr>
        <w:t xml:space="preserve">n e </w:t>
      </w:r>
      <w:r>
        <w:rPr>
          <w:spacing w:val="-5"/>
          <w:sz w:val="18"/>
          <w:szCs w:val="18"/>
          <w:lang w:val="es-ES_tradnl"/>
        </w:rPr>
        <w:t>interpretaci</w:t>
      </w:r>
      <w:r>
        <w:rPr>
          <w:rFonts w:cs="Times New Roman"/>
          <w:spacing w:val="-5"/>
          <w:sz w:val="18"/>
          <w:szCs w:val="18"/>
          <w:lang w:val="es-ES_tradnl"/>
        </w:rPr>
        <w:t>ó</w:t>
      </w:r>
      <w:r>
        <w:rPr>
          <w:spacing w:val="-5"/>
          <w:sz w:val="18"/>
          <w:szCs w:val="18"/>
          <w:lang w:val="es-ES_tradnl"/>
        </w:rPr>
        <w:t xml:space="preserve">n favorable); numeral 8 (no regresividad de </w:t>
      </w:r>
      <w:r>
        <w:rPr>
          <w:spacing w:val="-6"/>
          <w:sz w:val="18"/>
          <w:szCs w:val="18"/>
          <w:lang w:val="es-ES_tradnl"/>
        </w:rPr>
        <w:t>derechos); art</w:t>
      </w:r>
      <w:r>
        <w:rPr>
          <w:rFonts w:cs="Times New Roman"/>
          <w:spacing w:val="-6"/>
          <w:sz w:val="18"/>
          <w:szCs w:val="18"/>
          <w:lang w:val="es-ES_tradnl"/>
        </w:rPr>
        <w:t>í</w:t>
      </w:r>
      <w:r>
        <w:rPr>
          <w:spacing w:val="-6"/>
          <w:sz w:val="18"/>
          <w:szCs w:val="18"/>
          <w:lang w:val="es-ES_tradnl"/>
        </w:rPr>
        <w:t xml:space="preserve">culo 66 numeral 26 (derecho a la libertad); </w:t>
      </w:r>
      <w:r>
        <w:rPr>
          <w:spacing w:val="-7"/>
          <w:sz w:val="18"/>
          <w:szCs w:val="18"/>
          <w:lang w:val="es-ES_tradnl"/>
        </w:rPr>
        <w:t>art</w:t>
      </w:r>
      <w:r>
        <w:rPr>
          <w:rFonts w:cs="Times New Roman"/>
          <w:spacing w:val="-7"/>
          <w:sz w:val="18"/>
          <w:szCs w:val="18"/>
          <w:lang w:val="es-ES_tradnl"/>
        </w:rPr>
        <w:t>í</w:t>
      </w:r>
      <w:r>
        <w:rPr>
          <w:spacing w:val="-7"/>
          <w:sz w:val="18"/>
          <w:szCs w:val="18"/>
          <w:lang w:val="es-ES_tradnl"/>
        </w:rPr>
        <w:t>culo 75 (tutela efectiva); art</w:t>
      </w:r>
      <w:r>
        <w:rPr>
          <w:rFonts w:cs="Times New Roman"/>
          <w:spacing w:val="-7"/>
          <w:sz w:val="18"/>
          <w:szCs w:val="18"/>
          <w:lang w:val="es-ES_tradnl"/>
        </w:rPr>
        <w:t>í</w:t>
      </w:r>
      <w:r>
        <w:rPr>
          <w:spacing w:val="-7"/>
          <w:sz w:val="18"/>
          <w:szCs w:val="18"/>
          <w:lang w:val="es-ES_tradnl"/>
        </w:rPr>
        <w:t>culo 76 numeral 1 (garant</w:t>
      </w:r>
      <w:r>
        <w:rPr>
          <w:rFonts w:cs="Times New Roman"/>
          <w:spacing w:val="-7"/>
          <w:sz w:val="18"/>
          <w:szCs w:val="18"/>
          <w:lang w:val="es-ES_tradnl"/>
        </w:rPr>
        <w:t>í</w:t>
      </w:r>
      <w:r>
        <w:rPr>
          <w:spacing w:val="-7"/>
          <w:sz w:val="18"/>
          <w:szCs w:val="18"/>
          <w:lang w:val="es-ES_tradnl"/>
        </w:rPr>
        <w:t xml:space="preserve">a </w:t>
      </w:r>
      <w:r>
        <w:rPr>
          <w:spacing w:val="-5"/>
          <w:sz w:val="18"/>
          <w:szCs w:val="18"/>
          <w:lang w:val="es-ES_tradnl"/>
        </w:rPr>
        <w:t xml:space="preserve">del cumplimiento de las normas); numeral 7 literales </w:t>
      </w:r>
      <w:r>
        <w:rPr>
          <w:b/>
          <w:bCs/>
          <w:spacing w:val="-5"/>
          <w:sz w:val="18"/>
          <w:szCs w:val="18"/>
          <w:lang w:val="es-ES_tradnl"/>
        </w:rPr>
        <w:t>a</w:t>
      </w:r>
      <w:r>
        <w:rPr>
          <w:spacing w:val="-5"/>
          <w:sz w:val="18"/>
          <w:szCs w:val="18"/>
          <w:lang w:val="es-ES_tradnl"/>
        </w:rPr>
        <w:t xml:space="preserve">, </w:t>
      </w:r>
      <w:r>
        <w:rPr>
          <w:b/>
          <w:bCs/>
          <w:spacing w:val="-5"/>
          <w:sz w:val="18"/>
          <w:szCs w:val="18"/>
          <w:lang w:val="es-ES_tradnl"/>
        </w:rPr>
        <w:t>b</w:t>
      </w:r>
      <w:r>
        <w:rPr>
          <w:spacing w:val="-5"/>
          <w:sz w:val="18"/>
          <w:szCs w:val="18"/>
          <w:lang w:val="es-ES_tradnl"/>
        </w:rPr>
        <w:t xml:space="preserve">, </w:t>
      </w:r>
      <w:r>
        <w:rPr>
          <w:b/>
          <w:bCs/>
          <w:spacing w:val="-5"/>
          <w:sz w:val="18"/>
          <w:szCs w:val="18"/>
          <w:lang w:val="es-ES_tradnl"/>
        </w:rPr>
        <w:t>c</w:t>
      </w:r>
      <w:r>
        <w:rPr>
          <w:spacing w:val="-5"/>
          <w:sz w:val="18"/>
          <w:szCs w:val="18"/>
          <w:lang w:val="es-ES_tradnl"/>
        </w:rPr>
        <w:t xml:space="preserve">, </w:t>
      </w:r>
      <w:r>
        <w:rPr>
          <w:b/>
          <w:bCs/>
          <w:spacing w:val="-5"/>
          <w:sz w:val="18"/>
          <w:szCs w:val="18"/>
          <w:lang w:val="es-ES_tradnl"/>
        </w:rPr>
        <w:t>g</w:t>
      </w:r>
      <w:r>
        <w:rPr>
          <w:spacing w:val="-5"/>
          <w:sz w:val="18"/>
          <w:szCs w:val="18"/>
          <w:lang w:val="es-ES_tradnl"/>
        </w:rPr>
        <w:t xml:space="preserve">, </w:t>
      </w:r>
      <w:r>
        <w:rPr>
          <w:b/>
          <w:bCs/>
          <w:spacing w:val="-5"/>
          <w:sz w:val="18"/>
          <w:szCs w:val="18"/>
          <w:lang w:val="es-ES_tradnl"/>
        </w:rPr>
        <w:t xml:space="preserve">l </w:t>
      </w:r>
      <w:r>
        <w:rPr>
          <w:spacing w:val="-5"/>
          <w:sz w:val="18"/>
          <w:szCs w:val="18"/>
          <w:lang w:val="es-ES_tradnl"/>
        </w:rPr>
        <w:t>(derecho a la defensa y motivaci</w:t>
      </w:r>
      <w:r>
        <w:rPr>
          <w:rFonts w:cs="Times New Roman"/>
          <w:spacing w:val="-5"/>
          <w:sz w:val="18"/>
          <w:szCs w:val="18"/>
          <w:lang w:val="es-ES_tradnl"/>
        </w:rPr>
        <w:t>ó</w:t>
      </w:r>
      <w:r>
        <w:rPr>
          <w:spacing w:val="-5"/>
          <w:sz w:val="18"/>
          <w:szCs w:val="18"/>
          <w:lang w:val="es-ES_tradnl"/>
        </w:rPr>
        <w:t>n); art</w:t>
      </w:r>
      <w:r>
        <w:rPr>
          <w:rFonts w:cs="Times New Roman"/>
          <w:spacing w:val="-5"/>
          <w:sz w:val="18"/>
          <w:szCs w:val="18"/>
          <w:lang w:val="es-ES_tradnl"/>
        </w:rPr>
        <w:t>í</w:t>
      </w:r>
      <w:r>
        <w:rPr>
          <w:spacing w:val="-5"/>
          <w:sz w:val="18"/>
          <w:szCs w:val="18"/>
          <w:lang w:val="es-ES_tradnl"/>
        </w:rPr>
        <w:t xml:space="preserve">culo 172 </w:t>
      </w:r>
      <w:r>
        <w:rPr>
          <w:spacing w:val="-2"/>
          <w:sz w:val="18"/>
          <w:szCs w:val="18"/>
          <w:lang w:val="es-ES_tradnl"/>
        </w:rPr>
        <w:t>(derecho a la debida diligencia); art</w:t>
      </w:r>
      <w:r>
        <w:rPr>
          <w:rFonts w:cs="Times New Roman"/>
          <w:spacing w:val="-2"/>
          <w:sz w:val="18"/>
          <w:szCs w:val="18"/>
          <w:lang w:val="es-ES_tradnl"/>
        </w:rPr>
        <w:t>í</w:t>
      </w:r>
      <w:r>
        <w:rPr>
          <w:spacing w:val="-2"/>
          <w:sz w:val="18"/>
          <w:szCs w:val="18"/>
          <w:lang w:val="es-ES_tradnl"/>
        </w:rPr>
        <w:t xml:space="preserve">culo 417 (principio </w:t>
      </w:r>
      <w:r>
        <w:rPr>
          <w:spacing w:val="-5"/>
          <w:sz w:val="18"/>
          <w:szCs w:val="18"/>
          <w:lang w:val="es-ES_tradnl"/>
        </w:rPr>
        <w:t>pro ser humano); art</w:t>
      </w:r>
      <w:r>
        <w:rPr>
          <w:rFonts w:cs="Times New Roman"/>
          <w:spacing w:val="-5"/>
          <w:sz w:val="18"/>
          <w:szCs w:val="18"/>
          <w:lang w:val="es-ES_tradnl"/>
        </w:rPr>
        <w:t>í</w:t>
      </w:r>
      <w:r>
        <w:rPr>
          <w:spacing w:val="-5"/>
          <w:sz w:val="18"/>
          <w:szCs w:val="18"/>
          <w:lang w:val="es-ES_tradnl"/>
        </w:rPr>
        <w:t>culo 424 (jerarqu</w:t>
      </w:r>
      <w:r>
        <w:rPr>
          <w:rFonts w:cs="Times New Roman"/>
          <w:spacing w:val="-5"/>
          <w:sz w:val="18"/>
          <w:szCs w:val="18"/>
          <w:lang w:val="es-ES_tradnl"/>
        </w:rPr>
        <w:t>í</w:t>
      </w:r>
      <w:r>
        <w:rPr>
          <w:spacing w:val="-5"/>
          <w:sz w:val="18"/>
          <w:szCs w:val="18"/>
          <w:lang w:val="es-ES_tradnl"/>
        </w:rPr>
        <w:t>a y prevalencia de la Constituci</w:t>
      </w:r>
      <w:r>
        <w:rPr>
          <w:rFonts w:cs="Times New Roman"/>
          <w:spacing w:val="-5"/>
          <w:sz w:val="18"/>
          <w:szCs w:val="18"/>
          <w:lang w:val="es-ES_tradnl"/>
        </w:rPr>
        <w:t>ó</w:t>
      </w:r>
      <w:r>
        <w:rPr>
          <w:spacing w:val="-5"/>
          <w:sz w:val="18"/>
          <w:szCs w:val="18"/>
          <w:lang w:val="es-ES_tradnl"/>
        </w:rPr>
        <w:t>n) 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 xml:space="preserve">blica del </w:t>
      </w:r>
      <w:r>
        <w:rPr>
          <w:sz w:val="18"/>
          <w:szCs w:val="18"/>
          <w:lang w:val="es-ES_tradnl"/>
        </w:rPr>
        <w:t>Ecuador.</w:t>
      </w:r>
    </w:p>
    <w:p w14:paraId="4F67B10B" w14:textId="77777777" w:rsidR="00591D54" w:rsidRDefault="00591D54">
      <w:pPr>
        <w:shd w:val="clear" w:color="auto" w:fill="FFFFFF"/>
        <w:spacing w:before="178"/>
      </w:pPr>
      <w:r>
        <w:rPr>
          <w:b/>
          <w:bCs/>
          <w:spacing w:val="-11"/>
          <w:sz w:val="18"/>
          <w:szCs w:val="18"/>
          <w:lang w:val="es-ES_tradnl"/>
        </w:rPr>
        <w:t>Pretensi</w:t>
      </w:r>
      <w:r>
        <w:rPr>
          <w:rFonts w:cs="Times New Roman"/>
          <w:b/>
          <w:bCs/>
          <w:spacing w:val="-11"/>
          <w:sz w:val="18"/>
          <w:szCs w:val="18"/>
          <w:lang w:val="es-ES_tradnl"/>
        </w:rPr>
        <w:t>ó</w:t>
      </w:r>
      <w:r>
        <w:rPr>
          <w:b/>
          <w:bCs/>
          <w:spacing w:val="-11"/>
          <w:sz w:val="18"/>
          <w:szCs w:val="18"/>
          <w:lang w:val="es-ES_tradnl"/>
        </w:rPr>
        <w:t>n</w:t>
      </w:r>
    </w:p>
    <w:p w14:paraId="4F67B10C" w14:textId="77777777" w:rsidR="00591D54" w:rsidRDefault="00591D54">
      <w:pPr>
        <w:shd w:val="clear" w:color="auto" w:fill="FFFFFF"/>
        <w:spacing w:before="182" w:line="202" w:lineRule="exact"/>
        <w:ind w:right="5"/>
        <w:jc w:val="both"/>
      </w:pPr>
      <w:r>
        <w:rPr>
          <w:spacing w:val="-11"/>
          <w:sz w:val="18"/>
          <w:szCs w:val="18"/>
          <w:lang w:val="es-ES_tradnl"/>
        </w:rPr>
        <w:t xml:space="preserve">Con estos antecedentes y fundamentos, la accionante solicita </w:t>
      </w:r>
      <w:r>
        <w:rPr>
          <w:spacing w:val="-8"/>
          <w:sz w:val="18"/>
          <w:szCs w:val="18"/>
          <w:lang w:val="es-ES_tradnl"/>
        </w:rPr>
        <w:t xml:space="preserve">a la Corte Constitucional que en sentencia, declare que se </w:t>
      </w:r>
      <w:r>
        <w:rPr>
          <w:spacing w:val="-10"/>
          <w:sz w:val="18"/>
          <w:szCs w:val="18"/>
          <w:lang w:val="es-ES_tradnl"/>
        </w:rPr>
        <w:t>han vulnerado los derechos constitucionales se</w:t>
      </w:r>
      <w:r>
        <w:rPr>
          <w:rFonts w:cs="Times New Roman"/>
          <w:spacing w:val="-10"/>
          <w:sz w:val="18"/>
          <w:szCs w:val="18"/>
          <w:lang w:val="es-ES_tradnl"/>
        </w:rPr>
        <w:t>ñ</w:t>
      </w:r>
      <w:r>
        <w:rPr>
          <w:spacing w:val="-10"/>
          <w:sz w:val="18"/>
          <w:szCs w:val="18"/>
          <w:lang w:val="es-ES_tradnl"/>
        </w:rPr>
        <w:t xml:space="preserve">alados en el </w:t>
      </w:r>
      <w:r>
        <w:rPr>
          <w:spacing w:val="-7"/>
          <w:sz w:val="18"/>
          <w:szCs w:val="18"/>
          <w:lang w:val="es-ES_tradnl"/>
        </w:rPr>
        <w:t>ac</w:t>
      </w:r>
      <w:r>
        <w:rPr>
          <w:rFonts w:cs="Times New Roman"/>
          <w:spacing w:val="-7"/>
          <w:sz w:val="18"/>
          <w:szCs w:val="18"/>
          <w:lang w:val="es-ES_tradnl"/>
        </w:rPr>
        <w:t>á</w:t>
      </w:r>
      <w:r>
        <w:rPr>
          <w:spacing w:val="-7"/>
          <w:sz w:val="18"/>
          <w:szCs w:val="18"/>
          <w:lang w:val="es-ES_tradnl"/>
        </w:rPr>
        <w:t>pite anterior, que ordene la reparaci</w:t>
      </w:r>
      <w:r>
        <w:rPr>
          <w:rFonts w:cs="Times New Roman"/>
          <w:spacing w:val="-7"/>
          <w:sz w:val="18"/>
          <w:szCs w:val="18"/>
          <w:lang w:val="es-ES_tradnl"/>
        </w:rPr>
        <w:t>ó</w:t>
      </w:r>
      <w:r>
        <w:rPr>
          <w:spacing w:val="-7"/>
          <w:sz w:val="18"/>
          <w:szCs w:val="18"/>
          <w:lang w:val="es-ES_tradnl"/>
        </w:rPr>
        <w:t>n integral, material e inmaterial del da</w:t>
      </w:r>
      <w:r>
        <w:rPr>
          <w:rFonts w:cs="Times New Roman"/>
          <w:spacing w:val="-7"/>
          <w:sz w:val="18"/>
          <w:szCs w:val="18"/>
          <w:lang w:val="es-ES_tradnl"/>
        </w:rPr>
        <w:t>ñ</w:t>
      </w:r>
      <w:r>
        <w:rPr>
          <w:spacing w:val="-7"/>
          <w:sz w:val="18"/>
          <w:szCs w:val="18"/>
          <w:lang w:val="es-ES_tradnl"/>
        </w:rPr>
        <w:t xml:space="preserve">o causado y que se deje sin efecto la </w:t>
      </w:r>
      <w:r>
        <w:rPr>
          <w:sz w:val="18"/>
          <w:szCs w:val="18"/>
          <w:lang w:val="es-ES_tradnl"/>
        </w:rPr>
        <w:t>sentencia recurrida.</w:t>
      </w:r>
    </w:p>
    <w:p w14:paraId="4F67B10D" w14:textId="77777777" w:rsidR="00591D54" w:rsidRDefault="00591D54">
      <w:pPr>
        <w:shd w:val="clear" w:color="auto" w:fill="FFFFFF"/>
        <w:spacing w:before="178"/>
      </w:pPr>
      <w:r>
        <w:rPr>
          <w:b/>
          <w:bCs/>
          <w:spacing w:val="-10"/>
          <w:sz w:val="18"/>
          <w:szCs w:val="18"/>
          <w:lang w:val="es-ES_tradnl"/>
        </w:rPr>
        <w:t>Contestaci</w:t>
      </w:r>
      <w:r>
        <w:rPr>
          <w:rFonts w:cs="Times New Roman"/>
          <w:b/>
          <w:bCs/>
          <w:spacing w:val="-10"/>
          <w:sz w:val="18"/>
          <w:szCs w:val="18"/>
          <w:lang w:val="es-ES_tradnl"/>
        </w:rPr>
        <w:t>ó</w:t>
      </w:r>
      <w:r>
        <w:rPr>
          <w:b/>
          <w:bCs/>
          <w:spacing w:val="-10"/>
          <w:sz w:val="18"/>
          <w:szCs w:val="18"/>
          <w:lang w:val="es-ES_tradnl"/>
        </w:rPr>
        <w:t>n a la demanda</w:t>
      </w:r>
    </w:p>
    <w:p w14:paraId="4F67B10E" w14:textId="77777777" w:rsidR="00591D54" w:rsidRDefault="00591D54">
      <w:pPr>
        <w:shd w:val="clear" w:color="auto" w:fill="FFFFFF"/>
        <w:spacing w:before="182"/>
      </w:pPr>
      <w:r>
        <w:rPr>
          <w:b/>
          <w:bCs/>
          <w:spacing w:val="-10"/>
          <w:sz w:val="18"/>
          <w:szCs w:val="18"/>
          <w:lang w:val="es-ES_tradnl"/>
        </w:rPr>
        <w:t>Comparecencia de las partes</w:t>
      </w:r>
    </w:p>
    <w:p w14:paraId="4F67B10F" w14:textId="77777777" w:rsidR="00591D54" w:rsidRDefault="00591D54">
      <w:pPr>
        <w:shd w:val="clear" w:color="auto" w:fill="FFFFFF"/>
        <w:spacing w:before="178" w:line="202" w:lineRule="exact"/>
        <w:ind w:right="5"/>
        <w:jc w:val="both"/>
      </w:pPr>
      <w:r>
        <w:rPr>
          <w:b/>
          <w:bCs/>
          <w:spacing w:val="-5"/>
          <w:sz w:val="18"/>
          <w:szCs w:val="18"/>
          <w:lang w:val="es-ES_tradnl"/>
        </w:rPr>
        <w:t xml:space="preserve">Jueces de la Sala Laboral de la Corte Nacional de </w:t>
      </w:r>
      <w:r>
        <w:rPr>
          <w:b/>
          <w:bCs/>
          <w:sz w:val="18"/>
          <w:szCs w:val="18"/>
          <w:lang w:val="es-ES_tradnl"/>
        </w:rPr>
        <w:t>Justicia</w:t>
      </w:r>
    </w:p>
    <w:p w14:paraId="4F67B110" w14:textId="77777777" w:rsidR="00591D54" w:rsidRDefault="00591D54">
      <w:pPr>
        <w:shd w:val="clear" w:color="auto" w:fill="FFFFFF"/>
        <w:spacing w:before="182" w:line="202" w:lineRule="exact"/>
        <w:ind w:right="5"/>
        <w:jc w:val="both"/>
      </w:pPr>
      <w:r>
        <w:rPr>
          <w:spacing w:val="-6"/>
          <w:sz w:val="18"/>
          <w:szCs w:val="18"/>
          <w:lang w:val="es-ES_tradnl"/>
        </w:rPr>
        <w:t xml:space="preserve">De fojas 32 a 35 del expediente constitucional consta el </w:t>
      </w:r>
      <w:r>
        <w:rPr>
          <w:spacing w:val="-3"/>
          <w:sz w:val="18"/>
          <w:szCs w:val="18"/>
          <w:lang w:val="es-ES_tradnl"/>
        </w:rPr>
        <w:t>informe remitido por el juez ponente que en lo principal,</w:t>
      </w:r>
    </w:p>
    <w:p w14:paraId="4F67B111" w14:textId="77777777" w:rsidR="00591D54" w:rsidRDefault="00591D54">
      <w:pPr>
        <w:shd w:val="clear" w:color="auto" w:fill="FFFFFF"/>
        <w:spacing w:line="216" w:lineRule="exact"/>
        <w:ind w:right="5"/>
        <w:jc w:val="both"/>
      </w:pPr>
      <w:r>
        <w:br w:type="column"/>
      </w:r>
      <w:r>
        <w:rPr>
          <w:spacing w:val="-9"/>
          <w:sz w:val="18"/>
          <w:szCs w:val="18"/>
          <w:lang w:val="es-ES_tradnl"/>
        </w:rPr>
        <w:t xml:space="preserve">expresa que el proceso es el medio por el cual los </w:t>
      </w:r>
      <w:r>
        <w:rPr>
          <w:rFonts w:cs="Times New Roman"/>
          <w:spacing w:val="-9"/>
          <w:sz w:val="18"/>
          <w:szCs w:val="18"/>
          <w:lang w:val="es-ES_tradnl"/>
        </w:rPr>
        <w:t>ó</w:t>
      </w:r>
      <w:r>
        <w:rPr>
          <w:spacing w:val="-9"/>
          <w:sz w:val="18"/>
          <w:szCs w:val="18"/>
          <w:lang w:val="es-ES_tradnl"/>
        </w:rPr>
        <w:t xml:space="preserve">rganos </w:t>
      </w:r>
      <w:r>
        <w:rPr>
          <w:spacing w:val="-3"/>
          <w:sz w:val="18"/>
          <w:szCs w:val="18"/>
          <w:lang w:val="es-ES_tradnl"/>
        </w:rPr>
        <w:t>jurisdiccionales ejercen la jurisdicci</w:t>
      </w:r>
      <w:r>
        <w:rPr>
          <w:rFonts w:cs="Times New Roman"/>
          <w:spacing w:val="-3"/>
          <w:sz w:val="18"/>
          <w:szCs w:val="18"/>
          <w:lang w:val="es-ES_tradnl"/>
        </w:rPr>
        <w:t>ó</w:t>
      </w:r>
      <w:r>
        <w:rPr>
          <w:spacing w:val="-3"/>
          <w:sz w:val="18"/>
          <w:szCs w:val="18"/>
          <w:lang w:val="es-ES_tradnl"/>
        </w:rPr>
        <w:t xml:space="preserve">n para resolver y </w:t>
      </w:r>
      <w:r>
        <w:rPr>
          <w:spacing w:val="-8"/>
          <w:sz w:val="18"/>
          <w:szCs w:val="18"/>
          <w:lang w:val="es-ES_tradnl"/>
        </w:rPr>
        <w:t>decidir los confl ictos jur</w:t>
      </w:r>
      <w:r>
        <w:rPr>
          <w:rFonts w:cs="Times New Roman"/>
          <w:spacing w:val="-8"/>
          <w:sz w:val="18"/>
          <w:szCs w:val="18"/>
          <w:lang w:val="es-ES_tradnl"/>
        </w:rPr>
        <w:t>í</w:t>
      </w:r>
      <w:r>
        <w:rPr>
          <w:spacing w:val="-8"/>
          <w:sz w:val="18"/>
          <w:szCs w:val="18"/>
          <w:lang w:val="es-ES_tradnl"/>
        </w:rPr>
        <w:t xml:space="preserve">dicos y por tanto, las pretensiones, </w:t>
      </w:r>
      <w:r>
        <w:rPr>
          <w:spacing w:val="-7"/>
          <w:sz w:val="18"/>
          <w:szCs w:val="18"/>
          <w:lang w:val="es-ES_tradnl"/>
        </w:rPr>
        <w:t xml:space="preserve">materia de la </w:t>
      </w:r>
      <w:r>
        <w:rPr>
          <w:i/>
          <w:iCs/>
          <w:spacing w:val="-7"/>
          <w:sz w:val="18"/>
          <w:szCs w:val="18"/>
          <w:lang w:val="es-ES_tradnl"/>
        </w:rPr>
        <w:t>litis</w:t>
      </w:r>
      <w:r>
        <w:rPr>
          <w:spacing w:val="-7"/>
          <w:sz w:val="18"/>
          <w:szCs w:val="18"/>
          <w:lang w:val="es-ES_tradnl"/>
        </w:rPr>
        <w:t xml:space="preserve">; en este sentido, se explica entre otros la conexidad del proceso y el marco regulatorio de aquel con </w:t>
      </w:r>
      <w:r>
        <w:rPr>
          <w:spacing w:val="-6"/>
          <w:sz w:val="18"/>
          <w:szCs w:val="18"/>
          <w:lang w:val="es-ES_tradnl"/>
        </w:rPr>
        <w:t>los principios constantes en los art</w:t>
      </w:r>
      <w:r>
        <w:rPr>
          <w:rFonts w:cs="Times New Roman"/>
          <w:spacing w:val="-6"/>
          <w:sz w:val="18"/>
          <w:szCs w:val="18"/>
          <w:lang w:val="es-ES_tradnl"/>
        </w:rPr>
        <w:t>í</w:t>
      </w:r>
      <w:r>
        <w:rPr>
          <w:spacing w:val="-6"/>
          <w:sz w:val="18"/>
          <w:szCs w:val="18"/>
          <w:lang w:val="es-ES_tradnl"/>
        </w:rPr>
        <w:t xml:space="preserve">culos 75, 76, 167, 168, </w:t>
      </w:r>
      <w:r>
        <w:rPr>
          <w:spacing w:val="-7"/>
          <w:sz w:val="18"/>
          <w:szCs w:val="18"/>
          <w:lang w:val="es-ES_tradnl"/>
        </w:rPr>
        <w:t>169, 172, 417, 424, 425 de la Constituci</w:t>
      </w:r>
      <w:r>
        <w:rPr>
          <w:rFonts w:cs="Times New Roman"/>
          <w:spacing w:val="-7"/>
          <w:sz w:val="18"/>
          <w:szCs w:val="18"/>
          <w:lang w:val="es-ES_tradnl"/>
        </w:rPr>
        <w:t>ó</w:t>
      </w:r>
      <w:r>
        <w:rPr>
          <w:spacing w:val="-7"/>
          <w:sz w:val="18"/>
          <w:szCs w:val="18"/>
          <w:lang w:val="es-ES_tradnl"/>
        </w:rPr>
        <w:t>n.</w:t>
      </w:r>
    </w:p>
    <w:p w14:paraId="4F67B112" w14:textId="77777777" w:rsidR="00591D54" w:rsidRDefault="00591D54">
      <w:pPr>
        <w:shd w:val="clear" w:color="auto" w:fill="FFFFFF"/>
        <w:spacing w:before="197" w:line="216" w:lineRule="exact"/>
        <w:jc w:val="both"/>
      </w:pPr>
      <w:r>
        <w:rPr>
          <w:spacing w:val="-6"/>
          <w:sz w:val="18"/>
          <w:szCs w:val="18"/>
          <w:lang w:val="es-ES_tradnl"/>
        </w:rPr>
        <w:t>Manifiesta que en relaci</w:t>
      </w:r>
      <w:r>
        <w:rPr>
          <w:rFonts w:cs="Times New Roman"/>
          <w:spacing w:val="-6"/>
          <w:sz w:val="18"/>
          <w:szCs w:val="18"/>
          <w:lang w:val="es-ES_tradnl"/>
        </w:rPr>
        <w:t>ó</w:t>
      </w:r>
      <w:r>
        <w:rPr>
          <w:spacing w:val="-6"/>
          <w:sz w:val="18"/>
          <w:szCs w:val="18"/>
          <w:lang w:val="es-ES_tradnl"/>
        </w:rPr>
        <w:t>n a la acusaci</w:t>
      </w:r>
      <w:r>
        <w:rPr>
          <w:rFonts w:cs="Times New Roman"/>
          <w:spacing w:val="-6"/>
          <w:sz w:val="18"/>
          <w:szCs w:val="18"/>
          <w:lang w:val="es-ES_tradnl"/>
        </w:rPr>
        <w:t>ó</w:t>
      </w:r>
      <w:r>
        <w:rPr>
          <w:spacing w:val="-6"/>
          <w:sz w:val="18"/>
          <w:szCs w:val="18"/>
          <w:lang w:val="es-ES_tradnl"/>
        </w:rPr>
        <w:t>n de no haber realizado el an</w:t>
      </w:r>
      <w:r>
        <w:rPr>
          <w:rFonts w:cs="Times New Roman"/>
          <w:spacing w:val="-6"/>
          <w:sz w:val="18"/>
          <w:szCs w:val="18"/>
          <w:lang w:val="es-ES_tradnl"/>
        </w:rPr>
        <w:t>á</w:t>
      </w:r>
      <w:r>
        <w:rPr>
          <w:spacing w:val="-6"/>
          <w:sz w:val="18"/>
          <w:szCs w:val="18"/>
          <w:lang w:val="es-ES_tradnl"/>
        </w:rPr>
        <w:t>lisis y valoraci</w:t>
      </w:r>
      <w:r>
        <w:rPr>
          <w:rFonts w:cs="Times New Roman"/>
          <w:spacing w:val="-6"/>
          <w:sz w:val="18"/>
          <w:szCs w:val="18"/>
          <w:lang w:val="es-ES_tradnl"/>
        </w:rPr>
        <w:t>ó</w:t>
      </w:r>
      <w:r>
        <w:rPr>
          <w:spacing w:val="-6"/>
          <w:sz w:val="18"/>
          <w:szCs w:val="18"/>
          <w:lang w:val="es-ES_tradnl"/>
        </w:rPr>
        <w:t>n de la confesi</w:t>
      </w:r>
      <w:r>
        <w:rPr>
          <w:rFonts w:cs="Times New Roman"/>
          <w:spacing w:val="-6"/>
          <w:sz w:val="18"/>
          <w:szCs w:val="18"/>
          <w:lang w:val="es-ES_tradnl"/>
        </w:rPr>
        <w:t>ó</w:t>
      </w:r>
      <w:r>
        <w:rPr>
          <w:spacing w:val="-6"/>
          <w:sz w:val="18"/>
          <w:szCs w:val="18"/>
          <w:lang w:val="es-ES_tradnl"/>
        </w:rPr>
        <w:t xml:space="preserve">n ficta del </w:t>
      </w:r>
      <w:r>
        <w:rPr>
          <w:spacing w:val="-9"/>
          <w:sz w:val="18"/>
          <w:szCs w:val="18"/>
          <w:lang w:val="es-ES_tradnl"/>
        </w:rPr>
        <w:t xml:space="preserve">demandado en la sentencia, en el considerando referido, se </w:t>
      </w:r>
      <w:r>
        <w:rPr>
          <w:spacing w:val="-8"/>
          <w:sz w:val="18"/>
          <w:szCs w:val="18"/>
          <w:lang w:val="es-ES_tradnl"/>
        </w:rPr>
        <w:t>explica la naturaleza jur</w:t>
      </w:r>
      <w:r>
        <w:rPr>
          <w:rFonts w:cs="Times New Roman"/>
          <w:spacing w:val="-8"/>
          <w:sz w:val="18"/>
          <w:szCs w:val="18"/>
          <w:lang w:val="es-ES_tradnl"/>
        </w:rPr>
        <w:t>í</w:t>
      </w:r>
      <w:r>
        <w:rPr>
          <w:spacing w:val="-8"/>
          <w:sz w:val="18"/>
          <w:szCs w:val="18"/>
          <w:lang w:val="es-ES_tradnl"/>
        </w:rPr>
        <w:t>dica de la confesi</w:t>
      </w:r>
      <w:r>
        <w:rPr>
          <w:rFonts w:cs="Times New Roman"/>
          <w:spacing w:val="-8"/>
          <w:sz w:val="18"/>
          <w:szCs w:val="18"/>
          <w:lang w:val="es-ES_tradnl"/>
        </w:rPr>
        <w:t>ó</w:t>
      </w:r>
      <w:r>
        <w:rPr>
          <w:spacing w:val="-8"/>
          <w:sz w:val="18"/>
          <w:szCs w:val="18"/>
          <w:lang w:val="es-ES_tradnl"/>
        </w:rPr>
        <w:t xml:space="preserve">n judicial y como </w:t>
      </w:r>
      <w:r>
        <w:rPr>
          <w:spacing w:val="-10"/>
          <w:sz w:val="18"/>
          <w:szCs w:val="18"/>
          <w:lang w:val="es-ES_tradnl"/>
        </w:rPr>
        <w:t xml:space="preserve">debe entenderse la declaratoria de confeso al amparo de los </w:t>
      </w:r>
      <w:r>
        <w:rPr>
          <w:spacing w:val="-7"/>
          <w:sz w:val="18"/>
          <w:szCs w:val="18"/>
          <w:lang w:val="es-ES_tradnl"/>
        </w:rPr>
        <w:t>art</w:t>
      </w:r>
      <w:r>
        <w:rPr>
          <w:rFonts w:cs="Times New Roman"/>
          <w:spacing w:val="-7"/>
          <w:sz w:val="18"/>
          <w:szCs w:val="18"/>
          <w:lang w:val="es-ES_tradnl"/>
        </w:rPr>
        <w:t>í</w:t>
      </w:r>
      <w:r>
        <w:rPr>
          <w:spacing w:val="-7"/>
          <w:sz w:val="18"/>
          <w:szCs w:val="18"/>
          <w:lang w:val="es-ES_tradnl"/>
        </w:rPr>
        <w:t>culos 122, 131 del C</w:t>
      </w:r>
      <w:r>
        <w:rPr>
          <w:rFonts w:cs="Times New Roman"/>
          <w:spacing w:val="-7"/>
          <w:sz w:val="18"/>
          <w:szCs w:val="18"/>
          <w:lang w:val="es-ES_tradnl"/>
        </w:rPr>
        <w:t>ó</w:t>
      </w:r>
      <w:r>
        <w:rPr>
          <w:spacing w:val="-7"/>
          <w:sz w:val="18"/>
          <w:szCs w:val="18"/>
          <w:lang w:val="es-ES_tradnl"/>
        </w:rPr>
        <w:t xml:space="preserve">digo de Procedimiento Civil y 581 </w:t>
      </w:r>
      <w:r>
        <w:rPr>
          <w:spacing w:val="-5"/>
          <w:sz w:val="18"/>
          <w:szCs w:val="18"/>
          <w:lang w:val="es-ES_tradnl"/>
        </w:rPr>
        <w:t>del C</w:t>
      </w:r>
      <w:r>
        <w:rPr>
          <w:rFonts w:cs="Times New Roman"/>
          <w:spacing w:val="-5"/>
          <w:sz w:val="18"/>
          <w:szCs w:val="18"/>
          <w:lang w:val="es-ES_tradnl"/>
        </w:rPr>
        <w:t>ó</w:t>
      </w:r>
      <w:r>
        <w:rPr>
          <w:spacing w:val="-5"/>
          <w:sz w:val="18"/>
          <w:szCs w:val="18"/>
          <w:lang w:val="es-ES_tradnl"/>
        </w:rPr>
        <w:t xml:space="preserve">digo del Trabajo, para concluir que: </w:t>
      </w:r>
      <w:r>
        <w:rPr>
          <w:rFonts w:cs="Times New Roman"/>
          <w:spacing w:val="-5"/>
          <w:sz w:val="18"/>
          <w:szCs w:val="18"/>
          <w:lang w:val="es-ES_tradnl"/>
        </w:rPr>
        <w:t>“</w:t>
      </w:r>
      <w:r>
        <w:rPr>
          <w:spacing w:val="-5"/>
          <w:sz w:val="18"/>
          <w:szCs w:val="18"/>
          <w:lang w:val="es-ES_tradnl"/>
        </w:rPr>
        <w:t>de la revisi</w:t>
      </w:r>
      <w:r>
        <w:rPr>
          <w:rFonts w:cs="Times New Roman"/>
          <w:spacing w:val="-5"/>
          <w:sz w:val="18"/>
          <w:szCs w:val="18"/>
          <w:lang w:val="es-ES_tradnl"/>
        </w:rPr>
        <w:t>ó</w:t>
      </w:r>
      <w:r>
        <w:rPr>
          <w:spacing w:val="-5"/>
          <w:sz w:val="18"/>
          <w:szCs w:val="18"/>
          <w:lang w:val="es-ES_tradnl"/>
        </w:rPr>
        <w:t xml:space="preserve">n </w:t>
      </w:r>
      <w:r>
        <w:rPr>
          <w:spacing w:val="-3"/>
          <w:sz w:val="18"/>
          <w:szCs w:val="18"/>
          <w:lang w:val="es-ES_tradnl"/>
        </w:rPr>
        <w:t xml:space="preserve">realizada por este tribunal, del proceso para verificar si </w:t>
      </w:r>
      <w:r>
        <w:rPr>
          <w:spacing w:val="-5"/>
          <w:sz w:val="18"/>
          <w:szCs w:val="18"/>
          <w:lang w:val="es-ES_tradnl"/>
        </w:rPr>
        <w:t>el juzgador plural, no ha valorado la confesi</w:t>
      </w:r>
      <w:r>
        <w:rPr>
          <w:rFonts w:cs="Times New Roman"/>
          <w:spacing w:val="-5"/>
          <w:sz w:val="18"/>
          <w:szCs w:val="18"/>
          <w:lang w:val="es-ES_tradnl"/>
        </w:rPr>
        <w:t>ó</w:t>
      </w:r>
      <w:r>
        <w:rPr>
          <w:spacing w:val="-5"/>
          <w:sz w:val="18"/>
          <w:szCs w:val="18"/>
          <w:lang w:val="es-ES_tradnl"/>
        </w:rPr>
        <w:t xml:space="preserve">n ficta del </w:t>
      </w:r>
      <w:r>
        <w:rPr>
          <w:spacing w:val="-7"/>
          <w:sz w:val="18"/>
          <w:szCs w:val="18"/>
          <w:lang w:val="es-ES_tradnl"/>
        </w:rPr>
        <w:t>demandado Alexander Sonnenholzner, como afirma la casacionista, en su pretensi</w:t>
      </w:r>
      <w:r>
        <w:rPr>
          <w:rFonts w:cs="Times New Roman"/>
          <w:spacing w:val="-7"/>
          <w:sz w:val="18"/>
          <w:szCs w:val="18"/>
          <w:lang w:val="es-ES_tradnl"/>
        </w:rPr>
        <w:t>ó</w:t>
      </w:r>
      <w:r>
        <w:rPr>
          <w:spacing w:val="-7"/>
          <w:sz w:val="18"/>
          <w:szCs w:val="18"/>
          <w:lang w:val="es-ES_tradnl"/>
        </w:rPr>
        <w:t xml:space="preserve">n de probar la existencia del </w:t>
      </w:r>
      <w:r>
        <w:rPr>
          <w:spacing w:val="-10"/>
          <w:sz w:val="18"/>
          <w:szCs w:val="18"/>
          <w:lang w:val="es-ES_tradnl"/>
        </w:rPr>
        <w:t xml:space="preserve">despido intempestivo del que afirma haber sido objeto en su </w:t>
      </w:r>
      <w:r>
        <w:rPr>
          <w:spacing w:val="-9"/>
          <w:sz w:val="18"/>
          <w:szCs w:val="18"/>
          <w:lang w:val="es-ES_tradnl"/>
        </w:rPr>
        <w:t xml:space="preserve">libelo de demanda, encuentra que las preguntas contenidas en el pliego de posiciones de fojas 83 y 83 vta., se refiere a </w:t>
      </w:r>
      <w:r>
        <w:rPr>
          <w:spacing w:val="-8"/>
          <w:sz w:val="18"/>
          <w:szCs w:val="18"/>
          <w:lang w:val="es-ES_tradnl"/>
        </w:rPr>
        <w:t xml:space="preserve">un despido atribuido a una persona diferente al confesante, </w:t>
      </w:r>
      <w:r>
        <w:rPr>
          <w:spacing w:val="-7"/>
          <w:sz w:val="18"/>
          <w:szCs w:val="18"/>
          <w:lang w:val="es-ES_tradnl"/>
        </w:rPr>
        <w:t xml:space="preserve">es decir a un acto atribuido a una tercera persona que en </w:t>
      </w:r>
      <w:r>
        <w:rPr>
          <w:spacing w:val="-10"/>
          <w:sz w:val="18"/>
          <w:szCs w:val="18"/>
          <w:lang w:val="es-ES_tradnl"/>
        </w:rPr>
        <w:t xml:space="preserve">nada aportan al esclarecimiento del hecho que desea probar </w:t>
      </w:r>
      <w:r>
        <w:rPr>
          <w:spacing w:val="-8"/>
          <w:sz w:val="18"/>
          <w:szCs w:val="18"/>
          <w:lang w:val="es-ES_tradnl"/>
        </w:rPr>
        <w:t>la actora y a la final, desnaturaliza el objeto de la confesi</w:t>
      </w:r>
      <w:r>
        <w:rPr>
          <w:rFonts w:cs="Times New Roman"/>
          <w:spacing w:val="-8"/>
          <w:sz w:val="18"/>
          <w:szCs w:val="18"/>
          <w:lang w:val="es-ES_tradnl"/>
        </w:rPr>
        <w:t>ó</w:t>
      </w:r>
      <w:r>
        <w:rPr>
          <w:spacing w:val="-8"/>
          <w:sz w:val="18"/>
          <w:szCs w:val="18"/>
          <w:lang w:val="es-ES_tradnl"/>
        </w:rPr>
        <w:t xml:space="preserve">n </w:t>
      </w:r>
      <w:r>
        <w:rPr>
          <w:spacing w:val="-6"/>
          <w:sz w:val="18"/>
          <w:szCs w:val="18"/>
          <w:lang w:val="es-ES_tradnl"/>
        </w:rPr>
        <w:t xml:space="preserve">y hace que </w:t>
      </w:r>
      <w:r>
        <w:rPr>
          <w:rFonts w:cs="Times New Roman"/>
          <w:spacing w:val="-6"/>
          <w:sz w:val="18"/>
          <w:szCs w:val="18"/>
          <w:lang w:val="es-ES_tradnl"/>
        </w:rPr>
        <w:t>é</w:t>
      </w:r>
      <w:r>
        <w:rPr>
          <w:spacing w:val="-6"/>
          <w:sz w:val="18"/>
          <w:szCs w:val="18"/>
          <w:lang w:val="es-ES_tradnl"/>
        </w:rPr>
        <w:t>sta pierda valor jur</w:t>
      </w:r>
      <w:r>
        <w:rPr>
          <w:rFonts w:cs="Times New Roman"/>
          <w:spacing w:val="-6"/>
          <w:sz w:val="18"/>
          <w:szCs w:val="18"/>
          <w:lang w:val="es-ES_tradnl"/>
        </w:rPr>
        <w:t>í</w:t>
      </w:r>
      <w:r>
        <w:rPr>
          <w:spacing w:val="-6"/>
          <w:sz w:val="18"/>
          <w:szCs w:val="18"/>
          <w:lang w:val="es-ES_tradnl"/>
        </w:rPr>
        <w:t xml:space="preserve">dico, como bien lo ha </w:t>
      </w:r>
      <w:r>
        <w:rPr>
          <w:spacing w:val="-2"/>
          <w:sz w:val="18"/>
          <w:szCs w:val="18"/>
          <w:lang w:val="es-ES_tradnl"/>
        </w:rPr>
        <w:t>determinado el juzgador plural</w:t>
      </w:r>
      <w:r>
        <w:rPr>
          <w:rFonts w:cs="Times New Roman"/>
          <w:spacing w:val="-2"/>
          <w:sz w:val="18"/>
          <w:szCs w:val="18"/>
          <w:lang w:val="es-ES_tradnl"/>
        </w:rPr>
        <w:t>”</w:t>
      </w:r>
      <w:r>
        <w:rPr>
          <w:spacing w:val="-2"/>
          <w:sz w:val="18"/>
          <w:szCs w:val="18"/>
          <w:lang w:val="es-ES_tradnl"/>
        </w:rPr>
        <w:t>. Asimismo, se explic</w:t>
      </w:r>
      <w:r>
        <w:rPr>
          <w:rFonts w:cs="Times New Roman"/>
          <w:spacing w:val="-2"/>
          <w:sz w:val="18"/>
          <w:szCs w:val="18"/>
          <w:lang w:val="es-ES_tradnl"/>
        </w:rPr>
        <w:t xml:space="preserve">ó </w:t>
      </w:r>
      <w:r>
        <w:rPr>
          <w:spacing w:val="-7"/>
          <w:sz w:val="18"/>
          <w:szCs w:val="18"/>
          <w:lang w:val="es-ES_tradnl"/>
        </w:rPr>
        <w:t>que seg</w:t>
      </w:r>
      <w:r>
        <w:rPr>
          <w:rFonts w:cs="Times New Roman"/>
          <w:spacing w:val="-7"/>
          <w:sz w:val="18"/>
          <w:szCs w:val="18"/>
          <w:lang w:val="es-ES_tradnl"/>
        </w:rPr>
        <w:t>ú</w:t>
      </w:r>
      <w:r>
        <w:rPr>
          <w:spacing w:val="-7"/>
          <w:sz w:val="18"/>
          <w:szCs w:val="18"/>
          <w:lang w:val="es-ES_tradnl"/>
        </w:rPr>
        <w:t>n lo dispuesto en el art</w:t>
      </w:r>
      <w:r>
        <w:rPr>
          <w:rFonts w:cs="Times New Roman"/>
          <w:spacing w:val="-7"/>
          <w:sz w:val="18"/>
          <w:szCs w:val="18"/>
          <w:lang w:val="es-ES_tradnl"/>
        </w:rPr>
        <w:t>í</w:t>
      </w:r>
      <w:r>
        <w:rPr>
          <w:spacing w:val="-7"/>
          <w:sz w:val="18"/>
          <w:szCs w:val="18"/>
          <w:lang w:val="es-ES_tradnl"/>
        </w:rPr>
        <w:t xml:space="preserve">culo 216 quienes pueden </w:t>
      </w:r>
      <w:r>
        <w:rPr>
          <w:spacing w:val="-3"/>
          <w:sz w:val="18"/>
          <w:szCs w:val="18"/>
          <w:lang w:val="es-ES_tradnl"/>
        </w:rPr>
        <w:t>acceder a la jubilaci</w:t>
      </w:r>
      <w:r>
        <w:rPr>
          <w:rFonts w:cs="Times New Roman"/>
          <w:spacing w:val="-3"/>
          <w:sz w:val="18"/>
          <w:szCs w:val="18"/>
          <w:lang w:val="es-ES_tradnl"/>
        </w:rPr>
        <w:t>ó</w:t>
      </w:r>
      <w:r>
        <w:rPr>
          <w:spacing w:val="-3"/>
          <w:sz w:val="18"/>
          <w:szCs w:val="18"/>
          <w:lang w:val="es-ES_tradnl"/>
        </w:rPr>
        <w:t xml:space="preserve">n patronal deben haber laborado </w:t>
      </w:r>
      <w:r>
        <w:rPr>
          <w:spacing w:val="-7"/>
          <w:sz w:val="18"/>
          <w:szCs w:val="18"/>
          <w:lang w:val="es-ES_tradnl"/>
        </w:rPr>
        <w:t xml:space="preserve">para un mismo empleador por un lapso que no puede ser </w:t>
      </w:r>
      <w:r>
        <w:rPr>
          <w:spacing w:val="-5"/>
          <w:sz w:val="18"/>
          <w:szCs w:val="18"/>
          <w:lang w:val="es-ES_tradnl"/>
        </w:rPr>
        <w:t>menor de 25 a</w:t>
      </w:r>
      <w:r>
        <w:rPr>
          <w:rFonts w:cs="Times New Roman"/>
          <w:spacing w:val="-5"/>
          <w:sz w:val="18"/>
          <w:szCs w:val="18"/>
          <w:lang w:val="es-ES_tradnl"/>
        </w:rPr>
        <w:t>ñ</w:t>
      </w:r>
      <w:r>
        <w:rPr>
          <w:spacing w:val="-5"/>
          <w:sz w:val="18"/>
          <w:szCs w:val="18"/>
          <w:lang w:val="es-ES_tradnl"/>
        </w:rPr>
        <w:t>os y que de acuerdo al art</w:t>
      </w:r>
      <w:r>
        <w:rPr>
          <w:rFonts w:cs="Times New Roman"/>
          <w:spacing w:val="-5"/>
          <w:sz w:val="18"/>
          <w:szCs w:val="18"/>
          <w:lang w:val="es-ES_tradnl"/>
        </w:rPr>
        <w:t>í</w:t>
      </w:r>
      <w:r>
        <w:rPr>
          <w:spacing w:val="-5"/>
          <w:sz w:val="18"/>
          <w:szCs w:val="18"/>
          <w:lang w:val="es-ES_tradnl"/>
        </w:rPr>
        <w:t xml:space="preserve">culo 188, solo </w:t>
      </w:r>
      <w:r>
        <w:rPr>
          <w:spacing w:val="-8"/>
          <w:sz w:val="18"/>
          <w:szCs w:val="18"/>
          <w:lang w:val="es-ES_tradnl"/>
        </w:rPr>
        <w:t xml:space="preserve">en el caso de existir despido intempestivo, es decir, cuando </w:t>
      </w:r>
      <w:r>
        <w:rPr>
          <w:spacing w:val="-6"/>
          <w:sz w:val="18"/>
          <w:szCs w:val="18"/>
          <w:lang w:val="es-ES_tradnl"/>
        </w:rPr>
        <w:t xml:space="preserve">la sola voluntad del empleador determina la ruptura de la </w:t>
      </w:r>
      <w:r>
        <w:rPr>
          <w:spacing w:val="-8"/>
          <w:sz w:val="18"/>
          <w:szCs w:val="18"/>
          <w:lang w:val="es-ES_tradnl"/>
        </w:rPr>
        <w:t>relaci</w:t>
      </w:r>
      <w:r>
        <w:rPr>
          <w:rFonts w:cs="Times New Roman"/>
          <w:spacing w:val="-8"/>
          <w:sz w:val="18"/>
          <w:szCs w:val="18"/>
          <w:lang w:val="es-ES_tradnl"/>
        </w:rPr>
        <w:t>ó</w:t>
      </w:r>
      <w:r>
        <w:rPr>
          <w:spacing w:val="-8"/>
          <w:sz w:val="18"/>
          <w:szCs w:val="18"/>
          <w:lang w:val="es-ES_tradnl"/>
        </w:rPr>
        <w:t>n laboral, puede reconocer adem</w:t>
      </w:r>
      <w:r>
        <w:rPr>
          <w:rFonts w:cs="Times New Roman"/>
          <w:spacing w:val="-8"/>
          <w:sz w:val="18"/>
          <w:szCs w:val="18"/>
          <w:lang w:val="es-ES_tradnl"/>
        </w:rPr>
        <w:t>á</w:t>
      </w:r>
      <w:r>
        <w:rPr>
          <w:spacing w:val="-8"/>
          <w:sz w:val="18"/>
          <w:szCs w:val="18"/>
          <w:lang w:val="es-ES_tradnl"/>
        </w:rPr>
        <w:t xml:space="preserve">s de los valores </w:t>
      </w:r>
      <w:r>
        <w:rPr>
          <w:spacing w:val="-5"/>
          <w:sz w:val="18"/>
          <w:szCs w:val="18"/>
          <w:lang w:val="es-ES_tradnl"/>
        </w:rPr>
        <w:t>indemnizatorios la jubilaci</w:t>
      </w:r>
      <w:r>
        <w:rPr>
          <w:rFonts w:cs="Times New Roman"/>
          <w:spacing w:val="-5"/>
          <w:sz w:val="18"/>
          <w:szCs w:val="18"/>
          <w:lang w:val="es-ES_tradnl"/>
        </w:rPr>
        <w:t>ó</w:t>
      </w:r>
      <w:r>
        <w:rPr>
          <w:spacing w:val="-5"/>
          <w:sz w:val="18"/>
          <w:szCs w:val="18"/>
          <w:lang w:val="es-ES_tradnl"/>
        </w:rPr>
        <w:t xml:space="preserve">n patronal proporcional en el </w:t>
      </w:r>
      <w:r>
        <w:rPr>
          <w:spacing w:val="-7"/>
          <w:sz w:val="18"/>
          <w:szCs w:val="18"/>
          <w:lang w:val="es-ES_tradnl"/>
        </w:rPr>
        <w:t>caso de haber cumplido veinte y menos de veinte y cinco a</w:t>
      </w:r>
      <w:r>
        <w:rPr>
          <w:rFonts w:cs="Times New Roman"/>
          <w:spacing w:val="-7"/>
          <w:sz w:val="18"/>
          <w:szCs w:val="18"/>
          <w:lang w:val="es-ES_tradnl"/>
        </w:rPr>
        <w:t>ñ</w:t>
      </w:r>
      <w:r>
        <w:rPr>
          <w:spacing w:val="-7"/>
          <w:sz w:val="18"/>
          <w:szCs w:val="18"/>
          <w:lang w:val="es-ES_tradnl"/>
        </w:rPr>
        <w:t xml:space="preserve">os de labor continua o ininterrumpida a favor del mismo </w:t>
      </w:r>
      <w:r>
        <w:rPr>
          <w:spacing w:val="-11"/>
          <w:sz w:val="18"/>
          <w:szCs w:val="18"/>
          <w:lang w:val="es-ES_tradnl"/>
        </w:rPr>
        <w:t>empleador, situaci</w:t>
      </w:r>
      <w:r>
        <w:rPr>
          <w:rFonts w:cs="Times New Roman"/>
          <w:spacing w:val="-11"/>
          <w:sz w:val="18"/>
          <w:szCs w:val="18"/>
          <w:lang w:val="es-ES_tradnl"/>
        </w:rPr>
        <w:t>ó</w:t>
      </w:r>
      <w:r>
        <w:rPr>
          <w:spacing w:val="-11"/>
          <w:sz w:val="18"/>
          <w:szCs w:val="18"/>
          <w:lang w:val="es-ES_tradnl"/>
        </w:rPr>
        <w:t xml:space="preserve">n que tampoco pudo demostrar conforme </w:t>
      </w:r>
      <w:r>
        <w:rPr>
          <w:spacing w:val="-7"/>
          <w:sz w:val="18"/>
          <w:szCs w:val="18"/>
          <w:lang w:val="es-ES_tradnl"/>
        </w:rPr>
        <w:t>se desprende del an</w:t>
      </w:r>
      <w:r>
        <w:rPr>
          <w:rFonts w:cs="Times New Roman"/>
          <w:spacing w:val="-7"/>
          <w:sz w:val="18"/>
          <w:szCs w:val="18"/>
          <w:lang w:val="es-ES_tradnl"/>
        </w:rPr>
        <w:t>á</w:t>
      </w:r>
      <w:r>
        <w:rPr>
          <w:spacing w:val="-7"/>
          <w:sz w:val="18"/>
          <w:szCs w:val="18"/>
          <w:lang w:val="es-ES_tradnl"/>
        </w:rPr>
        <w:t xml:space="preserve">lisis que indica: </w:t>
      </w:r>
      <w:r>
        <w:rPr>
          <w:rFonts w:cs="Times New Roman"/>
          <w:spacing w:val="-7"/>
          <w:sz w:val="18"/>
          <w:szCs w:val="18"/>
          <w:lang w:val="es-ES_tradnl"/>
        </w:rPr>
        <w:t>«</w:t>
      </w:r>
      <w:r>
        <w:rPr>
          <w:spacing w:val="-7"/>
          <w:sz w:val="18"/>
          <w:szCs w:val="18"/>
          <w:lang w:val="es-ES_tradnl"/>
        </w:rPr>
        <w:t xml:space="preserve">correspondiendo a </w:t>
      </w:r>
      <w:r>
        <w:rPr>
          <w:spacing w:val="-6"/>
          <w:sz w:val="18"/>
          <w:szCs w:val="18"/>
          <w:lang w:val="es-ES_tradnl"/>
        </w:rPr>
        <w:t xml:space="preserve">este tribunal determinar si efectivamente en el presente </w:t>
      </w:r>
      <w:r>
        <w:rPr>
          <w:spacing w:val="-4"/>
          <w:sz w:val="18"/>
          <w:szCs w:val="18"/>
          <w:lang w:val="es-ES_tradnl"/>
        </w:rPr>
        <w:t>caso, la relaci</w:t>
      </w:r>
      <w:r>
        <w:rPr>
          <w:rFonts w:cs="Times New Roman"/>
          <w:spacing w:val="-4"/>
          <w:sz w:val="18"/>
          <w:szCs w:val="18"/>
          <w:lang w:val="es-ES_tradnl"/>
        </w:rPr>
        <w:t>ó</w:t>
      </w:r>
      <w:r>
        <w:rPr>
          <w:spacing w:val="-4"/>
          <w:sz w:val="18"/>
          <w:szCs w:val="18"/>
          <w:lang w:val="es-ES_tradnl"/>
        </w:rPr>
        <w:t xml:space="preserve">n laboral entre los justiciables se ha roto </w:t>
      </w:r>
      <w:r>
        <w:rPr>
          <w:spacing w:val="-5"/>
          <w:sz w:val="18"/>
          <w:szCs w:val="18"/>
          <w:lang w:val="es-ES_tradnl"/>
        </w:rPr>
        <w:t>por decisi</w:t>
      </w:r>
      <w:r>
        <w:rPr>
          <w:rFonts w:cs="Times New Roman"/>
          <w:spacing w:val="-5"/>
          <w:sz w:val="18"/>
          <w:szCs w:val="18"/>
          <w:lang w:val="es-ES_tradnl"/>
        </w:rPr>
        <w:t>ó</w:t>
      </w:r>
      <w:r>
        <w:rPr>
          <w:spacing w:val="-5"/>
          <w:sz w:val="18"/>
          <w:szCs w:val="18"/>
          <w:lang w:val="es-ES_tradnl"/>
        </w:rPr>
        <w:t xml:space="preserve">n unilateral del empleador, como afirma la </w:t>
      </w:r>
      <w:r>
        <w:rPr>
          <w:spacing w:val="-3"/>
          <w:sz w:val="18"/>
          <w:szCs w:val="18"/>
          <w:lang w:val="es-ES_tradnl"/>
        </w:rPr>
        <w:t>recurrente en su libelo de casaci</w:t>
      </w:r>
      <w:r>
        <w:rPr>
          <w:rFonts w:cs="Times New Roman"/>
          <w:spacing w:val="-3"/>
          <w:sz w:val="18"/>
          <w:szCs w:val="18"/>
          <w:lang w:val="es-ES_tradnl"/>
        </w:rPr>
        <w:t>ó</w:t>
      </w:r>
      <w:r>
        <w:rPr>
          <w:spacing w:val="-3"/>
          <w:sz w:val="18"/>
          <w:szCs w:val="18"/>
          <w:lang w:val="es-ES_tradnl"/>
        </w:rPr>
        <w:t xml:space="preserve">n que lo sustenta en </w:t>
      </w:r>
      <w:r>
        <w:rPr>
          <w:spacing w:val="-7"/>
          <w:sz w:val="18"/>
          <w:szCs w:val="18"/>
          <w:lang w:val="es-ES_tradnl"/>
        </w:rPr>
        <w:t>una falta de valoraci</w:t>
      </w:r>
      <w:r>
        <w:rPr>
          <w:rFonts w:cs="Times New Roman"/>
          <w:spacing w:val="-7"/>
          <w:sz w:val="18"/>
          <w:szCs w:val="18"/>
          <w:lang w:val="es-ES_tradnl"/>
        </w:rPr>
        <w:t>ó</w:t>
      </w:r>
      <w:r>
        <w:rPr>
          <w:spacing w:val="-7"/>
          <w:sz w:val="18"/>
          <w:szCs w:val="18"/>
          <w:lang w:val="es-ES_tradnl"/>
        </w:rPr>
        <w:t>n de la confesi</w:t>
      </w:r>
      <w:r>
        <w:rPr>
          <w:rFonts w:cs="Times New Roman"/>
          <w:spacing w:val="-7"/>
          <w:sz w:val="18"/>
          <w:szCs w:val="18"/>
          <w:lang w:val="es-ES_tradnl"/>
        </w:rPr>
        <w:t>ó</w:t>
      </w:r>
      <w:r>
        <w:rPr>
          <w:spacing w:val="-7"/>
          <w:sz w:val="18"/>
          <w:szCs w:val="18"/>
          <w:lang w:val="es-ES_tradnl"/>
        </w:rPr>
        <w:t xml:space="preserve">n de la demandada </w:t>
      </w:r>
      <w:r>
        <w:rPr>
          <w:spacing w:val="-4"/>
          <w:sz w:val="18"/>
          <w:szCs w:val="18"/>
          <w:lang w:val="es-ES_tradnl"/>
        </w:rPr>
        <w:t xml:space="preserve">Marcia Navia Alverdi. Al respecto, en el considerando </w:t>
      </w:r>
      <w:r>
        <w:rPr>
          <w:spacing w:val="-8"/>
          <w:sz w:val="18"/>
          <w:szCs w:val="18"/>
          <w:lang w:val="es-ES_tradnl"/>
        </w:rPr>
        <w:t xml:space="preserve">quinto de la sentencia del juzgador de segundo nivel, dice. </w:t>
      </w:r>
      <w:r>
        <w:rPr>
          <w:rFonts w:cs="Times New Roman"/>
          <w:spacing w:val="-4"/>
          <w:sz w:val="18"/>
          <w:szCs w:val="18"/>
          <w:lang w:val="es-ES_tradnl"/>
        </w:rPr>
        <w:t>“</w:t>
      </w:r>
      <w:r>
        <w:rPr>
          <w:spacing w:val="-4"/>
          <w:sz w:val="18"/>
          <w:szCs w:val="18"/>
          <w:lang w:val="es-ES_tradnl"/>
        </w:rPr>
        <w:t>El documento de finiquito celebrado el 1 de noviembre de 2011 ante el Ab. Newton Mor</w:t>
      </w:r>
      <w:r>
        <w:rPr>
          <w:rFonts w:cs="Times New Roman"/>
          <w:spacing w:val="-4"/>
          <w:sz w:val="18"/>
          <w:szCs w:val="18"/>
          <w:lang w:val="es-ES_tradnl"/>
        </w:rPr>
        <w:t>á</w:t>
      </w:r>
      <w:r>
        <w:rPr>
          <w:spacing w:val="-4"/>
          <w:sz w:val="18"/>
          <w:szCs w:val="18"/>
          <w:lang w:val="es-ES_tradnl"/>
        </w:rPr>
        <w:t xml:space="preserve">n Duran Inspector del </w:t>
      </w:r>
      <w:r>
        <w:rPr>
          <w:spacing w:val="-8"/>
          <w:sz w:val="18"/>
          <w:szCs w:val="18"/>
          <w:lang w:val="es-ES_tradnl"/>
        </w:rPr>
        <w:t>Trabajo del Guayas, se</w:t>
      </w:r>
      <w:r>
        <w:rPr>
          <w:rFonts w:cs="Times New Roman"/>
          <w:spacing w:val="-8"/>
          <w:sz w:val="18"/>
          <w:szCs w:val="18"/>
          <w:lang w:val="es-ES_tradnl"/>
        </w:rPr>
        <w:t>ñ</w:t>
      </w:r>
      <w:r>
        <w:rPr>
          <w:spacing w:val="-8"/>
          <w:sz w:val="18"/>
          <w:szCs w:val="18"/>
          <w:lang w:val="es-ES_tradnl"/>
        </w:rPr>
        <w:t>ala que la actora CECILIA ISABEL PRIETO VEGA prest</w:t>
      </w:r>
      <w:r>
        <w:rPr>
          <w:rFonts w:cs="Times New Roman"/>
          <w:spacing w:val="-8"/>
          <w:sz w:val="18"/>
          <w:szCs w:val="18"/>
          <w:lang w:val="es-ES_tradnl"/>
        </w:rPr>
        <w:t>ó</w:t>
      </w:r>
      <w:r>
        <w:rPr>
          <w:spacing w:val="-8"/>
          <w:sz w:val="18"/>
          <w:szCs w:val="18"/>
          <w:lang w:val="es-ES_tradnl"/>
        </w:rPr>
        <w:t xml:space="preserve"> sus servicios hasta el jueves 27 de </w:t>
      </w:r>
      <w:r>
        <w:rPr>
          <w:spacing w:val="-6"/>
          <w:sz w:val="18"/>
          <w:szCs w:val="18"/>
          <w:lang w:val="es-ES_tradnl"/>
        </w:rPr>
        <w:t>octubre de 2011, fecha en la cual concluye la relaci</w:t>
      </w:r>
      <w:r>
        <w:rPr>
          <w:rFonts w:cs="Times New Roman"/>
          <w:spacing w:val="-6"/>
          <w:sz w:val="18"/>
          <w:szCs w:val="18"/>
          <w:lang w:val="es-ES_tradnl"/>
        </w:rPr>
        <w:t>ó</w:t>
      </w:r>
      <w:r>
        <w:rPr>
          <w:spacing w:val="-6"/>
          <w:sz w:val="18"/>
          <w:szCs w:val="18"/>
          <w:lang w:val="es-ES_tradnl"/>
        </w:rPr>
        <w:t xml:space="preserve">n por acuerdo de las partes. Examinado el documento cumple </w:t>
      </w:r>
      <w:r>
        <w:rPr>
          <w:spacing w:val="-5"/>
          <w:sz w:val="18"/>
          <w:szCs w:val="18"/>
          <w:lang w:val="es-ES_tradnl"/>
        </w:rPr>
        <w:t>con las exigencias previstas en el art. 595 del C</w:t>
      </w:r>
      <w:r>
        <w:rPr>
          <w:rFonts w:cs="Times New Roman"/>
          <w:spacing w:val="-5"/>
          <w:sz w:val="18"/>
          <w:szCs w:val="18"/>
          <w:lang w:val="es-ES_tradnl"/>
        </w:rPr>
        <w:t>ó</w:t>
      </w:r>
      <w:r>
        <w:rPr>
          <w:spacing w:val="-5"/>
          <w:sz w:val="18"/>
          <w:szCs w:val="18"/>
          <w:lang w:val="es-ES_tradnl"/>
        </w:rPr>
        <w:t xml:space="preserve">digo de </w:t>
      </w:r>
      <w:r>
        <w:rPr>
          <w:spacing w:val="-7"/>
          <w:sz w:val="18"/>
          <w:szCs w:val="18"/>
          <w:lang w:val="es-ES_tradnl"/>
        </w:rPr>
        <w:t xml:space="preserve">la materia, ha sido celebrado ante el inspector de trabajo y </w:t>
      </w:r>
      <w:r>
        <w:rPr>
          <w:spacing w:val="-8"/>
          <w:sz w:val="18"/>
          <w:szCs w:val="18"/>
          <w:lang w:val="es-ES_tradnl"/>
        </w:rPr>
        <w:t>se encuentra pormenorizado</w:t>
      </w:r>
      <w:r>
        <w:rPr>
          <w:rFonts w:cs="Times New Roman"/>
          <w:spacing w:val="-8"/>
          <w:sz w:val="18"/>
          <w:szCs w:val="18"/>
          <w:lang w:val="es-ES_tradnl"/>
        </w:rPr>
        <w:t>”</w:t>
      </w:r>
      <w:r>
        <w:rPr>
          <w:spacing w:val="-8"/>
          <w:sz w:val="18"/>
          <w:szCs w:val="18"/>
          <w:lang w:val="es-ES_tradnl"/>
        </w:rPr>
        <w:t xml:space="preserve"> (sic). En la confesi</w:t>
      </w:r>
      <w:r>
        <w:rPr>
          <w:rFonts w:cs="Times New Roman"/>
          <w:spacing w:val="-8"/>
          <w:sz w:val="18"/>
          <w:szCs w:val="18"/>
          <w:lang w:val="es-ES_tradnl"/>
        </w:rPr>
        <w:t>ó</w:t>
      </w:r>
      <w:r>
        <w:rPr>
          <w:spacing w:val="-8"/>
          <w:sz w:val="18"/>
          <w:szCs w:val="18"/>
          <w:lang w:val="es-ES_tradnl"/>
        </w:rPr>
        <w:t xml:space="preserve">n rendida </w:t>
      </w:r>
      <w:r>
        <w:rPr>
          <w:spacing w:val="-6"/>
          <w:sz w:val="18"/>
          <w:szCs w:val="18"/>
          <w:lang w:val="es-ES_tradnl"/>
        </w:rPr>
        <w:t>por la demandada, se</w:t>
      </w:r>
      <w:r>
        <w:rPr>
          <w:rFonts w:cs="Times New Roman"/>
          <w:spacing w:val="-6"/>
          <w:sz w:val="18"/>
          <w:szCs w:val="18"/>
          <w:lang w:val="es-ES_tradnl"/>
        </w:rPr>
        <w:t>ñ</w:t>
      </w:r>
      <w:r>
        <w:rPr>
          <w:spacing w:val="-6"/>
          <w:sz w:val="18"/>
          <w:szCs w:val="18"/>
          <w:lang w:val="es-ES_tradnl"/>
        </w:rPr>
        <w:t xml:space="preserve">ora Marcia Navia en la audiencia </w:t>
      </w:r>
      <w:r>
        <w:rPr>
          <w:spacing w:val="-3"/>
          <w:sz w:val="18"/>
          <w:szCs w:val="18"/>
          <w:lang w:val="es-ES_tradnl"/>
        </w:rPr>
        <w:t xml:space="preserve">definitiva (fs. 110 y 110 vta.) la accionante le realiza la </w:t>
      </w:r>
      <w:r>
        <w:rPr>
          <w:spacing w:val="-6"/>
          <w:sz w:val="18"/>
          <w:szCs w:val="18"/>
          <w:lang w:val="es-ES_tradnl"/>
        </w:rPr>
        <w:t xml:space="preserve">siguiente pregunta: </w:t>
      </w:r>
      <w:r>
        <w:rPr>
          <w:rFonts w:cs="Times New Roman"/>
          <w:spacing w:val="-6"/>
          <w:sz w:val="18"/>
          <w:szCs w:val="18"/>
          <w:lang w:val="es-ES_tradnl"/>
        </w:rPr>
        <w:t>“</w:t>
      </w:r>
      <w:r>
        <w:rPr>
          <w:spacing w:val="-6"/>
          <w:sz w:val="18"/>
          <w:szCs w:val="18"/>
          <w:lang w:val="es-ES_tradnl"/>
        </w:rPr>
        <w:t xml:space="preserve">Diga la que confiesa si es cierto que </w:t>
      </w:r>
      <w:r>
        <w:rPr>
          <w:spacing w:val="-5"/>
          <w:sz w:val="18"/>
          <w:szCs w:val="18"/>
          <w:lang w:val="es-ES_tradnl"/>
        </w:rPr>
        <w:t>usted la despidi</w:t>
      </w:r>
      <w:r>
        <w:rPr>
          <w:rFonts w:cs="Times New Roman"/>
          <w:spacing w:val="-5"/>
          <w:sz w:val="18"/>
          <w:szCs w:val="18"/>
          <w:lang w:val="es-ES_tradnl"/>
        </w:rPr>
        <w:t>ó</w:t>
      </w:r>
      <w:r>
        <w:rPr>
          <w:spacing w:val="-5"/>
          <w:sz w:val="18"/>
          <w:szCs w:val="18"/>
          <w:lang w:val="es-ES_tradnl"/>
        </w:rPr>
        <w:t xml:space="preserve"> intempestivamente a su trabajadora el </w:t>
      </w:r>
      <w:r>
        <w:rPr>
          <w:spacing w:val="-6"/>
          <w:sz w:val="18"/>
          <w:szCs w:val="18"/>
          <w:lang w:val="es-ES_tradnl"/>
        </w:rPr>
        <w:t>d</w:t>
      </w:r>
      <w:r>
        <w:rPr>
          <w:rFonts w:cs="Times New Roman"/>
          <w:spacing w:val="-6"/>
          <w:sz w:val="18"/>
          <w:szCs w:val="18"/>
          <w:lang w:val="es-ES_tradnl"/>
        </w:rPr>
        <w:t>í</w:t>
      </w:r>
      <w:r>
        <w:rPr>
          <w:spacing w:val="-6"/>
          <w:sz w:val="18"/>
          <w:szCs w:val="18"/>
          <w:lang w:val="es-ES_tradnl"/>
        </w:rPr>
        <w:t xml:space="preserve">a 27 de octubre de 2011, aproximadamente a las 10 de </w:t>
      </w:r>
      <w:r>
        <w:rPr>
          <w:spacing w:val="-8"/>
          <w:sz w:val="18"/>
          <w:szCs w:val="18"/>
          <w:lang w:val="es-ES_tradnl"/>
        </w:rPr>
        <w:t>la ma</w:t>
      </w:r>
      <w:r>
        <w:rPr>
          <w:rFonts w:cs="Times New Roman"/>
          <w:spacing w:val="-8"/>
          <w:sz w:val="18"/>
          <w:szCs w:val="18"/>
          <w:lang w:val="es-ES_tradnl"/>
        </w:rPr>
        <w:t>ñ</w:t>
      </w:r>
      <w:r>
        <w:rPr>
          <w:spacing w:val="-8"/>
          <w:sz w:val="18"/>
          <w:szCs w:val="18"/>
          <w:lang w:val="es-ES_tradnl"/>
        </w:rPr>
        <w:t>ana</w:t>
      </w:r>
      <w:r>
        <w:rPr>
          <w:rFonts w:cs="Times New Roman"/>
          <w:spacing w:val="-8"/>
          <w:sz w:val="18"/>
          <w:szCs w:val="18"/>
          <w:lang w:val="es-ES_tradnl"/>
        </w:rPr>
        <w:t>”</w:t>
      </w:r>
      <w:r>
        <w:rPr>
          <w:spacing w:val="-8"/>
          <w:sz w:val="18"/>
          <w:szCs w:val="18"/>
          <w:lang w:val="es-ES_tradnl"/>
        </w:rPr>
        <w:t xml:space="preserve">. Contesta: </w:t>
      </w:r>
      <w:r>
        <w:rPr>
          <w:rFonts w:cs="Times New Roman"/>
          <w:spacing w:val="-8"/>
          <w:sz w:val="18"/>
          <w:szCs w:val="18"/>
          <w:lang w:val="es-ES_tradnl"/>
        </w:rPr>
        <w:t>“</w:t>
      </w:r>
      <w:r>
        <w:rPr>
          <w:spacing w:val="-8"/>
          <w:sz w:val="18"/>
          <w:szCs w:val="18"/>
          <w:lang w:val="es-ES_tradnl"/>
        </w:rPr>
        <w:t xml:space="preserve">Digo que no es verdad y que es de </w:t>
      </w:r>
      <w:r>
        <w:rPr>
          <w:spacing w:val="-5"/>
          <w:sz w:val="18"/>
          <w:szCs w:val="18"/>
          <w:lang w:val="es-ES_tradnl"/>
        </w:rPr>
        <w:t>falsedad absoluta</w:t>
      </w:r>
      <w:r>
        <w:rPr>
          <w:rFonts w:cs="Times New Roman"/>
          <w:spacing w:val="-5"/>
          <w:sz w:val="18"/>
          <w:szCs w:val="18"/>
          <w:lang w:val="es-ES_tradnl"/>
        </w:rPr>
        <w:t>”</w:t>
      </w:r>
      <w:r>
        <w:rPr>
          <w:spacing w:val="-5"/>
          <w:sz w:val="18"/>
          <w:szCs w:val="18"/>
          <w:lang w:val="es-ES_tradnl"/>
        </w:rPr>
        <w:t xml:space="preserve"> pregunta y respuesta que de ninguna</w:t>
      </w:r>
    </w:p>
    <w:p w14:paraId="4F67B113" w14:textId="77777777" w:rsidR="00591D54" w:rsidRDefault="00591D54">
      <w:pPr>
        <w:shd w:val="clear" w:color="auto" w:fill="FFFFFF"/>
        <w:spacing w:before="197" w:line="216" w:lineRule="exact"/>
        <w:jc w:val="both"/>
        <w:sectPr w:rsidR="00591D54">
          <w:type w:val="continuous"/>
          <w:pgSz w:w="11909" w:h="16834"/>
          <w:pgMar w:top="1359" w:right="1304" w:bottom="360" w:left="1308" w:header="720" w:footer="720" w:gutter="0"/>
          <w:cols w:num="2" w:space="720" w:equalWidth="0">
            <w:col w:w="4305" w:space="682"/>
            <w:col w:w="4310"/>
          </w:cols>
          <w:noEndnote/>
        </w:sectPr>
      </w:pPr>
    </w:p>
    <w:p w14:paraId="4F67B114" w14:textId="77777777" w:rsidR="00591D54" w:rsidRDefault="00591D54">
      <w:pPr>
        <w:shd w:val="clear" w:color="auto" w:fill="FFFFFF"/>
        <w:tabs>
          <w:tab w:val="left" w:pos="4814"/>
        </w:tabs>
        <w:spacing w:after="235"/>
        <w:ind w:left="14"/>
      </w:pPr>
      <w:r>
        <w:rPr>
          <w:b/>
          <w:bCs/>
          <w:sz w:val="18"/>
          <w:szCs w:val="18"/>
          <w:lang w:val="es-ES_tradnl"/>
        </w:rPr>
        <w:t xml:space="preserve">166 -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115" w14:textId="77777777" w:rsidR="00591D54" w:rsidRDefault="00591D54">
      <w:pPr>
        <w:shd w:val="clear" w:color="auto" w:fill="FFFFFF"/>
        <w:tabs>
          <w:tab w:val="left" w:pos="4814"/>
        </w:tabs>
        <w:spacing w:after="235"/>
        <w:ind w:left="14"/>
        <w:sectPr w:rsidR="00591D54">
          <w:pgSz w:w="11909" w:h="16834"/>
          <w:pgMar w:top="1356" w:right="1304" w:bottom="360" w:left="1308" w:header="720" w:footer="720" w:gutter="0"/>
          <w:cols w:space="60"/>
          <w:noEndnote/>
        </w:sectPr>
      </w:pPr>
    </w:p>
    <w:p w14:paraId="4F67B116" w14:textId="77777777" w:rsidR="00591D54" w:rsidRDefault="00591D54">
      <w:pPr>
        <w:shd w:val="clear" w:color="auto" w:fill="FFFFFF"/>
        <w:spacing w:line="216" w:lineRule="exact"/>
        <w:jc w:val="both"/>
      </w:pPr>
      <w:r>
        <w:rPr>
          <w:spacing w:val="-11"/>
          <w:sz w:val="18"/>
          <w:szCs w:val="18"/>
          <w:lang w:val="es-ES_tradnl"/>
        </w:rPr>
        <w:t>manera abonan a demostrar que sea real la afirmaci</w:t>
      </w:r>
      <w:r>
        <w:rPr>
          <w:rFonts w:cs="Times New Roman"/>
          <w:spacing w:val="-11"/>
          <w:sz w:val="18"/>
          <w:szCs w:val="18"/>
          <w:lang w:val="es-ES_tradnl"/>
        </w:rPr>
        <w:t>ó</w:t>
      </w:r>
      <w:r>
        <w:rPr>
          <w:spacing w:val="-11"/>
          <w:sz w:val="18"/>
          <w:szCs w:val="18"/>
          <w:lang w:val="es-ES_tradnl"/>
        </w:rPr>
        <w:t>n de la casacionista que no se ha tomado en cuenta dicha confesi</w:t>
      </w:r>
      <w:r>
        <w:rPr>
          <w:rFonts w:cs="Times New Roman"/>
          <w:spacing w:val="-11"/>
          <w:sz w:val="18"/>
          <w:szCs w:val="18"/>
          <w:lang w:val="es-ES_tradnl"/>
        </w:rPr>
        <w:t>ó</w:t>
      </w:r>
      <w:r>
        <w:rPr>
          <w:spacing w:val="-11"/>
          <w:sz w:val="18"/>
          <w:szCs w:val="18"/>
          <w:lang w:val="es-ES_tradnl"/>
        </w:rPr>
        <w:t xml:space="preserve">n </w:t>
      </w:r>
      <w:r>
        <w:rPr>
          <w:spacing w:val="-9"/>
          <w:sz w:val="18"/>
          <w:szCs w:val="18"/>
          <w:lang w:val="es-ES_tradnl"/>
        </w:rPr>
        <w:t xml:space="preserve">en la sentencia de segundo nivel, por el contrario, de ella se desprende que no ha existido el despido intempestivo, y por </w:t>
      </w:r>
      <w:r>
        <w:rPr>
          <w:spacing w:val="-6"/>
          <w:sz w:val="18"/>
          <w:szCs w:val="18"/>
          <w:lang w:val="es-ES_tradnl"/>
        </w:rPr>
        <w:t xml:space="preserve">tanto, no se ha configurado el requisito primordial para el </w:t>
      </w:r>
      <w:r>
        <w:rPr>
          <w:spacing w:val="-8"/>
          <w:sz w:val="18"/>
          <w:szCs w:val="18"/>
          <w:lang w:val="es-ES_tradnl"/>
        </w:rPr>
        <w:t>acceso de la trabajadora al derecho a la jubilaci</w:t>
      </w:r>
      <w:r>
        <w:rPr>
          <w:rFonts w:cs="Times New Roman"/>
          <w:spacing w:val="-8"/>
          <w:sz w:val="18"/>
          <w:szCs w:val="18"/>
          <w:lang w:val="es-ES_tradnl"/>
        </w:rPr>
        <w:t>ó</w:t>
      </w:r>
      <w:r>
        <w:rPr>
          <w:spacing w:val="-8"/>
          <w:sz w:val="18"/>
          <w:szCs w:val="18"/>
          <w:lang w:val="es-ES_tradnl"/>
        </w:rPr>
        <w:t>n patronal proporcional</w:t>
      </w:r>
      <w:r>
        <w:rPr>
          <w:rFonts w:cs="Times New Roman"/>
          <w:spacing w:val="-8"/>
          <w:sz w:val="18"/>
          <w:szCs w:val="18"/>
          <w:lang w:val="es-ES_tradnl"/>
        </w:rPr>
        <w:t>»</w:t>
      </w:r>
      <w:r>
        <w:rPr>
          <w:spacing w:val="-8"/>
          <w:sz w:val="18"/>
          <w:szCs w:val="18"/>
          <w:lang w:val="es-ES_tradnl"/>
        </w:rPr>
        <w:t xml:space="preserve">. De lo cual se desprende que las censuras </w:t>
      </w:r>
      <w:r>
        <w:rPr>
          <w:sz w:val="18"/>
          <w:szCs w:val="18"/>
          <w:lang w:val="es-ES_tradnl"/>
        </w:rPr>
        <w:t>sobre lo indicado no tienen fundamento.</w:t>
      </w:r>
    </w:p>
    <w:p w14:paraId="4F67B117" w14:textId="77777777" w:rsidR="00591D54" w:rsidRDefault="00591D54">
      <w:pPr>
        <w:shd w:val="clear" w:color="auto" w:fill="FFFFFF"/>
        <w:spacing w:before="197" w:line="221" w:lineRule="exact"/>
        <w:jc w:val="both"/>
      </w:pPr>
      <w:r>
        <w:rPr>
          <w:spacing w:val="-5"/>
          <w:sz w:val="18"/>
          <w:szCs w:val="18"/>
          <w:lang w:val="es-ES_tradnl"/>
        </w:rPr>
        <w:t xml:space="preserve">Finalmente, menciona que la sentencia dictada por el </w:t>
      </w:r>
      <w:r>
        <w:rPr>
          <w:spacing w:val="-4"/>
          <w:sz w:val="18"/>
          <w:szCs w:val="18"/>
          <w:lang w:val="es-ES_tradnl"/>
        </w:rPr>
        <w:t>Tribunal en el cual actu</w:t>
      </w:r>
      <w:r>
        <w:rPr>
          <w:rFonts w:cs="Times New Roman"/>
          <w:spacing w:val="-4"/>
          <w:sz w:val="18"/>
          <w:szCs w:val="18"/>
          <w:lang w:val="es-ES_tradnl"/>
        </w:rPr>
        <w:t>é</w:t>
      </w:r>
      <w:r>
        <w:rPr>
          <w:spacing w:val="-4"/>
          <w:sz w:val="18"/>
          <w:szCs w:val="18"/>
          <w:lang w:val="es-ES_tradnl"/>
        </w:rPr>
        <w:t xml:space="preserve"> en calidad del juez ponente, el </w:t>
      </w:r>
      <w:r>
        <w:rPr>
          <w:spacing w:val="-9"/>
          <w:sz w:val="18"/>
          <w:szCs w:val="18"/>
          <w:lang w:val="es-ES_tradnl"/>
        </w:rPr>
        <w:t xml:space="preserve">20 de enero de 2014 a las 10h10, se lo hizo en observancia </w:t>
      </w:r>
      <w:r>
        <w:rPr>
          <w:spacing w:val="-8"/>
          <w:sz w:val="18"/>
          <w:szCs w:val="18"/>
          <w:lang w:val="es-ES_tradnl"/>
        </w:rPr>
        <w:t>estricta de la Constituci</w:t>
      </w:r>
      <w:r>
        <w:rPr>
          <w:rFonts w:cs="Times New Roman"/>
          <w:spacing w:val="-8"/>
          <w:sz w:val="18"/>
          <w:szCs w:val="18"/>
          <w:lang w:val="es-ES_tradnl"/>
        </w:rPr>
        <w:t>ó</w:t>
      </w:r>
      <w:r>
        <w:rPr>
          <w:spacing w:val="-8"/>
          <w:sz w:val="18"/>
          <w:szCs w:val="18"/>
          <w:lang w:val="es-ES_tradnl"/>
        </w:rPr>
        <w:t xml:space="preserve">n, los instrumentos internacionales </w:t>
      </w:r>
      <w:r>
        <w:rPr>
          <w:spacing w:val="-9"/>
          <w:sz w:val="18"/>
          <w:szCs w:val="18"/>
          <w:lang w:val="es-ES_tradnl"/>
        </w:rPr>
        <w:t>de derecho humanos y las leyes vigentes en el Ecuador.</w:t>
      </w:r>
    </w:p>
    <w:p w14:paraId="4F67B118" w14:textId="77777777" w:rsidR="00591D54" w:rsidRDefault="00591D54">
      <w:pPr>
        <w:shd w:val="clear" w:color="auto" w:fill="FFFFFF"/>
        <w:spacing w:before="192"/>
      </w:pPr>
      <w:r>
        <w:rPr>
          <w:b/>
          <w:bCs/>
          <w:spacing w:val="-12"/>
          <w:sz w:val="18"/>
          <w:szCs w:val="18"/>
          <w:lang w:val="es-ES_tradnl"/>
        </w:rPr>
        <w:t>Terceros interesados</w:t>
      </w:r>
    </w:p>
    <w:p w14:paraId="4F67B119" w14:textId="77777777" w:rsidR="00591D54" w:rsidRDefault="00591D54">
      <w:pPr>
        <w:shd w:val="clear" w:color="auto" w:fill="FFFFFF"/>
        <w:spacing w:before="197"/>
      </w:pPr>
      <w:r>
        <w:rPr>
          <w:b/>
          <w:bCs/>
          <w:spacing w:val="-10"/>
          <w:sz w:val="18"/>
          <w:szCs w:val="18"/>
          <w:lang w:val="es-ES_tradnl"/>
        </w:rPr>
        <w:t>Compa</w:t>
      </w:r>
      <w:r>
        <w:rPr>
          <w:rFonts w:cs="Times New Roman"/>
          <w:b/>
          <w:bCs/>
          <w:spacing w:val="-10"/>
          <w:sz w:val="18"/>
          <w:szCs w:val="18"/>
          <w:lang w:val="es-ES_tradnl"/>
        </w:rPr>
        <w:t>ñí</w:t>
      </w:r>
      <w:r>
        <w:rPr>
          <w:b/>
          <w:bCs/>
          <w:spacing w:val="-10"/>
          <w:sz w:val="18"/>
          <w:szCs w:val="18"/>
          <w:lang w:val="es-ES_tradnl"/>
        </w:rPr>
        <w:t>a Maqhensa representaciones S. A.</w:t>
      </w:r>
    </w:p>
    <w:p w14:paraId="4F67B11A" w14:textId="77777777" w:rsidR="00591D54" w:rsidRDefault="00591D54">
      <w:pPr>
        <w:shd w:val="clear" w:color="auto" w:fill="FFFFFF"/>
        <w:spacing w:before="202" w:line="216" w:lineRule="exact"/>
        <w:jc w:val="both"/>
      </w:pPr>
      <w:r>
        <w:rPr>
          <w:sz w:val="18"/>
          <w:szCs w:val="18"/>
          <w:lang w:val="es-ES_tradnl"/>
        </w:rPr>
        <w:t>A fojas 27 del expediente constitucional, comparece Pa</w:t>
      </w:r>
      <w:r>
        <w:rPr>
          <w:rFonts w:cs="Times New Roman"/>
          <w:sz w:val="18"/>
          <w:szCs w:val="18"/>
          <w:lang w:val="es-ES_tradnl"/>
        </w:rPr>
        <w:t>ú</w:t>
      </w:r>
      <w:r>
        <w:rPr>
          <w:sz w:val="18"/>
          <w:szCs w:val="18"/>
          <w:lang w:val="es-ES_tradnl"/>
        </w:rPr>
        <w:t xml:space="preserve">l Alexander Sonnenholzner en su calidad de </w:t>
      </w:r>
      <w:r>
        <w:rPr>
          <w:spacing w:val="-9"/>
          <w:sz w:val="18"/>
          <w:szCs w:val="18"/>
          <w:lang w:val="es-ES_tradnl"/>
        </w:rPr>
        <w:t>gerente y representante legal de la compa</w:t>
      </w:r>
      <w:r>
        <w:rPr>
          <w:rFonts w:cs="Times New Roman"/>
          <w:spacing w:val="-9"/>
          <w:sz w:val="18"/>
          <w:szCs w:val="18"/>
          <w:lang w:val="es-ES_tradnl"/>
        </w:rPr>
        <w:t>ñí</w:t>
      </w:r>
      <w:r>
        <w:rPr>
          <w:spacing w:val="-9"/>
          <w:sz w:val="18"/>
          <w:szCs w:val="18"/>
          <w:lang w:val="es-ES_tradnl"/>
        </w:rPr>
        <w:t xml:space="preserve">a Maqhensa </w:t>
      </w:r>
      <w:r>
        <w:rPr>
          <w:spacing w:val="-6"/>
          <w:sz w:val="18"/>
          <w:szCs w:val="18"/>
          <w:lang w:val="es-ES_tradnl"/>
        </w:rPr>
        <w:t>representaciones S. A., en lo principal, se limita a solicitar una audiencia p</w:t>
      </w:r>
      <w:r>
        <w:rPr>
          <w:rFonts w:cs="Times New Roman"/>
          <w:spacing w:val="-6"/>
          <w:sz w:val="18"/>
          <w:szCs w:val="18"/>
          <w:lang w:val="es-ES_tradnl"/>
        </w:rPr>
        <w:t>ú</w:t>
      </w:r>
      <w:r>
        <w:rPr>
          <w:spacing w:val="-6"/>
          <w:sz w:val="18"/>
          <w:szCs w:val="18"/>
          <w:lang w:val="es-ES_tradnl"/>
        </w:rPr>
        <w:t xml:space="preserve">blica en el presente caso, sin emitir </w:t>
      </w:r>
      <w:r>
        <w:rPr>
          <w:spacing w:val="-10"/>
          <w:sz w:val="18"/>
          <w:szCs w:val="18"/>
          <w:lang w:val="es-ES_tradnl"/>
        </w:rPr>
        <w:t>pronunciamiento alguno sobre los fundamentos de la acci</w:t>
      </w:r>
      <w:r>
        <w:rPr>
          <w:rFonts w:cs="Times New Roman"/>
          <w:spacing w:val="-10"/>
          <w:sz w:val="18"/>
          <w:szCs w:val="18"/>
          <w:lang w:val="es-ES_tradnl"/>
        </w:rPr>
        <w:t>ó</w:t>
      </w:r>
      <w:r>
        <w:rPr>
          <w:spacing w:val="-10"/>
          <w:sz w:val="18"/>
          <w:szCs w:val="18"/>
          <w:lang w:val="es-ES_tradnl"/>
        </w:rPr>
        <w:t xml:space="preserve">n </w:t>
      </w:r>
      <w:r>
        <w:rPr>
          <w:sz w:val="18"/>
          <w:szCs w:val="18"/>
          <w:lang w:val="es-ES_tradnl"/>
        </w:rPr>
        <w:t>extraordinaria de protecci</w:t>
      </w:r>
      <w:r>
        <w:rPr>
          <w:rFonts w:cs="Times New Roman"/>
          <w:sz w:val="18"/>
          <w:szCs w:val="18"/>
          <w:lang w:val="es-ES_tradnl"/>
        </w:rPr>
        <w:t>ó</w:t>
      </w:r>
      <w:r>
        <w:rPr>
          <w:sz w:val="18"/>
          <w:szCs w:val="18"/>
          <w:lang w:val="es-ES_tradnl"/>
        </w:rPr>
        <w:t>n.</w:t>
      </w:r>
    </w:p>
    <w:p w14:paraId="4F67B11B" w14:textId="77777777" w:rsidR="00591D54" w:rsidRDefault="00591D54">
      <w:pPr>
        <w:shd w:val="clear" w:color="auto" w:fill="FFFFFF"/>
        <w:spacing w:before="197"/>
      </w:pPr>
      <w:r>
        <w:rPr>
          <w:b/>
          <w:bCs/>
          <w:spacing w:val="-8"/>
          <w:sz w:val="18"/>
          <w:szCs w:val="18"/>
          <w:lang w:val="es-ES_tradnl"/>
        </w:rPr>
        <w:t>Procurador General del Estado</w:t>
      </w:r>
    </w:p>
    <w:p w14:paraId="4F67B11C" w14:textId="77777777" w:rsidR="00591D54" w:rsidRDefault="00591D54">
      <w:pPr>
        <w:shd w:val="clear" w:color="auto" w:fill="FFFFFF"/>
        <w:spacing w:before="197" w:line="221" w:lineRule="exact"/>
        <w:jc w:val="both"/>
      </w:pPr>
      <w:r>
        <w:rPr>
          <w:spacing w:val="-1"/>
          <w:sz w:val="18"/>
          <w:szCs w:val="18"/>
          <w:lang w:val="es-ES_tradnl"/>
        </w:rPr>
        <w:t xml:space="preserve">A fojas 30 del proceso constitucional comparece el </w:t>
      </w:r>
      <w:r>
        <w:rPr>
          <w:spacing w:val="-8"/>
          <w:sz w:val="18"/>
          <w:szCs w:val="18"/>
          <w:lang w:val="es-ES_tradnl"/>
        </w:rPr>
        <w:t xml:space="preserve">abogado Marcos Arteaga Valenzuela, director nacional de </w:t>
      </w:r>
      <w:r>
        <w:rPr>
          <w:spacing w:val="-5"/>
          <w:sz w:val="18"/>
          <w:szCs w:val="18"/>
          <w:lang w:val="es-ES_tradnl"/>
        </w:rPr>
        <w:t xml:space="preserve">Patrocinio, delegado del procurador general del Estado, </w:t>
      </w:r>
      <w:r>
        <w:rPr>
          <w:spacing w:val="-7"/>
          <w:sz w:val="18"/>
          <w:szCs w:val="18"/>
          <w:lang w:val="es-ES_tradnl"/>
        </w:rPr>
        <w:t>sin emitir un pronunciamiento de fondo, se</w:t>
      </w:r>
      <w:r>
        <w:rPr>
          <w:rFonts w:cs="Times New Roman"/>
          <w:spacing w:val="-7"/>
          <w:sz w:val="18"/>
          <w:szCs w:val="18"/>
          <w:lang w:val="es-ES_tradnl"/>
        </w:rPr>
        <w:t>ñ</w:t>
      </w:r>
      <w:r>
        <w:rPr>
          <w:spacing w:val="-7"/>
          <w:sz w:val="18"/>
          <w:szCs w:val="18"/>
          <w:lang w:val="es-ES_tradnl"/>
        </w:rPr>
        <w:t xml:space="preserve">ala el casillero </w:t>
      </w:r>
      <w:r>
        <w:rPr>
          <w:spacing w:val="-6"/>
          <w:sz w:val="18"/>
          <w:szCs w:val="18"/>
          <w:lang w:val="es-ES_tradnl"/>
        </w:rPr>
        <w:t>constitucional N.</w:t>
      </w:r>
      <w:r>
        <w:rPr>
          <w:rFonts w:cs="Times New Roman"/>
          <w:spacing w:val="-6"/>
          <w:sz w:val="18"/>
          <w:szCs w:val="18"/>
          <w:lang w:val="es-ES_tradnl"/>
        </w:rPr>
        <w:t>º</w:t>
      </w:r>
      <w:r>
        <w:rPr>
          <w:spacing w:val="-6"/>
          <w:sz w:val="18"/>
          <w:szCs w:val="18"/>
          <w:lang w:val="es-ES_tradnl"/>
        </w:rPr>
        <w:t xml:space="preserve"> 18 para recibir las notificaciones que le </w:t>
      </w:r>
      <w:r>
        <w:rPr>
          <w:sz w:val="18"/>
          <w:szCs w:val="18"/>
          <w:lang w:val="es-ES_tradnl"/>
        </w:rPr>
        <w:t>correspondan.</w:t>
      </w:r>
    </w:p>
    <w:p w14:paraId="4F67B11D" w14:textId="77777777" w:rsidR="00591D54" w:rsidRDefault="00591D54">
      <w:pPr>
        <w:shd w:val="clear" w:color="auto" w:fill="FFFFFF"/>
        <w:spacing w:before="197"/>
      </w:pPr>
      <w:r>
        <w:rPr>
          <w:b/>
          <w:bCs/>
          <w:spacing w:val="-8"/>
          <w:sz w:val="18"/>
          <w:szCs w:val="18"/>
          <w:lang w:val="es-ES_tradnl"/>
        </w:rPr>
        <w:t>Audiencia p</w:t>
      </w:r>
      <w:r>
        <w:rPr>
          <w:rFonts w:cs="Times New Roman"/>
          <w:b/>
          <w:bCs/>
          <w:spacing w:val="-8"/>
          <w:sz w:val="18"/>
          <w:szCs w:val="18"/>
          <w:lang w:val="es-ES_tradnl"/>
        </w:rPr>
        <w:t>ú</w:t>
      </w:r>
      <w:r>
        <w:rPr>
          <w:b/>
          <w:bCs/>
          <w:spacing w:val="-8"/>
          <w:sz w:val="18"/>
          <w:szCs w:val="18"/>
          <w:lang w:val="es-ES_tradnl"/>
        </w:rPr>
        <w:t>blica</w:t>
      </w:r>
    </w:p>
    <w:p w14:paraId="4F67B11E" w14:textId="77777777" w:rsidR="00591D54" w:rsidRDefault="00591D54">
      <w:pPr>
        <w:shd w:val="clear" w:color="auto" w:fill="FFFFFF"/>
        <w:spacing w:before="202" w:line="216" w:lineRule="exact"/>
        <w:jc w:val="both"/>
      </w:pPr>
      <w:r>
        <w:rPr>
          <w:spacing w:val="-11"/>
          <w:sz w:val="18"/>
          <w:szCs w:val="18"/>
          <w:lang w:val="es-ES_tradnl"/>
        </w:rPr>
        <w:t>Conforme la raz</w:t>
      </w:r>
      <w:r>
        <w:rPr>
          <w:rFonts w:cs="Times New Roman"/>
          <w:spacing w:val="-11"/>
          <w:sz w:val="18"/>
          <w:szCs w:val="18"/>
          <w:lang w:val="es-ES_tradnl"/>
        </w:rPr>
        <w:t>ó</w:t>
      </w:r>
      <w:r>
        <w:rPr>
          <w:spacing w:val="-11"/>
          <w:sz w:val="18"/>
          <w:szCs w:val="18"/>
          <w:lang w:val="es-ES_tradnl"/>
        </w:rPr>
        <w:t>n sentada por la abogada Mar</w:t>
      </w:r>
      <w:r>
        <w:rPr>
          <w:rFonts w:cs="Times New Roman"/>
          <w:spacing w:val="-11"/>
          <w:sz w:val="18"/>
          <w:szCs w:val="18"/>
          <w:lang w:val="es-ES_tradnl"/>
        </w:rPr>
        <w:t>í</w:t>
      </w:r>
      <w:r>
        <w:rPr>
          <w:spacing w:val="-11"/>
          <w:sz w:val="18"/>
          <w:szCs w:val="18"/>
          <w:lang w:val="es-ES_tradnl"/>
        </w:rPr>
        <w:t xml:space="preserve">a Auxiliadora </w:t>
      </w:r>
      <w:r>
        <w:rPr>
          <w:spacing w:val="-7"/>
          <w:sz w:val="18"/>
          <w:szCs w:val="18"/>
          <w:lang w:val="es-ES_tradnl"/>
        </w:rPr>
        <w:t xml:space="preserve">Palacios, actuaria del juez sustanciador, el 09 de junio de </w:t>
      </w:r>
      <w:r>
        <w:rPr>
          <w:spacing w:val="-6"/>
          <w:sz w:val="18"/>
          <w:szCs w:val="18"/>
          <w:lang w:val="es-ES_tradnl"/>
        </w:rPr>
        <w:t>2015 a las 10h00, tuvo lugar la audiencia p</w:t>
      </w:r>
      <w:r>
        <w:rPr>
          <w:rFonts w:cs="Times New Roman"/>
          <w:spacing w:val="-6"/>
          <w:sz w:val="18"/>
          <w:szCs w:val="18"/>
          <w:lang w:val="es-ES_tradnl"/>
        </w:rPr>
        <w:t>ú</w:t>
      </w:r>
      <w:r>
        <w:rPr>
          <w:spacing w:val="-6"/>
          <w:sz w:val="18"/>
          <w:szCs w:val="18"/>
          <w:lang w:val="es-ES_tradnl"/>
        </w:rPr>
        <w:t xml:space="preserve">blica, misma </w:t>
      </w:r>
      <w:r>
        <w:rPr>
          <w:spacing w:val="-5"/>
          <w:sz w:val="18"/>
          <w:szCs w:val="18"/>
          <w:lang w:val="es-ES_tradnl"/>
        </w:rPr>
        <w:t>que cont</w:t>
      </w:r>
      <w:r>
        <w:rPr>
          <w:rFonts w:cs="Times New Roman"/>
          <w:spacing w:val="-5"/>
          <w:sz w:val="18"/>
          <w:szCs w:val="18"/>
          <w:lang w:val="es-ES_tradnl"/>
        </w:rPr>
        <w:t>ó</w:t>
      </w:r>
      <w:r>
        <w:rPr>
          <w:spacing w:val="-5"/>
          <w:sz w:val="18"/>
          <w:szCs w:val="18"/>
          <w:lang w:val="es-ES_tradnl"/>
        </w:rPr>
        <w:t xml:space="preserve"> con la participaci</w:t>
      </w:r>
      <w:r>
        <w:rPr>
          <w:rFonts w:cs="Times New Roman"/>
          <w:spacing w:val="-5"/>
          <w:sz w:val="18"/>
          <w:szCs w:val="18"/>
          <w:lang w:val="es-ES_tradnl"/>
        </w:rPr>
        <w:t>ó</w:t>
      </w:r>
      <w:r>
        <w:rPr>
          <w:spacing w:val="-5"/>
          <w:sz w:val="18"/>
          <w:szCs w:val="18"/>
          <w:lang w:val="es-ES_tradnl"/>
        </w:rPr>
        <w:t xml:space="preserve">n de la legitimada activa, a </w:t>
      </w:r>
      <w:r>
        <w:rPr>
          <w:spacing w:val="-8"/>
          <w:sz w:val="18"/>
          <w:szCs w:val="18"/>
          <w:lang w:val="es-ES_tradnl"/>
        </w:rPr>
        <w:t>trav</w:t>
      </w:r>
      <w:r>
        <w:rPr>
          <w:rFonts w:cs="Times New Roman"/>
          <w:spacing w:val="-8"/>
          <w:sz w:val="18"/>
          <w:szCs w:val="18"/>
          <w:lang w:val="es-ES_tradnl"/>
        </w:rPr>
        <w:t>é</w:t>
      </w:r>
      <w:r>
        <w:rPr>
          <w:spacing w:val="-8"/>
          <w:sz w:val="18"/>
          <w:szCs w:val="18"/>
          <w:lang w:val="es-ES_tradnl"/>
        </w:rPr>
        <w:t>s de su abogado patrocinador, doctor Ciro D</w:t>
      </w:r>
      <w:r>
        <w:rPr>
          <w:rFonts w:cs="Times New Roman"/>
          <w:spacing w:val="-8"/>
          <w:sz w:val="18"/>
          <w:szCs w:val="18"/>
          <w:lang w:val="es-ES_tradnl"/>
        </w:rPr>
        <w:t>í</w:t>
      </w:r>
      <w:r>
        <w:rPr>
          <w:spacing w:val="-8"/>
          <w:sz w:val="18"/>
          <w:szCs w:val="18"/>
          <w:lang w:val="es-ES_tradnl"/>
        </w:rPr>
        <w:t>az Le</w:t>
      </w:r>
      <w:r>
        <w:rPr>
          <w:rFonts w:cs="Times New Roman"/>
          <w:spacing w:val="-8"/>
          <w:sz w:val="18"/>
          <w:szCs w:val="18"/>
          <w:lang w:val="es-ES_tradnl"/>
        </w:rPr>
        <w:t>ó</w:t>
      </w:r>
      <w:r>
        <w:rPr>
          <w:spacing w:val="-8"/>
          <w:sz w:val="18"/>
          <w:szCs w:val="18"/>
          <w:lang w:val="es-ES_tradnl"/>
        </w:rPr>
        <w:t xml:space="preserve">n. </w:t>
      </w:r>
      <w:r>
        <w:rPr>
          <w:spacing w:val="-6"/>
          <w:sz w:val="18"/>
          <w:szCs w:val="18"/>
          <w:lang w:val="es-ES_tradnl"/>
        </w:rPr>
        <w:t>Por parte del tercero con inter</w:t>
      </w:r>
      <w:r>
        <w:rPr>
          <w:rFonts w:cs="Times New Roman"/>
          <w:spacing w:val="-6"/>
          <w:sz w:val="18"/>
          <w:szCs w:val="18"/>
          <w:lang w:val="es-ES_tradnl"/>
        </w:rPr>
        <w:t>é</w:t>
      </w:r>
      <w:r>
        <w:rPr>
          <w:spacing w:val="-6"/>
          <w:sz w:val="18"/>
          <w:szCs w:val="18"/>
          <w:lang w:val="es-ES_tradnl"/>
        </w:rPr>
        <w:t>s en la causa, compareci</w:t>
      </w:r>
      <w:r>
        <w:rPr>
          <w:rFonts w:cs="Times New Roman"/>
          <w:spacing w:val="-6"/>
          <w:sz w:val="18"/>
          <w:szCs w:val="18"/>
          <w:lang w:val="es-ES_tradnl"/>
        </w:rPr>
        <w:t xml:space="preserve">ó </w:t>
      </w:r>
      <w:r>
        <w:rPr>
          <w:spacing w:val="-7"/>
          <w:sz w:val="18"/>
          <w:szCs w:val="18"/>
          <w:lang w:val="es-ES_tradnl"/>
        </w:rPr>
        <w:t>el doctor Olmedo Castro Espinoza en representaci</w:t>
      </w:r>
      <w:r>
        <w:rPr>
          <w:rFonts w:cs="Times New Roman"/>
          <w:spacing w:val="-7"/>
          <w:sz w:val="18"/>
          <w:szCs w:val="18"/>
          <w:lang w:val="es-ES_tradnl"/>
        </w:rPr>
        <w:t>ó</w:t>
      </w:r>
      <w:r>
        <w:rPr>
          <w:spacing w:val="-7"/>
          <w:sz w:val="18"/>
          <w:szCs w:val="18"/>
          <w:lang w:val="es-ES_tradnl"/>
        </w:rPr>
        <w:t xml:space="preserve">n del </w:t>
      </w:r>
      <w:r>
        <w:rPr>
          <w:spacing w:val="-12"/>
          <w:sz w:val="18"/>
          <w:szCs w:val="18"/>
          <w:lang w:val="es-ES_tradnl"/>
        </w:rPr>
        <w:t>gerente general de la compa</w:t>
      </w:r>
      <w:r>
        <w:rPr>
          <w:rFonts w:cs="Times New Roman"/>
          <w:spacing w:val="-12"/>
          <w:sz w:val="18"/>
          <w:szCs w:val="18"/>
          <w:lang w:val="es-ES_tradnl"/>
        </w:rPr>
        <w:t>ñí</w:t>
      </w:r>
      <w:r>
        <w:rPr>
          <w:spacing w:val="-12"/>
          <w:sz w:val="18"/>
          <w:szCs w:val="18"/>
          <w:lang w:val="es-ES_tradnl"/>
        </w:rPr>
        <w:t xml:space="preserve">a Maqhensa Representaciones </w:t>
      </w:r>
      <w:r>
        <w:rPr>
          <w:spacing w:val="-8"/>
          <w:sz w:val="18"/>
          <w:szCs w:val="18"/>
          <w:lang w:val="es-ES_tradnl"/>
        </w:rPr>
        <w:t xml:space="preserve">S. A. No han comparecido los jueces de la Sala Laboral de </w:t>
      </w:r>
      <w:r>
        <w:rPr>
          <w:spacing w:val="-6"/>
          <w:sz w:val="18"/>
          <w:szCs w:val="18"/>
          <w:lang w:val="es-ES_tradnl"/>
        </w:rPr>
        <w:t xml:space="preserve">la Corte Nacional de Justicia ni el procurador general del </w:t>
      </w:r>
      <w:r>
        <w:rPr>
          <w:sz w:val="18"/>
          <w:szCs w:val="18"/>
          <w:lang w:val="es-ES_tradnl"/>
        </w:rPr>
        <w:t>Estado (fojas 47 del expediente).</w:t>
      </w:r>
    </w:p>
    <w:p w14:paraId="4F67B11F" w14:textId="77777777" w:rsidR="00591D54" w:rsidRDefault="00591D54">
      <w:pPr>
        <w:shd w:val="clear" w:color="auto" w:fill="FFFFFF"/>
        <w:spacing w:before="197" w:line="221" w:lineRule="exact"/>
        <w:ind w:left="686" w:hanging="389"/>
      </w:pPr>
      <w:r>
        <w:rPr>
          <w:b/>
          <w:bCs/>
          <w:sz w:val="18"/>
          <w:szCs w:val="18"/>
          <w:lang w:val="es-ES_tradnl"/>
        </w:rPr>
        <w:t>III. CONSIDERACIONES Y FUNDAMENTOS DE LA CORTE CONSTITUCIONAL</w:t>
      </w:r>
    </w:p>
    <w:p w14:paraId="4F67B120" w14:textId="77777777" w:rsidR="00591D54" w:rsidRDefault="00591D54">
      <w:pPr>
        <w:shd w:val="clear" w:color="auto" w:fill="FFFFFF"/>
        <w:spacing w:before="197"/>
      </w:pPr>
      <w:r>
        <w:rPr>
          <w:b/>
          <w:bCs/>
          <w:spacing w:val="-11"/>
          <w:sz w:val="18"/>
          <w:szCs w:val="18"/>
          <w:lang w:val="es-ES_tradnl"/>
        </w:rPr>
        <w:t>Competencia</w:t>
      </w:r>
    </w:p>
    <w:p w14:paraId="4F67B121" w14:textId="77777777" w:rsidR="00591D54" w:rsidRDefault="00591D54">
      <w:pPr>
        <w:shd w:val="clear" w:color="auto" w:fill="FFFFFF"/>
        <w:spacing w:before="197" w:line="221" w:lineRule="exact"/>
        <w:jc w:val="both"/>
      </w:pPr>
      <w:r>
        <w:rPr>
          <w:spacing w:val="-6"/>
          <w:sz w:val="18"/>
          <w:szCs w:val="18"/>
          <w:lang w:val="es-ES_tradnl"/>
        </w:rPr>
        <w:t xml:space="preserve">La Corte Constitucional es competente para conocer y </w:t>
      </w:r>
      <w:r>
        <w:rPr>
          <w:spacing w:val="-7"/>
          <w:sz w:val="18"/>
          <w:szCs w:val="18"/>
          <w:lang w:val="es-ES_tradnl"/>
        </w:rPr>
        <w:t>resolver las acciones extraordinarias de protecci</w:t>
      </w:r>
      <w:r>
        <w:rPr>
          <w:rFonts w:cs="Times New Roman"/>
          <w:spacing w:val="-7"/>
          <w:sz w:val="18"/>
          <w:szCs w:val="18"/>
          <w:lang w:val="es-ES_tradnl"/>
        </w:rPr>
        <w:t>ó</w:t>
      </w:r>
      <w:r>
        <w:rPr>
          <w:spacing w:val="-7"/>
          <w:sz w:val="18"/>
          <w:szCs w:val="18"/>
          <w:lang w:val="es-ES_tradnl"/>
        </w:rPr>
        <w:t xml:space="preserve">n contra </w:t>
      </w:r>
      <w:r>
        <w:rPr>
          <w:spacing w:val="-3"/>
          <w:sz w:val="18"/>
          <w:szCs w:val="18"/>
          <w:lang w:val="es-ES_tradnl"/>
        </w:rPr>
        <w:t xml:space="preserve">sentencias, autos definitivos y resoluciones con fuerza </w:t>
      </w:r>
      <w:r>
        <w:rPr>
          <w:spacing w:val="-2"/>
          <w:sz w:val="18"/>
          <w:szCs w:val="18"/>
          <w:lang w:val="es-ES_tradnl"/>
        </w:rPr>
        <w:t xml:space="preserve">de sentencia, de conformidad con lo previsto en los </w:t>
      </w:r>
      <w:r>
        <w:rPr>
          <w:spacing w:val="-5"/>
          <w:sz w:val="18"/>
          <w:szCs w:val="18"/>
          <w:lang w:val="es-ES_tradnl"/>
        </w:rPr>
        <w:t>art</w:t>
      </w:r>
      <w:r>
        <w:rPr>
          <w:rFonts w:cs="Times New Roman"/>
          <w:spacing w:val="-5"/>
          <w:sz w:val="18"/>
          <w:szCs w:val="18"/>
          <w:lang w:val="es-ES_tradnl"/>
        </w:rPr>
        <w:t>í</w:t>
      </w:r>
      <w:r>
        <w:rPr>
          <w:spacing w:val="-5"/>
          <w:sz w:val="18"/>
          <w:szCs w:val="18"/>
          <w:lang w:val="es-ES_tradnl"/>
        </w:rPr>
        <w:t>culos 94 y 437 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 xml:space="preserve">blica, en </w:t>
      </w:r>
      <w:r>
        <w:rPr>
          <w:spacing w:val="-7"/>
          <w:sz w:val="18"/>
          <w:szCs w:val="18"/>
          <w:lang w:val="es-ES_tradnl"/>
        </w:rPr>
        <w:t>concordancia con los art</w:t>
      </w:r>
      <w:r>
        <w:rPr>
          <w:rFonts w:cs="Times New Roman"/>
          <w:spacing w:val="-7"/>
          <w:sz w:val="18"/>
          <w:szCs w:val="18"/>
          <w:lang w:val="es-ES_tradnl"/>
        </w:rPr>
        <w:t>í</w:t>
      </w:r>
      <w:r>
        <w:rPr>
          <w:spacing w:val="-7"/>
          <w:sz w:val="18"/>
          <w:szCs w:val="18"/>
          <w:lang w:val="es-ES_tradnl"/>
        </w:rPr>
        <w:t xml:space="preserve">culos 63 y 191 numeral 2 literal </w:t>
      </w:r>
      <w:r>
        <w:rPr>
          <w:b/>
          <w:bCs/>
          <w:spacing w:val="-7"/>
          <w:sz w:val="18"/>
          <w:szCs w:val="18"/>
          <w:lang w:val="es-ES_tradnl"/>
        </w:rPr>
        <w:t xml:space="preserve">d </w:t>
      </w:r>
      <w:r>
        <w:rPr>
          <w:spacing w:val="-8"/>
          <w:sz w:val="18"/>
          <w:szCs w:val="18"/>
          <w:lang w:val="es-ES_tradnl"/>
        </w:rPr>
        <w:t>de la Ley Org</w:t>
      </w:r>
      <w:r>
        <w:rPr>
          <w:rFonts w:cs="Times New Roman"/>
          <w:spacing w:val="-8"/>
          <w:sz w:val="18"/>
          <w:szCs w:val="18"/>
          <w:lang w:val="es-ES_tradnl"/>
        </w:rPr>
        <w:t>á</w:t>
      </w:r>
      <w:r>
        <w:rPr>
          <w:spacing w:val="-8"/>
          <w:sz w:val="18"/>
          <w:szCs w:val="18"/>
          <w:lang w:val="es-ES_tradnl"/>
        </w:rPr>
        <w:t>nica de Garant</w:t>
      </w:r>
      <w:r>
        <w:rPr>
          <w:rFonts w:cs="Times New Roman"/>
          <w:spacing w:val="-8"/>
          <w:sz w:val="18"/>
          <w:szCs w:val="18"/>
          <w:lang w:val="es-ES_tradnl"/>
        </w:rPr>
        <w:t>í</w:t>
      </w:r>
      <w:r>
        <w:rPr>
          <w:spacing w:val="-8"/>
          <w:sz w:val="18"/>
          <w:szCs w:val="18"/>
          <w:lang w:val="es-ES_tradnl"/>
        </w:rPr>
        <w:t>as Jurisdiccionales y Control</w:t>
      </w:r>
    </w:p>
    <w:p w14:paraId="4F67B122" w14:textId="77777777" w:rsidR="00591D54" w:rsidRDefault="00591D54">
      <w:pPr>
        <w:shd w:val="clear" w:color="auto" w:fill="FFFFFF"/>
        <w:spacing w:line="221" w:lineRule="exact"/>
        <w:ind w:right="5"/>
        <w:jc w:val="both"/>
      </w:pPr>
      <w:r>
        <w:br w:type="column"/>
      </w:r>
      <w:r>
        <w:rPr>
          <w:spacing w:val="-1"/>
          <w:sz w:val="18"/>
          <w:szCs w:val="18"/>
          <w:lang w:val="es-ES_tradnl"/>
        </w:rPr>
        <w:t>Constitucional, art</w:t>
      </w:r>
      <w:r>
        <w:rPr>
          <w:rFonts w:cs="Times New Roman"/>
          <w:spacing w:val="-1"/>
          <w:sz w:val="18"/>
          <w:szCs w:val="18"/>
          <w:lang w:val="es-ES_tradnl"/>
        </w:rPr>
        <w:t>í</w:t>
      </w:r>
      <w:r>
        <w:rPr>
          <w:spacing w:val="-1"/>
          <w:sz w:val="18"/>
          <w:szCs w:val="18"/>
          <w:lang w:val="es-ES_tradnl"/>
        </w:rPr>
        <w:t xml:space="preserve">culo 3 numeral 8, literal </w:t>
      </w:r>
      <w:r>
        <w:rPr>
          <w:b/>
          <w:bCs/>
          <w:spacing w:val="-1"/>
          <w:sz w:val="18"/>
          <w:szCs w:val="18"/>
          <w:lang w:val="es-ES_tradnl"/>
        </w:rPr>
        <w:t xml:space="preserve">b </w:t>
      </w:r>
      <w:r>
        <w:rPr>
          <w:spacing w:val="-1"/>
          <w:sz w:val="18"/>
          <w:szCs w:val="18"/>
          <w:lang w:val="es-ES_tradnl"/>
        </w:rPr>
        <w:t xml:space="preserve">y tercer </w:t>
      </w:r>
      <w:r>
        <w:rPr>
          <w:spacing w:val="-7"/>
          <w:sz w:val="18"/>
          <w:szCs w:val="18"/>
          <w:lang w:val="es-ES_tradnl"/>
        </w:rPr>
        <w:t>inciso del art</w:t>
      </w:r>
      <w:r>
        <w:rPr>
          <w:rFonts w:cs="Times New Roman"/>
          <w:spacing w:val="-7"/>
          <w:sz w:val="18"/>
          <w:szCs w:val="18"/>
          <w:lang w:val="es-ES_tradnl"/>
        </w:rPr>
        <w:t>í</w:t>
      </w:r>
      <w:r>
        <w:rPr>
          <w:spacing w:val="-7"/>
          <w:sz w:val="18"/>
          <w:szCs w:val="18"/>
          <w:lang w:val="es-ES_tradnl"/>
        </w:rPr>
        <w:t>culo 35 del Reglamento de Sustanciaci</w:t>
      </w:r>
      <w:r>
        <w:rPr>
          <w:rFonts w:cs="Times New Roman"/>
          <w:spacing w:val="-7"/>
          <w:sz w:val="18"/>
          <w:szCs w:val="18"/>
          <w:lang w:val="es-ES_tradnl"/>
        </w:rPr>
        <w:t>ó</w:t>
      </w:r>
      <w:r>
        <w:rPr>
          <w:spacing w:val="-7"/>
          <w:sz w:val="18"/>
          <w:szCs w:val="18"/>
          <w:lang w:val="es-ES_tradnl"/>
        </w:rPr>
        <w:t xml:space="preserve">n de </w:t>
      </w:r>
      <w:r>
        <w:rPr>
          <w:sz w:val="18"/>
          <w:szCs w:val="18"/>
          <w:lang w:val="es-ES_tradnl"/>
        </w:rPr>
        <w:t>Procesos de la Corte Constitucional.</w:t>
      </w:r>
    </w:p>
    <w:p w14:paraId="4F67B123" w14:textId="77777777" w:rsidR="00591D54" w:rsidRDefault="00591D54">
      <w:pPr>
        <w:shd w:val="clear" w:color="auto" w:fill="FFFFFF"/>
        <w:spacing w:before="197"/>
      </w:pPr>
      <w:r>
        <w:rPr>
          <w:b/>
          <w:bCs/>
          <w:spacing w:val="-8"/>
          <w:sz w:val="18"/>
          <w:szCs w:val="18"/>
          <w:lang w:val="es-ES_tradnl"/>
        </w:rPr>
        <w:t>Legitimaci</w:t>
      </w:r>
      <w:r>
        <w:rPr>
          <w:rFonts w:cs="Times New Roman"/>
          <w:b/>
          <w:bCs/>
          <w:spacing w:val="-8"/>
          <w:sz w:val="18"/>
          <w:szCs w:val="18"/>
          <w:lang w:val="es-ES_tradnl"/>
        </w:rPr>
        <w:t>ó</w:t>
      </w:r>
      <w:r>
        <w:rPr>
          <w:b/>
          <w:bCs/>
          <w:spacing w:val="-8"/>
          <w:sz w:val="18"/>
          <w:szCs w:val="18"/>
          <w:lang w:val="es-ES_tradnl"/>
        </w:rPr>
        <w:t>n activa</w:t>
      </w:r>
    </w:p>
    <w:p w14:paraId="4F67B124" w14:textId="77777777" w:rsidR="00591D54" w:rsidRDefault="00591D54">
      <w:pPr>
        <w:shd w:val="clear" w:color="auto" w:fill="FFFFFF"/>
        <w:spacing w:before="206" w:line="221" w:lineRule="exact"/>
        <w:ind w:right="5"/>
        <w:jc w:val="both"/>
      </w:pPr>
      <w:r>
        <w:rPr>
          <w:sz w:val="18"/>
          <w:szCs w:val="18"/>
          <w:lang w:val="es-ES_tradnl"/>
        </w:rPr>
        <w:t>El art</w:t>
      </w:r>
      <w:r>
        <w:rPr>
          <w:rFonts w:cs="Times New Roman"/>
          <w:sz w:val="18"/>
          <w:szCs w:val="18"/>
          <w:lang w:val="es-ES_tradnl"/>
        </w:rPr>
        <w:t>í</w:t>
      </w:r>
      <w:r>
        <w:rPr>
          <w:sz w:val="18"/>
          <w:szCs w:val="18"/>
          <w:lang w:val="es-ES_tradnl"/>
        </w:rPr>
        <w:t>culo 59 de la Ley Org</w:t>
      </w:r>
      <w:r>
        <w:rPr>
          <w:rFonts w:cs="Times New Roman"/>
          <w:sz w:val="18"/>
          <w:szCs w:val="18"/>
          <w:lang w:val="es-ES_tradnl"/>
        </w:rPr>
        <w:t>á</w:t>
      </w:r>
      <w:r>
        <w:rPr>
          <w:sz w:val="18"/>
          <w:szCs w:val="18"/>
          <w:lang w:val="es-ES_tradnl"/>
        </w:rPr>
        <w:t>nica de Garant</w:t>
      </w:r>
      <w:r>
        <w:rPr>
          <w:rFonts w:cs="Times New Roman"/>
          <w:sz w:val="18"/>
          <w:szCs w:val="18"/>
          <w:lang w:val="es-ES_tradnl"/>
        </w:rPr>
        <w:t>í</w:t>
      </w:r>
      <w:r>
        <w:rPr>
          <w:sz w:val="18"/>
          <w:szCs w:val="18"/>
          <w:lang w:val="es-ES_tradnl"/>
        </w:rPr>
        <w:t xml:space="preserve">as </w:t>
      </w:r>
      <w:r>
        <w:rPr>
          <w:spacing w:val="-5"/>
          <w:sz w:val="18"/>
          <w:szCs w:val="18"/>
          <w:lang w:val="es-ES_tradnl"/>
        </w:rPr>
        <w:t xml:space="preserve">Jurisdiccionales y Control Constitucional, manifiesta: </w:t>
      </w:r>
      <w:r>
        <w:rPr>
          <w:rFonts w:cs="Times New Roman"/>
          <w:sz w:val="18"/>
          <w:szCs w:val="18"/>
          <w:lang w:val="es-ES_tradnl"/>
        </w:rPr>
        <w:t>“</w:t>
      </w:r>
      <w:r>
        <w:rPr>
          <w:sz w:val="18"/>
          <w:szCs w:val="18"/>
          <w:lang w:val="es-ES_tradnl"/>
        </w:rPr>
        <w:t>Legitimaci</w:t>
      </w:r>
      <w:r>
        <w:rPr>
          <w:rFonts w:cs="Times New Roman"/>
          <w:sz w:val="18"/>
          <w:szCs w:val="18"/>
          <w:lang w:val="es-ES_tradnl"/>
        </w:rPr>
        <w:t>ó</w:t>
      </w:r>
      <w:r>
        <w:rPr>
          <w:sz w:val="18"/>
          <w:szCs w:val="18"/>
          <w:lang w:val="es-ES_tradnl"/>
        </w:rPr>
        <w:t>n activa.- La acci</w:t>
      </w:r>
      <w:r>
        <w:rPr>
          <w:rFonts w:cs="Times New Roman"/>
          <w:sz w:val="18"/>
          <w:szCs w:val="18"/>
          <w:lang w:val="es-ES_tradnl"/>
        </w:rPr>
        <w:t>ó</w:t>
      </w:r>
      <w:r>
        <w:rPr>
          <w:sz w:val="18"/>
          <w:szCs w:val="18"/>
          <w:lang w:val="es-ES_tradnl"/>
        </w:rPr>
        <w:t xml:space="preserve">n extraordinaria de </w:t>
      </w:r>
      <w:r>
        <w:rPr>
          <w:spacing w:val="-3"/>
          <w:sz w:val="18"/>
          <w:szCs w:val="18"/>
          <w:lang w:val="es-ES_tradnl"/>
        </w:rPr>
        <w:t>protecci</w:t>
      </w:r>
      <w:r>
        <w:rPr>
          <w:rFonts w:cs="Times New Roman"/>
          <w:spacing w:val="-3"/>
          <w:sz w:val="18"/>
          <w:szCs w:val="18"/>
          <w:lang w:val="es-ES_tradnl"/>
        </w:rPr>
        <w:t>ó</w:t>
      </w:r>
      <w:r>
        <w:rPr>
          <w:spacing w:val="-3"/>
          <w:sz w:val="18"/>
          <w:szCs w:val="18"/>
          <w:lang w:val="es-ES_tradnl"/>
        </w:rPr>
        <w:t>n puede ser interpuesta por cualquier persona</w:t>
      </w:r>
    </w:p>
    <w:p w14:paraId="4F67B125" w14:textId="77777777" w:rsidR="00591D54" w:rsidRDefault="00591D54">
      <w:pPr>
        <w:shd w:val="clear" w:color="auto" w:fill="FFFFFF"/>
        <w:tabs>
          <w:tab w:val="left" w:pos="178"/>
        </w:tabs>
        <w:spacing w:line="221" w:lineRule="exact"/>
        <w:ind w:right="5"/>
        <w:jc w:val="both"/>
      </w:pPr>
      <w:r>
        <w:rPr>
          <w:sz w:val="18"/>
          <w:szCs w:val="18"/>
          <w:lang w:val="es-ES_tradnl"/>
        </w:rPr>
        <w:t>0</w:t>
      </w:r>
      <w:r>
        <w:rPr>
          <w:sz w:val="18"/>
          <w:szCs w:val="18"/>
          <w:lang w:val="es-ES_tradnl"/>
        </w:rPr>
        <w:tab/>
      </w:r>
      <w:r>
        <w:rPr>
          <w:spacing w:val="-4"/>
          <w:sz w:val="18"/>
          <w:szCs w:val="18"/>
          <w:lang w:val="es-ES_tradnl"/>
        </w:rPr>
        <w:t>grupo de personas que han o hayan debido ser parte </w:t>
      </w:r>
      <w:r>
        <w:rPr>
          <w:spacing w:val="-6"/>
          <w:sz w:val="18"/>
          <w:szCs w:val="18"/>
          <w:lang w:val="es-ES_tradnl"/>
        </w:rPr>
        <w:t>de un proceso por s</w:t>
      </w:r>
      <w:r>
        <w:rPr>
          <w:rFonts w:cs="Times New Roman"/>
          <w:spacing w:val="-6"/>
          <w:sz w:val="18"/>
          <w:szCs w:val="18"/>
          <w:lang w:val="es-ES_tradnl"/>
        </w:rPr>
        <w:t>í</w:t>
      </w:r>
      <w:r>
        <w:rPr>
          <w:spacing w:val="-6"/>
          <w:sz w:val="18"/>
          <w:szCs w:val="18"/>
          <w:lang w:val="es-ES_tradnl"/>
        </w:rPr>
        <w:t xml:space="preserve"> mismas o por medio de procurador judicial</w:t>
      </w:r>
      <w:r>
        <w:rPr>
          <w:rFonts w:cs="Times New Roman"/>
          <w:spacing w:val="-6"/>
          <w:sz w:val="18"/>
          <w:szCs w:val="18"/>
          <w:lang w:val="es-ES_tradnl"/>
        </w:rPr>
        <w:t>”</w:t>
      </w:r>
      <w:r>
        <w:rPr>
          <w:spacing w:val="-6"/>
          <w:sz w:val="18"/>
          <w:szCs w:val="18"/>
          <w:lang w:val="es-ES_tradnl"/>
        </w:rPr>
        <w:t>. En tal virtud, la accionante, se</w:t>
      </w:r>
      <w:r>
        <w:rPr>
          <w:rFonts w:cs="Times New Roman"/>
          <w:spacing w:val="-6"/>
          <w:sz w:val="18"/>
          <w:szCs w:val="18"/>
          <w:lang w:val="es-ES_tradnl"/>
        </w:rPr>
        <w:t>ñ</w:t>
      </w:r>
      <w:r>
        <w:rPr>
          <w:spacing w:val="-6"/>
          <w:sz w:val="18"/>
          <w:szCs w:val="18"/>
          <w:lang w:val="es-ES_tradnl"/>
        </w:rPr>
        <w:t>ora Cecilia Isabel Prieto Vega de Cadena, se encuentra legitimada para </w:t>
      </w:r>
      <w:r>
        <w:rPr>
          <w:spacing w:val="-9"/>
          <w:sz w:val="18"/>
          <w:szCs w:val="18"/>
          <w:lang w:val="es-ES_tradnl"/>
        </w:rPr>
        <w:t>presentar esta acci</w:t>
      </w:r>
      <w:r>
        <w:rPr>
          <w:rFonts w:cs="Times New Roman"/>
          <w:spacing w:val="-9"/>
          <w:sz w:val="18"/>
          <w:szCs w:val="18"/>
          <w:lang w:val="es-ES_tradnl"/>
        </w:rPr>
        <w:t>ó</w:t>
      </w:r>
      <w:r>
        <w:rPr>
          <w:spacing w:val="-9"/>
          <w:sz w:val="18"/>
          <w:szCs w:val="18"/>
          <w:lang w:val="es-ES_tradnl"/>
        </w:rPr>
        <w:t>n extraordinaria de protecci</w:t>
      </w:r>
      <w:r>
        <w:rPr>
          <w:rFonts w:cs="Times New Roman"/>
          <w:spacing w:val="-9"/>
          <w:sz w:val="18"/>
          <w:szCs w:val="18"/>
          <w:lang w:val="es-ES_tradnl"/>
        </w:rPr>
        <w:t>ó</w:t>
      </w:r>
      <w:r>
        <w:rPr>
          <w:spacing w:val="-9"/>
          <w:sz w:val="18"/>
          <w:szCs w:val="18"/>
          <w:lang w:val="es-ES_tradnl"/>
        </w:rPr>
        <w:t>n, toda vez </w:t>
      </w:r>
      <w:r>
        <w:rPr>
          <w:spacing w:val="-8"/>
          <w:sz w:val="18"/>
          <w:szCs w:val="18"/>
          <w:lang w:val="es-ES_tradnl"/>
        </w:rPr>
        <w:t>que, conforme se desprende del expediente de instancia, </w:t>
      </w:r>
      <w:r>
        <w:rPr>
          <w:spacing w:val="-5"/>
          <w:sz w:val="18"/>
          <w:szCs w:val="18"/>
          <w:lang w:val="es-ES_tradnl"/>
        </w:rPr>
        <w:t>compareci</w:t>
      </w:r>
      <w:r>
        <w:rPr>
          <w:rFonts w:cs="Times New Roman"/>
          <w:spacing w:val="-5"/>
          <w:sz w:val="18"/>
          <w:szCs w:val="18"/>
          <w:lang w:val="es-ES_tradnl"/>
        </w:rPr>
        <w:t>ó</w:t>
      </w:r>
      <w:r>
        <w:rPr>
          <w:spacing w:val="-5"/>
          <w:sz w:val="18"/>
          <w:szCs w:val="18"/>
          <w:lang w:val="es-ES_tradnl"/>
        </w:rPr>
        <w:t xml:space="preserve"> en calidad de actora en el juicio laboral en </w:t>
      </w:r>
      <w:r>
        <w:rPr>
          <w:spacing w:val="-8"/>
          <w:sz w:val="18"/>
          <w:szCs w:val="18"/>
          <w:lang w:val="es-ES_tradnl"/>
        </w:rPr>
        <w:t>contra del representante legal de la compa</w:t>
      </w:r>
      <w:r>
        <w:rPr>
          <w:rFonts w:cs="Times New Roman"/>
          <w:spacing w:val="-8"/>
          <w:sz w:val="18"/>
          <w:szCs w:val="18"/>
          <w:lang w:val="es-ES_tradnl"/>
        </w:rPr>
        <w:t>ñí</w:t>
      </w:r>
      <w:r>
        <w:rPr>
          <w:spacing w:val="-8"/>
          <w:sz w:val="18"/>
          <w:szCs w:val="18"/>
          <w:lang w:val="es-ES_tradnl"/>
        </w:rPr>
        <w:t>a Maqhensa </w:t>
      </w:r>
      <w:r>
        <w:rPr>
          <w:spacing w:val="-9"/>
          <w:sz w:val="18"/>
          <w:szCs w:val="18"/>
          <w:lang w:val="es-ES_tradnl"/>
        </w:rPr>
        <w:t>representaciones S. A., ante el juez segundo del trabajo del Guayas, por tanto, cumple con el requerimiento establecido </w:t>
      </w:r>
      <w:r>
        <w:rPr>
          <w:sz w:val="18"/>
          <w:szCs w:val="18"/>
          <w:lang w:val="es-ES_tradnl"/>
        </w:rPr>
        <w:t xml:space="preserve">en la normativa constitucional </w:t>
      </w:r>
      <w:r>
        <w:rPr>
          <w:i/>
          <w:iCs/>
          <w:sz w:val="18"/>
          <w:szCs w:val="18"/>
          <w:lang w:val="es-ES_tradnl"/>
        </w:rPr>
        <w:t>ut supra</w:t>
      </w:r>
      <w:r>
        <w:rPr>
          <w:sz w:val="18"/>
          <w:szCs w:val="18"/>
          <w:lang w:val="es-ES_tradnl"/>
        </w:rPr>
        <w:t>.</w:t>
      </w:r>
    </w:p>
    <w:p w14:paraId="4F67B126" w14:textId="77777777" w:rsidR="00591D54" w:rsidRDefault="00591D54">
      <w:pPr>
        <w:shd w:val="clear" w:color="auto" w:fill="FFFFFF"/>
        <w:spacing w:before="202"/>
      </w:pPr>
      <w:r>
        <w:rPr>
          <w:b/>
          <w:bCs/>
          <w:spacing w:val="-9"/>
          <w:sz w:val="18"/>
          <w:szCs w:val="18"/>
          <w:lang w:val="es-ES_tradnl"/>
        </w:rPr>
        <w:t>An</w:t>
      </w:r>
      <w:r>
        <w:rPr>
          <w:rFonts w:cs="Times New Roman"/>
          <w:b/>
          <w:bCs/>
          <w:spacing w:val="-9"/>
          <w:sz w:val="18"/>
          <w:szCs w:val="18"/>
          <w:lang w:val="es-ES_tradnl"/>
        </w:rPr>
        <w:t>á</w:t>
      </w:r>
      <w:r>
        <w:rPr>
          <w:b/>
          <w:bCs/>
          <w:spacing w:val="-9"/>
          <w:sz w:val="18"/>
          <w:szCs w:val="18"/>
          <w:lang w:val="es-ES_tradnl"/>
        </w:rPr>
        <w:t>lisis constitucional</w:t>
      </w:r>
    </w:p>
    <w:p w14:paraId="4F67B127" w14:textId="77777777" w:rsidR="00591D54" w:rsidRDefault="00591D54">
      <w:pPr>
        <w:shd w:val="clear" w:color="auto" w:fill="FFFFFF"/>
        <w:spacing w:before="197"/>
      </w:pPr>
      <w:r>
        <w:rPr>
          <w:b/>
          <w:bCs/>
          <w:spacing w:val="-7"/>
          <w:sz w:val="18"/>
          <w:szCs w:val="18"/>
          <w:lang w:val="es-ES_tradnl"/>
        </w:rPr>
        <w:t>Finalidad de la acci</w:t>
      </w:r>
      <w:r>
        <w:rPr>
          <w:rFonts w:cs="Times New Roman"/>
          <w:b/>
          <w:bCs/>
          <w:spacing w:val="-7"/>
          <w:sz w:val="18"/>
          <w:szCs w:val="18"/>
          <w:lang w:val="es-ES_tradnl"/>
        </w:rPr>
        <w:t>ó</w:t>
      </w:r>
      <w:r>
        <w:rPr>
          <w:b/>
          <w:bCs/>
          <w:spacing w:val="-7"/>
          <w:sz w:val="18"/>
          <w:szCs w:val="18"/>
          <w:lang w:val="es-ES_tradnl"/>
        </w:rPr>
        <w:t>n extraordinaria de protecci</w:t>
      </w:r>
      <w:r>
        <w:rPr>
          <w:rFonts w:cs="Times New Roman"/>
          <w:b/>
          <w:bCs/>
          <w:spacing w:val="-7"/>
          <w:sz w:val="18"/>
          <w:szCs w:val="18"/>
          <w:lang w:val="es-ES_tradnl"/>
        </w:rPr>
        <w:t>ó</w:t>
      </w:r>
      <w:r>
        <w:rPr>
          <w:b/>
          <w:bCs/>
          <w:spacing w:val="-7"/>
          <w:sz w:val="18"/>
          <w:szCs w:val="18"/>
          <w:lang w:val="es-ES_tradnl"/>
        </w:rPr>
        <w:t>n</w:t>
      </w:r>
    </w:p>
    <w:p w14:paraId="4F67B128" w14:textId="77777777" w:rsidR="00591D54" w:rsidRDefault="00591D54">
      <w:pPr>
        <w:shd w:val="clear" w:color="auto" w:fill="FFFFFF"/>
        <w:spacing w:before="202" w:line="221" w:lineRule="exact"/>
        <w:ind w:right="5"/>
        <w:jc w:val="both"/>
      </w:pPr>
      <w:r>
        <w:rPr>
          <w:spacing w:val="-6"/>
          <w:sz w:val="18"/>
          <w:szCs w:val="18"/>
          <w:lang w:val="es-ES_tradnl"/>
        </w:rPr>
        <w:t>La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tiene por objeto el </w:t>
      </w:r>
      <w:r>
        <w:rPr>
          <w:spacing w:val="-9"/>
          <w:sz w:val="18"/>
          <w:szCs w:val="18"/>
          <w:lang w:val="es-ES_tradnl"/>
        </w:rPr>
        <w:t>aseguramiento y la efectividad de los derechos y garant</w:t>
      </w:r>
      <w:r>
        <w:rPr>
          <w:rFonts w:cs="Times New Roman"/>
          <w:spacing w:val="-9"/>
          <w:sz w:val="18"/>
          <w:szCs w:val="18"/>
          <w:lang w:val="es-ES_tradnl"/>
        </w:rPr>
        <w:t>í</w:t>
      </w:r>
      <w:r>
        <w:rPr>
          <w:spacing w:val="-9"/>
          <w:sz w:val="18"/>
          <w:szCs w:val="18"/>
          <w:lang w:val="es-ES_tradnl"/>
        </w:rPr>
        <w:t xml:space="preserve">as </w:t>
      </w:r>
      <w:r>
        <w:rPr>
          <w:spacing w:val="-8"/>
          <w:sz w:val="18"/>
          <w:szCs w:val="18"/>
          <w:lang w:val="es-ES_tradnl"/>
        </w:rPr>
        <w:t xml:space="preserve">constitucionales, evitando un perjuicio irremediable cuando </w:t>
      </w:r>
      <w:r>
        <w:rPr>
          <w:spacing w:val="-3"/>
          <w:sz w:val="18"/>
          <w:szCs w:val="18"/>
          <w:lang w:val="es-ES_tradnl"/>
        </w:rPr>
        <w:t>incurre el accionar de los jueces en una vulneraci</w:t>
      </w:r>
      <w:r>
        <w:rPr>
          <w:rFonts w:cs="Times New Roman"/>
          <w:spacing w:val="-3"/>
          <w:sz w:val="18"/>
          <w:szCs w:val="18"/>
          <w:lang w:val="es-ES_tradnl"/>
        </w:rPr>
        <w:t>ó</w:t>
      </w:r>
      <w:r>
        <w:rPr>
          <w:spacing w:val="-3"/>
          <w:sz w:val="18"/>
          <w:szCs w:val="18"/>
          <w:lang w:val="es-ES_tradnl"/>
        </w:rPr>
        <w:t xml:space="preserve">n de </w:t>
      </w:r>
      <w:r>
        <w:rPr>
          <w:spacing w:val="-6"/>
          <w:sz w:val="18"/>
          <w:szCs w:val="18"/>
          <w:lang w:val="es-ES_tradnl"/>
        </w:rPr>
        <w:t>las normas constitucionales sea por acci</w:t>
      </w:r>
      <w:r>
        <w:rPr>
          <w:rFonts w:cs="Times New Roman"/>
          <w:spacing w:val="-6"/>
          <w:sz w:val="18"/>
          <w:szCs w:val="18"/>
          <w:lang w:val="es-ES_tradnl"/>
        </w:rPr>
        <w:t>ó</w:t>
      </w:r>
      <w:r>
        <w:rPr>
          <w:spacing w:val="-6"/>
          <w:sz w:val="18"/>
          <w:szCs w:val="18"/>
          <w:lang w:val="es-ES_tradnl"/>
        </w:rPr>
        <w:t>n u omisi</w:t>
      </w:r>
      <w:r>
        <w:rPr>
          <w:rFonts w:cs="Times New Roman"/>
          <w:spacing w:val="-6"/>
          <w:sz w:val="18"/>
          <w:szCs w:val="18"/>
          <w:lang w:val="es-ES_tradnl"/>
        </w:rPr>
        <w:t>ó</w:t>
      </w:r>
      <w:r>
        <w:rPr>
          <w:spacing w:val="-6"/>
          <w:sz w:val="18"/>
          <w:szCs w:val="18"/>
          <w:lang w:val="es-ES_tradnl"/>
        </w:rPr>
        <w:t xml:space="preserve">n, en </w:t>
      </w:r>
      <w:r>
        <w:rPr>
          <w:spacing w:val="-5"/>
          <w:sz w:val="18"/>
          <w:szCs w:val="18"/>
          <w:lang w:val="es-ES_tradnl"/>
        </w:rPr>
        <w:t>la sentencia, auto o resoluci</w:t>
      </w:r>
      <w:r>
        <w:rPr>
          <w:rFonts w:cs="Times New Roman"/>
          <w:spacing w:val="-5"/>
          <w:sz w:val="18"/>
          <w:szCs w:val="18"/>
          <w:lang w:val="es-ES_tradnl"/>
        </w:rPr>
        <w:t>ó</w:t>
      </w:r>
      <w:r>
        <w:rPr>
          <w:spacing w:val="-5"/>
          <w:sz w:val="18"/>
          <w:szCs w:val="18"/>
          <w:lang w:val="es-ES_tradnl"/>
        </w:rPr>
        <w:t xml:space="preserve">n firme en ejercicio de su </w:t>
      </w:r>
      <w:r>
        <w:rPr>
          <w:sz w:val="18"/>
          <w:szCs w:val="18"/>
          <w:lang w:val="es-ES_tradnl"/>
        </w:rPr>
        <w:t>actividad jurisdiccional.</w:t>
      </w:r>
    </w:p>
    <w:p w14:paraId="4F67B129" w14:textId="77777777" w:rsidR="00591D54" w:rsidRDefault="00591D54">
      <w:pPr>
        <w:shd w:val="clear" w:color="auto" w:fill="FFFFFF"/>
        <w:spacing w:before="202" w:line="221" w:lineRule="exact"/>
        <w:jc w:val="both"/>
      </w:pPr>
      <w:r>
        <w:rPr>
          <w:spacing w:val="-10"/>
          <w:sz w:val="18"/>
          <w:szCs w:val="18"/>
          <w:lang w:val="es-ES_tradnl"/>
        </w:rPr>
        <w:t xml:space="preserve">No se trata de una instancia sobrepuesta a las ya existentes, </w:t>
      </w:r>
      <w:r>
        <w:rPr>
          <w:spacing w:val="-7"/>
          <w:sz w:val="18"/>
          <w:szCs w:val="18"/>
          <w:lang w:val="es-ES_tradnl"/>
        </w:rPr>
        <w:t>ni tampoco tiene como prop</w:t>
      </w:r>
      <w:r>
        <w:rPr>
          <w:rFonts w:cs="Times New Roman"/>
          <w:spacing w:val="-7"/>
          <w:sz w:val="18"/>
          <w:szCs w:val="18"/>
          <w:lang w:val="es-ES_tradnl"/>
        </w:rPr>
        <w:t>ó</w:t>
      </w:r>
      <w:r>
        <w:rPr>
          <w:spacing w:val="-7"/>
          <w:sz w:val="18"/>
          <w:szCs w:val="18"/>
          <w:lang w:val="es-ES_tradnl"/>
        </w:rPr>
        <w:t>sito deslegitimar la actuaci</w:t>
      </w:r>
      <w:r>
        <w:rPr>
          <w:rFonts w:cs="Times New Roman"/>
          <w:spacing w:val="-7"/>
          <w:sz w:val="18"/>
          <w:szCs w:val="18"/>
          <w:lang w:val="es-ES_tradnl"/>
        </w:rPr>
        <w:t>ó</w:t>
      </w:r>
      <w:r>
        <w:rPr>
          <w:spacing w:val="-7"/>
          <w:sz w:val="18"/>
          <w:szCs w:val="18"/>
          <w:lang w:val="es-ES_tradnl"/>
        </w:rPr>
        <w:t xml:space="preserve">n </w:t>
      </w:r>
      <w:r>
        <w:rPr>
          <w:spacing w:val="-10"/>
          <w:sz w:val="18"/>
          <w:szCs w:val="18"/>
          <w:lang w:val="es-ES_tradnl"/>
        </w:rPr>
        <w:t xml:space="preserve">de juezas y jueces; sino, por lo contrario, permite emerger un </w:t>
      </w:r>
      <w:r>
        <w:rPr>
          <w:spacing w:val="-11"/>
          <w:sz w:val="18"/>
          <w:szCs w:val="18"/>
          <w:lang w:val="es-ES_tradnl"/>
        </w:rPr>
        <w:t xml:space="preserve">sistema de justicia caracterizado por el respeto y la obediencia </w:t>
      </w:r>
      <w:r>
        <w:rPr>
          <w:spacing w:val="-4"/>
          <w:sz w:val="18"/>
          <w:szCs w:val="18"/>
          <w:lang w:val="es-ES_tradnl"/>
        </w:rPr>
        <w:t>a las disposiciones y principios constitucionales. De all</w:t>
      </w:r>
      <w:r>
        <w:rPr>
          <w:rFonts w:cs="Times New Roman"/>
          <w:spacing w:val="-4"/>
          <w:sz w:val="18"/>
          <w:szCs w:val="18"/>
          <w:lang w:val="es-ES_tradnl"/>
        </w:rPr>
        <w:t xml:space="preserve">í </w:t>
      </w:r>
      <w:r>
        <w:rPr>
          <w:spacing w:val="-8"/>
          <w:sz w:val="18"/>
          <w:szCs w:val="18"/>
          <w:lang w:val="es-ES_tradnl"/>
        </w:rPr>
        <w:t xml:space="preserve">que la Corte Constitucional ecuatoriana, cuando conoce la </w:t>
      </w:r>
      <w:r>
        <w:rPr>
          <w:spacing w:val="-10"/>
          <w:sz w:val="18"/>
          <w:szCs w:val="18"/>
          <w:lang w:val="es-ES_tradnl"/>
        </w:rPr>
        <w:t>garant</w:t>
      </w:r>
      <w:r>
        <w:rPr>
          <w:rFonts w:cs="Times New Roman"/>
          <w:spacing w:val="-10"/>
          <w:sz w:val="18"/>
          <w:szCs w:val="18"/>
          <w:lang w:val="es-ES_tradnl"/>
        </w:rPr>
        <w:t>í</w:t>
      </w:r>
      <w:r>
        <w:rPr>
          <w:spacing w:val="-10"/>
          <w:sz w:val="18"/>
          <w:szCs w:val="18"/>
          <w:lang w:val="es-ES_tradnl"/>
        </w:rPr>
        <w:t xml:space="preserve">a jurisdiccional de derechos constitucionales, no hace las veces de un tribunal de alzada por el contrario, interviene </w:t>
      </w:r>
      <w:r>
        <w:rPr>
          <w:spacing w:val="-7"/>
          <w:sz w:val="18"/>
          <w:szCs w:val="18"/>
          <w:lang w:val="es-ES_tradnl"/>
        </w:rPr>
        <w:t>siempre que se verifiquen indicios de vulneraciones a los derechos reconocidos por 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 xml:space="preserve">blica. </w:t>
      </w:r>
      <w:r>
        <w:rPr>
          <w:spacing w:val="-4"/>
          <w:sz w:val="18"/>
          <w:szCs w:val="18"/>
          <w:lang w:val="es-ES_tradnl"/>
        </w:rPr>
        <w:t xml:space="preserve">En otras palabras, esta Corte ejerce un control especial </w:t>
      </w:r>
      <w:r>
        <w:rPr>
          <w:spacing w:val="-6"/>
          <w:sz w:val="18"/>
          <w:szCs w:val="18"/>
          <w:lang w:val="es-ES_tradnl"/>
        </w:rPr>
        <w:t>en la actividad juzgadora de los jueces de la jurisdicci</w:t>
      </w:r>
      <w:r>
        <w:rPr>
          <w:rFonts w:cs="Times New Roman"/>
          <w:spacing w:val="-6"/>
          <w:sz w:val="18"/>
          <w:szCs w:val="18"/>
          <w:lang w:val="es-ES_tradnl"/>
        </w:rPr>
        <w:t>ó</w:t>
      </w:r>
      <w:r>
        <w:rPr>
          <w:spacing w:val="-6"/>
          <w:sz w:val="18"/>
          <w:szCs w:val="18"/>
          <w:lang w:val="es-ES_tradnl"/>
        </w:rPr>
        <w:t xml:space="preserve">n </w:t>
      </w:r>
      <w:r>
        <w:rPr>
          <w:spacing w:val="-8"/>
          <w:sz w:val="18"/>
          <w:szCs w:val="18"/>
          <w:lang w:val="es-ES_tradnl"/>
        </w:rPr>
        <w:t xml:space="preserve">ordinaria, pues, fiscaliza sus sentencias y autos definitivos en los que se haya vulnerado las reglas del debido proceso </w:t>
      </w:r>
      <w:r>
        <w:rPr>
          <w:spacing w:val="-7"/>
          <w:sz w:val="18"/>
          <w:szCs w:val="18"/>
          <w:lang w:val="es-ES_tradnl"/>
        </w:rPr>
        <w:t>y derechos reconocidos en la Constituci</w:t>
      </w:r>
      <w:r>
        <w:rPr>
          <w:rFonts w:cs="Times New Roman"/>
          <w:spacing w:val="-7"/>
          <w:sz w:val="18"/>
          <w:szCs w:val="18"/>
          <w:lang w:val="es-ES_tradnl"/>
        </w:rPr>
        <w:t>ó</w:t>
      </w:r>
      <w:r>
        <w:rPr>
          <w:spacing w:val="-7"/>
          <w:sz w:val="18"/>
          <w:szCs w:val="18"/>
          <w:lang w:val="es-ES_tradnl"/>
        </w:rPr>
        <w:t xml:space="preserve">n o tratados </w:t>
      </w:r>
      <w:r>
        <w:rPr>
          <w:spacing w:val="-11"/>
          <w:sz w:val="18"/>
          <w:szCs w:val="18"/>
          <w:lang w:val="es-ES_tradnl"/>
        </w:rPr>
        <w:t>internacionales sobre derechos humanos y de la naturaleza</w:t>
      </w:r>
      <w:r>
        <w:rPr>
          <w:spacing w:val="-11"/>
          <w:sz w:val="18"/>
          <w:szCs w:val="18"/>
          <w:vertAlign w:val="superscript"/>
          <w:lang w:val="es-ES_tradnl"/>
        </w:rPr>
        <w:t xml:space="preserve">1 </w:t>
      </w:r>
      <w:r>
        <w:rPr>
          <w:spacing w:val="-7"/>
          <w:sz w:val="18"/>
          <w:szCs w:val="18"/>
          <w:lang w:val="es-ES_tradnl"/>
        </w:rPr>
        <w:t>sin que ello, signifique intromisi</w:t>
      </w:r>
      <w:r>
        <w:rPr>
          <w:rFonts w:cs="Times New Roman"/>
          <w:spacing w:val="-7"/>
          <w:sz w:val="18"/>
          <w:szCs w:val="18"/>
          <w:lang w:val="es-ES_tradnl"/>
        </w:rPr>
        <w:t>ó</w:t>
      </w:r>
      <w:r>
        <w:rPr>
          <w:spacing w:val="-7"/>
          <w:sz w:val="18"/>
          <w:szCs w:val="18"/>
          <w:lang w:val="es-ES_tradnl"/>
        </w:rPr>
        <w:t xml:space="preserve">n en la independencia del </w:t>
      </w:r>
      <w:r>
        <w:rPr>
          <w:spacing w:val="-9"/>
          <w:sz w:val="18"/>
          <w:szCs w:val="18"/>
          <w:lang w:val="es-ES_tradnl"/>
        </w:rPr>
        <w:t>juez. Por tanto, la finalidad de esta acci</w:t>
      </w:r>
      <w:r>
        <w:rPr>
          <w:rFonts w:cs="Times New Roman"/>
          <w:spacing w:val="-9"/>
          <w:sz w:val="18"/>
          <w:szCs w:val="18"/>
          <w:lang w:val="es-ES_tradnl"/>
        </w:rPr>
        <w:t>ó</w:t>
      </w:r>
      <w:r>
        <w:rPr>
          <w:spacing w:val="-9"/>
          <w:sz w:val="18"/>
          <w:szCs w:val="18"/>
          <w:lang w:val="es-ES_tradnl"/>
        </w:rPr>
        <w:t xml:space="preserve">n se justifica por la </w:t>
      </w:r>
      <w:r>
        <w:rPr>
          <w:spacing w:val="-8"/>
          <w:sz w:val="18"/>
          <w:szCs w:val="18"/>
          <w:lang w:val="es-ES_tradnl"/>
        </w:rPr>
        <w:t>necesidad de garantizar la validez de la Constituci</w:t>
      </w:r>
      <w:r>
        <w:rPr>
          <w:rFonts w:cs="Times New Roman"/>
          <w:spacing w:val="-8"/>
          <w:sz w:val="18"/>
          <w:szCs w:val="18"/>
          <w:lang w:val="es-ES_tradnl"/>
        </w:rPr>
        <w:t>ó</w:t>
      </w:r>
      <w:r>
        <w:rPr>
          <w:spacing w:val="-8"/>
          <w:sz w:val="18"/>
          <w:szCs w:val="18"/>
          <w:lang w:val="es-ES_tradnl"/>
        </w:rPr>
        <w:t>n como norma suprema del ordenamiento jur</w:t>
      </w:r>
      <w:r>
        <w:rPr>
          <w:rFonts w:cs="Times New Roman"/>
          <w:spacing w:val="-8"/>
          <w:sz w:val="18"/>
          <w:szCs w:val="18"/>
          <w:lang w:val="es-ES_tradnl"/>
        </w:rPr>
        <w:t>í</w:t>
      </w:r>
      <w:r>
        <w:rPr>
          <w:spacing w:val="-8"/>
          <w:sz w:val="18"/>
          <w:szCs w:val="18"/>
          <w:lang w:val="es-ES_tradnl"/>
        </w:rPr>
        <w:t>dico y por ejercer una</w:t>
      </w:r>
    </w:p>
    <w:p w14:paraId="4F67B12A" w14:textId="77777777" w:rsidR="00591D54" w:rsidRDefault="00591D54">
      <w:pPr>
        <w:shd w:val="clear" w:color="auto" w:fill="FFFFFF"/>
        <w:tabs>
          <w:tab w:val="left" w:pos="144"/>
        </w:tabs>
        <w:spacing w:before="494" w:line="178" w:lineRule="exact"/>
        <w:ind w:left="144" w:right="5" w:hanging="144"/>
        <w:jc w:val="both"/>
      </w:pPr>
      <w:r>
        <w:rPr>
          <w:sz w:val="14"/>
          <w:szCs w:val="14"/>
          <w:vertAlign w:val="superscript"/>
          <w:lang w:val="es-ES_tradnl"/>
        </w:rPr>
        <w:t>1</w:t>
      </w:r>
      <w:r>
        <w:rPr>
          <w:sz w:val="18"/>
          <w:szCs w:val="18"/>
          <w:lang w:val="es-ES_tradnl"/>
        </w:rPr>
        <w:tab/>
      </w:r>
      <w:r>
        <w:rPr>
          <w:spacing w:val="-3"/>
          <w:sz w:val="14"/>
          <w:szCs w:val="14"/>
          <w:lang w:val="es-ES_tradnl"/>
        </w:rPr>
        <w:t>Ley</w:t>
      </w:r>
      <w:r>
        <w:rPr>
          <w:spacing w:val="-3"/>
          <w:sz w:val="18"/>
          <w:szCs w:val="18"/>
          <w:lang w:val="es-ES_tradnl"/>
        </w:rPr>
        <w:t xml:space="preserve"> </w:t>
      </w:r>
      <w:r>
        <w:rPr>
          <w:spacing w:val="-3"/>
          <w:sz w:val="14"/>
          <w:szCs w:val="14"/>
          <w:lang w:val="es-ES_tradnl"/>
        </w:rPr>
        <w:t>Org</w:t>
      </w:r>
      <w:r>
        <w:rPr>
          <w:rFonts w:cs="Times New Roman"/>
          <w:spacing w:val="-3"/>
          <w:sz w:val="14"/>
          <w:szCs w:val="14"/>
          <w:lang w:val="es-ES_tradnl"/>
        </w:rPr>
        <w:t>á</w:t>
      </w:r>
      <w:r>
        <w:rPr>
          <w:spacing w:val="-3"/>
          <w:sz w:val="14"/>
          <w:szCs w:val="14"/>
          <w:lang w:val="es-ES_tradnl"/>
        </w:rPr>
        <w:t>nica</w:t>
      </w:r>
      <w:r>
        <w:rPr>
          <w:spacing w:val="-3"/>
          <w:sz w:val="18"/>
          <w:szCs w:val="18"/>
          <w:lang w:val="es-ES_tradnl"/>
        </w:rPr>
        <w:t xml:space="preserve"> </w:t>
      </w:r>
      <w:r>
        <w:rPr>
          <w:spacing w:val="-3"/>
          <w:sz w:val="14"/>
          <w:szCs w:val="14"/>
          <w:lang w:val="es-ES_tradnl"/>
        </w:rPr>
        <w:t>de</w:t>
      </w:r>
      <w:r>
        <w:rPr>
          <w:spacing w:val="-3"/>
          <w:sz w:val="18"/>
          <w:szCs w:val="18"/>
          <w:lang w:val="es-ES_tradnl"/>
        </w:rPr>
        <w:t xml:space="preserve"> </w:t>
      </w:r>
      <w:r>
        <w:rPr>
          <w:spacing w:val="-3"/>
          <w:sz w:val="14"/>
          <w:szCs w:val="14"/>
          <w:lang w:val="es-ES_tradnl"/>
        </w:rPr>
        <w:t>Garant</w:t>
      </w:r>
      <w:r>
        <w:rPr>
          <w:rFonts w:cs="Times New Roman"/>
          <w:spacing w:val="-3"/>
          <w:sz w:val="14"/>
          <w:szCs w:val="14"/>
          <w:lang w:val="es-ES_tradnl"/>
        </w:rPr>
        <w:t>í</w:t>
      </w:r>
      <w:r>
        <w:rPr>
          <w:spacing w:val="-3"/>
          <w:sz w:val="14"/>
          <w:szCs w:val="14"/>
          <w:lang w:val="es-ES_tradnl"/>
        </w:rPr>
        <w:t>as</w:t>
      </w:r>
      <w:r>
        <w:rPr>
          <w:spacing w:val="-3"/>
          <w:sz w:val="18"/>
          <w:szCs w:val="18"/>
          <w:lang w:val="es-ES_tradnl"/>
        </w:rPr>
        <w:t xml:space="preserve"> </w:t>
      </w:r>
      <w:r>
        <w:rPr>
          <w:spacing w:val="-3"/>
          <w:sz w:val="14"/>
          <w:szCs w:val="14"/>
          <w:lang w:val="es-ES_tradnl"/>
        </w:rPr>
        <w:t>Jurisdiccionales</w:t>
      </w:r>
      <w:r>
        <w:rPr>
          <w:spacing w:val="-3"/>
          <w:sz w:val="18"/>
          <w:szCs w:val="18"/>
          <w:lang w:val="es-ES_tradnl"/>
        </w:rPr>
        <w:t xml:space="preserve"> </w:t>
      </w:r>
      <w:r>
        <w:rPr>
          <w:spacing w:val="-3"/>
          <w:sz w:val="14"/>
          <w:szCs w:val="14"/>
          <w:lang w:val="es-ES_tradnl"/>
        </w:rPr>
        <w:t>y</w:t>
      </w:r>
      <w:r>
        <w:rPr>
          <w:spacing w:val="-3"/>
          <w:sz w:val="18"/>
          <w:szCs w:val="18"/>
          <w:lang w:val="es-ES_tradnl"/>
        </w:rPr>
        <w:t xml:space="preserve"> </w:t>
      </w:r>
      <w:r>
        <w:rPr>
          <w:spacing w:val="-3"/>
          <w:sz w:val="14"/>
          <w:szCs w:val="14"/>
          <w:lang w:val="es-ES_tradnl"/>
        </w:rPr>
        <w:t>Control</w:t>
      </w:r>
      <w:r>
        <w:rPr>
          <w:spacing w:val="-3"/>
          <w:sz w:val="18"/>
          <w:szCs w:val="18"/>
          <w:lang w:val="es-ES_tradnl"/>
        </w:rPr>
        <w:t xml:space="preserve"> </w:t>
      </w:r>
      <w:r>
        <w:rPr>
          <w:spacing w:val="-3"/>
          <w:sz w:val="14"/>
          <w:szCs w:val="14"/>
          <w:lang w:val="es-ES_tradnl"/>
        </w:rPr>
        <w:t>Constitucional, </w:t>
      </w:r>
      <w:r>
        <w:rPr>
          <w:spacing w:val="-1"/>
          <w:sz w:val="14"/>
          <w:szCs w:val="14"/>
          <w:lang w:val="es-ES_tradnl"/>
        </w:rPr>
        <w:t>art</w:t>
      </w:r>
      <w:r>
        <w:rPr>
          <w:rFonts w:cs="Times New Roman"/>
          <w:spacing w:val="-1"/>
          <w:sz w:val="14"/>
          <w:szCs w:val="14"/>
          <w:lang w:val="es-ES_tradnl"/>
        </w:rPr>
        <w:t>í</w:t>
      </w:r>
      <w:r>
        <w:rPr>
          <w:spacing w:val="-1"/>
          <w:sz w:val="14"/>
          <w:szCs w:val="14"/>
          <w:lang w:val="es-ES_tradnl"/>
        </w:rPr>
        <w:t xml:space="preserve">culo 1.- </w:t>
      </w:r>
      <w:r>
        <w:rPr>
          <w:rFonts w:cs="Times New Roman"/>
          <w:spacing w:val="-1"/>
          <w:sz w:val="14"/>
          <w:szCs w:val="14"/>
          <w:lang w:val="es-ES_tradnl"/>
        </w:rPr>
        <w:t>“</w:t>
      </w:r>
      <w:r>
        <w:rPr>
          <w:spacing w:val="-1"/>
          <w:sz w:val="14"/>
          <w:szCs w:val="14"/>
          <w:lang w:val="es-ES_tradnl"/>
        </w:rPr>
        <w:t>Objetivo y finalidad de la ley.- Esta ley tiene por objeto </w:t>
      </w:r>
      <w:r>
        <w:rPr>
          <w:sz w:val="14"/>
          <w:szCs w:val="14"/>
          <w:lang w:val="es-ES_tradnl"/>
        </w:rPr>
        <w:t>regular la jurisdicci</w:t>
      </w:r>
      <w:r>
        <w:rPr>
          <w:rFonts w:cs="Times New Roman"/>
          <w:sz w:val="14"/>
          <w:szCs w:val="14"/>
          <w:lang w:val="es-ES_tradnl"/>
        </w:rPr>
        <w:t>ó</w:t>
      </w:r>
      <w:r>
        <w:rPr>
          <w:sz w:val="14"/>
          <w:szCs w:val="14"/>
          <w:lang w:val="es-ES_tradnl"/>
        </w:rPr>
        <w:t>n constitucional, con el fin de garantizar jurisdiccionalmente los derechos reconocidos en la Constituci</w:t>
      </w:r>
      <w:r>
        <w:rPr>
          <w:rFonts w:cs="Times New Roman"/>
          <w:sz w:val="14"/>
          <w:szCs w:val="14"/>
          <w:lang w:val="es-ES_tradnl"/>
        </w:rPr>
        <w:t>ó</w:t>
      </w:r>
      <w:r>
        <w:rPr>
          <w:sz w:val="14"/>
          <w:szCs w:val="14"/>
          <w:lang w:val="es-ES_tradnl"/>
        </w:rPr>
        <w:t>n y </w:t>
      </w:r>
      <w:r>
        <w:rPr>
          <w:spacing w:val="-2"/>
          <w:sz w:val="14"/>
          <w:szCs w:val="14"/>
          <w:lang w:val="es-ES_tradnl"/>
        </w:rPr>
        <w:t>en los instrumentos internacionales de derechos humanos y de la naturaleza; y garantizar la eficacia y la supremac</w:t>
      </w:r>
      <w:r>
        <w:rPr>
          <w:rFonts w:cs="Times New Roman"/>
          <w:spacing w:val="-2"/>
          <w:sz w:val="14"/>
          <w:szCs w:val="14"/>
          <w:lang w:val="es-ES_tradnl"/>
        </w:rPr>
        <w:t>í</w:t>
      </w:r>
      <w:r>
        <w:rPr>
          <w:spacing w:val="-2"/>
          <w:sz w:val="14"/>
          <w:szCs w:val="14"/>
          <w:lang w:val="es-ES_tradnl"/>
        </w:rPr>
        <w:t>a constitucional</w:t>
      </w:r>
      <w:r>
        <w:rPr>
          <w:rFonts w:cs="Times New Roman"/>
          <w:spacing w:val="-2"/>
          <w:sz w:val="14"/>
          <w:szCs w:val="14"/>
          <w:lang w:val="es-ES_tradnl"/>
        </w:rPr>
        <w:t>”</w:t>
      </w:r>
      <w:r>
        <w:rPr>
          <w:spacing w:val="-2"/>
          <w:sz w:val="14"/>
          <w:szCs w:val="14"/>
          <w:lang w:val="es-ES_tradnl"/>
        </w:rPr>
        <w:t>.</w:t>
      </w:r>
    </w:p>
    <w:p w14:paraId="4F67B12B" w14:textId="77777777" w:rsidR="00591D54" w:rsidRDefault="00591D54">
      <w:pPr>
        <w:shd w:val="clear" w:color="auto" w:fill="FFFFFF"/>
        <w:tabs>
          <w:tab w:val="left" w:pos="144"/>
        </w:tabs>
        <w:spacing w:before="494" w:line="178" w:lineRule="exact"/>
        <w:ind w:left="144" w:right="5" w:hanging="144"/>
        <w:jc w:val="both"/>
        <w:sectPr w:rsidR="00591D54">
          <w:type w:val="continuous"/>
          <w:pgSz w:w="11909" w:h="16834"/>
          <w:pgMar w:top="1356" w:right="1304" w:bottom="360" w:left="1308" w:header="720" w:footer="720" w:gutter="0"/>
          <w:cols w:num="2" w:space="720" w:equalWidth="0">
            <w:col w:w="4305" w:space="682"/>
            <w:col w:w="4310"/>
          </w:cols>
          <w:noEndnote/>
        </w:sectPr>
      </w:pPr>
    </w:p>
    <w:p w14:paraId="4F67B12C" w14:textId="77777777" w:rsidR="00591D54" w:rsidRDefault="00591D54">
      <w:pPr>
        <w:shd w:val="clear" w:color="auto" w:fill="FFFFFF"/>
        <w:tabs>
          <w:tab w:val="left" w:pos="5842"/>
        </w:tabs>
        <w:spacing w:after="226"/>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- 167</w:t>
      </w:r>
    </w:p>
    <w:p w14:paraId="4F67B12D" w14:textId="77777777" w:rsidR="00591D54" w:rsidRDefault="00591D54">
      <w:pPr>
        <w:shd w:val="clear" w:color="auto" w:fill="FFFFFF"/>
        <w:tabs>
          <w:tab w:val="left" w:pos="5842"/>
        </w:tabs>
        <w:spacing w:after="226"/>
        <w:ind w:left="5"/>
        <w:sectPr w:rsidR="00591D54">
          <w:pgSz w:w="11909" w:h="16834"/>
          <w:pgMar w:top="1356" w:right="1309" w:bottom="360" w:left="1308" w:header="720" w:footer="720" w:gutter="0"/>
          <w:cols w:space="60"/>
          <w:noEndnote/>
        </w:sectPr>
      </w:pPr>
    </w:p>
    <w:p w14:paraId="4F67B12E" w14:textId="77777777" w:rsidR="00591D54" w:rsidRDefault="00591D54">
      <w:pPr>
        <w:shd w:val="clear" w:color="auto" w:fill="FFFFFF"/>
        <w:spacing w:before="5" w:line="230" w:lineRule="exact"/>
        <w:jc w:val="both"/>
      </w:pPr>
      <w:r>
        <w:rPr>
          <w:spacing w:val="-5"/>
          <w:sz w:val="18"/>
          <w:szCs w:val="18"/>
          <w:lang w:val="es-ES_tradnl"/>
        </w:rPr>
        <w:t>verdadera justicia constitucional, cuya misi</w:t>
      </w:r>
      <w:r>
        <w:rPr>
          <w:rFonts w:cs="Times New Roman"/>
          <w:spacing w:val="-5"/>
          <w:sz w:val="18"/>
          <w:szCs w:val="18"/>
          <w:lang w:val="es-ES_tradnl"/>
        </w:rPr>
        <w:t>ó</w:t>
      </w:r>
      <w:r>
        <w:rPr>
          <w:spacing w:val="-5"/>
          <w:sz w:val="18"/>
          <w:szCs w:val="18"/>
          <w:lang w:val="es-ES_tradnl"/>
        </w:rPr>
        <w:t xml:space="preserve">n principal </w:t>
      </w:r>
      <w:r>
        <w:rPr>
          <w:spacing w:val="-8"/>
          <w:sz w:val="18"/>
          <w:szCs w:val="18"/>
          <w:lang w:val="es-ES_tradnl"/>
        </w:rPr>
        <w:t xml:space="preserve">consiste en comprobar, custodiar, preservar o restablecer </w:t>
      </w:r>
      <w:r>
        <w:rPr>
          <w:spacing w:val="-9"/>
          <w:sz w:val="18"/>
          <w:szCs w:val="18"/>
          <w:lang w:val="es-ES_tradnl"/>
        </w:rPr>
        <w:t>cualquier derecho constitucional vulnerado de las personas.</w:t>
      </w:r>
    </w:p>
    <w:p w14:paraId="4F67B12F" w14:textId="77777777" w:rsidR="00591D54" w:rsidRDefault="00591D54">
      <w:pPr>
        <w:shd w:val="clear" w:color="auto" w:fill="FFFFFF"/>
        <w:spacing w:before="202" w:line="230" w:lineRule="exact"/>
        <w:ind w:right="5"/>
        <w:jc w:val="both"/>
      </w:pPr>
      <w:r>
        <w:rPr>
          <w:spacing w:val="-6"/>
          <w:sz w:val="18"/>
          <w:szCs w:val="18"/>
          <w:lang w:val="es-ES_tradnl"/>
        </w:rPr>
        <w:t>Refiri</w:t>
      </w:r>
      <w:r>
        <w:rPr>
          <w:rFonts w:cs="Times New Roman"/>
          <w:spacing w:val="-6"/>
          <w:sz w:val="18"/>
          <w:szCs w:val="18"/>
          <w:lang w:val="es-ES_tradnl"/>
        </w:rPr>
        <w:t>é</w:t>
      </w:r>
      <w:r>
        <w:rPr>
          <w:spacing w:val="-6"/>
          <w:sz w:val="18"/>
          <w:szCs w:val="18"/>
          <w:lang w:val="es-ES_tradnl"/>
        </w:rPr>
        <w:t>ndose a la naturaleza de esta acci</w:t>
      </w:r>
      <w:r>
        <w:rPr>
          <w:rFonts w:cs="Times New Roman"/>
          <w:spacing w:val="-6"/>
          <w:sz w:val="18"/>
          <w:szCs w:val="18"/>
          <w:lang w:val="es-ES_tradnl"/>
        </w:rPr>
        <w:t>ó</w:t>
      </w:r>
      <w:r>
        <w:rPr>
          <w:spacing w:val="-6"/>
          <w:sz w:val="18"/>
          <w:szCs w:val="18"/>
          <w:lang w:val="es-ES_tradnl"/>
        </w:rPr>
        <w:t xml:space="preserve">n, la Corte </w:t>
      </w:r>
      <w:r>
        <w:rPr>
          <w:spacing w:val="-10"/>
          <w:sz w:val="18"/>
          <w:szCs w:val="18"/>
          <w:lang w:val="es-ES_tradnl"/>
        </w:rPr>
        <w:t>Constitucional del Ecuador en su sentencia N.</w:t>
      </w:r>
      <w:r>
        <w:rPr>
          <w:rFonts w:cs="Times New Roman"/>
          <w:spacing w:val="-10"/>
          <w:sz w:val="18"/>
          <w:szCs w:val="18"/>
          <w:lang w:val="es-ES_tradnl"/>
        </w:rPr>
        <w:t>º</w:t>
      </w:r>
      <w:r>
        <w:rPr>
          <w:spacing w:val="-10"/>
          <w:sz w:val="18"/>
          <w:szCs w:val="18"/>
          <w:lang w:val="es-ES_tradnl"/>
        </w:rPr>
        <w:t xml:space="preserve"> 125-14-SEP-</w:t>
      </w:r>
      <w:r>
        <w:rPr>
          <w:spacing w:val="-8"/>
          <w:sz w:val="18"/>
          <w:szCs w:val="18"/>
          <w:lang w:val="es-ES_tradnl"/>
        </w:rPr>
        <w:t>CC, expedida el 14 de agosto de 2014, manifest</w:t>
      </w:r>
      <w:r>
        <w:rPr>
          <w:rFonts w:cs="Times New Roman"/>
          <w:spacing w:val="-8"/>
          <w:sz w:val="18"/>
          <w:szCs w:val="18"/>
          <w:lang w:val="es-ES_tradnl"/>
        </w:rPr>
        <w:t>ó</w:t>
      </w:r>
      <w:r>
        <w:rPr>
          <w:spacing w:val="-8"/>
          <w:sz w:val="18"/>
          <w:szCs w:val="18"/>
          <w:lang w:val="es-ES_tradnl"/>
        </w:rPr>
        <w:t xml:space="preserve"> que:</w:t>
      </w:r>
    </w:p>
    <w:p w14:paraId="4F67B130" w14:textId="77777777" w:rsidR="00591D54" w:rsidRDefault="00591D54">
      <w:pPr>
        <w:shd w:val="clear" w:color="auto" w:fill="FFFFFF"/>
        <w:spacing w:before="202" w:line="230" w:lineRule="exact"/>
        <w:ind w:left="283" w:right="5"/>
        <w:jc w:val="both"/>
      </w:pPr>
      <w:r>
        <w:rPr>
          <w:rFonts w:cs="Times New Roman"/>
          <w:spacing w:val="-6"/>
          <w:sz w:val="16"/>
          <w:szCs w:val="16"/>
          <w:lang w:val="es-ES_tradnl"/>
        </w:rPr>
        <w:t>“</w:t>
      </w:r>
      <w:r>
        <w:rPr>
          <w:spacing w:val="-6"/>
          <w:sz w:val="16"/>
          <w:szCs w:val="16"/>
          <w:lang w:val="es-ES_tradnl"/>
        </w:rPr>
        <w:t>(</w:t>
      </w:r>
      <w:r>
        <w:rPr>
          <w:rFonts w:cs="Times New Roman"/>
          <w:spacing w:val="-6"/>
          <w:sz w:val="16"/>
          <w:szCs w:val="16"/>
          <w:lang w:val="es-ES_tradnl"/>
        </w:rPr>
        <w:t>…</w:t>
      </w:r>
      <w:r>
        <w:rPr>
          <w:spacing w:val="-6"/>
          <w:sz w:val="16"/>
          <w:szCs w:val="16"/>
          <w:lang w:val="es-ES_tradnl"/>
        </w:rPr>
        <w:t>) En este contexto, la acci</w:t>
      </w:r>
      <w:r>
        <w:rPr>
          <w:rFonts w:cs="Times New Roman"/>
          <w:spacing w:val="-6"/>
          <w:sz w:val="16"/>
          <w:szCs w:val="16"/>
          <w:lang w:val="es-ES_tradnl"/>
        </w:rPr>
        <w:t>ó</w:t>
      </w:r>
      <w:r>
        <w:rPr>
          <w:spacing w:val="-6"/>
          <w:sz w:val="16"/>
          <w:szCs w:val="16"/>
          <w:lang w:val="es-ES_tradnl"/>
        </w:rPr>
        <w:t>n extraordinaria de protecci</w:t>
      </w:r>
      <w:r>
        <w:rPr>
          <w:rFonts w:cs="Times New Roman"/>
          <w:spacing w:val="-6"/>
          <w:sz w:val="16"/>
          <w:szCs w:val="16"/>
          <w:lang w:val="es-ES_tradnl"/>
        </w:rPr>
        <w:t>ó</w:t>
      </w:r>
      <w:r>
        <w:rPr>
          <w:spacing w:val="-6"/>
          <w:sz w:val="16"/>
          <w:szCs w:val="16"/>
          <w:lang w:val="es-ES_tradnl"/>
        </w:rPr>
        <w:t xml:space="preserve">n </w:t>
      </w:r>
      <w:r>
        <w:rPr>
          <w:sz w:val="16"/>
          <w:szCs w:val="16"/>
          <w:lang w:val="es-ES_tradnl"/>
        </w:rPr>
        <w:t xml:space="preserve">se origina como un mecanismo de control respecto a </w:t>
      </w:r>
      <w:r>
        <w:rPr>
          <w:spacing w:val="-4"/>
          <w:sz w:val="16"/>
          <w:szCs w:val="16"/>
          <w:lang w:val="es-ES_tradnl"/>
        </w:rPr>
        <w:t xml:space="preserve">la constitucionalidad de las actuaciones de los </w:t>
      </w:r>
      <w:r>
        <w:rPr>
          <w:rFonts w:cs="Times New Roman"/>
          <w:spacing w:val="-4"/>
          <w:sz w:val="16"/>
          <w:szCs w:val="16"/>
          <w:lang w:val="es-ES_tradnl"/>
        </w:rPr>
        <w:t>ó</w:t>
      </w:r>
      <w:r>
        <w:rPr>
          <w:spacing w:val="-4"/>
          <w:sz w:val="16"/>
          <w:szCs w:val="16"/>
          <w:lang w:val="es-ES_tradnl"/>
        </w:rPr>
        <w:t xml:space="preserve">rganos </w:t>
      </w:r>
      <w:r>
        <w:rPr>
          <w:spacing w:val="-7"/>
          <w:sz w:val="16"/>
          <w:szCs w:val="16"/>
          <w:lang w:val="es-ES_tradnl"/>
        </w:rPr>
        <w:t>judiciales; en lo que compete al presente caso, a la actuaci</w:t>
      </w:r>
      <w:r>
        <w:rPr>
          <w:rFonts w:cs="Times New Roman"/>
          <w:spacing w:val="-7"/>
          <w:sz w:val="16"/>
          <w:szCs w:val="16"/>
          <w:lang w:val="es-ES_tradnl"/>
        </w:rPr>
        <w:t>ó</w:t>
      </w:r>
      <w:r>
        <w:rPr>
          <w:spacing w:val="-7"/>
          <w:sz w:val="16"/>
          <w:szCs w:val="16"/>
          <w:lang w:val="es-ES_tradnl"/>
        </w:rPr>
        <w:t xml:space="preserve">n </w:t>
      </w:r>
      <w:r>
        <w:rPr>
          <w:spacing w:val="-5"/>
          <w:sz w:val="16"/>
          <w:szCs w:val="16"/>
          <w:lang w:val="es-ES_tradnl"/>
        </w:rPr>
        <w:t>de la Sala cuya resoluci</w:t>
      </w:r>
      <w:r>
        <w:rPr>
          <w:rFonts w:cs="Times New Roman"/>
          <w:spacing w:val="-5"/>
          <w:sz w:val="16"/>
          <w:szCs w:val="16"/>
          <w:lang w:val="es-ES_tradnl"/>
        </w:rPr>
        <w:t>ó</w:t>
      </w:r>
      <w:r>
        <w:rPr>
          <w:spacing w:val="-5"/>
          <w:sz w:val="16"/>
          <w:szCs w:val="16"/>
          <w:lang w:val="es-ES_tradnl"/>
        </w:rPr>
        <w:t xml:space="preserve">n se impugna, quienes en ejercicio </w:t>
      </w:r>
      <w:r>
        <w:rPr>
          <w:spacing w:val="-4"/>
          <w:sz w:val="16"/>
          <w:szCs w:val="16"/>
          <w:lang w:val="es-ES_tradnl"/>
        </w:rPr>
        <w:t xml:space="preserve">de la potestad jurisdiccional, conferida constitucional y </w:t>
      </w:r>
      <w:r>
        <w:rPr>
          <w:spacing w:val="-6"/>
          <w:sz w:val="16"/>
          <w:szCs w:val="16"/>
          <w:lang w:val="es-ES_tradnl"/>
        </w:rPr>
        <w:t xml:space="preserve">legalmente, administran justicia y por ende se encuentran </w:t>
      </w:r>
      <w:r>
        <w:rPr>
          <w:spacing w:val="-10"/>
          <w:sz w:val="16"/>
          <w:szCs w:val="16"/>
          <w:lang w:val="es-ES_tradnl"/>
        </w:rPr>
        <w:t xml:space="preserve">llamados a asegurar que el sistema procesal sea un medio para </w:t>
      </w:r>
      <w:r>
        <w:rPr>
          <w:spacing w:val="-6"/>
          <w:sz w:val="16"/>
          <w:szCs w:val="16"/>
          <w:lang w:val="es-ES_tradnl"/>
        </w:rPr>
        <w:t>la realizaci</w:t>
      </w:r>
      <w:r>
        <w:rPr>
          <w:rFonts w:cs="Times New Roman"/>
          <w:spacing w:val="-6"/>
          <w:sz w:val="16"/>
          <w:szCs w:val="16"/>
          <w:lang w:val="es-ES_tradnl"/>
        </w:rPr>
        <w:t>ó</w:t>
      </w:r>
      <w:r>
        <w:rPr>
          <w:spacing w:val="-6"/>
          <w:sz w:val="16"/>
          <w:szCs w:val="16"/>
          <w:lang w:val="es-ES_tradnl"/>
        </w:rPr>
        <w:t>n de la justicia y hacer efectivas las garant</w:t>
      </w:r>
      <w:r>
        <w:rPr>
          <w:rFonts w:cs="Times New Roman"/>
          <w:spacing w:val="-6"/>
          <w:sz w:val="16"/>
          <w:szCs w:val="16"/>
          <w:lang w:val="es-ES_tradnl"/>
        </w:rPr>
        <w:t>í</w:t>
      </w:r>
      <w:r>
        <w:rPr>
          <w:spacing w:val="-6"/>
          <w:sz w:val="16"/>
          <w:szCs w:val="16"/>
          <w:lang w:val="es-ES_tradnl"/>
        </w:rPr>
        <w:t xml:space="preserve">as del </w:t>
      </w:r>
      <w:r>
        <w:rPr>
          <w:spacing w:val="-5"/>
          <w:sz w:val="16"/>
          <w:szCs w:val="16"/>
          <w:lang w:val="es-ES_tradnl"/>
        </w:rPr>
        <w:t xml:space="preserve">debido proceso, en tal virtud, la Corte Constitucional, como </w:t>
      </w:r>
      <w:r>
        <w:rPr>
          <w:spacing w:val="-6"/>
          <w:sz w:val="16"/>
          <w:szCs w:val="16"/>
          <w:lang w:val="es-ES_tradnl"/>
        </w:rPr>
        <w:t>m</w:t>
      </w:r>
      <w:r>
        <w:rPr>
          <w:rFonts w:cs="Times New Roman"/>
          <w:spacing w:val="-6"/>
          <w:sz w:val="16"/>
          <w:szCs w:val="16"/>
          <w:lang w:val="es-ES_tradnl"/>
        </w:rPr>
        <w:t>á</w:t>
      </w:r>
      <w:r>
        <w:rPr>
          <w:spacing w:val="-6"/>
          <w:sz w:val="16"/>
          <w:szCs w:val="16"/>
          <w:lang w:val="es-ES_tradnl"/>
        </w:rPr>
        <w:t xml:space="preserve">ximo </w:t>
      </w:r>
      <w:r>
        <w:rPr>
          <w:rFonts w:cs="Times New Roman"/>
          <w:spacing w:val="-6"/>
          <w:sz w:val="16"/>
          <w:szCs w:val="16"/>
          <w:lang w:val="es-ES_tradnl"/>
        </w:rPr>
        <w:t>ó</w:t>
      </w:r>
      <w:r>
        <w:rPr>
          <w:spacing w:val="-6"/>
          <w:sz w:val="16"/>
          <w:szCs w:val="16"/>
          <w:lang w:val="es-ES_tradnl"/>
        </w:rPr>
        <w:t>rgano de control, interpretaci</w:t>
      </w:r>
      <w:r>
        <w:rPr>
          <w:rFonts w:cs="Times New Roman"/>
          <w:spacing w:val="-6"/>
          <w:sz w:val="16"/>
          <w:szCs w:val="16"/>
          <w:lang w:val="es-ES_tradnl"/>
        </w:rPr>
        <w:t>ó</w:t>
      </w:r>
      <w:r>
        <w:rPr>
          <w:spacing w:val="-6"/>
          <w:sz w:val="16"/>
          <w:szCs w:val="16"/>
          <w:lang w:val="es-ES_tradnl"/>
        </w:rPr>
        <w:t>n y administraci</w:t>
      </w:r>
      <w:r>
        <w:rPr>
          <w:rFonts w:cs="Times New Roman"/>
          <w:spacing w:val="-6"/>
          <w:sz w:val="16"/>
          <w:szCs w:val="16"/>
          <w:lang w:val="es-ES_tradnl"/>
        </w:rPr>
        <w:t>ó</w:t>
      </w:r>
      <w:r>
        <w:rPr>
          <w:spacing w:val="-6"/>
          <w:sz w:val="16"/>
          <w:szCs w:val="16"/>
          <w:lang w:val="es-ES_tradnl"/>
        </w:rPr>
        <w:t xml:space="preserve">n de </w:t>
      </w:r>
      <w:r>
        <w:rPr>
          <w:spacing w:val="-5"/>
          <w:sz w:val="16"/>
          <w:szCs w:val="16"/>
          <w:lang w:val="es-ES_tradnl"/>
        </w:rPr>
        <w:t xml:space="preserve">justicia en materia constitucional, en virtud de lo prescrito en </w:t>
      </w:r>
      <w:r>
        <w:rPr>
          <w:spacing w:val="-7"/>
          <w:sz w:val="16"/>
          <w:szCs w:val="16"/>
          <w:lang w:val="es-ES_tradnl"/>
        </w:rPr>
        <w:t>el art</w:t>
      </w:r>
      <w:r>
        <w:rPr>
          <w:rFonts w:cs="Times New Roman"/>
          <w:spacing w:val="-7"/>
          <w:sz w:val="16"/>
          <w:szCs w:val="16"/>
          <w:lang w:val="es-ES_tradnl"/>
        </w:rPr>
        <w:t>í</w:t>
      </w:r>
      <w:r>
        <w:rPr>
          <w:spacing w:val="-7"/>
          <w:sz w:val="16"/>
          <w:szCs w:val="16"/>
          <w:lang w:val="es-ES_tradnl"/>
        </w:rPr>
        <w:t>culo 429 de la Constituci</w:t>
      </w:r>
      <w:r>
        <w:rPr>
          <w:rFonts w:cs="Times New Roman"/>
          <w:spacing w:val="-7"/>
          <w:sz w:val="16"/>
          <w:szCs w:val="16"/>
          <w:lang w:val="es-ES_tradnl"/>
        </w:rPr>
        <w:t>ó</w:t>
      </w:r>
      <w:r>
        <w:rPr>
          <w:spacing w:val="-7"/>
          <w:sz w:val="16"/>
          <w:szCs w:val="16"/>
          <w:lang w:val="es-ES_tradnl"/>
        </w:rPr>
        <w:t>n de la Rep</w:t>
      </w:r>
      <w:r>
        <w:rPr>
          <w:rFonts w:cs="Times New Roman"/>
          <w:spacing w:val="-7"/>
          <w:sz w:val="16"/>
          <w:szCs w:val="16"/>
          <w:lang w:val="es-ES_tradnl"/>
        </w:rPr>
        <w:t>ú</w:t>
      </w:r>
      <w:r>
        <w:rPr>
          <w:spacing w:val="-7"/>
          <w:sz w:val="16"/>
          <w:szCs w:val="16"/>
          <w:lang w:val="es-ES_tradnl"/>
        </w:rPr>
        <w:t>blica, en el tr</w:t>
      </w:r>
      <w:r>
        <w:rPr>
          <w:rFonts w:cs="Times New Roman"/>
          <w:spacing w:val="-7"/>
          <w:sz w:val="16"/>
          <w:szCs w:val="16"/>
          <w:lang w:val="es-ES_tradnl"/>
        </w:rPr>
        <w:t>á</w:t>
      </w:r>
      <w:r>
        <w:rPr>
          <w:spacing w:val="-7"/>
          <w:sz w:val="16"/>
          <w:szCs w:val="16"/>
          <w:lang w:val="es-ES_tradnl"/>
        </w:rPr>
        <w:t xml:space="preserve">mite </w:t>
      </w:r>
      <w:r>
        <w:rPr>
          <w:spacing w:val="-5"/>
          <w:sz w:val="16"/>
          <w:szCs w:val="16"/>
          <w:lang w:val="es-ES_tradnl"/>
        </w:rPr>
        <w:t>de una acci</w:t>
      </w:r>
      <w:r>
        <w:rPr>
          <w:rFonts w:cs="Times New Roman"/>
          <w:spacing w:val="-5"/>
          <w:sz w:val="16"/>
          <w:szCs w:val="16"/>
          <w:lang w:val="es-ES_tradnl"/>
        </w:rPr>
        <w:t>ó</w:t>
      </w:r>
      <w:r>
        <w:rPr>
          <w:spacing w:val="-5"/>
          <w:sz w:val="16"/>
          <w:szCs w:val="16"/>
          <w:lang w:val="es-ES_tradnl"/>
        </w:rPr>
        <w:t>n extraordinaria de protecci</w:t>
      </w:r>
      <w:r>
        <w:rPr>
          <w:rFonts w:cs="Times New Roman"/>
          <w:spacing w:val="-5"/>
          <w:sz w:val="16"/>
          <w:szCs w:val="16"/>
          <w:lang w:val="es-ES_tradnl"/>
        </w:rPr>
        <w:t>ó</w:t>
      </w:r>
      <w:r>
        <w:rPr>
          <w:spacing w:val="-5"/>
          <w:sz w:val="16"/>
          <w:szCs w:val="16"/>
          <w:lang w:val="es-ES_tradnl"/>
        </w:rPr>
        <w:t xml:space="preserve">n, debe constatar </w:t>
      </w:r>
      <w:r>
        <w:rPr>
          <w:spacing w:val="-7"/>
          <w:sz w:val="16"/>
          <w:szCs w:val="16"/>
          <w:lang w:val="es-ES_tradnl"/>
        </w:rPr>
        <w:t xml:space="preserve">que, efectivamente, las sentencias, autos y resoluciones con </w:t>
      </w:r>
      <w:r>
        <w:rPr>
          <w:spacing w:val="-10"/>
          <w:sz w:val="16"/>
          <w:szCs w:val="16"/>
          <w:lang w:val="es-ES_tradnl"/>
        </w:rPr>
        <w:t xml:space="preserve">fuerza de sentencia se encuentren firmes o ejecutoriados y que, </w:t>
      </w:r>
      <w:r>
        <w:rPr>
          <w:spacing w:val="-6"/>
          <w:sz w:val="16"/>
          <w:szCs w:val="16"/>
          <w:lang w:val="es-ES_tradnl"/>
        </w:rPr>
        <w:t>durante el juzgamiento, no se hayan vulnerado por acci</w:t>
      </w:r>
      <w:r>
        <w:rPr>
          <w:rFonts w:cs="Times New Roman"/>
          <w:spacing w:val="-6"/>
          <w:sz w:val="16"/>
          <w:szCs w:val="16"/>
          <w:lang w:val="es-ES_tradnl"/>
        </w:rPr>
        <w:t>ó</w:t>
      </w:r>
      <w:r>
        <w:rPr>
          <w:spacing w:val="-6"/>
          <w:sz w:val="16"/>
          <w:szCs w:val="16"/>
          <w:lang w:val="es-ES_tradnl"/>
        </w:rPr>
        <w:t>n u omisi</w:t>
      </w:r>
      <w:r>
        <w:rPr>
          <w:rFonts w:cs="Times New Roman"/>
          <w:spacing w:val="-6"/>
          <w:sz w:val="16"/>
          <w:szCs w:val="16"/>
          <w:lang w:val="es-ES_tradnl"/>
        </w:rPr>
        <w:t>ó</w:t>
      </w:r>
      <w:r>
        <w:rPr>
          <w:spacing w:val="-6"/>
          <w:sz w:val="16"/>
          <w:szCs w:val="16"/>
          <w:lang w:val="es-ES_tradnl"/>
        </w:rPr>
        <w:t>n el debido proceso u otro derecho constitucional.</w:t>
      </w:r>
    </w:p>
    <w:p w14:paraId="4F67B131" w14:textId="77777777" w:rsidR="00591D54" w:rsidRDefault="00591D54">
      <w:pPr>
        <w:shd w:val="clear" w:color="auto" w:fill="FFFFFF"/>
        <w:spacing w:before="216" w:line="226" w:lineRule="exact"/>
        <w:ind w:left="283"/>
        <w:jc w:val="both"/>
      </w:pPr>
      <w:r>
        <w:rPr>
          <w:spacing w:val="-6"/>
          <w:sz w:val="16"/>
          <w:szCs w:val="16"/>
          <w:lang w:val="es-ES_tradnl"/>
        </w:rPr>
        <w:t xml:space="preserve">Finalmente, esta Corte considera oportuno recordar que la </w:t>
      </w:r>
      <w:r>
        <w:rPr>
          <w:spacing w:val="-5"/>
          <w:sz w:val="16"/>
          <w:szCs w:val="16"/>
          <w:lang w:val="es-ES_tradnl"/>
        </w:rPr>
        <w:t>acci</w:t>
      </w:r>
      <w:r>
        <w:rPr>
          <w:rFonts w:cs="Times New Roman"/>
          <w:spacing w:val="-5"/>
          <w:sz w:val="16"/>
          <w:szCs w:val="16"/>
          <w:lang w:val="es-ES_tradnl"/>
        </w:rPr>
        <w:t>ó</w:t>
      </w:r>
      <w:r>
        <w:rPr>
          <w:spacing w:val="-5"/>
          <w:sz w:val="16"/>
          <w:szCs w:val="16"/>
          <w:lang w:val="es-ES_tradnl"/>
        </w:rPr>
        <w:t>n extraordinaria de protecci</w:t>
      </w:r>
      <w:r>
        <w:rPr>
          <w:rFonts w:cs="Times New Roman"/>
          <w:spacing w:val="-5"/>
          <w:sz w:val="16"/>
          <w:szCs w:val="16"/>
          <w:lang w:val="es-ES_tradnl"/>
        </w:rPr>
        <w:t>ó</w:t>
      </w:r>
      <w:r>
        <w:rPr>
          <w:spacing w:val="-5"/>
          <w:sz w:val="16"/>
          <w:szCs w:val="16"/>
          <w:lang w:val="es-ES_tradnl"/>
        </w:rPr>
        <w:t xml:space="preserve">n no es una </w:t>
      </w:r>
      <w:r>
        <w:rPr>
          <w:rFonts w:cs="Times New Roman"/>
          <w:spacing w:val="-5"/>
          <w:sz w:val="16"/>
          <w:szCs w:val="16"/>
          <w:lang w:val="es-ES_tradnl"/>
        </w:rPr>
        <w:t>“</w:t>
      </w:r>
      <w:r>
        <w:rPr>
          <w:spacing w:val="-5"/>
          <w:sz w:val="16"/>
          <w:szCs w:val="16"/>
          <w:lang w:val="es-ES_tradnl"/>
        </w:rPr>
        <w:t xml:space="preserve">instancia </w:t>
      </w:r>
      <w:r>
        <w:rPr>
          <w:spacing w:val="-6"/>
          <w:sz w:val="16"/>
          <w:szCs w:val="16"/>
          <w:lang w:val="es-ES_tradnl"/>
        </w:rPr>
        <w:t>adicional</w:t>
      </w:r>
      <w:r>
        <w:rPr>
          <w:rFonts w:cs="Times New Roman"/>
          <w:spacing w:val="-6"/>
          <w:sz w:val="16"/>
          <w:szCs w:val="16"/>
          <w:lang w:val="es-ES_tradnl"/>
        </w:rPr>
        <w:t>”</w:t>
      </w:r>
      <w:r>
        <w:rPr>
          <w:spacing w:val="-6"/>
          <w:sz w:val="16"/>
          <w:szCs w:val="16"/>
          <w:lang w:val="es-ES_tradnl"/>
        </w:rPr>
        <w:t xml:space="preserve">; es decir, a partir de ella, no se puede pretender el </w:t>
      </w:r>
      <w:r>
        <w:rPr>
          <w:spacing w:val="-7"/>
          <w:sz w:val="16"/>
          <w:szCs w:val="16"/>
          <w:lang w:val="es-ES_tradnl"/>
        </w:rPr>
        <w:t>an</w:t>
      </w:r>
      <w:r>
        <w:rPr>
          <w:rFonts w:cs="Times New Roman"/>
          <w:spacing w:val="-7"/>
          <w:sz w:val="16"/>
          <w:szCs w:val="16"/>
          <w:lang w:val="es-ES_tradnl"/>
        </w:rPr>
        <w:t>á</w:t>
      </w:r>
      <w:r>
        <w:rPr>
          <w:spacing w:val="-7"/>
          <w:sz w:val="16"/>
          <w:szCs w:val="16"/>
          <w:lang w:val="es-ES_tradnl"/>
        </w:rPr>
        <w:t xml:space="preserve">lisis de asuntos de mera legalidad propios e inherentes de </w:t>
      </w:r>
      <w:r>
        <w:rPr>
          <w:spacing w:val="-5"/>
          <w:sz w:val="16"/>
          <w:szCs w:val="16"/>
          <w:lang w:val="es-ES_tradnl"/>
        </w:rPr>
        <w:t xml:space="preserve">la justicia ordinaria. En virtud de esto, la Corte Constitucional </w:t>
      </w:r>
      <w:r>
        <w:rPr>
          <w:spacing w:val="-7"/>
          <w:sz w:val="16"/>
          <w:szCs w:val="16"/>
          <w:lang w:val="es-ES_tradnl"/>
        </w:rPr>
        <w:t>no puede entrar a analizar, menos a</w:t>
      </w:r>
      <w:r>
        <w:rPr>
          <w:rFonts w:cs="Times New Roman"/>
          <w:spacing w:val="-7"/>
          <w:sz w:val="16"/>
          <w:szCs w:val="16"/>
          <w:lang w:val="es-ES_tradnl"/>
        </w:rPr>
        <w:t>ú</w:t>
      </w:r>
      <w:r>
        <w:rPr>
          <w:spacing w:val="-7"/>
          <w:sz w:val="16"/>
          <w:szCs w:val="16"/>
          <w:lang w:val="es-ES_tradnl"/>
        </w:rPr>
        <w:t>n, resolver, cuestiones eminentemente legales. El objeto de su an</w:t>
      </w:r>
      <w:r>
        <w:rPr>
          <w:rFonts w:cs="Times New Roman"/>
          <w:spacing w:val="-7"/>
          <w:sz w:val="16"/>
          <w:szCs w:val="16"/>
          <w:lang w:val="es-ES_tradnl"/>
        </w:rPr>
        <w:t>á</w:t>
      </w:r>
      <w:r>
        <w:rPr>
          <w:spacing w:val="-7"/>
          <w:sz w:val="16"/>
          <w:szCs w:val="16"/>
          <w:lang w:val="es-ES_tradnl"/>
        </w:rPr>
        <w:t xml:space="preserve">lisis debe estar </w:t>
      </w:r>
      <w:r>
        <w:rPr>
          <w:spacing w:val="-5"/>
          <w:sz w:val="16"/>
          <w:szCs w:val="16"/>
          <w:lang w:val="es-ES_tradnl"/>
        </w:rPr>
        <w:t>dirigido directamente a la presunta violaci</w:t>
      </w:r>
      <w:r>
        <w:rPr>
          <w:rFonts w:cs="Times New Roman"/>
          <w:spacing w:val="-5"/>
          <w:sz w:val="16"/>
          <w:szCs w:val="16"/>
          <w:lang w:val="es-ES_tradnl"/>
        </w:rPr>
        <w:t>ó</w:t>
      </w:r>
      <w:r>
        <w:rPr>
          <w:spacing w:val="-5"/>
          <w:sz w:val="16"/>
          <w:szCs w:val="16"/>
          <w:lang w:val="es-ES_tradnl"/>
        </w:rPr>
        <w:t xml:space="preserve">n de derechos </w:t>
      </w:r>
      <w:r>
        <w:rPr>
          <w:spacing w:val="-8"/>
          <w:sz w:val="16"/>
          <w:szCs w:val="16"/>
          <w:lang w:val="es-ES_tradnl"/>
        </w:rPr>
        <w:t xml:space="preserve">constitucionales y normas del debido proceso en el curso de la </w:t>
      </w:r>
      <w:r>
        <w:rPr>
          <w:sz w:val="16"/>
          <w:szCs w:val="16"/>
          <w:lang w:val="es-ES_tradnl"/>
        </w:rPr>
        <w:t>decisi</w:t>
      </w:r>
      <w:r>
        <w:rPr>
          <w:rFonts w:cs="Times New Roman"/>
          <w:sz w:val="16"/>
          <w:szCs w:val="16"/>
          <w:lang w:val="es-ES_tradnl"/>
        </w:rPr>
        <w:t>ó</w:t>
      </w:r>
      <w:r>
        <w:rPr>
          <w:sz w:val="16"/>
          <w:szCs w:val="16"/>
          <w:lang w:val="es-ES_tradnl"/>
        </w:rPr>
        <w:t>n impugnada</w:t>
      </w:r>
      <w:r>
        <w:rPr>
          <w:rFonts w:cs="Times New Roman"/>
          <w:sz w:val="16"/>
          <w:szCs w:val="16"/>
          <w:lang w:val="es-ES_tradnl"/>
        </w:rPr>
        <w:t>”</w:t>
      </w:r>
      <w:r>
        <w:rPr>
          <w:sz w:val="16"/>
          <w:szCs w:val="16"/>
          <w:vertAlign w:val="superscript"/>
          <w:lang w:val="es-ES_tradnl"/>
        </w:rPr>
        <w:t>2</w:t>
      </w:r>
      <w:r>
        <w:rPr>
          <w:sz w:val="16"/>
          <w:szCs w:val="16"/>
          <w:lang w:val="es-ES_tradnl"/>
        </w:rPr>
        <w:t>(sic).</w:t>
      </w:r>
    </w:p>
    <w:p w14:paraId="4F67B132" w14:textId="77777777" w:rsidR="00591D54" w:rsidRDefault="00591D54">
      <w:pPr>
        <w:shd w:val="clear" w:color="auto" w:fill="FFFFFF"/>
        <w:spacing w:before="216"/>
      </w:pPr>
      <w:r>
        <w:rPr>
          <w:b/>
          <w:bCs/>
          <w:spacing w:val="-10"/>
          <w:sz w:val="18"/>
          <w:szCs w:val="18"/>
          <w:lang w:val="es-ES_tradnl"/>
        </w:rPr>
        <w:t>Identificaci</w:t>
      </w:r>
      <w:r>
        <w:rPr>
          <w:rFonts w:cs="Times New Roman"/>
          <w:b/>
          <w:bCs/>
          <w:spacing w:val="-10"/>
          <w:sz w:val="18"/>
          <w:szCs w:val="18"/>
          <w:lang w:val="es-ES_tradnl"/>
        </w:rPr>
        <w:t>ó</w:t>
      </w:r>
      <w:r>
        <w:rPr>
          <w:b/>
          <w:bCs/>
          <w:spacing w:val="-10"/>
          <w:sz w:val="18"/>
          <w:szCs w:val="18"/>
          <w:lang w:val="es-ES_tradnl"/>
        </w:rPr>
        <w:t>n de los problemas jur</w:t>
      </w:r>
      <w:r>
        <w:rPr>
          <w:rFonts w:cs="Times New Roman"/>
          <w:b/>
          <w:bCs/>
          <w:spacing w:val="-10"/>
          <w:sz w:val="18"/>
          <w:szCs w:val="18"/>
          <w:lang w:val="es-ES_tradnl"/>
        </w:rPr>
        <w:t>í</w:t>
      </w:r>
      <w:r>
        <w:rPr>
          <w:b/>
          <w:bCs/>
          <w:spacing w:val="-10"/>
          <w:sz w:val="18"/>
          <w:szCs w:val="18"/>
          <w:lang w:val="es-ES_tradnl"/>
        </w:rPr>
        <w:t>dicos</w:t>
      </w:r>
    </w:p>
    <w:p w14:paraId="4F67B133" w14:textId="77777777" w:rsidR="00591D54" w:rsidRDefault="00591D54" w:rsidP="00251195">
      <w:pPr>
        <w:numPr>
          <w:ilvl w:val="0"/>
          <w:numId w:val="84"/>
        </w:numPr>
        <w:shd w:val="clear" w:color="auto" w:fill="FFFFFF"/>
        <w:tabs>
          <w:tab w:val="left" w:pos="566"/>
        </w:tabs>
        <w:spacing w:before="206" w:line="230" w:lineRule="exact"/>
        <w:ind w:left="566" w:right="5" w:hanging="283"/>
        <w:jc w:val="both"/>
        <w:rPr>
          <w:spacing w:val="-11"/>
          <w:sz w:val="18"/>
          <w:szCs w:val="18"/>
          <w:lang w:val="es-ES_tradnl"/>
        </w:rPr>
      </w:pPr>
      <w:r>
        <w:rPr>
          <w:spacing w:val="-5"/>
          <w:sz w:val="18"/>
          <w:szCs w:val="18"/>
          <w:lang w:val="es-ES_tradnl"/>
        </w:rPr>
        <w:t xml:space="preserve">La sentencia expedida el 20 de enero de 2014 a </w:t>
      </w:r>
      <w:r>
        <w:rPr>
          <w:spacing w:val="-7"/>
          <w:sz w:val="18"/>
          <w:szCs w:val="18"/>
          <w:lang w:val="es-ES_tradnl"/>
        </w:rPr>
        <w:t xml:space="preserve">las 10h10, por los jueces de la Sala Especializada </w:t>
      </w:r>
      <w:r>
        <w:rPr>
          <w:spacing w:val="-1"/>
          <w:sz w:val="18"/>
          <w:szCs w:val="18"/>
          <w:lang w:val="es-ES_tradnl"/>
        </w:rPr>
        <w:t xml:space="preserve">de lo Laboral de la Corte Nacional de Justicia, </w:t>
      </w:r>
      <w:r>
        <w:rPr>
          <w:spacing w:val="-9"/>
          <w:sz w:val="18"/>
          <w:szCs w:val="18"/>
          <w:lang w:val="es-ES_tradnl"/>
        </w:rPr>
        <w:t xml:space="preserve">que no casa la sentencia del tribunal </w:t>
      </w:r>
      <w:r>
        <w:rPr>
          <w:i/>
          <w:iCs/>
          <w:spacing w:val="-9"/>
          <w:sz w:val="18"/>
          <w:szCs w:val="18"/>
          <w:lang w:val="es-ES_tradnl"/>
        </w:rPr>
        <w:t xml:space="preserve">ad quem </w:t>
      </w:r>
      <w:r>
        <w:rPr>
          <w:spacing w:val="-9"/>
          <w:sz w:val="18"/>
          <w:szCs w:val="18"/>
          <w:lang w:val="es-ES_tradnl"/>
        </w:rPr>
        <w:t xml:space="preserve">y en consecuencia, la deja en firme, </w:t>
      </w:r>
      <w:r>
        <w:rPr>
          <w:rFonts w:cs="Times New Roman"/>
          <w:spacing w:val="-9"/>
          <w:sz w:val="18"/>
          <w:szCs w:val="18"/>
          <w:lang w:val="es-ES_tradnl"/>
        </w:rPr>
        <w:t>¿</w:t>
      </w:r>
      <w:r>
        <w:rPr>
          <w:spacing w:val="-9"/>
          <w:sz w:val="18"/>
          <w:szCs w:val="18"/>
          <w:lang w:val="es-ES_tradnl"/>
        </w:rPr>
        <w:t xml:space="preserve">vulnera el derecho </w:t>
      </w:r>
      <w:r>
        <w:rPr>
          <w:spacing w:val="-7"/>
          <w:sz w:val="18"/>
          <w:szCs w:val="18"/>
          <w:lang w:val="es-ES_tradnl"/>
        </w:rPr>
        <w:t>al debido proceso en la garant</w:t>
      </w:r>
      <w:r>
        <w:rPr>
          <w:rFonts w:cs="Times New Roman"/>
          <w:spacing w:val="-7"/>
          <w:sz w:val="18"/>
          <w:szCs w:val="18"/>
          <w:lang w:val="es-ES_tradnl"/>
        </w:rPr>
        <w:t>í</w:t>
      </w:r>
      <w:r>
        <w:rPr>
          <w:spacing w:val="-7"/>
          <w:sz w:val="18"/>
          <w:szCs w:val="18"/>
          <w:lang w:val="es-ES_tradnl"/>
        </w:rPr>
        <w:t>a de la motivaci</w:t>
      </w:r>
      <w:r>
        <w:rPr>
          <w:rFonts w:cs="Times New Roman"/>
          <w:spacing w:val="-7"/>
          <w:sz w:val="18"/>
          <w:szCs w:val="18"/>
          <w:lang w:val="es-ES_tradnl"/>
        </w:rPr>
        <w:t>ó</w:t>
      </w:r>
      <w:r>
        <w:rPr>
          <w:spacing w:val="-7"/>
          <w:sz w:val="18"/>
          <w:szCs w:val="18"/>
          <w:lang w:val="es-ES_tradnl"/>
        </w:rPr>
        <w:t>n, reconocido en el art</w:t>
      </w:r>
      <w:r>
        <w:rPr>
          <w:rFonts w:cs="Times New Roman"/>
          <w:spacing w:val="-7"/>
          <w:sz w:val="18"/>
          <w:szCs w:val="18"/>
          <w:lang w:val="es-ES_tradnl"/>
        </w:rPr>
        <w:t>í</w:t>
      </w:r>
      <w:r>
        <w:rPr>
          <w:spacing w:val="-7"/>
          <w:sz w:val="18"/>
          <w:szCs w:val="18"/>
          <w:lang w:val="es-ES_tradnl"/>
        </w:rPr>
        <w:t xml:space="preserve">culo 76 numeral 7 literal </w:t>
      </w:r>
      <w:r>
        <w:rPr>
          <w:b/>
          <w:bCs/>
          <w:spacing w:val="-7"/>
          <w:sz w:val="18"/>
          <w:szCs w:val="18"/>
          <w:lang w:val="es-ES_tradnl"/>
        </w:rPr>
        <w:t xml:space="preserve">l </w:t>
      </w:r>
      <w:r>
        <w:rPr>
          <w:spacing w:val="-7"/>
          <w:sz w:val="18"/>
          <w:szCs w:val="18"/>
          <w:lang w:val="es-ES_tradnl"/>
        </w:rPr>
        <w:t xml:space="preserve">de la </w:t>
      </w:r>
      <w:r>
        <w:rPr>
          <w:sz w:val="18"/>
          <w:szCs w:val="18"/>
          <w:lang w:val="es-ES_tradnl"/>
        </w:rPr>
        <w:t>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B134" w14:textId="77777777" w:rsidR="00591D54" w:rsidRDefault="00591D54" w:rsidP="00251195">
      <w:pPr>
        <w:numPr>
          <w:ilvl w:val="0"/>
          <w:numId w:val="84"/>
        </w:numPr>
        <w:shd w:val="clear" w:color="auto" w:fill="FFFFFF"/>
        <w:tabs>
          <w:tab w:val="left" w:pos="566"/>
        </w:tabs>
        <w:spacing w:before="202" w:line="230" w:lineRule="exact"/>
        <w:ind w:left="566" w:right="5" w:hanging="283"/>
        <w:jc w:val="both"/>
        <w:rPr>
          <w:spacing w:val="-11"/>
          <w:sz w:val="18"/>
          <w:szCs w:val="18"/>
          <w:lang w:val="es-ES_tradnl"/>
        </w:rPr>
      </w:pPr>
      <w:r>
        <w:rPr>
          <w:spacing w:val="-3"/>
          <w:sz w:val="18"/>
          <w:szCs w:val="18"/>
          <w:lang w:val="es-ES_tradnl"/>
        </w:rPr>
        <w:t xml:space="preserve">La sentencia </w:t>
      </w:r>
      <w:r>
        <w:rPr>
          <w:i/>
          <w:iCs/>
          <w:spacing w:val="-3"/>
          <w:sz w:val="18"/>
          <w:szCs w:val="18"/>
          <w:lang w:val="es-ES_tradnl"/>
        </w:rPr>
        <w:t xml:space="preserve">ut supra </w:t>
      </w:r>
      <w:r>
        <w:rPr>
          <w:rFonts w:cs="Times New Roman"/>
          <w:spacing w:val="-3"/>
          <w:sz w:val="18"/>
          <w:szCs w:val="18"/>
          <w:lang w:val="es-ES_tradnl"/>
        </w:rPr>
        <w:t>¿</w:t>
      </w:r>
      <w:r>
        <w:rPr>
          <w:spacing w:val="-3"/>
          <w:sz w:val="18"/>
          <w:szCs w:val="18"/>
          <w:lang w:val="es-ES_tradnl"/>
        </w:rPr>
        <w:t xml:space="preserve">vulnera el derecho </w:t>
      </w:r>
      <w:r>
        <w:rPr>
          <w:spacing w:val="-6"/>
          <w:sz w:val="18"/>
          <w:szCs w:val="18"/>
          <w:lang w:val="es-ES_tradnl"/>
        </w:rPr>
        <w:t xml:space="preserve">constitucional a la igualdad al dejar de considerar </w:t>
      </w:r>
      <w:r>
        <w:rPr>
          <w:spacing w:val="-5"/>
          <w:sz w:val="18"/>
          <w:szCs w:val="18"/>
          <w:lang w:val="es-ES_tradnl"/>
        </w:rPr>
        <w:t>criterios contenidos en sentencias an</w:t>
      </w:r>
      <w:r>
        <w:rPr>
          <w:rFonts w:cs="Times New Roman"/>
          <w:spacing w:val="-5"/>
          <w:sz w:val="18"/>
          <w:szCs w:val="18"/>
          <w:lang w:val="es-ES_tradnl"/>
        </w:rPr>
        <w:t>á</w:t>
      </w:r>
      <w:r>
        <w:rPr>
          <w:spacing w:val="-5"/>
          <w:sz w:val="18"/>
          <w:szCs w:val="18"/>
          <w:lang w:val="es-ES_tradnl"/>
        </w:rPr>
        <w:t xml:space="preserve">logas, </w:t>
      </w:r>
      <w:r>
        <w:rPr>
          <w:spacing w:val="-7"/>
          <w:sz w:val="18"/>
          <w:szCs w:val="18"/>
          <w:lang w:val="es-ES_tradnl"/>
        </w:rPr>
        <w:t>consagrado en el art</w:t>
      </w:r>
      <w:r>
        <w:rPr>
          <w:rFonts w:cs="Times New Roman"/>
          <w:spacing w:val="-7"/>
          <w:sz w:val="18"/>
          <w:szCs w:val="18"/>
          <w:lang w:val="es-ES_tradnl"/>
        </w:rPr>
        <w:t>í</w:t>
      </w:r>
      <w:r>
        <w:rPr>
          <w:spacing w:val="-7"/>
          <w:sz w:val="18"/>
          <w:szCs w:val="18"/>
          <w:lang w:val="es-ES_tradnl"/>
        </w:rPr>
        <w:t xml:space="preserve">culo 66 numeral 4 de la </w:t>
      </w:r>
      <w:r>
        <w:rPr>
          <w:sz w:val="18"/>
          <w:szCs w:val="18"/>
          <w:lang w:val="es-ES_tradnl"/>
        </w:rPr>
        <w:t>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B135" w14:textId="77777777" w:rsidR="00591D54" w:rsidRDefault="00591D54">
      <w:pPr>
        <w:shd w:val="clear" w:color="auto" w:fill="FFFFFF"/>
        <w:spacing w:before="662" w:line="178" w:lineRule="exact"/>
        <w:ind w:left="139" w:right="5" w:hanging="139"/>
        <w:jc w:val="both"/>
      </w:pPr>
      <w:r>
        <w:rPr>
          <w:sz w:val="16"/>
          <w:szCs w:val="16"/>
          <w:vertAlign w:val="superscript"/>
          <w:lang w:val="es-ES_tradnl"/>
        </w:rPr>
        <w:t>2</w:t>
      </w:r>
      <w:r>
        <w:rPr>
          <w:sz w:val="16"/>
          <w:szCs w:val="16"/>
          <w:lang w:val="es-ES_tradnl"/>
        </w:rPr>
        <w:t xml:space="preserve"> </w:t>
      </w:r>
      <w:r>
        <w:rPr>
          <w:spacing w:val="-9"/>
          <w:sz w:val="16"/>
          <w:szCs w:val="16"/>
          <w:lang w:val="es-ES_tradnl"/>
        </w:rPr>
        <w:t xml:space="preserve">Corte Constitucional del Ecuador, sentencia No. 125-14-SEP-CC, </w:t>
      </w:r>
      <w:r>
        <w:rPr>
          <w:spacing w:val="-11"/>
          <w:sz w:val="16"/>
          <w:szCs w:val="16"/>
          <w:lang w:val="es-ES_tradnl"/>
        </w:rPr>
        <w:t>caso No. 1845-11-EP, publicado en el Segundo Suplemento del Registro Oficial No. 346 de 02 de octubre de 2014, p 120.</w:t>
      </w:r>
    </w:p>
    <w:p w14:paraId="4F67B136" w14:textId="77777777" w:rsidR="00591D54" w:rsidRDefault="00591D54">
      <w:pPr>
        <w:shd w:val="clear" w:color="auto" w:fill="FFFFFF"/>
      </w:pPr>
      <w:r>
        <w:br w:type="column"/>
      </w:r>
      <w:r>
        <w:rPr>
          <w:b/>
          <w:bCs/>
          <w:spacing w:val="-10"/>
          <w:sz w:val="18"/>
          <w:szCs w:val="18"/>
          <w:lang w:val="es-ES_tradnl"/>
        </w:rPr>
        <w:t>Resoluci</w:t>
      </w:r>
      <w:r>
        <w:rPr>
          <w:rFonts w:cs="Times New Roman"/>
          <w:b/>
          <w:bCs/>
          <w:spacing w:val="-10"/>
          <w:sz w:val="18"/>
          <w:szCs w:val="18"/>
          <w:lang w:val="es-ES_tradnl"/>
        </w:rPr>
        <w:t>ó</w:t>
      </w:r>
      <w:r>
        <w:rPr>
          <w:b/>
          <w:bCs/>
          <w:spacing w:val="-10"/>
          <w:sz w:val="18"/>
          <w:szCs w:val="18"/>
          <w:lang w:val="es-ES_tradnl"/>
        </w:rPr>
        <w:t>n de los problemas jur</w:t>
      </w:r>
      <w:r>
        <w:rPr>
          <w:rFonts w:cs="Times New Roman"/>
          <w:b/>
          <w:bCs/>
          <w:spacing w:val="-10"/>
          <w:sz w:val="18"/>
          <w:szCs w:val="18"/>
          <w:lang w:val="es-ES_tradnl"/>
        </w:rPr>
        <w:t>í</w:t>
      </w:r>
      <w:r>
        <w:rPr>
          <w:b/>
          <w:bCs/>
          <w:spacing w:val="-10"/>
          <w:sz w:val="18"/>
          <w:szCs w:val="18"/>
          <w:lang w:val="es-ES_tradnl"/>
        </w:rPr>
        <w:t>dicos planteados</w:t>
      </w:r>
    </w:p>
    <w:p w14:paraId="4F67B137" w14:textId="77777777" w:rsidR="00591D54" w:rsidRDefault="00591D54">
      <w:pPr>
        <w:shd w:val="clear" w:color="auto" w:fill="FFFFFF"/>
        <w:spacing w:before="192" w:line="216" w:lineRule="exact"/>
        <w:ind w:left="283" w:hanging="226"/>
        <w:jc w:val="both"/>
      </w:pPr>
      <w:r>
        <w:rPr>
          <w:b/>
          <w:bCs/>
          <w:spacing w:val="-2"/>
          <w:sz w:val="18"/>
          <w:szCs w:val="18"/>
          <w:lang w:val="es-ES_tradnl"/>
        </w:rPr>
        <w:t xml:space="preserve">1. La sentencia expedida el 20 de enero de 2014 a </w:t>
      </w:r>
      <w:r>
        <w:rPr>
          <w:b/>
          <w:bCs/>
          <w:spacing w:val="-6"/>
          <w:sz w:val="18"/>
          <w:szCs w:val="18"/>
          <w:lang w:val="es-ES_tradnl"/>
        </w:rPr>
        <w:t xml:space="preserve">las 10h10, por los jueces de la Sala Especializada </w:t>
      </w:r>
      <w:r>
        <w:rPr>
          <w:b/>
          <w:bCs/>
          <w:spacing w:val="-1"/>
          <w:sz w:val="18"/>
          <w:szCs w:val="18"/>
          <w:lang w:val="es-ES_tradnl"/>
        </w:rPr>
        <w:t xml:space="preserve">de lo Laboral de la Corte Nacional de Justicia, </w:t>
      </w:r>
      <w:r>
        <w:rPr>
          <w:b/>
          <w:bCs/>
          <w:spacing w:val="-9"/>
          <w:sz w:val="18"/>
          <w:szCs w:val="18"/>
          <w:lang w:val="es-ES_tradnl"/>
        </w:rPr>
        <w:t xml:space="preserve">que no casa la sentencia del tribunal </w:t>
      </w:r>
      <w:r>
        <w:rPr>
          <w:b/>
          <w:bCs/>
          <w:i/>
          <w:iCs/>
          <w:spacing w:val="-9"/>
          <w:sz w:val="18"/>
          <w:szCs w:val="18"/>
          <w:lang w:val="es-ES_tradnl"/>
        </w:rPr>
        <w:t xml:space="preserve">ad quem </w:t>
      </w:r>
      <w:r>
        <w:rPr>
          <w:b/>
          <w:bCs/>
          <w:spacing w:val="-9"/>
          <w:sz w:val="18"/>
          <w:szCs w:val="18"/>
          <w:lang w:val="es-ES_tradnl"/>
        </w:rPr>
        <w:t xml:space="preserve">y en consecuencia, la deja en firme, </w:t>
      </w:r>
      <w:r>
        <w:rPr>
          <w:rFonts w:cs="Times New Roman"/>
          <w:b/>
          <w:bCs/>
          <w:spacing w:val="-9"/>
          <w:sz w:val="18"/>
          <w:szCs w:val="18"/>
          <w:lang w:val="es-ES_tradnl"/>
        </w:rPr>
        <w:t>¿</w:t>
      </w:r>
      <w:r>
        <w:rPr>
          <w:b/>
          <w:bCs/>
          <w:spacing w:val="-9"/>
          <w:sz w:val="18"/>
          <w:szCs w:val="18"/>
          <w:lang w:val="es-ES_tradnl"/>
        </w:rPr>
        <w:t xml:space="preserve">vulnera el derecho </w:t>
      </w:r>
      <w:r>
        <w:rPr>
          <w:b/>
          <w:bCs/>
          <w:spacing w:val="-7"/>
          <w:sz w:val="18"/>
          <w:szCs w:val="18"/>
          <w:lang w:val="es-ES_tradnl"/>
        </w:rPr>
        <w:t>al debido proceso en la garant</w:t>
      </w:r>
      <w:r>
        <w:rPr>
          <w:rFonts w:cs="Times New Roman"/>
          <w:b/>
          <w:bCs/>
          <w:spacing w:val="-7"/>
          <w:sz w:val="18"/>
          <w:szCs w:val="18"/>
          <w:lang w:val="es-ES_tradnl"/>
        </w:rPr>
        <w:t>í</w:t>
      </w:r>
      <w:r>
        <w:rPr>
          <w:b/>
          <w:bCs/>
          <w:spacing w:val="-7"/>
          <w:sz w:val="18"/>
          <w:szCs w:val="18"/>
          <w:lang w:val="es-ES_tradnl"/>
        </w:rPr>
        <w:t>a de la motivaci</w:t>
      </w:r>
      <w:r>
        <w:rPr>
          <w:rFonts w:cs="Times New Roman"/>
          <w:b/>
          <w:bCs/>
          <w:spacing w:val="-7"/>
          <w:sz w:val="18"/>
          <w:szCs w:val="18"/>
          <w:lang w:val="es-ES_tradnl"/>
        </w:rPr>
        <w:t>ó</w:t>
      </w:r>
      <w:r>
        <w:rPr>
          <w:b/>
          <w:bCs/>
          <w:spacing w:val="-7"/>
          <w:sz w:val="18"/>
          <w:szCs w:val="18"/>
          <w:lang w:val="es-ES_tradnl"/>
        </w:rPr>
        <w:t>n, reconocido en el art</w:t>
      </w:r>
      <w:r>
        <w:rPr>
          <w:rFonts w:cs="Times New Roman"/>
          <w:b/>
          <w:bCs/>
          <w:spacing w:val="-7"/>
          <w:sz w:val="18"/>
          <w:szCs w:val="18"/>
          <w:lang w:val="es-ES_tradnl"/>
        </w:rPr>
        <w:t>í</w:t>
      </w:r>
      <w:r>
        <w:rPr>
          <w:b/>
          <w:bCs/>
          <w:spacing w:val="-7"/>
          <w:sz w:val="18"/>
          <w:szCs w:val="18"/>
          <w:lang w:val="es-ES_tradnl"/>
        </w:rPr>
        <w:t xml:space="preserve">culo 76 numeral 7 literal l de la </w:t>
      </w:r>
      <w:r>
        <w:rPr>
          <w:b/>
          <w:bCs/>
          <w:sz w:val="18"/>
          <w:szCs w:val="18"/>
          <w:lang w:val="es-ES_tradnl"/>
        </w:rPr>
        <w:t>Constituci</w:t>
      </w:r>
      <w:r>
        <w:rPr>
          <w:rFonts w:cs="Times New Roman"/>
          <w:b/>
          <w:bCs/>
          <w:sz w:val="18"/>
          <w:szCs w:val="18"/>
          <w:lang w:val="es-ES_tradnl"/>
        </w:rPr>
        <w:t>ó</w:t>
      </w:r>
      <w:r>
        <w:rPr>
          <w:b/>
          <w:bCs/>
          <w:sz w:val="18"/>
          <w:szCs w:val="18"/>
          <w:lang w:val="es-ES_tradnl"/>
        </w:rPr>
        <w:t>n de la Rep</w:t>
      </w:r>
      <w:r>
        <w:rPr>
          <w:rFonts w:cs="Times New Roman"/>
          <w:b/>
          <w:bCs/>
          <w:sz w:val="18"/>
          <w:szCs w:val="18"/>
          <w:lang w:val="es-ES_tradnl"/>
        </w:rPr>
        <w:t>ú</w:t>
      </w:r>
      <w:r>
        <w:rPr>
          <w:b/>
          <w:bCs/>
          <w:sz w:val="18"/>
          <w:szCs w:val="18"/>
          <w:lang w:val="es-ES_tradnl"/>
        </w:rPr>
        <w:t>blica?</w:t>
      </w:r>
    </w:p>
    <w:p w14:paraId="4F67B138" w14:textId="77777777" w:rsidR="00591D54" w:rsidRDefault="00591D54">
      <w:pPr>
        <w:shd w:val="clear" w:color="auto" w:fill="FFFFFF"/>
        <w:spacing w:before="197" w:line="216" w:lineRule="exact"/>
        <w:jc w:val="both"/>
      </w:pPr>
      <w:r>
        <w:rPr>
          <w:spacing w:val="-9"/>
          <w:sz w:val="18"/>
          <w:szCs w:val="18"/>
          <w:lang w:val="es-ES_tradnl"/>
        </w:rPr>
        <w:t>La accionante aduce que en la sentencia impugnada existe contradicci</w:t>
      </w:r>
      <w:r>
        <w:rPr>
          <w:rFonts w:cs="Times New Roman"/>
          <w:spacing w:val="-9"/>
          <w:sz w:val="18"/>
          <w:szCs w:val="18"/>
          <w:lang w:val="es-ES_tradnl"/>
        </w:rPr>
        <w:t>ó</w:t>
      </w:r>
      <w:r>
        <w:rPr>
          <w:spacing w:val="-9"/>
          <w:sz w:val="18"/>
          <w:szCs w:val="18"/>
          <w:lang w:val="es-ES_tradnl"/>
        </w:rPr>
        <w:t>n en la argumentaci</w:t>
      </w:r>
      <w:r>
        <w:rPr>
          <w:rFonts w:cs="Times New Roman"/>
          <w:spacing w:val="-9"/>
          <w:sz w:val="18"/>
          <w:szCs w:val="18"/>
          <w:lang w:val="es-ES_tradnl"/>
        </w:rPr>
        <w:t>ó</w:t>
      </w:r>
      <w:r>
        <w:rPr>
          <w:spacing w:val="-9"/>
          <w:sz w:val="18"/>
          <w:szCs w:val="18"/>
          <w:lang w:val="es-ES_tradnl"/>
        </w:rPr>
        <w:t xml:space="preserve">n empleada por los jueces </w:t>
      </w:r>
      <w:r>
        <w:rPr>
          <w:spacing w:val="-8"/>
          <w:sz w:val="18"/>
          <w:szCs w:val="18"/>
          <w:lang w:val="es-ES_tradnl"/>
        </w:rPr>
        <w:t xml:space="preserve">de la Sala Especializada en lo Laboral de la Corte Nacional </w:t>
      </w:r>
      <w:r>
        <w:rPr>
          <w:spacing w:val="-5"/>
          <w:sz w:val="18"/>
          <w:szCs w:val="18"/>
          <w:lang w:val="es-ES_tradnl"/>
        </w:rPr>
        <w:t xml:space="preserve">de Justicia, por cuanto, no corresponde a la verdad ni </w:t>
      </w:r>
      <w:r>
        <w:rPr>
          <w:spacing w:val="-8"/>
          <w:sz w:val="18"/>
          <w:szCs w:val="18"/>
          <w:lang w:val="es-ES_tradnl"/>
        </w:rPr>
        <w:t>realidad procesal. Que el fallo en cuesti</w:t>
      </w:r>
      <w:r>
        <w:rPr>
          <w:rFonts w:cs="Times New Roman"/>
          <w:spacing w:val="-8"/>
          <w:sz w:val="18"/>
          <w:szCs w:val="18"/>
          <w:lang w:val="es-ES_tradnl"/>
        </w:rPr>
        <w:t>ó</w:t>
      </w:r>
      <w:r>
        <w:rPr>
          <w:spacing w:val="-8"/>
          <w:sz w:val="18"/>
          <w:szCs w:val="18"/>
          <w:lang w:val="es-ES_tradnl"/>
        </w:rPr>
        <w:t xml:space="preserve">n, hace </w:t>
      </w:r>
      <w:r>
        <w:rPr>
          <w:rFonts w:cs="Times New Roman"/>
          <w:spacing w:val="-8"/>
          <w:sz w:val="18"/>
          <w:szCs w:val="18"/>
          <w:lang w:val="es-ES_tradnl"/>
        </w:rPr>
        <w:t>é</w:t>
      </w:r>
      <w:r>
        <w:rPr>
          <w:spacing w:val="-8"/>
          <w:sz w:val="18"/>
          <w:szCs w:val="18"/>
          <w:lang w:val="es-ES_tradnl"/>
        </w:rPr>
        <w:t xml:space="preserve">nfasis en </w:t>
      </w:r>
      <w:r>
        <w:rPr>
          <w:spacing w:val="-7"/>
          <w:sz w:val="18"/>
          <w:szCs w:val="18"/>
          <w:lang w:val="es-ES_tradnl"/>
        </w:rPr>
        <w:t>las normas del C</w:t>
      </w:r>
      <w:r>
        <w:rPr>
          <w:rFonts w:cs="Times New Roman"/>
          <w:spacing w:val="-7"/>
          <w:sz w:val="18"/>
          <w:szCs w:val="18"/>
          <w:lang w:val="es-ES_tradnl"/>
        </w:rPr>
        <w:t>ó</w:t>
      </w:r>
      <w:r>
        <w:rPr>
          <w:spacing w:val="-7"/>
          <w:sz w:val="18"/>
          <w:szCs w:val="18"/>
          <w:lang w:val="es-ES_tradnl"/>
        </w:rPr>
        <w:t>digo de Procedimiento Civil, pese a que existe disposici</w:t>
      </w:r>
      <w:r>
        <w:rPr>
          <w:rFonts w:cs="Times New Roman"/>
          <w:spacing w:val="-7"/>
          <w:sz w:val="18"/>
          <w:szCs w:val="18"/>
          <w:lang w:val="es-ES_tradnl"/>
        </w:rPr>
        <w:t>ó</w:t>
      </w:r>
      <w:r>
        <w:rPr>
          <w:spacing w:val="-7"/>
          <w:sz w:val="18"/>
          <w:szCs w:val="18"/>
          <w:lang w:val="es-ES_tradnl"/>
        </w:rPr>
        <w:t>n clara y puntual en el C</w:t>
      </w:r>
      <w:r>
        <w:rPr>
          <w:rFonts w:cs="Times New Roman"/>
          <w:spacing w:val="-7"/>
          <w:sz w:val="18"/>
          <w:szCs w:val="18"/>
          <w:lang w:val="es-ES_tradnl"/>
        </w:rPr>
        <w:t>ó</w:t>
      </w:r>
      <w:r>
        <w:rPr>
          <w:spacing w:val="-7"/>
          <w:sz w:val="18"/>
          <w:szCs w:val="18"/>
          <w:lang w:val="es-ES_tradnl"/>
        </w:rPr>
        <w:t xml:space="preserve">digo del Trabajo </w:t>
      </w:r>
      <w:r>
        <w:rPr>
          <w:spacing w:val="-8"/>
          <w:sz w:val="18"/>
          <w:szCs w:val="18"/>
          <w:lang w:val="es-ES_tradnl"/>
        </w:rPr>
        <w:t xml:space="preserve">que justifica su reclamo por lo que concluye manifestando, </w:t>
      </w:r>
      <w:r>
        <w:rPr>
          <w:spacing w:val="-9"/>
          <w:sz w:val="18"/>
          <w:szCs w:val="18"/>
          <w:lang w:val="es-ES_tradnl"/>
        </w:rPr>
        <w:t>que dicha interpretaci</w:t>
      </w:r>
      <w:r>
        <w:rPr>
          <w:rFonts w:cs="Times New Roman"/>
          <w:spacing w:val="-9"/>
          <w:sz w:val="18"/>
          <w:szCs w:val="18"/>
          <w:lang w:val="es-ES_tradnl"/>
        </w:rPr>
        <w:t>ó</w:t>
      </w:r>
      <w:r>
        <w:rPr>
          <w:spacing w:val="-9"/>
          <w:sz w:val="18"/>
          <w:szCs w:val="18"/>
          <w:lang w:val="es-ES_tradnl"/>
        </w:rPr>
        <w:t xml:space="preserve">n resulta absurda y abusiva, contraria </w:t>
      </w:r>
      <w:r>
        <w:rPr>
          <w:sz w:val="18"/>
          <w:szCs w:val="18"/>
          <w:lang w:val="es-ES_tradnl"/>
        </w:rPr>
        <w:t>a 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B139" w14:textId="77777777" w:rsidR="00591D54" w:rsidRDefault="00591D54">
      <w:pPr>
        <w:shd w:val="clear" w:color="auto" w:fill="FFFFFF"/>
        <w:spacing w:before="197" w:line="216" w:lineRule="exact"/>
        <w:jc w:val="both"/>
      </w:pPr>
      <w:r>
        <w:rPr>
          <w:spacing w:val="-7"/>
          <w:sz w:val="18"/>
          <w:szCs w:val="18"/>
          <w:lang w:val="es-ES_tradnl"/>
        </w:rPr>
        <w:t xml:space="preserve">El derecho constitucional a recibir resoluciones motivadas </w:t>
      </w:r>
      <w:r>
        <w:rPr>
          <w:spacing w:val="-9"/>
          <w:sz w:val="18"/>
          <w:szCs w:val="18"/>
          <w:lang w:val="es-ES_tradnl"/>
        </w:rPr>
        <w:t>de los poderes p</w:t>
      </w:r>
      <w:r>
        <w:rPr>
          <w:rFonts w:cs="Times New Roman"/>
          <w:spacing w:val="-9"/>
          <w:sz w:val="18"/>
          <w:szCs w:val="18"/>
          <w:lang w:val="es-ES_tradnl"/>
        </w:rPr>
        <w:t>ú</w:t>
      </w:r>
      <w:r>
        <w:rPr>
          <w:spacing w:val="-9"/>
          <w:sz w:val="18"/>
          <w:szCs w:val="18"/>
          <w:lang w:val="es-ES_tradnl"/>
        </w:rPr>
        <w:t>blicos, contenido en el art</w:t>
      </w:r>
      <w:r>
        <w:rPr>
          <w:rFonts w:cs="Times New Roman"/>
          <w:spacing w:val="-9"/>
          <w:sz w:val="18"/>
          <w:szCs w:val="18"/>
          <w:lang w:val="es-ES_tradnl"/>
        </w:rPr>
        <w:t>í</w:t>
      </w:r>
      <w:r>
        <w:rPr>
          <w:spacing w:val="-9"/>
          <w:sz w:val="18"/>
          <w:szCs w:val="18"/>
          <w:lang w:val="es-ES_tradnl"/>
        </w:rPr>
        <w:t xml:space="preserve">culo 76 numeral </w:t>
      </w:r>
      <w:r>
        <w:rPr>
          <w:spacing w:val="-6"/>
          <w:sz w:val="18"/>
          <w:szCs w:val="18"/>
          <w:lang w:val="es-ES_tradnl"/>
        </w:rPr>
        <w:t xml:space="preserve">7 literal </w:t>
      </w:r>
      <w:r>
        <w:rPr>
          <w:b/>
          <w:bCs/>
          <w:spacing w:val="-6"/>
          <w:sz w:val="18"/>
          <w:szCs w:val="18"/>
          <w:lang w:val="es-ES_tradnl"/>
        </w:rPr>
        <w:t xml:space="preserve">l </w:t>
      </w:r>
      <w:r>
        <w:rPr>
          <w:spacing w:val="-6"/>
          <w:sz w:val="18"/>
          <w:szCs w:val="18"/>
          <w:lang w:val="es-ES_tradnl"/>
        </w:rPr>
        <w:t>de la Constituci</w:t>
      </w:r>
      <w:r>
        <w:rPr>
          <w:rFonts w:cs="Times New Roman"/>
          <w:spacing w:val="-6"/>
          <w:sz w:val="18"/>
          <w:szCs w:val="18"/>
          <w:lang w:val="es-ES_tradnl"/>
        </w:rPr>
        <w:t>ó</w:t>
      </w:r>
      <w:r>
        <w:rPr>
          <w:spacing w:val="-6"/>
          <w:sz w:val="18"/>
          <w:szCs w:val="18"/>
          <w:lang w:val="es-ES_tradnl"/>
        </w:rPr>
        <w:t>n, expresamente, dice:</w:t>
      </w:r>
    </w:p>
    <w:p w14:paraId="4F67B13A" w14:textId="77777777" w:rsidR="00591D54" w:rsidRDefault="00591D54">
      <w:pPr>
        <w:shd w:val="clear" w:color="auto" w:fill="FFFFFF"/>
        <w:spacing w:before="202" w:line="216" w:lineRule="exact"/>
        <w:ind w:left="283"/>
      </w:pPr>
      <w:r>
        <w:rPr>
          <w:spacing w:val="-9"/>
          <w:sz w:val="16"/>
          <w:szCs w:val="16"/>
          <w:lang w:val="es-ES_tradnl"/>
        </w:rPr>
        <w:t xml:space="preserve">En   todo   proceso   en   el   que   se   determinen   derechos   y </w:t>
      </w:r>
      <w:r>
        <w:rPr>
          <w:spacing w:val="-5"/>
          <w:sz w:val="16"/>
          <w:szCs w:val="16"/>
          <w:lang w:val="es-ES_tradnl"/>
        </w:rPr>
        <w:t>obligaciones de cualquier orden, se asegurar</w:t>
      </w:r>
      <w:r>
        <w:rPr>
          <w:rFonts w:cs="Times New Roman"/>
          <w:spacing w:val="-5"/>
          <w:sz w:val="16"/>
          <w:szCs w:val="16"/>
          <w:lang w:val="es-ES_tradnl"/>
        </w:rPr>
        <w:t>á</w:t>
      </w:r>
      <w:r>
        <w:rPr>
          <w:spacing w:val="-5"/>
          <w:sz w:val="16"/>
          <w:szCs w:val="16"/>
          <w:lang w:val="es-ES_tradnl"/>
        </w:rPr>
        <w:t xml:space="preserve"> el derecho al </w:t>
      </w:r>
      <w:r>
        <w:rPr>
          <w:spacing w:val="-7"/>
          <w:sz w:val="16"/>
          <w:szCs w:val="16"/>
          <w:lang w:val="es-ES_tradnl"/>
        </w:rPr>
        <w:t>debido proceso que incluir</w:t>
      </w:r>
      <w:r>
        <w:rPr>
          <w:rFonts w:cs="Times New Roman"/>
          <w:spacing w:val="-7"/>
          <w:sz w:val="16"/>
          <w:szCs w:val="16"/>
          <w:lang w:val="es-ES_tradnl"/>
        </w:rPr>
        <w:t>á</w:t>
      </w:r>
      <w:r>
        <w:rPr>
          <w:spacing w:val="-7"/>
          <w:sz w:val="16"/>
          <w:szCs w:val="16"/>
          <w:lang w:val="es-ES_tradnl"/>
        </w:rPr>
        <w:t xml:space="preserve"> las siguientes garant</w:t>
      </w:r>
      <w:r>
        <w:rPr>
          <w:rFonts w:cs="Times New Roman"/>
          <w:spacing w:val="-7"/>
          <w:sz w:val="16"/>
          <w:szCs w:val="16"/>
          <w:lang w:val="es-ES_tradnl"/>
        </w:rPr>
        <w:t>í</w:t>
      </w:r>
      <w:r>
        <w:rPr>
          <w:spacing w:val="-7"/>
          <w:sz w:val="16"/>
          <w:szCs w:val="16"/>
          <w:lang w:val="es-ES_tradnl"/>
        </w:rPr>
        <w:t>as b</w:t>
      </w:r>
      <w:r>
        <w:rPr>
          <w:rFonts w:cs="Times New Roman"/>
          <w:spacing w:val="-7"/>
          <w:sz w:val="16"/>
          <w:szCs w:val="16"/>
          <w:lang w:val="es-ES_tradnl"/>
        </w:rPr>
        <w:t>á</w:t>
      </w:r>
      <w:r>
        <w:rPr>
          <w:spacing w:val="-7"/>
          <w:sz w:val="16"/>
          <w:szCs w:val="16"/>
          <w:lang w:val="es-ES_tradnl"/>
        </w:rPr>
        <w:t xml:space="preserve">sicas: </w:t>
      </w:r>
      <w:r>
        <w:rPr>
          <w:spacing w:val="-3"/>
          <w:sz w:val="16"/>
          <w:szCs w:val="16"/>
          <w:lang w:val="es-ES_tradnl"/>
        </w:rPr>
        <w:t>(</w:t>
      </w:r>
      <w:r>
        <w:rPr>
          <w:rFonts w:cs="Times New Roman"/>
          <w:spacing w:val="-3"/>
          <w:sz w:val="16"/>
          <w:szCs w:val="16"/>
          <w:lang w:val="es-ES_tradnl"/>
        </w:rPr>
        <w:t>…</w:t>
      </w:r>
      <w:r>
        <w:rPr>
          <w:spacing w:val="-3"/>
          <w:sz w:val="16"/>
          <w:szCs w:val="16"/>
          <w:lang w:val="es-ES_tradnl"/>
        </w:rPr>
        <w:t xml:space="preserve">) </w:t>
      </w:r>
      <w:r>
        <w:rPr>
          <w:b/>
          <w:bCs/>
          <w:spacing w:val="-3"/>
          <w:sz w:val="16"/>
          <w:szCs w:val="16"/>
          <w:lang w:val="es-ES_tradnl"/>
        </w:rPr>
        <w:t>7</w:t>
      </w:r>
      <w:r>
        <w:rPr>
          <w:spacing w:val="-3"/>
          <w:sz w:val="16"/>
          <w:szCs w:val="16"/>
          <w:lang w:val="es-ES_tradnl"/>
        </w:rPr>
        <w:t>. El derecho de las personas a la defensa incluir</w:t>
      </w:r>
      <w:r>
        <w:rPr>
          <w:rFonts w:cs="Times New Roman"/>
          <w:spacing w:val="-3"/>
          <w:sz w:val="16"/>
          <w:szCs w:val="16"/>
          <w:lang w:val="es-ES_tradnl"/>
        </w:rPr>
        <w:t>á</w:t>
      </w:r>
      <w:r>
        <w:rPr>
          <w:spacing w:val="-3"/>
          <w:sz w:val="16"/>
          <w:szCs w:val="16"/>
          <w:lang w:val="es-ES_tradnl"/>
        </w:rPr>
        <w:t xml:space="preserve"> las </w:t>
      </w:r>
      <w:r>
        <w:rPr>
          <w:sz w:val="16"/>
          <w:szCs w:val="16"/>
          <w:lang w:val="es-ES_tradnl"/>
        </w:rPr>
        <w:t>siguientes garant</w:t>
      </w:r>
      <w:r>
        <w:rPr>
          <w:rFonts w:cs="Times New Roman"/>
          <w:sz w:val="16"/>
          <w:szCs w:val="16"/>
          <w:lang w:val="es-ES_tradnl"/>
        </w:rPr>
        <w:t>í</w:t>
      </w:r>
      <w:r>
        <w:rPr>
          <w:sz w:val="16"/>
          <w:szCs w:val="16"/>
          <w:lang w:val="es-ES_tradnl"/>
        </w:rPr>
        <w:t>as:</w:t>
      </w:r>
    </w:p>
    <w:p w14:paraId="4F67B13B" w14:textId="77777777" w:rsidR="00591D54" w:rsidRDefault="00591D54">
      <w:pPr>
        <w:shd w:val="clear" w:color="auto" w:fill="FFFFFF"/>
        <w:spacing w:line="216" w:lineRule="exact"/>
        <w:ind w:left="283"/>
        <w:jc w:val="both"/>
      </w:pPr>
      <w:r>
        <w:rPr>
          <w:spacing w:val="-6"/>
          <w:sz w:val="16"/>
          <w:szCs w:val="16"/>
          <w:lang w:val="es-ES_tradnl"/>
        </w:rPr>
        <w:t>(</w:t>
      </w:r>
      <w:r>
        <w:rPr>
          <w:rFonts w:cs="Times New Roman"/>
          <w:spacing w:val="-6"/>
          <w:sz w:val="16"/>
          <w:szCs w:val="16"/>
          <w:lang w:val="es-ES_tradnl"/>
        </w:rPr>
        <w:t>…</w:t>
      </w:r>
      <w:r>
        <w:rPr>
          <w:spacing w:val="-6"/>
          <w:sz w:val="16"/>
          <w:szCs w:val="16"/>
          <w:lang w:val="es-ES_tradnl"/>
        </w:rPr>
        <w:t xml:space="preserve">) </w:t>
      </w:r>
      <w:r>
        <w:rPr>
          <w:b/>
          <w:bCs/>
          <w:spacing w:val="-6"/>
          <w:sz w:val="16"/>
          <w:szCs w:val="16"/>
          <w:lang w:val="es-ES_tradnl"/>
        </w:rPr>
        <w:t xml:space="preserve">l </w:t>
      </w:r>
      <w:r>
        <w:rPr>
          <w:spacing w:val="-6"/>
          <w:sz w:val="16"/>
          <w:szCs w:val="16"/>
          <w:lang w:val="es-ES_tradnl"/>
        </w:rPr>
        <w:t>Las resoluciones de los poderes p</w:t>
      </w:r>
      <w:r>
        <w:rPr>
          <w:rFonts w:cs="Times New Roman"/>
          <w:spacing w:val="-6"/>
          <w:sz w:val="16"/>
          <w:szCs w:val="16"/>
          <w:lang w:val="es-ES_tradnl"/>
        </w:rPr>
        <w:t>ú</w:t>
      </w:r>
      <w:r>
        <w:rPr>
          <w:spacing w:val="-6"/>
          <w:sz w:val="16"/>
          <w:szCs w:val="16"/>
          <w:lang w:val="es-ES_tradnl"/>
        </w:rPr>
        <w:t>blicos deber</w:t>
      </w:r>
      <w:r>
        <w:rPr>
          <w:rFonts w:cs="Times New Roman"/>
          <w:spacing w:val="-6"/>
          <w:sz w:val="16"/>
          <w:szCs w:val="16"/>
          <w:lang w:val="es-ES_tradnl"/>
        </w:rPr>
        <w:t>á</w:t>
      </w:r>
      <w:r>
        <w:rPr>
          <w:spacing w:val="-6"/>
          <w:sz w:val="16"/>
          <w:szCs w:val="16"/>
          <w:lang w:val="es-ES_tradnl"/>
        </w:rPr>
        <w:t xml:space="preserve">n ser </w:t>
      </w:r>
      <w:r>
        <w:rPr>
          <w:spacing w:val="-4"/>
          <w:sz w:val="16"/>
          <w:szCs w:val="16"/>
          <w:lang w:val="es-ES_tradnl"/>
        </w:rPr>
        <w:t>motivadas. No habr</w:t>
      </w:r>
      <w:r>
        <w:rPr>
          <w:rFonts w:cs="Times New Roman"/>
          <w:spacing w:val="-4"/>
          <w:sz w:val="16"/>
          <w:szCs w:val="16"/>
          <w:lang w:val="es-ES_tradnl"/>
        </w:rPr>
        <w:t>á</w:t>
      </w:r>
      <w:r>
        <w:rPr>
          <w:spacing w:val="-4"/>
          <w:sz w:val="16"/>
          <w:szCs w:val="16"/>
          <w:lang w:val="es-ES_tradnl"/>
        </w:rPr>
        <w:t xml:space="preserve"> motivaci</w:t>
      </w:r>
      <w:r>
        <w:rPr>
          <w:rFonts w:cs="Times New Roman"/>
          <w:spacing w:val="-4"/>
          <w:sz w:val="16"/>
          <w:szCs w:val="16"/>
          <w:lang w:val="es-ES_tradnl"/>
        </w:rPr>
        <w:t>ó</w:t>
      </w:r>
      <w:r>
        <w:rPr>
          <w:spacing w:val="-4"/>
          <w:sz w:val="16"/>
          <w:szCs w:val="16"/>
          <w:lang w:val="es-ES_tradnl"/>
        </w:rPr>
        <w:t>n si en la resoluci</w:t>
      </w:r>
      <w:r>
        <w:rPr>
          <w:rFonts w:cs="Times New Roman"/>
          <w:spacing w:val="-4"/>
          <w:sz w:val="16"/>
          <w:szCs w:val="16"/>
          <w:lang w:val="es-ES_tradnl"/>
        </w:rPr>
        <w:t>ó</w:t>
      </w:r>
      <w:r>
        <w:rPr>
          <w:spacing w:val="-4"/>
          <w:sz w:val="16"/>
          <w:szCs w:val="16"/>
          <w:lang w:val="es-ES_tradnl"/>
        </w:rPr>
        <w:t xml:space="preserve">n no se </w:t>
      </w:r>
      <w:r>
        <w:rPr>
          <w:spacing w:val="-9"/>
          <w:sz w:val="16"/>
          <w:szCs w:val="16"/>
          <w:lang w:val="es-ES_tradnl"/>
        </w:rPr>
        <w:t>enuncian las normas o principios jur</w:t>
      </w:r>
      <w:r>
        <w:rPr>
          <w:rFonts w:cs="Times New Roman"/>
          <w:spacing w:val="-9"/>
          <w:sz w:val="16"/>
          <w:szCs w:val="16"/>
          <w:lang w:val="es-ES_tradnl"/>
        </w:rPr>
        <w:t>í</w:t>
      </w:r>
      <w:r>
        <w:rPr>
          <w:spacing w:val="-9"/>
          <w:sz w:val="16"/>
          <w:szCs w:val="16"/>
          <w:lang w:val="es-ES_tradnl"/>
        </w:rPr>
        <w:t>dicos en que se funda y no se explica la pertinencia de su aplicaci</w:t>
      </w:r>
      <w:r>
        <w:rPr>
          <w:rFonts w:cs="Times New Roman"/>
          <w:spacing w:val="-9"/>
          <w:sz w:val="16"/>
          <w:szCs w:val="16"/>
          <w:lang w:val="es-ES_tradnl"/>
        </w:rPr>
        <w:t>ó</w:t>
      </w:r>
      <w:r>
        <w:rPr>
          <w:spacing w:val="-9"/>
          <w:sz w:val="16"/>
          <w:szCs w:val="16"/>
          <w:lang w:val="es-ES_tradnl"/>
        </w:rPr>
        <w:t xml:space="preserve">n a los antecedentes de </w:t>
      </w:r>
      <w:r>
        <w:rPr>
          <w:spacing w:val="-7"/>
          <w:sz w:val="16"/>
          <w:szCs w:val="16"/>
          <w:lang w:val="es-ES_tradnl"/>
        </w:rPr>
        <w:t xml:space="preserve">hecho. Los actos administrativos, resoluciones o fallos que no </w:t>
      </w:r>
      <w:r>
        <w:rPr>
          <w:spacing w:val="-8"/>
          <w:sz w:val="16"/>
          <w:szCs w:val="16"/>
          <w:lang w:val="es-ES_tradnl"/>
        </w:rPr>
        <w:t>se encuentren debidamente motivados se considerar</w:t>
      </w:r>
      <w:r>
        <w:rPr>
          <w:rFonts w:cs="Times New Roman"/>
          <w:spacing w:val="-8"/>
          <w:sz w:val="16"/>
          <w:szCs w:val="16"/>
          <w:lang w:val="es-ES_tradnl"/>
        </w:rPr>
        <w:t>á</w:t>
      </w:r>
      <w:r>
        <w:rPr>
          <w:spacing w:val="-8"/>
          <w:sz w:val="16"/>
          <w:szCs w:val="16"/>
          <w:lang w:val="es-ES_tradnl"/>
        </w:rPr>
        <w:t>n nulos. Las servidoras o servidores responsables ser</w:t>
      </w:r>
      <w:r>
        <w:rPr>
          <w:rFonts w:cs="Times New Roman"/>
          <w:spacing w:val="-8"/>
          <w:sz w:val="16"/>
          <w:szCs w:val="16"/>
          <w:lang w:val="es-ES_tradnl"/>
        </w:rPr>
        <w:t>á</w:t>
      </w:r>
      <w:r>
        <w:rPr>
          <w:spacing w:val="-8"/>
          <w:sz w:val="16"/>
          <w:szCs w:val="16"/>
          <w:lang w:val="es-ES_tradnl"/>
        </w:rPr>
        <w:t>n sancionados.</w:t>
      </w:r>
    </w:p>
    <w:p w14:paraId="4F67B13C" w14:textId="77777777" w:rsidR="00591D54" w:rsidRDefault="00591D54">
      <w:pPr>
        <w:shd w:val="clear" w:color="auto" w:fill="FFFFFF"/>
        <w:spacing w:before="202" w:line="216" w:lineRule="exact"/>
        <w:jc w:val="both"/>
      </w:pPr>
      <w:r>
        <w:rPr>
          <w:spacing w:val="-6"/>
          <w:sz w:val="18"/>
          <w:szCs w:val="18"/>
          <w:lang w:val="es-ES_tradnl"/>
        </w:rPr>
        <w:t xml:space="preserve">La mencionada normativa constitucional impone el deber de motivar por parte de los jueces, por tanto, un juez no </w:t>
      </w:r>
      <w:r>
        <w:rPr>
          <w:spacing w:val="-7"/>
          <w:sz w:val="18"/>
          <w:szCs w:val="18"/>
          <w:lang w:val="es-ES_tradnl"/>
        </w:rPr>
        <w:t>puede decidir arbitrariamente; est</w:t>
      </w:r>
      <w:r>
        <w:rPr>
          <w:rFonts w:cs="Times New Roman"/>
          <w:spacing w:val="-7"/>
          <w:sz w:val="18"/>
          <w:szCs w:val="18"/>
          <w:lang w:val="es-ES_tradnl"/>
        </w:rPr>
        <w:t>á</w:t>
      </w:r>
      <w:r>
        <w:rPr>
          <w:spacing w:val="-7"/>
          <w:sz w:val="18"/>
          <w:szCs w:val="18"/>
          <w:lang w:val="es-ES_tradnl"/>
        </w:rPr>
        <w:t xml:space="preserve"> obligado a razonar de </w:t>
      </w:r>
      <w:r>
        <w:rPr>
          <w:spacing w:val="-8"/>
          <w:sz w:val="18"/>
          <w:szCs w:val="18"/>
          <w:lang w:val="es-ES_tradnl"/>
        </w:rPr>
        <w:t>manera expl</w:t>
      </w:r>
      <w:r>
        <w:rPr>
          <w:rFonts w:cs="Times New Roman"/>
          <w:spacing w:val="-8"/>
          <w:sz w:val="18"/>
          <w:szCs w:val="18"/>
          <w:lang w:val="es-ES_tradnl"/>
        </w:rPr>
        <w:t>í</w:t>
      </w:r>
      <w:r>
        <w:rPr>
          <w:spacing w:val="-8"/>
          <w:sz w:val="18"/>
          <w:szCs w:val="18"/>
          <w:lang w:val="es-ES_tradnl"/>
        </w:rPr>
        <w:t xml:space="preserve">cita las decisiones que adopta, destinadas a </w:t>
      </w:r>
      <w:r>
        <w:rPr>
          <w:spacing w:val="-5"/>
          <w:sz w:val="18"/>
          <w:szCs w:val="18"/>
          <w:lang w:val="es-ES_tradnl"/>
        </w:rPr>
        <w:t>defenderse por s</w:t>
      </w:r>
      <w:r>
        <w:rPr>
          <w:rFonts w:cs="Times New Roman"/>
          <w:spacing w:val="-5"/>
          <w:sz w:val="18"/>
          <w:szCs w:val="18"/>
          <w:lang w:val="es-ES_tradnl"/>
        </w:rPr>
        <w:t>í</w:t>
      </w:r>
      <w:r>
        <w:rPr>
          <w:spacing w:val="-5"/>
          <w:sz w:val="18"/>
          <w:szCs w:val="18"/>
          <w:lang w:val="es-ES_tradnl"/>
        </w:rPr>
        <w:t xml:space="preserve"> mismas y discutirlas con conocimiento </w:t>
      </w:r>
      <w:r>
        <w:rPr>
          <w:spacing w:val="-8"/>
          <w:sz w:val="18"/>
          <w:szCs w:val="18"/>
          <w:lang w:val="es-ES_tradnl"/>
        </w:rPr>
        <w:t>de la causa, amparada en las normas o principios jur</w:t>
      </w:r>
      <w:r>
        <w:rPr>
          <w:rFonts w:cs="Times New Roman"/>
          <w:spacing w:val="-8"/>
          <w:sz w:val="18"/>
          <w:szCs w:val="18"/>
          <w:lang w:val="es-ES_tradnl"/>
        </w:rPr>
        <w:t>í</w:t>
      </w:r>
      <w:r>
        <w:rPr>
          <w:spacing w:val="-8"/>
          <w:sz w:val="18"/>
          <w:szCs w:val="18"/>
          <w:lang w:val="es-ES_tradnl"/>
        </w:rPr>
        <w:t xml:space="preserve">dicos </w:t>
      </w:r>
      <w:r>
        <w:rPr>
          <w:spacing w:val="-2"/>
          <w:sz w:val="18"/>
          <w:szCs w:val="18"/>
          <w:lang w:val="es-ES_tradnl"/>
        </w:rPr>
        <w:t>que justifiquen la adopci</w:t>
      </w:r>
      <w:r>
        <w:rPr>
          <w:rFonts w:cs="Times New Roman"/>
          <w:spacing w:val="-2"/>
          <w:sz w:val="18"/>
          <w:szCs w:val="18"/>
          <w:lang w:val="es-ES_tradnl"/>
        </w:rPr>
        <w:t>ó</w:t>
      </w:r>
      <w:r>
        <w:rPr>
          <w:spacing w:val="-2"/>
          <w:sz w:val="18"/>
          <w:szCs w:val="18"/>
          <w:lang w:val="es-ES_tradnl"/>
        </w:rPr>
        <w:t>n de la resoluci</w:t>
      </w:r>
      <w:r>
        <w:rPr>
          <w:rFonts w:cs="Times New Roman"/>
          <w:spacing w:val="-2"/>
          <w:sz w:val="18"/>
          <w:szCs w:val="18"/>
          <w:lang w:val="es-ES_tradnl"/>
        </w:rPr>
        <w:t>ó</w:t>
      </w:r>
      <w:r>
        <w:rPr>
          <w:spacing w:val="-2"/>
          <w:sz w:val="18"/>
          <w:szCs w:val="18"/>
          <w:lang w:val="es-ES_tradnl"/>
        </w:rPr>
        <w:t xml:space="preserve">n, es decir, </w:t>
      </w:r>
      <w:r>
        <w:rPr>
          <w:spacing w:val="-4"/>
          <w:sz w:val="18"/>
          <w:szCs w:val="18"/>
          <w:lang w:val="es-ES_tradnl"/>
        </w:rPr>
        <w:t>debe explicar la pertinencia de aplicaci</w:t>
      </w:r>
      <w:r>
        <w:rPr>
          <w:rFonts w:cs="Times New Roman"/>
          <w:spacing w:val="-4"/>
          <w:sz w:val="18"/>
          <w:szCs w:val="18"/>
          <w:lang w:val="es-ES_tradnl"/>
        </w:rPr>
        <w:t>ó</w:t>
      </w:r>
      <w:r>
        <w:rPr>
          <w:spacing w:val="-4"/>
          <w:sz w:val="18"/>
          <w:szCs w:val="18"/>
          <w:lang w:val="es-ES_tradnl"/>
        </w:rPr>
        <w:t xml:space="preserve">n de las normas </w:t>
      </w:r>
      <w:r>
        <w:rPr>
          <w:spacing w:val="-9"/>
          <w:sz w:val="18"/>
          <w:szCs w:val="18"/>
          <w:lang w:val="es-ES_tradnl"/>
        </w:rPr>
        <w:t xml:space="preserve">a los antecedentes de hecho, pero si se omite aquel deber </w:t>
      </w:r>
      <w:r>
        <w:rPr>
          <w:spacing w:val="-11"/>
          <w:sz w:val="18"/>
          <w:szCs w:val="18"/>
          <w:lang w:val="es-ES_tradnl"/>
        </w:rPr>
        <w:t xml:space="preserve">constitucional </w:t>
      </w:r>
      <w:r>
        <w:rPr>
          <w:i/>
          <w:iCs/>
          <w:spacing w:val="-11"/>
          <w:sz w:val="18"/>
          <w:szCs w:val="18"/>
          <w:lang w:val="es-ES_tradnl"/>
        </w:rPr>
        <w:t xml:space="preserve">ipso jure </w:t>
      </w:r>
      <w:r>
        <w:rPr>
          <w:spacing w:val="-11"/>
          <w:sz w:val="18"/>
          <w:szCs w:val="18"/>
          <w:lang w:val="es-ES_tradnl"/>
        </w:rPr>
        <w:t>carece de eficacia y ser</w:t>
      </w:r>
      <w:r>
        <w:rPr>
          <w:rFonts w:cs="Times New Roman"/>
          <w:spacing w:val="-11"/>
          <w:sz w:val="18"/>
          <w:szCs w:val="18"/>
          <w:lang w:val="es-ES_tradnl"/>
        </w:rPr>
        <w:t>á</w:t>
      </w:r>
      <w:r>
        <w:rPr>
          <w:spacing w:val="-11"/>
          <w:sz w:val="18"/>
          <w:szCs w:val="18"/>
          <w:lang w:val="es-ES_tradnl"/>
        </w:rPr>
        <w:t xml:space="preserve"> considerado </w:t>
      </w:r>
      <w:r>
        <w:rPr>
          <w:spacing w:val="-7"/>
          <w:sz w:val="18"/>
          <w:szCs w:val="18"/>
          <w:lang w:val="es-ES_tradnl"/>
        </w:rPr>
        <w:t>nulo por mandato de 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blica.</w:t>
      </w:r>
    </w:p>
    <w:p w14:paraId="4F67B13D" w14:textId="77777777" w:rsidR="00591D54" w:rsidRDefault="00591D54">
      <w:pPr>
        <w:shd w:val="clear" w:color="auto" w:fill="FFFFFF"/>
        <w:spacing w:before="197" w:line="216" w:lineRule="exact"/>
        <w:jc w:val="both"/>
      </w:pPr>
      <w:r>
        <w:rPr>
          <w:spacing w:val="-9"/>
          <w:sz w:val="18"/>
          <w:szCs w:val="18"/>
          <w:lang w:val="es-ES_tradnl"/>
        </w:rPr>
        <w:t>As</w:t>
      </w:r>
      <w:r>
        <w:rPr>
          <w:rFonts w:cs="Times New Roman"/>
          <w:spacing w:val="-9"/>
          <w:sz w:val="18"/>
          <w:szCs w:val="18"/>
          <w:lang w:val="es-ES_tradnl"/>
        </w:rPr>
        <w:t>í</w:t>
      </w:r>
      <w:r>
        <w:rPr>
          <w:spacing w:val="-9"/>
          <w:sz w:val="18"/>
          <w:szCs w:val="18"/>
          <w:lang w:val="es-ES_tradnl"/>
        </w:rPr>
        <w:t xml:space="preserve">, para que una sentencia se encuentre debidamente </w:t>
      </w:r>
      <w:r>
        <w:rPr>
          <w:spacing w:val="-5"/>
          <w:sz w:val="18"/>
          <w:szCs w:val="18"/>
          <w:lang w:val="es-ES_tradnl"/>
        </w:rPr>
        <w:t xml:space="preserve">motivada debe concurrir los siguientes requisitos: </w:t>
      </w:r>
      <w:r>
        <w:rPr>
          <w:b/>
          <w:bCs/>
          <w:spacing w:val="-5"/>
          <w:sz w:val="18"/>
          <w:szCs w:val="18"/>
          <w:lang w:val="es-ES_tradnl"/>
        </w:rPr>
        <w:t xml:space="preserve">a) </w:t>
      </w:r>
      <w:r>
        <w:rPr>
          <w:spacing w:val="-4"/>
          <w:sz w:val="18"/>
          <w:szCs w:val="18"/>
          <w:lang w:val="es-ES_tradnl"/>
        </w:rPr>
        <w:t xml:space="preserve">razonabilidad, </w:t>
      </w:r>
      <w:r>
        <w:rPr>
          <w:b/>
          <w:bCs/>
          <w:spacing w:val="-4"/>
          <w:sz w:val="18"/>
          <w:szCs w:val="18"/>
          <w:lang w:val="es-ES_tradnl"/>
        </w:rPr>
        <w:t>b</w:t>
      </w:r>
      <w:r>
        <w:rPr>
          <w:spacing w:val="-4"/>
          <w:sz w:val="18"/>
          <w:szCs w:val="18"/>
          <w:lang w:val="es-ES_tradnl"/>
        </w:rPr>
        <w:t>) l</w:t>
      </w:r>
      <w:r>
        <w:rPr>
          <w:rFonts w:cs="Times New Roman"/>
          <w:spacing w:val="-4"/>
          <w:sz w:val="18"/>
          <w:szCs w:val="18"/>
          <w:lang w:val="es-ES_tradnl"/>
        </w:rPr>
        <w:t>ó</w:t>
      </w:r>
      <w:r>
        <w:rPr>
          <w:spacing w:val="-4"/>
          <w:sz w:val="18"/>
          <w:szCs w:val="18"/>
          <w:lang w:val="es-ES_tradnl"/>
        </w:rPr>
        <w:t xml:space="preserve">gica y </w:t>
      </w:r>
      <w:r>
        <w:rPr>
          <w:b/>
          <w:bCs/>
          <w:spacing w:val="-4"/>
          <w:sz w:val="18"/>
          <w:szCs w:val="18"/>
          <w:lang w:val="es-ES_tradnl"/>
        </w:rPr>
        <w:t xml:space="preserve">c) </w:t>
      </w:r>
      <w:r>
        <w:rPr>
          <w:spacing w:val="-4"/>
          <w:sz w:val="18"/>
          <w:szCs w:val="18"/>
          <w:lang w:val="es-ES_tradnl"/>
        </w:rPr>
        <w:t xml:space="preserve">comprensibilidad, conforme </w:t>
      </w:r>
      <w:r>
        <w:rPr>
          <w:spacing w:val="-2"/>
          <w:sz w:val="18"/>
          <w:szCs w:val="18"/>
          <w:lang w:val="es-ES_tradnl"/>
        </w:rPr>
        <w:t xml:space="preserve">lo ha determinado la Corte Constitucional del Ecuador </w:t>
      </w:r>
      <w:r>
        <w:rPr>
          <w:spacing w:val="-6"/>
          <w:sz w:val="18"/>
          <w:szCs w:val="18"/>
          <w:lang w:val="es-ES_tradnl"/>
        </w:rPr>
        <w:t>en m</w:t>
      </w:r>
      <w:r>
        <w:rPr>
          <w:rFonts w:cs="Times New Roman"/>
          <w:spacing w:val="-6"/>
          <w:sz w:val="18"/>
          <w:szCs w:val="18"/>
          <w:lang w:val="es-ES_tradnl"/>
        </w:rPr>
        <w:t>ú</w:t>
      </w:r>
      <w:r>
        <w:rPr>
          <w:spacing w:val="-6"/>
          <w:sz w:val="18"/>
          <w:szCs w:val="18"/>
          <w:lang w:val="es-ES_tradnl"/>
        </w:rPr>
        <w:t>ltiples resoluciones, entre ellas, la sentencia N.</w:t>
      </w:r>
      <w:r>
        <w:rPr>
          <w:rFonts w:cs="Times New Roman"/>
          <w:spacing w:val="-6"/>
          <w:sz w:val="18"/>
          <w:szCs w:val="18"/>
          <w:lang w:val="es-ES_tradnl"/>
        </w:rPr>
        <w:t xml:space="preserve">º </w:t>
      </w:r>
      <w:r>
        <w:rPr>
          <w:spacing w:val="-7"/>
          <w:sz w:val="18"/>
          <w:szCs w:val="18"/>
          <w:lang w:val="es-ES_tradnl"/>
        </w:rPr>
        <w:t>0140-14-SEP-CC, caso N.</w:t>
      </w:r>
      <w:r>
        <w:rPr>
          <w:rFonts w:cs="Times New Roman"/>
          <w:spacing w:val="-7"/>
          <w:sz w:val="18"/>
          <w:szCs w:val="18"/>
          <w:lang w:val="es-ES_tradnl"/>
        </w:rPr>
        <w:t>º</w:t>
      </w:r>
      <w:r>
        <w:rPr>
          <w:spacing w:val="-7"/>
          <w:sz w:val="18"/>
          <w:szCs w:val="18"/>
          <w:lang w:val="es-ES_tradnl"/>
        </w:rPr>
        <w:t xml:space="preserve"> 0042-11-EP, emitida el 24 de septiembre de 2014, que reitera lo siguiente:</w:t>
      </w:r>
    </w:p>
    <w:p w14:paraId="4F67B13E" w14:textId="77777777" w:rsidR="00591D54" w:rsidRDefault="00591D54">
      <w:pPr>
        <w:shd w:val="clear" w:color="auto" w:fill="FFFFFF"/>
        <w:spacing w:before="202" w:line="216" w:lineRule="exact"/>
        <w:ind w:left="283"/>
        <w:jc w:val="both"/>
      </w:pPr>
      <w:r>
        <w:rPr>
          <w:rFonts w:cs="Times New Roman"/>
          <w:spacing w:val="-5"/>
          <w:sz w:val="16"/>
          <w:szCs w:val="16"/>
          <w:lang w:val="es-ES_tradnl"/>
        </w:rPr>
        <w:t>“</w:t>
      </w:r>
      <w:r>
        <w:rPr>
          <w:spacing w:val="-5"/>
          <w:sz w:val="16"/>
          <w:szCs w:val="16"/>
          <w:lang w:val="es-ES_tradnl"/>
        </w:rPr>
        <w:t>Esta garant</w:t>
      </w:r>
      <w:r>
        <w:rPr>
          <w:rFonts w:cs="Times New Roman"/>
          <w:spacing w:val="-5"/>
          <w:sz w:val="16"/>
          <w:szCs w:val="16"/>
          <w:lang w:val="es-ES_tradnl"/>
        </w:rPr>
        <w:t>í</w:t>
      </w:r>
      <w:r>
        <w:rPr>
          <w:spacing w:val="-5"/>
          <w:sz w:val="16"/>
          <w:szCs w:val="16"/>
          <w:lang w:val="es-ES_tradnl"/>
        </w:rPr>
        <w:t xml:space="preserve">a constitucional tiene especial relevancia al </w:t>
      </w:r>
      <w:r>
        <w:rPr>
          <w:spacing w:val="-9"/>
          <w:sz w:val="16"/>
          <w:szCs w:val="16"/>
          <w:lang w:val="es-ES_tradnl"/>
        </w:rPr>
        <w:t>momento de legitimar la actuaci</w:t>
      </w:r>
      <w:r>
        <w:rPr>
          <w:rFonts w:cs="Times New Roman"/>
          <w:spacing w:val="-9"/>
          <w:sz w:val="16"/>
          <w:szCs w:val="16"/>
          <w:lang w:val="es-ES_tradnl"/>
        </w:rPr>
        <w:t>ó</w:t>
      </w:r>
      <w:r>
        <w:rPr>
          <w:spacing w:val="-9"/>
          <w:sz w:val="16"/>
          <w:szCs w:val="16"/>
          <w:lang w:val="es-ES_tradnl"/>
        </w:rPr>
        <w:t xml:space="preserve">n de los operadores de justicia, </w:t>
      </w:r>
      <w:r>
        <w:rPr>
          <w:spacing w:val="-6"/>
          <w:sz w:val="16"/>
          <w:szCs w:val="16"/>
          <w:lang w:val="es-ES_tradnl"/>
        </w:rPr>
        <w:t>pues mediante un ejercicio razonable, l</w:t>
      </w:r>
      <w:r>
        <w:rPr>
          <w:rFonts w:cs="Times New Roman"/>
          <w:spacing w:val="-6"/>
          <w:sz w:val="16"/>
          <w:szCs w:val="16"/>
          <w:lang w:val="es-ES_tradnl"/>
        </w:rPr>
        <w:t>ó</w:t>
      </w:r>
      <w:r>
        <w:rPr>
          <w:spacing w:val="-6"/>
          <w:sz w:val="16"/>
          <w:szCs w:val="16"/>
          <w:lang w:val="es-ES_tradnl"/>
        </w:rPr>
        <w:t xml:space="preserve">gico y comprensible </w:t>
      </w:r>
      <w:r>
        <w:rPr>
          <w:spacing w:val="-5"/>
          <w:sz w:val="16"/>
          <w:szCs w:val="16"/>
          <w:lang w:val="es-ES_tradnl"/>
        </w:rPr>
        <w:t>en la actividad judicial decisoria, dichos operadores cuentan</w:t>
      </w:r>
    </w:p>
    <w:p w14:paraId="4F67B13F" w14:textId="77777777" w:rsidR="00591D54" w:rsidRDefault="00591D54">
      <w:pPr>
        <w:shd w:val="clear" w:color="auto" w:fill="FFFFFF"/>
        <w:spacing w:before="202" w:line="216" w:lineRule="exact"/>
        <w:ind w:left="283"/>
        <w:jc w:val="both"/>
        <w:sectPr w:rsidR="00591D54">
          <w:type w:val="continuous"/>
          <w:pgSz w:w="11909" w:h="16834"/>
          <w:pgMar w:top="1356" w:right="1309" w:bottom="360" w:left="1308" w:header="720" w:footer="720" w:gutter="0"/>
          <w:cols w:num="2" w:space="720" w:equalWidth="0">
            <w:col w:w="4305" w:space="682"/>
            <w:col w:w="4305"/>
          </w:cols>
          <w:noEndnote/>
        </w:sectPr>
      </w:pPr>
    </w:p>
    <w:p w14:paraId="4F67B140" w14:textId="77777777" w:rsidR="00591D54" w:rsidRDefault="00591D54">
      <w:pPr>
        <w:shd w:val="clear" w:color="auto" w:fill="FFFFFF"/>
        <w:tabs>
          <w:tab w:val="left" w:pos="4814"/>
        </w:tabs>
        <w:spacing w:after="230"/>
        <w:ind w:left="14"/>
      </w:pPr>
      <w:r>
        <w:rPr>
          <w:b/>
          <w:bCs/>
          <w:sz w:val="18"/>
          <w:szCs w:val="18"/>
          <w:lang w:val="es-ES_tradnl"/>
        </w:rPr>
        <w:t xml:space="preserve">168 -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141" w14:textId="77777777" w:rsidR="00591D54" w:rsidRDefault="00591D54">
      <w:pPr>
        <w:shd w:val="clear" w:color="auto" w:fill="FFFFFF"/>
        <w:tabs>
          <w:tab w:val="left" w:pos="4814"/>
        </w:tabs>
        <w:spacing w:after="230"/>
        <w:ind w:left="14"/>
        <w:sectPr w:rsidR="00591D54">
          <w:pgSz w:w="11909" w:h="16834"/>
          <w:pgMar w:top="1356" w:right="1304" w:bottom="360" w:left="1308" w:header="720" w:footer="720" w:gutter="0"/>
          <w:cols w:space="60"/>
          <w:noEndnote/>
        </w:sectPr>
      </w:pPr>
    </w:p>
    <w:p w14:paraId="4F67B142" w14:textId="77777777" w:rsidR="00591D54" w:rsidRDefault="00591D54">
      <w:pPr>
        <w:shd w:val="clear" w:color="auto" w:fill="FFFFFF"/>
        <w:spacing w:line="216" w:lineRule="exact"/>
        <w:ind w:left="283"/>
        <w:jc w:val="both"/>
      </w:pPr>
      <w:r>
        <w:rPr>
          <w:sz w:val="14"/>
          <w:szCs w:val="14"/>
          <w:lang w:val="es-ES_tradnl"/>
        </w:rPr>
        <w:t>con la oportunidad de garantizar la vigencia de la democracia inspirada en los valores constitucionales determinados en la Norma Suprema. Lo contrario es considerar un panorama en el que los operadores de justicia emitan resoluciones en las que se deciden sobre derechos y no exista de por medio un apropiado ejercicio argumentativo o suficientemente motivado que garantice al gran auditorio social, pero sobre todo a las partes involucradas en la controversia, conocer las razones y motivos que llevaron al operador de justicia a emitir una resoluci</w:t>
      </w:r>
      <w:r>
        <w:rPr>
          <w:rFonts w:cs="Times New Roman"/>
          <w:sz w:val="14"/>
          <w:szCs w:val="14"/>
          <w:lang w:val="es-ES_tradnl"/>
        </w:rPr>
        <w:t>ó</w:t>
      </w:r>
      <w:r>
        <w:rPr>
          <w:sz w:val="14"/>
          <w:szCs w:val="14"/>
          <w:lang w:val="es-ES_tradnl"/>
        </w:rPr>
        <w:t>n particular en el ejercicio de su jurisdicci</w:t>
      </w:r>
      <w:r>
        <w:rPr>
          <w:rFonts w:cs="Times New Roman"/>
          <w:sz w:val="14"/>
          <w:szCs w:val="14"/>
          <w:lang w:val="es-ES_tradnl"/>
        </w:rPr>
        <w:t>ó</w:t>
      </w:r>
      <w:r>
        <w:rPr>
          <w:sz w:val="14"/>
          <w:szCs w:val="14"/>
          <w:lang w:val="es-ES_tradnl"/>
        </w:rPr>
        <w:t>n.</w:t>
      </w:r>
    </w:p>
    <w:p w14:paraId="4F67B143" w14:textId="77777777" w:rsidR="00591D54" w:rsidRDefault="00591D54">
      <w:pPr>
        <w:shd w:val="clear" w:color="auto" w:fill="FFFFFF"/>
        <w:spacing w:before="211" w:line="216" w:lineRule="exact"/>
        <w:ind w:left="283" w:right="5"/>
        <w:jc w:val="both"/>
      </w:pPr>
      <w:r>
        <w:rPr>
          <w:sz w:val="14"/>
          <w:szCs w:val="14"/>
          <w:lang w:val="es-ES_tradnl"/>
        </w:rPr>
        <w:t>La motivaci</w:t>
      </w:r>
      <w:r>
        <w:rPr>
          <w:rFonts w:cs="Times New Roman"/>
          <w:sz w:val="14"/>
          <w:szCs w:val="14"/>
          <w:lang w:val="es-ES_tradnl"/>
        </w:rPr>
        <w:t>ó</w:t>
      </w:r>
      <w:r>
        <w:rPr>
          <w:sz w:val="14"/>
          <w:szCs w:val="14"/>
          <w:lang w:val="es-ES_tradnl"/>
        </w:rPr>
        <w:t>n es por tanto una garant</w:t>
      </w:r>
      <w:r>
        <w:rPr>
          <w:rFonts w:cs="Times New Roman"/>
          <w:sz w:val="14"/>
          <w:szCs w:val="14"/>
          <w:lang w:val="es-ES_tradnl"/>
        </w:rPr>
        <w:t>í</w:t>
      </w:r>
      <w:r>
        <w:rPr>
          <w:sz w:val="14"/>
          <w:szCs w:val="14"/>
          <w:lang w:val="es-ES_tradnl"/>
        </w:rPr>
        <w:t>a constitucional contra la arbitrariedad y sobre la base de los aspectos de la razonabilidad, l</w:t>
      </w:r>
      <w:r>
        <w:rPr>
          <w:rFonts w:cs="Times New Roman"/>
          <w:sz w:val="14"/>
          <w:szCs w:val="14"/>
          <w:lang w:val="es-ES_tradnl"/>
        </w:rPr>
        <w:t>ó</w:t>
      </w:r>
      <w:r>
        <w:rPr>
          <w:sz w:val="14"/>
          <w:szCs w:val="14"/>
          <w:lang w:val="es-ES_tradnl"/>
        </w:rPr>
        <w:t>gica y comprensibilidad (</w:t>
      </w:r>
      <w:r>
        <w:rPr>
          <w:rFonts w:cs="Times New Roman"/>
          <w:sz w:val="14"/>
          <w:szCs w:val="14"/>
          <w:lang w:val="es-ES_tradnl"/>
        </w:rPr>
        <w:t>…</w:t>
      </w:r>
      <w:r>
        <w:rPr>
          <w:sz w:val="14"/>
          <w:szCs w:val="14"/>
          <w:lang w:val="es-ES_tradnl"/>
        </w:rPr>
        <w:t>)</w:t>
      </w:r>
      <w:r>
        <w:rPr>
          <w:rFonts w:cs="Times New Roman"/>
          <w:sz w:val="14"/>
          <w:szCs w:val="14"/>
          <w:lang w:val="es-ES_tradnl"/>
        </w:rPr>
        <w:t>”</w:t>
      </w:r>
      <w:r>
        <w:rPr>
          <w:sz w:val="14"/>
          <w:szCs w:val="14"/>
          <w:vertAlign w:val="superscript"/>
          <w:lang w:val="es-ES_tradnl"/>
        </w:rPr>
        <w:t>3</w:t>
      </w:r>
      <w:r>
        <w:rPr>
          <w:sz w:val="14"/>
          <w:szCs w:val="14"/>
          <w:lang w:val="es-ES_tradnl"/>
        </w:rPr>
        <w:t>, se deber</w:t>
      </w:r>
      <w:r>
        <w:rPr>
          <w:rFonts w:cs="Times New Roman"/>
          <w:sz w:val="14"/>
          <w:szCs w:val="14"/>
          <w:lang w:val="es-ES_tradnl"/>
        </w:rPr>
        <w:t xml:space="preserve">á </w:t>
      </w:r>
      <w:r>
        <w:rPr>
          <w:sz w:val="14"/>
          <w:szCs w:val="14"/>
          <w:lang w:val="es-ES_tradnl"/>
        </w:rPr>
        <w:t>construir la sentencia.</w:t>
      </w:r>
    </w:p>
    <w:p w14:paraId="4F67B144" w14:textId="77777777" w:rsidR="00591D54" w:rsidRDefault="00591D54">
      <w:pPr>
        <w:shd w:val="clear" w:color="auto" w:fill="FFFFFF"/>
        <w:spacing w:before="202" w:line="216" w:lineRule="exact"/>
        <w:ind w:right="5"/>
        <w:jc w:val="both"/>
      </w:pPr>
      <w:r>
        <w:rPr>
          <w:spacing w:val="-2"/>
          <w:sz w:val="18"/>
          <w:szCs w:val="18"/>
          <w:lang w:val="es-ES_tradnl"/>
        </w:rPr>
        <w:t>Bajo los criterios mencionados esta Corte verificar</w:t>
      </w:r>
      <w:r>
        <w:rPr>
          <w:rFonts w:cs="Times New Roman"/>
          <w:spacing w:val="-2"/>
          <w:sz w:val="18"/>
          <w:szCs w:val="18"/>
          <w:lang w:val="es-ES_tradnl"/>
        </w:rPr>
        <w:t>á</w:t>
      </w:r>
      <w:r>
        <w:rPr>
          <w:spacing w:val="-2"/>
          <w:sz w:val="18"/>
          <w:szCs w:val="18"/>
          <w:lang w:val="es-ES_tradnl"/>
        </w:rPr>
        <w:t xml:space="preserve"> si </w:t>
      </w:r>
      <w:r>
        <w:rPr>
          <w:spacing w:val="-6"/>
          <w:sz w:val="18"/>
          <w:szCs w:val="18"/>
          <w:lang w:val="es-ES_tradnl"/>
        </w:rPr>
        <w:t>el fallo impugnado, ajust</w:t>
      </w:r>
      <w:r>
        <w:rPr>
          <w:rFonts w:cs="Times New Roman"/>
          <w:spacing w:val="-6"/>
          <w:sz w:val="18"/>
          <w:szCs w:val="18"/>
          <w:lang w:val="es-ES_tradnl"/>
        </w:rPr>
        <w:t>ó</w:t>
      </w:r>
      <w:r>
        <w:rPr>
          <w:spacing w:val="-6"/>
          <w:sz w:val="18"/>
          <w:szCs w:val="18"/>
          <w:lang w:val="es-ES_tradnl"/>
        </w:rPr>
        <w:t xml:space="preserve"> su proceder a los par</w:t>
      </w:r>
      <w:r>
        <w:rPr>
          <w:rFonts w:cs="Times New Roman"/>
          <w:spacing w:val="-6"/>
          <w:sz w:val="18"/>
          <w:szCs w:val="18"/>
          <w:lang w:val="es-ES_tradnl"/>
        </w:rPr>
        <w:t>á</w:t>
      </w:r>
      <w:r>
        <w:rPr>
          <w:spacing w:val="-6"/>
          <w:sz w:val="18"/>
          <w:szCs w:val="18"/>
          <w:lang w:val="es-ES_tradnl"/>
        </w:rPr>
        <w:t>metros mencionados en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y la </w:t>
      </w:r>
      <w:r>
        <w:rPr>
          <w:spacing w:val="-5"/>
          <w:sz w:val="18"/>
          <w:szCs w:val="18"/>
          <w:lang w:val="es-ES_tradnl"/>
        </w:rPr>
        <w:t xml:space="preserve">jurisprudencia constitucional, al momento de motivar la </w:t>
      </w:r>
      <w:r>
        <w:rPr>
          <w:sz w:val="18"/>
          <w:szCs w:val="18"/>
          <w:lang w:val="es-ES_tradnl"/>
        </w:rPr>
        <w:t>sentencia.</w:t>
      </w:r>
    </w:p>
    <w:p w14:paraId="4F67B145" w14:textId="77777777" w:rsidR="00591D54" w:rsidRDefault="00591D54">
      <w:pPr>
        <w:shd w:val="clear" w:color="auto" w:fill="FFFFFF"/>
        <w:spacing w:before="192" w:line="211" w:lineRule="exact"/>
        <w:ind w:right="5"/>
        <w:jc w:val="both"/>
      </w:pPr>
      <w:r>
        <w:rPr>
          <w:spacing w:val="-6"/>
          <w:sz w:val="18"/>
          <w:szCs w:val="18"/>
          <w:lang w:val="es-ES_tradnl"/>
        </w:rPr>
        <w:t xml:space="preserve">La </w:t>
      </w:r>
      <w:r>
        <w:rPr>
          <w:b/>
          <w:bCs/>
          <w:spacing w:val="-6"/>
          <w:sz w:val="18"/>
          <w:szCs w:val="18"/>
          <w:lang w:val="es-ES_tradnl"/>
        </w:rPr>
        <w:t xml:space="preserve">razonabilidad </w:t>
      </w:r>
      <w:r>
        <w:rPr>
          <w:spacing w:val="-6"/>
          <w:sz w:val="18"/>
          <w:szCs w:val="18"/>
          <w:lang w:val="es-ES_tradnl"/>
        </w:rPr>
        <w:t xml:space="preserve">se refiere al respeto, observancia y </w:t>
      </w:r>
      <w:r>
        <w:rPr>
          <w:spacing w:val="-8"/>
          <w:sz w:val="18"/>
          <w:szCs w:val="18"/>
          <w:lang w:val="es-ES_tradnl"/>
        </w:rPr>
        <w:t xml:space="preserve">cumplimiento de las disposiciones constitucionales, legales </w:t>
      </w:r>
      <w:r>
        <w:rPr>
          <w:spacing w:val="-9"/>
          <w:sz w:val="18"/>
          <w:szCs w:val="18"/>
          <w:lang w:val="es-ES_tradnl"/>
        </w:rPr>
        <w:t>y jurisprudenciales pertinentes y aplicables al caso. Tanto el tr</w:t>
      </w:r>
      <w:r>
        <w:rPr>
          <w:rFonts w:cs="Times New Roman"/>
          <w:spacing w:val="-9"/>
          <w:sz w:val="18"/>
          <w:szCs w:val="18"/>
          <w:lang w:val="es-ES_tradnl"/>
        </w:rPr>
        <w:t>á</w:t>
      </w:r>
      <w:r>
        <w:rPr>
          <w:spacing w:val="-9"/>
          <w:sz w:val="18"/>
          <w:szCs w:val="18"/>
          <w:lang w:val="es-ES_tradnl"/>
        </w:rPr>
        <w:t>mite adoptado como la resoluci</w:t>
      </w:r>
      <w:r>
        <w:rPr>
          <w:rFonts w:cs="Times New Roman"/>
          <w:spacing w:val="-9"/>
          <w:sz w:val="18"/>
          <w:szCs w:val="18"/>
          <w:lang w:val="es-ES_tradnl"/>
        </w:rPr>
        <w:t>ó</w:t>
      </w:r>
      <w:r>
        <w:rPr>
          <w:spacing w:val="-9"/>
          <w:sz w:val="18"/>
          <w:szCs w:val="18"/>
          <w:lang w:val="es-ES_tradnl"/>
        </w:rPr>
        <w:t>n debe estar en armon</w:t>
      </w:r>
      <w:r>
        <w:rPr>
          <w:rFonts w:cs="Times New Roman"/>
          <w:spacing w:val="-9"/>
          <w:sz w:val="18"/>
          <w:szCs w:val="18"/>
          <w:lang w:val="es-ES_tradnl"/>
        </w:rPr>
        <w:t>í</w:t>
      </w:r>
      <w:r>
        <w:rPr>
          <w:spacing w:val="-9"/>
          <w:sz w:val="18"/>
          <w:szCs w:val="18"/>
          <w:lang w:val="es-ES_tradnl"/>
        </w:rPr>
        <w:t xml:space="preserve">a </w:t>
      </w:r>
      <w:r>
        <w:rPr>
          <w:spacing w:val="-5"/>
          <w:sz w:val="18"/>
          <w:szCs w:val="18"/>
          <w:lang w:val="es-ES_tradnl"/>
        </w:rPr>
        <w:t>con los preceptos jur</w:t>
      </w:r>
      <w:r>
        <w:rPr>
          <w:rFonts w:cs="Times New Roman"/>
          <w:spacing w:val="-5"/>
          <w:sz w:val="18"/>
          <w:szCs w:val="18"/>
          <w:lang w:val="es-ES_tradnl"/>
        </w:rPr>
        <w:t>í</w:t>
      </w:r>
      <w:r>
        <w:rPr>
          <w:spacing w:val="-5"/>
          <w:sz w:val="18"/>
          <w:szCs w:val="18"/>
          <w:lang w:val="es-ES_tradnl"/>
        </w:rPr>
        <w:t>dicos previos, claros, p</w:t>
      </w:r>
      <w:r>
        <w:rPr>
          <w:rFonts w:cs="Times New Roman"/>
          <w:spacing w:val="-5"/>
          <w:sz w:val="18"/>
          <w:szCs w:val="18"/>
          <w:lang w:val="es-ES_tradnl"/>
        </w:rPr>
        <w:t>ú</w:t>
      </w:r>
      <w:r>
        <w:rPr>
          <w:spacing w:val="-5"/>
          <w:sz w:val="18"/>
          <w:szCs w:val="18"/>
          <w:lang w:val="es-ES_tradnl"/>
        </w:rPr>
        <w:t xml:space="preserve">blicos y aplicados por el operador de justicia. El juez no puede </w:t>
      </w:r>
      <w:r>
        <w:rPr>
          <w:spacing w:val="-9"/>
          <w:sz w:val="18"/>
          <w:szCs w:val="18"/>
          <w:lang w:val="es-ES_tradnl"/>
        </w:rPr>
        <w:t xml:space="preserve">apartar de la naturaleza y objetivos fijados por la normativa, </w:t>
      </w:r>
      <w:r>
        <w:rPr>
          <w:spacing w:val="-2"/>
          <w:sz w:val="18"/>
          <w:szCs w:val="18"/>
          <w:lang w:val="es-ES_tradnl"/>
        </w:rPr>
        <w:t xml:space="preserve">ni proporcionar interpretaciones o razonamientos </w:t>
      </w:r>
      <w:r>
        <w:rPr>
          <w:spacing w:val="-5"/>
          <w:sz w:val="18"/>
          <w:szCs w:val="18"/>
          <w:lang w:val="es-ES_tradnl"/>
        </w:rPr>
        <w:t>manipulados, o imponer determinadas ideolog</w:t>
      </w:r>
      <w:r>
        <w:rPr>
          <w:rFonts w:cs="Times New Roman"/>
          <w:spacing w:val="-5"/>
          <w:sz w:val="18"/>
          <w:szCs w:val="18"/>
          <w:lang w:val="es-ES_tradnl"/>
        </w:rPr>
        <w:t>í</w:t>
      </w:r>
      <w:r>
        <w:rPr>
          <w:spacing w:val="-5"/>
          <w:sz w:val="18"/>
          <w:szCs w:val="18"/>
          <w:lang w:val="es-ES_tradnl"/>
        </w:rPr>
        <w:t xml:space="preserve">as y </w:t>
      </w:r>
      <w:r>
        <w:rPr>
          <w:spacing w:val="-8"/>
          <w:sz w:val="18"/>
          <w:szCs w:val="18"/>
          <w:lang w:val="es-ES_tradnl"/>
        </w:rPr>
        <w:t xml:space="preserve">concepciones personales, ya que estas particularidades </w:t>
      </w:r>
      <w:r>
        <w:rPr>
          <w:spacing w:val="-6"/>
          <w:sz w:val="18"/>
          <w:szCs w:val="18"/>
          <w:lang w:val="es-ES_tradnl"/>
        </w:rPr>
        <w:t xml:space="preserve">producen fallos arbitrarios, indebidamente justificados en </w:t>
      </w:r>
      <w:r>
        <w:rPr>
          <w:spacing w:val="-5"/>
          <w:sz w:val="18"/>
          <w:szCs w:val="18"/>
          <w:lang w:val="es-ES_tradnl"/>
        </w:rPr>
        <w:t>derecho. Su justificaci</w:t>
      </w:r>
      <w:r>
        <w:rPr>
          <w:rFonts w:cs="Times New Roman"/>
          <w:spacing w:val="-5"/>
          <w:sz w:val="18"/>
          <w:szCs w:val="18"/>
          <w:lang w:val="es-ES_tradnl"/>
        </w:rPr>
        <w:t>ó</w:t>
      </w:r>
      <w:r>
        <w:rPr>
          <w:spacing w:val="-5"/>
          <w:sz w:val="18"/>
          <w:szCs w:val="18"/>
          <w:lang w:val="es-ES_tradnl"/>
        </w:rPr>
        <w:t>n debe dirigir u orientar la acci</w:t>
      </w:r>
      <w:r>
        <w:rPr>
          <w:rFonts w:cs="Times New Roman"/>
          <w:spacing w:val="-5"/>
          <w:sz w:val="18"/>
          <w:szCs w:val="18"/>
          <w:lang w:val="es-ES_tradnl"/>
        </w:rPr>
        <w:t>ó</w:t>
      </w:r>
      <w:r>
        <w:rPr>
          <w:spacing w:val="-5"/>
          <w:sz w:val="18"/>
          <w:szCs w:val="18"/>
          <w:lang w:val="es-ES_tradnl"/>
        </w:rPr>
        <w:t xml:space="preserve">n, </w:t>
      </w:r>
      <w:r>
        <w:rPr>
          <w:spacing w:val="-6"/>
          <w:sz w:val="18"/>
          <w:szCs w:val="18"/>
          <w:lang w:val="es-ES_tradnl"/>
        </w:rPr>
        <w:t>el recurso o la cuesti</w:t>
      </w:r>
      <w:r>
        <w:rPr>
          <w:rFonts w:cs="Times New Roman"/>
          <w:spacing w:val="-6"/>
          <w:sz w:val="18"/>
          <w:szCs w:val="18"/>
          <w:lang w:val="es-ES_tradnl"/>
        </w:rPr>
        <w:t>ó</w:t>
      </w:r>
      <w:r>
        <w:rPr>
          <w:spacing w:val="-6"/>
          <w:sz w:val="18"/>
          <w:szCs w:val="18"/>
          <w:lang w:val="es-ES_tradnl"/>
        </w:rPr>
        <w:t>n planteada. En tal virtud, no puede imponer criterios err</w:t>
      </w:r>
      <w:r>
        <w:rPr>
          <w:rFonts w:cs="Times New Roman"/>
          <w:spacing w:val="-6"/>
          <w:sz w:val="18"/>
          <w:szCs w:val="18"/>
          <w:lang w:val="es-ES_tradnl"/>
        </w:rPr>
        <w:t>ó</w:t>
      </w:r>
      <w:r>
        <w:rPr>
          <w:spacing w:val="-6"/>
          <w:sz w:val="18"/>
          <w:szCs w:val="18"/>
          <w:lang w:val="es-ES_tradnl"/>
        </w:rPr>
        <w:t xml:space="preserve">neos o contrarios al ordenamiento </w:t>
      </w:r>
      <w:r>
        <w:rPr>
          <w:spacing w:val="-4"/>
          <w:sz w:val="18"/>
          <w:szCs w:val="18"/>
          <w:lang w:val="es-ES_tradnl"/>
        </w:rPr>
        <w:t>jur</w:t>
      </w:r>
      <w:r>
        <w:rPr>
          <w:rFonts w:cs="Times New Roman"/>
          <w:spacing w:val="-4"/>
          <w:sz w:val="18"/>
          <w:szCs w:val="18"/>
          <w:lang w:val="es-ES_tradnl"/>
        </w:rPr>
        <w:t>í</w:t>
      </w:r>
      <w:r>
        <w:rPr>
          <w:spacing w:val="-4"/>
          <w:sz w:val="18"/>
          <w:szCs w:val="18"/>
          <w:lang w:val="es-ES_tradnl"/>
        </w:rPr>
        <w:t>dico. El objetivo de la razonabilidad como par</w:t>
      </w:r>
      <w:r>
        <w:rPr>
          <w:rFonts w:cs="Times New Roman"/>
          <w:spacing w:val="-4"/>
          <w:sz w:val="18"/>
          <w:szCs w:val="18"/>
          <w:lang w:val="es-ES_tradnl"/>
        </w:rPr>
        <w:t>á</w:t>
      </w:r>
      <w:r>
        <w:rPr>
          <w:spacing w:val="-4"/>
          <w:sz w:val="18"/>
          <w:szCs w:val="18"/>
          <w:lang w:val="es-ES_tradnl"/>
        </w:rPr>
        <w:t>metro de an</w:t>
      </w:r>
      <w:r>
        <w:rPr>
          <w:rFonts w:cs="Times New Roman"/>
          <w:spacing w:val="-4"/>
          <w:sz w:val="18"/>
          <w:szCs w:val="18"/>
          <w:lang w:val="es-ES_tradnl"/>
        </w:rPr>
        <w:t>á</w:t>
      </w:r>
      <w:r>
        <w:rPr>
          <w:spacing w:val="-4"/>
          <w:sz w:val="18"/>
          <w:szCs w:val="18"/>
          <w:lang w:val="es-ES_tradnl"/>
        </w:rPr>
        <w:t>lisis de la garant</w:t>
      </w:r>
      <w:r>
        <w:rPr>
          <w:rFonts w:cs="Times New Roman"/>
          <w:spacing w:val="-4"/>
          <w:sz w:val="18"/>
          <w:szCs w:val="18"/>
          <w:lang w:val="es-ES_tradnl"/>
        </w:rPr>
        <w:t>í</w:t>
      </w:r>
      <w:r>
        <w:rPr>
          <w:spacing w:val="-4"/>
          <w:sz w:val="18"/>
          <w:szCs w:val="18"/>
          <w:lang w:val="es-ES_tradnl"/>
        </w:rPr>
        <w:t>a de la motivaci</w:t>
      </w:r>
      <w:r>
        <w:rPr>
          <w:rFonts w:cs="Times New Roman"/>
          <w:spacing w:val="-4"/>
          <w:sz w:val="18"/>
          <w:szCs w:val="18"/>
          <w:lang w:val="es-ES_tradnl"/>
        </w:rPr>
        <w:t>ó</w:t>
      </w:r>
      <w:r>
        <w:rPr>
          <w:spacing w:val="-4"/>
          <w:sz w:val="18"/>
          <w:szCs w:val="18"/>
          <w:lang w:val="es-ES_tradnl"/>
        </w:rPr>
        <w:t xml:space="preserve">n, es descubrir </w:t>
      </w:r>
      <w:r>
        <w:rPr>
          <w:spacing w:val="-9"/>
          <w:sz w:val="18"/>
          <w:szCs w:val="18"/>
          <w:lang w:val="es-ES_tradnl"/>
        </w:rPr>
        <w:t xml:space="preserve">y/o descartar los argumentos que contengan elementos </w:t>
      </w:r>
      <w:r>
        <w:rPr>
          <w:spacing w:val="-8"/>
          <w:sz w:val="18"/>
          <w:szCs w:val="18"/>
          <w:lang w:val="es-ES_tradnl"/>
        </w:rPr>
        <w:t>impertinentes que contrar</w:t>
      </w:r>
      <w:r>
        <w:rPr>
          <w:rFonts w:cs="Times New Roman"/>
          <w:spacing w:val="-8"/>
          <w:sz w:val="18"/>
          <w:szCs w:val="18"/>
          <w:lang w:val="es-ES_tradnl"/>
        </w:rPr>
        <w:t>í</w:t>
      </w:r>
      <w:r>
        <w:rPr>
          <w:spacing w:val="-8"/>
          <w:sz w:val="18"/>
          <w:szCs w:val="18"/>
          <w:lang w:val="es-ES_tradnl"/>
        </w:rPr>
        <w:t xml:space="preserve">en las disposiciones aplicables o </w:t>
      </w:r>
      <w:r>
        <w:rPr>
          <w:spacing w:val="-9"/>
          <w:sz w:val="18"/>
          <w:szCs w:val="18"/>
          <w:lang w:val="es-ES_tradnl"/>
        </w:rPr>
        <w:t>la omisi</w:t>
      </w:r>
      <w:r>
        <w:rPr>
          <w:rFonts w:cs="Times New Roman"/>
          <w:spacing w:val="-9"/>
          <w:sz w:val="18"/>
          <w:szCs w:val="18"/>
          <w:lang w:val="es-ES_tradnl"/>
        </w:rPr>
        <w:t>ó</w:t>
      </w:r>
      <w:r>
        <w:rPr>
          <w:spacing w:val="-9"/>
          <w:sz w:val="18"/>
          <w:szCs w:val="18"/>
          <w:lang w:val="es-ES_tradnl"/>
        </w:rPr>
        <w:t>n de las mismas al caso concreto</w:t>
      </w:r>
      <w:r>
        <w:rPr>
          <w:spacing w:val="-9"/>
          <w:sz w:val="18"/>
          <w:szCs w:val="18"/>
          <w:vertAlign w:val="superscript"/>
          <w:lang w:val="es-ES_tradnl"/>
        </w:rPr>
        <w:t>4</w:t>
      </w:r>
      <w:r>
        <w:rPr>
          <w:spacing w:val="-9"/>
          <w:sz w:val="18"/>
          <w:szCs w:val="18"/>
          <w:lang w:val="es-ES_tradnl"/>
        </w:rPr>
        <w:t>.</w:t>
      </w:r>
    </w:p>
    <w:p w14:paraId="4F67B146" w14:textId="77777777" w:rsidR="00591D54" w:rsidRDefault="00591D54">
      <w:pPr>
        <w:shd w:val="clear" w:color="auto" w:fill="FFFFFF"/>
        <w:spacing w:before="192" w:line="216" w:lineRule="exact"/>
        <w:jc w:val="both"/>
      </w:pPr>
      <w:r>
        <w:rPr>
          <w:spacing w:val="-10"/>
          <w:sz w:val="18"/>
          <w:szCs w:val="18"/>
          <w:lang w:val="es-ES_tradnl"/>
        </w:rPr>
        <w:t xml:space="preserve">El fallo </w:t>
      </w:r>
      <w:r>
        <w:rPr>
          <w:i/>
          <w:iCs/>
          <w:spacing w:val="-10"/>
          <w:sz w:val="18"/>
          <w:szCs w:val="18"/>
          <w:lang w:val="es-ES_tradnl"/>
        </w:rPr>
        <w:t xml:space="preserve">in examine </w:t>
      </w:r>
      <w:r>
        <w:rPr>
          <w:spacing w:val="-10"/>
          <w:sz w:val="18"/>
          <w:szCs w:val="18"/>
          <w:lang w:val="es-ES_tradnl"/>
        </w:rPr>
        <w:t xml:space="preserve">resuelve no casar la sentencia del tribunal </w:t>
      </w:r>
      <w:r>
        <w:rPr>
          <w:i/>
          <w:iCs/>
          <w:spacing w:val="-8"/>
          <w:sz w:val="18"/>
          <w:szCs w:val="18"/>
          <w:lang w:val="es-ES_tradnl"/>
        </w:rPr>
        <w:t xml:space="preserve">ad quem </w:t>
      </w:r>
      <w:r>
        <w:rPr>
          <w:spacing w:val="-8"/>
          <w:sz w:val="18"/>
          <w:szCs w:val="18"/>
          <w:lang w:val="es-ES_tradnl"/>
        </w:rPr>
        <w:t>y en consecuencia, deja en firme la decisi</w:t>
      </w:r>
      <w:r>
        <w:rPr>
          <w:rFonts w:cs="Times New Roman"/>
          <w:spacing w:val="-8"/>
          <w:sz w:val="18"/>
          <w:szCs w:val="18"/>
          <w:lang w:val="es-ES_tradnl"/>
        </w:rPr>
        <w:t>ó</w:t>
      </w:r>
      <w:r>
        <w:rPr>
          <w:spacing w:val="-8"/>
          <w:sz w:val="18"/>
          <w:szCs w:val="18"/>
          <w:lang w:val="es-ES_tradnl"/>
        </w:rPr>
        <w:t>n que declar</w:t>
      </w:r>
      <w:r>
        <w:rPr>
          <w:rFonts w:cs="Times New Roman"/>
          <w:spacing w:val="-8"/>
          <w:sz w:val="18"/>
          <w:szCs w:val="18"/>
          <w:lang w:val="es-ES_tradnl"/>
        </w:rPr>
        <w:t>ó</w:t>
      </w:r>
      <w:r>
        <w:rPr>
          <w:spacing w:val="-8"/>
          <w:sz w:val="18"/>
          <w:szCs w:val="18"/>
          <w:lang w:val="es-ES_tradnl"/>
        </w:rPr>
        <w:t xml:space="preserve"> sin lugar la demanda laboral, fund</w:t>
      </w:r>
      <w:r>
        <w:rPr>
          <w:rFonts w:cs="Times New Roman"/>
          <w:spacing w:val="-8"/>
          <w:sz w:val="18"/>
          <w:szCs w:val="18"/>
          <w:lang w:val="es-ES_tradnl"/>
        </w:rPr>
        <w:t>á</w:t>
      </w:r>
      <w:r>
        <w:rPr>
          <w:spacing w:val="-8"/>
          <w:sz w:val="18"/>
          <w:szCs w:val="18"/>
          <w:lang w:val="es-ES_tradnl"/>
        </w:rPr>
        <w:t xml:space="preserve">ndose sus </w:t>
      </w:r>
      <w:r>
        <w:rPr>
          <w:spacing w:val="-10"/>
          <w:sz w:val="18"/>
          <w:szCs w:val="18"/>
          <w:lang w:val="es-ES_tradnl"/>
        </w:rPr>
        <w:t>razonamientos jur</w:t>
      </w:r>
      <w:r>
        <w:rPr>
          <w:rFonts w:cs="Times New Roman"/>
          <w:spacing w:val="-10"/>
          <w:sz w:val="18"/>
          <w:szCs w:val="18"/>
          <w:lang w:val="es-ES_tradnl"/>
        </w:rPr>
        <w:t>í</w:t>
      </w:r>
      <w:r>
        <w:rPr>
          <w:spacing w:val="-10"/>
          <w:sz w:val="18"/>
          <w:szCs w:val="18"/>
          <w:lang w:val="es-ES_tradnl"/>
        </w:rPr>
        <w:t>dicos en los art</w:t>
      </w:r>
      <w:r>
        <w:rPr>
          <w:rFonts w:cs="Times New Roman"/>
          <w:spacing w:val="-10"/>
          <w:sz w:val="18"/>
          <w:szCs w:val="18"/>
          <w:lang w:val="es-ES_tradnl"/>
        </w:rPr>
        <w:t>í</w:t>
      </w:r>
      <w:r>
        <w:rPr>
          <w:spacing w:val="-10"/>
          <w:sz w:val="18"/>
          <w:szCs w:val="18"/>
          <w:lang w:val="es-ES_tradnl"/>
        </w:rPr>
        <w:t>culos 122, 131 del C</w:t>
      </w:r>
      <w:r>
        <w:rPr>
          <w:rFonts w:cs="Times New Roman"/>
          <w:spacing w:val="-10"/>
          <w:sz w:val="18"/>
          <w:szCs w:val="18"/>
          <w:lang w:val="es-ES_tradnl"/>
        </w:rPr>
        <w:t>ó</w:t>
      </w:r>
      <w:r>
        <w:rPr>
          <w:spacing w:val="-10"/>
          <w:sz w:val="18"/>
          <w:szCs w:val="18"/>
          <w:lang w:val="es-ES_tradnl"/>
        </w:rPr>
        <w:t xml:space="preserve">digo </w:t>
      </w:r>
      <w:r>
        <w:rPr>
          <w:spacing w:val="-7"/>
          <w:sz w:val="18"/>
          <w:szCs w:val="18"/>
          <w:lang w:val="es-ES_tradnl"/>
        </w:rPr>
        <w:t xml:space="preserve">de Procedimiento Civil; el </w:t>
      </w:r>
      <w:r>
        <w:rPr>
          <w:rFonts w:cs="Times New Roman"/>
          <w:spacing w:val="-7"/>
          <w:sz w:val="18"/>
          <w:szCs w:val="18"/>
          <w:lang w:val="es-ES_tradnl"/>
        </w:rPr>
        <w:t>ú</w:t>
      </w:r>
      <w:r>
        <w:rPr>
          <w:spacing w:val="-7"/>
          <w:sz w:val="18"/>
          <w:szCs w:val="18"/>
          <w:lang w:val="es-ES_tradnl"/>
        </w:rPr>
        <w:t>ltimo inciso del art</w:t>
      </w:r>
      <w:r>
        <w:rPr>
          <w:rFonts w:cs="Times New Roman"/>
          <w:spacing w:val="-7"/>
          <w:sz w:val="18"/>
          <w:szCs w:val="18"/>
          <w:lang w:val="es-ES_tradnl"/>
        </w:rPr>
        <w:t>í</w:t>
      </w:r>
      <w:r>
        <w:rPr>
          <w:spacing w:val="-7"/>
          <w:sz w:val="18"/>
          <w:szCs w:val="18"/>
          <w:lang w:val="es-ES_tradnl"/>
        </w:rPr>
        <w:t xml:space="preserve">culo 581 del </w:t>
      </w:r>
      <w:r>
        <w:rPr>
          <w:spacing w:val="-11"/>
          <w:sz w:val="18"/>
          <w:szCs w:val="18"/>
          <w:lang w:val="es-ES_tradnl"/>
        </w:rPr>
        <w:t>C</w:t>
      </w:r>
      <w:r>
        <w:rPr>
          <w:rFonts w:cs="Times New Roman"/>
          <w:spacing w:val="-11"/>
          <w:sz w:val="18"/>
          <w:szCs w:val="18"/>
          <w:lang w:val="es-ES_tradnl"/>
        </w:rPr>
        <w:t>ó</w:t>
      </w:r>
      <w:r>
        <w:rPr>
          <w:spacing w:val="-11"/>
          <w:sz w:val="18"/>
          <w:szCs w:val="18"/>
          <w:lang w:val="es-ES_tradnl"/>
        </w:rPr>
        <w:t xml:space="preserve">digo de Trabajo, disposiciones legales que se refieren a la </w:t>
      </w:r>
      <w:r>
        <w:rPr>
          <w:spacing w:val="-7"/>
          <w:sz w:val="18"/>
          <w:szCs w:val="18"/>
          <w:lang w:val="es-ES_tradnl"/>
        </w:rPr>
        <w:t>confesi</w:t>
      </w:r>
      <w:r>
        <w:rPr>
          <w:rFonts w:cs="Times New Roman"/>
          <w:spacing w:val="-7"/>
          <w:sz w:val="18"/>
          <w:szCs w:val="18"/>
          <w:lang w:val="es-ES_tradnl"/>
        </w:rPr>
        <w:t>ó</w:t>
      </w:r>
      <w:r>
        <w:rPr>
          <w:spacing w:val="-7"/>
          <w:sz w:val="18"/>
          <w:szCs w:val="18"/>
          <w:lang w:val="es-ES_tradnl"/>
        </w:rPr>
        <w:t>n judicial, cuyo an</w:t>
      </w:r>
      <w:r>
        <w:rPr>
          <w:rFonts w:cs="Times New Roman"/>
          <w:spacing w:val="-7"/>
          <w:sz w:val="18"/>
          <w:szCs w:val="18"/>
          <w:lang w:val="es-ES_tradnl"/>
        </w:rPr>
        <w:t>á</w:t>
      </w:r>
      <w:r>
        <w:rPr>
          <w:spacing w:val="-7"/>
          <w:sz w:val="18"/>
          <w:szCs w:val="18"/>
          <w:lang w:val="es-ES_tradnl"/>
        </w:rPr>
        <w:t>lisis parte del texto y el esp</w:t>
      </w:r>
      <w:r>
        <w:rPr>
          <w:rFonts w:cs="Times New Roman"/>
          <w:spacing w:val="-7"/>
          <w:sz w:val="18"/>
          <w:szCs w:val="18"/>
          <w:lang w:val="es-ES_tradnl"/>
        </w:rPr>
        <w:t>í</w:t>
      </w:r>
      <w:r>
        <w:rPr>
          <w:spacing w:val="-7"/>
          <w:sz w:val="18"/>
          <w:szCs w:val="18"/>
          <w:lang w:val="es-ES_tradnl"/>
        </w:rPr>
        <w:t xml:space="preserve">ritu de las mismas, para concluir que </w:t>
      </w:r>
      <w:r>
        <w:rPr>
          <w:rFonts w:cs="Times New Roman"/>
          <w:spacing w:val="-7"/>
          <w:sz w:val="18"/>
          <w:szCs w:val="18"/>
          <w:lang w:val="es-ES_tradnl"/>
        </w:rPr>
        <w:t>“</w:t>
      </w:r>
      <w:r>
        <w:rPr>
          <w:spacing w:val="-7"/>
          <w:sz w:val="18"/>
          <w:szCs w:val="18"/>
          <w:lang w:val="es-ES_tradnl"/>
        </w:rPr>
        <w:t>(</w:t>
      </w:r>
      <w:r>
        <w:rPr>
          <w:rFonts w:cs="Times New Roman"/>
          <w:spacing w:val="-7"/>
          <w:sz w:val="18"/>
          <w:szCs w:val="18"/>
          <w:lang w:val="es-ES_tradnl"/>
        </w:rPr>
        <w:t>…</w:t>
      </w:r>
      <w:r>
        <w:rPr>
          <w:spacing w:val="-7"/>
          <w:sz w:val="18"/>
          <w:szCs w:val="18"/>
          <w:lang w:val="es-ES_tradnl"/>
        </w:rPr>
        <w:t>) la confesi</w:t>
      </w:r>
      <w:r>
        <w:rPr>
          <w:rFonts w:cs="Times New Roman"/>
          <w:spacing w:val="-7"/>
          <w:sz w:val="18"/>
          <w:szCs w:val="18"/>
          <w:lang w:val="es-ES_tradnl"/>
        </w:rPr>
        <w:t>ó</w:t>
      </w:r>
      <w:r>
        <w:rPr>
          <w:spacing w:val="-7"/>
          <w:sz w:val="18"/>
          <w:szCs w:val="18"/>
          <w:lang w:val="es-ES_tradnl"/>
        </w:rPr>
        <w:t xml:space="preserve">n judicial </w:t>
      </w:r>
      <w:r>
        <w:rPr>
          <w:spacing w:val="-10"/>
          <w:sz w:val="18"/>
          <w:szCs w:val="18"/>
          <w:lang w:val="es-ES_tradnl"/>
        </w:rPr>
        <w:t xml:space="preserve">tiene la peculiaridad de contener afirmaciones o negaciones </w:t>
      </w:r>
      <w:r>
        <w:rPr>
          <w:spacing w:val="-8"/>
          <w:sz w:val="18"/>
          <w:szCs w:val="18"/>
          <w:lang w:val="es-ES_tradnl"/>
        </w:rPr>
        <w:t xml:space="preserve">sobre hechos y verdades en contra del propio declarante o </w:t>
      </w:r>
      <w:r>
        <w:rPr>
          <w:spacing w:val="-7"/>
          <w:sz w:val="18"/>
          <w:szCs w:val="18"/>
          <w:lang w:val="es-ES_tradnl"/>
        </w:rPr>
        <w:t xml:space="preserve">confesante. Por otro lado, contiene la potestad que la ley confiere al juzgador para declararla confesa a la persona </w:t>
      </w:r>
      <w:r>
        <w:rPr>
          <w:spacing w:val="-11"/>
          <w:sz w:val="18"/>
          <w:szCs w:val="18"/>
          <w:lang w:val="es-ES_tradnl"/>
        </w:rPr>
        <w:t>que no comparece a rendir su confesi</w:t>
      </w:r>
      <w:r>
        <w:rPr>
          <w:rFonts w:cs="Times New Roman"/>
          <w:spacing w:val="-11"/>
          <w:sz w:val="18"/>
          <w:szCs w:val="18"/>
          <w:lang w:val="es-ES_tradnl"/>
        </w:rPr>
        <w:t>ó</w:t>
      </w:r>
      <w:r>
        <w:rPr>
          <w:spacing w:val="-11"/>
          <w:sz w:val="18"/>
          <w:szCs w:val="18"/>
          <w:lang w:val="es-ES_tradnl"/>
        </w:rPr>
        <w:t xml:space="preserve">n o compareciendo se </w:t>
      </w:r>
      <w:r>
        <w:rPr>
          <w:spacing w:val="-9"/>
          <w:sz w:val="18"/>
          <w:szCs w:val="18"/>
          <w:lang w:val="es-ES_tradnl"/>
        </w:rPr>
        <w:t>niega a contestar las preguntas, decisi</w:t>
      </w:r>
      <w:r>
        <w:rPr>
          <w:rFonts w:cs="Times New Roman"/>
          <w:spacing w:val="-9"/>
          <w:sz w:val="18"/>
          <w:szCs w:val="18"/>
          <w:lang w:val="es-ES_tradnl"/>
        </w:rPr>
        <w:t>ó</w:t>
      </w:r>
      <w:r>
        <w:rPr>
          <w:spacing w:val="-9"/>
          <w:sz w:val="18"/>
          <w:szCs w:val="18"/>
          <w:lang w:val="es-ES_tradnl"/>
        </w:rPr>
        <w:t xml:space="preserve">n de los juzgadores </w:t>
      </w:r>
      <w:r>
        <w:rPr>
          <w:spacing w:val="-8"/>
          <w:sz w:val="18"/>
          <w:szCs w:val="18"/>
          <w:lang w:val="es-ES_tradnl"/>
        </w:rPr>
        <w:t>de primer y segundo nivel que la adoptar</w:t>
      </w:r>
      <w:r>
        <w:rPr>
          <w:rFonts w:cs="Times New Roman"/>
          <w:spacing w:val="-8"/>
          <w:sz w:val="18"/>
          <w:szCs w:val="18"/>
          <w:lang w:val="es-ES_tradnl"/>
        </w:rPr>
        <w:t>á</w:t>
      </w:r>
      <w:r>
        <w:rPr>
          <w:spacing w:val="-8"/>
          <w:sz w:val="18"/>
          <w:szCs w:val="18"/>
          <w:lang w:val="es-ES_tradnl"/>
        </w:rPr>
        <w:t>n bajo el an</w:t>
      </w:r>
      <w:r>
        <w:rPr>
          <w:rFonts w:cs="Times New Roman"/>
          <w:spacing w:val="-8"/>
          <w:sz w:val="18"/>
          <w:szCs w:val="18"/>
          <w:lang w:val="es-ES_tradnl"/>
        </w:rPr>
        <w:t>á</w:t>
      </w:r>
      <w:r>
        <w:rPr>
          <w:spacing w:val="-8"/>
          <w:sz w:val="18"/>
          <w:szCs w:val="18"/>
          <w:lang w:val="es-ES_tradnl"/>
        </w:rPr>
        <w:t>lisis</w:t>
      </w:r>
    </w:p>
    <w:p w14:paraId="4F67B147" w14:textId="77777777" w:rsidR="00591D54" w:rsidRDefault="00591D54">
      <w:pPr>
        <w:shd w:val="clear" w:color="auto" w:fill="FFFFFF"/>
        <w:tabs>
          <w:tab w:val="left" w:pos="139"/>
        </w:tabs>
        <w:spacing w:before="427" w:line="182" w:lineRule="exact"/>
        <w:ind w:left="139" w:hanging="139"/>
      </w:pPr>
      <w:r>
        <w:rPr>
          <w:sz w:val="10"/>
          <w:szCs w:val="10"/>
          <w:vertAlign w:val="superscript"/>
          <w:lang w:val="es-ES_tradnl"/>
        </w:rPr>
        <w:t>3</w:t>
      </w:r>
      <w:r>
        <w:rPr>
          <w:sz w:val="18"/>
          <w:szCs w:val="18"/>
          <w:lang w:val="es-ES_tradnl"/>
        </w:rPr>
        <w:tab/>
      </w:r>
      <w:r>
        <w:rPr>
          <w:spacing w:val="-1"/>
          <w:sz w:val="14"/>
          <w:szCs w:val="14"/>
          <w:lang w:val="es-ES_tradnl"/>
        </w:rPr>
        <w:t>Corte</w:t>
      </w:r>
      <w:r>
        <w:rPr>
          <w:spacing w:val="-1"/>
          <w:sz w:val="18"/>
          <w:szCs w:val="18"/>
          <w:lang w:val="es-ES_tradnl"/>
        </w:rPr>
        <w:t xml:space="preserve"> </w:t>
      </w:r>
      <w:r>
        <w:rPr>
          <w:spacing w:val="-1"/>
          <w:sz w:val="14"/>
          <w:szCs w:val="14"/>
          <w:lang w:val="es-ES_tradnl"/>
        </w:rPr>
        <w:t>Constitucional</w:t>
      </w:r>
      <w:r>
        <w:rPr>
          <w:spacing w:val="-1"/>
          <w:sz w:val="18"/>
          <w:szCs w:val="18"/>
          <w:lang w:val="es-ES_tradnl"/>
        </w:rPr>
        <w:t xml:space="preserve"> </w:t>
      </w:r>
      <w:r>
        <w:rPr>
          <w:spacing w:val="-1"/>
          <w:sz w:val="14"/>
          <w:szCs w:val="14"/>
          <w:lang w:val="es-ES_tradnl"/>
        </w:rPr>
        <w:t>del</w:t>
      </w:r>
      <w:r>
        <w:rPr>
          <w:spacing w:val="-1"/>
          <w:sz w:val="18"/>
          <w:szCs w:val="18"/>
          <w:lang w:val="es-ES_tradnl"/>
        </w:rPr>
        <w:t xml:space="preserve"> </w:t>
      </w:r>
      <w:r>
        <w:rPr>
          <w:spacing w:val="-1"/>
          <w:sz w:val="14"/>
          <w:szCs w:val="14"/>
          <w:lang w:val="es-ES_tradnl"/>
        </w:rPr>
        <w:t>Ecuador,</w:t>
      </w:r>
      <w:r>
        <w:rPr>
          <w:spacing w:val="-1"/>
          <w:sz w:val="18"/>
          <w:szCs w:val="18"/>
          <w:lang w:val="es-ES_tradnl"/>
        </w:rPr>
        <w:t xml:space="preserve"> </w:t>
      </w:r>
      <w:r>
        <w:rPr>
          <w:spacing w:val="-1"/>
          <w:sz w:val="14"/>
          <w:szCs w:val="14"/>
          <w:lang w:val="es-ES_tradnl"/>
        </w:rPr>
        <w:t>sentencia</w:t>
      </w:r>
      <w:r>
        <w:rPr>
          <w:spacing w:val="-1"/>
          <w:sz w:val="18"/>
          <w:szCs w:val="18"/>
          <w:lang w:val="es-ES_tradnl"/>
        </w:rPr>
        <w:t xml:space="preserve"> </w:t>
      </w:r>
      <w:r>
        <w:rPr>
          <w:spacing w:val="-1"/>
          <w:sz w:val="14"/>
          <w:szCs w:val="14"/>
          <w:lang w:val="es-ES_tradnl"/>
        </w:rPr>
        <w:t>No.</w:t>
      </w:r>
      <w:r>
        <w:rPr>
          <w:spacing w:val="-1"/>
          <w:sz w:val="18"/>
          <w:szCs w:val="18"/>
          <w:lang w:val="es-ES_tradnl"/>
        </w:rPr>
        <w:t xml:space="preserve"> </w:t>
      </w:r>
      <w:r>
        <w:rPr>
          <w:spacing w:val="-1"/>
          <w:sz w:val="14"/>
          <w:szCs w:val="14"/>
          <w:lang w:val="es-ES_tradnl"/>
        </w:rPr>
        <w:t>0140-14-SEP-CC, </w:t>
      </w:r>
      <w:r>
        <w:rPr>
          <w:spacing w:val="-2"/>
          <w:sz w:val="14"/>
          <w:szCs w:val="14"/>
          <w:lang w:val="es-ES_tradnl"/>
        </w:rPr>
        <w:t>caso No. 0042-11-EP, emitida el 24 de septiembre de 2014.</w:t>
      </w:r>
    </w:p>
    <w:p w14:paraId="4F67B148" w14:textId="77777777" w:rsidR="00591D54" w:rsidRDefault="00591D54">
      <w:pPr>
        <w:shd w:val="clear" w:color="auto" w:fill="FFFFFF"/>
        <w:tabs>
          <w:tab w:val="left" w:pos="139"/>
        </w:tabs>
        <w:spacing w:before="149" w:line="178" w:lineRule="exact"/>
        <w:ind w:left="139" w:hanging="139"/>
      </w:pPr>
      <w:r>
        <w:rPr>
          <w:sz w:val="10"/>
          <w:szCs w:val="10"/>
          <w:vertAlign w:val="superscript"/>
          <w:lang w:val="es-ES_tradnl"/>
        </w:rPr>
        <w:t>4</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No.</w:t>
      </w:r>
      <w:r>
        <w:rPr>
          <w:sz w:val="18"/>
          <w:szCs w:val="18"/>
          <w:lang w:val="es-ES_tradnl"/>
        </w:rPr>
        <w:t xml:space="preserve"> </w:t>
      </w:r>
      <w:r>
        <w:rPr>
          <w:sz w:val="14"/>
          <w:szCs w:val="14"/>
          <w:lang w:val="es-ES_tradnl"/>
        </w:rPr>
        <w:t>231-14-SEP-CC, </w:t>
      </w:r>
      <w:r>
        <w:rPr>
          <w:spacing w:val="-2"/>
          <w:sz w:val="14"/>
          <w:szCs w:val="14"/>
          <w:lang w:val="es-ES_tradnl"/>
        </w:rPr>
        <w:t>caso No. 589-13-EP, expedida el 17 de diciembre del 2014.</w:t>
      </w:r>
    </w:p>
    <w:p w14:paraId="4F67B149" w14:textId="77777777" w:rsidR="00591D54" w:rsidRDefault="00591D54">
      <w:pPr>
        <w:shd w:val="clear" w:color="auto" w:fill="FFFFFF"/>
        <w:spacing w:before="5" w:line="216" w:lineRule="exact"/>
        <w:ind w:right="5"/>
        <w:jc w:val="both"/>
      </w:pPr>
      <w:r>
        <w:br w:type="column"/>
      </w:r>
      <w:r>
        <w:rPr>
          <w:spacing w:val="-8"/>
          <w:sz w:val="18"/>
          <w:szCs w:val="18"/>
          <w:lang w:val="es-ES_tradnl"/>
        </w:rPr>
        <w:t xml:space="preserve">de los hechos probatorios consignados y los hechos que </w:t>
      </w:r>
      <w:r>
        <w:rPr>
          <w:spacing w:val="-6"/>
          <w:sz w:val="18"/>
          <w:szCs w:val="18"/>
          <w:lang w:val="es-ES_tradnl"/>
        </w:rPr>
        <w:t>hayan rodeado al acto</w:t>
      </w:r>
      <w:r>
        <w:rPr>
          <w:rFonts w:cs="Times New Roman"/>
          <w:spacing w:val="-6"/>
          <w:sz w:val="18"/>
          <w:szCs w:val="18"/>
          <w:lang w:val="es-ES_tradnl"/>
        </w:rPr>
        <w:t>”</w:t>
      </w:r>
      <w:r>
        <w:rPr>
          <w:spacing w:val="-6"/>
          <w:sz w:val="18"/>
          <w:szCs w:val="18"/>
          <w:lang w:val="es-ES_tradnl"/>
        </w:rPr>
        <w:t xml:space="preserve">, consideraciones que guardan </w:t>
      </w:r>
      <w:r>
        <w:rPr>
          <w:sz w:val="18"/>
          <w:szCs w:val="18"/>
          <w:lang w:val="es-ES_tradnl"/>
        </w:rPr>
        <w:t>relaci</w:t>
      </w:r>
      <w:r>
        <w:rPr>
          <w:rFonts w:cs="Times New Roman"/>
          <w:sz w:val="18"/>
          <w:szCs w:val="18"/>
          <w:lang w:val="es-ES_tradnl"/>
        </w:rPr>
        <w:t>ó</w:t>
      </w:r>
      <w:r>
        <w:rPr>
          <w:sz w:val="18"/>
          <w:szCs w:val="18"/>
          <w:lang w:val="es-ES_tradnl"/>
        </w:rPr>
        <w:t xml:space="preserve">n con las normativas </w:t>
      </w:r>
      <w:r>
        <w:rPr>
          <w:i/>
          <w:iCs/>
          <w:sz w:val="18"/>
          <w:szCs w:val="18"/>
          <w:lang w:val="es-ES_tradnl"/>
        </w:rPr>
        <w:t>ib</w:t>
      </w:r>
      <w:r>
        <w:rPr>
          <w:rFonts w:cs="Times New Roman"/>
          <w:i/>
          <w:iCs/>
          <w:sz w:val="18"/>
          <w:szCs w:val="18"/>
          <w:lang w:val="es-ES_tradnl"/>
        </w:rPr>
        <w:t>í</w:t>
      </w:r>
      <w:r>
        <w:rPr>
          <w:i/>
          <w:iCs/>
          <w:sz w:val="18"/>
          <w:szCs w:val="18"/>
          <w:lang w:val="es-ES_tradnl"/>
        </w:rPr>
        <w:t>dem</w:t>
      </w:r>
      <w:r>
        <w:rPr>
          <w:sz w:val="18"/>
          <w:szCs w:val="18"/>
          <w:lang w:val="es-ES_tradnl"/>
        </w:rPr>
        <w:t>.</w:t>
      </w:r>
    </w:p>
    <w:p w14:paraId="4F67B14A" w14:textId="77777777" w:rsidR="00591D54" w:rsidRDefault="00591D54">
      <w:pPr>
        <w:shd w:val="clear" w:color="auto" w:fill="FFFFFF"/>
        <w:spacing w:before="197" w:line="216" w:lineRule="exact"/>
        <w:ind w:right="5"/>
        <w:jc w:val="both"/>
      </w:pPr>
      <w:r>
        <w:rPr>
          <w:spacing w:val="-9"/>
          <w:sz w:val="18"/>
          <w:szCs w:val="18"/>
          <w:lang w:val="es-ES_tradnl"/>
        </w:rPr>
        <w:t>Asimismo, la argumentaci</w:t>
      </w:r>
      <w:r>
        <w:rPr>
          <w:rFonts w:cs="Times New Roman"/>
          <w:spacing w:val="-9"/>
          <w:sz w:val="18"/>
          <w:szCs w:val="18"/>
          <w:lang w:val="es-ES_tradnl"/>
        </w:rPr>
        <w:t>ó</w:t>
      </w:r>
      <w:r>
        <w:rPr>
          <w:spacing w:val="-9"/>
          <w:sz w:val="18"/>
          <w:szCs w:val="18"/>
          <w:lang w:val="es-ES_tradnl"/>
        </w:rPr>
        <w:t xml:space="preserve">n de los jueces casacionales se </w:t>
      </w:r>
      <w:r>
        <w:rPr>
          <w:spacing w:val="-6"/>
          <w:sz w:val="18"/>
          <w:szCs w:val="18"/>
          <w:lang w:val="es-ES_tradnl"/>
        </w:rPr>
        <w:t>ampara en los art</w:t>
      </w:r>
      <w:r>
        <w:rPr>
          <w:rFonts w:cs="Times New Roman"/>
          <w:spacing w:val="-6"/>
          <w:sz w:val="18"/>
          <w:szCs w:val="18"/>
          <w:lang w:val="es-ES_tradnl"/>
        </w:rPr>
        <w:t>í</w:t>
      </w:r>
      <w:r>
        <w:rPr>
          <w:spacing w:val="-6"/>
          <w:sz w:val="18"/>
          <w:szCs w:val="18"/>
          <w:lang w:val="es-ES_tradnl"/>
        </w:rPr>
        <w:t>culos 216 y 188 del C</w:t>
      </w:r>
      <w:r>
        <w:rPr>
          <w:rFonts w:cs="Times New Roman"/>
          <w:spacing w:val="-6"/>
          <w:sz w:val="18"/>
          <w:szCs w:val="18"/>
          <w:lang w:val="es-ES_tradnl"/>
        </w:rPr>
        <w:t>ó</w:t>
      </w:r>
      <w:r>
        <w:rPr>
          <w:spacing w:val="-6"/>
          <w:sz w:val="18"/>
          <w:szCs w:val="18"/>
          <w:lang w:val="es-ES_tradnl"/>
        </w:rPr>
        <w:t xml:space="preserve">digo de Trabajo </w:t>
      </w:r>
      <w:r>
        <w:rPr>
          <w:spacing w:val="-4"/>
          <w:sz w:val="18"/>
          <w:szCs w:val="18"/>
          <w:lang w:val="es-ES_tradnl"/>
        </w:rPr>
        <w:t xml:space="preserve">que se refieren al derecho de los trabajadores a recibir </w:t>
      </w:r>
      <w:r>
        <w:rPr>
          <w:spacing w:val="-5"/>
          <w:sz w:val="18"/>
          <w:szCs w:val="18"/>
          <w:lang w:val="es-ES_tradnl"/>
        </w:rPr>
        <w:t>una jubilaci</w:t>
      </w:r>
      <w:r>
        <w:rPr>
          <w:rFonts w:cs="Times New Roman"/>
          <w:spacing w:val="-5"/>
          <w:sz w:val="18"/>
          <w:szCs w:val="18"/>
          <w:lang w:val="es-ES_tradnl"/>
        </w:rPr>
        <w:t>ó</w:t>
      </w:r>
      <w:r>
        <w:rPr>
          <w:spacing w:val="-5"/>
          <w:sz w:val="18"/>
          <w:szCs w:val="18"/>
          <w:lang w:val="es-ES_tradnl"/>
        </w:rPr>
        <w:t xml:space="preserve">n patronal proporcional cumpliendo los </w:t>
      </w:r>
      <w:r>
        <w:rPr>
          <w:spacing w:val="-9"/>
          <w:sz w:val="18"/>
          <w:szCs w:val="18"/>
          <w:lang w:val="es-ES_tradnl"/>
        </w:rPr>
        <w:t xml:space="preserve">presupuestos que se encuentran determinados en dichas </w:t>
      </w:r>
      <w:r>
        <w:rPr>
          <w:spacing w:val="-11"/>
          <w:sz w:val="18"/>
          <w:szCs w:val="18"/>
          <w:lang w:val="es-ES_tradnl"/>
        </w:rPr>
        <w:t xml:space="preserve">normas. De esta forma la sentencia demandada expone que </w:t>
      </w:r>
      <w:r>
        <w:rPr>
          <w:rFonts w:cs="Times New Roman"/>
          <w:spacing w:val="-5"/>
          <w:sz w:val="18"/>
          <w:szCs w:val="18"/>
          <w:lang w:val="es-ES_tradnl"/>
        </w:rPr>
        <w:t>“</w:t>
      </w:r>
      <w:r>
        <w:rPr>
          <w:spacing w:val="-5"/>
          <w:sz w:val="18"/>
          <w:szCs w:val="18"/>
          <w:lang w:val="es-ES_tradnl"/>
        </w:rPr>
        <w:t>(</w:t>
      </w:r>
      <w:r>
        <w:rPr>
          <w:rFonts w:cs="Times New Roman"/>
          <w:spacing w:val="-5"/>
          <w:sz w:val="18"/>
          <w:szCs w:val="18"/>
          <w:lang w:val="es-ES_tradnl"/>
        </w:rPr>
        <w:t>…</w:t>
      </w:r>
      <w:r>
        <w:rPr>
          <w:spacing w:val="-5"/>
          <w:sz w:val="18"/>
          <w:szCs w:val="18"/>
          <w:lang w:val="es-ES_tradnl"/>
        </w:rPr>
        <w:t>) la jubilaci</w:t>
      </w:r>
      <w:r>
        <w:rPr>
          <w:rFonts w:cs="Times New Roman"/>
          <w:spacing w:val="-5"/>
          <w:sz w:val="18"/>
          <w:szCs w:val="18"/>
          <w:lang w:val="es-ES_tradnl"/>
        </w:rPr>
        <w:t>ó</w:t>
      </w:r>
      <w:r>
        <w:rPr>
          <w:spacing w:val="-5"/>
          <w:sz w:val="18"/>
          <w:szCs w:val="18"/>
          <w:lang w:val="es-ES_tradnl"/>
        </w:rPr>
        <w:t xml:space="preserve">n patronal proporcional es un derecho al </w:t>
      </w:r>
      <w:r>
        <w:rPr>
          <w:spacing w:val="-7"/>
          <w:sz w:val="18"/>
          <w:szCs w:val="18"/>
          <w:lang w:val="es-ES_tradnl"/>
        </w:rPr>
        <w:t xml:space="preserve">que acceden los trabajadores que hubieren laborado para </w:t>
      </w:r>
      <w:r>
        <w:rPr>
          <w:spacing w:val="-6"/>
          <w:sz w:val="18"/>
          <w:szCs w:val="18"/>
          <w:lang w:val="es-ES_tradnl"/>
        </w:rPr>
        <w:t xml:space="preserve">un mismo empleador en forma ininterrumpida o continua </w:t>
      </w:r>
      <w:r>
        <w:rPr>
          <w:spacing w:val="-5"/>
          <w:sz w:val="18"/>
          <w:szCs w:val="18"/>
          <w:lang w:val="es-ES_tradnl"/>
        </w:rPr>
        <w:t>por veinte y cinco o m</w:t>
      </w:r>
      <w:r>
        <w:rPr>
          <w:rFonts w:cs="Times New Roman"/>
          <w:spacing w:val="-5"/>
          <w:sz w:val="18"/>
          <w:szCs w:val="18"/>
          <w:lang w:val="es-ES_tradnl"/>
        </w:rPr>
        <w:t>á</w:t>
      </w:r>
      <w:r>
        <w:rPr>
          <w:spacing w:val="-5"/>
          <w:sz w:val="18"/>
          <w:szCs w:val="18"/>
          <w:lang w:val="es-ES_tradnl"/>
        </w:rPr>
        <w:t>s a</w:t>
      </w:r>
      <w:r>
        <w:rPr>
          <w:rFonts w:cs="Times New Roman"/>
          <w:spacing w:val="-5"/>
          <w:sz w:val="18"/>
          <w:szCs w:val="18"/>
          <w:lang w:val="es-ES_tradnl"/>
        </w:rPr>
        <w:t>ñ</w:t>
      </w:r>
      <w:r>
        <w:rPr>
          <w:spacing w:val="-5"/>
          <w:sz w:val="18"/>
          <w:szCs w:val="18"/>
          <w:lang w:val="es-ES_tradnl"/>
        </w:rPr>
        <w:t>os estableci</w:t>
      </w:r>
      <w:r>
        <w:rPr>
          <w:rFonts w:cs="Times New Roman"/>
          <w:spacing w:val="-5"/>
          <w:sz w:val="18"/>
          <w:szCs w:val="18"/>
          <w:lang w:val="es-ES_tradnl"/>
        </w:rPr>
        <w:t>é</w:t>
      </w:r>
      <w:r>
        <w:rPr>
          <w:spacing w:val="-5"/>
          <w:sz w:val="18"/>
          <w:szCs w:val="18"/>
          <w:lang w:val="es-ES_tradnl"/>
        </w:rPr>
        <w:t xml:space="preserve">ndose por tanto </w:t>
      </w:r>
      <w:r>
        <w:rPr>
          <w:spacing w:val="-6"/>
          <w:sz w:val="18"/>
          <w:szCs w:val="18"/>
          <w:lang w:val="es-ES_tradnl"/>
        </w:rPr>
        <w:t>un solo requisito para obtener el derecho a la jubilaci</w:t>
      </w:r>
      <w:r>
        <w:rPr>
          <w:rFonts w:cs="Times New Roman"/>
          <w:spacing w:val="-6"/>
          <w:sz w:val="18"/>
          <w:szCs w:val="18"/>
          <w:lang w:val="es-ES_tradnl"/>
        </w:rPr>
        <w:t>ó</w:t>
      </w:r>
      <w:r>
        <w:rPr>
          <w:spacing w:val="-6"/>
          <w:sz w:val="18"/>
          <w:szCs w:val="18"/>
          <w:lang w:val="es-ES_tradnl"/>
        </w:rPr>
        <w:t xml:space="preserve">n </w:t>
      </w:r>
      <w:r>
        <w:rPr>
          <w:spacing w:val="-3"/>
          <w:sz w:val="18"/>
          <w:szCs w:val="18"/>
          <w:lang w:val="es-ES_tradnl"/>
        </w:rPr>
        <w:t xml:space="preserve">patronal que es el lapso laborado no menor a veinte y </w:t>
      </w:r>
      <w:r>
        <w:rPr>
          <w:spacing w:val="-7"/>
          <w:sz w:val="18"/>
          <w:szCs w:val="18"/>
          <w:lang w:val="es-ES_tradnl"/>
        </w:rPr>
        <w:t>cinco a</w:t>
      </w:r>
      <w:r>
        <w:rPr>
          <w:rFonts w:cs="Times New Roman"/>
          <w:spacing w:val="-7"/>
          <w:sz w:val="18"/>
          <w:szCs w:val="18"/>
          <w:lang w:val="es-ES_tradnl"/>
        </w:rPr>
        <w:t>ñ</w:t>
      </w:r>
      <w:r>
        <w:rPr>
          <w:spacing w:val="-7"/>
          <w:sz w:val="18"/>
          <w:szCs w:val="18"/>
          <w:lang w:val="es-ES_tradnl"/>
        </w:rPr>
        <w:t>os continuos o interrumpidos requisitos que en la especie no re</w:t>
      </w:r>
      <w:r>
        <w:rPr>
          <w:rFonts w:cs="Times New Roman"/>
          <w:spacing w:val="-7"/>
          <w:sz w:val="18"/>
          <w:szCs w:val="18"/>
          <w:lang w:val="es-ES_tradnl"/>
        </w:rPr>
        <w:t>ú</w:t>
      </w:r>
      <w:r>
        <w:rPr>
          <w:spacing w:val="-7"/>
          <w:sz w:val="18"/>
          <w:szCs w:val="18"/>
          <w:lang w:val="es-ES_tradnl"/>
        </w:rPr>
        <w:t>ne la accionante (</w:t>
      </w:r>
      <w:r>
        <w:rPr>
          <w:rFonts w:cs="Times New Roman"/>
          <w:spacing w:val="-7"/>
          <w:sz w:val="18"/>
          <w:szCs w:val="18"/>
          <w:lang w:val="es-ES_tradnl"/>
        </w:rPr>
        <w:t>…</w:t>
      </w:r>
      <w:r>
        <w:rPr>
          <w:spacing w:val="-7"/>
          <w:sz w:val="18"/>
          <w:szCs w:val="18"/>
          <w:lang w:val="es-ES_tradnl"/>
        </w:rPr>
        <w:t>)</w:t>
      </w:r>
      <w:r>
        <w:rPr>
          <w:rFonts w:cs="Times New Roman"/>
          <w:spacing w:val="-7"/>
          <w:sz w:val="18"/>
          <w:szCs w:val="18"/>
          <w:lang w:val="es-ES_tradnl"/>
        </w:rPr>
        <w:t>”</w:t>
      </w:r>
      <w:r>
        <w:rPr>
          <w:spacing w:val="-7"/>
          <w:sz w:val="18"/>
          <w:szCs w:val="18"/>
          <w:lang w:val="es-ES_tradnl"/>
        </w:rPr>
        <w:t xml:space="preserve">; por tanto, concluyen </w:t>
      </w:r>
      <w:r>
        <w:rPr>
          <w:spacing w:val="-10"/>
          <w:sz w:val="18"/>
          <w:szCs w:val="18"/>
          <w:lang w:val="es-ES_tradnl"/>
        </w:rPr>
        <w:t xml:space="preserve">desestimando las pretensiones reclamadas en las instancias </w:t>
      </w:r>
      <w:r>
        <w:rPr>
          <w:sz w:val="18"/>
          <w:szCs w:val="18"/>
          <w:lang w:val="es-ES_tradnl"/>
        </w:rPr>
        <w:t>ordinarias inferiores.</w:t>
      </w:r>
    </w:p>
    <w:p w14:paraId="4F67B14B" w14:textId="77777777" w:rsidR="00591D54" w:rsidRDefault="00591D54">
      <w:pPr>
        <w:shd w:val="clear" w:color="auto" w:fill="FFFFFF"/>
        <w:spacing w:before="197" w:line="216" w:lineRule="exact"/>
        <w:ind w:right="5"/>
        <w:jc w:val="both"/>
      </w:pPr>
      <w:r>
        <w:rPr>
          <w:spacing w:val="-9"/>
          <w:sz w:val="18"/>
          <w:szCs w:val="18"/>
          <w:lang w:val="es-ES_tradnl"/>
        </w:rPr>
        <w:t xml:space="preserve">Las consideraciones que anteceden demuestran el registro </w:t>
      </w:r>
      <w:r>
        <w:rPr>
          <w:spacing w:val="-10"/>
          <w:sz w:val="18"/>
          <w:szCs w:val="18"/>
          <w:lang w:val="es-ES_tradnl"/>
        </w:rPr>
        <w:t xml:space="preserve">de las disposiciones </w:t>
      </w:r>
      <w:r>
        <w:rPr>
          <w:i/>
          <w:iCs/>
          <w:spacing w:val="-10"/>
          <w:sz w:val="18"/>
          <w:szCs w:val="18"/>
          <w:lang w:val="es-ES_tradnl"/>
        </w:rPr>
        <w:t xml:space="preserve">ut supra </w:t>
      </w:r>
      <w:r>
        <w:rPr>
          <w:spacing w:val="-10"/>
          <w:sz w:val="18"/>
          <w:szCs w:val="18"/>
          <w:lang w:val="es-ES_tradnl"/>
        </w:rPr>
        <w:t xml:space="preserve">los mismos que se constituyen </w:t>
      </w:r>
      <w:r>
        <w:rPr>
          <w:spacing w:val="-3"/>
          <w:sz w:val="18"/>
          <w:szCs w:val="18"/>
          <w:lang w:val="es-ES_tradnl"/>
        </w:rPr>
        <w:t xml:space="preserve">aplicables al caso concreto y en consecuencia, no casa </w:t>
      </w:r>
      <w:r>
        <w:rPr>
          <w:spacing w:val="-2"/>
          <w:sz w:val="18"/>
          <w:szCs w:val="18"/>
          <w:lang w:val="es-ES_tradnl"/>
        </w:rPr>
        <w:t>la decisi</w:t>
      </w:r>
      <w:r>
        <w:rPr>
          <w:rFonts w:cs="Times New Roman"/>
          <w:spacing w:val="-2"/>
          <w:sz w:val="18"/>
          <w:szCs w:val="18"/>
          <w:lang w:val="es-ES_tradnl"/>
        </w:rPr>
        <w:t>ó</w:t>
      </w:r>
      <w:r>
        <w:rPr>
          <w:spacing w:val="-2"/>
          <w:sz w:val="18"/>
          <w:szCs w:val="18"/>
          <w:lang w:val="es-ES_tradnl"/>
        </w:rPr>
        <w:t xml:space="preserve">n judicial del Tribunal </w:t>
      </w:r>
      <w:r>
        <w:rPr>
          <w:i/>
          <w:iCs/>
          <w:spacing w:val="-2"/>
          <w:sz w:val="18"/>
          <w:szCs w:val="18"/>
          <w:lang w:val="es-ES_tradnl"/>
        </w:rPr>
        <w:t>ad quem</w:t>
      </w:r>
      <w:r>
        <w:rPr>
          <w:spacing w:val="-2"/>
          <w:sz w:val="18"/>
          <w:szCs w:val="18"/>
          <w:lang w:val="es-ES_tradnl"/>
        </w:rPr>
        <w:t xml:space="preserve">. En tal virtud, </w:t>
      </w:r>
      <w:r>
        <w:rPr>
          <w:spacing w:val="-4"/>
          <w:sz w:val="18"/>
          <w:szCs w:val="18"/>
          <w:lang w:val="es-ES_tradnl"/>
        </w:rPr>
        <w:t xml:space="preserve">los argumentos realizados por los jueces nacionales, </w:t>
      </w:r>
      <w:r>
        <w:rPr>
          <w:spacing w:val="-3"/>
          <w:sz w:val="18"/>
          <w:szCs w:val="18"/>
          <w:lang w:val="es-ES_tradnl"/>
        </w:rPr>
        <w:t xml:space="preserve">cumplen con el requisito de la razonabilidad por aplicar </w:t>
      </w:r>
      <w:r>
        <w:rPr>
          <w:spacing w:val="-8"/>
          <w:sz w:val="18"/>
          <w:szCs w:val="18"/>
          <w:lang w:val="es-ES_tradnl"/>
        </w:rPr>
        <w:t xml:space="preserve">las disposiciones legales pertinentes que estatuyen los </w:t>
      </w:r>
      <w:r>
        <w:rPr>
          <w:spacing w:val="-9"/>
          <w:sz w:val="18"/>
          <w:szCs w:val="18"/>
          <w:lang w:val="es-ES_tradnl"/>
        </w:rPr>
        <w:t xml:space="preserve">presupuestos concernientes a las reclamaciones que se </w:t>
      </w:r>
      <w:r>
        <w:rPr>
          <w:spacing w:val="-8"/>
          <w:sz w:val="18"/>
          <w:szCs w:val="18"/>
          <w:lang w:val="es-ES_tradnl"/>
        </w:rPr>
        <w:t xml:space="preserve">debaten en el caso </w:t>
      </w:r>
      <w:r>
        <w:rPr>
          <w:i/>
          <w:iCs/>
          <w:spacing w:val="-8"/>
          <w:sz w:val="18"/>
          <w:szCs w:val="18"/>
          <w:lang w:val="es-ES_tradnl"/>
        </w:rPr>
        <w:t>sub judice</w:t>
      </w:r>
      <w:r>
        <w:rPr>
          <w:spacing w:val="-8"/>
          <w:sz w:val="18"/>
          <w:szCs w:val="18"/>
          <w:lang w:val="es-ES_tradnl"/>
        </w:rPr>
        <w:t xml:space="preserve">, los mismos que no se han </w:t>
      </w:r>
      <w:r>
        <w:rPr>
          <w:sz w:val="18"/>
          <w:szCs w:val="18"/>
          <w:lang w:val="es-ES_tradnl"/>
        </w:rPr>
        <w:t>cumplido en esta acci</w:t>
      </w:r>
      <w:r>
        <w:rPr>
          <w:rFonts w:cs="Times New Roman"/>
          <w:sz w:val="18"/>
          <w:szCs w:val="18"/>
          <w:lang w:val="es-ES_tradnl"/>
        </w:rPr>
        <w:t>ó</w:t>
      </w:r>
      <w:r>
        <w:rPr>
          <w:sz w:val="18"/>
          <w:szCs w:val="18"/>
          <w:lang w:val="es-ES_tradnl"/>
        </w:rPr>
        <w:t>n.</w:t>
      </w:r>
    </w:p>
    <w:p w14:paraId="4F67B14C" w14:textId="77777777" w:rsidR="00591D54" w:rsidRDefault="00591D54">
      <w:pPr>
        <w:shd w:val="clear" w:color="auto" w:fill="FFFFFF"/>
        <w:spacing w:before="192" w:line="211" w:lineRule="exact"/>
        <w:ind w:right="5"/>
        <w:jc w:val="both"/>
      </w:pPr>
      <w:r>
        <w:rPr>
          <w:spacing w:val="-4"/>
          <w:sz w:val="18"/>
          <w:szCs w:val="18"/>
          <w:lang w:val="es-ES_tradnl"/>
        </w:rPr>
        <w:t xml:space="preserve">La </w:t>
      </w:r>
      <w:r>
        <w:rPr>
          <w:b/>
          <w:bCs/>
          <w:spacing w:val="-4"/>
          <w:sz w:val="18"/>
          <w:szCs w:val="18"/>
          <w:lang w:val="es-ES_tradnl"/>
        </w:rPr>
        <w:t>l</w:t>
      </w:r>
      <w:r>
        <w:rPr>
          <w:rFonts w:cs="Times New Roman"/>
          <w:b/>
          <w:bCs/>
          <w:spacing w:val="-4"/>
          <w:sz w:val="18"/>
          <w:szCs w:val="18"/>
          <w:lang w:val="es-ES_tradnl"/>
        </w:rPr>
        <w:t>ó</w:t>
      </w:r>
      <w:r>
        <w:rPr>
          <w:b/>
          <w:bCs/>
          <w:spacing w:val="-4"/>
          <w:sz w:val="18"/>
          <w:szCs w:val="18"/>
          <w:lang w:val="es-ES_tradnl"/>
        </w:rPr>
        <w:t>gica</w:t>
      </w:r>
      <w:r>
        <w:rPr>
          <w:spacing w:val="-4"/>
          <w:sz w:val="18"/>
          <w:szCs w:val="18"/>
          <w:lang w:val="es-ES_tradnl"/>
        </w:rPr>
        <w:t xml:space="preserve">, exige que el fallo sea coherente entre las </w:t>
      </w:r>
      <w:r>
        <w:rPr>
          <w:spacing w:val="-5"/>
          <w:sz w:val="18"/>
          <w:szCs w:val="18"/>
          <w:lang w:val="es-ES_tradnl"/>
        </w:rPr>
        <w:t xml:space="preserve">premisas, las disposiciones aplicadas al caso concreto y </w:t>
      </w:r>
      <w:r>
        <w:rPr>
          <w:spacing w:val="-8"/>
          <w:sz w:val="18"/>
          <w:szCs w:val="18"/>
          <w:lang w:val="es-ES_tradnl"/>
        </w:rPr>
        <w:t>la conclusi</w:t>
      </w:r>
      <w:r>
        <w:rPr>
          <w:rFonts w:cs="Times New Roman"/>
          <w:spacing w:val="-8"/>
          <w:sz w:val="18"/>
          <w:szCs w:val="18"/>
          <w:lang w:val="es-ES_tradnl"/>
        </w:rPr>
        <w:t>ó</w:t>
      </w:r>
      <w:r>
        <w:rPr>
          <w:spacing w:val="-8"/>
          <w:sz w:val="18"/>
          <w:szCs w:val="18"/>
          <w:lang w:val="es-ES_tradnl"/>
        </w:rPr>
        <w:t>n. Supone tambi</w:t>
      </w:r>
      <w:r>
        <w:rPr>
          <w:rFonts w:cs="Times New Roman"/>
          <w:spacing w:val="-8"/>
          <w:sz w:val="18"/>
          <w:szCs w:val="18"/>
          <w:lang w:val="es-ES_tradnl"/>
        </w:rPr>
        <w:t>é</w:t>
      </w:r>
      <w:r>
        <w:rPr>
          <w:spacing w:val="-8"/>
          <w:sz w:val="18"/>
          <w:szCs w:val="18"/>
          <w:lang w:val="es-ES_tradnl"/>
        </w:rPr>
        <w:t>n una exposici</w:t>
      </w:r>
      <w:r>
        <w:rPr>
          <w:rFonts w:cs="Times New Roman"/>
          <w:spacing w:val="-8"/>
          <w:sz w:val="18"/>
          <w:szCs w:val="18"/>
          <w:lang w:val="es-ES_tradnl"/>
        </w:rPr>
        <w:t>ó</w:t>
      </w:r>
      <w:r>
        <w:rPr>
          <w:spacing w:val="-8"/>
          <w:sz w:val="18"/>
          <w:szCs w:val="18"/>
          <w:lang w:val="es-ES_tradnl"/>
        </w:rPr>
        <w:t xml:space="preserve">n congruente </w:t>
      </w:r>
      <w:r>
        <w:rPr>
          <w:spacing w:val="-9"/>
          <w:sz w:val="18"/>
          <w:szCs w:val="18"/>
          <w:lang w:val="es-ES_tradnl"/>
        </w:rPr>
        <w:t>de las razones que conducen al juez para establecer una valoraci</w:t>
      </w:r>
      <w:r>
        <w:rPr>
          <w:rFonts w:cs="Times New Roman"/>
          <w:spacing w:val="-9"/>
          <w:sz w:val="18"/>
          <w:szCs w:val="18"/>
          <w:lang w:val="es-ES_tradnl"/>
        </w:rPr>
        <w:t>ó</w:t>
      </w:r>
      <w:r>
        <w:rPr>
          <w:spacing w:val="-9"/>
          <w:sz w:val="18"/>
          <w:szCs w:val="18"/>
          <w:lang w:val="es-ES_tradnl"/>
        </w:rPr>
        <w:t>n o concepci</w:t>
      </w:r>
      <w:r>
        <w:rPr>
          <w:rFonts w:cs="Times New Roman"/>
          <w:spacing w:val="-9"/>
          <w:sz w:val="18"/>
          <w:szCs w:val="18"/>
          <w:lang w:val="es-ES_tradnl"/>
        </w:rPr>
        <w:t>ó</w:t>
      </w:r>
      <w:r>
        <w:rPr>
          <w:spacing w:val="-9"/>
          <w:sz w:val="18"/>
          <w:szCs w:val="18"/>
          <w:lang w:val="es-ES_tradnl"/>
        </w:rPr>
        <w:t xml:space="preserve">n sobre el asunto que se debate, de </w:t>
      </w:r>
      <w:r>
        <w:rPr>
          <w:spacing w:val="-8"/>
          <w:sz w:val="18"/>
          <w:szCs w:val="18"/>
          <w:lang w:val="es-ES_tradnl"/>
        </w:rPr>
        <w:t>modo que la finalizaci</w:t>
      </w:r>
      <w:r>
        <w:rPr>
          <w:rFonts w:cs="Times New Roman"/>
          <w:spacing w:val="-8"/>
          <w:sz w:val="18"/>
          <w:szCs w:val="18"/>
          <w:lang w:val="es-ES_tradnl"/>
        </w:rPr>
        <w:t>ó</w:t>
      </w:r>
      <w:r>
        <w:rPr>
          <w:spacing w:val="-8"/>
          <w:sz w:val="18"/>
          <w:szCs w:val="18"/>
          <w:lang w:val="es-ES_tradnl"/>
        </w:rPr>
        <w:t>n del juicio guarde armon</w:t>
      </w:r>
      <w:r>
        <w:rPr>
          <w:rFonts w:cs="Times New Roman"/>
          <w:spacing w:val="-8"/>
          <w:sz w:val="18"/>
          <w:szCs w:val="18"/>
          <w:lang w:val="es-ES_tradnl"/>
        </w:rPr>
        <w:t>í</w:t>
      </w:r>
      <w:r>
        <w:rPr>
          <w:spacing w:val="-8"/>
          <w:sz w:val="18"/>
          <w:szCs w:val="18"/>
          <w:lang w:val="es-ES_tradnl"/>
        </w:rPr>
        <w:t>a y l</w:t>
      </w:r>
      <w:r>
        <w:rPr>
          <w:rFonts w:cs="Times New Roman"/>
          <w:spacing w:val="-8"/>
          <w:sz w:val="18"/>
          <w:szCs w:val="18"/>
          <w:lang w:val="es-ES_tradnl"/>
        </w:rPr>
        <w:t>ó</w:t>
      </w:r>
      <w:r>
        <w:rPr>
          <w:spacing w:val="-8"/>
          <w:sz w:val="18"/>
          <w:szCs w:val="18"/>
          <w:lang w:val="es-ES_tradnl"/>
        </w:rPr>
        <w:t xml:space="preserve">gica con los elementos que han sido presentados, evaluados, analizados y considerados durante el proceso y al final en </w:t>
      </w:r>
      <w:r>
        <w:rPr>
          <w:sz w:val="18"/>
          <w:szCs w:val="18"/>
          <w:lang w:val="es-ES_tradnl"/>
        </w:rPr>
        <w:t>su sentencia</w:t>
      </w:r>
      <w:r>
        <w:rPr>
          <w:sz w:val="18"/>
          <w:szCs w:val="18"/>
          <w:vertAlign w:val="superscript"/>
          <w:lang w:val="es-ES_tradnl"/>
        </w:rPr>
        <w:t>5</w:t>
      </w:r>
      <w:r>
        <w:rPr>
          <w:sz w:val="18"/>
          <w:szCs w:val="18"/>
          <w:lang w:val="es-ES_tradnl"/>
        </w:rPr>
        <w:t>.</w:t>
      </w:r>
    </w:p>
    <w:p w14:paraId="4F67B14D" w14:textId="77777777" w:rsidR="00591D54" w:rsidRDefault="00591D54">
      <w:pPr>
        <w:shd w:val="clear" w:color="auto" w:fill="FFFFFF"/>
        <w:spacing w:before="192" w:line="211" w:lineRule="exact"/>
        <w:jc w:val="both"/>
      </w:pPr>
      <w:r>
        <w:rPr>
          <w:spacing w:val="-6"/>
          <w:sz w:val="18"/>
          <w:szCs w:val="18"/>
          <w:lang w:val="es-ES_tradnl"/>
        </w:rPr>
        <w:t>La Corte Constitucional del Ecuador en la sentencia N.</w:t>
      </w:r>
      <w:r>
        <w:rPr>
          <w:rFonts w:cs="Times New Roman"/>
          <w:spacing w:val="-6"/>
          <w:sz w:val="18"/>
          <w:szCs w:val="18"/>
          <w:lang w:val="es-ES_tradnl"/>
        </w:rPr>
        <w:t xml:space="preserve">º </w:t>
      </w:r>
      <w:r>
        <w:rPr>
          <w:spacing w:val="-10"/>
          <w:sz w:val="18"/>
          <w:szCs w:val="18"/>
          <w:lang w:val="es-ES_tradnl"/>
        </w:rPr>
        <w:t>201-14-SEP-CC, caso N.</w:t>
      </w:r>
      <w:r>
        <w:rPr>
          <w:rFonts w:cs="Times New Roman"/>
          <w:spacing w:val="-10"/>
          <w:sz w:val="18"/>
          <w:szCs w:val="18"/>
          <w:lang w:val="es-ES_tradnl"/>
        </w:rPr>
        <w:t>º</w:t>
      </w:r>
      <w:r>
        <w:rPr>
          <w:spacing w:val="-10"/>
          <w:sz w:val="18"/>
          <w:szCs w:val="18"/>
          <w:lang w:val="es-ES_tradnl"/>
        </w:rPr>
        <w:t xml:space="preserve"> 1350-12-EP del 13 de noviembre </w:t>
      </w:r>
      <w:r>
        <w:rPr>
          <w:spacing w:val="-3"/>
          <w:sz w:val="18"/>
          <w:szCs w:val="18"/>
          <w:lang w:val="es-ES_tradnl"/>
        </w:rPr>
        <w:t>de 2014, manifest</w:t>
      </w:r>
      <w:r>
        <w:rPr>
          <w:rFonts w:cs="Times New Roman"/>
          <w:spacing w:val="-3"/>
          <w:sz w:val="18"/>
          <w:szCs w:val="18"/>
          <w:lang w:val="es-ES_tradnl"/>
        </w:rPr>
        <w:t>ó</w:t>
      </w:r>
      <w:r>
        <w:rPr>
          <w:spacing w:val="-3"/>
          <w:sz w:val="18"/>
          <w:szCs w:val="18"/>
          <w:lang w:val="es-ES_tradnl"/>
        </w:rPr>
        <w:t xml:space="preserve">: </w:t>
      </w:r>
      <w:r>
        <w:rPr>
          <w:rFonts w:cs="Times New Roman"/>
          <w:spacing w:val="-3"/>
          <w:sz w:val="18"/>
          <w:szCs w:val="18"/>
          <w:lang w:val="es-ES_tradnl"/>
        </w:rPr>
        <w:t>“</w:t>
      </w:r>
      <w:r>
        <w:rPr>
          <w:spacing w:val="-3"/>
          <w:sz w:val="18"/>
          <w:szCs w:val="18"/>
          <w:lang w:val="es-ES_tradnl"/>
        </w:rPr>
        <w:t>(</w:t>
      </w:r>
      <w:r>
        <w:rPr>
          <w:rFonts w:cs="Times New Roman"/>
          <w:spacing w:val="-3"/>
          <w:sz w:val="18"/>
          <w:szCs w:val="18"/>
          <w:lang w:val="es-ES_tradnl"/>
        </w:rPr>
        <w:t>…</w:t>
      </w:r>
      <w:r>
        <w:rPr>
          <w:spacing w:val="-3"/>
          <w:sz w:val="18"/>
          <w:szCs w:val="18"/>
          <w:lang w:val="es-ES_tradnl"/>
        </w:rPr>
        <w:t xml:space="preserve">) Este elemento debe erigirse </w:t>
      </w:r>
      <w:r>
        <w:rPr>
          <w:spacing w:val="-8"/>
          <w:sz w:val="18"/>
          <w:szCs w:val="18"/>
          <w:lang w:val="es-ES_tradnl"/>
        </w:rPr>
        <w:t>sobre la base de los hechos puestos a consideraci</w:t>
      </w:r>
      <w:r>
        <w:rPr>
          <w:rFonts w:cs="Times New Roman"/>
          <w:spacing w:val="-8"/>
          <w:sz w:val="18"/>
          <w:szCs w:val="18"/>
          <w:lang w:val="es-ES_tradnl"/>
        </w:rPr>
        <w:t>ó</w:t>
      </w:r>
      <w:r>
        <w:rPr>
          <w:spacing w:val="-8"/>
          <w:sz w:val="18"/>
          <w:szCs w:val="18"/>
          <w:lang w:val="es-ES_tradnl"/>
        </w:rPr>
        <w:t xml:space="preserve">n del </w:t>
      </w:r>
      <w:r>
        <w:rPr>
          <w:spacing w:val="-9"/>
          <w:sz w:val="18"/>
          <w:szCs w:val="18"/>
          <w:lang w:val="es-ES_tradnl"/>
        </w:rPr>
        <w:t xml:space="preserve">juzgador de modo que mediante la recurrencia a las fuentes del derecho aplicables al caso, se obtenga de aquel la </w:t>
      </w:r>
      <w:r>
        <w:rPr>
          <w:spacing w:val="-5"/>
          <w:sz w:val="18"/>
          <w:szCs w:val="18"/>
          <w:lang w:val="es-ES_tradnl"/>
        </w:rPr>
        <w:t>promulgaci</w:t>
      </w:r>
      <w:r>
        <w:rPr>
          <w:rFonts w:cs="Times New Roman"/>
          <w:spacing w:val="-5"/>
          <w:sz w:val="18"/>
          <w:szCs w:val="18"/>
          <w:lang w:val="es-ES_tradnl"/>
        </w:rPr>
        <w:t>ó</w:t>
      </w:r>
      <w:r>
        <w:rPr>
          <w:spacing w:val="-5"/>
          <w:sz w:val="18"/>
          <w:szCs w:val="18"/>
          <w:lang w:val="es-ES_tradnl"/>
        </w:rPr>
        <w:t>n de un criterio jur</w:t>
      </w:r>
      <w:r>
        <w:rPr>
          <w:rFonts w:cs="Times New Roman"/>
          <w:spacing w:val="-5"/>
          <w:sz w:val="18"/>
          <w:szCs w:val="18"/>
          <w:lang w:val="es-ES_tradnl"/>
        </w:rPr>
        <w:t>í</w:t>
      </w:r>
      <w:r>
        <w:rPr>
          <w:spacing w:val="-5"/>
          <w:sz w:val="18"/>
          <w:szCs w:val="18"/>
          <w:lang w:val="es-ES_tradnl"/>
        </w:rPr>
        <w:t xml:space="preserve">dico que integre aquellas </w:t>
      </w:r>
      <w:r>
        <w:rPr>
          <w:spacing w:val="-9"/>
          <w:sz w:val="18"/>
          <w:szCs w:val="18"/>
          <w:lang w:val="es-ES_tradnl"/>
        </w:rPr>
        <w:t>fuentes con el producto de su conocimiento y experiencia</w:t>
      </w:r>
      <w:r>
        <w:rPr>
          <w:rFonts w:cs="Times New Roman"/>
          <w:spacing w:val="-9"/>
          <w:sz w:val="18"/>
          <w:szCs w:val="18"/>
          <w:lang w:val="es-ES_tradnl"/>
        </w:rPr>
        <w:t>”</w:t>
      </w:r>
      <w:r>
        <w:rPr>
          <w:spacing w:val="-9"/>
          <w:sz w:val="18"/>
          <w:szCs w:val="18"/>
          <w:vertAlign w:val="superscript"/>
          <w:lang w:val="es-ES_tradnl"/>
        </w:rPr>
        <w:t>6</w:t>
      </w:r>
      <w:r>
        <w:rPr>
          <w:spacing w:val="-9"/>
          <w:sz w:val="18"/>
          <w:szCs w:val="18"/>
          <w:lang w:val="es-ES_tradnl"/>
        </w:rPr>
        <w:t>.</w:t>
      </w:r>
    </w:p>
    <w:p w14:paraId="4F67B14E" w14:textId="77777777" w:rsidR="00591D54" w:rsidRDefault="00591D54">
      <w:pPr>
        <w:shd w:val="clear" w:color="auto" w:fill="FFFFFF"/>
        <w:spacing w:before="192" w:line="216" w:lineRule="exact"/>
        <w:ind w:right="5"/>
        <w:jc w:val="both"/>
      </w:pPr>
      <w:r>
        <w:rPr>
          <w:spacing w:val="-9"/>
          <w:sz w:val="18"/>
          <w:szCs w:val="18"/>
          <w:lang w:val="es-ES_tradnl"/>
        </w:rPr>
        <w:t>En atenci</w:t>
      </w:r>
      <w:r>
        <w:rPr>
          <w:rFonts w:cs="Times New Roman"/>
          <w:spacing w:val="-9"/>
          <w:sz w:val="18"/>
          <w:szCs w:val="18"/>
          <w:lang w:val="es-ES_tradnl"/>
        </w:rPr>
        <w:t>ó</w:t>
      </w:r>
      <w:r>
        <w:rPr>
          <w:spacing w:val="-9"/>
          <w:sz w:val="18"/>
          <w:szCs w:val="18"/>
          <w:lang w:val="es-ES_tradnl"/>
        </w:rPr>
        <w:t xml:space="preserve">n a las perspectivas mencionadas, corresponde </w:t>
      </w:r>
      <w:r>
        <w:rPr>
          <w:spacing w:val="-5"/>
          <w:sz w:val="18"/>
          <w:szCs w:val="18"/>
          <w:lang w:val="es-ES_tradnl"/>
        </w:rPr>
        <w:t>verificar si la decisi</w:t>
      </w:r>
      <w:r>
        <w:rPr>
          <w:rFonts w:cs="Times New Roman"/>
          <w:spacing w:val="-5"/>
          <w:sz w:val="18"/>
          <w:szCs w:val="18"/>
          <w:lang w:val="es-ES_tradnl"/>
        </w:rPr>
        <w:t>ó</w:t>
      </w:r>
      <w:r>
        <w:rPr>
          <w:spacing w:val="-5"/>
          <w:sz w:val="18"/>
          <w:szCs w:val="18"/>
          <w:lang w:val="es-ES_tradnl"/>
        </w:rPr>
        <w:t xml:space="preserve">n judicial impugnada ha incorporado </w:t>
      </w:r>
      <w:r>
        <w:rPr>
          <w:spacing w:val="-6"/>
          <w:sz w:val="18"/>
          <w:szCs w:val="18"/>
          <w:lang w:val="es-ES_tradnl"/>
        </w:rPr>
        <w:t>el elemento de la l</w:t>
      </w:r>
      <w:r>
        <w:rPr>
          <w:rFonts w:cs="Times New Roman"/>
          <w:spacing w:val="-6"/>
          <w:sz w:val="18"/>
          <w:szCs w:val="18"/>
          <w:lang w:val="es-ES_tradnl"/>
        </w:rPr>
        <w:t>ó</w:t>
      </w:r>
      <w:r>
        <w:rPr>
          <w:spacing w:val="-6"/>
          <w:sz w:val="18"/>
          <w:szCs w:val="18"/>
          <w:lang w:val="es-ES_tradnl"/>
        </w:rPr>
        <w:t>gica en la motivaci</w:t>
      </w:r>
      <w:r>
        <w:rPr>
          <w:rFonts w:cs="Times New Roman"/>
          <w:spacing w:val="-6"/>
          <w:sz w:val="18"/>
          <w:szCs w:val="18"/>
          <w:lang w:val="es-ES_tradnl"/>
        </w:rPr>
        <w:t>ó</w:t>
      </w:r>
      <w:r>
        <w:rPr>
          <w:spacing w:val="-6"/>
          <w:sz w:val="18"/>
          <w:szCs w:val="18"/>
          <w:lang w:val="es-ES_tradnl"/>
        </w:rPr>
        <w:t xml:space="preserve">n. Para analizar </w:t>
      </w:r>
      <w:r>
        <w:rPr>
          <w:spacing w:val="-9"/>
          <w:sz w:val="18"/>
          <w:szCs w:val="18"/>
          <w:lang w:val="es-ES_tradnl"/>
        </w:rPr>
        <w:t xml:space="preserve">aquello, es necesario detallar de modo general las premisas </w:t>
      </w:r>
      <w:r>
        <w:rPr>
          <w:spacing w:val="-8"/>
          <w:sz w:val="18"/>
          <w:szCs w:val="18"/>
          <w:lang w:val="es-ES_tradnl"/>
        </w:rPr>
        <w:t>que el juzgador determin</w:t>
      </w:r>
      <w:r>
        <w:rPr>
          <w:rFonts w:cs="Times New Roman"/>
          <w:spacing w:val="-8"/>
          <w:sz w:val="18"/>
          <w:szCs w:val="18"/>
          <w:lang w:val="es-ES_tradnl"/>
        </w:rPr>
        <w:t>ó</w:t>
      </w:r>
      <w:r>
        <w:rPr>
          <w:spacing w:val="-8"/>
          <w:sz w:val="18"/>
          <w:szCs w:val="18"/>
          <w:lang w:val="es-ES_tradnl"/>
        </w:rPr>
        <w:t xml:space="preserve"> para luego argumentar en la </w:t>
      </w:r>
      <w:r>
        <w:rPr>
          <w:sz w:val="18"/>
          <w:szCs w:val="18"/>
          <w:lang w:val="es-ES_tradnl"/>
        </w:rPr>
        <w:t>sentencia.</w:t>
      </w:r>
    </w:p>
    <w:p w14:paraId="4F67B14F" w14:textId="77777777" w:rsidR="00591D54" w:rsidRDefault="00591D54">
      <w:pPr>
        <w:shd w:val="clear" w:color="auto" w:fill="FFFFFF"/>
        <w:tabs>
          <w:tab w:val="left" w:pos="144"/>
        </w:tabs>
        <w:spacing w:before="413" w:line="182" w:lineRule="exact"/>
        <w:ind w:left="144" w:hanging="144"/>
      </w:pPr>
      <w:r>
        <w:rPr>
          <w:sz w:val="10"/>
          <w:szCs w:val="10"/>
          <w:vertAlign w:val="superscript"/>
          <w:lang w:val="es-ES_tradnl"/>
        </w:rPr>
        <w:t>5</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No.</w:t>
      </w:r>
      <w:r>
        <w:rPr>
          <w:sz w:val="18"/>
          <w:szCs w:val="18"/>
          <w:lang w:val="es-ES_tradnl"/>
        </w:rPr>
        <w:t xml:space="preserve"> </w:t>
      </w:r>
      <w:r>
        <w:rPr>
          <w:sz w:val="14"/>
          <w:szCs w:val="14"/>
          <w:lang w:val="es-ES_tradnl"/>
        </w:rPr>
        <w:t>231-14-SEP-CC, </w:t>
      </w:r>
      <w:r>
        <w:rPr>
          <w:spacing w:val="-2"/>
          <w:sz w:val="14"/>
          <w:szCs w:val="14"/>
          <w:lang w:val="es-ES_tradnl"/>
        </w:rPr>
        <w:t>caso No. 589-13-EP, expedida el 17 de diciembre del 2014.</w:t>
      </w:r>
    </w:p>
    <w:p w14:paraId="4F67B150" w14:textId="77777777" w:rsidR="00591D54" w:rsidRDefault="00591D54">
      <w:pPr>
        <w:shd w:val="clear" w:color="auto" w:fill="FFFFFF"/>
        <w:tabs>
          <w:tab w:val="left" w:pos="144"/>
        </w:tabs>
        <w:spacing w:before="149" w:line="178" w:lineRule="exact"/>
        <w:ind w:left="144" w:hanging="144"/>
      </w:pPr>
      <w:r>
        <w:rPr>
          <w:sz w:val="10"/>
          <w:szCs w:val="10"/>
          <w:vertAlign w:val="superscript"/>
          <w:lang w:val="es-ES_tradnl"/>
        </w:rPr>
        <w:t>6</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No.</w:t>
      </w:r>
      <w:r>
        <w:rPr>
          <w:sz w:val="18"/>
          <w:szCs w:val="18"/>
          <w:lang w:val="es-ES_tradnl"/>
        </w:rPr>
        <w:t xml:space="preserve"> </w:t>
      </w:r>
      <w:r>
        <w:rPr>
          <w:sz w:val="14"/>
          <w:szCs w:val="14"/>
          <w:lang w:val="es-ES_tradnl"/>
        </w:rPr>
        <w:t>201-14-SEP-CC, </w:t>
      </w:r>
      <w:r>
        <w:rPr>
          <w:spacing w:val="-3"/>
          <w:sz w:val="14"/>
          <w:szCs w:val="14"/>
          <w:lang w:val="es-ES_tradnl"/>
        </w:rPr>
        <w:t>caso No. 1350-12-EP, de 13 de noviembre de 2014.</w:t>
      </w:r>
    </w:p>
    <w:p w14:paraId="4F67B151" w14:textId="77777777" w:rsidR="00591D54" w:rsidRDefault="00591D54">
      <w:pPr>
        <w:shd w:val="clear" w:color="auto" w:fill="FFFFFF"/>
        <w:tabs>
          <w:tab w:val="left" w:pos="144"/>
        </w:tabs>
        <w:spacing w:before="149" w:line="178" w:lineRule="exact"/>
        <w:ind w:left="144" w:hanging="144"/>
        <w:sectPr w:rsidR="00591D54">
          <w:type w:val="continuous"/>
          <w:pgSz w:w="11909" w:h="16834"/>
          <w:pgMar w:top="1356" w:right="1304" w:bottom="360" w:left="1308" w:header="720" w:footer="720" w:gutter="0"/>
          <w:cols w:num="2" w:space="720" w:equalWidth="0">
            <w:col w:w="4305" w:space="682"/>
            <w:col w:w="4310"/>
          </w:cols>
          <w:noEndnote/>
        </w:sectPr>
      </w:pPr>
    </w:p>
    <w:p w14:paraId="4F67B152"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- 169</w:t>
      </w:r>
    </w:p>
    <w:p w14:paraId="4F67B153" w14:textId="77777777" w:rsidR="00591D54" w:rsidRDefault="00591D54">
      <w:pPr>
        <w:shd w:val="clear" w:color="auto" w:fill="FFFFFF"/>
        <w:tabs>
          <w:tab w:val="left" w:pos="5842"/>
        </w:tabs>
        <w:spacing w:after="235"/>
        <w:ind w:left="5"/>
        <w:sectPr w:rsidR="00591D54">
          <w:pgSz w:w="11909" w:h="16834"/>
          <w:pgMar w:top="1356" w:right="1309" w:bottom="360" w:left="1308" w:header="720" w:footer="720" w:gutter="0"/>
          <w:cols w:space="60"/>
          <w:noEndnote/>
        </w:sectPr>
      </w:pPr>
    </w:p>
    <w:p w14:paraId="4F67B154" w14:textId="77777777" w:rsidR="00591D54" w:rsidRDefault="00591D54">
      <w:pPr>
        <w:shd w:val="clear" w:color="auto" w:fill="FFFFFF"/>
        <w:spacing w:line="216" w:lineRule="exact"/>
        <w:jc w:val="both"/>
      </w:pPr>
      <w:r>
        <w:rPr>
          <w:spacing w:val="-9"/>
          <w:sz w:val="18"/>
          <w:szCs w:val="18"/>
          <w:lang w:val="es-ES_tradnl"/>
        </w:rPr>
        <w:t>En el considerando cuarto de la decisi</w:t>
      </w:r>
      <w:r>
        <w:rPr>
          <w:rFonts w:cs="Times New Roman"/>
          <w:spacing w:val="-9"/>
          <w:sz w:val="18"/>
          <w:szCs w:val="18"/>
          <w:lang w:val="es-ES_tradnl"/>
        </w:rPr>
        <w:t>ó</w:t>
      </w:r>
      <w:r>
        <w:rPr>
          <w:spacing w:val="-9"/>
          <w:sz w:val="18"/>
          <w:szCs w:val="18"/>
          <w:lang w:val="es-ES_tradnl"/>
        </w:rPr>
        <w:t xml:space="preserve">n judicial se observa </w:t>
      </w:r>
      <w:r>
        <w:rPr>
          <w:spacing w:val="-8"/>
          <w:sz w:val="18"/>
          <w:szCs w:val="18"/>
          <w:lang w:val="es-ES_tradnl"/>
        </w:rPr>
        <w:t>que los jueces de casaci</w:t>
      </w:r>
      <w:r>
        <w:rPr>
          <w:rFonts w:cs="Times New Roman"/>
          <w:spacing w:val="-8"/>
          <w:sz w:val="18"/>
          <w:szCs w:val="18"/>
          <w:lang w:val="es-ES_tradnl"/>
        </w:rPr>
        <w:t>ó</w:t>
      </w:r>
      <w:r>
        <w:rPr>
          <w:spacing w:val="-8"/>
          <w:sz w:val="18"/>
          <w:szCs w:val="18"/>
          <w:lang w:val="es-ES_tradnl"/>
        </w:rPr>
        <w:t xml:space="preserve">n fijan las premisas que son: </w:t>
      </w:r>
      <w:r>
        <w:rPr>
          <w:b/>
          <w:bCs/>
          <w:spacing w:val="-8"/>
          <w:sz w:val="18"/>
          <w:szCs w:val="18"/>
          <w:lang w:val="es-ES_tradnl"/>
        </w:rPr>
        <w:t xml:space="preserve">a) </w:t>
      </w:r>
      <w:r>
        <w:rPr>
          <w:spacing w:val="-6"/>
          <w:sz w:val="18"/>
          <w:szCs w:val="18"/>
          <w:lang w:val="es-ES_tradnl"/>
        </w:rPr>
        <w:t>Acusaci</w:t>
      </w:r>
      <w:r>
        <w:rPr>
          <w:rFonts w:cs="Times New Roman"/>
          <w:spacing w:val="-6"/>
          <w:sz w:val="18"/>
          <w:szCs w:val="18"/>
          <w:lang w:val="es-ES_tradnl"/>
        </w:rPr>
        <w:t>ó</w:t>
      </w:r>
      <w:r>
        <w:rPr>
          <w:spacing w:val="-6"/>
          <w:sz w:val="18"/>
          <w:szCs w:val="18"/>
          <w:lang w:val="es-ES_tradnl"/>
        </w:rPr>
        <w:t xml:space="preserve">n del fallo del Tribunal de Alzada por no haber </w:t>
      </w:r>
      <w:r>
        <w:rPr>
          <w:spacing w:val="-8"/>
          <w:sz w:val="18"/>
          <w:szCs w:val="18"/>
          <w:lang w:val="es-ES_tradnl"/>
        </w:rPr>
        <w:t>valorado la confesi</w:t>
      </w:r>
      <w:r>
        <w:rPr>
          <w:rFonts w:cs="Times New Roman"/>
          <w:spacing w:val="-8"/>
          <w:sz w:val="18"/>
          <w:szCs w:val="18"/>
          <w:lang w:val="es-ES_tradnl"/>
        </w:rPr>
        <w:t>ó</w:t>
      </w:r>
      <w:r>
        <w:rPr>
          <w:spacing w:val="-8"/>
          <w:sz w:val="18"/>
          <w:szCs w:val="18"/>
          <w:lang w:val="es-ES_tradnl"/>
        </w:rPr>
        <w:t>n ficta del demandado Pa</w:t>
      </w:r>
      <w:r>
        <w:rPr>
          <w:rFonts w:cs="Times New Roman"/>
          <w:spacing w:val="-8"/>
          <w:sz w:val="18"/>
          <w:szCs w:val="18"/>
          <w:lang w:val="es-ES_tradnl"/>
        </w:rPr>
        <w:t>ú</w:t>
      </w:r>
      <w:r>
        <w:rPr>
          <w:spacing w:val="-8"/>
          <w:sz w:val="18"/>
          <w:szCs w:val="18"/>
          <w:lang w:val="es-ES_tradnl"/>
        </w:rPr>
        <w:t xml:space="preserve">l Alexander </w:t>
      </w:r>
      <w:r>
        <w:rPr>
          <w:spacing w:val="-5"/>
          <w:sz w:val="18"/>
          <w:szCs w:val="18"/>
          <w:lang w:val="es-ES_tradnl"/>
        </w:rPr>
        <w:t xml:space="preserve">Sonnenholzner para considerar el despido intempestivo </w:t>
      </w:r>
      <w:r>
        <w:rPr>
          <w:spacing w:val="-7"/>
          <w:sz w:val="18"/>
          <w:szCs w:val="18"/>
          <w:lang w:val="es-ES_tradnl"/>
        </w:rPr>
        <w:t xml:space="preserve">que afirma el demandante y </w:t>
      </w:r>
      <w:r>
        <w:rPr>
          <w:b/>
          <w:bCs/>
          <w:spacing w:val="-7"/>
          <w:sz w:val="18"/>
          <w:szCs w:val="18"/>
          <w:lang w:val="es-ES_tradnl"/>
        </w:rPr>
        <w:t xml:space="preserve">b) </w:t>
      </w:r>
      <w:r>
        <w:rPr>
          <w:spacing w:val="-7"/>
          <w:sz w:val="18"/>
          <w:szCs w:val="18"/>
          <w:lang w:val="es-ES_tradnl"/>
        </w:rPr>
        <w:t>Valoraci</w:t>
      </w:r>
      <w:r>
        <w:rPr>
          <w:rFonts w:cs="Times New Roman"/>
          <w:spacing w:val="-7"/>
          <w:sz w:val="18"/>
          <w:szCs w:val="18"/>
          <w:lang w:val="es-ES_tradnl"/>
        </w:rPr>
        <w:t>ó</w:t>
      </w:r>
      <w:r>
        <w:rPr>
          <w:spacing w:val="-7"/>
          <w:sz w:val="18"/>
          <w:szCs w:val="18"/>
          <w:lang w:val="es-ES_tradnl"/>
        </w:rPr>
        <w:t>n de la confesi</w:t>
      </w:r>
      <w:r>
        <w:rPr>
          <w:rFonts w:cs="Times New Roman"/>
          <w:spacing w:val="-7"/>
          <w:sz w:val="18"/>
          <w:szCs w:val="18"/>
          <w:lang w:val="es-ES_tradnl"/>
        </w:rPr>
        <w:t>ó</w:t>
      </w:r>
      <w:r>
        <w:rPr>
          <w:spacing w:val="-7"/>
          <w:sz w:val="18"/>
          <w:szCs w:val="18"/>
          <w:lang w:val="es-ES_tradnl"/>
        </w:rPr>
        <w:t xml:space="preserve">n </w:t>
      </w:r>
      <w:r>
        <w:rPr>
          <w:spacing w:val="-9"/>
          <w:sz w:val="18"/>
          <w:szCs w:val="18"/>
          <w:lang w:val="es-ES_tradnl"/>
        </w:rPr>
        <w:t xml:space="preserve">rendida por la demandada Marcia Isabel Navia Alverdi para </w:t>
      </w:r>
      <w:r>
        <w:rPr>
          <w:spacing w:val="-6"/>
          <w:sz w:val="18"/>
          <w:szCs w:val="18"/>
          <w:lang w:val="es-ES_tradnl"/>
        </w:rPr>
        <w:t>el reconocimiento del derecho a la jubilaci</w:t>
      </w:r>
      <w:r>
        <w:rPr>
          <w:rFonts w:cs="Times New Roman"/>
          <w:spacing w:val="-6"/>
          <w:sz w:val="18"/>
          <w:szCs w:val="18"/>
          <w:lang w:val="es-ES_tradnl"/>
        </w:rPr>
        <w:t>ó</w:t>
      </w:r>
      <w:r>
        <w:rPr>
          <w:spacing w:val="-6"/>
          <w:sz w:val="18"/>
          <w:szCs w:val="18"/>
          <w:lang w:val="es-ES_tradnl"/>
        </w:rPr>
        <w:t xml:space="preserve">n patronal por </w:t>
      </w:r>
      <w:r>
        <w:rPr>
          <w:sz w:val="18"/>
          <w:szCs w:val="18"/>
          <w:lang w:val="es-ES_tradnl"/>
        </w:rPr>
        <w:t>despido intempestivo.</w:t>
      </w:r>
    </w:p>
    <w:p w14:paraId="4F67B155" w14:textId="77777777" w:rsidR="00591D54" w:rsidRDefault="00591D54">
      <w:pPr>
        <w:shd w:val="clear" w:color="auto" w:fill="FFFFFF"/>
        <w:spacing w:before="197" w:line="216" w:lineRule="exact"/>
        <w:jc w:val="both"/>
      </w:pPr>
      <w:r>
        <w:rPr>
          <w:spacing w:val="-8"/>
          <w:sz w:val="18"/>
          <w:szCs w:val="18"/>
          <w:lang w:val="es-ES_tradnl"/>
        </w:rPr>
        <w:t>Previo a verificar la primera premisa, conviene se</w:t>
      </w:r>
      <w:r>
        <w:rPr>
          <w:rFonts w:cs="Times New Roman"/>
          <w:spacing w:val="-8"/>
          <w:sz w:val="18"/>
          <w:szCs w:val="18"/>
          <w:lang w:val="es-ES_tradnl"/>
        </w:rPr>
        <w:t>ñ</w:t>
      </w:r>
      <w:r>
        <w:rPr>
          <w:spacing w:val="-8"/>
          <w:sz w:val="18"/>
          <w:szCs w:val="18"/>
          <w:lang w:val="es-ES_tradnl"/>
        </w:rPr>
        <w:t xml:space="preserve">alar que </w:t>
      </w:r>
      <w:r>
        <w:rPr>
          <w:spacing w:val="-9"/>
          <w:sz w:val="18"/>
          <w:szCs w:val="18"/>
          <w:lang w:val="es-ES_tradnl"/>
        </w:rPr>
        <w:t>el recurso extraordinario de casaci</w:t>
      </w:r>
      <w:r>
        <w:rPr>
          <w:rFonts w:cs="Times New Roman"/>
          <w:spacing w:val="-9"/>
          <w:sz w:val="18"/>
          <w:szCs w:val="18"/>
          <w:lang w:val="es-ES_tradnl"/>
        </w:rPr>
        <w:t>ó</w:t>
      </w:r>
      <w:r>
        <w:rPr>
          <w:spacing w:val="-9"/>
          <w:sz w:val="18"/>
          <w:szCs w:val="18"/>
          <w:lang w:val="es-ES_tradnl"/>
        </w:rPr>
        <w:t xml:space="preserve">n se limita al examen de </w:t>
      </w:r>
      <w:r>
        <w:rPr>
          <w:spacing w:val="-8"/>
          <w:sz w:val="18"/>
          <w:szCs w:val="18"/>
          <w:lang w:val="es-ES_tradnl"/>
        </w:rPr>
        <w:t xml:space="preserve">constitucionalidad y legalidad de la sentencia expedida por </w:t>
      </w:r>
      <w:r>
        <w:rPr>
          <w:spacing w:val="-9"/>
          <w:sz w:val="18"/>
          <w:szCs w:val="18"/>
          <w:lang w:val="es-ES_tradnl"/>
        </w:rPr>
        <w:t xml:space="preserve">el Tribunal o Corte de Alzada de </w:t>
      </w:r>
      <w:r>
        <w:rPr>
          <w:rFonts w:cs="Times New Roman"/>
          <w:spacing w:val="-9"/>
          <w:sz w:val="18"/>
          <w:szCs w:val="18"/>
          <w:lang w:val="es-ES_tradnl"/>
        </w:rPr>
        <w:t>ú</w:t>
      </w:r>
      <w:r>
        <w:rPr>
          <w:spacing w:val="-9"/>
          <w:sz w:val="18"/>
          <w:szCs w:val="18"/>
          <w:lang w:val="es-ES_tradnl"/>
        </w:rPr>
        <w:t xml:space="preserve">ltima y definitiva instancia </w:t>
      </w:r>
      <w:r>
        <w:rPr>
          <w:spacing w:val="-11"/>
          <w:sz w:val="18"/>
          <w:szCs w:val="18"/>
          <w:lang w:val="es-ES_tradnl"/>
        </w:rPr>
        <w:t>a trav</w:t>
      </w:r>
      <w:r>
        <w:rPr>
          <w:rFonts w:cs="Times New Roman"/>
          <w:spacing w:val="-11"/>
          <w:sz w:val="18"/>
          <w:szCs w:val="18"/>
          <w:lang w:val="es-ES_tradnl"/>
        </w:rPr>
        <w:t>é</w:t>
      </w:r>
      <w:r>
        <w:rPr>
          <w:spacing w:val="-11"/>
          <w:sz w:val="18"/>
          <w:szCs w:val="18"/>
          <w:lang w:val="es-ES_tradnl"/>
        </w:rPr>
        <w:t>s de una o m</w:t>
      </w:r>
      <w:r>
        <w:rPr>
          <w:rFonts w:cs="Times New Roman"/>
          <w:spacing w:val="-11"/>
          <w:sz w:val="18"/>
          <w:szCs w:val="18"/>
          <w:lang w:val="es-ES_tradnl"/>
        </w:rPr>
        <w:t>á</w:t>
      </w:r>
      <w:r>
        <w:rPr>
          <w:spacing w:val="-11"/>
          <w:sz w:val="18"/>
          <w:szCs w:val="18"/>
          <w:lang w:val="es-ES_tradnl"/>
        </w:rPr>
        <w:t>s causales que se</w:t>
      </w:r>
      <w:r>
        <w:rPr>
          <w:rFonts w:cs="Times New Roman"/>
          <w:spacing w:val="-11"/>
          <w:sz w:val="18"/>
          <w:szCs w:val="18"/>
          <w:lang w:val="es-ES_tradnl"/>
        </w:rPr>
        <w:t>ñ</w:t>
      </w:r>
      <w:r>
        <w:rPr>
          <w:spacing w:val="-11"/>
          <w:sz w:val="18"/>
          <w:szCs w:val="18"/>
          <w:lang w:val="es-ES_tradnl"/>
        </w:rPr>
        <w:t xml:space="preserve">ala para el efecto, en </w:t>
      </w:r>
      <w:r>
        <w:rPr>
          <w:spacing w:val="-8"/>
          <w:sz w:val="18"/>
          <w:szCs w:val="18"/>
          <w:lang w:val="es-ES_tradnl"/>
        </w:rPr>
        <w:t xml:space="preserve">la ley pertinente de la materia, en procura de la defensa del </w:t>
      </w:r>
      <w:r>
        <w:rPr>
          <w:spacing w:val="-7"/>
          <w:sz w:val="18"/>
          <w:szCs w:val="18"/>
          <w:lang w:val="es-ES_tradnl"/>
        </w:rPr>
        <w:t xml:space="preserve">derecho objetivo contra cualquier tipo de abuso de poder </w:t>
      </w:r>
      <w:r>
        <w:rPr>
          <w:spacing w:val="-5"/>
          <w:sz w:val="18"/>
          <w:szCs w:val="18"/>
          <w:lang w:val="es-ES_tradnl"/>
        </w:rPr>
        <w:t xml:space="preserve">desde el ejercicio de la potestad jurisdiccional, y junto a </w:t>
      </w:r>
      <w:r>
        <w:rPr>
          <w:spacing w:val="-10"/>
          <w:sz w:val="18"/>
          <w:szCs w:val="18"/>
          <w:lang w:val="es-ES_tradnl"/>
        </w:rPr>
        <w:t xml:space="preserve">esta enorme responsabilidad, la de unificar la jurisprudencia </w:t>
      </w:r>
      <w:r>
        <w:rPr>
          <w:spacing w:val="-3"/>
          <w:sz w:val="18"/>
          <w:szCs w:val="18"/>
          <w:lang w:val="es-ES_tradnl"/>
        </w:rPr>
        <w:t>(art</w:t>
      </w:r>
      <w:r>
        <w:rPr>
          <w:rFonts w:cs="Times New Roman"/>
          <w:spacing w:val="-3"/>
          <w:sz w:val="18"/>
          <w:szCs w:val="18"/>
          <w:lang w:val="es-ES_tradnl"/>
        </w:rPr>
        <w:t>í</w:t>
      </w:r>
      <w:r>
        <w:rPr>
          <w:spacing w:val="-3"/>
          <w:sz w:val="18"/>
          <w:szCs w:val="18"/>
          <w:lang w:val="es-ES_tradnl"/>
        </w:rPr>
        <w:t>culo 19 de la Ley de Casaci</w:t>
      </w:r>
      <w:r>
        <w:rPr>
          <w:rFonts w:cs="Times New Roman"/>
          <w:spacing w:val="-3"/>
          <w:sz w:val="18"/>
          <w:szCs w:val="18"/>
          <w:lang w:val="es-ES_tradnl"/>
        </w:rPr>
        <w:t>ó</w:t>
      </w:r>
      <w:r>
        <w:rPr>
          <w:spacing w:val="-3"/>
          <w:sz w:val="18"/>
          <w:szCs w:val="18"/>
          <w:lang w:val="es-ES_tradnl"/>
        </w:rPr>
        <w:t>n, ahora derogada por el C</w:t>
      </w:r>
      <w:r>
        <w:rPr>
          <w:rFonts w:cs="Times New Roman"/>
          <w:spacing w:val="-3"/>
          <w:sz w:val="18"/>
          <w:szCs w:val="18"/>
          <w:lang w:val="es-ES_tradnl"/>
        </w:rPr>
        <w:t>ó</w:t>
      </w:r>
      <w:r>
        <w:rPr>
          <w:spacing w:val="-3"/>
          <w:sz w:val="18"/>
          <w:szCs w:val="18"/>
          <w:lang w:val="es-ES_tradnl"/>
        </w:rPr>
        <w:t>digo Org</w:t>
      </w:r>
      <w:r>
        <w:rPr>
          <w:rFonts w:cs="Times New Roman"/>
          <w:spacing w:val="-3"/>
          <w:sz w:val="18"/>
          <w:szCs w:val="18"/>
          <w:lang w:val="es-ES_tradnl"/>
        </w:rPr>
        <w:t>á</w:t>
      </w:r>
      <w:r>
        <w:rPr>
          <w:spacing w:val="-3"/>
          <w:sz w:val="18"/>
          <w:szCs w:val="18"/>
          <w:lang w:val="es-ES_tradnl"/>
        </w:rPr>
        <w:t xml:space="preserve">nica General de Procesos). Esta labor </w:t>
      </w:r>
      <w:r>
        <w:rPr>
          <w:i/>
          <w:iCs/>
          <w:spacing w:val="-6"/>
          <w:sz w:val="18"/>
          <w:szCs w:val="18"/>
          <w:lang w:val="es-ES_tradnl"/>
        </w:rPr>
        <w:t xml:space="preserve">prima facie </w:t>
      </w:r>
      <w:r>
        <w:rPr>
          <w:spacing w:val="-6"/>
          <w:sz w:val="18"/>
          <w:szCs w:val="18"/>
          <w:lang w:val="es-ES_tradnl"/>
        </w:rPr>
        <w:t>proh</w:t>
      </w:r>
      <w:r>
        <w:rPr>
          <w:rFonts w:cs="Times New Roman"/>
          <w:spacing w:val="-6"/>
          <w:sz w:val="18"/>
          <w:szCs w:val="18"/>
          <w:lang w:val="es-ES_tradnl"/>
        </w:rPr>
        <w:t>í</w:t>
      </w:r>
      <w:r>
        <w:rPr>
          <w:spacing w:val="-6"/>
          <w:sz w:val="18"/>
          <w:szCs w:val="18"/>
          <w:lang w:val="es-ES_tradnl"/>
        </w:rPr>
        <w:t xml:space="preserve">be tanto al recurrente como al juzgador </w:t>
      </w:r>
      <w:r>
        <w:rPr>
          <w:spacing w:val="-7"/>
          <w:sz w:val="18"/>
          <w:szCs w:val="18"/>
          <w:lang w:val="es-ES_tradnl"/>
        </w:rPr>
        <w:t>referirse o volver a estudiar la prueba, su valoraci</w:t>
      </w:r>
      <w:r>
        <w:rPr>
          <w:rFonts w:cs="Times New Roman"/>
          <w:spacing w:val="-7"/>
          <w:sz w:val="18"/>
          <w:szCs w:val="18"/>
          <w:lang w:val="es-ES_tradnl"/>
        </w:rPr>
        <w:t>ó</w:t>
      </w:r>
      <w:r>
        <w:rPr>
          <w:spacing w:val="-7"/>
          <w:sz w:val="18"/>
          <w:szCs w:val="18"/>
          <w:lang w:val="es-ES_tradnl"/>
        </w:rPr>
        <w:t xml:space="preserve">n, toda </w:t>
      </w:r>
      <w:r>
        <w:rPr>
          <w:spacing w:val="-8"/>
          <w:sz w:val="18"/>
          <w:szCs w:val="18"/>
          <w:lang w:val="es-ES_tradnl"/>
        </w:rPr>
        <w:t xml:space="preserve">vez que, por su naturaleza, no cuentan con facultades para </w:t>
      </w:r>
      <w:r>
        <w:rPr>
          <w:spacing w:val="-10"/>
          <w:sz w:val="18"/>
          <w:szCs w:val="18"/>
          <w:lang w:val="es-ES_tradnl"/>
        </w:rPr>
        <w:t xml:space="preserve">examinar nuevamente los medios probatorios que ya fueron </w:t>
      </w:r>
      <w:r>
        <w:rPr>
          <w:spacing w:val="-7"/>
          <w:sz w:val="18"/>
          <w:szCs w:val="18"/>
          <w:lang w:val="es-ES_tradnl"/>
        </w:rPr>
        <w:t xml:space="preserve">calificados por los jueces de instancia, por lo tanto, resulta </w:t>
      </w:r>
      <w:r>
        <w:rPr>
          <w:spacing w:val="-9"/>
          <w:sz w:val="18"/>
          <w:szCs w:val="18"/>
          <w:lang w:val="es-ES_tradnl"/>
        </w:rPr>
        <w:t xml:space="preserve">improcedente las pretensiones tendientes a volver a valorar </w:t>
      </w:r>
      <w:r>
        <w:rPr>
          <w:spacing w:val="-7"/>
          <w:sz w:val="18"/>
          <w:szCs w:val="18"/>
          <w:lang w:val="es-ES_tradnl"/>
        </w:rPr>
        <w:t>la prueba, ya que la casaci</w:t>
      </w:r>
      <w:r>
        <w:rPr>
          <w:rFonts w:cs="Times New Roman"/>
          <w:spacing w:val="-7"/>
          <w:sz w:val="18"/>
          <w:szCs w:val="18"/>
          <w:lang w:val="es-ES_tradnl"/>
        </w:rPr>
        <w:t>ó</w:t>
      </w:r>
      <w:r>
        <w:rPr>
          <w:spacing w:val="-7"/>
          <w:sz w:val="18"/>
          <w:szCs w:val="18"/>
          <w:lang w:val="es-ES_tradnl"/>
        </w:rPr>
        <w:t xml:space="preserve">n no da lugar a una instancia, </w:t>
      </w:r>
      <w:r>
        <w:rPr>
          <w:spacing w:val="-9"/>
          <w:sz w:val="18"/>
          <w:szCs w:val="18"/>
          <w:lang w:val="es-ES_tradnl"/>
        </w:rPr>
        <w:t xml:space="preserve">como sucede con las apelaciones de la sentencia de primer </w:t>
      </w:r>
      <w:r>
        <w:rPr>
          <w:sz w:val="18"/>
          <w:szCs w:val="18"/>
          <w:lang w:val="es-ES_tradnl"/>
        </w:rPr>
        <w:t>nivel.</w:t>
      </w:r>
    </w:p>
    <w:p w14:paraId="4F67B156" w14:textId="77777777" w:rsidR="00591D54" w:rsidRDefault="00591D54">
      <w:pPr>
        <w:shd w:val="clear" w:color="auto" w:fill="FFFFFF"/>
        <w:spacing w:before="197" w:line="216" w:lineRule="exact"/>
        <w:ind w:right="5"/>
        <w:jc w:val="both"/>
      </w:pPr>
      <w:r>
        <w:rPr>
          <w:spacing w:val="-1"/>
          <w:sz w:val="18"/>
          <w:szCs w:val="18"/>
          <w:lang w:val="es-ES_tradnl"/>
        </w:rPr>
        <w:t xml:space="preserve">En tal virtud, los jueces nacionales se encuentran </w:t>
      </w:r>
      <w:r>
        <w:rPr>
          <w:spacing w:val="-3"/>
          <w:sz w:val="18"/>
          <w:szCs w:val="18"/>
          <w:lang w:val="es-ES_tradnl"/>
        </w:rPr>
        <w:t>prohibidos para realizar una nueva valoraci</w:t>
      </w:r>
      <w:r>
        <w:rPr>
          <w:rFonts w:cs="Times New Roman"/>
          <w:spacing w:val="-3"/>
          <w:sz w:val="18"/>
          <w:szCs w:val="18"/>
          <w:lang w:val="es-ES_tradnl"/>
        </w:rPr>
        <w:t>ó</w:t>
      </w:r>
      <w:r>
        <w:rPr>
          <w:spacing w:val="-3"/>
          <w:sz w:val="18"/>
          <w:szCs w:val="18"/>
          <w:lang w:val="es-ES_tradnl"/>
        </w:rPr>
        <w:t xml:space="preserve">n de las </w:t>
      </w:r>
      <w:r>
        <w:rPr>
          <w:spacing w:val="-8"/>
          <w:sz w:val="18"/>
          <w:szCs w:val="18"/>
          <w:lang w:val="es-ES_tradnl"/>
        </w:rPr>
        <w:t>pruebas aportadas por las partes procesales, en raz</w:t>
      </w:r>
      <w:r>
        <w:rPr>
          <w:rFonts w:cs="Times New Roman"/>
          <w:spacing w:val="-8"/>
          <w:sz w:val="18"/>
          <w:szCs w:val="18"/>
          <w:lang w:val="es-ES_tradnl"/>
        </w:rPr>
        <w:t>ó</w:t>
      </w:r>
      <w:r>
        <w:rPr>
          <w:spacing w:val="-8"/>
          <w:sz w:val="18"/>
          <w:szCs w:val="18"/>
          <w:lang w:val="es-ES_tradnl"/>
        </w:rPr>
        <w:t xml:space="preserve">n de </w:t>
      </w:r>
      <w:r>
        <w:rPr>
          <w:spacing w:val="-10"/>
          <w:sz w:val="18"/>
          <w:szCs w:val="18"/>
          <w:lang w:val="es-ES_tradnl"/>
        </w:rPr>
        <w:t>que estas, en su momento, ya tuvieron una apreciaci</w:t>
      </w:r>
      <w:r>
        <w:rPr>
          <w:rFonts w:cs="Times New Roman"/>
          <w:spacing w:val="-10"/>
          <w:sz w:val="18"/>
          <w:szCs w:val="18"/>
          <w:lang w:val="es-ES_tradnl"/>
        </w:rPr>
        <w:t>ó</w:t>
      </w:r>
      <w:r>
        <w:rPr>
          <w:spacing w:val="-10"/>
          <w:sz w:val="18"/>
          <w:szCs w:val="18"/>
          <w:lang w:val="es-ES_tradnl"/>
        </w:rPr>
        <w:t xml:space="preserve">n y un </w:t>
      </w:r>
      <w:r>
        <w:rPr>
          <w:spacing w:val="-7"/>
          <w:sz w:val="18"/>
          <w:szCs w:val="18"/>
          <w:lang w:val="es-ES_tradnl"/>
        </w:rPr>
        <w:t xml:space="preserve">pronunciamiento por parte de los juzgadores de instancia; </w:t>
      </w:r>
      <w:r>
        <w:rPr>
          <w:spacing w:val="-4"/>
          <w:sz w:val="18"/>
          <w:szCs w:val="18"/>
          <w:lang w:val="es-ES_tradnl"/>
        </w:rPr>
        <w:t>esta prohibici</w:t>
      </w:r>
      <w:r>
        <w:rPr>
          <w:rFonts w:cs="Times New Roman"/>
          <w:spacing w:val="-4"/>
          <w:sz w:val="18"/>
          <w:szCs w:val="18"/>
          <w:lang w:val="es-ES_tradnl"/>
        </w:rPr>
        <w:t>ó</w:t>
      </w:r>
      <w:r>
        <w:rPr>
          <w:spacing w:val="-4"/>
          <w:sz w:val="18"/>
          <w:szCs w:val="18"/>
          <w:lang w:val="es-ES_tradnl"/>
        </w:rPr>
        <w:t xml:space="preserve">n tiene </w:t>
      </w:r>
      <w:r>
        <w:rPr>
          <w:rFonts w:cs="Times New Roman"/>
          <w:spacing w:val="-4"/>
          <w:sz w:val="18"/>
          <w:szCs w:val="18"/>
          <w:lang w:val="es-ES_tradnl"/>
        </w:rPr>
        <w:t>í</w:t>
      </w:r>
      <w:r>
        <w:rPr>
          <w:spacing w:val="-4"/>
          <w:sz w:val="18"/>
          <w:szCs w:val="18"/>
          <w:lang w:val="es-ES_tradnl"/>
        </w:rPr>
        <w:t>ntima relaci</w:t>
      </w:r>
      <w:r>
        <w:rPr>
          <w:rFonts w:cs="Times New Roman"/>
          <w:spacing w:val="-4"/>
          <w:sz w:val="18"/>
          <w:szCs w:val="18"/>
          <w:lang w:val="es-ES_tradnl"/>
        </w:rPr>
        <w:t>ó</w:t>
      </w:r>
      <w:r>
        <w:rPr>
          <w:spacing w:val="-4"/>
          <w:sz w:val="18"/>
          <w:szCs w:val="18"/>
          <w:lang w:val="es-ES_tradnl"/>
        </w:rPr>
        <w:t xml:space="preserve">n con el principio de </w:t>
      </w:r>
      <w:r>
        <w:rPr>
          <w:spacing w:val="-6"/>
          <w:sz w:val="18"/>
          <w:szCs w:val="18"/>
          <w:lang w:val="es-ES_tradnl"/>
        </w:rPr>
        <w:t>independencia interna previsto en el art</w:t>
      </w:r>
      <w:r>
        <w:rPr>
          <w:rFonts w:cs="Times New Roman"/>
          <w:spacing w:val="-6"/>
          <w:sz w:val="18"/>
          <w:szCs w:val="18"/>
          <w:lang w:val="es-ES_tradnl"/>
        </w:rPr>
        <w:t>í</w:t>
      </w:r>
      <w:r>
        <w:rPr>
          <w:spacing w:val="-6"/>
          <w:sz w:val="18"/>
          <w:szCs w:val="18"/>
          <w:lang w:val="es-ES_tradnl"/>
        </w:rPr>
        <w:t xml:space="preserve">culo 168 numeral </w:t>
      </w:r>
      <w:r>
        <w:rPr>
          <w:spacing w:val="-8"/>
          <w:sz w:val="18"/>
          <w:szCs w:val="18"/>
          <w:lang w:val="es-ES_tradnl"/>
        </w:rPr>
        <w:t>1 de la Constituci</w:t>
      </w:r>
      <w:r>
        <w:rPr>
          <w:rFonts w:cs="Times New Roman"/>
          <w:spacing w:val="-8"/>
          <w:sz w:val="18"/>
          <w:szCs w:val="18"/>
          <w:lang w:val="es-ES_tradnl"/>
        </w:rPr>
        <w:t>ó</w:t>
      </w:r>
      <w:r>
        <w:rPr>
          <w:spacing w:val="-8"/>
          <w:sz w:val="18"/>
          <w:szCs w:val="18"/>
          <w:lang w:val="es-ES_tradnl"/>
        </w:rPr>
        <w:t>n de la Rep</w:t>
      </w:r>
      <w:r>
        <w:rPr>
          <w:rFonts w:cs="Times New Roman"/>
          <w:spacing w:val="-8"/>
          <w:sz w:val="18"/>
          <w:szCs w:val="18"/>
          <w:lang w:val="es-ES_tradnl"/>
        </w:rPr>
        <w:t>ú</w:t>
      </w:r>
      <w:r>
        <w:rPr>
          <w:spacing w:val="-8"/>
          <w:sz w:val="18"/>
          <w:szCs w:val="18"/>
          <w:lang w:val="es-ES_tradnl"/>
        </w:rPr>
        <w:t>blica</w:t>
      </w:r>
      <w:r>
        <w:rPr>
          <w:spacing w:val="-8"/>
          <w:sz w:val="18"/>
          <w:szCs w:val="18"/>
          <w:vertAlign w:val="superscript"/>
          <w:lang w:val="es-ES_tradnl"/>
        </w:rPr>
        <w:t>7</w:t>
      </w:r>
      <w:r>
        <w:rPr>
          <w:spacing w:val="-8"/>
          <w:sz w:val="18"/>
          <w:szCs w:val="18"/>
          <w:lang w:val="es-ES_tradnl"/>
        </w:rPr>
        <w:t>, en raz</w:t>
      </w:r>
      <w:r>
        <w:rPr>
          <w:rFonts w:cs="Times New Roman"/>
          <w:spacing w:val="-8"/>
          <w:sz w:val="18"/>
          <w:szCs w:val="18"/>
          <w:lang w:val="es-ES_tradnl"/>
        </w:rPr>
        <w:t>ó</w:t>
      </w:r>
      <w:r>
        <w:rPr>
          <w:spacing w:val="-8"/>
          <w:sz w:val="18"/>
          <w:szCs w:val="18"/>
          <w:lang w:val="es-ES_tradnl"/>
        </w:rPr>
        <w:t>n de que una nueva apreciaci</w:t>
      </w:r>
      <w:r>
        <w:rPr>
          <w:rFonts w:cs="Times New Roman"/>
          <w:spacing w:val="-8"/>
          <w:sz w:val="18"/>
          <w:szCs w:val="18"/>
          <w:lang w:val="es-ES_tradnl"/>
        </w:rPr>
        <w:t>ó</w:t>
      </w:r>
      <w:r>
        <w:rPr>
          <w:spacing w:val="-8"/>
          <w:sz w:val="18"/>
          <w:szCs w:val="18"/>
          <w:lang w:val="es-ES_tradnl"/>
        </w:rPr>
        <w:t xml:space="preserve">n de las pruebas por parte de los jueces </w:t>
      </w:r>
      <w:r>
        <w:rPr>
          <w:spacing w:val="-7"/>
          <w:sz w:val="18"/>
          <w:szCs w:val="18"/>
          <w:lang w:val="es-ES_tradnl"/>
        </w:rPr>
        <w:t>nacionales puede alterar la libertad de decisi</w:t>
      </w:r>
      <w:r>
        <w:rPr>
          <w:rFonts w:cs="Times New Roman"/>
          <w:spacing w:val="-7"/>
          <w:sz w:val="18"/>
          <w:szCs w:val="18"/>
          <w:lang w:val="es-ES_tradnl"/>
        </w:rPr>
        <w:t>ó</w:t>
      </w:r>
      <w:r>
        <w:rPr>
          <w:spacing w:val="-7"/>
          <w:sz w:val="18"/>
          <w:szCs w:val="18"/>
          <w:lang w:val="es-ES_tradnl"/>
        </w:rPr>
        <w:t xml:space="preserve">n de la que </w:t>
      </w:r>
      <w:r>
        <w:rPr>
          <w:spacing w:val="-9"/>
          <w:sz w:val="18"/>
          <w:szCs w:val="18"/>
          <w:lang w:val="es-ES_tradnl"/>
        </w:rPr>
        <w:t xml:space="preserve">gozan los jueces y tribunales de instancia. De esta manera, </w:t>
      </w:r>
      <w:r>
        <w:rPr>
          <w:spacing w:val="-7"/>
          <w:sz w:val="18"/>
          <w:szCs w:val="18"/>
          <w:lang w:val="es-ES_tradnl"/>
        </w:rPr>
        <w:t>un proceder diferente a lo se</w:t>
      </w:r>
      <w:r>
        <w:rPr>
          <w:rFonts w:cs="Times New Roman"/>
          <w:spacing w:val="-7"/>
          <w:sz w:val="18"/>
          <w:szCs w:val="18"/>
          <w:lang w:val="es-ES_tradnl"/>
        </w:rPr>
        <w:t>ñ</w:t>
      </w:r>
      <w:r>
        <w:rPr>
          <w:spacing w:val="-7"/>
          <w:sz w:val="18"/>
          <w:szCs w:val="18"/>
          <w:lang w:val="es-ES_tradnl"/>
        </w:rPr>
        <w:t>alado se constituir</w:t>
      </w:r>
      <w:r>
        <w:rPr>
          <w:rFonts w:cs="Times New Roman"/>
          <w:spacing w:val="-7"/>
          <w:sz w:val="18"/>
          <w:szCs w:val="18"/>
          <w:lang w:val="es-ES_tradnl"/>
        </w:rPr>
        <w:t>í</w:t>
      </w:r>
      <w:r>
        <w:rPr>
          <w:spacing w:val="-7"/>
          <w:sz w:val="18"/>
          <w:szCs w:val="18"/>
          <w:lang w:val="es-ES_tradnl"/>
        </w:rPr>
        <w:t xml:space="preserve">a en una </w:t>
      </w:r>
      <w:r>
        <w:rPr>
          <w:spacing w:val="-6"/>
          <w:sz w:val="18"/>
          <w:szCs w:val="18"/>
          <w:lang w:val="es-ES_tradnl"/>
        </w:rPr>
        <w:t>arbitrariedad en la actuaci</w:t>
      </w:r>
      <w:r>
        <w:rPr>
          <w:rFonts w:cs="Times New Roman"/>
          <w:spacing w:val="-6"/>
          <w:sz w:val="18"/>
          <w:szCs w:val="18"/>
          <w:lang w:val="es-ES_tradnl"/>
        </w:rPr>
        <w:t>ó</w:t>
      </w:r>
      <w:r>
        <w:rPr>
          <w:spacing w:val="-6"/>
          <w:sz w:val="18"/>
          <w:szCs w:val="18"/>
          <w:lang w:val="es-ES_tradnl"/>
        </w:rPr>
        <w:t xml:space="preserve">n de los jueces de la Corte </w:t>
      </w:r>
      <w:r>
        <w:rPr>
          <w:spacing w:val="-7"/>
          <w:sz w:val="18"/>
          <w:szCs w:val="18"/>
          <w:lang w:val="es-ES_tradnl"/>
        </w:rPr>
        <w:t>Nacional de Justicia, pues estar</w:t>
      </w:r>
      <w:r>
        <w:rPr>
          <w:rFonts w:cs="Times New Roman"/>
          <w:spacing w:val="-7"/>
          <w:sz w:val="18"/>
          <w:szCs w:val="18"/>
          <w:lang w:val="es-ES_tradnl"/>
        </w:rPr>
        <w:t>í</w:t>
      </w:r>
      <w:r>
        <w:rPr>
          <w:spacing w:val="-7"/>
          <w:sz w:val="18"/>
          <w:szCs w:val="18"/>
          <w:lang w:val="es-ES_tradnl"/>
        </w:rPr>
        <w:t>an desempe</w:t>
      </w:r>
      <w:r>
        <w:rPr>
          <w:rFonts w:cs="Times New Roman"/>
          <w:spacing w:val="-7"/>
          <w:sz w:val="18"/>
          <w:szCs w:val="18"/>
          <w:lang w:val="es-ES_tradnl"/>
        </w:rPr>
        <w:t>ñ</w:t>
      </w:r>
      <w:r>
        <w:rPr>
          <w:spacing w:val="-7"/>
          <w:sz w:val="18"/>
          <w:szCs w:val="18"/>
          <w:lang w:val="es-ES_tradnl"/>
        </w:rPr>
        <w:t xml:space="preserve">ando un rol </w:t>
      </w:r>
      <w:r>
        <w:rPr>
          <w:spacing w:val="-6"/>
          <w:sz w:val="18"/>
          <w:szCs w:val="18"/>
          <w:lang w:val="es-ES_tradnl"/>
        </w:rPr>
        <w:t xml:space="preserve">que le corresponde a otro </w:t>
      </w:r>
      <w:r>
        <w:rPr>
          <w:rFonts w:cs="Times New Roman"/>
          <w:spacing w:val="-6"/>
          <w:sz w:val="18"/>
          <w:szCs w:val="18"/>
          <w:lang w:val="es-ES_tradnl"/>
        </w:rPr>
        <w:t>ó</w:t>
      </w:r>
      <w:r>
        <w:rPr>
          <w:spacing w:val="-6"/>
          <w:sz w:val="18"/>
          <w:szCs w:val="18"/>
          <w:lang w:val="es-ES_tradnl"/>
        </w:rPr>
        <w:t>rgano judicial conforme la estructura prevista para la administraci</w:t>
      </w:r>
      <w:r>
        <w:rPr>
          <w:rFonts w:cs="Times New Roman"/>
          <w:spacing w:val="-6"/>
          <w:sz w:val="18"/>
          <w:szCs w:val="18"/>
          <w:lang w:val="es-ES_tradnl"/>
        </w:rPr>
        <w:t>ó</w:t>
      </w:r>
      <w:r>
        <w:rPr>
          <w:spacing w:val="-6"/>
          <w:sz w:val="18"/>
          <w:szCs w:val="18"/>
          <w:lang w:val="es-ES_tradnl"/>
        </w:rPr>
        <w:t>n de justicia.</w:t>
      </w:r>
    </w:p>
    <w:p w14:paraId="4F67B157" w14:textId="77777777" w:rsidR="00591D54" w:rsidRDefault="00591D54">
      <w:pPr>
        <w:shd w:val="clear" w:color="auto" w:fill="FFFFFF"/>
        <w:spacing w:before="192" w:line="216" w:lineRule="exact"/>
        <w:jc w:val="both"/>
      </w:pPr>
      <w:r>
        <w:rPr>
          <w:spacing w:val="-10"/>
          <w:sz w:val="18"/>
          <w:szCs w:val="18"/>
          <w:lang w:val="es-ES_tradnl"/>
        </w:rPr>
        <w:t xml:space="preserve">En este contexto, los ataques formulados por la casacionista </w:t>
      </w:r>
      <w:r>
        <w:rPr>
          <w:spacing w:val="-6"/>
          <w:sz w:val="18"/>
          <w:szCs w:val="18"/>
          <w:lang w:val="es-ES_tradnl"/>
        </w:rPr>
        <w:t xml:space="preserve">al fallo expedido por los jueces de la Primera Sala de lo Laboral de la Corte Provincial de Justicia del Guayas, </w:t>
      </w:r>
      <w:r>
        <w:rPr>
          <w:spacing w:val="-7"/>
          <w:sz w:val="18"/>
          <w:szCs w:val="18"/>
          <w:lang w:val="es-ES_tradnl"/>
        </w:rPr>
        <w:t xml:space="preserve">evidencia que el fundamento del recurso extraordinario de </w:t>
      </w:r>
      <w:r>
        <w:rPr>
          <w:spacing w:val="-6"/>
          <w:sz w:val="18"/>
          <w:szCs w:val="18"/>
          <w:lang w:val="es-ES_tradnl"/>
        </w:rPr>
        <w:t>casaci</w:t>
      </w:r>
      <w:r>
        <w:rPr>
          <w:rFonts w:cs="Times New Roman"/>
          <w:spacing w:val="-6"/>
          <w:sz w:val="18"/>
          <w:szCs w:val="18"/>
          <w:lang w:val="es-ES_tradnl"/>
        </w:rPr>
        <w:t>ó</w:t>
      </w:r>
      <w:r>
        <w:rPr>
          <w:spacing w:val="-6"/>
          <w:sz w:val="18"/>
          <w:szCs w:val="18"/>
          <w:lang w:val="es-ES_tradnl"/>
        </w:rPr>
        <w:t xml:space="preserve">n se sustenta en que </w:t>
      </w:r>
      <w:r>
        <w:rPr>
          <w:rFonts w:cs="Times New Roman"/>
          <w:spacing w:val="-6"/>
          <w:sz w:val="18"/>
          <w:szCs w:val="18"/>
          <w:lang w:val="es-ES_tradnl"/>
        </w:rPr>
        <w:t>é</w:t>
      </w:r>
      <w:r>
        <w:rPr>
          <w:spacing w:val="-6"/>
          <w:sz w:val="18"/>
          <w:szCs w:val="18"/>
          <w:lang w:val="es-ES_tradnl"/>
        </w:rPr>
        <w:t>ste no realiz</w:t>
      </w:r>
      <w:r>
        <w:rPr>
          <w:rFonts w:cs="Times New Roman"/>
          <w:spacing w:val="-6"/>
          <w:sz w:val="18"/>
          <w:szCs w:val="18"/>
          <w:lang w:val="es-ES_tradnl"/>
        </w:rPr>
        <w:t>ó</w:t>
      </w:r>
      <w:r>
        <w:rPr>
          <w:spacing w:val="-6"/>
          <w:sz w:val="18"/>
          <w:szCs w:val="18"/>
          <w:lang w:val="es-ES_tradnl"/>
        </w:rPr>
        <w:t xml:space="preserve"> la valoraci</w:t>
      </w:r>
      <w:r>
        <w:rPr>
          <w:rFonts w:cs="Times New Roman"/>
          <w:spacing w:val="-6"/>
          <w:sz w:val="18"/>
          <w:szCs w:val="18"/>
          <w:lang w:val="es-ES_tradnl"/>
        </w:rPr>
        <w:t>ó</w:t>
      </w:r>
      <w:r>
        <w:rPr>
          <w:spacing w:val="-6"/>
          <w:sz w:val="18"/>
          <w:szCs w:val="18"/>
          <w:lang w:val="es-ES_tradnl"/>
        </w:rPr>
        <w:t xml:space="preserve">n </w:t>
      </w:r>
      <w:r>
        <w:rPr>
          <w:spacing w:val="-7"/>
          <w:sz w:val="18"/>
          <w:szCs w:val="18"/>
          <w:lang w:val="es-ES_tradnl"/>
        </w:rPr>
        <w:t>de la confesi</w:t>
      </w:r>
      <w:r>
        <w:rPr>
          <w:rFonts w:cs="Times New Roman"/>
          <w:spacing w:val="-7"/>
          <w:sz w:val="18"/>
          <w:szCs w:val="18"/>
          <w:lang w:val="es-ES_tradnl"/>
        </w:rPr>
        <w:t>ó</w:t>
      </w:r>
      <w:r>
        <w:rPr>
          <w:spacing w:val="-7"/>
          <w:sz w:val="18"/>
          <w:szCs w:val="18"/>
          <w:lang w:val="es-ES_tradnl"/>
        </w:rPr>
        <w:t>n ficta del demandado Pa</w:t>
      </w:r>
      <w:r>
        <w:rPr>
          <w:rFonts w:cs="Times New Roman"/>
          <w:spacing w:val="-7"/>
          <w:sz w:val="18"/>
          <w:szCs w:val="18"/>
          <w:lang w:val="es-ES_tradnl"/>
        </w:rPr>
        <w:t>ú</w:t>
      </w:r>
      <w:r>
        <w:rPr>
          <w:spacing w:val="-7"/>
          <w:sz w:val="18"/>
          <w:szCs w:val="18"/>
          <w:lang w:val="es-ES_tradnl"/>
        </w:rPr>
        <w:t xml:space="preserve">l Alexander </w:t>
      </w:r>
      <w:r>
        <w:rPr>
          <w:spacing w:val="-13"/>
          <w:sz w:val="18"/>
          <w:szCs w:val="18"/>
          <w:lang w:val="es-ES_tradnl"/>
        </w:rPr>
        <w:t>Sonnenholzner. As</w:t>
      </w:r>
      <w:r>
        <w:rPr>
          <w:rFonts w:cs="Times New Roman"/>
          <w:spacing w:val="-13"/>
          <w:sz w:val="18"/>
          <w:szCs w:val="18"/>
          <w:lang w:val="es-ES_tradnl"/>
        </w:rPr>
        <w:t>í</w:t>
      </w:r>
      <w:r>
        <w:rPr>
          <w:spacing w:val="-13"/>
          <w:sz w:val="18"/>
          <w:szCs w:val="18"/>
          <w:lang w:val="es-ES_tradnl"/>
        </w:rPr>
        <w:t xml:space="preserve"> las cosas, claramente se observa que esa </w:t>
      </w:r>
      <w:r>
        <w:rPr>
          <w:spacing w:val="-8"/>
          <w:sz w:val="18"/>
          <w:szCs w:val="18"/>
          <w:lang w:val="es-ES_tradnl"/>
        </w:rPr>
        <w:t>alegaci</w:t>
      </w:r>
      <w:r>
        <w:rPr>
          <w:rFonts w:cs="Times New Roman"/>
          <w:spacing w:val="-8"/>
          <w:sz w:val="18"/>
          <w:szCs w:val="18"/>
          <w:lang w:val="es-ES_tradnl"/>
        </w:rPr>
        <w:t>ó</w:t>
      </w:r>
      <w:r>
        <w:rPr>
          <w:spacing w:val="-8"/>
          <w:sz w:val="18"/>
          <w:szCs w:val="18"/>
          <w:lang w:val="es-ES_tradnl"/>
        </w:rPr>
        <w:t xml:space="preserve">n incurre en un </w:t>
      </w:r>
      <w:r>
        <w:rPr>
          <w:rFonts w:cs="Times New Roman"/>
          <w:spacing w:val="-8"/>
          <w:sz w:val="18"/>
          <w:szCs w:val="18"/>
          <w:lang w:val="es-ES_tradnl"/>
        </w:rPr>
        <w:t>ó</w:t>
      </w:r>
      <w:r>
        <w:rPr>
          <w:spacing w:val="-8"/>
          <w:sz w:val="18"/>
          <w:szCs w:val="18"/>
          <w:lang w:val="es-ES_tradnl"/>
        </w:rPr>
        <w:t>bice, torn</w:t>
      </w:r>
      <w:r>
        <w:rPr>
          <w:rFonts w:cs="Times New Roman"/>
          <w:spacing w:val="-8"/>
          <w:sz w:val="18"/>
          <w:szCs w:val="18"/>
          <w:lang w:val="es-ES_tradnl"/>
        </w:rPr>
        <w:t>á</w:t>
      </w:r>
      <w:r>
        <w:rPr>
          <w:spacing w:val="-8"/>
          <w:sz w:val="18"/>
          <w:szCs w:val="18"/>
          <w:lang w:val="es-ES_tradnl"/>
        </w:rPr>
        <w:t>ndose improcedente.</w:t>
      </w:r>
    </w:p>
    <w:p w14:paraId="4F67B158" w14:textId="77777777" w:rsidR="00591D54" w:rsidRDefault="00591D54">
      <w:pPr>
        <w:shd w:val="clear" w:color="auto" w:fill="FFFFFF"/>
        <w:spacing w:before="437" w:line="178" w:lineRule="exact"/>
        <w:ind w:left="139" w:right="5" w:hanging="139"/>
        <w:jc w:val="both"/>
      </w:pPr>
      <w:r>
        <w:rPr>
          <w:sz w:val="14"/>
          <w:szCs w:val="14"/>
          <w:vertAlign w:val="superscript"/>
          <w:lang w:val="es-ES_tradnl"/>
        </w:rPr>
        <w:t>7</w:t>
      </w:r>
      <w:r>
        <w:rPr>
          <w:sz w:val="14"/>
          <w:szCs w:val="14"/>
          <w:lang w:val="es-ES_tradnl"/>
        </w:rPr>
        <w:t xml:space="preserve"> Constituci</w:t>
      </w:r>
      <w:r>
        <w:rPr>
          <w:rFonts w:cs="Times New Roman"/>
          <w:sz w:val="14"/>
          <w:szCs w:val="14"/>
          <w:lang w:val="es-ES_tradnl"/>
        </w:rPr>
        <w:t>ó</w:t>
      </w:r>
      <w:r>
        <w:rPr>
          <w:sz w:val="14"/>
          <w:szCs w:val="14"/>
          <w:lang w:val="es-ES_tradnl"/>
        </w:rPr>
        <w:t>n de la Rep</w:t>
      </w:r>
      <w:r>
        <w:rPr>
          <w:rFonts w:cs="Times New Roman"/>
          <w:sz w:val="14"/>
          <w:szCs w:val="14"/>
          <w:lang w:val="es-ES_tradnl"/>
        </w:rPr>
        <w:t>ú</w:t>
      </w:r>
      <w:r>
        <w:rPr>
          <w:sz w:val="14"/>
          <w:szCs w:val="14"/>
          <w:lang w:val="es-ES_tradnl"/>
        </w:rPr>
        <w:t>blica del Ecuador, art</w:t>
      </w:r>
      <w:r>
        <w:rPr>
          <w:rFonts w:cs="Times New Roman"/>
          <w:sz w:val="14"/>
          <w:szCs w:val="14"/>
          <w:lang w:val="es-ES_tradnl"/>
        </w:rPr>
        <w:t>í</w:t>
      </w:r>
      <w:r>
        <w:rPr>
          <w:sz w:val="14"/>
          <w:szCs w:val="14"/>
          <w:lang w:val="es-ES_tradnl"/>
        </w:rPr>
        <w:t xml:space="preserve">culo 168.- </w:t>
      </w:r>
      <w:r>
        <w:rPr>
          <w:rFonts w:cs="Times New Roman"/>
          <w:sz w:val="14"/>
          <w:szCs w:val="14"/>
          <w:lang w:val="es-ES_tradnl"/>
        </w:rPr>
        <w:t>“</w:t>
      </w:r>
      <w:r>
        <w:rPr>
          <w:sz w:val="14"/>
          <w:szCs w:val="14"/>
          <w:lang w:val="es-ES_tradnl"/>
        </w:rPr>
        <w:t xml:space="preserve">La </w:t>
      </w:r>
      <w:r>
        <w:rPr>
          <w:spacing w:val="-1"/>
          <w:sz w:val="14"/>
          <w:szCs w:val="14"/>
          <w:lang w:val="es-ES_tradnl"/>
        </w:rPr>
        <w:t>administraci</w:t>
      </w:r>
      <w:r>
        <w:rPr>
          <w:rFonts w:cs="Times New Roman"/>
          <w:spacing w:val="-1"/>
          <w:sz w:val="14"/>
          <w:szCs w:val="14"/>
          <w:lang w:val="es-ES_tradnl"/>
        </w:rPr>
        <w:t>ó</w:t>
      </w:r>
      <w:r>
        <w:rPr>
          <w:spacing w:val="-1"/>
          <w:sz w:val="14"/>
          <w:szCs w:val="14"/>
          <w:lang w:val="es-ES_tradnl"/>
        </w:rPr>
        <w:t xml:space="preserve">n de justicia, en el cumplimiento de sus deberes y el </w:t>
      </w:r>
      <w:r>
        <w:rPr>
          <w:sz w:val="14"/>
          <w:szCs w:val="14"/>
          <w:lang w:val="es-ES_tradnl"/>
        </w:rPr>
        <w:t>ejercicio de sus atribuciones, aplicar</w:t>
      </w:r>
      <w:r>
        <w:rPr>
          <w:rFonts w:cs="Times New Roman"/>
          <w:sz w:val="14"/>
          <w:szCs w:val="14"/>
          <w:lang w:val="es-ES_tradnl"/>
        </w:rPr>
        <w:t>á</w:t>
      </w:r>
      <w:r>
        <w:rPr>
          <w:sz w:val="14"/>
          <w:szCs w:val="14"/>
          <w:lang w:val="es-ES_tradnl"/>
        </w:rPr>
        <w:t xml:space="preserve"> los siguientes principios: 1. </w:t>
      </w:r>
      <w:r>
        <w:rPr>
          <w:spacing w:val="-3"/>
          <w:sz w:val="14"/>
          <w:szCs w:val="14"/>
          <w:lang w:val="es-ES_tradnl"/>
        </w:rPr>
        <w:t xml:space="preserve">Los </w:t>
      </w:r>
      <w:r>
        <w:rPr>
          <w:rFonts w:cs="Times New Roman"/>
          <w:spacing w:val="-3"/>
          <w:sz w:val="14"/>
          <w:szCs w:val="14"/>
          <w:lang w:val="es-ES_tradnl"/>
        </w:rPr>
        <w:t>ó</w:t>
      </w:r>
      <w:r>
        <w:rPr>
          <w:spacing w:val="-3"/>
          <w:sz w:val="14"/>
          <w:szCs w:val="14"/>
          <w:lang w:val="es-ES_tradnl"/>
        </w:rPr>
        <w:t>rganos de la Funci</w:t>
      </w:r>
      <w:r>
        <w:rPr>
          <w:rFonts w:cs="Times New Roman"/>
          <w:spacing w:val="-3"/>
          <w:sz w:val="14"/>
          <w:szCs w:val="14"/>
          <w:lang w:val="es-ES_tradnl"/>
        </w:rPr>
        <w:t>ó</w:t>
      </w:r>
      <w:r>
        <w:rPr>
          <w:spacing w:val="-3"/>
          <w:sz w:val="14"/>
          <w:szCs w:val="14"/>
          <w:lang w:val="es-ES_tradnl"/>
        </w:rPr>
        <w:t>n Judicial gozar</w:t>
      </w:r>
      <w:r>
        <w:rPr>
          <w:rFonts w:cs="Times New Roman"/>
          <w:spacing w:val="-3"/>
          <w:sz w:val="14"/>
          <w:szCs w:val="14"/>
          <w:lang w:val="es-ES_tradnl"/>
        </w:rPr>
        <w:t>á</w:t>
      </w:r>
      <w:r>
        <w:rPr>
          <w:spacing w:val="-3"/>
          <w:sz w:val="14"/>
          <w:szCs w:val="14"/>
          <w:lang w:val="es-ES_tradnl"/>
        </w:rPr>
        <w:t xml:space="preserve">n de independencia interna </w:t>
      </w:r>
      <w:r>
        <w:rPr>
          <w:spacing w:val="-2"/>
          <w:sz w:val="14"/>
          <w:szCs w:val="14"/>
          <w:lang w:val="es-ES_tradnl"/>
        </w:rPr>
        <w:t>y externa. Toda violaci</w:t>
      </w:r>
      <w:r>
        <w:rPr>
          <w:rFonts w:cs="Times New Roman"/>
          <w:spacing w:val="-2"/>
          <w:sz w:val="14"/>
          <w:szCs w:val="14"/>
          <w:lang w:val="es-ES_tradnl"/>
        </w:rPr>
        <w:t>ó</w:t>
      </w:r>
      <w:r>
        <w:rPr>
          <w:spacing w:val="-2"/>
          <w:sz w:val="14"/>
          <w:szCs w:val="14"/>
          <w:lang w:val="es-ES_tradnl"/>
        </w:rPr>
        <w:t>n a este principio conllevar</w:t>
      </w:r>
      <w:r>
        <w:rPr>
          <w:rFonts w:cs="Times New Roman"/>
          <w:spacing w:val="-2"/>
          <w:sz w:val="14"/>
          <w:szCs w:val="14"/>
          <w:lang w:val="es-ES_tradnl"/>
        </w:rPr>
        <w:t>á</w:t>
      </w:r>
      <w:r>
        <w:rPr>
          <w:spacing w:val="-2"/>
          <w:sz w:val="14"/>
          <w:szCs w:val="14"/>
          <w:lang w:val="es-ES_tradnl"/>
        </w:rPr>
        <w:t xml:space="preserve"> responsabilidad </w:t>
      </w:r>
      <w:r>
        <w:rPr>
          <w:sz w:val="14"/>
          <w:szCs w:val="14"/>
          <w:lang w:val="es-ES_tradnl"/>
        </w:rPr>
        <w:t>administrativa, civil y penal de acurdo con la ley</w:t>
      </w:r>
      <w:r>
        <w:rPr>
          <w:rFonts w:cs="Times New Roman"/>
          <w:sz w:val="14"/>
          <w:szCs w:val="14"/>
          <w:lang w:val="es-ES_tradnl"/>
        </w:rPr>
        <w:t>”</w:t>
      </w:r>
      <w:r>
        <w:rPr>
          <w:sz w:val="14"/>
          <w:szCs w:val="14"/>
          <w:lang w:val="es-ES_tradnl"/>
        </w:rPr>
        <w:t>.</w:t>
      </w:r>
    </w:p>
    <w:p w14:paraId="4F67B159" w14:textId="77777777" w:rsidR="00591D54" w:rsidRDefault="00591D54">
      <w:pPr>
        <w:shd w:val="clear" w:color="auto" w:fill="FFFFFF"/>
        <w:spacing w:line="216" w:lineRule="exact"/>
        <w:jc w:val="both"/>
      </w:pPr>
      <w:r>
        <w:br w:type="column"/>
      </w:r>
      <w:r>
        <w:rPr>
          <w:spacing w:val="-9"/>
          <w:sz w:val="18"/>
          <w:szCs w:val="18"/>
          <w:lang w:val="es-ES_tradnl"/>
        </w:rPr>
        <w:t xml:space="preserve">Ahora bien, los razonamientos expuestos por los jueces de </w:t>
      </w:r>
      <w:r>
        <w:rPr>
          <w:spacing w:val="-8"/>
          <w:sz w:val="18"/>
          <w:szCs w:val="18"/>
          <w:lang w:val="es-ES_tradnl"/>
        </w:rPr>
        <w:t>casaci</w:t>
      </w:r>
      <w:r>
        <w:rPr>
          <w:rFonts w:cs="Times New Roman"/>
          <w:spacing w:val="-8"/>
          <w:sz w:val="18"/>
          <w:szCs w:val="18"/>
          <w:lang w:val="es-ES_tradnl"/>
        </w:rPr>
        <w:t>ó</w:t>
      </w:r>
      <w:r>
        <w:rPr>
          <w:spacing w:val="-8"/>
          <w:sz w:val="18"/>
          <w:szCs w:val="18"/>
          <w:lang w:val="es-ES_tradnl"/>
        </w:rPr>
        <w:t>n en la sentencia demandada guardan armon</w:t>
      </w:r>
      <w:r>
        <w:rPr>
          <w:rFonts w:cs="Times New Roman"/>
          <w:spacing w:val="-8"/>
          <w:sz w:val="18"/>
          <w:szCs w:val="18"/>
          <w:lang w:val="es-ES_tradnl"/>
        </w:rPr>
        <w:t>í</w:t>
      </w:r>
      <w:r>
        <w:rPr>
          <w:spacing w:val="-8"/>
          <w:sz w:val="18"/>
          <w:szCs w:val="18"/>
          <w:lang w:val="es-ES_tradnl"/>
        </w:rPr>
        <w:t>a en no atender la causal invocada en el recurso de casaci</w:t>
      </w:r>
      <w:r>
        <w:rPr>
          <w:rFonts w:cs="Times New Roman"/>
          <w:spacing w:val="-8"/>
          <w:sz w:val="18"/>
          <w:szCs w:val="18"/>
          <w:lang w:val="es-ES_tradnl"/>
        </w:rPr>
        <w:t>ó</w:t>
      </w:r>
      <w:r>
        <w:rPr>
          <w:spacing w:val="-8"/>
          <w:sz w:val="18"/>
          <w:szCs w:val="18"/>
          <w:lang w:val="es-ES_tradnl"/>
        </w:rPr>
        <w:t xml:space="preserve">n, </w:t>
      </w:r>
      <w:r>
        <w:rPr>
          <w:sz w:val="18"/>
          <w:szCs w:val="18"/>
          <w:lang w:val="es-ES_tradnl"/>
        </w:rPr>
        <w:t xml:space="preserve">manifestando, </w:t>
      </w:r>
      <w:r>
        <w:rPr>
          <w:rFonts w:cs="Times New Roman"/>
          <w:sz w:val="18"/>
          <w:szCs w:val="18"/>
          <w:lang w:val="es-ES_tradnl"/>
        </w:rPr>
        <w:t>ú</w:t>
      </w:r>
      <w:r>
        <w:rPr>
          <w:sz w:val="18"/>
          <w:szCs w:val="18"/>
          <w:lang w:val="es-ES_tradnl"/>
        </w:rPr>
        <w:t>nicamente, lo siguiente:</w:t>
      </w:r>
    </w:p>
    <w:p w14:paraId="4F67B15A" w14:textId="77777777" w:rsidR="00591D54" w:rsidRDefault="00591D54">
      <w:pPr>
        <w:shd w:val="clear" w:color="auto" w:fill="FFFFFF"/>
        <w:spacing w:before="202" w:line="216" w:lineRule="exact"/>
        <w:ind w:left="283"/>
        <w:jc w:val="both"/>
      </w:pPr>
      <w:r>
        <w:rPr>
          <w:sz w:val="14"/>
          <w:szCs w:val="14"/>
          <w:lang w:val="es-ES_tradnl"/>
        </w:rPr>
        <w:t>(</w:t>
      </w:r>
      <w:r>
        <w:rPr>
          <w:rFonts w:cs="Times New Roman"/>
          <w:sz w:val="14"/>
          <w:szCs w:val="14"/>
          <w:lang w:val="es-ES_tradnl"/>
        </w:rPr>
        <w:t>…</w:t>
      </w:r>
      <w:r>
        <w:rPr>
          <w:sz w:val="14"/>
          <w:szCs w:val="14"/>
          <w:lang w:val="es-ES_tradnl"/>
        </w:rPr>
        <w:t>) La confesi</w:t>
      </w:r>
      <w:r>
        <w:rPr>
          <w:rFonts w:cs="Times New Roman"/>
          <w:sz w:val="14"/>
          <w:szCs w:val="14"/>
          <w:lang w:val="es-ES_tradnl"/>
        </w:rPr>
        <w:t>ó</w:t>
      </w:r>
      <w:r>
        <w:rPr>
          <w:sz w:val="14"/>
          <w:szCs w:val="14"/>
          <w:lang w:val="es-ES_tradnl"/>
        </w:rPr>
        <w:t>n judicial tiene la peculiaridad de contener afirmaciones o negaciones sobre hechos o verdades en contra del propio demandante o confesante. Por otro lado, contiene la potestad que la ley confiere al juzgador para declararla confesa a la persona que no comparece a rendir su confesi</w:t>
      </w:r>
      <w:r>
        <w:rPr>
          <w:rFonts w:cs="Times New Roman"/>
          <w:sz w:val="14"/>
          <w:szCs w:val="14"/>
          <w:lang w:val="es-ES_tradnl"/>
        </w:rPr>
        <w:t>ó</w:t>
      </w:r>
      <w:r>
        <w:rPr>
          <w:sz w:val="14"/>
          <w:szCs w:val="14"/>
          <w:lang w:val="es-ES_tradnl"/>
        </w:rPr>
        <w:t>n o compareciendo se niega a contestar las preguntas, decisi</w:t>
      </w:r>
      <w:r>
        <w:rPr>
          <w:rFonts w:cs="Times New Roman"/>
          <w:sz w:val="14"/>
          <w:szCs w:val="14"/>
          <w:lang w:val="es-ES_tradnl"/>
        </w:rPr>
        <w:t>ó</w:t>
      </w:r>
      <w:r>
        <w:rPr>
          <w:sz w:val="14"/>
          <w:szCs w:val="14"/>
          <w:lang w:val="es-ES_tradnl"/>
        </w:rPr>
        <w:t>n de los juzgadores de primer y segundo nivel que la adoptar</w:t>
      </w:r>
      <w:r>
        <w:rPr>
          <w:rFonts w:cs="Times New Roman"/>
          <w:sz w:val="14"/>
          <w:szCs w:val="14"/>
          <w:lang w:val="es-ES_tradnl"/>
        </w:rPr>
        <w:t>á</w:t>
      </w:r>
      <w:r>
        <w:rPr>
          <w:sz w:val="14"/>
          <w:szCs w:val="14"/>
          <w:lang w:val="es-ES_tradnl"/>
        </w:rPr>
        <w:t>n bajo los an</w:t>
      </w:r>
      <w:r>
        <w:rPr>
          <w:rFonts w:cs="Times New Roman"/>
          <w:sz w:val="14"/>
          <w:szCs w:val="14"/>
          <w:lang w:val="es-ES_tradnl"/>
        </w:rPr>
        <w:t>á</w:t>
      </w:r>
      <w:r>
        <w:rPr>
          <w:sz w:val="14"/>
          <w:szCs w:val="14"/>
          <w:lang w:val="es-ES_tradnl"/>
        </w:rPr>
        <w:t>lisis de los hechos probatorios consignados por las partes y los hechos que hayan rodeado al acto (</w:t>
      </w:r>
      <w:r>
        <w:rPr>
          <w:rFonts w:cs="Times New Roman"/>
          <w:sz w:val="14"/>
          <w:szCs w:val="14"/>
          <w:lang w:val="es-ES_tradnl"/>
        </w:rPr>
        <w:t>…</w:t>
      </w:r>
      <w:r>
        <w:rPr>
          <w:sz w:val="14"/>
          <w:szCs w:val="14"/>
          <w:lang w:val="es-ES_tradnl"/>
        </w:rPr>
        <w:t>) En la especie, de la revisi</w:t>
      </w:r>
      <w:r>
        <w:rPr>
          <w:rFonts w:cs="Times New Roman"/>
          <w:sz w:val="14"/>
          <w:szCs w:val="14"/>
          <w:lang w:val="es-ES_tradnl"/>
        </w:rPr>
        <w:t>ó</w:t>
      </w:r>
      <w:r>
        <w:rPr>
          <w:sz w:val="14"/>
          <w:szCs w:val="14"/>
          <w:lang w:val="es-ES_tradnl"/>
        </w:rPr>
        <w:t>n realizada por este Tribunal, del proceso para verificar si el juzgador plural no ha valorado la confesi</w:t>
      </w:r>
      <w:r>
        <w:rPr>
          <w:rFonts w:cs="Times New Roman"/>
          <w:sz w:val="14"/>
          <w:szCs w:val="14"/>
          <w:lang w:val="es-ES_tradnl"/>
        </w:rPr>
        <w:t>ó</w:t>
      </w:r>
      <w:r>
        <w:rPr>
          <w:sz w:val="14"/>
          <w:szCs w:val="14"/>
          <w:lang w:val="es-ES_tradnl"/>
        </w:rPr>
        <w:t>n ficta del demandado (</w:t>
      </w:r>
      <w:r>
        <w:rPr>
          <w:rFonts w:cs="Times New Roman"/>
          <w:sz w:val="14"/>
          <w:szCs w:val="14"/>
          <w:lang w:val="es-ES_tradnl"/>
        </w:rPr>
        <w:t>…</w:t>
      </w:r>
      <w:r>
        <w:rPr>
          <w:sz w:val="14"/>
          <w:szCs w:val="14"/>
          <w:lang w:val="es-ES_tradnl"/>
        </w:rPr>
        <w:t>) en su pretensi</w:t>
      </w:r>
      <w:r>
        <w:rPr>
          <w:rFonts w:cs="Times New Roman"/>
          <w:sz w:val="14"/>
          <w:szCs w:val="14"/>
          <w:lang w:val="es-ES_tradnl"/>
        </w:rPr>
        <w:t>ó</w:t>
      </w:r>
      <w:r>
        <w:rPr>
          <w:sz w:val="14"/>
          <w:szCs w:val="14"/>
          <w:lang w:val="es-ES_tradnl"/>
        </w:rPr>
        <w:t>n de probar la existencia del despido intempestivo del que afirma haber sido objeto en su libelo de demanda, (</w:t>
      </w:r>
      <w:r>
        <w:rPr>
          <w:rFonts w:cs="Times New Roman"/>
          <w:sz w:val="14"/>
          <w:szCs w:val="14"/>
          <w:lang w:val="es-ES_tradnl"/>
        </w:rPr>
        <w:t>…</w:t>
      </w:r>
      <w:r>
        <w:rPr>
          <w:sz w:val="14"/>
          <w:szCs w:val="14"/>
          <w:lang w:val="es-ES_tradnl"/>
        </w:rPr>
        <w:t>). No prospera la impugnaci</w:t>
      </w:r>
      <w:r>
        <w:rPr>
          <w:rFonts w:cs="Times New Roman"/>
          <w:sz w:val="14"/>
          <w:szCs w:val="14"/>
          <w:lang w:val="es-ES_tradnl"/>
        </w:rPr>
        <w:t>ó</w:t>
      </w:r>
      <w:r>
        <w:rPr>
          <w:sz w:val="14"/>
          <w:szCs w:val="14"/>
          <w:lang w:val="es-ES_tradnl"/>
        </w:rPr>
        <w:t>n.</w:t>
      </w:r>
    </w:p>
    <w:p w14:paraId="4F67B15B" w14:textId="77777777" w:rsidR="00591D54" w:rsidRDefault="00591D54">
      <w:pPr>
        <w:shd w:val="clear" w:color="auto" w:fill="FFFFFF"/>
        <w:spacing w:before="202" w:line="211" w:lineRule="exact"/>
        <w:jc w:val="both"/>
      </w:pPr>
      <w:r>
        <w:rPr>
          <w:spacing w:val="-8"/>
          <w:sz w:val="18"/>
          <w:szCs w:val="18"/>
          <w:lang w:val="es-ES_tradnl"/>
        </w:rPr>
        <w:t xml:space="preserve">Como se puede observar tanto la premisa planteada en la </w:t>
      </w:r>
      <w:r>
        <w:rPr>
          <w:spacing w:val="-10"/>
          <w:sz w:val="18"/>
          <w:szCs w:val="18"/>
          <w:lang w:val="es-ES_tradnl"/>
        </w:rPr>
        <w:t>sentencia de casaci</w:t>
      </w:r>
      <w:r>
        <w:rPr>
          <w:rFonts w:cs="Times New Roman"/>
          <w:spacing w:val="-10"/>
          <w:sz w:val="18"/>
          <w:szCs w:val="18"/>
          <w:lang w:val="es-ES_tradnl"/>
        </w:rPr>
        <w:t>ó</w:t>
      </w:r>
      <w:r>
        <w:rPr>
          <w:spacing w:val="-10"/>
          <w:sz w:val="18"/>
          <w:szCs w:val="18"/>
          <w:lang w:val="es-ES_tradnl"/>
        </w:rPr>
        <w:t>n como la conclusi</w:t>
      </w:r>
      <w:r>
        <w:rPr>
          <w:rFonts w:cs="Times New Roman"/>
          <w:spacing w:val="-10"/>
          <w:sz w:val="18"/>
          <w:szCs w:val="18"/>
          <w:lang w:val="es-ES_tradnl"/>
        </w:rPr>
        <w:t>ó</w:t>
      </w:r>
      <w:r>
        <w:rPr>
          <w:spacing w:val="-10"/>
          <w:sz w:val="18"/>
          <w:szCs w:val="18"/>
          <w:lang w:val="es-ES_tradnl"/>
        </w:rPr>
        <w:t xml:space="preserve">n resulta coherente </w:t>
      </w:r>
      <w:r>
        <w:rPr>
          <w:spacing w:val="-8"/>
          <w:sz w:val="18"/>
          <w:szCs w:val="18"/>
          <w:lang w:val="es-ES_tradnl"/>
        </w:rPr>
        <w:t xml:space="preserve">en desestimar la causal invocada respecto del supuesto </w:t>
      </w:r>
      <w:r>
        <w:rPr>
          <w:spacing w:val="-9"/>
          <w:sz w:val="18"/>
          <w:szCs w:val="18"/>
          <w:lang w:val="es-ES_tradnl"/>
        </w:rPr>
        <w:t>despido intempestivo reclamado por la casacionista, puesto que el Tribunal de Casaci</w:t>
      </w:r>
      <w:r>
        <w:rPr>
          <w:rFonts w:cs="Times New Roman"/>
          <w:spacing w:val="-9"/>
          <w:sz w:val="18"/>
          <w:szCs w:val="18"/>
          <w:lang w:val="es-ES_tradnl"/>
        </w:rPr>
        <w:t>ó</w:t>
      </w:r>
      <w:r>
        <w:rPr>
          <w:spacing w:val="-9"/>
          <w:sz w:val="18"/>
          <w:szCs w:val="18"/>
          <w:lang w:val="es-ES_tradnl"/>
        </w:rPr>
        <w:t xml:space="preserve">n </w:t>
      </w:r>
      <w:r>
        <w:rPr>
          <w:rFonts w:cs="Times New Roman"/>
          <w:spacing w:val="-9"/>
          <w:sz w:val="18"/>
          <w:szCs w:val="18"/>
          <w:lang w:val="es-ES_tradnl"/>
        </w:rPr>
        <w:t>“</w:t>
      </w:r>
      <w:r>
        <w:rPr>
          <w:spacing w:val="-9"/>
          <w:sz w:val="18"/>
          <w:szCs w:val="18"/>
          <w:lang w:val="es-ES_tradnl"/>
        </w:rPr>
        <w:t>dej</w:t>
      </w:r>
      <w:r>
        <w:rPr>
          <w:rFonts w:cs="Times New Roman"/>
          <w:spacing w:val="-9"/>
          <w:sz w:val="18"/>
          <w:szCs w:val="18"/>
          <w:lang w:val="es-ES_tradnl"/>
        </w:rPr>
        <w:t>ó</w:t>
      </w:r>
      <w:r>
        <w:rPr>
          <w:spacing w:val="-9"/>
          <w:sz w:val="18"/>
          <w:szCs w:val="18"/>
          <w:lang w:val="es-ES_tradnl"/>
        </w:rPr>
        <w:t xml:space="preserve"> de ser fundamentalmente </w:t>
      </w:r>
      <w:r>
        <w:rPr>
          <w:spacing w:val="-8"/>
          <w:sz w:val="18"/>
          <w:szCs w:val="18"/>
          <w:lang w:val="es-ES_tradnl"/>
        </w:rPr>
        <w:t xml:space="preserve">un </w:t>
      </w:r>
      <w:r>
        <w:rPr>
          <w:rFonts w:cs="Times New Roman"/>
          <w:spacing w:val="-8"/>
          <w:sz w:val="18"/>
          <w:szCs w:val="18"/>
          <w:lang w:val="es-ES_tradnl"/>
        </w:rPr>
        <w:t>ó</w:t>
      </w:r>
      <w:r>
        <w:rPr>
          <w:spacing w:val="-8"/>
          <w:sz w:val="18"/>
          <w:szCs w:val="18"/>
          <w:lang w:val="es-ES_tradnl"/>
        </w:rPr>
        <w:t>rgano de administraci</w:t>
      </w:r>
      <w:r>
        <w:rPr>
          <w:rFonts w:cs="Times New Roman"/>
          <w:spacing w:val="-8"/>
          <w:sz w:val="18"/>
          <w:szCs w:val="18"/>
          <w:lang w:val="es-ES_tradnl"/>
        </w:rPr>
        <w:t>ó</w:t>
      </w:r>
      <w:r>
        <w:rPr>
          <w:spacing w:val="-8"/>
          <w:sz w:val="18"/>
          <w:szCs w:val="18"/>
          <w:lang w:val="es-ES_tradnl"/>
        </w:rPr>
        <w:t xml:space="preserve">n de justicia para convertirse en </w:t>
      </w:r>
      <w:r>
        <w:rPr>
          <w:rFonts w:cs="Times New Roman"/>
          <w:spacing w:val="-6"/>
          <w:sz w:val="18"/>
          <w:szCs w:val="18"/>
          <w:lang w:val="es-ES_tradnl"/>
        </w:rPr>
        <w:t>ó</w:t>
      </w:r>
      <w:r>
        <w:rPr>
          <w:spacing w:val="-6"/>
          <w:sz w:val="18"/>
          <w:szCs w:val="18"/>
          <w:lang w:val="es-ES_tradnl"/>
        </w:rPr>
        <w:t>rgano de control y regulaci</w:t>
      </w:r>
      <w:r>
        <w:rPr>
          <w:rFonts w:cs="Times New Roman"/>
          <w:spacing w:val="-6"/>
          <w:sz w:val="18"/>
          <w:szCs w:val="18"/>
          <w:lang w:val="es-ES_tradnl"/>
        </w:rPr>
        <w:t>ó</w:t>
      </w:r>
      <w:r>
        <w:rPr>
          <w:spacing w:val="-6"/>
          <w:sz w:val="18"/>
          <w:szCs w:val="18"/>
          <w:lang w:val="es-ES_tradnl"/>
        </w:rPr>
        <w:t>n de la actividad jur</w:t>
      </w:r>
      <w:r>
        <w:rPr>
          <w:rFonts w:cs="Times New Roman"/>
          <w:spacing w:val="-6"/>
          <w:sz w:val="18"/>
          <w:szCs w:val="18"/>
          <w:lang w:val="es-ES_tradnl"/>
        </w:rPr>
        <w:t>í</w:t>
      </w:r>
      <w:r>
        <w:rPr>
          <w:spacing w:val="-6"/>
          <w:sz w:val="18"/>
          <w:szCs w:val="18"/>
          <w:lang w:val="es-ES_tradnl"/>
        </w:rPr>
        <w:t xml:space="preserve">dica que </w:t>
      </w:r>
      <w:r>
        <w:rPr>
          <w:spacing w:val="-7"/>
          <w:sz w:val="18"/>
          <w:szCs w:val="18"/>
          <w:lang w:val="es-ES_tradnl"/>
        </w:rPr>
        <w:t xml:space="preserve">deben cumplir los </w:t>
      </w:r>
      <w:r>
        <w:rPr>
          <w:rFonts w:cs="Times New Roman"/>
          <w:spacing w:val="-7"/>
          <w:sz w:val="18"/>
          <w:szCs w:val="18"/>
          <w:lang w:val="es-ES_tradnl"/>
        </w:rPr>
        <w:t>ó</w:t>
      </w:r>
      <w:r>
        <w:rPr>
          <w:spacing w:val="-7"/>
          <w:sz w:val="18"/>
          <w:szCs w:val="18"/>
          <w:lang w:val="es-ES_tradnl"/>
        </w:rPr>
        <w:t>rganos judiciales. Lo ser</w:t>
      </w:r>
      <w:r>
        <w:rPr>
          <w:rFonts w:cs="Times New Roman"/>
          <w:spacing w:val="-7"/>
          <w:sz w:val="18"/>
          <w:szCs w:val="18"/>
          <w:lang w:val="es-ES_tradnl"/>
        </w:rPr>
        <w:t>í</w:t>
      </w:r>
      <w:r>
        <w:rPr>
          <w:spacing w:val="-7"/>
          <w:sz w:val="18"/>
          <w:szCs w:val="18"/>
          <w:lang w:val="es-ES_tradnl"/>
        </w:rPr>
        <w:t xml:space="preserve">a </w:t>
      </w:r>
      <w:r>
        <w:rPr>
          <w:rFonts w:cs="Times New Roman"/>
          <w:spacing w:val="-7"/>
          <w:sz w:val="18"/>
          <w:szCs w:val="18"/>
          <w:lang w:val="es-ES_tradnl"/>
        </w:rPr>
        <w:t>ú</w:t>
      </w:r>
      <w:r>
        <w:rPr>
          <w:spacing w:val="-7"/>
          <w:sz w:val="18"/>
          <w:szCs w:val="18"/>
          <w:lang w:val="es-ES_tradnl"/>
        </w:rPr>
        <w:t xml:space="preserve">nicamente </w:t>
      </w:r>
      <w:r>
        <w:rPr>
          <w:spacing w:val="-6"/>
          <w:sz w:val="18"/>
          <w:szCs w:val="18"/>
          <w:lang w:val="es-ES_tradnl"/>
        </w:rPr>
        <w:t>cuando act</w:t>
      </w:r>
      <w:r>
        <w:rPr>
          <w:rFonts w:cs="Times New Roman"/>
          <w:spacing w:val="-6"/>
          <w:sz w:val="18"/>
          <w:szCs w:val="18"/>
          <w:lang w:val="es-ES_tradnl"/>
        </w:rPr>
        <w:t>ú</w:t>
      </w:r>
      <w:r>
        <w:rPr>
          <w:spacing w:val="-6"/>
          <w:sz w:val="18"/>
          <w:szCs w:val="18"/>
          <w:lang w:val="es-ES_tradnl"/>
        </w:rPr>
        <w:t xml:space="preserve">a como tribunal de instancia es decir, en el </w:t>
      </w:r>
      <w:r>
        <w:rPr>
          <w:spacing w:val="-10"/>
          <w:sz w:val="18"/>
          <w:szCs w:val="18"/>
          <w:lang w:val="es-ES_tradnl"/>
        </w:rPr>
        <w:t xml:space="preserve">evento de que ejerciendo el control de la legalidad establece </w:t>
      </w:r>
      <w:r>
        <w:rPr>
          <w:spacing w:val="-5"/>
          <w:sz w:val="18"/>
          <w:szCs w:val="18"/>
          <w:lang w:val="es-ES_tradnl"/>
        </w:rPr>
        <w:t>que en el fallo recurrido hay transgresi</w:t>
      </w:r>
      <w:r>
        <w:rPr>
          <w:rFonts w:cs="Times New Roman"/>
          <w:spacing w:val="-5"/>
          <w:sz w:val="18"/>
          <w:szCs w:val="18"/>
          <w:lang w:val="es-ES_tradnl"/>
        </w:rPr>
        <w:t>ó</w:t>
      </w:r>
      <w:r>
        <w:rPr>
          <w:spacing w:val="-5"/>
          <w:sz w:val="18"/>
          <w:szCs w:val="18"/>
          <w:lang w:val="es-ES_tradnl"/>
        </w:rPr>
        <w:t xml:space="preserve">n del Derecho </w:t>
      </w:r>
      <w:r>
        <w:rPr>
          <w:spacing w:val="-6"/>
          <w:sz w:val="18"/>
          <w:szCs w:val="18"/>
          <w:lang w:val="es-ES_tradnl"/>
        </w:rPr>
        <w:t>objetivo y cas</w:t>
      </w:r>
      <w:r>
        <w:rPr>
          <w:rFonts w:cs="Times New Roman"/>
          <w:spacing w:val="-6"/>
          <w:sz w:val="18"/>
          <w:szCs w:val="18"/>
          <w:lang w:val="es-ES_tradnl"/>
        </w:rPr>
        <w:t>á</w:t>
      </w:r>
      <w:r>
        <w:rPr>
          <w:spacing w:val="-6"/>
          <w:sz w:val="18"/>
          <w:szCs w:val="18"/>
          <w:lang w:val="es-ES_tradnl"/>
        </w:rPr>
        <w:t xml:space="preserve">ndolo, entra a resolver sobre la materia de </w:t>
      </w:r>
      <w:r>
        <w:rPr>
          <w:sz w:val="18"/>
          <w:szCs w:val="18"/>
          <w:lang w:val="es-ES_tradnl"/>
        </w:rPr>
        <w:t>la controversia</w:t>
      </w:r>
      <w:r>
        <w:rPr>
          <w:rFonts w:cs="Times New Roman"/>
          <w:sz w:val="18"/>
          <w:szCs w:val="18"/>
          <w:lang w:val="es-ES_tradnl"/>
        </w:rPr>
        <w:t>”</w:t>
      </w:r>
      <w:r>
        <w:rPr>
          <w:sz w:val="18"/>
          <w:szCs w:val="18"/>
          <w:vertAlign w:val="superscript"/>
          <w:lang w:val="es-ES_tradnl"/>
        </w:rPr>
        <w:t>8</w:t>
      </w:r>
      <w:r>
        <w:rPr>
          <w:sz w:val="18"/>
          <w:szCs w:val="18"/>
          <w:lang w:val="es-ES_tradnl"/>
        </w:rPr>
        <w:t>.</w:t>
      </w:r>
    </w:p>
    <w:p w14:paraId="4F67B15C" w14:textId="77777777" w:rsidR="00591D54" w:rsidRDefault="00591D54">
      <w:pPr>
        <w:shd w:val="clear" w:color="auto" w:fill="FFFFFF"/>
        <w:spacing w:before="192" w:line="216" w:lineRule="exact"/>
        <w:jc w:val="both"/>
      </w:pPr>
      <w:r>
        <w:rPr>
          <w:spacing w:val="-9"/>
          <w:sz w:val="18"/>
          <w:szCs w:val="18"/>
          <w:lang w:val="es-ES_tradnl"/>
        </w:rPr>
        <w:t>Respecto a la segunda premisa, esto es, la valoraci</w:t>
      </w:r>
      <w:r>
        <w:rPr>
          <w:rFonts w:cs="Times New Roman"/>
          <w:spacing w:val="-9"/>
          <w:sz w:val="18"/>
          <w:szCs w:val="18"/>
          <w:lang w:val="es-ES_tradnl"/>
        </w:rPr>
        <w:t>ó</w:t>
      </w:r>
      <w:r>
        <w:rPr>
          <w:spacing w:val="-9"/>
          <w:sz w:val="18"/>
          <w:szCs w:val="18"/>
          <w:lang w:val="es-ES_tradnl"/>
        </w:rPr>
        <w:t xml:space="preserve">n de la </w:t>
      </w:r>
      <w:r>
        <w:rPr>
          <w:spacing w:val="-10"/>
          <w:sz w:val="18"/>
          <w:szCs w:val="18"/>
          <w:lang w:val="es-ES_tradnl"/>
        </w:rPr>
        <w:t>confesi</w:t>
      </w:r>
      <w:r>
        <w:rPr>
          <w:rFonts w:cs="Times New Roman"/>
          <w:spacing w:val="-10"/>
          <w:sz w:val="18"/>
          <w:szCs w:val="18"/>
          <w:lang w:val="es-ES_tradnl"/>
        </w:rPr>
        <w:t>ó</w:t>
      </w:r>
      <w:r>
        <w:rPr>
          <w:spacing w:val="-10"/>
          <w:sz w:val="18"/>
          <w:szCs w:val="18"/>
          <w:lang w:val="es-ES_tradnl"/>
        </w:rPr>
        <w:t xml:space="preserve">n rendida por la demandada para el reconocimiento </w:t>
      </w:r>
      <w:r>
        <w:rPr>
          <w:spacing w:val="-2"/>
          <w:sz w:val="18"/>
          <w:szCs w:val="18"/>
          <w:lang w:val="es-ES_tradnl"/>
        </w:rPr>
        <w:t>del derecho a la jubilaci</w:t>
      </w:r>
      <w:r>
        <w:rPr>
          <w:rFonts w:cs="Times New Roman"/>
          <w:spacing w:val="-2"/>
          <w:sz w:val="18"/>
          <w:szCs w:val="18"/>
          <w:lang w:val="es-ES_tradnl"/>
        </w:rPr>
        <w:t>ó</w:t>
      </w:r>
      <w:r>
        <w:rPr>
          <w:spacing w:val="-2"/>
          <w:sz w:val="18"/>
          <w:szCs w:val="18"/>
          <w:lang w:val="es-ES_tradnl"/>
        </w:rPr>
        <w:t xml:space="preserve">n patronal proporcional por </w:t>
      </w:r>
      <w:r>
        <w:rPr>
          <w:spacing w:val="-7"/>
          <w:sz w:val="18"/>
          <w:szCs w:val="18"/>
          <w:lang w:val="es-ES_tradnl"/>
        </w:rPr>
        <w:t xml:space="preserve">despido intempestivo, los juzgadores argumentaron lo </w:t>
      </w:r>
      <w:r>
        <w:rPr>
          <w:sz w:val="18"/>
          <w:szCs w:val="18"/>
          <w:lang w:val="es-ES_tradnl"/>
        </w:rPr>
        <w:t>siguiente:</w:t>
      </w:r>
    </w:p>
    <w:p w14:paraId="4F67B15D" w14:textId="77777777" w:rsidR="00591D54" w:rsidRDefault="00591D54">
      <w:pPr>
        <w:shd w:val="clear" w:color="auto" w:fill="FFFFFF"/>
        <w:spacing w:before="202" w:line="216" w:lineRule="exact"/>
        <w:ind w:left="283"/>
        <w:jc w:val="both"/>
      </w:pPr>
      <w:r>
        <w:rPr>
          <w:sz w:val="14"/>
          <w:szCs w:val="14"/>
          <w:lang w:val="es-ES_tradnl"/>
        </w:rPr>
        <w:t>(</w:t>
      </w:r>
      <w:r>
        <w:rPr>
          <w:rFonts w:cs="Times New Roman"/>
          <w:sz w:val="14"/>
          <w:szCs w:val="14"/>
          <w:lang w:val="es-ES_tradnl"/>
        </w:rPr>
        <w:t>…</w:t>
      </w:r>
      <w:r>
        <w:rPr>
          <w:sz w:val="14"/>
          <w:szCs w:val="14"/>
          <w:lang w:val="es-ES_tradnl"/>
        </w:rPr>
        <w:t>) este Tribunal considera necesario se</w:t>
      </w:r>
      <w:r>
        <w:rPr>
          <w:rFonts w:cs="Times New Roman"/>
          <w:sz w:val="14"/>
          <w:szCs w:val="14"/>
          <w:lang w:val="es-ES_tradnl"/>
        </w:rPr>
        <w:t>ñ</w:t>
      </w:r>
      <w:r>
        <w:rPr>
          <w:sz w:val="14"/>
          <w:szCs w:val="14"/>
          <w:lang w:val="es-ES_tradnl"/>
        </w:rPr>
        <w:t>alar que, el Art. 188 del C</w:t>
      </w:r>
      <w:r>
        <w:rPr>
          <w:rFonts w:cs="Times New Roman"/>
          <w:sz w:val="14"/>
          <w:szCs w:val="14"/>
          <w:lang w:val="es-ES_tradnl"/>
        </w:rPr>
        <w:t>ó</w:t>
      </w:r>
      <w:r>
        <w:rPr>
          <w:sz w:val="14"/>
          <w:szCs w:val="14"/>
          <w:lang w:val="es-ES_tradnl"/>
        </w:rPr>
        <w:t>digo del Trabajo que establece una indemnizaci</w:t>
      </w:r>
      <w:r>
        <w:rPr>
          <w:rFonts w:cs="Times New Roman"/>
          <w:sz w:val="14"/>
          <w:szCs w:val="14"/>
          <w:lang w:val="es-ES_tradnl"/>
        </w:rPr>
        <w:t>ó</w:t>
      </w:r>
      <w:r>
        <w:rPr>
          <w:sz w:val="14"/>
          <w:szCs w:val="14"/>
          <w:lang w:val="es-ES_tradnl"/>
        </w:rPr>
        <w:t>n que deber</w:t>
      </w:r>
      <w:r>
        <w:rPr>
          <w:rFonts w:cs="Times New Roman"/>
          <w:sz w:val="14"/>
          <w:szCs w:val="14"/>
          <w:lang w:val="es-ES_tradnl"/>
        </w:rPr>
        <w:t>á</w:t>
      </w:r>
      <w:r>
        <w:rPr>
          <w:sz w:val="14"/>
          <w:szCs w:val="14"/>
          <w:lang w:val="es-ES_tradnl"/>
        </w:rPr>
        <w:t xml:space="preserve"> cubrir el empleador a favor del trabajador que ha sido despedido intempestivamente, es decir aquel trabajador cuya relaci</w:t>
      </w:r>
      <w:r>
        <w:rPr>
          <w:rFonts w:cs="Times New Roman"/>
          <w:sz w:val="14"/>
          <w:szCs w:val="14"/>
          <w:lang w:val="es-ES_tradnl"/>
        </w:rPr>
        <w:t>ó</w:t>
      </w:r>
      <w:r>
        <w:rPr>
          <w:sz w:val="14"/>
          <w:szCs w:val="14"/>
          <w:lang w:val="es-ES_tradnl"/>
        </w:rPr>
        <w:t>n laboral se ha extinguido por decisi</w:t>
      </w:r>
      <w:r>
        <w:rPr>
          <w:rFonts w:cs="Times New Roman"/>
          <w:sz w:val="14"/>
          <w:szCs w:val="14"/>
          <w:lang w:val="es-ES_tradnl"/>
        </w:rPr>
        <w:t>ó</w:t>
      </w:r>
      <w:r>
        <w:rPr>
          <w:sz w:val="14"/>
          <w:szCs w:val="14"/>
          <w:lang w:val="es-ES_tradnl"/>
        </w:rPr>
        <w:t>n unilateral del empleador, tendr</w:t>
      </w:r>
      <w:r>
        <w:rPr>
          <w:rFonts w:cs="Times New Roman"/>
          <w:sz w:val="14"/>
          <w:szCs w:val="14"/>
          <w:lang w:val="es-ES_tradnl"/>
        </w:rPr>
        <w:t>á</w:t>
      </w:r>
      <w:r>
        <w:rPr>
          <w:sz w:val="14"/>
          <w:szCs w:val="14"/>
          <w:lang w:val="es-ES_tradnl"/>
        </w:rPr>
        <w:t xml:space="preserve"> derecho, a m</w:t>
      </w:r>
      <w:r>
        <w:rPr>
          <w:rFonts w:cs="Times New Roman"/>
          <w:sz w:val="14"/>
          <w:szCs w:val="14"/>
          <w:lang w:val="es-ES_tradnl"/>
        </w:rPr>
        <w:t>á</w:t>
      </w:r>
      <w:r>
        <w:rPr>
          <w:sz w:val="14"/>
          <w:szCs w:val="14"/>
          <w:lang w:val="es-ES_tradnl"/>
        </w:rPr>
        <w:t>s de los valores indemnizatorios al reconocimiento de la jubilaci</w:t>
      </w:r>
      <w:r>
        <w:rPr>
          <w:rFonts w:cs="Times New Roman"/>
          <w:sz w:val="14"/>
          <w:szCs w:val="14"/>
          <w:lang w:val="es-ES_tradnl"/>
        </w:rPr>
        <w:t>ó</w:t>
      </w:r>
      <w:r>
        <w:rPr>
          <w:sz w:val="14"/>
          <w:szCs w:val="14"/>
          <w:lang w:val="es-ES_tradnl"/>
        </w:rPr>
        <w:t>n patronal proporcional siempre y cuando hubiere laborado para su patrono por veinte a</w:t>
      </w:r>
      <w:r>
        <w:rPr>
          <w:rFonts w:cs="Times New Roman"/>
          <w:sz w:val="14"/>
          <w:szCs w:val="14"/>
          <w:lang w:val="es-ES_tradnl"/>
        </w:rPr>
        <w:t>ñ</w:t>
      </w:r>
      <w:r>
        <w:rPr>
          <w:sz w:val="14"/>
          <w:szCs w:val="14"/>
          <w:lang w:val="es-ES_tradnl"/>
        </w:rPr>
        <w:t>os y menos de veinte y cinco a</w:t>
      </w:r>
      <w:r>
        <w:rPr>
          <w:rFonts w:cs="Times New Roman"/>
          <w:sz w:val="14"/>
          <w:szCs w:val="14"/>
          <w:lang w:val="es-ES_tradnl"/>
        </w:rPr>
        <w:t>ñ</w:t>
      </w:r>
      <w:r>
        <w:rPr>
          <w:sz w:val="14"/>
          <w:szCs w:val="14"/>
          <w:lang w:val="es-ES_tradnl"/>
        </w:rPr>
        <w:t>os en forma continua o interrumpida, pues as</w:t>
      </w:r>
      <w:r>
        <w:rPr>
          <w:rFonts w:cs="Times New Roman"/>
          <w:sz w:val="14"/>
          <w:szCs w:val="14"/>
          <w:lang w:val="es-ES_tradnl"/>
        </w:rPr>
        <w:t>í</w:t>
      </w:r>
      <w:r>
        <w:rPr>
          <w:sz w:val="14"/>
          <w:szCs w:val="14"/>
          <w:lang w:val="es-ES_tradnl"/>
        </w:rPr>
        <w:t xml:space="preserve"> lo se</w:t>
      </w:r>
      <w:r>
        <w:rPr>
          <w:rFonts w:cs="Times New Roman"/>
          <w:sz w:val="14"/>
          <w:szCs w:val="14"/>
          <w:lang w:val="es-ES_tradnl"/>
        </w:rPr>
        <w:t>ñ</w:t>
      </w:r>
      <w:r>
        <w:rPr>
          <w:sz w:val="14"/>
          <w:szCs w:val="14"/>
          <w:lang w:val="es-ES_tradnl"/>
        </w:rPr>
        <w:t>ala el inciso s</w:t>
      </w:r>
      <w:r>
        <w:rPr>
          <w:rFonts w:cs="Times New Roman"/>
          <w:sz w:val="14"/>
          <w:szCs w:val="14"/>
          <w:lang w:val="es-ES_tradnl"/>
        </w:rPr>
        <w:t>é</w:t>
      </w:r>
      <w:r>
        <w:rPr>
          <w:sz w:val="14"/>
          <w:szCs w:val="14"/>
          <w:lang w:val="es-ES_tradnl"/>
        </w:rPr>
        <w:t>ptimo de la norma legal invocada (</w:t>
      </w:r>
      <w:r>
        <w:rPr>
          <w:rFonts w:cs="Times New Roman"/>
          <w:sz w:val="14"/>
          <w:szCs w:val="14"/>
          <w:lang w:val="es-ES_tradnl"/>
        </w:rPr>
        <w:t>…</w:t>
      </w:r>
      <w:r>
        <w:rPr>
          <w:sz w:val="14"/>
          <w:szCs w:val="14"/>
          <w:lang w:val="es-ES_tradnl"/>
        </w:rPr>
        <w:t xml:space="preserve">). </w:t>
      </w:r>
      <w:r>
        <w:rPr>
          <w:b/>
          <w:bCs/>
          <w:sz w:val="14"/>
          <w:szCs w:val="14"/>
          <w:lang w:val="es-ES_tradnl"/>
        </w:rPr>
        <w:t>Derecho cuya fuente de origen se encuentra en la ruptura del contrato de trabajo por voluntad unilateral del empleador, es decir, del despido intempestivo, correspondiendo a este Tribunal determinar si efectivamente en el presente caso la relaci</w:t>
      </w:r>
      <w:r>
        <w:rPr>
          <w:rFonts w:cs="Times New Roman"/>
          <w:b/>
          <w:bCs/>
          <w:sz w:val="14"/>
          <w:szCs w:val="14"/>
          <w:lang w:val="es-ES_tradnl"/>
        </w:rPr>
        <w:t>ó</w:t>
      </w:r>
      <w:r>
        <w:rPr>
          <w:b/>
          <w:bCs/>
          <w:sz w:val="14"/>
          <w:szCs w:val="14"/>
          <w:lang w:val="es-ES_tradnl"/>
        </w:rPr>
        <w:t>n laboral entre los justiciables se ha roto por decisi</w:t>
      </w:r>
      <w:r>
        <w:rPr>
          <w:rFonts w:cs="Times New Roman"/>
          <w:b/>
          <w:bCs/>
          <w:sz w:val="14"/>
          <w:szCs w:val="14"/>
          <w:lang w:val="es-ES_tradnl"/>
        </w:rPr>
        <w:t>ó</w:t>
      </w:r>
      <w:r>
        <w:rPr>
          <w:b/>
          <w:bCs/>
          <w:sz w:val="14"/>
          <w:szCs w:val="14"/>
          <w:lang w:val="es-ES_tradnl"/>
        </w:rPr>
        <w:t xml:space="preserve">n unilateral del empleador </w:t>
      </w:r>
      <w:r>
        <w:rPr>
          <w:sz w:val="14"/>
          <w:szCs w:val="14"/>
          <w:lang w:val="es-ES_tradnl"/>
        </w:rPr>
        <w:t>(</w:t>
      </w:r>
      <w:r>
        <w:rPr>
          <w:rFonts w:cs="Times New Roman"/>
          <w:sz w:val="14"/>
          <w:szCs w:val="14"/>
          <w:lang w:val="es-ES_tradnl"/>
        </w:rPr>
        <w:t>…</w:t>
      </w:r>
      <w:r>
        <w:rPr>
          <w:sz w:val="14"/>
          <w:szCs w:val="14"/>
          <w:lang w:val="es-ES_tradnl"/>
        </w:rPr>
        <w:t>). Al respecto, el considerando quinto de la</w:t>
      </w:r>
    </w:p>
    <w:p w14:paraId="4F67B15E" w14:textId="77777777" w:rsidR="00591D54" w:rsidRDefault="00591D54">
      <w:pPr>
        <w:shd w:val="clear" w:color="auto" w:fill="FFFFFF"/>
        <w:spacing w:before="557" w:line="178" w:lineRule="exact"/>
        <w:ind w:left="144" w:hanging="144"/>
        <w:jc w:val="both"/>
      </w:pPr>
      <w:r>
        <w:rPr>
          <w:sz w:val="14"/>
          <w:szCs w:val="14"/>
          <w:vertAlign w:val="superscript"/>
          <w:lang w:val="es-ES_tradnl"/>
        </w:rPr>
        <w:t>8</w:t>
      </w:r>
      <w:r>
        <w:rPr>
          <w:sz w:val="14"/>
          <w:szCs w:val="14"/>
          <w:lang w:val="es-ES_tradnl"/>
        </w:rPr>
        <w:t xml:space="preserve"> Nicol</w:t>
      </w:r>
      <w:r>
        <w:rPr>
          <w:rFonts w:cs="Times New Roman"/>
          <w:sz w:val="14"/>
          <w:szCs w:val="14"/>
          <w:lang w:val="es-ES_tradnl"/>
        </w:rPr>
        <w:t>á</w:t>
      </w:r>
      <w:r>
        <w:rPr>
          <w:sz w:val="14"/>
          <w:szCs w:val="14"/>
          <w:lang w:val="es-ES_tradnl"/>
        </w:rPr>
        <w:t>s Castro Pati</w:t>
      </w:r>
      <w:r>
        <w:rPr>
          <w:rFonts w:cs="Times New Roman"/>
          <w:sz w:val="14"/>
          <w:szCs w:val="14"/>
          <w:lang w:val="es-ES_tradnl"/>
        </w:rPr>
        <w:t>ñ</w:t>
      </w:r>
      <w:r>
        <w:rPr>
          <w:sz w:val="14"/>
          <w:szCs w:val="14"/>
          <w:lang w:val="es-ES_tradnl"/>
        </w:rPr>
        <w:t xml:space="preserve">o, El precedente constitucional vinculante para </w:t>
      </w:r>
      <w:r>
        <w:rPr>
          <w:spacing w:val="-1"/>
          <w:sz w:val="14"/>
          <w:szCs w:val="14"/>
          <w:lang w:val="es-ES_tradnl"/>
        </w:rPr>
        <w:t>el Ecuador, Corporaci</w:t>
      </w:r>
      <w:r>
        <w:rPr>
          <w:rFonts w:cs="Times New Roman"/>
          <w:spacing w:val="-1"/>
          <w:sz w:val="14"/>
          <w:szCs w:val="14"/>
          <w:lang w:val="es-ES_tradnl"/>
        </w:rPr>
        <w:t>ó</w:t>
      </w:r>
      <w:r>
        <w:rPr>
          <w:spacing w:val="-1"/>
          <w:sz w:val="14"/>
          <w:szCs w:val="14"/>
          <w:lang w:val="es-ES_tradnl"/>
        </w:rPr>
        <w:t xml:space="preserve">n de Estudio y Publicaciones, Quito 2009, p </w:t>
      </w:r>
      <w:r>
        <w:rPr>
          <w:sz w:val="14"/>
          <w:szCs w:val="14"/>
          <w:lang w:val="es-ES_tradnl"/>
        </w:rPr>
        <w:t>16.</w:t>
      </w:r>
    </w:p>
    <w:p w14:paraId="4F67B15F" w14:textId="77777777" w:rsidR="00591D54" w:rsidRDefault="00591D54">
      <w:pPr>
        <w:shd w:val="clear" w:color="auto" w:fill="FFFFFF"/>
        <w:spacing w:before="557" w:line="178" w:lineRule="exact"/>
        <w:ind w:left="144" w:hanging="144"/>
        <w:jc w:val="both"/>
        <w:sectPr w:rsidR="00591D54">
          <w:type w:val="continuous"/>
          <w:pgSz w:w="11909" w:h="16834"/>
          <w:pgMar w:top="1356" w:right="1309" w:bottom="360" w:left="1308" w:header="720" w:footer="720" w:gutter="0"/>
          <w:cols w:num="2" w:space="720" w:equalWidth="0">
            <w:col w:w="4305" w:space="682"/>
            <w:col w:w="4305"/>
          </w:cols>
          <w:noEndnote/>
        </w:sectPr>
      </w:pPr>
    </w:p>
    <w:p w14:paraId="4F67B160" w14:textId="77777777" w:rsidR="00591D54" w:rsidRDefault="00591D54">
      <w:pPr>
        <w:shd w:val="clear" w:color="auto" w:fill="FFFFFF"/>
        <w:tabs>
          <w:tab w:val="left" w:pos="4814"/>
        </w:tabs>
        <w:spacing w:after="226"/>
        <w:ind w:left="14"/>
      </w:pPr>
      <w:r>
        <w:rPr>
          <w:b/>
          <w:bCs/>
          <w:sz w:val="18"/>
          <w:szCs w:val="18"/>
          <w:lang w:val="es-ES_tradnl"/>
        </w:rPr>
        <w:t xml:space="preserve">170 -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161" w14:textId="77777777" w:rsidR="00591D54" w:rsidRDefault="00591D54">
      <w:pPr>
        <w:shd w:val="clear" w:color="auto" w:fill="FFFFFF"/>
        <w:tabs>
          <w:tab w:val="left" w:pos="4814"/>
        </w:tabs>
        <w:spacing w:after="226"/>
        <w:ind w:left="14"/>
        <w:sectPr w:rsidR="00591D54">
          <w:pgSz w:w="11909" w:h="16834"/>
          <w:pgMar w:top="1356" w:right="1304" w:bottom="360" w:left="1308" w:header="720" w:footer="720" w:gutter="0"/>
          <w:cols w:space="60"/>
          <w:noEndnote/>
        </w:sectPr>
      </w:pPr>
    </w:p>
    <w:p w14:paraId="4F67B162" w14:textId="77777777" w:rsidR="00591D54" w:rsidRDefault="00591D54">
      <w:pPr>
        <w:shd w:val="clear" w:color="auto" w:fill="FFFFFF"/>
        <w:spacing w:before="10" w:line="206" w:lineRule="exact"/>
        <w:ind w:left="283"/>
        <w:jc w:val="both"/>
      </w:pPr>
      <w:r>
        <w:rPr>
          <w:sz w:val="14"/>
          <w:szCs w:val="14"/>
          <w:lang w:val="es-ES_tradnl"/>
        </w:rPr>
        <w:t xml:space="preserve">sentencia del juzgador de segundo nivel dice: </w:t>
      </w:r>
      <w:r>
        <w:rPr>
          <w:rFonts w:cs="Times New Roman"/>
          <w:sz w:val="14"/>
          <w:szCs w:val="14"/>
          <w:lang w:val="es-ES_tradnl"/>
        </w:rPr>
        <w:t>“</w:t>
      </w:r>
      <w:r>
        <w:rPr>
          <w:sz w:val="14"/>
          <w:szCs w:val="14"/>
          <w:lang w:val="es-ES_tradnl"/>
        </w:rPr>
        <w:t>El documento de finiquito el 1 de noviembre de 2011 ante el Ab. Newton Mor</w:t>
      </w:r>
      <w:r>
        <w:rPr>
          <w:rFonts w:cs="Times New Roman"/>
          <w:sz w:val="14"/>
          <w:szCs w:val="14"/>
          <w:lang w:val="es-ES_tradnl"/>
        </w:rPr>
        <w:t>á</w:t>
      </w:r>
      <w:r>
        <w:rPr>
          <w:sz w:val="14"/>
          <w:szCs w:val="14"/>
          <w:lang w:val="es-ES_tradnl"/>
        </w:rPr>
        <w:t>n Dur</w:t>
      </w:r>
      <w:r>
        <w:rPr>
          <w:rFonts w:cs="Times New Roman"/>
          <w:sz w:val="14"/>
          <w:szCs w:val="14"/>
          <w:lang w:val="es-ES_tradnl"/>
        </w:rPr>
        <w:t>á</w:t>
      </w:r>
      <w:r>
        <w:rPr>
          <w:sz w:val="14"/>
          <w:szCs w:val="14"/>
          <w:lang w:val="es-ES_tradnl"/>
        </w:rPr>
        <w:t>n inspector del trabajo del Guayas se</w:t>
      </w:r>
      <w:r>
        <w:rPr>
          <w:rFonts w:cs="Times New Roman"/>
          <w:sz w:val="14"/>
          <w:szCs w:val="14"/>
          <w:lang w:val="es-ES_tradnl"/>
        </w:rPr>
        <w:t>ñ</w:t>
      </w:r>
      <w:r>
        <w:rPr>
          <w:sz w:val="14"/>
          <w:szCs w:val="14"/>
          <w:lang w:val="es-ES_tradnl"/>
        </w:rPr>
        <w:t>ala que la se</w:t>
      </w:r>
      <w:r>
        <w:rPr>
          <w:rFonts w:cs="Times New Roman"/>
          <w:sz w:val="14"/>
          <w:szCs w:val="14"/>
          <w:lang w:val="es-ES_tradnl"/>
        </w:rPr>
        <w:t>ñ</w:t>
      </w:r>
      <w:r>
        <w:rPr>
          <w:sz w:val="14"/>
          <w:szCs w:val="14"/>
          <w:lang w:val="es-ES_tradnl"/>
        </w:rPr>
        <w:t>ora CECILIA ISABEL PRIETO VEGA prest</w:t>
      </w:r>
      <w:r>
        <w:rPr>
          <w:rFonts w:cs="Times New Roman"/>
          <w:sz w:val="14"/>
          <w:szCs w:val="14"/>
          <w:lang w:val="es-ES_tradnl"/>
        </w:rPr>
        <w:t>ó</w:t>
      </w:r>
      <w:r>
        <w:rPr>
          <w:sz w:val="14"/>
          <w:szCs w:val="14"/>
          <w:lang w:val="es-ES_tradnl"/>
        </w:rPr>
        <w:t xml:space="preserve"> sus servicios hasta el 27 de octubre del 2011, fecha en la cual concluye la relaci</w:t>
      </w:r>
      <w:r>
        <w:rPr>
          <w:rFonts w:cs="Times New Roman"/>
          <w:sz w:val="14"/>
          <w:szCs w:val="14"/>
          <w:lang w:val="es-ES_tradnl"/>
        </w:rPr>
        <w:t>ó</w:t>
      </w:r>
      <w:r>
        <w:rPr>
          <w:sz w:val="14"/>
          <w:szCs w:val="14"/>
          <w:lang w:val="es-ES_tradnl"/>
        </w:rPr>
        <w:t>n por acuerdo de las partes. Examinado el documento cumple con las exigencias previstas en el art. 595 del C</w:t>
      </w:r>
      <w:r>
        <w:rPr>
          <w:rFonts w:cs="Times New Roman"/>
          <w:sz w:val="14"/>
          <w:szCs w:val="14"/>
          <w:lang w:val="es-ES_tradnl"/>
        </w:rPr>
        <w:t>ó</w:t>
      </w:r>
      <w:r>
        <w:rPr>
          <w:sz w:val="14"/>
          <w:szCs w:val="14"/>
          <w:lang w:val="es-ES_tradnl"/>
        </w:rPr>
        <w:t>digo de la materia, ha sido celebrado ante el inspector del trabajo y se encuentra pormenorizado (</w:t>
      </w:r>
      <w:r>
        <w:rPr>
          <w:rFonts w:cs="Times New Roman"/>
          <w:sz w:val="14"/>
          <w:szCs w:val="14"/>
          <w:lang w:val="es-ES_tradnl"/>
        </w:rPr>
        <w:t>…</w:t>
      </w:r>
      <w:r>
        <w:rPr>
          <w:sz w:val="14"/>
          <w:szCs w:val="14"/>
          <w:lang w:val="es-ES_tradnl"/>
        </w:rPr>
        <w:t>).</w:t>
      </w:r>
    </w:p>
    <w:p w14:paraId="4F67B163" w14:textId="77777777" w:rsidR="00591D54" w:rsidRDefault="00591D54">
      <w:pPr>
        <w:shd w:val="clear" w:color="auto" w:fill="FFFFFF"/>
        <w:spacing w:before="192" w:line="206" w:lineRule="exact"/>
        <w:ind w:right="5"/>
        <w:jc w:val="both"/>
      </w:pPr>
      <w:r>
        <w:rPr>
          <w:spacing w:val="-8"/>
          <w:sz w:val="18"/>
          <w:szCs w:val="18"/>
          <w:lang w:val="es-ES_tradnl"/>
        </w:rPr>
        <w:t xml:space="preserve">Del examen de la </w:t>
      </w:r>
      <w:r>
        <w:rPr>
          <w:i/>
          <w:iCs/>
          <w:spacing w:val="-8"/>
          <w:sz w:val="18"/>
          <w:szCs w:val="18"/>
          <w:lang w:val="es-ES_tradnl"/>
        </w:rPr>
        <w:t>ratio decidendi</w:t>
      </w:r>
      <w:r>
        <w:rPr>
          <w:spacing w:val="-8"/>
          <w:sz w:val="18"/>
          <w:szCs w:val="18"/>
          <w:lang w:val="es-ES_tradnl"/>
        </w:rPr>
        <w:t xml:space="preserve">, se aprecia que tanto las </w:t>
      </w:r>
      <w:r>
        <w:rPr>
          <w:spacing w:val="-9"/>
          <w:sz w:val="18"/>
          <w:szCs w:val="18"/>
          <w:lang w:val="es-ES_tradnl"/>
        </w:rPr>
        <w:t>premisas como la conclusi</w:t>
      </w:r>
      <w:r>
        <w:rPr>
          <w:rFonts w:cs="Times New Roman"/>
          <w:spacing w:val="-9"/>
          <w:sz w:val="18"/>
          <w:szCs w:val="18"/>
          <w:lang w:val="es-ES_tradnl"/>
        </w:rPr>
        <w:t>ó</w:t>
      </w:r>
      <w:r>
        <w:rPr>
          <w:spacing w:val="-9"/>
          <w:sz w:val="18"/>
          <w:szCs w:val="18"/>
          <w:lang w:val="es-ES_tradnl"/>
        </w:rPr>
        <w:t>n resultan arm</w:t>
      </w:r>
      <w:r>
        <w:rPr>
          <w:rFonts w:cs="Times New Roman"/>
          <w:spacing w:val="-9"/>
          <w:sz w:val="18"/>
          <w:szCs w:val="18"/>
          <w:lang w:val="es-ES_tradnl"/>
        </w:rPr>
        <w:t>ó</w:t>
      </w:r>
      <w:r>
        <w:rPr>
          <w:spacing w:val="-9"/>
          <w:sz w:val="18"/>
          <w:szCs w:val="18"/>
          <w:lang w:val="es-ES_tradnl"/>
        </w:rPr>
        <w:t xml:space="preserve">nicas al denegar </w:t>
      </w:r>
      <w:r>
        <w:rPr>
          <w:spacing w:val="-6"/>
          <w:sz w:val="18"/>
          <w:szCs w:val="18"/>
          <w:lang w:val="es-ES_tradnl"/>
        </w:rPr>
        <w:t>el supuesto derecho a la jubilaci</w:t>
      </w:r>
      <w:r>
        <w:rPr>
          <w:rFonts w:cs="Times New Roman"/>
          <w:spacing w:val="-6"/>
          <w:sz w:val="18"/>
          <w:szCs w:val="18"/>
          <w:lang w:val="es-ES_tradnl"/>
        </w:rPr>
        <w:t>ó</w:t>
      </w:r>
      <w:r>
        <w:rPr>
          <w:spacing w:val="-6"/>
          <w:sz w:val="18"/>
          <w:szCs w:val="18"/>
          <w:lang w:val="es-ES_tradnl"/>
        </w:rPr>
        <w:t xml:space="preserve">n patronal proporcional </w:t>
      </w:r>
      <w:r>
        <w:rPr>
          <w:spacing w:val="-10"/>
          <w:sz w:val="18"/>
          <w:szCs w:val="18"/>
          <w:lang w:val="es-ES_tradnl"/>
        </w:rPr>
        <w:t>que ha demandado en el recurso extraordinario de casaci</w:t>
      </w:r>
      <w:r>
        <w:rPr>
          <w:rFonts w:cs="Times New Roman"/>
          <w:spacing w:val="-10"/>
          <w:sz w:val="18"/>
          <w:szCs w:val="18"/>
          <w:lang w:val="es-ES_tradnl"/>
        </w:rPr>
        <w:t>ó</w:t>
      </w:r>
      <w:r>
        <w:rPr>
          <w:spacing w:val="-10"/>
          <w:sz w:val="18"/>
          <w:szCs w:val="18"/>
          <w:lang w:val="es-ES_tradnl"/>
        </w:rPr>
        <w:t xml:space="preserve">n porque conforme se desprende de los autos, no ha operado </w:t>
      </w:r>
      <w:r>
        <w:rPr>
          <w:spacing w:val="-1"/>
          <w:sz w:val="18"/>
          <w:szCs w:val="18"/>
          <w:lang w:val="es-ES_tradnl"/>
        </w:rPr>
        <w:t>el despido intempestivo sino que la relaci</w:t>
      </w:r>
      <w:r>
        <w:rPr>
          <w:rFonts w:cs="Times New Roman"/>
          <w:spacing w:val="-1"/>
          <w:sz w:val="18"/>
          <w:szCs w:val="18"/>
          <w:lang w:val="es-ES_tradnl"/>
        </w:rPr>
        <w:t>ó</w:t>
      </w:r>
      <w:r>
        <w:rPr>
          <w:spacing w:val="-1"/>
          <w:sz w:val="18"/>
          <w:szCs w:val="18"/>
          <w:lang w:val="es-ES_tradnl"/>
        </w:rPr>
        <w:t xml:space="preserve">n laboral </w:t>
      </w:r>
      <w:r>
        <w:rPr>
          <w:spacing w:val="-8"/>
          <w:sz w:val="18"/>
          <w:szCs w:val="18"/>
          <w:lang w:val="es-ES_tradnl"/>
        </w:rPr>
        <w:t>feneci</w:t>
      </w:r>
      <w:r>
        <w:rPr>
          <w:rFonts w:cs="Times New Roman"/>
          <w:spacing w:val="-8"/>
          <w:sz w:val="18"/>
          <w:szCs w:val="18"/>
          <w:lang w:val="es-ES_tradnl"/>
        </w:rPr>
        <w:t>ó</w:t>
      </w:r>
      <w:r>
        <w:rPr>
          <w:spacing w:val="-8"/>
          <w:sz w:val="18"/>
          <w:szCs w:val="18"/>
          <w:lang w:val="es-ES_tradnl"/>
        </w:rPr>
        <w:t xml:space="preserve"> por acuerdo mutuo suscrito entre el empleador y la </w:t>
      </w:r>
      <w:r>
        <w:rPr>
          <w:sz w:val="18"/>
          <w:szCs w:val="18"/>
          <w:lang w:val="es-ES_tradnl"/>
        </w:rPr>
        <w:t>trabajadora en acta de finiquito.</w:t>
      </w:r>
    </w:p>
    <w:p w14:paraId="4F67B164" w14:textId="77777777" w:rsidR="00591D54" w:rsidRDefault="00591D54">
      <w:pPr>
        <w:shd w:val="clear" w:color="auto" w:fill="FFFFFF"/>
        <w:spacing w:before="187" w:line="206" w:lineRule="exact"/>
        <w:jc w:val="both"/>
      </w:pPr>
      <w:r>
        <w:rPr>
          <w:spacing w:val="-9"/>
          <w:sz w:val="18"/>
          <w:szCs w:val="18"/>
          <w:lang w:val="es-ES_tradnl"/>
        </w:rPr>
        <w:t xml:space="preserve">En consecuencia, esta Magistratura Constitucional, una vez </w:t>
      </w:r>
      <w:r>
        <w:rPr>
          <w:spacing w:val="-6"/>
          <w:sz w:val="18"/>
          <w:szCs w:val="18"/>
          <w:lang w:val="es-ES_tradnl"/>
        </w:rPr>
        <w:t>examinado el fallo cuestionado, concluye que la decisi</w:t>
      </w:r>
      <w:r>
        <w:rPr>
          <w:rFonts w:cs="Times New Roman"/>
          <w:spacing w:val="-6"/>
          <w:sz w:val="18"/>
          <w:szCs w:val="18"/>
          <w:lang w:val="es-ES_tradnl"/>
        </w:rPr>
        <w:t>ó</w:t>
      </w:r>
      <w:r>
        <w:rPr>
          <w:spacing w:val="-6"/>
          <w:sz w:val="18"/>
          <w:szCs w:val="18"/>
          <w:lang w:val="es-ES_tradnl"/>
        </w:rPr>
        <w:t xml:space="preserve">n </w:t>
      </w:r>
      <w:r>
        <w:rPr>
          <w:spacing w:val="-8"/>
          <w:sz w:val="18"/>
          <w:szCs w:val="18"/>
          <w:lang w:val="es-ES_tradnl"/>
        </w:rPr>
        <w:t xml:space="preserve">judicial sujeta al control de constitucionalidad mantiene una </w:t>
      </w:r>
      <w:r>
        <w:rPr>
          <w:spacing w:val="-6"/>
          <w:sz w:val="18"/>
          <w:szCs w:val="18"/>
          <w:lang w:val="es-ES_tradnl"/>
        </w:rPr>
        <w:t>l</w:t>
      </w:r>
      <w:r>
        <w:rPr>
          <w:rFonts w:cs="Times New Roman"/>
          <w:spacing w:val="-6"/>
          <w:sz w:val="18"/>
          <w:szCs w:val="18"/>
          <w:lang w:val="es-ES_tradnl"/>
        </w:rPr>
        <w:t>í</w:t>
      </w:r>
      <w:r>
        <w:rPr>
          <w:spacing w:val="-6"/>
          <w:sz w:val="18"/>
          <w:szCs w:val="18"/>
          <w:lang w:val="es-ES_tradnl"/>
        </w:rPr>
        <w:t>nea argumentativa coherente y l</w:t>
      </w:r>
      <w:r>
        <w:rPr>
          <w:rFonts w:cs="Times New Roman"/>
          <w:spacing w:val="-6"/>
          <w:sz w:val="18"/>
          <w:szCs w:val="18"/>
          <w:lang w:val="es-ES_tradnl"/>
        </w:rPr>
        <w:t>ó</w:t>
      </w:r>
      <w:r>
        <w:rPr>
          <w:spacing w:val="-6"/>
          <w:sz w:val="18"/>
          <w:szCs w:val="18"/>
          <w:lang w:val="es-ES_tradnl"/>
        </w:rPr>
        <w:t xml:space="preserve">gica ya que el criterio </w:t>
      </w:r>
      <w:r>
        <w:rPr>
          <w:spacing w:val="-12"/>
          <w:sz w:val="18"/>
          <w:szCs w:val="18"/>
          <w:lang w:val="es-ES_tradnl"/>
        </w:rPr>
        <w:t xml:space="preserve">expuesto se basa en las normas legales pertinentes, de modo </w:t>
      </w:r>
      <w:r>
        <w:rPr>
          <w:spacing w:val="-10"/>
          <w:sz w:val="18"/>
          <w:szCs w:val="18"/>
          <w:lang w:val="es-ES_tradnl"/>
        </w:rPr>
        <w:t>que la conclusi</w:t>
      </w:r>
      <w:r>
        <w:rPr>
          <w:rFonts w:cs="Times New Roman"/>
          <w:spacing w:val="-10"/>
          <w:sz w:val="18"/>
          <w:szCs w:val="18"/>
          <w:lang w:val="es-ES_tradnl"/>
        </w:rPr>
        <w:t>ó</w:t>
      </w:r>
      <w:r>
        <w:rPr>
          <w:spacing w:val="-10"/>
          <w:sz w:val="18"/>
          <w:szCs w:val="18"/>
          <w:lang w:val="es-ES_tradnl"/>
        </w:rPr>
        <w:t xml:space="preserve">n de no casar la sentencia recurrida tiene su </w:t>
      </w:r>
      <w:r>
        <w:rPr>
          <w:spacing w:val="-8"/>
          <w:sz w:val="18"/>
          <w:szCs w:val="18"/>
          <w:lang w:val="es-ES_tradnl"/>
        </w:rPr>
        <w:t>fundamento jur</w:t>
      </w:r>
      <w:r>
        <w:rPr>
          <w:rFonts w:cs="Times New Roman"/>
          <w:spacing w:val="-8"/>
          <w:sz w:val="18"/>
          <w:szCs w:val="18"/>
          <w:lang w:val="es-ES_tradnl"/>
        </w:rPr>
        <w:t>í</w:t>
      </w:r>
      <w:r>
        <w:rPr>
          <w:spacing w:val="-8"/>
          <w:sz w:val="18"/>
          <w:szCs w:val="18"/>
          <w:lang w:val="es-ES_tradnl"/>
        </w:rPr>
        <w:t xml:space="preserve">dico, por lo que se encuentra debidamente </w:t>
      </w:r>
      <w:r>
        <w:rPr>
          <w:spacing w:val="-5"/>
          <w:sz w:val="18"/>
          <w:szCs w:val="18"/>
          <w:lang w:val="es-ES_tradnl"/>
        </w:rPr>
        <w:t>motivado conforme exige el art</w:t>
      </w:r>
      <w:r>
        <w:rPr>
          <w:rFonts w:cs="Times New Roman"/>
          <w:spacing w:val="-5"/>
          <w:sz w:val="18"/>
          <w:szCs w:val="18"/>
          <w:lang w:val="es-ES_tradnl"/>
        </w:rPr>
        <w:t>í</w:t>
      </w:r>
      <w:r>
        <w:rPr>
          <w:spacing w:val="-5"/>
          <w:sz w:val="18"/>
          <w:szCs w:val="18"/>
          <w:lang w:val="es-ES_tradnl"/>
        </w:rPr>
        <w:t xml:space="preserve">culo 76 numeral 7 literal </w:t>
      </w:r>
      <w:r>
        <w:rPr>
          <w:b/>
          <w:bCs/>
          <w:spacing w:val="-5"/>
          <w:sz w:val="18"/>
          <w:szCs w:val="18"/>
          <w:lang w:val="es-ES_tradnl"/>
        </w:rPr>
        <w:t xml:space="preserve">l </w:t>
      </w:r>
      <w:r>
        <w:rPr>
          <w:sz w:val="18"/>
          <w:szCs w:val="18"/>
          <w:lang w:val="es-ES_tradnl"/>
        </w:rPr>
        <w:t>de 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B165" w14:textId="77777777" w:rsidR="00591D54" w:rsidRDefault="00591D54">
      <w:pPr>
        <w:shd w:val="clear" w:color="auto" w:fill="FFFFFF"/>
        <w:spacing w:before="187" w:line="206" w:lineRule="exact"/>
        <w:ind w:right="5"/>
        <w:jc w:val="both"/>
      </w:pPr>
      <w:r>
        <w:rPr>
          <w:spacing w:val="-11"/>
          <w:sz w:val="18"/>
          <w:szCs w:val="18"/>
          <w:lang w:val="es-ES_tradnl"/>
        </w:rPr>
        <w:t xml:space="preserve">Finalmente, la </w:t>
      </w:r>
      <w:r>
        <w:rPr>
          <w:b/>
          <w:bCs/>
          <w:spacing w:val="-11"/>
          <w:sz w:val="18"/>
          <w:szCs w:val="18"/>
          <w:lang w:val="es-ES_tradnl"/>
        </w:rPr>
        <w:t xml:space="preserve">comprensibilidad </w:t>
      </w:r>
      <w:r>
        <w:rPr>
          <w:spacing w:val="-11"/>
          <w:sz w:val="18"/>
          <w:szCs w:val="18"/>
          <w:lang w:val="es-ES_tradnl"/>
        </w:rPr>
        <w:t xml:space="preserve">exige que la sentencia sea </w:t>
      </w:r>
      <w:r>
        <w:rPr>
          <w:spacing w:val="-9"/>
          <w:sz w:val="18"/>
          <w:szCs w:val="18"/>
          <w:lang w:val="es-ES_tradnl"/>
        </w:rPr>
        <w:t xml:space="preserve">redactada en un lenguaje pertinente, sencillo y claro, que no </w:t>
      </w:r>
      <w:r>
        <w:rPr>
          <w:spacing w:val="-11"/>
          <w:sz w:val="18"/>
          <w:szCs w:val="18"/>
          <w:lang w:val="es-ES_tradnl"/>
        </w:rPr>
        <w:t xml:space="preserve">solo sea entendido por las partes procesales, sino, por toda la </w:t>
      </w:r>
      <w:r>
        <w:rPr>
          <w:spacing w:val="-10"/>
          <w:sz w:val="18"/>
          <w:szCs w:val="18"/>
          <w:lang w:val="es-ES_tradnl"/>
        </w:rPr>
        <w:t>ciudadan</w:t>
      </w:r>
      <w:r>
        <w:rPr>
          <w:rFonts w:cs="Times New Roman"/>
          <w:spacing w:val="-10"/>
          <w:sz w:val="18"/>
          <w:szCs w:val="18"/>
          <w:lang w:val="es-ES_tradnl"/>
        </w:rPr>
        <w:t>í</w:t>
      </w:r>
      <w:r>
        <w:rPr>
          <w:spacing w:val="-10"/>
          <w:sz w:val="18"/>
          <w:szCs w:val="18"/>
          <w:lang w:val="es-ES_tradnl"/>
        </w:rPr>
        <w:t>a, que a trav</w:t>
      </w:r>
      <w:r>
        <w:rPr>
          <w:rFonts w:cs="Times New Roman"/>
          <w:spacing w:val="-10"/>
          <w:sz w:val="18"/>
          <w:szCs w:val="18"/>
          <w:lang w:val="es-ES_tradnl"/>
        </w:rPr>
        <w:t>é</w:t>
      </w:r>
      <w:r>
        <w:rPr>
          <w:spacing w:val="-10"/>
          <w:sz w:val="18"/>
          <w:szCs w:val="18"/>
          <w:lang w:val="es-ES_tradnl"/>
        </w:rPr>
        <w:t xml:space="preserve">s de ella se adquieran conocimientos </w:t>
      </w:r>
      <w:r>
        <w:rPr>
          <w:spacing w:val="-9"/>
          <w:sz w:val="18"/>
          <w:szCs w:val="18"/>
          <w:lang w:val="es-ES_tradnl"/>
        </w:rPr>
        <w:t>en derecho y que la misma goce de legitimidad, as</w:t>
      </w:r>
      <w:r>
        <w:rPr>
          <w:rFonts w:cs="Times New Roman"/>
          <w:spacing w:val="-9"/>
          <w:sz w:val="18"/>
          <w:szCs w:val="18"/>
          <w:lang w:val="es-ES_tradnl"/>
        </w:rPr>
        <w:t>í</w:t>
      </w:r>
      <w:r>
        <w:rPr>
          <w:spacing w:val="-9"/>
          <w:sz w:val="18"/>
          <w:szCs w:val="18"/>
          <w:lang w:val="es-ES_tradnl"/>
        </w:rPr>
        <w:t xml:space="preserve"> lo exige </w:t>
      </w:r>
      <w:r>
        <w:rPr>
          <w:spacing w:val="-6"/>
          <w:sz w:val="18"/>
          <w:szCs w:val="18"/>
          <w:lang w:val="es-ES_tradnl"/>
        </w:rPr>
        <w:t>el art</w:t>
      </w:r>
      <w:r>
        <w:rPr>
          <w:rFonts w:cs="Times New Roman"/>
          <w:spacing w:val="-6"/>
          <w:sz w:val="18"/>
          <w:szCs w:val="18"/>
          <w:lang w:val="es-ES_tradnl"/>
        </w:rPr>
        <w:t>í</w:t>
      </w:r>
      <w:r>
        <w:rPr>
          <w:spacing w:val="-6"/>
          <w:sz w:val="18"/>
          <w:szCs w:val="18"/>
          <w:lang w:val="es-ES_tradnl"/>
        </w:rPr>
        <w:t>culo 4 numeral 10 de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w:t>
      </w:r>
      <w:r>
        <w:rPr>
          <w:spacing w:val="-5"/>
          <w:sz w:val="18"/>
          <w:szCs w:val="18"/>
          <w:lang w:val="es-ES_tradnl"/>
        </w:rPr>
        <w:t xml:space="preserve">Jurisdiccionales y Control Constitucional, cuando dice: </w:t>
      </w:r>
      <w:r>
        <w:rPr>
          <w:rFonts w:cs="Times New Roman"/>
          <w:spacing w:val="-5"/>
          <w:sz w:val="18"/>
          <w:szCs w:val="18"/>
          <w:lang w:val="es-ES_tradnl"/>
        </w:rPr>
        <w:t>“</w:t>
      </w:r>
      <w:r>
        <w:rPr>
          <w:spacing w:val="-5"/>
          <w:sz w:val="18"/>
          <w:szCs w:val="18"/>
          <w:lang w:val="es-ES_tradnl"/>
        </w:rPr>
        <w:t>Comprensi</w:t>
      </w:r>
      <w:r>
        <w:rPr>
          <w:rFonts w:cs="Times New Roman"/>
          <w:spacing w:val="-5"/>
          <w:sz w:val="18"/>
          <w:szCs w:val="18"/>
          <w:lang w:val="es-ES_tradnl"/>
        </w:rPr>
        <w:t>ó</w:t>
      </w:r>
      <w:r>
        <w:rPr>
          <w:spacing w:val="-5"/>
          <w:sz w:val="18"/>
          <w:szCs w:val="18"/>
          <w:lang w:val="es-ES_tradnl"/>
        </w:rPr>
        <w:t xml:space="preserve">n efectiva.- Con la finalidad de acercar la </w:t>
      </w:r>
      <w:r>
        <w:rPr>
          <w:spacing w:val="-10"/>
          <w:sz w:val="18"/>
          <w:szCs w:val="18"/>
          <w:lang w:val="es-ES_tradnl"/>
        </w:rPr>
        <w:t>comprensi</w:t>
      </w:r>
      <w:r>
        <w:rPr>
          <w:rFonts w:cs="Times New Roman"/>
          <w:spacing w:val="-10"/>
          <w:sz w:val="18"/>
          <w:szCs w:val="18"/>
          <w:lang w:val="es-ES_tradnl"/>
        </w:rPr>
        <w:t>ó</w:t>
      </w:r>
      <w:r>
        <w:rPr>
          <w:spacing w:val="-10"/>
          <w:sz w:val="18"/>
          <w:szCs w:val="18"/>
          <w:lang w:val="es-ES_tradnl"/>
        </w:rPr>
        <w:t>n efectiva de sus resoluciones a la ciudadan</w:t>
      </w:r>
      <w:r>
        <w:rPr>
          <w:rFonts w:cs="Times New Roman"/>
          <w:spacing w:val="-10"/>
          <w:sz w:val="18"/>
          <w:szCs w:val="18"/>
          <w:lang w:val="es-ES_tradnl"/>
        </w:rPr>
        <w:t>í</w:t>
      </w:r>
      <w:r>
        <w:rPr>
          <w:spacing w:val="-10"/>
          <w:sz w:val="18"/>
          <w:szCs w:val="18"/>
          <w:lang w:val="es-ES_tradnl"/>
        </w:rPr>
        <w:t>a, la jueza o juez deber</w:t>
      </w:r>
      <w:r>
        <w:rPr>
          <w:rFonts w:cs="Times New Roman"/>
          <w:spacing w:val="-10"/>
          <w:sz w:val="18"/>
          <w:szCs w:val="18"/>
          <w:lang w:val="es-ES_tradnl"/>
        </w:rPr>
        <w:t>á</w:t>
      </w:r>
      <w:r>
        <w:rPr>
          <w:spacing w:val="-10"/>
          <w:sz w:val="18"/>
          <w:szCs w:val="18"/>
          <w:lang w:val="es-ES_tradnl"/>
        </w:rPr>
        <w:t xml:space="preserve"> redactar sus sentencias de forma clara, </w:t>
      </w:r>
      <w:r>
        <w:rPr>
          <w:spacing w:val="-5"/>
          <w:sz w:val="18"/>
          <w:szCs w:val="18"/>
          <w:lang w:val="es-ES_tradnl"/>
        </w:rPr>
        <w:t>concreta, inteligible, asequible y sint</w:t>
      </w:r>
      <w:r>
        <w:rPr>
          <w:rFonts w:cs="Times New Roman"/>
          <w:spacing w:val="-5"/>
          <w:sz w:val="18"/>
          <w:szCs w:val="18"/>
          <w:lang w:val="es-ES_tradnl"/>
        </w:rPr>
        <w:t>é</w:t>
      </w:r>
      <w:r>
        <w:rPr>
          <w:spacing w:val="-5"/>
          <w:sz w:val="18"/>
          <w:szCs w:val="18"/>
          <w:lang w:val="es-ES_tradnl"/>
        </w:rPr>
        <w:t xml:space="preserve">tica, incluyendo las </w:t>
      </w:r>
      <w:r>
        <w:rPr>
          <w:spacing w:val="-11"/>
          <w:sz w:val="18"/>
          <w:szCs w:val="18"/>
          <w:lang w:val="es-ES_tradnl"/>
        </w:rPr>
        <w:t xml:space="preserve">cuestiones de hecho y derecho planteadas y el razonamiento </w:t>
      </w:r>
      <w:r>
        <w:rPr>
          <w:spacing w:val="-8"/>
          <w:sz w:val="18"/>
          <w:szCs w:val="18"/>
          <w:lang w:val="es-ES_tradnl"/>
        </w:rPr>
        <w:t>seguido para tomar la decisi</w:t>
      </w:r>
      <w:r>
        <w:rPr>
          <w:rFonts w:cs="Times New Roman"/>
          <w:spacing w:val="-8"/>
          <w:sz w:val="18"/>
          <w:szCs w:val="18"/>
          <w:lang w:val="es-ES_tradnl"/>
        </w:rPr>
        <w:t>ó</w:t>
      </w:r>
      <w:r>
        <w:rPr>
          <w:spacing w:val="-8"/>
          <w:sz w:val="18"/>
          <w:szCs w:val="18"/>
          <w:lang w:val="es-ES_tradnl"/>
        </w:rPr>
        <w:t>n que adopte</w:t>
      </w:r>
      <w:r>
        <w:rPr>
          <w:rFonts w:cs="Times New Roman"/>
          <w:spacing w:val="-8"/>
          <w:sz w:val="18"/>
          <w:szCs w:val="18"/>
          <w:lang w:val="es-ES_tradnl"/>
        </w:rPr>
        <w:t>”</w:t>
      </w:r>
      <w:r>
        <w:rPr>
          <w:spacing w:val="-8"/>
          <w:sz w:val="18"/>
          <w:szCs w:val="18"/>
          <w:lang w:val="es-ES_tradnl"/>
        </w:rPr>
        <w:t>.</w:t>
      </w:r>
    </w:p>
    <w:p w14:paraId="4F67B166" w14:textId="77777777" w:rsidR="00591D54" w:rsidRDefault="00591D54">
      <w:pPr>
        <w:shd w:val="clear" w:color="auto" w:fill="FFFFFF"/>
        <w:spacing w:before="187" w:line="206" w:lineRule="exact"/>
        <w:jc w:val="both"/>
      </w:pPr>
      <w:r>
        <w:rPr>
          <w:spacing w:val="-4"/>
          <w:sz w:val="18"/>
          <w:szCs w:val="18"/>
          <w:lang w:val="es-ES_tradnl"/>
        </w:rPr>
        <w:t>Entonces no se debe ignorar que la motivaci</w:t>
      </w:r>
      <w:r>
        <w:rPr>
          <w:rFonts w:cs="Times New Roman"/>
          <w:spacing w:val="-4"/>
          <w:sz w:val="18"/>
          <w:szCs w:val="18"/>
          <w:lang w:val="es-ES_tradnl"/>
        </w:rPr>
        <w:t>ó</w:t>
      </w:r>
      <w:r>
        <w:rPr>
          <w:spacing w:val="-4"/>
          <w:sz w:val="18"/>
          <w:szCs w:val="18"/>
          <w:lang w:val="es-ES_tradnl"/>
        </w:rPr>
        <w:t xml:space="preserve">n no va dirigida solo a los interesados en el asunto resuelto sino, </w:t>
      </w:r>
      <w:r>
        <w:rPr>
          <w:spacing w:val="-10"/>
          <w:sz w:val="18"/>
          <w:szCs w:val="18"/>
          <w:lang w:val="es-ES_tradnl"/>
        </w:rPr>
        <w:t xml:space="preserve">a las personas en general, quienes en definitiva son los que </w:t>
      </w:r>
      <w:r>
        <w:rPr>
          <w:spacing w:val="-8"/>
          <w:sz w:val="18"/>
          <w:szCs w:val="18"/>
          <w:lang w:val="es-ES_tradnl"/>
        </w:rPr>
        <w:t xml:space="preserve">juzgan las actuaciones de los operadores de justicia, pues </w:t>
      </w:r>
      <w:r>
        <w:rPr>
          <w:spacing w:val="-6"/>
          <w:sz w:val="18"/>
          <w:szCs w:val="18"/>
          <w:lang w:val="es-ES_tradnl"/>
        </w:rPr>
        <w:t xml:space="preserve">permite el control de la actividad jurisdiccional del Estado </w:t>
      </w:r>
      <w:r>
        <w:rPr>
          <w:spacing w:val="-7"/>
          <w:sz w:val="18"/>
          <w:szCs w:val="18"/>
          <w:lang w:val="es-ES_tradnl"/>
        </w:rPr>
        <w:t xml:space="preserve">en todas las instancias, control que se extiende inclusive a </w:t>
      </w:r>
      <w:r>
        <w:rPr>
          <w:sz w:val="18"/>
          <w:szCs w:val="18"/>
          <w:lang w:val="es-ES_tradnl"/>
        </w:rPr>
        <w:t>la opini</w:t>
      </w:r>
      <w:r>
        <w:rPr>
          <w:rFonts w:cs="Times New Roman"/>
          <w:sz w:val="18"/>
          <w:szCs w:val="18"/>
          <w:lang w:val="es-ES_tradnl"/>
        </w:rPr>
        <w:t>ó</w:t>
      </w:r>
      <w:r>
        <w:rPr>
          <w:sz w:val="18"/>
          <w:szCs w:val="18"/>
          <w:lang w:val="es-ES_tradnl"/>
        </w:rPr>
        <w:t>n p</w:t>
      </w:r>
      <w:r>
        <w:rPr>
          <w:rFonts w:cs="Times New Roman"/>
          <w:sz w:val="18"/>
          <w:szCs w:val="18"/>
          <w:lang w:val="es-ES_tradnl"/>
        </w:rPr>
        <w:t>ú</w:t>
      </w:r>
      <w:r>
        <w:rPr>
          <w:sz w:val="18"/>
          <w:szCs w:val="18"/>
          <w:lang w:val="es-ES_tradnl"/>
        </w:rPr>
        <w:t>blica.</w:t>
      </w:r>
    </w:p>
    <w:p w14:paraId="4F67B167" w14:textId="77777777" w:rsidR="00591D54" w:rsidRDefault="00591D54">
      <w:pPr>
        <w:shd w:val="clear" w:color="auto" w:fill="FFFFFF"/>
        <w:spacing w:before="187" w:line="206" w:lineRule="exact"/>
        <w:jc w:val="both"/>
      </w:pPr>
      <w:r>
        <w:rPr>
          <w:spacing w:val="-10"/>
          <w:sz w:val="18"/>
          <w:szCs w:val="18"/>
          <w:lang w:val="es-ES_tradnl"/>
        </w:rPr>
        <w:t xml:space="preserve">Por lo expuesto, este Organismo encuentra que la sentencia </w:t>
      </w:r>
      <w:r>
        <w:rPr>
          <w:spacing w:val="-9"/>
          <w:sz w:val="18"/>
          <w:szCs w:val="18"/>
          <w:lang w:val="es-ES_tradnl"/>
        </w:rPr>
        <w:t>materia de esta acci</w:t>
      </w:r>
      <w:r>
        <w:rPr>
          <w:rFonts w:cs="Times New Roman"/>
          <w:spacing w:val="-9"/>
          <w:sz w:val="18"/>
          <w:szCs w:val="18"/>
          <w:lang w:val="es-ES_tradnl"/>
        </w:rPr>
        <w:t>ó</w:t>
      </w:r>
      <w:r>
        <w:rPr>
          <w:spacing w:val="-9"/>
          <w:sz w:val="18"/>
          <w:szCs w:val="18"/>
          <w:lang w:val="es-ES_tradnl"/>
        </w:rPr>
        <w:t xml:space="preserve">n, es comprensible, clara, en cuanto a </w:t>
      </w:r>
      <w:r>
        <w:rPr>
          <w:spacing w:val="-8"/>
          <w:sz w:val="18"/>
          <w:szCs w:val="18"/>
          <w:lang w:val="es-ES_tradnl"/>
        </w:rPr>
        <w:t>las ideas y prop</w:t>
      </w:r>
      <w:r>
        <w:rPr>
          <w:rFonts w:cs="Times New Roman"/>
          <w:spacing w:val="-8"/>
          <w:sz w:val="18"/>
          <w:szCs w:val="18"/>
          <w:lang w:val="es-ES_tradnl"/>
        </w:rPr>
        <w:t>ó</w:t>
      </w:r>
      <w:r>
        <w:rPr>
          <w:spacing w:val="-8"/>
          <w:sz w:val="18"/>
          <w:szCs w:val="18"/>
          <w:lang w:val="es-ES_tradnl"/>
        </w:rPr>
        <w:t xml:space="preserve">sitos del mismo, guiados por las premisas </w:t>
      </w:r>
      <w:r>
        <w:rPr>
          <w:spacing w:val="-7"/>
          <w:sz w:val="18"/>
          <w:szCs w:val="18"/>
          <w:lang w:val="es-ES_tradnl"/>
        </w:rPr>
        <w:t>del caso, por lo tanto, la redacci</w:t>
      </w:r>
      <w:r>
        <w:rPr>
          <w:rFonts w:cs="Times New Roman"/>
          <w:spacing w:val="-7"/>
          <w:sz w:val="18"/>
          <w:szCs w:val="18"/>
          <w:lang w:val="es-ES_tradnl"/>
        </w:rPr>
        <w:t>ó</w:t>
      </w:r>
      <w:r>
        <w:rPr>
          <w:spacing w:val="-7"/>
          <w:sz w:val="18"/>
          <w:szCs w:val="18"/>
          <w:lang w:val="es-ES_tradnl"/>
        </w:rPr>
        <w:t xml:space="preserve">n es coherente, completa </w:t>
      </w:r>
      <w:r>
        <w:rPr>
          <w:spacing w:val="-5"/>
          <w:sz w:val="18"/>
          <w:szCs w:val="18"/>
          <w:lang w:val="es-ES_tradnl"/>
        </w:rPr>
        <w:t>y pertinente, realizado en lenguaje sencillo y de f</w:t>
      </w:r>
      <w:r>
        <w:rPr>
          <w:rFonts w:cs="Times New Roman"/>
          <w:spacing w:val="-5"/>
          <w:sz w:val="18"/>
          <w:szCs w:val="18"/>
          <w:lang w:val="es-ES_tradnl"/>
        </w:rPr>
        <w:t>á</w:t>
      </w:r>
      <w:r>
        <w:rPr>
          <w:spacing w:val="-5"/>
          <w:sz w:val="18"/>
          <w:szCs w:val="18"/>
          <w:lang w:val="es-ES_tradnl"/>
        </w:rPr>
        <w:t xml:space="preserve">cil </w:t>
      </w:r>
      <w:r>
        <w:rPr>
          <w:spacing w:val="-9"/>
          <w:sz w:val="18"/>
          <w:szCs w:val="18"/>
          <w:lang w:val="es-ES_tradnl"/>
        </w:rPr>
        <w:t>entendimiento para las personas en general.</w:t>
      </w:r>
    </w:p>
    <w:p w14:paraId="4F67B168" w14:textId="77777777" w:rsidR="00591D54" w:rsidRDefault="00591D54">
      <w:pPr>
        <w:shd w:val="clear" w:color="auto" w:fill="FFFFFF"/>
        <w:spacing w:before="187" w:line="206" w:lineRule="exact"/>
        <w:ind w:right="5"/>
        <w:jc w:val="both"/>
      </w:pPr>
      <w:r>
        <w:rPr>
          <w:spacing w:val="-9"/>
          <w:sz w:val="18"/>
          <w:szCs w:val="18"/>
          <w:lang w:val="es-ES_tradnl"/>
        </w:rPr>
        <w:t xml:space="preserve">Con estas consideraciones se concluye que en la sentencia </w:t>
      </w:r>
      <w:r>
        <w:rPr>
          <w:spacing w:val="-3"/>
          <w:sz w:val="18"/>
          <w:szCs w:val="18"/>
          <w:lang w:val="es-ES_tradnl"/>
        </w:rPr>
        <w:t xml:space="preserve">expedida el 20 de enero de 2014 a las 10h10, por los </w:t>
      </w:r>
      <w:r>
        <w:rPr>
          <w:spacing w:val="-7"/>
          <w:sz w:val="18"/>
          <w:szCs w:val="18"/>
          <w:lang w:val="es-ES_tradnl"/>
        </w:rPr>
        <w:t xml:space="preserve">jueces de la Sala Especializada de lo Laboral de la Corte </w:t>
      </w:r>
      <w:r>
        <w:rPr>
          <w:spacing w:val="-6"/>
          <w:sz w:val="18"/>
          <w:szCs w:val="18"/>
          <w:lang w:val="es-ES_tradnl"/>
        </w:rPr>
        <w:t xml:space="preserve">Nacional de Justicia, no vulnera el derecho constitucional </w:t>
      </w:r>
      <w:r>
        <w:rPr>
          <w:spacing w:val="-7"/>
          <w:sz w:val="18"/>
          <w:szCs w:val="18"/>
          <w:lang w:val="es-ES_tradnl"/>
        </w:rPr>
        <w:t>al debido proceso en la garant</w:t>
      </w:r>
      <w:r>
        <w:rPr>
          <w:rFonts w:cs="Times New Roman"/>
          <w:spacing w:val="-7"/>
          <w:sz w:val="18"/>
          <w:szCs w:val="18"/>
          <w:lang w:val="es-ES_tradnl"/>
        </w:rPr>
        <w:t>í</w:t>
      </w:r>
      <w:r>
        <w:rPr>
          <w:spacing w:val="-7"/>
          <w:sz w:val="18"/>
          <w:szCs w:val="18"/>
          <w:lang w:val="es-ES_tradnl"/>
        </w:rPr>
        <w:t>a de la motivaci</w:t>
      </w:r>
      <w:r>
        <w:rPr>
          <w:rFonts w:cs="Times New Roman"/>
          <w:spacing w:val="-7"/>
          <w:sz w:val="18"/>
          <w:szCs w:val="18"/>
          <w:lang w:val="es-ES_tradnl"/>
        </w:rPr>
        <w:t>ó</w:t>
      </w:r>
      <w:r>
        <w:rPr>
          <w:spacing w:val="-7"/>
          <w:sz w:val="18"/>
          <w:szCs w:val="18"/>
          <w:lang w:val="es-ES_tradnl"/>
        </w:rPr>
        <w:t xml:space="preserve">n, prevista </w:t>
      </w:r>
      <w:r>
        <w:rPr>
          <w:spacing w:val="-6"/>
          <w:sz w:val="18"/>
          <w:szCs w:val="18"/>
          <w:lang w:val="es-ES_tradnl"/>
        </w:rPr>
        <w:t>en el art</w:t>
      </w:r>
      <w:r>
        <w:rPr>
          <w:rFonts w:cs="Times New Roman"/>
          <w:spacing w:val="-6"/>
          <w:sz w:val="18"/>
          <w:szCs w:val="18"/>
          <w:lang w:val="es-ES_tradnl"/>
        </w:rPr>
        <w:t>í</w:t>
      </w:r>
      <w:r>
        <w:rPr>
          <w:spacing w:val="-6"/>
          <w:sz w:val="18"/>
          <w:szCs w:val="18"/>
          <w:lang w:val="es-ES_tradnl"/>
        </w:rPr>
        <w:t xml:space="preserve">culo 76 numeral 7 literal </w:t>
      </w:r>
      <w:r>
        <w:rPr>
          <w:b/>
          <w:bCs/>
          <w:spacing w:val="-6"/>
          <w:sz w:val="18"/>
          <w:szCs w:val="18"/>
          <w:lang w:val="es-ES_tradnl"/>
        </w:rPr>
        <w:t xml:space="preserve">l </w:t>
      </w:r>
      <w:r>
        <w:rPr>
          <w:spacing w:val="-6"/>
          <w:sz w:val="18"/>
          <w:szCs w:val="18"/>
          <w:lang w:val="es-ES_tradnl"/>
        </w:rPr>
        <w:t>de la Constituci</w:t>
      </w:r>
      <w:r>
        <w:rPr>
          <w:rFonts w:cs="Times New Roman"/>
          <w:spacing w:val="-6"/>
          <w:sz w:val="18"/>
          <w:szCs w:val="18"/>
          <w:lang w:val="es-ES_tradnl"/>
        </w:rPr>
        <w:t>ó</w:t>
      </w:r>
      <w:r>
        <w:rPr>
          <w:spacing w:val="-6"/>
          <w:sz w:val="18"/>
          <w:szCs w:val="18"/>
          <w:lang w:val="es-ES_tradnl"/>
        </w:rPr>
        <w:t xml:space="preserve">n de la </w:t>
      </w:r>
      <w:r>
        <w:rPr>
          <w:sz w:val="18"/>
          <w:szCs w:val="18"/>
          <w:lang w:val="es-ES_tradnl"/>
        </w:rPr>
        <w:t>Rep</w:t>
      </w:r>
      <w:r>
        <w:rPr>
          <w:rFonts w:cs="Times New Roman"/>
          <w:sz w:val="18"/>
          <w:szCs w:val="18"/>
          <w:lang w:val="es-ES_tradnl"/>
        </w:rPr>
        <w:t>ú</w:t>
      </w:r>
      <w:r>
        <w:rPr>
          <w:sz w:val="18"/>
          <w:szCs w:val="18"/>
          <w:lang w:val="es-ES_tradnl"/>
        </w:rPr>
        <w:t>blica.</w:t>
      </w:r>
    </w:p>
    <w:p w14:paraId="4F67B169" w14:textId="77777777" w:rsidR="00591D54" w:rsidRDefault="00591D54">
      <w:pPr>
        <w:shd w:val="clear" w:color="auto" w:fill="FFFFFF"/>
        <w:spacing w:line="197" w:lineRule="exact"/>
        <w:ind w:left="283" w:hanging="283"/>
        <w:jc w:val="both"/>
      </w:pPr>
      <w:r>
        <w:br w:type="column"/>
      </w:r>
      <w:r>
        <w:rPr>
          <w:b/>
          <w:bCs/>
          <w:spacing w:val="-1"/>
          <w:sz w:val="18"/>
          <w:szCs w:val="18"/>
          <w:lang w:val="es-ES_tradnl"/>
        </w:rPr>
        <w:t xml:space="preserve">2. La sentencia </w:t>
      </w:r>
      <w:r>
        <w:rPr>
          <w:b/>
          <w:bCs/>
          <w:i/>
          <w:iCs/>
          <w:spacing w:val="-1"/>
          <w:sz w:val="18"/>
          <w:szCs w:val="18"/>
          <w:lang w:val="es-ES_tradnl"/>
        </w:rPr>
        <w:t xml:space="preserve">ut supra </w:t>
      </w:r>
      <w:r>
        <w:rPr>
          <w:rFonts w:cs="Times New Roman"/>
          <w:b/>
          <w:bCs/>
          <w:spacing w:val="-1"/>
          <w:sz w:val="18"/>
          <w:szCs w:val="18"/>
          <w:lang w:val="es-ES_tradnl"/>
        </w:rPr>
        <w:t>¿</w:t>
      </w:r>
      <w:r>
        <w:rPr>
          <w:b/>
          <w:bCs/>
          <w:spacing w:val="-1"/>
          <w:sz w:val="18"/>
          <w:szCs w:val="18"/>
          <w:lang w:val="es-ES_tradnl"/>
        </w:rPr>
        <w:t xml:space="preserve">vulnera el derecho </w:t>
      </w:r>
      <w:r>
        <w:rPr>
          <w:b/>
          <w:bCs/>
          <w:spacing w:val="-7"/>
          <w:sz w:val="18"/>
          <w:szCs w:val="18"/>
          <w:lang w:val="es-ES_tradnl"/>
        </w:rPr>
        <w:t xml:space="preserve">constitucional a la igualdad al dejar de considerar </w:t>
      </w:r>
      <w:r>
        <w:rPr>
          <w:b/>
          <w:bCs/>
          <w:spacing w:val="-6"/>
          <w:sz w:val="18"/>
          <w:szCs w:val="18"/>
          <w:lang w:val="es-ES_tradnl"/>
        </w:rPr>
        <w:t>criterios contenidos en sentencias an</w:t>
      </w:r>
      <w:r>
        <w:rPr>
          <w:rFonts w:cs="Times New Roman"/>
          <w:b/>
          <w:bCs/>
          <w:spacing w:val="-6"/>
          <w:sz w:val="18"/>
          <w:szCs w:val="18"/>
          <w:lang w:val="es-ES_tradnl"/>
        </w:rPr>
        <w:t>á</w:t>
      </w:r>
      <w:r>
        <w:rPr>
          <w:b/>
          <w:bCs/>
          <w:spacing w:val="-6"/>
          <w:sz w:val="18"/>
          <w:szCs w:val="18"/>
          <w:lang w:val="es-ES_tradnl"/>
        </w:rPr>
        <w:t>logas, consagrado en el art</w:t>
      </w:r>
      <w:r>
        <w:rPr>
          <w:rFonts w:cs="Times New Roman"/>
          <w:b/>
          <w:bCs/>
          <w:spacing w:val="-6"/>
          <w:sz w:val="18"/>
          <w:szCs w:val="18"/>
          <w:lang w:val="es-ES_tradnl"/>
        </w:rPr>
        <w:t>í</w:t>
      </w:r>
      <w:r>
        <w:rPr>
          <w:b/>
          <w:bCs/>
          <w:spacing w:val="-6"/>
          <w:sz w:val="18"/>
          <w:szCs w:val="18"/>
          <w:lang w:val="es-ES_tradnl"/>
        </w:rPr>
        <w:t xml:space="preserve">culo 66 numeral 4 de la </w:t>
      </w:r>
      <w:r>
        <w:rPr>
          <w:b/>
          <w:bCs/>
          <w:sz w:val="18"/>
          <w:szCs w:val="18"/>
          <w:lang w:val="es-ES_tradnl"/>
        </w:rPr>
        <w:t>Constituci</w:t>
      </w:r>
      <w:r>
        <w:rPr>
          <w:rFonts w:cs="Times New Roman"/>
          <w:b/>
          <w:bCs/>
          <w:sz w:val="18"/>
          <w:szCs w:val="18"/>
          <w:lang w:val="es-ES_tradnl"/>
        </w:rPr>
        <w:t>ó</w:t>
      </w:r>
      <w:r>
        <w:rPr>
          <w:b/>
          <w:bCs/>
          <w:sz w:val="18"/>
          <w:szCs w:val="18"/>
          <w:lang w:val="es-ES_tradnl"/>
        </w:rPr>
        <w:t>n de la Rep</w:t>
      </w:r>
      <w:r>
        <w:rPr>
          <w:rFonts w:cs="Times New Roman"/>
          <w:b/>
          <w:bCs/>
          <w:sz w:val="18"/>
          <w:szCs w:val="18"/>
          <w:lang w:val="es-ES_tradnl"/>
        </w:rPr>
        <w:t>ú</w:t>
      </w:r>
      <w:r>
        <w:rPr>
          <w:b/>
          <w:bCs/>
          <w:sz w:val="18"/>
          <w:szCs w:val="18"/>
          <w:lang w:val="es-ES_tradnl"/>
        </w:rPr>
        <w:t>blica?</w:t>
      </w:r>
    </w:p>
    <w:p w14:paraId="4F67B16A" w14:textId="77777777" w:rsidR="00591D54" w:rsidRDefault="00591D54">
      <w:pPr>
        <w:shd w:val="clear" w:color="auto" w:fill="FFFFFF"/>
        <w:spacing w:before="245" w:line="197" w:lineRule="exact"/>
        <w:ind w:right="5"/>
        <w:jc w:val="both"/>
      </w:pPr>
      <w:r>
        <w:rPr>
          <w:spacing w:val="-7"/>
          <w:sz w:val="18"/>
          <w:szCs w:val="18"/>
          <w:lang w:val="es-ES_tradnl"/>
        </w:rPr>
        <w:t xml:space="preserve">En el presente caso, la legitimada activa alega que sus reclamos laborales no fueron acogidos por los jueces nacionales, por el contrario, de manera regresiva a sus </w:t>
      </w:r>
      <w:r>
        <w:rPr>
          <w:spacing w:val="-5"/>
          <w:sz w:val="18"/>
          <w:szCs w:val="18"/>
          <w:lang w:val="es-ES_tradnl"/>
        </w:rPr>
        <w:t xml:space="preserve">derechos constitucionales, la sentencia impugnada les </w:t>
      </w:r>
      <w:r>
        <w:rPr>
          <w:spacing w:val="-7"/>
          <w:sz w:val="18"/>
          <w:szCs w:val="18"/>
          <w:lang w:val="es-ES_tradnl"/>
        </w:rPr>
        <w:t xml:space="preserve">afecta a su proyecto de vida, pues, </w:t>
      </w:r>
      <w:r>
        <w:rPr>
          <w:rFonts w:ascii="Arial Unicode MS" w:eastAsia="Arial Unicode MS" w:hAnsi="Arial Unicode MS" w:cs="Arial Unicode MS" w:hint="eastAsia"/>
          <w:spacing w:val="-7"/>
          <w:sz w:val="18"/>
          <w:szCs w:val="18"/>
          <w:lang w:val="es-ES_tradnl"/>
        </w:rPr>
        <w:t>‒</w:t>
      </w:r>
      <w:r>
        <w:rPr>
          <w:spacing w:val="-7"/>
          <w:sz w:val="18"/>
          <w:szCs w:val="18"/>
          <w:lang w:val="es-ES_tradnl"/>
        </w:rPr>
        <w:t>dice que</w:t>
      </w:r>
      <w:r>
        <w:rPr>
          <w:rFonts w:ascii="Arial Unicode MS" w:eastAsia="Arial Unicode MS" w:hAnsi="Arial Unicode MS" w:cs="Arial Unicode MS" w:hint="eastAsia"/>
          <w:spacing w:val="-7"/>
          <w:sz w:val="18"/>
          <w:szCs w:val="18"/>
          <w:lang w:val="es-ES_tradnl"/>
        </w:rPr>
        <w:t>‒</w:t>
      </w:r>
      <w:r>
        <w:rPr>
          <w:spacing w:val="-7"/>
          <w:sz w:val="18"/>
          <w:szCs w:val="18"/>
          <w:lang w:val="es-ES_tradnl"/>
        </w:rPr>
        <w:t xml:space="preserve">, habiendo </w:t>
      </w:r>
      <w:r>
        <w:rPr>
          <w:spacing w:val="-10"/>
          <w:sz w:val="18"/>
          <w:szCs w:val="18"/>
          <w:lang w:val="es-ES_tradnl"/>
        </w:rPr>
        <w:t>laborado m</w:t>
      </w:r>
      <w:r>
        <w:rPr>
          <w:rFonts w:cs="Times New Roman"/>
          <w:spacing w:val="-10"/>
          <w:sz w:val="18"/>
          <w:szCs w:val="18"/>
          <w:lang w:val="es-ES_tradnl"/>
        </w:rPr>
        <w:t>á</w:t>
      </w:r>
      <w:r>
        <w:rPr>
          <w:spacing w:val="-10"/>
          <w:sz w:val="18"/>
          <w:szCs w:val="18"/>
          <w:lang w:val="es-ES_tradnl"/>
        </w:rPr>
        <w:t>s de 20 a</w:t>
      </w:r>
      <w:r>
        <w:rPr>
          <w:rFonts w:cs="Times New Roman"/>
          <w:spacing w:val="-10"/>
          <w:sz w:val="18"/>
          <w:szCs w:val="18"/>
          <w:lang w:val="es-ES_tradnl"/>
        </w:rPr>
        <w:t>ñ</w:t>
      </w:r>
      <w:r>
        <w:rPr>
          <w:spacing w:val="-10"/>
          <w:sz w:val="18"/>
          <w:szCs w:val="18"/>
          <w:lang w:val="es-ES_tradnl"/>
        </w:rPr>
        <w:t xml:space="preserve">os para la empresa accionada, es </w:t>
      </w:r>
      <w:r>
        <w:rPr>
          <w:spacing w:val="-8"/>
          <w:sz w:val="18"/>
          <w:szCs w:val="18"/>
          <w:lang w:val="es-ES_tradnl"/>
        </w:rPr>
        <w:t xml:space="preserve">despedida intempestivamente, por lo que </w:t>
      </w:r>
      <w:r>
        <w:rPr>
          <w:rFonts w:cs="Times New Roman"/>
          <w:spacing w:val="-8"/>
          <w:sz w:val="18"/>
          <w:szCs w:val="18"/>
          <w:lang w:val="es-ES_tradnl"/>
        </w:rPr>
        <w:t>–</w:t>
      </w:r>
      <w:r>
        <w:rPr>
          <w:spacing w:val="-8"/>
          <w:sz w:val="18"/>
          <w:szCs w:val="18"/>
          <w:lang w:val="es-ES_tradnl"/>
        </w:rPr>
        <w:t>aduce</w:t>
      </w:r>
      <w:r>
        <w:rPr>
          <w:rFonts w:ascii="Arial Unicode MS" w:eastAsia="Arial Unicode MS" w:hAnsi="Arial Unicode MS" w:cs="Arial Unicode MS" w:hint="eastAsia"/>
          <w:spacing w:val="-8"/>
          <w:sz w:val="18"/>
          <w:szCs w:val="18"/>
          <w:lang w:val="es-ES_tradnl"/>
        </w:rPr>
        <w:t>‒</w:t>
      </w:r>
      <w:r>
        <w:rPr>
          <w:spacing w:val="-8"/>
          <w:sz w:val="18"/>
          <w:szCs w:val="18"/>
          <w:lang w:val="es-ES_tradnl"/>
        </w:rPr>
        <w:t xml:space="preserve"> de </w:t>
      </w:r>
      <w:r>
        <w:rPr>
          <w:spacing w:val="-3"/>
          <w:sz w:val="18"/>
          <w:szCs w:val="18"/>
          <w:lang w:val="es-ES_tradnl"/>
        </w:rPr>
        <w:t>conformidad con el art</w:t>
      </w:r>
      <w:r>
        <w:rPr>
          <w:rFonts w:cs="Times New Roman"/>
          <w:spacing w:val="-3"/>
          <w:sz w:val="18"/>
          <w:szCs w:val="18"/>
          <w:lang w:val="es-ES_tradnl"/>
        </w:rPr>
        <w:t>í</w:t>
      </w:r>
      <w:r>
        <w:rPr>
          <w:spacing w:val="-3"/>
          <w:sz w:val="18"/>
          <w:szCs w:val="18"/>
          <w:lang w:val="es-ES_tradnl"/>
        </w:rPr>
        <w:t>culo 188 del C</w:t>
      </w:r>
      <w:r>
        <w:rPr>
          <w:rFonts w:cs="Times New Roman"/>
          <w:spacing w:val="-3"/>
          <w:sz w:val="18"/>
          <w:szCs w:val="18"/>
          <w:lang w:val="es-ES_tradnl"/>
        </w:rPr>
        <w:t>ó</w:t>
      </w:r>
      <w:r>
        <w:rPr>
          <w:spacing w:val="-3"/>
          <w:sz w:val="18"/>
          <w:szCs w:val="18"/>
          <w:lang w:val="es-ES_tradnl"/>
        </w:rPr>
        <w:t xml:space="preserve">digo de Trabajo, </w:t>
      </w:r>
      <w:r>
        <w:rPr>
          <w:spacing w:val="-5"/>
          <w:sz w:val="18"/>
          <w:szCs w:val="18"/>
          <w:lang w:val="es-ES_tradnl"/>
        </w:rPr>
        <w:t>le corresponde paralelamente las indemnizaciones, el derecho a la jubilaci</w:t>
      </w:r>
      <w:r>
        <w:rPr>
          <w:rFonts w:cs="Times New Roman"/>
          <w:spacing w:val="-5"/>
          <w:sz w:val="18"/>
          <w:szCs w:val="18"/>
          <w:lang w:val="es-ES_tradnl"/>
        </w:rPr>
        <w:t>ó</w:t>
      </w:r>
      <w:r>
        <w:rPr>
          <w:spacing w:val="-5"/>
          <w:sz w:val="18"/>
          <w:szCs w:val="18"/>
          <w:lang w:val="es-ES_tradnl"/>
        </w:rPr>
        <w:t xml:space="preserve">n patronal proporcional, tal como se </w:t>
      </w:r>
      <w:r>
        <w:rPr>
          <w:spacing w:val="-9"/>
          <w:sz w:val="18"/>
          <w:szCs w:val="18"/>
          <w:lang w:val="es-ES_tradnl"/>
        </w:rPr>
        <w:t xml:space="preserve">lo ha reconocido en otras ocasiones a otros ciudadanos en </w:t>
      </w:r>
      <w:r>
        <w:rPr>
          <w:spacing w:val="-5"/>
          <w:sz w:val="18"/>
          <w:szCs w:val="18"/>
          <w:lang w:val="es-ES_tradnl"/>
        </w:rPr>
        <w:t>atenci</w:t>
      </w:r>
      <w:r>
        <w:rPr>
          <w:rFonts w:cs="Times New Roman"/>
          <w:spacing w:val="-5"/>
          <w:sz w:val="18"/>
          <w:szCs w:val="18"/>
          <w:lang w:val="es-ES_tradnl"/>
        </w:rPr>
        <w:t>ó</w:t>
      </w:r>
      <w:r>
        <w:rPr>
          <w:spacing w:val="-5"/>
          <w:sz w:val="18"/>
          <w:szCs w:val="18"/>
          <w:lang w:val="es-ES_tradnl"/>
        </w:rPr>
        <w:t>n al art</w:t>
      </w:r>
      <w:r>
        <w:rPr>
          <w:rFonts w:cs="Times New Roman"/>
          <w:spacing w:val="-5"/>
          <w:sz w:val="18"/>
          <w:szCs w:val="18"/>
          <w:lang w:val="es-ES_tradnl"/>
        </w:rPr>
        <w:t>í</w:t>
      </w:r>
      <w:r>
        <w:rPr>
          <w:spacing w:val="-5"/>
          <w:sz w:val="18"/>
          <w:szCs w:val="18"/>
          <w:lang w:val="es-ES_tradnl"/>
        </w:rPr>
        <w:t>culo 581 del C</w:t>
      </w:r>
      <w:r>
        <w:rPr>
          <w:rFonts w:cs="Times New Roman"/>
          <w:spacing w:val="-5"/>
          <w:sz w:val="18"/>
          <w:szCs w:val="18"/>
          <w:lang w:val="es-ES_tradnl"/>
        </w:rPr>
        <w:t>ó</w:t>
      </w:r>
      <w:r>
        <w:rPr>
          <w:spacing w:val="-5"/>
          <w:sz w:val="18"/>
          <w:szCs w:val="18"/>
          <w:lang w:val="es-ES_tradnl"/>
        </w:rPr>
        <w:t>digo Laboral, y no as</w:t>
      </w:r>
      <w:r>
        <w:rPr>
          <w:rFonts w:cs="Times New Roman"/>
          <w:spacing w:val="-5"/>
          <w:sz w:val="18"/>
          <w:szCs w:val="18"/>
          <w:lang w:val="es-ES_tradnl"/>
        </w:rPr>
        <w:t>í</w:t>
      </w:r>
      <w:r>
        <w:rPr>
          <w:spacing w:val="-5"/>
          <w:sz w:val="18"/>
          <w:szCs w:val="18"/>
          <w:lang w:val="es-ES_tradnl"/>
        </w:rPr>
        <w:t xml:space="preserve"> a la </w:t>
      </w:r>
      <w:r>
        <w:rPr>
          <w:sz w:val="18"/>
          <w:szCs w:val="18"/>
          <w:lang w:val="es-ES_tradnl"/>
        </w:rPr>
        <w:t>demandante.</w:t>
      </w:r>
    </w:p>
    <w:p w14:paraId="4F67B16B" w14:textId="77777777" w:rsidR="00591D54" w:rsidRDefault="00591D54">
      <w:pPr>
        <w:shd w:val="clear" w:color="auto" w:fill="FFFFFF"/>
        <w:spacing w:before="245" w:line="197" w:lineRule="exact"/>
        <w:ind w:right="5"/>
        <w:jc w:val="both"/>
      </w:pPr>
      <w:r>
        <w:rPr>
          <w:spacing w:val="-8"/>
          <w:sz w:val="18"/>
          <w:szCs w:val="18"/>
          <w:lang w:val="es-ES_tradnl"/>
        </w:rPr>
        <w:t>En este contexto, menciona que la sentencia de casaci</w:t>
      </w:r>
      <w:r>
        <w:rPr>
          <w:rFonts w:cs="Times New Roman"/>
          <w:spacing w:val="-8"/>
          <w:sz w:val="18"/>
          <w:szCs w:val="18"/>
          <w:lang w:val="es-ES_tradnl"/>
        </w:rPr>
        <w:t>ó</w:t>
      </w:r>
      <w:r>
        <w:rPr>
          <w:spacing w:val="-8"/>
          <w:sz w:val="18"/>
          <w:szCs w:val="18"/>
          <w:lang w:val="es-ES_tradnl"/>
        </w:rPr>
        <w:t xml:space="preserve">n </w:t>
      </w:r>
      <w:r>
        <w:rPr>
          <w:spacing w:val="-3"/>
          <w:sz w:val="18"/>
          <w:szCs w:val="18"/>
          <w:lang w:val="es-ES_tradnl"/>
        </w:rPr>
        <w:t>laboral vulnera el derecho a la igualdad formal, material y no discriminaci</w:t>
      </w:r>
      <w:r>
        <w:rPr>
          <w:rFonts w:cs="Times New Roman"/>
          <w:spacing w:val="-3"/>
          <w:sz w:val="18"/>
          <w:szCs w:val="18"/>
          <w:lang w:val="es-ES_tradnl"/>
        </w:rPr>
        <w:t>ó</w:t>
      </w:r>
      <w:r>
        <w:rPr>
          <w:spacing w:val="-3"/>
          <w:sz w:val="18"/>
          <w:szCs w:val="18"/>
          <w:lang w:val="es-ES_tradnl"/>
        </w:rPr>
        <w:t>n prevista en el art</w:t>
      </w:r>
      <w:r>
        <w:rPr>
          <w:rFonts w:cs="Times New Roman"/>
          <w:spacing w:val="-3"/>
          <w:sz w:val="18"/>
          <w:szCs w:val="18"/>
          <w:lang w:val="es-ES_tradnl"/>
        </w:rPr>
        <w:t>í</w:t>
      </w:r>
      <w:r>
        <w:rPr>
          <w:spacing w:val="-3"/>
          <w:sz w:val="18"/>
          <w:szCs w:val="18"/>
          <w:lang w:val="es-ES_tradnl"/>
        </w:rPr>
        <w:t xml:space="preserve">culo 66 numeral 4 </w:t>
      </w:r>
      <w:r>
        <w:rPr>
          <w:spacing w:val="-7"/>
          <w:sz w:val="18"/>
          <w:szCs w:val="18"/>
          <w:lang w:val="es-ES_tradnl"/>
        </w:rPr>
        <w:t>de la Constituci</w:t>
      </w:r>
      <w:r>
        <w:rPr>
          <w:rFonts w:cs="Times New Roman"/>
          <w:spacing w:val="-7"/>
          <w:sz w:val="18"/>
          <w:szCs w:val="18"/>
          <w:lang w:val="es-ES_tradnl"/>
        </w:rPr>
        <w:t>ó</w:t>
      </w:r>
      <w:r>
        <w:rPr>
          <w:spacing w:val="-7"/>
          <w:sz w:val="18"/>
          <w:szCs w:val="18"/>
          <w:lang w:val="es-ES_tradnl"/>
        </w:rPr>
        <w:t xml:space="preserve">n, cuyo contenido manifiesta lo siguiente: </w:t>
      </w:r>
      <w:r>
        <w:rPr>
          <w:rFonts w:cs="Times New Roman"/>
          <w:spacing w:val="-8"/>
          <w:sz w:val="18"/>
          <w:szCs w:val="18"/>
          <w:lang w:val="es-ES_tradnl"/>
        </w:rPr>
        <w:t>“</w:t>
      </w:r>
      <w:r>
        <w:rPr>
          <w:spacing w:val="-8"/>
          <w:sz w:val="18"/>
          <w:szCs w:val="18"/>
          <w:lang w:val="es-ES_tradnl"/>
        </w:rPr>
        <w:t>Se reconoce y garantiza a las personas: (</w:t>
      </w:r>
      <w:r>
        <w:rPr>
          <w:rFonts w:cs="Times New Roman"/>
          <w:spacing w:val="-8"/>
          <w:sz w:val="18"/>
          <w:szCs w:val="18"/>
          <w:lang w:val="es-ES_tradnl"/>
        </w:rPr>
        <w:t>…</w:t>
      </w:r>
      <w:r>
        <w:rPr>
          <w:spacing w:val="-8"/>
          <w:sz w:val="18"/>
          <w:szCs w:val="18"/>
          <w:lang w:val="es-ES_tradnl"/>
        </w:rPr>
        <w:t xml:space="preserve">) 4. Derecho a </w:t>
      </w:r>
      <w:r>
        <w:rPr>
          <w:spacing w:val="-6"/>
          <w:sz w:val="18"/>
          <w:szCs w:val="18"/>
          <w:lang w:val="es-ES_tradnl"/>
        </w:rPr>
        <w:t>la igualdad formal, igualdad material y no discriminaci</w:t>
      </w:r>
      <w:r>
        <w:rPr>
          <w:rFonts w:cs="Times New Roman"/>
          <w:spacing w:val="-6"/>
          <w:sz w:val="18"/>
          <w:szCs w:val="18"/>
          <w:lang w:val="es-ES_tradnl"/>
        </w:rPr>
        <w:t>ó</w:t>
      </w:r>
      <w:r>
        <w:rPr>
          <w:spacing w:val="-6"/>
          <w:sz w:val="18"/>
          <w:szCs w:val="18"/>
          <w:lang w:val="es-ES_tradnl"/>
        </w:rPr>
        <w:t>n</w:t>
      </w:r>
      <w:r>
        <w:rPr>
          <w:rFonts w:cs="Times New Roman"/>
          <w:spacing w:val="-6"/>
          <w:sz w:val="18"/>
          <w:szCs w:val="18"/>
          <w:lang w:val="es-ES_tradnl"/>
        </w:rPr>
        <w:t>”</w:t>
      </w:r>
      <w:r>
        <w:rPr>
          <w:spacing w:val="-6"/>
          <w:sz w:val="18"/>
          <w:szCs w:val="18"/>
          <w:lang w:val="es-ES_tradnl"/>
        </w:rPr>
        <w:t>.</w:t>
      </w:r>
    </w:p>
    <w:p w14:paraId="4F67B16C" w14:textId="77777777" w:rsidR="00591D54" w:rsidRDefault="00591D54">
      <w:pPr>
        <w:shd w:val="clear" w:color="auto" w:fill="FFFFFF"/>
        <w:spacing w:before="245" w:line="202" w:lineRule="exact"/>
        <w:ind w:right="5"/>
        <w:jc w:val="both"/>
      </w:pPr>
      <w:r>
        <w:rPr>
          <w:spacing w:val="-4"/>
          <w:sz w:val="18"/>
          <w:szCs w:val="18"/>
          <w:lang w:val="es-ES_tradnl"/>
        </w:rPr>
        <w:t>Asimismo, el art</w:t>
      </w:r>
      <w:r>
        <w:rPr>
          <w:rFonts w:cs="Times New Roman"/>
          <w:spacing w:val="-4"/>
          <w:sz w:val="18"/>
          <w:szCs w:val="18"/>
          <w:lang w:val="es-ES_tradnl"/>
        </w:rPr>
        <w:t>í</w:t>
      </w:r>
      <w:r>
        <w:rPr>
          <w:spacing w:val="-4"/>
          <w:sz w:val="18"/>
          <w:szCs w:val="18"/>
          <w:lang w:val="es-ES_tradnl"/>
        </w:rPr>
        <w:t>culo 11 numeral 2 ib</w:t>
      </w:r>
      <w:r>
        <w:rPr>
          <w:rFonts w:cs="Times New Roman"/>
          <w:spacing w:val="-4"/>
          <w:sz w:val="18"/>
          <w:szCs w:val="18"/>
          <w:lang w:val="es-ES_tradnl"/>
        </w:rPr>
        <w:t>í</w:t>
      </w:r>
      <w:r>
        <w:rPr>
          <w:spacing w:val="-4"/>
          <w:sz w:val="18"/>
          <w:szCs w:val="18"/>
          <w:lang w:val="es-ES_tradnl"/>
        </w:rPr>
        <w:t xml:space="preserve">dem, reconoce el </w:t>
      </w:r>
      <w:r>
        <w:rPr>
          <w:spacing w:val="-7"/>
          <w:sz w:val="18"/>
          <w:szCs w:val="18"/>
          <w:lang w:val="es-ES_tradnl"/>
        </w:rPr>
        <w:t>derecho a la igualdad manifestando lo siguiente:</w:t>
      </w:r>
    </w:p>
    <w:p w14:paraId="4F67B16D" w14:textId="77777777" w:rsidR="00591D54" w:rsidRDefault="00591D54">
      <w:pPr>
        <w:shd w:val="clear" w:color="auto" w:fill="FFFFFF"/>
        <w:spacing w:before="269" w:line="197" w:lineRule="exact"/>
        <w:ind w:left="283" w:right="5"/>
        <w:jc w:val="both"/>
      </w:pPr>
      <w:r>
        <w:rPr>
          <w:rFonts w:cs="Times New Roman"/>
          <w:sz w:val="14"/>
          <w:szCs w:val="14"/>
          <w:lang w:val="es-ES_tradnl"/>
        </w:rPr>
        <w:t>“</w:t>
      </w:r>
      <w:r>
        <w:rPr>
          <w:sz w:val="14"/>
          <w:szCs w:val="14"/>
          <w:lang w:val="es-ES_tradnl"/>
        </w:rPr>
        <w:t>El ejercicio de los derechos se regir</w:t>
      </w:r>
      <w:r>
        <w:rPr>
          <w:rFonts w:cs="Times New Roman"/>
          <w:sz w:val="14"/>
          <w:szCs w:val="14"/>
          <w:lang w:val="es-ES_tradnl"/>
        </w:rPr>
        <w:t>á</w:t>
      </w:r>
      <w:r>
        <w:rPr>
          <w:sz w:val="14"/>
          <w:szCs w:val="14"/>
          <w:lang w:val="es-ES_tradnl"/>
        </w:rPr>
        <w:t xml:space="preserve"> por los siguientes principios:</w:t>
      </w:r>
    </w:p>
    <w:p w14:paraId="4F67B16E" w14:textId="77777777" w:rsidR="00591D54" w:rsidRDefault="00591D54">
      <w:pPr>
        <w:shd w:val="clear" w:color="auto" w:fill="FFFFFF"/>
        <w:spacing w:before="274" w:line="197" w:lineRule="exact"/>
        <w:ind w:left="283" w:right="5"/>
        <w:jc w:val="both"/>
      </w:pPr>
      <w:r>
        <w:rPr>
          <w:sz w:val="14"/>
          <w:szCs w:val="14"/>
          <w:lang w:val="es-ES_tradnl"/>
        </w:rPr>
        <w:t>(</w:t>
      </w:r>
      <w:r>
        <w:rPr>
          <w:rFonts w:cs="Times New Roman"/>
          <w:sz w:val="14"/>
          <w:szCs w:val="14"/>
          <w:lang w:val="es-ES_tradnl"/>
        </w:rPr>
        <w:t>…</w:t>
      </w:r>
      <w:r>
        <w:rPr>
          <w:sz w:val="14"/>
          <w:szCs w:val="14"/>
          <w:lang w:val="es-ES_tradnl"/>
        </w:rPr>
        <w:t>) 2. Todas las personas son iguales y gozar</w:t>
      </w:r>
      <w:r>
        <w:rPr>
          <w:rFonts w:cs="Times New Roman"/>
          <w:sz w:val="14"/>
          <w:szCs w:val="14"/>
          <w:lang w:val="es-ES_tradnl"/>
        </w:rPr>
        <w:t>á</w:t>
      </w:r>
      <w:r>
        <w:rPr>
          <w:sz w:val="14"/>
          <w:szCs w:val="14"/>
          <w:lang w:val="es-ES_tradnl"/>
        </w:rPr>
        <w:t>n de los mismos derechos, deberes y oportunidades./ Nadie podr</w:t>
      </w:r>
      <w:r>
        <w:rPr>
          <w:rFonts w:cs="Times New Roman"/>
          <w:sz w:val="14"/>
          <w:szCs w:val="14"/>
          <w:lang w:val="es-ES_tradnl"/>
        </w:rPr>
        <w:t>á</w:t>
      </w:r>
      <w:r>
        <w:rPr>
          <w:sz w:val="14"/>
          <w:szCs w:val="14"/>
          <w:lang w:val="es-ES_tradnl"/>
        </w:rPr>
        <w:t xml:space="preserve"> ser discriminado por razones de etnia, lugar de nacimiento, edad, sexo, identidad de g</w:t>
      </w:r>
      <w:r>
        <w:rPr>
          <w:rFonts w:cs="Times New Roman"/>
          <w:sz w:val="14"/>
          <w:szCs w:val="14"/>
          <w:lang w:val="es-ES_tradnl"/>
        </w:rPr>
        <w:t>é</w:t>
      </w:r>
      <w:r>
        <w:rPr>
          <w:sz w:val="14"/>
          <w:szCs w:val="14"/>
          <w:lang w:val="es-ES_tradnl"/>
        </w:rPr>
        <w:t>nero, identidad cultural, estado civil, idioma, religi</w:t>
      </w:r>
      <w:r>
        <w:rPr>
          <w:rFonts w:cs="Times New Roman"/>
          <w:sz w:val="14"/>
          <w:szCs w:val="14"/>
          <w:lang w:val="es-ES_tradnl"/>
        </w:rPr>
        <w:t>ó</w:t>
      </w:r>
      <w:r>
        <w:rPr>
          <w:sz w:val="14"/>
          <w:szCs w:val="14"/>
          <w:lang w:val="es-ES_tradnl"/>
        </w:rPr>
        <w:t>n, ideolog</w:t>
      </w:r>
      <w:r>
        <w:rPr>
          <w:rFonts w:cs="Times New Roman"/>
          <w:sz w:val="14"/>
          <w:szCs w:val="14"/>
          <w:lang w:val="es-ES_tradnl"/>
        </w:rPr>
        <w:t>í</w:t>
      </w:r>
      <w:r>
        <w:rPr>
          <w:sz w:val="14"/>
          <w:szCs w:val="14"/>
          <w:lang w:val="es-ES_tradnl"/>
        </w:rPr>
        <w:t>a, filiaci</w:t>
      </w:r>
      <w:r>
        <w:rPr>
          <w:rFonts w:cs="Times New Roman"/>
          <w:sz w:val="14"/>
          <w:szCs w:val="14"/>
          <w:lang w:val="es-ES_tradnl"/>
        </w:rPr>
        <w:t>ó</w:t>
      </w:r>
      <w:r>
        <w:rPr>
          <w:sz w:val="14"/>
          <w:szCs w:val="14"/>
          <w:lang w:val="es-ES_tradnl"/>
        </w:rPr>
        <w:t>n pol</w:t>
      </w:r>
      <w:r>
        <w:rPr>
          <w:rFonts w:cs="Times New Roman"/>
          <w:sz w:val="14"/>
          <w:szCs w:val="14"/>
          <w:lang w:val="es-ES_tradnl"/>
        </w:rPr>
        <w:t>í</w:t>
      </w:r>
      <w:r>
        <w:rPr>
          <w:sz w:val="14"/>
          <w:szCs w:val="14"/>
          <w:lang w:val="es-ES_tradnl"/>
        </w:rPr>
        <w:t>tica, pasado judicial, condici</w:t>
      </w:r>
      <w:r>
        <w:rPr>
          <w:rFonts w:cs="Times New Roman"/>
          <w:sz w:val="14"/>
          <w:szCs w:val="14"/>
          <w:lang w:val="es-ES_tradnl"/>
        </w:rPr>
        <w:t>ó</w:t>
      </w:r>
      <w:r>
        <w:rPr>
          <w:sz w:val="14"/>
          <w:szCs w:val="14"/>
          <w:lang w:val="es-ES_tradnl"/>
        </w:rPr>
        <w:t>n socio-econ</w:t>
      </w:r>
      <w:r>
        <w:rPr>
          <w:rFonts w:cs="Times New Roman"/>
          <w:sz w:val="14"/>
          <w:szCs w:val="14"/>
          <w:lang w:val="es-ES_tradnl"/>
        </w:rPr>
        <w:t>ó</w:t>
      </w:r>
      <w:r>
        <w:rPr>
          <w:sz w:val="14"/>
          <w:szCs w:val="14"/>
          <w:lang w:val="es-ES_tradnl"/>
        </w:rPr>
        <w:t>mica, condici</w:t>
      </w:r>
      <w:r>
        <w:rPr>
          <w:rFonts w:cs="Times New Roman"/>
          <w:sz w:val="14"/>
          <w:szCs w:val="14"/>
          <w:lang w:val="es-ES_tradnl"/>
        </w:rPr>
        <w:t>ó</w:t>
      </w:r>
      <w:r>
        <w:rPr>
          <w:sz w:val="14"/>
          <w:szCs w:val="14"/>
          <w:lang w:val="es-ES_tradnl"/>
        </w:rPr>
        <w:t>n migratoria, orientaci</w:t>
      </w:r>
      <w:r>
        <w:rPr>
          <w:rFonts w:cs="Times New Roman"/>
          <w:sz w:val="14"/>
          <w:szCs w:val="14"/>
          <w:lang w:val="es-ES_tradnl"/>
        </w:rPr>
        <w:t>ó</w:t>
      </w:r>
      <w:r>
        <w:rPr>
          <w:sz w:val="14"/>
          <w:szCs w:val="14"/>
          <w:lang w:val="es-ES_tradnl"/>
        </w:rPr>
        <w:t>n sexual, estado de salud, portar VIH, discapacidad, diferencia f</w:t>
      </w:r>
      <w:r>
        <w:rPr>
          <w:rFonts w:cs="Times New Roman"/>
          <w:sz w:val="14"/>
          <w:szCs w:val="14"/>
          <w:lang w:val="es-ES_tradnl"/>
        </w:rPr>
        <w:t>í</w:t>
      </w:r>
      <w:r>
        <w:rPr>
          <w:sz w:val="14"/>
          <w:szCs w:val="14"/>
          <w:lang w:val="es-ES_tradnl"/>
        </w:rPr>
        <w:t>sica; ni por cualquier otra distinci</w:t>
      </w:r>
      <w:r>
        <w:rPr>
          <w:rFonts w:cs="Times New Roman"/>
          <w:sz w:val="14"/>
          <w:szCs w:val="14"/>
          <w:lang w:val="es-ES_tradnl"/>
        </w:rPr>
        <w:t>ó</w:t>
      </w:r>
      <w:r>
        <w:rPr>
          <w:sz w:val="14"/>
          <w:szCs w:val="14"/>
          <w:lang w:val="es-ES_tradnl"/>
        </w:rPr>
        <w:t>n, personal o colectiva, temporal o permanente, que tenga por objeto o resultado menoscabar o anular el reconocimiento, goce o ejercicio de los derechos. La ley sancionar</w:t>
      </w:r>
      <w:r>
        <w:rPr>
          <w:rFonts w:cs="Times New Roman"/>
          <w:sz w:val="14"/>
          <w:szCs w:val="14"/>
          <w:lang w:val="es-ES_tradnl"/>
        </w:rPr>
        <w:t>á</w:t>
      </w:r>
      <w:r>
        <w:rPr>
          <w:sz w:val="14"/>
          <w:szCs w:val="14"/>
          <w:lang w:val="es-ES_tradnl"/>
        </w:rPr>
        <w:t xml:space="preserve"> toda forma de discriminaci</w:t>
      </w:r>
      <w:r>
        <w:rPr>
          <w:rFonts w:cs="Times New Roman"/>
          <w:sz w:val="14"/>
          <w:szCs w:val="14"/>
          <w:lang w:val="es-ES_tradnl"/>
        </w:rPr>
        <w:t>ó</w:t>
      </w:r>
      <w:r>
        <w:rPr>
          <w:sz w:val="14"/>
          <w:szCs w:val="14"/>
          <w:lang w:val="es-ES_tradnl"/>
        </w:rPr>
        <w:t>n. El Estado adoptar</w:t>
      </w:r>
      <w:r>
        <w:rPr>
          <w:rFonts w:cs="Times New Roman"/>
          <w:sz w:val="14"/>
          <w:szCs w:val="14"/>
          <w:lang w:val="es-ES_tradnl"/>
        </w:rPr>
        <w:t>á</w:t>
      </w:r>
      <w:r>
        <w:rPr>
          <w:sz w:val="14"/>
          <w:szCs w:val="14"/>
          <w:lang w:val="es-ES_tradnl"/>
        </w:rPr>
        <w:t xml:space="preserve"> medidas de acci</w:t>
      </w:r>
      <w:r>
        <w:rPr>
          <w:rFonts w:cs="Times New Roman"/>
          <w:sz w:val="14"/>
          <w:szCs w:val="14"/>
          <w:lang w:val="es-ES_tradnl"/>
        </w:rPr>
        <w:t>ó</w:t>
      </w:r>
      <w:r>
        <w:rPr>
          <w:sz w:val="14"/>
          <w:szCs w:val="14"/>
          <w:lang w:val="es-ES_tradnl"/>
        </w:rPr>
        <w:t>n afirmativa que promuevan la igualdad real en favor de los titulares de derechos que se encuentren en situaci</w:t>
      </w:r>
      <w:r>
        <w:rPr>
          <w:rFonts w:cs="Times New Roman"/>
          <w:sz w:val="14"/>
          <w:szCs w:val="14"/>
          <w:lang w:val="es-ES_tradnl"/>
        </w:rPr>
        <w:t>ó</w:t>
      </w:r>
      <w:r>
        <w:rPr>
          <w:sz w:val="14"/>
          <w:szCs w:val="14"/>
          <w:lang w:val="es-ES_tradnl"/>
        </w:rPr>
        <w:t>n de desigualdad</w:t>
      </w:r>
      <w:r>
        <w:rPr>
          <w:rFonts w:cs="Times New Roman"/>
          <w:sz w:val="14"/>
          <w:szCs w:val="14"/>
          <w:lang w:val="es-ES_tradnl"/>
        </w:rPr>
        <w:t>”</w:t>
      </w:r>
      <w:r>
        <w:rPr>
          <w:sz w:val="14"/>
          <w:szCs w:val="14"/>
          <w:lang w:val="es-ES_tradnl"/>
        </w:rPr>
        <w:t>.</w:t>
      </w:r>
    </w:p>
    <w:p w14:paraId="4F67B16F" w14:textId="77777777" w:rsidR="00591D54" w:rsidRDefault="00591D54">
      <w:pPr>
        <w:shd w:val="clear" w:color="auto" w:fill="FFFFFF"/>
        <w:spacing w:before="254" w:line="197" w:lineRule="exact"/>
        <w:ind w:right="5"/>
        <w:jc w:val="both"/>
      </w:pPr>
      <w:r>
        <w:rPr>
          <w:spacing w:val="-8"/>
          <w:sz w:val="18"/>
          <w:szCs w:val="18"/>
          <w:lang w:val="es-ES_tradnl"/>
        </w:rPr>
        <w:t>Adicionalmente, en atenci</w:t>
      </w:r>
      <w:r>
        <w:rPr>
          <w:rFonts w:cs="Times New Roman"/>
          <w:spacing w:val="-8"/>
          <w:sz w:val="18"/>
          <w:szCs w:val="18"/>
          <w:lang w:val="es-ES_tradnl"/>
        </w:rPr>
        <w:t>ó</w:t>
      </w:r>
      <w:r>
        <w:rPr>
          <w:spacing w:val="-8"/>
          <w:sz w:val="18"/>
          <w:szCs w:val="18"/>
          <w:lang w:val="es-ES_tradnl"/>
        </w:rPr>
        <w:t>n a la interpretaci</w:t>
      </w:r>
      <w:r>
        <w:rPr>
          <w:rFonts w:cs="Times New Roman"/>
          <w:spacing w:val="-8"/>
          <w:sz w:val="18"/>
          <w:szCs w:val="18"/>
          <w:lang w:val="es-ES_tradnl"/>
        </w:rPr>
        <w:t>ó</w:t>
      </w:r>
      <w:r>
        <w:rPr>
          <w:spacing w:val="-8"/>
          <w:sz w:val="18"/>
          <w:szCs w:val="18"/>
          <w:lang w:val="es-ES_tradnl"/>
        </w:rPr>
        <w:t>n sistem</w:t>
      </w:r>
      <w:r>
        <w:rPr>
          <w:rFonts w:cs="Times New Roman"/>
          <w:spacing w:val="-8"/>
          <w:sz w:val="18"/>
          <w:szCs w:val="18"/>
          <w:lang w:val="es-ES_tradnl"/>
        </w:rPr>
        <w:t>á</w:t>
      </w:r>
      <w:r>
        <w:rPr>
          <w:spacing w:val="-8"/>
          <w:sz w:val="18"/>
          <w:szCs w:val="18"/>
          <w:lang w:val="es-ES_tradnl"/>
        </w:rPr>
        <w:t xml:space="preserve">tica </w:t>
      </w:r>
      <w:r>
        <w:rPr>
          <w:spacing w:val="-6"/>
          <w:sz w:val="18"/>
          <w:szCs w:val="18"/>
          <w:lang w:val="es-ES_tradnl"/>
        </w:rPr>
        <w:t>prevista en el art</w:t>
      </w:r>
      <w:r>
        <w:rPr>
          <w:rFonts w:cs="Times New Roman"/>
          <w:spacing w:val="-6"/>
          <w:sz w:val="18"/>
          <w:szCs w:val="18"/>
          <w:lang w:val="es-ES_tradnl"/>
        </w:rPr>
        <w:t>í</w:t>
      </w:r>
      <w:r>
        <w:rPr>
          <w:spacing w:val="-6"/>
          <w:sz w:val="18"/>
          <w:szCs w:val="18"/>
          <w:lang w:val="es-ES_tradnl"/>
        </w:rPr>
        <w:t>culo 3 numeral 5 de la Ley Org</w:t>
      </w:r>
      <w:r>
        <w:rPr>
          <w:rFonts w:cs="Times New Roman"/>
          <w:spacing w:val="-6"/>
          <w:sz w:val="18"/>
          <w:szCs w:val="18"/>
          <w:lang w:val="es-ES_tradnl"/>
        </w:rPr>
        <w:t>á</w:t>
      </w:r>
      <w:r>
        <w:rPr>
          <w:spacing w:val="-6"/>
          <w:sz w:val="18"/>
          <w:szCs w:val="18"/>
          <w:lang w:val="es-ES_tradnl"/>
        </w:rPr>
        <w:t xml:space="preserve">nica de </w:t>
      </w:r>
      <w:r>
        <w:rPr>
          <w:spacing w:val="-7"/>
          <w:sz w:val="18"/>
          <w:szCs w:val="18"/>
          <w:lang w:val="es-ES_tradnl"/>
        </w:rPr>
        <w:t>Garant</w:t>
      </w:r>
      <w:r>
        <w:rPr>
          <w:rFonts w:cs="Times New Roman"/>
          <w:spacing w:val="-7"/>
          <w:sz w:val="18"/>
          <w:szCs w:val="18"/>
          <w:lang w:val="es-ES_tradnl"/>
        </w:rPr>
        <w:t>í</w:t>
      </w:r>
      <w:r>
        <w:rPr>
          <w:spacing w:val="-7"/>
          <w:sz w:val="18"/>
          <w:szCs w:val="18"/>
          <w:lang w:val="es-ES_tradnl"/>
        </w:rPr>
        <w:t>as Jurisdiccionales y Control Constitucional</w:t>
      </w:r>
      <w:r>
        <w:rPr>
          <w:spacing w:val="-7"/>
          <w:sz w:val="18"/>
          <w:szCs w:val="18"/>
          <w:vertAlign w:val="superscript"/>
          <w:lang w:val="es-ES_tradnl"/>
        </w:rPr>
        <w:t>9</w:t>
      </w:r>
      <w:r>
        <w:rPr>
          <w:spacing w:val="-7"/>
          <w:sz w:val="18"/>
          <w:szCs w:val="18"/>
          <w:lang w:val="es-ES_tradnl"/>
        </w:rPr>
        <w:t>, cabe</w:t>
      </w:r>
    </w:p>
    <w:p w14:paraId="4F67B170" w14:textId="77777777" w:rsidR="00591D54" w:rsidRDefault="00591D54">
      <w:pPr>
        <w:shd w:val="clear" w:color="auto" w:fill="FFFFFF"/>
        <w:spacing w:before="379" w:line="178" w:lineRule="exact"/>
        <w:ind w:left="144" w:right="5" w:hanging="144"/>
        <w:jc w:val="both"/>
      </w:pPr>
      <w:r>
        <w:rPr>
          <w:sz w:val="14"/>
          <w:szCs w:val="14"/>
          <w:vertAlign w:val="superscript"/>
          <w:lang w:val="es-ES_tradnl"/>
        </w:rPr>
        <w:t>9</w:t>
      </w:r>
      <w:r>
        <w:rPr>
          <w:sz w:val="14"/>
          <w:szCs w:val="14"/>
          <w:lang w:val="es-ES_tradnl"/>
        </w:rPr>
        <w:t xml:space="preserve"> </w:t>
      </w:r>
      <w:r>
        <w:rPr>
          <w:spacing w:val="-2"/>
          <w:sz w:val="14"/>
          <w:szCs w:val="14"/>
          <w:lang w:val="es-ES_tradnl"/>
        </w:rPr>
        <w:t>Ley Org</w:t>
      </w:r>
      <w:r>
        <w:rPr>
          <w:rFonts w:cs="Times New Roman"/>
          <w:spacing w:val="-2"/>
          <w:sz w:val="14"/>
          <w:szCs w:val="14"/>
          <w:lang w:val="es-ES_tradnl"/>
        </w:rPr>
        <w:t>á</w:t>
      </w:r>
      <w:r>
        <w:rPr>
          <w:spacing w:val="-2"/>
          <w:sz w:val="14"/>
          <w:szCs w:val="14"/>
          <w:lang w:val="es-ES_tradnl"/>
        </w:rPr>
        <w:t>nica de Garant</w:t>
      </w:r>
      <w:r>
        <w:rPr>
          <w:rFonts w:cs="Times New Roman"/>
          <w:spacing w:val="-2"/>
          <w:sz w:val="14"/>
          <w:szCs w:val="14"/>
          <w:lang w:val="es-ES_tradnl"/>
        </w:rPr>
        <w:t>í</w:t>
      </w:r>
      <w:r>
        <w:rPr>
          <w:spacing w:val="-2"/>
          <w:sz w:val="14"/>
          <w:szCs w:val="14"/>
          <w:lang w:val="es-ES_tradnl"/>
        </w:rPr>
        <w:t xml:space="preserve">as Jurisdiccionales y Control Constitucional, </w:t>
      </w:r>
      <w:r>
        <w:rPr>
          <w:sz w:val="14"/>
          <w:szCs w:val="14"/>
          <w:lang w:val="es-ES_tradnl"/>
        </w:rPr>
        <w:t>art</w:t>
      </w:r>
      <w:r>
        <w:rPr>
          <w:rFonts w:cs="Times New Roman"/>
          <w:sz w:val="14"/>
          <w:szCs w:val="14"/>
          <w:lang w:val="es-ES_tradnl"/>
        </w:rPr>
        <w:t>í</w:t>
      </w:r>
      <w:r>
        <w:rPr>
          <w:sz w:val="14"/>
          <w:szCs w:val="14"/>
          <w:lang w:val="es-ES_tradnl"/>
        </w:rPr>
        <w:t xml:space="preserve">culo 3: </w:t>
      </w:r>
      <w:r>
        <w:rPr>
          <w:rFonts w:cs="Times New Roman"/>
          <w:sz w:val="14"/>
          <w:szCs w:val="14"/>
          <w:lang w:val="es-ES_tradnl"/>
        </w:rPr>
        <w:t>“</w:t>
      </w:r>
      <w:r>
        <w:rPr>
          <w:sz w:val="14"/>
          <w:szCs w:val="14"/>
          <w:lang w:val="es-ES_tradnl"/>
        </w:rPr>
        <w:t>M</w:t>
      </w:r>
      <w:r>
        <w:rPr>
          <w:rFonts w:cs="Times New Roman"/>
          <w:sz w:val="14"/>
          <w:szCs w:val="14"/>
          <w:lang w:val="es-ES_tradnl"/>
        </w:rPr>
        <w:t>é</w:t>
      </w:r>
      <w:r>
        <w:rPr>
          <w:sz w:val="14"/>
          <w:szCs w:val="14"/>
          <w:lang w:val="es-ES_tradnl"/>
        </w:rPr>
        <w:t>todos y reglas de interpretaci</w:t>
      </w:r>
      <w:r>
        <w:rPr>
          <w:rFonts w:cs="Times New Roman"/>
          <w:sz w:val="14"/>
          <w:szCs w:val="14"/>
          <w:lang w:val="es-ES_tradnl"/>
        </w:rPr>
        <w:t>ó</w:t>
      </w:r>
      <w:r>
        <w:rPr>
          <w:sz w:val="14"/>
          <w:szCs w:val="14"/>
          <w:lang w:val="es-ES_tradnl"/>
        </w:rPr>
        <w:t>n constitucional.- Las normas constitucionales se interpretaran en el sentido que m</w:t>
      </w:r>
      <w:r>
        <w:rPr>
          <w:rFonts w:cs="Times New Roman"/>
          <w:sz w:val="14"/>
          <w:szCs w:val="14"/>
          <w:lang w:val="es-ES_tradnl"/>
        </w:rPr>
        <w:t>á</w:t>
      </w:r>
      <w:r>
        <w:rPr>
          <w:sz w:val="14"/>
          <w:szCs w:val="14"/>
          <w:lang w:val="es-ES_tradnl"/>
        </w:rPr>
        <w:t xml:space="preserve">s </w:t>
      </w:r>
      <w:r>
        <w:rPr>
          <w:spacing w:val="-1"/>
          <w:sz w:val="14"/>
          <w:szCs w:val="14"/>
          <w:lang w:val="es-ES_tradnl"/>
        </w:rPr>
        <w:t>se ajuste a la Constituci</w:t>
      </w:r>
      <w:r>
        <w:rPr>
          <w:rFonts w:cs="Times New Roman"/>
          <w:spacing w:val="-1"/>
          <w:sz w:val="14"/>
          <w:szCs w:val="14"/>
          <w:lang w:val="es-ES_tradnl"/>
        </w:rPr>
        <w:t>ó</w:t>
      </w:r>
      <w:r>
        <w:rPr>
          <w:spacing w:val="-1"/>
          <w:sz w:val="14"/>
          <w:szCs w:val="14"/>
          <w:lang w:val="es-ES_tradnl"/>
        </w:rPr>
        <w:t>n en su integralidad, en caso de duda, se interpretar</w:t>
      </w:r>
      <w:r>
        <w:rPr>
          <w:rFonts w:cs="Times New Roman"/>
          <w:spacing w:val="-1"/>
          <w:sz w:val="14"/>
          <w:szCs w:val="14"/>
          <w:lang w:val="es-ES_tradnl"/>
        </w:rPr>
        <w:t>á</w:t>
      </w:r>
      <w:r>
        <w:rPr>
          <w:spacing w:val="-1"/>
          <w:sz w:val="14"/>
          <w:szCs w:val="14"/>
          <w:lang w:val="es-ES_tradnl"/>
        </w:rPr>
        <w:t xml:space="preserve"> en el sentido que m</w:t>
      </w:r>
      <w:r>
        <w:rPr>
          <w:rFonts w:cs="Times New Roman"/>
          <w:spacing w:val="-1"/>
          <w:sz w:val="14"/>
          <w:szCs w:val="14"/>
          <w:lang w:val="es-ES_tradnl"/>
        </w:rPr>
        <w:t>á</w:t>
      </w:r>
      <w:r>
        <w:rPr>
          <w:spacing w:val="-1"/>
          <w:sz w:val="14"/>
          <w:szCs w:val="14"/>
          <w:lang w:val="es-ES_tradnl"/>
        </w:rPr>
        <w:t xml:space="preserve">s favorezca a la plena vigencia de </w:t>
      </w:r>
      <w:r>
        <w:rPr>
          <w:sz w:val="14"/>
          <w:szCs w:val="14"/>
          <w:lang w:val="es-ES_tradnl"/>
        </w:rPr>
        <w:t>los derechos reconocidos en la Constituci</w:t>
      </w:r>
      <w:r>
        <w:rPr>
          <w:rFonts w:cs="Times New Roman"/>
          <w:sz w:val="14"/>
          <w:szCs w:val="14"/>
          <w:lang w:val="es-ES_tradnl"/>
        </w:rPr>
        <w:t>ó</w:t>
      </w:r>
      <w:r>
        <w:rPr>
          <w:sz w:val="14"/>
          <w:szCs w:val="14"/>
          <w:lang w:val="es-ES_tradnl"/>
        </w:rPr>
        <w:t xml:space="preserve">n y que mejor respete </w:t>
      </w:r>
      <w:r>
        <w:rPr>
          <w:spacing w:val="-1"/>
          <w:sz w:val="14"/>
          <w:szCs w:val="14"/>
          <w:lang w:val="es-ES_tradnl"/>
        </w:rPr>
        <w:t>la voluntad del constituyente./ Se tendr</w:t>
      </w:r>
      <w:r>
        <w:rPr>
          <w:rFonts w:cs="Times New Roman"/>
          <w:spacing w:val="-1"/>
          <w:sz w:val="14"/>
          <w:szCs w:val="14"/>
          <w:lang w:val="es-ES_tradnl"/>
        </w:rPr>
        <w:t>á</w:t>
      </w:r>
      <w:r>
        <w:rPr>
          <w:spacing w:val="-1"/>
          <w:sz w:val="14"/>
          <w:szCs w:val="14"/>
          <w:lang w:val="es-ES_tradnl"/>
        </w:rPr>
        <w:t xml:space="preserve"> en cuenta los siguientes </w:t>
      </w:r>
      <w:r>
        <w:rPr>
          <w:spacing w:val="-2"/>
          <w:sz w:val="14"/>
          <w:szCs w:val="14"/>
          <w:lang w:val="es-ES_tradnl"/>
        </w:rPr>
        <w:t>m</w:t>
      </w:r>
      <w:r>
        <w:rPr>
          <w:rFonts w:cs="Times New Roman"/>
          <w:spacing w:val="-2"/>
          <w:sz w:val="14"/>
          <w:szCs w:val="14"/>
          <w:lang w:val="es-ES_tradnl"/>
        </w:rPr>
        <w:t>é</w:t>
      </w:r>
      <w:r>
        <w:rPr>
          <w:spacing w:val="-2"/>
          <w:sz w:val="14"/>
          <w:szCs w:val="14"/>
          <w:lang w:val="es-ES_tradnl"/>
        </w:rPr>
        <w:t>todos y reglas de interpretaci</w:t>
      </w:r>
      <w:r>
        <w:rPr>
          <w:rFonts w:cs="Times New Roman"/>
          <w:spacing w:val="-2"/>
          <w:sz w:val="14"/>
          <w:szCs w:val="14"/>
          <w:lang w:val="es-ES_tradnl"/>
        </w:rPr>
        <w:t>ó</w:t>
      </w:r>
      <w:r>
        <w:rPr>
          <w:spacing w:val="-2"/>
          <w:sz w:val="14"/>
          <w:szCs w:val="14"/>
          <w:lang w:val="es-ES_tradnl"/>
        </w:rPr>
        <w:t>n jur</w:t>
      </w:r>
      <w:r>
        <w:rPr>
          <w:rFonts w:cs="Times New Roman"/>
          <w:spacing w:val="-2"/>
          <w:sz w:val="14"/>
          <w:szCs w:val="14"/>
          <w:lang w:val="es-ES_tradnl"/>
        </w:rPr>
        <w:t>í</w:t>
      </w:r>
      <w:r>
        <w:rPr>
          <w:spacing w:val="-2"/>
          <w:sz w:val="14"/>
          <w:szCs w:val="14"/>
          <w:lang w:val="es-ES_tradnl"/>
        </w:rPr>
        <w:t xml:space="preserve">dico constitucional y ordinario </w:t>
      </w:r>
      <w:r>
        <w:rPr>
          <w:spacing w:val="-1"/>
          <w:sz w:val="14"/>
          <w:szCs w:val="14"/>
          <w:lang w:val="es-ES_tradnl"/>
        </w:rPr>
        <w:t xml:space="preserve">para resolver las causas que se sometan a su conocimiento, sin </w:t>
      </w:r>
      <w:r>
        <w:rPr>
          <w:sz w:val="14"/>
          <w:szCs w:val="14"/>
          <w:lang w:val="es-ES_tradnl"/>
        </w:rPr>
        <w:t>perjuicio de que en un caso se utilicen uno o varios de ellos: (</w:t>
      </w:r>
      <w:r>
        <w:rPr>
          <w:rFonts w:cs="Times New Roman"/>
          <w:sz w:val="14"/>
          <w:szCs w:val="14"/>
          <w:lang w:val="es-ES_tradnl"/>
        </w:rPr>
        <w:t>…</w:t>
      </w:r>
      <w:r>
        <w:rPr>
          <w:sz w:val="14"/>
          <w:szCs w:val="14"/>
          <w:lang w:val="es-ES_tradnl"/>
        </w:rPr>
        <w:t xml:space="preserve">) </w:t>
      </w:r>
      <w:r>
        <w:rPr>
          <w:spacing w:val="-1"/>
          <w:sz w:val="14"/>
          <w:szCs w:val="14"/>
          <w:lang w:val="es-ES_tradnl"/>
        </w:rPr>
        <w:t>5.- Interpretaci</w:t>
      </w:r>
      <w:r>
        <w:rPr>
          <w:rFonts w:cs="Times New Roman"/>
          <w:spacing w:val="-1"/>
          <w:sz w:val="14"/>
          <w:szCs w:val="14"/>
          <w:lang w:val="es-ES_tradnl"/>
        </w:rPr>
        <w:t>ó</w:t>
      </w:r>
      <w:r>
        <w:rPr>
          <w:spacing w:val="-1"/>
          <w:sz w:val="14"/>
          <w:szCs w:val="14"/>
          <w:lang w:val="es-ES_tradnl"/>
        </w:rPr>
        <w:t>n sistem</w:t>
      </w:r>
      <w:r>
        <w:rPr>
          <w:rFonts w:cs="Times New Roman"/>
          <w:spacing w:val="-1"/>
          <w:sz w:val="14"/>
          <w:szCs w:val="14"/>
          <w:lang w:val="es-ES_tradnl"/>
        </w:rPr>
        <w:t>á</w:t>
      </w:r>
      <w:r>
        <w:rPr>
          <w:spacing w:val="-1"/>
          <w:sz w:val="14"/>
          <w:szCs w:val="14"/>
          <w:lang w:val="es-ES_tradnl"/>
        </w:rPr>
        <w:t>tica.- las normas jur</w:t>
      </w:r>
      <w:r>
        <w:rPr>
          <w:rFonts w:cs="Times New Roman"/>
          <w:spacing w:val="-1"/>
          <w:sz w:val="14"/>
          <w:szCs w:val="14"/>
          <w:lang w:val="es-ES_tradnl"/>
        </w:rPr>
        <w:t>í</w:t>
      </w:r>
      <w:r>
        <w:rPr>
          <w:spacing w:val="-1"/>
          <w:sz w:val="14"/>
          <w:szCs w:val="14"/>
          <w:lang w:val="es-ES_tradnl"/>
        </w:rPr>
        <w:t>dicas deber</w:t>
      </w:r>
      <w:r>
        <w:rPr>
          <w:rFonts w:cs="Times New Roman"/>
          <w:spacing w:val="-1"/>
          <w:sz w:val="14"/>
          <w:szCs w:val="14"/>
          <w:lang w:val="es-ES_tradnl"/>
        </w:rPr>
        <w:t>á</w:t>
      </w:r>
      <w:r>
        <w:rPr>
          <w:spacing w:val="-1"/>
          <w:sz w:val="14"/>
          <w:szCs w:val="14"/>
          <w:lang w:val="es-ES_tradnl"/>
        </w:rPr>
        <w:t xml:space="preserve">n ser </w:t>
      </w:r>
      <w:r>
        <w:rPr>
          <w:spacing w:val="-3"/>
          <w:sz w:val="14"/>
          <w:szCs w:val="14"/>
          <w:lang w:val="es-ES_tradnl"/>
        </w:rPr>
        <w:t xml:space="preserve">interpretadas a partir del texto general del texto normativo para lograr entre todas las disposiciones la debida coexistencia, correspondencia </w:t>
      </w:r>
      <w:r>
        <w:rPr>
          <w:sz w:val="14"/>
          <w:szCs w:val="14"/>
          <w:lang w:val="es-ES_tradnl"/>
        </w:rPr>
        <w:t>y armon</w:t>
      </w:r>
      <w:r>
        <w:rPr>
          <w:rFonts w:cs="Times New Roman"/>
          <w:sz w:val="14"/>
          <w:szCs w:val="14"/>
          <w:lang w:val="es-ES_tradnl"/>
        </w:rPr>
        <w:t>í</w:t>
      </w:r>
      <w:r>
        <w:rPr>
          <w:sz w:val="14"/>
          <w:szCs w:val="14"/>
          <w:lang w:val="es-ES_tradnl"/>
        </w:rPr>
        <w:t>a.</w:t>
      </w:r>
      <w:r>
        <w:rPr>
          <w:rFonts w:cs="Times New Roman"/>
          <w:sz w:val="14"/>
          <w:szCs w:val="14"/>
          <w:lang w:val="es-ES_tradnl"/>
        </w:rPr>
        <w:t>”</w:t>
      </w:r>
    </w:p>
    <w:p w14:paraId="4F67B171" w14:textId="77777777" w:rsidR="00591D54" w:rsidRDefault="00591D54">
      <w:pPr>
        <w:shd w:val="clear" w:color="auto" w:fill="FFFFFF"/>
        <w:spacing w:before="379" w:line="178" w:lineRule="exact"/>
        <w:ind w:left="144" w:right="5" w:hanging="144"/>
        <w:jc w:val="both"/>
        <w:sectPr w:rsidR="00591D54">
          <w:type w:val="continuous"/>
          <w:pgSz w:w="11909" w:h="16834"/>
          <w:pgMar w:top="1356" w:right="1304" w:bottom="360" w:left="1308" w:header="720" w:footer="720" w:gutter="0"/>
          <w:cols w:num="2" w:space="720" w:equalWidth="0">
            <w:col w:w="4305" w:space="682"/>
            <w:col w:w="4310"/>
          </w:cols>
          <w:noEndnote/>
        </w:sectPr>
      </w:pPr>
    </w:p>
    <w:p w14:paraId="4F67B172"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- 171</w:t>
      </w:r>
    </w:p>
    <w:p w14:paraId="4F67B173" w14:textId="77777777" w:rsidR="00591D54" w:rsidRDefault="00591D54">
      <w:pPr>
        <w:shd w:val="clear" w:color="auto" w:fill="FFFFFF"/>
        <w:tabs>
          <w:tab w:val="left" w:pos="5842"/>
        </w:tabs>
        <w:spacing w:after="235"/>
        <w:ind w:left="5"/>
        <w:sectPr w:rsidR="00591D54">
          <w:pgSz w:w="11909" w:h="16834"/>
          <w:pgMar w:top="1356" w:right="1309" w:bottom="360" w:left="1308" w:header="720" w:footer="720" w:gutter="0"/>
          <w:cols w:space="60"/>
          <w:noEndnote/>
        </w:sectPr>
      </w:pPr>
    </w:p>
    <w:p w14:paraId="4F67B174" w14:textId="77777777" w:rsidR="00591D54" w:rsidRDefault="00591D54">
      <w:pPr>
        <w:shd w:val="clear" w:color="auto" w:fill="FFFFFF"/>
        <w:spacing w:line="216" w:lineRule="exact"/>
        <w:jc w:val="both"/>
      </w:pPr>
      <w:r>
        <w:rPr>
          <w:spacing w:val="-10"/>
          <w:sz w:val="18"/>
          <w:szCs w:val="18"/>
          <w:lang w:val="es-ES_tradnl"/>
        </w:rPr>
        <w:t>destacar que el mencionado derecho se encuentra tambi</w:t>
      </w:r>
      <w:r>
        <w:rPr>
          <w:rFonts w:cs="Times New Roman"/>
          <w:spacing w:val="-10"/>
          <w:sz w:val="18"/>
          <w:szCs w:val="18"/>
          <w:lang w:val="es-ES_tradnl"/>
        </w:rPr>
        <w:t>é</w:t>
      </w:r>
      <w:r>
        <w:rPr>
          <w:spacing w:val="-10"/>
          <w:sz w:val="18"/>
          <w:szCs w:val="18"/>
          <w:lang w:val="es-ES_tradnl"/>
        </w:rPr>
        <w:t xml:space="preserve">n garantizado en los instrumentos internacionales de derechos </w:t>
      </w:r>
      <w:r>
        <w:rPr>
          <w:spacing w:val="-7"/>
          <w:sz w:val="18"/>
          <w:szCs w:val="18"/>
          <w:lang w:val="es-ES_tradnl"/>
        </w:rPr>
        <w:t>humanos, esto es, en la Convenci</w:t>
      </w:r>
      <w:r>
        <w:rPr>
          <w:rFonts w:cs="Times New Roman"/>
          <w:spacing w:val="-7"/>
          <w:sz w:val="18"/>
          <w:szCs w:val="18"/>
          <w:lang w:val="es-ES_tradnl"/>
        </w:rPr>
        <w:t>ó</w:t>
      </w:r>
      <w:r>
        <w:rPr>
          <w:spacing w:val="-7"/>
          <w:sz w:val="18"/>
          <w:szCs w:val="18"/>
          <w:lang w:val="es-ES_tradnl"/>
        </w:rPr>
        <w:t xml:space="preserve">n Americana sobre </w:t>
      </w:r>
      <w:r>
        <w:rPr>
          <w:spacing w:val="-6"/>
          <w:sz w:val="18"/>
          <w:szCs w:val="18"/>
          <w:lang w:val="es-ES_tradnl"/>
        </w:rPr>
        <w:t>Derechos Humanos en su art</w:t>
      </w:r>
      <w:r>
        <w:rPr>
          <w:rFonts w:cs="Times New Roman"/>
          <w:spacing w:val="-6"/>
          <w:sz w:val="18"/>
          <w:szCs w:val="18"/>
          <w:lang w:val="es-ES_tradnl"/>
        </w:rPr>
        <w:t>í</w:t>
      </w:r>
      <w:r>
        <w:rPr>
          <w:spacing w:val="-6"/>
          <w:sz w:val="18"/>
          <w:szCs w:val="18"/>
          <w:lang w:val="es-ES_tradnl"/>
        </w:rPr>
        <w:t xml:space="preserve">culo 24, que dice: </w:t>
      </w:r>
      <w:r>
        <w:rPr>
          <w:rFonts w:cs="Times New Roman"/>
          <w:spacing w:val="-6"/>
          <w:sz w:val="18"/>
          <w:szCs w:val="18"/>
          <w:lang w:val="es-ES_tradnl"/>
        </w:rPr>
        <w:t>“</w:t>
      </w:r>
      <w:r>
        <w:rPr>
          <w:spacing w:val="-6"/>
          <w:sz w:val="18"/>
          <w:szCs w:val="18"/>
          <w:lang w:val="es-ES_tradnl"/>
        </w:rPr>
        <w:t xml:space="preserve">Igualdad </w:t>
      </w:r>
      <w:r>
        <w:rPr>
          <w:spacing w:val="-8"/>
          <w:sz w:val="18"/>
          <w:szCs w:val="18"/>
          <w:lang w:val="es-ES_tradnl"/>
        </w:rPr>
        <w:t xml:space="preserve">ante la ley. Todas las personas son iguales ante la ley. En </w:t>
      </w:r>
      <w:r>
        <w:rPr>
          <w:spacing w:val="-6"/>
          <w:sz w:val="18"/>
          <w:szCs w:val="18"/>
          <w:lang w:val="es-ES_tradnl"/>
        </w:rPr>
        <w:t>consecuencia, tienen derecho, sin discriminaci</w:t>
      </w:r>
      <w:r>
        <w:rPr>
          <w:rFonts w:cs="Times New Roman"/>
          <w:spacing w:val="-6"/>
          <w:sz w:val="18"/>
          <w:szCs w:val="18"/>
          <w:lang w:val="es-ES_tradnl"/>
        </w:rPr>
        <w:t>ó</w:t>
      </w:r>
      <w:r>
        <w:rPr>
          <w:spacing w:val="-6"/>
          <w:sz w:val="18"/>
          <w:szCs w:val="18"/>
          <w:lang w:val="es-ES_tradnl"/>
        </w:rPr>
        <w:t xml:space="preserve">n, a igual </w:t>
      </w:r>
      <w:r>
        <w:rPr>
          <w:sz w:val="18"/>
          <w:szCs w:val="18"/>
          <w:lang w:val="es-ES_tradnl"/>
        </w:rPr>
        <w:t>protecci</w:t>
      </w:r>
      <w:r>
        <w:rPr>
          <w:rFonts w:cs="Times New Roman"/>
          <w:sz w:val="18"/>
          <w:szCs w:val="18"/>
          <w:lang w:val="es-ES_tradnl"/>
        </w:rPr>
        <w:t>ó</w:t>
      </w:r>
      <w:r>
        <w:rPr>
          <w:sz w:val="18"/>
          <w:szCs w:val="18"/>
          <w:lang w:val="es-ES_tradnl"/>
        </w:rPr>
        <w:t>n de la ley</w:t>
      </w:r>
      <w:r>
        <w:rPr>
          <w:rFonts w:cs="Times New Roman"/>
          <w:sz w:val="18"/>
          <w:szCs w:val="18"/>
          <w:lang w:val="es-ES_tradnl"/>
        </w:rPr>
        <w:t>”</w:t>
      </w:r>
      <w:r>
        <w:rPr>
          <w:sz w:val="18"/>
          <w:szCs w:val="18"/>
          <w:lang w:val="es-ES_tradnl"/>
        </w:rPr>
        <w:t>.</w:t>
      </w:r>
    </w:p>
    <w:p w14:paraId="4F67B175" w14:textId="77777777" w:rsidR="00591D54" w:rsidRDefault="00591D54">
      <w:pPr>
        <w:shd w:val="clear" w:color="auto" w:fill="FFFFFF"/>
        <w:spacing w:before="264" w:line="216" w:lineRule="exact"/>
        <w:jc w:val="both"/>
      </w:pPr>
      <w:r>
        <w:rPr>
          <w:spacing w:val="-7"/>
          <w:sz w:val="18"/>
          <w:szCs w:val="18"/>
          <w:lang w:val="es-ES_tradnl"/>
        </w:rPr>
        <w:t xml:space="preserve">El derecho a la igualdad referido en las normas nacionales </w:t>
      </w:r>
      <w:r>
        <w:rPr>
          <w:spacing w:val="-8"/>
          <w:sz w:val="18"/>
          <w:szCs w:val="18"/>
          <w:lang w:val="es-ES_tradnl"/>
        </w:rPr>
        <w:t xml:space="preserve">e internacional, para el presente caso, se subsume en el </w:t>
      </w:r>
      <w:r>
        <w:rPr>
          <w:spacing w:val="-7"/>
          <w:sz w:val="18"/>
          <w:szCs w:val="18"/>
          <w:lang w:val="es-ES_tradnl"/>
        </w:rPr>
        <w:t xml:space="preserve">derecho subjetivo de los justiciables a obtener del </w:t>
      </w:r>
      <w:r>
        <w:rPr>
          <w:rFonts w:cs="Times New Roman"/>
          <w:spacing w:val="-7"/>
          <w:sz w:val="18"/>
          <w:szCs w:val="18"/>
          <w:lang w:val="es-ES_tradnl"/>
        </w:rPr>
        <w:t>ó</w:t>
      </w:r>
      <w:r>
        <w:rPr>
          <w:spacing w:val="-7"/>
          <w:sz w:val="18"/>
          <w:szCs w:val="18"/>
          <w:lang w:val="es-ES_tradnl"/>
        </w:rPr>
        <w:t xml:space="preserve">rgano </w:t>
      </w:r>
      <w:r>
        <w:rPr>
          <w:spacing w:val="-5"/>
          <w:sz w:val="18"/>
          <w:szCs w:val="18"/>
          <w:lang w:val="es-ES_tradnl"/>
        </w:rPr>
        <w:t xml:space="preserve">jurisdiccional un tratamiento igual en una controversia </w:t>
      </w:r>
      <w:r>
        <w:rPr>
          <w:spacing w:val="-9"/>
          <w:sz w:val="18"/>
          <w:szCs w:val="18"/>
          <w:lang w:val="es-ES_tradnl"/>
        </w:rPr>
        <w:t xml:space="preserve">judicial, imponiendo a los operadores de justicia el deber de </w:t>
      </w:r>
      <w:r>
        <w:rPr>
          <w:spacing w:val="-6"/>
          <w:sz w:val="18"/>
          <w:szCs w:val="18"/>
          <w:lang w:val="es-ES_tradnl"/>
        </w:rPr>
        <w:t>llevar a cabo en sus decisiones judiciales, el trato an</w:t>
      </w:r>
      <w:r>
        <w:rPr>
          <w:rFonts w:cs="Times New Roman"/>
          <w:spacing w:val="-6"/>
          <w:sz w:val="18"/>
          <w:szCs w:val="18"/>
          <w:lang w:val="es-ES_tradnl"/>
        </w:rPr>
        <w:t>á</w:t>
      </w:r>
      <w:r>
        <w:rPr>
          <w:spacing w:val="-6"/>
          <w:sz w:val="18"/>
          <w:szCs w:val="18"/>
          <w:lang w:val="es-ES_tradnl"/>
        </w:rPr>
        <w:t xml:space="preserve">logo </w:t>
      </w:r>
      <w:r>
        <w:rPr>
          <w:spacing w:val="-8"/>
          <w:sz w:val="18"/>
          <w:szCs w:val="18"/>
          <w:lang w:val="es-ES_tradnl"/>
        </w:rPr>
        <w:t xml:space="preserve">al asunto o tema demandado, pues, el tratamiento, ante la </w:t>
      </w:r>
      <w:r>
        <w:rPr>
          <w:spacing w:val="-7"/>
          <w:sz w:val="18"/>
          <w:szCs w:val="18"/>
          <w:lang w:val="es-ES_tradnl"/>
        </w:rPr>
        <w:t xml:space="preserve">justicia, impone que un mismo </w:t>
      </w:r>
      <w:r>
        <w:rPr>
          <w:rFonts w:cs="Times New Roman"/>
          <w:spacing w:val="-7"/>
          <w:sz w:val="18"/>
          <w:szCs w:val="18"/>
          <w:lang w:val="es-ES_tradnl"/>
        </w:rPr>
        <w:t>ó</w:t>
      </w:r>
      <w:r>
        <w:rPr>
          <w:spacing w:val="-7"/>
          <w:sz w:val="18"/>
          <w:szCs w:val="18"/>
          <w:lang w:val="es-ES_tradnl"/>
        </w:rPr>
        <w:t xml:space="preserve">rgano no puede modificar </w:t>
      </w:r>
      <w:r>
        <w:rPr>
          <w:spacing w:val="-8"/>
          <w:sz w:val="18"/>
          <w:szCs w:val="18"/>
          <w:lang w:val="es-ES_tradnl"/>
        </w:rPr>
        <w:t xml:space="preserve">arbitrariamente el sentido de sus decisiones en los casos sustancialmente similares siempre y cuando coincidan los </w:t>
      </w:r>
      <w:r>
        <w:rPr>
          <w:spacing w:val="-7"/>
          <w:sz w:val="18"/>
          <w:szCs w:val="18"/>
          <w:lang w:val="es-ES_tradnl"/>
        </w:rPr>
        <w:t xml:space="preserve">hechos procesales y pretensiones en ambos casos, tanto </w:t>
      </w:r>
      <w:r>
        <w:rPr>
          <w:spacing w:val="-8"/>
          <w:sz w:val="18"/>
          <w:szCs w:val="18"/>
          <w:lang w:val="es-ES_tradnl"/>
        </w:rPr>
        <w:t xml:space="preserve">en el caso </w:t>
      </w:r>
      <w:r>
        <w:rPr>
          <w:i/>
          <w:iCs/>
          <w:spacing w:val="-8"/>
          <w:sz w:val="18"/>
          <w:szCs w:val="18"/>
          <w:lang w:val="es-ES_tradnl"/>
        </w:rPr>
        <w:t xml:space="preserve">sub judice </w:t>
      </w:r>
      <w:r>
        <w:rPr>
          <w:spacing w:val="-8"/>
          <w:sz w:val="18"/>
          <w:szCs w:val="18"/>
          <w:lang w:val="es-ES_tradnl"/>
        </w:rPr>
        <w:t>como en la sentencia precedente, limitando as</w:t>
      </w:r>
      <w:r>
        <w:rPr>
          <w:rFonts w:cs="Times New Roman"/>
          <w:spacing w:val="-8"/>
          <w:sz w:val="18"/>
          <w:szCs w:val="18"/>
          <w:lang w:val="es-ES_tradnl"/>
        </w:rPr>
        <w:t>í</w:t>
      </w:r>
      <w:r>
        <w:rPr>
          <w:spacing w:val="-8"/>
          <w:sz w:val="18"/>
          <w:szCs w:val="18"/>
          <w:lang w:val="es-ES_tradnl"/>
        </w:rPr>
        <w:t xml:space="preserve"> la arbitrariedad en la aplicaci</w:t>
      </w:r>
      <w:r>
        <w:rPr>
          <w:rFonts w:cs="Times New Roman"/>
          <w:spacing w:val="-8"/>
          <w:sz w:val="18"/>
          <w:szCs w:val="18"/>
          <w:lang w:val="es-ES_tradnl"/>
        </w:rPr>
        <w:t>ó</w:t>
      </w:r>
      <w:r>
        <w:rPr>
          <w:spacing w:val="-8"/>
          <w:sz w:val="18"/>
          <w:szCs w:val="18"/>
          <w:lang w:val="es-ES_tradnl"/>
        </w:rPr>
        <w:t xml:space="preserve">n de las normas </w:t>
      </w:r>
      <w:r>
        <w:rPr>
          <w:spacing w:val="-5"/>
          <w:sz w:val="18"/>
          <w:szCs w:val="18"/>
          <w:lang w:val="es-ES_tradnl"/>
        </w:rPr>
        <w:t>jur</w:t>
      </w:r>
      <w:r>
        <w:rPr>
          <w:rFonts w:cs="Times New Roman"/>
          <w:spacing w:val="-5"/>
          <w:sz w:val="18"/>
          <w:szCs w:val="18"/>
          <w:lang w:val="es-ES_tradnl"/>
        </w:rPr>
        <w:t>í</w:t>
      </w:r>
      <w:r>
        <w:rPr>
          <w:spacing w:val="-5"/>
          <w:sz w:val="18"/>
          <w:szCs w:val="18"/>
          <w:lang w:val="es-ES_tradnl"/>
        </w:rPr>
        <w:t xml:space="preserve">dicas. Sin embargo, cabe destacar que este derecho </w:t>
      </w:r>
      <w:r>
        <w:rPr>
          <w:spacing w:val="-8"/>
          <w:sz w:val="18"/>
          <w:szCs w:val="18"/>
          <w:lang w:val="es-ES_tradnl"/>
        </w:rPr>
        <w:t xml:space="preserve">no implica necesariamente atender a favor de una de las </w:t>
      </w:r>
      <w:r>
        <w:rPr>
          <w:spacing w:val="-10"/>
          <w:sz w:val="18"/>
          <w:szCs w:val="18"/>
          <w:lang w:val="es-ES_tradnl"/>
        </w:rPr>
        <w:t xml:space="preserve">partes procesales las pretensiones, pues las mismas han de </w:t>
      </w:r>
      <w:r>
        <w:rPr>
          <w:spacing w:val="-9"/>
          <w:sz w:val="18"/>
          <w:szCs w:val="18"/>
          <w:lang w:val="es-ES_tradnl"/>
        </w:rPr>
        <w:t>ser otorgadas como consecuencia de la justificaci</w:t>
      </w:r>
      <w:r>
        <w:rPr>
          <w:rFonts w:cs="Times New Roman"/>
          <w:spacing w:val="-9"/>
          <w:sz w:val="18"/>
          <w:szCs w:val="18"/>
          <w:lang w:val="es-ES_tradnl"/>
        </w:rPr>
        <w:t>ó</w:t>
      </w:r>
      <w:r>
        <w:rPr>
          <w:spacing w:val="-9"/>
          <w:sz w:val="18"/>
          <w:szCs w:val="18"/>
          <w:lang w:val="es-ES_tradnl"/>
        </w:rPr>
        <w:t xml:space="preserve">n de los </w:t>
      </w:r>
      <w:r>
        <w:rPr>
          <w:spacing w:val="-10"/>
          <w:sz w:val="18"/>
          <w:szCs w:val="18"/>
          <w:lang w:val="es-ES_tradnl"/>
        </w:rPr>
        <w:t>fundamentos f</w:t>
      </w:r>
      <w:r>
        <w:rPr>
          <w:rFonts w:cs="Times New Roman"/>
          <w:spacing w:val="-10"/>
          <w:sz w:val="18"/>
          <w:szCs w:val="18"/>
          <w:lang w:val="es-ES_tradnl"/>
        </w:rPr>
        <w:t>á</w:t>
      </w:r>
      <w:r>
        <w:rPr>
          <w:spacing w:val="-10"/>
          <w:sz w:val="18"/>
          <w:szCs w:val="18"/>
          <w:lang w:val="es-ES_tradnl"/>
        </w:rPr>
        <w:t>cticos y jur</w:t>
      </w:r>
      <w:r>
        <w:rPr>
          <w:rFonts w:cs="Times New Roman"/>
          <w:spacing w:val="-10"/>
          <w:sz w:val="18"/>
          <w:szCs w:val="18"/>
          <w:lang w:val="es-ES_tradnl"/>
        </w:rPr>
        <w:t>í</w:t>
      </w:r>
      <w:r>
        <w:rPr>
          <w:spacing w:val="-10"/>
          <w:sz w:val="18"/>
          <w:szCs w:val="18"/>
          <w:lang w:val="es-ES_tradnl"/>
        </w:rPr>
        <w:t xml:space="preserve">dicos en el caso concreto a fin de </w:t>
      </w:r>
      <w:r>
        <w:rPr>
          <w:spacing w:val="-7"/>
          <w:sz w:val="18"/>
          <w:szCs w:val="18"/>
          <w:lang w:val="es-ES_tradnl"/>
        </w:rPr>
        <w:t xml:space="preserve">que coincida y en consecuencia, exista identidad objetiva </w:t>
      </w:r>
      <w:r>
        <w:rPr>
          <w:spacing w:val="-9"/>
          <w:sz w:val="18"/>
          <w:szCs w:val="18"/>
          <w:lang w:val="es-ES_tradnl"/>
        </w:rPr>
        <w:t xml:space="preserve">del </w:t>
      </w:r>
      <w:r>
        <w:rPr>
          <w:i/>
          <w:iCs/>
          <w:spacing w:val="-9"/>
          <w:sz w:val="18"/>
          <w:szCs w:val="18"/>
          <w:lang w:val="es-ES_tradnl"/>
        </w:rPr>
        <w:t xml:space="preserve">thema decidendum </w:t>
      </w:r>
      <w:r>
        <w:rPr>
          <w:spacing w:val="-9"/>
          <w:sz w:val="18"/>
          <w:szCs w:val="18"/>
          <w:lang w:val="es-ES_tradnl"/>
        </w:rPr>
        <w:t xml:space="preserve">con la o las decisiones similares que </w:t>
      </w:r>
      <w:r>
        <w:rPr>
          <w:spacing w:val="-8"/>
          <w:sz w:val="18"/>
          <w:szCs w:val="18"/>
          <w:lang w:val="es-ES_tradnl"/>
        </w:rPr>
        <w:t>fueron resueltas y que tengan relaci</w:t>
      </w:r>
      <w:r>
        <w:rPr>
          <w:rFonts w:cs="Times New Roman"/>
          <w:spacing w:val="-8"/>
          <w:sz w:val="18"/>
          <w:szCs w:val="18"/>
          <w:lang w:val="es-ES_tradnl"/>
        </w:rPr>
        <w:t>ó</w:t>
      </w:r>
      <w:r>
        <w:rPr>
          <w:spacing w:val="-8"/>
          <w:sz w:val="18"/>
          <w:szCs w:val="18"/>
          <w:lang w:val="es-ES_tradnl"/>
        </w:rPr>
        <w:t>n entre s</w:t>
      </w:r>
      <w:r>
        <w:rPr>
          <w:rFonts w:cs="Times New Roman"/>
          <w:spacing w:val="-8"/>
          <w:sz w:val="18"/>
          <w:szCs w:val="18"/>
          <w:lang w:val="es-ES_tradnl"/>
        </w:rPr>
        <w:t>í</w:t>
      </w:r>
      <w:r>
        <w:rPr>
          <w:spacing w:val="-8"/>
          <w:sz w:val="18"/>
          <w:szCs w:val="18"/>
          <w:lang w:val="es-ES_tradnl"/>
        </w:rPr>
        <w:t>.</w:t>
      </w:r>
    </w:p>
    <w:p w14:paraId="4F67B176" w14:textId="77777777" w:rsidR="00591D54" w:rsidRDefault="00591D54">
      <w:pPr>
        <w:shd w:val="clear" w:color="auto" w:fill="FFFFFF"/>
        <w:spacing w:before="197" w:line="216" w:lineRule="exact"/>
        <w:ind w:right="5"/>
        <w:jc w:val="both"/>
      </w:pPr>
      <w:r>
        <w:rPr>
          <w:spacing w:val="-7"/>
          <w:sz w:val="18"/>
          <w:szCs w:val="18"/>
          <w:lang w:val="es-ES_tradnl"/>
        </w:rPr>
        <w:t>En este contexto, conviene observar los razonamientos expuestos en la sentencia N.</w:t>
      </w:r>
      <w:r>
        <w:rPr>
          <w:rFonts w:cs="Times New Roman"/>
          <w:spacing w:val="-7"/>
          <w:sz w:val="18"/>
          <w:szCs w:val="18"/>
          <w:lang w:val="es-ES_tradnl"/>
        </w:rPr>
        <w:t>º</w:t>
      </w:r>
      <w:r>
        <w:rPr>
          <w:spacing w:val="-7"/>
          <w:sz w:val="18"/>
          <w:szCs w:val="18"/>
          <w:lang w:val="es-ES_tradnl"/>
        </w:rPr>
        <w:t xml:space="preserve"> 112-14-SEP-CC del 23 de </w:t>
      </w:r>
      <w:r>
        <w:rPr>
          <w:spacing w:val="-5"/>
          <w:sz w:val="18"/>
          <w:szCs w:val="18"/>
          <w:lang w:val="es-ES_tradnl"/>
        </w:rPr>
        <w:t xml:space="preserve">julio de 2014, por el Pleno de la Corte Constitucional del </w:t>
      </w:r>
      <w:r>
        <w:rPr>
          <w:sz w:val="18"/>
          <w:szCs w:val="18"/>
          <w:lang w:val="es-ES_tradnl"/>
        </w:rPr>
        <w:t>Ecuador que manifiesta:</w:t>
      </w:r>
    </w:p>
    <w:p w14:paraId="4F67B177" w14:textId="77777777" w:rsidR="00591D54" w:rsidRDefault="00591D54">
      <w:pPr>
        <w:shd w:val="clear" w:color="auto" w:fill="FFFFFF"/>
        <w:spacing w:before="202" w:line="211" w:lineRule="exact"/>
        <w:ind w:left="283" w:right="5"/>
        <w:jc w:val="both"/>
      </w:pPr>
      <w:r>
        <w:rPr>
          <w:sz w:val="14"/>
          <w:szCs w:val="14"/>
          <w:lang w:val="es-ES_tradnl"/>
        </w:rPr>
        <w:t>(</w:t>
      </w:r>
      <w:r>
        <w:rPr>
          <w:rFonts w:cs="Times New Roman"/>
          <w:sz w:val="14"/>
          <w:szCs w:val="14"/>
          <w:lang w:val="es-ES_tradnl"/>
        </w:rPr>
        <w:t>…</w:t>
      </w:r>
      <w:r>
        <w:rPr>
          <w:sz w:val="14"/>
          <w:szCs w:val="14"/>
          <w:lang w:val="es-ES_tradnl"/>
        </w:rPr>
        <w:t>) Si la Corte Nacional de Justicia mantiene un lineamiento jurisprudencial respecto de casos con similares patrones f</w:t>
      </w:r>
      <w:r>
        <w:rPr>
          <w:rFonts w:cs="Times New Roman"/>
          <w:sz w:val="14"/>
          <w:szCs w:val="14"/>
          <w:lang w:val="es-ES_tradnl"/>
        </w:rPr>
        <w:t>á</w:t>
      </w:r>
      <w:r>
        <w:rPr>
          <w:sz w:val="14"/>
          <w:szCs w:val="14"/>
          <w:lang w:val="es-ES_tradnl"/>
        </w:rPr>
        <w:t>cticos, su cambio precisa una justificaci</w:t>
      </w:r>
      <w:r>
        <w:rPr>
          <w:rFonts w:cs="Times New Roman"/>
          <w:sz w:val="14"/>
          <w:szCs w:val="14"/>
          <w:lang w:val="es-ES_tradnl"/>
        </w:rPr>
        <w:t>ó</w:t>
      </w:r>
      <w:r>
        <w:rPr>
          <w:sz w:val="14"/>
          <w:szCs w:val="14"/>
          <w:lang w:val="es-ES_tradnl"/>
        </w:rPr>
        <w:t>n de lo contrario se alterar</w:t>
      </w:r>
      <w:r>
        <w:rPr>
          <w:rFonts w:cs="Times New Roman"/>
          <w:sz w:val="14"/>
          <w:szCs w:val="14"/>
          <w:lang w:val="es-ES_tradnl"/>
        </w:rPr>
        <w:t>í</w:t>
      </w:r>
      <w:r>
        <w:rPr>
          <w:sz w:val="14"/>
          <w:szCs w:val="14"/>
          <w:lang w:val="es-ES_tradnl"/>
        </w:rPr>
        <w:t>a el sentido de una fuente de derecho como lo es la jurisprudencia (</w:t>
      </w:r>
      <w:r>
        <w:rPr>
          <w:rFonts w:cs="Times New Roman"/>
          <w:sz w:val="14"/>
          <w:szCs w:val="14"/>
          <w:lang w:val="es-ES_tradnl"/>
        </w:rPr>
        <w:t>…</w:t>
      </w:r>
      <w:r>
        <w:rPr>
          <w:sz w:val="14"/>
          <w:szCs w:val="14"/>
          <w:lang w:val="es-ES_tradnl"/>
        </w:rPr>
        <w:t>) la ulterior sentencia debe observar el precedente jurisprudencial as</w:t>
      </w:r>
      <w:r>
        <w:rPr>
          <w:rFonts w:cs="Times New Roman"/>
          <w:sz w:val="14"/>
          <w:szCs w:val="14"/>
          <w:lang w:val="es-ES_tradnl"/>
        </w:rPr>
        <w:t>í</w:t>
      </w:r>
      <w:r>
        <w:rPr>
          <w:sz w:val="14"/>
          <w:szCs w:val="14"/>
          <w:lang w:val="es-ES_tradnl"/>
        </w:rPr>
        <w:t xml:space="preserve"> como las normas previas, claras, p</w:t>
      </w:r>
      <w:r>
        <w:rPr>
          <w:rFonts w:cs="Times New Roman"/>
          <w:sz w:val="14"/>
          <w:szCs w:val="14"/>
          <w:lang w:val="es-ES_tradnl"/>
        </w:rPr>
        <w:t>ú</w:t>
      </w:r>
      <w:r>
        <w:rPr>
          <w:sz w:val="14"/>
          <w:szCs w:val="14"/>
          <w:lang w:val="es-ES_tradnl"/>
        </w:rPr>
        <w:t>blicas y aplicadas por la autoridad competente a la hora de emitir la sentencia de m</w:t>
      </w:r>
      <w:r>
        <w:rPr>
          <w:rFonts w:cs="Times New Roman"/>
          <w:sz w:val="14"/>
          <w:szCs w:val="14"/>
          <w:lang w:val="es-ES_tradnl"/>
        </w:rPr>
        <w:t>é</w:t>
      </w:r>
      <w:r>
        <w:rPr>
          <w:sz w:val="14"/>
          <w:szCs w:val="14"/>
          <w:lang w:val="es-ES_tradnl"/>
        </w:rPr>
        <w:t>rito dentro de la causa puesta a su conocimiento, debi</w:t>
      </w:r>
      <w:r>
        <w:rPr>
          <w:rFonts w:cs="Times New Roman"/>
          <w:sz w:val="14"/>
          <w:szCs w:val="14"/>
          <w:lang w:val="es-ES_tradnl"/>
        </w:rPr>
        <w:t>é</w:t>
      </w:r>
      <w:r>
        <w:rPr>
          <w:sz w:val="14"/>
          <w:szCs w:val="14"/>
          <w:lang w:val="es-ES_tradnl"/>
        </w:rPr>
        <w:t>ndose estar a lo dispuesto por la misma Sala</w:t>
      </w:r>
      <w:r>
        <w:rPr>
          <w:sz w:val="14"/>
          <w:szCs w:val="14"/>
          <w:vertAlign w:val="superscript"/>
          <w:lang w:val="es-ES_tradnl"/>
        </w:rPr>
        <w:t>10</w:t>
      </w:r>
      <w:r>
        <w:rPr>
          <w:sz w:val="14"/>
          <w:szCs w:val="14"/>
          <w:lang w:val="es-ES_tradnl"/>
        </w:rPr>
        <w:t>.</w:t>
      </w:r>
    </w:p>
    <w:p w14:paraId="4F67B178" w14:textId="77777777" w:rsidR="00591D54" w:rsidRDefault="00591D54">
      <w:pPr>
        <w:shd w:val="clear" w:color="auto" w:fill="FFFFFF"/>
        <w:spacing w:before="202" w:line="216" w:lineRule="exact"/>
        <w:jc w:val="both"/>
      </w:pPr>
      <w:r>
        <w:rPr>
          <w:spacing w:val="-5"/>
          <w:sz w:val="18"/>
          <w:szCs w:val="18"/>
          <w:lang w:val="es-ES_tradnl"/>
        </w:rPr>
        <w:t xml:space="preserve">De las consideraciones que anteceden, se deduce que </w:t>
      </w:r>
      <w:r>
        <w:rPr>
          <w:sz w:val="18"/>
          <w:szCs w:val="18"/>
          <w:lang w:val="es-ES_tradnl"/>
        </w:rPr>
        <w:t xml:space="preserve">para la operatividad del derecho </w:t>
      </w:r>
      <w:r>
        <w:rPr>
          <w:i/>
          <w:iCs/>
          <w:sz w:val="18"/>
          <w:szCs w:val="18"/>
          <w:lang w:val="es-ES_tradnl"/>
        </w:rPr>
        <w:t xml:space="preserve">ut supra </w:t>
      </w:r>
      <w:r>
        <w:rPr>
          <w:sz w:val="18"/>
          <w:szCs w:val="18"/>
          <w:lang w:val="es-ES_tradnl"/>
        </w:rPr>
        <w:t xml:space="preserve">se requiere </w:t>
      </w:r>
      <w:r>
        <w:rPr>
          <w:spacing w:val="-6"/>
          <w:sz w:val="18"/>
          <w:szCs w:val="18"/>
          <w:lang w:val="es-ES_tradnl"/>
        </w:rPr>
        <w:t>de circunstancias jur</w:t>
      </w:r>
      <w:r>
        <w:rPr>
          <w:rFonts w:cs="Times New Roman"/>
          <w:spacing w:val="-6"/>
          <w:sz w:val="18"/>
          <w:szCs w:val="18"/>
          <w:lang w:val="es-ES_tradnl"/>
        </w:rPr>
        <w:t>í</w:t>
      </w:r>
      <w:r>
        <w:rPr>
          <w:spacing w:val="-6"/>
          <w:sz w:val="18"/>
          <w:szCs w:val="18"/>
          <w:lang w:val="es-ES_tradnl"/>
        </w:rPr>
        <w:t xml:space="preserve">dicas iguales o similares para el </w:t>
      </w:r>
      <w:r>
        <w:rPr>
          <w:spacing w:val="-8"/>
          <w:sz w:val="18"/>
          <w:szCs w:val="18"/>
          <w:lang w:val="es-ES_tradnl"/>
        </w:rPr>
        <w:t xml:space="preserve">tratamiento hacia determinadas personas en situaciones </w:t>
      </w:r>
      <w:r>
        <w:rPr>
          <w:spacing w:val="-4"/>
          <w:sz w:val="18"/>
          <w:szCs w:val="18"/>
          <w:lang w:val="es-ES_tradnl"/>
        </w:rPr>
        <w:t>jur</w:t>
      </w:r>
      <w:r>
        <w:rPr>
          <w:rFonts w:cs="Times New Roman"/>
          <w:spacing w:val="-4"/>
          <w:sz w:val="18"/>
          <w:szCs w:val="18"/>
          <w:lang w:val="es-ES_tradnl"/>
        </w:rPr>
        <w:t>í</w:t>
      </w:r>
      <w:r>
        <w:rPr>
          <w:spacing w:val="-4"/>
          <w:sz w:val="18"/>
          <w:szCs w:val="18"/>
          <w:lang w:val="es-ES_tradnl"/>
        </w:rPr>
        <w:t>dicas paritarias o id</w:t>
      </w:r>
      <w:r>
        <w:rPr>
          <w:rFonts w:cs="Times New Roman"/>
          <w:spacing w:val="-4"/>
          <w:sz w:val="18"/>
          <w:szCs w:val="18"/>
          <w:lang w:val="es-ES_tradnl"/>
        </w:rPr>
        <w:t>é</w:t>
      </w:r>
      <w:r>
        <w:rPr>
          <w:spacing w:val="-4"/>
          <w:sz w:val="18"/>
          <w:szCs w:val="18"/>
          <w:lang w:val="es-ES_tradnl"/>
        </w:rPr>
        <w:t xml:space="preserve">nticas a fin de garantizar los </w:t>
      </w:r>
      <w:r>
        <w:rPr>
          <w:spacing w:val="-7"/>
          <w:sz w:val="18"/>
          <w:szCs w:val="18"/>
          <w:lang w:val="es-ES_tradnl"/>
        </w:rPr>
        <w:t>derechos constitucionales a la seguridad jur</w:t>
      </w:r>
      <w:r>
        <w:rPr>
          <w:rFonts w:cs="Times New Roman"/>
          <w:spacing w:val="-7"/>
          <w:sz w:val="18"/>
          <w:szCs w:val="18"/>
          <w:lang w:val="es-ES_tradnl"/>
        </w:rPr>
        <w:t>í</w:t>
      </w:r>
      <w:r>
        <w:rPr>
          <w:spacing w:val="-7"/>
          <w:sz w:val="18"/>
          <w:szCs w:val="18"/>
          <w:lang w:val="es-ES_tradnl"/>
        </w:rPr>
        <w:t>dica as</w:t>
      </w:r>
      <w:r>
        <w:rPr>
          <w:rFonts w:cs="Times New Roman"/>
          <w:spacing w:val="-7"/>
          <w:sz w:val="18"/>
          <w:szCs w:val="18"/>
          <w:lang w:val="es-ES_tradnl"/>
        </w:rPr>
        <w:t>í</w:t>
      </w:r>
      <w:r>
        <w:rPr>
          <w:spacing w:val="-7"/>
          <w:sz w:val="18"/>
          <w:szCs w:val="18"/>
          <w:lang w:val="es-ES_tradnl"/>
        </w:rPr>
        <w:t xml:space="preserve"> como </w:t>
      </w:r>
      <w:r>
        <w:rPr>
          <w:spacing w:val="-6"/>
          <w:sz w:val="18"/>
          <w:szCs w:val="18"/>
          <w:lang w:val="es-ES_tradnl"/>
        </w:rPr>
        <w:t>el debido proceso en la garant</w:t>
      </w:r>
      <w:r>
        <w:rPr>
          <w:rFonts w:cs="Times New Roman"/>
          <w:spacing w:val="-6"/>
          <w:sz w:val="18"/>
          <w:szCs w:val="18"/>
          <w:lang w:val="es-ES_tradnl"/>
        </w:rPr>
        <w:t>í</w:t>
      </w:r>
      <w:r>
        <w:rPr>
          <w:spacing w:val="-6"/>
          <w:sz w:val="18"/>
          <w:szCs w:val="18"/>
          <w:lang w:val="es-ES_tradnl"/>
        </w:rPr>
        <w:t>a de la motivaci</w:t>
      </w:r>
      <w:r>
        <w:rPr>
          <w:rFonts w:cs="Times New Roman"/>
          <w:spacing w:val="-6"/>
          <w:sz w:val="18"/>
          <w:szCs w:val="18"/>
          <w:lang w:val="es-ES_tradnl"/>
        </w:rPr>
        <w:t>ó</w:t>
      </w:r>
      <w:r>
        <w:rPr>
          <w:spacing w:val="-6"/>
          <w:sz w:val="18"/>
          <w:szCs w:val="18"/>
          <w:lang w:val="es-ES_tradnl"/>
        </w:rPr>
        <w:t xml:space="preserve">n y cuya </w:t>
      </w:r>
      <w:r>
        <w:rPr>
          <w:spacing w:val="-10"/>
          <w:sz w:val="18"/>
          <w:szCs w:val="18"/>
          <w:lang w:val="es-ES_tradnl"/>
        </w:rPr>
        <w:t>hermen</w:t>
      </w:r>
      <w:r>
        <w:rPr>
          <w:rFonts w:cs="Times New Roman"/>
          <w:spacing w:val="-10"/>
          <w:sz w:val="18"/>
          <w:szCs w:val="18"/>
          <w:lang w:val="es-ES_tradnl"/>
        </w:rPr>
        <w:t>é</w:t>
      </w:r>
      <w:r>
        <w:rPr>
          <w:spacing w:val="-10"/>
          <w:sz w:val="18"/>
          <w:szCs w:val="18"/>
          <w:lang w:val="es-ES_tradnl"/>
        </w:rPr>
        <w:t xml:space="preserve">utica empleada en las normas y su correspondiente </w:t>
      </w:r>
      <w:r>
        <w:rPr>
          <w:spacing w:val="-7"/>
          <w:sz w:val="18"/>
          <w:szCs w:val="18"/>
          <w:lang w:val="es-ES_tradnl"/>
        </w:rPr>
        <w:t>aplicaci</w:t>
      </w:r>
      <w:r>
        <w:rPr>
          <w:rFonts w:cs="Times New Roman"/>
          <w:spacing w:val="-7"/>
          <w:sz w:val="18"/>
          <w:szCs w:val="18"/>
          <w:lang w:val="es-ES_tradnl"/>
        </w:rPr>
        <w:t>ó</w:t>
      </w:r>
      <w:r>
        <w:rPr>
          <w:spacing w:val="-7"/>
          <w:sz w:val="18"/>
          <w:szCs w:val="18"/>
          <w:lang w:val="es-ES_tradnl"/>
        </w:rPr>
        <w:t xml:space="preserve">n debe ser constante y uniforme, es decir, la </w:t>
      </w:r>
      <w:r>
        <w:rPr>
          <w:i/>
          <w:iCs/>
          <w:spacing w:val="-7"/>
          <w:sz w:val="18"/>
          <w:szCs w:val="18"/>
          <w:lang w:val="es-ES_tradnl"/>
        </w:rPr>
        <w:t xml:space="preserve">ratio decidendi </w:t>
      </w:r>
      <w:r>
        <w:rPr>
          <w:spacing w:val="-7"/>
          <w:sz w:val="18"/>
          <w:szCs w:val="18"/>
          <w:lang w:val="es-ES_tradnl"/>
        </w:rPr>
        <w:t>como condici</w:t>
      </w:r>
      <w:r>
        <w:rPr>
          <w:rFonts w:cs="Times New Roman"/>
          <w:spacing w:val="-7"/>
          <w:sz w:val="18"/>
          <w:szCs w:val="18"/>
          <w:lang w:val="es-ES_tradnl"/>
        </w:rPr>
        <w:t>ó</w:t>
      </w:r>
      <w:r>
        <w:rPr>
          <w:spacing w:val="-7"/>
          <w:sz w:val="18"/>
          <w:szCs w:val="18"/>
          <w:lang w:val="es-ES_tradnl"/>
        </w:rPr>
        <w:t xml:space="preserve">n </w:t>
      </w:r>
      <w:r>
        <w:rPr>
          <w:i/>
          <w:iCs/>
          <w:spacing w:val="-7"/>
          <w:sz w:val="18"/>
          <w:szCs w:val="18"/>
          <w:lang w:val="es-ES_tradnl"/>
        </w:rPr>
        <w:t xml:space="preserve">sine qua non </w:t>
      </w:r>
      <w:r>
        <w:rPr>
          <w:spacing w:val="-7"/>
          <w:sz w:val="18"/>
          <w:szCs w:val="18"/>
          <w:lang w:val="es-ES_tradnl"/>
        </w:rPr>
        <w:t xml:space="preserve">para la buena </w:t>
      </w:r>
      <w:r>
        <w:rPr>
          <w:spacing w:val="-8"/>
          <w:sz w:val="18"/>
          <w:szCs w:val="18"/>
          <w:lang w:val="es-ES_tradnl"/>
        </w:rPr>
        <w:t>realizaci</w:t>
      </w:r>
      <w:r>
        <w:rPr>
          <w:rFonts w:cs="Times New Roman"/>
          <w:spacing w:val="-8"/>
          <w:sz w:val="18"/>
          <w:szCs w:val="18"/>
          <w:lang w:val="es-ES_tradnl"/>
        </w:rPr>
        <w:t>ó</w:t>
      </w:r>
      <w:r>
        <w:rPr>
          <w:spacing w:val="-8"/>
          <w:sz w:val="18"/>
          <w:szCs w:val="18"/>
          <w:lang w:val="es-ES_tradnl"/>
        </w:rPr>
        <w:t xml:space="preserve">n de la labor del juez en el ejercicio de la potestad </w:t>
      </w:r>
      <w:r>
        <w:rPr>
          <w:spacing w:val="-6"/>
          <w:sz w:val="18"/>
          <w:szCs w:val="18"/>
          <w:lang w:val="es-ES_tradnl"/>
        </w:rPr>
        <w:t>jurisdiccional se fortifica en virtud de los m</w:t>
      </w:r>
      <w:r>
        <w:rPr>
          <w:rFonts w:cs="Times New Roman"/>
          <w:spacing w:val="-6"/>
          <w:sz w:val="18"/>
          <w:szCs w:val="18"/>
          <w:lang w:val="es-ES_tradnl"/>
        </w:rPr>
        <w:t>é</w:t>
      </w:r>
      <w:r>
        <w:rPr>
          <w:spacing w:val="-6"/>
          <w:sz w:val="18"/>
          <w:szCs w:val="18"/>
          <w:lang w:val="es-ES_tradnl"/>
        </w:rPr>
        <w:t xml:space="preserve">todos y reglas </w:t>
      </w:r>
      <w:r>
        <w:rPr>
          <w:spacing w:val="-5"/>
          <w:sz w:val="18"/>
          <w:szCs w:val="18"/>
          <w:lang w:val="es-ES_tradnl"/>
        </w:rPr>
        <w:t>de interpretaci</w:t>
      </w:r>
      <w:r>
        <w:rPr>
          <w:rFonts w:cs="Times New Roman"/>
          <w:spacing w:val="-5"/>
          <w:sz w:val="18"/>
          <w:szCs w:val="18"/>
          <w:lang w:val="es-ES_tradnl"/>
        </w:rPr>
        <w:t>ó</w:t>
      </w:r>
      <w:r>
        <w:rPr>
          <w:spacing w:val="-5"/>
          <w:sz w:val="18"/>
          <w:szCs w:val="18"/>
          <w:lang w:val="es-ES_tradnl"/>
        </w:rPr>
        <w:t>n que orientan para explicar el problema,</w:t>
      </w:r>
    </w:p>
    <w:p w14:paraId="4F67B179" w14:textId="77777777" w:rsidR="00591D54" w:rsidRDefault="00591D54">
      <w:pPr>
        <w:shd w:val="clear" w:color="auto" w:fill="FFFFFF"/>
        <w:spacing w:before="442" w:line="178" w:lineRule="exact"/>
        <w:ind w:left="139" w:hanging="139"/>
      </w:pPr>
      <w:r>
        <w:rPr>
          <w:spacing w:val="-4"/>
          <w:sz w:val="14"/>
          <w:szCs w:val="14"/>
          <w:vertAlign w:val="superscript"/>
          <w:lang w:val="es-ES_tradnl"/>
        </w:rPr>
        <w:t>10</w:t>
      </w:r>
      <w:r>
        <w:rPr>
          <w:spacing w:val="-4"/>
          <w:sz w:val="14"/>
          <w:szCs w:val="14"/>
          <w:lang w:val="es-ES_tradnl"/>
        </w:rPr>
        <w:t xml:space="preserve"> </w:t>
      </w:r>
      <w:r>
        <w:rPr>
          <w:spacing w:val="-2"/>
          <w:sz w:val="14"/>
          <w:szCs w:val="14"/>
          <w:lang w:val="es-ES_tradnl"/>
        </w:rPr>
        <w:t xml:space="preserve">Corte Constitucional del Ecuador, sentencia No. 112-14-SEP-CC de </w:t>
      </w:r>
      <w:r>
        <w:rPr>
          <w:sz w:val="14"/>
          <w:szCs w:val="14"/>
          <w:lang w:val="es-ES_tradnl"/>
        </w:rPr>
        <w:t>23 de julio de 2014, caso No. 2204-11-EP.</w:t>
      </w:r>
    </w:p>
    <w:p w14:paraId="4F67B17A" w14:textId="77777777" w:rsidR="00591D54" w:rsidRDefault="00591D54">
      <w:pPr>
        <w:shd w:val="clear" w:color="auto" w:fill="FFFFFF"/>
        <w:spacing w:line="216" w:lineRule="exact"/>
        <w:jc w:val="both"/>
      </w:pPr>
      <w:r>
        <w:br w:type="column"/>
      </w:r>
      <w:r>
        <w:rPr>
          <w:spacing w:val="-9"/>
          <w:sz w:val="18"/>
          <w:szCs w:val="18"/>
          <w:lang w:val="es-ES_tradnl"/>
        </w:rPr>
        <w:t>para describir lealmente las respuestas, desentra</w:t>
      </w:r>
      <w:r>
        <w:rPr>
          <w:rFonts w:cs="Times New Roman"/>
          <w:spacing w:val="-9"/>
          <w:sz w:val="18"/>
          <w:szCs w:val="18"/>
          <w:lang w:val="es-ES_tradnl"/>
        </w:rPr>
        <w:t>ñ</w:t>
      </w:r>
      <w:r>
        <w:rPr>
          <w:spacing w:val="-9"/>
          <w:sz w:val="18"/>
          <w:szCs w:val="18"/>
          <w:lang w:val="es-ES_tradnl"/>
        </w:rPr>
        <w:t xml:space="preserve">ar los </w:t>
      </w:r>
      <w:r>
        <w:rPr>
          <w:spacing w:val="-6"/>
          <w:sz w:val="18"/>
          <w:szCs w:val="18"/>
          <w:lang w:val="es-ES_tradnl"/>
        </w:rPr>
        <w:t>senderos posibles, arribar a una soluci</w:t>
      </w:r>
      <w:r>
        <w:rPr>
          <w:rFonts w:cs="Times New Roman"/>
          <w:spacing w:val="-6"/>
          <w:sz w:val="18"/>
          <w:szCs w:val="18"/>
          <w:lang w:val="es-ES_tradnl"/>
        </w:rPr>
        <w:t>ó</w:t>
      </w:r>
      <w:r>
        <w:rPr>
          <w:spacing w:val="-6"/>
          <w:sz w:val="18"/>
          <w:szCs w:val="18"/>
          <w:lang w:val="es-ES_tradnl"/>
        </w:rPr>
        <w:t xml:space="preserve">n integral, justa, </w:t>
      </w:r>
      <w:r>
        <w:rPr>
          <w:spacing w:val="-7"/>
          <w:sz w:val="18"/>
          <w:szCs w:val="18"/>
          <w:lang w:val="es-ES_tradnl"/>
        </w:rPr>
        <w:t>conveniente, razonable, ponderada y factible.</w:t>
      </w:r>
    </w:p>
    <w:p w14:paraId="4F67B17B" w14:textId="77777777" w:rsidR="00591D54" w:rsidRDefault="00591D54">
      <w:pPr>
        <w:shd w:val="clear" w:color="auto" w:fill="FFFFFF"/>
        <w:spacing w:before="197" w:line="216" w:lineRule="exact"/>
        <w:jc w:val="both"/>
      </w:pPr>
      <w:r>
        <w:rPr>
          <w:spacing w:val="-8"/>
          <w:sz w:val="18"/>
          <w:szCs w:val="18"/>
          <w:lang w:val="es-ES_tradnl"/>
        </w:rPr>
        <w:t xml:space="preserve">Examinados los fundamentos expuestos por la legitimada </w:t>
      </w:r>
      <w:r>
        <w:rPr>
          <w:spacing w:val="-6"/>
          <w:sz w:val="18"/>
          <w:szCs w:val="18"/>
          <w:lang w:val="es-ES_tradnl"/>
        </w:rPr>
        <w:t>activa en esta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no se </w:t>
      </w:r>
      <w:r>
        <w:rPr>
          <w:spacing w:val="-9"/>
          <w:sz w:val="18"/>
          <w:szCs w:val="18"/>
          <w:lang w:val="es-ES_tradnl"/>
        </w:rPr>
        <w:t>observa el o los se</w:t>
      </w:r>
      <w:r>
        <w:rPr>
          <w:rFonts w:cs="Times New Roman"/>
          <w:spacing w:val="-9"/>
          <w:sz w:val="18"/>
          <w:szCs w:val="18"/>
          <w:lang w:val="es-ES_tradnl"/>
        </w:rPr>
        <w:t>ñ</w:t>
      </w:r>
      <w:r>
        <w:rPr>
          <w:spacing w:val="-9"/>
          <w:sz w:val="18"/>
          <w:szCs w:val="18"/>
          <w:lang w:val="es-ES_tradnl"/>
        </w:rPr>
        <w:t xml:space="preserve">alamientos precisos de los supuestos </w:t>
      </w:r>
      <w:r>
        <w:rPr>
          <w:spacing w:val="-10"/>
          <w:sz w:val="18"/>
          <w:szCs w:val="18"/>
          <w:lang w:val="es-ES_tradnl"/>
        </w:rPr>
        <w:t>casos an</w:t>
      </w:r>
      <w:r>
        <w:rPr>
          <w:rFonts w:cs="Times New Roman"/>
          <w:spacing w:val="-10"/>
          <w:sz w:val="18"/>
          <w:szCs w:val="18"/>
          <w:lang w:val="es-ES_tradnl"/>
        </w:rPr>
        <w:t>á</w:t>
      </w:r>
      <w:r>
        <w:rPr>
          <w:spacing w:val="-10"/>
          <w:sz w:val="18"/>
          <w:szCs w:val="18"/>
          <w:lang w:val="es-ES_tradnl"/>
        </w:rPr>
        <w:t xml:space="preserve">logos que se mencionan, estos son, sentencias o </w:t>
      </w:r>
      <w:r>
        <w:rPr>
          <w:spacing w:val="-5"/>
          <w:sz w:val="18"/>
          <w:szCs w:val="18"/>
          <w:lang w:val="es-ES_tradnl"/>
        </w:rPr>
        <w:t>jurisprudencias de triple reiteraci</w:t>
      </w:r>
      <w:r>
        <w:rPr>
          <w:rFonts w:cs="Times New Roman"/>
          <w:spacing w:val="-5"/>
          <w:sz w:val="18"/>
          <w:szCs w:val="18"/>
          <w:lang w:val="es-ES_tradnl"/>
        </w:rPr>
        <w:t>ó</w:t>
      </w:r>
      <w:r>
        <w:rPr>
          <w:spacing w:val="-5"/>
          <w:sz w:val="18"/>
          <w:szCs w:val="18"/>
          <w:lang w:val="es-ES_tradnl"/>
        </w:rPr>
        <w:t xml:space="preserve">n que los jueces de la </w:t>
      </w:r>
      <w:r>
        <w:rPr>
          <w:spacing w:val="-6"/>
          <w:sz w:val="18"/>
          <w:szCs w:val="18"/>
          <w:lang w:val="es-ES_tradnl"/>
        </w:rPr>
        <w:t xml:space="preserve">Sala Especializada de lo Laboral de la Corte Nacional de </w:t>
      </w:r>
      <w:r>
        <w:rPr>
          <w:spacing w:val="-5"/>
          <w:sz w:val="18"/>
          <w:szCs w:val="18"/>
          <w:lang w:val="es-ES_tradnl"/>
        </w:rPr>
        <w:t xml:space="preserve">Justicia hayan omitido observar en su </w:t>
      </w:r>
      <w:r>
        <w:rPr>
          <w:i/>
          <w:iCs/>
          <w:spacing w:val="-5"/>
          <w:sz w:val="18"/>
          <w:szCs w:val="18"/>
          <w:lang w:val="es-ES_tradnl"/>
        </w:rPr>
        <w:t xml:space="preserve">ratio decidendi </w:t>
      </w:r>
      <w:r>
        <w:rPr>
          <w:spacing w:val="-5"/>
          <w:sz w:val="18"/>
          <w:szCs w:val="18"/>
          <w:lang w:val="es-ES_tradnl"/>
        </w:rPr>
        <w:t xml:space="preserve">al </w:t>
      </w:r>
      <w:r>
        <w:rPr>
          <w:spacing w:val="-8"/>
          <w:sz w:val="18"/>
          <w:szCs w:val="18"/>
          <w:lang w:val="es-ES_tradnl"/>
        </w:rPr>
        <w:t>momento de expedir la sentencia materia de esta garant</w:t>
      </w:r>
      <w:r>
        <w:rPr>
          <w:rFonts w:cs="Times New Roman"/>
          <w:spacing w:val="-8"/>
          <w:sz w:val="18"/>
          <w:szCs w:val="18"/>
          <w:lang w:val="es-ES_tradnl"/>
        </w:rPr>
        <w:t>í</w:t>
      </w:r>
      <w:r>
        <w:rPr>
          <w:spacing w:val="-8"/>
          <w:sz w:val="18"/>
          <w:szCs w:val="18"/>
          <w:lang w:val="es-ES_tradnl"/>
        </w:rPr>
        <w:t xml:space="preserve">a </w:t>
      </w:r>
      <w:r>
        <w:rPr>
          <w:spacing w:val="-7"/>
          <w:sz w:val="18"/>
          <w:szCs w:val="18"/>
          <w:lang w:val="es-ES_tradnl"/>
        </w:rPr>
        <w:t>jurisdiccional, puntualizaci</w:t>
      </w:r>
      <w:r>
        <w:rPr>
          <w:rFonts w:cs="Times New Roman"/>
          <w:spacing w:val="-7"/>
          <w:sz w:val="18"/>
          <w:szCs w:val="18"/>
          <w:lang w:val="es-ES_tradnl"/>
        </w:rPr>
        <w:t>ó</w:t>
      </w:r>
      <w:r>
        <w:rPr>
          <w:spacing w:val="-7"/>
          <w:sz w:val="18"/>
          <w:szCs w:val="18"/>
          <w:lang w:val="es-ES_tradnl"/>
        </w:rPr>
        <w:t xml:space="preserve">n indispensable para que esta </w:t>
      </w:r>
      <w:r>
        <w:rPr>
          <w:spacing w:val="-9"/>
          <w:sz w:val="18"/>
          <w:szCs w:val="18"/>
          <w:lang w:val="es-ES_tradnl"/>
        </w:rPr>
        <w:t xml:space="preserve">Magistratura Constitucional verifique en efecto los patrones </w:t>
      </w:r>
      <w:r>
        <w:rPr>
          <w:spacing w:val="-5"/>
          <w:sz w:val="18"/>
          <w:szCs w:val="18"/>
          <w:lang w:val="es-ES_tradnl"/>
        </w:rPr>
        <w:t>f</w:t>
      </w:r>
      <w:r>
        <w:rPr>
          <w:rFonts w:cs="Times New Roman"/>
          <w:spacing w:val="-5"/>
          <w:sz w:val="18"/>
          <w:szCs w:val="18"/>
          <w:lang w:val="es-ES_tradnl"/>
        </w:rPr>
        <w:t>á</w:t>
      </w:r>
      <w:r>
        <w:rPr>
          <w:spacing w:val="-5"/>
          <w:sz w:val="18"/>
          <w:szCs w:val="18"/>
          <w:lang w:val="es-ES_tradnl"/>
        </w:rPr>
        <w:t xml:space="preserve">cticos tanto en la demanda laboral </w:t>
      </w:r>
      <w:r>
        <w:rPr>
          <w:i/>
          <w:iCs/>
          <w:spacing w:val="-5"/>
          <w:sz w:val="18"/>
          <w:szCs w:val="18"/>
          <w:lang w:val="es-ES_tradnl"/>
        </w:rPr>
        <w:t xml:space="preserve">sub judice </w:t>
      </w:r>
      <w:r>
        <w:rPr>
          <w:spacing w:val="-5"/>
          <w:sz w:val="18"/>
          <w:szCs w:val="18"/>
          <w:lang w:val="es-ES_tradnl"/>
        </w:rPr>
        <w:t xml:space="preserve">como en </w:t>
      </w:r>
      <w:r>
        <w:rPr>
          <w:spacing w:val="-6"/>
          <w:sz w:val="18"/>
          <w:szCs w:val="18"/>
          <w:lang w:val="es-ES_tradnl"/>
        </w:rPr>
        <w:t xml:space="preserve">la sentencia o precedente jurisprudencial supuestamente </w:t>
      </w:r>
      <w:r>
        <w:rPr>
          <w:spacing w:val="-8"/>
          <w:sz w:val="18"/>
          <w:szCs w:val="18"/>
          <w:lang w:val="es-ES_tradnl"/>
        </w:rPr>
        <w:t>no considerada por los mencionados jueces nacionales en</w:t>
      </w:r>
    </w:p>
    <w:p w14:paraId="4F67B17C" w14:textId="77777777" w:rsidR="00591D54" w:rsidRDefault="00591D54">
      <w:pPr>
        <w:shd w:val="clear" w:color="auto" w:fill="FFFFFF"/>
        <w:spacing w:line="216" w:lineRule="exact"/>
        <w:jc w:val="both"/>
      </w:pPr>
      <w:r>
        <w:rPr>
          <w:b/>
          <w:bCs/>
          <w:spacing w:val="-7"/>
          <w:sz w:val="18"/>
          <w:szCs w:val="18"/>
          <w:lang w:val="es-ES_tradnl"/>
        </w:rPr>
        <w:t xml:space="preserve">donde indique que la Corte Nacional de Justicia haya </w:t>
      </w:r>
      <w:r>
        <w:rPr>
          <w:b/>
          <w:bCs/>
          <w:spacing w:val="-11"/>
          <w:sz w:val="18"/>
          <w:szCs w:val="18"/>
          <w:lang w:val="es-ES_tradnl"/>
        </w:rPr>
        <w:t>reconocido el derecho a la jubilaci</w:t>
      </w:r>
      <w:r>
        <w:rPr>
          <w:rFonts w:cs="Times New Roman"/>
          <w:b/>
          <w:bCs/>
          <w:spacing w:val="-11"/>
          <w:sz w:val="18"/>
          <w:szCs w:val="18"/>
          <w:lang w:val="es-ES_tradnl"/>
        </w:rPr>
        <w:t>ó</w:t>
      </w:r>
      <w:r>
        <w:rPr>
          <w:b/>
          <w:bCs/>
          <w:spacing w:val="-11"/>
          <w:sz w:val="18"/>
          <w:szCs w:val="18"/>
          <w:lang w:val="es-ES_tradnl"/>
        </w:rPr>
        <w:t xml:space="preserve">n patronal sin que se </w:t>
      </w:r>
      <w:r>
        <w:rPr>
          <w:b/>
          <w:bCs/>
          <w:spacing w:val="-12"/>
          <w:sz w:val="18"/>
          <w:szCs w:val="18"/>
          <w:lang w:val="es-ES_tradnl"/>
        </w:rPr>
        <w:t>haya configurado el despido intempestivo</w:t>
      </w:r>
      <w:r>
        <w:rPr>
          <w:spacing w:val="-12"/>
          <w:sz w:val="18"/>
          <w:szCs w:val="18"/>
          <w:lang w:val="es-ES_tradnl"/>
        </w:rPr>
        <w:t xml:space="preserve">. Por tanto, esta </w:t>
      </w:r>
      <w:r>
        <w:rPr>
          <w:spacing w:val="-8"/>
          <w:sz w:val="18"/>
          <w:szCs w:val="18"/>
          <w:lang w:val="es-ES_tradnl"/>
        </w:rPr>
        <w:t>falta de identificaci</w:t>
      </w:r>
      <w:r>
        <w:rPr>
          <w:rFonts w:cs="Times New Roman"/>
          <w:spacing w:val="-8"/>
          <w:sz w:val="18"/>
          <w:szCs w:val="18"/>
          <w:lang w:val="es-ES_tradnl"/>
        </w:rPr>
        <w:t>ó</w:t>
      </w:r>
      <w:r>
        <w:rPr>
          <w:spacing w:val="-8"/>
          <w:sz w:val="18"/>
          <w:szCs w:val="18"/>
          <w:lang w:val="es-ES_tradnl"/>
        </w:rPr>
        <w:t xml:space="preserve">n al precedente judicial hace imposible </w:t>
      </w:r>
      <w:r>
        <w:rPr>
          <w:spacing w:val="-9"/>
          <w:sz w:val="18"/>
          <w:szCs w:val="18"/>
          <w:lang w:val="es-ES_tradnl"/>
        </w:rPr>
        <w:t>considerar la presunta vulneraci</w:t>
      </w:r>
      <w:r>
        <w:rPr>
          <w:rFonts w:cs="Times New Roman"/>
          <w:spacing w:val="-9"/>
          <w:sz w:val="18"/>
          <w:szCs w:val="18"/>
          <w:lang w:val="es-ES_tradnl"/>
        </w:rPr>
        <w:t>ó</w:t>
      </w:r>
      <w:r>
        <w:rPr>
          <w:spacing w:val="-9"/>
          <w:sz w:val="18"/>
          <w:szCs w:val="18"/>
          <w:lang w:val="es-ES_tradnl"/>
        </w:rPr>
        <w:t xml:space="preserve">n del derecho a la igualdad </w:t>
      </w:r>
      <w:r>
        <w:rPr>
          <w:spacing w:val="-2"/>
          <w:sz w:val="18"/>
          <w:szCs w:val="18"/>
          <w:lang w:val="es-ES_tradnl"/>
        </w:rPr>
        <w:t>formal, material y no discriminaci</w:t>
      </w:r>
      <w:r>
        <w:rPr>
          <w:rFonts w:cs="Times New Roman"/>
          <w:spacing w:val="-2"/>
          <w:sz w:val="18"/>
          <w:szCs w:val="18"/>
          <w:lang w:val="es-ES_tradnl"/>
        </w:rPr>
        <w:t>ó</w:t>
      </w:r>
      <w:r>
        <w:rPr>
          <w:spacing w:val="-2"/>
          <w:sz w:val="18"/>
          <w:szCs w:val="18"/>
          <w:lang w:val="es-ES_tradnl"/>
        </w:rPr>
        <w:t xml:space="preserve">n alegada por la </w:t>
      </w:r>
      <w:r>
        <w:rPr>
          <w:spacing w:val="-6"/>
          <w:sz w:val="18"/>
          <w:szCs w:val="18"/>
          <w:lang w:val="es-ES_tradnl"/>
        </w:rPr>
        <w:t xml:space="preserve">accionante, circunstancias imprescindibles, inclusive, por </w:t>
      </w:r>
      <w:r>
        <w:rPr>
          <w:spacing w:val="-10"/>
          <w:sz w:val="18"/>
          <w:szCs w:val="18"/>
          <w:lang w:val="es-ES_tradnl"/>
        </w:rPr>
        <w:t>mandato de la jurisprudencia constitucional que consta en la sentencia N.</w:t>
      </w:r>
      <w:r>
        <w:rPr>
          <w:rFonts w:cs="Times New Roman"/>
          <w:spacing w:val="-10"/>
          <w:sz w:val="18"/>
          <w:szCs w:val="18"/>
          <w:lang w:val="es-ES_tradnl"/>
        </w:rPr>
        <w:t>º</w:t>
      </w:r>
      <w:r>
        <w:rPr>
          <w:spacing w:val="-10"/>
          <w:sz w:val="18"/>
          <w:szCs w:val="18"/>
          <w:lang w:val="es-ES_tradnl"/>
        </w:rPr>
        <w:t xml:space="preserve"> 199-14-SEP-CC expedida el 13 de noviembre </w:t>
      </w:r>
      <w:r>
        <w:rPr>
          <w:spacing w:val="-8"/>
          <w:sz w:val="18"/>
          <w:szCs w:val="18"/>
          <w:lang w:val="es-ES_tradnl"/>
        </w:rPr>
        <w:t>de 2014, dentro del caso N.</w:t>
      </w:r>
      <w:r>
        <w:rPr>
          <w:rFonts w:cs="Times New Roman"/>
          <w:spacing w:val="-8"/>
          <w:sz w:val="18"/>
          <w:szCs w:val="18"/>
          <w:lang w:val="es-ES_tradnl"/>
        </w:rPr>
        <w:t>º</w:t>
      </w:r>
      <w:r>
        <w:rPr>
          <w:spacing w:val="-8"/>
          <w:sz w:val="18"/>
          <w:szCs w:val="18"/>
          <w:lang w:val="es-ES_tradnl"/>
        </w:rPr>
        <w:t xml:space="preserve"> 1098-13-EP, que dice:</w:t>
      </w:r>
    </w:p>
    <w:p w14:paraId="4F67B17D" w14:textId="77777777" w:rsidR="00591D54" w:rsidRDefault="00591D54">
      <w:pPr>
        <w:shd w:val="clear" w:color="auto" w:fill="FFFFFF"/>
        <w:spacing w:before="202" w:line="211" w:lineRule="exact"/>
        <w:ind w:left="283"/>
        <w:jc w:val="both"/>
      </w:pPr>
      <w:r>
        <w:rPr>
          <w:sz w:val="14"/>
          <w:szCs w:val="14"/>
          <w:lang w:val="es-ES_tradnl"/>
        </w:rPr>
        <w:t>Respecto al mandato constitucional de la igualdad ante la ley, es necesario precisar que este debe ser analizado en el marco de situaciones jur</w:t>
      </w:r>
      <w:r>
        <w:rPr>
          <w:rFonts w:cs="Times New Roman"/>
          <w:sz w:val="14"/>
          <w:szCs w:val="14"/>
          <w:lang w:val="es-ES_tradnl"/>
        </w:rPr>
        <w:t>í</w:t>
      </w:r>
      <w:r>
        <w:rPr>
          <w:sz w:val="14"/>
          <w:szCs w:val="14"/>
          <w:lang w:val="es-ES_tradnl"/>
        </w:rPr>
        <w:t>dicamente iguales, es decir, no podr</w:t>
      </w:r>
      <w:r>
        <w:rPr>
          <w:rFonts w:cs="Times New Roman"/>
          <w:sz w:val="14"/>
          <w:szCs w:val="14"/>
          <w:lang w:val="es-ES_tradnl"/>
        </w:rPr>
        <w:t>í</w:t>
      </w:r>
      <w:r>
        <w:rPr>
          <w:sz w:val="14"/>
          <w:szCs w:val="14"/>
          <w:lang w:val="es-ES_tradnl"/>
        </w:rPr>
        <w:t>a considerarse dentro del an</w:t>
      </w:r>
      <w:r>
        <w:rPr>
          <w:rFonts w:cs="Times New Roman"/>
          <w:sz w:val="14"/>
          <w:szCs w:val="14"/>
          <w:lang w:val="es-ES_tradnl"/>
        </w:rPr>
        <w:t>á</w:t>
      </w:r>
      <w:r>
        <w:rPr>
          <w:sz w:val="14"/>
          <w:szCs w:val="14"/>
          <w:lang w:val="es-ES_tradnl"/>
        </w:rPr>
        <w:t>lisis lo resuelto en sentencias dictadas por la Corte Nacional de Justicia (aunque estas se refieran a temas an</w:t>
      </w:r>
      <w:r>
        <w:rPr>
          <w:rFonts w:cs="Times New Roman"/>
          <w:sz w:val="14"/>
          <w:szCs w:val="14"/>
          <w:lang w:val="es-ES_tradnl"/>
        </w:rPr>
        <w:t>á</w:t>
      </w:r>
      <w:r>
        <w:rPr>
          <w:sz w:val="14"/>
          <w:szCs w:val="14"/>
          <w:lang w:val="es-ES_tradnl"/>
        </w:rPr>
        <w:t xml:space="preserve">logos), respecto de lo establecido en un auto de admisibilidad, pues son momentos procesales distintos con efectos diferentes. La sentencia es el acto procesal emanado de los </w:t>
      </w:r>
      <w:r>
        <w:rPr>
          <w:rFonts w:cs="Times New Roman"/>
          <w:sz w:val="14"/>
          <w:szCs w:val="14"/>
          <w:lang w:val="es-ES_tradnl"/>
        </w:rPr>
        <w:t>ó</w:t>
      </w:r>
      <w:r>
        <w:rPr>
          <w:sz w:val="14"/>
          <w:szCs w:val="14"/>
          <w:lang w:val="es-ES_tradnl"/>
        </w:rPr>
        <w:t>rganos jurisdiccionales que deciden la causa o puntos sometidos a su conocimiento (Couture) resoluci</w:t>
      </w:r>
      <w:r>
        <w:rPr>
          <w:rFonts w:cs="Times New Roman"/>
          <w:sz w:val="14"/>
          <w:szCs w:val="14"/>
          <w:lang w:val="es-ES_tradnl"/>
        </w:rPr>
        <w:t>ó</w:t>
      </w:r>
      <w:r>
        <w:rPr>
          <w:sz w:val="14"/>
          <w:szCs w:val="14"/>
          <w:lang w:val="es-ES_tradnl"/>
        </w:rPr>
        <w:t>n judicial en una causa y fallo en la cuesti</w:t>
      </w:r>
      <w:r>
        <w:rPr>
          <w:rFonts w:cs="Times New Roman"/>
          <w:sz w:val="14"/>
          <w:szCs w:val="14"/>
          <w:lang w:val="es-ES_tradnl"/>
        </w:rPr>
        <w:t>ó</w:t>
      </w:r>
      <w:r>
        <w:rPr>
          <w:sz w:val="14"/>
          <w:szCs w:val="14"/>
          <w:lang w:val="es-ES_tradnl"/>
        </w:rPr>
        <w:t>n principal de un proceso (Cabanellas)</w:t>
      </w:r>
      <w:r>
        <w:rPr>
          <w:sz w:val="14"/>
          <w:szCs w:val="14"/>
          <w:vertAlign w:val="superscript"/>
          <w:lang w:val="es-ES_tradnl"/>
        </w:rPr>
        <w:t>11</w:t>
      </w:r>
      <w:r>
        <w:rPr>
          <w:sz w:val="14"/>
          <w:szCs w:val="14"/>
          <w:lang w:val="es-ES_tradnl"/>
        </w:rPr>
        <w:t xml:space="preserve"> sic.</w:t>
      </w:r>
    </w:p>
    <w:p w14:paraId="4F67B17E" w14:textId="77777777" w:rsidR="00591D54" w:rsidRDefault="00591D54">
      <w:pPr>
        <w:shd w:val="clear" w:color="auto" w:fill="FFFFFF"/>
        <w:spacing w:before="197" w:line="216" w:lineRule="exact"/>
        <w:jc w:val="both"/>
      </w:pPr>
      <w:r>
        <w:rPr>
          <w:spacing w:val="-8"/>
          <w:sz w:val="18"/>
          <w:szCs w:val="18"/>
          <w:lang w:val="es-ES_tradnl"/>
        </w:rPr>
        <w:t xml:space="preserve">Con los razonamientos expuestos, el presente estudio se </w:t>
      </w:r>
      <w:r>
        <w:rPr>
          <w:spacing w:val="-6"/>
          <w:sz w:val="18"/>
          <w:szCs w:val="18"/>
          <w:lang w:val="es-ES_tradnl"/>
        </w:rPr>
        <w:t xml:space="preserve">realiza </w:t>
      </w:r>
      <w:r>
        <w:rPr>
          <w:rFonts w:cs="Times New Roman"/>
          <w:spacing w:val="-6"/>
          <w:sz w:val="18"/>
          <w:szCs w:val="18"/>
          <w:lang w:val="es-ES_tradnl"/>
        </w:rPr>
        <w:t>ú</w:t>
      </w:r>
      <w:r>
        <w:rPr>
          <w:spacing w:val="-6"/>
          <w:sz w:val="18"/>
          <w:szCs w:val="18"/>
          <w:lang w:val="es-ES_tradnl"/>
        </w:rPr>
        <w:t>nicamente enfatizando la sentencia de casaci</w:t>
      </w:r>
      <w:r>
        <w:rPr>
          <w:rFonts w:cs="Times New Roman"/>
          <w:spacing w:val="-6"/>
          <w:sz w:val="18"/>
          <w:szCs w:val="18"/>
          <w:lang w:val="es-ES_tradnl"/>
        </w:rPr>
        <w:t>ó</w:t>
      </w:r>
      <w:r>
        <w:rPr>
          <w:spacing w:val="-6"/>
          <w:sz w:val="18"/>
          <w:szCs w:val="18"/>
          <w:lang w:val="es-ES_tradnl"/>
        </w:rPr>
        <w:t xml:space="preserve">n </w:t>
      </w:r>
      <w:r>
        <w:rPr>
          <w:sz w:val="18"/>
          <w:szCs w:val="18"/>
          <w:lang w:val="es-ES_tradnl"/>
        </w:rPr>
        <w:t>que resolvi</w:t>
      </w:r>
      <w:r>
        <w:rPr>
          <w:rFonts w:cs="Times New Roman"/>
          <w:sz w:val="18"/>
          <w:szCs w:val="18"/>
          <w:lang w:val="es-ES_tradnl"/>
        </w:rPr>
        <w:t>ó</w:t>
      </w:r>
      <w:r>
        <w:rPr>
          <w:sz w:val="18"/>
          <w:szCs w:val="18"/>
          <w:lang w:val="es-ES_tradnl"/>
        </w:rPr>
        <w:t xml:space="preserve"> el fondo del reclamo laboral neg</w:t>
      </w:r>
      <w:r>
        <w:rPr>
          <w:rFonts w:cs="Times New Roman"/>
          <w:sz w:val="18"/>
          <w:szCs w:val="18"/>
          <w:lang w:val="es-ES_tradnl"/>
        </w:rPr>
        <w:t>á</w:t>
      </w:r>
      <w:r>
        <w:rPr>
          <w:sz w:val="18"/>
          <w:szCs w:val="18"/>
          <w:lang w:val="es-ES_tradnl"/>
        </w:rPr>
        <w:t xml:space="preserve">ndola, </w:t>
      </w:r>
      <w:r>
        <w:rPr>
          <w:spacing w:val="-7"/>
          <w:sz w:val="18"/>
          <w:szCs w:val="18"/>
          <w:lang w:val="es-ES_tradnl"/>
        </w:rPr>
        <w:t>pero a simple vista podr</w:t>
      </w:r>
      <w:r>
        <w:rPr>
          <w:rFonts w:cs="Times New Roman"/>
          <w:spacing w:val="-7"/>
          <w:sz w:val="18"/>
          <w:szCs w:val="18"/>
          <w:lang w:val="es-ES_tradnl"/>
        </w:rPr>
        <w:t>í</w:t>
      </w:r>
      <w:r>
        <w:rPr>
          <w:spacing w:val="-7"/>
          <w:sz w:val="18"/>
          <w:szCs w:val="18"/>
          <w:lang w:val="es-ES_tradnl"/>
        </w:rPr>
        <w:t xml:space="preserve">a llegarse a comparar con otras decisiones judiciales que efectivamente, el </w:t>
      </w:r>
      <w:r>
        <w:rPr>
          <w:rFonts w:cs="Times New Roman"/>
          <w:spacing w:val="-7"/>
          <w:sz w:val="18"/>
          <w:szCs w:val="18"/>
          <w:lang w:val="es-ES_tradnl"/>
        </w:rPr>
        <w:t>ó</w:t>
      </w:r>
      <w:r>
        <w:rPr>
          <w:spacing w:val="-7"/>
          <w:sz w:val="18"/>
          <w:szCs w:val="18"/>
          <w:lang w:val="es-ES_tradnl"/>
        </w:rPr>
        <w:t xml:space="preserve">rgano judicial, </w:t>
      </w:r>
      <w:r>
        <w:rPr>
          <w:spacing w:val="-5"/>
          <w:sz w:val="18"/>
          <w:szCs w:val="18"/>
          <w:lang w:val="es-ES_tradnl"/>
        </w:rPr>
        <w:t>s</w:t>
      </w:r>
      <w:r>
        <w:rPr>
          <w:rFonts w:cs="Times New Roman"/>
          <w:spacing w:val="-5"/>
          <w:sz w:val="18"/>
          <w:szCs w:val="18"/>
          <w:lang w:val="es-ES_tradnl"/>
        </w:rPr>
        <w:t>í</w:t>
      </w:r>
      <w:r>
        <w:rPr>
          <w:spacing w:val="-5"/>
          <w:sz w:val="18"/>
          <w:szCs w:val="18"/>
          <w:lang w:val="es-ES_tradnl"/>
        </w:rPr>
        <w:t xml:space="preserve"> ha considerado el despido intempestivo y jubilaci</w:t>
      </w:r>
      <w:r>
        <w:rPr>
          <w:rFonts w:cs="Times New Roman"/>
          <w:spacing w:val="-5"/>
          <w:sz w:val="18"/>
          <w:szCs w:val="18"/>
          <w:lang w:val="es-ES_tradnl"/>
        </w:rPr>
        <w:t>ó</w:t>
      </w:r>
      <w:r>
        <w:rPr>
          <w:spacing w:val="-5"/>
          <w:sz w:val="18"/>
          <w:szCs w:val="18"/>
          <w:lang w:val="es-ES_tradnl"/>
        </w:rPr>
        <w:t xml:space="preserve">n </w:t>
      </w:r>
      <w:r>
        <w:rPr>
          <w:spacing w:val="-9"/>
          <w:sz w:val="18"/>
          <w:szCs w:val="18"/>
          <w:lang w:val="es-ES_tradnl"/>
        </w:rPr>
        <w:t>patronal proporcional con peticiones an</w:t>
      </w:r>
      <w:r>
        <w:rPr>
          <w:rFonts w:cs="Times New Roman"/>
          <w:spacing w:val="-9"/>
          <w:sz w:val="18"/>
          <w:szCs w:val="18"/>
          <w:lang w:val="es-ES_tradnl"/>
        </w:rPr>
        <w:t>á</w:t>
      </w:r>
      <w:r>
        <w:rPr>
          <w:spacing w:val="-9"/>
          <w:sz w:val="18"/>
          <w:szCs w:val="18"/>
          <w:lang w:val="es-ES_tradnl"/>
        </w:rPr>
        <w:t xml:space="preserve">logas a la presente </w:t>
      </w:r>
      <w:r>
        <w:rPr>
          <w:spacing w:val="-6"/>
          <w:sz w:val="18"/>
          <w:szCs w:val="18"/>
          <w:lang w:val="es-ES_tradnl"/>
        </w:rPr>
        <w:t>demanda, previa justificaci</w:t>
      </w:r>
      <w:r>
        <w:rPr>
          <w:rFonts w:cs="Times New Roman"/>
          <w:spacing w:val="-6"/>
          <w:sz w:val="18"/>
          <w:szCs w:val="18"/>
          <w:lang w:val="es-ES_tradnl"/>
        </w:rPr>
        <w:t>ó</w:t>
      </w:r>
      <w:r>
        <w:rPr>
          <w:spacing w:val="-6"/>
          <w:sz w:val="18"/>
          <w:szCs w:val="18"/>
          <w:lang w:val="es-ES_tradnl"/>
        </w:rPr>
        <w:t>n de la terminaci</w:t>
      </w:r>
      <w:r>
        <w:rPr>
          <w:rFonts w:cs="Times New Roman"/>
          <w:spacing w:val="-6"/>
          <w:sz w:val="18"/>
          <w:szCs w:val="18"/>
          <w:lang w:val="es-ES_tradnl"/>
        </w:rPr>
        <w:t>ó</w:t>
      </w:r>
      <w:r>
        <w:rPr>
          <w:spacing w:val="-6"/>
          <w:sz w:val="18"/>
          <w:szCs w:val="18"/>
          <w:lang w:val="es-ES_tradnl"/>
        </w:rPr>
        <w:t xml:space="preserve">n unilateral </w:t>
      </w:r>
      <w:r>
        <w:rPr>
          <w:spacing w:val="-10"/>
          <w:sz w:val="18"/>
          <w:szCs w:val="18"/>
          <w:lang w:val="es-ES_tradnl"/>
        </w:rPr>
        <w:t>de la relaci</w:t>
      </w:r>
      <w:r>
        <w:rPr>
          <w:rFonts w:cs="Times New Roman"/>
          <w:spacing w:val="-10"/>
          <w:sz w:val="18"/>
          <w:szCs w:val="18"/>
          <w:lang w:val="es-ES_tradnl"/>
        </w:rPr>
        <w:t>ó</w:t>
      </w:r>
      <w:r>
        <w:rPr>
          <w:spacing w:val="-10"/>
          <w:sz w:val="18"/>
          <w:szCs w:val="18"/>
          <w:lang w:val="es-ES_tradnl"/>
        </w:rPr>
        <w:t xml:space="preserve">n de trabajo o cuando el demandante demuestre </w:t>
      </w:r>
      <w:r>
        <w:rPr>
          <w:spacing w:val="-12"/>
          <w:sz w:val="18"/>
          <w:szCs w:val="18"/>
          <w:lang w:val="es-ES_tradnl"/>
        </w:rPr>
        <w:t>que ha laborado por m</w:t>
      </w:r>
      <w:r>
        <w:rPr>
          <w:rFonts w:cs="Times New Roman"/>
          <w:spacing w:val="-12"/>
          <w:sz w:val="18"/>
          <w:szCs w:val="18"/>
          <w:lang w:val="es-ES_tradnl"/>
        </w:rPr>
        <w:t>á</w:t>
      </w:r>
      <w:r>
        <w:rPr>
          <w:spacing w:val="-12"/>
          <w:sz w:val="18"/>
          <w:szCs w:val="18"/>
          <w:lang w:val="es-ES_tradnl"/>
        </w:rPr>
        <w:t>s de 25 a</w:t>
      </w:r>
      <w:r>
        <w:rPr>
          <w:rFonts w:cs="Times New Roman"/>
          <w:spacing w:val="-12"/>
          <w:sz w:val="18"/>
          <w:szCs w:val="18"/>
          <w:lang w:val="es-ES_tradnl"/>
        </w:rPr>
        <w:t>ñ</w:t>
      </w:r>
      <w:r>
        <w:rPr>
          <w:spacing w:val="-12"/>
          <w:sz w:val="18"/>
          <w:szCs w:val="18"/>
          <w:lang w:val="es-ES_tradnl"/>
        </w:rPr>
        <w:t xml:space="preserve">os sin necesidad de que se </w:t>
      </w:r>
      <w:r>
        <w:rPr>
          <w:spacing w:val="-8"/>
          <w:sz w:val="18"/>
          <w:szCs w:val="18"/>
          <w:lang w:val="es-ES_tradnl"/>
        </w:rPr>
        <w:t xml:space="preserve">produzca el despido intempestivo, lo que no ha ocurrido en el presente caso, por lo que los argumentos expuestos por </w:t>
      </w:r>
      <w:r>
        <w:rPr>
          <w:spacing w:val="-11"/>
          <w:sz w:val="18"/>
          <w:szCs w:val="18"/>
          <w:lang w:val="es-ES_tradnl"/>
        </w:rPr>
        <w:t>los jueces de casaci</w:t>
      </w:r>
      <w:r>
        <w:rPr>
          <w:rFonts w:cs="Times New Roman"/>
          <w:spacing w:val="-11"/>
          <w:sz w:val="18"/>
          <w:szCs w:val="18"/>
          <w:lang w:val="es-ES_tradnl"/>
        </w:rPr>
        <w:t>ó</w:t>
      </w:r>
      <w:r>
        <w:rPr>
          <w:spacing w:val="-11"/>
          <w:sz w:val="18"/>
          <w:szCs w:val="18"/>
          <w:lang w:val="es-ES_tradnl"/>
        </w:rPr>
        <w:t>n en la sentencia cuestionada, as</w:t>
      </w:r>
      <w:r>
        <w:rPr>
          <w:rFonts w:cs="Times New Roman"/>
          <w:spacing w:val="-11"/>
          <w:sz w:val="18"/>
          <w:szCs w:val="18"/>
          <w:lang w:val="es-ES_tradnl"/>
        </w:rPr>
        <w:t>í</w:t>
      </w:r>
      <w:r>
        <w:rPr>
          <w:spacing w:val="-11"/>
          <w:sz w:val="18"/>
          <w:szCs w:val="18"/>
          <w:lang w:val="es-ES_tradnl"/>
        </w:rPr>
        <w:t xml:space="preserve"> como </w:t>
      </w:r>
      <w:r>
        <w:rPr>
          <w:spacing w:val="-6"/>
          <w:sz w:val="18"/>
          <w:szCs w:val="18"/>
          <w:lang w:val="es-ES_tradnl"/>
        </w:rPr>
        <w:t xml:space="preserve">del informe remitido a este Organismo suscrito por el juez </w:t>
      </w:r>
      <w:r>
        <w:rPr>
          <w:spacing w:val="-5"/>
          <w:sz w:val="18"/>
          <w:szCs w:val="18"/>
          <w:lang w:val="es-ES_tradnl"/>
        </w:rPr>
        <w:t xml:space="preserve">ponente, refl ejan ciertas particularidades que concluyen </w:t>
      </w:r>
      <w:r>
        <w:rPr>
          <w:spacing w:val="-8"/>
          <w:sz w:val="18"/>
          <w:szCs w:val="18"/>
          <w:lang w:val="es-ES_tradnl"/>
        </w:rPr>
        <w:t xml:space="preserve">no casar la sentencia del Tribunal </w:t>
      </w:r>
      <w:r>
        <w:rPr>
          <w:i/>
          <w:iCs/>
          <w:spacing w:val="-8"/>
          <w:sz w:val="18"/>
          <w:szCs w:val="18"/>
          <w:lang w:val="es-ES_tradnl"/>
        </w:rPr>
        <w:t xml:space="preserve">ad quem </w:t>
      </w:r>
      <w:r>
        <w:rPr>
          <w:spacing w:val="-8"/>
          <w:sz w:val="18"/>
          <w:szCs w:val="18"/>
          <w:lang w:val="es-ES_tradnl"/>
        </w:rPr>
        <w:t xml:space="preserve">la misma que </w:t>
      </w:r>
      <w:r>
        <w:rPr>
          <w:spacing w:val="-7"/>
          <w:sz w:val="18"/>
          <w:szCs w:val="18"/>
          <w:lang w:val="es-ES_tradnl"/>
        </w:rPr>
        <w:t>rechaz</w:t>
      </w:r>
      <w:r>
        <w:rPr>
          <w:rFonts w:cs="Times New Roman"/>
          <w:spacing w:val="-7"/>
          <w:sz w:val="18"/>
          <w:szCs w:val="18"/>
          <w:lang w:val="es-ES_tradnl"/>
        </w:rPr>
        <w:t>ó</w:t>
      </w:r>
      <w:r>
        <w:rPr>
          <w:spacing w:val="-7"/>
          <w:sz w:val="18"/>
          <w:szCs w:val="18"/>
          <w:lang w:val="es-ES_tradnl"/>
        </w:rPr>
        <w:t xml:space="preserve">  la  demanda  laboral,  consideraciones  que  han</w:t>
      </w:r>
    </w:p>
    <w:p w14:paraId="4F67B17F" w14:textId="77777777" w:rsidR="00591D54" w:rsidRDefault="00591D54">
      <w:pPr>
        <w:shd w:val="clear" w:color="auto" w:fill="FFFFFF"/>
        <w:spacing w:before="547" w:line="178" w:lineRule="exact"/>
        <w:ind w:left="144" w:hanging="144"/>
        <w:jc w:val="both"/>
      </w:pPr>
      <w:r>
        <w:rPr>
          <w:spacing w:val="-51"/>
          <w:sz w:val="14"/>
          <w:szCs w:val="14"/>
          <w:vertAlign w:val="superscript"/>
          <w:lang w:val="es-ES_tradnl"/>
        </w:rPr>
        <w:t>11</w:t>
      </w:r>
      <w:r>
        <w:rPr>
          <w:spacing w:val="-51"/>
          <w:sz w:val="14"/>
          <w:szCs w:val="14"/>
          <w:lang w:val="es-ES_tradnl"/>
        </w:rPr>
        <w:t xml:space="preserve"> </w:t>
      </w:r>
      <w:r>
        <w:rPr>
          <w:spacing w:val="-1"/>
          <w:sz w:val="14"/>
          <w:szCs w:val="14"/>
          <w:lang w:val="es-ES_tradnl"/>
        </w:rPr>
        <w:t xml:space="preserve">Corte Constitucional del Ecuador, sentencia No. 199-14-SEP-CC </w:t>
      </w:r>
      <w:r>
        <w:rPr>
          <w:spacing w:val="-2"/>
          <w:sz w:val="14"/>
          <w:szCs w:val="14"/>
          <w:lang w:val="es-ES_tradnl"/>
        </w:rPr>
        <w:t>expedida el 13 de noviembre de 2014 dentro del caso No. 1098-13-</w:t>
      </w:r>
      <w:r>
        <w:rPr>
          <w:sz w:val="14"/>
          <w:szCs w:val="14"/>
          <w:lang w:val="es-ES_tradnl"/>
        </w:rPr>
        <w:t>EP.</w:t>
      </w:r>
    </w:p>
    <w:p w14:paraId="4F67B180" w14:textId="77777777" w:rsidR="00591D54" w:rsidRDefault="00591D54">
      <w:pPr>
        <w:shd w:val="clear" w:color="auto" w:fill="FFFFFF"/>
        <w:spacing w:before="547" w:line="178" w:lineRule="exact"/>
        <w:ind w:left="144" w:hanging="144"/>
        <w:jc w:val="both"/>
        <w:sectPr w:rsidR="00591D54">
          <w:type w:val="continuous"/>
          <w:pgSz w:w="11909" w:h="16834"/>
          <w:pgMar w:top="1356" w:right="1309" w:bottom="360" w:left="1308" w:header="720" w:footer="720" w:gutter="0"/>
          <w:cols w:num="2" w:space="720" w:equalWidth="0">
            <w:col w:w="4305" w:space="682"/>
            <w:col w:w="4305"/>
          </w:cols>
          <w:noEndnote/>
        </w:sectPr>
      </w:pPr>
    </w:p>
    <w:p w14:paraId="4F67B181" w14:textId="77777777" w:rsidR="00591D54" w:rsidRDefault="00591D54">
      <w:pPr>
        <w:shd w:val="clear" w:color="auto" w:fill="FFFFFF"/>
        <w:tabs>
          <w:tab w:val="left" w:pos="4814"/>
        </w:tabs>
        <w:spacing w:after="226"/>
        <w:ind w:left="14"/>
      </w:pPr>
      <w:r>
        <w:rPr>
          <w:b/>
          <w:bCs/>
          <w:sz w:val="18"/>
          <w:szCs w:val="18"/>
          <w:lang w:val="es-ES_tradnl"/>
        </w:rPr>
        <w:t xml:space="preserve">172 -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182" w14:textId="77777777" w:rsidR="00591D54" w:rsidRDefault="00591D54">
      <w:pPr>
        <w:shd w:val="clear" w:color="auto" w:fill="FFFFFF"/>
        <w:tabs>
          <w:tab w:val="left" w:pos="4814"/>
        </w:tabs>
        <w:spacing w:after="226"/>
        <w:ind w:left="14"/>
        <w:sectPr w:rsidR="00591D54">
          <w:pgSz w:w="11909" w:h="16834"/>
          <w:pgMar w:top="1359" w:right="1309" w:bottom="360" w:left="1308" w:header="720" w:footer="720" w:gutter="0"/>
          <w:cols w:space="60"/>
          <w:noEndnote/>
        </w:sectPr>
      </w:pPr>
    </w:p>
    <w:p w14:paraId="4F67B183" w14:textId="77777777" w:rsidR="00591D54" w:rsidRDefault="00591D54">
      <w:pPr>
        <w:shd w:val="clear" w:color="auto" w:fill="FFFFFF"/>
        <w:spacing w:line="235" w:lineRule="exact"/>
        <w:ind w:right="5"/>
        <w:jc w:val="both"/>
      </w:pPr>
      <w:r>
        <w:rPr>
          <w:spacing w:val="-8"/>
          <w:sz w:val="18"/>
          <w:szCs w:val="18"/>
          <w:lang w:val="es-ES_tradnl"/>
        </w:rPr>
        <w:t xml:space="preserve">sido resaltados por estar fehacientemente razonables y </w:t>
      </w:r>
      <w:r>
        <w:rPr>
          <w:spacing w:val="-7"/>
          <w:sz w:val="18"/>
          <w:szCs w:val="18"/>
          <w:lang w:val="es-ES_tradnl"/>
        </w:rPr>
        <w:t>motivadas dentro de la decisi</w:t>
      </w:r>
      <w:r>
        <w:rPr>
          <w:rFonts w:cs="Times New Roman"/>
          <w:spacing w:val="-7"/>
          <w:sz w:val="18"/>
          <w:szCs w:val="18"/>
          <w:lang w:val="es-ES_tradnl"/>
        </w:rPr>
        <w:t>ó</w:t>
      </w:r>
      <w:r>
        <w:rPr>
          <w:spacing w:val="-7"/>
          <w:sz w:val="18"/>
          <w:szCs w:val="18"/>
          <w:lang w:val="es-ES_tradnl"/>
        </w:rPr>
        <w:t xml:space="preserve">n judicial </w:t>
      </w:r>
      <w:r>
        <w:rPr>
          <w:i/>
          <w:iCs/>
          <w:spacing w:val="-7"/>
          <w:sz w:val="18"/>
          <w:szCs w:val="18"/>
          <w:lang w:val="es-ES_tradnl"/>
        </w:rPr>
        <w:t>ut supra</w:t>
      </w:r>
      <w:r>
        <w:rPr>
          <w:spacing w:val="-7"/>
          <w:sz w:val="18"/>
          <w:szCs w:val="18"/>
          <w:lang w:val="es-ES_tradnl"/>
        </w:rPr>
        <w:t>, como se analiz</w:t>
      </w:r>
      <w:r>
        <w:rPr>
          <w:rFonts w:cs="Times New Roman"/>
          <w:spacing w:val="-7"/>
          <w:sz w:val="18"/>
          <w:szCs w:val="18"/>
          <w:lang w:val="es-ES_tradnl"/>
        </w:rPr>
        <w:t>ó</w:t>
      </w:r>
      <w:r>
        <w:rPr>
          <w:spacing w:val="-7"/>
          <w:sz w:val="18"/>
          <w:szCs w:val="18"/>
          <w:lang w:val="es-ES_tradnl"/>
        </w:rPr>
        <w:t xml:space="preserve"> en el primer problema jur</w:t>
      </w:r>
      <w:r>
        <w:rPr>
          <w:rFonts w:cs="Times New Roman"/>
          <w:spacing w:val="-7"/>
          <w:sz w:val="18"/>
          <w:szCs w:val="18"/>
          <w:lang w:val="es-ES_tradnl"/>
        </w:rPr>
        <w:t>í</w:t>
      </w:r>
      <w:r>
        <w:rPr>
          <w:spacing w:val="-7"/>
          <w:sz w:val="18"/>
          <w:szCs w:val="18"/>
          <w:lang w:val="es-ES_tradnl"/>
        </w:rPr>
        <w:t>dico de esta sentencia.</w:t>
      </w:r>
    </w:p>
    <w:p w14:paraId="4F67B184" w14:textId="77777777" w:rsidR="00591D54" w:rsidRDefault="00591D54">
      <w:pPr>
        <w:shd w:val="clear" w:color="auto" w:fill="FFFFFF"/>
        <w:spacing w:before="240" w:line="235" w:lineRule="exact"/>
        <w:ind w:right="5"/>
        <w:jc w:val="both"/>
      </w:pPr>
      <w:r>
        <w:rPr>
          <w:spacing w:val="-10"/>
          <w:sz w:val="18"/>
          <w:szCs w:val="18"/>
          <w:lang w:val="es-ES_tradnl"/>
        </w:rPr>
        <w:t xml:space="preserve">Por las consideraciones que anteceden, esta Corte concluye </w:t>
      </w:r>
      <w:r>
        <w:rPr>
          <w:spacing w:val="-7"/>
          <w:sz w:val="18"/>
          <w:szCs w:val="18"/>
          <w:lang w:val="es-ES_tradnl"/>
        </w:rPr>
        <w:t xml:space="preserve">que la sentencia expedida el 20 de enero de 2014 a las </w:t>
      </w:r>
      <w:r>
        <w:rPr>
          <w:spacing w:val="-3"/>
          <w:sz w:val="18"/>
          <w:szCs w:val="18"/>
          <w:lang w:val="es-ES_tradnl"/>
        </w:rPr>
        <w:t xml:space="preserve">10h10, por los jueces de la Sala Especializada de lo </w:t>
      </w:r>
      <w:r>
        <w:rPr>
          <w:spacing w:val="-6"/>
          <w:sz w:val="18"/>
          <w:szCs w:val="18"/>
          <w:lang w:val="es-ES_tradnl"/>
        </w:rPr>
        <w:t xml:space="preserve">Laboral de la Corte Nacional de Justicia, no ha vulnerado </w:t>
      </w:r>
      <w:r>
        <w:rPr>
          <w:spacing w:val="-5"/>
          <w:sz w:val="18"/>
          <w:szCs w:val="18"/>
          <w:lang w:val="es-ES_tradnl"/>
        </w:rPr>
        <w:t xml:space="preserve">el derecho constitucional a la igualdad formal, material y </w:t>
      </w:r>
      <w:r>
        <w:rPr>
          <w:spacing w:val="-8"/>
          <w:sz w:val="18"/>
          <w:szCs w:val="18"/>
          <w:lang w:val="es-ES_tradnl"/>
        </w:rPr>
        <w:t>no discriminaci</w:t>
      </w:r>
      <w:r>
        <w:rPr>
          <w:rFonts w:cs="Times New Roman"/>
          <w:spacing w:val="-8"/>
          <w:sz w:val="18"/>
          <w:szCs w:val="18"/>
          <w:lang w:val="es-ES_tradnl"/>
        </w:rPr>
        <w:t>ó</w:t>
      </w:r>
      <w:r>
        <w:rPr>
          <w:spacing w:val="-8"/>
          <w:sz w:val="18"/>
          <w:szCs w:val="18"/>
          <w:lang w:val="es-ES_tradnl"/>
        </w:rPr>
        <w:t>n, por supuestamente dejar de considerar criterios contenidos en sentencias an</w:t>
      </w:r>
      <w:r>
        <w:rPr>
          <w:rFonts w:cs="Times New Roman"/>
          <w:spacing w:val="-8"/>
          <w:sz w:val="18"/>
          <w:szCs w:val="18"/>
          <w:lang w:val="es-ES_tradnl"/>
        </w:rPr>
        <w:t>á</w:t>
      </w:r>
      <w:r>
        <w:rPr>
          <w:spacing w:val="-8"/>
          <w:sz w:val="18"/>
          <w:szCs w:val="18"/>
          <w:lang w:val="es-ES_tradnl"/>
        </w:rPr>
        <w:t xml:space="preserve">logas, prevista en el </w:t>
      </w:r>
      <w:r>
        <w:rPr>
          <w:spacing w:val="-6"/>
          <w:sz w:val="18"/>
          <w:szCs w:val="18"/>
          <w:lang w:val="es-ES_tradnl"/>
        </w:rPr>
        <w:t>art</w:t>
      </w:r>
      <w:r>
        <w:rPr>
          <w:rFonts w:cs="Times New Roman"/>
          <w:spacing w:val="-6"/>
          <w:sz w:val="18"/>
          <w:szCs w:val="18"/>
          <w:lang w:val="es-ES_tradnl"/>
        </w:rPr>
        <w:t>í</w:t>
      </w:r>
      <w:r>
        <w:rPr>
          <w:spacing w:val="-6"/>
          <w:sz w:val="18"/>
          <w:szCs w:val="18"/>
          <w:lang w:val="es-ES_tradnl"/>
        </w:rPr>
        <w:t>culo 66 numeral 4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w:t>
      </w:r>
    </w:p>
    <w:p w14:paraId="4F67B185" w14:textId="77777777" w:rsidR="00591D54" w:rsidRDefault="00591D54">
      <w:pPr>
        <w:shd w:val="clear" w:color="auto" w:fill="FFFFFF"/>
        <w:spacing w:before="245"/>
      </w:pPr>
      <w:r>
        <w:rPr>
          <w:b/>
          <w:bCs/>
          <w:spacing w:val="-11"/>
          <w:sz w:val="18"/>
          <w:szCs w:val="18"/>
          <w:lang w:val="es-ES_tradnl"/>
        </w:rPr>
        <w:t>Otras consideraciones</w:t>
      </w:r>
    </w:p>
    <w:p w14:paraId="4F67B186" w14:textId="77777777" w:rsidR="00591D54" w:rsidRDefault="00591D54">
      <w:pPr>
        <w:shd w:val="clear" w:color="auto" w:fill="FFFFFF"/>
        <w:spacing w:before="235" w:line="235" w:lineRule="exact"/>
        <w:ind w:right="5"/>
        <w:jc w:val="both"/>
      </w:pPr>
      <w:r>
        <w:rPr>
          <w:spacing w:val="-11"/>
          <w:sz w:val="18"/>
          <w:szCs w:val="18"/>
          <w:lang w:val="es-ES_tradnl"/>
        </w:rPr>
        <w:t xml:space="preserve">A fin de complementar el estudio, este Organismo considera </w:t>
      </w:r>
      <w:r>
        <w:rPr>
          <w:spacing w:val="-10"/>
          <w:sz w:val="18"/>
          <w:szCs w:val="18"/>
          <w:lang w:val="es-ES_tradnl"/>
        </w:rPr>
        <w:t xml:space="preserve">pertinente pronunciarse sobre las alegaciones realizadas por </w:t>
      </w:r>
      <w:r>
        <w:rPr>
          <w:spacing w:val="-8"/>
          <w:sz w:val="18"/>
          <w:szCs w:val="18"/>
          <w:lang w:val="es-ES_tradnl"/>
        </w:rPr>
        <w:t>la legitimada activa respecto de la supuesta desvaloraci</w:t>
      </w:r>
      <w:r>
        <w:rPr>
          <w:rFonts w:cs="Times New Roman"/>
          <w:spacing w:val="-8"/>
          <w:sz w:val="18"/>
          <w:szCs w:val="18"/>
          <w:lang w:val="es-ES_tradnl"/>
        </w:rPr>
        <w:t>ó</w:t>
      </w:r>
      <w:r>
        <w:rPr>
          <w:spacing w:val="-8"/>
          <w:sz w:val="18"/>
          <w:szCs w:val="18"/>
          <w:lang w:val="es-ES_tradnl"/>
        </w:rPr>
        <w:t xml:space="preserve">n </w:t>
      </w:r>
      <w:r>
        <w:rPr>
          <w:spacing w:val="-7"/>
          <w:sz w:val="18"/>
          <w:szCs w:val="18"/>
          <w:lang w:val="es-ES_tradnl"/>
        </w:rPr>
        <w:t xml:space="preserve">del acta de finiquito y las confesiones del accionado Paul </w:t>
      </w:r>
      <w:r>
        <w:rPr>
          <w:spacing w:val="-6"/>
          <w:sz w:val="18"/>
          <w:szCs w:val="18"/>
          <w:lang w:val="es-ES_tradnl"/>
        </w:rPr>
        <w:t>Alexander Sonnenholzner y Marcia Navia.</w:t>
      </w:r>
    </w:p>
    <w:p w14:paraId="4F67B187" w14:textId="77777777" w:rsidR="00591D54" w:rsidRDefault="00591D54">
      <w:pPr>
        <w:shd w:val="clear" w:color="auto" w:fill="FFFFFF"/>
        <w:spacing w:before="235" w:line="235" w:lineRule="exact"/>
        <w:ind w:right="5"/>
        <w:jc w:val="both"/>
      </w:pPr>
      <w:r>
        <w:rPr>
          <w:spacing w:val="-4"/>
          <w:sz w:val="18"/>
          <w:szCs w:val="18"/>
          <w:lang w:val="es-ES_tradnl"/>
        </w:rPr>
        <w:t>En tal virtud, cabe puntualizar que el art</w:t>
      </w:r>
      <w:r>
        <w:rPr>
          <w:rFonts w:cs="Times New Roman"/>
          <w:spacing w:val="-4"/>
          <w:sz w:val="18"/>
          <w:szCs w:val="18"/>
          <w:lang w:val="es-ES_tradnl"/>
        </w:rPr>
        <w:t>í</w:t>
      </w:r>
      <w:r>
        <w:rPr>
          <w:spacing w:val="-4"/>
          <w:sz w:val="18"/>
          <w:szCs w:val="18"/>
          <w:lang w:val="es-ES_tradnl"/>
        </w:rPr>
        <w:t>culo 62 numeral 5 de la Ley Org</w:t>
      </w:r>
      <w:r>
        <w:rPr>
          <w:rFonts w:cs="Times New Roman"/>
          <w:spacing w:val="-4"/>
          <w:sz w:val="18"/>
          <w:szCs w:val="18"/>
          <w:lang w:val="es-ES_tradnl"/>
        </w:rPr>
        <w:t>á</w:t>
      </w:r>
      <w:r>
        <w:rPr>
          <w:spacing w:val="-4"/>
          <w:sz w:val="18"/>
          <w:szCs w:val="18"/>
          <w:lang w:val="es-ES_tradnl"/>
        </w:rPr>
        <w:t>nica de Garant</w:t>
      </w:r>
      <w:r>
        <w:rPr>
          <w:rFonts w:cs="Times New Roman"/>
          <w:spacing w:val="-4"/>
          <w:sz w:val="18"/>
          <w:szCs w:val="18"/>
          <w:lang w:val="es-ES_tradnl"/>
        </w:rPr>
        <w:t>í</w:t>
      </w:r>
      <w:r>
        <w:rPr>
          <w:spacing w:val="-4"/>
          <w:sz w:val="18"/>
          <w:szCs w:val="18"/>
          <w:lang w:val="es-ES_tradnl"/>
        </w:rPr>
        <w:t>as Jurisdiccionales y Control Constitucional</w:t>
      </w:r>
      <w:r>
        <w:rPr>
          <w:spacing w:val="-4"/>
          <w:sz w:val="18"/>
          <w:szCs w:val="18"/>
          <w:vertAlign w:val="superscript"/>
          <w:lang w:val="es-ES_tradnl"/>
        </w:rPr>
        <w:t>12</w:t>
      </w:r>
      <w:r>
        <w:rPr>
          <w:spacing w:val="-4"/>
          <w:sz w:val="18"/>
          <w:szCs w:val="18"/>
          <w:lang w:val="es-ES_tradnl"/>
        </w:rPr>
        <w:t xml:space="preserve"> proh</w:t>
      </w:r>
      <w:r>
        <w:rPr>
          <w:rFonts w:cs="Times New Roman"/>
          <w:spacing w:val="-4"/>
          <w:sz w:val="18"/>
          <w:szCs w:val="18"/>
          <w:lang w:val="es-ES_tradnl"/>
        </w:rPr>
        <w:t>í</w:t>
      </w:r>
      <w:r>
        <w:rPr>
          <w:spacing w:val="-4"/>
          <w:sz w:val="18"/>
          <w:szCs w:val="18"/>
          <w:lang w:val="es-ES_tradnl"/>
        </w:rPr>
        <w:t xml:space="preserve">be a esta magistratura </w:t>
      </w:r>
      <w:r>
        <w:rPr>
          <w:spacing w:val="-9"/>
          <w:sz w:val="18"/>
          <w:szCs w:val="18"/>
          <w:lang w:val="es-ES_tradnl"/>
        </w:rPr>
        <w:t xml:space="preserve">referirse a los medios o instrumentos de prueba practicados </w:t>
      </w:r>
      <w:r>
        <w:rPr>
          <w:sz w:val="18"/>
          <w:szCs w:val="18"/>
          <w:lang w:val="es-ES_tradnl"/>
        </w:rPr>
        <w:t xml:space="preserve">en las instancias ordinarias correspondientes, entre </w:t>
      </w:r>
      <w:r>
        <w:rPr>
          <w:spacing w:val="-8"/>
          <w:sz w:val="18"/>
          <w:szCs w:val="18"/>
          <w:lang w:val="es-ES_tradnl"/>
        </w:rPr>
        <w:t>ellas, las manifestadas por la accionante en esta garant</w:t>
      </w:r>
      <w:r>
        <w:rPr>
          <w:rFonts w:cs="Times New Roman"/>
          <w:spacing w:val="-8"/>
          <w:sz w:val="18"/>
          <w:szCs w:val="18"/>
          <w:lang w:val="es-ES_tradnl"/>
        </w:rPr>
        <w:t>í</w:t>
      </w:r>
      <w:r>
        <w:rPr>
          <w:spacing w:val="-8"/>
          <w:sz w:val="18"/>
          <w:szCs w:val="18"/>
          <w:lang w:val="es-ES_tradnl"/>
        </w:rPr>
        <w:t xml:space="preserve">a </w:t>
      </w:r>
      <w:r>
        <w:rPr>
          <w:spacing w:val="-6"/>
          <w:sz w:val="18"/>
          <w:szCs w:val="18"/>
          <w:lang w:val="es-ES_tradnl"/>
        </w:rPr>
        <w:t>jurisdiccional, pues la legislaci</w:t>
      </w:r>
      <w:r>
        <w:rPr>
          <w:rFonts w:cs="Times New Roman"/>
          <w:spacing w:val="-6"/>
          <w:sz w:val="18"/>
          <w:szCs w:val="18"/>
          <w:lang w:val="es-ES_tradnl"/>
        </w:rPr>
        <w:t>ó</w:t>
      </w:r>
      <w:r>
        <w:rPr>
          <w:spacing w:val="-6"/>
          <w:sz w:val="18"/>
          <w:szCs w:val="18"/>
          <w:lang w:val="es-ES_tradnl"/>
        </w:rPr>
        <w:t xml:space="preserve">n constitucional no faculta </w:t>
      </w:r>
      <w:r>
        <w:rPr>
          <w:spacing w:val="-5"/>
          <w:sz w:val="18"/>
          <w:szCs w:val="18"/>
          <w:lang w:val="es-ES_tradnl"/>
        </w:rPr>
        <w:t xml:space="preserve">resolver la </w:t>
      </w:r>
      <w:r>
        <w:rPr>
          <w:i/>
          <w:iCs/>
          <w:spacing w:val="-5"/>
          <w:sz w:val="18"/>
          <w:szCs w:val="18"/>
          <w:lang w:val="es-ES_tradnl"/>
        </w:rPr>
        <w:t xml:space="preserve">litis </w:t>
      </w:r>
      <w:r>
        <w:rPr>
          <w:spacing w:val="-5"/>
          <w:sz w:val="18"/>
          <w:szCs w:val="18"/>
          <w:lang w:val="es-ES_tradnl"/>
        </w:rPr>
        <w:t>en raz</w:t>
      </w:r>
      <w:r>
        <w:rPr>
          <w:rFonts w:cs="Times New Roman"/>
          <w:spacing w:val="-5"/>
          <w:sz w:val="18"/>
          <w:szCs w:val="18"/>
          <w:lang w:val="es-ES_tradnl"/>
        </w:rPr>
        <w:t>ó</w:t>
      </w:r>
      <w:r>
        <w:rPr>
          <w:spacing w:val="-5"/>
          <w:sz w:val="18"/>
          <w:szCs w:val="18"/>
          <w:lang w:val="es-ES_tradnl"/>
        </w:rPr>
        <w:t>n de la aplicaci</w:t>
      </w:r>
      <w:r>
        <w:rPr>
          <w:rFonts w:cs="Times New Roman"/>
          <w:spacing w:val="-5"/>
          <w:sz w:val="18"/>
          <w:szCs w:val="18"/>
          <w:lang w:val="es-ES_tradnl"/>
        </w:rPr>
        <w:t>ó</w:t>
      </w:r>
      <w:r>
        <w:rPr>
          <w:spacing w:val="-5"/>
          <w:sz w:val="18"/>
          <w:szCs w:val="18"/>
          <w:lang w:val="es-ES_tradnl"/>
        </w:rPr>
        <w:t>n o incorrecta valoraci</w:t>
      </w:r>
      <w:r>
        <w:rPr>
          <w:rFonts w:cs="Times New Roman"/>
          <w:spacing w:val="-5"/>
          <w:sz w:val="18"/>
          <w:szCs w:val="18"/>
          <w:lang w:val="es-ES_tradnl"/>
        </w:rPr>
        <w:t>ó</w:t>
      </w:r>
      <w:r>
        <w:rPr>
          <w:spacing w:val="-5"/>
          <w:sz w:val="18"/>
          <w:szCs w:val="18"/>
          <w:lang w:val="es-ES_tradnl"/>
        </w:rPr>
        <w:t xml:space="preserve">n de los medios probatorios, por lo que tal </w:t>
      </w:r>
      <w:r>
        <w:rPr>
          <w:spacing w:val="-8"/>
          <w:sz w:val="18"/>
          <w:szCs w:val="18"/>
          <w:lang w:val="es-ES_tradnl"/>
        </w:rPr>
        <w:t>cuestionamiento pierde relevancia constitucional; pues, as</w:t>
      </w:r>
      <w:r>
        <w:rPr>
          <w:rFonts w:cs="Times New Roman"/>
          <w:spacing w:val="-8"/>
          <w:sz w:val="18"/>
          <w:szCs w:val="18"/>
          <w:lang w:val="es-ES_tradnl"/>
        </w:rPr>
        <w:t xml:space="preserve">í </w:t>
      </w:r>
      <w:r>
        <w:rPr>
          <w:spacing w:val="-8"/>
          <w:sz w:val="18"/>
          <w:szCs w:val="18"/>
          <w:lang w:val="es-ES_tradnl"/>
        </w:rPr>
        <w:t>lo ha dispuesto esta Corte Constitucional en sentencia N.</w:t>
      </w:r>
      <w:r>
        <w:rPr>
          <w:rFonts w:cs="Times New Roman"/>
          <w:spacing w:val="-8"/>
          <w:sz w:val="18"/>
          <w:szCs w:val="18"/>
          <w:lang w:val="es-ES_tradnl"/>
        </w:rPr>
        <w:t xml:space="preserve">º </w:t>
      </w:r>
      <w:r>
        <w:rPr>
          <w:spacing w:val="-8"/>
          <w:sz w:val="18"/>
          <w:szCs w:val="18"/>
          <w:lang w:val="es-ES_tradnl"/>
        </w:rPr>
        <w:t>047-15-SEP-CC del 25 de febrero de 2015, que dice:</w:t>
      </w:r>
    </w:p>
    <w:p w14:paraId="4F67B188" w14:textId="77777777" w:rsidR="00591D54" w:rsidRDefault="00591D54">
      <w:pPr>
        <w:shd w:val="clear" w:color="auto" w:fill="FFFFFF"/>
        <w:spacing w:before="235" w:line="235" w:lineRule="exact"/>
        <w:ind w:left="283" w:right="5"/>
        <w:jc w:val="both"/>
      </w:pPr>
      <w:r>
        <w:rPr>
          <w:sz w:val="14"/>
          <w:szCs w:val="14"/>
          <w:lang w:val="es-ES_tradnl"/>
        </w:rPr>
        <w:t>Ahora bien, en el caso sub judice, es preciso se</w:t>
      </w:r>
      <w:r>
        <w:rPr>
          <w:rFonts w:cs="Times New Roman"/>
          <w:sz w:val="14"/>
          <w:szCs w:val="14"/>
          <w:lang w:val="es-ES_tradnl"/>
        </w:rPr>
        <w:t>ñ</w:t>
      </w:r>
      <w:r>
        <w:rPr>
          <w:sz w:val="14"/>
          <w:szCs w:val="14"/>
          <w:lang w:val="es-ES_tradnl"/>
        </w:rPr>
        <w:t>alar que las pretensiones del accionante son oscuras y confusas, al no precisar con claridad en qu</w:t>
      </w:r>
      <w:r>
        <w:rPr>
          <w:rFonts w:cs="Times New Roman"/>
          <w:sz w:val="14"/>
          <w:szCs w:val="14"/>
          <w:lang w:val="es-ES_tradnl"/>
        </w:rPr>
        <w:t>é</w:t>
      </w:r>
      <w:r>
        <w:rPr>
          <w:sz w:val="14"/>
          <w:szCs w:val="14"/>
          <w:lang w:val="es-ES_tradnl"/>
        </w:rPr>
        <w:t xml:space="preserve"> forma se vulneraron sus derechos constitucionales; m</w:t>
      </w:r>
      <w:r>
        <w:rPr>
          <w:rFonts w:cs="Times New Roman"/>
          <w:sz w:val="14"/>
          <w:szCs w:val="14"/>
          <w:lang w:val="es-ES_tradnl"/>
        </w:rPr>
        <w:t>á</w:t>
      </w:r>
      <w:r>
        <w:rPr>
          <w:sz w:val="14"/>
          <w:szCs w:val="14"/>
          <w:lang w:val="es-ES_tradnl"/>
        </w:rPr>
        <w:t>s bien se observa que lo que pretende el accionante es una nueva revisi</w:t>
      </w:r>
      <w:r>
        <w:rPr>
          <w:rFonts w:cs="Times New Roman"/>
          <w:sz w:val="14"/>
          <w:szCs w:val="14"/>
          <w:lang w:val="es-ES_tradnl"/>
        </w:rPr>
        <w:t>ó</w:t>
      </w:r>
      <w:r>
        <w:rPr>
          <w:sz w:val="14"/>
          <w:szCs w:val="14"/>
          <w:lang w:val="es-ES_tradnl"/>
        </w:rPr>
        <w:t>n de las pruebas practicadas en el proceso laboral y que esta Corte se pronuncie al respecto, realizando un control de legalidad de la sentencia de casaci</w:t>
      </w:r>
      <w:r>
        <w:rPr>
          <w:rFonts w:cs="Times New Roman"/>
          <w:sz w:val="14"/>
          <w:szCs w:val="14"/>
          <w:lang w:val="es-ES_tradnl"/>
        </w:rPr>
        <w:t>ó</w:t>
      </w:r>
      <w:r>
        <w:rPr>
          <w:sz w:val="14"/>
          <w:szCs w:val="14"/>
          <w:lang w:val="es-ES_tradnl"/>
        </w:rPr>
        <w:t>n. De all</w:t>
      </w:r>
      <w:r>
        <w:rPr>
          <w:rFonts w:cs="Times New Roman"/>
          <w:sz w:val="14"/>
          <w:szCs w:val="14"/>
          <w:lang w:val="es-ES_tradnl"/>
        </w:rPr>
        <w:t>í</w:t>
      </w:r>
      <w:r>
        <w:rPr>
          <w:sz w:val="14"/>
          <w:szCs w:val="14"/>
          <w:lang w:val="es-ES_tradnl"/>
        </w:rPr>
        <w:t xml:space="preserve"> que se debe puntualizar que aquel tipo de pretensiones escapa del </w:t>
      </w:r>
      <w:r>
        <w:rPr>
          <w:rFonts w:cs="Times New Roman"/>
          <w:sz w:val="14"/>
          <w:szCs w:val="14"/>
          <w:lang w:val="es-ES_tradnl"/>
        </w:rPr>
        <w:t>á</w:t>
      </w:r>
      <w:r>
        <w:rPr>
          <w:sz w:val="14"/>
          <w:szCs w:val="14"/>
          <w:lang w:val="es-ES_tradnl"/>
        </w:rPr>
        <w:t>mbito de protecci</w:t>
      </w:r>
      <w:r>
        <w:rPr>
          <w:rFonts w:cs="Times New Roman"/>
          <w:sz w:val="14"/>
          <w:szCs w:val="14"/>
          <w:lang w:val="es-ES_tradnl"/>
        </w:rPr>
        <w:t>ó</w:t>
      </w:r>
      <w:r>
        <w:rPr>
          <w:sz w:val="14"/>
          <w:szCs w:val="14"/>
          <w:lang w:val="es-ES_tradnl"/>
        </w:rPr>
        <w:t>n de la acci</w:t>
      </w:r>
      <w:r>
        <w:rPr>
          <w:rFonts w:cs="Times New Roman"/>
          <w:sz w:val="14"/>
          <w:szCs w:val="14"/>
          <w:lang w:val="es-ES_tradnl"/>
        </w:rPr>
        <w:t>ó</w:t>
      </w:r>
      <w:r>
        <w:rPr>
          <w:sz w:val="14"/>
          <w:szCs w:val="14"/>
          <w:lang w:val="es-ES_tradnl"/>
        </w:rPr>
        <w:t>n extraordinaria de protecci</w:t>
      </w:r>
      <w:r>
        <w:rPr>
          <w:rFonts w:cs="Times New Roman"/>
          <w:sz w:val="14"/>
          <w:szCs w:val="14"/>
          <w:lang w:val="es-ES_tradnl"/>
        </w:rPr>
        <w:t>ó</w:t>
      </w:r>
      <w:r>
        <w:rPr>
          <w:sz w:val="14"/>
          <w:szCs w:val="14"/>
          <w:lang w:val="es-ES_tradnl"/>
        </w:rPr>
        <w:t>n, por encontrarse direccionada dicha garant</w:t>
      </w:r>
      <w:r>
        <w:rPr>
          <w:rFonts w:cs="Times New Roman"/>
          <w:sz w:val="14"/>
          <w:szCs w:val="14"/>
          <w:lang w:val="es-ES_tradnl"/>
        </w:rPr>
        <w:t>í</w:t>
      </w:r>
      <w:r>
        <w:rPr>
          <w:sz w:val="14"/>
          <w:szCs w:val="14"/>
          <w:lang w:val="es-ES_tradnl"/>
        </w:rPr>
        <w:t>a hacia la protecci</w:t>
      </w:r>
      <w:r>
        <w:rPr>
          <w:rFonts w:cs="Times New Roman"/>
          <w:sz w:val="14"/>
          <w:szCs w:val="14"/>
          <w:lang w:val="es-ES_tradnl"/>
        </w:rPr>
        <w:t>ó</w:t>
      </w:r>
      <w:r>
        <w:rPr>
          <w:sz w:val="14"/>
          <w:szCs w:val="14"/>
          <w:lang w:val="es-ES_tradnl"/>
        </w:rPr>
        <w:t>n de derecho reconocidos en la Constituci</w:t>
      </w:r>
      <w:r>
        <w:rPr>
          <w:rFonts w:cs="Times New Roman"/>
          <w:sz w:val="14"/>
          <w:szCs w:val="14"/>
          <w:lang w:val="es-ES_tradnl"/>
        </w:rPr>
        <w:t>ó</w:t>
      </w:r>
      <w:r>
        <w:rPr>
          <w:sz w:val="14"/>
          <w:szCs w:val="14"/>
          <w:lang w:val="es-ES_tradnl"/>
        </w:rPr>
        <w:t>n de la Rep</w:t>
      </w:r>
      <w:r>
        <w:rPr>
          <w:rFonts w:cs="Times New Roman"/>
          <w:sz w:val="14"/>
          <w:szCs w:val="14"/>
          <w:lang w:val="es-ES_tradnl"/>
        </w:rPr>
        <w:t>ú</w:t>
      </w:r>
      <w:r>
        <w:rPr>
          <w:sz w:val="14"/>
          <w:szCs w:val="14"/>
          <w:lang w:val="es-ES_tradnl"/>
        </w:rPr>
        <w:t>blica y las normas del debido proceso</w:t>
      </w:r>
      <w:r>
        <w:rPr>
          <w:sz w:val="14"/>
          <w:szCs w:val="14"/>
          <w:vertAlign w:val="superscript"/>
          <w:lang w:val="es-ES_tradnl"/>
        </w:rPr>
        <w:t>13</w:t>
      </w:r>
      <w:r>
        <w:rPr>
          <w:sz w:val="14"/>
          <w:szCs w:val="14"/>
          <w:lang w:val="es-ES_tradnl"/>
        </w:rPr>
        <w:t>.</w:t>
      </w:r>
    </w:p>
    <w:p w14:paraId="4F67B189" w14:textId="77777777" w:rsidR="00591D54" w:rsidRDefault="00591D54">
      <w:pPr>
        <w:shd w:val="clear" w:color="auto" w:fill="FFFFFF"/>
        <w:spacing w:before="245" w:line="235" w:lineRule="exact"/>
        <w:ind w:right="5"/>
        <w:jc w:val="both"/>
      </w:pPr>
      <w:r>
        <w:rPr>
          <w:spacing w:val="-5"/>
          <w:sz w:val="18"/>
          <w:szCs w:val="18"/>
          <w:lang w:val="es-ES_tradnl"/>
        </w:rPr>
        <w:t>Lo expuesto permite concluir que la pretensi</w:t>
      </w:r>
      <w:r>
        <w:rPr>
          <w:rFonts w:cs="Times New Roman"/>
          <w:spacing w:val="-5"/>
          <w:sz w:val="18"/>
          <w:szCs w:val="18"/>
          <w:lang w:val="es-ES_tradnl"/>
        </w:rPr>
        <w:t>ó</w:t>
      </w:r>
      <w:r>
        <w:rPr>
          <w:spacing w:val="-5"/>
          <w:sz w:val="18"/>
          <w:szCs w:val="18"/>
          <w:lang w:val="es-ES_tradnl"/>
        </w:rPr>
        <w:t xml:space="preserve">n de la legitimada activa tiene </w:t>
      </w:r>
      <w:r>
        <w:rPr>
          <w:rFonts w:cs="Times New Roman"/>
          <w:spacing w:val="-5"/>
          <w:sz w:val="18"/>
          <w:szCs w:val="18"/>
          <w:lang w:val="es-ES_tradnl"/>
        </w:rPr>
        <w:t>é</w:t>
      </w:r>
      <w:r>
        <w:rPr>
          <w:spacing w:val="-5"/>
          <w:sz w:val="18"/>
          <w:szCs w:val="18"/>
          <w:lang w:val="es-ES_tradnl"/>
        </w:rPr>
        <w:t xml:space="preserve">nfasis en la mera inconformidad </w:t>
      </w:r>
      <w:r>
        <w:rPr>
          <w:spacing w:val="-3"/>
          <w:sz w:val="18"/>
          <w:szCs w:val="18"/>
          <w:lang w:val="es-ES_tradnl"/>
        </w:rPr>
        <w:t xml:space="preserve">respecto de la sentencia cuestionada por lo que ha </w:t>
      </w:r>
      <w:r>
        <w:rPr>
          <w:spacing w:val="-6"/>
          <w:sz w:val="18"/>
          <w:szCs w:val="18"/>
          <w:lang w:val="es-ES_tradnl"/>
        </w:rPr>
        <w:t>pretendido una revaloraci</w:t>
      </w:r>
      <w:r>
        <w:rPr>
          <w:rFonts w:cs="Times New Roman"/>
          <w:spacing w:val="-6"/>
          <w:sz w:val="18"/>
          <w:szCs w:val="18"/>
          <w:lang w:val="es-ES_tradnl"/>
        </w:rPr>
        <w:t>ó</w:t>
      </w:r>
      <w:r>
        <w:rPr>
          <w:spacing w:val="-6"/>
          <w:sz w:val="18"/>
          <w:szCs w:val="18"/>
          <w:lang w:val="es-ES_tradnl"/>
        </w:rPr>
        <w:t>n de los elementos probatorios</w:t>
      </w:r>
    </w:p>
    <w:p w14:paraId="4F67B18A" w14:textId="77777777" w:rsidR="00591D54" w:rsidRDefault="00591D54">
      <w:pPr>
        <w:shd w:val="clear" w:color="auto" w:fill="FFFFFF"/>
        <w:tabs>
          <w:tab w:val="left" w:pos="139"/>
        </w:tabs>
        <w:spacing w:before="451" w:line="178" w:lineRule="exact"/>
        <w:ind w:left="139" w:right="5" w:hanging="139"/>
        <w:jc w:val="both"/>
      </w:pPr>
      <w:r>
        <w:rPr>
          <w:spacing w:val="-5"/>
          <w:sz w:val="8"/>
          <w:szCs w:val="8"/>
          <w:vertAlign w:val="superscript"/>
          <w:lang w:val="es-ES_tradnl"/>
        </w:rPr>
        <w:t>12</w:t>
      </w:r>
      <w:r>
        <w:rPr>
          <w:sz w:val="18"/>
          <w:szCs w:val="18"/>
          <w:lang w:val="es-ES_tradnl"/>
        </w:rPr>
        <w:tab/>
      </w:r>
      <w:r>
        <w:rPr>
          <w:spacing w:val="-3"/>
          <w:sz w:val="14"/>
          <w:szCs w:val="14"/>
          <w:lang w:val="es-ES_tradnl"/>
        </w:rPr>
        <w:t>Ley</w:t>
      </w:r>
      <w:r>
        <w:rPr>
          <w:spacing w:val="-3"/>
          <w:sz w:val="18"/>
          <w:szCs w:val="18"/>
          <w:lang w:val="es-ES_tradnl"/>
        </w:rPr>
        <w:t xml:space="preserve"> </w:t>
      </w:r>
      <w:r>
        <w:rPr>
          <w:spacing w:val="-3"/>
          <w:sz w:val="14"/>
          <w:szCs w:val="14"/>
          <w:lang w:val="es-ES_tradnl"/>
        </w:rPr>
        <w:t>Org</w:t>
      </w:r>
      <w:r>
        <w:rPr>
          <w:rFonts w:cs="Times New Roman"/>
          <w:spacing w:val="-3"/>
          <w:sz w:val="14"/>
          <w:szCs w:val="14"/>
          <w:lang w:val="es-ES_tradnl"/>
        </w:rPr>
        <w:t>á</w:t>
      </w:r>
      <w:r>
        <w:rPr>
          <w:spacing w:val="-3"/>
          <w:sz w:val="14"/>
          <w:szCs w:val="14"/>
          <w:lang w:val="es-ES_tradnl"/>
        </w:rPr>
        <w:t>nica</w:t>
      </w:r>
      <w:r>
        <w:rPr>
          <w:spacing w:val="-3"/>
          <w:sz w:val="18"/>
          <w:szCs w:val="18"/>
          <w:lang w:val="es-ES_tradnl"/>
        </w:rPr>
        <w:t xml:space="preserve"> </w:t>
      </w:r>
      <w:r>
        <w:rPr>
          <w:spacing w:val="-3"/>
          <w:sz w:val="14"/>
          <w:szCs w:val="14"/>
          <w:lang w:val="es-ES_tradnl"/>
        </w:rPr>
        <w:t>de</w:t>
      </w:r>
      <w:r>
        <w:rPr>
          <w:spacing w:val="-3"/>
          <w:sz w:val="18"/>
          <w:szCs w:val="18"/>
          <w:lang w:val="es-ES_tradnl"/>
        </w:rPr>
        <w:t xml:space="preserve"> </w:t>
      </w:r>
      <w:r>
        <w:rPr>
          <w:spacing w:val="-3"/>
          <w:sz w:val="14"/>
          <w:szCs w:val="14"/>
          <w:lang w:val="es-ES_tradnl"/>
        </w:rPr>
        <w:t>Garant</w:t>
      </w:r>
      <w:r>
        <w:rPr>
          <w:rFonts w:cs="Times New Roman"/>
          <w:spacing w:val="-3"/>
          <w:sz w:val="14"/>
          <w:szCs w:val="14"/>
          <w:lang w:val="es-ES_tradnl"/>
        </w:rPr>
        <w:t>í</w:t>
      </w:r>
      <w:r>
        <w:rPr>
          <w:spacing w:val="-3"/>
          <w:sz w:val="14"/>
          <w:szCs w:val="14"/>
          <w:lang w:val="es-ES_tradnl"/>
        </w:rPr>
        <w:t>as</w:t>
      </w:r>
      <w:r>
        <w:rPr>
          <w:spacing w:val="-3"/>
          <w:sz w:val="18"/>
          <w:szCs w:val="18"/>
          <w:lang w:val="es-ES_tradnl"/>
        </w:rPr>
        <w:t xml:space="preserve"> </w:t>
      </w:r>
      <w:r>
        <w:rPr>
          <w:spacing w:val="-3"/>
          <w:sz w:val="14"/>
          <w:szCs w:val="14"/>
          <w:lang w:val="es-ES_tradnl"/>
        </w:rPr>
        <w:t>Jurisdiccionales</w:t>
      </w:r>
      <w:r>
        <w:rPr>
          <w:spacing w:val="-3"/>
          <w:sz w:val="18"/>
          <w:szCs w:val="18"/>
          <w:lang w:val="es-ES_tradnl"/>
        </w:rPr>
        <w:t xml:space="preserve"> </w:t>
      </w:r>
      <w:r>
        <w:rPr>
          <w:spacing w:val="-3"/>
          <w:sz w:val="14"/>
          <w:szCs w:val="14"/>
          <w:lang w:val="es-ES_tradnl"/>
        </w:rPr>
        <w:t>y</w:t>
      </w:r>
      <w:r>
        <w:rPr>
          <w:spacing w:val="-3"/>
          <w:sz w:val="18"/>
          <w:szCs w:val="18"/>
          <w:lang w:val="es-ES_tradnl"/>
        </w:rPr>
        <w:t xml:space="preserve"> </w:t>
      </w:r>
      <w:r>
        <w:rPr>
          <w:spacing w:val="-3"/>
          <w:sz w:val="14"/>
          <w:szCs w:val="14"/>
          <w:lang w:val="es-ES_tradnl"/>
        </w:rPr>
        <w:t>Control</w:t>
      </w:r>
      <w:r>
        <w:rPr>
          <w:spacing w:val="-3"/>
          <w:sz w:val="18"/>
          <w:szCs w:val="18"/>
          <w:lang w:val="es-ES_tradnl"/>
        </w:rPr>
        <w:t xml:space="preserve"> </w:t>
      </w:r>
      <w:r>
        <w:rPr>
          <w:spacing w:val="-3"/>
          <w:sz w:val="14"/>
          <w:szCs w:val="14"/>
          <w:lang w:val="es-ES_tradnl"/>
        </w:rPr>
        <w:t>Constitucional, </w:t>
      </w:r>
      <w:r>
        <w:rPr>
          <w:sz w:val="14"/>
          <w:szCs w:val="14"/>
          <w:lang w:val="es-ES_tradnl"/>
        </w:rPr>
        <w:t xml:space="preserve">numeral 5 </w:t>
      </w:r>
      <w:r>
        <w:rPr>
          <w:rFonts w:cs="Times New Roman"/>
          <w:sz w:val="14"/>
          <w:szCs w:val="14"/>
          <w:lang w:val="es-ES_tradnl"/>
        </w:rPr>
        <w:t>“</w:t>
      </w:r>
      <w:r>
        <w:rPr>
          <w:sz w:val="14"/>
          <w:szCs w:val="14"/>
          <w:lang w:val="es-ES_tradnl"/>
        </w:rPr>
        <w:t>Que el fundamento de la acci</w:t>
      </w:r>
      <w:r>
        <w:rPr>
          <w:rFonts w:cs="Times New Roman"/>
          <w:sz w:val="14"/>
          <w:szCs w:val="14"/>
          <w:lang w:val="es-ES_tradnl"/>
        </w:rPr>
        <w:t>ó</w:t>
      </w:r>
      <w:r>
        <w:rPr>
          <w:sz w:val="14"/>
          <w:szCs w:val="14"/>
          <w:lang w:val="es-ES_tradnl"/>
        </w:rPr>
        <w:t>n no se refiera a la </w:t>
      </w:r>
      <w:r>
        <w:rPr>
          <w:spacing w:val="-2"/>
          <w:sz w:val="14"/>
          <w:szCs w:val="14"/>
          <w:lang w:val="es-ES_tradnl"/>
        </w:rPr>
        <w:t>apreciaci</w:t>
      </w:r>
      <w:r>
        <w:rPr>
          <w:rFonts w:cs="Times New Roman"/>
          <w:spacing w:val="-2"/>
          <w:sz w:val="14"/>
          <w:szCs w:val="14"/>
          <w:lang w:val="es-ES_tradnl"/>
        </w:rPr>
        <w:t>ó</w:t>
      </w:r>
      <w:r>
        <w:rPr>
          <w:spacing w:val="-2"/>
          <w:sz w:val="14"/>
          <w:szCs w:val="14"/>
          <w:lang w:val="es-ES_tradnl"/>
        </w:rPr>
        <w:t>n de la prueba por parte de la jueza o juez</w:t>
      </w:r>
      <w:r>
        <w:rPr>
          <w:rFonts w:cs="Times New Roman"/>
          <w:spacing w:val="-2"/>
          <w:sz w:val="14"/>
          <w:szCs w:val="14"/>
          <w:lang w:val="es-ES_tradnl"/>
        </w:rPr>
        <w:t>”</w:t>
      </w:r>
      <w:r>
        <w:rPr>
          <w:spacing w:val="-2"/>
          <w:sz w:val="14"/>
          <w:szCs w:val="14"/>
          <w:lang w:val="es-ES_tradnl"/>
        </w:rPr>
        <w:t>.</w:t>
      </w:r>
    </w:p>
    <w:p w14:paraId="4F67B18B" w14:textId="77777777" w:rsidR="00591D54" w:rsidRDefault="00591D54">
      <w:pPr>
        <w:shd w:val="clear" w:color="auto" w:fill="FFFFFF"/>
        <w:tabs>
          <w:tab w:val="left" w:pos="139"/>
        </w:tabs>
        <w:spacing w:before="149" w:line="178" w:lineRule="exact"/>
        <w:ind w:left="139" w:hanging="139"/>
        <w:jc w:val="both"/>
      </w:pPr>
      <w:r>
        <w:rPr>
          <w:spacing w:val="-5"/>
          <w:sz w:val="8"/>
          <w:szCs w:val="8"/>
          <w:vertAlign w:val="superscript"/>
          <w:lang w:val="es-ES_tradnl"/>
        </w:rPr>
        <w:t>13</w:t>
      </w:r>
      <w:r>
        <w:rPr>
          <w:sz w:val="18"/>
          <w:szCs w:val="18"/>
          <w:lang w:val="es-ES_tradnl"/>
        </w:rPr>
        <w:tab/>
      </w:r>
      <w:r>
        <w:rPr>
          <w:spacing w:val="-2"/>
          <w:sz w:val="14"/>
          <w:szCs w:val="14"/>
          <w:lang w:val="es-ES_tradnl"/>
        </w:rPr>
        <w:t>Corte</w:t>
      </w:r>
      <w:r>
        <w:rPr>
          <w:spacing w:val="-2"/>
          <w:sz w:val="18"/>
          <w:szCs w:val="18"/>
          <w:lang w:val="es-ES_tradnl"/>
        </w:rPr>
        <w:t xml:space="preserve"> </w:t>
      </w:r>
      <w:r>
        <w:rPr>
          <w:spacing w:val="-2"/>
          <w:sz w:val="14"/>
          <w:szCs w:val="14"/>
          <w:lang w:val="es-ES_tradnl"/>
        </w:rPr>
        <w:t>Constitucional</w:t>
      </w:r>
      <w:r>
        <w:rPr>
          <w:spacing w:val="-2"/>
          <w:sz w:val="18"/>
          <w:szCs w:val="18"/>
          <w:lang w:val="es-ES_tradnl"/>
        </w:rPr>
        <w:t xml:space="preserve"> </w:t>
      </w:r>
      <w:r>
        <w:rPr>
          <w:spacing w:val="-2"/>
          <w:sz w:val="14"/>
          <w:szCs w:val="14"/>
          <w:lang w:val="es-ES_tradnl"/>
        </w:rPr>
        <w:t>del</w:t>
      </w:r>
      <w:r>
        <w:rPr>
          <w:spacing w:val="-2"/>
          <w:sz w:val="18"/>
          <w:szCs w:val="18"/>
          <w:lang w:val="es-ES_tradnl"/>
        </w:rPr>
        <w:t xml:space="preserve"> </w:t>
      </w:r>
      <w:r>
        <w:rPr>
          <w:spacing w:val="-2"/>
          <w:sz w:val="14"/>
          <w:szCs w:val="14"/>
          <w:lang w:val="es-ES_tradnl"/>
        </w:rPr>
        <w:t>Ecuador,</w:t>
      </w:r>
      <w:r>
        <w:rPr>
          <w:spacing w:val="-2"/>
          <w:sz w:val="18"/>
          <w:szCs w:val="18"/>
          <w:lang w:val="es-ES_tradnl"/>
        </w:rPr>
        <w:t xml:space="preserve"> </w:t>
      </w:r>
      <w:r>
        <w:rPr>
          <w:spacing w:val="-2"/>
          <w:sz w:val="14"/>
          <w:szCs w:val="14"/>
          <w:lang w:val="es-ES_tradnl"/>
        </w:rPr>
        <w:t>sentencia</w:t>
      </w:r>
      <w:r>
        <w:rPr>
          <w:spacing w:val="-2"/>
          <w:sz w:val="18"/>
          <w:szCs w:val="18"/>
          <w:lang w:val="es-ES_tradnl"/>
        </w:rPr>
        <w:t xml:space="preserve"> </w:t>
      </w:r>
      <w:r>
        <w:rPr>
          <w:spacing w:val="-2"/>
          <w:sz w:val="14"/>
          <w:szCs w:val="14"/>
          <w:lang w:val="es-ES_tradnl"/>
        </w:rPr>
        <w:t>No.</w:t>
      </w:r>
      <w:r>
        <w:rPr>
          <w:spacing w:val="-2"/>
          <w:sz w:val="18"/>
          <w:szCs w:val="18"/>
          <w:lang w:val="es-ES_tradnl"/>
        </w:rPr>
        <w:t xml:space="preserve"> </w:t>
      </w:r>
      <w:r>
        <w:rPr>
          <w:spacing w:val="-2"/>
          <w:sz w:val="14"/>
          <w:szCs w:val="14"/>
          <w:lang w:val="es-ES_tradnl"/>
        </w:rPr>
        <w:t>047-15-SEP-CC</w:t>
      </w:r>
      <w:r>
        <w:rPr>
          <w:spacing w:val="-2"/>
          <w:sz w:val="18"/>
          <w:szCs w:val="18"/>
          <w:lang w:val="es-ES_tradnl"/>
        </w:rPr>
        <w:t xml:space="preserve"> </w:t>
      </w:r>
      <w:r>
        <w:rPr>
          <w:spacing w:val="-2"/>
          <w:sz w:val="14"/>
          <w:szCs w:val="14"/>
          <w:lang w:val="es-ES_tradnl"/>
        </w:rPr>
        <w:t>de 25 de febrero de 2015 dentro del caso No. 1263-12-EP.</w:t>
      </w:r>
    </w:p>
    <w:p w14:paraId="4F67B18C" w14:textId="77777777" w:rsidR="00591D54" w:rsidRDefault="00591D54">
      <w:pPr>
        <w:shd w:val="clear" w:color="auto" w:fill="FFFFFF"/>
        <w:spacing w:before="5" w:line="230" w:lineRule="exact"/>
        <w:jc w:val="both"/>
      </w:pPr>
      <w:r>
        <w:br w:type="column"/>
      </w:r>
      <w:r>
        <w:rPr>
          <w:spacing w:val="-7"/>
          <w:sz w:val="18"/>
          <w:szCs w:val="18"/>
          <w:lang w:val="es-ES_tradnl"/>
        </w:rPr>
        <w:t>de la controversia laboral lo que ocasionar</w:t>
      </w:r>
      <w:r>
        <w:rPr>
          <w:rFonts w:cs="Times New Roman"/>
          <w:spacing w:val="-7"/>
          <w:sz w:val="18"/>
          <w:szCs w:val="18"/>
          <w:lang w:val="es-ES_tradnl"/>
        </w:rPr>
        <w:t>í</w:t>
      </w:r>
      <w:r>
        <w:rPr>
          <w:spacing w:val="-7"/>
          <w:sz w:val="18"/>
          <w:szCs w:val="18"/>
          <w:lang w:val="es-ES_tradnl"/>
        </w:rPr>
        <w:t xml:space="preserve">a un control de </w:t>
      </w:r>
      <w:r>
        <w:rPr>
          <w:spacing w:val="-8"/>
          <w:sz w:val="18"/>
          <w:szCs w:val="18"/>
          <w:lang w:val="es-ES_tradnl"/>
        </w:rPr>
        <w:t>legalidad de la sentencia de casaci</w:t>
      </w:r>
      <w:r>
        <w:rPr>
          <w:rFonts w:cs="Times New Roman"/>
          <w:spacing w:val="-8"/>
          <w:sz w:val="18"/>
          <w:szCs w:val="18"/>
          <w:lang w:val="es-ES_tradnl"/>
        </w:rPr>
        <w:t>ó</w:t>
      </w:r>
      <w:r>
        <w:rPr>
          <w:spacing w:val="-8"/>
          <w:sz w:val="18"/>
          <w:szCs w:val="18"/>
          <w:lang w:val="es-ES_tradnl"/>
        </w:rPr>
        <w:t xml:space="preserve">n, desnaturalizando el </w:t>
      </w:r>
      <w:r>
        <w:rPr>
          <w:spacing w:val="-6"/>
          <w:sz w:val="18"/>
          <w:szCs w:val="18"/>
          <w:lang w:val="es-ES_tradnl"/>
        </w:rPr>
        <w:t>objeto de la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n.</w:t>
      </w:r>
    </w:p>
    <w:p w14:paraId="4F67B18D" w14:textId="77777777" w:rsidR="00591D54" w:rsidRDefault="00591D54">
      <w:pPr>
        <w:shd w:val="clear" w:color="auto" w:fill="FFFFFF"/>
        <w:spacing w:before="216"/>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B18E" w14:textId="77777777" w:rsidR="00591D54" w:rsidRDefault="00591D54">
      <w:pPr>
        <w:shd w:val="clear" w:color="auto" w:fill="FFFFFF"/>
        <w:spacing w:before="216" w:line="230" w:lineRule="exact"/>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5"/>
          <w:sz w:val="18"/>
          <w:szCs w:val="18"/>
          <w:lang w:val="es-ES_tradnl"/>
        </w:rPr>
        <w:t>constitucional y por mandato de la Constituci</w:t>
      </w:r>
      <w:r>
        <w:rPr>
          <w:rFonts w:cs="Times New Roman"/>
          <w:spacing w:val="-5"/>
          <w:sz w:val="18"/>
          <w:szCs w:val="18"/>
          <w:lang w:val="es-ES_tradnl"/>
        </w:rPr>
        <w:t>ó</w:t>
      </w:r>
      <w:r>
        <w:rPr>
          <w:spacing w:val="-5"/>
          <w:sz w:val="18"/>
          <w:szCs w:val="18"/>
          <w:lang w:val="es-ES_tradnl"/>
        </w:rPr>
        <w:t xml:space="preserve">n de la </w:t>
      </w:r>
      <w:r>
        <w:rPr>
          <w:spacing w:val="-8"/>
          <w:sz w:val="18"/>
          <w:szCs w:val="18"/>
          <w:lang w:val="es-ES_tradnl"/>
        </w:rPr>
        <w:t>Rep</w:t>
      </w:r>
      <w:r>
        <w:rPr>
          <w:rFonts w:cs="Times New Roman"/>
          <w:spacing w:val="-8"/>
          <w:sz w:val="18"/>
          <w:szCs w:val="18"/>
          <w:lang w:val="es-ES_tradnl"/>
        </w:rPr>
        <w:t>ú</w:t>
      </w:r>
      <w:r>
        <w:rPr>
          <w:spacing w:val="-8"/>
          <w:sz w:val="18"/>
          <w:szCs w:val="18"/>
          <w:lang w:val="es-ES_tradnl"/>
        </w:rPr>
        <w:t xml:space="preserve">blica del Ecuador, el Pleno de la Corte Constitucional, </w:t>
      </w:r>
      <w:r>
        <w:rPr>
          <w:sz w:val="18"/>
          <w:szCs w:val="18"/>
          <w:lang w:val="es-ES_tradnl"/>
        </w:rPr>
        <w:t>expide la siguiente:</w:t>
      </w:r>
    </w:p>
    <w:p w14:paraId="4F67B18F" w14:textId="77777777" w:rsidR="00591D54" w:rsidRDefault="00591D54">
      <w:pPr>
        <w:shd w:val="clear" w:color="auto" w:fill="FFFFFF"/>
        <w:spacing w:before="221"/>
        <w:ind w:left="10"/>
        <w:jc w:val="center"/>
      </w:pPr>
      <w:r>
        <w:rPr>
          <w:b/>
          <w:bCs/>
          <w:sz w:val="18"/>
          <w:szCs w:val="18"/>
          <w:lang w:val="es-ES_tradnl"/>
        </w:rPr>
        <w:t>SENTENCIA</w:t>
      </w:r>
    </w:p>
    <w:p w14:paraId="4F67B190" w14:textId="77777777" w:rsidR="00591D54" w:rsidRDefault="00591D54" w:rsidP="00251195">
      <w:pPr>
        <w:numPr>
          <w:ilvl w:val="0"/>
          <w:numId w:val="85"/>
        </w:numPr>
        <w:shd w:val="clear" w:color="auto" w:fill="FFFFFF"/>
        <w:tabs>
          <w:tab w:val="left" w:pos="566"/>
        </w:tabs>
        <w:spacing w:before="216" w:line="230" w:lineRule="exact"/>
        <w:ind w:left="566" w:hanging="283"/>
        <w:rPr>
          <w:spacing w:val="-9"/>
          <w:sz w:val="18"/>
          <w:szCs w:val="18"/>
          <w:lang w:val="es-ES_tradnl"/>
        </w:rPr>
      </w:pPr>
      <w:r>
        <w:rPr>
          <w:spacing w:val="-8"/>
          <w:sz w:val="18"/>
          <w:szCs w:val="18"/>
          <w:lang w:val="es-ES_tradnl"/>
        </w:rPr>
        <w:t>Declarar que no existe vulneraci</w:t>
      </w:r>
      <w:r>
        <w:rPr>
          <w:rFonts w:cs="Times New Roman"/>
          <w:spacing w:val="-8"/>
          <w:sz w:val="18"/>
          <w:szCs w:val="18"/>
          <w:lang w:val="es-ES_tradnl"/>
        </w:rPr>
        <w:t>ó</w:t>
      </w:r>
      <w:r>
        <w:rPr>
          <w:spacing w:val="-8"/>
          <w:sz w:val="18"/>
          <w:szCs w:val="18"/>
          <w:lang w:val="es-ES_tradnl"/>
        </w:rPr>
        <w:t xml:space="preserve">n de los derechos </w:t>
      </w:r>
      <w:r>
        <w:rPr>
          <w:sz w:val="18"/>
          <w:szCs w:val="18"/>
          <w:lang w:val="es-ES_tradnl"/>
        </w:rPr>
        <w:t>constitucionales.</w:t>
      </w:r>
    </w:p>
    <w:p w14:paraId="4F67B191" w14:textId="77777777" w:rsidR="00591D54" w:rsidRDefault="00591D54" w:rsidP="00251195">
      <w:pPr>
        <w:numPr>
          <w:ilvl w:val="0"/>
          <w:numId w:val="85"/>
        </w:numPr>
        <w:shd w:val="clear" w:color="auto" w:fill="FFFFFF"/>
        <w:tabs>
          <w:tab w:val="left" w:pos="566"/>
        </w:tabs>
        <w:spacing w:before="221" w:line="230" w:lineRule="exact"/>
        <w:ind w:left="566" w:hanging="283"/>
        <w:rPr>
          <w:spacing w:val="-9"/>
          <w:sz w:val="18"/>
          <w:szCs w:val="18"/>
          <w:lang w:val="es-ES_tradnl"/>
        </w:rPr>
      </w:pPr>
      <w:r>
        <w:rPr>
          <w:spacing w:val="-6"/>
          <w:sz w:val="18"/>
          <w:szCs w:val="18"/>
          <w:lang w:val="es-ES_tradnl"/>
        </w:rPr>
        <w:t>Negar   la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w:t>
      </w:r>
      <w:r>
        <w:rPr>
          <w:sz w:val="18"/>
          <w:szCs w:val="18"/>
          <w:lang w:val="es-ES_tradnl"/>
        </w:rPr>
        <w:t>presentada.</w:t>
      </w:r>
    </w:p>
    <w:p w14:paraId="4F67B192" w14:textId="77777777" w:rsidR="00591D54" w:rsidRDefault="00591D54">
      <w:pPr>
        <w:shd w:val="clear" w:color="auto" w:fill="FFFFFF"/>
        <w:tabs>
          <w:tab w:val="left" w:pos="566"/>
        </w:tabs>
        <w:spacing w:before="34" w:line="461" w:lineRule="exact"/>
        <w:ind w:firstLine="283"/>
      </w:pPr>
      <w:r>
        <w:rPr>
          <w:spacing w:val="-9"/>
          <w:sz w:val="18"/>
          <w:szCs w:val="18"/>
          <w:lang w:val="es-ES_tradnl"/>
        </w:rPr>
        <w:t>3.</w:t>
      </w:r>
      <w:r>
        <w:rPr>
          <w:sz w:val="18"/>
          <w:szCs w:val="18"/>
          <w:lang w:val="es-ES_tradnl"/>
        </w:rPr>
        <w:tab/>
      </w:r>
      <w:r>
        <w:rPr>
          <w:spacing w:val="-9"/>
          <w:sz w:val="18"/>
          <w:szCs w:val="18"/>
          <w:lang w:val="es-ES_tradnl"/>
        </w:rPr>
        <w:t>Notif</w:t>
      </w:r>
      <w:r>
        <w:rPr>
          <w:rFonts w:cs="Times New Roman"/>
          <w:spacing w:val="-9"/>
          <w:sz w:val="18"/>
          <w:szCs w:val="18"/>
          <w:lang w:val="es-ES_tradnl"/>
        </w:rPr>
        <w:t>í</w:t>
      </w:r>
      <w:r>
        <w:rPr>
          <w:spacing w:val="-9"/>
          <w:sz w:val="18"/>
          <w:szCs w:val="18"/>
          <w:lang w:val="es-ES_tradnl"/>
        </w:rPr>
        <w:t>quese, publ</w:t>
      </w:r>
      <w:r>
        <w:rPr>
          <w:rFonts w:cs="Times New Roman"/>
          <w:spacing w:val="-9"/>
          <w:sz w:val="18"/>
          <w:szCs w:val="18"/>
          <w:lang w:val="es-ES_tradnl"/>
        </w:rPr>
        <w:t>í</w:t>
      </w:r>
      <w:r>
        <w:rPr>
          <w:spacing w:val="-9"/>
          <w:sz w:val="18"/>
          <w:szCs w:val="18"/>
          <w:lang w:val="es-ES_tradnl"/>
        </w:rPr>
        <w:t>quese, devu</w:t>
      </w:r>
      <w:r>
        <w:rPr>
          <w:rFonts w:cs="Times New Roman"/>
          <w:spacing w:val="-9"/>
          <w:sz w:val="18"/>
          <w:szCs w:val="18"/>
          <w:lang w:val="es-ES_tradnl"/>
        </w:rPr>
        <w:t>é</w:t>
      </w:r>
      <w:r>
        <w:rPr>
          <w:spacing w:val="-9"/>
          <w:sz w:val="18"/>
          <w:szCs w:val="18"/>
          <w:lang w:val="es-ES_tradnl"/>
        </w:rPr>
        <w:t>lvase y arch</w:t>
      </w:r>
      <w:r>
        <w:rPr>
          <w:rFonts w:cs="Times New Roman"/>
          <w:spacing w:val="-9"/>
          <w:sz w:val="18"/>
          <w:szCs w:val="18"/>
          <w:lang w:val="es-ES_tradnl"/>
        </w:rPr>
        <w:t>í</w:t>
      </w:r>
      <w:r>
        <w:rPr>
          <w:spacing w:val="-9"/>
          <w:sz w:val="18"/>
          <w:szCs w:val="18"/>
          <w:lang w:val="es-ES_tradnl"/>
        </w:rPr>
        <w:t>vese. </w:t>
      </w:r>
      <w:r>
        <w:rPr>
          <w:spacing w:val="-5"/>
          <w:sz w:val="18"/>
          <w:szCs w:val="18"/>
          <w:lang w:val="es-ES_tradnl"/>
        </w:rPr>
        <w:t xml:space="preserve">f.) Wendy Molina Andrade, </w:t>
      </w:r>
      <w:r>
        <w:rPr>
          <w:b/>
          <w:bCs/>
          <w:spacing w:val="-5"/>
          <w:sz w:val="18"/>
          <w:szCs w:val="18"/>
          <w:lang w:val="es-ES_tradnl"/>
        </w:rPr>
        <w:t>PRESIDENTA (E).</w:t>
      </w:r>
    </w:p>
    <w:p w14:paraId="4F67B193" w14:textId="77777777" w:rsidR="00591D54" w:rsidRDefault="00591D54">
      <w:pPr>
        <w:shd w:val="clear" w:color="auto" w:fill="FFFFFF"/>
        <w:spacing w:line="461" w:lineRule="exact"/>
      </w:pPr>
      <w:r>
        <w:rPr>
          <w:spacing w:val="-4"/>
          <w:sz w:val="18"/>
          <w:szCs w:val="18"/>
          <w:lang w:val="es-ES_tradnl"/>
        </w:rPr>
        <w:t xml:space="preserve">f.) Jaime Pozo Chamorro, </w:t>
      </w:r>
      <w:r>
        <w:rPr>
          <w:b/>
          <w:bCs/>
          <w:spacing w:val="-4"/>
          <w:sz w:val="18"/>
          <w:szCs w:val="18"/>
          <w:lang w:val="es-ES_tradnl"/>
        </w:rPr>
        <w:t>SECRETARIO GENERAL.</w:t>
      </w:r>
    </w:p>
    <w:p w14:paraId="4F67B194" w14:textId="77777777" w:rsidR="00591D54" w:rsidRDefault="00591D54">
      <w:pPr>
        <w:shd w:val="clear" w:color="auto" w:fill="FFFFFF"/>
        <w:spacing w:before="173" w:line="230" w:lineRule="exact"/>
        <w:jc w:val="both"/>
      </w:pPr>
      <w:r>
        <w:rPr>
          <w:b/>
          <w:bCs/>
          <w:spacing w:val="-4"/>
          <w:sz w:val="18"/>
          <w:szCs w:val="18"/>
          <w:lang w:val="es-ES_tradnl"/>
        </w:rPr>
        <w:t>RAZ</w:t>
      </w:r>
      <w:r>
        <w:rPr>
          <w:rFonts w:cs="Times New Roman"/>
          <w:b/>
          <w:bCs/>
          <w:spacing w:val="-4"/>
          <w:sz w:val="18"/>
          <w:szCs w:val="18"/>
          <w:lang w:val="es-ES_tradnl"/>
        </w:rPr>
        <w:t>Ó</w:t>
      </w:r>
      <w:r>
        <w:rPr>
          <w:b/>
          <w:bCs/>
          <w:spacing w:val="-4"/>
          <w:sz w:val="18"/>
          <w:szCs w:val="18"/>
          <w:lang w:val="es-ES_tradnl"/>
        </w:rPr>
        <w:t xml:space="preserve">N.- </w:t>
      </w:r>
      <w:r>
        <w:rPr>
          <w:spacing w:val="-4"/>
          <w:sz w:val="18"/>
          <w:szCs w:val="18"/>
          <w:lang w:val="es-ES_tradnl"/>
        </w:rPr>
        <w:t xml:space="preserve">Siento por tal, que la sentencia que antecede </w:t>
      </w:r>
      <w:r>
        <w:rPr>
          <w:spacing w:val="-7"/>
          <w:sz w:val="18"/>
          <w:szCs w:val="18"/>
          <w:lang w:val="es-ES_tradnl"/>
        </w:rPr>
        <w:t xml:space="preserve">fue aprobada por el Pleno de la Corte Constitucional, con </w:t>
      </w:r>
      <w:r>
        <w:rPr>
          <w:spacing w:val="-10"/>
          <w:sz w:val="18"/>
          <w:szCs w:val="18"/>
          <w:lang w:val="es-ES_tradnl"/>
        </w:rPr>
        <w:t>cinco votos de las se</w:t>
      </w:r>
      <w:r>
        <w:rPr>
          <w:rFonts w:cs="Times New Roman"/>
          <w:spacing w:val="-10"/>
          <w:sz w:val="18"/>
          <w:szCs w:val="18"/>
          <w:lang w:val="es-ES_tradnl"/>
        </w:rPr>
        <w:t>ñ</w:t>
      </w:r>
      <w:r>
        <w:rPr>
          <w:spacing w:val="-10"/>
          <w:sz w:val="18"/>
          <w:szCs w:val="18"/>
          <w:lang w:val="es-ES_tradnl"/>
        </w:rPr>
        <w:t>oras juezas y se</w:t>
      </w:r>
      <w:r>
        <w:rPr>
          <w:rFonts w:cs="Times New Roman"/>
          <w:spacing w:val="-10"/>
          <w:sz w:val="18"/>
          <w:szCs w:val="18"/>
          <w:lang w:val="es-ES_tradnl"/>
        </w:rPr>
        <w:t>ñ</w:t>
      </w:r>
      <w:r>
        <w:rPr>
          <w:spacing w:val="-10"/>
          <w:sz w:val="18"/>
          <w:szCs w:val="18"/>
          <w:lang w:val="es-ES_tradnl"/>
        </w:rPr>
        <w:t xml:space="preserve">ores jueces: Antonio </w:t>
      </w:r>
      <w:r>
        <w:rPr>
          <w:spacing w:val="-2"/>
          <w:sz w:val="18"/>
          <w:szCs w:val="18"/>
          <w:lang w:val="es-ES_tradnl"/>
        </w:rPr>
        <w:t xml:space="preserve">Gagliardo Loor, Marcelo Jaramillo Villa, Alfredo Ruiz </w:t>
      </w:r>
      <w:r>
        <w:rPr>
          <w:spacing w:val="-7"/>
          <w:sz w:val="18"/>
          <w:szCs w:val="18"/>
          <w:lang w:val="es-ES_tradnl"/>
        </w:rPr>
        <w:t>Guzm</w:t>
      </w:r>
      <w:r>
        <w:rPr>
          <w:rFonts w:cs="Times New Roman"/>
          <w:spacing w:val="-7"/>
          <w:sz w:val="18"/>
          <w:szCs w:val="18"/>
          <w:lang w:val="es-ES_tradnl"/>
        </w:rPr>
        <w:t>á</w:t>
      </w:r>
      <w:r>
        <w:rPr>
          <w:spacing w:val="-7"/>
          <w:sz w:val="18"/>
          <w:szCs w:val="18"/>
          <w:lang w:val="es-ES_tradnl"/>
        </w:rPr>
        <w:t xml:space="preserve">n, Ruth Seni Pinoargote y Wendy Molina Andrade; </w:t>
      </w:r>
      <w:r>
        <w:rPr>
          <w:spacing w:val="-8"/>
          <w:sz w:val="18"/>
          <w:szCs w:val="18"/>
          <w:lang w:val="es-ES_tradnl"/>
        </w:rPr>
        <w:t>sin contar con la presencia de los jueces Mar</w:t>
      </w:r>
      <w:r>
        <w:rPr>
          <w:rFonts w:cs="Times New Roman"/>
          <w:spacing w:val="-8"/>
          <w:sz w:val="18"/>
          <w:szCs w:val="18"/>
          <w:lang w:val="es-ES_tradnl"/>
        </w:rPr>
        <w:t>í</w:t>
      </w:r>
      <w:r>
        <w:rPr>
          <w:spacing w:val="-8"/>
          <w:sz w:val="18"/>
          <w:szCs w:val="18"/>
          <w:lang w:val="es-ES_tradnl"/>
        </w:rPr>
        <w:t xml:space="preserve">a del Carmen </w:t>
      </w:r>
      <w:r>
        <w:rPr>
          <w:spacing w:val="-6"/>
          <w:sz w:val="18"/>
          <w:szCs w:val="18"/>
          <w:lang w:val="es-ES_tradnl"/>
        </w:rPr>
        <w:t>Maldonado S</w:t>
      </w:r>
      <w:r>
        <w:rPr>
          <w:rFonts w:cs="Times New Roman"/>
          <w:spacing w:val="-6"/>
          <w:sz w:val="18"/>
          <w:szCs w:val="18"/>
          <w:lang w:val="es-ES_tradnl"/>
        </w:rPr>
        <w:t>á</w:t>
      </w:r>
      <w:r>
        <w:rPr>
          <w:spacing w:val="-6"/>
          <w:sz w:val="18"/>
          <w:szCs w:val="18"/>
          <w:lang w:val="es-ES_tradnl"/>
        </w:rPr>
        <w:t>nchez, Tatiana Orde</w:t>
      </w:r>
      <w:r>
        <w:rPr>
          <w:rFonts w:cs="Times New Roman"/>
          <w:spacing w:val="-6"/>
          <w:sz w:val="18"/>
          <w:szCs w:val="18"/>
          <w:lang w:val="es-ES_tradnl"/>
        </w:rPr>
        <w:t>ñ</w:t>
      </w:r>
      <w:r>
        <w:rPr>
          <w:spacing w:val="-6"/>
          <w:sz w:val="18"/>
          <w:szCs w:val="18"/>
          <w:lang w:val="es-ES_tradnl"/>
        </w:rPr>
        <w:t xml:space="preserve">ana Sierra, Manuel </w:t>
      </w:r>
      <w:r>
        <w:rPr>
          <w:spacing w:val="-8"/>
          <w:sz w:val="18"/>
          <w:szCs w:val="18"/>
          <w:lang w:val="es-ES_tradnl"/>
        </w:rPr>
        <w:t>Viteri Olvera y Patricio Pazmi</w:t>
      </w:r>
      <w:r>
        <w:rPr>
          <w:rFonts w:cs="Times New Roman"/>
          <w:spacing w:val="-8"/>
          <w:sz w:val="18"/>
          <w:szCs w:val="18"/>
          <w:lang w:val="es-ES_tradnl"/>
        </w:rPr>
        <w:t>ñ</w:t>
      </w:r>
      <w:r>
        <w:rPr>
          <w:spacing w:val="-8"/>
          <w:sz w:val="18"/>
          <w:szCs w:val="18"/>
          <w:lang w:val="es-ES_tradnl"/>
        </w:rPr>
        <w:t>o Freire, en sesi</w:t>
      </w:r>
      <w:r>
        <w:rPr>
          <w:rFonts w:cs="Times New Roman"/>
          <w:spacing w:val="-8"/>
          <w:sz w:val="18"/>
          <w:szCs w:val="18"/>
          <w:lang w:val="es-ES_tradnl"/>
        </w:rPr>
        <w:t>ó</w:t>
      </w:r>
      <w:r>
        <w:rPr>
          <w:spacing w:val="-8"/>
          <w:sz w:val="18"/>
          <w:szCs w:val="18"/>
          <w:lang w:val="es-ES_tradnl"/>
        </w:rPr>
        <w:t xml:space="preserve">n del 05 de </w:t>
      </w:r>
      <w:r>
        <w:rPr>
          <w:sz w:val="18"/>
          <w:szCs w:val="18"/>
          <w:lang w:val="es-ES_tradnl"/>
        </w:rPr>
        <w:t>agosto de 2015. Lo certifico.</w:t>
      </w:r>
    </w:p>
    <w:p w14:paraId="4F67B195" w14:textId="77777777" w:rsidR="00591D54" w:rsidRDefault="00591D54">
      <w:pPr>
        <w:shd w:val="clear" w:color="auto" w:fill="FFFFFF"/>
        <w:spacing w:before="221"/>
      </w:pPr>
      <w:r>
        <w:rPr>
          <w:spacing w:val="-4"/>
          <w:sz w:val="18"/>
          <w:szCs w:val="18"/>
          <w:lang w:val="es-ES_tradnl"/>
        </w:rPr>
        <w:t xml:space="preserve">f.) Jaime Pozo Chamorro, </w:t>
      </w:r>
      <w:r>
        <w:rPr>
          <w:b/>
          <w:bCs/>
          <w:spacing w:val="-4"/>
          <w:sz w:val="18"/>
          <w:szCs w:val="18"/>
          <w:lang w:val="es-ES_tradnl"/>
        </w:rPr>
        <w:t>SECRETARIO GENERAL.</w:t>
      </w:r>
    </w:p>
    <w:p w14:paraId="4F67B196" w14:textId="77777777" w:rsidR="00591D54" w:rsidRDefault="00591D54">
      <w:pPr>
        <w:shd w:val="clear" w:color="auto" w:fill="FFFFFF"/>
        <w:spacing w:before="216" w:line="230"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197" w14:textId="77777777" w:rsidR="00591D54" w:rsidRDefault="00591D54">
      <w:pPr>
        <w:shd w:val="clear" w:color="auto" w:fill="FFFFFF"/>
        <w:spacing w:before="216"/>
      </w:pPr>
      <w:r>
        <w:rPr>
          <w:b/>
          <w:bCs/>
          <w:spacing w:val="-5"/>
          <w:sz w:val="18"/>
          <w:szCs w:val="18"/>
          <w:u w:val="single"/>
          <w:lang w:val="es-ES_tradnl"/>
        </w:rPr>
        <w:t>CASO Nro. 0445-14-EP</w:t>
      </w:r>
    </w:p>
    <w:p w14:paraId="4F67B198" w14:textId="77777777" w:rsidR="00591D54" w:rsidRDefault="00591D54">
      <w:pPr>
        <w:shd w:val="clear" w:color="auto" w:fill="FFFFFF"/>
        <w:spacing w:before="216" w:line="230" w:lineRule="exact"/>
        <w:jc w:val="both"/>
      </w:pPr>
      <w:r>
        <w:rPr>
          <w:b/>
          <w:bCs/>
          <w:spacing w:val="-4"/>
          <w:sz w:val="18"/>
          <w:szCs w:val="18"/>
          <w:lang w:val="es-ES_tradnl"/>
        </w:rPr>
        <w:t>RAZ</w:t>
      </w:r>
      <w:r>
        <w:rPr>
          <w:rFonts w:cs="Times New Roman"/>
          <w:b/>
          <w:bCs/>
          <w:spacing w:val="-4"/>
          <w:sz w:val="18"/>
          <w:szCs w:val="18"/>
          <w:lang w:val="es-ES_tradnl"/>
        </w:rPr>
        <w:t>Ó</w:t>
      </w:r>
      <w:r>
        <w:rPr>
          <w:b/>
          <w:bCs/>
          <w:spacing w:val="-4"/>
          <w:sz w:val="18"/>
          <w:szCs w:val="18"/>
          <w:lang w:val="es-ES_tradnl"/>
        </w:rPr>
        <w:t xml:space="preserve">N.- </w:t>
      </w:r>
      <w:r>
        <w:rPr>
          <w:spacing w:val="-4"/>
          <w:sz w:val="18"/>
          <w:szCs w:val="18"/>
          <w:lang w:val="es-ES_tradnl"/>
        </w:rPr>
        <w:t xml:space="preserve">Siento por tal, que la Jueza Wendy Molina </w:t>
      </w:r>
      <w:r>
        <w:rPr>
          <w:spacing w:val="-7"/>
          <w:sz w:val="18"/>
          <w:szCs w:val="18"/>
          <w:lang w:val="es-ES_tradnl"/>
        </w:rPr>
        <w:t>Andrade, suscribi</w:t>
      </w:r>
      <w:r>
        <w:rPr>
          <w:rFonts w:cs="Times New Roman"/>
          <w:spacing w:val="-7"/>
          <w:sz w:val="18"/>
          <w:szCs w:val="18"/>
          <w:lang w:val="es-ES_tradnl"/>
        </w:rPr>
        <w:t>ó</w:t>
      </w:r>
      <w:r>
        <w:rPr>
          <w:spacing w:val="-7"/>
          <w:sz w:val="18"/>
          <w:szCs w:val="18"/>
          <w:lang w:val="es-ES_tradnl"/>
        </w:rPr>
        <w:t xml:space="preserve"> la presente sentencia el d</w:t>
      </w:r>
      <w:r>
        <w:rPr>
          <w:rFonts w:cs="Times New Roman"/>
          <w:spacing w:val="-7"/>
          <w:sz w:val="18"/>
          <w:szCs w:val="18"/>
          <w:lang w:val="es-ES_tradnl"/>
        </w:rPr>
        <w:t>í</w:t>
      </w:r>
      <w:r>
        <w:rPr>
          <w:spacing w:val="-7"/>
          <w:sz w:val="18"/>
          <w:szCs w:val="18"/>
          <w:lang w:val="es-ES_tradnl"/>
        </w:rPr>
        <w:t xml:space="preserve">a martes 01 </w:t>
      </w:r>
      <w:r>
        <w:rPr>
          <w:spacing w:val="-8"/>
          <w:sz w:val="18"/>
          <w:szCs w:val="18"/>
          <w:lang w:val="es-ES_tradnl"/>
        </w:rPr>
        <w:t xml:space="preserve">de septiembre del 2015, en calidad de presidenta (e) de la </w:t>
      </w:r>
      <w:r>
        <w:rPr>
          <w:spacing w:val="-7"/>
          <w:sz w:val="18"/>
          <w:szCs w:val="18"/>
          <w:lang w:val="es-ES_tradnl"/>
        </w:rPr>
        <w:t>Corte Constitucional, al momento de expedirse la misma.-</w:t>
      </w:r>
      <w:r>
        <w:rPr>
          <w:sz w:val="18"/>
          <w:szCs w:val="18"/>
          <w:lang w:val="es-ES_tradnl"/>
        </w:rPr>
        <w:t>Lo certifico.</w:t>
      </w:r>
    </w:p>
    <w:p w14:paraId="4F67B199" w14:textId="77777777" w:rsidR="00591D54" w:rsidRDefault="00591D54">
      <w:pPr>
        <w:shd w:val="clear" w:color="auto" w:fill="FFFFFF"/>
        <w:spacing w:before="221"/>
      </w:pPr>
      <w:r>
        <w:rPr>
          <w:spacing w:val="-7"/>
          <w:sz w:val="18"/>
          <w:szCs w:val="18"/>
          <w:lang w:val="es-ES_tradnl"/>
        </w:rPr>
        <w:t xml:space="preserve">f.) Jaime Pozo Chamorro, </w:t>
      </w:r>
      <w:r>
        <w:rPr>
          <w:b/>
          <w:bCs/>
          <w:spacing w:val="-7"/>
          <w:sz w:val="18"/>
          <w:szCs w:val="18"/>
          <w:lang w:val="es-ES_tradnl"/>
        </w:rPr>
        <w:t>Secretario General.</w:t>
      </w:r>
    </w:p>
    <w:p w14:paraId="4F67B19A" w14:textId="77777777" w:rsidR="00591D54" w:rsidRDefault="00591D54">
      <w:pPr>
        <w:shd w:val="clear" w:color="auto" w:fill="FFFFFF"/>
        <w:spacing w:before="216" w:line="230"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19B" w14:textId="77777777" w:rsidR="00591D54" w:rsidRDefault="00591D54">
      <w:pPr>
        <w:shd w:val="clear" w:color="auto" w:fill="FFFFFF"/>
        <w:spacing w:before="216" w:line="230" w:lineRule="exact"/>
        <w:jc w:val="both"/>
        <w:sectPr w:rsidR="00591D54">
          <w:type w:val="continuous"/>
          <w:pgSz w:w="11909" w:h="16834"/>
          <w:pgMar w:top="1359" w:right="1309" w:bottom="360" w:left="1308" w:header="720" w:footer="720" w:gutter="0"/>
          <w:cols w:num="2" w:space="720" w:equalWidth="0">
            <w:col w:w="4305" w:space="682"/>
            <w:col w:w="4305"/>
          </w:cols>
          <w:noEndnote/>
        </w:sectPr>
      </w:pPr>
    </w:p>
    <w:p w14:paraId="4F67B19C" w14:textId="77777777" w:rsidR="00591D54" w:rsidRDefault="00591D54">
      <w:pPr>
        <w:shd w:val="clear" w:color="auto" w:fill="FFFFFF"/>
        <w:tabs>
          <w:tab w:val="left" w:pos="5842"/>
        </w:tabs>
        <w:spacing w:after="72"/>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- 173</w:t>
      </w:r>
    </w:p>
    <w:p w14:paraId="4F67B19D" w14:textId="77777777" w:rsidR="00591D54" w:rsidRDefault="00591D54">
      <w:pPr>
        <w:shd w:val="clear" w:color="auto" w:fill="FFFFFF"/>
        <w:tabs>
          <w:tab w:val="left" w:pos="5842"/>
        </w:tabs>
        <w:spacing w:after="72"/>
        <w:ind w:left="5"/>
        <w:sectPr w:rsidR="00591D54">
          <w:pgSz w:w="11909" w:h="16834"/>
          <w:pgMar w:top="1368" w:right="1309" w:bottom="360" w:left="1308" w:header="720" w:footer="720" w:gutter="0"/>
          <w:cols w:space="60"/>
          <w:noEndnote/>
        </w:sectPr>
      </w:pPr>
    </w:p>
    <w:p w14:paraId="4F67B19E" w14:textId="77777777" w:rsidR="00591D54" w:rsidRDefault="00591D54">
      <w:pPr>
        <w:shd w:val="clear" w:color="auto" w:fill="FFFFFF"/>
        <w:spacing w:line="427" w:lineRule="exact"/>
      </w:pPr>
      <w:r>
        <w:rPr>
          <w:spacing w:val="-6"/>
          <w:sz w:val="18"/>
          <w:szCs w:val="18"/>
          <w:lang w:val="es-ES_tradnl"/>
        </w:rPr>
        <w:t>Quito, D. M., 12 de agosto del 2015</w:t>
      </w:r>
    </w:p>
    <w:p w14:paraId="4F67B19F" w14:textId="77777777" w:rsidR="00591D54" w:rsidRDefault="00591D54">
      <w:pPr>
        <w:shd w:val="clear" w:color="auto" w:fill="FFFFFF"/>
        <w:spacing w:line="427" w:lineRule="exact"/>
        <w:ind w:left="850"/>
      </w:pPr>
      <w:r>
        <w:rPr>
          <w:b/>
          <w:bCs/>
          <w:spacing w:val="-3"/>
          <w:sz w:val="18"/>
          <w:szCs w:val="18"/>
          <w:u w:val="single"/>
          <w:lang w:val="es-ES_tradnl"/>
        </w:rPr>
        <w:t>SENTENCIA N.</w:t>
      </w:r>
      <w:r>
        <w:rPr>
          <w:rFonts w:cs="Times New Roman"/>
          <w:b/>
          <w:bCs/>
          <w:spacing w:val="-3"/>
          <w:sz w:val="18"/>
          <w:szCs w:val="18"/>
          <w:u w:val="single"/>
          <w:lang w:val="es-ES_tradnl"/>
        </w:rPr>
        <w:t>º</w:t>
      </w:r>
      <w:r>
        <w:rPr>
          <w:b/>
          <w:bCs/>
          <w:spacing w:val="-3"/>
          <w:sz w:val="18"/>
          <w:szCs w:val="18"/>
          <w:u w:val="single"/>
          <w:lang w:val="es-ES_tradnl"/>
        </w:rPr>
        <w:t xml:space="preserve"> 257-15-SEP-CC</w:t>
      </w:r>
    </w:p>
    <w:p w14:paraId="4F67B1A0" w14:textId="77777777" w:rsidR="00591D54" w:rsidRDefault="00591D54">
      <w:pPr>
        <w:shd w:val="clear" w:color="auto" w:fill="FFFFFF"/>
        <w:spacing w:line="427" w:lineRule="exact"/>
        <w:ind w:left="1296"/>
      </w:pPr>
      <w:r>
        <w:rPr>
          <w:b/>
          <w:bCs/>
          <w:spacing w:val="-6"/>
          <w:sz w:val="18"/>
          <w:szCs w:val="18"/>
          <w:u w:val="single"/>
          <w:lang w:val="es-ES_tradnl"/>
        </w:rPr>
        <w:t>CASO N.</w:t>
      </w:r>
      <w:r>
        <w:rPr>
          <w:rFonts w:cs="Times New Roman"/>
          <w:b/>
          <w:bCs/>
          <w:spacing w:val="-6"/>
          <w:sz w:val="18"/>
          <w:szCs w:val="18"/>
          <w:u w:val="single"/>
          <w:lang w:val="es-ES_tradnl"/>
        </w:rPr>
        <w:t>º</w:t>
      </w:r>
      <w:r>
        <w:rPr>
          <w:b/>
          <w:bCs/>
          <w:spacing w:val="-6"/>
          <w:sz w:val="18"/>
          <w:szCs w:val="18"/>
          <w:u w:val="single"/>
          <w:lang w:val="es-ES_tradnl"/>
        </w:rPr>
        <w:t xml:space="preserve"> 1589-11-EP</w:t>
      </w:r>
    </w:p>
    <w:p w14:paraId="4F67B1A1" w14:textId="77777777" w:rsidR="00591D54" w:rsidRDefault="00591D54">
      <w:pPr>
        <w:shd w:val="clear" w:color="auto" w:fill="FFFFFF"/>
        <w:spacing w:line="427" w:lineRule="exact"/>
        <w:ind w:left="293"/>
      </w:pPr>
      <w:r>
        <w:rPr>
          <w:b/>
          <w:bCs/>
          <w:sz w:val="18"/>
          <w:szCs w:val="18"/>
          <w:lang w:val="es-ES_tradnl"/>
        </w:rPr>
        <w:t>CORTE CONSTITUCIONAL DEL ECUADOR</w:t>
      </w:r>
    </w:p>
    <w:p w14:paraId="4F67B1A2" w14:textId="77777777" w:rsidR="00591D54" w:rsidRDefault="00591D54">
      <w:pPr>
        <w:shd w:val="clear" w:color="auto" w:fill="FFFFFF"/>
        <w:spacing w:line="427" w:lineRule="exact"/>
        <w:ind w:left="1334"/>
      </w:pPr>
      <w:r>
        <w:rPr>
          <w:b/>
          <w:bCs/>
          <w:sz w:val="18"/>
          <w:szCs w:val="18"/>
          <w:lang w:val="es-ES_tradnl"/>
        </w:rPr>
        <w:t>I. ANTECEDENTES</w:t>
      </w:r>
    </w:p>
    <w:p w14:paraId="4F67B1A3" w14:textId="77777777" w:rsidR="00591D54" w:rsidRDefault="00591D54">
      <w:pPr>
        <w:shd w:val="clear" w:color="auto" w:fill="FFFFFF"/>
        <w:spacing w:line="427" w:lineRule="exact"/>
      </w:pPr>
      <w:r>
        <w:rPr>
          <w:b/>
          <w:bCs/>
          <w:spacing w:val="-9"/>
          <w:sz w:val="18"/>
          <w:szCs w:val="18"/>
          <w:lang w:val="es-ES_tradnl"/>
        </w:rPr>
        <w:t>Resumen de admisibilidad</w:t>
      </w:r>
    </w:p>
    <w:p w14:paraId="4F67B1A4" w14:textId="77777777" w:rsidR="00591D54" w:rsidRDefault="00591D54">
      <w:pPr>
        <w:shd w:val="clear" w:color="auto" w:fill="FFFFFF"/>
        <w:spacing w:before="163" w:line="216" w:lineRule="exact"/>
        <w:jc w:val="both"/>
      </w:pPr>
      <w:r>
        <w:rPr>
          <w:spacing w:val="-10"/>
          <w:sz w:val="18"/>
          <w:szCs w:val="18"/>
          <w:lang w:val="es-ES_tradnl"/>
        </w:rPr>
        <w:t>El 09 de mayo de 2011, la se</w:t>
      </w:r>
      <w:r>
        <w:rPr>
          <w:rFonts w:cs="Times New Roman"/>
          <w:spacing w:val="-10"/>
          <w:sz w:val="18"/>
          <w:szCs w:val="18"/>
          <w:lang w:val="es-ES_tradnl"/>
        </w:rPr>
        <w:t>ñ</w:t>
      </w:r>
      <w:r>
        <w:rPr>
          <w:spacing w:val="-10"/>
          <w:sz w:val="18"/>
          <w:szCs w:val="18"/>
          <w:lang w:val="es-ES_tradnl"/>
        </w:rPr>
        <w:t>ora Rosa Mar</w:t>
      </w:r>
      <w:r>
        <w:rPr>
          <w:rFonts w:cs="Times New Roman"/>
          <w:spacing w:val="-10"/>
          <w:sz w:val="18"/>
          <w:szCs w:val="18"/>
          <w:lang w:val="es-ES_tradnl"/>
        </w:rPr>
        <w:t>í</w:t>
      </w:r>
      <w:r>
        <w:rPr>
          <w:spacing w:val="-10"/>
          <w:sz w:val="18"/>
          <w:szCs w:val="18"/>
          <w:lang w:val="es-ES_tradnl"/>
        </w:rPr>
        <w:t xml:space="preserve">a Toledo Tapia, </w:t>
      </w:r>
      <w:r>
        <w:rPr>
          <w:spacing w:val="-11"/>
          <w:sz w:val="18"/>
          <w:szCs w:val="18"/>
          <w:lang w:val="es-ES_tradnl"/>
        </w:rPr>
        <w:t>por sus propios derechos, present</w:t>
      </w:r>
      <w:r>
        <w:rPr>
          <w:rFonts w:cs="Times New Roman"/>
          <w:spacing w:val="-11"/>
          <w:sz w:val="18"/>
          <w:szCs w:val="18"/>
          <w:lang w:val="es-ES_tradnl"/>
        </w:rPr>
        <w:t>ó</w:t>
      </w:r>
      <w:r>
        <w:rPr>
          <w:spacing w:val="-11"/>
          <w:sz w:val="18"/>
          <w:szCs w:val="18"/>
          <w:lang w:val="es-ES_tradnl"/>
        </w:rPr>
        <w:t xml:space="preserve"> una acci</w:t>
      </w:r>
      <w:r>
        <w:rPr>
          <w:rFonts w:cs="Times New Roman"/>
          <w:spacing w:val="-11"/>
          <w:sz w:val="18"/>
          <w:szCs w:val="18"/>
          <w:lang w:val="es-ES_tradnl"/>
        </w:rPr>
        <w:t>ó</w:t>
      </w:r>
      <w:r>
        <w:rPr>
          <w:spacing w:val="-11"/>
          <w:sz w:val="18"/>
          <w:szCs w:val="18"/>
          <w:lang w:val="es-ES_tradnl"/>
        </w:rPr>
        <w:t xml:space="preserve">n extraordinaria </w:t>
      </w:r>
      <w:r>
        <w:rPr>
          <w:spacing w:val="-8"/>
          <w:sz w:val="18"/>
          <w:szCs w:val="18"/>
          <w:lang w:val="es-ES_tradnl"/>
        </w:rPr>
        <w:t>de protecci</w:t>
      </w:r>
      <w:r>
        <w:rPr>
          <w:rFonts w:cs="Times New Roman"/>
          <w:spacing w:val="-8"/>
          <w:sz w:val="18"/>
          <w:szCs w:val="18"/>
          <w:lang w:val="es-ES_tradnl"/>
        </w:rPr>
        <w:t>ó</w:t>
      </w:r>
      <w:r>
        <w:rPr>
          <w:spacing w:val="-8"/>
          <w:sz w:val="18"/>
          <w:szCs w:val="18"/>
          <w:lang w:val="es-ES_tradnl"/>
        </w:rPr>
        <w:t>n fundamentada en los art</w:t>
      </w:r>
      <w:r>
        <w:rPr>
          <w:rFonts w:cs="Times New Roman"/>
          <w:spacing w:val="-8"/>
          <w:sz w:val="18"/>
          <w:szCs w:val="18"/>
          <w:lang w:val="es-ES_tradnl"/>
        </w:rPr>
        <w:t>í</w:t>
      </w:r>
      <w:r>
        <w:rPr>
          <w:spacing w:val="-8"/>
          <w:sz w:val="18"/>
          <w:szCs w:val="18"/>
          <w:lang w:val="es-ES_tradnl"/>
        </w:rPr>
        <w:t xml:space="preserve">culos 94 y 437 de la </w:t>
      </w:r>
      <w:r>
        <w:rPr>
          <w:spacing w:val="-7"/>
          <w:sz w:val="18"/>
          <w:szCs w:val="18"/>
          <w:lang w:val="es-ES_tradnl"/>
        </w:rPr>
        <w:t>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 xml:space="preserve">blica del Ecuador, en contra de la </w:t>
      </w:r>
      <w:r>
        <w:rPr>
          <w:spacing w:val="-10"/>
          <w:sz w:val="18"/>
          <w:szCs w:val="18"/>
          <w:lang w:val="es-ES_tradnl"/>
        </w:rPr>
        <w:t xml:space="preserve">sentencia emitida el 08 de noviembre de 2010 por la Tercera </w:t>
      </w:r>
      <w:r>
        <w:rPr>
          <w:spacing w:val="-9"/>
          <w:sz w:val="18"/>
          <w:szCs w:val="18"/>
          <w:lang w:val="es-ES_tradnl"/>
        </w:rPr>
        <w:t>Sala de lo Penal y Tr</w:t>
      </w:r>
      <w:r>
        <w:rPr>
          <w:rFonts w:cs="Times New Roman"/>
          <w:spacing w:val="-9"/>
          <w:sz w:val="18"/>
          <w:szCs w:val="18"/>
          <w:lang w:val="es-ES_tradnl"/>
        </w:rPr>
        <w:t>á</w:t>
      </w:r>
      <w:r>
        <w:rPr>
          <w:spacing w:val="-9"/>
          <w:sz w:val="18"/>
          <w:szCs w:val="18"/>
          <w:lang w:val="es-ES_tradnl"/>
        </w:rPr>
        <w:t>nsito de la Corte Provincial de Justicia del Guayas, dentro del proceso de medidas cautelares N.</w:t>
      </w:r>
      <w:r>
        <w:rPr>
          <w:rFonts w:cs="Times New Roman"/>
          <w:spacing w:val="-9"/>
          <w:sz w:val="18"/>
          <w:szCs w:val="18"/>
          <w:lang w:val="es-ES_tradnl"/>
        </w:rPr>
        <w:t xml:space="preserve">° </w:t>
      </w:r>
      <w:r>
        <w:rPr>
          <w:sz w:val="18"/>
          <w:szCs w:val="18"/>
          <w:lang w:val="es-ES_tradnl"/>
        </w:rPr>
        <w:t>0801-2010/A.</w:t>
      </w:r>
    </w:p>
    <w:p w14:paraId="4F67B1A5" w14:textId="77777777" w:rsidR="00591D54" w:rsidRDefault="00591D54">
      <w:pPr>
        <w:shd w:val="clear" w:color="auto" w:fill="FFFFFF"/>
        <w:spacing w:before="197" w:line="216" w:lineRule="exact"/>
        <w:ind w:right="5"/>
        <w:jc w:val="both"/>
      </w:pPr>
      <w:r>
        <w:rPr>
          <w:spacing w:val="-1"/>
          <w:sz w:val="18"/>
          <w:szCs w:val="18"/>
          <w:lang w:val="es-ES_tradnl"/>
        </w:rPr>
        <w:t>De conformidad con lo dispuesto en los art</w:t>
      </w:r>
      <w:r>
        <w:rPr>
          <w:rFonts w:cs="Times New Roman"/>
          <w:spacing w:val="-1"/>
          <w:sz w:val="18"/>
          <w:szCs w:val="18"/>
          <w:lang w:val="es-ES_tradnl"/>
        </w:rPr>
        <w:t>í</w:t>
      </w:r>
      <w:r>
        <w:rPr>
          <w:spacing w:val="-1"/>
          <w:sz w:val="18"/>
          <w:szCs w:val="18"/>
          <w:lang w:val="es-ES_tradnl"/>
        </w:rPr>
        <w:t xml:space="preserve">culos 61 y </w:t>
      </w:r>
      <w:r>
        <w:rPr>
          <w:spacing w:val="-5"/>
          <w:sz w:val="18"/>
          <w:szCs w:val="18"/>
          <w:lang w:val="es-ES_tradnl"/>
        </w:rPr>
        <w:t>62 de la Ley Org</w:t>
      </w:r>
      <w:r>
        <w:rPr>
          <w:rFonts w:cs="Times New Roman"/>
          <w:spacing w:val="-5"/>
          <w:sz w:val="18"/>
          <w:szCs w:val="18"/>
          <w:lang w:val="es-ES_tradnl"/>
        </w:rPr>
        <w:t>á</w:t>
      </w:r>
      <w:r>
        <w:rPr>
          <w:spacing w:val="-5"/>
          <w:sz w:val="18"/>
          <w:szCs w:val="18"/>
          <w:lang w:val="es-ES_tradnl"/>
        </w:rPr>
        <w:t>nica de Garant</w:t>
      </w:r>
      <w:r>
        <w:rPr>
          <w:rFonts w:cs="Times New Roman"/>
          <w:spacing w:val="-5"/>
          <w:sz w:val="18"/>
          <w:szCs w:val="18"/>
          <w:lang w:val="es-ES_tradnl"/>
        </w:rPr>
        <w:t>í</w:t>
      </w:r>
      <w:r>
        <w:rPr>
          <w:spacing w:val="-5"/>
          <w:sz w:val="18"/>
          <w:szCs w:val="18"/>
          <w:lang w:val="es-ES_tradnl"/>
        </w:rPr>
        <w:t xml:space="preserve">as Jurisdiccionales y </w:t>
      </w:r>
      <w:r>
        <w:rPr>
          <w:spacing w:val="-7"/>
          <w:sz w:val="18"/>
          <w:szCs w:val="18"/>
          <w:lang w:val="es-ES_tradnl"/>
        </w:rPr>
        <w:t xml:space="preserve">Control Constitucional, el expediente del juicio de medidas </w:t>
      </w:r>
      <w:r>
        <w:rPr>
          <w:spacing w:val="-5"/>
          <w:sz w:val="18"/>
          <w:szCs w:val="18"/>
          <w:lang w:val="es-ES_tradnl"/>
        </w:rPr>
        <w:t>cautelares N.</w:t>
      </w:r>
      <w:r>
        <w:rPr>
          <w:rFonts w:cs="Times New Roman"/>
          <w:spacing w:val="-5"/>
          <w:sz w:val="18"/>
          <w:szCs w:val="18"/>
          <w:lang w:val="es-ES_tradnl"/>
        </w:rPr>
        <w:t>º</w:t>
      </w:r>
      <w:r>
        <w:rPr>
          <w:spacing w:val="-5"/>
          <w:sz w:val="18"/>
          <w:szCs w:val="18"/>
          <w:lang w:val="es-ES_tradnl"/>
        </w:rPr>
        <w:t xml:space="preserve"> 0801-2010/A fue remitido a la Corte </w:t>
      </w:r>
      <w:r>
        <w:rPr>
          <w:spacing w:val="-4"/>
          <w:sz w:val="18"/>
          <w:szCs w:val="18"/>
          <w:lang w:val="es-ES_tradnl"/>
        </w:rPr>
        <w:t>Constitucional mediante oficio N.</w:t>
      </w:r>
      <w:r>
        <w:rPr>
          <w:rFonts w:cs="Times New Roman"/>
          <w:spacing w:val="-4"/>
          <w:sz w:val="18"/>
          <w:szCs w:val="18"/>
          <w:lang w:val="es-ES_tradnl"/>
        </w:rPr>
        <w:t>º</w:t>
      </w:r>
      <w:r>
        <w:rPr>
          <w:spacing w:val="-4"/>
          <w:sz w:val="18"/>
          <w:szCs w:val="18"/>
          <w:lang w:val="es-ES_tradnl"/>
        </w:rPr>
        <w:t xml:space="preserve"> 673-TS P.SPJ-G del </w:t>
      </w:r>
      <w:r>
        <w:rPr>
          <w:spacing w:val="-7"/>
          <w:sz w:val="18"/>
          <w:szCs w:val="18"/>
          <w:lang w:val="es-ES_tradnl"/>
        </w:rPr>
        <w:t>08 de septiembre de 2011, suscrito por la abogada Cecilia Sedamanos Jim</w:t>
      </w:r>
      <w:r>
        <w:rPr>
          <w:rFonts w:cs="Times New Roman"/>
          <w:spacing w:val="-7"/>
          <w:sz w:val="18"/>
          <w:szCs w:val="18"/>
          <w:lang w:val="es-ES_tradnl"/>
        </w:rPr>
        <w:t>é</w:t>
      </w:r>
      <w:r>
        <w:rPr>
          <w:spacing w:val="-7"/>
          <w:sz w:val="18"/>
          <w:szCs w:val="18"/>
          <w:lang w:val="es-ES_tradnl"/>
        </w:rPr>
        <w:t xml:space="preserve">nez, oficial mayor de la Tercera Sala de </w:t>
      </w:r>
      <w:r>
        <w:rPr>
          <w:spacing w:val="-5"/>
          <w:sz w:val="18"/>
          <w:szCs w:val="18"/>
          <w:lang w:val="es-ES_tradnl"/>
        </w:rPr>
        <w:t>lo Penal y Tr</w:t>
      </w:r>
      <w:r>
        <w:rPr>
          <w:rFonts w:cs="Times New Roman"/>
          <w:spacing w:val="-5"/>
          <w:sz w:val="18"/>
          <w:szCs w:val="18"/>
          <w:lang w:val="es-ES_tradnl"/>
        </w:rPr>
        <w:t>á</w:t>
      </w:r>
      <w:r>
        <w:rPr>
          <w:spacing w:val="-5"/>
          <w:sz w:val="18"/>
          <w:szCs w:val="18"/>
          <w:lang w:val="es-ES_tradnl"/>
        </w:rPr>
        <w:t xml:space="preserve">nsito de la Corte Provincial de Justicia del </w:t>
      </w:r>
      <w:r>
        <w:rPr>
          <w:sz w:val="18"/>
          <w:szCs w:val="18"/>
          <w:lang w:val="es-ES_tradnl"/>
        </w:rPr>
        <w:t>Guayas.</w:t>
      </w:r>
    </w:p>
    <w:p w14:paraId="4F67B1A6" w14:textId="77777777" w:rsidR="00591D54" w:rsidRDefault="00591D54">
      <w:pPr>
        <w:shd w:val="clear" w:color="auto" w:fill="FFFFFF"/>
        <w:spacing w:before="197" w:line="216" w:lineRule="exact"/>
        <w:jc w:val="both"/>
      </w:pPr>
      <w:r>
        <w:rPr>
          <w:spacing w:val="-7"/>
          <w:sz w:val="18"/>
          <w:szCs w:val="18"/>
          <w:lang w:val="es-ES_tradnl"/>
        </w:rPr>
        <w:t>La Secretar</w:t>
      </w:r>
      <w:r>
        <w:rPr>
          <w:rFonts w:cs="Times New Roman"/>
          <w:spacing w:val="-7"/>
          <w:sz w:val="18"/>
          <w:szCs w:val="18"/>
          <w:lang w:val="es-ES_tradnl"/>
        </w:rPr>
        <w:t>í</w:t>
      </w:r>
      <w:r>
        <w:rPr>
          <w:spacing w:val="-7"/>
          <w:sz w:val="18"/>
          <w:szCs w:val="18"/>
          <w:lang w:val="es-ES_tradnl"/>
        </w:rPr>
        <w:t xml:space="preserve">a General de la Corte Constitucional, el 14 de </w:t>
      </w:r>
      <w:r>
        <w:rPr>
          <w:spacing w:val="-8"/>
          <w:sz w:val="18"/>
          <w:szCs w:val="18"/>
          <w:lang w:val="es-ES_tradnl"/>
        </w:rPr>
        <w:t xml:space="preserve">septiembre de 2011, de conformidad con lo establecido en </w:t>
      </w:r>
      <w:r>
        <w:rPr>
          <w:spacing w:val="-7"/>
          <w:sz w:val="18"/>
          <w:szCs w:val="18"/>
          <w:lang w:val="es-ES_tradnl"/>
        </w:rPr>
        <w:t>el segundo inciso del art</w:t>
      </w:r>
      <w:r>
        <w:rPr>
          <w:rFonts w:cs="Times New Roman"/>
          <w:spacing w:val="-7"/>
          <w:sz w:val="18"/>
          <w:szCs w:val="18"/>
          <w:lang w:val="es-ES_tradnl"/>
        </w:rPr>
        <w:t>í</w:t>
      </w:r>
      <w:r>
        <w:rPr>
          <w:spacing w:val="-7"/>
          <w:sz w:val="18"/>
          <w:szCs w:val="18"/>
          <w:lang w:val="es-ES_tradnl"/>
        </w:rPr>
        <w:t xml:space="preserve">culo 4 innumerado agregado a </w:t>
      </w:r>
      <w:r>
        <w:rPr>
          <w:spacing w:val="-10"/>
          <w:sz w:val="18"/>
          <w:szCs w:val="18"/>
          <w:lang w:val="es-ES_tradnl"/>
        </w:rPr>
        <w:t>continuaci</w:t>
      </w:r>
      <w:r>
        <w:rPr>
          <w:rFonts w:cs="Times New Roman"/>
          <w:spacing w:val="-10"/>
          <w:sz w:val="18"/>
          <w:szCs w:val="18"/>
          <w:lang w:val="es-ES_tradnl"/>
        </w:rPr>
        <w:t>ó</w:t>
      </w:r>
      <w:r>
        <w:rPr>
          <w:spacing w:val="-10"/>
          <w:sz w:val="18"/>
          <w:szCs w:val="18"/>
          <w:lang w:val="es-ES_tradnl"/>
        </w:rPr>
        <w:t>n del art</w:t>
      </w:r>
      <w:r>
        <w:rPr>
          <w:rFonts w:cs="Times New Roman"/>
          <w:spacing w:val="-10"/>
          <w:sz w:val="18"/>
          <w:szCs w:val="18"/>
          <w:lang w:val="es-ES_tradnl"/>
        </w:rPr>
        <w:t>í</w:t>
      </w:r>
      <w:r>
        <w:rPr>
          <w:spacing w:val="-10"/>
          <w:sz w:val="18"/>
          <w:szCs w:val="18"/>
          <w:lang w:val="es-ES_tradnl"/>
        </w:rPr>
        <w:t>culo 8 del Reglamento de Sustanciaci</w:t>
      </w:r>
      <w:r>
        <w:rPr>
          <w:rFonts w:cs="Times New Roman"/>
          <w:spacing w:val="-10"/>
          <w:sz w:val="18"/>
          <w:szCs w:val="18"/>
          <w:lang w:val="es-ES_tradnl"/>
        </w:rPr>
        <w:t>ó</w:t>
      </w:r>
      <w:r>
        <w:rPr>
          <w:spacing w:val="-10"/>
          <w:sz w:val="18"/>
          <w:szCs w:val="18"/>
          <w:lang w:val="es-ES_tradnl"/>
        </w:rPr>
        <w:t xml:space="preserve">n </w:t>
      </w:r>
      <w:r>
        <w:rPr>
          <w:spacing w:val="-7"/>
          <w:sz w:val="18"/>
          <w:szCs w:val="18"/>
          <w:lang w:val="es-ES_tradnl"/>
        </w:rPr>
        <w:t xml:space="preserve">de Procesos de Competencia de la Corte Constitucional, </w:t>
      </w:r>
      <w:r>
        <w:rPr>
          <w:spacing w:val="-8"/>
          <w:sz w:val="18"/>
          <w:szCs w:val="18"/>
          <w:lang w:val="es-ES_tradnl"/>
        </w:rPr>
        <w:t>certific</w:t>
      </w:r>
      <w:r>
        <w:rPr>
          <w:rFonts w:cs="Times New Roman"/>
          <w:spacing w:val="-8"/>
          <w:sz w:val="18"/>
          <w:szCs w:val="18"/>
          <w:lang w:val="es-ES_tradnl"/>
        </w:rPr>
        <w:t>ó</w:t>
      </w:r>
      <w:r>
        <w:rPr>
          <w:spacing w:val="-8"/>
          <w:sz w:val="18"/>
          <w:szCs w:val="18"/>
          <w:lang w:val="es-ES_tradnl"/>
        </w:rPr>
        <w:t xml:space="preserve"> que la causa N.</w:t>
      </w:r>
      <w:r>
        <w:rPr>
          <w:rFonts w:cs="Times New Roman"/>
          <w:spacing w:val="-8"/>
          <w:sz w:val="18"/>
          <w:szCs w:val="18"/>
          <w:lang w:val="es-ES_tradnl"/>
        </w:rPr>
        <w:t>°</w:t>
      </w:r>
      <w:r>
        <w:rPr>
          <w:spacing w:val="-8"/>
          <w:sz w:val="18"/>
          <w:szCs w:val="18"/>
          <w:lang w:val="es-ES_tradnl"/>
        </w:rPr>
        <w:t xml:space="preserve"> 1589-11-EP, tiene relaci</w:t>
      </w:r>
      <w:r>
        <w:rPr>
          <w:rFonts w:cs="Times New Roman"/>
          <w:spacing w:val="-8"/>
          <w:sz w:val="18"/>
          <w:szCs w:val="18"/>
          <w:lang w:val="es-ES_tradnl"/>
        </w:rPr>
        <w:t>ó</w:t>
      </w:r>
      <w:r>
        <w:rPr>
          <w:spacing w:val="-8"/>
          <w:sz w:val="18"/>
          <w:szCs w:val="18"/>
          <w:lang w:val="es-ES_tradnl"/>
        </w:rPr>
        <w:t xml:space="preserve">n con el </w:t>
      </w:r>
      <w:r>
        <w:rPr>
          <w:sz w:val="18"/>
          <w:szCs w:val="18"/>
          <w:lang w:val="es-ES_tradnl"/>
        </w:rPr>
        <w:t>caso N.</w:t>
      </w:r>
      <w:r>
        <w:rPr>
          <w:rFonts w:cs="Times New Roman"/>
          <w:sz w:val="18"/>
          <w:szCs w:val="18"/>
          <w:lang w:val="es-ES_tradnl"/>
        </w:rPr>
        <w:t>º</w:t>
      </w:r>
      <w:r>
        <w:rPr>
          <w:sz w:val="18"/>
          <w:szCs w:val="18"/>
          <w:lang w:val="es-ES_tradnl"/>
        </w:rPr>
        <w:t xml:space="preserve"> 0762-11-EP.</w:t>
      </w:r>
    </w:p>
    <w:p w14:paraId="4F67B1A7" w14:textId="77777777" w:rsidR="00591D54" w:rsidRDefault="00591D54">
      <w:pPr>
        <w:shd w:val="clear" w:color="auto" w:fill="FFFFFF"/>
        <w:spacing w:before="197" w:line="216" w:lineRule="exact"/>
        <w:jc w:val="both"/>
      </w:pPr>
      <w:r>
        <w:rPr>
          <w:sz w:val="18"/>
          <w:szCs w:val="18"/>
          <w:lang w:val="es-ES_tradnl"/>
        </w:rPr>
        <w:t>La Sala de Admisi</w:t>
      </w:r>
      <w:r>
        <w:rPr>
          <w:rFonts w:cs="Times New Roman"/>
          <w:sz w:val="18"/>
          <w:szCs w:val="18"/>
          <w:lang w:val="es-ES_tradnl"/>
        </w:rPr>
        <w:t>ó</w:t>
      </w:r>
      <w:r>
        <w:rPr>
          <w:sz w:val="18"/>
          <w:szCs w:val="18"/>
          <w:lang w:val="es-ES_tradnl"/>
        </w:rPr>
        <w:t xml:space="preserve">n de la Corte Constitucional, para </w:t>
      </w:r>
      <w:r>
        <w:rPr>
          <w:spacing w:val="-6"/>
          <w:sz w:val="18"/>
          <w:szCs w:val="18"/>
          <w:lang w:val="es-ES_tradnl"/>
        </w:rPr>
        <w:t>el per</w:t>
      </w:r>
      <w:r>
        <w:rPr>
          <w:rFonts w:cs="Times New Roman"/>
          <w:spacing w:val="-6"/>
          <w:sz w:val="18"/>
          <w:szCs w:val="18"/>
          <w:lang w:val="es-ES_tradnl"/>
        </w:rPr>
        <w:t>í</w:t>
      </w:r>
      <w:r>
        <w:rPr>
          <w:spacing w:val="-6"/>
          <w:sz w:val="18"/>
          <w:szCs w:val="18"/>
          <w:lang w:val="es-ES_tradnl"/>
        </w:rPr>
        <w:t>odo de transici</w:t>
      </w:r>
      <w:r>
        <w:rPr>
          <w:rFonts w:cs="Times New Roman"/>
          <w:spacing w:val="-6"/>
          <w:sz w:val="18"/>
          <w:szCs w:val="18"/>
          <w:lang w:val="es-ES_tradnl"/>
        </w:rPr>
        <w:t>ó</w:t>
      </w:r>
      <w:r>
        <w:rPr>
          <w:spacing w:val="-6"/>
          <w:sz w:val="18"/>
          <w:szCs w:val="18"/>
          <w:lang w:val="es-ES_tradnl"/>
        </w:rPr>
        <w:t xml:space="preserve">n, conformada por los jueces </w:t>
      </w:r>
      <w:r>
        <w:rPr>
          <w:spacing w:val="-4"/>
          <w:sz w:val="18"/>
          <w:szCs w:val="18"/>
          <w:lang w:val="es-ES_tradnl"/>
        </w:rPr>
        <w:t xml:space="preserve">constitucionales Roberto Bhrunis Lemarie, Hernando </w:t>
      </w:r>
      <w:r>
        <w:rPr>
          <w:spacing w:val="-5"/>
          <w:sz w:val="18"/>
          <w:szCs w:val="18"/>
          <w:lang w:val="es-ES_tradnl"/>
        </w:rPr>
        <w:t>Morales Vinueza y Ruth Seni Pinoargote, el 17 de enero de 2012 admiti</w:t>
      </w:r>
      <w:r>
        <w:rPr>
          <w:rFonts w:cs="Times New Roman"/>
          <w:spacing w:val="-5"/>
          <w:sz w:val="18"/>
          <w:szCs w:val="18"/>
          <w:lang w:val="es-ES_tradnl"/>
        </w:rPr>
        <w:t>ó</w:t>
      </w:r>
      <w:r>
        <w:rPr>
          <w:spacing w:val="-5"/>
          <w:sz w:val="18"/>
          <w:szCs w:val="18"/>
          <w:lang w:val="es-ES_tradnl"/>
        </w:rPr>
        <w:t xml:space="preserve"> a tr</w:t>
      </w:r>
      <w:r>
        <w:rPr>
          <w:rFonts w:cs="Times New Roman"/>
          <w:spacing w:val="-5"/>
          <w:sz w:val="18"/>
          <w:szCs w:val="18"/>
          <w:lang w:val="es-ES_tradnl"/>
        </w:rPr>
        <w:t>á</w:t>
      </w:r>
      <w:r>
        <w:rPr>
          <w:spacing w:val="-5"/>
          <w:sz w:val="18"/>
          <w:szCs w:val="18"/>
          <w:lang w:val="es-ES_tradnl"/>
        </w:rPr>
        <w:t>mite la acci</w:t>
      </w:r>
      <w:r>
        <w:rPr>
          <w:rFonts w:cs="Times New Roman"/>
          <w:spacing w:val="-5"/>
          <w:sz w:val="18"/>
          <w:szCs w:val="18"/>
          <w:lang w:val="es-ES_tradnl"/>
        </w:rPr>
        <w:t>ó</w:t>
      </w:r>
      <w:r>
        <w:rPr>
          <w:spacing w:val="-5"/>
          <w:sz w:val="18"/>
          <w:szCs w:val="18"/>
          <w:lang w:val="es-ES_tradnl"/>
        </w:rPr>
        <w:t xml:space="preserve">n extraordinaria de </w:t>
      </w:r>
      <w:r>
        <w:rPr>
          <w:sz w:val="18"/>
          <w:szCs w:val="18"/>
          <w:lang w:val="es-ES_tradnl"/>
        </w:rPr>
        <w:t>protecci</w:t>
      </w:r>
      <w:r>
        <w:rPr>
          <w:rFonts w:cs="Times New Roman"/>
          <w:sz w:val="18"/>
          <w:szCs w:val="18"/>
          <w:lang w:val="es-ES_tradnl"/>
        </w:rPr>
        <w:t>ó</w:t>
      </w:r>
      <w:r>
        <w:rPr>
          <w:sz w:val="18"/>
          <w:szCs w:val="18"/>
          <w:lang w:val="es-ES_tradnl"/>
        </w:rPr>
        <w:t>n N.</w:t>
      </w:r>
      <w:r>
        <w:rPr>
          <w:rFonts w:cs="Times New Roman"/>
          <w:sz w:val="18"/>
          <w:szCs w:val="18"/>
          <w:lang w:val="es-ES_tradnl"/>
        </w:rPr>
        <w:t>º</w:t>
      </w:r>
      <w:r>
        <w:rPr>
          <w:sz w:val="18"/>
          <w:szCs w:val="18"/>
          <w:lang w:val="es-ES_tradnl"/>
        </w:rPr>
        <w:t xml:space="preserve"> 1589-11-EP.</w:t>
      </w:r>
    </w:p>
    <w:p w14:paraId="4F67B1A8" w14:textId="77777777" w:rsidR="00591D54" w:rsidRDefault="00591D54">
      <w:pPr>
        <w:shd w:val="clear" w:color="auto" w:fill="FFFFFF"/>
        <w:spacing w:before="197" w:line="216" w:lineRule="exact"/>
        <w:jc w:val="both"/>
      </w:pPr>
      <w:r>
        <w:rPr>
          <w:spacing w:val="-6"/>
          <w:sz w:val="18"/>
          <w:szCs w:val="18"/>
          <w:lang w:val="es-ES_tradnl"/>
        </w:rPr>
        <w:t>Efectuado el sorteo correspondiente conforme el art</w:t>
      </w:r>
      <w:r>
        <w:rPr>
          <w:rFonts w:cs="Times New Roman"/>
          <w:spacing w:val="-6"/>
          <w:sz w:val="18"/>
          <w:szCs w:val="18"/>
          <w:lang w:val="es-ES_tradnl"/>
        </w:rPr>
        <w:t>í</w:t>
      </w:r>
      <w:r>
        <w:rPr>
          <w:spacing w:val="-6"/>
          <w:sz w:val="18"/>
          <w:szCs w:val="18"/>
          <w:lang w:val="es-ES_tradnl"/>
        </w:rPr>
        <w:t>culo 195 de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w:t>
      </w:r>
      <w:r>
        <w:rPr>
          <w:spacing w:val="-5"/>
          <w:sz w:val="18"/>
          <w:szCs w:val="18"/>
          <w:lang w:val="es-ES_tradnl"/>
        </w:rPr>
        <w:t>Control Constitucional y art</w:t>
      </w:r>
      <w:r>
        <w:rPr>
          <w:rFonts w:cs="Times New Roman"/>
          <w:spacing w:val="-5"/>
          <w:sz w:val="18"/>
          <w:szCs w:val="18"/>
          <w:lang w:val="es-ES_tradnl"/>
        </w:rPr>
        <w:t>í</w:t>
      </w:r>
      <w:r>
        <w:rPr>
          <w:spacing w:val="-5"/>
          <w:sz w:val="18"/>
          <w:szCs w:val="18"/>
          <w:lang w:val="es-ES_tradnl"/>
        </w:rPr>
        <w:t xml:space="preserve">culo 18 del Reglamento de </w:t>
      </w:r>
      <w:r>
        <w:rPr>
          <w:spacing w:val="-8"/>
          <w:sz w:val="18"/>
          <w:szCs w:val="18"/>
          <w:lang w:val="es-ES_tradnl"/>
        </w:rPr>
        <w:t>Sustanciaci</w:t>
      </w:r>
      <w:r>
        <w:rPr>
          <w:rFonts w:cs="Times New Roman"/>
          <w:spacing w:val="-8"/>
          <w:sz w:val="18"/>
          <w:szCs w:val="18"/>
          <w:lang w:val="es-ES_tradnl"/>
        </w:rPr>
        <w:t>ó</w:t>
      </w:r>
      <w:r>
        <w:rPr>
          <w:spacing w:val="-8"/>
          <w:sz w:val="18"/>
          <w:szCs w:val="18"/>
          <w:lang w:val="es-ES_tradnl"/>
        </w:rPr>
        <w:t xml:space="preserve">n de Procesos de Competencia de la Corte </w:t>
      </w:r>
      <w:r>
        <w:rPr>
          <w:spacing w:val="-7"/>
          <w:sz w:val="18"/>
          <w:szCs w:val="18"/>
          <w:lang w:val="es-ES_tradnl"/>
        </w:rPr>
        <w:t>Constitucional, correspondi</w:t>
      </w:r>
      <w:r>
        <w:rPr>
          <w:rFonts w:cs="Times New Roman"/>
          <w:spacing w:val="-7"/>
          <w:sz w:val="18"/>
          <w:szCs w:val="18"/>
          <w:lang w:val="es-ES_tradnl"/>
        </w:rPr>
        <w:t>ó</w:t>
      </w:r>
      <w:r>
        <w:rPr>
          <w:spacing w:val="-7"/>
          <w:sz w:val="18"/>
          <w:szCs w:val="18"/>
          <w:lang w:val="es-ES_tradnl"/>
        </w:rPr>
        <w:t xml:space="preserve"> al juez constitucional Manuel </w:t>
      </w:r>
      <w:r>
        <w:rPr>
          <w:spacing w:val="-6"/>
          <w:sz w:val="18"/>
          <w:szCs w:val="18"/>
          <w:lang w:val="es-ES_tradnl"/>
        </w:rPr>
        <w:t xml:space="preserve">Viteri Olvera, sustanciar la presente causa, conforme el </w:t>
      </w:r>
      <w:r>
        <w:rPr>
          <w:spacing w:val="-9"/>
          <w:sz w:val="18"/>
          <w:szCs w:val="18"/>
          <w:lang w:val="es-ES_tradnl"/>
        </w:rPr>
        <w:t>memorando de Secretar</w:t>
      </w:r>
      <w:r>
        <w:rPr>
          <w:rFonts w:cs="Times New Roman"/>
          <w:spacing w:val="-9"/>
          <w:sz w:val="18"/>
          <w:szCs w:val="18"/>
          <w:lang w:val="es-ES_tradnl"/>
        </w:rPr>
        <w:t>í</w:t>
      </w:r>
      <w:r>
        <w:rPr>
          <w:spacing w:val="-9"/>
          <w:sz w:val="18"/>
          <w:szCs w:val="18"/>
          <w:lang w:val="es-ES_tradnl"/>
        </w:rPr>
        <w:t>a General N.</w:t>
      </w:r>
      <w:r>
        <w:rPr>
          <w:rFonts w:cs="Times New Roman"/>
          <w:spacing w:val="-9"/>
          <w:sz w:val="18"/>
          <w:szCs w:val="18"/>
          <w:lang w:val="es-ES_tradnl"/>
        </w:rPr>
        <w:t>º</w:t>
      </w:r>
      <w:r>
        <w:rPr>
          <w:spacing w:val="-9"/>
          <w:sz w:val="18"/>
          <w:szCs w:val="18"/>
          <w:lang w:val="es-ES_tradnl"/>
        </w:rPr>
        <w:t xml:space="preserve"> 129-CC-SA- SG del </w:t>
      </w:r>
      <w:r>
        <w:rPr>
          <w:sz w:val="18"/>
          <w:szCs w:val="18"/>
          <w:lang w:val="es-ES_tradnl"/>
        </w:rPr>
        <w:t>03 de septiembre de 2012.</w:t>
      </w:r>
    </w:p>
    <w:p w14:paraId="4F67B1A9" w14:textId="77777777" w:rsidR="00591D54" w:rsidRDefault="00591D54">
      <w:pPr>
        <w:shd w:val="clear" w:color="auto" w:fill="FFFFFF"/>
        <w:spacing w:before="197" w:line="216" w:lineRule="exact"/>
        <w:jc w:val="both"/>
      </w:pPr>
      <w:r>
        <w:rPr>
          <w:spacing w:val="-8"/>
          <w:sz w:val="18"/>
          <w:szCs w:val="18"/>
          <w:lang w:val="es-ES_tradnl"/>
        </w:rPr>
        <w:t xml:space="preserve">El 06 de noviembre de 2012 se posesionaron ante el Pleno </w:t>
      </w:r>
      <w:r>
        <w:rPr>
          <w:spacing w:val="-7"/>
          <w:sz w:val="18"/>
          <w:szCs w:val="18"/>
          <w:lang w:val="es-ES_tradnl"/>
        </w:rPr>
        <w:t xml:space="preserve">de la Asamblea Nacional los jueces de la primera Corte </w:t>
      </w:r>
      <w:r>
        <w:rPr>
          <w:spacing w:val="-6"/>
          <w:sz w:val="18"/>
          <w:szCs w:val="18"/>
          <w:lang w:val="es-ES_tradnl"/>
        </w:rPr>
        <w:t>Constitucional, integrada conforme lo dispuesto en los art</w:t>
      </w:r>
      <w:r>
        <w:rPr>
          <w:rFonts w:cs="Times New Roman"/>
          <w:spacing w:val="-6"/>
          <w:sz w:val="18"/>
          <w:szCs w:val="18"/>
          <w:lang w:val="es-ES_tradnl"/>
        </w:rPr>
        <w:t>í</w:t>
      </w:r>
      <w:r>
        <w:rPr>
          <w:spacing w:val="-6"/>
          <w:sz w:val="18"/>
          <w:szCs w:val="18"/>
          <w:lang w:val="es-ES_tradnl"/>
        </w:rPr>
        <w:t>culos 432 y 434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del </w:t>
      </w:r>
      <w:r>
        <w:rPr>
          <w:sz w:val="18"/>
          <w:szCs w:val="18"/>
          <w:lang w:val="es-ES_tradnl"/>
        </w:rPr>
        <w:t>Ecuador.</w:t>
      </w:r>
    </w:p>
    <w:p w14:paraId="4F67B1AA" w14:textId="77777777" w:rsidR="00591D54" w:rsidRDefault="00591D54">
      <w:pPr>
        <w:shd w:val="clear" w:color="auto" w:fill="FFFFFF"/>
        <w:spacing w:before="192" w:line="216" w:lineRule="exact"/>
        <w:jc w:val="both"/>
      </w:pPr>
      <w:r>
        <w:rPr>
          <w:spacing w:val="-3"/>
          <w:sz w:val="18"/>
          <w:szCs w:val="18"/>
          <w:lang w:val="es-ES_tradnl"/>
        </w:rPr>
        <w:t xml:space="preserve">El Pleno de la Corte Constitucional, el 03 de enero de </w:t>
      </w:r>
      <w:r>
        <w:rPr>
          <w:spacing w:val="-10"/>
          <w:sz w:val="18"/>
          <w:szCs w:val="18"/>
          <w:lang w:val="es-ES_tradnl"/>
        </w:rPr>
        <w:t>2013, procedi</w:t>
      </w:r>
      <w:r>
        <w:rPr>
          <w:rFonts w:cs="Times New Roman"/>
          <w:spacing w:val="-10"/>
          <w:sz w:val="18"/>
          <w:szCs w:val="18"/>
          <w:lang w:val="es-ES_tradnl"/>
        </w:rPr>
        <w:t>ó</w:t>
      </w:r>
      <w:r>
        <w:rPr>
          <w:spacing w:val="-10"/>
          <w:sz w:val="18"/>
          <w:szCs w:val="18"/>
          <w:lang w:val="es-ES_tradnl"/>
        </w:rPr>
        <w:t xml:space="preserve"> al sorteo de las causas, correspondiendo a la</w:t>
      </w:r>
    </w:p>
    <w:p w14:paraId="4F67B1AB" w14:textId="77777777" w:rsidR="00591D54" w:rsidRDefault="00591D54">
      <w:pPr>
        <w:shd w:val="clear" w:color="auto" w:fill="FFFFFF"/>
        <w:spacing w:before="163" w:line="216" w:lineRule="exact"/>
        <w:jc w:val="both"/>
      </w:pPr>
      <w:r>
        <w:br w:type="column"/>
      </w:r>
      <w:r>
        <w:rPr>
          <w:spacing w:val="-9"/>
          <w:sz w:val="18"/>
          <w:szCs w:val="18"/>
          <w:lang w:val="es-ES_tradnl"/>
        </w:rPr>
        <w:t xml:space="preserve">doctora Ruth Seni Pinoargote sustanciar la presente causa, </w:t>
      </w:r>
      <w:r>
        <w:rPr>
          <w:spacing w:val="-7"/>
          <w:sz w:val="18"/>
          <w:szCs w:val="18"/>
          <w:lang w:val="es-ES_tradnl"/>
        </w:rPr>
        <w:t>conforme consta en el memorando de Secretar</w:t>
      </w:r>
      <w:r>
        <w:rPr>
          <w:rFonts w:cs="Times New Roman"/>
          <w:spacing w:val="-7"/>
          <w:sz w:val="18"/>
          <w:szCs w:val="18"/>
          <w:lang w:val="es-ES_tradnl"/>
        </w:rPr>
        <w:t>í</w:t>
      </w:r>
      <w:r>
        <w:rPr>
          <w:spacing w:val="-7"/>
          <w:sz w:val="18"/>
          <w:szCs w:val="18"/>
          <w:lang w:val="es-ES_tradnl"/>
        </w:rPr>
        <w:t>a General de la Corte Constitucional N.</w:t>
      </w:r>
      <w:r>
        <w:rPr>
          <w:rFonts w:cs="Times New Roman"/>
          <w:spacing w:val="-7"/>
          <w:sz w:val="18"/>
          <w:szCs w:val="18"/>
          <w:lang w:val="es-ES_tradnl"/>
        </w:rPr>
        <w:t>º</w:t>
      </w:r>
      <w:r>
        <w:rPr>
          <w:spacing w:val="-7"/>
          <w:sz w:val="18"/>
          <w:szCs w:val="18"/>
          <w:lang w:val="es-ES_tradnl"/>
        </w:rPr>
        <w:t xml:space="preserve"> 023-CCE-SG-SUS-2013 del </w:t>
      </w:r>
      <w:r>
        <w:rPr>
          <w:spacing w:val="-9"/>
          <w:sz w:val="18"/>
          <w:szCs w:val="18"/>
          <w:lang w:val="es-ES_tradnl"/>
        </w:rPr>
        <w:t xml:space="preserve">08 de enero de 2013, por el cual se remite el expediente del </w:t>
      </w:r>
      <w:r>
        <w:rPr>
          <w:sz w:val="18"/>
          <w:szCs w:val="18"/>
          <w:lang w:val="es-ES_tradnl"/>
        </w:rPr>
        <w:t>caso N.</w:t>
      </w:r>
      <w:r>
        <w:rPr>
          <w:rFonts w:cs="Times New Roman"/>
          <w:sz w:val="18"/>
          <w:szCs w:val="18"/>
          <w:lang w:val="es-ES_tradnl"/>
        </w:rPr>
        <w:t>º</w:t>
      </w:r>
      <w:r>
        <w:rPr>
          <w:sz w:val="18"/>
          <w:szCs w:val="18"/>
          <w:lang w:val="es-ES_tradnl"/>
        </w:rPr>
        <w:t xml:space="preserve"> 1589-11-EP.</w:t>
      </w:r>
    </w:p>
    <w:p w14:paraId="4F67B1AC" w14:textId="77777777" w:rsidR="00591D54" w:rsidRDefault="00591D54">
      <w:pPr>
        <w:shd w:val="clear" w:color="auto" w:fill="FFFFFF"/>
        <w:spacing w:before="202" w:line="216" w:lineRule="exact"/>
        <w:jc w:val="both"/>
      </w:pPr>
      <w:r>
        <w:rPr>
          <w:spacing w:val="-6"/>
          <w:sz w:val="18"/>
          <w:szCs w:val="18"/>
          <w:lang w:val="es-ES_tradnl"/>
        </w:rPr>
        <w:t>La jueza sustanciadora, mediante providencia del 11 de junio de 2014, avoc</w:t>
      </w:r>
      <w:r>
        <w:rPr>
          <w:rFonts w:cs="Times New Roman"/>
          <w:spacing w:val="-6"/>
          <w:sz w:val="18"/>
          <w:szCs w:val="18"/>
          <w:lang w:val="es-ES_tradnl"/>
        </w:rPr>
        <w:t>ó</w:t>
      </w:r>
      <w:r>
        <w:rPr>
          <w:spacing w:val="-6"/>
          <w:sz w:val="18"/>
          <w:szCs w:val="18"/>
          <w:lang w:val="es-ES_tradnl"/>
        </w:rPr>
        <w:t xml:space="preserve"> conocimiento de la presente causa, </w:t>
      </w:r>
      <w:r>
        <w:rPr>
          <w:spacing w:val="-3"/>
          <w:sz w:val="18"/>
          <w:szCs w:val="18"/>
          <w:lang w:val="es-ES_tradnl"/>
        </w:rPr>
        <w:t>en la que dispuso que en el t</w:t>
      </w:r>
      <w:r>
        <w:rPr>
          <w:rFonts w:cs="Times New Roman"/>
          <w:spacing w:val="-3"/>
          <w:sz w:val="18"/>
          <w:szCs w:val="18"/>
          <w:lang w:val="es-ES_tradnl"/>
        </w:rPr>
        <w:t>é</w:t>
      </w:r>
      <w:r>
        <w:rPr>
          <w:spacing w:val="-3"/>
          <w:sz w:val="18"/>
          <w:szCs w:val="18"/>
          <w:lang w:val="es-ES_tradnl"/>
        </w:rPr>
        <w:t>rmino de cinco d</w:t>
      </w:r>
      <w:r>
        <w:rPr>
          <w:rFonts w:cs="Times New Roman"/>
          <w:spacing w:val="-3"/>
          <w:sz w:val="18"/>
          <w:szCs w:val="18"/>
          <w:lang w:val="es-ES_tradnl"/>
        </w:rPr>
        <w:t>í</w:t>
      </w:r>
      <w:r>
        <w:rPr>
          <w:spacing w:val="-3"/>
          <w:sz w:val="18"/>
          <w:szCs w:val="18"/>
          <w:lang w:val="es-ES_tradnl"/>
        </w:rPr>
        <w:t xml:space="preserve">as, la </w:t>
      </w:r>
      <w:r>
        <w:rPr>
          <w:spacing w:val="-6"/>
          <w:sz w:val="18"/>
          <w:szCs w:val="18"/>
          <w:lang w:val="es-ES_tradnl"/>
        </w:rPr>
        <w:t>Tercera Sala de lo Penal y Tr</w:t>
      </w:r>
      <w:r>
        <w:rPr>
          <w:rFonts w:cs="Times New Roman"/>
          <w:spacing w:val="-6"/>
          <w:sz w:val="18"/>
          <w:szCs w:val="18"/>
          <w:lang w:val="es-ES_tradnl"/>
        </w:rPr>
        <w:t>á</w:t>
      </w:r>
      <w:r>
        <w:rPr>
          <w:spacing w:val="-6"/>
          <w:sz w:val="18"/>
          <w:szCs w:val="18"/>
          <w:lang w:val="es-ES_tradnl"/>
        </w:rPr>
        <w:t xml:space="preserve">nsito de la Corte Provincial </w:t>
      </w:r>
      <w:r>
        <w:rPr>
          <w:spacing w:val="-9"/>
          <w:sz w:val="18"/>
          <w:szCs w:val="18"/>
          <w:lang w:val="es-ES_tradnl"/>
        </w:rPr>
        <w:t xml:space="preserve">de Justicia del Guayas presente el correspondiente informe </w:t>
      </w:r>
      <w:r>
        <w:rPr>
          <w:spacing w:val="-7"/>
          <w:sz w:val="18"/>
          <w:szCs w:val="18"/>
          <w:lang w:val="es-ES_tradnl"/>
        </w:rPr>
        <w:t>de descargo, adem</w:t>
      </w:r>
      <w:r>
        <w:rPr>
          <w:rFonts w:cs="Times New Roman"/>
          <w:spacing w:val="-7"/>
          <w:sz w:val="18"/>
          <w:szCs w:val="18"/>
          <w:lang w:val="es-ES_tradnl"/>
        </w:rPr>
        <w:t>á</w:t>
      </w:r>
      <w:r>
        <w:rPr>
          <w:spacing w:val="-7"/>
          <w:sz w:val="18"/>
          <w:szCs w:val="18"/>
          <w:lang w:val="es-ES_tradnl"/>
        </w:rPr>
        <w:t xml:space="preserve">s de notificar a la legitimada activa, al </w:t>
      </w:r>
      <w:r>
        <w:rPr>
          <w:spacing w:val="-9"/>
          <w:sz w:val="18"/>
          <w:szCs w:val="18"/>
          <w:lang w:val="es-ES_tradnl"/>
        </w:rPr>
        <w:t>representante legal de la compa</w:t>
      </w:r>
      <w:r>
        <w:rPr>
          <w:rFonts w:cs="Times New Roman"/>
          <w:spacing w:val="-9"/>
          <w:sz w:val="18"/>
          <w:szCs w:val="18"/>
          <w:lang w:val="es-ES_tradnl"/>
        </w:rPr>
        <w:t>ñí</w:t>
      </w:r>
      <w:r>
        <w:rPr>
          <w:spacing w:val="-9"/>
          <w:sz w:val="18"/>
          <w:szCs w:val="18"/>
          <w:lang w:val="es-ES_tradnl"/>
        </w:rPr>
        <w:t xml:space="preserve">a Hispana de Seguros S. </w:t>
      </w:r>
      <w:r>
        <w:rPr>
          <w:spacing w:val="-6"/>
          <w:sz w:val="18"/>
          <w:szCs w:val="18"/>
          <w:lang w:val="es-ES_tradnl"/>
        </w:rPr>
        <w:t xml:space="preserve">A., al superintendente de Bancos y Seguros y presidente </w:t>
      </w:r>
      <w:r>
        <w:rPr>
          <w:spacing w:val="-8"/>
          <w:sz w:val="18"/>
          <w:szCs w:val="18"/>
          <w:lang w:val="es-ES_tradnl"/>
        </w:rPr>
        <w:t xml:space="preserve">de la Junta Bancaria, finalmente al procurador general del </w:t>
      </w:r>
      <w:r>
        <w:rPr>
          <w:sz w:val="18"/>
          <w:szCs w:val="18"/>
          <w:lang w:val="es-ES_tradnl"/>
        </w:rPr>
        <w:t>Estado.</w:t>
      </w:r>
    </w:p>
    <w:p w14:paraId="4F67B1AD" w14:textId="77777777" w:rsidR="00591D54" w:rsidRDefault="00591D54">
      <w:pPr>
        <w:shd w:val="clear" w:color="auto" w:fill="FFFFFF"/>
        <w:spacing w:before="192"/>
      </w:pPr>
      <w:r>
        <w:rPr>
          <w:b/>
          <w:bCs/>
          <w:spacing w:val="-8"/>
          <w:sz w:val="18"/>
          <w:szCs w:val="18"/>
          <w:lang w:val="es-ES_tradnl"/>
        </w:rPr>
        <w:t>Detalle de la demanda</w:t>
      </w:r>
    </w:p>
    <w:p w14:paraId="4F67B1AE" w14:textId="77777777" w:rsidR="00591D54" w:rsidRDefault="00591D54">
      <w:pPr>
        <w:shd w:val="clear" w:color="auto" w:fill="FFFFFF"/>
        <w:spacing w:before="202" w:line="216" w:lineRule="exact"/>
        <w:jc w:val="both"/>
      </w:pPr>
      <w:r>
        <w:rPr>
          <w:spacing w:val="-5"/>
          <w:sz w:val="18"/>
          <w:szCs w:val="18"/>
          <w:lang w:val="es-ES_tradnl"/>
        </w:rPr>
        <w:t xml:space="preserve">La legitimada activa manifiesta que su difunto esposo </w:t>
      </w:r>
      <w:r>
        <w:rPr>
          <w:spacing w:val="-10"/>
          <w:sz w:val="18"/>
          <w:szCs w:val="18"/>
          <w:lang w:val="es-ES_tradnl"/>
        </w:rPr>
        <w:t>trabaj</w:t>
      </w:r>
      <w:r>
        <w:rPr>
          <w:rFonts w:cs="Times New Roman"/>
          <w:spacing w:val="-10"/>
          <w:sz w:val="18"/>
          <w:szCs w:val="18"/>
          <w:lang w:val="es-ES_tradnl"/>
        </w:rPr>
        <w:t>ó</w:t>
      </w:r>
      <w:r>
        <w:rPr>
          <w:spacing w:val="-10"/>
          <w:sz w:val="18"/>
          <w:szCs w:val="18"/>
          <w:lang w:val="es-ES_tradnl"/>
        </w:rPr>
        <w:t xml:space="preserve"> en la f</w:t>
      </w:r>
      <w:r>
        <w:rPr>
          <w:rFonts w:cs="Times New Roman"/>
          <w:spacing w:val="-10"/>
          <w:sz w:val="18"/>
          <w:szCs w:val="18"/>
          <w:lang w:val="es-ES_tradnl"/>
        </w:rPr>
        <w:t>á</w:t>
      </w:r>
      <w:r>
        <w:rPr>
          <w:spacing w:val="-10"/>
          <w:sz w:val="18"/>
          <w:szCs w:val="18"/>
          <w:lang w:val="es-ES_tradnl"/>
        </w:rPr>
        <w:t>brica de municiones Santa B</w:t>
      </w:r>
      <w:r>
        <w:rPr>
          <w:rFonts w:cs="Times New Roman"/>
          <w:spacing w:val="-10"/>
          <w:sz w:val="18"/>
          <w:szCs w:val="18"/>
          <w:lang w:val="es-ES_tradnl"/>
        </w:rPr>
        <w:t>á</w:t>
      </w:r>
      <w:r>
        <w:rPr>
          <w:spacing w:val="-10"/>
          <w:sz w:val="18"/>
          <w:szCs w:val="18"/>
          <w:lang w:val="es-ES_tradnl"/>
        </w:rPr>
        <w:t xml:space="preserve">rbara, empresa </w:t>
      </w:r>
      <w:r>
        <w:rPr>
          <w:spacing w:val="-5"/>
          <w:sz w:val="18"/>
          <w:szCs w:val="18"/>
          <w:lang w:val="es-ES_tradnl"/>
        </w:rPr>
        <w:t>que debido a su actividad econ</w:t>
      </w:r>
      <w:r>
        <w:rPr>
          <w:rFonts w:cs="Times New Roman"/>
          <w:spacing w:val="-5"/>
          <w:sz w:val="18"/>
          <w:szCs w:val="18"/>
          <w:lang w:val="es-ES_tradnl"/>
        </w:rPr>
        <w:t>ó</w:t>
      </w:r>
      <w:r>
        <w:rPr>
          <w:spacing w:val="-5"/>
          <w:sz w:val="18"/>
          <w:szCs w:val="18"/>
          <w:lang w:val="es-ES_tradnl"/>
        </w:rPr>
        <w:t xml:space="preserve">mica asegura a sus </w:t>
      </w:r>
      <w:r>
        <w:rPr>
          <w:spacing w:val="-11"/>
          <w:sz w:val="18"/>
          <w:szCs w:val="18"/>
          <w:lang w:val="es-ES_tradnl"/>
        </w:rPr>
        <w:t>empleados en casos de accidentes personales.</w:t>
      </w:r>
    </w:p>
    <w:p w14:paraId="4F67B1AF" w14:textId="77777777" w:rsidR="00591D54" w:rsidRDefault="00591D54">
      <w:pPr>
        <w:shd w:val="clear" w:color="auto" w:fill="FFFFFF"/>
        <w:spacing w:before="197" w:line="216" w:lineRule="exact"/>
        <w:jc w:val="both"/>
      </w:pPr>
      <w:r>
        <w:rPr>
          <w:spacing w:val="-8"/>
          <w:sz w:val="18"/>
          <w:szCs w:val="18"/>
          <w:lang w:val="es-ES_tradnl"/>
        </w:rPr>
        <w:t>Explica que el 21 de agosto de 2008, su esposo falleci</w:t>
      </w:r>
      <w:r>
        <w:rPr>
          <w:rFonts w:cs="Times New Roman"/>
          <w:spacing w:val="-8"/>
          <w:sz w:val="18"/>
          <w:szCs w:val="18"/>
          <w:lang w:val="es-ES_tradnl"/>
        </w:rPr>
        <w:t>ó</w:t>
      </w:r>
      <w:r>
        <w:rPr>
          <w:spacing w:val="-8"/>
          <w:sz w:val="18"/>
          <w:szCs w:val="18"/>
          <w:lang w:val="es-ES_tradnl"/>
        </w:rPr>
        <w:t xml:space="preserve"> en </w:t>
      </w:r>
      <w:r>
        <w:rPr>
          <w:spacing w:val="-5"/>
          <w:sz w:val="18"/>
          <w:szCs w:val="18"/>
          <w:lang w:val="es-ES_tradnl"/>
        </w:rPr>
        <w:t xml:space="preserve">un accidente de trabajo, ante lo cual la legitimada activa, </w:t>
      </w:r>
      <w:r>
        <w:rPr>
          <w:spacing w:val="-9"/>
          <w:sz w:val="18"/>
          <w:szCs w:val="18"/>
          <w:lang w:val="es-ES_tradnl"/>
        </w:rPr>
        <w:t>en su calidad de viuda y beneficiaria de la p</w:t>
      </w:r>
      <w:r>
        <w:rPr>
          <w:rFonts w:cs="Times New Roman"/>
          <w:spacing w:val="-9"/>
          <w:sz w:val="18"/>
          <w:szCs w:val="18"/>
          <w:lang w:val="es-ES_tradnl"/>
        </w:rPr>
        <w:t>ó</w:t>
      </w:r>
      <w:r>
        <w:rPr>
          <w:spacing w:val="-9"/>
          <w:sz w:val="18"/>
          <w:szCs w:val="18"/>
          <w:lang w:val="es-ES_tradnl"/>
        </w:rPr>
        <w:t xml:space="preserve">liza de seguro, </w:t>
      </w:r>
      <w:r>
        <w:rPr>
          <w:spacing w:val="-4"/>
          <w:sz w:val="18"/>
          <w:szCs w:val="18"/>
          <w:lang w:val="es-ES_tradnl"/>
        </w:rPr>
        <w:t>solicit</w:t>
      </w:r>
      <w:r>
        <w:rPr>
          <w:rFonts w:cs="Times New Roman"/>
          <w:spacing w:val="-4"/>
          <w:sz w:val="18"/>
          <w:szCs w:val="18"/>
          <w:lang w:val="es-ES_tradnl"/>
        </w:rPr>
        <w:t>ó</w:t>
      </w:r>
      <w:r>
        <w:rPr>
          <w:spacing w:val="-4"/>
          <w:sz w:val="18"/>
          <w:szCs w:val="18"/>
          <w:lang w:val="es-ES_tradnl"/>
        </w:rPr>
        <w:t xml:space="preserve"> a la aseguradora Hispana de Seguros S. A., el </w:t>
      </w:r>
      <w:r>
        <w:rPr>
          <w:spacing w:val="-9"/>
          <w:sz w:val="18"/>
          <w:szCs w:val="18"/>
          <w:lang w:val="es-ES_tradnl"/>
        </w:rPr>
        <w:t>cobro efectivo que se preve</w:t>
      </w:r>
      <w:r>
        <w:rPr>
          <w:rFonts w:cs="Times New Roman"/>
          <w:spacing w:val="-9"/>
          <w:sz w:val="18"/>
          <w:szCs w:val="18"/>
          <w:lang w:val="es-ES_tradnl"/>
        </w:rPr>
        <w:t>í</w:t>
      </w:r>
      <w:r>
        <w:rPr>
          <w:spacing w:val="-9"/>
          <w:sz w:val="18"/>
          <w:szCs w:val="18"/>
          <w:lang w:val="es-ES_tradnl"/>
        </w:rPr>
        <w:t>a en esos casos, pero despu</w:t>
      </w:r>
      <w:r>
        <w:rPr>
          <w:rFonts w:cs="Times New Roman"/>
          <w:spacing w:val="-9"/>
          <w:sz w:val="18"/>
          <w:szCs w:val="18"/>
          <w:lang w:val="es-ES_tradnl"/>
        </w:rPr>
        <w:t>é</w:t>
      </w:r>
      <w:r>
        <w:rPr>
          <w:spacing w:val="-9"/>
          <w:sz w:val="18"/>
          <w:szCs w:val="18"/>
          <w:lang w:val="es-ES_tradnl"/>
        </w:rPr>
        <w:t xml:space="preserve">s </w:t>
      </w:r>
      <w:r>
        <w:rPr>
          <w:spacing w:val="-8"/>
          <w:sz w:val="18"/>
          <w:szCs w:val="18"/>
          <w:lang w:val="es-ES_tradnl"/>
        </w:rPr>
        <w:t>de realizar los tr</w:t>
      </w:r>
      <w:r>
        <w:rPr>
          <w:rFonts w:cs="Times New Roman"/>
          <w:spacing w:val="-8"/>
          <w:sz w:val="18"/>
          <w:szCs w:val="18"/>
          <w:lang w:val="es-ES_tradnl"/>
        </w:rPr>
        <w:t>á</w:t>
      </w:r>
      <w:r>
        <w:rPr>
          <w:spacing w:val="-8"/>
          <w:sz w:val="18"/>
          <w:szCs w:val="18"/>
          <w:lang w:val="es-ES_tradnl"/>
        </w:rPr>
        <w:t>mites pertinentes la aseguradora neg</w:t>
      </w:r>
      <w:r>
        <w:rPr>
          <w:rFonts w:cs="Times New Roman"/>
          <w:spacing w:val="-8"/>
          <w:sz w:val="18"/>
          <w:szCs w:val="18"/>
          <w:lang w:val="es-ES_tradnl"/>
        </w:rPr>
        <w:t>ó</w:t>
      </w:r>
      <w:r>
        <w:rPr>
          <w:spacing w:val="-8"/>
          <w:sz w:val="18"/>
          <w:szCs w:val="18"/>
          <w:lang w:val="es-ES_tradnl"/>
        </w:rPr>
        <w:t xml:space="preserve"> el </w:t>
      </w:r>
      <w:r>
        <w:rPr>
          <w:spacing w:val="-10"/>
          <w:sz w:val="18"/>
          <w:szCs w:val="18"/>
          <w:lang w:val="es-ES_tradnl"/>
        </w:rPr>
        <w:t>reclamo presentado por la se</w:t>
      </w:r>
      <w:r>
        <w:rPr>
          <w:rFonts w:cs="Times New Roman"/>
          <w:spacing w:val="-10"/>
          <w:sz w:val="18"/>
          <w:szCs w:val="18"/>
          <w:lang w:val="es-ES_tradnl"/>
        </w:rPr>
        <w:t>ñ</w:t>
      </w:r>
      <w:r>
        <w:rPr>
          <w:spacing w:val="-10"/>
          <w:sz w:val="18"/>
          <w:szCs w:val="18"/>
          <w:lang w:val="es-ES_tradnl"/>
        </w:rPr>
        <w:t>ora Rosa Mar</w:t>
      </w:r>
      <w:r>
        <w:rPr>
          <w:rFonts w:cs="Times New Roman"/>
          <w:spacing w:val="-10"/>
          <w:sz w:val="18"/>
          <w:szCs w:val="18"/>
          <w:lang w:val="es-ES_tradnl"/>
        </w:rPr>
        <w:t>í</w:t>
      </w:r>
      <w:r>
        <w:rPr>
          <w:spacing w:val="-10"/>
          <w:sz w:val="18"/>
          <w:szCs w:val="18"/>
          <w:lang w:val="es-ES_tradnl"/>
        </w:rPr>
        <w:t xml:space="preserve">a Toledo Tapia, </w:t>
      </w:r>
      <w:r>
        <w:rPr>
          <w:spacing w:val="-6"/>
          <w:sz w:val="18"/>
          <w:szCs w:val="18"/>
          <w:lang w:val="es-ES_tradnl"/>
        </w:rPr>
        <w:t>fundament</w:t>
      </w:r>
      <w:r>
        <w:rPr>
          <w:rFonts w:cs="Times New Roman"/>
          <w:spacing w:val="-6"/>
          <w:sz w:val="18"/>
          <w:szCs w:val="18"/>
          <w:lang w:val="es-ES_tradnl"/>
        </w:rPr>
        <w:t>á</w:t>
      </w:r>
      <w:r>
        <w:rPr>
          <w:spacing w:val="-6"/>
          <w:sz w:val="18"/>
          <w:szCs w:val="18"/>
          <w:lang w:val="es-ES_tradnl"/>
        </w:rPr>
        <w:t>ndose en el art</w:t>
      </w:r>
      <w:r>
        <w:rPr>
          <w:rFonts w:cs="Times New Roman"/>
          <w:spacing w:val="-6"/>
          <w:sz w:val="18"/>
          <w:szCs w:val="18"/>
          <w:lang w:val="es-ES_tradnl"/>
        </w:rPr>
        <w:t>í</w:t>
      </w:r>
      <w:r>
        <w:rPr>
          <w:spacing w:val="-6"/>
          <w:sz w:val="18"/>
          <w:szCs w:val="18"/>
          <w:lang w:val="es-ES_tradnl"/>
        </w:rPr>
        <w:t>culo 113 de la Ley de Tr</w:t>
      </w:r>
      <w:r>
        <w:rPr>
          <w:rFonts w:cs="Times New Roman"/>
          <w:spacing w:val="-6"/>
          <w:sz w:val="18"/>
          <w:szCs w:val="18"/>
          <w:lang w:val="es-ES_tradnl"/>
        </w:rPr>
        <w:t>á</w:t>
      </w:r>
      <w:r>
        <w:rPr>
          <w:spacing w:val="-6"/>
          <w:sz w:val="18"/>
          <w:szCs w:val="18"/>
          <w:lang w:val="es-ES_tradnl"/>
        </w:rPr>
        <w:t xml:space="preserve">nsito </w:t>
      </w:r>
      <w:r>
        <w:rPr>
          <w:spacing w:val="-2"/>
          <w:sz w:val="18"/>
          <w:szCs w:val="18"/>
          <w:lang w:val="es-ES_tradnl"/>
        </w:rPr>
        <w:t xml:space="preserve">y Seguridad Vial que se encontraba vigente a la fecha </w:t>
      </w:r>
      <w:r>
        <w:rPr>
          <w:spacing w:val="-6"/>
          <w:sz w:val="18"/>
          <w:szCs w:val="18"/>
          <w:lang w:val="es-ES_tradnl"/>
        </w:rPr>
        <w:t xml:space="preserve">del siniestro, asegurando que no es posible cubrir dicho </w:t>
      </w:r>
      <w:r>
        <w:rPr>
          <w:spacing w:val="-7"/>
          <w:sz w:val="18"/>
          <w:szCs w:val="18"/>
          <w:lang w:val="es-ES_tradnl"/>
        </w:rPr>
        <w:t>siniestro, ya que se hab</w:t>
      </w:r>
      <w:r>
        <w:rPr>
          <w:rFonts w:cs="Times New Roman"/>
          <w:spacing w:val="-7"/>
          <w:sz w:val="18"/>
          <w:szCs w:val="18"/>
          <w:lang w:val="es-ES_tradnl"/>
        </w:rPr>
        <w:t>í</w:t>
      </w:r>
      <w:r>
        <w:rPr>
          <w:spacing w:val="-7"/>
          <w:sz w:val="18"/>
          <w:szCs w:val="18"/>
          <w:lang w:val="es-ES_tradnl"/>
        </w:rPr>
        <w:t>a cometido una contravenci</w:t>
      </w:r>
      <w:r>
        <w:rPr>
          <w:rFonts w:cs="Times New Roman"/>
          <w:spacing w:val="-7"/>
          <w:sz w:val="18"/>
          <w:szCs w:val="18"/>
          <w:lang w:val="es-ES_tradnl"/>
        </w:rPr>
        <w:t>ó</w:t>
      </w:r>
      <w:r>
        <w:rPr>
          <w:spacing w:val="-7"/>
          <w:sz w:val="18"/>
          <w:szCs w:val="18"/>
          <w:lang w:val="es-ES_tradnl"/>
        </w:rPr>
        <w:t xml:space="preserve">n de </w:t>
      </w:r>
      <w:r>
        <w:rPr>
          <w:sz w:val="18"/>
          <w:szCs w:val="18"/>
          <w:lang w:val="es-ES_tradnl"/>
        </w:rPr>
        <w:t>tr</w:t>
      </w:r>
      <w:r>
        <w:rPr>
          <w:rFonts w:cs="Times New Roman"/>
          <w:sz w:val="18"/>
          <w:szCs w:val="18"/>
          <w:lang w:val="es-ES_tradnl"/>
        </w:rPr>
        <w:t>á</w:t>
      </w:r>
      <w:r>
        <w:rPr>
          <w:sz w:val="18"/>
          <w:szCs w:val="18"/>
          <w:lang w:val="es-ES_tradnl"/>
        </w:rPr>
        <w:t>nsito.</w:t>
      </w:r>
    </w:p>
    <w:p w14:paraId="4F67B1B0" w14:textId="77777777" w:rsidR="00591D54" w:rsidRDefault="00591D54">
      <w:pPr>
        <w:shd w:val="clear" w:color="auto" w:fill="FFFFFF"/>
        <w:spacing w:before="202" w:line="221" w:lineRule="exact"/>
        <w:jc w:val="both"/>
      </w:pPr>
      <w:r>
        <w:rPr>
          <w:spacing w:val="-7"/>
          <w:sz w:val="18"/>
          <w:szCs w:val="18"/>
          <w:lang w:val="es-ES_tradnl"/>
        </w:rPr>
        <w:t xml:space="preserve">Ante la negativa de la aseguradora, la legitimada activa </w:t>
      </w:r>
      <w:r>
        <w:rPr>
          <w:spacing w:val="-8"/>
          <w:sz w:val="18"/>
          <w:szCs w:val="18"/>
          <w:lang w:val="es-ES_tradnl"/>
        </w:rPr>
        <w:t>present</w:t>
      </w:r>
      <w:r>
        <w:rPr>
          <w:rFonts w:cs="Times New Roman"/>
          <w:spacing w:val="-8"/>
          <w:sz w:val="18"/>
          <w:szCs w:val="18"/>
          <w:lang w:val="es-ES_tradnl"/>
        </w:rPr>
        <w:t>ó</w:t>
      </w:r>
      <w:r>
        <w:rPr>
          <w:spacing w:val="-8"/>
          <w:sz w:val="18"/>
          <w:szCs w:val="18"/>
          <w:lang w:val="es-ES_tradnl"/>
        </w:rPr>
        <w:t xml:space="preserve"> el correspondiente reclamo a la Superintendencia </w:t>
      </w:r>
      <w:r>
        <w:rPr>
          <w:spacing w:val="-6"/>
          <w:sz w:val="18"/>
          <w:szCs w:val="18"/>
          <w:lang w:val="es-ES_tradnl"/>
        </w:rPr>
        <w:t>de Bancos, instituci</w:t>
      </w:r>
      <w:r>
        <w:rPr>
          <w:rFonts w:cs="Times New Roman"/>
          <w:spacing w:val="-6"/>
          <w:sz w:val="18"/>
          <w:szCs w:val="18"/>
          <w:lang w:val="es-ES_tradnl"/>
        </w:rPr>
        <w:t>ó</w:t>
      </w:r>
      <w:r>
        <w:rPr>
          <w:spacing w:val="-6"/>
          <w:sz w:val="18"/>
          <w:szCs w:val="18"/>
          <w:lang w:val="es-ES_tradnl"/>
        </w:rPr>
        <w:t>n que mediante resoluci</w:t>
      </w:r>
      <w:r>
        <w:rPr>
          <w:rFonts w:cs="Times New Roman"/>
          <w:spacing w:val="-6"/>
          <w:sz w:val="18"/>
          <w:szCs w:val="18"/>
          <w:lang w:val="es-ES_tradnl"/>
        </w:rPr>
        <w:t>ó</w:t>
      </w:r>
      <w:r>
        <w:rPr>
          <w:spacing w:val="-6"/>
          <w:sz w:val="18"/>
          <w:szCs w:val="18"/>
          <w:lang w:val="es-ES_tradnl"/>
        </w:rPr>
        <w:t>n N.</w:t>
      </w:r>
      <w:r>
        <w:rPr>
          <w:rFonts w:cs="Times New Roman"/>
          <w:spacing w:val="-6"/>
          <w:sz w:val="18"/>
          <w:szCs w:val="18"/>
          <w:lang w:val="es-ES_tradnl"/>
        </w:rPr>
        <w:t>º</w:t>
      </w:r>
      <w:r>
        <w:rPr>
          <w:spacing w:val="-6"/>
          <w:sz w:val="18"/>
          <w:szCs w:val="18"/>
          <w:lang w:val="es-ES_tradnl"/>
        </w:rPr>
        <w:t xml:space="preserve"> SBS-INSP-2009-177 orden</w:t>
      </w:r>
      <w:r>
        <w:rPr>
          <w:rFonts w:cs="Times New Roman"/>
          <w:spacing w:val="-6"/>
          <w:sz w:val="18"/>
          <w:szCs w:val="18"/>
          <w:lang w:val="es-ES_tradnl"/>
        </w:rPr>
        <w:t>ó</w:t>
      </w:r>
      <w:r>
        <w:rPr>
          <w:spacing w:val="-6"/>
          <w:sz w:val="18"/>
          <w:szCs w:val="18"/>
          <w:lang w:val="es-ES_tradnl"/>
        </w:rPr>
        <w:t xml:space="preserve"> el pago de los cien mil d</w:t>
      </w:r>
      <w:r>
        <w:rPr>
          <w:rFonts w:cs="Times New Roman"/>
          <w:spacing w:val="-6"/>
          <w:sz w:val="18"/>
          <w:szCs w:val="18"/>
          <w:lang w:val="es-ES_tradnl"/>
        </w:rPr>
        <w:t>ó</w:t>
      </w:r>
      <w:r>
        <w:rPr>
          <w:spacing w:val="-6"/>
          <w:sz w:val="18"/>
          <w:szCs w:val="18"/>
          <w:lang w:val="es-ES_tradnl"/>
        </w:rPr>
        <w:t xml:space="preserve">lares a </w:t>
      </w:r>
      <w:r>
        <w:rPr>
          <w:sz w:val="18"/>
          <w:szCs w:val="18"/>
          <w:lang w:val="es-ES_tradnl"/>
        </w:rPr>
        <w:t>favor de la legitimada activa.</w:t>
      </w:r>
    </w:p>
    <w:p w14:paraId="4F67B1B1" w14:textId="77777777" w:rsidR="00591D54" w:rsidRDefault="00591D54">
      <w:pPr>
        <w:shd w:val="clear" w:color="auto" w:fill="FFFFFF"/>
        <w:spacing w:before="202" w:line="216" w:lineRule="exact"/>
        <w:jc w:val="both"/>
      </w:pPr>
      <w:r>
        <w:rPr>
          <w:spacing w:val="-11"/>
          <w:sz w:val="18"/>
          <w:szCs w:val="18"/>
          <w:lang w:val="es-ES_tradnl"/>
        </w:rPr>
        <w:t>Frente a dicha resoluci</w:t>
      </w:r>
      <w:r>
        <w:rPr>
          <w:rFonts w:cs="Times New Roman"/>
          <w:spacing w:val="-11"/>
          <w:sz w:val="18"/>
          <w:szCs w:val="18"/>
          <w:lang w:val="es-ES_tradnl"/>
        </w:rPr>
        <w:t>ó</w:t>
      </w:r>
      <w:r>
        <w:rPr>
          <w:spacing w:val="-11"/>
          <w:sz w:val="18"/>
          <w:szCs w:val="18"/>
          <w:lang w:val="es-ES_tradnl"/>
        </w:rPr>
        <w:t>n, la aseguradora apel</w:t>
      </w:r>
      <w:r>
        <w:rPr>
          <w:rFonts w:cs="Times New Roman"/>
          <w:spacing w:val="-11"/>
          <w:sz w:val="18"/>
          <w:szCs w:val="18"/>
          <w:lang w:val="es-ES_tradnl"/>
        </w:rPr>
        <w:t>ó</w:t>
      </w:r>
      <w:r>
        <w:rPr>
          <w:spacing w:val="-11"/>
          <w:sz w:val="18"/>
          <w:szCs w:val="18"/>
          <w:lang w:val="es-ES_tradnl"/>
        </w:rPr>
        <w:t xml:space="preserve"> ante la Junta </w:t>
      </w:r>
      <w:r>
        <w:rPr>
          <w:spacing w:val="-6"/>
          <w:sz w:val="18"/>
          <w:szCs w:val="18"/>
          <w:lang w:val="es-ES_tradnl"/>
        </w:rPr>
        <w:t>Bancaria y dicha entidad rechaz</w:t>
      </w:r>
      <w:r>
        <w:rPr>
          <w:rFonts w:cs="Times New Roman"/>
          <w:spacing w:val="-6"/>
          <w:sz w:val="18"/>
          <w:szCs w:val="18"/>
          <w:lang w:val="es-ES_tradnl"/>
        </w:rPr>
        <w:t>ó</w:t>
      </w:r>
      <w:r>
        <w:rPr>
          <w:spacing w:val="-6"/>
          <w:sz w:val="18"/>
          <w:szCs w:val="18"/>
          <w:lang w:val="es-ES_tradnl"/>
        </w:rPr>
        <w:t xml:space="preserve"> el recurso y confirm</w:t>
      </w:r>
      <w:r>
        <w:rPr>
          <w:rFonts w:cs="Times New Roman"/>
          <w:spacing w:val="-6"/>
          <w:sz w:val="18"/>
          <w:szCs w:val="18"/>
          <w:lang w:val="es-ES_tradnl"/>
        </w:rPr>
        <w:t>ó</w:t>
      </w:r>
      <w:r>
        <w:rPr>
          <w:spacing w:val="-6"/>
          <w:sz w:val="18"/>
          <w:szCs w:val="18"/>
          <w:lang w:val="es-ES_tradnl"/>
        </w:rPr>
        <w:t xml:space="preserve"> la resoluci</w:t>
      </w:r>
      <w:r>
        <w:rPr>
          <w:rFonts w:cs="Times New Roman"/>
          <w:spacing w:val="-6"/>
          <w:sz w:val="18"/>
          <w:szCs w:val="18"/>
          <w:lang w:val="es-ES_tradnl"/>
        </w:rPr>
        <w:t>ó</w:t>
      </w:r>
      <w:r>
        <w:rPr>
          <w:spacing w:val="-6"/>
          <w:sz w:val="18"/>
          <w:szCs w:val="18"/>
          <w:lang w:val="es-ES_tradnl"/>
        </w:rPr>
        <w:t xml:space="preserve">n emitida por la Superintendencia de Bancos </w:t>
      </w:r>
      <w:r>
        <w:rPr>
          <w:spacing w:val="-5"/>
          <w:sz w:val="18"/>
          <w:szCs w:val="18"/>
          <w:lang w:val="es-ES_tradnl"/>
        </w:rPr>
        <w:t>mediante resoluci</w:t>
      </w:r>
      <w:r>
        <w:rPr>
          <w:rFonts w:cs="Times New Roman"/>
          <w:spacing w:val="-5"/>
          <w:sz w:val="18"/>
          <w:szCs w:val="18"/>
          <w:lang w:val="es-ES_tradnl"/>
        </w:rPr>
        <w:t>ó</w:t>
      </w:r>
      <w:r>
        <w:rPr>
          <w:spacing w:val="-5"/>
          <w:sz w:val="18"/>
          <w:szCs w:val="18"/>
          <w:lang w:val="es-ES_tradnl"/>
        </w:rPr>
        <w:t>n N.</w:t>
      </w:r>
      <w:r>
        <w:rPr>
          <w:rFonts w:cs="Times New Roman"/>
          <w:spacing w:val="-5"/>
          <w:sz w:val="18"/>
          <w:szCs w:val="18"/>
          <w:lang w:val="es-ES_tradnl"/>
        </w:rPr>
        <w:t>º</w:t>
      </w:r>
      <w:r>
        <w:rPr>
          <w:spacing w:val="-5"/>
          <w:sz w:val="18"/>
          <w:szCs w:val="18"/>
          <w:lang w:val="es-ES_tradnl"/>
        </w:rPr>
        <w:t xml:space="preserve"> JB-2010-1730 el 23 de junio de </w:t>
      </w:r>
      <w:r>
        <w:rPr>
          <w:sz w:val="18"/>
          <w:szCs w:val="18"/>
          <w:lang w:val="es-ES_tradnl"/>
        </w:rPr>
        <w:t>2010.</w:t>
      </w:r>
    </w:p>
    <w:p w14:paraId="4F67B1B2" w14:textId="77777777" w:rsidR="00591D54" w:rsidRDefault="00591D54">
      <w:pPr>
        <w:shd w:val="clear" w:color="auto" w:fill="FFFFFF"/>
        <w:spacing w:before="202" w:line="216" w:lineRule="exact"/>
        <w:jc w:val="both"/>
      </w:pPr>
      <w:r>
        <w:rPr>
          <w:spacing w:val="-8"/>
          <w:sz w:val="18"/>
          <w:szCs w:val="18"/>
          <w:lang w:val="es-ES_tradnl"/>
        </w:rPr>
        <w:t>En raz</w:t>
      </w:r>
      <w:r>
        <w:rPr>
          <w:rFonts w:cs="Times New Roman"/>
          <w:spacing w:val="-8"/>
          <w:sz w:val="18"/>
          <w:szCs w:val="18"/>
          <w:lang w:val="es-ES_tradnl"/>
        </w:rPr>
        <w:t>ó</w:t>
      </w:r>
      <w:r>
        <w:rPr>
          <w:spacing w:val="-8"/>
          <w:sz w:val="18"/>
          <w:szCs w:val="18"/>
          <w:lang w:val="es-ES_tradnl"/>
        </w:rPr>
        <w:t>n de aquello, la aseguradora present</w:t>
      </w:r>
      <w:r>
        <w:rPr>
          <w:rFonts w:cs="Times New Roman"/>
          <w:spacing w:val="-8"/>
          <w:sz w:val="18"/>
          <w:szCs w:val="18"/>
          <w:lang w:val="es-ES_tradnl"/>
        </w:rPr>
        <w:t>ó</w:t>
      </w:r>
      <w:r>
        <w:rPr>
          <w:spacing w:val="-8"/>
          <w:sz w:val="18"/>
          <w:szCs w:val="18"/>
          <w:lang w:val="es-ES_tradnl"/>
        </w:rPr>
        <w:t xml:space="preserve"> una petici</w:t>
      </w:r>
      <w:r>
        <w:rPr>
          <w:rFonts w:cs="Times New Roman"/>
          <w:spacing w:val="-8"/>
          <w:sz w:val="18"/>
          <w:szCs w:val="18"/>
          <w:lang w:val="es-ES_tradnl"/>
        </w:rPr>
        <w:t>ó</w:t>
      </w:r>
      <w:r>
        <w:rPr>
          <w:spacing w:val="-8"/>
          <w:sz w:val="18"/>
          <w:szCs w:val="18"/>
          <w:lang w:val="es-ES_tradnl"/>
        </w:rPr>
        <w:t xml:space="preserve">n </w:t>
      </w:r>
      <w:r>
        <w:rPr>
          <w:spacing w:val="-9"/>
          <w:sz w:val="18"/>
          <w:szCs w:val="18"/>
          <w:lang w:val="es-ES_tradnl"/>
        </w:rPr>
        <w:t xml:space="preserve">de medidas cautelares constitucionales, causa signada con </w:t>
      </w:r>
      <w:r>
        <w:rPr>
          <w:spacing w:val="-6"/>
          <w:sz w:val="18"/>
          <w:szCs w:val="18"/>
          <w:lang w:val="es-ES_tradnl"/>
        </w:rPr>
        <w:t>el N.</w:t>
      </w:r>
      <w:r>
        <w:rPr>
          <w:rFonts w:cs="Times New Roman"/>
          <w:spacing w:val="-6"/>
          <w:sz w:val="18"/>
          <w:szCs w:val="18"/>
          <w:lang w:val="es-ES_tradnl"/>
        </w:rPr>
        <w:t>º</w:t>
      </w:r>
      <w:r>
        <w:rPr>
          <w:spacing w:val="-6"/>
          <w:sz w:val="18"/>
          <w:szCs w:val="18"/>
          <w:lang w:val="es-ES_tradnl"/>
        </w:rPr>
        <w:t xml:space="preserve"> 659-2-2010, resuelta por el juez sexto de lo Civil de </w:t>
      </w:r>
      <w:r>
        <w:rPr>
          <w:spacing w:val="-7"/>
          <w:sz w:val="18"/>
          <w:szCs w:val="18"/>
          <w:lang w:val="es-ES_tradnl"/>
        </w:rPr>
        <w:t xml:space="preserve">Guayaquil, quien conforme lo expresa la legitimada activa, </w:t>
      </w:r>
      <w:r>
        <w:rPr>
          <w:spacing w:val="-5"/>
          <w:sz w:val="18"/>
          <w:szCs w:val="18"/>
          <w:lang w:val="es-ES_tradnl"/>
        </w:rPr>
        <w:t>sin notificar a los involucrados en el proceso, orden</w:t>
      </w:r>
      <w:r>
        <w:rPr>
          <w:rFonts w:cs="Times New Roman"/>
          <w:spacing w:val="-5"/>
          <w:sz w:val="18"/>
          <w:szCs w:val="18"/>
          <w:lang w:val="es-ES_tradnl"/>
        </w:rPr>
        <w:t>ó</w:t>
      </w:r>
      <w:r>
        <w:rPr>
          <w:spacing w:val="-5"/>
          <w:sz w:val="18"/>
          <w:szCs w:val="18"/>
          <w:lang w:val="es-ES_tradnl"/>
        </w:rPr>
        <w:t xml:space="preserve"> la </w:t>
      </w:r>
      <w:r>
        <w:rPr>
          <w:spacing w:val="-8"/>
          <w:sz w:val="18"/>
          <w:szCs w:val="18"/>
          <w:lang w:val="es-ES_tradnl"/>
        </w:rPr>
        <w:t>suspensi</w:t>
      </w:r>
      <w:r>
        <w:rPr>
          <w:rFonts w:cs="Times New Roman"/>
          <w:spacing w:val="-8"/>
          <w:sz w:val="18"/>
          <w:szCs w:val="18"/>
          <w:lang w:val="es-ES_tradnl"/>
        </w:rPr>
        <w:t>ó</w:t>
      </w:r>
      <w:r>
        <w:rPr>
          <w:spacing w:val="-8"/>
          <w:sz w:val="18"/>
          <w:szCs w:val="18"/>
          <w:lang w:val="es-ES_tradnl"/>
        </w:rPr>
        <w:t>n provisional de la ejecuci</w:t>
      </w:r>
      <w:r>
        <w:rPr>
          <w:rFonts w:cs="Times New Roman"/>
          <w:spacing w:val="-8"/>
          <w:sz w:val="18"/>
          <w:szCs w:val="18"/>
          <w:lang w:val="es-ES_tradnl"/>
        </w:rPr>
        <w:t>ó</w:t>
      </w:r>
      <w:r>
        <w:rPr>
          <w:spacing w:val="-8"/>
          <w:sz w:val="18"/>
          <w:szCs w:val="18"/>
          <w:lang w:val="es-ES_tradnl"/>
        </w:rPr>
        <w:t xml:space="preserve">n de las resoluciones </w:t>
      </w:r>
      <w:r>
        <w:rPr>
          <w:spacing w:val="-6"/>
          <w:sz w:val="18"/>
          <w:szCs w:val="18"/>
          <w:lang w:val="es-ES_tradnl"/>
        </w:rPr>
        <w:t xml:space="preserve">emitidas, tanto por la Superintendencia de Bancos como </w:t>
      </w:r>
      <w:r>
        <w:rPr>
          <w:spacing w:val="-7"/>
          <w:sz w:val="18"/>
          <w:szCs w:val="18"/>
          <w:lang w:val="es-ES_tradnl"/>
        </w:rPr>
        <w:t xml:space="preserve">por la Junta Bancaria, disponiendo que la aseguradora </w:t>
      </w:r>
      <w:r>
        <w:rPr>
          <w:spacing w:val="-8"/>
          <w:sz w:val="18"/>
          <w:szCs w:val="18"/>
          <w:lang w:val="es-ES_tradnl"/>
        </w:rPr>
        <w:t xml:space="preserve">Hispana de Seguros impugne ante el Tribunal Contencioso </w:t>
      </w:r>
      <w:r>
        <w:rPr>
          <w:spacing w:val="-6"/>
          <w:sz w:val="18"/>
          <w:szCs w:val="18"/>
          <w:lang w:val="es-ES_tradnl"/>
        </w:rPr>
        <w:t>Administrativo las resoluciones en menci</w:t>
      </w:r>
      <w:r>
        <w:rPr>
          <w:rFonts w:cs="Times New Roman"/>
          <w:spacing w:val="-6"/>
          <w:sz w:val="18"/>
          <w:szCs w:val="18"/>
          <w:lang w:val="es-ES_tradnl"/>
        </w:rPr>
        <w:t>ó</w:t>
      </w:r>
      <w:r>
        <w:rPr>
          <w:spacing w:val="-6"/>
          <w:sz w:val="18"/>
          <w:szCs w:val="18"/>
          <w:lang w:val="es-ES_tradnl"/>
        </w:rPr>
        <w:t>n.</w:t>
      </w:r>
    </w:p>
    <w:p w14:paraId="4F67B1B3" w14:textId="77777777" w:rsidR="00591D54" w:rsidRDefault="00591D54">
      <w:pPr>
        <w:shd w:val="clear" w:color="auto" w:fill="FFFFFF"/>
        <w:spacing w:before="202" w:line="216" w:lineRule="exact"/>
        <w:jc w:val="both"/>
      </w:pPr>
      <w:r>
        <w:rPr>
          <w:spacing w:val="-7"/>
          <w:sz w:val="18"/>
          <w:szCs w:val="18"/>
          <w:lang w:val="es-ES_tradnl"/>
        </w:rPr>
        <w:t>Tanto la Superintendencia de Bancos, a trav</w:t>
      </w:r>
      <w:r>
        <w:rPr>
          <w:rFonts w:cs="Times New Roman"/>
          <w:spacing w:val="-7"/>
          <w:sz w:val="18"/>
          <w:szCs w:val="18"/>
          <w:lang w:val="es-ES_tradnl"/>
        </w:rPr>
        <w:t>é</w:t>
      </w:r>
      <w:r>
        <w:rPr>
          <w:spacing w:val="-7"/>
          <w:sz w:val="18"/>
          <w:szCs w:val="18"/>
          <w:lang w:val="es-ES_tradnl"/>
        </w:rPr>
        <w:t>s de la Dra. Gloria Sabando, como la Procuradur</w:t>
      </w:r>
      <w:r>
        <w:rPr>
          <w:rFonts w:cs="Times New Roman"/>
          <w:spacing w:val="-7"/>
          <w:sz w:val="18"/>
          <w:szCs w:val="18"/>
          <w:lang w:val="es-ES_tradnl"/>
        </w:rPr>
        <w:t>í</w:t>
      </w:r>
      <w:r>
        <w:rPr>
          <w:spacing w:val="-7"/>
          <w:sz w:val="18"/>
          <w:szCs w:val="18"/>
          <w:lang w:val="es-ES_tradnl"/>
        </w:rPr>
        <w:t>a General del Estado</w:t>
      </w:r>
    </w:p>
    <w:p w14:paraId="4F67B1B4" w14:textId="77777777" w:rsidR="00591D54" w:rsidRDefault="00591D54">
      <w:pPr>
        <w:shd w:val="clear" w:color="auto" w:fill="FFFFFF"/>
        <w:spacing w:before="202" w:line="216" w:lineRule="exact"/>
        <w:jc w:val="both"/>
        <w:sectPr w:rsidR="00591D54">
          <w:type w:val="continuous"/>
          <w:pgSz w:w="11909" w:h="16834"/>
          <w:pgMar w:top="1368" w:right="1309" w:bottom="360" w:left="1308" w:header="720" w:footer="720" w:gutter="0"/>
          <w:cols w:num="2" w:space="720" w:equalWidth="0">
            <w:col w:w="4305" w:space="682"/>
            <w:col w:w="4305"/>
          </w:cols>
          <w:noEndnote/>
        </w:sectPr>
      </w:pPr>
    </w:p>
    <w:p w14:paraId="4F67B1B5" w14:textId="77777777" w:rsidR="00591D54" w:rsidRDefault="00591D54">
      <w:pPr>
        <w:shd w:val="clear" w:color="auto" w:fill="FFFFFF"/>
        <w:tabs>
          <w:tab w:val="left" w:pos="4814"/>
        </w:tabs>
        <w:spacing w:after="226"/>
        <w:ind w:left="14"/>
      </w:pPr>
      <w:r>
        <w:rPr>
          <w:b/>
          <w:bCs/>
          <w:sz w:val="18"/>
          <w:szCs w:val="18"/>
          <w:lang w:val="es-ES_tradnl"/>
        </w:rPr>
        <w:t xml:space="preserve">174 -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1B6" w14:textId="77777777" w:rsidR="00591D54" w:rsidRDefault="00591D54">
      <w:pPr>
        <w:shd w:val="clear" w:color="auto" w:fill="FFFFFF"/>
        <w:tabs>
          <w:tab w:val="left" w:pos="4814"/>
        </w:tabs>
        <w:spacing w:after="226"/>
        <w:ind w:left="14"/>
        <w:sectPr w:rsidR="00591D54">
          <w:pgSz w:w="11909" w:h="16834"/>
          <w:pgMar w:top="1361" w:right="1299" w:bottom="360" w:left="1308" w:header="720" w:footer="720" w:gutter="0"/>
          <w:cols w:space="60"/>
          <w:noEndnote/>
        </w:sectPr>
      </w:pPr>
    </w:p>
    <w:p w14:paraId="4F67B1B7" w14:textId="77777777" w:rsidR="00591D54" w:rsidRDefault="00591D54">
      <w:pPr>
        <w:shd w:val="clear" w:color="auto" w:fill="FFFFFF"/>
        <w:spacing w:before="10" w:line="216" w:lineRule="exact"/>
        <w:jc w:val="both"/>
      </w:pPr>
      <w:r>
        <w:rPr>
          <w:spacing w:val="-6"/>
          <w:sz w:val="18"/>
          <w:szCs w:val="18"/>
          <w:lang w:val="es-ES_tradnl"/>
        </w:rPr>
        <w:t xml:space="preserve">intervinieron en el proceso solicitando la revocatoria de la </w:t>
      </w:r>
      <w:r>
        <w:rPr>
          <w:sz w:val="18"/>
          <w:szCs w:val="18"/>
          <w:lang w:val="es-ES_tradnl"/>
        </w:rPr>
        <w:t>resoluci</w:t>
      </w:r>
      <w:r>
        <w:rPr>
          <w:rFonts w:cs="Times New Roman"/>
          <w:sz w:val="18"/>
          <w:szCs w:val="18"/>
          <w:lang w:val="es-ES_tradnl"/>
        </w:rPr>
        <w:t>ó</w:t>
      </w:r>
      <w:r>
        <w:rPr>
          <w:sz w:val="18"/>
          <w:szCs w:val="18"/>
          <w:lang w:val="es-ES_tradnl"/>
        </w:rPr>
        <w:t xml:space="preserve">n emitida por el juez </w:t>
      </w:r>
      <w:r>
        <w:rPr>
          <w:i/>
          <w:iCs/>
          <w:sz w:val="18"/>
          <w:szCs w:val="18"/>
          <w:lang w:val="es-ES_tradnl"/>
        </w:rPr>
        <w:t>a quo.</w:t>
      </w:r>
    </w:p>
    <w:p w14:paraId="4F67B1B8" w14:textId="77777777" w:rsidR="00591D54" w:rsidRDefault="00591D54">
      <w:pPr>
        <w:shd w:val="clear" w:color="auto" w:fill="FFFFFF"/>
        <w:spacing w:before="197" w:line="216" w:lineRule="exact"/>
        <w:jc w:val="both"/>
      </w:pPr>
      <w:r>
        <w:rPr>
          <w:spacing w:val="-4"/>
          <w:sz w:val="18"/>
          <w:szCs w:val="18"/>
          <w:lang w:val="es-ES_tradnl"/>
        </w:rPr>
        <w:t>Al ser negada la revocatoria, la Junta Bancaria present</w:t>
      </w:r>
      <w:r>
        <w:rPr>
          <w:rFonts w:cs="Times New Roman"/>
          <w:spacing w:val="-4"/>
          <w:sz w:val="18"/>
          <w:szCs w:val="18"/>
          <w:lang w:val="es-ES_tradnl"/>
        </w:rPr>
        <w:t xml:space="preserve">ó </w:t>
      </w:r>
      <w:r>
        <w:rPr>
          <w:spacing w:val="-3"/>
          <w:sz w:val="18"/>
          <w:szCs w:val="18"/>
          <w:lang w:val="es-ES_tradnl"/>
        </w:rPr>
        <w:t>la correspondiente apelaci</w:t>
      </w:r>
      <w:r>
        <w:rPr>
          <w:rFonts w:cs="Times New Roman"/>
          <w:spacing w:val="-3"/>
          <w:sz w:val="18"/>
          <w:szCs w:val="18"/>
          <w:lang w:val="es-ES_tradnl"/>
        </w:rPr>
        <w:t>ó</w:t>
      </w:r>
      <w:r>
        <w:rPr>
          <w:spacing w:val="-3"/>
          <w:sz w:val="18"/>
          <w:szCs w:val="18"/>
          <w:lang w:val="es-ES_tradnl"/>
        </w:rPr>
        <w:t>n, recurso que conoci</w:t>
      </w:r>
      <w:r>
        <w:rPr>
          <w:rFonts w:cs="Times New Roman"/>
          <w:spacing w:val="-3"/>
          <w:sz w:val="18"/>
          <w:szCs w:val="18"/>
          <w:lang w:val="es-ES_tradnl"/>
        </w:rPr>
        <w:t>ó</w:t>
      </w:r>
      <w:r>
        <w:rPr>
          <w:spacing w:val="-3"/>
          <w:sz w:val="18"/>
          <w:szCs w:val="18"/>
          <w:lang w:val="es-ES_tradnl"/>
        </w:rPr>
        <w:t xml:space="preserve"> y </w:t>
      </w:r>
      <w:r>
        <w:rPr>
          <w:spacing w:val="-6"/>
          <w:sz w:val="18"/>
          <w:szCs w:val="18"/>
          <w:lang w:val="es-ES_tradnl"/>
        </w:rPr>
        <w:t>resolvi</w:t>
      </w:r>
      <w:r>
        <w:rPr>
          <w:rFonts w:cs="Times New Roman"/>
          <w:spacing w:val="-6"/>
          <w:sz w:val="18"/>
          <w:szCs w:val="18"/>
          <w:lang w:val="es-ES_tradnl"/>
        </w:rPr>
        <w:t>ó</w:t>
      </w:r>
      <w:r>
        <w:rPr>
          <w:spacing w:val="-6"/>
          <w:sz w:val="18"/>
          <w:szCs w:val="18"/>
          <w:lang w:val="es-ES_tradnl"/>
        </w:rPr>
        <w:t xml:space="preserve"> la Tercera Sala de lo Penal y Tr</w:t>
      </w:r>
      <w:r>
        <w:rPr>
          <w:rFonts w:cs="Times New Roman"/>
          <w:spacing w:val="-6"/>
          <w:sz w:val="18"/>
          <w:szCs w:val="18"/>
          <w:lang w:val="es-ES_tradnl"/>
        </w:rPr>
        <w:t>á</w:t>
      </w:r>
      <w:r>
        <w:rPr>
          <w:spacing w:val="-6"/>
          <w:sz w:val="18"/>
          <w:szCs w:val="18"/>
          <w:lang w:val="es-ES_tradnl"/>
        </w:rPr>
        <w:t xml:space="preserve">nsito de la Corte </w:t>
      </w:r>
      <w:r>
        <w:rPr>
          <w:spacing w:val="-7"/>
          <w:sz w:val="18"/>
          <w:szCs w:val="18"/>
          <w:lang w:val="es-ES_tradnl"/>
        </w:rPr>
        <w:t>Provincial de Justicia del Guayas, confirmando la decisi</w:t>
      </w:r>
      <w:r>
        <w:rPr>
          <w:rFonts w:cs="Times New Roman"/>
          <w:spacing w:val="-7"/>
          <w:sz w:val="18"/>
          <w:szCs w:val="18"/>
          <w:lang w:val="es-ES_tradnl"/>
        </w:rPr>
        <w:t>ó</w:t>
      </w:r>
      <w:r>
        <w:rPr>
          <w:spacing w:val="-7"/>
          <w:sz w:val="18"/>
          <w:szCs w:val="18"/>
          <w:lang w:val="es-ES_tradnl"/>
        </w:rPr>
        <w:t xml:space="preserve">n </w:t>
      </w:r>
      <w:r>
        <w:rPr>
          <w:sz w:val="18"/>
          <w:szCs w:val="18"/>
          <w:lang w:val="es-ES_tradnl"/>
        </w:rPr>
        <w:t>del inferior.</w:t>
      </w:r>
    </w:p>
    <w:p w14:paraId="4F67B1B9" w14:textId="77777777" w:rsidR="00591D54" w:rsidRDefault="00591D54">
      <w:pPr>
        <w:shd w:val="clear" w:color="auto" w:fill="FFFFFF"/>
        <w:spacing w:before="197" w:line="216" w:lineRule="exact"/>
        <w:jc w:val="both"/>
      </w:pPr>
      <w:r>
        <w:rPr>
          <w:spacing w:val="-6"/>
          <w:sz w:val="18"/>
          <w:szCs w:val="18"/>
          <w:lang w:val="es-ES_tradnl"/>
        </w:rPr>
        <w:t>Respecto a la impugnaci</w:t>
      </w:r>
      <w:r>
        <w:rPr>
          <w:rFonts w:cs="Times New Roman"/>
          <w:spacing w:val="-6"/>
          <w:sz w:val="18"/>
          <w:szCs w:val="18"/>
          <w:lang w:val="es-ES_tradnl"/>
        </w:rPr>
        <w:t>ó</w:t>
      </w:r>
      <w:r>
        <w:rPr>
          <w:spacing w:val="-6"/>
          <w:sz w:val="18"/>
          <w:szCs w:val="18"/>
          <w:lang w:val="es-ES_tradnl"/>
        </w:rPr>
        <w:t xml:space="preserve">n ante el Tribunal Contencioso </w:t>
      </w:r>
      <w:r>
        <w:rPr>
          <w:spacing w:val="-1"/>
          <w:sz w:val="18"/>
          <w:szCs w:val="18"/>
          <w:lang w:val="es-ES_tradnl"/>
        </w:rPr>
        <w:t xml:space="preserve">Administrativo, la legitimada activa afirma que la </w:t>
      </w:r>
      <w:r>
        <w:rPr>
          <w:spacing w:val="-5"/>
          <w:sz w:val="18"/>
          <w:szCs w:val="18"/>
          <w:lang w:val="es-ES_tradnl"/>
        </w:rPr>
        <w:t>aseguradora present</w:t>
      </w:r>
      <w:r>
        <w:rPr>
          <w:rFonts w:cs="Times New Roman"/>
          <w:spacing w:val="-5"/>
          <w:sz w:val="18"/>
          <w:szCs w:val="18"/>
          <w:lang w:val="es-ES_tradnl"/>
        </w:rPr>
        <w:t>ó</w:t>
      </w:r>
      <w:r>
        <w:rPr>
          <w:spacing w:val="-5"/>
          <w:sz w:val="18"/>
          <w:szCs w:val="18"/>
          <w:lang w:val="es-ES_tradnl"/>
        </w:rPr>
        <w:t xml:space="preserve"> la correspondiente demanda en </w:t>
      </w:r>
      <w:r>
        <w:rPr>
          <w:spacing w:val="-7"/>
          <w:sz w:val="18"/>
          <w:szCs w:val="18"/>
          <w:lang w:val="es-ES_tradnl"/>
        </w:rPr>
        <w:t>contra de la resoluci</w:t>
      </w:r>
      <w:r>
        <w:rPr>
          <w:rFonts w:cs="Times New Roman"/>
          <w:spacing w:val="-7"/>
          <w:sz w:val="18"/>
          <w:szCs w:val="18"/>
          <w:lang w:val="es-ES_tradnl"/>
        </w:rPr>
        <w:t>ó</w:t>
      </w:r>
      <w:r>
        <w:rPr>
          <w:spacing w:val="-7"/>
          <w:sz w:val="18"/>
          <w:szCs w:val="18"/>
          <w:lang w:val="es-ES_tradnl"/>
        </w:rPr>
        <w:t xml:space="preserve">n emitida por la Junta Bancaria, mas </w:t>
      </w:r>
      <w:r>
        <w:rPr>
          <w:sz w:val="18"/>
          <w:szCs w:val="18"/>
          <w:lang w:val="es-ES_tradnl"/>
        </w:rPr>
        <w:t>no existe respuesta de dicha causa.</w:t>
      </w:r>
    </w:p>
    <w:p w14:paraId="4F67B1BA" w14:textId="77777777" w:rsidR="00591D54" w:rsidRDefault="00591D54">
      <w:pPr>
        <w:shd w:val="clear" w:color="auto" w:fill="FFFFFF"/>
        <w:spacing w:before="192" w:line="216" w:lineRule="exact"/>
        <w:jc w:val="both"/>
      </w:pPr>
      <w:r>
        <w:rPr>
          <w:spacing w:val="-4"/>
          <w:sz w:val="18"/>
          <w:szCs w:val="18"/>
          <w:lang w:val="es-ES_tradnl"/>
        </w:rPr>
        <w:t xml:space="preserve">Considera finalmente que la sentencia emitida por la </w:t>
      </w:r>
      <w:r>
        <w:rPr>
          <w:spacing w:val="-10"/>
          <w:sz w:val="18"/>
          <w:szCs w:val="18"/>
          <w:lang w:val="es-ES_tradnl"/>
        </w:rPr>
        <w:t>Tercera Sala de lo Penal y Tr</w:t>
      </w:r>
      <w:r>
        <w:rPr>
          <w:rFonts w:cs="Times New Roman"/>
          <w:spacing w:val="-10"/>
          <w:sz w:val="18"/>
          <w:szCs w:val="18"/>
          <w:lang w:val="es-ES_tradnl"/>
        </w:rPr>
        <w:t>á</w:t>
      </w:r>
      <w:r>
        <w:rPr>
          <w:spacing w:val="-10"/>
          <w:sz w:val="18"/>
          <w:szCs w:val="18"/>
          <w:lang w:val="es-ES_tradnl"/>
        </w:rPr>
        <w:t xml:space="preserve">nsito de la Corte Provincial de </w:t>
      </w:r>
      <w:r>
        <w:rPr>
          <w:spacing w:val="-7"/>
          <w:sz w:val="18"/>
          <w:szCs w:val="18"/>
          <w:lang w:val="es-ES_tradnl"/>
        </w:rPr>
        <w:t xml:space="preserve">Justicia del Guayas vulnera sus derechos constitucionales </w:t>
      </w:r>
      <w:r>
        <w:rPr>
          <w:spacing w:val="-5"/>
          <w:sz w:val="18"/>
          <w:szCs w:val="18"/>
          <w:lang w:val="es-ES_tradnl"/>
        </w:rPr>
        <w:t xml:space="preserve">como tutela judicial efectiva, debido proceso y seguridad </w:t>
      </w:r>
      <w:r>
        <w:rPr>
          <w:spacing w:val="-7"/>
          <w:sz w:val="18"/>
          <w:szCs w:val="18"/>
          <w:lang w:val="es-ES_tradnl"/>
        </w:rPr>
        <w:t>jur</w:t>
      </w:r>
      <w:r>
        <w:rPr>
          <w:rFonts w:cs="Times New Roman"/>
          <w:spacing w:val="-7"/>
          <w:sz w:val="18"/>
          <w:szCs w:val="18"/>
          <w:lang w:val="es-ES_tradnl"/>
        </w:rPr>
        <w:t>í</w:t>
      </w:r>
      <w:r>
        <w:rPr>
          <w:spacing w:val="-7"/>
          <w:sz w:val="18"/>
          <w:szCs w:val="18"/>
          <w:lang w:val="es-ES_tradnl"/>
        </w:rPr>
        <w:t>dica, dado que la v</w:t>
      </w:r>
      <w:r>
        <w:rPr>
          <w:rFonts w:cs="Times New Roman"/>
          <w:spacing w:val="-7"/>
          <w:sz w:val="18"/>
          <w:szCs w:val="18"/>
          <w:lang w:val="es-ES_tradnl"/>
        </w:rPr>
        <w:t>í</w:t>
      </w:r>
      <w:r>
        <w:rPr>
          <w:spacing w:val="-7"/>
          <w:sz w:val="18"/>
          <w:szCs w:val="18"/>
          <w:lang w:val="es-ES_tradnl"/>
        </w:rPr>
        <w:t xml:space="preserve">a constitucional no era la adecuada </w:t>
      </w:r>
      <w:r>
        <w:rPr>
          <w:spacing w:val="-5"/>
          <w:sz w:val="18"/>
          <w:szCs w:val="18"/>
          <w:lang w:val="es-ES_tradnl"/>
        </w:rPr>
        <w:t>para resolver la pretensi</w:t>
      </w:r>
      <w:r>
        <w:rPr>
          <w:rFonts w:cs="Times New Roman"/>
          <w:spacing w:val="-5"/>
          <w:sz w:val="18"/>
          <w:szCs w:val="18"/>
          <w:lang w:val="es-ES_tradnl"/>
        </w:rPr>
        <w:t>ó</w:t>
      </w:r>
      <w:r>
        <w:rPr>
          <w:spacing w:val="-5"/>
          <w:sz w:val="18"/>
          <w:szCs w:val="18"/>
          <w:lang w:val="es-ES_tradnl"/>
        </w:rPr>
        <w:t xml:space="preserve">n de la empresa Hispana de </w:t>
      </w:r>
      <w:r>
        <w:rPr>
          <w:spacing w:val="-1"/>
          <w:sz w:val="18"/>
          <w:szCs w:val="18"/>
          <w:lang w:val="es-ES_tradnl"/>
        </w:rPr>
        <w:t xml:space="preserve">Seguros S. A., respecto de la ilegalidad o nulidad de </w:t>
      </w:r>
      <w:r>
        <w:rPr>
          <w:spacing w:val="-6"/>
          <w:sz w:val="18"/>
          <w:szCs w:val="18"/>
          <w:lang w:val="es-ES_tradnl"/>
        </w:rPr>
        <w:t>actos administrativos emitidos por la Superintendencia de Bancos y la Junta Bancaria, afirmando que dicha sala se extralimit</w:t>
      </w:r>
      <w:r>
        <w:rPr>
          <w:rFonts w:cs="Times New Roman"/>
          <w:spacing w:val="-6"/>
          <w:sz w:val="18"/>
          <w:szCs w:val="18"/>
          <w:lang w:val="es-ES_tradnl"/>
        </w:rPr>
        <w:t>ó</w:t>
      </w:r>
      <w:r>
        <w:rPr>
          <w:spacing w:val="-6"/>
          <w:sz w:val="18"/>
          <w:szCs w:val="18"/>
          <w:lang w:val="es-ES_tradnl"/>
        </w:rPr>
        <w:t xml:space="preserve"> en sus facultades al resolver sobre el fondo de </w:t>
      </w:r>
      <w:r>
        <w:rPr>
          <w:spacing w:val="-3"/>
          <w:sz w:val="18"/>
          <w:szCs w:val="18"/>
          <w:lang w:val="es-ES_tradnl"/>
        </w:rPr>
        <w:t>la litis sin notificarle a la legitimada activa.</w:t>
      </w:r>
    </w:p>
    <w:p w14:paraId="4F67B1BB" w14:textId="77777777" w:rsidR="00591D54" w:rsidRDefault="00591D54">
      <w:pPr>
        <w:shd w:val="clear" w:color="auto" w:fill="FFFFFF"/>
        <w:spacing w:before="192"/>
      </w:pPr>
      <w:r>
        <w:rPr>
          <w:b/>
          <w:bCs/>
          <w:spacing w:val="-9"/>
          <w:sz w:val="18"/>
          <w:szCs w:val="18"/>
          <w:lang w:val="es-ES_tradnl"/>
        </w:rPr>
        <w:t>Pretensi</w:t>
      </w:r>
      <w:r>
        <w:rPr>
          <w:rFonts w:cs="Times New Roman"/>
          <w:b/>
          <w:bCs/>
          <w:spacing w:val="-9"/>
          <w:sz w:val="18"/>
          <w:szCs w:val="18"/>
          <w:lang w:val="es-ES_tradnl"/>
        </w:rPr>
        <w:t>ó</w:t>
      </w:r>
      <w:r>
        <w:rPr>
          <w:b/>
          <w:bCs/>
          <w:spacing w:val="-9"/>
          <w:sz w:val="18"/>
          <w:szCs w:val="18"/>
          <w:lang w:val="es-ES_tradnl"/>
        </w:rPr>
        <w:t>n</w:t>
      </w:r>
    </w:p>
    <w:p w14:paraId="4F67B1BC" w14:textId="77777777" w:rsidR="00591D54" w:rsidRDefault="00591D54">
      <w:pPr>
        <w:shd w:val="clear" w:color="auto" w:fill="FFFFFF"/>
        <w:spacing w:before="192"/>
      </w:pPr>
      <w:r>
        <w:rPr>
          <w:spacing w:val="-7"/>
          <w:sz w:val="18"/>
          <w:szCs w:val="18"/>
          <w:lang w:val="es-ES_tradnl"/>
        </w:rPr>
        <w:t>La accionante establece como pretensi</w:t>
      </w:r>
      <w:r>
        <w:rPr>
          <w:rFonts w:cs="Times New Roman"/>
          <w:spacing w:val="-7"/>
          <w:sz w:val="18"/>
          <w:szCs w:val="18"/>
          <w:lang w:val="es-ES_tradnl"/>
        </w:rPr>
        <w:t>ó</w:t>
      </w:r>
      <w:r>
        <w:rPr>
          <w:spacing w:val="-7"/>
          <w:sz w:val="18"/>
          <w:szCs w:val="18"/>
          <w:lang w:val="es-ES_tradnl"/>
        </w:rPr>
        <w:t>n concreta:</w:t>
      </w:r>
    </w:p>
    <w:p w14:paraId="4F67B1BD" w14:textId="77777777" w:rsidR="00591D54" w:rsidRDefault="00591D54">
      <w:pPr>
        <w:shd w:val="clear" w:color="auto" w:fill="FFFFFF"/>
        <w:spacing w:before="202" w:line="216" w:lineRule="exact"/>
        <w:ind w:left="283"/>
        <w:jc w:val="both"/>
      </w:pPr>
      <w:r>
        <w:rPr>
          <w:spacing w:val="-6"/>
          <w:sz w:val="16"/>
          <w:szCs w:val="16"/>
          <w:lang w:val="es-ES_tradnl"/>
        </w:rPr>
        <w:t xml:space="preserve">Por lo expuesto, debidamente fundamentada en lo dispuesto </w:t>
      </w:r>
      <w:r>
        <w:rPr>
          <w:spacing w:val="-7"/>
          <w:sz w:val="16"/>
          <w:szCs w:val="16"/>
          <w:lang w:val="es-ES_tradnl"/>
        </w:rPr>
        <w:t>en los Arts. 94 y 437 de la Constituci</w:t>
      </w:r>
      <w:r>
        <w:rPr>
          <w:rFonts w:cs="Times New Roman"/>
          <w:spacing w:val="-7"/>
          <w:sz w:val="16"/>
          <w:szCs w:val="16"/>
          <w:lang w:val="es-ES_tradnl"/>
        </w:rPr>
        <w:t>ó</w:t>
      </w:r>
      <w:r>
        <w:rPr>
          <w:spacing w:val="-7"/>
          <w:sz w:val="16"/>
          <w:szCs w:val="16"/>
          <w:lang w:val="es-ES_tradnl"/>
        </w:rPr>
        <w:t>n de la Rep</w:t>
      </w:r>
      <w:r>
        <w:rPr>
          <w:rFonts w:cs="Times New Roman"/>
          <w:spacing w:val="-7"/>
          <w:sz w:val="16"/>
          <w:szCs w:val="16"/>
          <w:lang w:val="es-ES_tradnl"/>
        </w:rPr>
        <w:t>ú</w:t>
      </w:r>
      <w:r>
        <w:rPr>
          <w:spacing w:val="-7"/>
          <w:sz w:val="16"/>
          <w:szCs w:val="16"/>
          <w:lang w:val="es-ES_tradnl"/>
        </w:rPr>
        <w:t>blica y 58 y siguientes de la Ley Org</w:t>
      </w:r>
      <w:r>
        <w:rPr>
          <w:rFonts w:cs="Times New Roman"/>
          <w:spacing w:val="-7"/>
          <w:sz w:val="16"/>
          <w:szCs w:val="16"/>
          <w:lang w:val="es-ES_tradnl"/>
        </w:rPr>
        <w:t>á</w:t>
      </w:r>
      <w:r>
        <w:rPr>
          <w:spacing w:val="-7"/>
          <w:sz w:val="16"/>
          <w:szCs w:val="16"/>
          <w:lang w:val="es-ES_tradnl"/>
        </w:rPr>
        <w:t>nica de Garant</w:t>
      </w:r>
      <w:r>
        <w:rPr>
          <w:rFonts w:cs="Times New Roman"/>
          <w:spacing w:val="-7"/>
          <w:sz w:val="16"/>
          <w:szCs w:val="16"/>
          <w:lang w:val="es-ES_tradnl"/>
        </w:rPr>
        <w:t>í</w:t>
      </w:r>
      <w:r>
        <w:rPr>
          <w:spacing w:val="-7"/>
          <w:sz w:val="16"/>
          <w:szCs w:val="16"/>
          <w:lang w:val="es-ES_tradnl"/>
        </w:rPr>
        <w:t xml:space="preserve">as Jurisdiccionales y </w:t>
      </w:r>
      <w:r>
        <w:rPr>
          <w:spacing w:val="-5"/>
          <w:sz w:val="16"/>
          <w:szCs w:val="16"/>
          <w:lang w:val="es-ES_tradnl"/>
        </w:rPr>
        <w:t>Control Constitucional, publicada en el R.O. N</w:t>
      </w:r>
      <w:r>
        <w:rPr>
          <w:rFonts w:cs="Times New Roman"/>
          <w:spacing w:val="-5"/>
          <w:sz w:val="16"/>
          <w:szCs w:val="16"/>
          <w:lang w:val="es-ES_tradnl"/>
        </w:rPr>
        <w:t>º</w:t>
      </w:r>
      <w:r>
        <w:rPr>
          <w:spacing w:val="-5"/>
          <w:sz w:val="16"/>
          <w:szCs w:val="16"/>
          <w:lang w:val="es-ES_tradnl"/>
        </w:rPr>
        <w:t xml:space="preserve">. 52 de 22 de </w:t>
      </w:r>
      <w:r>
        <w:rPr>
          <w:spacing w:val="-10"/>
          <w:sz w:val="16"/>
          <w:szCs w:val="16"/>
          <w:lang w:val="es-ES_tradnl"/>
        </w:rPr>
        <w:t xml:space="preserve">octubre de 2009, Segundo Suplemento, comparezco ante usted </w:t>
      </w:r>
      <w:r>
        <w:rPr>
          <w:spacing w:val="-4"/>
          <w:sz w:val="16"/>
          <w:szCs w:val="16"/>
          <w:lang w:val="es-ES_tradnl"/>
        </w:rPr>
        <w:t>y, por su digno intermedio a los dem</w:t>
      </w:r>
      <w:r>
        <w:rPr>
          <w:rFonts w:cs="Times New Roman"/>
          <w:spacing w:val="-4"/>
          <w:sz w:val="16"/>
          <w:szCs w:val="16"/>
          <w:lang w:val="es-ES_tradnl"/>
        </w:rPr>
        <w:t>á</w:t>
      </w:r>
      <w:r>
        <w:rPr>
          <w:spacing w:val="-4"/>
          <w:sz w:val="16"/>
          <w:szCs w:val="16"/>
          <w:lang w:val="es-ES_tradnl"/>
        </w:rPr>
        <w:t xml:space="preserve">s Jueces, solicitando </w:t>
      </w:r>
      <w:r>
        <w:rPr>
          <w:spacing w:val="-3"/>
          <w:sz w:val="16"/>
          <w:szCs w:val="16"/>
          <w:lang w:val="es-ES_tradnl"/>
        </w:rPr>
        <w:t>que, luego del tr</w:t>
      </w:r>
      <w:r>
        <w:rPr>
          <w:rFonts w:cs="Times New Roman"/>
          <w:spacing w:val="-3"/>
          <w:sz w:val="16"/>
          <w:szCs w:val="16"/>
          <w:lang w:val="es-ES_tradnl"/>
        </w:rPr>
        <w:t>á</w:t>
      </w:r>
      <w:r>
        <w:rPr>
          <w:spacing w:val="-3"/>
          <w:sz w:val="16"/>
          <w:szCs w:val="16"/>
          <w:lang w:val="es-ES_tradnl"/>
        </w:rPr>
        <w:t xml:space="preserve">mite pertinente, mediante sentencia debidamente motivada, esta Corte Constitucional declare </w:t>
      </w:r>
      <w:r>
        <w:rPr>
          <w:spacing w:val="-4"/>
          <w:sz w:val="16"/>
          <w:szCs w:val="16"/>
          <w:lang w:val="es-ES_tradnl"/>
        </w:rPr>
        <w:t>que: A) existe violaci</w:t>
      </w:r>
      <w:r>
        <w:rPr>
          <w:rFonts w:cs="Times New Roman"/>
          <w:spacing w:val="-4"/>
          <w:sz w:val="16"/>
          <w:szCs w:val="16"/>
          <w:lang w:val="es-ES_tradnl"/>
        </w:rPr>
        <w:t>ó</w:t>
      </w:r>
      <w:r>
        <w:rPr>
          <w:spacing w:val="-4"/>
          <w:sz w:val="16"/>
          <w:szCs w:val="16"/>
          <w:lang w:val="es-ES_tradnl"/>
        </w:rPr>
        <w:t xml:space="preserve">n de los derechos constitucionales invocados, en la sentencia dictada el 8 de Noviembre del </w:t>
      </w:r>
      <w:r>
        <w:rPr>
          <w:spacing w:val="-6"/>
          <w:sz w:val="16"/>
          <w:szCs w:val="16"/>
          <w:lang w:val="es-ES_tradnl"/>
        </w:rPr>
        <w:t>2010, a las 10H00, dentro del Recurso de Apelaci</w:t>
      </w:r>
      <w:r>
        <w:rPr>
          <w:rFonts w:cs="Times New Roman"/>
          <w:spacing w:val="-6"/>
          <w:sz w:val="16"/>
          <w:szCs w:val="16"/>
          <w:lang w:val="es-ES_tradnl"/>
        </w:rPr>
        <w:t>ó</w:t>
      </w:r>
      <w:r>
        <w:rPr>
          <w:spacing w:val="-6"/>
          <w:sz w:val="16"/>
          <w:szCs w:val="16"/>
          <w:lang w:val="es-ES_tradnl"/>
        </w:rPr>
        <w:t xml:space="preserve">n signado </w:t>
      </w:r>
      <w:r>
        <w:rPr>
          <w:spacing w:val="-5"/>
          <w:sz w:val="16"/>
          <w:szCs w:val="16"/>
          <w:lang w:val="es-ES_tradnl"/>
        </w:rPr>
        <w:t>bajo el Numero 801-10-A, dictado por los se</w:t>
      </w:r>
      <w:r>
        <w:rPr>
          <w:rFonts w:cs="Times New Roman"/>
          <w:spacing w:val="-5"/>
          <w:sz w:val="16"/>
          <w:szCs w:val="16"/>
          <w:lang w:val="es-ES_tradnl"/>
        </w:rPr>
        <w:t>ñ</w:t>
      </w:r>
      <w:r>
        <w:rPr>
          <w:spacing w:val="-5"/>
          <w:sz w:val="16"/>
          <w:szCs w:val="16"/>
          <w:lang w:val="es-ES_tradnl"/>
        </w:rPr>
        <w:t>ores jueces de la Tercera Sala de lo Penal y Tr</w:t>
      </w:r>
      <w:r>
        <w:rPr>
          <w:rFonts w:cs="Times New Roman"/>
          <w:spacing w:val="-5"/>
          <w:sz w:val="16"/>
          <w:szCs w:val="16"/>
          <w:lang w:val="es-ES_tradnl"/>
        </w:rPr>
        <w:t>á</w:t>
      </w:r>
      <w:r>
        <w:rPr>
          <w:spacing w:val="-5"/>
          <w:sz w:val="16"/>
          <w:szCs w:val="16"/>
          <w:lang w:val="es-ES_tradnl"/>
        </w:rPr>
        <w:t xml:space="preserve">nsito de la Corte Provincial </w:t>
      </w:r>
      <w:r>
        <w:rPr>
          <w:spacing w:val="-4"/>
          <w:sz w:val="16"/>
          <w:szCs w:val="16"/>
          <w:lang w:val="es-ES_tradnl"/>
        </w:rPr>
        <w:t xml:space="preserve">de Justicia del Guayas, ABOGADOS: HECTOR CABEZAS </w:t>
      </w:r>
      <w:r>
        <w:rPr>
          <w:sz w:val="16"/>
          <w:szCs w:val="16"/>
          <w:lang w:val="es-ES_tradnl"/>
        </w:rPr>
        <w:t>PALACIOS, CAMILO INTRIAGO GONZ</w:t>
      </w:r>
      <w:r>
        <w:rPr>
          <w:rFonts w:cs="Times New Roman"/>
          <w:sz w:val="16"/>
          <w:szCs w:val="16"/>
          <w:lang w:val="es-ES_tradnl"/>
        </w:rPr>
        <w:t>Á</w:t>
      </w:r>
      <w:r>
        <w:rPr>
          <w:sz w:val="16"/>
          <w:szCs w:val="16"/>
          <w:lang w:val="es-ES_tradnl"/>
        </w:rPr>
        <w:t>LEZ; y, Dr. JUAN CARLOS MALDONADO a trav</w:t>
      </w:r>
      <w:r>
        <w:rPr>
          <w:rFonts w:cs="Times New Roman"/>
          <w:sz w:val="16"/>
          <w:szCs w:val="16"/>
          <w:lang w:val="es-ES_tradnl"/>
        </w:rPr>
        <w:t>é</w:t>
      </w:r>
      <w:r>
        <w:rPr>
          <w:sz w:val="16"/>
          <w:szCs w:val="16"/>
          <w:lang w:val="es-ES_tradnl"/>
        </w:rPr>
        <w:t xml:space="preserve">s del cual se </w:t>
      </w:r>
      <w:r>
        <w:rPr>
          <w:spacing w:val="-6"/>
          <w:sz w:val="16"/>
          <w:szCs w:val="16"/>
          <w:lang w:val="es-ES_tradnl"/>
        </w:rPr>
        <w:t xml:space="preserve">confirma el Auto resolutorio dictado por el Sr. Juez Sexto de </w:t>
      </w:r>
      <w:r>
        <w:rPr>
          <w:spacing w:val="-3"/>
          <w:sz w:val="16"/>
          <w:szCs w:val="16"/>
          <w:lang w:val="es-ES_tradnl"/>
        </w:rPr>
        <w:t>lo Civil de Guayaquil dentro del proceso N</w:t>
      </w:r>
      <w:r>
        <w:rPr>
          <w:rFonts w:cs="Times New Roman"/>
          <w:spacing w:val="-3"/>
          <w:sz w:val="16"/>
          <w:szCs w:val="16"/>
          <w:lang w:val="es-ES_tradnl"/>
        </w:rPr>
        <w:t>º</w:t>
      </w:r>
      <w:r>
        <w:rPr>
          <w:spacing w:val="-3"/>
          <w:sz w:val="16"/>
          <w:szCs w:val="16"/>
          <w:lang w:val="es-ES_tradnl"/>
        </w:rPr>
        <w:t xml:space="preserve">. 659-2-2010, y </w:t>
      </w:r>
      <w:r>
        <w:rPr>
          <w:spacing w:val="-6"/>
          <w:sz w:val="16"/>
          <w:szCs w:val="16"/>
          <w:lang w:val="es-ES_tradnl"/>
        </w:rPr>
        <w:t>que por lo tanto se revoque dichas resoluciones para que de esta forma quede en firme lo establecido en la resoluci</w:t>
      </w:r>
      <w:r>
        <w:rPr>
          <w:rFonts w:cs="Times New Roman"/>
          <w:spacing w:val="-6"/>
          <w:sz w:val="16"/>
          <w:szCs w:val="16"/>
          <w:lang w:val="es-ES_tradnl"/>
        </w:rPr>
        <w:t>ó</w:t>
      </w:r>
      <w:r>
        <w:rPr>
          <w:spacing w:val="-6"/>
          <w:sz w:val="16"/>
          <w:szCs w:val="16"/>
          <w:lang w:val="es-ES_tradnl"/>
        </w:rPr>
        <w:t>n de la Junta Bancaria signada bajo el N</w:t>
      </w:r>
      <w:r>
        <w:rPr>
          <w:rFonts w:cs="Times New Roman"/>
          <w:spacing w:val="-6"/>
          <w:sz w:val="16"/>
          <w:szCs w:val="16"/>
          <w:lang w:val="es-ES_tradnl"/>
        </w:rPr>
        <w:t>ú</w:t>
      </w:r>
      <w:r>
        <w:rPr>
          <w:spacing w:val="-6"/>
          <w:sz w:val="16"/>
          <w:szCs w:val="16"/>
          <w:lang w:val="es-ES_tradnl"/>
        </w:rPr>
        <w:t>mero JB-2010-1730 de fecha 23 de junio de 2010, resoluci</w:t>
      </w:r>
      <w:r>
        <w:rPr>
          <w:rFonts w:cs="Times New Roman"/>
          <w:spacing w:val="-6"/>
          <w:sz w:val="16"/>
          <w:szCs w:val="16"/>
          <w:lang w:val="es-ES_tradnl"/>
        </w:rPr>
        <w:t>ó</w:t>
      </w:r>
      <w:r>
        <w:rPr>
          <w:spacing w:val="-6"/>
          <w:sz w:val="16"/>
          <w:szCs w:val="16"/>
          <w:lang w:val="es-ES_tradnl"/>
        </w:rPr>
        <w:t xml:space="preserve">n en la cual con apego a </w:t>
      </w:r>
      <w:r>
        <w:rPr>
          <w:spacing w:val="-4"/>
          <w:sz w:val="16"/>
          <w:szCs w:val="16"/>
          <w:lang w:val="es-ES_tradnl"/>
        </w:rPr>
        <w:t>la Constituci</w:t>
      </w:r>
      <w:r>
        <w:rPr>
          <w:rFonts w:cs="Times New Roman"/>
          <w:spacing w:val="-4"/>
          <w:sz w:val="16"/>
          <w:szCs w:val="16"/>
          <w:lang w:val="es-ES_tradnl"/>
        </w:rPr>
        <w:t>ó</w:t>
      </w:r>
      <w:r>
        <w:rPr>
          <w:spacing w:val="-4"/>
          <w:sz w:val="16"/>
          <w:szCs w:val="16"/>
          <w:lang w:val="es-ES_tradnl"/>
        </w:rPr>
        <w:t>n y a la ley se orden</w:t>
      </w:r>
      <w:r>
        <w:rPr>
          <w:rFonts w:cs="Times New Roman"/>
          <w:spacing w:val="-4"/>
          <w:sz w:val="16"/>
          <w:szCs w:val="16"/>
          <w:lang w:val="es-ES_tradnl"/>
        </w:rPr>
        <w:t>ó</w:t>
      </w:r>
      <w:r>
        <w:rPr>
          <w:spacing w:val="-4"/>
          <w:sz w:val="16"/>
          <w:szCs w:val="16"/>
          <w:lang w:val="es-ES_tradnl"/>
        </w:rPr>
        <w:t xml:space="preserve"> que se d</w:t>
      </w:r>
      <w:r>
        <w:rPr>
          <w:rFonts w:cs="Times New Roman"/>
          <w:spacing w:val="-4"/>
          <w:sz w:val="16"/>
          <w:szCs w:val="16"/>
          <w:lang w:val="es-ES_tradnl"/>
        </w:rPr>
        <w:t>é</w:t>
      </w:r>
      <w:r>
        <w:rPr>
          <w:spacing w:val="-4"/>
          <w:sz w:val="16"/>
          <w:szCs w:val="16"/>
          <w:lang w:val="es-ES_tradnl"/>
        </w:rPr>
        <w:t xml:space="preserve"> cumplimiento </w:t>
      </w:r>
      <w:r>
        <w:rPr>
          <w:spacing w:val="-5"/>
          <w:sz w:val="16"/>
          <w:szCs w:val="16"/>
          <w:lang w:val="es-ES_tradnl"/>
        </w:rPr>
        <w:t>a la Resoluci</w:t>
      </w:r>
      <w:r>
        <w:rPr>
          <w:rFonts w:cs="Times New Roman"/>
          <w:spacing w:val="-5"/>
          <w:sz w:val="16"/>
          <w:szCs w:val="16"/>
          <w:lang w:val="es-ES_tradnl"/>
        </w:rPr>
        <w:t>ó</w:t>
      </w:r>
      <w:r>
        <w:rPr>
          <w:spacing w:val="-5"/>
          <w:sz w:val="16"/>
          <w:szCs w:val="16"/>
          <w:lang w:val="es-ES_tradnl"/>
        </w:rPr>
        <w:t xml:space="preserve">n SBS-INSP-2009-155 de fecha 14 de julio de </w:t>
      </w:r>
      <w:r>
        <w:rPr>
          <w:spacing w:val="-7"/>
          <w:sz w:val="16"/>
          <w:szCs w:val="16"/>
          <w:lang w:val="es-ES_tradnl"/>
        </w:rPr>
        <w:t xml:space="preserve">2009, emitida por la Intendencia Nacional de Seguro Privado. </w:t>
      </w:r>
      <w:r>
        <w:rPr>
          <w:spacing w:val="-6"/>
          <w:sz w:val="16"/>
          <w:szCs w:val="16"/>
          <w:lang w:val="es-ES_tradnl"/>
        </w:rPr>
        <w:t xml:space="preserve">B) Que se restablezcan las cosas al estado anterior de la </w:t>
      </w:r>
      <w:r>
        <w:rPr>
          <w:spacing w:val="-5"/>
          <w:sz w:val="16"/>
          <w:szCs w:val="16"/>
          <w:lang w:val="es-ES_tradnl"/>
        </w:rPr>
        <w:t>violaci</w:t>
      </w:r>
      <w:r>
        <w:rPr>
          <w:rFonts w:cs="Times New Roman"/>
          <w:spacing w:val="-5"/>
          <w:sz w:val="16"/>
          <w:szCs w:val="16"/>
          <w:lang w:val="es-ES_tradnl"/>
        </w:rPr>
        <w:t>ó</w:t>
      </w:r>
      <w:r>
        <w:rPr>
          <w:spacing w:val="-5"/>
          <w:sz w:val="16"/>
          <w:szCs w:val="16"/>
          <w:lang w:val="es-ES_tradnl"/>
        </w:rPr>
        <w:t>n, de los derechos invocados, y c) La compensaci</w:t>
      </w:r>
      <w:r>
        <w:rPr>
          <w:rFonts w:cs="Times New Roman"/>
          <w:spacing w:val="-5"/>
          <w:sz w:val="16"/>
          <w:szCs w:val="16"/>
          <w:lang w:val="es-ES_tradnl"/>
        </w:rPr>
        <w:t>ó</w:t>
      </w:r>
      <w:r>
        <w:rPr>
          <w:spacing w:val="-5"/>
          <w:sz w:val="16"/>
          <w:szCs w:val="16"/>
          <w:lang w:val="es-ES_tradnl"/>
        </w:rPr>
        <w:t xml:space="preserve">n </w:t>
      </w:r>
      <w:r>
        <w:rPr>
          <w:spacing w:val="-6"/>
          <w:sz w:val="16"/>
          <w:szCs w:val="16"/>
          <w:lang w:val="es-ES_tradnl"/>
        </w:rPr>
        <w:t>econ</w:t>
      </w:r>
      <w:r>
        <w:rPr>
          <w:rFonts w:cs="Times New Roman"/>
          <w:spacing w:val="-6"/>
          <w:sz w:val="16"/>
          <w:szCs w:val="16"/>
          <w:lang w:val="es-ES_tradnl"/>
        </w:rPr>
        <w:t>ó</w:t>
      </w:r>
      <w:r>
        <w:rPr>
          <w:spacing w:val="-6"/>
          <w:sz w:val="16"/>
          <w:szCs w:val="16"/>
          <w:lang w:val="es-ES_tradnl"/>
        </w:rPr>
        <w:t>mica y patrimonial, como compensaci</w:t>
      </w:r>
      <w:r>
        <w:rPr>
          <w:rFonts w:cs="Times New Roman"/>
          <w:spacing w:val="-6"/>
          <w:sz w:val="16"/>
          <w:szCs w:val="16"/>
          <w:lang w:val="es-ES_tradnl"/>
        </w:rPr>
        <w:t>ó</w:t>
      </w:r>
      <w:r>
        <w:rPr>
          <w:spacing w:val="-6"/>
          <w:sz w:val="16"/>
          <w:szCs w:val="16"/>
          <w:lang w:val="es-ES_tradnl"/>
        </w:rPr>
        <w:t>n por la p</w:t>
      </w:r>
      <w:r>
        <w:rPr>
          <w:rFonts w:cs="Times New Roman"/>
          <w:spacing w:val="-6"/>
          <w:sz w:val="16"/>
          <w:szCs w:val="16"/>
          <w:lang w:val="es-ES_tradnl"/>
        </w:rPr>
        <w:t>é</w:t>
      </w:r>
      <w:r>
        <w:rPr>
          <w:spacing w:val="-6"/>
          <w:sz w:val="16"/>
          <w:szCs w:val="16"/>
          <w:lang w:val="es-ES_tradnl"/>
        </w:rPr>
        <w:t xml:space="preserve">rdida </w:t>
      </w:r>
      <w:r>
        <w:rPr>
          <w:sz w:val="16"/>
          <w:szCs w:val="16"/>
          <w:lang w:val="es-ES_tradnl"/>
        </w:rPr>
        <w:t xml:space="preserve">o detrimento de los mis (sic) ingresos como afectada, y </w:t>
      </w:r>
      <w:r>
        <w:rPr>
          <w:spacing w:val="-5"/>
          <w:sz w:val="16"/>
          <w:szCs w:val="16"/>
          <w:lang w:val="es-ES_tradnl"/>
        </w:rPr>
        <w:t xml:space="preserve">por las costas y gastos efectuados para mi defensa c) La </w:t>
      </w:r>
      <w:r>
        <w:rPr>
          <w:spacing w:val="-6"/>
          <w:sz w:val="16"/>
          <w:szCs w:val="16"/>
          <w:lang w:val="es-ES_tradnl"/>
        </w:rPr>
        <w:t>reparaci</w:t>
      </w:r>
      <w:r>
        <w:rPr>
          <w:rFonts w:cs="Times New Roman"/>
          <w:spacing w:val="-6"/>
          <w:sz w:val="16"/>
          <w:szCs w:val="16"/>
          <w:lang w:val="es-ES_tradnl"/>
        </w:rPr>
        <w:t>ó</w:t>
      </w:r>
      <w:r>
        <w:rPr>
          <w:spacing w:val="-6"/>
          <w:sz w:val="16"/>
          <w:szCs w:val="16"/>
          <w:lang w:val="es-ES_tradnl"/>
        </w:rPr>
        <w:t>n del da</w:t>
      </w:r>
      <w:r>
        <w:rPr>
          <w:rFonts w:cs="Times New Roman"/>
          <w:spacing w:val="-6"/>
          <w:sz w:val="16"/>
          <w:szCs w:val="16"/>
          <w:lang w:val="es-ES_tradnl"/>
        </w:rPr>
        <w:t>ñ</w:t>
      </w:r>
      <w:r>
        <w:rPr>
          <w:spacing w:val="-6"/>
          <w:sz w:val="16"/>
          <w:szCs w:val="16"/>
          <w:lang w:val="es-ES_tradnl"/>
        </w:rPr>
        <w:t>o material, como compensaci</w:t>
      </w:r>
      <w:r>
        <w:rPr>
          <w:rFonts w:cs="Times New Roman"/>
          <w:spacing w:val="-6"/>
          <w:sz w:val="16"/>
          <w:szCs w:val="16"/>
          <w:lang w:val="es-ES_tradnl"/>
        </w:rPr>
        <w:t>ó</w:t>
      </w:r>
      <w:r>
        <w:rPr>
          <w:spacing w:val="-6"/>
          <w:sz w:val="16"/>
          <w:szCs w:val="16"/>
          <w:lang w:val="es-ES_tradnl"/>
        </w:rPr>
        <w:t xml:space="preserve">n, mediante </w:t>
      </w:r>
      <w:r>
        <w:rPr>
          <w:spacing w:val="-1"/>
          <w:sz w:val="16"/>
          <w:szCs w:val="16"/>
          <w:lang w:val="es-ES_tradnl"/>
        </w:rPr>
        <w:t>el pago de una cantidad de dinero, por los sufrimientos y</w:t>
      </w:r>
    </w:p>
    <w:p w14:paraId="4F67B1BE" w14:textId="77777777" w:rsidR="00591D54" w:rsidRDefault="00591D54">
      <w:pPr>
        <w:shd w:val="clear" w:color="auto" w:fill="FFFFFF"/>
        <w:spacing w:line="221" w:lineRule="exact"/>
        <w:ind w:left="283" w:right="10"/>
        <w:jc w:val="both"/>
      </w:pPr>
      <w:r>
        <w:br w:type="column"/>
      </w:r>
      <w:r>
        <w:rPr>
          <w:spacing w:val="-7"/>
          <w:sz w:val="16"/>
          <w:szCs w:val="16"/>
          <w:lang w:val="es-ES_tradnl"/>
        </w:rPr>
        <w:t>afl icciones causadas, tomando en cuenta el tipo de violaci</w:t>
      </w:r>
      <w:r>
        <w:rPr>
          <w:rFonts w:cs="Times New Roman"/>
          <w:spacing w:val="-7"/>
          <w:sz w:val="16"/>
          <w:szCs w:val="16"/>
          <w:lang w:val="es-ES_tradnl"/>
        </w:rPr>
        <w:t>ó</w:t>
      </w:r>
      <w:r>
        <w:rPr>
          <w:spacing w:val="-7"/>
          <w:sz w:val="16"/>
          <w:szCs w:val="16"/>
          <w:lang w:val="es-ES_tradnl"/>
        </w:rPr>
        <w:t xml:space="preserve">n, </w:t>
      </w:r>
      <w:r>
        <w:rPr>
          <w:spacing w:val="-6"/>
          <w:sz w:val="16"/>
          <w:szCs w:val="16"/>
          <w:lang w:val="es-ES_tradnl"/>
        </w:rPr>
        <w:t xml:space="preserve">las circunstancias del caso, las consecuencias de los hechos, </w:t>
      </w:r>
      <w:r>
        <w:rPr>
          <w:sz w:val="16"/>
          <w:szCs w:val="16"/>
          <w:lang w:val="es-ES_tradnl"/>
        </w:rPr>
        <w:t>y la afectaci</w:t>
      </w:r>
      <w:r>
        <w:rPr>
          <w:rFonts w:cs="Times New Roman"/>
          <w:sz w:val="16"/>
          <w:szCs w:val="16"/>
          <w:lang w:val="es-ES_tradnl"/>
        </w:rPr>
        <w:t>ó</w:t>
      </w:r>
      <w:r>
        <w:rPr>
          <w:sz w:val="16"/>
          <w:szCs w:val="16"/>
          <w:lang w:val="es-ES_tradnl"/>
        </w:rPr>
        <w:t>n a mi proyecto de vida.</w:t>
      </w:r>
    </w:p>
    <w:p w14:paraId="4F67B1BF" w14:textId="77777777" w:rsidR="00591D54" w:rsidRDefault="00591D54">
      <w:pPr>
        <w:shd w:val="clear" w:color="auto" w:fill="FFFFFF"/>
        <w:spacing w:before="202"/>
      </w:pPr>
      <w:r>
        <w:rPr>
          <w:b/>
          <w:bCs/>
          <w:spacing w:val="-8"/>
          <w:sz w:val="18"/>
          <w:szCs w:val="18"/>
          <w:lang w:val="es-ES_tradnl"/>
        </w:rPr>
        <w:t>Decisi</w:t>
      </w:r>
      <w:r>
        <w:rPr>
          <w:rFonts w:cs="Times New Roman"/>
          <w:b/>
          <w:bCs/>
          <w:spacing w:val="-8"/>
          <w:sz w:val="18"/>
          <w:szCs w:val="18"/>
          <w:lang w:val="es-ES_tradnl"/>
        </w:rPr>
        <w:t>ó</w:t>
      </w:r>
      <w:r>
        <w:rPr>
          <w:b/>
          <w:bCs/>
          <w:spacing w:val="-8"/>
          <w:sz w:val="18"/>
          <w:szCs w:val="18"/>
          <w:lang w:val="es-ES_tradnl"/>
        </w:rPr>
        <w:t>n judicial demandada</w:t>
      </w:r>
    </w:p>
    <w:p w14:paraId="4F67B1C0" w14:textId="77777777" w:rsidR="00591D54" w:rsidRDefault="00591D54">
      <w:pPr>
        <w:shd w:val="clear" w:color="auto" w:fill="FFFFFF"/>
        <w:spacing w:before="197" w:line="221" w:lineRule="exact"/>
        <w:ind w:right="10"/>
        <w:jc w:val="both"/>
      </w:pPr>
      <w:r>
        <w:rPr>
          <w:b/>
          <w:bCs/>
          <w:spacing w:val="-7"/>
          <w:sz w:val="18"/>
          <w:szCs w:val="18"/>
          <w:lang w:val="es-ES_tradnl"/>
        </w:rPr>
        <w:t xml:space="preserve">Sentencia emitida el 08 de noviembre de 2010, por la </w:t>
      </w:r>
      <w:r>
        <w:rPr>
          <w:b/>
          <w:bCs/>
          <w:spacing w:val="-11"/>
          <w:sz w:val="18"/>
          <w:szCs w:val="18"/>
          <w:lang w:val="es-ES_tradnl"/>
        </w:rPr>
        <w:t>Tercera Sala de lo Penal y Tr</w:t>
      </w:r>
      <w:r>
        <w:rPr>
          <w:rFonts w:cs="Times New Roman"/>
          <w:b/>
          <w:bCs/>
          <w:spacing w:val="-11"/>
          <w:sz w:val="18"/>
          <w:szCs w:val="18"/>
          <w:lang w:val="es-ES_tradnl"/>
        </w:rPr>
        <w:t>á</w:t>
      </w:r>
      <w:r>
        <w:rPr>
          <w:b/>
          <w:bCs/>
          <w:spacing w:val="-11"/>
          <w:sz w:val="18"/>
          <w:szCs w:val="18"/>
          <w:lang w:val="es-ES_tradnl"/>
        </w:rPr>
        <w:t xml:space="preserve">nsito de la Corte Provincial </w:t>
      </w:r>
      <w:r>
        <w:rPr>
          <w:b/>
          <w:bCs/>
          <w:spacing w:val="-8"/>
          <w:sz w:val="18"/>
          <w:szCs w:val="18"/>
          <w:lang w:val="es-ES_tradnl"/>
        </w:rPr>
        <w:t xml:space="preserve">de Justicia del Guayas, dentro del juicio por medidas </w:t>
      </w:r>
      <w:r>
        <w:rPr>
          <w:b/>
          <w:bCs/>
          <w:sz w:val="18"/>
          <w:szCs w:val="18"/>
          <w:lang w:val="es-ES_tradnl"/>
        </w:rPr>
        <w:t>cautelares N.</w:t>
      </w:r>
      <w:r>
        <w:rPr>
          <w:rFonts w:cs="Times New Roman"/>
          <w:b/>
          <w:bCs/>
          <w:sz w:val="18"/>
          <w:szCs w:val="18"/>
          <w:lang w:val="es-ES_tradnl"/>
        </w:rPr>
        <w:t>°</w:t>
      </w:r>
      <w:r>
        <w:rPr>
          <w:b/>
          <w:bCs/>
          <w:sz w:val="18"/>
          <w:szCs w:val="18"/>
          <w:lang w:val="es-ES_tradnl"/>
        </w:rPr>
        <w:t xml:space="preserve"> 0801-2010/A.</w:t>
      </w:r>
    </w:p>
    <w:p w14:paraId="4F67B1C1" w14:textId="77777777" w:rsidR="00591D54" w:rsidRDefault="00591D54">
      <w:pPr>
        <w:shd w:val="clear" w:color="auto" w:fill="FFFFFF"/>
        <w:spacing w:before="202" w:line="221" w:lineRule="exact"/>
        <w:ind w:left="283"/>
        <w:jc w:val="both"/>
      </w:pPr>
      <w:r>
        <w:rPr>
          <w:spacing w:val="-4"/>
          <w:sz w:val="16"/>
          <w:szCs w:val="16"/>
          <w:lang w:val="es-ES_tradnl"/>
        </w:rPr>
        <w:t xml:space="preserve">Guayaquil, 08 de noviembre de 2010.- </w:t>
      </w:r>
      <w:r>
        <w:rPr>
          <w:b/>
          <w:bCs/>
          <w:spacing w:val="-4"/>
          <w:sz w:val="16"/>
          <w:szCs w:val="16"/>
          <w:lang w:val="es-ES_tradnl"/>
        </w:rPr>
        <w:t xml:space="preserve">CORTE </w:t>
      </w:r>
      <w:r>
        <w:rPr>
          <w:b/>
          <w:bCs/>
          <w:sz w:val="16"/>
          <w:szCs w:val="16"/>
          <w:lang w:val="es-ES_tradnl"/>
        </w:rPr>
        <w:t>PROVINCIAL DE JUSTICIA DE GUAYAS.- TERCERA SALA DE LO PENAL Y TR</w:t>
      </w:r>
      <w:r>
        <w:rPr>
          <w:rFonts w:cs="Times New Roman"/>
          <w:b/>
          <w:bCs/>
          <w:sz w:val="16"/>
          <w:szCs w:val="16"/>
          <w:lang w:val="es-ES_tradnl"/>
        </w:rPr>
        <w:t>Á</w:t>
      </w:r>
      <w:r>
        <w:rPr>
          <w:b/>
          <w:bCs/>
          <w:sz w:val="16"/>
          <w:szCs w:val="16"/>
          <w:lang w:val="es-ES_tradnl"/>
        </w:rPr>
        <w:t xml:space="preserve">NSITO.- VISTOS.- </w:t>
      </w:r>
      <w:r>
        <w:rPr>
          <w:sz w:val="16"/>
          <w:szCs w:val="16"/>
          <w:lang w:val="es-ES_tradnl"/>
        </w:rPr>
        <w:t>(</w:t>
      </w:r>
      <w:r>
        <w:rPr>
          <w:rFonts w:cs="Times New Roman"/>
          <w:sz w:val="16"/>
          <w:szCs w:val="16"/>
          <w:lang w:val="es-ES_tradnl"/>
        </w:rPr>
        <w:t>…</w:t>
      </w:r>
      <w:r>
        <w:rPr>
          <w:sz w:val="16"/>
          <w:szCs w:val="16"/>
          <w:lang w:val="es-ES_tradnl"/>
        </w:rPr>
        <w:t xml:space="preserve">) </w:t>
      </w:r>
      <w:r>
        <w:rPr>
          <w:b/>
          <w:bCs/>
          <w:spacing w:val="-3"/>
          <w:sz w:val="16"/>
          <w:szCs w:val="16"/>
          <w:lang w:val="es-ES_tradnl"/>
        </w:rPr>
        <w:t>S</w:t>
      </w:r>
      <w:r>
        <w:rPr>
          <w:rFonts w:cs="Times New Roman"/>
          <w:b/>
          <w:bCs/>
          <w:spacing w:val="-3"/>
          <w:sz w:val="16"/>
          <w:szCs w:val="16"/>
          <w:lang w:val="es-ES_tradnl"/>
        </w:rPr>
        <w:t>É</w:t>
      </w:r>
      <w:r>
        <w:rPr>
          <w:b/>
          <w:bCs/>
          <w:spacing w:val="-3"/>
          <w:sz w:val="16"/>
          <w:szCs w:val="16"/>
          <w:lang w:val="es-ES_tradnl"/>
        </w:rPr>
        <w:t xml:space="preserve">PTIMO: </w:t>
      </w:r>
      <w:r>
        <w:rPr>
          <w:spacing w:val="-3"/>
          <w:sz w:val="16"/>
          <w:szCs w:val="16"/>
          <w:lang w:val="es-ES_tradnl"/>
        </w:rPr>
        <w:t>El art</w:t>
      </w:r>
      <w:r>
        <w:rPr>
          <w:rFonts w:cs="Times New Roman"/>
          <w:spacing w:val="-3"/>
          <w:sz w:val="16"/>
          <w:szCs w:val="16"/>
          <w:lang w:val="es-ES_tradnl"/>
        </w:rPr>
        <w:t>í</w:t>
      </w:r>
      <w:r>
        <w:rPr>
          <w:spacing w:val="-3"/>
          <w:sz w:val="16"/>
          <w:szCs w:val="16"/>
          <w:lang w:val="es-ES_tradnl"/>
        </w:rPr>
        <w:t>culo 28 de la Ley Org</w:t>
      </w:r>
      <w:r>
        <w:rPr>
          <w:rFonts w:cs="Times New Roman"/>
          <w:spacing w:val="-3"/>
          <w:sz w:val="16"/>
          <w:szCs w:val="16"/>
          <w:lang w:val="es-ES_tradnl"/>
        </w:rPr>
        <w:t>á</w:t>
      </w:r>
      <w:r>
        <w:rPr>
          <w:spacing w:val="-3"/>
          <w:sz w:val="16"/>
          <w:szCs w:val="16"/>
          <w:lang w:val="es-ES_tradnl"/>
        </w:rPr>
        <w:t>nica de Garant</w:t>
      </w:r>
      <w:r>
        <w:rPr>
          <w:rFonts w:cs="Times New Roman"/>
          <w:spacing w:val="-3"/>
          <w:sz w:val="16"/>
          <w:szCs w:val="16"/>
          <w:lang w:val="es-ES_tradnl"/>
        </w:rPr>
        <w:t>í</w:t>
      </w:r>
      <w:r>
        <w:rPr>
          <w:spacing w:val="-3"/>
          <w:sz w:val="16"/>
          <w:szCs w:val="16"/>
          <w:lang w:val="es-ES_tradnl"/>
        </w:rPr>
        <w:t xml:space="preserve">as </w:t>
      </w:r>
      <w:r>
        <w:rPr>
          <w:spacing w:val="-5"/>
          <w:sz w:val="16"/>
          <w:szCs w:val="16"/>
          <w:lang w:val="es-ES_tradnl"/>
        </w:rPr>
        <w:t>Jurisdiccionales y Control Constitucional, proh</w:t>
      </w:r>
      <w:r>
        <w:rPr>
          <w:rFonts w:cs="Times New Roman"/>
          <w:spacing w:val="-5"/>
          <w:sz w:val="16"/>
          <w:szCs w:val="16"/>
          <w:lang w:val="es-ES_tradnl"/>
        </w:rPr>
        <w:t>í</w:t>
      </w:r>
      <w:r>
        <w:rPr>
          <w:spacing w:val="-5"/>
          <w:sz w:val="16"/>
          <w:szCs w:val="16"/>
          <w:lang w:val="es-ES_tradnl"/>
        </w:rPr>
        <w:t>be la emisi</w:t>
      </w:r>
      <w:r>
        <w:rPr>
          <w:rFonts w:cs="Times New Roman"/>
          <w:spacing w:val="-5"/>
          <w:sz w:val="16"/>
          <w:szCs w:val="16"/>
          <w:lang w:val="es-ES_tradnl"/>
        </w:rPr>
        <w:t>ó</w:t>
      </w:r>
      <w:r>
        <w:rPr>
          <w:spacing w:val="-5"/>
          <w:sz w:val="16"/>
          <w:szCs w:val="16"/>
          <w:lang w:val="es-ES_tradnl"/>
        </w:rPr>
        <w:t xml:space="preserve">n </w:t>
      </w:r>
      <w:r>
        <w:rPr>
          <w:spacing w:val="-7"/>
          <w:sz w:val="16"/>
          <w:szCs w:val="16"/>
          <w:lang w:val="es-ES_tradnl"/>
        </w:rPr>
        <w:t xml:space="preserve">de un pronunciamiento sobre el fondo. Los jueces debemos </w:t>
      </w:r>
      <w:r>
        <w:rPr>
          <w:spacing w:val="-6"/>
          <w:sz w:val="16"/>
          <w:szCs w:val="16"/>
          <w:lang w:val="es-ES_tradnl"/>
        </w:rPr>
        <w:t>analizar la petici</w:t>
      </w:r>
      <w:r>
        <w:rPr>
          <w:rFonts w:cs="Times New Roman"/>
          <w:spacing w:val="-6"/>
          <w:sz w:val="16"/>
          <w:szCs w:val="16"/>
          <w:lang w:val="es-ES_tradnl"/>
        </w:rPr>
        <w:t>ó</w:t>
      </w:r>
      <w:r>
        <w:rPr>
          <w:spacing w:val="-6"/>
          <w:sz w:val="16"/>
          <w:szCs w:val="16"/>
          <w:lang w:val="es-ES_tradnl"/>
        </w:rPr>
        <w:t xml:space="preserve">n de medidas cautelares </w:t>
      </w:r>
      <w:r>
        <w:rPr>
          <w:rFonts w:cs="Times New Roman"/>
          <w:spacing w:val="-6"/>
          <w:sz w:val="16"/>
          <w:szCs w:val="16"/>
          <w:lang w:val="es-ES_tradnl"/>
        </w:rPr>
        <w:t>ú</w:t>
      </w:r>
      <w:r>
        <w:rPr>
          <w:spacing w:val="-6"/>
          <w:sz w:val="16"/>
          <w:szCs w:val="16"/>
          <w:lang w:val="es-ES_tradnl"/>
        </w:rPr>
        <w:t xml:space="preserve">nicamente sobre </w:t>
      </w:r>
      <w:r>
        <w:rPr>
          <w:spacing w:val="-5"/>
          <w:sz w:val="16"/>
          <w:szCs w:val="16"/>
          <w:lang w:val="es-ES_tradnl"/>
        </w:rPr>
        <w:t xml:space="preserve">la base de un juicio de verosimilitud (apariencia de buen </w:t>
      </w:r>
      <w:r>
        <w:rPr>
          <w:spacing w:val="-8"/>
          <w:sz w:val="16"/>
          <w:szCs w:val="16"/>
          <w:lang w:val="es-ES_tradnl"/>
        </w:rPr>
        <w:t>derecho). A criterio de los suscritos se encuentran reunidos los elementos que exigen los art</w:t>
      </w:r>
      <w:r>
        <w:rPr>
          <w:rFonts w:cs="Times New Roman"/>
          <w:spacing w:val="-8"/>
          <w:sz w:val="16"/>
          <w:szCs w:val="16"/>
          <w:lang w:val="es-ES_tradnl"/>
        </w:rPr>
        <w:t>í</w:t>
      </w:r>
      <w:r>
        <w:rPr>
          <w:spacing w:val="-8"/>
          <w:sz w:val="16"/>
          <w:szCs w:val="16"/>
          <w:lang w:val="es-ES_tradnl"/>
        </w:rPr>
        <w:t>culos 27 y 23 de la Ley Org</w:t>
      </w:r>
      <w:r>
        <w:rPr>
          <w:rFonts w:cs="Times New Roman"/>
          <w:spacing w:val="-8"/>
          <w:sz w:val="16"/>
          <w:szCs w:val="16"/>
          <w:lang w:val="es-ES_tradnl"/>
        </w:rPr>
        <w:t>á</w:t>
      </w:r>
      <w:r>
        <w:rPr>
          <w:spacing w:val="-8"/>
          <w:sz w:val="16"/>
          <w:szCs w:val="16"/>
          <w:lang w:val="es-ES_tradnl"/>
        </w:rPr>
        <w:t xml:space="preserve">nica </w:t>
      </w:r>
      <w:r>
        <w:rPr>
          <w:spacing w:val="-4"/>
          <w:sz w:val="16"/>
          <w:szCs w:val="16"/>
          <w:lang w:val="es-ES_tradnl"/>
        </w:rPr>
        <w:t>de Garant</w:t>
      </w:r>
      <w:r>
        <w:rPr>
          <w:rFonts w:cs="Times New Roman"/>
          <w:spacing w:val="-4"/>
          <w:sz w:val="16"/>
          <w:szCs w:val="16"/>
          <w:lang w:val="es-ES_tradnl"/>
        </w:rPr>
        <w:t>í</w:t>
      </w:r>
      <w:r>
        <w:rPr>
          <w:spacing w:val="-4"/>
          <w:sz w:val="16"/>
          <w:szCs w:val="16"/>
          <w:lang w:val="es-ES_tradnl"/>
        </w:rPr>
        <w:t xml:space="preserve">as Jurisdiccionales y Control Constitucional. </w:t>
      </w:r>
      <w:r>
        <w:rPr>
          <w:b/>
          <w:bCs/>
          <w:spacing w:val="-4"/>
          <w:sz w:val="16"/>
          <w:szCs w:val="16"/>
          <w:lang w:val="es-ES_tradnl"/>
        </w:rPr>
        <w:t xml:space="preserve">OCTAVO: </w:t>
      </w:r>
      <w:r>
        <w:rPr>
          <w:spacing w:val="-4"/>
          <w:sz w:val="16"/>
          <w:szCs w:val="16"/>
          <w:lang w:val="es-ES_tradnl"/>
        </w:rPr>
        <w:t>La cuesti</w:t>
      </w:r>
      <w:r>
        <w:rPr>
          <w:rFonts w:cs="Times New Roman"/>
          <w:spacing w:val="-4"/>
          <w:sz w:val="16"/>
          <w:szCs w:val="16"/>
          <w:lang w:val="es-ES_tradnl"/>
        </w:rPr>
        <w:t>ó</w:t>
      </w:r>
      <w:r>
        <w:rPr>
          <w:spacing w:val="-4"/>
          <w:sz w:val="16"/>
          <w:szCs w:val="16"/>
          <w:lang w:val="es-ES_tradnl"/>
        </w:rPr>
        <w:t xml:space="preserve">n de fondo debe resolverse ante el Tribunal Distrital de lo Contencioso Administrativo, toda vez </w:t>
      </w:r>
      <w:r>
        <w:rPr>
          <w:spacing w:val="-3"/>
          <w:sz w:val="16"/>
          <w:szCs w:val="16"/>
          <w:lang w:val="es-ES_tradnl"/>
        </w:rPr>
        <w:t>que, de conformidad con el art</w:t>
      </w:r>
      <w:r>
        <w:rPr>
          <w:rFonts w:cs="Times New Roman"/>
          <w:spacing w:val="-3"/>
          <w:sz w:val="16"/>
          <w:szCs w:val="16"/>
          <w:lang w:val="es-ES_tradnl"/>
        </w:rPr>
        <w:t>í</w:t>
      </w:r>
      <w:r>
        <w:rPr>
          <w:spacing w:val="-3"/>
          <w:sz w:val="16"/>
          <w:szCs w:val="16"/>
          <w:lang w:val="es-ES_tradnl"/>
        </w:rPr>
        <w:t>culo 28 de la Ley Org</w:t>
      </w:r>
      <w:r>
        <w:rPr>
          <w:rFonts w:cs="Times New Roman"/>
          <w:spacing w:val="-3"/>
          <w:sz w:val="16"/>
          <w:szCs w:val="16"/>
          <w:lang w:val="es-ES_tradnl"/>
        </w:rPr>
        <w:t>á</w:t>
      </w:r>
      <w:r>
        <w:rPr>
          <w:spacing w:val="-3"/>
          <w:sz w:val="16"/>
          <w:szCs w:val="16"/>
          <w:lang w:val="es-ES_tradnl"/>
        </w:rPr>
        <w:t xml:space="preserve">nica </w:t>
      </w:r>
      <w:r>
        <w:rPr>
          <w:spacing w:val="-5"/>
          <w:sz w:val="16"/>
          <w:szCs w:val="16"/>
          <w:lang w:val="es-ES_tradnl"/>
        </w:rPr>
        <w:t>de Garant</w:t>
      </w:r>
      <w:r>
        <w:rPr>
          <w:rFonts w:cs="Times New Roman"/>
          <w:spacing w:val="-5"/>
          <w:sz w:val="16"/>
          <w:szCs w:val="16"/>
          <w:lang w:val="es-ES_tradnl"/>
        </w:rPr>
        <w:t>í</w:t>
      </w:r>
      <w:r>
        <w:rPr>
          <w:spacing w:val="-5"/>
          <w:sz w:val="16"/>
          <w:szCs w:val="16"/>
          <w:lang w:val="es-ES_tradnl"/>
        </w:rPr>
        <w:t xml:space="preserve">as Jurisdiccionales y Control Constitucional, no </w:t>
      </w:r>
      <w:r>
        <w:rPr>
          <w:spacing w:val="-7"/>
          <w:sz w:val="16"/>
          <w:szCs w:val="16"/>
          <w:lang w:val="es-ES_tradnl"/>
        </w:rPr>
        <w:t xml:space="preserve">corresponde a la suscrita judicatura emitir un pronunciamiento </w:t>
      </w:r>
      <w:r>
        <w:rPr>
          <w:spacing w:val="-9"/>
          <w:sz w:val="16"/>
          <w:szCs w:val="16"/>
          <w:lang w:val="es-ES_tradnl"/>
        </w:rPr>
        <w:t>sobre el fondo, sino, como lo dispone el art</w:t>
      </w:r>
      <w:r>
        <w:rPr>
          <w:rFonts w:cs="Times New Roman"/>
          <w:spacing w:val="-9"/>
          <w:sz w:val="16"/>
          <w:szCs w:val="16"/>
          <w:lang w:val="es-ES_tradnl"/>
        </w:rPr>
        <w:t>í</w:t>
      </w:r>
      <w:r>
        <w:rPr>
          <w:spacing w:val="-9"/>
          <w:sz w:val="16"/>
          <w:szCs w:val="16"/>
          <w:lang w:val="es-ES_tradnl"/>
        </w:rPr>
        <w:t xml:space="preserve">culo 26 de la misma </w:t>
      </w:r>
      <w:r>
        <w:rPr>
          <w:spacing w:val="-4"/>
          <w:sz w:val="16"/>
          <w:szCs w:val="16"/>
          <w:lang w:val="es-ES_tradnl"/>
        </w:rPr>
        <w:t>ley, evitando la lesi</w:t>
      </w:r>
      <w:r>
        <w:rPr>
          <w:rFonts w:cs="Times New Roman"/>
          <w:spacing w:val="-4"/>
          <w:sz w:val="16"/>
          <w:szCs w:val="16"/>
          <w:lang w:val="es-ES_tradnl"/>
        </w:rPr>
        <w:t>ó</w:t>
      </w:r>
      <w:r>
        <w:rPr>
          <w:spacing w:val="-4"/>
          <w:sz w:val="16"/>
          <w:szCs w:val="16"/>
          <w:lang w:val="es-ES_tradnl"/>
        </w:rPr>
        <w:t xml:space="preserve">n de los derechos constitucionales. Por </w:t>
      </w:r>
      <w:r>
        <w:rPr>
          <w:spacing w:val="-7"/>
          <w:sz w:val="16"/>
          <w:szCs w:val="16"/>
          <w:lang w:val="es-ES_tradnl"/>
        </w:rPr>
        <w:t>lo tanto, esta Tercera Sala de lo Penal y Tr</w:t>
      </w:r>
      <w:r>
        <w:rPr>
          <w:rFonts w:cs="Times New Roman"/>
          <w:spacing w:val="-7"/>
          <w:sz w:val="16"/>
          <w:szCs w:val="16"/>
          <w:lang w:val="es-ES_tradnl"/>
        </w:rPr>
        <w:t>á</w:t>
      </w:r>
      <w:r>
        <w:rPr>
          <w:spacing w:val="-7"/>
          <w:sz w:val="16"/>
          <w:szCs w:val="16"/>
          <w:lang w:val="es-ES_tradnl"/>
        </w:rPr>
        <w:t xml:space="preserve">nsito de la Corte </w:t>
      </w:r>
      <w:r>
        <w:rPr>
          <w:spacing w:val="-8"/>
          <w:sz w:val="16"/>
          <w:szCs w:val="16"/>
          <w:lang w:val="es-ES_tradnl"/>
        </w:rPr>
        <w:t xml:space="preserve">Provincial de Justicia del Guayas, confirma la medida cautelar </w:t>
      </w:r>
      <w:r>
        <w:rPr>
          <w:spacing w:val="-6"/>
          <w:sz w:val="16"/>
          <w:szCs w:val="16"/>
          <w:lang w:val="es-ES_tradnl"/>
        </w:rPr>
        <w:t>dictada, por el inferior. Una vez ejecutoriado el presente fallo, devu</w:t>
      </w:r>
      <w:r>
        <w:rPr>
          <w:rFonts w:cs="Times New Roman"/>
          <w:spacing w:val="-6"/>
          <w:sz w:val="16"/>
          <w:szCs w:val="16"/>
          <w:lang w:val="es-ES_tradnl"/>
        </w:rPr>
        <w:t>é</w:t>
      </w:r>
      <w:r>
        <w:rPr>
          <w:spacing w:val="-6"/>
          <w:sz w:val="16"/>
          <w:szCs w:val="16"/>
          <w:lang w:val="es-ES_tradnl"/>
        </w:rPr>
        <w:t>lvase sin dilaci</w:t>
      </w:r>
      <w:r>
        <w:rPr>
          <w:rFonts w:cs="Times New Roman"/>
          <w:spacing w:val="-6"/>
          <w:sz w:val="16"/>
          <w:szCs w:val="16"/>
          <w:lang w:val="es-ES_tradnl"/>
        </w:rPr>
        <w:t>ó</w:t>
      </w:r>
      <w:r>
        <w:rPr>
          <w:spacing w:val="-6"/>
          <w:sz w:val="16"/>
          <w:szCs w:val="16"/>
          <w:lang w:val="es-ES_tradnl"/>
        </w:rPr>
        <w:t xml:space="preserve">n alguna el presente proceso al juez </w:t>
      </w:r>
      <w:r>
        <w:rPr>
          <w:spacing w:val="-5"/>
          <w:sz w:val="16"/>
          <w:szCs w:val="16"/>
          <w:lang w:val="es-ES_tradnl"/>
        </w:rPr>
        <w:t>A-quo, a fin de que se contin</w:t>
      </w:r>
      <w:r>
        <w:rPr>
          <w:rFonts w:cs="Times New Roman"/>
          <w:spacing w:val="-5"/>
          <w:sz w:val="16"/>
          <w:szCs w:val="16"/>
          <w:lang w:val="es-ES_tradnl"/>
        </w:rPr>
        <w:t>ú</w:t>
      </w:r>
      <w:r>
        <w:rPr>
          <w:spacing w:val="-5"/>
          <w:sz w:val="16"/>
          <w:szCs w:val="16"/>
          <w:lang w:val="es-ES_tradnl"/>
        </w:rPr>
        <w:t xml:space="preserve">e con el procedimiento legal </w:t>
      </w:r>
      <w:r>
        <w:rPr>
          <w:sz w:val="16"/>
          <w:szCs w:val="16"/>
          <w:lang w:val="es-ES_tradnl"/>
        </w:rPr>
        <w:t>establecido.</w:t>
      </w:r>
    </w:p>
    <w:p w14:paraId="4F67B1C2" w14:textId="77777777" w:rsidR="00591D54" w:rsidRDefault="00591D54">
      <w:pPr>
        <w:shd w:val="clear" w:color="auto" w:fill="FFFFFF"/>
        <w:spacing w:before="202"/>
      </w:pPr>
      <w:r>
        <w:rPr>
          <w:b/>
          <w:bCs/>
          <w:spacing w:val="-10"/>
          <w:sz w:val="18"/>
          <w:szCs w:val="18"/>
          <w:lang w:val="es-ES_tradnl"/>
        </w:rPr>
        <w:t>Contestaci</w:t>
      </w:r>
      <w:r>
        <w:rPr>
          <w:rFonts w:cs="Times New Roman"/>
          <w:b/>
          <w:bCs/>
          <w:spacing w:val="-10"/>
          <w:sz w:val="18"/>
          <w:szCs w:val="18"/>
          <w:lang w:val="es-ES_tradnl"/>
        </w:rPr>
        <w:t>ó</w:t>
      </w:r>
      <w:r>
        <w:rPr>
          <w:b/>
          <w:bCs/>
          <w:spacing w:val="-10"/>
          <w:sz w:val="18"/>
          <w:szCs w:val="18"/>
          <w:lang w:val="es-ES_tradnl"/>
        </w:rPr>
        <w:t>n a la demanda</w:t>
      </w:r>
    </w:p>
    <w:p w14:paraId="4F67B1C3" w14:textId="77777777" w:rsidR="00591D54" w:rsidRDefault="00591D54">
      <w:pPr>
        <w:shd w:val="clear" w:color="auto" w:fill="FFFFFF"/>
        <w:spacing w:before="197" w:line="221" w:lineRule="exact"/>
        <w:ind w:right="10"/>
        <w:jc w:val="both"/>
      </w:pPr>
      <w:r>
        <w:rPr>
          <w:sz w:val="18"/>
          <w:szCs w:val="18"/>
          <w:lang w:val="es-ES_tradnl"/>
        </w:rPr>
        <w:t>A foja 22 del proceso consta la raz</w:t>
      </w:r>
      <w:r>
        <w:rPr>
          <w:rFonts w:cs="Times New Roman"/>
          <w:sz w:val="18"/>
          <w:szCs w:val="18"/>
          <w:lang w:val="es-ES_tradnl"/>
        </w:rPr>
        <w:t>ó</w:t>
      </w:r>
      <w:r>
        <w:rPr>
          <w:sz w:val="18"/>
          <w:szCs w:val="18"/>
          <w:lang w:val="es-ES_tradnl"/>
        </w:rPr>
        <w:t>n de notificaci</w:t>
      </w:r>
      <w:r>
        <w:rPr>
          <w:rFonts w:cs="Times New Roman"/>
          <w:sz w:val="18"/>
          <w:szCs w:val="18"/>
          <w:lang w:val="es-ES_tradnl"/>
        </w:rPr>
        <w:t>ó</w:t>
      </w:r>
      <w:r>
        <w:rPr>
          <w:sz w:val="18"/>
          <w:szCs w:val="18"/>
          <w:lang w:val="es-ES_tradnl"/>
        </w:rPr>
        <w:t xml:space="preserve">n </w:t>
      </w:r>
      <w:r>
        <w:rPr>
          <w:spacing w:val="-5"/>
          <w:sz w:val="18"/>
          <w:szCs w:val="18"/>
          <w:lang w:val="es-ES_tradnl"/>
        </w:rPr>
        <w:t xml:space="preserve">de la providencia emitida el 11 de junio de 2014, por la </w:t>
      </w:r>
      <w:r>
        <w:rPr>
          <w:spacing w:val="-10"/>
          <w:sz w:val="18"/>
          <w:szCs w:val="18"/>
          <w:lang w:val="es-ES_tradnl"/>
        </w:rPr>
        <w:t xml:space="preserve">doctora Ruth Seni Pinoargote, mediante la cual ordena a los </w:t>
      </w:r>
      <w:r>
        <w:rPr>
          <w:spacing w:val="-9"/>
          <w:sz w:val="18"/>
          <w:szCs w:val="18"/>
          <w:lang w:val="es-ES_tradnl"/>
        </w:rPr>
        <w:t>jueces de la Tercera Sala de lo Penal y Tr</w:t>
      </w:r>
      <w:r>
        <w:rPr>
          <w:rFonts w:cs="Times New Roman"/>
          <w:spacing w:val="-9"/>
          <w:sz w:val="18"/>
          <w:szCs w:val="18"/>
          <w:lang w:val="es-ES_tradnl"/>
        </w:rPr>
        <w:t>á</w:t>
      </w:r>
      <w:r>
        <w:rPr>
          <w:spacing w:val="-9"/>
          <w:sz w:val="18"/>
          <w:szCs w:val="18"/>
          <w:lang w:val="es-ES_tradnl"/>
        </w:rPr>
        <w:t xml:space="preserve">nsito de la Corte </w:t>
      </w:r>
      <w:r>
        <w:rPr>
          <w:spacing w:val="-7"/>
          <w:sz w:val="18"/>
          <w:szCs w:val="18"/>
          <w:lang w:val="es-ES_tradnl"/>
        </w:rPr>
        <w:t>Provincial del Guayas que presenten el correspondiente informe respecto de la acci</w:t>
      </w:r>
      <w:r>
        <w:rPr>
          <w:rFonts w:cs="Times New Roman"/>
          <w:spacing w:val="-7"/>
          <w:sz w:val="18"/>
          <w:szCs w:val="18"/>
          <w:lang w:val="es-ES_tradnl"/>
        </w:rPr>
        <w:t>ó</w:t>
      </w:r>
      <w:r>
        <w:rPr>
          <w:spacing w:val="-7"/>
          <w:sz w:val="18"/>
          <w:szCs w:val="18"/>
          <w:lang w:val="es-ES_tradnl"/>
        </w:rPr>
        <w:t>n extraordinaria de protecci</w:t>
      </w:r>
      <w:r>
        <w:rPr>
          <w:rFonts w:cs="Times New Roman"/>
          <w:spacing w:val="-7"/>
          <w:sz w:val="18"/>
          <w:szCs w:val="18"/>
          <w:lang w:val="es-ES_tradnl"/>
        </w:rPr>
        <w:t>ó</w:t>
      </w:r>
      <w:r>
        <w:rPr>
          <w:spacing w:val="-7"/>
          <w:sz w:val="18"/>
          <w:szCs w:val="18"/>
          <w:lang w:val="es-ES_tradnl"/>
        </w:rPr>
        <w:t xml:space="preserve">n </w:t>
      </w:r>
      <w:r>
        <w:rPr>
          <w:spacing w:val="-6"/>
          <w:sz w:val="18"/>
          <w:szCs w:val="18"/>
          <w:lang w:val="es-ES_tradnl"/>
        </w:rPr>
        <w:t>en el t</w:t>
      </w:r>
      <w:r>
        <w:rPr>
          <w:rFonts w:cs="Times New Roman"/>
          <w:spacing w:val="-6"/>
          <w:sz w:val="18"/>
          <w:szCs w:val="18"/>
          <w:lang w:val="es-ES_tradnl"/>
        </w:rPr>
        <w:t>é</w:t>
      </w:r>
      <w:r>
        <w:rPr>
          <w:spacing w:val="-6"/>
          <w:sz w:val="18"/>
          <w:szCs w:val="18"/>
          <w:lang w:val="es-ES_tradnl"/>
        </w:rPr>
        <w:t>rmino de cinco d</w:t>
      </w:r>
      <w:r>
        <w:rPr>
          <w:rFonts w:cs="Times New Roman"/>
          <w:spacing w:val="-6"/>
          <w:sz w:val="18"/>
          <w:szCs w:val="18"/>
          <w:lang w:val="es-ES_tradnl"/>
        </w:rPr>
        <w:t>í</w:t>
      </w:r>
      <w:r>
        <w:rPr>
          <w:spacing w:val="-6"/>
          <w:sz w:val="18"/>
          <w:szCs w:val="18"/>
          <w:lang w:val="es-ES_tradnl"/>
        </w:rPr>
        <w:t>as; pese a dicha notificaci</w:t>
      </w:r>
      <w:r>
        <w:rPr>
          <w:rFonts w:cs="Times New Roman"/>
          <w:spacing w:val="-6"/>
          <w:sz w:val="18"/>
          <w:szCs w:val="18"/>
          <w:lang w:val="es-ES_tradnl"/>
        </w:rPr>
        <w:t>ó</w:t>
      </w:r>
      <w:r>
        <w:rPr>
          <w:spacing w:val="-6"/>
          <w:sz w:val="18"/>
          <w:szCs w:val="18"/>
          <w:lang w:val="es-ES_tradnl"/>
        </w:rPr>
        <w:t xml:space="preserve">n, no </w:t>
      </w:r>
      <w:r>
        <w:rPr>
          <w:spacing w:val="-9"/>
          <w:sz w:val="18"/>
          <w:szCs w:val="18"/>
          <w:lang w:val="es-ES_tradnl"/>
        </w:rPr>
        <w:t>consta en el proceso ninguna contestaci</w:t>
      </w:r>
      <w:r>
        <w:rPr>
          <w:rFonts w:cs="Times New Roman"/>
          <w:spacing w:val="-9"/>
          <w:sz w:val="18"/>
          <w:szCs w:val="18"/>
          <w:lang w:val="es-ES_tradnl"/>
        </w:rPr>
        <w:t>ó</w:t>
      </w:r>
      <w:r>
        <w:rPr>
          <w:spacing w:val="-9"/>
          <w:sz w:val="18"/>
          <w:szCs w:val="18"/>
          <w:lang w:val="es-ES_tradnl"/>
        </w:rPr>
        <w:t>n.</w:t>
      </w:r>
    </w:p>
    <w:p w14:paraId="4F67B1C4" w14:textId="77777777" w:rsidR="00591D54" w:rsidRDefault="00591D54">
      <w:pPr>
        <w:shd w:val="clear" w:color="auto" w:fill="FFFFFF"/>
        <w:spacing w:before="197"/>
      </w:pPr>
      <w:r>
        <w:rPr>
          <w:b/>
          <w:bCs/>
          <w:spacing w:val="-11"/>
          <w:sz w:val="18"/>
          <w:szCs w:val="18"/>
          <w:lang w:val="es-ES_tradnl"/>
        </w:rPr>
        <w:t>Terceros con inter</w:t>
      </w:r>
      <w:r>
        <w:rPr>
          <w:rFonts w:cs="Times New Roman"/>
          <w:b/>
          <w:bCs/>
          <w:spacing w:val="-11"/>
          <w:sz w:val="18"/>
          <w:szCs w:val="18"/>
          <w:lang w:val="es-ES_tradnl"/>
        </w:rPr>
        <w:t>é</w:t>
      </w:r>
      <w:r>
        <w:rPr>
          <w:b/>
          <w:bCs/>
          <w:spacing w:val="-11"/>
          <w:sz w:val="18"/>
          <w:szCs w:val="18"/>
          <w:lang w:val="es-ES_tradnl"/>
        </w:rPr>
        <w:t>s</w:t>
      </w:r>
    </w:p>
    <w:p w14:paraId="4F67B1C5" w14:textId="77777777" w:rsidR="00591D54" w:rsidRDefault="00591D54">
      <w:pPr>
        <w:shd w:val="clear" w:color="auto" w:fill="FFFFFF"/>
        <w:spacing w:before="197" w:line="221" w:lineRule="exact"/>
        <w:ind w:right="10"/>
        <w:jc w:val="both"/>
      </w:pPr>
      <w:r>
        <w:rPr>
          <w:spacing w:val="-4"/>
          <w:sz w:val="18"/>
          <w:szCs w:val="18"/>
          <w:lang w:val="es-ES_tradnl"/>
        </w:rPr>
        <w:t xml:space="preserve">Marcos Arteaga Valenzuela, delegado del procurador </w:t>
      </w:r>
      <w:r>
        <w:rPr>
          <w:spacing w:val="-8"/>
          <w:sz w:val="18"/>
          <w:szCs w:val="18"/>
          <w:lang w:val="es-ES_tradnl"/>
        </w:rPr>
        <w:t xml:space="preserve">general del Estado, comparece ante la Corte Constitucional </w:t>
      </w:r>
      <w:r>
        <w:rPr>
          <w:spacing w:val="-7"/>
          <w:sz w:val="18"/>
          <w:szCs w:val="18"/>
          <w:lang w:val="es-ES_tradnl"/>
        </w:rPr>
        <w:t xml:space="preserve">y </w:t>
      </w:r>
      <w:r>
        <w:rPr>
          <w:rFonts w:cs="Times New Roman"/>
          <w:spacing w:val="-7"/>
          <w:sz w:val="18"/>
          <w:szCs w:val="18"/>
          <w:lang w:val="es-ES_tradnl"/>
        </w:rPr>
        <w:t>ú</w:t>
      </w:r>
      <w:r>
        <w:rPr>
          <w:spacing w:val="-7"/>
          <w:sz w:val="18"/>
          <w:szCs w:val="18"/>
          <w:lang w:val="es-ES_tradnl"/>
        </w:rPr>
        <w:t>nicamente procede a se</w:t>
      </w:r>
      <w:r>
        <w:rPr>
          <w:rFonts w:cs="Times New Roman"/>
          <w:spacing w:val="-7"/>
          <w:sz w:val="18"/>
          <w:szCs w:val="18"/>
          <w:lang w:val="es-ES_tradnl"/>
        </w:rPr>
        <w:t>ñ</w:t>
      </w:r>
      <w:r>
        <w:rPr>
          <w:spacing w:val="-7"/>
          <w:sz w:val="18"/>
          <w:szCs w:val="18"/>
          <w:lang w:val="es-ES_tradnl"/>
        </w:rPr>
        <w:t xml:space="preserve">alar el casillero constitucional </w:t>
      </w:r>
      <w:r>
        <w:rPr>
          <w:spacing w:val="-9"/>
          <w:sz w:val="18"/>
          <w:szCs w:val="18"/>
          <w:lang w:val="es-ES_tradnl"/>
        </w:rPr>
        <w:t>N.</w:t>
      </w:r>
      <w:r>
        <w:rPr>
          <w:rFonts w:cs="Times New Roman"/>
          <w:spacing w:val="-9"/>
          <w:sz w:val="18"/>
          <w:szCs w:val="18"/>
          <w:lang w:val="es-ES_tradnl"/>
        </w:rPr>
        <w:t>º</w:t>
      </w:r>
      <w:r>
        <w:rPr>
          <w:spacing w:val="-9"/>
          <w:sz w:val="18"/>
          <w:szCs w:val="18"/>
          <w:lang w:val="es-ES_tradnl"/>
        </w:rPr>
        <w:t xml:space="preserve"> 18, para recibir las notificaciones que le correspondan.</w:t>
      </w:r>
    </w:p>
    <w:p w14:paraId="4F67B1C6" w14:textId="77777777" w:rsidR="00591D54" w:rsidRDefault="00591D54">
      <w:pPr>
        <w:shd w:val="clear" w:color="auto" w:fill="FFFFFF"/>
        <w:spacing w:before="202" w:line="221" w:lineRule="exact"/>
        <w:ind w:right="10"/>
        <w:jc w:val="both"/>
      </w:pPr>
      <w:r>
        <w:rPr>
          <w:spacing w:val="-3"/>
          <w:sz w:val="18"/>
          <w:szCs w:val="18"/>
          <w:lang w:val="es-ES_tradnl"/>
        </w:rPr>
        <w:t>El doctor Ren</w:t>
      </w:r>
      <w:r>
        <w:rPr>
          <w:rFonts w:cs="Times New Roman"/>
          <w:spacing w:val="-3"/>
          <w:sz w:val="18"/>
          <w:szCs w:val="18"/>
          <w:lang w:val="es-ES_tradnl"/>
        </w:rPr>
        <w:t>á</w:t>
      </w:r>
      <w:r>
        <w:rPr>
          <w:spacing w:val="-3"/>
          <w:sz w:val="18"/>
          <w:szCs w:val="18"/>
          <w:lang w:val="es-ES_tradnl"/>
        </w:rPr>
        <w:t xml:space="preserve">n Mosquera Aulestia, procurador judicial </w:t>
      </w:r>
      <w:r>
        <w:rPr>
          <w:spacing w:val="-6"/>
          <w:sz w:val="18"/>
          <w:szCs w:val="18"/>
          <w:lang w:val="es-ES_tradnl"/>
        </w:rPr>
        <w:t xml:space="preserve">y delegado del superintendente de Bancos y Seguros, </w:t>
      </w:r>
      <w:r>
        <w:rPr>
          <w:spacing w:val="-10"/>
          <w:sz w:val="18"/>
          <w:szCs w:val="18"/>
          <w:lang w:val="es-ES_tradnl"/>
        </w:rPr>
        <w:t>respecto a la acci</w:t>
      </w:r>
      <w:r>
        <w:rPr>
          <w:rFonts w:cs="Times New Roman"/>
          <w:spacing w:val="-10"/>
          <w:sz w:val="18"/>
          <w:szCs w:val="18"/>
          <w:lang w:val="es-ES_tradnl"/>
        </w:rPr>
        <w:t>ó</w:t>
      </w:r>
      <w:r>
        <w:rPr>
          <w:spacing w:val="-10"/>
          <w:sz w:val="18"/>
          <w:szCs w:val="18"/>
          <w:lang w:val="es-ES_tradnl"/>
        </w:rPr>
        <w:t>n extraordinaria de protecci</w:t>
      </w:r>
      <w:r>
        <w:rPr>
          <w:rFonts w:cs="Times New Roman"/>
          <w:spacing w:val="-10"/>
          <w:sz w:val="18"/>
          <w:szCs w:val="18"/>
          <w:lang w:val="es-ES_tradnl"/>
        </w:rPr>
        <w:t>ó</w:t>
      </w:r>
      <w:r>
        <w:rPr>
          <w:spacing w:val="-10"/>
          <w:sz w:val="18"/>
          <w:szCs w:val="18"/>
          <w:lang w:val="es-ES_tradnl"/>
        </w:rPr>
        <w:t xml:space="preserve">n presentada </w:t>
      </w:r>
      <w:r>
        <w:rPr>
          <w:spacing w:val="-6"/>
          <w:sz w:val="18"/>
          <w:szCs w:val="18"/>
          <w:lang w:val="es-ES_tradnl"/>
        </w:rPr>
        <w:t>por la se</w:t>
      </w:r>
      <w:r>
        <w:rPr>
          <w:rFonts w:cs="Times New Roman"/>
          <w:spacing w:val="-6"/>
          <w:sz w:val="18"/>
          <w:szCs w:val="18"/>
          <w:lang w:val="es-ES_tradnl"/>
        </w:rPr>
        <w:t>ñ</w:t>
      </w:r>
      <w:r>
        <w:rPr>
          <w:spacing w:val="-6"/>
          <w:sz w:val="18"/>
          <w:szCs w:val="18"/>
          <w:lang w:val="es-ES_tradnl"/>
        </w:rPr>
        <w:t>ora Rosa Mar</w:t>
      </w:r>
      <w:r>
        <w:rPr>
          <w:rFonts w:cs="Times New Roman"/>
          <w:spacing w:val="-6"/>
          <w:sz w:val="18"/>
          <w:szCs w:val="18"/>
          <w:lang w:val="es-ES_tradnl"/>
        </w:rPr>
        <w:t>í</w:t>
      </w:r>
      <w:r>
        <w:rPr>
          <w:spacing w:val="-6"/>
          <w:sz w:val="18"/>
          <w:szCs w:val="18"/>
          <w:lang w:val="es-ES_tradnl"/>
        </w:rPr>
        <w:t xml:space="preserve">a Toledo Tapia, menciona que el </w:t>
      </w:r>
      <w:r>
        <w:rPr>
          <w:spacing w:val="-8"/>
          <w:sz w:val="18"/>
          <w:szCs w:val="18"/>
          <w:lang w:val="es-ES_tradnl"/>
        </w:rPr>
        <w:t>21 de diciembre de 2010, la Superintendencia de Bancos y Seguros present</w:t>
      </w:r>
      <w:r>
        <w:rPr>
          <w:rFonts w:cs="Times New Roman"/>
          <w:spacing w:val="-8"/>
          <w:sz w:val="18"/>
          <w:szCs w:val="18"/>
          <w:lang w:val="es-ES_tradnl"/>
        </w:rPr>
        <w:t>ó</w:t>
      </w:r>
      <w:r>
        <w:rPr>
          <w:spacing w:val="-8"/>
          <w:sz w:val="18"/>
          <w:szCs w:val="18"/>
          <w:lang w:val="es-ES_tradnl"/>
        </w:rPr>
        <w:t xml:space="preserve"> una acci</w:t>
      </w:r>
      <w:r>
        <w:rPr>
          <w:rFonts w:cs="Times New Roman"/>
          <w:spacing w:val="-8"/>
          <w:sz w:val="18"/>
          <w:szCs w:val="18"/>
          <w:lang w:val="es-ES_tradnl"/>
        </w:rPr>
        <w:t>ó</w:t>
      </w:r>
      <w:r>
        <w:rPr>
          <w:spacing w:val="-8"/>
          <w:sz w:val="18"/>
          <w:szCs w:val="18"/>
          <w:lang w:val="es-ES_tradnl"/>
        </w:rPr>
        <w:t>n extraordinaria de protecci</w:t>
      </w:r>
      <w:r>
        <w:rPr>
          <w:rFonts w:cs="Times New Roman"/>
          <w:spacing w:val="-8"/>
          <w:sz w:val="18"/>
          <w:szCs w:val="18"/>
          <w:lang w:val="es-ES_tradnl"/>
        </w:rPr>
        <w:t>ó</w:t>
      </w:r>
      <w:r>
        <w:rPr>
          <w:spacing w:val="-8"/>
          <w:sz w:val="18"/>
          <w:szCs w:val="18"/>
          <w:lang w:val="es-ES_tradnl"/>
        </w:rPr>
        <w:t xml:space="preserve">n, </w:t>
      </w:r>
      <w:r>
        <w:rPr>
          <w:spacing w:val="-13"/>
          <w:sz w:val="18"/>
          <w:szCs w:val="18"/>
          <w:lang w:val="es-ES_tradnl"/>
        </w:rPr>
        <w:t xml:space="preserve">demandando a la misma sentencia emitida el 08 de noviembre </w:t>
      </w:r>
      <w:r>
        <w:rPr>
          <w:spacing w:val="-5"/>
          <w:sz w:val="18"/>
          <w:szCs w:val="18"/>
          <w:lang w:val="es-ES_tradnl"/>
        </w:rPr>
        <w:t>de 2010, por la Tercera Sala de lo Penal y Tr</w:t>
      </w:r>
      <w:r>
        <w:rPr>
          <w:rFonts w:cs="Times New Roman"/>
          <w:spacing w:val="-5"/>
          <w:sz w:val="18"/>
          <w:szCs w:val="18"/>
          <w:lang w:val="es-ES_tradnl"/>
        </w:rPr>
        <w:t>á</w:t>
      </w:r>
      <w:r>
        <w:rPr>
          <w:spacing w:val="-5"/>
          <w:sz w:val="18"/>
          <w:szCs w:val="18"/>
          <w:lang w:val="es-ES_tradnl"/>
        </w:rPr>
        <w:t>nsito de la</w:t>
      </w:r>
    </w:p>
    <w:p w14:paraId="4F67B1C7" w14:textId="77777777" w:rsidR="00591D54" w:rsidRDefault="00591D54">
      <w:pPr>
        <w:shd w:val="clear" w:color="auto" w:fill="FFFFFF"/>
        <w:spacing w:before="202" w:line="221" w:lineRule="exact"/>
        <w:ind w:right="10"/>
        <w:jc w:val="both"/>
        <w:sectPr w:rsidR="00591D54">
          <w:type w:val="continuous"/>
          <w:pgSz w:w="11909" w:h="16834"/>
          <w:pgMar w:top="1361" w:right="1299" w:bottom="360" w:left="1308" w:header="720" w:footer="720" w:gutter="0"/>
          <w:cols w:num="2" w:space="720" w:equalWidth="0">
            <w:col w:w="4305" w:space="682"/>
            <w:col w:w="4315"/>
          </w:cols>
          <w:noEndnote/>
        </w:sectPr>
      </w:pPr>
    </w:p>
    <w:p w14:paraId="4F67B1C8" w14:textId="77777777" w:rsidR="00591D54" w:rsidRDefault="00591D54">
      <w:pPr>
        <w:shd w:val="clear" w:color="auto" w:fill="FFFFFF"/>
        <w:tabs>
          <w:tab w:val="left" w:pos="584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- 175</w:t>
      </w:r>
    </w:p>
    <w:p w14:paraId="4F67B1C9" w14:textId="77777777" w:rsidR="00591D54" w:rsidRDefault="00591D54">
      <w:pPr>
        <w:shd w:val="clear" w:color="auto" w:fill="FFFFFF"/>
        <w:tabs>
          <w:tab w:val="left" w:pos="5842"/>
        </w:tabs>
        <w:spacing w:after="230"/>
        <w:ind w:left="5"/>
        <w:sectPr w:rsidR="00591D54">
          <w:pgSz w:w="11909" w:h="16834"/>
          <w:pgMar w:top="1371" w:right="1309" w:bottom="360" w:left="1308" w:header="720" w:footer="720" w:gutter="0"/>
          <w:cols w:space="60"/>
          <w:noEndnote/>
        </w:sectPr>
      </w:pPr>
    </w:p>
    <w:p w14:paraId="4F67B1CA" w14:textId="77777777" w:rsidR="00591D54" w:rsidRDefault="00591D54">
      <w:pPr>
        <w:shd w:val="clear" w:color="auto" w:fill="FFFFFF"/>
        <w:spacing w:before="5" w:line="216" w:lineRule="exact"/>
        <w:jc w:val="both"/>
      </w:pPr>
      <w:r>
        <w:rPr>
          <w:spacing w:val="-8"/>
          <w:sz w:val="18"/>
          <w:szCs w:val="18"/>
          <w:lang w:val="es-ES_tradnl"/>
        </w:rPr>
        <w:t>Corte Provincial del Guayas, causa N.</w:t>
      </w:r>
      <w:r>
        <w:rPr>
          <w:rFonts w:cs="Times New Roman"/>
          <w:spacing w:val="-8"/>
          <w:sz w:val="18"/>
          <w:szCs w:val="18"/>
          <w:lang w:val="es-ES_tradnl"/>
        </w:rPr>
        <w:t>º</w:t>
      </w:r>
      <w:r>
        <w:rPr>
          <w:spacing w:val="-8"/>
          <w:sz w:val="18"/>
          <w:szCs w:val="18"/>
          <w:lang w:val="es-ES_tradnl"/>
        </w:rPr>
        <w:t xml:space="preserve"> 0762-11-EP, que la </w:t>
      </w:r>
      <w:r>
        <w:rPr>
          <w:spacing w:val="-7"/>
          <w:sz w:val="18"/>
          <w:szCs w:val="18"/>
          <w:lang w:val="es-ES_tradnl"/>
        </w:rPr>
        <w:t>Corte Constitucional, para el periodo de transici</w:t>
      </w:r>
      <w:r>
        <w:rPr>
          <w:rFonts w:cs="Times New Roman"/>
          <w:spacing w:val="-7"/>
          <w:sz w:val="18"/>
          <w:szCs w:val="18"/>
          <w:lang w:val="es-ES_tradnl"/>
        </w:rPr>
        <w:t>ó</w:t>
      </w:r>
      <w:r>
        <w:rPr>
          <w:spacing w:val="-7"/>
          <w:sz w:val="18"/>
          <w:szCs w:val="18"/>
          <w:lang w:val="es-ES_tradnl"/>
        </w:rPr>
        <w:t>n, resolvi</w:t>
      </w:r>
      <w:r>
        <w:rPr>
          <w:rFonts w:cs="Times New Roman"/>
          <w:spacing w:val="-7"/>
          <w:sz w:val="18"/>
          <w:szCs w:val="18"/>
          <w:lang w:val="es-ES_tradnl"/>
        </w:rPr>
        <w:t xml:space="preserve">ó </w:t>
      </w:r>
      <w:r>
        <w:rPr>
          <w:spacing w:val="-8"/>
          <w:sz w:val="18"/>
          <w:szCs w:val="18"/>
          <w:lang w:val="es-ES_tradnl"/>
        </w:rPr>
        <w:t>a trav</w:t>
      </w:r>
      <w:r>
        <w:rPr>
          <w:rFonts w:cs="Times New Roman"/>
          <w:spacing w:val="-8"/>
          <w:sz w:val="18"/>
          <w:szCs w:val="18"/>
          <w:lang w:val="es-ES_tradnl"/>
        </w:rPr>
        <w:t>é</w:t>
      </w:r>
      <w:r>
        <w:rPr>
          <w:spacing w:val="-8"/>
          <w:sz w:val="18"/>
          <w:szCs w:val="18"/>
          <w:lang w:val="es-ES_tradnl"/>
        </w:rPr>
        <w:t>s de la sentencia N.</w:t>
      </w:r>
      <w:r>
        <w:rPr>
          <w:rFonts w:cs="Times New Roman"/>
          <w:spacing w:val="-8"/>
          <w:sz w:val="18"/>
          <w:szCs w:val="18"/>
          <w:lang w:val="es-ES_tradnl"/>
        </w:rPr>
        <w:t>º</w:t>
      </w:r>
      <w:r>
        <w:rPr>
          <w:spacing w:val="-8"/>
          <w:sz w:val="18"/>
          <w:szCs w:val="18"/>
          <w:lang w:val="es-ES_tradnl"/>
        </w:rPr>
        <w:t xml:space="preserve"> 187-12-SEP-CC.</w:t>
      </w:r>
    </w:p>
    <w:p w14:paraId="4F67B1CB" w14:textId="77777777" w:rsidR="00591D54" w:rsidRDefault="00591D54">
      <w:pPr>
        <w:shd w:val="clear" w:color="auto" w:fill="FFFFFF"/>
        <w:spacing w:before="197" w:line="216" w:lineRule="exact"/>
        <w:jc w:val="both"/>
      </w:pPr>
      <w:r>
        <w:rPr>
          <w:sz w:val="18"/>
          <w:szCs w:val="18"/>
          <w:lang w:val="es-ES_tradnl"/>
        </w:rPr>
        <w:t>A trav</w:t>
      </w:r>
      <w:r>
        <w:rPr>
          <w:rFonts w:cs="Times New Roman"/>
          <w:sz w:val="18"/>
          <w:szCs w:val="18"/>
          <w:lang w:val="es-ES_tradnl"/>
        </w:rPr>
        <w:t>é</w:t>
      </w:r>
      <w:r>
        <w:rPr>
          <w:sz w:val="18"/>
          <w:szCs w:val="18"/>
          <w:lang w:val="es-ES_tradnl"/>
        </w:rPr>
        <w:t xml:space="preserve">s de dicha sentencia, cuya copia adjunta al </w:t>
      </w:r>
      <w:r>
        <w:rPr>
          <w:spacing w:val="-2"/>
          <w:sz w:val="18"/>
          <w:szCs w:val="18"/>
          <w:lang w:val="es-ES_tradnl"/>
        </w:rPr>
        <w:t>proceso, la Corte Constitucional declar</w:t>
      </w:r>
      <w:r>
        <w:rPr>
          <w:rFonts w:cs="Times New Roman"/>
          <w:spacing w:val="-2"/>
          <w:sz w:val="18"/>
          <w:szCs w:val="18"/>
          <w:lang w:val="es-ES_tradnl"/>
        </w:rPr>
        <w:t>ó</w:t>
      </w:r>
      <w:r>
        <w:rPr>
          <w:spacing w:val="-2"/>
          <w:sz w:val="18"/>
          <w:szCs w:val="18"/>
          <w:lang w:val="es-ES_tradnl"/>
        </w:rPr>
        <w:t xml:space="preserve"> la vulneraci</w:t>
      </w:r>
      <w:r>
        <w:rPr>
          <w:rFonts w:cs="Times New Roman"/>
          <w:spacing w:val="-2"/>
          <w:sz w:val="18"/>
          <w:szCs w:val="18"/>
          <w:lang w:val="es-ES_tradnl"/>
        </w:rPr>
        <w:t>ó</w:t>
      </w:r>
      <w:r>
        <w:rPr>
          <w:spacing w:val="-2"/>
          <w:sz w:val="18"/>
          <w:szCs w:val="18"/>
          <w:lang w:val="es-ES_tradnl"/>
        </w:rPr>
        <w:t xml:space="preserve">n de derechos constitucionales como la tutela judicial </w:t>
      </w:r>
      <w:r>
        <w:rPr>
          <w:spacing w:val="-5"/>
          <w:sz w:val="18"/>
          <w:szCs w:val="18"/>
          <w:lang w:val="es-ES_tradnl"/>
        </w:rPr>
        <w:t>efectiva, debido proceso y seguridad jur</w:t>
      </w:r>
      <w:r>
        <w:rPr>
          <w:rFonts w:cs="Times New Roman"/>
          <w:spacing w:val="-5"/>
          <w:sz w:val="18"/>
          <w:szCs w:val="18"/>
          <w:lang w:val="es-ES_tradnl"/>
        </w:rPr>
        <w:t>í</w:t>
      </w:r>
      <w:r>
        <w:rPr>
          <w:spacing w:val="-5"/>
          <w:sz w:val="18"/>
          <w:szCs w:val="18"/>
          <w:lang w:val="es-ES_tradnl"/>
        </w:rPr>
        <w:t xml:space="preserve">dica, aceptando </w:t>
      </w:r>
      <w:r>
        <w:rPr>
          <w:spacing w:val="-6"/>
          <w:sz w:val="18"/>
          <w:szCs w:val="18"/>
          <w:lang w:val="es-ES_tradnl"/>
        </w:rPr>
        <w:t>la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presentada por la </w:t>
      </w:r>
      <w:r>
        <w:rPr>
          <w:spacing w:val="-8"/>
          <w:sz w:val="18"/>
          <w:szCs w:val="18"/>
          <w:lang w:val="es-ES_tradnl"/>
        </w:rPr>
        <w:t xml:space="preserve">Superintendencia de Bancos y Seguros, dejando sin efecto el auto emitido por la Tercera Sala de la Corte Provincial de </w:t>
      </w:r>
      <w:r>
        <w:rPr>
          <w:spacing w:val="-7"/>
          <w:sz w:val="18"/>
          <w:szCs w:val="18"/>
          <w:lang w:val="es-ES_tradnl"/>
        </w:rPr>
        <w:t>Justicia del Guayas, quedando firme la resoluci</w:t>
      </w:r>
      <w:r>
        <w:rPr>
          <w:rFonts w:cs="Times New Roman"/>
          <w:spacing w:val="-7"/>
          <w:sz w:val="18"/>
          <w:szCs w:val="18"/>
          <w:lang w:val="es-ES_tradnl"/>
        </w:rPr>
        <w:t>ó</w:t>
      </w:r>
      <w:r>
        <w:rPr>
          <w:spacing w:val="-7"/>
          <w:sz w:val="18"/>
          <w:szCs w:val="18"/>
          <w:lang w:val="es-ES_tradnl"/>
        </w:rPr>
        <w:t>n N.</w:t>
      </w:r>
      <w:r>
        <w:rPr>
          <w:rFonts w:cs="Times New Roman"/>
          <w:spacing w:val="-7"/>
          <w:sz w:val="18"/>
          <w:szCs w:val="18"/>
          <w:lang w:val="es-ES_tradnl"/>
        </w:rPr>
        <w:t>º</w:t>
      </w:r>
      <w:r>
        <w:rPr>
          <w:spacing w:val="-7"/>
          <w:sz w:val="18"/>
          <w:szCs w:val="18"/>
          <w:lang w:val="es-ES_tradnl"/>
        </w:rPr>
        <w:t xml:space="preserve"> JB-</w:t>
      </w:r>
      <w:r>
        <w:rPr>
          <w:sz w:val="18"/>
          <w:szCs w:val="18"/>
          <w:lang w:val="es-ES_tradnl"/>
        </w:rPr>
        <w:t>2010-1730 emitida por la Junta Bancaria.</w:t>
      </w:r>
    </w:p>
    <w:p w14:paraId="4F67B1CC" w14:textId="77777777" w:rsidR="00591D54" w:rsidRDefault="00591D54">
      <w:pPr>
        <w:shd w:val="clear" w:color="auto" w:fill="FFFFFF"/>
        <w:spacing w:before="197" w:line="216" w:lineRule="exact"/>
        <w:jc w:val="both"/>
      </w:pPr>
      <w:r>
        <w:rPr>
          <w:spacing w:val="-1"/>
          <w:sz w:val="18"/>
          <w:szCs w:val="18"/>
          <w:lang w:val="es-ES_tradnl"/>
        </w:rPr>
        <w:t xml:space="preserve">Bajo dichas consideraciones, el procurador judicial de </w:t>
      </w:r>
      <w:r>
        <w:rPr>
          <w:spacing w:val="-8"/>
          <w:sz w:val="18"/>
          <w:szCs w:val="18"/>
          <w:lang w:val="es-ES_tradnl"/>
        </w:rPr>
        <w:t xml:space="preserve">la Superintendencia de Bancos y Seguros sugiere que la </w:t>
      </w:r>
      <w:r>
        <w:rPr>
          <w:spacing w:val="-7"/>
          <w:sz w:val="18"/>
          <w:szCs w:val="18"/>
          <w:lang w:val="es-ES_tradnl"/>
        </w:rPr>
        <w:t>presente acci</w:t>
      </w:r>
      <w:r>
        <w:rPr>
          <w:rFonts w:cs="Times New Roman"/>
          <w:spacing w:val="-7"/>
          <w:sz w:val="18"/>
          <w:szCs w:val="18"/>
          <w:lang w:val="es-ES_tradnl"/>
        </w:rPr>
        <w:t>ó</w:t>
      </w:r>
      <w:r>
        <w:rPr>
          <w:spacing w:val="-7"/>
          <w:sz w:val="18"/>
          <w:szCs w:val="18"/>
          <w:lang w:val="es-ES_tradnl"/>
        </w:rPr>
        <w:t>n extraordinaria de protecci</w:t>
      </w:r>
      <w:r>
        <w:rPr>
          <w:rFonts w:cs="Times New Roman"/>
          <w:spacing w:val="-7"/>
          <w:sz w:val="18"/>
          <w:szCs w:val="18"/>
          <w:lang w:val="es-ES_tradnl"/>
        </w:rPr>
        <w:t>ó</w:t>
      </w:r>
      <w:r>
        <w:rPr>
          <w:spacing w:val="-7"/>
          <w:sz w:val="18"/>
          <w:szCs w:val="18"/>
          <w:lang w:val="es-ES_tradnl"/>
        </w:rPr>
        <w:t>n deber</w:t>
      </w:r>
      <w:r>
        <w:rPr>
          <w:rFonts w:cs="Times New Roman"/>
          <w:spacing w:val="-7"/>
          <w:sz w:val="18"/>
          <w:szCs w:val="18"/>
          <w:lang w:val="es-ES_tradnl"/>
        </w:rPr>
        <w:t>í</w:t>
      </w:r>
      <w:r>
        <w:rPr>
          <w:spacing w:val="-7"/>
          <w:sz w:val="18"/>
          <w:szCs w:val="18"/>
          <w:lang w:val="es-ES_tradnl"/>
        </w:rPr>
        <w:t xml:space="preserve">a ser </w:t>
      </w:r>
      <w:r>
        <w:rPr>
          <w:sz w:val="18"/>
          <w:szCs w:val="18"/>
          <w:lang w:val="es-ES_tradnl"/>
        </w:rPr>
        <w:t>archivada.</w:t>
      </w:r>
    </w:p>
    <w:p w14:paraId="4F67B1CD" w14:textId="77777777" w:rsidR="00591D54" w:rsidRDefault="00591D54">
      <w:pPr>
        <w:shd w:val="clear" w:color="auto" w:fill="FFFFFF"/>
        <w:spacing w:before="192" w:line="216" w:lineRule="exact"/>
        <w:ind w:left="686" w:right="326" w:hanging="355"/>
      </w:pPr>
      <w:r>
        <w:rPr>
          <w:b/>
          <w:bCs/>
          <w:spacing w:val="-1"/>
          <w:sz w:val="18"/>
          <w:szCs w:val="18"/>
          <w:lang w:val="es-ES_tradnl"/>
        </w:rPr>
        <w:t xml:space="preserve">II. CONSIDERACIONES Y FUNDAMENTOS </w:t>
      </w:r>
      <w:r>
        <w:rPr>
          <w:b/>
          <w:bCs/>
          <w:sz w:val="18"/>
          <w:szCs w:val="18"/>
          <w:lang w:val="es-ES_tradnl"/>
        </w:rPr>
        <w:t>DE LA CORTE CONSTITUCIONAL</w:t>
      </w:r>
    </w:p>
    <w:p w14:paraId="4F67B1CE" w14:textId="77777777" w:rsidR="00591D54" w:rsidRDefault="00591D54">
      <w:pPr>
        <w:shd w:val="clear" w:color="auto" w:fill="FFFFFF"/>
        <w:spacing w:before="192"/>
      </w:pPr>
      <w:r>
        <w:rPr>
          <w:b/>
          <w:bCs/>
          <w:spacing w:val="-8"/>
          <w:sz w:val="18"/>
          <w:szCs w:val="18"/>
          <w:lang w:val="es-ES_tradnl"/>
        </w:rPr>
        <w:t>Competencia de la Corte</w:t>
      </w:r>
    </w:p>
    <w:p w14:paraId="4F67B1CF" w14:textId="77777777" w:rsidR="00591D54" w:rsidRDefault="00591D54">
      <w:pPr>
        <w:shd w:val="clear" w:color="auto" w:fill="FFFFFF"/>
        <w:spacing w:before="192" w:line="216" w:lineRule="exact"/>
        <w:jc w:val="both"/>
      </w:pPr>
      <w:r>
        <w:rPr>
          <w:spacing w:val="-7"/>
          <w:sz w:val="18"/>
          <w:szCs w:val="18"/>
          <w:lang w:val="es-ES_tradnl"/>
        </w:rPr>
        <w:t>El Pleno de la Corte Constitucional, seg</w:t>
      </w:r>
      <w:r>
        <w:rPr>
          <w:rFonts w:cs="Times New Roman"/>
          <w:spacing w:val="-7"/>
          <w:sz w:val="18"/>
          <w:szCs w:val="18"/>
          <w:lang w:val="es-ES_tradnl"/>
        </w:rPr>
        <w:t>ú</w:t>
      </w:r>
      <w:r>
        <w:rPr>
          <w:spacing w:val="-7"/>
          <w:sz w:val="18"/>
          <w:szCs w:val="18"/>
          <w:lang w:val="es-ES_tradnl"/>
        </w:rPr>
        <w:t xml:space="preserve">n las atribuciones </w:t>
      </w:r>
      <w:r>
        <w:rPr>
          <w:spacing w:val="-8"/>
          <w:sz w:val="18"/>
          <w:szCs w:val="18"/>
          <w:lang w:val="es-ES_tradnl"/>
        </w:rPr>
        <w:t>establecidas en los art</w:t>
      </w:r>
      <w:r>
        <w:rPr>
          <w:rFonts w:cs="Times New Roman"/>
          <w:spacing w:val="-8"/>
          <w:sz w:val="18"/>
          <w:szCs w:val="18"/>
          <w:lang w:val="es-ES_tradnl"/>
        </w:rPr>
        <w:t>í</w:t>
      </w:r>
      <w:r>
        <w:rPr>
          <w:spacing w:val="-8"/>
          <w:sz w:val="18"/>
          <w:szCs w:val="18"/>
          <w:lang w:val="es-ES_tradnl"/>
        </w:rPr>
        <w:t>culos 94 y 437 de la Constituci</w:t>
      </w:r>
      <w:r>
        <w:rPr>
          <w:rFonts w:cs="Times New Roman"/>
          <w:spacing w:val="-8"/>
          <w:sz w:val="18"/>
          <w:szCs w:val="18"/>
          <w:lang w:val="es-ES_tradnl"/>
        </w:rPr>
        <w:t>ó</w:t>
      </w:r>
      <w:r>
        <w:rPr>
          <w:spacing w:val="-8"/>
          <w:sz w:val="18"/>
          <w:szCs w:val="18"/>
          <w:lang w:val="es-ES_tradnl"/>
        </w:rPr>
        <w:t xml:space="preserve">n de </w:t>
      </w:r>
      <w:r>
        <w:rPr>
          <w:spacing w:val="-5"/>
          <w:sz w:val="18"/>
          <w:szCs w:val="18"/>
          <w:lang w:val="es-ES_tradnl"/>
        </w:rPr>
        <w:t>la Rep</w:t>
      </w:r>
      <w:r>
        <w:rPr>
          <w:rFonts w:cs="Times New Roman"/>
          <w:spacing w:val="-5"/>
          <w:sz w:val="18"/>
          <w:szCs w:val="18"/>
          <w:lang w:val="es-ES_tradnl"/>
        </w:rPr>
        <w:t>ú</w:t>
      </w:r>
      <w:r>
        <w:rPr>
          <w:spacing w:val="-5"/>
          <w:sz w:val="18"/>
          <w:szCs w:val="18"/>
          <w:lang w:val="es-ES_tradnl"/>
        </w:rPr>
        <w:t>blica, art</w:t>
      </w:r>
      <w:r>
        <w:rPr>
          <w:rFonts w:cs="Times New Roman"/>
          <w:spacing w:val="-5"/>
          <w:sz w:val="18"/>
          <w:szCs w:val="18"/>
          <w:lang w:val="es-ES_tradnl"/>
        </w:rPr>
        <w:t>í</w:t>
      </w:r>
      <w:r>
        <w:rPr>
          <w:spacing w:val="-5"/>
          <w:sz w:val="18"/>
          <w:szCs w:val="18"/>
          <w:lang w:val="es-ES_tradnl"/>
        </w:rPr>
        <w:t>culo 58 y siguientes de la Ley Org</w:t>
      </w:r>
      <w:r>
        <w:rPr>
          <w:rFonts w:cs="Times New Roman"/>
          <w:spacing w:val="-5"/>
          <w:sz w:val="18"/>
          <w:szCs w:val="18"/>
          <w:lang w:val="es-ES_tradnl"/>
        </w:rPr>
        <w:t>á</w:t>
      </w:r>
      <w:r>
        <w:rPr>
          <w:spacing w:val="-5"/>
          <w:sz w:val="18"/>
          <w:szCs w:val="18"/>
          <w:lang w:val="es-ES_tradnl"/>
        </w:rPr>
        <w:t xml:space="preserve">nica </w:t>
      </w:r>
      <w:r>
        <w:rPr>
          <w:spacing w:val="-6"/>
          <w:sz w:val="18"/>
          <w:szCs w:val="18"/>
          <w:lang w:val="es-ES_tradnl"/>
        </w:rPr>
        <w:t>de Garant</w:t>
      </w:r>
      <w:r>
        <w:rPr>
          <w:rFonts w:cs="Times New Roman"/>
          <w:spacing w:val="-6"/>
          <w:sz w:val="18"/>
          <w:szCs w:val="18"/>
          <w:lang w:val="es-ES_tradnl"/>
        </w:rPr>
        <w:t>í</w:t>
      </w:r>
      <w:r>
        <w:rPr>
          <w:spacing w:val="-6"/>
          <w:sz w:val="18"/>
          <w:szCs w:val="18"/>
          <w:lang w:val="es-ES_tradnl"/>
        </w:rPr>
        <w:t xml:space="preserve">as Jurisdiccionales y Control Constitucional y </w:t>
      </w:r>
      <w:r>
        <w:rPr>
          <w:spacing w:val="-7"/>
          <w:sz w:val="18"/>
          <w:szCs w:val="18"/>
          <w:lang w:val="es-ES_tradnl"/>
        </w:rPr>
        <w:t>art</w:t>
      </w:r>
      <w:r>
        <w:rPr>
          <w:rFonts w:cs="Times New Roman"/>
          <w:spacing w:val="-7"/>
          <w:sz w:val="18"/>
          <w:szCs w:val="18"/>
          <w:lang w:val="es-ES_tradnl"/>
        </w:rPr>
        <w:t>í</w:t>
      </w:r>
      <w:r>
        <w:rPr>
          <w:spacing w:val="-7"/>
          <w:sz w:val="18"/>
          <w:szCs w:val="18"/>
          <w:lang w:val="es-ES_tradnl"/>
        </w:rPr>
        <w:t>culo 35 del Reglamento de Sustanciaci</w:t>
      </w:r>
      <w:r>
        <w:rPr>
          <w:rFonts w:cs="Times New Roman"/>
          <w:spacing w:val="-7"/>
          <w:sz w:val="18"/>
          <w:szCs w:val="18"/>
          <w:lang w:val="es-ES_tradnl"/>
        </w:rPr>
        <w:t>ó</w:t>
      </w:r>
      <w:r>
        <w:rPr>
          <w:spacing w:val="-7"/>
          <w:sz w:val="18"/>
          <w:szCs w:val="18"/>
          <w:lang w:val="es-ES_tradnl"/>
        </w:rPr>
        <w:t xml:space="preserve">n de Procesos </w:t>
      </w:r>
      <w:r>
        <w:rPr>
          <w:spacing w:val="-8"/>
          <w:sz w:val="18"/>
          <w:szCs w:val="18"/>
          <w:lang w:val="es-ES_tradnl"/>
        </w:rPr>
        <w:t>de Competencia de la Corte Constitucional, es competente para conocer y pronunciarse sobre la acci</w:t>
      </w:r>
      <w:r>
        <w:rPr>
          <w:rFonts w:cs="Times New Roman"/>
          <w:spacing w:val="-8"/>
          <w:sz w:val="18"/>
          <w:szCs w:val="18"/>
          <w:lang w:val="es-ES_tradnl"/>
        </w:rPr>
        <w:t>ó</w:t>
      </w:r>
      <w:r>
        <w:rPr>
          <w:spacing w:val="-8"/>
          <w:sz w:val="18"/>
          <w:szCs w:val="18"/>
          <w:lang w:val="es-ES_tradnl"/>
        </w:rPr>
        <w:t xml:space="preserve">n extraordinaria </w:t>
      </w:r>
      <w:r>
        <w:rPr>
          <w:spacing w:val="-9"/>
          <w:sz w:val="18"/>
          <w:szCs w:val="18"/>
          <w:lang w:val="es-ES_tradnl"/>
        </w:rPr>
        <w:t>de protecci</w:t>
      </w:r>
      <w:r>
        <w:rPr>
          <w:rFonts w:cs="Times New Roman"/>
          <w:spacing w:val="-9"/>
          <w:sz w:val="18"/>
          <w:szCs w:val="18"/>
          <w:lang w:val="es-ES_tradnl"/>
        </w:rPr>
        <w:t>ó</w:t>
      </w:r>
      <w:r>
        <w:rPr>
          <w:spacing w:val="-9"/>
          <w:sz w:val="18"/>
          <w:szCs w:val="18"/>
          <w:lang w:val="es-ES_tradnl"/>
        </w:rPr>
        <w:t>n, contenida en el proceso N.</w:t>
      </w:r>
      <w:r>
        <w:rPr>
          <w:rFonts w:cs="Times New Roman"/>
          <w:spacing w:val="-9"/>
          <w:sz w:val="18"/>
          <w:szCs w:val="18"/>
          <w:lang w:val="es-ES_tradnl"/>
        </w:rPr>
        <w:t>º</w:t>
      </w:r>
      <w:r>
        <w:rPr>
          <w:spacing w:val="-9"/>
          <w:sz w:val="18"/>
          <w:szCs w:val="18"/>
          <w:lang w:val="es-ES_tradnl"/>
        </w:rPr>
        <w:t xml:space="preserve"> 1589-11-EP, con </w:t>
      </w:r>
      <w:r>
        <w:rPr>
          <w:spacing w:val="-6"/>
          <w:sz w:val="18"/>
          <w:szCs w:val="18"/>
          <w:lang w:val="es-ES_tradnl"/>
        </w:rPr>
        <w:t xml:space="preserve">el fin de establecer si la sentencia emitida por la Tercera </w:t>
      </w:r>
      <w:r>
        <w:rPr>
          <w:spacing w:val="-9"/>
          <w:sz w:val="18"/>
          <w:szCs w:val="18"/>
          <w:lang w:val="es-ES_tradnl"/>
        </w:rPr>
        <w:t>Sala de lo Penal y Tr</w:t>
      </w:r>
      <w:r>
        <w:rPr>
          <w:rFonts w:cs="Times New Roman"/>
          <w:spacing w:val="-9"/>
          <w:sz w:val="18"/>
          <w:szCs w:val="18"/>
          <w:lang w:val="es-ES_tradnl"/>
        </w:rPr>
        <w:t>á</w:t>
      </w:r>
      <w:r>
        <w:rPr>
          <w:spacing w:val="-9"/>
          <w:sz w:val="18"/>
          <w:szCs w:val="18"/>
          <w:lang w:val="es-ES_tradnl"/>
        </w:rPr>
        <w:t>nsito de la Corte Provincial de Justicia del Guayas, ha vulnerado o no los derechos alegados.</w:t>
      </w:r>
    </w:p>
    <w:p w14:paraId="4F67B1D0" w14:textId="77777777" w:rsidR="00591D54" w:rsidRDefault="00591D54">
      <w:pPr>
        <w:shd w:val="clear" w:color="auto" w:fill="FFFFFF"/>
        <w:spacing w:before="192" w:line="216" w:lineRule="exact"/>
        <w:jc w:val="both"/>
      </w:pPr>
      <w:r>
        <w:rPr>
          <w:sz w:val="18"/>
          <w:szCs w:val="18"/>
          <w:lang w:val="es-ES_tradnl"/>
        </w:rPr>
        <w:t xml:space="preserve">Conforme ya lo ha expresado la Corte Constitucional </w:t>
      </w:r>
      <w:r>
        <w:rPr>
          <w:spacing w:val="-8"/>
          <w:sz w:val="18"/>
          <w:szCs w:val="18"/>
          <w:lang w:val="es-ES_tradnl"/>
        </w:rPr>
        <w:t>en varias de sus sentencias, la acci</w:t>
      </w:r>
      <w:r>
        <w:rPr>
          <w:rFonts w:cs="Times New Roman"/>
          <w:spacing w:val="-8"/>
          <w:sz w:val="18"/>
          <w:szCs w:val="18"/>
          <w:lang w:val="es-ES_tradnl"/>
        </w:rPr>
        <w:t>ó</w:t>
      </w:r>
      <w:r>
        <w:rPr>
          <w:spacing w:val="-8"/>
          <w:sz w:val="18"/>
          <w:szCs w:val="18"/>
          <w:lang w:val="es-ES_tradnl"/>
        </w:rPr>
        <w:t xml:space="preserve">n extraordinaria de </w:t>
      </w:r>
      <w:r>
        <w:rPr>
          <w:spacing w:val="-9"/>
          <w:sz w:val="18"/>
          <w:szCs w:val="18"/>
          <w:lang w:val="es-ES_tradnl"/>
        </w:rPr>
        <w:t>protecci</w:t>
      </w:r>
      <w:r>
        <w:rPr>
          <w:rFonts w:cs="Times New Roman"/>
          <w:spacing w:val="-9"/>
          <w:sz w:val="18"/>
          <w:szCs w:val="18"/>
          <w:lang w:val="es-ES_tradnl"/>
        </w:rPr>
        <w:t>ó</w:t>
      </w:r>
      <w:r>
        <w:rPr>
          <w:spacing w:val="-9"/>
          <w:sz w:val="18"/>
          <w:szCs w:val="18"/>
          <w:lang w:val="es-ES_tradnl"/>
        </w:rPr>
        <w:t xml:space="preserve">n procede en contra de sentencias, autos en firme </w:t>
      </w:r>
      <w:r>
        <w:rPr>
          <w:spacing w:val="-5"/>
          <w:sz w:val="18"/>
          <w:szCs w:val="18"/>
          <w:lang w:val="es-ES_tradnl"/>
        </w:rPr>
        <w:t xml:space="preserve">o ejecutoriados, y resoluciones judiciales que pongan fin </w:t>
      </w:r>
      <w:r>
        <w:rPr>
          <w:spacing w:val="-7"/>
          <w:sz w:val="18"/>
          <w:szCs w:val="18"/>
          <w:lang w:val="es-ES_tradnl"/>
        </w:rPr>
        <w:t xml:space="preserve">al proceso; en esencia, la Corte Constitucional, por medio </w:t>
      </w:r>
      <w:r>
        <w:rPr>
          <w:spacing w:val="-8"/>
          <w:sz w:val="18"/>
          <w:szCs w:val="18"/>
          <w:lang w:val="es-ES_tradnl"/>
        </w:rPr>
        <w:t>de esta acci</w:t>
      </w:r>
      <w:r>
        <w:rPr>
          <w:rFonts w:cs="Times New Roman"/>
          <w:spacing w:val="-8"/>
          <w:sz w:val="18"/>
          <w:szCs w:val="18"/>
          <w:lang w:val="es-ES_tradnl"/>
        </w:rPr>
        <w:t>ó</w:t>
      </w:r>
      <w:r>
        <w:rPr>
          <w:spacing w:val="-8"/>
          <w:sz w:val="18"/>
          <w:szCs w:val="18"/>
          <w:lang w:val="es-ES_tradnl"/>
        </w:rPr>
        <w:t>n, se pronunciar</w:t>
      </w:r>
      <w:r>
        <w:rPr>
          <w:rFonts w:cs="Times New Roman"/>
          <w:spacing w:val="-8"/>
          <w:sz w:val="18"/>
          <w:szCs w:val="18"/>
          <w:lang w:val="es-ES_tradnl"/>
        </w:rPr>
        <w:t>á</w:t>
      </w:r>
      <w:r>
        <w:rPr>
          <w:spacing w:val="-8"/>
          <w:sz w:val="18"/>
          <w:szCs w:val="18"/>
          <w:lang w:val="es-ES_tradnl"/>
        </w:rPr>
        <w:t xml:space="preserve"> respecto a dos cuestiones </w:t>
      </w:r>
      <w:r>
        <w:rPr>
          <w:spacing w:val="-6"/>
          <w:sz w:val="18"/>
          <w:szCs w:val="18"/>
          <w:lang w:val="es-ES_tradnl"/>
        </w:rPr>
        <w:t>principales: la vulneraci</w:t>
      </w:r>
      <w:r>
        <w:rPr>
          <w:rFonts w:cs="Times New Roman"/>
          <w:spacing w:val="-6"/>
          <w:sz w:val="18"/>
          <w:szCs w:val="18"/>
          <w:lang w:val="es-ES_tradnl"/>
        </w:rPr>
        <w:t>ó</w:t>
      </w:r>
      <w:r>
        <w:rPr>
          <w:spacing w:val="-6"/>
          <w:sz w:val="18"/>
          <w:szCs w:val="18"/>
          <w:lang w:val="es-ES_tradnl"/>
        </w:rPr>
        <w:t xml:space="preserve">n de derechos constitucionales o </w:t>
      </w:r>
      <w:r>
        <w:rPr>
          <w:spacing w:val="-7"/>
          <w:sz w:val="18"/>
          <w:szCs w:val="18"/>
          <w:lang w:val="es-ES_tradnl"/>
        </w:rPr>
        <w:t>la violaci</w:t>
      </w:r>
      <w:r>
        <w:rPr>
          <w:rFonts w:cs="Times New Roman"/>
          <w:spacing w:val="-7"/>
          <w:sz w:val="18"/>
          <w:szCs w:val="18"/>
          <w:lang w:val="es-ES_tradnl"/>
        </w:rPr>
        <w:t>ó</w:t>
      </w:r>
      <w:r>
        <w:rPr>
          <w:spacing w:val="-7"/>
          <w:sz w:val="18"/>
          <w:szCs w:val="18"/>
          <w:lang w:val="es-ES_tradnl"/>
        </w:rPr>
        <w:t>n de normas del debido proceso.</w:t>
      </w:r>
    </w:p>
    <w:p w14:paraId="4F67B1D1" w14:textId="77777777" w:rsidR="00591D54" w:rsidRDefault="00591D54">
      <w:pPr>
        <w:shd w:val="clear" w:color="auto" w:fill="FFFFFF"/>
        <w:spacing w:before="192"/>
      </w:pPr>
      <w:r>
        <w:rPr>
          <w:b/>
          <w:bCs/>
          <w:spacing w:val="-10"/>
          <w:sz w:val="18"/>
          <w:szCs w:val="18"/>
          <w:lang w:val="es-ES_tradnl"/>
        </w:rPr>
        <w:t>An</w:t>
      </w:r>
      <w:r>
        <w:rPr>
          <w:rFonts w:cs="Times New Roman"/>
          <w:b/>
          <w:bCs/>
          <w:spacing w:val="-10"/>
          <w:sz w:val="18"/>
          <w:szCs w:val="18"/>
          <w:lang w:val="es-ES_tradnl"/>
        </w:rPr>
        <w:t>á</w:t>
      </w:r>
      <w:r>
        <w:rPr>
          <w:b/>
          <w:bCs/>
          <w:spacing w:val="-10"/>
          <w:sz w:val="18"/>
          <w:szCs w:val="18"/>
          <w:lang w:val="es-ES_tradnl"/>
        </w:rPr>
        <w:t>lisis constitucional</w:t>
      </w:r>
    </w:p>
    <w:p w14:paraId="4F67B1D2" w14:textId="77777777" w:rsidR="00591D54" w:rsidRDefault="00591D54">
      <w:pPr>
        <w:shd w:val="clear" w:color="auto" w:fill="FFFFFF"/>
        <w:spacing w:before="197" w:line="216" w:lineRule="exact"/>
        <w:ind w:right="5"/>
        <w:jc w:val="both"/>
      </w:pPr>
      <w:r>
        <w:rPr>
          <w:spacing w:val="-10"/>
          <w:sz w:val="18"/>
          <w:szCs w:val="18"/>
          <w:lang w:val="es-ES_tradnl"/>
        </w:rPr>
        <w:t>Dentro del an</w:t>
      </w:r>
      <w:r>
        <w:rPr>
          <w:rFonts w:cs="Times New Roman"/>
          <w:spacing w:val="-10"/>
          <w:sz w:val="18"/>
          <w:szCs w:val="18"/>
          <w:lang w:val="es-ES_tradnl"/>
        </w:rPr>
        <w:t>á</w:t>
      </w:r>
      <w:r>
        <w:rPr>
          <w:spacing w:val="-10"/>
          <w:sz w:val="18"/>
          <w:szCs w:val="18"/>
          <w:lang w:val="es-ES_tradnl"/>
        </w:rPr>
        <w:t xml:space="preserve">lisis del caso sub examine se ha determinado </w:t>
      </w:r>
      <w:r>
        <w:rPr>
          <w:spacing w:val="-6"/>
          <w:sz w:val="18"/>
          <w:szCs w:val="18"/>
          <w:lang w:val="es-ES_tradnl"/>
        </w:rPr>
        <w:t>los siguientes problemas jur</w:t>
      </w:r>
      <w:r>
        <w:rPr>
          <w:rFonts w:cs="Times New Roman"/>
          <w:spacing w:val="-6"/>
          <w:sz w:val="18"/>
          <w:szCs w:val="18"/>
          <w:lang w:val="es-ES_tradnl"/>
        </w:rPr>
        <w:t>í</w:t>
      </w:r>
      <w:r>
        <w:rPr>
          <w:spacing w:val="-6"/>
          <w:sz w:val="18"/>
          <w:szCs w:val="18"/>
          <w:lang w:val="es-ES_tradnl"/>
        </w:rPr>
        <w:t xml:space="preserve">dicos a ser resueltos por la </w:t>
      </w:r>
      <w:r>
        <w:rPr>
          <w:sz w:val="18"/>
          <w:szCs w:val="18"/>
          <w:lang w:val="es-ES_tradnl"/>
        </w:rPr>
        <w:t>Corte Constitucional del Ecuador:</w:t>
      </w:r>
    </w:p>
    <w:p w14:paraId="4F67B1D3" w14:textId="77777777" w:rsidR="00591D54" w:rsidRDefault="00591D54" w:rsidP="00251195">
      <w:pPr>
        <w:numPr>
          <w:ilvl w:val="0"/>
          <w:numId w:val="86"/>
        </w:numPr>
        <w:shd w:val="clear" w:color="auto" w:fill="FFFFFF"/>
        <w:tabs>
          <w:tab w:val="left" w:pos="283"/>
        </w:tabs>
        <w:spacing w:before="197" w:line="216" w:lineRule="exact"/>
        <w:ind w:right="5"/>
        <w:jc w:val="both"/>
        <w:rPr>
          <w:spacing w:val="-11"/>
          <w:sz w:val="18"/>
          <w:szCs w:val="18"/>
          <w:lang w:val="es-ES_tradnl"/>
        </w:rPr>
      </w:pPr>
      <w:r>
        <w:rPr>
          <w:spacing w:val="-8"/>
          <w:sz w:val="18"/>
          <w:szCs w:val="18"/>
          <w:lang w:val="es-ES_tradnl"/>
        </w:rPr>
        <w:t xml:space="preserve">La sentencia dictada por la Tercera Sala de lo Penal y </w:t>
      </w:r>
      <w:r>
        <w:rPr>
          <w:spacing w:val="-6"/>
          <w:sz w:val="18"/>
          <w:szCs w:val="18"/>
          <w:lang w:val="es-ES_tradnl"/>
        </w:rPr>
        <w:t>Tr</w:t>
      </w:r>
      <w:r>
        <w:rPr>
          <w:rFonts w:cs="Times New Roman"/>
          <w:spacing w:val="-6"/>
          <w:sz w:val="18"/>
          <w:szCs w:val="18"/>
          <w:lang w:val="es-ES_tradnl"/>
        </w:rPr>
        <w:t>á</w:t>
      </w:r>
      <w:r>
        <w:rPr>
          <w:spacing w:val="-6"/>
          <w:sz w:val="18"/>
          <w:szCs w:val="18"/>
          <w:lang w:val="es-ES_tradnl"/>
        </w:rPr>
        <w:t xml:space="preserve">nsito de la Corte Provincial de Justicia del Guayas del </w:t>
      </w:r>
      <w:r>
        <w:rPr>
          <w:spacing w:val="-7"/>
          <w:sz w:val="18"/>
          <w:szCs w:val="18"/>
          <w:lang w:val="es-ES_tradnl"/>
        </w:rPr>
        <w:t xml:space="preserve">08 de noviembre de 2010 </w:t>
      </w:r>
      <w:r>
        <w:rPr>
          <w:rFonts w:cs="Times New Roman"/>
          <w:spacing w:val="-7"/>
          <w:sz w:val="18"/>
          <w:szCs w:val="18"/>
          <w:lang w:val="es-ES_tradnl"/>
        </w:rPr>
        <w:t>¿</w:t>
      </w:r>
      <w:r>
        <w:rPr>
          <w:spacing w:val="-7"/>
          <w:sz w:val="18"/>
          <w:szCs w:val="18"/>
          <w:lang w:val="es-ES_tradnl"/>
        </w:rPr>
        <w:t>vulner</w:t>
      </w:r>
      <w:r>
        <w:rPr>
          <w:rFonts w:cs="Times New Roman"/>
          <w:spacing w:val="-7"/>
          <w:sz w:val="18"/>
          <w:szCs w:val="18"/>
          <w:lang w:val="es-ES_tradnl"/>
        </w:rPr>
        <w:t>ó</w:t>
      </w:r>
      <w:r>
        <w:rPr>
          <w:spacing w:val="-7"/>
          <w:sz w:val="18"/>
          <w:szCs w:val="18"/>
          <w:lang w:val="es-ES_tradnl"/>
        </w:rPr>
        <w:t xml:space="preserve"> el derecho al debido </w:t>
      </w:r>
      <w:r>
        <w:rPr>
          <w:spacing w:val="-3"/>
          <w:sz w:val="18"/>
          <w:szCs w:val="18"/>
          <w:lang w:val="es-ES_tradnl"/>
        </w:rPr>
        <w:t>proceso en la garant</w:t>
      </w:r>
      <w:r>
        <w:rPr>
          <w:rFonts w:cs="Times New Roman"/>
          <w:spacing w:val="-3"/>
          <w:sz w:val="18"/>
          <w:szCs w:val="18"/>
          <w:lang w:val="es-ES_tradnl"/>
        </w:rPr>
        <w:t>í</w:t>
      </w:r>
      <w:r>
        <w:rPr>
          <w:spacing w:val="-3"/>
          <w:sz w:val="18"/>
          <w:szCs w:val="18"/>
          <w:lang w:val="es-ES_tradnl"/>
        </w:rPr>
        <w:t>a de la motivaci</w:t>
      </w:r>
      <w:r>
        <w:rPr>
          <w:rFonts w:cs="Times New Roman"/>
          <w:spacing w:val="-3"/>
          <w:sz w:val="18"/>
          <w:szCs w:val="18"/>
          <w:lang w:val="es-ES_tradnl"/>
        </w:rPr>
        <w:t>ó</w:t>
      </w:r>
      <w:r>
        <w:rPr>
          <w:spacing w:val="-3"/>
          <w:sz w:val="18"/>
          <w:szCs w:val="18"/>
          <w:lang w:val="es-ES_tradnl"/>
        </w:rPr>
        <w:t xml:space="preserve">n, establecido en </w:t>
      </w:r>
      <w:r>
        <w:rPr>
          <w:spacing w:val="-5"/>
          <w:sz w:val="18"/>
          <w:szCs w:val="18"/>
          <w:lang w:val="es-ES_tradnl"/>
        </w:rPr>
        <w:t>el art</w:t>
      </w:r>
      <w:r>
        <w:rPr>
          <w:rFonts w:cs="Times New Roman"/>
          <w:spacing w:val="-5"/>
          <w:sz w:val="18"/>
          <w:szCs w:val="18"/>
          <w:lang w:val="es-ES_tradnl"/>
        </w:rPr>
        <w:t>í</w:t>
      </w:r>
      <w:r>
        <w:rPr>
          <w:spacing w:val="-5"/>
          <w:sz w:val="18"/>
          <w:szCs w:val="18"/>
          <w:lang w:val="es-ES_tradnl"/>
        </w:rPr>
        <w:t xml:space="preserve">culo 76 numeral 7 literal </w:t>
      </w:r>
      <w:r>
        <w:rPr>
          <w:b/>
          <w:bCs/>
          <w:spacing w:val="-5"/>
          <w:sz w:val="18"/>
          <w:szCs w:val="18"/>
          <w:lang w:val="es-ES_tradnl"/>
        </w:rPr>
        <w:t xml:space="preserve">l </w:t>
      </w:r>
      <w:r>
        <w:rPr>
          <w:spacing w:val="-5"/>
          <w:sz w:val="18"/>
          <w:szCs w:val="18"/>
          <w:lang w:val="es-ES_tradnl"/>
        </w:rPr>
        <w:t>de la Constituci</w:t>
      </w:r>
      <w:r>
        <w:rPr>
          <w:rFonts w:cs="Times New Roman"/>
          <w:spacing w:val="-5"/>
          <w:sz w:val="18"/>
          <w:szCs w:val="18"/>
          <w:lang w:val="es-ES_tradnl"/>
        </w:rPr>
        <w:t>ó</w:t>
      </w:r>
      <w:r>
        <w:rPr>
          <w:spacing w:val="-5"/>
          <w:sz w:val="18"/>
          <w:szCs w:val="18"/>
          <w:lang w:val="es-ES_tradnl"/>
        </w:rPr>
        <w:t xml:space="preserve">n de la </w:t>
      </w:r>
      <w:r>
        <w:rPr>
          <w:sz w:val="18"/>
          <w:szCs w:val="18"/>
          <w:lang w:val="es-ES_tradnl"/>
        </w:rPr>
        <w:t>Rep</w:t>
      </w:r>
      <w:r>
        <w:rPr>
          <w:rFonts w:cs="Times New Roman"/>
          <w:sz w:val="18"/>
          <w:szCs w:val="18"/>
          <w:lang w:val="es-ES_tradnl"/>
        </w:rPr>
        <w:t>ú</w:t>
      </w:r>
      <w:r>
        <w:rPr>
          <w:sz w:val="18"/>
          <w:szCs w:val="18"/>
          <w:lang w:val="es-ES_tradnl"/>
        </w:rPr>
        <w:t>blica?</w:t>
      </w:r>
    </w:p>
    <w:p w14:paraId="4F67B1D4" w14:textId="77777777" w:rsidR="00591D54" w:rsidRDefault="00591D54" w:rsidP="00251195">
      <w:pPr>
        <w:numPr>
          <w:ilvl w:val="0"/>
          <w:numId w:val="86"/>
        </w:numPr>
        <w:shd w:val="clear" w:color="auto" w:fill="FFFFFF"/>
        <w:tabs>
          <w:tab w:val="left" w:pos="283"/>
        </w:tabs>
        <w:spacing w:before="197" w:line="216" w:lineRule="exact"/>
        <w:ind w:right="5"/>
        <w:jc w:val="both"/>
        <w:rPr>
          <w:spacing w:val="-11"/>
          <w:sz w:val="18"/>
          <w:szCs w:val="18"/>
          <w:lang w:val="es-ES_tradnl"/>
        </w:rPr>
      </w:pPr>
      <w:r>
        <w:rPr>
          <w:spacing w:val="-8"/>
          <w:sz w:val="18"/>
          <w:szCs w:val="18"/>
          <w:lang w:val="es-ES_tradnl"/>
        </w:rPr>
        <w:t xml:space="preserve">La sentencia dictada por la Tercera Sala de lo Penal y </w:t>
      </w:r>
      <w:r>
        <w:rPr>
          <w:spacing w:val="-9"/>
          <w:sz w:val="18"/>
          <w:szCs w:val="18"/>
          <w:lang w:val="es-ES_tradnl"/>
        </w:rPr>
        <w:t>Tr</w:t>
      </w:r>
      <w:r>
        <w:rPr>
          <w:rFonts w:cs="Times New Roman"/>
          <w:spacing w:val="-9"/>
          <w:sz w:val="18"/>
          <w:szCs w:val="18"/>
          <w:lang w:val="es-ES_tradnl"/>
        </w:rPr>
        <w:t>á</w:t>
      </w:r>
      <w:r>
        <w:rPr>
          <w:spacing w:val="-9"/>
          <w:sz w:val="18"/>
          <w:szCs w:val="18"/>
          <w:lang w:val="es-ES_tradnl"/>
        </w:rPr>
        <w:t xml:space="preserve">nsito de la Corte Provincial de Justicia del Guayas del 08 </w:t>
      </w:r>
      <w:r>
        <w:rPr>
          <w:spacing w:val="-8"/>
          <w:sz w:val="18"/>
          <w:szCs w:val="18"/>
          <w:lang w:val="es-ES_tradnl"/>
        </w:rPr>
        <w:t xml:space="preserve">de noviembre de 2010, </w:t>
      </w:r>
      <w:r>
        <w:rPr>
          <w:rFonts w:cs="Times New Roman"/>
          <w:spacing w:val="-8"/>
          <w:sz w:val="18"/>
          <w:szCs w:val="18"/>
          <w:lang w:val="es-ES_tradnl"/>
        </w:rPr>
        <w:t>¿</w:t>
      </w:r>
      <w:r>
        <w:rPr>
          <w:spacing w:val="-8"/>
          <w:sz w:val="18"/>
          <w:szCs w:val="18"/>
          <w:lang w:val="es-ES_tradnl"/>
        </w:rPr>
        <w:t>vulner</w:t>
      </w:r>
      <w:r>
        <w:rPr>
          <w:rFonts w:cs="Times New Roman"/>
          <w:spacing w:val="-8"/>
          <w:sz w:val="18"/>
          <w:szCs w:val="18"/>
          <w:lang w:val="es-ES_tradnl"/>
        </w:rPr>
        <w:t>ó</w:t>
      </w:r>
      <w:r>
        <w:rPr>
          <w:spacing w:val="-8"/>
          <w:sz w:val="18"/>
          <w:szCs w:val="18"/>
          <w:lang w:val="es-ES_tradnl"/>
        </w:rPr>
        <w:t xml:space="preserve"> el derecho a la seguridad </w:t>
      </w:r>
      <w:r>
        <w:rPr>
          <w:spacing w:val="-7"/>
          <w:sz w:val="18"/>
          <w:szCs w:val="18"/>
          <w:lang w:val="es-ES_tradnl"/>
        </w:rPr>
        <w:t>jur</w:t>
      </w:r>
      <w:r>
        <w:rPr>
          <w:rFonts w:cs="Times New Roman"/>
          <w:spacing w:val="-7"/>
          <w:sz w:val="18"/>
          <w:szCs w:val="18"/>
          <w:lang w:val="es-ES_tradnl"/>
        </w:rPr>
        <w:t>í</w:t>
      </w:r>
      <w:r>
        <w:rPr>
          <w:spacing w:val="-7"/>
          <w:sz w:val="18"/>
          <w:szCs w:val="18"/>
          <w:lang w:val="es-ES_tradnl"/>
        </w:rPr>
        <w:t>dica, establecido en el art</w:t>
      </w:r>
      <w:r>
        <w:rPr>
          <w:rFonts w:cs="Times New Roman"/>
          <w:spacing w:val="-7"/>
          <w:sz w:val="18"/>
          <w:szCs w:val="18"/>
          <w:lang w:val="es-ES_tradnl"/>
        </w:rPr>
        <w:t>í</w:t>
      </w:r>
      <w:r>
        <w:rPr>
          <w:spacing w:val="-7"/>
          <w:sz w:val="18"/>
          <w:szCs w:val="18"/>
          <w:lang w:val="es-ES_tradnl"/>
        </w:rPr>
        <w:t>culo 82 de la Constituci</w:t>
      </w:r>
      <w:r>
        <w:rPr>
          <w:rFonts w:cs="Times New Roman"/>
          <w:spacing w:val="-7"/>
          <w:sz w:val="18"/>
          <w:szCs w:val="18"/>
          <w:lang w:val="es-ES_tradnl"/>
        </w:rPr>
        <w:t>ó</w:t>
      </w:r>
      <w:r>
        <w:rPr>
          <w:spacing w:val="-7"/>
          <w:sz w:val="18"/>
          <w:szCs w:val="18"/>
          <w:lang w:val="es-ES_tradnl"/>
        </w:rPr>
        <w:t xml:space="preserve">n de </w:t>
      </w:r>
      <w:r>
        <w:rPr>
          <w:sz w:val="18"/>
          <w:szCs w:val="18"/>
          <w:lang w:val="es-ES_tradnl"/>
        </w:rPr>
        <w:t>la Rep</w:t>
      </w:r>
      <w:r>
        <w:rPr>
          <w:rFonts w:cs="Times New Roman"/>
          <w:sz w:val="18"/>
          <w:szCs w:val="18"/>
          <w:lang w:val="es-ES_tradnl"/>
        </w:rPr>
        <w:t>ú</w:t>
      </w:r>
      <w:r>
        <w:rPr>
          <w:sz w:val="18"/>
          <w:szCs w:val="18"/>
          <w:lang w:val="es-ES_tradnl"/>
        </w:rPr>
        <w:t>blica?</w:t>
      </w:r>
    </w:p>
    <w:p w14:paraId="4F67B1D5" w14:textId="77777777" w:rsidR="00591D54" w:rsidRDefault="00591D54">
      <w:pPr>
        <w:shd w:val="clear" w:color="auto" w:fill="FFFFFF"/>
      </w:pPr>
      <w:r>
        <w:rPr>
          <w:spacing w:val="-11"/>
          <w:sz w:val="18"/>
          <w:szCs w:val="18"/>
          <w:lang w:val="es-ES_tradnl"/>
        </w:rPr>
        <w:br w:type="column"/>
      </w:r>
      <w:r>
        <w:rPr>
          <w:b/>
          <w:bCs/>
          <w:spacing w:val="-9"/>
          <w:sz w:val="18"/>
          <w:szCs w:val="18"/>
          <w:lang w:val="es-ES_tradnl"/>
        </w:rPr>
        <w:t>Argumentaci</w:t>
      </w:r>
      <w:r>
        <w:rPr>
          <w:rFonts w:cs="Times New Roman"/>
          <w:b/>
          <w:bCs/>
          <w:spacing w:val="-9"/>
          <w:sz w:val="18"/>
          <w:szCs w:val="18"/>
          <w:lang w:val="es-ES_tradnl"/>
        </w:rPr>
        <w:t>ó</w:t>
      </w:r>
      <w:r>
        <w:rPr>
          <w:b/>
          <w:bCs/>
          <w:spacing w:val="-9"/>
          <w:sz w:val="18"/>
          <w:szCs w:val="18"/>
          <w:lang w:val="es-ES_tradnl"/>
        </w:rPr>
        <w:t>n de los problemas jur</w:t>
      </w:r>
      <w:r>
        <w:rPr>
          <w:rFonts w:cs="Times New Roman"/>
          <w:b/>
          <w:bCs/>
          <w:spacing w:val="-9"/>
          <w:sz w:val="18"/>
          <w:szCs w:val="18"/>
          <w:lang w:val="es-ES_tradnl"/>
        </w:rPr>
        <w:t>í</w:t>
      </w:r>
      <w:r>
        <w:rPr>
          <w:b/>
          <w:bCs/>
          <w:spacing w:val="-9"/>
          <w:sz w:val="18"/>
          <w:szCs w:val="18"/>
          <w:lang w:val="es-ES_tradnl"/>
        </w:rPr>
        <w:t>dicos</w:t>
      </w:r>
    </w:p>
    <w:p w14:paraId="4F67B1D6" w14:textId="77777777" w:rsidR="00591D54" w:rsidRDefault="00591D54">
      <w:pPr>
        <w:shd w:val="clear" w:color="auto" w:fill="FFFFFF"/>
        <w:spacing w:before="187" w:line="216" w:lineRule="exact"/>
        <w:jc w:val="both"/>
      </w:pPr>
      <w:r>
        <w:rPr>
          <w:spacing w:val="-7"/>
          <w:sz w:val="18"/>
          <w:szCs w:val="18"/>
          <w:lang w:val="es-ES_tradnl"/>
        </w:rPr>
        <w:t xml:space="preserve">1. </w:t>
      </w:r>
      <w:r>
        <w:rPr>
          <w:b/>
          <w:bCs/>
          <w:spacing w:val="-7"/>
          <w:sz w:val="18"/>
          <w:szCs w:val="18"/>
          <w:lang w:val="es-ES_tradnl"/>
        </w:rPr>
        <w:t xml:space="preserve">La sentencia dictada por la Tercera Sala de lo Penal </w:t>
      </w:r>
      <w:r>
        <w:rPr>
          <w:b/>
          <w:bCs/>
          <w:spacing w:val="-9"/>
          <w:sz w:val="18"/>
          <w:szCs w:val="18"/>
          <w:lang w:val="es-ES_tradnl"/>
        </w:rPr>
        <w:t>y Tr</w:t>
      </w:r>
      <w:r>
        <w:rPr>
          <w:rFonts w:cs="Times New Roman"/>
          <w:b/>
          <w:bCs/>
          <w:spacing w:val="-9"/>
          <w:sz w:val="18"/>
          <w:szCs w:val="18"/>
          <w:lang w:val="es-ES_tradnl"/>
        </w:rPr>
        <w:t>á</w:t>
      </w:r>
      <w:r>
        <w:rPr>
          <w:b/>
          <w:bCs/>
          <w:spacing w:val="-9"/>
          <w:sz w:val="18"/>
          <w:szCs w:val="18"/>
          <w:lang w:val="es-ES_tradnl"/>
        </w:rPr>
        <w:t xml:space="preserve">nsito de la Corte Provincial de Justicia del Guayas </w:t>
      </w:r>
      <w:r>
        <w:rPr>
          <w:b/>
          <w:bCs/>
          <w:sz w:val="18"/>
          <w:szCs w:val="18"/>
          <w:lang w:val="es-ES_tradnl"/>
        </w:rPr>
        <w:t xml:space="preserve">del 08 de noviembre de 2010 </w:t>
      </w:r>
      <w:r>
        <w:rPr>
          <w:rFonts w:cs="Times New Roman"/>
          <w:b/>
          <w:bCs/>
          <w:sz w:val="18"/>
          <w:szCs w:val="18"/>
          <w:lang w:val="es-ES_tradnl"/>
        </w:rPr>
        <w:t>¿</w:t>
      </w:r>
      <w:r>
        <w:rPr>
          <w:b/>
          <w:bCs/>
          <w:sz w:val="18"/>
          <w:szCs w:val="18"/>
          <w:lang w:val="es-ES_tradnl"/>
        </w:rPr>
        <w:t>vulner</w:t>
      </w:r>
      <w:r>
        <w:rPr>
          <w:rFonts w:cs="Times New Roman"/>
          <w:b/>
          <w:bCs/>
          <w:sz w:val="18"/>
          <w:szCs w:val="18"/>
          <w:lang w:val="es-ES_tradnl"/>
        </w:rPr>
        <w:t>ó</w:t>
      </w:r>
      <w:r>
        <w:rPr>
          <w:b/>
          <w:bCs/>
          <w:sz w:val="18"/>
          <w:szCs w:val="18"/>
          <w:lang w:val="es-ES_tradnl"/>
        </w:rPr>
        <w:t xml:space="preserve"> el derecho </w:t>
      </w:r>
      <w:r>
        <w:rPr>
          <w:b/>
          <w:bCs/>
          <w:spacing w:val="-7"/>
          <w:sz w:val="18"/>
          <w:szCs w:val="18"/>
          <w:lang w:val="es-ES_tradnl"/>
        </w:rPr>
        <w:t>al debido proceso en la garant</w:t>
      </w:r>
      <w:r>
        <w:rPr>
          <w:rFonts w:cs="Times New Roman"/>
          <w:b/>
          <w:bCs/>
          <w:spacing w:val="-7"/>
          <w:sz w:val="18"/>
          <w:szCs w:val="18"/>
          <w:lang w:val="es-ES_tradnl"/>
        </w:rPr>
        <w:t>í</w:t>
      </w:r>
      <w:r>
        <w:rPr>
          <w:b/>
          <w:bCs/>
          <w:spacing w:val="-7"/>
          <w:sz w:val="18"/>
          <w:szCs w:val="18"/>
          <w:lang w:val="es-ES_tradnl"/>
        </w:rPr>
        <w:t>a de la motivaci</w:t>
      </w:r>
      <w:r>
        <w:rPr>
          <w:rFonts w:cs="Times New Roman"/>
          <w:b/>
          <w:bCs/>
          <w:spacing w:val="-7"/>
          <w:sz w:val="18"/>
          <w:szCs w:val="18"/>
          <w:lang w:val="es-ES_tradnl"/>
        </w:rPr>
        <w:t>ó</w:t>
      </w:r>
      <w:r>
        <w:rPr>
          <w:b/>
          <w:bCs/>
          <w:spacing w:val="-7"/>
          <w:sz w:val="18"/>
          <w:szCs w:val="18"/>
          <w:lang w:val="es-ES_tradnl"/>
        </w:rPr>
        <w:t xml:space="preserve">n, </w:t>
      </w:r>
      <w:r>
        <w:rPr>
          <w:b/>
          <w:bCs/>
          <w:spacing w:val="-6"/>
          <w:sz w:val="18"/>
          <w:szCs w:val="18"/>
          <w:lang w:val="es-ES_tradnl"/>
        </w:rPr>
        <w:t>establecido en el art</w:t>
      </w:r>
      <w:r>
        <w:rPr>
          <w:rFonts w:cs="Times New Roman"/>
          <w:b/>
          <w:bCs/>
          <w:spacing w:val="-6"/>
          <w:sz w:val="18"/>
          <w:szCs w:val="18"/>
          <w:lang w:val="es-ES_tradnl"/>
        </w:rPr>
        <w:t>í</w:t>
      </w:r>
      <w:r>
        <w:rPr>
          <w:b/>
          <w:bCs/>
          <w:spacing w:val="-6"/>
          <w:sz w:val="18"/>
          <w:szCs w:val="18"/>
          <w:lang w:val="es-ES_tradnl"/>
        </w:rPr>
        <w:t xml:space="preserve">culo 76 numeral 7 literal </w:t>
      </w:r>
      <w:r>
        <w:rPr>
          <w:b/>
          <w:bCs/>
          <w:i/>
          <w:iCs/>
          <w:spacing w:val="-6"/>
          <w:sz w:val="18"/>
          <w:szCs w:val="18"/>
          <w:lang w:val="es-ES_tradnl"/>
        </w:rPr>
        <w:t xml:space="preserve">l </w:t>
      </w:r>
      <w:r>
        <w:rPr>
          <w:b/>
          <w:bCs/>
          <w:spacing w:val="-6"/>
          <w:sz w:val="18"/>
          <w:szCs w:val="18"/>
          <w:lang w:val="es-ES_tradnl"/>
        </w:rPr>
        <w:t xml:space="preserve">de la </w:t>
      </w:r>
      <w:r>
        <w:rPr>
          <w:b/>
          <w:bCs/>
          <w:sz w:val="18"/>
          <w:szCs w:val="18"/>
          <w:lang w:val="es-ES_tradnl"/>
        </w:rPr>
        <w:t>Constituci</w:t>
      </w:r>
      <w:r>
        <w:rPr>
          <w:rFonts w:cs="Times New Roman"/>
          <w:b/>
          <w:bCs/>
          <w:sz w:val="18"/>
          <w:szCs w:val="18"/>
          <w:lang w:val="es-ES_tradnl"/>
        </w:rPr>
        <w:t>ó</w:t>
      </w:r>
      <w:r>
        <w:rPr>
          <w:b/>
          <w:bCs/>
          <w:sz w:val="18"/>
          <w:szCs w:val="18"/>
          <w:lang w:val="es-ES_tradnl"/>
        </w:rPr>
        <w:t>n de la Rep</w:t>
      </w:r>
      <w:r>
        <w:rPr>
          <w:rFonts w:cs="Times New Roman"/>
          <w:b/>
          <w:bCs/>
          <w:sz w:val="18"/>
          <w:szCs w:val="18"/>
          <w:lang w:val="es-ES_tradnl"/>
        </w:rPr>
        <w:t>ú</w:t>
      </w:r>
      <w:r>
        <w:rPr>
          <w:b/>
          <w:bCs/>
          <w:sz w:val="18"/>
          <w:szCs w:val="18"/>
          <w:lang w:val="es-ES_tradnl"/>
        </w:rPr>
        <w:t>blica?</w:t>
      </w:r>
    </w:p>
    <w:p w14:paraId="4F67B1D7" w14:textId="77777777" w:rsidR="00591D54" w:rsidRDefault="00591D54">
      <w:pPr>
        <w:shd w:val="clear" w:color="auto" w:fill="FFFFFF"/>
        <w:spacing w:before="197" w:line="216" w:lineRule="exact"/>
        <w:jc w:val="both"/>
      </w:pPr>
      <w:r>
        <w:rPr>
          <w:spacing w:val="-5"/>
          <w:sz w:val="18"/>
          <w:szCs w:val="18"/>
          <w:lang w:val="es-ES_tradnl"/>
        </w:rPr>
        <w:t>A fin de iniciar el an</w:t>
      </w:r>
      <w:r>
        <w:rPr>
          <w:rFonts w:cs="Times New Roman"/>
          <w:spacing w:val="-5"/>
          <w:sz w:val="18"/>
          <w:szCs w:val="18"/>
          <w:lang w:val="es-ES_tradnl"/>
        </w:rPr>
        <w:t>á</w:t>
      </w:r>
      <w:r>
        <w:rPr>
          <w:spacing w:val="-5"/>
          <w:sz w:val="18"/>
          <w:szCs w:val="18"/>
          <w:lang w:val="es-ES_tradnl"/>
        </w:rPr>
        <w:t xml:space="preserve">lisis constitucional correspondiente, </w:t>
      </w:r>
      <w:r>
        <w:rPr>
          <w:spacing w:val="-6"/>
          <w:sz w:val="18"/>
          <w:szCs w:val="18"/>
          <w:lang w:val="es-ES_tradnl"/>
        </w:rPr>
        <w:t>es preciso se</w:t>
      </w:r>
      <w:r>
        <w:rPr>
          <w:rFonts w:cs="Times New Roman"/>
          <w:spacing w:val="-6"/>
          <w:sz w:val="18"/>
          <w:szCs w:val="18"/>
          <w:lang w:val="es-ES_tradnl"/>
        </w:rPr>
        <w:t>ñ</w:t>
      </w:r>
      <w:r>
        <w:rPr>
          <w:spacing w:val="-6"/>
          <w:sz w:val="18"/>
          <w:szCs w:val="18"/>
          <w:lang w:val="es-ES_tradnl"/>
        </w:rPr>
        <w:t xml:space="preserve">alar que el debido proceso, como principio </w:t>
      </w:r>
      <w:r>
        <w:rPr>
          <w:spacing w:val="-7"/>
          <w:sz w:val="18"/>
          <w:szCs w:val="18"/>
          <w:lang w:val="es-ES_tradnl"/>
        </w:rPr>
        <w:t xml:space="preserve">constitucional, es un derecho que permite a las personas </w:t>
      </w:r>
      <w:r>
        <w:rPr>
          <w:sz w:val="18"/>
          <w:szCs w:val="18"/>
          <w:lang w:val="es-ES_tradnl"/>
        </w:rPr>
        <w:t>gozar de determinadas garant</w:t>
      </w:r>
      <w:r>
        <w:rPr>
          <w:rFonts w:cs="Times New Roman"/>
          <w:sz w:val="18"/>
          <w:szCs w:val="18"/>
          <w:lang w:val="es-ES_tradnl"/>
        </w:rPr>
        <w:t>í</w:t>
      </w:r>
      <w:r>
        <w:rPr>
          <w:sz w:val="18"/>
          <w:szCs w:val="18"/>
          <w:lang w:val="es-ES_tradnl"/>
        </w:rPr>
        <w:t xml:space="preserve">as, a fin de asegurar </w:t>
      </w:r>
      <w:r>
        <w:rPr>
          <w:spacing w:val="-5"/>
          <w:sz w:val="18"/>
          <w:szCs w:val="18"/>
          <w:lang w:val="es-ES_tradnl"/>
        </w:rPr>
        <w:t>un resultado justo y equitativo dentro de un proceso, convirti</w:t>
      </w:r>
      <w:r>
        <w:rPr>
          <w:rFonts w:cs="Times New Roman"/>
          <w:spacing w:val="-5"/>
          <w:sz w:val="18"/>
          <w:szCs w:val="18"/>
          <w:lang w:val="es-ES_tradnl"/>
        </w:rPr>
        <w:t>é</w:t>
      </w:r>
      <w:r>
        <w:rPr>
          <w:spacing w:val="-5"/>
          <w:sz w:val="18"/>
          <w:szCs w:val="18"/>
          <w:lang w:val="es-ES_tradnl"/>
        </w:rPr>
        <w:t xml:space="preserve">ndose entonces en un pilar fundamental en la </w:t>
      </w:r>
      <w:r>
        <w:rPr>
          <w:sz w:val="18"/>
          <w:szCs w:val="18"/>
          <w:lang w:val="es-ES_tradnl"/>
        </w:rPr>
        <w:t>defensa de las personas.</w:t>
      </w:r>
    </w:p>
    <w:p w14:paraId="4F67B1D8" w14:textId="77777777" w:rsidR="00591D54" w:rsidRDefault="00591D54">
      <w:pPr>
        <w:shd w:val="clear" w:color="auto" w:fill="FFFFFF"/>
        <w:spacing w:before="197" w:line="216" w:lineRule="exact"/>
        <w:jc w:val="both"/>
      </w:pPr>
      <w:r>
        <w:rPr>
          <w:spacing w:val="-11"/>
          <w:sz w:val="18"/>
          <w:szCs w:val="18"/>
          <w:lang w:val="es-ES_tradnl"/>
        </w:rPr>
        <w:t>Es as</w:t>
      </w:r>
      <w:r>
        <w:rPr>
          <w:rFonts w:cs="Times New Roman"/>
          <w:spacing w:val="-11"/>
          <w:sz w:val="18"/>
          <w:szCs w:val="18"/>
          <w:lang w:val="es-ES_tradnl"/>
        </w:rPr>
        <w:t>í</w:t>
      </w:r>
      <w:r>
        <w:rPr>
          <w:spacing w:val="-11"/>
          <w:sz w:val="18"/>
          <w:szCs w:val="18"/>
          <w:lang w:val="es-ES_tradnl"/>
        </w:rPr>
        <w:t xml:space="preserve"> que para el caso ecuatoriano, el establecimiento de las </w:t>
      </w:r>
      <w:r>
        <w:rPr>
          <w:spacing w:val="-10"/>
          <w:sz w:val="18"/>
          <w:szCs w:val="18"/>
          <w:lang w:val="es-ES_tradnl"/>
        </w:rPr>
        <w:t>garant</w:t>
      </w:r>
      <w:r>
        <w:rPr>
          <w:rFonts w:cs="Times New Roman"/>
          <w:spacing w:val="-10"/>
          <w:sz w:val="18"/>
          <w:szCs w:val="18"/>
          <w:lang w:val="es-ES_tradnl"/>
        </w:rPr>
        <w:t>í</w:t>
      </w:r>
      <w:r>
        <w:rPr>
          <w:spacing w:val="-10"/>
          <w:sz w:val="18"/>
          <w:szCs w:val="18"/>
          <w:lang w:val="es-ES_tradnl"/>
        </w:rPr>
        <w:t xml:space="preserve">as que conforman el debido proceso se detallan en el </w:t>
      </w:r>
      <w:r>
        <w:rPr>
          <w:spacing w:val="-8"/>
          <w:sz w:val="18"/>
          <w:szCs w:val="18"/>
          <w:lang w:val="es-ES_tradnl"/>
        </w:rPr>
        <w:t>art</w:t>
      </w:r>
      <w:r>
        <w:rPr>
          <w:rFonts w:cs="Times New Roman"/>
          <w:spacing w:val="-8"/>
          <w:sz w:val="18"/>
          <w:szCs w:val="18"/>
          <w:lang w:val="es-ES_tradnl"/>
        </w:rPr>
        <w:t>í</w:t>
      </w:r>
      <w:r>
        <w:rPr>
          <w:spacing w:val="-8"/>
          <w:sz w:val="18"/>
          <w:szCs w:val="18"/>
          <w:lang w:val="es-ES_tradnl"/>
        </w:rPr>
        <w:t>culo 76 de la Constituci</w:t>
      </w:r>
      <w:r>
        <w:rPr>
          <w:rFonts w:cs="Times New Roman"/>
          <w:spacing w:val="-8"/>
          <w:sz w:val="18"/>
          <w:szCs w:val="18"/>
          <w:lang w:val="es-ES_tradnl"/>
        </w:rPr>
        <w:t>ó</w:t>
      </w:r>
      <w:r>
        <w:rPr>
          <w:spacing w:val="-8"/>
          <w:sz w:val="18"/>
          <w:szCs w:val="18"/>
          <w:lang w:val="es-ES_tradnl"/>
        </w:rPr>
        <w:t>n de la Rep</w:t>
      </w:r>
      <w:r>
        <w:rPr>
          <w:rFonts w:cs="Times New Roman"/>
          <w:spacing w:val="-8"/>
          <w:sz w:val="18"/>
          <w:szCs w:val="18"/>
          <w:lang w:val="es-ES_tradnl"/>
        </w:rPr>
        <w:t>ú</w:t>
      </w:r>
      <w:r>
        <w:rPr>
          <w:spacing w:val="-8"/>
          <w:sz w:val="18"/>
          <w:szCs w:val="18"/>
          <w:lang w:val="es-ES_tradnl"/>
        </w:rPr>
        <w:t xml:space="preserve">blica, dentro de las </w:t>
      </w:r>
      <w:r>
        <w:rPr>
          <w:spacing w:val="-9"/>
          <w:sz w:val="18"/>
          <w:szCs w:val="18"/>
          <w:lang w:val="es-ES_tradnl"/>
        </w:rPr>
        <w:t xml:space="preserve">cuales el numeral 7 se enfoca directamente al derecho a la </w:t>
      </w:r>
      <w:r>
        <w:rPr>
          <w:spacing w:val="-8"/>
          <w:sz w:val="18"/>
          <w:szCs w:val="18"/>
          <w:lang w:val="es-ES_tradnl"/>
        </w:rPr>
        <w:t>defensa, numeral que de igual manera contiene un amplio repertorio de garant</w:t>
      </w:r>
      <w:r>
        <w:rPr>
          <w:rFonts w:cs="Times New Roman"/>
          <w:spacing w:val="-8"/>
          <w:sz w:val="18"/>
          <w:szCs w:val="18"/>
          <w:lang w:val="es-ES_tradnl"/>
        </w:rPr>
        <w:t>í</w:t>
      </w:r>
      <w:r>
        <w:rPr>
          <w:spacing w:val="-8"/>
          <w:sz w:val="18"/>
          <w:szCs w:val="18"/>
          <w:lang w:val="es-ES_tradnl"/>
        </w:rPr>
        <w:t>as que consolidan dicho derecho.</w:t>
      </w:r>
    </w:p>
    <w:p w14:paraId="4F67B1D9" w14:textId="77777777" w:rsidR="00591D54" w:rsidRDefault="00591D54">
      <w:pPr>
        <w:shd w:val="clear" w:color="auto" w:fill="FFFFFF"/>
        <w:spacing w:before="197" w:line="216" w:lineRule="exact"/>
        <w:jc w:val="both"/>
      </w:pPr>
      <w:r>
        <w:rPr>
          <w:spacing w:val="-8"/>
          <w:sz w:val="18"/>
          <w:szCs w:val="18"/>
          <w:lang w:val="es-ES_tradnl"/>
        </w:rPr>
        <w:t>Considerando entonces que el numeral 7 del art</w:t>
      </w:r>
      <w:r>
        <w:rPr>
          <w:rFonts w:cs="Times New Roman"/>
          <w:spacing w:val="-8"/>
          <w:sz w:val="18"/>
          <w:szCs w:val="18"/>
          <w:lang w:val="es-ES_tradnl"/>
        </w:rPr>
        <w:t>í</w:t>
      </w:r>
      <w:r>
        <w:rPr>
          <w:spacing w:val="-8"/>
          <w:sz w:val="18"/>
          <w:szCs w:val="18"/>
          <w:lang w:val="es-ES_tradnl"/>
        </w:rPr>
        <w:t>culo 76 de la Constituci</w:t>
      </w:r>
      <w:r>
        <w:rPr>
          <w:rFonts w:cs="Times New Roman"/>
          <w:spacing w:val="-8"/>
          <w:sz w:val="18"/>
          <w:szCs w:val="18"/>
          <w:lang w:val="es-ES_tradnl"/>
        </w:rPr>
        <w:t>ó</w:t>
      </w:r>
      <w:r>
        <w:rPr>
          <w:spacing w:val="-8"/>
          <w:sz w:val="18"/>
          <w:szCs w:val="18"/>
          <w:lang w:val="es-ES_tradnl"/>
        </w:rPr>
        <w:t>n de la Rep</w:t>
      </w:r>
      <w:r>
        <w:rPr>
          <w:rFonts w:cs="Times New Roman"/>
          <w:spacing w:val="-8"/>
          <w:sz w:val="18"/>
          <w:szCs w:val="18"/>
          <w:lang w:val="es-ES_tradnl"/>
        </w:rPr>
        <w:t>ú</w:t>
      </w:r>
      <w:r>
        <w:rPr>
          <w:spacing w:val="-8"/>
          <w:sz w:val="18"/>
          <w:szCs w:val="18"/>
          <w:lang w:val="es-ES_tradnl"/>
        </w:rPr>
        <w:t xml:space="preserve">blica del Ecuador determina que </w:t>
      </w:r>
      <w:r>
        <w:rPr>
          <w:spacing w:val="-10"/>
          <w:sz w:val="18"/>
          <w:szCs w:val="18"/>
          <w:lang w:val="es-ES_tradnl"/>
        </w:rPr>
        <w:t>en todo proceso deber</w:t>
      </w:r>
      <w:r>
        <w:rPr>
          <w:rFonts w:cs="Times New Roman"/>
          <w:spacing w:val="-10"/>
          <w:sz w:val="18"/>
          <w:szCs w:val="18"/>
          <w:lang w:val="es-ES_tradnl"/>
        </w:rPr>
        <w:t>á</w:t>
      </w:r>
      <w:r>
        <w:rPr>
          <w:spacing w:val="-10"/>
          <w:sz w:val="18"/>
          <w:szCs w:val="18"/>
          <w:lang w:val="es-ES_tradnl"/>
        </w:rPr>
        <w:t xml:space="preserve"> cumplirse con las garant</w:t>
      </w:r>
      <w:r>
        <w:rPr>
          <w:rFonts w:cs="Times New Roman"/>
          <w:spacing w:val="-10"/>
          <w:sz w:val="18"/>
          <w:szCs w:val="18"/>
          <w:lang w:val="es-ES_tradnl"/>
        </w:rPr>
        <w:t>í</w:t>
      </w:r>
      <w:r>
        <w:rPr>
          <w:spacing w:val="-10"/>
          <w:sz w:val="18"/>
          <w:szCs w:val="18"/>
          <w:lang w:val="es-ES_tradnl"/>
        </w:rPr>
        <w:t>as b</w:t>
      </w:r>
      <w:r>
        <w:rPr>
          <w:rFonts w:cs="Times New Roman"/>
          <w:spacing w:val="-10"/>
          <w:sz w:val="18"/>
          <w:szCs w:val="18"/>
          <w:lang w:val="es-ES_tradnl"/>
        </w:rPr>
        <w:t>á</w:t>
      </w:r>
      <w:r>
        <w:rPr>
          <w:spacing w:val="-10"/>
          <w:sz w:val="18"/>
          <w:szCs w:val="18"/>
          <w:lang w:val="es-ES_tradnl"/>
        </w:rPr>
        <w:t xml:space="preserve">sicas </w:t>
      </w:r>
      <w:r>
        <w:rPr>
          <w:spacing w:val="-5"/>
          <w:sz w:val="18"/>
          <w:szCs w:val="18"/>
          <w:lang w:val="es-ES_tradnl"/>
        </w:rPr>
        <w:t xml:space="preserve">respecto del debido proceso y directamente relacionado </w:t>
      </w:r>
      <w:r>
        <w:rPr>
          <w:spacing w:val="-7"/>
          <w:sz w:val="18"/>
          <w:szCs w:val="18"/>
          <w:lang w:val="es-ES_tradnl"/>
        </w:rPr>
        <w:t xml:space="preserve">con el derecho a la defensa, el literal </w:t>
      </w:r>
      <w:r>
        <w:rPr>
          <w:b/>
          <w:bCs/>
          <w:spacing w:val="-7"/>
          <w:sz w:val="18"/>
          <w:szCs w:val="18"/>
          <w:lang w:val="es-ES_tradnl"/>
        </w:rPr>
        <w:t xml:space="preserve">l </w:t>
      </w:r>
      <w:r>
        <w:rPr>
          <w:spacing w:val="-7"/>
          <w:sz w:val="18"/>
          <w:szCs w:val="18"/>
          <w:lang w:val="es-ES_tradnl"/>
        </w:rPr>
        <w:t>de dicha disposici</w:t>
      </w:r>
      <w:r>
        <w:rPr>
          <w:rFonts w:cs="Times New Roman"/>
          <w:spacing w:val="-7"/>
          <w:sz w:val="18"/>
          <w:szCs w:val="18"/>
          <w:lang w:val="es-ES_tradnl"/>
        </w:rPr>
        <w:t>ó</w:t>
      </w:r>
      <w:r>
        <w:rPr>
          <w:spacing w:val="-7"/>
          <w:sz w:val="18"/>
          <w:szCs w:val="18"/>
          <w:lang w:val="es-ES_tradnl"/>
        </w:rPr>
        <w:t xml:space="preserve">n </w:t>
      </w:r>
      <w:r>
        <w:rPr>
          <w:spacing w:val="-9"/>
          <w:sz w:val="18"/>
          <w:szCs w:val="18"/>
          <w:lang w:val="es-ES_tradnl"/>
        </w:rPr>
        <w:t>contempla la motivaci</w:t>
      </w:r>
      <w:r>
        <w:rPr>
          <w:rFonts w:cs="Times New Roman"/>
          <w:spacing w:val="-9"/>
          <w:sz w:val="18"/>
          <w:szCs w:val="18"/>
          <w:lang w:val="es-ES_tradnl"/>
        </w:rPr>
        <w:t>ó</w:t>
      </w:r>
      <w:r>
        <w:rPr>
          <w:spacing w:val="-9"/>
          <w:sz w:val="18"/>
          <w:szCs w:val="18"/>
          <w:lang w:val="es-ES_tradnl"/>
        </w:rPr>
        <w:t>n como garant</w:t>
      </w:r>
      <w:r>
        <w:rPr>
          <w:rFonts w:cs="Times New Roman"/>
          <w:spacing w:val="-9"/>
          <w:sz w:val="18"/>
          <w:szCs w:val="18"/>
          <w:lang w:val="es-ES_tradnl"/>
        </w:rPr>
        <w:t>í</w:t>
      </w:r>
      <w:r>
        <w:rPr>
          <w:spacing w:val="-9"/>
          <w:sz w:val="18"/>
          <w:szCs w:val="18"/>
          <w:lang w:val="es-ES_tradnl"/>
        </w:rPr>
        <w:t xml:space="preserve">a del debido proceso, </w:t>
      </w:r>
      <w:r>
        <w:rPr>
          <w:sz w:val="18"/>
          <w:szCs w:val="18"/>
          <w:lang w:val="es-ES_tradnl"/>
        </w:rPr>
        <w:t>que se</w:t>
      </w:r>
      <w:r>
        <w:rPr>
          <w:rFonts w:cs="Times New Roman"/>
          <w:sz w:val="18"/>
          <w:szCs w:val="18"/>
          <w:lang w:val="es-ES_tradnl"/>
        </w:rPr>
        <w:t>ñ</w:t>
      </w:r>
      <w:r>
        <w:rPr>
          <w:sz w:val="18"/>
          <w:szCs w:val="18"/>
          <w:lang w:val="es-ES_tradnl"/>
        </w:rPr>
        <w:t>ala textualmente:</w:t>
      </w:r>
    </w:p>
    <w:p w14:paraId="4F67B1DA" w14:textId="77777777" w:rsidR="00591D54" w:rsidRDefault="00591D54">
      <w:pPr>
        <w:shd w:val="clear" w:color="auto" w:fill="FFFFFF"/>
        <w:spacing w:before="202" w:line="216" w:lineRule="exact"/>
        <w:ind w:left="283"/>
        <w:jc w:val="both"/>
      </w:pPr>
      <w:r>
        <w:rPr>
          <w:spacing w:val="-8"/>
          <w:sz w:val="16"/>
          <w:szCs w:val="16"/>
          <w:lang w:val="es-ES_tradnl"/>
        </w:rPr>
        <w:t>Art. 76.- (</w:t>
      </w:r>
      <w:r>
        <w:rPr>
          <w:rFonts w:cs="Times New Roman"/>
          <w:spacing w:val="-8"/>
          <w:sz w:val="16"/>
          <w:szCs w:val="16"/>
          <w:lang w:val="es-ES_tradnl"/>
        </w:rPr>
        <w:t>…</w:t>
      </w:r>
      <w:r>
        <w:rPr>
          <w:spacing w:val="-8"/>
          <w:sz w:val="16"/>
          <w:szCs w:val="16"/>
          <w:lang w:val="es-ES_tradnl"/>
        </w:rPr>
        <w:t>) 7. El derecho de las personas a la defensa incluir</w:t>
      </w:r>
      <w:r>
        <w:rPr>
          <w:rFonts w:cs="Times New Roman"/>
          <w:spacing w:val="-8"/>
          <w:sz w:val="16"/>
          <w:szCs w:val="16"/>
          <w:lang w:val="es-ES_tradnl"/>
        </w:rPr>
        <w:t xml:space="preserve">á </w:t>
      </w:r>
      <w:r>
        <w:rPr>
          <w:sz w:val="16"/>
          <w:szCs w:val="16"/>
          <w:lang w:val="es-ES_tradnl"/>
        </w:rPr>
        <w:t>las siguientes garant</w:t>
      </w:r>
      <w:r>
        <w:rPr>
          <w:rFonts w:cs="Times New Roman"/>
          <w:sz w:val="16"/>
          <w:szCs w:val="16"/>
          <w:lang w:val="es-ES_tradnl"/>
        </w:rPr>
        <w:t>í</w:t>
      </w:r>
      <w:r>
        <w:rPr>
          <w:sz w:val="16"/>
          <w:szCs w:val="16"/>
          <w:lang w:val="es-ES_tradnl"/>
        </w:rPr>
        <w:t>as:</w:t>
      </w:r>
    </w:p>
    <w:p w14:paraId="4F67B1DB" w14:textId="77777777" w:rsidR="00591D54" w:rsidRDefault="00591D54">
      <w:pPr>
        <w:shd w:val="clear" w:color="auto" w:fill="FFFFFF"/>
        <w:spacing w:before="206" w:line="216" w:lineRule="exact"/>
        <w:ind w:left="283"/>
        <w:jc w:val="both"/>
      </w:pPr>
      <w:r>
        <w:rPr>
          <w:spacing w:val="-5"/>
          <w:sz w:val="16"/>
          <w:szCs w:val="16"/>
          <w:lang w:val="es-ES_tradnl"/>
        </w:rPr>
        <w:t>l) Las resoluciones de los poderes p</w:t>
      </w:r>
      <w:r>
        <w:rPr>
          <w:rFonts w:cs="Times New Roman"/>
          <w:spacing w:val="-5"/>
          <w:sz w:val="16"/>
          <w:szCs w:val="16"/>
          <w:lang w:val="es-ES_tradnl"/>
        </w:rPr>
        <w:t>ú</w:t>
      </w:r>
      <w:r>
        <w:rPr>
          <w:spacing w:val="-5"/>
          <w:sz w:val="16"/>
          <w:szCs w:val="16"/>
          <w:lang w:val="es-ES_tradnl"/>
        </w:rPr>
        <w:t>blicos deber</w:t>
      </w:r>
      <w:r>
        <w:rPr>
          <w:rFonts w:cs="Times New Roman"/>
          <w:spacing w:val="-5"/>
          <w:sz w:val="16"/>
          <w:szCs w:val="16"/>
          <w:lang w:val="es-ES_tradnl"/>
        </w:rPr>
        <w:t>á</w:t>
      </w:r>
      <w:r>
        <w:rPr>
          <w:spacing w:val="-5"/>
          <w:sz w:val="16"/>
          <w:szCs w:val="16"/>
          <w:lang w:val="es-ES_tradnl"/>
        </w:rPr>
        <w:t xml:space="preserve">n ser </w:t>
      </w:r>
      <w:r>
        <w:rPr>
          <w:spacing w:val="-4"/>
          <w:sz w:val="16"/>
          <w:szCs w:val="16"/>
          <w:lang w:val="es-ES_tradnl"/>
        </w:rPr>
        <w:t>motivadas. No habr</w:t>
      </w:r>
      <w:r>
        <w:rPr>
          <w:rFonts w:cs="Times New Roman"/>
          <w:spacing w:val="-4"/>
          <w:sz w:val="16"/>
          <w:szCs w:val="16"/>
          <w:lang w:val="es-ES_tradnl"/>
        </w:rPr>
        <w:t>á</w:t>
      </w:r>
      <w:r>
        <w:rPr>
          <w:spacing w:val="-4"/>
          <w:sz w:val="16"/>
          <w:szCs w:val="16"/>
          <w:lang w:val="es-ES_tradnl"/>
        </w:rPr>
        <w:t xml:space="preserve"> motivaci</w:t>
      </w:r>
      <w:r>
        <w:rPr>
          <w:rFonts w:cs="Times New Roman"/>
          <w:spacing w:val="-4"/>
          <w:sz w:val="16"/>
          <w:szCs w:val="16"/>
          <w:lang w:val="es-ES_tradnl"/>
        </w:rPr>
        <w:t>ó</w:t>
      </w:r>
      <w:r>
        <w:rPr>
          <w:spacing w:val="-4"/>
          <w:sz w:val="16"/>
          <w:szCs w:val="16"/>
          <w:lang w:val="es-ES_tradnl"/>
        </w:rPr>
        <w:t>n si en la resoluci</w:t>
      </w:r>
      <w:r>
        <w:rPr>
          <w:rFonts w:cs="Times New Roman"/>
          <w:spacing w:val="-4"/>
          <w:sz w:val="16"/>
          <w:szCs w:val="16"/>
          <w:lang w:val="es-ES_tradnl"/>
        </w:rPr>
        <w:t>ó</w:t>
      </w:r>
      <w:r>
        <w:rPr>
          <w:spacing w:val="-4"/>
          <w:sz w:val="16"/>
          <w:szCs w:val="16"/>
          <w:lang w:val="es-ES_tradnl"/>
        </w:rPr>
        <w:t xml:space="preserve">n no se </w:t>
      </w:r>
      <w:r>
        <w:rPr>
          <w:spacing w:val="-9"/>
          <w:sz w:val="16"/>
          <w:szCs w:val="16"/>
          <w:lang w:val="es-ES_tradnl"/>
        </w:rPr>
        <w:t>enuncian las normas o principios jur</w:t>
      </w:r>
      <w:r>
        <w:rPr>
          <w:rFonts w:cs="Times New Roman"/>
          <w:spacing w:val="-9"/>
          <w:sz w:val="16"/>
          <w:szCs w:val="16"/>
          <w:lang w:val="es-ES_tradnl"/>
        </w:rPr>
        <w:t>í</w:t>
      </w:r>
      <w:r>
        <w:rPr>
          <w:spacing w:val="-9"/>
          <w:sz w:val="16"/>
          <w:szCs w:val="16"/>
          <w:lang w:val="es-ES_tradnl"/>
        </w:rPr>
        <w:t>dicos en que se funda y no se explica la pertinencia de su aplicaci</w:t>
      </w:r>
      <w:r>
        <w:rPr>
          <w:rFonts w:cs="Times New Roman"/>
          <w:spacing w:val="-9"/>
          <w:sz w:val="16"/>
          <w:szCs w:val="16"/>
          <w:lang w:val="es-ES_tradnl"/>
        </w:rPr>
        <w:t>ó</w:t>
      </w:r>
      <w:r>
        <w:rPr>
          <w:spacing w:val="-9"/>
          <w:sz w:val="16"/>
          <w:szCs w:val="16"/>
          <w:lang w:val="es-ES_tradnl"/>
        </w:rPr>
        <w:t xml:space="preserve">n a los antecedentes de </w:t>
      </w:r>
      <w:r>
        <w:rPr>
          <w:spacing w:val="-7"/>
          <w:sz w:val="16"/>
          <w:szCs w:val="16"/>
          <w:lang w:val="es-ES_tradnl"/>
        </w:rPr>
        <w:t xml:space="preserve">hecho. Los actos administrativos, resoluciones o fallos que no </w:t>
      </w:r>
      <w:r>
        <w:rPr>
          <w:spacing w:val="-8"/>
          <w:sz w:val="16"/>
          <w:szCs w:val="16"/>
          <w:lang w:val="es-ES_tradnl"/>
        </w:rPr>
        <w:t>se encuentren debidamente motivados se considerar</w:t>
      </w:r>
      <w:r>
        <w:rPr>
          <w:rFonts w:cs="Times New Roman"/>
          <w:spacing w:val="-8"/>
          <w:sz w:val="16"/>
          <w:szCs w:val="16"/>
          <w:lang w:val="es-ES_tradnl"/>
        </w:rPr>
        <w:t>á</w:t>
      </w:r>
      <w:r>
        <w:rPr>
          <w:spacing w:val="-8"/>
          <w:sz w:val="16"/>
          <w:szCs w:val="16"/>
          <w:lang w:val="es-ES_tradnl"/>
        </w:rPr>
        <w:t>n nulos. Las servidoras o servidores responsables ser</w:t>
      </w:r>
      <w:r>
        <w:rPr>
          <w:rFonts w:cs="Times New Roman"/>
          <w:spacing w:val="-8"/>
          <w:sz w:val="16"/>
          <w:szCs w:val="16"/>
          <w:lang w:val="es-ES_tradnl"/>
        </w:rPr>
        <w:t>á</w:t>
      </w:r>
      <w:r>
        <w:rPr>
          <w:spacing w:val="-8"/>
          <w:sz w:val="16"/>
          <w:szCs w:val="16"/>
          <w:lang w:val="es-ES_tradnl"/>
        </w:rPr>
        <w:t>n sancionados.</w:t>
      </w:r>
    </w:p>
    <w:p w14:paraId="4F67B1DC" w14:textId="77777777" w:rsidR="00591D54" w:rsidRDefault="00591D54">
      <w:pPr>
        <w:shd w:val="clear" w:color="auto" w:fill="FFFFFF"/>
        <w:spacing w:before="197" w:line="216" w:lineRule="exact"/>
        <w:jc w:val="both"/>
      </w:pPr>
      <w:r>
        <w:rPr>
          <w:spacing w:val="-6"/>
          <w:sz w:val="18"/>
          <w:szCs w:val="18"/>
          <w:lang w:val="es-ES_tradnl"/>
        </w:rPr>
        <w:t>En concordancia con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w:t>
      </w:r>
      <w:r>
        <w:rPr>
          <w:spacing w:val="-5"/>
          <w:sz w:val="18"/>
          <w:szCs w:val="18"/>
          <w:lang w:val="es-ES_tradnl"/>
        </w:rPr>
        <w:t>Jurisdiccionales y Control Constitucional, se</w:t>
      </w:r>
      <w:r>
        <w:rPr>
          <w:rFonts w:cs="Times New Roman"/>
          <w:spacing w:val="-5"/>
          <w:sz w:val="18"/>
          <w:szCs w:val="18"/>
          <w:lang w:val="es-ES_tradnl"/>
        </w:rPr>
        <w:t>ñ</w:t>
      </w:r>
      <w:r>
        <w:rPr>
          <w:spacing w:val="-5"/>
          <w:sz w:val="18"/>
          <w:szCs w:val="18"/>
          <w:lang w:val="es-ES_tradnl"/>
        </w:rPr>
        <w:t xml:space="preserve">ala en el </w:t>
      </w:r>
      <w:r>
        <w:rPr>
          <w:sz w:val="18"/>
          <w:szCs w:val="18"/>
          <w:lang w:val="es-ES_tradnl"/>
        </w:rPr>
        <w:t>art</w:t>
      </w:r>
      <w:r>
        <w:rPr>
          <w:rFonts w:cs="Times New Roman"/>
          <w:sz w:val="18"/>
          <w:szCs w:val="18"/>
          <w:lang w:val="es-ES_tradnl"/>
        </w:rPr>
        <w:t>í</w:t>
      </w:r>
      <w:r>
        <w:rPr>
          <w:sz w:val="18"/>
          <w:szCs w:val="18"/>
          <w:lang w:val="es-ES_tradnl"/>
        </w:rPr>
        <w:t>culo 9:</w:t>
      </w:r>
    </w:p>
    <w:p w14:paraId="4F67B1DD" w14:textId="77777777" w:rsidR="00591D54" w:rsidRDefault="00591D54">
      <w:pPr>
        <w:shd w:val="clear" w:color="auto" w:fill="FFFFFF"/>
        <w:spacing w:before="202" w:line="216" w:lineRule="exact"/>
        <w:ind w:left="283"/>
        <w:jc w:val="both"/>
      </w:pPr>
      <w:r>
        <w:rPr>
          <w:spacing w:val="-1"/>
          <w:sz w:val="16"/>
          <w:szCs w:val="16"/>
          <w:lang w:val="es-ES_tradnl"/>
        </w:rPr>
        <w:t>La jueza o juez tiene la obligaci</w:t>
      </w:r>
      <w:r>
        <w:rPr>
          <w:rFonts w:cs="Times New Roman"/>
          <w:spacing w:val="-1"/>
          <w:sz w:val="16"/>
          <w:szCs w:val="16"/>
          <w:lang w:val="es-ES_tradnl"/>
        </w:rPr>
        <w:t>ó</w:t>
      </w:r>
      <w:r>
        <w:rPr>
          <w:spacing w:val="-1"/>
          <w:sz w:val="16"/>
          <w:szCs w:val="16"/>
          <w:lang w:val="es-ES_tradnl"/>
        </w:rPr>
        <w:t xml:space="preserve">n de fundamentar </w:t>
      </w:r>
      <w:r>
        <w:rPr>
          <w:spacing w:val="-10"/>
          <w:sz w:val="16"/>
          <w:szCs w:val="16"/>
          <w:lang w:val="es-ES_tradnl"/>
        </w:rPr>
        <w:t xml:space="preserve">adecuadamente sus decisiones a partir de las reglas y principios </w:t>
      </w:r>
      <w:r>
        <w:rPr>
          <w:spacing w:val="-4"/>
          <w:sz w:val="16"/>
          <w:szCs w:val="16"/>
          <w:lang w:val="es-ES_tradnl"/>
        </w:rPr>
        <w:t>que rigen la argumentaci</w:t>
      </w:r>
      <w:r>
        <w:rPr>
          <w:rFonts w:cs="Times New Roman"/>
          <w:spacing w:val="-4"/>
          <w:sz w:val="16"/>
          <w:szCs w:val="16"/>
          <w:lang w:val="es-ES_tradnl"/>
        </w:rPr>
        <w:t>ó</w:t>
      </w:r>
      <w:r>
        <w:rPr>
          <w:spacing w:val="-4"/>
          <w:sz w:val="16"/>
          <w:szCs w:val="16"/>
          <w:lang w:val="es-ES_tradnl"/>
        </w:rPr>
        <w:t>n jur</w:t>
      </w:r>
      <w:r>
        <w:rPr>
          <w:rFonts w:cs="Times New Roman"/>
          <w:spacing w:val="-4"/>
          <w:sz w:val="16"/>
          <w:szCs w:val="16"/>
          <w:lang w:val="es-ES_tradnl"/>
        </w:rPr>
        <w:t>í</w:t>
      </w:r>
      <w:r>
        <w:rPr>
          <w:spacing w:val="-4"/>
          <w:sz w:val="16"/>
          <w:szCs w:val="16"/>
          <w:lang w:val="es-ES_tradnl"/>
        </w:rPr>
        <w:t xml:space="preserve">dica. En particular, tiene la </w:t>
      </w:r>
      <w:r>
        <w:rPr>
          <w:spacing w:val="-7"/>
          <w:sz w:val="16"/>
          <w:szCs w:val="16"/>
          <w:lang w:val="es-ES_tradnl"/>
        </w:rPr>
        <w:t>obligaci</w:t>
      </w:r>
      <w:r>
        <w:rPr>
          <w:rFonts w:cs="Times New Roman"/>
          <w:spacing w:val="-7"/>
          <w:sz w:val="16"/>
          <w:szCs w:val="16"/>
          <w:lang w:val="es-ES_tradnl"/>
        </w:rPr>
        <w:t>ó</w:t>
      </w:r>
      <w:r>
        <w:rPr>
          <w:spacing w:val="-7"/>
          <w:sz w:val="16"/>
          <w:szCs w:val="16"/>
          <w:lang w:val="es-ES_tradnl"/>
        </w:rPr>
        <w:t xml:space="preserve">n de pronunciarse sobre los argumentos y razones relevantes expuestas durante el proceso por las partes y los </w:t>
      </w:r>
      <w:r>
        <w:rPr>
          <w:sz w:val="16"/>
          <w:szCs w:val="16"/>
          <w:lang w:val="es-ES_tradnl"/>
        </w:rPr>
        <w:t>dem</w:t>
      </w:r>
      <w:r>
        <w:rPr>
          <w:rFonts w:cs="Times New Roman"/>
          <w:sz w:val="16"/>
          <w:szCs w:val="16"/>
          <w:lang w:val="es-ES_tradnl"/>
        </w:rPr>
        <w:t>á</w:t>
      </w:r>
      <w:r>
        <w:rPr>
          <w:sz w:val="16"/>
          <w:szCs w:val="16"/>
          <w:lang w:val="es-ES_tradnl"/>
        </w:rPr>
        <w:t>s intervinientes en el proceso.</w:t>
      </w:r>
    </w:p>
    <w:p w14:paraId="4F67B1DE" w14:textId="77777777" w:rsidR="00591D54" w:rsidRDefault="00591D54">
      <w:pPr>
        <w:shd w:val="clear" w:color="auto" w:fill="FFFFFF"/>
        <w:spacing w:before="202" w:line="216" w:lineRule="exact"/>
        <w:jc w:val="both"/>
      </w:pPr>
      <w:r>
        <w:rPr>
          <w:spacing w:val="-7"/>
          <w:sz w:val="18"/>
          <w:szCs w:val="18"/>
          <w:lang w:val="es-ES_tradnl"/>
        </w:rPr>
        <w:t>Por su parte, la Corte Constitucional del Ecuador, a trav</w:t>
      </w:r>
      <w:r>
        <w:rPr>
          <w:rFonts w:cs="Times New Roman"/>
          <w:spacing w:val="-7"/>
          <w:sz w:val="18"/>
          <w:szCs w:val="18"/>
          <w:lang w:val="es-ES_tradnl"/>
        </w:rPr>
        <w:t>é</w:t>
      </w:r>
      <w:r>
        <w:rPr>
          <w:spacing w:val="-7"/>
          <w:sz w:val="18"/>
          <w:szCs w:val="18"/>
          <w:lang w:val="es-ES_tradnl"/>
        </w:rPr>
        <w:t xml:space="preserve">s </w:t>
      </w:r>
      <w:r>
        <w:rPr>
          <w:spacing w:val="-10"/>
          <w:sz w:val="18"/>
          <w:szCs w:val="18"/>
          <w:lang w:val="es-ES_tradnl"/>
        </w:rPr>
        <w:t>de varias sentencias como la sentencia N.</w:t>
      </w:r>
      <w:r>
        <w:rPr>
          <w:rFonts w:cs="Times New Roman"/>
          <w:spacing w:val="-10"/>
          <w:sz w:val="18"/>
          <w:szCs w:val="18"/>
          <w:lang w:val="es-ES_tradnl"/>
        </w:rPr>
        <w:t>º</w:t>
      </w:r>
      <w:r>
        <w:rPr>
          <w:spacing w:val="-10"/>
          <w:sz w:val="18"/>
          <w:szCs w:val="18"/>
          <w:lang w:val="es-ES_tradnl"/>
        </w:rPr>
        <w:t xml:space="preserve"> 017-14-SEP-CC, </w:t>
      </w:r>
      <w:r>
        <w:rPr>
          <w:spacing w:val="-7"/>
          <w:sz w:val="18"/>
          <w:szCs w:val="18"/>
          <w:lang w:val="es-ES_tradnl"/>
        </w:rPr>
        <w:t>se</w:t>
      </w:r>
      <w:r>
        <w:rPr>
          <w:rFonts w:cs="Times New Roman"/>
          <w:spacing w:val="-7"/>
          <w:sz w:val="18"/>
          <w:szCs w:val="18"/>
          <w:lang w:val="es-ES_tradnl"/>
        </w:rPr>
        <w:t>ñ</w:t>
      </w:r>
      <w:r>
        <w:rPr>
          <w:spacing w:val="-7"/>
          <w:sz w:val="18"/>
          <w:szCs w:val="18"/>
          <w:lang w:val="es-ES_tradnl"/>
        </w:rPr>
        <w:t>al</w:t>
      </w:r>
      <w:r>
        <w:rPr>
          <w:rFonts w:cs="Times New Roman"/>
          <w:spacing w:val="-7"/>
          <w:sz w:val="18"/>
          <w:szCs w:val="18"/>
          <w:lang w:val="es-ES_tradnl"/>
        </w:rPr>
        <w:t>ó</w:t>
      </w:r>
      <w:r>
        <w:rPr>
          <w:spacing w:val="-7"/>
          <w:sz w:val="18"/>
          <w:szCs w:val="18"/>
          <w:lang w:val="es-ES_tradnl"/>
        </w:rPr>
        <w:t xml:space="preserve"> respecto de la motivaci</w:t>
      </w:r>
      <w:r>
        <w:rPr>
          <w:rFonts w:cs="Times New Roman"/>
          <w:spacing w:val="-7"/>
          <w:sz w:val="18"/>
          <w:szCs w:val="18"/>
          <w:lang w:val="es-ES_tradnl"/>
        </w:rPr>
        <w:t>ó</w:t>
      </w:r>
      <w:r>
        <w:rPr>
          <w:spacing w:val="-7"/>
          <w:sz w:val="18"/>
          <w:szCs w:val="18"/>
          <w:lang w:val="es-ES_tradnl"/>
        </w:rPr>
        <w:t>n lo siguiente:</w:t>
      </w:r>
    </w:p>
    <w:p w14:paraId="4F67B1DF" w14:textId="77777777" w:rsidR="00591D54" w:rsidRDefault="00591D54">
      <w:pPr>
        <w:shd w:val="clear" w:color="auto" w:fill="FFFFFF"/>
        <w:spacing w:before="206" w:line="216" w:lineRule="exact"/>
        <w:ind w:left="283"/>
        <w:jc w:val="both"/>
      </w:pPr>
      <w:r>
        <w:rPr>
          <w:spacing w:val="-3"/>
          <w:sz w:val="16"/>
          <w:szCs w:val="16"/>
          <w:lang w:val="es-ES_tradnl"/>
        </w:rPr>
        <w:t>La motivaci</w:t>
      </w:r>
      <w:r>
        <w:rPr>
          <w:rFonts w:cs="Times New Roman"/>
          <w:spacing w:val="-3"/>
          <w:sz w:val="16"/>
          <w:szCs w:val="16"/>
          <w:lang w:val="es-ES_tradnl"/>
        </w:rPr>
        <w:t>ó</w:t>
      </w:r>
      <w:r>
        <w:rPr>
          <w:spacing w:val="-3"/>
          <w:sz w:val="16"/>
          <w:szCs w:val="16"/>
          <w:lang w:val="es-ES_tradnl"/>
        </w:rPr>
        <w:t xml:space="preserve">n consiste en que los antecedentes que se </w:t>
      </w:r>
      <w:r>
        <w:rPr>
          <w:spacing w:val="-7"/>
          <w:sz w:val="16"/>
          <w:szCs w:val="16"/>
          <w:lang w:val="es-ES_tradnl"/>
        </w:rPr>
        <w:t xml:space="preserve">exponen en la parte motiva sean coherentes con lo que se </w:t>
      </w:r>
      <w:r>
        <w:rPr>
          <w:sz w:val="16"/>
          <w:szCs w:val="16"/>
          <w:lang w:val="es-ES_tradnl"/>
        </w:rPr>
        <w:t>resuelve, y nunca puede ser v</w:t>
      </w:r>
      <w:r>
        <w:rPr>
          <w:rFonts w:cs="Times New Roman"/>
          <w:sz w:val="16"/>
          <w:szCs w:val="16"/>
          <w:lang w:val="es-ES_tradnl"/>
        </w:rPr>
        <w:t>á</w:t>
      </w:r>
      <w:r>
        <w:rPr>
          <w:sz w:val="16"/>
          <w:szCs w:val="16"/>
          <w:lang w:val="es-ES_tradnl"/>
        </w:rPr>
        <w:t>lida una motivaci</w:t>
      </w:r>
      <w:r>
        <w:rPr>
          <w:rFonts w:cs="Times New Roman"/>
          <w:sz w:val="16"/>
          <w:szCs w:val="16"/>
          <w:lang w:val="es-ES_tradnl"/>
        </w:rPr>
        <w:t>ó</w:t>
      </w:r>
      <w:r>
        <w:rPr>
          <w:sz w:val="16"/>
          <w:szCs w:val="16"/>
          <w:lang w:val="es-ES_tradnl"/>
        </w:rPr>
        <w:t xml:space="preserve">n que </w:t>
      </w:r>
      <w:r>
        <w:rPr>
          <w:spacing w:val="-5"/>
          <w:sz w:val="16"/>
          <w:szCs w:val="16"/>
          <w:lang w:val="es-ES_tradnl"/>
        </w:rPr>
        <w:t>sea contradictoria con la decisi</w:t>
      </w:r>
      <w:r>
        <w:rPr>
          <w:rFonts w:cs="Times New Roman"/>
          <w:spacing w:val="-5"/>
          <w:sz w:val="16"/>
          <w:szCs w:val="16"/>
          <w:lang w:val="es-ES_tradnl"/>
        </w:rPr>
        <w:t>ó</w:t>
      </w:r>
      <w:r>
        <w:rPr>
          <w:spacing w:val="-5"/>
          <w:sz w:val="16"/>
          <w:szCs w:val="16"/>
          <w:lang w:val="es-ES_tradnl"/>
        </w:rPr>
        <w:t xml:space="preserve">n. En otras palabras: La </w:t>
      </w:r>
      <w:r>
        <w:rPr>
          <w:spacing w:val="-8"/>
          <w:sz w:val="16"/>
          <w:szCs w:val="16"/>
          <w:lang w:val="es-ES_tradnl"/>
        </w:rPr>
        <w:t>motivaci</w:t>
      </w:r>
      <w:r>
        <w:rPr>
          <w:rFonts w:cs="Times New Roman"/>
          <w:spacing w:val="-8"/>
          <w:sz w:val="16"/>
          <w:szCs w:val="16"/>
          <w:lang w:val="es-ES_tradnl"/>
        </w:rPr>
        <w:t>ó</w:t>
      </w:r>
      <w:r>
        <w:rPr>
          <w:spacing w:val="-8"/>
          <w:sz w:val="16"/>
          <w:szCs w:val="16"/>
          <w:lang w:val="es-ES_tradnl"/>
        </w:rPr>
        <w:t>n es justificaci</w:t>
      </w:r>
      <w:r>
        <w:rPr>
          <w:rFonts w:cs="Times New Roman"/>
          <w:spacing w:val="-8"/>
          <w:sz w:val="16"/>
          <w:szCs w:val="16"/>
          <w:lang w:val="es-ES_tradnl"/>
        </w:rPr>
        <w:t>ó</w:t>
      </w:r>
      <w:r>
        <w:rPr>
          <w:spacing w:val="-8"/>
          <w:sz w:val="16"/>
          <w:szCs w:val="16"/>
          <w:lang w:val="es-ES_tradnl"/>
        </w:rPr>
        <w:t>n, es argumentar racionalmente para</w:t>
      </w:r>
    </w:p>
    <w:p w14:paraId="4F67B1E0" w14:textId="77777777" w:rsidR="00591D54" w:rsidRDefault="00591D54">
      <w:pPr>
        <w:shd w:val="clear" w:color="auto" w:fill="FFFFFF"/>
        <w:spacing w:before="206" w:line="216" w:lineRule="exact"/>
        <w:ind w:left="283"/>
        <w:jc w:val="both"/>
        <w:sectPr w:rsidR="00591D54">
          <w:type w:val="continuous"/>
          <w:pgSz w:w="11909" w:h="16834"/>
          <w:pgMar w:top="1371" w:right="1309" w:bottom="360" w:left="1308" w:header="720" w:footer="720" w:gutter="0"/>
          <w:cols w:num="2" w:space="720" w:equalWidth="0">
            <w:col w:w="4305" w:space="682"/>
            <w:col w:w="4305"/>
          </w:cols>
          <w:noEndnote/>
        </w:sectPr>
      </w:pPr>
    </w:p>
    <w:p w14:paraId="4F67B1E1" w14:textId="77777777" w:rsidR="00591D54" w:rsidRDefault="00591D54">
      <w:pPr>
        <w:shd w:val="clear" w:color="auto" w:fill="FFFFFF"/>
        <w:tabs>
          <w:tab w:val="left" w:pos="4814"/>
        </w:tabs>
        <w:spacing w:after="226"/>
        <w:ind w:left="14"/>
      </w:pPr>
      <w:r>
        <w:rPr>
          <w:b/>
          <w:bCs/>
          <w:sz w:val="18"/>
          <w:szCs w:val="18"/>
          <w:lang w:val="es-ES_tradnl"/>
        </w:rPr>
        <w:t xml:space="preserve">176 -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1E2" w14:textId="77777777" w:rsidR="00591D54" w:rsidRDefault="00591D54">
      <w:pPr>
        <w:shd w:val="clear" w:color="auto" w:fill="FFFFFF"/>
        <w:tabs>
          <w:tab w:val="left" w:pos="4814"/>
        </w:tabs>
        <w:spacing w:after="226"/>
        <w:ind w:left="14"/>
        <w:sectPr w:rsidR="00591D54">
          <w:pgSz w:w="11909" w:h="16834"/>
          <w:pgMar w:top="1359" w:right="1309" w:bottom="360" w:left="1308" w:header="720" w:footer="720" w:gutter="0"/>
          <w:cols w:space="60"/>
          <w:noEndnote/>
        </w:sectPr>
      </w:pPr>
    </w:p>
    <w:p w14:paraId="4F67B1E3" w14:textId="77777777" w:rsidR="00591D54" w:rsidRDefault="00591D54">
      <w:pPr>
        <w:shd w:val="clear" w:color="auto" w:fill="FFFFFF"/>
        <w:spacing w:before="5" w:line="211" w:lineRule="exact"/>
        <w:ind w:left="283" w:right="5"/>
        <w:jc w:val="both"/>
      </w:pPr>
      <w:r>
        <w:rPr>
          <w:spacing w:val="-7"/>
          <w:sz w:val="16"/>
          <w:szCs w:val="16"/>
          <w:lang w:val="es-ES_tradnl"/>
        </w:rPr>
        <w:t>justificar una decisi</w:t>
      </w:r>
      <w:r>
        <w:rPr>
          <w:rFonts w:cs="Times New Roman"/>
          <w:spacing w:val="-7"/>
          <w:sz w:val="16"/>
          <w:szCs w:val="16"/>
          <w:lang w:val="es-ES_tradnl"/>
        </w:rPr>
        <w:t>ó</w:t>
      </w:r>
      <w:r>
        <w:rPr>
          <w:spacing w:val="-7"/>
          <w:sz w:val="16"/>
          <w:szCs w:val="16"/>
          <w:lang w:val="es-ES_tradnl"/>
        </w:rPr>
        <w:t>n aplicativa, es exposici</w:t>
      </w:r>
      <w:r>
        <w:rPr>
          <w:rFonts w:cs="Times New Roman"/>
          <w:spacing w:val="-7"/>
          <w:sz w:val="16"/>
          <w:szCs w:val="16"/>
          <w:lang w:val="es-ES_tradnl"/>
        </w:rPr>
        <w:t>ó</w:t>
      </w:r>
      <w:r>
        <w:rPr>
          <w:spacing w:val="-7"/>
          <w:sz w:val="16"/>
          <w:szCs w:val="16"/>
          <w:lang w:val="es-ES_tradnl"/>
        </w:rPr>
        <w:t xml:space="preserve">n de las razones </w:t>
      </w:r>
      <w:r>
        <w:rPr>
          <w:spacing w:val="-9"/>
          <w:sz w:val="16"/>
          <w:szCs w:val="16"/>
          <w:lang w:val="es-ES_tradnl"/>
        </w:rPr>
        <w:t>que se han dado por los jueces para mostrar que su decisi</w:t>
      </w:r>
      <w:r>
        <w:rPr>
          <w:rFonts w:cs="Times New Roman"/>
          <w:spacing w:val="-9"/>
          <w:sz w:val="16"/>
          <w:szCs w:val="16"/>
          <w:lang w:val="es-ES_tradnl"/>
        </w:rPr>
        <w:t>ó</w:t>
      </w:r>
      <w:r>
        <w:rPr>
          <w:spacing w:val="-9"/>
          <w:sz w:val="16"/>
          <w:szCs w:val="16"/>
          <w:lang w:val="es-ES_tradnl"/>
        </w:rPr>
        <w:t xml:space="preserve">n es </w:t>
      </w:r>
      <w:r>
        <w:rPr>
          <w:spacing w:val="-6"/>
          <w:sz w:val="16"/>
          <w:szCs w:val="16"/>
          <w:lang w:val="es-ES_tradnl"/>
        </w:rPr>
        <w:t>correcta o aceptable. (</w:t>
      </w:r>
      <w:r>
        <w:rPr>
          <w:rFonts w:cs="Times New Roman"/>
          <w:spacing w:val="-6"/>
          <w:sz w:val="16"/>
          <w:szCs w:val="16"/>
          <w:lang w:val="es-ES_tradnl"/>
        </w:rPr>
        <w:t>…</w:t>
      </w:r>
      <w:r>
        <w:rPr>
          <w:spacing w:val="-6"/>
          <w:sz w:val="16"/>
          <w:szCs w:val="16"/>
          <w:lang w:val="es-ES_tradnl"/>
        </w:rPr>
        <w:t>) la motivaci</w:t>
      </w:r>
      <w:r>
        <w:rPr>
          <w:rFonts w:cs="Times New Roman"/>
          <w:spacing w:val="-6"/>
          <w:sz w:val="16"/>
          <w:szCs w:val="16"/>
          <w:lang w:val="es-ES_tradnl"/>
        </w:rPr>
        <w:t>ó</w:t>
      </w:r>
      <w:r>
        <w:rPr>
          <w:spacing w:val="-6"/>
          <w:sz w:val="16"/>
          <w:szCs w:val="16"/>
          <w:lang w:val="es-ES_tradnl"/>
        </w:rPr>
        <w:t xml:space="preserve">n responde a la debida </w:t>
      </w:r>
      <w:r>
        <w:rPr>
          <w:spacing w:val="-4"/>
          <w:sz w:val="16"/>
          <w:szCs w:val="16"/>
          <w:lang w:val="es-ES_tradnl"/>
        </w:rPr>
        <w:t>y l</w:t>
      </w:r>
      <w:r>
        <w:rPr>
          <w:rFonts w:cs="Times New Roman"/>
          <w:spacing w:val="-4"/>
          <w:sz w:val="16"/>
          <w:szCs w:val="16"/>
          <w:lang w:val="es-ES_tradnl"/>
        </w:rPr>
        <w:t>ó</w:t>
      </w:r>
      <w:r>
        <w:rPr>
          <w:spacing w:val="-4"/>
          <w:sz w:val="16"/>
          <w:szCs w:val="16"/>
          <w:lang w:val="es-ES_tradnl"/>
        </w:rPr>
        <w:t xml:space="preserve">gica coherencia de razonabilidad que debe existir entre </w:t>
      </w:r>
      <w:r>
        <w:rPr>
          <w:spacing w:val="-6"/>
          <w:sz w:val="16"/>
          <w:szCs w:val="16"/>
          <w:lang w:val="es-ES_tradnl"/>
        </w:rPr>
        <w:t>la pretensi</w:t>
      </w:r>
      <w:r>
        <w:rPr>
          <w:rFonts w:cs="Times New Roman"/>
          <w:spacing w:val="-6"/>
          <w:sz w:val="16"/>
          <w:szCs w:val="16"/>
          <w:lang w:val="es-ES_tradnl"/>
        </w:rPr>
        <w:t>ó</w:t>
      </w:r>
      <w:r>
        <w:rPr>
          <w:spacing w:val="-6"/>
          <w:sz w:val="16"/>
          <w:szCs w:val="16"/>
          <w:lang w:val="es-ES_tradnl"/>
        </w:rPr>
        <w:t>n, los elementos f</w:t>
      </w:r>
      <w:r>
        <w:rPr>
          <w:rFonts w:cs="Times New Roman"/>
          <w:spacing w:val="-6"/>
          <w:sz w:val="16"/>
          <w:szCs w:val="16"/>
          <w:lang w:val="es-ES_tradnl"/>
        </w:rPr>
        <w:t>á</w:t>
      </w:r>
      <w:r>
        <w:rPr>
          <w:spacing w:val="-6"/>
          <w:sz w:val="16"/>
          <w:szCs w:val="16"/>
          <w:lang w:val="es-ES_tradnl"/>
        </w:rPr>
        <w:t>cticos, las consideraciones y vinculaci</w:t>
      </w:r>
      <w:r>
        <w:rPr>
          <w:rFonts w:cs="Times New Roman"/>
          <w:spacing w:val="-6"/>
          <w:sz w:val="16"/>
          <w:szCs w:val="16"/>
          <w:lang w:val="es-ES_tradnl"/>
        </w:rPr>
        <w:t>ó</w:t>
      </w:r>
      <w:r>
        <w:rPr>
          <w:spacing w:val="-6"/>
          <w:sz w:val="16"/>
          <w:szCs w:val="16"/>
          <w:lang w:val="es-ES_tradnl"/>
        </w:rPr>
        <w:t>n de la norma jur</w:t>
      </w:r>
      <w:r>
        <w:rPr>
          <w:rFonts w:cs="Times New Roman"/>
          <w:spacing w:val="-6"/>
          <w:sz w:val="16"/>
          <w:szCs w:val="16"/>
          <w:lang w:val="es-ES_tradnl"/>
        </w:rPr>
        <w:t>í</w:t>
      </w:r>
      <w:r>
        <w:rPr>
          <w:spacing w:val="-6"/>
          <w:sz w:val="16"/>
          <w:szCs w:val="16"/>
          <w:lang w:val="es-ES_tradnl"/>
        </w:rPr>
        <w:t>dica y la resoluci</w:t>
      </w:r>
      <w:r>
        <w:rPr>
          <w:rFonts w:cs="Times New Roman"/>
          <w:spacing w:val="-6"/>
          <w:sz w:val="16"/>
          <w:szCs w:val="16"/>
          <w:lang w:val="es-ES_tradnl"/>
        </w:rPr>
        <w:t>ó</w:t>
      </w:r>
      <w:r>
        <w:rPr>
          <w:spacing w:val="-6"/>
          <w:sz w:val="16"/>
          <w:szCs w:val="16"/>
          <w:lang w:val="es-ES_tradnl"/>
        </w:rPr>
        <w:t>n tomada</w:t>
      </w:r>
      <w:r>
        <w:rPr>
          <w:spacing w:val="-6"/>
          <w:sz w:val="16"/>
          <w:szCs w:val="16"/>
          <w:vertAlign w:val="superscript"/>
          <w:lang w:val="es-ES_tradnl"/>
        </w:rPr>
        <w:t>1.</w:t>
      </w:r>
    </w:p>
    <w:p w14:paraId="4F67B1E4" w14:textId="77777777" w:rsidR="00591D54" w:rsidRDefault="00591D54">
      <w:pPr>
        <w:shd w:val="clear" w:color="auto" w:fill="FFFFFF"/>
        <w:spacing w:before="202" w:line="216" w:lineRule="exact"/>
        <w:ind w:right="5"/>
        <w:jc w:val="both"/>
      </w:pPr>
      <w:r>
        <w:rPr>
          <w:spacing w:val="-3"/>
          <w:sz w:val="18"/>
          <w:szCs w:val="18"/>
          <w:lang w:val="es-ES_tradnl"/>
        </w:rPr>
        <w:t>De aquello se desprende que la motivaci</w:t>
      </w:r>
      <w:r>
        <w:rPr>
          <w:rFonts w:cs="Times New Roman"/>
          <w:spacing w:val="-3"/>
          <w:sz w:val="18"/>
          <w:szCs w:val="18"/>
          <w:lang w:val="es-ES_tradnl"/>
        </w:rPr>
        <w:t>ó</w:t>
      </w:r>
      <w:r>
        <w:rPr>
          <w:spacing w:val="-3"/>
          <w:sz w:val="18"/>
          <w:szCs w:val="18"/>
          <w:lang w:val="es-ES_tradnl"/>
        </w:rPr>
        <w:t xml:space="preserve">n, como un </w:t>
      </w:r>
      <w:r>
        <w:rPr>
          <w:spacing w:val="-4"/>
          <w:sz w:val="18"/>
          <w:szCs w:val="18"/>
          <w:lang w:val="es-ES_tradnl"/>
        </w:rPr>
        <w:t>deber fundamental, obliga a la administraci</w:t>
      </w:r>
      <w:r>
        <w:rPr>
          <w:rFonts w:cs="Times New Roman"/>
          <w:spacing w:val="-4"/>
          <w:sz w:val="18"/>
          <w:szCs w:val="18"/>
          <w:lang w:val="es-ES_tradnl"/>
        </w:rPr>
        <w:t>ó</w:t>
      </w:r>
      <w:r>
        <w:rPr>
          <w:spacing w:val="-4"/>
          <w:sz w:val="18"/>
          <w:szCs w:val="18"/>
          <w:lang w:val="es-ES_tradnl"/>
        </w:rPr>
        <w:t xml:space="preserve">n de justicia </w:t>
      </w:r>
      <w:r>
        <w:rPr>
          <w:sz w:val="18"/>
          <w:szCs w:val="18"/>
          <w:lang w:val="es-ES_tradnl"/>
        </w:rPr>
        <w:t>a justificar su decisi</w:t>
      </w:r>
      <w:r>
        <w:rPr>
          <w:rFonts w:cs="Times New Roman"/>
          <w:sz w:val="18"/>
          <w:szCs w:val="18"/>
          <w:lang w:val="es-ES_tradnl"/>
        </w:rPr>
        <w:t>ó</w:t>
      </w:r>
      <w:r>
        <w:rPr>
          <w:sz w:val="18"/>
          <w:szCs w:val="18"/>
          <w:lang w:val="es-ES_tradnl"/>
        </w:rPr>
        <w:t xml:space="preserve">n referente a la materia de la </w:t>
      </w:r>
      <w:r>
        <w:rPr>
          <w:spacing w:val="-6"/>
          <w:sz w:val="18"/>
          <w:szCs w:val="18"/>
          <w:lang w:val="es-ES_tradnl"/>
        </w:rPr>
        <w:t xml:space="preserve">litis, debiendo contener en su estructura los requisitos </w:t>
      </w:r>
      <w:r>
        <w:rPr>
          <w:spacing w:val="-5"/>
          <w:sz w:val="18"/>
          <w:szCs w:val="18"/>
          <w:lang w:val="es-ES_tradnl"/>
        </w:rPr>
        <w:t>mencionados en la sentencia N.</w:t>
      </w:r>
      <w:r>
        <w:rPr>
          <w:rFonts w:cs="Times New Roman"/>
          <w:spacing w:val="-5"/>
          <w:sz w:val="18"/>
          <w:szCs w:val="18"/>
          <w:lang w:val="es-ES_tradnl"/>
        </w:rPr>
        <w:t>º</w:t>
      </w:r>
      <w:r>
        <w:rPr>
          <w:spacing w:val="-5"/>
          <w:sz w:val="18"/>
          <w:szCs w:val="18"/>
          <w:lang w:val="es-ES_tradnl"/>
        </w:rPr>
        <w:t xml:space="preserve"> 0017-14-SEP-CC, es decir, razonabilidad, l</w:t>
      </w:r>
      <w:r>
        <w:rPr>
          <w:rFonts w:cs="Times New Roman"/>
          <w:spacing w:val="-5"/>
          <w:sz w:val="18"/>
          <w:szCs w:val="18"/>
          <w:lang w:val="es-ES_tradnl"/>
        </w:rPr>
        <w:t>ó</w:t>
      </w:r>
      <w:r>
        <w:rPr>
          <w:spacing w:val="-5"/>
          <w:sz w:val="18"/>
          <w:szCs w:val="18"/>
          <w:lang w:val="es-ES_tradnl"/>
        </w:rPr>
        <w:t>gica y comprensibilidad.</w:t>
      </w:r>
    </w:p>
    <w:p w14:paraId="4F67B1E5" w14:textId="77777777" w:rsidR="00591D54" w:rsidRDefault="00591D54">
      <w:pPr>
        <w:shd w:val="clear" w:color="auto" w:fill="FFFFFF"/>
        <w:spacing w:before="197" w:line="216" w:lineRule="exact"/>
        <w:ind w:right="5"/>
        <w:jc w:val="both"/>
      </w:pPr>
      <w:r>
        <w:rPr>
          <w:spacing w:val="-5"/>
          <w:sz w:val="18"/>
          <w:szCs w:val="18"/>
          <w:lang w:val="es-ES_tradnl"/>
        </w:rPr>
        <w:t>La Corte Constitucional procede a realizar un an</w:t>
      </w:r>
      <w:r>
        <w:rPr>
          <w:rFonts w:cs="Times New Roman"/>
          <w:spacing w:val="-5"/>
          <w:sz w:val="18"/>
          <w:szCs w:val="18"/>
          <w:lang w:val="es-ES_tradnl"/>
        </w:rPr>
        <w:t>á</w:t>
      </w:r>
      <w:r>
        <w:rPr>
          <w:spacing w:val="-5"/>
          <w:sz w:val="18"/>
          <w:szCs w:val="18"/>
          <w:lang w:val="es-ES_tradnl"/>
        </w:rPr>
        <w:t xml:space="preserve">lisis </w:t>
      </w:r>
      <w:r>
        <w:rPr>
          <w:spacing w:val="-9"/>
          <w:sz w:val="18"/>
          <w:szCs w:val="18"/>
          <w:lang w:val="es-ES_tradnl"/>
        </w:rPr>
        <w:t xml:space="preserve">respecto a los fundamentos utilizados en la sentencia para </w:t>
      </w:r>
      <w:r>
        <w:rPr>
          <w:spacing w:val="-8"/>
          <w:sz w:val="18"/>
          <w:szCs w:val="18"/>
          <w:lang w:val="es-ES_tradnl"/>
        </w:rPr>
        <w:t>emitir su decisi</w:t>
      </w:r>
      <w:r>
        <w:rPr>
          <w:rFonts w:cs="Times New Roman"/>
          <w:spacing w:val="-8"/>
          <w:sz w:val="18"/>
          <w:szCs w:val="18"/>
          <w:lang w:val="es-ES_tradnl"/>
        </w:rPr>
        <w:t>ó</w:t>
      </w:r>
      <w:r>
        <w:rPr>
          <w:spacing w:val="-8"/>
          <w:sz w:val="18"/>
          <w:szCs w:val="18"/>
          <w:lang w:val="es-ES_tradnl"/>
        </w:rPr>
        <w:t xml:space="preserve">n y verificar si se cumple con los requisitos </w:t>
      </w:r>
      <w:r>
        <w:rPr>
          <w:sz w:val="18"/>
          <w:szCs w:val="18"/>
          <w:lang w:val="es-ES_tradnl"/>
        </w:rPr>
        <w:t>mencionados.</w:t>
      </w:r>
    </w:p>
    <w:p w14:paraId="4F67B1E6" w14:textId="77777777" w:rsidR="00591D54" w:rsidRDefault="00591D54">
      <w:pPr>
        <w:shd w:val="clear" w:color="auto" w:fill="FFFFFF"/>
        <w:spacing w:before="192"/>
      </w:pPr>
      <w:r>
        <w:rPr>
          <w:b/>
          <w:bCs/>
          <w:spacing w:val="-7"/>
          <w:sz w:val="18"/>
          <w:szCs w:val="18"/>
          <w:lang w:val="es-ES_tradnl"/>
        </w:rPr>
        <w:t>Sobre la razonabilidad</w:t>
      </w:r>
    </w:p>
    <w:p w14:paraId="4F67B1E7" w14:textId="77777777" w:rsidR="00591D54" w:rsidRDefault="00591D54">
      <w:pPr>
        <w:shd w:val="clear" w:color="auto" w:fill="FFFFFF"/>
        <w:spacing w:before="192" w:line="216" w:lineRule="exact"/>
        <w:jc w:val="both"/>
      </w:pPr>
      <w:r>
        <w:rPr>
          <w:spacing w:val="-2"/>
          <w:sz w:val="18"/>
          <w:szCs w:val="18"/>
          <w:lang w:val="es-ES_tradnl"/>
        </w:rPr>
        <w:t xml:space="preserve">La razonabilidad es el elemento mediante el cual es </w:t>
      </w:r>
      <w:r>
        <w:rPr>
          <w:spacing w:val="-8"/>
          <w:sz w:val="18"/>
          <w:szCs w:val="18"/>
          <w:lang w:val="es-ES_tradnl"/>
        </w:rPr>
        <w:t>posible analizar y establecer una relaci</w:t>
      </w:r>
      <w:r>
        <w:rPr>
          <w:rFonts w:cs="Times New Roman"/>
          <w:spacing w:val="-8"/>
          <w:sz w:val="18"/>
          <w:szCs w:val="18"/>
          <w:lang w:val="es-ES_tradnl"/>
        </w:rPr>
        <w:t>ó</w:t>
      </w:r>
      <w:r>
        <w:rPr>
          <w:spacing w:val="-8"/>
          <w:sz w:val="18"/>
          <w:szCs w:val="18"/>
          <w:lang w:val="es-ES_tradnl"/>
        </w:rPr>
        <w:t xml:space="preserve">n entre las fuentes </w:t>
      </w:r>
      <w:r>
        <w:rPr>
          <w:spacing w:val="-7"/>
          <w:sz w:val="18"/>
          <w:szCs w:val="18"/>
          <w:lang w:val="es-ES_tradnl"/>
        </w:rPr>
        <w:t xml:space="preserve">del derecho que han sido utilizadas como fundamento de </w:t>
      </w:r>
      <w:r>
        <w:rPr>
          <w:spacing w:val="-4"/>
          <w:sz w:val="18"/>
          <w:szCs w:val="18"/>
          <w:lang w:val="es-ES_tradnl"/>
        </w:rPr>
        <w:t>derecho respecto de la decisi</w:t>
      </w:r>
      <w:r>
        <w:rPr>
          <w:rFonts w:cs="Times New Roman"/>
          <w:spacing w:val="-4"/>
          <w:sz w:val="18"/>
          <w:szCs w:val="18"/>
          <w:lang w:val="es-ES_tradnl"/>
        </w:rPr>
        <w:t>ó</w:t>
      </w:r>
      <w:r>
        <w:rPr>
          <w:spacing w:val="-4"/>
          <w:sz w:val="18"/>
          <w:szCs w:val="18"/>
          <w:lang w:val="es-ES_tradnl"/>
        </w:rPr>
        <w:t>n de la judicatura. Es as</w:t>
      </w:r>
      <w:r>
        <w:rPr>
          <w:rFonts w:cs="Times New Roman"/>
          <w:spacing w:val="-4"/>
          <w:sz w:val="18"/>
          <w:szCs w:val="18"/>
          <w:lang w:val="es-ES_tradnl"/>
        </w:rPr>
        <w:t xml:space="preserve">í </w:t>
      </w:r>
      <w:r>
        <w:rPr>
          <w:spacing w:val="-7"/>
          <w:sz w:val="18"/>
          <w:szCs w:val="18"/>
          <w:lang w:val="es-ES_tradnl"/>
        </w:rPr>
        <w:t>que la razonabilidad comporta el an</w:t>
      </w:r>
      <w:r>
        <w:rPr>
          <w:rFonts w:cs="Times New Roman"/>
          <w:spacing w:val="-7"/>
          <w:sz w:val="18"/>
          <w:szCs w:val="18"/>
          <w:lang w:val="es-ES_tradnl"/>
        </w:rPr>
        <w:t>á</w:t>
      </w:r>
      <w:r>
        <w:rPr>
          <w:spacing w:val="-7"/>
          <w:sz w:val="18"/>
          <w:szCs w:val="18"/>
          <w:lang w:val="es-ES_tradnl"/>
        </w:rPr>
        <w:t xml:space="preserve">lisis de las normas </w:t>
      </w:r>
      <w:r>
        <w:rPr>
          <w:spacing w:val="-4"/>
          <w:sz w:val="18"/>
          <w:szCs w:val="18"/>
          <w:lang w:val="es-ES_tradnl"/>
        </w:rPr>
        <w:t xml:space="preserve">constitucionales, legales y jurisprudenciales empleadas </w:t>
      </w:r>
      <w:r>
        <w:rPr>
          <w:spacing w:val="-9"/>
          <w:sz w:val="18"/>
          <w:szCs w:val="18"/>
          <w:lang w:val="es-ES_tradnl"/>
        </w:rPr>
        <w:t xml:space="preserve">por los jueces al momento de resolver la causa puesta a su </w:t>
      </w:r>
      <w:r>
        <w:rPr>
          <w:sz w:val="18"/>
          <w:szCs w:val="18"/>
          <w:lang w:val="es-ES_tradnl"/>
        </w:rPr>
        <w:t>conocimiento.</w:t>
      </w:r>
    </w:p>
    <w:p w14:paraId="4F67B1E8" w14:textId="77777777" w:rsidR="00591D54" w:rsidRDefault="00591D54">
      <w:pPr>
        <w:shd w:val="clear" w:color="auto" w:fill="FFFFFF"/>
        <w:spacing w:before="192" w:line="216" w:lineRule="exact"/>
        <w:ind w:right="5"/>
        <w:jc w:val="both"/>
      </w:pPr>
      <w:r>
        <w:rPr>
          <w:spacing w:val="-8"/>
          <w:sz w:val="18"/>
          <w:szCs w:val="18"/>
          <w:lang w:val="es-ES_tradnl"/>
        </w:rPr>
        <w:t>En el caso concreto, la Tercera Sala de lo Penal y Tr</w:t>
      </w:r>
      <w:r>
        <w:rPr>
          <w:rFonts w:cs="Times New Roman"/>
          <w:spacing w:val="-8"/>
          <w:sz w:val="18"/>
          <w:szCs w:val="18"/>
          <w:lang w:val="es-ES_tradnl"/>
        </w:rPr>
        <w:t>á</w:t>
      </w:r>
      <w:r>
        <w:rPr>
          <w:spacing w:val="-8"/>
          <w:sz w:val="18"/>
          <w:szCs w:val="18"/>
          <w:lang w:val="es-ES_tradnl"/>
        </w:rPr>
        <w:t xml:space="preserve">nsito </w:t>
      </w:r>
      <w:r>
        <w:rPr>
          <w:spacing w:val="-10"/>
          <w:sz w:val="18"/>
          <w:szCs w:val="18"/>
          <w:lang w:val="es-ES_tradnl"/>
        </w:rPr>
        <w:t>de la Corte Provincial de Justicia del Guayas fundament</w:t>
      </w:r>
      <w:r>
        <w:rPr>
          <w:rFonts w:cs="Times New Roman"/>
          <w:spacing w:val="-10"/>
          <w:sz w:val="18"/>
          <w:szCs w:val="18"/>
          <w:lang w:val="es-ES_tradnl"/>
        </w:rPr>
        <w:t>ó</w:t>
      </w:r>
      <w:r>
        <w:rPr>
          <w:spacing w:val="-10"/>
          <w:sz w:val="18"/>
          <w:szCs w:val="18"/>
          <w:lang w:val="es-ES_tradnl"/>
        </w:rPr>
        <w:t xml:space="preserve"> su </w:t>
      </w:r>
      <w:r>
        <w:rPr>
          <w:spacing w:val="-7"/>
          <w:sz w:val="18"/>
          <w:szCs w:val="18"/>
          <w:lang w:val="es-ES_tradnl"/>
        </w:rPr>
        <w:t>decisi</w:t>
      </w:r>
      <w:r>
        <w:rPr>
          <w:rFonts w:cs="Times New Roman"/>
          <w:spacing w:val="-7"/>
          <w:sz w:val="18"/>
          <w:szCs w:val="18"/>
          <w:lang w:val="es-ES_tradnl"/>
        </w:rPr>
        <w:t>ó</w:t>
      </w:r>
      <w:r>
        <w:rPr>
          <w:spacing w:val="-7"/>
          <w:sz w:val="18"/>
          <w:szCs w:val="18"/>
          <w:lang w:val="es-ES_tradnl"/>
        </w:rPr>
        <w:t>n en el art</w:t>
      </w:r>
      <w:r>
        <w:rPr>
          <w:rFonts w:cs="Times New Roman"/>
          <w:spacing w:val="-7"/>
          <w:sz w:val="18"/>
          <w:szCs w:val="18"/>
          <w:lang w:val="es-ES_tradnl"/>
        </w:rPr>
        <w:t>í</w:t>
      </w:r>
      <w:r>
        <w:rPr>
          <w:spacing w:val="-7"/>
          <w:sz w:val="18"/>
          <w:szCs w:val="18"/>
          <w:lang w:val="es-ES_tradnl"/>
        </w:rPr>
        <w:t>culo 28 de la Ley Org</w:t>
      </w:r>
      <w:r>
        <w:rPr>
          <w:rFonts w:cs="Times New Roman"/>
          <w:spacing w:val="-7"/>
          <w:sz w:val="18"/>
          <w:szCs w:val="18"/>
          <w:lang w:val="es-ES_tradnl"/>
        </w:rPr>
        <w:t>á</w:t>
      </w:r>
      <w:r>
        <w:rPr>
          <w:spacing w:val="-7"/>
          <w:sz w:val="18"/>
          <w:szCs w:val="18"/>
          <w:lang w:val="es-ES_tradnl"/>
        </w:rPr>
        <w:t>nica de Garant</w:t>
      </w:r>
      <w:r>
        <w:rPr>
          <w:rFonts w:cs="Times New Roman"/>
          <w:spacing w:val="-7"/>
          <w:sz w:val="18"/>
          <w:szCs w:val="18"/>
          <w:lang w:val="es-ES_tradnl"/>
        </w:rPr>
        <w:t>í</w:t>
      </w:r>
      <w:r>
        <w:rPr>
          <w:spacing w:val="-7"/>
          <w:sz w:val="18"/>
          <w:szCs w:val="18"/>
          <w:lang w:val="es-ES_tradnl"/>
        </w:rPr>
        <w:t xml:space="preserve">as </w:t>
      </w:r>
      <w:r>
        <w:rPr>
          <w:spacing w:val="-6"/>
          <w:sz w:val="18"/>
          <w:szCs w:val="18"/>
          <w:lang w:val="es-ES_tradnl"/>
        </w:rPr>
        <w:t xml:space="preserve">Jurisdiccionales y Control Constitucional, confirmando la </w:t>
      </w:r>
      <w:r>
        <w:rPr>
          <w:sz w:val="18"/>
          <w:szCs w:val="18"/>
          <w:lang w:val="es-ES_tradnl"/>
        </w:rPr>
        <w:t xml:space="preserve">medida cautelar dictada por el juez </w:t>
      </w:r>
      <w:r>
        <w:rPr>
          <w:i/>
          <w:iCs/>
          <w:sz w:val="18"/>
          <w:szCs w:val="18"/>
          <w:lang w:val="es-ES_tradnl"/>
        </w:rPr>
        <w:t>a quo</w:t>
      </w:r>
      <w:r>
        <w:rPr>
          <w:sz w:val="18"/>
          <w:szCs w:val="18"/>
          <w:lang w:val="es-ES_tradnl"/>
        </w:rPr>
        <w:t>.</w:t>
      </w:r>
    </w:p>
    <w:p w14:paraId="4F67B1E9" w14:textId="77777777" w:rsidR="00591D54" w:rsidRDefault="00591D54">
      <w:pPr>
        <w:shd w:val="clear" w:color="auto" w:fill="FFFFFF"/>
        <w:spacing w:before="192" w:line="216" w:lineRule="exact"/>
        <w:ind w:right="5"/>
        <w:jc w:val="both"/>
      </w:pPr>
      <w:r>
        <w:rPr>
          <w:spacing w:val="-4"/>
          <w:sz w:val="18"/>
          <w:szCs w:val="18"/>
          <w:lang w:val="es-ES_tradnl"/>
        </w:rPr>
        <w:t xml:space="preserve">El requisito de la razonabilidad propone establecer la </w:t>
      </w:r>
      <w:r>
        <w:rPr>
          <w:spacing w:val="-1"/>
          <w:sz w:val="18"/>
          <w:szCs w:val="18"/>
          <w:lang w:val="es-ES_tradnl"/>
        </w:rPr>
        <w:t>relaci</w:t>
      </w:r>
      <w:r>
        <w:rPr>
          <w:rFonts w:cs="Times New Roman"/>
          <w:spacing w:val="-1"/>
          <w:sz w:val="18"/>
          <w:szCs w:val="18"/>
          <w:lang w:val="es-ES_tradnl"/>
        </w:rPr>
        <w:t>ó</w:t>
      </w:r>
      <w:r>
        <w:rPr>
          <w:spacing w:val="-1"/>
          <w:sz w:val="18"/>
          <w:szCs w:val="18"/>
          <w:lang w:val="es-ES_tradnl"/>
        </w:rPr>
        <w:t xml:space="preserve">n entre el fundamento de derecho mencionado </w:t>
      </w:r>
      <w:r>
        <w:rPr>
          <w:spacing w:val="-8"/>
          <w:sz w:val="18"/>
          <w:szCs w:val="18"/>
          <w:lang w:val="es-ES_tradnl"/>
        </w:rPr>
        <w:t>en la sentencia respecto de la decisi</w:t>
      </w:r>
      <w:r>
        <w:rPr>
          <w:rFonts w:cs="Times New Roman"/>
          <w:spacing w:val="-8"/>
          <w:sz w:val="18"/>
          <w:szCs w:val="18"/>
          <w:lang w:val="es-ES_tradnl"/>
        </w:rPr>
        <w:t>ó</w:t>
      </w:r>
      <w:r>
        <w:rPr>
          <w:spacing w:val="-8"/>
          <w:sz w:val="18"/>
          <w:szCs w:val="18"/>
          <w:lang w:val="es-ES_tradnl"/>
        </w:rPr>
        <w:t xml:space="preserve">n de la sala. Para el </w:t>
      </w:r>
      <w:r>
        <w:rPr>
          <w:spacing w:val="-4"/>
          <w:sz w:val="18"/>
          <w:szCs w:val="18"/>
          <w:lang w:val="es-ES_tradnl"/>
        </w:rPr>
        <w:t xml:space="preserve">caso concreto, la sala ha establecido como fundamento </w:t>
      </w:r>
      <w:r>
        <w:rPr>
          <w:spacing w:val="-8"/>
          <w:sz w:val="18"/>
          <w:szCs w:val="18"/>
          <w:lang w:val="es-ES_tradnl"/>
        </w:rPr>
        <w:t>de derecho el art</w:t>
      </w:r>
      <w:r>
        <w:rPr>
          <w:rFonts w:cs="Times New Roman"/>
          <w:spacing w:val="-8"/>
          <w:sz w:val="18"/>
          <w:szCs w:val="18"/>
          <w:lang w:val="es-ES_tradnl"/>
        </w:rPr>
        <w:t>í</w:t>
      </w:r>
      <w:r>
        <w:rPr>
          <w:spacing w:val="-8"/>
          <w:sz w:val="18"/>
          <w:szCs w:val="18"/>
          <w:lang w:val="es-ES_tradnl"/>
        </w:rPr>
        <w:t>culo 28 de la Ley Org</w:t>
      </w:r>
      <w:r>
        <w:rPr>
          <w:rFonts w:cs="Times New Roman"/>
          <w:spacing w:val="-8"/>
          <w:sz w:val="18"/>
          <w:szCs w:val="18"/>
          <w:lang w:val="es-ES_tradnl"/>
        </w:rPr>
        <w:t>á</w:t>
      </w:r>
      <w:r>
        <w:rPr>
          <w:spacing w:val="-8"/>
          <w:sz w:val="18"/>
          <w:szCs w:val="18"/>
          <w:lang w:val="es-ES_tradnl"/>
        </w:rPr>
        <w:t>nica de Garant</w:t>
      </w:r>
      <w:r>
        <w:rPr>
          <w:rFonts w:cs="Times New Roman"/>
          <w:spacing w:val="-8"/>
          <w:sz w:val="18"/>
          <w:szCs w:val="18"/>
          <w:lang w:val="es-ES_tradnl"/>
        </w:rPr>
        <w:t>í</w:t>
      </w:r>
      <w:r>
        <w:rPr>
          <w:spacing w:val="-8"/>
          <w:sz w:val="18"/>
          <w:szCs w:val="18"/>
          <w:lang w:val="es-ES_tradnl"/>
        </w:rPr>
        <w:t xml:space="preserve">as </w:t>
      </w:r>
      <w:r>
        <w:rPr>
          <w:spacing w:val="-2"/>
          <w:sz w:val="18"/>
          <w:szCs w:val="18"/>
          <w:lang w:val="es-ES_tradnl"/>
        </w:rPr>
        <w:t xml:space="preserve">Jurisdiccionales y Control Constitucional, norma que </w:t>
      </w:r>
      <w:r>
        <w:rPr>
          <w:sz w:val="18"/>
          <w:szCs w:val="18"/>
          <w:lang w:val="es-ES_tradnl"/>
        </w:rPr>
        <w:t>se</w:t>
      </w:r>
      <w:r>
        <w:rPr>
          <w:rFonts w:cs="Times New Roman"/>
          <w:sz w:val="18"/>
          <w:szCs w:val="18"/>
          <w:lang w:val="es-ES_tradnl"/>
        </w:rPr>
        <w:t>ñ</w:t>
      </w:r>
      <w:r>
        <w:rPr>
          <w:sz w:val="18"/>
          <w:szCs w:val="18"/>
          <w:lang w:val="es-ES_tradnl"/>
        </w:rPr>
        <w:t>ala textualmente:</w:t>
      </w:r>
    </w:p>
    <w:p w14:paraId="4F67B1EA" w14:textId="77777777" w:rsidR="00591D54" w:rsidRDefault="00591D54">
      <w:pPr>
        <w:shd w:val="clear" w:color="auto" w:fill="FFFFFF"/>
        <w:spacing w:before="202" w:line="216" w:lineRule="exact"/>
        <w:ind w:left="283" w:right="5"/>
        <w:jc w:val="both"/>
      </w:pPr>
      <w:r>
        <w:rPr>
          <w:spacing w:val="-5"/>
          <w:sz w:val="16"/>
          <w:szCs w:val="16"/>
          <w:lang w:val="es-ES_tradnl"/>
        </w:rPr>
        <w:t>Art. 28.- Efecto jur</w:t>
      </w:r>
      <w:r>
        <w:rPr>
          <w:rFonts w:cs="Times New Roman"/>
          <w:spacing w:val="-5"/>
          <w:sz w:val="16"/>
          <w:szCs w:val="16"/>
          <w:lang w:val="es-ES_tradnl"/>
        </w:rPr>
        <w:t>í</w:t>
      </w:r>
      <w:r>
        <w:rPr>
          <w:spacing w:val="-5"/>
          <w:sz w:val="16"/>
          <w:szCs w:val="16"/>
          <w:lang w:val="es-ES_tradnl"/>
        </w:rPr>
        <w:t xml:space="preserve">dico de las medidas.- El otorgamiento de </w:t>
      </w:r>
      <w:r>
        <w:rPr>
          <w:spacing w:val="-10"/>
          <w:sz w:val="16"/>
          <w:szCs w:val="16"/>
          <w:lang w:val="es-ES_tradnl"/>
        </w:rPr>
        <w:t>medidas cautelares y su adopci</w:t>
      </w:r>
      <w:r>
        <w:rPr>
          <w:rFonts w:cs="Times New Roman"/>
          <w:spacing w:val="-10"/>
          <w:sz w:val="16"/>
          <w:szCs w:val="16"/>
          <w:lang w:val="es-ES_tradnl"/>
        </w:rPr>
        <w:t>ó</w:t>
      </w:r>
      <w:r>
        <w:rPr>
          <w:spacing w:val="-10"/>
          <w:sz w:val="16"/>
          <w:szCs w:val="16"/>
          <w:lang w:val="es-ES_tradnl"/>
        </w:rPr>
        <w:t>n no constituir</w:t>
      </w:r>
      <w:r>
        <w:rPr>
          <w:rFonts w:cs="Times New Roman"/>
          <w:spacing w:val="-10"/>
          <w:sz w:val="16"/>
          <w:szCs w:val="16"/>
          <w:lang w:val="es-ES_tradnl"/>
        </w:rPr>
        <w:t>á</w:t>
      </w:r>
      <w:r>
        <w:rPr>
          <w:spacing w:val="-10"/>
          <w:sz w:val="16"/>
          <w:szCs w:val="16"/>
          <w:lang w:val="es-ES_tradnl"/>
        </w:rPr>
        <w:t xml:space="preserve"> prejuzgamiento </w:t>
      </w:r>
      <w:r>
        <w:rPr>
          <w:spacing w:val="-7"/>
          <w:sz w:val="16"/>
          <w:szCs w:val="16"/>
          <w:lang w:val="es-ES_tradnl"/>
        </w:rPr>
        <w:t>sobre la declaraci</w:t>
      </w:r>
      <w:r>
        <w:rPr>
          <w:rFonts w:cs="Times New Roman"/>
          <w:spacing w:val="-7"/>
          <w:sz w:val="16"/>
          <w:szCs w:val="16"/>
          <w:lang w:val="es-ES_tradnl"/>
        </w:rPr>
        <w:t>ó</w:t>
      </w:r>
      <w:r>
        <w:rPr>
          <w:spacing w:val="-7"/>
          <w:sz w:val="16"/>
          <w:szCs w:val="16"/>
          <w:lang w:val="es-ES_tradnl"/>
        </w:rPr>
        <w:t>n de la violaci</w:t>
      </w:r>
      <w:r>
        <w:rPr>
          <w:rFonts w:cs="Times New Roman"/>
          <w:spacing w:val="-7"/>
          <w:sz w:val="16"/>
          <w:szCs w:val="16"/>
          <w:lang w:val="es-ES_tradnl"/>
        </w:rPr>
        <w:t>ó</w:t>
      </w:r>
      <w:r>
        <w:rPr>
          <w:spacing w:val="-7"/>
          <w:sz w:val="16"/>
          <w:szCs w:val="16"/>
          <w:lang w:val="es-ES_tradnl"/>
        </w:rPr>
        <w:t>n ni tendr</w:t>
      </w:r>
      <w:r>
        <w:rPr>
          <w:rFonts w:cs="Times New Roman"/>
          <w:spacing w:val="-7"/>
          <w:sz w:val="16"/>
          <w:szCs w:val="16"/>
          <w:lang w:val="es-ES_tradnl"/>
        </w:rPr>
        <w:t>á</w:t>
      </w:r>
      <w:r>
        <w:rPr>
          <w:spacing w:val="-7"/>
          <w:sz w:val="16"/>
          <w:szCs w:val="16"/>
          <w:lang w:val="es-ES_tradnl"/>
        </w:rPr>
        <w:t>n valor probatorio en el caso de existir una acci</w:t>
      </w:r>
      <w:r>
        <w:rPr>
          <w:rFonts w:cs="Times New Roman"/>
          <w:spacing w:val="-7"/>
          <w:sz w:val="16"/>
          <w:szCs w:val="16"/>
          <w:lang w:val="es-ES_tradnl"/>
        </w:rPr>
        <w:t>ó</w:t>
      </w:r>
      <w:r>
        <w:rPr>
          <w:spacing w:val="-7"/>
          <w:sz w:val="16"/>
          <w:szCs w:val="16"/>
          <w:lang w:val="es-ES_tradnl"/>
        </w:rPr>
        <w:t>n por violaci</w:t>
      </w:r>
      <w:r>
        <w:rPr>
          <w:rFonts w:cs="Times New Roman"/>
          <w:spacing w:val="-7"/>
          <w:sz w:val="16"/>
          <w:szCs w:val="16"/>
          <w:lang w:val="es-ES_tradnl"/>
        </w:rPr>
        <w:t>ó</w:t>
      </w:r>
      <w:r>
        <w:rPr>
          <w:spacing w:val="-7"/>
          <w:sz w:val="16"/>
          <w:szCs w:val="16"/>
          <w:lang w:val="es-ES_tradnl"/>
        </w:rPr>
        <w:t>n de derechos.</w:t>
      </w:r>
    </w:p>
    <w:p w14:paraId="4F67B1EB" w14:textId="77777777" w:rsidR="00591D54" w:rsidRDefault="00591D54">
      <w:pPr>
        <w:shd w:val="clear" w:color="auto" w:fill="FFFFFF"/>
        <w:spacing w:before="202" w:line="216" w:lineRule="exact"/>
        <w:ind w:right="5"/>
        <w:jc w:val="both"/>
      </w:pPr>
      <w:r>
        <w:rPr>
          <w:spacing w:val="-4"/>
          <w:sz w:val="18"/>
          <w:szCs w:val="18"/>
          <w:lang w:val="es-ES_tradnl"/>
        </w:rPr>
        <w:t xml:space="preserve">Posteriormente y en el mismo considerando, menciona </w:t>
      </w:r>
      <w:r>
        <w:rPr>
          <w:spacing w:val="-6"/>
          <w:sz w:val="18"/>
          <w:szCs w:val="18"/>
          <w:lang w:val="es-ES_tradnl"/>
        </w:rPr>
        <w:t>los art</w:t>
      </w:r>
      <w:r>
        <w:rPr>
          <w:rFonts w:cs="Times New Roman"/>
          <w:spacing w:val="-6"/>
          <w:sz w:val="18"/>
          <w:szCs w:val="18"/>
          <w:lang w:val="es-ES_tradnl"/>
        </w:rPr>
        <w:t>í</w:t>
      </w:r>
      <w:r>
        <w:rPr>
          <w:spacing w:val="-6"/>
          <w:sz w:val="18"/>
          <w:szCs w:val="18"/>
          <w:lang w:val="es-ES_tradnl"/>
        </w:rPr>
        <w:t>culos 23 y 27 de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w:t>
      </w:r>
      <w:r>
        <w:rPr>
          <w:spacing w:val="-4"/>
          <w:sz w:val="18"/>
          <w:szCs w:val="18"/>
          <w:lang w:val="es-ES_tradnl"/>
        </w:rPr>
        <w:t>Jurisdiccionales y Control Constitucional, se</w:t>
      </w:r>
      <w:r>
        <w:rPr>
          <w:rFonts w:cs="Times New Roman"/>
          <w:spacing w:val="-4"/>
          <w:sz w:val="18"/>
          <w:szCs w:val="18"/>
          <w:lang w:val="es-ES_tradnl"/>
        </w:rPr>
        <w:t>ñ</w:t>
      </w:r>
      <w:r>
        <w:rPr>
          <w:spacing w:val="-4"/>
          <w:sz w:val="18"/>
          <w:szCs w:val="18"/>
          <w:lang w:val="es-ES_tradnl"/>
        </w:rPr>
        <w:t xml:space="preserve">alando que </w:t>
      </w:r>
      <w:r>
        <w:rPr>
          <w:spacing w:val="-6"/>
          <w:sz w:val="18"/>
          <w:szCs w:val="18"/>
          <w:lang w:val="es-ES_tradnl"/>
        </w:rPr>
        <w:t>a criterio de los jueces que conforman la Tercera Sala de lo Penal y Tr</w:t>
      </w:r>
      <w:r>
        <w:rPr>
          <w:rFonts w:cs="Times New Roman"/>
          <w:spacing w:val="-6"/>
          <w:sz w:val="18"/>
          <w:szCs w:val="18"/>
          <w:lang w:val="es-ES_tradnl"/>
        </w:rPr>
        <w:t>á</w:t>
      </w:r>
      <w:r>
        <w:rPr>
          <w:spacing w:val="-6"/>
          <w:sz w:val="18"/>
          <w:szCs w:val="18"/>
          <w:lang w:val="es-ES_tradnl"/>
        </w:rPr>
        <w:t xml:space="preserve">nsito de la Corte Provincial del Guayas, se </w:t>
      </w:r>
      <w:r>
        <w:rPr>
          <w:spacing w:val="-8"/>
          <w:sz w:val="18"/>
          <w:szCs w:val="18"/>
          <w:lang w:val="es-ES_tradnl"/>
        </w:rPr>
        <w:t xml:space="preserve">han reunido los elementos que en dichas disposiciones se </w:t>
      </w:r>
      <w:r>
        <w:rPr>
          <w:sz w:val="18"/>
          <w:szCs w:val="18"/>
          <w:lang w:val="es-ES_tradnl"/>
        </w:rPr>
        <w:t>enumeran, en el caso concreto.</w:t>
      </w:r>
    </w:p>
    <w:p w14:paraId="4F67B1EC" w14:textId="77777777" w:rsidR="00591D54" w:rsidRDefault="00591D54">
      <w:pPr>
        <w:shd w:val="clear" w:color="auto" w:fill="FFFFFF"/>
        <w:spacing w:before="197" w:line="216" w:lineRule="exact"/>
        <w:ind w:right="5"/>
        <w:jc w:val="both"/>
      </w:pPr>
      <w:r>
        <w:rPr>
          <w:spacing w:val="-11"/>
          <w:sz w:val="18"/>
          <w:szCs w:val="18"/>
          <w:lang w:val="es-ES_tradnl"/>
        </w:rPr>
        <w:t>A fin de establecer la relaci</w:t>
      </w:r>
      <w:r>
        <w:rPr>
          <w:rFonts w:cs="Times New Roman"/>
          <w:spacing w:val="-11"/>
          <w:sz w:val="18"/>
          <w:szCs w:val="18"/>
          <w:lang w:val="es-ES_tradnl"/>
        </w:rPr>
        <w:t>ó</w:t>
      </w:r>
      <w:r>
        <w:rPr>
          <w:spacing w:val="-11"/>
          <w:sz w:val="18"/>
          <w:szCs w:val="18"/>
          <w:lang w:val="es-ES_tradnl"/>
        </w:rPr>
        <w:t>n de las normas en menci</w:t>
      </w:r>
      <w:r>
        <w:rPr>
          <w:rFonts w:cs="Times New Roman"/>
          <w:spacing w:val="-11"/>
          <w:sz w:val="18"/>
          <w:szCs w:val="18"/>
          <w:lang w:val="es-ES_tradnl"/>
        </w:rPr>
        <w:t>ó</w:t>
      </w:r>
      <w:r>
        <w:rPr>
          <w:spacing w:val="-11"/>
          <w:sz w:val="18"/>
          <w:szCs w:val="18"/>
          <w:lang w:val="es-ES_tradnl"/>
        </w:rPr>
        <w:t xml:space="preserve">n con </w:t>
      </w:r>
      <w:r>
        <w:rPr>
          <w:spacing w:val="-7"/>
          <w:sz w:val="18"/>
          <w:szCs w:val="18"/>
          <w:lang w:val="es-ES_tradnl"/>
        </w:rPr>
        <w:t>la decisi</w:t>
      </w:r>
      <w:r>
        <w:rPr>
          <w:rFonts w:cs="Times New Roman"/>
          <w:spacing w:val="-7"/>
          <w:sz w:val="18"/>
          <w:szCs w:val="18"/>
          <w:lang w:val="es-ES_tradnl"/>
        </w:rPr>
        <w:t>ó</w:t>
      </w:r>
      <w:r>
        <w:rPr>
          <w:spacing w:val="-7"/>
          <w:sz w:val="18"/>
          <w:szCs w:val="18"/>
          <w:lang w:val="es-ES_tradnl"/>
        </w:rPr>
        <w:t>n de la sala, es preciso determinar el contenido:</w:t>
      </w:r>
    </w:p>
    <w:p w14:paraId="4F67B1ED" w14:textId="77777777" w:rsidR="00591D54" w:rsidRDefault="00591D54">
      <w:pPr>
        <w:shd w:val="clear" w:color="auto" w:fill="FFFFFF"/>
        <w:spacing w:before="528" w:line="178" w:lineRule="exact"/>
        <w:ind w:left="139" w:hanging="139"/>
      </w:pPr>
      <w:r>
        <w:rPr>
          <w:sz w:val="16"/>
          <w:szCs w:val="16"/>
          <w:vertAlign w:val="superscript"/>
          <w:lang w:val="es-ES_tradnl"/>
        </w:rPr>
        <w:t>1</w:t>
      </w:r>
      <w:r>
        <w:rPr>
          <w:sz w:val="16"/>
          <w:szCs w:val="16"/>
          <w:lang w:val="es-ES_tradnl"/>
        </w:rPr>
        <w:t xml:space="preserve">  </w:t>
      </w:r>
      <w:r>
        <w:rPr>
          <w:spacing w:val="-8"/>
          <w:sz w:val="16"/>
          <w:szCs w:val="16"/>
          <w:lang w:val="es-ES_tradnl"/>
        </w:rPr>
        <w:t>Corte Constitucional del Ecuador, sentencia N.</w:t>
      </w:r>
      <w:r>
        <w:rPr>
          <w:rFonts w:cs="Times New Roman"/>
          <w:spacing w:val="-8"/>
          <w:sz w:val="16"/>
          <w:szCs w:val="16"/>
          <w:lang w:val="es-ES_tradnl"/>
        </w:rPr>
        <w:t>º</w:t>
      </w:r>
      <w:r>
        <w:rPr>
          <w:spacing w:val="-8"/>
          <w:sz w:val="16"/>
          <w:szCs w:val="16"/>
          <w:lang w:val="es-ES_tradnl"/>
        </w:rPr>
        <w:t xml:space="preserve"> 017-14-SEP-CC, </w:t>
      </w:r>
      <w:r>
        <w:rPr>
          <w:sz w:val="16"/>
          <w:szCs w:val="16"/>
          <w:lang w:val="es-ES_tradnl"/>
        </w:rPr>
        <w:t>caso N.</w:t>
      </w:r>
      <w:r>
        <w:rPr>
          <w:rFonts w:cs="Times New Roman"/>
          <w:sz w:val="16"/>
          <w:szCs w:val="16"/>
          <w:lang w:val="es-ES_tradnl"/>
        </w:rPr>
        <w:t>º</w:t>
      </w:r>
      <w:r>
        <w:rPr>
          <w:sz w:val="16"/>
          <w:szCs w:val="16"/>
          <w:lang w:val="es-ES_tradnl"/>
        </w:rPr>
        <w:t xml:space="preserve"> 0401-13-EP</w:t>
      </w:r>
    </w:p>
    <w:p w14:paraId="4F67B1EE" w14:textId="77777777" w:rsidR="00591D54" w:rsidRDefault="00591D54">
      <w:pPr>
        <w:shd w:val="clear" w:color="auto" w:fill="FFFFFF"/>
        <w:spacing w:line="221" w:lineRule="exact"/>
        <w:ind w:left="283"/>
        <w:jc w:val="both"/>
      </w:pPr>
      <w:r>
        <w:br w:type="column"/>
      </w:r>
      <w:r>
        <w:rPr>
          <w:spacing w:val="-6"/>
          <w:sz w:val="16"/>
          <w:szCs w:val="16"/>
          <w:lang w:val="es-ES_tradnl"/>
        </w:rPr>
        <w:t>Art. 23.- La jueza o juez podr</w:t>
      </w:r>
      <w:r>
        <w:rPr>
          <w:rFonts w:cs="Times New Roman"/>
          <w:spacing w:val="-6"/>
          <w:sz w:val="16"/>
          <w:szCs w:val="16"/>
          <w:lang w:val="es-ES_tradnl"/>
        </w:rPr>
        <w:t>á</w:t>
      </w:r>
      <w:r>
        <w:rPr>
          <w:spacing w:val="-6"/>
          <w:sz w:val="16"/>
          <w:szCs w:val="16"/>
          <w:lang w:val="es-ES_tradnl"/>
        </w:rPr>
        <w:t xml:space="preserve"> disponer de sus facultades </w:t>
      </w:r>
      <w:r>
        <w:rPr>
          <w:spacing w:val="-3"/>
          <w:sz w:val="16"/>
          <w:szCs w:val="16"/>
          <w:lang w:val="es-ES_tradnl"/>
        </w:rPr>
        <w:t>correctivas y coercitivas, de conformidad con el C</w:t>
      </w:r>
      <w:r>
        <w:rPr>
          <w:rFonts w:cs="Times New Roman"/>
          <w:spacing w:val="-3"/>
          <w:sz w:val="16"/>
          <w:szCs w:val="16"/>
          <w:lang w:val="es-ES_tradnl"/>
        </w:rPr>
        <w:t>ó</w:t>
      </w:r>
      <w:r>
        <w:rPr>
          <w:spacing w:val="-3"/>
          <w:sz w:val="16"/>
          <w:szCs w:val="16"/>
          <w:lang w:val="es-ES_tradnl"/>
        </w:rPr>
        <w:t>digo Org</w:t>
      </w:r>
      <w:r>
        <w:rPr>
          <w:rFonts w:cs="Times New Roman"/>
          <w:spacing w:val="-3"/>
          <w:sz w:val="16"/>
          <w:szCs w:val="16"/>
          <w:lang w:val="es-ES_tradnl"/>
        </w:rPr>
        <w:t>á</w:t>
      </w:r>
      <w:r>
        <w:rPr>
          <w:spacing w:val="-3"/>
          <w:sz w:val="16"/>
          <w:szCs w:val="16"/>
          <w:lang w:val="es-ES_tradnl"/>
        </w:rPr>
        <w:t>nico de la Funci</w:t>
      </w:r>
      <w:r>
        <w:rPr>
          <w:rFonts w:cs="Times New Roman"/>
          <w:spacing w:val="-3"/>
          <w:sz w:val="16"/>
          <w:szCs w:val="16"/>
          <w:lang w:val="es-ES_tradnl"/>
        </w:rPr>
        <w:t>ó</w:t>
      </w:r>
      <w:r>
        <w:rPr>
          <w:spacing w:val="-3"/>
          <w:sz w:val="16"/>
          <w:szCs w:val="16"/>
          <w:lang w:val="es-ES_tradnl"/>
        </w:rPr>
        <w:t xml:space="preserve">n Judicial, a quien, abusando del </w:t>
      </w:r>
      <w:r>
        <w:rPr>
          <w:spacing w:val="-6"/>
          <w:sz w:val="16"/>
          <w:szCs w:val="16"/>
          <w:lang w:val="es-ES_tradnl"/>
        </w:rPr>
        <w:t>derecho, interponga varias acciones en forma simult</w:t>
      </w:r>
      <w:r>
        <w:rPr>
          <w:rFonts w:cs="Times New Roman"/>
          <w:spacing w:val="-6"/>
          <w:sz w:val="16"/>
          <w:szCs w:val="16"/>
          <w:lang w:val="es-ES_tradnl"/>
        </w:rPr>
        <w:t>á</w:t>
      </w:r>
      <w:r>
        <w:rPr>
          <w:spacing w:val="-6"/>
          <w:sz w:val="16"/>
          <w:szCs w:val="16"/>
          <w:lang w:val="es-ES_tradnl"/>
        </w:rPr>
        <w:t xml:space="preserve">nea o </w:t>
      </w:r>
      <w:r>
        <w:rPr>
          <w:spacing w:val="-8"/>
          <w:sz w:val="16"/>
          <w:szCs w:val="16"/>
          <w:lang w:val="es-ES_tradnl"/>
        </w:rPr>
        <w:t>sucesiva por el mismo acto u omisi</w:t>
      </w:r>
      <w:r>
        <w:rPr>
          <w:rFonts w:cs="Times New Roman"/>
          <w:spacing w:val="-8"/>
          <w:sz w:val="16"/>
          <w:szCs w:val="16"/>
          <w:lang w:val="es-ES_tradnl"/>
        </w:rPr>
        <w:t>ó</w:t>
      </w:r>
      <w:r>
        <w:rPr>
          <w:spacing w:val="-8"/>
          <w:sz w:val="16"/>
          <w:szCs w:val="16"/>
          <w:lang w:val="es-ES_tradnl"/>
        </w:rPr>
        <w:t>n, por violaci</w:t>
      </w:r>
      <w:r>
        <w:rPr>
          <w:rFonts w:cs="Times New Roman"/>
          <w:spacing w:val="-8"/>
          <w:sz w:val="16"/>
          <w:szCs w:val="16"/>
          <w:lang w:val="es-ES_tradnl"/>
        </w:rPr>
        <w:t>ó</w:t>
      </w:r>
      <w:r>
        <w:rPr>
          <w:spacing w:val="-8"/>
          <w:sz w:val="16"/>
          <w:szCs w:val="16"/>
          <w:lang w:val="es-ES_tradnl"/>
        </w:rPr>
        <w:t>n del mismo derecho y en contra de las mismas personas.</w:t>
      </w:r>
    </w:p>
    <w:p w14:paraId="4F67B1EF" w14:textId="77777777" w:rsidR="00591D54" w:rsidRDefault="00591D54">
      <w:pPr>
        <w:shd w:val="clear" w:color="auto" w:fill="FFFFFF"/>
        <w:spacing w:before="211" w:line="221" w:lineRule="exact"/>
        <w:ind w:left="283"/>
        <w:jc w:val="both"/>
      </w:pPr>
      <w:r>
        <w:rPr>
          <w:spacing w:val="-11"/>
          <w:sz w:val="16"/>
          <w:szCs w:val="16"/>
          <w:lang w:val="es-ES_tradnl"/>
        </w:rPr>
        <w:t xml:space="preserve">En los casos en que los peticionarios o las abogadas y abogados </w:t>
      </w:r>
      <w:r>
        <w:rPr>
          <w:spacing w:val="-7"/>
          <w:sz w:val="16"/>
          <w:szCs w:val="16"/>
          <w:lang w:val="es-ES_tradnl"/>
        </w:rPr>
        <w:t xml:space="preserve">presenten solicitudes o peticiones de medidas cautelares de </w:t>
      </w:r>
      <w:r>
        <w:rPr>
          <w:spacing w:val="-8"/>
          <w:sz w:val="16"/>
          <w:szCs w:val="16"/>
          <w:lang w:val="es-ES_tradnl"/>
        </w:rPr>
        <w:t xml:space="preserve">mala fe, desnaturalicen los objetivos de las acciones o medidas </w:t>
      </w:r>
      <w:r>
        <w:rPr>
          <w:spacing w:val="-7"/>
          <w:sz w:val="16"/>
          <w:szCs w:val="16"/>
          <w:lang w:val="es-ES_tradnl"/>
        </w:rPr>
        <w:t xml:space="preserve">o con </w:t>
      </w:r>
      <w:r>
        <w:rPr>
          <w:rFonts w:cs="Times New Roman"/>
          <w:spacing w:val="-7"/>
          <w:sz w:val="16"/>
          <w:szCs w:val="16"/>
          <w:lang w:val="es-ES_tradnl"/>
        </w:rPr>
        <w:t>á</w:t>
      </w:r>
      <w:r>
        <w:rPr>
          <w:spacing w:val="-7"/>
          <w:sz w:val="16"/>
          <w:szCs w:val="16"/>
          <w:lang w:val="es-ES_tradnl"/>
        </w:rPr>
        <w:t>nimo de causar da</w:t>
      </w:r>
      <w:r>
        <w:rPr>
          <w:rFonts w:cs="Times New Roman"/>
          <w:spacing w:val="-7"/>
          <w:sz w:val="16"/>
          <w:szCs w:val="16"/>
          <w:lang w:val="es-ES_tradnl"/>
        </w:rPr>
        <w:t>ñ</w:t>
      </w:r>
      <w:r>
        <w:rPr>
          <w:spacing w:val="-7"/>
          <w:sz w:val="16"/>
          <w:szCs w:val="16"/>
          <w:lang w:val="es-ES_tradnl"/>
        </w:rPr>
        <w:t>o, responder</w:t>
      </w:r>
      <w:r>
        <w:rPr>
          <w:rFonts w:cs="Times New Roman"/>
          <w:spacing w:val="-7"/>
          <w:sz w:val="16"/>
          <w:szCs w:val="16"/>
          <w:lang w:val="es-ES_tradnl"/>
        </w:rPr>
        <w:t>á</w:t>
      </w:r>
      <w:r>
        <w:rPr>
          <w:spacing w:val="-7"/>
          <w:sz w:val="16"/>
          <w:szCs w:val="16"/>
          <w:lang w:val="es-ES_tradnl"/>
        </w:rPr>
        <w:t xml:space="preserve">n civil o penalmente, </w:t>
      </w:r>
      <w:r>
        <w:rPr>
          <w:spacing w:val="-9"/>
          <w:sz w:val="16"/>
          <w:szCs w:val="16"/>
          <w:lang w:val="es-ES_tradnl"/>
        </w:rPr>
        <w:t xml:space="preserve">sin perjuicio de las facultades correctivas otorgadas a las juezas </w:t>
      </w:r>
      <w:r>
        <w:rPr>
          <w:spacing w:val="-5"/>
          <w:sz w:val="16"/>
          <w:szCs w:val="16"/>
          <w:lang w:val="es-ES_tradnl"/>
        </w:rPr>
        <w:t>o jueces por el C</w:t>
      </w:r>
      <w:r>
        <w:rPr>
          <w:rFonts w:cs="Times New Roman"/>
          <w:spacing w:val="-5"/>
          <w:sz w:val="16"/>
          <w:szCs w:val="16"/>
          <w:lang w:val="es-ES_tradnl"/>
        </w:rPr>
        <w:t>ó</w:t>
      </w:r>
      <w:r>
        <w:rPr>
          <w:spacing w:val="-5"/>
          <w:sz w:val="16"/>
          <w:szCs w:val="16"/>
          <w:lang w:val="es-ES_tradnl"/>
        </w:rPr>
        <w:t>digo Org</w:t>
      </w:r>
      <w:r>
        <w:rPr>
          <w:rFonts w:cs="Times New Roman"/>
          <w:spacing w:val="-5"/>
          <w:sz w:val="16"/>
          <w:szCs w:val="16"/>
          <w:lang w:val="es-ES_tradnl"/>
        </w:rPr>
        <w:t>á</w:t>
      </w:r>
      <w:r>
        <w:rPr>
          <w:spacing w:val="-5"/>
          <w:sz w:val="16"/>
          <w:szCs w:val="16"/>
          <w:lang w:val="es-ES_tradnl"/>
        </w:rPr>
        <w:t>nico de la Funci</w:t>
      </w:r>
      <w:r>
        <w:rPr>
          <w:rFonts w:cs="Times New Roman"/>
          <w:spacing w:val="-5"/>
          <w:sz w:val="16"/>
          <w:szCs w:val="16"/>
          <w:lang w:val="es-ES_tradnl"/>
        </w:rPr>
        <w:t>ó</w:t>
      </w:r>
      <w:r>
        <w:rPr>
          <w:spacing w:val="-5"/>
          <w:sz w:val="16"/>
          <w:szCs w:val="16"/>
          <w:lang w:val="es-ES_tradnl"/>
        </w:rPr>
        <w:t xml:space="preserve">n Judicial y de </w:t>
      </w:r>
      <w:r>
        <w:rPr>
          <w:spacing w:val="-8"/>
          <w:sz w:val="16"/>
          <w:szCs w:val="16"/>
          <w:lang w:val="es-ES_tradnl"/>
        </w:rPr>
        <w:t xml:space="preserve">las sanciones que puedan imponer las direcciones regionales </w:t>
      </w:r>
      <w:r>
        <w:rPr>
          <w:sz w:val="16"/>
          <w:szCs w:val="16"/>
          <w:lang w:val="es-ES_tradnl"/>
        </w:rPr>
        <w:t>respectivas del Consejo de la Judicatura.</w:t>
      </w:r>
    </w:p>
    <w:p w14:paraId="4F67B1F0" w14:textId="77777777" w:rsidR="00591D54" w:rsidRDefault="00591D54">
      <w:pPr>
        <w:shd w:val="clear" w:color="auto" w:fill="FFFFFF"/>
        <w:spacing w:before="206" w:line="221" w:lineRule="exact"/>
        <w:ind w:left="283"/>
        <w:jc w:val="both"/>
      </w:pPr>
      <w:r>
        <w:rPr>
          <w:spacing w:val="-6"/>
          <w:sz w:val="16"/>
          <w:szCs w:val="16"/>
          <w:lang w:val="es-ES_tradnl"/>
        </w:rPr>
        <w:t>Art. 27.- Las medidas cautelares proceder</w:t>
      </w:r>
      <w:r>
        <w:rPr>
          <w:rFonts w:cs="Times New Roman"/>
          <w:spacing w:val="-6"/>
          <w:sz w:val="16"/>
          <w:szCs w:val="16"/>
          <w:lang w:val="es-ES_tradnl"/>
        </w:rPr>
        <w:t>á</w:t>
      </w:r>
      <w:r>
        <w:rPr>
          <w:spacing w:val="-6"/>
          <w:sz w:val="16"/>
          <w:szCs w:val="16"/>
          <w:lang w:val="es-ES_tradnl"/>
        </w:rPr>
        <w:t xml:space="preserve">n cuando la jueza </w:t>
      </w:r>
      <w:r>
        <w:rPr>
          <w:spacing w:val="-7"/>
          <w:sz w:val="16"/>
          <w:szCs w:val="16"/>
          <w:lang w:val="es-ES_tradnl"/>
        </w:rPr>
        <w:t xml:space="preserve">o juez tenga conocimiento de un hecho por parte de cualquier </w:t>
      </w:r>
      <w:r>
        <w:rPr>
          <w:spacing w:val="-9"/>
          <w:sz w:val="16"/>
          <w:szCs w:val="16"/>
          <w:lang w:val="es-ES_tradnl"/>
        </w:rPr>
        <w:t xml:space="preserve">persona que amenace de modo inminente y grave con violar un </w:t>
      </w:r>
      <w:r>
        <w:rPr>
          <w:sz w:val="16"/>
          <w:szCs w:val="16"/>
          <w:lang w:val="es-ES_tradnl"/>
        </w:rPr>
        <w:t>derecho o viole un derecho.</w:t>
      </w:r>
    </w:p>
    <w:p w14:paraId="4F67B1F1" w14:textId="77777777" w:rsidR="00591D54" w:rsidRDefault="00591D54">
      <w:pPr>
        <w:shd w:val="clear" w:color="auto" w:fill="FFFFFF"/>
        <w:spacing w:before="206" w:line="221" w:lineRule="exact"/>
        <w:ind w:left="283"/>
        <w:jc w:val="both"/>
      </w:pPr>
      <w:r>
        <w:rPr>
          <w:spacing w:val="-4"/>
          <w:sz w:val="16"/>
          <w:szCs w:val="16"/>
          <w:lang w:val="es-ES_tradnl"/>
        </w:rPr>
        <w:t>Se considerar</w:t>
      </w:r>
      <w:r>
        <w:rPr>
          <w:rFonts w:cs="Times New Roman"/>
          <w:spacing w:val="-4"/>
          <w:sz w:val="16"/>
          <w:szCs w:val="16"/>
          <w:lang w:val="es-ES_tradnl"/>
        </w:rPr>
        <w:t>á</w:t>
      </w:r>
      <w:r>
        <w:rPr>
          <w:spacing w:val="-4"/>
          <w:sz w:val="16"/>
          <w:szCs w:val="16"/>
          <w:lang w:val="es-ES_tradnl"/>
        </w:rPr>
        <w:t xml:space="preserve"> grave cuando pueda ocasionar da</w:t>
      </w:r>
      <w:r>
        <w:rPr>
          <w:rFonts w:cs="Times New Roman"/>
          <w:spacing w:val="-4"/>
          <w:sz w:val="16"/>
          <w:szCs w:val="16"/>
          <w:lang w:val="es-ES_tradnl"/>
        </w:rPr>
        <w:t>ñ</w:t>
      </w:r>
      <w:r>
        <w:rPr>
          <w:spacing w:val="-4"/>
          <w:sz w:val="16"/>
          <w:szCs w:val="16"/>
          <w:lang w:val="es-ES_tradnl"/>
        </w:rPr>
        <w:t xml:space="preserve">os </w:t>
      </w:r>
      <w:r>
        <w:rPr>
          <w:spacing w:val="-5"/>
          <w:sz w:val="16"/>
          <w:szCs w:val="16"/>
          <w:lang w:val="es-ES_tradnl"/>
        </w:rPr>
        <w:t>irreversibles o por la intensidad o frecuencia de la violaci</w:t>
      </w:r>
      <w:r>
        <w:rPr>
          <w:rFonts w:cs="Times New Roman"/>
          <w:spacing w:val="-5"/>
          <w:sz w:val="16"/>
          <w:szCs w:val="16"/>
          <w:lang w:val="es-ES_tradnl"/>
        </w:rPr>
        <w:t>ó</w:t>
      </w:r>
      <w:r>
        <w:rPr>
          <w:spacing w:val="-5"/>
          <w:sz w:val="16"/>
          <w:szCs w:val="16"/>
          <w:lang w:val="es-ES_tradnl"/>
        </w:rPr>
        <w:t>n.</w:t>
      </w:r>
    </w:p>
    <w:p w14:paraId="4F67B1F2" w14:textId="77777777" w:rsidR="00591D54" w:rsidRDefault="00591D54">
      <w:pPr>
        <w:shd w:val="clear" w:color="auto" w:fill="FFFFFF"/>
        <w:spacing w:before="206" w:line="221" w:lineRule="exact"/>
        <w:ind w:left="283"/>
        <w:jc w:val="both"/>
      </w:pPr>
      <w:r>
        <w:rPr>
          <w:spacing w:val="-8"/>
          <w:sz w:val="16"/>
          <w:szCs w:val="16"/>
          <w:lang w:val="es-ES_tradnl"/>
        </w:rPr>
        <w:t>No proceder</w:t>
      </w:r>
      <w:r>
        <w:rPr>
          <w:rFonts w:cs="Times New Roman"/>
          <w:spacing w:val="-8"/>
          <w:sz w:val="16"/>
          <w:szCs w:val="16"/>
          <w:lang w:val="es-ES_tradnl"/>
        </w:rPr>
        <w:t>á</w:t>
      </w:r>
      <w:r>
        <w:rPr>
          <w:spacing w:val="-8"/>
          <w:sz w:val="16"/>
          <w:szCs w:val="16"/>
          <w:lang w:val="es-ES_tradnl"/>
        </w:rPr>
        <w:t>n cuando existan medidas cautelares en las v</w:t>
      </w:r>
      <w:r>
        <w:rPr>
          <w:rFonts w:cs="Times New Roman"/>
          <w:spacing w:val="-8"/>
          <w:sz w:val="16"/>
          <w:szCs w:val="16"/>
          <w:lang w:val="es-ES_tradnl"/>
        </w:rPr>
        <w:t>í</w:t>
      </w:r>
      <w:r>
        <w:rPr>
          <w:spacing w:val="-8"/>
          <w:sz w:val="16"/>
          <w:szCs w:val="16"/>
          <w:lang w:val="es-ES_tradnl"/>
        </w:rPr>
        <w:t xml:space="preserve">as </w:t>
      </w:r>
      <w:r>
        <w:rPr>
          <w:spacing w:val="-2"/>
          <w:sz w:val="16"/>
          <w:szCs w:val="16"/>
          <w:lang w:val="es-ES_tradnl"/>
        </w:rPr>
        <w:t>administrativas u ordinarias, cuando se trate de ejecuci</w:t>
      </w:r>
      <w:r>
        <w:rPr>
          <w:rFonts w:cs="Times New Roman"/>
          <w:spacing w:val="-2"/>
          <w:sz w:val="16"/>
          <w:szCs w:val="16"/>
          <w:lang w:val="es-ES_tradnl"/>
        </w:rPr>
        <w:t>ó</w:t>
      </w:r>
      <w:r>
        <w:rPr>
          <w:spacing w:val="-2"/>
          <w:sz w:val="16"/>
          <w:szCs w:val="16"/>
          <w:lang w:val="es-ES_tradnl"/>
        </w:rPr>
        <w:t xml:space="preserve">n </w:t>
      </w:r>
      <w:r>
        <w:rPr>
          <w:spacing w:val="-6"/>
          <w:sz w:val="16"/>
          <w:szCs w:val="16"/>
          <w:lang w:val="es-ES_tradnl"/>
        </w:rPr>
        <w:t xml:space="preserve">de </w:t>
      </w:r>
      <w:r>
        <w:rPr>
          <w:rFonts w:cs="Times New Roman"/>
          <w:spacing w:val="-6"/>
          <w:sz w:val="16"/>
          <w:szCs w:val="16"/>
          <w:lang w:val="es-ES_tradnl"/>
        </w:rPr>
        <w:t>ó</w:t>
      </w:r>
      <w:r>
        <w:rPr>
          <w:spacing w:val="-6"/>
          <w:sz w:val="16"/>
          <w:szCs w:val="16"/>
          <w:lang w:val="es-ES_tradnl"/>
        </w:rPr>
        <w:t>rdenes judiciales o cuando se interpongan en la acci</w:t>
      </w:r>
      <w:r>
        <w:rPr>
          <w:rFonts w:cs="Times New Roman"/>
          <w:spacing w:val="-6"/>
          <w:sz w:val="16"/>
          <w:szCs w:val="16"/>
          <w:lang w:val="es-ES_tradnl"/>
        </w:rPr>
        <w:t>ó</w:t>
      </w:r>
      <w:r>
        <w:rPr>
          <w:spacing w:val="-6"/>
          <w:sz w:val="16"/>
          <w:szCs w:val="16"/>
          <w:lang w:val="es-ES_tradnl"/>
        </w:rPr>
        <w:t xml:space="preserve">n </w:t>
      </w:r>
      <w:r>
        <w:rPr>
          <w:sz w:val="16"/>
          <w:szCs w:val="16"/>
          <w:lang w:val="es-ES_tradnl"/>
        </w:rPr>
        <w:t>extraordinaria de protecci</w:t>
      </w:r>
      <w:r>
        <w:rPr>
          <w:rFonts w:cs="Times New Roman"/>
          <w:sz w:val="16"/>
          <w:szCs w:val="16"/>
          <w:lang w:val="es-ES_tradnl"/>
        </w:rPr>
        <w:t>ó</w:t>
      </w:r>
      <w:r>
        <w:rPr>
          <w:sz w:val="16"/>
          <w:szCs w:val="16"/>
          <w:lang w:val="es-ES_tradnl"/>
        </w:rPr>
        <w:t>n de derechos.</w:t>
      </w:r>
    </w:p>
    <w:p w14:paraId="4F67B1F3" w14:textId="77777777" w:rsidR="00591D54" w:rsidRDefault="00591D54">
      <w:pPr>
        <w:shd w:val="clear" w:color="auto" w:fill="FFFFFF"/>
        <w:spacing w:before="202" w:line="221" w:lineRule="exact"/>
        <w:jc w:val="both"/>
      </w:pPr>
      <w:r>
        <w:rPr>
          <w:spacing w:val="-6"/>
          <w:sz w:val="18"/>
          <w:szCs w:val="18"/>
          <w:lang w:val="es-ES_tradnl"/>
        </w:rPr>
        <w:t>Finalmente, en el considerado octavo de la sentencia menciona el art</w:t>
      </w:r>
      <w:r>
        <w:rPr>
          <w:rFonts w:cs="Times New Roman"/>
          <w:spacing w:val="-6"/>
          <w:sz w:val="18"/>
          <w:szCs w:val="18"/>
          <w:lang w:val="es-ES_tradnl"/>
        </w:rPr>
        <w:t>í</w:t>
      </w:r>
      <w:r>
        <w:rPr>
          <w:spacing w:val="-6"/>
          <w:sz w:val="18"/>
          <w:szCs w:val="18"/>
          <w:lang w:val="es-ES_tradnl"/>
        </w:rPr>
        <w:t>culo 26 de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w:t>
      </w:r>
      <w:r>
        <w:rPr>
          <w:spacing w:val="-4"/>
          <w:sz w:val="18"/>
          <w:szCs w:val="18"/>
          <w:lang w:val="es-ES_tradnl"/>
        </w:rPr>
        <w:t>Jurisdiccionales y Control Constitucional, disposici</w:t>
      </w:r>
      <w:r>
        <w:rPr>
          <w:rFonts w:cs="Times New Roman"/>
          <w:spacing w:val="-4"/>
          <w:sz w:val="18"/>
          <w:szCs w:val="18"/>
          <w:lang w:val="es-ES_tradnl"/>
        </w:rPr>
        <w:t>ó</w:t>
      </w:r>
      <w:r>
        <w:rPr>
          <w:spacing w:val="-4"/>
          <w:sz w:val="18"/>
          <w:szCs w:val="18"/>
          <w:lang w:val="es-ES_tradnl"/>
        </w:rPr>
        <w:t xml:space="preserve">n en </w:t>
      </w:r>
      <w:r>
        <w:rPr>
          <w:spacing w:val="-9"/>
          <w:sz w:val="18"/>
          <w:szCs w:val="18"/>
          <w:lang w:val="es-ES_tradnl"/>
        </w:rPr>
        <w:t>la que se determina la finalidad de las medidas cautelares.</w:t>
      </w:r>
    </w:p>
    <w:p w14:paraId="4F67B1F4" w14:textId="77777777" w:rsidR="00591D54" w:rsidRDefault="00591D54">
      <w:pPr>
        <w:shd w:val="clear" w:color="auto" w:fill="FFFFFF"/>
        <w:spacing w:before="197" w:line="221" w:lineRule="exact"/>
        <w:jc w:val="both"/>
      </w:pPr>
      <w:r>
        <w:rPr>
          <w:spacing w:val="-6"/>
          <w:sz w:val="18"/>
          <w:szCs w:val="18"/>
          <w:lang w:val="es-ES_tradnl"/>
        </w:rPr>
        <w:t>El texto espec</w:t>
      </w:r>
      <w:r>
        <w:rPr>
          <w:rFonts w:cs="Times New Roman"/>
          <w:spacing w:val="-6"/>
          <w:sz w:val="18"/>
          <w:szCs w:val="18"/>
          <w:lang w:val="es-ES_tradnl"/>
        </w:rPr>
        <w:t>í</w:t>
      </w:r>
      <w:r>
        <w:rPr>
          <w:spacing w:val="-6"/>
          <w:sz w:val="18"/>
          <w:szCs w:val="18"/>
          <w:lang w:val="es-ES_tradnl"/>
        </w:rPr>
        <w:t xml:space="preserve">fico de la sentencia respecto de la </w:t>
      </w:r>
      <w:r>
        <w:rPr>
          <w:i/>
          <w:iCs/>
          <w:spacing w:val="-6"/>
          <w:sz w:val="18"/>
          <w:szCs w:val="18"/>
          <w:lang w:val="es-ES_tradnl"/>
        </w:rPr>
        <w:t xml:space="preserve">ratio </w:t>
      </w:r>
      <w:r>
        <w:rPr>
          <w:i/>
          <w:iCs/>
          <w:sz w:val="18"/>
          <w:szCs w:val="18"/>
          <w:lang w:val="es-ES_tradnl"/>
        </w:rPr>
        <w:t xml:space="preserve">decidendi </w:t>
      </w:r>
      <w:r>
        <w:rPr>
          <w:sz w:val="18"/>
          <w:szCs w:val="18"/>
          <w:lang w:val="es-ES_tradnl"/>
        </w:rPr>
        <w:t>determina:</w:t>
      </w:r>
    </w:p>
    <w:p w14:paraId="4F67B1F5" w14:textId="77777777" w:rsidR="00591D54" w:rsidRDefault="00591D54">
      <w:pPr>
        <w:shd w:val="clear" w:color="auto" w:fill="FFFFFF"/>
        <w:spacing w:before="202" w:line="221" w:lineRule="exact"/>
        <w:ind w:left="283"/>
        <w:jc w:val="both"/>
      </w:pPr>
      <w:r>
        <w:rPr>
          <w:spacing w:val="-4"/>
          <w:sz w:val="16"/>
          <w:szCs w:val="16"/>
          <w:lang w:val="es-ES_tradnl"/>
        </w:rPr>
        <w:t>OCTAVO: La cuesti</w:t>
      </w:r>
      <w:r>
        <w:rPr>
          <w:rFonts w:cs="Times New Roman"/>
          <w:spacing w:val="-4"/>
          <w:sz w:val="16"/>
          <w:szCs w:val="16"/>
          <w:lang w:val="es-ES_tradnl"/>
        </w:rPr>
        <w:t>ó</w:t>
      </w:r>
      <w:r>
        <w:rPr>
          <w:spacing w:val="-4"/>
          <w:sz w:val="16"/>
          <w:szCs w:val="16"/>
          <w:lang w:val="es-ES_tradnl"/>
        </w:rPr>
        <w:t xml:space="preserve">n de fondo debe resolverse ante el Tribunal Distrital de lo Contencioso Administrativo, toda vez </w:t>
      </w:r>
      <w:r>
        <w:rPr>
          <w:spacing w:val="-3"/>
          <w:sz w:val="16"/>
          <w:szCs w:val="16"/>
          <w:lang w:val="es-ES_tradnl"/>
        </w:rPr>
        <w:t>que, de conformidad con el art</w:t>
      </w:r>
      <w:r>
        <w:rPr>
          <w:rFonts w:cs="Times New Roman"/>
          <w:spacing w:val="-3"/>
          <w:sz w:val="16"/>
          <w:szCs w:val="16"/>
          <w:lang w:val="es-ES_tradnl"/>
        </w:rPr>
        <w:t>í</w:t>
      </w:r>
      <w:r>
        <w:rPr>
          <w:spacing w:val="-3"/>
          <w:sz w:val="16"/>
          <w:szCs w:val="16"/>
          <w:lang w:val="es-ES_tradnl"/>
        </w:rPr>
        <w:t>culo 28 de la Ley Org</w:t>
      </w:r>
      <w:r>
        <w:rPr>
          <w:rFonts w:cs="Times New Roman"/>
          <w:spacing w:val="-3"/>
          <w:sz w:val="16"/>
          <w:szCs w:val="16"/>
          <w:lang w:val="es-ES_tradnl"/>
        </w:rPr>
        <w:t>á</w:t>
      </w:r>
      <w:r>
        <w:rPr>
          <w:spacing w:val="-3"/>
          <w:sz w:val="16"/>
          <w:szCs w:val="16"/>
          <w:lang w:val="es-ES_tradnl"/>
        </w:rPr>
        <w:t xml:space="preserve">nica </w:t>
      </w:r>
      <w:r>
        <w:rPr>
          <w:spacing w:val="-5"/>
          <w:sz w:val="16"/>
          <w:szCs w:val="16"/>
          <w:lang w:val="es-ES_tradnl"/>
        </w:rPr>
        <w:t>de Garant</w:t>
      </w:r>
      <w:r>
        <w:rPr>
          <w:rFonts w:cs="Times New Roman"/>
          <w:spacing w:val="-5"/>
          <w:sz w:val="16"/>
          <w:szCs w:val="16"/>
          <w:lang w:val="es-ES_tradnl"/>
        </w:rPr>
        <w:t>í</w:t>
      </w:r>
      <w:r>
        <w:rPr>
          <w:spacing w:val="-5"/>
          <w:sz w:val="16"/>
          <w:szCs w:val="16"/>
          <w:lang w:val="es-ES_tradnl"/>
        </w:rPr>
        <w:t xml:space="preserve">as Jurisdiccionales y Control Constitucional, no </w:t>
      </w:r>
      <w:r>
        <w:rPr>
          <w:spacing w:val="-7"/>
          <w:sz w:val="16"/>
          <w:szCs w:val="16"/>
          <w:lang w:val="es-ES_tradnl"/>
        </w:rPr>
        <w:t xml:space="preserve">corresponde a la suscrita judicatura emitir un pronunciamiento </w:t>
      </w:r>
      <w:r>
        <w:rPr>
          <w:spacing w:val="-3"/>
          <w:sz w:val="16"/>
          <w:szCs w:val="16"/>
          <w:lang w:val="es-ES_tradnl"/>
        </w:rPr>
        <w:t>sobre el fondo, sino, como lo dispone el art</w:t>
      </w:r>
      <w:r>
        <w:rPr>
          <w:rFonts w:cs="Times New Roman"/>
          <w:spacing w:val="-3"/>
          <w:sz w:val="16"/>
          <w:szCs w:val="16"/>
          <w:lang w:val="es-ES_tradnl"/>
        </w:rPr>
        <w:t>í</w:t>
      </w:r>
      <w:r>
        <w:rPr>
          <w:spacing w:val="-3"/>
          <w:sz w:val="16"/>
          <w:szCs w:val="16"/>
          <w:lang w:val="es-ES_tradnl"/>
        </w:rPr>
        <w:t xml:space="preserve">culo 26 de la </w:t>
      </w:r>
      <w:r>
        <w:rPr>
          <w:spacing w:val="-8"/>
          <w:sz w:val="16"/>
          <w:szCs w:val="16"/>
          <w:lang w:val="es-ES_tradnl"/>
        </w:rPr>
        <w:t>misma ley, evitando la lesi</w:t>
      </w:r>
      <w:r>
        <w:rPr>
          <w:rFonts w:cs="Times New Roman"/>
          <w:spacing w:val="-8"/>
          <w:sz w:val="16"/>
          <w:szCs w:val="16"/>
          <w:lang w:val="es-ES_tradnl"/>
        </w:rPr>
        <w:t>ó</w:t>
      </w:r>
      <w:r>
        <w:rPr>
          <w:spacing w:val="-8"/>
          <w:sz w:val="16"/>
          <w:szCs w:val="16"/>
          <w:lang w:val="es-ES_tradnl"/>
        </w:rPr>
        <w:t xml:space="preserve">n de los derechos constitucionales. </w:t>
      </w:r>
      <w:r>
        <w:rPr>
          <w:spacing w:val="-5"/>
          <w:sz w:val="16"/>
          <w:szCs w:val="16"/>
          <w:lang w:val="es-ES_tradnl"/>
        </w:rPr>
        <w:t>Por lo tanto, esta Tercera Sala de lo Penal y Tr</w:t>
      </w:r>
      <w:r>
        <w:rPr>
          <w:rFonts w:cs="Times New Roman"/>
          <w:spacing w:val="-5"/>
          <w:sz w:val="16"/>
          <w:szCs w:val="16"/>
          <w:lang w:val="es-ES_tradnl"/>
        </w:rPr>
        <w:t>á</w:t>
      </w:r>
      <w:r>
        <w:rPr>
          <w:spacing w:val="-5"/>
          <w:sz w:val="16"/>
          <w:szCs w:val="16"/>
          <w:lang w:val="es-ES_tradnl"/>
        </w:rPr>
        <w:t xml:space="preserve">nsito de la Corte Provincial de Justicia del Guayas, confirma la medida </w:t>
      </w:r>
      <w:r>
        <w:rPr>
          <w:sz w:val="16"/>
          <w:szCs w:val="16"/>
          <w:lang w:val="es-ES_tradnl"/>
        </w:rPr>
        <w:t>cautelar dictada, por el inferior.</w:t>
      </w:r>
    </w:p>
    <w:p w14:paraId="4F67B1F6" w14:textId="77777777" w:rsidR="00591D54" w:rsidRDefault="00591D54">
      <w:pPr>
        <w:shd w:val="clear" w:color="auto" w:fill="FFFFFF"/>
        <w:spacing w:before="206" w:line="221" w:lineRule="exact"/>
        <w:jc w:val="both"/>
      </w:pPr>
      <w:r>
        <w:rPr>
          <w:spacing w:val="-10"/>
          <w:sz w:val="18"/>
          <w:szCs w:val="18"/>
          <w:lang w:val="es-ES_tradnl"/>
        </w:rPr>
        <w:t>N</w:t>
      </w:r>
      <w:r>
        <w:rPr>
          <w:rFonts w:cs="Times New Roman"/>
          <w:spacing w:val="-10"/>
          <w:sz w:val="18"/>
          <w:szCs w:val="18"/>
          <w:lang w:val="es-ES_tradnl"/>
        </w:rPr>
        <w:t>ó</w:t>
      </w:r>
      <w:r>
        <w:rPr>
          <w:spacing w:val="-10"/>
          <w:sz w:val="18"/>
          <w:szCs w:val="18"/>
          <w:lang w:val="es-ES_tradnl"/>
        </w:rPr>
        <w:t>tese que la fundamentaci</w:t>
      </w:r>
      <w:r>
        <w:rPr>
          <w:rFonts w:cs="Times New Roman"/>
          <w:spacing w:val="-10"/>
          <w:sz w:val="18"/>
          <w:szCs w:val="18"/>
          <w:lang w:val="es-ES_tradnl"/>
        </w:rPr>
        <w:t>ó</w:t>
      </w:r>
      <w:r>
        <w:rPr>
          <w:spacing w:val="-10"/>
          <w:sz w:val="18"/>
          <w:szCs w:val="18"/>
          <w:lang w:val="es-ES_tradnl"/>
        </w:rPr>
        <w:t xml:space="preserve">n de derecho que se menciona </w:t>
      </w:r>
      <w:r>
        <w:rPr>
          <w:spacing w:val="-8"/>
          <w:sz w:val="18"/>
          <w:szCs w:val="18"/>
          <w:lang w:val="es-ES_tradnl"/>
        </w:rPr>
        <w:t>en la sentencia analizada, espec</w:t>
      </w:r>
      <w:r>
        <w:rPr>
          <w:rFonts w:cs="Times New Roman"/>
          <w:spacing w:val="-8"/>
          <w:sz w:val="18"/>
          <w:szCs w:val="18"/>
          <w:lang w:val="es-ES_tradnl"/>
        </w:rPr>
        <w:t>í</w:t>
      </w:r>
      <w:r>
        <w:rPr>
          <w:spacing w:val="-8"/>
          <w:sz w:val="18"/>
          <w:szCs w:val="18"/>
          <w:lang w:val="es-ES_tradnl"/>
        </w:rPr>
        <w:t>ficamente del art</w:t>
      </w:r>
      <w:r>
        <w:rPr>
          <w:rFonts w:cs="Times New Roman"/>
          <w:spacing w:val="-8"/>
          <w:sz w:val="18"/>
          <w:szCs w:val="18"/>
          <w:lang w:val="es-ES_tradnl"/>
        </w:rPr>
        <w:t>í</w:t>
      </w:r>
      <w:r>
        <w:rPr>
          <w:spacing w:val="-8"/>
          <w:sz w:val="18"/>
          <w:szCs w:val="18"/>
          <w:lang w:val="es-ES_tradnl"/>
        </w:rPr>
        <w:t>culo 28 de la Ley Org</w:t>
      </w:r>
      <w:r>
        <w:rPr>
          <w:rFonts w:cs="Times New Roman"/>
          <w:spacing w:val="-8"/>
          <w:sz w:val="18"/>
          <w:szCs w:val="18"/>
          <w:lang w:val="es-ES_tradnl"/>
        </w:rPr>
        <w:t>á</w:t>
      </w:r>
      <w:r>
        <w:rPr>
          <w:spacing w:val="-8"/>
          <w:sz w:val="18"/>
          <w:szCs w:val="18"/>
          <w:lang w:val="es-ES_tradnl"/>
        </w:rPr>
        <w:t>nica de Garant</w:t>
      </w:r>
      <w:r>
        <w:rPr>
          <w:rFonts w:cs="Times New Roman"/>
          <w:spacing w:val="-8"/>
          <w:sz w:val="18"/>
          <w:szCs w:val="18"/>
          <w:lang w:val="es-ES_tradnl"/>
        </w:rPr>
        <w:t>í</w:t>
      </w:r>
      <w:r>
        <w:rPr>
          <w:spacing w:val="-8"/>
          <w:sz w:val="18"/>
          <w:szCs w:val="18"/>
          <w:lang w:val="es-ES_tradnl"/>
        </w:rPr>
        <w:t xml:space="preserve">as Jurisdiccionales y Control </w:t>
      </w:r>
      <w:r>
        <w:rPr>
          <w:spacing w:val="-5"/>
          <w:sz w:val="18"/>
          <w:szCs w:val="18"/>
          <w:lang w:val="es-ES_tradnl"/>
        </w:rPr>
        <w:t>Constitucional, se relaciona con el efecto jur</w:t>
      </w:r>
      <w:r>
        <w:rPr>
          <w:rFonts w:cs="Times New Roman"/>
          <w:spacing w:val="-5"/>
          <w:sz w:val="18"/>
          <w:szCs w:val="18"/>
          <w:lang w:val="es-ES_tradnl"/>
        </w:rPr>
        <w:t>í</w:t>
      </w:r>
      <w:r>
        <w:rPr>
          <w:spacing w:val="-5"/>
          <w:sz w:val="18"/>
          <w:szCs w:val="18"/>
          <w:lang w:val="es-ES_tradnl"/>
        </w:rPr>
        <w:t xml:space="preserve">dico de las </w:t>
      </w:r>
      <w:r>
        <w:rPr>
          <w:spacing w:val="-7"/>
          <w:sz w:val="18"/>
          <w:szCs w:val="18"/>
          <w:lang w:val="es-ES_tradnl"/>
        </w:rPr>
        <w:t>medidas cautelares, determin</w:t>
      </w:r>
      <w:r>
        <w:rPr>
          <w:rFonts w:cs="Times New Roman"/>
          <w:spacing w:val="-7"/>
          <w:sz w:val="18"/>
          <w:szCs w:val="18"/>
          <w:lang w:val="es-ES_tradnl"/>
        </w:rPr>
        <w:t>á</w:t>
      </w:r>
      <w:r>
        <w:rPr>
          <w:spacing w:val="-7"/>
          <w:sz w:val="18"/>
          <w:szCs w:val="18"/>
          <w:lang w:val="es-ES_tradnl"/>
        </w:rPr>
        <w:t xml:space="preserve">ndose que el otorgamiento </w:t>
      </w:r>
      <w:r>
        <w:rPr>
          <w:spacing w:val="-2"/>
          <w:sz w:val="18"/>
          <w:szCs w:val="18"/>
          <w:lang w:val="es-ES_tradnl"/>
        </w:rPr>
        <w:t xml:space="preserve">de la medida cautelar no implica el reconocimiento de </w:t>
      </w:r>
      <w:r>
        <w:rPr>
          <w:spacing w:val="-7"/>
          <w:sz w:val="18"/>
          <w:szCs w:val="18"/>
          <w:lang w:val="es-ES_tradnl"/>
        </w:rPr>
        <w:t>una vulneraci</w:t>
      </w:r>
      <w:r>
        <w:rPr>
          <w:rFonts w:cs="Times New Roman"/>
          <w:spacing w:val="-7"/>
          <w:sz w:val="18"/>
          <w:szCs w:val="18"/>
          <w:lang w:val="es-ES_tradnl"/>
        </w:rPr>
        <w:t>ó</w:t>
      </w:r>
      <w:r>
        <w:rPr>
          <w:spacing w:val="-7"/>
          <w:sz w:val="18"/>
          <w:szCs w:val="18"/>
          <w:lang w:val="es-ES_tradnl"/>
        </w:rPr>
        <w:t>n de derechos constitucionales, disposici</w:t>
      </w:r>
      <w:r>
        <w:rPr>
          <w:rFonts w:cs="Times New Roman"/>
          <w:spacing w:val="-7"/>
          <w:sz w:val="18"/>
          <w:szCs w:val="18"/>
          <w:lang w:val="es-ES_tradnl"/>
        </w:rPr>
        <w:t>ó</w:t>
      </w:r>
      <w:r>
        <w:rPr>
          <w:spacing w:val="-7"/>
          <w:sz w:val="18"/>
          <w:szCs w:val="18"/>
          <w:lang w:val="es-ES_tradnl"/>
        </w:rPr>
        <w:t xml:space="preserve">n </w:t>
      </w:r>
      <w:r>
        <w:rPr>
          <w:spacing w:val="-6"/>
          <w:sz w:val="18"/>
          <w:szCs w:val="18"/>
          <w:lang w:val="es-ES_tradnl"/>
        </w:rPr>
        <w:t>que no tiene ninguna relaci</w:t>
      </w:r>
      <w:r>
        <w:rPr>
          <w:rFonts w:cs="Times New Roman"/>
          <w:spacing w:val="-6"/>
          <w:sz w:val="18"/>
          <w:szCs w:val="18"/>
          <w:lang w:val="es-ES_tradnl"/>
        </w:rPr>
        <w:t>ó</w:t>
      </w:r>
      <w:r>
        <w:rPr>
          <w:spacing w:val="-6"/>
          <w:sz w:val="18"/>
          <w:szCs w:val="18"/>
          <w:lang w:val="es-ES_tradnl"/>
        </w:rPr>
        <w:t>n con la decisi</w:t>
      </w:r>
      <w:r>
        <w:rPr>
          <w:rFonts w:cs="Times New Roman"/>
          <w:spacing w:val="-6"/>
          <w:sz w:val="18"/>
          <w:szCs w:val="18"/>
          <w:lang w:val="es-ES_tradnl"/>
        </w:rPr>
        <w:t>ó</w:t>
      </w:r>
      <w:r>
        <w:rPr>
          <w:spacing w:val="-6"/>
          <w:sz w:val="18"/>
          <w:szCs w:val="18"/>
          <w:lang w:val="es-ES_tradnl"/>
        </w:rPr>
        <w:t xml:space="preserve">n de la sala al </w:t>
      </w:r>
      <w:r>
        <w:rPr>
          <w:spacing w:val="-9"/>
          <w:sz w:val="18"/>
          <w:szCs w:val="18"/>
          <w:lang w:val="es-ES_tradnl"/>
        </w:rPr>
        <w:t xml:space="preserve">haberse limitado a confirmar la medida cautelar dictada por </w:t>
      </w:r>
      <w:r>
        <w:rPr>
          <w:sz w:val="18"/>
          <w:szCs w:val="18"/>
          <w:lang w:val="es-ES_tradnl"/>
        </w:rPr>
        <w:t>el inferior.</w:t>
      </w:r>
    </w:p>
    <w:p w14:paraId="4F67B1F7" w14:textId="77777777" w:rsidR="00591D54" w:rsidRDefault="00591D54">
      <w:pPr>
        <w:shd w:val="clear" w:color="auto" w:fill="FFFFFF"/>
        <w:spacing w:before="202" w:line="221" w:lineRule="exact"/>
        <w:jc w:val="both"/>
      </w:pPr>
      <w:r>
        <w:rPr>
          <w:spacing w:val="-6"/>
          <w:sz w:val="18"/>
          <w:szCs w:val="18"/>
          <w:lang w:val="es-ES_tradnl"/>
        </w:rPr>
        <w:t>Respecto al art</w:t>
      </w:r>
      <w:r>
        <w:rPr>
          <w:rFonts w:cs="Times New Roman"/>
          <w:spacing w:val="-6"/>
          <w:sz w:val="18"/>
          <w:szCs w:val="18"/>
          <w:lang w:val="es-ES_tradnl"/>
        </w:rPr>
        <w:t>í</w:t>
      </w:r>
      <w:r>
        <w:rPr>
          <w:spacing w:val="-6"/>
          <w:sz w:val="18"/>
          <w:szCs w:val="18"/>
          <w:lang w:val="es-ES_tradnl"/>
        </w:rPr>
        <w:t>culo 23 de la ley se</w:t>
      </w:r>
      <w:r>
        <w:rPr>
          <w:rFonts w:cs="Times New Roman"/>
          <w:spacing w:val="-6"/>
          <w:sz w:val="18"/>
          <w:szCs w:val="18"/>
          <w:lang w:val="es-ES_tradnl"/>
        </w:rPr>
        <w:t>ñ</w:t>
      </w:r>
      <w:r>
        <w:rPr>
          <w:spacing w:val="-6"/>
          <w:sz w:val="18"/>
          <w:szCs w:val="18"/>
          <w:lang w:val="es-ES_tradnl"/>
        </w:rPr>
        <w:t xml:space="preserve">alada, la Corte </w:t>
      </w:r>
      <w:r>
        <w:rPr>
          <w:spacing w:val="-7"/>
          <w:sz w:val="18"/>
          <w:szCs w:val="18"/>
          <w:lang w:val="es-ES_tradnl"/>
        </w:rPr>
        <w:t>Constitucional evidencia una falta de relaci</w:t>
      </w:r>
      <w:r>
        <w:rPr>
          <w:rFonts w:cs="Times New Roman"/>
          <w:spacing w:val="-7"/>
          <w:sz w:val="18"/>
          <w:szCs w:val="18"/>
          <w:lang w:val="es-ES_tradnl"/>
        </w:rPr>
        <w:t>ó</w:t>
      </w:r>
      <w:r>
        <w:rPr>
          <w:spacing w:val="-7"/>
          <w:sz w:val="18"/>
          <w:szCs w:val="18"/>
          <w:lang w:val="es-ES_tradnl"/>
        </w:rPr>
        <w:t xml:space="preserve">n directa entre </w:t>
      </w:r>
      <w:r>
        <w:rPr>
          <w:spacing w:val="-10"/>
          <w:sz w:val="18"/>
          <w:szCs w:val="18"/>
          <w:lang w:val="es-ES_tradnl"/>
        </w:rPr>
        <w:t>dicho fundamento de derecho y la decisi</w:t>
      </w:r>
      <w:r>
        <w:rPr>
          <w:rFonts w:cs="Times New Roman"/>
          <w:spacing w:val="-10"/>
          <w:sz w:val="18"/>
          <w:szCs w:val="18"/>
          <w:lang w:val="es-ES_tradnl"/>
        </w:rPr>
        <w:t>ó</w:t>
      </w:r>
      <w:r>
        <w:rPr>
          <w:spacing w:val="-10"/>
          <w:sz w:val="18"/>
          <w:szCs w:val="18"/>
          <w:lang w:val="es-ES_tradnl"/>
        </w:rPr>
        <w:t>n, ya que la norma</w:t>
      </w:r>
    </w:p>
    <w:p w14:paraId="4F67B1F8" w14:textId="77777777" w:rsidR="00591D54" w:rsidRDefault="00591D54">
      <w:pPr>
        <w:shd w:val="clear" w:color="auto" w:fill="FFFFFF"/>
        <w:spacing w:before="202" w:line="221" w:lineRule="exact"/>
        <w:jc w:val="both"/>
        <w:sectPr w:rsidR="00591D54">
          <w:type w:val="continuous"/>
          <w:pgSz w:w="11909" w:h="16834"/>
          <w:pgMar w:top="1359" w:right="1309" w:bottom="360" w:left="1308" w:header="720" w:footer="720" w:gutter="0"/>
          <w:cols w:num="2" w:space="720" w:equalWidth="0">
            <w:col w:w="4305" w:space="682"/>
            <w:col w:w="4305"/>
          </w:cols>
          <w:noEndnote/>
        </w:sectPr>
      </w:pPr>
    </w:p>
    <w:p w14:paraId="4F67B1F9" w14:textId="77777777" w:rsidR="00591D54" w:rsidRDefault="00591D54">
      <w:pPr>
        <w:shd w:val="clear" w:color="auto" w:fill="FFFFFF"/>
        <w:tabs>
          <w:tab w:val="left" w:pos="584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- 177</w:t>
      </w:r>
    </w:p>
    <w:p w14:paraId="4F67B1FA" w14:textId="77777777" w:rsidR="00591D54" w:rsidRDefault="00591D54">
      <w:pPr>
        <w:shd w:val="clear" w:color="auto" w:fill="FFFFFF"/>
        <w:tabs>
          <w:tab w:val="left" w:pos="5842"/>
        </w:tabs>
        <w:spacing w:after="230"/>
        <w:ind w:left="5"/>
        <w:sectPr w:rsidR="00591D54">
          <w:pgSz w:w="11909" w:h="16834"/>
          <w:pgMar w:top="1356" w:right="1309" w:bottom="360" w:left="1308" w:header="720" w:footer="720" w:gutter="0"/>
          <w:cols w:space="60"/>
          <w:noEndnote/>
        </w:sectPr>
      </w:pPr>
    </w:p>
    <w:p w14:paraId="4F67B1FB" w14:textId="77777777" w:rsidR="00591D54" w:rsidRDefault="00591D54">
      <w:pPr>
        <w:shd w:val="clear" w:color="auto" w:fill="FFFFFF"/>
        <w:spacing w:before="5" w:line="216" w:lineRule="exact"/>
        <w:jc w:val="both"/>
      </w:pPr>
      <w:r>
        <w:rPr>
          <w:spacing w:val="-7"/>
          <w:sz w:val="18"/>
          <w:szCs w:val="18"/>
          <w:lang w:val="es-ES_tradnl"/>
        </w:rPr>
        <w:t xml:space="preserve">se encuentra direccionada hacia el abuso del derecho, </w:t>
      </w:r>
      <w:r>
        <w:rPr>
          <w:spacing w:val="-8"/>
          <w:sz w:val="18"/>
          <w:szCs w:val="18"/>
          <w:lang w:val="es-ES_tradnl"/>
        </w:rPr>
        <w:t>mientras que la decisi</w:t>
      </w:r>
      <w:r>
        <w:rPr>
          <w:rFonts w:cs="Times New Roman"/>
          <w:spacing w:val="-8"/>
          <w:sz w:val="18"/>
          <w:szCs w:val="18"/>
          <w:lang w:val="es-ES_tradnl"/>
        </w:rPr>
        <w:t>ó</w:t>
      </w:r>
      <w:r>
        <w:rPr>
          <w:spacing w:val="-8"/>
          <w:sz w:val="18"/>
          <w:szCs w:val="18"/>
          <w:lang w:val="es-ES_tradnl"/>
        </w:rPr>
        <w:t>n de la sala confirma la decisi</w:t>
      </w:r>
      <w:r>
        <w:rPr>
          <w:rFonts w:cs="Times New Roman"/>
          <w:spacing w:val="-8"/>
          <w:sz w:val="18"/>
          <w:szCs w:val="18"/>
          <w:lang w:val="es-ES_tradnl"/>
        </w:rPr>
        <w:t>ó</w:t>
      </w:r>
      <w:r>
        <w:rPr>
          <w:spacing w:val="-8"/>
          <w:sz w:val="18"/>
          <w:szCs w:val="18"/>
          <w:lang w:val="es-ES_tradnl"/>
        </w:rPr>
        <w:t xml:space="preserve">n del </w:t>
      </w:r>
      <w:r>
        <w:rPr>
          <w:sz w:val="18"/>
          <w:szCs w:val="18"/>
          <w:lang w:val="es-ES_tradnl"/>
        </w:rPr>
        <w:t xml:space="preserve">juez </w:t>
      </w:r>
      <w:r>
        <w:rPr>
          <w:i/>
          <w:iCs/>
          <w:sz w:val="18"/>
          <w:szCs w:val="18"/>
          <w:lang w:val="es-ES_tradnl"/>
        </w:rPr>
        <w:t xml:space="preserve">a quo </w:t>
      </w:r>
      <w:r>
        <w:rPr>
          <w:sz w:val="18"/>
          <w:szCs w:val="18"/>
          <w:lang w:val="es-ES_tradnl"/>
        </w:rPr>
        <w:t>respecto de la medida cautelar.</w:t>
      </w:r>
    </w:p>
    <w:p w14:paraId="4F67B1FC" w14:textId="77777777" w:rsidR="00591D54" w:rsidRDefault="00591D54">
      <w:pPr>
        <w:shd w:val="clear" w:color="auto" w:fill="FFFFFF"/>
        <w:spacing w:before="197" w:line="216" w:lineRule="exact"/>
        <w:jc w:val="both"/>
      </w:pPr>
      <w:r>
        <w:rPr>
          <w:spacing w:val="-1"/>
          <w:sz w:val="18"/>
          <w:szCs w:val="18"/>
          <w:lang w:val="es-ES_tradnl"/>
        </w:rPr>
        <w:t xml:space="preserve">Ahora bien, la Corte Constitucional evidencia en la </w:t>
      </w:r>
      <w:r>
        <w:rPr>
          <w:spacing w:val="-5"/>
          <w:sz w:val="18"/>
          <w:szCs w:val="18"/>
          <w:lang w:val="es-ES_tradnl"/>
        </w:rPr>
        <w:t>sentencia tambi</w:t>
      </w:r>
      <w:r>
        <w:rPr>
          <w:rFonts w:cs="Times New Roman"/>
          <w:spacing w:val="-5"/>
          <w:sz w:val="18"/>
          <w:szCs w:val="18"/>
          <w:lang w:val="es-ES_tradnl"/>
        </w:rPr>
        <w:t>é</w:t>
      </w:r>
      <w:r>
        <w:rPr>
          <w:spacing w:val="-5"/>
          <w:sz w:val="18"/>
          <w:szCs w:val="18"/>
          <w:lang w:val="es-ES_tradnl"/>
        </w:rPr>
        <w:t>n la menci</w:t>
      </w:r>
      <w:r>
        <w:rPr>
          <w:rFonts w:cs="Times New Roman"/>
          <w:spacing w:val="-5"/>
          <w:sz w:val="18"/>
          <w:szCs w:val="18"/>
          <w:lang w:val="es-ES_tradnl"/>
        </w:rPr>
        <w:t>ó</w:t>
      </w:r>
      <w:r>
        <w:rPr>
          <w:spacing w:val="-5"/>
          <w:sz w:val="18"/>
          <w:szCs w:val="18"/>
          <w:lang w:val="es-ES_tradnl"/>
        </w:rPr>
        <w:t>n de los art</w:t>
      </w:r>
      <w:r>
        <w:rPr>
          <w:rFonts w:cs="Times New Roman"/>
          <w:spacing w:val="-5"/>
          <w:sz w:val="18"/>
          <w:szCs w:val="18"/>
          <w:lang w:val="es-ES_tradnl"/>
        </w:rPr>
        <w:t>í</w:t>
      </w:r>
      <w:r>
        <w:rPr>
          <w:spacing w:val="-5"/>
          <w:sz w:val="18"/>
          <w:szCs w:val="18"/>
          <w:lang w:val="es-ES_tradnl"/>
        </w:rPr>
        <w:t xml:space="preserve">culos 26 y 27 de </w:t>
      </w:r>
      <w:r>
        <w:rPr>
          <w:spacing w:val="-6"/>
          <w:sz w:val="18"/>
          <w:szCs w:val="18"/>
          <w:lang w:val="es-ES_tradnl"/>
        </w:rPr>
        <w:t>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Control </w:t>
      </w:r>
      <w:r>
        <w:rPr>
          <w:spacing w:val="-3"/>
          <w:sz w:val="18"/>
          <w:szCs w:val="18"/>
          <w:lang w:val="es-ES_tradnl"/>
        </w:rPr>
        <w:t xml:space="preserve">Constitucional, que si bien se encuentran relacionadas </w:t>
      </w:r>
      <w:r>
        <w:rPr>
          <w:spacing w:val="-6"/>
          <w:sz w:val="18"/>
          <w:szCs w:val="18"/>
          <w:lang w:val="es-ES_tradnl"/>
        </w:rPr>
        <w:t>con el tema de medidas cautelares, no tiene relaci</w:t>
      </w:r>
      <w:r>
        <w:rPr>
          <w:rFonts w:cs="Times New Roman"/>
          <w:spacing w:val="-6"/>
          <w:sz w:val="18"/>
          <w:szCs w:val="18"/>
          <w:lang w:val="es-ES_tradnl"/>
        </w:rPr>
        <w:t>ó</w:t>
      </w:r>
      <w:r>
        <w:rPr>
          <w:spacing w:val="-6"/>
          <w:sz w:val="18"/>
          <w:szCs w:val="18"/>
          <w:lang w:val="es-ES_tradnl"/>
        </w:rPr>
        <w:t>n con la decisi</w:t>
      </w:r>
      <w:r>
        <w:rPr>
          <w:rFonts w:cs="Times New Roman"/>
          <w:spacing w:val="-6"/>
          <w:sz w:val="18"/>
          <w:szCs w:val="18"/>
          <w:lang w:val="es-ES_tradnl"/>
        </w:rPr>
        <w:t>ó</w:t>
      </w:r>
      <w:r>
        <w:rPr>
          <w:spacing w:val="-6"/>
          <w:sz w:val="18"/>
          <w:szCs w:val="18"/>
          <w:lang w:val="es-ES_tradnl"/>
        </w:rPr>
        <w:t xml:space="preserve">n de la sala al confirmar la medida cautelar, </w:t>
      </w:r>
      <w:r>
        <w:rPr>
          <w:spacing w:val="-8"/>
          <w:sz w:val="18"/>
          <w:szCs w:val="18"/>
          <w:lang w:val="es-ES_tradnl"/>
        </w:rPr>
        <w:t>considerando que la sala est</w:t>
      </w:r>
      <w:r>
        <w:rPr>
          <w:rFonts w:cs="Times New Roman"/>
          <w:spacing w:val="-8"/>
          <w:sz w:val="18"/>
          <w:szCs w:val="18"/>
          <w:lang w:val="es-ES_tradnl"/>
        </w:rPr>
        <w:t>á</w:t>
      </w:r>
      <w:r>
        <w:rPr>
          <w:spacing w:val="-8"/>
          <w:sz w:val="18"/>
          <w:szCs w:val="18"/>
          <w:lang w:val="es-ES_tradnl"/>
        </w:rPr>
        <w:t xml:space="preserve"> resolviendo un recurso de apelaci</w:t>
      </w:r>
      <w:r>
        <w:rPr>
          <w:rFonts w:cs="Times New Roman"/>
          <w:spacing w:val="-8"/>
          <w:sz w:val="18"/>
          <w:szCs w:val="18"/>
          <w:lang w:val="es-ES_tradnl"/>
        </w:rPr>
        <w:t>ó</w:t>
      </w:r>
      <w:r>
        <w:rPr>
          <w:spacing w:val="-8"/>
          <w:sz w:val="18"/>
          <w:szCs w:val="18"/>
          <w:lang w:val="es-ES_tradnl"/>
        </w:rPr>
        <w:t>n respecto de la negaci</w:t>
      </w:r>
      <w:r>
        <w:rPr>
          <w:rFonts w:cs="Times New Roman"/>
          <w:spacing w:val="-8"/>
          <w:sz w:val="18"/>
          <w:szCs w:val="18"/>
          <w:lang w:val="es-ES_tradnl"/>
        </w:rPr>
        <w:t>ó</w:t>
      </w:r>
      <w:r>
        <w:rPr>
          <w:spacing w:val="-8"/>
          <w:sz w:val="18"/>
          <w:szCs w:val="18"/>
          <w:lang w:val="es-ES_tradnl"/>
        </w:rPr>
        <w:t xml:space="preserve">n de revocatoria solicitada por la Superintendencia de Bancos y Seguros y la Junta </w:t>
      </w:r>
      <w:r>
        <w:rPr>
          <w:spacing w:val="-6"/>
          <w:sz w:val="18"/>
          <w:szCs w:val="18"/>
          <w:lang w:val="es-ES_tradnl"/>
        </w:rPr>
        <w:t>Bancaria. Es decir, si bien la Sala realiza la invocaci</w:t>
      </w:r>
      <w:r>
        <w:rPr>
          <w:rFonts w:cs="Times New Roman"/>
          <w:spacing w:val="-6"/>
          <w:sz w:val="18"/>
          <w:szCs w:val="18"/>
          <w:lang w:val="es-ES_tradnl"/>
        </w:rPr>
        <w:t>ó</w:t>
      </w:r>
      <w:r>
        <w:rPr>
          <w:spacing w:val="-6"/>
          <w:sz w:val="18"/>
          <w:szCs w:val="18"/>
          <w:lang w:val="es-ES_tradnl"/>
        </w:rPr>
        <w:t xml:space="preserve">n de </w:t>
      </w:r>
      <w:r>
        <w:rPr>
          <w:spacing w:val="-7"/>
          <w:sz w:val="18"/>
          <w:szCs w:val="18"/>
          <w:lang w:val="es-ES_tradnl"/>
        </w:rPr>
        <w:t xml:space="preserve">normativa relacionada con medidas cautelares, el empleo </w:t>
      </w:r>
      <w:r>
        <w:rPr>
          <w:spacing w:val="-9"/>
          <w:sz w:val="18"/>
          <w:szCs w:val="18"/>
          <w:lang w:val="es-ES_tradnl"/>
        </w:rPr>
        <w:t xml:space="preserve">que realiza de aquellas normas no se enmarca dentro de la </w:t>
      </w:r>
      <w:r>
        <w:rPr>
          <w:spacing w:val="-6"/>
          <w:sz w:val="18"/>
          <w:szCs w:val="18"/>
          <w:lang w:val="es-ES_tradnl"/>
        </w:rPr>
        <w:t>naturaleza de la acci</w:t>
      </w:r>
      <w:r>
        <w:rPr>
          <w:rFonts w:cs="Times New Roman"/>
          <w:spacing w:val="-6"/>
          <w:sz w:val="18"/>
          <w:szCs w:val="18"/>
          <w:lang w:val="es-ES_tradnl"/>
        </w:rPr>
        <w:t>ó</w:t>
      </w:r>
      <w:r>
        <w:rPr>
          <w:spacing w:val="-6"/>
          <w:sz w:val="18"/>
          <w:szCs w:val="18"/>
          <w:lang w:val="es-ES_tradnl"/>
        </w:rPr>
        <w:t xml:space="preserve">n puesta a conocimiento de la Sala, </w:t>
      </w:r>
      <w:r>
        <w:rPr>
          <w:spacing w:val="-8"/>
          <w:sz w:val="18"/>
          <w:szCs w:val="18"/>
          <w:lang w:val="es-ES_tradnl"/>
        </w:rPr>
        <w:t>la misma que est</w:t>
      </w:r>
      <w:r>
        <w:rPr>
          <w:rFonts w:cs="Times New Roman"/>
          <w:spacing w:val="-8"/>
          <w:sz w:val="18"/>
          <w:szCs w:val="18"/>
          <w:lang w:val="es-ES_tradnl"/>
        </w:rPr>
        <w:t>á</w:t>
      </w:r>
      <w:r>
        <w:rPr>
          <w:spacing w:val="-8"/>
          <w:sz w:val="18"/>
          <w:szCs w:val="18"/>
          <w:lang w:val="es-ES_tradnl"/>
        </w:rPr>
        <w:t xml:space="preserve"> resolviendo una apelaci</w:t>
      </w:r>
      <w:r>
        <w:rPr>
          <w:rFonts w:cs="Times New Roman"/>
          <w:spacing w:val="-8"/>
          <w:sz w:val="18"/>
          <w:szCs w:val="18"/>
          <w:lang w:val="es-ES_tradnl"/>
        </w:rPr>
        <w:t>ó</w:t>
      </w:r>
      <w:r>
        <w:rPr>
          <w:spacing w:val="-8"/>
          <w:sz w:val="18"/>
          <w:szCs w:val="18"/>
          <w:lang w:val="es-ES_tradnl"/>
        </w:rPr>
        <w:t xml:space="preserve">n al pedido de </w:t>
      </w:r>
      <w:r>
        <w:rPr>
          <w:sz w:val="18"/>
          <w:szCs w:val="18"/>
          <w:lang w:val="es-ES_tradnl"/>
        </w:rPr>
        <w:t>revocatoria de medidas cautelares.</w:t>
      </w:r>
    </w:p>
    <w:p w14:paraId="4F67B1FD" w14:textId="77777777" w:rsidR="00591D54" w:rsidRDefault="00591D54">
      <w:pPr>
        <w:shd w:val="clear" w:color="auto" w:fill="FFFFFF"/>
        <w:spacing w:before="197" w:line="216" w:lineRule="exact"/>
        <w:ind w:right="5"/>
        <w:jc w:val="both"/>
      </w:pPr>
      <w:r>
        <w:rPr>
          <w:spacing w:val="-6"/>
          <w:sz w:val="18"/>
          <w:szCs w:val="18"/>
          <w:lang w:val="es-ES_tradnl"/>
        </w:rPr>
        <w:t xml:space="preserve">El hecho de mencionar en una sentencia normas que se </w:t>
      </w:r>
      <w:r>
        <w:rPr>
          <w:spacing w:val="-10"/>
          <w:sz w:val="18"/>
          <w:szCs w:val="18"/>
          <w:lang w:val="es-ES_tradnl"/>
        </w:rPr>
        <w:t xml:space="preserve">refieran al tema, para el caso concreto medida cautelares, o </w:t>
      </w:r>
      <w:r>
        <w:rPr>
          <w:spacing w:val="-11"/>
          <w:sz w:val="18"/>
          <w:szCs w:val="18"/>
          <w:lang w:val="es-ES_tradnl"/>
        </w:rPr>
        <w:t>que se encuentren dentro del cap</w:t>
      </w:r>
      <w:r>
        <w:rPr>
          <w:rFonts w:cs="Times New Roman"/>
          <w:spacing w:val="-11"/>
          <w:sz w:val="18"/>
          <w:szCs w:val="18"/>
          <w:lang w:val="es-ES_tradnl"/>
        </w:rPr>
        <w:t>í</w:t>
      </w:r>
      <w:r>
        <w:rPr>
          <w:spacing w:val="-11"/>
          <w:sz w:val="18"/>
          <w:szCs w:val="18"/>
          <w:lang w:val="es-ES_tradnl"/>
        </w:rPr>
        <w:t xml:space="preserve">tulo de medidas cautelares </w:t>
      </w:r>
      <w:r>
        <w:rPr>
          <w:spacing w:val="-8"/>
          <w:sz w:val="18"/>
          <w:szCs w:val="18"/>
          <w:lang w:val="es-ES_tradnl"/>
        </w:rPr>
        <w:t>en la Ley Org</w:t>
      </w:r>
      <w:r>
        <w:rPr>
          <w:rFonts w:cs="Times New Roman"/>
          <w:spacing w:val="-8"/>
          <w:sz w:val="18"/>
          <w:szCs w:val="18"/>
          <w:lang w:val="es-ES_tradnl"/>
        </w:rPr>
        <w:t>á</w:t>
      </w:r>
      <w:r>
        <w:rPr>
          <w:spacing w:val="-8"/>
          <w:sz w:val="18"/>
          <w:szCs w:val="18"/>
          <w:lang w:val="es-ES_tradnl"/>
        </w:rPr>
        <w:t>nica de Garant</w:t>
      </w:r>
      <w:r>
        <w:rPr>
          <w:rFonts w:cs="Times New Roman"/>
          <w:spacing w:val="-8"/>
          <w:sz w:val="18"/>
          <w:szCs w:val="18"/>
          <w:lang w:val="es-ES_tradnl"/>
        </w:rPr>
        <w:t>í</w:t>
      </w:r>
      <w:r>
        <w:rPr>
          <w:spacing w:val="-8"/>
          <w:sz w:val="18"/>
          <w:szCs w:val="18"/>
          <w:lang w:val="es-ES_tradnl"/>
        </w:rPr>
        <w:t xml:space="preserve">as Jurisdiccionales y Control </w:t>
      </w:r>
      <w:r>
        <w:rPr>
          <w:sz w:val="18"/>
          <w:szCs w:val="18"/>
          <w:lang w:val="es-ES_tradnl"/>
        </w:rPr>
        <w:t>Constitucional, no implica una debida justificaci</w:t>
      </w:r>
      <w:r>
        <w:rPr>
          <w:rFonts w:cs="Times New Roman"/>
          <w:sz w:val="18"/>
          <w:szCs w:val="18"/>
          <w:lang w:val="es-ES_tradnl"/>
        </w:rPr>
        <w:t>ó</w:t>
      </w:r>
      <w:r>
        <w:rPr>
          <w:sz w:val="18"/>
          <w:szCs w:val="18"/>
          <w:lang w:val="es-ES_tradnl"/>
        </w:rPr>
        <w:t xml:space="preserve">n </w:t>
      </w:r>
      <w:r>
        <w:rPr>
          <w:spacing w:val="-5"/>
          <w:sz w:val="18"/>
          <w:szCs w:val="18"/>
          <w:lang w:val="es-ES_tradnl"/>
        </w:rPr>
        <w:t>o fundamentaci</w:t>
      </w:r>
      <w:r>
        <w:rPr>
          <w:rFonts w:cs="Times New Roman"/>
          <w:spacing w:val="-5"/>
          <w:sz w:val="18"/>
          <w:szCs w:val="18"/>
          <w:lang w:val="es-ES_tradnl"/>
        </w:rPr>
        <w:t>ó</w:t>
      </w:r>
      <w:r>
        <w:rPr>
          <w:spacing w:val="-5"/>
          <w:sz w:val="18"/>
          <w:szCs w:val="18"/>
          <w:lang w:val="es-ES_tradnl"/>
        </w:rPr>
        <w:t xml:space="preserve">n de derecho de dicha sentencia; </w:t>
      </w:r>
      <w:r>
        <w:rPr>
          <w:spacing w:val="-8"/>
          <w:sz w:val="18"/>
          <w:szCs w:val="18"/>
          <w:lang w:val="es-ES_tradnl"/>
        </w:rPr>
        <w:t xml:space="preserve">efectivamente, las disposiciones normativas que se utilizan </w:t>
      </w:r>
      <w:r>
        <w:rPr>
          <w:spacing w:val="-9"/>
          <w:sz w:val="18"/>
          <w:szCs w:val="18"/>
          <w:lang w:val="es-ES_tradnl"/>
        </w:rPr>
        <w:t xml:space="preserve">como fundamento de derecho de la sentencia, deben estar </w:t>
      </w:r>
      <w:r>
        <w:rPr>
          <w:spacing w:val="-10"/>
          <w:sz w:val="18"/>
          <w:szCs w:val="18"/>
          <w:lang w:val="es-ES_tradnl"/>
        </w:rPr>
        <w:t xml:space="preserve">relacionadas tanto con el recurso que se resuelve, como con </w:t>
      </w:r>
      <w:r>
        <w:rPr>
          <w:spacing w:val="-11"/>
          <w:sz w:val="18"/>
          <w:szCs w:val="18"/>
          <w:lang w:val="es-ES_tradnl"/>
        </w:rPr>
        <w:t>la decisi</w:t>
      </w:r>
      <w:r>
        <w:rPr>
          <w:rFonts w:cs="Times New Roman"/>
          <w:spacing w:val="-11"/>
          <w:sz w:val="18"/>
          <w:szCs w:val="18"/>
          <w:lang w:val="es-ES_tradnl"/>
        </w:rPr>
        <w:t>ó</w:t>
      </w:r>
      <w:r>
        <w:rPr>
          <w:spacing w:val="-11"/>
          <w:sz w:val="18"/>
          <w:szCs w:val="18"/>
          <w:lang w:val="es-ES_tradnl"/>
        </w:rPr>
        <w:t xml:space="preserve">n que se propone en dicha sentencia: esto significa </w:t>
      </w:r>
      <w:r>
        <w:rPr>
          <w:sz w:val="18"/>
          <w:szCs w:val="18"/>
          <w:lang w:val="es-ES_tradnl"/>
        </w:rPr>
        <w:t>razonabilidad.</w:t>
      </w:r>
    </w:p>
    <w:p w14:paraId="4F67B1FE" w14:textId="77777777" w:rsidR="00591D54" w:rsidRDefault="00591D54">
      <w:pPr>
        <w:shd w:val="clear" w:color="auto" w:fill="FFFFFF"/>
        <w:spacing w:before="192" w:line="216" w:lineRule="exact"/>
        <w:ind w:right="5"/>
        <w:jc w:val="both"/>
      </w:pPr>
      <w:r>
        <w:rPr>
          <w:spacing w:val="-3"/>
          <w:sz w:val="18"/>
          <w:szCs w:val="18"/>
          <w:lang w:val="es-ES_tradnl"/>
        </w:rPr>
        <w:t xml:space="preserve">Lo que evidencia la Corte Constitucional en el caso </w:t>
      </w:r>
      <w:r>
        <w:rPr>
          <w:spacing w:val="-10"/>
          <w:sz w:val="18"/>
          <w:szCs w:val="18"/>
          <w:lang w:val="es-ES_tradnl"/>
        </w:rPr>
        <w:t>analizado es una simple enunciaci</w:t>
      </w:r>
      <w:r>
        <w:rPr>
          <w:rFonts w:cs="Times New Roman"/>
          <w:spacing w:val="-10"/>
          <w:sz w:val="18"/>
          <w:szCs w:val="18"/>
          <w:lang w:val="es-ES_tradnl"/>
        </w:rPr>
        <w:t>ó</w:t>
      </w:r>
      <w:r>
        <w:rPr>
          <w:spacing w:val="-10"/>
          <w:sz w:val="18"/>
          <w:szCs w:val="18"/>
          <w:lang w:val="es-ES_tradnl"/>
        </w:rPr>
        <w:t xml:space="preserve">n de normas que forman </w:t>
      </w:r>
      <w:r>
        <w:rPr>
          <w:spacing w:val="-7"/>
          <w:sz w:val="18"/>
          <w:szCs w:val="18"/>
          <w:lang w:val="es-ES_tradnl"/>
        </w:rPr>
        <w:t>parte del cap</w:t>
      </w:r>
      <w:r>
        <w:rPr>
          <w:rFonts w:cs="Times New Roman"/>
          <w:spacing w:val="-7"/>
          <w:sz w:val="18"/>
          <w:szCs w:val="18"/>
          <w:lang w:val="es-ES_tradnl"/>
        </w:rPr>
        <w:t>í</w:t>
      </w:r>
      <w:r>
        <w:rPr>
          <w:spacing w:val="-7"/>
          <w:sz w:val="18"/>
          <w:szCs w:val="18"/>
          <w:lang w:val="es-ES_tradnl"/>
        </w:rPr>
        <w:t xml:space="preserve">tulo II que trata sobre medidas cautelares de </w:t>
      </w:r>
      <w:r>
        <w:rPr>
          <w:spacing w:val="-6"/>
          <w:sz w:val="18"/>
          <w:szCs w:val="18"/>
          <w:lang w:val="es-ES_tradnl"/>
        </w:rPr>
        <w:t>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Control </w:t>
      </w:r>
      <w:r>
        <w:rPr>
          <w:spacing w:val="-5"/>
          <w:sz w:val="18"/>
          <w:szCs w:val="18"/>
          <w:lang w:val="es-ES_tradnl"/>
        </w:rPr>
        <w:t xml:space="preserve">Constitucional, pero dichas normas no se relacionan ni </w:t>
      </w:r>
      <w:r>
        <w:rPr>
          <w:spacing w:val="-7"/>
          <w:sz w:val="18"/>
          <w:szCs w:val="18"/>
          <w:lang w:val="es-ES_tradnl"/>
        </w:rPr>
        <w:t>guardan pertinencia con la decisi</w:t>
      </w:r>
      <w:r>
        <w:rPr>
          <w:rFonts w:cs="Times New Roman"/>
          <w:spacing w:val="-7"/>
          <w:sz w:val="18"/>
          <w:szCs w:val="18"/>
          <w:lang w:val="es-ES_tradnl"/>
        </w:rPr>
        <w:t>ó</w:t>
      </w:r>
      <w:r>
        <w:rPr>
          <w:spacing w:val="-7"/>
          <w:sz w:val="18"/>
          <w:szCs w:val="18"/>
          <w:lang w:val="es-ES_tradnl"/>
        </w:rPr>
        <w:t xml:space="preserve">n de la sala respecto de </w:t>
      </w:r>
      <w:r>
        <w:rPr>
          <w:spacing w:val="-6"/>
          <w:sz w:val="18"/>
          <w:szCs w:val="18"/>
          <w:lang w:val="es-ES_tradnl"/>
        </w:rPr>
        <w:t>la confirmaci</w:t>
      </w:r>
      <w:r>
        <w:rPr>
          <w:rFonts w:cs="Times New Roman"/>
          <w:spacing w:val="-6"/>
          <w:sz w:val="18"/>
          <w:szCs w:val="18"/>
          <w:lang w:val="es-ES_tradnl"/>
        </w:rPr>
        <w:t>ó</w:t>
      </w:r>
      <w:r>
        <w:rPr>
          <w:spacing w:val="-6"/>
          <w:sz w:val="18"/>
          <w:szCs w:val="18"/>
          <w:lang w:val="es-ES_tradnl"/>
        </w:rPr>
        <w:t xml:space="preserve">n de las medidas cautelares propuesta por </w:t>
      </w:r>
      <w:r>
        <w:rPr>
          <w:spacing w:val="-7"/>
          <w:sz w:val="18"/>
          <w:szCs w:val="18"/>
          <w:lang w:val="es-ES_tradnl"/>
        </w:rPr>
        <w:t xml:space="preserve">la aseguradora dentro de la revocatoria solicitada por la </w:t>
      </w:r>
      <w:r>
        <w:rPr>
          <w:sz w:val="18"/>
          <w:szCs w:val="18"/>
          <w:lang w:val="es-ES_tradnl"/>
        </w:rPr>
        <w:t>accionante.</w:t>
      </w:r>
    </w:p>
    <w:p w14:paraId="4F67B1FF" w14:textId="77777777" w:rsidR="00591D54" w:rsidRDefault="00591D54">
      <w:pPr>
        <w:shd w:val="clear" w:color="auto" w:fill="FFFFFF"/>
        <w:spacing w:before="192" w:line="216" w:lineRule="exact"/>
        <w:ind w:right="5"/>
        <w:jc w:val="both"/>
      </w:pPr>
      <w:r>
        <w:rPr>
          <w:sz w:val="18"/>
          <w:szCs w:val="18"/>
          <w:lang w:val="es-ES_tradnl"/>
        </w:rPr>
        <w:t>En virtud de lo hasta aqu</w:t>
      </w:r>
      <w:r>
        <w:rPr>
          <w:rFonts w:cs="Times New Roman"/>
          <w:sz w:val="18"/>
          <w:szCs w:val="18"/>
          <w:lang w:val="es-ES_tradnl"/>
        </w:rPr>
        <w:t>í</w:t>
      </w:r>
      <w:r>
        <w:rPr>
          <w:sz w:val="18"/>
          <w:szCs w:val="18"/>
          <w:lang w:val="es-ES_tradnl"/>
        </w:rPr>
        <w:t xml:space="preserve"> se</w:t>
      </w:r>
      <w:r>
        <w:rPr>
          <w:rFonts w:cs="Times New Roman"/>
          <w:sz w:val="18"/>
          <w:szCs w:val="18"/>
          <w:lang w:val="es-ES_tradnl"/>
        </w:rPr>
        <w:t>ñ</w:t>
      </w:r>
      <w:r>
        <w:rPr>
          <w:sz w:val="18"/>
          <w:szCs w:val="18"/>
          <w:lang w:val="es-ES_tradnl"/>
        </w:rPr>
        <w:t xml:space="preserve">alado esta Corte </w:t>
      </w:r>
      <w:r>
        <w:rPr>
          <w:spacing w:val="-5"/>
          <w:sz w:val="18"/>
          <w:szCs w:val="18"/>
          <w:lang w:val="es-ES_tradnl"/>
        </w:rPr>
        <w:t>Constitucional advierte una falta de invocaci</w:t>
      </w:r>
      <w:r>
        <w:rPr>
          <w:rFonts w:cs="Times New Roman"/>
          <w:spacing w:val="-5"/>
          <w:sz w:val="18"/>
          <w:szCs w:val="18"/>
          <w:lang w:val="es-ES_tradnl"/>
        </w:rPr>
        <w:t>ó</w:t>
      </w:r>
      <w:r>
        <w:rPr>
          <w:spacing w:val="-5"/>
          <w:sz w:val="18"/>
          <w:szCs w:val="18"/>
          <w:lang w:val="es-ES_tradnl"/>
        </w:rPr>
        <w:t xml:space="preserve">n en cuanto </w:t>
      </w:r>
      <w:r>
        <w:rPr>
          <w:spacing w:val="-3"/>
          <w:sz w:val="18"/>
          <w:szCs w:val="18"/>
          <w:lang w:val="es-ES_tradnl"/>
        </w:rPr>
        <w:t>a la fundamentaci</w:t>
      </w:r>
      <w:r>
        <w:rPr>
          <w:rFonts w:cs="Times New Roman"/>
          <w:spacing w:val="-3"/>
          <w:sz w:val="18"/>
          <w:szCs w:val="18"/>
          <w:lang w:val="es-ES_tradnl"/>
        </w:rPr>
        <w:t>ó</w:t>
      </w:r>
      <w:r>
        <w:rPr>
          <w:spacing w:val="-3"/>
          <w:sz w:val="18"/>
          <w:szCs w:val="18"/>
          <w:lang w:val="es-ES_tradnl"/>
        </w:rPr>
        <w:t xml:space="preserve">n de derecho pertinente respecto de </w:t>
      </w:r>
      <w:r>
        <w:rPr>
          <w:spacing w:val="-7"/>
          <w:sz w:val="18"/>
          <w:szCs w:val="18"/>
          <w:lang w:val="es-ES_tradnl"/>
        </w:rPr>
        <w:t>la confirmaci</w:t>
      </w:r>
      <w:r>
        <w:rPr>
          <w:rFonts w:cs="Times New Roman"/>
          <w:spacing w:val="-7"/>
          <w:sz w:val="18"/>
          <w:szCs w:val="18"/>
          <w:lang w:val="es-ES_tradnl"/>
        </w:rPr>
        <w:t>ó</w:t>
      </w:r>
      <w:r>
        <w:rPr>
          <w:spacing w:val="-7"/>
          <w:sz w:val="18"/>
          <w:szCs w:val="18"/>
          <w:lang w:val="es-ES_tradnl"/>
        </w:rPr>
        <w:t xml:space="preserve">n de la medida cautelar, hecho que denota </w:t>
      </w:r>
      <w:r>
        <w:rPr>
          <w:sz w:val="18"/>
          <w:szCs w:val="18"/>
          <w:lang w:val="es-ES_tradnl"/>
        </w:rPr>
        <w:t>afectaci</w:t>
      </w:r>
      <w:r>
        <w:rPr>
          <w:rFonts w:cs="Times New Roman"/>
          <w:sz w:val="18"/>
          <w:szCs w:val="18"/>
          <w:lang w:val="es-ES_tradnl"/>
        </w:rPr>
        <w:t>ó</w:t>
      </w:r>
      <w:r>
        <w:rPr>
          <w:sz w:val="18"/>
          <w:szCs w:val="18"/>
          <w:lang w:val="es-ES_tradnl"/>
        </w:rPr>
        <w:t>n al requisito de razonabilidad.</w:t>
      </w:r>
    </w:p>
    <w:p w14:paraId="4F67B200" w14:textId="77777777" w:rsidR="00591D54" w:rsidRDefault="00591D54">
      <w:pPr>
        <w:shd w:val="clear" w:color="auto" w:fill="FFFFFF"/>
        <w:spacing w:before="192"/>
      </w:pPr>
      <w:r>
        <w:rPr>
          <w:b/>
          <w:bCs/>
          <w:spacing w:val="-10"/>
          <w:sz w:val="18"/>
          <w:szCs w:val="18"/>
          <w:lang w:val="es-ES_tradnl"/>
        </w:rPr>
        <w:t>Sobre la l</w:t>
      </w:r>
      <w:r>
        <w:rPr>
          <w:rFonts w:cs="Times New Roman"/>
          <w:b/>
          <w:bCs/>
          <w:spacing w:val="-10"/>
          <w:sz w:val="18"/>
          <w:szCs w:val="18"/>
          <w:lang w:val="es-ES_tradnl"/>
        </w:rPr>
        <w:t>ó</w:t>
      </w:r>
      <w:r>
        <w:rPr>
          <w:b/>
          <w:bCs/>
          <w:spacing w:val="-10"/>
          <w:sz w:val="18"/>
          <w:szCs w:val="18"/>
          <w:lang w:val="es-ES_tradnl"/>
        </w:rPr>
        <w:t>gica</w:t>
      </w:r>
    </w:p>
    <w:p w14:paraId="4F67B201" w14:textId="77777777" w:rsidR="00591D54" w:rsidRDefault="00591D54">
      <w:pPr>
        <w:shd w:val="clear" w:color="auto" w:fill="FFFFFF"/>
        <w:spacing w:before="192" w:line="216" w:lineRule="exact"/>
        <w:ind w:right="5"/>
        <w:jc w:val="both"/>
      </w:pPr>
      <w:r>
        <w:rPr>
          <w:spacing w:val="-5"/>
          <w:sz w:val="18"/>
          <w:szCs w:val="18"/>
          <w:lang w:val="es-ES_tradnl"/>
        </w:rPr>
        <w:t>El requisito de la l</w:t>
      </w:r>
      <w:r>
        <w:rPr>
          <w:rFonts w:cs="Times New Roman"/>
          <w:spacing w:val="-5"/>
          <w:sz w:val="18"/>
          <w:szCs w:val="18"/>
          <w:lang w:val="es-ES_tradnl"/>
        </w:rPr>
        <w:t>ó</w:t>
      </w:r>
      <w:r>
        <w:rPr>
          <w:spacing w:val="-5"/>
          <w:sz w:val="18"/>
          <w:szCs w:val="18"/>
          <w:lang w:val="es-ES_tradnl"/>
        </w:rPr>
        <w:t xml:space="preserve">gica exige que las premisas tanto </w:t>
      </w:r>
      <w:r>
        <w:rPr>
          <w:spacing w:val="-2"/>
          <w:sz w:val="18"/>
          <w:szCs w:val="18"/>
          <w:lang w:val="es-ES_tradnl"/>
        </w:rPr>
        <w:t>normativas y f</w:t>
      </w:r>
      <w:r>
        <w:rPr>
          <w:rFonts w:cs="Times New Roman"/>
          <w:spacing w:val="-2"/>
          <w:sz w:val="18"/>
          <w:szCs w:val="18"/>
          <w:lang w:val="es-ES_tradnl"/>
        </w:rPr>
        <w:t>á</w:t>
      </w:r>
      <w:r>
        <w:rPr>
          <w:spacing w:val="-2"/>
          <w:sz w:val="18"/>
          <w:szCs w:val="18"/>
          <w:lang w:val="es-ES_tradnl"/>
        </w:rPr>
        <w:t xml:space="preserve">cticas deban guardar coherencia y </w:t>
      </w:r>
      <w:r>
        <w:rPr>
          <w:spacing w:val="-7"/>
          <w:sz w:val="18"/>
          <w:szCs w:val="18"/>
          <w:lang w:val="es-ES_tradnl"/>
        </w:rPr>
        <w:t>consistencia con la decisi</w:t>
      </w:r>
      <w:r>
        <w:rPr>
          <w:rFonts w:cs="Times New Roman"/>
          <w:spacing w:val="-7"/>
          <w:sz w:val="18"/>
          <w:szCs w:val="18"/>
          <w:lang w:val="es-ES_tradnl"/>
        </w:rPr>
        <w:t>ó</w:t>
      </w:r>
      <w:r>
        <w:rPr>
          <w:spacing w:val="-7"/>
          <w:sz w:val="18"/>
          <w:szCs w:val="18"/>
          <w:lang w:val="es-ES_tradnl"/>
        </w:rPr>
        <w:t>n tomada por la judicatura; as</w:t>
      </w:r>
      <w:r>
        <w:rPr>
          <w:rFonts w:cs="Times New Roman"/>
          <w:spacing w:val="-7"/>
          <w:sz w:val="18"/>
          <w:szCs w:val="18"/>
          <w:lang w:val="es-ES_tradnl"/>
        </w:rPr>
        <w:t xml:space="preserve">í </w:t>
      </w:r>
      <w:r>
        <w:rPr>
          <w:spacing w:val="-9"/>
          <w:sz w:val="18"/>
          <w:szCs w:val="18"/>
          <w:lang w:val="es-ES_tradnl"/>
        </w:rPr>
        <w:t xml:space="preserve">puede observarse que mediante la sentencia constitucional </w:t>
      </w:r>
      <w:r>
        <w:rPr>
          <w:spacing w:val="-7"/>
          <w:sz w:val="18"/>
          <w:szCs w:val="18"/>
          <w:lang w:val="es-ES_tradnl"/>
        </w:rPr>
        <w:t>N.</w:t>
      </w:r>
      <w:r>
        <w:rPr>
          <w:rFonts w:cs="Times New Roman"/>
          <w:spacing w:val="-7"/>
          <w:sz w:val="18"/>
          <w:szCs w:val="18"/>
          <w:lang w:val="es-ES_tradnl"/>
        </w:rPr>
        <w:t>°</w:t>
      </w:r>
      <w:r>
        <w:rPr>
          <w:spacing w:val="-7"/>
          <w:sz w:val="18"/>
          <w:szCs w:val="18"/>
          <w:lang w:val="es-ES_tradnl"/>
        </w:rPr>
        <w:t xml:space="preserve"> 123-13-SEP-CC respecto de este elemento, la Corte </w:t>
      </w:r>
      <w:r>
        <w:rPr>
          <w:sz w:val="18"/>
          <w:szCs w:val="18"/>
          <w:lang w:val="es-ES_tradnl"/>
        </w:rPr>
        <w:t>Constitucional se</w:t>
      </w:r>
      <w:r>
        <w:rPr>
          <w:rFonts w:cs="Times New Roman"/>
          <w:sz w:val="18"/>
          <w:szCs w:val="18"/>
          <w:lang w:val="es-ES_tradnl"/>
        </w:rPr>
        <w:t>ñ</w:t>
      </w:r>
      <w:r>
        <w:rPr>
          <w:sz w:val="18"/>
          <w:szCs w:val="18"/>
          <w:lang w:val="es-ES_tradnl"/>
        </w:rPr>
        <w:t>al</w:t>
      </w:r>
      <w:r>
        <w:rPr>
          <w:rFonts w:cs="Times New Roman"/>
          <w:sz w:val="18"/>
          <w:szCs w:val="18"/>
          <w:lang w:val="es-ES_tradnl"/>
        </w:rPr>
        <w:t>ó</w:t>
      </w:r>
      <w:r>
        <w:rPr>
          <w:sz w:val="18"/>
          <w:szCs w:val="18"/>
          <w:lang w:val="es-ES_tradnl"/>
        </w:rPr>
        <w:t xml:space="preserve"> lo siguiente:</w:t>
      </w:r>
    </w:p>
    <w:p w14:paraId="4F67B202" w14:textId="77777777" w:rsidR="00591D54" w:rsidRDefault="00591D54">
      <w:pPr>
        <w:shd w:val="clear" w:color="auto" w:fill="FFFFFF"/>
        <w:spacing w:before="206" w:line="216" w:lineRule="exact"/>
        <w:ind w:left="283" w:right="5"/>
        <w:jc w:val="both"/>
      </w:pPr>
      <w:r>
        <w:rPr>
          <w:spacing w:val="-8"/>
          <w:sz w:val="16"/>
          <w:szCs w:val="16"/>
          <w:lang w:val="es-ES_tradnl"/>
        </w:rPr>
        <w:t>En cuanto al requisito de la l</w:t>
      </w:r>
      <w:r>
        <w:rPr>
          <w:rFonts w:cs="Times New Roman"/>
          <w:spacing w:val="-8"/>
          <w:sz w:val="16"/>
          <w:szCs w:val="16"/>
          <w:lang w:val="es-ES_tradnl"/>
        </w:rPr>
        <w:t>ó</w:t>
      </w:r>
      <w:r>
        <w:rPr>
          <w:spacing w:val="-8"/>
          <w:sz w:val="16"/>
          <w:szCs w:val="16"/>
          <w:lang w:val="es-ES_tradnl"/>
        </w:rPr>
        <w:t xml:space="preserve">gica, la Corte Constitucional tiene </w:t>
      </w:r>
      <w:r>
        <w:rPr>
          <w:spacing w:val="-7"/>
          <w:sz w:val="16"/>
          <w:szCs w:val="16"/>
          <w:lang w:val="es-ES_tradnl"/>
        </w:rPr>
        <w:t>a bien considerar que este elemento tiene relaci</w:t>
      </w:r>
      <w:r>
        <w:rPr>
          <w:rFonts w:cs="Times New Roman"/>
          <w:spacing w:val="-7"/>
          <w:sz w:val="16"/>
          <w:szCs w:val="16"/>
          <w:lang w:val="es-ES_tradnl"/>
        </w:rPr>
        <w:t>ó</w:t>
      </w:r>
      <w:r>
        <w:rPr>
          <w:spacing w:val="-7"/>
          <w:sz w:val="16"/>
          <w:szCs w:val="16"/>
          <w:lang w:val="es-ES_tradnl"/>
        </w:rPr>
        <w:t xml:space="preserve">n directa con </w:t>
      </w:r>
      <w:r>
        <w:rPr>
          <w:spacing w:val="-10"/>
          <w:sz w:val="16"/>
          <w:szCs w:val="16"/>
          <w:lang w:val="es-ES_tradnl"/>
        </w:rPr>
        <w:t xml:space="preserve">la coherencia de los elementos ordenados y concatenados que </w:t>
      </w:r>
      <w:r>
        <w:rPr>
          <w:spacing w:val="-8"/>
          <w:sz w:val="16"/>
          <w:szCs w:val="16"/>
          <w:lang w:val="es-ES_tradnl"/>
        </w:rPr>
        <w:t xml:space="preserve">permiten construir un juicio de valor en el juzgador al momento </w:t>
      </w:r>
      <w:r>
        <w:rPr>
          <w:spacing w:val="-7"/>
          <w:sz w:val="16"/>
          <w:szCs w:val="16"/>
          <w:lang w:val="es-ES_tradnl"/>
        </w:rPr>
        <w:t>de emitir una resoluci</w:t>
      </w:r>
      <w:r>
        <w:rPr>
          <w:rFonts w:cs="Times New Roman"/>
          <w:spacing w:val="-7"/>
          <w:sz w:val="16"/>
          <w:szCs w:val="16"/>
          <w:lang w:val="es-ES_tradnl"/>
        </w:rPr>
        <w:t>ó</w:t>
      </w:r>
      <w:r>
        <w:rPr>
          <w:spacing w:val="-7"/>
          <w:sz w:val="16"/>
          <w:szCs w:val="16"/>
          <w:lang w:val="es-ES_tradnl"/>
        </w:rPr>
        <w:t xml:space="preserve">n. Este elemento debe erigirse sobre la </w:t>
      </w:r>
      <w:r>
        <w:rPr>
          <w:spacing w:val="-6"/>
          <w:sz w:val="16"/>
          <w:szCs w:val="16"/>
          <w:lang w:val="es-ES_tradnl"/>
        </w:rPr>
        <w:t>base de los hechos puestos a consideraci</w:t>
      </w:r>
      <w:r>
        <w:rPr>
          <w:rFonts w:cs="Times New Roman"/>
          <w:spacing w:val="-6"/>
          <w:sz w:val="16"/>
          <w:szCs w:val="16"/>
          <w:lang w:val="es-ES_tradnl"/>
        </w:rPr>
        <w:t>ó</w:t>
      </w:r>
      <w:r>
        <w:rPr>
          <w:spacing w:val="-6"/>
          <w:sz w:val="16"/>
          <w:szCs w:val="16"/>
          <w:lang w:val="es-ES_tradnl"/>
        </w:rPr>
        <w:t>n del juzgador, de</w:t>
      </w:r>
    </w:p>
    <w:p w14:paraId="4F67B203" w14:textId="77777777" w:rsidR="00591D54" w:rsidRDefault="00591D54">
      <w:pPr>
        <w:shd w:val="clear" w:color="auto" w:fill="FFFFFF"/>
        <w:spacing w:line="211" w:lineRule="exact"/>
        <w:ind w:left="283"/>
        <w:jc w:val="both"/>
      </w:pPr>
      <w:r>
        <w:br w:type="column"/>
      </w:r>
      <w:r>
        <w:rPr>
          <w:spacing w:val="-7"/>
          <w:sz w:val="16"/>
          <w:szCs w:val="16"/>
          <w:lang w:val="es-ES_tradnl"/>
        </w:rPr>
        <w:t>modo que mediante la recurrencia a las fuentes del derecho aplicables al caso, se obtenga de este la promulgaci</w:t>
      </w:r>
      <w:r>
        <w:rPr>
          <w:rFonts w:cs="Times New Roman"/>
          <w:spacing w:val="-7"/>
          <w:sz w:val="16"/>
          <w:szCs w:val="16"/>
          <w:lang w:val="es-ES_tradnl"/>
        </w:rPr>
        <w:t>ó</w:t>
      </w:r>
      <w:r>
        <w:rPr>
          <w:spacing w:val="-7"/>
          <w:sz w:val="16"/>
          <w:szCs w:val="16"/>
          <w:lang w:val="es-ES_tradnl"/>
        </w:rPr>
        <w:t xml:space="preserve">n de un </w:t>
      </w:r>
      <w:r>
        <w:rPr>
          <w:spacing w:val="-5"/>
          <w:sz w:val="16"/>
          <w:szCs w:val="16"/>
          <w:lang w:val="es-ES_tradnl"/>
        </w:rPr>
        <w:t>criterio jur</w:t>
      </w:r>
      <w:r>
        <w:rPr>
          <w:rFonts w:cs="Times New Roman"/>
          <w:spacing w:val="-5"/>
          <w:sz w:val="16"/>
          <w:szCs w:val="16"/>
          <w:lang w:val="es-ES_tradnl"/>
        </w:rPr>
        <w:t>í</w:t>
      </w:r>
      <w:r>
        <w:rPr>
          <w:spacing w:val="-5"/>
          <w:sz w:val="16"/>
          <w:szCs w:val="16"/>
          <w:lang w:val="es-ES_tradnl"/>
        </w:rPr>
        <w:t xml:space="preserve">dico que integre aquellas fuentes con el producto </w:t>
      </w:r>
      <w:r>
        <w:rPr>
          <w:spacing w:val="-10"/>
          <w:sz w:val="16"/>
          <w:szCs w:val="16"/>
          <w:lang w:val="es-ES_tradnl"/>
        </w:rPr>
        <w:t>de su conocimiento y experiencia acumulados durante su vida</w:t>
      </w:r>
      <w:r>
        <w:rPr>
          <w:spacing w:val="-10"/>
          <w:sz w:val="16"/>
          <w:szCs w:val="16"/>
          <w:vertAlign w:val="superscript"/>
          <w:lang w:val="es-ES_tradnl"/>
        </w:rPr>
        <w:t>2.</w:t>
      </w:r>
    </w:p>
    <w:p w14:paraId="4F67B204" w14:textId="77777777" w:rsidR="00591D54" w:rsidRDefault="00591D54">
      <w:pPr>
        <w:shd w:val="clear" w:color="auto" w:fill="FFFFFF"/>
        <w:spacing w:before="202" w:line="216" w:lineRule="exact"/>
        <w:jc w:val="both"/>
      </w:pPr>
      <w:r>
        <w:rPr>
          <w:spacing w:val="-2"/>
          <w:sz w:val="18"/>
          <w:szCs w:val="18"/>
          <w:lang w:val="es-ES_tradnl"/>
        </w:rPr>
        <w:t xml:space="preserve">Sobre esta base es preciso determinar el contenido de </w:t>
      </w:r>
      <w:r>
        <w:rPr>
          <w:spacing w:val="-9"/>
          <w:sz w:val="18"/>
          <w:szCs w:val="18"/>
          <w:lang w:val="es-ES_tradnl"/>
        </w:rPr>
        <w:t>la sentencia analizada, que est</w:t>
      </w:r>
      <w:r>
        <w:rPr>
          <w:rFonts w:cs="Times New Roman"/>
          <w:spacing w:val="-9"/>
          <w:sz w:val="18"/>
          <w:szCs w:val="18"/>
          <w:lang w:val="es-ES_tradnl"/>
        </w:rPr>
        <w:t>á</w:t>
      </w:r>
      <w:r>
        <w:rPr>
          <w:spacing w:val="-9"/>
          <w:sz w:val="18"/>
          <w:szCs w:val="18"/>
          <w:lang w:val="es-ES_tradnl"/>
        </w:rPr>
        <w:t xml:space="preserve"> compuesta por ocho </w:t>
      </w:r>
      <w:r>
        <w:rPr>
          <w:sz w:val="18"/>
          <w:szCs w:val="18"/>
          <w:lang w:val="es-ES_tradnl"/>
        </w:rPr>
        <w:t>considerandos.</w:t>
      </w:r>
    </w:p>
    <w:p w14:paraId="4F67B205" w14:textId="77777777" w:rsidR="00591D54" w:rsidRDefault="00591D54">
      <w:pPr>
        <w:shd w:val="clear" w:color="auto" w:fill="FFFFFF"/>
        <w:spacing w:before="197" w:line="216" w:lineRule="exact"/>
        <w:jc w:val="both"/>
      </w:pPr>
      <w:r>
        <w:rPr>
          <w:spacing w:val="-10"/>
          <w:sz w:val="18"/>
          <w:szCs w:val="18"/>
          <w:lang w:val="es-ES_tradnl"/>
        </w:rPr>
        <w:t xml:space="preserve">En el primer considerando la sala establece su competencia </w:t>
      </w:r>
      <w:r>
        <w:rPr>
          <w:spacing w:val="-8"/>
          <w:sz w:val="18"/>
          <w:szCs w:val="18"/>
          <w:lang w:val="es-ES_tradnl"/>
        </w:rPr>
        <w:t>para conocer y resolver el recurso de apelaci</w:t>
      </w:r>
      <w:r>
        <w:rPr>
          <w:rFonts w:cs="Times New Roman"/>
          <w:spacing w:val="-8"/>
          <w:sz w:val="18"/>
          <w:szCs w:val="18"/>
          <w:lang w:val="es-ES_tradnl"/>
        </w:rPr>
        <w:t>ó</w:t>
      </w:r>
      <w:r>
        <w:rPr>
          <w:spacing w:val="-8"/>
          <w:sz w:val="18"/>
          <w:szCs w:val="18"/>
          <w:lang w:val="es-ES_tradnl"/>
        </w:rPr>
        <w:t xml:space="preserve">n propuesto </w:t>
      </w:r>
      <w:r>
        <w:rPr>
          <w:spacing w:val="-12"/>
          <w:sz w:val="18"/>
          <w:szCs w:val="18"/>
          <w:lang w:val="es-ES_tradnl"/>
        </w:rPr>
        <w:t>por la Superintendencia de Bancos y Seguros; luego, a trav</w:t>
      </w:r>
      <w:r>
        <w:rPr>
          <w:rFonts w:cs="Times New Roman"/>
          <w:spacing w:val="-12"/>
          <w:sz w:val="18"/>
          <w:szCs w:val="18"/>
          <w:lang w:val="es-ES_tradnl"/>
        </w:rPr>
        <w:t>é</w:t>
      </w:r>
      <w:r>
        <w:rPr>
          <w:spacing w:val="-12"/>
          <w:sz w:val="18"/>
          <w:szCs w:val="18"/>
          <w:lang w:val="es-ES_tradnl"/>
        </w:rPr>
        <w:t xml:space="preserve">s </w:t>
      </w:r>
      <w:r>
        <w:rPr>
          <w:spacing w:val="-8"/>
          <w:sz w:val="18"/>
          <w:szCs w:val="18"/>
          <w:lang w:val="es-ES_tradnl"/>
        </w:rPr>
        <w:t xml:space="preserve">del segundo considerando de la sentencia demandada, la sala declara la validez del proceso porque no se ha omitido </w:t>
      </w:r>
      <w:r>
        <w:rPr>
          <w:spacing w:val="-9"/>
          <w:sz w:val="18"/>
          <w:szCs w:val="18"/>
          <w:lang w:val="es-ES_tradnl"/>
        </w:rPr>
        <w:t>ninguna solemnidad sustancial en el proceso de la causa.</w:t>
      </w:r>
    </w:p>
    <w:p w14:paraId="4F67B206" w14:textId="77777777" w:rsidR="00591D54" w:rsidRDefault="00591D54">
      <w:pPr>
        <w:shd w:val="clear" w:color="auto" w:fill="FFFFFF"/>
        <w:spacing w:before="197" w:line="216" w:lineRule="exact"/>
        <w:jc w:val="both"/>
      </w:pPr>
      <w:r>
        <w:rPr>
          <w:spacing w:val="-6"/>
          <w:sz w:val="18"/>
          <w:szCs w:val="18"/>
          <w:lang w:val="es-ES_tradnl"/>
        </w:rPr>
        <w:t xml:space="preserve">En el tercer considerando, la sala relata los hechos que </w:t>
      </w:r>
      <w:r>
        <w:rPr>
          <w:spacing w:val="-5"/>
          <w:sz w:val="18"/>
          <w:szCs w:val="18"/>
          <w:lang w:val="es-ES_tradnl"/>
        </w:rPr>
        <w:t>dieron origen a la presentaci</w:t>
      </w:r>
      <w:r>
        <w:rPr>
          <w:rFonts w:cs="Times New Roman"/>
          <w:spacing w:val="-5"/>
          <w:sz w:val="18"/>
          <w:szCs w:val="18"/>
          <w:lang w:val="es-ES_tradnl"/>
        </w:rPr>
        <w:t>ó</w:t>
      </w:r>
      <w:r>
        <w:rPr>
          <w:spacing w:val="-5"/>
          <w:sz w:val="18"/>
          <w:szCs w:val="18"/>
          <w:lang w:val="es-ES_tradnl"/>
        </w:rPr>
        <w:t xml:space="preserve">n de la medida cautelar a </w:t>
      </w:r>
      <w:r>
        <w:rPr>
          <w:spacing w:val="-6"/>
          <w:sz w:val="18"/>
          <w:szCs w:val="18"/>
          <w:lang w:val="es-ES_tradnl"/>
        </w:rPr>
        <w:t>partir de la exposici</w:t>
      </w:r>
      <w:r>
        <w:rPr>
          <w:rFonts w:cs="Times New Roman"/>
          <w:spacing w:val="-6"/>
          <w:sz w:val="18"/>
          <w:szCs w:val="18"/>
          <w:lang w:val="es-ES_tradnl"/>
        </w:rPr>
        <w:t>ó</w:t>
      </w:r>
      <w:r>
        <w:rPr>
          <w:spacing w:val="-6"/>
          <w:sz w:val="18"/>
          <w:szCs w:val="18"/>
          <w:lang w:val="es-ES_tradnl"/>
        </w:rPr>
        <w:t>n otorgada por la compa</w:t>
      </w:r>
      <w:r>
        <w:rPr>
          <w:rFonts w:cs="Times New Roman"/>
          <w:spacing w:val="-6"/>
          <w:sz w:val="18"/>
          <w:szCs w:val="18"/>
          <w:lang w:val="es-ES_tradnl"/>
        </w:rPr>
        <w:t>ñí</w:t>
      </w:r>
      <w:r>
        <w:rPr>
          <w:spacing w:val="-6"/>
          <w:sz w:val="18"/>
          <w:szCs w:val="18"/>
          <w:lang w:val="es-ES_tradnl"/>
        </w:rPr>
        <w:t xml:space="preserve">a Hispana </w:t>
      </w:r>
      <w:r>
        <w:rPr>
          <w:sz w:val="18"/>
          <w:szCs w:val="18"/>
          <w:lang w:val="es-ES_tradnl"/>
        </w:rPr>
        <w:t>de Seguros S. A.</w:t>
      </w:r>
    </w:p>
    <w:p w14:paraId="4F67B207" w14:textId="77777777" w:rsidR="00591D54" w:rsidRDefault="00591D54">
      <w:pPr>
        <w:shd w:val="clear" w:color="auto" w:fill="FFFFFF"/>
        <w:spacing w:before="192" w:line="216" w:lineRule="exact"/>
        <w:jc w:val="both"/>
      </w:pPr>
      <w:r>
        <w:rPr>
          <w:spacing w:val="-7"/>
          <w:sz w:val="18"/>
          <w:szCs w:val="18"/>
          <w:lang w:val="es-ES_tradnl"/>
        </w:rPr>
        <w:t>En el cuarto considerando de la sentencia en menci</w:t>
      </w:r>
      <w:r>
        <w:rPr>
          <w:rFonts w:cs="Times New Roman"/>
          <w:spacing w:val="-7"/>
          <w:sz w:val="18"/>
          <w:szCs w:val="18"/>
          <w:lang w:val="es-ES_tradnl"/>
        </w:rPr>
        <w:t>ó</w:t>
      </w:r>
      <w:r>
        <w:rPr>
          <w:spacing w:val="-7"/>
          <w:sz w:val="18"/>
          <w:szCs w:val="18"/>
          <w:lang w:val="es-ES_tradnl"/>
        </w:rPr>
        <w:t xml:space="preserve">n se </w:t>
      </w:r>
      <w:r>
        <w:rPr>
          <w:spacing w:val="-8"/>
          <w:sz w:val="18"/>
          <w:szCs w:val="18"/>
          <w:lang w:val="es-ES_tradnl"/>
        </w:rPr>
        <w:t>hace referencia al contenido de la resoluci</w:t>
      </w:r>
      <w:r>
        <w:rPr>
          <w:rFonts w:cs="Times New Roman"/>
          <w:spacing w:val="-8"/>
          <w:sz w:val="18"/>
          <w:szCs w:val="18"/>
          <w:lang w:val="es-ES_tradnl"/>
        </w:rPr>
        <w:t>ó</w:t>
      </w:r>
      <w:r>
        <w:rPr>
          <w:spacing w:val="-8"/>
          <w:sz w:val="18"/>
          <w:szCs w:val="18"/>
          <w:lang w:val="es-ES_tradnl"/>
        </w:rPr>
        <w:t xml:space="preserve">n emitida por el </w:t>
      </w:r>
      <w:r>
        <w:rPr>
          <w:spacing w:val="-10"/>
          <w:sz w:val="18"/>
          <w:szCs w:val="18"/>
          <w:lang w:val="es-ES_tradnl"/>
        </w:rPr>
        <w:t xml:space="preserve">juez </w:t>
      </w:r>
      <w:r>
        <w:rPr>
          <w:i/>
          <w:iCs/>
          <w:spacing w:val="-10"/>
          <w:sz w:val="18"/>
          <w:szCs w:val="18"/>
          <w:lang w:val="es-ES_tradnl"/>
        </w:rPr>
        <w:t>a quo</w:t>
      </w:r>
      <w:r>
        <w:rPr>
          <w:spacing w:val="-10"/>
          <w:sz w:val="18"/>
          <w:szCs w:val="18"/>
          <w:lang w:val="es-ES_tradnl"/>
        </w:rPr>
        <w:t xml:space="preserve">, enfatizando los siguientes puntos como sustento </w:t>
      </w:r>
      <w:r>
        <w:rPr>
          <w:sz w:val="18"/>
          <w:szCs w:val="18"/>
          <w:lang w:val="es-ES_tradnl"/>
        </w:rPr>
        <w:t>de la resoluci</w:t>
      </w:r>
      <w:r>
        <w:rPr>
          <w:rFonts w:cs="Times New Roman"/>
          <w:sz w:val="18"/>
          <w:szCs w:val="18"/>
          <w:lang w:val="es-ES_tradnl"/>
        </w:rPr>
        <w:t>ó</w:t>
      </w:r>
      <w:r>
        <w:rPr>
          <w:sz w:val="18"/>
          <w:szCs w:val="18"/>
          <w:lang w:val="es-ES_tradnl"/>
        </w:rPr>
        <w:t>n:</w:t>
      </w:r>
    </w:p>
    <w:p w14:paraId="4F67B208" w14:textId="77777777" w:rsidR="00591D54" w:rsidRDefault="00591D54" w:rsidP="00251195">
      <w:pPr>
        <w:numPr>
          <w:ilvl w:val="0"/>
          <w:numId w:val="87"/>
        </w:numPr>
        <w:shd w:val="clear" w:color="auto" w:fill="FFFFFF"/>
        <w:tabs>
          <w:tab w:val="left" w:pos="566"/>
        </w:tabs>
        <w:spacing w:before="192" w:line="216" w:lineRule="exact"/>
        <w:ind w:left="566" w:hanging="283"/>
        <w:jc w:val="both"/>
        <w:rPr>
          <w:spacing w:val="-9"/>
          <w:sz w:val="18"/>
          <w:szCs w:val="18"/>
          <w:lang w:val="es-ES_tradnl"/>
        </w:rPr>
      </w:pPr>
      <w:r>
        <w:rPr>
          <w:spacing w:val="-6"/>
          <w:sz w:val="18"/>
          <w:szCs w:val="18"/>
          <w:lang w:val="es-ES_tradnl"/>
        </w:rPr>
        <w:t xml:space="preserve">La medida cautelar tiene por objeto evitar una </w:t>
      </w:r>
      <w:r>
        <w:rPr>
          <w:spacing w:val="-7"/>
          <w:sz w:val="18"/>
          <w:szCs w:val="18"/>
          <w:lang w:val="es-ES_tradnl"/>
        </w:rPr>
        <w:t>vulneraci</w:t>
      </w:r>
      <w:r>
        <w:rPr>
          <w:rFonts w:cs="Times New Roman"/>
          <w:spacing w:val="-7"/>
          <w:sz w:val="18"/>
          <w:szCs w:val="18"/>
          <w:lang w:val="es-ES_tradnl"/>
        </w:rPr>
        <w:t>ó</w:t>
      </w:r>
      <w:r>
        <w:rPr>
          <w:spacing w:val="-7"/>
          <w:sz w:val="18"/>
          <w:szCs w:val="18"/>
          <w:lang w:val="es-ES_tradnl"/>
        </w:rPr>
        <w:t>n al derecho a la propiedad.</w:t>
      </w:r>
    </w:p>
    <w:p w14:paraId="4F67B209" w14:textId="77777777" w:rsidR="00591D54" w:rsidRDefault="00591D54" w:rsidP="00251195">
      <w:pPr>
        <w:numPr>
          <w:ilvl w:val="0"/>
          <w:numId w:val="87"/>
        </w:numPr>
        <w:shd w:val="clear" w:color="auto" w:fill="FFFFFF"/>
        <w:tabs>
          <w:tab w:val="left" w:pos="566"/>
        </w:tabs>
        <w:spacing w:line="216" w:lineRule="exact"/>
        <w:ind w:left="566" w:hanging="283"/>
        <w:jc w:val="both"/>
        <w:rPr>
          <w:spacing w:val="-9"/>
          <w:sz w:val="18"/>
          <w:szCs w:val="18"/>
          <w:lang w:val="es-ES_tradnl"/>
        </w:rPr>
      </w:pPr>
      <w:r>
        <w:rPr>
          <w:spacing w:val="-5"/>
          <w:sz w:val="18"/>
          <w:szCs w:val="18"/>
          <w:lang w:val="es-ES_tradnl"/>
        </w:rPr>
        <w:t>Conforme el art</w:t>
      </w:r>
      <w:r>
        <w:rPr>
          <w:rFonts w:cs="Times New Roman"/>
          <w:spacing w:val="-5"/>
          <w:sz w:val="18"/>
          <w:szCs w:val="18"/>
          <w:lang w:val="es-ES_tradnl"/>
        </w:rPr>
        <w:t>í</w:t>
      </w:r>
      <w:r>
        <w:rPr>
          <w:spacing w:val="-5"/>
          <w:sz w:val="18"/>
          <w:szCs w:val="18"/>
          <w:lang w:val="es-ES_tradnl"/>
        </w:rPr>
        <w:t>culo 28 de la Ley Org</w:t>
      </w:r>
      <w:r>
        <w:rPr>
          <w:rFonts w:cs="Times New Roman"/>
          <w:spacing w:val="-5"/>
          <w:sz w:val="18"/>
          <w:szCs w:val="18"/>
          <w:lang w:val="es-ES_tradnl"/>
        </w:rPr>
        <w:t>á</w:t>
      </w:r>
      <w:r>
        <w:rPr>
          <w:spacing w:val="-5"/>
          <w:sz w:val="18"/>
          <w:szCs w:val="18"/>
          <w:lang w:val="es-ES_tradnl"/>
        </w:rPr>
        <w:t xml:space="preserve">nica de </w:t>
      </w:r>
      <w:r>
        <w:rPr>
          <w:spacing w:val="-8"/>
          <w:sz w:val="18"/>
          <w:szCs w:val="18"/>
          <w:lang w:val="es-ES_tradnl"/>
        </w:rPr>
        <w:t>Garant</w:t>
      </w:r>
      <w:r>
        <w:rPr>
          <w:rFonts w:cs="Times New Roman"/>
          <w:spacing w:val="-8"/>
          <w:sz w:val="18"/>
          <w:szCs w:val="18"/>
          <w:lang w:val="es-ES_tradnl"/>
        </w:rPr>
        <w:t>í</w:t>
      </w:r>
      <w:r>
        <w:rPr>
          <w:spacing w:val="-8"/>
          <w:sz w:val="18"/>
          <w:szCs w:val="18"/>
          <w:lang w:val="es-ES_tradnl"/>
        </w:rPr>
        <w:t xml:space="preserve">as Jurisdiccionales y Control Constitucional, </w:t>
      </w:r>
      <w:r>
        <w:rPr>
          <w:spacing w:val="-7"/>
          <w:sz w:val="18"/>
          <w:szCs w:val="18"/>
          <w:lang w:val="es-ES_tradnl"/>
        </w:rPr>
        <w:t xml:space="preserve">el juez </w:t>
      </w:r>
      <w:r>
        <w:rPr>
          <w:i/>
          <w:iCs/>
          <w:spacing w:val="-7"/>
          <w:sz w:val="18"/>
          <w:szCs w:val="18"/>
          <w:lang w:val="es-ES_tradnl"/>
        </w:rPr>
        <w:t xml:space="preserve">a quo </w:t>
      </w:r>
      <w:r>
        <w:rPr>
          <w:spacing w:val="-7"/>
          <w:sz w:val="18"/>
          <w:szCs w:val="18"/>
          <w:lang w:val="es-ES_tradnl"/>
        </w:rPr>
        <w:t xml:space="preserve">no se pronuncia sobre el fondo sino </w:t>
      </w:r>
      <w:r>
        <w:rPr>
          <w:spacing w:val="-9"/>
          <w:sz w:val="18"/>
          <w:szCs w:val="18"/>
          <w:lang w:val="es-ES_tradnl"/>
        </w:rPr>
        <w:t>sobre la apariencia de un buen derecho.</w:t>
      </w:r>
    </w:p>
    <w:p w14:paraId="4F67B20A" w14:textId="77777777" w:rsidR="00591D54" w:rsidRDefault="00591D54" w:rsidP="00251195">
      <w:pPr>
        <w:numPr>
          <w:ilvl w:val="0"/>
          <w:numId w:val="87"/>
        </w:numPr>
        <w:shd w:val="clear" w:color="auto" w:fill="FFFFFF"/>
        <w:tabs>
          <w:tab w:val="left" w:pos="566"/>
        </w:tabs>
        <w:spacing w:line="216" w:lineRule="exact"/>
        <w:ind w:left="566" w:hanging="283"/>
        <w:jc w:val="both"/>
        <w:rPr>
          <w:spacing w:val="-9"/>
          <w:sz w:val="18"/>
          <w:szCs w:val="18"/>
          <w:lang w:val="es-ES_tradnl"/>
        </w:rPr>
      </w:pPr>
      <w:r>
        <w:rPr>
          <w:spacing w:val="-6"/>
          <w:sz w:val="18"/>
          <w:szCs w:val="18"/>
          <w:lang w:val="es-ES_tradnl"/>
        </w:rPr>
        <w:t xml:space="preserve">A criterio del juez </w:t>
      </w:r>
      <w:r>
        <w:rPr>
          <w:i/>
          <w:iCs/>
          <w:spacing w:val="-6"/>
          <w:sz w:val="18"/>
          <w:szCs w:val="18"/>
          <w:lang w:val="es-ES_tradnl"/>
        </w:rPr>
        <w:t>a quo</w:t>
      </w:r>
      <w:r>
        <w:rPr>
          <w:spacing w:val="-6"/>
          <w:sz w:val="18"/>
          <w:szCs w:val="18"/>
          <w:lang w:val="es-ES_tradnl"/>
        </w:rPr>
        <w:t xml:space="preserve">, el derecho a la propiedad </w:t>
      </w:r>
      <w:r>
        <w:rPr>
          <w:spacing w:val="-7"/>
          <w:sz w:val="18"/>
          <w:szCs w:val="18"/>
          <w:lang w:val="es-ES_tradnl"/>
        </w:rPr>
        <w:t>presupone tambi</w:t>
      </w:r>
      <w:r>
        <w:rPr>
          <w:rFonts w:cs="Times New Roman"/>
          <w:spacing w:val="-7"/>
          <w:sz w:val="18"/>
          <w:szCs w:val="18"/>
          <w:lang w:val="es-ES_tradnl"/>
        </w:rPr>
        <w:t>é</w:t>
      </w:r>
      <w:r>
        <w:rPr>
          <w:spacing w:val="-7"/>
          <w:sz w:val="18"/>
          <w:szCs w:val="18"/>
          <w:lang w:val="es-ES_tradnl"/>
        </w:rPr>
        <w:t>n una garant</w:t>
      </w:r>
      <w:r>
        <w:rPr>
          <w:rFonts w:cs="Times New Roman"/>
          <w:spacing w:val="-7"/>
          <w:sz w:val="18"/>
          <w:szCs w:val="18"/>
          <w:lang w:val="es-ES_tradnl"/>
        </w:rPr>
        <w:t>í</w:t>
      </w:r>
      <w:r>
        <w:rPr>
          <w:spacing w:val="-7"/>
          <w:sz w:val="18"/>
          <w:szCs w:val="18"/>
          <w:lang w:val="es-ES_tradnl"/>
        </w:rPr>
        <w:t xml:space="preserve">a de la integridad </w:t>
      </w:r>
      <w:r>
        <w:rPr>
          <w:sz w:val="18"/>
          <w:szCs w:val="18"/>
          <w:lang w:val="es-ES_tradnl"/>
        </w:rPr>
        <w:t>patrimonial.</w:t>
      </w:r>
    </w:p>
    <w:p w14:paraId="4F67B20B" w14:textId="77777777" w:rsidR="00591D54" w:rsidRDefault="00591D54" w:rsidP="00251195">
      <w:pPr>
        <w:numPr>
          <w:ilvl w:val="0"/>
          <w:numId w:val="87"/>
        </w:numPr>
        <w:shd w:val="clear" w:color="auto" w:fill="FFFFFF"/>
        <w:tabs>
          <w:tab w:val="left" w:pos="566"/>
        </w:tabs>
        <w:spacing w:line="216" w:lineRule="exact"/>
        <w:ind w:left="566" w:hanging="283"/>
        <w:jc w:val="both"/>
        <w:rPr>
          <w:spacing w:val="-9"/>
          <w:sz w:val="18"/>
          <w:szCs w:val="18"/>
          <w:lang w:val="es-ES_tradnl"/>
        </w:rPr>
      </w:pPr>
      <w:r>
        <w:rPr>
          <w:spacing w:val="-8"/>
          <w:sz w:val="18"/>
          <w:szCs w:val="18"/>
          <w:lang w:val="es-ES_tradnl"/>
        </w:rPr>
        <w:t>Sostiene que el inferior ha verificado que el tr</w:t>
      </w:r>
      <w:r>
        <w:rPr>
          <w:rFonts w:cs="Times New Roman"/>
          <w:spacing w:val="-8"/>
          <w:sz w:val="18"/>
          <w:szCs w:val="18"/>
          <w:lang w:val="es-ES_tradnl"/>
        </w:rPr>
        <w:t>á</w:t>
      </w:r>
      <w:r>
        <w:rPr>
          <w:spacing w:val="-8"/>
          <w:sz w:val="18"/>
          <w:szCs w:val="18"/>
          <w:lang w:val="es-ES_tradnl"/>
        </w:rPr>
        <w:t xml:space="preserve">mite </w:t>
      </w:r>
      <w:r>
        <w:rPr>
          <w:spacing w:val="-9"/>
          <w:sz w:val="18"/>
          <w:szCs w:val="18"/>
          <w:lang w:val="es-ES_tradnl"/>
        </w:rPr>
        <w:t>cumple con los requisitos establecidos en el art</w:t>
      </w:r>
      <w:r>
        <w:rPr>
          <w:rFonts w:cs="Times New Roman"/>
          <w:spacing w:val="-9"/>
          <w:sz w:val="18"/>
          <w:szCs w:val="18"/>
          <w:lang w:val="es-ES_tradnl"/>
        </w:rPr>
        <w:t>í</w:t>
      </w:r>
      <w:r>
        <w:rPr>
          <w:spacing w:val="-9"/>
          <w:sz w:val="18"/>
          <w:szCs w:val="18"/>
          <w:lang w:val="es-ES_tradnl"/>
        </w:rPr>
        <w:t>culo 33 de la Ley Org</w:t>
      </w:r>
      <w:r>
        <w:rPr>
          <w:rFonts w:cs="Times New Roman"/>
          <w:spacing w:val="-9"/>
          <w:sz w:val="18"/>
          <w:szCs w:val="18"/>
          <w:lang w:val="es-ES_tradnl"/>
        </w:rPr>
        <w:t>á</w:t>
      </w:r>
      <w:r>
        <w:rPr>
          <w:spacing w:val="-9"/>
          <w:sz w:val="18"/>
          <w:szCs w:val="18"/>
          <w:lang w:val="es-ES_tradnl"/>
        </w:rPr>
        <w:t>nica de Garant</w:t>
      </w:r>
      <w:r>
        <w:rPr>
          <w:rFonts w:cs="Times New Roman"/>
          <w:spacing w:val="-9"/>
          <w:sz w:val="18"/>
          <w:szCs w:val="18"/>
          <w:lang w:val="es-ES_tradnl"/>
        </w:rPr>
        <w:t>í</w:t>
      </w:r>
      <w:r>
        <w:rPr>
          <w:spacing w:val="-9"/>
          <w:sz w:val="18"/>
          <w:szCs w:val="18"/>
          <w:lang w:val="es-ES_tradnl"/>
        </w:rPr>
        <w:t xml:space="preserve">as Jurisdiccionales </w:t>
      </w:r>
      <w:r>
        <w:rPr>
          <w:sz w:val="18"/>
          <w:szCs w:val="18"/>
          <w:lang w:val="es-ES_tradnl"/>
        </w:rPr>
        <w:t>y Control Constitucional.</w:t>
      </w:r>
    </w:p>
    <w:p w14:paraId="4F67B20C" w14:textId="77777777" w:rsidR="00591D54" w:rsidRDefault="00591D54" w:rsidP="00251195">
      <w:pPr>
        <w:numPr>
          <w:ilvl w:val="0"/>
          <w:numId w:val="87"/>
        </w:numPr>
        <w:shd w:val="clear" w:color="auto" w:fill="FFFFFF"/>
        <w:tabs>
          <w:tab w:val="left" w:pos="566"/>
        </w:tabs>
        <w:spacing w:line="216" w:lineRule="exact"/>
        <w:ind w:left="566" w:hanging="283"/>
        <w:jc w:val="both"/>
        <w:rPr>
          <w:spacing w:val="-9"/>
          <w:sz w:val="18"/>
          <w:szCs w:val="18"/>
          <w:lang w:val="es-ES_tradnl"/>
        </w:rPr>
      </w:pPr>
      <w:r>
        <w:rPr>
          <w:spacing w:val="-4"/>
          <w:sz w:val="18"/>
          <w:szCs w:val="18"/>
          <w:lang w:val="es-ES_tradnl"/>
        </w:rPr>
        <w:t xml:space="preserve">Conforme lo ha determinado la medida cautelar, </w:t>
      </w:r>
      <w:r>
        <w:rPr>
          <w:spacing w:val="-5"/>
          <w:sz w:val="18"/>
          <w:szCs w:val="18"/>
          <w:lang w:val="es-ES_tradnl"/>
        </w:rPr>
        <w:t>el acto administrativo podr</w:t>
      </w:r>
      <w:r>
        <w:rPr>
          <w:rFonts w:cs="Times New Roman"/>
          <w:spacing w:val="-5"/>
          <w:sz w:val="18"/>
          <w:szCs w:val="18"/>
          <w:lang w:val="es-ES_tradnl"/>
        </w:rPr>
        <w:t>í</w:t>
      </w:r>
      <w:r>
        <w:rPr>
          <w:spacing w:val="-5"/>
          <w:sz w:val="18"/>
          <w:szCs w:val="18"/>
          <w:lang w:val="es-ES_tradnl"/>
        </w:rPr>
        <w:t>a ser impugnado v</w:t>
      </w:r>
      <w:r>
        <w:rPr>
          <w:rFonts w:cs="Times New Roman"/>
          <w:spacing w:val="-5"/>
          <w:sz w:val="18"/>
          <w:szCs w:val="18"/>
          <w:lang w:val="es-ES_tradnl"/>
        </w:rPr>
        <w:t>í</w:t>
      </w:r>
      <w:r>
        <w:rPr>
          <w:spacing w:val="-5"/>
          <w:sz w:val="18"/>
          <w:szCs w:val="18"/>
          <w:lang w:val="es-ES_tradnl"/>
        </w:rPr>
        <w:t xml:space="preserve">a </w:t>
      </w:r>
      <w:r>
        <w:rPr>
          <w:sz w:val="18"/>
          <w:szCs w:val="18"/>
          <w:lang w:val="es-ES_tradnl"/>
        </w:rPr>
        <w:t>contenciosa administrativa.</w:t>
      </w:r>
    </w:p>
    <w:p w14:paraId="4F67B20D" w14:textId="77777777" w:rsidR="00591D54" w:rsidRDefault="00591D54">
      <w:pPr>
        <w:shd w:val="clear" w:color="auto" w:fill="FFFFFF"/>
        <w:spacing w:before="192" w:line="216" w:lineRule="exact"/>
        <w:jc w:val="both"/>
      </w:pPr>
      <w:r>
        <w:rPr>
          <w:spacing w:val="-7"/>
          <w:sz w:val="18"/>
          <w:szCs w:val="18"/>
          <w:lang w:val="es-ES_tradnl"/>
        </w:rPr>
        <w:t>A trav</w:t>
      </w:r>
      <w:r>
        <w:rPr>
          <w:rFonts w:cs="Times New Roman"/>
          <w:spacing w:val="-7"/>
          <w:sz w:val="18"/>
          <w:szCs w:val="18"/>
          <w:lang w:val="es-ES_tradnl"/>
        </w:rPr>
        <w:t>é</w:t>
      </w:r>
      <w:r>
        <w:rPr>
          <w:spacing w:val="-7"/>
          <w:sz w:val="18"/>
          <w:szCs w:val="18"/>
          <w:lang w:val="es-ES_tradnl"/>
        </w:rPr>
        <w:t xml:space="preserve">s del considerando quinto de la sentencia, la sala procede a confirmar que la sentencia del juez </w:t>
      </w:r>
      <w:r>
        <w:rPr>
          <w:i/>
          <w:iCs/>
          <w:spacing w:val="-7"/>
          <w:sz w:val="18"/>
          <w:szCs w:val="18"/>
          <w:lang w:val="es-ES_tradnl"/>
        </w:rPr>
        <w:t xml:space="preserve">a quo </w:t>
      </w:r>
      <w:r>
        <w:rPr>
          <w:spacing w:val="-7"/>
          <w:sz w:val="18"/>
          <w:szCs w:val="18"/>
          <w:lang w:val="es-ES_tradnl"/>
        </w:rPr>
        <w:t>est</w:t>
      </w:r>
      <w:r>
        <w:rPr>
          <w:rFonts w:cs="Times New Roman"/>
          <w:spacing w:val="-7"/>
          <w:sz w:val="18"/>
          <w:szCs w:val="18"/>
          <w:lang w:val="es-ES_tradnl"/>
        </w:rPr>
        <w:t xml:space="preserve">á </w:t>
      </w:r>
      <w:r>
        <w:rPr>
          <w:sz w:val="18"/>
          <w:szCs w:val="18"/>
          <w:lang w:val="es-ES_tradnl"/>
        </w:rPr>
        <w:t>motivada, en los siguientes t</w:t>
      </w:r>
      <w:r>
        <w:rPr>
          <w:rFonts w:cs="Times New Roman"/>
          <w:sz w:val="18"/>
          <w:szCs w:val="18"/>
          <w:lang w:val="es-ES_tradnl"/>
        </w:rPr>
        <w:t>é</w:t>
      </w:r>
      <w:r>
        <w:rPr>
          <w:sz w:val="18"/>
          <w:szCs w:val="18"/>
          <w:lang w:val="es-ES_tradnl"/>
        </w:rPr>
        <w:t>rminos:</w:t>
      </w:r>
    </w:p>
    <w:p w14:paraId="4F67B20E" w14:textId="77777777" w:rsidR="00591D54" w:rsidRDefault="00591D54">
      <w:pPr>
        <w:shd w:val="clear" w:color="auto" w:fill="FFFFFF"/>
        <w:spacing w:before="206" w:line="216" w:lineRule="exact"/>
        <w:ind w:left="283"/>
        <w:jc w:val="both"/>
      </w:pPr>
      <w:r>
        <w:rPr>
          <w:spacing w:val="-2"/>
          <w:sz w:val="16"/>
          <w:szCs w:val="16"/>
          <w:lang w:val="es-ES_tradnl"/>
        </w:rPr>
        <w:t xml:space="preserve">La providencia dictada por el inferior se pronuncia sobre </w:t>
      </w:r>
      <w:r>
        <w:rPr>
          <w:spacing w:val="-5"/>
          <w:sz w:val="16"/>
          <w:szCs w:val="16"/>
          <w:lang w:val="es-ES_tradnl"/>
        </w:rPr>
        <w:t xml:space="preserve">todos los argumentos relevantes de todas las partes y, </w:t>
      </w:r>
      <w:r>
        <w:rPr>
          <w:spacing w:val="-6"/>
          <w:sz w:val="16"/>
          <w:szCs w:val="16"/>
          <w:lang w:val="es-ES_tradnl"/>
        </w:rPr>
        <w:t>considerando el mandato del art</w:t>
      </w:r>
      <w:r>
        <w:rPr>
          <w:rFonts w:cs="Times New Roman"/>
          <w:spacing w:val="-6"/>
          <w:sz w:val="16"/>
          <w:szCs w:val="16"/>
          <w:lang w:val="es-ES_tradnl"/>
        </w:rPr>
        <w:t>í</w:t>
      </w:r>
      <w:r>
        <w:rPr>
          <w:spacing w:val="-6"/>
          <w:sz w:val="16"/>
          <w:szCs w:val="16"/>
          <w:lang w:val="es-ES_tradnl"/>
        </w:rPr>
        <w:t>culo cuarto numeral noveno de la Ley Org</w:t>
      </w:r>
      <w:r>
        <w:rPr>
          <w:rFonts w:cs="Times New Roman"/>
          <w:spacing w:val="-6"/>
          <w:sz w:val="16"/>
          <w:szCs w:val="16"/>
          <w:lang w:val="es-ES_tradnl"/>
        </w:rPr>
        <w:t>á</w:t>
      </w:r>
      <w:r>
        <w:rPr>
          <w:spacing w:val="-6"/>
          <w:sz w:val="16"/>
          <w:szCs w:val="16"/>
          <w:lang w:val="es-ES_tradnl"/>
        </w:rPr>
        <w:t>nica de Garant</w:t>
      </w:r>
      <w:r>
        <w:rPr>
          <w:rFonts w:cs="Times New Roman"/>
          <w:spacing w:val="-6"/>
          <w:sz w:val="16"/>
          <w:szCs w:val="16"/>
          <w:lang w:val="es-ES_tradnl"/>
        </w:rPr>
        <w:t>í</w:t>
      </w:r>
      <w:r>
        <w:rPr>
          <w:spacing w:val="-6"/>
          <w:sz w:val="16"/>
          <w:szCs w:val="16"/>
          <w:lang w:val="es-ES_tradnl"/>
        </w:rPr>
        <w:t xml:space="preserve">as Jurisdiccionales y Control </w:t>
      </w:r>
      <w:r>
        <w:rPr>
          <w:sz w:val="16"/>
          <w:szCs w:val="16"/>
          <w:lang w:val="es-ES_tradnl"/>
        </w:rPr>
        <w:t>Constitucional, est</w:t>
      </w:r>
      <w:r>
        <w:rPr>
          <w:rFonts w:cs="Times New Roman"/>
          <w:sz w:val="16"/>
          <w:szCs w:val="16"/>
          <w:lang w:val="es-ES_tradnl"/>
        </w:rPr>
        <w:t>á</w:t>
      </w:r>
      <w:r>
        <w:rPr>
          <w:sz w:val="16"/>
          <w:szCs w:val="16"/>
          <w:lang w:val="es-ES_tradnl"/>
        </w:rPr>
        <w:t xml:space="preserve"> debidamente motivada.</w:t>
      </w:r>
    </w:p>
    <w:p w14:paraId="4F67B20F" w14:textId="77777777" w:rsidR="00591D54" w:rsidRDefault="00591D54">
      <w:pPr>
        <w:shd w:val="clear" w:color="auto" w:fill="FFFFFF"/>
        <w:spacing w:before="202" w:line="216" w:lineRule="exact"/>
        <w:jc w:val="both"/>
      </w:pPr>
      <w:r>
        <w:rPr>
          <w:spacing w:val="-2"/>
          <w:sz w:val="16"/>
          <w:szCs w:val="16"/>
          <w:lang w:val="es-ES_tradnl"/>
        </w:rPr>
        <w:t>En el considerando sexto de la sentencia en menci</w:t>
      </w:r>
      <w:r>
        <w:rPr>
          <w:rFonts w:cs="Times New Roman"/>
          <w:spacing w:val="-2"/>
          <w:sz w:val="16"/>
          <w:szCs w:val="16"/>
          <w:lang w:val="es-ES_tradnl"/>
        </w:rPr>
        <w:t>ó</w:t>
      </w:r>
      <w:r>
        <w:rPr>
          <w:spacing w:val="-2"/>
          <w:sz w:val="16"/>
          <w:szCs w:val="16"/>
          <w:lang w:val="es-ES_tradnl"/>
        </w:rPr>
        <w:t xml:space="preserve">n, la sala </w:t>
      </w:r>
      <w:r>
        <w:rPr>
          <w:sz w:val="16"/>
          <w:szCs w:val="16"/>
          <w:lang w:val="es-ES_tradnl"/>
        </w:rPr>
        <w:t>realiza un breve an</w:t>
      </w:r>
      <w:r>
        <w:rPr>
          <w:rFonts w:cs="Times New Roman"/>
          <w:sz w:val="16"/>
          <w:szCs w:val="16"/>
          <w:lang w:val="es-ES_tradnl"/>
        </w:rPr>
        <w:t>á</w:t>
      </w:r>
      <w:r>
        <w:rPr>
          <w:sz w:val="16"/>
          <w:szCs w:val="16"/>
          <w:lang w:val="es-ES_tradnl"/>
        </w:rPr>
        <w:t>lisis de los hechos en el caso particular y determina:</w:t>
      </w:r>
    </w:p>
    <w:p w14:paraId="4F67B210" w14:textId="77777777" w:rsidR="00591D54" w:rsidRDefault="00591D54">
      <w:pPr>
        <w:shd w:val="clear" w:color="auto" w:fill="FFFFFF"/>
        <w:spacing w:before="206" w:line="216" w:lineRule="exact"/>
        <w:ind w:left="283"/>
        <w:jc w:val="both"/>
      </w:pPr>
      <w:r>
        <w:rPr>
          <w:spacing w:val="-7"/>
          <w:sz w:val="16"/>
          <w:szCs w:val="16"/>
          <w:lang w:val="es-ES_tradnl"/>
        </w:rPr>
        <w:t xml:space="preserve">El caso goza de la apariencia del buen derecho, es decir, se </w:t>
      </w:r>
      <w:r>
        <w:rPr>
          <w:spacing w:val="-3"/>
          <w:sz w:val="16"/>
          <w:szCs w:val="16"/>
          <w:lang w:val="es-ES_tradnl"/>
        </w:rPr>
        <w:t>verifica por la sola descripci</w:t>
      </w:r>
      <w:r>
        <w:rPr>
          <w:rFonts w:cs="Times New Roman"/>
          <w:spacing w:val="-3"/>
          <w:sz w:val="16"/>
          <w:szCs w:val="16"/>
          <w:lang w:val="es-ES_tradnl"/>
        </w:rPr>
        <w:t>ó</w:t>
      </w:r>
      <w:r>
        <w:rPr>
          <w:spacing w:val="-3"/>
          <w:sz w:val="16"/>
          <w:szCs w:val="16"/>
          <w:lang w:val="es-ES_tradnl"/>
        </w:rPr>
        <w:t>n de los hechos que la Junta</w:t>
      </w:r>
    </w:p>
    <w:p w14:paraId="4F67B211" w14:textId="77777777" w:rsidR="00591D54" w:rsidRDefault="00591D54">
      <w:pPr>
        <w:shd w:val="clear" w:color="auto" w:fill="FFFFFF"/>
        <w:spacing w:before="533" w:line="178" w:lineRule="exact"/>
        <w:ind w:left="144" w:hanging="144"/>
      </w:pPr>
      <w:r>
        <w:rPr>
          <w:sz w:val="16"/>
          <w:szCs w:val="16"/>
          <w:vertAlign w:val="superscript"/>
          <w:lang w:val="es-ES_tradnl"/>
        </w:rPr>
        <w:t>2</w:t>
      </w:r>
      <w:r>
        <w:rPr>
          <w:sz w:val="16"/>
          <w:szCs w:val="16"/>
          <w:lang w:val="es-ES_tradnl"/>
        </w:rPr>
        <w:t xml:space="preserve">  </w:t>
      </w:r>
      <w:r>
        <w:rPr>
          <w:spacing w:val="-7"/>
          <w:sz w:val="16"/>
          <w:szCs w:val="16"/>
          <w:lang w:val="es-ES_tradnl"/>
        </w:rPr>
        <w:t>Corte Constitucional del Ecuador, sentencia N.</w:t>
      </w:r>
      <w:r>
        <w:rPr>
          <w:rFonts w:cs="Times New Roman"/>
          <w:spacing w:val="-7"/>
          <w:sz w:val="16"/>
          <w:szCs w:val="16"/>
          <w:lang w:val="es-ES_tradnl"/>
        </w:rPr>
        <w:t>º</w:t>
      </w:r>
      <w:r>
        <w:rPr>
          <w:spacing w:val="-7"/>
          <w:sz w:val="16"/>
          <w:szCs w:val="16"/>
          <w:lang w:val="es-ES_tradnl"/>
        </w:rPr>
        <w:t xml:space="preserve"> 123-13-SEP-CC, </w:t>
      </w:r>
      <w:r>
        <w:rPr>
          <w:sz w:val="16"/>
          <w:szCs w:val="16"/>
          <w:lang w:val="es-ES_tradnl"/>
        </w:rPr>
        <w:t>caso N.</w:t>
      </w:r>
      <w:r>
        <w:rPr>
          <w:rFonts w:cs="Times New Roman"/>
          <w:sz w:val="16"/>
          <w:szCs w:val="16"/>
          <w:lang w:val="es-ES_tradnl"/>
        </w:rPr>
        <w:t>º</w:t>
      </w:r>
      <w:r>
        <w:rPr>
          <w:sz w:val="16"/>
          <w:szCs w:val="16"/>
          <w:lang w:val="es-ES_tradnl"/>
        </w:rPr>
        <w:t xml:space="preserve"> 1542-11-EP</w:t>
      </w:r>
    </w:p>
    <w:p w14:paraId="4F67B212" w14:textId="77777777" w:rsidR="00591D54" w:rsidRDefault="00591D54">
      <w:pPr>
        <w:shd w:val="clear" w:color="auto" w:fill="FFFFFF"/>
        <w:spacing w:before="533" w:line="178" w:lineRule="exact"/>
        <w:ind w:left="144" w:hanging="144"/>
        <w:sectPr w:rsidR="00591D54">
          <w:type w:val="continuous"/>
          <w:pgSz w:w="11909" w:h="16834"/>
          <w:pgMar w:top="1356" w:right="1309" w:bottom="360" w:left="1308" w:header="720" w:footer="720" w:gutter="0"/>
          <w:cols w:num="2" w:space="720" w:equalWidth="0">
            <w:col w:w="4305" w:space="682"/>
            <w:col w:w="4305"/>
          </w:cols>
          <w:noEndnote/>
        </w:sectPr>
      </w:pPr>
    </w:p>
    <w:p w14:paraId="4F67B213" w14:textId="77777777" w:rsidR="00591D54" w:rsidRDefault="00591D54">
      <w:pPr>
        <w:shd w:val="clear" w:color="auto" w:fill="FFFFFF"/>
        <w:tabs>
          <w:tab w:val="left" w:pos="4814"/>
        </w:tabs>
        <w:spacing w:after="230"/>
        <w:ind w:left="14"/>
      </w:pPr>
      <w:r>
        <w:rPr>
          <w:b/>
          <w:bCs/>
          <w:sz w:val="18"/>
          <w:szCs w:val="18"/>
          <w:lang w:val="es-ES_tradnl"/>
        </w:rPr>
        <w:t xml:space="preserve">178 -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214" w14:textId="77777777" w:rsidR="00591D54" w:rsidRDefault="00591D54">
      <w:pPr>
        <w:shd w:val="clear" w:color="auto" w:fill="FFFFFF"/>
        <w:tabs>
          <w:tab w:val="left" w:pos="4814"/>
        </w:tabs>
        <w:spacing w:after="230"/>
        <w:ind w:left="14"/>
        <w:sectPr w:rsidR="00591D54">
          <w:pgSz w:w="11909" w:h="16834"/>
          <w:pgMar w:top="1373" w:right="1304" w:bottom="360" w:left="1308" w:header="720" w:footer="720" w:gutter="0"/>
          <w:cols w:space="60"/>
          <w:noEndnote/>
        </w:sectPr>
      </w:pPr>
    </w:p>
    <w:p w14:paraId="4F67B215" w14:textId="77777777" w:rsidR="00591D54" w:rsidRDefault="00591D54">
      <w:pPr>
        <w:shd w:val="clear" w:color="auto" w:fill="FFFFFF"/>
        <w:spacing w:line="216" w:lineRule="exact"/>
        <w:ind w:left="283"/>
        <w:jc w:val="both"/>
      </w:pPr>
      <w:r>
        <w:rPr>
          <w:spacing w:val="-7"/>
          <w:sz w:val="16"/>
          <w:szCs w:val="16"/>
          <w:lang w:val="es-ES_tradnl"/>
        </w:rPr>
        <w:t>Bancaria pretende obligar a la compa</w:t>
      </w:r>
      <w:r>
        <w:rPr>
          <w:rFonts w:cs="Times New Roman"/>
          <w:spacing w:val="-7"/>
          <w:sz w:val="16"/>
          <w:szCs w:val="16"/>
          <w:lang w:val="es-ES_tradnl"/>
        </w:rPr>
        <w:t>ñí</w:t>
      </w:r>
      <w:r>
        <w:rPr>
          <w:spacing w:val="-7"/>
          <w:sz w:val="16"/>
          <w:szCs w:val="16"/>
          <w:lang w:val="es-ES_tradnl"/>
        </w:rPr>
        <w:t xml:space="preserve">a de seguros a pagar </w:t>
      </w:r>
      <w:r>
        <w:rPr>
          <w:spacing w:val="-9"/>
          <w:sz w:val="16"/>
          <w:szCs w:val="16"/>
          <w:lang w:val="es-ES_tradnl"/>
        </w:rPr>
        <w:t>una indemnizaci</w:t>
      </w:r>
      <w:r>
        <w:rPr>
          <w:rFonts w:cs="Times New Roman"/>
          <w:spacing w:val="-9"/>
          <w:sz w:val="16"/>
          <w:szCs w:val="16"/>
          <w:lang w:val="es-ES_tradnl"/>
        </w:rPr>
        <w:t>ó</w:t>
      </w:r>
      <w:r>
        <w:rPr>
          <w:spacing w:val="-9"/>
          <w:sz w:val="16"/>
          <w:szCs w:val="16"/>
          <w:lang w:val="es-ES_tradnl"/>
        </w:rPr>
        <w:t>n que tiene origen en un accidente de tr</w:t>
      </w:r>
      <w:r>
        <w:rPr>
          <w:rFonts w:cs="Times New Roman"/>
          <w:spacing w:val="-9"/>
          <w:sz w:val="16"/>
          <w:szCs w:val="16"/>
          <w:lang w:val="es-ES_tradnl"/>
        </w:rPr>
        <w:t>á</w:t>
      </w:r>
      <w:r>
        <w:rPr>
          <w:spacing w:val="-9"/>
          <w:sz w:val="16"/>
          <w:szCs w:val="16"/>
          <w:lang w:val="es-ES_tradnl"/>
        </w:rPr>
        <w:t xml:space="preserve">nsito </w:t>
      </w:r>
      <w:r>
        <w:rPr>
          <w:spacing w:val="-8"/>
          <w:sz w:val="16"/>
          <w:szCs w:val="16"/>
          <w:lang w:val="es-ES_tradnl"/>
        </w:rPr>
        <w:t>ocurrido como consecuencia de un acto culposo que, adem</w:t>
      </w:r>
      <w:r>
        <w:rPr>
          <w:rFonts w:cs="Times New Roman"/>
          <w:spacing w:val="-8"/>
          <w:sz w:val="16"/>
          <w:szCs w:val="16"/>
          <w:lang w:val="es-ES_tradnl"/>
        </w:rPr>
        <w:t>á</w:t>
      </w:r>
      <w:r>
        <w:rPr>
          <w:spacing w:val="-8"/>
          <w:sz w:val="16"/>
          <w:szCs w:val="16"/>
          <w:lang w:val="es-ES_tradnl"/>
        </w:rPr>
        <w:t xml:space="preserve">s, </w:t>
      </w:r>
      <w:r>
        <w:rPr>
          <w:sz w:val="16"/>
          <w:szCs w:val="16"/>
          <w:lang w:val="es-ES_tradnl"/>
        </w:rPr>
        <w:t>constituye una infracci</w:t>
      </w:r>
      <w:r>
        <w:rPr>
          <w:rFonts w:cs="Times New Roman"/>
          <w:sz w:val="16"/>
          <w:szCs w:val="16"/>
          <w:lang w:val="es-ES_tradnl"/>
        </w:rPr>
        <w:t>ó</w:t>
      </w:r>
      <w:r>
        <w:rPr>
          <w:sz w:val="16"/>
          <w:szCs w:val="16"/>
          <w:lang w:val="es-ES_tradnl"/>
        </w:rPr>
        <w:t>n de tr</w:t>
      </w:r>
      <w:r>
        <w:rPr>
          <w:rFonts w:cs="Times New Roman"/>
          <w:sz w:val="16"/>
          <w:szCs w:val="16"/>
          <w:lang w:val="es-ES_tradnl"/>
        </w:rPr>
        <w:t>á</w:t>
      </w:r>
      <w:r>
        <w:rPr>
          <w:sz w:val="16"/>
          <w:szCs w:val="16"/>
          <w:lang w:val="es-ES_tradnl"/>
        </w:rPr>
        <w:t>nsito.</w:t>
      </w:r>
    </w:p>
    <w:p w14:paraId="4F67B216" w14:textId="77777777" w:rsidR="00591D54" w:rsidRDefault="00591D54">
      <w:pPr>
        <w:shd w:val="clear" w:color="auto" w:fill="FFFFFF"/>
        <w:spacing w:before="202" w:line="216" w:lineRule="exact"/>
        <w:jc w:val="both"/>
      </w:pPr>
      <w:r>
        <w:rPr>
          <w:sz w:val="18"/>
          <w:szCs w:val="18"/>
          <w:lang w:val="es-ES_tradnl"/>
        </w:rPr>
        <w:t>En el considerando s</w:t>
      </w:r>
      <w:r>
        <w:rPr>
          <w:rFonts w:cs="Times New Roman"/>
          <w:sz w:val="18"/>
          <w:szCs w:val="18"/>
          <w:lang w:val="es-ES_tradnl"/>
        </w:rPr>
        <w:t>é</w:t>
      </w:r>
      <w:r>
        <w:rPr>
          <w:sz w:val="18"/>
          <w:szCs w:val="18"/>
          <w:lang w:val="es-ES_tradnl"/>
        </w:rPr>
        <w:t>ptimo la sala determina el fundamento de derecho, conforme se analiz</w:t>
      </w:r>
      <w:r>
        <w:rPr>
          <w:rFonts w:cs="Times New Roman"/>
          <w:sz w:val="18"/>
          <w:szCs w:val="18"/>
          <w:lang w:val="es-ES_tradnl"/>
        </w:rPr>
        <w:t>ó</w:t>
      </w:r>
      <w:r>
        <w:rPr>
          <w:sz w:val="18"/>
          <w:szCs w:val="18"/>
          <w:lang w:val="es-ES_tradnl"/>
        </w:rPr>
        <w:t xml:space="preserve"> en el </w:t>
      </w:r>
      <w:r>
        <w:rPr>
          <w:spacing w:val="-5"/>
          <w:sz w:val="18"/>
          <w:szCs w:val="18"/>
          <w:lang w:val="es-ES_tradnl"/>
        </w:rPr>
        <w:t xml:space="preserve">literal correspondiente a razonamiento, y finalmente el considerando octavo mediante el cual la sala menciona </w:t>
      </w:r>
      <w:r>
        <w:rPr>
          <w:spacing w:val="-9"/>
          <w:sz w:val="18"/>
          <w:szCs w:val="18"/>
          <w:lang w:val="es-ES_tradnl"/>
        </w:rPr>
        <w:t xml:space="preserve">que el fondo de la causa debe ser resuelto ante el Tribunal </w:t>
      </w:r>
      <w:r>
        <w:rPr>
          <w:spacing w:val="-5"/>
          <w:sz w:val="18"/>
          <w:szCs w:val="18"/>
          <w:lang w:val="es-ES_tradnl"/>
        </w:rPr>
        <w:t>Contencioso Administrativo y que conforme los art</w:t>
      </w:r>
      <w:r>
        <w:rPr>
          <w:rFonts w:cs="Times New Roman"/>
          <w:spacing w:val="-5"/>
          <w:sz w:val="18"/>
          <w:szCs w:val="18"/>
          <w:lang w:val="es-ES_tradnl"/>
        </w:rPr>
        <w:t>í</w:t>
      </w:r>
      <w:r>
        <w:rPr>
          <w:spacing w:val="-5"/>
          <w:sz w:val="18"/>
          <w:szCs w:val="18"/>
          <w:lang w:val="es-ES_tradnl"/>
        </w:rPr>
        <w:t>culos 26 y 28 de la Ley Org</w:t>
      </w:r>
      <w:r>
        <w:rPr>
          <w:rFonts w:cs="Times New Roman"/>
          <w:spacing w:val="-5"/>
          <w:sz w:val="18"/>
          <w:szCs w:val="18"/>
          <w:lang w:val="es-ES_tradnl"/>
        </w:rPr>
        <w:t>á</w:t>
      </w:r>
      <w:r>
        <w:rPr>
          <w:spacing w:val="-5"/>
          <w:sz w:val="18"/>
          <w:szCs w:val="18"/>
          <w:lang w:val="es-ES_tradnl"/>
        </w:rPr>
        <w:t>nica de Garant</w:t>
      </w:r>
      <w:r>
        <w:rPr>
          <w:rFonts w:cs="Times New Roman"/>
          <w:spacing w:val="-5"/>
          <w:sz w:val="18"/>
          <w:szCs w:val="18"/>
          <w:lang w:val="es-ES_tradnl"/>
        </w:rPr>
        <w:t>í</w:t>
      </w:r>
      <w:r>
        <w:rPr>
          <w:spacing w:val="-5"/>
          <w:sz w:val="18"/>
          <w:szCs w:val="18"/>
          <w:lang w:val="es-ES_tradnl"/>
        </w:rPr>
        <w:t xml:space="preserve">as Jurisdiccionales y Control Constitucional no les corresponde emitir un </w:t>
      </w:r>
      <w:r>
        <w:rPr>
          <w:spacing w:val="-6"/>
          <w:sz w:val="18"/>
          <w:szCs w:val="18"/>
          <w:lang w:val="es-ES_tradnl"/>
        </w:rPr>
        <w:t xml:space="preserve">pronunciamiento respecto del fondo de la causa, pero si </w:t>
      </w:r>
      <w:r>
        <w:rPr>
          <w:spacing w:val="-7"/>
          <w:sz w:val="18"/>
          <w:szCs w:val="18"/>
          <w:lang w:val="es-ES_tradnl"/>
        </w:rPr>
        <w:t>evitar una lesi</w:t>
      </w:r>
      <w:r>
        <w:rPr>
          <w:rFonts w:cs="Times New Roman"/>
          <w:spacing w:val="-7"/>
          <w:sz w:val="18"/>
          <w:szCs w:val="18"/>
          <w:lang w:val="es-ES_tradnl"/>
        </w:rPr>
        <w:t>ó</w:t>
      </w:r>
      <w:r>
        <w:rPr>
          <w:spacing w:val="-7"/>
          <w:sz w:val="18"/>
          <w:szCs w:val="18"/>
          <w:lang w:val="es-ES_tradnl"/>
        </w:rPr>
        <w:t xml:space="preserve">n de derechos constitucionales confirma la </w:t>
      </w:r>
      <w:r>
        <w:rPr>
          <w:sz w:val="18"/>
          <w:szCs w:val="18"/>
          <w:lang w:val="es-ES_tradnl"/>
        </w:rPr>
        <w:t>medida dictada por el inferior.</w:t>
      </w:r>
    </w:p>
    <w:p w14:paraId="4F67B217" w14:textId="77777777" w:rsidR="00591D54" w:rsidRDefault="00591D54">
      <w:pPr>
        <w:shd w:val="clear" w:color="auto" w:fill="FFFFFF"/>
        <w:spacing w:before="197" w:line="216" w:lineRule="exact"/>
        <w:jc w:val="both"/>
      </w:pPr>
      <w:r>
        <w:rPr>
          <w:spacing w:val="-8"/>
          <w:sz w:val="18"/>
          <w:szCs w:val="18"/>
          <w:lang w:val="es-ES_tradnl"/>
        </w:rPr>
        <w:t xml:space="preserve">Ahora bien, esta Corte Constitucional evidencia que a partir </w:t>
      </w:r>
      <w:r>
        <w:rPr>
          <w:spacing w:val="-10"/>
          <w:sz w:val="18"/>
          <w:szCs w:val="18"/>
          <w:lang w:val="es-ES_tradnl"/>
        </w:rPr>
        <w:t>del considerando s</w:t>
      </w:r>
      <w:r>
        <w:rPr>
          <w:rFonts w:cs="Times New Roman"/>
          <w:spacing w:val="-10"/>
          <w:sz w:val="18"/>
          <w:szCs w:val="18"/>
          <w:lang w:val="es-ES_tradnl"/>
        </w:rPr>
        <w:t>é</w:t>
      </w:r>
      <w:r>
        <w:rPr>
          <w:spacing w:val="-10"/>
          <w:sz w:val="18"/>
          <w:szCs w:val="18"/>
          <w:lang w:val="es-ES_tradnl"/>
        </w:rPr>
        <w:t xml:space="preserve">ptimo, la sala establece las normas que son utilizadas como fundamento de derecho en la sentencia, </w:t>
      </w:r>
      <w:r>
        <w:rPr>
          <w:spacing w:val="-7"/>
          <w:sz w:val="18"/>
          <w:szCs w:val="18"/>
          <w:lang w:val="es-ES_tradnl"/>
        </w:rPr>
        <w:t>estableci</w:t>
      </w:r>
      <w:r>
        <w:rPr>
          <w:rFonts w:cs="Times New Roman"/>
          <w:spacing w:val="-7"/>
          <w:sz w:val="18"/>
          <w:szCs w:val="18"/>
          <w:lang w:val="es-ES_tradnl"/>
        </w:rPr>
        <w:t>é</w:t>
      </w:r>
      <w:r>
        <w:rPr>
          <w:spacing w:val="-7"/>
          <w:sz w:val="18"/>
          <w:szCs w:val="18"/>
          <w:lang w:val="es-ES_tradnl"/>
        </w:rPr>
        <w:t>ndose como premisa mayor el art</w:t>
      </w:r>
      <w:r>
        <w:rPr>
          <w:rFonts w:cs="Times New Roman"/>
          <w:spacing w:val="-7"/>
          <w:sz w:val="18"/>
          <w:szCs w:val="18"/>
          <w:lang w:val="es-ES_tradnl"/>
        </w:rPr>
        <w:t>í</w:t>
      </w:r>
      <w:r>
        <w:rPr>
          <w:spacing w:val="-7"/>
          <w:sz w:val="18"/>
          <w:szCs w:val="18"/>
          <w:lang w:val="es-ES_tradnl"/>
        </w:rPr>
        <w:t xml:space="preserve">culo 28 de la </w:t>
      </w:r>
      <w:r>
        <w:rPr>
          <w:spacing w:val="-6"/>
          <w:sz w:val="18"/>
          <w:szCs w:val="18"/>
          <w:lang w:val="es-ES_tradnl"/>
        </w:rPr>
        <w:t>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Control </w:t>
      </w:r>
      <w:r>
        <w:rPr>
          <w:spacing w:val="-7"/>
          <w:sz w:val="18"/>
          <w:szCs w:val="18"/>
          <w:lang w:val="es-ES_tradnl"/>
        </w:rPr>
        <w:t>Constitucional, se</w:t>
      </w:r>
      <w:r>
        <w:rPr>
          <w:rFonts w:cs="Times New Roman"/>
          <w:spacing w:val="-7"/>
          <w:sz w:val="18"/>
          <w:szCs w:val="18"/>
          <w:lang w:val="es-ES_tradnl"/>
        </w:rPr>
        <w:t>ñ</w:t>
      </w:r>
      <w:r>
        <w:rPr>
          <w:spacing w:val="-7"/>
          <w:sz w:val="18"/>
          <w:szCs w:val="18"/>
          <w:lang w:val="es-ES_tradnl"/>
        </w:rPr>
        <w:t xml:space="preserve">alando que a partir de dicha norma se </w:t>
      </w:r>
      <w:r>
        <w:rPr>
          <w:spacing w:val="-5"/>
          <w:sz w:val="18"/>
          <w:szCs w:val="18"/>
          <w:lang w:val="es-ES_tradnl"/>
        </w:rPr>
        <w:t>establece una prohibici</w:t>
      </w:r>
      <w:r>
        <w:rPr>
          <w:rFonts w:cs="Times New Roman"/>
          <w:spacing w:val="-5"/>
          <w:sz w:val="18"/>
          <w:szCs w:val="18"/>
          <w:lang w:val="es-ES_tradnl"/>
        </w:rPr>
        <w:t>ó</w:t>
      </w:r>
      <w:r>
        <w:rPr>
          <w:spacing w:val="-5"/>
          <w:sz w:val="18"/>
          <w:szCs w:val="18"/>
          <w:lang w:val="es-ES_tradnl"/>
        </w:rPr>
        <w:t>n respecto de la pronunciaci</w:t>
      </w:r>
      <w:r>
        <w:rPr>
          <w:rFonts w:cs="Times New Roman"/>
          <w:spacing w:val="-5"/>
          <w:sz w:val="18"/>
          <w:szCs w:val="18"/>
          <w:lang w:val="es-ES_tradnl"/>
        </w:rPr>
        <w:t>ó</w:t>
      </w:r>
      <w:r>
        <w:rPr>
          <w:spacing w:val="-5"/>
          <w:sz w:val="18"/>
          <w:szCs w:val="18"/>
          <w:lang w:val="es-ES_tradnl"/>
        </w:rPr>
        <w:t xml:space="preserve">n </w:t>
      </w:r>
      <w:r>
        <w:rPr>
          <w:sz w:val="18"/>
          <w:szCs w:val="18"/>
          <w:lang w:val="es-ES_tradnl"/>
        </w:rPr>
        <w:t>sobre el fondo de la causa.</w:t>
      </w:r>
    </w:p>
    <w:p w14:paraId="4F67B218" w14:textId="77777777" w:rsidR="00591D54" w:rsidRDefault="00591D54">
      <w:pPr>
        <w:shd w:val="clear" w:color="auto" w:fill="FFFFFF"/>
        <w:spacing w:before="197" w:line="216" w:lineRule="exact"/>
        <w:ind w:right="5"/>
        <w:jc w:val="both"/>
      </w:pPr>
      <w:r>
        <w:rPr>
          <w:spacing w:val="-4"/>
          <w:sz w:val="18"/>
          <w:szCs w:val="18"/>
          <w:lang w:val="es-ES_tradnl"/>
        </w:rPr>
        <w:t xml:space="preserve">Se evidencia varias premisas menores a partir del </w:t>
      </w:r>
      <w:r>
        <w:rPr>
          <w:spacing w:val="-10"/>
          <w:sz w:val="18"/>
          <w:szCs w:val="18"/>
          <w:lang w:val="es-ES_tradnl"/>
        </w:rPr>
        <w:t xml:space="preserve">considerando quinto de la sentencia, mismas que se detallan </w:t>
      </w:r>
      <w:r>
        <w:rPr>
          <w:sz w:val="18"/>
          <w:szCs w:val="18"/>
          <w:lang w:val="es-ES_tradnl"/>
        </w:rPr>
        <w:t>a continuaci</w:t>
      </w:r>
      <w:r>
        <w:rPr>
          <w:rFonts w:cs="Times New Roman"/>
          <w:sz w:val="18"/>
          <w:szCs w:val="18"/>
          <w:lang w:val="es-ES_tradnl"/>
        </w:rPr>
        <w:t>ó</w:t>
      </w:r>
      <w:r>
        <w:rPr>
          <w:sz w:val="18"/>
          <w:szCs w:val="18"/>
          <w:lang w:val="es-ES_tradnl"/>
        </w:rPr>
        <w:t>n:</w:t>
      </w:r>
    </w:p>
    <w:p w14:paraId="4F67B219" w14:textId="77777777" w:rsidR="00591D54" w:rsidRDefault="00591D54" w:rsidP="00251195">
      <w:pPr>
        <w:numPr>
          <w:ilvl w:val="0"/>
          <w:numId w:val="88"/>
        </w:numPr>
        <w:shd w:val="clear" w:color="auto" w:fill="FFFFFF"/>
        <w:tabs>
          <w:tab w:val="left" w:pos="283"/>
        </w:tabs>
        <w:spacing w:before="192" w:line="216" w:lineRule="exact"/>
        <w:ind w:right="5"/>
        <w:jc w:val="both"/>
        <w:rPr>
          <w:spacing w:val="-11"/>
          <w:sz w:val="18"/>
          <w:szCs w:val="18"/>
          <w:lang w:val="es-ES_tradnl"/>
        </w:rPr>
      </w:pPr>
      <w:r>
        <w:rPr>
          <w:spacing w:val="-5"/>
          <w:sz w:val="18"/>
          <w:szCs w:val="18"/>
          <w:lang w:val="es-ES_tradnl"/>
        </w:rPr>
        <w:t>La afirmaci</w:t>
      </w:r>
      <w:r>
        <w:rPr>
          <w:rFonts w:cs="Times New Roman"/>
          <w:spacing w:val="-5"/>
          <w:sz w:val="18"/>
          <w:szCs w:val="18"/>
          <w:lang w:val="es-ES_tradnl"/>
        </w:rPr>
        <w:t>ó</w:t>
      </w:r>
      <w:r>
        <w:rPr>
          <w:spacing w:val="-5"/>
          <w:sz w:val="18"/>
          <w:szCs w:val="18"/>
          <w:lang w:val="es-ES_tradnl"/>
        </w:rPr>
        <w:t>n sin previo an</w:t>
      </w:r>
      <w:r>
        <w:rPr>
          <w:rFonts w:cs="Times New Roman"/>
          <w:spacing w:val="-5"/>
          <w:sz w:val="18"/>
          <w:szCs w:val="18"/>
          <w:lang w:val="es-ES_tradnl"/>
        </w:rPr>
        <w:t>á</w:t>
      </w:r>
      <w:r>
        <w:rPr>
          <w:spacing w:val="-5"/>
          <w:sz w:val="18"/>
          <w:szCs w:val="18"/>
          <w:lang w:val="es-ES_tradnl"/>
        </w:rPr>
        <w:t xml:space="preserve">lisis por parte de la sala, </w:t>
      </w:r>
      <w:r>
        <w:rPr>
          <w:spacing w:val="-8"/>
          <w:sz w:val="18"/>
          <w:szCs w:val="18"/>
          <w:lang w:val="es-ES_tradnl"/>
        </w:rPr>
        <w:t xml:space="preserve">de que la sentencia emitida por el juez </w:t>
      </w:r>
      <w:r>
        <w:rPr>
          <w:i/>
          <w:iCs/>
          <w:spacing w:val="-8"/>
          <w:sz w:val="18"/>
          <w:szCs w:val="18"/>
          <w:lang w:val="es-ES_tradnl"/>
        </w:rPr>
        <w:t xml:space="preserve">a quo </w:t>
      </w:r>
      <w:r>
        <w:rPr>
          <w:spacing w:val="-8"/>
          <w:sz w:val="18"/>
          <w:szCs w:val="18"/>
          <w:lang w:val="es-ES_tradnl"/>
        </w:rPr>
        <w:t xml:space="preserve">se encuentra </w:t>
      </w:r>
      <w:r>
        <w:rPr>
          <w:sz w:val="18"/>
          <w:szCs w:val="18"/>
          <w:lang w:val="es-ES_tradnl"/>
        </w:rPr>
        <w:t>motivada.</w:t>
      </w:r>
    </w:p>
    <w:p w14:paraId="4F67B21A" w14:textId="77777777" w:rsidR="00591D54" w:rsidRDefault="00591D54" w:rsidP="00251195">
      <w:pPr>
        <w:numPr>
          <w:ilvl w:val="0"/>
          <w:numId w:val="88"/>
        </w:numPr>
        <w:shd w:val="clear" w:color="auto" w:fill="FFFFFF"/>
        <w:tabs>
          <w:tab w:val="left" w:pos="283"/>
        </w:tabs>
        <w:spacing w:line="216" w:lineRule="exact"/>
        <w:ind w:right="5"/>
        <w:jc w:val="both"/>
        <w:rPr>
          <w:spacing w:val="-11"/>
          <w:sz w:val="18"/>
          <w:szCs w:val="18"/>
          <w:lang w:val="es-ES_tradnl"/>
        </w:rPr>
      </w:pPr>
      <w:r>
        <w:rPr>
          <w:spacing w:val="-9"/>
          <w:sz w:val="18"/>
          <w:szCs w:val="18"/>
          <w:lang w:val="es-ES_tradnl"/>
        </w:rPr>
        <w:t>La afirmaci</w:t>
      </w:r>
      <w:r>
        <w:rPr>
          <w:rFonts w:cs="Times New Roman"/>
          <w:spacing w:val="-9"/>
          <w:sz w:val="18"/>
          <w:szCs w:val="18"/>
          <w:lang w:val="es-ES_tradnl"/>
        </w:rPr>
        <w:t>ó</w:t>
      </w:r>
      <w:r>
        <w:rPr>
          <w:spacing w:val="-9"/>
          <w:sz w:val="18"/>
          <w:szCs w:val="18"/>
          <w:lang w:val="es-ES_tradnl"/>
        </w:rPr>
        <w:t xml:space="preserve">n de que el caso </w:t>
      </w:r>
      <w:r>
        <w:rPr>
          <w:rFonts w:cs="Times New Roman"/>
          <w:spacing w:val="-9"/>
          <w:sz w:val="18"/>
          <w:szCs w:val="18"/>
          <w:lang w:val="es-ES_tradnl"/>
        </w:rPr>
        <w:t>“</w:t>
      </w:r>
      <w:r>
        <w:rPr>
          <w:spacing w:val="-9"/>
          <w:sz w:val="18"/>
          <w:szCs w:val="18"/>
          <w:lang w:val="es-ES_tradnl"/>
        </w:rPr>
        <w:t xml:space="preserve">goza de la apariencia del </w:t>
      </w:r>
      <w:r>
        <w:rPr>
          <w:spacing w:val="-8"/>
          <w:sz w:val="18"/>
          <w:szCs w:val="18"/>
          <w:lang w:val="es-ES_tradnl"/>
        </w:rPr>
        <w:t>buen derecho</w:t>
      </w:r>
      <w:r>
        <w:rPr>
          <w:rFonts w:cs="Times New Roman"/>
          <w:spacing w:val="-8"/>
          <w:sz w:val="18"/>
          <w:szCs w:val="18"/>
          <w:lang w:val="es-ES_tradnl"/>
        </w:rPr>
        <w:t>”</w:t>
      </w:r>
      <w:r>
        <w:rPr>
          <w:spacing w:val="-8"/>
          <w:sz w:val="18"/>
          <w:szCs w:val="18"/>
          <w:lang w:val="es-ES_tradnl"/>
        </w:rPr>
        <w:t xml:space="preserve"> procediendo a realizar un an</w:t>
      </w:r>
      <w:r>
        <w:rPr>
          <w:rFonts w:cs="Times New Roman"/>
          <w:spacing w:val="-8"/>
          <w:sz w:val="18"/>
          <w:szCs w:val="18"/>
          <w:lang w:val="es-ES_tradnl"/>
        </w:rPr>
        <w:t>á</w:t>
      </w:r>
      <w:r>
        <w:rPr>
          <w:spacing w:val="-8"/>
          <w:sz w:val="18"/>
          <w:szCs w:val="18"/>
          <w:lang w:val="es-ES_tradnl"/>
        </w:rPr>
        <w:t>lisis m</w:t>
      </w:r>
      <w:r>
        <w:rPr>
          <w:rFonts w:cs="Times New Roman"/>
          <w:spacing w:val="-8"/>
          <w:sz w:val="18"/>
          <w:szCs w:val="18"/>
          <w:lang w:val="es-ES_tradnl"/>
        </w:rPr>
        <w:t>á</w:t>
      </w:r>
      <w:r>
        <w:rPr>
          <w:spacing w:val="-8"/>
          <w:sz w:val="18"/>
          <w:szCs w:val="18"/>
          <w:lang w:val="es-ES_tradnl"/>
        </w:rPr>
        <w:t xml:space="preserve">s bien </w:t>
      </w:r>
      <w:r>
        <w:rPr>
          <w:spacing w:val="-10"/>
          <w:sz w:val="18"/>
          <w:szCs w:val="18"/>
          <w:lang w:val="es-ES_tradnl"/>
        </w:rPr>
        <w:t xml:space="preserve">de tipo legal respecto de los hechos que rodean a la materia </w:t>
      </w:r>
      <w:r>
        <w:rPr>
          <w:sz w:val="18"/>
          <w:szCs w:val="18"/>
          <w:lang w:val="es-ES_tradnl"/>
        </w:rPr>
        <w:t>de la litis.</w:t>
      </w:r>
    </w:p>
    <w:p w14:paraId="4F67B21B" w14:textId="77777777" w:rsidR="00591D54" w:rsidRDefault="00591D54" w:rsidP="00251195">
      <w:pPr>
        <w:numPr>
          <w:ilvl w:val="0"/>
          <w:numId w:val="88"/>
        </w:numPr>
        <w:shd w:val="clear" w:color="auto" w:fill="FFFFFF"/>
        <w:tabs>
          <w:tab w:val="left" w:pos="283"/>
        </w:tabs>
        <w:spacing w:line="216" w:lineRule="exact"/>
        <w:ind w:right="5"/>
        <w:jc w:val="both"/>
        <w:rPr>
          <w:spacing w:val="-11"/>
          <w:sz w:val="18"/>
          <w:szCs w:val="18"/>
          <w:lang w:val="es-ES_tradnl"/>
        </w:rPr>
      </w:pPr>
      <w:r>
        <w:rPr>
          <w:spacing w:val="-8"/>
          <w:sz w:val="18"/>
          <w:szCs w:val="18"/>
          <w:lang w:val="es-ES_tradnl"/>
        </w:rPr>
        <w:t>La aseveraci</w:t>
      </w:r>
      <w:r>
        <w:rPr>
          <w:rFonts w:cs="Times New Roman"/>
          <w:spacing w:val="-8"/>
          <w:sz w:val="18"/>
          <w:szCs w:val="18"/>
          <w:lang w:val="es-ES_tradnl"/>
        </w:rPr>
        <w:t>ó</w:t>
      </w:r>
      <w:r>
        <w:rPr>
          <w:spacing w:val="-8"/>
          <w:sz w:val="18"/>
          <w:szCs w:val="18"/>
          <w:lang w:val="es-ES_tradnl"/>
        </w:rPr>
        <w:t>n de que la sala no est</w:t>
      </w:r>
      <w:r>
        <w:rPr>
          <w:rFonts w:cs="Times New Roman"/>
          <w:spacing w:val="-8"/>
          <w:sz w:val="18"/>
          <w:szCs w:val="18"/>
          <w:lang w:val="es-ES_tradnl"/>
        </w:rPr>
        <w:t>á</w:t>
      </w:r>
      <w:r>
        <w:rPr>
          <w:spacing w:val="-8"/>
          <w:sz w:val="18"/>
          <w:szCs w:val="18"/>
          <w:lang w:val="es-ES_tradnl"/>
        </w:rPr>
        <w:t xml:space="preserve"> facultada para </w:t>
      </w:r>
      <w:r>
        <w:rPr>
          <w:spacing w:val="-12"/>
          <w:sz w:val="18"/>
          <w:szCs w:val="18"/>
          <w:lang w:val="es-ES_tradnl"/>
        </w:rPr>
        <w:t xml:space="preserve">pronunciarse respecto del fondo de la causa, sino </w:t>
      </w:r>
      <w:r>
        <w:rPr>
          <w:rFonts w:cs="Times New Roman"/>
          <w:spacing w:val="-12"/>
          <w:sz w:val="18"/>
          <w:szCs w:val="18"/>
          <w:lang w:val="es-ES_tradnl"/>
        </w:rPr>
        <w:t>ú</w:t>
      </w:r>
      <w:r>
        <w:rPr>
          <w:spacing w:val="-12"/>
          <w:sz w:val="18"/>
          <w:szCs w:val="18"/>
          <w:lang w:val="es-ES_tradnl"/>
        </w:rPr>
        <w:t xml:space="preserve">nicamente </w:t>
      </w:r>
      <w:r>
        <w:rPr>
          <w:spacing w:val="-7"/>
          <w:sz w:val="18"/>
          <w:szCs w:val="18"/>
          <w:lang w:val="es-ES_tradnl"/>
        </w:rPr>
        <w:t>evitar una lesi</w:t>
      </w:r>
      <w:r>
        <w:rPr>
          <w:rFonts w:cs="Times New Roman"/>
          <w:spacing w:val="-7"/>
          <w:sz w:val="18"/>
          <w:szCs w:val="18"/>
          <w:lang w:val="es-ES_tradnl"/>
        </w:rPr>
        <w:t>ó</w:t>
      </w:r>
      <w:r>
        <w:rPr>
          <w:spacing w:val="-7"/>
          <w:sz w:val="18"/>
          <w:szCs w:val="18"/>
          <w:lang w:val="es-ES_tradnl"/>
        </w:rPr>
        <w:t>n de los derechos constitucionales.</w:t>
      </w:r>
    </w:p>
    <w:p w14:paraId="4F67B21C" w14:textId="77777777" w:rsidR="00591D54" w:rsidRDefault="00591D54" w:rsidP="00251195">
      <w:pPr>
        <w:numPr>
          <w:ilvl w:val="0"/>
          <w:numId w:val="88"/>
        </w:numPr>
        <w:shd w:val="clear" w:color="auto" w:fill="FFFFFF"/>
        <w:tabs>
          <w:tab w:val="left" w:pos="283"/>
        </w:tabs>
        <w:spacing w:line="216" w:lineRule="exact"/>
        <w:ind w:right="5"/>
        <w:jc w:val="both"/>
        <w:rPr>
          <w:spacing w:val="-11"/>
          <w:sz w:val="18"/>
          <w:szCs w:val="18"/>
          <w:lang w:val="es-ES_tradnl"/>
        </w:rPr>
      </w:pPr>
      <w:r>
        <w:rPr>
          <w:spacing w:val="-7"/>
          <w:sz w:val="18"/>
          <w:szCs w:val="18"/>
          <w:lang w:val="es-ES_tradnl"/>
        </w:rPr>
        <w:t>Conmina al recurrente a optar por la v</w:t>
      </w:r>
      <w:r>
        <w:rPr>
          <w:rFonts w:cs="Times New Roman"/>
          <w:spacing w:val="-7"/>
          <w:sz w:val="18"/>
          <w:szCs w:val="18"/>
          <w:lang w:val="es-ES_tradnl"/>
        </w:rPr>
        <w:t>í</w:t>
      </w:r>
      <w:r>
        <w:rPr>
          <w:spacing w:val="-7"/>
          <w:sz w:val="18"/>
          <w:szCs w:val="18"/>
          <w:lang w:val="es-ES_tradnl"/>
        </w:rPr>
        <w:t xml:space="preserve">a contenciosa </w:t>
      </w:r>
      <w:r>
        <w:rPr>
          <w:sz w:val="18"/>
          <w:szCs w:val="18"/>
          <w:lang w:val="es-ES_tradnl"/>
        </w:rPr>
        <w:t>administrativa.</w:t>
      </w:r>
    </w:p>
    <w:p w14:paraId="4F67B21D" w14:textId="77777777" w:rsidR="00591D54" w:rsidRDefault="00591D54">
      <w:pPr>
        <w:shd w:val="clear" w:color="auto" w:fill="FFFFFF"/>
        <w:spacing w:before="192" w:line="216" w:lineRule="exact"/>
        <w:ind w:right="5"/>
        <w:jc w:val="both"/>
      </w:pPr>
      <w:r>
        <w:rPr>
          <w:spacing w:val="-8"/>
          <w:sz w:val="18"/>
          <w:szCs w:val="18"/>
          <w:lang w:val="es-ES_tradnl"/>
        </w:rPr>
        <w:t xml:space="preserve">En el caso concreto es preciso establecer la coherencia y </w:t>
      </w:r>
      <w:r>
        <w:rPr>
          <w:spacing w:val="-7"/>
          <w:sz w:val="18"/>
          <w:szCs w:val="18"/>
          <w:lang w:val="es-ES_tradnl"/>
        </w:rPr>
        <w:t>concordancia entre la premisa mayor que es el art</w:t>
      </w:r>
      <w:r>
        <w:rPr>
          <w:rFonts w:cs="Times New Roman"/>
          <w:spacing w:val="-7"/>
          <w:sz w:val="18"/>
          <w:szCs w:val="18"/>
          <w:lang w:val="es-ES_tradnl"/>
        </w:rPr>
        <w:t>í</w:t>
      </w:r>
      <w:r>
        <w:rPr>
          <w:spacing w:val="-7"/>
          <w:sz w:val="18"/>
          <w:szCs w:val="18"/>
          <w:lang w:val="es-ES_tradnl"/>
        </w:rPr>
        <w:t xml:space="preserve">culo 28 </w:t>
      </w:r>
      <w:r>
        <w:rPr>
          <w:spacing w:val="-8"/>
          <w:sz w:val="18"/>
          <w:szCs w:val="18"/>
          <w:lang w:val="es-ES_tradnl"/>
        </w:rPr>
        <w:t>de la Ley Org</w:t>
      </w:r>
      <w:r>
        <w:rPr>
          <w:rFonts w:cs="Times New Roman"/>
          <w:spacing w:val="-8"/>
          <w:sz w:val="18"/>
          <w:szCs w:val="18"/>
          <w:lang w:val="es-ES_tradnl"/>
        </w:rPr>
        <w:t>á</w:t>
      </w:r>
      <w:r>
        <w:rPr>
          <w:spacing w:val="-8"/>
          <w:sz w:val="18"/>
          <w:szCs w:val="18"/>
          <w:lang w:val="es-ES_tradnl"/>
        </w:rPr>
        <w:t>nica de Garant</w:t>
      </w:r>
      <w:r>
        <w:rPr>
          <w:rFonts w:cs="Times New Roman"/>
          <w:spacing w:val="-8"/>
          <w:sz w:val="18"/>
          <w:szCs w:val="18"/>
          <w:lang w:val="es-ES_tradnl"/>
        </w:rPr>
        <w:t>í</w:t>
      </w:r>
      <w:r>
        <w:rPr>
          <w:spacing w:val="-8"/>
          <w:sz w:val="18"/>
          <w:szCs w:val="18"/>
          <w:lang w:val="es-ES_tradnl"/>
        </w:rPr>
        <w:t xml:space="preserve">as Jurisdiccionales y Control </w:t>
      </w:r>
      <w:r>
        <w:rPr>
          <w:spacing w:val="-5"/>
          <w:sz w:val="18"/>
          <w:szCs w:val="18"/>
          <w:lang w:val="es-ES_tradnl"/>
        </w:rPr>
        <w:t xml:space="preserve">Constitucional, las premisas menores mencionadas en </w:t>
      </w:r>
      <w:r>
        <w:rPr>
          <w:spacing w:val="-8"/>
          <w:sz w:val="18"/>
          <w:szCs w:val="18"/>
          <w:lang w:val="es-ES_tradnl"/>
        </w:rPr>
        <w:t>l</w:t>
      </w:r>
      <w:r>
        <w:rPr>
          <w:rFonts w:cs="Times New Roman"/>
          <w:spacing w:val="-8"/>
          <w:sz w:val="18"/>
          <w:szCs w:val="18"/>
          <w:lang w:val="es-ES_tradnl"/>
        </w:rPr>
        <w:t>í</w:t>
      </w:r>
      <w:r>
        <w:rPr>
          <w:spacing w:val="-8"/>
          <w:sz w:val="18"/>
          <w:szCs w:val="18"/>
          <w:lang w:val="es-ES_tradnl"/>
        </w:rPr>
        <w:t>neas anteriores, respecto de la decisi</w:t>
      </w:r>
      <w:r>
        <w:rPr>
          <w:rFonts w:cs="Times New Roman"/>
          <w:spacing w:val="-8"/>
          <w:sz w:val="18"/>
          <w:szCs w:val="18"/>
          <w:lang w:val="es-ES_tradnl"/>
        </w:rPr>
        <w:t>ó</w:t>
      </w:r>
      <w:r>
        <w:rPr>
          <w:spacing w:val="-8"/>
          <w:sz w:val="18"/>
          <w:szCs w:val="18"/>
          <w:lang w:val="es-ES_tradnl"/>
        </w:rPr>
        <w:t>n de la sala, misma que desciende en una confirmaci</w:t>
      </w:r>
      <w:r>
        <w:rPr>
          <w:rFonts w:cs="Times New Roman"/>
          <w:spacing w:val="-8"/>
          <w:sz w:val="18"/>
          <w:szCs w:val="18"/>
          <w:lang w:val="es-ES_tradnl"/>
        </w:rPr>
        <w:t>ó</w:t>
      </w:r>
      <w:r>
        <w:rPr>
          <w:spacing w:val="-8"/>
          <w:sz w:val="18"/>
          <w:szCs w:val="18"/>
          <w:lang w:val="es-ES_tradnl"/>
        </w:rPr>
        <w:t xml:space="preserve">n de la medida cautelar </w:t>
      </w:r>
      <w:r>
        <w:rPr>
          <w:sz w:val="18"/>
          <w:szCs w:val="18"/>
          <w:lang w:val="es-ES_tradnl"/>
        </w:rPr>
        <w:t>dictada por el inferior.</w:t>
      </w:r>
    </w:p>
    <w:p w14:paraId="4F67B21E" w14:textId="77777777" w:rsidR="00591D54" w:rsidRDefault="00591D54">
      <w:pPr>
        <w:shd w:val="clear" w:color="auto" w:fill="FFFFFF"/>
        <w:spacing w:before="192" w:line="216" w:lineRule="exact"/>
        <w:jc w:val="both"/>
      </w:pPr>
      <w:r>
        <w:rPr>
          <w:sz w:val="18"/>
          <w:szCs w:val="18"/>
          <w:lang w:val="es-ES_tradnl"/>
        </w:rPr>
        <w:t>El art</w:t>
      </w:r>
      <w:r>
        <w:rPr>
          <w:rFonts w:cs="Times New Roman"/>
          <w:sz w:val="18"/>
          <w:szCs w:val="18"/>
          <w:lang w:val="es-ES_tradnl"/>
        </w:rPr>
        <w:t>í</w:t>
      </w:r>
      <w:r>
        <w:rPr>
          <w:sz w:val="18"/>
          <w:szCs w:val="18"/>
          <w:lang w:val="es-ES_tradnl"/>
        </w:rPr>
        <w:t>culo 28 de la Ley Org</w:t>
      </w:r>
      <w:r>
        <w:rPr>
          <w:rFonts w:cs="Times New Roman"/>
          <w:sz w:val="18"/>
          <w:szCs w:val="18"/>
          <w:lang w:val="es-ES_tradnl"/>
        </w:rPr>
        <w:t>á</w:t>
      </w:r>
      <w:r>
        <w:rPr>
          <w:sz w:val="18"/>
          <w:szCs w:val="18"/>
          <w:lang w:val="es-ES_tradnl"/>
        </w:rPr>
        <w:t>nica de Garant</w:t>
      </w:r>
      <w:r>
        <w:rPr>
          <w:rFonts w:cs="Times New Roman"/>
          <w:sz w:val="18"/>
          <w:szCs w:val="18"/>
          <w:lang w:val="es-ES_tradnl"/>
        </w:rPr>
        <w:t>í</w:t>
      </w:r>
      <w:r>
        <w:rPr>
          <w:sz w:val="18"/>
          <w:szCs w:val="18"/>
          <w:lang w:val="es-ES_tradnl"/>
        </w:rPr>
        <w:t xml:space="preserve">as </w:t>
      </w:r>
      <w:r>
        <w:rPr>
          <w:spacing w:val="-7"/>
          <w:sz w:val="18"/>
          <w:szCs w:val="18"/>
          <w:lang w:val="es-ES_tradnl"/>
        </w:rPr>
        <w:t xml:space="preserve">Jurisdiccionales y Control Constitucional describe el efecto </w:t>
      </w:r>
      <w:r>
        <w:rPr>
          <w:spacing w:val="-8"/>
          <w:sz w:val="18"/>
          <w:szCs w:val="18"/>
          <w:lang w:val="es-ES_tradnl"/>
        </w:rPr>
        <w:t>jur</w:t>
      </w:r>
      <w:r>
        <w:rPr>
          <w:rFonts w:cs="Times New Roman"/>
          <w:spacing w:val="-8"/>
          <w:sz w:val="18"/>
          <w:szCs w:val="18"/>
          <w:lang w:val="es-ES_tradnl"/>
        </w:rPr>
        <w:t>í</w:t>
      </w:r>
      <w:r>
        <w:rPr>
          <w:spacing w:val="-8"/>
          <w:sz w:val="18"/>
          <w:szCs w:val="18"/>
          <w:lang w:val="es-ES_tradnl"/>
        </w:rPr>
        <w:t xml:space="preserve">dico de las medidas cautelares constitucionales cuando </w:t>
      </w:r>
      <w:r>
        <w:rPr>
          <w:spacing w:val="-10"/>
          <w:sz w:val="18"/>
          <w:szCs w:val="18"/>
          <w:lang w:val="es-ES_tradnl"/>
        </w:rPr>
        <w:t xml:space="preserve">aquellas son concedidas por los jueces de primera instancia. </w:t>
      </w:r>
      <w:r>
        <w:rPr>
          <w:spacing w:val="-9"/>
          <w:sz w:val="18"/>
          <w:szCs w:val="18"/>
          <w:lang w:val="es-ES_tradnl"/>
        </w:rPr>
        <w:t>As</w:t>
      </w:r>
      <w:r>
        <w:rPr>
          <w:rFonts w:cs="Times New Roman"/>
          <w:spacing w:val="-9"/>
          <w:sz w:val="18"/>
          <w:szCs w:val="18"/>
          <w:lang w:val="es-ES_tradnl"/>
        </w:rPr>
        <w:t>í</w:t>
      </w:r>
      <w:r>
        <w:rPr>
          <w:spacing w:val="-9"/>
          <w:sz w:val="18"/>
          <w:szCs w:val="18"/>
          <w:lang w:val="es-ES_tradnl"/>
        </w:rPr>
        <w:t xml:space="preserve">, en el caso </w:t>
      </w:r>
      <w:r>
        <w:rPr>
          <w:i/>
          <w:iCs/>
          <w:spacing w:val="-9"/>
          <w:sz w:val="18"/>
          <w:szCs w:val="18"/>
          <w:lang w:val="es-ES_tradnl"/>
        </w:rPr>
        <w:t xml:space="preserve">sub examine </w:t>
      </w:r>
      <w:r>
        <w:rPr>
          <w:spacing w:val="-9"/>
          <w:sz w:val="18"/>
          <w:szCs w:val="18"/>
          <w:lang w:val="es-ES_tradnl"/>
        </w:rPr>
        <w:t xml:space="preserve">la Corte Constitucional advierte </w:t>
      </w:r>
      <w:r>
        <w:rPr>
          <w:spacing w:val="-7"/>
          <w:sz w:val="18"/>
          <w:szCs w:val="18"/>
          <w:lang w:val="es-ES_tradnl"/>
        </w:rPr>
        <w:t xml:space="preserve">que los jueces provinciales, al momento de pronunciarse </w:t>
      </w:r>
      <w:r>
        <w:rPr>
          <w:spacing w:val="-5"/>
          <w:sz w:val="18"/>
          <w:szCs w:val="18"/>
          <w:lang w:val="es-ES_tradnl"/>
        </w:rPr>
        <w:t>sobre la resoluci</w:t>
      </w:r>
      <w:r>
        <w:rPr>
          <w:rFonts w:cs="Times New Roman"/>
          <w:spacing w:val="-5"/>
          <w:sz w:val="18"/>
          <w:szCs w:val="18"/>
          <w:lang w:val="es-ES_tradnl"/>
        </w:rPr>
        <w:t>ó</w:t>
      </w:r>
      <w:r>
        <w:rPr>
          <w:spacing w:val="-5"/>
          <w:sz w:val="18"/>
          <w:szCs w:val="18"/>
          <w:lang w:val="es-ES_tradnl"/>
        </w:rPr>
        <w:t xml:space="preserve">n de primera instancia, no formularon </w:t>
      </w:r>
      <w:r>
        <w:rPr>
          <w:spacing w:val="-7"/>
          <w:sz w:val="18"/>
          <w:szCs w:val="18"/>
          <w:lang w:val="es-ES_tradnl"/>
        </w:rPr>
        <w:t>ning</w:t>
      </w:r>
      <w:r>
        <w:rPr>
          <w:rFonts w:cs="Times New Roman"/>
          <w:spacing w:val="-7"/>
          <w:sz w:val="18"/>
          <w:szCs w:val="18"/>
          <w:lang w:val="es-ES_tradnl"/>
        </w:rPr>
        <w:t>ú</w:t>
      </w:r>
      <w:r>
        <w:rPr>
          <w:spacing w:val="-7"/>
          <w:sz w:val="18"/>
          <w:szCs w:val="18"/>
          <w:lang w:val="es-ES_tradnl"/>
        </w:rPr>
        <w:t>n an</w:t>
      </w:r>
      <w:r>
        <w:rPr>
          <w:rFonts w:cs="Times New Roman"/>
          <w:spacing w:val="-7"/>
          <w:sz w:val="18"/>
          <w:szCs w:val="18"/>
          <w:lang w:val="es-ES_tradnl"/>
        </w:rPr>
        <w:t>á</w:t>
      </w:r>
      <w:r>
        <w:rPr>
          <w:spacing w:val="-7"/>
          <w:sz w:val="18"/>
          <w:szCs w:val="18"/>
          <w:lang w:val="es-ES_tradnl"/>
        </w:rPr>
        <w:t xml:space="preserve">lisis que permita establecer que efectivamente </w:t>
      </w:r>
      <w:r>
        <w:rPr>
          <w:spacing w:val="-11"/>
          <w:sz w:val="18"/>
          <w:szCs w:val="18"/>
          <w:lang w:val="es-ES_tradnl"/>
        </w:rPr>
        <w:t xml:space="preserve">dicha sentencia se encontraba motivada; luego no es posible </w:t>
      </w:r>
      <w:r>
        <w:rPr>
          <w:spacing w:val="-8"/>
          <w:sz w:val="18"/>
          <w:szCs w:val="18"/>
          <w:lang w:val="es-ES_tradnl"/>
        </w:rPr>
        <w:t xml:space="preserve">establecer una debida coherencia y concordancia entre la </w:t>
      </w:r>
      <w:r>
        <w:rPr>
          <w:spacing w:val="-6"/>
          <w:sz w:val="18"/>
          <w:szCs w:val="18"/>
          <w:lang w:val="es-ES_tradnl"/>
        </w:rPr>
        <w:t xml:space="preserve">premisa mayor y la premisa menor del razonamiento </w:t>
      </w:r>
      <w:r>
        <w:rPr>
          <w:spacing w:val="-4"/>
          <w:sz w:val="18"/>
          <w:szCs w:val="18"/>
          <w:lang w:val="es-ES_tradnl"/>
        </w:rPr>
        <w:t>planteado, en tanto el art</w:t>
      </w:r>
      <w:r>
        <w:rPr>
          <w:rFonts w:cs="Times New Roman"/>
          <w:spacing w:val="-4"/>
          <w:sz w:val="18"/>
          <w:szCs w:val="18"/>
          <w:lang w:val="es-ES_tradnl"/>
        </w:rPr>
        <w:t>í</w:t>
      </w:r>
      <w:r>
        <w:rPr>
          <w:spacing w:val="-4"/>
          <w:sz w:val="18"/>
          <w:szCs w:val="18"/>
          <w:lang w:val="es-ES_tradnl"/>
        </w:rPr>
        <w:t>culo mencionado se encuentra</w:t>
      </w:r>
    </w:p>
    <w:p w14:paraId="4F67B21F" w14:textId="77777777" w:rsidR="00591D54" w:rsidRDefault="00591D54">
      <w:pPr>
        <w:shd w:val="clear" w:color="auto" w:fill="FFFFFF"/>
        <w:spacing w:before="5" w:line="216" w:lineRule="exact"/>
        <w:jc w:val="both"/>
      </w:pPr>
      <w:r>
        <w:br w:type="column"/>
      </w:r>
      <w:r>
        <w:rPr>
          <w:spacing w:val="-5"/>
          <w:sz w:val="18"/>
          <w:szCs w:val="18"/>
          <w:lang w:val="es-ES_tradnl"/>
        </w:rPr>
        <w:t>relacionado con los efectos jur</w:t>
      </w:r>
      <w:r>
        <w:rPr>
          <w:rFonts w:cs="Times New Roman"/>
          <w:spacing w:val="-5"/>
          <w:sz w:val="18"/>
          <w:szCs w:val="18"/>
          <w:lang w:val="es-ES_tradnl"/>
        </w:rPr>
        <w:t>í</w:t>
      </w:r>
      <w:r>
        <w:rPr>
          <w:spacing w:val="-5"/>
          <w:sz w:val="18"/>
          <w:szCs w:val="18"/>
          <w:lang w:val="es-ES_tradnl"/>
        </w:rPr>
        <w:t xml:space="preserve">dicos de las medidas </w:t>
      </w:r>
      <w:r>
        <w:rPr>
          <w:spacing w:val="-6"/>
          <w:sz w:val="18"/>
          <w:szCs w:val="18"/>
          <w:lang w:val="es-ES_tradnl"/>
        </w:rPr>
        <w:t>cautelares, mientras que la premisa menor es una simple afirmaci</w:t>
      </w:r>
      <w:r>
        <w:rPr>
          <w:rFonts w:cs="Times New Roman"/>
          <w:spacing w:val="-6"/>
          <w:sz w:val="18"/>
          <w:szCs w:val="18"/>
          <w:lang w:val="es-ES_tradnl"/>
        </w:rPr>
        <w:t>ó</w:t>
      </w:r>
      <w:r>
        <w:rPr>
          <w:spacing w:val="-6"/>
          <w:sz w:val="18"/>
          <w:szCs w:val="18"/>
          <w:lang w:val="es-ES_tradnl"/>
        </w:rPr>
        <w:t xml:space="preserve">n respecto de la sentencia emitida por el juez </w:t>
      </w:r>
      <w:r>
        <w:rPr>
          <w:i/>
          <w:iCs/>
          <w:spacing w:val="-6"/>
          <w:sz w:val="18"/>
          <w:szCs w:val="18"/>
          <w:lang w:val="es-ES_tradnl"/>
        </w:rPr>
        <w:t xml:space="preserve">a </w:t>
      </w:r>
      <w:r>
        <w:rPr>
          <w:i/>
          <w:iCs/>
          <w:sz w:val="18"/>
          <w:szCs w:val="18"/>
          <w:lang w:val="es-ES_tradnl"/>
        </w:rPr>
        <w:t xml:space="preserve">quo </w:t>
      </w:r>
      <w:r>
        <w:rPr>
          <w:sz w:val="18"/>
          <w:szCs w:val="18"/>
          <w:lang w:val="es-ES_tradnl"/>
        </w:rPr>
        <w:t>y su motivaci</w:t>
      </w:r>
      <w:r>
        <w:rPr>
          <w:rFonts w:cs="Times New Roman"/>
          <w:sz w:val="18"/>
          <w:szCs w:val="18"/>
          <w:lang w:val="es-ES_tradnl"/>
        </w:rPr>
        <w:t>ó</w:t>
      </w:r>
      <w:r>
        <w:rPr>
          <w:sz w:val="18"/>
          <w:szCs w:val="18"/>
          <w:lang w:val="es-ES_tradnl"/>
        </w:rPr>
        <w:t>n.</w:t>
      </w:r>
    </w:p>
    <w:p w14:paraId="4F67B220" w14:textId="77777777" w:rsidR="00591D54" w:rsidRDefault="00591D54">
      <w:pPr>
        <w:shd w:val="clear" w:color="auto" w:fill="FFFFFF"/>
        <w:spacing w:before="197" w:line="216" w:lineRule="exact"/>
        <w:ind w:right="5"/>
        <w:jc w:val="both"/>
      </w:pPr>
      <w:r>
        <w:rPr>
          <w:spacing w:val="-6"/>
          <w:sz w:val="18"/>
          <w:szCs w:val="18"/>
          <w:lang w:val="es-ES_tradnl"/>
        </w:rPr>
        <w:t>Similar situaci</w:t>
      </w:r>
      <w:r>
        <w:rPr>
          <w:rFonts w:cs="Times New Roman"/>
          <w:spacing w:val="-6"/>
          <w:sz w:val="18"/>
          <w:szCs w:val="18"/>
          <w:lang w:val="es-ES_tradnl"/>
        </w:rPr>
        <w:t>ó</w:t>
      </w:r>
      <w:r>
        <w:rPr>
          <w:spacing w:val="-6"/>
          <w:sz w:val="18"/>
          <w:szCs w:val="18"/>
          <w:lang w:val="es-ES_tradnl"/>
        </w:rPr>
        <w:t>n ocurre frente al an</w:t>
      </w:r>
      <w:r>
        <w:rPr>
          <w:rFonts w:cs="Times New Roman"/>
          <w:spacing w:val="-6"/>
          <w:sz w:val="18"/>
          <w:szCs w:val="18"/>
          <w:lang w:val="es-ES_tradnl"/>
        </w:rPr>
        <w:t>á</w:t>
      </w:r>
      <w:r>
        <w:rPr>
          <w:spacing w:val="-6"/>
          <w:sz w:val="18"/>
          <w:szCs w:val="18"/>
          <w:lang w:val="es-ES_tradnl"/>
        </w:rPr>
        <w:t xml:space="preserve">lisis de tipo legal que </w:t>
      </w:r>
      <w:r>
        <w:rPr>
          <w:spacing w:val="-9"/>
          <w:sz w:val="18"/>
          <w:szCs w:val="18"/>
          <w:lang w:val="es-ES_tradnl"/>
        </w:rPr>
        <w:t xml:space="preserve">se desarrolla respecto del caso concreto, es decir, no existe </w:t>
      </w:r>
      <w:r>
        <w:rPr>
          <w:spacing w:val="-6"/>
          <w:sz w:val="18"/>
          <w:szCs w:val="18"/>
          <w:lang w:val="es-ES_tradnl"/>
        </w:rPr>
        <w:t xml:space="preserve">concordancia entre el efecto de las medidas cautelares </w:t>
      </w:r>
      <w:r>
        <w:rPr>
          <w:spacing w:val="-8"/>
          <w:sz w:val="18"/>
          <w:szCs w:val="18"/>
          <w:lang w:val="es-ES_tradnl"/>
        </w:rPr>
        <w:t>frente a la afirmaci</w:t>
      </w:r>
      <w:r>
        <w:rPr>
          <w:rFonts w:cs="Times New Roman"/>
          <w:spacing w:val="-8"/>
          <w:sz w:val="18"/>
          <w:szCs w:val="18"/>
          <w:lang w:val="es-ES_tradnl"/>
        </w:rPr>
        <w:t>ó</w:t>
      </w:r>
      <w:r>
        <w:rPr>
          <w:spacing w:val="-8"/>
          <w:sz w:val="18"/>
          <w:szCs w:val="18"/>
          <w:lang w:val="es-ES_tradnl"/>
        </w:rPr>
        <w:t xml:space="preserve">n que manifiesta la sala respecto de la </w:t>
      </w:r>
      <w:r>
        <w:rPr>
          <w:spacing w:val="-7"/>
          <w:sz w:val="18"/>
          <w:szCs w:val="18"/>
          <w:lang w:val="es-ES_tradnl"/>
        </w:rPr>
        <w:t>presencia de una posible infracci</w:t>
      </w:r>
      <w:r>
        <w:rPr>
          <w:rFonts w:cs="Times New Roman"/>
          <w:spacing w:val="-7"/>
          <w:sz w:val="18"/>
          <w:szCs w:val="18"/>
          <w:lang w:val="es-ES_tradnl"/>
        </w:rPr>
        <w:t>ó</w:t>
      </w:r>
      <w:r>
        <w:rPr>
          <w:spacing w:val="-7"/>
          <w:sz w:val="18"/>
          <w:szCs w:val="18"/>
          <w:lang w:val="es-ES_tradnl"/>
        </w:rPr>
        <w:t>n de tr</w:t>
      </w:r>
      <w:r>
        <w:rPr>
          <w:rFonts w:cs="Times New Roman"/>
          <w:spacing w:val="-7"/>
          <w:sz w:val="18"/>
          <w:szCs w:val="18"/>
          <w:lang w:val="es-ES_tradnl"/>
        </w:rPr>
        <w:t>á</w:t>
      </w:r>
      <w:r>
        <w:rPr>
          <w:spacing w:val="-7"/>
          <w:sz w:val="18"/>
          <w:szCs w:val="18"/>
          <w:lang w:val="es-ES_tradnl"/>
        </w:rPr>
        <w:t xml:space="preserve">nsito en el caso </w:t>
      </w:r>
      <w:r>
        <w:rPr>
          <w:spacing w:val="-8"/>
          <w:sz w:val="18"/>
          <w:szCs w:val="18"/>
          <w:lang w:val="es-ES_tradnl"/>
        </w:rPr>
        <w:t>concreto, evidentemente no es coherente, peor a</w:t>
      </w:r>
      <w:r>
        <w:rPr>
          <w:rFonts w:cs="Times New Roman"/>
          <w:spacing w:val="-8"/>
          <w:sz w:val="18"/>
          <w:szCs w:val="18"/>
          <w:lang w:val="es-ES_tradnl"/>
        </w:rPr>
        <w:t>ú</w:t>
      </w:r>
      <w:r>
        <w:rPr>
          <w:spacing w:val="-8"/>
          <w:sz w:val="18"/>
          <w:szCs w:val="18"/>
          <w:lang w:val="es-ES_tradnl"/>
        </w:rPr>
        <w:t xml:space="preserve">n resulta </w:t>
      </w:r>
      <w:r>
        <w:rPr>
          <w:spacing w:val="-4"/>
          <w:sz w:val="18"/>
          <w:szCs w:val="18"/>
          <w:lang w:val="es-ES_tradnl"/>
        </w:rPr>
        <w:t>contradictorio frente a la afirmaci</w:t>
      </w:r>
      <w:r>
        <w:rPr>
          <w:rFonts w:cs="Times New Roman"/>
          <w:spacing w:val="-4"/>
          <w:sz w:val="18"/>
          <w:szCs w:val="18"/>
          <w:lang w:val="es-ES_tradnl"/>
        </w:rPr>
        <w:t>ó</w:t>
      </w:r>
      <w:r>
        <w:rPr>
          <w:spacing w:val="-4"/>
          <w:sz w:val="18"/>
          <w:szCs w:val="18"/>
          <w:lang w:val="es-ES_tradnl"/>
        </w:rPr>
        <w:t xml:space="preserve">n de la sala respecto </w:t>
      </w:r>
      <w:r>
        <w:rPr>
          <w:spacing w:val="-8"/>
          <w:sz w:val="18"/>
          <w:szCs w:val="18"/>
          <w:lang w:val="es-ES_tradnl"/>
        </w:rPr>
        <w:t xml:space="preserve">que no se encuentra facultada para pronunciarse sobre el </w:t>
      </w:r>
      <w:r>
        <w:rPr>
          <w:spacing w:val="-7"/>
          <w:sz w:val="18"/>
          <w:szCs w:val="18"/>
          <w:lang w:val="es-ES_tradnl"/>
        </w:rPr>
        <w:t>fondo de la causa, y finalmente resulta a</w:t>
      </w:r>
      <w:r>
        <w:rPr>
          <w:rFonts w:cs="Times New Roman"/>
          <w:spacing w:val="-7"/>
          <w:sz w:val="18"/>
          <w:szCs w:val="18"/>
          <w:lang w:val="es-ES_tradnl"/>
        </w:rPr>
        <w:t>ú</w:t>
      </w:r>
      <w:r>
        <w:rPr>
          <w:spacing w:val="-7"/>
          <w:sz w:val="18"/>
          <w:szCs w:val="18"/>
          <w:lang w:val="es-ES_tradnl"/>
        </w:rPr>
        <w:t>n m</w:t>
      </w:r>
      <w:r>
        <w:rPr>
          <w:rFonts w:cs="Times New Roman"/>
          <w:spacing w:val="-7"/>
          <w:sz w:val="18"/>
          <w:szCs w:val="18"/>
          <w:lang w:val="es-ES_tradnl"/>
        </w:rPr>
        <w:t>á</w:t>
      </w:r>
      <w:r>
        <w:rPr>
          <w:spacing w:val="-7"/>
          <w:sz w:val="18"/>
          <w:szCs w:val="18"/>
          <w:lang w:val="es-ES_tradnl"/>
        </w:rPr>
        <w:t xml:space="preserve">s evidente </w:t>
      </w:r>
      <w:r>
        <w:rPr>
          <w:spacing w:val="-2"/>
          <w:sz w:val="18"/>
          <w:szCs w:val="18"/>
          <w:lang w:val="es-ES_tradnl"/>
        </w:rPr>
        <w:t>para la Corte Constitucional la contradicci</w:t>
      </w:r>
      <w:r>
        <w:rPr>
          <w:rFonts w:cs="Times New Roman"/>
          <w:spacing w:val="-2"/>
          <w:sz w:val="18"/>
          <w:szCs w:val="18"/>
          <w:lang w:val="es-ES_tradnl"/>
        </w:rPr>
        <w:t>ó</w:t>
      </w:r>
      <w:r>
        <w:rPr>
          <w:spacing w:val="-2"/>
          <w:sz w:val="18"/>
          <w:szCs w:val="18"/>
          <w:lang w:val="es-ES_tradnl"/>
        </w:rPr>
        <w:t xml:space="preserve">n del fallo, </w:t>
      </w:r>
      <w:r>
        <w:rPr>
          <w:spacing w:val="-8"/>
          <w:sz w:val="18"/>
          <w:szCs w:val="18"/>
          <w:lang w:val="es-ES_tradnl"/>
        </w:rPr>
        <w:t>pues despu</w:t>
      </w:r>
      <w:r>
        <w:rPr>
          <w:rFonts w:cs="Times New Roman"/>
          <w:spacing w:val="-8"/>
          <w:sz w:val="18"/>
          <w:szCs w:val="18"/>
          <w:lang w:val="es-ES_tradnl"/>
        </w:rPr>
        <w:t>é</w:t>
      </w:r>
      <w:r>
        <w:rPr>
          <w:spacing w:val="-8"/>
          <w:sz w:val="18"/>
          <w:szCs w:val="18"/>
          <w:lang w:val="es-ES_tradnl"/>
        </w:rPr>
        <w:t>s de se</w:t>
      </w:r>
      <w:r>
        <w:rPr>
          <w:rFonts w:cs="Times New Roman"/>
          <w:spacing w:val="-8"/>
          <w:sz w:val="18"/>
          <w:szCs w:val="18"/>
          <w:lang w:val="es-ES_tradnl"/>
        </w:rPr>
        <w:t>ñ</w:t>
      </w:r>
      <w:r>
        <w:rPr>
          <w:spacing w:val="-8"/>
          <w:sz w:val="18"/>
          <w:szCs w:val="18"/>
          <w:lang w:val="es-ES_tradnl"/>
        </w:rPr>
        <w:t xml:space="preserve">alar que existe una alternativa que es </w:t>
      </w:r>
      <w:r>
        <w:rPr>
          <w:spacing w:val="-6"/>
          <w:sz w:val="18"/>
          <w:szCs w:val="18"/>
          <w:lang w:val="es-ES_tradnl"/>
        </w:rPr>
        <w:t>la v</w:t>
      </w:r>
      <w:r>
        <w:rPr>
          <w:rFonts w:cs="Times New Roman"/>
          <w:spacing w:val="-6"/>
          <w:sz w:val="18"/>
          <w:szCs w:val="18"/>
          <w:lang w:val="es-ES_tradnl"/>
        </w:rPr>
        <w:t>í</w:t>
      </w:r>
      <w:r>
        <w:rPr>
          <w:spacing w:val="-6"/>
          <w:sz w:val="18"/>
          <w:szCs w:val="18"/>
          <w:lang w:val="es-ES_tradnl"/>
        </w:rPr>
        <w:t>a contenciosa administrativa, se toma la decisi</w:t>
      </w:r>
      <w:r>
        <w:rPr>
          <w:rFonts w:cs="Times New Roman"/>
          <w:spacing w:val="-6"/>
          <w:sz w:val="18"/>
          <w:szCs w:val="18"/>
          <w:lang w:val="es-ES_tradnl"/>
        </w:rPr>
        <w:t>ó</w:t>
      </w:r>
      <w:r>
        <w:rPr>
          <w:spacing w:val="-6"/>
          <w:sz w:val="18"/>
          <w:szCs w:val="18"/>
          <w:lang w:val="es-ES_tradnl"/>
        </w:rPr>
        <w:t xml:space="preserve">n de </w:t>
      </w:r>
      <w:r>
        <w:rPr>
          <w:sz w:val="18"/>
          <w:szCs w:val="18"/>
          <w:lang w:val="es-ES_tradnl"/>
        </w:rPr>
        <w:t>confirmar la medida cautelar.</w:t>
      </w:r>
    </w:p>
    <w:p w14:paraId="4F67B221" w14:textId="77777777" w:rsidR="00591D54" w:rsidRDefault="00591D54">
      <w:pPr>
        <w:shd w:val="clear" w:color="auto" w:fill="FFFFFF"/>
        <w:spacing w:before="202" w:line="221" w:lineRule="exact"/>
        <w:ind w:right="5"/>
        <w:jc w:val="both"/>
      </w:pPr>
      <w:r>
        <w:rPr>
          <w:spacing w:val="-8"/>
          <w:sz w:val="18"/>
          <w:szCs w:val="18"/>
          <w:lang w:val="es-ES_tradnl"/>
        </w:rPr>
        <w:t xml:space="preserve">Por lo expuesto, es decir, las evidentes contradicciones y la </w:t>
      </w:r>
      <w:r>
        <w:rPr>
          <w:spacing w:val="-7"/>
          <w:sz w:val="18"/>
          <w:szCs w:val="18"/>
          <w:lang w:val="es-ES_tradnl"/>
        </w:rPr>
        <w:t xml:space="preserve">falta de concordancia y coherencia del fallo bajo examen, </w:t>
      </w:r>
      <w:r>
        <w:rPr>
          <w:spacing w:val="-6"/>
          <w:sz w:val="18"/>
          <w:szCs w:val="18"/>
          <w:lang w:val="es-ES_tradnl"/>
        </w:rPr>
        <w:t>adem</w:t>
      </w:r>
      <w:r>
        <w:rPr>
          <w:rFonts w:cs="Times New Roman"/>
          <w:spacing w:val="-6"/>
          <w:sz w:val="18"/>
          <w:szCs w:val="18"/>
          <w:lang w:val="es-ES_tradnl"/>
        </w:rPr>
        <w:t>á</w:t>
      </w:r>
      <w:r>
        <w:rPr>
          <w:spacing w:val="-6"/>
          <w:sz w:val="18"/>
          <w:szCs w:val="18"/>
          <w:lang w:val="es-ES_tradnl"/>
        </w:rPr>
        <w:t>s de la enunciaci</w:t>
      </w:r>
      <w:r>
        <w:rPr>
          <w:rFonts w:cs="Times New Roman"/>
          <w:spacing w:val="-6"/>
          <w:sz w:val="18"/>
          <w:szCs w:val="18"/>
          <w:lang w:val="es-ES_tradnl"/>
        </w:rPr>
        <w:t>ó</w:t>
      </w:r>
      <w:r>
        <w:rPr>
          <w:spacing w:val="-6"/>
          <w:sz w:val="18"/>
          <w:szCs w:val="18"/>
          <w:lang w:val="es-ES_tradnl"/>
        </w:rPr>
        <w:t>n de afirmaciones sin ning</w:t>
      </w:r>
      <w:r>
        <w:rPr>
          <w:rFonts w:cs="Times New Roman"/>
          <w:spacing w:val="-6"/>
          <w:sz w:val="18"/>
          <w:szCs w:val="18"/>
          <w:lang w:val="es-ES_tradnl"/>
        </w:rPr>
        <w:t>ú</w:t>
      </w:r>
      <w:r>
        <w:rPr>
          <w:spacing w:val="-6"/>
          <w:sz w:val="18"/>
          <w:szCs w:val="18"/>
          <w:lang w:val="es-ES_tradnl"/>
        </w:rPr>
        <w:t xml:space="preserve">n </w:t>
      </w:r>
      <w:r>
        <w:rPr>
          <w:spacing w:val="-7"/>
          <w:sz w:val="18"/>
          <w:szCs w:val="18"/>
          <w:lang w:val="es-ES_tradnl"/>
        </w:rPr>
        <w:t>an</w:t>
      </w:r>
      <w:r>
        <w:rPr>
          <w:rFonts w:cs="Times New Roman"/>
          <w:spacing w:val="-7"/>
          <w:sz w:val="18"/>
          <w:szCs w:val="18"/>
          <w:lang w:val="es-ES_tradnl"/>
        </w:rPr>
        <w:t>á</w:t>
      </w:r>
      <w:r>
        <w:rPr>
          <w:spacing w:val="-7"/>
          <w:sz w:val="18"/>
          <w:szCs w:val="18"/>
          <w:lang w:val="es-ES_tradnl"/>
        </w:rPr>
        <w:t>lisis, se logra determinar la falta l</w:t>
      </w:r>
      <w:r>
        <w:rPr>
          <w:rFonts w:cs="Times New Roman"/>
          <w:spacing w:val="-7"/>
          <w:sz w:val="18"/>
          <w:szCs w:val="18"/>
          <w:lang w:val="es-ES_tradnl"/>
        </w:rPr>
        <w:t>ó</w:t>
      </w:r>
      <w:r>
        <w:rPr>
          <w:spacing w:val="-7"/>
          <w:sz w:val="18"/>
          <w:szCs w:val="18"/>
          <w:lang w:val="es-ES_tradnl"/>
        </w:rPr>
        <w:t xml:space="preserve">gica en la sentencia </w:t>
      </w:r>
      <w:r>
        <w:rPr>
          <w:spacing w:val="-5"/>
          <w:sz w:val="18"/>
          <w:szCs w:val="18"/>
          <w:lang w:val="es-ES_tradnl"/>
        </w:rPr>
        <w:t>emitida por la Tercera Sala de lo Penal y Tr</w:t>
      </w:r>
      <w:r>
        <w:rPr>
          <w:rFonts w:cs="Times New Roman"/>
          <w:spacing w:val="-5"/>
          <w:sz w:val="18"/>
          <w:szCs w:val="18"/>
          <w:lang w:val="es-ES_tradnl"/>
        </w:rPr>
        <w:t>á</w:t>
      </w:r>
      <w:r>
        <w:rPr>
          <w:spacing w:val="-5"/>
          <w:sz w:val="18"/>
          <w:szCs w:val="18"/>
          <w:lang w:val="es-ES_tradnl"/>
        </w:rPr>
        <w:t xml:space="preserve">nsito de la </w:t>
      </w:r>
      <w:r>
        <w:rPr>
          <w:sz w:val="18"/>
          <w:szCs w:val="18"/>
          <w:lang w:val="es-ES_tradnl"/>
        </w:rPr>
        <w:t>Corte Provincial del Guayas.</w:t>
      </w:r>
    </w:p>
    <w:p w14:paraId="4F67B222" w14:textId="77777777" w:rsidR="00591D54" w:rsidRDefault="00591D54">
      <w:pPr>
        <w:shd w:val="clear" w:color="auto" w:fill="FFFFFF"/>
        <w:spacing w:before="197" w:line="216" w:lineRule="exact"/>
        <w:ind w:right="5"/>
        <w:jc w:val="both"/>
      </w:pPr>
      <w:r>
        <w:rPr>
          <w:spacing w:val="-7"/>
          <w:sz w:val="18"/>
          <w:szCs w:val="18"/>
          <w:lang w:val="es-ES_tradnl"/>
        </w:rPr>
        <w:t xml:space="preserve">La Corte Constitucional del Ecuador advierte la inexactitud </w:t>
      </w:r>
      <w:r>
        <w:rPr>
          <w:spacing w:val="-10"/>
          <w:sz w:val="18"/>
          <w:szCs w:val="18"/>
          <w:lang w:val="es-ES_tradnl"/>
        </w:rPr>
        <w:t xml:space="preserve">y la falta de concordancia entre las premisas que conforman </w:t>
      </w:r>
      <w:r>
        <w:rPr>
          <w:spacing w:val="-1"/>
          <w:sz w:val="18"/>
          <w:szCs w:val="18"/>
          <w:lang w:val="es-ES_tradnl"/>
        </w:rPr>
        <w:t>la argumentaci</w:t>
      </w:r>
      <w:r>
        <w:rPr>
          <w:rFonts w:cs="Times New Roman"/>
          <w:spacing w:val="-1"/>
          <w:sz w:val="18"/>
          <w:szCs w:val="18"/>
          <w:lang w:val="es-ES_tradnl"/>
        </w:rPr>
        <w:t>ó</w:t>
      </w:r>
      <w:r>
        <w:rPr>
          <w:spacing w:val="-1"/>
          <w:sz w:val="18"/>
          <w:szCs w:val="18"/>
          <w:lang w:val="es-ES_tradnl"/>
        </w:rPr>
        <w:t xml:space="preserve">n de la sentencia analizada, con la </w:t>
      </w:r>
      <w:r>
        <w:rPr>
          <w:spacing w:val="-7"/>
          <w:sz w:val="18"/>
          <w:szCs w:val="18"/>
          <w:lang w:val="es-ES_tradnl"/>
        </w:rPr>
        <w:t>decisi</w:t>
      </w:r>
      <w:r>
        <w:rPr>
          <w:rFonts w:cs="Times New Roman"/>
          <w:spacing w:val="-7"/>
          <w:sz w:val="18"/>
          <w:szCs w:val="18"/>
          <w:lang w:val="es-ES_tradnl"/>
        </w:rPr>
        <w:t>ó</w:t>
      </w:r>
      <w:r>
        <w:rPr>
          <w:spacing w:val="-7"/>
          <w:sz w:val="18"/>
          <w:szCs w:val="18"/>
          <w:lang w:val="es-ES_tradnl"/>
        </w:rPr>
        <w:t xml:space="preserve">n que se toma en ella, por lo que se advierte que la </w:t>
      </w:r>
      <w:r>
        <w:rPr>
          <w:spacing w:val="-10"/>
          <w:sz w:val="18"/>
          <w:szCs w:val="18"/>
          <w:lang w:val="es-ES_tradnl"/>
        </w:rPr>
        <w:t xml:space="preserve">sentencia demandada no contiene el segundo requisito de la </w:t>
      </w:r>
      <w:r>
        <w:rPr>
          <w:sz w:val="18"/>
          <w:szCs w:val="18"/>
          <w:lang w:val="es-ES_tradnl"/>
        </w:rPr>
        <w:t>motivaci</w:t>
      </w:r>
      <w:r>
        <w:rPr>
          <w:rFonts w:cs="Times New Roman"/>
          <w:sz w:val="18"/>
          <w:szCs w:val="18"/>
          <w:lang w:val="es-ES_tradnl"/>
        </w:rPr>
        <w:t>ó</w:t>
      </w:r>
      <w:r>
        <w:rPr>
          <w:sz w:val="18"/>
          <w:szCs w:val="18"/>
          <w:lang w:val="es-ES_tradnl"/>
        </w:rPr>
        <w:t>n, que es la l</w:t>
      </w:r>
      <w:r>
        <w:rPr>
          <w:rFonts w:cs="Times New Roman"/>
          <w:sz w:val="18"/>
          <w:szCs w:val="18"/>
          <w:lang w:val="es-ES_tradnl"/>
        </w:rPr>
        <w:t>ó</w:t>
      </w:r>
      <w:r>
        <w:rPr>
          <w:sz w:val="18"/>
          <w:szCs w:val="18"/>
          <w:lang w:val="es-ES_tradnl"/>
        </w:rPr>
        <w:t>gica.</w:t>
      </w:r>
    </w:p>
    <w:p w14:paraId="4F67B223" w14:textId="77777777" w:rsidR="00591D54" w:rsidRDefault="00591D54">
      <w:pPr>
        <w:shd w:val="clear" w:color="auto" w:fill="FFFFFF"/>
        <w:spacing w:before="197"/>
      </w:pPr>
      <w:r>
        <w:rPr>
          <w:b/>
          <w:bCs/>
          <w:spacing w:val="-9"/>
          <w:sz w:val="18"/>
          <w:szCs w:val="18"/>
          <w:lang w:val="es-ES_tradnl"/>
        </w:rPr>
        <w:t>Sobre la comprensibilidad</w:t>
      </w:r>
    </w:p>
    <w:p w14:paraId="4F67B224" w14:textId="77777777" w:rsidR="00591D54" w:rsidRDefault="00591D54">
      <w:pPr>
        <w:shd w:val="clear" w:color="auto" w:fill="FFFFFF"/>
        <w:spacing w:before="197" w:line="216" w:lineRule="exact"/>
        <w:ind w:right="5"/>
        <w:jc w:val="both"/>
      </w:pPr>
      <w:r>
        <w:rPr>
          <w:spacing w:val="-4"/>
          <w:sz w:val="18"/>
          <w:szCs w:val="18"/>
          <w:lang w:val="es-ES_tradnl"/>
        </w:rPr>
        <w:t>Finalmente, el tercer requisito de la motivaci</w:t>
      </w:r>
      <w:r>
        <w:rPr>
          <w:rFonts w:cs="Times New Roman"/>
          <w:spacing w:val="-4"/>
          <w:sz w:val="18"/>
          <w:szCs w:val="18"/>
          <w:lang w:val="es-ES_tradnl"/>
        </w:rPr>
        <w:t>ó</w:t>
      </w:r>
      <w:r>
        <w:rPr>
          <w:spacing w:val="-4"/>
          <w:sz w:val="18"/>
          <w:szCs w:val="18"/>
          <w:lang w:val="es-ES_tradnl"/>
        </w:rPr>
        <w:t xml:space="preserve">n: la </w:t>
      </w:r>
      <w:r>
        <w:rPr>
          <w:spacing w:val="-3"/>
          <w:sz w:val="18"/>
          <w:szCs w:val="18"/>
          <w:lang w:val="es-ES_tradnl"/>
        </w:rPr>
        <w:t>comprensibilidad, desarrollado en el art</w:t>
      </w:r>
      <w:r>
        <w:rPr>
          <w:rFonts w:cs="Times New Roman"/>
          <w:spacing w:val="-3"/>
          <w:sz w:val="18"/>
          <w:szCs w:val="18"/>
          <w:lang w:val="es-ES_tradnl"/>
        </w:rPr>
        <w:t>í</w:t>
      </w:r>
      <w:r>
        <w:rPr>
          <w:spacing w:val="-3"/>
          <w:sz w:val="18"/>
          <w:szCs w:val="18"/>
          <w:lang w:val="es-ES_tradnl"/>
        </w:rPr>
        <w:t xml:space="preserve">culo 4 numeral </w:t>
      </w:r>
      <w:r>
        <w:rPr>
          <w:spacing w:val="-5"/>
          <w:sz w:val="18"/>
          <w:szCs w:val="18"/>
          <w:lang w:val="es-ES_tradnl"/>
        </w:rPr>
        <w:t>10 de la Ley Org</w:t>
      </w:r>
      <w:r>
        <w:rPr>
          <w:rFonts w:cs="Times New Roman"/>
          <w:spacing w:val="-5"/>
          <w:sz w:val="18"/>
          <w:szCs w:val="18"/>
          <w:lang w:val="es-ES_tradnl"/>
        </w:rPr>
        <w:t>á</w:t>
      </w:r>
      <w:r>
        <w:rPr>
          <w:spacing w:val="-5"/>
          <w:sz w:val="18"/>
          <w:szCs w:val="18"/>
          <w:lang w:val="es-ES_tradnl"/>
        </w:rPr>
        <w:t>nica de Garant</w:t>
      </w:r>
      <w:r>
        <w:rPr>
          <w:rFonts w:cs="Times New Roman"/>
          <w:spacing w:val="-5"/>
          <w:sz w:val="18"/>
          <w:szCs w:val="18"/>
          <w:lang w:val="es-ES_tradnl"/>
        </w:rPr>
        <w:t>í</w:t>
      </w:r>
      <w:r>
        <w:rPr>
          <w:spacing w:val="-5"/>
          <w:sz w:val="18"/>
          <w:szCs w:val="18"/>
          <w:lang w:val="es-ES_tradnl"/>
        </w:rPr>
        <w:t xml:space="preserve">as Jurisdiccionales y </w:t>
      </w:r>
      <w:r>
        <w:rPr>
          <w:spacing w:val="-7"/>
          <w:sz w:val="18"/>
          <w:szCs w:val="18"/>
          <w:lang w:val="es-ES_tradnl"/>
        </w:rPr>
        <w:t>Control Constitucional, denominado comprensi</w:t>
      </w:r>
      <w:r>
        <w:rPr>
          <w:rFonts w:cs="Times New Roman"/>
          <w:spacing w:val="-7"/>
          <w:sz w:val="18"/>
          <w:szCs w:val="18"/>
          <w:lang w:val="es-ES_tradnl"/>
        </w:rPr>
        <w:t>ó</w:t>
      </w:r>
      <w:r>
        <w:rPr>
          <w:spacing w:val="-7"/>
          <w:sz w:val="18"/>
          <w:szCs w:val="18"/>
          <w:lang w:val="es-ES_tradnl"/>
        </w:rPr>
        <w:t xml:space="preserve">n efectiva, </w:t>
      </w:r>
      <w:r>
        <w:rPr>
          <w:spacing w:val="-8"/>
          <w:sz w:val="18"/>
          <w:szCs w:val="18"/>
          <w:lang w:val="es-ES_tradnl"/>
        </w:rPr>
        <w:t>entendida como la obligaci</w:t>
      </w:r>
      <w:r>
        <w:rPr>
          <w:rFonts w:cs="Times New Roman"/>
          <w:spacing w:val="-8"/>
          <w:sz w:val="18"/>
          <w:szCs w:val="18"/>
          <w:lang w:val="es-ES_tradnl"/>
        </w:rPr>
        <w:t>ó</w:t>
      </w:r>
      <w:r>
        <w:rPr>
          <w:spacing w:val="-8"/>
          <w:sz w:val="18"/>
          <w:szCs w:val="18"/>
          <w:lang w:val="es-ES_tradnl"/>
        </w:rPr>
        <w:t xml:space="preserve">n de un juez para redactar sus </w:t>
      </w:r>
      <w:r>
        <w:rPr>
          <w:spacing w:val="-5"/>
          <w:sz w:val="18"/>
          <w:szCs w:val="18"/>
          <w:lang w:val="es-ES_tradnl"/>
        </w:rPr>
        <w:t xml:space="preserve">sentencias de forma clara, concreta, inteligible, asequible </w:t>
      </w:r>
      <w:r>
        <w:rPr>
          <w:sz w:val="18"/>
          <w:szCs w:val="18"/>
          <w:lang w:val="es-ES_tradnl"/>
        </w:rPr>
        <w:t>y sint</w:t>
      </w:r>
      <w:r>
        <w:rPr>
          <w:rFonts w:cs="Times New Roman"/>
          <w:sz w:val="18"/>
          <w:szCs w:val="18"/>
          <w:lang w:val="es-ES_tradnl"/>
        </w:rPr>
        <w:t>é</w:t>
      </w:r>
      <w:r>
        <w:rPr>
          <w:sz w:val="18"/>
          <w:szCs w:val="18"/>
          <w:lang w:val="es-ES_tradnl"/>
        </w:rPr>
        <w:t>tica.</w:t>
      </w:r>
    </w:p>
    <w:p w14:paraId="4F67B225" w14:textId="77777777" w:rsidR="00591D54" w:rsidRDefault="00591D54">
      <w:pPr>
        <w:shd w:val="clear" w:color="auto" w:fill="FFFFFF"/>
        <w:spacing w:before="202" w:line="216" w:lineRule="exact"/>
        <w:ind w:right="5"/>
        <w:jc w:val="both"/>
      </w:pPr>
      <w:r>
        <w:rPr>
          <w:spacing w:val="-10"/>
          <w:sz w:val="18"/>
          <w:szCs w:val="18"/>
          <w:lang w:val="es-ES_tradnl"/>
        </w:rPr>
        <w:t>Este elemento es importante en la motivaci</w:t>
      </w:r>
      <w:r>
        <w:rPr>
          <w:rFonts w:cs="Times New Roman"/>
          <w:spacing w:val="-10"/>
          <w:sz w:val="18"/>
          <w:szCs w:val="18"/>
          <w:lang w:val="es-ES_tradnl"/>
        </w:rPr>
        <w:t>ó</w:t>
      </w:r>
      <w:r>
        <w:rPr>
          <w:spacing w:val="-10"/>
          <w:sz w:val="18"/>
          <w:szCs w:val="18"/>
          <w:lang w:val="es-ES_tradnl"/>
        </w:rPr>
        <w:t xml:space="preserve">n, dado que una </w:t>
      </w:r>
      <w:r>
        <w:rPr>
          <w:spacing w:val="-9"/>
          <w:sz w:val="18"/>
          <w:szCs w:val="18"/>
          <w:lang w:val="es-ES_tradnl"/>
        </w:rPr>
        <w:t xml:space="preserve">sentencia debe ser clara, asequible y comprensible para el </w:t>
      </w:r>
      <w:r>
        <w:rPr>
          <w:spacing w:val="-7"/>
          <w:sz w:val="18"/>
          <w:szCs w:val="18"/>
          <w:lang w:val="es-ES_tradnl"/>
        </w:rPr>
        <w:t xml:space="preserve">lector. En el caso concreto y habiendo evidenciado la falta </w:t>
      </w:r>
      <w:r>
        <w:rPr>
          <w:spacing w:val="-8"/>
          <w:sz w:val="18"/>
          <w:szCs w:val="18"/>
          <w:lang w:val="es-ES_tradnl"/>
        </w:rPr>
        <w:t>de l</w:t>
      </w:r>
      <w:r>
        <w:rPr>
          <w:rFonts w:cs="Times New Roman"/>
          <w:spacing w:val="-8"/>
          <w:sz w:val="18"/>
          <w:szCs w:val="18"/>
          <w:lang w:val="es-ES_tradnl"/>
        </w:rPr>
        <w:t>ó</w:t>
      </w:r>
      <w:r>
        <w:rPr>
          <w:spacing w:val="-8"/>
          <w:sz w:val="18"/>
          <w:szCs w:val="18"/>
          <w:lang w:val="es-ES_tradnl"/>
        </w:rPr>
        <w:t xml:space="preserve">gica y coherencia de las premisas que componen el </w:t>
      </w:r>
      <w:r>
        <w:rPr>
          <w:spacing w:val="-3"/>
          <w:sz w:val="18"/>
          <w:szCs w:val="18"/>
          <w:lang w:val="es-ES_tradnl"/>
        </w:rPr>
        <w:t>fallo, dif</w:t>
      </w:r>
      <w:r>
        <w:rPr>
          <w:rFonts w:cs="Times New Roman"/>
          <w:spacing w:val="-3"/>
          <w:sz w:val="18"/>
          <w:szCs w:val="18"/>
          <w:lang w:val="es-ES_tradnl"/>
        </w:rPr>
        <w:t>í</w:t>
      </w:r>
      <w:r>
        <w:rPr>
          <w:spacing w:val="-3"/>
          <w:sz w:val="18"/>
          <w:szCs w:val="18"/>
          <w:lang w:val="es-ES_tradnl"/>
        </w:rPr>
        <w:t>cilmente podr</w:t>
      </w:r>
      <w:r>
        <w:rPr>
          <w:rFonts w:cs="Times New Roman"/>
          <w:spacing w:val="-3"/>
          <w:sz w:val="18"/>
          <w:szCs w:val="18"/>
          <w:lang w:val="es-ES_tradnl"/>
        </w:rPr>
        <w:t>í</w:t>
      </w:r>
      <w:r>
        <w:rPr>
          <w:spacing w:val="-3"/>
          <w:sz w:val="18"/>
          <w:szCs w:val="18"/>
          <w:lang w:val="es-ES_tradnl"/>
        </w:rPr>
        <w:t xml:space="preserve">a afirmarse que el mismo logra </w:t>
      </w:r>
      <w:r>
        <w:rPr>
          <w:spacing w:val="-5"/>
          <w:sz w:val="18"/>
          <w:szCs w:val="18"/>
          <w:lang w:val="es-ES_tradnl"/>
        </w:rPr>
        <w:t xml:space="preserve">llegar a un nivel apropiado de comprensibilidad, pues </w:t>
      </w:r>
      <w:r>
        <w:rPr>
          <w:spacing w:val="-1"/>
          <w:sz w:val="18"/>
          <w:szCs w:val="18"/>
          <w:lang w:val="es-ES_tradnl"/>
        </w:rPr>
        <w:t xml:space="preserve">justamente la falta de coherencia en el razonamiento </w:t>
      </w:r>
      <w:r>
        <w:rPr>
          <w:spacing w:val="-9"/>
          <w:sz w:val="18"/>
          <w:szCs w:val="18"/>
          <w:lang w:val="es-ES_tradnl"/>
        </w:rPr>
        <w:t xml:space="preserve">infl uye de modo negativo en un debido entendimiento de la </w:t>
      </w:r>
      <w:r>
        <w:rPr>
          <w:spacing w:val="-7"/>
          <w:sz w:val="18"/>
          <w:szCs w:val="18"/>
          <w:lang w:val="es-ES_tradnl"/>
        </w:rPr>
        <w:t>resoluci</w:t>
      </w:r>
      <w:r>
        <w:rPr>
          <w:rFonts w:cs="Times New Roman"/>
          <w:spacing w:val="-7"/>
          <w:sz w:val="18"/>
          <w:szCs w:val="18"/>
          <w:lang w:val="es-ES_tradnl"/>
        </w:rPr>
        <w:t>ó</w:t>
      </w:r>
      <w:r>
        <w:rPr>
          <w:spacing w:val="-7"/>
          <w:sz w:val="18"/>
          <w:szCs w:val="18"/>
          <w:lang w:val="es-ES_tradnl"/>
        </w:rPr>
        <w:t>n adoptada por el juzgador en la decisi</w:t>
      </w:r>
      <w:r>
        <w:rPr>
          <w:rFonts w:cs="Times New Roman"/>
          <w:spacing w:val="-7"/>
          <w:sz w:val="18"/>
          <w:szCs w:val="18"/>
          <w:lang w:val="es-ES_tradnl"/>
        </w:rPr>
        <w:t>ó</w:t>
      </w:r>
      <w:r>
        <w:rPr>
          <w:spacing w:val="-7"/>
          <w:sz w:val="18"/>
          <w:szCs w:val="18"/>
          <w:lang w:val="es-ES_tradnl"/>
        </w:rPr>
        <w:t xml:space="preserve">n judicial </w:t>
      </w:r>
      <w:r>
        <w:rPr>
          <w:spacing w:val="-8"/>
          <w:sz w:val="18"/>
          <w:szCs w:val="18"/>
          <w:lang w:val="es-ES_tradnl"/>
        </w:rPr>
        <w:t>objeto de an</w:t>
      </w:r>
      <w:r>
        <w:rPr>
          <w:rFonts w:cs="Times New Roman"/>
          <w:spacing w:val="-8"/>
          <w:sz w:val="18"/>
          <w:szCs w:val="18"/>
          <w:lang w:val="es-ES_tradnl"/>
        </w:rPr>
        <w:t>á</w:t>
      </w:r>
      <w:r>
        <w:rPr>
          <w:spacing w:val="-8"/>
          <w:sz w:val="18"/>
          <w:szCs w:val="18"/>
          <w:lang w:val="es-ES_tradnl"/>
        </w:rPr>
        <w:t xml:space="preserve">lisis, motivo por el cual la Corte Constitucional </w:t>
      </w:r>
      <w:r>
        <w:rPr>
          <w:spacing w:val="-7"/>
          <w:sz w:val="18"/>
          <w:szCs w:val="18"/>
          <w:lang w:val="es-ES_tradnl"/>
        </w:rPr>
        <w:t>considera que el requisito de comprensibilidad tambi</w:t>
      </w:r>
      <w:r>
        <w:rPr>
          <w:rFonts w:cs="Times New Roman"/>
          <w:spacing w:val="-7"/>
          <w:sz w:val="18"/>
          <w:szCs w:val="18"/>
          <w:lang w:val="es-ES_tradnl"/>
        </w:rPr>
        <w:t>é</w:t>
      </w:r>
      <w:r>
        <w:rPr>
          <w:spacing w:val="-7"/>
          <w:sz w:val="18"/>
          <w:szCs w:val="18"/>
          <w:lang w:val="es-ES_tradnl"/>
        </w:rPr>
        <w:t xml:space="preserve">n se </w:t>
      </w:r>
      <w:r>
        <w:rPr>
          <w:spacing w:val="-6"/>
          <w:sz w:val="18"/>
          <w:szCs w:val="18"/>
          <w:lang w:val="es-ES_tradnl"/>
        </w:rPr>
        <w:t xml:space="preserve">ha visto afectado y ha sido inobservado por la autoridad </w:t>
      </w:r>
      <w:r>
        <w:rPr>
          <w:sz w:val="18"/>
          <w:szCs w:val="18"/>
          <w:lang w:val="es-ES_tradnl"/>
        </w:rPr>
        <w:t>judicial.</w:t>
      </w:r>
    </w:p>
    <w:p w14:paraId="4F67B226" w14:textId="77777777" w:rsidR="00591D54" w:rsidRDefault="00591D54">
      <w:pPr>
        <w:shd w:val="clear" w:color="auto" w:fill="FFFFFF"/>
        <w:spacing w:before="202" w:line="221" w:lineRule="exact"/>
        <w:ind w:right="5"/>
        <w:jc w:val="both"/>
      </w:pPr>
      <w:r>
        <w:rPr>
          <w:spacing w:val="-10"/>
          <w:sz w:val="18"/>
          <w:szCs w:val="18"/>
          <w:lang w:val="es-ES_tradnl"/>
        </w:rPr>
        <w:t xml:space="preserve">Existe de este modo constancia de los errores incurridos por </w:t>
      </w:r>
      <w:r>
        <w:rPr>
          <w:spacing w:val="-9"/>
          <w:sz w:val="18"/>
          <w:szCs w:val="18"/>
          <w:lang w:val="es-ES_tradnl"/>
        </w:rPr>
        <w:t>la Tercera Sala de lo Penal y Tr</w:t>
      </w:r>
      <w:r>
        <w:rPr>
          <w:rFonts w:cs="Times New Roman"/>
          <w:spacing w:val="-9"/>
          <w:sz w:val="18"/>
          <w:szCs w:val="18"/>
          <w:lang w:val="es-ES_tradnl"/>
        </w:rPr>
        <w:t>á</w:t>
      </w:r>
      <w:r>
        <w:rPr>
          <w:spacing w:val="-9"/>
          <w:sz w:val="18"/>
          <w:szCs w:val="18"/>
          <w:lang w:val="es-ES_tradnl"/>
        </w:rPr>
        <w:t>nsito de la Corte Provincial de Justicia del Guayas, y por lo tanto, con todo lo hasta aqu</w:t>
      </w:r>
      <w:r>
        <w:rPr>
          <w:rFonts w:cs="Times New Roman"/>
          <w:spacing w:val="-9"/>
          <w:sz w:val="18"/>
          <w:szCs w:val="18"/>
          <w:lang w:val="es-ES_tradnl"/>
        </w:rPr>
        <w:t xml:space="preserve">í </w:t>
      </w:r>
      <w:r>
        <w:rPr>
          <w:spacing w:val="-7"/>
          <w:sz w:val="18"/>
          <w:szCs w:val="18"/>
          <w:lang w:val="es-ES_tradnl"/>
        </w:rPr>
        <w:t xml:space="preserve">expuesto, la Corte Constitucional concluye que la Tercera </w:t>
      </w:r>
      <w:r>
        <w:rPr>
          <w:spacing w:val="-9"/>
          <w:sz w:val="18"/>
          <w:szCs w:val="18"/>
          <w:lang w:val="es-ES_tradnl"/>
        </w:rPr>
        <w:t>Sala de lo Penal y Tr</w:t>
      </w:r>
      <w:r>
        <w:rPr>
          <w:rFonts w:cs="Times New Roman"/>
          <w:spacing w:val="-9"/>
          <w:sz w:val="18"/>
          <w:szCs w:val="18"/>
          <w:lang w:val="es-ES_tradnl"/>
        </w:rPr>
        <w:t>á</w:t>
      </w:r>
      <w:r>
        <w:rPr>
          <w:spacing w:val="-9"/>
          <w:sz w:val="18"/>
          <w:szCs w:val="18"/>
          <w:lang w:val="es-ES_tradnl"/>
        </w:rPr>
        <w:t>nsito de la Corte Provincial de Justicia</w:t>
      </w:r>
    </w:p>
    <w:p w14:paraId="4F67B227" w14:textId="77777777" w:rsidR="00591D54" w:rsidRDefault="00591D54">
      <w:pPr>
        <w:shd w:val="clear" w:color="auto" w:fill="FFFFFF"/>
        <w:spacing w:before="202" w:line="221" w:lineRule="exact"/>
        <w:ind w:right="5"/>
        <w:jc w:val="both"/>
        <w:sectPr w:rsidR="00591D54">
          <w:type w:val="continuous"/>
          <w:pgSz w:w="11909" w:h="16834"/>
          <w:pgMar w:top="1373" w:right="1304" w:bottom="360" w:left="1308" w:header="720" w:footer="720" w:gutter="0"/>
          <w:cols w:num="2" w:space="720" w:equalWidth="0">
            <w:col w:w="4305" w:space="682"/>
            <w:col w:w="4310"/>
          </w:cols>
          <w:noEndnote/>
        </w:sectPr>
      </w:pPr>
    </w:p>
    <w:p w14:paraId="4F67B228" w14:textId="77777777" w:rsidR="00591D54" w:rsidRDefault="00591D54">
      <w:pPr>
        <w:shd w:val="clear" w:color="auto" w:fill="FFFFFF"/>
        <w:tabs>
          <w:tab w:val="left" w:pos="5842"/>
        </w:tabs>
        <w:spacing w:after="235"/>
        <w:ind w:left="14"/>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- 179</w:t>
      </w:r>
    </w:p>
    <w:p w14:paraId="4F67B229" w14:textId="77777777" w:rsidR="00591D54" w:rsidRDefault="00591D54">
      <w:pPr>
        <w:shd w:val="clear" w:color="auto" w:fill="FFFFFF"/>
        <w:tabs>
          <w:tab w:val="left" w:pos="5842"/>
        </w:tabs>
        <w:spacing w:after="235"/>
        <w:ind w:left="14"/>
        <w:sectPr w:rsidR="00591D54">
          <w:pgSz w:w="11909" w:h="16834"/>
          <w:pgMar w:top="1359" w:right="1309" w:bottom="360" w:left="1308" w:header="720" w:footer="720" w:gutter="0"/>
          <w:cols w:space="60"/>
          <w:noEndnote/>
        </w:sectPr>
      </w:pPr>
    </w:p>
    <w:p w14:paraId="4F67B22A" w14:textId="77777777" w:rsidR="00591D54" w:rsidRDefault="00591D54">
      <w:pPr>
        <w:shd w:val="clear" w:color="auto" w:fill="FFFFFF"/>
        <w:spacing w:line="216" w:lineRule="exact"/>
        <w:ind w:right="5"/>
        <w:jc w:val="both"/>
      </w:pPr>
      <w:r>
        <w:rPr>
          <w:spacing w:val="-10"/>
          <w:sz w:val="18"/>
          <w:szCs w:val="18"/>
          <w:lang w:val="es-ES_tradnl"/>
        </w:rPr>
        <w:t>del Guayas, vulner</w:t>
      </w:r>
      <w:r>
        <w:rPr>
          <w:rFonts w:cs="Times New Roman"/>
          <w:spacing w:val="-10"/>
          <w:sz w:val="18"/>
          <w:szCs w:val="18"/>
          <w:lang w:val="es-ES_tradnl"/>
        </w:rPr>
        <w:t>ó</w:t>
      </w:r>
      <w:r>
        <w:rPr>
          <w:spacing w:val="-10"/>
          <w:sz w:val="18"/>
          <w:szCs w:val="18"/>
          <w:lang w:val="es-ES_tradnl"/>
        </w:rPr>
        <w:t xml:space="preserve"> el debido proceso respecto a la garant</w:t>
      </w:r>
      <w:r>
        <w:rPr>
          <w:rFonts w:cs="Times New Roman"/>
          <w:spacing w:val="-10"/>
          <w:sz w:val="18"/>
          <w:szCs w:val="18"/>
          <w:lang w:val="es-ES_tradnl"/>
        </w:rPr>
        <w:t>í</w:t>
      </w:r>
      <w:r>
        <w:rPr>
          <w:spacing w:val="-10"/>
          <w:sz w:val="18"/>
          <w:szCs w:val="18"/>
          <w:lang w:val="es-ES_tradnl"/>
        </w:rPr>
        <w:t xml:space="preserve">a </w:t>
      </w:r>
      <w:r>
        <w:rPr>
          <w:spacing w:val="-5"/>
          <w:sz w:val="18"/>
          <w:szCs w:val="18"/>
          <w:lang w:val="es-ES_tradnl"/>
        </w:rPr>
        <w:t>de la motivaci</w:t>
      </w:r>
      <w:r>
        <w:rPr>
          <w:rFonts w:cs="Times New Roman"/>
          <w:spacing w:val="-5"/>
          <w:sz w:val="18"/>
          <w:szCs w:val="18"/>
          <w:lang w:val="es-ES_tradnl"/>
        </w:rPr>
        <w:t>ó</w:t>
      </w:r>
      <w:r>
        <w:rPr>
          <w:spacing w:val="-5"/>
          <w:sz w:val="18"/>
          <w:szCs w:val="18"/>
          <w:lang w:val="es-ES_tradnl"/>
        </w:rPr>
        <w:t>n, establecido en el art</w:t>
      </w:r>
      <w:r>
        <w:rPr>
          <w:rFonts w:cs="Times New Roman"/>
          <w:spacing w:val="-5"/>
          <w:sz w:val="18"/>
          <w:szCs w:val="18"/>
          <w:lang w:val="es-ES_tradnl"/>
        </w:rPr>
        <w:t>í</w:t>
      </w:r>
      <w:r>
        <w:rPr>
          <w:spacing w:val="-5"/>
          <w:sz w:val="18"/>
          <w:szCs w:val="18"/>
          <w:lang w:val="es-ES_tradnl"/>
        </w:rPr>
        <w:t xml:space="preserve">culo 76 numeral 7 literal </w:t>
      </w:r>
      <w:r>
        <w:rPr>
          <w:b/>
          <w:bCs/>
          <w:spacing w:val="-5"/>
          <w:sz w:val="18"/>
          <w:szCs w:val="18"/>
          <w:lang w:val="es-ES_tradnl"/>
        </w:rPr>
        <w:t xml:space="preserve">l </w:t>
      </w:r>
      <w:r>
        <w:rPr>
          <w:spacing w:val="-5"/>
          <w:sz w:val="18"/>
          <w:szCs w:val="18"/>
          <w:lang w:val="es-ES_tradnl"/>
        </w:rPr>
        <w:t>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blica.</w:t>
      </w:r>
    </w:p>
    <w:p w14:paraId="4F67B22B" w14:textId="77777777" w:rsidR="00591D54" w:rsidRDefault="00591D54">
      <w:pPr>
        <w:shd w:val="clear" w:color="auto" w:fill="FFFFFF"/>
        <w:spacing w:before="197" w:line="216" w:lineRule="exact"/>
        <w:jc w:val="both"/>
      </w:pPr>
      <w:r>
        <w:rPr>
          <w:spacing w:val="-1"/>
          <w:sz w:val="18"/>
          <w:szCs w:val="18"/>
          <w:lang w:val="es-ES_tradnl"/>
        </w:rPr>
        <w:t>Finalmente, conviene se</w:t>
      </w:r>
      <w:r>
        <w:rPr>
          <w:rFonts w:cs="Times New Roman"/>
          <w:spacing w:val="-1"/>
          <w:sz w:val="18"/>
          <w:szCs w:val="18"/>
          <w:lang w:val="es-ES_tradnl"/>
        </w:rPr>
        <w:t>ñ</w:t>
      </w:r>
      <w:r>
        <w:rPr>
          <w:spacing w:val="-1"/>
          <w:sz w:val="18"/>
          <w:szCs w:val="18"/>
          <w:lang w:val="es-ES_tradnl"/>
        </w:rPr>
        <w:t>alar, tal como se indic</w:t>
      </w:r>
      <w:r>
        <w:rPr>
          <w:rFonts w:cs="Times New Roman"/>
          <w:spacing w:val="-1"/>
          <w:sz w:val="18"/>
          <w:szCs w:val="18"/>
          <w:lang w:val="es-ES_tradnl"/>
        </w:rPr>
        <w:t>ó</w:t>
      </w:r>
      <w:r>
        <w:rPr>
          <w:spacing w:val="-1"/>
          <w:sz w:val="18"/>
          <w:szCs w:val="18"/>
          <w:lang w:val="es-ES_tradnl"/>
        </w:rPr>
        <w:t xml:space="preserve"> en </w:t>
      </w:r>
      <w:r>
        <w:rPr>
          <w:spacing w:val="-5"/>
          <w:sz w:val="18"/>
          <w:szCs w:val="18"/>
          <w:lang w:val="es-ES_tradnl"/>
        </w:rPr>
        <w:t>l</w:t>
      </w:r>
      <w:r>
        <w:rPr>
          <w:rFonts w:cs="Times New Roman"/>
          <w:spacing w:val="-5"/>
          <w:sz w:val="18"/>
          <w:szCs w:val="18"/>
          <w:lang w:val="es-ES_tradnl"/>
        </w:rPr>
        <w:t>í</w:t>
      </w:r>
      <w:r>
        <w:rPr>
          <w:spacing w:val="-5"/>
          <w:sz w:val="18"/>
          <w:szCs w:val="18"/>
          <w:lang w:val="es-ES_tradnl"/>
        </w:rPr>
        <w:t>neas anteriores, que el 19 de julio de 2012, la Corte Constitucional, para el periodo de transici</w:t>
      </w:r>
      <w:r>
        <w:rPr>
          <w:rFonts w:cs="Times New Roman"/>
          <w:spacing w:val="-5"/>
          <w:sz w:val="18"/>
          <w:szCs w:val="18"/>
          <w:lang w:val="es-ES_tradnl"/>
        </w:rPr>
        <w:t>ó</w:t>
      </w:r>
      <w:r>
        <w:rPr>
          <w:spacing w:val="-5"/>
          <w:sz w:val="18"/>
          <w:szCs w:val="18"/>
          <w:lang w:val="es-ES_tradnl"/>
        </w:rPr>
        <w:t xml:space="preserve">n, mediante </w:t>
      </w:r>
      <w:r>
        <w:rPr>
          <w:spacing w:val="-8"/>
          <w:sz w:val="18"/>
          <w:szCs w:val="18"/>
          <w:lang w:val="es-ES_tradnl"/>
        </w:rPr>
        <w:t>sentencia N.</w:t>
      </w:r>
      <w:r>
        <w:rPr>
          <w:rFonts w:cs="Times New Roman"/>
          <w:spacing w:val="-8"/>
          <w:sz w:val="18"/>
          <w:szCs w:val="18"/>
          <w:lang w:val="es-ES_tradnl"/>
        </w:rPr>
        <w:t>º</w:t>
      </w:r>
      <w:r>
        <w:rPr>
          <w:spacing w:val="-8"/>
          <w:sz w:val="18"/>
          <w:szCs w:val="18"/>
          <w:lang w:val="es-ES_tradnl"/>
        </w:rPr>
        <w:t xml:space="preserve"> 187-12-SEP-CC, correspondiente al caso N.</w:t>
      </w:r>
      <w:r>
        <w:rPr>
          <w:rFonts w:cs="Times New Roman"/>
          <w:spacing w:val="-8"/>
          <w:sz w:val="18"/>
          <w:szCs w:val="18"/>
          <w:lang w:val="es-ES_tradnl"/>
        </w:rPr>
        <w:t xml:space="preserve">º </w:t>
      </w:r>
      <w:r>
        <w:rPr>
          <w:spacing w:val="-7"/>
          <w:sz w:val="18"/>
          <w:szCs w:val="18"/>
          <w:lang w:val="es-ES_tradnl"/>
        </w:rPr>
        <w:t>0762-11-EP, se pronunci</w:t>
      </w:r>
      <w:r>
        <w:rPr>
          <w:rFonts w:cs="Times New Roman"/>
          <w:spacing w:val="-7"/>
          <w:sz w:val="18"/>
          <w:szCs w:val="18"/>
          <w:lang w:val="es-ES_tradnl"/>
        </w:rPr>
        <w:t>ó</w:t>
      </w:r>
      <w:r>
        <w:rPr>
          <w:spacing w:val="-7"/>
          <w:sz w:val="18"/>
          <w:szCs w:val="18"/>
          <w:lang w:val="es-ES_tradnl"/>
        </w:rPr>
        <w:t xml:space="preserve"> respecto a los mismos hechos </w:t>
      </w:r>
      <w:r>
        <w:rPr>
          <w:spacing w:val="-11"/>
          <w:sz w:val="18"/>
          <w:szCs w:val="18"/>
          <w:lang w:val="es-ES_tradnl"/>
        </w:rPr>
        <w:t>f</w:t>
      </w:r>
      <w:r>
        <w:rPr>
          <w:rFonts w:cs="Times New Roman"/>
          <w:spacing w:val="-11"/>
          <w:sz w:val="18"/>
          <w:szCs w:val="18"/>
          <w:lang w:val="es-ES_tradnl"/>
        </w:rPr>
        <w:t>á</w:t>
      </w:r>
      <w:r>
        <w:rPr>
          <w:spacing w:val="-11"/>
          <w:sz w:val="18"/>
          <w:szCs w:val="18"/>
          <w:lang w:val="es-ES_tradnl"/>
        </w:rPr>
        <w:t>cticos que se han detallado en el presente an</w:t>
      </w:r>
      <w:r>
        <w:rPr>
          <w:rFonts w:cs="Times New Roman"/>
          <w:spacing w:val="-11"/>
          <w:sz w:val="18"/>
          <w:szCs w:val="18"/>
          <w:lang w:val="es-ES_tradnl"/>
        </w:rPr>
        <w:t>á</w:t>
      </w:r>
      <w:r>
        <w:rPr>
          <w:spacing w:val="-11"/>
          <w:sz w:val="18"/>
          <w:szCs w:val="18"/>
          <w:lang w:val="es-ES_tradnl"/>
        </w:rPr>
        <w:t xml:space="preserve">lisis; es decir, </w:t>
      </w:r>
      <w:r>
        <w:rPr>
          <w:spacing w:val="-9"/>
          <w:sz w:val="18"/>
          <w:szCs w:val="18"/>
          <w:lang w:val="es-ES_tradnl"/>
        </w:rPr>
        <w:t>el 21 de diciembre de 2010, la Superintendencia de Bancos y Seguros present</w:t>
      </w:r>
      <w:r>
        <w:rPr>
          <w:rFonts w:cs="Times New Roman"/>
          <w:spacing w:val="-9"/>
          <w:sz w:val="18"/>
          <w:szCs w:val="18"/>
          <w:lang w:val="es-ES_tradnl"/>
        </w:rPr>
        <w:t>ó</w:t>
      </w:r>
      <w:r>
        <w:rPr>
          <w:spacing w:val="-9"/>
          <w:sz w:val="18"/>
          <w:szCs w:val="18"/>
          <w:lang w:val="es-ES_tradnl"/>
        </w:rPr>
        <w:t xml:space="preserve"> una acci</w:t>
      </w:r>
      <w:r>
        <w:rPr>
          <w:rFonts w:cs="Times New Roman"/>
          <w:spacing w:val="-9"/>
          <w:sz w:val="18"/>
          <w:szCs w:val="18"/>
          <w:lang w:val="es-ES_tradnl"/>
        </w:rPr>
        <w:t>ó</w:t>
      </w:r>
      <w:r>
        <w:rPr>
          <w:spacing w:val="-9"/>
          <w:sz w:val="18"/>
          <w:szCs w:val="18"/>
          <w:lang w:val="es-ES_tradnl"/>
        </w:rPr>
        <w:t>n extraordinaria de protecci</w:t>
      </w:r>
      <w:r>
        <w:rPr>
          <w:rFonts w:cs="Times New Roman"/>
          <w:spacing w:val="-9"/>
          <w:sz w:val="18"/>
          <w:szCs w:val="18"/>
          <w:lang w:val="es-ES_tradnl"/>
        </w:rPr>
        <w:t>ó</w:t>
      </w:r>
      <w:r>
        <w:rPr>
          <w:spacing w:val="-9"/>
          <w:sz w:val="18"/>
          <w:szCs w:val="18"/>
          <w:lang w:val="es-ES_tradnl"/>
        </w:rPr>
        <w:t xml:space="preserve">n </w:t>
      </w:r>
      <w:r>
        <w:rPr>
          <w:spacing w:val="-8"/>
          <w:sz w:val="18"/>
          <w:szCs w:val="18"/>
          <w:lang w:val="es-ES_tradnl"/>
        </w:rPr>
        <w:t xml:space="preserve">en contra de la sentencia emitida por la Tercera Sala de lo </w:t>
      </w:r>
      <w:r>
        <w:rPr>
          <w:spacing w:val="-7"/>
          <w:sz w:val="18"/>
          <w:szCs w:val="18"/>
          <w:lang w:val="es-ES_tradnl"/>
        </w:rPr>
        <w:t>Penal y Tr</w:t>
      </w:r>
      <w:r>
        <w:rPr>
          <w:rFonts w:cs="Times New Roman"/>
          <w:spacing w:val="-7"/>
          <w:sz w:val="18"/>
          <w:szCs w:val="18"/>
          <w:lang w:val="es-ES_tradnl"/>
        </w:rPr>
        <w:t>á</w:t>
      </w:r>
      <w:r>
        <w:rPr>
          <w:spacing w:val="-7"/>
          <w:sz w:val="18"/>
          <w:szCs w:val="18"/>
          <w:lang w:val="es-ES_tradnl"/>
        </w:rPr>
        <w:t xml:space="preserve">nsito de la Corte Provincial del Guayas el 8 de </w:t>
      </w:r>
      <w:r>
        <w:rPr>
          <w:spacing w:val="-8"/>
          <w:sz w:val="18"/>
          <w:szCs w:val="18"/>
          <w:lang w:val="es-ES_tradnl"/>
        </w:rPr>
        <w:t>noviembre de 2010, respecto de la causa N.</w:t>
      </w:r>
      <w:r>
        <w:rPr>
          <w:rFonts w:cs="Times New Roman"/>
          <w:spacing w:val="-8"/>
          <w:sz w:val="18"/>
          <w:szCs w:val="18"/>
          <w:lang w:val="es-ES_tradnl"/>
        </w:rPr>
        <w:t>º</w:t>
      </w:r>
      <w:r>
        <w:rPr>
          <w:spacing w:val="-8"/>
          <w:sz w:val="18"/>
          <w:szCs w:val="18"/>
          <w:lang w:val="es-ES_tradnl"/>
        </w:rPr>
        <w:t xml:space="preserve"> 801-2010/A.</w:t>
      </w:r>
    </w:p>
    <w:p w14:paraId="4F67B22C" w14:textId="77777777" w:rsidR="00591D54" w:rsidRDefault="00591D54">
      <w:pPr>
        <w:shd w:val="clear" w:color="auto" w:fill="FFFFFF"/>
        <w:spacing w:before="197" w:line="216" w:lineRule="exact"/>
        <w:jc w:val="both"/>
      </w:pPr>
      <w:r>
        <w:rPr>
          <w:spacing w:val="-7"/>
          <w:sz w:val="18"/>
          <w:szCs w:val="18"/>
          <w:lang w:val="es-ES_tradnl"/>
        </w:rPr>
        <w:t xml:space="preserve">En dicha sentencia la Corte Constitucional, para el periodo </w:t>
      </w:r>
      <w:r>
        <w:rPr>
          <w:spacing w:val="-5"/>
          <w:sz w:val="18"/>
          <w:szCs w:val="18"/>
          <w:lang w:val="es-ES_tradnl"/>
        </w:rPr>
        <w:t>de transici</w:t>
      </w:r>
      <w:r>
        <w:rPr>
          <w:rFonts w:cs="Times New Roman"/>
          <w:spacing w:val="-5"/>
          <w:sz w:val="18"/>
          <w:szCs w:val="18"/>
          <w:lang w:val="es-ES_tradnl"/>
        </w:rPr>
        <w:t>ó</w:t>
      </w:r>
      <w:r>
        <w:rPr>
          <w:spacing w:val="-5"/>
          <w:sz w:val="18"/>
          <w:szCs w:val="18"/>
          <w:lang w:val="es-ES_tradnl"/>
        </w:rPr>
        <w:t>n, resolvi</w:t>
      </w:r>
      <w:r>
        <w:rPr>
          <w:rFonts w:cs="Times New Roman"/>
          <w:spacing w:val="-5"/>
          <w:sz w:val="18"/>
          <w:szCs w:val="18"/>
          <w:lang w:val="es-ES_tradnl"/>
        </w:rPr>
        <w:t>ó</w:t>
      </w:r>
      <w:r>
        <w:rPr>
          <w:spacing w:val="-5"/>
          <w:sz w:val="18"/>
          <w:szCs w:val="18"/>
          <w:lang w:val="es-ES_tradnl"/>
        </w:rPr>
        <w:t xml:space="preserve"> declarar la vulneraci</w:t>
      </w:r>
      <w:r>
        <w:rPr>
          <w:rFonts w:cs="Times New Roman"/>
          <w:spacing w:val="-5"/>
          <w:sz w:val="18"/>
          <w:szCs w:val="18"/>
          <w:lang w:val="es-ES_tradnl"/>
        </w:rPr>
        <w:t>ó</w:t>
      </w:r>
      <w:r>
        <w:rPr>
          <w:spacing w:val="-5"/>
          <w:sz w:val="18"/>
          <w:szCs w:val="18"/>
          <w:lang w:val="es-ES_tradnl"/>
        </w:rPr>
        <w:t xml:space="preserve">n del derecho </w:t>
      </w:r>
      <w:r>
        <w:rPr>
          <w:spacing w:val="-6"/>
          <w:sz w:val="18"/>
          <w:szCs w:val="18"/>
          <w:lang w:val="es-ES_tradnl"/>
        </w:rPr>
        <w:t>a la tutela judicial efectiva, adem</w:t>
      </w:r>
      <w:r>
        <w:rPr>
          <w:rFonts w:cs="Times New Roman"/>
          <w:spacing w:val="-6"/>
          <w:sz w:val="18"/>
          <w:szCs w:val="18"/>
          <w:lang w:val="es-ES_tradnl"/>
        </w:rPr>
        <w:t>á</w:t>
      </w:r>
      <w:r>
        <w:rPr>
          <w:spacing w:val="-6"/>
          <w:sz w:val="18"/>
          <w:szCs w:val="18"/>
          <w:lang w:val="es-ES_tradnl"/>
        </w:rPr>
        <w:t xml:space="preserve">s del derecho al debido </w:t>
      </w:r>
      <w:r>
        <w:rPr>
          <w:spacing w:val="-5"/>
          <w:sz w:val="18"/>
          <w:szCs w:val="18"/>
          <w:lang w:val="es-ES_tradnl"/>
        </w:rPr>
        <w:t>proceso y seguridad jur</w:t>
      </w:r>
      <w:r>
        <w:rPr>
          <w:rFonts w:cs="Times New Roman"/>
          <w:spacing w:val="-5"/>
          <w:sz w:val="18"/>
          <w:szCs w:val="18"/>
          <w:lang w:val="es-ES_tradnl"/>
        </w:rPr>
        <w:t>í</w:t>
      </w:r>
      <w:r>
        <w:rPr>
          <w:spacing w:val="-5"/>
          <w:sz w:val="18"/>
          <w:szCs w:val="18"/>
          <w:lang w:val="es-ES_tradnl"/>
        </w:rPr>
        <w:t>dica, contenidos en los art</w:t>
      </w:r>
      <w:r>
        <w:rPr>
          <w:rFonts w:cs="Times New Roman"/>
          <w:spacing w:val="-5"/>
          <w:sz w:val="18"/>
          <w:szCs w:val="18"/>
          <w:lang w:val="es-ES_tradnl"/>
        </w:rPr>
        <w:t>í</w:t>
      </w:r>
      <w:r>
        <w:rPr>
          <w:spacing w:val="-5"/>
          <w:sz w:val="18"/>
          <w:szCs w:val="18"/>
          <w:lang w:val="es-ES_tradnl"/>
        </w:rPr>
        <w:t xml:space="preserve">culos </w:t>
      </w:r>
      <w:r>
        <w:rPr>
          <w:spacing w:val="-6"/>
          <w:sz w:val="18"/>
          <w:szCs w:val="18"/>
          <w:lang w:val="es-ES_tradnl"/>
        </w:rPr>
        <w:t>75, 76 numeral 1, y 82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del Ecuador, ordenando dejar sin efecto la sentencia </w:t>
      </w:r>
      <w:r>
        <w:rPr>
          <w:spacing w:val="-7"/>
          <w:sz w:val="18"/>
          <w:szCs w:val="18"/>
          <w:lang w:val="es-ES_tradnl"/>
        </w:rPr>
        <w:t xml:space="preserve">demandada, es decir, la sentencia emitida por la Tercera </w:t>
      </w:r>
      <w:r>
        <w:rPr>
          <w:spacing w:val="-3"/>
          <w:sz w:val="18"/>
          <w:szCs w:val="18"/>
          <w:lang w:val="es-ES_tradnl"/>
        </w:rPr>
        <w:t>Sala de lo Penal y Tr</w:t>
      </w:r>
      <w:r>
        <w:rPr>
          <w:rFonts w:cs="Times New Roman"/>
          <w:spacing w:val="-3"/>
          <w:sz w:val="18"/>
          <w:szCs w:val="18"/>
          <w:lang w:val="es-ES_tradnl"/>
        </w:rPr>
        <w:t>á</w:t>
      </w:r>
      <w:r>
        <w:rPr>
          <w:spacing w:val="-3"/>
          <w:sz w:val="18"/>
          <w:szCs w:val="18"/>
          <w:lang w:val="es-ES_tradnl"/>
        </w:rPr>
        <w:t xml:space="preserve">nsito de la Corte Provincial del </w:t>
      </w:r>
      <w:r>
        <w:rPr>
          <w:spacing w:val="-9"/>
          <w:sz w:val="18"/>
          <w:szCs w:val="18"/>
          <w:lang w:val="es-ES_tradnl"/>
        </w:rPr>
        <w:t xml:space="preserve">Guayas el 08 de noviembre de 2010, que ha sido analizada </w:t>
      </w:r>
      <w:r>
        <w:rPr>
          <w:spacing w:val="-6"/>
          <w:sz w:val="18"/>
          <w:szCs w:val="18"/>
          <w:lang w:val="es-ES_tradnl"/>
        </w:rPr>
        <w:t>en el presente caso, y dej</w:t>
      </w:r>
      <w:r>
        <w:rPr>
          <w:rFonts w:cs="Times New Roman"/>
          <w:spacing w:val="-6"/>
          <w:sz w:val="18"/>
          <w:szCs w:val="18"/>
          <w:lang w:val="es-ES_tradnl"/>
        </w:rPr>
        <w:t>ó</w:t>
      </w:r>
      <w:r>
        <w:rPr>
          <w:spacing w:val="-6"/>
          <w:sz w:val="18"/>
          <w:szCs w:val="18"/>
          <w:lang w:val="es-ES_tradnl"/>
        </w:rPr>
        <w:t xml:space="preserve"> en firme la resoluci</w:t>
      </w:r>
      <w:r>
        <w:rPr>
          <w:rFonts w:cs="Times New Roman"/>
          <w:spacing w:val="-6"/>
          <w:sz w:val="18"/>
          <w:szCs w:val="18"/>
          <w:lang w:val="es-ES_tradnl"/>
        </w:rPr>
        <w:t>ó</w:t>
      </w:r>
      <w:r>
        <w:rPr>
          <w:spacing w:val="-6"/>
          <w:sz w:val="18"/>
          <w:szCs w:val="18"/>
          <w:lang w:val="es-ES_tradnl"/>
        </w:rPr>
        <w:t xml:space="preserve">n emitida </w:t>
      </w:r>
      <w:r>
        <w:rPr>
          <w:sz w:val="18"/>
          <w:szCs w:val="18"/>
          <w:lang w:val="es-ES_tradnl"/>
        </w:rPr>
        <w:t>por la Junta Bancaria N.</w:t>
      </w:r>
      <w:r>
        <w:rPr>
          <w:rFonts w:cs="Times New Roman"/>
          <w:sz w:val="18"/>
          <w:szCs w:val="18"/>
          <w:lang w:val="es-ES_tradnl"/>
        </w:rPr>
        <w:t>º</w:t>
      </w:r>
      <w:r>
        <w:rPr>
          <w:sz w:val="18"/>
          <w:szCs w:val="18"/>
          <w:lang w:val="es-ES_tradnl"/>
        </w:rPr>
        <w:t xml:space="preserve"> JB2010-1730.</w:t>
      </w:r>
    </w:p>
    <w:p w14:paraId="4F67B22D" w14:textId="77777777" w:rsidR="00591D54" w:rsidRDefault="00591D54">
      <w:pPr>
        <w:shd w:val="clear" w:color="auto" w:fill="FFFFFF"/>
        <w:spacing w:before="192" w:line="216" w:lineRule="exact"/>
        <w:jc w:val="both"/>
      </w:pPr>
      <w:r>
        <w:rPr>
          <w:spacing w:val="-4"/>
          <w:sz w:val="18"/>
          <w:szCs w:val="18"/>
          <w:lang w:val="es-ES_tradnl"/>
        </w:rPr>
        <w:t>Dicho pronunciamiento, en conjunto con el an</w:t>
      </w:r>
      <w:r>
        <w:rPr>
          <w:rFonts w:cs="Times New Roman"/>
          <w:spacing w:val="-4"/>
          <w:sz w:val="18"/>
          <w:szCs w:val="18"/>
          <w:lang w:val="es-ES_tradnl"/>
        </w:rPr>
        <w:t>á</w:t>
      </w:r>
      <w:r>
        <w:rPr>
          <w:spacing w:val="-4"/>
          <w:sz w:val="18"/>
          <w:szCs w:val="18"/>
          <w:lang w:val="es-ES_tradnl"/>
        </w:rPr>
        <w:t xml:space="preserve">lisis </w:t>
      </w:r>
      <w:r>
        <w:rPr>
          <w:spacing w:val="-3"/>
          <w:sz w:val="18"/>
          <w:szCs w:val="18"/>
          <w:lang w:val="es-ES_tradnl"/>
        </w:rPr>
        <w:t xml:space="preserve">desarrollado en el presente caso, lleva a la Corte </w:t>
      </w:r>
      <w:r>
        <w:rPr>
          <w:spacing w:val="-8"/>
          <w:sz w:val="18"/>
          <w:szCs w:val="18"/>
          <w:lang w:val="es-ES_tradnl"/>
        </w:rPr>
        <w:t xml:space="preserve">Constitucional del Ecuador a ratificar mediante el presente </w:t>
      </w:r>
      <w:r>
        <w:rPr>
          <w:spacing w:val="-7"/>
          <w:sz w:val="18"/>
          <w:szCs w:val="18"/>
          <w:lang w:val="es-ES_tradnl"/>
        </w:rPr>
        <w:t>fallo, el pronunciamiento emitido mediante la sentencia N.</w:t>
      </w:r>
      <w:r>
        <w:rPr>
          <w:rFonts w:cs="Times New Roman"/>
          <w:spacing w:val="-7"/>
          <w:sz w:val="18"/>
          <w:szCs w:val="18"/>
          <w:lang w:val="es-ES_tradnl"/>
        </w:rPr>
        <w:t xml:space="preserve">º </w:t>
      </w:r>
      <w:r>
        <w:rPr>
          <w:sz w:val="18"/>
          <w:szCs w:val="18"/>
          <w:lang w:val="es-ES_tradnl"/>
        </w:rPr>
        <w:t>187-12-SEP-CC.</w:t>
      </w:r>
    </w:p>
    <w:p w14:paraId="4F67B22E" w14:textId="77777777" w:rsidR="00591D54" w:rsidRDefault="00591D54">
      <w:pPr>
        <w:shd w:val="clear" w:color="auto" w:fill="FFFFFF"/>
        <w:spacing w:before="192" w:line="216" w:lineRule="exact"/>
        <w:ind w:right="5"/>
        <w:jc w:val="both"/>
      </w:pPr>
      <w:r>
        <w:rPr>
          <w:b/>
          <w:bCs/>
          <w:spacing w:val="-7"/>
          <w:sz w:val="18"/>
          <w:szCs w:val="18"/>
          <w:lang w:val="es-ES_tradnl"/>
        </w:rPr>
        <w:t xml:space="preserve">2. La sentencia dictada por la Tercera Sala de lo Penal </w:t>
      </w:r>
      <w:r>
        <w:rPr>
          <w:b/>
          <w:bCs/>
          <w:spacing w:val="-9"/>
          <w:sz w:val="18"/>
          <w:szCs w:val="18"/>
          <w:lang w:val="es-ES_tradnl"/>
        </w:rPr>
        <w:t>y Tr</w:t>
      </w:r>
      <w:r>
        <w:rPr>
          <w:rFonts w:cs="Times New Roman"/>
          <w:b/>
          <w:bCs/>
          <w:spacing w:val="-9"/>
          <w:sz w:val="18"/>
          <w:szCs w:val="18"/>
          <w:lang w:val="es-ES_tradnl"/>
        </w:rPr>
        <w:t>á</w:t>
      </w:r>
      <w:r>
        <w:rPr>
          <w:b/>
          <w:bCs/>
          <w:spacing w:val="-9"/>
          <w:sz w:val="18"/>
          <w:szCs w:val="18"/>
          <w:lang w:val="es-ES_tradnl"/>
        </w:rPr>
        <w:t xml:space="preserve">nsito de la Corte Provincial de Justicia del Guayas </w:t>
      </w:r>
      <w:r>
        <w:rPr>
          <w:b/>
          <w:bCs/>
          <w:spacing w:val="-7"/>
          <w:sz w:val="18"/>
          <w:szCs w:val="18"/>
          <w:lang w:val="es-ES_tradnl"/>
        </w:rPr>
        <w:t xml:space="preserve">el 08 de noviembre de 2010, </w:t>
      </w:r>
      <w:r>
        <w:rPr>
          <w:rFonts w:cs="Times New Roman"/>
          <w:b/>
          <w:bCs/>
          <w:spacing w:val="-7"/>
          <w:sz w:val="18"/>
          <w:szCs w:val="18"/>
          <w:lang w:val="es-ES_tradnl"/>
        </w:rPr>
        <w:t>¿</w:t>
      </w:r>
      <w:r>
        <w:rPr>
          <w:b/>
          <w:bCs/>
          <w:spacing w:val="-7"/>
          <w:sz w:val="18"/>
          <w:szCs w:val="18"/>
          <w:lang w:val="es-ES_tradnl"/>
        </w:rPr>
        <w:t>vulner</w:t>
      </w:r>
      <w:r>
        <w:rPr>
          <w:rFonts w:cs="Times New Roman"/>
          <w:b/>
          <w:bCs/>
          <w:spacing w:val="-7"/>
          <w:sz w:val="18"/>
          <w:szCs w:val="18"/>
          <w:lang w:val="es-ES_tradnl"/>
        </w:rPr>
        <w:t>ó</w:t>
      </w:r>
      <w:r>
        <w:rPr>
          <w:b/>
          <w:bCs/>
          <w:spacing w:val="-7"/>
          <w:sz w:val="18"/>
          <w:szCs w:val="18"/>
          <w:lang w:val="es-ES_tradnl"/>
        </w:rPr>
        <w:t xml:space="preserve"> el derecho a la seguridad jur</w:t>
      </w:r>
      <w:r>
        <w:rPr>
          <w:rFonts w:cs="Times New Roman"/>
          <w:b/>
          <w:bCs/>
          <w:spacing w:val="-7"/>
          <w:sz w:val="18"/>
          <w:szCs w:val="18"/>
          <w:lang w:val="es-ES_tradnl"/>
        </w:rPr>
        <w:t>í</w:t>
      </w:r>
      <w:r>
        <w:rPr>
          <w:b/>
          <w:bCs/>
          <w:spacing w:val="-7"/>
          <w:sz w:val="18"/>
          <w:szCs w:val="18"/>
          <w:lang w:val="es-ES_tradnl"/>
        </w:rPr>
        <w:t>dica, establecido en el art</w:t>
      </w:r>
      <w:r>
        <w:rPr>
          <w:rFonts w:cs="Times New Roman"/>
          <w:b/>
          <w:bCs/>
          <w:spacing w:val="-7"/>
          <w:sz w:val="18"/>
          <w:szCs w:val="18"/>
          <w:lang w:val="es-ES_tradnl"/>
        </w:rPr>
        <w:t>í</w:t>
      </w:r>
      <w:r>
        <w:rPr>
          <w:b/>
          <w:bCs/>
          <w:spacing w:val="-7"/>
          <w:sz w:val="18"/>
          <w:szCs w:val="18"/>
          <w:lang w:val="es-ES_tradnl"/>
        </w:rPr>
        <w:t xml:space="preserve">culo 82 de la </w:t>
      </w:r>
      <w:r>
        <w:rPr>
          <w:b/>
          <w:bCs/>
          <w:sz w:val="18"/>
          <w:szCs w:val="18"/>
          <w:lang w:val="es-ES_tradnl"/>
        </w:rPr>
        <w:t>Constituci</w:t>
      </w:r>
      <w:r>
        <w:rPr>
          <w:rFonts w:cs="Times New Roman"/>
          <w:b/>
          <w:bCs/>
          <w:sz w:val="18"/>
          <w:szCs w:val="18"/>
          <w:lang w:val="es-ES_tradnl"/>
        </w:rPr>
        <w:t>ó</w:t>
      </w:r>
      <w:r>
        <w:rPr>
          <w:b/>
          <w:bCs/>
          <w:sz w:val="18"/>
          <w:szCs w:val="18"/>
          <w:lang w:val="es-ES_tradnl"/>
        </w:rPr>
        <w:t>n de la Rep</w:t>
      </w:r>
      <w:r>
        <w:rPr>
          <w:rFonts w:cs="Times New Roman"/>
          <w:b/>
          <w:bCs/>
          <w:sz w:val="18"/>
          <w:szCs w:val="18"/>
          <w:lang w:val="es-ES_tradnl"/>
        </w:rPr>
        <w:t>ú</w:t>
      </w:r>
      <w:r>
        <w:rPr>
          <w:b/>
          <w:bCs/>
          <w:sz w:val="18"/>
          <w:szCs w:val="18"/>
          <w:lang w:val="es-ES_tradnl"/>
        </w:rPr>
        <w:t>blica?</w:t>
      </w:r>
    </w:p>
    <w:p w14:paraId="4F67B22F" w14:textId="77777777" w:rsidR="00591D54" w:rsidRDefault="00591D54">
      <w:pPr>
        <w:shd w:val="clear" w:color="auto" w:fill="FFFFFF"/>
        <w:spacing w:before="192" w:line="216" w:lineRule="exact"/>
        <w:ind w:right="5"/>
        <w:jc w:val="both"/>
      </w:pPr>
      <w:r>
        <w:rPr>
          <w:spacing w:val="-5"/>
          <w:sz w:val="18"/>
          <w:szCs w:val="18"/>
          <w:lang w:val="es-ES_tradnl"/>
        </w:rPr>
        <w:t>De conformidad con lo dispuesto en el art</w:t>
      </w:r>
      <w:r>
        <w:rPr>
          <w:rFonts w:cs="Times New Roman"/>
          <w:spacing w:val="-5"/>
          <w:sz w:val="18"/>
          <w:szCs w:val="18"/>
          <w:lang w:val="es-ES_tradnl"/>
        </w:rPr>
        <w:t>í</w:t>
      </w:r>
      <w:r>
        <w:rPr>
          <w:spacing w:val="-5"/>
          <w:sz w:val="18"/>
          <w:szCs w:val="18"/>
          <w:lang w:val="es-ES_tradnl"/>
        </w:rPr>
        <w:t xml:space="preserve">culo 82 de la </w:t>
      </w:r>
      <w:r>
        <w:rPr>
          <w:spacing w:val="-8"/>
          <w:sz w:val="18"/>
          <w:szCs w:val="18"/>
          <w:lang w:val="es-ES_tradnl"/>
        </w:rPr>
        <w:t>Constituci</w:t>
      </w:r>
      <w:r>
        <w:rPr>
          <w:rFonts w:cs="Times New Roman"/>
          <w:spacing w:val="-8"/>
          <w:sz w:val="18"/>
          <w:szCs w:val="18"/>
          <w:lang w:val="es-ES_tradnl"/>
        </w:rPr>
        <w:t>ó</w:t>
      </w:r>
      <w:r>
        <w:rPr>
          <w:spacing w:val="-8"/>
          <w:sz w:val="18"/>
          <w:szCs w:val="18"/>
          <w:lang w:val="es-ES_tradnl"/>
        </w:rPr>
        <w:t>n de la Rep</w:t>
      </w:r>
      <w:r>
        <w:rPr>
          <w:rFonts w:cs="Times New Roman"/>
          <w:spacing w:val="-8"/>
          <w:sz w:val="18"/>
          <w:szCs w:val="18"/>
          <w:lang w:val="es-ES_tradnl"/>
        </w:rPr>
        <w:t>ú</w:t>
      </w:r>
      <w:r>
        <w:rPr>
          <w:spacing w:val="-8"/>
          <w:sz w:val="18"/>
          <w:szCs w:val="18"/>
          <w:lang w:val="es-ES_tradnl"/>
        </w:rPr>
        <w:t>blica, la seguridad jur</w:t>
      </w:r>
      <w:r>
        <w:rPr>
          <w:rFonts w:cs="Times New Roman"/>
          <w:spacing w:val="-8"/>
          <w:sz w:val="18"/>
          <w:szCs w:val="18"/>
          <w:lang w:val="es-ES_tradnl"/>
        </w:rPr>
        <w:t>í</w:t>
      </w:r>
      <w:r>
        <w:rPr>
          <w:spacing w:val="-8"/>
          <w:sz w:val="18"/>
          <w:szCs w:val="18"/>
          <w:lang w:val="es-ES_tradnl"/>
        </w:rPr>
        <w:t xml:space="preserve">dica debe ser </w:t>
      </w:r>
      <w:r>
        <w:rPr>
          <w:spacing w:val="-7"/>
          <w:sz w:val="18"/>
          <w:szCs w:val="18"/>
          <w:lang w:val="es-ES_tradnl"/>
        </w:rPr>
        <w:t>entendida como el respeto a la Constituci</w:t>
      </w:r>
      <w:r>
        <w:rPr>
          <w:rFonts w:cs="Times New Roman"/>
          <w:spacing w:val="-7"/>
          <w:sz w:val="18"/>
          <w:szCs w:val="18"/>
          <w:lang w:val="es-ES_tradnl"/>
        </w:rPr>
        <w:t>ó</w:t>
      </w:r>
      <w:r>
        <w:rPr>
          <w:spacing w:val="-7"/>
          <w:sz w:val="18"/>
          <w:szCs w:val="18"/>
          <w:lang w:val="es-ES_tradnl"/>
        </w:rPr>
        <w:t xml:space="preserve">n y la existencia </w:t>
      </w:r>
      <w:r>
        <w:rPr>
          <w:spacing w:val="-11"/>
          <w:sz w:val="18"/>
          <w:szCs w:val="18"/>
          <w:lang w:val="es-ES_tradnl"/>
        </w:rPr>
        <w:t>de normas previas, claras, p</w:t>
      </w:r>
      <w:r>
        <w:rPr>
          <w:rFonts w:cs="Times New Roman"/>
          <w:spacing w:val="-11"/>
          <w:sz w:val="18"/>
          <w:szCs w:val="18"/>
          <w:lang w:val="es-ES_tradnl"/>
        </w:rPr>
        <w:t>ú</w:t>
      </w:r>
      <w:r>
        <w:rPr>
          <w:spacing w:val="-11"/>
          <w:sz w:val="18"/>
          <w:szCs w:val="18"/>
          <w:lang w:val="es-ES_tradnl"/>
        </w:rPr>
        <w:t xml:space="preserve">blicas y aplicadas por autoridad </w:t>
      </w:r>
      <w:r>
        <w:rPr>
          <w:sz w:val="18"/>
          <w:szCs w:val="18"/>
          <w:lang w:val="es-ES_tradnl"/>
        </w:rPr>
        <w:t>competente.</w:t>
      </w:r>
    </w:p>
    <w:p w14:paraId="4F67B230" w14:textId="77777777" w:rsidR="00591D54" w:rsidRDefault="00591D54">
      <w:pPr>
        <w:shd w:val="clear" w:color="auto" w:fill="FFFFFF"/>
        <w:spacing w:before="192" w:line="216" w:lineRule="exact"/>
        <w:ind w:right="5"/>
        <w:jc w:val="both"/>
      </w:pPr>
      <w:r>
        <w:rPr>
          <w:spacing w:val="-4"/>
          <w:sz w:val="18"/>
          <w:szCs w:val="18"/>
          <w:lang w:val="es-ES_tradnl"/>
        </w:rPr>
        <w:t>Mediante sentencia N.</w:t>
      </w:r>
      <w:r>
        <w:rPr>
          <w:rFonts w:cs="Times New Roman"/>
          <w:spacing w:val="-4"/>
          <w:sz w:val="18"/>
          <w:szCs w:val="18"/>
          <w:lang w:val="es-ES_tradnl"/>
        </w:rPr>
        <w:t>°</w:t>
      </w:r>
      <w:r>
        <w:rPr>
          <w:spacing w:val="-4"/>
          <w:sz w:val="18"/>
          <w:szCs w:val="18"/>
          <w:lang w:val="es-ES_tradnl"/>
        </w:rPr>
        <w:t xml:space="preserve"> 020-13-SEP-CC, la Corte Constitucional expres</w:t>
      </w:r>
      <w:r>
        <w:rPr>
          <w:rFonts w:cs="Times New Roman"/>
          <w:spacing w:val="-4"/>
          <w:sz w:val="18"/>
          <w:szCs w:val="18"/>
          <w:lang w:val="es-ES_tradnl"/>
        </w:rPr>
        <w:t>ó</w:t>
      </w:r>
      <w:r>
        <w:rPr>
          <w:spacing w:val="-4"/>
          <w:sz w:val="18"/>
          <w:szCs w:val="18"/>
          <w:lang w:val="es-ES_tradnl"/>
        </w:rPr>
        <w:t xml:space="preserve"> sobre la seguridad jur</w:t>
      </w:r>
      <w:r>
        <w:rPr>
          <w:rFonts w:cs="Times New Roman"/>
          <w:spacing w:val="-4"/>
          <w:sz w:val="18"/>
          <w:szCs w:val="18"/>
          <w:lang w:val="es-ES_tradnl"/>
        </w:rPr>
        <w:t>í</w:t>
      </w:r>
      <w:r>
        <w:rPr>
          <w:spacing w:val="-4"/>
          <w:sz w:val="18"/>
          <w:szCs w:val="18"/>
          <w:lang w:val="es-ES_tradnl"/>
        </w:rPr>
        <w:t xml:space="preserve">dica lo </w:t>
      </w:r>
      <w:r>
        <w:rPr>
          <w:sz w:val="18"/>
          <w:szCs w:val="18"/>
          <w:lang w:val="es-ES_tradnl"/>
        </w:rPr>
        <w:t>siguiente:</w:t>
      </w:r>
    </w:p>
    <w:p w14:paraId="4F67B231" w14:textId="77777777" w:rsidR="00591D54" w:rsidRDefault="00591D54">
      <w:pPr>
        <w:shd w:val="clear" w:color="auto" w:fill="FFFFFF"/>
        <w:spacing w:before="206" w:line="216" w:lineRule="exact"/>
        <w:ind w:left="283" w:right="5"/>
        <w:jc w:val="both"/>
      </w:pPr>
      <w:r>
        <w:rPr>
          <w:sz w:val="14"/>
          <w:szCs w:val="14"/>
          <w:lang w:val="es-ES_tradnl"/>
        </w:rPr>
        <w:t>A trav</w:t>
      </w:r>
      <w:r>
        <w:rPr>
          <w:rFonts w:cs="Times New Roman"/>
          <w:sz w:val="14"/>
          <w:szCs w:val="14"/>
          <w:lang w:val="es-ES_tradnl"/>
        </w:rPr>
        <w:t>é</w:t>
      </w:r>
      <w:r>
        <w:rPr>
          <w:sz w:val="14"/>
          <w:szCs w:val="14"/>
          <w:lang w:val="es-ES_tradnl"/>
        </w:rPr>
        <w:t>s de este derecho se busca otorgar certeza a los ciudadanos respecto a la aplicaci</w:t>
      </w:r>
      <w:r>
        <w:rPr>
          <w:rFonts w:cs="Times New Roman"/>
          <w:sz w:val="14"/>
          <w:szCs w:val="14"/>
          <w:lang w:val="es-ES_tradnl"/>
        </w:rPr>
        <w:t>ó</w:t>
      </w:r>
      <w:r>
        <w:rPr>
          <w:sz w:val="14"/>
          <w:szCs w:val="14"/>
          <w:lang w:val="es-ES_tradnl"/>
        </w:rPr>
        <w:t>n del derecho vigente y en cuanto al reconocimiento y previsibilidad de las situaciones jur</w:t>
      </w:r>
      <w:r>
        <w:rPr>
          <w:rFonts w:cs="Times New Roman"/>
          <w:sz w:val="14"/>
          <w:szCs w:val="14"/>
          <w:lang w:val="es-ES_tradnl"/>
        </w:rPr>
        <w:t>í</w:t>
      </w:r>
      <w:r>
        <w:rPr>
          <w:sz w:val="14"/>
          <w:szCs w:val="14"/>
          <w:lang w:val="es-ES_tradnl"/>
        </w:rPr>
        <w:t>dicas; por lo tanto, las autoridades investidas de potestad jurisdiccional est</w:t>
      </w:r>
      <w:r>
        <w:rPr>
          <w:rFonts w:cs="Times New Roman"/>
          <w:sz w:val="14"/>
          <w:szCs w:val="14"/>
          <w:lang w:val="es-ES_tradnl"/>
        </w:rPr>
        <w:t>á</w:t>
      </w:r>
      <w:r>
        <w:rPr>
          <w:sz w:val="14"/>
          <w:szCs w:val="14"/>
          <w:lang w:val="es-ES_tradnl"/>
        </w:rPr>
        <w:t>n en la obligaci</w:t>
      </w:r>
      <w:r>
        <w:rPr>
          <w:rFonts w:cs="Times New Roman"/>
          <w:sz w:val="14"/>
          <w:szCs w:val="14"/>
          <w:lang w:val="es-ES_tradnl"/>
        </w:rPr>
        <w:t>ó</w:t>
      </w:r>
      <w:r>
        <w:rPr>
          <w:sz w:val="14"/>
          <w:szCs w:val="14"/>
          <w:lang w:val="es-ES_tradnl"/>
        </w:rPr>
        <w:t>n de aplicar adecuadamente la Constituci</w:t>
      </w:r>
      <w:r>
        <w:rPr>
          <w:rFonts w:cs="Times New Roman"/>
          <w:sz w:val="14"/>
          <w:szCs w:val="14"/>
          <w:lang w:val="es-ES_tradnl"/>
        </w:rPr>
        <w:t>ó</w:t>
      </w:r>
      <w:r>
        <w:rPr>
          <w:sz w:val="14"/>
          <w:szCs w:val="14"/>
          <w:lang w:val="es-ES_tradnl"/>
        </w:rPr>
        <w:t>n y dem</w:t>
      </w:r>
      <w:r>
        <w:rPr>
          <w:rFonts w:cs="Times New Roman"/>
          <w:sz w:val="14"/>
          <w:szCs w:val="14"/>
          <w:lang w:val="es-ES_tradnl"/>
        </w:rPr>
        <w:t>á</w:t>
      </w:r>
      <w:r>
        <w:rPr>
          <w:sz w:val="14"/>
          <w:szCs w:val="14"/>
          <w:lang w:val="es-ES_tradnl"/>
        </w:rPr>
        <w:t>s normas jur</w:t>
      </w:r>
      <w:r>
        <w:rPr>
          <w:rFonts w:cs="Times New Roman"/>
          <w:sz w:val="14"/>
          <w:szCs w:val="14"/>
          <w:lang w:val="es-ES_tradnl"/>
        </w:rPr>
        <w:t>í</w:t>
      </w:r>
      <w:r>
        <w:rPr>
          <w:sz w:val="14"/>
          <w:szCs w:val="14"/>
          <w:lang w:val="es-ES_tradnl"/>
        </w:rPr>
        <w:t>dicas en los procesos sometidos a su conocimiento. En este sentido, la seguridad jur</w:t>
      </w:r>
      <w:r>
        <w:rPr>
          <w:rFonts w:cs="Times New Roman"/>
          <w:sz w:val="14"/>
          <w:szCs w:val="14"/>
          <w:lang w:val="es-ES_tradnl"/>
        </w:rPr>
        <w:t>í</w:t>
      </w:r>
      <w:r>
        <w:rPr>
          <w:sz w:val="14"/>
          <w:szCs w:val="14"/>
          <w:lang w:val="es-ES_tradnl"/>
        </w:rPr>
        <w:t>dica implica la preexistencia de normas y constituye en s</w:t>
      </w:r>
      <w:r>
        <w:rPr>
          <w:rFonts w:cs="Times New Roman"/>
          <w:sz w:val="14"/>
          <w:szCs w:val="14"/>
          <w:lang w:val="es-ES_tradnl"/>
        </w:rPr>
        <w:t xml:space="preserve">í </w:t>
      </w:r>
      <w:r>
        <w:rPr>
          <w:sz w:val="14"/>
          <w:szCs w:val="14"/>
          <w:lang w:val="es-ES_tradnl"/>
        </w:rPr>
        <w:t>misma la reivindicaci</w:t>
      </w:r>
      <w:r>
        <w:rPr>
          <w:rFonts w:cs="Times New Roman"/>
          <w:sz w:val="14"/>
          <w:szCs w:val="14"/>
          <w:lang w:val="es-ES_tradnl"/>
        </w:rPr>
        <w:t>ó</w:t>
      </w:r>
      <w:r>
        <w:rPr>
          <w:sz w:val="14"/>
          <w:szCs w:val="14"/>
          <w:lang w:val="es-ES_tradnl"/>
        </w:rPr>
        <w:t>n de las disposiciones que determinan los mecanismos judiciales establecidos como garant</w:t>
      </w:r>
      <w:r>
        <w:rPr>
          <w:rFonts w:cs="Times New Roman"/>
          <w:sz w:val="14"/>
          <w:szCs w:val="14"/>
          <w:lang w:val="es-ES_tradnl"/>
        </w:rPr>
        <w:t>í</w:t>
      </w:r>
      <w:r>
        <w:rPr>
          <w:sz w:val="14"/>
          <w:szCs w:val="14"/>
          <w:lang w:val="es-ES_tradnl"/>
        </w:rPr>
        <w:t>as de la tutela judicial efectiva; en raz</w:t>
      </w:r>
      <w:r>
        <w:rPr>
          <w:rFonts w:cs="Times New Roman"/>
          <w:sz w:val="14"/>
          <w:szCs w:val="14"/>
          <w:lang w:val="es-ES_tradnl"/>
        </w:rPr>
        <w:t>ó</w:t>
      </w:r>
      <w:r>
        <w:rPr>
          <w:sz w:val="14"/>
          <w:szCs w:val="14"/>
          <w:lang w:val="es-ES_tradnl"/>
        </w:rPr>
        <w:t>n de ello, esta Corte Constitucional ha catalogado a los derechos a la tutela judicial efectiva y la seguridad jur</w:t>
      </w:r>
      <w:r>
        <w:rPr>
          <w:rFonts w:cs="Times New Roman"/>
          <w:sz w:val="14"/>
          <w:szCs w:val="14"/>
          <w:lang w:val="es-ES_tradnl"/>
        </w:rPr>
        <w:t>í</w:t>
      </w:r>
      <w:r>
        <w:rPr>
          <w:sz w:val="14"/>
          <w:szCs w:val="14"/>
          <w:lang w:val="es-ES_tradnl"/>
        </w:rPr>
        <w:t>dica conjuntamente con la garant</w:t>
      </w:r>
      <w:r>
        <w:rPr>
          <w:rFonts w:cs="Times New Roman"/>
          <w:sz w:val="14"/>
          <w:szCs w:val="14"/>
          <w:lang w:val="es-ES_tradnl"/>
        </w:rPr>
        <w:t>í</w:t>
      </w:r>
      <w:r>
        <w:rPr>
          <w:sz w:val="14"/>
          <w:szCs w:val="14"/>
          <w:lang w:val="es-ES_tradnl"/>
        </w:rPr>
        <w:t>a</w:t>
      </w:r>
    </w:p>
    <w:p w14:paraId="4F67B232" w14:textId="77777777" w:rsidR="00591D54" w:rsidRDefault="00591D54">
      <w:pPr>
        <w:shd w:val="clear" w:color="auto" w:fill="FFFFFF"/>
        <w:spacing w:line="206" w:lineRule="exact"/>
        <w:ind w:left="283"/>
        <w:jc w:val="both"/>
      </w:pPr>
      <w:r>
        <w:br w:type="column"/>
      </w:r>
      <w:r>
        <w:rPr>
          <w:sz w:val="14"/>
          <w:szCs w:val="14"/>
          <w:lang w:val="es-ES_tradnl"/>
        </w:rPr>
        <w:t>de cumplimiento de las normas y derechos de las partes, como la tr</w:t>
      </w:r>
      <w:r>
        <w:rPr>
          <w:rFonts w:cs="Times New Roman"/>
          <w:sz w:val="14"/>
          <w:szCs w:val="14"/>
          <w:lang w:val="es-ES_tradnl"/>
        </w:rPr>
        <w:t>í</w:t>
      </w:r>
      <w:r>
        <w:rPr>
          <w:sz w:val="14"/>
          <w:szCs w:val="14"/>
          <w:lang w:val="es-ES_tradnl"/>
        </w:rPr>
        <w:t>ada indispensable para el sost</w:t>
      </w:r>
      <w:r>
        <w:rPr>
          <w:rFonts w:cs="Times New Roman"/>
          <w:sz w:val="14"/>
          <w:szCs w:val="14"/>
          <w:lang w:val="es-ES_tradnl"/>
        </w:rPr>
        <w:t>é</w:t>
      </w:r>
      <w:r>
        <w:rPr>
          <w:sz w:val="14"/>
          <w:szCs w:val="14"/>
          <w:lang w:val="es-ES_tradnl"/>
        </w:rPr>
        <w:t>n del modelo de estado previsto en la Constituci</w:t>
      </w:r>
      <w:r>
        <w:rPr>
          <w:rFonts w:cs="Times New Roman"/>
          <w:sz w:val="14"/>
          <w:szCs w:val="14"/>
          <w:lang w:val="es-ES_tradnl"/>
        </w:rPr>
        <w:t>ó</w:t>
      </w:r>
      <w:r>
        <w:rPr>
          <w:sz w:val="14"/>
          <w:szCs w:val="14"/>
          <w:lang w:val="es-ES_tradnl"/>
        </w:rPr>
        <w:t>n</w:t>
      </w:r>
      <w:r>
        <w:rPr>
          <w:sz w:val="14"/>
          <w:szCs w:val="14"/>
          <w:vertAlign w:val="superscript"/>
          <w:lang w:val="es-ES_tradnl"/>
        </w:rPr>
        <w:t>3</w:t>
      </w:r>
      <w:r>
        <w:rPr>
          <w:sz w:val="14"/>
          <w:szCs w:val="14"/>
          <w:lang w:val="es-ES_tradnl"/>
        </w:rPr>
        <w:t>.</w:t>
      </w:r>
    </w:p>
    <w:p w14:paraId="4F67B233" w14:textId="77777777" w:rsidR="00591D54" w:rsidRDefault="00591D54">
      <w:pPr>
        <w:shd w:val="clear" w:color="auto" w:fill="FFFFFF"/>
        <w:spacing w:before="202" w:line="216" w:lineRule="exact"/>
        <w:jc w:val="both"/>
      </w:pPr>
      <w:r>
        <w:rPr>
          <w:spacing w:val="-4"/>
          <w:sz w:val="18"/>
          <w:szCs w:val="18"/>
          <w:lang w:val="es-ES_tradnl"/>
        </w:rPr>
        <w:t>El criterio formulado por la Corte Constitucional a trav</w:t>
      </w:r>
      <w:r>
        <w:rPr>
          <w:rFonts w:cs="Times New Roman"/>
          <w:spacing w:val="-4"/>
          <w:sz w:val="18"/>
          <w:szCs w:val="18"/>
          <w:lang w:val="es-ES_tradnl"/>
        </w:rPr>
        <w:t>é</w:t>
      </w:r>
      <w:r>
        <w:rPr>
          <w:spacing w:val="-4"/>
          <w:sz w:val="18"/>
          <w:szCs w:val="18"/>
          <w:lang w:val="es-ES_tradnl"/>
        </w:rPr>
        <w:t>s de la referida decisi</w:t>
      </w:r>
      <w:r>
        <w:rPr>
          <w:rFonts w:cs="Times New Roman"/>
          <w:spacing w:val="-4"/>
          <w:sz w:val="18"/>
          <w:szCs w:val="18"/>
          <w:lang w:val="es-ES_tradnl"/>
        </w:rPr>
        <w:t>ó</w:t>
      </w:r>
      <w:r>
        <w:rPr>
          <w:spacing w:val="-4"/>
          <w:sz w:val="18"/>
          <w:szCs w:val="18"/>
          <w:lang w:val="es-ES_tradnl"/>
        </w:rPr>
        <w:t xml:space="preserve">n, misma que expresa con claridad </w:t>
      </w:r>
      <w:r>
        <w:rPr>
          <w:spacing w:val="-2"/>
          <w:sz w:val="18"/>
          <w:szCs w:val="18"/>
          <w:lang w:val="es-ES_tradnl"/>
        </w:rPr>
        <w:t>la vinculaci</w:t>
      </w:r>
      <w:r>
        <w:rPr>
          <w:rFonts w:cs="Times New Roman"/>
          <w:spacing w:val="-2"/>
          <w:sz w:val="18"/>
          <w:szCs w:val="18"/>
          <w:lang w:val="es-ES_tradnl"/>
        </w:rPr>
        <w:t>ó</w:t>
      </w:r>
      <w:r>
        <w:rPr>
          <w:spacing w:val="-2"/>
          <w:sz w:val="18"/>
          <w:szCs w:val="18"/>
          <w:lang w:val="es-ES_tradnl"/>
        </w:rPr>
        <w:t xml:space="preserve">n que existe entre el derecho a la tutela </w:t>
      </w:r>
      <w:r>
        <w:rPr>
          <w:spacing w:val="-5"/>
          <w:sz w:val="18"/>
          <w:szCs w:val="18"/>
          <w:lang w:val="es-ES_tradnl"/>
        </w:rPr>
        <w:t>judicial efectiva con la seguridad jur</w:t>
      </w:r>
      <w:r>
        <w:rPr>
          <w:rFonts w:cs="Times New Roman"/>
          <w:spacing w:val="-5"/>
          <w:sz w:val="18"/>
          <w:szCs w:val="18"/>
          <w:lang w:val="es-ES_tradnl"/>
        </w:rPr>
        <w:t>í</w:t>
      </w:r>
      <w:r>
        <w:rPr>
          <w:spacing w:val="-5"/>
          <w:sz w:val="18"/>
          <w:szCs w:val="18"/>
          <w:lang w:val="es-ES_tradnl"/>
        </w:rPr>
        <w:t>dica y la garant</w:t>
      </w:r>
      <w:r>
        <w:rPr>
          <w:rFonts w:cs="Times New Roman"/>
          <w:spacing w:val="-5"/>
          <w:sz w:val="18"/>
          <w:szCs w:val="18"/>
          <w:lang w:val="es-ES_tradnl"/>
        </w:rPr>
        <w:t>í</w:t>
      </w:r>
      <w:r>
        <w:rPr>
          <w:spacing w:val="-5"/>
          <w:sz w:val="18"/>
          <w:szCs w:val="18"/>
          <w:lang w:val="es-ES_tradnl"/>
        </w:rPr>
        <w:t xml:space="preserve">a de </w:t>
      </w:r>
      <w:r>
        <w:rPr>
          <w:spacing w:val="-8"/>
          <w:sz w:val="18"/>
          <w:szCs w:val="18"/>
          <w:lang w:val="es-ES_tradnl"/>
        </w:rPr>
        <w:t>cumplimiento de normas y derechos de las partes, conlleva necesariamente la obligaci</w:t>
      </w:r>
      <w:r>
        <w:rPr>
          <w:rFonts w:cs="Times New Roman"/>
          <w:spacing w:val="-8"/>
          <w:sz w:val="18"/>
          <w:szCs w:val="18"/>
          <w:lang w:val="es-ES_tradnl"/>
        </w:rPr>
        <w:t>ó</w:t>
      </w:r>
      <w:r>
        <w:rPr>
          <w:spacing w:val="-8"/>
          <w:sz w:val="18"/>
          <w:szCs w:val="18"/>
          <w:lang w:val="es-ES_tradnl"/>
        </w:rPr>
        <w:t>n de los operadores de justicia de aplicar las normas jur</w:t>
      </w:r>
      <w:r>
        <w:rPr>
          <w:rFonts w:cs="Times New Roman"/>
          <w:spacing w:val="-8"/>
          <w:sz w:val="18"/>
          <w:szCs w:val="18"/>
          <w:lang w:val="es-ES_tradnl"/>
        </w:rPr>
        <w:t>í</w:t>
      </w:r>
      <w:r>
        <w:rPr>
          <w:spacing w:val="-8"/>
          <w:sz w:val="18"/>
          <w:szCs w:val="18"/>
          <w:lang w:val="es-ES_tradnl"/>
        </w:rPr>
        <w:t>dicas adecuadas en la resoluci</w:t>
      </w:r>
      <w:r>
        <w:rPr>
          <w:rFonts w:cs="Times New Roman"/>
          <w:spacing w:val="-8"/>
          <w:sz w:val="18"/>
          <w:szCs w:val="18"/>
          <w:lang w:val="es-ES_tradnl"/>
        </w:rPr>
        <w:t>ó</w:t>
      </w:r>
      <w:r>
        <w:rPr>
          <w:spacing w:val="-8"/>
          <w:sz w:val="18"/>
          <w:szCs w:val="18"/>
          <w:lang w:val="es-ES_tradnl"/>
        </w:rPr>
        <w:t xml:space="preserve">n </w:t>
      </w:r>
      <w:r>
        <w:rPr>
          <w:spacing w:val="-7"/>
          <w:sz w:val="18"/>
          <w:szCs w:val="18"/>
          <w:lang w:val="es-ES_tradnl"/>
        </w:rPr>
        <w:t>de los casos que son sometidos a su jurisdicci</w:t>
      </w:r>
      <w:r>
        <w:rPr>
          <w:rFonts w:cs="Times New Roman"/>
          <w:spacing w:val="-7"/>
          <w:sz w:val="18"/>
          <w:szCs w:val="18"/>
          <w:lang w:val="es-ES_tradnl"/>
        </w:rPr>
        <w:t>ó</w:t>
      </w:r>
      <w:r>
        <w:rPr>
          <w:spacing w:val="-7"/>
          <w:sz w:val="18"/>
          <w:szCs w:val="18"/>
          <w:lang w:val="es-ES_tradnl"/>
        </w:rPr>
        <w:t xml:space="preserve">n. De esta </w:t>
      </w:r>
      <w:r>
        <w:rPr>
          <w:spacing w:val="-8"/>
          <w:sz w:val="18"/>
          <w:szCs w:val="18"/>
          <w:lang w:val="es-ES_tradnl"/>
        </w:rPr>
        <w:t>manera, el criterio del juzgador, tal como qued</w:t>
      </w:r>
      <w:r>
        <w:rPr>
          <w:rFonts w:cs="Times New Roman"/>
          <w:spacing w:val="-8"/>
          <w:sz w:val="18"/>
          <w:szCs w:val="18"/>
          <w:lang w:val="es-ES_tradnl"/>
        </w:rPr>
        <w:t>ó</w:t>
      </w:r>
      <w:r>
        <w:rPr>
          <w:spacing w:val="-8"/>
          <w:sz w:val="18"/>
          <w:szCs w:val="18"/>
          <w:lang w:val="es-ES_tradnl"/>
        </w:rPr>
        <w:t xml:space="preserve"> expresado </w:t>
      </w:r>
      <w:r>
        <w:rPr>
          <w:spacing w:val="-9"/>
          <w:sz w:val="18"/>
          <w:szCs w:val="18"/>
          <w:lang w:val="es-ES_tradnl"/>
        </w:rPr>
        <w:t xml:space="preserve">al resolver el primer problema, ha de sustentarse en aquello </w:t>
      </w:r>
      <w:r>
        <w:rPr>
          <w:spacing w:val="-5"/>
          <w:sz w:val="18"/>
          <w:szCs w:val="18"/>
          <w:lang w:val="es-ES_tradnl"/>
        </w:rPr>
        <w:t>que las fuentes del derecho le ofrece para cumplir tal prop</w:t>
      </w:r>
      <w:r>
        <w:rPr>
          <w:rFonts w:cs="Times New Roman"/>
          <w:spacing w:val="-5"/>
          <w:sz w:val="18"/>
          <w:szCs w:val="18"/>
          <w:lang w:val="es-ES_tradnl"/>
        </w:rPr>
        <w:t>ó</w:t>
      </w:r>
      <w:r>
        <w:rPr>
          <w:spacing w:val="-5"/>
          <w:sz w:val="18"/>
          <w:szCs w:val="18"/>
          <w:lang w:val="es-ES_tradnl"/>
        </w:rPr>
        <w:t xml:space="preserve">sito, o dicho en otras palabras, la normativa que el </w:t>
      </w:r>
      <w:r>
        <w:rPr>
          <w:spacing w:val="-8"/>
          <w:sz w:val="18"/>
          <w:szCs w:val="18"/>
          <w:lang w:val="es-ES_tradnl"/>
        </w:rPr>
        <w:t>ordenamiento jur</w:t>
      </w:r>
      <w:r>
        <w:rPr>
          <w:rFonts w:cs="Times New Roman"/>
          <w:spacing w:val="-8"/>
          <w:sz w:val="18"/>
          <w:szCs w:val="18"/>
          <w:lang w:val="es-ES_tradnl"/>
        </w:rPr>
        <w:t>í</w:t>
      </w:r>
      <w:r>
        <w:rPr>
          <w:spacing w:val="-8"/>
          <w:sz w:val="18"/>
          <w:szCs w:val="18"/>
          <w:lang w:val="es-ES_tradnl"/>
        </w:rPr>
        <w:t>dico orientar</w:t>
      </w:r>
      <w:r>
        <w:rPr>
          <w:rFonts w:cs="Times New Roman"/>
          <w:spacing w:val="-8"/>
          <w:sz w:val="18"/>
          <w:szCs w:val="18"/>
          <w:lang w:val="es-ES_tradnl"/>
        </w:rPr>
        <w:t>á</w:t>
      </w:r>
      <w:r>
        <w:rPr>
          <w:spacing w:val="-8"/>
          <w:sz w:val="18"/>
          <w:szCs w:val="18"/>
          <w:lang w:val="es-ES_tradnl"/>
        </w:rPr>
        <w:t xml:space="preserve"> la decisi</w:t>
      </w:r>
      <w:r>
        <w:rPr>
          <w:rFonts w:cs="Times New Roman"/>
          <w:spacing w:val="-8"/>
          <w:sz w:val="18"/>
          <w:szCs w:val="18"/>
          <w:lang w:val="es-ES_tradnl"/>
        </w:rPr>
        <w:t>ó</w:t>
      </w:r>
      <w:r>
        <w:rPr>
          <w:spacing w:val="-8"/>
          <w:sz w:val="18"/>
          <w:szCs w:val="18"/>
          <w:lang w:val="es-ES_tradnl"/>
        </w:rPr>
        <w:t>n del juez a trav</w:t>
      </w:r>
      <w:r>
        <w:rPr>
          <w:rFonts w:cs="Times New Roman"/>
          <w:spacing w:val="-8"/>
          <w:sz w:val="18"/>
          <w:szCs w:val="18"/>
          <w:lang w:val="es-ES_tradnl"/>
        </w:rPr>
        <w:t>é</w:t>
      </w:r>
      <w:r>
        <w:rPr>
          <w:spacing w:val="-8"/>
          <w:sz w:val="18"/>
          <w:szCs w:val="18"/>
          <w:lang w:val="es-ES_tradnl"/>
        </w:rPr>
        <w:t xml:space="preserve">s </w:t>
      </w:r>
      <w:r>
        <w:rPr>
          <w:spacing w:val="-10"/>
          <w:sz w:val="18"/>
          <w:szCs w:val="18"/>
          <w:lang w:val="es-ES_tradnl"/>
        </w:rPr>
        <w:t xml:space="preserve">de los cauces procesales, a fin de que se aplique el derecho </w:t>
      </w:r>
      <w:r>
        <w:rPr>
          <w:sz w:val="18"/>
          <w:szCs w:val="18"/>
          <w:lang w:val="es-ES_tradnl"/>
        </w:rPr>
        <w:t>en cada caso concreto.</w:t>
      </w:r>
    </w:p>
    <w:p w14:paraId="4F67B234" w14:textId="77777777" w:rsidR="00591D54" w:rsidRDefault="00591D54">
      <w:pPr>
        <w:shd w:val="clear" w:color="auto" w:fill="FFFFFF"/>
        <w:spacing w:before="197" w:line="216" w:lineRule="exact"/>
        <w:jc w:val="both"/>
      </w:pPr>
      <w:r>
        <w:rPr>
          <w:spacing w:val="-4"/>
          <w:sz w:val="18"/>
          <w:szCs w:val="18"/>
          <w:lang w:val="es-ES_tradnl"/>
        </w:rPr>
        <w:t>En materia procesal constitucional, la seguridad jur</w:t>
      </w:r>
      <w:r>
        <w:rPr>
          <w:rFonts w:cs="Times New Roman"/>
          <w:spacing w:val="-4"/>
          <w:sz w:val="18"/>
          <w:szCs w:val="18"/>
          <w:lang w:val="es-ES_tradnl"/>
        </w:rPr>
        <w:t>í</w:t>
      </w:r>
      <w:r>
        <w:rPr>
          <w:spacing w:val="-4"/>
          <w:sz w:val="18"/>
          <w:szCs w:val="18"/>
          <w:lang w:val="es-ES_tradnl"/>
        </w:rPr>
        <w:t xml:space="preserve">dica </w:t>
      </w:r>
      <w:r>
        <w:rPr>
          <w:spacing w:val="-8"/>
          <w:sz w:val="18"/>
          <w:szCs w:val="18"/>
          <w:lang w:val="es-ES_tradnl"/>
        </w:rPr>
        <w:t xml:space="preserve">se evidencia, entre otros aspectos, cuando los jueces </w:t>
      </w:r>
      <w:r>
        <w:rPr>
          <w:spacing w:val="-7"/>
          <w:sz w:val="18"/>
          <w:szCs w:val="18"/>
          <w:lang w:val="es-ES_tradnl"/>
        </w:rPr>
        <w:t xml:space="preserve">constitucionales observan y cumplen las disposiciones </w:t>
      </w:r>
      <w:r>
        <w:rPr>
          <w:spacing w:val="-5"/>
          <w:sz w:val="18"/>
          <w:szCs w:val="18"/>
          <w:lang w:val="es-ES_tradnl"/>
        </w:rPr>
        <w:t>normativas que regulan las garant</w:t>
      </w:r>
      <w:r>
        <w:rPr>
          <w:rFonts w:cs="Times New Roman"/>
          <w:spacing w:val="-5"/>
          <w:sz w:val="18"/>
          <w:szCs w:val="18"/>
          <w:lang w:val="es-ES_tradnl"/>
        </w:rPr>
        <w:t>í</w:t>
      </w:r>
      <w:r>
        <w:rPr>
          <w:spacing w:val="-5"/>
          <w:sz w:val="18"/>
          <w:szCs w:val="18"/>
          <w:lang w:val="es-ES_tradnl"/>
        </w:rPr>
        <w:t xml:space="preserve">as jurisdiccionales de </w:t>
      </w:r>
      <w:r>
        <w:rPr>
          <w:spacing w:val="-9"/>
          <w:sz w:val="18"/>
          <w:szCs w:val="18"/>
          <w:lang w:val="es-ES_tradnl"/>
        </w:rPr>
        <w:t xml:space="preserve">los derechos, teniendo en cuenta para tal efecto, que cada </w:t>
      </w:r>
      <w:r>
        <w:rPr>
          <w:spacing w:val="-7"/>
          <w:sz w:val="18"/>
          <w:szCs w:val="18"/>
          <w:lang w:val="es-ES_tradnl"/>
        </w:rPr>
        <w:t>garant</w:t>
      </w:r>
      <w:r>
        <w:rPr>
          <w:rFonts w:cs="Times New Roman"/>
          <w:spacing w:val="-7"/>
          <w:sz w:val="18"/>
          <w:szCs w:val="18"/>
          <w:lang w:val="es-ES_tradnl"/>
        </w:rPr>
        <w:t>í</w:t>
      </w:r>
      <w:r>
        <w:rPr>
          <w:spacing w:val="-7"/>
          <w:sz w:val="18"/>
          <w:szCs w:val="18"/>
          <w:lang w:val="es-ES_tradnl"/>
        </w:rPr>
        <w:t>a tiene su propia naturaleza y procura de manera espec</w:t>
      </w:r>
      <w:r>
        <w:rPr>
          <w:rFonts w:cs="Times New Roman"/>
          <w:spacing w:val="-7"/>
          <w:sz w:val="18"/>
          <w:szCs w:val="18"/>
          <w:lang w:val="es-ES_tradnl"/>
        </w:rPr>
        <w:t>í</w:t>
      </w:r>
      <w:r>
        <w:rPr>
          <w:spacing w:val="-7"/>
          <w:sz w:val="18"/>
          <w:szCs w:val="18"/>
          <w:lang w:val="es-ES_tradnl"/>
        </w:rPr>
        <w:t xml:space="preserve">fica la tutela de los derechos constitucionales de </w:t>
      </w:r>
      <w:r>
        <w:rPr>
          <w:spacing w:val="-10"/>
          <w:sz w:val="18"/>
          <w:szCs w:val="18"/>
          <w:lang w:val="es-ES_tradnl"/>
        </w:rPr>
        <w:t xml:space="preserve">acuerdo a las reglas establecidas por el constituyente, en un </w:t>
      </w:r>
      <w:r>
        <w:rPr>
          <w:spacing w:val="-6"/>
          <w:sz w:val="18"/>
          <w:szCs w:val="18"/>
          <w:lang w:val="es-ES_tradnl"/>
        </w:rPr>
        <w:t>primer momento, y posteriormente por el legislador.</w:t>
      </w:r>
    </w:p>
    <w:p w14:paraId="4F67B235" w14:textId="77777777" w:rsidR="00591D54" w:rsidRDefault="00591D54">
      <w:pPr>
        <w:shd w:val="clear" w:color="auto" w:fill="FFFFFF"/>
        <w:spacing w:before="197" w:line="211" w:lineRule="exact"/>
        <w:jc w:val="both"/>
      </w:pPr>
      <w:r>
        <w:rPr>
          <w:spacing w:val="-10"/>
          <w:sz w:val="18"/>
          <w:szCs w:val="18"/>
          <w:lang w:val="es-ES_tradnl"/>
        </w:rPr>
        <w:t xml:space="preserve">En el caso de las medidas cautelares, tal como corresponde </w:t>
      </w:r>
      <w:r>
        <w:rPr>
          <w:spacing w:val="-7"/>
          <w:sz w:val="18"/>
          <w:szCs w:val="18"/>
          <w:lang w:val="es-ES_tradnl"/>
        </w:rPr>
        <w:t>al caso bajo examen, conviene recordar que mediante sentencia N.</w:t>
      </w:r>
      <w:r>
        <w:rPr>
          <w:rFonts w:cs="Times New Roman"/>
          <w:spacing w:val="-7"/>
          <w:sz w:val="18"/>
          <w:szCs w:val="18"/>
          <w:lang w:val="es-ES_tradnl"/>
        </w:rPr>
        <w:t>°</w:t>
      </w:r>
      <w:r>
        <w:rPr>
          <w:spacing w:val="-7"/>
          <w:sz w:val="18"/>
          <w:szCs w:val="18"/>
          <w:lang w:val="es-ES_tradnl"/>
        </w:rPr>
        <w:t xml:space="preserve"> 034-13-SCN-CC, esta Corte Constitucional </w:t>
      </w:r>
      <w:r>
        <w:rPr>
          <w:spacing w:val="-9"/>
          <w:sz w:val="18"/>
          <w:szCs w:val="18"/>
          <w:lang w:val="es-ES_tradnl"/>
        </w:rPr>
        <w:t>expres</w:t>
      </w:r>
      <w:r>
        <w:rPr>
          <w:rFonts w:cs="Times New Roman"/>
          <w:spacing w:val="-9"/>
          <w:sz w:val="18"/>
          <w:szCs w:val="18"/>
          <w:lang w:val="es-ES_tradnl"/>
        </w:rPr>
        <w:t>ó</w:t>
      </w:r>
      <w:r>
        <w:rPr>
          <w:spacing w:val="-9"/>
          <w:sz w:val="18"/>
          <w:szCs w:val="18"/>
          <w:lang w:val="es-ES_tradnl"/>
        </w:rPr>
        <w:t xml:space="preserve"> que tales medidas </w:t>
      </w:r>
      <w:r>
        <w:rPr>
          <w:rFonts w:cs="Times New Roman"/>
          <w:spacing w:val="-9"/>
          <w:sz w:val="18"/>
          <w:szCs w:val="18"/>
          <w:lang w:val="es-ES_tradnl"/>
        </w:rPr>
        <w:t>“</w:t>
      </w:r>
      <w:r>
        <w:rPr>
          <w:spacing w:val="-9"/>
          <w:sz w:val="18"/>
          <w:szCs w:val="18"/>
          <w:lang w:val="es-ES_tradnl"/>
        </w:rPr>
        <w:t xml:space="preserve">Pueden ser activadas cuando </w:t>
      </w:r>
      <w:r>
        <w:rPr>
          <w:spacing w:val="-8"/>
          <w:sz w:val="18"/>
          <w:szCs w:val="18"/>
          <w:lang w:val="es-ES_tradnl"/>
        </w:rPr>
        <w:t xml:space="preserve">ocurren tanto amenazas como vulneraciones o violaciones </w:t>
      </w:r>
      <w:r>
        <w:rPr>
          <w:spacing w:val="-5"/>
          <w:sz w:val="18"/>
          <w:szCs w:val="18"/>
          <w:lang w:val="es-ES_tradnl"/>
        </w:rPr>
        <w:t>de los derechos constitucionales</w:t>
      </w:r>
      <w:r>
        <w:rPr>
          <w:rFonts w:cs="Times New Roman"/>
          <w:spacing w:val="-5"/>
          <w:sz w:val="18"/>
          <w:szCs w:val="18"/>
          <w:lang w:val="es-ES_tradnl"/>
        </w:rPr>
        <w:t>”</w:t>
      </w:r>
      <w:r>
        <w:rPr>
          <w:spacing w:val="-5"/>
          <w:sz w:val="18"/>
          <w:szCs w:val="18"/>
          <w:lang w:val="es-ES_tradnl"/>
        </w:rPr>
        <w:t xml:space="preserve"> y que </w:t>
      </w:r>
      <w:r>
        <w:rPr>
          <w:rFonts w:cs="Times New Roman"/>
          <w:spacing w:val="-5"/>
          <w:sz w:val="18"/>
          <w:szCs w:val="18"/>
          <w:lang w:val="es-ES_tradnl"/>
        </w:rPr>
        <w:t>“</w:t>
      </w:r>
      <w:r>
        <w:rPr>
          <w:spacing w:val="-5"/>
          <w:sz w:val="18"/>
          <w:szCs w:val="18"/>
          <w:lang w:val="es-ES_tradnl"/>
        </w:rPr>
        <w:t>de la resoluci</w:t>
      </w:r>
      <w:r>
        <w:rPr>
          <w:rFonts w:cs="Times New Roman"/>
          <w:spacing w:val="-5"/>
          <w:sz w:val="18"/>
          <w:szCs w:val="18"/>
          <w:lang w:val="es-ES_tradnl"/>
        </w:rPr>
        <w:t>ó</w:t>
      </w:r>
      <w:r>
        <w:rPr>
          <w:spacing w:val="-5"/>
          <w:sz w:val="18"/>
          <w:szCs w:val="18"/>
          <w:lang w:val="es-ES_tradnl"/>
        </w:rPr>
        <w:t xml:space="preserve">n </w:t>
      </w:r>
      <w:r>
        <w:rPr>
          <w:spacing w:val="-7"/>
          <w:sz w:val="18"/>
          <w:szCs w:val="18"/>
          <w:lang w:val="es-ES_tradnl"/>
        </w:rPr>
        <w:t>de admisi</w:t>
      </w:r>
      <w:r>
        <w:rPr>
          <w:rFonts w:cs="Times New Roman"/>
          <w:spacing w:val="-7"/>
          <w:sz w:val="18"/>
          <w:szCs w:val="18"/>
          <w:lang w:val="es-ES_tradnl"/>
        </w:rPr>
        <w:t>ó</w:t>
      </w:r>
      <w:r>
        <w:rPr>
          <w:spacing w:val="-7"/>
          <w:sz w:val="18"/>
          <w:szCs w:val="18"/>
          <w:lang w:val="es-ES_tradnl"/>
        </w:rPr>
        <w:t>n o denegaci</w:t>
      </w:r>
      <w:r>
        <w:rPr>
          <w:rFonts w:cs="Times New Roman"/>
          <w:spacing w:val="-7"/>
          <w:sz w:val="18"/>
          <w:szCs w:val="18"/>
          <w:lang w:val="es-ES_tradnl"/>
        </w:rPr>
        <w:t>ó</w:t>
      </w:r>
      <w:r>
        <w:rPr>
          <w:spacing w:val="-7"/>
          <w:sz w:val="18"/>
          <w:szCs w:val="18"/>
          <w:lang w:val="es-ES_tradnl"/>
        </w:rPr>
        <w:t>n de la petici</w:t>
      </w:r>
      <w:r>
        <w:rPr>
          <w:rFonts w:cs="Times New Roman"/>
          <w:spacing w:val="-7"/>
          <w:sz w:val="18"/>
          <w:szCs w:val="18"/>
          <w:lang w:val="es-ES_tradnl"/>
        </w:rPr>
        <w:t>ó</w:t>
      </w:r>
      <w:r>
        <w:rPr>
          <w:spacing w:val="-7"/>
          <w:sz w:val="18"/>
          <w:szCs w:val="18"/>
          <w:lang w:val="es-ES_tradnl"/>
        </w:rPr>
        <w:t xml:space="preserve">n de las medidas </w:t>
      </w:r>
      <w:r>
        <w:rPr>
          <w:spacing w:val="-8"/>
          <w:sz w:val="18"/>
          <w:szCs w:val="18"/>
          <w:lang w:val="es-ES_tradnl"/>
        </w:rPr>
        <w:t>cautelares presentadas en conjunto con una acci</w:t>
      </w:r>
      <w:r>
        <w:rPr>
          <w:rFonts w:cs="Times New Roman"/>
          <w:spacing w:val="-8"/>
          <w:sz w:val="18"/>
          <w:szCs w:val="18"/>
          <w:lang w:val="es-ES_tradnl"/>
        </w:rPr>
        <w:t>ó</w:t>
      </w:r>
      <w:r>
        <w:rPr>
          <w:spacing w:val="-8"/>
          <w:sz w:val="18"/>
          <w:szCs w:val="18"/>
          <w:lang w:val="es-ES_tradnl"/>
        </w:rPr>
        <w:t xml:space="preserve">n de </w:t>
      </w:r>
      <w:r>
        <w:rPr>
          <w:spacing w:val="-7"/>
          <w:sz w:val="18"/>
          <w:szCs w:val="18"/>
          <w:lang w:val="es-ES_tradnl"/>
        </w:rPr>
        <w:t>conocimiento, destinada a la protecci</w:t>
      </w:r>
      <w:r>
        <w:rPr>
          <w:rFonts w:cs="Times New Roman"/>
          <w:spacing w:val="-7"/>
          <w:sz w:val="18"/>
          <w:szCs w:val="18"/>
          <w:lang w:val="es-ES_tradnl"/>
        </w:rPr>
        <w:t>ó</w:t>
      </w:r>
      <w:r>
        <w:rPr>
          <w:spacing w:val="-7"/>
          <w:sz w:val="18"/>
          <w:szCs w:val="18"/>
          <w:lang w:val="es-ES_tradnl"/>
        </w:rPr>
        <w:t xml:space="preserve">n de derechos, no </w:t>
      </w:r>
      <w:r>
        <w:rPr>
          <w:sz w:val="18"/>
          <w:szCs w:val="18"/>
          <w:lang w:val="es-ES_tradnl"/>
        </w:rPr>
        <w:t>habr</w:t>
      </w:r>
      <w:r>
        <w:rPr>
          <w:rFonts w:cs="Times New Roman"/>
          <w:sz w:val="18"/>
          <w:szCs w:val="18"/>
          <w:lang w:val="es-ES_tradnl"/>
        </w:rPr>
        <w:t>á</w:t>
      </w:r>
      <w:r>
        <w:rPr>
          <w:sz w:val="18"/>
          <w:szCs w:val="18"/>
          <w:lang w:val="es-ES_tradnl"/>
        </w:rPr>
        <w:t xml:space="preserve"> recurso alguno</w:t>
      </w:r>
      <w:r>
        <w:rPr>
          <w:sz w:val="18"/>
          <w:szCs w:val="18"/>
          <w:vertAlign w:val="superscript"/>
          <w:lang w:val="es-ES_tradnl"/>
        </w:rPr>
        <w:t>4</w:t>
      </w:r>
      <w:r>
        <w:rPr>
          <w:rFonts w:cs="Times New Roman"/>
          <w:sz w:val="18"/>
          <w:szCs w:val="18"/>
          <w:lang w:val="es-ES_tradnl"/>
        </w:rPr>
        <w:t>”</w:t>
      </w:r>
      <w:r>
        <w:rPr>
          <w:sz w:val="18"/>
          <w:szCs w:val="18"/>
          <w:lang w:val="es-ES_tradnl"/>
        </w:rPr>
        <w:t>.</w:t>
      </w:r>
    </w:p>
    <w:p w14:paraId="4F67B236" w14:textId="77777777" w:rsidR="00591D54" w:rsidRDefault="00591D54">
      <w:pPr>
        <w:shd w:val="clear" w:color="auto" w:fill="FFFFFF"/>
        <w:spacing w:before="192" w:line="216" w:lineRule="exact"/>
        <w:jc w:val="both"/>
      </w:pPr>
      <w:r>
        <w:rPr>
          <w:spacing w:val="-7"/>
          <w:sz w:val="18"/>
          <w:szCs w:val="18"/>
          <w:lang w:val="es-ES_tradnl"/>
        </w:rPr>
        <w:t>Queda claro entonces que la resoluci</w:t>
      </w:r>
      <w:r>
        <w:rPr>
          <w:rFonts w:cs="Times New Roman"/>
          <w:spacing w:val="-7"/>
          <w:sz w:val="18"/>
          <w:szCs w:val="18"/>
          <w:lang w:val="es-ES_tradnl"/>
        </w:rPr>
        <w:t>ó</w:t>
      </w:r>
      <w:r>
        <w:rPr>
          <w:spacing w:val="-7"/>
          <w:sz w:val="18"/>
          <w:szCs w:val="18"/>
          <w:lang w:val="es-ES_tradnl"/>
        </w:rPr>
        <w:t xml:space="preserve">n expedida por un juez constitucional competente mediante la cual acepta o </w:t>
      </w:r>
      <w:r>
        <w:rPr>
          <w:spacing w:val="-10"/>
          <w:sz w:val="18"/>
          <w:szCs w:val="18"/>
          <w:lang w:val="es-ES_tradnl"/>
        </w:rPr>
        <w:t>niega el petitorio de medida cautelar, no puede ser objeto del recurso de apelaci</w:t>
      </w:r>
      <w:r>
        <w:rPr>
          <w:rFonts w:cs="Times New Roman"/>
          <w:spacing w:val="-10"/>
          <w:sz w:val="18"/>
          <w:szCs w:val="18"/>
          <w:lang w:val="es-ES_tradnl"/>
        </w:rPr>
        <w:t>ó</w:t>
      </w:r>
      <w:r>
        <w:rPr>
          <w:spacing w:val="-10"/>
          <w:sz w:val="18"/>
          <w:szCs w:val="18"/>
          <w:lang w:val="es-ES_tradnl"/>
        </w:rPr>
        <w:t>n, disposici</w:t>
      </w:r>
      <w:r>
        <w:rPr>
          <w:rFonts w:cs="Times New Roman"/>
          <w:spacing w:val="-10"/>
          <w:sz w:val="18"/>
          <w:szCs w:val="18"/>
          <w:lang w:val="es-ES_tradnl"/>
        </w:rPr>
        <w:t>ó</w:t>
      </w:r>
      <w:r>
        <w:rPr>
          <w:spacing w:val="-10"/>
          <w:sz w:val="18"/>
          <w:szCs w:val="18"/>
          <w:lang w:val="es-ES_tradnl"/>
        </w:rPr>
        <w:t>n que adem</w:t>
      </w:r>
      <w:r>
        <w:rPr>
          <w:rFonts w:cs="Times New Roman"/>
          <w:spacing w:val="-10"/>
          <w:sz w:val="18"/>
          <w:szCs w:val="18"/>
          <w:lang w:val="es-ES_tradnl"/>
        </w:rPr>
        <w:t>á</w:t>
      </w:r>
      <w:r>
        <w:rPr>
          <w:spacing w:val="-10"/>
          <w:sz w:val="18"/>
          <w:szCs w:val="18"/>
          <w:lang w:val="es-ES_tradnl"/>
        </w:rPr>
        <w:t xml:space="preserve">s se encuentra </w:t>
      </w:r>
      <w:r>
        <w:rPr>
          <w:spacing w:val="-7"/>
          <w:sz w:val="18"/>
          <w:szCs w:val="18"/>
          <w:lang w:val="es-ES_tradnl"/>
        </w:rPr>
        <w:t>prevista en el art</w:t>
      </w:r>
      <w:r>
        <w:rPr>
          <w:rFonts w:cs="Times New Roman"/>
          <w:spacing w:val="-7"/>
          <w:sz w:val="18"/>
          <w:szCs w:val="18"/>
          <w:lang w:val="es-ES_tradnl"/>
        </w:rPr>
        <w:t>í</w:t>
      </w:r>
      <w:r>
        <w:rPr>
          <w:spacing w:val="-7"/>
          <w:sz w:val="18"/>
          <w:szCs w:val="18"/>
          <w:lang w:val="es-ES_tradnl"/>
        </w:rPr>
        <w:t>culo 33 de la Ley Org</w:t>
      </w:r>
      <w:r>
        <w:rPr>
          <w:rFonts w:cs="Times New Roman"/>
          <w:spacing w:val="-7"/>
          <w:sz w:val="18"/>
          <w:szCs w:val="18"/>
          <w:lang w:val="es-ES_tradnl"/>
        </w:rPr>
        <w:t>á</w:t>
      </w:r>
      <w:r>
        <w:rPr>
          <w:spacing w:val="-7"/>
          <w:sz w:val="18"/>
          <w:szCs w:val="18"/>
          <w:lang w:val="es-ES_tradnl"/>
        </w:rPr>
        <w:t>nica de Garant</w:t>
      </w:r>
      <w:r>
        <w:rPr>
          <w:rFonts w:cs="Times New Roman"/>
          <w:spacing w:val="-7"/>
          <w:sz w:val="18"/>
          <w:szCs w:val="18"/>
          <w:lang w:val="es-ES_tradnl"/>
        </w:rPr>
        <w:t>í</w:t>
      </w:r>
      <w:r>
        <w:rPr>
          <w:spacing w:val="-7"/>
          <w:sz w:val="18"/>
          <w:szCs w:val="18"/>
          <w:lang w:val="es-ES_tradnl"/>
        </w:rPr>
        <w:t xml:space="preserve">as </w:t>
      </w:r>
      <w:r>
        <w:rPr>
          <w:spacing w:val="-5"/>
          <w:sz w:val="18"/>
          <w:szCs w:val="18"/>
          <w:lang w:val="es-ES_tradnl"/>
        </w:rPr>
        <w:t xml:space="preserve">Jurisdiccionales y Control Constitucional, cuando en su </w:t>
      </w:r>
      <w:r>
        <w:rPr>
          <w:spacing w:val="-9"/>
          <w:sz w:val="18"/>
          <w:szCs w:val="18"/>
          <w:lang w:val="es-ES_tradnl"/>
        </w:rPr>
        <w:t>parte pertinente se</w:t>
      </w:r>
      <w:r>
        <w:rPr>
          <w:rFonts w:cs="Times New Roman"/>
          <w:spacing w:val="-9"/>
          <w:sz w:val="18"/>
          <w:szCs w:val="18"/>
          <w:lang w:val="es-ES_tradnl"/>
        </w:rPr>
        <w:t>ñ</w:t>
      </w:r>
      <w:r>
        <w:rPr>
          <w:spacing w:val="-9"/>
          <w:sz w:val="18"/>
          <w:szCs w:val="18"/>
          <w:lang w:val="es-ES_tradnl"/>
        </w:rPr>
        <w:t xml:space="preserve">ala </w:t>
      </w:r>
      <w:r>
        <w:rPr>
          <w:rFonts w:cs="Times New Roman"/>
          <w:spacing w:val="-9"/>
          <w:sz w:val="18"/>
          <w:szCs w:val="18"/>
          <w:lang w:val="es-ES_tradnl"/>
        </w:rPr>
        <w:t>“</w:t>
      </w:r>
      <w:r>
        <w:rPr>
          <w:spacing w:val="-9"/>
          <w:sz w:val="18"/>
          <w:szCs w:val="18"/>
          <w:lang w:val="es-ES_tradnl"/>
        </w:rPr>
        <w:t>La jueza o juez admitir</w:t>
      </w:r>
      <w:r>
        <w:rPr>
          <w:rFonts w:cs="Times New Roman"/>
          <w:spacing w:val="-9"/>
          <w:sz w:val="18"/>
          <w:szCs w:val="18"/>
          <w:lang w:val="es-ES_tradnl"/>
        </w:rPr>
        <w:t>á</w:t>
      </w:r>
      <w:r>
        <w:rPr>
          <w:spacing w:val="-9"/>
          <w:sz w:val="18"/>
          <w:szCs w:val="18"/>
          <w:lang w:val="es-ES_tradnl"/>
        </w:rPr>
        <w:t xml:space="preserve"> o denegar</w:t>
      </w:r>
      <w:r>
        <w:rPr>
          <w:rFonts w:cs="Times New Roman"/>
          <w:spacing w:val="-9"/>
          <w:sz w:val="18"/>
          <w:szCs w:val="18"/>
          <w:lang w:val="es-ES_tradnl"/>
        </w:rPr>
        <w:t xml:space="preserve">á </w:t>
      </w:r>
      <w:r>
        <w:rPr>
          <w:spacing w:val="-10"/>
          <w:sz w:val="18"/>
          <w:szCs w:val="18"/>
          <w:lang w:val="es-ES_tradnl"/>
        </w:rPr>
        <w:t>la petici</w:t>
      </w:r>
      <w:r>
        <w:rPr>
          <w:rFonts w:cs="Times New Roman"/>
          <w:spacing w:val="-10"/>
          <w:sz w:val="18"/>
          <w:szCs w:val="18"/>
          <w:lang w:val="es-ES_tradnl"/>
        </w:rPr>
        <w:t>ó</w:t>
      </w:r>
      <w:r>
        <w:rPr>
          <w:spacing w:val="-10"/>
          <w:sz w:val="18"/>
          <w:szCs w:val="18"/>
          <w:lang w:val="es-ES_tradnl"/>
        </w:rPr>
        <w:t>n de medidas cautelares mediante resoluci</w:t>
      </w:r>
      <w:r>
        <w:rPr>
          <w:rFonts w:cs="Times New Roman"/>
          <w:spacing w:val="-10"/>
          <w:sz w:val="18"/>
          <w:szCs w:val="18"/>
          <w:lang w:val="es-ES_tradnl"/>
        </w:rPr>
        <w:t>ó</w:t>
      </w:r>
      <w:r>
        <w:rPr>
          <w:spacing w:val="-10"/>
          <w:sz w:val="18"/>
          <w:szCs w:val="18"/>
          <w:lang w:val="es-ES_tradnl"/>
        </w:rPr>
        <w:t xml:space="preserve">n sobre </w:t>
      </w:r>
      <w:r>
        <w:rPr>
          <w:spacing w:val="-7"/>
          <w:sz w:val="18"/>
          <w:szCs w:val="18"/>
          <w:lang w:val="es-ES_tradnl"/>
        </w:rPr>
        <w:t>la cual no se podr</w:t>
      </w:r>
      <w:r>
        <w:rPr>
          <w:rFonts w:cs="Times New Roman"/>
          <w:spacing w:val="-7"/>
          <w:sz w:val="18"/>
          <w:szCs w:val="18"/>
          <w:lang w:val="es-ES_tradnl"/>
        </w:rPr>
        <w:t>á</w:t>
      </w:r>
      <w:r>
        <w:rPr>
          <w:spacing w:val="-7"/>
          <w:sz w:val="18"/>
          <w:szCs w:val="18"/>
          <w:lang w:val="es-ES_tradnl"/>
        </w:rPr>
        <w:t xml:space="preserve"> interponer recurso de apelaci</w:t>
      </w:r>
      <w:r>
        <w:rPr>
          <w:rFonts w:cs="Times New Roman"/>
          <w:spacing w:val="-7"/>
          <w:sz w:val="18"/>
          <w:szCs w:val="18"/>
          <w:lang w:val="es-ES_tradnl"/>
        </w:rPr>
        <w:t>ó</w:t>
      </w:r>
      <w:r>
        <w:rPr>
          <w:spacing w:val="-7"/>
          <w:sz w:val="18"/>
          <w:szCs w:val="18"/>
          <w:lang w:val="es-ES_tradnl"/>
        </w:rPr>
        <w:t>n</w:t>
      </w:r>
      <w:r>
        <w:rPr>
          <w:rFonts w:cs="Times New Roman"/>
          <w:spacing w:val="-7"/>
          <w:sz w:val="18"/>
          <w:szCs w:val="18"/>
          <w:lang w:val="es-ES_tradnl"/>
        </w:rPr>
        <w:t>”</w:t>
      </w:r>
      <w:r>
        <w:rPr>
          <w:spacing w:val="-7"/>
          <w:sz w:val="18"/>
          <w:szCs w:val="18"/>
          <w:lang w:val="es-ES_tradnl"/>
        </w:rPr>
        <w:t>.</w:t>
      </w:r>
    </w:p>
    <w:p w14:paraId="4F67B237" w14:textId="77777777" w:rsidR="00591D54" w:rsidRDefault="00591D54">
      <w:pPr>
        <w:shd w:val="clear" w:color="auto" w:fill="FFFFFF"/>
        <w:spacing w:before="192" w:line="216" w:lineRule="exact"/>
        <w:jc w:val="both"/>
      </w:pPr>
      <w:r>
        <w:rPr>
          <w:spacing w:val="-4"/>
          <w:sz w:val="18"/>
          <w:szCs w:val="18"/>
          <w:lang w:val="es-ES_tradnl"/>
        </w:rPr>
        <w:t xml:space="preserve">Ahora bien, de concederse las medidas cautelares por </w:t>
      </w:r>
      <w:r>
        <w:rPr>
          <w:spacing w:val="-6"/>
          <w:sz w:val="18"/>
          <w:szCs w:val="18"/>
          <w:lang w:val="es-ES_tradnl"/>
        </w:rPr>
        <w:t xml:space="preserve">parte del juez constitucional, el legislador ha previsto la </w:t>
      </w:r>
      <w:r>
        <w:rPr>
          <w:spacing w:val="-5"/>
          <w:sz w:val="18"/>
          <w:szCs w:val="18"/>
          <w:lang w:val="es-ES_tradnl"/>
        </w:rPr>
        <w:t xml:space="preserve">posibilidad de solicitar la revocatoria de tales medidas </w:t>
      </w:r>
      <w:r>
        <w:rPr>
          <w:spacing w:val="-11"/>
          <w:sz w:val="18"/>
          <w:szCs w:val="18"/>
          <w:lang w:val="es-ES_tradnl"/>
        </w:rPr>
        <w:t xml:space="preserve">cuando se cumplen ciertas circunstancias que se encuentran </w:t>
      </w:r>
      <w:r>
        <w:rPr>
          <w:spacing w:val="-4"/>
          <w:sz w:val="18"/>
          <w:szCs w:val="18"/>
          <w:lang w:val="es-ES_tradnl"/>
        </w:rPr>
        <w:t>establecidas en el art</w:t>
      </w:r>
      <w:r>
        <w:rPr>
          <w:rFonts w:cs="Times New Roman"/>
          <w:spacing w:val="-4"/>
          <w:sz w:val="18"/>
          <w:szCs w:val="18"/>
          <w:lang w:val="es-ES_tradnl"/>
        </w:rPr>
        <w:t>í</w:t>
      </w:r>
      <w:r>
        <w:rPr>
          <w:spacing w:val="-4"/>
          <w:sz w:val="18"/>
          <w:szCs w:val="18"/>
          <w:lang w:val="es-ES_tradnl"/>
        </w:rPr>
        <w:t>culo 35 de la Ley Org</w:t>
      </w:r>
      <w:r>
        <w:rPr>
          <w:rFonts w:cs="Times New Roman"/>
          <w:spacing w:val="-4"/>
          <w:sz w:val="18"/>
          <w:szCs w:val="18"/>
          <w:lang w:val="es-ES_tradnl"/>
        </w:rPr>
        <w:t>á</w:t>
      </w:r>
      <w:r>
        <w:rPr>
          <w:spacing w:val="-4"/>
          <w:sz w:val="18"/>
          <w:szCs w:val="18"/>
          <w:lang w:val="es-ES_tradnl"/>
        </w:rPr>
        <w:t xml:space="preserve">nica de </w:t>
      </w:r>
      <w:r>
        <w:rPr>
          <w:spacing w:val="-6"/>
          <w:sz w:val="18"/>
          <w:szCs w:val="18"/>
          <w:lang w:val="es-ES_tradnl"/>
        </w:rPr>
        <w:t>Garant</w:t>
      </w:r>
      <w:r>
        <w:rPr>
          <w:rFonts w:cs="Times New Roman"/>
          <w:spacing w:val="-6"/>
          <w:sz w:val="18"/>
          <w:szCs w:val="18"/>
          <w:lang w:val="es-ES_tradnl"/>
        </w:rPr>
        <w:t>í</w:t>
      </w:r>
      <w:r>
        <w:rPr>
          <w:spacing w:val="-6"/>
          <w:sz w:val="18"/>
          <w:szCs w:val="18"/>
          <w:lang w:val="es-ES_tradnl"/>
        </w:rPr>
        <w:t>as Jurisdiccionales y Control Constitucional. Tales</w:t>
      </w:r>
    </w:p>
    <w:p w14:paraId="4F67B238" w14:textId="77777777" w:rsidR="00591D54" w:rsidRDefault="00591D54">
      <w:pPr>
        <w:shd w:val="clear" w:color="auto" w:fill="FFFFFF"/>
        <w:tabs>
          <w:tab w:val="left" w:pos="144"/>
        </w:tabs>
        <w:spacing w:before="427" w:line="182" w:lineRule="exact"/>
        <w:ind w:left="144" w:hanging="144"/>
      </w:pPr>
      <w:r>
        <w:rPr>
          <w:sz w:val="10"/>
          <w:szCs w:val="10"/>
          <w:vertAlign w:val="superscript"/>
          <w:lang w:val="es-ES_tradnl"/>
        </w:rPr>
        <w:t>3</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w:t>
      </w:r>
      <w:r>
        <w:rPr>
          <w:sz w:val="18"/>
          <w:szCs w:val="18"/>
          <w:lang w:val="es-ES_tradnl"/>
        </w:rPr>
        <w:t xml:space="preserve"> </w:t>
      </w:r>
      <w:r>
        <w:rPr>
          <w:sz w:val="14"/>
          <w:szCs w:val="14"/>
          <w:lang w:val="es-ES_tradnl"/>
        </w:rPr>
        <w:t>020-13-SEP-CC, caso N.</w:t>
      </w:r>
      <w:r>
        <w:rPr>
          <w:rFonts w:cs="Times New Roman"/>
          <w:sz w:val="14"/>
          <w:szCs w:val="14"/>
          <w:lang w:val="es-ES_tradnl"/>
        </w:rPr>
        <w:t>°</w:t>
      </w:r>
      <w:r>
        <w:rPr>
          <w:sz w:val="14"/>
          <w:szCs w:val="14"/>
          <w:lang w:val="es-ES_tradnl"/>
        </w:rPr>
        <w:t xml:space="preserve"> 0563-12-EP</w:t>
      </w:r>
    </w:p>
    <w:p w14:paraId="4F67B239" w14:textId="77777777" w:rsidR="00591D54" w:rsidRDefault="00591D54">
      <w:pPr>
        <w:shd w:val="clear" w:color="auto" w:fill="FFFFFF"/>
        <w:tabs>
          <w:tab w:val="left" w:pos="144"/>
        </w:tabs>
        <w:spacing w:before="149" w:line="178" w:lineRule="exact"/>
        <w:ind w:left="144" w:hanging="144"/>
      </w:pPr>
      <w:r>
        <w:rPr>
          <w:sz w:val="10"/>
          <w:szCs w:val="10"/>
          <w:vertAlign w:val="superscript"/>
          <w:lang w:val="es-ES_tradnl"/>
        </w:rPr>
        <w:t>4</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w:t>
      </w:r>
      <w:r>
        <w:rPr>
          <w:sz w:val="18"/>
          <w:szCs w:val="18"/>
          <w:lang w:val="es-ES_tradnl"/>
        </w:rPr>
        <w:t xml:space="preserve"> </w:t>
      </w:r>
      <w:r>
        <w:rPr>
          <w:sz w:val="14"/>
          <w:szCs w:val="14"/>
          <w:lang w:val="es-ES_tradnl"/>
        </w:rPr>
        <w:t>034-13-SCN-CC, caso N.</w:t>
      </w:r>
      <w:r>
        <w:rPr>
          <w:rFonts w:cs="Times New Roman"/>
          <w:sz w:val="14"/>
          <w:szCs w:val="14"/>
          <w:lang w:val="es-ES_tradnl"/>
        </w:rPr>
        <w:t>°</w:t>
      </w:r>
      <w:r>
        <w:rPr>
          <w:sz w:val="14"/>
          <w:szCs w:val="14"/>
          <w:lang w:val="es-ES_tradnl"/>
        </w:rPr>
        <w:t xml:space="preserve"> 0561-12-CN</w:t>
      </w:r>
    </w:p>
    <w:p w14:paraId="4F67B23A" w14:textId="77777777" w:rsidR="00591D54" w:rsidRDefault="00591D54">
      <w:pPr>
        <w:shd w:val="clear" w:color="auto" w:fill="FFFFFF"/>
        <w:tabs>
          <w:tab w:val="left" w:pos="144"/>
        </w:tabs>
        <w:spacing w:before="149" w:line="178" w:lineRule="exact"/>
        <w:ind w:left="144" w:hanging="144"/>
        <w:sectPr w:rsidR="00591D54">
          <w:type w:val="continuous"/>
          <w:pgSz w:w="11909" w:h="16834"/>
          <w:pgMar w:top="1359" w:right="1309" w:bottom="360" w:left="1308" w:header="720" w:footer="720" w:gutter="0"/>
          <w:cols w:num="2" w:space="720" w:equalWidth="0">
            <w:col w:w="4305" w:space="682"/>
            <w:col w:w="4305"/>
          </w:cols>
          <w:noEndnote/>
        </w:sectPr>
      </w:pPr>
    </w:p>
    <w:p w14:paraId="4F67B23B" w14:textId="77777777" w:rsidR="00591D54" w:rsidRDefault="00591D54">
      <w:pPr>
        <w:shd w:val="clear" w:color="auto" w:fill="FFFFFF"/>
        <w:tabs>
          <w:tab w:val="left" w:pos="4814"/>
        </w:tabs>
        <w:spacing w:after="235"/>
        <w:ind w:left="14"/>
      </w:pPr>
      <w:r>
        <w:rPr>
          <w:b/>
          <w:bCs/>
          <w:sz w:val="18"/>
          <w:szCs w:val="18"/>
          <w:lang w:val="es-ES_tradnl"/>
        </w:rPr>
        <w:t xml:space="preserve">180 -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23C" w14:textId="77777777" w:rsidR="00591D54" w:rsidRDefault="00591D54">
      <w:pPr>
        <w:shd w:val="clear" w:color="auto" w:fill="FFFFFF"/>
        <w:tabs>
          <w:tab w:val="left" w:pos="4814"/>
        </w:tabs>
        <w:spacing w:after="235"/>
        <w:ind w:left="14"/>
        <w:sectPr w:rsidR="00591D54">
          <w:pgSz w:w="11909" w:h="16834"/>
          <w:pgMar w:top="1351" w:right="1309" w:bottom="360" w:left="1308" w:header="720" w:footer="720" w:gutter="0"/>
          <w:cols w:space="60"/>
          <w:noEndnote/>
        </w:sectPr>
      </w:pPr>
    </w:p>
    <w:p w14:paraId="4F67B23D" w14:textId="77777777" w:rsidR="00591D54" w:rsidRDefault="00591D54">
      <w:pPr>
        <w:shd w:val="clear" w:color="auto" w:fill="FFFFFF"/>
        <w:spacing w:line="216" w:lineRule="exact"/>
        <w:jc w:val="both"/>
      </w:pPr>
      <w:r>
        <w:rPr>
          <w:spacing w:val="-10"/>
          <w:sz w:val="18"/>
          <w:szCs w:val="18"/>
          <w:lang w:val="es-ES_tradnl"/>
        </w:rPr>
        <w:t xml:space="preserve">circunstancias pueden ser constatadas, por ejemplo, cuando </w:t>
      </w:r>
      <w:r>
        <w:rPr>
          <w:spacing w:val="-6"/>
          <w:sz w:val="18"/>
          <w:szCs w:val="18"/>
          <w:lang w:val="es-ES_tradnl"/>
        </w:rPr>
        <w:t>se haya evitado o interrumpido la violaci</w:t>
      </w:r>
      <w:r>
        <w:rPr>
          <w:rFonts w:cs="Times New Roman"/>
          <w:spacing w:val="-6"/>
          <w:sz w:val="18"/>
          <w:szCs w:val="18"/>
          <w:lang w:val="es-ES_tradnl"/>
        </w:rPr>
        <w:t>ó</w:t>
      </w:r>
      <w:r>
        <w:rPr>
          <w:spacing w:val="-6"/>
          <w:sz w:val="18"/>
          <w:szCs w:val="18"/>
          <w:lang w:val="es-ES_tradnl"/>
        </w:rPr>
        <w:t xml:space="preserve">n de derechos, </w:t>
      </w:r>
      <w:r>
        <w:rPr>
          <w:spacing w:val="-3"/>
          <w:sz w:val="18"/>
          <w:szCs w:val="18"/>
          <w:lang w:val="es-ES_tradnl"/>
        </w:rPr>
        <w:t xml:space="preserve">cuando hayan cesado los requisitos previstos en dicha </w:t>
      </w:r>
      <w:r>
        <w:rPr>
          <w:spacing w:val="-5"/>
          <w:sz w:val="18"/>
          <w:szCs w:val="18"/>
          <w:lang w:val="es-ES_tradnl"/>
        </w:rPr>
        <w:t>ley o se demuestre que el petitorio no ten</w:t>
      </w:r>
      <w:r>
        <w:rPr>
          <w:rFonts w:cs="Times New Roman"/>
          <w:spacing w:val="-5"/>
          <w:sz w:val="18"/>
          <w:szCs w:val="18"/>
          <w:lang w:val="es-ES_tradnl"/>
        </w:rPr>
        <w:t>í</w:t>
      </w:r>
      <w:r>
        <w:rPr>
          <w:spacing w:val="-5"/>
          <w:sz w:val="18"/>
          <w:szCs w:val="18"/>
          <w:lang w:val="es-ES_tradnl"/>
        </w:rPr>
        <w:t xml:space="preserve">a fundamento. </w:t>
      </w:r>
      <w:r>
        <w:rPr>
          <w:spacing w:val="-7"/>
          <w:sz w:val="18"/>
          <w:szCs w:val="18"/>
          <w:lang w:val="es-ES_tradnl"/>
        </w:rPr>
        <w:t>De esta resoluci</w:t>
      </w:r>
      <w:r>
        <w:rPr>
          <w:rFonts w:cs="Times New Roman"/>
          <w:spacing w:val="-7"/>
          <w:sz w:val="18"/>
          <w:szCs w:val="18"/>
          <w:lang w:val="es-ES_tradnl"/>
        </w:rPr>
        <w:t>ó</w:t>
      </w:r>
      <w:r>
        <w:rPr>
          <w:spacing w:val="-7"/>
          <w:sz w:val="18"/>
          <w:szCs w:val="18"/>
          <w:lang w:val="es-ES_tradnl"/>
        </w:rPr>
        <w:t xml:space="preserve">n de revocatoria, a diferencia de aquella </w:t>
      </w:r>
      <w:r>
        <w:rPr>
          <w:spacing w:val="-8"/>
          <w:sz w:val="18"/>
          <w:szCs w:val="18"/>
          <w:lang w:val="es-ES_tradnl"/>
        </w:rPr>
        <w:t xml:space="preserve">que acepta o niega el pedido de medidas cautelares, es </w:t>
      </w:r>
      <w:r>
        <w:rPr>
          <w:spacing w:val="-6"/>
          <w:sz w:val="18"/>
          <w:szCs w:val="18"/>
          <w:lang w:val="es-ES_tradnl"/>
        </w:rPr>
        <w:t>procedente el recurso de apelaci</w:t>
      </w:r>
      <w:r>
        <w:rPr>
          <w:rFonts w:cs="Times New Roman"/>
          <w:spacing w:val="-6"/>
          <w:sz w:val="18"/>
          <w:szCs w:val="18"/>
          <w:lang w:val="es-ES_tradnl"/>
        </w:rPr>
        <w:t>ó</w:t>
      </w:r>
      <w:r>
        <w:rPr>
          <w:spacing w:val="-6"/>
          <w:sz w:val="18"/>
          <w:szCs w:val="18"/>
          <w:lang w:val="es-ES_tradnl"/>
        </w:rPr>
        <w:t>n en tanto el legislador as</w:t>
      </w:r>
      <w:r>
        <w:rPr>
          <w:rFonts w:cs="Times New Roman"/>
          <w:spacing w:val="-6"/>
          <w:sz w:val="18"/>
          <w:szCs w:val="18"/>
          <w:lang w:val="es-ES_tradnl"/>
        </w:rPr>
        <w:t>í</w:t>
      </w:r>
      <w:r>
        <w:rPr>
          <w:spacing w:val="-6"/>
          <w:sz w:val="18"/>
          <w:szCs w:val="18"/>
          <w:lang w:val="es-ES_tradnl"/>
        </w:rPr>
        <w:t xml:space="preserve"> lo ha considerado, al establecer en el </w:t>
      </w:r>
      <w:r>
        <w:rPr>
          <w:rFonts w:cs="Times New Roman"/>
          <w:spacing w:val="-6"/>
          <w:sz w:val="18"/>
          <w:szCs w:val="18"/>
          <w:lang w:val="es-ES_tradnl"/>
        </w:rPr>
        <w:t>ú</w:t>
      </w:r>
      <w:r>
        <w:rPr>
          <w:spacing w:val="-6"/>
          <w:sz w:val="18"/>
          <w:szCs w:val="18"/>
          <w:lang w:val="es-ES_tradnl"/>
        </w:rPr>
        <w:t xml:space="preserve">ltimo inciso de </w:t>
      </w:r>
      <w:r>
        <w:rPr>
          <w:spacing w:val="-5"/>
          <w:sz w:val="18"/>
          <w:szCs w:val="18"/>
          <w:lang w:val="es-ES_tradnl"/>
        </w:rPr>
        <w:t>dicho art</w:t>
      </w:r>
      <w:r>
        <w:rPr>
          <w:rFonts w:cs="Times New Roman"/>
          <w:spacing w:val="-5"/>
          <w:sz w:val="18"/>
          <w:szCs w:val="18"/>
          <w:lang w:val="es-ES_tradnl"/>
        </w:rPr>
        <w:t>í</w:t>
      </w:r>
      <w:r>
        <w:rPr>
          <w:spacing w:val="-5"/>
          <w:sz w:val="18"/>
          <w:szCs w:val="18"/>
          <w:lang w:val="es-ES_tradnl"/>
        </w:rPr>
        <w:t xml:space="preserve">culo 35 lo siguiente: </w:t>
      </w:r>
      <w:r>
        <w:rPr>
          <w:rFonts w:cs="Times New Roman"/>
          <w:spacing w:val="-5"/>
          <w:sz w:val="18"/>
          <w:szCs w:val="18"/>
          <w:lang w:val="es-ES_tradnl"/>
        </w:rPr>
        <w:t>“</w:t>
      </w:r>
      <w:r>
        <w:rPr>
          <w:spacing w:val="-5"/>
          <w:sz w:val="18"/>
          <w:szCs w:val="18"/>
          <w:lang w:val="es-ES_tradnl"/>
        </w:rPr>
        <w:t xml:space="preserve">Cuando la jueza o juez </w:t>
      </w:r>
      <w:r>
        <w:rPr>
          <w:spacing w:val="-9"/>
          <w:sz w:val="18"/>
          <w:szCs w:val="18"/>
          <w:lang w:val="es-ES_tradnl"/>
        </w:rPr>
        <w:t>considere que no procede la revocatoria, deber</w:t>
      </w:r>
      <w:r>
        <w:rPr>
          <w:rFonts w:cs="Times New Roman"/>
          <w:spacing w:val="-9"/>
          <w:sz w:val="18"/>
          <w:szCs w:val="18"/>
          <w:lang w:val="es-ES_tradnl"/>
        </w:rPr>
        <w:t>á</w:t>
      </w:r>
      <w:r>
        <w:rPr>
          <w:spacing w:val="-9"/>
          <w:sz w:val="18"/>
          <w:szCs w:val="18"/>
          <w:lang w:val="es-ES_tradnl"/>
        </w:rPr>
        <w:t xml:space="preserve"> determinar </w:t>
      </w:r>
      <w:r>
        <w:rPr>
          <w:spacing w:val="-8"/>
          <w:sz w:val="18"/>
          <w:szCs w:val="18"/>
          <w:lang w:val="es-ES_tradnl"/>
        </w:rPr>
        <w:t xml:space="preserve">las razones mediante auto, </w:t>
      </w:r>
      <w:r>
        <w:rPr>
          <w:b/>
          <w:bCs/>
          <w:spacing w:val="-8"/>
          <w:sz w:val="18"/>
          <w:szCs w:val="18"/>
          <w:lang w:val="es-ES_tradnl"/>
        </w:rPr>
        <w:t>que podr</w:t>
      </w:r>
      <w:r>
        <w:rPr>
          <w:rFonts w:cs="Times New Roman"/>
          <w:b/>
          <w:bCs/>
          <w:spacing w:val="-8"/>
          <w:sz w:val="18"/>
          <w:szCs w:val="18"/>
          <w:lang w:val="es-ES_tradnl"/>
        </w:rPr>
        <w:t>á</w:t>
      </w:r>
      <w:r>
        <w:rPr>
          <w:b/>
          <w:bCs/>
          <w:spacing w:val="-8"/>
          <w:sz w:val="18"/>
          <w:szCs w:val="18"/>
          <w:lang w:val="es-ES_tradnl"/>
        </w:rPr>
        <w:t xml:space="preserve"> ser apelado en el </w:t>
      </w:r>
      <w:r>
        <w:rPr>
          <w:b/>
          <w:bCs/>
          <w:spacing w:val="-6"/>
          <w:sz w:val="18"/>
          <w:szCs w:val="18"/>
          <w:lang w:val="es-ES_tradnl"/>
        </w:rPr>
        <w:t>t</w:t>
      </w:r>
      <w:r>
        <w:rPr>
          <w:rFonts w:cs="Times New Roman"/>
          <w:b/>
          <w:bCs/>
          <w:spacing w:val="-6"/>
          <w:sz w:val="18"/>
          <w:szCs w:val="18"/>
          <w:lang w:val="es-ES_tradnl"/>
        </w:rPr>
        <w:t>é</w:t>
      </w:r>
      <w:r>
        <w:rPr>
          <w:b/>
          <w:bCs/>
          <w:spacing w:val="-6"/>
          <w:sz w:val="18"/>
          <w:szCs w:val="18"/>
          <w:lang w:val="es-ES_tradnl"/>
        </w:rPr>
        <w:t>rmino de tres d</w:t>
      </w:r>
      <w:r>
        <w:rPr>
          <w:rFonts w:cs="Times New Roman"/>
          <w:b/>
          <w:bCs/>
          <w:spacing w:val="-6"/>
          <w:sz w:val="18"/>
          <w:szCs w:val="18"/>
          <w:lang w:val="es-ES_tradnl"/>
        </w:rPr>
        <w:t>í</w:t>
      </w:r>
      <w:r>
        <w:rPr>
          <w:b/>
          <w:bCs/>
          <w:spacing w:val="-6"/>
          <w:sz w:val="18"/>
          <w:szCs w:val="18"/>
          <w:lang w:val="es-ES_tradnl"/>
        </w:rPr>
        <w:t xml:space="preserve">as </w:t>
      </w:r>
      <w:r>
        <w:rPr>
          <w:spacing w:val="-6"/>
          <w:sz w:val="18"/>
          <w:szCs w:val="18"/>
          <w:lang w:val="es-ES_tradnl"/>
        </w:rPr>
        <w:t>(</w:t>
      </w:r>
      <w:r>
        <w:rPr>
          <w:rFonts w:cs="Times New Roman"/>
          <w:spacing w:val="-6"/>
          <w:sz w:val="18"/>
          <w:szCs w:val="18"/>
          <w:lang w:val="es-ES_tradnl"/>
        </w:rPr>
        <w:t>É</w:t>
      </w:r>
      <w:r>
        <w:rPr>
          <w:spacing w:val="-6"/>
          <w:sz w:val="18"/>
          <w:szCs w:val="18"/>
          <w:lang w:val="es-ES_tradnl"/>
        </w:rPr>
        <w:t>nfasis fuera del texto)</w:t>
      </w:r>
      <w:r>
        <w:rPr>
          <w:rFonts w:cs="Times New Roman"/>
          <w:spacing w:val="-6"/>
          <w:sz w:val="18"/>
          <w:szCs w:val="18"/>
          <w:lang w:val="es-ES_tradnl"/>
        </w:rPr>
        <w:t>”</w:t>
      </w:r>
      <w:r>
        <w:rPr>
          <w:spacing w:val="-6"/>
          <w:sz w:val="18"/>
          <w:szCs w:val="18"/>
          <w:lang w:val="es-ES_tradnl"/>
        </w:rPr>
        <w:t>.</w:t>
      </w:r>
    </w:p>
    <w:p w14:paraId="4F67B23E" w14:textId="77777777" w:rsidR="00591D54" w:rsidRDefault="00591D54">
      <w:pPr>
        <w:shd w:val="clear" w:color="auto" w:fill="FFFFFF"/>
        <w:spacing w:before="197" w:line="216" w:lineRule="exact"/>
        <w:ind w:right="5"/>
        <w:jc w:val="both"/>
      </w:pPr>
      <w:r>
        <w:rPr>
          <w:spacing w:val="-6"/>
          <w:sz w:val="18"/>
          <w:szCs w:val="18"/>
          <w:lang w:val="es-ES_tradnl"/>
        </w:rPr>
        <w:t xml:space="preserve">Desde la </w:t>
      </w:r>
      <w:r>
        <w:rPr>
          <w:rFonts w:cs="Times New Roman"/>
          <w:spacing w:val="-6"/>
          <w:sz w:val="18"/>
          <w:szCs w:val="18"/>
          <w:lang w:val="es-ES_tradnl"/>
        </w:rPr>
        <w:t>ó</w:t>
      </w:r>
      <w:r>
        <w:rPr>
          <w:spacing w:val="-6"/>
          <w:sz w:val="18"/>
          <w:szCs w:val="18"/>
          <w:lang w:val="es-ES_tradnl"/>
        </w:rPr>
        <w:t>ptica del escenario jur</w:t>
      </w:r>
      <w:r>
        <w:rPr>
          <w:rFonts w:cs="Times New Roman"/>
          <w:spacing w:val="-6"/>
          <w:sz w:val="18"/>
          <w:szCs w:val="18"/>
          <w:lang w:val="es-ES_tradnl"/>
        </w:rPr>
        <w:t>í</w:t>
      </w:r>
      <w:r>
        <w:rPr>
          <w:spacing w:val="-6"/>
          <w:sz w:val="18"/>
          <w:szCs w:val="18"/>
          <w:lang w:val="es-ES_tradnl"/>
        </w:rPr>
        <w:t>dico aqu</w:t>
      </w:r>
      <w:r>
        <w:rPr>
          <w:rFonts w:cs="Times New Roman"/>
          <w:spacing w:val="-6"/>
          <w:sz w:val="18"/>
          <w:szCs w:val="18"/>
          <w:lang w:val="es-ES_tradnl"/>
        </w:rPr>
        <w:t>í</w:t>
      </w:r>
      <w:r>
        <w:rPr>
          <w:spacing w:val="-6"/>
          <w:sz w:val="18"/>
          <w:szCs w:val="18"/>
          <w:lang w:val="es-ES_tradnl"/>
        </w:rPr>
        <w:t xml:space="preserve"> planteado, la </w:t>
      </w:r>
      <w:r>
        <w:rPr>
          <w:spacing w:val="-3"/>
          <w:sz w:val="18"/>
          <w:szCs w:val="18"/>
          <w:lang w:val="es-ES_tradnl"/>
        </w:rPr>
        <w:t>Corte Constitucional debe recordar que de presentarse un recurso de apelaci</w:t>
      </w:r>
      <w:r>
        <w:rPr>
          <w:rFonts w:cs="Times New Roman"/>
          <w:spacing w:val="-3"/>
          <w:sz w:val="18"/>
          <w:szCs w:val="18"/>
          <w:lang w:val="es-ES_tradnl"/>
        </w:rPr>
        <w:t>ó</w:t>
      </w:r>
      <w:r>
        <w:rPr>
          <w:spacing w:val="-3"/>
          <w:sz w:val="18"/>
          <w:szCs w:val="18"/>
          <w:lang w:val="es-ES_tradnl"/>
        </w:rPr>
        <w:t>n en contra de una resoluci</w:t>
      </w:r>
      <w:r>
        <w:rPr>
          <w:rFonts w:cs="Times New Roman"/>
          <w:spacing w:val="-3"/>
          <w:sz w:val="18"/>
          <w:szCs w:val="18"/>
          <w:lang w:val="es-ES_tradnl"/>
        </w:rPr>
        <w:t>ó</w:t>
      </w:r>
      <w:r>
        <w:rPr>
          <w:spacing w:val="-3"/>
          <w:sz w:val="18"/>
          <w:szCs w:val="18"/>
          <w:lang w:val="es-ES_tradnl"/>
        </w:rPr>
        <w:t xml:space="preserve">n </w:t>
      </w:r>
      <w:r>
        <w:rPr>
          <w:spacing w:val="-4"/>
          <w:sz w:val="18"/>
          <w:szCs w:val="18"/>
          <w:lang w:val="es-ES_tradnl"/>
        </w:rPr>
        <w:t>judicial mediante la cual se acept</w:t>
      </w:r>
      <w:r>
        <w:rPr>
          <w:rFonts w:cs="Times New Roman"/>
          <w:spacing w:val="-4"/>
          <w:sz w:val="18"/>
          <w:szCs w:val="18"/>
          <w:lang w:val="es-ES_tradnl"/>
        </w:rPr>
        <w:t>ó</w:t>
      </w:r>
      <w:r>
        <w:rPr>
          <w:spacing w:val="-4"/>
          <w:sz w:val="18"/>
          <w:szCs w:val="18"/>
          <w:lang w:val="es-ES_tradnl"/>
        </w:rPr>
        <w:t xml:space="preserve"> o neg</w:t>
      </w:r>
      <w:r>
        <w:rPr>
          <w:rFonts w:cs="Times New Roman"/>
          <w:spacing w:val="-4"/>
          <w:sz w:val="18"/>
          <w:szCs w:val="18"/>
          <w:lang w:val="es-ES_tradnl"/>
        </w:rPr>
        <w:t>ó</w:t>
      </w:r>
      <w:r>
        <w:rPr>
          <w:spacing w:val="-4"/>
          <w:sz w:val="18"/>
          <w:szCs w:val="18"/>
          <w:lang w:val="es-ES_tradnl"/>
        </w:rPr>
        <w:t xml:space="preserve"> la revocatoria </w:t>
      </w:r>
      <w:r>
        <w:rPr>
          <w:spacing w:val="-9"/>
          <w:sz w:val="18"/>
          <w:szCs w:val="18"/>
          <w:lang w:val="es-ES_tradnl"/>
        </w:rPr>
        <w:t xml:space="preserve">de las medidas cautelares, los jueces de segundo nivel se </w:t>
      </w:r>
      <w:r>
        <w:rPr>
          <w:spacing w:val="-3"/>
          <w:sz w:val="18"/>
          <w:szCs w:val="18"/>
          <w:lang w:val="es-ES_tradnl"/>
        </w:rPr>
        <w:t>encuentran obligados a circunscribir su an</w:t>
      </w:r>
      <w:r>
        <w:rPr>
          <w:rFonts w:cs="Times New Roman"/>
          <w:spacing w:val="-3"/>
          <w:sz w:val="18"/>
          <w:szCs w:val="18"/>
          <w:lang w:val="es-ES_tradnl"/>
        </w:rPr>
        <w:t>á</w:t>
      </w:r>
      <w:r>
        <w:rPr>
          <w:spacing w:val="-3"/>
          <w:sz w:val="18"/>
          <w:szCs w:val="18"/>
          <w:lang w:val="es-ES_tradnl"/>
        </w:rPr>
        <w:t>lisis jur</w:t>
      </w:r>
      <w:r>
        <w:rPr>
          <w:rFonts w:cs="Times New Roman"/>
          <w:spacing w:val="-3"/>
          <w:sz w:val="18"/>
          <w:szCs w:val="18"/>
          <w:lang w:val="es-ES_tradnl"/>
        </w:rPr>
        <w:t>í</w:t>
      </w:r>
      <w:r>
        <w:rPr>
          <w:spacing w:val="-3"/>
          <w:sz w:val="18"/>
          <w:szCs w:val="18"/>
          <w:lang w:val="es-ES_tradnl"/>
        </w:rPr>
        <w:t xml:space="preserve">dico </w:t>
      </w:r>
      <w:r>
        <w:rPr>
          <w:spacing w:val="-7"/>
          <w:sz w:val="18"/>
          <w:szCs w:val="18"/>
          <w:lang w:val="es-ES_tradnl"/>
        </w:rPr>
        <w:t xml:space="preserve">en determinar si tal revocatoria resultaba procedente o no, </w:t>
      </w:r>
      <w:r>
        <w:rPr>
          <w:spacing w:val="-3"/>
          <w:sz w:val="18"/>
          <w:szCs w:val="18"/>
          <w:lang w:val="es-ES_tradnl"/>
        </w:rPr>
        <w:t xml:space="preserve">lo cual se traduce como observancia y cumplimiento de </w:t>
      </w:r>
      <w:r>
        <w:rPr>
          <w:spacing w:val="-6"/>
          <w:sz w:val="18"/>
          <w:szCs w:val="18"/>
          <w:lang w:val="es-ES_tradnl"/>
        </w:rPr>
        <w:t>la seguridad jur</w:t>
      </w:r>
      <w:r>
        <w:rPr>
          <w:rFonts w:cs="Times New Roman"/>
          <w:spacing w:val="-6"/>
          <w:sz w:val="18"/>
          <w:szCs w:val="18"/>
          <w:lang w:val="es-ES_tradnl"/>
        </w:rPr>
        <w:t>í</w:t>
      </w:r>
      <w:r>
        <w:rPr>
          <w:spacing w:val="-6"/>
          <w:sz w:val="18"/>
          <w:szCs w:val="18"/>
          <w:lang w:val="es-ES_tradnl"/>
        </w:rPr>
        <w:t>dica. Dicho en otras palabras, los jueces provinciales, quienes avocan conocimiento de un recurso de apelaci</w:t>
      </w:r>
      <w:r>
        <w:rPr>
          <w:rFonts w:cs="Times New Roman"/>
          <w:spacing w:val="-6"/>
          <w:sz w:val="18"/>
          <w:szCs w:val="18"/>
          <w:lang w:val="es-ES_tradnl"/>
        </w:rPr>
        <w:t>ó</w:t>
      </w:r>
      <w:r>
        <w:rPr>
          <w:spacing w:val="-6"/>
          <w:sz w:val="18"/>
          <w:szCs w:val="18"/>
          <w:lang w:val="es-ES_tradnl"/>
        </w:rPr>
        <w:t xml:space="preserve">n formulado en contra del auto que acepta o </w:t>
      </w:r>
      <w:r>
        <w:rPr>
          <w:spacing w:val="-8"/>
          <w:sz w:val="18"/>
          <w:szCs w:val="18"/>
          <w:lang w:val="es-ES_tradnl"/>
        </w:rPr>
        <w:t xml:space="preserve">niega la revocatoria de medidas cautelares, deben tener </w:t>
      </w:r>
      <w:r>
        <w:rPr>
          <w:spacing w:val="-7"/>
          <w:sz w:val="18"/>
          <w:szCs w:val="18"/>
          <w:lang w:val="es-ES_tradnl"/>
        </w:rPr>
        <w:t xml:space="preserve">presente que su </w:t>
      </w:r>
      <w:r>
        <w:rPr>
          <w:rFonts w:cs="Times New Roman"/>
          <w:spacing w:val="-7"/>
          <w:sz w:val="18"/>
          <w:szCs w:val="18"/>
          <w:lang w:val="es-ES_tradnl"/>
        </w:rPr>
        <w:t>á</w:t>
      </w:r>
      <w:r>
        <w:rPr>
          <w:spacing w:val="-7"/>
          <w:sz w:val="18"/>
          <w:szCs w:val="18"/>
          <w:lang w:val="es-ES_tradnl"/>
        </w:rPr>
        <w:t>mbito de acci</w:t>
      </w:r>
      <w:r>
        <w:rPr>
          <w:rFonts w:cs="Times New Roman"/>
          <w:spacing w:val="-7"/>
          <w:sz w:val="18"/>
          <w:szCs w:val="18"/>
          <w:lang w:val="es-ES_tradnl"/>
        </w:rPr>
        <w:t>ó</w:t>
      </w:r>
      <w:r>
        <w:rPr>
          <w:spacing w:val="-7"/>
          <w:sz w:val="18"/>
          <w:szCs w:val="18"/>
          <w:lang w:val="es-ES_tradnl"/>
        </w:rPr>
        <w:t xml:space="preserve">n se encuentra limitado y </w:t>
      </w:r>
      <w:r>
        <w:rPr>
          <w:spacing w:val="-9"/>
          <w:sz w:val="18"/>
          <w:szCs w:val="18"/>
          <w:lang w:val="es-ES_tradnl"/>
        </w:rPr>
        <w:t xml:space="preserve">circunscrito a establecer si tales medidas cautelares deben </w:t>
      </w:r>
      <w:r>
        <w:rPr>
          <w:spacing w:val="-6"/>
          <w:sz w:val="18"/>
          <w:szCs w:val="18"/>
          <w:lang w:val="es-ES_tradnl"/>
        </w:rPr>
        <w:t>mantenerse o, por el contrario, deben ser levantadas en caso de haberse comprobado la cesaci</w:t>
      </w:r>
      <w:r>
        <w:rPr>
          <w:rFonts w:cs="Times New Roman"/>
          <w:spacing w:val="-6"/>
          <w:sz w:val="18"/>
          <w:szCs w:val="18"/>
          <w:lang w:val="es-ES_tradnl"/>
        </w:rPr>
        <w:t>ó</w:t>
      </w:r>
      <w:r>
        <w:rPr>
          <w:spacing w:val="-6"/>
          <w:sz w:val="18"/>
          <w:szCs w:val="18"/>
          <w:lang w:val="es-ES_tradnl"/>
        </w:rPr>
        <w:t>n de la amenaza o la violaci</w:t>
      </w:r>
      <w:r>
        <w:rPr>
          <w:rFonts w:cs="Times New Roman"/>
          <w:spacing w:val="-6"/>
          <w:sz w:val="18"/>
          <w:szCs w:val="18"/>
          <w:lang w:val="es-ES_tradnl"/>
        </w:rPr>
        <w:t>ó</w:t>
      </w:r>
      <w:r>
        <w:rPr>
          <w:spacing w:val="-6"/>
          <w:sz w:val="18"/>
          <w:szCs w:val="18"/>
          <w:lang w:val="es-ES_tradnl"/>
        </w:rPr>
        <w:t xml:space="preserve">n a derechos constitucionales; no deben, los </w:t>
      </w:r>
      <w:r>
        <w:rPr>
          <w:spacing w:val="-11"/>
          <w:sz w:val="18"/>
          <w:szCs w:val="18"/>
          <w:lang w:val="es-ES_tradnl"/>
        </w:rPr>
        <w:t>jueces de apelaci</w:t>
      </w:r>
      <w:r>
        <w:rPr>
          <w:rFonts w:cs="Times New Roman"/>
          <w:spacing w:val="-11"/>
          <w:sz w:val="18"/>
          <w:szCs w:val="18"/>
          <w:lang w:val="es-ES_tradnl"/>
        </w:rPr>
        <w:t>ó</w:t>
      </w:r>
      <w:r>
        <w:rPr>
          <w:spacing w:val="-11"/>
          <w:sz w:val="18"/>
          <w:szCs w:val="18"/>
          <w:lang w:val="es-ES_tradnl"/>
        </w:rPr>
        <w:t xml:space="preserve">n, analizar si las razones que en un primer </w:t>
      </w:r>
      <w:r>
        <w:rPr>
          <w:spacing w:val="-8"/>
          <w:sz w:val="18"/>
          <w:szCs w:val="18"/>
          <w:lang w:val="es-ES_tradnl"/>
        </w:rPr>
        <w:t>momento motivaron la concesi</w:t>
      </w:r>
      <w:r>
        <w:rPr>
          <w:rFonts w:cs="Times New Roman"/>
          <w:spacing w:val="-8"/>
          <w:sz w:val="18"/>
          <w:szCs w:val="18"/>
          <w:lang w:val="es-ES_tradnl"/>
        </w:rPr>
        <w:t>ó</w:t>
      </w:r>
      <w:r>
        <w:rPr>
          <w:spacing w:val="-8"/>
          <w:sz w:val="18"/>
          <w:szCs w:val="18"/>
          <w:lang w:val="es-ES_tradnl"/>
        </w:rPr>
        <w:t xml:space="preserve">n de tales medidas, fueron </w:t>
      </w:r>
      <w:r>
        <w:rPr>
          <w:sz w:val="18"/>
          <w:szCs w:val="18"/>
          <w:lang w:val="es-ES_tradnl"/>
        </w:rPr>
        <w:t>pertinentes y jur</w:t>
      </w:r>
      <w:r>
        <w:rPr>
          <w:rFonts w:cs="Times New Roman"/>
          <w:sz w:val="18"/>
          <w:szCs w:val="18"/>
          <w:lang w:val="es-ES_tradnl"/>
        </w:rPr>
        <w:t>í</w:t>
      </w:r>
      <w:r>
        <w:rPr>
          <w:sz w:val="18"/>
          <w:szCs w:val="18"/>
          <w:lang w:val="es-ES_tradnl"/>
        </w:rPr>
        <w:t>dicamente procedentes.</w:t>
      </w:r>
    </w:p>
    <w:p w14:paraId="4F67B23F" w14:textId="77777777" w:rsidR="00591D54" w:rsidRDefault="00591D54">
      <w:pPr>
        <w:shd w:val="clear" w:color="auto" w:fill="FFFFFF"/>
        <w:spacing w:before="197" w:line="216" w:lineRule="exact"/>
        <w:ind w:right="5"/>
        <w:jc w:val="both"/>
      </w:pPr>
      <w:r>
        <w:rPr>
          <w:spacing w:val="-3"/>
          <w:sz w:val="18"/>
          <w:szCs w:val="18"/>
          <w:lang w:val="es-ES_tradnl"/>
        </w:rPr>
        <w:t>A fin de salvaguardar la seguridad jur</w:t>
      </w:r>
      <w:r>
        <w:rPr>
          <w:rFonts w:cs="Times New Roman"/>
          <w:spacing w:val="-3"/>
          <w:sz w:val="18"/>
          <w:szCs w:val="18"/>
          <w:lang w:val="es-ES_tradnl"/>
        </w:rPr>
        <w:t>í</w:t>
      </w:r>
      <w:r>
        <w:rPr>
          <w:spacing w:val="-3"/>
          <w:sz w:val="18"/>
          <w:szCs w:val="18"/>
          <w:lang w:val="es-ES_tradnl"/>
        </w:rPr>
        <w:t xml:space="preserve">dica establecida </w:t>
      </w:r>
      <w:r>
        <w:rPr>
          <w:spacing w:val="-5"/>
          <w:sz w:val="18"/>
          <w:szCs w:val="18"/>
          <w:lang w:val="es-ES_tradnl"/>
        </w:rPr>
        <w:t>en el art</w:t>
      </w:r>
      <w:r>
        <w:rPr>
          <w:rFonts w:cs="Times New Roman"/>
          <w:spacing w:val="-5"/>
          <w:sz w:val="18"/>
          <w:szCs w:val="18"/>
          <w:lang w:val="es-ES_tradnl"/>
        </w:rPr>
        <w:t>í</w:t>
      </w:r>
      <w:r>
        <w:rPr>
          <w:spacing w:val="-5"/>
          <w:sz w:val="18"/>
          <w:szCs w:val="18"/>
          <w:lang w:val="es-ES_tradnl"/>
        </w:rPr>
        <w:t>culo 82 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blica, los jueces provinciales se encuentran en la obligaci</w:t>
      </w:r>
      <w:r>
        <w:rPr>
          <w:rFonts w:cs="Times New Roman"/>
          <w:spacing w:val="-5"/>
          <w:sz w:val="18"/>
          <w:szCs w:val="18"/>
          <w:lang w:val="es-ES_tradnl"/>
        </w:rPr>
        <w:t>ó</w:t>
      </w:r>
      <w:r>
        <w:rPr>
          <w:spacing w:val="-5"/>
          <w:sz w:val="18"/>
          <w:szCs w:val="18"/>
          <w:lang w:val="es-ES_tradnl"/>
        </w:rPr>
        <w:t xml:space="preserve">n de </w:t>
      </w:r>
      <w:r>
        <w:rPr>
          <w:spacing w:val="-6"/>
          <w:sz w:val="18"/>
          <w:szCs w:val="18"/>
          <w:lang w:val="es-ES_tradnl"/>
        </w:rPr>
        <w:t>efectuar una valoraci</w:t>
      </w:r>
      <w:r>
        <w:rPr>
          <w:rFonts w:cs="Times New Roman"/>
          <w:spacing w:val="-6"/>
          <w:sz w:val="18"/>
          <w:szCs w:val="18"/>
          <w:lang w:val="es-ES_tradnl"/>
        </w:rPr>
        <w:t>ó</w:t>
      </w:r>
      <w:r>
        <w:rPr>
          <w:spacing w:val="-6"/>
          <w:sz w:val="18"/>
          <w:szCs w:val="18"/>
          <w:lang w:val="es-ES_tradnl"/>
        </w:rPr>
        <w:t>n jur</w:t>
      </w:r>
      <w:r>
        <w:rPr>
          <w:rFonts w:cs="Times New Roman"/>
          <w:spacing w:val="-6"/>
          <w:sz w:val="18"/>
          <w:szCs w:val="18"/>
          <w:lang w:val="es-ES_tradnl"/>
        </w:rPr>
        <w:t>í</w:t>
      </w:r>
      <w:r>
        <w:rPr>
          <w:spacing w:val="-6"/>
          <w:sz w:val="18"/>
          <w:szCs w:val="18"/>
          <w:lang w:val="es-ES_tradnl"/>
        </w:rPr>
        <w:t xml:space="preserve">dica de los hechos posteriores </w:t>
      </w:r>
      <w:r>
        <w:rPr>
          <w:spacing w:val="-9"/>
          <w:sz w:val="18"/>
          <w:szCs w:val="18"/>
          <w:lang w:val="es-ES_tradnl"/>
        </w:rPr>
        <w:t>a la concesi</w:t>
      </w:r>
      <w:r>
        <w:rPr>
          <w:rFonts w:cs="Times New Roman"/>
          <w:spacing w:val="-9"/>
          <w:sz w:val="18"/>
          <w:szCs w:val="18"/>
          <w:lang w:val="es-ES_tradnl"/>
        </w:rPr>
        <w:t>ó</w:t>
      </w:r>
      <w:r>
        <w:rPr>
          <w:spacing w:val="-9"/>
          <w:sz w:val="18"/>
          <w:szCs w:val="18"/>
          <w:lang w:val="es-ES_tradnl"/>
        </w:rPr>
        <w:t xml:space="preserve">n de medidas cautelares por parte del juez de </w:t>
      </w:r>
      <w:r>
        <w:rPr>
          <w:spacing w:val="-7"/>
          <w:sz w:val="18"/>
          <w:szCs w:val="18"/>
          <w:lang w:val="es-ES_tradnl"/>
        </w:rPr>
        <w:t xml:space="preserve">primer nivel, mas no evaluar los requisitos de peligro en la </w:t>
      </w:r>
      <w:r>
        <w:rPr>
          <w:spacing w:val="-6"/>
          <w:sz w:val="18"/>
          <w:szCs w:val="18"/>
          <w:lang w:val="es-ES_tradnl"/>
        </w:rPr>
        <w:t>demora</w:t>
      </w:r>
      <w:r>
        <w:rPr>
          <w:spacing w:val="-6"/>
          <w:sz w:val="18"/>
          <w:szCs w:val="18"/>
          <w:vertAlign w:val="superscript"/>
          <w:lang w:val="es-ES_tradnl"/>
        </w:rPr>
        <w:t>5</w:t>
      </w:r>
      <w:r>
        <w:rPr>
          <w:spacing w:val="-6"/>
          <w:sz w:val="18"/>
          <w:szCs w:val="18"/>
          <w:lang w:val="es-ES_tradnl"/>
        </w:rPr>
        <w:t xml:space="preserve"> y verosimilitud fundada en la pretensi</w:t>
      </w:r>
      <w:r>
        <w:rPr>
          <w:rFonts w:cs="Times New Roman"/>
          <w:spacing w:val="-6"/>
          <w:sz w:val="18"/>
          <w:szCs w:val="18"/>
          <w:lang w:val="es-ES_tradnl"/>
        </w:rPr>
        <w:t>ó</w:t>
      </w:r>
      <w:r>
        <w:rPr>
          <w:spacing w:val="-6"/>
          <w:sz w:val="18"/>
          <w:szCs w:val="18"/>
          <w:lang w:val="es-ES_tradnl"/>
        </w:rPr>
        <w:t>n</w:t>
      </w:r>
      <w:r>
        <w:rPr>
          <w:spacing w:val="-6"/>
          <w:sz w:val="18"/>
          <w:szCs w:val="18"/>
          <w:vertAlign w:val="superscript"/>
          <w:lang w:val="es-ES_tradnl"/>
        </w:rPr>
        <w:t>6</w:t>
      </w:r>
      <w:r>
        <w:rPr>
          <w:spacing w:val="-6"/>
          <w:sz w:val="18"/>
          <w:szCs w:val="18"/>
          <w:lang w:val="es-ES_tradnl"/>
        </w:rPr>
        <w:t xml:space="preserve">, como </w:t>
      </w:r>
      <w:r>
        <w:rPr>
          <w:spacing w:val="-7"/>
          <w:sz w:val="18"/>
          <w:szCs w:val="18"/>
          <w:lang w:val="es-ES_tradnl"/>
        </w:rPr>
        <w:t>si dichos jueces estuviesen llamados a resolver el recurso</w:t>
      </w:r>
    </w:p>
    <w:p w14:paraId="4F67B240" w14:textId="77777777" w:rsidR="00591D54" w:rsidRDefault="00591D54">
      <w:pPr>
        <w:shd w:val="clear" w:color="auto" w:fill="FFFFFF"/>
        <w:tabs>
          <w:tab w:val="left" w:pos="139"/>
        </w:tabs>
        <w:spacing w:before="413" w:line="178" w:lineRule="exact"/>
        <w:ind w:left="139" w:right="5" w:hanging="139"/>
        <w:jc w:val="both"/>
      </w:pPr>
      <w:r>
        <w:rPr>
          <w:sz w:val="10"/>
          <w:szCs w:val="10"/>
          <w:vertAlign w:val="superscript"/>
          <w:lang w:val="es-ES_tradnl"/>
        </w:rPr>
        <w:t>5</w:t>
      </w:r>
      <w:r>
        <w:rPr>
          <w:sz w:val="18"/>
          <w:szCs w:val="18"/>
          <w:lang w:val="es-ES_tradnl"/>
        </w:rPr>
        <w:tab/>
      </w:r>
      <w:r>
        <w:rPr>
          <w:spacing w:val="-4"/>
          <w:sz w:val="14"/>
          <w:szCs w:val="14"/>
          <w:lang w:val="es-ES_tradnl"/>
        </w:rPr>
        <w:t>De</w:t>
      </w:r>
      <w:r>
        <w:rPr>
          <w:spacing w:val="-4"/>
          <w:sz w:val="18"/>
          <w:szCs w:val="18"/>
          <w:lang w:val="es-ES_tradnl"/>
        </w:rPr>
        <w:t xml:space="preserve"> </w:t>
      </w:r>
      <w:r>
        <w:rPr>
          <w:spacing w:val="-4"/>
          <w:sz w:val="14"/>
          <w:szCs w:val="14"/>
          <w:lang w:val="es-ES_tradnl"/>
        </w:rPr>
        <w:t>acuerdo</w:t>
      </w:r>
      <w:r>
        <w:rPr>
          <w:spacing w:val="-4"/>
          <w:sz w:val="18"/>
          <w:szCs w:val="18"/>
          <w:lang w:val="es-ES_tradnl"/>
        </w:rPr>
        <w:t xml:space="preserve"> </w:t>
      </w:r>
      <w:r>
        <w:rPr>
          <w:spacing w:val="-4"/>
          <w:sz w:val="14"/>
          <w:szCs w:val="14"/>
          <w:lang w:val="es-ES_tradnl"/>
        </w:rPr>
        <w:t>a</w:t>
      </w:r>
      <w:r>
        <w:rPr>
          <w:spacing w:val="-4"/>
          <w:sz w:val="18"/>
          <w:szCs w:val="18"/>
          <w:lang w:val="es-ES_tradnl"/>
        </w:rPr>
        <w:t xml:space="preserve"> </w:t>
      </w:r>
      <w:r>
        <w:rPr>
          <w:spacing w:val="-4"/>
          <w:sz w:val="14"/>
          <w:szCs w:val="14"/>
          <w:lang w:val="es-ES_tradnl"/>
        </w:rPr>
        <w:t>la</w:t>
      </w:r>
      <w:r>
        <w:rPr>
          <w:spacing w:val="-4"/>
          <w:sz w:val="18"/>
          <w:szCs w:val="18"/>
          <w:lang w:val="es-ES_tradnl"/>
        </w:rPr>
        <w:t xml:space="preserve"> </w:t>
      </w:r>
      <w:r>
        <w:rPr>
          <w:spacing w:val="-4"/>
          <w:sz w:val="14"/>
          <w:szCs w:val="14"/>
          <w:lang w:val="es-ES_tradnl"/>
        </w:rPr>
        <w:t>citada</w:t>
      </w:r>
      <w:r>
        <w:rPr>
          <w:spacing w:val="-4"/>
          <w:sz w:val="18"/>
          <w:szCs w:val="18"/>
          <w:lang w:val="es-ES_tradnl"/>
        </w:rPr>
        <w:t xml:space="preserve"> </w:t>
      </w:r>
      <w:r>
        <w:rPr>
          <w:spacing w:val="-4"/>
          <w:sz w:val="14"/>
          <w:szCs w:val="14"/>
          <w:lang w:val="es-ES_tradnl"/>
        </w:rPr>
        <w:t>sentencia</w:t>
      </w:r>
      <w:r>
        <w:rPr>
          <w:spacing w:val="-4"/>
          <w:sz w:val="18"/>
          <w:szCs w:val="18"/>
          <w:lang w:val="es-ES_tradnl"/>
        </w:rPr>
        <w:t xml:space="preserve"> </w:t>
      </w:r>
      <w:r>
        <w:rPr>
          <w:spacing w:val="-4"/>
          <w:sz w:val="14"/>
          <w:szCs w:val="14"/>
          <w:lang w:val="es-ES_tradnl"/>
        </w:rPr>
        <w:t>N.</w:t>
      </w:r>
      <w:r>
        <w:rPr>
          <w:rFonts w:cs="Times New Roman"/>
          <w:spacing w:val="-4"/>
          <w:sz w:val="14"/>
          <w:szCs w:val="14"/>
          <w:lang w:val="es-ES_tradnl"/>
        </w:rPr>
        <w:t>º</w:t>
      </w:r>
      <w:r>
        <w:rPr>
          <w:spacing w:val="-4"/>
          <w:sz w:val="18"/>
          <w:szCs w:val="18"/>
          <w:lang w:val="es-ES_tradnl"/>
        </w:rPr>
        <w:t xml:space="preserve"> </w:t>
      </w:r>
      <w:r>
        <w:rPr>
          <w:spacing w:val="-4"/>
          <w:sz w:val="14"/>
          <w:szCs w:val="14"/>
          <w:lang w:val="es-ES_tradnl"/>
        </w:rPr>
        <w:t>034-13-SCN-CC,</w:t>
      </w:r>
      <w:r>
        <w:rPr>
          <w:spacing w:val="-4"/>
          <w:sz w:val="18"/>
          <w:szCs w:val="18"/>
          <w:lang w:val="es-ES_tradnl"/>
        </w:rPr>
        <w:t xml:space="preserve"> </w:t>
      </w:r>
      <w:r>
        <w:rPr>
          <w:spacing w:val="-4"/>
          <w:sz w:val="14"/>
          <w:szCs w:val="14"/>
          <w:lang w:val="es-ES_tradnl"/>
        </w:rPr>
        <w:t>el</w:t>
      </w:r>
      <w:r>
        <w:rPr>
          <w:spacing w:val="-4"/>
          <w:sz w:val="18"/>
          <w:szCs w:val="18"/>
          <w:lang w:val="es-ES_tradnl"/>
        </w:rPr>
        <w:t xml:space="preserve"> </w:t>
      </w:r>
      <w:r>
        <w:rPr>
          <w:spacing w:val="-4"/>
          <w:sz w:val="14"/>
          <w:szCs w:val="14"/>
          <w:lang w:val="es-ES_tradnl"/>
        </w:rPr>
        <w:t>presupuesto </w:t>
      </w:r>
      <w:r>
        <w:rPr>
          <w:sz w:val="14"/>
          <w:szCs w:val="14"/>
          <w:lang w:val="es-ES_tradnl"/>
        </w:rPr>
        <w:t>de concesi</w:t>
      </w:r>
      <w:r>
        <w:rPr>
          <w:rFonts w:cs="Times New Roman"/>
          <w:sz w:val="14"/>
          <w:szCs w:val="14"/>
          <w:lang w:val="es-ES_tradnl"/>
        </w:rPr>
        <w:t>ó</w:t>
      </w:r>
      <w:r>
        <w:rPr>
          <w:sz w:val="14"/>
          <w:szCs w:val="14"/>
          <w:lang w:val="es-ES_tradnl"/>
        </w:rPr>
        <w:t>n de medidas cautelares denominado peligro en la </w:t>
      </w:r>
      <w:r>
        <w:rPr>
          <w:spacing w:val="-2"/>
          <w:sz w:val="14"/>
          <w:szCs w:val="14"/>
          <w:lang w:val="es-ES_tradnl"/>
        </w:rPr>
        <w:t xml:space="preserve">demora </w:t>
      </w:r>
      <w:r>
        <w:rPr>
          <w:rFonts w:cs="Times New Roman"/>
          <w:spacing w:val="-2"/>
          <w:sz w:val="14"/>
          <w:szCs w:val="14"/>
          <w:lang w:val="es-ES_tradnl"/>
        </w:rPr>
        <w:t>“</w:t>
      </w:r>
      <w:r>
        <w:rPr>
          <w:spacing w:val="-2"/>
          <w:sz w:val="14"/>
          <w:szCs w:val="14"/>
          <w:lang w:val="es-ES_tradnl"/>
        </w:rPr>
        <w:t>resulta relevante por cuanto la generalidad de los procesos </w:t>
      </w:r>
      <w:r>
        <w:rPr>
          <w:sz w:val="14"/>
          <w:szCs w:val="14"/>
          <w:lang w:val="es-ES_tradnl"/>
        </w:rPr>
        <w:t>conlleva un tiempo considerable que no puede ser tolerado bajo </w:t>
      </w:r>
      <w:r>
        <w:rPr>
          <w:spacing w:val="-2"/>
          <w:sz w:val="14"/>
          <w:szCs w:val="14"/>
          <w:lang w:val="es-ES_tradnl"/>
        </w:rPr>
        <w:t>ning</w:t>
      </w:r>
      <w:r>
        <w:rPr>
          <w:rFonts w:cs="Times New Roman"/>
          <w:spacing w:val="-2"/>
          <w:sz w:val="14"/>
          <w:szCs w:val="14"/>
          <w:lang w:val="es-ES_tradnl"/>
        </w:rPr>
        <w:t>ú</w:t>
      </w:r>
      <w:r>
        <w:rPr>
          <w:spacing w:val="-2"/>
          <w:sz w:val="14"/>
          <w:szCs w:val="14"/>
          <w:lang w:val="es-ES_tradnl"/>
        </w:rPr>
        <w:t>n supuesto, cuando de por medio se encuentran derechos </w:t>
      </w:r>
      <w:r>
        <w:rPr>
          <w:spacing w:val="-1"/>
          <w:sz w:val="14"/>
          <w:szCs w:val="14"/>
          <w:lang w:val="es-ES_tradnl"/>
        </w:rPr>
        <w:t>constitucionales en juego, no obstante, este peligro en la demora como se lo ha denominado, tampoco puede ser un criterio arbitrario </w:t>
      </w:r>
      <w:r>
        <w:rPr>
          <w:spacing w:val="-2"/>
          <w:sz w:val="14"/>
          <w:szCs w:val="14"/>
          <w:lang w:val="es-ES_tradnl"/>
        </w:rPr>
        <w:t>o una evaluaci</w:t>
      </w:r>
      <w:r>
        <w:rPr>
          <w:rFonts w:cs="Times New Roman"/>
          <w:spacing w:val="-2"/>
          <w:sz w:val="14"/>
          <w:szCs w:val="14"/>
          <w:lang w:val="es-ES_tradnl"/>
        </w:rPr>
        <w:t>ó</w:t>
      </w:r>
      <w:r>
        <w:rPr>
          <w:spacing w:val="-2"/>
          <w:sz w:val="14"/>
          <w:szCs w:val="14"/>
          <w:lang w:val="es-ES_tradnl"/>
        </w:rPr>
        <w:t>n abstracta; ella se desprende del caso concreto atendiendo las especiales circunstancias del mismo que justifiquen </w:t>
      </w:r>
      <w:r>
        <w:rPr>
          <w:spacing w:val="-3"/>
          <w:sz w:val="14"/>
          <w:szCs w:val="14"/>
          <w:lang w:val="es-ES_tradnl"/>
        </w:rPr>
        <w:t>una acci</w:t>
      </w:r>
      <w:r>
        <w:rPr>
          <w:rFonts w:cs="Times New Roman"/>
          <w:spacing w:val="-3"/>
          <w:sz w:val="14"/>
          <w:szCs w:val="14"/>
          <w:lang w:val="es-ES_tradnl"/>
        </w:rPr>
        <w:t>ó</w:t>
      </w:r>
      <w:r>
        <w:rPr>
          <w:spacing w:val="-3"/>
          <w:sz w:val="14"/>
          <w:szCs w:val="14"/>
          <w:lang w:val="es-ES_tradnl"/>
        </w:rPr>
        <w:t>n urgente, que tenga por objeto cesar la amenaza, evitar o </w:t>
      </w:r>
      <w:r>
        <w:rPr>
          <w:spacing w:val="-1"/>
          <w:sz w:val="14"/>
          <w:szCs w:val="14"/>
          <w:lang w:val="es-ES_tradnl"/>
        </w:rPr>
        <w:t>cesar la violaci</w:t>
      </w:r>
      <w:r>
        <w:rPr>
          <w:rFonts w:cs="Times New Roman"/>
          <w:spacing w:val="-1"/>
          <w:sz w:val="14"/>
          <w:szCs w:val="14"/>
          <w:lang w:val="es-ES_tradnl"/>
        </w:rPr>
        <w:t>ó</w:t>
      </w:r>
      <w:r>
        <w:rPr>
          <w:spacing w:val="-1"/>
          <w:sz w:val="14"/>
          <w:szCs w:val="14"/>
          <w:lang w:val="es-ES_tradnl"/>
        </w:rPr>
        <w:t>n de los derechos reconocidos en la Constituci</w:t>
      </w:r>
      <w:r>
        <w:rPr>
          <w:rFonts w:cs="Times New Roman"/>
          <w:spacing w:val="-1"/>
          <w:sz w:val="14"/>
          <w:szCs w:val="14"/>
          <w:lang w:val="es-ES_tradnl"/>
        </w:rPr>
        <w:t>ó</w:t>
      </w:r>
      <w:r>
        <w:rPr>
          <w:spacing w:val="-1"/>
          <w:sz w:val="14"/>
          <w:szCs w:val="14"/>
          <w:lang w:val="es-ES_tradnl"/>
        </w:rPr>
        <w:t>n y </w:t>
      </w:r>
      <w:r>
        <w:rPr>
          <w:spacing w:val="-2"/>
          <w:sz w:val="14"/>
          <w:szCs w:val="14"/>
          <w:lang w:val="es-ES_tradnl"/>
        </w:rPr>
        <w:t>en instrumentos internacionales de derechos humanos</w:t>
      </w:r>
      <w:r>
        <w:rPr>
          <w:rFonts w:cs="Times New Roman"/>
          <w:spacing w:val="-2"/>
          <w:sz w:val="14"/>
          <w:szCs w:val="14"/>
          <w:lang w:val="es-ES_tradnl"/>
        </w:rPr>
        <w:t>”</w:t>
      </w:r>
      <w:r>
        <w:rPr>
          <w:spacing w:val="-2"/>
          <w:sz w:val="14"/>
          <w:szCs w:val="14"/>
          <w:lang w:val="es-ES_tradnl"/>
        </w:rPr>
        <w:t>.</w:t>
      </w:r>
    </w:p>
    <w:p w14:paraId="4F67B241" w14:textId="77777777" w:rsidR="00591D54" w:rsidRDefault="00591D54">
      <w:pPr>
        <w:shd w:val="clear" w:color="auto" w:fill="FFFFFF"/>
        <w:tabs>
          <w:tab w:val="left" w:pos="139"/>
        </w:tabs>
        <w:spacing w:before="149" w:line="178" w:lineRule="exact"/>
        <w:ind w:left="139" w:right="5" w:hanging="139"/>
        <w:jc w:val="both"/>
      </w:pPr>
      <w:r>
        <w:rPr>
          <w:sz w:val="10"/>
          <w:szCs w:val="10"/>
          <w:vertAlign w:val="superscript"/>
          <w:lang w:val="es-ES_tradnl"/>
        </w:rPr>
        <w:t>6</w:t>
      </w:r>
      <w:r>
        <w:rPr>
          <w:sz w:val="18"/>
          <w:szCs w:val="18"/>
          <w:lang w:val="es-ES_tradnl"/>
        </w:rPr>
        <w:tab/>
      </w:r>
      <w:r>
        <w:rPr>
          <w:sz w:val="14"/>
          <w:szCs w:val="14"/>
          <w:lang w:val="es-ES_tradnl"/>
        </w:rPr>
        <w:t>La</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º</w:t>
      </w:r>
      <w:r>
        <w:rPr>
          <w:sz w:val="18"/>
          <w:szCs w:val="18"/>
          <w:lang w:val="es-ES_tradnl"/>
        </w:rPr>
        <w:t xml:space="preserve"> </w:t>
      </w:r>
      <w:r>
        <w:rPr>
          <w:sz w:val="14"/>
          <w:szCs w:val="14"/>
          <w:lang w:val="es-ES_tradnl"/>
        </w:rPr>
        <w:t>034-13-SCN-CC,</w:t>
      </w:r>
      <w:r>
        <w:rPr>
          <w:sz w:val="18"/>
          <w:szCs w:val="18"/>
          <w:lang w:val="es-ES_tradnl"/>
        </w:rPr>
        <w:t xml:space="preserve"> </w:t>
      </w:r>
      <w:r>
        <w:rPr>
          <w:sz w:val="14"/>
          <w:szCs w:val="14"/>
          <w:lang w:val="es-ES_tradnl"/>
        </w:rPr>
        <w:t>al</w:t>
      </w:r>
      <w:r>
        <w:rPr>
          <w:sz w:val="18"/>
          <w:szCs w:val="18"/>
          <w:lang w:val="es-ES_tradnl"/>
        </w:rPr>
        <w:t xml:space="preserve"> </w:t>
      </w:r>
      <w:r>
        <w:rPr>
          <w:sz w:val="14"/>
          <w:szCs w:val="14"/>
          <w:lang w:val="es-ES_tradnl"/>
        </w:rPr>
        <w:t>referirse</w:t>
      </w:r>
      <w:r>
        <w:rPr>
          <w:sz w:val="18"/>
          <w:szCs w:val="18"/>
          <w:lang w:val="es-ES_tradnl"/>
        </w:rPr>
        <w:t xml:space="preserve"> </w:t>
      </w:r>
      <w:r>
        <w:rPr>
          <w:sz w:val="14"/>
          <w:szCs w:val="14"/>
          <w:lang w:val="es-ES_tradnl"/>
        </w:rPr>
        <w:t>a</w:t>
      </w:r>
      <w:r>
        <w:rPr>
          <w:sz w:val="18"/>
          <w:szCs w:val="18"/>
          <w:lang w:val="es-ES_tradnl"/>
        </w:rPr>
        <w:t xml:space="preserve"> </w:t>
      </w:r>
      <w:r>
        <w:rPr>
          <w:sz w:val="14"/>
          <w:szCs w:val="14"/>
          <w:lang w:val="es-ES_tradnl"/>
        </w:rPr>
        <w:t>la</w:t>
      </w:r>
      <w:r>
        <w:rPr>
          <w:sz w:val="18"/>
          <w:szCs w:val="18"/>
          <w:lang w:val="es-ES_tradnl"/>
        </w:rPr>
        <w:t xml:space="preserve"> </w:t>
      </w:r>
      <w:r>
        <w:rPr>
          <w:sz w:val="14"/>
          <w:szCs w:val="14"/>
          <w:lang w:val="es-ES_tradnl"/>
        </w:rPr>
        <w:t>verosimilitud </w:t>
      </w:r>
      <w:r>
        <w:rPr>
          <w:spacing w:val="-3"/>
          <w:sz w:val="14"/>
          <w:szCs w:val="14"/>
          <w:lang w:val="es-ES_tradnl"/>
        </w:rPr>
        <w:t>fundada de la pretensi</w:t>
      </w:r>
      <w:r>
        <w:rPr>
          <w:rFonts w:cs="Times New Roman"/>
          <w:spacing w:val="-3"/>
          <w:sz w:val="14"/>
          <w:szCs w:val="14"/>
          <w:lang w:val="es-ES_tradnl"/>
        </w:rPr>
        <w:t>ó</w:t>
      </w:r>
      <w:r>
        <w:rPr>
          <w:spacing w:val="-3"/>
          <w:sz w:val="14"/>
          <w:szCs w:val="14"/>
          <w:lang w:val="es-ES_tradnl"/>
        </w:rPr>
        <w:t xml:space="preserve">n, expresa que este presupuesto es conocido por la doctrina como fumus bonis iuris </w:t>
      </w:r>
      <w:r>
        <w:rPr>
          <w:rFonts w:cs="Times New Roman"/>
          <w:spacing w:val="-3"/>
          <w:sz w:val="14"/>
          <w:szCs w:val="14"/>
          <w:lang w:val="es-ES_tradnl"/>
        </w:rPr>
        <w:t>“</w:t>
      </w:r>
      <w:r>
        <w:rPr>
          <w:spacing w:val="-3"/>
          <w:sz w:val="14"/>
          <w:szCs w:val="14"/>
          <w:lang w:val="es-ES_tradnl"/>
        </w:rPr>
        <w:t>o apariencia de buen derecho, </w:t>
      </w:r>
      <w:r>
        <w:rPr>
          <w:spacing w:val="-4"/>
          <w:sz w:val="14"/>
          <w:szCs w:val="14"/>
          <w:lang w:val="es-ES_tradnl"/>
        </w:rPr>
        <w:t>es otro de los presupuestos propios de una acci</w:t>
      </w:r>
      <w:r>
        <w:rPr>
          <w:rFonts w:cs="Times New Roman"/>
          <w:spacing w:val="-4"/>
          <w:sz w:val="14"/>
          <w:szCs w:val="14"/>
          <w:lang w:val="es-ES_tradnl"/>
        </w:rPr>
        <w:t>ó</w:t>
      </w:r>
      <w:r>
        <w:rPr>
          <w:spacing w:val="-4"/>
          <w:sz w:val="14"/>
          <w:szCs w:val="14"/>
          <w:lang w:val="es-ES_tradnl"/>
        </w:rPr>
        <w:t>n de medida cautelar. </w:t>
      </w:r>
      <w:r>
        <w:rPr>
          <w:spacing w:val="-5"/>
          <w:sz w:val="14"/>
          <w:szCs w:val="14"/>
          <w:lang w:val="es-ES_tradnl"/>
        </w:rPr>
        <w:t>Es ella en realidad en donde descansa el fundamento del otorgamiento </w:t>
      </w:r>
      <w:r>
        <w:rPr>
          <w:spacing w:val="-1"/>
          <w:sz w:val="14"/>
          <w:szCs w:val="14"/>
          <w:lang w:val="es-ES_tradnl"/>
        </w:rPr>
        <w:t>de una medida cautelar de naturaleza constitucional, pues se basa </w:t>
      </w:r>
      <w:r>
        <w:rPr>
          <w:spacing w:val="-2"/>
          <w:sz w:val="14"/>
          <w:szCs w:val="14"/>
          <w:lang w:val="es-ES_tradnl"/>
        </w:rPr>
        <w:t>en una presunci</w:t>
      </w:r>
      <w:r>
        <w:rPr>
          <w:rFonts w:cs="Times New Roman"/>
          <w:spacing w:val="-2"/>
          <w:sz w:val="14"/>
          <w:szCs w:val="14"/>
          <w:lang w:val="es-ES_tradnl"/>
        </w:rPr>
        <w:t>ó</w:t>
      </w:r>
      <w:r>
        <w:rPr>
          <w:spacing w:val="-2"/>
          <w:sz w:val="14"/>
          <w:szCs w:val="14"/>
          <w:lang w:val="es-ES_tradnl"/>
        </w:rPr>
        <w:t>n razonable de que los hechos denunciados como </w:t>
      </w:r>
      <w:r>
        <w:rPr>
          <w:spacing w:val="-3"/>
          <w:sz w:val="14"/>
          <w:szCs w:val="14"/>
          <w:lang w:val="es-ES_tradnl"/>
        </w:rPr>
        <w:t>violatorios o de inminente violaci</w:t>
      </w:r>
      <w:r>
        <w:rPr>
          <w:rFonts w:cs="Times New Roman"/>
          <w:spacing w:val="-3"/>
          <w:sz w:val="14"/>
          <w:szCs w:val="14"/>
          <w:lang w:val="es-ES_tradnl"/>
        </w:rPr>
        <w:t>ó</w:t>
      </w:r>
      <w:r>
        <w:rPr>
          <w:spacing w:val="-3"/>
          <w:sz w:val="14"/>
          <w:szCs w:val="14"/>
          <w:lang w:val="es-ES_tradnl"/>
        </w:rPr>
        <w:t>n de los derechos constitucionales, </w:t>
      </w:r>
      <w:r>
        <w:rPr>
          <w:spacing w:val="-1"/>
          <w:sz w:val="14"/>
          <w:szCs w:val="14"/>
          <w:lang w:val="es-ES_tradnl"/>
        </w:rPr>
        <w:t>as</w:t>
      </w:r>
      <w:r>
        <w:rPr>
          <w:rFonts w:cs="Times New Roman"/>
          <w:spacing w:val="-1"/>
          <w:sz w:val="14"/>
          <w:szCs w:val="14"/>
          <w:lang w:val="es-ES_tradnl"/>
        </w:rPr>
        <w:t>í</w:t>
      </w:r>
      <w:r>
        <w:rPr>
          <w:spacing w:val="-1"/>
          <w:sz w:val="14"/>
          <w:szCs w:val="14"/>
          <w:lang w:val="es-ES_tradnl"/>
        </w:rPr>
        <w:t xml:space="preserve"> como de los previstos en instrumentos internacionales sobre </w:t>
      </w:r>
      <w:r>
        <w:rPr>
          <w:sz w:val="14"/>
          <w:szCs w:val="14"/>
          <w:lang w:val="es-ES_tradnl"/>
        </w:rPr>
        <w:t>derechos humanos, son verdaderos</w:t>
      </w:r>
      <w:r>
        <w:rPr>
          <w:rFonts w:cs="Times New Roman"/>
          <w:sz w:val="14"/>
          <w:szCs w:val="14"/>
          <w:lang w:val="es-ES_tradnl"/>
        </w:rPr>
        <w:t>”</w:t>
      </w:r>
      <w:r>
        <w:rPr>
          <w:sz w:val="14"/>
          <w:szCs w:val="14"/>
          <w:lang w:val="es-ES_tradnl"/>
        </w:rPr>
        <w:t>.</w:t>
      </w:r>
    </w:p>
    <w:p w14:paraId="4F67B242" w14:textId="77777777" w:rsidR="00591D54" w:rsidRDefault="00591D54">
      <w:pPr>
        <w:shd w:val="clear" w:color="auto" w:fill="FFFFFF"/>
        <w:spacing w:line="221" w:lineRule="exact"/>
        <w:jc w:val="both"/>
      </w:pPr>
      <w:r>
        <w:br w:type="column"/>
      </w:r>
      <w:r>
        <w:rPr>
          <w:spacing w:val="-7"/>
          <w:sz w:val="18"/>
          <w:szCs w:val="18"/>
          <w:lang w:val="es-ES_tradnl"/>
        </w:rPr>
        <w:t>de apelaci</w:t>
      </w:r>
      <w:r>
        <w:rPr>
          <w:rFonts w:cs="Times New Roman"/>
          <w:spacing w:val="-7"/>
          <w:sz w:val="18"/>
          <w:szCs w:val="18"/>
          <w:lang w:val="es-ES_tradnl"/>
        </w:rPr>
        <w:t>ó</w:t>
      </w:r>
      <w:r>
        <w:rPr>
          <w:spacing w:val="-7"/>
          <w:sz w:val="18"/>
          <w:szCs w:val="18"/>
          <w:lang w:val="es-ES_tradnl"/>
        </w:rPr>
        <w:t>n de aquella primera decisi</w:t>
      </w:r>
      <w:r>
        <w:rPr>
          <w:rFonts w:cs="Times New Roman"/>
          <w:spacing w:val="-7"/>
          <w:sz w:val="18"/>
          <w:szCs w:val="18"/>
          <w:lang w:val="es-ES_tradnl"/>
        </w:rPr>
        <w:t>ó</w:t>
      </w:r>
      <w:r>
        <w:rPr>
          <w:spacing w:val="-7"/>
          <w:sz w:val="18"/>
          <w:szCs w:val="18"/>
          <w:lang w:val="es-ES_tradnl"/>
        </w:rPr>
        <w:t xml:space="preserve">n mediante la cual </w:t>
      </w:r>
      <w:r>
        <w:rPr>
          <w:spacing w:val="-9"/>
          <w:sz w:val="18"/>
          <w:szCs w:val="18"/>
          <w:lang w:val="es-ES_tradnl"/>
        </w:rPr>
        <w:t xml:space="preserve">se ha concedido medidas cautelares, hecho que, como ha </w:t>
      </w:r>
      <w:r>
        <w:rPr>
          <w:spacing w:val="-6"/>
          <w:sz w:val="18"/>
          <w:szCs w:val="18"/>
          <w:lang w:val="es-ES_tradnl"/>
        </w:rPr>
        <w:t xml:space="preserve">quedado debidamente explicado, no es procedente en </w:t>
      </w:r>
      <w:r>
        <w:rPr>
          <w:sz w:val="18"/>
          <w:szCs w:val="18"/>
          <w:lang w:val="es-ES_tradnl"/>
        </w:rPr>
        <w:t>nuestro sistema procesal constitucional.</w:t>
      </w:r>
    </w:p>
    <w:p w14:paraId="4F67B243" w14:textId="77777777" w:rsidR="00591D54" w:rsidRDefault="00591D54">
      <w:pPr>
        <w:shd w:val="clear" w:color="auto" w:fill="FFFFFF"/>
        <w:spacing w:before="202" w:line="221" w:lineRule="exact"/>
        <w:jc w:val="both"/>
      </w:pPr>
      <w:r>
        <w:rPr>
          <w:spacing w:val="-2"/>
          <w:sz w:val="18"/>
          <w:szCs w:val="18"/>
          <w:lang w:val="es-ES_tradnl"/>
        </w:rPr>
        <w:t xml:space="preserve">A la luz de este razonamiento, la Corte Constitucional, </w:t>
      </w:r>
      <w:r>
        <w:rPr>
          <w:spacing w:val="-5"/>
          <w:sz w:val="18"/>
          <w:szCs w:val="18"/>
          <w:lang w:val="es-ES_tradnl"/>
        </w:rPr>
        <w:t>al revisar la resoluci</w:t>
      </w:r>
      <w:r>
        <w:rPr>
          <w:rFonts w:cs="Times New Roman"/>
          <w:spacing w:val="-5"/>
          <w:sz w:val="18"/>
          <w:szCs w:val="18"/>
          <w:lang w:val="es-ES_tradnl"/>
        </w:rPr>
        <w:t>ó</w:t>
      </w:r>
      <w:r>
        <w:rPr>
          <w:spacing w:val="-5"/>
          <w:sz w:val="18"/>
          <w:szCs w:val="18"/>
          <w:lang w:val="es-ES_tradnl"/>
        </w:rPr>
        <w:t xml:space="preserve">n expedida el 08 de noviembre de </w:t>
      </w:r>
      <w:r>
        <w:rPr>
          <w:spacing w:val="-6"/>
          <w:sz w:val="18"/>
          <w:szCs w:val="18"/>
          <w:lang w:val="es-ES_tradnl"/>
        </w:rPr>
        <w:t>2010, advierte que en los considerandos quinto, sexto y s</w:t>
      </w:r>
      <w:r>
        <w:rPr>
          <w:rFonts w:cs="Times New Roman"/>
          <w:spacing w:val="-6"/>
          <w:sz w:val="18"/>
          <w:szCs w:val="18"/>
          <w:lang w:val="es-ES_tradnl"/>
        </w:rPr>
        <w:t>é</w:t>
      </w:r>
      <w:r>
        <w:rPr>
          <w:spacing w:val="-6"/>
          <w:sz w:val="18"/>
          <w:szCs w:val="18"/>
          <w:lang w:val="es-ES_tradnl"/>
        </w:rPr>
        <w:t>ptimo de dicha resoluci</w:t>
      </w:r>
      <w:r>
        <w:rPr>
          <w:rFonts w:cs="Times New Roman"/>
          <w:spacing w:val="-6"/>
          <w:sz w:val="18"/>
          <w:szCs w:val="18"/>
          <w:lang w:val="es-ES_tradnl"/>
        </w:rPr>
        <w:t>ó</w:t>
      </w:r>
      <w:r>
        <w:rPr>
          <w:spacing w:val="-6"/>
          <w:sz w:val="18"/>
          <w:szCs w:val="18"/>
          <w:lang w:val="es-ES_tradnl"/>
        </w:rPr>
        <w:t xml:space="preserve">n, los jueces provinciales han </w:t>
      </w:r>
      <w:r>
        <w:rPr>
          <w:spacing w:val="-7"/>
          <w:sz w:val="18"/>
          <w:szCs w:val="18"/>
          <w:lang w:val="es-ES_tradnl"/>
        </w:rPr>
        <w:t>incurrido en inobservancia a la seguridad jur</w:t>
      </w:r>
      <w:r>
        <w:rPr>
          <w:rFonts w:cs="Times New Roman"/>
          <w:spacing w:val="-7"/>
          <w:sz w:val="18"/>
          <w:szCs w:val="18"/>
          <w:lang w:val="es-ES_tradnl"/>
        </w:rPr>
        <w:t>í</w:t>
      </w:r>
      <w:r>
        <w:rPr>
          <w:spacing w:val="-7"/>
          <w:sz w:val="18"/>
          <w:szCs w:val="18"/>
          <w:lang w:val="es-ES_tradnl"/>
        </w:rPr>
        <w:t xml:space="preserve">dica, en tanto </w:t>
      </w:r>
      <w:r>
        <w:rPr>
          <w:spacing w:val="-10"/>
          <w:sz w:val="18"/>
          <w:szCs w:val="18"/>
          <w:lang w:val="es-ES_tradnl"/>
        </w:rPr>
        <w:t xml:space="preserve">se pronunciaron sobre la procedencia de la medida cautelar, </w:t>
      </w:r>
      <w:r>
        <w:rPr>
          <w:spacing w:val="-8"/>
          <w:sz w:val="18"/>
          <w:szCs w:val="18"/>
          <w:lang w:val="es-ES_tradnl"/>
        </w:rPr>
        <w:t xml:space="preserve">lo cual puede ser constatado cuando los jueces expresan, por ejemplo, en el considerando sexto de su sentencia que </w:t>
      </w:r>
      <w:r>
        <w:rPr>
          <w:rFonts w:cs="Times New Roman"/>
          <w:spacing w:val="-10"/>
          <w:sz w:val="18"/>
          <w:szCs w:val="18"/>
          <w:lang w:val="es-ES_tradnl"/>
        </w:rPr>
        <w:t>“</w:t>
      </w:r>
      <w:r>
        <w:rPr>
          <w:spacing w:val="-10"/>
          <w:sz w:val="18"/>
          <w:szCs w:val="18"/>
          <w:lang w:val="es-ES_tradnl"/>
        </w:rPr>
        <w:t xml:space="preserve">El caso goza de la apariencia del buen derecho, es decir, se </w:t>
      </w:r>
      <w:r>
        <w:rPr>
          <w:spacing w:val="-7"/>
          <w:sz w:val="18"/>
          <w:szCs w:val="18"/>
          <w:lang w:val="es-ES_tradnl"/>
        </w:rPr>
        <w:t>verifica por la sola descripci</w:t>
      </w:r>
      <w:r>
        <w:rPr>
          <w:rFonts w:cs="Times New Roman"/>
          <w:spacing w:val="-7"/>
          <w:sz w:val="18"/>
          <w:szCs w:val="18"/>
          <w:lang w:val="es-ES_tradnl"/>
        </w:rPr>
        <w:t>ó</w:t>
      </w:r>
      <w:r>
        <w:rPr>
          <w:spacing w:val="-7"/>
          <w:sz w:val="18"/>
          <w:szCs w:val="18"/>
          <w:lang w:val="es-ES_tradnl"/>
        </w:rPr>
        <w:t xml:space="preserve">n de los hechos que la Junta </w:t>
      </w:r>
      <w:r>
        <w:rPr>
          <w:spacing w:val="-10"/>
          <w:sz w:val="18"/>
          <w:szCs w:val="18"/>
          <w:lang w:val="es-ES_tradnl"/>
        </w:rPr>
        <w:t>Bancaria pretende obligar a la compa</w:t>
      </w:r>
      <w:r>
        <w:rPr>
          <w:rFonts w:cs="Times New Roman"/>
          <w:spacing w:val="-10"/>
          <w:sz w:val="18"/>
          <w:szCs w:val="18"/>
          <w:lang w:val="es-ES_tradnl"/>
        </w:rPr>
        <w:t>ñí</w:t>
      </w:r>
      <w:r>
        <w:rPr>
          <w:spacing w:val="-10"/>
          <w:sz w:val="18"/>
          <w:szCs w:val="18"/>
          <w:lang w:val="es-ES_tradnl"/>
        </w:rPr>
        <w:t xml:space="preserve">a de seguros a pagar </w:t>
      </w:r>
      <w:r>
        <w:rPr>
          <w:spacing w:val="-6"/>
          <w:sz w:val="18"/>
          <w:szCs w:val="18"/>
          <w:lang w:val="es-ES_tradnl"/>
        </w:rPr>
        <w:t>una indemnizaci</w:t>
      </w:r>
      <w:r>
        <w:rPr>
          <w:rFonts w:cs="Times New Roman"/>
          <w:spacing w:val="-6"/>
          <w:sz w:val="18"/>
          <w:szCs w:val="18"/>
          <w:lang w:val="es-ES_tradnl"/>
        </w:rPr>
        <w:t>ó</w:t>
      </w:r>
      <w:r>
        <w:rPr>
          <w:spacing w:val="-6"/>
          <w:sz w:val="18"/>
          <w:szCs w:val="18"/>
          <w:lang w:val="es-ES_tradnl"/>
        </w:rPr>
        <w:t>n que tiene origen en un accidente de tr</w:t>
      </w:r>
      <w:r>
        <w:rPr>
          <w:rFonts w:cs="Times New Roman"/>
          <w:spacing w:val="-6"/>
          <w:sz w:val="18"/>
          <w:szCs w:val="18"/>
          <w:lang w:val="es-ES_tradnl"/>
        </w:rPr>
        <w:t>á</w:t>
      </w:r>
      <w:r>
        <w:rPr>
          <w:spacing w:val="-6"/>
          <w:sz w:val="18"/>
          <w:szCs w:val="18"/>
          <w:lang w:val="es-ES_tradnl"/>
        </w:rPr>
        <w:t xml:space="preserve">nsito ocurrido como consecuencia de un acto culposo, </w:t>
      </w:r>
      <w:r>
        <w:rPr>
          <w:spacing w:val="-7"/>
          <w:sz w:val="18"/>
          <w:szCs w:val="18"/>
          <w:lang w:val="es-ES_tradnl"/>
        </w:rPr>
        <w:t>que adem</w:t>
      </w:r>
      <w:r>
        <w:rPr>
          <w:rFonts w:cs="Times New Roman"/>
          <w:spacing w:val="-7"/>
          <w:sz w:val="18"/>
          <w:szCs w:val="18"/>
          <w:lang w:val="es-ES_tradnl"/>
        </w:rPr>
        <w:t>á</w:t>
      </w:r>
      <w:r>
        <w:rPr>
          <w:spacing w:val="-7"/>
          <w:sz w:val="18"/>
          <w:szCs w:val="18"/>
          <w:lang w:val="es-ES_tradnl"/>
        </w:rPr>
        <w:t>s, constituye una infracci</w:t>
      </w:r>
      <w:r>
        <w:rPr>
          <w:rFonts w:cs="Times New Roman"/>
          <w:spacing w:val="-7"/>
          <w:sz w:val="18"/>
          <w:szCs w:val="18"/>
          <w:lang w:val="es-ES_tradnl"/>
        </w:rPr>
        <w:t>ó</w:t>
      </w:r>
      <w:r>
        <w:rPr>
          <w:spacing w:val="-7"/>
          <w:sz w:val="18"/>
          <w:szCs w:val="18"/>
          <w:lang w:val="es-ES_tradnl"/>
        </w:rPr>
        <w:t>n de tr</w:t>
      </w:r>
      <w:r>
        <w:rPr>
          <w:rFonts w:cs="Times New Roman"/>
          <w:spacing w:val="-7"/>
          <w:sz w:val="18"/>
          <w:szCs w:val="18"/>
          <w:lang w:val="es-ES_tradnl"/>
        </w:rPr>
        <w:t>á</w:t>
      </w:r>
      <w:r>
        <w:rPr>
          <w:spacing w:val="-7"/>
          <w:sz w:val="18"/>
          <w:szCs w:val="18"/>
          <w:lang w:val="es-ES_tradnl"/>
        </w:rPr>
        <w:t>nsito</w:t>
      </w:r>
      <w:r>
        <w:rPr>
          <w:rFonts w:cs="Times New Roman"/>
          <w:spacing w:val="-7"/>
          <w:sz w:val="18"/>
          <w:szCs w:val="18"/>
          <w:lang w:val="es-ES_tradnl"/>
        </w:rPr>
        <w:t>”</w:t>
      </w:r>
      <w:r>
        <w:rPr>
          <w:spacing w:val="-7"/>
          <w:sz w:val="18"/>
          <w:szCs w:val="18"/>
          <w:lang w:val="es-ES_tradnl"/>
        </w:rPr>
        <w:t>.</w:t>
      </w:r>
    </w:p>
    <w:p w14:paraId="4F67B244" w14:textId="77777777" w:rsidR="00591D54" w:rsidRDefault="00591D54">
      <w:pPr>
        <w:shd w:val="clear" w:color="auto" w:fill="FFFFFF"/>
        <w:spacing w:before="197" w:line="221" w:lineRule="exact"/>
        <w:jc w:val="both"/>
      </w:pPr>
      <w:r>
        <w:rPr>
          <w:spacing w:val="-5"/>
          <w:sz w:val="18"/>
          <w:szCs w:val="18"/>
          <w:lang w:val="es-ES_tradnl"/>
        </w:rPr>
        <w:t>Igualmente, en el considerando s</w:t>
      </w:r>
      <w:r>
        <w:rPr>
          <w:rFonts w:cs="Times New Roman"/>
          <w:spacing w:val="-5"/>
          <w:sz w:val="18"/>
          <w:szCs w:val="18"/>
          <w:lang w:val="es-ES_tradnl"/>
        </w:rPr>
        <w:t>é</w:t>
      </w:r>
      <w:r>
        <w:rPr>
          <w:spacing w:val="-5"/>
          <w:sz w:val="18"/>
          <w:szCs w:val="18"/>
          <w:lang w:val="es-ES_tradnl"/>
        </w:rPr>
        <w:t>ptimo, los jueces provinciales se</w:t>
      </w:r>
      <w:r>
        <w:rPr>
          <w:rFonts w:cs="Times New Roman"/>
          <w:spacing w:val="-5"/>
          <w:sz w:val="18"/>
          <w:szCs w:val="18"/>
          <w:lang w:val="es-ES_tradnl"/>
        </w:rPr>
        <w:t>ñ</w:t>
      </w:r>
      <w:r>
        <w:rPr>
          <w:spacing w:val="-5"/>
          <w:sz w:val="18"/>
          <w:szCs w:val="18"/>
          <w:lang w:val="es-ES_tradnl"/>
        </w:rPr>
        <w:t>alan que tienen la obligaci</w:t>
      </w:r>
      <w:r>
        <w:rPr>
          <w:rFonts w:cs="Times New Roman"/>
          <w:spacing w:val="-5"/>
          <w:sz w:val="18"/>
          <w:szCs w:val="18"/>
          <w:lang w:val="es-ES_tradnl"/>
        </w:rPr>
        <w:t>ó</w:t>
      </w:r>
      <w:r>
        <w:rPr>
          <w:spacing w:val="-5"/>
          <w:sz w:val="18"/>
          <w:szCs w:val="18"/>
          <w:lang w:val="es-ES_tradnl"/>
        </w:rPr>
        <w:t xml:space="preserve">n de </w:t>
      </w:r>
      <w:r>
        <w:rPr>
          <w:rFonts w:cs="Times New Roman"/>
          <w:spacing w:val="-5"/>
          <w:sz w:val="18"/>
          <w:szCs w:val="18"/>
          <w:lang w:val="es-ES_tradnl"/>
        </w:rPr>
        <w:t>“</w:t>
      </w:r>
      <w:r>
        <w:rPr>
          <w:spacing w:val="-5"/>
          <w:sz w:val="18"/>
          <w:szCs w:val="18"/>
          <w:lang w:val="es-ES_tradnl"/>
        </w:rPr>
        <w:t xml:space="preserve">analizar </w:t>
      </w:r>
      <w:r>
        <w:rPr>
          <w:spacing w:val="-9"/>
          <w:sz w:val="18"/>
          <w:szCs w:val="18"/>
          <w:lang w:val="es-ES_tradnl"/>
        </w:rPr>
        <w:t>la petici</w:t>
      </w:r>
      <w:r>
        <w:rPr>
          <w:rFonts w:cs="Times New Roman"/>
          <w:spacing w:val="-9"/>
          <w:sz w:val="18"/>
          <w:szCs w:val="18"/>
          <w:lang w:val="es-ES_tradnl"/>
        </w:rPr>
        <w:t>ó</w:t>
      </w:r>
      <w:r>
        <w:rPr>
          <w:spacing w:val="-9"/>
          <w:sz w:val="18"/>
          <w:szCs w:val="18"/>
          <w:lang w:val="es-ES_tradnl"/>
        </w:rPr>
        <w:t xml:space="preserve">n de medidas cautelares </w:t>
      </w:r>
      <w:r>
        <w:rPr>
          <w:rFonts w:cs="Times New Roman"/>
          <w:spacing w:val="-9"/>
          <w:sz w:val="18"/>
          <w:szCs w:val="18"/>
          <w:lang w:val="es-ES_tradnl"/>
        </w:rPr>
        <w:t>ú</w:t>
      </w:r>
      <w:r>
        <w:rPr>
          <w:spacing w:val="-9"/>
          <w:sz w:val="18"/>
          <w:szCs w:val="18"/>
          <w:lang w:val="es-ES_tradnl"/>
        </w:rPr>
        <w:t xml:space="preserve">nicamente sobre la base </w:t>
      </w:r>
      <w:r>
        <w:rPr>
          <w:spacing w:val="-4"/>
          <w:sz w:val="18"/>
          <w:szCs w:val="18"/>
          <w:lang w:val="es-ES_tradnl"/>
        </w:rPr>
        <w:t>de un juicio de verosimilitud</w:t>
      </w:r>
      <w:r>
        <w:rPr>
          <w:rFonts w:cs="Times New Roman"/>
          <w:spacing w:val="-4"/>
          <w:sz w:val="18"/>
          <w:szCs w:val="18"/>
          <w:lang w:val="es-ES_tradnl"/>
        </w:rPr>
        <w:t>”</w:t>
      </w:r>
      <w:r>
        <w:rPr>
          <w:spacing w:val="-4"/>
          <w:sz w:val="18"/>
          <w:szCs w:val="18"/>
          <w:lang w:val="es-ES_tradnl"/>
        </w:rPr>
        <w:t>, afirmaci</w:t>
      </w:r>
      <w:r>
        <w:rPr>
          <w:rFonts w:cs="Times New Roman"/>
          <w:spacing w:val="-4"/>
          <w:sz w:val="18"/>
          <w:szCs w:val="18"/>
          <w:lang w:val="es-ES_tradnl"/>
        </w:rPr>
        <w:t>ó</w:t>
      </w:r>
      <w:r>
        <w:rPr>
          <w:spacing w:val="-4"/>
          <w:sz w:val="18"/>
          <w:szCs w:val="18"/>
          <w:lang w:val="es-ES_tradnl"/>
        </w:rPr>
        <w:t xml:space="preserve">n que para esta </w:t>
      </w:r>
      <w:r>
        <w:rPr>
          <w:spacing w:val="-8"/>
          <w:sz w:val="18"/>
          <w:szCs w:val="18"/>
          <w:lang w:val="es-ES_tradnl"/>
        </w:rPr>
        <w:t>Corte Constitucional denota el desconocimiento de dichos operadores de justicia para entender adecuadamente cu</w:t>
      </w:r>
      <w:r>
        <w:rPr>
          <w:rFonts w:cs="Times New Roman"/>
          <w:spacing w:val="-8"/>
          <w:sz w:val="18"/>
          <w:szCs w:val="18"/>
          <w:lang w:val="es-ES_tradnl"/>
        </w:rPr>
        <w:t>á</w:t>
      </w:r>
      <w:r>
        <w:rPr>
          <w:spacing w:val="-8"/>
          <w:sz w:val="18"/>
          <w:szCs w:val="18"/>
          <w:lang w:val="es-ES_tradnl"/>
        </w:rPr>
        <w:t xml:space="preserve">l </w:t>
      </w:r>
      <w:r>
        <w:rPr>
          <w:spacing w:val="-6"/>
          <w:sz w:val="18"/>
          <w:szCs w:val="18"/>
          <w:lang w:val="es-ES_tradnl"/>
        </w:rPr>
        <w:t>es la finalidad del recurso de apelaci</w:t>
      </w:r>
      <w:r>
        <w:rPr>
          <w:rFonts w:cs="Times New Roman"/>
          <w:spacing w:val="-6"/>
          <w:sz w:val="18"/>
          <w:szCs w:val="18"/>
          <w:lang w:val="es-ES_tradnl"/>
        </w:rPr>
        <w:t>ó</w:t>
      </w:r>
      <w:r>
        <w:rPr>
          <w:spacing w:val="-6"/>
          <w:sz w:val="18"/>
          <w:szCs w:val="18"/>
          <w:lang w:val="es-ES_tradnl"/>
        </w:rPr>
        <w:t>n planteado en los t</w:t>
      </w:r>
      <w:r>
        <w:rPr>
          <w:rFonts w:cs="Times New Roman"/>
          <w:spacing w:val="-6"/>
          <w:sz w:val="18"/>
          <w:szCs w:val="18"/>
          <w:lang w:val="es-ES_tradnl"/>
        </w:rPr>
        <w:t>é</w:t>
      </w:r>
      <w:r>
        <w:rPr>
          <w:spacing w:val="-6"/>
          <w:sz w:val="18"/>
          <w:szCs w:val="18"/>
          <w:lang w:val="es-ES_tradnl"/>
        </w:rPr>
        <w:t>rminos del art</w:t>
      </w:r>
      <w:r>
        <w:rPr>
          <w:rFonts w:cs="Times New Roman"/>
          <w:spacing w:val="-6"/>
          <w:sz w:val="18"/>
          <w:szCs w:val="18"/>
          <w:lang w:val="es-ES_tradnl"/>
        </w:rPr>
        <w:t>í</w:t>
      </w:r>
      <w:r>
        <w:rPr>
          <w:spacing w:val="-6"/>
          <w:sz w:val="18"/>
          <w:szCs w:val="18"/>
          <w:lang w:val="es-ES_tradnl"/>
        </w:rPr>
        <w:t>culo 35 de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w:t>
      </w:r>
      <w:r>
        <w:rPr>
          <w:spacing w:val="-2"/>
          <w:sz w:val="18"/>
          <w:szCs w:val="18"/>
          <w:lang w:val="es-ES_tradnl"/>
        </w:rPr>
        <w:t xml:space="preserve">Jurisdiccionales, es decir, </w:t>
      </w:r>
      <w:r>
        <w:rPr>
          <w:rFonts w:cs="Times New Roman"/>
          <w:spacing w:val="-2"/>
          <w:sz w:val="18"/>
          <w:szCs w:val="18"/>
          <w:lang w:val="es-ES_tradnl"/>
        </w:rPr>
        <w:t>ú</w:t>
      </w:r>
      <w:r>
        <w:rPr>
          <w:spacing w:val="-2"/>
          <w:sz w:val="18"/>
          <w:szCs w:val="18"/>
          <w:lang w:val="es-ES_tradnl"/>
        </w:rPr>
        <w:t xml:space="preserve">nicamente verificar si el </w:t>
      </w:r>
      <w:r>
        <w:rPr>
          <w:spacing w:val="-7"/>
          <w:sz w:val="18"/>
          <w:szCs w:val="18"/>
          <w:lang w:val="es-ES_tradnl"/>
        </w:rPr>
        <w:t xml:space="preserve">petitorio de revocatoria de tales medidas es procedente o </w:t>
      </w:r>
      <w:r>
        <w:rPr>
          <w:sz w:val="18"/>
          <w:szCs w:val="18"/>
          <w:lang w:val="es-ES_tradnl"/>
        </w:rPr>
        <w:t>improcedente.</w:t>
      </w:r>
    </w:p>
    <w:p w14:paraId="4F67B245" w14:textId="77777777" w:rsidR="00591D54" w:rsidRDefault="00591D54">
      <w:pPr>
        <w:shd w:val="clear" w:color="auto" w:fill="FFFFFF"/>
        <w:spacing w:before="202" w:line="221" w:lineRule="exact"/>
        <w:jc w:val="both"/>
      </w:pPr>
      <w:r>
        <w:rPr>
          <w:spacing w:val="-7"/>
          <w:sz w:val="18"/>
          <w:szCs w:val="18"/>
          <w:lang w:val="es-ES_tradnl"/>
        </w:rPr>
        <w:t xml:space="preserve">De esta manera, para la Corte Constitucional queda en </w:t>
      </w:r>
      <w:r>
        <w:rPr>
          <w:spacing w:val="-8"/>
          <w:sz w:val="18"/>
          <w:szCs w:val="18"/>
          <w:lang w:val="es-ES_tradnl"/>
        </w:rPr>
        <w:t xml:space="preserve">evidencia que los jueces de la Tercera Sala de lo Penal y </w:t>
      </w:r>
      <w:r>
        <w:rPr>
          <w:spacing w:val="-7"/>
          <w:sz w:val="18"/>
          <w:szCs w:val="18"/>
          <w:lang w:val="es-ES_tradnl"/>
        </w:rPr>
        <w:t>Tr</w:t>
      </w:r>
      <w:r>
        <w:rPr>
          <w:rFonts w:cs="Times New Roman"/>
          <w:spacing w:val="-7"/>
          <w:sz w:val="18"/>
          <w:szCs w:val="18"/>
          <w:lang w:val="es-ES_tradnl"/>
        </w:rPr>
        <w:t>á</w:t>
      </w:r>
      <w:r>
        <w:rPr>
          <w:spacing w:val="-7"/>
          <w:sz w:val="18"/>
          <w:szCs w:val="18"/>
          <w:lang w:val="es-ES_tradnl"/>
        </w:rPr>
        <w:t xml:space="preserve">nsito de la Corte Provincial de Justicia del Guayas han </w:t>
      </w:r>
      <w:r>
        <w:rPr>
          <w:spacing w:val="-6"/>
          <w:sz w:val="18"/>
          <w:szCs w:val="18"/>
          <w:lang w:val="es-ES_tradnl"/>
        </w:rPr>
        <w:t xml:space="preserve">formulado un razonamiento contrario a derecho y han </w:t>
      </w:r>
      <w:r>
        <w:rPr>
          <w:spacing w:val="-12"/>
          <w:sz w:val="18"/>
          <w:szCs w:val="18"/>
          <w:lang w:val="es-ES_tradnl"/>
        </w:rPr>
        <w:t>extralimitado sus funciones como jueces de apelaci</w:t>
      </w:r>
      <w:r>
        <w:rPr>
          <w:rFonts w:cs="Times New Roman"/>
          <w:spacing w:val="-12"/>
          <w:sz w:val="18"/>
          <w:szCs w:val="18"/>
          <w:lang w:val="es-ES_tradnl"/>
        </w:rPr>
        <w:t>ó</w:t>
      </w:r>
      <w:r>
        <w:rPr>
          <w:spacing w:val="-12"/>
          <w:sz w:val="18"/>
          <w:szCs w:val="18"/>
          <w:lang w:val="es-ES_tradnl"/>
        </w:rPr>
        <w:t xml:space="preserve">n en este </w:t>
      </w:r>
      <w:r>
        <w:rPr>
          <w:spacing w:val="-6"/>
          <w:sz w:val="18"/>
          <w:szCs w:val="18"/>
          <w:lang w:val="es-ES_tradnl"/>
        </w:rPr>
        <w:t>caso particular, al no circunscribir el objeto de apelaci</w:t>
      </w:r>
      <w:r>
        <w:rPr>
          <w:rFonts w:cs="Times New Roman"/>
          <w:spacing w:val="-6"/>
          <w:sz w:val="18"/>
          <w:szCs w:val="18"/>
          <w:lang w:val="es-ES_tradnl"/>
        </w:rPr>
        <w:t>ó</w:t>
      </w:r>
      <w:r>
        <w:rPr>
          <w:spacing w:val="-6"/>
          <w:sz w:val="18"/>
          <w:szCs w:val="18"/>
          <w:lang w:val="es-ES_tradnl"/>
        </w:rPr>
        <w:t xml:space="preserve">n, </w:t>
      </w:r>
      <w:r>
        <w:rPr>
          <w:spacing w:val="-10"/>
          <w:sz w:val="18"/>
          <w:szCs w:val="18"/>
          <w:lang w:val="es-ES_tradnl"/>
        </w:rPr>
        <w:t xml:space="preserve">conforme se encuentra establecido de manera clara y previa </w:t>
      </w:r>
      <w:r>
        <w:rPr>
          <w:spacing w:val="-9"/>
          <w:sz w:val="18"/>
          <w:szCs w:val="18"/>
          <w:lang w:val="es-ES_tradnl"/>
        </w:rPr>
        <w:t>por la Ley Org</w:t>
      </w:r>
      <w:r>
        <w:rPr>
          <w:rFonts w:cs="Times New Roman"/>
          <w:spacing w:val="-9"/>
          <w:sz w:val="18"/>
          <w:szCs w:val="18"/>
          <w:lang w:val="es-ES_tradnl"/>
        </w:rPr>
        <w:t>á</w:t>
      </w:r>
      <w:r>
        <w:rPr>
          <w:spacing w:val="-9"/>
          <w:sz w:val="18"/>
          <w:szCs w:val="18"/>
          <w:lang w:val="es-ES_tradnl"/>
        </w:rPr>
        <w:t>nica de Garant</w:t>
      </w:r>
      <w:r>
        <w:rPr>
          <w:rFonts w:cs="Times New Roman"/>
          <w:spacing w:val="-9"/>
          <w:sz w:val="18"/>
          <w:szCs w:val="18"/>
          <w:lang w:val="es-ES_tradnl"/>
        </w:rPr>
        <w:t>í</w:t>
      </w:r>
      <w:r>
        <w:rPr>
          <w:spacing w:val="-9"/>
          <w:sz w:val="18"/>
          <w:szCs w:val="18"/>
          <w:lang w:val="es-ES_tradnl"/>
        </w:rPr>
        <w:t xml:space="preserve">as Jurisdiccionales y Control </w:t>
      </w:r>
      <w:r>
        <w:rPr>
          <w:spacing w:val="-8"/>
          <w:sz w:val="18"/>
          <w:szCs w:val="18"/>
          <w:lang w:val="es-ES_tradnl"/>
        </w:rPr>
        <w:t xml:space="preserve">Constitucional, y por lo tanto, habiendo actuado de manera </w:t>
      </w:r>
      <w:r>
        <w:rPr>
          <w:spacing w:val="-6"/>
          <w:sz w:val="18"/>
          <w:szCs w:val="18"/>
          <w:lang w:val="es-ES_tradnl"/>
        </w:rPr>
        <w:t>contraria a la normativa aplicable al recurso de apelaci</w:t>
      </w:r>
      <w:r>
        <w:rPr>
          <w:rFonts w:cs="Times New Roman"/>
          <w:spacing w:val="-6"/>
          <w:sz w:val="18"/>
          <w:szCs w:val="18"/>
          <w:lang w:val="es-ES_tradnl"/>
        </w:rPr>
        <w:t>ó</w:t>
      </w:r>
      <w:r>
        <w:rPr>
          <w:spacing w:val="-6"/>
          <w:sz w:val="18"/>
          <w:szCs w:val="18"/>
          <w:lang w:val="es-ES_tradnl"/>
        </w:rPr>
        <w:t xml:space="preserve">n </w:t>
      </w:r>
      <w:r>
        <w:rPr>
          <w:spacing w:val="-10"/>
          <w:sz w:val="18"/>
          <w:szCs w:val="18"/>
          <w:lang w:val="es-ES_tradnl"/>
        </w:rPr>
        <w:t xml:space="preserve">previamente referido, puede concluirse que el auto expedido </w:t>
      </w:r>
      <w:r>
        <w:rPr>
          <w:spacing w:val="-7"/>
          <w:sz w:val="18"/>
          <w:szCs w:val="18"/>
          <w:lang w:val="es-ES_tradnl"/>
        </w:rPr>
        <w:t xml:space="preserve">el 08 de noviembre de 2010, por dicha Tercera Sala de lo </w:t>
      </w:r>
      <w:r>
        <w:rPr>
          <w:spacing w:val="-8"/>
          <w:sz w:val="18"/>
          <w:szCs w:val="18"/>
          <w:lang w:val="es-ES_tradnl"/>
        </w:rPr>
        <w:t>Penal de la Corte Provincial de Guayas, vulner</w:t>
      </w:r>
      <w:r>
        <w:rPr>
          <w:rFonts w:cs="Times New Roman"/>
          <w:spacing w:val="-8"/>
          <w:sz w:val="18"/>
          <w:szCs w:val="18"/>
          <w:lang w:val="es-ES_tradnl"/>
        </w:rPr>
        <w:t>ó</w:t>
      </w:r>
      <w:r>
        <w:rPr>
          <w:spacing w:val="-8"/>
          <w:sz w:val="18"/>
          <w:szCs w:val="18"/>
          <w:lang w:val="es-ES_tradnl"/>
        </w:rPr>
        <w:t xml:space="preserve"> el derecho </w:t>
      </w:r>
      <w:r>
        <w:rPr>
          <w:spacing w:val="-6"/>
          <w:sz w:val="18"/>
          <w:szCs w:val="18"/>
          <w:lang w:val="es-ES_tradnl"/>
        </w:rPr>
        <w:t>a la seguridad jur</w:t>
      </w:r>
      <w:r>
        <w:rPr>
          <w:rFonts w:cs="Times New Roman"/>
          <w:spacing w:val="-6"/>
          <w:sz w:val="18"/>
          <w:szCs w:val="18"/>
          <w:lang w:val="es-ES_tradnl"/>
        </w:rPr>
        <w:t>í</w:t>
      </w:r>
      <w:r>
        <w:rPr>
          <w:spacing w:val="-6"/>
          <w:sz w:val="18"/>
          <w:szCs w:val="18"/>
          <w:lang w:val="es-ES_tradnl"/>
        </w:rPr>
        <w:t>dica establecido en el art</w:t>
      </w:r>
      <w:r>
        <w:rPr>
          <w:rFonts w:cs="Times New Roman"/>
          <w:spacing w:val="-6"/>
          <w:sz w:val="18"/>
          <w:szCs w:val="18"/>
          <w:lang w:val="es-ES_tradnl"/>
        </w:rPr>
        <w:t>í</w:t>
      </w:r>
      <w:r>
        <w:rPr>
          <w:spacing w:val="-6"/>
          <w:sz w:val="18"/>
          <w:szCs w:val="18"/>
          <w:lang w:val="es-ES_tradnl"/>
        </w:rPr>
        <w:t xml:space="preserve">culo 82 de la </w:t>
      </w:r>
      <w:r>
        <w:rPr>
          <w:sz w:val="18"/>
          <w:szCs w:val="18"/>
          <w:lang w:val="es-ES_tradnl"/>
        </w:rPr>
        <w:t>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B246" w14:textId="77777777" w:rsidR="00591D54" w:rsidRDefault="00591D54">
      <w:pPr>
        <w:shd w:val="clear" w:color="auto" w:fill="FFFFFF"/>
        <w:spacing w:before="192"/>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B247" w14:textId="77777777" w:rsidR="00591D54" w:rsidRDefault="00591D54">
      <w:pPr>
        <w:shd w:val="clear" w:color="auto" w:fill="FFFFFF"/>
        <w:spacing w:before="202" w:line="221" w:lineRule="exact"/>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5"/>
          <w:sz w:val="18"/>
          <w:szCs w:val="18"/>
          <w:lang w:val="es-ES_tradnl"/>
        </w:rPr>
        <w:t>constitucional y por mandato de la Constituci</w:t>
      </w:r>
      <w:r>
        <w:rPr>
          <w:rFonts w:cs="Times New Roman"/>
          <w:spacing w:val="-5"/>
          <w:sz w:val="18"/>
          <w:szCs w:val="18"/>
          <w:lang w:val="es-ES_tradnl"/>
        </w:rPr>
        <w:t>ó</w:t>
      </w:r>
      <w:r>
        <w:rPr>
          <w:spacing w:val="-5"/>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 xml:space="preserve">blica del Ecuador, el Pleno de la Corte Constitucional </w:t>
      </w:r>
      <w:r>
        <w:rPr>
          <w:sz w:val="18"/>
          <w:szCs w:val="18"/>
          <w:lang w:val="es-ES_tradnl"/>
        </w:rPr>
        <w:t>expide la siguiente:</w:t>
      </w:r>
    </w:p>
    <w:p w14:paraId="4F67B248" w14:textId="77777777" w:rsidR="00591D54" w:rsidRDefault="00591D54">
      <w:pPr>
        <w:shd w:val="clear" w:color="auto" w:fill="FFFFFF"/>
        <w:spacing w:before="197"/>
        <w:ind w:left="10"/>
        <w:jc w:val="center"/>
      </w:pPr>
      <w:r>
        <w:rPr>
          <w:b/>
          <w:bCs/>
          <w:sz w:val="18"/>
          <w:szCs w:val="18"/>
          <w:lang w:val="es-ES_tradnl"/>
        </w:rPr>
        <w:t>SENTENCIA</w:t>
      </w:r>
    </w:p>
    <w:p w14:paraId="4F67B249" w14:textId="77777777" w:rsidR="00591D54" w:rsidRDefault="00591D54">
      <w:pPr>
        <w:shd w:val="clear" w:color="auto" w:fill="FFFFFF"/>
        <w:spacing w:before="202" w:line="221" w:lineRule="exact"/>
        <w:ind w:left="283" w:hanging="283"/>
        <w:jc w:val="both"/>
      </w:pPr>
      <w:r>
        <w:rPr>
          <w:spacing w:val="-8"/>
          <w:sz w:val="18"/>
          <w:szCs w:val="18"/>
          <w:lang w:val="es-ES_tradnl"/>
        </w:rPr>
        <w:t>1. Declarar la vulneraci</w:t>
      </w:r>
      <w:r>
        <w:rPr>
          <w:rFonts w:cs="Times New Roman"/>
          <w:spacing w:val="-8"/>
          <w:sz w:val="18"/>
          <w:szCs w:val="18"/>
          <w:lang w:val="es-ES_tradnl"/>
        </w:rPr>
        <w:t>ó</w:t>
      </w:r>
      <w:r>
        <w:rPr>
          <w:spacing w:val="-8"/>
          <w:sz w:val="18"/>
          <w:szCs w:val="18"/>
          <w:lang w:val="es-ES_tradnl"/>
        </w:rPr>
        <w:t xml:space="preserve">n de los derechos constitucionales </w:t>
      </w:r>
      <w:r>
        <w:rPr>
          <w:spacing w:val="-6"/>
          <w:sz w:val="18"/>
          <w:szCs w:val="18"/>
          <w:lang w:val="es-ES_tradnl"/>
        </w:rPr>
        <w:t>al debido proceso en la garant</w:t>
      </w:r>
      <w:r>
        <w:rPr>
          <w:rFonts w:cs="Times New Roman"/>
          <w:spacing w:val="-6"/>
          <w:sz w:val="18"/>
          <w:szCs w:val="18"/>
          <w:lang w:val="es-ES_tradnl"/>
        </w:rPr>
        <w:t>í</w:t>
      </w:r>
      <w:r>
        <w:rPr>
          <w:spacing w:val="-6"/>
          <w:sz w:val="18"/>
          <w:szCs w:val="18"/>
          <w:lang w:val="es-ES_tradnl"/>
        </w:rPr>
        <w:t>a de la motivaci</w:t>
      </w:r>
      <w:r>
        <w:rPr>
          <w:rFonts w:cs="Times New Roman"/>
          <w:spacing w:val="-6"/>
          <w:sz w:val="18"/>
          <w:szCs w:val="18"/>
          <w:lang w:val="es-ES_tradnl"/>
        </w:rPr>
        <w:t>ó</w:t>
      </w:r>
      <w:r>
        <w:rPr>
          <w:spacing w:val="-6"/>
          <w:sz w:val="18"/>
          <w:szCs w:val="18"/>
          <w:lang w:val="es-ES_tradnl"/>
        </w:rPr>
        <w:t xml:space="preserve">n, </w:t>
      </w:r>
      <w:r>
        <w:rPr>
          <w:spacing w:val="-4"/>
          <w:sz w:val="18"/>
          <w:szCs w:val="18"/>
          <w:lang w:val="es-ES_tradnl"/>
        </w:rPr>
        <w:t>contenido en el art</w:t>
      </w:r>
      <w:r>
        <w:rPr>
          <w:rFonts w:cs="Times New Roman"/>
          <w:spacing w:val="-4"/>
          <w:sz w:val="18"/>
          <w:szCs w:val="18"/>
          <w:lang w:val="es-ES_tradnl"/>
        </w:rPr>
        <w:t>í</w:t>
      </w:r>
      <w:r>
        <w:rPr>
          <w:spacing w:val="-4"/>
          <w:sz w:val="18"/>
          <w:szCs w:val="18"/>
          <w:lang w:val="es-ES_tradnl"/>
        </w:rPr>
        <w:t xml:space="preserve">culo 76 numeral 7 literal </w:t>
      </w:r>
      <w:r>
        <w:rPr>
          <w:b/>
          <w:bCs/>
          <w:spacing w:val="-4"/>
          <w:sz w:val="18"/>
          <w:szCs w:val="18"/>
          <w:lang w:val="es-ES_tradnl"/>
        </w:rPr>
        <w:t>l</w:t>
      </w:r>
      <w:r>
        <w:rPr>
          <w:spacing w:val="-4"/>
          <w:sz w:val="18"/>
          <w:szCs w:val="18"/>
          <w:lang w:val="es-ES_tradnl"/>
        </w:rPr>
        <w:t xml:space="preserve">, y a la </w:t>
      </w:r>
      <w:r>
        <w:rPr>
          <w:spacing w:val="-6"/>
          <w:sz w:val="18"/>
          <w:szCs w:val="18"/>
          <w:lang w:val="es-ES_tradnl"/>
        </w:rPr>
        <w:t>seguridad jur</w:t>
      </w:r>
      <w:r>
        <w:rPr>
          <w:rFonts w:cs="Times New Roman"/>
          <w:spacing w:val="-6"/>
          <w:sz w:val="18"/>
          <w:szCs w:val="18"/>
          <w:lang w:val="es-ES_tradnl"/>
        </w:rPr>
        <w:t>í</w:t>
      </w:r>
      <w:r>
        <w:rPr>
          <w:spacing w:val="-6"/>
          <w:sz w:val="18"/>
          <w:szCs w:val="18"/>
          <w:lang w:val="es-ES_tradnl"/>
        </w:rPr>
        <w:t>dica establecido en el art</w:t>
      </w:r>
      <w:r>
        <w:rPr>
          <w:rFonts w:cs="Times New Roman"/>
          <w:spacing w:val="-6"/>
          <w:sz w:val="18"/>
          <w:szCs w:val="18"/>
          <w:lang w:val="es-ES_tradnl"/>
        </w:rPr>
        <w:t>í</w:t>
      </w:r>
      <w:r>
        <w:rPr>
          <w:spacing w:val="-6"/>
          <w:sz w:val="18"/>
          <w:szCs w:val="18"/>
          <w:lang w:val="es-ES_tradnl"/>
        </w:rPr>
        <w:t xml:space="preserve">culo 82 de la </w:t>
      </w:r>
      <w:r>
        <w:rPr>
          <w:spacing w:val="-7"/>
          <w:sz w:val="18"/>
          <w:szCs w:val="18"/>
          <w:lang w:val="es-ES_tradnl"/>
        </w:rPr>
        <w:t>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blica del Ecuador.</w:t>
      </w:r>
    </w:p>
    <w:p w14:paraId="4F67B24A" w14:textId="77777777" w:rsidR="00591D54" w:rsidRDefault="00591D54">
      <w:pPr>
        <w:shd w:val="clear" w:color="auto" w:fill="FFFFFF"/>
        <w:spacing w:before="202" w:line="221" w:lineRule="exact"/>
        <w:ind w:left="283" w:hanging="283"/>
        <w:jc w:val="both"/>
        <w:sectPr w:rsidR="00591D54">
          <w:type w:val="continuous"/>
          <w:pgSz w:w="11909" w:h="16834"/>
          <w:pgMar w:top="1351" w:right="1309" w:bottom="360" w:left="1308" w:header="720" w:footer="720" w:gutter="0"/>
          <w:cols w:num="2" w:space="720" w:equalWidth="0">
            <w:col w:w="4305" w:space="682"/>
            <w:col w:w="4305"/>
          </w:cols>
          <w:noEndnote/>
        </w:sectPr>
      </w:pPr>
    </w:p>
    <w:p w14:paraId="4F67B24B" w14:textId="77777777" w:rsidR="00591D54" w:rsidRDefault="00591D54">
      <w:pPr>
        <w:shd w:val="clear" w:color="auto" w:fill="FFFFFF"/>
        <w:tabs>
          <w:tab w:val="left" w:pos="5842"/>
        </w:tabs>
        <w:spacing w:after="72"/>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- 181</w:t>
      </w:r>
    </w:p>
    <w:p w14:paraId="4F67B24C" w14:textId="77777777" w:rsidR="00591D54" w:rsidRDefault="00591D54">
      <w:pPr>
        <w:shd w:val="clear" w:color="auto" w:fill="FFFFFF"/>
        <w:tabs>
          <w:tab w:val="left" w:pos="5842"/>
        </w:tabs>
        <w:spacing w:after="72"/>
        <w:ind w:left="5"/>
        <w:sectPr w:rsidR="00591D54">
          <w:pgSz w:w="11909" w:h="16834"/>
          <w:pgMar w:top="1385" w:right="1309" w:bottom="360" w:left="1308" w:header="720" w:footer="720" w:gutter="0"/>
          <w:cols w:space="60"/>
          <w:noEndnote/>
        </w:sectPr>
      </w:pPr>
    </w:p>
    <w:p w14:paraId="4F67B24D" w14:textId="77777777" w:rsidR="00591D54" w:rsidRDefault="00591D54" w:rsidP="00251195">
      <w:pPr>
        <w:numPr>
          <w:ilvl w:val="0"/>
          <w:numId w:val="89"/>
        </w:numPr>
        <w:shd w:val="clear" w:color="auto" w:fill="FFFFFF"/>
        <w:tabs>
          <w:tab w:val="left" w:pos="283"/>
        </w:tabs>
        <w:spacing w:before="163" w:line="221" w:lineRule="exact"/>
        <w:ind w:left="283" w:hanging="283"/>
        <w:rPr>
          <w:spacing w:val="-11"/>
          <w:sz w:val="18"/>
          <w:szCs w:val="18"/>
          <w:lang w:val="es-ES_tradnl"/>
        </w:rPr>
      </w:pPr>
      <w:r>
        <w:rPr>
          <w:spacing w:val="-7"/>
          <w:sz w:val="18"/>
          <w:szCs w:val="18"/>
          <w:lang w:val="es-ES_tradnl"/>
        </w:rPr>
        <w:t>Aceptar    la    acci</w:t>
      </w:r>
      <w:r>
        <w:rPr>
          <w:rFonts w:cs="Times New Roman"/>
          <w:spacing w:val="-7"/>
          <w:sz w:val="18"/>
          <w:szCs w:val="18"/>
          <w:lang w:val="es-ES_tradnl"/>
        </w:rPr>
        <w:t>ó</w:t>
      </w:r>
      <w:r>
        <w:rPr>
          <w:spacing w:val="-7"/>
          <w:sz w:val="18"/>
          <w:szCs w:val="18"/>
          <w:lang w:val="es-ES_tradnl"/>
        </w:rPr>
        <w:t>n    extraordinaria    de    protecci</w:t>
      </w:r>
      <w:r>
        <w:rPr>
          <w:rFonts w:cs="Times New Roman"/>
          <w:spacing w:val="-7"/>
          <w:sz w:val="18"/>
          <w:szCs w:val="18"/>
          <w:lang w:val="es-ES_tradnl"/>
        </w:rPr>
        <w:t>ó</w:t>
      </w:r>
      <w:r>
        <w:rPr>
          <w:spacing w:val="-7"/>
          <w:sz w:val="18"/>
          <w:szCs w:val="18"/>
          <w:lang w:val="es-ES_tradnl"/>
        </w:rPr>
        <w:t xml:space="preserve">n </w:t>
      </w:r>
      <w:r>
        <w:rPr>
          <w:sz w:val="18"/>
          <w:szCs w:val="18"/>
          <w:lang w:val="es-ES_tradnl"/>
        </w:rPr>
        <w:t>planteada.</w:t>
      </w:r>
    </w:p>
    <w:p w14:paraId="4F67B24E" w14:textId="77777777" w:rsidR="00591D54" w:rsidRDefault="00591D54" w:rsidP="00251195">
      <w:pPr>
        <w:numPr>
          <w:ilvl w:val="0"/>
          <w:numId w:val="89"/>
        </w:numPr>
        <w:shd w:val="clear" w:color="auto" w:fill="FFFFFF"/>
        <w:tabs>
          <w:tab w:val="left" w:pos="283"/>
        </w:tabs>
        <w:spacing w:before="202"/>
        <w:rPr>
          <w:spacing w:val="-11"/>
          <w:sz w:val="18"/>
          <w:szCs w:val="18"/>
          <w:lang w:val="es-ES_tradnl"/>
        </w:rPr>
      </w:pPr>
      <w:r>
        <w:rPr>
          <w:spacing w:val="-8"/>
          <w:sz w:val="18"/>
          <w:szCs w:val="18"/>
          <w:lang w:val="es-ES_tradnl"/>
        </w:rPr>
        <w:t>Como medida de reparaci</w:t>
      </w:r>
      <w:r>
        <w:rPr>
          <w:rFonts w:cs="Times New Roman"/>
          <w:spacing w:val="-8"/>
          <w:sz w:val="18"/>
          <w:szCs w:val="18"/>
          <w:lang w:val="es-ES_tradnl"/>
        </w:rPr>
        <w:t>ó</w:t>
      </w:r>
      <w:r>
        <w:rPr>
          <w:spacing w:val="-8"/>
          <w:sz w:val="18"/>
          <w:szCs w:val="18"/>
          <w:lang w:val="es-ES_tradnl"/>
        </w:rPr>
        <w:t>n integral se dispone:</w:t>
      </w:r>
    </w:p>
    <w:p w14:paraId="4F67B24F" w14:textId="77777777" w:rsidR="00591D54" w:rsidRDefault="00591D54">
      <w:pPr>
        <w:rPr>
          <w:rFonts w:cs="Times New Roman"/>
          <w:sz w:val="2"/>
          <w:szCs w:val="2"/>
        </w:rPr>
      </w:pPr>
    </w:p>
    <w:p w14:paraId="4F67B250" w14:textId="77777777" w:rsidR="00591D54" w:rsidRDefault="00591D54" w:rsidP="00251195">
      <w:pPr>
        <w:numPr>
          <w:ilvl w:val="0"/>
          <w:numId w:val="90"/>
        </w:numPr>
        <w:shd w:val="clear" w:color="auto" w:fill="FFFFFF"/>
        <w:tabs>
          <w:tab w:val="left" w:pos="566"/>
        </w:tabs>
        <w:spacing w:before="206" w:line="221" w:lineRule="exact"/>
        <w:ind w:left="566" w:hanging="283"/>
        <w:jc w:val="both"/>
        <w:rPr>
          <w:spacing w:val="-9"/>
          <w:sz w:val="18"/>
          <w:szCs w:val="18"/>
          <w:lang w:val="es-ES_tradnl"/>
        </w:rPr>
      </w:pPr>
      <w:r>
        <w:rPr>
          <w:spacing w:val="-5"/>
          <w:sz w:val="18"/>
          <w:szCs w:val="18"/>
          <w:lang w:val="es-ES_tradnl"/>
        </w:rPr>
        <w:t xml:space="preserve">Dejar sin efecto la sentencia dictada el 08 de </w:t>
      </w:r>
      <w:r>
        <w:rPr>
          <w:spacing w:val="-10"/>
          <w:sz w:val="18"/>
          <w:szCs w:val="18"/>
          <w:lang w:val="es-ES_tradnl"/>
        </w:rPr>
        <w:t xml:space="preserve">noviembre de 2010 por la Tercera Sala de lo Penal y </w:t>
      </w:r>
      <w:r>
        <w:rPr>
          <w:spacing w:val="-8"/>
          <w:sz w:val="18"/>
          <w:szCs w:val="18"/>
          <w:lang w:val="es-ES_tradnl"/>
        </w:rPr>
        <w:t>Tr</w:t>
      </w:r>
      <w:r>
        <w:rPr>
          <w:rFonts w:cs="Times New Roman"/>
          <w:spacing w:val="-8"/>
          <w:sz w:val="18"/>
          <w:szCs w:val="18"/>
          <w:lang w:val="es-ES_tradnl"/>
        </w:rPr>
        <w:t>á</w:t>
      </w:r>
      <w:r>
        <w:rPr>
          <w:spacing w:val="-8"/>
          <w:sz w:val="18"/>
          <w:szCs w:val="18"/>
          <w:lang w:val="es-ES_tradnl"/>
        </w:rPr>
        <w:t xml:space="preserve">nsito de la Corte Provincial del Guayas y el auto </w:t>
      </w:r>
      <w:r>
        <w:rPr>
          <w:spacing w:val="-5"/>
          <w:sz w:val="18"/>
          <w:szCs w:val="18"/>
          <w:lang w:val="es-ES_tradnl"/>
        </w:rPr>
        <w:t xml:space="preserve">resolutorio del 15 de julio del 2010 emitido por el </w:t>
      </w:r>
      <w:r>
        <w:rPr>
          <w:spacing w:val="-6"/>
          <w:sz w:val="18"/>
          <w:szCs w:val="18"/>
          <w:lang w:val="es-ES_tradnl"/>
        </w:rPr>
        <w:t>Juez Sexto de lo Civil de Guayaquil.</w:t>
      </w:r>
    </w:p>
    <w:p w14:paraId="4F67B251" w14:textId="77777777" w:rsidR="00591D54" w:rsidRDefault="00591D54" w:rsidP="00251195">
      <w:pPr>
        <w:numPr>
          <w:ilvl w:val="0"/>
          <w:numId w:val="90"/>
        </w:numPr>
        <w:shd w:val="clear" w:color="auto" w:fill="FFFFFF"/>
        <w:tabs>
          <w:tab w:val="left" w:pos="566"/>
        </w:tabs>
        <w:spacing w:before="202" w:line="226" w:lineRule="exact"/>
        <w:ind w:left="566" w:hanging="283"/>
        <w:jc w:val="both"/>
        <w:rPr>
          <w:spacing w:val="-9"/>
          <w:sz w:val="18"/>
          <w:szCs w:val="18"/>
          <w:lang w:val="es-ES_tradnl"/>
        </w:rPr>
      </w:pPr>
      <w:r>
        <w:rPr>
          <w:spacing w:val="-7"/>
          <w:sz w:val="18"/>
          <w:szCs w:val="18"/>
          <w:lang w:val="es-ES_tradnl"/>
        </w:rPr>
        <w:t>En consecuencia del an</w:t>
      </w:r>
      <w:r>
        <w:rPr>
          <w:rFonts w:cs="Times New Roman"/>
          <w:spacing w:val="-7"/>
          <w:sz w:val="18"/>
          <w:szCs w:val="18"/>
          <w:lang w:val="es-ES_tradnl"/>
        </w:rPr>
        <w:t>á</w:t>
      </w:r>
      <w:r>
        <w:rPr>
          <w:spacing w:val="-7"/>
          <w:sz w:val="18"/>
          <w:szCs w:val="18"/>
          <w:lang w:val="es-ES_tradnl"/>
        </w:rPr>
        <w:t xml:space="preserve">lisis realizado se dispone </w:t>
      </w:r>
      <w:r>
        <w:rPr>
          <w:spacing w:val="-6"/>
          <w:sz w:val="18"/>
          <w:szCs w:val="18"/>
          <w:lang w:val="es-ES_tradnl"/>
        </w:rPr>
        <w:t>el archivo de la acci</w:t>
      </w:r>
      <w:r>
        <w:rPr>
          <w:rFonts w:cs="Times New Roman"/>
          <w:spacing w:val="-6"/>
          <w:sz w:val="18"/>
          <w:szCs w:val="18"/>
          <w:lang w:val="es-ES_tradnl"/>
        </w:rPr>
        <w:t>ó</w:t>
      </w:r>
      <w:r>
        <w:rPr>
          <w:spacing w:val="-6"/>
          <w:sz w:val="18"/>
          <w:szCs w:val="18"/>
          <w:lang w:val="es-ES_tradnl"/>
        </w:rPr>
        <w:t>n de medida cautelar 0801-</w:t>
      </w:r>
      <w:r>
        <w:rPr>
          <w:sz w:val="18"/>
          <w:szCs w:val="18"/>
          <w:lang w:val="es-ES_tradnl"/>
        </w:rPr>
        <w:t>2010/A y 659-2-2010.</w:t>
      </w:r>
    </w:p>
    <w:p w14:paraId="4F67B252" w14:textId="77777777" w:rsidR="00591D54" w:rsidRDefault="00591D54" w:rsidP="00251195">
      <w:pPr>
        <w:numPr>
          <w:ilvl w:val="0"/>
          <w:numId w:val="90"/>
        </w:numPr>
        <w:shd w:val="clear" w:color="auto" w:fill="FFFFFF"/>
        <w:tabs>
          <w:tab w:val="left" w:pos="566"/>
        </w:tabs>
        <w:spacing w:before="206" w:line="221" w:lineRule="exact"/>
        <w:ind w:left="566" w:hanging="283"/>
        <w:jc w:val="both"/>
        <w:rPr>
          <w:spacing w:val="-9"/>
          <w:sz w:val="18"/>
          <w:szCs w:val="18"/>
          <w:lang w:val="es-ES_tradnl"/>
        </w:rPr>
      </w:pPr>
      <w:r>
        <w:rPr>
          <w:spacing w:val="-6"/>
          <w:sz w:val="18"/>
          <w:szCs w:val="18"/>
          <w:lang w:val="es-ES_tradnl"/>
        </w:rPr>
        <w:t xml:space="preserve">Remitir copia de la presente sentencia al Consejo </w:t>
      </w:r>
      <w:r>
        <w:rPr>
          <w:spacing w:val="-8"/>
          <w:sz w:val="18"/>
          <w:szCs w:val="18"/>
          <w:lang w:val="es-ES_tradnl"/>
        </w:rPr>
        <w:t xml:space="preserve">de la Judicatura, a fin de que se analice lo actuado </w:t>
      </w:r>
      <w:r>
        <w:rPr>
          <w:spacing w:val="-10"/>
          <w:sz w:val="18"/>
          <w:szCs w:val="18"/>
          <w:lang w:val="es-ES_tradnl"/>
        </w:rPr>
        <w:t>por los jueces en este proceso, debiendo informar al Pleno de la Corte sobre lo que se act</w:t>
      </w:r>
      <w:r>
        <w:rPr>
          <w:rFonts w:cs="Times New Roman"/>
          <w:spacing w:val="-10"/>
          <w:sz w:val="18"/>
          <w:szCs w:val="18"/>
          <w:lang w:val="es-ES_tradnl"/>
        </w:rPr>
        <w:t>ú</w:t>
      </w:r>
      <w:r>
        <w:rPr>
          <w:spacing w:val="-10"/>
          <w:sz w:val="18"/>
          <w:szCs w:val="18"/>
          <w:lang w:val="es-ES_tradnl"/>
        </w:rPr>
        <w:t xml:space="preserve">e y resuelva al </w:t>
      </w:r>
      <w:r>
        <w:rPr>
          <w:sz w:val="18"/>
          <w:szCs w:val="18"/>
          <w:lang w:val="es-ES_tradnl"/>
        </w:rPr>
        <w:t>respecto.</w:t>
      </w:r>
    </w:p>
    <w:p w14:paraId="4F67B253" w14:textId="77777777" w:rsidR="00591D54" w:rsidRDefault="00591D54">
      <w:pPr>
        <w:shd w:val="clear" w:color="auto" w:fill="FFFFFF"/>
        <w:tabs>
          <w:tab w:val="left" w:pos="283"/>
        </w:tabs>
        <w:spacing w:before="34" w:line="437" w:lineRule="exact"/>
      </w:pPr>
      <w:r>
        <w:rPr>
          <w:spacing w:val="-11"/>
          <w:sz w:val="18"/>
          <w:szCs w:val="18"/>
          <w:lang w:val="es-ES_tradnl"/>
        </w:rPr>
        <w:t>4.</w:t>
      </w:r>
      <w:r>
        <w:rPr>
          <w:sz w:val="18"/>
          <w:szCs w:val="18"/>
          <w:lang w:val="es-ES_tradnl"/>
        </w:rPr>
        <w:tab/>
      </w:r>
      <w:r>
        <w:rPr>
          <w:spacing w:val="-7"/>
          <w:sz w:val="18"/>
          <w:szCs w:val="18"/>
          <w:lang w:val="es-ES_tradnl"/>
        </w:rPr>
        <w:t>Notif</w:t>
      </w:r>
      <w:r>
        <w:rPr>
          <w:rFonts w:cs="Times New Roman"/>
          <w:spacing w:val="-7"/>
          <w:sz w:val="18"/>
          <w:szCs w:val="18"/>
          <w:lang w:val="es-ES_tradnl"/>
        </w:rPr>
        <w:t>í</w:t>
      </w:r>
      <w:r>
        <w:rPr>
          <w:spacing w:val="-7"/>
          <w:sz w:val="18"/>
          <w:szCs w:val="18"/>
          <w:lang w:val="es-ES_tradnl"/>
        </w:rPr>
        <w:t>quese, publ</w:t>
      </w:r>
      <w:r>
        <w:rPr>
          <w:rFonts w:cs="Times New Roman"/>
          <w:spacing w:val="-7"/>
          <w:sz w:val="18"/>
          <w:szCs w:val="18"/>
          <w:lang w:val="es-ES_tradnl"/>
        </w:rPr>
        <w:t>í</w:t>
      </w:r>
      <w:r>
        <w:rPr>
          <w:spacing w:val="-7"/>
          <w:sz w:val="18"/>
          <w:szCs w:val="18"/>
          <w:lang w:val="es-ES_tradnl"/>
        </w:rPr>
        <w:t>quese y c</w:t>
      </w:r>
      <w:r>
        <w:rPr>
          <w:rFonts w:cs="Times New Roman"/>
          <w:spacing w:val="-7"/>
          <w:sz w:val="18"/>
          <w:szCs w:val="18"/>
          <w:lang w:val="es-ES_tradnl"/>
        </w:rPr>
        <w:t>ú</w:t>
      </w:r>
      <w:r>
        <w:rPr>
          <w:spacing w:val="-7"/>
          <w:sz w:val="18"/>
          <w:szCs w:val="18"/>
          <w:lang w:val="es-ES_tradnl"/>
        </w:rPr>
        <w:t>mplase.</w:t>
      </w:r>
    </w:p>
    <w:p w14:paraId="4F67B254" w14:textId="77777777" w:rsidR="00591D54" w:rsidRDefault="00591D54">
      <w:pPr>
        <w:shd w:val="clear" w:color="auto" w:fill="FFFFFF"/>
        <w:spacing w:line="437" w:lineRule="exact"/>
      </w:pPr>
      <w:r>
        <w:rPr>
          <w:spacing w:val="-5"/>
          <w:sz w:val="18"/>
          <w:szCs w:val="18"/>
          <w:lang w:val="es-ES_tradnl"/>
        </w:rPr>
        <w:t xml:space="preserve">f.) Wendy Molina Andrade, </w:t>
      </w:r>
      <w:r>
        <w:rPr>
          <w:b/>
          <w:bCs/>
          <w:spacing w:val="-5"/>
          <w:sz w:val="18"/>
          <w:szCs w:val="18"/>
          <w:lang w:val="es-ES_tradnl"/>
        </w:rPr>
        <w:t>PRESIDENTA (E).</w:t>
      </w:r>
    </w:p>
    <w:p w14:paraId="4F67B255" w14:textId="77777777" w:rsidR="00591D54" w:rsidRDefault="00591D54">
      <w:pPr>
        <w:shd w:val="clear" w:color="auto" w:fill="FFFFFF"/>
        <w:spacing w:line="437" w:lineRule="exact"/>
      </w:pPr>
      <w:r>
        <w:rPr>
          <w:spacing w:val="-4"/>
          <w:sz w:val="18"/>
          <w:szCs w:val="18"/>
          <w:lang w:val="es-ES_tradnl"/>
        </w:rPr>
        <w:t xml:space="preserve">f.) Jaime Pozo Chamorro, </w:t>
      </w:r>
      <w:r>
        <w:rPr>
          <w:b/>
          <w:bCs/>
          <w:spacing w:val="-4"/>
          <w:sz w:val="18"/>
          <w:szCs w:val="18"/>
          <w:lang w:val="es-ES_tradnl"/>
        </w:rPr>
        <w:t>SECRETARIO GENERAL.</w:t>
      </w:r>
    </w:p>
    <w:p w14:paraId="4F67B256" w14:textId="77777777" w:rsidR="00591D54" w:rsidRDefault="00591D54">
      <w:pPr>
        <w:shd w:val="clear" w:color="auto" w:fill="FFFFFF"/>
        <w:spacing w:before="168" w:line="221" w:lineRule="exact"/>
        <w:jc w:val="both"/>
      </w:pPr>
      <w:r>
        <w:rPr>
          <w:b/>
          <w:bCs/>
          <w:spacing w:val="-7"/>
          <w:sz w:val="18"/>
          <w:szCs w:val="18"/>
          <w:lang w:val="es-ES_tradnl"/>
        </w:rPr>
        <w:t>Raz</w:t>
      </w:r>
      <w:r>
        <w:rPr>
          <w:rFonts w:cs="Times New Roman"/>
          <w:b/>
          <w:bCs/>
          <w:spacing w:val="-7"/>
          <w:sz w:val="18"/>
          <w:szCs w:val="18"/>
          <w:lang w:val="es-ES_tradnl"/>
        </w:rPr>
        <w:t>ó</w:t>
      </w:r>
      <w:r>
        <w:rPr>
          <w:b/>
          <w:bCs/>
          <w:spacing w:val="-7"/>
          <w:sz w:val="18"/>
          <w:szCs w:val="18"/>
          <w:lang w:val="es-ES_tradnl"/>
        </w:rPr>
        <w:t xml:space="preserve">n: </w:t>
      </w:r>
      <w:r>
        <w:rPr>
          <w:spacing w:val="-7"/>
          <w:sz w:val="18"/>
          <w:szCs w:val="18"/>
          <w:lang w:val="es-ES_tradnl"/>
        </w:rPr>
        <w:t xml:space="preserve">Siento por tal, que la sentencia que antecede fue </w:t>
      </w:r>
      <w:r>
        <w:rPr>
          <w:spacing w:val="-2"/>
          <w:sz w:val="18"/>
          <w:szCs w:val="18"/>
          <w:lang w:val="es-ES_tradnl"/>
        </w:rPr>
        <w:t xml:space="preserve">aprobada por el Pleno de la Corte Constitucional, con </w:t>
      </w:r>
      <w:r>
        <w:rPr>
          <w:spacing w:val="-10"/>
          <w:sz w:val="18"/>
          <w:szCs w:val="18"/>
          <w:lang w:val="es-ES_tradnl"/>
        </w:rPr>
        <w:t>siete votos de las se</w:t>
      </w:r>
      <w:r>
        <w:rPr>
          <w:rFonts w:cs="Times New Roman"/>
          <w:spacing w:val="-10"/>
          <w:sz w:val="18"/>
          <w:szCs w:val="18"/>
          <w:lang w:val="es-ES_tradnl"/>
        </w:rPr>
        <w:t>ñ</w:t>
      </w:r>
      <w:r>
        <w:rPr>
          <w:spacing w:val="-10"/>
          <w:sz w:val="18"/>
          <w:szCs w:val="18"/>
          <w:lang w:val="es-ES_tradnl"/>
        </w:rPr>
        <w:t>oras juezas y se</w:t>
      </w:r>
      <w:r>
        <w:rPr>
          <w:rFonts w:cs="Times New Roman"/>
          <w:spacing w:val="-10"/>
          <w:sz w:val="18"/>
          <w:szCs w:val="18"/>
          <w:lang w:val="es-ES_tradnl"/>
        </w:rPr>
        <w:t>ñ</w:t>
      </w:r>
      <w:r>
        <w:rPr>
          <w:spacing w:val="-10"/>
          <w:sz w:val="18"/>
          <w:szCs w:val="18"/>
          <w:lang w:val="es-ES_tradnl"/>
        </w:rPr>
        <w:t xml:space="preserve">ores jueces: Antonio </w:t>
      </w:r>
      <w:r>
        <w:rPr>
          <w:spacing w:val="-7"/>
          <w:sz w:val="18"/>
          <w:szCs w:val="18"/>
          <w:lang w:val="es-ES_tradnl"/>
        </w:rPr>
        <w:t>Gagliardo Loor, Marcelo Jaramillo Villa, Mar</w:t>
      </w:r>
      <w:r>
        <w:rPr>
          <w:rFonts w:cs="Times New Roman"/>
          <w:spacing w:val="-7"/>
          <w:sz w:val="18"/>
          <w:szCs w:val="18"/>
          <w:lang w:val="es-ES_tradnl"/>
        </w:rPr>
        <w:t>í</w:t>
      </w:r>
      <w:r>
        <w:rPr>
          <w:spacing w:val="-7"/>
          <w:sz w:val="18"/>
          <w:szCs w:val="18"/>
          <w:lang w:val="es-ES_tradnl"/>
        </w:rPr>
        <w:t xml:space="preserve">a del Carmen </w:t>
      </w:r>
      <w:r>
        <w:rPr>
          <w:spacing w:val="-5"/>
          <w:sz w:val="18"/>
          <w:szCs w:val="18"/>
          <w:lang w:val="es-ES_tradnl"/>
        </w:rPr>
        <w:t>Maldonado S</w:t>
      </w:r>
      <w:r>
        <w:rPr>
          <w:rFonts w:cs="Times New Roman"/>
          <w:spacing w:val="-5"/>
          <w:sz w:val="18"/>
          <w:szCs w:val="18"/>
          <w:lang w:val="es-ES_tradnl"/>
        </w:rPr>
        <w:t>á</w:t>
      </w:r>
      <w:r>
        <w:rPr>
          <w:spacing w:val="-5"/>
          <w:sz w:val="18"/>
          <w:szCs w:val="18"/>
          <w:lang w:val="es-ES_tradnl"/>
        </w:rPr>
        <w:t>nchez, Alfredo Ruiz Guzm</w:t>
      </w:r>
      <w:r>
        <w:rPr>
          <w:rFonts w:cs="Times New Roman"/>
          <w:spacing w:val="-5"/>
          <w:sz w:val="18"/>
          <w:szCs w:val="18"/>
          <w:lang w:val="es-ES_tradnl"/>
        </w:rPr>
        <w:t>á</w:t>
      </w:r>
      <w:r>
        <w:rPr>
          <w:spacing w:val="-5"/>
          <w:sz w:val="18"/>
          <w:szCs w:val="18"/>
          <w:lang w:val="es-ES_tradnl"/>
        </w:rPr>
        <w:t xml:space="preserve">n, Ruth Seni </w:t>
      </w:r>
      <w:r>
        <w:rPr>
          <w:spacing w:val="-8"/>
          <w:sz w:val="18"/>
          <w:szCs w:val="18"/>
          <w:lang w:val="es-ES_tradnl"/>
        </w:rPr>
        <w:t xml:space="preserve">Pinoargote, Manuel Viteri Olvera y Wendy Molina Andrade, </w:t>
      </w:r>
      <w:r>
        <w:rPr>
          <w:spacing w:val="-9"/>
          <w:sz w:val="18"/>
          <w:szCs w:val="18"/>
          <w:lang w:val="es-ES_tradnl"/>
        </w:rPr>
        <w:t>sin contar con la presencia de los jueces Tatiana Orde</w:t>
      </w:r>
      <w:r>
        <w:rPr>
          <w:rFonts w:cs="Times New Roman"/>
          <w:spacing w:val="-9"/>
          <w:sz w:val="18"/>
          <w:szCs w:val="18"/>
          <w:lang w:val="es-ES_tradnl"/>
        </w:rPr>
        <w:t>ñ</w:t>
      </w:r>
      <w:r>
        <w:rPr>
          <w:spacing w:val="-9"/>
          <w:sz w:val="18"/>
          <w:szCs w:val="18"/>
          <w:lang w:val="es-ES_tradnl"/>
        </w:rPr>
        <w:t>ana Sierra y Patricio Pazmi</w:t>
      </w:r>
      <w:r>
        <w:rPr>
          <w:rFonts w:cs="Times New Roman"/>
          <w:spacing w:val="-9"/>
          <w:sz w:val="18"/>
          <w:szCs w:val="18"/>
          <w:lang w:val="es-ES_tradnl"/>
        </w:rPr>
        <w:t>ñ</w:t>
      </w:r>
      <w:r>
        <w:rPr>
          <w:spacing w:val="-9"/>
          <w:sz w:val="18"/>
          <w:szCs w:val="18"/>
          <w:lang w:val="es-ES_tradnl"/>
        </w:rPr>
        <w:t>o Freire, en sesi</w:t>
      </w:r>
      <w:r>
        <w:rPr>
          <w:rFonts w:cs="Times New Roman"/>
          <w:spacing w:val="-9"/>
          <w:sz w:val="18"/>
          <w:szCs w:val="18"/>
          <w:lang w:val="es-ES_tradnl"/>
        </w:rPr>
        <w:t>ó</w:t>
      </w:r>
      <w:r>
        <w:rPr>
          <w:spacing w:val="-9"/>
          <w:sz w:val="18"/>
          <w:szCs w:val="18"/>
          <w:lang w:val="es-ES_tradnl"/>
        </w:rPr>
        <w:t xml:space="preserve">n del 12 de agosto </w:t>
      </w:r>
      <w:r>
        <w:rPr>
          <w:sz w:val="18"/>
          <w:szCs w:val="18"/>
          <w:lang w:val="es-ES_tradnl"/>
        </w:rPr>
        <w:t>del 2015. Lo certifico.</w:t>
      </w:r>
    </w:p>
    <w:p w14:paraId="4F67B257" w14:textId="77777777" w:rsidR="00591D54" w:rsidRDefault="00591D54">
      <w:pPr>
        <w:shd w:val="clear" w:color="auto" w:fill="FFFFFF"/>
        <w:spacing w:before="197"/>
      </w:pPr>
      <w:r>
        <w:rPr>
          <w:spacing w:val="-4"/>
          <w:sz w:val="18"/>
          <w:szCs w:val="18"/>
          <w:lang w:val="es-ES_tradnl"/>
        </w:rPr>
        <w:t xml:space="preserve">f.) Jaime Pozo Chamorro, </w:t>
      </w:r>
      <w:r>
        <w:rPr>
          <w:b/>
          <w:bCs/>
          <w:spacing w:val="-4"/>
          <w:sz w:val="18"/>
          <w:szCs w:val="18"/>
          <w:lang w:val="es-ES_tradnl"/>
        </w:rPr>
        <w:t>SECRETARIO GENERAL.</w:t>
      </w:r>
    </w:p>
    <w:p w14:paraId="4F67B258" w14:textId="77777777" w:rsidR="00591D54" w:rsidRDefault="00591D54">
      <w:pPr>
        <w:shd w:val="clear" w:color="auto" w:fill="FFFFFF"/>
        <w:spacing w:before="202" w:line="221"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259" w14:textId="77777777" w:rsidR="00591D54" w:rsidRDefault="00591D54">
      <w:pPr>
        <w:shd w:val="clear" w:color="auto" w:fill="FFFFFF"/>
        <w:spacing w:before="197"/>
      </w:pPr>
      <w:r>
        <w:rPr>
          <w:b/>
          <w:bCs/>
          <w:spacing w:val="-6"/>
          <w:sz w:val="18"/>
          <w:szCs w:val="18"/>
          <w:u w:val="single"/>
          <w:lang w:val="es-ES_tradnl"/>
        </w:rPr>
        <w:t>CASO Nro. 1589-11-EP</w:t>
      </w:r>
    </w:p>
    <w:p w14:paraId="4F67B25A" w14:textId="77777777" w:rsidR="00591D54" w:rsidRDefault="00591D54">
      <w:pPr>
        <w:shd w:val="clear" w:color="auto" w:fill="FFFFFF"/>
        <w:spacing w:before="202" w:line="221" w:lineRule="exact"/>
        <w:jc w:val="both"/>
      </w:pPr>
      <w:r>
        <w:rPr>
          <w:b/>
          <w:bCs/>
          <w:spacing w:val="-4"/>
          <w:sz w:val="18"/>
          <w:szCs w:val="18"/>
          <w:lang w:val="es-ES_tradnl"/>
        </w:rPr>
        <w:t>RAZ</w:t>
      </w:r>
      <w:r>
        <w:rPr>
          <w:rFonts w:cs="Times New Roman"/>
          <w:b/>
          <w:bCs/>
          <w:spacing w:val="-4"/>
          <w:sz w:val="18"/>
          <w:szCs w:val="18"/>
          <w:lang w:val="es-ES_tradnl"/>
        </w:rPr>
        <w:t>Ó</w:t>
      </w:r>
      <w:r>
        <w:rPr>
          <w:b/>
          <w:bCs/>
          <w:spacing w:val="-4"/>
          <w:sz w:val="18"/>
          <w:szCs w:val="18"/>
          <w:lang w:val="es-ES_tradnl"/>
        </w:rPr>
        <w:t xml:space="preserve">N.- </w:t>
      </w:r>
      <w:r>
        <w:rPr>
          <w:spacing w:val="-4"/>
          <w:sz w:val="18"/>
          <w:szCs w:val="18"/>
          <w:lang w:val="es-ES_tradnl"/>
        </w:rPr>
        <w:t xml:space="preserve">Siento por tal, que la Jueza Wendy Molina </w:t>
      </w:r>
      <w:r>
        <w:rPr>
          <w:spacing w:val="-6"/>
          <w:sz w:val="18"/>
          <w:szCs w:val="18"/>
          <w:lang w:val="es-ES_tradnl"/>
        </w:rPr>
        <w:t>Andrade, suscribi</w:t>
      </w:r>
      <w:r>
        <w:rPr>
          <w:rFonts w:cs="Times New Roman"/>
          <w:spacing w:val="-6"/>
          <w:sz w:val="18"/>
          <w:szCs w:val="18"/>
          <w:lang w:val="es-ES_tradnl"/>
        </w:rPr>
        <w:t>ó</w:t>
      </w:r>
      <w:r>
        <w:rPr>
          <w:spacing w:val="-6"/>
          <w:sz w:val="18"/>
          <w:szCs w:val="18"/>
          <w:lang w:val="es-ES_tradnl"/>
        </w:rPr>
        <w:t xml:space="preserve"> la presente sentencia el d</w:t>
      </w:r>
      <w:r>
        <w:rPr>
          <w:rFonts w:cs="Times New Roman"/>
          <w:spacing w:val="-6"/>
          <w:sz w:val="18"/>
          <w:szCs w:val="18"/>
          <w:lang w:val="es-ES_tradnl"/>
        </w:rPr>
        <w:t>í</w:t>
      </w:r>
      <w:r>
        <w:rPr>
          <w:spacing w:val="-6"/>
          <w:sz w:val="18"/>
          <w:szCs w:val="18"/>
          <w:lang w:val="es-ES_tradnl"/>
        </w:rPr>
        <w:t xml:space="preserve">a martes 01 </w:t>
      </w:r>
      <w:r>
        <w:rPr>
          <w:spacing w:val="-8"/>
          <w:sz w:val="18"/>
          <w:szCs w:val="18"/>
          <w:lang w:val="es-ES_tradnl"/>
        </w:rPr>
        <w:t xml:space="preserve">de septiembre del 2015, en calidad de presidenta (e) de la </w:t>
      </w:r>
      <w:r>
        <w:rPr>
          <w:spacing w:val="-7"/>
          <w:sz w:val="18"/>
          <w:szCs w:val="18"/>
          <w:lang w:val="es-ES_tradnl"/>
        </w:rPr>
        <w:t>Corte Constitucional, al momento de expedirse la misma.-</w:t>
      </w:r>
      <w:r>
        <w:rPr>
          <w:sz w:val="18"/>
          <w:szCs w:val="18"/>
          <w:lang w:val="es-ES_tradnl"/>
        </w:rPr>
        <w:t>Lo certifico.</w:t>
      </w:r>
    </w:p>
    <w:p w14:paraId="4F67B25B" w14:textId="77777777" w:rsidR="00591D54" w:rsidRDefault="00591D54">
      <w:pPr>
        <w:shd w:val="clear" w:color="auto" w:fill="FFFFFF"/>
        <w:spacing w:before="202"/>
      </w:pPr>
      <w:r>
        <w:rPr>
          <w:spacing w:val="-7"/>
          <w:sz w:val="18"/>
          <w:szCs w:val="18"/>
          <w:lang w:val="es-ES_tradnl"/>
        </w:rPr>
        <w:t xml:space="preserve">f.) Jaime Pozo Chamorro, </w:t>
      </w:r>
      <w:r>
        <w:rPr>
          <w:b/>
          <w:bCs/>
          <w:spacing w:val="-7"/>
          <w:sz w:val="18"/>
          <w:szCs w:val="18"/>
          <w:lang w:val="es-ES_tradnl"/>
        </w:rPr>
        <w:t>Secretario General.</w:t>
      </w:r>
    </w:p>
    <w:p w14:paraId="4F67B25C" w14:textId="77777777" w:rsidR="00591D54" w:rsidRDefault="00591D54">
      <w:pPr>
        <w:shd w:val="clear" w:color="auto" w:fill="FFFFFF"/>
        <w:spacing w:before="202" w:line="221"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25D" w14:textId="77777777" w:rsidR="00591D54" w:rsidRDefault="00591D54">
      <w:pPr>
        <w:shd w:val="clear" w:color="auto" w:fill="FFFFFF"/>
        <w:spacing w:line="427" w:lineRule="exact"/>
      </w:pPr>
      <w:r>
        <w:br w:type="column"/>
      </w:r>
      <w:r>
        <w:rPr>
          <w:spacing w:val="-7"/>
          <w:sz w:val="18"/>
          <w:szCs w:val="18"/>
          <w:lang w:val="es-ES_tradnl"/>
        </w:rPr>
        <w:t>Quito, D. M., 12 de agosto de 2015</w:t>
      </w:r>
    </w:p>
    <w:p w14:paraId="4F67B25E" w14:textId="77777777" w:rsidR="00591D54" w:rsidRDefault="00591D54">
      <w:pPr>
        <w:shd w:val="clear" w:color="auto" w:fill="FFFFFF"/>
        <w:spacing w:line="427" w:lineRule="exact"/>
        <w:ind w:left="874"/>
      </w:pPr>
      <w:r>
        <w:rPr>
          <w:b/>
          <w:bCs/>
          <w:spacing w:val="-3"/>
          <w:sz w:val="18"/>
          <w:szCs w:val="18"/>
          <w:u w:val="single"/>
          <w:lang w:val="es-ES_tradnl"/>
        </w:rPr>
        <w:t>SENTENCIA N.</w:t>
      </w:r>
      <w:r>
        <w:rPr>
          <w:rFonts w:cs="Times New Roman"/>
          <w:b/>
          <w:bCs/>
          <w:spacing w:val="-3"/>
          <w:sz w:val="18"/>
          <w:szCs w:val="18"/>
          <w:u w:val="single"/>
          <w:lang w:val="es-ES_tradnl"/>
        </w:rPr>
        <w:t>º</w:t>
      </w:r>
      <w:r>
        <w:rPr>
          <w:b/>
          <w:bCs/>
          <w:spacing w:val="-3"/>
          <w:sz w:val="18"/>
          <w:szCs w:val="18"/>
          <w:u w:val="single"/>
          <w:lang w:val="es-ES_tradnl"/>
        </w:rPr>
        <w:t xml:space="preserve"> 259-15-SEP-CC</w:t>
      </w:r>
    </w:p>
    <w:p w14:paraId="4F67B25F" w14:textId="77777777" w:rsidR="00591D54" w:rsidRDefault="00591D54">
      <w:pPr>
        <w:shd w:val="clear" w:color="auto" w:fill="FFFFFF"/>
        <w:spacing w:line="427" w:lineRule="exact"/>
        <w:ind w:left="1296"/>
      </w:pPr>
      <w:r>
        <w:rPr>
          <w:b/>
          <w:bCs/>
          <w:spacing w:val="-5"/>
          <w:sz w:val="18"/>
          <w:szCs w:val="18"/>
          <w:u w:val="single"/>
          <w:lang w:val="es-ES_tradnl"/>
        </w:rPr>
        <w:t>CASO N.</w:t>
      </w:r>
      <w:r>
        <w:rPr>
          <w:rFonts w:cs="Times New Roman"/>
          <w:b/>
          <w:bCs/>
          <w:spacing w:val="-5"/>
          <w:sz w:val="18"/>
          <w:szCs w:val="18"/>
          <w:u w:val="single"/>
          <w:lang w:val="es-ES_tradnl"/>
        </w:rPr>
        <w:t>º</w:t>
      </w:r>
      <w:r>
        <w:rPr>
          <w:b/>
          <w:bCs/>
          <w:spacing w:val="-5"/>
          <w:sz w:val="18"/>
          <w:szCs w:val="18"/>
          <w:u w:val="single"/>
          <w:lang w:val="es-ES_tradnl"/>
        </w:rPr>
        <w:t xml:space="preserve"> 0087-12-EP</w:t>
      </w:r>
    </w:p>
    <w:p w14:paraId="4F67B260" w14:textId="77777777" w:rsidR="00591D54" w:rsidRDefault="00591D54">
      <w:pPr>
        <w:shd w:val="clear" w:color="auto" w:fill="FFFFFF"/>
        <w:spacing w:line="427" w:lineRule="exact"/>
        <w:ind w:left="298"/>
      </w:pPr>
      <w:r>
        <w:rPr>
          <w:b/>
          <w:bCs/>
          <w:sz w:val="18"/>
          <w:szCs w:val="18"/>
          <w:lang w:val="es-ES_tradnl"/>
        </w:rPr>
        <w:t>CORTE CONSTITUCIONAL DEL ECUADOR</w:t>
      </w:r>
    </w:p>
    <w:p w14:paraId="4F67B261" w14:textId="77777777" w:rsidR="00591D54" w:rsidRDefault="00591D54">
      <w:pPr>
        <w:shd w:val="clear" w:color="auto" w:fill="FFFFFF"/>
        <w:spacing w:line="427" w:lineRule="exact"/>
        <w:ind w:left="1339"/>
      </w:pPr>
      <w:r>
        <w:rPr>
          <w:b/>
          <w:bCs/>
          <w:sz w:val="18"/>
          <w:szCs w:val="18"/>
          <w:lang w:val="es-ES_tradnl"/>
        </w:rPr>
        <w:t>I. ANTECEDENTES</w:t>
      </w:r>
    </w:p>
    <w:p w14:paraId="4F67B262" w14:textId="77777777" w:rsidR="00591D54" w:rsidRDefault="00591D54">
      <w:pPr>
        <w:shd w:val="clear" w:color="auto" w:fill="FFFFFF"/>
        <w:spacing w:line="427" w:lineRule="exact"/>
      </w:pPr>
      <w:r>
        <w:rPr>
          <w:b/>
          <w:bCs/>
          <w:spacing w:val="-9"/>
          <w:sz w:val="18"/>
          <w:szCs w:val="18"/>
          <w:lang w:val="es-ES_tradnl"/>
        </w:rPr>
        <w:t>Resumen de admisibilidad</w:t>
      </w:r>
    </w:p>
    <w:p w14:paraId="4F67B263" w14:textId="77777777" w:rsidR="00591D54" w:rsidRDefault="00591D54">
      <w:pPr>
        <w:shd w:val="clear" w:color="auto" w:fill="FFFFFF"/>
        <w:spacing w:before="163" w:line="216" w:lineRule="exact"/>
        <w:jc w:val="both"/>
      </w:pPr>
      <w:r>
        <w:rPr>
          <w:spacing w:val="-6"/>
          <w:sz w:val="18"/>
          <w:szCs w:val="18"/>
          <w:lang w:val="es-ES_tradnl"/>
        </w:rPr>
        <w:t>La demanda de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fue </w:t>
      </w:r>
      <w:r>
        <w:rPr>
          <w:spacing w:val="-9"/>
          <w:sz w:val="18"/>
          <w:szCs w:val="18"/>
          <w:lang w:val="es-ES_tradnl"/>
        </w:rPr>
        <w:t>presentada por los doctores V</w:t>
      </w:r>
      <w:r>
        <w:rPr>
          <w:rFonts w:cs="Times New Roman"/>
          <w:spacing w:val="-9"/>
          <w:sz w:val="18"/>
          <w:szCs w:val="18"/>
          <w:lang w:val="es-ES_tradnl"/>
        </w:rPr>
        <w:t>í</w:t>
      </w:r>
      <w:r>
        <w:rPr>
          <w:spacing w:val="-9"/>
          <w:sz w:val="18"/>
          <w:szCs w:val="18"/>
          <w:lang w:val="es-ES_tradnl"/>
        </w:rPr>
        <w:t xml:space="preserve">ctor Hugo Largo Machuca en </w:t>
      </w:r>
      <w:r>
        <w:rPr>
          <w:spacing w:val="-5"/>
          <w:sz w:val="18"/>
          <w:szCs w:val="18"/>
          <w:lang w:val="es-ES_tradnl"/>
        </w:rPr>
        <w:t>su calidad de alcalde y Hern</w:t>
      </w:r>
      <w:r>
        <w:rPr>
          <w:rFonts w:cs="Times New Roman"/>
          <w:spacing w:val="-5"/>
          <w:sz w:val="18"/>
          <w:szCs w:val="18"/>
          <w:lang w:val="es-ES_tradnl"/>
        </w:rPr>
        <w:t>á</w:t>
      </w:r>
      <w:r>
        <w:rPr>
          <w:spacing w:val="-5"/>
          <w:sz w:val="18"/>
          <w:szCs w:val="18"/>
          <w:lang w:val="es-ES_tradnl"/>
        </w:rPr>
        <w:t xml:space="preserve">n Anselmo Carrillo Condoy </w:t>
      </w:r>
      <w:r>
        <w:rPr>
          <w:spacing w:val="-7"/>
          <w:sz w:val="18"/>
          <w:szCs w:val="18"/>
          <w:lang w:val="es-ES_tradnl"/>
        </w:rPr>
        <w:t>en calidad de procurador s</w:t>
      </w:r>
      <w:r>
        <w:rPr>
          <w:rFonts w:cs="Times New Roman"/>
          <w:spacing w:val="-7"/>
          <w:sz w:val="18"/>
          <w:szCs w:val="18"/>
          <w:lang w:val="es-ES_tradnl"/>
        </w:rPr>
        <w:t>í</w:t>
      </w:r>
      <w:r>
        <w:rPr>
          <w:spacing w:val="-7"/>
          <w:sz w:val="18"/>
          <w:szCs w:val="18"/>
          <w:lang w:val="es-ES_tradnl"/>
        </w:rPr>
        <w:t>ndico del Gobierno Aut</w:t>
      </w:r>
      <w:r>
        <w:rPr>
          <w:rFonts w:cs="Times New Roman"/>
          <w:spacing w:val="-7"/>
          <w:sz w:val="18"/>
          <w:szCs w:val="18"/>
          <w:lang w:val="es-ES_tradnl"/>
        </w:rPr>
        <w:t>ó</w:t>
      </w:r>
      <w:r>
        <w:rPr>
          <w:spacing w:val="-7"/>
          <w:sz w:val="18"/>
          <w:szCs w:val="18"/>
          <w:lang w:val="es-ES_tradnl"/>
        </w:rPr>
        <w:t xml:space="preserve">nomo </w:t>
      </w:r>
      <w:r>
        <w:rPr>
          <w:spacing w:val="-5"/>
          <w:sz w:val="18"/>
          <w:szCs w:val="18"/>
          <w:lang w:val="es-ES_tradnl"/>
        </w:rPr>
        <w:t>Municipal del cant</w:t>
      </w:r>
      <w:r>
        <w:rPr>
          <w:rFonts w:cs="Times New Roman"/>
          <w:spacing w:val="-5"/>
          <w:sz w:val="18"/>
          <w:szCs w:val="18"/>
          <w:lang w:val="es-ES_tradnl"/>
        </w:rPr>
        <w:t>ó</w:t>
      </w:r>
      <w:r>
        <w:rPr>
          <w:spacing w:val="-5"/>
          <w:sz w:val="18"/>
          <w:szCs w:val="18"/>
          <w:lang w:val="es-ES_tradnl"/>
        </w:rPr>
        <w:t xml:space="preserve">n Chaguarpamba, provincia de Loja, </w:t>
      </w:r>
      <w:r>
        <w:rPr>
          <w:spacing w:val="-8"/>
          <w:sz w:val="18"/>
          <w:szCs w:val="18"/>
          <w:lang w:val="es-ES_tradnl"/>
        </w:rPr>
        <w:t xml:space="preserve">respectivamente; ante la Sala Especializada de lo Laboral, </w:t>
      </w:r>
      <w:r>
        <w:rPr>
          <w:spacing w:val="-7"/>
          <w:sz w:val="18"/>
          <w:szCs w:val="18"/>
          <w:lang w:val="es-ES_tradnl"/>
        </w:rPr>
        <w:t>Ni</w:t>
      </w:r>
      <w:r>
        <w:rPr>
          <w:rFonts w:cs="Times New Roman"/>
          <w:spacing w:val="-7"/>
          <w:sz w:val="18"/>
          <w:szCs w:val="18"/>
          <w:lang w:val="es-ES_tradnl"/>
        </w:rPr>
        <w:t>ñ</w:t>
      </w:r>
      <w:r>
        <w:rPr>
          <w:spacing w:val="-7"/>
          <w:sz w:val="18"/>
          <w:szCs w:val="18"/>
          <w:lang w:val="es-ES_tradnl"/>
        </w:rPr>
        <w:t xml:space="preserve">ez y Adolescencia de la Corte Provincial de Justicia de </w:t>
      </w:r>
      <w:r>
        <w:rPr>
          <w:spacing w:val="-6"/>
          <w:sz w:val="18"/>
          <w:szCs w:val="18"/>
          <w:lang w:val="es-ES_tradnl"/>
        </w:rPr>
        <w:t>Loja que dict</w:t>
      </w:r>
      <w:r>
        <w:rPr>
          <w:rFonts w:cs="Times New Roman"/>
          <w:spacing w:val="-6"/>
          <w:sz w:val="18"/>
          <w:szCs w:val="18"/>
          <w:lang w:val="es-ES_tradnl"/>
        </w:rPr>
        <w:t>ó</w:t>
      </w:r>
      <w:r>
        <w:rPr>
          <w:spacing w:val="-6"/>
          <w:sz w:val="18"/>
          <w:szCs w:val="18"/>
          <w:lang w:val="es-ES_tradnl"/>
        </w:rPr>
        <w:t xml:space="preserve"> la sentencia de apelaci</w:t>
      </w:r>
      <w:r>
        <w:rPr>
          <w:rFonts w:cs="Times New Roman"/>
          <w:spacing w:val="-6"/>
          <w:sz w:val="18"/>
          <w:szCs w:val="18"/>
          <w:lang w:val="es-ES_tradnl"/>
        </w:rPr>
        <w:t>ó</w:t>
      </w:r>
      <w:r>
        <w:rPr>
          <w:spacing w:val="-6"/>
          <w:sz w:val="18"/>
          <w:szCs w:val="18"/>
          <w:lang w:val="es-ES_tradnl"/>
        </w:rPr>
        <w:t>n el 28 de octubre de 2011, dentro del proceso de acci</w:t>
      </w:r>
      <w:r>
        <w:rPr>
          <w:rFonts w:cs="Times New Roman"/>
          <w:spacing w:val="-6"/>
          <w:sz w:val="18"/>
          <w:szCs w:val="18"/>
          <w:lang w:val="es-ES_tradnl"/>
        </w:rPr>
        <w:t>ó</w:t>
      </w:r>
      <w:r>
        <w:rPr>
          <w:spacing w:val="-6"/>
          <w:sz w:val="18"/>
          <w:szCs w:val="18"/>
          <w:lang w:val="es-ES_tradnl"/>
        </w:rPr>
        <w:t>n de protecci</w:t>
      </w:r>
      <w:r>
        <w:rPr>
          <w:rFonts w:cs="Times New Roman"/>
          <w:spacing w:val="-6"/>
          <w:sz w:val="18"/>
          <w:szCs w:val="18"/>
          <w:lang w:val="es-ES_tradnl"/>
        </w:rPr>
        <w:t>ó</w:t>
      </w:r>
      <w:r>
        <w:rPr>
          <w:spacing w:val="-6"/>
          <w:sz w:val="18"/>
          <w:szCs w:val="18"/>
          <w:lang w:val="es-ES_tradnl"/>
        </w:rPr>
        <w:t>n N.</w:t>
      </w:r>
      <w:r>
        <w:rPr>
          <w:rFonts w:cs="Times New Roman"/>
          <w:spacing w:val="-6"/>
          <w:sz w:val="18"/>
          <w:szCs w:val="18"/>
          <w:lang w:val="es-ES_tradnl"/>
        </w:rPr>
        <w:t xml:space="preserve">º </w:t>
      </w:r>
      <w:r>
        <w:rPr>
          <w:sz w:val="18"/>
          <w:szCs w:val="18"/>
          <w:lang w:val="es-ES_tradnl"/>
        </w:rPr>
        <w:t>674-11.</w:t>
      </w:r>
    </w:p>
    <w:p w14:paraId="4F67B264" w14:textId="77777777" w:rsidR="00591D54" w:rsidRDefault="00591D54">
      <w:pPr>
        <w:shd w:val="clear" w:color="auto" w:fill="FFFFFF"/>
        <w:spacing w:before="197" w:line="216" w:lineRule="exact"/>
        <w:jc w:val="both"/>
      </w:pPr>
      <w:r>
        <w:rPr>
          <w:spacing w:val="-6"/>
          <w:sz w:val="18"/>
          <w:szCs w:val="18"/>
          <w:lang w:val="es-ES_tradnl"/>
        </w:rPr>
        <w:t>La Secretar</w:t>
      </w:r>
      <w:r>
        <w:rPr>
          <w:rFonts w:cs="Times New Roman"/>
          <w:spacing w:val="-6"/>
          <w:sz w:val="18"/>
          <w:szCs w:val="18"/>
          <w:lang w:val="es-ES_tradnl"/>
        </w:rPr>
        <w:t>í</w:t>
      </w:r>
      <w:r>
        <w:rPr>
          <w:spacing w:val="-6"/>
          <w:sz w:val="18"/>
          <w:szCs w:val="18"/>
          <w:lang w:val="es-ES_tradnl"/>
        </w:rPr>
        <w:t xml:space="preserve">a General de la Corte Constitucional, para el </w:t>
      </w:r>
      <w:r>
        <w:rPr>
          <w:spacing w:val="-5"/>
          <w:sz w:val="18"/>
          <w:szCs w:val="18"/>
          <w:lang w:val="es-ES_tradnl"/>
        </w:rPr>
        <w:t>per</w:t>
      </w:r>
      <w:r>
        <w:rPr>
          <w:rFonts w:cs="Times New Roman"/>
          <w:spacing w:val="-5"/>
          <w:sz w:val="18"/>
          <w:szCs w:val="18"/>
          <w:lang w:val="es-ES_tradnl"/>
        </w:rPr>
        <w:t>í</w:t>
      </w:r>
      <w:r>
        <w:rPr>
          <w:spacing w:val="-5"/>
          <w:sz w:val="18"/>
          <w:szCs w:val="18"/>
          <w:lang w:val="es-ES_tradnl"/>
        </w:rPr>
        <w:t>odo de transici</w:t>
      </w:r>
      <w:r>
        <w:rPr>
          <w:rFonts w:cs="Times New Roman"/>
          <w:spacing w:val="-5"/>
          <w:sz w:val="18"/>
          <w:szCs w:val="18"/>
          <w:lang w:val="es-ES_tradnl"/>
        </w:rPr>
        <w:t>ó</w:t>
      </w:r>
      <w:r>
        <w:rPr>
          <w:spacing w:val="-5"/>
          <w:sz w:val="18"/>
          <w:szCs w:val="18"/>
          <w:lang w:val="es-ES_tradnl"/>
        </w:rPr>
        <w:t xml:space="preserve">n, de conformidad con lo establecido </w:t>
      </w:r>
      <w:r>
        <w:rPr>
          <w:spacing w:val="-6"/>
          <w:sz w:val="18"/>
          <w:szCs w:val="18"/>
          <w:lang w:val="es-ES_tradnl"/>
        </w:rPr>
        <w:t>en el segundo inciso del art</w:t>
      </w:r>
      <w:r>
        <w:rPr>
          <w:rFonts w:cs="Times New Roman"/>
          <w:spacing w:val="-6"/>
          <w:sz w:val="18"/>
          <w:szCs w:val="18"/>
          <w:lang w:val="es-ES_tradnl"/>
        </w:rPr>
        <w:t>í</w:t>
      </w:r>
      <w:r>
        <w:rPr>
          <w:spacing w:val="-6"/>
          <w:sz w:val="18"/>
          <w:szCs w:val="18"/>
          <w:lang w:val="es-ES_tradnl"/>
        </w:rPr>
        <w:t xml:space="preserve">culo 17 del Reglamento de </w:t>
      </w:r>
      <w:r>
        <w:rPr>
          <w:spacing w:val="-8"/>
          <w:sz w:val="18"/>
          <w:szCs w:val="18"/>
          <w:lang w:val="es-ES_tradnl"/>
        </w:rPr>
        <w:t>Sustanciaci</w:t>
      </w:r>
      <w:r>
        <w:rPr>
          <w:rFonts w:cs="Times New Roman"/>
          <w:spacing w:val="-8"/>
          <w:sz w:val="18"/>
          <w:szCs w:val="18"/>
          <w:lang w:val="es-ES_tradnl"/>
        </w:rPr>
        <w:t>ó</w:t>
      </w:r>
      <w:r>
        <w:rPr>
          <w:spacing w:val="-8"/>
          <w:sz w:val="18"/>
          <w:szCs w:val="18"/>
          <w:lang w:val="es-ES_tradnl"/>
        </w:rPr>
        <w:t xml:space="preserve">n de Procesos de Competencia de la Corte </w:t>
      </w:r>
      <w:r>
        <w:rPr>
          <w:spacing w:val="-5"/>
          <w:sz w:val="18"/>
          <w:szCs w:val="18"/>
          <w:lang w:val="es-ES_tradnl"/>
        </w:rPr>
        <w:t>Constitucional, certific</w:t>
      </w:r>
      <w:r>
        <w:rPr>
          <w:rFonts w:cs="Times New Roman"/>
          <w:spacing w:val="-5"/>
          <w:sz w:val="18"/>
          <w:szCs w:val="18"/>
          <w:lang w:val="es-ES_tradnl"/>
        </w:rPr>
        <w:t>ó</w:t>
      </w:r>
      <w:r>
        <w:rPr>
          <w:spacing w:val="-5"/>
          <w:sz w:val="18"/>
          <w:szCs w:val="18"/>
          <w:lang w:val="es-ES_tradnl"/>
        </w:rPr>
        <w:t xml:space="preserve"> el 16 de enero del 2012, que en </w:t>
      </w:r>
      <w:r>
        <w:rPr>
          <w:spacing w:val="-9"/>
          <w:sz w:val="18"/>
          <w:szCs w:val="18"/>
          <w:lang w:val="es-ES_tradnl"/>
        </w:rPr>
        <w:t>referencia a la acci</w:t>
      </w:r>
      <w:r>
        <w:rPr>
          <w:rFonts w:cs="Times New Roman"/>
          <w:spacing w:val="-9"/>
          <w:sz w:val="18"/>
          <w:szCs w:val="18"/>
          <w:lang w:val="es-ES_tradnl"/>
        </w:rPr>
        <w:t>ó</w:t>
      </w:r>
      <w:r>
        <w:rPr>
          <w:spacing w:val="-9"/>
          <w:sz w:val="18"/>
          <w:szCs w:val="18"/>
          <w:lang w:val="es-ES_tradnl"/>
        </w:rPr>
        <w:t>n N.</w:t>
      </w:r>
      <w:r>
        <w:rPr>
          <w:rFonts w:cs="Times New Roman"/>
          <w:spacing w:val="-9"/>
          <w:sz w:val="18"/>
          <w:szCs w:val="18"/>
          <w:lang w:val="es-ES_tradnl"/>
        </w:rPr>
        <w:t>º</w:t>
      </w:r>
      <w:r>
        <w:rPr>
          <w:spacing w:val="-9"/>
          <w:sz w:val="18"/>
          <w:szCs w:val="18"/>
          <w:lang w:val="es-ES_tradnl"/>
        </w:rPr>
        <w:t xml:space="preserve"> 0087-12-EP, no se ha presentado </w:t>
      </w:r>
      <w:r>
        <w:rPr>
          <w:spacing w:val="-8"/>
          <w:sz w:val="18"/>
          <w:szCs w:val="18"/>
          <w:lang w:val="es-ES_tradnl"/>
        </w:rPr>
        <w:t>otra demanda con identidad de objeto y acci</w:t>
      </w:r>
      <w:r>
        <w:rPr>
          <w:rFonts w:cs="Times New Roman"/>
          <w:spacing w:val="-8"/>
          <w:sz w:val="18"/>
          <w:szCs w:val="18"/>
          <w:lang w:val="es-ES_tradnl"/>
        </w:rPr>
        <w:t>ó</w:t>
      </w:r>
      <w:r>
        <w:rPr>
          <w:spacing w:val="-8"/>
          <w:sz w:val="18"/>
          <w:szCs w:val="18"/>
          <w:lang w:val="es-ES_tradnl"/>
        </w:rPr>
        <w:t>n.</w:t>
      </w:r>
    </w:p>
    <w:p w14:paraId="4F67B265" w14:textId="77777777" w:rsidR="00591D54" w:rsidRDefault="00591D54">
      <w:pPr>
        <w:shd w:val="clear" w:color="auto" w:fill="FFFFFF"/>
        <w:spacing w:before="197" w:line="216" w:lineRule="exact"/>
        <w:jc w:val="both"/>
      </w:pPr>
      <w:r>
        <w:rPr>
          <w:spacing w:val="-5"/>
          <w:sz w:val="18"/>
          <w:szCs w:val="18"/>
          <w:lang w:val="es-ES_tradnl"/>
        </w:rPr>
        <w:t>La Sala de Admisi</w:t>
      </w:r>
      <w:r>
        <w:rPr>
          <w:rFonts w:cs="Times New Roman"/>
          <w:spacing w:val="-5"/>
          <w:sz w:val="18"/>
          <w:szCs w:val="18"/>
          <w:lang w:val="es-ES_tradnl"/>
        </w:rPr>
        <w:t>ó</w:t>
      </w:r>
      <w:r>
        <w:rPr>
          <w:spacing w:val="-5"/>
          <w:sz w:val="18"/>
          <w:szCs w:val="18"/>
          <w:lang w:val="es-ES_tradnl"/>
        </w:rPr>
        <w:t xml:space="preserve">n de la Corte Constitucional, para el </w:t>
      </w:r>
      <w:r>
        <w:rPr>
          <w:spacing w:val="-8"/>
          <w:sz w:val="18"/>
          <w:szCs w:val="18"/>
          <w:lang w:val="es-ES_tradnl"/>
        </w:rPr>
        <w:t>per</w:t>
      </w:r>
      <w:r>
        <w:rPr>
          <w:rFonts w:cs="Times New Roman"/>
          <w:spacing w:val="-8"/>
          <w:sz w:val="18"/>
          <w:szCs w:val="18"/>
          <w:lang w:val="es-ES_tradnl"/>
        </w:rPr>
        <w:t>í</w:t>
      </w:r>
      <w:r>
        <w:rPr>
          <w:spacing w:val="-8"/>
          <w:sz w:val="18"/>
          <w:szCs w:val="18"/>
          <w:lang w:val="es-ES_tradnl"/>
        </w:rPr>
        <w:t>odo de transici</w:t>
      </w:r>
      <w:r>
        <w:rPr>
          <w:rFonts w:cs="Times New Roman"/>
          <w:spacing w:val="-8"/>
          <w:sz w:val="18"/>
          <w:szCs w:val="18"/>
          <w:lang w:val="es-ES_tradnl"/>
        </w:rPr>
        <w:t>ó</w:t>
      </w:r>
      <w:r>
        <w:rPr>
          <w:spacing w:val="-8"/>
          <w:sz w:val="18"/>
          <w:szCs w:val="18"/>
          <w:lang w:val="es-ES_tradnl"/>
        </w:rPr>
        <w:t xml:space="preserve">n, conformada por los entonces jueces </w:t>
      </w:r>
      <w:r>
        <w:rPr>
          <w:spacing w:val="-4"/>
          <w:sz w:val="18"/>
          <w:szCs w:val="18"/>
          <w:lang w:val="es-ES_tradnl"/>
        </w:rPr>
        <w:t>constitucionales Patricio Pazmi</w:t>
      </w:r>
      <w:r>
        <w:rPr>
          <w:rFonts w:cs="Times New Roman"/>
          <w:spacing w:val="-4"/>
          <w:sz w:val="18"/>
          <w:szCs w:val="18"/>
          <w:lang w:val="es-ES_tradnl"/>
        </w:rPr>
        <w:t>ñ</w:t>
      </w:r>
      <w:r>
        <w:rPr>
          <w:spacing w:val="-4"/>
          <w:sz w:val="18"/>
          <w:szCs w:val="18"/>
          <w:lang w:val="es-ES_tradnl"/>
        </w:rPr>
        <w:t xml:space="preserve">o Freire, Manuel Viteri </w:t>
      </w:r>
      <w:r>
        <w:rPr>
          <w:spacing w:val="-6"/>
          <w:sz w:val="18"/>
          <w:szCs w:val="18"/>
          <w:lang w:val="es-ES_tradnl"/>
        </w:rPr>
        <w:t>Olvera y Edgar Z</w:t>
      </w:r>
      <w:r>
        <w:rPr>
          <w:rFonts w:cs="Times New Roman"/>
          <w:spacing w:val="-6"/>
          <w:sz w:val="18"/>
          <w:szCs w:val="18"/>
          <w:lang w:val="es-ES_tradnl"/>
        </w:rPr>
        <w:t>á</w:t>
      </w:r>
      <w:r>
        <w:rPr>
          <w:spacing w:val="-6"/>
          <w:sz w:val="18"/>
          <w:szCs w:val="18"/>
          <w:lang w:val="es-ES_tradnl"/>
        </w:rPr>
        <w:t>rate Z</w:t>
      </w:r>
      <w:r>
        <w:rPr>
          <w:rFonts w:cs="Times New Roman"/>
          <w:spacing w:val="-6"/>
          <w:sz w:val="18"/>
          <w:szCs w:val="18"/>
          <w:lang w:val="es-ES_tradnl"/>
        </w:rPr>
        <w:t>á</w:t>
      </w:r>
      <w:r>
        <w:rPr>
          <w:spacing w:val="-6"/>
          <w:sz w:val="18"/>
          <w:szCs w:val="18"/>
          <w:lang w:val="es-ES_tradnl"/>
        </w:rPr>
        <w:t>rate, admiti</w:t>
      </w:r>
      <w:r>
        <w:rPr>
          <w:rFonts w:cs="Times New Roman"/>
          <w:spacing w:val="-6"/>
          <w:sz w:val="18"/>
          <w:szCs w:val="18"/>
          <w:lang w:val="es-ES_tradnl"/>
        </w:rPr>
        <w:t>ó</w:t>
      </w:r>
      <w:r>
        <w:rPr>
          <w:spacing w:val="-6"/>
          <w:sz w:val="18"/>
          <w:szCs w:val="18"/>
          <w:lang w:val="es-ES_tradnl"/>
        </w:rPr>
        <w:t xml:space="preserve"> a tr</w:t>
      </w:r>
      <w:r>
        <w:rPr>
          <w:rFonts w:cs="Times New Roman"/>
          <w:spacing w:val="-6"/>
          <w:sz w:val="18"/>
          <w:szCs w:val="18"/>
          <w:lang w:val="es-ES_tradnl"/>
        </w:rPr>
        <w:t>á</w:t>
      </w:r>
      <w:r>
        <w:rPr>
          <w:spacing w:val="-6"/>
          <w:sz w:val="18"/>
          <w:szCs w:val="18"/>
          <w:lang w:val="es-ES_tradnl"/>
        </w:rPr>
        <w:t>mite la acci</w:t>
      </w:r>
      <w:r>
        <w:rPr>
          <w:rFonts w:cs="Times New Roman"/>
          <w:spacing w:val="-6"/>
          <w:sz w:val="18"/>
          <w:szCs w:val="18"/>
          <w:lang w:val="es-ES_tradnl"/>
        </w:rPr>
        <w:t>ó</w:t>
      </w:r>
      <w:r>
        <w:rPr>
          <w:spacing w:val="-6"/>
          <w:sz w:val="18"/>
          <w:szCs w:val="18"/>
          <w:lang w:val="es-ES_tradnl"/>
        </w:rPr>
        <w:t xml:space="preserve">n </w:t>
      </w:r>
      <w:r>
        <w:rPr>
          <w:spacing w:val="-8"/>
          <w:sz w:val="18"/>
          <w:szCs w:val="18"/>
          <w:lang w:val="es-ES_tradnl"/>
        </w:rPr>
        <w:t>extraordinaria de protecci</w:t>
      </w:r>
      <w:r>
        <w:rPr>
          <w:rFonts w:cs="Times New Roman"/>
          <w:spacing w:val="-8"/>
          <w:sz w:val="18"/>
          <w:szCs w:val="18"/>
          <w:lang w:val="es-ES_tradnl"/>
        </w:rPr>
        <w:t>ó</w:t>
      </w:r>
      <w:r>
        <w:rPr>
          <w:spacing w:val="-8"/>
          <w:sz w:val="18"/>
          <w:szCs w:val="18"/>
          <w:lang w:val="es-ES_tradnl"/>
        </w:rPr>
        <w:t>n N.</w:t>
      </w:r>
      <w:r>
        <w:rPr>
          <w:rFonts w:cs="Times New Roman"/>
          <w:spacing w:val="-8"/>
          <w:sz w:val="18"/>
          <w:szCs w:val="18"/>
          <w:lang w:val="es-ES_tradnl"/>
        </w:rPr>
        <w:t>º</w:t>
      </w:r>
      <w:r>
        <w:rPr>
          <w:spacing w:val="-8"/>
          <w:sz w:val="18"/>
          <w:szCs w:val="18"/>
          <w:lang w:val="es-ES_tradnl"/>
        </w:rPr>
        <w:t xml:space="preserve"> 0087-12-EP, por medio del </w:t>
      </w:r>
      <w:r>
        <w:rPr>
          <w:spacing w:val="-7"/>
          <w:sz w:val="18"/>
          <w:szCs w:val="18"/>
          <w:lang w:val="es-ES_tradnl"/>
        </w:rPr>
        <w:t>auto dictado el 11 de abril del 2012 a las 09h41.</w:t>
      </w:r>
    </w:p>
    <w:p w14:paraId="4F67B266" w14:textId="77777777" w:rsidR="00591D54" w:rsidRDefault="00591D54">
      <w:pPr>
        <w:shd w:val="clear" w:color="auto" w:fill="FFFFFF"/>
        <w:spacing w:before="197" w:line="216" w:lineRule="exact"/>
        <w:jc w:val="both"/>
      </w:pPr>
      <w:r>
        <w:rPr>
          <w:spacing w:val="-5"/>
          <w:sz w:val="18"/>
          <w:szCs w:val="18"/>
          <w:lang w:val="es-ES_tradnl"/>
        </w:rPr>
        <w:t>En aplicaci</w:t>
      </w:r>
      <w:r>
        <w:rPr>
          <w:rFonts w:cs="Times New Roman"/>
          <w:spacing w:val="-5"/>
          <w:sz w:val="18"/>
          <w:szCs w:val="18"/>
          <w:lang w:val="es-ES_tradnl"/>
        </w:rPr>
        <w:t>ó</w:t>
      </w:r>
      <w:r>
        <w:rPr>
          <w:spacing w:val="-5"/>
          <w:sz w:val="18"/>
          <w:szCs w:val="18"/>
          <w:lang w:val="es-ES_tradnl"/>
        </w:rPr>
        <w:t>n de los art</w:t>
      </w:r>
      <w:r>
        <w:rPr>
          <w:rFonts w:cs="Times New Roman"/>
          <w:spacing w:val="-5"/>
          <w:sz w:val="18"/>
          <w:szCs w:val="18"/>
          <w:lang w:val="es-ES_tradnl"/>
        </w:rPr>
        <w:t>í</w:t>
      </w:r>
      <w:r>
        <w:rPr>
          <w:spacing w:val="-5"/>
          <w:sz w:val="18"/>
          <w:szCs w:val="18"/>
          <w:lang w:val="es-ES_tradnl"/>
        </w:rPr>
        <w:t>culos 25 a 27 del R</w:t>
      </w:r>
      <w:r>
        <w:rPr>
          <w:rFonts w:cs="Times New Roman"/>
          <w:spacing w:val="-5"/>
          <w:sz w:val="18"/>
          <w:szCs w:val="18"/>
          <w:lang w:val="es-ES_tradnl"/>
        </w:rPr>
        <w:t>é</w:t>
      </w:r>
      <w:r>
        <w:rPr>
          <w:spacing w:val="-5"/>
          <w:sz w:val="18"/>
          <w:szCs w:val="18"/>
          <w:lang w:val="es-ES_tradnl"/>
        </w:rPr>
        <w:t>gimen de Transici</w:t>
      </w:r>
      <w:r>
        <w:rPr>
          <w:rFonts w:cs="Times New Roman"/>
          <w:spacing w:val="-5"/>
          <w:sz w:val="18"/>
          <w:szCs w:val="18"/>
          <w:lang w:val="es-ES_tradnl"/>
        </w:rPr>
        <w:t>ó</w:t>
      </w:r>
      <w:r>
        <w:rPr>
          <w:spacing w:val="-5"/>
          <w:sz w:val="18"/>
          <w:szCs w:val="18"/>
          <w:lang w:val="es-ES_tradnl"/>
        </w:rPr>
        <w:t>n 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 xml:space="preserve">blica, el 6 de </w:t>
      </w:r>
      <w:r>
        <w:rPr>
          <w:spacing w:val="-11"/>
          <w:sz w:val="18"/>
          <w:szCs w:val="18"/>
          <w:lang w:val="es-ES_tradnl"/>
        </w:rPr>
        <w:t xml:space="preserve">noviembre de 2012, fueron posesionados los jueces y juezas </w:t>
      </w:r>
      <w:r>
        <w:rPr>
          <w:spacing w:val="-5"/>
          <w:sz w:val="18"/>
          <w:szCs w:val="18"/>
          <w:lang w:val="es-ES_tradnl"/>
        </w:rPr>
        <w:t xml:space="preserve">de la Primera Corte Constitucional. En tal virtud, el Pleno </w:t>
      </w:r>
      <w:r>
        <w:rPr>
          <w:spacing w:val="-8"/>
          <w:sz w:val="18"/>
          <w:szCs w:val="18"/>
          <w:lang w:val="es-ES_tradnl"/>
        </w:rPr>
        <w:t>del Organismo procedi</w:t>
      </w:r>
      <w:r>
        <w:rPr>
          <w:rFonts w:cs="Times New Roman"/>
          <w:spacing w:val="-8"/>
          <w:sz w:val="18"/>
          <w:szCs w:val="18"/>
          <w:lang w:val="es-ES_tradnl"/>
        </w:rPr>
        <w:t>ó</w:t>
      </w:r>
      <w:r>
        <w:rPr>
          <w:spacing w:val="-8"/>
          <w:sz w:val="18"/>
          <w:szCs w:val="18"/>
          <w:lang w:val="es-ES_tradnl"/>
        </w:rPr>
        <w:t xml:space="preserve"> al sorteo de la causa N.</w:t>
      </w:r>
      <w:r>
        <w:rPr>
          <w:rFonts w:cs="Times New Roman"/>
          <w:spacing w:val="-8"/>
          <w:sz w:val="18"/>
          <w:szCs w:val="18"/>
          <w:lang w:val="es-ES_tradnl"/>
        </w:rPr>
        <w:t>º</w:t>
      </w:r>
      <w:r>
        <w:rPr>
          <w:spacing w:val="-8"/>
          <w:sz w:val="18"/>
          <w:szCs w:val="18"/>
          <w:lang w:val="es-ES_tradnl"/>
        </w:rPr>
        <w:t xml:space="preserve"> 0087-12-</w:t>
      </w:r>
      <w:r>
        <w:rPr>
          <w:spacing w:val="-9"/>
          <w:sz w:val="18"/>
          <w:szCs w:val="18"/>
          <w:lang w:val="es-ES_tradnl"/>
        </w:rPr>
        <w:t xml:space="preserve">EP, efectuado el 03 de enero de 2015. De conformidad con </w:t>
      </w:r>
      <w:r>
        <w:rPr>
          <w:spacing w:val="-7"/>
          <w:sz w:val="18"/>
          <w:szCs w:val="18"/>
          <w:lang w:val="es-ES_tradnl"/>
        </w:rPr>
        <w:t>dicho sorteo, el secretario general remiti</w:t>
      </w:r>
      <w:r>
        <w:rPr>
          <w:rFonts w:cs="Times New Roman"/>
          <w:spacing w:val="-7"/>
          <w:sz w:val="18"/>
          <w:szCs w:val="18"/>
          <w:lang w:val="es-ES_tradnl"/>
        </w:rPr>
        <w:t>ó</w:t>
      </w:r>
      <w:r>
        <w:rPr>
          <w:spacing w:val="-7"/>
          <w:sz w:val="18"/>
          <w:szCs w:val="18"/>
          <w:lang w:val="es-ES_tradnl"/>
        </w:rPr>
        <w:t xml:space="preserve"> el expediente al </w:t>
      </w:r>
      <w:r>
        <w:rPr>
          <w:spacing w:val="-8"/>
          <w:sz w:val="18"/>
          <w:szCs w:val="18"/>
          <w:lang w:val="es-ES_tradnl"/>
        </w:rPr>
        <w:t xml:space="preserve">despacho de la jueza constitucional sustanciadora Wendy </w:t>
      </w:r>
      <w:r>
        <w:rPr>
          <w:spacing w:val="-6"/>
          <w:sz w:val="18"/>
          <w:szCs w:val="18"/>
          <w:lang w:val="es-ES_tradnl"/>
        </w:rPr>
        <w:t>Molina Andrade, quien avoc</w:t>
      </w:r>
      <w:r>
        <w:rPr>
          <w:rFonts w:cs="Times New Roman"/>
          <w:spacing w:val="-6"/>
          <w:sz w:val="18"/>
          <w:szCs w:val="18"/>
          <w:lang w:val="es-ES_tradnl"/>
        </w:rPr>
        <w:t>ó</w:t>
      </w:r>
      <w:r>
        <w:rPr>
          <w:spacing w:val="-6"/>
          <w:sz w:val="18"/>
          <w:szCs w:val="18"/>
          <w:lang w:val="es-ES_tradnl"/>
        </w:rPr>
        <w:t xml:space="preserve"> conocimiento de la causa </w:t>
      </w:r>
      <w:r>
        <w:rPr>
          <w:spacing w:val="-7"/>
          <w:sz w:val="18"/>
          <w:szCs w:val="18"/>
          <w:lang w:val="es-ES_tradnl"/>
        </w:rPr>
        <w:t>mediante auto dictado el 21 de julio de 2015.</w:t>
      </w:r>
    </w:p>
    <w:p w14:paraId="4F67B267" w14:textId="77777777" w:rsidR="00591D54" w:rsidRDefault="00591D54">
      <w:pPr>
        <w:shd w:val="clear" w:color="auto" w:fill="FFFFFF"/>
        <w:spacing w:before="192" w:line="216" w:lineRule="exact"/>
        <w:jc w:val="both"/>
      </w:pPr>
      <w:r>
        <w:rPr>
          <w:b/>
          <w:bCs/>
          <w:spacing w:val="-9"/>
          <w:sz w:val="18"/>
          <w:szCs w:val="18"/>
          <w:lang w:val="es-ES_tradnl"/>
        </w:rPr>
        <w:t>Sentencia, auto o resoluci</w:t>
      </w:r>
      <w:r>
        <w:rPr>
          <w:rFonts w:cs="Times New Roman"/>
          <w:b/>
          <w:bCs/>
          <w:spacing w:val="-9"/>
          <w:sz w:val="18"/>
          <w:szCs w:val="18"/>
          <w:lang w:val="es-ES_tradnl"/>
        </w:rPr>
        <w:t>ó</w:t>
      </w:r>
      <w:r>
        <w:rPr>
          <w:b/>
          <w:bCs/>
          <w:spacing w:val="-9"/>
          <w:sz w:val="18"/>
          <w:szCs w:val="18"/>
          <w:lang w:val="es-ES_tradnl"/>
        </w:rPr>
        <w:t xml:space="preserve">n con fuerza de sentencia </w:t>
      </w:r>
      <w:r>
        <w:rPr>
          <w:b/>
          <w:bCs/>
          <w:sz w:val="18"/>
          <w:szCs w:val="18"/>
          <w:lang w:val="es-ES_tradnl"/>
        </w:rPr>
        <w:t>impugnada</w:t>
      </w:r>
    </w:p>
    <w:p w14:paraId="4F67B268" w14:textId="77777777" w:rsidR="00591D54" w:rsidRDefault="00591D54">
      <w:pPr>
        <w:shd w:val="clear" w:color="auto" w:fill="FFFFFF"/>
        <w:spacing w:before="197" w:line="216" w:lineRule="exact"/>
        <w:jc w:val="both"/>
      </w:pPr>
      <w:r>
        <w:rPr>
          <w:spacing w:val="-7"/>
          <w:sz w:val="18"/>
          <w:szCs w:val="18"/>
          <w:lang w:val="es-ES_tradnl"/>
        </w:rPr>
        <w:t>La decisi</w:t>
      </w:r>
      <w:r>
        <w:rPr>
          <w:rFonts w:cs="Times New Roman"/>
          <w:spacing w:val="-7"/>
          <w:sz w:val="18"/>
          <w:szCs w:val="18"/>
          <w:lang w:val="es-ES_tradnl"/>
        </w:rPr>
        <w:t>ó</w:t>
      </w:r>
      <w:r>
        <w:rPr>
          <w:spacing w:val="-7"/>
          <w:sz w:val="18"/>
          <w:szCs w:val="18"/>
          <w:lang w:val="es-ES_tradnl"/>
        </w:rPr>
        <w:t>n judicial impugnada es la sentencia dictada por la Sala Especializada de lo Laboral, Ni</w:t>
      </w:r>
      <w:r>
        <w:rPr>
          <w:rFonts w:cs="Times New Roman"/>
          <w:spacing w:val="-7"/>
          <w:sz w:val="18"/>
          <w:szCs w:val="18"/>
          <w:lang w:val="es-ES_tradnl"/>
        </w:rPr>
        <w:t>ñ</w:t>
      </w:r>
      <w:r>
        <w:rPr>
          <w:spacing w:val="-7"/>
          <w:sz w:val="18"/>
          <w:szCs w:val="18"/>
          <w:lang w:val="es-ES_tradnl"/>
        </w:rPr>
        <w:t xml:space="preserve">ez y Adolescencia de la Corte Provincial de Justicia de Loja, el 28 de octubre </w:t>
      </w:r>
      <w:r>
        <w:rPr>
          <w:spacing w:val="-5"/>
          <w:sz w:val="18"/>
          <w:szCs w:val="18"/>
          <w:lang w:val="es-ES_tradnl"/>
        </w:rPr>
        <w:t>del 2011, dentro de la acci</w:t>
      </w:r>
      <w:r>
        <w:rPr>
          <w:rFonts w:cs="Times New Roman"/>
          <w:spacing w:val="-5"/>
          <w:sz w:val="18"/>
          <w:szCs w:val="18"/>
          <w:lang w:val="es-ES_tradnl"/>
        </w:rPr>
        <w:t>ó</w:t>
      </w:r>
      <w:r>
        <w:rPr>
          <w:spacing w:val="-5"/>
          <w:sz w:val="18"/>
          <w:szCs w:val="18"/>
          <w:lang w:val="es-ES_tradnl"/>
        </w:rPr>
        <w:t>n de protecci</w:t>
      </w:r>
      <w:r>
        <w:rPr>
          <w:rFonts w:cs="Times New Roman"/>
          <w:spacing w:val="-5"/>
          <w:sz w:val="18"/>
          <w:szCs w:val="18"/>
          <w:lang w:val="es-ES_tradnl"/>
        </w:rPr>
        <w:t>ó</w:t>
      </w:r>
      <w:r>
        <w:rPr>
          <w:spacing w:val="-5"/>
          <w:sz w:val="18"/>
          <w:szCs w:val="18"/>
          <w:lang w:val="es-ES_tradnl"/>
        </w:rPr>
        <w:t>n N.</w:t>
      </w:r>
      <w:r>
        <w:rPr>
          <w:rFonts w:cs="Times New Roman"/>
          <w:spacing w:val="-5"/>
          <w:sz w:val="18"/>
          <w:szCs w:val="18"/>
          <w:lang w:val="es-ES_tradnl"/>
        </w:rPr>
        <w:t>º</w:t>
      </w:r>
      <w:r>
        <w:rPr>
          <w:spacing w:val="-5"/>
          <w:sz w:val="18"/>
          <w:szCs w:val="18"/>
          <w:lang w:val="es-ES_tradnl"/>
        </w:rPr>
        <w:t xml:space="preserve"> 674-11. </w:t>
      </w:r>
      <w:r>
        <w:rPr>
          <w:sz w:val="18"/>
          <w:szCs w:val="18"/>
          <w:lang w:val="es-ES_tradnl"/>
        </w:rPr>
        <w:t>Dicha sentencia se</w:t>
      </w:r>
      <w:r>
        <w:rPr>
          <w:rFonts w:cs="Times New Roman"/>
          <w:sz w:val="18"/>
          <w:szCs w:val="18"/>
          <w:lang w:val="es-ES_tradnl"/>
        </w:rPr>
        <w:t>ñ</w:t>
      </w:r>
      <w:r>
        <w:rPr>
          <w:sz w:val="18"/>
          <w:szCs w:val="18"/>
          <w:lang w:val="es-ES_tradnl"/>
        </w:rPr>
        <w:t>ala, principalmente:</w:t>
      </w:r>
    </w:p>
    <w:p w14:paraId="4F67B269" w14:textId="77777777" w:rsidR="00591D54" w:rsidRDefault="00591D54">
      <w:pPr>
        <w:shd w:val="clear" w:color="auto" w:fill="FFFFFF"/>
        <w:spacing w:before="202" w:line="216" w:lineRule="exact"/>
        <w:ind w:left="283"/>
        <w:jc w:val="both"/>
      </w:pPr>
      <w:r>
        <w:rPr>
          <w:spacing w:val="-4"/>
          <w:sz w:val="16"/>
          <w:szCs w:val="16"/>
          <w:lang w:val="es-ES_tradnl"/>
        </w:rPr>
        <w:t>QUINTO.- (</w:t>
      </w:r>
      <w:r>
        <w:rPr>
          <w:rFonts w:cs="Times New Roman"/>
          <w:spacing w:val="-4"/>
          <w:sz w:val="16"/>
          <w:szCs w:val="16"/>
          <w:lang w:val="es-ES_tradnl"/>
        </w:rPr>
        <w:t>…</w:t>
      </w:r>
      <w:r>
        <w:rPr>
          <w:spacing w:val="-4"/>
          <w:sz w:val="16"/>
          <w:szCs w:val="16"/>
          <w:lang w:val="es-ES_tradnl"/>
        </w:rPr>
        <w:t>) que ejercer la profesi</w:t>
      </w:r>
      <w:r>
        <w:rPr>
          <w:rFonts w:cs="Times New Roman"/>
          <w:spacing w:val="-4"/>
          <w:sz w:val="16"/>
          <w:szCs w:val="16"/>
          <w:lang w:val="es-ES_tradnl"/>
        </w:rPr>
        <w:t>ó</w:t>
      </w:r>
      <w:r>
        <w:rPr>
          <w:spacing w:val="-4"/>
          <w:sz w:val="16"/>
          <w:szCs w:val="16"/>
          <w:lang w:val="es-ES_tradnl"/>
        </w:rPr>
        <w:t xml:space="preserve">n con idoneidad, es hacerlo con capacidad, con eficiencia y con aptitud legar. </w:t>
      </w:r>
      <w:r>
        <w:rPr>
          <w:spacing w:val="-7"/>
          <w:sz w:val="16"/>
          <w:szCs w:val="16"/>
          <w:lang w:val="es-ES_tradnl"/>
        </w:rPr>
        <w:t>Entendi</w:t>
      </w:r>
      <w:r>
        <w:rPr>
          <w:rFonts w:cs="Times New Roman"/>
          <w:spacing w:val="-7"/>
          <w:sz w:val="16"/>
          <w:szCs w:val="16"/>
          <w:lang w:val="es-ES_tradnl"/>
        </w:rPr>
        <w:t>é</w:t>
      </w:r>
      <w:r>
        <w:rPr>
          <w:spacing w:val="-7"/>
          <w:sz w:val="16"/>
          <w:szCs w:val="16"/>
          <w:lang w:val="es-ES_tradnl"/>
        </w:rPr>
        <w:t>ndose que por presunci</w:t>
      </w:r>
      <w:r>
        <w:rPr>
          <w:rFonts w:cs="Times New Roman"/>
          <w:spacing w:val="-7"/>
          <w:sz w:val="16"/>
          <w:szCs w:val="16"/>
          <w:lang w:val="es-ES_tradnl"/>
        </w:rPr>
        <w:t>ó</w:t>
      </w:r>
      <w:r>
        <w:rPr>
          <w:spacing w:val="-7"/>
          <w:sz w:val="16"/>
          <w:szCs w:val="16"/>
          <w:lang w:val="es-ES_tradnl"/>
        </w:rPr>
        <w:t xml:space="preserve">n legal, se reputa que el </w:t>
      </w:r>
      <w:r>
        <w:rPr>
          <w:spacing w:val="-6"/>
          <w:sz w:val="16"/>
          <w:szCs w:val="16"/>
          <w:lang w:val="es-ES_tradnl"/>
        </w:rPr>
        <w:t>profesional ejerce su profesi</w:t>
      </w:r>
      <w:r>
        <w:rPr>
          <w:rFonts w:cs="Times New Roman"/>
          <w:spacing w:val="-6"/>
          <w:sz w:val="16"/>
          <w:szCs w:val="16"/>
          <w:lang w:val="es-ES_tradnl"/>
        </w:rPr>
        <w:t>ó</w:t>
      </w:r>
      <w:r>
        <w:rPr>
          <w:spacing w:val="-6"/>
          <w:sz w:val="16"/>
          <w:szCs w:val="16"/>
          <w:lang w:val="es-ES_tradnl"/>
        </w:rPr>
        <w:t xml:space="preserve">n de esta manera, mientras no </w:t>
      </w:r>
      <w:r>
        <w:rPr>
          <w:spacing w:val="-2"/>
          <w:sz w:val="16"/>
          <w:szCs w:val="16"/>
          <w:lang w:val="es-ES_tradnl"/>
        </w:rPr>
        <w:t>exista prueba en contrario. De autos no existe documento</w:t>
      </w:r>
    </w:p>
    <w:p w14:paraId="4F67B26A" w14:textId="77777777" w:rsidR="00591D54" w:rsidRDefault="00591D54">
      <w:pPr>
        <w:shd w:val="clear" w:color="auto" w:fill="FFFFFF"/>
        <w:spacing w:before="202" w:line="216" w:lineRule="exact"/>
        <w:ind w:left="283"/>
        <w:jc w:val="both"/>
        <w:sectPr w:rsidR="00591D54">
          <w:type w:val="continuous"/>
          <w:pgSz w:w="11909" w:h="16834"/>
          <w:pgMar w:top="1385" w:right="1309" w:bottom="360" w:left="1308" w:header="720" w:footer="720" w:gutter="0"/>
          <w:cols w:num="2" w:space="720" w:equalWidth="0">
            <w:col w:w="4305" w:space="682"/>
            <w:col w:w="4305"/>
          </w:cols>
          <w:noEndnote/>
        </w:sectPr>
      </w:pPr>
    </w:p>
    <w:p w14:paraId="4F67B26B" w14:textId="77777777" w:rsidR="00591D54" w:rsidRDefault="00591D54">
      <w:pPr>
        <w:shd w:val="clear" w:color="auto" w:fill="FFFFFF"/>
        <w:tabs>
          <w:tab w:val="left" w:pos="4814"/>
        </w:tabs>
        <w:spacing w:after="230"/>
        <w:ind w:left="14"/>
      </w:pPr>
      <w:r>
        <w:rPr>
          <w:b/>
          <w:bCs/>
          <w:sz w:val="18"/>
          <w:szCs w:val="18"/>
          <w:lang w:val="es-ES_tradnl"/>
        </w:rPr>
        <w:t xml:space="preserve">182 -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26C" w14:textId="77777777" w:rsidR="00591D54" w:rsidRDefault="00591D54">
      <w:pPr>
        <w:shd w:val="clear" w:color="auto" w:fill="FFFFFF"/>
        <w:tabs>
          <w:tab w:val="left" w:pos="4814"/>
        </w:tabs>
        <w:spacing w:after="230"/>
        <w:ind w:left="14"/>
        <w:sectPr w:rsidR="00591D54">
          <w:pgSz w:w="11909" w:h="16834"/>
          <w:pgMar w:top="1361" w:right="1304" w:bottom="360" w:left="1308" w:header="720" w:footer="720" w:gutter="0"/>
          <w:cols w:space="60"/>
          <w:noEndnote/>
        </w:sectPr>
      </w:pPr>
    </w:p>
    <w:p w14:paraId="4F67B26D" w14:textId="77777777" w:rsidR="00591D54" w:rsidRDefault="00591D54">
      <w:pPr>
        <w:shd w:val="clear" w:color="auto" w:fill="FFFFFF"/>
        <w:spacing w:line="216" w:lineRule="exact"/>
        <w:ind w:left="283"/>
        <w:jc w:val="both"/>
      </w:pPr>
      <w:r>
        <w:rPr>
          <w:spacing w:val="-5"/>
          <w:sz w:val="16"/>
          <w:szCs w:val="16"/>
          <w:lang w:val="es-ES_tradnl"/>
        </w:rPr>
        <w:t>alguno que justifique que el accionante, haya ejercido su profesi</w:t>
      </w:r>
      <w:r>
        <w:rPr>
          <w:rFonts w:cs="Times New Roman"/>
          <w:spacing w:val="-5"/>
          <w:sz w:val="16"/>
          <w:szCs w:val="16"/>
          <w:lang w:val="es-ES_tradnl"/>
        </w:rPr>
        <w:t>ó</w:t>
      </w:r>
      <w:r>
        <w:rPr>
          <w:spacing w:val="-5"/>
          <w:sz w:val="16"/>
          <w:szCs w:val="16"/>
          <w:lang w:val="es-ES_tradnl"/>
        </w:rPr>
        <w:t>n sin probidad e idoneidad. (</w:t>
      </w:r>
      <w:r>
        <w:rPr>
          <w:rFonts w:cs="Times New Roman"/>
          <w:spacing w:val="-5"/>
          <w:sz w:val="16"/>
          <w:szCs w:val="16"/>
          <w:lang w:val="es-ES_tradnl"/>
        </w:rPr>
        <w:t>…</w:t>
      </w:r>
      <w:r>
        <w:rPr>
          <w:spacing w:val="-5"/>
          <w:sz w:val="16"/>
          <w:szCs w:val="16"/>
          <w:lang w:val="es-ES_tradnl"/>
        </w:rPr>
        <w:t xml:space="preserve">) Por manera que, de </w:t>
      </w:r>
      <w:r>
        <w:rPr>
          <w:spacing w:val="-6"/>
          <w:sz w:val="16"/>
          <w:szCs w:val="16"/>
          <w:lang w:val="es-ES_tradnl"/>
        </w:rPr>
        <w:t>la documentaci</w:t>
      </w:r>
      <w:r>
        <w:rPr>
          <w:rFonts w:cs="Times New Roman"/>
          <w:spacing w:val="-6"/>
          <w:sz w:val="16"/>
          <w:szCs w:val="16"/>
          <w:lang w:val="es-ES_tradnl"/>
        </w:rPr>
        <w:t>ó</w:t>
      </w:r>
      <w:r>
        <w:rPr>
          <w:spacing w:val="-6"/>
          <w:sz w:val="16"/>
          <w:szCs w:val="16"/>
          <w:lang w:val="es-ES_tradnl"/>
        </w:rPr>
        <w:t xml:space="preserve">n antes citada, no cabe duda alguna de que el accionante, ha acreditado haber ejercido con probidad e </w:t>
      </w:r>
      <w:r>
        <w:rPr>
          <w:spacing w:val="-5"/>
          <w:sz w:val="16"/>
          <w:szCs w:val="16"/>
          <w:lang w:val="es-ES_tradnl"/>
        </w:rPr>
        <w:t>idoneidad notoria la profesi</w:t>
      </w:r>
      <w:r>
        <w:rPr>
          <w:rFonts w:cs="Times New Roman"/>
          <w:spacing w:val="-5"/>
          <w:sz w:val="16"/>
          <w:szCs w:val="16"/>
          <w:lang w:val="es-ES_tradnl"/>
        </w:rPr>
        <w:t>ó</w:t>
      </w:r>
      <w:r>
        <w:rPr>
          <w:spacing w:val="-5"/>
          <w:sz w:val="16"/>
          <w:szCs w:val="16"/>
          <w:lang w:val="es-ES_tradnl"/>
        </w:rPr>
        <w:t>n de Abogado, por m</w:t>
      </w:r>
      <w:r>
        <w:rPr>
          <w:rFonts w:cs="Times New Roman"/>
          <w:spacing w:val="-5"/>
          <w:sz w:val="16"/>
          <w:szCs w:val="16"/>
          <w:lang w:val="es-ES_tradnl"/>
        </w:rPr>
        <w:t>á</w:t>
      </w:r>
      <w:r>
        <w:rPr>
          <w:spacing w:val="-5"/>
          <w:sz w:val="16"/>
          <w:szCs w:val="16"/>
          <w:lang w:val="es-ES_tradnl"/>
        </w:rPr>
        <w:t xml:space="preserve">s de tres </w:t>
      </w:r>
      <w:r>
        <w:rPr>
          <w:spacing w:val="-2"/>
          <w:sz w:val="16"/>
          <w:szCs w:val="16"/>
          <w:lang w:val="es-ES_tradnl"/>
        </w:rPr>
        <w:t>a</w:t>
      </w:r>
      <w:r>
        <w:rPr>
          <w:rFonts w:cs="Times New Roman"/>
          <w:spacing w:val="-2"/>
          <w:sz w:val="16"/>
          <w:szCs w:val="16"/>
          <w:lang w:val="es-ES_tradnl"/>
        </w:rPr>
        <w:t>ñ</w:t>
      </w:r>
      <w:r>
        <w:rPr>
          <w:spacing w:val="-2"/>
          <w:sz w:val="16"/>
          <w:szCs w:val="16"/>
          <w:lang w:val="es-ES_tradnl"/>
        </w:rPr>
        <w:t>os sin interrupci</w:t>
      </w:r>
      <w:r>
        <w:rPr>
          <w:rFonts w:cs="Times New Roman"/>
          <w:spacing w:val="-2"/>
          <w:sz w:val="16"/>
          <w:szCs w:val="16"/>
          <w:lang w:val="es-ES_tradnl"/>
        </w:rPr>
        <w:t>ó</w:t>
      </w:r>
      <w:r>
        <w:rPr>
          <w:spacing w:val="-2"/>
          <w:sz w:val="16"/>
          <w:szCs w:val="16"/>
          <w:lang w:val="es-ES_tradnl"/>
        </w:rPr>
        <w:t>n alguna; y por, tanto, est</w:t>
      </w:r>
      <w:r>
        <w:rPr>
          <w:rFonts w:cs="Times New Roman"/>
          <w:spacing w:val="-2"/>
          <w:sz w:val="16"/>
          <w:szCs w:val="16"/>
          <w:lang w:val="es-ES_tradnl"/>
        </w:rPr>
        <w:t>á</w:t>
      </w:r>
      <w:r>
        <w:rPr>
          <w:spacing w:val="-2"/>
          <w:sz w:val="16"/>
          <w:szCs w:val="16"/>
          <w:lang w:val="es-ES_tradnl"/>
        </w:rPr>
        <w:t xml:space="preserve"> habilitado </w:t>
      </w:r>
      <w:r>
        <w:rPr>
          <w:spacing w:val="-3"/>
          <w:sz w:val="16"/>
          <w:szCs w:val="16"/>
          <w:lang w:val="es-ES_tradnl"/>
        </w:rPr>
        <w:t>para participar en concurso de oposici</w:t>
      </w:r>
      <w:r>
        <w:rPr>
          <w:rFonts w:cs="Times New Roman"/>
          <w:spacing w:val="-3"/>
          <w:sz w:val="16"/>
          <w:szCs w:val="16"/>
          <w:lang w:val="es-ES_tradnl"/>
        </w:rPr>
        <w:t>ó</w:t>
      </w:r>
      <w:r>
        <w:rPr>
          <w:spacing w:val="-3"/>
          <w:sz w:val="16"/>
          <w:szCs w:val="16"/>
          <w:lang w:val="es-ES_tradnl"/>
        </w:rPr>
        <w:t>n y m</w:t>
      </w:r>
      <w:r>
        <w:rPr>
          <w:rFonts w:cs="Times New Roman"/>
          <w:spacing w:val="-3"/>
          <w:sz w:val="16"/>
          <w:szCs w:val="16"/>
          <w:lang w:val="es-ES_tradnl"/>
        </w:rPr>
        <w:t>é</w:t>
      </w:r>
      <w:r>
        <w:rPr>
          <w:spacing w:val="-3"/>
          <w:sz w:val="16"/>
          <w:szCs w:val="16"/>
          <w:lang w:val="es-ES_tradnl"/>
        </w:rPr>
        <w:t xml:space="preserve">ritos para </w:t>
      </w:r>
      <w:r>
        <w:rPr>
          <w:spacing w:val="-7"/>
          <w:sz w:val="16"/>
          <w:szCs w:val="16"/>
          <w:lang w:val="es-ES_tradnl"/>
        </w:rPr>
        <w:t>ocupar el cargo de Registrador de la Propiedad del cant</w:t>
      </w:r>
      <w:r>
        <w:rPr>
          <w:rFonts w:cs="Times New Roman"/>
          <w:spacing w:val="-7"/>
          <w:sz w:val="16"/>
          <w:szCs w:val="16"/>
          <w:lang w:val="es-ES_tradnl"/>
        </w:rPr>
        <w:t>ó</w:t>
      </w:r>
      <w:r>
        <w:rPr>
          <w:spacing w:val="-7"/>
          <w:sz w:val="16"/>
          <w:szCs w:val="16"/>
          <w:lang w:val="es-ES_tradnl"/>
        </w:rPr>
        <w:t xml:space="preserve">n </w:t>
      </w:r>
      <w:r>
        <w:rPr>
          <w:spacing w:val="-5"/>
          <w:sz w:val="16"/>
          <w:szCs w:val="16"/>
          <w:lang w:val="es-ES_tradnl"/>
        </w:rPr>
        <w:t>Chaguarpamba. (</w:t>
      </w:r>
      <w:r>
        <w:rPr>
          <w:rFonts w:cs="Times New Roman"/>
          <w:spacing w:val="-5"/>
          <w:sz w:val="16"/>
          <w:szCs w:val="16"/>
          <w:lang w:val="es-ES_tradnl"/>
        </w:rPr>
        <w:t>…</w:t>
      </w:r>
      <w:r>
        <w:rPr>
          <w:spacing w:val="-5"/>
          <w:sz w:val="16"/>
          <w:szCs w:val="16"/>
          <w:lang w:val="es-ES_tradnl"/>
        </w:rPr>
        <w:t>) S</w:t>
      </w:r>
      <w:r>
        <w:rPr>
          <w:rFonts w:cs="Times New Roman"/>
          <w:spacing w:val="-5"/>
          <w:sz w:val="16"/>
          <w:szCs w:val="16"/>
          <w:lang w:val="es-ES_tradnl"/>
        </w:rPr>
        <w:t>É</w:t>
      </w:r>
      <w:r>
        <w:rPr>
          <w:spacing w:val="-5"/>
          <w:sz w:val="16"/>
          <w:szCs w:val="16"/>
          <w:lang w:val="es-ES_tradnl"/>
        </w:rPr>
        <w:t>PTIMO.- En el caso sub j</w:t>
      </w:r>
      <w:r>
        <w:rPr>
          <w:rFonts w:cs="Times New Roman"/>
          <w:spacing w:val="-5"/>
          <w:sz w:val="16"/>
          <w:szCs w:val="16"/>
          <w:lang w:val="es-ES_tradnl"/>
        </w:rPr>
        <w:t>ú</w:t>
      </w:r>
      <w:r>
        <w:rPr>
          <w:spacing w:val="-5"/>
          <w:sz w:val="16"/>
          <w:szCs w:val="16"/>
          <w:lang w:val="es-ES_tradnl"/>
        </w:rPr>
        <w:t xml:space="preserve">dice, se </w:t>
      </w:r>
      <w:r>
        <w:rPr>
          <w:spacing w:val="-6"/>
          <w:sz w:val="16"/>
          <w:szCs w:val="16"/>
          <w:lang w:val="es-ES_tradnl"/>
        </w:rPr>
        <w:t xml:space="preserve">establece en forma concluyente que el acto administrativo </w:t>
      </w:r>
      <w:r>
        <w:rPr>
          <w:spacing w:val="-4"/>
          <w:sz w:val="16"/>
          <w:szCs w:val="16"/>
          <w:lang w:val="es-ES_tradnl"/>
        </w:rPr>
        <w:t>mediante el cual, el Tribunal de M</w:t>
      </w:r>
      <w:r>
        <w:rPr>
          <w:rFonts w:cs="Times New Roman"/>
          <w:spacing w:val="-4"/>
          <w:sz w:val="16"/>
          <w:szCs w:val="16"/>
          <w:lang w:val="es-ES_tradnl"/>
        </w:rPr>
        <w:t>é</w:t>
      </w:r>
      <w:r>
        <w:rPr>
          <w:spacing w:val="-4"/>
          <w:sz w:val="16"/>
          <w:szCs w:val="16"/>
          <w:lang w:val="es-ES_tradnl"/>
        </w:rPr>
        <w:t xml:space="preserve">ritos, del Municipio de </w:t>
      </w:r>
      <w:r>
        <w:rPr>
          <w:spacing w:val="-8"/>
          <w:sz w:val="16"/>
          <w:szCs w:val="16"/>
          <w:lang w:val="es-ES_tradnl"/>
        </w:rPr>
        <w:t>Chaguarpamba, para calificar a los postulantes a desempe</w:t>
      </w:r>
      <w:r>
        <w:rPr>
          <w:rFonts w:cs="Times New Roman"/>
          <w:spacing w:val="-8"/>
          <w:sz w:val="16"/>
          <w:szCs w:val="16"/>
          <w:lang w:val="es-ES_tradnl"/>
        </w:rPr>
        <w:t>ñ</w:t>
      </w:r>
      <w:r>
        <w:rPr>
          <w:spacing w:val="-8"/>
          <w:sz w:val="16"/>
          <w:szCs w:val="16"/>
          <w:lang w:val="es-ES_tradnl"/>
        </w:rPr>
        <w:t xml:space="preserve">ar </w:t>
      </w:r>
      <w:r>
        <w:rPr>
          <w:spacing w:val="-6"/>
          <w:sz w:val="16"/>
          <w:szCs w:val="16"/>
          <w:lang w:val="es-ES_tradnl"/>
        </w:rPr>
        <w:t>las funciones de Registrador de la Propiedad del Cant</w:t>
      </w:r>
      <w:r>
        <w:rPr>
          <w:rFonts w:cs="Times New Roman"/>
          <w:spacing w:val="-6"/>
          <w:sz w:val="16"/>
          <w:szCs w:val="16"/>
          <w:lang w:val="es-ES_tradnl"/>
        </w:rPr>
        <w:t>ó</w:t>
      </w:r>
      <w:r>
        <w:rPr>
          <w:spacing w:val="-6"/>
          <w:sz w:val="16"/>
          <w:szCs w:val="16"/>
          <w:lang w:val="es-ES_tradnl"/>
        </w:rPr>
        <w:t xml:space="preserve">n </w:t>
      </w:r>
      <w:r>
        <w:rPr>
          <w:spacing w:val="-4"/>
          <w:sz w:val="16"/>
          <w:szCs w:val="16"/>
          <w:lang w:val="es-ES_tradnl"/>
        </w:rPr>
        <w:t>Chaguarpamba, no tiene motivaci</w:t>
      </w:r>
      <w:r>
        <w:rPr>
          <w:rFonts w:cs="Times New Roman"/>
          <w:spacing w:val="-4"/>
          <w:sz w:val="16"/>
          <w:szCs w:val="16"/>
          <w:lang w:val="es-ES_tradnl"/>
        </w:rPr>
        <w:t>ó</w:t>
      </w:r>
      <w:r>
        <w:rPr>
          <w:spacing w:val="-4"/>
          <w:sz w:val="16"/>
          <w:szCs w:val="16"/>
          <w:lang w:val="es-ES_tradnl"/>
        </w:rPr>
        <w:t xml:space="preserve">n alguna puesto que no </w:t>
      </w:r>
      <w:r>
        <w:rPr>
          <w:spacing w:val="-5"/>
          <w:sz w:val="16"/>
          <w:szCs w:val="16"/>
          <w:lang w:val="es-ES_tradnl"/>
        </w:rPr>
        <w:t>se enuncian normas o principios jur</w:t>
      </w:r>
      <w:r>
        <w:rPr>
          <w:rFonts w:cs="Times New Roman"/>
          <w:spacing w:val="-5"/>
          <w:sz w:val="16"/>
          <w:szCs w:val="16"/>
          <w:lang w:val="es-ES_tradnl"/>
        </w:rPr>
        <w:t>í</w:t>
      </w:r>
      <w:r>
        <w:rPr>
          <w:spacing w:val="-5"/>
          <w:sz w:val="16"/>
          <w:szCs w:val="16"/>
          <w:lang w:val="es-ES_tradnl"/>
        </w:rPr>
        <w:t>dicos, ni se explica la pertinencia de su aplicaci</w:t>
      </w:r>
      <w:r>
        <w:rPr>
          <w:rFonts w:cs="Times New Roman"/>
          <w:spacing w:val="-5"/>
          <w:sz w:val="16"/>
          <w:szCs w:val="16"/>
          <w:lang w:val="es-ES_tradnl"/>
        </w:rPr>
        <w:t>ó</w:t>
      </w:r>
      <w:r>
        <w:rPr>
          <w:spacing w:val="-5"/>
          <w:sz w:val="16"/>
          <w:szCs w:val="16"/>
          <w:lang w:val="es-ES_tradnl"/>
        </w:rPr>
        <w:t xml:space="preserve">n para descalificar al accionante </w:t>
      </w:r>
      <w:r>
        <w:rPr>
          <w:spacing w:val="-4"/>
          <w:sz w:val="16"/>
          <w:szCs w:val="16"/>
          <w:lang w:val="es-ES_tradnl"/>
        </w:rPr>
        <w:t xml:space="preserve">del referido concurso, por lo tanto al contrariar lo dispuesto </w:t>
      </w:r>
      <w:r>
        <w:rPr>
          <w:spacing w:val="-1"/>
          <w:sz w:val="16"/>
          <w:szCs w:val="16"/>
          <w:lang w:val="es-ES_tradnl"/>
        </w:rPr>
        <w:t>en el literal l), numeral 7 del Art. 76 de la Constituci</w:t>
      </w:r>
      <w:r>
        <w:rPr>
          <w:rFonts w:cs="Times New Roman"/>
          <w:spacing w:val="-1"/>
          <w:sz w:val="16"/>
          <w:szCs w:val="16"/>
          <w:lang w:val="es-ES_tradnl"/>
        </w:rPr>
        <w:t>ó</w:t>
      </w:r>
      <w:r>
        <w:rPr>
          <w:spacing w:val="-1"/>
          <w:sz w:val="16"/>
          <w:szCs w:val="16"/>
          <w:lang w:val="es-ES_tradnl"/>
        </w:rPr>
        <w:t xml:space="preserve">n de </w:t>
      </w:r>
      <w:r>
        <w:rPr>
          <w:spacing w:val="-2"/>
          <w:sz w:val="16"/>
          <w:szCs w:val="16"/>
          <w:lang w:val="es-ES_tradnl"/>
        </w:rPr>
        <w:t>la Rep</w:t>
      </w:r>
      <w:r>
        <w:rPr>
          <w:rFonts w:cs="Times New Roman"/>
          <w:spacing w:val="-2"/>
          <w:sz w:val="16"/>
          <w:szCs w:val="16"/>
          <w:lang w:val="es-ES_tradnl"/>
        </w:rPr>
        <w:t>ú</w:t>
      </w:r>
      <w:r>
        <w:rPr>
          <w:spacing w:val="-2"/>
          <w:sz w:val="16"/>
          <w:szCs w:val="16"/>
          <w:lang w:val="es-ES_tradnl"/>
        </w:rPr>
        <w:t>blica, su efecto es nulo. (</w:t>
      </w:r>
      <w:r>
        <w:rPr>
          <w:rFonts w:cs="Times New Roman"/>
          <w:spacing w:val="-2"/>
          <w:sz w:val="16"/>
          <w:szCs w:val="16"/>
          <w:lang w:val="es-ES_tradnl"/>
        </w:rPr>
        <w:t>…</w:t>
      </w:r>
      <w:r>
        <w:rPr>
          <w:spacing w:val="-2"/>
          <w:sz w:val="16"/>
          <w:szCs w:val="16"/>
          <w:lang w:val="es-ES_tradnl"/>
        </w:rPr>
        <w:t xml:space="preserve">) </w:t>
      </w:r>
      <w:r>
        <w:rPr>
          <w:rFonts w:cs="Times New Roman"/>
          <w:spacing w:val="-2"/>
          <w:sz w:val="16"/>
          <w:szCs w:val="16"/>
          <w:lang w:val="es-ES_tradnl"/>
        </w:rPr>
        <w:t>“</w:t>
      </w:r>
      <w:r>
        <w:rPr>
          <w:spacing w:val="-2"/>
          <w:sz w:val="16"/>
          <w:szCs w:val="16"/>
          <w:lang w:val="es-ES_tradnl"/>
        </w:rPr>
        <w:t xml:space="preserve">ADMINISTRANDO JUSTICIA EN NOMBRE DEL PUEBLO SOBERANO DEL </w:t>
      </w:r>
      <w:r>
        <w:rPr>
          <w:spacing w:val="-4"/>
          <w:sz w:val="16"/>
          <w:szCs w:val="16"/>
          <w:lang w:val="es-ES_tradnl"/>
        </w:rPr>
        <w:t>ECUADOR, Y POR AUTORIDAD DE LA CONSTITUCI</w:t>
      </w:r>
      <w:r>
        <w:rPr>
          <w:rFonts w:cs="Times New Roman"/>
          <w:spacing w:val="-4"/>
          <w:sz w:val="16"/>
          <w:szCs w:val="16"/>
          <w:lang w:val="es-ES_tradnl"/>
        </w:rPr>
        <w:t>Ó</w:t>
      </w:r>
      <w:r>
        <w:rPr>
          <w:spacing w:val="-4"/>
          <w:sz w:val="16"/>
          <w:szCs w:val="16"/>
          <w:lang w:val="es-ES_tradnl"/>
        </w:rPr>
        <w:t xml:space="preserve">N </w:t>
      </w:r>
      <w:r>
        <w:rPr>
          <w:spacing w:val="-3"/>
          <w:sz w:val="16"/>
          <w:szCs w:val="16"/>
          <w:lang w:val="es-ES_tradnl"/>
        </w:rPr>
        <w:t>Y LAS LEYES DE LA REP</w:t>
      </w:r>
      <w:r>
        <w:rPr>
          <w:rFonts w:cs="Times New Roman"/>
          <w:spacing w:val="-3"/>
          <w:sz w:val="16"/>
          <w:szCs w:val="16"/>
          <w:lang w:val="es-ES_tradnl"/>
        </w:rPr>
        <w:t>Ú</w:t>
      </w:r>
      <w:r>
        <w:rPr>
          <w:spacing w:val="-3"/>
          <w:sz w:val="16"/>
          <w:szCs w:val="16"/>
          <w:lang w:val="es-ES_tradnl"/>
        </w:rPr>
        <w:t>BLICA</w:t>
      </w:r>
      <w:r>
        <w:rPr>
          <w:rFonts w:cs="Times New Roman"/>
          <w:spacing w:val="-3"/>
          <w:sz w:val="16"/>
          <w:szCs w:val="16"/>
          <w:lang w:val="es-ES_tradnl"/>
        </w:rPr>
        <w:t>”</w:t>
      </w:r>
      <w:r>
        <w:rPr>
          <w:spacing w:val="-3"/>
          <w:sz w:val="16"/>
          <w:szCs w:val="16"/>
          <w:lang w:val="es-ES_tradnl"/>
        </w:rPr>
        <w:t xml:space="preserve">, aceptando el recurso </w:t>
      </w:r>
      <w:r>
        <w:rPr>
          <w:spacing w:val="-7"/>
          <w:sz w:val="16"/>
          <w:szCs w:val="16"/>
          <w:lang w:val="es-ES_tradnl"/>
        </w:rPr>
        <w:t>de apelaci</w:t>
      </w:r>
      <w:r>
        <w:rPr>
          <w:rFonts w:cs="Times New Roman"/>
          <w:spacing w:val="-7"/>
          <w:sz w:val="16"/>
          <w:szCs w:val="16"/>
          <w:lang w:val="es-ES_tradnl"/>
        </w:rPr>
        <w:t>ó</w:t>
      </w:r>
      <w:r>
        <w:rPr>
          <w:spacing w:val="-7"/>
          <w:sz w:val="16"/>
          <w:szCs w:val="16"/>
          <w:lang w:val="es-ES_tradnl"/>
        </w:rPr>
        <w:t>n del accionante, se revoca la sentencia del se</w:t>
      </w:r>
      <w:r>
        <w:rPr>
          <w:rFonts w:cs="Times New Roman"/>
          <w:spacing w:val="-7"/>
          <w:sz w:val="16"/>
          <w:szCs w:val="16"/>
          <w:lang w:val="es-ES_tradnl"/>
        </w:rPr>
        <w:t>ñ</w:t>
      </w:r>
      <w:r>
        <w:rPr>
          <w:spacing w:val="-7"/>
          <w:sz w:val="16"/>
          <w:szCs w:val="16"/>
          <w:lang w:val="es-ES_tradnl"/>
        </w:rPr>
        <w:t xml:space="preserve">or </w:t>
      </w:r>
      <w:r>
        <w:rPr>
          <w:spacing w:val="-8"/>
          <w:sz w:val="16"/>
          <w:szCs w:val="16"/>
          <w:lang w:val="es-ES_tradnl"/>
        </w:rPr>
        <w:t>Juez de primer nivel, y en su lugar reconociendo la vulneraci</w:t>
      </w:r>
      <w:r>
        <w:rPr>
          <w:rFonts w:cs="Times New Roman"/>
          <w:spacing w:val="-8"/>
          <w:sz w:val="16"/>
          <w:szCs w:val="16"/>
          <w:lang w:val="es-ES_tradnl"/>
        </w:rPr>
        <w:t>ó</w:t>
      </w:r>
      <w:r>
        <w:rPr>
          <w:spacing w:val="-8"/>
          <w:sz w:val="16"/>
          <w:szCs w:val="16"/>
          <w:lang w:val="es-ES_tradnl"/>
        </w:rPr>
        <w:t>n de derechos del accionante, se acepta la Acci</w:t>
      </w:r>
      <w:r>
        <w:rPr>
          <w:rFonts w:cs="Times New Roman"/>
          <w:spacing w:val="-8"/>
          <w:sz w:val="16"/>
          <w:szCs w:val="16"/>
          <w:lang w:val="es-ES_tradnl"/>
        </w:rPr>
        <w:t>ó</w:t>
      </w:r>
      <w:r>
        <w:rPr>
          <w:spacing w:val="-8"/>
          <w:sz w:val="16"/>
          <w:szCs w:val="16"/>
          <w:lang w:val="es-ES_tradnl"/>
        </w:rPr>
        <w:t>n de Protecci</w:t>
      </w:r>
      <w:r>
        <w:rPr>
          <w:rFonts w:cs="Times New Roman"/>
          <w:spacing w:val="-8"/>
          <w:sz w:val="16"/>
          <w:szCs w:val="16"/>
          <w:lang w:val="es-ES_tradnl"/>
        </w:rPr>
        <w:t>ó</w:t>
      </w:r>
      <w:r>
        <w:rPr>
          <w:spacing w:val="-8"/>
          <w:sz w:val="16"/>
          <w:szCs w:val="16"/>
          <w:lang w:val="es-ES_tradnl"/>
        </w:rPr>
        <w:t xml:space="preserve">n, </w:t>
      </w:r>
      <w:r>
        <w:rPr>
          <w:spacing w:val="-4"/>
          <w:sz w:val="16"/>
          <w:szCs w:val="16"/>
          <w:lang w:val="es-ES_tradnl"/>
        </w:rPr>
        <w:t>y se declara nula la acta de verificaci</w:t>
      </w:r>
      <w:r>
        <w:rPr>
          <w:rFonts w:cs="Times New Roman"/>
          <w:spacing w:val="-4"/>
          <w:sz w:val="16"/>
          <w:szCs w:val="16"/>
          <w:lang w:val="es-ES_tradnl"/>
        </w:rPr>
        <w:t>ó</w:t>
      </w:r>
      <w:r>
        <w:rPr>
          <w:spacing w:val="-4"/>
          <w:sz w:val="16"/>
          <w:szCs w:val="16"/>
          <w:lang w:val="es-ES_tradnl"/>
        </w:rPr>
        <w:t xml:space="preserve">n de requisitos de </w:t>
      </w:r>
      <w:r>
        <w:rPr>
          <w:spacing w:val="-6"/>
          <w:sz w:val="16"/>
          <w:szCs w:val="16"/>
          <w:lang w:val="es-ES_tradnl"/>
        </w:rPr>
        <w:t xml:space="preserve">carpetas de postulantes a Registrador de la Propiedad del </w:t>
      </w:r>
      <w:r>
        <w:rPr>
          <w:spacing w:val="-3"/>
          <w:sz w:val="16"/>
          <w:szCs w:val="16"/>
          <w:lang w:val="es-ES_tradnl"/>
        </w:rPr>
        <w:t>cant</w:t>
      </w:r>
      <w:r>
        <w:rPr>
          <w:rFonts w:cs="Times New Roman"/>
          <w:spacing w:val="-3"/>
          <w:sz w:val="16"/>
          <w:szCs w:val="16"/>
          <w:lang w:val="es-ES_tradnl"/>
        </w:rPr>
        <w:t>ó</w:t>
      </w:r>
      <w:r>
        <w:rPr>
          <w:spacing w:val="-3"/>
          <w:sz w:val="16"/>
          <w:szCs w:val="16"/>
          <w:lang w:val="es-ES_tradnl"/>
        </w:rPr>
        <w:t>n Chaguarpamba, de fecha seis de julio del a</w:t>
      </w:r>
      <w:r>
        <w:rPr>
          <w:rFonts w:cs="Times New Roman"/>
          <w:spacing w:val="-3"/>
          <w:sz w:val="16"/>
          <w:szCs w:val="16"/>
          <w:lang w:val="es-ES_tradnl"/>
        </w:rPr>
        <w:t>ñ</w:t>
      </w:r>
      <w:r>
        <w:rPr>
          <w:spacing w:val="-3"/>
          <w:sz w:val="16"/>
          <w:szCs w:val="16"/>
          <w:lang w:val="es-ES_tradnl"/>
        </w:rPr>
        <w:t xml:space="preserve">o dos </w:t>
      </w:r>
      <w:r>
        <w:rPr>
          <w:spacing w:val="-6"/>
          <w:sz w:val="16"/>
          <w:szCs w:val="16"/>
          <w:lang w:val="es-ES_tradnl"/>
        </w:rPr>
        <w:t xml:space="preserve">mil once, por la que se declara desierto el concurso, suscrita </w:t>
      </w:r>
      <w:r>
        <w:rPr>
          <w:spacing w:val="-5"/>
          <w:sz w:val="16"/>
          <w:szCs w:val="16"/>
          <w:lang w:val="es-ES_tradnl"/>
        </w:rPr>
        <w:t>por los se</w:t>
      </w:r>
      <w:r>
        <w:rPr>
          <w:rFonts w:cs="Times New Roman"/>
          <w:spacing w:val="-5"/>
          <w:sz w:val="16"/>
          <w:szCs w:val="16"/>
          <w:lang w:val="es-ES_tradnl"/>
        </w:rPr>
        <w:t>ñ</w:t>
      </w:r>
      <w:r>
        <w:rPr>
          <w:spacing w:val="-5"/>
          <w:sz w:val="16"/>
          <w:szCs w:val="16"/>
          <w:lang w:val="es-ES_tradnl"/>
        </w:rPr>
        <w:t>ores: V</w:t>
      </w:r>
      <w:r>
        <w:rPr>
          <w:rFonts w:cs="Times New Roman"/>
          <w:spacing w:val="-5"/>
          <w:sz w:val="16"/>
          <w:szCs w:val="16"/>
          <w:lang w:val="es-ES_tradnl"/>
        </w:rPr>
        <w:t>í</w:t>
      </w:r>
      <w:r>
        <w:rPr>
          <w:spacing w:val="-5"/>
          <w:sz w:val="16"/>
          <w:szCs w:val="16"/>
          <w:lang w:val="es-ES_tradnl"/>
        </w:rPr>
        <w:t>ctor Largo Machuca, Alcalde del Cant</w:t>
      </w:r>
      <w:r>
        <w:rPr>
          <w:rFonts w:cs="Times New Roman"/>
          <w:spacing w:val="-5"/>
          <w:sz w:val="16"/>
          <w:szCs w:val="16"/>
          <w:lang w:val="es-ES_tradnl"/>
        </w:rPr>
        <w:t>ó</w:t>
      </w:r>
      <w:r>
        <w:rPr>
          <w:spacing w:val="-5"/>
          <w:sz w:val="16"/>
          <w:szCs w:val="16"/>
          <w:lang w:val="es-ES_tradnl"/>
        </w:rPr>
        <w:t xml:space="preserve">n </w:t>
      </w:r>
      <w:r>
        <w:rPr>
          <w:spacing w:val="-6"/>
          <w:sz w:val="16"/>
          <w:szCs w:val="16"/>
          <w:lang w:val="es-ES_tradnl"/>
        </w:rPr>
        <w:t>Chaguarpamba; Doctor Hern</w:t>
      </w:r>
      <w:r>
        <w:rPr>
          <w:rFonts w:cs="Times New Roman"/>
          <w:spacing w:val="-6"/>
          <w:sz w:val="16"/>
          <w:szCs w:val="16"/>
          <w:lang w:val="es-ES_tradnl"/>
        </w:rPr>
        <w:t>á</w:t>
      </w:r>
      <w:r>
        <w:rPr>
          <w:spacing w:val="-6"/>
          <w:sz w:val="16"/>
          <w:szCs w:val="16"/>
          <w:lang w:val="es-ES_tradnl"/>
        </w:rPr>
        <w:t xml:space="preserve">n Carrillo Condoy, Procurador </w:t>
      </w:r>
      <w:r>
        <w:rPr>
          <w:spacing w:val="-5"/>
          <w:sz w:val="16"/>
          <w:szCs w:val="16"/>
          <w:lang w:val="es-ES_tradnl"/>
        </w:rPr>
        <w:t>S</w:t>
      </w:r>
      <w:r>
        <w:rPr>
          <w:rFonts w:cs="Times New Roman"/>
          <w:spacing w:val="-5"/>
          <w:sz w:val="16"/>
          <w:szCs w:val="16"/>
          <w:lang w:val="es-ES_tradnl"/>
        </w:rPr>
        <w:t>í</w:t>
      </w:r>
      <w:r>
        <w:rPr>
          <w:spacing w:val="-5"/>
          <w:sz w:val="16"/>
          <w:szCs w:val="16"/>
          <w:lang w:val="es-ES_tradnl"/>
        </w:rPr>
        <w:t>ndico; Ingeniero Severiano Escalante Fern</w:t>
      </w:r>
      <w:r>
        <w:rPr>
          <w:rFonts w:cs="Times New Roman"/>
          <w:spacing w:val="-5"/>
          <w:sz w:val="16"/>
          <w:szCs w:val="16"/>
          <w:lang w:val="es-ES_tradnl"/>
        </w:rPr>
        <w:t>á</w:t>
      </w:r>
      <w:r>
        <w:rPr>
          <w:spacing w:val="-5"/>
          <w:sz w:val="16"/>
          <w:szCs w:val="16"/>
          <w:lang w:val="es-ES_tradnl"/>
        </w:rPr>
        <w:t xml:space="preserve">ndez, Director </w:t>
      </w:r>
      <w:r>
        <w:rPr>
          <w:spacing w:val="-8"/>
          <w:sz w:val="16"/>
          <w:szCs w:val="16"/>
          <w:lang w:val="es-ES_tradnl"/>
        </w:rPr>
        <w:t>de Obras P</w:t>
      </w:r>
      <w:r>
        <w:rPr>
          <w:rFonts w:cs="Times New Roman"/>
          <w:spacing w:val="-8"/>
          <w:sz w:val="16"/>
          <w:szCs w:val="16"/>
          <w:lang w:val="es-ES_tradnl"/>
        </w:rPr>
        <w:t>ú</w:t>
      </w:r>
      <w:r>
        <w:rPr>
          <w:spacing w:val="-8"/>
          <w:sz w:val="16"/>
          <w:szCs w:val="16"/>
          <w:lang w:val="es-ES_tradnl"/>
        </w:rPr>
        <w:t>blicas; Ingeniera Leidy Gordillo Campoverde, Jefe de Recursos Humanos; y, Licenciada Mar</w:t>
      </w:r>
      <w:r>
        <w:rPr>
          <w:rFonts w:cs="Times New Roman"/>
          <w:spacing w:val="-8"/>
          <w:sz w:val="16"/>
          <w:szCs w:val="16"/>
          <w:lang w:val="es-ES_tradnl"/>
        </w:rPr>
        <w:t>í</w:t>
      </w:r>
      <w:r>
        <w:rPr>
          <w:spacing w:val="-8"/>
          <w:sz w:val="16"/>
          <w:szCs w:val="16"/>
          <w:lang w:val="es-ES_tradnl"/>
        </w:rPr>
        <w:t>a Elizabeth Cuenca, Secretaria General; y, los miembros de la veedur</w:t>
      </w:r>
      <w:r>
        <w:rPr>
          <w:rFonts w:cs="Times New Roman"/>
          <w:spacing w:val="-8"/>
          <w:sz w:val="16"/>
          <w:szCs w:val="16"/>
          <w:lang w:val="es-ES_tradnl"/>
        </w:rPr>
        <w:t>í</w:t>
      </w:r>
      <w:r>
        <w:rPr>
          <w:spacing w:val="-8"/>
          <w:sz w:val="16"/>
          <w:szCs w:val="16"/>
          <w:lang w:val="es-ES_tradnl"/>
        </w:rPr>
        <w:t xml:space="preserve">a ciudadana: </w:t>
      </w:r>
      <w:r>
        <w:rPr>
          <w:spacing w:val="-3"/>
          <w:sz w:val="16"/>
          <w:szCs w:val="16"/>
          <w:lang w:val="es-ES_tradnl"/>
        </w:rPr>
        <w:t>Lic. Rita Romero C</w:t>
      </w:r>
      <w:r>
        <w:rPr>
          <w:rFonts w:cs="Times New Roman"/>
          <w:spacing w:val="-3"/>
          <w:sz w:val="16"/>
          <w:szCs w:val="16"/>
          <w:lang w:val="es-ES_tradnl"/>
        </w:rPr>
        <w:t>ó</w:t>
      </w:r>
      <w:r>
        <w:rPr>
          <w:spacing w:val="-3"/>
          <w:sz w:val="16"/>
          <w:szCs w:val="16"/>
          <w:lang w:val="es-ES_tradnl"/>
        </w:rPr>
        <w:t>rdova, Tngo. N</w:t>
      </w:r>
      <w:r>
        <w:rPr>
          <w:rFonts w:cs="Times New Roman"/>
          <w:spacing w:val="-3"/>
          <w:sz w:val="16"/>
          <w:szCs w:val="16"/>
          <w:lang w:val="es-ES_tradnl"/>
        </w:rPr>
        <w:t>é</w:t>
      </w:r>
      <w:r>
        <w:rPr>
          <w:spacing w:val="-3"/>
          <w:sz w:val="16"/>
          <w:szCs w:val="16"/>
          <w:lang w:val="es-ES_tradnl"/>
        </w:rPr>
        <w:t xml:space="preserve">stor Mora Romero y </w:t>
      </w:r>
      <w:r>
        <w:rPr>
          <w:spacing w:val="-6"/>
          <w:sz w:val="16"/>
          <w:szCs w:val="16"/>
          <w:lang w:val="es-ES_tradnl"/>
        </w:rPr>
        <w:t>Jaime C</w:t>
      </w:r>
      <w:r>
        <w:rPr>
          <w:rFonts w:cs="Times New Roman"/>
          <w:spacing w:val="-6"/>
          <w:sz w:val="16"/>
          <w:szCs w:val="16"/>
          <w:lang w:val="es-ES_tradnl"/>
        </w:rPr>
        <w:t>ó</w:t>
      </w:r>
      <w:r>
        <w:rPr>
          <w:spacing w:val="-6"/>
          <w:sz w:val="16"/>
          <w:szCs w:val="16"/>
          <w:lang w:val="es-ES_tradnl"/>
        </w:rPr>
        <w:t>rdova Carri</w:t>
      </w:r>
      <w:r>
        <w:rPr>
          <w:rFonts w:cs="Times New Roman"/>
          <w:spacing w:val="-6"/>
          <w:sz w:val="16"/>
          <w:szCs w:val="16"/>
          <w:lang w:val="es-ES_tradnl"/>
        </w:rPr>
        <w:t>ó</w:t>
      </w:r>
      <w:r>
        <w:rPr>
          <w:spacing w:val="-6"/>
          <w:sz w:val="16"/>
          <w:szCs w:val="16"/>
          <w:lang w:val="es-ES_tradnl"/>
        </w:rPr>
        <w:t>n, por lo tanto tambi</w:t>
      </w:r>
      <w:r>
        <w:rPr>
          <w:rFonts w:cs="Times New Roman"/>
          <w:spacing w:val="-6"/>
          <w:sz w:val="16"/>
          <w:szCs w:val="16"/>
          <w:lang w:val="es-ES_tradnl"/>
        </w:rPr>
        <w:t>é</w:t>
      </w:r>
      <w:r>
        <w:rPr>
          <w:spacing w:val="-6"/>
          <w:sz w:val="16"/>
          <w:szCs w:val="16"/>
          <w:lang w:val="es-ES_tradnl"/>
        </w:rPr>
        <w:t xml:space="preserve">n se declara nulo todos los actos posteriores realizados por el citado Tribunal, </w:t>
      </w:r>
      <w:r>
        <w:rPr>
          <w:spacing w:val="-7"/>
          <w:sz w:val="16"/>
          <w:szCs w:val="16"/>
          <w:lang w:val="es-ES_tradnl"/>
        </w:rPr>
        <w:t>tendientes a nombrar Registrador de la Propiedad del cant</w:t>
      </w:r>
      <w:r>
        <w:rPr>
          <w:rFonts w:cs="Times New Roman"/>
          <w:spacing w:val="-7"/>
          <w:sz w:val="16"/>
          <w:szCs w:val="16"/>
          <w:lang w:val="es-ES_tradnl"/>
        </w:rPr>
        <w:t>ó</w:t>
      </w:r>
      <w:r>
        <w:rPr>
          <w:spacing w:val="-7"/>
          <w:sz w:val="16"/>
          <w:szCs w:val="16"/>
          <w:lang w:val="es-ES_tradnl"/>
        </w:rPr>
        <w:t>n Chaguarpamba, disponi</w:t>
      </w:r>
      <w:r>
        <w:rPr>
          <w:rFonts w:cs="Times New Roman"/>
          <w:spacing w:val="-7"/>
          <w:sz w:val="16"/>
          <w:szCs w:val="16"/>
          <w:lang w:val="es-ES_tradnl"/>
        </w:rPr>
        <w:t>é</w:t>
      </w:r>
      <w:r>
        <w:rPr>
          <w:spacing w:val="-7"/>
          <w:sz w:val="16"/>
          <w:szCs w:val="16"/>
          <w:lang w:val="es-ES_tradnl"/>
        </w:rPr>
        <w:t>ndose que dicho Tribunal de M</w:t>
      </w:r>
      <w:r>
        <w:rPr>
          <w:rFonts w:cs="Times New Roman"/>
          <w:spacing w:val="-7"/>
          <w:sz w:val="16"/>
          <w:szCs w:val="16"/>
          <w:lang w:val="es-ES_tradnl"/>
        </w:rPr>
        <w:t>é</w:t>
      </w:r>
      <w:r>
        <w:rPr>
          <w:spacing w:val="-7"/>
          <w:sz w:val="16"/>
          <w:szCs w:val="16"/>
          <w:lang w:val="es-ES_tradnl"/>
        </w:rPr>
        <w:t xml:space="preserve">ritos </w:t>
      </w:r>
      <w:r>
        <w:rPr>
          <w:spacing w:val="-4"/>
          <w:sz w:val="16"/>
          <w:szCs w:val="16"/>
          <w:lang w:val="es-ES_tradnl"/>
        </w:rPr>
        <w:t>en el t</w:t>
      </w:r>
      <w:r>
        <w:rPr>
          <w:rFonts w:cs="Times New Roman"/>
          <w:spacing w:val="-4"/>
          <w:sz w:val="16"/>
          <w:szCs w:val="16"/>
          <w:lang w:val="es-ES_tradnl"/>
        </w:rPr>
        <w:t>é</w:t>
      </w:r>
      <w:r>
        <w:rPr>
          <w:spacing w:val="-4"/>
          <w:sz w:val="16"/>
          <w:szCs w:val="16"/>
          <w:lang w:val="es-ES_tradnl"/>
        </w:rPr>
        <w:t>rmino de 48h00 califique como id</w:t>
      </w:r>
      <w:r>
        <w:rPr>
          <w:rFonts w:cs="Times New Roman"/>
          <w:spacing w:val="-4"/>
          <w:sz w:val="16"/>
          <w:szCs w:val="16"/>
          <w:lang w:val="es-ES_tradnl"/>
        </w:rPr>
        <w:t>ó</w:t>
      </w:r>
      <w:r>
        <w:rPr>
          <w:spacing w:val="-4"/>
          <w:sz w:val="16"/>
          <w:szCs w:val="16"/>
          <w:lang w:val="es-ES_tradnl"/>
        </w:rPr>
        <w:t>neo al Dr. V</w:t>
      </w:r>
      <w:r>
        <w:rPr>
          <w:rFonts w:cs="Times New Roman"/>
          <w:spacing w:val="-4"/>
          <w:sz w:val="16"/>
          <w:szCs w:val="16"/>
          <w:lang w:val="es-ES_tradnl"/>
        </w:rPr>
        <w:t>í</w:t>
      </w:r>
      <w:r>
        <w:rPr>
          <w:spacing w:val="-4"/>
          <w:sz w:val="16"/>
          <w:szCs w:val="16"/>
          <w:lang w:val="es-ES_tradnl"/>
        </w:rPr>
        <w:t xml:space="preserve">ctor </w:t>
      </w:r>
      <w:r>
        <w:rPr>
          <w:spacing w:val="-8"/>
          <w:sz w:val="16"/>
          <w:szCs w:val="16"/>
          <w:lang w:val="es-ES_tradnl"/>
        </w:rPr>
        <w:t>Arturo Balcaz</w:t>
      </w:r>
      <w:r>
        <w:rPr>
          <w:rFonts w:cs="Times New Roman"/>
          <w:spacing w:val="-8"/>
          <w:sz w:val="16"/>
          <w:szCs w:val="16"/>
          <w:lang w:val="es-ES_tradnl"/>
        </w:rPr>
        <w:t>á</w:t>
      </w:r>
      <w:r>
        <w:rPr>
          <w:spacing w:val="-8"/>
          <w:sz w:val="16"/>
          <w:szCs w:val="16"/>
          <w:lang w:val="es-ES_tradnl"/>
        </w:rPr>
        <w:t>r Rom</w:t>
      </w:r>
      <w:r>
        <w:rPr>
          <w:rFonts w:cs="Times New Roman"/>
          <w:spacing w:val="-8"/>
          <w:sz w:val="16"/>
          <w:szCs w:val="16"/>
          <w:lang w:val="es-ES_tradnl"/>
        </w:rPr>
        <w:t>á</w:t>
      </w:r>
      <w:r>
        <w:rPr>
          <w:spacing w:val="-8"/>
          <w:sz w:val="16"/>
          <w:szCs w:val="16"/>
          <w:lang w:val="es-ES_tradnl"/>
        </w:rPr>
        <w:t>n, a quien deber</w:t>
      </w:r>
      <w:r>
        <w:rPr>
          <w:rFonts w:cs="Times New Roman"/>
          <w:spacing w:val="-8"/>
          <w:sz w:val="16"/>
          <w:szCs w:val="16"/>
          <w:lang w:val="es-ES_tradnl"/>
        </w:rPr>
        <w:t>á</w:t>
      </w:r>
      <w:r>
        <w:rPr>
          <w:spacing w:val="-8"/>
          <w:sz w:val="16"/>
          <w:szCs w:val="16"/>
          <w:lang w:val="es-ES_tradnl"/>
        </w:rPr>
        <w:t xml:space="preserve"> reconoc</w:t>
      </w:r>
      <w:r>
        <w:rPr>
          <w:rFonts w:cs="Times New Roman"/>
          <w:spacing w:val="-8"/>
          <w:sz w:val="16"/>
          <w:szCs w:val="16"/>
          <w:lang w:val="es-ES_tradnl"/>
        </w:rPr>
        <w:t>é</w:t>
      </w:r>
      <w:r>
        <w:rPr>
          <w:spacing w:val="-8"/>
          <w:sz w:val="16"/>
          <w:szCs w:val="16"/>
          <w:lang w:val="es-ES_tradnl"/>
        </w:rPr>
        <w:t xml:space="preserve">rsele que ha </w:t>
      </w:r>
      <w:r>
        <w:rPr>
          <w:spacing w:val="-7"/>
          <w:sz w:val="16"/>
          <w:szCs w:val="16"/>
          <w:lang w:val="es-ES_tradnl"/>
        </w:rPr>
        <w:t>ejercido la profesi</w:t>
      </w:r>
      <w:r>
        <w:rPr>
          <w:rFonts w:cs="Times New Roman"/>
          <w:spacing w:val="-7"/>
          <w:sz w:val="16"/>
          <w:szCs w:val="16"/>
          <w:lang w:val="es-ES_tradnl"/>
        </w:rPr>
        <w:t>ó</w:t>
      </w:r>
      <w:r>
        <w:rPr>
          <w:spacing w:val="-7"/>
          <w:sz w:val="16"/>
          <w:szCs w:val="16"/>
          <w:lang w:val="es-ES_tradnl"/>
        </w:rPr>
        <w:t>n con probidad e idoneidad, desde el 21 de diciembre del a</w:t>
      </w:r>
      <w:r>
        <w:rPr>
          <w:rFonts w:cs="Times New Roman"/>
          <w:spacing w:val="-7"/>
          <w:sz w:val="16"/>
          <w:szCs w:val="16"/>
          <w:lang w:val="es-ES_tradnl"/>
        </w:rPr>
        <w:t>ñ</w:t>
      </w:r>
      <w:r>
        <w:rPr>
          <w:spacing w:val="-7"/>
          <w:sz w:val="16"/>
          <w:szCs w:val="16"/>
          <w:lang w:val="es-ES_tradnl"/>
        </w:rPr>
        <w:t>o 2000, y los m</w:t>
      </w:r>
      <w:r>
        <w:rPr>
          <w:rFonts w:cs="Times New Roman"/>
          <w:spacing w:val="-7"/>
          <w:sz w:val="16"/>
          <w:szCs w:val="16"/>
          <w:lang w:val="es-ES_tradnl"/>
        </w:rPr>
        <w:t>é</w:t>
      </w:r>
      <w:r>
        <w:rPr>
          <w:spacing w:val="-7"/>
          <w:sz w:val="16"/>
          <w:szCs w:val="16"/>
          <w:lang w:val="es-ES_tradnl"/>
        </w:rPr>
        <w:t xml:space="preserve">ritos y capacitaciones que ha </w:t>
      </w:r>
      <w:r>
        <w:rPr>
          <w:spacing w:val="-8"/>
          <w:sz w:val="16"/>
          <w:szCs w:val="16"/>
          <w:lang w:val="es-ES_tradnl"/>
        </w:rPr>
        <w:t xml:space="preserve">justificado en el proceso y se prosiga con el siguiente paso del </w:t>
      </w:r>
      <w:r>
        <w:rPr>
          <w:spacing w:val="-9"/>
          <w:sz w:val="16"/>
          <w:szCs w:val="16"/>
          <w:lang w:val="es-ES_tradnl"/>
        </w:rPr>
        <w:t>concurso para nombrar Registrador de la Propiedad del cant</w:t>
      </w:r>
      <w:r>
        <w:rPr>
          <w:rFonts w:cs="Times New Roman"/>
          <w:spacing w:val="-9"/>
          <w:sz w:val="16"/>
          <w:szCs w:val="16"/>
          <w:lang w:val="es-ES_tradnl"/>
        </w:rPr>
        <w:t>ó</w:t>
      </w:r>
      <w:r>
        <w:rPr>
          <w:spacing w:val="-9"/>
          <w:sz w:val="16"/>
          <w:szCs w:val="16"/>
          <w:lang w:val="es-ES_tradnl"/>
        </w:rPr>
        <w:t xml:space="preserve">n </w:t>
      </w:r>
      <w:r>
        <w:rPr>
          <w:sz w:val="16"/>
          <w:szCs w:val="16"/>
          <w:lang w:val="es-ES_tradnl"/>
        </w:rPr>
        <w:t>Chaguarpamba (...).</w:t>
      </w:r>
    </w:p>
    <w:p w14:paraId="4F67B26E" w14:textId="77777777" w:rsidR="00591D54" w:rsidRDefault="00591D54">
      <w:pPr>
        <w:shd w:val="clear" w:color="auto" w:fill="FFFFFF"/>
        <w:spacing w:before="202"/>
      </w:pPr>
      <w:r>
        <w:rPr>
          <w:b/>
          <w:bCs/>
          <w:spacing w:val="-10"/>
          <w:sz w:val="18"/>
          <w:szCs w:val="18"/>
          <w:lang w:val="es-ES_tradnl"/>
        </w:rPr>
        <w:t>Descripci</w:t>
      </w:r>
      <w:r>
        <w:rPr>
          <w:rFonts w:cs="Times New Roman"/>
          <w:b/>
          <w:bCs/>
          <w:spacing w:val="-10"/>
          <w:sz w:val="18"/>
          <w:szCs w:val="18"/>
          <w:lang w:val="es-ES_tradnl"/>
        </w:rPr>
        <w:t>ó</w:t>
      </w:r>
      <w:r>
        <w:rPr>
          <w:b/>
          <w:bCs/>
          <w:spacing w:val="-10"/>
          <w:sz w:val="18"/>
          <w:szCs w:val="18"/>
          <w:lang w:val="es-ES_tradnl"/>
        </w:rPr>
        <w:t>n de la demanda</w:t>
      </w:r>
    </w:p>
    <w:p w14:paraId="4F67B26F" w14:textId="77777777" w:rsidR="00591D54" w:rsidRDefault="00591D54">
      <w:pPr>
        <w:shd w:val="clear" w:color="auto" w:fill="FFFFFF"/>
        <w:spacing w:before="197"/>
      </w:pPr>
      <w:r>
        <w:rPr>
          <w:b/>
          <w:bCs/>
          <w:spacing w:val="-12"/>
          <w:sz w:val="18"/>
          <w:szCs w:val="18"/>
          <w:lang w:val="es-ES_tradnl"/>
        </w:rPr>
        <w:t>Hechos relatados y derechos presuntamente vulnerados</w:t>
      </w:r>
    </w:p>
    <w:p w14:paraId="4F67B270" w14:textId="77777777" w:rsidR="00591D54" w:rsidRDefault="00591D54">
      <w:pPr>
        <w:shd w:val="clear" w:color="auto" w:fill="FFFFFF"/>
        <w:spacing w:before="197" w:line="216" w:lineRule="exact"/>
        <w:ind w:right="5"/>
        <w:jc w:val="both"/>
      </w:pPr>
      <w:r>
        <w:rPr>
          <w:spacing w:val="-3"/>
          <w:sz w:val="18"/>
          <w:szCs w:val="18"/>
          <w:lang w:val="es-ES_tradnl"/>
        </w:rPr>
        <w:t>Los doctores V</w:t>
      </w:r>
      <w:r>
        <w:rPr>
          <w:rFonts w:cs="Times New Roman"/>
          <w:spacing w:val="-3"/>
          <w:sz w:val="18"/>
          <w:szCs w:val="18"/>
          <w:lang w:val="es-ES_tradnl"/>
        </w:rPr>
        <w:t>í</w:t>
      </w:r>
      <w:r>
        <w:rPr>
          <w:spacing w:val="-3"/>
          <w:sz w:val="18"/>
          <w:szCs w:val="18"/>
          <w:lang w:val="es-ES_tradnl"/>
        </w:rPr>
        <w:t>ctor Hugo Largo Machuca y Hern</w:t>
      </w:r>
      <w:r>
        <w:rPr>
          <w:rFonts w:cs="Times New Roman"/>
          <w:spacing w:val="-3"/>
          <w:sz w:val="18"/>
          <w:szCs w:val="18"/>
          <w:lang w:val="es-ES_tradnl"/>
        </w:rPr>
        <w:t>á</w:t>
      </w:r>
      <w:r>
        <w:rPr>
          <w:spacing w:val="-3"/>
          <w:sz w:val="18"/>
          <w:szCs w:val="18"/>
          <w:lang w:val="es-ES_tradnl"/>
        </w:rPr>
        <w:t xml:space="preserve">n </w:t>
      </w:r>
      <w:r>
        <w:rPr>
          <w:spacing w:val="-6"/>
          <w:sz w:val="18"/>
          <w:szCs w:val="18"/>
          <w:lang w:val="es-ES_tradnl"/>
        </w:rPr>
        <w:t>Anselmo Carrillo Condoy en sus calidades de alcalde y procurador s</w:t>
      </w:r>
      <w:r>
        <w:rPr>
          <w:rFonts w:cs="Times New Roman"/>
          <w:spacing w:val="-6"/>
          <w:sz w:val="18"/>
          <w:szCs w:val="18"/>
          <w:lang w:val="es-ES_tradnl"/>
        </w:rPr>
        <w:t>í</w:t>
      </w:r>
      <w:r>
        <w:rPr>
          <w:spacing w:val="-6"/>
          <w:sz w:val="18"/>
          <w:szCs w:val="18"/>
          <w:lang w:val="es-ES_tradnl"/>
        </w:rPr>
        <w:t>ndico del Gobierno Aut</w:t>
      </w:r>
      <w:r>
        <w:rPr>
          <w:rFonts w:cs="Times New Roman"/>
          <w:spacing w:val="-6"/>
          <w:sz w:val="18"/>
          <w:szCs w:val="18"/>
          <w:lang w:val="es-ES_tradnl"/>
        </w:rPr>
        <w:t>ó</w:t>
      </w:r>
      <w:r>
        <w:rPr>
          <w:spacing w:val="-6"/>
          <w:sz w:val="18"/>
          <w:szCs w:val="18"/>
          <w:lang w:val="es-ES_tradnl"/>
        </w:rPr>
        <w:t xml:space="preserve">nomo Municipal del </w:t>
      </w:r>
      <w:r>
        <w:rPr>
          <w:spacing w:val="-9"/>
          <w:sz w:val="18"/>
          <w:szCs w:val="18"/>
          <w:lang w:val="es-ES_tradnl"/>
        </w:rPr>
        <w:t>cant</w:t>
      </w:r>
      <w:r>
        <w:rPr>
          <w:rFonts w:cs="Times New Roman"/>
          <w:spacing w:val="-9"/>
          <w:sz w:val="18"/>
          <w:szCs w:val="18"/>
          <w:lang w:val="es-ES_tradnl"/>
        </w:rPr>
        <w:t>ó</w:t>
      </w:r>
      <w:r>
        <w:rPr>
          <w:spacing w:val="-9"/>
          <w:sz w:val="18"/>
          <w:szCs w:val="18"/>
          <w:lang w:val="es-ES_tradnl"/>
        </w:rPr>
        <w:t xml:space="preserve">n Chaguarpamba, provincia de Loja, respectivamente, </w:t>
      </w:r>
      <w:r>
        <w:rPr>
          <w:spacing w:val="-10"/>
          <w:sz w:val="18"/>
          <w:szCs w:val="18"/>
          <w:lang w:val="es-ES_tradnl"/>
        </w:rPr>
        <w:t>presentaron acci</w:t>
      </w:r>
      <w:r>
        <w:rPr>
          <w:rFonts w:cs="Times New Roman"/>
          <w:spacing w:val="-10"/>
          <w:sz w:val="18"/>
          <w:szCs w:val="18"/>
          <w:lang w:val="es-ES_tradnl"/>
        </w:rPr>
        <w:t>ó</w:t>
      </w:r>
      <w:r>
        <w:rPr>
          <w:spacing w:val="-10"/>
          <w:sz w:val="18"/>
          <w:szCs w:val="18"/>
          <w:lang w:val="es-ES_tradnl"/>
        </w:rPr>
        <w:t>n extraordinaria de protecci</w:t>
      </w:r>
      <w:r>
        <w:rPr>
          <w:rFonts w:cs="Times New Roman"/>
          <w:spacing w:val="-10"/>
          <w:sz w:val="18"/>
          <w:szCs w:val="18"/>
          <w:lang w:val="es-ES_tradnl"/>
        </w:rPr>
        <w:t>ó</w:t>
      </w:r>
      <w:r>
        <w:rPr>
          <w:spacing w:val="-10"/>
          <w:sz w:val="18"/>
          <w:szCs w:val="18"/>
          <w:lang w:val="es-ES_tradnl"/>
        </w:rPr>
        <w:t xml:space="preserve">n en contra de </w:t>
      </w:r>
      <w:r>
        <w:rPr>
          <w:spacing w:val="-9"/>
          <w:sz w:val="18"/>
          <w:szCs w:val="18"/>
          <w:lang w:val="es-ES_tradnl"/>
        </w:rPr>
        <w:t xml:space="preserve">la sentencia dictada por la Sala Especializada de lo Laboral, </w:t>
      </w:r>
      <w:r>
        <w:rPr>
          <w:spacing w:val="-7"/>
          <w:sz w:val="18"/>
          <w:szCs w:val="18"/>
          <w:lang w:val="es-ES_tradnl"/>
        </w:rPr>
        <w:t>Ni</w:t>
      </w:r>
      <w:r>
        <w:rPr>
          <w:rFonts w:cs="Times New Roman"/>
          <w:spacing w:val="-7"/>
          <w:sz w:val="18"/>
          <w:szCs w:val="18"/>
          <w:lang w:val="es-ES_tradnl"/>
        </w:rPr>
        <w:t>ñ</w:t>
      </w:r>
      <w:r>
        <w:rPr>
          <w:spacing w:val="-7"/>
          <w:sz w:val="18"/>
          <w:szCs w:val="18"/>
          <w:lang w:val="es-ES_tradnl"/>
        </w:rPr>
        <w:t xml:space="preserve">ez y Adolescencia de la Corte Provincial de Justicia de </w:t>
      </w:r>
      <w:r>
        <w:rPr>
          <w:spacing w:val="-8"/>
          <w:sz w:val="18"/>
          <w:szCs w:val="18"/>
          <w:lang w:val="es-ES_tradnl"/>
        </w:rPr>
        <w:t>Loja, el 28 de octubre de 2011, la cual acept</w:t>
      </w:r>
      <w:r>
        <w:rPr>
          <w:rFonts w:cs="Times New Roman"/>
          <w:spacing w:val="-8"/>
          <w:sz w:val="18"/>
          <w:szCs w:val="18"/>
          <w:lang w:val="es-ES_tradnl"/>
        </w:rPr>
        <w:t>ó</w:t>
      </w:r>
      <w:r>
        <w:rPr>
          <w:spacing w:val="-8"/>
          <w:sz w:val="18"/>
          <w:szCs w:val="18"/>
          <w:lang w:val="es-ES_tradnl"/>
        </w:rPr>
        <w:t xml:space="preserve"> el recurso de apelaci</w:t>
      </w:r>
      <w:r>
        <w:rPr>
          <w:rFonts w:cs="Times New Roman"/>
          <w:spacing w:val="-8"/>
          <w:sz w:val="18"/>
          <w:szCs w:val="18"/>
          <w:lang w:val="es-ES_tradnl"/>
        </w:rPr>
        <w:t>ó</w:t>
      </w:r>
      <w:r>
        <w:rPr>
          <w:spacing w:val="-8"/>
          <w:sz w:val="18"/>
          <w:szCs w:val="18"/>
          <w:lang w:val="es-ES_tradnl"/>
        </w:rPr>
        <w:t>n interpuesto por V</w:t>
      </w:r>
      <w:r>
        <w:rPr>
          <w:rFonts w:cs="Times New Roman"/>
          <w:spacing w:val="-8"/>
          <w:sz w:val="18"/>
          <w:szCs w:val="18"/>
          <w:lang w:val="es-ES_tradnl"/>
        </w:rPr>
        <w:t>í</w:t>
      </w:r>
      <w:r>
        <w:rPr>
          <w:spacing w:val="-8"/>
          <w:sz w:val="18"/>
          <w:szCs w:val="18"/>
          <w:lang w:val="es-ES_tradnl"/>
        </w:rPr>
        <w:t>ctor Arturo Balc</w:t>
      </w:r>
      <w:r>
        <w:rPr>
          <w:rFonts w:cs="Times New Roman"/>
          <w:spacing w:val="-8"/>
          <w:sz w:val="18"/>
          <w:szCs w:val="18"/>
          <w:lang w:val="es-ES_tradnl"/>
        </w:rPr>
        <w:t>á</w:t>
      </w:r>
      <w:r>
        <w:rPr>
          <w:spacing w:val="-8"/>
          <w:sz w:val="18"/>
          <w:szCs w:val="18"/>
          <w:lang w:val="es-ES_tradnl"/>
        </w:rPr>
        <w:t xml:space="preserve">zar, dentro de </w:t>
      </w:r>
      <w:r>
        <w:rPr>
          <w:sz w:val="18"/>
          <w:szCs w:val="18"/>
          <w:lang w:val="es-ES_tradnl"/>
        </w:rPr>
        <w:t>la acci</w:t>
      </w:r>
      <w:r>
        <w:rPr>
          <w:rFonts w:cs="Times New Roman"/>
          <w:sz w:val="18"/>
          <w:szCs w:val="18"/>
          <w:lang w:val="es-ES_tradnl"/>
        </w:rPr>
        <w:t>ó</w:t>
      </w:r>
      <w:r>
        <w:rPr>
          <w:sz w:val="18"/>
          <w:szCs w:val="18"/>
          <w:lang w:val="es-ES_tradnl"/>
        </w:rPr>
        <w:t>n de protecci</w:t>
      </w:r>
      <w:r>
        <w:rPr>
          <w:rFonts w:cs="Times New Roman"/>
          <w:sz w:val="18"/>
          <w:szCs w:val="18"/>
          <w:lang w:val="es-ES_tradnl"/>
        </w:rPr>
        <w:t>ó</w:t>
      </w:r>
      <w:r>
        <w:rPr>
          <w:sz w:val="18"/>
          <w:szCs w:val="18"/>
          <w:lang w:val="es-ES_tradnl"/>
        </w:rPr>
        <w:t>n N.</w:t>
      </w:r>
      <w:r>
        <w:rPr>
          <w:rFonts w:cs="Times New Roman"/>
          <w:sz w:val="18"/>
          <w:szCs w:val="18"/>
          <w:lang w:val="es-ES_tradnl"/>
        </w:rPr>
        <w:t>º</w:t>
      </w:r>
      <w:r>
        <w:rPr>
          <w:sz w:val="18"/>
          <w:szCs w:val="18"/>
          <w:lang w:val="es-ES_tradnl"/>
        </w:rPr>
        <w:t xml:space="preserve"> 674-2011.</w:t>
      </w:r>
    </w:p>
    <w:p w14:paraId="4F67B271" w14:textId="77777777" w:rsidR="00591D54" w:rsidRDefault="00591D54">
      <w:pPr>
        <w:shd w:val="clear" w:color="auto" w:fill="FFFFFF"/>
        <w:spacing w:before="5" w:line="216" w:lineRule="exact"/>
        <w:ind w:right="5"/>
        <w:jc w:val="both"/>
      </w:pPr>
      <w:r>
        <w:br w:type="column"/>
      </w:r>
      <w:r>
        <w:rPr>
          <w:spacing w:val="-8"/>
          <w:sz w:val="18"/>
          <w:szCs w:val="18"/>
          <w:lang w:val="es-ES_tradnl"/>
        </w:rPr>
        <w:t xml:space="preserve">Conforme se desprende de los antecedentes del caso, la </w:t>
      </w:r>
      <w:r>
        <w:rPr>
          <w:spacing w:val="-4"/>
          <w:sz w:val="18"/>
          <w:szCs w:val="18"/>
          <w:lang w:val="es-ES_tradnl"/>
        </w:rPr>
        <w:t>Municipalidad del cant</w:t>
      </w:r>
      <w:r>
        <w:rPr>
          <w:rFonts w:cs="Times New Roman"/>
          <w:spacing w:val="-4"/>
          <w:sz w:val="18"/>
          <w:szCs w:val="18"/>
          <w:lang w:val="es-ES_tradnl"/>
        </w:rPr>
        <w:t>ó</w:t>
      </w:r>
      <w:r>
        <w:rPr>
          <w:spacing w:val="-4"/>
          <w:sz w:val="18"/>
          <w:szCs w:val="18"/>
          <w:lang w:val="es-ES_tradnl"/>
        </w:rPr>
        <w:t>n Chaguarpamba, convoc</w:t>
      </w:r>
      <w:r>
        <w:rPr>
          <w:rFonts w:cs="Times New Roman"/>
          <w:spacing w:val="-4"/>
          <w:sz w:val="18"/>
          <w:szCs w:val="18"/>
          <w:lang w:val="es-ES_tradnl"/>
        </w:rPr>
        <w:t>ó</w:t>
      </w:r>
      <w:r>
        <w:rPr>
          <w:spacing w:val="-4"/>
          <w:sz w:val="18"/>
          <w:szCs w:val="18"/>
          <w:lang w:val="es-ES_tradnl"/>
        </w:rPr>
        <w:t xml:space="preserve"> a </w:t>
      </w:r>
      <w:r>
        <w:rPr>
          <w:spacing w:val="-7"/>
          <w:sz w:val="18"/>
          <w:szCs w:val="18"/>
          <w:lang w:val="es-ES_tradnl"/>
        </w:rPr>
        <w:t>concurso de m</w:t>
      </w:r>
      <w:r>
        <w:rPr>
          <w:rFonts w:cs="Times New Roman"/>
          <w:spacing w:val="-7"/>
          <w:sz w:val="18"/>
          <w:szCs w:val="18"/>
          <w:lang w:val="es-ES_tradnl"/>
        </w:rPr>
        <w:t>é</w:t>
      </w:r>
      <w:r>
        <w:rPr>
          <w:spacing w:val="-7"/>
          <w:sz w:val="18"/>
          <w:szCs w:val="18"/>
          <w:lang w:val="es-ES_tradnl"/>
        </w:rPr>
        <w:t>ritos y oposici</w:t>
      </w:r>
      <w:r>
        <w:rPr>
          <w:rFonts w:cs="Times New Roman"/>
          <w:spacing w:val="-7"/>
          <w:sz w:val="18"/>
          <w:szCs w:val="18"/>
          <w:lang w:val="es-ES_tradnl"/>
        </w:rPr>
        <w:t>ó</w:t>
      </w:r>
      <w:r>
        <w:rPr>
          <w:spacing w:val="-7"/>
          <w:sz w:val="18"/>
          <w:szCs w:val="18"/>
          <w:lang w:val="es-ES_tradnl"/>
        </w:rPr>
        <w:t xml:space="preserve">n para designar registrador </w:t>
      </w:r>
      <w:r>
        <w:rPr>
          <w:spacing w:val="-10"/>
          <w:sz w:val="18"/>
          <w:szCs w:val="18"/>
          <w:lang w:val="es-ES_tradnl"/>
        </w:rPr>
        <w:t>de la propiedad del cant</w:t>
      </w:r>
      <w:r>
        <w:rPr>
          <w:rFonts w:cs="Times New Roman"/>
          <w:spacing w:val="-10"/>
          <w:sz w:val="18"/>
          <w:szCs w:val="18"/>
          <w:lang w:val="es-ES_tradnl"/>
        </w:rPr>
        <w:t>ó</w:t>
      </w:r>
      <w:r>
        <w:rPr>
          <w:spacing w:val="-10"/>
          <w:sz w:val="18"/>
          <w:szCs w:val="18"/>
          <w:lang w:val="es-ES_tradnl"/>
        </w:rPr>
        <w:t xml:space="preserve">n Chaguarpamba. Posteriormente, </w:t>
      </w:r>
      <w:r>
        <w:rPr>
          <w:spacing w:val="-6"/>
          <w:sz w:val="18"/>
          <w:szCs w:val="18"/>
          <w:lang w:val="es-ES_tradnl"/>
        </w:rPr>
        <w:t xml:space="preserve">dicho concurso fue declarado desierto toda vez que solo </w:t>
      </w:r>
      <w:r>
        <w:rPr>
          <w:spacing w:val="-9"/>
          <w:sz w:val="18"/>
          <w:szCs w:val="18"/>
          <w:lang w:val="es-ES_tradnl"/>
        </w:rPr>
        <w:t>uno de los postulantes reun</w:t>
      </w:r>
      <w:r>
        <w:rPr>
          <w:rFonts w:cs="Times New Roman"/>
          <w:spacing w:val="-9"/>
          <w:sz w:val="18"/>
          <w:szCs w:val="18"/>
          <w:lang w:val="es-ES_tradnl"/>
        </w:rPr>
        <w:t>í</w:t>
      </w:r>
      <w:r>
        <w:rPr>
          <w:spacing w:val="-9"/>
          <w:sz w:val="18"/>
          <w:szCs w:val="18"/>
          <w:lang w:val="es-ES_tradnl"/>
        </w:rPr>
        <w:t xml:space="preserve">a los requisitos establecidos en </w:t>
      </w:r>
      <w:r>
        <w:rPr>
          <w:spacing w:val="-6"/>
          <w:sz w:val="18"/>
          <w:szCs w:val="18"/>
          <w:lang w:val="es-ES_tradnl"/>
        </w:rPr>
        <w:t xml:space="preserve">la convocatoria. Dentro de los postulantes descalificados </w:t>
      </w:r>
      <w:r>
        <w:rPr>
          <w:spacing w:val="-5"/>
          <w:sz w:val="18"/>
          <w:szCs w:val="18"/>
          <w:lang w:val="es-ES_tradnl"/>
        </w:rPr>
        <w:t>en este primer concurso, se encontraba el doctor V</w:t>
      </w:r>
      <w:r>
        <w:rPr>
          <w:rFonts w:cs="Times New Roman"/>
          <w:spacing w:val="-5"/>
          <w:sz w:val="18"/>
          <w:szCs w:val="18"/>
          <w:lang w:val="es-ES_tradnl"/>
        </w:rPr>
        <w:t>í</w:t>
      </w:r>
      <w:r>
        <w:rPr>
          <w:spacing w:val="-5"/>
          <w:sz w:val="18"/>
          <w:szCs w:val="18"/>
          <w:lang w:val="es-ES_tradnl"/>
        </w:rPr>
        <w:t xml:space="preserve">ctor </w:t>
      </w:r>
      <w:r>
        <w:rPr>
          <w:spacing w:val="-2"/>
          <w:sz w:val="18"/>
          <w:szCs w:val="18"/>
          <w:lang w:val="es-ES_tradnl"/>
        </w:rPr>
        <w:t>Arturo Balc</w:t>
      </w:r>
      <w:r>
        <w:rPr>
          <w:rFonts w:cs="Times New Roman"/>
          <w:spacing w:val="-2"/>
          <w:sz w:val="18"/>
          <w:szCs w:val="18"/>
          <w:lang w:val="es-ES_tradnl"/>
        </w:rPr>
        <w:t>á</w:t>
      </w:r>
      <w:r>
        <w:rPr>
          <w:spacing w:val="-2"/>
          <w:sz w:val="18"/>
          <w:szCs w:val="18"/>
          <w:lang w:val="es-ES_tradnl"/>
        </w:rPr>
        <w:t xml:space="preserve">zar, registrador de la propiedad saliente, </w:t>
      </w:r>
      <w:r>
        <w:rPr>
          <w:spacing w:val="-4"/>
          <w:sz w:val="18"/>
          <w:szCs w:val="18"/>
          <w:lang w:val="es-ES_tradnl"/>
        </w:rPr>
        <w:t>quien no habr</w:t>
      </w:r>
      <w:r>
        <w:rPr>
          <w:rFonts w:cs="Times New Roman"/>
          <w:spacing w:val="-4"/>
          <w:sz w:val="18"/>
          <w:szCs w:val="18"/>
          <w:lang w:val="es-ES_tradnl"/>
        </w:rPr>
        <w:t>í</w:t>
      </w:r>
      <w:r>
        <w:rPr>
          <w:spacing w:val="-4"/>
          <w:sz w:val="18"/>
          <w:szCs w:val="18"/>
          <w:lang w:val="es-ES_tradnl"/>
        </w:rPr>
        <w:t>a justificado mediante la documentaci</w:t>
      </w:r>
      <w:r>
        <w:rPr>
          <w:rFonts w:cs="Times New Roman"/>
          <w:spacing w:val="-4"/>
          <w:sz w:val="18"/>
          <w:szCs w:val="18"/>
          <w:lang w:val="es-ES_tradnl"/>
        </w:rPr>
        <w:t>ó</w:t>
      </w:r>
      <w:r>
        <w:rPr>
          <w:spacing w:val="-4"/>
          <w:sz w:val="18"/>
          <w:szCs w:val="18"/>
          <w:lang w:val="es-ES_tradnl"/>
        </w:rPr>
        <w:t xml:space="preserve">n </w:t>
      </w:r>
      <w:r>
        <w:rPr>
          <w:spacing w:val="-5"/>
          <w:sz w:val="18"/>
          <w:szCs w:val="18"/>
          <w:lang w:val="es-ES_tradnl"/>
        </w:rPr>
        <w:t>pertinente, haber ejercido la profesi</w:t>
      </w:r>
      <w:r>
        <w:rPr>
          <w:rFonts w:cs="Times New Roman"/>
          <w:spacing w:val="-5"/>
          <w:sz w:val="18"/>
          <w:szCs w:val="18"/>
          <w:lang w:val="es-ES_tradnl"/>
        </w:rPr>
        <w:t>ó</w:t>
      </w:r>
      <w:r>
        <w:rPr>
          <w:spacing w:val="-5"/>
          <w:sz w:val="18"/>
          <w:szCs w:val="18"/>
          <w:lang w:val="es-ES_tradnl"/>
        </w:rPr>
        <w:t xml:space="preserve">n de abogado con </w:t>
      </w:r>
      <w:r>
        <w:rPr>
          <w:sz w:val="18"/>
          <w:szCs w:val="18"/>
          <w:lang w:val="es-ES_tradnl"/>
        </w:rPr>
        <w:t>probidad e idoneidad notoria por un per</w:t>
      </w:r>
      <w:r>
        <w:rPr>
          <w:rFonts w:cs="Times New Roman"/>
          <w:sz w:val="18"/>
          <w:szCs w:val="18"/>
          <w:lang w:val="es-ES_tradnl"/>
        </w:rPr>
        <w:t>í</w:t>
      </w:r>
      <w:r>
        <w:rPr>
          <w:sz w:val="18"/>
          <w:szCs w:val="18"/>
          <w:lang w:val="es-ES_tradnl"/>
        </w:rPr>
        <w:t>odo m</w:t>
      </w:r>
      <w:r>
        <w:rPr>
          <w:rFonts w:cs="Times New Roman"/>
          <w:sz w:val="18"/>
          <w:szCs w:val="18"/>
          <w:lang w:val="es-ES_tradnl"/>
        </w:rPr>
        <w:t>í</w:t>
      </w:r>
      <w:r>
        <w:rPr>
          <w:sz w:val="18"/>
          <w:szCs w:val="18"/>
          <w:lang w:val="es-ES_tradnl"/>
        </w:rPr>
        <w:t xml:space="preserve">nimo </w:t>
      </w:r>
      <w:r>
        <w:rPr>
          <w:spacing w:val="-4"/>
          <w:sz w:val="18"/>
          <w:szCs w:val="18"/>
          <w:lang w:val="es-ES_tradnl"/>
        </w:rPr>
        <w:t>de tres a</w:t>
      </w:r>
      <w:r>
        <w:rPr>
          <w:rFonts w:cs="Times New Roman"/>
          <w:spacing w:val="-4"/>
          <w:sz w:val="18"/>
          <w:szCs w:val="18"/>
          <w:lang w:val="es-ES_tradnl"/>
        </w:rPr>
        <w:t>ñ</w:t>
      </w:r>
      <w:r>
        <w:rPr>
          <w:spacing w:val="-4"/>
          <w:sz w:val="18"/>
          <w:szCs w:val="18"/>
          <w:lang w:val="es-ES_tradnl"/>
        </w:rPr>
        <w:t>os. El doctor V</w:t>
      </w:r>
      <w:r>
        <w:rPr>
          <w:rFonts w:cs="Times New Roman"/>
          <w:spacing w:val="-4"/>
          <w:sz w:val="18"/>
          <w:szCs w:val="18"/>
          <w:lang w:val="es-ES_tradnl"/>
        </w:rPr>
        <w:t>í</w:t>
      </w:r>
      <w:r>
        <w:rPr>
          <w:spacing w:val="-4"/>
          <w:sz w:val="18"/>
          <w:szCs w:val="18"/>
          <w:lang w:val="es-ES_tradnl"/>
        </w:rPr>
        <w:t>ctor Arturo Balc</w:t>
      </w:r>
      <w:r>
        <w:rPr>
          <w:rFonts w:cs="Times New Roman"/>
          <w:spacing w:val="-4"/>
          <w:sz w:val="18"/>
          <w:szCs w:val="18"/>
          <w:lang w:val="es-ES_tradnl"/>
        </w:rPr>
        <w:t>á</w:t>
      </w:r>
      <w:r>
        <w:rPr>
          <w:spacing w:val="-4"/>
          <w:sz w:val="18"/>
          <w:szCs w:val="18"/>
          <w:lang w:val="es-ES_tradnl"/>
        </w:rPr>
        <w:t>zar present</w:t>
      </w:r>
      <w:r>
        <w:rPr>
          <w:rFonts w:cs="Times New Roman"/>
          <w:spacing w:val="-4"/>
          <w:sz w:val="18"/>
          <w:szCs w:val="18"/>
          <w:lang w:val="es-ES_tradnl"/>
        </w:rPr>
        <w:t xml:space="preserve">ó </w:t>
      </w:r>
      <w:r>
        <w:rPr>
          <w:spacing w:val="-3"/>
          <w:sz w:val="18"/>
          <w:szCs w:val="18"/>
          <w:lang w:val="es-ES_tradnl"/>
        </w:rPr>
        <w:t>ante el Tribunal de M</w:t>
      </w:r>
      <w:r>
        <w:rPr>
          <w:rFonts w:cs="Times New Roman"/>
          <w:spacing w:val="-3"/>
          <w:sz w:val="18"/>
          <w:szCs w:val="18"/>
          <w:lang w:val="es-ES_tradnl"/>
        </w:rPr>
        <w:t>é</w:t>
      </w:r>
      <w:r>
        <w:rPr>
          <w:spacing w:val="-3"/>
          <w:sz w:val="18"/>
          <w:szCs w:val="18"/>
          <w:lang w:val="es-ES_tradnl"/>
        </w:rPr>
        <w:t>ritos y Oposici</w:t>
      </w:r>
      <w:r>
        <w:rPr>
          <w:rFonts w:cs="Times New Roman"/>
          <w:spacing w:val="-3"/>
          <w:sz w:val="18"/>
          <w:szCs w:val="18"/>
          <w:lang w:val="es-ES_tradnl"/>
        </w:rPr>
        <w:t>ó</w:t>
      </w:r>
      <w:r>
        <w:rPr>
          <w:spacing w:val="-3"/>
          <w:sz w:val="18"/>
          <w:szCs w:val="18"/>
          <w:lang w:val="es-ES_tradnl"/>
        </w:rPr>
        <w:t>n un recurso de revisi</w:t>
      </w:r>
      <w:r>
        <w:rPr>
          <w:rFonts w:cs="Times New Roman"/>
          <w:spacing w:val="-3"/>
          <w:sz w:val="18"/>
          <w:szCs w:val="18"/>
          <w:lang w:val="es-ES_tradnl"/>
        </w:rPr>
        <w:t>ó</w:t>
      </w:r>
      <w:r>
        <w:rPr>
          <w:spacing w:val="-3"/>
          <w:sz w:val="18"/>
          <w:szCs w:val="18"/>
          <w:lang w:val="es-ES_tradnl"/>
        </w:rPr>
        <w:t>n a la resoluci</w:t>
      </w:r>
      <w:r>
        <w:rPr>
          <w:rFonts w:cs="Times New Roman"/>
          <w:spacing w:val="-3"/>
          <w:sz w:val="18"/>
          <w:szCs w:val="18"/>
          <w:lang w:val="es-ES_tradnl"/>
        </w:rPr>
        <w:t>ó</w:t>
      </w:r>
      <w:r>
        <w:rPr>
          <w:spacing w:val="-3"/>
          <w:sz w:val="18"/>
          <w:szCs w:val="18"/>
          <w:lang w:val="es-ES_tradnl"/>
        </w:rPr>
        <w:t>n de verificaci</w:t>
      </w:r>
      <w:r>
        <w:rPr>
          <w:rFonts w:cs="Times New Roman"/>
          <w:spacing w:val="-3"/>
          <w:sz w:val="18"/>
          <w:szCs w:val="18"/>
          <w:lang w:val="es-ES_tradnl"/>
        </w:rPr>
        <w:t>ó</w:t>
      </w:r>
      <w:r>
        <w:rPr>
          <w:spacing w:val="-3"/>
          <w:sz w:val="18"/>
          <w:szCs w:val="18"/>
          <w:lang w:val="es-ES_tradnl"/>
        </w:rPr>
        <w:t xml:space="preserve">n de requisitos de </w:t>
      </w:r>
      <w:r>
        <w:rPr>
          <w:spacing w:val="-5"/>
          <w:sz w:val="18"/>
          <w:szCs w:val="18"/>
          <w:lang w:val="es-ES_tradnl"/>
        </w:rPr>
        <w:t>los postulantes, que determin</w:t>
      </w:r>
      <w:r>
        <w:rPr>
          <w:rFonts w:cs="Times New Roman"/>
          <w:spacing w:val="-5"/>
          <w:sz w:val="18"/>
          <w:szCs w:val="18"/>
          <w:lang w:val="es-ES_tradnl"/>
        </w:rPr>
        <w:t>ó</w:t>
      </w:r>
      <w:r>
        <w:rPr>
          <w:spacing w:val="-5"/>
          <w:sz w:val="18"/>
          <w:szCs w:val="18"/>
          <w:lang w:val="es-ES_tradnl"/>
        </w:rPr>
        <w:t xml:space="preserve"> desierto el concurso, sin embargo, el Tribunal de M</w:t>
      </w:r>
      <w:r>
        <w:rPr>
          <w:rFonts w:cs="Times New Roman"/>
          <w:spacing w:val="-5"/>
          <w:sz w:val="18"/>
          <w:szCs w:val="18"/>
          <w:lang w:val="es-ES_tradnl"/>
        </w:rPr>
        <w:t>é</w:t>
      </w:r>
      <w:r>
        <w:rPr>
          <w:spacing w:val="-5"/>
          <w:sz w:val="18"/>
          <w:szCs w:val="18"/>
          <w:lang w:val="es-ES_tradnl"/>
        </w:rPr>
        <w:t>ritos y Oposici</w:t>
      </w:r>
      <w:r>
        <w:rPr>
          <w:rFonts w:cs="Times New Roman"/>
          <w:spacing w:val="-5"/>
          <w:sz w:val="18"/>
          <w:szCs w:val="18"/>
          <w:lang w:val="es-ES_tradnl"/>
        </w:rPr>
        <w:t>ó</w:t>
      </w:r>
      <w:r>
        <w:rPr>
          <w:spacing w:val="-5"/>
          <w:sz w:val="18"/>
          <w:szCs w:val="18"/>
          <w:lang w:val="es-ES_tradnl"/>
        </w:rPr>
        <w:t>n lo desech</w:t>
      </w:r>
      <w:r>
        <w:rPr>
          <w:rFonts w:cs="Times New Roman"/>
          <w:spacing w:val="-5"/>
          <w:sz w:val="18"/>
          <w:szCs w:val="18"/>
          <w:lang w:val="es-ES_tradnl"/>
        </w:rPr>
        <w:t xml:space="preserve">ó </w:t>
      </w:r>
      <w:r>
        <w:rPr>
          <w:sz w:val="18"/>
          <w:szCs w:val="18"/>
          <w:lang w:val="es-ES_tradnl"/>
        </w:rPr>
        <w:t>por improcedente.</w:t>
      </w:r>
    </w:p>
    <w:p w14:paraId="4F67B272" w14:textId="77777777" w:rsidR="00591D54" w:rsidRDefault="00591D54">
      <w:pPr>
        <w:shd w:val="clear" w:color="auto" w:fill="FFFFFF"/>
        <w:spacing w:before="197" w:line="216" w:lineRule="exact"/>
        <w:ind w:right="5"/>
        <w:jc w:val="both"/>
      </w:pPr>
      <w:r>
        <w:rPr>
          <w:spacing w:val="-10"/>
          <w:sz w:val="18"/>
          <w:szCs w:val="18"/>
          <w:lang w:val="es-ES_tradnl"/>
        </w:rPr>
        <w:t>Posteriormente, se convoc</w:t>
      </w:r>
      <w:r>
        <w:rPr>
          <w:rFonts w:cs="Times New Roman"/>
          <w:spacing w:val="-10"/>
          <w:sz w:val="18"/>
          <w:szCs w:val="18"/>
          <w:lang w:val="es-ES_tradnl"/>
        </w:rPr>
        <w:t>ó</w:t>
      </w:r>
      <w:r>
        <w:rPr>
          <w:spacing w:val="-10"/>
          <w:sz w:val="18"/>
          <w:szCs w:val="18"/>
          <w:lang w:val="es-ES_tradnl"/>
        </w:rPr>
        <w:t xml:space="preserve"> nuevamente a otro concurso de </w:t>
      </w:r>
      <w:r>
        <w:rPr>
          <w:spacing w:val="-4"/>
          <w:sz w:val="18"/>
          <w:szCs w:val="18"/>
          <w:lang w:val="es-ES_tradnl"/>
        </w:rPr>
        <w:t>m</w:t>
      </w:r>
      <w:r>
        <w:rPr>
          <w:rFonts w:cs="Times New Roman"/>
          <w:spacing w:val="-4"/>
          <w:sz w:val="18"/>
          <w:szCs w:val="18"/>
          <w:lang w:val="es-ES_tradnl"/>
        </w:rPr>
        <w:t>é</w:t>
      </w:r>
      <w:r>
        <w:rPr>
          <w:spacing w:val="-4"/>
          <w:sz w:val="18"/>
          <w:szCs w:val="18"/>
          <w:lang w:val="es-ES_tradnl"/>
        </w:rPr>
        <w:t>ritos y oposici</w:t>
      </w:r>
      <w:r>
        <w:rPr>
          <w:rFonts w:cs="Times New Roman"/>
          <w:spacing w:val="-4"/>
          <w:sz w:val="18"/>
          <w:szCs w:val="18"/>
          <w:lang w:val="es-ES_tradnl"/>
        </w:rPr>
        <w:t>ó</w:t>
      </w:r>
      <w:r>
        <w:rPr>
          <w:spacing w:val="-4"/>
          <w:sz w:val="18"/>
          <w:szCs w:val="18"/>
          <w:lang w:val="es-ES_tradnl"/>
        </w:rPr>
        <w:t>n, en el cual el doctor Dr. V</w:t>
      </w:r>
      <w:r>
        <w:rPr>
          <w:rFonts w:cs="Times New Roman"/>
          <w:spacing w:val="-4"/>
          <w:sz w:val="18"/>
          <w:szCs w:val="18"/>
          <w:lang w:val="es-ES_tradnl"/>
        </w:rPr>
        <w:t>í</w:t>
      </w:r>
      <w:r>
        <w:rPr>
          <w:spacing w:val="-4"/>
          <w:sz w:val="18"/>
          <w:szCs w:val="18"/>
          <w:lang w:val="es-ES_tradnl"/>
        </w:rPr>
        <w:t xml:space="preserve">ctor Arturo </w:t>
      </w:r>
      <w:r>
        <w:rPr>
          <w:spacing w:val="-5"/>
          <w:sz w:val="18"/>
          <w:szCs w:val="18"/>
          <w:lang w:val="es-ES_tradnl"/>
        </w:rPr>
        <w:t>Balc</w:t>
      </w:r>
      <w:r>
        <w:rPr>
          <w:rFonts w:cs="Times New Roman"/>
          <w:spacing w:val="-5"/>
          <w:sz w:val="18"/>
          <w:szCs w:val="18"/>
          <w:lang w:val="es-ES_tradnl"/>
        </w:rPr>
        <w:t>á</w:t>
      </w:r>
      <w:r>
        <w:rPr>
          <w:spacing w:val="-5"/>
          <w:sz w:val="18"/>
          <w:szCs w:val="18"/>
          <w:lang w:val="es-ES_tradnl"/>
        </w:rPr>
        <w:t>zar se postul</w:t>
      </w:r>
      <w:r>
        <w:rPr>
          <w:rFonts w:cs="Times New Roman"/>
          <w:spacing w:val="-5"/>
          <w:sz w:val="18"/>
          <w:szCs w:val="18"/>
          <w:lang w:val="es-ES_tradnl"/>
        </w:rPr>
        <w:t>ó</w:t>
      </w:r>
      <w:r>
        <w:rPr>
          <w:spacing w:val="-5"/>
          <w:sz w:val="18"/>
          <w:szCs w:val="18"/>
          <w:lang w:val="es-ES_tradnl"/>
        </w:rPr>
        <w:t xml:space="preserve"> por segunda ocasi</w:t>
      </w:r>
      <w:r>
        <w:rPr>
          <w:rFonts w:cs="Times New Roman"/>
          <w:spacing w:val="-5"/>
          <w:sz w:val="18"/>
          <w:szCs w:val="18"/>
          <w:lang w:val="es-ES_tradnl"/>
        </w:rPr>
        <w:t>ó</w:t>
      </w:r>
      <w:r>
        <w:rPr>
          <w:spacing w:val="-5"/>
          <w:sz w:val="18"/>
          <w:szCs w:val="18"/>
          <w:lang w:val="es-ES_tradnl"/>
        </w:rPr>
        <w:t xml:space="preserve">n. Sin embargo, </w:t>
      </w:r>
      <w:r>
        <w:rPr>
          <w:spacing w:val="-4"/>
          <w:sz w:val="18"/>
          <w:szCs w:val="18"/>
          <w:lang w:val="es-ES_tradnl"/>
        </w:rPr>
        <w:t>en esta ocasi</w:t>
      </w:r>
      <w:r>
        <w:rPr>
          <w:rFonts w:cs="Times New Roman"/>
          <w:spacing w:val="-4"/>
          <w:sz w:val="18"/>
          <w:szCs w:val="18"/>
          <w:lang w:val="es-ES_tradnl"/>
        </w:rPr>
        <w:t>ó</w:t>
      </w:r>
      <w:r>
        <w:rPr>
          <w:spacing w:val="-4"/>
          <w:sz w:val="18"/>
          <w:szCs w:val="18"/>
          <w:lang w:val="es-ES_tradnl"/>
        </w:rPr>
        <w:t>n no present</w:t>
      </w:r>
      <w:r>
        <w:rPr>
          <w:rFonts w:cs="Times New Roman"/>
          <w:spacing w:val="-4"/>
          <w:sz w:val="18"/>
          <w:szCs w:val="18"/>
          <w:lang w:val="es-ES_tradnl"/>
        </w:rPr>
        <w:t>ó</w:t>
      </w:r>
      <w:r>
        <w:rPr>
          <w:spacing w:val="-4"/>
          <w:sz w:val="18"/>
          <w:szCs w:val="18"/>
          <w:lang w:val="es-ES_tradnl"/>
        </w:rPr>
        <w:t xml:space="preserve"> el certificado del Ministerio </w:t>
      </w:r>
      <w:r>
        <w:rPr>
          <w:spacing w:val="-5"/>
          <w:sz w:val="18"/>
          <w:szCs w:val="18"/>
          <w:lang w:val="es-ES_tradnl"/>
        </w:rPr>
        <w:t xml:space="preserve">de Relaciones Laborales de no tener impedimento para </w:t>
      </w:r>
      <w:r>
        <w:rPr>
          <w:spacing w:val="-4"/>
          <w:sz w:val="18"/>
          <w:szCs w:val="18"/>
          <w:lang w:val="es-ES_tradnl"/>
        </w:rPr>
        <w:t>desempe</w:t>
      </w:r>
      <w:r>
        <w:rPr>
          <w:rFonts w:cs="Times New Roman"/>
          <w:spacing w:val="-4"/>
          <w:sz w:val="18"/>
          <w:szCs w:val="18"/>
          <w:lang w:val="es-ES_tradnl"/>
        </w:rPr>
        <w:t>ñ</w:t>
      </w:r>
      <w:r>
        <w:rPr>
          <w:spacing w:val="-4"/>
          <w:sz w:val="18"/>
          <w:szCs w:val="18"/>
          <w:lang w:val="es-ES_tradnl"/>
        </w:rPr>
        <w:t>ar cargo p</w:t>
      </w:r>
      <w:r>
        <w:rPr>
          <w:rFonts w:cs="Times New Roman"/>
          <w:spacing w:val="-4"/>
          <w:sz w:val="18"/>
          <w:szCs w:val="18"/>
          <w:lang w:val="es-ES_tradnl"/>
        </w:rPr>
        <w:t>ú</w:t>
      </w:r>
      <w:r>
        <w:rPr>
          <w:spacing w:val="-4"/>
          <w:sz w:val="18"/>
          <w:szCs w:val="18"/>
          <w:lang w:val="es-ES_tradnl"/>
        </w:rPr>
        <w:t>blico, raz</w:t>
      </w:r>
      <w:r>
        <w:rPr>
          <w:rFonts w:cs="Times New Roman"/>
          <w:spacing w:val="-4"/>
          <w:sz w:val="18"/>
          <w:szCs w:val="18"/>
          <w:lang w:val="es-ES_tradnl"/>
        </w:rPr>
        <w:t>ó</w:t>
      </w:r>
      <w:r>
        <w:rPr>
          <w:spacing w:val="-4"/>
          <w:sz w:val="18"/>
          <w:szCs w:val="18"/>
          <w:lang w:val="es-ES_tradnl"/>
        </w:rPr>
        <w:t>n por la que no calific</w:t>
      </w:r>
      <w:r>
        <w:rPr>
          <w:rFonts w:cs="Times New Roman"/>
          <w:spacing w:val="-4"/>
          <w:sz w:val="18"/>
          <w:szCs w:val="18"/>
          <w:lang w:val="es-ES_tradnl"/>
        </w:rPr>
        <w:t xml:space="preserve">ó </w:t>
      </w:r>
      <w:r>
        <w:rPr>
          <w:spacing w:val="-6"/>
          <w:sz w:val="18"/>
          <w:szCs w:val="18"/>
          <w:lang w:val="es-ES_tradnl"/>
        </w:rPr>
        <w:t xml:space="preserve">para continuar participando en este segundo proceso, el </w:t>
      </w:r>
      <w:r>
        <w:rPr>
          <w:spacing w:val="-5"/>
          <w:sz w:val="18"/>
          <w:szCs w:val="18"/>
          <w:lang w:val="es-ES_tradnl"/>
        </w:rPr>
        <w:t>cual termin</w:t>
      </w:r>
      <w:r>
        <w:rPr>
          <w:rFonts w:cs="Times New Roman"/>
          <w:spacing w:val="-5"/>
          <w:sz w:val="18"/>
          <w:szCs w:val="18"/>
          <w:lang w:val="es-ES_tradnl"/>
        </w:rPr>
        <w:t>ó</w:t>
      </w:r>
      <w:r>
        <w:rPr>
          <w:spacing w:val="-5"/>
          <w:sz w:val="18"/>
          <w:szCs w:val="18"/>
          <w:lang w:val="es-ES_tradnl"/>
        </w:rPr>
        <w:t xml:space="preserve"> declarando a un ganador, mismo que fue </w:t>
      </w:r>
      <w:r>
        <w:rPr>
          <w:spacing w:val="-6"/>
          <w:sz w:val="18"/>
          <w:szCs w:val="18"/>
          <w:lang w:val="es-ES_tradnl"/>
        </w:rPr>
        <w:t xml:space="preserve">posesionado como nuevo registrador de la propiedad del </w:t>
      </w:r>
      <w:r>
        <w:rPr>
          <w:sz w:val="18"/>
          <w:szCs w:val="18"/>
          <w:lang w:val="es-ES_tradnl"/>
        </w:rPr>
        <w:t>cant</w:t>
      </w:r>
      <w:r>
        <w:rPr>
          <w:rFonts w:cs="Times New Roman"/>
          <w:sz w:val="18"/>
          <w:szCs w:val="18"/>
          <w:lang w:val="es-ES_tradnl"/>
        </w:rPr>
        <w:t>ó</w:t>
      </w:r>
      <w:r>
        <w:rPr>
          <w:sz w:val="18"/>
          <w:szCs w:val="18"/>
          <w:lang w:val="es-ES_tradnl"/>
        </w:rPr>
        <w:t>n Chaguarpamba.</w:t>
      </w:r>
    </w:p>
    <w:p w14:paraId="4F67B273" w14:textId="77777777" w:rsidR="00591D54" w:rsidRDefault="00591D54">
      <w:pPr>
        <w:shd w:val="clear" w:color="auto" w:fill="FFFFFF"/>
        <w:spacing w:before="202" w:line="216" w:lineRule="exact"/>
        <w:ind w:right="5"/>
        <w:jc w:val="both"/>
      </w:pPr>
      <w:r>
        <w:rPr>
          <w:spacing w:val="-6"/>
          <w:sz w:val="18"/>
          <w:szCs w:val="18"/>
          <w:lang w:val="es-ES_tradnl"/>
        </w:rPr>
        <w:t xml:space="preserve">Con posterioridad a que se haya posesionado el nuevo </w:t>
      </w:r>
      <w:r>
        <w:rPr>
          <w:sz w:val="18"/>
          <w:szCs w:val="18"/>
          <w:lang w:val="es-ES_tradnl"/>
        </w:rPr>
        <w:t>registrador de la propiedad, el doctor V</w:t>
      </w:r>
      <w:r>
        <w:rPr>
          <w:rFonts w:cs="Times New Roman"/>
          <w:sz w:val="18"/>
          <w:szCs w:val="18"/>
          <w:lang w:val="es-ES_tradnl"/>
        </w:rPr>
        <w:t>í</w:t>
      </w:r>
      <w:r>
        <w:rPr>
          <w:sz w:val="18"/>
          <w:szCs w:val="18"/>
          <w:lang w:val="es-ES_tradnl"/>
        </w:rPr>
        <w:t xml:space="preserve">ctor Arturo </w:t>
      </w:r>
      <w:r>
        <w:rPr>
          <w:spacing w:val="-7"/>
          <w:sz w:val="18"/>
          <w:szCs w:val="18"/>
          <w:lang w:val="es-ES_tradnl"/>
        </w:rPr>
        <w:t>Balc</w:t>
      </w:r>
      <w:r>
        <w:rPr>
          <w:rFonts w:cs="Times New Roman"/>
          <w:spacing w:val="-7"/>
          <w:sz w:val="18"/>
          <w:szCs w:val="18"/>
          <w:lang w:val="es-ES_tradnl"/>
        </w:rPr>
        <w:t>á</w:t>
      </w:r>
      <w:r>
        <w:rPr>
          <w:spacing w:val="-7"/>
          <w:sz w:val="18"/>
          <w:szCs w:val="18"/>
          <w:lang w:val="es-ES_tradnl"/>
        </w:rPr>
        <w:t>zar interpuso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 xml:space="preserve">n en contra del acta </w:t>
      </w:r>
      <w:r>
        <w:rPr>
          <w:spacing w:val="-6"/>
          <w:sz w:val="18"/>
          <w:szCs w:val="18"/>
          <w:lang w:val="es-ES_tradnl"/>
        </w:rPr>
        <w:t>de verificaci</w:t>
      </w:r>
      <w:r>
        <w:rPr>
          <w:rFonts w:cs="Times New Roman"/>
          <w:spacing w:val="-6"/>
          <w:sz w:val="18"/>
          <w:szCs w:val="18"/>
          <w:lang w:val="es-ES_tradnl"/>
        </w:rPr>
        <w:t>ó</w:t>
      </w:r>
      <w:r>
        <w:rPr>
          <w:spacing w:val="-6"/>
          <w:sz w:val="18"/>
          <w:szCs w:val="18"/>
          <w:lang w:val="es-ES_tradnl"/>
        </w:rPr>
        <w:t xml:space="preserve">n de requisitos para postulantes emitida por </w:t>
      </w:r>
      <w:r>
        <w:rPr>
          <w:spacing w:val="-4"/>
          <w:sz w:val="18"/>
          <w:szCs w:val="18"/>
          <w:lang w:val="es-ES_tradnl"/>
        </w:rPr>
        <w:t>el Tribunal de M</w:t>
      </w:r>
      <w:r>
        <w:rPr>
          <w:rFonts w:cs="Times New Roman"/>
          <w:spacing w:val="-4"/>
          <w:sz w:val="18"/>
          <w:szCs w:val="18"/>
          <w:lang w:val="es-ES_tradnl"/>
        </w:rPr>
        <w:t>é</w:t>
      </w:r>
      <w:r>
        <w:rPr>
          <w:spacing w:val="-4"/>
          <w:sz w:val="18"/>
          <w:szCs w:val="18"/>
          <w:lang w:val="es-ES_tradnl"/>
        </w:rPr>
        <w:t>ritos y Oposici</w:t>
      </w:r>
      <w:r>
        <w:rPr>
          <w:rFonts w:cs="Times New Roman"/>
          <w:spacing w:val="-4"/>
          <w:sz w:val="18"/>
          <w:szCs w:val="18"/>
          <w:lang w:val="es-ES_tradnl"/>
        </w:rPr>
        <w:t>ó</w:t>
      </w:r>
      <w:r>
        <w:rPr>
          <w:spacing w:val="-4"/>
          <w:sz w:val="18"/>
          <w:szCs w:val="18"/>
          <w:lang w:val="es-ES_tradnl"/>
        </w:rPr>
        <w:t xml:space="preserve">n en el primer concurso </w:t>
      </w:r>
      <w:r>
        <w:rPr>
          <w:spacing w:val="-5"/>
          <w:sz w:val="18"/>
          <w:szCs w:val="18"/>
          <w:lang w:val="es-ES_tradnl"/>
        </w:rPr>
        <w:t xml:space="preserve">para el cargo de registrador de la propiedad, aduciendo </w:t>
      </w:r>
      <w:r>
        <w:rPr>
          <w:spacing w:val="-6"/>
          <w:sz w:val="18"/>
          <w:szCs w:val="18"/>
          <w:lang w:val="es-ES_tradnl"/>
        </w:rPr>
        <w:t xml:space="preserve">que se le han vulnerado derechos constitucionales al no </w:t>
      </w:r>
      <w:r>
        <w:rPr>
          <w:spacing w:val="-10"/>
          <w:sz w:val="18"/>
          <w:szCs w:val="18"/>
          <w:lang w:val="es-ES_tradnl"/>
        </w:rPr>
        <w:t>calificar su idoneidad, pues, alega, que s</w:t>
      </w:r>
      <w:r>
        <w:rPr>
          <w:rFonts w:cs="Times New Roman"/>
          <w:spacing w:val="-10"/>
          <w:sz w:val="18"/>
          <w:szCs w:val="18"/>
          <w:lang w:val="es-ES_tradnl"/>
        </w:rPr>
        <w:t>í</w:t>
      </w:r>
      <w:r>
        <w:rPr>
          <w:spacing w:val="-10"/>
          <w:sz w:val="18"/>
          <w:szCs w:val="18"/>
          <w:lang w:val="es-ES_tradnl"/>
        </w:rPr>
        <w:t xml:space="preserve"> cumpl</w:t>
      </w:r>
      <w:r>
        <w:rPr>
          <w:rFonts w:cs="Times New Roman"/>
          <w:spacing w:val="-10"/>
          <w:sz w:val="18"/>
          <w:szCs w:val="18"/>
          <w:lang w:val="es-ES_tradnl"/>
        </w:rPr>
        <w:t>í</w:t>
      </w:r>
      <w:r>
        <w:rPr>
          <w:spacing w:val="-10"/>
          <w:sz w:val="18"/>
          <w:szCs w:val="18"/>
          <w:lang w:val="es-ES_tradnl"/>
        </w:rPr>
        <w:t xml:space="preserve">a con todos </w:t>
      </w:r>
      <w:r>
        <w:rPr>
          <w:spacing w:val="-7"/>
          <w:sz w:val="18"/>
          <w:szCs w:val="18"/>
          <w:lang w:val="es-ES_tradnl"/>
        </w:rPr>
        <w:t xml:space="preserve">los requisitos necesarios para el concurso. Frente a ello, el </w:t>
      </w:r>
      <w:r>
        <w:rPr>
          <w:spacing w:val="-6"/>
          <w:sz w:val="18"/>
          <w:szCs w:val="18"/>
          <w:lang w:val="es-ES_tradnl"/>
        </w:rPr>
        <w:t>Juzgado Noveno Multicompetente de Loja neg</w:t>
      </w:r>
      <w:r>
        <w:rPr>
          <w:rFonts w:cs="Times New Roman"/>
          <w:spacing w:val="-6"/>
          <w:sz w:val="18"/>
          <w:szCs w:val="18"/>
          <w:lang w:val="es-ES_tradnl"/>
        </w:rPr>
        <w:t>ó</w:t>
      </w:r>
      <w:r>
        <w:rPr>
          <w:spacing w:val="-6"/>
          <w:sz w:val="18"/>
          <w:szCs w:val="18"/>
          <w:lang w:val="es-ES_tradnl"/>
        </w:rPr>
        <w:t xml:space="preserve"> la acci</w:t>
      </w:r>
      <w:r>
        <w:rPr>
          <w:rFonts w:cs="Times New Roman"/>
          <w:spacing w:val="-6"/>
          <w:sz w:val="18"/>
          <w:szCs w:val="18"/>
          <w:lang w:val="es-ES_tradnl"/>
        </w:rPr>
        <w:t>ó</w:t>
      </w:r>
      <w:r>
        <w:rPr>
          <w:spacing w:val="-6"/>
          <w:sz w:val="18"/>
          <w:szCs w:val="18"/>
          <w:lang w:val="es-ES_tradnl"/>
        </w:rPr>
        <w:t xml:space="preserve">n </w:t>
      </w:r>
      <w:r>
        <w:rPr>
          <w:spacing w:val="-7"/>
          <w:sz w:val="18"/>
          <w:szCs w:val="18"/>
          <w:lang w:val="es-ES_tradnl"/>
        </w:rPr>
        <w:t>de protecci</w:t>
      </w:r>
      <w:r>
        <w:rPr>
          <w:rFonts w:cs="Times New Roman"/>
          <w:spacing w:val="-7"/>
          <w:sz w:val="18"/>
          <w:szCs w:val="18"/>
          <w:lang w:val="es-ES_tradnl"/>
        </w:rPr>
        <w:t>ó</w:t>
      </w:r>
      <w:r>
        <w:rPr>
          <w:spacing w:val="-7"/>
          <w:sz w:val="18"/>
          <w:szCs w:val="18"/>
          <w:lang w:val="es-ES_tradnl"/>
        </w:rPr>
        <w:t xml:space="preserve">n mediante sentencia del 8 de septiembre de </w:t>
      </w:r>
      <w:r>
        <w:rPr>
          <w:spacing w:val="-5"/>
          <w:sz w:val="18"/>
          <w:szCs w:val="18"/>
          <w:lang w:val="es-ES_tradnl"/>
        </w:rPr>
        <w:t xml:space="preserve">2011. Como consecuencia de dicha negativa, el doctor </w:t>
      </w:r>
      <w:r>
        <w:rPr>
          <w:spacing w:val="-3"/>
          <w:sz w:val="18"/>
          <w:szCs w:val="18"/>
          <w:lang w:val="es-ES_tradnl"/>
        </w:rPr>
        <w:t>V</w:t>
      </w:r>
      <w:r>
        <w:rPr>
          <w:rFonts w:cs="Times New Roman"/>
          <w:spacing w:val="-3"/>
          <w:sz w:val="18"/>
          <w:szCs w:val="18"/>
          <w:lang w:val="es-ES_tradnl"/>
        </w:rPr>
        <w:t>í</w:t>
      </w:r>
      <w:r>
        <w:rPr>
          <w:spacing w:val="-3"/>
          <w:sz w:val="18"/>
          <w:szCs w:val="18"/>
          <w:lang w:val="es-ES_tradnl"/>
        </w:rPr>
        <w:t>ctor Arturo Balc</w:t>
      </w:r>
      <w:r>
        <w:rPr>
          <w:rFonts w:cs="Times New Roman"/>
          <w:spacing w:val="-3"/>
          <w:sz w:val="18"/>
          <w:szCs w:val="18"/>
          <w:lang w:val="es-ES_tradnl"/>
        </w:rPr>
        <w:t>á</w:t>
      </w:r>
      <w:r>
        <w:rPr>
          <w:spacing w:val="-3"/>
          <w:sz w:val="18"/>
          <w:szCs w:val="18"/>
          <w:lang w:val="es-ES_tradnl"/>
        </w:rPr>
        <w:t>zar interpuso recurso de apelaci</w:t>
      </w:r>
      <w:r>
        <w:rPr>
          <w:rFonts w:cs="Times New Roman"/>
          <w:spacing w:val="-3"/>
          <w:sz w:val="18"/>
          <w:szCs w:val="18"/>
          <w:lang w:val="es-ES_tradnl"/>
        </w:rPr>
        <w:t>ó</w:t>
      </w:r>
      <w:r>
        <w:rPr>
          <w:spacing w:val="-3"/>
          <w:sz w:val="18"/>
          <w:szCs w:val="18"/>
          <w:lang w:val="es-ES_tradnl"/>
        </w:rPr>
        <w:t xml:space="preserve">n, </w:t>
      </w:r>
      <w:r>
        <w:rPr>
          <w:spacing w:val="-5"/>
          <w:sz w:val="18"/>
          <w:szCs w:val="18"/>
          <w:lang w:val="es-ES_tradnl"/>
        </w:rPr>
        <w:t>por lo que la acci</w:t>
      </w:r>
      <w:r>
        <w:rPr>
          <w:rFonts w:cs="Times New Roman"/>
          <w:spacing w:val="-5"/>
          <w:sz w:val="18"/>
          <w:szCs w:val="18"/>
          <w:lang w:val="es-ES_tradnl"/>
        </w:rPr>
        <w:t>ó</w:t>
      </w:r>
      <w:r>
        <w:rPr>
          <w:spacing w:val="-5"/>
          <w:sz w:val="18"/>
          <w:szCs w:val="18"/>
          <w:lang w:val="es-ES_tradnl"/>
        </w:rPr>
        <w:t>n pas</w:t>
      </w:r>
      <w:r>
        <w:rPr>
          <w:rFonts w:cs="Times New Roman"/>
          <w:spacing w:val="-5"/>
          <w:sz w:val="18"/>
          <w:szCs w:val="18"/>
          <w:lang w:val="es-ES_tradnl"/>
        </w:rPr>
        <w:t>ó</w:t>
      </w:r>
      <w:r>
        <w:rPr>
          <w:spacing w:val="-5"/>
          <w:sz w:val="18"/>
          <w:szCs w:val="18"/>
          <w:lang w:val="es-ES_tradnl"/>
        </w:rPr>
        <w:t xml:space="preserve"> a conocimiento de la Sala </w:t>
      </w:r>
      <w:r>
        <w:rPr>
          <w:spacing w:val="-3"/>
          <w:sz w:val="18"/>
          <w:szCs w:val="18"/>
          <w:lang w:val="es-ES_tradnl"/>
        </w:rPr>
        <w:t>Especializada de lo Laboral, Ni</w:t>
      </w:r>
      <w:r>
        <w:rPr>
          <w:rFonts w:cs="Times New Roman"/>
          <w:spacing w:val="-3"/>
          <w:sz w:val="18"/>
          <w:szCs w:val="18"/>
          <w:lang w:val="es-ES_tradnl"/>
        </w:rPr>
        <w:t>ñ</w:t>
      </w:r>
      <w:r>
        <w:rPr>
          <w:spacing w:val="-3"/>
          <w:sz w:val="18"/>
          <w:szCs w:val="18"/>
          <w:lang w:val="es-ES_tradnl"/>
        </w:rPr>
        <w:t xml:space="preserve">ez y Adolescencia de </w:t>
      </w:r>
      <w:r>
        <w:rPr>
          <w:spacing w:val="-8"/>
          <w:sz w:val="18"/>
          <w:szCs w:val="18"/>
          <w:lang w:val="es-ES_tradnl"/>
        </w:rPr>
        <w:t xml:space="preserve">Loja, quienes, mediante sentencia dictada el 28 de octubre </w:t>
      </w:r>
      <w:r>
        <w:rPr>
          <w:spacing w:val="-7"/>
          <w:sz w:val="18"/>
          <w:szCs w:val="18"/>
          <w:lang w:val="es-ES_tradnl"/>
        </w:rPr>
        <w:t>de 2011, aceptaron el recurso de apelaci</w:t>
      </w:r>
      <w:r>
        <w:rPr>
          <w:rFonts w:cs="Times New Roman"/>
          <w:spacing w:val="-7"/>
          <w:sz w:val="18"/>
          <w:szCs w:val="18"/>
          <w:lang w:val="es-ES_tradnl"/>
        </w:rPr>
        <w:t>ó</w:t>
      </w:r>
      <w:r>
        <w:rPr>
          <w:spacing w:val="-7"/>
          <w:sz w:val="18"/>
          <w:szCs w:val="18"/>
          <w:lang w:val="es-ES_tradnl"/>
        </w:rPr>
        <w:t xml:space="preserve">n, reconociendo </w:t>
      </w:r>
      <w:r>
        <w:rPr>
          <w:spacing w:val="-6"/>
          <w:sz w:val="18"/>
          <w:szCs w:val="18"/>
          <w:lang w:val="es-ES_tradnl"/>
        </w:rPr>
        <w:t>la vulneraci</w:t>
      </w:r>
      <w:r>
        <w:rPr>
          <w:rFonts w:cs="Times New Roman"/>
          <w:spacing w:val="-6"/>
          <w:sz w:val="18"/>
          <w:szCs w:val="18"/>
          <w:lang w:val="es-ES_tradnl"/>
        </w:rPr>
        <w:t>ó</w:t>
      </w:r>
      <w:r>
        <w:rPr>
          <w:spacing w:val="-6"/>
          <w:sz w:val="18"/>
          <w:szCs w:val="18"/>
          <w:lang w:val="es-ES_tradnl"/>
        </w:rPr>
        <w:t xml:space="preserve">n de derechos constitucionales y declarando </w:t>
      </w:r>
      <w:r>
        <w:rPr>
          <w:spacing w:val="-4"/>
          <w:sz w:val="18"/>
          <w:szCs w:val="18"/>
          <w:lang w:val="es-ES_tradnl"/>
        </w:rPr>
        <w:t>como medida de reparaci</w:t>
      </w:r>
      <w:r>
        <w:rPr>
          <w:rFonts w:cs="Times New Roman"/>
          <w:spacing w:val="-4"/>
          <w:sz w:val="18"/>
          <w:szCs w:val="18"/>
          <w:lang w:val="es-ES_tradnl"/>
        </w:rPr>
        <w:t>ó</w:t>
      </w:r>
      <w:r>
        <w:rPr>
          <w:spacing w:val="-4"/>
          <w:sz w:val="18"/>
          <w:szCs w:val="18"/>
          <w:lang w:val="es-ES_tradnl"/>
        </w:rPr>
        <w:t xml:space="preserve">n integral, la nulidad del acta </w:t>
      </w:r>
      <w:r>
        <w:rPr>
          <w:spacing w:val="-7"/>
          <w:sz w:val="18"/>
          <w:szCs w:val="18"/>
          <w:lang w:val="es-ES_tradnl"/>
        </w:rPr>
        <w:t>de verificaci</w:t>
      </w:r>
      <w:r>
        <w:rPr>
          <w:rFonts w:cs="Times New Roman"/>
          <w:spacing w:val="-7"/>
          <w:sz w:val="18"/>
          <w:szCs w:val="18"/>
          <w:lang w:val="es-ES_tradnl"/>
        </w:rPr>
        <w:t>ó</w:t>
      </w:r>
      <w:r>
        <w:rPr>
          <w:spacing w:val="-7"/>
          <w:sz w:val="18"/>
          <w:szCs w:val="18"/>
          <w:lang w:val="es-ES_tradnl"/>
        </w:rPr>
        <w:t xml:space="preserve">n de requisitos de carpeta de los postulantes </w:t>
      </w:r>
      <w:r>
        <w:rPr>
          <w:sz w:val="18"/>
          <w:szCs w:val="18"/>
          <w:lang w:val="es-ES_tradnl"/>
        </w:rPr>
        <w:t>para registrador de la propiedad; as</w:t>
      </w:r>
      <w:r>
        <w:rPr>
          <w:rFonts w:cs="Times New Roman"/>
          <w:sz w:val="18"/>
          <w:szCs w:val="18"/>
          <w:lang w:val="es-ES_tradnl"/>
        </w:rPr>
        <w:t>í</w:t>
      </w:r>
      <w:r>
        <w:rPr>
          <w:sz w:val="18"/>
          <w:szCs w:val="18"/>
          <w:lang w:val="es-ES_tradnl"/>
        </w:rPr>
        <w:t xml:space="preserve"> como la nulidad </w:t>
      </w:r>
      <w:r>
        <w:rPr>
          <w:spacing w:val="-5"/>
          <w:sz w:val="18"/>
          <w:szCs w:val="18"/>
          <w:lang w:val="es-ES_tradnl"/>
        </w:rPr>
        <w:t xml:space="preserve">de todos los actos posteriores emitidos por el Tribunal </w:t>
      </w:r>
      <w:r>
        <w:rPr>
          <w:spacing w:val="-6"/>
          <w:sz w:val="18"/>
          <w:szCs w:val="18"/>
          <w:lang w:val="es-ES_tradnl"/>
        </w:rPr>
        <w:t>tendientes a nombrar registrador de la propiedad.</w:t>
      </w:r>
    </w:p>
    <w:p w14:paraId="4F67B274" w14:textId="77777777" w:rsidR="00591D54" w:rsidRDefault="00591D54">
      <w:pPr>
        <w:shd w:val="clear" w:color="auto" w:fill="FFFFFF"/>
        <w:spacing w:before="197" w:line="216" w:lineRule="exact"/>
        <w:jc w:val="both"/>
      </w:pPr>
      <w:r>
        <w:rPr>
          <w:spacing w:val="-7"/>
          <w:sz w:val="18"/>
          <w:szCs w:val="18"/>
          <w:lang w:val="es-ES_tradnl"/>
        </w:rPr>
        <w:t xml:space="preserve">Conforme se desprende de la demanda, los accionantes </w:t>
      </w:r>
      <w:r>
        <w:rPr>
          <w:spacing w:val="-8"/>
          <w:sz w:val="18"/>
          <w:szCs w:val="18"/>
          <w:lang w:val="es-ES_tradnl"/>
        </w:rPr>
        <w:t xml:space="preserve">manifiestan que la sentencia dictada dentro del recurso de </w:t>
      </w:r>
      <w:r>
        <w:rPr>
          <w:spacing w:val="-6"/>
          <w:sz w:val="18"/>
          <w:szCs w:val="18"/>
          <w:lang w:val="es-ES_tradnl"/>
        </w:rPr>
        <w:t>apelaci</w:t>
      </w:r>
      <w:r>
        <w:rPr>
          <w:rFonts w:cs="Times New Roman"/>
          <w:spacing w:val="-6"/>
          <w:sz w:val="18"/>
          <w:szCs w:val="18"/>
          <w:lang w:val="es-ES_tradnl"/>
        </w:rPr>
        <w:t>ó</w:t>
      </w:r>
      <w:r>
        <w:rPr>
          <w:spacing w:val="-6"/>
          <w:sz w:val="18"/>
          <w:szCs w:val="18"/>
          <w:lang w:val="es-ES_tradnl"/>
        </w:rPr>
        <w:t>n ha dejado en suspenso la situaci</w:t>
      </w:r>
      <w:r>
        <w:rPr>
          <w:rFonts w:cs="Times New Roman"/>
          <w:spacing w:val="-6"/>
          <w:sz w:val="18"/>
          <w:szCs w:val="18"/>
          <w:lang w:val="es-ES_tradnl"/>
        </w:rPr>
        <w:t>ó</w:t>
      </w:r>
      <w:r>
        <w:rPr>
          <w:spacing w:val="-6"/>
          <w:sz w:val="18"/>
          <w:szCs w:val="18"/>
          <w:lang w:val="es-ES_tradnl"/>
        </w:rPr>
        <w:t xml:space="preserve">n del actual </w:t>
      </w:r>
      <w:r>
        <w:rPr>
          <w:spacing w:val="-7"/>
          <w:sz w:val="18"/>
          <w:szCs w:val="18"/>
          <w:lang w:val="es-ES_tradnl"/>
        </w:rPr>
        <w:t xml:space="preserve">registrador de la propiedad quien ya ha realizado actos en </w:t>
      </w:r>
      <w:r>
        <w:rPr>
          <w:spacing w:val="-5"/>
          <w:sz w:val="18"/>
          <w:szCs w:val="18"/>
          <w:lang w:val="es-ES_tradnl"/>
        </w:rPr>
        <w:t xml:space="preserve">ejercicio de sus funciones tras haber sido el ganador del </w:t>
      </w:r>
      <w:r>
        <w:rPr>
          <w:spacing w:val="-7"/>
          <w:sz w:val="18"/>
          <w:szCs w:val="18"/>
          <w:lang w:val="es-ES_tradnl"/>
        </w:rPr>
        <w:t>segundo concurso de oposici</w:t>
      </w:r>
      <w:r>
        <w:rPr>
          <w:rFonts w:cs="Times New Roman"/>
          <w:spacing w:val="-7"/>
          <w:sz w:val="18"/>
          <w:szCs w:val="18"/>
          <w:lang w:val="es-ES_tradnl"/>
        </w:rPr>
        <w:t>ó</w:t>
      </w:r>
      <w:r>
        <w:rPr>
          <w:spacing w:val="-7"/>
          <w:sz w:val="18"/>
          <w:szCs w:val="18"/>
          <w:lang w:val="es-ES_tradnl"/>
        </w:rPr>
        <w:t>n y m</w:t>
      </w:r>
      <w:r>
        <w:rPr>
          <w:rFonts w:cs="Times New Roman"/>
          <w:spacing w:val="-7"/>
          <w:sz w:val="18"/>
          <w:szCs w:val="18"/>
          <w:lang w:val="es-ES_tradnl"/>
        </w:rPr>
        <w:t>é</w:t>
      </w:r>
      <w:r>
        <w:rPr>
          <w:spacing w:val="-7"/>
          <w:sz w:val="18"/>
          <w:szCs w:val="18"/>
          <w:lang w:val="es-ES_tradnl"/>
        </w:rPr>
        <w:t xml:space="preserve">ritos. Adicionalmente </w:t>
      </w:r>
      <w:r>
        <w:rPr>
          <w:spacing w:val="-9"/>
          <w:sz w:val="18"/>
          <w:szCs w:val="18"/>
          <w:lang w:val="es-ES_tradnl"/>
        </w:rPr>
        <w:t>manifiestan, que el acto administrativo materia de la acci</w:t>
      </w:r>
      <w:r>
        <w:rPr>
          <w:rFonts w:cs="Times New Roman"/>
          <w:spacing w:val="-9"/>
          <w:sz w:val="18"/>
          <w:szCs w:val="18"/>
          <w:lang w:val="es-ES_tradnl"/>
        </w:rPr>
        <w:t>ó</w:t>
      </w:r>
      <w:r>
        <w:rPr>
          <w:spacing w:val="-9"/>
          <w:sz w:val="18"/>
          <w:szCs w:val="18"/>
          <w:lang w:val="es-ES_tradnl"/>
        </w:rPr>
        <w:t xml:space="preserve">n </w:t>
      </w:r>
      <w:r>
        <w:rPr>
          <w:spacing w:val="-3"/>
          <w:sz w:val="18"/>
          <w:szCs w:val="18"/>
          <w:lang w:val="es-ES_tradnl"/>
        </w:rPr>
        <w:t>de protecci</w:t>
      </w:r>
      <w:r>
        <w:rPr>
          <w:rFonts w:cs="Times New Roman"/>
          <w:spacing w:val="-3"/>
          <w:sz w:val="18"/>
          <w:szCs w:val="18"/>
          <w:lang w:val="es-ES_tradnl"/>
        </w:rPr>
        <w:t>ó</w:t>
      </w:r>
      <w:r>
        <w:rPr>
          <w:spacing w:val="-3"/>
          <w:sz w:val="18"/>
          <w:szCs w:val="18"/>
          <w:lang w:val="es-ES_tradnl"/>
        </w:rPr>
        <w:t>n es inexistente al haber sido reemplazado</w:t>
      </w:r>
    </w:p>
    <w:p w14:paraId="4F67B275" w14:textId="77777777" w:rsidR="00591D54" w:rsidRDefault="00591D54">
      <w:pPr>
        <w:shd w:val="clear" w:color="auto" w:fill="FFFFFF"/>
        <w:spacing w:before="197" w:line="216" w:lineRule="exact"/>
        <w:jc w:val="both"/>
        <w:sectPr w:rsidR="00591D54">
          <w:type w:val="continuous"/>
          <w:pgSz w:w="11909" w:h="16834"/>
          <w:pgMar w:top="1361" w:right="1304" w:bottom="360" w:left="1308" w:header="720" w:footer="720" w:gutter="0"/>
          <w:cols w:num="2" w:space="720" w:equalWidth="0">
            <w:col w:w="4310" w:space="677"/>
            <w:col w:w="4310"/>
          </w:cols>
          <w:noEndnote/>
        </w:sectPr>
      </w:pPr>
    </w:p>
    <w:p w14:paraId="4F67B276"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- 183</w:t>
      </w:r>
    </w:p>
    <w:p w14:paraId="4F67B277" w14:textId="77777777" w:rsidR="00591D54" w:rsidRDefault="00591D54">
      <w:pPr>
        <w:shd w:val="clear" w:color="auto" w:fill="FFFFFF"/>
        <w:tabs>
          <w:tab w:val="left" w:pos="5842"/>
        </w:tabs>
        <w:spacing w:after="235"/>
        <w:ind w:left="5"/>
        <w:sectPr w:rsidR="00591D54">
          <w:pgSz w:w="11909" w:h="16834"/>
          <w:pgMar w:top="1356" w:right="1304" w:bottom="360" w:left="1308" w:header="720" w:footer="720" w:gutter="0"/>
          <w:cols w:space="60"/>
          <w:noEndnote/>
        </w:sectPr>
      </w:pPr>
    </w:p>
    <w:p w14:paraId="4F67B278" w14:textId="77777777" w:rsidR="00591D54" w:rsidRDefault="00591D54">
      <w:pPr>
        <w:shd w:val="clear" w:color="auto" w:fill="FFFFFF"/>
        <w:spacing w:line="211" w:lineRule="exact"/>
        <w:jc w:val="both"/>
      </w:pPr>
      <w:r>
        <w:rPr>
          <w:spacing w:val="-5"/>
          <w:sz w:val="18"/>
          <w:szCs w:val="18"/>
          <w:lang w:val="es-ES_tradnl"/>
        </w:rPr>
        <w:t>por otro de caracter</w:t>
      </w:r>
      <w:r>
        <w:rPr>
          <w:rFonts w:cs="Times New Roman"/>
          <w:spacing w:val="-5"/>
          <w:sz w:val="18"/>
          <w:szCs w:val="18"/>
          <w:lang w:val="es-ES_tradnl"/>
        </w:rPr>
        <w:t>í</w:t>
      </w:r>
      <w:r>
        <w:rPr>
          <w:spacing w:val="-5"/>
          <w:sz w:val="18"/>
          <w:szCs w:val="18"/>
          <w:lang w:val="es-ES_tradnl"/>
        </w:rPr>
        <w:t xml:space="preserve">sticas similares dentro del segundo </w:t>
      </w:r>
      <w:r>
        <w:rPr>
          <w:spacing w:val="-2"/>
          <w:sz w:val="18"/>
          <w:szCs w:val="18"/>
          <w:lang w:val="es-ES_tradnl"/>
        </w:rPr>
        <w:t>concurso en el cual el doctor V</w:t>
      </w:r>
      <w:r>
        <w:rPr>
          <w:rFonts w:cs="Times New Roman"/>
          <w:spacing w:val="-2"/>
          <w:sz w:val="18"/>
          <w:szCs w:val="18"/>
          <w:lang w:val="es-ES_tradnl"/>
        </w:rPr>
        <w:t>í</w:t>
      </w:r>
      <w:r>
        <w:rPr>
          <w:spacing w:val="-2"/>
          <w:sz w:val="18"/>
          <w:szCs w:val="18"/>
          <w:lang w:val="es-ES_tradnl"/>
        </w:rPr>
        <w:t>ctor Arturo Balc</w:t>
      </w:r>
      <w:r>
        <w:rPr>
          <w:rFonts w:cs="Times New Roman"/>
          <w:spacing w:val="-2"/>
          <w:sz w:val="18"/>
          <w:szCs w:val="18"/>
          <w:lang w:val="es-ES_tradnl"/>
        </w:rPr>
        <w:t>á</w:t>
      </w:r>
      <w:r>
        <w:rPr>
          <w:spacing w:val="-2"/>
          <w:sz w:val="18"/>
          <w:szCs w:val="18"/>
          <w:lang w:val="es-ES_tradnl"/>
        </w:rPr>
        <w:t xml:space="preserve">zar </w:t>
      </w:r>
      <w:r>
        <w:rPr>
          <w:sz w:val="18"/>
          <w:szCs w:val="18"/>
          <w:lang w:val="es-ES_tradnl"/>
        </w:rPr>
        <w:t>tambi</w:t>
      </w:r>
      <w:r>
        <w:rPr>
          <w:rFonts w:cs="Times New Roman"/>
          <w:sz w:val="18"/>
          <w:szCs w:val="18"/>
          <w:lang w:val="es-ES_tradnl"/>
        </w:rPr>
        <w:t>é</w:t>
      </w:r>
      <w:r>
        <w:rPr>
          <w:sz w:val="18"/>
          <w:szCs w:val="18"/>
          <w:lang w:val="es-ES_tradnl"/>
        </w:rPr>
        <w:t>n particip</w:t>
      </w:r>
      <w:r>
        <w:rPr>
          <w:rFonts w:cs="Times New Roman"/>
          <w:sz w:val="18"/>
          <w:szCs w:val="18"/>
          <w:lang w:val="es-ES_tradnl"/>
        </w:rPr>
        <w:t>ó</w:t>
      </w:r>
      <w:r>
        <w:rPr>
          <w:sz w:val="18"/>
          <w:szCs w:val="18"/>
          <w:lang w:val="es-ES_tradnl"/>
        </w:rPr>
        <w:t>.</w:t>
      </w:r>
    </w:p>
    <w:p w14:paraId="4F67B279" w14:textId="77777777" w:rsidR="00591D54" w:rsidRDefault="00591D54">
      <w:pPr>
        <w:shd w:val="clear" w:color="auto" w:fill="FFFFFF"/>
        <w:spacing w:before="192" w:line="211" w:lineRule="exact"/>
        <w:ind w:right="5"/>
        <w:jc w:val="both"/>
      </w:pPr>
      <w:r>
        <w:rPr>
          <w:sz w:val="18"/>
          <w:szCs w:val="18"/>
          <w:lang w:val="es-ES_tradnl"/>
        </w:rPr>
        <w:t>A criterio de los accionantes, el doctor V</w:t>
      </w:r>
      <w:r>
        <w:rPr>
          <w:rFonts w:cs="Times New Roman"/>
          <w:sz w:val="18"/>
          <w:szCs w:val="18"/>
          <w:lang w:val="es-ES_tradnl"/>
        </w:rPr>
        <w:t>í</w:t>
      </w:r>
      <w:r>
        <w:rPr>
          <w:sz w:val="18"/>
          <w:szCs w:val="18"/>
          <w:lang w:val="es-ES_tradnl"/>
        </w:rPr>
        <w:t xml:space="preserve">ctor </w:t>
      </w:r>
      <w:r>
        <w:rPr>
          <w:spacing w:val="-5"/>
          <w:sz w:val="18"/>
          <w:szCs w:val="18"/>
          <w:lang w:val="es-ES_tradnl"/>
        </w:rPr>
        <w:t>Arturo Balc</w:t>
      </w:r>
      <w:r>
        <w:rPr>
          <w:rFonts w:cs="Times New Roman"/>
          <w:spacing w:val="-5"/>
          <w:sz w:val="18"/>
          <w:szCs w:val="18"/>
          <w:lang w:val="es-ES_tradnl"/>
        </w:rPr>
        <w:t>á</w:t>
      </w:r>
      <w:r>
        <w:rPr>
          <w:spacing w:val="-5"/>
          <w:sz w:val="18"/>
          <w:szCs w:val="18"/>
          <w:lang w:val="es-ES_tradnl"/>
        </w:rPr>
        <w:t>zar pretend</w:t>
      </w:r>
      <w:r>
        <w:rPr>
          <w:rFonts w:cs="Times New Roman"/>
          <w:spacing w:val="-5"/>
          <w:sz w:val="18"/>
          <w:szCs w:val="18"/>
          <w:lang w:val="es-ES_tradnl"/>
        </w:rPr>
        <w:t>í</w:t>
      </w:r>
      <w:r>
        <w:rPr>
          <w:spacing w:val="-5"/>
          <w:sz w:val="18"/>
          <w:szCs w:val="18"/>
          <w:lang w:val="es-ES_tradnl"/>
        </w:rPr>
        <w:t>a a trav</w:t>
      </w:r>
      <w:r>
        <w:rPr>
          <w:rFonts w:cs="Times New Roman"/>
          <w:spacing w:val="-5"/>
          <w:sz w:val="18"/>
          <w:szCs w:val="18"/>
          <w:lang w:val="es-ES_tradnl"/>
        </w:rPr>
        <w:t>é</w:t>
      </w:r>
      <w:r>
        <w:rPr>
          <w:spacing w:val="-5"/>
          <w:sz w:val="18"/>
          <w:szCs w:val="18"/>
          <w:lang w:val="es-ES_tradnl"/>
        </w:rPr>
        <w:t>s de una acci</w:t>
      </w:r>
      <w:r>
        <w:rPr>
          <w:rFonts w:cs="Times New Roman"/>
          <w:spacing w:val="-5"/>
          <w:sz w:val="18"/>
          <w:szCs w:val="18"/>
          <w:lang w:val="es-ES_tradnl"/>
        </w:rPr>
        <w:t>ó</w:t>
      </w:r>
      <w:r>
        <w:rPr>
          <w:spacing w:val="-5"/>
          <w:sz w:val="18"/>
          <w:szCs w:val="18"/>
          <w:lang w:val="es-ES_tradnl"/>
        </w:rPr>
        <w:t xml:space="preserve">n de </w:t>
      </w:r>
      <w:r>
        <w:rPr>
          <w:spacing w:val="-8"/>
          <w:sz w:val="18"/>
          <w:szCs w:val="18"/>
          <w:lang w:val="es-ES_tradnl"/>
        </w:rPr>
        <w:t>protecci</w:t>
      </w:r>
      <w:r>
        <w:rPr>
          <w:rFonts w:cs="Times New Roman"/>
          <w:spacing w:val="-8"/>
          <w:sz w:val="18"/>
          <w:szCs w:val="18"/>
          <w:lang w:val="es-ES_tradnl"/>
        </w:rPr>
        <w:t>ó</w:t>
      </w:r>
      <w:r>
        <w:rPr>
          <w:spacing w:val="-8"/>
          <w:sz w:val="18"/>
          <w:szCs w:val="18"/>
          <w:lang w:val="es-ES_tradnl"/>
        </w:rPr>
        <w:t xml:space="preserve">n subsanar su descuido al no haber presentado </w:t>
      </w:r>
      <w:r>
        <w:rPr>
          <w:spacing w:val="-6"/>
          <w:sz w:val="18"/>
          <w:szCs w:val="18"/>
          <w:lang w:val="es-ES_tradnl"/>
        </w:rPr>
        <w:t>documentaci</w:t>
      </w:r>
      <w:r>
        <w:rPr>
          <w:rFonts w:cs="Times New Roman"/>
          <w:spacing w:val="-6"/>
          <w:sz w:val="18"/>
          <w:szCs w:val="18"/>
          <w:lang w:val="es-ES_tradnl"/>
        </w:rPr>
        <w:t>ó</w:t>
      </w:r>
      <w:r>
        <w:rPr>
          <w:spacing w:val="-6"/>
          <w:sz w:val="18"/>
          <w:szCs w:val="18"/>
          <w:lang w:val="es-ES_tradnl"/>
        </w:rPr>
        <w:t>n que justifique dentro del primer concurso su idoneidad y probidad como abogado, as</w:t>
      </w:r>
      <w:r>
        <w:rPr>
          <w:rFonts w:cs="Times New Roman"/>
          <w:spacing w:val="-6"/>
          <w:sz w:val="18"/>
          <w:szCs w:val="18"/>
          <w:lang w:val="es-ES_tradnl"/>
        </w:rPr>
        <w:t>í</w:t>
      </w:r>
      <w:r>
        <w:rPr>
          <w:spacing w:val="-6"/>
          <w:sz w:val="18"/>
          <w:szCs w:val="18"/>
          <w:lang w:val="es-ES_tradnl"/>
        </w:rPr>
        <w:t xml:space="preserve"> como el </w:t>
      </w:r>
      <w:r>
        <w:rPr>
          <w:spacing w:val="-5"/>
          <w:sz w:val="18"/>
          <w:szCs w:val="18"/>
          <w:lang w:val="es-ES_tradnl"/>
        </w:rPr>
        <w:t xml:space="preserve">documento que le acredite dentro del segundo concurso </w:t>
      </w:r>
      <w:r>
        <w:rPr>
          <w:spacing w:val="-8"/>
          <w:sz w:val="18"/>
          <w:szCs w:val="18"/>
          <w:lang w:val="es-ES_tradnl"/>
        </w:rPr>
        <w:t>de no tener impedimento para desempe</w:t>
      </w:r>
      <w:r>
        <w:rPr>
          <w:rFonts w:cs="Times New Roman"/>
          <w:spacing w:val="-8"/>
          <w:sz w:val="18"/>
          <w:szCs w:val="18"/>
          <w:lang w:val="es-ES_tradnl"/>
        </w:rPr>
        <w:t>ñ</w:t>
      </w:r>
      <w:r>
        <w:rPr>
          <w:spacing w:val="-8"/>
          <w:sz w:val="18"/>
          <w:szCs w:val="18"/>
          <w:lang w:val="es-ES_tradnl"/>
        </w:rPr>
        <w:t>ar cargo p</w:t>
      </w:r>
      <w:r>
        <w:rPr>
          <w:rFonts w:cs="Times New Roman"/>
          <w:spacing w:val="-8"/>
          <w:sz w:val="18"/>
          <w:szCs w:val="18"/>
          <w:lang w:val="es-ES_tradnl"/>
        </w:rPr>
        <w:t>ú</w:t>
      </w:r>
      <w:r>
        <w:rPr>
          <w:spacing w:val="-8"/>
          <w:sz w:val="18"/>
          <w:szCs w:val="18"/>
          <w:lang w:val="es-ES_tradnl"/>
        </w:rPr>
        <w:t xml:space="preserve">blico. </w:t>
      </w:r>
      <w:r>
        <w:rPr>
          <w:spacing w:val="-6"/>
          <w:sz w:val="18"/>
          <w:szCs w:val="18"/>
          <w:lang w:val="es-ES_tradnl"/>
        </w:rPr>
        <w:t xml:space="preserve">Adicionalmente, los accionantes manifiestan que para el </w:t>
      </w:r>
      <w:r>
        <w:rPr>
          <w:spacing w:val="-11"/>
          <w:sz w:val="18"/>
          <w:szCs w:val="18"/>
          <w:lang w:val="es-ES_tradnl"/>
        </w:rPr>
        <w:t>primer concurso, se requer</w:t>
      </w:r>
      <w:r>
        <w:rPr>
          <w:rFonts w:cs="Times New Roman"/>
          <w:spacing w:val="-11"/>
          <w:sz w:val="18"/>
          <w:szCs w:val="18"/>
          <w:lang w:val="es-ES_tradnl"/>
        </w:rPr>
        <w:t>í</w:t>
      </w:r>
      <w:r>
        <w:rPr>
          <w:spacing w:val="-11"/>
          <w:sz w:val="18"/>
          <w:szCs w:val="18"/>
          <w:lang w:val="es-ES_tradnl"/>
        </w:rPr>
        <w:t>a demostrar que la persona hab</w:t>
      </w:r>
      <w:r>
        <w:rPr>
          <w:rFonts w:cs="Times New Roman"/>
          <w:spacing w:val="-11"/>
          <w:sz w:val="18"/>
          <w:szCs w:val="18"/>
          <w:lang w:val="es-ES_tradnl"/>
        </w:rPr>
        <w:t>í</w:t>
      </w:r>
      <w:r>
        <w:rPr>
          <w:spacing w:val="-11"/>
          <w:sz w:val="18"/>
          <w:szCs w:val="18"/>
          <w:lang w:val="es-ES_tradnl"/>
        </w:rPr>
        <w:t xml:space="preserve">a </w:t>
      </w:r>
      <w:r>
        <w:rPr>
          <w:spacing w:val="-7"/>
          <w:sz w:val="18"/>
          <w:szCs w:val="18"/>
          <w:lang w:val="es-ES_tradnl"/>
        </w:rPr>
        <w:t>ejercido con probidad e idoneidad notoria la profesi</w:t>
      </w:r>
      <w:r>
        <w:rPr>
          <w:rFonts w:cs="Times New Roman"/>
          <w:spacing w:val="-7"/>
          <w:sz w:val="18"/>
          <w:szCs w:val="18"/>
          <w:lang w:val="es-ES_tradnl"/>
        </w:rPr>
        <w:t>ó</w:t>
      </w:r>
      <w:r>
        <w:rPr>
          <w:spacing w:val="-7"/>
          <w:sz w:val="18"/>
          <w:szCs w:val="18"/>
          <w:lang w:val="es-ES_tradnl"/>
        </w:rPr>
        <w:t xml:space="preserve">n y no </w:t>
      </w:r>
      <w:r>
        <w:rPr>
          <w:spacing w:val="-9"/>
          <w:sz w:val="18"/>
          <w:szCs w:val="18"/>
          <w:lang w:val="es-ES_tradnl"/>
        </w:rPr>
        <w:t>solamente justificar el tiempo de tres a</w:t>
      </w:r>
      <w:r>
        <w:rPr>
          <w:rFonts w:cs="Times New Roman"/>
          <w:spacing w:val="-9"/>
          <w:sz w:val="18"/>
          <w:szCs w:val="18"/>
          <w:lang w:val="es-ES_tradnl"/>
        </w:rPr>
        <w:t>ñ</w:t>
      </w:r>
      <w:r>
        <w:rPr>
          <w:spacing w:val="-9"/>
          <w:sz w:val="18"/>
          <w:szCs w:val="18"/>
          <w:lang w:val="es-ES_tradnl"/>
        </w:rPr>
        <w:t>os en que se hab</w:t>
      </w:r>
      <w:r>
        <w:rPr>
          <w:rFonts w:cs="Times New Roman"/>
          <w:spacing w:val="-9"/>
          <w:sz w:val="18"/>
          <w:szCs w:val="18"/>
          <w:lang w:val="es-ES_tradnl"/>
        </w:rPr>
        <w:t>í</w:t>
      </w:r>
      <w:r>
        <w:rPr>
          <w:spacing w:val="-9"/>
          <w:sz w:val="18"/>
          <w:szCs w:val="18"/>
          <w:lang w:val="es-ES_tradnl"/>
        </w:rPr>
        <w:t xml:space="preserve">a </w:t>
      </w:r>
      <w:r>
        <w:rPr>
          <w:spacing w:val="-8"/>
          <w:sz w:val="18"/>
          <w:szCs w:val="18"/>
          <w:lang w:val="es-ES_tradnl"/>
        </w:rPr>
        <w:t>ejercido la profesi</w:t>
      </w:r>
      <w:r>
        <w:rPr>
          <w:rFonts w:cs="Times New Roman"/>
          <w:spacing w:val="-8"/>
          <w:sz w:val="18"/>
          <w:szCs w:val="18"/>
          <w:lang w:val="es-ES_tradnl"/>
        </w:rPr>
        <w:t>ó</w:t>
      </w:r>
      <w:r>
        <w:rPr>
          <w:spacing w:val="-8"/>
          <w:sz w:val="18"/>
          <w:szCs w:val="18"/>
          <w:lang w:val="es-ES_tradnl"/>
        </w:rPr>
        <w:t>n de abogado el se</w:t>
      </w:r>
      <w:r>
        <w:rPr>
          <w:rFonts w:cs="Times New Roman"/>
          <w:spacing w:val="-8"/>
          <w:sz w:val="18"/>
          <w:szCs w:val="18"/>
          <w:lang w:val="es-ES_tradnl"/>
        </w:rPr>
        <w:t>ñ</w:t>
      </w:r>
      <w:r>
        <w:rPr>
          <w:spacing w:val="-8"/>
          <w:sz w:val="18"/>
          <w:szCs w:val="18"/>
          <w:lang w:val="es-ES_tradnl"/>
        </w:rPr>
        <w:t>or Balc</w:t>
      </w:r>
      <w:r>
        <w:rPr>
          <w:rFonts w:cs="Times New Roman"/>
          <w:spacing w:val="-8"/>
          <w:sz w:val="18"/>
          <w:szCs w:val="18"/>
          <w:lang w:val="es-ES_tradnl"/>
        </w:rPr>
        <w:t>á</w:t>
      </w:r>
      <w:r>
        <w:rPr>
          <w:spacing w:val="-8"/>
          <w:sz w:val="18"/>
          <w:szCs w:val="18"/>
          <w:lang w:val="es-ES_tradnl"/>
        </w:rPr>
        <w:t xml:space="preserve">zar como lo </w:t>
      </w:r>
      <w:r>
        <w:rPr>
          <w:spacing w:val="-9"/>
          <w:sz w:val="18"/>
          <w:szCs w:val="18"/>
          <w:lang w:val="es-ES_tradnl"/>
        </w:rPr>
        <w:t xml:space="preserve">interpreta de forma errada la Sala de la Corte Provincial que </w:t>
      </w:r>
      <w:r>
        <w:rPr>
          <w:sz w:val="18"/>
          <w:szCs w:val="18"/>
          <w:lang w:val="es-ES_tradnl"/>
        </w:rPr>
        <w:t>dict</w:t>
      </w:r>
      <w:r>
        <w:rPr>
          <w:rFonts w:cs="Times New Roman"/>
          <w:sz w:val="18"/>
          <w:szCs w:val="18"/>
          <w:lang w:val="es-ES_tradnl"/>
        </w:rPr>
        <w:t>ó</w:t>
      </w:r>
      <w:r>
        <w:rPr>
          <w:sz w:val="18"/>
          <w:szCs w:val="18"/>
          <w:lang w:val="es-ES_tradnl"/>
        </w:rPr>
        <w:t xml:space="preserve"> la sentencia.</w:t>
      </w:r>
    </w:p>
    <w:p w14:paraId="4F67B27A" w14:textId="77777777" w:rsidR="00591D54" w:rsidRDefault="00591D54">
      <w:pPr>
        <w:shd w:val="clear" w:color="auto" w:fill="FFFFFF"/>
        <w:spacing w:before="192" w:line="211" w:lineRule="exact"/>
        <w:ind w:right="5"/>
        <w:jc w:val="both"/>
      </w:pPr>
      <w:r>
        <w:rPr>
          <w:spacing w:val="-8"/>
          <w:sz w:val="18"/>
          <w:szCs w:val="18"/>
          <w:lang w:val="es-ES_tradnl"/>
        </w:rPr>
        <w:t>En base a los argumentos expuestos, los accionantes consideran que dentro de la sentencia impugnada, se han vulnerado los derechos a la seguridad jur</w:t>
      </w:r>
      <w:r>
        <w:rPr>
          <w:rFonts w:cs="Times New Roman"/>
          <w:spacing w:val="-8"/>
          <w:sz w:val="18"/>
          <w:szCs w:val="18"/>
          <w:lang w:val="es-ES_tradnl"/>
        </w:rPr>
        <w:t>í</w:t>
      </w:r>
      <w:r>
        <w:rPr>
          <w:spacing w:val="-8"/>
          <w:sz w:val="18"/>
          <w:szCs w:val="18"/>
          <w:lang w:val="es-ES_tradnl"/>
        </w:rPr>
        <w:t xml:space="preserve">dica consagrado </w:t>
      </w:r>
      <w:r>
        <w:rPr>
          <w:spacing w:val="-5"/>
          <w:sz w:val="18"/>
          <w:szCs w:val="18"/>
          <w:lang w:val="es-ES_tradnl"/>
        </w:rPr>
        <w:t>en el art</w:t>
      </w:r>
      <w:r>
        <w:rPr>
          <w:rFonts w:cs="Times New Roman"/>
          <w:spacing w:val="-5"/>
          <w:sz w:val="18"/>
          <w:szCs w:val="18"/>
          <w:lang w:val="es-ES_tradnl"/>
        </w:rPr>
        <w:t>í</w:t>
      </w:r>
      <w:r>
        <w:rPr>
          <w:spacing w:val="-5"/>
          <w:sz w:val="18"/>
          <w:szCs w:val="18"/>
          <w:lang w:val="es-ES_tradnl"/>
        </w:rPr>
        <w:t>culo 82 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 xml:space="preserve">blica y el </w:t>
      </w:r>
      <w:r>
        <w:rPr>
          <w:spacing w:val="-8"/>
          <w:sz w:val="18"/>
          <w:szCs w:val="18"/>
          <w:lang w:val="es-ES_tradnl"/>
        </w:rPr>
        <w:t>derecho al debido proceso, dentro de la garant</w:t>
      </w:r>
      <w:r>
        <w:rPr>
          <w:rFonts w:cs="Times New Roman"/>
          <w:spacing w:val="-8"/>
          <w:sz w:val="18"/>
          <w:szCs w:val="18"/>
          <w:lang w:val="es-ES_tradnl"/>
        </w:rPr>
        <w:t>í</w:t>
      </w:r>
      <w:r>
        <w:rPr>
          <w:spacing w:val="-8"/>
          <w:sz w:val="18"/>
          <w:szCs w:val="18"/>
          <w:lang w:val="es-ES_tradnl"/>
        </w:rPr>
        <w:t xml:space="preserve">a contenida </w:t>
      </w:r>
      <w:r>
        <w:rPr>
          <w:spacing w:val="-6"/>
          <w:sz w:val="18"/>
          <w:szCs w:val="18"/>
          <w:lang w:val="es-ES_tradnl"/>
        </w:rPr>
        <w:t>en el art</w:t>
      </w:r>
      <w:r>
        <w:rPr>
          <w:rFonts w:cs="Times New Roman"/>
          <w:spacing w:val="-6"/>
          <w:sz w:val="18"/>
          <w:szCs w:val="18"/>
          <w:lang w:val="es-ES_tradnl"/>
        </w:rPr>
        <w:t>í</w:t>
      </w:r>
      <w:r>
        <w:rPr>
          <w:spacing w:val="-6"/>
          <w:sz w:val="18"/>
          <w:szCs w:val="18"/>
          <w:lang w:val="es-ES_tradnl"/>
        </w:rPr>
        <w:t xml:space="preserve">culo 76 numeral 7 literal </w:t>
      </w:r>
      <w:r>
        <w:rPr>
          <w:b/>
          <w:bCs/>
          <w:spacing w:val="-6"/>
          <w:sz w:val="18"/>
          <w:szCs w:val="18"/>
          <w:lang w:val="es-ES_tradnl"/>
        </w:rPr>
        <w:t xml:space="preserve">l </w:t>
      </w:r>
      <w:r>
        <w:rPr>
          <w:spacing w:val="-6"/>
          <w:sz w:val="18"/>
          <w:szCs w:val="18"/>
          <w:lang w:val="es-ES_tradnl"/>
        </w:rPr>
        <w:t>de la norma ib</w:t>
      </w:r>
      <w:r>
        <w:rPr>
          <w:rFonts w:cs="Times New Roman"/>
          <w:spacing w:val="-6"/>
          <w:sz w:val="18"/>
          <w:szCs w:val="18"/>
          <w:lang w:val="es-ES_tradnl"/>
        </w:rPr>
        <w:t>í</w:t>
      </w:r>
      <w:r>
        <w:rPr>
          <w:spacing w:val="-6"/>
          <w:sz w:val="18"/>
          <w:szCs w:val="18"/>
          <w:lang w:val="es-ES_tradnl"/>
        </w:rPr>
        <w:t>dem.</w:t>
      </w:r>
    </w:p>
    <w:p w14:paraId="4F67B27B" w14:textId="77777777" w:rsidR="00591D54" w:rsidRDefault="00591D54">
      <w:pPr>
        <w:shd w:val="clear" w:color="auto" w:fill="FFFFFF"/>
        <w:spacing w:before="187"/>
      </w:pPr>
      <w:r>
        <w:rPr>
          <w:b/>
          <w:bCs/>
          <w:spacing w:val="-10"/>
          <w:sz w:val="18"/>
          <w:szCs w:val="18"/>
          <w:lang w:val="es-ES_tradnl"/>
        </w:rPr>
        <w:t>Petici</w:t>
      </w:r>
      <w:r>
        <w:rPr>
          <w:rFonts w:cs="Times New Roman"/>
          <w:b/>
          <w:bCs/>
          <w:spacing w:val="-10"/>
          <w:sz w:val="18"/>
          <w:szCs w:val="18"/>
          <w:lang w:val="es-ES_tradnl"/>
        </w:rPr>
        <w:t>ó</w:t>
      </w:r>
      <w:r>
        <w:rPr>
          <w:b/>
          <w:bCs/>
          <w:spacing w:val="-10"/>
          <w:sz w:val="18"/>
          <w:szCs w:val="18"/>
          <w:lang w:val="es-ES_tradnl"/>
        </w:rPr>
        <w:t>n concreta</w:t>
      </w:r>
    </w:p>
    <w:p w14:paraId="4F67B27C" w14:textId="77777777" w:rsidR="00591D54" w:rsidRDefault="00591D54">
      <w:pPr>
        <w:shd w:val="clear" w:color="auto" w:fill="FFFFFF"/>
        <w:spacing w:before="192" w:line="216" w:lineRule="exact"/>
        <w:jc w:val="both"/>
      </w:pPr>
      <w:r>
        <w:rPr>
          <w:spacing w:val="-9"/>
          <w:sz w:val="18"/>
          <w:szCs w:val="18"/>
          <w:lang w:val="es-ES_tradnl"/>
        </w:rPr>
        <w:t xml:space="preserve">Con estos antecedentes, los accionantes solicitan a la Corte </w:t>
      </w:r>
      <w:r>
        <w:rPr>
          <w:sz w:val="18"/>
          <w:szCs w:val="18"/>
          <w:lang w:val="es-ES_tradnl"/>
        </w:rPr>
        <w:t>Constitucional lo siguiente:</w:t>
      </w:r>
    </w:p>
    <w:p w14:paraId="4F67B27D" w14:textId="77777777" w:rsidR="00591D54" w:rsidRDefault="00591D54">
      <w:pPr>
        <w:shd w:val="clear" w:color="auto" w:fill="FFFFFF"/>
        <w:spacing w:before="197" w:line="211" w:lineRule="exact"/>
        <w:ind w:left="283"/>
        <w:jc w:val="both"/>
      </w:pPr>
      <w:r>
        <w:rPr>
          <w:spacing w:val="-1"/>
          <w:sz w:val="14"/>
          <w:szCs w:val="14"/>
          <w:lang w:val="es-ES_tradnl"/>
        </w:rPr>
        <w:t xml:space="preserve">Se deje sin efecto la Sentencia dictada por la Sala Especializada </w:t>
      </w:r>
      <w:r>
        <w:rPr>
          <w:sz w:val="14"/>
          <w:szCs w:val="14"/>
          <w:lang w:val="es-ES_tradnl"/>
        </w:rPr>
        <w:t>de lo Laboral, Ni</w:t>
      </w:r>
      <w:r>
        <w:rPr>
          <w:rFonts w:cs="Times New Roman"/>
          <w:sz w:val="14"/>
          <w:szCs w:val="14"/>
          <w:lang w:val="es-ES_tradnl"/>
        </w:rPr>
        <w:t>ñ</w:t>
      </w:r>
      <w:r>
        <w:rPr>
          <w:sz w:val="14"/>
          <w:szCs w:val="14"/>
          <w:lang w:val="es-ES_tradnl"/>
        </w:rPr>
        <w:t>ez y Adolescencia de Loja, en la Acci</w:t>
      </w:r>
      <w:r>
        <w:rPr>
          <w:rFonts w:cs="Times New Roman"/>
          <w:sz w:val="14"/>
          <w:szCs w:val="14"/>
          <w:lang w:val="es-ES_tradnl"/>
        </w:rPr>
        <w:t>ó</w:t>
      </w:r>
      <w:r>
        <w:rPr>
          <w:sz w:val="14"/>
          <w:szCs w:val="14"/>
          <w:lang w:val="es-ES_tradnl"/>
        </w:rPr>
        <w:t>n de Protecci</w:t>
      </w:r>
      <w:r>
        <w:rPr>
          <w:rFonts w:cs="Times New Roman"/>
          <w:sz w:val="14"/>
          <w:szCs w:val="14"/>
          <w:lang w:val="es-ES_tradnl"/>
        </w:rPr>
        <w:t>ó</w:t>
      </w:r>
      <w:r>
        <w:rPr>
          <w:sz w:val="14"/>
          <w:szCs w:val="14"/>
          <w:lang w:val="es-ES_tradnl"/>
        </w:rPr>
        <w:t>n No. 674-211, de fecha 28 de octubre de 2011, y solicitada su aclaraci</w:t>
      </w:r>
      <w:r>
        <w:rPr>
          <w:rFonts w:cs="Times New Roman"/>
          <w:sz w:val="14"/>
          <w:szCs w:val="14"/>
          <w:lang w:val="es-ES_tradnl"/>
        </w:rPr>
        <w:t>ó</w:t>
      </w:r>
      <w:r>
        <w:rPr>
          <w:sz w:val="14"/>
          <w:szCs w:val="14"/>
          <w:lang w:val="es-ES_tradnl"/>
        </w:rPr>
        <w:t>n y ampliaci</w:t>
      </w:r>
      <w:r>
        <w:rPr>
          <w:rFonts w:cs="Times New Roman"/>
          <w:sz w:val="14"/>
          <w:szCs w:val="14"/>
          <w:lang w:val="es-ES_tradnl"/>
        </w:rPr>
        <w:t>ó</w:t>
      </w:r>
      <w:r>
        <w:rPr>
          <w:sz w:val="14"/>
          <w:szCs w:val="14"/>
          <w:lang w:val="es-ES_tradnl"/>
        </w:rPr>
        <w:t>n fue negada en providencia de fecha 23 de noviembre del 2011.</w:t>
      </w:r>
    </w:p>
    <w:p w14:paraId="4F67B27E" w14:textId="77777777" w:rsidR="00591D54" w:rsidRDefault="00591D54">
      <w:pPr>
        <w:shd w:val="clear" w:color="auto" w:fill="FFFFFF"/>
        <w:spacing w:before="206" w:line="211" w:lineRule="exact"/>
        <w:ind w:left="283"/>
        <w:jc w:val="both"/>
      </w:pPr>
      <w:r>
        <w:rPr>
          <w:sz w:val="14"/>
          <w:szCs w:val="14"/>
          <w:lang w:val="es-ES_tradnl"/>
        </w:rPr>
        <w:t>Se suspenda le ejecuci</w:t>
      </w:r>
      <w:r>
        <w:rPr>
          <w:rFonts w:cs="Times New Roman"/>
          <w:sz w:val="14"/>
          <w:szCs w:val="14"/>
          <w:lang w:val="es-ES_tradnl"/>
        </w:rPr>
        <w:t>ó</w:t>
      </w:r>
      <w:r>
        <w:rPr>
          <w:sz w:val="14"/>
          <w:szCs w:val="14"/>
          <w:lang w:val="es-ES_tradnl"/>
        </w:rPr>
        <w:t>n de la Sentencia, toda vez que viola derechos constitucionales, principalmente porque los diferentes actos realizados y ejecutados por el registrador de la propiedad del Cant</w:t>
      </w:r>
      <w:r>
        <w:rPr>
          <w:rFonts w:cs="Times New Roman"/>
          <w:sz w:val="14"/>
          <w:szCs w:val="14"/>
          <w:lang w:val="es-ES_tradnl"/>
        </w:rPr>
        <w:t>ó</w:t>
      </w:r>
      <w:r>
        <w:rPr>
          <w:sz w:val="14"/>
          <w:szCs w:val="14"/>
          <w:lang w:val="es-ES_tradnl"/>
        </w:rPr>
        <w:t>n de Chaguarpamba, est</w:t>
      </w:r>
      <w:r>
        <w:rPr>
          <w:rFonts w:cs="Times New Roman"/>
          <w:sz w:val="14"/>
          <w:szCs w:val="14"/>
          <w:lang w:val="es-ES_tradnl"/>
        </w:rPr>
        <w:t>á</w:t>
      </w:r>
      <w:r>
        <w:rPr>
          <w:sz w:val="14"/>
          <w:szCs w:val="14"/>
          <w:lang w:val="es-ES_tradnl"/>
        </w:rPr>
        <w:t>n involucrados ciudadanos del Cant</w:t>
      </w:r>
      <w:r>
        <w:rPr>
          <w:rFonts w:cs="Times New Roman"/>
          <w:sz w:val="14"/>
          <w:szCs w:val="14"/>
          <w:lang w:val="es-ES_tradnl"/>
        </w:rPr>
        <w:t>ó</w:t>
      </w:r>
      <w:r>
        <w:rPr>
          <w:sz w:val="14"/>
          <w:szCs w:val="14"/>
          <w:lang w:val="es-ES_tradnl"/>
        </w:rPr>
        <w:t>n que al momento de nulitar el acto principal quedaron nulos los actores derivados o accesorios del mismo.</w:t>
      </w:r>
    </w:p>
    <w:p w14:paraId="4F67B27F" w14:textId="77777777" w:rsidR="00591D54" w:rsidRDefault="00591D54">
      <w:pPr>
        <w:shd w:val="clear" w:color="auto" w:fill="FFFFFF"/>
        <w:spacing w:before="197"/>
      </w:pPr>
      <w:r>
        <w:rPr>
          <w:b/>
          <w:bCs/>
          <w:spacing w:val="-10"/>
          <w:sz w:val="18"/>
          <w:szCs w:val="18"/>
          <w:lang w:val="es-ES_tradnl"/>
        </w:rPr>
        <w:t>Contestaci</w:t>
      </w:r>
      <w:r>
        <w:rPr>
          <w:rFonts w:cs="Times New Roman"/>
          <w:b/>
          <w:bCs/>
          <w:spacing w:val="-10"/>
          <w:sz w:val="18"/>
          <w:szCs w:val="18"/>
          <w:lang w:val="es-ES_tradnl"/>
        </w:rPr>
        <w:t>ó</w:t>
      </w:r>
      <w:r>
        <w:rPr>
          <w:b/>
          <w:bCs/>
          <w:spacing w:val="-10"/>
          <w:sz w:val="18"/>
          <w:szCs w:val="18"/>
          <w:lang w:val="es-ES_tradnl"/>
        </w:rPr>
        <w:t>n a la demanda</w:t>
      </w:r>
    </w:p>
    <w:p w14:paraId="4F67B280" w14:textId="77777777" w:rsidR="00591D54" w:rsidRDefault="00591D54">
      <w:pPr>
        <w:shd w:val="clear" w:color="auto" w:fill="FFFFFF"/>
        <w:spacing w:before="187" w:line="211" w:lineRule="exact"/>
        <w:jc w:val="both"/>
      </w:pPr>
      <w:r>
        <w:rPr>
          <w:sz w:val="18"/>
          <w:szCs w:val="18"/>
          <w:lang w:val="es-ES_tradnl"/>
        </w:rPr>
        <w:t xml:space="preserve">Mediante auto dictado por la jueza sustanciadora de </w:t>
      </w:r>
      <w:r>
        <w:rPr>
          <w:spacing w:val="-6"/>
          <w:sz w:val="18"/>
          <w:szCs w:val="18"/>
          <w:lang w:val="es-ES_tradnl"/>
        </w:rPr>
        <w:t>la causa el 21 de julio de 2015, se concedi</w:t>
      </w:r>
      <w:r>
        <w:rPr>
          <w:rFonts w:cs="Times New Roman"/>
          <w:spacing w:val="-6"/>
          <w:sz w:val="18"/>
          <w:szCs w:val="18"/>
          <w:lang w:val="es-ES_tradnl"/>
        </w:rPr>
        <w:t>ó</w:t>
      </w:r>
      <w:r>
        <w:rPr>
          <w:spacing w:val="-6"/>
          <w:sz w:val="18"/>
          <w:szCs w:val="18"/>
          <w:lang w:val="es-ES_tradnl"/>
        </w:rPr>
        <w:t xml:space="preserve"> a los jueces que integran la Sala Especializada de lo Laboral, Ni</w:t>
      </w:r>
      <w:r>
        <w:rPr>
          <w:rFonts w:cs="Times New Roman"/>
          <w:spacing w:val="-6"/>
          <w:sz w:val="18"/>
          <w:szCs w:val="18"/>
          <w:lang w:val="es-ES_tradnl"/>
        </w:rPr>
        <w:t>ñ</w:t>
      </w:r>
      <w:r>
        <w:rPr>
          <w:spacing w:val="-6"/>
          <w:sz w:val="18"/>
          <w:szCs w:val="18"/>
          <w:lang w:val="es-ES_tradnl"/>
        </w:rPr>
        <w:t xml:space="preserve">ez y </w:t>
      </w:r>
      <w:r>
        <w:rPr>
          <w:spacing w:val="-5"/>
          <w:sz w:val="18"/>
          <w:szCs w:val="18"/>
          <w:lang w:val="es-ES_tradnl"/>
        </w:rPr>
        <w:t xml:space="preserve">Adolescencia de la Corte Provincial de Justicia de Loja, </w:t>
      </w:r>
      <w:r>
        <w:rPr>
          <w:spacing w:val="-6"/>
          <w:sz w:val="18"/>
          <w:szCs w:val="18"/>
          <w:lang w:val="es-ES_tradnl"/>
        </w:rPr>
        <w:t>cinco d</w:t>
      </w:r>
      <w:r>
        <w:rPr>
          <w:rFonts w:cs="Times New Roman"/>
          <w:spacing w:val="-6"/>
          <w:sz w:val="18"/>
          <w:szCs w:val="18"/>
          <w:lang w:val="es-ES_tradnl"/>
        </w:rPr>
        <w:t>í</w:t>
      </w:r>
      <w:r>
        <w:rPr>
          <w:spacing w:val="-6"/>
          <w:sz w:val="18"/>
          <w:szCs w:val="18"/>
          <w:lang w:val="es-ES_tradnl"/>
        </w:rPr>
        <w:t>as t</w:t>
      </w:r>
      <w:r>
        <w:rPr>
          <w:rFonts w:cs="Times New Roman"/>
          <w:spacing w:val="-6"/>
          <w:sz w:val="18"/>
          <w:szCs w:val="18"/>
          <w:lang w:val="es-ES_tradnl"/>
        </w:rPr>
        <w:t>é</w:t>
      </w:r>
      <w:r>
        <w:rPr>
          <w:spacing w:val="-6"/>
          <w:sz w:val="18"/>
          <w:szCs w:val="18"/>
          <w:lang w:val="es-ES_tradnl"/>
        </w:rPr>
        <w:t xml:space="preserve">rmino, a fin de que presenten su informe de </w:t>
      </w:r>
      <w:r>
        <w:rPr>
          <w:spacing w:val="-4"/>
          <w:sz w:val="18"/>
          <w:szCs w:val="18"/>
          <w:lang w:val="es-ES_tradnl"/>
        </w:rPr>
        <w:t xml:space="preserve">descargo debidamente motivado sobre los argumentos </w:t>
      </w:r>
      <w:r>
        <w:rPr>
          <w:spacing w:val="-3"/>
          <w:sz w:val="18"/>
          <w:szCs w:val="18"/>
          <w:lang w:val="es-ES_tradnl"/>
        </w:rPr>
        <w:t xml:space="preserve">que fundamenta el legitimado activo. No obstante, una </w:t>
      </w:r>
      <w:r>
        <w:rPr>
          <w:spacing w:val="-7"/>
          <w:sz w:val="18"/>
          <w:szCs w:val="18"/>
          <w:lang w:val="es-ES_tradnl"/>
        </w:rPr>
        <w:t>vez transcurrido el t</w:t>
      </w:r>
      <w:r>
        <w:rPr>
          <w:rFonts w:cs="Times New Roman"/>
          <w:spacing w:val="-7"/>
          <w:sz w:val="18"/>
          <w:szCs w:val="18"/>
          <w:lang w:val="es-ES_tradnl"/>
        </w:rPr>
        <w:t>é</w:t>
      </w:r>
      <w:r>
        <w:rPr>
          <w:spacing w:val="-7"/>
          <w:sz w:val="18"/>
          <w:szCs w:val="18"/>
          <w:lang w:val="es-ES_tradnl"/>
        </w:rPr>
        <w:t>rmino se</w:t>
      </w:r>
      <w:r>
        <w:rPr>
          <w:rFonts w:cs="Times New Roman"/>
          <w:spacing w:val="-7"/>
          <w:sz w:val="18"/>
          <w:szCs w:val="18"/>
          <w:lang w:val="es-ES_tradnl"/>
        </w:rPr>
        <w:t>ñ</w:t>
      </w:r>
      <w:r>
        <w:rPr>
          <w:spacing w:val="-7"/>
          <w:sz w:val="18"/>
          <w:szCs w:val="18"/>
          <w:lang w:val="es-ES_tradnl"/>
        </w:rPr>
        <w:t xml:space="preserve">alado, los jueces no han </w:t>
      </w:r>
      <w:r>
        <w:rPr>
          <w:sz w:val="18"/>
          <w:szCs w:val="18"/>
          <w:lang w:val="es-ES_tradnl"/>
        </w:rPr>
        <w:t>presentado informe alguno.</w:t>
      </w:r>
    </w:p>
    <w:p w14:paraId="4F67B281" w14:textId="77777777" w:rsidR="00591D54" w:rsidRDefault="00591D54">
      <w:pPr>
        <w:shd w:val="clear" w:color="auto" w:fill="FFFFFF"/>
        <w:spacing w:before="187" w:line="211" w:lineRule="exact"/>
        <w:ind w:left="686" w:right="326" w:hanging="355"/>
      </w:pPr>
      <w:r>
        <w:rPr>
          <w:b/>
          <w:bCs/>
          <w:spacing w:val="-1"/>
          <w:sz w:val="18"/>
          <w:szCs w:val="18"/>
          <w:lang w:val="es-ES_tradnl"/>
        </w:rPr>
        <w:t xml:space="preserve">II. CONSIDERACIONES Y FUNDAMENTOS </w:t>
      </w:r>
      <w:r>
        <w:rPr>
          <w:b/>
          <w:bCs/>
          <w:sz w:val="18"/>
          <w:szCs w:val="18"/>
          <w:lang w:val="es-ES_tradnl"/>
        </w:rPr>
        <w:t>DE LA CORTE CONSTITUCIONAL</w:t>
      </w:r>
    </w:p>
    <w:p w14:paraId="4F67B282" w14:textId="77777777" w:rsidR="00591D54" w:rsidRDefault="00591D54">
      <w:pPr>
        <w:shd w:val="clear" w:color="auto" w:fill="FFFFFF"/>
        <w:spacing w:before="187"/>
      </w:pPr>
      <w:r>
        <w:rPr>
          <w:b/>
          <w:bCs/>
          <w:spacing w:val="-11"/>
          <w:sz w:val="18"/>
          <w:szCs w:val="18"/>
          <w:lang w:val="es-ES_tradnl"/>
        </w:rPr>
        <w:t>Competencia</w:t>
      </w:r>
    </w:p>
    <w:p w14:paraId="4F67B283" w14:textId="77777777" w:rsidR="00591D54" w:rsidRDefault="00591D54">
      <w:pPr>
        <w:shd w:val="clear" w:color="auto" w:fill="FFFFFF"/>
        <w:spacing w:before="192" w:line="211" w:lineRule="exact"/>
        <w:ind w:right="5"/>
        <w:jc w:val="both"/>
      </w:pPr>
      <w:r>
        <w:rPr>
          <w:spacing w:val="-6"/>
          <w:sz w:val="18"/>
          <w:szCs w:val="18"/>
          <w:lang w:val="es-ES_tradnl"/>
        </w:rPr>
        <w:t>La Corte Constitucional es competente para conocer y resolver las acciones extraordinarias de protecci</w:t>
      </w:r>
      <w:r>
        <w:rPr>
          <w:rFonts w:cs="Times New Roman"/>
          <w:spacing w:val="-6"/>
          <w:sz w:val="18"/>
          <w:szCs w:val="18"/>
          <w:lang w:val="es-ES_tradnl"/>
        </w:rPr>
        <w:t>ó</w:t>
      </w:r>
      <w:r>
        <w:rPr>
          <w:spacing w:val="-6"/>
          <w:sz w:val="18"/>
          <w:szCs w:val="18"/>
          <w:lang w:val="es-ES_tradnl"/>
        </w:rPr>
        <w:t>n contra</w:t>
      </w:r>
    </w:p>
    <w:p w14:paraId="4F67B284" w14:textId="77777777" w:rsidR="00591D54" w:rsidRDefault="00591D54">
      <w:pPr>
        <w:shd w:val="clear" w:color="auto" w:fill="FFFFFF"/>
        <w:spacing w:line="216" w:lineRule="exact"/>
        <w:jc w:val="both"/>
      </w:pPr>
      <w:r>
        <w:br w:type="column"/>
      </w:r>
      <w:r>
        <w:rPr>
          <w:spacing w:val="-3"/>
          <w:sz w:val="18"/>
          <w:szCs w:val="18"/>
          <w:lang w:val="es-ES_tradnl"/>
        </w:rPr>
        <w:t xml:space="preserve">sentencias, autos definitivos y resoluciones con fuerza </w:t>
      </w:r>
      <w:r>
        <w:rPr>
          <w:spacing w:val="-2"/>
          <w:sz w:val="18"/>
          <w:szCs w:val="18"/>
          <w:lang w:val="es-ES_tradnl"/>
        </w:rPr>
        <w:t xml:space="preserve">de sentencia, de conformidad con lo previsto en los </w:t>
      </w:r>
      <w:r>
        <w:rPr>
          <w:spacing w:val="-5"/>
          <w:sz w:val="18"/>
          <w:szCs w:val="18"/>
          <w:lang w:val="es-ES_tradnl"/>
        </w:rPr>
        <w:t>art</w:t>
      </w:r>
      <w:r>
        <w:rPr>
          <w:rFonts w:cs="Times New Roman"/>
          <w:spacing w:val="-5"/>
          <w:sz w:val="18"/>
          <w:szCs w:val="18"/>
          <w:lang w:val="es-ES_tradnl"/>
        </w:rPr>
        <w:t>í</w:t>
      </w:r>
      <w:r>
        <w:rPr>
          <w:spacing w:val="-5"/>
          <w:sz w:val="18"/>
          <w:szCs w:val="18"/>
          <w:lang w:val="es-ES_tradnl"/>
        </w:rPr>
        <w:t>culos 94 y 437 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 xml:space="preserve">blica, en </w:t>
      </w:r>
      <w:r>
        <w:rPr>
          <w:spacing w:val="-7"/>
          <w:sz w:val="18"/>
          <w:szCs w:val="18"/>
          <w:lang w:val="es-ES_tradnl"/>
        </w:rPr>
        <w:t>concordancia con los art</w:t>
      </w:r>
      <w:r>
        <w:rPr>
          <w:rFonts w:cs="Times New Roman"/>
          <w:spacing w:val="-7"/>
          <w:sz w:val="18"/>
          <w:szCs w:val="18"/>
          <w:lang w:val="es-ES_tradnl"/>
        </w:rPr>
        <w:t>í</w:t>
      </w:r>
      <w:r>
        <w:rPr>
          <w:spacing w:val="-7"/>
          <w:sz w:val="18"/>
          <w:szCs w:val="18"/>
          <w:lang w:val="es-ES_tradnl"/>
        </w:rPr>
        <w:t xml:space="preserve">culos 63 y 191 numeral 2 literal </w:t>
      </w:r>
      <w:r>
        <w:rPr>
          <w:b/>
          <w:bCs/>
          <w:spacing w:val="-7"/>
          <w:sz w:val="18"/>
          <w:szCs w:val="18"/>
          <w:lang w:val="es-ES_tradnl"/>
        </w:rPr>
        <w:t xml:space="preserve">d </w:t>
      </w:r>
      <w:r>
        <w:rPr>
          <w:spacing w:val="-8"/>
          <w:sz w:val="18"/>
          <w:szCs w:val="18"/>
          <w:lang w:val="es-ES_tradnl"/>
        </w:rPr>
        <w:t>de la Ley Org</w:t>
      </w:r>
      <w:r>
        <w:rPr>
          <w:rFonts w:cs="Times New Roman"/>
          <w:spacing w:val="-8"/>
          <w:sz w:val="18"/>
          <w:szCs w:val="18"/>
          <w:lang w:val="es-ES_tradnl"/>
        </w:rPr>
        <w:t>á</w:t>
      </w:r>
      <w:r>
        <w:rPr>
          <w:spacing w:val="-8"/>
          <w:sz w:val="18"/>
          <w:szCs w:val="18"/>
          <w:lang w:val="es-ES_tradnl"/>
        </w:rPr>
        <w:t>nica de Garant</w:t>
      </w:r>
      <w:r>
        <w:rPr>
          <w:rFonts w:cs="Times New Roman"/>
          <w:spacing w:val="-8"/>
          <w:sz w:val="18"/>
          <w:szCs w:val="18"/>
          <w:lang w:val="es-ES_tradnl"/>
        </w:rPr>
        <w:t>í</w:t>
      </w:r>
      <w:r>
        <w:rPr>
          <w:spacing w:val="-8"/>
          <w:sz w:val="18"/>
          <w:szCs w:val="18"/>
          <w:lang w:val="es-ES_tradnl"/>
        </w:rPr>
        <w:t xml:space="preserve">as Jurisdiccionales y Control </w:t>
      </w:r>
      <w:r>
        <w:rPr>
          <w:sz w:val="18"/>
          <w:szCs w:val="18"/>
          <w:lang w:val="es-ES_tradnl"/>
        </w:rPr>
        <w:t>Constitucional, art</w:t>
      </w:r>
      <w:r>
        <w:rPr>
          <w:rFonts w:cs="Times New Roman"/>
          <w:sz w:val="18"/>
          <w:szCs w:val="18"/>
          <w:lang w:val="es-ES_tradnl"/>
        </w:rPr>
        <w:t>í</w:t>
      </w:r>
      <w:r>
        <w:rPr>
          <w:sz w:val="18"/>
          <w:szCs w:val="18"/>
          <w:lang w:val="es-ES_tradnl"/>
        </w:rPr>
        <w:t xml:space="preserve">culo 3 numeral 8 literal </w:t>
      </w:r>
      <w:r>
        <w:rPr>
          <w:b/>
          <w:bCs/>
          <w:sz w:val="18"/>
          <w:szCs w:val="18"/>
          <w:lang w:val="es-ES_tradnl"/>
        </w:rPr>
        <w:t xml:space="preserve">b </w:t>
      </w:r>
      <w:r>
        <w:rPr>
          <w:sz w:val="18"/>
          <w:szCs w:val="18"/>
          <w:lang w:val="es-ES_tradnl"/>
        </w:rPr>
        <w:t xml:space="preserve">y tercer </w:t>
      </w:r>
      <w:r>
        <w:rPr>
          <w:spacing w:val="-7"/>
          <w:sz w:val="18"/>
          <w:szCs w:val="18"/>
          <w:lang w:val="es-ES_tradnl"/>
        </w:rPr>
        <w:t>inciso del art</w:t>
      </w:r>
      <w:r>
        <w:rPr>
          <w:rFonts w:cs="Times New Roman"/>
          <w:spacing w:val="-7"/>
          <w:sz w:val="18"/>
          <w:szCs w:val="18"/>
          <w:lang w:val="es-ES_tradnl"/>
        </w:rPr>
        <w:t>í</w:t>
      </w:r>
      <w:r>
        <w:rPr>
          <w:spacing w:val="-7"/>
          <w:sz w:val="18"/>
          <w:szCs w:val="18"/>
          <w:lang w:val="es-ES_tradnl"/>
        </w:rPr>
        <w:t>culo 35 del Reglamento de Sustanciaci</w:t>
      </w:r>
      <w:r>
        <w:rPr>
          <w:rFonts w:cs="Times New Roman"/>
          <w:spacing w:val="-7"/>
          <w:sz w:val="18"/>
          <w:szCs w:val="18"/>
          <w:lang w:val="es-ES_tradnl"/>
        </w:rPr>
        <w:t>ó</w:t>
      </w:r>
      <w:r>
        <w:rPr>
          <w:spacing w:val="-7"/>
          <w:sz w:val="18"/>
          <w:szCs w:val="18"/>
          <w:lang w:val="es-ES_tradnl"/>
        </w:rPr>
        <w:t xml:space="preserve">n de </w:t>
      </w:r>
      <w:r>
        <w:rPr>
          <w:spacing w:val="-8"/>
          <w:sz w:val="18"/>
          <w:szCs w:val="18"/>
          <w:lang w:val="es-ES_tradnl"/>
        </w:rPr>
        <w:t>Procesos de Competencia de la Corte Constitucional.</w:t>
      </w:r>
    </w:p>
    <w:p w14:paraId="4F67B285" w14:textId="77777777" w:rsidR="00591D54" w:rsidRDefault="00591D54">
      <w:pPr>
        <w:shd w:val="clear" w:color="auto" w:fill="FFFFFF"/>
        <w:spacing w:before="192"/>
      </w:pPr>
      <w:r>
        <w:rPr>
          <w:b/>
          <w:bCs/>
          <w:spacing w:val="-8"/>
          <w:sz w:val="18"/>
          <w:szCs w:val="18"/>
          <w:lang w:val="es-ES_tradnl"/>
        </w:rPr>
        <w:t>Legitimaci</w:t>
      </w:r>
      <w:r>
        <w:rPr>
          <w:rFonts w:cs="Times New Roman"/>
          <w:b/>
          <w:bCs/>
          <w:spacing w:val="-8"/>
          <w:sz w:val="18"/>
          <w:szCs w:val="18"/>
          <w:lang w:val="es-ES_tradnl"/>
        </w:rPr>
        <w:t>ó</w:t>
      </w:r>
      <w:r>
        <w:rPr>
          <w:b/>
          <w:bCs/>
          <w:spacing w:val="-8"/>
          <w:sz w:val="18"/>
          <w:szCs w:val="18"/>
          <w:lang w:val="es-ES_tradnl"/>
        </w:rPr>
        <w:t>n activa</w:t>
      </w:r>
    </w:p>
    <w:p w14:paraId="4F67B286" w14:textId="77777777" w:rsidR="00591D54" w:rsidRDefault="00591D54">
      <w:pPr>
        <w:shd w:val="clear" w:color="auto" w:fill="FFFFFF"/>
        <w:spacing w:before="197" w:line="216" w:lineRule="exact"/>
        <w:ind w:right="5"/>
        <w:jc w:val="both"/>
      </w:pPr>
      <w:r>
        <w:rPr>
          <w:spacing w:val="-8"/>
          <w:sz w:val="18"/>
          <w:szCs w:val="18"/>
          <w:lang w:val="es-ES_tradnl"/>
        </w:rPr>
        <w:t>Los accionantes se encuentran legitimados para interponer la presente acci</w:t>
      </w:r>
      <w:r>
        <w:rPr>
          <w:rFonts w:cs="Times New Roman"/>
          <w:spacing w:val="-8"/>
          <w:sz w:val="18"/>
          <w:szCs w:val="18"/>
          <w:lang w:val="es-ES_tradnl"/>
        </w:rPr>
        <w:t>ó</w:t>
      </w:r>
      <w:r>
        <w:rPr>
          <w:spacing w:val="-8"/>
          <w:sz w:val="18"/>
          <w:szCs w:val="18"/>
          <w:lang w:val="es-ES_tradnl"/>
        </w:rPr>
        <w:t>n extraordinaria de protecci</w:t>
      </w:r>
      <w:r>
        <w:rPr>
          <w:rFonts w:cs="Times New Roman"/>
          <w:spacing w:val="-8"/>
          <w:sz w:val="18"/>
          <w:szCs w:val="18"/>
          <w:lang w:val="es-ES_tradnl"/>
        </w:rPr>
        <w:t>ó</w:t>
      </w:r>
      <w:r>
        <w:rPr>
          <w:spacing w:val="-8"/>
          <w:sz w:val="18"/>
          <w:szCs w:val="18"/>
          <w:lang w:val="es-ES_tradnl"/>
        </w:rPr>
        <w:t xml:space="preserve">n en virtud de </w:t>
      </w:r>
      <w:r>
        <w:rPr>
          <w:spacing w:val="-7"/>
          <w:sz w:val="18"/>
          <w:szCs w:val="18"/>
          <w:lang w:val="es-ES_tradnl"/>
        </w:rPr>
        <w:t>cumplir con los requerimientos establecidos en el art</w:t>
      </w:r>
      <w:r>
        <w:rPr>
          <w:rFonts w:cs="Times New Roman"/>
          <w:spacing w:val="-7"/>
          <w:sz w:val="18"/>
          <w:szCs w:val="18"/>
          <w:lang w:val="es-ES_tradnl"/>
        </w:rPr>
        <w:t>í</w:t>
      </w:r>
      <w:r>
        <w:rPr>
          <w:spacing w:val="-7"/>
          <w:sz w:val="18"/>
          <w:szCs w:val="18"/>
          <w:lang w:val="es-ES_tradnl"/>
        </w:rPr>
        <w:t xml:space="preserve">culo </w:t>
      </w:r>
      <w:r>
        <w:rPr>
          <w:spacing w:val="-4"/>
          <w:sz w:val="18"/>
          <w:szCs w:val="18"/>
          <w:lang w:val="es-ES_tradnl"/>
        </w:rPr>
        <w:t>437 de la Constituci</w:t>
      </w:r>
      <w:r>
        <w:rPr>
          <w:rFonts w:cs="Times New Roman"/>
          <w:spacing w:val="-4"/>
          <w:sz w:val="18"/>
          <w:szCs w:val="18"/>
          <w:lang w:val="es-ES_tradnl"/>
        </w:rPr>
        <w:t>ó</w:t>
      </w:r>
      <w:r>
        <w:rPr>
          <w:spacing w:val="-4"/>
          <w:sz w:val="18"/>
          <w:szCs w:val="18"/>
          <w:lang w:val="es-ES_tradnl"/>
        </w:rPr>
        <w:t>n de la Rep</w:t>
      </w:r>
      <w:r>
        <w:rPr>
          <w:rFonts w:cs="Times New Roman"/>
          <w:spacing w:val="-4"/>
          <w:sz w:val="18"/>
          <w:szCs w:val="18"/>
          <w:lang w:val="es-ES_tradnl"/>
        </w:rPr>
        <w:t>ú</w:t>
      </w:r>
      <w:r>
        <w:rPr>
          <w:spacing w:val="-4"/>
          <w:sz w:val="18"/>
          <w:szCs w:val="18"/>
          <w:lang w:val="es-ES_tradnl"/>
        </w:rPr>
        <w:t xml:space="preserve">blica, de conformidad </w:t>
      </w:r>
      <w:r>
        <w:rPr>
          <w:spacing w:val="-8"/>
          <w:sz w:val="18"/>
          <w:szCs w:val="18"/>
          <w:lang w:val="es-ES_tradnl"/>
        </w:rPr>
        <w:t>con el art</w:t>
      </w:r>
      <w:r>
        <w:rPr>
          <w:rFonts w:cs="Times New Roman"/>
          <w:spacing w:val="-8"/>
          <w:sz w:val="18"/>
          <w:szCs w:val="18"/>
          <w:lang w:val="es-ES_tradnl"/>
        </w:rPr>
        <w:t>í</w:t>
      </w:r>
      <w:r>
        <w:rPr>
          <w:spacing w:val="-8"/>
          <w:sz w:val="18"/>
          <w:szCs w:val="18"/>
          <w:lang w:val="es-ES_tradnl"/>
        </w:rPr>
        <w:t>culo 439 ib</w:t>
      </w:r>
      <w:r>
        <w:rPr>
          <w:rFonts w:cs="Times New Roman"/>
          <w:spacing w:val="-8"/>
          <w:sz w:val="18"/>
          <w:szCs w:val="18"/>
          <w:lang w:val="es-ES_tradnl"/>
        </w:rPr>
        <w:t>í</w:t>
      </w:r>
      <w:r>
        <w:rPr>
          <w:spacing w:val="-8"/>
          <w:sz w:val="18"/>
          <w:szCs w:val="18"/>
          <w:lang w:val="es-ES_tradnl"/>
        </w:rPr>
        <w:t xml:space="preserve">dem, que establece que las acciones </w:t>
      </w:r>
      <w:r>
        <w:rPr>
          <w:spacing w:val="-7"/>
          <w:sz w:val="18"/>
          <w:szCs w:val="18"/>
          <w:lang w:val="es-ES_tradnl"/>
        </w:rPr>
        <w:t>constitucionales podr</w:t>
      </w:r>
      <w:r>
        <w:rPr>
          <w:rFonts w:cs="Times New Roman"/>
          <w:spacing w:val="-7"/>
          <w:sz w:val="18"/>
          <w:szCs w:val="18"/>
          <w:lang w:val="es-ES_tradnl"/>
        </w:rPr>
        <w:t>á</w:t>
      </w:r>
      <w:r>
        <w:rPr>
          <w:spacing w:val="-7"/>
          <w:sz w:val="18"/>
          <w:szCs w:val="18"/>
          <w:lang w:val="es-ES_tradnl"/>
        </w:rPr>
        <w:t xml:space="preserve">n ser presentadas por cualquier </w:t>
      </w:r>
      <w:r>
        <w:rPr>
          <w:spacing w:val="-6"/>
          <w:sz w:val="18"/>
          <w:szCs w:val="18"/>
          <w:lang w:val="es-ES_tradnl"/>
        </w:rPr>
        <w:t>ciudadana o ciudadano, individual o colectivamente y en concordancia, con el art</w:t>
      </w:r>
      <w:r>
        <w:rPr>
          <w:rFonts w:cs="Times New Roman"/>
          <w:spacing w:val="-6"/>
          <w:sz w:val="18"/>
          <w:szCs w:val="18"/>
          <w:lang w:val="es-ES_tradnl"/>
        </w:rPr>
        <w:t>í</w:t>
      </w:r>
      <w:r>
        <w:rPr>
          <w:spacing w:val="-6"/>
          <w:sz w:val="18"/>
          <w:szCs w:val="18"/>
          <w:lang w:val="es-ES_tradnl"/>
        </w:rPr>
        <w:t>culo 59 de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as Jurisdiccionales y Control Constitucional.</w:t>
      </w:r>
    </w:p>
    <w:p w14:paraId="4F67B287" w14:textId="77777777" w:rsidR="00591D54" w:rsidRDefault="00591D54">
      <w:pPr>
        <w:shd w:val="clear" w:color="auto" w:fill="FFFFFF"/>
        <w:spacing w:before="192"/>
      </w:pPr>
      <w:r>
        <w:rPr>
          <w:b/>
          <w:bCs/>
          <w:spacing w:val="-7"/>
          <w:sz w:val="18"/>
          <w:szCs w:val="18"/>
          <w:lang w:val="es-ES_tradnl"/>
        </w:rPr>
        <w:t>Naturaleza de la acci</w:t>
      </w:r>
      <w:r>
        <w:rPr>
          <w:rFonts w:cs="Times New Roman"/>
          <w:b/>
          <w:bCs/>
          <w:spacing w:val="-7"/>
          <w:sz w:val="18"/>
          <w:szCs w:val="18"/>
          <w:lang w:val="es-ES_tradnl"/>
        </w:rPr>
        <w:t>ó</w:t>
      </w:r>
      <w:r>
        <w:rPr>
          <w:b/>
          <w:bCs/>
          <w:spacing w:val="-7"/>
          <w:sz w:val="18"/>
          <w:szCs w:val="18"/>
          <w:lang w:val="es-ES_tradnl"/>
        </w:rPr>
        <w:t>n extraordinaria de protecci</w:t>
      </w:r>
      <w:r>
        <w:rPr>
          <w:rFonts w:cs="Times New Roman"/>
          <w:b/>
          <w:bCs/>
          <w:spacing w:val="-7"/>
          <w:sz w:val="18"/>
          <w:szCs w:val="18"/>
          <w:lang w:val="es-ES_tradnl"/>
        </w:rPr>
        <w:t>ó</w:t>
      </w:r>
      <w:r>
        <w:rPr>
          <w:b/>
          <w:bCs/>
          <w:spacing w:val="-7"/>
          <w:sz w:val="18"/>
          <w:szCs w:val="18"/>
          <w:lang w:val="es-ES_tradnl"/>
        </w:rPr>
        <w:t>n</w:t>
      </w:r>
    </w:p>
    <w:p w14:paraId="4F67B288" w14:textId="77777777" w:rsidR="00591D54" w:rsidRDefault="00591D54">
      <w:pPr>
        <w:shd w:val="clear" w:color="auto" w:fill="FFFFFF"/>
        <w:spacing w:before="192" w:line="216" w:lineRule="exact"/>
        <w:ind w:right="5"/>
        <w:jc w:val="both"/>
      </w:pPr>
      <w:r>
        <w:rPr>
          <w:spacing w:val="-5"/>
          <w:sz w:val="18"/>
          <w:szCs w:val="18"/>
          <w:lang w:val="es-ES_tradnl"/>
        </w:rPr>
        <w:t>La naturaleza y objeto de la acci</w:t>
      </w:r>
      <w:r>
        <w:rPr>
          <w:rFonts w:cs="Times New Roman"/>
          <w:spacing w:val="-5"/>
          <w:sz w:val="18"/>
          <w:szCs w:val="18"/>
          <w:lang w:val="es-ES_tradnl"/>
        </w:rPr>
        <w:t>ó</w:t>
      </w:r>
      <w:r>
        <w:rPr>
          <w:spacing w:val="-5"/>
          <w:sz w:val="18"/>
          <w:szCs w:val="18"/>
          <w:lang w:val="es-ES_tradnl"/>
        </w:rPr>
        <w:t>n extraordinaria de protecci</w:t>
      </w:r>
      <w:r>
        <w:rPr>
          <w:rFonts w:cs="Times New Roman"/>
          <w:spacing w:val="-5"/>
          <w:sz w:val="18"/>
          <w:szCs w:val="18"/>
          <w:lang w:val="es-ES_tradnl"/>
        </w:rPr>
        <w:t>ó</w:t>
      </w:r>
      <w:r>
        <w:rPr>
          <w:spacing w:val="-5"/>
          <w:sz w:val="18"/>
          <w:szCs w:val="18"/>
          <w:lang w:val="es-ES_tradnl"/>
        </w:rPr>
        <w:t xml:space="preserve">n han sido definidos por esta Corte en varios </w:t>
      </w:r>
      <w:r>
        <w:rPr>
          <w:spacing w:val="-11"/>
          <w:sz w:val="18"/>
          <w:szCs w:val="18"/>
          <w:lang w:val="es-ES_tradnl"/>
        </w:rPr>
        <w:t>pronunciamientos, con los cuales, est</w:t>
      </w:r>
      <w:r>
        <w:rPr>
          <w:rFonts w:cs="Times New Roman"/>
          <w:spacing w:val="-11"/>
          <w:sz w:val="18"/>
          <w:szCs w:val="18"/>
          <w:lang w:val="es-ES_tradnl"/>
        </w:rPr>
        <w:t>á</w:t>
      </w:r>
      <w:r>
        <w:rPr>
          <w:spacing w:val="-11"/>
          <w:sz w:val="18"/>
          <w:szCs w:val="18"/>
          <w:lang w:val="es-ES_tradnl"/>
        </w:rPr>
        <w:t xml:space="preserve"> encaminada a reparar </w:t>
      </w:r>
      <w:r>
        <w:rPr>
          <w:spacing w:val="-10"/>
          <w:sz w:val="18"/>
          <w:szCs w:val="18"/>
          <w:lang w:val="es-ES_tradnl"/>
        </w:rPr>
        <w:t>la lesi</w:t>
      </w:r>
      <w:r>
        <w:rPr>
          <w:rFonts w:cs="Times New Roman"/>
          <w:spacing w:val="-10"/>
          <w:sz w:val="18"/>
          <w:szCs w:val="18"/>
          <w:lang w:val="es-ES_tradnl"/>
        </w:rPr>
        <w:t>ó</w:t>
      </w:r>
      <w:r>
        <w:rPr>
          <w:spacing w:val="-10"/>
          <w:sz w:val="18"/>
          <w:szCs w:val="18"/>
          <w:lang w:val="es-ES_tradnl"/>
        </w:rPr>
        <w:t xml:space="preserve">n a los derechos constitucionales </w:t>
      </w:r>
      <w:r>
        <w:rPr>
          <w:rFonts w:cs="Times New Roman"/>
          <w:spacing w:val="-10"/>
          <w:sz w:val="18"/>
          <w:szCs w:val="18"/>
          <w:lang w:val="es-ES_tradnl"/>
        </w:rPr>
        <w:t>–</w:t>
      </w:r>
      <w:r>
        <w:rPr>
          <w:spacing w:val="-10"/>
          <w:sz w:val="18"/>
          <w:szCs w:val="18"/>
          <w:lang w:val="es-ES_tradnl"/>
        </w:rPr>
        <w:t xml:space="preserve">del debido proceso </w:t>
      </w:r>
      <w:r>
        <w:rPr>
          <w:spacing w:val="-7"/>
          <w:sz w:val="18"/>
          <w:szCs w:val="18"/>
          <w:lang w:val="es-ES_tradnl"/>
        </w:rPr>
        <w:t>inclusive</w:t>
      </w:r>
      <w:r>
        <w:rPr>
          <w:rFonts w:cs="Times New Roman"/>
          <w:spacing w:val="-7"/>
          <w:sz w:val="18"/>
          <w:szCs w:val="18"/>
          <w:lang w:val="es-ES_tradnl"/>
        </w:rPr>
        <w:t>–</w:t>
      </w:r>
      <w:r>
        <w:rPr>
          <w:spacing w:val="-7"/>
          <w:sz w:val="18"/>
          <w:szCs w:val="18"/>
          <w:lang w:val="es-ES_tradnl"/>
        </w:rPr>
        <w:t>, producida por la acci</w:t>
      </w:r>
      <w:r>
        <w:rPr>
          <w:rFonts w:cs="Times New Roman"/>
          <w:spacing w:val="-7"/>
          <w:sz w:val="18"/>
          <w:szCs w:val="18"/>
          <w:lang w:val="es-ES_tradnl"/>
        </w:rPr>
        <w:t>ó</w:t>
      </w:r>
      <w:r>
        <w:rPr>
          <w:spacing w:val="-7"/>
          <w:sz w:val="18"/>
          <w:szCs w:val="18"/>
          <w:lang w:val="es-ES_tradnl"/>
        </w:rPr>
        <w:t xml:space="preserve">n de las autoridades que </w:t>
      </w:r>
      <w:r>
        <w:rPr>
          <w:spacing w:val="-4"/>
          <w:sz w:val="18"/>
          <w:szCs w:val="18"/>
          <w:lang w:val="es-ES_tradnl"/>
        </w:rPr>
        <w:t>ejercen la potestad jurisdiccional</w:t>
      </w:r>
      <w:r>
        <w:rPr>
          <w:spacing w:val="-4"/>
          <w:sz w:val="18"/>
          <w:szCs w:val="18"/>
          <w:vertAlign w:val="superscript"/>
          <w:lang w:val="es-ES_tradnl"/>
        </w:rPr>
        <w:t>1</w:t>
      </w:r>
      <w:r>
        <w:rPr>
          <w:spacing w:val="-4"/>
          <w:sz w:val="18"/>
          <w:szCs w:val="18"/>
          <w:lang w:val="es-ES_tradnl"/>
        </w:rPr>
        <w:t>. Por dicha raz</w:t>
      </w:r>
      <w:r>
        <w:rPr>
          <w:rFonts w:cs="Times New Roman"/>
          <w:spacing w:val="-4"/>
          <w:sz w:val="18"/>
          <w:szCs w:val="18"/>
          <w:lang w:val="es-ES_tradnl"/>
        </w:rPr>
        <w:t>ó</w:t>
      </w:r>
      <w:r>
        <w:rPr>
          <w:spacing w:val="-4"/>
          <w:sz w:val="18"/>
          <w:szCs w:val="18"/>
          <w:lang w:val="es-ES_tradnl"/>
        </w:rPr>
        <w:t xml:space="preserve">n, la </w:t>
      </w:r>
      <w:r>
        <w:rPr>
          <w:spacing w:val="-5"/>
          <w:sz w:val="18"/>
          <w:szCs w:val="18"/>
          <w:lang w:val="es-ES_tradnl"/>
        </w:rPr>
        <w:t>acci</w:t>
      </w:r>
      <w:r>
        <w:rPr>
          <w:rFonts w:cs="Times New Roman"/>
          <w:spacing w:val="-5"/>
          <w:sz w:val="18"/>
          <w:szCs w:val="18"/>
          <w:lang w:val="es-ES_tradnl"/>
        </w:rPr>
        <w:t>ó</w:t>
      </w:r>
      <w:r>
        <w:rPr>
          <w:spacing w:val="-5"/>
          <w:sz w:val="18"/>
          <w:szCs w:val="18"/>
          <w:lang w:val="es-ES_tradnl"/>
        </w:rPr>
        <w:t>n extraordinaria de protecci</w:t>
      </w:r>
      <w:r>
        <w:rPr>
          <w:rFonts w:cs="Times New Roman"/>
          <w:spacing w:val="-5"/>
          <w:sz w:val="18"/>
          <w:szCs w:val="18"/>
          <w:lang w:val="es-ES_tradnl"/>
        </w:rPr>
        <w:t>ó</w:t>
      </w:r>
      <w:r>
        <w:rPr>
          <w:spacing w:val="-5"/>
          <w:sz w:val="18"/>
          <w:szCs w:val="18"/>
          <w:lang w:val="es-ES_tradnl"/>
        </w:rPr>
        <w:t xml:space="preserve">n se constituye en un </w:t>
      </w:r>
      <w:r>
        <w:rPr>
          <w:spacing w:val="-7"/>
          <w:sz w:val="18"/>
          <w:szCs w:val="18"/>
          <w:lang w:val="es-ES_tradnl"/>
        </w:rPr>
        <w:t>juicio de la actuaci</w:t>
      </w:r>
      <w:r>
        <w:rPr>
          <w:rFonts w:cs="Times New Roman"/>
          <w:spacing w:val="-7"/>
          <w:sz w:val="18"/>
          <w:szCs w:val="18"/>
          <w:lang w:val="es-ES_tradnl"/>
        </w:rPr>
        <w:t>ó</w:t>
      </w:r>
      <w:r>
        <w:rPr>
          <w:spacing w:val="-7"/>
          <w:sz w:val="18"/>
          <w:szCs w:val="18"/>
          <w:lang w:val="es-ES_tradnl"/>
        </w:rPr>
        <w:t xml:space="preserve">n judicial a lo largo del proceso que se </w:t>
      </w:r>
      <w:r>
        <w:rPr>
          <w:spacing w:val="-6"/>
          <w:sz w:val="18"/>
          <w:szCs w:val="18"/>
          <w:lang w:val="es-ES_tradnl"/>
        </w:rPr>
        <w:t>analiza, utilizando como premisa del an</w:t>
      </w:r>
      <w:r>
        <w:rPr>
          <w:rFonts w:cs="Times New Roman"/>
          <w:spacing w:val="-6"/>
          <w:sz w:val="18"/>
          <w:szCs w:val="18"/>
          <w:lang w:val="es-ES_tradnl"/>
        </w:rPr>
        <w:t>á</w:t>
      </w:r>
      <w:r>
        <w:rPr>
          <w:spacing w:val="-6"/>
          <w:sz w:val="18"/>
          <w:szCs w:val="18"/>
          <w:lang w:val="es-ES_tradnl"/>
        </w:rPr>
        <w:t xml:space="preserve">lisis el contenido del texto Constitucional. Por ende, la labor de la Corte </w:t>
      </w:r>
      <w:r>
        <w:rPr>
          <w:spacing w:val="-9"/>
          <w:sz w:val="18"/>
          <w:szCs w:val="18"/>
          <w:lang w:val="es-ES_tradnl"/>
        </w:rPr>
        <w:t>Constitucional no constituye una correcci</w:t>
      </w:r>
      <w:r>
        <w:rPr>
          <w:rFonts w:cs="Times New Roman"/>
          <w:spacing w:val="-9"/>
          <w:sz w:val="18"/>
          <w:szCs w:val="18"/>
          <w:lang w:val="es-ES_tradnl"/>
        </w:rPr>
        <w:t>ó</w:t>
      </w:r>
      <w:r>
        <w:rPr>
          <w:spacing w:val="-9"/>
          <w:sz w:val="18"/>
          <w:szCs w:val="18"/>
          <w:lang w:val="es-ES_tradnl"/>
        </w:rPr>
        <w:t xml:space="preserve">n de errores en la </w:t>
      </w:r>
      <w:r>
        <w:rPr>
          <w:spacing w:val="-8"/>
          <w:sz w:val="18"/>
          <w:szCs w:val="18"/>
          <w:lang w:val="es-ES_tradnl"/>
        </w:rPr>
        <w:t>aplicaci</w:t>
      </w:r>
      <w:r>
        <w:rPr>
          <w:rFonts w:cs="Times New Roman"/>
          <w:spacing w:val="-8"/>
          <w:sz w:val="18"/>
          <w:szCs w:val="18"/>
          <w:lang w:val="es-ES_tradnl"/>
        </w:rPr>
        <w:t>ó</w:t>
      </w:r>
      <w:r>
        <w:rPr>
          <w:spacing w:val="-8"/>
          <w:sz w:val="18"/>
          <w:szCs w:val="18"/>
          <w:lang w:val="es-ES_tradnl"/>
        </w:rPr>
        <w:t>n e interpretaci</w:t>
      </w:r>
      <w:r>
        <w:rPr>
          <w:rFonts w:cs="Times New Roman"/>
          <w:spacing w:val="-8"/>
          <w:sz w:val="18"/>
          <w:szCs w:val="18"/>
          <w:lang w:val="es-ES_tradnl"/>
        </w:rPr>
        <w:t>ó</w:t>
      </w:r>
      <w:r>
        <w:rPr>
          <w:spacing w:val="-8"/>
          <w:sz w:val="18"/>
          <w:szCs w:val="18"/>
          <w:lang w:val="es-ES_tradnl"/>
        </w:rPr>
        <w:t xml:space="preserve">n de normas infraconstitucionales, ni un nuevo enjuiciamiento de los hechos presentados ante </w:t>
      </w:r>
      <w:r>
        <w:rPr>
          <w:sz w:val="18"/>
          <w:szCs w:val="18"/>
          <w:lang w:val="es-ES_tradnl"/>
        </w:rPr>
        <w:t>las judicaturas inferiores.</w:t>
      </w:r>
    </w:p>
    <w:p w14:paraId="4F67B289" w14:textId="77777777" w:rsidR="00591D54" w:rsidRDefault="00591D54">
      <w:pPr>
        <w:shd w:val="clear" w:color="auto" w:fill="FFFFFF"/>
        <w:spacing w:before="192" w:line="216" w:lineRule="exact"/>
        <w:ind w:right="5"/>
        <w:jc w:val="both"/>
      </w:pPr>
      <w:r>
        <w:rPr>
          <w:sz w:val="18"/>
          <w:szCs w:val="18"/>
          <w:lang w:val="es-ES_tradnl"/>
        </w:rPr>
        <w:t>Asimismo, la Corte Constitucional, para el per</w:t>
      </w:r>
      <w:r>
        <w:rPr>
          <w:rFonts w:cs="Times New Roman"/>
          <w:sz w:val="18"/>
          <w:szCs w:val="18"/>
          <w:lang w:val="es-ES_tradnl"/>
        </w:rPr>
        <w:t>í</w:t>
      </w:r>
      <w:r>
        <w:rPr>
          <w:sz w:val="18"/>
          <w:szCs w:val="18"/>
          <w:lang w:val="es-ES_tradnl"/>
        </w:rPr>
        <w:t xml:space="preserve">odo </w:t>
      </w:r>
      <w:r>
        <w:rPr>
          <w:spacing w:val="-6"/>
          <w:sz w:val="18"/>
          <w:szCs w:val="18"/>
          <w:lang w:val="es-ES_tradnl"/>
        </w:rPr>
        <w:t>de transici</w:t>
      </w:r>
      <w:r>
        <w:rPr>
          <w:rFonts w:cs="Times New Roman"/>
          <w:spacing w:val="-6"/>
          <w:sz w:val="18"/>
          <w:szCs w:val="18"/>
          <w:lang w:val="es-ES_tradnl"/>
        </w:rPr>
        <w:t>ó</w:t>
      </w:r>
      <w:r>
        <w:rPr>
          <w:spacing w:val="-6"/>
          <w:sz w:val="18"/>
          <w:szCs w:val="18"/>
          <w:lang w:val="es-ES_tradnl"/>
        </w:rPr>
        <w:t>n, en la sentencia N.</w:t>
      </w:r>
      <w:r>
        <w:rPr>
          <w:rFonts w:cs="Times New Roman"/>
          <w:spacing w:val="-6"/>
          <w:sz w:val="18"/>
          <w:szCs w:val="18"/>
          <w:lang w:val="es-ES_tradnl"/>
        </w:rPr>
        <w:t>º</w:t>
      </w:r>
      <w:r>
        <w:rPr>
          <w:spacing w:val="-6"/>
          <w:sz w:val="18"/>
          <w:szCs w:val="18"/>
          <w:lang w:val="es-ES_tradnl"/>
        </w:rPr>
        <w:t xml:space="preserve"> 227-12-SEP-CC, correspondiente a la causa N.</w:t>
      </w:r>
      <w:r>
        <w:rPr>
          <w:rFonts w:cs="Times New Roman"/>
          <w:spacing w:val="-6"/>
          <w:sz w:val="18"/>
          <w:szCs w:val="18"/>
          <w:lang w:val="es-ES_tradnl"/>
        </w:rPr>
        <w:t>º</w:t>
      </w:r>
      <w:r>
        <w:rPr>
          <w:spacing w:val="-6"/>
          <w:sz w:val="18"/>
          <w:szCs w:val="18"/>
          <w:lang w:val="es-ES_tradnl"/>
        </w:rPr>
        <w:t xml:space="preserve"> 1212-11-EP, respecto de </w:t>
      </w:r>
      <w:r>
        <w:rPr>
          <w:spacing w:val="-5"/>
          <w:sz w:val="18"/>
          <w:szCs w:val="18"/>
          <w:lang w:val="es-ES_tradnl"/>
        </w:rPr>
        <w:t>las acciones extraordinarias de protecci</w:t>
      </w:r>
      <w:r>
        <w:rPr>
          <w:rFonts w:cs="Times New Roman"/>
          <w:spacing w:val="-5"/>
          <w:sz w:val="18"/>
          <w:szCs w:val="18"/>
          <w:lang w:val="es-ES_tradnl"/>
        </w:rPr>
        <w:t>ó</w:t>
      </w:r>
      <w:r>
        <w:rPr>
          <w:spacing w:val="-5"/>
          <w:sz w:val="18"/>
          <w:szCs w:val="18"/>
          <w:lang w:val="es-ES_tradnl"/>
        </w:rPr>
        <w:t xml:space="preserve">n en las que se ha alegado violaciones del derecho al debido proceso en </w:t>
      </w:r>
      <w:r>
        <w:rPr>
          <w:spacing w:val="-8"/>
          <w:sz w:val="18"/>
          <w:szCs w:val="18"/>
          <w:lang w:val="es-ES_tradnl"/>
        </w:rPr>
        <w:t>la garant</w:t>
      </w:r>
      <w:r>
        <w:rPr>
          <w:rFonts w:cs="Times New Roman"/>
          <w:spacing w:val="-8"/>
          <w:sz w:val="18"/>
          <w:szCs w:val="18"/>
          <w:lang w:val="es-ES_tradnl"/>
        </w:rPr>
        <w:t>í</w:t>
      </w:r>
      <w:r>
        <w:rPr>
          <w:spacing w:val="-8"/>
          <w:sz w:val="18"/>
          <w:szCs w:val="18"/>
          <w:lang w:val="es-ES_tradnl"/>
        </w:rPr>
        <w:t xml:space="preserve">a del cumplimiento de normas y derechos de las </w:t>
      </w:r>
      <w:r>
        <w:rPr>
          <w:spacing w:val="-9"/>
          <w:sz w:val="18"/>
          <w:szCs w:val="18"/>
          <w:lang w:val="es-ES_tradnl"/>
        </w:rPr>
        <w:t xml:space="preserve">partes ha sostenido lo siguiente: </w:t>
      </w:r>
      <w:r>
        <w:rPr>
          <w:rFonts w:cs="Times New Roman"/>
          <w:spacing w:val="-9"/>
          <w:sz w:val="18"/>
          <w:szCs w:val="18"/>
          <w:lang w:val="es-ES_tradnl"/>
        </w:rPr>
        <w:t>“</w:t>
      </w:r>
      <w:r>
        <w:rPr>
          <w:spacing w:val="-9"/>
          <w:sz w:val="18"/>
          <w:szCs w:val="18"/>
          <w:lang w:val="es-ES_tradnl"/>
        </w:rPr>
        <w:t xml:space="preserve">cualquier autoridad judicial </w:t>
      </w:r>
      <w:r>
        <w:rPr>
          <w:spacing w:val="-8"/>
          <w:sz w:val="18"/>
          <w:szCs w:val="18"/>
          <w:lang w:val="es-ES_tradnl"/>
        </w:rPr>
        <w:t xml:space="preserve">que vulnere un derecho constitucional, por ese solo hecho </w:t>
      </w:r>
      <w:r>
        <w:rPr>
          <w:spacing w:val="-7"/>
          <w:sz w:val="18"/>
          <w:szCs w:val="18"/>
          <w:lang w:val="es-ES_tradnl"/>
        </w:rPr>
        <w:t>faltar</w:t>
      </w:r>
      <w:r>
        <w:rPr>
          <w:rFonts w:cs="Times New Roman"/>
          <w:spacing w:val="-7"/>
          <w:sz w:val="18"/>
          <w:szCs w:val="18"/>
          <w:lang w:val="es-ES_tradnl"/>
        </w:rPr>
        <w:t>á</w:t>
      </w:r>
      <w:r>
        <w:rPr>
          <w:spacing w:val="-7"/>
          <w:sz w:val="18"/>
          <w:szCs w:val="18"/>
          <w:lang w:val="es-ES_tradnl"/>
        </w:rPr>
        <w:t xml:space="preserve"> a su obligaci</w:t>
      </w:r>
      <w:r>
        <w:rPr>
          <w:rFonts w:cs="Times New Roman"/>
          <w:spacing w:val="-7"/>
          <w:sz w:val="18"/>
          <w:szCs w:val="18"/>
          <w:lang w:val="es-ES_tradnl"/>
        </w:rPr>
        <w:t>ó</w:t>
      </w:r>
      <w:r>
        <w:rPr>
          <w:spacing w:val="-7"/>
          <w:sz w:val="18"/>
          <w:szCs w:val="18"/>
          <w:lang w:val="es-ES_tradnl"/>
        </w:rPr>
        <w:t>n de tutelar los derechos, as</w:t>
      </w:r>
      <w:r>
        <w:rPr>
          <w:rFonts w:cs="Times New Roman"/>
          <w:spacing w:val="-7"/>
          <w:sz w:val="18"/>
          <w:szCs w:val="18"/>
          <w:lang w:val="es-ES_tradnl"/>
        </w:rPr>
        <w:t>í</w:t>
      </w:r>
      <w:r>
        <w:rPr>
          <w:spacing w:val="-7"/>
          <w:sz w:val="18"/>
          <w:szCs w:val="18"/>
          <w:lang w:val="es-ES_tradnl"/>
        </w:rPr>
        <w:t xml:space="preserve"> como su accionar entrar</w:t>
      </w:r>
      <w:r>
        <w:rPr>
          <w:rFonts w:cs="Times New Roman"/>
          <w:spacing w:val="-7"/>
          <w:sz w:val="18"/>
          <w:szCs w:val="18"/>
          <w:lang w:val="es-ES_tradnl"/>
        </w:rPr>
        <w:t>á</w:t>
      </w:r>
      <w:r>
        <w:rPr>
          <w:spacing w:val="-7"/>
          <w:sz w:val="18"/>
          <w:szCs w:val="18"/>
          <w:lang w:val="es-ES_tradnl"/>
        </w:rPr>
        <w:t xml:space="preserve"> en franca contradicci</w:t>
      </w:r>
      <w:r>
        <w:rPr>
          <w:rFonts w:cs="Times New Roman"/>
          <w:spacing w:val="-7"/>
          <w:sz w:val="18"/>
          <w:szCs w:val="18"/>
          <w:lang w:val="es-ES_tradnl"/>
        </w:rPr>
        <w:t>ó</w:t>
      </w:r>
      <w:r>
        <w:rPr>
          <w:spacing w:val="-7"/>
          <w:sz w:val="18"/>
          <w:szCs w:val="18"/>
          <w:lang w:val="es-ES_tradnl"/>
        </w:rPr>
        <w:t xml:space="preserve">n con su deber de garantizar el cumplimiento de las normas constitucionales, </w:t>
      </w:r>
      <w:r>
        <w:rPr>
          <w:spacing w:val="-6"/>
          <w:sz w:val="18"/>
          <w:szCs w:val="18"/>
          <w:lang w:val="es-ES_tradnl"/>
        </w:rPr>
        <w:t>lesionando as</w:t>
      </w:r>
      <w:r>
        <w:rPr>
          <w:rFonts w:cs="Times New Roman"/>
          <w:spacing w:val="-6"/>
          <w:sz w:val="18"/>
          <w:szCs w:val="18"/>
          <w:lang w:val="es-ES_tradnl"/>
        </w:rPr>
        <w:t>í</w:t>
      </w:r>
      <w:r>
        <w:rPr>
          <w:spacing w:val="-6"/>
          <w:sz w:val="18"/>
          <w:szCs w:val="18"/>
          <w:lang w:val="es-ES_tradnl"/>
        </w:rPr>
        <w:t xml:space="preserve"> la seguridad jur</w:t>
      </w:r>
      <w:r>
        <w:rPr>
          <w:rFonts w:cs="Times New Roman"/>
          <w:spacing w:val="-6"/>
          <w:sz w:val="18"/>
          <w:szCs w:val="18"/>
          <w:lang w:val="es-ES_tradnl"/>
        </w:rPr>
        <w:t>í</w:t>
      </w:r>
      <w:r>
        <w:rPr>
          <w:spacing w:val="-6"/>
          <w:sz w:val="18"/>
          <w:szCs w:val="18"/>
          <w:lang w:val="es-ES_tradnl"/>
        </w:rPr>
        <w:t>dica</w:t>
      </w:r>
      <w:r>
        <w:rPr>
          <w:rFonts w:cs="Times New Roman"/>
          <w:spacing w:val="-6"/>
          <w:sz w:val="18"/>
          <w:szCs w:val="18"/>
          <w:lang w:val="es-ES_tradnl"/>
        </w:rPr>
        <w:t>”</w:t>
      </w:r>
      <w:r>
        <w:rPr>
          <w:spacing w:val="-6"/>
          <w:sz w:val="18"/>
          <w:szCs w:val="18"/>
          <w:lang w:val="es-ES_tradnl"/>
        </w:rPr>
        <w:t xml:space="preserve">. Siguiendo el criterio </w:t>
      </w:r>
      <w:r>
        <w:rPr>
          <w:spacing w:val="-5"/>
          <w:sz w:val="18"/>
          <w:szCs w:val="18"/>
          <w:lang w:val="es-ES_tradnl"/>
        </w:rPr>
        <w:t>de la Corte, la implicaci</w:t>
      </w:r>
      <w:r>
        <w:rPr>
          <w:rFonts w:cs="Times New Roman"/>
          <w:spacing w:val="-5"/>
          <w:sz w:val="18"/>
          <w:szCs w:val="18"/>
          <w:lang w:val="es-ES_tradnl"/>
        </w:rPr>
        <w:t>ó</w:t>
      </w:r>
      <w:r>
        <w:rPr>
          <w:spacing w:val="-5"/>
          <w:sz w:val="18"/>
          <w:szCs w:val="18"/>
          <w:lang w:val="es-ES_tradnl"/>
        </w:rPr>
        <w:t>n de declarar la vulneraci</w:t>
      </w:r>
      <w:r>
        <w:rPr>
          <w:rFonts w:cs="Times New Roman"/>
          <w:spacing w:val="-5"/>
          <w:sz w:val="18"/>
          <w:szCs w:val="18"/>
          <w:lang w:val="es-ES_tradnl"/>
        </w:rPr>
        <w:t>ó</w:t>
      </w:r>
      <w:r>
        <w:rPr>
          <w:spacing w:val="-5"/>
          <w:sz w:val="18"/>
          <w:szCs w:val="18"/>
          <w:lang w:val="es-ES_tradnl"/>
        </w:rPr>
        <w:t xml:space="preserve">n de </w:t>
      </w:r>
      <w:r>
        <w:rPr>
          <w:spacing w:val="-8"/>
          <w:sz w:val="18"/>
          <w:szCs w:val="18"/>
          <w:lang w:val="es-ES_tradnl"/>
        </w:rPr>
        <w:t xml:space="preserve">derechos constitucionales es que por ese hecho, la Corte </w:t>
      </w:r>
      <w:r>
        <w:rPr>
          <w:spacing w:val="-7"/>
          <w:sz w:val="18"/>
          <w:szCs w:val="18"/>
          <w:lang w:val="es-ES_tradnl"/>
        </w:rPr>
        <w:t xml:space="preserve">deba </w:t>
      </w:r>
      <w:r>
        <w:rPr>
          <w:rFonts w:cs="Times New Roman"/>
          <w:spacing w:val="-7"/>
          <w:sz w:val="18"/>
          <w:szCs w:val="18"/>
          <w:lang w:val="es-ES_tradnl"/>
        </w:rPr>
        <w:t>“</w:t>
      </w:r>
      <w:r>
        <w:rPr>
          <w:spacing w:val="-7"/>
          <w:sz w:val="18"/>
          <w:szCs w:val="18"/>
          <w:lang w:val="es-ES_tradnl"/>
        </w:rPr>
        <w:t>(</w:t>
      </w:r>
      <w:r>
        <w:rPr>
          <w:rFonts w:cs="Times New Roman"/>
          <w:spacing w:val="-7"/>
          <w:sz w:val="18"/>
          <w:szCs w:val="18"/>
          <w:lang w:val="es-ES_tradnl"/>
        </w:rPr>
        <w:t>…</w:t>
      </w:r>
      <w:r>
        <w:rPr>
          <w:spacing w:val="-7"/>
          <w:sz w:val="18"/>
          <w:szCs w:val="18"/>
          <w:lang w:val="es-ES_tradnl"/>
        </w:rPr>
        <w:t xml:space="preserve">) declarar adicionalmente el quebrantamiento de </w:t>
      </w:r>
      <w:r>
        <w:rPr>
          <w:spacing w:val="-6"/>
          <w:sz w:val="18"/>
          <w:szCs w:val="18"/>
          <w:lang w:val="es-ES_tradnl"/>
        </w:rPr>
        <w:t>la tutela judicial efectiva, (</w:t>
      </w:r>
      <w:r>
        <w:rPr>
          <w:rFonts w:cs="Times New Roman"/>
          <w:spacing w:val="-6"/>
          <w:sz w:val="18"/>
          <w:szCs w:val="18"/>
          <w:lang w:val="es-ES_tradnl"/>
        </w:rPr>
        <w:t>…</w:t>
      </w:r>
      <w:r>
        <w:rPr>
          <w:spacing w:val="-6"/>
          <w:sz w:val="18"/>
          <w:szCs w:val="18"/>
          <w:lang w:val="es-ES_tradnl"/>
        </w:rPr>
        <w:t>) y la obligaci</w:t>
      </w:r>
      <w:r>
        <w:rPr>
          <w:rFonts w:cs="Times New Roman"/>
          <w:spacing w:val="-6"/>
          <w:sz w:val="18"/>
          <w:szCs w:val="18"/>
          <w:lang w:val="es-ES_tradnl"/>
        </w:rPr>
        <w:t>ó</w:t>
      </w:r>
      <w:r>
        <w:rPr>
          <w:spacing w:val="-6"/>
          <w:sz w:val="18"/>
          <w:szCs w:val="18"/>
          <w:lang w:val="es-ES_tradnl"/>
        </w:rPr>
        <w:t xml:space="preserve">n de garantizar el cumplimiento de normas y derechos constitucionales </w:t>
      </w:r>
      <w:r>
        <w:rPr>
          <w:spacing w:val="-9"/>
          <w:sz w:val="18"/>
          <w:szCs w:val="18"/>
          <w:lang w:val="es-ES_tradnl"/>
        </w:rPr>
        <w:t>(</w:t>
      </w:r>
      <w:r>
        <w:rPr>
          <w:rFonts w:cs="Times New Roman"/>
          <w:spacing w:val="-9"/>
          <w:sz w:val="18"/>
          <w:szCs w:val="18"/>
          <w:lang w:val="es-ES_tradnl"/>
        </w:rPr>
        <w:t>…</w:t>
      </w:r>
      <w:r>
        <w:rPr>
          <w:spacing w:val="-9"/>
          <w:sz w:val="18"/>
          <w:szCs w:val="18"/>
          <w:lang w:val="es-ES_tradnl"/>
        </w:rPr>
        <w:t>)</w:t>
      </w:r>
      <w:r>
        <w:rPr>
          <w:rFonts w:cs="Times New Roman"/>
          <w:spacing w:val="-9"/>
          <w:sz w:val="18"/>
          <w:szCs w:val="18"/>
          <w:lang w:val="es-ES_tradnl"/>
        </w:rPr>
        <w:t>”</w:t>
      </w:r>
      <w:r>
        <w:rPr>
          <w:spacing w:val="-9"/>
          <w:sz w:val="18"/>
          <w:szCs w:val="18"/>
          <w:lang w:val="es-ES_tradnl"/>
        </w:rPr>
        <w:t>. Por ende, dicha determinaci</w:t>
      </w:r>
      <w:r>
        <w:rPr>
          <w:rFonts w:cs="Times New Roman"/>
          <w:spacing w:val="-9"/>
          <w:sz w:val="18"/>
          <w:szCs w:val="18"/>
          <w:lang w:val="es-ES_tradnl"/>
        </w:rPr>
        <w:t>ó</w:t>
      </w:r>
      <w:r>
        <w:rPr>
          <w:spacing w:val="-9"/>
          <w:sz w:val="18"/>
          <w:szCs w:val="18"/>
          <w:lang w:val="es-ES_tradnl"/>
        </w:rPr>
        <w:t>n depender</w:t>
      </w:r>
      <w:r>
        <w:rPr>
          <w:rFonts w:cs="Times New Roman"/>
          <w:spacing w:val="-9"/>
          <w:sz w:val="18"/>
          <w:szCs w:val="18"/>
          <w:lang w:val="es-ES_tradnl"/>
        </w:rPr>
        <w:t>á</w:t>
      </w:r>
      <w:r>
        <w:rPr>
          <w:spacing w:val="-9"/>
          <w:sz w:val="18"/>
          <w:szCs w:val="18"/>
          <w:lang w:val="es-ES_tradnl"/>
        </w:rPr>
        <w:t xml:space="preserve"> del an</w:t>
      </w:r>
      <w:r>
        <w:rPr>
          <w:rFonts w:cs="Times New Roman"/>
          <w:spacing w:val="-9"/>
          <w:sz w:val="18"/>
          <w:szCs w:val="18"/>
          <w:lang w:val="es-ES_tradnl"/>
        </w:rPr>
        <w:t>á</w:t>
      </w:r>
      <w:r>
        <w:rPr>
          <w:spacing w:val="-9"/>
          <w:sz w:val="18"/>
          <w:szCs w:val="18"/>
          <w:lang w:val="es-ES_tradnl"/>
        </w:rPr>
        <w:t xml:space="preserve">lisis </w:t>
      </w:r>
      <w:r>
        <w:rPr>
          <w:spacing w:val="-11"/>
          <w:sz w:val="18"/>
          <w:szCs w:val="18"/>
          <w:lang w:val="es-ES_tradnl"/>
        </w:rPr>
        <w:t>que se realice respecto de los dem</w:t>
      </w:r>
      <w:r>
        <w:rPr>
          <w:rFonts w:cs="Times New Roman"/>
          <w:spacing w:val="-11"/>
          <w:sz w:val="18"/>
          <w:szCs w:val="18"/>
          <w:lang w:val="es-ES_tradnl"/>
        </w:rPr>
        <w:t>á</w:t>
      </w:r>
      <w:r>
        <w:rPr>
          <w:spacing w:val="-11"/>
          <w:sz w:val="18"/>
          <w:szCs w:val="18"/>
          <w:lang w:val="es-ES_tradnl"/>
        </w:rPr>
        <w:t>s derechos involucrados.</w:t>
      </w:r>
    </w:p>
    <w:p w14:paraId="4F67B28A" w14:textId="77777777" w:rsidR="00591D54" w:rsidRDefault="00591D54">
      <w:pPr>
        <w:shd w:val="clear" w:color="auto" w:fill="FFFFFF"/>
        <w:spacing w:before="763" w:line="178" w:lineRule="exact"/>
        <w:ind w:left="144" w:right="5" w:hanging="144"/>
        <w:jc w:val="both"/>
      </w:pPr>
      <w:r>
        <w:rPr>
          <w:sz w:val="14"/>
          <w:szCs w:val="14"/>
          <w:vertAlign w:val="superscript"/>
          <w:lang w:val="es-ES_tradnl"/>
        </w:rPr>
        <w:t>1</w:t>
      </w:r>
      <w:r>
        <w:rPr>
          <w:sz w:val="14"/>
          <w:szCs w:val="14"/>
          <w:lang w:val="es-ES_tradnl"/>
        </w:rPr>
        <w:t xml:space="preserve"> Corte Constitucional del Ecuador, sentencia N.</w:t>
      </w:r>
      <w:r>
        <w:rPr>
          <w:rFonts w:cs="Times New Roman"/>
          <w:sz w:val="14"/>
          <w:szCs w:val="14"/>
          <w:lang w:val="es-ES_tradnl"/>
        </w:rPr>
        <w:t>º</w:t>
      </w:r>
      <w:r>
        <w:rPr>
          <w:sz w:val="14"/>
          <w:szCs w:val="14"/>
          <w:lang w:val="es-ES_tradnl"/>
        </w:rPr>
        <w:t xml:space="preserve"> 001-13-SEP-CC, </w:t>
      </w:r>
      <w:r>
        <w:rPr>
          <w:spacing w:val="-3"/>
          <w:sz w:val="14"/>
          <w:szCs w:val="14"/>
          <w:lang w:val="es-ES_tradnl"/>
        </w:rPr>
        <w:t>caso N</w:t>
      </w:r>
      <w:r>
        <w:rPr>
          <w:rFonts w:cs="Times New Roman"/>
          <w:spacing w:val="-3"/>
          <w:sz w:val="14"/>
          <w:szCs w:val="14"/>
          <w:lang w:val="es-ES_tradnl"/>
        </w:rPr>
        <w:t>º</w:t>
      </w:r>
      <w:r>
        <w:rPr>
          <w:spacing w:val="-3"/>
          <w:sz w:val="14"/>
          <w:szCs w:val="14"/>
          <w:lang w:val="es-ES_tradnl"/>
        </w:rPr>
        <w:t xml:space="preserve"> 1647-11-EP y sentencia N.</w:t>
      </w:r>
      <w:r>
        <w:rPr>
          <w:rFonts w:cs="Times New Roman"/>
          <w:spacing w:val="-3"/>
          <w:sz w:val="14"/>
          <w:szCs w:val="14"/>
          <w:lang w:val="es-ES_tradnl"/>
        </w:rPr>
        <w:t>º</w:t>
      </w:r>
      <w:r>
        <w:rPr>
          <w:spacing w:val="-3"/>
          <w:sz w:val="14"/>
          <w:szCs w:val="14"/>
          <w:lang w:val="es-ES_tradnl"/>
        </w:rPr>
        <w:t xml:space="preserve"> 020-13-SEP-CC, caso N.</w:t>
      </w:r>
      <w:r>
        <w:rPr>
          <w:rFonts w:cs="Times New Roman"/>
          <w:spacing w:val="-3"/>
          <w:sz w:val="14"/>
          <w:szCs w:val="14"/>
          <w:lang w:val="es-ES_tradnl"/>
        </w:rPr>
        <w:t>º</w:t>
      </w:r>
      <w:r>
        <w:rPr>
          <w:spacing w:val="-3"/>
          <w:sz w:val="14"/>
          <w:szCs w:val="14"/>
          <w:lang w:val="es-ES_tradnl"/>
        </w:rPr>
        <w:t xml:space="preserve"> 0563-</w:t>
      </w:r>
      <w:r>
        <w:rPr>
          <w:sz w:val="14"/>
          <w:szCs w:val="14"/>
          <w:lang w:val="es-ES_tradnl"/>
        </w:rPr>
        <w:t>12-EP.</w:t>
      </w:r>
    </w:p>
    <w:p w14:paraId="4F67B28B" w14:textId="77777777" w:rsidR="00591D54" w:rsidRDefault="00591D54">
      <w:pPr>
        <w:shd w:val="clear" w:color="auto" w:fill="FFFFFF"/>
        <w:spacing w:before="763" w:line="178" w:lineRule="exact"/>
        <w:ind w:left="144" w:right="5" w:hanging="144"/>
        <w:jc w:val="both"/>
        <w:sectPr w:rsidR="00591D54">
          <w:type w:val="continuous"/>
          <w:pgSz w:w="11909" w:h="16834"/>
          <w:pgMar w:top="1356" w:right="1304" w:bottom="360" w:left="1308" w:header="720" w:footer="720" w:gutter="0"/>
          <w:cols w:num="2" w:space="720" w:equalWidth="0">
            <w:col w:w="4305" w:space="682"/>
            <w:col w:w="4310"/>
          </w:cols>
          <w:noEndnote/>
        </w:sectPr>
      </w:pPr>
    </w:p>
    <w:p w14:paraId="4F67B28C" w14:textId="77777777" w:rsidR="00591D54" w:rsidRDefault="00591D54">
      <w:pPr>
        <w:shd w:val="clear" w:color="auto" w:fill="FFFFFF"/>
        <w:tabs>
          <w:tab w:val="left" w:pos="4814"/>
        </w:tabs>
        <w:spacing w:after="226"/>
        <w:ind w:left="14"/>
      </w:pPr>
      <w:r>
        <w:rPr>
          <w:b/>
          <w:bCs/>
          <w:sz w:val="18"/>
          <w:szCs w:val="18"/>
          <w:lang w:val="es-ES_tradnl"/>
        </w:rPr>
        <w:t xml:space="preserve">184 -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28D" w14:textId="77777777" w:rsidR="00591D54" w:rsidRDefault="00591D54">
      <w:pPr>
        <w:shd w:val="clear" w:color="auto" w:fill="FFFFFF"/>
        <w:tabs>
          <w:tab w:val="left" w:pos="4814"/>
        </w:tabs>
        <w:spacing w:after="226"/>
        <w:ind w:left="14"/>
        <w:sectPr w:rsidR="00591D54">
          <w:pgSz w:w="11909" w:h="16834"/>
          <w:pgMar w:top="1356" w:right="1309" w:bottom="360" w:left="1308" w:header="720" w:footer="720" w:gutter="0"/>
          <w:cols w:space="60"/>
          <w:noEndnote/>
        </w:sectPr>
      </w:pPr>
    </w:p>
    <w:p w14:paraId="4F67B28E" w14:textId="77777777" w:rsidR="00591D54" w:rsidRDefault="00591D54">
      <w:pPr>
        <w:shd w:val="clear" w:color="auto" w:fill="FFFFFF"/>
      </w:pPr>
      <w:r>
        <w:rPr>
          <w:b/>
          <w:bCs/>
          <w:spacing w:val="-9"/>
          <w:sz w:val="18"/>
          <w:szCs w:val="18"/>
          <w:lang w:val="es-ES_tradnl"/>
        </w:rPr>
        <w:t>Determinaci</w:t>
      </w:r>
      <w:r>
        <w:rPr>
          <w:rFonts w:cs="Times New Roman"/>
          <w:b/>
          <w:bCs/>
          <w:spacing w:val="-9"/>
          <w:sz w:val="18"/>
          <w:szCs w:val="18"/>
          <w:lang w:val="es-ES_tradnl"/>
        </w:rPr>
        <w:t>ó</w:t>
      </w:r>
      <w:r>
        <w:rPr>
          <w:b/>
          <w:bCs/>
          <w:spacing w:val="-9"/>
          <w:sz w:val="18"/>
          <w:szCs w:val="18"/>
          <w:lang w:val="es-ES_tradnl"/>
        </w:rPr>
        <w:t>n de los problemas jur</w:t>
      </w:r>
      <w:r>
        <w:rPr>
          <w:rFonts w:cs="Times New Roman"/>
          <w:b/>
          <w:bCs/>
          <w:spacing w:val="-9"/>
          <w:sz w:val="18"/>
          <w:szCs w:val="18"/>
          <w:lang w:val="es-ES_tradnl"/>
        </w:rPr>
        <w:t>í</w:t>
      </w:r>
      <w:r>
        <w:rPr>
          <w:b/>
          <w:bCs/>
          <w:spacing w:val="-9"/>
          <w:sz w:val="18"/>
          <w:szCs w:val="18"/>
          <w:lang w:val="es-ES_tradnl"/>
        </w:rPr>
        <w:t>dicos a resolver</w:t>
      </w:r>
    </w:p>
    <w:p w14:paraId="4F67B28F" w14:textId="77777777" w:rsidR="00591D54" w:rsidRDefault="00591D54">
      <w:pPr>
        <w:shd w:val="clear" w:color="auto" w:fill="FFFFFF"/>
        <w:spacing w:before="197" w:line="216" w:lineRule="exact"/>
        <w:jc w:val="both"/>
      </w:pPr>
      <w:r>
        <w:rPr>
          <w:spacing w:val="-5"/>
          <w:sz w:val="18"/>
          <w:szCs w:val="18"/>
          <w:lang w:val="es-ES_tradnl"/>
        </w:rPr>
        <w:t>La Corte Constitucional en el presente caso, deber</w:t>
      </w:r>
      <w:r>
        <w:rPr>
          <w:rFonts w:cs="Times New Roman"/>
          <w:spacing w:val="-5"/>
          <w:sz w:val="18"/>
          <w:szCs w:val="18"/>
          <w:lang w:val="es-ES_tradnl"/>
        </w:rPr>
        <w:t xml:space="preserve">á </w:t>
      </w:r>
      <w:r>
        <w:rPr>
          <w:spacing w:val="-9"/>
          <w:sz w:val="18"/>
          <w:szCs w:val="18"/>
          <w:lang w:val="es-ES_tradnl"/>
        </w:rPr>
        <w:t>determinar si la decisi</w:t>
      </w:r>
      <w:r>
        <w:rPr>
          <w:rFonts w:cs="Times New Roman"/>
          <w:spacing w:val="-9"/>
          <w:sz w:val="18"/>
          <w:szCs w:val="18"/>
          <w:lang w:val="es-ES_tradnl"/>
        </w:rPr>
        <w:t>ó</w:t>
      </w:r>
      <w:r>
        <w:rPr>
          <w:spacing w:val="-9"/>
          <w:sz w:val="18"/>
          <w:szCs w:val="18"/>
          <w:lang w:val="es-ES_tradnl"/>
        </w:rPr>
        <w:t xml:space="preserve">n impugnada ha vulnerado derechos constitucionales, ante lo cual, estima necesario sistematizar </w:t>
      </w:r>
      <w:r>
        <w:rPr>
          <w:spacing w:val="-7"/>
          <w:sz w:val="18"/>
          <w:szCs w:val="18"/>
          <w:lang w:val="es-ES_tradnl"/>
        </w:rPr>
        <w:t>su argumentaci</w:t>
      </w:r>
      <w:r>
        <w:rPr>
          <w:rFonts w:cs="Times New Roman"/>
          <w:spacing w:val="-7"/>
          <w:sz w:val="18"/>
          <w:szCs w:val="18"/>
          <w:lang w:val="es-ES_tradnl"/>
        </w:rPr>
        <w:t>ó</w:t>
      </w:r>
      <w:r>
        <w:rPr>
          <w:spacing w:val="-7"/>
          <w:sz w:val="18"/>
          <w:szCs w:val="18"/>
          <w:lang w:val="es-ES_tradnl"/>
        </w:rPr>
        <w:t xml:space="preserve">n a partir de los siguientes problemas </w:t>
      </w:r>
      <w:r>
        <w:rPr>
          <w:sz w:val="18"/>
          <w:szCs w:val="18"/>
          <w:lang w:val="es-ES_tradnl"/>
        </w:rPr>
        <w:t>jur</w:t>
      </w:r>
      <w:r>
        <w:rPr>
          <w:rFonts w:cs="Times New Roman"/>
          <w:sz w:val="18"/>
          <w:szCs w:val="18"/>
          <w:lang w:val="es-ES_tradnl"/>
        </w:rPr>
        <w:t>í</w:t>
      </w:r>
      <w:r>
        <w:rPr>
          <w:sz w:val="18"/>
          <w:szCs w:val="18"/>
          <w:lang w:val="es-ES_tradnl"/>
        </w:rPr>
        <w:t>dicos:</w:t>
      </w:r>
    </w:p>
    <w:p w14:paraId="4F67B290" w14:textId="77777777" w:rsidR="00591D54" w:rsidRDefault="00591D54" w:rsidP="00251195">
      <w:pPr>
        <w:numPr>
          <w:ilvl w:val="0"/>
          <w:numId w:val="91"/>
        </w:numPr>
        <w:shd w:val="clear" w:color="auto" w:fill="FFFFFF"/>
        <w:tabs>
          <w:tab w:val="left" w:pos="566"/>
        </w:tabs>
        <w:spacing w:before="197" w:line="216" w:lineRule="exact"/>
        <w:ind w:left="566" w:hanging="283"/>
        <w:jc w:val="both"/>
        <w:rPr>
          <w:spacing w:val="-11"/>
          <w:sz w:val="18"/>
          <w:szCs w:val="18"/>
          <w:lang w:val="es-ES_tradnl"/>
        </w:rPr>
      </w:pPr>
      <w:r>
        <w:rPr>
          <w:spacing w:val="-8"/>
          <w:sz w:val="18"/>
          <w:szCs w:val="18"/>
          <w:lang w:val="es-ES_tradnl"/>
        </w:rPr>
        <w:t xml:space="preserve">La sentencia expedida por los jueces de la Sala </w:t>
      </w:r>
      <w:r>
        <w:rPr>
          <w:spacing w:val="-7"/>
          <w:sz w:val="18"/>
          <w:szCs w:val="18"/>
          <w:lang w:val="es-ES_tradnl"/>
        </w:rPr>
        <w:t>Especializada de lo Laboral, Ni</w:t>
      </w:r>
      <w:r>
        <w:rPr>
          <w:rFonts w:cs="Times New Roman"/>
          <w:spacing w:val="-7"/>
          <w:sz w:val="18"/>
          <w:szCs w:val="18"/>
          <w:lang w:val="es-ES_tradnl"/>
        </w:rPr>
        <w:t>ñ</w:t>
      </w:r>
      <w:r>
        <w:rPr>
          <w:spacing w:val="-7"/>
          <w:sz w:val="18"/>
          <w:szCs w:val="18"/>
          <w:lang w:val="es-ES_tradnl"/>
        </w:rPr>
        <w:t xml:space="preserve">ez y Adolescencia de la Corte Provincial de Justicia de Loja, </w:t>
      </w:r>
      <w:r>
        <w:rPr>
          <w:rFonts w:cs="Times New Roman"/>
          <w:spacing w:val="-7"/>
          <w:sz w:val="18"/>
          <w:szCs w:val="18"/>
          <w:lang w:val="es-ES_tradnl"/>
        </w:rPr>
        <w:t>¿</w:t>
      </w:r>
      <w:r>
        <w:rPr>
          <w:spacing w:val="-7"/>
          <w:sz w:val="18"/>
          <w:szCs w:val="18"/>
          <w:lang w:val="es-ES_tradnl"/>
        </w:rPr>
        <w:t xml:space="preserve">vulnera </w:t>
      </w:r>
      <w:r>
        <w:rPr>
          <w:sz w:val="18"/>
          <w:szCs w:val="18"/>
          <w:lang w:val="es-ES_tradnl"/>
        </w:rPr>
        <w:t>el derecho a la seguridad jur</w:t>
      </w:r>
      <w:r>
        <w:rPr>
          <w:rFonts w:cs="Times New Roman"/>
          <w:sz w:val="18"/>
          <w:szCs w:val="18"/>
          <w:lang w:val="es-ES_tradnl"/>
        </w:rPr>
        <w:t>í</w:t>
      </w:r>
      <w:r>
        <w:rPr>
          <w:sz w:val="18"/>
          <w:szCs w:val="18"/>
          <w:lang w:val="es-ES_tradnl"/>
        </w:rPr>
        <w:t>dica?</w:t>
      </w:r>
    </w:p>
    <w:p w14:paraId="4F67B291" w14:textId="77777777" w:rsidR="00591D54" w:rsidRDefault="00591D54" w:rsidP="00251195">
      <w:pPr>
        <w:numPr>
          <w:ilvl w:val="0"/>
          <w:numId w:val="91"/>
        </w:numPr>
        <w:shd w:val="clear" w:color="auto" w:fill="FFFFFF"/>
        <w:tabs>
          <w:tab w:val="left" w:pos="566"/>
        </w:tabs>
        <w:spacing w:before="197" w:line="216" w:lineRule="exact"/>
        <w:ind w:left="566" w:hanging="283"/>
        <w:jc w:val="both"/>
        <w:rPr>
          <w:spacing w:val="-11"/>
          <w:sz w:val="18"/>
          <w:szCs w:val="18"/>
          <w:lang w:val="es-ES_tradnl"/>
        </w:rPr>
      </w:pPr>
      <w:r>
        <w:rPr>
          <w:spacing w:val="-8"/>
          <w:sz w:val="18"/>
          <w:szCs w:val="18"/>
          <w:lang w:val="es-ES_tradnl"/>
        </w:rPr>
        <w:t xml:space="preserve">La sentencia expedida por los jueces de la Sala </w:t>
      </w:r>
      <w:r>
        <w:rPr>
          <w:spacing w:val="-7"/>
          <w:sz w:val="18"/>
          <w:szCs w:val="18"/>
          <w:lang w:val="es-ES_tradnl"/>
        </w:rPr>
        <w:t>Especializada de lo Laboral, Ni</w:t>
      </w:r>
      <w:r>
        <w:rPr>
          <w:rFonts w:cs="Times New Roman"/>
          <w:spacing w:val="-7"/>
          <w:sz w:val="18"/>
          <w:szCs w:val="18"/>
          <w:lang w:val="es-ES_tradnl"/>
        </w:rPr>
        <w:t>ñ</w:t>
      </w:r>
      <w:r>
        <w:rPr>
          <w:spacing w:val="-7"/>
          <w:sz w:val="18"/>
          <w:szCs w:val="18"/>
          <w:lang w:val="es-ES_tradnl"/>
        </w:rPr>
        <w:t xml:space="preserve">ez y Adolescencia de la Corte Provincial de Justicia de Loja, </w:t>
      </w:r>
      <w:r>
        <w:rPr>
          <w:rFonts w:cs="Times New Roman"/>
          <w:spacing w:val="-7"/>
          <w:sz w:val="18"/>
          <w:szCs w:val="18"/>
          <w:lang w:val="es-ES_tradnl"/>
        </w:rPr>
        <w:t>¿</w:t>
      </w:r>
      <w:r>
        <w:rPr>
          <w:spacing w:val="-7"/>
          <w:sz w:val="18"/>
          <w:szCs w:val="18"/>
          <w:lang w:val="es-ES_tradnl"/>
        </w:rPr>
        <w:t>vulnera el derecho al debido proceso en la garant</w:t>
      </w:r>
      <w:r>
        <w:rPr>
          <w:rFonts w:cs="Times New Roman"/>
          <w:spacing w:val="-7"/>
          <w:sz w:val="18"/>
          <w:szCs w:val="18"/>
          <w:lang w:val="es-ES_tradnl"/>
        </w:rPr>
        <w:t>í</w:t>
      </w:r>
      <w:r>
        <w:rPr>
          <w:spacing w:val="-7"/>
          <w:sz w:val="18"/>
          <w:szCs w:val="18"/>
          <w:lang w:val="es-ES_tradnl"/>
        </w:rPr>
        <w:t xml:space="preserve">a de la </w:t>
      </w:r>
      <w:r>
        <w:rPr>
          <w:sz w:val="18"/>
          <w:szCs w:val="18"/>
          <w:lang w:val="es-ES_tradnl"/>
        </w:rPr>
        <w:t>motivaci</w:t>
      </w:r>
      <w:r>
        <w:rPr>
          <w:rFonts w:cs="Times New Roman"/>
          <w:sz w:val="18"/>
          <w:szCs w:val="18"/>
          <w:lang w:val="es-ES_tradnl"/>
        </w:rPr>
        <w:t>ó</w:t>
      </w:r>
      <w:r>
        <w:rPr>
          <w:sz w:val="18"/>
          <w:szCs w:val="18"/>
          <w:lang w:val="es-ES_tradnl"/>
        </w:rPr>
        <w:t>n?</w:t>
      </w:r>
    </w:p>
    <w:p w14:paraId="4F67B292" w14:textId="77777777" w:rsidR="00591D54" w:rsidRDefault="00591D54">
      <w:pPr>
        <w:shd w:val="clear" w:color="auto" w:fill="FFFFFF"/>
        <w:spacing w:before="192"/>
      </w:pPr>
      <w:r>
        <w:rPr>
          <w:b/>
          <w:bCs/>
          <w:spacing w:val="-9"/>
          <w:sz w:val="18"/>
          <w:szCs w:val="18"/>
          <w:lang w:val="es-ES_tradnl"/>
        </w:rPr>
        <w:t>Desarrollo de los problemas jur</w:t>
      </w:r>
      <w:r>
        <w:rPr>
          <w:rFonts w:cs="Times New Roman"/>
          <w:b/>
          <w:bCs/>
          <w:spacing w:val="-9"/>
          <w:sz w:val="18"/>
          <w:szCs w:val="18"/>
          <w:lang w:val="es-ES_tradnl"/>
        </w:rPr>
        <w:t>í</w:t>
      </w:r>
      <w:r>
        <w:rPr>
          <w:b/>
          <w:bCs/>
          <w:spacing w:val="-9"/>
          <w:sz w:val="18"/>
          <w:szCs w:val="18"/>
          <w:lang w:val="es-ES_tradnl"/>
        </w:rPr>
        <w:t>dicos</w:t>
      </w:r>
    </w:p>
    <w:p w14:paraId="4F67B293" w14:textId="77777777" w:rsidR="00591D54" w:rsidRDefault="00591D54">
      <w:pPr>
        <w:shd w:val="clear" w:color="auto" w:fill="FFFFFF"/>
        <w:spacing w:before="192" w:line="216" w:lineRule="exact"/>
        <w:ind w:left="283" w:hanging="283"/>
        <w:jc w:val="both"/>
      </w:pPr>
      <w:r>
        <w:rPr>
          <w:b/>
          <w:bCs/>
          <w:spacing w:val="-8"/>
          <w:sz w:val="18"/>
          <w:szCs w:val="18"/>
          <w:lang w:val="es-ES_tradnl"/>
        </w:rPr>
        <w:t xml:space="preserve">1. La sentencia expedida por los jueces de la Sala </w:t>
      </w:r>
      <w:r>
        <w:rPr>
          <w:b/>
          <w:bCs/>
          <w:spacing w:val="-7"/>
          <w:sz w:val="18"/>
          <w:szCs w:val="18"/>
          <w:lang w:val="es-ES_tradnl"/>
        </w:rPr>
        <w:t>Especializada de lo Laboral, Ni</w:t>
      </w:r>
      <w:r>
        <w:rPr>
          <w:rFonts w:cs="Times New Roman"/>
          <w:b/>
          <w:bCs/>
          <w:spacing w:val="-7"/>
          <w:sz w:val="18"/>
          <w:szCs w:val="18"/>
          <w:lang w:val="es-ES_tradnl"/>
        </w:rPr>
        <w:t>ñ</w:t>
      </w:r>
      <w:r>
        <w:rPr>
          <w:b/>
          <w:bCs/>
          <w:spacing w:val="-7"/>
          <w:sz w:val="18"/>
          <w:szCs w:val="18"/>
          <w:lang w:val="es-ES_tradnl"/>
        </w:rPr>
        <w:t xml:space="preserve">ez y Adolescencia de la Corte Provincial de Justicia de Loja, </w:t>
      </w:r>
      <w:r>
        <w:rPr>
          <w:rFonts w:cs="Times New Roman"/>
          <w:b/>
          <w:bCs/>
          <w:spacing w:val="-7"/>
          <w:sz w:val="18"/>
          <w:szCs w:val="18"/>
          <w:lang w:val="es-ES_tradnl"/>
        </w:rPr>
        <w:t>¿</w:t>
      </w:r>
      <w:r>
        <w:rPr>
          <w:b/>
          <w:bCs/>
          <w:spacing w:val="-7"/>
          <w:sz w:val="18"/>
          <w:szCs w:val="18"/>
          <w:lang w:val="es-ES_tradnl"/>
        </w:rPr>
        <w:t xml:space="preserve">vulnera </w:t>
      </w:r>
      <w:r>
        <w:rPr>
          <w:b/>
          <w:bCs/>
          <w:sz w:val="18"/>
          <w:szCs w:val="18"/>
          <w:lang w:val="es-ES_tradnl"/>
        </w:rPr>
        <w:t>el derecho a la seguridad jur</w:t>
      </w:r>
      <w:r>
        <w:rPr>
          <w:rFonts w:cs="Times New Roman"/>
          <w:b/>
          <w:bCs/>
          <w:sz w:val="18"/>
          <w:szCs w:val="18"/>
          <w:lang w:val="es-ES_tradnl"/>
        </w:rPr>
        <w:t>í</w:t>
      </w:r>
      <w:r>
        <w:rPr>
          <w:b/>
          <w:bCs/>
          <w:sz w:val="18"/>
          <w:szCs w:val="18"/>
          <w:lang w:val="es-ES_tradnl"/>
        </w:rPr>
        <w:t>dica?</w:t>
      </w:r>
    </w:p>
    <w:p w14:paraId="4F67B294" w14:textId="77777777" w:rsidR="00591D54" w:rsidRDefault="00591D54">
      <w:pPr>
        <w:shd w:val="clear" w:color="auto" w:fill="FFFFFF"/>
        <w:spacing w:before="197" w:line="216" w:lineRule="exact"/>
        <w:jc w:val="both"/>
      </w:pPr>
      <w:r>
        <w:rPr>
          <w:spacing w:val="-9"/>
          <w:sz w:val="18"/>
          <w:szCs w:val="18"/>
          <w:lang w:val="es-ES_tradnl"/>
        </w:rPr>
        <w:t xml:space="preserve">Conforme se desprende de los argumentos vertidos por los </w:t>
      </w:r>
      <w:r>
        <w:rPr>
          <w:spacing w:val="-8"/>
          <w:sz w:val="18"/>
          <w:szCs w:val="18"/>
          <w:lang w:val="es-ES_tradnl"/>
        </w:rPr>
        <w:t>accionantes, la sentencia impugnada vulnerar</w:t>
      </w:r>
      <w:r>
        <w:rPr>
          <w:rFonts w:cs="Times New Roman"/>
          <w:spacing w:val="-8"/>
          <w:sz w:val="18"/>
          <w:szCs w:val="18"/>
          <w:lang w:val="es-ES_tradnl"/>
        </w:rPr>
        <w:t>í</w:t>
      </w:r>
      <w:r>
        <w:rPr>
          <w:spacing w:val="-8"/>
          <w:sz w:val="18"/>
          <w:szCs w:val="18"/>
          <w:lang w:val="es-ES_tradnl"/>
        </w:rPr>
        <w:t xml:space="preserve">a el derecho </w:t>
      </w:r>
      <w:r>
        <w:rPr>
          <w:spacing w:val="-5"/>
          <w:sz w:val="18"/>
          <w:szCs w:val="18"/>
          <w:lang w:val="es-ES_tradnl"/>
        </w:rPr>
        <w:t>a la seguridad jur</w:t>
      </w:r>
      <w:r>
        <w:rPr>
          <w:rFonts w:cs="Times New Roman"/>
          <w:spacing w:val="-5"/>
          <w:sz w:val="18"/>
          <w:szCs w:val="18"/>
          <w:lang w:val="es-ES_tradnl"/>
        </w:rPr>
        <w:t>í</w:t>
      </w:r>
      <w:r>
        <w:rPr>
          <w:spacing w:val="-5"/>
          <w:sz w:val="18"/>
          <w:szCs w:val="18"/>
          <w:lang w:val="es-ES_tradnl"/>
        </w:rPr>
        <w:t>dica en la medida que nulita un acto administrativo que para la fecha en que el fallo de acci</w:t>
      </w:r>
      <w:r>
        <w:rPr>
          <w:rFonts w:cs="Times New Roman"/>
          <w:spacing w:val="-5"/>
          <w:sz w:val="18"/>
          <w:szCs w:val="18"/>
          <w:lang w:val="es-ES_tradnl"/>
        </w:rPr>
        <w:t>ó</w:t>
      </w:r>
      <w:r>
        <w:rPr>
          <w:spacing w:val="-5"/>
          <w:sz w:val="18"/>
          <w:szCs w:val="18"/>
          <w:lang w:val="es-ES_tradnl"/>
        </w:rPr>
        <w:t xml:space="preserve">n </w:t>
      </w:r>
      <w:r>
        <w:rPr>
          <w:spacing w:val="-7"/>
          <w:sz w:val="18"/>
          <w:szCs w:val="18"/>
          <w:lang w:val="es-ES_tradnl"/>
        </w:rPr>
        <w:t>de protecci</w:t>
      </w:r>
      <w:r>
        <w:rPr>
          <w:rFonts w:cs="Times New Roman"/>
          <w:spacing w:val="-7"/>
          <w:sz w:val="18"/>
          <w:szCs w:val="18"/>
          <w:lang w:val="es-ES_tradnl"/>
        </w:rPr>
        <w:t>ó</w:t>
      </w:r>
      <w:r>
        <w:rPr>
          <w:spacing w:val="-7"/>
          <w:sz w:val="18"/>
          <w:szCs w:val="18"/>
          <w:lang w:val="es-ES_tradnl"/>
        </w:rPr>
        <w:t>n fue dictado no se encontraba vigente, pues una vez declarado desierto el primer concurso, se resolvi</w:t>
      </w:r>
      <w:r>
        <w:rPr>
          <w:rFonts w:cs="Times New Roman"/>
          <w:spacing w:val="-7"/>
          <w:sz w:val="18"/>
          <w:szCs w:val="18"/>
          <w:lang w:val="es-ES_tradnl"/>
        </w:rPr>
        <w:t xml:space="preserve">ó </w:t>
      </w:r>
      <w:r>
        <w:rPr>
          <w:spacing w:val="-9"/>
          <w:sz w:val="18"/>
          <w:szCs w:val="18"/>
          <w:lang w:val="es-ES_tradnl"/>
        </w:rPr>
        <w:t xml:space="preserve">convocar a un segundo concurso en donde nuevamente </w:t>
      </w:r>
      <w:r>
        <w:rPr>
          <w:spacing w:val="-6"/>
          <w:sz w:val="18"/>
          <w:szCs w:val="18"/>
          <w:lang w:val="es-ES_tradnl"/>
        </w:rPr>
        <w:t>particip</w:t>
      </w:r>
      <w:r>
        <w:rPr>
          <w:rFonts w:cs="Times New Roman"/>
          <w:spacing w:val="-6"/>
          <w:sz w:val="18"/>
          <w:szCs w:val="18"/>
          <w:lang w:val="es-ES_tradnl"/>
        </w:rPr>
        <w:t>ó</w:t>
      </w:r>
      <w:r>
        <w:rPr>
          <w:spacing w:val="-6"/>
          <w:sz w:val="18"/>
          <w:szCs w:val="18"/>
          <w:lang w:val="es-ES_tradnl"/>
        </w:rPr>
        <w:t xml:space="preserve"> el accionante dentro de la acci</w:t>
      </w:r>
      <w:r>
        <w:rPr>
          <w:rFonts w:cs="Times New Roman"/>
          <w:spacing w:val="-6"/>
          <w:sz w:val="18"/>
          <w:szCs w:val="18"/>
          <w:lang w:val="es-ES_tradnl"/>
        </w:rPr>
        <w:t>ó</w:t>
      </w:r>
      <w:r>
        <w:rPr>
          <w:spacing w:val="-6"/>
          <w:sz w:val="18"/>
          <w:szCs w:val="18"/>
          <w:lang w:val="es-ES_tradnl"/>
        </w:rPr>
        <w:t>n de protecci</w:t>
      </w:r>
      <w:r>
        <w:rPr>
          <w:rFonts w:cs="Times New Roman"/>
          <w:spacing w:val="-6"/>
          <w:sz w:val="18"/>
          <w:szCs w:val="18"/>
          <w:lang w:val="es-ES_tradnl"/>
        </w:rPr>
        <w:t>ó</w:t>
      </w:r>
      <w:r>
        <w:rPr>
          <w:spacing w:val="-6"/>
          <w:sz w:val="18"/>
          <w:szCs w:val="18"/>
          <w:lang w:val="es-ES_tradnl"/>
        </w:rPr>
        <w:t xml:space="preserve">n. </w:t>
      </w:r>
      <w:r>
        <w:rPr>
          <w:spacing w:val="-8"/>
          <w:sz w:val="18"/>
          <w:szCs w:val="18"/>
          <w:lang w:val="es-ES_tradnl"/>
        </w:rPr>
        <w:t xml:space="preserve">Adicionalmente, manifiestan los legitimados activos que al </w:t>
      </w:r>
      <w:r>
        <w:rPr>
          <w:spacing w:val="-6"/>
          <w:sz w:val="18"/>
          <w:szCs w:val="18"/>
          <w:lang w:val="es-ES_tradnl"/>
        </w:rPr>
        <w:t xml:space="preserve">dictaminar la nulidad de todo lo actuado con posterioridad </w:t>
      </w:r>
      <w:r>
        <w:rPr>
          <w:spacing w:val="-7"/>
          <w:sz w:val="18"/>
          <w:szCs w:val="18"/>
          <w:lang w:val="es-ES_tradnl"/>
        </w:rPr>
        <w:t xml:space="preserve">al acto vulneratorio entre ellos, el nombramiento del actual </w:t>
      </w:r>
      <w:r>
        <w:rPr>
          <w:spacing w:val="-9"/>
          <w:sz w:val="18"/>
          <w:szCs w:val="18"/>
          <w:lang w:val="es-ES_tradnl"/>
        </w:rPr>
        <w:t>registrador de la propiedad, se estar</w:t>
      </w:r>
      <w:r>
        <w:rPr>
          <w:rFonts w:cs="Times New Roman"/>
          <w:spacing w:val="-9"/>
          <w:sz w:val="18"/>
          <w:szCs w:val="18"/>
          <w:lang w:val="es-ES_tradnl"/>
        </w:rPr>
        <w:t>í</w:t>
      </w:r>
      <w:r>
        <w:rPr>
          <w:spacing w:val="-9"/>
          <w:sz w:val="18"/>
          <w:szCs w:val="18"/>
          <w:lang w:val="es-ES_tradnl"/>
        </w:rPr>
        <w:t xml:space="preserve">an afectando derechos </w:t>
      </w:r>
      <w:r>
        <w:rPr>
          <w:spacing w:val="-6"/>
          <w:sz w:val="18"/>
          <w:szCs w:val="18"/>
          <w:lang w:val="es-ES_tradnl"/>
        </w:rPr>
        <w:t xml:space="preserve">adquiridos por parte de terceros y con ello, la seguridad </w:t>
      </w:r>
      <w:r>
        <w:rPr>
          <w:spacing w:val="-7"/>
          <w:sz w:val="18"/>
          <w:szCs w:val="18"/>
          <w:lang w:val="es-ES_tradnl"/>
        </w:rPr>
        <w:t>jur</w:t>
      </w:r>
      <w:r>
        <w:rPr>
          <w:rFonts w:cs="Times New Roman"/>
          <w:spacing w:val="-7"/>
          <w:sz w:val="18"/>
          <w:szCs w:val="18"/>
          <w:lang w:val="es-ES_tradnl"/>
        </w:rPr>
        <w:t>í</w:t>
      </w:r>
      <w:r>
        <w:rPr>
          <w:spacing w:val="-7"/>
          <w:sz w:val="18"/>
          <w:szCs w:val="18"/>
          <w:lang w:val="es-ES_tradnl"/>
        </w:rPr>
        <w:t>dica consagrada en 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blica.</w:t>
      </w:r>
    </w:p>
    <w:p w14:paraId="4F67B295" w14:textId="77777777" w:rsidR="00591D54" w:rsidRDefault="00591D54">
      <w:pPr>
        <w:shd w:val="clear" w:color="auto" w:fill="FFFFFF"/>
        <w:spacing w:before="192" w:line="216" w:lineRule="exact"/>
        <w:ind w:right="5"/>
        <w:jc w:val="both"/>
      </w:pPr>
      <w:r>
        <w:rPr>
          <w:spacing w:val="-2"/>
          <w:sz w:val="18"/>
          <w:szCs w:val="18"/>
          <w:lang w:val="es-ES_tradnl"/>
        </w:rPr>
        <w:t>El derecho constitucional a la seguridad jur</w:t>
      </w:r>
      <w:r>
        <w:rPr>
          <w:rFonts w:cs="Times New Roman"/>
          <w:spacing w:val="-2"/>
          <w:sz w:val="18"/>
          <w:szCs w:val="18"/>
          <w:lang w:val="es-ES_tradnl"/>
        </w:rPr>
        <w:t>í</w:t>
      </w:r>
      <w:r>
        <w:rPr>
          <w:spacing w:val="-2"/>
          <w:sz w:val="18"/>
          <w:szCs w:val="18"/>
          <w:lang w:val="es-ES_tradnl"/>
        </w:rPr>
        <w:t xml:space="preserve">dica se </w:t>
      </w:r>
      <w:r>
        <w:rPr>
          <w:spacing w:val="-10"/>
          <w:sz w:val="18"/>
          <w:szCs w:val="18"/>
          <w:lang w:val="es-ES_tradnl"/>
        </w:rPr>
        <w:t>encuentra consagrado en el art</w:t>
      </w:r>
      <w:r>
        <w:rPr>
          <w:rFonts w:cs="Times New Roman"/>
          <w:spacing w:val="-10"/>
          <w:sz w:val="18"/>
          <w:szCs w:val="18"/>
          <w:lang w:val="es-ES_tradnl"/>
        </w:rPr>
        <w:t>í</w:t>
      </w:r>
      <w:r>
        <w:rPr>
          <w:spacing w:val="-10"/>
          <w:sz w:val="18"/>
          <w:szCs w:val="18"/>
          <w:lang w:val="es-ES_tradnl"/>
        </w:rPr>
        <w:t>culo 82 de la Constituci</w:t>
      </w:r>
      <w:r>
        <w:rPr>
          <w:rFonts w:cs="Times New Roman"/>
          <w:spacing w:val="-10"/>
          <w:sz w:val="18"/>
          <w:szCs w:val="18"/>
          <w:lang w:val="es-ES_tradnl"/>
        </w:rPr>
        <w:t>ó</w:t>
      </w:r>
      <w:r>
        <w:rPr>
          <w:spacing w:val="-10"/>
          <w:sz w:val="18"/>
          <w:szCs w:val="18"/>
          <w:lang w:val="es-ES_tradnl"/>
        </w:rPr>
        <w:t xml:space="preserve">n de </w:t>
      </w:r>
      <w:r>
        <w:rPr>
          <w:spacing w:val="-7"/>
          <w:sz w:val="18"/>
          <w:szCs w:val="18"/>
          <w:lang w:val="es-ES_tradnl"/>
        </w:rPr>
        <w:t>la Rep</w:t>
      </w:r>
      <w:r>
        <w:rPr>
          <w:rFonts w:cs="Times New Roman"/>
          <w:spacing w:val="-7"/>
          <w:sz w:val="18"/>
          <w:szCs w:val="18"/>
          <w:lang w:val="es-ES_tradnl"/>
        </w:rPr>
        <w:t>ú</w:t>
      </w:r>
      <w:r>
        <w:rPr>
          <w:spacing w:val="-7"/>
          <w:sz w:val="18"/>
          <w:szCs w:val="18"/>
          <w:lang w:val="es-ES_tradnl"/>
        </w:rPr>
        <w:t xml:space="preserve">blica, el cual determina: </w:t>
      </w:r>
      <w:r>
        <w:rPr>
          <w:rFonts w:cs="Times New Roman"/>
          <w:spacing w:val="-7"/>
          <w:sz w:val="18"/>
          <w:szCs w:val="18"/>
          <w:lang w:val="es-ES_tradnl"/>
        </w:rPr>
        <w:t>“</w:t>
      </w:r>
      <w:r>
        <w:rPr>
          <w:spacing w:val="-7"/>
          <w:sz w:val="18"/>
          <w:szCs w:val="18"/>
          <w:lang w:val="es-ES_tradnl"/>
        </w:rPr>
        <w:t>El derecho a la seguridad jur</w:t>
      </w:r>
      <w:r>
        <w:rPr>
          <w:rFonts w:cs="Times New Roman"/>
          <w:spacing w:val="-7"/>
          <w:sz w:val="18"/>
          <w:szCs w:val="18"/>
          <w:lang w:val="es-ES_tradnl"/>
        </w:rPr>
        <w:t>í</w:t>
      </w:r>
      <w:r>
        <w:rPr>
          <w:spacing w:val="-7"/>
          <w:sz w:val="18"/>
          <w:szCs w:val="18"/>
          <w:lang w:val="es-ES_tradnl"/>
        </w:rPr>
        <w:t>dica se fundamenta en el respeto a la Constituci</w:t>
      </w:r>
      <w:r>
        <w:rPr>
          <w:rFonts w:cs="Times New Roman"/>
          <w:spacing w:val="-7"/>
          <w:sz w:val="18"/>
          <w:szCs w:val="18"/>
          <w:lang w:val="es-ES_tradnl"/>
        </w:rPr>
        <w:t>ó</w:t>
      </w:r>
      <w:r>
        <w:rPr>
          <w:spacing w:val="-7"/>
          <w:sz w:val="18"/>
          <w:szCs w:val="18"/>
          <w:lang w:val="es-ES_tradnl"/>
        </w:rPr>
        <w:t xml:space="preserve">n y en </w:t>
      </w:r>
      <w:r>
        <w:rPr>
          <w:spacing w:val="-8"/>
          <w:sz w:val="18"/>
          <w:szCs w:val="18"/>
          <w:lang w:val="es-ES_tradnl"/>
        </w:rPr>
        <w:t>la existencia de normas jur</w:t>
      </w:r>
      <w:r>
        <w:rPr>
          <w:rFonts w:cs="Times New Roman"/>
          <w:spacing w:val="-8"/>
          <w:sz w:val="18"/>
          <w:szCs w:val="18"/>
          <w:lang w:val="es-ES_tradnl"/>
        </w:rPr>
        <w:t>í</w:t>
      </w:r>
      <w:r>
        <w:rPr>
          <w:spacing w:val="-8"/>
          <w:sz w:val="18"/>
          <w:szCs w:val="18"/>
          <w:lang w:val="es-ES_tradnl"/>
        </w:rPr>
        <w:t>dicas previas, claras, p</w:t>
      </w:r>
      <w:r>
        <w:rPr>
          <w:rFonts w:cs="Times New Roman"/>
          <w:spacing w:val="-8"/>
          <w:sz w:val="18"/>
          <w:szCs w:val="18"/>
          <w:lang w:val="es-ES_tradnl"/>
        </w:rPr>
        <w:t>ú</w:t>
      </w:r>
      <w:r>
        <w:rPr>
          <w:spacing w:val="-8"/>
          <w:sz w:val="18"/>
          <w:szCs w:val="18"/>
          <w:lang w:val="es-ES_tradnl"/>
        </w:rPr>
        <w:t>blicas y aplicadas por las autoridades competentes</w:t>
      </w:r>
      <w:r>
        <w:rPr>
          <w:rFonts w:cs="Times New Roman"/>
          <w:spacing w:val="-8"/>
          <w:sz w:val="18"/>
          <w:szCs w:val="18"/>
          <w:lang w:val="es-ES_tradnl"/>
        </w:rPr>
        <w:t>”</w:t>
      </w:r>
      <w:r>
        <w:rPr>
          <w:spacing w:val="-8"/>
          <w:sz w:val="18"/>
          <w:szCs w:val="18"/>
          <w:lang w:val="es-ES_tradnl"/>
        </w:rPr>
        <w:t>.</w:t>
      </w:r>
    </w:p>
    <w:p w14:paraId="4F67B296" w14:textId="77777777" w:rsidR="00591D54" w:rsidRDefault="00591D54">
      <w:pPr>
        <w:shd w:val="clear" w:color="auto" w:fill="FFFFFF"/>
        <w:spacing w:before="192" w:line="216" w:lineRule="exact"/>
        <w:ind w:right="5"/>
        <w:jc w:val="both"/>
      </w:pPr>
      <w:r>
        <w:rPr>
          <w:spacing w:val="-2"/>
          <w:sz w:val="18"/>
          <w:szCs w:val="18"/>
          <w:lang w:val="es-ES_tradnl"/>
        </w:rPr>
        <w:t>En este sentido, siendo la figura de seguridad jur</w:t>
      </w:r>
      <w:r>
        <w:rPr>
          <w:rFonts w:cs="Times New Roman"/>
          <w:spacing w:val="-2"/>
          <w:sz w:val="18"/>
          <w:szCs w:val="18"/>
          <w:lang w:val="es-ES_tradnl"/>
        </w:rPr>
        <w:t>í</w:t>
      </w:r>
      <w:r>
        <w:rPr>
          <w:spacing w:val="-2"/>
          <w:sz w:val="18"/>
          <w:szCs w:val="18"/>
          <w:lang w:val="es-ES_tradnl"/>
        </w:rPr>
        <w:t xml:space="preserve">dica </w:t>
      </w:r>
      <w:r>
        <w:rPr>
          <w:spacing w:val="-4"/>
          <w:sz w:val="18"/>
          <w:szCs w:val="18"/>
          <w:lang w:val="es-ES_tradnl"/>
        </w:rPr>
        <w:t xml:space="preserve">un derecho constitucional por lo tanto, una prerrogativa </w:t>
      </w:r>
      <w:r>
        <w:rPr>
          <w:spacing w:val="-6"/>
          <w:sz w:val="18"/>
          <w:szCs w:val="18"/>
          <w:lang w:val="es-ES_tradnl"/>
        </w:rPr>
        <w:t xml:space="preserve">que ostentan todas las personas para exigir el respeto de </w:t>
      </w:r>
      <w:r>
        <w:rPr>
          <w:spacing w:val="-4"/>
          <w:sz w:val="18"/>
          <w:szCs w:val="18"/>
          <w:lang w:val="es-ES_tradnl"/>
        </w:rPr>
        <w:t>la norma constitucional, tanto a trav</w:t>
      </w:r>
      <w:r>
        <w:rPr>
          <w:rFonts w:cs="Times New Roman"/>
          <w:spacing w:val="-4"/>
          <w:sz w:val="18"/>
          <w:szCs w:val="18"/>
          <w:lang w:val="es-ES_tradnl"/>
        </w:rPr>
        <w:t>é</w:t>
      </w:r>
      <w:r>
        <w:rPr>
          <w:spacing w:val="-4"/>
          <w:sz w:val="18"/>
          <w:szCs w:val="18"/>
          <w:lang w:val="es-ES_tradnl"/>
        </w:rPr>
        <w:t>s de la formulaci</w:t>
      </w:r>
      <w:r>
        <w:rPr>
          <w:rFonts w:cs="Times New Roman"/>
          <w:spacing w:val="-4"/>
          <w:sz w:val="18"/>
          <w:szCs w:val="18"/>
          <w:lang w:val="es-ES_tradnl"/>
        </w:rPr>
        <w:t>ó</w:t>
      </w:r>
      <w:r>
        <w:rPr>
          <w:spacing w:val="-4"/>
          <w:sz w:val="18"/>
          <w:szCs w:val="18"/>
          <w:lang w:val="es-ES_tradnl"/>
        </w:rPr>
        <w:t xml:space="preserve">n </w:t>
      </w:r>
      <w:r>
        <w:rPr>
          <w:spacing w:val="-3"/>
          <w:sz w:val="18"/>
          <w:szCs w:val="18"/>
          <w:lang w:val="es-ES_tradnl"/>
        </w:rPr>
        <w:t>de normas jur</w:t>
      </w:r>
      <w:r>
        <w:rPr>
          <w:rFonts w:cs="Times New Roman"/>
          <w:spacing w:val="-3"/>
          <w:sz w:val="18"/>
          <w:szCs w:val="18"/>
          <w:lang w:val="es-ES_tradnl"/>
        </w:rPr>
        <w:t>í</w:t>
      </w:r>
      <w:r>
        <w:rPr>
          <w:spacing w:val="-3"/>
          <w:sz w:val="18"/>
          <w:szCs w:val="18"/>
          <w:lang w:val="es-ES_tradnl"/>
        </w:rPr>
        <w:t>dicas previas, claras y p</w:t>
      </w:r>
      <w:r>
        <w:rPr>
          <w:rFonts w:cs="Times New Roman"/>
          <w:spacing w:val="-3"/>
          <w:sz w:val="18"/>
          <w:szCs w:val="18"/>
          <w:lang w:val="es-ES_tradnl"/>
        </w:rPr>
        <w:t>ú</w:t>
      </w:r>
      <w:r>
        <w:rPr>
          <w:spacing w:val="-3"/>
          <w:sz w:val="18"/>
          <w:szCs w:val="18"/>
          <w:lang w:val="es-ES_tradnl"/>
        </w:rPr>
        <w:t xml:space="preserve">blicas como </w:t>
      </w:r>
      <w:r>
        <w:rPr>
          <w:spacing w:val="-9"/>
          <w:sz w:val="18"/>
          <w:szCs w:val="18"/>
          <w:lang w:val="es-ES_tradnl"/>
        </w:rPr>
        <w:t>tambi</w:t>
      </w:r>
      <w:r>
        <w:rPr>
          <w:rFonts w:cs="Times New Roman"/>
          <w:spacing w:val="-9"/>
          <w:sz w:val="18"/>
          <w:szCs w:val="18"/>
          <w:lang w:val="es-ES_tradnl"/>
        </w:rPr>
        <w:t>é</w:t>
      </w:r>
      <w:r>
        <w:rPr>
          <w:spacing w:val="-9"/>
          <w:sz w:val="18"/>
          <w:szCs w:val="18"/>
          <w:lang w:val="es-ES_tradnl"/>
        </w:rPr>
        <w:t>n, respecto de su correcta aplicaci</w:t>
      </w:r>
      <w:r>
        <w:rPr>
          <w:rFonts w:cs="Times New Roman"/>
          <w:spacing w:val="-9"/>
          <w:sz w:val="18"/>
          <w:szCs w:val="18"/>
          <w:lang w:val="es-ES_tradnl"/>
        </w:rPr>
        <w:t>ó</w:t>
      </w:r>
      <w:r>
        <w:rPr>
          <w:spacing w:val="-9"/>
          <w:sz w:val="18"/>
          <w:szCs w:val="18"/>
          <w:lang w:val="es-ES_tradnl"/>
        </w:rPr>
        <w:t xml:space="preserve">n por parte de las </w:t>
      </w:r>
      <w:r>
        <w:rPr>
          <w:sz w:val="18"/>
          <w:szCs w:val="18"/>
          <w:lang w:val="es-ES_tradnl"/>
        </w:rPr>
        <w:t>autoridades competentes.</w:t>
      </w:r>
    </w:p>
    <w:p w14:paraId="4F67B297" w14:textId="77777777" w:rsidR="00591D54" w:rsidRDefault="00591D54">
      <w:pPr>
        <w:shd w:val="clear" w:color="auto" w:fill="FFFFFF"/>
        <w:spacing w:before="192" w:line="216" w:lineRule="exact"/>
        <w:ind w:right="5"/>
        <w:jc w:val="both"/>
      </w:pPr>
      <w:r>
        <w:rPr>
          <w:spacing w:val="-11"/>
          <w:sz w:val="18"/>
          <w:szCs w:val="18"/>
          <w:lang w:val="es-ES_tradnl"/>
        </w:rPr>
        <w:t xml:space="preserve">Frente a este derecho, la Corte Constitucional ha establecido </w:t>
      </w:r>
      <w:r>
        <w:rPr>
          <w:spacing w:val="-2"/>
          <w:sz w:val="18"/>
          <w:szCs w:val="18"/>
          <w:lang w:val="es-ES_tradnl"/>
        </w:rPr>
        <w:t xml:space="preserve">que: </w:t>
      </w:r>
      <w:r>
        <w:rPr>
          <w:rFonts w:cs="Times New Roman"/>
          <w:spacing w:val="-2"/>
          <w:sz w:val="18"/>
          <w:szCs w:val="18"/>
          <w:lang w:val="es-ES_tradnl"/>
        </w:rPr>
        <w:t>“</w:t>
      </w:r>
      <w:r>
        <w:rPr>
          <w:spacing w:val="-2"/>
          <w:sz w:val="18"/>
          <w:szCs w:val="18"/>
          <w:lang w:val="es-ES_tradnl"/>
        </w:rPr>
        <w:t>Para tener certeza respecto a una aplicaci</w:t>
      </w:r>
      <w:r>
        <w:rPr>
          <w:rFonts w:cs="Times New Roman"/>
          <w:spacing w:val="-2"/>
          <w:sz w:val="18"/>
          <w:szCs w:val="18"/>
          <w:lang w:val="es-ES_tradnl"/>
        </w:rPr>
        <w:t>ó</w:t>
      </w:r>
      <w:r>
        <w:rPr>
          <w:spacing w:val="-2"/>
          <w:sz w:val="18"/>
          <w:szCs w:val="18"/>
          <w:lang w:val="es-ES_tradnl"/>
        </w:rPr>
        <w:t xml:space="preserve">n </w:t>
      </w:r>
      <w:r>
        <w:rPr>
          <w:spacing w:val="-4"/>
          <w:sz w:val="18"/>
          <w:szCs w:val="18"/>
          <w:lang w:val="es-ES_tradnl"/>
        </w:rPr>
        <w:t>normativa, acorde a la Constituci</w:t>
      </w:r>
      <w:r>
        <w:rPr>
          <w:rFonts w:cs="Times New Roman"/>
          <w:spacing w:val="-4"/>
          <w:sz w:val="18"/>
          <w:szCs w:val="18"/>
          <w:lang w:val="es-ES_tradnl"/>
        </w:rPr>
        <w:t>ó</w:t>
      </w:r>
      <w:r>
        <w:rPr>
          <w:spacing w:val="-4"/>
          <w:sz w:val="18"/>
          <w:szCs w:val="18"/>
          <w:lang w:val="es-ES_tradnl"/>
        </w:rPr>
        <w:t>n, se prev</w:t>
      </w:r>
      <w:r>
        <w:rPr>
          <w:rFonts w:cs="Times New Roman"/>
          <w:spacing w:val="-4"/>
          <w:sz w:val="18"/>
          <w:szCs w:val="18"/>
          <w:lang w:val="es-ES_tradnl"/>
        </w:rPr>
        <w:t>é</w:t>
      </w:r>
      <w:r>
        <w:rPr>
          <w:spacing w:val="-4"/>
          <w:sz w:val="18"/>
          <w:szCs w:val="18"/>
          <w:lang w:val="es-ES_tradnl"/>
        </w:rPr>
        <w:t xml:space="preserve"> que las </w:t>
      </w:r>
      <w:r>
        <w:rPr>
          <w:spacing w:val="-7"/>
          <w:sz w:val="18"/>
          <w:szCs w:val="18"/>
          <w:lang w:val="es-ES_tradnl"/>
        </w:rPr>
        <w:t>normas que formen parte del ordenamiento jur</w:t>
      </w:r>
      <w:r>
        <w:rPr>
          <w:rFonts w:cs="Times New Roman"/>
          <w:spacing w:val="-7"/>
          <w:sz w:val="18"/>
          <w:szCs w:val="18"/>
          <w:lang w:val="es-ES_tradnl"/>
        </w:rPr>
        <w:t>í</w:t>
      </w:r>
      <w:r>
        <w:rPr>
          <w:spacing w:val="-7"/>
          <w:sz w:val="18"/>
          <w:szCs w:val="18"/>
          <w:lang w:val="es-ES_tradnl"/>
        </w:rPr>
        <w:t xml:space="preserve">dico se </w:t>
      </w:r>
      <w:r>
        <w:rPr>
          <w:spacing w:val="-10"/>
          <w:sz w:val="18"/>
          <w:szCs w:val="18"/>
          <w:lang w:val="es-ES_tradnl"/>
        </w:rPr>
        <w:t>encuentren determinadas previamente; adem</w:t>
      </w:r>
      <w:r>
        <w:rPr>
          <w:rFonts w:cs="Times New Roman"/>
          <w:spacing w:val="-10"/>
          <w:sz w:val="18"/>
          <w:szCs w:val="18"/>
          <w:lang w:val="es-ES_tradnl"/>
        </w:rPr>
        <w:t>á</w:t>
      </w:r>
      <w:r>
        <w:rPr>
          <w:spacing w:val="-10"/>
          <w:sz w:val="18"/>
          <w:szCs w:val="18"/>
          <w:lang w:val="es-ES_tradnl"/>
        </w:rPr>
        <w:t xml:space="preserve">s, deben ser </w:t>
      </w:r>
      <w:r>
        <w:rPr>
          <w:spacing w:val="-8"/>
          <w:sz w:val="18"/>
          <w:szCs w:val="18"/>
          <w:lang w:val="es-ES_tradnl"/>
        </w:rPr>
        <w:t>claras y p</w:t>
      </w:r>
      <w:r>
        <w:rPr>
          <w:rFonts w:cs="Times New Roman"/>
          <w:spacing w:val="-8"/>
          <w:sz w:val="18"/>
          <w:szCs w:val="18"/>
          <w:lang w:val="es-ES_tradnl"/>
        </w:rPr>
        <w:t>ú</w:t>
      </w:r>
      <w:r>
        <w:rPr>
          <w:spacing w:val="-8"/>
          <w:sz w:val="18"/>
          <w:szCs w:val="18"/>
          <w:lang w:val="es-ES_tradnl"/>
        </w:rPr>
        <w:t>blicas; s</w:t>
      </w:r>
      <w:r>
        <w:rPr>
          <w:rFonts w:cs="Times New Roman"/>
          <w:spacing w:val="-8"/>
          <w:sz w:val="18"/>
          <w:szCs w:val="18"/>
          <w:lang w:val="es-ES_tradnl"/>
        </w:rPr>
        <w:t>ó</w:t>
      </w:r>
      <w:r>
        <w:rPr>
          <w:spacing w:val="-8"/>
          <w:sz w:val="18"/>
          <w:szCs w:val="18"/>
          <w:lang w:val="es-ES_tradnl"/>
        </w:rPr>
        <w:t xml:space="preserve">lo de esta manera se logra conformar </w:t>
      </w:r>
      <w:r>
        <w:rPr>
          <w:spacing w:val="-7"/>
          <w:sz w:val="18"/>
          <w:szCs w:val="18"/>
          <w:lang w:val="es-ES_tradnl"/>
        </w:rPr>
        <w:t>una certeza de que la normativa existente en la legislaci</w:t>
      </w:r>
      <w:r>
        <w:rPr>
          <w:rFonts w:cs="Times New Roman"/>
          <w:spacing w:val="-7"/>
          <w:sz w:val="18"/>
          <w:szCs w:val="18"/>
          <w:lang w:val="es-ES_tradnl"/>
        </w:rPr>
        <w:t>ó</w:t>
      </w:r>
      <w:r>
        <w:rPr>
          <w:spacing w:val="-7"/>
          <w:sz w:val="18"/>
          <w:szCs w:val="18"/>
          <w:lang w:val="es-ES_tradnl"/>
        </w:rPr>
        <w:t>n</w:t>
      </w:r>
    </w:p>
    <w:p w14:paraId="4F67B298" w14:textId="77777777" w:rsidR="00591D54" w:rsidRDefault="00591D54">
      <w:pPr>
        <w:shd w:val="clear" w:color="auto" w:fill="FFFFFF"/>
        <w:spacing w:before="10" w:line="202" w:lineRule="exact"/>
        <w:jc w:val="both"/>
      </w:pPr>
      <w:r>
        <w:br w:type="column"/>
      </w:r>
      <w:r>
        <w:rPr>
          <w:spacing w:val="-9"/>
          <w:sz w:val="18"/>
          <w:szCs w:val="18"/>
          <w:lang w:val="es-ES_tradnl"/>
        </w:rPr>
        <w:t>ser</w:t>
      </w:r>
      <w:r>
        <w:rPr>
          <w:rFonts w:cs="Times New Roman"/>
          <w:spacing w:val="-9"/>
          <w:sz w:val="18"/>
          <w:szCs w:val="18"/>
          <w:lang w:val="es-ES_tradnl"/>
        </w:rPr>
        <w:t>á</w:t>
      </w:r>
      <w:r>
        <w:rPr>
          <w:spacing w:val="-9"/>
          <w:sz w:val="18"/>
          <w:szCs w:val="18"/>
          <w:lang w:val="es-ES_tradnl"/>
        </w:rPr>
        <w:t xml:space="preserve"> aplicada cumpliendo ciertos lineamientos que generan </w:t>
      </w:r>
      <w:r>
        <w:rPr>
          <w:spacing w:val="-12"/>
          <w:sz w:val="18"/>
          <w:szCs w:val="18"/>
          <w:lang w:val="es-ES_tradnl"/>
        </w:rPr>
        <w:t xml:space="preserve">la confianza acerca del respeto de los derechos consagrados </w:t>
      </w:r>
      <w:r>
        <w:rPr>
          <w:sz w:val="18"/>
          <w:szCs w:val="18"/>
          <w:lang w:val="es-ES_tradnl"/>
        </w:rPr>
        <w:t>en el texto constitucional</w:t>
      </w:r>
      <w:r>
        <w:rPr>
          <w:rFonts w:cs="Times New Roman"/>
          <w:sz w:val="18"/>
          <w:szCs w:val="18"/>
          <w:lang w:val="es-ES_tradnl"/>
        </w:rPr>
        <w:t>”</w:t>
      </w:r>
      <w:r>
        <w:rPr>
          <w:sz w:val="18"/>
          <w:szCs w:val="18"/>
          <w:vertAlign w:val="superscript"/>
          <w:lang w:val="es-ES_tradnl"/>
        </w:rPr>
        <w:t>2</w:t>
      </w:r>
      <w:r>
        <w:rPr>
          <w:sz w:val="18"/>
          <w:szCs w:val="18"/>
          <w:lang w:val="es-ES_tradnl"/>
        </w:rPr>
        <w:t>.</w:t>
      </w:r>
    </w:p>
    <w:p w14:paraId="4F67B299" w14:textId="77777777" w:rsidR="00591D54" w:rsidRDefault="00591D54">
      <w:pPr>
        <w:shd w:val="clear" w:color="auto" w:fill="FFFFFF"/>
        <w:spacing w:before="197" w:line="211" w:lineRule="exact"/>
        <w:jc w:val="both"/>
      </w:pPr>
      <w:r>
        <w:rPr>
          <w:spacing w:val="-7"/>
          <w:sz w:val="18"/>
          <w:szCs w:val="18"/>
          <w:lang w:val="es-ES_tradnl"/>
        </w:rPr>
        <w:t>Adicionalmente, se ha se</w:t>
      </w:r>
      <w:r>
        <w:rPr>
          <w:rFonts w:cs="Times New Roman"/>
          <w:spacing w:val="-7"/>
          <w:sz w:val="18"/>
          <w:szCs w:val="18"/>
          <w:lang w:val="es-ES_tradnl"/>
        </w:rPr>
        <w:t>ñ</w:t>
      </w:r>
      <w:r>
        <w:rPr>
          <w:spacing w:val="-7"/>
          <w:sz w:val="18"/>
          <w:szCs w:val="18"/>
          <w:lang w:val="es-ES_tradnl"/>
        </w:rPr>
        <w:t xml:space="preserve">alado que: </w:t>
      </w:r>
      <w:r>
        <w:rPr>
          <w:rFonts w:cs="Times New Roman"/>
          <w:spacing w:val="-7"/>
          <w:sz w:val="18"/>
          <w:szCs w:val="18"/>
          <w:lang w:val="es-ES_tradnl"/>
        </w:rPr>
        <w:t>“</w:t>
      </w:r>
      <w:r>
        <w:rPr>
          <w:spacing w:val="-7"/>
          <w:sz w:val="18"/>
          <w:szCs w:val="18"/>
          <w:lang w:val="es-ES_tradnl"/>
        </w:rPr>
        <w:t xml:space="preserve">En el caso de los </w:t>
      </w:r>
      <w:r>
        <w:rPr>
          <w:spacing w:val="-5"/>
          <w:sz w:val="18"/>
          <w:szCs w:val="18"/>
          <w:lang w:val="es-ES_tradnl"/>
        </w:rPr>
        <w:t>operadores de justicia, la seguridad jur</w:t>
      </w:r>
      <w:r>
        <w:rPr>
          <w:rFonts w:cs="Times New Roman"/>
          <w:spacing w:val="-5"/>
          <w:sz w:val="18"/>
          <w:szCs w:val="18"/>
          <w:lang w:val="es-ES_tradnl"/>
        </w:rPr>
        <w:t>í</w:t>
      </w:r>
      <w:r>
        <w:rPr>
          <w:spacing w:val="-5"/>
          <w:sz w:val="18"/>
          <w:szCs w:val="18"/>
          <w:lang w:val="es-ES_tradnl"/>
        </w:rPr>
        <w:t xml:space="preserve">dica debe ser </w:t>
      </w:r>
      <w:r>
        <w:rPr>
          <w:spacing w:val="-7"/>
          <w:sz w:val="18"/>
          <w:szCs w:val="18"/>
          <w:lang w:val="es-ES_tradnl"/>
        </w:rPr>
        <w:t xml:space="preserve">entendida como la observancia de los instrumentos y </w:t>
      </w:r>
      <w:r>
        <w:rPr>
          <w:spacing w:val="-8"/>
          <w:sz w:val="18"/>
          <w:szCs w:val="18"/>
          <w:lang w:val="es-ES_tradnl"/>
        </w:rPr>
        <w:t xml:space="preserve">mecanismos sustantivos y procesales que el legislador ha </w:t>
      </w:r>
      <w:r>
        <w:rPr>
          <w:spacing w:val="-6"/>
          <w:sz w:val="18"/>
          <w:szCs w:val="18"/>
          <w:lang w:val="es-ES_tradnl"/>
        </w:rPr>
        <w:t xml:space="preserve">previsto para cada procedimiento jurisdiccional en todas </w:t>
      </w:r>
      <w:r>
        <w:rPr>
          <w:spacing w:val="-9"/>
          <w:sz w:val="18"/>
          <w:szCs w:val="18"/>
          <w:lang w:val="es-ES_tradnl"/>
        </w:rPr>
        <w:t xml:space="preserve">aquellas materias creadas para solucionar las controversias </w:t>
      </w:r>
      <w:r>
        <w:rPr>
          <w:spacing w:val="-7"/>
          <w:sz w:val="18"/>
          <w:szCs w:val="18"/>
          <w:lang w:val="es-ES_tradnl"/>
        </w:rPr>
        <w:t>que han sido sometidas a la funci</w:t>
      </w:r>
      <w:r>
        <w:rPr>
          <w:rFonts w:cs="Times New Roman"/>
          <w:spacing w:val="-7"/>
          <w:sz w:val="18"/>
          <w:szCs w:val="18"/>
          <w:lang w:val="es-ES_tradnl"/>
        </w:rPr>
        <w:t>ó</w:t>
      </w:r>
      <w:r>
        <w:rPr>
          <w:spacing w:val="-7"/>
          <w:sz w:val="18"/>
          <w:szCs w:val="18"/>
          <w:lang w:val="es-ES_tradnl"/>
        </w:rPr>
        <w:t>n jurisdiccional</w:t>
      </w:r>
      <w:r>
        <w:rPr>
          <w:rFonts w:cs="Times New Roman"/>
          <w:spacing w:val="-7"/>
          <w:sz w:val="18"/>
          <w:szCs w:val="18"/>
          <w:lang w:val="es-ES_tradnl"/>
        </w:rPr>
        <w:t>”</w:t>
      </w:r>
      <w:r>
        <w:rPr>
          <w:spacing w:val="-7"/>
          <w:sz w:val="18"/>
          <w:szCs w:val="18"/>
          <w:vertAlign w:val="superscript"/>
          <w:lang w:val="es-ES_tradnl"/>
        </w:rPr>
        <w:t>3</w:t>
      </w:r>
      <w:r>
        <w:rPr>
          <w:spacing w:val="-7"/>
          <w:sz w:val="18"/>
          <w:szCs w:val="18"/>
          <w:lang w:val="es-ES_tradnl"/>
        </w:rPr>
        <w:t>.</w:t>
      </w:r>
    </w:p>
    <w:p w14:paraId="4F67B29A" w14:textId="77777777" w:rsidR="00591D54" w:rsidRDefault="00591D54">
      <w:pPr>
        <w:shd w:val="clear" w:color="auto" w:fill="FFFFFF"/>
        <w:spacing w:before="197" w:line="216" w:lineRule="exact"/>
        <w:jc w:val="both"/>
      </w:pPr>
      <w:r>
        <w:rPr>
          <w:spacing w:val="-7"/>
          <w:sz w:val="18"/>
          <w:szCs w:val="18"/>
          <w:lang w:val="es-ES_tradnl"/>
        </w:rPr>
        <w:t>Dicho de este modo, el derecho a la seguridad jur</w:t>
      </w:r>
      <w:r>
        <w:rPr>
          <w:rFonts w:cs="Times New Roman"/>
          <w:spacing w:val="-7"/>
          <w:sz w:val="18"/>
          <w:szCs w:val="18"/>
          <w:lang w:val="es-ES_tradnl"/>
        </w:rPr>
        <w:t>í</w:t>
      </w:r>
      <w:r>
        <w:rPr>
          <w:spacing w:val="-7"/>
          <w:sz w:val="18"/>
          <w:szCs w:val="18"/>
          <w:lang w:val="es-ES_tradnl"/>
        </w:rPr>
        <w:t xml:space="preserve">dica se </w:t>
      </w:r>
      <w:r>
        <w:rPr>
          <w:spacing w:val="-8"/>
          <w:sz w:val="18"/>
          <w:szCs w:val="18"/>
          <w:lang w:val="es-ES_tradnl"/>
        </w:rPr>
        <w:t>entiende como la certeza en la aplicaci</w:t>
      </w:r>
      <w:r>
        <w:rPr>
          <w:rFonts w:cs="Times New Roman"/>
          <w:spacing w:val="-8"/>
          <w:sz w:val="18"/>
          <w:szCs w:val="18"/>
          <w:lang w:val="es-ES_tradnl"/>
        </w:rPr>
        <w:t>ó</w:t>
      </w:r>
      <w:r>
        <w:rPr>
          <w:spacing w:val="-8"/>
          <w:sz w:val="18"/>
          <w:szCs w:val="18"/>
          <w:lang w:val="es-ES_tradnl"/>
        </w:rPr>
        <w:t xml:space="preserve">n normativa que se </w:t>
      </w:r>
      <w:r>
        <w:rPr>
          <w:spacing w:val="-7"/>
          <w:sz w:val="18"/>
          <w:szCs w:val="18"/>
          <w:lang w:val="es-ES_tradnl"/>
        </w:rPr>
        <w:t>genera en funci</w:t>
      </w:r>
      <w:r>
        <w:rPr>
          <w:rFonts w:cs="Times New Roman"/>
          <w:spacing w:val="-7"/>
          <w:sz w:val="18"/>
          <w:szCs w:val="18"/>
          <w:lang w:val="es-ES_tradnl"/>
        </w:rPr>
        <w:t>ó</w:t>
      </w:r>
      <w:r>
        <w:rPr>
          <w:spacing w:val="-7"/>
          <w:sz w:val="18"/>
          <w:szCs w:val="18"/>
          <w:lang w:val="es-ES_tradnl"/>
        </w:rPr>
        <w:t>n de la obligaci</w:t>
      </w:r>
      <w:r>
        <w:rPr>
          <w:rFonts w:cs="Times New Roman"/>
          <w:spacing w:val="-7"/>
          <w:sz w:val="18"/>
          <w:szCs w:val="18"/>
          <w:lang w:val="es-ES_tradnl"/>
        </w:rPr>
        <w:t>ó</w:t>
      </w:r>
      <w:r>
        <w:rPr>
          <w:spacing w:val="-7"/>
          <w:sz w:val="18"/>
          <w:szCs w:val="18"/>
          <w:lang w:val="es-ES_tradnl"/>
        </w:rPr>
        <w:t>n de los poderes p</w:t>
      </w:r>
      <w:r>
        <w:rPr>
          <w:rFonts w:cs="Times New Roman"/>
          <w:spacing w:val="-7"/>
          <w:sz w:val="18"/>
          <w:szCs w:val="18"/>
          <w:lang w:val="es-ES_tradnl"/>
        </w:rPr>
        <w:t>ú</w:t>
      </w:r>
      <w:r>
        <w:rPr>
          <w:spacing w:val="-7"/>
          <w:sz w:val="18"/>
          <w:szCs w:val="18"/>
          <w:lang w:val="es-ES_tradnl"/>
        </w:rPr>
        <w:t xml:space="preserve">blicos </w:t>
      </w:r>
      <w:r>
        <w:rPr>
          <w:spacing w:val="-6"/>
          <w:sz w:val="18"/>
          <w:szCs w:val="18"/>
          <w:lang w:val="es-ES_tradnl"/>
        </w:rPr>
        <w:t>de respetar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como norma </w:t>
      </w:r>
      <w:r>
        <w:rPr>
          <w:spacing w:val="-7"/>
          <w:sz w:val="18"/>
          <w:szCs w:val="18"/>
          <w:lang w:val="es-ES_tradnl"/>
        </w:rPr>
        <w:t>suprema, as</w:t>
      </w:r>
      <w:r>
        <w:rPr>
          <w:rFonts w:cs="Times New Roman"/>
          <w:spacing w:val="-7"/>
          <w:sz w:val="18"/>
          <w:szCs w:val="18"/>
          <w:lang w:val="es-ES_tradnl"/>
        </w:rPr>
        <w:t>í</w:t>
      </w:r>
      <w:r>
        <w:rPr>
          <w:spacing w:val="-7"/>
          <w:sz w:val="18"/>
          <w:szCs w:val="18"/>
          <w:lang w:val="es-ES_tradnl"/>
        </w:rPr>
        <w:t xml:space="preserve"> como el resto del ordenamiento jur</w:t>
      </w:r>
      <w:r>
        <w:rPr>
          <w:rFonts w:cs="Times New Roman"/>
          <w:spacing w:val="-7"/>
          <w:sz w:val="18"/>
          <w:szCs w:val="18"/>
          <w:lang w:val="es-ES_tradnl"/>
        </w:rPr>
        <w:t>í</w:t>
      </w:r>
      <w:r>
        <w:rPr>
          <w:spacing w:val="-7"/>
          <w:sz w:val="18"/>
          <w:szCs w:val="18"/>
          <w:lang w:val="es-ES_tradnl"/>
        </w:rPr>
        <w:t>dico.</w:t>
      </w:r>
    </w:p>
    <w:p w14:paraId="4F67B29B" w14:textId="77777777" w:rsidR="00591D54" w:rsidRDefault="00591D54">
      <w:pPr>
        <w:shd w:val="clear" w:color="auto" w:fill="FFFFFF"/>
        <w:spacing w:before="192" w:line="216" w:lineRule="exact"/>
        <w:jc w:val="both"/>
      </w:pPr>
      <w:r>
        <w:rPr>
          <w:spacing w:val="-5"/>
          <w:sz w:val="18"/>
          <w:szCs w:val="18"/>
          <w:lang w:val="es-ES_tradnl"/>
        </w:rPr>
        <w:t xml:space="preserve">Una vez analizada la naturaleza y alcance del derecho a </w:t>
      </w:r>
      <w:r>
        <w:rPr>
          <w:sz w:val="18"/>
          <w:szCs w:val="18"/>
          <w:lang w:val="es-ES_tradnl"/>
        </w:rPr>
        <w:t>la seguridad jur</w:t>
      </w:r>
      <w:r>
        <w:rPr>
          <w:rFonts w:cs="Times New Roman"/>
          <w:sz w:val="18"/>
          <w:szCs w:val="18"/>
          <w:lang w:val="es-ES_tradnl"/>
        </w:rPr>
        <w:t>í</w:t>
      </w:r>
      <w:r>
        <w:rPr>
          <w:sz w:val="18"/>
          <w:szCs w:val="18"/>
          <w:lang w:val="es-ES_tradnl"/>
        </w:rPr>
        <w:t xml:space="preserve">dica dentro del </w:t>
      </w:r>
      <w:r>
        <w:rPr>
          <w:rFonts w:cs="Times New Roman"/>
          <w:sz w:val="18"/>
          <w:szCs w:val="18"/>
          <w:lang w:val="es-ES_tradnl"/>
        </w:rPr>
        <w:t>á</w:t>
      </w:r>
      <w:r>
        <w:rPr>
          <w:sz w:val="18"/>
          <w:szCs w:val="18"/>
          <w:lang w:val="es-ES_tradnl"/>
        </w:rPr>
        <w:t xml:space="preserve">mbito constitucional, </w:t>
      </w:r>
      <w:r>
        <w:rPr>
          <w:spacing w:val="-9"/>
          <w:sz w:val="18"/>
          <w:szCs w:val="18"/>
          <w:lang w:val="es-ES_tradnl"/>
        </w:rPr>
        <w:t xml:space="preserve">es oportuno, en base a los argumentos expuestos por los </w:t>
      </w:r>
      <w:r>
        <w:rPr>
          <w:spacing w:val="-2"/>
          <w:sz w:val="18"/>
          <w:szCs w:val="18"/>
          <w:lang w:val="es-ES_tradnl"/>
        </w:rPr>
        <w:t xml:space="preserve">accionantes, considerar las argumentaciones vertidas por los jueces dentro de su fallo y principalmente la </w:t>
      </w:r>
      <w:r>
        <w:rPr>
          <w:spacing w:val="-7"/>
          <w:sz w:val="18"/>
          <w:szCs w:val="18"/>
          <w:lang w:val="es-ES_tradnl"/>
        </w:rPr>
        <w:t>decisi</w:t>
      </w:r>
      <w:r>
        <w:rPr>
          <w:rFonts w:cs="Times New Roman"/>
          <w:spacing w:val="-7"/>
          <w:sz w:val="18"/>
          <w:szCs w:val="18"/>
          <w:lang w:val="es-ES_tradnl"/>
        </w:rPr>
        <w:t>ó</w:t>
      </w:r>
      <w:r>
        <w:rPr>
          <w:spacing w:val="-7"/>
          <w:sz w:val="18"/>
          <w:szCs w:val="18"/>
          <w:lang w:val="es-ES_tradnl"/>
        </w:rPr>
        <w:t xml:space="preserve">n adoptada por los mismos, la cual, a criterio de los </w:t>
      </w:r>
      <w:r>
        <w:rPr>
          <w:spacing w:val="-10"/>
          <w:sz w:val="18"/>
          <w:szCs w:val="18"/>
          <w:lang w:val="es-ES_tradnl"/>
        </w:rPr>
        <w:t>accionantes, vulnera el derecho a la seguridad jur</w:t>
      </w:r>
      <w:r>
        <w:rPr>
          <w:rFonts w:cs="Times New Roman"/>
          <w:spacing w:val="-10"/>
          <w:sz w:val="18"/>
          <w:szCs w:val="18"/>
          <w:lang w:val="es-ES_tradnl"/>
        </w:rPr>
        <w:t>í</w:t>
      </w:r>
      <w:r>
        <w:rPr>
          <w:spacing w:val="-10"/>
          <w:sz w:val="18"/>
          <w:szCs w:val="18"/>
          <w:lang w:val="es-ES_tradnl"/>
        </w:rPr>
        <w:t xml:space="preserve">dica. Para </w:t>
      </w:r>
      <w:r>
        <w:rPr>
          <w:spacing w:val="-4"/>
          <w:sz w:val="18"/>
          <w:szCs w:val="18"/>
          <w:lang w:val="es-ES_tradnl"/>
        </w:rPr>
        <w:t>ello, cabe iniciar el an</w:t>
      </w:r>
      <w:r>
        <w:rPr>
          <w:rFonts w:cs="Times New Roman"/>
          <w:spacing w:val="-4"/>
          <w:sz w:val="18"/>
          <w:szCs w:val="18"/>
          <w:lang w:val="es-ES_tradnl"/>
        </w:rPr>
        <w:t>á</w:t>
      </w:r>
      <w:r>
        <w:rPr>
          <w:spacing w:val="-4"/>
          <w:sz w:val="18"/>
          <w:szCs w:val="18"/>
          <w:lang w:val="es-ES_tradnl"/>
        </w:rPr>
        <w:t xml:space="preserve">lisis destacando algunos hechos </w:t>
      </w:r>
      <w:r>
        <w:rPr>
          <w:spacing w:val="-8"/>
          <w:sz w:val="18"/>
          <w:szCs w:val="18"/>
          <w:lang w:val="es-ES_tradnl"/>
        </w:rPr>
        <w:t>que se desprenden tanto de la sentencia en an</w:t>
      </w:r>
      <w:r>
        <w:rPr>
          <w:rFonts w:cs="Times New Roman"/>
          <w:spacing w:val="-8"/>
          <w:sz w:val="18"/>
          <w:szCs w:val="18"/>
          <w:lang w:val="es-ES_tradnl"/>
        </w:rPr>
        <w:t>á</w:t>
      </w:r>
      <w:r>
        <w:rPr>
          <w:spacing w:val="-8"/>
          <w:sz w:val="18"/>
          <w:szCs w:val="18"/>
          <w:lang w:val="es-ES_tradnl"/>
        </w:rPr>
        <w:t xml:space="preserve">lisis como </w:t>
      </w:r>
      <w:r>
        <w:rPr>
          <w:spacing w:val="-6"/>
          <w:sz w:val="18"/>
          <w:szCs w:val="18"/>
          <w:lang w:val="es-ES_tradnl"/>
        </w:rPr>
        <w:t xml:space="preserve">de los documentos y actuaciones procesales llevadas a </w:t>
      </w:r>
      <w:r>
        <w:rPr>
          <w:spacing w:val="-9"/>
          <w:sz w:val="18"/>
          <w:szCs w:val="18"/>
          <w:lang w:val="es-ES_tradnl"/>
        </w:rPr>
        <w:t>cabo dentro de la acci</w:t>
      </w:r>
      <w:r>
        <w:rPr>
          <w:rFonts w:cs="Times New Roman"/>
          <w:spacing w:val="-9"/>
          <w:sz w:val="18"/>
          <w:szCs w:val="18"/>
          <w:lang w:val="es-ES_tradnl"/>
        </w:rPr>
        <w:t>ó</w:t>
      </w:r>
      <w:r>
        <w:rPr>
          <w:spacing w:val="-9"/>
          <w:sz w:val="18"/>
          <w:szCs w:val="18"/>
          <w:lang w:val="es-ES_tradnl"/>
        </w:rPr>
        <w:t>n de protecci</w:t>
      </w:r>
      <w:r>
        <w:rPr>
          <w:rFonts w:cs="Times New Roman"/>
          <w:spacing w:val="-9"/>
          <w:sz w:val="18"/>
          <w:szCs w:val="18"/>
          <w:lang w:val="es-ES_tradnl"/>
        </w:rPr>
        <w:t>ó</w:t>
      </w:r>
      <w:r>
        <w:rPr>
          <w:spacing w:val="-9"/>
          <w:sz w:val="18"/>
          <w:szCs w:val="18"/>
          <w:lang w:val="es-ES_tradnl"/>
        </w:rPr>
        <w:t>n. Es as</w:t>
      </w:r>
      <w:r>
        <w:rPr>
          <w:rFonts w:cs="Times New Roman"/>
          <w:spacing w:val="-9"/>
          <w:sz w:val="18"/>
          <w:szCs w:val="18"/>
          <w:lang w:val="es-ES_tradnl"/>
        </w:rPr>
        <w:t>í</w:t>
      </w:r>
      <w:r>
        <w:rPr>
          <w:spacing w:val="-9"/>
          <w:sz w:val="18"/>
          <w:szCs w:val="18"/>
          <w:lang w:val="es-ES_tradnl"/>
        </w:rPr>
        <w:t xml:space="preserve"> que el doctor </w:t>
      </w:r>
      <w:r>
        <w:rPr>
          <w:spacing w:val="-4"/>
          <w:sz w:val="18"/>
          <w:szCs w:val="18"/>
          <w:lang w:val="es-ES_tradnl"/>
        </w:rPr>
        <w:t>V</w:t>
      </w:r>
      <w:r>
        <w:rPr>
          <w:rFonts w:cs="Times New Roman"/>
          <w:spacing w:val="-4"/>
          <w:sz w:val="18"/>
          <w:szCs w:val="18"/>
          <w:lang w:val="es-ES_tradnl"/>
        </w:rPr>
        <w:t>í</w:t>
      </w:r>
      <w:r>
        <w:rPr>
          <w:spacing w:val="-4"/>
          <w:sz w:val="18"/>
          <w:szCs w:val="18"/>
          <w:lang w:val="es-ES_tradnl"/>
        </w:rPr>
        <w:t>ctor Arturo Balc</w:t>
      </w:r>
      <w:r>
        <w:rPr>
          <w:rFonts w:cs="Times New Roman"/>
          <w:spacing w:val="-4"/>
          <w:sz w:val="18"/>
          <w:szCs w:val="18"/>
          <w:lang w:val="es-ES_tradnl"/>
        </w:rPr>
        <w:t>á</w:t>
      </w:r>
      <w:r>
        <w:rPr>
          <w:spacing w:val="-4"/>
          <w:sz w:val="18"/>
          <w:szCs w:val="18"/>
          <w:lang w:val="es-ES_tradnl"/>
        </w:rPr>
        <w:t>zar en calidad de legitimado activo, aleg</w:t>
      </w:r>
      <w:r>
        <w:rPr>
          <w:rFonts w:cs="Times New Roman"/>
          <w:spacing w:val="-4"/>
          <w:sz w:val="18"/>
          <w:szCs w:val="18"/>
          <w:lang w:val="es-ES_tradnl"/>
        </w:rPr>
        <w:t>ó</w:t>
      </w:r>
      <w:r>
        <w:rPr>
          <w:spacing w:val="-4"/>
          <w:sz w:val="18"/>
          <w:szCs w:val="18"/>
          <w:lang w:val="es-ES_tradnl"/>
        </w:rPr>
        <w:t xml:space="preserve"> una falta de motivaci</w:t>
      </w:r>
      <w:r>
        <w:rPr>
          <w:rFonts w:cs="Times New Roman"/>
          <w:spacing w:val="-4"/>
          <w:sz w:val="18"/>
          <w:szCs w:val="18"/>
          <w:lang w:val="es-ES_tradnl"/>
        </w:rPr>
        <w:t>ó</w:t>
      </w:r>
      <w:r>
        <w:rPr>
          <w:spacing w:val="-4"/>
          <w:sz w:val="18"/>
          <w:szCs w:val="18"/>
          <w:lang w:val="es-ES_tradnl"/>
        </w:rPr>
        <w:t>n en el acta de verificaci</w:t>
      </w:r>
      <w:r>
        <w:rPr>
          <w:rFonts w:cs="Times New Roman"/>
          <w:spacing w:val="-4"/>
          <w:sz w:val="18"/>
          <w:szCs w:val="18"/>
          <w:lang w:val="es-ES_tradnl"/>
        </w:rPr>
        <w:t>ó</w:t>
      </w:r>
      <w:r>
        <w:rPr>
          <w:spacing w:val="-4"/>
          <w:sz w:val="18"/>
          <w:szCs w:val="18"/>
          <w:lang w:val="es-ES_tradnl"/>
        </w:rPr>
        <w:t xml:space="preserve">n </w:t>
      </w:r>
      <w:r>
        <w:rPr>
          <w:spacing w:val="-7"/>
          <w:sz w:val="18"/>
          <w:szCs w:val="18"/>
          <w:lang w:val="es-ES_tradnl"/>
        </w:rPr>
        <w:t xml:space="preserve">de requisitos de carpeta de los postulantes emitida dentro </w:t>
      </w:r>
      <w:r>
        <w:rPr>
          <w:spacing w:val="-6"/>
          <w:sz w:val="18"/>
          <w:szCs w:val="18"/>
          <w:lang w:val="es-ES_tradnl"/>
        </w:rPr>
        <w:t>del concurso de m</w:t>
      </w:r>
      <w:r>
        <w:rPr>
          <w:rFonts w:cs="Times New Roman"/>
          <w:spacing w:val="-6"/>
          <w:sz w:val="18"/>
          <w:szCs w:val="18"/>
          <w:lang w:val="es-ES_tradnl"/>
        </w:rPr>
        <w:t>é</w:t>
      </w:r>
      <w:r>
        <w:rPr>
          <w:spacing w:val="-6"/>
          <w:sz w:val="18"/>
          <w:szCs w:val="18"/>
          <w:lang w:val="es-ES_tradnl"/>
        </w:rPr>
        <w:t>ritos y oposici</w:t>
      </w:r>
      <w:r>
        <w:rPr>
          <w:rFonts w:cs="Times New Roman"/>
          <w:spacing w:val="-6"/>
          <w:sz w:val="18"/>
          <w:szCs w:val="18"/>
          <w:lang w:val="es-ES_tradnl"/>
        </w:rPr>
        <w:t>ó</w:t>
      </w:r>
      <w:r>
        <w:rPr>
          <w:spacing w:val="-6"/>
          <w:sz w:val="18"/>
          <w:szCs w:val="18"/>
          <w:lang w:val="es-ES_tradnl"/>
        </w:rPr>
        <w:t xml:space="preserve">n para el concurso de </w:t>
      </w:r>
      <w:r>
        <w:rPr>
          <w:spacing w:val="-4"/>
          <w:sz w:val="18"/>
          <w:szCs w:val="18"/>
          <w:lang w:val="es-ES_tradnl"/>
        </w:rPr>
        <w:t>registrador de la propiedad del cant</w:t>
      </w:r>
      <w:r>
        <w:rPr>
          <w:rFonts w:cs="Times New Roman"/>
          <w:spacing w:val="-4"/>
          <w:sz w:val="18"/>
          <w:szCs w:val="18"/>
          <w:lang w:val="es-ES_tradnl"/>
        </w:rPr>
        <w:t>ó</w:t>
      </w:r>
      <w:r>
        <w:rPr>
          <w:spacing w:val="-4"/>
          <w:sz w:val="18"/>
          <w:szCs w:val="18"/>
          <w:lang w:val="es-ES_tradnl"/>
        </w:rPr>
        <w:t xml:space="preserve">n Chaguarpamba, </w:t>
      </w:r>
      <w:r>
        <w:rPr>
          <w:spacing w:val="-7"/>
          <w:sz w:val="18"/>
          <w:szCs w:val="18"/>
          <w:lang w:val="es-ES_tradnl"/>
        </w:rPr>
        <w:t>toda vez que el Tribunal creado para el efecto no habr</w:t>
      </w:r>
      <w:r>
        <w:rPr>
          <w:rFonts w:cs="Times New Roman"/>
          <w:spacing w:val="-7"/>
          <w:sz w:val="18"/>
          <w:szCs w:val="18"/>
          <w:lang w:val="es-ES_tradnl"/>
        </w:rPr>
        <w:t>í</w:t>
      </w:r>
      <w:r>
        <w:rPr>
          <w:spacing w:val="-7"/>
          <w:sz w:val="18"/>
          <w:szCs w:val="18"/>
          <w:lang w:val="es-ES_tradnl"/>
        </w:rPr>
        <w:t xml:space="preserve">a </w:t>
      </w:r>
      <w:r>
        <w:rPr>
          <w:spacing w:val="-8"/>
          <w:sz w:val="18"/>
          <w:szCs w:val="18"/>
          <w:lang w:val="es-ES_tradnl"/>
        </w:rPr>
        <w:t xml:space="preserve">argumentado las razonas por las cuales dicho participante </w:t>
      </w:r>
      <w:r>
        <w:rPr>
          <w:spacing w:val="-5"/>
          <w:sz w:val="18"/>
          <w:szCs w:val="18"/>
          <w:lang w:val="es-ES_tradnl"/>
        </w:rPr>
        <w:t>no justific</w:t>
      </w:r>
      <w:r>
        <w:rPr>
          <w:rFonts w:cs="Times New Roman"/>
          <w:spacing w:val="-5"/>
          <w:sz w:val="18"/>
          <w:szCs w:val="18"/>
          <w:lang w:val="es-ES_tradnl"/>
        </w:rPr>
        <w:t>ó</w:t>
      </w:r>
      <w:r>
        <w:rPr>
          <w:spacing w:val="-5"/>
          <w:sz w:val="18"/>
          <w:szCs w:val="18"/>
          <w:lang w:val="es-ES_tradnl"/>
        </w:rPr>
        <w:t xml:space="preserve"> su idoneidad y probidad en el ejercicio de su </w:t>
      </w:r>
      <w:r>
        <w:rPr>
          <w:spacing w:val="-9"/>
          <w:sz w:val="18"/>
          <w:szCs w:val="18"/>
          <w:lang w:val="es-ES_tradnl"/>
        </w:rPr>
        <w:t>profesi</w:t>
      </w:r>
      <w:r>
        <w:rPr>
          <w:rFonts w:cs="Times New Roman"/>
          <w:spacing w:val="-9"/>
          <w:sz w:val="18"/>
          <w:szCs w:val="18"/>
          <w:lang w:val="es-ES_tradnl"/>
        </w:rPr>
        <w:t>ó</w:t>
      </w:r>
      <w:r>
        <w:rPr>
          <w:spacing w:val="-9"/>
          <w:sz w:val="18"/>
          <w:szCs w:val="18"/>
          <w:lang w:val="es-ES_tradnl"/>
        </w:rPr>
        <w:t>n como abogado, decisi</w:t>
      </w:r>
      <w:r>
        <w:rPr>
          <w:rFonts w:cs="Times New Roman"/>
          <w:spacing w:val="-9"/>
          <w:sz w:val="18"/>
          <w:szCs w:val="18"/>
          <w:lang w:val="es-ES_tradnl"/>
        </w:rPr>
        <w:t>ó</w:t>
      </w:r>
      <w:r>
        <w:rPr>
          <w:spacing w:val="-9"/>
          <w:sz w:val="18"/>
          <w:szCs w:val="18"/>
          <w:lang w:val="es-ES_tradnl"/>
        </w:rPr>
        <w:t xml:space="preserve">n que fue impugnada ante </w:t>
      </w:r>
      <w:r>
        <w:rPr>
          <w:spacing w:val="-7"/>
          <w:sz w:val="18"/>
          <w:szCs w:val="18"/>
          <w:lang w:val="es-ES_tradnl"/>
        </w:rPr>
        <w:t xml:space="preserve">el propio Tribunal, pero que fue negada por improcedente. </w:t>
      </w:r>
      <w:r>
        <w:rPr>
          <w:spacing w:val="-8"/>
          <w:sz w:val="18"/>
          <w:szCs w:val="18"/>
          <w:lang w:val="es-ES_tradnl"/>
        </w:rPr>
        <w:t>Como consecuencia de dicha descalificaci</w:t>
      </w:r>
      <w:r>
        <w:rPr>
          <w:rFonts w:cs="Times New Roman"/>
          <w:spacing w:val="-8"/>
          <w:sz w:val="18"/>
          <w:szCs w:val="18"/>
          <w:lang w:val="es-ES_tradnl"/>
        </w:rPr>
        <w:t>ó</w:t>
      </w:r>
      <w:r>
        <w:rPr>
          <w:spacing w:val="-8"/>
          <w:sz w:val="18"/>
          <w:szCs w:val="18"/>
          <w:lang w:val="es-ES_tradnl"/>
        </w:rPr>
        <w:t>n as</w:t>
      </w:r>
      <w:r>
        <w:rPr>
          <w:rFonts w:cs="Times New Roman"/>
          <w:spacing w:val="-8"/>
          <w:sz w:val="18"/>
          <w:szCs w:val="18"/>
          <w:lang w:val="es-ES_tradnl"/>
        </w:rPr>
        <w:t>í</w:t>
      </w:r>
      <w:r>
        <w:rPr>
          <w:spacing w:val="-8"/>
          <w:sz w:val="18"/>
          <w:szCs w:val="18"/>
          <w:lang w:val="es-ES_tradnl"/>
        </w:rPr>
        <w:t xml:space="preserve"> como de </w:t>
      </w:r>
      <w:r>
        <w:rPr>
          <w:spacing w:val="-9"/>
          <w:sz w:val="18"/>
          <w:szCs w:val="18"/>
          <w:lang w:val="es-ES_tradnl"/>
        </w:rPr>
        <w:t>la descalificaci</w:t>
      </w:r>
      <w:r>
        <w:rPr>
          <w:rFonts w:cs="Times New Roman"/>
          <w:spacing w:val="-9"/>
          <w:sz w:val="18"/>
          <w:szCs w:val="18"/>
          <w:lang w:val="es-ES_tradnl"/>
        </w:rPr>
        <w:t>ó</w:t>
      </w:r>
      <w:r>
        <w:rPr>
          <w:spacing w:val="-9"/>
          <w:sz w:val="18"/>
          <w:szCs w:val="18"/>
          <w:lang w:val="es-ES_tradnl"/>
        </w:rPr>
        <w:t>n la mayor</w:t>
      </w:r>
      <w:r>
        <w:rPr>
          <w:rFonts w:cs="Times New Roman"/>
          <w:spacing w:val="-9"/>
          <w:sz w:val="18"/>
          <w:szCs w:val="18"/>
          <w:lang w:val="es-ES_tradnl"/>
        </w:rPr>
        <w:t>í</w:t>
      </w:r>
      <w:r>
        <w:rPr>
          <w:spacing w:val="-9"/>
          <w:sz w:val="18"/>
          <w:szCs w:val="18"/>
          <w:lang w:val="es-ES_tradnl"/>
        </w:rPr>
        <w:t xml:space="preserve">a de postulantes, quedando solo </w:t>
      </w:r>
      <w:r>
        <w:rPr>
          <w:spacing w:val="-7"/>
          <w:sz w:val="18"/>
          <w:szCs w:val="18"/>
          <w:lang w:val="es-ES_tradnl"/>
        </w:rPr>
        <w:t>uno en concurso, se resolvi</w:t>
      </w:r>
      <w:r>
        <w:rPr>
          <w:rFonts w:cs="Times New Roman"/>
          <w:spacing w:val="-7"/>
          <w:sz w:val="18"/>
          <w:szCs w:val="18"/>
          <w:lang w:val="es-ES_tradnl"/>
        </w:rPr>
        <w:t>ó</w:t>
      </w:r>
      <w:r>
        <w:rPr>
          <w:spacing w:val="-7"/>
          <w:sz w:val="18"/>
          <w:szCs w:val="18"/>
          <w:lang w:val="es-ES_tradnl"/>
        </w:rPr>
        <w:t xml:space="preserve"> declararlo desierto.</w:t>
      </w:r>
    </w:p>
    <w:p w14:paraId="4F67B29C" w14:textId="77777777" w:rsidR="00591D54" w:rsidRDefault="00591D54">
      <w:pPr>
        <w:shd w:val="clear" w:color="auto" w:fill="FFFFFF"/>
        <w:spacing w:before="192" w:line="216" w:lineRule="exact"/>
        <w:jc w:val="both"/>
      </w:pPr>
      <w:r>
        <w:rPr>
          <w:spacing w:val="-6"/>
          <w:sz w:val="18"/>
          <w:szCs w:val="18"/>
          <w:lang w:val="es-ES_tradnl"/>
        </w:rPr>
        <w:t>Posteriormente, el Municipio del cant</w:t>
      </w:r>
      <w:r>
        <w:rPr>
          <w:rFonts w:cs="Times New Roman"/>
          <w:spacing w:val="-6"/>
          <w:sz w:val="18"/>
          <w:szCs w:val="18"/>
          <w:lang w:val="es-ES_tradnl"/>
        </w:rPr>
        <w:t>ó</w:t>
      </w:r>
      <w:r>
        <w:rPr>
          <w:spacing w:val="-6"/>
          <w:sz w:val="18"/>
          <w:szCs w:val="18"/>
          <w:lang w:val="es-ES_tradnl"/>
        </w:rPr>
        <w:t xml:space="preserve">n Chaguarpamba </w:t>
      </w:r>
      <w:r>
        <w:rPr>
          <w:spacing w:val="-5"/>
          <w:sz w:val="18"/>
          <w:szCs w:val="18"/>
          <w:lang w:val="es-ES_tradnl"/>
        </w:rPr>
        <w:t>convoc</w:t>
      </w:r>
      <w:r>
        <w:rPr>
          <w:rFonts w:cs="Times New Roman"/>
          <w:spacing w:val="-5"/>
          <w:sz w:val="18"/>
          <w:szCs w:val="18"/>
          <w:lang w:val="es-ES_tradnl"/>
        </w:rPr>
        <w:t>ó</w:t>
      </w:r>
      <w:r>
        <w:rPr>
          <w:spacing w:val="-5"/>
          <w:sz w:val="18"/>
          <w:szCs w:val="18"/>
          <w:lang w:val="es-ES_tradnl"/>
        </w:rPr>
        <w:t xml:space="preserve"> a un segundo concurso en el cual particip</w:t>
      </w:r>
      <w:r>
        <w:rPr>
          <w:rFonts w:cs="Times New Roman"/>
          <w:spacing w:val="-5"/>
          <w:sz w:val="18"/>
          <w:szCs w:val="18"/>
          <w:lang w:val="es-ES_tradnl"/>
        </w:rPr>
        <w:t xml:space="preserve">ó </w:t>
      </w:r>
      <w:r>
        <w:rPr>
          <w:spacing w:val="-7"/>
          <w:sz w:val="18"/>
          <w:szCs w:val="18"/>
          <w:lang w:val="es-ES_tradnl"/>
        </w:rPr>
        <w:t>nuevamente el doctor V</w:t>
      </w:r>
      <w:r>
        <w:rPr>
          <w:rFonts w:cs="Times New Roman"/>
          <w:spacing w:val="-7"/>
          <w:sz w:val="18"/>
          <w:szCs w:val="18"/>
          <w:lang w:val="es-ES_tradnl"/>
        </w:rPr>
        <w:t>í</w:t>
      </w:r>
      <w:r>
        <w:rPr>
          <w:spacing w:val="-7"/>
          <w:sz w:val="18"/>
          <w:szCs w:val="18"/>
          <w:lang w:val="es-ES_tradnl"/>
        </w:rPr>
        <w:t>ctor Arturo Balc</w:t>
      </w:r>
      <w:r>
        <w:rPr>
          <w:rFonts w:cs="Times New Roman"/>
          <w:spacing w:val="-7"/>
          <w:sz w:val="18"/>
          <w:szCs w:val="18"/>
          <w:lang w:val="es-ES_tradnl"/>
        </w:rPr>
        <w:t>á</w:t>
      </w:r>
      <w:r>
        <w:rPr>
          <w:spacing w:val="-7"/>
          <w:sz w:val="18"/>
          <w:szCs w:val="18"/>
          <w:lang w:val="es-ES_tradnl"/>
        </w:rPr>
        <w:t xml:space="preserve">zar pero en esta </w:t>
      </w:r>
      <w:r>
        <w:rPr>
          <w:spacing w:val="-8"/>
          <w:sz w:val="18"/>
          <w:szCs w:val="18"/>
          <w:lang w:val="es-ES_tradnl"/>
        </w:rPr>
        <w:t>ocasi</w:t>
      </w:r>
      <w:r>
        <w:rPr>
          <w:rFonts w:cs="Times New Roman"/>
          <w:spacing w:val="-8"/>
          <w:sz w:val="18"/>
          <w:szCs w:val="18"/>
          <w:lang w:val="es-ES_tradnl"/>
        </w:rPr>
        <w:t>ó</w:t>
      </w:r>
      <w:r>
        <w:rPr>
          <w:spacing w:val="-8"/>
          <w:sz w:val="18"/>
          <w:szCs w:val="18"/>
          <w:lang w:val="es-ES_tradnl"/>
        </w:rPr>
        <w:t>n, dicho candidato no present</w:t>
      </w:r>
      <w:r>
        <w:rPr>
          <w:rFonts w:cs="Times New Roman"/>
          <w:spacing w:val="-8"/>
          <w:sz w:val="18"/>
          <w:szCs w:val="18"/>
          <w:lang w:val="es-ES_tradnl"/>
        </w:rPr>
        <w:t>ó</w:t>
      </w:r>
      <w:r>
        <w:rPr>
          <w:spacing w:val="-8"/>
          <w:sz w:val="18"/>
          <w:szCs w:val="18"/>
          <w:lang w:val="es-ES_tradnl"/>
        </w:rPr>
        <w:t xml:space="preserve"> dentro de la etapa de </w:t>
      </w:r>
      <w:r>
        <w:rPr>
          <w:spacing w:val="-4"/>
          <w:sz w:val="18"/>
          <w:szCs w:val="18"/>
          <w:lang w:val="es-ES_tradnl"/>
        </w:rPr>
        <w:t>calificaci</w:t>
      </w:r>
      <w:r>
        <w:rPr>
          <w:rFonts w:cs="Times New Roman"/>
          <w:spacing w:val="-4"/>
          <w:sz w:val="18"/>
          <w:szCs w:val="18"/>
          <w:lang w:val="es-ES_tradnl"/>
        </w:rPr>
        <w:t>ó</w:t>
      </w:r>
      <w:r>
        <w:rPr>
          <w:spacing w:val="-4"/>
          <w:sz w:val="18"/>
          <w:szCs w:val="18"/>
          <w:lang w:val="es-ES_tradnl"/>
        </w:rPr>
        <w:t>n un certificado del Ministerio de Relaciones Laborales de no tener impedimento para desempe</w:t>
      </w:r>
      <w:r>
        <w:rPr>
          <w:rFonts w:cs="Times New Roman"/>
          <w:spacing w:val="-4"/>
          <w:sz w:val="18"/>
          <w:szCs w:val="18"/>
          <w:lang w:val="es-ES_tradnl"/>
        </w:rPr>
        <w:t>ñ</w:t>
      </w:r>
      <w:r>
        <w:rPr>
          <w:spacing w:val="-4"/>
          <w:sz w:val="18"/>
          <w:szCs w:val="18"/>
          <w:lang w:val="es-ES_tradnl"/>
        </w:rPr>
        <w:t xml:space="preserve">ar </w:t>
      </w:r>
      <w:r>
        <w:rPr>
          <w:spacing w:val="-6"/>
          <w:sz w:val="18"/>
          <w:szCs w:val="18"/>
          <w:lang w:val="es-ES_tradnl"/>
        </w:rPr>
        <w:t>cargo p</w:t>
      </w:r>
      <w:r>
        <w:rPr>
          <w:rFonts w:cs="Times New Roman"/>
          <w:spacing w:val="-6"/>
          <w:sz w:val="18"/>
          <w:szCs w:val="18"/>
          <w:lang w:val="es-ES_tradnl"/>
        </w:rPr>
        <w:t>ú</w:t>
      </w:r>
      <w:r>
        <w:rPr>
          <w:spacing w:val="-6"/>
          <w:sz w:val="18"/>
          <w:szCs w:val="18"/>
          <w:lang w:val="es-ES_tradnl"/>
        </w:rPr>
        <w:t xml:space="preserve">blico, circunstancia por la cual fue nuevamente </w:t>
      </w:r>
      <w:r>
        <w:rPr>
          <w:spacing w:val="-8"/>
          <w:sz w:val="18"/>
          <w:szCs w:val="18"/>
          <w:lang w:val="es-ES_tradnl"/>
        </w:rPr>
        <w:t xml:space="preserve">descalificado del concurso. Posteriormente, dentro de este </w:t>
      </w:r>
      <w:r>
        <w:rPr>
          <w:spacing w:val="-10"/>
          <w:sz w:val="18"/>
          <w:szCs w:val="18"/>
          <w:lang w:val="es-ES_tradnl"/>
        </w:rPr>
        <w:t>segundo proceso, s</w:t>
      </w:r>
      <w:r>
        <w:rPr>
          <w:rFonts w:cs="Times New Roman"/>
          <w:spacing w:val="-10"/>
          <w:sz w:val="18"/>
          <w:szCs w:val="18"/>
          <w:lang w:val="es-ES_tradnl"/>
        </w:rPr>
        <w:t>í</w:t>
      </w:r>
      <w:r>
        <w:rPr>
          <w:spacing w:val="-10"/>
          <w:sz w:val="18"/>
          <w:szCs w:val="18"/>
          <w:lang w:val="es-ES_tradnl"/>
        </w:rPr>
        <w:t xml:space="preserve"> se obtuvo un candidato ganador, el cual </w:t>
      </w:r>
      <w:r>
        <w:rPr>
          <w:spacing w:val="-9"/>
          <w:sz w:val="18"/>
          <w:szCs w:val="18"/>
          <w:lang w:val="es-ES_tradnl"/>
        </w:rPr>
        <w:t xml:space="preserve">fue posesionado al cargo de registrador de la propiedad del </w:t>
      </w:r>
      <w:r>
        <w:rPr>
          <w:sz w:val="18"/>
          <w:szCs w:val="18"/>
          <w:lang w:val="es-ES_tradnl"/>
        </w:rPr>
        <w:t>referido cant</w:t>
      </w:r>
      <w:r>
        <w:rPr>
          <w:rFonts w:cs="Times New Roman"/>
          <w:sz w:val="18"/>
          <w:szCs w:val="18"/>
          <w:lang w:val="es-ES_tradnl"/>
        </w:rPr>
        <w:t>ó</w:t>
      </w:r>
      <w:r>
        <w:rPr>
          <w:sz w:val="18"/>
          <w:szCs w:val="18"/>
          <w:lang w:val="es-ES_tradnl"/>
        </w:rPr>
        <w:t>n.</w:t>
      </w:r>
    </w:p>
    <w:p w14:paraId="4F67B29D" w14:textId="77777777" w:rsidR="00591D54" w:rsidRDefault="00591D54">
      <w:pPr>
        <w:shd w:val="clear" w:color="auto" w:fill="FFFFFF"/>
        <w:spacing w:before="192" w:line="216" w:lineRule="exact"/>
        <w:jc w:val="both"/>
      </w:pPr>
      <w:r>
        <w:rPr>
          <w:spacing w:val="-8"/>
          <w:sz w:val="18"/>
          <w:szCs w:val="18"/>
          <w:lang w:val="es-ES_tradnl"/>
        </w:rPr>
        <w:t>Frente a estos hechos, cabe se</w:t>
      </w:r>
      <w:r>
        <w:rPr>
          <w:rFonts w:cs="Times New Roman"/>
          <w:spacing w:val="-8"/>
          <w:sz w:val="18"/>
          <w:szCs w:val="18"/>
          <w:lang w:val="es-ES_tradnl"/>
        </w:rPr>
        <w:t>ñ</w:t>
      </w:r>
      <w:r>
        <w:rPr>
          <w:spacing w:val="-8"/>
          <w:sz w:val="18"/>
          <w:szCs w:val="18"/>
          <w:lang w:val="es-ES_tradnl"/>
        </w:rPr>
        <w:t>alar que el doctor V</w:t>
      </w:r>
      <w:r>
        <w:rPr>
          <w:rFonts w:cs="Times New Roman"/>
          <w:spacing w:val="-8"/>
          <w:sz w:val="18"/>
          <w:szCs w:val="18"/>
          <w:lang w:val="es-ES_tradnl"/>
        </w:rPr>
        <w:t>í</w:t>
      </w:r>
      <w:r>
        <w:rPr>
          <w:spacing w:val="-8"/>
          <w:sz w:val="18"/>
          <w:szCs w:val="18"/>
          <w:lang w:val="es-ES_tradnl"/>
        </w:rPr>
        <w:t xml:space="preserve">ctor </w:t>
      </w:r>
      <w:r>
        <w:rPr>
          <w:spacing w:val="-6"/>
          <w:sz w:val="18"/>
          <w:szCs w:val="18"/>
          <w:lang w:val="es-ES_tradnl"/>
        </w:rPr>
        <w:t>Arturo Balc</w:t>
      </w:r>
      <w:r>
        <w:rPr>
          <w:rFonts w:cs="Times New Roman"/>
          <w:spacing w:val="-6"/>
          <w:sz w:val="18"/>
          <w:szCs w:val="18"/>
          <w:lang w:val="es-ES_tradnl"/>
        </w:rPr>
        <w:t>á</w:t>
      </w:r>
      <w:r>
        <w:rPr>
          <w:spacing w:val="-6"/>
          <w:sz w:val="18"/>
          <w:szCs w:val="18"/>
          <w:lang w:val="es-ES_tradnl"/>
        </w:rPr>
        <w:t>zar present</w:t>
      </w:r>
      <w:r>
        <w:rPr>
          <w:rFonts w:cs="Times New Roman"/>
          <w:spacing w:val="-6"/>
          <w:sz w:val="18"/>
          <w:szCs w:val="18"/>
          <w:lang w:val="es-ES_tradnl"/>
        </w:rPr>
        <w:t>ó</w:t>
      </w:r>
      <w:r>
        <w:rPr>
          <w:spacing w:val="-6"/>
          <w:sz w:val="18"/>
          <w:szCs w:val="18"/>
          <w:lang w:val="es-ES_tradnl"/>
        </w:rPr>
        <w:t xml:space="preserve"> la acci</w:t>
      </w:r>
      <w:r>
        <w:rPr>
          <w:rFonts w:cs="Times New Roman"/>
          <w:spacing w:val="-6"/>
          <w:sz w:val="18"/>
          <w:szCs w:val="18"/>
          <w:lang w:val="es-ES_tradnl"/>
        </w:rPr>
        <w:t>ó</w:t>
      </w:r>
      <w:r>
        <w:rPr>
          <w:spacing w:val="-6"/>
          <w:sz w:val="18"/>
          <w:szCs w:val="18"/>
          <w:lang w:val="es-ES_tradnl"/>
        </w:rPr>
        <w:t>n de protecci</w:t>
      </w:r>
      <w:r>
        <w:rPr>
          <w:rFonts w:cs="Times New Roman"/>
          <w:spacing w:val="-6"/>
          <w:sz w:val="18"/>
          <w:szCs w:val="18"/>
          <w:lang w:val="es-ES_tradnl"/>
        </w:rPr>
        <w:t>ó</w:t>
      </w:r>
      <w:r>
        <w:rPr>
          <w:spacing w:val="-6"/>
          <w:sz w:val="18"/>
          <w:szCs w:val="18"/>
          <w:lang w:val="es-ES_tradnl"/>
        </w:rPr>
        <w:t>n una vez</w:t>
      </w:r>
    </w:p>
    <w:p w14:paraId="4F67B29E" w14:textId="77777777" w:rsidR="00591D54" w:rsidRDefault="00591D54">
      <w:pPr>
        <w:shd w:val="clear" w:color="auto" w:fill="FFFFFF"/>
        <w:tabs>
          <w:tab w:val="left" w:pos="144"/>
        </w:tabs>
        <w:spacing w:before="413" w:line="182" w:lineRule="exact"/>
        <w:ind w:left="144" w:hanging="144"/>
      </w:pPr>
      <w:r>
        <w:rPr>
          <w:sz w:val="10"/>
          <w:szCs w:val="10"/>
          <w:vertAlign w:val="superscript"/>
          <w:lang w:val="es-ES_tradnl"/>
        </w:rPr>
        <w:t>2</w:t>
      </w:r>
      <w:r>
        <w:rPr>
          <w:sz w:val="18"/>
          <w:szCs w:val="18"/>
          <w:lang w:val="es-ES_tradnl"/>
        </w:rPr>
        <w:tab/>
      </w:r>
      <w:r>
        <w:rPr>
          <w:spacing w:val="-1"/>
          <w:sz w:val="14"/>
          <w:szCs w:val="14"/>
          <w:lang w:val="es-ES_tradnl"/>
        </w:rPr>
        <w:t>Corte</w:t>
      </w:r>
      <w:r>
        <w:rPr>
          <w:spacing w:val="-1"/>
          <w:sz w:val="18"/>
          <w:szCs w:val="18"/>
          <w:lang w:val="es-ES_tradnl"/>
        </w:rPr>
        <w:t xml:space="preserve"> </w:t>
      </w:r>
      <w:r>
        <w:rPr>
          <w:spacing w:val="-1"/>
          <w:sz w:val="14"/>
          <w:szCs w:val="14"/>
          <w:lang w:val="es-ES_tradnl"/>
        </w:rPr>
        <w:t>Constitucional</w:t>
      </w:r>
      <w:r>
        <w:rPr>
          <w:spacing w:val="-1"/>
          <w:sz w:val="18"/>
          <w:szCs w:val="18"/>
          <w:lang w:val="es-ES_tradnl"/>
        </w:rPr>
        <w:t xml:space="preserve"> </w:t>
      </w:r>
      <w:r>
        <w:rPr>
          <w:spacing w:val="-1"/>
          <w:sz w:val="14"/>
          <w:szCs w:val="14"/>
          <w:lang w:val="es-ES_tradnl"/>
        </w:rPr>
        <w:t>del</w:t>
      </w:r>
      <w:r>
        <w:rPr>
          <w:spacing w:val="-1"/>
          <w:sz w:val="18"/>
          <w:szCs w:val="18"/>
          <w:lang w:val="es-ES_tradnl"/>
        </w:rPr>
        <w:t xml:space="preserve"> </w:t>
      </w:r>
      <w:r>
        <w:rPr>
          <w:spacing w:val="-1"/>
          <w:sz w:val="14"/>
          <w:szCs w:val="14"/>
          <w:lang w:val="es-ES_tradnl"/>
        </w:rPr>
        <w:t>Ecuador,</w:t>
      </w:r>
      <w:r>
        <w:rPr>
          <w:spacing w:val="-1"/>
          <w:sz w:val="18"/>
          <w:szCs w:val="18"/>
          <w:lang w:val="es-ES_tradnl"/>
        </w:rPr>
        <w:t xml:space="preserve"> </w:t>
      </w:r>
      <w:r>
        <w:rPr>
          <w:spacing w:val="-1"/>
          <w:sz w:val="14"/>
          <w:szCs w:val="14"/>
          <w:lang w:val="es-ES_tradnl"/>
        </w:rPr>
        <w:t>sentencia</w:t>
      </w:r>
      <w:r>
        <w:rPr>
          <w:spacing w:val="-1"/>
          <w:sz w:val="18"/>
          <w:szCs w:val="18"/>
          <w:lang w:val="es-ES_tradnl"/>
        </w:rPr>
        <w:t xml:space="preserve"> </w:t>
      </w:r>
      <w:r>
        <w:rPr>
          <w:spacing w:val="-1"/>
          <w:sz w:val="14"/>
          <w:szCs w:val="14"/>
          <w:lang w:val="es-ES_tradnl"/>
        </w:rPr>
        <w:t>N.</w:t>
      </w:r>
      <w:r>
        <w:rPr>
          <w:spacing w:val="-1"/>
          <w:sz w:val="18"/>
          <w:szCs w:val="18"/>
          <w:lang w:val="es-ES_tradnl"/>
        </w:rPr>
        <w:t xml:space="preserve"> </w:t>
      </w:r>
      <w:r>
        <w:rPr>
          <w:rFonts w:cs="Times New Roman"/>
          <w:spacing w:val="-1"/>
          <w:sz w:val="14"/>
          <w:szCs w:val="14"/>
          <w:lang w:val="es-ES_tradnl"/>
        </w:rPr>
        <w:t>º</w:t>
      </w:r>
      <w:r>
        <w:rPr>
          <w:spacing w:val="-1"/>
          <w:sz w:val="18"/>
          <w:szCs w:val="18"/>
          <w:lang w:val="es-ES_tradnl"/>
        </w:rPr>
        <w:t xml:space="preserve"> </w:t>
      </w:r>
      <w:r>
        <w:rPr>
          <w:spacing w:val="-1"/>
          <w:sz w:val="14"/>
          <w:szCs w:val="14"/>
          <w:lang w:val="es-ES_tradnl"/>
        </w:rPr>
        <w:t>0016-13-SEP-CC, </w:t>
      </w:r>
      <w:r>
        <w:rPr>
          <w:sz w:val="14"/>
          <w:szCs w:val="14"/>
          <w:lang w:val="es-ES_tradnl"/>
        </w:rPr>
        <w:t xml:space="preserve">caso N. </w:t>
      </w:r>
      <w:r>
        <w:rPr>
          <w:rFonts w:cs="Times New Roman"/>
          <w:sz w:val="14"/>
          <w:szCs w:val="14"/>
          <w:lang w:val="es-ES_tradnl"/>
        </w:rPr>
        <w:t>º</w:t>
      </w:r>
      <w:r>
        <w:rPr>
          <w:sz w:val="14"/>
          <w:szCs w:val="14"/>
          <w:lang w:val="es-ES_tradnl"/>
        </w:rPr>
        <w:t xml:space="preserve"> 1000-12-EP.</w:t>
      </w:r>
    </w:p>
    <w:p w14:paraId="4F67B29F" w14:textId="77777777" w:rsidR="00591D54" w:rsidRDefault="00591D54">
      <w:pPr>
        <w:shd w:val="clear" w:color="auto" w:fill="FFFFFF"/>
        <w:tabs>
          <w:tab w:val="left" w:pos="144"/>
        </w:tabs>
        <w:spacing w:before="149" w:line="178" w:lineRule="exact"/>
        <w:ind w:left="144" w:hanging="144"/>
      </w:pPr>
      <w:r>
        <w:rPr>
          <w:sz w:val="10"/>
          <w:szCs w:val="10"/>
          <w:vertAlign w:val="superscript"/>
          <w:lang w:val="es-ES_tradnl"/>
        </w:rPr>
        <w:t>3</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º</w:t>
      </w:r>
      <w:r>
        <w:rPr>
          <w:sz w:val="18"/>
          <w:szCs w:val="18"/>
          <w:lang w:val="es-ES_tradnl"/>
        </w:rPr>
        <w:t xml:space="preserve"> </w:t>
      </w:r>
      <w:r>
        <w:rPr>
          <w:sz w:val="14"/>
          <w:szCs w:val="14"/>
          <w:lang w:val="es-ES_tradnl"/>
        </w:rPr>
        <w:t>194-14-SEP-CC, caso N.</w:t>
      </w:r>
      <w:r>
        <w:rPr>
          <w:rFonts w:cs="Times New Roman"/>
          <w:sz w:val="14"/>
          <w:szCs w:val="14"/>
          <w:lang w:val="es-ES_tradnl"/>
        </w:rPr>
        <w:t>º</w:t>
      </w:r>
      <w:r>
        <w:rPr>
          <w:sz w:val="14"/>
          <w:szCs w:val="14"/>
          <w:lang w:val="es-ES_tradnl"/>
        </w:rPr>
        <w:t xml:space="preserve"> 0380-12-EP.</w:t>
      </w:r>
    </w:p>
    <w:p w14:paraId="4F67B2A0" w14:textId="77777777" w:rsidR="00591D54" w:rsidRDefault="00591D54">
      <w:pPr>
        <w:shd w:val="clear" w:color="auto" w:fill="FFFFFF"/>
        <w:tabs>
          <w:tab w:val="left" w:pos="144"/>
        </w:tabs>
        <w:spacing w:before="149" w:line="178" w:lineRule="exact"/>
        <w:ind w:left="144" w:hanging="144"/>
        <w:sectPr w:rsidR="00591D54">
          <w:type w:val="continuous"/>
          <w:pgSz w:w="11909" w:h="16834"/>
          <w:pgMar w:top="1356" w:right="1309" w:bottom="360" w:left="1308" w:header="720" w:footer="720" w:gutter="0"/>
          <w:cols w:num="2" w:space="720" w:equalWidth="0">
            <w:col w:w="4305" w:space="682"/>
            <w:col w:w="4305"/>
          </w:cols>
          <w:noEndnote/>
        </w:sectPr>
      </w:pPr>
    </w:p>
    <w:p w14:paraId="4F67B2A1"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- 185</w:t>
      </w:r>
    </w:p>
    <w:p w14:paraId="4F67B2A2" w14:textId="77777777" w:rsidR="00591D54" w:rsidRDefault="00591D54">
      <w:pPr>
        <w:shd w:val="clear" w:color="auto" w:fill="FFFFFF"/>
        <w:tabs>
          <w:tab w:val="left" w:pos="5842"/>
        </w:tabs>
        <w:spacing w:after="235"/>
        <w:ind w:left="5"/>
        <w:sectPr w:rsidR="00591D54">
          <w:pgSz w:w="11909" w:h="16834"/>
          <w:pgMar w:top="1359" w:right="1304" w:bottom="360" w:left="1308" w:header="720" w:footer="720" w:gutter="0"/>
          <w:cols w:space="60"/>
          <w:noEndnote/>
        </w:sectPr>
      </w:pPr>
    </w:p>
    <w:p w14:paraId="4F67B2A3" w14:textId="77777777" w:rsidR="00591D54" w:rsidRDefault="00591D54">
      <w:pPr>
        <w:shd w:val="clear" w:color="auto" w:fill="FFFFFF"/>
        <w:spacing w:line="216" w:lineRule="exact"/>
        <w:ind w:right="5"/>
        <w:jc w:val="both"/>
      </w:pPr>
      <w:r>
        <w:rPr>
          <w:spacing w:val="-12"/>
          <w:sz w:val="18"/>
          <w:szCs w:val="18"/>
          <w:lang w:val="es-ES_tradnl"/>
        </w:rPr>
        <w:t xml:space="preserve">que fue descalificado del segundo concurso y semanas antes </w:t>
      </w:r>
      <w:r>
        <w:rPr>
          <w:spacing w:val="-7"/>
          <w:sz w:val="18"/>
          <w:szCs w:val="18"/>
          <w:lang w:val="es-ES_tradnl"/>
        </w:rPr>
        <w:t xml:space="preserve">de que el mismo finalizara con un concursante ganador al </w:t>
      </w:r>
      <w:r>
        <w:rPr>
          <w:spacing w:val="-9"/>
          <w:sz w:val="18"/>
          <w:szCs w:val="18"/>
          <w:lang w:val="es-ES_tradnl"/>
        </w:rPr>
        <w:t>cargo de registrador de la propiedad. No obstante, la acci</w:t>
      </w:r>
      <w:r>
        <w:rPr>
          <w:rFonts w:cs="Times New Roman"/>
          <w:spacing w:val="-9"/>
          <w:sz w:val="18"/>
          <w:szCs w:val="18"/>
          <w:lang w:val="es-ES_tradnl"/>
        </w:rPr>
        <w:t>ó</w:t>
      </w:r>
      <w:r>
        <w:rPr>
          <w:spacing w:val="-9"/>
          <w:sz w:val="18"/>
          <w:szCs w:val="18"/>
          <w:lang w:val="es-ES_tradnl"/>
        </w:rPr>
        <w:t>n de protecci</w:t>
      </w:r>
      <w:r>
        <w:rPr>
          <w:rFonts w:cs="Times New Roman"/>
          <w:spacing w:val="-9"/>
          <w:sz w:val="18"/>
          <w:szCs w:val="18"/>
          <w:lang w:val="es-ES_tradnl"/>
        </w:rPr>
        <w:t>ó</w:t>
      </w:r>
      <w:r>
        <w:rPr>
          <w:spacing w:val="-9"/>
          <w:sz w:val="18"/>
          <w:szCs w:val="18"/>
          <w:lang w:val="es-ES_tradnl"/>
        </w:rPr>
        <w:t>n se presenta en contra del acta de verificaci</w:t>
      </w:r>
      <w:r>
        <w:rPr>
          <w:rFonts w:cs="Times New Roman"/>
          <w:spacing w:val="-9"/>
          <w:sz w:val="18"/>
          <w:szCs w:val="18"/>
          <w:lang w:val="es-ES_tradnl"/>
        </w:rPr>
        <w:t>ó</w:t>
      </w:r>
      <w:r>
        <w:rPr>
          <w:spacing w:val="-9"/>
          <w:sz w:val="18"/>
          <w:szCs w:val="18"/>
          <w:lang w:val="es-ES_tradnl"/>
        </w:rPr>
        <w:t xml:space="preserve">n </w:t>
      </w:r>
      <w:r>
        <w:rPr>
          <w:spacing w:val="-7"/>
          <w:sz w:val="18"/>
          <w:szCs w:val="18"/>
          <w:lang w:val="es-ES_tradnl"/>
        </w:rPr>
        <w:t xml:space="preserve">de requisitos de carpeta de los postulantes emitida dentro </w:t>
      </w:r>
      <w:r>
        <w:rPr>
          <w:spacing w:val="-11"/>
          <w:sz w:val="18"/>
          <w:szCs w:val="18"/>
          <w:lang w:val="es-ES_tradnl"/>
        </w:rPr>
        <w:t>del primer concurso, es decir, sobre el acto que lo descalific</w:t>
      </w:r>
      <w:r>
        <w:rPr>
          <w:rFonts w:cs="Times New Roman"/>
          <w:spacing w:val="-11"/>
          <w:sz w:val="18"/>
          <w:szCs w:val="18"/>
          <w:lang w:val="es-ES_tradnl"/>
        </w:rPr>
        <w:t xml:space="preserve">ó </w:t>
      </w:r>
      <w:r>
        <w:rPr>
          <w:spacing w:val="-8"/>
          <w:sz w:val="18"/>
          <w:szCs w:val="18"/>
          <w:lang w:val="es-ES_tradnl"/>
        </w:rPr>
        <w:t xml:space="preserve">del concurso por no haber sustentado documentadamente </w:t>
      </w:r>
      <w:r>
        <w:rPr>
          <w:sz w:val="18"/>
          <w:szCs w:val="18"/>
          <w:lang w:val="es-ES_tradnl"/>
        </w:rPr>
        <w:t>su probidad e idoneidad como abogado.</w:t>
      </w:r>
    </w:p>
    <w:p w14:paraId="4F67B2A4" w14:textId="77777777" w:rsidR="00591D54" w:rsidRDefault="00591D54">
      <w:pPr>
        <w:shd w:val="clear" w:color="auto" w:fill="FFFFFF"/>
        <w:spacing w:before="197" w:line="216" w:lineRule="exact"/>
        <w:jc w:val="both"/>
      </w:pPr>
      <w:r>
        <w:rPr>
          <w:sz w:val="18"/>
          <w:szCs w:val="18"/>
          <w:lang w:val="es-ES_tradnl"/>
        </w:rPr>
        <w:t>Una vez sustanciada la acci</w:t>
      </w:r>
      <w:r>
        <w:rPr>
          <w:rFonts w:cs="Times New Roman"/>
          <w:sz w:val="18"/>
          <w:szCs w:val="18"/>
          <w:lang w:val="es-ES_tradnl"/>
        </w:rPr>
        <w:t>ó</w:t>
      </w:r>
      <w:r>
        <w:rPr>
          <w:sz w:val="18"/>
          <w:szCs w:val="18"/>
          <w:lang w:val="es-ES_tradnl"/>
        </w:rPr>
        <w:t xml:space="preserve">n, el juez noveno </w:t>
      </w:r>
      <w:r>
        <w:rPr>
          <w:spacing w:val="-1"/>
          <w:sz w:val="18"/>
          <w:szCs w:val="18"/>
          <w:lang w:val="es-ES_tradnl"/>
        </w:rPr>
        <w:t>multicompetente de Loja resolvi</w:t>
      </w:r>
      <w:r>
        <w:rPr>
          <w:rFonts w:cs="Times New Roman"/>
          <w:spacing w:val="-1"/>
          <w:sz w:val="18"/>
          <w:szCs w:val="18"/>
          <w:lang w:val="es-ES_tradnl"/>
        </w:rPr>
        <w:t>ó</w:t>
      </w:r>
      <w:r>
        <w:rPr>
          <w:spacing w:val="-1"/>
          <w:sz w:val="18"/>
          <w:szCs w:val="18"/>
          <w:lang w:val="es-ES_tradnl"/>
        </w:rPr>
        <w:t xml:space="preserve"> el 08 de septiembre </w:t>
      </w:r>
      <w:r>
        <w:rPr>
          <w:spacing w:val="-6"/>
          <w:sz w:val="18"/>
          <w:szCs w:val="18"/>
          <w:lang w:val="es-ES_tradnl"/>
        </w:rPr>
        <w:t>de 2011, denegar la acci</w:t>
      </w:r>
      <w:r>
        <w:rPr>
          <w:rFonts w:cs="Times New Roman"/>
          <w:spacing w:val="-6"/>
          <w:sz w:val="18"/>
          <w:szCs w:val="18"/>
          <w:lang w:val="es-ES_tradnl"/>
        </w:rPr>
        <w:t>ó</w:t>
      </w:r>
      <w:r>
        <w:rPr>
          <w:spacing w:val="-6"/>
          <w:sz w:val="18"/>
          <w:szCs w:val="18"/>
          <w:lang w:val="es-ES_tradnl"/>
        </w:rPr>
        <w:t>n de protecci</w:t>
      </w:r>
      <w:r>
        <w:rPr>
          <w:rFonts w:cs="Times New Roman"/>
          <w:spacing w:val="-6"/>
          <w:sz w:val="18"/>
          <w:szCs w:val="18"/>
          <w:lang w:val="es-ES_tradnl"/>
        </w:rPr>
        <w:t>ó</w:t>
      </w:r>
      <w:r>
        <w:rPr>
          <w:spacing w:val="-6"/>
          <w:sz w:val="18"/>
          <w:szCs w:val="18"/>
          <w:lang w:val="es-ES_tradnl"/>
        </w:rPr>
        <w:t>n argumentando que dentro del concurso p</w:t>
      </w:r>
      <w:r>
        <w:rPr>
          <w:rFonts w:cs="Times New Roman"/>
          <w:spacing w:val="-6"/>
          <w:sz w:val="18"/>
          <w:szCs w:val="18"/>
          <w:lang w:val="es-ES_tradnl"/>
        </w:rPr>
        <w:t>ú</w:t>
      </w:r>
      <w:r>
        <w:rPr>
          <w:spacing w:val="-6"/>
          <w:sz w:val="18"/>
          <w:szCs w:val="18"/>
          <w:lang w:val="es-ES_tradnl"/>
        </w:rPr>
        <w:t>blico no se ha evidenciado la vulneraci</w:t>
      </w:r>
      <w:r>
        <w:rPr>
          <w:rFonts w:cs="Times New Roman"/>
          <w:spacing w:val="-6"/>
          <w:sz w:val="18"/>
          <w:szCs w:val="18"/>
          <w:lang w:val="es-ES_tradnl"/>
        </w:rPr>
        <w:t>ó</w:t>
      </w:r>
      <w:r>
        <w:rPr>
          <w:spacing w:val="-6"/>
          <w:sz w:val="18"/>
          <w:szCs w:val="18"/>
          <w:lang w:val="es-ES_tradnl"/>
        </w:rPr>
        <w:t xml:space="preserve">n del derecho al trabajo y al debido proceso </w:t>
      </w:r>
      <w:r>
        <w:rPr>
          <w:spacing w:val="-7"/>
          <w:sz w:val="18"/>
          <w:szCs w:val="18"/>
          <w:lang w:val="es-ES_tradnl"/>
        </w:rPr>
        <w:t xml:space="preserve">argumentado por el accionante, ante lo cual el legitimado </w:t>
      </w:r>
      <w:r>
        <w:rPr>
          <w:spacing w:val="-1"/>
          <w:sz w:val="18"/>
          <w:szCs w:val="18"/>
          <w:lang w:val="es-ES_tradnl"/>
        </w:rPr>
        <w:t>activo interpuso un recurso de apelaci</w:t>
      </w:r>
      <w:r>
        <w:rPr>
          <w:rFonts w:cs="Times New Roman"/>
          <w:spacing w:val="-1"/>
          <w:sz w:val="18"/>
          <w:szCs w:val="18"/>
          <w:lang w:val="es-ES_tradnl"/>
        </w:rPr>
        <w:t>ó</w:t>
      </w:r>
      <w:r>
        <w:rPr>
          <w:spacing w:val="-1"/>
          <w:sz w:val="18"/>
          <w:szCs w:val="18"/>
          <w:lang w:val="es-ES_tradnl"/>
        </w:rPr>
        <w:t xml:space="preserve">n. Recurso por </w:t>
      </w:r>
      <w:r>
        <w:rPr>
          <w:spacing w:val="-5"/>
          <w:sz w:val="18"/>
          <w:szCs w:val="18"/>
          <w:lang w:val="es-ES_tradnl"/>
        </w:rPr>
        <w:t>el cual la Sala Especializada de lo Laboral, Ni</w:t>
      </w:r>
      <w:r>
        <w:rPr>
          <w:rFonts w:cs="Times New Roman"/>
          <w:spacing w:val="-5"/>
          <w:sz w:val="18"/>
          <w:szCs w:val="18"/>
          <w:lang w:val="es-ES_tradnl"/>
        </w:rPr>
        <w:t>ñ</w:t>
      </w:r>
      <w:r>
        <w:rPr>
          <w:spacing w:val="-5"/>
          <w:sz w:val="18"/>
          <w:szCs w:val="18"/>
          <w:lang w:val="es-ES_tradnl"/>
        </w:rPr>
        <w:t xml:space="preserve">ez y Adolescencia de la Corte Provincial de Justicia de Loja, </w:t>
      </w:r>
      <w:r>
        <w:rPr>
          <w:spacing w:val="-7"/>
          <w:sz w:val="18"/>
          <w:szCs w:val="18"/>
          <w:lang w:val="es-ES_tradnl"/>
        </w:rPr>
        <w:t xml:space="preserve">mediante la sentencia dictada el 28 de octubre de 2011, </w:t>
      </w:r>
      <w:r>
        <w:rPr>
          <w:spacing w:val="-4"/>
          <w:sz w:val="18"/>
          <w:szCs w:val="18"/>
          <w:lang w:val="es-ES_tradnl"/>
        </w:rPr>
        <w:t>resolvi</w:t>
      </w:r>
      <w:r>
        <w:rPr>
          <w:rFonts w:cs="Times New Roman"/>
          <w:spacing w:val="-4"/>
          <w:sz w:val="18"/>
          <w:szCs w:val="18"/>
          <w:lang w:val="es-ES_tradnl"/>
        </w:rPr>
        <w:t>ó</w:t>
      </w:r>
      <w:r>
        <w:rPr>
          <w:spacing w:val="-4"/>
          <w:sz w:val="18"/>
          <w:szCs w:val="18"/>
          <w:lang w:val="es-ES_tradnl"/>
        </w:rPr>
        <w:t xml:space="preserve"> aceptar dicho recurso considerando que el acta </w:t>
      </w:r>
      <w:r>
        <w:rPr>
          <w:spacing w:val="-6"/>
          <w:sz w:val="18"/>
          <w:szCs w:val="18"/>
          <w:lang w:val="es-ES_tradnl"/>
        </w:rPr>
        <w:t>de verificaci</w:t>
      </w:r>
      <w:r>
        <w:rPr>
          <w:rFonts w:cs="Times New Roman"/>
          <w:spacing w:val="-6"/>
          <w:sz w:val="18"/>
          <w:szCs w:val="18"/>
          <w:lang w:val="es-ES_tradnl"/>
        </w:rPr>
        <w:t>ó</w:t>
      </w:r>
      <w:r>
        <w:rPr>
          <w:spacing w:val="-6"/>
          <w:sz w:val="18"/>
          <w:szCs w:val="18"/>
          <w:lang w:val="es-ES_tradnl"/>
        </w:rPr>
        <w:t>n carec</w:t>
      </w:r>
      <w:r>
        <w:rPr>
          <w:rFonts w:cs="Times New Roman"/>
          <w:spacing w:val="-6"/>
          <w:sz w:val="18"/>
          <w:szCs w:val="18"/>
          <w:lang w:val="es-ES_tradnl"/>
        </w:rPr>
        <w:t>í</w:t>
      </w:r>
      <w:r>
        <w:rPr>
          <w:spacing w:val="-6"/>
          <w:sz w:val="18"/>
          <w:szCs w:val="18"/>
          <w:lang w:val="es-ES_tradnl"/>
        </w:rPr>
        <w:t>a de motivaci</w:t>
      </w:r>
      <w:r>
        <w:rPr>
          <w:rFonts w:cs="Times New Roman"/>
          <w:spacing w:val="-6"/>
          <w:sz w:val="18"/>
          <w:szCs w:val="18"/>
          <w:lang w:val="es-ES_tradnl"/>
        </w:rPr>
        <w:t>ó</w:t>
      </w:r>
      <w:r>
        <w:rPr>
          <w:spacing w:val="-6"/>
          <w:sz w:val="18"/>
          <w:szCs w:val="18"/>
          <w:lang w:val="es-ES_tradnl"/>
        </w:rPr>
        <w:t>n y como tal se hab</w:t>
      </w:r>
      <w:r>
        <w:rPr>
          <w:rFonts w:cs="Times New Roman"/>
          <w:spacing w:val="-6"/>
          <w:sz w:val="18"/>
          <w:szCs w:val="18"/>
          <w:lang w:val="es-ES_tradnl"/>
        </w:rPr>
        <w:t>í</w:t>
      </w:r>
      <w:r>
        <w:rPr>
          <w:spacing w:val="-6"/>
          <w:sz w:val="18"/>
          <w:szCs w:val="18"/>
          <w:lang w:val="es-ES_tradnl"/>
        </w:rPr>
        <w:t xml:space="preserve">a </w:t>
      </w:r>
      <w:r>
        <w:rPr>
          <w:spacing w:val="-8"/>
          <w:sz w:val="18"/>
          <w:szCs w:val="18"/>
          <w:lang w:val="es-ES_tradnl"/>
        </w:rPr>
        <w:t>vulnerado el derecho al debido proceso del concursante.</w:t>
      </w:r>
    </w:p>
    <w:p w14:paraId="4F67B2A5" w14:textId="77777777" w:rsidR="00591D54" w:rsidRDefault="00591D54">
      <w:pPr>
        <w:shd w:val="clear" w:color="auto" w:fill="FFFFFF"/>
        <w:spacing w:before="197" w:line="216" w:lineRule="exact"/>
        <w:ind w:right="5"/>
        <w:jc w:val="both"/>
      </w:pPr>
      <w:r>
        <w:rPr>
          <w:spacing w:val="-5"/>
          <w:sz w:val="18"/>
          <w:szCs w:val="18"/>
          <w:lang w:val="es-ES_tradnl"/>
        </w:rPr>
        <w:t>En consecuencia, habi</w:t>
      </w:r>
      <w:r>
        <w:rPr>
          <w:rFonts w:cs="Times New Roman"/>
          <w:spacing w:val="-5"/>
          <w:sz w:val="18"/>
          <w:szCs w:val="18"/>
          <w:lang w:val="es-ES_tradnl"/>
        </w:rPr>
        <w:t>é</w:t>
      </w:r>
      <w:r>
        <w:rPr>
          <w:spacing w:val="-5"/>
          <w:sz w:val="18"/>
          <w:szCs w:val="18"/>
          <w:lang w:val="es-ES_tradnl"/>
        </w:rPr>
        <w:t>ndose reconocido la vulneraci</w:t>
      </w:r>
      <w:r>
        <w:rPr>
          <w:rFonts w:cs="Times New Roman"/>
          <w:spacing w:val="-5"/>
          <w:sz w:val="18"/>
          <w:szCs w:val="18"/>
          <w:lang w:val="es-ES_tradnl"/>
        </w:rPr>
        <w:t>ó</w:t>
      </w:r>
      <w:r>
        <w:rPr>
          <w:spacing w:val="-5"/>
          <w:sz w:val="18"/>
          <w:szCs w:val="18"/>
          <w:lang w:val="es-ES_tradnl"/>
        </w:rPr>
        <w:t xml:space="preserve">n </w:t>
      </w:r>
      <w:r>
        <w:rPr>
          <w:spacing w:val="-8"/>
          <w:sz w:val="18"/>
          <w:szCs w:val="18"/>
          <w:lang w:val="es-ES_tradnl"/>
        </w:rPr>
        <w:t>de un derecho constitucional, la Sala orden</w:t>
      </w:r>
      <w:r>
        <w:rPr>
          <w:rFonts w:cs="Times New Roman"/>
          <w:spacing w:val="-8"/>
          <w:sz w:val="18"/>
          <w:szCs w:val="18"/>
          <w:lang w:val="es-ES_tradnl"/>
        </w:rPr>
        <w:t>ó</w:t>
      </w:r>
      <w:r>
        <w:rPr>
          <w:spacing w:val="-8"/>
          <w:sz w:val="18"/>
          <w:szCs w:val="18"/>
          <w:lang w:val="es-ES_tradnl"/>
        </w:rPr>
        <w:t xml:space="preserve"> como medida </w:t>
      </w:r>
      <w:r>
        <w:rPr>
          <w:spacing w:val="-6"/>
          <w:sz w:val="18"/>
          <w:szCs w:val="18"/>
          <w:lang w:val="es-ES_tradnl"/>
        </w:rPr>
        <w:t>reparatoria la nulidad del acta impugnada as</w:t>
      </w:r>
      <w:r>
        <w:rPr>
          <w:rFonts w:cs="Times New Roman"/>
          <w:spacing w:val="-6"/>
          <w:sz w:val="18"/>
          <w:szCs w:val="18"/>
          <w:lang w:val="es-ES_tradnl"/>
        </w:rPr>
        <w:t>í</w:t>
      </w:r>
      <w:r>
        <w:rPr>
          <w:spacing w:val="-6"/>
          <w:sz w:val="18"/>
          <w:szCs w:val="18"/>
          <w:lang w:val="es-ES_tradnl"/>
        </w:rPr>
        <w:t xml:space="preserve"> como todo </w:t>
      </w:r>
      <w:r>
        <w:rPr>
          <w:spacing w:val="-7"/>
          <w:sz w:val="18"/>
          <w:szCs w:val="18"/>
          <w:lang w:val="es-ES_tradnl"/>
        </w:rPr>
        <w:t>acto posterior que el Tribunal de M</w:t>
      </w:r>
      <w:r>
        <w:rPr>
          <w:rFonts w:cs="Times New Roman"/>
          <w:spacing w:val="-7"/>
          <w:sz w:val="18"/>
          <w:szCs w:val="18"/>
          <w:lang w:val="es-ES_tradnl"/>
        </w:rPr>
        <w:t>é</w:t>
      </w:r>
      <w:r>
        <w:rPr>
          <w:spacing w:val="-7"/>
          <w:sz w:val="18"/>
          <w:szCs w:val="18"/>
          <w:lang w:val="es-ES_tradnl"/>
        </w:rPr>
        <w:t>ritos y Oposici</w:t>
      </w:r>
      <w:r>
        <w:rPr>
          <w:rFonts w:cs="Times New Roman"/>
          <w:spacing w:val="-7"/>
          <w:sz w:val="18"/>
          <w:szCs w:val="18"/>
          <w:lang w:val="es-ES_tradnl"/>
        </w:rPr>
        <w:t>ó</w:t>
      </w:r>
      <w:r>
        <w:rPr>
          <w:spacing w:val="-7"/>
          <w:sz w:val="18"/>
          <w:szCs w:val="18"/>
          <w:lang w:val="es-ES_tradnl"/>
        </w:rPr>
        <w:t xml:space="preserve">n haya </w:t>
      </w:r>
      <w:r>
        <w:rPr>
          <w:spacing w:val="-8"/>
          <w:sz w:val="18"/>
          <w:szCs w:val="18"/>
          <w:lang w:val="es-ES_tradnl"/>
        </w:rPr>
        <w:t xml:space="preserve">dictado tanto en el primero como en el segundo concurso, </w:t>
      </w:r>
      <w:r>
        <w:rPr>
          <w:spacing w:val="-6"/>
          <w:sz w:val="18"/>
          <w:szCs w:val="18"/>
          <w:lang w:val="es-ES_tradnl"/>
        </w:rPr>
        <w:t xml:space="preserve">incluyendo, el nombramiento del actual registrador de la </w:t>
      </w:r>
      <w:r>
        <w:rPr>
          <w:spacing w:val="-8"/>
          <w:sz w:val="18"/>
          <w:szCs w:val="18"/>
          <w:lang w:val="es-ES_tradnl"/>
        </w:rPr>
        <w:t>propiedad del cant</w:t>
      </w:r>
      <w:r>
        <w:rPr>
          <w:rFonts w:cs="Times New Roman"/>
          <w:spacing w:val="-8"/>
          <w:sz w:val="18"/>
          <w:szCs w:val="18"/>
          <w:lang w:val="es-ES_tradnl"/>
        </w:rPr>
        <w:t>ó</w:t>
      </w:r>
      <w:r>
        <w:rPr>
          <w:spacing w:val="-8"/>
          <w:sz w:val="18"/>
          <w:szCs w:val="18"/>
          <w:lang w:val="es-ES_tradnl"/>
        </w:rPr>
        <w:t>n Chaguarpamba. As</w:t>
      </w:r>
      <w:r>
        <w:rPr>
          <w:rFonts w:cs="Times New Roman"/>
          <w:spacing w:val="-8"/>
          <w:sz w:val="18"/>
          <w:szCs w:val="18"/>
          <w:lang w:val="es-ES_tradnl"/>
        </w:rPr>
        <w:t>í</w:t>
      </w:r>
      <w:r>
        <w:rPr>
          <w:spacing w:val="-8"/>
          <w:sz w:val="18"/>
          <w:szCs w:val="18"/>
          <w:lang w:val="es-ES_tradnl"/>
        </w:rPr>
        <w:t xml:space="preserve">, la Sala dispuso, </w:t>
      </w:r>
      <w:r>
        <w:rPr>
          <w:spacing w:val="-9"/>
          <w:sz w:val="18"/>
          <w:szCs w:val="18"/>
          <w:lang w:val="es-ES_tradnl"/>
        </w:rPr>
        <w:t>expresamente, dentro de su sentencia, lo siguiente:</w:t>
      </w:r>
    </w:p>
    <w:p w14:paraId="4F67B2A6" w14:textId="77777777" w:rsidR="00591D54" w:rsidRDefault="00591D54">
      <w:pPr>
        <w:shd w:val="clear" w:color="auto" w:fill="FFFFFF"/>
        <w:spacing w:before="202" w:line="216" w:lineRule="exact"/>
        <w:ind w:left="283" w:right="5"/>
        <w:jc w:val="both"/>
      </w:pPr>
      <w:r>
        <w:rPr>
          <w:spacing w:val="-4"/>
          <w:sz w:val="16"/>
          <w:szCs w:val="16"/>
          <w:lang w:val="es-ES_tradnl"/>
        </w:rPr>
        <w:t>Se acepta la acci</w:t>
      </w:r>
      <w:r>
        <w:rPr>
          <w:rFonts w:cs="Times New Roman"/>
          <w:spacing w:val="-4"/>
          <w:sz w:val="16"/>
          <w:szCs w:val="16"/>
          <w:lang w:val="es-ES_tradnl"/>
        </w:rPr>
        <w:t>ó</w:t>
      </w:r>
      <w:r>
        <w:rPr>
          <w:spacing w:val="-4"/>
          <w:sz w:val="16"/>
          <w:szCs w:val="16"/>
          <w:lang w:val="es-ES_tradnl"/>
        </w:rPr>
        <w:t>n de protecci</w:t>
      </w:r>
      <w:r>
        <w:rPr>
          <w:rFonts w:cs="Times New Roman"/>
          <w:spacing w:val="-4"/>
          <w:sz w:val="16"/>
          <w:szCs w:val="16"/>
          <w:lang w:val="es-ES_tradnl"/>
        </w:rPr>
        <w:t>ó</w:t>
      </w:r>
      <w:r>
        <w:rPr>
          <w:spacing w:val="-4"/>
          <w:sz w:val="16"/>
          <w:szCs w:val="16"/>
          <w:lang w:val="es-ES_tradnl"/>
        </w:rPr>
        <w:t xml:space="preserve">n y se declara nula la acta </w:t>
      </w:r>
      <w:r>
        <w:rPr>
          <w:spacing w:val="-6"/>
          <w:sz w:val="16"/>
          <w:szCs w:val="16"/>
          <w:lang w:val="es-ES_tradnl"/>
        </w:rPr>
        <w:t>de verificaci</w:t>
      </w:r>
      <w:r>
        <w:rPr>
          <w:rFonts w:cs="Times New Roman"/>
          <w:spacing w:val="-6"/>
          <w:sz w:val="16"/>
          <w:szCs w:val="16"/>
          <w:lang w:val="es-ES_tradnl"/>
        </w:rPr>
        <w:t>ó</w:t>
      </w:r>
      <w:r>
        <w:rPr>
          <w:spacing w:val="-6"/>
          <w:sz w:val="16"/>
          <w:szCs w:val="16"/>
          <w:lang w:val="es-ES_tradnl"/>
        </w:rPr>
        <w:t>n de requisitos de carpetas de postulantes a Registrador de la Propiedad del cant</w:t>
      </w:r>
      <w:r>
        <w:rPr>
          <w:rFonts w:cs="Times New Roman"/>
          <w:spacing w:val="-6"/>
          <w:sz w:val="16"/>
          <w:szCs w:val="16"/>
          <w:lang w:val="es-ES_tradnl"/>
        </w:rPr>
        <w:t>ó</w:t>
      </w:r>
      <w:r>
        <w:rPr>
          <w:spacing w:val="-6"/>
          <w:sz w:val="16"/>
          <w:szCs w:val="16"/>
          <w:lang w:val="es-ES_tradnl"/>
        </w:rPr>
        <w:t xml:space="preserve">n Chaguarpamba de </w:t>
      </w:r>
      <w:r>
        <w:rPr>
          <w:spacing w:val="-7"/>
          <w:sz w:val="16"/>
          <w:szCs w:val="16"/>
          <w:lang w:val="es-ES_tradnl"/>
        </w:rPr>
        <w:t>fecha seis de julio del a</w:t>
      </w:r>
      <w:r>
        <w:rPr>
          <w:rFonts w:cs="Times New Roman"/>
          <w:spacing w:val="-7"/>
          <w:sz w:val="16"/>
          <w:szCs w:val="16"/>
          <w:lang w:val="es-ES_tradnl"/>
        </w:rPr>
        <w:t>ñ</w:t>
      </w:r>
      <w:r>
        <w:rPr>
          <w:spacing w:val="-7"/>
          <w:sz w:val="16"/>
          <w:szCs w:val="16"/>
          <w:lang w:val="es-ES_tradnl"/>
        </w:rPr>
        <w:t>o dos mil once, por la que se declara desierto el concurso, suscrita por (</w:t>
      </w:r>
      <w:r>
        <w:rPr>
          <w:rFonts w:cs="Times New Roman"/>
          <w:spacing w:val="-7"/>
          <w:sz w:val="16"/>
          <w:szCs w:val="16"/>
          <w:lang w:val="es-ES_tradnl"/>
        </w:rPr>
        <w:t>…</w:t>
      </w:r>
      <w:r>
        <w:rPr>
          <w:spacing w:val="-7"/>
          <w:sz w:val="16"/>
          <w:szCs w:val="16"/>
          <w:lang w:val="es-ES_tradnl"/>
        </w:rPr>
        <w:t>), por lo tanto tambi</w:t>
      </w:r>
      <w:r>
        <w:rPr>
          <w:rFonts w:cs="Times New Roman"/>
          <w:spacing w:val="-7"/>
          <w:sz w:val="16"/>
          <w:szCs w:val="16"/>
          <w:lang w:val="es-ES_tradnl"/>
        </w:rPr>
        <w:t>é</w:t>
      </w:r>
      <w:r>
        <w:rPr>
          <w:spacing w:val="-7"/>
          <w:sz w:val="16"/>
          <w:szCs w:val="16"/>
          <w:lang w:val="es-ES_tradnl"/>
        </w:rPr>
        <w:t xml:space="preserve">n se </w:t>
      </w:r>
      <w:r>
        <w:rPr>
          <w:spacing w:val="-9"/>
          <w:sz w:val="16"/>
          <w:szCs w:val="16"/>
          <w:lang w:val="es-ES_tradnl"/>
        </w:rPr>
        <w:t xml:space="preserve">declara nulo todos los actos posteriores realizados por el citado </w:t>
      </w:r>
      <w:r>
        <w:rPr>
          <w:spacing w:val="-8"/>
          <w:sz w:val="16"/>
          <w:szCs w:val="16"/>
          <w:lang w:val="es-ES_tradnl"/>
        </w:rPr>
        <w:t>Tribunal, tendientes a nombrar Registrador de la Propiedad del cant</w:t>
      </w:r>
      <w:r>
        <w:rPr>
          <w:rFonts w:cs="Times New Roman"/>
          <w:spacing w:val="-8"/>
          <w:sz w:val="16"/>
          <w:szCs w:val="16"/>
          <w:lang w:val="es-ES_tradnl"/>
        </w:rPr>
        <w:t>ó</w:t>
      </w:r>
      <w:r>
        <w:rPr>
          <w:spacing w:val="-8"/>
          <w:sz w:val="16"/>
          <w:szCs w:val="16"/>
          <w:lang w:val="es-ES_tradnl"/>
        </w:rPr>
        <w:t>n Chaguarpamba, disponi</w:t>
      </w:r>
      <w:r>
        <w:rPr>
          <w:rFonts w:cs="Times New Roman"/>
          <w:spacing w:val="-8"/>
          <w:sz w:val="16"/>
          <w:szCs w:val="16"/>
          <w:lang w:val="es-ES_tradnl"/>
        </w:rPr>
        <w:t>é</w:t>
      </w:r>
      <w:r>
        <w:rPr>
          <w:spacing w:val="-8"/>
          <w:sz w:val="16"/>
          <w:szCs w:val="16"/>
          <w:lang w:val="es-ES_tradnl"/>
        </w:rPr>
        <w:t xml:space="preserve">ndose que dicho Tribunal de </w:t>
      </w:r>
      <w:r>
        <w:rPr>
          <w:spacing w:val="-6"/>
          <w:sz w:val="16"/>
          <w:szCs w:val="16"/>
          <w:lang w:val="es-ES_tradnl"/>
        </w:rPr>
        <w:t>M</w:t>
      </w:r>
      <w:r>
        <w:rPr>
          <w:rFonts w:cs="Times New Roman"/>
          <w:spacing w:val="-6"/>
          <w:sz w:val="16"/>
          <w:szCs w:val="16"/>
          <w:lang w:val="es-ES_tradnl"/>
        </w:rPr>
        <w:t>é</w:t>
      </w:r>
      <w:r>
        <w:rPr>
          <w:spacing w:val="-6"/>
          <w:sz w:val="16"/>
          <w:szCs w:val="16"/>
          <w:lang w:val="es-ES_tradnl"/>
        </w:rPr>
        <w:t>ritos en el t</w:t>
      </w:r>
      <w:r>
        <w:rPr>
          <w:rFonts w:cs="Times New Roman"/>
          <w:spacing w:val="-6"/>
          <w:sz w:val="16"/>
          <w:szCs w:val="16"/>
          <w:lang w:val="es-ES_tradnl"/>
        </w:rPr>
        <w:t>é</w:t>
      </w:r>
      <w:r>
        <w:rPr>
          <w:spacing w:val="-6"/>
          <w:sz w:val="16"/>
          <w:szCs w:val="16"/>
          <w:lang w:val="es-ES_tradnl"/>
        </w:rPr>
        <w:t>rmino de 18h00, califique como id</w:t>
      </w:r>
      <w:r>
        <w:rPr>
          <w:rFonts w:cs="Times New Roman"/>
          <w:spacing w:val="-6"/>
          <w:sz w:val="16"/>
          <w:szCs w:val="16"/>
          <w:lang w:val="es-ES_tradnl"/>
        </w:rPr>
        <w:t>ó</w:t>
      </w:r>
      <w:r>
        <w:rPr>
          <w:spacing w:val="-6"/>
          <w:sz w:val="16"/>
          <w:szCs w:val="16"/>
          <w:lang w:val="es-ES_tradnl"/>
        </w:rPr>
        <w:t xml:space="preserve">neo al Dr. </w:t>
      </w:r>
      <w:r>
        <w:rPr>
          <w:spacing w:val="-7"/>
          <w:sz w:val="16"/>
          <w:szCs w:val="16"/>
          <w:lang w:val="es-ES_tradnl"/>
        </w:rPr>
        <w:t>V</w:t>
      </w:r>
      <w:r>
        <w:rPr>
          <w:rFonts w:cs="Times New Roman"/>
          <w:spacing w:val="-7"/>
          <w:sz w:val="16"/>
          <w:szCs w:val="16"/>
          <w:lang w:val="es-ES_tradnl"/>
        </w:rPr>
        <w:t>í</w:t>
      </w:r>
      <w:r>
        <w:rPr>
          <w:spacing w:val="-7"/>
          <w:sz w:val="16"/>
          <w:szCs w:val="16"/>
          <w:lang w:val="es-ES_tradnl"/>
        </w:rPr>
        <w:t>ctor Arturo Balcazar Rom</w:t>
      </w:r>
      <w:r>
        <w:rPr>
          <w:rFonts w:cs="Times New Roman"/>
          <w:spacing w:val="-7"/>
          <w:sz w:val="16"/>
          <w:szCs w:val="16"/>
          <w:lang w:val="es-ES_tradnl"/>
        </w:rPr>
        <w:t>á</w:t>
      </w:r>
      <w:r>
        <w:rPr>
          <w:spacing w:val="-7"/>
          <w:sz w:val="16"/>
          <w:szCs w:val="16"/>
          <w:lang w:val="es-ES_tradnl"/>
        </w:rPr>
        <w:t>n, a quien deber</w:t>
      </w:r>
      <w:r>
        <w:rPr>
          <w:rFonts w:cs="Times New Roman"/>
          <w:spacing w:val="-7"/>
          <w:sz w:val="16"/>
          <w:szCs w:val="16"/>
          <w:lang w:val="es-ES_tradnl"/>
        </w:rPr>
        <w:t>á</w:t>
      </w:r>
      <w:r>
        <w:rPr>
          <w:spacing w:val="-7"/>
          <w:sz w:val="16"/>
          <w:szCs w:val="16"/>
          <w:lang w:val="es-ES_tradnl"/>
        </w:rPr>
        <w:t xml:space="preserve"> reconoc</w:t>
      </w:r>
      <w:r>
        <w:rPr>
          <w:rFonts w:cs="Times New Roman"/>
          <w:spacing w:val="-7"/>
          <w:sz w:val="16"/>
          <w:szCs w:val="16"/>
          <w:lang w:val="es-ES_tradnl"/>
        </w:rPr>
        <w:t>é</w:t>
      </w:r>
      <w:r>
        <w:rPr>
          <w:spacing w:val="-7"/>
          <w:sz w:val="16"/>
          <w:szCs w:val="16"/>
          <w:lang w:val="es-ES_tradnl"/>
        </w:rPr>
        <w:t xml:space="preserve">rsele </w:t>
      </w:r>
      <w:r>
        <w:rPr>
          <w:spacing w:val="-8"/>
          <w:sz w:val="16"/>
          <w:szCs w:val="16"/>
          <w:lang w:val="es-ES_tradnl"/>
        </w:rPr>
        <w:t>que ha ejercido la profesi</w:t>
      </w:r>
      <w:r>
        <w:rPr>
          <w:rFonts w:cs="Times New Roman"/>
          <w:spacing w:val="-8"/>
          <w:sz w:val="16"/>
          <w:szCs w:val="16"/>
          <w:lang w:val="es-ES_tradnl"/>
        </w:rPr>
        <w:t>ó</w:t>
      </w:r>
      <w:r>
        <w:rPr>
          <w:spacing w:val="-8"/>
          <w:sz w:val="16"/>
          <w:szCs w:val="16"/>
          <w:lang w:val="es-ES_tradnl"/>
        </w:rPr>
        <w:t>n con probidad e idoneidad desde el 21 de diciembre de 2000 y los m</w:t>
      </w:r>
      <w:r>
        <w:rPr>
          <w:rFonts w:cs="Times New Roman"/>
          <w:spacing w:val="-8"/>
          <w:sz w:val="16"/>
          <w:szCs w:val="16"/>
          <w:lang w:val="es-ES_tradnl"/>
        </w:rPr>
        <w:t>é</w:t>
      </w:r>
      <w:r>
        <w:rPr>
          <w:spacing w:val="-8"/>
          <w:sz w:val="16"/>
          <w:szCs w:val="16"/>
          <w:lang w:val="es-ES_tradnl"/>
        </w:rPr>
        <w:t xml:space="preserve">ritos y capacitaciones que ha justificado en el proceso y se prosiga con el siguiente paso del </w:t>
      </w:r>
      <w:r>
        <w:rPr>
          <w:spacing w:val="-9"/>
          <w:sz w:val="16"/>
          <w:szCs w:val="16"/>
          <w:lang w:val="es-ES_tradnl"/>
        </w:rPr>
        <w:t>concurso para nombrar Registrador de la Propiedad del cant</w:t>
      </w:r>
      <w:r>
        <w:rPr>
          <w:rFonts w:cs="Times New Roman"/>
          <w:spacing w:val="-9"/>
          <w:sz w:val="16"/>
          <w:szCs w:val="16"/>
          <w:lang w:val="es-ES_tradnl"/>
        </w:rPr>
        <w:t>ó</w:t>
      </w:r>
      <w:r>
        <w:rPr>
          <w:spacing w:val="-9"/>
          <w:sz w:val="16"/>
          <w:szCs w:val="16"/>
          <w:lang w:val="es-ES_tradnl"/>
        </w:rPr>
        <w:t xml:space="preserve">n </w:t>
      </w:r>
      <w:r>
        <w:rPr>
          <w:sz w:val="16"/>
          <w:szCs w:val="16"/>
          <w:lang w:val="es-ES_tradnl"/>
        </w:rPr>
        <w:t>Chaguarpamba (</w:t>
      </w:r>
      <w:r>
        <w:rPr>
          <w:rFonts w:cs="Times New Roman"/>
          <w:sz w:val="16"/>
          <w:szCs w:val="16"/>
          <w:lang w:val="es-ES_tradnl"/>
        </w:rPr>
        <w:t>…</w:t>
      </w:r>
      <w:r>
        <w:rPr>
          <w:sz w:val="16"/>
          <w:szCs w:val="16"/>
          <w:lang w:val="es-ES_tradnl"/>
        </w:rPr>
        <w:t>).</w:t>
      </w:r>
    </w:p>
    <w:p w14:paraId="4F67B2A7" w14:textId="77777777" w:rsidR="00591D54" w:rsidRDefault="00591D54">
      <w:pPr>
        <w:shd w:val="clear" w:color="auto" w:fill="FFFFFF"/>
        <w:spacing w:before="202" w:line="216" w:lineRule="exact"/>
        <w:ind w:right="5"/>
        <w:jc w:val="both"/>
      </w:pPr>
      <w:r>
        <w:rPr>
          <w:spacing w:val="-13"/>
          <w:sz w:val="18"/>
          <w:szCs w:val="18"/>
          <w:lang w:val="es-ES_tradnl"/>
        </w:rPr>
        <w:t>Siendo estos los hechos que precedieron a la presente acci</w:t>
      </w:r>
      <w:r>
        <w:rPr>
          <w:rFonts w:cs="Times New Roman"/>
          <w:spacing w:val="-13"/>
          <w:sz w:val="18"/>
          <w:szCs w:val="18"/>
          <w:lang w:val="es-ES_tradnl"/>
        </w:rPr>
        <w:t>ó</w:t>
      </w:r>
      <w:r>
        <w:rPr>
          <w:spacing w:val="-13"/>
          <w:sz w:val="18"/>
          <w:szCs w:val="18"/>
          <w:lang w:val="es-ES_tradnl"/>
        </w:rPr>
        <w:t xml:space="preserve">n, </w:t>
      </w:r>
      <w:r>
        <w:rPr>
          <w:spacing w:val="-9"/>
          <w:sz w:val="18"/>
          <w:szCs w:val="18"/>
          <w:lang w:val="es-ES_tradnl"/>
        </w:rPr>
        <w:t>esta Corte debe advertir en primer lugar que estamos frente a un caso en donde se aprecia una aparente presentaci</w:t>
      </w:r>
      <w:r>
        <w:rPr>
          <w:rFonts w:cs="Times New Roman"/>
          <w:spacing w:val="-9"/>
          <w:sz w:val="18"/>
          <w:szCs w:val="18"/>
          <w:lang w:val="es-ES_tradnl"/>
        </w:rPr>
        <w:t>ó</w:t>
      </w:r>
      <w:r>
        <w:rPr>
          <w:spacing w:val="-9"/>
          <w:sz w:val="18"/>
          <w:szCs w:val="18"/>
          <w:lang w:val="es-ES_tradnl"/>
        </w:rPr>
        <w:t xml:space="preserve">n </w:t>
      </w:r>
      <w:r>
        <w:rPr>
          <w:spacing w:val="-8"/>
          <w:sz w:val="18"/>
          <w:szCs w:val="18"/>
          <w:lang w:val="es-ES_tradnl"/>
        </w:rPr>
        <w:t>tard</w:t>
      </w:r>
      <w:r>
        <w:rPr>
          <w:rFonts w:cs="Times New Roman"/>
          <w:spacing w:val="-8"/>
          <w:sz w:val="18"/>
          <w:szCs w:val="18"/>
          <w:lang w:val="es-ES_tradnl"/>
        </w:rPr>
        <w:t>í</w:t>
      </w:r>
      <w:r>
        <w:rPr>
          <w:spacing w:val="-8"/>
          <w:sz w:val="18"/>
          <w:szCs w:val="18"/>
          <w:lang w:val="es-ES_tradnl"/>
        </w:rPr>
        <w:t>a de la acci</w:t>
      </w:r>
      <w:r>
        <w:rPr>
          <w:rFonts w:cs="Times New Roman"/>
          <w:spacing w:val="-8"/>
          <w:sz w:val="18"/>
          <w:szCs w:val="18"/>
          <w:lang w:val="es-ES_tradnl"/>
        </w:rPr>
        <w:t>ó</w:t>
      </w:r>
      <w:r>
        <w:rPr>
          <w:spacing w:val="-8"/>
          <w:sz w:val="18"/>
          <w:szCs w:val="18"/>
          <w:lang w:val="es-ES_tradnl"/>
        </w:rPr>
        <w:t>n de protecci</w:t>
      </w:r>
      <w:r>
        <w:rPr>
          <w:rFonts w:cs="Times New Roman"/>
          <w:spacing w:val="-8"/>
          <w:sz w:val="18"/>
          <w:szCs w:val="18"/>
          <w:lang w:val="es-ES_tradnl"/>
        </w:rPr>
        <w:t>ó</w:t>
      </w:r>
      <w:r>
        <w:rPr>
          <w:spacing w:val="-8"/>
          <w:sz w:val="18"/>
          <w:szCs w:val="18"/>
          <w:lang w:val="es-ES_tradnl"/>
        </w:rPr>
        <w:t>n, pues, el acto impugnado, dentro de dicha garant</w:t>
      </w:r>
      <w:r>
        <w:rPr>
          <w:rFonts w:cs="Times New Roman"/>
          <w:spacing w:val="-8"/>
          <w:sz w:val="18"/>
          <w:szCs w:val="18"/>
          <w:lang w:val="es-ES_tradnl"/>
        </w:rPr>
        <w:t>í</w:t>
      </w:r>
      <w:r>
        <w:rPr>
          <w:spacing w:val="-8"/>
          <w:sz w:val="18"/>
          <w:szCs w:val="18"/>
          <w:lang w:val="es-ES_tradnl"/>
        </w:rPr>
        <w:t>a, se habr</w:t>
      </w:r>
      <w:r>
        <w:rPr>
          <w:rFonts w:cs="Times New Roman"/>
          <w:spacing w:val="-8"/>
          <w:sz w:val="18"/>
          <w:szCs w:val="18"/>
          <w:lang w:val="es-ES_tradnl"/>
        </w:rPr>
        <w:t>í</w:t>
      </w:r>
      <w:r>
        <w:rPr>
          <w:spacing w:val="-8"/>
          <w:sz w:val="18"/>
          <w:szCs w:val="18"/>
          <w:lang w:val="es-ES_tradnl"/>
        </w:rPr>
        <w:t xml:space="preserve">a extinguido una vez que se dio inicio al segundo concurso para nombrar registrador </w:t>
      </w:r>
      <w:r>
        <w:rPr>
          <w:spacing w:val="-9"/>
          <w:sz w:val="18"/>
          <w:szCs w:val="18"/>
          <w:lang w:val="es-ES_tradnl"/>
        </w:rPr>
        <w:t>de la propiedad del cant</w:t>
      </w:r>
      <w:r>
        <w:rPr>
          <w:rFonts w:cs="Times New Roman"/>
          <w:spacing w:val="-9"/>
          <w:sz w:val="18"/>
          <w:szCs w:val="18"/>
          <w:lang w:val="es-ES_tradnl"/>
        </w:rPr>
        <w:t>ó</w:t>
      </w:r>
      <w:r>
        <w:rPr>
          <w:spacing w:val="-9"/>
          <w:sz w:val="18"/>
          <w:szCs w:val="18"/>
          <w:lang w:val="es-ES_tradnl"/>
        </w:rPr>
        <w:t xml:space="preserve">n Chaguarpamba, toda vez que el </w:t>
      </w:r>
      <w:r>
        <w:rPr>
          <w:spacing w:val="-10"/>
          <w:sz w:val="18"/>
          <w:szCs w:val="18"/>
          <w:lang w:val="es-ES_tradnl"/>
        </w:rPr>
        <w:t>accionante no present</w:t>
      </w:r>
      <w:r>
        <w:rPr>
          <w:rFonts w:cs="Times New Roman"/>
          <w:spacing w:val="-10"/>
          <w:sz w:val="18"/>
          <w:szCs w:val="18"/>
          <w:lang w:val="es-ES_tradnl"/>
        </w:rPr>
        <w:t>ó</w:t>
      </w:r>
      <w:r>
        <w:rPr>
          <w:spacing w:val="-10"/>
          <w:sz w:val="18"/>
          <w:szCs w:val="18"/>
          <w:lang w:val="es-ES_tradnl"/>
        </w:rPr>
        <w:t xml:space="preserve"> dicha acci</w:t>
      </w:r>
      <w:r>
        <w:rPr>
          <w:rFonts w:cs="Times New Roman"/>
          <w:spacing w:val="-10"/>
          <w:sz w:val="18"/>
          <w:szCs w:val="18"/>
          <w:lang w:val="es-ES_tradnl"/>
        </w:rPr>
        <w:t>ó</w:t>
      </w:r>
      <w:r>
        <w:rPr>
          <w:spacing w:val="-10"/>
          <w:sz w:val="18"/>
          <w:szCs w:val="18"/>
          <w:lang w:val="es-ES_tradnl"/>
        </w:rPr>
        <w:t xml:space="preserve">n una vez dictada el acta </w:t>
      </w:r>
      <w:r>
        <w:rPr>
          <w:spacing w:val="-9"/>
          <w:sz w:val="18"/>
          <w:szCs w:val="18"/>
          <w:lang w:val="es-ES_tradnl"/>
        </w:rPr>
        <w:t>de verificaci</w:t>
      </w:r>
      <w:r>
        <w:rPr>
          <w:rFonts w:cs="Times New Roman"/>
          <w:spacing w:val="-9"/>
          <w:sz w:val="18"/>
          <w:szCs w:val="18"/>
          <w:lang w:val="es-ES_tradnl"/>
        </w:rPr>
        <w:t>ó</w:t>
      </w:r>
      <w:r>
        <w:rPr>
          <w:spacing w:val="-9"/>
          <w:sz w:val="18"/>
          <w:szCs w:val="18"/>
          <w:lang w:val="es-ES_tradnl"/>
        </w:rPr>
        <w:t>n de requisitos en donde se le descalific</w:t>
      </w:r>
      <w:r>
        <w:rPr>
          <w:rFonts w:cs="Times New Roman"/>
          <w:spacing w:val="-9"/>
          <w:sz w:val="18"/>
          <w:szCs w:val="18"/>
          <w:lang w:val="es-ES_tradnl"/>
        </w:rPr>
        <w:t>ó</w:t>
      </w:r>
      <w:r>
        <w:rPr>
          <w:spacing w:val="-9"/>
          <w:sz w:val="18"/>
          <w:szCs w:val="18"/>
          <w:lang w:val="es-ES_tradnl"/>
        </w:rPr>
        <w:t xml:space="preserve"> bajo </w:t>
      </w:r>
      <w:r>
        <w:rPr>
          <w:spacing w:val="-10"/>
          <w:sz w:val="18"/>
          <w:szCs w:val="18"/>
          <w:lang w:val="es-ES_tradnl"/>
        </w:rPr>
        <w:t>una aparente vulneraci</w:t>
      </w:r>
      <w:r>
        <w:rPr>
          <w:rFonts w:cs="Times New Roman"/>
          <w:spacing w:val="-10"/>
          <w:sz w:val="18"/>
          <w:szCs w:val="18"/>
          <w:lang w:val="es-ES_tradnl"/>
        </w:rPr>
        <w:t>ó</w:t>
      </w:r>
      <w:r>
        <w:rPr>
          <w:spacing w:val="-10"/>
          <w:sz w:val="18"/>
          <w:szCs w:val="18"/>
          <w:lang w:val="es-ES_tradnl"/>
        </w:rPr>
        <w:t xml:space="preserve">n de derechos constitucionales, sino </w:t>
      </w:r>
      <w:r>
        <w:rPr>
          <w:spacing w:val="-8"/>
          <w:sz w:val="18"/>
          <w:szCs w:val="18"/>
          <w:lang w:val="es-ES_tradnl"/>
        </w:rPr>
        <w:t>que decidi</w:t>
      </w:r>
      <w:r>
        <w:rPr>
          <w:rFonts w:cs="Times New Roman"/>
          <w:spacing w:val="-8"/>
          <w:sz w:val="18"/>
          <w:szCs w:val="18"/>
          <w:lang w:val="es-ES_tradnl"/>
        </w:rPr>
        <w:t>ó</w:t>
      </w:r>
      <w:r>
        <w:rPr>
          <w:spacing w:val="-8"/>
          <w:sz w:val="18"/>
          <w:szCs w:val="18"/>
          <w:lang w:val="es-ES_tradnl"/>
        </w:rPr>
        <w:t xml:space="preserve"> en su lugar participar en el segundo concurso </w:t>
      </w:r>
      <w:r>
        <w:rPr>
          <w:spacing w:val="-7"/>
          <w:sz w:val="18"/>
          <w:szCs w:val="18"/>
          <w:lang w:val="es-ES_tradnl"/>
        </w:rPr>
        <w:t>considerando que la aparente vulneraci</w:t>
      </w:r>
      <w:r>
        <w:rPr>
          <w:rFonts w:cs="Times New Roman"/>
          <w:spacing w:val="-7"/>
          <w:sz w:val="18"/>
          <w:szCs w:val="18"/>
          <w:lang w:val="es-ES_tradnl"/>
        </w:rPr>
        <w:t>ó</w:t>
      </w:r>
      <w:r>
        <w:rPr>
          <w:spacing w:val="-7"/>
          <w:sz w:val="18"/>
          <w:szCs w:val="18"/>
          <w:lang w:val="es-ES_tradnl"/>
        </w:rPr>
        <w:t xml:space="preserve">n por la cual se </w:t>
      </w:r>
      <w:r>
        <w:rPr>
          <w:spacing w:val="-9"/>
          <w:sz w:val="18"/>
          <w:szCs w:val="18"/>
          <w:lang w:val="es-ES_tradnl"/>
        </w:rPr>
        <w:t>sent</w:t>
      </w:r>
      <w:r>
        <w:rPr>
          <w:rFonts w:cs="Times New Roman"/>
          <w:spacing w:val="-9"/>
          <w:sz w:val="18"/>
          <w:szCs w:val="18"/>
          <w:lang w:val="es-ES_tradnl"/>
        </w:rPr>
        <w:t>í</w:t>
      </w:r>
      <w:r>
        <w:rPr>
          <w:spacing w:val="-9"/>
          <w:sz w:val="18"/>
          <w:szCs w:val="18"/>
          <w:lang w:val="es-ES_tradnl"/>
        </w:rPr>
        <w:t>a afectado pod</w:t>
      </w:r>
      <w:r>
        <w:rPr>
          <w:rFonts w:cs="Times New Roman"/>
          <w:spacing w:val="-9"/>
          <w:sz w:val="18"/>
          <w:szCs w:val="18"/>
          <w:lang w:val="es-ES_tradnl"/>
        </w:rPr>
        <w:t>í</w:t>
      </w:r>
      <w:r>
        <w:rPr>
          <w:spacing w:val="-9"/>
          <w:sz w:val="18"/>
          <w:szCs w:val="18"/>
          <w:lang w:val="es-ES_tradnl"/>
        </w:rPr>
        <w:t>a subsanarse a trav</w:t>
      </w:r>
      <w:r>
        <w:rPr>
          <w:rFonts w:cs="Times New Roman"/>
          <w:spacing w:val="-9"/>
          <w:sz w:val="18"/>
          <w:szCs w:val="18"/>
          <w:lang w:val="es-ES_tradnl"/>
        </w:rPr>
        <w:t>é</w:t>
      </w:r>
      <w:r>
        <w:rPr>
          <w:spacing w:val="-9"/>
          <w:sz w:val="18"/>
          <w:szCs w:val="18"/>
          <w:lang w:val="es-ES_tradnl"/>
        </w:rPr>
        <w:t xml:space="preserve">s del segundo </w:t>
      </w:r>
      <w:r>
        <w:rPr>
          <w:spacing w:val="-7"/>
          <w:sz w:val="18"/>
          <w:szCs w:val="18"/>
          <w:lang w:val="es-ES_tradnl"/>
        </w:rPr>
        <w:t xml:space="preserve">concurso. Asimismo, estamos frente a un caso en donde </w:t>
      </w:r>
      <w:r>
        <w:rPr>
          <w:spacing w:val="-11"/>
          <w:sz w:val="18"/>
          <w:szCs w:val="18"/>
          <w:lang w:val="es-ES_tradnl"/>
        </w:rPr>
        <w:t>habi</w:t>
      </w:r>
      <w:r>
        <w:rPr>
          <w:rFonts w:cs="Times New Roman"/>
          <w:spacing w:val="-11"/>
          <w:sz w:val="18"/>
          <w:szCs w:val="18"/>
          <w:lang w:val="es-ES_tradnl"/>
        </w:rPr>
        <w:t>é</w:t>
      </w:r>
      <w:r>
        <w:rPr>
          <w:spacing w:val="-11"/>
          <w:sz w:val="18"/>
          <w:szCs w:val="18"/>
          <w:lang w:val="es-ES_tradnl"/>
        </w:rPr>
        <w:t>ndose dictado una reparaci</w:t>
      </w:r>
      <w:r>
        <w:rPr>
          <w:rFonts w:cs="Times New Roman"/>
          <w:spacing w:val="-11"/>
          <w:sz w:val="18"/>
          <w:szCs w:val="18"/>
          <w:lang w:val="es-ES_tradnl"/>
        </w:rPr>
        <w:t>ó</w:t>
      </w:r>
      <w:r>
        <w:rPr>
          <w:spacing w:val="-11"/>
          <w:sz w:val="18"/>
          <w:szCs w:val="18"/>
          <w:lang w:val="es-ES_tradnl"/>
        </w:rPr>
        <w:t>n integral a fin de subsanar</w:t>
      </w:r>
    </w:p>
    <w:p w14:paraId="4F67B2A8" w14:textId="77777777" w:rsidR="00591D54" w:rsidRDefault="00591D54">
      <w:pPr>
        <w:shd w:val="clear" w:color="auto" w:fill="FFFFFF"/>
        <w:spacing w:line="216" w:lineRule="exact"/>
        <w:ind w:right="5"/>
        <w:jc w:val="both"/>
      </w:pPr>
      <w:r>
        <w:br w:type="column"/>
      </w:r>
      <w:r>
        <w:rPr>
          <w:spacing w:val="-8"/>
          <w:sz w:val="18"/>
          <w:szCs w:val="18"/>
          <w:lang w:val="es-ES_tradnl"/>
        </w:rPr>
        <w:t>la vulneraci</w:t>
      </w:r>
      <w:r>
        <w:rPr>
          <w:rFonts w:cs="Times New Roman"/>
          <w:spacing w:val="-8"/>
          <w:sz w:val="18"/>
          <w:szCs w:val="18"/>
          <w:lang w:val="es-ES_tradnl"/>
        </w:rPr>
        <w:t>ó</w:t>
      </w:r>
      <w:r>
        <w:rPr>
          <w:spacing w:val="-8"/>
          <w:sz w:val="18"/>
          <w:szCs w:val="18"/>
          <w:lang w:val="es-ES_tradnl"/>
        </w:rPr>
        <w:t>n de derechos de un ciudadano se estar</w:t>
      </w:r>
      <w:r>
        <w:rPr>
          <w:rFonts w:cs="Times New Roman"/>
          <w:spacing w:val="-8"/>
          <w:sz w:val="18"/>
          <w:szCs w:val="18"/>
          <w:lang w:val="es-ES_tradnl"/>
        </w:rPr>
        <w:t>í</w:t>
      </w:r>
      <w:r>
        <w:rPr>
          <w:spacing w:val="-8"/>
          <w:sz w:val="18"/>
          <w:szCs w:val="18"/>
          <w:lang w:val="es-ES_tradnl"/>
        </w:rPr>
        <w:t xml:space="preserve">a por </w:t>
      </w:r>
      <w:r>
        <w:rPr>
          <w:spacing w:val="-7"/>
          <w:sz w:val="18"/>
          <w:szCs w:val="18"/>
          <w:lang w:val="es-ES_tradnl"/>
        </w:rPr>
        <w:t xml:space="preserve">otro lado, desconociendo el derecho de un tercero, pues </w:t>
      </w:r>
      <w:r>
        <w:rPr>
          <w:spacing w:val="-9"/>
          <w:sz w:val="18"/>
          <w:szCs w:val="18"/>
          <w:lang w:val="es-ES_tradnl"/>
        </w:rPr>
        <w:t>conforme se desprende de los hechos, dentro del segundo concurso existi</w:t>
      </w:r>
      <w:r>
        <w:rPr>
          <w:rFonts w:cs="Times New Roman"/>
          <w:spacing w:val="-9"/>
          <w:sz w:val="18"/>
          <w:szCs w:val="18"/>
          <w:lang w:val="es-ES_tradnl"/>
        </w:rPr>
        <w:t>ó</w:t>
      </w:r>
      <w:r>
        <w:rPr>
          <w:spacing w:val="-9"/>
          <w:sz w:val="18"/>
          <w:szCs w:val="18"/>
          <w:lang w:val="es-ES_tradnl"/>
        </w:rPr>
        <w:t xml:space="preserve"> un ganador para el cargo de registrador de </w:t>
      </w:r>
      <w:r>
        <w:rPr>
          <w:spacing w:val="-8"/>
          <w:sz w:val="18"/>
          <w:szCs w:val="18"/>
          <w:lang w:val="es-ES_tradnl"/>
        </w:rPr>
        <w:t>la propiedad el cual, fue posesionado dentro de un proceso que se presume leg</w:t>
      </w:r>
      <w:r>
        <w:rPr>
          <w:rFonts w:cs="Times New Roman"/>
          <w:spacing w:val="-8"/>
          <w:sz w:val="18"/>
          <w:szCs w:val="18"/>
          <w:lang w:val="es-ES_tradnl"/>
        </w:rPr>
        <w:t>í</w:t>
      </w:r>
      <w:r>
        <w:rPr>
          <w:spacing w:val="-8"/>
          <w:sz w:val="18"/>
          <w:szCs w:val="18"/>
          <w:lang w:val="es-ES_tradnl"/>
        </w:rPr>
        <w:t xml:space="preserve">timo pues el mismo no fue materia de </w:t>
      </w:r>
      <w:r>
        <w:rPr>
          <w:sz w:val="18"/>
          <w:szCs w:val="18"/>
          <w:lang w:val="es-ES_tradnl"/>
        </w:rPr>
        <w:t>impugnaci</w:t>
      </w:r>
      <w:r>
        <w:rPr>
          <w:rFonts w:cs="Times New Roman"/>
          <w:sz w:val="18"/>
          <w:szCs w:val="18"/>
          <w:lang w:val="es-ES_tradnl"/>
        </w:rPr>
        <w:t>ó</w:t>
      </w:r>
      <w:r>
        <w:rPr>
          <w:sz w:val="18"/>
          <w:szCs w:val="18"/>
          <w:lang w:val="es-ES_tradnl"/>
        </w:rPr>
        <w:t>n.</w:t>
      </w:r>
    </w:p>
    <w:p w14:paraId="4F67B2A9" w14:textId="77777777" w:rsidR="00591D54" w:rsidRDefault="00591D54">
      <w:pPr>
        <w:shd w:val="clear" w:color="auto" w:fill="FFFFFF"/>
        <w:spacing w:before="197" w:line="216" w:lineRule="exact"/>
        <w:ind w:right="5"/>
        <w:jc w:val="both"/>
      </w:pPr>
      <w:r>
        <w:rPr>
          <w:spacing w:val="-6"/>
          <w:sz w:val="18"/>
          <w:szCs w:val="18"/>
          <w:lang w:val="es-ES_tradnl"/>
        </w:rPr>
        <w:t>Con respecto al primer punto se</w:t>
      </w:r>
      <w:r>
        <w:rPr>
          <w:rFonts w:cs="Times New Roman"/>
          <w:spacing w:val="-6"/>
          <w:sz w:val="18"/>
          <w:szCs w:val="18"/>
          <w:lang w:val="es-ES_tradnl"/>
        </w:rPr>
        <w:t>ñ</w:t>
      </w:r>
      <w:r>
        <w:rPr>
          <w:spacing w:val="-6"/>
          <w:sz w:val="18"/>
          <w:szCs w:val="18"/>
          <w:lang w:val="es-ES_tradnl"/>
        </w:rPr>
        <w:t xml:space="preserve">alado, esta Corte ve </w:t>
      </w:r>
      <w:r>
        <w:rPr>
          <w:spacing w:val="-7"/>
          <w:sz w:val="18"/>
          <w:szCs w:val="18"/>
          <w:lang w:val="es-ES_tradnl"/>
        </w:rPr>
        <w:t>oportuno manifestar que la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 xml:space="preserve">n, tal como </w:t>
      </w:r>
      <w:r>
        <w:rPr>
          <w:spacing w:val="-8"/>
          <w:sz w:val="18"/>
          <w:szCs w:val="18"/>
          <w:lang w:val="es-ES_tradnl"/>
        </w:rPr>
        <w:t>lo dispone el art</w:t>
      </w:r>
      <w:r>
        <w:rPr>
          <w:rFonts w:cs="Times New Roman"/>
          <w:spacing w:val="-8"/>
          <w:sz w:val="18"/>
          <w:szCs w:val="18"/>
          <w:lang w:val="es-ES_tradnl"/>
        </w:rPr>
        <w:t>í</w:t>
      </w:r>
      <w:r>
        <w:rPr>
          <w:spacing w:val="-8"/>
          <w:sz w:val="18"/>
          <w:szCs w:val="18"/>
          <w:lang w:val="es-ES_tradnl"/>
        </w:rPr>
        <w:t>culo 88 de la Constituci</w:t>
      </w:r>
      <w:r>
        <w:rPr>
          <w:rFonts w:cs="Times New Roman"/>
          <w:spacing w:val="-8"/>
          <w:sz w:val="18"/>
          <w:szCs w:val="18"/>
          <w:lang w:val="es-ES_tradnl"/>
        </w:rPr>
        <w:t>ó</w:t>
      </w:r>
      <w:r>
        <w:rPr>
          <w:spacing w:val="-8"/>
          <w:sz w:val="18"/>
          <w:szCs w:val="18"/>
          <w:lang w:val="es-ES_tradnl"/>
        </w:rPr>
        <w:t>n de la Rep</w:t>
      </w:r>
      <w:r>
        <w:rPr>
          <w:rFonts w:cs="Times New Roman"/>
          <w:spacing w:val="-8"/>
          <w:sz w:val="18"/>
          <w:szCs w:val="18"/>
          <w:lang w:val="es-ES_tradnl"/>
        </w:rPr>
        <w:t>ú</w:t>
      </w:r>
      <w:r>
        <w:rPr>
          <w:spacing w:val="-8"/>
          <w:sz w:val="18"/>
          <w:szCs w:val="18"/>
          <w:lang w:val="es-ES_tradnl"/>
        </w:rPr>
        <w:t xml:space="preserve">blica, </w:t>
      </w:r>
      <w:r>
        <w:rPr>
          <w:spacing w:val="-5"/>
          <w:sz w:val="18"/>
          <w:szCs w:val="18"/>
          <w:lang w:val="es-ES_tradnl"/>
        </w:rPr>
        <w:t xml:space="preserve">procura el amparo </w:t>
      </w:r>
      <w:r>
        <w:rPr>
          <w:rFonts w:cs="Times New Roman"/>
          <w:i/>
          <w:iCs/>
          <w:spacing w:val="-5"/>
          <w:sz w:val="18"/>
          <w:szCs w:val="18"/>
          <w:lang w:val="es-ES_tradnl"/>
        </w:rPr>
        <w:t>“</w:t>
      </w:r>
      <w:r>
        <w:rPr>
          <w:spacing w:val="-5"/>
          <w:sz w:val="18"/>
          <w:szCs w:val="18"/>
          <w:lang w:val="es-ES_tradnl"/>
        </w:rPr>
        <w:t xml:space="preserve">directo y eficaz de los derechos </w:t>
      </w:r>
      <w:r>
        <w:rPr>
          <w:spacing w:val="-10"/>
          <w:sz w:val="18"/>
          <w:szCs w:val="18"/>
          <w:lang w:val="es-ES_tradnl"/>
        </w:rPr>
        <w:t>reconocidos en la Constituci</w:t>
      </w:r>
      <w:r>
        <w:rPr>
          <w:rFonts w:cs="Times New Roman"/>
          <w:spacing w:val="-10"/>
          <w:sz w:val="18"/>
          <w:szCs w:val="18"/>
          <w:lang w:val="es-ES_tradnl"/>
        </w:rPr>
        <w:t>ó</w:t>
      </w:r>
      <w:r>
        <w:rPr>
          <w:spacing w:val="-10"/>
          <w:sz w:val="18"/>
          <w:szCs w:val="18"/>
          <w:lang w:val="es-ES_tradnl"/>
        </w:rPr>
        <w:t>n</w:t>
      </w:r>
      <w:r>
        <w:rPr>
          <w:rFonts w:cs="Times New Roman"/>
          <w:spacing w:val="-10"/>
          <w:sz w:val="18"/>
          <w:szCs w:val="18"/>
          <w:lang w:val="es-ES_tradnl"/>
        </w:rPr>
        <w:t>”</w:t>
      </w:r>
      <w:r>
        <w:rPr>
          <w:spacing w:val="-10"/>
          <w:sz w:val="18"/>
          <w:szCs w:val="18"/>
          <w:lang w:val="es-ES_tradnl"/>
        </w:rPr>
        <w:t xml:space="preserve"> y puede presentarse cuando </w:t>
      </w:r>
      <w:r>
        <w:rPr>
          <w:spacing w:val="-6"/>
          <w:sz w:val="18"/>
          <w:szCs w:val="18"/>
          <w:lang w:val="es-ES_tradnl"/>
        </w:rPr>
        <w:t>existe vulneraci</w:t>
      </w:r>
      <w:r>
        <w:rPr>
          <w:rFonts w:cs="Times New Roman"/>
          <w:spacing w:val="-6"/>
          <w:sz w:val="18"/>
          <w:szCs w:val="18"/>
          <w:lang w:val="es-ES_tradnl"/>
        </w:rPr>
        <w:t>ó</w:t>
      </w:r>
      <w:r>
        <w:rPr>
          <w:spacing w:val="-6"/>
          <w:sz w:val="18"/>
          <w:szCs w:val="18"/>
          <w:lang w:val="es-ES_tradnl"/>
        </w:rPr>
        <w:t xml:space="preserve">n de derechos constitucionales. A criterio </w:t>
      </w:r>
      <w:r>
        <w:rPr>
          <w:spacing w:val="-8"/>
          <w:sz w:val="18"/>
          <w:szCs w:val="18"/>
          <w:lang w:val="es-ES_tradnl"/>
        </w:rPr>
        <w:t>de esta Corte</w:t>
      </w:r>
      <w:r>
        <w:rPr>
          <w:spacing w:val="-8"/>
          <w:sz w:val="18"/>
          <w:szCs w:val="18"/>
          <w:vertAlign w:val="superscript"/>
          <w:lang w:val="es-ES_tradnl"/>
        </w:rPr>
        <w:t>4</w:t>
      </w:r>
      <w:r>
        <w:rPr>
          <w:spacing w:val="-8"/>
          <w:sz w:val="18"/>
          <w:szCs w:val="18"/>
          <w:lang w:val="es-ES_tradnl"/>
        </w:rPr>
        <w:t>, esta garant</w:t>
      </w:r>
      <w:r>
        <w:rPr>
          <w:rFonts w:cs="Times New Roman"/>
          <w:spacing w:val="-8"/>
          <w:sz w:val="18"/>
          <w:szCs w:val="18"/>
          <w:lang w:val="es-ES_tradnl"/>
        </w:rPr>
        <w:t>í</w:t>
      </w:r>
      <w:r>
        <w:rPr>
          <w:spacing w:val="-8"/>
          <w:sz w:val="18"/>
          <w:szCs w:val="18"/>
          <w:lang w:val="es-ES_tradnl"/>
        </w:rPr>
        <w:t xml:space="preserve">a no solo refl eja la voluntad del constituyente de dotar a los ciudadanos de un mecanismo </w:t>
      </w:r>
      <w:r>
        <w:rPr>
          <w:spacing w:val="-5"/>
          <w:sz w:val="18"/>
          <w:szCs w:val="18"/>
          <w:lang w:val="es-ES_tradnl"/>
        </w:rPr>
        <w:t xml:space="preserve">eficaz en la tutela de sus derechos constitucionales que </w:t>
      </w:r>
      <w:r>
        <w:rPr>
          <w:spacing w:val="-7"/>
          <w:sz w:val="18"/>
          <w:szCs w:val="18"/>
          <w:lang w:val="es-ES_tradnl"/>
        </w:rPr>
        <w:t>no se encuentren protegidos por otro tipo de garant</w:t>
      </w:r>
      <w:r>
        <w:rPr>
          <w:rFonts w:cs="Times New Roman"/>
          <w:spacing w:val="-7"/>
          <w:sz w:val="18"/>
          <w:szCs w:val="18"/>
          <w:lang w:val="es-ES_tradnl"/>
        </w:rPr>
        <w:t>í</w:t>
      </w:r>
      <w:r>
        <w:rPr>
          <w:spacing w:val="-7"/>
          <w:sz w:val="18"/>
          <w:szCs w:val="18"/>
          <w:lang w:val="es-ES_tradnl"/>
        </w:rPr>
        <w:t xml:space="preserve">as </w:t>
      </w:r>
      <w:r>
        <w:rPr>
          <w:spacing w:val="-9"/>
          <w:sz w:val="18"/>
          <w:szCs w:val="18"/>
          <w:lang w:val="es-ES_tradnl"/>
        </w:rPr>
        <w:t>jurisdiccionales, sino, adem</w:t>
      </w:r>
      <w:r>
        <w:rPr>
          <w:rFonts w:cs="Times New Roman"/>
          <w:spacing w:val="-9"/>
          <w:sz w:val="18"/>
          <w:szCs w:val="18"/>
          <w:lang w:val="es-ES_tradnl"/>
        </w:rPr>
        <w:t>á</w:t>
      </w:r>
      <w:r>
        <w:rPr>
          <w:spacing w:val="-9"/>
          <w:sz w:val="18"/>
          <w:szCs w:val="18"/>
          <w:lang w:val="es-ES_tradnl"/>
        </w:rPr>
        <w:t>s, representa la materializaci</w:t>
      </w:r>
      <w:r>
        <w:rPr>
          <w:rFonts w:cs="Times New Roman"/>
          <w:spacing w:val="-9"/>
          <w:sz w:val="18"/>
          <w:szCs w:val="18"/>
          <w:lang w:val="es-ES_tradnl"/>
        </w:rPr>
        <w:t>ó</w:t>
      </w:r>
      <w:r>
        <w:rPr>
          <w:spacing w:val="-9"/>
          <w:sz w:val="18"/>
          <w:szCs w:val="18"/>
          <w:lang w:val="es-ES_tradnl"/>
        </w:rPr>
        <w:t xml:space="preserve">n </w:t>
      </w:r>
      <w:r>
        <w:rPr>
          <w:spacing w:val="-7"/>
          <w:sz w:val="18"/>
          <w:szCs w:val="18"/>
          <w:lang w:val="es-ES_tradnl"/>
        </w:rPr>
        <w:t>del derecho a la protecci</w:t>
      </w:r>
      <w:r>
        <w:rPr>
          <w:rFonts w:cs="Times New Roman"/>
          <w:spacing w:val="-7"/>
          <w:sz w:val="18"/>
          <w:szCs w:val="18"/>
          <w:lang w:val="es-ES_tradnl"/>
        </w:rPr>
        <w:t>ó</w:t>
      </w:r>
      <w:r>
        <w:rPr>
          <w:spacing w:val="-7"/>
          <w:sz w:val="18"/>
          <w:szCs w:val="18"/>
          <w:lang w:val="es-ES_tradnl"/>
        </w:rPr>
        <w:t xml:space="preserve">n judicial efectiva, establecido en </w:t>
      </w:r>
      <w:r>
        <w:rPr>
          <w:spacing w:val="-6"/>
          <w:sz w:val="18"/>
          <w:szCs w:val="18"/>
          <w:lang w:val="es-ES_tradnl"/>
        </w:rPr>
        <w:t>el art</w:t>
      </w:r>
      <w:r>
        <w:rPr>
          <w:rFonts w:cs="Times New Roman"/>
          <w:spacing w:val="-6"/>
          <w:sz w:val="18"/>
          <w:szCs w:val="18"/>
          <w:lang w:val="es-ES_tradnl"/>
        </w:rPr>
        <w:t>í</w:t>
      </w:r>
      <w:r>
        <w:rPr>
          <w:spacing w:val="-6"/>
          <w:sz w:val="18"/>
          <w:szCs w:val="18"/>
          <w:lang w:val="es-ES_tradnl"/>
        </w:rPr>
        <w:t>culo 25 de la Convenci</w:t>
      </w:r>
      <w:r>
        <w:rPr>
          <w:rFonts w:cs="Times New Roman"/>
          <w:spacing w:val="-6"/>
          <w:sz w:val="18"/>
          <w:szCs w:val="18"/>
          <w:lang w:val="es-ES_tradnl"/>
        </w:rPr>
        <w:t>ó</w:t>
      </w:r>
      <w:r>
        <w:rPr>
          <w:spacing w:val="-6"/>
          <w:sz w:val="18"/>
          <w:szCs w:val="18"/>
          <w:lang w:val="es-ES_tradnl"/>
        </w:rPr>
        <w:t xml:space="preserve">n Americana de Derechos </w:t>
      </w:r>
      <w:r>
        <w:rPr>
          <w:spacing w:val="-2"/>
          <w:sz w:val="18"/>
          <w:szCs w:val="18"/>
          <w:lang w:val="es-ES_tradnl"/>
        </w:rPr>
        <w:t>Humanos, el cual se</w:t>
      </w:r>
      <w:r>
        <w:rPr>
          <w:rFonts w:cs="Times New Roman"/>
          <w:spacing w:val="-2"/>
          <w:sz w:val="18"/>
          <w:szCs w:val="18"/>
          <w:lang w:val="es-ES_tradnl"/>
        </w:rPr>
        <w:t>ñ</w:t>
      </w:r>
      <w:r>
        <w:rPr>
          <w:spacing w:val="-2"/>
          <w:sz w:val="18"/>
          <w:szCs w:val="18"/>
          <w:lang w:val="es-ES_tradnl"/>
        </w:rPr>
        <w:t xml:space="preserve">ala: </w:t>
      </w:r>
      <w:r>
        <w:rPr>
          <w:rFonts w:cs="Times New Roman"/>
          <w:spacing w:val="-2"/>
          <w:sz w:val="18"/>
          <w:szCs w:val="18"/>
          <w:lang w:val="es-ES_tradnl"/>
        </w:rPr>
        <w:t>“</w:t>
      </w:r>
      <w:r>
        <w:rPr>
          <w:spacing w:val="-2"/>
          <w:sz w:val="18"/>
          <w:szCs w:val="18"/>
          <w:lang w:val="es-ES_tradnl"/>
        </w:rPr>
        <w:t xml:space="preserve">Toda persona tiene derecho </w:t>
      </w:r>
      <w:r>
        <w:rPr>
          <w:spacing w:val="-5"/>
          <w:sz w:val="18"/>
          <w:szCs w:val="18"/>
          <w:lang w:val="es-ES_tradnl"/>
        </w:rPr>
        <w:t>a un recurso sencillo y r</w:t>
      </w:r>
      <w:r>
        <w:rPr>
          <w:rFonts w:cs="Times New Roman"/>
          <w:spacing w:val="-5"/>
          <w:sz w:val="18"/>
          <w:szCs w:val="18"/>
          <w:lang w:val="es-ES_tradnl"/>
        </w:rPr>
        <w:t>á</w:t>
      </w:r>
      <w:r>
        <w:rPr>
          <w:spacing w:val="-5"/>
          <w:sz w:val="18"/>
          <w:szCs w:val="18"/>
          <w:lang w:val="es-ES_tradnl"/>
        </w:rPr>
        <w:t xml:space="preserve">pido o a cualquier otro recurso </w:t>
      </w:r>
      <w:r>
        <w:rPr>
          <w:spacing w:val="-7"/>
          <w:sz w:val="18"/>
          <w:szCs w:val="18"/>
          <w:lang w:val="es-ES_tradnl"/>
        </w:rPr>
        <w:t xml:space="preserve">efectivo ante los jueces o tribunales competentes, que la </w:t>
      </w:r>
      <w:r>
        <w:rPr>
          <w:spacing w:val="-11"/>
          <w:sz w:val="18"/>
          <w:szCs w:val="18"/>
          <w:lang w:val="es-ES_tradnl"/>
        </w:rPr>
        <w:t xml:space="preserve">ampare contra actos que violen sus derechos fundamentales </w:t>
      </w:r>
      <w:r>
        <w:rPr>
          <w:spacing w:val="-5"/>
          <w:sz w:val="18"/>
          <w:szCs w:val="18"/>
          <w:lang w:val="es-ES_tradnl"/>
        </w:rPr>
        <w:t>reconocidos por la Constituci</w:t>
      </w:r>
      <w:r>
        <w:rPr>
          <w:rFonts w:cs="Times New Roman"/>
          <w:spacing w:val="-5"/>
          <w:sz w:val="18"/>
          <w:szCs w:val="18"/>
          <w:lang w:val="es-ES_tradnl"/>
        </w:rPr>
        <w:t>ó</w:t>
      </w:r>
      <w:r>
        <w:rPr>
          <w:spacing w:val="-5"/>
          <w:sz w:val="18"/>
          <w:szCs w:val="18"/>
          <w:lang w:val="es-ES_tradnl"/>
        </w:rPr>
        <w:t xml:space="preserve">n, la ley o la presente </w:t>
      </w:r>
      <w:r>
        <w:rPr>
          <w:spacing w:val="-6"/>
          <w:sz w:val="18"/>
          <w:szCs w:val="18"/>
          <w:lang w:val="es-ES_tradnl"/>
        </w:rPr>
        <w:t>Convenci</w:t>
      </w:r>
      <w:r>
        <w:rPr>
          <w:rFonts w:cs="Times New Roman"/>
          <w:spacing w:val="-6"/>
          <w:sz w:val="18"/>
          <w:szCs w:val="18"/>
          <w:lang w:val="es-ES_tradnl"/>
        </w:rPr>
        <w:t>ó</w:t>
      </w:r>
      <w:r>
        <w:rPr>
          <w:spacing w:val="-6"/>
          <w:sz w:val="18"/>
          <w:szCs w:val="18"/>
          <w:lang w:val="es-ES_tradnl"/>
        </w:rPr>
        <w:t>n, aun cuando tal violaci</w:t>
      </w:r>
      <w:r>
        <w:rPr>
          <w:rFonts w:cs="Times New Roman"/>
          <w:spacing w:val="-6"/>
          <w:sz w:val="18"/>
          <w:szCs w:val="18"/>
          <w:lang w:val="es-ES_tradnl"/>
        </w:rPr>
        <w:t>ó</w:t>
      </w:r>
      <w:r>
        <w:rPr>
          <w:spacing w:val="-6"/>
          <w:sz w:val="18"/>
          <w:szCs w:val="18"/>
          <w:lang w:val="es-ES_tradnl"/>
        </w:rPr>
        <w:t xml:space="preserve">n sea cometida por </w:t>
      </w:r>
      <w:r>
        <w:rPr>
          <w:spacing w:val="-11"/>
          <w:sz w:val="18"/>
          <w:szCs w:val="18"/>
          <w:lang w:val="es-ES_tradnl"/>
        </w:rPr>
        <w:t>personas que act</w:t>
      </w:r>
      <w:r>
        <w:rPr>
          <w:rFonts w:cs="Times New Roman"/>
          <w:spacing w:val="-11"/>
          <w:sz w:val="18"/>
          <w:szCs w:val="18"/>
          <w:lang w:val="es-ES_tradnl"/>
        </w:rPr>
        <w:t>ú</w:t>
      </w:r>
      <w:r>
        <w:rPr>
          <w:spacing w:val="-11"/>
          <w:sz w:val="18"/>
          <w:szCs w:val="18"/>
          <w:lang w:val="es-ES_tradnl"/>
        </w:rPr>
        <w:t>en en ejercicio de sus funciones oficiales</w:t>
      </w:r>
      <w:r>
        <w:rPr>
          <w:rFonts w:cs="Times New Roman"/>
          <w:spacing w:val="-11"/>
          <w:sz w:val="18"/>
          <w:szCs w:val="18"/>
          <w:lang w:val="es-ES_tradnl"/>
        </w:rPr>
        <w:t>”</w:t>
      </w:r>
      <w:r>
        <w:rPr>
          <w:spacing w:val="-11"/>
          <w:sz w:val="18"/>
          <w:szCs w:val="18"/>
          <w:lang w:val="es-ES_tradnl"/>
        </w:rPr>
        <w:t xml:space="preserve">. </w:t>
      </w:r>
      <w:r>
        <w:rPr>
          <w:spacing w:val="-9"/>
          <w:sz w:val="18"/>
          <w:szCs w:val="18"/>
          <w:lang w:val="es-ES_tradnl"/>
        </w:rPr>
        <w:t>Por lo tanto, toda persona podr</w:t>
      </w:r>
      <w:r>
        <w:rPr>
          <w:rFonts w:cs="Times New Roman"/>
          <w:spacing w:val="-9"/>
          <w:sz w:val="18"/>
          <w:szCs w:val="18"/>
          <w:lang w:val="es-ES_tradnl"/>
        </w:rPr>
        <w:t>á</w:t>
      </w:r>
      <w:r>
        <w:rPr>
          <w:spacing w:val="-9"/>
          <w:sz w:val="18"/>
          <w:szCs w:val="18"/>
          <w:lang w:val="es-ES_tradnl"/>
        </w:rPr>
        <w:t xml:space="preserve"> hacer uso de esta garant</w:t>
      </w:r>
      <w:r>
        <w:rPr>
          <w:rFonts w:cs="Times New Roman"/>
          <w:spacing w:val="-9"/>
          <w:sz w:val="18"/>
          <w:szCs w:val="18"/>
          <w:lang w:val="es-ES_tradnl"/>
        </w:rPr>
        <w:t>í</w:t>
      </w:r>
      <w:r>
        <w:rPr>
          <w:spacing w:val="-9"/>
          <w:sz w:val="18"/>
          <w:szCs w:val="18"/>
          <w:lang w:val="es-ES_tradnl"/>
        </w:rPr>
        <w:t xml:space="preserve">a </w:t>
      </w:r>
      <w:r>
        <w:rPr>
          <w:spacing w:val="-7"/>
          <w:sz w:val="18"/>
          <w:szCs w:val="18"/>
          <w:lang w:val="es-ES_tradnl"/>
        </w:rPr>
        <w:t>jurisdiccional a fin de reclamar la vulneraci</w:t>
      </w:r>
      <w:r>
        <w:rPr>
          <w:rFonts w:cs="Times New Roman"/>
          <w:spacing w:val="-7"/>
          <w:sz w:val="18"/>
          <w:szCs w:val="18"/>
          <w:lang w:val="es-ES_tradnl"/>
        </w:rPr>
        <w:t>ó</w:t>
      </w:r>
      <w:r>
        <w:rPr>
          <w:spacing w:val="-7"/>
          <w:sz w:val="18"/>
          <w:szCs w:val="18"/>
          <w:lang w:val="es-ES_tradnl"/>
        </w:rPr>
        <w:t xml:space="preserve">n de derechos </w:t>
      </w:r>
      <w:r>
        <w:rPr>
          <w:spacing w:val="-5"/>
          <w:sz w:val="18"/>
          <w:szCs w:val="18"/>
          <w:lang w:val="es-ES_tradnl"/>
        </w:rPr>
        <w:t>que un acto u omisi</w:t>
      </w:r>
      <w:r>
        <w:rPr>
          <w:rFonts w:cs="Times New Roman"/>
          <w:spacing w:val="-5"/>
          <w:sz w:val="18"/>
          <w:szCs w:val="18"/>
          <w:lang w:val="es-ES_tradnl"/>
        </w:rPr>
        <w:t>ó</w:t>
      </w:r>
      <w:r>
        <w:rPr>
          <w:spacing w:val="-5"/>
          <w:sz w:val="18"/>
          <w:szCs w:val="18"/>
          <w:lang w:val="es-ES_tradnl"/>
        </w:rPr>
        <w:t>n de la autoridad p</w:t>
      </w:r>
      <w:r>
        <w:rPr>
          <w:rFonts w:cs="Times New Roman"/>
          <w:spacing w:val="-5"/>
          <w:sz w:val="18"/>
          <w:szCs w:val="18"/>
          <w:lang w:val="es-ES_tradnl"/>
        </w:rPr>
        <w:t>ú</w:t>
      </w:r>
      <w:r>
        <w:rPr>
          <w:spacing w:val="-5"/>
          <w:sz w:val="18"/>
          <w:szCs w:val="18"/>
          <w:lang w:val="es-ES_tradnl"/>
        </w:rPr>
        <w:t xml:space="preserve">blica no judicial </w:t>
      </w:r>
      <w:r>
        <w:rPr>
          <w:sz w:val="18"/>
          <w:szCs w:val="18"/>
          <w:lang w:val="es-ES_tradnl"/>
        </w:rPr>
        <w:t>haya generado en su contra.</w:t>
      </w:r>
    </w:p>
    <w:p w14:paraId="4F67B2AA" w14:textId="77777777" w:rsidR="00591D54" w:rsidRDefault="00591D54">
      <w:pPr>
        <w:shd w:val="clear" w:color="auto" w:fill="FFFFFF"/>
        <w:spacing w:before="197" w:line="216" w:lineRule="exact"/>
        <w:jc w:val="both"/>
      </w:pPr>
      <w:r>
        <w:rPr>
          <w:spacing w:val="-5"/>
          <w:sz w:val="18"/>
          <w:szCs w:val="18"/>
          <w:lang w:val="es-ES_tradnl"/>
        </w:rPr>
        <w:t xml:space="preserve">En tal sentido, si bien la ley no establece un plazo para </w:t>
      </w:r>
      <w:r>
        <w:rPr>
          <w:spacing w:val="-6"/>
          <w:sz w:val="18"/>
          <w:szCs w:val="18"/>
          <w:lang w:val="es-ES_tradnl"/>
        </w:rPr>
        <w:t>interponer dicha acci</w:t>
      </w:r>
      <w:r>
        <w:rPr>
          <w:rFonts w:cs="Times New Roman"/>
          <w:spacing w:val="-6"/>
          <w:sz w:val="18"/>
          <w:szCs w:val="18"/>
          <w:lang w:val="es-ES_tradnl"/>
        </w:rPr>
        <w:t>ó</w:t>
      </w:r>
      <w:r>
        <w:rPr>
          <w:spacing w:val="-6"/>
          <w:sz w:val="18"/>
          <w:szCs w:val="18"/>
          <w:lang w:val="es-ES_tradnl"/>
        </w:rPr>
        <w:t>n desde que la acci</w:t>
      </w:r>
      <w:r>
        <w:rPr>
          <w:rFonts w:cs="Times New Roman"/>
          <w:spacing w:val="-6"/>
          <w:sz w:val="18"/>
          <w:szCs w:val="18"/>
          <w:lang w:val="es-ES_tradnl"/>
        </w:rPr>
        <w:t>ó</w:t>
      </w:r>
      <w:r>
        <w:rPr>
          <w:spacing w:val="-6"/>
          <w:sz w:val="18"/>
          <w:szCs w:val="18"/>
          <w:lang w:val="es-ES_tradnl"/>
        </w:rPr>
        <w:t>n u omisi</w:t>
      </w:r>
      <w:r>
        <w:rPr>
          <w:rFonts w:cs="Times New Roman"/>
          <w:spacing w:val="-6"/>
          <w:sz w:val="18"/>
          <w:szCs w:val="18"/>
          <w:lang w:val="es-ES_tradnl"/>
        </w:rPr>
        <w:t>ó</w:t>
      </w:r>
      <w:r>
        <w:rPr>
          <w:spacing w:val="-6"/>
          <w:sz w:val="18"/>
          <w:szCs w:val="18"/>
          <w:lang w:val="es-ES_tradnl"/>
        </w:rPr>
        <w:t xml:space="preserve">n </w:t>
      </w:r>
      <w:r>
        <w:rPr>
          <w:spacing w:val="-10"/>
          <w:sz w:val="18"/>
          <w:szCs w:val="18"/>
          <w:lang w:val="es-ES_tradnl"/>
        </w:rPr>
        <w:t>habr</w:t>
      </w:r>
      <w:r>
        <w:rPr>
          <w:rFonts w:cs="Times New Roman"/>
          <w:spacing w:val="-10"/>
          <w:sz w:val="18"/>
          <w:szCs w:val="18"/>
          <w:lang w:val="es-ES_tradnl"/>
        </w:rPr>
        <w:t>í</w:t>
      </w:r>
      <w:r>
        <w:rPr>
          <w:spacing w:val="-10"/>
          <w:sz w:val="18"/>
          <w:szCs w:val="18"/>
          <w:lang w:val="es-ES_tradnl"/>
        </w:rPr>
        <w:t xml:space="preserve">an vulnerado derechos constitucionales, la procedencia </w:t>
      </w:r>
      <w:r>
        <w:rPr>
          <w:spacing w:val="-8"/>
          <w:sz w:val="18"/>
          <w:szCs w:val="18"/>
          <w:lang w:val="es-ES_tradnl"/>
        </w:rPr>
        <w:t>de la misma depender</w:t>
      </w:r>
      <w:r>
        <w:rPr>
          <w:rFonts w:cs="Times New Roman"/>
          <w:spacing w:val="-8"/>
          <w:sz w:val="18"/>
          <w:szCs w:val="18"/>
          <w:lang w:val="es-ES_tradnl"/>
        </w:rPr>
        <w:t>á</w:t>
      </w:r>
      <w:r>
        <w:rPr>
          <w:spacing w:val="-8"/>
          <w:sz w:val="18"/>
          <w:szCs w:val="18"/>
          <w:lang w:val="es-ES_tradnl"/>
        </w:rPr>
        <w:t xml:space="preserve"> de si dicho acto u omisi</w:t>
      </w:r>
      <w:r>
        <w:rPr>
          <w:rFonts w:cs="Times New Roman"/>
          <w:spacing w:val="-8"/>
          <w:sz w:val="18"/>
          <w:szCs w:val="18"/>
          <w:lang w:val="es-ES_tradnl"/>
        </w:rPr>
        <w:t>ó</w:t>
      </w:r>
      <w:r>
        <w:rPr>
          <w:spacing w:val="-8"/>
          <w:sz w:val="18"/>
          <w:szCs w:val="18"/>
          <w:lang w:val="es-ES_tradnl"/>
        </w:rPr>
        <w:t xml:space="preserve">n continua </w:t>
      </w:r>
      <w:r>
        <w:rPr>
          <w:spacing w:val="-5"/>
          <w:sz w:val="18"/>
          <w:szCs w:val="18"/>
          <w:lang w:val="es-ES_tradnl"/>
        </w:rPr>
        <w:t xml:space="preserve">vulnerando un derecho y a su vez si es factible alcanzar </w:t>
      </w:r>
      <w:r>
        <w:rPr>
          <w:spacing w:val="-8"/>
          <w:sz w:val="18"/>
          <w:szCs w:val="18"/>
          <w:lang w:val="es-ES_tradnl"/>
        </w:rPr>
        <w:t>una reparaci</w:t>
      </w:r>
      <w:r>
        <w:rPr>
          <w:rFonts w:cs="Times New Roman"/>
          <w:spacing w:val="-8"/>
          <w:sz w:val="18"/>
          <w:szCs w:val="18"/>
          <w:lang w:val="es-ES_tradnl"/>
        </w:rPr>
        <w:t>ó</w:t>
      </w:r>
      <w:r>
        <w:rPr>
          <w:spacing w:val="-8"/>
          <w:sz w:val="18"/>
          <w:szCs w:val="18"/>
          <w:lang w:val="es-ES_tradnl"/>
        </w:rPr>
        <w:t>n integral a dicha vulneraci</w:t>
      </w:r>
      <w:r>
        <w:rPr>
          <w:rFonts w:cs="Times New Roman"/>
          <w:spacing w:val="-8"/>
          <w:sz w:val="18"/>
          <w:szCs w:val="18"/>
          <w:lang w:val="es-ES_tradnl"/>
        </w:rPr>
        <w:t>ó</w:t>
      </w:r>
      <w:r>
        <w:rPr>
          <w:spacing w:val="-8"/>
          <w:sz w:val="18"/>
          <w:szCs w:val="18"/>
          <w:lang w:val="es-ES_tradnl"/>
        </w:rPr>
        <w:t>n. Al respecto, es importante tomar en consideraci</w:t>
      </w:r>
      <w:r>
        <w:rPr>
          <w:rFonts w:cs="Times New Roman"/>
          <w:spacing w:val="-8"/>
          <w:sz w:val="18"/>
          <w:szCs w:val="18"/>
          <w:lang w:val="es-ES_tradnl"/>
        </w:rPr>
        <w:t>ó</w:t>
      </w:r>
      <w:r>
        <w:rPr>
          <w:spacing w:val="-8"/>
          <w:sz w:val="18"/>
          <w:szCs w:val="18"/>
          <w:lang w:val="es-ES_tradnl"/>
        </w:rPr>
        <w:t xml:space="preserve">n disposiciones como las </w:t>
      </w:r>
      <w:r>
        <w:rPr>
          <w:spacing w:val="-4"/>
          <w:sz w:val="18"/>
          <w:szCs w:val="18"/>
          <w:lang w:val="es-ES_tradnl"/>
        </w:rPr>
        <w:t>previstas en el art</w:t>
      </w:r>
      <w:r>
        <w:rPr>
          <w:rFonts w:cs="Times New Roman"/>
          <w:spacing w:val="-4"/>
          <w:sz w:val="18"/>
          <w:szCs w:val="18"/>
          <w:lang w:val="es-ES_tradnl"/>
        </w:rPr>
        <w:t>í</w:t>
      </w:r>
      <w:r>
        <w:rPr>
          <w:spacing w:val="-4"/>
          <w:sz w:val="18"/>
          <w:szCs w:val="18"/>
          <w:lang w:val="es-ES_tradnl"/>
        </w:rPr>
        <w:t>culo 42 numeral 2 de la Ley Org</w:t>
      </w:r>
      <w:r>
        <w:rPr>
          <w:rFonts w:cs="Times New Roman"/>
          <w:spacing w:val="-4"/>
          <w:sz w:val="18"/>
          <w:szCs w:val="18"/>
          <w:lang w:val="es-ES_tradnl"/>
        </w:rPr>
        <w:t>á</w:t>
      </w:r>
      <w:r>
        <w:rPr>
          <w:spacing w:val="-4"/>
          <w:sz w:val="18"/>
          <w:szCs w:val="18"/>
          <w:lang w:val="es-ES_tradnl"/>
        </w:rPr>
        <w:t xml:space="preserve">nica </w:t>
      </w:r>
      <w:r>
        <w:rPr>
          <w:spacing w:val="-8"/>
          <w:sz w:val="18"/>
          <w:szCs w:val="18"/>
          <w:lang w:val="es-ES_tradnl"/>
        </w:rPr>
        <w:t>de Garant</w:t>
      </w:r>
      <w:r>
        <w:rPr>
          <w:rFonts w:cs="Times New Roman"/>
          <w:spacing w:val="-8"/>
          <w:sz w:val="18"/>
          <w:szCs w:val="18"/>
          <w:lang w:val="es-ES_tradnl"/>
        </w:rPr>
        <w:t>í</w:t>
      </w:r>
      <w:r>
        <w:rPr>
          <w:spacing w:val="-8"/>
          <w:sz w:val="18"/>
          <w:szCs w:val="18"/>
          <w:lang w:val="es-ES_tradnl"/>
        </w:rPr>
        <w:t xml:space="preserve">as Jurisdiccionales y Control Constitucional a fin </w:t>
      </w:r>
      <w:r>
        <w:rPr>
          <w:spacing w:val="-7"/>
          <w:sz w:val="18"/>
          <w:szCs w:val="18"/>
          <w:lang w:val="es-ES_tradnl"/>
        </w:rPr>
        <w:t>de establecer un par</w:t>
      </w:r>
      <w:r>
        <w:rPr>
          <w:rFonts w:cs="Times New Roman"/>
          <w:spacing w:val="-7"/>
          <w:sz w:val="18"/>
          <w:szCs w:val="18"/>
          <w:lang w:val="es-ES_tradnl"/>
        </w:rPr>
        <w:t>á</w:t>
      </w:r>
      <w:r>
        <w:rPr>
          <w:spacing w:val="-7"/>
          <w:sz w:val="18"/>
          <w:szCs w:val="18"/>
          <w:lang w:val="es-ES_tradnl"/>
        </w:rPr>
        <w:t>metro por el cual se podr</w:t>
      </w:r>
      <w:r>
        <w:rPr>
          <w:rFonts w:cs="Times New Roman"/>
          <w:spacing w:val="-7"/>
          <w:sz w:val="18"/>
          <w:szCs w:val="18"/>
          <w:lang w:val="es-ES_tradnl"/>
        </w:rPr>
        <w:t>á</w:t>
      </w:r>
      <w:r>
        <w:rPr>
          <w:spacing w:val="-7"/>
          <w:sz w:val="18"/>
          <w:szCs w:val="18"/>
          <w:lang w:val="es-ES_tradnl"/>
        </w:rPr>
        <w:t xml:space="preserve"> identificar </w:t>
      </w:r>
      <w:r>
        <w:rPr>
          <w:spacing w:val="-6"/>
          <w:sz w:val="18"/>
          <w:szCs w:val="18"/>
          <w:lang w:val="es-ES_tradnl"/>
        </w:rPr>
        <w:t>y medir la procedencia y oportunidad de la acci</w:t>
      </w:r>
      <w:r>
        <w:rPr>
          <w:rFonts w:cs="Times New Roman"/>
          <w:spacing w:val="-6"/>
          <w:sz w:val="18"/>
          <w:szCs w:val="18"/>
          <w:lang w:val="es-ES_tradnl"/>
        </w:rPr>
        <w:t>ó</w:t>
      </w:r>
      <w:r>
        <w:rPr>
          <w:spacing w:val="-6"/>
          <w:sz w:val="18"/>
          <w:szCs w:val="18"/>
          <w:lang w:val="es-ES_tradnl"/>
        </w:rPr>
        <w:t xml:space="preserve">n de </w:t>
      </w:r>
      <w:r>
        <w:rPr>
          <w:spacing w:val="-4"/>
          <w:sz w:val="18"/>
          <w:szCs w:val="18"/>
          <w:lang w:val="es-ES_tradnl"/>
        </w:rPr>
        <w:t>protecci</w:t>
      </w:r>
      <w:r>
        <w:rPr>
          <w:rFonts w:cs="Times New Roman"/>
          <w:spacing w:val="-4"/>
          <w:sz w:val="18"/>
          <w:szCs w:val="18"/>
          <w:lang w:val="es-ES_tradnl"/>
        </w:rPr>
        <w:t>ó</w:t>
      </w:r>
      <w:r>
        <w:rPr>
          <w:spacing w:val="-4"/>
          <w:sz w:val="18"/>
          <w:szCs w:val="18"/>
          <w:lang w:val="es-ES_tradnl"/>
        </w:rPr>
        <w:t>n, a fin de que se reconozca la vulneraci</w:t>
      </w:r>
      <w:r>
        <w:rPr>
          <w:rFonts w:cs="Times New Roman"/>
          <w:spacing w:val="-4"/>
          <w:sz w:val="18"/>
          <w:szCs w:val="18"/>
          <w:lang w:val="es-ES_tradnl"/>
        </w:rPr>
        <w:t>ó</w:t>
      </w:r>
      <w:r>
        <w:rPr>
          <w:spacing w:val="-4"/>
          <w:sz w:val="18"/>
          <w:szCs w:val="18"/>
          <w:lang w:val="es-ES_tradnl"/>
        </w:rPr>
        <w:t xml:space="preserve">n de </w:t>
      </w:r>
      <w:r>
        <w:rPr>
          <w:spacing w:val="-6"/>
          <w:sz w:val="18"/>
          <w:szCs w:val="18"/>
          <w:lang w:val="es-ES_tradnl"/>
        </w:rPr>
        <w:t>un derecho pero principalmente, se logre una reparaci</w:t>
      </w:r>
      <w:r>
        <w:rPr>
          <w:rFonts w:cs="Times New Roman"/>
          <w:spacing w:val="-6"/>
          <w:sz w:val="18"/>
          <w:szCs w:val="18"/>
          <w:lang w:val="es-ES_tradnl"/>
        </w:rPr>
        <w:t>ó</w:t>
      </w:r>
      <w:r>
        <w:rPr>
          <w:spacing w:val="-6"/>
          <w:sz w:val="18"/>
          <w:szCs w:val="18"/>
          <w:lang w:val="es-ES_tradnl"/>
        </w:rPr>
        <w:t>n integral, entendi</w:t>
      </w:r>
      <w:r>
        <w:rPr>
          <w:rFonts w:cs="Times New Roman"/>
          <w:spacing w:val="-6"/>
          <w:sz w:val="18"/>
          <w:szCs w:val="18"/>
          <w:lang w:val="es-ES_tradnl"/>
        </w:rPr>
        <w:t>é</w:t>
      </w:r>
      <w:r>
        <w:rPr>
          <w:spacing w:val="-6"/>
          <w:sz w:val="18"/>
          <w:szCs w:val="18"/>
          <w:lang w:val="es-ES_tradnl"/>
        </w:rPr>
        <w:t xml:space="preserve">ndose a esta como el objetivo principal </w:t>
      </w:r>
      <w:r>
        <w:rPr>
          <w:sz w:val="18"/>
          <w:szCs w:val="18"/>
          <w:lang w:val="es-ES_tradnl"/>
        </w:rPr>
        <w:t>dentro de la acci</w:t>
      </w:r>
      <w:r>
        <w:rPr>
          <w:rFonts w:cs="Times New Roman"/>
          <w:sz w:val="18"/>
          <w:szCs w:val="18"/>
          <w:lang w:val="es-ES_tradnl"/>
        </w:rPr>
        <w:t>ó</w:t>
      </w:r>
      <w:r>
        <w:rPr>
          <w:sz w:val="18"/>
          <w:szCs w:val="18"/>
          <w:lang w:val="es-ES_tradnl"/>
        </w:rPr>
        <w:t>n de protecci</w:t>
      </w:r>
      <w:r>
        <w:rPr>
          <w:rFonts w:cs="Times New Roman"/>
          <w:sz w:val="18"/>
          <w:szCs w:val="18"/>
          <w:lang w:val="es-ES_tradnl"/>
        </w:rPr>
        <w:t>ó</w:t>
      </w:r>
      <w:r>
        <w:rPr>
          <w:sz w:val="18"/>
          <w:szCs w:val="18"/>
          <w:lang w:val="es-ES_tradnl"/>
        </w:rPr>
        <w:t>n.</w:t>
      </w:r>
    </w:p>
    <w:p w14:paraId="4F67B2AB" w14:textId="77777777" w:rsidR="00591D54" w:rsidRDefault="00591D54">
      <w:pPr>
        <w:shd w:val="clear" w:color="auto" w:fill="FFFFFF"/>
        <w:spacing w:before="192" w:line="216" w:lineRule="exact"/>
        <w:ind w:right="5"/>
        <w:jc w:val="both"/>
      </w:pPr>
      <w:r>
        <w:rPr>
          <w:spacing w:val="-8"/>
          <w:sz w:val="18"/>
          <w:szCs w:val="18"/>
          <w:lang w:val="es-ES_tradnl"/>
        </w:rPr>
        <w:t>En este sentido, el art</w:t>
      </w:r>
      <w:r>
        <w:rPr>
          <w:rFonts w:cs="Times New Roman"/>
          <w:spacing w:val="-8"/>
          <w:sz w:val="18"/>
          <w:szCs w:val="18"/>
          <w:lang w:val="es-ES_tradnl"/>
        </w:rPr>
        <w:t>í</w:t>
      </w:r>
      <w:r>
        <w:rPr>
          <w:spacing w:val="-8"/>
          <w:sz w:val="18"/>
          <w:szCs w:val="18"/>
          <w:lang w:val="es-ES_tradnl"/>
        </w:rPr>
        <w:t xml:space="preserve">culo 42 establece las circunstancias </w:t>
      </w:r>
      <w:r>
        <w:rPr>
          <w:spacing w:val="-11"/>
          <w:sz w:val="18"/>
          <w:szCs w:val="18"/>
          <w:lang w:val="es-ES_tradnl"/>
        </w:rPr>
        <w:t>por las cuales no procede la acci</w:t>
      </w:r>
      <w:r>
        <w:rPr>
          <w:rFonts w:cs="Times New Roman"/>
          <w:spacing w:val="-11"/>
          <w:sz w:val="18"/>
          <w:szCs w:val="18"/>
          <w:lang w:val="es-ES_tradnl"/>
        </w:rPr>
        <w:t>ó</w:t>
      </w:r>
      <w:r>
        <w:rPr>
          <w:spacing w:val="-11"/>
          <w:sz w:val="18"/>
          <w:szCs w:val="18"/>
          <w:lang w:val="es-ES_tradnl"/>
        </w:rPr>
        <w:t>n de protecci</w:t>
      </w:r>
      <w:r>
        <w:rPr>
          <w:rFonts w:cs="Times New Roman"/>
          <w:spacing w:val="-11"/>
          <w:sz w:val="18"/>
          <w:szCs w:val="18"/>
          <w:lang w:val="es-ES_tradnl"/>
        </w:rPr>
        <w:t>ó</w:t>
      </w:r>
      <w:r>
        <w:rPr>
          <w:spacing w:val="-11"/>
          <w:sz w:val="18"/>
          <w:szCs w:val="18"/>
          <w:lang w:val="es-ES_tradnl"/>
        </w:rPr>
        <w:t xml:space="preserve">n, entre esas </w:t>
      </w:r>
      <w:r>
        <w:rPr>
          <w:spacing w:val="-5"/>
          <w:sz w:val="18"/>
          <w:szCs w:val="18"/>
          <w:lang w:val="es-ES_tradnl"/>
        </w:rPr>
        <w:t xml:space="preserve">aquella establecida en el numeral segundo: </w:t>
      </w:r>
      <w:r>
        <w:rPr>
          <w:rFonts w:cs="Times New Roman"/>
          <w:spacing w:val="-5"/>
          <w:sz w:val="18"/>
          <w:szCs w:val="18"/>
          <w:lang w:val="es-ES_tradnl"/>
        </w:rPr>
        <w:t>“</w:t>
      </w:r>
      <w:r>
        <w:rPr>
          <w:spacing w:val="-5"/>
          <w:sz w:val="18"/>
          <w:szCs w:val="18"/>
          <w:lang w:val="es-ES_tradnl"/>
        </w:rPr>
        <w:t xml:space="preserve">Art. 42.- La </w:t>
      </w:r>
      <w:r>
        <w:rPr>
          <w:spacing w:val="-7"/>
          <w:sz w:val="18"/>
          <w:szCs w:val="18"/>
          <w:lang w:val="es-ES_tradnl"/>
        </w:rPr>
        <w:t>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 xml:space="preserve">n de derechos no procede: 2. Cuando </w:t>
      </w:r>
      <w:r>
        <w:rPr>
          <w:spacing w:val="-9"/>
          <w:sz w:val="18"/>
          <w:szCs w:val="18"/>
          <w:lang w:val="es-ES_tradnl"/>
        </w:rPr>
        <w:t>los actos hayan sido revocados o extinguidos, salvo que de tales actos se deriven da</w:t>
      </w:r>
      <w:r>
        <w:rPr>
          <w:rFonts w:cs="Times New Roman"/>
          <w:spacing w:val="-9"/>
          <w:sz w:val="18"/>
          <w:szCs w:val="18"/>
          <w:lang w:val="es-ES_tradnl"/>
        </w:rPr>
        <w:t>ñ</w:t>
      </w:r>
      <w:r>
        <w:rPr>
          <w:spacing w:val="-9"/>
          <w:sz w:val="18"/>
          <w:szCs w:val="18"/>
          <w:lang w:val="es-ES_tradnl"/>
        </w:rPr>
        <w:t>os susceptibles de reparaci</w:t>
      </w:r>
      <w:r>
        <w:rPr>
          <w:rFonts w:cs="Times New Roman"/>
          <w:spacing w:val="-9"/>
          <w:sz w:val="18"/>
          <w:szCs w:val="18"/>
          <w:lang w:val="es-ES_tradnl"/>
        </w:rPr>
        <w:t>ó</w:t>
      </w:r>
      <w:r>
        <w:rPr>
          <w:spacing w:val="-9"/>
          <w:sz w:val="18"/>
          <w:szCs w:val="18"/>
          <w:lang w:val="es-ES_tradnl"/>
        </w:rPr>
        <w:t>n</w:t>
      </w:r>
      <w:r>
        <w:rPr>
          <w:rFonts w:cs="Times New Roman"/>
          <w:spacing w:val="-9"/>
          <w:sz w:val="18"/>
          <w:szCs w:val="18"/>
          <w:lang w:val="es-ES_tradnl"/>
        </w:rPr>
        <w:t>”</w:t>
      </w:r>
      <w:r>
        <w:rPr>
          <w:spacing w:val="-9"/>
          <w:sz w:val="18"/>
          <w:szCs w:val="18"/>
          <w:lang w:val="es-ES_tradnl"/>
        </w:rPr>
        <w:t>.</w:t>
      </w:r>
    </w:p>
    <w:p w14:paraId="4F67B2AC" w14:textId="77777777" w:rsidR="00591D54" w:rsidRDefault="00591D54">
      <w:pPr>
        <w:shd w:val="clear" w:color="auto" w:fill="FFFFFF"/>
        <w:spacing w:before="192" w:line="216" w:lineRule="exact"/>
        <w:ind w:right="5"/>
        <w:jc w:val="both"/>
      </w:pPr>
      <w:r>
        <w:rPr>
          <w:spacing w:val="-6"/>
          <w:sz w:val="18"/>
          <w:szCs w:val="18"/>
          <w:lang w:val="es-ES_tradnl"/>
        </w:rPr>
        <w:t>Del art</w:t>
      </w:r>
      <w:r>
        <w:rPr>
          <w:rFonts w:cs="Times New Roman"/>
          <w:spacing w:val="-6"/>
          <w:sz w:val="18"/>
          <w:szCs w:val="18"/>
          <w:lang w:val="es-ES_tradnl"/>
        </w:rPr>
        <w:t>í</w:t>
      </w:r>
      <w:r>
        <w:rPr>
          <w:spacing w:val="-6"/>
          <w:sz w:val="18"/>
          <w:szCs w:val="18"/>
          <w:lang w:val="es-ES_tradnl"/>
        </w:rPr>
        <w:t xml:space="preserve">culo citado se desprende en primer lugar que la </w:t>
      </w:r>
      <w:r>
        <w:rPr>
          <w:spacing w:val="-3"/>
          <w:sz w:val="18"/>
          <w:szCs w:val="18"/>
          <w:lang w:val="es-ES_tradnl"/>
        </w:rPr>
        <w:t>procedencia de la acci</w:t>
      </w:r>
      <w:r>
        <w:rPr>
          <w:rFonts w:cs="Times New Roman"/>
          <w:spacing w:val="-3"/>
          <w:sz w:val="18"/>
          <w:szCs w:val="18"/>
          <w:lang w:val="es-ES_tradnl"/>
        </w:rPr>
        <w:t>ó</w:t>
      </w:r>
      <w:r>
        <w:rPr>
          <w:spacing w:val="-3"/>
          <w:sz w:val="18"/>
          <w:szCs w:val="18"/>
          <w:lang w:val="es-ES_tradnl"/>
        </w:rPr>
        <w:t>n de protecci</w:t>
      </w:r>
      <w:r>
        <w:rPr>
          <w:rFonts w:cs="Times New Roman"/>
          <w:spacing w:val="-3"/>
          <w:sz w:val="18"/>
          <w:szCs w:val="18"/>
          <w:lang w:val="es-ES_tradnl"/>
        </w:rPr>
        <w:t>ó</w:t>
      </w:r>
      <w:r>
        <w:rPr>
          <w:spacing w:val="-3"/>
          <w:sz w:val="18"/>
          <w:szCs w:val="18"/>
          <w:lang w:val="es-ES_tradnl"/>
        </w:rPr>
        <w:t>n est</w:t>
      </w:r>
      <w:r>
        <w:rPr>
          <w:rFonts w:cs="Times New Roman"/>
          <w:spacing w:val="-3"/>
          <w:sz w:val="18"/>
          <w:szCs w:val="18"/>
          <w:lang w:val="es-ES_tradnl"/>
        </w:rPr>
        <w:t>á</w:t>
      </w:r>
      <w:r>
        <w:rPr>
          <w:spacing w:val="-3"/>
          <w:sz w:val="18"/>
          <w:szCs w:val="18"/>
          <w:lang w:val="es-ES_tradnl"/>
        </w:rPr>
        <w:t xml:space="preserve"> supeditada </w:t>
      </w:r>
      <w:r>
        <w:rPr>
          <w:spacing w:val="-5"/>
          <w:sz w:val="18"/>
          <w:szCs w:val="18"/>
          <w:lang w:val="es-ES_tradnl"/>
        </w:rPr>
        <w:t>a que el acto por el cual se habr</w:t>
      </w:r>
      <w:r>
        <w:rPr>
          <w:rFonts w:cs="Times New Roman"/>
          <w:spacing w:val="-5"/>
          <w:sz w:val="18"/>
          <w:szCs w:val="18"/>
          <w:lang w:val="es-ES_tradnl"/>
        </w:rPr>
        <w:t>í</w:t>
      </w:r>
      <w:r>
        <w:rPr>
          <w:spacing w:val="-5"/>
          <w:sz w:val="18"/>
          <w:szCs w:val="18"/>
          <w:lang w:val="es-ES_tradnl"/>
        </w:rPr>
        <w:t>a vulnerado un derecho</w:t>
      </w:r>
    </w:p>
    <w:p w14:paraId="4F67B2AD" w14:textId="77777777" w:rsidR="00591D54" w:rsidRDefault="00591D54">
      <w:pPr>
        <w:shd w:val="clear" w:color="auto" w:fill="FFFFFF"/>
        <w:spacing w:before="509" w:line="178" w:lineRule="exact"/>
        <w:ind w:left="144" w:hanging="144"/>
      </w:pPr>
      <w:r>
        <w:rPr>
          <w:sz w:val="16"/>
          <w:szCs w:val="16"/>
          <w:vertAlign w:val="superscript"/>
          <w:lang w:val="es-ES_tradnl"/>
        </w:rPr>
        <w:t>4</w:t>
      </w:r>
      <w:r>
        <w:rPr>
          <w:sz w:val="16"/>
          <w:szCs w:val="16"/>
          <w:lang w:val="es-ES_tradnl"/>
        </w:rPr>
        <w:t xml:space="preserve">  </w:t>
      </w:r>
      <w:r>
        <w:rPr>
          <w:spacing w:val="-8"/>
          <w:sz w:val="16"/>
          <w:szCs w:val="16"/>
          <w:lang w:val="es-ES_tradnl"/>
        </w:rPr>
        <w:t>Corte Constitucional del Ecuador, Sentencia N.</w:t>
      </w:r>
      <w:r>
        <w:rPr>
          <w:rFonts w:cs="Times New Roman"/>
          <w:spacing w:val="-8"/>
          <w:sz w:val="16"/>
          <w:szCs w:val="16"/>
          <w:lang w:val="es-ES_tradnl"/>
        </w:rPr>
        <w:t>º</w:t>
      </w:r>
      <w:r>
        <w:rPr>
          <w:spacing w:val="-8"/>
          <w:sz w:val="16"/>
          <w:szCs w:val="16"/>
          <w:lang w:val="es-ES_tradnl"/>
        </w:rPr>
        <w:t xml:space="preserve"> 090-14-SEP-CC, </w:t>
      </w:r>
      <w:r>
        <w:rPr>
          <w:sz w:val="16"/>
          <w:szCs w:val="16"/>
          <w:lang w:val="es-ES_tradnl"/>
        </w:rPr>
        <w:t>caso N.</w:t>
      </w:r>
      <w:r>
        <w:rPr>
          <w:rFonts w:cs="Times New Roman"/>
          <w:sz w:val="16"/>
          <w:szCs w:val="16"/>
          <w:lang w:val="es-ES_tradnl"/>
        </w:rPr>
        <w:t>º</w:t>
      </w:r>
      <w:r>
        <w:rPr>
          <w:sz w:val="16"/>
          <w:szCs w:val="16"/>
          <w:lang w:val="es-ES_tradnl"/>
        </w:rPr>
        <w:t xml:space="preserve"> 1141-11-E</w:t>
      </w:r>
    </w:p>
    <w:p w14:paraId="4F67B2AE" w14:textId="77777777" w:rsidR="00591D54" w:rsidRDefault="00591D54">
      <w:pPr>
        <w:shd w:val="clear" w:color="auto" w:fill="FFFFFF"/>
        <w:spacing w:before="509" w:line="178" w:lineRule="exact"/>
        <w:ind w:left="144" w:hanging="144"/>
        <w:sectPr w:rsidR="00591D54">
          <w:type w:val="continuous"/>
          <w:pgSz w:w="11909" w:h="16834"/>
          <w:pgMar w:top="1359" w:right="1304" w:bottom="360" w:left="1308" w:header="720" w:footer="720" w:gutter="0"/>
          <w:cols w:num="2" w:space="720" w:equalWidth="0">
            <w:col w:w="4305" w:space="682"/>
            <w:col w:w="4310"/>
          </w:cols>
          <w:noEndnote/>
        </w:sectPr>
      </w:pPr>
    </w:p>
    <w:p w14:paraId="4F67B2AF" w14:textId="77777777" w:rsidR="00591D54" w:rsidRDefault="00591D54">
      <w:pPr>
        <w:shd w:val="clear" w:color="auto" w:fill="FFFFFF"/>
        <w:tabs>
          <w:tab w:val="left" w:pos="4814"/>
        </w:tabs>
        <w:spacing w:after="235"/>
        <w:ind w:left="14"/>
      </w:pPr>
      <w:r>
        <w:rPr>
          <w:b/>
          <w:bCs/>
          <w:sz w:val="18"/>
          <w:szCs w:val="18"/>
          <w:lang w:val="es-ES_tradnl"/>
        </w:rPr>
        <w:t xml:space="preserve">186 -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2B0" w14:textId="77777777" w:rsidR="00591D54" w:rsidRDefault="00591D54">
      <w:pPr>
        <w:shd w:val="clear" w:color="auto" w:fill="FFFFFF"/>
        <w:tabs>
          <w:tab w:val="left" w:pos="4814"/>
        </w:tabs>
        <w:spacing w:after="235"/>
        <w:ind w:left="14"/>
        <w:sectPr w:rsidR="00591D54">
          <w:pgSz w:w="11909" w:h="16834"/>
          <w:pgMar w:top="1356" w:right="1309" w:bottom="360" w:left="1308" w:header="720" w:footer="720" w:gutter="0"/>
          <w:cols w:space="60"/>
          <w:noEndnote/>
        </w:sectPr>
      </w:pPr>
    </w:p>
    <w:p w14:paraId="4F67B2B1" w14:textId="77777777" w:rsidR="00591D54" w:rsidRDefault="00591D54">
      <w:pPr>
        <w:shd w:val="clear" w:color="auto" w:fill="FFFFFF"/>
        <w:spacing w:line="216" w:lineRule="exact"/>
        <w:jc w:val="both"/>
      </w:pPr>
      <w:r>
        <w:rPr>
          <w:spacing w:val="-8"/>
          <w:sz w:val="18"/>
          <w:szCs w:val="18"/>
          <w:lang w:val="es-ES_tradnl"/>
        </w:rPr>
        <w:t xml:space="preserve">constitucional se encuentre vigente, de ser este el caso, el </w:t>
      </w:r>
      <w:r>
        <w:rPr>
          <w:spacing w:val="-7"/>
          <w:sz w:val="18"/>
          <w:szCs w:val="18"/>
          <w:lang w:val="es-ES_tradnl"/>
        </w:rPr>
        <w:t>juez constitucional, una vez que declare la vulneraci</w:t>
      </w:r>
      <w:r>
        <w:rPr>
          <w:rFonts w:cs="Times New Roman"/>
          <w:spacing w:val="-7"/>
          <w:sz w:val="18"/>
          <w:szCs w:val="18"/>
          <w:lang w:val="es-ES_tradnl"/>
        </w:rPr>
        <w:t>ó</w:t>
      </w:r>
      <w:r>
        <w:rPr>
          <w:spacing w:val="-7"/>
          <w:sz w:val="18"/>
          <w:szCs w:val="18"/>
          <w:lang w:val="es-ES_tradnl"/>
        </w:rPr>
        <w:t xml:space="preserve">n de </w:t>
      </w:r>
      <w:r>
        <w:rPr>
          <w:spacing w:val="-6"/>
          <w:sz w:val="18"/>
          <w:szCs w:val="18"/>
          <w:lang w:val="es-ES_tradnl"/>
        </w:rPr>
        <w:t>un derecho, no solo que dejar</w:t>
      </w:r>
      <w:r>
        <w:rPr>
          <w:rFonts w:cs="Times New Roman"/>
          <w:spacing w:val="-6"/>
          <w:sz w:val="18"/>
          <w:szCs w:val="18"/>
          <w:lang w:val="es-ES_tradnl"/>
        </w:rPr>
        <w:t>á</w:t>
      </w:r>
      <w:r>
        <w:rPr>
          <w:spacing w:val="-6"/>
          <w:sz w:val="18"/>
          <w:szCs w:val="18"/>
          <w:lang w:val="es-ES_tradnl"/>
        </w:rPr>
        <w:t xml:space="preserve"> sin efecto dicho acto sino </w:t>
      </w:r>
      <w:r>
        <w:rPr>
          <w:spacing w:val="-5"/>
          <w:sz w:val="18"/>
          <w:szCs w:val="18"/>
          <w:lang w:val="es-ES_tradnl"/>
        </w:rPr>
        <w:t>que a su vez tomar</w:t>
      </w:r>
      <w:r>
        <w:rPr>
          <w:rFonts w:cs="Times New Roman"/>
          <w:spacing w:val="-5"/>
          <w:sz w:val="18"/>
          <w:szCs w:val="18"/>
          <w:lang w:val="es-ES_tradnl"/>
        </w:rPr>
        <w:t>á</w:t>
      </w:r>
      <w:r>
        <w:rPr>
          <w:spacing w:val="-5"/>
          <w:sz w:val="18"/>
          <w:szCs w:val="18"/>
          <w:lang w:val="es-ES_tradnl"/>
        </w:rPr>
        <w:t xml:space="preserve"> las medidas correspondientes a fin de subsanar la afectaci</w:t>
      </w:r>
      <w:r>
        <w:rPr>
          <w:rFonts w:cs="Times New Roman"/>
          <w:spacing w:val="-5"/>
          <w:sz w:val="18"/>
          <w:szCs w:val="18"/>
          <w:lang w:val="es-ES_tradnl"/>
        </w:rPr>
        <w:t>ó</w:t>
      </w:r>
      <w:r>
        <w:rPr>
          <w:spacing w:val="-5"/>
          <w:sz w:val="18"/>
          <w:szCs w:val="18"/>
          <w:lang w:val="es-ES_tradnl"/>
        </w:rPr>
        <w:t xml:space="preserve">n que se haya generado, lo cual </w:t>
      </w:r>
      <w:r>
        <w:rPr>
          <w:spacing w:val="-6"/>
          <w:sz w:val="18"/>
          <w:szCs w:val="18"/>
          <w:lang w:val="es-ES_tradnl"/>
        </w:rPr>
        <w:t>se conoce como reparaci</w:t>
      </w:r>
      <w:r>
        <w:rPr>
          <w:rFonts w:cs="Times New Roman"/>
          <w:spacing w:val="-6"/>
          <w:sz w:val="18"/>
          <w:szCs w:val="18"/>
          <w:lang w:val="es-ES_tradnl"/>
        </w:rPr>
        <w:t>ó</w:t>
      </w:r>
      <w:r>
        <w:rPr>
          <w:spacing w:val="-6"/>
          <w:sz w:val="18"/>
          <w:szCs w:val="18"/>
          <w:lang w:val="es-ES_tradnl"/>
        </w:rPr>
        <w:t xml:space="preserve">n integral. Por otro lado, si la </w:t>
      </w:r>
      <w:r>
        <w:rPr>
          <w:spacing w:val="-8"/>
          <w:sz w:val="18"/>
          <w:szCs w:val="18"/>
          <w:lang w:val="es-ES_tradnl"/>
        </w:rPr>
        <w:t>acci</w:t>
      </w:r>
      <w:r>
        <w:rPr>
          <w:rFonts w:cs="Times New Roman"/>
          <w:spacing w:val="-8"/>
          <w:sz w:val="18"/>
          <w:szCs w:val="18"/>
          <w:lang w:val="es-ES_tradnl"/>
        </w:rPr>
        <w:t>ó</w:t>
      </w:r>
      <w:r>
        <w:rPr>
          <w:spacing w:val="-8"/>
          <w:sz w:val="18"/>
          <w:szCs w:val="18"/>
          <w:lang w:val="es-ES_tradnl"/>
        </w:rPr>
        <w:t>n de protecci</w:t>
      </w:r>
      <w:r>
        <w:rPr>
          <w:rFonts w:cs="Times New Roman"/>
          <w:spacing w:val="-8"/>
          <w:sz w:val="18"/>
          <w:szCs w:val="18"/>
          <w:lang w:val="es-ES_tradnl"/>
        </w:rPr>
        <w:t>ó</w:t>
      </w:r>
      <w:r>
        <w:rPr>
          <w:spacing w:val="-8"/>
          <w:sz w:val="18"/>
          <w:szCs w:val="18"/>
          <w:lang w:val="es-ES_tradnl"/>
        </w:rPr>
        <w:t xml:space="preserve">n se presenta sobre un acto revocado o </w:t>
      </w:r>
      <w:r>
        <w:rPr>
          <w:spacing w:val="-9"/>
          <w:sz w:val="18"/>
          <w:szCs w:val="18"/>
          <w:lang w:val="es-ES_tradnl"/>
        </w:rPr>
        <w:t>extinguido, la norma dispone que la acci</w:t>
      </w:r>
      <w:r>
        <w:rPr>
          <w:rFonts w:cs="Times New Roman"/>
          <w:spacing w:val="-9"/>
          <w:sz w:val="18"/>
          <w:szCs w:val="18"/>
          <w:lang w:val="es-ES_tradnl"/>
        </w:rPr>
        <w:t>ó</w:t>
      </w:r>
      <w:r>
        <w:rPr>
          <w:spacing w:val="-9"/>
          <w:sz w:val="18"/>
          <w:szCs w:val="18"/>
          <w:lang w:val="es-ES_tradnl"/>
        </w:rPr>
        <w:t>n de protecci</w:t>
      </w:r>
      <w:r>
        <w:rPr>
          <w:rFonts w:cs="Times New Roman"/>
          <w:spacing w:val="-9"/>
          <w:sz w:val="18"/>
          <w:szCs w:val="18"/>
          <w:lang w:val="es-ES_tradnl"/>
        </w:rPr>
        <w:t>ó</w:t>
      </w:r>
      <w:r>
        <w:rPr>
          <w:spacing w:val="-9"/>
          <w:sz w:val="18"/>
          <w:szCs w:val="18"/>
          <w:lang w:val="es-ES_tradnl"/>
        </w:rPr>
        <w:t xml:space="preserve">n se </w:t>
      </w:r>
      <w:r>
        <w:rPr>
          <w:spacing w:val="-10"/>
          <w:sz w:val="18"/>
          <w:szCs w:val="18"/>
          <w:lang w:val="es-ES_tradnl"/>
        </w:rPr>
        <w:t>declare improcedente, salvo que la vulneraci</w:t>
      </w:r>
      <w:r>
        <w:rPr>
          <w:rFonts w:cs="Times New Roman"/>
          <w:spacing w:val="-10"/>
          <w:sz w:val="18"/>
          <w:szCs w:val="18"/>
          <w:lang w:val="es-ES_tradnl"/>
        </w:rPr>
        <w:t>ó</w:t>
      </w:r>
      <w:r>
        <w:rPr>
          <w:spacing w:val="-10"/>
          <w:sz w:val="18"/>
          <w:szCs w:val="18"/>
          <w:lang w:val="es-ES_tradnl"/>
        </w:rPr>
        <w:t xml:space="preserve">n de derechos </w:t>
      </w:r>
      <w:r>
        <w:rPr>
          <w:spacing w:val="-13"/>
          <w:sz w:val="18"/>
          <w:szCs w:val="18"/>
          <w:lang w:val="es-ES_tradnl"/>
        </w:rPr>
        <w:t xml:space="preserve">que se haya producido sobre dicho acto pueda ser susceptible </w:t>
      </w:r>
      <w:r>
        <w:rPr>
          <w:spacing w:val="-9"/>
          <w:sz w:val="18"/>
          <w:szCs w:val="18"/>
          <w:lang w:val="es-ES_tradnl"/>
        </w:rPr>
        <w:t>de reparaci</w:t>
      </w:r>
      <w:r>
        <w:rPr>
          <w:rFonts w:cs="Times New Roman"/>
          <w:spacing w:val="-9"/>
          <w:sz w:val="18"/>
          <w:szCs w:val="18"/>
          <w:lang w:val="es-ES_tradnl"/>
        </w:rPr>
        <w:t>ó</w:t>
      </w:r>
      <w:r>
        <w:rPr>
          <w:spacing w:val="-9"/>
          <w:sz w:val="18"/>
          <w:szCs w:val="18"/>
          <w:lang w:val="es-ES_tradnl"/>
        </w:rPr>
        <w:t>n. En tal sentido, de dicha disposici</w:t>
      </w:r>
      <w:r>
        <w:rPr>
          <w:rFonts w:cs="Times New Roman"/>
          <w:spacing w:val="-9"/>
          <w:sz w:val="18"/>
          <w:szCs w:val="18"/>
          <w:lang w:val="es-ES_tradnl"/>
        </w:rPr>
        <w:t>ó</w:t>
      </w:r>
      <w:r>
        <w:rPr>
          <w:spacing w:val="-9"/>
          <w:sz w:val="18"/>
          <w:szCs w:val="18"/>
          <w:lang w:val="es-ES_tradnl"/>
        </w:rPr>
        <w:t xml:space="preserve">n se puede </w:t>
      </w:r>
      <w:r>
        <w:rPr>
          <w:spacing w:val="-7"/>
          <w:sz w:val="18"/>
          <w:szCs w:val="18"/>
          <w:lang w:val="es-ES_tradnl"/>
        </w:rPr>
        <w:t>interpretar que la vulneraci</w:t>
      </w:r>
      <w:r>
        <w:rPr>
          <w:rFonts w:cs="Times New Roman"/>
          <w:spacing w:val="-7"/>
          <w:sz w:val="18"/>
          <w:szCs w:val="18"/>
          <w:lang w:val="es-ES_tradnl"/>
        </w:rPr>
        <w:t>ó</w:t>
      </w:r>
      <w:r>
        <w:rPr>
          <w:spacing w:val="-7"/>
          <w:sz w:val="18"/>
          <w:szCs w:val="18"/>
          <w:lang w:val="es-ES_tradnl"/>
        </w:rPr>
        <w:t xml:space="preserve">n de un derecho constitucional </w:t>
      </w:r>
      <w:r>
        <w:rPr>
          <w:spacing w:val="-10"/>
          <w:sz w:val="18"/>
          <w:szCs w:val="18"/>
          <w:lang w:val="es-ES_tradnl"/>
        </w:rPr>
        <w:t xml:space="preserve">dentro de un acto que ha perdido vigencia, pierde relevancia </w:t>
      </w:r>
      <w:r>
        <w:rPr>
          <w:spacing w:val="-7"/>
          <w:sz w:val="18"/>
          <w:szCs w:val="18"/>
          <w:lang w:val="es-ES_tradnl"/>
        </w:rPr>
        <w:t>si para el momento en que se interpone la acci</w:t>
      </w:r>
      <w:r>
        <w:rPr>
          <w:rFonts w:cs="Times New Roman"/>
          <w:spacing w:val="-7"/>
          <w:sz w:val="18"/>
          <w:szCs w:val="18"/>
          <w:lang w:val="es-ES_tradnl"/>
        </w:rPr>
        <w:t>ó</w:t>
      </w:r>
      <w:r>
        <w:rPr>
          <w:spacing w:val="-7"/>
          <w:sz w:val="18"/>
          <w:szCs w:val="18"/>
          <w:lang w:val="es-ES_tradnl"/>
        </w:rPr>
        <w:t xml:space="preserve">n, resulta </w:t>
      </w:r>
      <w:r>
        <w:rPr>
          <w:spacing w:val="-8"/>
          <w:sz w:val="18"/>
          <w:szCs w:val="18"/>
          <w:lang w:val="es-ES_tradnl"/>
        </w:rPr>
        <w:t>imposible o inviable establecer una reparaci</w:t>
      </w:r>
      <w:r>
        <w:rPr>
          <w:rFonts w:cs="Times New Roman"/>
          <w:spacing w:val="-8"/>
          <w:sz w:val="18"/>
          <w:szCs w:val="18"/>
          <w:lang w:val="es-ES_tradnl"/>
        </w:rPr>
        <w:t>ó</w:t>
      </w:r>
      <w:r>
        <w:rPr>
          <w:spacing w:val="-8"/>
          <w:sz w:val="18"/>
          <w:szCs w:val="18"/>
          <w:lang w:val="es-ES_tradnl"/>
        </w:rPr>
        <w:t>n integral que permita subsanar tal vulneraci</w:t>
      </w:r>
      <w:r>
        <w:rPr>
          <w:rFonts w:cs="Times New Roman"/>
          <w:spacing w:val="-8"/>
          <w:sz w:val="18"/>
          <w:szCs w:val="18"/>
          <w:lang w:val="es-ES_tradnl"/>
        </w:rPr>
        <w:t>ó</w:t>
      </w:r>
      <w:r>
        <w:rPr>
          <w:spacing w:val="-8"/>
          <w:sz w:val="18"/>
          <w:szCs w:val="18"/>
          <w:lang w:val="es-ES_tradnl"/>
        </w:rPr>
        <w:t xml:space="preserve">n. Es decir, que atendiendo </w:t>
      </w:r>
      <w:r>
        <w:rPr>
          <w:spacing w:val="-4"/>
          <w:sz w:val="18"/>
          <w:szCs w:val="18"/>
          <w:lang w:val="es-ES_tradnl"/>
        </w:rPr>
        <w:t>al esp</w:t>
      </w:r>
      <w:r>
        <w:rPr>
          <w:rFonts w:cs="Times New Roman"/>
          <w:spacing w:val="-4"/>
          <w:sz w:val="18"/>
          <w:szCs w:val="18"/>
          <w:lang w:val="es-ES_tradnl"/>
        </w:rPr>
        <w:t>í</w:t>
      </w:r>
      <w:r>
        <w:rPr>
          <w:spacing w:val="-4"/>
          <w:sz w:val="18"/>
          <w:szCs w:val="18"/>
          <w:lang w:val="es-ES_tradnl"/>
        </w:rPr>
        <w:t>ritu de dicha norma, el legislador consider</w:t>
      </w:r>
      <w:r>
        <w:rPr>
          <w:rFonts w:cs="Times New Roman"/>
          <w:spacing w:val="-4"/>
          <w:sz w:val="18"/>
          <w:szCs w:val="18"/>
          <w:lang w:val="es-ES_tradnl"/>
        </w:rPr>
        <w:t>ó</w:t>
      </w:r>
      <w:r>
        <w:rPr>
          <w:spacing w:val="-4"/>
          <w:sz w:val="18"/>
          <w:szCs w:val="18"/>
          <w:lang w:val="es-ES_tradnl"/>
        </w:rPr>
        <w:t xml:space="preserve"> que </w:t>
      </w:r>
      <w:r>
        <w:rPr>
          <w:spacing w:val="-5"/>
          <w:sz w:val="18"/>
          <w:szCs w:val="18"/>
          <w:lang w:val="es-ES_tradnl"/>
        </w:rPr>
        <w:t>dentro de una acci</w:t>
      </w:r>
      <w:r>
        <w:rPr>
          <w:rFonts w:cs="Times New Roman"/>
          <w:spacing w:val="-5"/>
          <w:sz w:val="18"/>
          <w:szCs w:val="18"/>
          <w:lang w:val="es-ES_tradnl"/>
        </w:rPr>
        <w:t>ó</w:t>
      </w:r>
      <w:r>
        <w:rPr>
          <w:spacing w:val="-5"/>
          <w:sz w:val="18"/>
          <w:szCs w:val="18"/>
          <w:lang w:val="es-ES_tradnl"/>
        </w:rPr>
        <w:t>n de protecci</w:t>
      </w:r>
      <w:r>
        <w:rPr>
          <w:rFonts w:cs="Times New Roman"/>
          <w:spacing w:val="-5"/>
          <w:sz w:val="18"/>
          <w:szCs w:val="18"/>
          <w:lang w:val="es-ES_tradnl"/>
        </w:rPr>
        <w:t>ó</w:t>
      </w:r>
      <w:r>
        <w:rPr>
          <w:spacing w:val="-5"/>
          <w:sz w:val="18"/>
          <w:szCs w:val="18"/>
          <w:lang w:val="es-ES_tradnl"/>
        </w:rPr>
        <w:t xml:space="preserve">n, resulta insuficiente </w:t>
      </w:r>
      <w:r>
        <w:rPr>
          <w:spacing w:val="-6"/>
          <w:sz w:val="18"/>
          <w:szCs w:val="18"/>
          <w:lang w:val="es-ES_tradnl"/>
        </w:rPr>
        <w:t>considerar si un acto vulner</w:t>
      </w:r>
      <w:r>
        <w:rPr>
          <w:rFonts w:cs="Times New Roman"/>
          <w:spacing w:val="-6"/>
          <w:sz w:val="18"/>
          <w:szCs w:val="18"/>
          <w:lang w:val="es-ES_tradnl"/>
        </w:rPr>
        <w:t>ó</w:t>
      </w:r>
      <w:r>
        <w:rPr>
          <w:spacing w:val="-6"/>
          <w:sz w:val="18"/>
          <w:szCs w:val="18"/>
          <w:lang w:val="es-ES_tradnl"/>
        </w:rPr>
        <w:t xml:space="preserve"> derechos constitucionales durante el tiempo que estuvo vigente, si en el fondo, una </w:t>
      </w:r>
      <w:r>
        <w:rPr>
          <w:spacing w:val="-7"/>
          <w:sz w:val="18"/>
          <w:szCs w:val="18"/>
          <w:lang w:val="es-ES_tradnl"/>
        </w:rPr>
        <w:t>vez extinguido el acto dicha vulneraci</w:t>
      </w:r>
      <w:r>
        <w:rPr>
          <w:rFonts w:cs="Times New Roman"/>
          <w:spacing w:val="-7"/>
          <w:sz w:val="18"/>
          <w:szCs w:val="18"/>
          <w:lang w:val="es-ES_tradnl"/>
        </w:rPr>
        <w:t>ó</w:t>
      </w:r>
      <w:r>
        <w:rPr>
          <w:spacing w:val="-7"/>
          <w:sz w:val="18"/>
          <w:szCs w:val="18"/>
          <w:lang w:val="es-ES_tradnl"/>
        </w:rPr>
        <w:t>n no es susceptible de una reparaci</w:t>
      </w:r>
      <w:r>
        <w:rPr>
          <w:rFonts w:cs="Times New Roman"/>
          <w:spacing w:val="-7"/>
          <w:sz w:val="18"/>
          <w:szCs w:val="18"/>
          <w:lang w:val="es-ES_tradnl"/>
        </w:rPr>
        <w:t>ó</w:t>
      </w:r>
      <w:r>
        <w:rPr>
          <w:spacing w:val="-7"/>
          <w:sz w:val="18"/>
          <w:szCs w:val="18"/>
          <w:lang w:val="es-ES_tradnl"/>
        </w:rPr>
        <w:t>n, circunstancia que sin duda elimina una parte esencial de esta garant</w:t>
      </w:r>
      <w:r>
        <w:rPr>
          <w:rFonts w:cs="Times New Roman"/>
          <w:spacing w:val="-7"/>
          <w:sz w:val="18"/>
          <w:szCs w:val="18"/>
          <w:lang w:val="es-ES_tradnl"/>
        </w:rPr>
        <w:t>í</w:t>
      </w:r>
      <w:r>
        <w:rPr>
          <w:spacing w:val="-7"/>
          <w:sz w:val="18"/>
          <w:szCs w:val="18"/>
          <w:lang w:val="es-ES_tradnl"/>
        </w:rPr>
        <w:t>a jurisdiccional.</w:t>
      </w:r>
    </w:p>
    <w:p w14:paraId="4F67B2B2" w14:textId="77777777" w:rsidR="00591D54" w:rsidRDefault="00591D54">
      <w:pPr>
        <w:shd w:val="clear" w:color="auto" w:fill="FFFFFF"/>
        <w:spacing w:before="197" w:line="216" w:lineRule="exact"/>
        <w:jc w:val="both"/>
      </w:pPr>
      <w:r>
        <w:rPr>
          <w:spacing w:val="-8"/>
          <w:sz w:val="18"/>
          <w:szCs w:val="18"/>
          <w:lang w:val="es-ES_tradnl"/>
        </w:rPr>
        <w:t>Bajo los par</w:t>
      </w:r>
      <w:r>
        <w:rPr>
          <w:rFonts w:cs="Times New Roman"/>
          <w:spacing w:val="-8"/>
          <w:sz w:val="18"/>
          <w:szCs w:val="18"/>
          <w:lang w:val="es-ES_tradnl"/>
        </w:rPr>
        <w:t>á</w:t>
      </w:r>
      <w:r>
        <w:rPr>
          <w:spacing w:val="-8"/>
          <w:sz w:val="18"/>
          <w:szCs w:val="18"/>
          <w:lang w:val="es-ES_tradnl"/>
        </w:rPr>
        <w:t xml:space="preserve">metros expuestos, esta Corte considera en </w:t>
      </w:r>
      <w:r>
        <w:rPr>
          <w:spacing w:val="-4"/>
          <w:sz w:val="18"/>
          <w:szCs w:val="18"/>
          <w:lang w:val="es-ES_tradnl"/>
        </w:rPr>
        <w:t>primer lugar que la acci</w:t>
      </w:r>
      <w:r>
        <w:rPr>
          <w:rFonts w:cs="Times New Roman"/>
          <w:spacing w:val="-4"/>
          <w:sz w:val="18"/>
          <w:szCs w:val="18"/>
          <w:lang w:val="es-ES_tradnl"/>
        </w:rPr>
        <w:t>ó</w:t>
      </w:r>
      <w:r>
        <w:rPr>
          <w:spacing w:val="-4"/>
          <w:sz w:val="18"/>
          <w:szCs w:val="18"/>
          <w:lang w:val="es-ES_tradnl"/>
        </w:rPr>
        <w:t>n de protecci</w:t>
      </w:r>
      <w:r>
        <w:rPr>
          <w:rFonts w:cs="Times New Roman"/>
          <w:spacing w:val="-4"/>
          <w:sz w:val="18"/>
          <w:szCs w:val="18"/>
          <w:lang w:val="es-ES_tradnl"/>
        </w:rPr>
        <w:t>ó</w:t>
      </w:r>
      <w:r>
        <w:rPr>
          <w:spacing w:val="-4"/>
          <w:sz w:val="18"/>
          <w:szCs w:val="18"/>
          <w:lang w:val="es-ES_tradnl"/>
        </w:rPr>
        <w:t xml:space="preserve">n fue presentada </w:t>
      </w:r>
      <w:r>
        <w:rPr>
          <w:spacing w:val="-2"/>
          <w:sz w:val="18"/>
          <w:szCs w:val="18"/>
          <w:lang w:val="es-ES_tradnl"/>
        </w:rPr>
        <w:t>en un momento en que el juez constitucional, mas all</w:t>
      </w:r>
      <w:r>
        <w:rPr>
          <w:rFonts w:cs="Times New Roman"/>
          <w:spacing w:val="-2"/>
          <w:sz w:val="18"/>
          <w:szCs w:val="18"/>
          <w:lang w:val="es-ES_tradnl"/>
        </w:rPr>
        <w:t xml:space="preserve">á </w:t>
      </w:r>
      <w:r>
        <w:rPr>
          <w:spacing w:val="-6"/>
          <w:sz w:val="18"/>
          <w:szCs w:val="18"/>
          <w:lang w:val="es-ES_tradnl"/>
        </w:rPr>
        <w:t>de advertir la vulneraci</w:t>
      </w:r>
      <w:r>
        <w:rPr>
          <w:rFonts w:cs="Times New Roman"/>
          <w:spacing w:val="-6"/>
          <w:sz w:val="18"/>
          <w:szCs w:val="18"/>
          <w:lang w:val="es-ES_tradnl"/>
        </w:rPr>
        <w:t>ó</w:t>
      </w:r>
      <w:r>
        <w:rPr>
          <w:spacing w:val="-6"/>
          <w:sz w:val="18"/>
          <w:szCs w:val="18"/>
          <w:lang w:val="es-ES_tradnl"/>
        </w:rPr>
        <w:t>n de un derecho, no pod</w:t>
      </w:r>
      <w:r>
        <w:rPr>
          <w:rFonts w:cs="Times New Roman"/>
          <w:spacing w:val="-6"/>
          <w:sz w:val="18"/>
          <w:szCs w:val="18"/>
          <w:lang w:val="es-ES_tradnl"/>
        </w:rPr>
        <w:t>í</w:t>
      </w:r>
      <w:r>
        <w:rPr>
          <w:spacing w:val="-6"/>
          <w:sz w:val="18"/>
          <w:szCs w:val="18"/>
          <w:lang w:val="es-ES_tradnl"/>
        </w:rPr>
        <w:t xml:space="preserve">a en la </w:t>
      </w:r>
      <w:r>
        <w:rPr>
          <w:spacing w:val="-7"/>
          <w:sz w:val="18"/>
          <w:szCs w:val="18"/>
          <w:lang w:val="es-ES_tradnl"/>
        </w:rPr>
        <w:t xml:space="preserve">practica amparar de forma directa y eficaz los derechos </w:t>
      </w:r>
      <w:r>
        <w:rPr>
          <w:spacing w:val="-4"/>
          <w:sz w:val="18"/>
          <w:szCs w:val="18"/>
          <w:lang w:val="es-ES_tradnl"/>
        </w:rPr>
        <w:t>constitucionales que le asist</w:t>
      </w:r>
      <w:r>
        <w:rPr>
          <w:rFonts w:cs="Times New Roman"/>
          <w:spacing w:val="-4"/>
          <w:sz w:val="18"/>
          <w:szCs w:val="18"/>
          <w:lang w:val="es-ES_tradnl"/>
        </w:rPr>
        <w:t>í</w:t>
      </w:r>
      <w:r>
        <w:rPr>
          <w:spacing w:val="-4"/>
          <w:sz w:val="18"/>
          <w:szCs w:val="18"/>
          <w:lang w:val="es-ES_tradnl"/>
        </w:rPr>
        <w:t xml:space="preserve">an al accionante, partiendo </w:t>
      </w:r>
      <w:r>
        <w:rPr>
          <w:spacing w:val="-7"/>
          <w:sz w:val="18"/>
          <w:szCs w:val="18"/>
          <w:lang w:val="es-ES_tradnl"/>
        </w:rPr>
        <w:t xml:space="preserve">del hecho que el acto impugnado al momento en que se </w:t>
      </w:r>
      <w:r>
        <w:rPr>
          <w:spacing w:val="-8"/>
          <w:sz w:val="18"/>
          <w:szCs w:val="18"/>
          <w:lang w:val="es-ES_tradnl"/>
        </w:rPr>
        <w:t>present</w:t>
      </w:r>
      <w:r>
        <w:rPr>
          <w:rFonts w:cs="Times New Roman"/>
          <w:spacing w:val="-8"/>
          <w:sz w:val="18"/>
          <w:szCs w:val="18"/>
          <w:lang w:val="es-ES_tradnl"/>
        </w:rPr>
        <w:t>ó</w:t>
      </w:r>
      <w:r>
        <w:rPr>
          <w:spacing w:val="-8"/>
          <w:sz w:val="18"/>
          <w:szCs w:val="18"/>
          <w:lang w:val="es-ES_tradnl"/>
        </w:rPr>
        <w:t xml:space="preserve"> la acci</w:t>
      </w:r>
      <w:r>
        <w:rPr>
          <w:rFonts w:cs="Times New Roman"/>
          <w:spacing w:val="-8"/>
          <w:sz w:val="18"/>
          <w:szCs w:val="18"/>
          <w:lang w:val="es-ES_tradnl"/>
        </w:rPr>
        <w:t>ó</w:t>
      </w:r>
      <w:r>
        <w:rPr>
          <w:spacing w:val="-8"/>
          <w:sz w:val="18"/>
          <w:szCs w:val="18"/>
          <w:lang w:val="es-ES_tradnl"/>
        </w:rPr>
        <w:t>n de protecci</w:t>
      </w:r>
      <w:r>
        <w:rPr>
          <w:rFonts w:cs="Times New Roman"/>
          <w:spacing w:val="-8"/>
          <w:sz w:val="18"/>
          <w:szCs w:val="18"/>
          <w:lang w:val="es-ES_tradnl"/>
        </w:rPr>
        <w:t>ó</w:t>
      </w:r>
      <w:r>
        <w:rPr>
          <w:spacing w:val="-8"/>
          <w:sz w:val="18"/>
          <w:szCs w:val="18"/>
          <w:lang w:val="es-ES_tradnl"/>
        </w:rPr>
        <w:t>n se hab</w:t>
      </w:r>
      <w:r>
        <w:rPr>
          <w:rFonts w:cs="Times New Roman"/>
          <w:spacing w:val="-8"/>
          <w:sz w:val="18"/>
          <w:szCs w:val="18"/>
          <w:lang w:val="es-ES_tradnl"/>
        </w:rPr>
        <w:t>í</w:t>
      </w:r>
      <w:r>
        <w:rPr>
          <w:spacing w:val="-8"/>
          <w:sz w:val="18"/>
          <w:szCs w:val="18"/>
          <w:lang w:val="es-ES_tradnl"/>
        </w:rPr>
        <w:t>a extinguido por si solo ante la realizaci</w:t>
      </w:r>
      <w:r>
        <w:rPr>
          <w:rFonts w:cs="Times New Roman"/>
          <w:spacing w:val="-8"/>
          <w:sz w:val="18"/>
          <w:szCs w:val="18"/>
          <w:lang w:val="es-ES_tradnl"/>
        </w:rPr>
        <w:t>ó</w:t>
      </w:r>
      <w:r>
        <w:rPr>
          <w:spacing w:val="-8"/>
          <w:sz w:val="18"/>
          <w:szCs w:val="18"/>
          <w:lang w:val="es-ES_tradnl"/>
        </w:rPr>
        <w:t>n de su objeto.</w:t>
      </w:r>
      <w:r>
        <w:rPr>
          <w:spacing w:val="-8"/>
          <w:sz w:val="18"/>
          <w:szCs w:val="18"/>
          <w:vertAlign w:val="superscript"/>
          <w:lang w:val="es-ES_tradnl"/>
        </w:rPr>
        <w:t>5</w:t>
      </w:r>
      <w:r>
        <w:rPr>
          <w:spacing w:val="-8"/>
          <w:sz w:val="18"/>
          <w:szCs w:val="18"/>
          <w:lang w:val="es-ES_tradnl"/>
        </w:rPr>
        <w:t xml:space="preserve"> Es decir, que para el momento en que se present</w:t>
      </w:r>
      <w:r>
        <w:rPr>
          <w:rFonts w:cs="Times New Roman"/>
          <w:spacing w:val="-8"/>
          <w:sz w:val="18"/>
          <w:szCs w:val="18"/>
          <w:lang w:val="es-ES_tradnl"/>
        </w:rPr>
        <w:t>ó</w:t>
      </w:r>
      <w:r>
        <w:rPr>
          <w:spacing w:val="-8"/>
          <w:sz w:val="18"/>
          <w:szCs w:val="18"/>
          <w:lang w:val="es-ES_tradnl"/>
        </w:rPr>
        <w:t xml:space="preserve"> la acci</w:t>
      </w:r>
      <w:r>
        <w:rPr>
          <w:rFonts w:cs="Times New Roman"/>
          <w:spacing w:val="-8"/>
          <w:sz w:val="18"/>
          <w:szCs w:val="18"/>
          <w:lang w:val="es-ES_tradnl"/>
        </w:rPr>
        <w:t>ó</w:t>
      </w:r>
      <w:r>
        <w:rPr>
          <w:spacing w:val="-8"/>
          <w:sz w:val="18"/>
          <w:szCs w:val="18"/>
          <w:lang w:val="es-ES_tradnl"/>
        </w:rPr>
        <w:t>n de protecci</w:t>
      </w:r>
      <w:r>
        <w:rPr>
          <w:rFonts w:cs="Times New Roman"/>
          <w:spacing w:val="-8"/>
          <w:sz w:val="18"/>
          <w:szCs w:val="18"/>
          <w:lang w:val="es-ES_tradnl"/>
        </w:rPr>
        <w:t>ó</w:t>
      </w:r>
      <w:r>
        <w:rPr>
          <w:spacing w:val="-8"/>
          <w:sz w:val="18"/>
          <w:szCs w:val="18"/>
          <w:lang w:val="es-ES_tradnl"/>
        </w:rPr>
        <w:t xml:space="preserve">n, esto </w:t>
      </w:r>
      <w:r>
        <w:rPr>
          <w:spacing w:val="-11"/>
          <w:sz w:val="18"/>
          <w:szCs w:val="18"/>
          <w:lang w:val="es-ES_tradnl"/>
        </w:rPr>
        <w:t xml:space="preserve">es, en la etapa final del segundo concurso, todo acto emitido </w:t>
      </w:r>
      <w:r>
        <w:rPr>
          <w:spacing w:val="-8"/>
          <w:sz w:val="18"/>
          <w:szCs w:val="18"/>
          <w:lang w:val="es-ES_tradnl"/>
        </w:rPr>
        <w:t>dentro del concurso anterior se extingui</w:t>
      </w:r>
      <w:r>
        <w:rPr>
          <w:rFonts w:cs="Times New Roman"/>
          <w:spacing w:val="-8"/>
          <w:sz w:val="18"/>
          <w:szCs w:val="18"/>
          <w:lang w:val="es-ES_tradnl"/>
        </w:rPr>
        <w:t>ó</w:t>
      </w:r>
      <w:r>
        <w:rPr>
          <w:spacing w:val="-8"/>
          <w:sz w:val="18"/>
          <w:szCs w:val="18"/>
          <w:lang w:val="es-ES_tradnl"/>
        </w:rPr>
        <w:t xml:space="preserve"> en la medida que ya no surg</w:t>
      </w:r>
      <w:r>
        <w:rPr>
          <w:rFonts w:cs="Times New Roman"/>
          <w:spacing w:val="-8"/>
          <w:sz w:val="18"/>
          <w:szCs w:val="18"/>
          <w:lang w:val="es-ES_tradnl"/>
        </w:rPr>
        <w:t>í</w:t>
      </w:r>
      <w:r>
        <w:rPr>
          <w:spacing w:val="-8"/>
          <w:sz w:val="18"/>
          <w:szCs w:val="18"/>
          <w:lang w:val="es-ES_tradnl"/>
        </w:rPr>
        <w:t>an efectos para las partes. De ah</w:t>
      </w:r>
      <w:r>
        <w:rPr>
          <w:rFonts w:cs="Times New Roman"/>
          <w:spacing w:val="-8"/>
          <w:sz w:val="18"/>
          <w:szCs w:val="18"/>
          <w:lang w:val="es-ES_tradnl"/>
        </w:rPr>
        <w:t>í</w:t>
      </w:r>
      <w:r>
        <w:rPr>
          <w:spacing w:val="-8"/>
          <w:sz w:val="18"/>
          <w:szCs w:val="18"/>
          <w:lang w:val="es-ES_tradnl"/>
        </w:rPr>
        <w:t xml:space="preserve"> que la l</w:t>
      </w:r>
      <w:r>
        <w:rPr>
          <w:rFonts w:cs="Times New Roman"/>
          <w:spacing w:val="-8"/>
          <w:sz w:val="18"/>
          <w:szCs w:val="18"/>
          <w:lang w:val="es-ES_tradnl"/>
        </w:rPr>
        <w:t>ó</w:t>
      </w:r>
      <w:r>
        <w:rPr>
          <w:spacing w:val="-8"/>
          <w:sz w:val="18"/>
          <w:szCs w:val="18"/>
          <w:lang w:val="es-ES_tradnl"/>
        </w:rPr>
        <w:t xml:space="preserve">gica </w:t>
      </w:r>
      <w:r>
        <w:rPr>
          <w:spacing w:val="-11"/>
          <w:sz w:val="18"/>
          <w:szCs w:val="18"/>
          <w:lang w:val="es-ES_tradnl"/>
        </w:rPr>
        <w:t>nos lleva a pensar que dentro del presente caso, la acci</w:t>
      </w:r>
      <w:r>
        <w:rPr>
          <w:rFonts w:cs="Times New Roman"/>
          <w:spacing w:val="-11"/>
          <w:sz w:val="18"/>
          <w:szCs w:val="18"/>
          <w:lang w:val="es-ES_tradnl"/>
        </w:rPr>
        <w:t>ó</w:t>
      </w:r>
      <w:r>
        <w:rPr>
          <w:spacing w:val="-11"/>
          <w:sz w:val="18"/>
          <w:szCs w:val="18"/>
          <w:lang w:val="es-ES_tradnl"/>
        </w:rPr>
        <w:t xml:space="preserve">n de </w:t>
      </w:r>
      <w:r>
        <w:rPr>
          <w:spacing w:val="-8"/>
          <w:sz w:val="18"/>
          <w:szCs w:val="18"/>
          <w:lang w:val="es-ES_tradnl"/>
        </w:rPr>
        <w:t>protecci</w:t>
      </w:r>
      <w:r>
        <w:rPr>
          <w:rFonts w:cs="Times New Roman"/>
          <w:spacing w:val="-8"/>
          <w:sz w:val="18"/>
          <w:szCs w:val="18"/>
          <w:lang w:val="es-ES_tradnl"/>
        </w:rPr>
        <w:t>ó</w:t>
      </w:r>
      <w:r>
        <w:rPr>
          <w:spacing w:val="-8"/>
          <w:sz w:val="18"/>
          <w:szCs w:val="18"/>
          <w:lang w:val="es-ES_tradnl"/>
        </w:rPr>
        <w:t>n debi</w:t>
      </w:r>
      <w:r>
        <w:rPr>
          <w:rFonts w:cs="Times New Roman"/>
          <w:spacing w:val="-8"/>
          <w:sz w:val="18"/>
          <w:szCs w:val="18"/>
          <w:lang w:val="es-ES_tradnl"/>
        </w:rPr>
        <w:t>ó</w:t>
      </w:r>
      <w:r>
        <w:rPr>
          <w:spacing w:val="-8"/>
          <w:sz w:val="18"/>
          <w:szCs w:val="18"/>
          <w:lang w:val="es-ES_tradnl"/>
        </w:rPr>
        <w:t xml:space="preserve"> interponerse una vez que las autoridades </w:t>
      </w:r>
      <w:r>
        <w:rPr>
          <w:spacing w:val="-6"/>
          <w:sz w:val="18"/>
          <w:szCs w:val="18"/>
          <w:lang w:val="es-ES_tradnl"/>
        </w:rPr>
        <w:t>municipales dictaron el acta de verificaci</w:t>
      </w:r>
      <w:r>
        <w:rPr>
          <w:rFonts w:cs="Times New Roman"/>
          <w:spacing w:val="-6"/>
          <w:sz w:val="18"/>
          <w:szCs w:val="18"/>
          <w:lang w:val="es-ES_tradnl"/>
        </w:rPr>
        <w:t>ó</w:t>
      </w:r>
      <w:r>
        <w:rPr>
          <w:spacing w:val="-6"/>
          <w:sz w:val="18"/>
          <w:szCs w:val="18"/>
          <w:lang w:val="es-ES_tradnl"/>
        </w:rPr>
        <w:t xml:space="preserve">n de requisitos </w:t>
      </w:r>
      <w:r>
        <w:rPr>
          <w:spacing w:val="-10"/>
          <w:sz w:val="18"/>
          <w:szCs w:val="18"/>
          <w:lang w:val="es-ES_tradnl"/>
        </w:rPr>
        <w:t>dentro del primer concurso en donde se descalific</w:t>
      </w:r>
      <w:r>
        <w:rPr>
          <w:rFonts w:cs="Times New Roman"/>
          <w:spacing w:val="-10"/>
          <w:sz w:val="18"/>
          <w:szCs w:val="18"/>
          <w:lang w:val="es-ES_tradnl"/>
        </w:rPr>
        <w:t>ó</w:t>
      </w:r>
      <w:r>
        <w:rPr>
          <w:spacing w:val="-10"/>
          <w:sz w:val="18"/>
          <w:szCs w:val="18"/>
          <w:lang w:val="es-ES_tradnl"/>
        </w:rPr>
        <w:t xml:space="preserve"> al doctor </w:t>
      </w:r>
      <w:r>
        <w:rPr>
          <w:spacing w:val="-6"/>
          <w:sz w:val="18"/>
          <w:szCs w:val="18"/>
          <w:lang w:val="es-ES_tradnl"/>
        </w:rPr>
        <w:t>V</w:t>
      </w:r>
      <w:r>
        <w:rPr>
          <w:rFonts w:cs="Times New Roman"/>
          <w:spacing w:val="-6"/>
          <w:sz w:val="18"/>
          <w:szCs w:val="18"/>
          <w:lang w:val="es-ES_tradnl"/>
        </w:rPr>
        <w:t>í</w:t>
      </w:r>
      <w:r>
        <w:rPr>
          <w:spacing w:val="-6"/>
          <w:sz w:val="18"/>
          <w:szCs w:val="18"/>
          <w:lang w:val="es-ES_tradnl"/>
        </w:rPr>
        <w:t>ctor Arturo Balc</w:t>
      </w:r>
      <w:r>
        <w:rPr>
          <w:rFonts w:cs="Times New Roman"/>
          <w:spacing w:val="-6"/>
          <w:sz w:val="18"/>
          <w:szCs w:val="18"/>
          <w:lang w:val="es-ES_tradnl"/>
        </w:rPr>
        <w:t>á</w:t>
      </w:r>
      <w:r>
        <w:rPr>
          <w:spacing w:val="-6"/>
          <w:sz w:val="18"/>
          <w:szCs w:val="18"/>
          <w:lang w:val="es-ES_tradnl"/>
        </w:rPr>
        <w:t>zar y se declar</w:t>
      </w:r>
      <w:r>
        <w:rPr>
          <w:rFonts w:cs="Times New Roman"/>
          <w:spacing w:val="-6"/>
          <w:sz w:val="18"/>
          <w:szCs w:val="18"/>
          <w:lang w:val="es-ES_tradnl"/>
        </w:rPr>
        <w:t>ó</w:t>
      </w:r>
      <w:r>
        <w:rPr>
          <w:spacing w:val="-6"/>
          <w:sz w:val="18"/>
          <w:szCs w:val="18"/>
          <w:lang w:val="es-ES_tradnl"/>
        </w:rPr>
        <w:t xml:space="preserve"> desierto el concurso, </w:t>
      </w:r>
      <w:r>
        <w:rPr>
          <w:spacing w:val="-8"/>
          <w:sz w:val="18"/>
          <w:szCs w:val="18"/>
          <w:lang w:val="es-ES_tradnl"/>
        </w:rPr>
        <w:t>pues, en ese momento, una vez concedida la acci</w:t>
      </w:r>
      <w:r>
        <w:rPr>
          <w:rFonts w:cs="Times New Roman"/>
          <w:spacing w:val="-8"/>
          <w:sz w:val="18"/>
          <w:szCs w:val="18"/>
          <w:lang w:val="es-ES_tradnl"/>
        </w:rPr>
        <w:t>ó</w:t>
      </w:r>
      <w:r>
        <w:rPr>
          <w:spacing w:val="-8"/>
          <w:sz w:val="18"/>
          <w:szCs w:val="18"/>
          <w:lang w:val="es-ES_tradnl"/>
        </w:rPr>
        <w:t xml:space="preserve">n de </w:t>
      </w:r>
      <w:r>
        <w:rPr>
          <w:spacing w:val="-6"/>
          <w:sz w:val="18"/>
          <w:szCs w:val="18"/>
          <w:lang w:val="es-ES_tradnl"/>
        </w:rPr>
        <w:t>protecci</w:t>
      </w:r>
      <w:r>
        <w:rPr>
          <w:rFonts w:cs="Times New Roman"/>
          <w:spacing w:val="-6"/>
          <w:sz w:val="18"/>
          <w:szCs w:val="18"/>
          <w:lang w:val="es-ES_tradnl"/>
        </w:rPr>
        <w:t>ó</w:t>
      </w:r>
      <w:r>
        <w:rPr>
          <w:spacing w:val="-6"/>
          <w:sz w:val="18"/>
          <w:szCs w:val="18"/>
          <w:lang w:val="es-ES_tradnl"/>
        </w:rPr>
        <w:t>n, se reconoc</w:t>
      </w:r>
      <w:r>
        <w:rPr>
          <w:rFonts w:cs="Times New Roman"/>
          <w:spacing w:val="-6"/>
          <w:sz w:val="18"/>
          <w:szCs w:val="18"/>
          <w:lang w:val="es-ES_tradnl"/>
        </w:rPr>
        <w:t>í</w:t>
      </w:r>
      <w:r>
        <w:rPr>
          <w:spacing w:val="-6"/>
          <w:sz w:val="18"/>
          <w:szCs w:val="18"/>
          <w:lang w:val="es-ES_tradnl"/>
        </w:rPr>
        <w:t>a la vulneraci</w:t>
      </w:r>
      <w:r>
        <w:rPr>
          <w:rFonts w:cs="Times New Roman"/>
          <w:spacing w:val="-6"/>
          <w:sz w:val="18"/>
          <w:szCs w:val="18"/>
          <w:lang w:val="es-ES_tradnl"/>
        </w:rPr>
        <w:t>ó</w:t>
      </w:r>
      <w:r>
        <w:rPr>
          <w:spacing w:val="-6"/>
          <w:sz w:val="18"/>
          <w:szCs w:val="18"/>
          <w:lang w:val="es-ES_tradnl"/>
        </w:rPr>
        <w:t xml:space="preserve">n de un derecho </w:t>
      </w:r>
      <w:r>
        <w:rPr>
          <w:spacing w:val="-8"/>
          <w:sz w:val="18"/>
          <w:szCs w:val="18"/>
          <w:lang w:val="es-ES_tradnl"/>
        </w:rPr>
        <w:t>constitucional y se ordenaba, como medida de reparaci</w:t>
      </w:r>
      <w:r>
        <w:rPr>
          <w:rFonts w:cs="Times New Roman"/>
          <w:spacing w:val="-8"/>
          <w:sz w:val="18"/>
          <w:szCs w:val="18"/>
          <w:lang w:val="es-ES_tradnl"/>
        </w:rPr>
        <w:t>ó</w:t>
      </w:r>
      <w:r>
        <w:rPr>
          <w:spacing w:val="-8"/>
          <w:sz w:val="18"/>
          <w:szCs w:val="18"/>
          <w:lang w:val="es-ES_tradnl"/>
        </w:rPr>
        <w:t xml:space="preserve">n </w:t>
      </w:r>
      <w:r>
        <w:rPr>
          <w:spacing w:val="-7"/>
          <w:sz w:val="18"/>
          <w:szCs w:val="18"/>
          <w:lang w:val="es-ES_tradnl"/>
        </w:rPr>
        <w:t xml:space="preserve">integral, la continuidad del accionante dentro del concurso para registrador de la propiedad, es decir, el accionante </w:t>
      </w:r>
      <w:r>
        <w:rPr>
          <w:spacing w:val="-11"/>
          <w:sz w:val="18"/>
          <w:szCs w:val="18"/>
          <w:lang w:val="es-ES_tradnl"/>
        </w:rPr>
        <w:t>lograba una tutela directa y eficaz de sus derechos, as</w:t>
      </w:r>
      <w:r>
        <w:rPr>
          <w:rFonts w:cs="Times New Roman"/>
          <w:spacing w:val="-11"/>
          <w:sz w:val="18"/>
          <w:szCs w:val="18"/>
          <w:lang w:val="es-ES_tradnl"/>
        </w:rPr>
        <w:t>í</w:t>
      </w:r>
      <w:r>
        <w:rPr>
          <w:spacing w:val="-11"/>
          <w:sz w:val="18"/>
          <w:szCs w:val="18"/>
          <w:lang w:val="es-ES_tradnl"/>
        </w:rPr>
        <w:t xml:space="preserve"> como </w:t>
      </w:r>
      <w:r>
        <w:rPr>
          <w:spacing w:val="-7"/>
          <w:sz w:val="18"/>
          <w:szCs w:val="18"/>
          <w:lang w:val="es-ES_tradnl"/>
        </w:rPr>
        <w:t>una reparaci</w:t>
      </w:r>
      <w:r>
        <w:rPr>
          <w:rFonts w:cs="Times New Roman"/>
          <w:spacing w:val="-7"/>
          <w:sz w:val="18"/>
          <w:szCs w:val="18"/>
          <w:lang w:val="es-ES_tradnl"/>
        </w:rPr>
        <w:t>ó</w:t>
      </w:r>
      <w:r>
        <w:rPr>
          <w:spacing w:val="-7"/>
          <w:sz w:val="18"/>
          <w:szCs w:val="18"/>
          <w:lang w:val="es-ES_tradnl"/>
        </w:rPr>
        <w:t>n congruente al da</w:t>
      </w:r>
      <w:r>
        <w:rPr>
          <w:rFonts w:cs="Times New Roman"/>
          <w:spacing w:val="-7"/>
          <w:sz w:val="18"/>
          <w:szCs w:val="18"/>
          <w:lang w:val="es-ES_tradnl"/>
        </w:rPr>
        <w:t>ñ</w:t>
      </w:r>
      <w:r>
        <w:rPr>
          <w:spacing w:val="-7"/>
          <w:sz w:val="18"/>
          <w:szCs w:val="18"/>
          <w:lang w:val="es-ES_tradnl"/>
        </w:rPr>
        <w:t xml:space="preserve">o que produjere dicha </w:t>
      </w:r>
      <w:r>
        <w:rPr>
          <w:sz w:val="18"/>
          <w:szCs w:val="18"/>
          <w:lang w:val="es-ES_tradnl"/>
        </w:rPr>
        <w:t>vulneraci</w:t>
      </w:r>
      <w:r>
        <w:rPr>
          <w:rFonts w:cs="Times New Roman"/>
          <w:sz w:val="18"/>
          <w:szCs w:val="18"/>
          <w:lang w:val="es-ES_tradnl"/>
        </w:rPr>
        <w:t>ó</w:t>
      </w:r>
      <w:r>
        <w:rPr>
          <w:sz w:val="18"/>
          <w:szCs w:val="18"/>
          <w:lang w:val="es-ES_tradnl"/>
        </w:rPr>
        <w:t>n.</w:t>
      </w:r>
    </w:p>
    <w:p w14:paraId="4F67B2B3" w14:textId="77777777" w:rsidR="00591D54" w:rsidRDefault="00591D54">
      <w:pPr>
        <w:shd w:val="clear" w:color="auto" w:fill="FFFFFF"/>
        <w:spacing w:before="653" w:line="178" w:lineRule="exact"/>
        <w:ind w:left="139" w:right="5" w:hanging="139"/>
        <w:jc w:val="both"/>
      </w:pPr>
      <w:r>
        <w:rPr>
          <w:sz w:val="14"/>
          <w:szCs w:val="14"/>
          <w:vertAlign w:val="superscript"/>
          <w:lang w:val="es-ES_tradnl"/>
        </w:rPr>
        <w:t>5</w:t>
      </w:r>
      <w:r>
        <w:rPr>
          <w:sz w:val="14"/>
          <w:szCs w:val="14"/>
          <w:lang w:val="es-ES_tradnl"/>
        </w:rPr>
        <w:t xml:space="preserve"> Agust</w:t>
      </w:r>
      <w:r>
        <w:rPr>
          <w:rFonts w:cs="Times New Roman"/>
          <w:sz w:val="14"/>
          <w:szCs w:val="14"/>
          <w:lang w:val="es-ES_tradnl"/>
        </w:rPr>
        <w:t>í</w:t>
      </w:r>
      <w:r>
        <w:rPr>
          <w:sz w:val="14"/>
          <w:szCs w:val="14"/>
          <w:lang w:val="es-ES_tradnl"/>
        </w:rPr>
        <w:t xml:space="preserve">n Gordillo; </w:t>
      </w:r>
      <w:r>
        <w:rPr>
          <w:rFonts w:cs="Times New Roman"/>
          <w:sz w:val="14"/>
          <w:szCs w:val="14"/>
          <w:lang w:val="es-ES_tradnl"/>
        </w:rPr>
        <w:t>“</w:t>
      </w:r>
      <w:r>
        <w:rPr>
          <w:sz w:val="14"/>
          <w:szCs w:val="14"/>
          <w:lang w:val="es-ES_tradnl"/>
        </w:rPr>
        <w:t>Tratado de Derecho Administrativo</w:t>
      </w:r>
      <w:r>
        <w:rPr>
          <w:rFonts w:cs="Times New Roman"/>
          <w:sz w:val="14"/>
          <w:szCs w:val="14"/>
          <w:lang w:val="es-ES_tradnl"/>
        </w:rPr>
        <w:t>”</w:t>
      </w:r>
      <w:r>
        <w:rPr>
          <w:sz w:val="14"/>
          <w:szCs w:val="14"/>
          <w:lang w:val="es-ES_tradnl"/>
        </w:rPr>
        <w:t>; D</w:t>
      </w:r>
      <w:r>
        <w:rPr>
          <w:rFonts w:cs="Times New Roman"/>
          <w:sz w:val="14"/>
          <w:szCs w:val="14"/>
          <w:lang w:val="es-ES_tradnl"/>
        </w:rPr>
        <w:t>é</w:t>
      </w:r>
      <w:r>
        <w:rPr>
          <w:sz w:val="14"/>
          <w:szCs w:val="14"/>
          <w:lang w:val="es-ES_tradnl"/>
        </w:rPr>
        <w:t>cima edici</w:t>
      </w:r>
      <w:r>
        <w:rPr>
          <w:rFonts w:cs="Times New Roman"/>
          <w:sz w:val="14"/>
          <w:szCs w:val="14"/>
          <w:lang w:val="es-ES_tradnl"/>
        </w:rPr>
        <w:t>ó</w:t>
      </w:r>
      <w:r>
        <w:rPr>
          <w:sz w:val="14"/>
          <w:szCs w:val="14"/>
          <w:lang w:val="es-ES_tradnl"/>
        </w:rPr>
        <w:t xml:space="preserve">n F.D.A.; Buenos Aires: </w:t>
      </w:r>
      <w:r>
        <w:rPr>
          <w:rFonts w:cs="Times New Roman"/>
          <w:sz w:val="14"/>
          <w:szCs w:val="14"/>
          <w:lang w:val="es-ES_tradnl"/>
        </w:rPr>
        <w:t>“</w:t>
      </w:r>
      <w:r>
        <w:rPr>
          <w:sz w:val="14"/>
          <w:szCs w:val="14"/>
          <w:lang w:val="es-ES_tradnl"/>
        </w:rPr>
        <w:t xml:space="preserve">Los actos administrativos se </w:t>
      </w:r>
      <w:r>
        <w:rPr>
          <w:spacing w:val="-4"/>
          <w:sz w:val="14"/>
          <w:szCs w:val="14"/>
          <w:lang w:val="es-ES_tradnl"/>
        </w:rPr>
        <w:t xml:space="preserve">extinguen cuando se han cumplido con todos los elementos, requisitos </w:t>
      </w:r>
      <w:r>
        <w:rPr>
          <w:spacing w:val="-2"/>
          <w:sz w:val="14"/>
          <w:szCs w:val="14"/>
          <w:lang w:val="es-ES_tradnl"/>
        </w:rPr>
        <w:t>y modalidades que se</w:t>
      </w:r>
      <w:r>
        <w:rPr>
          <w:rFonts w:cs="Times New Roman"/>
          <w:spacing w:val="-2"/>
          <w:sz w:val="14"/>
          <w:szCs w:val="14"/>
          <w:lang w:val="es-ES_tradnl"/>
        </w:rPr>
        <w:t>ñ</w:t>
      </w:r>
      <w:r>
        <w:rPr>
          <w:spacing w:val="-2"/>
          <w:sz w:val="14"/>
          <w:szCs w:val="14"/>
          <w:lang w:val="es-ES_tradnl"/>
        </w:rPr>
        <w:t>ala la ley, cuando han producido sus efectos jur</w:t>
      </w:r>
      <w:r>
        <w:rPr>
          <w:rFonts w:cs="Times New Roman"/>
          <w:spacing w:val="-2"/>
          <w:sz w:val="14"/>
          <w:szCs w:val="14"/>
          <w:lang w:val="es-ES_tradnl"/>
        </w:rPr>
        <w:t>í</w:t>
      </w:r>
      <w:r>
        <w:rPr>
          <w:spacing w:val="-2"/>
          <w:sz w:val="14"/>
          <w:szCs w:val="14"/>
          <w:lang w:val="es-ES_tradnl"/>
        </w:rPr>
        <w:t>dicos conforme a su objeto y finalidad perseguidos, as</w:t>
      </w:r>
      <w:r>
        <w:rPr>
          <w:rFonts w:cs="Times New Roman"/>
          <w:spacing w:val="-2"/>
          <w:sz w:val="14"/>
          <w:szCs w:val="14"/>
          <w:lang w:val="es-ES_tradnl"/>
        </w:rPr>
        <w:t>í</w:t>
      </w:r>
      <w:r>
        <w:rPr>
          <w:spacing w:val="-2"/>
          <w:sz w:val="14"/>
          <w:szCs w:val="14"/>
          <w:lang w:val="es-ES_tradnl"/>
        </w:rPr>
        <w:t xml:space="preserve"> las cosas </w:t>
      </w:r>
      <w:r>
        <w:rPr>
          <w:spacing w:val="-1"/>
          <w:sz w:val="14"/>
          <w:szCs w:val="14"/>
          <w:lang w:val="es-ES_tradnl"/>
        </w:rPr>
        <w:t>podemos decir que hay actos administrativos que se extinguen por determinaci</w:t>
      </w:r>
      <w:r>
        <w:rPr>
          <w:rFonts w:cs="Times New Roman"/>
          <w:spacing w:val="-1"/>
          <w:sz w:val="14"/>
          <w:szCs w:val="14"/>
          <w:lang w:val="es-ES_tradnl"/>
        </w:rPr>
        <w:t>ó</w:t>
      </w:r>
      <w:r>
        <w:rPr>
          <w:spacing w:val="-1"/>
          <w:sz w:val="14"/>
          <w:szCs w:val="14"/>
          <w:lang w:val="es-ES_tradnl"/>
        </w:rPr>
        <w:t xml:space="preserve">n simple, de haber cumplido su objeto, el plazo de su </w:t>
      </w:r>
      <w:r>
        <w:rPr>
          <w:spacing w:val="-3"/>
          <w:sz w:val="14"/>
          <w:szCs w:val="14"/>
          <w:lang w:val="es-ES_tradnl"/>
        </w:rPr>
        <w:t>vigencia y generalmente se les conoce como terminaci</w:t>
      </w:r>
      <w:r>
        <w:rPr>
          <w:rFonts w:cs="Times New Roman"/>
          <w:spacing w:val="-3"/>
          <w:sz w:val="14"/>
          <w:szCs w:val="14"/>
          <w:lang w:val="es-ES_tradnl"/>
        </w:rPr>
        <w:t>ó</w:t>
      </w:r>
      <w:r>
        <w:rPr>
          <w:spacing w:val="-3"/>
          <w:sz w:val="14"/>
          <w:szCs w:val="14"/>
          <w:lang w:val="es-ES_tradnl"/>
        </w:rPr>
        <w:t xml:space="preserve">n normal, sin </w:t>
      </w:r>
      <w:r>
        <w:rPr>
          <w:sz w:val="14"/>
          <w:szCs w:val="14"/>
          <w:lang w:val="es-ES_tradnl"/>
        </w:rPr>
        <w:t>embargo, hay algunos que se extinguen por determinaci</w:t>
      </w:r>
      <w:r>
        <w:rPr>
          <w:rFonts w:cs="Times New Roman"/>
          <w:sz w:val="14"/>
          <w:szCs w:val="14"/>
          <w:lang w:val="es-ES_tradnl"/>
        </w:rPr>
        <w:t>ó</w:t>
      </w:r>
      <w:r>
        <w:rPr>
          <w:sz w:val="14"/>
          <w:szCs w:val="14"/>
          <w:lang w:val="es-ES_tradnl"/>
        </w:rPr>
        <w:t xml:space="preserve">n judicial </w:t>
      </w:r>
      <w:r>
        <w:rPr>
          <w:spacing w:val="-2"/>
          <w:sz w:val="14"/>
          <w:szCs w:val="14"/>
          <w:lang w:val="es-ES_tradnl"/>
        </w:rPr>
        <w:t>o por determinaci</w:t>
      </w:r>
      <w:r>
        <w:rPr>
          <w:rFonts w:cs="Times New Roman"/>
          <w:spacing w:val="-2"/>
          <w:sz w:val="14"/>
          <w:szCs w:val="14"/>
          <w:lang w:val="es-ES_tradnl"/>
        </w:rPr>
        <w:t>ó</w:t>
      </w:r>
      <w:r>
        <w:rPr>
          <w:spacing w:val="-2"/>
          <w:sz w:val="14"/>
          <w:szCs w:val="14"/>
          <w:lang w:val="es-ES_tradnl"/>
        </w:rPr>
        <w:t xml:space="preserve">n de las propias autoridades administrativas y es </w:t>
      </w:r>
      <w:r>
        <w:rPr>
          <w:sz w:val="14"/>
          <w:szCs w:val="14"/>
          <w:lang w:val="es-ES_tradnl"/>
        </w:rPr>
        <w:t>as</w:t>
      </w:r>
      <w:r>
        <w:rPr>
          <w:rFonts w:cs="Times New Roman"/>
          <w:sz w:val="14"/>
          <w:szCs w:val="14"/>
          <w:lang w:val="es-ES_tradnl"/>
        </w:rPr>
        <w:t>í</w:t>
      </w:r>
      <w:r>
        <w:rPr>
          <w:sz w:val="14"/>
          <w:szCs w:val="14"/>
          <w:lang w:val="es-ES_tradnl"/>
        </w:rPr>
        <w:t xml:space="preserve"> como han surgido la revocaci</w:t>
      </w:r>
      <w:r>
        <w:rPr>
          <w:rFonts w:cs="Times New Roman"/>
          <w:sz w:val="14"/>
          <w:szCs w:val="14"/>
          <w:lang w:val="es-ES_tradnl"/>
        </w:rPr>
        <w:t>ó</w:t>
      </w:r>
      <w:r>
        <w:rPr>
          <w:sz w:val="14"/>
          <w:szCs w:val="14"/>
          <w:lang w:val="es-ES_tradnl"/>
        </w:rPr>
        <w:t>n, rescisi</w:t>
      </w:r>
      <w:r>
        <w:rPr>
          <w:rFonts w:cs="Times New Roman"/>
          <w:sz w:val="14"/>
          <w:szCs w:val="14"/>
          <w:lang w:val="es-ES_tradnl"/>
        </w:rPr>
        <w:t>ó</w:t>
      </w:r>
      <w:r>
        <w:rPr>
          <w:sz w:val="14"/>
          <w:szCs w:val="14"/>
          <w:lang w:val="es-ES_tradnl"/>
        </w:rPr>
        <w:t>n, la prescripci</w:t>
      </w:r>
      <w:r>
        <w:rPr>
          <w:rFonts w:cs="Times New Roman"/>
          <w:sz w:val="14"/>
          <w:szCs w:val="14"/>
          <w:lang w:val="es-ES_tradnl"/>
        </w:rPr>
        <w:t>ó</w:t>
      </w:r>
      <w:r>
        <w:rPr>
          <w:sz w:val="14"/>
          <w:szCs w:val="14"/>
          <w:lang w:val="es-ES_tradnl"/>
        </w:rPr>
        <w:t xml:space="preserve">n, la </w:t>
      </w:r>
      <w:r>
        <w:rPr>
          <w:spacing w:val="-1"/>
          <w:sz w:val="14"/>
          <w:szCs w:val="14"/>
          <w:lang w:val="es-ES_tradnl"/>
        </w:rPr>
        <w:t>caducidad, el t</w:t>
      </w:r>
      <w:r>
        <w:rPr>
          <w:rFonts w:cs="Times New Roman"/>
          <w:spacing w:val="-1"/>
          <w:sz w:val="14"/>
          <w:szCs w:val="14"/>
          <w:lang w:val="es-ES_tradnl"/>
        </w:rPr>
        <w:t>é</w:t>
      </w:r>
      <w:r>
        <w:rPr>
          <w:spacing w:val="-1"/>
          <w:sz w:val="14"/>
          <w:szCs w:val="14"/>
          <w:lang w:val="es-ES_tradnl"/>
        </w:rPr>
        <w:t>rmino, la condici</w:t>
      </w:r>
      <w:r>
        <w:rPr>
          <w:rFonts w:cs="Times New Roman"/>
          <w:spacing w:val="-1"/>
          <w:sz w:val="14"/>
          <w:szCs w:val="14"/>
          <w:lang w:val="es-ES_tradnl"/>
        </w:rPr>
        <w:t>ó</w:t>
      </w:r>
      <w:r>
        <w:rPr>
          <w:spacing w:val="-1"/>
          <w:sz w:val="14"/>
          <w:szCs w:val="14"/>
          <w:lang w:val="es-ES_tradnl"/>
        </w:rPr>
        <w:t>n y la nulidad absoluta o relativa</w:t>
      </w:r>
      <w:r>
        <w:rPr>
          <w:rFonts w:cs="Times New Roman"/>
          <w:spacing w:val="-1"/>
          <w:sz w:val="14"/>
          <w:szCs w:val="14"/>
          <w:lang w:val="es-ES_tradnl"/>
        </w:rPr>
        <w:t>”</w:t>
      </w:r>
      <w:r>
        <w:rPr>
          <w:spacing w:val="-1"/>
          <w:sz w:val="14"/>
          <w:szCs w:val="14"/>
          <w:lang w:val="es-ES_tradnl"/>
        </w:rPr>
        <w:t>.</w:t>
      </w:r>
    </w:p>
    <w:p w14:paraId="4F67B2B4" w14:textId="77777777" w:rsidR="00591D54" w:rsidRDefault="00591D54">
      <w:pPr>
        <w:shd w:val="clear" w:color="auto" w:fill="FFFFFF"/>
        <w:spacing w:line="216" w:lineRule="exact"/>
        <w:jc w:val="both"/>
      </w:pPr>
      <w:r>
        <w:br w:type="column"/>
      </w:r>
      <w:r>
        <w:rPr>
          <w:spacing w:val="-6"/>
          <w:sz w:val="18"/>
          <w:szCs w:val="18"/>
          <w:lang w:val="es-ES_tradnl"/>
        </w:rPr>
        <w:t>Con respecto a la reparaci</w:t>
      </w:r>
      <w:r>
        <w:rPr>
          <w:rFonts w:cs="Times New Roman"/>
          <w:spacing w:val="-6"/>
          <w:sz w:val="18"/>
          <w:szCs w:val="18"/>
          <w:lang w:val="es-ES_tradnl"/>
        </w:rPr>
        <w:t>ó</w:t>
      </w:r>
      <w:r>
        <w:rPr>
          <w:spacing w:val="-6"/>
          <w:sz w:val="18"/>
          <w:szCs w:val="18"/>
          <w:lang w:val="es-ES_tradnl"/>
        </w:rPr>
        <w:t>n integral dictada por la Sala Especializada de lo Laboral, Ni</w:t>
      </w:r>
      <w:r>
        <w:rPr>
          <w:rFonts w:cs="Times New Roman"/>
          <w:spacing w:val="-6"/>
          <w:sz w:val="18"/>
          <w:szCs w:val="18"/>
          <w:lang w:val="es-ES_tradnl"/>
        </w:rPr>
        <w:t>ñ</w:t>
      </w:r>
      <w:r>
        <w:rPr>
          <w:spacing w:val="-6"/>
          <w:sz w:val="18"/>
          <w:szCs w:val="18"/>
          <w:lang w:val="es-ES_tradnl"/>
        </w:rPr>
        <w:t xml:space="preserve">ez y Adolescencia de la </w:t>
      </w:r>
      <w:r>
        <w:rPr>
          <w:spacing w:val="-9"/>
          <w:sz w:val="18"/>
          <w:szCs w:val="18"/>
          <w:lang w:val="es-ES_tradnl"/>
        </w:rPr>
        <w:t xml:space="preserve">Corte Provincial de Justicia de Loja, esta Corte advierte que </w:t>
      </w:r>
      <w:r>
        <w:rPr>
          <w:spacing w:val="-7"/>
          <w:sz w:val="18"/>
          <w:szCs w:val="18"/>
          <w:lang w:val="es-ES_tradnl"/>
        </w:rPr>
        <w:t>al anularse todo lo actuado a partir del acta de verificaci</w:t>
      </w:r>
      <w:r>
        <w:rPr>
          <w:rFonts w:cs="Times New Roman"/>
          <w:spacing w:val="-7"/>
          <w:sz w:val="18"/>
          <w:szCs w:val="18"/>
          <w:lang w:val="es-ES_tradnl"/>
        </w:rPr>
        <w:t>ó</w:t>
      </w:r>
      <w:r>
        <w:rPr>
          <w:spacing w:val="-7"/>
          <w:sz w:val="18"/>
          <w:szCs w:val="18"/>
          <w:lang w:val="es-ES_tradnl"/>
        </w:rPr>
        <w:t xml:space="preserve">n de requisitos dictada en el primer concurso, los jueces </w:t>
      </w:r>
      <w:r>
        <w:rPr>
          <w:spacing w:val="-6"/>
          <w:sz w:val="18"/>
          <w:szCs w:val="18"/>
          <w:lang w:val="es-ES_tradnl"/>
        </w:rPr>
        <w:t>constitucionales pasaron por alto el hecho que se realiz</w:t>
      </w:r>
      <w:r>
        <w:rPr>
          <w:rFonts w:cs="Times New Roman"/>
          <w:spacing w:val="-6"/>
          <w:sz w:val="18"/>
          <w:szCs w:val="18"/>
          <w:lang w:val="es-ES_tradnl"/>
        </w:rPr>
        <w:t xml:space="preserve">ó </w:t>
      </w:r>
      <w:r>
        <w:rPr>
          <w:spacing w:val="-6"/>
          <w:sz w:val="18"/>
          <w:szCs w:val="18"/>
          <w:lang w:val="es-ES_tradnl"/>
        </w:rPr>
        <w:t>un segundo concurso en el cual el se</w:t>
      </w:r>
      <w:r>
        <w:rPr>
          <w:rFonts w:cs="Times New Roman"/>
          <w:spacing w:val="-6"/>
          <w:sz w:val="18"/>
          <w:szCs w:val="18"/>
          <w:lang w:val="es-ES_tradnl"/>
        </w:rPr>
        <w:t>ñ</w:t>
      </w:r>
      <w:r>
        <w:rPr>
          <w:spacing w:val="-6"/>
          <w:sz w:val="18"/>
          <w:szCs w:val="18"/>
          <w:lang w:val="es-ES_tradnl"/>
        </w:rPr>
        <w:t>or V</w:t>
      </w:r>
      <w:r>
        <w:rPr>
          <w:rFonts w:cs="Times New Roman"/>
          <w:spacing w:val="-6"/>
          <w:sz w:val="18"/>
          <w:szCs w:val="18"/>
          <w:lang w:val="es-ES_tradnl"/>
        </w:rPr>
        <w:t>í</w:t>
      </w:r>
      <w:r>
        <w:rPr>
          <w:spacing w:val="-6"/>
          <w:sz w:val="18"/>
          <w:szCs w:val="18"/>
          <w:lang w:val="es-ES_tradnl"/>
        </w:rPr>
        <w:t xml:space="preserve">ctor Arturo </w:t>
      </w:r>
      <w:r>
        <w:rPr>
          <w:spacing w:val="-10"/>
          <w:sz w:val="18"/>
          <w:szCs w:val="18"/>
          <w:lang w:val="es-ES_tradnl"/>
        </w:rPr>
        <w:t>Balc</w:t>
      </w:r>
      <w:r>
        <w:rPr>
          <w:rFonts w:cs="Times New Roman"/>
          <w:spacing w:val="-10"/>
          <w:sz w:val="18"/>
          <w:szCs w:val="18"/>
          <w:lang w:val="es-ES_tradnl"/>
        </w:rPr>
        <w:t>á</w:t>
      </w:r>
      <w:r>
        <w:rPr>
          <w:spacing w:val="-10"/>
          <w:sz w:val="18"/>
          <w:szCs w:val="18"/>
          <w:lang w:val="es-ES_tradnl"/>
        </w:rPr>
        <w:t>zar tambi</w:t>
      </w:r>
      <w:r>
        <w:rPr>
          <w:rFonts w:cs="Times New Roman"/>
          <w:spacing w:val="-10"/>
          <w:sz w:val="18"/>
          <w:szCs w:val="18"/>
          <w:lang w:val="es-ES_tradnl"/>
        </w:rPr>
        <w:t>é</w:t>
      </w:r>
      <w:r>
        <w:rPr>
          <w:spacing w:val="-10"/>
          <w:sz w:val="18"/>
          <w:szCs w:val="18"/>
          <w:lang w:val="es-ES_tradnl"/>
        </w:rPr>
        <w:t>n particip</w:t>
      </w:r>
      <w:r>
        <w:rPr>
          <w:rFonts w:cs="Times New Roman"/>
          <w:spacing w:val="-10"/>
          <w:sz w:val="18"/>
          <w:szCs w:val="18"/>
          <w:lang w:val="es-ES_tradnl"/>
        </w:rPr>
        <w:t>ó</w:t>
      </w:r>
      <w:r>
        <w:rPr>
          <w:spacing w:val="-10"/>
          <w:sz w:val="18"/>
          <w:szCs w:val="18"/>
          <w:lang w:val="es-ES_tradnl"/>
        </w:rPr>
        <w:t xml:space="preserve"> y que de este segundo concurso, </w:t>
      </w:r>
      <w:r>
        <w:rPr>
          <w:spacing w:val="-8"/>
          <w:sz w:val="18"/>
          <w:szCs w:val="18"/>
          <w:lang w:val="es-ES_tradnl"/>
        </w:rPr>
        <w:t xml:space="preserve">se obtuvo un ganador, el cual fue nombrado registrador de </w:t>
      </w:r>
      <w:r>
        <w:rPr>
          <w:spacing w:val="-9"/>
          <w:sz w:val="18"/>
          <w:szCs w:val="18"/>
          <w:lang w:val="es-ES_tradnl"/>
        </w:rPr>
        <w:t>la propiedad del cant</w:t>
      </w:r>
      <w:r>
        <w:rPr>
          <w:rFonts w:cs="Times New Roman"/>
          <w:spacing w:val="-9"/>
          <w:sz w:val="18"/>
          <w:szCs w:val="18"/>
          <w:lang w:val="es-ES_tradnl"/>
        </w:rPr>
        <w:t>ó</w:t>
      </w:r>
      <w:r>
        <w:rPr>
          <w:spacing w:val="-9"/>
          <w:sz w:val="18"/>
          <w:szCs w:val="18"/>
          <w:lang w:val="es-ES_tradnl"/>
        </w:rPr>
        <w:t xml:space="preserve">n Chaguarpamba, y quien ha estado </w:t>
      </w:r>
      <w:r>
        <w:rPr>
          <w:spacing w:val="-11"/>
          <w:sz w:val="18"/>
          <w:szCs w:val="18"/>
          <w:lang w:val="es-ES_tradnl"/>
        </w:rPr>
        <w:t xml:space="preserve">ejerciendo su cargo desde dicho nombramiento. La sentencia </w:t>
      </w:r>
      <w:r>
        <w:rPr>
          <w:spacing w:val="-7"/>
          <w:sz w:val="18"/>
          <w:szCs w:val="18"/>
          <w:lang w:val="es-ES_tradnl"/>
        </w:rPr>
        <w:t>impugnada por lo tanto, invalida todo el proceso posterior, a</w:t>
      </w:r>
      <w:r>
        <w:rPr>
          <w:rFonts w:cs="Times New Roman"/>
          <w:spacing w:val="-7"/>
          <w:sz w:val="18"/>
          <w:szCs w:val="18"/>
          <w:lang w:val="es-ES_tradnl"/>
        </w:rPr>
        <w:t>ú</w:t>
      </w:r>
      <w:r>
        <w:rPr>
          <w:spacing w:val="-7"/>
          <w:sz w:val="18"/>
          <w:szCs w:val="18"/>
          <w:lang w:val="es-ES_tradnl"/>
        </w:rPr>
        <w:t>n cuando la vulneraci</w:t>
      </w:r>
      <w:r>
        <w:rPr>
          <w:rFonts w:cs="Times New Roman"/>
          <w:spacing w:val="-7"/>
          <w:sz w:val="18"/>
          <w:szCs w:val="18"/>
          <w:lang w:val="es-ES_tradnl"/>
        </w:rPr>
        <w:t>ó</w:t>
      </w:r>
      <w:r>
        <w:rPr>
          <w:spacing w:val="-7"/>
          <w:sz w:val="18"/>
          <w:szCs w:val="18"/>
          <w:lang w:val="es-ES_tradnl"/>
        </w:rPr>
        <w:t xml:space="preserve">n se produjo sobre un hecho que </w:t>
      </w:r>
      <w:r>
        <w:rPr>
          <w:spacing w:val="-6"/>
          <w:sz w:val="18"/>
          <w:szCs w:val="18"/>
          <w:lang w:val="es-ES_tradnl"/>
        </w:rPr>
        <w:t>le habr</w:t>
      </w:r>
      <w:r>
        <w:rPr>
          <w:rFonts w:cs="Times New Roman"/>
          <w:spacing w:val="-6"/>
          <w:sz w:val="18"/>
          <w:szCs w:val="18"/>
          <w:lang w:val="es-ES_tradnl"/>
        </w:rPr>
        <w:t>í</w:t>
      </w:r>
      <w:r>
        <w:rPr>
          <w:spacing w:val="-6"/>
          <w:sz w:val="18"/>
          <w:szCs w:val="18"/>
          <w:lang w:val="es-ES_tradnl"/>
        </w:rPr>
        <w:t>a permitido al doctor V</w:t>
      </w:r>
      <w:r>
        <w:rPr>
          <w:rFonts w:cs="Times New Roman"/>
          <w:spacing w:val="-6"/>
          <w:sz w:val="18"/>
          <w:szCs w:val="18"/>
          <w:lang w:val="es-ES_tradnl"/>
        </w:rPr>
        <w:t>í</w:t>
      </w:r>
      <w:r>
        <w:rPr>
          <w:spacing w:val="-6"/>
          <w:sz w:val="18"/>
          <w:szCs w:val="18"/>
          <w:lang w:val="es-ES_tradnl"/>
        </w:rPr>
        <w:t>ctor Arturo Balc</w:t>
      </w:r>
      <w:r>
        <w:rPr>
          <w:rFonts w:cs="Times New Roman"/>
          <w:spacing w:val="-6"/>
          <w:sz w:val="18"/>
          <w:szCs w:val="18"/>
          <w:lang w:val="es-ES_tradnl"/>
        </w:rPr>
        <w:t>á</w:t>
      </w:r>
      <w:r>
        <w:rPr>
          <w:spacing w:val="-6"/>
          <w:sz w:val="18"/>
          <w:szCs w:val="18"/>
          <w:lang w:val="es-ES_tradnl"/>
        </w:rPr>
        <w:t xml:space="preserve">zar, seguir </w:t>
      </w:r>
      <w:r>
        <w:rPr>
          <w:spacing w:val="-8"/>
          <w:sz w:val="18"/>
          <w:szCs w:val="18"/>
          <w:lang w:val="es-ES_tradnl"/>
        </w:rPr>
        <w:t xml:space="preserve">participando dentro del primer concurso, mas no declararle </w:t>
      </w:r>
      <w:r>
        <w:rPr>
          <w:spacing w:val="-7"/>
          <w:sz w:val="18"/>
          <w:szCs w:val="18"/>
          <w:lang w:val="es-ES_tradnl"/>
        </w:rPr>
        <w:t>ganador del mismo. Es decir, que la reparaci</w:t>
      </w:r>
      <w:r>
        <w:rPr>
          <w:rFonts w:cs="Times New Roman"/>
          <w:spacing w:val="-7"/>
          <w:sz w:val="18"/>
          <w:szCs w:val="18"/>
          <w:lang w:val="es-ES_tradnl"/>
        </w:rPr>
        <w:t>ó</w:t>
      </w:r>
      <w:r>
        <w:rPr>
          <w:spacing w:val="-7"/>
          <w:sz w:val="18"/>
          <w:szCs w:val="18"/>
          <w:lang w:val="es-ES_tradnl"/>
        </w:rPr>
        <w:t xml:space="preserve">n adoptada </w:t>
      </w:r>
      <w:r>
        <w:rPr>
          <w:spacing w:val="-9"/>
          <w:sz w:val="18"/>
          <w:szCs w:val="18"/>
          <w:lang w:val="es-ES_tradnl"/>
        </w:rPr>
        <w:t xml:space="preserve">por los jueces bajo la idea de restituir un derecho, conforme </w:t>
      </w:r>
      <w:r>
        <w:rPr>
          <w:spacing w:val="-8"/>
          <w:sz w:val="18"/>
          <w:szCs w:val="18"/>
          <w:lang w:val="es-ES_tradnl"/>
        </w:rPr>
        <w:t>lo establece el art</w:t>
      </w:r>
      <w:r>
        <w:rPr>
          <w:rFonts w:cs="Times New Roman"/>
          <w:spacing w:val="-8"/>
          <w:sz w:val="18"/>
          <w:szCs w:val="18"/>
          <w:lang w:val="es-ES_tradnl"/>
        </w:rPr>
        <w:t>í</w:t>
      </w:r>
      <w:r>
        <w:rPr>
          <w:spacing w:val="-8"/>
          <w:sz w:val="18"/>
          <w:szCs w:val="18"/>
          <w:lang w:val="es-ES_tradnl"/>
        </w:rPr>
        <w:t>culo 18 de la Ley Org</w:t>
      </w:r>
      <w:r>
        <w:rPr>
          <w:rFonts w:cs="Times New Roman"/>
          <w:spacing w:val="-8"/>
          <w:sz w:val="18"/>
          <w:szCs w:val="18"/>
          <w:lang w:val="es-ES_tradnl"/>
        </w:rPr>
        <w:t>á</w:t>
      </w:r>
      <w:r>
        <w:rPr>
          <w:spacing w:val="-8"/>
          <w:sz w:val="18"/>
          <w:szCs w:val="18"/>
          <w:lang w:val="es-ES_tradnl"/>
        </w:rPr>
        <w:t>nica de Garant</w:t>
      </w:r>
      <w:r>
        <w:rPr>
          <w:rFonts w:cs="Times New Roman"/>
          <w:spacing w:val="-8"/>
          <w:sz w:val="18"/>
          <w:szCs w:val="18"/>
          <w:lang w:val="es-ES_tradnl"/>
        </w:rPr>
        <w:t>í</w:t>
      </w:r>
      <w:r>
        <w:rPr>
          <w:spacing w:val="-8"/>
          <w:sz w:val="18"/>
          <w:szCs w:val="18"/>
          <w:lang w:val="es-ES_tradnl"/>
        </w:rPr>
        <w:t>as Jurisdiccionales y Control Constitucional, vulner</w:t>
      </w:r>
      <w:r>
        <w:rPr>
          <w:rFonts w:cs="Times New Roman"/>
          <w:spacing w:val="-8"/>
          <w:sz w:val="18"/>
          <w:szCs w:val="18"/>
          <w:lang w:val="es-ES_tradnl"/>
        </w:rPr>
        <w:t>ó</w:t>
      </w:r>
      <w:r>
        <w:rPr>
          <w:spacing w:val="-8"/>
          <w:sz w:val="18"/>
          <w:szCs w:val="18"/>
          <w:lang w:val="es-ES_tradnl"/>
        </w:rPr>
        <w:t>, a su vez, un derecho leg</w:t>
      </w:r>
      <w:r>
        <w:rPr>
          <w:rFonts w:cs="Times New Roman"/>
          <w:spacing w:val="-8"/>
          <w:sz w:val="18"/>
          <w:szCs w:val="18"/>
          <w:lang w:val="es-ES_tradnl"/>
        </w:rPr>
        <w:t>í</w:t>
      </w:r>
      <w:r>
        <w:rPr>
          <w:spacing w:val="-8"/>
          <w:sz w:val="18"/>
          <w:szCs w:val="18"/>
          <w:lang w:val="es-ES_tradnl"/>
        </w:rPr>
        <w:t>timamente adquirido por un tercero, en este caso el de la persona que ostenta en la actualidad el cargo de registrador de la propiedad del cant</w:t>
      </w:r>
      <w:r>
        <w:rPr>
          <w:rFonts w:cs="Times New Roman"/>
          <w:spacing w:val="-8"/>
          <w:sz w:val="18"/>
          <w:szCs w:val="18"/>
          <w:lang w:val="es-ES_tradnl"/>
        </w:rPr>
        <w:t>ó</w:t>
      </w:r>
      <w:r>
        <w:rPr>
          <w:spacing w:val="-8"/>
          <w:sz w:val="18"/>
          <w:szCs w:val="18"/>
          <w:lang w:val="es-ES_tradnl"/>
        </w:rPr>
        <w:t>n Chaguarpamba.</w:t>
      </w:r>
    </w:p>
    <w:p w14:paraId="4F67B2B5" w14:textId="77777777" w:rsidR="00591D54" w:rsidRDefault="00591D54">
      <w:pPr>
        <w:shd w:val="clear" w:color="auto" w:fill="FFFFFF"/>
        <w:spacing w:before="197" w:line="216" w:lineRule="exact"/>
        <w:jc w:val="both"/>
      </w:pPr>
      <w:r>
        <w:rPr>
          <w:spacing w:val="-10"/>
          <w:sz w:val="18"/>
          <w:szCs w:val="18"/>
          <w:lang w:val="es-ES_tradnl"/>
        </w:rPr>
        <w:t>Por tales razones, se infiere que al ser la reparaci</w:t>
      </w:r>
      <w:r>
        <w:rPr>
          <w:rFonts w:cs="Times New Roman"/>
          <w:spacing w:val="-10"/>
          <w:sz w:val="18"/>
          <w:szCs w:val="18"/>
          <w:lang w:val="es-ES_tradnl"/>
        </w:rPr>
        <w:t>ó</w:t>
      </w:r>
      <w:r>
        <w:rPr>
          <w:spacing w:val="-10"/>
          <w:sz w:val="18"/>
          <w:szCs w:val="18"/>
          <w:lang w:val="es-ES_tradnl"/>
        </w:rPr>
        <w:t xml:space="preserve">n integral </w:t>
      </w:r>
      <w:r>
        <w:rPr>
          <w:spacing w:val="-8"/>
          <w:sz w:val="18"/>
          <w:szCs w:val="18"/>
          <w:lang w:val="es-ES_tradnl"/>
        </w:rPr>
        <w:t>una medida que busca reparar la vulneraci</w:t>
      </w:r>
      <w:r>
        <w:rPr>
          <w:rFonts w:cs="Times New Roman"/>
          <w:spacing w:val="-8"/>
          <w:sz w:val="18"/>
          <w:szCs w:val="18"/>
          <w:lang w:val="es-ES_tradnl"/>
        </w:rPr>
        <w:t>ó</w:t>
      </w:r>
      <w:r>
        <w:rPr>
          <w:spacing w:val="-8"/>
          <w:sz w:val="18"/>
          <w:szCs w:val="18"/>
          <w:lang w:val="es-ES_tradnl"/>
        </w:rPr>
        <w:t>n de derechos generada por parte del Estado y quienes act</w:t>
      </w:r>
      <w:r>
        <w:rPr>
          <w:rFonts w:cs="Times New Roman"/>
          <w:spacing w:val="-8"/>
          <w:sz w:val="18"/>
          <w:szCs w:val="18"/>
          <w:lang w:val="es-ES_tradnl"/>
        </w:rPr>
        <w:t>ú</w:t>
      </w:r>
      <w:r>
        <w:rPr>
          <w:spacing w:val="-8"/>
          <w:sz w:val="18"/>
          <w:szCs w:val="18"/>
          <w:lang w:val="es-ES_tradnl"/>
        </w:rPr>
        <w:t xml:space="preserve">an en su </w:t>
      </w:r>
      <w:r>
        <w:rPr>
          <w:spacing w:val="-10"/>
          <w:sz w:val="18"/>
          <w:szCs w:val="18"/>
          <w:lang w:val="es-ES_tradnl"/>
        </w:rPr>
        <w:t>representaci</w:t>
      </w:r>
      <w:r>
        <w:rPr>
          <w:rFonts w:cs="Times New Roman"/>
          <w:spacing w:val="-10"/>
          <w:sz w:val="18"/>
          <w:szCs w:val="18"/>
          <w:lang w:val="es-ES_tradnl"/>
        </w:rPr>
        <w:t>ó</w:t>
      </w:r>
      <w:r>
        <w:rPr>
          <w:spacing w:val="-10"/>
          <w:sz w:val="18"/>
          <w:szCs w:val="18"/>
          <w:lang w:val="es-ES_tradnl"/>
        </w:rPr>
        <w:t xml:space="preserve">n, esta debe ser proporcional a la gravedad de </w:t>
      </w:r>
      <w:r>
        <w:rPr>
          <w:spacing w:val="-4"/>
          <w:sz w:val="18"/>
          <w:szCs w:val="18"/>
          <w:lang w:val="es-ES_tradnl"/>
        </w:rPr>
        <w:t>la violaci</w:t>
      </w:r>
      <w:r>
        <w:rPr>
          <w:rFonts w:cs="Times New Roman"/>
          <w:spacing w:val="-4"/>
          <w:sz w:val="18"/>
          <w:szCs w:val="18"/>
          <w:lang w:val="es-ES_tradnl"/>
        </w:rPr>
        <w:t>ó</w:t>
      </w:r>
      <w:r>
        <w:rPr>
          <w:spacing w:val="-4"/>
          <w:sz w:val="18"/>
          <w:szCs w:val="18"/>
          <w:lang w:val="es-ES_tradnl"/>
        </w:rPr>
        <w:t xml:space="preserve">n y al perjuicio cometido, sin que ello implique </w:t>
      </w:r>
      <w:r>
        <w:rPr>
          <w:spacing w:val="-11"/>
          <w:sz w:val="18"/>
          <w:szCs w:val="18"/>
          <w:lang w:val="es-ES_tradnl"/>
        </w:rPr>
        <w:t>naturalmente afectar derechos leg</w:t>
      </w:r>
      <w:r>
        <w:rPr>
          <w:rFonts w:cs="Times New Roman"/>
          <w:spacing w:val="-11"/>
          <w:sz w:val="18"/>
          <w:szCs w:val="18"/>
          <w:lang w:val="es-ES_tradnl"/>
        </w:rPr>
        <w:t>í</w:t>
      </w:r>
      <w:r>
        <w:rPr>
          <w:spacing w:val="-11"/>
          <w:sz w:val="18"/>
          <w:szCs w:val="18"/>
          <w:lang w:val="es-ES_tradnl"/>
        </w:rPr>
        <w:t xml:space="preserve">timos de terceros, tal como </w:t>
      </w:r>
      <w:r>
        <w:rPr>
          <w:spacing w:val="-7"/>
          <w:sz w:val="18"/>
          <w:szCs w:val="18"/>
          <w:lang w:val="es-ES_tradnl"/>
        </w:rPr>
        <w:t>aconteci</w:t>
      </w:r>
      <w:r>
        <w:rPr>
          <w:rFonts w:cs="Times New Roman"/>
          <w:spacing w:val="-7"/>
          <w:sz w:val="18"/>
          <w:szCs w:val="18"/>
          <w:lang w:val="es-ES_tradnl"/>
        </w:rPr>
        <w:t>ó</w:t>
      </w:r>
      <w:r>
        <w:rPr>
          <w:spacing w:val="-7"/>
          <w:sz w:val="18"/>
          <w:szCs w:val="18"/>
          <w:lang w:val="es-ES_tradnl"/>
        </w:rPr>
        <w:t xml:space="preserve"> en el presente caso. Es por ello, precisamente, </w:t>
      </w:r>
      <w:r>
        <w:rPr>
          <w:spacing w:val="-8"/>
          <w:sz w:val="18"/>
          <w:szCs w:val="18"/>
          <w:lang w:val="es-ES_tradnl"/>
        </w:rPr>
        <w:t>que la reparaci</w:t>
      </w:r>
      <w:r>
        <w:rPr>
          <w:rFonts w:cs="Times New Roman"/>
          <w:spacing w:val="-8"/>
          <w:sz w:val="18"/>
          <w:szCs w:val="18"/>
          <w:lang w:val="es-ES_tradnl"/>
        </w:rPr>
        <w:t>ó</w:t>
      </w:r>
      <w:r>
        <w:rPr>
          <w:spacing w:val="-8"/>
          <w:sz w:val="18"/>
          <w:szCs w:val="18"/>
          <w:lang w:val="es-ES_tradnl"/>
        </w:rPr>
        <w:t xml:space="preserve">n integral, tal como es concebida dentro de </w:t>
      </w:r>
      <w:r>
        <w:rPr>
          <w:spacing w:val="-9"/>
          <w:sz w:val="18"/>
          <w:szCs w:val="18"/>
          <w:lang w:val="es-ES_tradnl"/>
        </w:rPr>
        <w:t>nuestro ordenamiento jur</w:t>
      </w:r>
      <w:r>
        <w:rPr>
          <w:rFonts w:cs="Times New Roman"/>
          <w:spacing w:val="-9"/>
          <w:sz w:val="18"/>
          <w:szCs w:val="18"/>
          <w:lang w:val="es-ES_tradnl"/>
        </w:rPr>
        <w:t>í</w:t>
      </w:r>
      <w:r>
        <w:rPr>
          <w:spacing w:val="-9"/>
          <w:sz w:val="18"/>
          <w:szCs w:val="18"/>
          <w:lang w:val="es-ES_tradnl"/>
        </w:rPr>
        <w:t>dico y espec</w:t>
      </w:r>
      <w:r>
        <w:rPr>
          <w:rFonts w:cs="Times New Roman"/>
          <w:spacing w:val="-9"/>
          <w:sz w:val="18"/>
          <w:szCs w:val="18"/>
          <w:lang w:val="es-ES_tradnl"/>
        </w:rPr>
        <w:t>í</w:t>
      </w:r>
      <w:r>
        <w:rPr>
          <w:spacing w:val="-9"/>
          <w:sz w:val="18"/>
          <w:szCs w:val="18"/>
          <w:lang w:val="es-ES_tradnl"/>
        </w:rPr>
        <w:t>ficamente el art</w:t>
      </w:r>
      <w:r>
        <w:rPr>
          <w:rFonts w:cs="Times New Roman"/>
          <w:spacing w:val="-9"/>
          <w:sz w:val="18"/>
          <w:szCs w:val="18"/>
          <w:lang w:val="es-ES_tradnl"/>
        </w:rPr>
        <w:t>í</w:t>
      </w:r>
      <w:r>
        <w:rPr>
          <w:spacing w:val="-9"/>
          <w:sz w:val="18"/>
          <w:szCs w:val="18"/>
          <w:lang w:val="es-ES_tradnl"/>
        </w:rPr>
        <w:t xml:space="preserve">culo 18 de la norma antes referida, establece las distintas formas </w:t>
      </w:r>
      <w:r>
        <w:rPr>
          <w:spacing w:val="-8"/>
          <w:sz w:val="18"/>
          <w:szCs w:val="18"/>
          <w:lang w:val="es-ES_tradnl"/>
        </w:rPr>
        <w:t>de c</w:t>
      </w:r>
      <w:r>
        <w:rPr>
          <w:rFonts w:cs="Times New Roman"/>
          <w:spacing w:val="-8"/>
          <w:sz w:val="18"/>
          <w:szCs w:val="18"/>
          <w:lang w:val="es-ES_tradnl"/>
        </w:rPr>
        <w:t>ó</w:t>
      </w:r>
      <w:r>
        <w:rPr>
          <w:spacing w:val="-8"/>
          <w:sz w:val="18"/>
          <w:szCs w:val="18"/>
          <w:lang w:val="es-ES_tradnl"/>
        </w:rPr>
        <w:t>mo se puede hacer efectiva la reparaci</w:t>
      </w:r>
      <w:r>
        <w:rPr>
          <w:rFonts w:cs="Times New Roman"/>
          <w:spacing w:val="-8"/>
          <w:sz w:val="18"/>
          <w:szCs w:val="18"/>
          <w:lang w:val="es-ES_tradnl"/>
        </w:rPr>
        <w:t>ó</w:t>
      </w:r>
      <w:r>
        <w:rPr>
          <w:spacing w:val="-8"/>
          <w:sz w:val="18"/>
          <w:szCs w:val="18"/>
          <w:lang w:val="es-ES_tradnl"/>
        </w:rPr>
        <w:t xml:space="preserve">n integral, tal </w:t>
      </w:r>
      <w:r>
        <w:rPr>
          <w:sz w:val="18"/>
          <w:szCs w:val="18"/>
          <w:lang w:val="es-ES_tradnl"/>
        </w:rPr>
        <w:t>como se desprende de la referida norma:</w:t>
      </w:r>
    </w:p>
    <w:p w14:paraId="4F67B2B6" w14:textId="77777777" w:rsidR="00591D54" w:rsidRDefault="00591D54">
      <w:pPr>
        <w:shd w:val="clear" w:color="auto" w:fill="FFFFFF"/>
        <w:spacing w:before="202" w:line="216" w:lineRule="exact"/>
        <w:ind w:left="283"/>
        <w:jc w:val="both"/>
      </w:pPr>
      <w:r>
        <w:rPr>
          <w:sz w:val="14"/>
          <w:szCs w:val="14"/>
          <w:lang w:val="es-ES_tradnl"/>
        </w:rPr>
        <w:t>Art</w:t>
      </w:r>
      <w:r>
        <w:rPr>
          <w:rFonts w:cs="Times New Roman"/>
          <w:sz w:val="14"/>
          <w:szCs w:val="14"/>
          <w:lang w:val="es-ES_tradnl"/>
        </w:rPr>
        <w:t>í</w:t>
      </w:r>
      <w:r>
        <w:rPr>
          <w:sz w:val="14"/>
          <w:szCs w:val="14"/>
          <w:lang w:val="es-ES_tradnl"/>
        </w:rPr>
        <w:t>culo 18: En caso de declararse la vulneraci</w:t>
      </w:r>
      <w:r>
        <w:rPr>
          <w:rFonts w:cs="Times New Roman"/>
          <w:sz w:val="14"/>
          <w:szCs w:val="14"/>
          <w:lang w:val="es-ES_tradnl"/>
        </w:rPr>
        <w:t>ó</w:t>
      </w:r>
      <w:r>
        <w:rPr>
          <w:sz w:val="14"/>
          <w:szCs w:val="14"/>
          <w:lang w:val="es-ES_tradnl"/>
        </w:rPr>
        <w:t>n de derechos se ordenar</w:t>
      </w:r>
      <w:r>
        <w:rPr>
          <w:rFonts w:cs="Times New Roman"/>
          <w:sz w:val="14"/>
          <w:szCs w:val="14"/>
          <w:lang w:val="es-ES_tradnl"/>
        </w:rPr>
        <w:t>á</w:t>
      </w:r>
      <w:r>
        <w:rPr>
          <w:sz w:val="14"/>
          <w:szCs w:val="14"/>
          <w:lang w:val="es-ES_tradnl"/>
        </w:rPr>
        <w:t xml:space="preserve"> la reparaci</w:t>
      </w:r>
      <w:r>
        <w:rPr>
          <w:rFonts w:cs="Times New Roman"/>
          <w:sz w:val="14"/>
          <w:szCs w:val="14"/>
          <w:lang w:val="es-ES_tradnl"/>
        </w:rPr>
        <w:t>ó</w:t>
      </w:r>
      <w:r>
        <w:rPr>
          <w:sz w:val="14"/>
          <w:szCs w:val="14"/>
          <w:lang w:val="es-ES_tradnl"/>
        </w:rPr>
        <w:t>n integral por el da</w:t>
      </w:r>
      <w:r>
        <w:rPr>
          <w:rFonts w:cs="Times New Roman"/>
          <w:sz w:val="14"/>
          <w:szCs w:val="14"/>
          <w:lang w:val="es-ES_tradnl"/>
        </w:rPr>
        <w:t>ñ</w:t>
      </w:r>
      <w:r>
        <w:rPr>
          <w:sz w:val="14"/>
          <w:szCs w:val="14"/>
          <w:lang w:val="es-ES_tradnl"/>
        </w:rPr>
        <w:t>o material e inmaterial. La reparaci</w:t>
      </w:r>
      <w:r>
        <w:rPr>
          <w:rFonts w:cs="Times New Roman"/>
          <w:sz w:val="14"/>
          <w:szCs w:val="14"/>
          <w:lang w:val="es-ES_tradnl"/>
        </w:rPr>
        <w:t>ó</w:t>
      </w:r>
      <w:r>
        <w:rPr>
          <w:sz w:val="14"/>
          <w:szCs w:val="14"/>
          <w:lang w:val="es-ES_tradnl"/>
        </w:rPr>
        <w:t>n integral procurar</w:t>
      </w:r>
      <w:r>
        <w:rPr>
          <w:rFonts w:cs="Times New Roman"/>
          <w:sz w:val="14"/>
          <w:szCs w:val="14"/>
          <w:lang w:val="es-ES_tradnl"/>
        </w:rPr>
        <w:t>á</w:t>
      </w:r>
      <w:r>
        <w:rPr>
          <w:sz w:val="14"/>
          <w:szCs w:val="14"/>
          <w:lang w:val="es-ES_tradnl"/>
        </w:rPr>
        <w:t xml:space="preserve"> que la persona o personas titulares del derecho violado gocen y disfruten el derecho de la manera m</w:t>
      </w:r>
      <w:r>
        <w:rPr>
          <w:rFonts w:cs="Times New Roman"/>
          <w:sz w:val="14"/>
          <w:szCs w:val="14"/>
          <w:lang w:val="es-ES_tradnl"/>
        </w:rPr>
        <w:t>á</w:t>
      </w:r>
      <w:r>
        <w:rPr>
          <w:sz w:val="14"/>
          <w:szCs w:val="14"/>
          <w:lang w:val="es-ES_tradnl"/>
        </w:rPr>
        <w:t>s adecuada posible y que se restablezca a la situaci</w:t>
      </w:r>
      <w:r>
        <w:rPr>
          <w:rFonts w:cs="Times New Roman"/>
          <w:sz w:val="14"/>
          <w:szCs w:val="14"/>
          <w:lang w:val="es-ES_tradnl"/>
        </w:rPr>
        <w:t>ó</w:t>
      </w:r>
      <w:r>
        <w:rPr>
          <w:sz w:val="14"/>
          <w:szCs w:val="14"/>
          <w:lang w:val="es-ES_tradnl"/>
        </w:rPr>
        <w:t>n anterior a la violaci</w:t>
      </w:r>
      <w:r>
        <w:rPr>
          <w:rFonts w:cs="Times New Roman"/>
          <w:sz w:val="14"/>
          <w:szCs w:val="14"/>
          <w:lang w:val="es-ES_tradnl"/>
        </w:rPr>
        <w:t>ó</w:t>
      </w:r>
      <w:r>
        <w:rPr>
          <w:sz w:val="14"/>
          <w:szCs w:val="14"/>
          <w:lang w:val="es-ES_tradnl"/>
        </w:rPr>
        <w:t xml:space="preserve">n. </w:t>
      </w:r>
      <w:r>
        <w:rPr>
          <w:sz w:val="14"/>
          <w:szCs w:val="14"/>
          <w:u w:val="single"/>
          <w:lang w:val="es-ES_tradnl"/>
        </w:rPr>
        <w:t>La reparaci</w:t>
      </w:r>
      <w:r>
        <w:rPr>
          <w:rFonts w:cs="Times New Roman"/>
          <w:sz w:val="14"/>
          <w:szCs w:val="14"/>
          <w:u w:val="single"/>
          <w:lang w:val="es-ES_tradnl"/>
        </w:rPr>
        <w:t>ó</w:t>
      </w:r>
      <w:r>
        <w:rPr>
          <w:sz w:val="14"/>
          <w:szCs w:val="14"/>
          <w:u w:val="single"/>
          <w:lang w:val="es-ES_tradnl"/>
        </w:rPr>
        <w:t>n podr</w:t>
      </w:r>
      <w:r>
        <w:rPr>
          <w:rFonts w:cs="Times New Roman"/>
          <w:sz w:val="14"/>
          <w:szCs w:val="14"/>
          <w:u w:val="single"/>
          <w:lang w:val="es-ES_tradnl"/>
        </w:rPr>
        <w:t>á</w:t>
      </w:r>
      <w:r>
        <w:rPr>
          <w:sz w:val="14"/>
          <w:szCs w:val="14"/>
          <w:u w:val="single"/>
          <w:lang w:val="es-ES_tradnl"/>
        </w:rPr>
        <w:t xml:space="preserve"> incluir, entre otras formas, la restituci</w:t>
      </w:r>
      <w:r>
        <w:rPr>
          <w:rFonts w:cs="Times New Roman"/>
          <w:sz w:val="14"/>
          <w:szCs w:val="14"/>
          <w:u w:val="single"/>
          <w:lang w:val="es-ES_tradnl"/>
        </w:rPr>
        <w:t>ó</w:t>
      </w:r>
      <w:r>
        <w:rPr>
          <w:sz w:val="14"/>
          <w:szCs w:val="14"/>
          <w:u w:val="single"/>
          <w:lang w:val="es-ES_tradnl"/>
        </w:rPr>
        <w:t>n del derecho, la compensaci</w:t>
      </w:r>
      <w:r>
        <w:rPr>
          <w:rFonts w:cs="Times New Roman"/>
          <w:sz w:val="14"/>
          <w:szCs w:val="14"/>
          <w:u w:val="single"/>
          <w:lang w:val="es-ES_tradnl"/>
        </w:rPr>
        <w:t>ó</w:t>
      </w:r>
      <w:r>
        <w:rPr>
          <w:sz w:val="14"/>
          <w:szCs w:val="14"/>
          <w:u w:val="single"/>
          <w:lang w:val="es-ES_tradnl"/>
        </w:rPr>
        <w:t>n econ</w:t>
      </w:r>
      <w:r>
        <w:rPr>
          <w:rFonts w:cs="Times New Roman"/>
          <w:sz w:val="14"/>
          <w:szCs w:val="14"/>
          <w:u w:val="single"/>
          <w:lang w:val="es-ES_tradnl"/>
        </w:rPr>
        <w:t>ó</w:t>
      </w:r>
      <w:r>
        <w:rPr>
          <w:sz w:val="14"/>
          <w:szCs w:val="14"/>
          <w:u w:val="single"/>
          <w:lang w:val="es-ES_tradnl"/>
        </w:rPr>
        <w:t>mica o patrimonial, la rehabilitaci</w:t>
      </w:r>
      <w:r>
        <w:rPr>
          <w:rFonts w:cs="Times New Roman"/>
          <w:sz w:val="14"/>
          <w:szCs w:val="14"/>
          <w:u w:val="single"/>
          <w:lang w:val="es-ES_tradnl"/>
        </w:rPr>
        <w:t>ó</w:t>
      </w:r>
      <w:r>
        <w:rPr>
          <w:sz w:val="14"/>
          <w:szCs w:val="14"/>
          <w:u w:val="single"/>
          <w:lang w:val="es-ES_tradnl"/>
        </w:rPr>
        <w:t>n, la satisfacci</w:t>
      </w:r>
      <w:r>
        <w:rPr>
          <w:rFonts w:cs="Times New Roman"/>
          <w:sz w:val="14"/>
          <w:szCs w:val="14"/>
          <w:u w:val="single"/>
          <w:lang w:val="es-ES_tradnl"/>
        </w:rPr>
        <w:t>ó</w:t>
      </w:r>
      <w:r>
        <w:rPr>
          <w:sz w:val="14"/>
          <w:szCs w:val="14"/>
          <w:u w:val="single"/>
          <w:lang w:val="es-ES_tradnl"/>
        </w:rPr>
        <w:t>n, las garant</w:t>
      </w:r>
      <w:r>
        <w:rPr>
          <w:rFonts w:cs="Times New Roman"/>
          <w:sz w:val="14"/>
          <w:szCs w:val="14"/>
          <w:u w:val="single"/>
          <w:lang w:val="es-ES_tradnl"/>
        </w:rPr>
        <w:t>í</w:t>
      </w:r>
      <w:r>
        <w:rPr>
          <w:sz w:val="14"/>
          <w:szCs w:val="14"/>
          <w:u w:val="single"/>
          <w:lang w:val="es-ES_tradnl"/>
        </w:rPr>
        <w:t>as de que el hecho no se repita, la obligaci</w:t>
      </w:r>
      <w:r>
        <w:rPr>
          <w:rFonts w:cs="Times New Roman"/>
          <w:sz w:val="14"/>
          <w:szCs w:val="14"/>
          <w:u w:val="single"/>
          <w:lang w:val="es-ES_tradnl"/>
        </w:rPr>
        <w:t>ó</w:t>
      </w:r>
      <w:r>
        <w:rPr>
          <w:sz w:val="14"/>
          <w:szCs w:val="14"/>
          <w:u w:val="single"/>
          <w:lang w:val="es-ES_tradnl"/>
        </w:rPr>
        <w:t>n de remitir a la autoridad competente para investigar y sancionar, las medidas de reconocimiento, las disculpas p</w:t>
      </w:r>
      <w:r>
        <w:rPr>
          <w:rFonts w:cs="Times New Roman"/>
          <w:sz w:val="14"/>
          <w:szCs w:val="14"/>
          <w:u w:val="single"/>
          <w:lang w:val="es-ES_tradnl"/>
        </w:rPr>
        <w:t>ú</w:t>
      </w:r>
      <w:r>
        <w:rPr>
          <w:sz w:val="14"/>
          <w:szCs w:val="14"/>
          <w:u w:val="single"/>
          <w:lang w:val="es-ES_tradnl"/>
        </w:rPr>
        <w:t>blicas, la prestaci</w:t>
      </w:r>
      <w:r>
        <w:rPr>
          <w:rFonts w:cs="Times New Roman"/>
          <w:sz w:val="14"/>
          <w:szCs w:val="14"/>
          <w:u w:val="single"/>
          <w:lang w:val="es-ES_tradnl"/>
        </w:rPr>
        <w:t>ó</w:t>
      </w:r>
      <w:r>
        <w:rPr>
          <w:sz w:val="14"/>
          <w:szCs w:val="14"/>
          <w:u w:val="single"/>
          <w:lang w:val="es-ES_tradnl"/>
        </w:rPr>
        <w:t>n de servicios p</w:t>
      </w:r>
      <w:r>
        <w:rPr>
          <w:rFonts w:cs="Times New Roman"/>
          <w:sz w:val="14"/>
          <w:szCs w:val="14"/>
          <w:u w:val="single"/>
          <w:lang w:val="es-ES_tradnl"/>
        </w:rPr>
        <w:t>ú</w:t>
      </w:r>
      <w:r>
        <w:rPr>
          <w:sz w:val="14"/>
          <w:szCs w:val="14"/>
          <w:u w:val="single"/>
          <w:lang w:val="es-ES_tradnl"/>
        </w:rPr>
        <w:t>blicos, la atenci</w:t>
      </w:r>
      <w:r>
        <w:rPr>
          <w:rFonts w:cs="Times New Roman"/>
          <w:sz w:val="14"/>
          <w:szCs w:val="14"/>
          <w:u w:val="single"/>
          <w:lang w:val="es-ES_tradnl"/>
        </w:rPr>
        <w:t>ó</w:t>
      </w:r>
      <w:r>
        <w:rPr>
          <w:sz w:val="14"/>
          <w:szCs w:val="14"/>
          <w:u w:val="single"/>
          <w:lang w:val="es-ES_tradnl"/>
        </w:rPr>
        <w:t>n de salud</w:t>
      </w:r>
      <w:r>
        <w:rPr>
          <w:sz w:val="14"/>
          <w:szCs w:val="14"/>
          <w:lang w:val="es-ES_tradnl"/>
        </w:rPr>
        <w:t>. (Lo subrayado le pertenece a esta Corte).</w:t>
      </w:r>
    </w:p>
    <w:p w14:paraId="4F67B2B7" w14:textId="77777777" w:rsidR="00591D54" w:rsidRDefault="00591D54">
      <w:pPr>
        <w:shd w:val="clear" w:color="auto" w:fill="FFFFFF"/>
        <w:spacing w:before="197" w:line="216" w:lineRule="exact"/>
        <w:jc w:val="both"/>
      </w:pPr>
      <w:r>
        <w:rPr>
          <w:spacing w:val="-9"/>
          <w:sz w:val="18"/>
          <w:szCs w:val="18"/>
          <w:lang w:val="es-ES_tradnl"/>
        </w:rPr>
        <w:t>Con respecto al alcance y caracter</w:t>
      </w:r>
      <w:r>
        <w:rPr>
          <w:rFonts w:cs="Times New Roman"/>
          <w:spacing w:val="-9"/>
          <w:sz w:val="18"/>
          <w:szCs w:val="18"/>
          <w:lang w:val="es-ES_tradnl"/>
        </w:rPr>
        <w:t>í</w:t>
      </w:r>
      <w:r>
        <w:rPr>
          <w:spacing w:val="-9"/>
          <w:sz w:val="18"/>
          <w:szCs w:val="18"/>
          <w:lang w:val="es-ES_tradnl"/>
        </w:rPr>
        <w:t xml:space="preserve">sticas que debe reunir la </w:t>
      </w:r>
      <w:r>
        <w:rPr>
          <w:spacing w:val="-6"/>
          <w:sz w:val="18"/>
          <w:szCs w:val="18"/>
          <w:lang w:val="es-ES_tradnl"/>
        </w:rPr>
        <w:t>reparaci</w:t>
      </w:r>
      <w:r>
        <w:rPr>
          <w:rFonts w:cs="Times New Roman"/>
          <w:spacing w:val="-6"/>
          <w:sz w:val="18"/>
          <w:szCs w:val="18"/>
          <w:lang w:val="es-ES_tradnl"/>
        </w:rPr>
        <w:t>ó</w:t>
      </w:r>
      <w:r>
        <w:rPr>
          <w:spacing w:val="-6"/>
          <w:sz w:val="18"/>
          <w:szCs w:val="18"/>
          <w:lang w:val="es-ES_tradnl"/>
        </w:rPr>
        <w:t xml:space="preserve">n integral, la Corte Constitucional ha establecido </w:t>
      </w:r>
      <w:r>
        <w:rPr>
          <w:sz w:val="18"/>
          <w:szCs w:val="18"/>
          <w:lang w:val="es-ES_tradnl"/>
        </w:rPr>
        <w:t>por medio de sus fallos, que:</w:t>
      </w:r>
    </w:p>
    <w:p w14:paraId="4F67B2B8" w14:textId="77777777" w:rsidR="00591D54" w:rsidRDefault="00591D54">
      <w:pPr>
        <w:shd w:val="clear" w:color="auto" w:fill="FFFFFF"/>
        <w:spacing w:before="202" w:line="216" w:lineRule="exact"/>
        <w:ind w:left="283"/>
        <w:jc w:val="both"/>
      </w:pPr>
      <w:r>
        <w:rPr>
          <w:sz w:val="14"/>
          <w:szCs w:val="14"/>
          <w:lang w:val="es-ES_tradnl"/>
        </w:rPr>
        <w:t>(</w:t>
      </w:r>
      <w:r>
        <w:rPr>
          <w:rFonts w:cs="Times New Roman"/>
          <w:sz w:val="14"/>
          <w:szCs w:val="14"/>
          <w:lang w:val="es-ES_tradnl"/>
        </w:rPr>
        <w:t>…</w:t>
      </w:r>
      <w:r>
        <w:rPr>
          <w:sz w:val="14"/>
          <w:szCs w:val="14"/>
          <w:lang w:val="es-ES_tradnl"/>
        </w:rPr>
        <w:t>) dicha determinaci</w:t>
      </w:r>
      <w:r>
        <w:rPr>
          <w:rFonts w:cs="Times New Roman"/>
          <w:sz w:val="14"/>
          <w:szCs w:val="14"/>
          <w:lang w:val="es-ES_tradnl"/>
        </w:rPr>
        <w:t>ó</w:t>
      </w:r>
      <w:r>
        <w:rPr>
          <w:sz w:val="14"/>
          <w:szCs w:val="14"/>
          <w:lang w:val="es-ES_tradnl"/>
        </w:rPr>
        <w:t>n deber</w:t>
      </w:r>
      <w:r>
        <w:rPr>
          <w:rFonts w:cs="Times New Roman"/>
          <w:sz w:val="14"/>
          <w:szCs w:val="14"/>
          <w:lang w:val="es-ES_tradnl"/>
        </w:rPr>
        <w:t>á</w:t>
      </w:r>
      <w:r>
        <w:rPr>
          <w:sz w:val="14"/>
          <w:szCs w:val="14"/>
          <w:lang w:val="es-ES_tradnl"/>
        </w:rPr>
        <w:t xml:space="preserve"> ser proporcional y racional con relaci</w:t>
      </w:r>
      <w:r>
        <w:rPr>
          <w:rFonts w:cs="Times New Roman"/>
          <w:sz w:val="14"/>
          <w:szCs w:val="14"/>
          <w:lang w:val="es-ES_tradnl"/>
        </w:rPr>
        <w:t>ó</w:t>
      </w:r>
      <w:r>
        <w:rPr>
          <w:sz w:val="14"/>
          <w:szCs w:val="14"/>
          <w:lang w:val="es-ES_tradnl"/>
        </w:rPr>
        <w:t>n a la funci</w:t>
      </w:r>
      <w:r>
        <w:rPr>
          <w:rFonts w:cs="Times New Roman"/>
          <w:sz w:val="14"/>
          <w:szCs w:val="14"/>
          <w:lang w:val="es-ES_tradnl"/>
        </w:rPr>
        <w:t>ó</w:t>
      </w:r>
      <w:r>
        <w:rPr>
          <w:sz w:val="14"/>
          <w:szCs w:val="14"/>
          <w:lang w:val="es-ES_tradnl"/>
        </w:rPr>
        <w:t>n del tipo de violaci</w:t>
      </w:r>
      <w:r>
        <w:rPr>
          <w:rFonts w:cs="Times New Roman"/>
          <w:sz w:val="14"/>
          <w:szCs w:val="14"/>
          <w:lang w:val="es-ES_tradnl"/>
        </w:rPr>
        <w:t>ó</w:t>
      </w:r>
      <w:r>
        <w:rPr>
          <w:sz w:val="14"/>
          <w:szCs w:val="14"/>
          <w:lang w:val="es-ES_tradnl"/>
        </w:rPr>
        <w:t>n, las circunstancias del caso, las consecuencias de los hechos y la afectaci</w:t>
      </w:r>
      <w:r>
        <w:rPr>
          <w:rFonts w:cs="Times New Roman"/>
          <w:sz w:val="14"/>
          <w:szCs w:val="14"/>
          <w:lang w:val="es-ES_tradnl"/>
        </w:rPr>
        <w:t>ó</w:t>
      </w:r>
      <w:r>
        <w:rPr>
          <w:sz w:val="14"/>
          <w:szCs w:val="14"/>
          <w:lang w:val="es-ES_tradnl"/>
        </w:rPr>
        <w:t>n del proyecto de vida de la persona (</w:t>
      </w:r>
      <w:r>
        <w:rPr>
          <w:rFonts w:cs="Times New Roman"/>
          <w:sz w:val="14"/>
          <w:szCs w:val="14"/>
          <w:lang w:val="es-ES_tradnl"/>
        </w:rPr>
        <w:t>…</w:t>
      </w:r>
      <w:r>
        <w:rPr>
          <w:sz w:val="14"/>
          <w:szCs w:val="14"/>
          <w:lang w:val="es-ES_tradnl"/>
        </w:rPr>
        <w:t>) En conclusi</w:t>
      </w:r>
      <w:r>
        <w:rPr>
          <w:rFonts w:cs="Times New Roman"/>
          <w:sz w:val="14"/>
          <w:szCs w:val="14"/>
          <w:lang w:val="es-ES_tradnl"/>
        </w:rPr>
        <w:t>ó</w:t>
      </w:r>
      <w:r>
        <w:rPr>
          <w:sz w:val="14"/>
          <w:szCs w:val="14"/>
          <w:lang w:val="es-ES_tradnl"/>
        </w:rPr>
        <w:t>n, la reparaci</w:t>
      </w:r>
      <w:r>
        <w:rPr>
          <w:rFonts w:cs="Times New Roman"/>
          <w:sz w:val="14"/>
          <w:szCs w:val="14"/>
          <w:lang w:val="es-ES_tradnl"/>
        </w:rPr>
        <w:t>ó</w:t>
      </w:r>
      <w:r>
        <w:rPr>
          <w:sz w:val="14"/>
          <w:szCs w:val="14"/>
          <w:lang w:val="es-ES_tradnl"/>
        </w:rPr>
        <w:t>n integral es un derecho con el que cuentan todas las personas, a fin de que el Estado otorgue el resarcimiento del da</w:t>
      </w:r>
      <w:r>
        <w:rPr>
          <w:rFonts w:cs="Times New Roman"/>
          <w:sz w:val="14"/>
          <w:szCs w:val="14"/>
          <w:lang w:val="es-ES_tradnl"/>
        </w:rPr>
        <w:t>ñ</w:t>
      </w:r>
      <w:r>
        <w:rPr>
          <w:sz w:val="14"/>
          <w:szCs w:val="14"/>
          <w:lang w:val="es-ES_tradnl"/>
        </w:rPr>
        <w:t>o causado mediante un conjunto de medidas que consideren todo el historial de sucesos que se efectuaron, tanto durante como despu</w:t>
      </w:r>
      <w:r>
        <w:rPr>
          <w:rFonts w:cs="Times New Roman"/>
          <w:sz w:val="14"/>
          <w:szCs w:val="14"/>
          <w:lang w:val="es-ES_tradnl"/>
        </w:rPr>
        <w:t>é</w:t>
      </w:r>
      <w:r>
        <w:rPr>
          <w:sz w:val="14"/>
          <w:szCs w:val="14"/>
          <w:lang w:val="es-ES_tradnl"/>
        </w:rPr>
        <w:t>s de la vulneraci</w:t>
      </w:r>
      <w:r>
        <w:rPr>
          <w:rFonts w:cs="Times New Roman"/>
          <w:sz w:val="14"/>
          <w:szCs w:val="14"/>
          <w:lang w:val="es-ES_tradnl"/>
        </w:rPr>
        <w:t>ó</w:t>
      </w:r>
      <w:r>
        <w:rPr>
          <w:sz w:val="14"/>
          <w:szCs w:val="14"/>
          <w:lang w:val="es-ES_tradnl"/>
        </w:rPr>
        <w:t>n del derecho, incluyendo en ciertos</w:t>
      </w:r>
    </w:p>
    <w:p w14:paraId="4F67B2B9" w14:textId="77777777" w:rsidR="00591D54" w:rsidRDefault="00591D54">
      <w:pPr>
        <w:shd w:val="clear" w:color="auto" w:fill="FFFFFF"/>
        <w:spacing w:before="202" w:line="216" w:lineRule="exact"/>
        <w:ind w:left="283"/>
        <w:jc w:val="both"/>
        <w:sectPr w:rsidR="00591D54">
          <w:type w:val="continuous"/>
          <w:pgSz w:w="11909" w:h="16834"/>
          <w:pgMar w:top="1356" w:right="1309" w:bottom="360" w:left="1308" w:header="720" w:footer="720" w:gutter="0"/>
          <w:cols w:num="2" w:space="720" w:equalWidth="0">
            <w:col w:w="4305" w:space="682"/>
            <w:col w:w="4305"/>
          </w:cols>
          <w:noEndnote/>
        </w:sectPr>
      </w:pPr>
    </w:p>
    <w:p w14:paraId="4F67B2BA" w14:textId="77777777" w:rsidR="00591D54" w:rsidRDefault="00591D54">
      <w:pPr>
        <w:shd w:val="clear" w:color="auto" w:fill="FFFFFF"/>
        <w:tabs>
          <w:tab w:val="left" w:pos="5842"/>
        </w:tabs>
        <w:spacing w:after="230"/>
        <w:ind w:left="14"/>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- 187</w:t>
      </w:r>
    </w:p>
    <w:p w14:paraId="4F67B2BB" w14:textId="77777777" w:rsidR="00591D54" w:rsidRDefault="00591D54">
      <w:pPr>
        <w:shd w:val="clear" w:color="auto" w:fill="FFFFFF"/>
        <w:tabs>
          <w:tab w:val="left" w:pos="5842"/>
        </w:tabs>
        <w:spacing w:after="230"/>
        <w:ind w:left="14"/>
        <w:sectPr w:rsidR="00591D54">
          <w:pgSz w:w="11909" w:h="16834"/>
          <w:pgMar w:top="1359" w:right="1309" w:bottom="360" w:left="1308" w:header="720" w:footer="720" w:gutter="0"/>
          <w:cols w:space="60"/>
          <w:noEndnote/>
        </w:sectPr>
      </w:pPr>
    </w:p>
    <w:p w14:paraId="4F67B2BC" w14:textId="77777777" w:rsidR="00591D54" w:rsidRDefault="00591D54">
      <w:pPr>
        <w:shd w:val="clear" w:color="auto" w:fill="FFFFFF"/>
        <w:spacing w:line="211" w:lineRule="exact"/>
        <w:ind w:left="283"/>
        <w:jc w:val="both"/>
      </w:pPr>
      <w:r>
        <w:rPr>
          <w:sz w:val="14"/>
          <w:szCs w:val="14"/>
          <w:lang w:val="es-ES_tradnl"/>
        </w:rPr>
        <w:t>casos no solo las afectaciones individuales de la persona cuyo derecho se vulner</w:t>
      </w:r>
      <w:r>
        <w:rPr>
          <w:rFonts w:cs="Times New Roman"/>
          <w:sz w:val="14"/>
          <w:szCs w:val="14"/>
          <w:lang w:val="es-ES_tradnl"/>
        </w:rPr>
        <w:t>ó</w:t>
      </w:r>
      <w:r>
        <w:rPr>
          <w:sz w:val="14"/>
          <w:szCs w:val="14"/>
          <w:lang w:val="es-ES_tradnl"/>
        </w:rPr>
        <w:t>, sino adem</w:t>
      </w:r>
      <w:r>
        <w:rPr>
          <w:rFonts w:cs="Times New Roman"/>
          <w:sz w:val="14"/>
          <w:szCs w:val="14"/>
          <w:lang w:val="es-ES_tradnl"/>
        </w:rPr>
        <w:t>á</w:t>
      </w:r>
      <w:r>
        <w:rPr>
          <w:sz w:val="14"/>
          <w:szCs w:val="14"/>
          <w:lang w:val="es-ES_tradnl"/>
        </w:rPr>
        <w:t>s la afectaci</w:t>
      </w:r>
      <w:r>
        <w:rPr>
          <w:rFonts w:cs="Times New Roman"/>
          <w:sz w:val="14"/>
          <w:szCs w:val="14"/>
          <w:lang w:val="es-ES_tradnl"/>
        </w:rPr>
        <w:t>ó</w:t>
      </w:r>
      <w:r>
        <w:rPr>
          <w:sz w:val="14"/>
          <w:szCs w:val="14"/>
          <w:lang w:val="es-ES_tradnl"/>
        </w:rPr>
        <w:t>n que provoc</w:t>
      </w:r>
      <w:r>
        <w:rPr>
          <w:rFonts w:cs="Times New Roman"/>
          <w:sz w:val="14"/>
          <w:szCs w:val="14"/>
          <w:lang w:val="es-ES_tradnl"/>
        </w:rPr>
        <w:t>ó</w:t>
      </w:r>
      <w:r>
        <w:rPr>
          <w:sz w:val="14"/>
          <w:szCs w:val="14"/>
          <w:lang w:val="es-ES_tradnl"/>
        </w:rPr>
        <w:t xml:space="preserve"> en su entorno familiar y proyecto de vida</w:t>
      </w:r>
      <w:r>
        <w:rPr>
          <w:sz w:val="14"/>
          <w:szCs w:val="14"/>
          <w:vertAlign w:val="superscript"/>
          <w:lang w:val="es-ES_tradnl"/>
        </w:rPr>
        <w:t>6</w:t>
      </w:r>
      <w:r>
        <w:rPr>
          <w:sz w:val="14"/>
          <w:szCs w:val="14"/>
          <w:lang w:val="es-ES_tradnl"/>
        </w:rPr>
        <w:t>.</w:t>
      </w:r>
    </w:p>
    <w:p w14:paraId="4F67B2BD" w14:textId="77777777" w:rsidR="00591D54" w:rsidRDefault="00591D54">
      <w:pPr>
        <w:shd w:val="clear" w:color="auto" w:fill="FFFFFF"/>
        <w:spacing w:before="202" w:line="216" w:lineRule="exact"/>
        <w:jc w:val="both"/>
      </w:pPr>
      <w:r>
        <w:rPr>
          <w:spacing w:val="-8"/>
          <w:sz w:val="18"/>
          <w:szCs w:val="18"/>
          <w:lang w:val="es-ES_tradnl"/>
        </w:rPr>
        <w:t>En funci</w:t>
      </w:r>
      <w:r>
        <w:rPr>
          <w:rFonts w:cs="Times New Roman"/>
          <w:spacing w:val="-8"/>
          <w:sz w:val="18"/>
          <w:szCs w:val="18"/>
          <w:lang w:val="es-ES_tradnl"/>
        </w:rPr>
        <w:t>ó</w:t>
      </w:r>
      <w:r>
        <w:rPr>
          <w:spacing w:val="-8"/>
          <w:sz w:val="18"/>
          <w:szCs w:val="18"/>
          <w:lang w:val="es-ES_tradnl"/>
        </w:rPr>
        <w:t xml:space="preserve">n a lo expuesto, existen diversas formas de hacer </w:t>
      </w:r>
      <w:r>
        <w:rPr>
          <w:spacing w:val="-6"/>
          <w:sz w:val="18"/>
          <w:szCs w:val="18"/>
          <w:lang w:val="es-ES_tradnl"/>
        </w:rPr>
        <w:t>efectiva la reparaci</w:t>
      </w:r>
      <w:r>
        <w:rPr>
          <w:rFonts w:cs="Times New Roman"/>
          <w:spacing w:val="-6"/>
          <w:sz w:val="18"/>
          <w:szCs w:val="18"/>
          <w:lang w:val="es-ES_tradnl"/>
        </w:rPr>
        <w:t>ó</w:t>
      </w:r>
      <w:r>
        <w:rPr>
          <w:spacing w:val="-6"/>
          <w:sz w:val="18"/>
          <w:szCs w:val="18"/>
          <w:lang w:val="es-ES_tradnl"/>
        </w:rPr>
        <w:t xml:space="preserve">n integral y por las cuales el juez </w:t>
      </w:r>
      <w:r>
        <w:rPr>
          <w:spacing w:val="-4"/>
          <w:sz w:val="18"/>
          <w:szCs w:val="18"/>
          <w:lang w:val="es-ES_tradnl"/>
        </w:rPr>
        <w:t xml:space="preserve">constitucional debe aplicar aquella que mejor se adapte </w:t>
      </w:r>
      <w:r>
        <w:rPr>
          <w:spacing w:val="-6"/>
          <w:sz w:val="18"/>
          <w:szCs w:val="18"/>
          <w:lang w:val="es-ES_tradnl"/>
        </w:rPr>
        <w:t xml:space="preserve">al caso en particular, manteniendo un criterio de eficacia, </w:t>
      </w:r>
      <w:r>
        <w:rPr>
          <w:spacing w:val="-8"/>
          <w:sz w:val="18"/>
          <w:szCs w:val="18"/>
          <w:lang w:val="es-ES_tradnl"/>
        </w:rPr>
        <w:t xml:space="preserve">proporcionalidad y principalmente, sin desconocer y afectar </w:t>
      </w:r>
      <w:r>
        <w:rPr>
          <w:spacing w:val="-9"/>
          <w:sz w:val="18"/>
          <w:szCs w:val="18"/>
          <w:lang w:val="es-ES_tradnl"/>
        </w:rPr>
        <w:t xml:space="preserve">derechos de terceros, pues si el juez constitucional no hace </w:t>
      </w:r>
      <w:r>
        <w:rPr>
          <w:spacing w:val="-4"/>
          <w:sz w:val="18"/>
          <w:szCs w:val="18"/>
          <w:lang w:val="es-ES_tradnl"/>
        </w:rPr>
        <w:t>una justa valoraci</w:t>
      </w:r>
      <w:r>
        <w:rPr>
          <w:rFonts w:cs="Times New Roman"/>
          <w:spacing w:val="-4"/>
          <w:sz w:val="18"/>
          <w:szCs w:val="18"/>
          <w:lang w:val="es-ES_tradnl"/>
        </w:rPr>
        <w:t>ó</w:t>
      </w:r>
      <w:r>
        <w:rPr>
          <w:spacing w:val="-4"/>
          <w:sz w:val="18"/>
          <w:szCs w:val="18"/>
          <w:lang w:val="es-ES_tradnl"/>
        </w:rPr>
        <w:t>n entre la declaratoria de vulneraci</w:t>
      </w:r>
      <w:r>
        <w:rPr>
          <w:rFonts w:cs="Times New Roman"/>
          <w:spacing w:val="-4"/>
          <w:sz w:val="18"/>
          <w:szCs w:val="18"/>
          <w:lang w:val="es-ES_tradnl"/>
        </w:rPr>
        <w:t>ó</w:t>
      </w:r>
      <w:r>
        <w:rPr>
          <w:spacing w:val="-4"/>
          <w:sz w:val="18"/>
          <w:szCs w:val="18"/>
          <w:lang w:val="es-ES_tradnl"/>
        </w:rPr>
        <w:t xml:space="preserve">n </w:t>
      </w:r>
      <w:r>
        <w:rPr>
          <w:spacing w:val="-10"/>
          <w:sz w:val="18"/>
          <w:szCs w:val="18"/>
          <w:lang w:val="es-ES_tradnl"/>
        </w:rPr>
        <w:t>de derechos y el consecuente mecanismo de reparaci</w:t>
      </w:r>
      <w:r>
        <w:rPr>
          <w:rFonts w:cs="Times New Roman"/>
          <w:spacing w:val="-10"/>
          <w:sz w:val="18"/>
          <w:szCs w:val="18"/>
          <w:lang w:val="es-ES_tradnl"/>
        </w:rPr>
        <w:t>ó</w:t>
      </w:r>
      <w:r>
        <w:rPr>
          <w:spacing w:val="-10"/>
          <w:sz w:val="18"/>
          <w:szCs w:val="18"/>
          <w:lang w:val="es-ES_tradnl"/>
        </w:rPr>
        <w:t xml:space="preserve">n, se </w:t>
      </w:r>
      <w:r>
        <w:rPr>
          <w:spacing w:val="-8"/>
          <w:sz w:val="18"/>
          <w:szCs w:val="18"/>
          <w:lang w:val="es-ES_tradnl"/>
        </w:rPr>
        <w:t>pierde la naturaleza reparatoria que caracteriza a la acci</w:t>
      </w:r>
      <w:r>
        <w:rPr>
          <w:rFonts w:cs="Times New Roman"/>
          <w:spacing w:val="-8"/>
          <w:sz w:val="18"/>
          <w:szCs w:val="18"/>
          <w:lang w:val="es-ES_tradnl"/>
        </w:rPr>
        <w:t>ó</w:t>
      </w:r>
      <w:r>
        <w:rPr>
          <w:spacing w:val="-8"/>
          <w:sz w:val="18"/>
          <w:szCs w:val="18"/>
          <w:lang w:val="es-ES_tradnl"/>
        </w:rPr>
        <w:t xml:space="preserve">n </w:t>
      </w:r>
      <w:r>
        <w:rPr>
          <w:sz w:val="18"/>
          <w:szCs w:val="18"/>
          <w:lang w:val="es-ES_tradnl"/>
        </w:rPr>
        <w:t>de protecci</w:t>
      </w:r>
      <w:r>
        <w:rPr>
          <w:rFonts w:cs="Times New Roman"/>
          <w:sz w:val="18"/>
          <w:szCs w:val="18"/>
          <w:lang w:val="es-ES_tradnl"/>
        </w:rPr>
        <w:t>ó</w:t>
      </w:r>
      <w:r>
        <w:rPr>
          <w:sz w:val="18"/>
          <w:szCs w:val="18"/>
          <w:lang w:val="es-ES_tradnl"/>
        </w:rPr>
        <w:t>n.</w:t>
      </w:r>
    </w:p>
    <w:p w14:paraId="4F67B2BE" w14:textId="77777777" w:rsidR="00591D54" w:rsidRDefault="00591D54">
      <w:pPr>
        <w:shd w:val="clear" w:color="auto" w:fill="FFFFFF"/>
        <w:spacing w:before="197" w:line="216" w:lineRule="exact"/>
        <w:jc w:val="both"/>
      </w:pPr>
      <w:r>
        <w:rPr>
          <w:spacing w:val="-6"/>
          <w:sz w:val="18"/>
          <w:szCs w:val="18"/>
          <w:lang w:val="es-ES_tradnl"/>
        </w:rPr>
        <w:t xml:space="preserve">En el presente caso, los jueces de la Corte Provincial de Loja aplicaron como medida reparatoria la denominada </w:t>
      </w:r>
      <w:r>
        <w:rPr>
          <w:rFonts w:cs="Times New Roman"/>
          <w:spacing w:val="-4"/>
          <w:sz w:val="18"/>
          <w:szCs w:val="18"/>
          <w:lang w:val="es-ES_tradnl"/>
        </w:rPr>
        <w:t>“</w:t>
      </w:r>
      <w:r>
        <w:rPr>
          <w:spacing w:val="-4"/>
          <w:sz w:val="18"/>
          <w:szCs w:val="18"/>
          <w:lang w:val="es-ES_tradnl"/>
        </w:rPr>
        <w:t>restituci</w:t>
      </w:r>
      <w:r>
        <w:rPr>
          <w:rFonts w:cs="Times New Roman"/>
          <w:spacing w:val="-4"/>
          <w:sz w:val="18"/>
          <w:szCs w:val="18"/>
          <w:lang w:val="es-ES_tradnl"/>
        </w:rPr>
        <w:t>ó</w:t>
      </w:r>
      <w:r>
        <w:rPr>
          <w:spacing w:val="-4"/>
          <w:sz w:val="18"/>
          <w:szCs w:val="18"/>
          <w:lang w:val="es-ES_tradnl"/>
        </w:rPr>
        <w:t>n del derecho</w:t>
      </w:r>
      <w:r>
        <w:rPr>
          <w:rFonts w:cs="Times New Roman"/>
          <w:spacing w:val="-4"/>
          <w:sz w:val="18"/>
          <w:szCs w:val="18"/>
          <w:lang w:val="es-ES_tradnl"/>
        </w:rPr>
        <w:t>”</w:t>
      </w:r>
      <w:r>
        <w:rPr>
          <w:spacing w:val="-4"/>
          <w:sz w:val="18"/>
          <w:szCs w:val="18"/>
          <w:lang w:val="es-ES_tradnl"/>
        </w:rPr>
        <w:t>, a fin de que el doctor V</w:t>
      </w:r>
      <w:r>
        <w:rPr>
          <w:rFonts w:cs="Times New Roman"/>
          <w:spacing w:val="-4"/>
          <w:sz w:val="18"/>
          <w:szCs w:val="18"/>
          <w:lang w:val="es-ES_tradnl"/>
        </w:rPr>
        <w:t>í</w:t>
      </w:r>
      <w:r>
        <w:rPr>
          <w:spacing w:val="-4"/>
          <w:sz w:val="18"/>
          <w:szCs w:val="18"/>
          <w:lang w:val="es-ES_tradnl"/>
        </w:rPr>
        <w:t xml:space="preserve">ctor </w:t>
      </w:r>
      <w:r>
        <w:rPr>
          <w:spacing w:val="-9"/>
          <w:sz w:val="18"/>
          <w:szCs w:val="18"/>
          <w:lang w:val="es-ES_tradnl"/>
        </w:rPr>
        <w:t>Arturo Balc</w:t>
      </w:r>
      <w:r>
        <w:rPr>
          <w:rFonts w:cs="Times New Roman"/>
          <w:spacing w:val="-9"/>
          <w:sz w:val="18"/>
          <w:szCs w:val="18"/>
          <w:lang w:val="es-ES_tradnl"/>
        </w:rPr>
        <w:t>á</w:t>
      </w:r>
      <w:r>
        <w:rPr>
          <w:spacing w:val="-9"/>
          <w:sz w:val="18"/>
          <w:szCs w:val="18"/>
          <w:lang w:val="es-ES_tradnl"/>
        </w:rPr>
        <w:t xml:space="preserve">zar sea calificado positivamente por el Tribunal </w:t>
      </w:r>
      <w:r>
        <w:rPr>
          <w:spacing w:val="-7"/>
          <w:sz w:val="18"/>
          <w:szCs w:val="18"/>
          <w:lang w:val="es-ES_tradnl"/>
        </w:rPr>
        <w:t>y en consecuencia contin</w:t>
      </w:r>
      <w:r>
        <w:rPr>
          <w:rFonts w:cs="Times New Roman"/>
          <w:spacing w:val="-7"/>
          <w:sz w:val="18"/>
          <w:szCs w:val="18"/>
          <w:lang w:val="es-ES_tradnl"/>
        </w:rPr>
        <w:t>ú</w:t>
      </w:r>
      <w:r>
        <w:rPr>
          <w:spacing w:val="-7"/>
          <w:sz w:val="18"/>
          <w:szCs w:val="18"/>
          <w:lang w:val="es-ES_tradnl"/>
        </w:rPr>
        <w:t xml:space="preserve">e participando dentro del primer </w:t>
      </w:r>
      <w:r>
        <w:rPr>
          <w:spacing w:val="-8"/>
          <w:sz w:val="18"/>
          <w:szCs w:val="18"/>
          <w:lang w:val="es-ES_tradnl"/>
        </w:rPr>
        <w:t xml:space="preserve">concurso. No obstante, para poder restituir tal derecho era necesario a su vez anular todo lo actuado con posterioridad </w:t>
      </w:r>
      <w:r>
        <w:rPr>
          <w:spacing w:val="-6"/>
          <w:sz w:val="18"/>
          <w:szCs w:val="18"/>
          <w:lang w:val="es-ES_tradnl"/>
        </w:rPr>
        <w:t>a dicha vulneraci</w:t>
      </w:r>
      <w:r>
        <w:rPr>
          <w:rFonts w:cs="Times New Roman"/>
          <w:spacing w:val="-6"/>
          <w:sz w:val="18"/>
          <w:szCs w:val="18"/>
          <w:lang w:val="es-ES_tradnl"/>
        </w:rPr>
        <w:t>ó</w:t>
      </w:r>
      <w:r>
        <w:rPr>
          <w:spacing w:val="-6"/>
          <w:sz w:val="18"/>
          <w:szCs w:val="18"/>
          <w:lang w:val="es-ES_tradnl"/>
        </w:rPr>
        <w:t>n, tomando en consideraci</w:t>
      </w:r>
      <w:r>
        <w:rPr>
          <w:rFonts w:cs="Times New Roman"/>
          <w:spacing w:val="-6"/>
          <w:sz w:val="18"/>
          <w:szCs w:val="18"/>
          <w:lang w:val="es-ES_tradnl"/>
        </w:rPr>
        <w:t>ó</w:t>
      </w:r>
      <w:r>
        <w:rPr>
          <w:spacing w:val="-6"/>
          <w:sz w:val="18"/>
          <w:szCs w:val="18"/>
          <w:lang w:val="es-ES_tradnl"/>
        </w:rPr>
        <w:t xml:space="preserve">n que el </w:t>
      </w:r>
      <w:r>
        <w:rPr>
          <w:spacing w:val="-4"/>
          <w:sz w:val="18"/>
          <w:szCs w:val="18"/>
          <w:lang w:val="es-ES_tradnl"/>
        </w:rPr>
        <w:t>concursante perjudicado no present</w:t>
      </w:r>
      <w:r>
        <w:rPr>
          <w:rFonts w:cs="Times New Roman"/>
          <w:spacing w:val="-4"/>
          <w:sz w:val="18"/>
          <w:szCs w:val="18"/>
          <w:lang w:val="es-ES_tradnl"/>
        </w:rPr>
        <w:t>ó</w:t>
      </w:r>
      <w:r>
        <w:rPr>
          <w:spacing w:val="-4"/>
          <w:sz w:val="18"/>
          <w:szCs w:val="18"/>
          <w:lang w:val="es-ES_tradnl"/>
        </w:rPr>
        <w:t xml:space="preserve"> la acci</w:t>
      </w:r>
      <w:r>
        <w:rPr>
          <w:rFonts w:cs="Times New Roman"/>
          <w:spacing w:val="-4"/>
          <w:sz w:val="18"/>
          <w:szCs w:val="18"/>
          <w:lang w:val="es-ES_tradnl"/>
        </w:rPr>
        <w:t>ó</w:t>
      </w:r>
      <w:r>
        <w:rPr>
          <w:spacing w:val="-4"/>
          <w:sz w:val="18"/>
          <w:szCs w:val="18"/>
          <w:lang w:val="es-ES_tradnl"/>
        </w:rPr>
        <w:t xml:space="preserve">n en el </w:t>
      </w:r>
      <w:r>
        <w:rPr>
          <w:spacing w:val="-11"/>
          <w:sz w:val="18"/>
          <w:szCs w:val="18"/>
          <w:lang w:val="es-ES_tradnl"/>
        </w:rPr>
        <w:t xml:space="preserve">momento en que se le vulneraron sus derechos sino una vez </w:t>
      </w:r>
      <w:r>
        <w:rPr>
          <w:spacing w:val="-7"/>
          <w:sz w:val="18"/>
          <w:szCs w:val="18"/>
          <w:lang w:val="es-ES_tradnl"/>
        </w:rPr>
        <w:t xml:space="preserve">que fue descalificado del concurso ante el incumplimiento </w:t>
      </w:r>
      <w:r>
        <w:rPr>
          <w:spacing w:val="-3"/>
          <w:sz w:val="18"/>
          <w:szCs w:val="18"/>
          <w:lang w:val="es-ES_tradnl"/>
        </w:rPr>
        <w:t xml:space="preserve">de un requisito y que por lo tanto, se vio sin posibilidad </w:t>
      </w:r>
      <w:r>
        <w:rPr>
          <w:spacing w:val="-6"/>
          <w:sz w:val="18"/>
          <w:szCs w:val="18"/>
          <w:lang w:val="es-ES_tradnl"/>
        </w:rPr>
        <w:t xml:space="preserve">de ganar dicho concurso. Bajo estas circunstancias, los </w:t>
      </w:r>
      <w:r>
        <w:rPr>
          <w:spacing w:val="-7"/>
          <w:sz w:val="18"/>
          <w:szCs w:val="18"/>
          <w:lang w:val="es-ES_tradnl"/>
        </w:rPr>
        <w:t xml:space="preserve">jueces constitucionales, al optar por la medida reparatoria </w:t>
      </w:r>
      <w:r>
        <w:rPr>
          <w:spacing w:val="-3"/>
          <w:sz w:val="18"/>
          <w:szCs w:val="18"/>
          <w:lang w:val="es-ES_tradnl"/>
        </w:rPr>
        <w:t xml:space="preserve">de </w:t>
      </w:r>
      <w:r>
        <w:rPr>
          <w:rFonts w:cs="Times New Roman"/>
          <w:spacing w:val="-3"/>
          <w:sz w:val="18"/>
          <w:szCs w:val="18"/>
          <w:lang w:val="es-ES_tradnl"/>
        </w:rPr>
        <w:t>“</w:t>
      </w:r>
      <w:r>
        <w:rPr>
          <w:spacing w:val="-3"/>
          <w:sz w:val="18"/>
          <w:szCs w:val="18"/>
          <w:lang w:val="es-ES_tradnl"/>
        </w:rPr>
        <w:t>restituci</w:t>
      </w:r>
      <w:r>
        <w:rPr>
          <w:rFonts w:cs="Times New Roman"/>
          <w:spacing w:val="-3"/>
          <w:sz w:val="18"/>
          <w:szCs w:val="18"/>
          <w:lang w:val="es-ES_tradnl"/>
        </w:rPr>
        <w:t>ó</w:t>
      </w:r>
      <w:r>
        <w:rPr>
          <w:spacing w:val="-3"/>
          <w:sz w:val="18"/>
          <w:szCs w:val="18"/>
          <w:lang w:val="es-ES_tradnl"/>
        </w:rPr>
        <w:t>n del derecho</w:t>
      </w:r>
      <w:r>
        <w:rPr>
          <w:rFonts w:cs="Times New Roman"/>
          <w:spacing w:val="-3"/>
          <w:sz w:val="18"/>
          <w:szCs w:val="18"/>
          <w:lang w:val="es-ES_tradnl"/>
        </w:rPr>
        <w:t>”</w:t>
      </w:r>
      <w:r>
        <w:rPr>
          <w:spacing w:val="-3"/>
          <w:sz w:val="18"/>
          <w:szCs w:val="18"/>
          <w:lang w:val="es-ES_tradnl"/>
        </w:rPr>
        <w:t xml:space="preserve">, decidieron anteponer el </w:t>
      </w:r>
      <w:r>
        <w:rPr>
          <w:spacing w:val="-9"/>
          <w:sz w:val="18"/>
          <w:szCs w:val="18"/>
          <w:lang w:val="es-ES_tradnl"/>
        </w:rPr>
        <w:t xml:space="preserve">derecho de un ciudadano a continuar en el primer concurso </w:t>
      </w:r>
      <w:r>
        <w:rPr>
          <w:spacing w:val="-3"/>
          <w:sz w:val="18"/>
          <w:szCs w:val="18"/>
          <w:lang w:val="es-ES_tradnl"/>
        </w:rPr>
        <w:t xml:space="preserve">y con ello una mera expectativa de ganarlo, sobre el </w:t>
      </w:r>
      <w:r>
        <w:rPr>
          <w:spacing w:val="-4"/>
          <w:sz w:val="18"/>
          <w:szCs w:val="18"/>
          <w:lang w:val="es-ES_tradnl"/>
        </w:rPr>
        <w:t>derecho de un ciudadano quien particip</w:t>
      </w:r>
      <w:r>
        <w:rPr>
          <w:rFonts w:cs="Times New Roman"/>
          <w:spacing w:val="-4"/>
          <w:sz w:val="18"/>
          <w:szCs w:val="18"/>
          <w:lang w:val="es-ES_tradnl"/>
        </w:rPr>
        <w:t>ó</w:t>
      </w:r>
      <w:r>
        <w:rPr>
          <w:spacing w:val="-4"/>
          <w:sz w:val="18"/>
          <w:szCs w:val="18"/>
          <w:lang w:val="es-ES_tradnl"/>
        </w:rPr>
        <w:t xml:space="preserve"> y gan</w:t>
      </w:r>
      <w:r>
        <w:rPr>
          <w:rFonts w:cs="Times New Roman"/>
          <w:spacing w:val="-4"/>
          <w:sz w:val="18"/>
          <w:szCs w:val="18"/>
          <w:lang w:val="es-ES_tradnl"/>
        </w:rPr>
        <w:t>ó</w:t>
      </w:r>
      <w:r>
        <w:rPr>
          <w:spacing w:val="-4"/>
          <w:sz w:val="18"/>
          <w:szCs w:val="18"/>
          <w:lang w:val="es-ES_tradnl"/>
        </w:rPr>
        <w:t xml:space="preserve"> dentro </w:t>
      </w:r>
      <w:r>
        <w:rPr>
          <w:spacing w:val="-10"/>
          <w:sz w:val="18"/>
          <w:szCs w:val="18"/>
          <w:lang w:val="es-ES_tradnl"/>
        </w:rPr>
        <w:t>del segundo concurso y que desempe</w:t>
      </w:r>
      <w:r>
        <w:rPr>
          <w:rFonts w:cs="Times New Roman"/>
          <w:spacing w:val="-10"/>
          <w:sz w:val="18"/>
          <w:szCs w:val="18"/>
          <w:lang w:val="es-ES_tradnl"/>
        </w:rPr>
        <w:t>ñ</w:t>
      </w:r>
      <w:r>
        <w:rPr>
          <w:spacing w:val="-10"/>
          <w:sz w:val="18"/>
          <w:szCs w:val="18"/>
          <w:lang w:val="es-ES_tradnl"/>
        </w:rPr>
        <w:t xml:space="preserve">a hasta la actualidad </w:t>
      </w:r>
      <w:r>
        <w:rPr>
          <w:spacing w:val="-7"/>
          <w:sz w:val="18"/>
          <w:szCs w:val="18"/>
          <w:lang w:val="es-ES_tradnl"/>
        </w:rPr>
        <w:t>el cargo p</w:t>
      </w:r>
      <w:r>
        <w:rPr>
          <w:rFonts w:cs="Times New Roman"/>
          <w:spacing w:val="-7"/>
          <w:sz w:val="18"/>
          <w:szCs w:val="18"/>
          <w:lang w:val="es-ES_tradnl"/>
        </w:rPr>
        <w:t>ú</w:t>
      </w:r>
      <w:r>
        <w:rPr>
          <w:spacing w:val="-7"/>
          <w:sz w:val="18"/>
          <w:szCs w:val="18"/>
          <w:lang w:val="es-ES_tradnl"/>
        </w:rPr>
        <w:t>blico de registrador de la propiedad del cant</w:t>
      </w:r>
      <w:r>
        <w:rPr>
          <w:rFonts w:cs="Times New Roman"/>
          <w:spacing w:val="-7"/>
          <w:sz w:val="18"/>
          <w:szCs w:val="18"/>
          <w:lang w:val="es-ES_tradnl"/>
        </w:rPr>
        <w:t>ó</w:t>
      </w:r>
      <w:r>
        <w:rPr>
          <w:spacing w:val="-7"/>
          <w:sz w:val="18"/>
          <w:szCs w:val="18"/>
          <w:lang w:val="es-ES_tradnl"/>
        </w:rPr>
        <w:t xml:space="preserve">n </w:t>
      </w:r>
      <w:r>
        <w:rPr>
          <w:sz w:val="18"/>
          <w:szCs w:val="18"/>
          <w:lang w:val="es-ES_tradnl"/>
        </w:rPr>
        <w:t>Chaguarpamba.</w:t>
      </w:r>
    </w:p>
    <w:p w14:paraId="4F67B2BF" w14:textId="77777777" w:rsidR="00591D54" w:rsidRDefault="00591D54">
      <w:pPr>
        <w:shd w:val="clear" w:color="auto" w:fill="FFFFFF"/>
        <w:spacing w:before="197" w:line="216" w:lineRule="exact"/>
        <w:jc w:val="both"/>
      </w:pPr>
      <w:r>
        <w:rPr>
          <w:spacing w:val="-8"/>
          <w:sz w:val="18"/>
          <w:szCs w:val="18"/>
          <w:lang w:val="es-ES_tradnl"/>
        </w:rPr>
        <w:t xml:space="preserve">En este sentido, esta Corte considera que los jueces </w:t>
      </w:r>
      <w:r>
        <w:rPr>
          <w:spacing w:val="-7"/>
          <w:sz w:val="18"/>
          <w:szCs w:val="18"/>
          <w:lang w:val="es-ES_tradnl"/>
        </w:rPr>
        <w:t>constitucionales, a trav</w:t>
      </w:r>
      <w:r>
        <w:rPr>
          <w:rFonts w:cs="Times New Roman"/>
          <w:spacing w:val="-7"/>
          <w:sz w:val="18"/>
          <w:szCs w:val="18"/>
          <w:lang w:val="es-ES_tradnl"/>
        </w:rPr>
        <w:t>é</w:t>
      </w:r>
      <w:r>
        <w:rPr>
          <w:spacing w:val="-7"/>
          <w:sz w:val="18"/>
          <w:szCs w:val="18"/>
          <w:lang w:val="es-ES_tradnl"/>
        </w:rPr>
        <w:t>s de su sentencia de apelaci</w:t>
      </w:r>
      <w:r>
        <w:rPr>
          <w:rFonts w:cs="Times New Roman"/>
          <w:spacing w:val="-7"/>
          <w:sz w:val="18"/>
          <w:szCs w:val="18"/>
          <w:lang w:val="es-ES_tradnl"/>
        </w:rPr>
        <w:t>ó</w:t>
      </w:r>
      <w:r>
        <w:rPr>
          <w:spacing w:val="-7"/>
          <w:sz w:val="18"/>
          <w:szCs w:val="18"/>
          <w:lang w:val="es-ES_tradnl"/>
        </w:rPr>
        <w:t xml:space="preserve">n </w:t>
      </w:r>
      <w:r>
        <w:rPr>
          <w:spacing w:val="-6"/>
          <w:sz w:val="18"/>
          <w:szCs w:val="18"/>
          <w:lang w:val="es-ES_tradnl"/>
        </w:rPr>
        <w:t>dictada el 28 de octubre de 2011, han aplicado en primer lugar una medida reparatoria desproporcional al da</w:t>
      </w:r>
      <w:r>
        <w:rPr>
          <w:rFonts w:cs="Times New Roman"/>
          <w:spacing w:val="-6"/>
          <w:sz w:val="18"/>
          <w:szCs w:val="18"/>
          <w:lang w:val="es-ES_tradnl"/>
        </w:rPr>
        <w:t>ñ</w:t>
      </w:r>
      <w:r>
        <w:rPr>
          <w:spacing w:val="-6"/>
          <w:sz w:val="18"/>
          <w:szCs w:val="18"/>
          <w:lang w:val="es-ES_tradnl"/>
        </w:rPr>
        <w:t xml:space="preserve">o </w:t>
      </w:r>
      <w:r>
        <w:rPr>
          <w:spacing w:val="-7"/>
          <w:sz w:val="18"/>
          <w:szCs w:val="18"/>
          <w:lang w:val="es-ES_tradnl"/>
        </w:rPr>
        <w:t>causado. Desproporci</w:t>
      </w:r>
      <w:r>
        <w:rPr>
          <w:rFonts w:cs="Times New Roman"/>
          <w:spacing w:val="-7"/>
          <w:sz w:val="18"/>
          <w:szCs w:val="18"/>
          <w:lang w:val="es-ES_tradnl"/>
        </w:rPr>
        <w:t>ó</w:t>
      </w:r>
      <w:r>
        <w:rPr>
          <w:spacing w:val="-7"/>
          <w:sz w:val="18"/>
          <w:szCs w:val="18"/>
          <w:lang w:val="es-ES_tradnl"/>
        </w:rPr>
        <w:t xml:space="preserve">n que se configura en gran parte </w:t>
      </w:r>
      <w:r>
        <w:rPr>
          <w:spacing w:val="-3"/>
          <w:sz w:val="18"/>
          <w:szCs w:val="18"/>
          <w:lang w:val="es-ES_tradnl"/>
        </w:rPr>
        <w:t>como consecuencia de una incorrecta aplicaci</w:t>
      </w:r>
      <w:r>
        <w:rPr>
          <w:rFonts w:cs="Times New Roman"/>
          <w:spacing w:val="-3"/>
          <w:sz w:val="18"/>
          <w:szCs w:val="18"/>
          <w:lang w:val="es-ES_tradnl"/>
        </w:rPr>
        <w:t>ó</w:t>
      </w:r>
      <w:r>
        <w:rPr>
          <w:spacing w:val="-3"/>
          <w:sz w:val="18"/>
          <w:szCs w:val="18"/>
          <w:lang w:val="es-ES_tradnl"/>
        </w:rPr>
        <w:t xml:space="preserve">n en el </w:t>
      </w:r>
      <w:r>
        <w:rPr>
          <w:spacing w:val="-6"/>
          <w:sz w:val="18"/>
          <w:szCs w:val="18"/>
          <w:lang w:val="es-ES_tradnl"/>
        </w:rPr>
        <w:t>tipo de reparaci</w:t>
      </w:r>
      <w:r>
        <w:rPr>
          <w:rFonts w:cs="Times New Roman"/>
          <w:spacing w:val="-6"/>
          <w:sz w:val="18"/>
          <w:szCs w:val="18"/>
          <w:lang w:val="es-ES_tradnl"/>
        </w:rPr>
        <w:t>ó</w:t>
      </w:r>
      <w:r>
        <w:rPr>
          <w:spacing w:val="-6"/>
          <w:sz w:val="18"/>
          <w:szCs w:val="18"/>
          <w:lang w:val="es-ES_tradnl"/>
        </w:rPr>
        <w:t>n integral que establece el art</w:t>
      </w:r>
      <w:r>
        <w:rPr>
          <w:rFonts w:cs="Times New Roman"/>
          <w:spacing w:val="-6"/>
          <w:sz w:val="18"/>
          <w:szCs w:val="18"/>
          <w:lang w:val="es-ES_tradnl"/>
        </w:rPr>
        <w:t>í</w:t>
      </w:r>
      <w:r>
        <w:rPr>
          <w:spacing w:val="-6"/>
          <w:sz w:val="18"/>
          <w:szCs w:val="18"/>
          <w:lang w:val="es-ES_tradnl"/>
        </w:rPr>
        <w:t>culo 18 de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Control </w:t>
      </w:r>
      <w:r>
        <w:rPr>
          <w:spacing w:val="-5"/>
          <w:sz w:val="18"/>
          <w:szCs w:val="18"/>
          <w:lang w:val="es-ES_tradnl"/>
        </w:rPr>
        <w:t>Constitucional, as</w:t>
      </w:r>
      <w:r>
        <w:rPr>
          <w:rFonts w:cs="Times New Roman"/>
          <w:spacing w:val="-5"/>
          <w:sz w:val="18"/>
          <w:szCs w:val="18"/>
          <w:lang w:val="es-ES_tradnl"/>
        </w:rPr>
        <w:t>í</w:t>
      </w:r>
      <w:r>
        <w:rPr>
          <w:spacing w:val="-5"/>
          <w:sz w:val="18"/>
          <w:szCs w:val="18"/>
          <w:lang w:val="es-ES_tradnl"/>
        </w:rPr>
        <w:t xml:space="preserve"> como tambi</w:t>
      </w:r>
      <w:r>
        <w:rPr>
          <w:rFonts w:cs="Times New Roman"/>
          <w:spacing w:val="-5"/>
          <w:sz w:val="18"/>
          <w:szCs w:val="18"/>
          <w:lang w:val="es-ES_tradnl"/>
        </w:rPr>
        <w:t>é</w:t>
      </w:r>
      <w:r>
        <w:rPr>
          <w:spacing w:val="-5"/>
          <w:sz w:val="18"/>
          <w:szCs w:val="18"/>
          <w:lang w:val="es-ES_tradnl"/>
        </w:rPr>
        <w:t xml:space="preserve">n en base a que dicha </w:t>
      </w:r>
      <w:r>
        <w:rPr>
          <w:spacing w:val="-6"/>
          <w:sz w:val="18"/>
          <w:szCs w:val="18"/>
          <w:lang w:val="es-ES_tradnl"/>
        </w:rPr>
        <w:t>medida fue dictada dentro de una acci</w:t>
      </w:r>
      <w:r>
        <w:rPr>
          <w:rFonts w:cs="Times New Roman"/>
          <w:spacing w:val="-6"/>
          <w:sz w:val="18"/>
          <w:szCs w:val="18"/>
          <w:lang w:val="es-ES_tradnl"/>
        </w:rPr>
        <w:t>ó</w:t>
      </w:r>
      <w:r>
        <w:rPr>
          <w:spacing w:val="-6"/>
          <w:sz w:val="18"/>
          <w:szCs w:val="18"/>
          <w:lang w:val="es-ES_tradnl"/>
        </w:rPr>
        <w:t>n de protecci</w:t>
      </w:r>
      <w:r>
        <w:rPr>
          <w:rFonts w:cs="Times New Roman"/>
          <w:spacing w:val="-6"/>
          <w:sz w:val="18"/>
          <w:szCs w:val="18"/>
          <w:lang w:val="es-ES_tradnl"/>
        </w:rPr>
        <w:t>ó</w:t>
      </w:r>
      <w:r>
        <w:rPr>
          <w:spacing w:val="-6"/>
          <w:sz w:val="18"/>
          <w:szCs w:val="18"/>
          <w:lang w:val="es-ES_tradnl"/>
        </w:rPr>
        <w:t xml:space="preserve">n </w:t>
      </w:r>
      <w:r>
        <w:rPr>
          <w:spacing w:val="-2"/>
          <w:sz w:val="18"/>
          <w:szCs w:val="18"/>
          <w:lang w:val="es-ES_tradnl"/>
        </w:rPr>
        <w:t xml:space="preserve">presentada a destiempo, toda vez que los efectos del </w:t>
      </w:r>
      <w:r>
        <w:rPr>
          <w:spacing w:val="-6"/>
          <w:sz w:val="18"/>
          <w:szCs w:val="18"/>
          <w:lang w:val="es-ES_tradnl"/>
        </w:rPr>
        <w:t>acto impugnado se hab</w:t>
      </w:r>
      <w:r>
        <w:rPr>
          <w:rFonts w:cs="Times New Roman"/>
          <w:spacing w:val="-6"/>
          <w:sz w:val="18"/>
          <w:szCs w:val="18"/>
          <w:lang w:val="es-ES_tradnl"/>
        </w:rPr>
        <w:t>í</w:t>
      </w:r>
      <w:r>
        <w:rPr>
          <w:spacing w:val="-6"/>
          <w:sz w:val="18"/>
          <w:szCs w:val="18"/>
          <w:lang w:val="es-ES_tradnl"/>
        </w:rPr>
        <w:t>an extinguido a la fecha en que dicha acci</w:t>
      </w:r>
      <w:r>
        <w:rPr>
          <w:rFonts w:cs="Times New Roman"/>
          <w:spacing w:val="-6"/>
          <w:sz w:val="18"/>
          <w:szCs w:val="18"/>
          <w:lang w:val="es-ES_tradnl"/>
        </w:rPr>
        <w:t>ó</w:t>
      </w:r>
      <w:r>
        <w:rPr>
          <w:spacing w:val="-6"/>
          <w:sz w:val="18"/>
          <w:szCs w:val="18"/>
          <w:lang w:val="es-ES_tradnl"/>
        </w:rPr>
        <w:t>n fue interpuesta, circunstancia que debi</w:t>
      </w:r>
      <w:r>
        <w:rPr>
          <w:rFonts w:cs="Times New Roman"/>
          <w:spacing w:val="-6"/>
          <w:sz w:val="18"/>
          <w:szCs w:val="18"/>
          <w:lang w:val="es-ES_tradnl"/>
        </w:rPr>
        <w:t>ó</w:t>
      </w:r>
      <w:r>
        <w:rPr>
          <w:spacing w:val="-6"/>
          <w:sz w:val="18"/>
          <w:szCs w:val="18"/>
          <w:lang w:val="es-ES_tradnl"/>
        </w:rPr>
        <w:t xml:space="preserve"> ser </w:t>
      </w:r>
      <w:r>
        <w:rPr>
          <w:spacing w:val="-4"/>
          <w:sz w:val="18"/>
          <w:szCs w:val="18"/>
          <w:lang w:val="es-ES_tradnl"/>
        </w:rPr>
        <w:t xml:space="preserve">advertida por los jueces constitucionales. En segundo </w:t>
      </w:r>
      <w:r>
        <w:rPr>
          <w:spacing w:val="-7"/>
          <w:sz w:val="18"/>
          <w:szCs w:val="18"/>
          <w:lang w:val="es-ES_tradnl"/>
        </w:rPr>
        <w:t>lugar, a consecuencia de dictarse una reparaci</w:t>
      </w:r>
      <w:r>
        <w:rPr>
          <w:rFonts w:cs="Times New Roman"/>
          <w:spacing w:val="-7"/>
          <w:sz w:val="18"/>
          <w:szCs w:val="18"/>
          <w:lang w:val="es-ES_tradnl"/>
        </w:rPr>
        <w:t>ó</w:t>
      </w:r>
      <w:r>
        <w:rPr>
          <w:spacing w:val="-7"/>
          <w:sz w:val="18"/>
          <w:szCs w:val="18"/>
          <w:lang w:val="es-ES_tradnl"/>
        </w:rPr>
        <w:t xml:space="preserve">n integral </w:t>
      </w:r>
      <w:r>
        <w:rPr>
          <w:spacing w:val="-12"/>
          <w:sz w:val="18"/>
          <w:szCs w:val="18"/>
          <w:lang w:val="es-ES_tradnl"/>
        </w:rPr>
        <w:t xml:space="preserve">desproporcional e inadecuada para el caso en concreto, se ha </w:t>
      </w:r>
      <w:r>
        <w:rPr>
          <w:spacing w:val="-9"/>
          <w:sz w:val="18"/>
          <w:szCs w:val="18"/>
          <w:lang w:val="es-ES_tradnl"/>
        </w:rPr>
        <w:t>dispuesto consecuentemente una medida reparatoria cuya ejecuci</w:t>
      </w:r>
      <w:r>
        <w:rPr>
          <w:rFonts w:cs="Times New Roman"/>
          <w:spacing w:val="-9"/>
          <w:sz w:val="18"/>
          <w:szCs w:val="18"/>
          <w:lang w:val="es-ES_tradnl"/>
        </w:rPr>
        <w:t>ó</w:t>
      </w:r>
      <w:r>
        <w:rPr>
          <w:spacing w:val="-9"/>
          <w:sz w:val="18"/>
          <w:szCs w:val="18"/>
          <w:lang w:val="es-ES_tradnl"/>
        </w:rPr>
        <w:t xml:space="preserve">n transgrede derechos de terceros conforme se ha </w:t>
      </w:r>
      <w:r>
        <w:rPr>
          <w:spacing w:val="-10"/>
          <w:sz w:val="18"/>
          <w:szCs w:val="18"/>
          <w:lang w:val="es-ES_tradnl"/>
        </w:rPr>
        <w:t>identificado dentro del presente ac</w:t>
      </w:r>
      <w:r>
        <w:rPr>
          <w:rFonts w:cs="Times New Roman"/>
          <w:spacing w:val="-10"/>
          <w:sz w:val="18"/>
          <w:szCs w:val="18"/>
          <w:lang w:val="es-ES_tradnl"/>
        </w:rPr>
        <w:t>á</w:t>
      </w:r>
      <w:r>
        <w:rPr>
          <w:spacing w:val="-10"/>
          <w:sz w:val="18"/>
          <w:szCs w:val="18"/>
          <w:lang w:val="es-ES_tradnl"/>
        </w:rPr>
        <w:t>pite, de ah</w:t>
      </w:r>
      <w:r>
        <w:rPr>
          <w:rFonts w:cs="Times New Roman"/>
          <w:spacing w:val="-10"/>
          <w:sz w:val="18"/>
          <w:szCs w:val="18"/>
          <w:lang w:val="es-ES_tradnl"/>
        </w:rPr>
        <w:t>í</w:t>
      </w:r>
      <w:r>
        <w:rPr>
          <w:spacing w:val="-10"/>
          <w:sz w:val="18"/>
          <w:szCs w:val="18"/>
          <w:lang w:val="es-ES_tradnl"/>
        </w:rPr>
        <w:t xml:space="preserve"> que, en base </w:t>
      </w:r>
      <w:r>
        <w:rPr>
          <w:spacing w:val="-9"/>
          <w:sz w:val="18"/>
          <w:szCs w:val="18"/>
          <w:lang w:val="es-ES_tradnl"/>
        </w:rPr>
        <w:t>a la naturaleza y alcance del derecho a la seguridad jur</w:t>
      </w:r>
      <w:r>
        <w:rPr>
          <w:rFonts w:cs="Times New Roman"/>
          <w:spacing w:val="-9"/>
          <w:sz w:val="18"/>
          <w:szCs w:val="18"/>
          <w:lang w:val="es-ES_tradnl"/>
        </w:rPr>
        <w:t>í</w:t>
      </w:r>
      <w:r>
        <w:rPr>
          <w:spacing w:val="-9"/>
          <w:sz w:val="18"/>
          <w:szCs w:val="18"/>
          <w:lang w:val="es-ES_tradnl"/>
        </w:rPr>
        <w:t xml:space="preserve">dica </w:t>
      </w:r>
      <w:r>
        <w:rPr>
          <w:spacing w:val="-8"/>
          <w:sz w:val="18"/>
          <w:szCs w:val="18"/>
          <w:lang w:val="es-ES_tradnl"/>
        </w:rPr>
        <w:t>especificados a inicios del presente problema jur</w:t>
      </w:r>
      <w:r>
        <w:rPr>
          <w:rFonts w:cs="Times New Roman"/>
          <w:spacing w:val="-8"/>
          <w:sz w:val="18"/>
          <w:szCs w:val="18"/>
          <w:lang w:val="es-ES_tradnl"/>
        </w:rPr>
        <w:t>í</w:t>
      </w:r>
      <w:r>
        <w:rPr>
          <w:spacing w:val="-8"/>
          <w:sz w:val="18"/>
          <w:szCs w:val="18"/>
          <w:lang w:val="es-ES_tradnl"/>
        </w:rPr>
        <w:t xml:space="preserve">dico, esta </w:t>
      </w:r>
      <w:r>
        <w:rPr>
          <w:spacing w:val="-10"/>
          <w:sz w:val="18"/>
          <w:szCs w:val="18"/>
          <w:lang w:val="es-ES_tradnl"/>
        </w:rPr>
        <w:t>Corte considera que la sentencia expedida por los jueces de</w:t>
      </w:r>
    </w:p>
    <w:p w14:paraId="4F67B2C0" w14:textId="77777777" w:rsidR="00591D54" w:rsidRDefault="00591D54">
      <w:pPr>
        <w:shd w:val="clear" w:color="auto" w:fill="FFFFFF"/>
        <w:spacing w:before="523" w:line="178" w:lineRule="exact"/>
        <w:ind w:left="139" w:hanging="139"/>
      </w:pPr>
      <w:r>
        <w:rPr>
          <w:sz w:val="14"/>
          <w:szCs w:val="14"/>
          <w:vertAlign w:val="superscript"/>
          <w:lang w:val="es-ES_tradnl"/>
        </w:rPr>
        <w:t>6</w:t>
      </w:r>
      <w:r>
        <w:rPr>
          <w:sz w:val="14"/>
          <w:szCs w:val="14"/>
          <w:lang w:val="es-ES_tradnl"/>
        </w:rPr>
        <w:t xml:space="preserve">  Corte Constitucional del Ecuador, sentencia N.</w:t>
      </w:r>
      <w:r>
        <w:rPr>
          <w:rFonts w:cs="Times New Roman"/>
          <w:sz w:val="14"/>
          <w:szCs w:val="14"/>
          <w:lang w:val="es-ES_tradnl"/>
        </w:rPr>
        <w:t>º</w:t>
      </w:r>
      <w:r>
        <w:rPr>
          <w:sz w:val="14"/>
          <w:szCs w:val="14"/>
          <w:lang w:val="es-ES_tradnl"/>
        </w:rPr>
        <w:t xml:space="preserve"> 146-14-SEP-CC, caso N</w:t>
      </w:r>
      <w:r>
        <w:rPr>
          <w:rFonts w:cs="Times New Roman"/>
          <w:sz w:val="14"/>
          <w:szCs w:val="14"/>
          <w:lang w:val="es-ES_tradnl"/>
        </w:rPr>
        <w:t>º</w:t>
      </w:r>
      <w:r>
        <w:rPr>
          <w:sz w:val="14"/>
          <w:szCs w:val="14"/>
          <w:lang w:val="es-ES_tradnl"/>
        </w:rPr>
        <w:t xml:space="preserve"> 1773-11-EP.</w:t>
      </w:r>
    </w:p>
    <w:p w14:paraId="4F67B2C1" w14:textId="77777777" w:rsidR="00591D54" w:rsidRDefault="00591D54">
      <w:pPr>
        <w:shd w:val="clear" w:color="auto" w:fill="FFFFFF"/>
        <w:spacing w:before="5" w:line="216" w:lineRule="exact"/>
        <w:jc w:val="both"/>
      </w:pPr>
      <w:r>
        <w:br w:type="column"/>
      </w:r>
      <w:r>
        <w:rPr>
          <w:spacing w:val="-7"/>
          <w:sz w:val="18"/>
          <w:szCs w:val="18"/>
          <w:lang w:val="es-ES_tradnl"/>
        </w:rPr>
        <w:t>la Sala Especializada de lo Laboral, Ni</w:t>
      </w:r>
      <w:r>
        <w:rPr>
          <w:rFonts w:cs="Times New Roman"/>
          <w:spacing w:val="-7"/>
          <w:sz w:val="18"/>
          <w:szCs w:val="18"/>
          <w:lang w:val="es-ES_tradnl"/>
        </w:rPr>
        <w:t>ñ</w:t>
      </w:r>
      <w:r>
        <w:rPr>
          <w:spacing w:val="-7"/>
          <w:sz w:val="18"/>
          <w:szCs w:val="18"/>
          <w:lang w:val="es-ES_tradnl"/>
        </w:rPr>
        <w:t xml:space="preserve">ez y Adolescencia </w:t>
      </w:r>
      <w:r>
        <w:rPr>
          <w:spacing w:val="-9"/>
          <w:sz w:val="18"/>
          <w:szCs w:val="18"/>
          <w:lang w:val="es-ES_tradnl"/>
        </w:rPr>
        <w:t xml:space="preserve">de la Corte Provincial de Justicia de Loja, vulnera el derecho </w:t>
      </w:r>
      <w:r>
        <w:rPr>
          <w:spacing w:val="-7"/>
          <w:sz w:val="18"/>
          <w:szCs w:val="18"/>
          <w:lang w:val="es-ES_tradnl"/>
        </w:rPr>
        <w:t>constitucional a la seguridad jur</w:t>
      </w:r>
      <w:r>
        <w:rPr>
          <w:rFonts w:cs="Times New Roman"/>
          <w:spacing w:val="-7"/>
          <w:sz w:val="18"/>
          <w:szCs w:val="18"/>
          <w:lang w:val="es-ES_tradnl"/>
        </w:rPr>
        <w:t>í</w:t>
      </w:r>
      <w:r>
        <w:rPr>
          <w:spacing w:val="-7"/>
          <w:sz w:val="18"/>
          <w:szCs w:val="18"/>
          <w:lang w:val="es-ES_tradnl"/>
        </w:rPr>
        <w:t xml:space="preserve">dica, en la medida que se </w:t>
      </w:r>
      <w:r>
        <w:rPr>
          <w:spacing w:val="-8"/>
          <w:sz w:val="18"/>
          <w:szCs w:val="18"/>
          <w:lang w:val="es-ES_tradnl"/>
        </w:rPr>
        <w:t>han inobservado los instrumentos y mecanismos previstos dentro de la Constituci</w:t>
      </w:r>
      <w:r>
        <w:rPr>
          <w:rFonts w:cs="Times New Roman"/>
          <w:spacing w:val="-8"/>
          <w:sz w:val="18"/>
          <w:szCs w:val="18"/>
          <w:lang w:val="es-ES_tradnl"/>
        </w:rPr>
        <w:t>ó</w:t>
      </w:r>
      <w:r>
        <w:rPr>
          <w:spacing w:val="-8"/>
          <w:sz w:val="18"/>
          <w:szCs w:val="18"/>
          <w:lang w:val="es-ES_tradnl"/>
        </w:rPr>
        <w:t>n de la Rep</w:t>
      </w:r>
      <w:r>
        <w:rPr>
          <w:rFonts w:cs="Times New Roman"/>
          <w:spacing w:val="-8"/>
          <w:sz w:val="18"/>
          <w:szCs w:val="18"/>
          <w:lang w:val="es-ES_tradnl"/>
        </w:rPr>
        <w:t>ú</w:t>
      </w:r>
      <w:r>
        <w:rPr>
          <w:spacing w:val="-8"/>
          <w:sz w:val="18"/>
          <w:szCs w:val="18"/>
          <w:lang w:val="es-ES_tradnl"/>
        </w:rPr>
        <w:t>blica, espec</w:t>
      </w:r>
      <w:r>
        <w:rPr>
          <w:rFonts w:cs="Times New Roman"/>
          <w:spacing w:val="-8"/>
          <w:sz w:val="18"/>
          <w:szCs w:val="18"/>
          <w:lang w:val="es-ES_tradnl"/>
        </w:rPr>
        <w:t>í</w:t>
      </w:r>
      <w:r>
        <w:rPr>
          <w:spacing w:val="-8"/>
          <w:sz w:val="18"/>
          <w:szCs w:val="18"/>
          <w:lang w:val="es-ES_tradnl"/>
        </w:rPr>
        <w:t xml:space="preserve">ficamente </w:t>
      </w:r>
      <w:r>
        <w:rPr>
          <w:spacing w:val="-4"/>
          <w:sz w:val="18"/>
          <w:szCs w:val="18"/>
          <w:lang w:val="es-ES_tradnl"/>
        </w:rPr>
        <w:t>dentro de las garant</w:t>
      </w:r>
      <w:r>
        <w:rPr>
          <w:rFonts w:cs="Times New Roman"/>
          <w:spacing w:val="-4"/>
          <w:sz w:val="18"/>
          <w:szCs w:val="18"/>
          <w:lang w:val="es-ES_tradnl"/>
        </w:rPr>
        <w:t>í</w:t>
      </w:r>
      <w:r>
        <w:rPr>
          <w:spacing w:val="-4"/>
          <w:sz w:val="18"/>
          <w:szCs w:val="18"/>
          <w:lang w:val="es-ES_tradnl"/>
        </w:rPr>
        <w:t xml:space="preserve">as jurisdiccionales como es el caso </w:t>
      </w:r>
      <w:r>
        <w:rPr>
          <w:spacing w:val="-8"/>
          <w:sz w:val="18"/>
          <w:szCs w:val="18"/>
          <w:lang w:val="es-ES_tradnl"/>
        </w:rPr>
        <w:t>de la reparaci</w:t>
      </w:r>
      <w:r>
        <w:rPr>
          <w:rFonts w:cs="Times New Roman"/>
          <w:spacing w:val="-8"/>
          <w:sz w:val="18"/>
          <w:szCs w:val="18"/>
          <w:lang w:val="es-ES_tradnl"/>
        </w:rPr>
        <w:t>ó</w:t>
      </w:r>
      <w:r>
        <w:rPr>
          <w:spacing w:val="-8"/>
          <w:sz w:val="18"/>
          <w:szCs w:val="18"/>
          <w:lang w:val="es-ES_tradnl"/>
        </w:rPr>
        <w:t>n integral y cuya ejecuci</w:t>
      </w:r>
      <w:r>
        <w:rPr>
          <w:rFonts w:cs="Times New Roman"/>
          <w:spacing w:val="-8"/>
          <w:sz w:val="18"/>
          <w:szCs w:val="18"/>
          <w:lang w:val="es-ES_tradnl"/>
        </w:rPr>
        <w:t>ó</w:t>
      </w:r>
      <w:r>
        <w:rPr>
          <w:spacing w:val="-8"/>
          <w:sz w:val="18"/>
          <w:szCs w:val="18"/>
          <w:lang w:val="es-ES_tradnl"/>
        </w:rPr>
        <w:t>n afecta derechos leg</w:t>
      </w:r>
      <w:r>
        <w:rPr>
          <w:rFonts w:cs="Times New Roman"/>
          <w:spacing w:val="-8"/>
          <w:sz w:val="18"/>
          <w:szCs w:val="18"/>
          <w:lang w:val="es-ES_tradnl"/>
        </w:rPr>
        <w:t>í</w:t>
      </w:r>
      <w:r>
        <w:rPr>
          <w:spacing w:val="-8"/>
          <w:sz w:val="18"/>
          <w:szCs w:val="18"/>
          <w:lang w:val="es-ES_tradnl"/>
        </w:rPr>
        <w:t xml:space="preserve">timamente adquiridos por terceros colocando en tela de </w:t>
      </w:r>
      <w:r>
        <w:rPr>
          <w:spacing w:val="-6"/>
          <w:sz w:val="18"/>
          <w:szCs w:val="18"/>
          <w:lang w:val="es-ES_tradnl"/>
        </w:rPr>
        <w:t xml:space="preserve">duda el reconocimiento y previsibilidad de las situaciones </w:t>
      </w:r>
      <w:r>
        <w:rPr>
          <w:spacing w:val="-10"/>
          <w:sz w:val="18"/>
          <w:szCs w:val="18"/>
          <w:lang w:val="es-ES_tradnl"/>
        </w:rPr>
        <w:t>jur</w:t>
      </w:r>
      <w:r>
        <w:rPr>
          <w:rFonts w:cs="Times New Roman"/>
          <w:spacing w:val="-10"/>
          <w:sz w:val="18"/>
          <w:szCs w:val="18"/>
          <w:lang w:val="es-ES_tradnl"/>
        </w:rPr>
        <w:t>í</w:t>
      </w:r>
      <w:r>
        <w:rPr>
          <w:spacing w:val="-10"/>
          <w:sz w:val="18"/>
          <w:szCs w:val="18"/>
          <w:lang w:val="es-ES_tradnl"/>
        </w:rPr>
        <w:t xml:space="preserve">dicas que deben aplicarse dentro de un caso en concreto </w:t>
      </w:r>
      <w:r>
        <w:rPr>
          <w:spacing w:val="-7"/>
          <w:sz w:val="18"/>
          <w:szCs w:val="18"/>
          <w:lang w:val="es-ES_tradnl"/>
        </w:rPr>
        <w:t>por la autoridades investidas de potestad jurisdiccional.</w:t>
      </w:r>
    </w:p>
    <w:p w14:paraId="4F67B2C2" w14:textId="77777777" w:rsidR="00591D54" w:rsidRDefault="00591D54">
      <w:pPr>
        <w:shd w:val="clear" w:color="auto" w:fill="FFFFFF"/>
        <w:spacing w:before="192" w:line="216" w:lineRule="exact"/>
        <w:ind w:left="283" w:hanging="283"/>
        <w:jc w:val="both"/>
      </w:pPr>
      <w:r>
        <w:rPr>
          <w:b/>
          <w:bCs/>
          <w:spacing w:val="-9"/>
          <w:sz w:val="18"/>
          <w:szCs w:val="18"/>
          <w:lang w:val="es-ES_tradnl"/>
        </w:rPr>
        <w:t xml:space="preserve">2. La sentencia expedida por los jueces de la Sala </w:t>
      </w:r>
      <w:r>
        <w:rPr>
          <w:b/>
          <w:bCs/>
          <w:spacing w:val="-7"/>
          <w:sz w:val="18"/>
          <w:szCs w:val="18"/>
          <w:lang w:val="es-ES_tradnl"/>
        </w:rPr>
        <w:t>Especializada de lo Laboral, Ni</w:t>
      </w:r>
      <w:r>
        <w:rPr>
          <w:rFonts w:cs="Times New Roman"/>
          <w:b/>
          <w:bCs/>
          <w:spacing w:val="-7"/>
          <w:sz w:val="18"/>
          <w:szCs w:val="18"/>
          <w:lang w:val="es-ES_tradnl"/>
        </w:rPr>
        <w:t>ñ</w:t>
      </w:r>
      <w:r>
        <w:rPr>
          <w:b/>
          <w:bCs/>
          <w:spacing w:val="-7"/>
          <w:sz w:val="18"/>
          <w:szCs w:val="18"/>
          <w:lang w:val="es-ES_tradnl"/>
        </w:rPr>
        <w:t xml:space="preserve">ez y Adolescencia de la Corte Provincial de Justicia de Loja, </w:t>
      </w:r>
      <w:r>
        <w:rPr>
          <w:rFonts w:cs="Times New Roman"/>
          <w:b/>
          <w:bCs/>
          <w:spacing w:val="-7"/>
          <w:sz w:val="18"/>
          <w:szCs w:val="18"/>
          <w:lang w:val="es-ES_tradnl"/>
        </w:rPr>
        <w:t>¿</w:t>
      </w:r>
      <w:r>
        <w:rPr>
          <w:b/>
          <w:bCs/>
          <w:spacing w:val="-7"/>
          <w:sz w:val="18"/>
          <w:szCs w:val="18"/>
          <w:lang w:val="es-ES_tradnl"/>
        </w:rPr>
        <w:t xml:space="preserve">vulnera </w:t>
      </w:r>
      <w:r>
        <w:rPr>
          <w:b/>
          <w:bCs/>
          <w:spacing w:val="-8"/>
          <w:sz w:val="18"/>
          <w:szCs w:val="18"/>
          <w:lang w:val="es-ES_tradnl"/>
        </w:rPr>
        <w:t>el derecho al debido proceso en la garant</w:t>
      </w:r>
      <w:r>
        <w:rPr>
          <w:rFonts w:cs="Times New Roman"/>
          <w:b/>
          <w:bCs/>
          <w:spacing w:val="-8"/>
          <w:sz w:val="18"/>
          <w:szCs w:val="18"/>
          <w:lang w:val="es-ES_tradnl"/>
        </w:rPr>
        <w:t>í</w:t>
      </w:r>
      <w:r>
        <w:rPr>
          <w:b/>
          <w:bCs/>
          <w:spacing w:val="-8"/>
          <w:sz w:val="18"/>
          <w:szCs w:val="18"/>
          <w:lang w:val="es-ES_tradnl"/>
        </w:rPr>
        <w:t xml:space="preserve">a de la </w:t>
      </w:r>
      <w:r>
        <w:rPr>
          <w:b/>
          <w:bCs/>
          <w:sz w:val="18"/>
          <w:szCs w:val="18"/>
          <w:lang w:val="es-ES_tradnl"/>
        </w:rPr>
        <w:t>motivaci</w:t>
      </w:r>
      <w:r>
        <w:rPr>
          <w:rFonts w:cs="Times New Roman"/>
          <w:b/>
          <w:bCs/>
          <w:sz w:val="18"/>
          <w:szCs w:val="18"/>
          <w:lang w:val="es-ES_tradnl"/>
        </w:rPr>
        <w:t>ó</w:t>
      </w:r>
      <w:r>
        <w:rPr>
          <w:b/>
          <w:bCs/>
          <w:sz w:val="18"/>
          <w:szCs w:val="18"/>
          <w:lang w:val="es-ES_tradnl"/>
        </w:rPr>
        <w:t>n?</w:t>
      </w:r>
    </w:p>
    <w:p w14:paraId="4F67B2C3" w14:textId="77777777" w:rsidR="00591D54" w:rsidRDefault="00591D54">
      <w:pPr>
        <w:shd w:val="clear" w:color="auto" w:fill="FFFFFF"/>
        <w:spacing w:before="197" w:line="216" w:lineRule="exact"/>
        <w:jc w:val="both"/>
      </w:pPr>
      <w:r>
        <w:rPr>
          <w:spacing w:val="-6"/>
          <w:sz w:val="18"/>
          <w:szCs w:val="18"/>
          <w:lang w:val="es-ES_tradnl"/>
        </w:rPr>
        <w:t>En nuestro ordenamiento jur</w:t>
      </w:r>
      <w:r>
        <w:rPr>
          <w:rFonts w:cs="Times New Roman"/>
          <w:spacing w:val="-6"/>
          <w:sz w:val="18"/>
          <w:szCs w:val="18"/>
          <w:lang w:val="es-ES_tradnl"/>
        </w:rPr>
        <w:t>í</w:t>
      </w:r>
      <w:r>
        <w:rPr>
          <w:spacing w:val="-6"/>
          <w:sz w:val="18"/>
          <w:szCs w:val="18"/>
          <w:lang w:val="es-ES_tradnl"/>
        </w:rPr>
        <w:t>dico la obligaci</w:t>
      </w:r>
      <w:r>
        <w:rPr>
          <w:rFonts w:cs="Times New Roman"/>
          <w:spacing w:val="-6"/>
          <w:sz w:val="18"/>
          <w:szCs w:val="18"/>
          <w:lang w:val="es-ES_tradnl"/>
        </w:rPr>
        <w:t>ó</w:t>
      </w:r>
      <w:r>
        <w:rPr>
          <w:spacing w:val="-6"/>
          <w:sz w:val="18"/>
          <w:szCs w:val="18"/>
          <w:lang w:val="es-ES_tradnl"/>
        </w:rPr>
        <w:t xml:space="preserve">n de motivar </w:t>
      </w:r>
      <w:r>
        <w:rPr>
          <w:spacing w:val="-8"/>
          <w:sz w:val="18"/>
          <w:szCs w:val="18"/>
          <w:lang w:val="es-ES_tradnl"/>
        </w:rPr>
        <w:t>se encuentra contemplada en el art</w:t>
      </w:r>
      <w:r>
        <w:rPr>
          <w:rFonts w:cs="Times New Roman"/>
          <w:spacing w:val="-8"/>
          <w:sz w:val="18"/>
          <w:szCs w:val="18"/>
          <w:lang w:val="es-ES_tradnl"/>
        </w:rPr>
        <w:t>í</w:t>
      </w:r>
      <w:r>
        <w:rPr>
          <w:spacing w:val="-8"/>
          <w:sz w:val="18"/>
          <w:szCs w:val="18"/>
          <w:lang w:val="es-ES_tradnl"/>
        </w:rPr>
        <w:t xml:space="preserve">culo 76 numeral 7 literal </w:t>
      </w:r>
      <w:r>
        <w:rPr>
          <w:b/>
          <w:bCs/>
          <w:spacing w:val="-5"/>
          <w:sz w:val="18"/>
          <w:szCs w:val="18"/>
          <w:lang w:val="es-ES_tradnl"/>
        </w:rPr>
        <w:t xml:space="preserve">l </w:t>
      </w:r>
      <w:r>
        <w:rPr>
          <w:spacing w:val="-5"/>
          <w:sz w:val="18"/>
          <w:szCs w:val="18"/>
          <w:lang w:val="es-ES_tradnl"/>
        </w:rPr>
        <w:t>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 xml:space="preserve">blica, en los siguientes </w:t>
      </w:r>
      <w:r>
        <w:rPr>
          <w:sz w:val="18"/>
          <w:szCs w:val="18"/>
          <w:lang w:val="es-ES_tradnl"/>
        </w:rPr>
        <w:t>t</w:t>
      </w:r>
      <w:r>
        <w:rPr>
          <w:rFonts w:cs="Times New Roman"/>
          <w:sz w:val="18"/>
          <w:szCs w:val="18"/>
          <w:lang w:val="es-ES_tradnl"/>
        </w:rPr>
        <w:t>é</w:t>
      </w:r>
      <w:r>
        <w:rPr>
          <w:sz w:val="18"/>
          <w:szCs w:val="18"/>
          <w:lang w:val="es-ES_tradnl"/>
        </w:rPr>
        <w:t>rminos:</w:t>
      </w:r>
    </w:p>
    <w:p w14:paraId="4F67B2C4" w14:textId="77777777" w:rsidR="00591D54" w:rsidRDefault="00591D54">
      <w:pPr>
        <w:shd w:val="clear" w:color="auto" w:fill="FFFFFF"/>
        <w:spacing w:before="202" w:line="216" w:lineRule="exact"/>
        <w:ind w:left="283"/>
        <w:jc w:val="both"/>
      </w:pPr>
      <w:r>
        <w:rPr>
          <w:sz w:val="14"/>
          <w:szCs w:val="14"/>
          <w:lang w:val="es-ES_tradnl"/>
        </w:rPr>
        <w:t>Las resoluciones de los poderes p</w:t>
      </w:r>
      <w:r>
        <w:rPr>
          <w:rFonts w:cs="Times New Roman"/>
          <w:sz w:val="14"/>
          <w:szCs w:val="14"/>
          <w:lang w:val="es-ES_tradnl"/>
        </w:rPr>
        <w:t>ú</w:t>
      </w:r>
      <w:r>
        <w:rPr>
          <w:sz w:val="14"/>
          <w:szCs w:val="14"/>
          <w:lang w:val="es-ES_tradnl"/>
        </w:rPr>
        <w:t>blicos deber</w:t>
      </w:r>
      <w:r>
        <w:rPr>
          <w:rFonts w:cs="Times New Roman"/>
          <w:sz w:val="14"/>
          <w:szCs w:val="14"/>
          <w:lang w:val="es-ES_tradnl"/>
        </w:rPr>
        <w:t>á</w:t>
      </w:r>
      <w:r>
        <w:rPr>
          <w:sz w:val="14"/>
          <w:szCs w:val="14"/>
          <w:lang w:val="es-ES_tradnl"/>
        </w:rPr>
        <w:t>n ser motivadas. No habr</w:t>
      </w:r>
      <w:r>
        <w:rPr>
          <w:rFonts w:cs="Times New Roman"/>
          <w:sz w:val="14"/>
          <w:szCs w:val="14"/>
          <w:lang w:val="es-ES_tradnl"/>
        </w:rPr>
        <w:t>á</w:t>
      </w:r>
      <w:r>
        <w:rPr>
          <w:sz w:val="14"/>
          <w:szCs w:val="14"/>
          <w:lang w:val="es-ES_tradnl"/>
        </w:rPr>
        <w:t xml:space="preserve"> motivaci</w:t>
      </w:r>
      <w:r>
        <w:rPr>
          <w:rFonts w:cs="Times New Roman"/>
          <w:sz w:val="14"/>
          <w:szCs w:val="14"/>
          <w:lang w:val="es-ES_tradnl"/>
        </w:rPr>
        <w:t>ó</w:t>
      </w:r>
      <w:r>
        <w:rPr>
          <w:sz w:val="14"/>
          <w:szCs w:val="14"/>
          <w:lang w:val="es-ES_tradnl"/>
        </w:rPr>
        <w:t>n si en la resoluci</w:t>
      </w:r>
      <w:r>
        <w:rPr>
          <w:rFonts w:cs="Times New Roman"/>
          <w:sz w:val="14"/>
          <w:szCs w:val="14"/>
          <w:lang w:val="es-ES_tradnl"/>
        </w:rPr>
        <w:t>ó</w:t>
      </w:r>
      <w:r>
        <w:rPr>
          <w:sz w:val="14"/>
          <w:szCs w:val="14"/>
          <w:lang w:val="es-ES_tradnl"/>
        </w:rPr>
        <w:t>n no se enuncian las normas o principios jur</w:t>
      </w:r>
      <w:r>
        <w:rPr>
          <w:rFonts w:cs="Times New Roman"/>
          <w:sz w:val="14"/>
          <w:szCs w:val="14"/>
          <w:lang w:val="es-ES_tradnl"/>
        </w:rPr>
        <w:t>í</w:t>
      </w:r>
      <w:r>
        <w:rPr>
          <w:sz w:val="14"/>
          <w:szCs w:val="14"/>
          <w:lang w:val="es-ES_tradnl"/>
        </w:rPr>
        <w:t>dicos en que se funda y no se explica la pertinencia de su aplicaci</w:t>
      </w:r>
      <w:r>
        <w:rPr>
          <w:rFonts w:cs="Times New Roman"/>
          <w:sz w:val="14"/>
          <w:szCs w:val="14"/>
          <w:lang w:val="es-ES_tradnl"/>
        </w:rPr>
        <w:t>ó</w:t>
      </w:r>
      <w:r>
        <w:rPr>
          <w:sz w:val="14"/>
          <w:szCs w:val="14"/>
          <w:lang w:val="es-ES_tradnl"/>
        </w:rPr>
        <w:t>n a los antecedentes de hecho. Los actos administrativos, resoluciones o fallos que no se encuentren debidamente motivados se considerar</w:t>
      </w:r>
      <w:r>
        <w:rPr>
          <w:rFonts w:cs="Times New Roman"/>
          <w:sz w:val="14"/>
          <w:szCs w:val="14"/>
          <w:lang w:val="es-ES_tradnl"/>
        </w:rPr>
        <w:t>á</w:t>
      </w:r>
      <w:r>
        <w:rPr>
          <w:sz w:val="14"/>
          <w:szCs w:val="14"/>
          <w:lang w:val="es-ES_tradnl"/>
        </w:rPr>
        <w:t>n nulos. Las servidoras o servidores responsables ser</w:t>
      </w:r>
      <w:r>
        <w:rPr>
          <w:rFonts w:cs="Times New Roman"/>
          <w:sz w:val="14"/>
          <w:szCs w:val="14"/>
          <w:lang w:val="es-ES_tradnl"/>
        </w:rPr>
        <w:t>á</w:t>
      </w:r>
      <w:r>
        <w:rPr>
          <w:sz w:val="14"/>
          <w:szCs w:val="14"/>
          <w:lang w:val="es-ES_tradnl"/>
        </w:rPr>
        <w:t>n sancionados.</w:t>
      </w:r>
    </w:p>
    <w:p w14:paraId="4F67B2C5" w14:textId="77777777" w:rsidR="00591D54" w:rsidRDefault="00591D54">
      <w:pPr>
        <w:shd w:val="clear" w:color="auto" w:fill="FFFFFF"/>
        <w:spacing w:before="202" w:line="211" w:lineRule="exact"/>
        <w:jc w:val="both"/>
      </w:pPr>
      <w:r>
        <w:rPr>
          <w:spacing w:val="-8"/>
          <w:sz w:val="18"/>
          <w:szCs w:val="18"/>
          <w:lang w:val="es-ES_tradnl"/>
        </w:rPr>
        <w:t>La obligaci</w:t>
      </w:r>
      <w:r>
        <w:rPr>
          <w:rFonts w:cs="Times New Roman"/>
          <w:spacing w:val="-8"/>
          <w:sz w:val="18"/>
          <w:szCs w:val="18"/>
          <w:lang w:val="es-ES_tradnl"/>
        </w:rPr>
        <w:t>ó</w:t>
      </w:r>
      <w:r>
        <w:rPr>
          <w:spacing w:val="-8"/>
          <w:sz w:val="18"/>
          <w:szCs w:val="18"/>
          <w:lang w:val="es-ES_tradnl"/>
        </w:rPr>
        <w:t xml:space="preserve">n de motivar forma parte del derecho al debido proceso y tiene como finalidad que todas las resoluciones </w:t>
      </w:r>
      <w:r>
        <w:rPr>
          <w:spacing w:val="-10"/>
          <w:sz w:val="18"/>
          <w:szCs w:val="18"/>
          <w:lang w:val="es-ES_tradnl"/>
        </w:rPr>
        <w:t>de los poderes p</w:t>
      </w:r>
      <w:r>
        <w:rPr>
          <w:rFonts w:cs="Times New Roman"/>
          <w:spacing w:val="-10"/>
          <w:sz w:val="18"/>
          <w:szCs w:val="18"/>
          <w:lang w:val="es-ES_tradnl"/>
        </w:rPr>
        <w:t>ú</w:t>
      </w:r>
      <w:r>
        <w:rPr>
          <w:spacing w:val="-10"/>
          <w:sz w:val="18"/>
          <w:szCs w:val="18"/>
          <w:lang w:val="es-ES_tradnl"/>
        </w:rPr>
        <w:t>blicos presenten una justificaci</w:t>
      </w:r>
      <w:r>
        <w:rPr>
          <w:rFonts w:cs="Times New Roman"/>
          <w:spacing w:val="-10"/>
          <w:sz w:val="18"/>
          <w:szCs w:val="18"/>
          <w:lang w:val="es-ES_tradnl"/>
        </w:rPr>
        <w:t>ó</w:t>
      </w:r>
      <w:r>
        <w:rPr>
          <w:spacing w:val="-10"/>
          <w:sz w:val="18"/>
          <w:szCs w:val="18"/>
          <w:lang w:val="es-ES_tradnl"/>
        </w:rPr>
        <w:t xml:space="preserve">n respecto </w:t>
      </w:r>
      <w:r>
        <w:rPr>
          <w:spacing w:val="-5"/>
          <w:sz w:val="18"/>
          <w:szCs w:val="18"/>
          <w:lang w:val="es-ES_tradnl"/>
        </w:rPr>
        <w:t>de su actuaci</w:t>
      </w:r>
      <w:r>
        <w:rPr>
          <w:rFonts w:cs="Times New Roman"/>
          <w:spacing w:val="-5"/>
          <w:sz w:val="18"/>
          <w:szCs w:val="18"/>
          <w:lang w:val="es-ES_tradnl"/>
        </w:rPr>
        <w:t>ó</w:t>
      </w:r>
      <w:r>
        <w:rPr>
          <w:spacing w:val="-5"/>
          <w:sz w:val="18"/>
          <w:szCs w:val="18"/>
          <w:lang w:val="es-ES_tradnl"/>
        </w:rPr>
        <w:t>n. Con relaci</w:t>
      </w:r>
      <w:r>
        <w:rPr>
          <w:rFonts w:cs="Times New Roman"/>
          <w:spacing w:val="-5"/>
          <w:sz w:val="18"/>
          <w:szCs w:val="18"/>
          <w:lang w:val="es-ES_tradnl"/>
        </w:rPr>
        <w:t>ó</w:t>
      </w:r>
      <w:r>
        <w:rPr>
          <w:spacing w:val="-5"/>
          <w:sz w:val="18"/>
          <w:szCs w:val="18"/>
          <w:lang w:val="es-ES_tradnl"/>
        </w:rPr>
        <w:t>n a esta obligaci</w:t>
      </w:r>
      <w:r>
        <w:rPr>
          <w:rFonts w:cs="Times New Roman"/>
          <w:spacing w:val="-5"/>
          <w:sz w:val="18"/>
          <w:szCs w:val="18"/>
          <w:lang w:val="es-ES_tradnl"/>
        </w:rPr>
        <w:t>ó</w:t>
      </w:r>
      <w:r>
        <w:rPr>
          <w:spacing w:val="-5"/>
          <w:sz w:val="18"/>
          <w:szCs w:val="18"/>
          <w:lang w:val="es-ES_tradnl"/>
        </w:rPr>
        <w:t xml:space="preserve">n, la Corte </w:t>
      </w:r>
      <w:r>
        <w:rPr>
          <w:spacing w:val="-3"/>
          <w:sz w:val="18"/>
          <w:szCs w:val="18"/>
          <w:lang w:val="es-ES_tradnl"/>
        </w:rPr>
        <w:t xml:space="preserve">Constitucional ha sostenido que: </w:t>
      </w:r>
      <w:r>
        <w:rPr>
          <w:rFonts w:cs="Times New Roman"/>
          <w:i/>
          <w:iCs/>
          <w:spacing w:val="-3"/>
          <w:sz w:val="18"/>
          <w:szCs w:val="18"/>
          <w:lang w:val="es-ES_tradnl"/>
        </w:rPr>
        <w:t>“</w:t>
      </w:r>
      <w:r>
        <w:rPr>
          <w:spacing w:val="-3"/>
          <w:sz w:val="18"/>
          <w:szCs w:val="18"/>
          <w:lang w:val="es-ES_tradnl"/>
        </w:rPr>
        <w:t>La motivaci</w:t>
      </w:r>
      <w:r>
        <w:rPr>
          <w:rFonts w:cs="Times New Roman"/>
          <w:spacing w:val="-3"/>
          <w:sz w:val="18"/>
          <w:szCs w:val="18"/>
          <w:lang w:val="es-ES_tradnl"/>
        </w:rPr>
        <w:t>ó</w:t>
      </w:r>
      <w:r>
        <w:rPr>
          <w:spacing w:val="-3"/>
          <w:sz w:val="18"/>
          <w:szCs w:val="18"/>
          <w:lang w:val="es-ES_tradnl"/>
        </w:rPr>
        <w:t xml:space="preserve">n implica </w:t>
      </w:r>
      <w:r>
        <w:rPr>
          <w:spacing w:val="-7"/>
          <w:sz w:val="18"/>
          <w:szCs w:val="18"/>
          <w:lang w:val="es-ES_tradnl"/>
        </w:rPr>
        <w:t>la explicaci</w:t>
      </w:r>
      <w:r>
        <w:rPr>
          <w:rFonts w:cs="Times New Roman"/>
          <w:spacing w:val="-7"/>
          <w:sz w:val="18"/>
          <w:szCs w:val="18"/>
          <w:lang w:val="es-ES_tradnl"/>
        </w:rPr>
        <w:t>ó</w:t>
      </w:r>
      <w:r>
        <w:rPr>
          <w:spacing w:val="-7"/>
          <w:sz w:val="18"/>
          <w:szCs w:val="18"/>
          <w:lang w:val="es-ES_tradnl"/>
        </w:rPr>
        <w:t xml:space="preserve">n ordenada de las razones que llevan a la </w:t>
      </w:r>
      <w:r>
        <w:rPr>
          <w:spacing w:val="-9"/>
          <w:sz w:val="18"/>
          <w:szCs w:val="18"/>
          <w:lang w:val="es-ES_tradnl"/>
        </w:rPr>
        <w:t xml:space="preserve">autoridad </w:t>
      </w:r>
      <w:r>
        <w:rPr>
          <w:rFonts w:cs="Times New Roman"/>
          <w:spacing w:val="-9"/>
          <w:sz w:val="18"/>
          <w:szCs w:val="18"/>
          <w:lang w:val="es-ES_tradnl"/>
        </w:rPr>
        <w:t>–</w:t>
      </w:r>
      <w:r>
        <w:rPr>
          <w:spacing w:val="-9"/>
          <w:sz w:val="18"/>
          <w:szCs w:val="18"/>
          <w:lang w:val="es-ES_tradnl"/>
        </w:rPr>
        <w:t>en este caso, la autoridad judicial</w:t>
      </w:r>
      <w:r>
        <w:rPr>
          <w:rFonts w:ascii="Arial Unicode MS" w:eastAsia="Arial Unicode MS" w:hAnsi="Arial Unicode MS" w:cs="Arial Unicode MS" w:hint="eastAsia"/>
          <w:spacing w:val="-9"/>
          <w:sz w:val="18"/>
          <w:szCs w:val="18"/>
          <w:lang w:val="es-ES_tradnl"/>
        </w:rPr>
        <w:t>‒</w:t>
      </w:r>
      <w:r>
        <w:rPr>
          <w:spacing w:val="-9"/>
          <w:sz w:val="18"/>
          <w:szCs w:val="18"/>
          <w:lang w:val="es-ES_tradnl"/>
        </w:rPr>
        <w:t xml:space="preserve">, para adoptar </w:t>
      </w:r>
      <w:r>
        <w:rPr>
          <w:spacing w:val="-7"/>
          <w:sz w:val="18"/>
          <w:szCs w:val="18"/>
          <w:lang w:val="es-ES_tradnl"/>
        </w:rPr>
        <w:t>determinada decisi</w:t>
      </w:r>
      <w:r>
        <w:rPr>
          <w:rFonts w:cs="Times New Roman"/>
          <w:spacing w:val="-7"/>
          <w:sz w:val="18"/>
          <w:szCs w:val="18"/>
          <w:lang w:val="es-ES_tradnl"/>
        </w:rPr>
        <w:t>ó</w:t>
      </w:r>
      <w:r>
        <w:rPr>
          <w:spacing w:val="-7"/>
          <w:sz w:val="18"/>
          <w:szCs w:val="18"/>
          <w:lang w:val="es-ES_tradnl"/>
        </w:rPr>
        <w:t>n. La motivaci</w:t>
      </w:r>
      <w:r>
        <w:rPr>
          <w:rFonts w:cs="Times New Roman"/>
          <w:spacing w:val="-7"/>
          <w:sz w:val="18"/>
          <w:szCs w:val="18"/>
          <w:lang w:val="es-ES_tradnl"/>
        </w:rPr>
        <w:t>ó</w:t>
      </w:r>
      <w:r>
        <w:rPr>
          <w:spacing w:val="-7"/>
          <w:sz w:val="18"/>
          <w:szCs w:val="18"/>
          <w:lang w:val="es-ES_tradnl"/>
        </w:rPr>
        <w:t>n es la mayor garant</w:t>
      </w:r>
      <w:r>
        <w:rPr>
          <w:rFonts w:cs="Times New Roman"/>
          <w:spacing w:val="-7"/>
          <w:sz w:val="18"/>
          <w:szCs w:val="18"/>
          <w:lang w:val="es-ES_tradnl"/>
        </w:rPr>
        <w:t>í</w:t>
      </w:r>
      <w:r>
        <w:rPr>
          <w:spacing w:val="-7"/>
          <w:sz w:val="18"/>
          <w:szCs w:val="18"/>
          <w:lang w:val="es-ES_tradnl"/>
        </w:rPr>
        <w:t xml:space="preserve">a </w:t>
      </w:r>
      <w:r>
        <w:rPr>
          <w:spacing w:val="-5"/>
          <w:sz w:val="18"/>
          <w:szCs w:val="18"/>
          <w:lang w:val="es-ES_tradnl"/>
        </w:rPr>
        <w:t>de la juridicidad de la actuaci</w:t>
      </w:r>
      <w:r>
        <w:rPr>
          <w:rFonts w:cs="Times New Roman"/>
          <w:spacing w:val="-5"/>
          <w:sz w:val="18"/>
          <w:szCs w:val="18"/>
          <w:lang w:val="es-ES_tradnl"/>
        </w:rPr>
        <w:t>ó</w:t>
      </w:r>
      <w:r>
        <w:rPr>
          <w:spacing w:val="-5"/>
          <w:sz w:val="18"/>
          <w:szCs w:val="18"/>
          <w:lang w:val="es-ES_tradnl"/>
        </w:rPr>
        <w:t>n p</w:t>
      </w:r>
      <w:r>
        <w:rPr>
          <w:rFonts w:cs="Times New Roman"/>
          <w:spacing w:val="-5"/>
          <w:sz w:val="18"/>
          <w:szCs w:val="18"/>
          <w:lang w:val="es-ES_tradnl"/>
        </w:rPr>
        <w:t>ú</w:t>
      </w:r>
      <w:r>
        <w:rPr>
          <w:spacing w:val="-5"/>
          <w:sz w:val="18"/>
          <w:szCs w:val="18"/>
          <w:lang w:val="es-ES_tradnl"/>
        </w:rPr>
        <w:t xml:space="preserve">blica en un Estado </w:t>
      </w:r>
      <w:r>
        <w:rPr>
          <w:spacing w:val="-7"/>
          <w:sz w:val="18"/>
          <w:szCs w:val="18"/>
          <w:lang w:val="es-ES_tradnl"/>
        </w:rPr>
        <w:t>Constitucional de Derechos como el ecuatoriano</w:t>
      </w:r>
      <w:r>
        <w:rPr>
          <w:rFonts w:cs="Times New Roman"/>
          <w:spacing w:val="-7"/>
          <w:sz w:val="18"/>
          <w:szCs w:val="18"/>
          <w:lang w:val="es-ES_tradnl"/>
        </w:rPr>
        <w:t>”</w:t>
      </w:r>
      <w:r>
        <w:rPr>
          <w:spacing w:val="-7"/>
          <w:sz w:val="18"/>
          <w:szCs w:val="18"/>
          <w:vertAlign w:val="superscript"/>
          <w:lang w:val="es-ES_tradnl"/>
        </w:rPr>
        <w:t>7</w:t>
      </w:r>
      <w:r>
        <w:rPr>
          <w:spacing w:val="-7"/>
          <w:sz w:val="18"/>
          <w:szCs w:val="18"/>
          <w:lang w:val="es-ES_tradnl"/>
        </w:rPr>
        <w:t>.</w:t>
      </w:r>
    </w:p>
    <w:p w14:paraId="4F67B2C6" w14:textId="77777777" w:rsidR="00591D54" w:rsidRDefault="00591D54">
      <w:pPr>
        <w:shd w:val="clear" w:color="auto" w:fill="FFFFFF"/>
        <w:spacing w:before="192" w:line="216" w:lineRule="exact"/>
        <w:jc w:val="both"/>
      </w:pPr>
      <w:r>
        <w:rPr>
          <w:spacing w:val="-9"/>
          <w:sz w:val="18"/>
          <w:szCs w:val="18"/>
          <w:lang w:val="es-ES_tradnl"/>
        </w:rPr>
        <w:t>Es precisamente a trav</w:t>
      </w:r>
      <w:r>
        <w:rPr>
          <w:rFonts w:cs="Times New Roman"/>
          <w:spacing w:val="-9"/>
          <w:sz w:val="18"/>
          <w:szCs w:val="18"/>
          <w:lang w:val="es-ES_tradnl"/>
        </w:rPr>
        <w:t>é</w:t>
      </w:r>
      <w:r>
        <w:rPr>
          <w:spacing w:val="-9"/>
          <w:sz w:val="18"/>
          <w:szCs w:val="18"/>
          <w:lang w:val="es-ES_tradnl"/>
        </w:rPr>
        <w:t>s de la motivaci</w:t>
      </w:r>
      <w:r>
        <w:rPr>
          <w:rFonts w:cs="Times New Roman"/>
          <w:spacing w:val="-9"/>
          <w:sz w:val="18"/>
          <w:szCs w:val="18"/>
          <w:lang w:val="es-ES_tradnl"/>
        </w:rPr>
        <w:t>ó</w:t>
      </w:r>
      <w:r>
        <w:rPr>
          <w:spacing w:val="-9"/>
          <w:sz w:val="18"/>
          <w:szCs w:val="18"/>
          <w:lang w:val="es-ES_tradnl"/>
        </w:rPr>
        <w:t xml:space="preserve">n que las juezas y </w:t>
      </w:r>
      <w:r>
        <w:rPr>
          <w:spacing w:val="-10"/>
          <w:sz w:val="18"/>
          <w:szCs w:val="18"/>
          <w:lang w:val="es-ES_tradnl"/>
        </w:rPr>
        <w:t xml:space="preserve">jueces demuestran si sus actuaciones se han producido con </w:t>
      </w:r>
      <w:r>
        <w:rPr>
          <w:spacing w:val="-7"/>
          <w:sz w:val="18"/>
          <w:szCs w:val="18"/>
          <w:lang w:val="es-ES_tradnl"/>
        </w:rPr>
        <w:t>apego a 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 xml:space="preserve">blica y a las leyes que rigen un caso en concreto. Esto permite a los ciudadanos </w:t>
      </w:r>
      <w:r>
        <w:rPr>
          <w:spacing w:val="-2"/>
          <w:sz w:val="18"/>
          <w:szCs w:val="18"/>
          <w:lang w:val="es-ES_tradnl"/>
        </w:rPr>
        <w:t xml:space="preserve">conocer los fundamentos que llevan a determinada </w:t>
      </w:r>
      <w:r>
        <w:rPr>
          <w:spacing w:val="-8"/>
          <w:sz w:val="18"/>
          <w:szCs w:val="18"/>
          <w:lang w:val="es-ES_tradnl"/>
        </w:rPr>
        <w:t>autoridad p</w:t>
      </w:r>
      <w:r>
        <w:rPr>
          <w:rFonts w:cs="Times New Roman"/>
          <w:spacing w:val="-8"/>
          <w:sz w:val="18"/>
          <w:szCs w:val="18"/>
          <w:lang w:val="es-ES_tradnl"/>
        </w:rPr>
        <w:t>ú</w:t>
      </w:r>
      <w:r>
        <w:rPr>
          <w:spacing w:val="-8"/>
          <w:sz w:val="18"/>
          <w:szCs w:val="18"/>
          <w:lang w:val="es-ES_tradnl"/>
        </w:rPr>
        <w:t>blica a tomar una decisi</w:t>
      </w:r>
      <w:r>
        <w:rPr>
          <w:rFonts w:cs="Times New Roman"/>
          <w:spacing w:val="-8"/>
          <w:sz w:val="18"/>
          <w:szCs w:val="18"/>
          <w:lang w:val="es-ES_tradnl"/>
        </w:rPr>
        <w:t>ó</w:t>
      </w:r>
      <w:r>
        <w:rPr>
          <w:spacing w:val="-8"/>
          <w:sz w:val="18"/>
          <w:szCs w:val="18"/>
          <w:lang w:val="es-ES_tradnl"/>
        </w:rPr>
        <w:t xml:space="preserve">n en el </w:t>
      </w:r>
      <w:r>
        <w:rPr>
          <w:rFonts w:cs="Times New Roman"/>
          <w:spacing w:val="-8"/>
          <w:sz w:val="18"/>
          <w:szCs w:val="18"/>
          <w:lang w:val="es-ES_tradnl"/>
        </w:rPr>
        <w:t>á</w:t>
      </w:r>
      <w:r>
        <w:rPr>
          <w:spacing w:val="-8"/>
          <w:sz w:val="18"/>
          <w:szCs w:val="18"/>
          <w:lang w:val="es-ES_tradnl"/>
        </w:rPr>
        <w:t xml:space="preserve">mbito de sus </w:t>
      </w:r>
      <w:r>
        <w:rPr>
          <w:sz w:val="18"/>
          <w:szCs w:val="18"/>
          <w:lang w:val="es-ES_tradnl"/>
        </w:rPr>
        <w:t>competencias.</w:t>
      </w:r>
    </w:p>
    <w:p w14:paraId="4F67B2C7" w14:textId="77777777" w:rsidR="00591D54" w:rsidRDefault="00591D54">
      <w:pPr>
        <w:shd w:val="clear" w:color="auto" w:fill="FFFFFF"/>
        <w:spacing w:before="192" w:line="216" w:lineRule="exact"/>
        <w:jc w:val="both"/>
      </w:pPr>
      <w:r>
        <w:rPr>
          <w:spacing w:val="-8"/>
          <w:sz w:val="18"/>
          <w:szCs w:val="18"/>
          <w:lang w:val="es-ES_tradnl"/>
        </w:rPr>
        <w:t>Esta garant</w:t>
      </w:r>
      <w:r>
        <w:rPr>
          <w:rFonts w:cs="Times New Roman"/>
          <w:spacing w:val="-8"/>
          <w:sz w:val="18"/>
          <w:szCs w:val="18"/>
          <w:lang w:val="es-ES_tradnl"/>
        </w:rPr>
        <w:t>í</w:t>
      </w:r>
      <w:r>
        <w:rPr>
          <w:spacing w:val="-8"/>
          <w:sz w:val="18"/>
          <w:szCs w:val="18"/>
          <w:lang w:val="es-ES_tradnl"/>
        </w:rPr>
        <w:t>a, de acuerdo a lo se</w:t>
      </w:r>
      <w:r>
        <w:rPr>
          <w:rFonts w:cs="Times New Roman"/>
          <w:spacing w:val="-8"/>
          <w:sz w:val="18"/>
          <w:szCs w:val="18"/>
          <w:lang w:val="es-ES_tradnl"/>
        </w:rPr>
        <w:t>ñ</w:t>
      </w:r>
      <w:r>
        <w:rPr>
          <w:spacing w:val="-8"/>
          <w:sz w:val="18"/>
          <w:szCs w:val="18"/>
          <w:lang w:val="es-ES_tradnl"/>
        </w:rPr>
        <w:t>alado en la Constituci</w:t>
      </w:r>
      <w:r>
        <w:rPr>
          <w:rFonts w:cs="Times New Roman"/>
          <w:spacing w:val="-8"/>
          <w:sz w:val="18"/>
          <w:szCs w:val="18"/>
          <w:lang w:val="es-ES_tradnl"/>
        </w:rPr>
        <w:t>ó</w:t>
      </w:r>
      <w:r>
        <w:rPr>
          <w:spacing w:val="-8"/>
          <w:sz w:val="18"/>
          <w:szCs w:val="18"/>
          <w:lang w:val="es-ES_tradnl"/>
        </w:rPr>
        <w:t xml:space="preserve">n, </w:t>
      </w:r>
      <w:r>
        <w:rPr>
          <w:spacing w:val="-6"/>
          <w:sz w:val="18"/>
          <w:szCs w:val="18"/>
          <w:lang w:val="es-ES_tradnl"/>
        </w:rPr>
        <w:t>se satisface m</w:t>
      </w:r>
      <w:r>
        <w:rPr>
          <w:rFonts w:cs="Times New Roman"/>
          <w:spacing w:val="-6"/>
          <w:sz w:val="18"/>
          <w:szCs w:val="18"/>
          <w:lang w:val="es-ES_tradnl"/>
        </w:rPr>
        <w:t>í</w:t>
      </w:r>
      <w:r>
        <w:rPr>
          <w:spacing w:val="-6"/>
          <w:sz w:val="18"/>
          <w:szCs w:val="18"/>
          <w:lang w:val="es-ES_tradnl"/>
        </w:rPr>
        <w:t>nimamente por la enunciaci</w:t>
      </w:r>
      <w:r>
        <w:rPr>
          <w:rFonts w:cs="Times New Roman"/>
          <w:spacing w:val="-6"/>
          <w:sz w:val="18"/>
          <w:szCs w:val="18"/>
          <w:lang w:val="es-ES_tradnl"/>
        </w:rPr>
        <w:t>ó</w:t>
      </w:r>
      <w:r>
        <w:rPr>
          <w:spacing w:val="-6"/>
          <w:sz w:val="18"/>
          <w:szCs w:val="18"/>
          <w:lang w:val="es-ES_tradnl"/>
        </w:rPr>
        <w:t xml:space="preserve">n de las </w:t>
      </w:r>
      <w:r>
        <w:rPr>
          <w:spacing w:val="-7"/>
          <w:sz w:val="18"/>
          <w:szCs w:val="18"/>
          <w:lang w:val="es-ES_tradnl"/>
        </w:rPr>
        <w:t>disposiciones jur</w:t>
      </w:r>
      <w:r>
        <w:rPr>
          <w:rFonts w:cs="Times New Roman"/>
          <w:spacing w:val="-7"/>
          <w:sz w:val="18"/>
          <w:szCs w:val="18"/>
          <w:lang w:val="es-ES_tradnl"/>
        </w:rPr>
        <w:t>í</w:t>
      </w:r>
      <w:r>
        <w:rPr>
          <w:spacing w:val="-7"/>
          <w:sz w:val="18"/>
          <w:szCs w:val="18"/>
          <w:lang w:val="es-ES_tradnl"/>
        </w:rPr>
        <w:t xml:space="preserve">dicas que sirven de fundamento para la </w:t>
      </w:r>
      <w:r>
        <w:rPr>
          <w:spacing w:val="-6"/>
          <w:sz w:val="18"/>
          <w:szCs w:val="18"/>
          <w:lang w:val="es-ES_tradnl"/>
        </w:rPr>
        <w:t>decisi</w:t>
      </w:r>
      <w:r>
        <w:rPr>
          <w:rFonts w:cs="Times New Roman"/>
          <w:spacing w:val="-6"/>
          <w:sz w:val="18"/>
          <w:szCs w:val="18"/>
          <w:lang w:val="es-ES_tradnl"/>
        </w:rPr>
        <w:t>ó</w:t>
      </w:r>
      <w:r>
        <w:rPr>
          <w:spacing w:val="-6"/>
          <w:sz w:val="18"/>
          <w:szCs w:val="18"/>
          <w:lang w:val="es-ES_tradnl"/>
        </w:rPr>
        <w:t>n; la expresi</w:t>
      </w:r>
      <w:r>
        <w:rPr>
          <w:rFonts w:cs="Times New Roman"/>
          <w:spacing w:val="-6"/>
          <w:sz w:val="18"/>
          <w:szCs w:val="18"/>
          <w:lang w:val="es-ES_tradnl"/>
        </w:rPr>
        <w:t>ó</w:t>
      </w:r>
      <w:r>
        <w:rPr>
          <w:spacing w:val="-6"/>
          <w:sz w:val="18"/>
          <w:szCs w:val="18"/>
          <w:lang w:val="es-ES_tradnl"/>
        </w:rPr>
        <w:t>n de su sentido prescriptivo extra</w:t>
      </w:r>
      <w:r>
        <w:rPr>
          <w:rFonts w:cs="Times New Roman"/>
          <w:spacing w:val="-6"/>
          <w:sz w:val="18"/>
          <w:szCs w:val="18"/>
          <w:lang w:val="es-ES_tradnl"/>
        </w:rPr>
        <w:t>í</w:t>
      </w:r>
      <w:r>
        <w:rPr>
          <w:spacing w:val="-6"/>
          <w:sz w:val="18"/>
          <w:szCs w:val="18"/>
          <w:lang w:val="es-ES_tradnl"/>
        </w:rPr>
        <w:t>do por medio de la interpretaci</w:t>
      </w:r>
      <w:r>
        <w:rPr>
          <w:rFonts w:cs="Times New Roman"/>
          <w:spacing w:val="-6"/>
          <w:sz w:val="18"/>
          <w:szCs w:val="18"/>
          <w:lang w:val="es-ES_tradnl"/>
        </w:rPr>
        <w:t>ó</w:t>
      </w:r>
      <w:r>
        <w:rPr>
          <w:spacing w:val="-6"/>
          <w:sz w:val="18"/>
          <w:szCs w:val="18"/>
          <w:lang w:val="es-ES_tradnl"/>
        </w:rPr>
        <w:t>n jur</w:t>
      </w:r>
      <w:r>
        <w:rPr>
          <w:rFonts w:cs="Times New Roman"/>
          <w:spacing w:val="-6"/>
          <w:sz w:val="18"/>
          <w:szCs w:val="18"/>
          <w:lang w:val="es-ES_tradnl"/>
        </w:rPr>
        <w:t>í</w:t>
      </w:r>
      <w:r>
        <w:rPr>
          <w:spacing w:val="-6"/>
          <w:sz w:val="18"/>
          <w:szCs w:val="18"/>
          <w:lang w:val="es-ES_tradnl"/>
        </w:rPr>
        <w:t xml:space="preserve">dica de las mismas; la </w:t>
      </w:r>
      <w:r>
        <w:rPr>
          <w:spacing w:val="-8"/>
          <w:sz w:val="18"/>
          <w:szCs w:val="18"/>
          <w:lang w:val="es-ES_tradnl"/>
        </w:rPr>
        <w:t>determinaci</w:t>
      </w:r>
      <w:r>
        <w:rPr>
          <w:rFonts w:cs="Times New Roman"/>
          <w:spacing w:val="-8"/>
          <w:sz w:val="18"/>
          <w:szCs w:val="18"/>
          <w:lang w:val="es-ES_tradnl"/>
        </w:rPr>
        <w:t>ó</w:t>
      </w:r>
      <w:r>
        <w:rPr>
          <w:spacing w:val="-8"/>
          <w:sz w:val="18"/>
          <w:szCs w:val="18"/>
          <w:lang w:val="es-ES_tradnl"/>
        </w:rPr>
        <w:t>n de los hechos que corresponde resolver y adem</w:t>
      </w:r>
      <w:r>
        <w:rPr>
          <w:rFonts w:cs="Times New Roman"/>
          <w:spacing w:val="-8"/>
          <w:sz w:val="18"/>
          <w:szCs w:val="18"/>
          <w:lang w:val="es-ES_tradnl"/>
        </w:rPr>
        <w:t>á</w:t>
      </w:r>
      <w:r>
        <w:rPr>
          <w:spacing w:val="-8"/>
          <w:sz w:val="18"/>
          <w:szCs w:val="18"/>
          <w:lang w:val="es-ES_tradnl"/>
        </w:rPr>
        <w:t>s, el ejercicio l</w:t>
      </w:r>
      <w:r>
        <w:rPr>
          <w:rFonts w:cs="Times New Roman"/>
          <w:spacing w:val="-8"/>
          <w:sz w:val="18"/>
          <w:szCs w:val="18"/>
          <w:lang w:val="es-ES_tradnl"/>
        </w:rPr>
        <w:t>ó</w:t>
      </w:r>
      <w:r>
        <w:rPr>
          <w:spacing w:val="-8"/>
          <w:sz w:val="18"/>
          <w:szCs w:val="18"/>
          <w:lang w:val="es-ES_tradnl"/>
        </w:rPr>
        <w:t>gico de adecuaci</w:t>
      </w:r>
      <w:r>
        <w:rPr>
          <w:rFonts w:cs="Times New Roman"/>
          <w:spacing w:val="-8"/>
          <w:sz w:val="18"/>
          <w:szCs w:val="18"/>
          <w:lang w:val="es-ES_tradnl"/>
        </w:rPr>
        <w:t>ó</w:t>
      </w:r>
      <w:r>
        <w:rPr>
          <w:spacing w:val="-8"/>
          <w:sz w:val="18"/>
          <w:szCs w:val="18"/>
          <w:lang w:val="es-ES_tradnl"/>
        </w:rPr>
        <w:t xml:space="preserve">n de las normas a </w:t>
      </w:r>
      <w:r>
        <w:rPr>
          <w:spacing w:val="-7"/>
          <w:sz w:val="18"/>
          <w:szCs w:val="18"/>
          <w:lang w:val="es-ES_tradnl"/>
        </w:rPr>
        <w:t>dichos hechos. No obstante, estos criterios de correcci</w:t>
      </w:r>
      <w:r>
        <w:rPr>
          <w:rFonts w:cs="Times New Roman"/>
          <w:spacing w:val="-7"/>
          <w:sz w:val="18"/>
          <w:szCs w:val="18"/>
          <w:lang w:val="es-ES_tradnl"/>
        </w:rPr>
        <w:t>ó</w:t>
      </w:r>
      <w:r>
        <w:rPr>
          <w:spacing w:val="-7"/>
          <w:sz w:val="18"/>
          <w:szCs w:val="18"/>
          <w:lang w:val="es-ES_tradnl"/>
        </w:rPr>
        <w:t xml:space="preserve">n </w:t>
      </w:r>
      <w:r>
        <w:rPr>
          <w:spacing w:val="-5"/>
          <w:sz w:val="18"/>
          <w:szCs w:val="18"/>
          <w:lang w:val="es-ES_tradnl"/>
        </w:rPr>
        <w:t>formal del razonamiento no son suficientes, por lo que la</w:t>
      </w:r>
    </w:p>
    <w:p w14:paraId="4F67B2C8" w14:textId="77777777" w:rsidR="00591D54" w:rsidRDefault="00591D54">
      <w:pPr>
        <w:shd w:val="clear" w:color="auto" w:fill="FFFFFF"/>
        <w:spacing w:before="514" w:line="178" w:lineRule="exact"/>
        <w:ind w:left="144" w:hanging="144"/>
      </w:pPr>
      <w:r>
        <w:rPr>
          <w:sz w:val="14"/>
          <w:szCs w:val="14"/>
          <w:vertAlign w:val="superscript"/>
          <w:lang w:val="es-ES_tradnl"/>
        </w:rPr>
        <w:t>7</w:t>
      </w:r>
      <w:r>
        <w:rPr>
          <w:sz w:val="14"/>
          <w:szCs w:val="14"/>
          <w:lang w:val="es-ES_tradnl"/>
        </w:rPr>
        <w:t xml:space="preserve">  Corte Constitucional, para el per</w:t>
      </w:r>
      <w:r>
        <w:rPr>
          <w:rFonts w:cs="Times New Roman"/>
          <w:sz w:val="14"/>
          <w:szCs w:val="14"/>
          <w:lang w:val="es-ES_tradnl"/>
        </w:rPr>
        <w:t>í</w:t>
      </w:r>
      <w:r>
        <w:rPr>
          <w:sz w:val="14"/>
          <w:szCs w:val="14"/>
          <w:lang w:val="es-ES_tradnl"/>
        </w:rPr>
        <w:t>odo de transici</w:t>
      </w:r>
      <w:r>
        <w:rPr>
          <w:rFonts w:cs="Times New Roman"/>
          <w:sz w:val="14"/>
          <w:szCs w:val="14"/>
          <w:lang w:val="es-ES_tradnl"/>
        </w:rPr>
        <w:t>ó</w:t>
      </w:r>
      <w:r>
        <w:rPr>
          <w:sz w:val="14"/>
          <w:szCs w:val="14"/>
          <w:lang w:val="es-ES_tradnl"/>
        </w:rPr>
        <w:t>n, sentencia N.</w:t>
      </w:r>
      <w:r>
        <w:rPr>
          <w:rFonts w:cs="Times New Roman"/>
          <w:sz w:val="14"/>
          <w:szCs w:val="14"/>
          <w:lang w:val="es-ES_tradnl"/>
        </w:rPr>
        <w:t xml:space="preserve">º </w:t>
      </w:r>
      <w:r>
        <w:rPr>
          <w:sz w:val="14"/>
          <w:szCs w:val="14"/>
          <w:lang w:val="es-ES_tradnl"/>
        </w:rPr>
        <w:t>020-13-SEP-CC, caso N.</w:t>
      </w:r>
      <w:r>
        <w:rPr>
          <w:rFonts w:cs="Times New Roman"/>
          <w:sz w:val="14"/>
          <w:szCs w:val="14"/>
          <w:lang w:val="es-ES_tradnl"/>
        </w:rPr>
        <w:t>º</w:t>
      </w:r>
      <w:r>
        <w:rPr>
          <w:sz w:val="14"/>
          <w:szCs w:val="14"/>
          <w:lang w:val="es-ES_tradnl"/>
        </w:rPr>
        <w:t xml:space="preserve"> 0563-12-EP.</w:t>
      </w:r>
    </w:p>
    <w:p w14:paraId="4F67B2C9" w14:textId="77777777" w:rsidR="00591D54" w:rsidRDefault="00591D54">
      <w:pPr>
        <w:shd w:val="clear" w:color="auto" w:fill="FFFFFF"/>
        <w:spacing w:before="514" w:line="178" w:lineRule="exact"/>
        <w:ind w:left="144" w:hanging="144"/>
        <w:sectPr w:rsidR="00591D54">
          <w:type w:val="continuous"/>
          <w:pgSz w:w="11909" w:h="16834"/>
          <w:pgMar w:top="1359" w:right="1309" w:bottom="360" w:left="1308" w:header="720" w:footer="720" w:gutter="0"/>
          <w:cols w:num="2" w:space="720" w:equalWidth="0">
            <w:col w:w="4305" w:space="682"/>
            <w:col w:w="4305"/>
          </w:cols>
          <w:noEndnote/>
        </w:sectPr>
      </w:pPr>
    </w:p>
    <w:p w14:paraId="4F67B2CA" w14:textId="77777777" w:rsidR="00591D54" w:rsidRDefault="00591D54">
      <w:pPr>
        <w:shd w:val="clear" w:color="auto" w:fill="FFFFFF"/>
        <w:tabs>
          <w:tab w:val="left" w:pos="4814"/>
        </w:tabs>
        <w:spacing w:after="235"/>
        <w:ind w:left="14"/>
      </w:pPr>
      <w:r>
        <w:rPr>
          <w:b/>
          <w:bCs/>
          <w:sz w:val="18"/>
          <w:szCs w:val="18"/>
          <w:lang w:val="es-ES_tradnl"/>
        </w:rPr>
        <w:t xml:space="preserve">188 -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2CB" w14:textId="77777777" w:rsidR="00591D54" w:rsidRDefault="00591D54">
      <w:pPr>
        <w:shd w:val="clear" w:color="auto" w:fill="FFFFFF"/>
        <w:tabs>
          <w:tab w:val="left" w:pos="4814"/>
        </w:tabs>
        <w:spacing w:after="235"/>
        <w:ind w:left="14"/>
        <w:sectPr w:rsidR="00591D54">
          <w:pgSz w:w="11909" w:h="16834"/>
          <w:pgMar w:top="1356" w:right="1309" w:bottom="360" w:left="1308" w:header="720" w:footer="720" w:gutter="0"/>
          <w:cols w:space="60"/>
          <w:noEndnote/>
        </w:sectPr>
      </w:pPr>
    </w:p>
    <w:p w14:paraId="4F67B2CC" w14:textId="77777777" w:rsidR="00591D54" w:rsidRDefault="00591D54">
      <w:pPr>
        <w:shd w:val="clear" w:color="auto" w:fill="FFFFFF"/>
        <w:spacing w:line="216" w:lineRule="exact"/>
        <w:jc w:val="both"/>
      </w:pPr>
      <w:r>
        <w:rPr>
          <w:spacing w:val="-8"/>
          <w:sz w:val="18"/>
          <w:szCs w:val="18"/>
          <w:lang w:val="es-ES_tradnl"/>
        </w:rPr>
        <w:t>Corte Constitucional ha extra</w:t>
      </w:r>
      <w:r>
        <w:rPr>
          <w:rFonts w:cs="Times New Roman"/>
          <w:spacing w:val="-8"/>
          <w:sz w:val="18"/>
          <w:szCs w:val="18"/>
          <w:lang w:val="es-ES_tradnl"/>
        </w:rPr>
        <w:t>í</w:t>
      </w:r>
      <w:r>
        <w:rPr>
          <w:spacing w:val="-8"/>
          <w:sz w:val="18"/>
          <w:szCs w:val="18"/>
          <w:lang w:val="es-ES_tradnl"/>
        </w:rPr>
        <w:t xml:space="preserve">do de la norma constitucional </w:t>
      </w:r>
      <w:r>
        <w:rPr>
          <w:spacing w:val="-7"/>
          <w:sz w:val="18"/>
          <w:szCs w:val="18"/>
          <w:lang w:val="es-ES_tradnl"/>
        </w:rPr>
        <w:t>par</w:t>
      </w:r>
      <w:r>
        <w:rPr>
          <w:rFonts w:cs="Times New Roman"/>
          <w:spacing w:val="-7"/>
          <w:sz w:val="18"/>
          <w:szCs w:val="18"/>
          <w:lang w:val="es-ES_tradnl"/>
        </w:rPr>
        <w:t>á</w:t>
      </w:r>
      <w:r>
        <w:rPr>
          <w:spacing w:val="-7"/>
          <w:sz w:val="18"/>
          <w:szCs w:val="18"/>
          <w:lang w:val="es-ES_tradnl"/>
        </w:rPr>
        <w:t xml:space="preserve">metros que permiten calificar conformidad sustancial del razonamiento con las prescripciones constitucionales. </w:t>
      </w:r>
      <w:r>
        <w:rPr>
          <w:spacing w:val="-10"/>
          <w:sz w:val="18"/>
          <w:szCs w:val="18"/>
          <w:lang w:val="es-ES_tradnl"/>
        </w:rPr>
        <w:t>As</w:t>
      </w:r>
      <w:r>
        <w:rPr>
          <w:rFonts w:cs="Times New Roman"/>
          <w:spacing w:val="-10"/>
          <w:sz w:val="18"/>
          <w:szCs w:val="18"/>
          <w:lang w:val="es-ES_tradnl"/>
        </w:rPr>
        <w:t>í</w:t>
      </w:r>
      <w:r>
        <w:rPr>
          <w:spacing w:val="-10"/>
          <w:sz w:val="18"/>
          <w:szCs w:val="18"/>
          <w:lang w:val="es-ES_tradnl"/>
        </w:rPr>
        <w:t xml:space="preserve">, para que pueda considerarse que existe una adecuada </w:t>
      </w:r>
      <w:r>
        <w:rPr>
          <w:spacing w:val="-6"/>
          <w:sz w:val="18"/>
          <w:szCs w:val="18"/>
          <w:lang w:val="es-ES_tradnl"/>
        </w:rPr>
        <w:t>motivaci</w:t>
      </w:r>
      <w:r>
        <w:rPr>
          <w:rFonts w:cs="Times New Roman"/>
          <w:spacing w:val="-6"/>
          <w:sz w:val="18"/>
          <w:szCs w:val="18"/>
          <w:lang w:val="es-ES_tradnl"/>
        </w:rPr>
        <w:t>ó</w:t>
      </w:r>
      <w:r>
        <w:rPr>
          <w:spacing w:val="-6"/>
          <w:sz w:val="18"/>
          <w:szCs w:val="18"/>
          <w:lang w:val="es-ES_tradnl"/>
        </w:rPr>
        <w:t>n, los argumentos deben cumplir tambi</w:t>
      </w:r>
      <w:r>
        <w:rPr>
          <w:rFonts w:cs="Times New Roman"/>
          <w:spacing w:val="-6"/>
          <w:sz w:val="18"/>
          <w:szCs w:val="18"/>
          <w:lang w:val="es-ES_tradnl"/>
        </w:rPr>
        <w:t>é</w:t>
      </w:r>
      <w:r>
        <w:rPr>
          <w:spacing w:val="-6"/>
          <w:sz w:val="18"/>
          <w:szCs w:val="18"/>
          <w:lang w:val="es-ES_tradnl"/>
        </w:rPr>
        <w:t xml:space="preserve">n con </w:t>
      </w:r>
      <w:r>
        <w:rPr>
          <w:spacing w:val="-5"/>
          <w:sz w:val="18"/>
          <w:szCs w:val="18"/>
          <w:lang w:val="es-ES_tradnl"/>
        </w:rPr>
        <w:t>condiciones de razonabilidad, l</w:t>
      </w:r>
      <w:r>
        <w:rPr>
          <w:rFonts w:cs="Times New Roman"/>
          <w:spacing w:val="-5"/>
          <w:sz w:val="18"/>
          <w:szCs w:val="18"/>
          <w:lang w:val="es-ES_tradnl"/>
        </w:rPr>
        <w:t>ó</w:t>
      </w:r>
      <w:r>
        <w:rPr>
          <w:spacing w:val="-5"/>
          <w:sz w:val="18"/>
          <w:szCs w:val="18"/>
          <w:lang w:val="es-ES_tradnl"/>
        </w:rPr>
        <w:t xml:space="preserve">gica y comprensibilidad. </w:t>
      </w:r>
      <w:r>
        <w:rPr>
          <w:spacing w:val="-7"/>
          <w:sz w:val="18"/>
          <w:szCs w:val="18"/>
          <w:lang w:val="es-ES_tradnl"/>
        </w:rPr>
        <w:t>En concreto, la Corte Constitucional ha sostenido:</w:t>
      </w:r>
    </w:p>
    <w:p w14:paraId="4F67B2CD" w14:textId="77777777" w:rsidR="00591D54" w:rsidRDefault="00591D54">
      <w:pPr>
        <w:shd w:val="clear" w:color="auto" w:fill="FFFFFF"/>
        <w:spacing w:before="202" w:line="216" w:lineRule="exact"/>
        <w:ind w:left="283"/>
        <w:jc w:val="both"/>
      </w:pPr>
      <w:r>
        <w:rPr>
          <w:sz w:val="14"/>
          <w:szCs w:val="14"/>
          <w:lang w:val="es-ES_tradnl"/>
        </w:rPr>
        <w:t>Para que determinada resoluci</w:t>
      </w:r>
      <w:r>
        <w:rPr>
          <w:rFonts w:cs="Times New Roman"/>
          <w:sz w:val="14"/>
          <w:szCs w:val="14"/>
          <w:lang w:val="es-ES_tradnl"/>
        </w:rPr>
        <w:t>ó</w:t>
      </w:r>
      <w:r>
        <w:rPr>
          <w:sz w:val="14"/>
          <w:szCs w:val="14"/>
          <w:lang w:val="es-ES_tradnl"/>
        </w:rPr>
        <w:t>n se halle correctamente motivada es necesario que la autoridad que tome la decisi</w:t>
      </w:r>
      <w:r>
        <w:rPr>
          <w:rFonts w:cs="Times New Roman"/>
          <w:sz w:val="14"/>
          <w:szCs w:val="14"/>
          <w:lang w:val="es-ES_tradnl"/>
        </w:rPr>
        <w:t>ó</w:t>
      </w:r>
      <w:r>
        <w:rPr>
          <w:sz w:val="14"/>
          <w:szCs w:val="14"/>
          <w:lang w:val="es-ES_tradnl"/>
        </w:rPr>
        <w:t>n exponga las razones que el Derecho le ofrece para adoptarla. Dicha exposici</w:t>
      </w:r>
      <w:r>
        <w:rPr>
          <w:rFonts w:cs="Times New Roman"/>
          <w:sz w:val="14"/>
          <w:szCs w:val="14"/>
          <w:lang w:val="es-ES_tradnl"/>
        </w:rPr>
        <w:t>ó</w:t>
      </w:r>
      <w:r>
        <w:rPr>
          <w:sz w:val="14"/>
          <w:szCs w:val="14"/>
          <w:lang w:val="es-ES_tradnl"/>
        </w:rPr>
        <w:t>n debe hac</w:t>
      </w:r>
      <w:r>
        <w:rPr>
          <w:rFonts w:cs="Times New Roman"/>
          <w:sz w:val="14"/>
          <w:szCs w:val="14"/>
          <w:lang w:val="es-ES_tradnl"/>
        </w:rPr>
        <w:t>é</w:t>
      </w:r>
      <w:r>
        <w:rPr>
          <w:sz w:val="14"/>
          <w:szCs w:val="14"/>
          <w:lang w:val="es-ES_tradnl"/>
        </w:rPr>
        <w:t xml:space="preserve">rsela de manera </w:t>
      </w:r>
      <w:r>
        <w:rPr>
          <w:b/>
          <w:bCs/>
          <w:sz w:val="14"/>
          <w:szCs w:val="14"/>
          <w:lang w:val="es-ES_tradnl"/>
        </w:rPr>
        <w:t>razonable, l</w:t>
      </w:r>
      <w:r>
        <w:rPr>
          <w:rFonts w:cs="Times New Roman"/>
          <w:b/>
          <w:bCs/>
          <w:sz w:val="14"/>
          <w:szCs w:val="14"/>
          <w:lang w:val="es-ES_tradnl"/>
        </w:rPr>
        <w:t>ó</w:t>
      </w:r>
      <w:r>
        <w:rPr>
          <w:b/>
          <w:bCs/>
          <w:sz w:val="14"/>
          <w:szCs w:val="14"/>
          <w:lang w:val="es-ES_tradnl"/>
        </w:rPr>
        <w:t>gica y comprensible, as</w:t>
      </w:r>
      <w:r>
        <w:rPr>
          <w:rFonts w:cs="Times New Roman"/>
          <w:b/>
          <w:bCs/>
          <w:sz w:val="14"/>
          <w:szCs w:val="14"/>
          <w:lang w:val="es-ES_tradnl"/>
        </w:rPr>
        <w:t>í</w:t>
      </w:r>
      <w:r>
        <w:rPr>
          <w:b/>
          <w:bCs/>
          <w:sz w:val="14"/>
          <w:szCs w:val="14"/>
          <w:lang w:val="es-ES_tradnl"/>
        </w:rPr>
        <w:t xml:space="preserve"> como mostrar c</w:t>
      </w:r>
      <w:r>
        <w:rPr>
          <w:rFonts w:cs="Times New Roman"/>
          <w:b/>
          <w:bCs/>
          <w:sz w:val="14"/>
          <w:szCs w:val="14"/>
          <w:lang w:val="es-ES_tradnl"/>
        </w:rPr>
        <w:t>ó</w:t>
      </w:r>
      <w:r>
        <w:rPr>
          <w:b/>
          <w:bCs/>
          <w:sz w:val="14"/>
          <w:szCs w:val="14"/>
          <w:lang w:val="es-ES_tradnl"/>
        </w:rPr>
        <w:t>mo los enunciados normativos se adecuan a los deseos de solucionar los confl ictos presentados</w:t>
      </w:r>
      <w:r>
        <w:rPr>
          <w:sz w:val="14"/>
          <w:szCs w:val="14"/>
          <w:lang w:val="es-ES_tradnl"/>
        </w:rPr>
        <w:t>. Una decisi</w:t>
      </w:r>
      <w:r>
        <w:rPr>
          <w:rFonts w:cs="Times New Roman"/>
          <w:sz w:val="14"/>
          <w:szCs w:val="14"/>
          <w:lang w:val="es-ES_tradnl"/>
        </w:rPr>
        <w:t>ó</w:t>
      </w:r>
      <w:r>
        <w:rPr>
          <w:sz w:val="14"/>
          <w:szCs w:val="14"/>
          <w:lang w:val="es-ES_tradnl"/>
        </w:rPr>
        <w:t xml:space="preserve">n </w:t>
      </w:r>
      <w:r>
        <w:rPr>
          <w:b/>
          <w:bCs/>
          <w:sz w:val="14"/>
          <w:szCs w:val="14"/>
          <w:lang w:val="es-ES_tradnl"/>
        </w:rPr>
        <w:t>razonable es aquella fundada en los principios constitucionales</w:t>
      </w:r>
      <w:r>
        <w:rPr>
          <w:sz w:val="14"/>
          <w:szCs w:val="14"/>
          <w:lang w:val="es-ES_tradnl"/>
        </w:rPr>
        <w:t>. La decisi</w:t>
      </w:r>
      <w:r>
        <w:rPr>
          <w:rFonts w:cs="Times New Roman"/>
          <w:sz w:val="14"/>
          <w:szCs w:val="14"/>
          <w:lang w:val="es-ES_tradnl"/>
        </w:rPr>
        <w:t>ó</w:t>
      </w:r>
      <w:r>
        <w:rPr>
          <w:sz w:val="14"/>
          <w:szCs w:val="14"/>
          <w:lang w:val="es-ES_tradnl"/>
        </w:rPr>
        <w:t xml:space="preserve">n </w:t>
      </w:r>
      <w:r>
        <w:rPr>
          <w:b/>
          <w:bCs/>
          <w:sz w:val="14"/>
          <w:szCs w:val="14"/>
          <w:lang w:val="es-ES_tradnl"/>
        </w:rPr>
        <w:t>l</w:t>
      </w:r>
      <w:r>
        <w:rPr>
          <w:rFonts w:cs="Times New Roman"/>
          <w:b/>
          <w:bCs/>
          <w:sz w:val="14"/>
          <w:szCs w:val="14"/>
          <w:lang w:val="es-ES_tradnl"/>
        </w:rPr>
        <w:t>ó</w:t>
      </w:r>
      <w:r>
        <w:rPr>
          <w:b/>
          <w:bCs/>
          <w:sz w:val="14"/>
          <w:szCs w:val="14"/>
          <w:lang w:val="es-ES_tradnl"/>
        </w:rPr>
        <w:t>gica</w:t>
      </w:r>
      <w:r>
        <w:rPr>
          <w:sz w:val="14"/>
          <w:szCs w:val="14"/>
          <w:lang w:val="es-ES_tradnl"/>
        </w:rPr>
        <w:t xml:space="preserve">, por su lado, </w:t>
      </w:r>
      <w:r>
        <w:rPr>
          <w:b/>
          <w:bCs/>
          <w:sz w:val="14"/>
          <w:szCs w:val="14"/>
          <w:lang w:val="es-ES_tradnl"/>
        </w:rPr>
        <w:t>implica coherencia entre las premisas y la conclusi</w:t>
      </w:r>
      <w:r>
        <w:rPr>
          <w:rFonts w:cs="Times New Roman"/>
          <w:b/>
          <w:bCs/>
          <w:sz w:val="14"/>
          <w:szCs w:val="14"/>
          <w:lang w:val="es-ES_tradnl"/>
        </w:rPr>
        <w:t>ó</w:t>
      </w:r>
      <w:r>
        <w:rPr>
          <w:b/>
          <w:bCs/>
          <w:sz w:val="14"/>
          <w:szCs w:val="14"/>
          <w:lang w:val="es-ES_tradnl"/>
        </w:rPr>
        <w:t>n, as</w:t>
      </w:r>
      <w:r>
        <w:rPr>
          <w:rFonts w:cs="Times New Roman"/>
          <w:b/>
          <w:bCs/>
          <w:sz w:val="14"/>
          <w:szCs w:val="14"/>
          <w:lang w:val="es-ES_tradnl"/>
        </w:rPr>
        <w:t>í</w:t>
      </w:r>
      <w:r>
        <w:rPr>
          <w:b/>
          <w:bCs/>
          <w:sz w:val="14"/>
          <w:szCs w:val="14"/>
          <w:lang w:val="es-ES_tradnl"/>
        </w:rPr>
        <w:t xml:space="preserve"> como entre </w:t>
      </w:r>
      <w:r>
        <w:rPr>
          <w:rFonts w:cs="Times New Roman"/>
          <w:b/>
          <w:bCs/>
          <w:sz w:val="14"/>
          <w:szCs w:val="14"/>
          <w:lang w:val="es-ES_tradnl"/>
        </w:rPr>
        <w:t>é</w:t>
      </w:r>
      <w:r>
        <w:rPr>
          <w:b/>
          <w:bCs/>
          <w:sz w:val="14"/>
          <w:szCs w:val="14"/>
          <w:lang w:val="es-ES_tradnl"/>
        </w:rPr>
        <w:t>sta y la decisi</w:t>
      </w:r>
      <w:r>
        <w:rPr>
          <w:rFonts w:cs="Times New Roman"/>
          <w:b/>
          <w:bCs/>
          <w:sz w:val="14"/>
          <w:szCs w:val="14"/>
          <w:lang w:val="es-ES_tradnl"/>
        </w:rPr>
        <w:t>ó</w:t>
      </w:r>
      <w:r>
        <w:rPr>
          <w:b/>
          <w:bCs/>
          <w:sz w:val="14"/>
          <w:szCs w:val="14"/>
          <w:lang w:val="es-ES_tradnl"/>
        </w:rPr>
        <w:t>n</w:t>
      </w:r>
      <w:r>
        <w:rPr>
          <w:sz w:val="14"/>
          <w:szCs w:val="14"/>
          <w:lang w:val="es-ES_tradnl"/>
        </w:rPr>
        <w:t>. Una decisi</w:t>
      </w:r>
      <w:r>
        <w:rPr>
          <w:rFonts w:cs="Times New Roman"/>
          <w:sz w:val="14"/>
          <w:szCs w:val="14"/>
          <w:lang w:val="es-ES_tradnl"/>
        </w:rPr>
        <w:t>ó</w:t>
      </w:r>
      <w:r>
        <w:rPr>
          <w:sz w:val="14"/>
          <w:szCs w:val="14"/>
          <w:lang w:val="es-ES_tradnl"/>
        </w:rPr>
        <w:t xml:space="preserve">n </w:t>
      </w:r>
      <w:r>
        <w:rPr>
          <w:b/>
          <w:bCs/>
          <w:sz w:val="14"/>
          <w:szCs w:val="14"/>
          <w:lang w:val="es-ES_tradnl"/>
        </w:rPr>
        <w:t>comprensible</w:t>
      </w:r>
      <w:r>
        <w:rPr>
          <w:sz w:val="14"/>
          <w:szCs w:val="14"/>
          <w:lang w:val="es-ES_tradnl"/>
        </w:rPr>
        <w:t xml:space="preserve">, por </w:t>
      </w:r>
      <w:r>
        <w:rPr>
          <w:rFonts w:cs="Times New Roman"/>
          <w:sz w:val="14"/>
          <w:szCs w:val="14"/>
          <w:lang w:val="es-ES_tradnl"/>
        </w:rPr>
        <w:t>ú</w:t>
      </w:r>
      <w:r>
        <w:rPr>
          <w:sz w:val="14"/>
          <w:szCs w:val="14"/>
          <w:lang w:val="es-ES_tradnl"/>
        </w:rPr>
        <w:t xml:space="preserve">ltimo, debe gozar de </w:t>
      </w:r>
      <w:r>
        <w:rPr>
          <w:b/>
          <w:bCs/>
          <w:sz w:val="14"/>
          <w:szCs w:val="14"/>
          <w:lang w:val="es-ES_tradnl"/>
        </w:rPr>
        <w:t xml:space="preserve">claridad en el lenguaje, </w:t>
      </w:r>
      <w:r>
        <w:rPr>
          <w:sz w:val="14"/>
          <w:szCs w:val="14"/>
          <w:lang w:val="es-ES_tradnl"/>
        </w:rPr>
        <w:t>con miras a su fiscalizaci</w:t>
      </w:r>
      <w:r>
        <w:rPr>
          <w:rFonts w:cs="Times New Roman"/>
          <w:sz w:val="14"/>
          <w:szCs w:val="14"/>
          <w:lang w:val="es-ES_tradnl"/>
        </w:rPr>
        <w:t>ó</w:t>
      </w:r>
      <w:r>
        <w:rPr>
          <w:sz w:val="14"/>
          <w:szCs w:val="14"/>
          <w:lang w:val="es-ES_tradnl"/>
        </w:rPr>
        <w:t>n por parte del gran auditorio social, m</w:t>
      </w:r>
      <w:r>
        <w:rPr>
          <w:rFonts w:cs="Times New Roman"/>
          <w:sz w:val="14"/>
          <w:szCs w:val="14"/>
          <w:lang w:val="es-ES_tradnl"/>
        </w:rPr>
        <w:t>á</w:t>
      </w:r>
      <w:r>
        <w:rPr>
          <w:sz w:val="14"/>
          <w:szCs w:val="14"/>
          <w:lang w:val="es-ES_tradnl"/>
        </w:rPr>
        <w:t>s all</w:t>
      </w:r>
      <w:r>
        <w:rPr>
          <w:rFonts w:cs="Times New Roman"/>
          <w:sz w:val="14"/>
          <w:szCs w:val="14"/>
          <w:lang w:val="es-ES_tradnl"/>
        </w:rPr>
        <w:t>á</w:t>
      </w:r>
      <w:r>
        <w:rPr>
          <w:sz w:val="14"/>
          <w:szCs w:val="14"/>
          <w:lang w:val="es-ES_tradnl"/>
        </w:rPr>
        <w:t xml:space="preserve"> de las partes en confl icto</w:t>
      </w:r>
      <w:r>
        <w:rPr>
          <w:sz w:val="14"/>
          <w:szCs w:val="14"/>
          <w:vertAlign w:val="superscript"/>
          <w:lang w:val="es-ES_tradnl"/>
        </w:rPr>
        <w:t>8</w:t>
      </w:r>
      <w:r>
        <w:rPr>
          <w:sz w:val="14"/>
          <w:szCs w:val="14"/>
          <w:lang w:val="es-ES_tradnl"/>
        </w:rPr>
        <w:t>. (El resaltado pertenece a esta Corte).</w:t>
      </w:r>
    </w:p>
    <w:p w14:paraId="4F67B2CE" w14:textId="77777777" w:rsidR="00591D54" w:rsidRDefault="00591D54">
      <w:pPr>
        <w:shd w:val="clear" w:color="auto" w:fill="FFFFFF"/>
        <w:spacing w:before="202" w:line="216" w:lineRule="exact"/>
        <w:jc w:val="both"/>
      </w:pPr>
      <w:r>
        <w:rPr>
          <w:spacing w:val="-8"/>
          <w:sz w:val="18"/>
          <w:szCs w:val="18"/>
          <w:lang w:val="es-ES_tradnl"/>
        </w:rPr>
        <w:t xml:space="preserve">Bajo este esquema de fuentes jurisprudenciales, la Corte </w:t>
      </w:r>
      <w:r>
        <w:rPr>
          <w:spacing w:val="-10"/>
          <w:sz w:val="18"/>
          <w:szCs w:val="18"/>
          <w:lang w:val="es-ES_tradnl"/>
        </w:rPr>
        <w:t>Constitucional ha sido enf</w:t>
      </w:r>
      <w:r>
        <w:rPr>
          <w:rFonts w:cs="Times New Roman"/>
          <w:spacing w:val="-10"/>
          <w:sz w:val="18"/>
          <w:szCs w:val="18"/>
          <w:lang w:val="es-ES_tradnl"/>
        </w:rPr>
        <w:t>á</w:t>
      </w:r>
      <w:r>
        <w:rPr>
          <w:spacing w:val="-10"/>
          <w:sz w:val="18"/>
          <w:szCs w:val="18"/>
          <w:lang w:val="es-ES_tradnl"/>
        </w:rPr>
        <w:t>tica en se</w:t>
      </w:r>
      <w:r>
        <w:rPr>
          <w:rFonts w:cs="Times New Roman"/>
          <w:spacing w:val="-10"/>
          <w:sz w:val="18"/>
          <w:szCs w:val="18"/>
          <w:lang w:val="es-ES_tradnl"/>
        </w:rPr>
        <w:t>ñ</w:t>
      </w:r>
      <w:r>
        <w:rPr>
          <w:spacing w:val="-10"/>
          <w:sz w:val="18"/>
          <w:szCs w:val="18"/>
          <w:lang w:val="es-ES_tradnl"/>
        </w:rPr>
        <w:t xml:space="preserve">alar que toda sentencia </w:t>
      </w:r>
      <w:r>
        <w:rPr>
          <w:spacing w:val="-6"/>
          <w:sz w:val="18"/>
          <w:szCs w:val="18"/>
          <w:lang w:val="es-ES_tradnl"/>
        </w:rPr>
        <w:t>o auto gozar</w:t>
      </w:r>
      <w:r>
        <w:rPr>
          <w:rFonts w:cs="Times New Roman"/>
          <w:spacing w:val="-6"/>
          <w:sz w:val="18"/>
          <w:szCs w:val="18"/>
          <w:lang w:val="es-ES_tradnl"/>
        </w:rPr>
        <w:t>á</w:t>
      </w:r>
      <w:r>
        <w:rPr>
          <w:spacing w:val="-6"/>
          <w:sz w:val="18"/>
          <w:szCs w:val="18"/>
          <w:lang w:val="es-ES_tradnl"/>
        </w:rPr>
        <w:t xml:space="preserve"> de motivaci</w:t>
      </w:r>
      <w:r>
        <w:rPr>
          <w:rFonts w:cs="Times New Roman"/>
          <w:spacing w:val="-6"/>
          <w:sz w:val="18"/>
          <w:szCs w:val="18"/>
          <w:lang w:val="es-ES_tradnl"/>
        </w:rPr>
        <w:t>ó</w:t>
      </w:r>
      <w:r>
        <w:rPr>
          <w:spacing w:val="-6"/>
          <w:sz w:val="18"/>
          <w:szCs w:val="18"/>
          <w:lang w:val="es-ES_tradnl"/>
        </w:rPr>
        <w:t xml:space="preserve">n siempre que su contenido </w:t>
      </w:r>
      <w:r>
        <w:rPr>
          <w:spacing w:val="-9"/>
          <w:sz w:val="18"/>
          <w:szCs w:val="18"/>
          <w:lang w:val="es-ES_tradnl"/>
        </w:rPr>
        <w:t>cumpla con los tres par</w:t>
      </w:r>
      <w:r>
        <w:rPr>
          <w:rFonts w:cs="Times New Roman"/>
          <w:spacing w:val="-9"/>
          <w:sz w:val="18"/>
          <w:szCs w:val="18"/>
          <w:lang w:val="es-ES_tradnl"/>
        </w:rPr>
        <w:t>á</w:t>
      </w:r>
      <w:r>
        <w:rPr>
          <w:spacing w:val="-9"/>
          <w:sz w:val="18"/>
          <w:szCs w:val="18"/>
          <w:lang w:val="es-ES_tradnl"/>
        </w:rPr>
        <w:t xml:space="preserve">metros establecidos. En cuyo caso, </w:t>
      </w:r>
      <w:r>
        <w:rPr>
          <w:spacing w:val="-7"/>
          <w:sz w:val="18"/>
          <w:szCs w:val="18"/>
          <w:lang w:val="es-ES_tradnl"/>
        </w:rPr>
        <w:t>para el efecto de establecer la falta de motivaci</w:t>
      </w:r>
      <w:r>
        <w:rPr>
          <w:rFonts w:cs="Times New Roman"/>
          <w:spacing w:val="-7"/>
          <w:sz w:val="18"/>
          <w:szCs w:val="18"/>
          <w:lang w:val="es-ES_tradnl"/>
        </w:rPr>
        <w:t>ó</w:t>
      </w:r>
      <w:r>
        <w:rPr>
          <w:spacing w:val="-7"/>
          <w:sz w:val="18"/>
          <w:szCs w:val="18"/>
          <w:lang w:val="es-ES_tradnl"/>
        </w:rPr>
        <w:t xml:space="preserve">n, dichos </w:t>
      </w:r>
      <w:r>
        <w:rPr>
          <w:spacing w:val="-11"/>
          <w:sz w:val="18"/>
          <w:szCs w:val="18"/>
          <w:lang w:val="es-ES_tradnl"/>
        </w:rPr>
        <w:t>elementos no son concurrentes, es decir, bastar</w:t>
      </w:r>
      <w:r>
        <w:rPr>
          <w:rFonts w:cs="Times New Roman"/>
          <w:spacing w:val="-11"/>
          <w:sz w:val="18"/>
          <w:szCs w:val="18"/>
          <w:lang w:val="es-ES_tradnl"/>
        </w:rPr>
        <w:t>á</w:t>
      </w:r>
      <w:r>
        <w:rPr>
          <w:spacing w:val="-11"/>
          <w:sz w:val="18"/>
          <w:szCs w:val="18"/>
          <w:lang w:val="es-ES_tradnl"/>
        </w:rPr>
        <w:t xml:space="preserve"> que uno de </w:t>
      </w:r>
      <w:r>
        <w:rPr>
          <w:spacing w:val="-8"/>
          <w:sz w:val="18"/>
          <w:szCs w:val="18"/>
          <w:lang w:val="es-ES_tradnl"/>
        </w:rPr>
        <w:t xml:space="preserve">ellos no se haya cumplido dentro de la sentencia o auto en </w:t>
      </w:r>
      <w:r>
        <w:rPr>
          <w:spacing w:val="-10"/>
          <w:sz w:val="18"/>
          <w:szCs w:val="18"/>
          <w:lang w:val="es-ES_tradnl"/>
        </w:rPr>
        <w:t>an</w:t>
      </w:r>
      <w:r>
        <w:rPr>
          <w:rFonts w:cs="Times New Roman"/>
          <w:spacing w:val="-10"/>
          <w:sz w:val="18"/>
          <w:szCs w:val="18"/>
          <w:lang w:val="es-ES_tradnl"/>
        </w:rPr>
        <w:t>á</w:t>
      </w:r>
      <w:r>
        <w:rPr>
          <w:spacing w:val="-10"/>
          <w:sz w:val="18"/>
          <w:szCs w:val="18"/>
          <w:lang w:val="es-ES_tradnl"/>
        </w:rPr>
        <w:t>lisis, para determinar que la misma carece de motivaci</w:t>
      </w:r>
      <w:r>
        <w:rPr>
          <w:rFonts w:cs="Times New Roman"/>
          <w:spacing w:val="-10"/>
          <w:sz w:val="18"/>
          <w:szCs w:val="18"/>
          <w:lang w:val="es-ES_tradnl"/>
        </w:rPr>
        <w:t>ó</w:t>
      </w:r>
      <w:r>
        <w:rPr>
          <w:spacing w:val="-10"/>
          <w:sz w:val="18"/>
          <w:szCs w:val="18"/>
          <w:lang w:val="es-ES_tradnl"/>
        </w:rPr>
        <w:t xml:space="preserve">n </w:t>
      </w:r>
      <w:r>
        <w:rPr>
          <w:spacing w:val="-7"/>
          <w:sz w:val="18"/>
          <w:szCs w:val="18"/>
          <w:lang w:val="es-ES_tradnl"/>
        </w:rPr>
        <w:t>y como tal vulnera el derecho al debido proceso.</w:t>
      </w:r>
    </w:p>
    <w:p w14:paraId="4F67B2CF" w14:textId="77777777" w:rsidR="00591D54" w:rsidRDefault="00591D54">
      <w:pPr>
        <w:shd w:val="clear" w:color="auto" w:fill="FFFFFF"/>
        <w:spacing w:before="192" w:line="216" w:lineRule="exact"/>
        <w:ind w:right="5"/>
        <w:jc w:val="both"/>
      </w:pPr>
      <w:r>
        <w:rPr>
          <w:sz w:val="18"/>
          <w:szCs w:val="18"/>
          <w:lang w:val="es-ES_tradnl"/>
        </w:rPr>
        <w:t xml:space="preserve">La </w:t>
      </w:r>
      <w:r>
        <w:rPr>
          <w:b/>
          <w:bCs/>
          <w:sz w:val="18"/>
          <w:szCs w:val="18"/>
          <w:lang w:val="es-ES_tradnl"/>
        </w:rPr>
        <w:t xml:space="preserve">razonabilidad </w:t>
      </w:r>
      <w:r>
        <w:rPr>
          <w:sz w:val="18"/>
          <w:szCs w:val="18"/>
          <w:lang w:val="es-ES_tradnl"/>
        </w:rPr>
        <w:t xml:space="preserve">debe ser entendida como un juicio </w:t>
      </w:r>
      <w:r>
        <w:rPr>
          <w:spacing w:val="-6"/>
          <w:sz w:val="18"/>
          <w:szCs w:val="18"/>
          <w:lang w:val="es-ES_tradnl"/>
        </w:rPr>
        <w:t>de adecuaci</w:t>
      </w:r>
      <w:r>
        <w:rPr>
          <w:rFonts w:cs="Times New Roman"/>
          <w:spacing w:val="-6"/>
          <w:sz w:val="18"/>
          <w:szCs w:val="18"/>
          <w:lang w:val="es-ES_tradnl"/>
        </w:rPr>
        <w:t>ó</w:t>
      </w:r>
      <w:r>
        <w:rPr>
          <w:spacing w:val="-6"/>
          <w:sz w:val="18"/>
          <w:szCs w:val="18"/>
          <w:lang w:val="es-ES_tradnl"/>
        </w:rPr>
        <w:t>n de la resoluci</w:t>
      </w:r>
      <w:r>
        <w:rPr>
          <w:rFonts w:cs="Times New Roman"/>
          <w:spacing w:val="-6"/>
          <w:sz w:val="18"/>
          <w:szCs w:val="18"/>
          <w:lang w:val="es-ES_tradnl"/>
        </w:rPr>
        <w:t>ó</w:t>
      </w:r>
      <w:r>
        <w:rPr>
          <w:spacing w:val="-6"/>
          <w:sz w:val="18"/>
          <w:szCs w:val="18"/>
          <w:lang w:val="es-ES_tradnl"/>
        </w:rPr>
        <w:t xml:space="preserve">n judicial respecto a los </w:t>
      </w:r>
      <w:r>
        <w:rPr>
          <w:spacing w:val="-4"/>
          <w:sz w:val="18"/>
          <w:szCs w:val="18"/>
          <w:lang w:val="es-ES_tradnl"/>
        </w:rPr>
        <w:t xml:space="preserve">principios y normas constitucionales; a estas se suman </w:t>
      </w:r>
      <w:r>
        <w:rPr>
          <w:spacing w:val="-7"/>
          <w:sz w:val="18"/>
          <w:szCs w:val="18"/>
          <w:lang w:val="es-ES_tradnl"/>
        </w:rPr>
        <w:t xml:space="preserve">las normas de derechos humanos contenidas en los </w:t>
      </w:r>
      <w:r>
        <w:rPr>
          <w:spacing w:val="-9"/>
          <w:sz w:val="18"/>
          <w:szCs w:val="18"/>
          <w:lang w:val="es-ES_tradnl"/>
        </w:rPr>
        <w:t xml:space="preserve">instrumentos internacionales, por constituir parte del bloque </w:t>
      </w:r>
      <w:r>
        <w:rPr>
          <w:spacing w:val="-6"/>
          <w:sz w:val="18"/>
          <w:szCs w:val="18"/>
          <w:lang w:val="es-ES_tradnl"/>
        </w:rPr>
        <w:t>de constitucionalidad y la jurisprudencia constitucional, la cual constituye una interpretaci</w:t>
      </w:r>
      <w:r>
        <w:rPr>
          <w:rFonts w:cs="Times New Roman"/>
          <w:spacing w:val="-6"/>
          <w:sz w:val="18"/>
          <w:szCs w:val="18"/>
          <w:lang w:val="es-ES_tradnl"/>
        </w:rPr>
        <w:t>ó</w:t>
      </w:r>
      <w:r>
        <w:rPr>
          <w:spacing w:val="-6"/>
          <w:sz w:val="18"/>
          <w:szCs w:val="18"/>
          <w:lang w:val="es-ES_tradnl"/>
        </w:rPr>
        <w:t>n aut</w:t>
      </w:r>
      <w:r>
        <w:rPr>
          <w:rFonts w:cs="Times New Roman"/>
          <w:spacing w:val="-6"/>
          <w:sz w:val="18"/>
          <w:szCs w:val="18"/>
          <w:lang w:val="es-ES_tradnl"/>
        </w:rPr>
        <w:t>é</w:t>
      </w:r>
      <w:r>
        <w:rPr>
          <w:spacing w:val="-6"/>
          <w:sz w:val="18"/>
          <w:szCs w:val="18"/>
          <w:lang w:val="es-ES_tradnl"/>
        </w:rPr>
        <w:t xml:space="preserve">ntica de la Norma </w:t>
      </w:r>
      <w:r>
        <w:rPr>
          <w:spacing w:val="-5"/>
          <w:sz w:val="18"/>
          <w:szCs w:val="18"/>
          <w:lang w:val="es-ES_tradnl"/>
        </w:rPr>
        <w:t>Fundamental</w:t>
      </w:r>
      <w:r>
        <w:rPr>
          <w:spacing w:val="-5"/>
          <w:sz w:val="18"/>
          <w:szCs w:val="18"/>
          <w:vertAlign w:val="superscript"/>
          <w:lang w:val="es-ES_tradnl"/>
        </w:rPr>
        <w:t>9</w:t>
      </w:r>
      <w:r>
        <w:rPr>
          <w:spacing w:val="-5"/>
          <w:sz w:val="18"/>
          <w:szCs w:val="18"/>
          <w:lang w:val="es-ES_tradnl"/>
        </w:rPr>
        <w:t xml:space="preserve">. De tal manera, que una sentencia es </w:t>
      </w:r>
      <w:r>
        <w:rPr>
          <w:spacing w:val="-4"/>
          <w:sz w:val="18"/>
          <w:szCs w:val="18"/>
          <w:lang w:val="es-ES_tradnl"/>
        </w:rPr>
        <w:t xml:space="preserve">razonable en la medida que se armonice a los principios </w:t>
      </w:r>
      <w:r>
        <w:rPr>
          <w:spacing w:val="-2"/>
          <w:sz w:val="18"/>
          <w:szCs w:val="18"/>
          <w:lang w:val="es-ES_tradnl"/>
        </w:rPr>
        <w:t>y reglas consagrados en la Constituci</w:t>
      </w:r>
      <w:r>
        <w:rPr>
          <w:rFonts w:cs="Times New Roman"/>
          <w:spacing w:val="-2"/>
          <w:sz w:val="18"/>
          <w:szCs w:val="18"/>
          <w:lang w:val="es-ES_tradnl"/>
        </w:rPr>
        <w:t>ó</w:t>
      </w:r>
      <w:r>
        <w:rPr>
          <w:spacing w:val="-2"/>
          <w:sz w:val="18"/>
          <w:szCs w:val="18"/>
          <w:lang w:val="es-ES_tradnl"/>
        </w:rPr>
        <w:t xml:space="preserve">n, de modo que </w:t>
      </w:r>
      <w:r>
        <w:rPr>
          <w:spacing w:val="-8"/>
          <w:sz w:val="18"/>
          <w:szCs w:val="18"/>
          <w:lang w:val="es-ES_tradnl"/>
        </w:rPr>
        <w:t xml:space="preserve">se muestre que el criterio del juzgador se fundamenta en normas e interpretaciones que guardan conformidad con la Norma Suprema y no en aspectos que colisionen con esta, </w:t>
      </w:r>
      <w:r>
        <w:rPr>
          <w:spacing w:val="-10"/>
          <w:sz w:val="18"/>
          <w:szCs w:val="18"/>
          <w:lang w:val="es-ES_tradnl"/>
        </w:rPr>
        <w:t>precautelando de esta manera la supremac</w:t>
      </w:r>
      <w:r>
        <w:rPr>
          <w:rFonts w:cs="Times New Roman"/>
          <w:spacing w:val="-10"/>
          <w:sz w:val="18"/>
          <w:szCs w:val="18"/>
          <w:lang w:val="es-ES_tradnl"/>
        </w:rPr>
        <w:t>í</w:t>
      </w:r>
      <w:r>
        <w:rPr>
          <w:spacing w:val="-10"/>
          <w:sz w:val="18"/>
          <w:szCs w:val="18"/>
          <w:lang w:val="es-ES_tradnl"/>
        </w:rPr>
        <w:t>a constitucional.</w:t>
      </w:r>
    </w:p>
    <w:p w14:paraId="4F67B2D0" w14:textId="77777777" w:rsidR="00591D54" w:rsidRDefault="00591D54">
      <w:pPr>
        <w:shd w:val="clear" w:color="auto" w:fill="FFFFFF"/>
        <w:spacing w:before="192" w:line="216" w:lineRule="exact"/>
        <w:ind w:right="5"/>
        <w:jc w:val="both"/>
      </w:pPr>
      <w:r>
        <w:rPr>
          <w:spacing w:val="-6"/>
          <w:sz w:val="18"/>
          <w:szCs w:val="18"/>
          <w:lang w:val="es-ES_tradnl"/>
        </w:rPr>
        <w:t>En tal sentido, resulta oportuno traer a colaci</w:t>
      </w:r>
      <w:r>
        <w:rPr>
          <w:rFonts w:cs="Times New Roman"/>
          <w:spacing w:val="-6"/>
          <w:sz w:val="18"/>
          <w:szCs w:val="18"/>
          <w:lang w:val="es-ES_tradnl"/>
        </w:rPr>
        <w:t>ó</w:t>
      </w:r>
      <w:r>
        <w:rPr>
          <w:spacing w:val="-6"/>
          <w:sz w:val="18"/>
          <w:szCs w:val="18"/>
          <w:lang w:val="es-ES_tradnl"/>
        </w:rPr>
        <w:t xml:space="preserve">n algunos </w:t>
      </w:r>
      <w:r>
        <w:rPr>
          <w:spacing w:val="-8"/>
          <w:sz w:val="18"/>
          <w:szCs w:val="18"/>
          <w:lang w:val="es-ES_tradnl"/>
        </w:rPr>
        <w:t xml:space="preserve">aspectos ya analizados por esta Corte dentro del primer </w:t>
      </w:r>
      <w:r>
        <w:rPr>
          <w:spacing w:val="-4"/>
          <w:sz w:val="18"/>
          <w:szCs w:val="18"/>
          <w:lang w:val="es-ES_tradnl"/>
        </w:rPr>
        <w:t>problema jur</w:t>
      </w:r>
      <w:r>
        <w:rPr>
          <w:rFonts w:cs="Times New Roman"/>
          <w:spacing w:val="-4"/>
          <w:sz w:val="18"/>
          <w:szCs w:val="18"/>
          <w:lang w:val="es-ES_tradnl"/>
        </w:rPr>
        <w:t>í</w:t>
      </w:r>
      <w:r>
        <w:rPr>
          <w:spacing w:val="-4"/>
          <w:sz w:val="18"/>
          <w:szCs w:val="18"/>
          <w:lang w:val="es-ES_tradnl"/>
        </w:rPr>
        <w:t>dico, a trav</w:t>
      </w:r>
      <w:r>
        <w:rPr>
          <w:rFonts w:cs="Times New Roman"/>
          <w:spacing w:val="-4"/>
          <w:sz w:val="18"/>
          <w:szCs w:val="18"/>
          <w:lang w:val="es-ES_tradnl"/>
        </w:rPr>
        <w:t>é</w:t>
      </w:r>
      <w:r>
        <w:rPr>
          <w:spacing w:val="-4"/>
          <w:sz w:val="18"/>
          <w:szCs w:val="18"/>
          <w:lang w:val="es-ES_tradnl"/>
        </w:rPr>
        <w:t>s del cual se determin</w:t>
      </w:r>
      <w:r>
        <w:rPr>
          <w:rFonts w:cs="Times New Roman"/>
          <w:spacing w:val="-4"/>
          <w:sz w:val="18"/>
          <w:szCs w:val="18"/>
          <w:lang w:val="es-ES_tradnl"/>
        </w:rPr>
        <w:t>ó</w:t>
      </w:r>
      <w:r>
        <w:rPr>
          <w:spacing w:val="-4"/>
          <w:sz w:val="18"/>
          <w:szCs w:val="18"/>
          <w:lang w:val="es-ES_tradnl"/>
        </w:rPr>
        <w:t xml:space="preserve"> la </w:t>
      </w:r>
      <w:r>
        <w:rPr>
          <w:spacing w:val="-10"/>
          <w:sz w:val="18"/>
          <w:szCs w:val="18"/>
          <w:lang w:val="es-ES_tradnl"/>
        </w:rPr>
        <w:t>vulneraci</w:t>
      </w:r>
      <w:r>
        <w:rPr>
          <w:rFonts w:cs="Times New Roman"/>
          <w:spacing w:val="-10"/>
          <w:sz w:val="18"/>
          <w:szCs w:val="18"/>
          <w:lang w:val="es-ES_tradnl"/>
        </w:rPr>
        <w:t>ó</w:t>
      </w:r>
      <w:r>
        <w:rPr>
          <w:spacing w:val="-10"/>
          <w:sz w:val="18"/>
          <w:szCs w:val="18"/>
          <w:lang w:val="es-ES_tradnl"/>
        </w:rPr>
        <w:t>n del derecho a la seguridad jur</w:t>
      </w:r>
      <w:r>
        <w:rPr>
          <w:rFonts w:cs="Times New Roman"/>
          <w:spacing w:val="-10"/>
          <w:sz w:val="18"/>
          <w:szCs w:val="18"/>
          <w:lang w:val="es-ES_tradnl"/>
        </w:rPr>
        <w:t>í</w:t>
      </w:r>
      <w:r>
        <w:rPr>
          <w:spacing w:val="-10"/>
          <w:sz w:val="18"/>
          <w:szCs w:val="18"/>
          <w:lang w:val="es-ES_tradnl"/>
        </w:rPr>
        <w:t xml:space="preserve">dica, contemplado </w:t>
      </w:r>
      <w:r>
        <w:rPr>
          <w:spacing w:val="-6"/>
          <w:sz w:val="18"/>
          <w:szCs w:val="18"/>
          <w:lang w:val="es-ES_tradnl"/>
        </w:rPr>
        <w:t>en el art</w:t>
      </w:r>
      <w:r>
        <w:rPr>
          <w:rFonts w:cs="Times New Roman"/>
          <w:spacing w:val="-6"/>
          <w:sz w:val="18"/>
          <w:szCs w:val="18"/>
          <w:lang w:val="es-ES_tradnl"/>
        </w:rPr>
        <w:t>í</w:t>
      </w:r>
      <w:r>
        <w:rPr>
          <w:spacing w:val="-6"/>
          <w:sz w:val="18"/>
          <w:szCs w:val="18"/>
          <w:lang w:val="es-ES_tradnl"/>
        </w:rPr>
        <w:t>culo 82 de la Carta Suprema. Espec</w:t>
      </w:r>
      <w:r>
        <w:rPr>
          <w:rFonts w:cs="Times New Roman"/>
          <w:spacing w:val="-6"/>
          <w:sz w:val="18"/>
          <w:szCs w:val="18"/>
          <w:lang w:val="es-ES_tradnl"/>
        </w:rPr>
        <w:t>í</w:t>
      </w:r>
      <w:r>
        <w:rPr>
          <w:spacing w:val="-6"/>
          <w:sz w:val="18"/>
          <w:szCs w:val="18"/>
          <w:lang w:val="es-ES_tradnl"/>
        </w:rPr>
        <w:t xml:space="preserve">ficamente, </w:t>
      </w:r>
      <w:r>
        <w:rPr>
          <w:spacing w:val="-8"/>
          <w:sz w:val="18"/>
          <w:szCs w:val="18"/>
          <w:lang w:val="es-ES_tradnl"/>
        </w:rPr>
        <w:t xml:space="preserve">dentro del caso </w:t>
      </w:r>
      <w:r>
        <w:rPr>
          <w:i/>
          <w:iCs/>
          <w:spacing w:val="-8"/>
          <w:sz w:val="18"/>
          <w:szCs w:val="18"/>
          <w:lang w:val="es-ES_tradnl"/>
        </w:rPr>
        <w:t xml:space="preserve">sub examine </w:t>
      </w:r>
      <w:r>
        <w:rPr>
          <w:spacing w:val="-8"/>
          <w:sz w:val="18"/>
          <w:szCs w:val="18"/>
          <w:lang w:val="es-ES_tradnl"/>
        </w:rPr>
        <w:t xml:space="preserve">la Corte ha determinado que </w:t>
      </w:r>
      <w:r>
        <w:rPr>
          <w:spacing w:val="-7"/>
          <w:sz w:val="18"/>
          <w:szCs w:val="18"/>
          <w:lang w:val="es-ES_tradnl"/>
        </w:rPr>
        <w:t>los jueces de apelaci</w:t>
      </w:r>
      <w:r>
        <w:rPr>
          <w:rFonts w:cs="Times New Roman"/>
          <w:spacing w:val="-7"/>
          <w:sz w:val="18"/>
          <w:szCs w:val="18"/>
          <w:lang w:val="es-ES_tradnl"/>
        </w:rPr>
        <w:t>ó</w:t>
      </w:r>
      <w:r>
        <w:rPr>
          <w:spacing w:val="-7"/>
          <w:sz w:val="18"/>
          <w:szCs w:val="18"/>
          <w:lang w:val="es-ES_tradnl"/>
        </w:rPr>
        <w:t>n, dentro de la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n,</w:t>
      </w:r>
    </w:p>
    <w:p w14:paraId="4F67B2D1" w14:textId="77777777" w:rsidR="00591D54" w:rsidRDefault="00591D54">
      <w:pPr>
        <w:shd w:val="clear" w:color="auto" w:fill="FFFFFF"/>
        <w:tabs>
          <w:tab w:val="left" w:pos="139"/>
        </w:tabs>
        <w:spacing w:before="485" w:line="178" w:lineRule="exact"/>
        <w:ind w:left="139" w:hanging="139"/>
        <w:jc w:val="both"/>
      </w:pPr>
      <w:r>
        <w:rPr>
          <w:sz w:val="8"/>
          <w:szCs w:val="8"/>
          <w:vertAlign w:val="superscript"/>
          <w:lang w:val="es-ES_tradnl"/>
        </w:rPr>
        <w:t>8</w:t>
      </w:r>
      <w:r>
        <w:rPr>
          <w:sz w:val="18"/>
          <w:szCs w:val="18"/>
          <w:lang w:val="es-ES_tradnl"/>
        </w:rPr>
        <w:tab/>
      </w:r>
      <w:r>
        <w:rPr>
          <w:sz w:val="14"/>
          <w:szCs w:val="14"/>
          <w:lang w:val="es-ES_tradnl"/>
        </w:rPr>
        <w:t>Cfr.</w:t>
      </w:r>
      <w:r>
        <w:rPr>
          <w:sz w:val="18"/>
          <w:szCs w:val="18"/>
          <w:lang w:val="es-ES_tradnl"/>
        </w:rPr>
        <w:t xml:space="preserve"> </w:t>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para</w:t>
      </w:r>
      <w:r>
        <w:rPr>
          <w:sz w:val="18"/>
          <w:szCs w:val="18"/>
          <w:lang w:val="es-ES_tradnl"/>
        </w:rPr>
        <w:t xml:space="preserve"> </w:t>
      </w:r>
      <w:r>
        <w:rPr>
          <w:sz w:val="14"/>
          <w:szCs w:val="14"/>
          <w:lang w:val="es-ES_tradnl"/>
        </w:rPr>
        <w:t>el</w:t>
      </w:r>
      <w:r>
        <w:rPr>
          <w:sz w:val="18"/>
          <w:szCs w:val="18"/>
          <w:lang w:val="es-ES_tradnl"/>
        </w:rPr>
        <w:t xml:space="preserve"> </w:t>
      </w:r>
      <w:r>
        <w:rPr>
          <w:sz w:val="14"/>
          <w:szCs w:val="14"/>
          <w:lang w:val="es-ES_tradnl"/>
        </w:rPr>
        <w:t>per</w:t>
      </w:r>
      <w:r>
        <w:rPr>
          <w:rFonts w:cs="Times New Roman"/>
          <w:sz w:val="14"/>
          <w:szCs w:val="14"/>
          <w:lang w:val="es-ES_tradnl"/>
        </w:rPr>
        <w:t>í</w:t>
      </w:r>
      <w:r>
        <w:rPr>
          <w:sz w:val="14"/>
          <w:szCs w:val="14"/>
          <w:lang w:val="es-ES_tradnl"/>
        </w:rPr>
        <w:t>odo</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transici</w:t>
      </w:r>
      <w:r>
        <w:rPr>
          <w:rFonts w:cs="Times New Roman"/>
          <w:sz w:val="14"/>
          <w:szCs w:val="14"/>
          <w:lang w:val="es-ES_tradnl"/>
        </w:rPr>
        <w:t>ó</w:t>
      </w:r>
      <w:r>
        <w:rPr>
          <w:sz w:val="14"/>
          <w:szCs w:val="14"/>
          <w:lang w:val="es-ES_tradnl"/>
        </w:rPr>
        <w:t>n,</w:t>
      </w:r>
      <w:r>
        <w:rPr>
          <w:sz w:val="18"/>
          <w:szCs w:val="18"/>
          <w:lang w:val="es-ES_tradnl"/>
        </w:rPr>
        <w:t xml:space="preserve"> </w:t>
      </w:r>
      <w:r>
        <w:rPr>
          <w:sz w:val="14"/>
          <w:szCs w:val="14"/>
          <w:lang w:val="es-ES_tradnl"/>
        </w:rPr>
        <w:t>sentencia No. 227-12-SEP-CC, caso No. 1212-11-EP; citada por Corte </w:t>
      </w:r>
      <w:r>
        <w:rPr>
          <w:spacing w:val="-2"/>
          <w:sz w:val="14"/>
          <w:szCs w:val="14"/>
          <w:lang w:val="es-ES_tradnl"/>
        </w:rPr>
        <w:t>Constitucional, sentencia No. 020-13-SEP-CC, caso No. 0563-12-EP </w:t>
      </w:r>
      <w:r>
        <w:rPr>
          <w:spacing w:val="-1"/>
          <w:sz w:val="14"/>
          <w:szCs w:val="14"/>
          <w:lang w:val="es-ES_tradnl"/>
        </w:rPr>
        <w:t>y sentencia N</w:t>
      </w:r>
      <w:r>
        <w:rPr>
          <w:rFonts w:cs="Times New Roman"/>
          <w:spacing w:val="-1"/>
          <w:sz w:val="14"/>
          <w:szCs w:val="14"/>
          <w:lang w:val="es-ES_tradnl"/>
        </w:rPr>
        <w:t>º</w:t>
      </w:r>
      <w:r>
        <w:rPr>
          <w:spacing w:val="-1"/>
          <w:sz w:val="14"/>
          <w:szCs w:val="14"/>
          <w:lang w:val="es-ES_tradnl"/>
        </w:rPr>
        <w:t xml:space="preserve"> 076-13-SCN-CC, caso N</w:t>
      </w:r>
      <w:r>
        <w:rPr>
          <w:rFonts w:cs="Times New Roman"/>
          <w:spacing w:val="-1"/>
          <w:sz w:val="14"/>
          <w:szCs w:val="14"/>
          <w:lang w:val="es-ES_tradnl"/>
        </w:rPr>
        <w:t>º</w:t>
      </w:r>
      <w:r>
        <w:rPr>
          <w:spacing w:val="-1"/>
          <w:sz w:val="14"/>
          <w:szCs w:val="14"/>
          <w:lang w:val="es-ES_tradnl"/>
        </w:rPr>
        <w:t xml:space="preserve"> 1212-10-SEP-CC.</w:t>
      </w:r>
    </w:p>
    <w:p w14:paraId="4F67B2D2" w14:textId="77777777" w:rsidR="00591D54" w:rsidRDefault="00591D54">
      <w:pPr>
        <w:shd w:val="clear" w:color="auto" w:fill="FFFFFF"/>
        <w:tabs>
          <w:tab w:val="left" w:pos="139"/>
        </w:tabs>
        <w:spacing w:before="149" w:line="178" w:lineRule="exact"/>
        <w:ind w:left="139" w:right="5" w:hanging="139"/>
        <w:jc w:val="both"/>
      </w:pPr>
      <w:r>
        <w:rPr>
          <w:sz w:val="8"/>
          <w:szCs w:val="8"/>
          <w:vertAlign w:val="superscript"/>
          <w:lang w:val="es-ES_tradnl"/>
        </w:rPr>
        <w:t>9</w:t>
      </w:r>
      <w:r>
        <w:rPr>
          <w:sz w:val="18"/>
          <w:szCs w:val="18"/>
          <w:lang w:val="es-ES_tradnl"/>
        </w:rPr>
        <w:tab/>
      </w:r>
      <w:r>
        <w:rPr>
          <w:spacing w:val="-1"/>
          <w:sz w:val="14"/>
          <w:szCs w:val="14"/>
          <w:lang w:val="es-ES_tradnl"/>
        </w:rPr>
        <w:t>Corte</w:t>
      </w:r>
      <w:r>
        <w:rPr>
          <w:spacing w:val="-1"/>
          <w:sz w:val="18"/>
          <w:szCs w:val="18"/>
          <w:lang w:val="es-ES_tradnl"/>
        </w:rPr>
        <w:t xml:space="preserve"> </w:t>
      </w:r>
      <w:r>
        <w:rPr>
          <w:spacing w:val="-1"/>
          <w:sz w:val="14"/>
          <w:szCs w:val="14"/>
          <w:lang w:val="es-ES_tradnl"/>
        </w:rPr>
        <w:t>Constitucional</w:t>
      </w:r>
      <w:r>
        <w:rPr>
          <w:spacing w:val="-1"/>
          <w:sz w:val="18"/>
          <w:szCs w:val="18"/>
          <w:lang w:val="es-ES_tradnl"/>
        </w:rPr>
        <w:t xml:space="preserve"> </w:t>
      </w:r>
      <w:r>
        <w:rPr>
          <w:spacing w:val="-1"/>
          <w:sz w:val="14"/>
          <w:szCs w:val="14"/>
          <w:lang w:val="es-ES_tradnl"/>
        </w:rPr>
        <w:t>del</w:t>
      </w:r>
      <w:r>
        <w:rPr>
          <w:spacing w:val="-1"/>
          <w:sz w:val="18"/>
          <w:szCs w:val="18"/>
          <w:lang w:val="es-ES_tradnl"/>
        </w:rPr>
        <w:t xml:space="preserve"> </w:t>
      </w:r>
      <w:r>
        <w:rPr>
          <w:spacing w:val="-1"/>
          <w:sz w:val="14"/>
          <w:szCs w:val="14"/>
          <w:lang w:val="es-ES_tradnl"/>
        </w:rPr>
        <w:t>Ecuador,</w:t>
      </w:r>
      <w:r>
        <w:rPr>
          <w:spacing w:val="-1"/>
          <w:sz w:val="18"/>
          <w:szCs w:val="18"/>
          <w:lang w:val="es-ES_tradnl"/>
        </w:rPr>
        <w:t xml:space="preserve"> </w:t>
      </w:r>
      <w:r>
        <w:rPr>
          <w:spacing w:val="-1"/>
          <w:sz w:val="14"/>
          <w:szCs w:val="14"/>
          <w:lang w:val="es-ES_tradnl"/>
        </w:rPr>
        <w:t>Sentencia</w:t>
      </w:r>
      <w:r>
        <w:rPr>
          <w:spacing w:val="-1"/>
          <w:sz w:val="18"/>
          <w:szCs w:val="18"/>
          <w:lang w:val="es-ES_tradnl"/>
        </w:rPr>
        <w:t xml:space="preserve"> </w:t>
      </w:r>
      <w:r>
        <w:rPr>
          <w:spacing w:val="-1"/>
          <w:sz w:val="14"/>
          <w:szCs w:val="14"/>
          <w:lang w:val="es-ES_tradnl"/>
        </w:rPr>
        <w:t>No.</w:t>
      </w:r>
      <w:r>
        <w:rPr>
          <w:spacing w:val="-1"/>
          <w:sz w:val="18"/>
          <w:szCs w:val="18"/>
          <w:lang w:val="es-ES_tradnl"/>
        </w:rPr>
        <w:t xml:space="preserve"> </w:t>
      </w:r>
      <w:r>
        <w:rPr>
          <w:spacing w:val="-1"/>
          <w:sz w:val="14"/>
          <w:szCs w:val="14"/>
          <w:lang w:val="es-ES_tradnl"/>
        </w:rPr>
        <w:t>090-14-SEP-CC, </w:t>
      </w:r>
      <w:r>
        <w:rPr>
          <w:sz w:val="14"/>
          <w:szCs w:val="14"/>
          <w:lang w:val="es-ES_tradnl"/>
        </w:rPr>
        <w:t>caso No. 1141-11-EP.</w:t>
      </w:r>
    </w:p>
    <w:p w14:paraId="4F67B2D3" w14:textId="77777777" w:rsidR="00591D54" w:rsidRDefault="00591D54">
      <w:pPr>
        <w:shd w:val="clear" w:color="auto" w:fill="FFFFFF"/>
        <w:spacing w:line="216" w:lineRule="exact"/>
        <w:jc w:val="both"/>
      </w:pPr>
      <w:r>
        <w:br w:type="column"/>
      </w:r>
      <w:r>
        <w:rPr>
          <w:spacing w:val="-7"/>
          <w:sz w:val="18"/>
          <w:szCs w:val="18"/>
          <w:lang w:val="es-ES_tradnl"/>
        </w:rPr>
        <w:t>aplicaron una reparaci</w:t>
      </w:r>
      <w:r>
        <w:rPr>
          <w:rFonts w:cs="Times New Roman"/>
          <w:spacing w:val="-7"/>
          <w:sz w:val="18"/>
          <w:szCs w:val="18"/>
          <w:lang w:val="es-ES_tradnl"/>
        </w:rPr>
        <w:t>ó</w:t>
      </w:r>
      <w:r>
        <w:rPr>
          <w:spacing w:val="-7"/>
          <w:sz w:val="18"/>
          <w:szCs w:val="18"/>
          <w:lang w:val="es-ES_tradnl"/>
        </w:rPr>
        <w:t>n integral desproporcional al da</w:t>
      </w:r>
      <w:r>
        <w:rPr>
          <w:rFonts w:cs="Times New Roman"/>
          <w:spacing w:val="-7"/>
          <w:sz w:val="18"/>
          <w:szCs w:val="18"/>
          <w:lang w:val="es-ES_tradnl"/>
        </w:rPr>
        <w:t>ñ</w:t>
      </w:r>
      <w:r>
        <w:rPr>
          <w:spacing w:val="-7"/>
          <w:sz w:val="18"/>
          <w:szCs w:val="18"/>
          <w:lang w:val="es-ES_tradnl"/>
        </w:rPr>
        <w:t xml:space="preserve">o </w:t>
      </w:r>
      <w:r>
        <w:rPr>
          <w:spacing w:val="-6"/>
          <w:sz w:val="18"/>
          <w:szCs w:val="18"/>
          <w:lang w:val="es-ES_tradnl"/>
        </w:rPr>
        <w:t>causado, generando por tanto una interpretaci</w:t>
      </w:r>
      <w:r>
        <w:rPr>
          <w:rFonts w:cs="Times New Roman"/>
          <w:spacing w:val="-6"/>
          <w:sz w:val="18"/>
          <w:szCs w:val="18"/>
          <w:lang w:val="es-ES_tradnl"/>
        </w:rPr>
        <w:t>ó</w:t>
      </w:r>
      <w:r>
        <w:rPr>
          <w:spacing w:val="-6"/>
          <w:sz w:val="18"/>
          <w:szCs w:val="18"/>
          <w:lang w:val="es-ES_tradnl"/>
        </w:rPr>
        <w:t>n err</w:t>
      </w:r>
      <w:r>
        <w:rPr>
          <w:rFonts w:cs="Times New Roman"/>
          <w:spacing w:val="-6"/>
          <w:sz w:val="18"/>
          <w:szCs w:val="18"/>
          <w:lang w:val="es-ES_tradnl"/>
        </w:rPr>
        <w:t>ó</w:t>
      </w:r>
      <w:r>
        <w:rPr>
          <w:spacing w:val="-6"/>
          <w:sz w:val="18"/>
          <w:szCs w:val="18"/>
          <w:lang w:val="es-ES_tradnl"/>
        </w:rPr>
        <w:t xml:space="preserve">nea </w:t>
      </w:r>
      <w:r>
        <w:rPr>
          <w:spacing w:val="-4"/>
          <w:sz w:val="18"/>
          <w:szCs w:val="18"/>
          <w:lang w:val="es-ES_tradnl"/>
        </w:rPr>
        <w:t xml:space="preserve">de este derecho con el que cuentan todas las personas, </w:t>
      </w:r>
      <w:r>
        <w:rPr>
          <w:spacing w:val="-6"/>
          <w:sz w:val="18"/>
          <w:szCs w:val="18"/>
          <w:lang w:val="es-ES_tradnl"/>
        </w:rPr>
        <w:t>a fin de que el Estado otorgue el resarcimiento del da</w:t>
      </w:r>
      <w:r>
        <w:rPr>
          <w:rFonts w:cs="Times New Roman"/>
          <w:spacing w:val="-6"/>
          <w:sz w:val="18"/>
          <w:szCs w:val="18"/>
          <w:lang w:val="es-ES_tradnl"/>
        </w:rPr>
        <w:t>ñ</w:t>
      </w:r>
      <w:r>
        <w:rPr>
          <w:spacing w:val="-6"/>
          <w:sz w:val="18"/>
          <w:szCs w:val="18"/>
          <w:lang w:val="es-ES_tradnl"/>
        </w:rPr>
        <w:t xml:space="preserve">o </w:t>
      </w:r>
      <w:r>
        <w:rPr>
          <w:spacing w:val="-8"/>
          <w:sz w:val="18"/>
          <w:szCs w:val="18"/>
          <w:lang w:val="es-ES_tradnl"/>
        </w:rPr>
        <w:t xml:space="preserve">causado mediante un conjunto de medidas, el mismo que </w:t>
      </w:r>
      <w:r>
        <w:rPr>
          <w:spacing w:val="-5"/>
          <w:sz w:val="18"/>
          <w:szCs w:val="18"/>
          <w:lang w:val="es-ES_tradnl"/>
        </w:rPr>
        <w:t>est</w:t>
      </w:r>
      <w:r>
        <w:rPr>
          <w:rFonts w:cs="Times New Roman"/>
          <w:spacing w:val="-5"/>
          <w:sz w:val="18"/>
          <w:szCs w:val="18"/>
          <w:lang w:val="es-ES_tradnl"/>
        </w:rPr>
        <w:t>á</w:t>
      </w:r>
      <w:r>
        <w:rPr>
          <w:spacing w:val="-5"/>
          <w:sz w:val="18"/>
          <w:szCs w:val="18"/>
          <w:lang w:val="es-ES_tradnl"/>
        </w:rPr>
        <w:t xml:space="preserve"> reconocido tanto en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 xml:space="preserve">blica, </w:t>
      </w:r>
      <w:r>
        <w:rPr>
          <w:spacing w:val="-4"/>
          <w:sz w:val="18"/>
          <w:szCs w:val="18"/>
          <w:lang w:val="es-ES_tradnl"/>
        </w:rPr>
        <w:t>a trav</w:t>
      </w:r>
      <w:r>
        <w:rPr>
          <w:rFonts w:cs="Times New Roman"/>
          <w:spacing w:val="-4"/>
          <w:sz w:val="18"/>
          <w:szCs w:val="18"/>
          <w:lang w:val="es-ES_tradnl"/>
        </w:rPr>
        <w:t>é</w:t>
      </w:r>
      <w:r>
        <w:rPr>
          <w:spacing w:val="-4"/>
          <w:sz w:val="18"/>
          <w:szCs w:val="18"/>
          <w:lang w:val="es-ES_tradnl"/>
        </w:rPr>
        <w:t>s del art</w:t>
      </w:r>
      <w:r>
        <w:rPr>
          <w:rFonts w:cs="Times New Roman"/>
          <w:spacing w:val="-4"/>
          <w:sz w:val="18"/>
          <w:szCs w:val="18"/>
          <w:lang w:val="es-ES_tradnl"/>
        </w:rPr>
        <w:t>í</w:t>
      </w:r>
      <w:r>
        <w:rPr>
          <w:spacing w:val="-4"/>
          <w:sz w:val="18"/>
          <w:szCs w:val="18"/>
          <w:lang w:val="es-ES_tradnl"/>
        </w:rPr>
        <w:t>culo 86 numeral 3 como el art</w:t>
      </w:r>
      <w:r>
        <w:rPr>
          <w:rFonts w:cs="Times New Roman"/>
          <w:spacing w:val="-4"/>
          <w:sz w:val="18"/>
          <w:szCs w:val="18"/>
          <w:lang w:val="es-ES_tradnl"/>
        </w:rPr>
        <w:t>í</w:t>
      </w:r>
      <w:r>
        <w:rPr>
          <w:spacing w:val="-4"/>
          <w:sz w:val="18"/>
          <w:szCs w:val="18"/>
          <w:lang w:val="es-ES_tradnl"/>
        </w:rPr>
        <w:t xml:space="preserve">culo 18 de </w:t>
      </w:r>
      <w:r>
        <w:rPr>
          <w:spacing w:val="-6"/>
          <w:sz w:val="18"/>
          <w:szCs w:val="18"/>
          <w:lang w:val="es-ES_tradnl"/>
        </w:rPr>
        <w:t>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Control </w:t>
      </w:r>
      <w:r>
        <w:rPr>
          <w:sz w:val="18"/>
          <w:szCs w:val="18"/>
          <w:lang w:val="es-ES_tradnl"/>
        </w:rPr>
        <w:t>Constitucional.</w:t>
      </w:r>
    </w:p>
    <w:p w14:paraId="4F67B2D4" w14:textId="77777777" w:rsidR="00591D54" w:rsidRDefault="00591D54">
      <w:pPr>
        <w:shd w:val="clear" w:color="auto" w:fill="FFFFFF"/>
        <w:spacing w:before="197" w:line="216" w:lineRule="exact"/>
        <w:jc w:val="both"/>
      </w:pPr>
      <w:r>
        <w:rPr>
          <w:spacing w:val="-1"/>
          <w:sz w:val="18"/>
          <w:szCs w:val="18"/>
          <w:lang w:val="es-ES_tradnl"/>
        </w:rPr>
        <w:t xml:space="preserve">Bajo tales consideraciones, resulta evidente que los </w:t>
      </w:r>
      <w:r>
        <w:rPr>
          <w:spacing w:val="-6"/>
          <w:sz w:val="18"/>
          <w:szCs w:val="18"/>
          <w:lang w:val="es-ES_tradnl"/>
        </w:rPr>
        <w:t>jueces constitucionales deb</w:t>
      </w:r>
      <w:r>
        <w:rPr>
          <w:rFonts w:cs="Times New Roman"/>
          <w:spacing w:val="-6"/>
          <w:sz w:val="18"/>
          <w:szCs w:val="18"/>
          <w:lang w:val="es-ES_tradnl"/>
        </w:rPr>
        <w:t>í</w:t>
      </w:r>
      <w:r>
        <w:rPr>
          <w:spacing w:val="-6"/>
          <w:sz w:val="18"/>
          <w:szCs w:val="18"/>
          <w:lang w:val="es-ES_tradnl"/>
        </w:rPr>
        <w:t>an realizar un an</w:t>
      </w:r>
      <w:r>
        <w:rPr>
          <w:rFonts w:cs="Times New Roman"/>
          <w:spacing w:val="-6"/>
          <w:sz w:val="18"/>
          <w:szCs w:val="18"/>
          <w:lang w:val="es-ES_tradnl"/>
        </w:rPr>
        <w:t>á</w:t>
      </w:r>
      <w:r>
        <w:rPr>
          <w:spacing w:val="-6"/>
          <w:sz w:val="18"/>
          <w:szCs w:val="18"/>
          <w:lang w:val="es-ES_tradnl"/>
        </w:rPr>
        <w:t xml:space="preserve">lisis integral </w:t>
      </w:r>
      <w:r>
        <w:rPr>
          <w:spacing w:val="-4"/>
          <w:sz w:val="18"/>
          <w:szCs w:val="18"/>
          <w:lang w:val="es-ES_tradnl"/>
        </w:rPr>
        <w:t xml:space="preserve">y exhaustivo no solo respecto a la vigencia del acto </w:t>
      </w:r>
      <w:r>
        <w:rPr>
          <w:spacing w:val="-10"/>
          <w:sz w:val="18"/>
          <w:szCs w:val="18"/>
          <w:lang w:val="es-ES_tradnl"/>
        </w:rPr>
        <w:t>impugnado o la procedencia de la garant</w:t>
      </w:r>
      <w:r>
        <w:rPr>
          <w:rFonts w:cs="Times New Roman"/>
          <w:spacing w:val="-10"/>
          <w:sz w:val="18"/>
          <w:szCs w:val="18"/>
          <w:lang w:val="es-ES_tradnl"/>
        </w:rPr>
        <w:t>í</w:t>
      </w:r>
      <w:r>
        <w:rPr>
          <w:spacing w:val="-10"/>
          <w:sz w:val="18"/>
          <w:szCs w:val="18"/>
          <w:lang w:val="es-ES_tradnl"/>
        </w:rPr>
        <w:t xml:space="preserve">a presentada por el </w:t>
      </w:r>
      <w:r>
        <w:rPr>
          <w:spacing w:val="-9"/>
          <w:sz w:val="18"/>
          <w:szCs w:val="18"/>
          <w:lang w:val="es-ES_tradnl"/>
        </w:rPr>
        <w:t>accionante, sino tambi</w:t>
      </w:r>
      <w:r>
        <w:rPr>
          <w:rFonts w:cs="Times New Roman"/>
          <w:spacing w:val="-9"/>
          <w:sz w:val="18"/>
          <w:szCs w:val="18"/>
          <w:lang w:val="es-ES_tradnl"/>
        </w:rPr>
        <w:t>é</w:t>
      </w:r>
      <w:r>
        <w:rPr>
          <w:spacing w:val="-9"/>
          <w:sz w:val="18"/>
          <w:szCs w:val="18"/>
          <w:lang w:val="es-ES_tradnl"/>
        </w:rPr>
        <w:t xml:space="preserve">n respecto a la naturaleza y alcance </w:t>
      </w:r>
      <w:r>
        <w:rPr>
          <w:spacing w:val="-8"/>
          <w:sz w:val="18"/>
          <w:szCs w:val="18"/>
          <w:lang w:val="es-ES_tradnl"/>
        </w:rPr>
        <w:t>de la reparaci</w:t>
      </w:r>
      <w:r>
        <w:rPr>
          <w:rFonts w:cs="Times New Roman"/>
          <w:spacing w:val="-8"/>
          <w:sz w:val="18"/>
          <w:szCs w:val="18"/>
          <w:lang w:val="es-ES_tradnl"/>
        </w:rPr>
        <w:t>ó</w:t>
      </w:r>
      <w:r>
        <w:rPr>
          <w:spacing w:val="-8"/>
          <w:sz w:val="18"/>
          <w:szCs w:val="18"/>
          <w:lang w:val="es-ES_tradnl"/>
        </w:rPr>
        <w:t xml:space="preserve">n integral ordenada por los jueces dentro de </w:t>
      </w:r>
      <w:r>
        <w:rPr>
          <w:spacing w:val="-9"/>
          <w:sz w:val="18"/>
          <w:szCs w:val="18"/>
          <w:lang w:val="es-ES_tradnl"/>
        </w:rPr>
        <w:t>su fallo, pues es en base a esta acci</w:t>
      </w:r>
      <w:r>
        <w:rPr>
          <w:rFonts w:cs="Times New Roman"/>
          <w:spacing w:val="-9"/>
          <w:sz w:val="18"/>
          <w:szCs w:val="18"/>
          <w:lang w:val="es-ES_tradnl"/>
        </w:rPr>
        <w:t>ó</w:t>
      </w:r>
      <w:r>
        <w:rPr>
          <w:spacing w:val="-9"/>
          <w:sz w:val="18"/>
          <w:szCs w:val="18"/>
          <w:lang w:val="es-ES_tradnl"/>
        </w:rPr>
        <w:t xml:space="preserve">n reparatoria como se </w:t>
      </w:r>
      <w:r>
        <w:rPr>
          <w:spacing w:val="-7"/>
          <w:sz w:val="18"/>
          <w:szCs w:val="18"/>
          <w:lang w:val="es-ES_tradnl"/>
        </w:rPr>
        <w:t>debe garantizar a plenitud un derecho al resarcimiento del da</w:t>
      </w:r>
      <w:r>
        <w:rPr>
          <w:rFonts w:cs="Times New Roman"/>
          <w:spacing w:val="-7"/>
          <w:sz w:val="18"/>
          <w:szCs w:val="18"/>
          <w:lang w:val="es-ES_tradnl"/>
        </w:rPr>
        <w:t>ñ</w:t>
      </w:r>
      <w:r>
        <w:rPr>
          <w:spacing w:val="-7"/>
          <w:sz w:val="18"/>
          <w:szCs w:val="18"/>
          <w:lang w:val="es-ES_tradnl"/>
        </w:rPr>
        <w:t xml:space="preserve">o causado, pero sin que ello implique naturalmente la </w:t>
      </w:r>
      <w:r>
        <w:rPr>
          <w:spacing w:val="-6"/>
          <w:sz w:val="18"/>
          <w:szCs w:val="18"/>
          <w:lang w:val="es-ES_tradnl"/>
        </w:rPr>
        <w:t>afectaci</w:t>
      </w:r>
      <w:r>
        <w:rPr>
          <w:rFonts w:cs="Times New Roman"/>
          <w:spacing w:val="-6"/>
          <w:sz w:val="18"/>
          <w:szCs w:val="18"/>
          <w:lang w:val="es-ES_tradnl"/>
        </w:rPr>
        <w:t>ó</w:t>
      </w:r>
      <w:r>
        <w:rPr>
          <w:spacing w:val="-6"/>
          <w:sz w:val="18"/>
          <w:szCs w:val="18"/>
          <w:lang w:val="es-ES_tradnl"/>
        </w:rPr>
        <w:t>n de derechos a terceros, tal como aconteci</w:t>
      </w:r>
      <w:r>
        <w:rPr>
          <w:rFonts w:cs="Times New Roman"/>
          <w:spacing w:val="-6"/>
          <w:sz w:val="18"/>
          <w:szCs w:val="18"/>
          <w:lang w:val="es-ES_tradnl"/>
        </w:rPr>
        <w:t>ó</w:t>
      </w:r>
      <w:r>
        <w:rPr>
          <w:spacing w:val="-6"/>
          <w:sz w:val="18"/>
          <w:szCs w:val="18"/>
          <w:lang w:val="es-ES_tradnl"/>
        </w:rPr>
        <w:t xml:space="preserve"> en </w:t>
      </w:r>
      <w:r>
        <w:rPr>
          <w:spacing w:val="-8"/>
          <w:sz w:val="18"/>
          <w:szCs w:val="18"/>
          <w:lang w:val="es-ES_tradnl"/>
        </w:rPr>
        <w:t xml:space="preserve">el presente caso. En consecuencia, la Corte Constitucional </w:t>
      </w:r>
      <w:r>
        <w:rPr>
          <w:spacing w:val="-10"/>
          <w:sz w:val="18"/>
          <w:szCs w:val="18"/>
          <w:lang w:val="es-ES_tradnl"/>
        </w:rPr>
        <w:t xml:space="preserve">considera que la sentencia dictada por la Sala Especializada </w:t>
      </w:r>
      <w:r>
        <w:rPr>
          <w:spacing w:val="-6"/>
          <w:sz w:val="18"/>
          <w:szCs w:val="18"/>
          <w:lang w:val="es-ES_tradnl"/>
        </w:rPr>
        <w:t>de lo Laboral, Ni</w:t>
      </w:r>
      <w:r>
        <w:rPr>
          <w:rFonts w:cs="Times New Roman"/>
          <w:spacing w:val="-6"/>
          <w:sz w:val="18"/>
          <w:szCs w:val="18"/>
          <w:lang w:val="es-ES_tradnl"/>
        </w:rPr>
        <w:t>ñ</w:t>
      </w:r>
      <w:r>
        <w:rPr>
          <w:spacing w:val="-6"/>
          <w:sz w:val="18"/>
          <w:szCs w:val="18"/>
          <w:lang w:val="es-ES_tradnl"/>
        </w:rPr>
        <w:t xml:space="preserve">ez y Adolescencia de la Corte Provincial </w:t>
      </w:r>
      <w:r>
        <w:rPr>
          <w:spacing w:val="-11"/>
          <w:sz w:val="18"/>
          <w:szCs w:val="18"/>
          <w:lang w:val="es-ES_tradnl"/>
        </w:rPr>
        <w:t xml:space="preserve">de Justicia de Loja carece de razonabilidad en la medida que </w:t>
      </w:r>
      <w:r>
        <w:rPr>
          <w:spacing w:val="-9"/>
          <w:sz w:val="18"/>
          <w:szCs w:val="18"/>
          <w:lang w:val="es-ES_tradnl"/>
        </w:rPr>
        <w:t xml:space="preserve">los argumentos vertidos en el fallo analizados no contempla </w:t>
      </w:r>
      <w:r>
        <w:rPr>
          <w:spacing w:val="-7"/>
          <w:sz w:val="18"/>
          <w:szCs w:val="18"/>
          <w:lang w:val="es-ES_tradnl"/>
        </w:rPr>
        <w:t xml:space="preserve">en su totalidad las normas, principios y derechos previstos </w:t>
      </w:r>
      <w:r>
        <w:rPr>
          <w:sz w:val="18"/>
          <w:szCs w:val="18"/>
          <w:lang w:val="es-ES_tradnl"/>
        </w:rPr>
        <w:t>en 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B2D5" w14:textId="77777777" w:rsidR="00591D54" w:rsidRDefault="00591D54">
      <w:pPr>
        <w:shd w:val="clear" w:color="auto" w:fill="FFFFFF"/>
        <w:spacing w:before="192" w:line="216" w:lineRule="exact"/>
        <w:jc w:val="both"/>
      </w:pPr>
      <w:r>
        <w:rPr>
          <w:spacing w:val="-8"/>
          <w:sz w:val="18"/>
          <w:szCs w:val="18"/>
          <w:lang w:val="es-ES_tradnl"/>
        </w:rPr>
        <w:t xml:space="preserve">En lo que respecta a la </w:t>
      </w:r>
      <w:r>
        <w:rPr>
          <w:b/>
          <w:bCs/>
          <w:spacing w:val="-8"/>
          <w:sz w:val="18"/>
          <w:szCs w:val="18"/>
          <w:lang w:val="es-ES_tradnl"/>
        </w:rPr>
        <w:t>l</w:t>
      </w:r>
      <w:r>
        <w:rPr>
          <w:rFonts w:cs="Times New Roman"/>
          <w:b/>
          <w:bCs/>
          <w:spacing w:val="-8"/>
          <w:sz w:val="18"/>
          <w:szCs w:val="18"/>
          <w:lang w:val="es-ES_tradnl"/>
        </w:rPr>
        <w:t>ó</w:t>
      </w:r>
      <w:r>
        <w:rPr>
          <w:b/>
          <w:bCs/>
          <w:spacing w:val="-8"/>
          <w:sz w:val="18"/>
          <w:szCs w:val="18"/>
          <w:lang w:val="es-ES_tradnl"/>
        </w:rPr>
        <w:t>gica</w:t>
      </w:r>
      <w:r>
        <w:rPr>
          <w:spacing w:val="-8"/>
          <w:sz w:val="18"/>
          <w:szCs w:val="18"/>
          <w:lang w:val="es-ES_tradnl"/>
        </w:rPr>
        <w:t xml:space="preserve">, este elemento debe ser </w:t>
      </w:r>
      <w:r>
        <w:rPr>
          <w:spacing w:val="-9"/>
          <w:sz w:val="18"/>
          <w:szCs w:val="18"/>
          <w:lang w:val="es-ES_tradnl"/>
        </w:rPr>
        <w:t>entendido como la coherencia e interrelaci</w:t>
      </w:r>
      <w:r>
        <w:rPr>
          <w:rFonts w:cs="Times New Roman"/>
          <w:spacing w:val="-9"/>
          <w:sz w:val="18"/>
          <w:szCs w:val="18"/>
          <w:lang w:val="es-ES_tradnl"/>
        </w:rPr>
        <w:t>ó</w:t>
      </w:r>
      <w:r>
        <w:rPr>
          <w:spacing w:val="-9"/>
          <w:sz w:val="18"/>
          <w:szCs w:val="18"/>
          <w:lang w:val="es-ES_tradnl"/>
        </w:rPr>
        <w:t xml:space="preserve">n de causalidad </w:t>
      </w:r>
      <w:r>
        <w:rPr>
          <w:spacing w:val="-11"/>
          <w:sz w:val="18"/>
          <w:szCs w:val="18"/>
          <w:lang w:val="es-ES_tradnl"/>
        </w:rPr>
        <w:t xml:space="preserve">que debe existir entre los presupuestos de hecho, las normas </w:t>
      </w:r>
      <w:r>
        <w:rPr>
          <w:spacing w:val="-5"/>
          <w:sz w:val="18"/>
          <w:szCs w:val="18"/>
          <w:lang w:val="es-ES_tradnl"/>
        </w:rPr>
        <w:t>jur</w:t>
      </w:r>
      <w:r>
        <w:rPr>
          <w:rFonts w:cs="Times New Roman"/>
          <w:spacing w:val="-5"/>
          <w:sz w:val="18"/>
          <w:szCs w:val="18"/>
          <w:lang w:val="es-ES_tradnl"/>
        </w:rPr>
        <w:t>í</w:t>
      </w:r>
      <w:r>
        <w:rPr>
          <w:spacing w:val="-5"/>
          <w:sz w:val="18"/>
          <w:szCs w:val="18"/>
          <w:lang w:val="es-ES_tradnl"/>
        </w:rPr>
        <w:t xml:space="preserve">dicas aplicadas al caso y por consiguiente, con la </w:t>
      </w:r>
      <w:r>
        <w:rPr>
          <w:spacing w:val="-8"/>
          <w:sz w:val="18"/>
          <w:szCs w:val="18"/>
          <w:lang w:val="es-ES_tradnl"/>
        </w:rPr>
        <w:t>conclusi</w:t>
      </w:r>
      <w:r>
        <w:rPr>
          <w:rFonts w:cs="Times New Roman"/>
          <w:spacing w:val="-8"/>
          <w:sz w:val="18"/>
          <w:szCs w:val="18"/>
          <w:lang w:val="es-ES_tradnl"/>
        </w:rPr>
        <w:t>ó</w:t>
      </w:r>
      <w:r>
        <w:rPr>
          <w:spacing w:val="-8"/>
          <w:sz w:val="18"/>
          <w:szCs w:val="18"/>
          <w:lang w:val="es-ES_tradnl"/>
        </w:rPr>
        <w:t xml:space="preserve">n adoptada por los jueces. Es decir, nos referimos </w:t>
      </w:r>
      <w:r>
        <w:rPr>
          <w:spacing w:val="-7"/>
          <w:sz w:val="18"/>
          <w:szCs w:val="18"/>
          <w:lang w:val="es-ES_tradnl"/>
        </w:rPr>
        <w:t xml:space="preserve">a lo que este Organismo ha definido como la coherencia </w:t>
      </w:r>
      <w:r>
        <w:rPr>
          <w:spacing w:val="-4"/>
          <w:sz w:val="18"/>
          <w:szCs w:val="18"/>
          <w:lang w:val="es-ES_tradnl"/>
        </w:rPr>
        <w:t>materializada entre las premisas f</w:t>
      </w:r>
      <w:r>
        <w:rPr>
          <w:rFonts w:cs="Times New Roman"/>
          <w:spacing w:val="-4"/>
          <w:sz w:val="18"/>
          <w:szCs w:val="18"/>
          <w:lang w:val="es-ES_tradnl"/>
        </w:rPr>
        <w:t>á</w:t>
      </w:r>
      <w:r>
        <w:rPr>
          <w:spacing w:val="-4"/>
          <w:sz w:val="18"/>
          <w:szCs w:val="18"/>
          <w:lang w:val="es-ES_tradnl"/>
        </w:rPr>
        <w:t xml:space="preserve">cticas, premisas </w:t>
      </w:r>
      <w:r>
        <w:rPr>
          <w:spacing w:val="-7"/>
          <w:sz w:val="18"/>
          <w:szCs w:val="18"/>
          <w:lang w:val="es-ES_tradnl"/>
        </w:rPr>
        <w:t>normativas y la conclusi</w:t>
      </w:r>
      <w:r>
        <w:rPr>
          <w:rFonts w:cs="Times New Roman"/>
          <w:spacing w:val="-7"/>
          <w:sz w:val="18"/>
          <w:szCs w:val="18"/>
          <w:lang w:val="es-ES_tradnl"/>
        </w:rPr>
        <w:t>ó</w:t>
      </w:r>
      <w:r>
        <w:rPr>
          <w:spacing w:val="-7"/>
          <w:sz w:val="18"/>
          <w:szCs w:val="18"/>
          <w:lang w:val="es-ES_tradnl"/>
        </w:rPr>
        <w:t>n obtenida</w:t>
      </w:r>
      <w:r>
        <w:rPr>
          <w:spacing w:val="-7"/>
          <w:sz w:val="18"/>
          <w:szCs w:val="18"/>
          <w:vertAlign w:val="superscript"/>
          <w:lang w:val="es-ES_tradnl"/>
        </w:rPr>
        <w:t>10</w:t>
      </w:r>
      <w:r>
        <w:rPr>
          <w:spacing w:val="-7"/>
          <w:sz w:val="18"/>
          <w:szCs w:val="18"/>
          <w:lang w:val="es-ES_tradnl"/>
        </w:rPr>
        <w:t xml:space="preserve">. En este sentido, conforme se lo ha manifestado a lo largo de la presente </w:t>
      </w:r>
      <w:r>
        <w:rPr>
          <w:spacing w:val="-8"/>
          <w:sz w:val="18"/>
          <w:szCs w:val="18"/>
          <w:lang w:val="es-ES_tradnl"/>
        </w:rPr>
        <w:t>sentencia, los jueces de apelaci</w:t>
      </w:r>
      <w:r>
        <w:rPr>
          <w:rFonts w:cs="Times New Roman"/>
          <w:spacing w:val="-8"/>
          <w:sz w:val="18"/>
          <w:szCs w:val="18"/>
          <w:lang w:val="es-ES_tradnl"/>
        </w:rPr>
        <w:t>ó</w:t>
      </w:r>
      <w:r>
        <w:rPr>
          <w:spacing w:val="-8"/>
          <w:sz w:val="18"/>
          <w:szCs w:val="18"/>
          <w:lang w:val="es-ES_tradnl"/>
        </w:rPr>
        <w:t>n omitieron de su an</w:t>
      </w:r>
      <w:r>
        <w:rPr>
          <w:rFonts w:cs="Times New Roman"/>
          <w:spacing w:val="-8"/>
          <w:sz w:val="18"/>
          <w:szCs w:val="18"/>
          <w:lang w:val="es-ES_tradnl"/>
        </w:rPr>
        <w:t>á</w:t>
      </w:r>
      <w:r>
        <w:rPr>
          <w:spacing w:val="-8"/>
          <w:sz w:val="18"/>
          <w:szCs w:val="18"/>
          <w:lang w:val="es-ES_tradnl"/>
        </w:rPr>
        <w:t xml:space="preserve">lisis </w:t>
      </w:r>
      <w:r>
        <w:rPr>
          <w:spacing w:val="-4"/>
          <w:sz w:val="18"/>
          <w:szCs w:val="18"/>
          <w:lang w:val="es-ES_tradnl"/>
        </w:rPr>
        <w:t>una interpretaci</w:t>
      </w:r>
      <w:r>
        <w:rPr>
          <w:rFonts w:cs="Times New Roman"/>
          <w:spacing w:val="-4"/>
          <w:sz w:val="18"/>
          <w:szCs w:val="18"/>
          <w:lang w:val="es-ES_tradnl"/>
        </w:rPr>
        <w:t>ó</w:t>
      </w:r>
      <w:r>
        <w:rPr>
          <w:spacing w:val="-4"/>
          <w:sz w:val="18"/>
          <w:szCs w:val="18"/>
          <w:lang w:val="es-ES_tradnl"/>
        </w:rPr>
        <w:t xml:space="preserve">n integral del texto constitucional previo </w:t>
      </w:r>
      <w:r>
        <w:rPr>
          <w:spacing w:val="-7"/>
          <w:sz w:val="18"/>
          <w:szCs w:val="18"/>
          <w:lang w:val="es-ES_tradnl"/>
        </w:rPr>
        <w:t>a adoptar una decisi</w:t>
      </w:r>
      <w:r>
        <w:rPr>
          <w:rFonts w:cs="Times New Roman"/>
          <w:spacing w:val="-7"/>
          <w:sz w:val="18"/>
          <w:szCs w:val="18"/>
          <w:lang w:val="es-ES_tradnl"/>
        </w:rPr>
        <w:t>ó</w:t>
      </w:r>
      <w:r>
        <w:rPr>
          <w:spacing w:val="-7"/>
          <w:sz w:val="18"/>
          <w:szCs w:val="18"/>
          <w:lang w:val="es-ES_tradnl"/>
        </w:rPr>
        <w:t>n con respecto al recurso planteado dentro de la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 xml:space="preserve">n, pues, si bien los jueces </w:t>
      </w:r>
      <w:r>
        <w:rPr>
          <w:spacing w:val="-3"/>
          <w:sz w:val="18"/>
          <w:szCs w:val="18"/>
          <w:lang w:val="es-ES_tradnl"/>
        </w:rPr>
        <w:t>establecieron una vulneraci</w:t>
      </w:r>
      <w:r>
        <w:rPr>
          <w:rFonts w:cs="Times New Roman"/>
          <w:spacing w:val="-3"/>
          <w:sz w:val="18"/>
          <w:szCs w:val="18"/>
          <w:lang w:val="es-ES_tradnl"/>
        </w:rPr>
        <w:t>ó</w:t>
      </w:r>
      <w:r>
        <w:rPr>
          <w:spacing w:val="-3"/>
          <w:sz w:val="18"/>
          <w:szCs w:val="18"/>
          <w:lang w:val="es-ES_tradnl"/>
        </w:rPr>
        <w:t xml:space="preserve">n del derecho al debido </w:t>
      </w:r>
      <w:r>
        <w:rPr>
          <w:spacing w:val="-5"/>
          <w:sz w:val="18"/>
          <w:szCs w:val="18"/>
          <w:lang w:val="es-ES_tradnl"/>
        </w:rPr>
        <w:t>proceso en la garant</w:t>
      </w:r>
      <w:r>
        <w:rPr>
          <w:rFonts w:cs="Times New Roman"/>
          <w:spacing w:val="-5"/>
          <w:sz w:val="18"/>
          <w:szCs w:val="18"/>
          <w:lang w:val="es-ES_tradnl"/>
        </w:rPr>
        <w:t>í</w:t>
      </w:r>
      <w:r>
        <w:rPr>
          <w:spacing w:val="-5"/>
          <w:sz w:val="18"/>
          <w:szCs w:val="18"/>
          <w:lang w:val="es-ES_tradnl"/>
        </w:rPr>
        <w:t>a de la motivaci</w:t>
      </w:r>
      <w:r>
        <w:rPr>
          <w:rFonts w:cs="Times New Roman"/>
          <w:spacing w:val="-5"/>
          <w:sz w:val="18"/>
          <w:szCs w:val="18"/>
          <w:lang w:val="es-ES_tradnl"/>
        </w:rPr>
        <w:t>ó</w:t>
      </w:r>
      <w:r>
        <w:rPr>
          <w:spacing w:val="-5"/>
          <w:sz w:val="18"/>
          <w:szCs w:val="18"/>
          <w:lang w:val="es-ES_tradnl"/>
        </w:rPr>
        <w:t>n, la reparaci</w:t>
      </w:r>
      <w:r>
        <w:rPr>
          <w:rFonts w:cs="Times New Roman"/>
          <w:spacing w:val="-5"/>
          <w:sz w:val="18"/>
          <w:szCs w:val="18"/>
          <w:lang w:val="es-ES_tradnl"/>
        </w:rPr>
        <w:t>ó</w:t>
      </w:r>
      <w:r>
        <w:rPr>
          <w:spacing w:val="-5"/>
          <w:sz w:val="18"/>
          <w:szCs w:val="18"/>
          <w:lang w:val="es-ES_tradnl"/>
        </w:rPr>
        <w:t xml:space="preserve">n </w:t>
      </w:r>
      <w:r>
        <w:rPr>
          <w:spacing w:val="-9"/>
          <w:sz w:val="18"/>
          <w:szCs w:val="18"/>
          <w:lang w:val="es-ES_tradnl"/>
        </w:rPr>
        <w:t xml:space="preserve">integral material que aplicaron en el presente caso resultaba </w:t>
      </w:r>
      <w:r>
        <w:rPr>
          <w:spacing w:val="-10"/>
          <w:sz w:val="18"/>
          <w:szCs w:val="18"/>
          <w:lang w:val="es-ES_tradnl"/>
        </w:rPr>
        <w:t>inadecuada y desproporcional al da</w:t>
      </w:r>
      <w:r>
        <w:rPr>
          <w:rFonts w:cs="Times New Roman"/>
          <w:spacing w:val="-10"/>
          <w:sz w:val="18"/>
          <w:szCs w:val="18"/>
          <w:lang w:val="es-ES_tradnl"/>
        </w:rPr>
        <w:t>ñ</w:t>
      </w:r>
      <w:r>
        <w:rPr>
          <w:spacing w:val="-10"/>
          <w:sz w:val="18"/>
          <w:szCs w:val="18"/>
          <w:lang w:val="es-ES_tradnl"/>
        </w:rPr>
        <w:t>o causado, m</w:t>
      </w:r>
      <w:r>
        <w:rPr>
          <w:rFonts w:cs="Times New Roman"/>
          <w:spacing w:val="-10"/>
          <w:sz w:val="18"/>
          <w:szCs w:val="18"/>
          <w:lang w:val="es-ES_tradnl"/>
        </w:rPr>
        <w:t>á</w:t>
      </w:r>
      <w:r>
        <w:rPr>
          <w:spacing w:val="-10"/>
          <w:sz w:val="18"/>
          <w:szCs w:val="18"/>
          <w:lang w:val="es-ES_tradnl"/>
        </w:rPr>
        <w:t>s a</w:t>
      </w:r>
      <w:r>
        <w:rPr>
          <w:rFonts w:cs="Times New Roman"/>
          <w:spacing w:val="-10"/>
          <w:sz w:val="18"/>
          <w:szCs w:val="18"/>
          <w:lang w:val="es-ES_tradnl"/>
        </w:rPr>
        <w:t>ú</w:t>
      </w:r>
      <w:r>
        <w:rPr>
          <w:spacing w:val="-10"/>
          <w:sz w:val="18"/>
          <w:szCs w:val="18"/>
          <w:lang w:val="es-ES_tradnl"/>
        </w:rPr>
        <w:t xml:space="preserve">n, si </w:t>
      </w:r>
      <w:r>
        <w:rPr>
          <w:spacing w:val="-11"/>
          <w:sz w:val="18"/>
          <w:szCs w:val="18"/>
          <w:lang w:val="es-ES_tradnl"/>
        </w:rPr>
        <w:t>se tomaba en consideraci</w:t>
      </w:r>
      <w:r>
        <w:rPr>
          <w:rFonts w:cs="Times New Roman"/>
          <w:spacing w:val="-11"/>
          <w:sz w:val="18"/>
          <w:szCs w:val="18"/>
          <w:lang w:val="es-ES_tradnl"/>
        </w:rPr>
        <w:t>ó</w:t>
      </w:r>
      <w:r>
        <w:rPr>
          <w:spacing w:val="-11"/>
          <w:sz w:val="18"/>
          <w:szCs w:val="18"/>
          <w:lang w:val="es-ES_tradnl"/>
        </w:rPr>
        <w:t>n el momento en que la acci</w:t>
      </w:r>
      <w:r>
        <w:rPr>
          <w:rFonts w:cs="Times New Roman"/>
          <w:spacing w:val="-11"/>
          <w:sz w:val="18"/>
          <w:szCs w:val="18"/>
          <w:lang w:val="es-ES_tradnl"/>
        </w:rPr>
        <w:t>ó</w:t>
      </w:r>
      <w:r>
        <w:rPr>
          <w:spacing w:val="-11"/>
          <w:sz w:val="18"/>
          <w:szCs w:val="18"/>
          <w:lang w:val="es-ES_tradnl"/>
        </w:rPr>
        <w:t xml:space="preserve">n de </w:t>
      </w:r>
      <w:r>
        <w:rPr>
          <w:spacing w:val="-9"/>
          <w:sz w:val="18"/>
          <w:szCs w:val="18"/>
          <w:lang w:val="es-ES_tradnl"/>
        </w:rPr>
        <w:t>protecci</w:t>
      </w:r>
      <w:r>
        <w:rPr>
          <w:rFonts w:cs="Times New Roman"/>
          <w:spacing w:val="-9"/>
          <w:sz w:val="18"/>
          <w:szCs w:val="18"/>
          <w:lang w:val="es-ES_tradnl"/>
        </w:rPr>
        <w:t>ó</w:t>
      </w:r>
      <w:r>
        <w:rPr>
          <w:spacing w:val="-9"/>
          <w:sz w:val="18"/>
          <w:szCs w:val="18"/>
          <w:lang w:val="es-ES_tradnl"/>
        </w:rPr>
        <w:t>n fue presentada y los derechos que se hab</w:t>
      </w:r>
      <w:r>
        <w:rPr>
          <w:rFonts w:cs="Times New Roman"/>
          <w:spacing w:val="-9"/>
          <w:sz w:val="18"/>
          <w:szCs w:val="18"/>
          <w:lang w:val="es-ES_tradnl"/>
        </w:rPr>
        <w:t>í</w:t>
      </w:r>
      <w:r>
        <w:rPr>
          <w:spacing w:val="-9"/>
          <w:sz w:val="18"/>
          <w:szCs w:val="18"/>
          <w:lang w:val="es-ES_tradnl"/>
        </w:rPr>
        <w:t xml:space="preserve">an ya </w:t>
      </w:r>
      <w:r>
        <w:rPr>
          <w:spacing w:val="-8"/>
          <w:sz w:val="18"/>
          <w:szCs w:val="18"/>
          <w:lang w:val="es-ES_tradnl"/>
        </w:rPr>
        <w:t xml:space="preserve">reconocido dentro de los procesos nulitados por los jueces </w:t>
      </w:r>
      <w:r>
        <w:rPr>
          <w:sz w:val="18"/>
          <w:szCs w:val="18"/>
          <w:lang w:val="es-ES_tradnl"/>
        </w:rPr>
        <w:t>constitucionales.</w:t>
      </w:r>
    </w:p>
    <w:p w14:paraId="4F67B2D6" w14:textId="77777777" w:rsidR="00591D54" w:rsidRDefault="00591D54">
      <w:pPr>
        <w:shd w:val="clear" w:color="auto" w:fill="FFFFFF"/>
        <w:spacing w:before="192" w:line="216" w:lineRule="exact"/>
        <w:jc w:val="both"/>
      </w:pPr>
      <w:r>
        <w:rPr>
          <w:spacing w:val="-10"/>
          <w:sz w:val="18"/>
          <w:szCs w:val="18"/>
          <w:lang w:val="es-ES_tradnl"/>
        </w:rPr>
        <w:t xml:space="preserve">Por lo tanto, esta Corte considera que dentro de la sentencia </w:t>
      </w:r>
      <w:r>
        <w:rPr>
          <w:spacing w:val="-7"/>
          <w:sz w:val="18"/>
          <w:szCs w:val="18"/>
          <w:lang w:val="es-ES_tradnl"/>
        </w:rPr>
        <w:t>objeto de la presente acci</w:t>
      </w:r>
      <w:r>
        <w:rPr>
          <w:rFonts w:cs="Times New Roman"/>
          <w:spacing w:val="-7"/>
          <w:sz w:val="18"/>
          <w:szCs w:val="18"/>
          <w:lang w:val="es-ES_tradnl"/>
        </w:rPr>
        <w:t>ó</w:t>
      </w:r>
      <w:r>
        <w:rPr>
          <w:spacing w:val="-7"/>
          <w:sz w:val="18"/>
          <w:szCs w:val="18"/>
          <w:lang w:val="es-ES_tradnl"/>
        </w:rPr>
        <w:t xml:space="preserve">n, la Sala Especializada de lo </w:t>
      </w:r>
      <w:r>
        <w:rPr>
          <w:spacing w:val="-5"/>
          <w:sz w:val="18"/>
          <w:szCs w:val="18"/>
          <w:lang w:val="es-ES_tradnl"/>
        </w:rPr>
        <w:t>Laboral, Ni</w:t>
      </w:r>
      <w:r>
        <w:rPr>
          <w:rFonts w:cs="Times New Roman"/>
          <w:spacing w:val="-5"/>
          <w:sz w:val="18"/>
          <w:szCs w:val="18"/>
          <w:lang w:val="es-ES_tradnl"/>
        </w:rPr>
        <w:t>ñ</w:t>
      </w:r>
      <w:r>
        <w:rPr>
          <w:spacing w:val="-5"/>
          <w:sz w:val="18"/>
          <w:szCs w:val="18"/>
          <w:lang w:val="es-ES_tradnl"/>
        </w:rPr>
        <w:t xml:space="preserve">ez y Adolescencia de la Corte Provincial de </w:t>
      </w:r>
      <w:r>
        <w:rPr>
          <w:spacing w:val="-11"/>
          <w:sz w:val="18"/>
          <w:szCs w:val="18"/>
          <w:lang w:val="es-ES_tradnl"/>
        </w:rPr>
        <w:t>Justicia de Loja no ha empleado una l</w:t>
      </w:r>
      <w:r>
        <w:rPr>
          <w:rFonts w:cs="Times New Roman"/>
          <w:spacing w:val="-11"/>
          <w:sz w:val="18"/>
          <w:szCs w:val="18"/>
          <w:lang w:val="es-ES_tradnl"/>
        </w:rPr>
        <w:t>ó</w:t>
      </w:r>
      <w:r>
        <w:rPr>
          <w:spacing w:val="-11"/>
          <w:sz w:val="18"/>
          <w:szCs w:val="18"/>
          <w:lang w:val="es-ES_tradnl"/>
        </w:rPr>
        <w:t xml:space="preserve">gica en su desarrollo y </w:t>
      </w:r>
      <w:r>
        <w:rPr>
          <w:spacing w:val="-8"/>
          <w:sz w:val="18"/>
          <w:szCs w:val="18"/>
          <w:lang w:val="es-ES_tradnl"/>
        </w:rPr>
        <w:t>sustanciaci</w:t>
      </w:r>
      <w:r>
        <w:rPr>
          <w:rFonts w:cs="Times New Roman"/>
          <w:spacing w:val="-8"/>
          <w:sz w:val="18"/>
          <w:szCs w:val="18"/>
          <w:lang w:val="es-ES_tradnl"/>
        </w:rPr>
        <w:t>ó</w:t>
      </w:r>
      <w:r>
        <w:rPr>
          <w:spacing w:val="-8"/>
          <w:sz w:val="18"/>
          <w:szCs w:val="18"/>
          <w:lang w:val="es-ES_tradnl"/>
        </w:rPr>
        <w:t>n, en virtud que han omitido realizar un an</w:t>
      </w:r>
      <w:r>
        <w:rPr>
          <w:rFonts w:cs="Times New Roman"/>
          <w:spacing w:val="-8"/>
          <w:sz w:val="18"/>
          <w:szCs w:val="18"/>
          <w:lang w:val="es-ES_tradnl"/>
        </w:rPr>
        <w:t>á</w:t>
      </w:r>
      <w:r>
        <w:rPr>
          <w:spacing w:val="-8"/>
          <w:sz w:val="18"/>
          <w:szCs w:val="18"/>
          <w:lang w:val="es-ES_tradnl"/>
        </w:rPr>
        <w:t>lisis integral de la reparaci</w:t>
      </w:r>
      <w:r>
        <w:rPr>
          <w:rFonts w:cs="Times New Roman"/>
          <w:spacing w:val="-8"/>
          <w:sz w:val="18"/>
          <w:szCs w:val="18"/>
          <w:lang w:val="es-ES_tradnl"/>
        </w:rPr>
        <w:t>ó</w:t>
      </w:r>
      <w:r>
        <w:rPr>
          <w:spacing w:val="-8"/>
          <w:sz w:val="18"/>
          <w:szCs w:val="18"/>
          <w:lang w:val="es-ES_tradnl"/>
        </w:rPr>
        <w:t xml:space="preserve">n integral que facilite determinar con </w:t>
      </w:r>
      <w:r>
        <w:rPr>
          <w:spacing w:val="-7"/>
          <w:sz w:val="18"/>
          <w:szCs w:val="18"/>
          <w:lang w:val="es-ES_tradnl"/>
        </w:rPr>
        <w:t>total claridad y exactitud el correcto resarcimiento del da</w:t>
      </w:r>
      <w:r>
        <w:rPr>
          <w:rFonts w:cs="Times New Roman"/>
          <w:spacing w:val="-7"/>
          <w:sz w:val="18"/>
          <w:szCs w:val="18"/>
          <w:lang w:val="es-ES_tradnl"/>
        </w:rPr>
        <w:t>ñ</w:t>
      </w:r>
      <w:r>
        <w:rPr>
          <w:spacing w:val="-7"/>
          <w:sz w:val="18"/>
          <w:szCs w:val="18"/>
          <w:lang w:val="es-ES_tradnl"/>
        </w:rPr>
        <w:t xml:space="preserve">o </w:t>
      </w:r>
      <w:r>
        <w:rPr>
          <w:sz w:val="18"/>
          <w:szCs w:val="18"/>
          <w:lang w:val="es-ES_tradnl"/>
        </w:rPr>
        <w:t>causado.</w:t>
      </w:r>
    </w:p>
    <w:p w14:paraId="4F67B2D7" w14:textId="77777777" w:rsidR="00591D54" w:rsidRDefault="00591D54">
      <w:pPr>
        <w:shd w:val="clear" w:color="auto" w:fill="FFFFFF"/>
        <w:spacing w:before="725" w:line="178" w:lineRule="exact"/>
        <w:ind w:left="144" w:hanging="144"/>
      </w:pPr>
      <w:r>
        <w:rPr>
          <w:spacing w:val="-4"/>
          <w:sz w:val="14"/>
          <w:szCs w:val="14"/>
          <w:vertAlign w:val="superscript"/>
          <w:lang w:val="es-ES_tradnl"/>
        </w:rPr>
        <w:t>10</w:t>
      </w:r>
      <w:r>
        <w:rPr>
          <w:spacing w:val="-4"/>
          <w:sz w:val="14"/>
          <w:szCs w:val="14"/>
          <w:lang w:val="es-ES_tradnl"/>
        </w:rPr>
        <w:t xml:space="preserve"> </w:t>
      </w:r>
      <w:r>
        <w:rPr>
          <w:sz w:val="14"/>
          <w:szCs w:val="14"/>
          <w:lang w:val="es-ES_tradnl"/>
        </w:rPr>
        <w:t>Corte Constitucional del Ecuador, sentencia N.</w:t>
      </w:r>
      <w:r>
        <w:rPr>
          <w:rFonts w:cs="Times New Roman"/>
          <w:sz w:val="14"/>
          <w:szCs w:val="14"/>
          <w:lang w:val="es-ES_tradnl"/>
        </w:rPr>
        <w:t>º</w:t>
      </w:r>
      <w:r>
        <w:rPr>
          <w:sz w:val="14"/>
          <w:szCs w:val="14"/>
          <w:lang w:val="es-ES_tradnl"/>
        </w:rPr>
        <w:t xml:space="preserve"> 097-14-SEP-CC, caso N.</w:t>
      </w:r>
      <w:r>
        <w:rPr>
          <w:rFonts w:cs="Times New Roman"/>
          <w:sz w:val="14"/>
          <w:szCs w:val="14"/>
          <w:lang w:val="es-ES_tradnl"/>
        </w:rPr>
        <w:t>º</w:t>
      </w:r>
      <w:r>
        <w:rPr>
          <w:sz w:val="14"/>
          <w:szCs w:val="14"/>
          <w:lang w:val="es-ES_tradnl"/>
        </w:rPr>
        <w:t xml:space="preserve"> 0329-12-EP.</w:t>
      </w:r>
    </w:p>
    <w:p w14:paraId="4F67B2D8" w14:textId="77777777" w:rsidR="00591D54" w:rsidRDefault="00591D54">
      <w:pPr>
        <w:shd w:val="clear" w:color="auto" w:fill="FFFFFF"/>
        <w:spacing w:before="725" w:line="178" w:lineRule="exact"/>
        <w:ind w:left="144" w:hanging="144"/>
        <w:sectPr w:rsidR="00591D54">
          <w:type w:val="continuous"/>
          <w:pgSz w:w="11909" w:h="16834"/>
          <w:pgMar w:top="1356" w:right="1309" w:bottom="360" w:left="1308" w:header="720" w:footer="720" w:gutter="0"/>
          <w:cols w:num="2" w:space="720" w:equalWidth="0">
            <w:col w:w="4305" w:space="682"/>
            <w:col w:w="4305"/>
          </w:cols>
          <w:noEndnote/>
        </w:sectPr>
      </w:pPr>
    </w:p>
    <w:p w14:paraId="4F67B2D9" w14:textId="77777777" w:rsidR="00591D54" w:rsidRDefault="00591D54">
      <w:pPr>
        <w:shd w:val="clear" w:color="auto" w:fill="FFFFFF"/>
        <w:tabs>
          <w:tab w:val="left" w:pos="584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- 189</w:t>
      </w:r>
    </w:p>
    <w:p w14:paraId="4F67B2DA" w14:textId="77777777" w:rsidR="00591D54" w:rsidRDefault="00591D54">
      <w:pPr>
        <w:shd w:val="clear" w:color="auto" w:fill="FFFFFF"/>
        <w:tabs>
          <w:tab w:val="left" w:pos="5842"/>
        </w:tabs>
        <w:spacing w:after="230"/>
        <w:ind w:left="5"/>
        <w:sectPr w:rsidR="00591D54">
          <w:pgSz w:w="11909" w:h="16834"/>
          <w:pgMar w:top="1339" w:right="1309" w:bottom="360" w:left="1308" w:header="720" w:footer="720" w:gutter="0"/>
          <w:cols w:space="60"/>
          <w:noEndnote/>
        </w:sectPr>
      </w:pPr>
    </w:p>
    <w:p w14:paraId="4F67B2DB" w14:textId="77777777" w:rsidR="00591D54" w:rsidRDefault="00591D54">
      <w:pPr>
        <w:shd w:val="clear" w:color="auto" w:fill="FFFFFF"/>
        <w:spacing w:line="226" w:lineRule="exact"/>
        <w:jc w:val="both"/>
      </w:pPr>
      <w:r>
        <w:rPr>
          <w:spacing w:val="-6"/>
          <w:sz w:val="18"/>
          <w:szCs w:val="18"/>
          <w:lang w:val="es-ES_tradnl"/>
        </w:rPr>
        <w:t xml:space="preserve">Finalmente, en lo que respecta a la </w:t>
      </w:r>
      <w:r>
        <w:rPr>
          <w:b/>
          <w:bCs/>
          <w:spacing w:val="-6"/>
          <w:sz w:val="18"/>
          <w:szCs w:val="18"/>
          <w:lang w:val="es-ES_tradnl"/>
        </w:rPr>
        <w:t>comprensibilidad</w:t>
      </w:r>
      <w:r>
        <w:rPr>
          <w:spacing w:val="-6"/>
          <w:sz w:val="18"/>
          <w:szCs w:val="18"/>
          <w:lang w:val="es-ES_tradnl"/>
        </w:rPr>
        <w:t xml:space="preserve">, </w:t>
      </w:r>
      <w:r>
        <w:rPr>
          <w:spacing w:val="-8"/>
          <w:sz w:val="18"/>
          <w:szCs w:val="18"/>
          <w:lang w:val="es-ES_tradnl"/>
        </w:rPr>
        <w:t xml:space="preserve">dicho elemento hace referencia al uso de un lenguaje claro </w:t>
      </w:r>
      <w:r>
        <w:rPr>
          <w:spacing w:val="-11"/>
          <w:sz w:val="18"/>
          <w:szCs w:val="18"/>
          <w:lang w:val="es-ES_tradnl"/>
        </w:rPr>
        <w:t xml:space="preserve">por parte de los jueces, que garantice a las partes procesales </w:t>
      </w:r>
      <w:r>
        <w:rPr>
          <w:spacing w:val="-7"/>
          <w:sz w:val="18"/>
          <w:szCs w:val="18"/>
          <w:lang w:val="es-ES_tradnl"/>
        </w:rPr>
        <w:t xml:space="preserve">y al conglomerado social, comprender el contenido de las decisiones judiciales; esta Corte Constitucional considera </w:t>
      </w:r>
      <w:r>
        <w:rPr>
          <w:spacing w:val="-5"/>
          <w:sz w:val="18"/>
          <w:szCs w:val="18"/>
          <w:lang w:val="es-ES_tradnl"/>
        </w:rPr>
        <w:t>que dentro del caso en an</w:t>
      </w:r>
      <w:r>
        <w:rPr>
          <w:rFonts w:cs="Times New Roman"/>
          <w:spacing w:val="-5"/>
          <w:sz w:val="18"/>
          <w:szCs w:val="18"/>
          <w:lang w:val="es-ES_tradnl"/>
        </w:rPr>
        <w:t>á</w:t>
      </w:r>
      <w:r>
        <w:rPr>
          <w:spacing w:val="-5"/>
          <w:sz w:val="18"/>
          <w:szCs w:val="18"/>
          <w:lang w:val="es-ES_tradnl"/>
        </w:rPr>
        <w:t>lisis, la sentencia impugnada es di</w:t>
      </w:r>
      <w:r>
        <w:rPr>
          <w:rFonts w:cs="Times New Roman"/>
          <w:spacing w:val="-5"/>
          <w:sz w:val="18"/>
          <w:szCs w:val="18"/>
          <w:lang w:val="es-ES_tradnl"/>
        </w:rPr>
        <w:t>á</w:t>
      </w:r>
      <w:r>
        <w:rPr>
          <w:spacing w:val="-5"/>
          <w:sz w:val="18"/>
          <w:szCs w:val="18"/>
          <w:lang w:val="es-ES_tradnl"/>
        </w:rPr>
        <w:t>fana en su contenido y utiliza un lenguaje jur</w:t>
      </w:r>
      <w:r>
        <w:rPr>
          <w:rFonts w:cs="Times New Roman"/>
          <w:spacing w:val="-5"/>
          <w:sz w:val="18"/>
          <w:szCs w:val="18"/>
          <w:lang w:val="es-ES_tradnl"/>
        </w:rPr>
        <w:t>í</w:t>
      </w:r>
      <w:r>
        <w:rPr>
          <w:spacing w:val="-5"/>
          <w:sz w:val="18"/>
          <w:szCs w:val="18"/>
          <w:lang w:val="es-ES_tradnl"/>
        </w:rPr>
        <w:t xml:space="preserve">dico </w:t>
      </w:r>
      <w:r>
        <w:rPr>
          <w:spacing w:val="-2"/>
          <w:sz w:val="18"/>
          <w:szCs w:val="18"/>
          <w:lang w:val="es-ES_tradnl"/>
        </w:rPr>
        <w:t xml:space="preserve">adecuado que hace comprensible lo decidido por los </w:t>
      </w:r>
      <w:r>
        <w:rPr>
          <w:spacing w:val="-7"/>
          <w:sz w:val="18"/>
          <w:szCs w:val="18"/>
          <w:lang w:val="es-ES_tradnl"/>
        </w:rPr>
        <w:t>jueces de la Sala Especializada de lo Laboral, Ni</w:t>
      </w:r>
      <w:r>
        <w:rPr>
          <w:rFonts w:cs="Times New Roman"/>
          <w:spacing w:val="-7"/>
          <w:sz w:val="18"/>
          <w:szCs w:val="18"/>
          <w:lang w:val="es-ES_tradnl"/>
        </w:rPr>
        <w:t>ñ</w:t>
      </w:r>
      <w:r>
        <w:rPr>
          <w:spacing w:val="-7"/>
          <w:sz w:val="18"/>
          <w:szCs w:val="18"/>
          <w:lang w:val="es-ES_tradnl"/>
        </w:rPr>
        <w:t xml:space="preserve">ez y </w:t>
      </w:r>
      <w:r>
        <w:rPr>
          <w:spacing w:val="-4"/>
          <w:sz w:val="18"/>
          <w:szCs w:val="18"/>
          <w:lang w:val="es-ES_tradnl"/>
        </w:rPr>
        <w:t xml:space="preserve">Adolescencia de la Corte Provincial de Justicia de Loja. </w:t>
      </w:r>
      <w:r>
        <w:rPr>
          <w:sz w:val="18"/>
          <w:szCs w:val="18"/>
          <w:lang w:val="es-ES_tradnl"/>
        </w:rPr>
        <w:t>Sin embargo de ello, y conforme quedo se</w:t>
      </w:r>
      <w:r>
        <w:rPr>
          <w:rFonts w:cs="Times New Roman"/>
          <w:sz w:val="18"/>
          <w:szCs w:val="18"/>
          <w:lang w:val="es-ES_tradnl"/>
        </w:rPr>
        <w:t>ñ</w:t>
      </w:r>
      <w:r>
        <w:rPr>
          <w:sz w:val="18"/>
          <w:szCs w:val="18"/>
          <w:lang w:val="es-ES_tradnl"/>
        </w:rPr>
        <w:t xml:space="preserve">alado en </w:t>
      </w:r>
      <w:r>
        <w:rPr>
          <w:spacing w:val="-7"/>
          <w:sz w:val="18"/>
          <w:szCs w:val="18"/>
          <w:lang w:val="es-ES_tradnl"/>
        </w:rPr>
        <w:t>los p</w:t>
      </w:r>
      <w:r>
        <w:rPr>
          <w:rFonts w:cs="Times New Roman"/>
          <w:spacing w:val="-7"/>
          <w:sz w:val="18"/>
          <w:szCs w:val="18"/>
          <w:lang w:val="es-ES_tradnl"/>
        </w:rPr>
        <w:t>á</w:t>
      </w:r>
      <w:r>
        <w:rPr>
          <w:spacing w:val="-7"/>
          <w:sz w:val="18"/>
          <w:szCs w:val="18"/>
          <w:lang w:val="es-ES_tradnl"/>
        </w:rPr>
        <w:t>rrafos precedentes, la motivaci</w:t>
      </w:r>
      <w:r>
        <w:rPr>
          <w:rFonts w:cs="Times New Roman"/>
          <w:spacing w:val="-7"/>
          <w:sz w:val="18"/>
          <w:szCs w:val="18"/>
          <w:lang w:val="es-ES_tradnl"/>
        </w:rPr>
        <w:t>ó</w:t>
      </w:r>
      <w:r>
        <w:rPr>
          <w:spacing w:val="-7"/>
          <w:sz w:val="18"/>
          <w:szCs w:val="18"/>
          <w:lang w:val="es-ES_tradnl"/>
        </w:rPr>
        <w:t xml:space="preserve">n de la sentencia </w:t>
      </w:r>
      <w:r>
        <w:rPr>
          <w:spacing w:val="-11"/>
          <w:sz w:val="18"/>
          <w:szCs w:val="18"/>
          <w:lang w:val="es-ES_tradnl"/>
        </w:rPr>
        <w:t xml:space="preserve">examinada en el caso </w:t>
      </w:r>
      <w:r>
        <w:rPr>
          <w:i/>
          <w:iCs/>
          <w:spacing w:val="-11"/>
          <w:sz w:val="18"/>
          <w:szCs w:val="18"/>
          <w:lang w:val="es-ES_tradnl"/>
        </w:rPr>
        <w:t>sub judice</w:t>
      </w:r>
      <w:r>
        <w:rPr>
          <w:spacing w:val="-11"/>
          <w:sz w:val="18"/>
          <w:szCs w:val="18"/>
          <w:lang w:val="es-ES_tradnl"/>
        </w:rPr>
        <w:t xml:space="preserve">, no obedece a los requisitos </w:t>
      </w:r>
      <w:r>
        <w:rPr>
          <w:sz w:val="18"/>
          <w:szCs w:val="18"/>
          <w:lang w:val="es-ES_tradnl"/>
        </w:rPr>
        <w:t xml:space="preserve">de </w:t>
      </w:r>
      <w:r>
        <w:rPr>
          <w:b/>
          <w:bCs/>
          <w:sz w:val="18"/>
          <w:szCs w:val="18"/>
          <w:lang w:val="es-ES_tradnl"/>
        </w:rPr>
        <w:t xml:space="preserve">razonabilidad </w:t>
      </w:r>
      <w:r>
        <w:rPr>
          <w:sz w:val="18"/>
          <w:szCs w:val="18"/>
          <w:lang w:val="es-ES_tradnl"/>
        </w:rPr>
        <w:t xml:space="preserve">y </w:t>
      </w:r>
      <w:r>
        <w:rPr>
          <w:b/>
          <w:bCs/>
          <w:sz w:val="18"/>
          <w:szCs w:val="18"/>
          <w:lang w:val="es-ES_tradnl"/>
        </w:rPr>
        <w:t>l</w:t>
      </w:r>
      <w:r>
        <w:rPr>
          <w:rFonts w:cs="Times New Roman"/>
          <w:b/>
          <w:bCs/>
          <w:sz w:val="18"/>
          <w:szCs w:val="18"/>
          <w:lang w:val="es-ES_tradnl"/>
        </w:rPr>
        <w:t>ó</w:t>
      </w:r>
      <w:r>
        <w:rPr>
          <w:b/>
          <w:bCs/>
          <w:sz w:val="18"/>
          <w:szCs w:val="18"/>
          <w:lang w:val="es-ES_tradnl"/>
        </w:rPr>
        <w:t>gica</w:t>
      </w:r>
      <w:r>
        <w:rPr>
          <w:sz w:val="18"/>
          <w:szCs w:val="18"/>
          <w:lang w:val="es-ES_tradnl"/>
        </w:rPr>
        <w:t>.</w:t>
      </w:r>
    </w:p>
    <w:p w14:paraId="4F67B2DC" w14:textId="77777777" w:rsidR="00591D54" w:rsidRDefault="00591D54">
      <w:pPr>
        <w:shd w:val="clear" w:color="auto" w:fill="FFFFFF"/>
        <w:spacing w:before="206" w:line="226" w:lineRule="exact"/>
        <w:ind w:right="5"/>
        <w:jc w:val="both"/>
      </w:pPr>
      <w:r>
        <w:rPr>
          <w:spacing w:val="-8"/>
          <w:sz w:val="18"/>
          <w:szCs w:val="18"/>
          <w:lang w:val="es-ES_tradnl"/>
        </w:rPr>
        <w:t xml:space="preserve">Por las razones expuestas, este Organismo determina que la sentencia impugnada no se encuentra debidamente </w:t>
      </w:r>
      <w:r>
        <w:rPr>
          <w:spacing w:val="-5"/>
          <w:sz w:val="18"/>
          <w:szCs w:val="18"/>
          <w:lang w:val="es-ES_tradnl"/>
        </w:rPr>
        <w:t>motivada, vulner</w:t>
      </w:r>
      <w:r>
        <w:rPr>
          <w:rFonts w:cs="Times New Roman"/>
          <w:spacing w:val="-5"/>
          <w:sz w:val="18"/>
          <w:szCs w:val="18"/>
          <w:lang w:val="es-ES_tradnl"/>
        </w:rPr>
        <w:t>á</w:t>
      </w:r>
      <w:r>
        <w:rPr>
          <w:spacing w:val="-5"/>
          <w:sz w:val="18"/>
          <w:szCs w:val="18"/>
          <w:lang w:val="es-ES_tradnl"/>
        </w:rPr>
        <w:t xml:space="preserve">ndose de esta manera el derecho al </w:t>
      </w:r>
      <w:r>
        <w:rPr>
          <w:sz w:val="18"/>
          <w:szCs w:val="18"/>
          <w:lang w:val="es-ES_tradnl"/>
        </w:rPr>
        <w:t>debido proceso.</w:t>
      </w:r>
    </w:p>
    <w:p w14:paraId="4F67B2DD" w14:textId="77777777" w:rsidR="00591D54" w:rsidRDefault="00591D54">
      <w:pPr>
        <w:shd w:val="clear" w:color="auto" w:fill="FFFFFF"/>
        <w:spacing w:before="202"/>
        <w:ind w:right="5"/>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B2DE" w14:textId="77777777" w:rsidR="00591D54" w:rsidRDefault="00591D54">
      <w:pPr>
        <w:shd w:val="clear" w:color="auto" w:fill="FFFFFF"/>
        <w:spacing w:before="202" w:line="226" w:lineRule="exact"/>
        <w:ind w:right="5"/>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5"/>
          <w:sz w:val="18"/>
          <w:szCs w:val="18"/>
          <w:lang w:val="es-ES_tradnl"/>
        </w:rPr>
        <w:t>constitucional y por mandato de la Constituci</w:t>
      </w:r>
      <w:r>
        <w:rPr>
          <w:rFonts w:cs="Times New Roman"/>
          <w:spacing w:val="-5"/>
          <w:sz w:val="18"/>
          <w:szCs w:val="18"/>
          <w:lang w:val="es-ES_tradnl"/>
        </w:rPr>
        <w:t>ó</w:t>
      </w:r>
      <w:r>
        <w:rPr>
          <w:spacing w:val="-5"/>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 xml:space="preserve">blica del Ecuador, el Pleno de la Corte Constitucional </w:t>
      </w:r>
      <w:r>
        <w:rPr>
          <w:sz w:val="18"/>
          <w:szCs w:val="18"/>
          <w:lang w:val="es-ES_tradnl"/>
        </w:rPr>
        <w:t>expide la siguiente:</w:t>
      </w:r>
    </w:p>
    <w:p w14:paraId="4F67B2DF" w14:textId="77777777" w:rsidR="00591D54" w:rsidRDefault="00591D54">
      <w:pPr>
        <w:shd w:val="clear" w:color="auto" w:fill="FFFFFF"/>
        <w:spacing w:before="202"/>
        <w:ind w:left="5"/>
        <w:jc w:val="center"/>
      </w:pPr>
      <w:r>
        <w:rPr>
          <w:b/>
          <w:bCs/>
          <w:sz w:val="18"/>
          <w:szCs w:val="18"/>
          <w:lang w:val="es-ES_tradnl"/>
        </w:rPr>
        <w:t>SENTENCIA</w:t>
      </w:r>
    </w:p>
    <w:p w14:paraId="4F67B2E0" w14:textId="77777777" w:rsidR="00591D54" w:rsidRDefault="00591D54" w:rsidP="00251195">
      <w:pPr>
        <w:numPr>
          <w:ilvl w:val="0"/>
          <w:numId w:val="92"/>
        </w:numPr>
        <w:shd w:val="clear" w:color="auto" w:fill="FFFFFF"/>
        <w:tabs>
          <w:tab w:val="left" w:pos="566"/>
        </w:tabs>
        <w:spacing w:before="202" w:line="226" w:lineRule="exact"/>
        <w:ind w:left="566" w:hanging="283"/>
        <w:jc w:val="both"/>
        <w:rPr>
          <w:spacing w:val="-11"/>
          <w:sz w:val="18"/>
          <w:szCs w:val="18"/>
          <w:lang w:val="es-ES_tradnl"/>
        </w:rPr>
      </w:pPr>
      <w:r>
        <w:rPr>
          <w:sz w:val="18"/>
          <w:szCs w:val="18"/>
          <w:lang w:val="es-ES_tradnl"/>
        </w:rPr>
        <w:t>Declarar la vulneraci</w:t>
      </w:r>
      <w:r>
        <w:rPr>
          <w:rFonts w:cs="Times New Roman"/>
          <w:sz w:val="18"/>
          <w:szCs w:val="18"/>
          <w:lang w:val="es-ES_tradnl"/>
        </w:rPr>
        <w:t>ó</w:t>
      </w:r>
      <w:r>
        <w:rPr>
          <w:sz w:val="18"/>
          <w:szCs w:val="18"/>
          <w:lang w:val="es-ES_tradnl"/>
        </w:rPr>
        <w:t xml:space="preserve">n de los derechos </w:t>
      </w:r>
      <w:r>
        <w:rPr>
          <w:spacing w:val="-9"/>
          <w:sz w:val="18"/>
          <w:szCs w:val="18"/>
          <w:lang w:val="es-ES_tradnl"/>
        </w:rPr>
        <w:t>constitucionales a la seguridad jur</w:t>
      </w:r>
      <w:r>
        <w:rPr>
          <w:rFonts w:cs="Times New Roman"/>
          <w:spacing w:val="-9"/>
          <w:sz w:val="18"/>
          <w:szCs w:val="18"/>
          <w:lang w:val="es-ES_tradnl"/>
        </w:rPr>
        <w:t>í</w:t>
      </w:r>
      <w:r>
        <w:rPr>
          <w:spacing w:val="-9"/>
          <w:sz w:val="18"/>
          <w:szCs w:val="18"/>
          <w:lang w:val="es-ES_tradnl"/>
        </w:rPr>
        <w:t xml:space="preserve">dica contemplada </w:t>
      </w:r>
      <w:r>
        <w:rPr>
          <w:spacing w:val="-7"/>
          <w:sz w:val="18"/>
          <w:szCs w:val="18"/>
          <w:lang w:val="es-ES_tradnl"/>
        </w:rPr>
        <w:t>en el art</w:t>
      </w:r>
      <w:r>
        <w:rPr>
          <w:rFonts w:cs="Times New Roman"/>
          <w:spacing w:val="-7"/>
          <w:sz w:val="18"/>
          <w:szCs w:val="18"/>
          <w:lang w:val="es-ES_tradnl"/>
        </w:rPr>
        <w:t>í</w:t>
      </w:r>
      <w:r>
        <w:rPr>
          <w:spacing w:val="-7"/>
          <w:sz w:val="18"/>
          <w:szCs w:val="18"/>
          <w:lang w:val="es-ES_tradnl"/>
        </w:rPr>
        <w:t>culo 82 y al debido proceso en la garant</w:t>
      </w:r>
      <w:r>
        <w:rPr>
          <w:rFonts w:cs="Times New Roman"/>
          <w:spacing w:val="-7"/>
          <w:sz w:val="18"/>
          <w:szCs w:val="18"/>
          <w:lang w:val="es-ES_tradnl"/>
        </w:rPr>
        <w:t>í</w:t>
      </w:r>
      <w:r>
        <w:rPr>
          <w:spacing w:val="-7"/>
          <w:sz w:val="18"/>
          <w:szCs w:val="18"/>
          <w:lang w:val="es-ES_tradnl"/>
        </w:rPr>
        <w:t>a de la motivaci</w:t>
      </w:r>
      <w:r>
        <w:rPr>
          <w:rFonts w:cs="Times New Roman"/>
          <w:spacing w:val="-7"/>
          <w:sz w:val="18"/>
          <w:szCs w:val="18"/>
          <w:lang w:val="es-ES_tradnl"/>
        </w:rPr>
        <w:t>ó</w:t>
      </w:r>
      <w:r>
        <w:rPr>
          <w:spacing w:val="-7"/>
          <w:sz w:val="18"/>
          <w:szCs w:val="18"/>
          <w:lang w:val="es-ES_tradnl"/>
        </w:rPr>
        <w:t>n, prevista en el art</w:t>
      </w:r>
      <w:r>
        <w:rPr>
          <w:rFonts w:cs="Times New Roman"/>
          <w:spacing w:val="-7"/>
          <w:sz w:val="18"/>
          <w:szCs w:val="18"/>
          <w:lang w:val="es-ES_tradnl"/>
        </w:rPr>
        <w:t>í</w:t>
      </w:r>
      <w:r>
        <w:rPr>
          <w:spacing w:val="-7"/>
          <w:sz w:val="18"/>
          <w:szCs w:val="18"/>
          <w:lang w:val="es-ES_tradnl"/>
        </w:rPr>
        <w:t xml:space="preserve">culo 76 numeral </w:t>
      </w:r>
      <w:r>
        <w:rPr>
          <w:spacing w:val="-5"/>
          <w:sz w:val="18"/>
          <w:szCs w:val="18"/>
          <w:lang w:val="es-ES_tradnl"/>
        </w:rPr>
        <w:t xml:space="preserve">7 literal </w:t>
      </w:r>
      <w:r>
        <w:rPr>
          <w:b/>
          <w:bCs/>
          <w:spacing w:val="-5"/>
          <w:sz w:val="18"/>
          <w:szCs w:val="18"/>
          <w:lang w:val="es-ES_tradnl"/>
        </w:rPr>
        <w:t xml:space="preserve">l </w:t>
      </w:r>
      <w:r>
        <w:rPr>
          <w:spacing w:val="-5"/>
          <w:sz w:val="18"/>
          <w:szCs w:val="18"/>
          <w:lang w:val="es-ES_tradnl"/>
        </w:rPr>
        <w:t>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blica.</w:t>
      </w:r>
    </w:p>
    <w:p w14:paraId="4F67B2E1" w14:textId="77777777" w:rsidR="00591D54" w:rsidRDefault="00591D54" w:rsidP="00251195">
      <w:pPr>
        <w:numPr>
          <w:ilvl w:val="0"/>
          <w:numId w:val="92"/>
        </w:numPr>
        <w:shd w:val="clear" w:color="auto" w:fill="FFFFFF"/>
        <w:tabs>
          <w:tab w:val="left" w:pos="566"/>
        </w:tabs>
        <w:spacing w:before="206" w:line="226" w:lineRule="exact"/>
        <w:ind w:left="566" w:hanging="283"/>
        <w:jc w:val="both"/>
        <w:rPr>
          <w:spacing w:val="-11"/>
          <w:sz w:val="18"/>
          <w:szCs w:val="18"/>
          <w:lang w:val="es-ES_tradnl"/>
        </w:rPr>
      </w:pPr>
      <w:r>
        <w:rPr>
          <w:spacing w:val="-5"/>
          <w:sz w:val="18"/>
          <w:szCs w:val="18"/>
          <w:lang w:val="es-ES_tradnl"/>
        </w:rPr>
        <w:t>Aceptar la acci</w:t>
      </w:r>
      <w:r>
        <w:rPr>
          <w:rFonts w:cs="Times New Roman"/>
          <w:spacing w:val="-5"/>
          <w:sz w:val="18"/>
          <w:szCs w:val="18"/>
          <w:lang w:val="es-ES_tradnl"/>
        </w:rPr>
        <w:t>ó</w:t>
      </w:r>
      <w:r>
        <w:rPr>
          <w:spacing w:val="-5"/>
          <w:sz w:val="18"/>
          <w:szCs w:val="18"/>
          <w:lang w:val="es-ES_tradnl"/>
        </w:rPr>
        <w:t>n extraordinaria de protecci</w:t>
      </w:r>
      <w:r>
        <w:rPr>
          <w:rFonts w:cs="Times New Roman"/>
          <w:spacing w:val="-5"/>
          <w:sz w:val="18"/>
          <w:szCs w:val="18"/>
          <w:lang w:val="es-ES_tradnl"/>
        </w:rPr>
        <w:t>ó</w:t>
      </w:r>
      <w:r>
        <w:rPr>
          <w:spacing w:val="-5"/>
          <w:sz w:val="18"/>
          <w:szCs w:val="18"/>
          <w:lang w:val="es-ES_tradnl"/>
        </w:rPr>
        <w:t xml:space="preserve">n </w:t>
      </w:r>
      <w:r>
        <w:rPr>
          <w:sz w:val="18"/>
          <w:szCs w:val="18"/>
          <w:lang w:val="es-ES_tradnl"/>
        </w:rPr>
        <w:t>presentada.</w:t>
      </w:r>
    </w:p>
    <w:p w14:paraId="4F67B2E2" w14:textId="77777777" w:rsidR="00591D54" w:rsidRDefault="00591D54" w:rsidP="00251195">
      <w:pPr>
        <w:numPr>
          <w:ilvl w:val="0"/>
          <w:numId w:val="92"/>
        </w:numPr>
        <w:shd w:val="clear" w:color="auto" w:fill="FFFFFF"/>
        <w:tabs>
          <w:tab w:val="left" w:pos="566"/>
        </w:tabs>
        <w:spacing w:before="206"/>
        <w:ind w:left="283"/>
        <w:rPr>
          <w:spacing w:val="-11"/>
          <w:sz w:val="18"/>
          <w:szCs w:val="18"/>
          <w:lang w:val="es-ES_tradnl"/>
        </w:rPr>
      </w:pPr>
      <w:r>
        <w:rPr>
          <w:spacing w:val="-8"/>
          <w:sz w:val="18"/>
          <w:szCs w:val="18"/>
          <w:lang w:val="es-ES_tradnl"/>
        </w:rPr>
        <w:t>Como medida de reparaci</w:t>
      </w:r>
      <w:r>
        <w:rPr>
          <w:rFonts w:cs="Times New Roman"/>
          <w:spacing w:val="-8"/>
          <w:sz w:val="18"/>
          <w:szCs w:val="18"/>
          <w:lang w:val="es-ES_tradnl"/>
        </w:rPr>
        <w:t>ó</w:t>
      </w:r>
      <w:r>
        <w:rPr>
          <w:spacing w:val="-8"/>
          <w:sz w:val="18"/>
          <w:szCs w:val="18"/>
          <w:lang w:val="es-ES_tradnl"/>
        </w:rPr>
        <w:t>n integral se dispone:</w:t>
      </w:r>
    </w:p>
    <w:p w14:paraId="4F67B2E3" w14:textId="77777777" w:rsidR="00591D54" w:rsidRDefault="00591D54">
      <w:pPr>
        <w:shd w:val="clear" w:color="auto" w:fill="FFFFFF"/>
        <w:spacing w:before="206" w:line="226" w:lineRule="exact"/>
        <w:ind w:left="850" w:hanging="283"/>
        <w:jc w:val="both"/>
      </w:pPr>
      <w:r>
        <w:rPr>
          <w:spacing w:val="-5"/>
          <w:sz w:val="18"/>
          <w:szCs w:val="18"/>
          <w:lang w:val="es-ES_tradnl"/>
        </w:rPr>
        <w:t xml:space="preserve">3.1. Dejar sin efecto la sentencia de la Sala </w:t>
      </w:r>
      <w:r>
        <w:rPr>
          <w:sz w:val="18"/>
          <w:szCs w:val="18"/>
          <w:lang w:val="es-ES_tradnl"/>
        </w:rPr>
        <w:t>Especializada de lo Laboral, Ni</w:t>
      </w:r>
      <w:r>
        <w:rPr>
          <w:rFonts w:cs="Times New Roman"/>
          <w:sz w:val="18"/>
          <w:szCs w:val="18"/>
          <w:lang w:val="es-ES_tradnl"/>
        </w:rPr>
        <w:t>ñ</w:t>
      </w:r>
      <w:r>
        <w:rPr>
          <w:sz w:val="18"/>
          <w:szCs w:val="18"/>
          <w:lang w:val="es-ES_tradnl"/>
        </w:rPr>
        <w:t xml:space="preserve">ez y </w:t>
      </w:r>
      <w:r>
        <w:rPr>
          <w:spacing w:val="-7"/>
          <w:sz w:val="18"/>
          <w:szCs w:val="18"/>
          <w:lang w:val="es-ES_tradnl"/>
        </w:rPr>
        <w:t xml:space="preserve">Adolescencia de la Corte Provincial de Justicia </w:t>
      </w:r>
      <w:r>
        <w:rPr>
          <w:spacing w:val="-8"/>
          <w:sz w:val="18"/>
          <w:szCs w:val="18"/>
          <w:lang w:val="es-ES_tradnl"/>
        </w:rPr>
        <w:t xml:space="preserve">de Loja del 28 de octubre de 2011, dentro de la </w:t>
      </w:r>
      <w:r>
        <w:rPr>
          <w:sz w:val="18"/>
          <w:szCs w:val="18"/>
          <w:lang w:val="es-ES_tradnl"/>
        </w:rPr>
        <w:t>acci</w:t>
      </w:r>
      <w:r>
        <w:rPr>
          <w:rFonts w:cs="Times New Roman"/>
          <w:sz w:val="18"/>
          <w:szCs w:val="18"/>
          <w:lang w:val="es-ES_tradnl"/>
        </w:rPr>
        <w:t>ó</w:t>
      </w:r>
      <w:r>
        <w:rPr>
          <w:sz w:val="18"/>
          <w:szCs w:val="18"/>
          <w:lang w:val="es-ES_tradnl"/>
        </w:rPr>
        <w:t>n de protecci</w:t>
      </w:r>
      <w:r>
        <w:rPr>
          <w:rFonts w:cs="Times New Roman"/>
          <w:sz w:val="18"/>
          <w:szCs w:val="18"/>
          <w:lang w:val="es-ES_tradnl"/>
        </w:rPr>
        <w:t>ó</w:t>
      </w:r>
      <w:r>
        <w:rPr>
          <w:sz w:val="18"/>
          <w:szCs w:val="18"/>
          <w:lang w:val="es-ES_tradnl"/>
        </w:rPr>
        <w:t>n N.</w:t>
      </w:r>
      <w:r>
        <w:rPr>
          <w:rFonts w:cs="Times New Roman"/>
          <w:sz w:val="18"/>
          <w:szCs w:val="18"/>
          <w:lang w:val="es-ES_tradnl"/>
        </w:rPr>
        <w:t>º</w:t>
      </w:r>
      <w:r>
        <w:rPr>
          <w:sz w:val="18"/>
          <w:szCs w:val="18"/>
          <w:lang w:val="es-ES_tradnl"/>
        </w:rPr>
        <w:t xml:space="preserve"> 674-11.</w:t>
      </w:r>
    </w:p>
    <w:p w14:paraId="4F67B2E4" w14:textId="77777777" w:rsidR="00591D54" w:rsidRDefault="00591D54" w:rsidP="00251195">
      <w:pPr>
        <w:numPr>
          <w:ilvl w:val="0"/>
          <w:numId w:val="93"/>
        </w:numPr>
        <w:shd w:val="clear" w:color="auto" w:fill="FFFFFF"/>
        <w:tabs>
          <w:tab w:val="left" w:pos="850"/>
        </w:tabs>
        <w:spacing w:before="206" w:line="226" w:lineRule="exact"/>
        <w:ind w:left="850" w:right="5" w:hanging="283"/>
        <w:jc w:val="both"/>
        <w:rPr>
          <w:spacing w:val="-11"/>
          <w:sz w:val="18"/>
          <w:szCs w:val="18"/>
          <w:lang w:val="es-ES_tradnl"/>
        </w:rPr>
      </w:pPr>
      <w:r>
        <w:rPr>
          <w:spacing w:val="-2"/>
          <w:sz w:val="18"/>
          <w:szCs w:val="18"/>
          <w:lang w:val="es-ES_tradnl"/>
        </w:rPr>
        <w:t xml:space="preserve">Retrotraer el proceso hasta el momento en </w:t>
      </w:r>
      <w:r>
        <w:rPr>
          <w:spacing w:val="-7"/>
          <w:sz w:val="18"/>
          <w:szCs w:val="18"/>
          <w:lang w:val="es-ES_tradnl"/>
        </w:rPr>
        <w:t>que se produjo la vulneraci</w:t>
      </w:r>
      <w:r>
        <w:rPr>
          <w:rFonts w:cs="Times New Roman"/>
          <w:spacing w:val="-7"/>
          <w:sz w:val="18"/>
          <w:szCs w:val="18"/>
          <w:lang w:val="es-ES_tradnl"/>
        </w:rPr>
        <w:t>ó</w:t>
      </w:r>
      <w:r>
        <w:rPr>
          <w:spacing w:val="-7"/>
          <w:sz w:val="18"/>
          <w:szCs w:val="18"/>
          <w:lang w:val="es-ES_tradnl"/>
        </w:rPr>
        <w:t xml:space="preserve">n de derechos </w:t>
      </w:r>
      <w:r>
        <w:rPr>
          <w:spacing w:val="-8"/>
          <w:sz w:val="18"/>
          <w:szCs w:val="18"/>
          <w:lang w:val="es-ES_tradnl"/>
        </w:rPr>
        <w:t xml:space="preserve">constitucionales, es decir, cuando fue expedida </w:t>
      </w:r>
      <w:r>
        <w:rPr>
          <w:sz w:val="18"/>
          <w:szCs w:val="18"/>
          <w:lang w:val="es-ES_tradnl"/>
        </w:rPr>
        <w:t>la sentencia impugnada.</w:t>
      </w:r>
    </w:p>
    <w:p w14:paraId="4F67B2E5" w14:textId="77777777" w:rsidR="00591D54" w:rsidRDefault="00591D54" w:rsidP="00251195">
      <w:pPr>
        <w:numPr>
          <w:ilvl w:val="0"/>
          <w:numId w:val="93"/>
        </w:numPr>
        <w:shd w:val="clear" w:color="auto" w:fill="FFFFFF"/>
        <w:tabs>
          <w:tab w:val="left" w:pos="850"/>
        </w:tabs>
        <w:spacing w:before="202" w:line="226" w:lineRule="exact"/>
        <w:ind w:left="850" w:hanging="283"/>
        <w:jc w:val="both"/>
        <w:rPr>
          <w:spacing w:val="-11"/>
          <w:sz w:val="18"/>
          <w:szCs w:val="18"/>
          <w:lang w:val="es-ES_tradnl"/>
        </w:rPr>
      </w:pPr>
      <w:r>
        <w:rPr>
          <w:spacing w:val="-8"/>
          <w:sz w:val="18"/>
          <w:szCs w:val="18"/>
          <w:lang w:val="es-ES_tradnl"/>
        </w:rPr>
        <w:t xml:space="preserve">Disponer que previo sorteo, se resuelva el caso </w:t>
      </w:r>
      <w:r>
        <w:rPr>
          <w:spacing w:val="-10"/>
          <w:sz w:val="18"/>
          <w:szCs w:val="18"/>
          <w:lang w:val="es-ES_tradnl"/>
        </w:rPr>
        <w:t>por una Sala distinta a la que emiti</w:t>
      </w:r>
      <w:r>
        <w:rPr>
          <w:rFonts w:cs="Times New Roman"/>
          <w:spacing w:val="-10"/>
          <w:sz w:val="18"/>
          <w:szCs w:val="18"/>
          <w:lang w:val="es-ES_tradnl"/>
        </w:rPr>
        <w:t>ó</w:t>
      </w:r>
      <w:r>
        <w:rPr>
          <w:spacing w:val="-10"/>
          <w:sz w:val="18"/>
          <w:szCs w:val="18"/>
          <w:lang w:val="es-ES_tradnl"/>
        </w:rPr>
        <w:t xml:space="preserve"> la sentencia, en observancia a las consideraciones expuestas </w:t>
      </w:r>
      <w:r>
        <w:rPr>
          <w:spacing w:val="-7"/>
          <w:sz w:val="18"/>
          <w:szCs w:val="18"/>
          <w:lang w:val="es-ES_tradnl"/>
        </w:rPr>
        <w:t>por la Corte Constitucional en el presente fallo.</w:t>
      </w:r>
    </w:p>
    <w:p w14:paraId="4F67B2E6" w14:textId="77777777" w:rsidR="00591D54" w:rsidRDefault="00591D54">
      <w:pPr>
        <w:shd w:val="clear" w:color="auto" w:fill="FFFFFF"/>
        <w:tabs>
          <w:tab w:val="left" w:pos="566"/>
        </w:tabs>
        <w:spacing w:before="29" w:line="442" w:lineRule="exact"/>
        <w:ind w:left="283"/>
      </w:pPr>
      <w:r>
        <w:rPr>
          <w:spacing w:val="-11"/>
          <w:sz w:val="18"/>
          <w:szCs w:val="18"/>
          <w:lang w:val="es-ES_tradnl"/>
        </w:rPr>
        <w:t>4.</w:t>
      </w:r>
      <w:r>
        <w:rPr>
          <w:sz w:val="18"/>
          <w:szCs w:val="18"/>
          <w:lang w:val="es-ES_tradnl"/>
        </w:rPr>
        <w:tab/>
      </w:r>
      <w:r>
        <w:rPr>
          <w:spacing w:val="-7"/>
          <w:sz w:val="18"/>
          <w:szCs w:val="18"/>
          <w:lang w:val="es-ES_tradnl"/>
        </w:rPr>
        <w:t>Notif</w:t>
      </w:r>
      <w:r>
        <w:rPr>
          <w:rFonts w:cs="Times New Roman"/>
          <w:spacing w:val="-7"/>
          <w:sz w:val="18"/>
          <w:szCs w:val="18"/>
          <w:lang w:val="es-ES_tradnl"/>
        </w:rPr>
        <w:t>í</w:t>
      </w:r>
      <w:r>
        <w:rPr>
          <w:spacing w:val="-7"/>
          <w:sz w:val="18"/>
          <w:szCs w:val="18"/>
          <w:lang w:val="es-ES_tradnl"/>
        </w:rPr>
        <w:t>quese, publ</w:t>
      </w:r>
      <w:r>
        <w:rPr>
          <w:rFonts w:cs="Times New Roman"/>
          <w:spacing w:val="-7"/>
          <w:sz w:val="18"/>
          <w:szCs w:val="18"/>
          <w:lang w:val="es-ES_tradnl"/>
        </w:rPr>
        <w:t>í</w:t>
      </w:r>
      <w:r>
        <w:rPr>
          <w:spacing w:val="-7"/>
          <w:sz w:val="18"/>
          <w:szCs w:val="18"/>
          <w:lang w:val="es-ES_tradnl"/>
        </w:rPr>
        <w:t>quese y c</w:t>
      </w:r>
      <w:r>
        <w:rPr>
          <w:rFonts w:cs="Times New Roman"/>
          <w:spacing w:val="-7"/>
          <w:sz w:val="18"/>
          <w:szCs w:val="18"/>
          <w:lang w:val="es-ES_tradnl"/>
        </w:rPr>
        <w:t>ú</w:t>
      </w:r>
      <w:r>
        <w:rPr>
          <w:spacing w:val="-7"/>
          <w:sz w:val="18"/>
          <w:szCs w:val="18"/>
          <w:lang w:val="es-ES_tradnl"/>
        </w:rPr>
        <w:t>mplase.</w:t>
      </w:r>
    </w:p>
    <w:p w14:paraId="4F67B2E7" w14:textId="77777777" w:rsidR="00591D54" w:rsidRDefault="00591D54">
      <w:pPr>
        <w:shd w:val="clear" w:color="auto" w:fill="FFFFFF"/>
        <w:spacing w:line="442" w:lineRule="exact"/>
      </w:pPr>
      <w:r>
        <w:rPr>
          <w:spacing w:val="-5"/>
          <w:sz w:val="18"/>
          <w:szCs w:val="18"/>
          <w:lang w:val="es-ES_tradnl"/>
        </w:rPr>
        <w:t xml:space="preserve">f.) Wendy Molina Andrade, </w:t>
      </w:r>
      <w:r>
        <w:rPr>
          <w:b/>
          <w:bCs/>
          <w:spacing w:val="-5"/>
          <w:sz w:val="18"/>
          <w:szCs w:val="18"/>
          <w:lang w:val="es-ES_tradnl"/>
        </w:rPr>
        <w:t>PRESIDENTA (E).</w:t>
      </w:r>
    </w:p>
    <w:p w14:paraId="4F67B2E8" w14:textId="77777777" w:rsidR="00591D54" w:rsidRDefault="00591D54">
      <w:pPr>
        <w:shd w:val="clear" w:color="auto" w:fill="FFFFFF"/>
        <w:spacing w:line="442" w:lineRule="exact"/>
      </w:pPr>
      <w:r>
        <w:rPr>
          <w:spacing w:val="-4"/>
          <w:sz w:val="18"/>
          <w:szCs w:val="18"/>
          <w:lang w:val="es-ES_tradnl"/>
        </w:rPr>
        <w:t xml:space="preserve">f.) Jaime Pozo Chamorro, </w:t>
      </w:r>
      <w:r>
        <w:rPr>
          <w:b/>
          <w:bCs/>
          <w:spacing w:val="-4"/>
          <w:sz w:val="18"/>
          <w:szCs w:val="18"/>
          <w:lang w:val="es-ES_tradnl"/>
        </w:rPr>
        <w:t>SECRETARIO GENERAL.</w:t>
      </w:r>
    </w:p>
    <w:p w14:paraId="4F67B2E9" w14:textId="77777777" w:rsidR="00591D54" w:rsidRDefault="00591D54">
      <w:pPr>
        <w:shd w:val="clear" w:color="auto" w:fill="FFFFFF"/>
        <w:spacing w:line="216" w:lineRule="exact"/>
        <w:jc w:val="both"/>
      </w:pPr>
      <w:r>
        <w:br w:type="column"/>
      </w:r>
      <w:r>
        <w:rPr>
          <w:b/>
          <w:bCs/>
          <w:spacing w:val="-7"/>
          <w:sz w:val="18"/>
          <w:szCs w:val="18"/>
          <w:lang w:val="es-ES_tradnl"/>
        </w:rPr>
        <w:t>Raz</w:t>
      </w:r>
      <w:r>
        <w:rPr>
          <w:rFonts w:cs="Times New Roman"/>
          <w:b/>
          <w:bCs/>
          <w:spacing w:val="-7"/>
          <w:sz w:val="18"/>
          <w:szCs w:val="18"/>
          <w:lang w:val="es-ES_tradnl"/>
        </w:rPr>
        <w:t>ó</w:t>
      </w:r>
      <w:r>
        <w:rPr>
          <w:b/>
          <w:bCs/>
          <w:spacing w:val="-7"/>
          <w:sz w:val="18"/>
          <w:szCs w:val="18"/>
          <w:lang w:val="es-ES_tradnl"/>
        </w:rPr>
        <w:t xml:space="preserve">n: </w:t>
      </w:r>
      <w:r>
        <w:rPr>
          <w:spacing w:val="-7"/>
          <w:sz w:val="18"/>
          <w:szCs w:val="18"/>
          <w:lang w:val="es-ES_tradnl"/>
        </w:rPr>
        <w:t xml:space="preserve">Siento por tal, que la sentencia que antecede fue </w:t>
      </w:r>
      <w:r>
        <w:rPr>
          <w:spacing w:val="-2"/>
          <w:sz w:val="18"/>
          <w:szCs w:val="18"/>
          <w:lang w:val="es-ES_tradnl"/>
        </w:rPr>
        <w:t xml:space="preserve">aprobada por el Pleno de la Corte Constitucional, con </w:t>
      </w:r>
      <w:r>
        <w:rPr>
          <w:spacing w:val="-10"/>
          <w:sz w:val="18"/>
          <w:szCs w:val="18"/>
          <w:lang w:val="es-ES_tradnl"/>
        </w:rPr>
        <w:t>siete votos de las se</w:t>
      </w:r>
      <w:r>
        <w:rPr>
          <w:rFonts w:cs="Times New Roman"/>
          <w:spacing w:val="-10"/>
          <w:sz w:val="18"/>
          <w:szCs w:val="18"/>
          <w:lang w:val="es-ES_tradnl"/>
        </w:rPr>
        <w:t>ñ</w:t>
      </w:r>
      <w:r>
        <w:rPr>
          <w:spacing w:val="-10"/>
          <w:sz w:val="18"/>
          <w:szCs w:val="18"/>
          <w:lang w:val="es-ES_tradnl"/>
        </w:rPr>
        <w:t>oras juezas y se</w:t>
      </w:r>
      <w:r>
        <w:rPr>
          <w:rFonts w:cs="Times New Roman"/>
          <w:spacing w:val="-10"/>
          <w:sz w:val="18"/>
          <w:szCs w:val="18"/>
          <w:lang w:val="es-ES_tradnl"/>
        </w:rPr>
        <w:t>ñ</w:t>
      </w:r>
      <w:r>
        <w:rPr>
          <w:spacing w:val="-10"/>
          <w:sz w:val="18"/>
          <w:szCs w:val="18"/>
          <w:lang w:val="es-ES_tradnl"/>
        </w:rPr>
        <w:t xml:space="preserve">ores jueces: Antonio </w:t>
      </w:r>
      <w:r>
        <w:rPr>
          <w:spacing w:val="-7"/>
          <w:sz w:val="18"/>
          <w:szCs w:val="18"/>
          <w:lang w:val="es-ES_tradnl"/>
        </w:rPr>
        <w:t>Gagliardo Loor, Marcelo Jaramillo Villa, Mar</w:t>
      </w:r>
      <w:r>
        <w:rPr>
          <w:rFonts w:cs="Times New Roman"/>
          <w:spacing w:val="-7"/>
          <w:sz w:val="18"/>
          <w:szCs w:val="18"/>
          <w:lang w:val="es-ES_tradnl"/>
        </w:rPr>
        <w:t>í</w:t>
      </w:r>
      <w:r>
        <w:rPr>
          <w:spacing w:val="-7"/>
          <w:sz w:val="18"/>
          <w:szCs w:val="18"/>
          <w:lang w:val="es-ES_tradnl"/>
        </w:rPr>
        <w:t xml:space="preserve">a del Carmen </w:t>
      </w:r>
      <w:r>
        <w:rPr>
          <w:spacing w:val="-5"/>
          <w:sz w:val="18"/>
          <w:szCs w:val="18"/>
          <w:lang w:val="es-ES_tradnl"/>
        </w:rPr>
        <w:t>Maldonado S</w:t>
      </w:r>
      <w:r>
        <w:rPr>
          <w:rFonts w:cs="Times New Roman"/>
          <w:spacing w:val="-5"/>
          <w:sz w:val="18"/>
          <w:szCs w:val="18"/>
          <w:lang w:val="es-ES_tradnl"/>
        </w:rPr>
        <w:t>á</w:t>
      </w:r>
      <w:r>
        <w:rPr>
          <w:spacing w:val="-5"/>
          <w:sz w:val="18"/>
          <w:szCs w:val="18"/>
          <w:lang w:val="es-ES_tradnl"/>
        </w:rPr>
        <w:t>nchez, Alfredo Ruiz Guzm</w:t>
      </w:r>
      <w:r>
        <w:rPr>
          <w:rFonts w:cs="Times New Roman"/>
          <w:spacing w:val="-5"/>
          <w:sz w:val="18"/>
          <w:szCs w:val="18"/>
          <w:lang w:val="es-ES_tradnl"/>
        </w:rPr>
        <w:t>á</w:t>
      </w:r>
      <w:r>
        <w:rPr>
          <w:spacing w:val="-5"/>
          <w:sz w:val="18"/>
          <w:szCs w:val="18"/>
          <w:lang w:val="es-ES_tradnl"/>
        </w:rPr>
        <w:t xml:space="preserve">n, Ruth Seni </w:t>
      </w:r>
      <w:r>
        <w:rPr>
          <w:spacing w:val="-8"/>
          <w:sz w:val="18"/>
          <w:szCs w:val="18"/>
          <w:lang w:val="es-ES_tradnl"/>
        </w:rPr>
        <w:t xml:space="preserve">Pinoargote, Manuel Viteri Olvera y Wendy Molina Andrade, </w:t>
      </w:r>
      <w:r>
        <w:rPr>
          <w:spacing w:val="-9"/>
          <w:sz w:val="18"/>
          <w:szCs w:val="18"/>
          <w:lang w:val="es-ES_tradnl"/>
        </w:rPr>
        <w:t>sin contar con la presencia de los jueces Tatiana Orde</w:t>
      </w:r>
      <w:r>
        <w:rPr>
          <w:rFonts w:cs="Times New Roman"/>
          <w:spacing w:val="-9"/>
          <w:sz w:val="18"/>
          <w:szCs w:val="18"/>
          <w:lang w:val="es-ES_tradnl"/>
        </w:rPr>
        <w:t>ñ</w:t>
      </w:r>
      <w:r>
        <w:rPr>
          <w:spacing w:val="-9"/>
          <w:sz w:val="18"/>
          <w:szCs w:val="18"/>
          <w:lang w:val="es-ES_tradnl"/>
        </w:rPr>
        <w:t>ana Sierra y Patricio Pazmi</w:t>
      </w:r>
      <w:r>
        <w:rPr>
          <w:rFonts w:cs="Times New Roman"/>
          <w:spacing w:val="-9"/>
          <w:sz w:val="18"/>
          <w:szCs w:val="18"/>
          <w:lang w:val="es-ES_tradnl"/>
        </w:rPr>
        <w:t>ñ</w:t>
      </w:r>
      <w:r>
        <w:rPr>
          <w:spacing w:val="-9"/>
          <w:sz w:val="18"/>
          <w:szCs w:val="18"/>
          <w:lang w:val="es-ES_tradnl"/>
        </w:rPr>
        <w:t>o Freire, en sesi</w:t>
      </w:r>
      <w:r>
        <w:rPr>
          <w:rFonts w:cs="Times New Roman"/>
          <w:spacing w:val="-9"/>
          <w:sz w:val="18"/>
          <w:szCs w:val="18"/>
          <w:lang w:val="es-ES_tradnl"/>
        </w:rPr>
        <w:t>ó</w:t>
      </w:r>
      <w:r>
        <w:rPr>
          <w:spacing w:val="-9"/>
          <w:sz w:val="18"/>
          <w:szCs w:val="18"/>
          <w:lang w:val="es-ES_tradnl"/>
        </w:rPr>
        <w:t xml:space="preserve">n del 12 de agosto </w:t>
      </w:r>
      <w:r>
        <w:rPr>
          <w:sz w:val="18"/>
          <w:szCs w:val="18"/>
          <w:lang w:val="es-ES_tradnl"/>
        </w:rPr>
        <w:t>del 2015. Lo certifico.</w:t>
      </w:r>
    </w:p>
    <w:p w14:paraId="4F67B2EA" w14:textId="77777777" w:rsidR="00591D54" w:rsidRDefault="00591D54">
      <w:pPr>
        <w:shd w:val="clear" w:color="auto" w:fill="FFFFFF"/>
        <w:spacing w:before="192"/>
      </w:pPr>
      <w:r>
        <w:rPr>
          <w:spacing w:val="-4"/>
          <w:sz w:val="18"/>
          <w:szCs w:val="18"/>
          <w:lang w:val="es-ES_tradnl"/>
        </w:rPr>
        <w:t xml:space="preserve">f.) Jaime Pozo Chamorro, </w:t>
      </w:r>
      <w:r>
        <w:rPr>
          <w:b/>
          <w:bCs/>
          <w:spacing w:val="-4"/>
          <w:sz w:val="18"/>
          <w:szCs w:val="18"/>
          <w:lang w:val="es-ES_tradnl"/>
        </w:rPr>
        <w:t>SECRETARIO GENERAL.</w:t>
      </w:r>
    </w:p>
    <w:p w14:paraId="4F67B2EB" w14:textId="77777777" w:rsidR="00591D54" w:rsidRDefault="00591D54">
      <w:pPr>
        <w:shd w:val="clear" w:color="auto" w:fill="FFFFFF"/>
        <w:spacing w:before="192"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2EC" w14:textId="77777777" w:rsidR="00591D54" w:rsidRDefault="00591D54">
      <w:pPr>
        <w:shd w:val="clear" w:color="auto" w:fill="FFFFFF"/>
        <w:spacing w:before="192"/>
      </w:pPr>
      <w:r>
        <w:rPr>
          <w:b/>
          <w:bCs/>
          <w:spacing w:val="-5"/>
          <w:sz w:val="18"/>
          <w:szCs w:val="18"/>
          <w:u w:val="single"/>
          <w:lang w:val="es-ES_tradnl"/>
        </w:rPr>
        <w:t>CASO Nro. 0087-12-EP</w:t>
      </w:r>
    </w:p>
    <w:p w14:paraId="4F67B2ED" w14:textId="77777777" w:rsidR="00591D54" w:rsidRDefault="00591D54">
      <w:pPr>
        <w:shd w:val="clear" w:color="auto" w:fill="FFFFFF"/>
        <w:spacing w:before="192" w:line="216" w:lineRule="exact"/>
        <w:jc w:val="both"/>
      </w:pPr>
      <w:r>
        <w:rPr>
          <w:b/>
          <w:bCs/>
          <w:spacing w:val="-4"/>
          <w:sz w:val="18"/>
          <w:szCs w:val="18"/>
          <w:lang w:val="es-ES_tradnl"/>
        </w:rPr>
        <w:t>RAZ</w:t>
      </w:r>
      <w:r>
        <w:rPr>
          <w:rFonts w:cs="Times New Roman"/>
          <w:b/>
          <w:bCs/>
          <w:spacing w:val="-4"/>
          <w:sz w:val="18"/>
          <w:szCs w:val="18"/>
          <w:lang w:val="es-ES_tradnl"/>
        </w:rPr>
        <w:t>Ó</w:t>
      </w:r>
      <w:r>
        <w:rPr>
          <w:b/>
          <w:bCs/>
          <w:spacing w:val="-4"/>
          <w:sz w:val="18"/>
          <w:szCs w:val="18"/>
          <w:lang w:val="es-ES_tradnl"/>
        </w:rPr>
        <w:t xml:space="preserve">N.- </w:t>
      </w:r>
      <w:r>
        <w:rPr>
          <w:spacing w:val="-4"/>
          <w:sz w:val="18"/>
          <w:szCs w:val="18"/>
          <w:lang w:val="es-ES_tradnl"/>
        </w:rPr>
        <w:t xml:space="preserve">Siento por tal, que la Jueza Wendy Molina </w:t>
      </w:r>
      <w:r>
        <w:rPr>
          <w:spacing w:val="-7"/>
          <w:sz w:val="18"/>
          <w:szCs w:val="18"/>
          <w:lang w:val="es-ES_tradnl"/>
        </w:rPr>
        <w:t>Andrade, suscribi</w:t>
      </w:r>
      <w:r>
        <w:rPr>
          <w:rFonts w:cs="Times New Roman"/>
          <w:spacing w:val="-7"/>
          <w:sz w:val="18"/>
          <w:szCs w:val="18"/>
          <w:lang w:val="es-ES_tradnl"/>
        </w:rPr>
        <w:t>ó</w:t>
      </w:r>
      <w:r>
        <w:rPr>
          <w:spacing w:val="-7"/>
          <w:sz w:val="18"/>
          <w:szCs w:val="18"/>
          <w:lang w:val="es-ES_tradnl"/>
        </w:rPr>
        <w:t xml:space="preserve"> la presente sentencia el d</w:t>
      </w:r>
      <w:r>
        <w:rPr>
          <w:rFonts w:cs="Times New Roman"/>
          <w:spacing w:val="-7"/>
          <w:sz w:val="18"/>
          <w:szCs w:val="18"/>
          <w:lang w:val="es-ES_tradnl"/>
        </w:rPr>
        <w:t>í</w:t>
      </w:r>
      <w:r>
        <w:rPr>
          <w:spacing w:val="-7"/>
          <w:sz w:val="18"/>
          <w:szCs w:val="18"/>
          <w:lang w:val="es-ES_tradnl"/>
        </w:rPr>
        <w:t xml:space="preserve">a martes 01 </w:t>
      </w:r>
      <w:r>
        <w:rPr>
          <w:spacing w:val="-8"/>
          <w:sz w:val="18"/>
          <w:szCs w:val="18"/>
          <w:lang w:val="es-ES_tradnl"/>
        </w:rPr>
        <w:t xml:space="preserve">de septiembre del 2015, en calidad de presidenta (e) de la </w:t>
      </w:r>
      <w:r>
        <w:rPr>
          <w:spacing w:val="-7"/>
          <w:sz w:val="18"/>
          <w:szCs w:val="18"/>
          <w:lang w:val="es-ES_tradnl"/>
        </w:rPr>
        <w:t>Corte Constitucional, al momento de expedirse la misma.-</w:t>
      </w:r>
      <w:r>
        <w:rPr>
          <w:sz w:val="18"/>
          <w:szCs w:val="18"/>
          <w:lang w:val="es-ES_tradnl"/>
        </w:rPr>
        <w:t>Lo certifico.</w:t>
      </w:r>
    </w:p>
    <w:p w14:paraId="4F67B2EE" w14:textId="77777777" w:rsidR="00591D54" w:rsidRDefault="00591D54">
      <w:pPr>
        <w:shd w:val="clear" w:color="auto" w:fill="FFFFFF"/>
        <w:spacing w:before="192"/>
      </w:pPr>
      <w:r>
        <w:rPr>
          <w:spacing w:val="-7"/>
          <w:sz w:val="18"/>
          <w:szCs w:val="18"/>
          <w:lang w:val="es-ES_tradnl"/>
        </w:rPr>
        <w:t xml:space="preserve">f.) Jaime Pozo Chamorro, </w:t>
      </w:r>
      <w:r>
        <w:rPr>
          <w:b/>
          <w:bCs/>
          <w:spacing w:val="-7"/>
          <w:sz w:val="18"/>
          <w:szCs w:val="18"/>
          <w:lang w:val="es-ES_tradnl"/>
        </w:rPr>
        <w:t>Secretario General.</w:t>
      </w:r>
    </w:p>
    <w:p w14:paraId="4F67B2EF" w14:textId="77777777" w:rsidR="00591D54" w:rsidRDefault="00591D54">
      <w:pPr>
        <w:shd w:val="clear" w:color="auto" w:fill="FFFFFF"/>
        <w:spacing w:before="187"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2F0" w14:textId="77777777" w:rsidR="00591D54" w:rsidRDefault="00591D54">
      <w:pPr>
        <w:shd w:val="clear" w:color="auto" w:fill="FFFFFF"/>
        <w:spacing w:before="1493" w:line="461" w:lineRule="exact"/>
      </w:pPr>
      <w:r>
        <w:rPr>
          <w:spacing w:val="-6"/>
          <w:sz w:val="18"/>
          <w:szCs w:val="18"/>
          <w:lang w:val="es-ES_tradnl"/>
        </w:rPr>
        <w:t>Quito, D. M., 12 de agosto del 2015</w:t>
      </w:r>
    </w:p>
    <w:p w14:paraId="4F67B2F1" w14:textId="77777777" w:rsidR="00591D54" w:rsidRDefault="00591D54">
      <w:pPr>
        <w:shd w:val="clear" w:color="auto" w:fill="FFFFFF"/>
        <w:spacing w:line="461" w:lineRule="exact"/>
        <w:ind w:left="850"/>
      </w:pPr>
      <w:r>
        <w:rPr>
          <w:b/>
          <w:bCs/>
          <w:spacing w:val="-3"/>
          <w:sz w:val="18"/>
          <w:szCs w:val="18"/>
          <w:u w:val="single"/>
          <w:lang w:val="es-ES_tradnl"/>
        </w:rPr>
        <w:t>SENTENCIA N.</w:t>
      </w:r>
      <w:r>
        <w:rPr>
          <w:rFonts w:cs="Times New Roman"/>
          <w:b/>
          <w:bCs/>
          <w:spacing w:val="-3"/>
          <w:sz w:val="18"/>
          <w:szCs w:val="18"/>
          <w:u w:val="single"/>
          <w:lang w:val="es-ES_tradnl"/>
        </w:rPr>
        <w:t>º</w:t>
      </w:r>
      <w:r>
        <w:rPr>
          <w:b/>
          <w:bCs/>
          <w:spacing w:val="-3"/>
          <w:sz w:val="18"/>
          <w:szCs w:val="18"/>
          <w:u w:val="single"/>
          <w:lang w:val="es-ES_tradnl"/>
        </w:rPr>
        <w:t xml:space="preserve"> 263-15-SEP-CC</w:t>
      </w:r>
    </w:p>
    <w:p w14:paraId="4F67B2F2" w14:textId="77777777" w:rsidR="00591D54" w:rsidRDefault="00591D54">
      <w:pPr>
        <w:shd w:val="clear" w:color="auto" w:fill="FFFFFF"/>
        <w:spacing w:line="461" w:lineRule="exact"/>
        <w:ind w:left="1272"/>
      </w:pPr>
      <w:r>
        <w:rPr>
          <w:b/>
          <w:bCs/>
          <w:spacing w:val="-5"/>
          <w:sz w:val="18"/>
          <w:szCs w:val="18"/>
          <w:u w:val="single"/>
          <w:lang w:val="es-ES_tradnl"/>
        </w:rPr>
        <w:t xml:space="preserve">CASO N. </w:t>
      </w:r>
      <w:r>
        <w:rPr>
          <w:rFonts w:cs="Times New Roman"/>
          <w:b/>
          <w:bCs/>
          <w:spacing w:val="-5"/>
          <w:sz w:val="18"/>
          <w:szCs w:val="18"/>
          <w:u w:val="single"/>
          <w:lang w:val="es-ES_tradnl"/>
        </w:rPr>
        <w:t>º</w:t>
      </w:r>
      <w:r>
        <w:rPr>
          <w:b/>
          <w:bCs/>
          <w:spacing w:val="-5"/>
          <w:sz w:val="18"/>
          <w:szCs w:val="18"/>
          <w:u w:val="single"/>
          <w:lang w:val="es-ES_tradnl"/>
        </w:rPr>
        <w:t xml:space="preserve"> 0721-14-EP</w:t>
      </w:r>
    </w:p>
    <w:p w14:paraId="4F67B2F3" w14:textId="77777777" w:rsidR="00591D54" w:rsidRDefault="00591D54">
      <w:pPr>
        <w:shd w:val="clear" w:color="auto" w:fill="FFFFFF"/>
        <w:spacing w:line="461" w:lineRule="exact"/>
        <w:ind w:left="298"/>
      </w:pPr>
      <w:r>
        <w:rPr>
          <w:b/>
          <w:bCs/>
          <w:sz w:val="18"/>
          <w:szCs w:val="18"/>
          <w:lang w:val="es-ES_tradnl"/>
        </w:rPr>
        <w:t>CORTE CONSTITUCIONAL DEL ECUADOR</w:t>
      </w:r>
    </w:p>
    <w:p w14:paraId="4F67B2F4" w14:textId="77777777" w:rsidR="00591D54" w:rsidRDefault="00591D54">
      <w:pPr>
        <w:shd w:val="clear" w:color="auto" w:fill="FFFFFF"/>
        <w:spacing w:line="461" w:lineRule="exact"/>
        <w:ind w:left="1339"/>
      </w:pPr>
      <w:r>
        <w:rPr>
          <w:b/>
          <w:bCs/>
          <w:sz w:val="18"/>
          <w:szCs w:val="18"/>
          <w:lang w:val="es-ES_tradnl"/>
        </w:rPr>
        <w:t>I. ANTECEDENTES</w:t>
      </w:r>
    </w:p>
    <w:p w14:paraId="4F67B2F5" w14:textId="77777777" w:rsidR="00591D54" w:rsidRDefault="00591D54">
      <w:pPr>
        <w:shd w:val="clear" w:color="auto" w:fill="FFFFFF"/>
        <w:spacing w:line="461" w:lineRule="exact"/>
      </w:pPr>
      <w:r>
        <w:rPr>
          <w:b/>
          <w:bCs/>
          <w:spacing w:val="-9"/>
          <w:sz w:val="18"/>
          <w:szCs w:val="18"/>
          <w:lang w:val="es-ES_tradnl"/>
        </w:rPr>
        <w:t>Resumen de admisibilidad</w:t>
      </w:r>
    </w:p>
    <w:p w14:paraId="4F67B2F6" w14:textId="77777777" w:rsidR="00591D54" w:rsidRDefault="00591D54">
      <w:pPr>
        <w:shd w:val="clear" w:color="auto" w:fill="FFFFFF"/>
        <w:spacing w:before="182" w:line="221" w:lineRule="exact"/>
        <w:jc w:val="both"/>
      </w:pPr>
      <w:r>
        <w:rPr>
          <w:spacing w:val="-5"/>
          <w:sz w:val="18"/>
          <w:szCs w:val="18"/>
          <w:lang w:val="es-ES_tradnl"/>
        </w:rPr>
        <w:t>Comparecen los se</w:t>
      </w:r>
      <w:r>
        <w:rPr>
          <w:rFonts w:cs="Times New Roman"/>
          <w:spacing w:val="-5"/>
          <w:sz w:val="18"/>
          <w:szCs w:val="18"/>
          <w:lang w:val="es-ES_tradnl"/>
        </w:rPr>
        <w:t>ñ</w:t>
      </w:r>
      <w:r>
        <w:rPr>
          <w:spacing w:val="-5"/>
          <w:sz w:val="18"/>
          <w:szCs w:val="18"/>
          <w:lang w:val="es-ES_tradnl"/>
        </w:rPr>
        <w:t xml:space="preserve">ores Wilfrido Euclides Montalvo </w:t>
      </w:r>
      <w:r>
        <w:rPr>
          <w:sz w:val="18"/>
          <w:szCs w:val="18"/>
          <w:lang w:val="es-ES_tradnl"/>
        </w:rPr>
        <w:t xml:space="preserve">Bustamante y Libertad Marlene Galarza Ortega, por </w:t>
      </w:r>
      <w:r>
        <w:rPr>
          <w:spacing w:val="-8"/>
          <w:sz w:val="18"/>
          <w:szCs w:val="18"/>
          <w:lang w:val="es-ES_tradnl"/>
        </w:rPr>
        <w:t xml:space="preserve">sus propios derechos y amparados en lo dispuesto en los </w:t>
      </w:r>
      <w:r>
        <w:rPr>
          <w:spacing w:val="-5"/>
          <w:sz w:val="18"/>
          <w:szCs w:val="18"/>
          <w:lang w:val="es-ES_tradnl"/>
        </w:rPr>
        <w:t>art</w:t>
      </w:r>
      <w:r>
        <w:rPr>
          <w:rFonts w:cs="Times New Roman"/>
          <w:spacing w:val="-5"/>
          <w:sz w:val="18"/>
          <w:szCs w:val="18"/>
          <w:lang w:val="es-ES_tradnl"/>
        </w:rPr>
        <w:t>í</w:t>
      </w:r>
      <w:r>
        <w:rPr>
          <w:spacing w:val="-5"/>
          <w:sz w:val="18"/>
          <w:szCs w:val="18"/>
          <w:lang w:val="es-ES_tradnl"/>
        </w:rPr>
        <w:t>culos 94 y 437 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 xml:space="preserve">blica y </w:t>
      </w:r>
      <w:r>
        <w:rPr>
          <w:spacing w:val="-4"/>
          <w:sz w:val="18"/>
          <w:szCs w:val="18"/>
          <w:lang w:val="es-ES_tradnl"/>
        </w:rPr>
        <w:t>presentan acci</w:t>
      </w:r>
      <w:r>
        <w:rPr>
          <w:rFonts w:cs="Times New Roman"/>
          <w:spacing w:val="-4"/>
          <w:sz w:val="18"/>
          <w:szCs w:val="18"/>
          <w:lang w:val="es-ES_tradnl"/>
        </w:rPr>
        <w:t>ó</w:t>
      </w:r>
      <w:r>
        <w:rPr>
          <w:spacing w:val="-4"/>
          <w:sz w:val="18"/>
          <w:szCs w:val="18"/>
          <w:lang w:val="es-ES_tradnl"/>
        </w:rPr>
        <w:t>n extraordinaria de protecci</w:t>
      </w:r>
      <w:r>
        <w:rPr>
          <w:rFonts w:cs="Times New Roman"/>
          <w:spacing w:val="-4"/>
          <w:sz w:val="18"/>
          <w:szCs w:val="18"/>
          <w:lang w:val="es-ES_tradnl"/>
        </w:rPr>
        <w:t>ó</w:t>
      </w:r>
      <w:r>
        <w:rPr>
          <w:spacing w:val="-4"/>
          <w:sz w:val="18"/>
          <w:szCs w:val="18"/>
          <w:lang w:val="es-ES_tradnl"/>
        </w:rPr>
        <w:t xml:space="preserve">n en contra </w:t>
      </w:r>
      <w:r>
        <w:rPr>
          <w:spacing w:val="-8"/>
          <w:sz w:val="18"/>
          <w:szCs w:val="18"/>
          <w:lang w:val="es-ES_tradnl"/>
        </w:rPr>
        <w:t xml:space="preserve">de la sentencia del 05 de diciembre de 2013, expedida por los jueces de la Sala de lo Laboral de la Corte Nacional de </w:t>
      </w:r>
      <w:r>
        <w:rPr>
          <w:sz w:val="18"/>
          <w:szCs w:val="18"/>
          <w:lang w:val="es-ES_tradnl"/>
        </w:rPr>
        <w:t>Justicia dentro del juicio N.</w:t>
      </w:r>
      <w:r>
        <w:rPr>
          <w:rFonts w:cs="Times New Roman"/>
          <w:sz w:val="18"/>
          <w:szCs w:val="18"/>
          <w:lang w:val="es-ES_tradnl"/>
        </w:rPr>
        <w:t>º</w:t>
      </w:r>
      <w:r>
        <w:rPr>
          <w:sz w:val="18"/>
          <w:szCs w:val="18"/>
          <w:lang w:val="es-ES_tradnl"/>
        </w:rPr>
        <w:t xml:space="preserve"> 1847-2012.</w:t>
      </w:r>
    </w:p>
    <w:p w14:paraId="4F67B2F7" w14:textId="77777777" w:rsidR="00591D54" w:rsidRDefault="00591D54">
      <w:pPr>
        <w:shd w:val="clear" w:color="auto" w:fill="FFFFFF"/>
        <w:spacing w:before="226" w:line="226" w:lineRule="exact"/>
        <w:jc w:val="both"/>
      </w:pPr>
      <w:r>
        <w:rPr>
          <w:spacing w:val="-7"/>
          <w:sz w:val="18"/>
          <w:szCs w:val="18"/>
          <w:lang w:val="es-ES_tradnl"/>
        </w:rPr>
        <w:t>El 12 de mayo del 2014, la Secretar</w:t>
      </w:r>
      <w:r>
        <w:rPr>
          <w:rFonts w:cs="Times New Roman"/>
          <w:spacing w:val="-7"/>
          <w:sz w:val="18"/>
          <w:szCs w:val="18"/>
          <w:lang w:val="es-ES_tradnl"/>
        </w:rPr>
        <w:t>í</w:t>
      </w:r>
      <w:r>
        <w:rPr>
          <w:spacing w:val="-7"/>
          <w:sz w:val="18"/>
          <w:szCs w:val="18"/>
          <w:lang w:val="es-ES_tradnl"/>
        </w:rPr>
        <w:t xml:space="preserve">a General de la Corte </w:t>
      </w:r>
      <w:r>
        <w:rPr>
          <w:spacing w:val="-3"/>
          <w:sz w:val="18"/>
          <w:szCs w:val="18"/>
          <w:lang w:val="es-ES_tradnl"/>
        </w:rPr>
        <w:t>Constitucional, de conformidad con lo establecido en el</w:t>
      </w:r>
    </w:p>
    <w:p w14:paraId="4F67B2F8" w14:textId="77777777" w:rsidR="00591D54" w:rsidRDefault="00591D54">
      <w:pPr>
        <w:shd w:val="clear" w:color="auto" w:fill="FFFFFF"/>
        <w:spacing w:before="226" w:line="226" w:lineRule="exact"/>
        <w:jc w:val="both"/>
        <w:sectPr w:rsidR="00591D54">
          <w:type w:val="continuous"/>
          <w:pgSz w:w="11909" w:h="16834"/>
          <w:pgMar w:top="1339" w:right="1309" w:bottom="360" w:left="1308" w:header="720" w:footer="720" w:gutter="0"/>
          <w:cols w:num="2" w:space="720" w:equalWidth="0">
            <w:col w:w="4305" w:space="682"/>
            <w:col w:w="4305"/>
          </w:cols>
          <w:noEndnote/>
        </w:sectPr>
      </w:pPr>
    </w:p>
    <w:p w14:paraId="4F67B2F9" w14:textId="77777777" w:rsidR="00591D54" w:rsidRDefault="00591D54">
      <w:pPr>
        <w:shd w:val="clear" w:color="auto" w:fill="FFFFFF"/>
        <w:tabs>
          <w:tab w:val="left" w:pos="4814"/>
        </w:tabs>
        <w:spacing w:after="235"/>
        <w:ind w:left="14"/>
      </w:pPr>
      <w:r>
        <w:rPr>
          <w:b/>
          <w:bCs/>
          <w:sz w:val="18"/>
          <w:szCs w:val="18"/>
          <w:lang w:val="es-ES_tradnl"/>
        </w:rPr>
        <w:t xml:space="preserve">190 -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2FA" w14:textId="77777777" w:rsidR="00591D54" w:rsidRDefault="00591D54">
      <w:pPr>
        <w:shd w:val="clear" w:color="auto" w:fill="FFFFFF"/>
        <w:tabs>
          <w:tab w:val="left" w:pos="4814"/>
        </w:tabs>
        <w:spacing w:after="235"/>
        <w:ind w:left="14"/>
        <w:sectPr w:rsidR="00591D54">
          <w:pgSz w:w="11909" w:h="16834"/>
          <w:pgMar w:top="1371" w:right="1309" w:bottom="360" w:left="1308" w:header="720" w:footer="720" w:gutter="0"/>
          <w:cols w:space="60"/>
          <w:noEndnote/>
        </w:sectPr>
      </w:pPr>
    </w:p>
    <w:p w14:paraId="4F67B2FB" w14:textId="77777777" w:rsidR="00591D54" w:rsidRDefault="00591D54">
      <w:pPr>
        <w:shd w:val="clear" w:color="auto" w:fill="FFFFFF"/>
        <w:spacing w:line="216" w:lineRule="exact"/>
        <w:jc w:val="both"/>
      </w:pPr>
      <w:r>
        <w:rPr>
          <w:spacing w:val="-9"/>
          <w:sz w:val="18"/>
          <w:szCs w:val="18"/>
          <w:lang w:val="es-ES_tradnl"/>
        </w:rPr>
        <w:t>art</w:t>
      </w:r>
      <w:r>
        <w:rPr>
          <w:rFonts w:cs="Times New Roman"/>
          <w:spacing w:val="-9"/>
          <w:sz w:val="18"/>
          <w:szCs w:val="18"/>
          <w:lang w:val="es-ES_tradnl"/>
        </w:rPr>
        <w:t>í</w:t>
      </w:r>
      <w:r>
        <w:rPr>
          <w:spacing w:val="-9"/>
          <w:sz w:val="18"/>
          <w:szCs w:val="18"/>
          <w:lang w:val="es-ES_tradnl"/>
        </w:rPr>
        <w:t>culo 8 del Reglamento de Sustanciaci</w:t>
      </w:r>
      <w:r>
        <w:rPr>
          <w:rFonts w:cs="Times New Roman"/>
          <w:spacing w:val="-9"/>
          <w:sz w:val="18"/>
          <w:szCs w:val="18"/>
          <w:lang w:val="es-ES_tradnl"/>
        </w:rPr>
        <w:t>ó</w:t>
      </w:r>
      <w:r>
        <w:rPr>
          <w:spacing w:val="-9"/>
          <w:sz w:val="18"/>
          <w:szCs w:val="18"/>
          <w:lang w:val="es-ES_tradnl"/>
        </w:rPr>
        <w:t xml:space="preserve">n de Procesos de </w:t>
      </w:r>
      <w:r>
        <w:rPr>
          <w:spacing w:val="-5"/>
          <w:sz w:val="18"/>
          <w:szCs w:val="18"/>
          <w:lang w:val="es-ES_tradnl"/>
        </w:rPr>
        <w:t>Competencia de la Corte Constitucional, certific</w:t>
      </w:r>
      <w:r>
        <w:rPr>
          <w:rFonts w:cs="Times New Roman"/>
          <w:spacing w:val="-5"/>
          <w:sz w:val="18"/>
          <w:szCs w:val="18"/>
          <w:lang w:val="es-ES_tradnl"/>
        </w:rPr>
        <w:t>ó</w:t>
      </w:r>
      <w:r>
        <w:rPr>
          <w:spacing w:val="-5"/>
          <w:sz w:val="18"/>
          <w:szCs w:val="18"/>
          <w:lang w:val="es-ES_tradnl"/>
        </w:rPr>
        <w:t xml:space="preserve"> que en </w:t>
      </w:r>
      <w:r>
        <w:rPr>
          <w:spacing w:val="-9"/>
          <w:sz w:val="18"/>
          <w:szCs w:val="18"/>
          <w:lang w:val="es-ES_tradnl"/>
        </w:rPr>
        <w:t>referencia a la acci</w:t>
      </w:r>
      <w:r>
        <w:rPr>
          <w:rFonts w:cs="Times New Roman"/>
          <w:spacing w:val="-9"/>
          <w:sz w:val="18"/>
          <w:szCs w:val="18"/>
          <w:lang w:val="es-ES_tradnl"/>
        </w:rPr>
        <w:t>ó</w:t>
      </w:r>
      <w:r>
        <w:rPr>
          <w:spacing w:val="-9"/>
          <w:sz w:val="18"/>
          <w:szCs w:val="18"/>
          <w:lang w:val="es-ES_tradnl"/>
        </w:rPr>
        <w:t>n N.</w:t>
      </w:r>
      <w:r>
        <w:rPr>
          <w:rFonts w:cs="Times New Roman"/>
          <w:spacing w:val="-9"/>
          <w:sz w:val="18"/>
          <w:szCs w:val="18"/>
          <w:lang w:val="es-ES_tradnl"/>
        </w:rPr>
        <w:t>º</w:t>
      </w:r>
      <w:r>
        <w:rPr>
          <w:spacing w:val="-9"/>
          <w:sz w:val="18"/>
          <w:szCs w:val="18"/>
          <w:lang w:val="es-ES_tradnl"/>
        </w:rPr>
        <w:t xml:space="preserve"> 0721-14-EP, no se ha presentado </w:t>
      </w:r>
      <w:r>
        <w:rPr>
          <w:spacing w:val="-6"/>
          <w:sz w:val="18"/>
          <w:szCs w:val="18"/>
          <w:lang w:val="es-ES_tradnl"/>
        </w:rPr>
        <w:t>otra demanda con identidad de objeto y acci</w:t>
      </w:r>
      <w:r>
        <w:rPr>
          <w:rFonts w:cs="Times New Roman"/>
          <w:spacing w:val="-6"/>
          <w:sz w:val="18"/>
          <w:szCs w:val="18"/>
          <w:lang w:val="es-ES_tradnl"/>
        </w:rPr>
        <w:t>ó</w:t>
      </w:r>
      <w:r>
        <w:rPr>
          <w:spacing w:val="-6"/>
          <w:sz w:val="18"/>
          <w:szCs w:val="18"/>
          <w:lang w:val="es-ES_tradnl"/>
        </w:rPr>
        <w:t>n.</w:t>
      </w:r>
    </w:p>
    <w:p w14:paraId="4F67B2FC" w14:textId="77777777" w:rsidR="00591D54" w:rsidRDefault="00591D54">
      <w:pPr>
        <w:shd w:val="clear" w:color="auto" w:fill="FFFFFF"/>
        <w:spacing w:before="197" w:line="216" w:lineRule="exact"/>
        <w:jc w:val="both"/>
      </w:pPr>
      <w:r>
        <w:rPr>
          <w:spacing w:val="-4"/>
          <w:sz w:val="18"/>
          <w:szCs w:val="18"/>
          <w:lang w:val="es-ES_tradnl"/>
        </w:rPr>
        <w:t>El 24 de junio de 2014, la Sala de Admisi</w:t>
      </w:r>
      <w:r>
        <w:rPr>
          <w:rFonts w:cs="Times New Roman"/>
          <w:spacing w:val="-4"/>
          <w:sz w:val="18"/>
          <w:szCs w:val="18"/>
          <w:lang w:val="es-ES_tradnl"/>
        </w:rPr>
        <w:t>ó</w:t>
      </w:r>
      <w:r>
        <w:rPr>
          <w:spacing w:val="-4"/>
          <w:sz w:val="18"/>
          <w:szCs w:val="18"/>
          <w:lang w:val="es-ES_tradnl"/>
        </w:rPr>
        <w:t xml:space="preserve">n de la Corte </w:t>
      </w:r>
      <w:r>
        <w:rPr>
          <w:spacing w:val="-7"/>
          <w:sz w:val="18"/>
          <w:szCs w:val="18"/>
          <w:lang w:val="es-ES_tradnl"/>
        </w:rPr>
        <w:t>Constitucional, conformada por los jueces constitucionales Tatiana Orde</w:t>
      </w:r>
      <w:r>
        <w:rPr>
          <w:rFonts w:cs="Times New Roman"/>
          <w:spacing w:val="-7"/>
          <w:sz w:val="18"/>
          <w:szCs w:val="18"/>
          <w:lang w:val="es-ES_tradnl"/>
        </w:rPr>
        <w:t>ñ</w:t>
      </w:r>
      <w:r>
        <w:rPr>
          <w:spacing w:val="-7"/>
          <w:sz w:val="18"/>
          <w:szCs w:val="18"/>
          <w:lang w:val="es-ES_tradnl"/>
        </w:rPr>
        <w:t xml:space="preserve">ana Sierra, Marcelo Jaramillo Villa y Manuel </w:t>
      </w:r>
      <w:r>
        <w:rPr>
          <w:spacing w:val="-6"/>
          <w:sz w:val="18"/>
          <w:szCs w:val="18"/>
          <w:lang w:val="es-ES_tradnl"/>
        </w:rPr>
        <w:t xml:space="preserve">Viteri Olvera en ejercicio de sus competencias, admitieron </w:t>
      </w:r>
      <w:r>
        <w:rPr>
          <w:spacing w:val="-5"/>
          <w:sz w:val="18"/>
          <w:szCs w:val="18"/>
          <w:lang w:val="es-ES_tradnl"/>
        </w:rPr>
        <w:t>a tr</w:t>
      </w:r>
      <w:r>
        <w:rPr>
          <w:rFonts w:cs="Times New Roman"/>
          <w:spacing w:val="-5"/>
          <w:sz w:val="18"/>
          <w:szCs w:val="18"/>
          <w:lang w:val="es-ES_tradnl"/>
        </w:rPr>
        <w:t>á</w:t>
      </w:r>
      <w:r>
        <w:rPr>
          <w:spacing w:val="-5"/>
          <w:sz w:val="18"/>
          <w:szCs w:val="18"/>
          <w:lang w:val="es-ES_tradnl"/>
        </w:rPr>
        <w:t>mite la acci</w:t>
      </w:r>
      <w:r>
        <w:rPr>
          <w:rFonts w:cs="Times New Roman"/>
          <w:spacing w:val="-5"/>
          <w:sz w:val="18"/>
          <w:szCs w:val="18"/>
          <w:lang w:val="es-ES_tradnl"/>
        </w:rPr>
        <w:t>ó</w:t>
      </w:r>
      <w:r>
        <w:rPr>
          <w:spacing w:val="-5"/>
          <w:sz w:val="18"/>
          <w:szCs w:val="18"/>
          <w:lang w:val="es-ES_tradnl"/>
        </w:rPr>
        <w:t>n extraordinaria de protecci</w:t>
      </w:r>
      <w:r>
        <w:rPr>
          <w:rFonts w:cs="Times New Roman"/>
          <w:spacing w:val="-5"/>
          <w:sz w:val="18"/>
          <w:szCs w:val="18"/>
          <w:lang w:val="es-ES_tradnl"/>
        </w:rPr>
        <w:t>ó</w:t>
      </w:r>
      <w:r>
        <w:rPr>
          <w:spacing w:val="-5"/>
          <w:sz w:val="18"/>
          <w:szCs w:val="18"/>
          <w:lang w:val="es-ES_tradnl"/>
        </w:rPr>
        <w:t>n N.</w:t>
      </w:r>
      <w:r>
        <w:rPr>
          <w:rFonts w:cs="Times New Roman"/>
          <w:spacing w:val="-5"/>
          <w:sz w:val="18"/>
          <w:szCs w:val="18"/>
          <w:lang w:val="es-ES_tradnl"/>
        </w:rPr>
        <w:t>º</w:t>
      </w:r>
      <w:r>
        <w:rPr>
          <w:spacing w:val="-5"/>
          <w:sz w:val="18"/>
          <w:szCs w:val="18"/>
          <w:lang w:val="es-ES_tradnl"/>
        </w:rPr>
        <w:t xml:space="preserve"> 0721-</w:t>
      </w:r>
      <w:r>
        <w:rPr>
          <w:sz w:val="18"/>
          <w:szCs w:val="18"/>
          <w:lang w:val="es-ES_tradnl"/>
        </w:rPr>
        <w:t>14-EP.</w:t>
      </w:r>
    </w:p>
    <w:p w14:paraId="4F67B2FD" w14:textId="77777777" w:rsidR="00591D54" w:rsidRDefault="00591D54">
      <w:pPr>
        <w:shd w:val="clear" w:color="auto" w:fill="FFFFFF"/>
        <w:spacing w:before="197" w:line="216" w:lineRule="exact"/>
        <w:jc w:val="both"/>
      </w:pPr>
      <w:r>
        <w:rPr>
          <w:spacing w:val="-3"/>
          <w:sz w:val="18"/>
          <w:szCs w:val="18"/>
          <w:lang w:val="es-ES_tradnl"/>
        </w:rPr>
        <w:t>El 09 de julio de 2014, mediante memorando N.</w:t>
      </w:r>
      <w:r>
        <w:rPr>
          <w:rFonts w:cs="Times New Roman"/>
          <w:spacing w:val="-3"/>
          <w:sz w:val="18"/>
          <w:szCs w:val="18"/>
          <w:lang w:val="es-ES_tradnl"/>
        </w:rPr>
        <w:t xml:space="preserve">º </w:t>
      </w:r>
      <w:r>
        <w:rPr>
          <w:sz w:val="18"/>
          <w:szCs w:val="18"/>
          <w:lang w:val="es-ES_tradnl"/>
        </w:rPr>
        <w:t xml:space="preserve">314-CCE-SG-SUS-2014, el secretario general de la </w:t>
      </w:r>
      <w:r>
        <w:rPr>
          <w:spacing w:val="-2"/>
          <w:sz w:val="18"/>
          <w:szCs w:val="18"/>
          <w:lang w:val="es-ES_tradnl"/>
        </w:rPr>
        <w:t xml:space="preserve">Corte Constitucional, de conformidad con el sorteo de </w:t>
      </w:r>
      <w:r>
        <w:rPr>
          <w:spacing w:val="-7"/>
          <w:sz w:val="18"/>
          <w:szCs w:val="18"/>
          <w:lang w:val="es-ES_tradnl"/>
        </w:rPr>
        <w:t>las causas realizado por el Pleno de Organismo en sesi</w:t>
      </w:r>
      <w:r>
        <w:rPr>
          <w:rFonts w:cs="Times New Roman"/>
          <w:spacing w:val="-7"/>
          <w:sz w:val="18"/>
          <w:szCs w:val="18"/>
          <w:lang w:val="es-ES_tradnl"/>
        </w:rPr>
        <w:t>ó</w:t>
      </w:r>
      <w:r>
        <w:rPr>
          <w:spacing w:val="-7"/>
          <w:sz w:val="18"/>
          <w:szCs w:val="18"/>
          <w:lang w:val="es-ES_tradnl"/>
        </w:rPr>
        <w:t xml:space="preserve">n </w:t>
      </w:r>
      <w:r>
        <w:rPr>
          <w:spacing w:val="-2"/>
          <w:sz w:val="18"/>
          <w:szCs w:val="18"/>
          <w:lang w:val="es-ES_tradnl"/>
        </w:rPr>
        <w:t>extraordinaria del 09 de julio de 2014, remiti</w:t>
      </w:r>
      <w:r>
        <w:rPr>
          <w:rFonts w:cs="Times New Roman"/>
          <w:spacing w:val="-2"/>
          <w:sz w:val="18"/>
          <w:szCs w:val="18"/>
          <w:lang w:val="es-ES_tradnl"/>
        </w:rPr>
        <w:t>ó</w:t>
      </w:r>
      <w:r>
        <w:rPr>
          <w:spacing w:val="-2"/>
          <w:sz w:val="18"/>
          <w:szCs w:val="18"/>
          <w:lang w:val="es-ES_tradnl"/>
        </w:rPr>
        <w:t xml:space="preserve"> al juez </w:t>
      </w:r>
      <w:r>
        <w:rPr>
          <w:spacing w:val="-3"/>
          <w:sz w:val="18"/>
          <w:szCs w:val="18"/>
          <w:lang w:val="es-ES_tradnl"/>
        </w:rPr>
        <w:t>constitucional Manuel Viteri Olvera, la causa N.</w:t>
      </w:r>
      <w:r>
        <w:rPr>
          <w:rFonts w:cs="Times New Roman"/>
          <w:spacing w:val="-3"/>
          <w:sz w:val="18"/>
          <w:szCs w:val="18"/>
          <w:lang w:val="es-ES_tradnl"/>
        </w:rPr>
        <w:t>º</w:t>
      </w:r>
      <w:r>
        <w:rPr>
          <w:spacing w:val="-3"/>
          <w:sz w:val="18"/>
          <w:szCs w:val="18"/>
          <w:lang w:val="es-ES_tradnl"/>
        </w:rPr>
        <w:t xml:space="preserve"> 0721-</w:t>
      </w:r>
      <w:r>
        <w:rPr>
          <w:spacing w:val="-7"/>
          <w:sz w:val="18"/>
          <w:szCs w:val="18"/>
          <w:lang w:val="es-ES_tradnl"/>
        </w:rPr>
        <w:t>14-EP, para la sustanciaci</w:t>
      </w:r>
      <w:r>
        <w:rPr>
          <w:rFonts w:cs="Times New Roman"/>
          <w:spacing w:val="-7"/>
          <w:sz w:val="18"/>
          <w:szCs w:val="18"/>
          <w:lang w:val="es-ES_tradnl"/>
        </w:rPr>
        <w:t>ó</w:t>
      </w:r>
      <w:r>
        <w:rPr>
          <w:spacing w:val="-7"/>
          <w:sz w:val="18"/>
          <w:szCs w:val="18"/>
          <w:lang w:val="es-ES_tradnl"/>
        </w:rPr>
        <w:t>n de la misma.</w:t>
      </w:r>
    </w:p>
    <w:p w14:paraId="4F67B2FE" w14:textId="77777777" w:rsidR="00591D54" w:rsidRDefault="00591D54">
      <w:pPr>
        <w:shd w:val="clear" w:color="auto" w:fill="FFFFFF"/>
        <w:spacing w:before="192" w:line="216" w:lineRule="exact"/>
        <w:jc w:val="both"/>
      </w:pPr>
      <w:r>
        <w:rPr>
          <w:spacing w:val="-4"/>
          <w:sz w:val="18"/>
          <w:szCs w:val="18"/>
          <w:lang w:val="es-ES_tradnl"/>
        </w:rPr>
        <w:t xml:space="preserve">El 14 de octubre de 2014, el juez constitucional Manuel </w:t>
      </w:r>
      <w:r>
        <w:rPr>
          <w:sz w:val="18"/>
          <w:szCs w:val="18"/>
          <w:lang w:val="es-ES_tradnl"/>
        </w:rPr>
        <w:t>Viteri Olvera en atenci</w:t>
      </w:r>
      <w:r>
        <w:rPr>
          <w:rFonts w:cs="Times New Roman"/>
          <w:sz w:val="18"/>
          <w:szCs w:val="18"/>
          <w:lang w:val="es-ES_tradnl"/>
        </w:rPr>
        <w:t>ó</w:t>
      </w:r>
      <w:r>
        <w:rPr>
          <w:sz w:val="18"/>
          <w:szCs w:val="18"/>
          <w:lang w:val="es-ES_tradnl"/>
        </w:rPr>
        <w:t xml:space="preserve">n al sorteo realizado por el </w:t>
      </w:r>
      <w:r>
        <w:rPr>
          <w:spacing w:val="-5"/>
          <w:sz w:val="18"/>
          <w:szCs w:val="18"/>
          <w:lang w:val="es-ES_tradnl"/>
        </w:rPr>
        <w:t>Pleno del Organismo, avoc</w:t>
      </w:r>
      <w:r>
        <w:rPr>
          <w:rFonts w:cs="Times New Roman"/>
          <w:spacing w:val="-5"/>
          <w:sz w:val="18"/>
          <w:szCs w:val="18"/>
          <w:lang w:val="es-ES_tradnl"/>
        </w:rPr>
        <w:t>ó</w:t>
      </w:r>
      <w:r>
        <w:rPr>
          <w:spacing w:val="-5"/>
          <w:sz w:val="18"/>
          <w:szCs w:val="18"/>
          <w:lang w:val="es-ES_tradnl"/>
        </w:rPr>
        <w:t xml:space="preserve"> conocimiento de la acci</w:t>
      </w:r>
      <w:r>
        <w:rPr>
          <w:rFonts w:cs="Times New Roman"/>
          <w:spacing w:val="-5"/>
          <w:sz w:val="18"/>
          <w:szCs w:val="18"/>
          <w:lang w:val="es-ES_tradnl"/>
        </w:rPr>
        <w:t>ó</w:t>
      </w:r>
      <w:r>
        <w:rPr>
          <w:spacing w:val="-5"/>
          <w:sz w:val="18"/>
          <w:szCs w:val="18"/>
          <w:lang w:val="es-ES_tradnl"/>
        </w:rPr>
        <w:t>n extraordinaria de protecci</w:t>
      </w:r>
      <w:r>
        <w:rPr>
          <w:rFonts w:cs="Times New Roman"/>
          <w:spacing w:val="-5"/>
          <w:sz w:val="18"/>
          <w:szCs w:val="18"/>
          <w:lang w:val="es-ES_tradnl"/>
        </w:rPr>
        <w:t>ó</w:t>
      </w:r>
      <w:r>
        <w:rPr>
          <w:spacing w:val="-5"/>
          <w:sz w:val="18"/>
          <w:szCs w:val="18"/>
          <w:lang w:val="es-ES_tradnl"/>
        </w:rPr>
        <w:t>n N.</w:t>
      </w:r>
      <w:r>
        <w:rPr>
          <w:rFonts w:cs="Times New Roman"/>
          <w:spacing w:val="-5"/>
          <w:sz w:val="18"/>
          <w:szCs w:val="18"/>
          <w:lang w:val="es-ES_tradnl"/>
        </w:rPr>
        <w:t>º</w:t>
      </w:r>
      <w:r>
        <w:rPr>
          <w:spacing w:val="-5"/>
          <w:sz w:val="18"/>
          <w:szCs w:val="18"/>
          <w:lang w:val="es-ES_tradnl"/>
        </w:rPr>
        <w:t xml:space="preserve"> 0721-14-EP.</w:t>
      </w:r>
    </w:p>
    <w:p w14:paraId="4F67B2FF" w14:textId="77777777" w:rsidR="00591D54" w:rsidRDefault="00591D54">
      <w:pPr>
        <w:shd w:val="clear" w:color="auto" w:fill="FFFFFF"/>
        <w:spacing w:before="192"/>
      </w:pPr>
      <w:r>
        <w:rPr>
          <w:b/>
          <w:bCs/>
          <w:spacing w:val="-9"/>
          <w:sz w:val="18"/>
          <w:szCs w:val="18"/>
          <w:lang w:val="es-ES_tradnl"/>
        </w:rPr>
        <w:t>De la demanda y sus argumentos</w:t>
      </w:r>
    </w:p>
    <w:p w14:paraId="4F67B300" w14:textId="77777777" w:rsidR="00591D54" w:rsidRDefault="00591D54">
      <w:pPr>
        <w:shd w:val="clear" w:color="auto" w:fill="FFFFFF"/>
        <w:spacing w:before="192" w:line="216" w:lineRule="exact"/>
        <w:jc w:val="both"/>
      </w:pPr>
      <w:r>
        <w:rPr>
          <w:sz w:val="18"/>
          <w:szCs w:val="18"/>
          <w:lang w:val="es-ES_tradnl"/>
        </w:rPr>
        <w:t>Los se</w:t>
      </w:r>
      <w:r>
        <w:rPr>
          <w:rFonts w:cs="Times New Roman"/>
          <w:sz w:val="18"/>
          <w:szCs w:val="18"/>
          <w:lang w:val="es-ES_tradnl"/>
        </w:rPr>
        <w:t>ñ</w:t>
      </w:r>
      <w:r>
        <w:rPr>
          <w:sz w:val="18"/>
          <w:szCs w:val="18"/>
          <w:lang w:val="es-ES_tradnl"/>
        </w:rPr>
        <w:t>ores Wilfrido Euclides Montalvo Bustamante y Libertad Marlene Galarza Ortega se</w:t>
      </w:r>
      <w:r>
        <w:rPr>
          <w:rFonts w:cs="Times New Roman"/>
          <w:sz w:val="18"/>
          <w:szCs w:val="18"/>
          <w:lang w:val="es-ES_tradnl"/>
        </w:rPr>
        <w:t>ñ</w:t>
      </w:r>
      <w:r>
        <w:rPr>
          <w:sz w:val="18"/>
          <w:szCs w:val="18"/>
          <w:lang w:val="es-ES_tradnl"/>
        </w:rPr>
        <w:t xml:space="preserve">alan que los </w:t>
      </w:r>
      <w:r>
        <w:rPr>
          <w:spacing w:val="-5"/>
          <w:sz w:val="18"/>
          <w:szCs w:val="18"/>
          <w:lang w:val="es-ES_tradnl"/>
        </w:rPr>
        <w:t xml:space="preserve">jueces de la Sala de lo Laboral de la Corte Nacional de </w:t>
      </w:r>
      <w:r>
        <w:rPr>
          <w:spacing w:val="-4"/>
          <w:sz w:val="18"/>
          <w:szCs w:val="18"/>
          <w:lang w:val="es-ES_tradnl"/>
        </w:rPr>
        <w:t xml:space="preserve">Justicia, mediante la sentencia del 05 de diciembre de </w:t>
      </w:r>
      <w:r>
        <w:rPr>
          <w:spacing w:val="-5"/>
          <w:sz w:val="18"/>
          <w:szCs w:val="18"/>
          <w:lang w:val="es-ES_tradnl"/>
        </w:rPr>
        <w:t>2013, vulneraron sus derechos constitucionales, en vista de que se estableci</w:t>
      </w:r>
      <w:r>
        <w:rPr>
          <w:rFonts w:cs="Times New Roman"/>
          <w:spacing w:val="-5"/>
          <w:sz w:val="18"/>
          <w:szCs w:val="18"/>
          <w:lang w:val="es-ES_tradnl"/>
        </w:rPr>
        <w:t>ó</w:t>
      </w:r>
      <w:r>
        <w:rPr>
          <w:spacing w:val="-5"/>
          <w:sz w:val="18"/>
          <w:szCs w:val="18"/>
          <w:lang w:val="es-ES_tradnl"/>
        </w:rPr>
        <w:t xml:space="preserve"> una supuesta relaci</w:t>
      </w:r>
      <w:r>
        <w:rPr>
          <w:rFonts w:cs="Times New Roman"/>
          <w:spacing w:val="-5"/>
          <w:sz w:val="18"/>
          <w:szCs w:val="18"/>
          <w:lang w:val="es-ES_tradnl"/>
        </w:rPr>
        <w:t>ó</w:t>
      </w:r>
      <w:r>
        <w:rPr>
          <w:spacing w:val="-5"/>
          <w:sz w:val="18"/>
          <w:szCs w:val="18"/>
          <w:lang w:val="es-ES_tradnl"/>
        </w:rPr>
        <w:t xml:space="preserve">n laboral entre </w:t>
      </w:r>
      <w:r>
        <w:rPr>
          <w:spacing w:val="-4"/>
          <w:sz w:val="18"/>
          <w:szCs w:val="18"/>
          <w:lang w:val="es-ES_tradnl"/>
        </w:rPr>
        <w:t>el se</w:t>
      </w:r>
      <w:r>
        <w:rPr>
          <w:rFonts w:cs="Times New Roman"/>
          <w:spacing w:val="-4"/>
          <w:sz w:val="18"/>
          <w:szCs w:val="18"/>
          <w:lang w:val="es-ES_tradnl"/>
        </w:rPr>
        <w:t>ñ</w:t>
      </w:r>
      <w:r>
        <w:rPr>
          <w:spacing w:val="-4"/>
          <w:sz w:val="18"/>
          <w:szCs w:val="18"/>
          <w:lang w:val="es-ES_tradnl"/>
        </w:rPr>
        <w:t>or Miguel Antonio Yaure Riofr</w:t>
      </w:r>
      <w:r>
        <w:rPr>
          <w:rFonts w:cs="Times New Roman"/>
          <w:spacing w:val="-4"/>
          <w:sz w:val="18"/>
          <w:szCs w:val="18"/>
          <w:lang w:val="es-ES_tradnl"/>
        </w:rPr>
        <w:t>í</w:t>
      </w:r>
      <w:r>
        <w:rPr>
          <w:spacing w:val="-4"/>
          <w:sz w:val="18"/>
          <w:szCs w:val="18"/>
          <w:lang w:val="es-ES_tradnl"/>
        </w:rPr>
        <w:t xml:space="preserve">o y los accionantes, </w:t>
      </w:r>
      <w:r>
        <w:rPr>
          <w:spacing w:val="-1"/>
          <w:sz w:val="18"/>
          <w:szCs w:val="18"/>
          <w:lang w:val="es-ES_tradnl"/>
        </w:rPr>
        <w:t>imponi</w:t>
      </w:r>
      <w:r>
        <w:rPr>
          <w:rFonts w:cs="Times New Roman"/>
          <w:spacing w:val="-1"/>
          <w:sz w:val="18"/>
          <w:szCs w:val="18"/>
          <w:lang w:val="es-ES_tradnl"/>
        </w:rPr>
        <w:t>é</w:t>
      </w:r>
      <w:r>
        <w:rPr>
          <w:spacing w:val="-1"/>
          <w:sz w:val="18"/>
          <w:szCs w:val="18"/>
          <w:lang w:val="es-ES_tradnl"/>
        </w:rPr>
        <w:t xml:space="preserve">ndoles el pago de las indemnizaciones </w:t>
      </w:r>
      <w:r>
        <w:rPr>
          <w:spacing w:val="-3"/>
          <w:sz w:val="18"/>
          <w:szCs w:val="18"/>
          <w:lang w:val="es-ES_tradnl"/>
        </w:rPr>
        <w:t>correspondientes por despido intempestivo y m</w:t>
      </w:r>
      <w:r>
        <w:rPr>
          <w:rFonts w:cs="Times New Roman"/>
          <w:spacing w:val="-3"/>
          <w:sz w:val="18"/>
          <w:szCs w:val="18"/>
          <w:lang w:val="es-ES_tradnl"/>
        </w:rPr>
        <w:t>á</w:t>
      </w:r>
      <w:r>
        <w:rPr>
          <w:spacing w:val="-3"/>
          <w:sz w:val="18"/>
          <w:szCs w:val="18"/>
          <w:lang w:val="es-ES_tradnl"/>
        </w:rPr>
        <w:t xml:space="preserve">s </w:t>
      </w:r>
      <w:r>
        <w:rPr>
          <w:spacing w:val="-2"/>
          <w:sz w:val="18"/>
          <w:szCs w:val="18"/>
          <w:lang w:val="es-ES_tradnl"/>
        </w:rPr>
        <w:t xml:space="preserve">obligaciones laborales, sin que exista pruebas en el </w:t>
      </w:r>
      <w:r>
        <w:rPr>
          <w:sz w:val="18"/>
          <w:szCs w:val="18"/>
          <w:lang w:val="es-ES_tradnl"/>
        </w:rPr>
        <w:t>proceso que lleven a tal conclusi</w:t>
      </w:r>
      <w:r>
        <w:rPr>
          <w:rFonts w:cs="Times New Roman"/>
          <w:sz w:val="18"/>
          <w:szCs w:val="18"/>
          <w:lang w:val="es-ES_tradnl"/>
        </w:rPr>
        <w:t>ó</w:t>
      </w:r>
      <w:r>
        <w:rPr>
          <w:sz w:val="18"/>
          <w:szCs w:val="18"/>
          <w:lang w:val="es-ES_tradnl"/>
        </w:rPr>
        <w:t>n.</w:t>
      </w:r>
    </w:p>
    <w:p w14:paraId="4F67B301" w14:textId="77777777" w:rsidR="00591D54" w:rsidRDefault="00591D54">
      <w:pPr>
        <w:shd w:val="clear" w:color="auto" w:fill="FFFFFF"/>
        <w:spacing w:before="192" w:line="216" w:lineRule="exact"/>
        <w:jc w:val="both"/>
      </w:pPr>
      <w:r>
        <w:rPr>
          <w:spacing w:val="-7"/>
          <w:sz w:val="18"/>
          <w:szCs w:val="18"/>
          <w:lang w:val="es-ES_tradnl"/>
        </w:rPr>
        <w:t>Los accionantes se</w:t>
      </w:r>
      <w:r>
        <w:rPr>
          <w:rFonts w:cs="Times New Roman"/>
          <w:spacing w:val="-7"/>
          <w:sz w:val="18"/>
          <w:szCs w:val="18"/>
          <w:lang w:val="es-ES_tradnl"/>
        </w:rPr>
        <w:t>ñ</w:t>
      </w:r>
      <w:r>
        <w:rPr>
          <w:spacing w:val="-7"/>
          <w:sz w:val="18"/>
          <w:szCs w:val="18"/>
          <w:lang w:val="es-ES_tradnl"/>
        </w:rPr>
        <w:t>alan que los jueces de casaci</w:t>
      </w:r>
      <w:r>
        <w:rPr>
          <w:rFonts w:cs="Times New Roman"/>
          <w:spacing w:val="-7"/>
          <w:sz w:val="18"/>
          <w:szCs w:val="18"/>
          <w:lang w:val="es-ES_tradnl"/>
        </w:rPr>
        <w:t>ó</w:t>
      </w:r>
      <w:r>
        <w:rPr>
          <w:spacing w:val="-7"/>
          <w:sz w:val="18"/>
          <w:szCs w:val="18"/>
          <w:lang w:val="es-ES_tradnl"/>
        </w:rPr>
        <w:t>n, no apreciaron la prueba en su conjunto dentro del proceso, ni la confesi</w:t>
      </w:r>
      <w:r>
        <w:rPr>
          <w:rFonts w:cs="Times New Roman"/>
          <w:spacing w:val="-7"/>
          <w:sz w:val="18"/>
          <w:szCs w:val="18"/>
          <w:lang w:val="es-ES_tradnl"/>
        </w:rPr>
        <w:t>ó</w:t>
      </w:r>
      <w:r>
        <w:rPr>
          <w:spacing w:val="-7"/>
          <w:sz w:val="18"/>
          <w:szCs w:val="18"/>
          <w:lang w:val="es-ES_tradnl"/>
        </w:rPr>
        <w:t xml:space="preserve">n judicial rendida; de igual forma alegan: </w:t>
      </w:r>
      <w:r>
        <w:rPr>
          <w:rFonts w:cs="Times New Roman"/>
          <w:spacing w:val="-7"/>
          <w:sz w:val="18"/>
          <w:szCs w:val="18"/>
          <w:lang w:val="es-ES_tradnl"/>
        </w:rPr>
        <w:t>“¿</w:t>
      </w:r>
      <w:r>
        <w:rPr>
          <w:spacing w:val="-7"/>
          <w:sz w:val="18"/>
          <w:szCs w:val="18"/>
          <w:lang w:val="es-ES_tradnl"/>
        </w:rPr>
        <w:t>Qu</w:t>
      </w:r>
      <w:r>
        <w:rPr>
          <w:rFonts w:cs="Times New Roman"/>
          <w:spacing w:val="-7"/>
          <w:sz w:val="18"/>
          <w:szCs w:val="18"/>
          <w:lang w:val="es-ES_tradnl"/>
        </w:rPr>
        <w:t xml:space="preserve">é </w:t>
      </w:r>
      <w:r>
        <w:rPr>
          <w:spacing w:val="-4"/>
          <w:sz w:val="18"/>
          <w:szCs w:val="18"/>
          <w:lang w:val="es-ES_tradnl"/>
        </w:rPr>
        <w:t>relaci</w:t>
      </w:r>
      <w:r>
        <w:rPr>
          <w:rFonts w:cs="Times New Roman"/>
          <w:spacing w:val="-4"/>
          <w:sz w:val="18"/>
          <w:szCs w:val="18"/>
          <w:lang w:val="es-ES_tradnl"/>
        </w:rPr>
        <w:t>ó</w:t>
      </w:r>
      <w:r>
        <w:rPr>
          <w:spacing w:val="-4"/>
          <w:sz w:val="18"/>
          <w:szCs w:val="18"/>
          <w:lang w:val="es-ES_tradnl"/>
        </w:rPr>
        <w:t>n laboral puede existir?, cuando el se</w:t>
      </w:r>
      <w:r>
        <w:rPr>
          <w:rFonts w:cs="Times New Roman"/>
          <w:spacing w:val="-4"/>
          <w:sz w:val="18"/>
          <w:szCs w:val="18"/>
          <w:lang w:val="es-ES_tradnl"/>
        </w:rPr>
        <w:t>ñ</w:t>
      </w:r>
      <w:r>
        <w:rPr>
          <w:spacing w:val="-4"/>
          <w:sz w:val="18"/>
          <w:szCs w:val="18"/>
          <w:lang w:val="es-ES_tradnl"/>
        </w:rPr>
        <w:t xml:space="preserve">or Miguel </w:t>
      </w:r>
      <w:r>
        <w:rPr>
          <w:spacing w:val="-9"/>
          <w:sz w:val="18"/>
          <w:szCs w:val="18"/>
          <w:lang w:val="es-ES_tradnl"/>
        </w:rPr>
        <w:t>Yaure trabajaba en otros lugares adem</w:t>
      </w:r>
      <w:r>
        <w:rPr>
          <w:rFonts w:cs="Times New Roman"/>
          <w:spacing w:val="-9"/>
          <w:sz w:val="18"/>
          <w:szCs w:val="18"/>
          <w:lang w:val="es-ES_tradnl"/>
        </w:rPr>
        <w:t>á</w:t>
      </w:r>
      <w:r>
        <w:rPr>
          <w:spacing w:val="-9"/>
          <w:sz w:val="18"/>
          <w:szCs w:val="18"/>
          <w:lang w:val="es-ES_tradnl"/>
        </w:rPr>
        <w:t xml:space="preserve">s de la finca de los </w:t>
      </w:r>
      <w:r>
        <w:rPr>
          <w:spacing w:val="-7"/>
          <w:sz w:val="18"/>
          <w:szCs w:val="18"/>
          <w:lang w:val="es-ES_tradnl"/>
        </w:rPr>
        <w:t>accionantes, en donde realizaba trabajos espor</w:t>
      </w:r>
      <w:r>
        <w:rPr>
          <w:rFonts w:cs="Times New Roman"/>
          <w:spacing w:val="-7"/>
          <w:sz w:val="18"/>
          <w:szCs w:val="18"/>
          <w:lang w:val="es-ES_tradnl"/>
        </w:rPr>
        <w:t>á</w:t>
      </w:r>
      <w:r>
        <w:rPr>
          <w:spacing w:val="-7"/>
          <w:sz w:val="18"/>
          <w:szCs w:val="18"/>
          <w:lang w:val="es-ES_tradnl"/>
        </w:rPr>
        <w:t>dicos de alba</w:t>
      </w:r>
      <w:r>
        <w:rPr>
          <w:rFonts w:cs="Times New Roman"/>
          <w:spacing w:val="-7"/>
          <w:sz w:val="18"/>
          <w:szCs w:val="18"/>
          <w:lang w:val="es-ES_tradnl"/>
        </w:rPr>
        <w:t>ñ</w:t>
      </w:r>
      <w:r>
        <w:rPr>
          <w:spacing w:val="-7"/>
          <w:sz w:val="18"/>
          <w:szCs w:val="18"/>
          <w:lang w:val="es-ES_tradnl"/>
        </w:rPr>
        <w:t>iler</w:t>
      </w:r>
      <w:r>
        <w:rPr>
          <w:rFonts w:cs="Times New Roman"/>
          <w:spacing w:val="-7"/>
          <w:sz w:val="18"/>
          <w:szCs w:val="18"/>
          <w:lang w:val="es-ES_tradnl"/>
        </w:rPr>
        <w:t>í</w:t>
      </w:r>
      <w:r>
        <w:rPr>
          <w:spacing w:val="-7"/>
          <w:sz w:val="18"/>
          <w:szCs w:val="18"/>
          <w:lang w:val="es-ES_tradnl"/>
        </w:rPr>
        <w:t>a mismos que eran debidamente remunerados</w:t>
      </w:r>
      <w:r>
        <w:rPr>
          <w:rFonts w:cs="Times New Roman"/>
          <w:spacing w:val="-7"/>
          <w:sz w:val="18"/>
          <w:szCs w:val="18"/>
          <w:lang w:val="es-ES_tradnl"/>
        </w:rPr>
        <w:t>”</w:t>
      </w:r>
      <w:r>
        <w:rPr>
          <w:spacing w:val="-7"/>
          <w:sz w:val="18"/>
          <w:szCs w:val="18"/>
          <w:lang w:val="es-ES_tradnl"/>
        </w:rPr>
        <w:t>.</w:t>
      </w:r>
    </w:p>
    <w:p w14:paraId="4F67B302" w14:textId="77777777" w:rsidR="00591D54" w:rsidRDefault="00591D54">
      <w:pPr>
        <w:shd w:val="clear" w:color="auto" w:fill="FFFFFF"/>
        <w:spacing w:before="197" w:line="216" w:lineRule="exact"/>
        <w:jc w:val="both"/>
      </w:pPr>
      <w:r>
        <w:rPr>
          <w:spacing w:val="-3"/>
          <w:sz w:val="18"/>
          <w:szCs w:val="18"/>
          <w:lang w:val="es-ES_tradnl"/>
        </w:rPr>
        <w:t>Se</w:t>
      </w:r>
      <w:r>
        <w:rPr>
          <w:rFonts w:cs="Times New Roman"/>
          <w:spacing w:val="-3"/>
          <w:sz w:val="18"/>
          <w:szCs w:val="18"/>
          <w:lang w:val="es-ES_tradnl"/>
        </w:rPr>
        <w:t>ñ</w:t>
      </w:r>
      <w:r>
        <w:rPr>
          <w:spacing w:val="-3"/>
          <w:sz w:val="18"/>
          <w:szCs w:val="18"/>
          <w:lang w:val="es-ES_tradnl"/>
        </w:rPr>
        <w:t>alan que el art</w:t>
      </w:r>
      <w:r>
        <w:rPr>
          <w:rFonts w:cs="Times New Roman"/>
          <w:spacing w:val="-3"/>
          <w:sz w:val="18"/>
          <w:szCs w:val="18"/>
          <w:lang w:val="es-ES_tradnl"/>
        </w:rPr>
        <w:t>í</w:t>
      </w:r>
      <w:r>
        <w:rPr>
          <w:spacing w:val="-3"/>
          <w:sz w:val="18"/>
          <w:szCs w:val="18"/>
          <w:lang w:val="es-ES_tradnl"/>
        </w:rPr>
        <w:t>culo 19 del C</w:t>
      </w:r>
      <w:r>
        <w:rPr>
          <w:rFonts w:cs="Times New Roman"/>
          <w:spacing w:val="-3"/>
          <w:sz w:val="18"/>
          <w:szCs w:val="18"/>
          <w:lang w:val="es-ES_tradnl"/>
        </w:rPr>
        <w:t>ó</w:t>
      </w:r>
      <w:r>
        <w:rPr>
          <w:spacing w:val="-3"/>
          <w:sz w:val="18"/>
          <w:szCs w:val="18"/>
          <w:lang w:val="es-ES_tradnl"/>
        </w:rPr>
        <w:t xml:space="preserve">digo de Trabajo, no </w:t>
      </w:r>
      <w:r>
        <w:rPr>
          <w:spacing w:val="-7"/>
          <w:sz w:val="18"/>
          <w:szCs w:val="18"/>
          <w:lang w:val="es-ES_tradnl"/>
        </w:rPr>
        <w:t>se</w:t>
      </w:r>
      <w:r>
        <w:rPr>
          <w:rFonts w:cs="Times New Roman"/>
          <w:spacing w:val="-7"/>
          <w:sz w:val="18"/>
          <w:szCs w:val="18"/>
          <w:lang w:val="es-ES_tradnl"/>
        </w:rPr>
        <w:t>ñ</w:t>
      </w:r>
      <w:r>
        <w:rPr>
          <w:spacing w:val="-7"/>
          <w:sz w:val="18"/>
          <w:szCs w:val="18"/>
          <w:lang w:val="es-ES_tradnl"/>
        </w:rPr>
        <w:t xml:space="preserve">ala que el contrato de trabajo por obra cierta deba ser </w:t>
      </w:r>
      <w:r>
        <w:rPr>
          <w:spacing w:val="-5"/>
          <w:sz w:val="18"/>
          <w:szCs w:val="18"/>
          <w:lang w:val="es-ES_tradnl"/>
        </w:rPr>
        <w:t>escrito y es as</w:t>
      </w:r>
      <w:r>
        <w:rPr>
          <w:rFonts w:cs="Times New Roman"/>
          <w:spacing w:val="-5"/>
          <w:sz w:val="18"/>
          <w:szCs w:val="18"/>
          <w:lang w:val="es-ES_tradnl"/>
        </w:rPr>
        <w:t>í</w:t>
      </w:r>
      <w:r>
        <w:rPr>
          <w:spacing w:val="-5"/>
          <w:sz w:val="18"/>
          <w:szCs w:val="18"/>
          <w:lang w:val="es-ES_tradnl"/>
        </w:rPr>
        <w:t xml:space="preserve">, que el literal </w:t>
      </w:r>
      <w:r>
        <w:rPr>
          <w:b/>
          <w:bCs/>
          <w:spacing w:val="-5"/>
          <w:sz w:val="18"/>
          <w:szCs w:val="18"/>
          <w:lang w:val="es-ES_tradnl"/>
        </w:rPr>
        <w:t xml:space="preserve">b </w:t>
      </w:r>
      <w:r>
        <w:rPr>
          <w:spacing w:val="-5"/>
          <w:sz w:val="18"/>
          <w:szCs w:val="18"/>
          <w:lang w:val="es-ES_tradnl"/>
        </w:rPr>
        <w:t>del referido art</w:t>
      </w:r>
      <w:r>
        <w:rPr>
          <w:rFonts w:cs="Times New Roman"/>
          <w:spacing w:val="-5"/>
          <w:sz w:val="18"/>
          <w:szCs w:val="18"/>
          <w:lang w:val="es-ES_tradnl"/>
        </w:rPr>
        <w:t>í</w:t>
      </w:r>
      <w:r>
        <w:rPr>
          <w:spacing w:val="-5"/>
          <w:sz w:val="18"/>
          <w:szCs w:val="18"/>
          <w:lang w:val="es-ES_tradnl"/>
        </w:rPr>
        <w:t>culo, prev</w:t>
      </w:r>
      <w:r>
        <w:rPr>
          <w:rFonts w:cs="Times New Roman"/>
          <w:spacing w:val="-5"/>
          <w:sz w:val="18"/>
          <w:szCs w:val="18"/>
          <w:lang w:val="es-ES_tradnl"/>
        </w:rPr>
        <w:t xml:space="preserve">é </w:t>
      </w:r>
      <w:r>
        <w:rPr>
          <w:spacing w:val="-6"/>
          <w:sz w:val="18"/>
          <w:szCs w:val="18"/>
          <w:lang w:val="es-ES_tradnl"/>
        </w:rPr>
        <w:t>esta obligaci</w:t>
      </w:r>
      <w:r>
        <w:rPr>
          <w:rFonts w:cs="Times New Roman"/>
          <w:spacing w:val="-6"/>
          <w:sz w:val="18"/>
          <w:szCs w:val="18"/>
          <w:lang w:val="es-ES_tradnl"/>
        </w:rPr>
        <w:t>ó</w:t>
      </w:r>
      <w:r>
        <w:rPr>
          <w:spacing w:val="-6"/>
          <w:sz w:val="18"/>
          <w:szCs w:val="18"/>
          <w:lang w:val="es-ES_tradnl"/>
        </w:rPr>
        <w:t>n para los contratos cuyo valor de mano de obra exceda de cinco salarios m</w:t>
      </w:r>
      <w:r>
        <w:rPr>
          <w:rFonts w:cs="Times New Roman"/>
          <w:spacing w:val="-6"/>
          <w:sz w:val="18"/>
          <w:szCs w:val="18"/>
          <w:lang w:val="es-ES_tradnl"/>
        </w:rPr>
        <w:t>í</w:t>
      </w:r>
      <w:r>
        <w:rPr>
          <w:spacing w:val="-6"/>
          <w:sz w:val="18"/>
          <w:szCs w:val="18"/>
          <w:lang w:val="es-ES_tradnl"/>
        </w:rPr>
        <w:t xml:space="preserve">nimos vitales generales </w:t>
      </w:r>
      <w:r>
        <w:rPr>
          <w:sz w:val="18"/>
          <w:szCs w:val="18"/>
          <w:lang w:val="es-ES_tradnl"/>
        </w:rPr>
        <w:t>vigentes.</w:t>
      </w:r>
    </w:p>
    <w:p w14:paraId="4F67B303" w14:textId="77777777" w:rsidR="00591D54" w:rsidRDefault="00591D54">
      <w:pPr>
        <w:shd w:val="clear" w:color="auto" w:fill="FFFFFF"/>
        <w:spacing w:before="197" w:line="216" w:lineRule="exact"/>
        <w:jc w:val="both"/>
      </w:pPr>
      <w:r>
        <w:rPr>
          <w:spacing w:val="-7"/>
          <w:sz w:val="18"/>
          <w:szCs w:val="18"/>
          <w:lang w:val="es-ES_tradnl"/>
        </w:rPr>
        <w:t xml:space="preserve">Los accionantes manifiestan que los jueces de la Sala de </w:t>
      </w:r>
      <w:r>
        <w:rPr>
          <w:spacing w:val="-4"/>
          <w:sz w:val="18"/>
          <w:szCs w:val="18"/>
          <w:lang w:val="es-ES_tradnl"/>
        </w:rPr>
        <w:t xml:space="preserve">lo Laboral de la Corte Nacional de Justicia, no aplicaron </w:t>
      </w:r>
      <w:r>
        <w:rPr>
          <w:spacing w:val="-3"/>
          <w:sz w:val="18"/>
          <w:szCs w:val="18"/>
          <w:lang w:val="es-ES_tradnl"/>
        </w:rPr>
        <w:t>la sana cr</w:t>
      </w:r>
      <w:r>
        <w:rPr>
          <w:rFonts w:cs="Times New Roman"/>
          <w:spacing w:val="-3"/>
          <w:sz w:val="18"/>
          <w:szCs w:val="18"/>
          <w:lang w:val="es-ES_tradnl"/>
        </w:rPr>
        <w:t>í</w:t>
      </w:r>
      <w:r>
        <w:rPr>
          <w:spacing w:val="-3"/>
          <w:sz w:val="18"/>
          <w:szCs w:val="18"/>
          <w:lang w:val="es-ES_tradnl"/>
        </w:rPr>
        <w:t>tica en la confesi</w:t>
      </w:r>
      <w:r>
        <w:rPr>
          <w:rFonts w:cs="Times New Roman"/>
          <w:spacing w:val="-3"/>
          <w:sz w:val="18"/>
          <w:szCs w:val="18"/>
          <w:lang w:val="es-ES_tradnl"/>
        </w:rPr>
        <w:t>ó</w:t>
      </w:r>
      <w:r>
        <w:rPr>
          <w:spacing w:val="-3"/>
          <w:sz w:val="18"/>
          <w:szCs w:val="18"/>
          <w:lang w:val="es-ES_tradnl"/>
        </w:rPr>
        <w:t>n judicial del se</w:t>
      </w:r>
      <w:r>
        <w:rPr>
          <w:rFonts w:cs="Times New Roman"/>
          <w:spacing w:val="-3"/>
          <w:sz w:val="18"/>
          <w:szCs w:val="18"/>
          <w:lang w:val="es-ES_tradnl"/>
        </w:rPr>
        <w:t>ñ</w:t>
      </w:r>
      <w:r>
        <w:rPr>
          <w:spacing w:val="-3"/>
          <w:sz w:val="18"/>
          <w:szCs w:val="18"/>
          <w:lang w:val="es-ES_tradnl"/>
        </w:rPr>
        <w:t xml:space="preserve">or Miguel </w:t>
      </w:r>
      <w:r>
        <w:rPr>
          <w:spacing w:val="-4"/>
          <w:sz w:val="18"/>
          <w:szCs w:val="18"/>
          <w:lang w:val="es-ES_tradnl"/>
        </w:rPr>
        <w:t xml:space="preserve">Yaure, asimismo que no se ha valorizado el certificado </w:t>
      </w:r>
      <w:r>
        <w:rPr>
          <w:spacing w:val="-2"/>
          <w:sz w:val="18"/>
          <w:szCs w:val="18"/>
          <w:lang w:val="es-ES_tradnl"/>
        </w:rPr>
        <w:t>conferido por el se</w:t>
      </w:r>
      <w:r>
        <w:rPr>
          <w:rFonts w:cs="Times New Roman"/>
          <w:spacing w:val="-2"/>
          <w:sz w:val="18"/>
          <w:szCs w:val="18"/>
          <w:lang w:val="es-ES_tradnl"/>
        </w:rPr>
        <w:t>ñ</w:t>
      </w:r>
      <w:r>
        <w:rPr>
          <w:spacing w:val="-2"/>
          <w:sz w:val="18"/>
          <w:szCs w:val="18"/>
          <w:lang w:val="es-ES_tradnl"/>
        </w:rPr>
        <w:t>or Roberto Dom</w:t>
      </w:r>
      <w:r>
        <w:rPr>
          <w:rFonts w:cs="Times New Roman"/>
          <w:spacing w:val="-2"/>
          <w:sz w:val="18"/>
          <w:szCs w:val="18"/>
          <w:lang w:val="es-ES_tradnl"/>
        </w:rPr>
        <w:t>í</w:t>
      </w:r>
      <w:r>
        <w:rPr>
          <w:spacing w:val="-2"/>
          <w:sz w:val="18"/>
          <w:szCs w:val="18"/>
          <w:lang w:val="es-ES_tradnl"/>
        </w:rPr>
        <w:t xml:space="preserve">nguez (supervisor </w:t>
      </w:r>
      <w:r>
        <w:rPr>
          <w:spacing w:val="-5"/>
          <w:sz w:val="18"/>
          <w:szCs w:val="18"/>
          <w:lang w:val="es-ES_tradnl"/>
        </w:rPr>
        <w:t xml:space="preserve">de personal de la hacienda </w:t>
      </w:r>
      <w:r>
        <w:rPr>
          <w:rFonts w:cs="Times New Roman"/>
          <w:spacing w:val="-5"/>
          <w:sz w:val="18"/>
          <w:szCs w:val="18"/>
          <w:lang w:val="es-ES_tradnl"/>
        </w:rPr>
        <w:t>“</w:t>
      </w:r>
      <w:r>
        <w:rPr>
          <w:spacing w:val="-5"/>
          <w:sz w:val="18"/>
          <w:szCs w:val="18"/>
          <w:lang w:val="es-ES_tradnl"/>
        </w:rPr>
        <w:t>San Joaqu</w:t>
      </w:r>
      <w:r>
        <w:rPr>
          <w:rFonts w:cs="Times New Roman"/>
          <w:spacing w:val="-5"/>
          <w:sz w:val="18"/>
          <w:szCs w:val="18"/>
          <w:lang w:val="es-ES_tradnl"/>
        </w:rPr>
        <w:t>í</w:t>
      </w:r>
      <w:r>
        <w:rPr>
          <w:spacing w:val="-5"/>
          <w:sz w:val="18"/>
          <w:szCs w:val="18"/>
          <w:lang w:val="es-ES_tradnl"/>
        </w:rPr>
        <w:t>n</w:t>
      </w:r>
      <w:r>
        <w:rPr>
          <w:rFonts w:cs="Times New Roman"/>
          <w:spacing w:val="-5"/>
          <w:sz w:val="18"/>
          <w:szCs w:val="18"/>
          <w:lang w:val="es-ES_tradnl"/>
        </w:rPr>
        <w:t>”</w:t>
      </w:r>
      <w:r>
        <w:rPr>
          <w:spacing w:val="-5"/>
          <w:sz w:val="18"/>
          <w:szCs w:val="18"/>
          <w:lang w:val="es-ES_tradnl"/>
        </w:rPr>
        <w:t xml:space="preserve">) y que tal documento no ha sido impugnado conforme a derecho; </w:t>
      </w:r>
      <w:r>
        <w:rPr>
          <w:spacing w:val="-8"/>
          <w:sz w:val="18"/>
          <w:szCs w:val="18"/>
          <w:lang w:val="es-ES_tradnl"/>
        </w:rPr>
        <w:t>situaciones que no han sido apreciadas al tenor del art</w:t>
      </w:r>
      <w:r>
        <w:rPr>
          <w:rFonts w:cs="Times New Roman"/>
          <w:spacing w:val="-8"/>
          <w:sz w:val="18"/>
          <w:szCs w:val="18"/>
          <w:lang w:val="es-ES_tradnl"/>
        </w:rPr>
        <w:t>í</w:t>
      </w:r>
      <w:r>
        <w:rPr>
          <w:spacing w:val="-8"/>
          <w:sz w:val="18"/>
          <w:szCs w:val="18"/>
          <w:lang w:val="es-ES_tradnl"/>
        </w:rPr>
        <w:t xml:space="preserve">culo </w:t>
      </w:r>
      <w:r>
        <w:rPr>
          <w:sz w:val="18"/>
          <w:szCs w:val="18"/>
          <w:lang w:val="es-ES_tradnl"/>
        </w:rPr>
        <w:t>115 del C</w:t>
      </w:r>
      <w:r>
        <w:rPr>
          <w:rFonts w:cs="Times New Roman"/>
          <w:sz w:val="18"/>
          <w:szCs w:val="18"/>
          <w:lang w:val="es-ES_tradnl"/>
        </w:rPr>
        <w:t>ó</w:t>
      </w:r>
      <w:r>
        <w:rPr>
          <w:sz w:val="18"/>
          <w:szCs w:val="18"/>
          <w:lang w:val="es-ES_tradnl"/>
        </w:rPr>
        <w:t>digo de Procedimiento Civil.</w:t>
      </w:r>
    </w:p>
    <w:p w14:paraId="4F67B304" w14:textId="77777777" w:rsidR="00591D54" w:rsidRDefault="00591D54">
      <w:pPr>
        <w:shd w:val="clear" w:color="auto" w:fill="FFFFFF"/>
        <w:spacing w:line="216" w:lineRule="exact"/>
        <w:jc w:val="both"/>
      </w:pPr>
      <w:r>
        <w:br w:type="column"/>
      </w:r>
      <w:r>
        <w:rPr>
          <w:spacing w:val="-2"/>
          <w:sz w:val="18"/>
          <w:szCs w:val="18"/>
          <w:lang w:val="es-ES_tradnl"/>
        </w:rPr>
        <w:t>A</w:t>
      </w:r>
      <w:r>
        <w:rPr>
          <w:rFonts w:cs="Times New Roman"/>
          <w:spacing w:val="-2"/>
          <w:sz w:val="18"/>
          <w:szCs w:val="18"/>
          <w:lang w:val="es-ES_tradnl"/>
        </w:rPr>
        <w:t>ñ</w:t>
      </w:r>
      <w:r>
        <w:rPr>
          <w:spacing w:val="-2"/>
          <w:sz w:val="18"/>
          <w:szCs w:val="18"/>
          <w:lang w:val="es-ES_tradnl"/>
        </w:rPr>
        <w:t xml:space="preserve">aden que los jueces de la Sala de lo Laboral de la </w:t>
      </w:r>
      <w:r>
        <w:rPr>
          <w:spacing w:val="-6"/>
          <w:sz w:val="18"/>
          <w:szCs w:val="18"/>
          <w:lang w:val="es-ES_tradnl"/>
        </w:rPr>
        <w:t xml:space="preserve">Corte Nacional de Justicia en forma arbitraria, casaron la </w:t>
      </w:r>
      <w:r>
        <w:rPr>
          <w:spacing w:val="-7"/>
          <w:sz w:val="18"/>
          <w:szCs w:val="18"/>
          <w:lang w:val="es-ES_tradnl"/>
        </w:rPr>
        <w:t xml:space="preserve">sentencia emitida por los jueces de la Corte Provincial de </w:t>
      </w:r>
      <w:r>
        <w:rPr>
          <w:spacing w:val="-6"/>
          <w:sz w:val="18"/>
          <w:szCs w:val="18"/>
          <w:lang w:val="es-ES_tradnl"/>
        </w:rPr>
        <w:t xml:space="preserve">Justicia de Loja, concediendo el recurso interpuesto bajo </w:t>
      </w:r>
      <w:r>
        <w:rPr>
          <w:spacing w:val="-3"/>
          <w:sz w:val="18"/>
          <w:szCs w:val="18"/>
          <w:lang w:val="es-ES_tradnl"/>
        </w:rPr>
        <w:t>argumentos parcializados, carentes de fundamentaci</w:t>
      </w:r>
      <w:r>
        <w:rPr>
          <w:rFonts w:cs="Times New Roman"/>
          <w:spacing w:val="-3"/>
          <w:sz w:val="18"/>
          <w:szCs w:val="18"/>
          <w:lang w:val="es-ES_tradnl"/>
        </w:rPr>
        <w:t>ó</w:t>
      </w:r>
      <w:r>
        <w:rPr>
          <w:spacing w:val="-3"/>
          <w:sz w:val="18"/>
          <w:szCs w:val="18"/>
          <w:lang w:val="es-ES_tradnl"/>
        </w:rPr>
        <w:t xml:space="preserve">n </w:t>
      </w:r>
      <w:r>
        <w:rPr>
          <w:spacing w:val="-4"/>
          <w:sz w:val="18"/>
          <w:szCs w:val="18"/>
          <w:lang w:val="es-ES_tradnl"/>
        </w:rPr>
        <w:t>y sin motivaci</w:t>
      </w:r>
      <w:r>
        <w:rPr>
          <w:rFonts w:cs="Times New Roman"/>
          <w:spacing w:val="-4"/>
          <w:sz w:val="18"/>
          <w:szCs w:val="18"/>
          <w:lang w:val="es-ES_tradnl"/>
        </w:rPr>
        <w:t>ó</w:t>
      </w:r>
      <w:r>
        <w:rPr>
          <w:spacing w:val="-4"/>
          <w:sz w:val="18"/>
          <w:szCs w:val="18"/>
          <w:lang w:val="es-ES_tradnl"/>
        </w:rPr>
        <w:t xml:space="preserve">n, pues, parten de hechos falsos, ya que </w:t>
      </w:r>
      <w:r>
        <w:rPr>
          <w:spacing w:val="-6"/>
          <w:sz w:val="18"/>
          <w:szCs w:val="18"/>
          <w:lang w:val="es-ES_tradnl"/>
        </w:rPr>
        <w:t>no han apreciado la prueba al tenor del art</w:t>
      </w:r>
      <w:r>
        <w:rPr>
          <w:rFonts w:cs="Times New Roman"/>
          <w:spacing w:val="-6"/>
          <w:sz w:val="18"/>
          <w:szCs w:val="18"/>
          <w:lang w:val="es-ES_tradnl"/>
        </w:rPr>
        <w:t>í</w:t>
      </w:r>
      <w:r>
        <w:rPr>
          <w:spacing w:val="-6"/>
          <w:sz w:val="18"/>
          <w:szCs w:val="18"/>
          <w:lang w:val="es-ES_tradnl"/>
        </w:rPr>
        <w:t xml:space="preserve">culo 115 del </w:t>
      </w:r>
      <w:r>
        <w:rPr>
          <w:spacing w:val="-5"/>
          <w:sz w:val="18"/>
          <w:szCs w:val="18"/>
          <w:lang w:val="es-ES_tradnl"/>
        </w:rPr>
        <w:t>C</w:t>
      </w:r>
      <w:r>
        <w:rPr>
          <w:rFonts w:cs="Times New Roman"/>
          <w:spacing w:val="-5"/>
          <w:sz w:val="18"/>
          <w:szCs w:val="18"/>
          <w:lang w:val="es-ES_tradnl"/>
        </w:rPr>
        <w:t>ó</w:t>
      </w:r>
      <w:r>
        <w:rPr>
          <w:spacing w:val="-5"/>
          <w:sz w:val="18"/>
          <w:szCs w:val="18"/>
          <w:lang w:val="es-ES_tradnl"/>
        </w:rPr>
        <w:t xml:space="preserve">digo de Procedimiento Civil y que el apoyo probatorio </w:t>
      </w:r>
      <w:r>
        <w:rPr>
          <w:spacing w:val="-6"/>
          <w:sz w:val="18"/>
          <w:szCs w:val="18"/>
          <w:lang w:val="es-ES_tradnl"/>
        </w:rPr>
        <w:t>permite establecer que no existi</w:t>
      </w:r>
      <w:r>
        <w:rPr>
          <w:rFonts w:cs="Times New Roman"/>
          <w:spacing w:val="-6"/>
          <w:sz w:val="18"/>
          <w:szCs w:val="18"/>
          <w:lang w:val="es-ES_tradnl"/>
        </w:rPr>
        <w:t>ó</w:t>
      </w:r>
      <w:r>
        <w:rPr>
          <w:spacing w:val="-6"/>
          <w:sz w:val="18"/>
          <w:szCs w:val="18"/>
          <w:lang w:val="es-ES_tradnl"/>
        </w:rPr>
        <w:t xml:space="preserve"> relaci</w:t>
      </w:r>
      <w:r>
        <w:rPr>
          <w:rFonts w:cs="Times New Roman"/>
          <w:spacing w:val="-6"/>
          <w:sz w:val="18"/>
          <w:szCs w:val="18"/>
          <w:lang w:val="es-ES_tradnl"/>
        </w:rPr>
        <w:t>ó</w:t>
      </w:r>
      <w:r>
        <w:rPr>
          <w:spacing w:val="-6"/>
          <w:sz w:val="18"/>
          <w:szCs w:val="18"/>
          <w:lang w:val="es-ES_tradnl"/>
        </w:rPr>
        <w:t>n laboral entre el se</w:t>
      </w:r>
      <w:r>
        <w:rPr>
          <w:rFonts w:cs="Times New Roman"/>
          <w:spacing w:val="-6"/>
          <w:sz w:val="18"/>
          <w:szCs w:val="18"/>
          <w:lang w:val="es-ES_tradnl"/>
        </w:rPr>
        <w:t>ñ</w:t>
      </w:r>
      <w:r>
        <w:rPr>
          <w:spacing w:val="-6"/>
          <w:sz w:val="18"/>
          <w:szCs w:val="18"/>
          <w:lang w:val="es-ES_tradnl"/>
        </w:rPr>
        <w:t>or Miguel Yaure y los accionantes, al tenor del art</w:t>
      </w:r>
      <w:r>
        <w:rPr>
          <w:rFonts w:cs="Times New Roman"/>
          <w:spacing w:val="-6"/>
          <w:sz w:val="18"/>
          <w:szCs w:val="18"/>
          <w:lang w:val="es-ES_tradnl"/>
        </w:rPr>
        <w:t>í</w:t>
      </w:r>
      <w:r>
        <w:rPr>
          <w:spacing w:val="-6"/>
          <w:sz w:val="18"/>
          <w:szCs w:val="18"/>
          <w:lang w:val="es-ES_tradnl"/>
        </w:rPr>
        <w:t xml:space="preserve">culo </w:t>
      </w:r>
      <w:r>
        <w:rPr>
          <w:spacing w:val="-7"/>
          <w:sz w:val="18"/>
          <w:szCs w:val="18"/>
          <w:lang w:val="es-ES_tradnl"/>
        </w:rPr>
        <w:t>8 del C</w:t>
      </w:r>
      <w:r>
        <w:rPr>
          <w:rFonts w:cs="Times New Roman"/>
          <w:spacing w:val="-7"/>
          <w:sz w:val="18"/>
          <w:szCs w:val="18"/>
          <w:lang w:val="es-ES_tradnl"/>
        </w:rPr>
        <w:t>ó</w:t>
      </w:r>
      <w:r>
        <w:rPr>
          <w:spacing w:val="-7"/>
          <w:sz w:val="18"/>
          <w:szCs w:val="18"/>
          <w:lang w:val="es-ES_tradnl"/>
        </w:rPr>
        <w:t xml:space="preserve">digo del Trabajo, vulnerando de esta manera los </w:t>
      </w:r>
      <w:r>
        <w:rPr>
          <w:sz w:val="18"/>
          <w:szCs w:val="18"/>
          <w:lang w:val="es-ES_tradnl"/>
        </w:rPr>
        <w:t>derechos de los recurrentes.</w:t>
      </w:r>
    </w:p>
    <w:p w14:paraId="4F67B305" w14:textId="77777777" w:rsidR="00591D54" w:rsidRDefault="00591D54">
      <w:pPr>
        <w:shd w:val="clear" w:color="auto" w:fill="FFFFFF"/>
        <w:spacing w:before="192"/>
      </w:pPr>
      <w:r>
        <w:rPr>
          <w:b/>
          <w:bCs/>
          <w:spacing w:val="-11"/>
          <w:sz w:val="18"/>
          <w:szCs w:val="18"/>
          <w:lang w:val="es-ES_tradnl"/>
        </w:rPr>
        <w:t>Derechos presuntamente vulnerados</w:t>
      </w:r>
    </w:p>
    <w:p w14:paraId="4F67B306" w14:textId="77777777" w:rsidR="00591D54" w:rsidRDefault="00591D54">
      <w:pPr>
        <w:shd w:val="clear" w:color="auto" w:fill="FFFFFF"/>
        <w:spacing w:before="197" w:line="216" w:lineRule="exact"/>
        <w:jc w:val="both"/>
      </w:pPr>
      <w:r>
        <w:rPr>
          <w:spacing w:val="-8"/>
          <w:sz w:val="18"/>
          <w:szCs w:val="18"/>
          <w:lang w:val="es-ES_tradnl"/>
        </w:rPr>
        <w:t xml:space="preserve">Los accionantes establecen como principales derechos </w:t>
      </w:r>
      <w:r>
        <w:rPr>
          <w:spacing w:val="-7"/>
          <w:sz w:val="18"/>
          <w:szCs w:val="18"/>
          <w:lang w:val="es-ES_tradnl"/>
        </w:rPr>
        <w:t>constitucionales vulnerados aquellos contenidos en los art</w:t>
      </w:r>
      <w:r>
        <w:rPr>
          <w:rFonts w:cs="Times New Roman"/>
          <w:spacing w:val="-7"/>
          <w:sz w:val="18"/>
          <w:szCs w:val="18"/>
          <w:lang w:val="es-ES_tradnl"/>
        </w:rPr>
        <w:t>í</w:t>
      </w:r>
      <w:r>
        <w:rPr>
          <w:spacing w:val="-7"/>
          <w:sz w:val="18"/>
          <w:szCs w:val="18"/>
          <w:lang w:val="es-ES_tradnl"/>
        </w:rPr>
        <w:t xml:space="preserve">culos 75; 76 numerales 1 y 7 literales </w:t>
      </w:r>
      <w:r>
        <w:rPr>
          <w:b/>
          <w:bCs/>
          <w:spacing w:val="-7"/>
          <w:sz w:val="18"/>
          <w:szCs w:val="18"/>
          <w:lang w:val="es-ES_tradnl"/>
        </w:rPr>
        <w:t>a</w:t>
      </w:r>
      <w:r>
        <w:rPr>
          <w:spacing w:val="-7"/>
          <w:sz w:val="18"/>
          <w:szCs w:val="18"/>
          <w:lang w:val="es-ES_tradnl"/>
        </w:rPr>
        <w:t xml:space="preserve">, </w:t>
      </w:r>
      <w:r>
        <w:rPr>
          <w:b/>
          <w:bCs/>
          <w:spacing w:val="-7"/>
          <w:sz w:val="18"/>
          <w:szCs w:val="18"/>
          <w:lang w:val="es-ES_tradnl"/>
        </w:rPr>
        <w:t xml:space="preserve">k </w:t>
      </w:r>
      <w:r>
        <w:rPr>
          <w:spacing w:val="-7"/>
          <w:sz w:val="18"/>
          <w:szCs w:val="18"/>
          <w:lang w:val="es-ES_tradnl"/>
        </w:rPr>
        <w:t xml:space="preserve">y </w:t>
      </w:r>
      <w:r>
        <w:rPr>
          <w:b/>
          <w:bCs/>
          <w:spacing w:val="-7"/>
          <w:sz w:val="18"/>
          <w:szCs w:val="18"/>
          <w:lang w:val="es-ES_tradnl"/>
        </w:rPr>
        <w:t>l</w:t>
      </w:r>
      <w:r>
        <w:rPr>
          <w:spacing w:val="-7"/>
          <w:sz w:val="18"/>
          <w:szCs w:val="18"/>
          <w:lang w:val="es-ES_tradnl"/>
        </w:rPr>
        <w:t xml:space="preserve">, y 82 de la </w:t>
      </w:r>
      <w:r>
        <w:rPr>
          <w:sz w:val="18"/>
          <w:szCs w:val="18"/>
          <w:lang w:val="es-ES_tradnl"/>
        </w:rPr>
        <w:t>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B307" w14:textId="77777777" w:rsidR="00591D54" w:rsidRDefault="00591D54">
      <w:pPr>
        <w:shd w:val="clear" w:color="auto" w:fill="FFFFFF"/>
        <w:spacing w:before="192"/>
      </w:pPr>
      <w:r>
        <w:rPr>
          <w:b/>
          <w:bCs/>
          <w:spacing w:val="-10"/>
          <w:sz w:val="18"/>
          <w:szCs w:val="18"/>
          <w:lang w:val="es-ES_tradnl"/>
        </w:rPr>
        <w:t>Pretensi</w:t>
      </w:r>
      <w:r>
        <w:rPr>
          <w:rFonts w:cs="Times New Roman"/>
          <w:b/>
          <w:bCs/>
          <w:spacing w:val="-10"/>
          <w:sz w:val="18"/>
          <w:szCs w:val="18"/>
          <w:lang w:val="es-ES_tradnl"/>
        </w:rPr>
        <w:t>ó</w:t>
      </w:r>
      <w:r>
        <w:rPr>
          <w:b/>
          <w:bCs/>
          <w:spacing w:val="-10"/>
          <w:sz w:val="18"/>
          <w:szCs w:val="18"/>
          <w:lang w:val="es-ES_tradnl"/>
        </w:rPr>
        <w:t>n concreta</w:t>
      </w:r>
    </w:p>
    <w:p w14:paraId="4F67B308" w14:textId="77777777" w:rsidR="00591D54" w:rsidRDefault="00591D54">
      <w:pPr>
        <w:shd w:val="clear" w:color="auto" w:fill="FFFFFF"/>
        <w:spacing w:before="192" w:line="216" w:lineRule="exact"/>
        <w:jc w:val="both"/>
      </w:pPr>
      <w:r>
        <w:rPr>
          <w:spacing w:val="-3"/>
          <w:sz w:val="18"/>
          <w:szCs w:val="18"/>
          <w:lang w:val="es-ES_tradnl"/>
        </w:rPr>
        <w:t xml:space="preserve">Con estos antecedentes los accionantes solicitan lo </w:t>
      </w:r>
      <w:r>
        <w:rPr>
          <w:sz w:val="18"/>
          <w:szCs w:val="18"/>
          <w:lang w:val="es-ES_tradnl"/>
        </w:rPr>
        <w:t>siguiente:</w:t>
      </w:r>
    </w:p>
    <w:p w14:paraId="4F67B309" w14:textId="77777777" w:rsidR="00591D54" w:rsidRDefault="00591D54" w:rsidP="00251195">
      <w:pPr>
        <w:numPr>
          <w:ilvl w:val="0"/>
          <w:numId w:val="94"/>
        </w:numPr>
        <w:shd w:val="clear" w:color="auto" w:fill="FFFFFF"/>
        <w:tabs>
          <w:tab w:val="left" w:pos="566"/>
        </w:tabs>
        <w:spacing w:before="202" w:line="216" w:lineRule="exact"/>
        <w:ind w:left="566" w:hanging="283"/>
        <w:jc w:val="both"/>
        <w:rPr>
          <w:spacing w:val="-10"/>
          <w:sz w:val="16"/>
          <w:szCs w:val="16"/>
          <w:lang w:val="es-ES_tradnl"/>
        </w:rPr>
      </w:pPr>
      <w:r>
        <w:rPr>
          <w:spacing w:val="-3"/>
          <w:sz w:val="16"/>
          <w:szCs w:val="16"/>
          <w:lang w:val="es-ES_tradnl"/>
        </w:rPr>
        <w:t>La</w:t>
      </w:r>
      <w:r>
        <w:rPr>
          <w:spacing w:val="-3"/>
          <w:sz w:val="18"/>
          <w:szCs w:val="18"/>
          <w:lang w:val="es-ES_tradnl"/>
        </w:rPr>
        <w:t xml:space="preserve"> </w:t>
      </w:r>
      <w:r>
        <w:rPr>
          <w:spacing w:val="-3"/>
          <w:sz w:val="16"/>
          <w:szCs w:val="16"/>
          <w:lang w:val="es-ES_tradnl"/>
        </w:rPr>
        <w:t>determinaci</w:t>
      </w:r>
      <w:r>
        <w:rPr>
          <w:rFonts w:cs="Times New Roman"/>
          <w:spacing w:val="-3"/>
          <w:sz w:val="16"/>
          <w:szCs w:val="16"/>
          <w:lang w:val="es-ES_tradnl"/>
        </w:rPr>
        <w:t>ó</w:t>
      </w:r>
      <w:r>
        <w:rPr>
          <w:spacing w:val="-3"/>
          <w:sz w:val="16"/>
          <w:szCs w:val="16"/>
          <w:lang w:val="es-ES_tradnl"/>
        </w:rPr>
        <w:t>n</w:t>
      </w:r>
      <w:r>
        <w:rPr>
          <w:spacing w:val="-3"/>
          <w:sz w:val="18"/>
          <w:szCs w:val="18"/>
          <w:lang w:val="es-ES_tradnl"/>
        </w:rPr>
        <w:t xml:space="preserve"> </w:t>
      </w:r>
      <w:r>
        <w:rPr>
          <w:spacing w:val="-3"/>
          <w:sz w:val="16"/>
          <w:szCs w:val="16"/>
          <w:lang w:val="es-ES_tradnl"/>
        </w:rPr>
        <w:t>y</w:t>
      </w:r>
      <w:r>
        <w:rPr>
          <w:spacing w:val="-3"/>
          <w:sz w:val="18"/>
          <w:szCs w:val="18"/>
          <w:lang w:val="es-ES_tradnl"/>
        </w:rPr>
        <w:t xml:space="preserve"> </w:t>
      </w:r>
      <w:r>
        <w:rPr>
          <w:spacing w:val="-3"/>
          <w:sz w:val="16"/>
          <w:szCs w:val="16"/>
          <w:lang w:val="es-ES_tradnl"/>
        </w:rPr>
        <w:t>la</w:t>
      </w:r>
      <w:r>
        <w:rPr>
          <w:spacing w:val="-3"/>
          <w:sz w:val="18"/>
          <w:szCs w:val="18"/>
          <w:lang w:val="es-ES_tradnl"/>
        </w:rPr>
        <w:t xml:space="preserve"> </w:t>
      </w:r>
      <w:r>
        <w:rPr>
          <w:spacing w:val="-3"/>
          <w:sz w:val="16"/>
          <w:szCs w:val="16"/>
          <w:lang w:val="es-ES_tradnl"/>
        </w:rPr>
        <w:t>violaci</w:t>
      </w:r>
      <w:r>
        <w:rPr>
          <w:rFonts w:cs="Times New Roman"/>
          <w:spacing w:val="-3"/>
          <w:sz w:val="16"/>
          <w:szCs w:val="16"/>
          <w:lang w:val="es-ES_tradnl"/>
        </w:rPr>
        <w:t>ó</w:t>
      </w:r>
      <w:r>
        <w:rPr>
          <w:spacing w:val="-3"/>
          <w:sz w:val="16"/>
          <w:szCs w:val="16"/>
          <w:lang w:val="es-ES_tradnl"/>
        </w:rPr>
        <w:t>n</w:t>
      </w:r>
      <w:r>
        <w:rPr>
          <w:spacing w:val="-3"/>
          <w:sz w:val="18"/>
          <w:szCs w:val="18"/>
          <w:lang w:val="es-ES_tradnl"/>
        </w:rPr>
        <w:t xml:space="preserve"> </w:t>
      </w:r>
      <w:r>
        <w:rPr>
          <w:spacing w:val="-3"/>
          <w:sz w:val="16"/>
          <w:szCs w:val="16"/>
          <w:lang w:val="es-ES_tradnl"/>
        </w:rPr>
        <w:t>de</w:t>
      </w:r>
      <w:r>
        <w:rPr>
          <w:spacing w:val="-3"/>
          <w:sz w:val="18"/>
          <w:szCs w:val="18"/>
          <w:lang w:val="es-ES_tradnl"/>
        </w:rPr>
        <w:t xml:space="preserve"> </w:t>
      </w:r>
      <w:r>
        <w:rPr>
          <w:spacing w:val="-3"/>
          <w:sz w:val="16"/>
          <w:szCs w:val="16"/>
          <w:lang w:val="es-ES_tradnl"/>
        </w:rPr>
        <w:t>los</w:t>
      </w:r>
      <w:r>
        <w:rPr>
          <w:spacing w:val="-3"/>
          <w:sz w:val="18"/>
          <w:szCs w:val="18"/>
          <w:lang w:val="es-ES_tradnl"/>
        </w:rPr>
        <w:t xml:space="preserve"> </w:t>
      </w:r>
      <w:r>
        <w:rPr>
          <w:spacing w:val="-3"/>
          <w:sz w:val="16"/>
          <w:szCs w:val="16"/>
          <w:lang w:val="es-ES_tradnl"/>
        </w:rPr>
        <w:t xml:space="preserve">derechos </w:t>
      </w:r>
      <w:r>
        <w:rPr>
          <w:sz w:val="16"/>
          <w:szCs w:val="16"/>
          <w:lang w:val="es-ES_tradnl"/>
        </w:rPr>
        <w:t xml:space="preserve">constitucionales de los accionantes WILFRIDO </w:t>
      </w:r>
      <w:r>
        <w:rPr>
          <w:spacing w:val="-3"/>
          <w:sz w:val="16"/>
          <w:szCs w:val="16"/>
          <w:lang w:val="es-ES_tradnl"/>
        </w:rPr>
        <w:t>EUCLIDES MONTALVO BUSTAMENTE y LIBERTAD MARLENE GALARZA ORTEGA, constantes en los art</w:t>
      </w:r>
      <w:r>
        <w:rPr>
          <w:rFonts w:cs="Times New Roman"/>
          <w:spacing w:val="-3"/>
          <w:sz w:val="16"/>
          <w:szCs w:val="16"/>
          <w:lang w:val="es-ES_tradnl"/>
        </w:rPr>
        <w:t>í</w:t>
      </w:r>
      <w:r>
        <w:rPr>
          <w:spacing w:val="-3"/>
          <w:sz w:val="16"/>
          <w:szCs w:val="16"/>
          <w:lang w:val="es-ES_tradnl"/>
        </w:rPr>
        <w:t xml:space="preserve">culos 75; 76, numerales 1 y 7, literales a, k y l; y 82 </w:t>
      </w:r>
      <w:r>
        <w:rPr>
          <w:spacing w:val="-5"/>
          <w:sz w:val="16"/>
          <w:szCs w:val="16"/>
          <w:lang w:val="es-ES_tradnl"/>
        </w:rPr>
        <w:t>de la Constituci</w:t>
      </w:r>
      <w:r>
        <w:rPr>
          <w:rFonts w:cs="Times New Roman"/>
          <w:spacing w:val="-5"/>
          <w:sz w:val="16"/>
          <w:szCs w:val="16"/>
          <w:lang w:val="es-ES_tradnl"/>
        </w:rPr>
        <w:t>ó</w:t>
      </w:r>
      <w:r>
        <w:rPr>
          <w:spacing w:val="-5"/>
          <w:sz w:val="16"/>
          <w:szCs w:val="16"/>
          <w:lang w:val="es-ES_tradnl"/>
        </w:rPr>
        <w:t>n de la Rep</w:t>
      </w:r>
      <w:r>
        <w:rPr>
          <w:rFonts w:cs="Times New Roman"/>
          <w:spacing w:val="-5"/>
          <w:sz w:val="16"/>
          <w:szCs w:val="16"/>
          <w:lang w:val="es-ES_tradnl"/>
        </w:rPr>
        <w:t>ú</w:t>
      </w:r>
      <w:r>
        <w:rPr>
          <w:spacing w:val="-5"/>
          <w:sz w:val="16"/>
          <w:szCs w:val="16"/>
          <w:lang w:val="es-ES_tradnl"/>
        </w:rPr>
        <w:t>blica del Ecuador, en la Sentencia emitida por los se</w:t>
      </w:r>
      <w:r>
        <w:rPr>
          <w:rFonts w:cs="Times New Roman"/>
          <w:spacing w:val="-5"/>
          <w:sz w:val="16"/>
          <w:szCs w:val="16"/>
          <w:lang w:val="es-ES_tradnl"/>
        </w:rPr>
        <w:t>ñ</w:t>
      </w:r>
      <w:r>
        <w:rPr>
          <w:spacing w:val="-5"/>
          <w:sz w:val="16"/>
          <w:szCs w:val="16"/>
          <w:lang w:val="es-ES_tradnl"/>
        </w:rPr>
        <w:t xml:space="preserve">ores Jueces de la Sala de lo Laboral de la Corte Nacional de Justicia, de 05 de </w:t>
      </w:r>
      <w:r>
        <w:rPr>
          <w:sz w:val="16"/>
          <w:szCs w:val="16"/>
          <w:lang w:val="es-ES_tradnl"/>
        </w:rPr>
        <w:t>diciembre de 2013, de las 10H10; y,</w:t>
      </w:r>
    </w:p>
    <w:p w14:paraId="4F67B30A" w14:textId="77777777" w:rsidR="00591D54" w:rsidRDefault="00591D54" w:rsidP="00251195">
      <w:pPr>
        <w:numPr>
          <w:ilvl w:val="0"/>
          <w:numId w:val="94"/>
        </w:numPr>
        <w:shd w:val="clear" w:color="auto" w:fill="FFFFFF"/>
        <w:tabs>
          <w:tab w:val="left" w:pos="566"/>
        </w:tabs>
        <w:spacing w:line="216" w:lineRule="exact"/>
        <w:ind w:left="566" w:hanging="283"/>
        <w:jc w:val="both"/>
        <w:rPr>
          <w:spacing w:val="-10"/>
          <w:sz w:val="16"/>
          <w:szCs w:val="16"/>
          <w:lang w:val="es-ES_tradnl"/>
        </w:rPr>
      </w:pPr>
      <w:r>
        <w:rPr>
          <w:spacing w:val="-7"/>
          <w:sz w:val="16"/>
          <w:szCs w:val="16"/>
          <w:lang w:val="es-ES_tradnl"/>
        </w:rPr>
        <w:t>Se</w:t>
      </w:r>
      <w:r>
        <w:rPr>
          <w:spacing w:val="-7"/>
          <w:sz w:val="18"/>
          <w:szCs w:val="18"/>
          <w:lang w:val="es-ES_tradnl"/>
        </w:rPr>
        <w:t xml:space="preserve"> </w:t>
      </w:r>
      <w:r>
        <w:rPr>
          <w:spacing w:val="-7"/>
          <w:sz w:val="16"/>
          <w:szCs w:val="16"/>
          <w:lang w:val="es-ES_tradnl"/>
        </w:rPr>
        <w:t>deje</w:t>
      </w:r>
      <w:r>
        <w:rPr>
          <w:spacing w:val="-7"/>
          <w:sz w:val="18"/>
          <w:szCs w:val="18"/>
          <w:lang w:val="es-ES_tradnl"/>
        </w:rPr>
        <w:t xml:space="preserve"> </w:t>
      </w:r>
      <w:r>
        <w:rPr>
          <w:spacing w:val="-7"/>
          <w:sz w:val="16"/>
          <w:szCs w:val="16"/>
          <w:lang w:val="es-ES_tradnl"/>
        </w:rPr>
        <w:t>sin</w:t>
      </w:r>
      <w:r>
        <w:rPr>
          <w:spacing w:val="-7"/>
          <w:sz w:val="18"/>
          <w:szCs w:val="18"/>
          <w:lang w:val="es-ES_tradnl"/>
        </w:rPr>
        <w:t xml:space="preserve"> </w:t>
      </w:r>
      <w:r>
        <w:rPr>
          <w:spacing w:val="-7"/>
          <w:sz w:val="16"/>
          <w:szCs w:val="16"/>
          <w:lang w:val="es-ES_tradnl"/>
        </w:rPr>
        <w:t>efecto</w:t>
      </w:r>
      <w:r>
        <w:rPr>
          <w:spacing w:val="-7"/>
          <w:sz w:val="18"/>
          <w:szCs w:val="18"/>
          <w:lang w:val="es-ES_tradnl"/>
        </w:rPr>
        <w:t xml:space="preserve"> </w:t>
      </w:r>
      <w:r>
        <w:rPr>
          <w:spacing w:val="-7"/>
          <w:sz w:val="16"/>
          <w:szCs w:val="16"/>
          <w:lang w:val="es-ES_tradnl"/>
        </w:rPr>
        <w:t>la</w:t>
      </w:r>
      <w:r>
        <w:rPr>
          <w:spacing w:val="-7"/>
          <w:sz w:val="18"/>
          <w:szCs w:val="18"/>
          <w:lang w:val="es-ES_tradnl"/>
        </w:rPr>
        <w:t xml:space="preserve"> </w:t>
      </w:r>
      <w:r>
        <w:rPr>
          <w:spacing w:val="-7"/>
          <w:sz w:val="16"/>
          <w:szCs w:val="16"/>
          <w:lang w:val="es-ES_tradnl"/>
        </w:rPr>
        <w:t>Sentencia</w:t>
      </w:r>
      <w:r>
        <w:rPr>
          <w:spacing w:val="-7"/>
          <w:sz w:val="18"/>
          <w:szCs w:val="18"/>
          <w:lang w:val="es-ES_tradnl"/>
        </w:rPr>
        <w:t xml:space="preserve"> </w:t>
      </w:r>
      <w:r>
        <w:rPr>
          <w:spacing w:val="-7"/>
          <w:sz w:val="16"/>
          <w:szCs w:val="16"/>
          <w:lang w:val="es-ES_tradnl"/>
        </w:rPr>
        <w:t>emitida</w:t>
      </w:r>
      <w:r>
        <w:rPr>
          <w:spacing w:val="-7"/>
          <w:sz w:val="18"/>
          <w:szCs w:val="18"/>
          <w:lang w:val="es-ES_tradnl"/>
        </w:rPr>
        <w:t xml:space="preserve"> </w:t>
      </w:r>
      <w:r>
        <w:rPr>
          <w:spacing w:val="-7"/>
          <w:sz w:val="16"/>
          <w:szCs w:val="16"/>
          <w:lang w:val="es-ES_tradnl"/>
        </w:rPr>
        <w:t>por</w:t>
      </w:r>
      <w:r>
        <w:rPr>
          <w:spacing w:val="-7"/>
          <w:sz w:val="18"/>
          <w:szCs w:val="18"/>
          <w:lang w:val="es-ES_tradnl"/>
        </w:rPr>
        <w:t xml:space="preserve"> </w:t>
      </w:r>
      <w:r>
        <w:rPr>
          <w:spacing w:val="-7"/>
          <w:sz w:val="16"/>
          <w:szCs w:val="16"/>
          <w:lang w:val="es-ES_tradnl"/>
        </w:rPr>
        <w:t>los</w:t>
      </w:r>
      <w:r>
        <w:rPr>
          <w:spacing w:val="-7"/>
          <w:sz w:val="18"/>
          <w:szCs w:val="18"/>
          <w:lang w:val="es-ES_tradnl"/>
        </w:rPr>
        <w:t xml:space="preserve"> </w:t>
      </w:r>
      <w:r>
        <w:rPr>
          <w:spacing w:val="-7"/>
          <w:sz w:val="16"/>
          <w:szCs w:val="16"/>
          <w:lang w:val="es-ES_tradnl"/>
        </w:rPr>
        <w:t>se</w:t>
      </w:r>
      <w:r>
        <w:rPr>
          <w:rFonts w:cs="Times New Roman"/>
          <w:spacing w:val="-7"/>
          <w:sz w:val="16"/>
          <w:szCs w:val="16"/>
          <w:lang w:val="es-ES_tradnl"/>
        </w:rPr>
        <w:t>ñ</w:t>
      </w:r>
      <w:r>
        <w:rPr>
          <w:spacing w:val="-7"/>
          <w:sz w:val="16"/>
          <w:szCs w:val="16"/>
          <w:lang w:val="es-ES_tradnl"/>
        </w:rPr>
        <w:t xml:space="preserve">ores </w:t>
      </w:r>
      <w:r>
        <w:rPr>
          <w:spacing w:val="-6"/>
          <w:sz w:val="16"/>
          <w:szCs w:val="16"/>
          <w:lang w:val="es-ES_tradnl"/>
        </w:rPr>
        <w:t xml:space="preserve">Jueces de la Sala de lo Laboral de la Corte Nacional de </w:t>
      </w:r>
      <w:r>
        <w:rPr>
          <w:spacing w:val="-7"/>
          <w:sz w:val="16"/>
          <w:szCs w:val="16"/>
          <w:lang w:val="es-ES_tradnl"/>
        </w:rPr>
        <w:t>Justicia, de 05 de diciembre de 2013, de las 10H10.</w:t>
      </w:r>
    </w:p>
    <w:p w14:paraId="4F67B30B" w14:textId="77777777" w:rsidR="00591D54" w:rsidRDefault="00591D54">
      <w:pPr>
        <w:shd w:val="clear" w:color="auto" w:fill="FFFFFF"/>
        <w:spacing w:before="197"/>
      </w:pPr>
      <w:r>
        <w:rPr>
          <w:b/>
          <w:bCs/>
          <w:spacing w:val="-10"/>
          <w:sz w:val="18"/>
          <w:szCs w:val="18"/>
          <w:lang w:val="es-ES_tradnl"/>
        </w:rPr>
        <w:t>Contestaci</w:t>
      </w:r>
      <w:r>
        <w:rPr>
          <w:rFonts w:cs="Times New Roman"/>
          <w:b/>
          <w:bCs/>
          <w:spacing w:val="-10"/>
          <w:sz w:val="18"/>
          <w:szCs w:val="18"/>
          <w:lang w:val="es-ES_tradnl"/>
        </w:rPr>
        <w:t>ó</w:t>
      </w:r>
      <w:r>
        <w:rPr>
          <w:b/>
          <w:bCs/>
          <w:spacing w:val="-10"/>
          <w:sz w:val="18"/>
          <w:szCs w:val="18"/>
          <w:lang w:val="es-ES_tradnl"/>
        </w:rPr>
        <w:t>n a la demanda</w:t>
      </w:r>
    </w:p>
    <w:p w14:paraId="4F67B30C" w14:textId="77777777" w:rsidR="00591D54" w:rsidRDefault="00591D54">
      <w:pPr>
        <w:shd w:val="clear" w:color="auto" w:fill="FFFFFF"/>
        <w:spacing w:before="197" w:line="216" w:lineRule="exact"/>
        <w:jc w:val="both"/>
      </w:pPr>
      <w:r>
        <w:rPr>
          <w:spacing w:val="-12"/>
          <w:sz w:val="18"/>
          <w:szCs w:val="18"/>
          <w:lang w:val="es-ES_tradnl"/>
        </w:rPr>
        <w:t>Mediante hoja de registro N.</w:t>
      </w:r>
      <w:r>
        <w:rPr>
          <w:rFonts w:cs="Times New Roman"/>
          <w:spacing w:val="-12"/>
          <w:sz w:val="18"/>
          <w:szCs w:val="18"/>
          <w:lang w:val="es-ES_tradnl"/>
        </w:rPr>
        <w:t>º</w:t>
      </w:r>
      <w:r>
        <w:rPr>
          <w:spacing w:val="-12"/>
          <w:sz w:val="18"/>
          <w:szCs w:val="18"/>
          <w:lang w:val="es-ES_tradnl"/>
        </w:rPr>
        <w:t xml:space="preserve"> 7056 del 23 de octubre de 2014, </w:t>
      </w:r>
      <w:r>
        <w:rPr>
          <w:spacing w:val="-9"/>
          <w:sz w:val="18"/>
          <w:szCs w:val="18"/>
          <w:lang w:val="es-ES_tradnl"/>
        </w:rPr>
        <w:t>ingres</w:t>
      </w:r>
      <w:r>
        <w:rPr>
          <w:rFonts w:cs="Times New Roman"/>
          <w:spacing w:val="-9"/>
          <w:sz w:val="18"/>
          <w:szCs w:val="18"/>
          <w:lang w:val="es-ES_tradnl"/>
        </w:rPr>
        <w:t>ó</w:t>
      </w:r>
      <w:r>
        <w:rPr>
          <w:spacing w:val="-9"/>
          <w:sz w:val="18"/>
          <w:szCs w:val="18"/>
          <w:lang w:val="es-ES_tradnl"/>
        </w:rPr>
        <w:t xml:space="preserve"> al Organismo el escrito presentado por los doctores </w:t>
      </w:r>
      <w:r>
        <w:rPr>
          <w:spacing w:val="-5"/>
          <w:sz w:val="18"/>
          <w:szCs w:val="18"/>
          <w:lang w:val="es-ES_tradnl"/>
        </w:rPr>
        <w:t>Jorge Blum Carcel</w:t>
      </w:r>
      <w:r>
        <w:rPr>
          <w:rFonts w:cs="Times New Roman"/>
          <w:spacing w:val="-5"/>
          <w:sz w:val="18"/>
          <w:szCs w:val="18"/>
          <w:lang w:val="es-ES_tradnl"/>
        </w:rPr>
        <w:t>é</w:t>
      </w:r>
      <w:r>
        <w:rPr>
          <w:spacing w:val="-5"/>
          <w:sz w:val="18"/>
          <w:szCs w:val="18"/>
          <w:lang w:val="es-ES_tradnl"/>
        </w:rPr>
        <w:t>n, Paulina Aguirre Su</w:t>
      </w:r>
      <w:r>
        <w:rPr>
          <w:rFonts w:cs="Times New Roman"/>
          <w:spacing w:val="-5"/>
          <w:sz w:val="18"/>
          <w:szCs w:val="18"/>
          <w:lang w:val="es-ES_tradnl"/>
        </w:rPr>
        <w:t>á</w:t>
      </w:r>
      <w:r>
        <w:rPr>
          <w:spacing w:val="-5"/>
          <w:sz w:val="18"/>
          <w:szCs w:val="18"/>
          <w:lang w:val="es-ES_tradnl"/>
        </w:rPr>
        <w:t xml:space="preserve">rez y Richard </w:t>
      </w:r>
      <w:r>
        <w:rPr>
          <w:spacing w:val="-8"/>
          <w:sz w:val="18"/>
          <w:szCs w:val="18"/>
          <w:lang w:val="es-ES_tradnl"/>
        </w:rPr>
        <w:t>Villag</w:t>
      </w:r>
      <w:r>
        <w:rPr>
          <w:rFonts w:cs="Times New Roman"/>
          <w:spacing w:val="-8"/>
          <w:sz w:val="18"/>
          <w:szCs w:val="18"/>
          <w:lang w:val="es-ES_tradnl"/>
        </w:rPr>
        <w:t>ó</w:t>
      </w:r>
      <w:r>
        <w:rPr>
          <w:spacing w:val="-8"/>
          <w:sz w:val="18"/>
          <w:szCs w:val="18"/>
          <w:lang w:val="es-ES_tradnl"/>
        </w:rPr>
        <w:t xml:space="preserve">mez Cabezas, quienes comparecen en calidad de jueces y conjuez integrantes de la Sala de lo Laboral de la </w:t>
      </w:r>
      <w:r>
        <w:rPr>
          <w:spacing w:val="-9"/>
          <w:sz w:val="18"/>
          <w:szCs w:val="18"/>
          <w:lang w:val="es-ES_tradnl"/>
        </w:rPr>
        <w:t>Corte Nacional de Justicia y dando contestaci</w:t>
      </w:r>
      <w:r>
        <w:rPr>
          <w:rFonts w:cs="Times New Roman"/>
          <w:spacing w:val="-9"/>
          <w:sz w:val="18"/>
          <w:szCs w:val="18"/>
          <w:lang w:val="es-ES_tradnl"/>
        </w:rPr>
        <w:t>ó</w:t>
      </w:r>
      <w:r>
        <w:rPr>
          <w:spacing w:val="-9"/>
          <w:sz w:val="18"/>
          <w:szCs w:val="18"/>
          <w:lang w:val="es-ES_tradnl"/>
        </w:rPr>
        <w:t>n a la acci</w:t>
      </w:r>
      <w:r>
        <w:rPr>
          <w:rFonts w:cs="Times New Roman"/>
          <w:spacing w:val="-9"/>
          <w:sz w:val="18"/>
          <w:szCs w:val="18"/>
          <w:lang w:val="es-ES_tradnl"/>
        </w:rPr>
        <w:t>ó</w:t>
      </w:r>
      <w:r>
        <w:rPr>
          <w:spacing w:val="-9"/>
          <w:sz w:val="18"/>
          <w:szCs w:val="18"/>
          <w:lang w:val="es-ES_tradnl"/>
        </w:rPr>
        <w:t xml:space="preserve">n </w:t>
      </w:r>
      <w:r>
        <w:rPr>
          <w:spacing w:val="-5"/>
          <w:sz w:val="18"/>
          <w:szCs w:val="18"/>
          <w:lang w:val="es-ES_tradnl"/>
        </w:rPr>
        <w:t>extraordinaria de protecci</w:t>
      </w:r>
      <w:r>
        <w:rPr>
          <w:rFonts w:cs="Times New Roman"/>
          <w:spacing w:val="-5"/>
          <w:sz w:val="18"/>
          <w:szCs w:val="18"/>
          <w:lang w:val="es-ES_tradnl"/>
        </w:rPr>
        <w:t>ó</w:t>
      </w:r>
      <w:r>
        <w:rPr>
          <w:spacing w:val="-5"/>
          <w:sz w:val="18"/>
          <w:szCs w:val="18"/>
          <w:lang w:val="es-ES_tradnl"/>
        </w:rPr>
        <w:t>n N.</w:t>
      </w:r>
      <w:r>
        <w:rPr>
          <w:rFonts w:cs="Times New Roman"/>
          <w:spacing w:val="-5"/>
          <w:sz w:val="18"/>
          <w:szCs w:val="18"/>
          <w:lang w:val="es-ES_tradnl"/>
        </w:rPr>
        <w:t>º</w:t>
      </w:r>
      <w:r>
        <w:rPr>
          <w:spacing w:val="-5"/>
          <w:sz w:val="18"/>
          <w:szCs w:val="18"/>
          <w:lang w:val="es-ES_tradnl"/>
        </w:rPr>
        <w:t xml:space="preserve"> 0721-14-EP, propuesta </w:t>
      </w:r>
      <w:r>
        <w:rPr>
          <w:spacing w:val="-3"/>
          <w:sz w:val="18"/>
          <w:szCs w:val="18"/>
          <w:lang w:val="es-ES_tradnl"/>
        </w:rPr>
        <w:t xml:space="preserve">por Wilfrido Euclides Montalvo Bustamante y Libertad </w:t>
      </w:r>
      <w:r>
        <w:rPr>
          <w:spacing w:val="-8"/>
          <w:sz w:val="18"/>
          <w:szCs w:val="18"/>
          <w:lang w:val="es-ES_tradnl"/>
        </w:rPr>
        <w:t>Marlene Galarza Ortega, manifiestan lo siguiente:</w:t>
      </w:r>
    </w:p>
    <w:p w14:paraId="4F67B30D" w14:textId="77777777" w:rsidR="00591D54" w:rsidRDefault="00591D54">
      <w:pPr>
        <w:shd w:val="clear" w:color="auto" w:fill="FFFFFF"/>
        <w:spacing w:before="197" w:line="216" w:lineRule="exact"/>
        <w:jc w:val="both"/>
      </w:pPr>
      <w:r>
        <w:rPr>
          <w:sz w:val="18"/>
          <w:szCs w:val="18"/>
          <w:lang w:val="es-ES_tradnl"/>
        </w:rPr>
        <w:t xml:space="preserve">Respecto de la competencia para conocer el caso, </w:t>
      </w:r>
      <w:r>
        <w:rPr>
          <w:spacing w:val="-3"/>
          <w:sz w:val="18"/>
          <w:szCs w:val="18"/>
          <w:lang w:val="es-ES_tradnl"/>
        </w:rPr>
        <w:t>se</w:t>
      </w:r>
      <w:r>
        <w:rPr>
          <w:rFonts w:cs="Times New Roman"/>
          <w:spacing w:val="-3"/>
          <w:sz w:val="18"/>
          <w:szCs w:val="18"/>
          <w:lang w:val="es-ES_tradnl"/>
        </w:rPr>
        <w:t>ñ</w:t>
      </w:r>
      <w:r>
        <w:rPr>
          <w:spacing w:val="-3"/>
          <w:sz w:val="18"/>
          <w:szCs w:val="18"/>
          <w:lang w:val="es-ES_tradnl"/>
        </w:rPr>
        <w:t xml:space="preserve">alan que las Salas de la Corte Nacional de Justicia </w:t>
      </w:r>
      <w:r>
        <w:rPr>
          <w:spacing w:val="-9"/>
          <w:sz w:val="18"/>
          <w:szCs w:val="18"/>
          <w:lang w:val="es-ES_tradnl"/>
        </w:rPr>
        <w:t>son competentes para conocer los recursos de casaci</w:t>
      </w:r>
      <w:r>
        <w:rPr>
          <w:rFonts w:cs="Times New Roman"/>
          <w:spacing w:val="-9"/>
          <w:sz w:val="18"/>
          <w:szCs w:val="18"/>
          <w:lang w:val="es-ES_tradnl"/>
        </w:rPr>
        <w:t>ó</w:t>
      </w:r>
      <w:r>
        <w:rPr>
          <w:spacing w:val="-9"/>
          <w:sz w:val="18"/>
          <w:szCs w:val="18"/>
          <w:lang w:val="es-ES_tradnl"/>
        </w:rPr>
        <w:t xml:space="preserve">n, </w:t>
      </w:r>
      <w:r>
        <w:rPr>
          <w:spacing w:val="-5"/>
          <w:sz w:val="18"/>
          <w:szCs w:val="18"/>
          <w:lang w:val="es-ES_tradnl"/>
        </w:rPr>
        <w:t>conforme lo determinan los art</w:t>
      </w:r>
      <w:r>
        <w:rPr>
          <w:rFonts w:cs="Times New Roman"/>
          <w:spacing w:val="-5"/>
          <w:sz w:val="18"/>
          <w:szCs w:val="18"/>
          <w:lang w:val="es-ES_tradnl"/>
        </w:rPr>
        <w:t>í</w:t>
      </w:r>
      <w:r>
        <w:rPr>
          <w:spacing w:val="-5"/>
          <w:sz w:val="18"/>
          <w:szCs w:val="18"/>
          <w:lang w:val="es-ES_tradnl"/>
        </w:rPr>
        <w:t xml:space="preserve">culos 172 y 184 de la </w:t>
      </w:r>
      <w:r>
        <w:rPr>
          <w:spacing w:val="-4"/>
          <w:sz w:val="18"/>
          <w:szCs w:val="18"/>
          <w:lang w:val="es-ES_tradnl"/>
        </w:rPr>
        <w:t>Constituci</w:t>
      </w:r>
      <w:r>
        <w:rPr>
          <w:rFonts w:cs="Times New Roman"/>
          <w:spacing w:val="-4"/>
          <w:sz w:val="18"/>
          <w:szCs w:val="18"/>
          <w:lang w:val="es-ES_tradnl"/>
        </w:rPr>
        <w:t>ó</w:t>
      </w:r>
      <w:r>
        <w:rPr>
          <w:spacing w:val="-4"/>
          <w:sz w:val="18"/>
          <w:szCs w:val="18"/>
          <w:lang w:val="es-ES_tradnl"/>
        </w:rPr>
        <w:t>n de la Rep</w:t>
      </w:r>
      <w:r>
        <w:rPr>
          <w:rFonts w:cs="Times New Roman"/>
          <w:spacing w:val="-4"/>
          <w:sz w:val="18"/>
          <w:szCs w:val="18"/>
          <w:lang w:val="es-ES_tradnl"/>
        </w:rPr>
        <w:t>ú</w:t>
      </w:r>
      <w:r>
        <w:rPr>
          <w:spacing w:val="-4"/>
          <w:sz w:val="18"/>
          <w:szCs w:val="18"/>
          <w:lang w:val="es-ES_tradnl"/>
        </w:rPr>
        <w:t>blica, en relaci</w:t>
      </w:r>
      <w:r>
        <w:rPr>
          <w:rFonts w:cs="Times New Roman"/>
          <w:spacing w:val="-4"/>
          <w:sz w:val="18"/>
          <w:szCs w:val="18"/>
          <w:lang w:val="es-ES_tradnl"/>
        </w:rPr>
        <w:t>ó</w:t>
      </w:r>
      <w:r>
        <w:rPr>
          <w:spacing w:val="-4"/>
          <w:sz w:val="18"/>
          <w:szCs w:val="18"/>
          <w:lang w:val="es-ES_tradnl"/>
        </w:rPr>
        <w:t>n con el art</w:t>
      </w:r>
      <w:r>
        <w:rPr>
          <w:rFonts w:cs="Times New Roman"/>
          <w:spacing w:val="-4"/>
          <w:sz w:val="18"/>
          <w:szCs w:val="18"/>
          <w:lang w:val="es-ES_tradnl"/>
        </w:rPr>
        <w:t>í</w:t>
      </w:r>
      <w:r>
        <w:rPr>
          <w:spacing w:val="-4"/>
          <w:sz w:val="18"/>
          <w:szCs w:val="18"/>
          <w:lang w:val="es-ES_tradnl"/>
        </w:rPr>
        <w:t xml:space="preserve">culo </w:t>
      </w:r>
      <w:r>
        <w:rPr>
          <w:spacing w:val="-7"/>
          <w:sz w:val="18"/>
          <w:szCs w:val="18"/>
          <w:lang w:val="es-ES_tradnl"/>
        </w:rPr>
        <w:t>191 numeral 1 del C</w:t>
      </w:r>
      <w:r>
        <w:rPr>
          <w:rFonts w:cs="Times New Roman"/>
          <w:spacing w:val="-7"/>
          <w:sz w:val="18"/>
          <w:szCs w:val="18"/>
          <w:lang w:val="es-ES_tradnl"/>
        </w:rPr>
        <w:t>ó</w:t>
      </w:r>
      <w:r>
        <w:rPr>
          <w:spacing w:val="-7"/>
          <w:sz w:val="18"/>
          <w:szCs w:val="18"/>
          <w:lang w:val="es-ES_tradnl"/>
        </w:rPr>
        <w:t>digo Org</w:t>
      </w:r>
      <w:r>
        <w:rPr>
          <w:rFonts w:cs="Times New Roman"/>
          <w:spacing w:val="-7"/>
          <w:sz w:val="18"/>
          <w:szCs w:val="18"/>
          <w:lang w:val="es-ES_tradnl"/>
        </w:rPr>
        <w:t>á</w:t>
      </w:r>
      <w:r>
        <w:rPr>
          <w:spacing w:val="-7"/>
          <w:sz w:val="18"/>
          <w:szCs w:val="18"/>
          <w:lang w:val="es-ES_tradnl"/>
        </w:rPr>
        <w:t>nico de la Funci</w:t>
      </w:r>
      <w:r>
        <w:rPr>
          <w:rFonts w:cs="Times New Roman"/>
          <w:spacing w:val="-7"/>
          <w:sz w:val="18"/>
          <w:szCs w:val="18"/>
          <w:lang w:val="es-ES_tradnl"/>
        </w:rPr>
        <w:t>ó</w:t>
      </w:r>
      <w:r>
        <w:rPr>
          <w:spacing w:val="-7"/>
          <w:sz w:val="18"/>
          <w:szCs w:val="18"/>
          <w:lang w:val="es-ES_tradnl"/>
        </w:rPr>
        <w:t xml:space="preserve">n Judicial, </w:t>
      </w:r>
      <w:r>
        <w:rPr>
          <w:spacing w:val="-5"/>
          <w:sz w:val="18"/>
          <w:szCs w:val="18"/>
          <w:lang w:val="es-ES_tradnl"/>
        </w:rPr>
        <w:t>el art</w:t>
      </w:r>
      <w:r>
        <w:rPr>
          <w:rFonts w:cs="Times New Roman"/>
          <w:spacing w:val="-5"/>
          <w:sz w:val="18"/>
          <w:szCs w:val="18"/>
          <w:lang w:val="es-ES_tradnl"/>
        </w:rPr>
        <w:t>í</w:t>
      </w:r>
      <w:r>
        <w:rPr>
          <w:spacing w:val="-5"/>
          <w:sz w:val="18"/>
          <w:szCs w:val="18"/>
          <w:lang w:val="es-ES_tradnl"/>
        </w:rPr>
        <w:t>culo 1 de la Ley de Casaci</w:t>
      </w:r>
      <w:r>
        <w:rPr>
          <w:rFonts w:cs="Times New Roman"/>
          <w:spacing w:val="-5"/>
          <w:sz w:val="18"/>
          <w:szCs w:val="18"/>
          <w:lang w:val="es-ES_tradnl"/>
        </w:rPr>
        <w:t>ó</w:t>
      </w:r>
      <w:r>
        <w:rPr>
          <w:spacing w:val="-5"/>
          <w:sz w:val="18"/>
          <w:szCs w:val="18"/>
          <w:lang w:val="es-ES_tradnl"/>
        </w:rPr>
        <w:t>n y el art</w:t>
      </w:r>
      <w:r>
        <w:rPr>
          <w:rFonts w:cs="Times New Roman"/>
          <w:spacing w:val="-5"/>
          <w:sz w:val="18"/>
          <w:szCs w:val="18"/>
          <w:lang w:val="es-ES_tradnl"/>
        </w:rPr>
        <w:t>í</w:t>
      </w:r>
      <w:r>
        <w:rPr>
          <w:spacing w:val="-5"/>
          <w:sz w:val="18"/>
          <w:szCs w:val="18"/>
          <w:lang w:val="es-ES_tradnl"/>
        </w:rPr>
        <w:t xml:space="preserve">culo 613 del </w:t>
      </w:r>
      <w:r>
        <w:rPr>
          <w:sz w:val="18"/>
          <w:szCs w:val="18"/>
          <w:lang w:val="es-ES_tradnl"/>
        </w:rPr>
        <w:t>C</w:t>
      </w:r>
      <w:r>
        <w:rPr>
          <w:rFonts w:cs="Times New Roman"/>
          <w:sz w:val="18"/>
          <w:szCs w:val="18"/>
          <w:lang w:val="es-ES_tradnl"/>
        </w:rPr>
        <w:t>ó</w:t>
      </w:r>
      <w:r>
        <w:rPr>
          <w:sz w:val="18"/>
          <w:szCs w:val="18"/>
          <w:lang w:val="es-ES_tradnl"/>
        </w:rPr>
        <w:t>digo de Trabajo.</w:t>
      </w:r>
    </w:p>
    <w:p w14:paraId="4F67B30E" w14:textId="77777777" w:rsidR="00591D54" w:rsidRDefault="00591D54">
      <w:pPr>
        <w:shd w:val="clear" w:color="auto" w:fill="FFFFFF"/>
        <w:spacing w:before="197" w:line="216" w:lineRule="exact"/>
        <w:jc w:val="both"/>
      </w:pPr>
      <w:r>
        <w:rPr>
          <w:spacing w:val="-8"/>
          <w:sz w:val="18"/>
          <w:szCs w:val="18"/>
          <w:lang w:val="es-ES_tradnl"/>
        </w:rPr>
        <w:t xml:space="preserve">Por otra parte, y respecto a las vulneraciones de derechos </w:t>
      </w:r>
      <w:r>
        <w:rPr>
          <w:spacing w:val="-6"/>
          <w:sz w:val="18"/>
          <w:szCs w:val="18"/>
          <w:lang w:val="es-ES_tradnl"/>
        </w:rPr>
        <w:t>constitucionales alegadas, los jueces de la Sala se</w:t>
      </w:r>
      <w:r>
        <w:rPr>
          <w:rFonts w:cs="Times New Roman"/>
          <w:spacing w:val="-6"/>
          <w:sz w:val="18"/>
          <w:szCs w:val="18"/>
          <w:lang w:val="es-ES_tradnl"/>
        </w:rPr>
        <w:t>ñ</w:t>
      </w:r>
      <w:r>
        <w:rPr>
          <w:spacing w:val="-6"/>
          <w:sz w:val="18"/>
          <w:szCs w:val="18"/>
          <w:lang w:val="es-ES_tradnl"/>
        </w:rPr>
        <w:t xml:space="preserve">alan </w:t>
      </w:r>
      <w:r>
        <w:rPr>
          <w:spacing w:val="-9"/>
          <w:sz w:val="18"/>
          <w:szCs w:val="18"/>
          <w:lang w:val="es-ES_tradnl"/>
        </w:rPr>
        <w:t>que la sentencia dictada respeta los par</w:t>
      </w:r>
      <w:r>
        <w:rPr>
          <w:rFonts w:cs="Times New Roman"/>
          <w:spacing w:val="-9"/>
          <w:sz w:val="18"/>
          <w:szCs w:val="18"/>
          <w:lang w:val="es-ES_tradnl"/>
        </w:rPr>
        <w:t>á</w:t>
      </w:r>
      <w:r>
        <w:rPr>
          <w:spacing w:val="-9"/>
          <w:sz w:val="18"/>
          <w:szCs w:val="18"/>
          <w:lang w:val="es-ES_tradnl"/>
        </w:rPr>
        <w:t xml:space="preserve">metros del debido </w:t>
      </w:r>
      <w:r>
        <w:rPr>
          <w:spacing w:val="-8"/>
          <w:sz w:val="18"/>
          <w:szCs w:val="18"/>
          <w:lang w:val="es-ES_tradnl"/>
        </w:rPr>
        <w:t>proceso, derecho a la defensa, seguridad jur</w:t>
      </w:r>
      <w:r>
        <w:rPr>
          <w:rFonts w:cs="Times New Roman"/>
          <w:spacing w:val="-8"/>
          <w:sz w:val="18"/>
          <w:szCs w:val="18"/>
          <w:lang w:val="es-ES_tradnl"/>
        </w:rPr>
        <w:t>í</w:t>
      </w:r>
      <w:r>
        <w:rPr>
          <w:spacing w:val="-8"/>
          <w:sz w:val="18"/>
          <w:szCs w:val="18"/>
          <w:lang w:val="es-ES_tradnl"/>
        </w:rPr>
        <w:t>dica y la tutela</w:t>
      </w:r>
    </w:p>
    <w:p w14:paraId="4F67B30F" w14:textId="77777777" w:rsidR="00591D54" w:rsidRDefault="00591D54">
      <w:pPr>
        <w:shd w:val="clear" w:color="auto" w:fill="FFFFFF"/>
        <w:spacing w:before="197" w:line="216" w:lineRule="exact"/>
        <w:jc w:val="both"/>
        <w:sectPr w:rsidR="00591D54">
          <w:type w:val="continuous"/>
          <w:pgSz w:w="11909" w:h="16834"/>
          <w:pgMar w:top="1371" w:right="1309" w:bottom="360" w:left="1308" w:header="720" w:footer="720" w:gutter="0"/>
          <w:cols w:num="2" w:space="720" w:equalWidth="0">
            <w:col w:w="4305" w:space="682"/>
            <w:col w:w="4305"/>
          </w:cols>
          <w:noEndnote/>
        </w:sectPr>
      </w:pPr>
    </w:p>
    <w:p w14:paraId="4F67B310"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- 191</w:t>
      </w:r>
    </w:p>
    <w:p w14:paraId="4F67B311" w14:textId="77777777" w:rsidR="00591D54" w:rsidRDefault="00591D54">
      <w:pPr>
        <w:shd w:val="clear" w:color="auto" w:fill="FFFFFF"/>
        <w:tabs>
          <w:tab w:val="left" w:pos="5842"/>
        </w:tabs>
        <w:spacing w:after="235"/>
        <w:ind w:left="5"/>
        <w:sectPr w:rsidR="00591D54">
          <w:pgSz w:w="11909" w:h="16834"/>
          <w:pgMar w:top="1371" w:right="1309" w:bottom="360" w:left="1308" w:header="720" w:footer="720" w:gutter="0"/>
          <w:cols w:space="60"/>
          <w:noEndnote/>
        </w:sectPr>
      </w:pPr>
    </w:p>
    <w:p w14:paraId="4F67B312" w14:textId="77777777" w:rsidR="00591D54" w:rsidRDefault="00591D54">
      <w:pPr>
        <w:shd w:val="clear" w:color="auto" w:fill="FFFFFF"/>
        <w:spacing w:line="216" w:lineRule="exact"/>
        <w:jc w:val="both"/>
      </w:pPr>
      <w:r>
        <w:rPr>
          <w:spacing w:val="-5"/>
          <w:sz w:val="18"/>
          <w:szCs w:val="18"/>
          <w:lang w:val="es-ES_tradnl"/>
        </w:rPr>
        <w:t>judicial efectiva conforme manda la Constituci</w:t>
      </w:r>
      <w:r>
        <w:rPr>
          <w:rFonts w:cs="Times New Roman"/>
          <w:spacing w:val="-5"/>
          <w:sz w:val="18"/>
          <w:szCs w:val="18"/>
          <w:lang w:val="es-ES_tradnl"/>
        </w:rPr>
        <w:t>ó</w:t>
      </w:r>
      <w:r>
        <w:rPr>
          <w:spacing w:val="-5"/>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blica, pues, en el fallo, se ha establecido de manera clara, expresa, completa, leg</w:t>
      </w:r>
      <w:r>
        <w:rPr>
          <w:rFonts w:cs="Times New Roman"/>
          <w:spacing w:val="-7"/>
          <w:sz w:val="18"/>
          <w:szCs w:val="18"/>
          <w:lang w:val="es-ES_tradnl"/>
        </w:rPr>
        <w:t>í</w:t>
      </w:r>
      <w:r>
        <w:rPr>
          <w:spacing w:val="-7"/>
          <w:sz w:val="18"/>
          <w:szCs w:val="18"/>
          <w:lang w:val="es-ES_tradnl"/>
        </w:rPr>
        <w:t>tima y l</w:t>
      </w:r>
      <w:r>
        <w:rPr>
          <w:rFonts w:cs="Times New Roman"/>
          <w:spacing w:val="-7"/>
          <w:sz w:val="18"/>
          <w:szCs w:val="18"/>
          <w:lang w:val="es-ES_tradnl"/>
        </w:rPr>
        <w:t>ó</w:t>
      </w:r>
      <w:r>
        <w:rPr>
          <w:spacing w:val="-7"/>
          <w:sz w:val="18"/>
          <w:szCs w:val="18"/>
          <w:lang w:val="es-ES_tradnl"/>
        </w:rPr>
        <w:t xml:space="preserve">gica las razones por </w:t>
      </w:r>
      <w:r>
        <w:rPr>
          <w:spacing w:val="-9"/>
          <w:sz w:val="18"/>
          <w:szCs w:val="18"/>
          <w:lang w:val="es-ES_tradnl"/>
        </w:rPr>
        <w:t>las cuales se lleg</w:t>
      </w:r>
      <w:r>
        <w:rPr>
          <w:rFonts w:cs="Times New Roman"/>
          <w:spacing w:val="-9"/>
          <w:sz w:val="18"/>
          <w:szCs w:val="18"/>
          <w:lang w:val="es-ES_tradnl"/>
        </w:rPr>
        <w:t>ó</w:t>
      </w:r>
      <w:r>
        <w:rPr>
          <w:spacing w:val="-9"/>
          <w:sz w:val="18"/>
          <w:szCs w:val="18"/>
          <w:lang w:val="es-ES_tradnl"/>
        </w:rPr>
        <w:t xml:space="preserve"> a determinar que entre los contendientes </w:t>
      </w:r>
      <w:r>
        <w:rPr>
          <w:spacing w:val="-6"/>
          <w:sz w:val="18"/>
          <w:szCs w:val="18"/>
          <w:lang w:val="es-ES_tradnl"/>
        </w:rPr>
        <w:t>existi</w:t>
      </w:r>
      <w:r>
        <w:rPr>
          <w:rFonts w:cs="Times New Roman"/>
          <w:spacing w:val="-6"/>
          <w:sz w:val="18"/>
          <w:szCs w:val="18"/>
          <w:lang w:val="es-ES_tradnl"/>
        </w:rPr>
        <w:t>ó</w:t>
      </w:r>
      <w:r>
        <w:rPr>
          <w:spacing w:val="-6"/>
          <w:sz w:val="18"/>
          <w:szCs w:val="18"/>
          <w:lang w:val="es-ES_tradnl"/>
        </w:rPr>
        <w:t xml:space="preserve"> una relaci</w:t>
      </w:r>
      <w:r>
        <w:rPr>
          <w:rFonts w:cs="Times New Roman"/>
          <w:spacing w:val="-6"/>
          <w:sz w:val="18"/>
          <w:szCs w:val="18"/>
          <w:lang w:val="es-ES_tradnl"/>
        </w:rPr>
        <w:t>ó</w:t>
      </w:r>
      <w:r>
        <w:rPr>
          <w:spacing w:val="-6"/>
          <w:sz w:val="18"/>
          <w:szCs w:val="18"/>
          <w:lang w:val="es-ES_tradnl"/>
        </w:rPr>
        <w:t>n obrero-patronal y no de arrendatario-inquilino como alegaban los demandados, se explic</w:t>
      </w:r>
      <w:r>
        <w:rPr>
          <w:rFonts w:cs="Times New Roman"/>
          <w:spacing w:val="-6"/>
          <w:sz w:val="18"/>
          <w:szCs w:val="18"/>
          <w:lang w:val="es-ES_tradnl"/>
        </w:rPr>
        <w:t>ó</w:t>
      </w:r>
      <w:r>
        <w:rPr>
          <w:spacing w:val="-6"/>
          <w:sz w:val="18"/>
          <w:szCs w:val="18"/>
          <w:lang w:val="es-ES_tradnl"/>
        </w:rPr>
        <w:t xml:space="preserve"> la </w:t>
      </w:r>
      <w:r>
        <w:rPr>
          <w:spacing w:val="-7"/>
          <w:sz w:val="18"/>
          <w:szCs w:val="18"/>
          <w:lang w:val="es-ES_tradnl"/>
        </w:rPr>
        <w:t>pertinencia de la aplicaci</w:t>
      </w:r>
      <w:r>
        <w:rPr>
          <w:rFonts w:cs="Times New Roman"/>
          <w:spacing w:val="-7"/>
          <w:sz w:val="18"/>
          <w:szCs w:val="18"/>
          <w:lang w:val="es-ES_tradnl"/>
        </w:rPr>
        <w:t>ó</w:t>
      </w:r>
      <w:r>
        <w:rPr>
          <w:spacing w:val="-7"/>
          <w:sz w:val="18"/>
          <w:szCs w:val="18"/>
          <w:lang w:val="es-ES_tradnl"/>
        </w:rPr>
        <w:t xml:space="preserve">n de la norma de derecho a los </w:t>
      </w:r>
      <w:r>
        <w:rPr>
          <w:spacing w:val="-8"/>
          <w:sz w:val="18"/>
          <w:szCs w:val="18"/>
          <w:lang w:val="es-ES_tradnl"/>
        </w:rPr>
        <w:t xml:space="preserve">fundamentos de hecho invocados por las partes conforme </w:t>
      </w:r>
      <w:r>
        <w:rPr>
          <w:sz w:val="18"/>
          <w:szCs w:val="18"/>
          <w:lang w:val="es-ES_tradnl"/>
        </w:rPr>
        <w:t>consta en la sentencia.</w:t>
      </w:r>
    </w:p>
    <w:p w14:paraId="4F67B313" w14:textId="77777777" w:rsidR="00591D54" w:rsidRDefault="00591D54">
      <w:pPr>
        <w:shd w:val="clear" w:color="auto" w:fill="FFFFFF"/>
        <w:spacing w:before="197" w:line="216" w:lineRule="exact"/>
        <w:jc w:val="both"/>
      </w:pPr>
      <w:r>
        <w:rPr>
          <w:spacing w:val="-8"/>
          <w:sz w:val="18"/>
          <w:szCs w:val="18"/>
          <w:lang w:val="es-ES_tradnl"/>
        </w:rPr>
        <w:t>Los jueces de la Sala se</w:t>
      </w:r>
      <w:r>
        <w:rPr>
          <w:rFonts w:cs="Times New Roman"/>
          <w:spacing w:val="-8"/>
          <w:sz w:val="18"/>
          <w:szCs w:val="18"/>
          <w:lang w:val="es-ES_tradnl"/>
        </w:rPr>
        <w:t>ñ</w:t>
      </w:r>
      <w:r>
        <w:rPr>
          <w:spacing w:val="-8"/>
          <w:sz w:val="18"/>
          <w:szCs w:val="18"/>
          <w:lang w:val="es-ES_tradnl"/>
        </w:rPr>
        <w:t xml:space="preserve">alan que los accionantes han </w:t>
      </w:r>
      <w:r>
        <w:rPr>
          <w:spacing w:val="-2"/>
          <w:sz w:val="18"/>
          <w:szCs w:val="18"/>
          <w:lang w:val="es-ES_tradnl"/>
        </w:rPr>
        <w:t>incurrido en lo dispuesto en el art</w:t>
      </w:r>
      <w:r>
        <w:rPr>
          <w:rFonts w:cs="Times New Roman"/>
          <w:spacing w:val="-2"/>
          <w:sz w:val="18"/>
          <w:szCs w:val="18"/>
          <w:lang w:val="es-ES_tradnl"/>
        </w:rPr>
        <w:t>í</w:t>
      </w:r>
      <w:r>
        <w:rPr>
          <w:spacing w:val="-2"/>
          <w:sz w:val="18"/>
          <w:szCs w:val="18"/>
          <w:lang w:val="es-ES_tradnl"/>
        </w:rPr>
        <w:t xml:space="preserve">culo 62 numeral 5 de </w:t>
      </w:r>
      <w:r>
        <w:rPr>
          <w:spacing w:val="-6"/>
          <w:sz w:val="18"/>
          <w:szCs w:val="18"/>
          <w:lang w:val="es-ES_tradnl"/>
        </w:rPr>
        <w:t>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Control Constitucional, que establece que </w:t>
      </w:r>
      <w:r>
        <w:rPr>
          <w:rFonts w:cs="Times New Roman"/>
          <w:spacing w:val="-6"/>
          <w:sz w:val="18"/>
          <w:szCs w:val="18"/>
          <w:lang w:val="es-ES_tradnl"/>
        </w:rPr>
        <w:t>“</w:t>
      </w:r>
      <w:r>
        <w:rPr>
          <w:spacing w:val="-6"/>
          <w:sz w:val="18"/>
          <w:szCs w:val="18"/>
          <w:lang w:val="es-ES_tradnl"/>
        </w:rPr>
        <w:t xml:space="preserve">el fundamento de la </w:t>
      </w:r>
      <w:r>
        <w:rPr>
          <w:spacing w:val="-8"/>
          <w:sz w:val="18"/>
          <w:szCs w:val="18"/>
          <w:lang w:val="es-ES_tradnl"/>
        </w:rPr>
        <w:t>acci</w:t>
      </w:r>
      <w:r>
        <w:rPr>
          <w:rFonts w:cs="Times New Roman"/>
          <w:spacing w:val="-8"/>
          <w:sz w:val="18"/>
          <w:szCs w:val="18"/>
          <w:lang w:val="es-ES_tradnl"/>
        </w:rPr>
        <w:t>ó</w:t>
      </w:r>
      <w:r>
        <w:rPr>
          <w:spacing w:val="-8"/>
          <w:sz w:val="18"/>
          <w:szCs w:val="18"/>
          <w:lang w:val="es-ES_tradnl"/>
        </w:rPr>
        <w:t>n no se refiera a la apreciaci</w:t>
      </w:r>
      <w:r>
        <w:rPr>
          <w:rFonts w:cs="Times New Roman"/>
          <w:spacing w:val="-8"/>
          <w:sz w:val="18"/>
          <w:szCs w:val="18"/>
          <w:lang w:val="es-ES_tradnl"/>
        </w:rPr>
        <w:t>ó</w:t>
      </w:r>
      <w:r>
        <w:rPr>
          <w:spacing w:val="-8"/>
          <w:sz w:val="18"/>
          <w:szCs w:val="18"/>
          <w:lang w:val="es-ES_tradnl"/>
        </w:rPr>
        <w:t xml:space="preserve">n de la prueba por parte </w:t>
      </w:r>
      <w:r>
        <w:rPr>
          <w:spacing w:val="-4"/>
          <w:sz w:val="18"/>
          <w:szCs w:val="18"/>
          <w:lang w:val="es-ES_tradnl"/>
        </w:rPr>
        <w:t>de la jueza o juez</w:t>
      </w:r>
      <w:r>
        <w:rPr>
          <w:rFonts w:cs="Times New Roman"/>
          <w:spacing w:val="-4"/>
          <w:sz w:val="18"/>
          <w:szCs w:val="18"/>
          <w:lang w:val="es-ES_tradnl"/>
        </w:rPr>
        <w:t>”</w:t>
      </w:r>
      <w:r>
        <w:rPr>
          <w:spacing w:val="-4"/>
          <w:sz w:val="18"/>
          <w:szCs w:val="18"/>
          <w:lang w:val="es-ES_tradnl"/>
        </w:rPr>
        <w:t>, ya que han olvidado que el ejercicio de la valoraci</w:t>
      </w:r>
      <w:r>
        <w:rPr>
          <w:rFonts w:cs="Times New Roman"/>
          <w:spacing w:val="-4"/>
          <w:sz w:val="18"/>
          <w:szCs w:val="18"/>
          <w:lang w:val="es-ES_tradnl"/>
        </w:rPr>
        <w:t>ó</w:t>
      </w:r>
      <w:r>
        <w:rPr>
          <w:spacing w:val="-4"/>
          <w:sz w:val="18"/>
          <w:szCs w:val="18"/>
          <w:lang w:val="es-ES_tradnl"/>
        </w:rPr>
        <w:t xml:space="preserve">n de la prueba, corresponde a los jueces de la justicia ordinaria, no a los jueces constitucionales </w:t>
      </w:r>
      <w:r>
        <w:rPr>
          <w:spacing w:val="-7"/>
          <w:sz w:val="18"/>
          <w:szCs w:val="18"/>
          <w:lang w:val="es-ES_tradnl"/>
        </w:rPr>
        <w:t xml:space="preserve">pues, a la justicia constitucional le corresponde el control, </w:t>
      </w:r>
      <w:r>
        <w:rPr>
          <w:spacing w:val="-6"/>
          <w:sz w:val="18"/>
          <w:szCs w:val="18"/>
          <w:lang w:val="es-ES_tradnl"/>
        </w:rPr>
        <w:t>interpretaci</w:t>
      </w:r>
      <w:r>
        <w:rPr>
          <w:rFonts w:cs="Times New Roman"/>
          <w:spacing w:val="-6"/>
          <w:sz w:val="18"/>
          <w:szCs w:val="18"/>
          <w:lang w:val="es-ES_tradnl"/>
        </w:rPr>
        <w:t>ó</w:t>
      </w:r>
      <w:r>
        <w:rPr>
          <w:spacing w:val="-6"/>
          <w:sz w:val="18"/>
          <w:szCs w:val="18"/>
          <w:lang w:val="es-ES_tradnl"/>
        </w:rPr>
        <w:t>n y administraci</w:t>
      </w:r>
      <w:r>
        <w:rPr>
          <w:rFonts w:cs="Times New Roman"/>
          <w:spacing w:val="-6"/>
          <w:sz w:val="18"/>
          <w:szCs w:val="18"/>
          <w:lang w:val="es-ES_tradnl"/>
        </w:rPr>
        <w:t>ó</w:t>
      </w:r>
      <w:r>
        <w:rPr>
          <w:spacing w:val="-6"/>
          <w:sz w:val="18"/>
          <w:szCs w:val="18"/>
          <w:lang w:val="es-ES_tradnl"/>
        </w:rPr>
        <w:t xml:space="preserve">n de justicia en esa materia, </w:t>
      </w:r>
      <w:r>
        <w:rPr>
          <w:spacing w:val="-7"/>
          <w:sz w:val="18"/>
          <w:szCs w:val="18"/>
          <w:lang w:val="es-ES_tradnl"/>
        </w:rPr>
        <w:t xml:space="preserve">conforme lo ha establecido la misma Corte Constitucional </w:t>
      </w:r>
      <w:r>
        <w:rPr>
          <w:spacing w:val="-8"/>
          <w:sz w:val="18"/>
          <w:szCs w:val="18"/>
          <w:lang w:val="es-ES_tradnl"/>
        </w:rPr>
        <w:t>en la sentencia N.</w:t>
      </w:r>
      <w:r>
        <w:rPr>
          <w:rFonts w:cs="Times New Roman"/>
          <w:spacing w:val="-8"/>
          <w:sz w:val="18"/>
          <w:szCs w:val="18"/>
          <w:lang w:val="es-ES_tradnl"/>
        </w:rPr>
        <w:t>º</w:t>
      </w:r>
      <w:r>
        <w:rPr>
          <w:spacing w:val="-8"/>
          <w:sz w:val="18"/>
          <w:szCs w:val="18"/>
          <w:lang w:val="es-ES_tradnl"/>
        </w:rPr>
        <w:t xml:space="preserve"> 007-09-EP-CC dentro del caso N.</w:t>
      </w:r>
      <w:r>
        <w:rPr>
          <w:rFonts w:cs="Times New Roman"/>
          <w:spacing w:val="-8"/>
          <w:sz w:val="18"/>
          <w:szCs w:val="18"/>
          <w:lang w:val="es-ES_tradnl"/>
        </w:rPr>
        <w:t>º</w:t>
      </w:r>
      <w:r>
        <w:rPr>
          <w:spacing w:val="-8"/>
          <w:sz w:val="18"/>
          <w:szCs w:val="18"/>
          <w:lang w:val="es-ES_tradnl"/>
        </w:rPr>
        <w:t xml:space="preserve"> 050-</w:t>
      </w:r>
      <w:r>
        <w:rPr>
          <w:sz w:val="18"/>
          <w:szCs w:val="18"/>
          <w:lang w:val="es-ES_tradnl"/>
        </w:rPr>
        <w:t>08-EP del 19 de mayo de 2009.</w:t>
      </w:r>
    </w:p>
    <w:p w14:paraId="4F67B314" w14:textId="77777777" w:rsidR="00591D54" w:rsidRDefault="00591D54">
      <w:pPr>
        <w:shd w:val="clear" w:color="auto" w:fill="FFFFFF"/>
        <w:spacing w:before="197" w:line="216" w:lineRule="exact"/>
        <w:ind w:right="5"/>
        <w:jc w:val="both"/>
      </w:pPr>
      <w:r>
        <w:rPr>
          <w:spacing w:val="-8"/>
          <w:sz w:val="18"/>
          <w:szCs w:val="18"/>
          <w:lang w:val="es-ES_tradnl"/>
        </w:rPr>
        <w:t>Finalmente, se</w:t>
      </w:r>
      <w:r>
        <w:rPr>
          <w:rFonts w:cs="Times New Roman"/>
          <w:spacing w:val="-8"/>
          <w:sz w:val="18"/>
          <w:szCs w:val="18"/>
          <w:lang w:val="es-ES_tradnl"/>
        </w:rPr>
        <w:t>ñ</w:t>
      </w:r>
      <w:r>
        <w:rPr>
          <w:spacing w:val="-8"/>
          <w:sz w:val="18"/>
          <w:szCs w:val="18"/>
          <w:lang w:val="es-ES_tradnl"/>
        </w:rPr>
        <w:t xml:space="preserve">alan que los accionantes a lo largo de su </w:t>
      </w:r>
      <w:r>
        <w:rPr>
          <w:spacing w:val="-5"/>
          <w:sz w:val="18"/>
          <w:szCs w:val="18"/>
          <w:lang w:val="es-ES_tradnl"/>
        </w:rPr>
        <w:t>exposici</w:t>
      </w:r>
      <w:r>
        <w:rPr>
          <w:rFonts w:cs="Times New Roman"/>
          <w:spacing w:val="-5"/>
          <w:sz w:val="18"/>
          <w:szCs w:val="18"/>
          <w:lang w:val="es-ES_tradnl"/>
        </w:rPr>
        <w:t>ó</w:t>
      </w:r>
      <w:r>
        <w:rPr>
          <w:spacing w:val="-5"/>
          <w:sz w:val="18"/>
          <w:szCs w:val="18"/>
          <w:lang w:val="es-ES_tradnl"/>
        </w:rPr>
        <w:t>n no identifican de manera precisa, c</w:t>
      </w:r>
      <w:r>
        <w:rPr>
          <w:rFonts w:cs="Times New Roman"/>
          <w:spacing w:val="-5"/>
          <w:sz w:val="18"/>
          <w:szCs w:val="18"/>
          <w:lang w:val="es-ES_tradnl"/>
        </w:rPr>
        <w:t>ó</w:t>
      </w:r>
      <w:r>
        <w:rPr>
          <w:spacing w:val="-5"/>
          <w:sz w:val="18"/>
          <w:szCs w:val="18"/>
          <w:lang w:val="es-ES_tradnl"/>
        </w:rPr>
        <w:t xml:space="preserve">mo fue </w:t>
      </w:r>
      <w:r>
        <w:rPr>
          <w:spacing w:val="-8"/>
          <w:sz w:val="18"/>
          <w:szCs w:val="18"/>
          <w:lang w:val="es-ES_tradnl"/>
        </w:rPr>
        <w:t>vulnerado el derecho constitucional invocado en la decisi</w:t>
      </w:r>
      <w:r>
        <w:rPr>
          <w:rFonts w:cs="Times New Roman"/>
          <w:spacing w:val="-8"/>
          <w:sz w:val="18"/>
          <w:szCs w:val="18"/>
          <w:lang w:val="es-ES_tradnl"/>
        </w:rPr>
        <w:t>ó</w:t>
      </w:r>
      <w:r>
        <w:rPr>
          <w:spacing w:val="-8"/>
          <w:sz w:val="18"/>
          <w:szCs w:val="18"/>
          <w:lang w:val="es-ES_tradnl"/>
        </w:rPr>
        <w:t xml:space="preserve">n </w:t>
      </w:r>
      <w:r>
        <w:rPr>
          <w:spacing w:val="-6"/>
          <w:sz w:val="18"/>
          <w:szCs w:val="18"/>
          <w:lang w:val="es-ES_tradnl"/>
        </w:rPr>
        <w:t>judicial, por lo que la acci</w:t>
      </w:r>
      <w:r>
        <w:rPr>
          <w:rFonts w:cs="Times New Roman"/>
          <w:spacing w:val="-6"/>
          <w:sz w:val="18"/>
          <w:szCs w:val="18"/>
          <w:lang w:val="es-ES_tradnl"/>
        </w:rPr>
        <w:t>ó</w:t>
      </w:r>
      <w:r>
        <w:rPr>
          <w:spacing w:val="-6"/>
          <w:sz w:val="18"/>
          <w:szCs w:val="18"/>
          <w:lang w:val="es-ES_tradnl"/>
        </w:rPr>
        <w:t xml:space="preserve">n planteada no presenta un </w:t>
      </w:r>
      <w:r>
        <w:rPr>
          <w:spacing w:val="-7"/>
          <w:sz w:val="18"/>
          <w:szCs w:val="18"/>
          <w:lang w:val="es-ES_tradnl"/>
        </w:rPr>
        <w:t>argumento claro sobre el derecho vulnerado y la relaci</w:t>
      </w:r>
      <w:r>
        <w:rPr>
          <w:rFonts w:cs="Times New Roman"/>
          <w:spacing w:val="-7"/>
          <w:sz w:val="18"/>
          <w:szCs w:val="18"/>
          <w:lang w:val="es-ES_tradnl"/>
        </w:rPr>
        <w:t>ó</w:t>
      </w:r>
      <w:r>
        <w:rPr>
          <w:spacing w:val="-7"/>
          <w:sz w:val="18"/>
          <w:szCs w:val="18"/>
          <w:lang w:val="es-ES_tradnl"/>
        </w:rPr>
        <w:t xml:space="preserve">n </w:t>
      </w:r>
      <w:r>
        <w:rPr>
          <w:spacing w:val="-4"/>
          <w:sz w:val="18"/>
          <w:szCs w:val="18"/>
          <w:lang w:val="es-ES_tradnl"/>
        </w:rPr>
        <w:t>jur</w:t>
      </w:r>
      <w:r>
        <w:rPr>
          <w:rFonts w:cs="Times New Roman"/>
          <w:spacing w:val="-4"/>
          <w:sz w:val="18"/>
          <w:szCs w:val="18"/>
          <w:lang w:val="es-ES_tradnl"/>
        </w:rPr>
        <w:t>í</w:t>
      </w:r>
      <w:r>
        <w:rPr>
          <w:spacing w:val="-4"/>
          <w:sz w:val="18"/>
          <w:szCs w:val="18"/>
          <w:lang w:val="es-ES_tradnl"/>
        </w:rPr>
        <w:t>dica inmediata, por acci</w:t>
      </w:r>
      <w:r>
        <w:rPr>
          <w:rFonts w:cs="Times New Roman"/>
          <w:spacing w:val="-4"/>
          <w:sz w:val="18"/>
          <w:szCs w:val="18"/>
          <w:lang w:val="es-ES_tradnl"/>
        </w:rPr>
        <w:t>ó</w:t>
      </w:r>
      <w:r>
        <w:rPr>
          <w:spacing w:val="-4"/>
          <w:sz w:val="18"/>
          <w:szCs w:val="18"/>
          <w:lang w:val="es-ES_tradnl"/>
        </w:rPr>
        <w:t>n u omisi</w:t>
      </w:r>
      <w:r>
        <w:rPr>
          <w:rFonts w:cs="Times New Roman"/>
          <w:spacing w:val="-4"/>
          <w:sz w:val="18"/>
          <w:szCs w:val="18"/>
          <w:lang w:val="es-ES_tradnl"/>
        </w:rPr>
        <w:t>ó</w:t>
      </w:r>
      <w:r>
        <w:rPr>
          <w:spacing w:val="-4"/>
          <w:sz w:val="18"/>
          <w:szCs w:val="18"/>
          <w:lang w:val="es-ES_tradnl"/>
        </w:rPr>
        <w:t xml:space="preserve">n de la autoridad </w:t>
      </w:r>
      <w:r>
        <w:rPr>
          <w:spacing w:val="-10"/>
          <w:sz w:val="18"/>
          <w:szCs w:val="18"/>
          <w:lang w:val="es-ES_tradnl"/>
        </w:rPr>
        <w:t xml:space="preserve">judicial con independencia de los hechos que dieron lugar al </w:t>
      </w:r>
      <w:r>
        <w:rPr>
          <w:spacing w:val="-11"/>
          <w:sz w:val="18"/>
          <w:szCs w:val="18"/>
          <w:lang w:val="es-ES_tradnl"/>
        </w:rPr>
        <w:t>proceso, m</w:t>
      </w:r>
      <w:r>
        <w:rPr>
          <w:rFonts w:cs="Times New Roman"/>
          <w:spacing w:val="-11"/>
          <w:sz w:val="18"/>
          <w:szCs w:val="18"/>
          <w:lang w:val="es-ES_tradnl"/>
        </w:rPr>
        <w:t>á</w:t>
      </w:r>
      <w:r>
        <w:rPr>
          <w:spacing w:val="-11"/>
          <w:sz w:val="18"/>
          <w:szCs w:val="18"/>
          <w:lang w:val="es-ES_tradnl"/>
        </w:rPr>
        <w:t>s bien reduce la acci</w:t>
      </w:r>
      <w:r>
        <w:rPr>
          <w:rFonts w:cs="Times New Roman"/>
          <w:spacing w:val="-11"/>
          <w:sz w:val="18"/>
          <w:szCs w:val="18"/>
          <w:lang w:val="es-ES_tradnl"/>
        </w:rPr>
        <w:t>ó</w:t>
      </w:r>
      <w:r>
        <w:rPr>
          <w:spacing w:val="-11"/>
          <w:sz w:val="18"/>
          <w:szCs w:val="18"/>
          <w:lang w:val="es-ES_tradnl"/>
        </w:rPr>
        <w:t xml:space="preserve">n a cuestiones de legalidad </w:t>
      </w:r>
      <w:r>
        <w:rPr>
          <w:spacing w:val="-7"/>
          <w:sz w:val="18"/>
          <w:szCs w:val="18"/>
          <w:lang w:val="es-ES_tradnl"/>
        </w:rPr>
        <w:t>que no son competencia de la justicia constitucional.</w:t>
      </w:r>
    </w:p>
    <w:p w14:paraId="4F67B315" w14:textId="77777777" w:rsidR="00591D54" w:rsidRDefault="00591D54">
      <w:pPr>
        <w:shd w:val="clear" w:color="auto" w:fill="FFFFFF"/>
        <w:spacing w:before="192" w:line="216" w:lineRule="exact"/>
        <w:ind w:left="686" w:right="326" w:hanging="355"/>
      </w:pPr>
      <w:r>
        <w:rPr>
          <w:b/>
          <w:bCs/>
          <w:spacing w:val="-1"/>
          <w:sz w:val="18"/>
          <w:szCs w:val="18"/>
          <w:lang w:val="es-ES_tradnl"/>
        </w:rPr>
        <w:t xml:space="preserve">II. CONSIDERACIONES Y FUNDAMENTOS </w:t>
      </w:r>
      <w:r>
        <w:rPr>
          <w:b/>
          <w:bCs/>
          <w:sz w:val="18"/>
          <w:szCs w:val="18"/>
          <w:lang w:val="es-ES_tradnl"/>
        </w:rPr>
        <w:t>DE LA CORTE CONSTITUCIONAL</w:t>
      </w:r>
    </w:p>
    <w:p w14:paraId="4F67B316" w14:textId="77777777" w:rsidR="00591D54" w:rsidRDefault="00591D54">
      <w:pPr>
        <w:shd w:val="clear" w:color="auto" w:fill="FFFFFF"/>
        <w:spacing w:before="192"/>
      </w:pPr>
      <w:r>
        <w:rPr>
          <w:b/>
          <w:bCs/>
          <w:spacing w:val="-11"/>
          <w:sz w:val="18"/>
          <w:szCs w:val="18"/>
          <w:lang w:val="es-ES_tradnl"/>
        </w:rPr>
        <w:t>Competencia</w:t>
      </w:r>
    </w:p>
    <w:p w14:paraId="4F67B317" w14:textId="77777777" w:rsidR="00591D54" w:rsidRDefault="00591D54">
      <w:pPr>
        <w:shd w:val="clear" w:color="auto" w:fill="FFFFFF"/>
        <w:spacing w:before="192" w:line="216" w:lineRule="exact"/>
        <w:jc w:val="both"/>
      </w:pPr>
      <w:r>
        <w:rPr>
          <w:spacing w:val="-7"/>
          <w:sz w:val="18"/>
          <w:szCs w:val="18"/>
          <w:lang w:val="es-ES_tradnl"/>
        </w:rPr>
        <w:t>De conformidad con lo dispuesto en los art</w:t>
      </w:r>
      <w:r>
        <w:rPr>
          <w:rFonts w:cs="Times New Roman"/>
          <w:spacing w:val="-7"/>
          <w:sz w:val="18"/>
          <w:szCs w:val="18"/>
          <w:lang w:val="es-ES_tradnl"/>
        </w:rPr>
        <w:t>í</w:t>
      </w:r>
      <w:r>
        <w:rPr>
          <w:spacing w:val="-7"/>
          <w:sz w:val="18"/>
          <w:szCs w:val="18"/>
          <w:lang w:val="es-ES_tradnl"/>
        </w:rPr>
        <w:t xml:space="preserve">culos 94 y 437 </w:t>
      </w:r>
      <w:r>
        <w:rPr>
          <w:spacing w:val="-5"/>
          <w:sz w:val="18"/>
          <w:szCs w:val="18"/>
          <w:lang w:val="es-ES_tradnl"/>
        </w:rPr>
        <w:t>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 xml:space="preserve">blica, el Pleno de la Corte </w:t>
      </w:r>
      <w:r>
        <w:rPr>
          <w:spacing w:val="-9"/>
          <w:sz w:val="18"/>
          <w:szCs w:val="18"/>
          <w:lang w:val="es-ES_tradnl"/>
        </w:rPr>
        <w:t xml:space="preserve">Constitucional es competente para conocer y resolver sobre </w:t>
      </w:r>
      <w:r>
        <w:rPr>
          <w:spacing w:val="-10"/>
          <w:sz w:val="18"/>
          <w:szCs w:val="18"/>
          <w:lang w:val="es-ES_tradnl"/>
        </w:rPr>
        <w:t>las acciones extraordinarias de protecci</w:t>
      </w:r>
      <w:r>
        <w:rPr>
          <w:rFonts w:cs="Times New Roman"/>
          <w:spacing w:val="-10"/>
          <w:sz w:val="18"/>
          <w:szCs w:val="18"/>
          <w:lang w:val="es-ES_tradnl"/>
        </w:rPr>
        <w:t>ó</w:t>
      </w:r>
      <w:r>
        <w:rPr>
          <w:spacing w:val="-10"/>
          <w:sz w:val="18"/>
          <w:szCs w:val="18"/>
          <w:lang w:val="es-ES_tradnl"/>
        </w:rPr>
        <w:t xml:space="preserve">n contra sentencias, autos definitivos y resoluciones con fuerza de sentencia. En </w:t>
      </w:r>
      <w:r>
        <w:rPr>
          <w:spacing w:val="-8"/>
          <w:sz w:val="18"/>
          <w:szCs w:val="18"/>
          <w:lang w:val="es-ES_tradnl"/>
        </w:rPr>
        <w:t>el presente caso, la acci</w:t>
      </w:r>
      <w:r>
        <w:rPr>
          <w:rFonts w:cs="Times New Roman"/>
          <w:spacing w:val="-8"/>
          <w:sz w:val="18"/>
          <w:szCs w:val="18"/>
          <w:lang w:val="es-ES_tradnl"/>
        </w:rPr>
        <w:t>ó</w:t>
      </w:r>
      <w:r>
        <w:rPr>
          <w:spacing w:val="-8"/>
          <w:sz w:val="18"/>
          <w:szCs w:val="18"/>
          <w:lang w:val="es-ES_tradnl"/>
        </w:rPr>
        <w:t>n extraordinaria de protecci</w:t>
      </w:r>
      <w:r>
        <w:rPr>
          <w:rFonts w:cs="Times New Roman"/>
          <w:spacing w:val="-8"/>
          <w:sz w:val="18"/>
          <w:szCs w:val="18"/>
          <w:lang w:val="es-ES_tradnl"/>
        </w:rPr>
        <w:t>ó</w:t>
      </w:r>
      <w:r>
        <w:rPr>
          <w:spacing w:val="-8"/>
          <w:sz w:val="18"/>
          <w:szCs w:val="18"/>
          <w:lang w:val="es-ES_tradnl"/>
        </w:rPr>
        <w:t xml:space="preserve">n es </w:t>
      </w:r>
      <w:r>
        <w:rPr>
          <w:spacing w:val="-10"/>
          <w:sz w:val="18"/>
          <w:szCs w:val="18"/>
          <w:lang w:val="es-ES_tradnl"/>
        </w:rPr>
        <w:t xml:space="preserve">presentada en contra de la sentencia del 05 de diciembre de </w:t>
      </w:r>
      <w:r>
        <w:rPr>
          <w:spacing w:val="-9"/>
          <w:sz w:val="18"/>
          <w:szCs w:val="18"/>
          <w:lang w:val="es-ES_tradnl"/>
        </w:rPr>
        <w:t xml:space="preserve">2013, expedida por los jueces de la Sala de lo Laboral de la </w:t>
      </w:r>
      <w:r>
        <w:rPr>
          <w:spacing w:val="-7"/>
          <w:sz w:val="18"/>
          <w:szCs w:val="18"/>
          <w:lang w:val="es-ES_tradnl"/>
        </w:rPr>
        <w:t>Corte Nacional de Justicia dentro del juicio N.</w:t>
      </w:r>
      <w:r>
        <w:rPr>
          <w:rFonts w:cs="Times New Roman"/>
          <w:spacing w:val="-7"/>
          <w:sz w:val="18"/>
          <w:szCs w:val="18"/>
          <w:lang w:val="es-ES_tradnl"/>
        </w:rPr>
        <w:t>º</w:t>
      </w:r>
      <w:r>
        <w:rPr>
          <w:spacing w:val="-7"/>
          <w:sz w:val="18"/>
          <w:szCs w:val="18"/>
          <w:lang w:val="es-ES_tradnl"/>
        </w:rPr>
        <w:t xml:space="preserve"> 1847-2012.</w:t>
      </w:r>
    </w:p>
    <w:p w14:paraId="4F67B318" w14:textId="77777777" w:rsidR="00591D54" w:rsidRDefault="00591D54">
      <w:pPr>
        <w:shd w:val="clear" w:color="auto" w:fill="FFFFFF"/>
        <w:spacing w:before="187" w:line="216" w:lineRule="exact"/>
        <w:ind w:right="5"/>
        <w:jc w:val="both"/>
      </w:pPr>
      <w:r>
        <w:rPr>
          <w:b/>
          <w:bCs/>
          <w:spacing w:val="-8"/>
          <w:sz w:val="18"/>
          <w:szCs w:val="18"/>
          <w:lang w:val="es-ES_tradnl"/>
        </w:rPr>
        <w:t>Naturaleza jur</w:t>
      </w:r>
      <w:r>
        <w:rPr>
          <w:rFonts w:cs="Times New Roman"/>
          <w:b/>
          <w:bCs/>
          <w:spacing w:val="-8"/>
          <w:sz w:val="18"/>
          <w:szCs w:val="18"/>
          <w:lang w:val="es-ES_tradnl"/>
        </w:rPr>
        <w:t>í</w:t>
      </w:r>
      <w:r>
        <w:rPr>
          <w:b/>
          <w:bCs/>
          <w:spacing w:val="-8"/>
          <w:sz w:val="18"/>
          <w:szCs w:val="18"/>
          <w:lang w:val="es-ES_tradnl"/>
        </w:rPr>
        <w:t>dica, alcances y efectos de la acci</w:t>
      </w:r>
      <w:r>
        <w:rPr>
          <w:rFonts w:cs="Times New Roman"/>
          <w:b/>
          <w:bCs/>
          <w:spacing w:val="-8"/>
          <w:sz w:val="18"/>
          <w:szCs w:val="18"/>
          <w:lang w:val="es-ES_tradnl"/>
        </w:rPr>
        <w:t>ó</w:t>
      </w:r>
      <w:r>
        <w:rPr>
          <w:b/>
          <w:bCs/>
          <w:spacing w:val="-8"/>
          <w:sz w:val="18"/>
          <w:szCs w:val="18"/>
          <w:lang w:val="es-ES_tradnl"/>
        </w:rPr>
        <w:t xml:space="preserve">n </w:t>
      </w:r>
      <w:r>
        <w:rPr>
          <w:b/>
          <w:bCs/>
          <w:sz w:val="18"/>
          <w:szCs w:val="18"/>
          <w:lang w:val="es-ES_tradnl"/>
        </w:rPr>
        <w:t>extraordinaria de protecci</w:t>
      </w:r>
      <w:r>
        <w:rPr>
          <w:rFonts w:cs="Times New Roman"/>
          <w:b/>
          <w:bCs/>
          <w:sz w:val="18"/>
          <w:szCs w:val="18"/>
          <w:lang w:val="es-ES_tradnl"/>
        </w:rPr>
        <w:t>ó</w:t>
      </w:r>
      <w:r>
        <w:rPr>
          <w:b/>
          <w:bCs/>
          <w:sz w:val="18"/>
          <w:szCs w:val="18"/>
          <w:lang w:val="es-ES_tradnl"/>
        </w:rPr>
        <w:t>n</w:t>
      </w:r>
    </w:p>
    <w:p w14:paraId="4F67B319" w14:textId="77777777" w:rsidR="00591D54" w:rsidRDefault="00591D54">
      <w:pPr>
        <w:shd w:val="clear" w:color="auto" w:fill="FFFFFF"/>
        <w:spacing w:before="197" w:line="216" w:lineRule="exact"/>
        <w:ind w:right="5"/>
        <w:jc w:val="both"/>
      </w:pPr>
      <w:r>
        <w:rPr>
          <w:spacing w:val="-4"/>
          <w:sz w:val="18"/>
          <w:szCs w:val="18"/>
          <w:lang w:val="es-ES_tradnl"/>
        </w:rPr>
        <w:t>La acci</w:t>
      </w:r>
      <w:r>
        <w:rPr>
          <w:rFonts w:cs="Times New Roman"/>
          <w:spacing w:val="-4"/>
          <w:sz w:val="18"/>
          <w:szCs w:val="18"/>
          <w:lang w:val="es-ES_tradnl"/>
        </w:rPr>
        <w:t>ó</w:t>
      </w:r>
      <w:r>
        <w:rPr>
          <w:spacing w:val="-4"/>
          <w:sz w:val="18"/>
          <w:szCs w:val="18"/>
          <w:lang w:val="es-ES_tradnl"/>
        </w:rPr>
        <w:t>n extraordinaria de protecci</w:t>
      </w:r>
      <w:r>
        <w:rPr>
          <w:rFonts w:cs="Times New Roman"/>
          <w:spacing w:val="-4"/>
          <w:sz w:val="18"/>
          <w:szCs w:val="18"/>
          <w:lang w:val="es-ES_tradnl"/>
        </w:rPr>
        <w:t>ó</w:t>
      </w:r>
      <w:r>
        <w:rPr>
          <w:spacing w:val="-4"/>
          <w:sz w:val="18"/>
          <w:szCs w:val="18"/>
          <w:lang w:val="es-ES_tradnl"/>
        </w:rPr>
        <w:t xml:space="preserve">n, prevista en el </w:t>
      </w:r>
      <w:r>
        <w:rPr>
          <w:spacing w:val="-6"/>
          <w:sz w:val="18"/>
          <w:szCs w:val="18"/>
          <w:lang w:val="es-ES_tradnl"/>
        </w:rPr>
        <w:t>art</w:t>
      </w:r>
      <w:r>
        <w:rPr>
          <w:rFonts w:cs="Times New Roman"/>
          <w:spacing w:val="-6"/>
          <w:sz w:val="18"/>
          <w:szCs w:val="18"/>
          <w:lang w:val="es-ES_tradnl"/>
        </w:rPr>
        <w:t>í</w:t>
      </w:r>
      <w:r>
        <w:rPr>
          <w:spacing w:val="-6"/>
          <w:sz w:val="18"/>
          <w:szCs w:val="18"/>
          <w:lang w:val="es-ES_tradnl"/>
        </w:rPr>
        <w:t>culo 94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constituye </w:t>
      </w:r>
      <w:r>
        <w:rPr>
          <w:spacing w:val="-8"/>
          <w:sz w:val="18"/>
          <w:szCs w:val="18"/>
          <w:lang w:val="es-ES_tradnl"/>
        </w:rPr>
        <w:t>una garant</w:t>
      </w:r>
      <w:r>
        <w:rPr>
          <w:rFonts w:cs="Times New Roman"/>
          <w:spacing w:val="-8"/>
          <w:sz w:val="18"/>
          <w:szCs w:val="18"/>
          <w:lang w:val="es-ES_tradnl"/>
        </w:rPr>
        <w:t>í</w:t>
      </w:r>
      <w:r>
        <w:rPr>
          <w:spacing w:val="-8"/>
          <w:sz w:val="18"/>
          <w:szCs w:val="18"/>
          <w:lang w:val="es-ES_tradnl"/>
        </w:rPr>
        <w:t>a jurisdiccional creada por el constituyente para proteger los derechos constitucionales de las personas en contra de cualquier vulneraci</w:t>
      </w:r>
      <w:r>
        <w:rPr>
          <w:rFonts w:cs="Times New Roman"/>
          <w:spacing w:val="-8"/>
          <w:sz w:val="18"/>
          <w:szCs w:val="18"/>
          <w:lang w:val="es-ES_tradnl"/>
        </w:rPr>
        <w:t>ó</w:t>
      </w:r>
      <w:r>
        <w:rPr>
          <w:spacing w:val="-8"/>
          <w:sz w:val="18"/>
          <w:szCs w:val="18"/>
          <w:lang w:val="es-ES_tradnl"/>
        </w:rPr>
        <w:t xml:space="preserve">n que se produzca mediante </w:t>
      </w:r>
      <w:r>
        <w:rPr>
          <w:sz w:val="18"/>
          <w:szCs w:val="18"/>
          <w:lang w:val="es-ES_tradnl"/>
        </w:rPr>
        <w:t>actos jurisdiccionales. As</w:t>
      </w:r>
      <w:r>
        <w:rPr>
          <w:rFonts w:cs="Times New Roman"/>
          <w:sz w:val="18"/>
          <w:szCs w:val="18"/>
          <w:lang w:val="es-ES_tradnl"/>
        </w:rPr>
        <w:t>í</w:t>
      </w:r>
      <w:r>
        <w:rPr>
          <w:sz w:val="18"/>
          <w:szCs w:val="18"/>
          <w:lang w:val="es-ES_tradnl"/>
        </w:rPr>
        <w:t>, esta acci</w:t>
      </w:r>
      <w:r>
        <w:rPr>
          <w:rFonts w:cs="Times New Roman"/>
          <w:sz w:val="18"/>
          <w:szCs w:val="18"/>
          <w:lang w:val="es-ES_tradnl"/>
        </w:rPr>
        <w:t>ó</w:t>
      </w:r>
      <w:r>
        <w:rPr>
          <w:sz w:val="18"/>
          <w:szCs w:val="18"/>
          <w:lang w:val="es-ES_tradnl"/>
        </w:rPr>
        <w:t xml:space="preserve">n nace y existe </w:t>
      </w:r>
      <w:r>
        <w:rPr>
          <w:spacing w:val="-8"/>
          <w:sz w:val="18"/>
          <w:szCs w:val="18"/>
          <w:lang w:val="es-ES_tradnl"/>
        </w:rPr>
        <w:t xml:space="preserve">para garantizar y defender el respeto de los derechos </w:t>
      </w:r>
      <w:r>
        <w:rPr>
          <w:spacing w:val="-5"/>
          <w:sz w:val="18"/>
          <w:szCs w:val="18"/>
          <w:lang w:val="es-ES_tradnl"/>
        </w:rPr>
        <w:t xml:space="preserve">constitucionales y el debido proceso. Por consiguiente, </w:t>
      </w:r>
      <w:r>
        <w:rPr>
          <w:spacing w:val="-7"/>
          <w:sz w:val="18"/>
          <w:szCs w:val="18"/>
          <w:lang w:val="es-ES_tradnl"/>
        </w:rPr>
        <w:t xml:space="preserve">tiene como fin proteger, precautelar, tutelar y amparar los </w:t>
      </w:r>
      <w:r>
        <w:rPr>
          <w:spacing w:val="-8"/>
          <w:sz w:val="18"/>
          <w:szCs w:val="18"/>
          <w:lang w:val="es-ES_tradnl"/>
        </w:rPr>
        <w:t>derechos de las personas que por acci</w:t>
      </w:r>
      <w:r>
        <w:rPr>
          <w:rFonts w:cs="Times New Roman"/>
          <w:spacing w:val="-8"/>
          <w:sz w:val="18"/>
          <w:szCs w:val="18"/>
          <w:lang w:val="es-ES_tradnl"/>
        </w:rPr>
        <w:t>ó</w:t>
      </w:r>
      <w:r>
        <w:rPr>
          <w:spacing w:val="-8"/>
          <w:sz w:val="18"/>
          <w:szCs w:val="18"/>
          <w:lang w:val="es-ES_tradnl"/>
        </w:rPr>
        <w:t>n u omisi</w:t>
      </w:r>
      <w:r>
        <w:rPr>
          <w:rFonts w:cs="Times New Roman"/>
          <w:spacing w:val="-8"/>
          <w:sz w:val="18"/>
          <w:szCs w:val="18"/>
          <w:lang w:val="es-ES_tradnl"/>
        </w:rPr>
        <w:t>ó</w:t>
      </w:r>
      <w:r>
        <w:rPr>
          <w:spacing w:val="-8"/>
          <w:sz w:val="18"/>
          <w:szCs w:val="18"/>
          <w:lang w:val="es-ES_tradnl"/>
        </w:rPr>
        <w:t xml:space="preserve">n, sean </w:t>
      </w:r>
      <w:r>
        <w:rPr>
          <w:sz w:val="18"/>
          <w:szCs w:val="18"/>
          <w:lang w:val="es-ES_tradnl"/>
        </w:rPr>
        <w:t>vulnerados en las decisiones judiciales.</w:t>
      </w:r>
    </w:p>
    <w:p w14:paraId="4F67B31A" w14:textId="77777777" w:rsidR="00591D54" w:rsidRDefault="00591D54">
      <w:pPr>
        <w:shd w:val="clear" w:color="auto" w:fill="FFFFFF"/>
        <w:spacing w:line="216" w:lineRule="exact"/>
        <w:jc w:val="both"/>
      </w:pPr>
      <w:r>
        <w:br w:type="column"/>
      </w:r>
      <w:r>
        <w:rPr>
          <w:spacing w:val="-6"/>
          <w:sz w:val="18"/>
          <w:szCs w:val="18"/>
          <w:lang w:val="es-ES_tradnl"/>
        </w:rPr>
        <w:t>En este sentido, de acuerdo con el art</w:t>
      </w:r>
      <w:r>
        <w:rPr>
          <w:rFonts w:cs="Times New Roman"/>
          <w:spacing w:val="-6"/>
          <w:sz w:val="18"/>
          <w:szCs w:val="18"/>
          <w:lang w:val="es-ES_tradnl"/>
        </w:rPr>
        <w:t>í</w:t>
      </w:r>
      <w:r>
        <w:rPr>
          <w:spacing w:val="-6"/>
          <w:sz w:val="18"/>
          <w:szCs w:val="18"/>
          <w:lang w:val="es-ES_tradnl"/>
        </w:rPr>
        <w:t xml:space="preserve">culo 437 de la </w:t>
      </w:r>
      <w:r>
        <w:rPr>
          <w:sz w:val="18"/>
          <w:szCs w:val="18"/>
          <w:lang w:val="es-ES_tradnl"/>
        </w:rPr>
        <w:t>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 la acci</w:t>
      </w:r>
      <w:r>
        <w:rPr>
          <w:rFonts w:cs="Times New Roman"/>
          <w:sz w:val="18"/>
          <w:szCs w:val="18"/>
          <w:lang w:val="es-ES_tradnl"/>
        </w:rPr>
        <w:t>ó</w:t>
      </w:r>
      <w:r>
        <w:rPr>
          <w:sz w:val="18"/>
          <w:szCs w:val="18"/>
          <w:lang w:val="es-ES_tradnl"/>
        </w:rPr>
        <w:t xml:space="preserve">n extraordinaria </w:t>
      </w:r>
      <w:r>
        <w:rPr>
          <w:spacing w:val="-8"/>
          <w:sz w:val="18"/>
          <w:szCs w:val="18"/>
          <w:lang w:val="es-ES_tradnl"/>
        </w:rPr>
        <w:t>de protecci</w:t>
      </w:r>
      <w:r>
        <w:rPr>
          <w:rFonts w:cs="Times New Roman"/>
          <w:spacing w:val="-8"/>
          <w:sz w:val="18"/>
          <w:szCs w:val="18"/>
          <w:lang w:val="es-ES_tradnl"/>
        </w:rPr>
        <w:t>ó</w:t>
      </w:r>
      <w:r>
        <w:rPr>
          <w:spacing w:val="-8"/>
          <w:sz w:val="18"/>
          <w:szCs w:val="18"/>
          <w:lang w:val="es-ES_tradnl"/>
        </w:rPr>
        <w:t xml:space="preserve">n procede </w:t>
      </w:r>
      <w:r>
        <w:rPr>
          <w:rFonts w:cs="Times New Roman"/>
          <w:spacing w:val="-8"/>
          <w:sz w:val="18"/>
          <w:szCs w:val="18"/>
          <w:lang w:val="es-ES_tradnl"/>
        </w:rPr>
        <w:t>ú</w:t>
      </w:r>
      <w:r>
        <w:rPr>
          <w:spacing w:val="-8"/>
          <w:sz w:val="18"/>
          <w:szCs w:val="18"/>
          <w:lang w:val="es-ES_tradnl"/>
        </w:rPr>
        <w:t xml:space="preserve">nicamente cuando se trate de </w:t>
      </w:r>
      <w:r>
        <w:rPr>
          <w:spacing w:val="-7"/>
          <w:sz w:val="18"/>
          <w:szCs w:val="18"/>
          <w:lang w:val="es-ES_tradnl"/>
        </w:rPr>
        <w:t xml:space="preserve">sentencias, autos definitivos y resoluciones con fuerza de </w:t>
      </w:r>
      <w:r>
        <w:rPr>
          <w:spacing w:val="-9"/>
          <w:sz w:val="18"/>
          <w:szCs w:val="18"/>
          <w:lang w:val="es-ES_tradnl"/>
        </w:rPr>
        <w:t xml:space="preserve">sentencia, que se encuentren firmes o ejecutoriados en los que el accionante demuestre que en el juzgamiento se ha </w:t>
      </w:r>
      <w:r>
        <w:rPr>
          <w:spacing w:val="-4"/>
          <w:sz w:val="18"/>
          <w:szCs w:val="18"/>
          <w:lang w:val="es-ES_tradnl"/>
        </w:rPr>
        <w:t>violado, por acci</w:t>
      </w:r>
      <w:r>
        <w:rPr>
          <w:rFonts w:cs="Times New Roman"/>
          <w:spacing w:val="-4"/>
          <w:sz w:val="18"/>
          <w:szCs w:val="18"/>
          <w:lang w:val="es-ES_tradnl"/>
        </w:rPr>
        <w:t>ó</w:t>
      </w:r>
      <w:r>
        <w:rPr>
          <w:spacing w:val="-4"/>
          <w:sz w:val="18"/>
          <w:szCs w:val="18"/>
          <w:lang w:val="es-ES_tradnl"/>
        </w:rPr>
        <w:t>n u omisi</w:t>
      </w:r>
      <w:r>
        <w:rPr>
          <w:rFonts w:cs="Times New Roman"/>
          <w:spacing w:val="-4"/>
          <w:sz w:val="18"/>
          <w:szCs w:val="18"/>
          <w:lang w:val="es-ES_tradnl"/>
        </w:rPr>
        <w:t>ó</w:t>
      </w:r>
      <w:r>
        <w:rPr>
          <w:spacing w:val="-4"/>
          <w:sz w:val="18"/>
          <w:szCs w:val="18"/>
          <w:lang w:val="es-ES_tradnl"/>
        </w:rPr>
        <w:t xml:space="preserve">n, el debido proceso u otros </w:t>
      </w:r>
      <w:r>
        <w:rPr>
          <w:spacing w:val="-6"/>
          <w:sz w:val="18"/>
          <w:szCs w:val="18"/>
          <w:lang w:val="es-ES_tradnl"/>
        </w:rPr>
        <w:t>derechos reconocidos en la Constituci</w:t>
      </w:r>
      <w:r>
        <w:rPr>
          <w:rFonts w:cs="Times New Roman"/>
          <w:spacing w:val="-6"/>
          <w:sz w:val="18"/>
          <w:szCs w:val="18"/>
          <w:lang w:val="es-ES_tradnl"/>
        </w:rPr>
        <w:t>ó</w:t>
      </w:r>
      <w:r>
        <w:rPr>
          <w:spacing w:val="-6"/>
          <w:sz w:val="18"/>
          <w:szCs w:val="18"/>
          <w:lang w:val="es-ES_tradnl"/>
        </w:rPr>
        <w:t>n. As</w:t>
      </w:r>
      <w:r>
        <w:rPr>
          <w:rFonts w:cs="Times New Roman"/>
          <w:spacing w:val="-6"/>
          <w:sz w:val="18"/>
          <w:szCs w:val="18"/>
          <w:lang w:val="es-ES_tradnl"/>
        </w:rPr>
        <w:t>í</w:t>
      </w:r>
      <w:r>
        <w:rPr>
          <w:spacing w:val="-6"/>
          <w:sz w:val="18"/>
          <w:szCs w:val="18"/>
          <w:lang w:val="es-ES_tradnl"/>
        </w:rPr>
        <w:t xml:space="preserve">, la Corte </w:t>
      </w:r>
      <w:r>
        <w:rPr>
          <w:spacing w:val="-7"/>
          <w:sz w:val="18"/>
          <w:szCs w:val="18"/>
          <w:lang w:val="es-ES_tradnl"/>
        </w:rPr>
        <w:t>Constitucional, por medio de esta acci</w:t>
      </w:r>
      <w:r>
        <w:rPr>
          <w:rFonts w:cs="Times New Roman"/>
          <w:spacing w:val="-7"/>
          <w:sz w:val="18"/>
          <w:szCs w:val="18"/>
          <w:lang w:val="es-ES_tradnl"/>
        </w:rPr>
        <w:t>ó</w:t>
      </w:r>
      <w:r>
        <w:rPr>
          <w:spacing w:val="-7"/>
          <w:sz w:val="18"/>
          <w:szCs w:val="18"/>
          <w:lang w:val="es-ES_tradnl"/>
        </w:rPr>
        <w:t>n excepcional, solo se pronunciar</w:t>
      </w:r>
      <w:r>
        <w:rPr>
          <w:rFonts w:cs="Times New Roman"/>
          <w:spacing w:val="-7"/>
          <w:sz w:val="18"/>
          <w:szCs w:val="18"/>
          <w:lang w:val="es-ES_tradnl"/>
        </w:rPr>
        <w:t>á</w:t>
      </w:r>
      <w:r>
        <w:rPr>
          <w:spacing w:val="-7"/>
          <w:sz w:val="18"/>
          <w:szCs w:val="18"/>
          <w:lang w:val="es-ES_tradnl"/>
        </w:rPr>
        <w:t xml:space="preserve"> respecto de dos cuestiones principales: la vulneraci</w:t>
      </w:r>
      <w:r>
        <w:rPr>
          <w:rFonts w:cs="Times New Roman"/>
          <w:spacing w:val="-7"/>
          <w:sz w:val="18"/>
          <w:szCs w:val="18"/>
          <w:lang w:val="es-ES_tradnl"/>
        </w:rPr>
        <w:t>ó</w:t>
      </w:r>
      <w:r>
        <w:rPr>
          <w:spacing w:val="-7"/>
          <w:sz w:val="18"/>
          <w:szCs w:val="18"/>
          <w:lang w:val="es-ES_tradnl"/>
        </w:rPr>
        <w:t>n de derechos constitucionales o la violaci</w:t>
      </w:r>
      <w:r>
        <w:rPr>
          <w:rFonts w:cs="Times New Roman"/>
          <w:spacing w:val="-7"/>
          <w:sz w:val="18"/>
          <w:szCs w:val="18"/>
          <w:lang w:val="es-ES_tradnl"/>
        </w:rPr>
        <w:t>ó</w:t>
      </w:r>
      <w:r>
        <w:rPr>
          <w:spacing w:val="-7"/>
          <w:sz w:val="18"/>
          <w:szCs w:val="18"/>
          <w:lang w:val="es-ES_tradnl"/>
        </w:rPr>
        <w:t xml:space="preserve">n de </w:t>
      </w:r>
      <w:r>
        <w:rPr>
          <w:sz w:val="18"/>
          <w:szCs w:val="18"/>
          <w:lang w:val="es-ES_tradnl"/>
        </w:rPr>
        <w:t>normas del debido proceso.</w:t>
      </w:r>
    </w:p>
    <w:p w14:paraId="4F67B31B" w14:textId="77777777" w:rsidR="00591D54" w:rsidRDefault="00591D54">
      <w:pPr>
        <w:shd w:val="clear" w:color="auto" w:fill="FFFFFF"/>
        <w:spacing w:before="197" w:line="216" w:lineRule="exact"/>
        <w:jc w:val="both"/>
      </w:pPr>
      <w:r>
        <w:rPr>
          <w:spacing w:val="-4"/>
          <w:sz w:val="18"/>
          <w:szCs w:val="18"/>
          <w:lang w:val="es-ES_tradnl"/>
        </w:rPr>
        <w:t>Cabe se</w:t>
      </w:r>
      <w:r>
        <w:rPr>
          <w:rFonts w:cs="Times New Roman"/>
          <w:spacing w:val="-4"/>
          <w:sz w:val="18"/>
          <w:szCs w:val="18"/>
          <w:lang w:val="es-ES_tradnl"/>
        </w:rPr>
        <w:t>ñ</w:t>
      </w:r>
      <w:r>
        <w:rPr>
          <w:spacing w:val="-4"/>
          <w:sz w:val="18"/>
          <w:szCs w:val="18"/>
          <w:lang w:val="es-ES_tradnl"/>
        </w:rPr>
        <w:t>alar que la acci</w:t>
      </w:r>
      <w:r>
        <w:rPr>
          <w:rFonts w:cs="Times New Roman"/>
          <w:spacing w:val="-4"/>
          <w:sz w:val="18"/>
          <w:szCs w:val="18"/>
          <w:lang w:val="es-ES_tradnl"/>
        </w:rPr>
        <w:t>ó</w:t>
      </w:r>
      <w:r>
        <w:rPr>
          <w:spacing w:val="-4"/>
          <w:sz w:val="18"/>
          <w:szCs w:val="18"/>
          <w:lang w:val="es-ES_tradnl"/>
        </w:rPr>
        <w:t>n extraordinaria de protecci</w:t>
      </w:r>
      <w:r>
        <w:rPr>
          <w:rFonts w:cs="Times New Roman"/>
          <w:spacing w:val="-4"/>
          <w:sz w:val="18"/>
          <w:szCs w:val="18"/>
          <w:lang w:val="es-ES_tradnl"/>
        </w:rPr>
        <w:t>ó</w:t>
      </w:r>
      <w:r>
        <w:rPr>
          <w:spacing w:val="-4"/>
          <w:sz w:val="18"/>
          <w:szCs w:val="18"/>
          <w:lang w:val="es-ES_tradnl"/>
        </w:rPr>
        <w:t xml:space="preserve">n </w:t>
      </w:r>
      <w:r>
        <w:rPr>
          <w:spacing w:val="-8"/>
          <w:sz w:val="18"/>
          <w:szCs w:val="18"/>
          <w:lang w:val="es-ES_tradnl"/>
        </w:rPr>
        <w:t xml:space="preserve">es un mecanismo excepcional que busca garantizar la </w:t>
      </w:r>
      <w:r>
        <w:rPr>
          <w:spacing w:val="-11"/>
          <w:sz w:val="18"/>
          <w:szCs w:val="18"/>
          <w:lang w:val="es-ES_tradnl"/>
        </w:rPr>
        <w:t>supremac</w:t>
      </w:r>
      <w:r>
        <w:rPr>
          <w:rFonts w:cs="Times New Roman"/>
          <w:spacing w:val="-11"/>
          <w:sz w:val="18"/>
          <w:szCs w:val="18"/>
          <w:lang w:val="es-ES_tradnl"/>
        </w:rPr>
        <w:t>í</w:t>
      </w:r>
      <w:r>
        <w:rPr>
          <w:spacing w:val="-11"/>
          <w:sz w:val="18"/>
          <w:szCs w:val="18"/>
          <w:lang w:val="es-ES_tradnl"/>
        </w:rPr>
        <w:t>a de la Constituci</w:t>
      </w:r>
      <w:r>
        <w:rPr>
          <w:rFonts w:cs="Times New Roman"/>
          <w:spacing w:val="-11"/>
          <w:sz w:val="18"/>
          <w:szCs w:val="18"/>
          <w:lang w:val="es-ES_tradnl"/>
        </w:rPr>
        <w:t>ó</w:t>
      </w:r>
      <w:r>
        <w:rPr>
          <w:spacing w:val="-11"/>
          <w:sz w:val="18"/>
          <w:szCs w:val="18"/>
          <w:lang w:val="es-ES_tradnl"/>
        </w:rPr>
        <w:t xml:space="preserve">n frente a acciones y omisiones, </w:t>
      </w:r>
      <w:r>
        <w:rPr>
          <w:spacing w:val="-9"/>
          <w:sz w:val="18"/>
          <w:szCs w:val="18"/>
          <w:lang w:val="es-ES_tradnl"/>
        </w:rPr>
        <w:t>en este caso, de los jueces. As</w:t>
      </w:r>
      <w:r>
        <w:rPr>
          <w:rFonts w:cs="Times New Roman"/>
          <w:spacing w:val="-9"/>
          <w:sz w:val="18"/>
          <w:szCs w:val="18"/>
          <w:lang w:val="es-ES_tradnl"/>
        </w:rPr>
        <w:t>í</w:t>
      </w:r>
      <w:r>
        <w:rPr>
          <w:spacing w:val="-9"/>
          <w:sz w:val="18"/>
          <w:szCs w:val="18"/>
          <w:lang w:val="es-ES_tradnl"/>
        </w:rPr>
        <w:t>, la incorporaci</w:t>
      </w:r>
      <w:r>
        <w:rPr>
          <w:rFonts w:cs="Times New Roman"/>
          <w:spacing w:val="-9"/>
          <w:sz w:val="18"/>
          <w:szCs w:val="18"/>
          <w:lang w:val="es-ES_tradnl"/>
        </w:rPr>
        <w:t>ó</w:t>
      </w:r>
      <w:r>
        <w:rPr>
          <w:spacing w:val="-9"/>
          <w:sz w:val="18"/>
          <w:szCs w:val="18"/>
          <w:lang w:val="es-ES_tradnl"/>
        </w:rPr>
        <w:t xml:space="preserve">n del control </w:t>
      </w:r>
      <w:r>
        <w:rPr>
          <w:spacing w:val="-7"/>
          <w:sz w:val="18"/>
          <w:szCs w:val="18"/>
          <w:lang w:val="es-ES_tradnl"/>
        </w:rPr>
        <w:t>de constitucionalidad tambi</w:t>
      </w:r>
      <w:r>
        <w:rPr>
          <w:rFonts w:cs="Times New Roman"/>
          <w:spacing w:val="-7"/>
          <w:sz w:val="18"/>
          <w:szCs w:val="18"/>
          <w:lang w:val="es-ES_tradnl"/>
        </w:rPr>
        <w:t>é</w:t>
      </w:r>
      <w:r>
        <w:rPr>
          <w:spacing w:val="-7"/>
          <w:sz w:val="18"/>
          <w:szCs w:val="18"/>
          <w:lang w:val="es-ES_tradnl"/>
        </w:rPr>
        <w:t xml:space="preserve">n de las decisiones judiciales </w:t>
      </w:r>
      <w:r>
        <w:rPr>
          <w:spacing w:val="-6"/>
          <w:sz w:val="18"/>
          <w:szCs w:val="18"/>
          <w:lang w:val="es-ES_tradnl"/>
        </w:rPr>
        <w:t>permite garantizar que al igual que cualquier decisi</w:t>
      </w:r>
      <w:r>
        <w:rPr>
          <w:rFonts w:cs="Times New Roman"/>
          <w:spacing w:val="-6"/>
          <w:sz w:val="18"/>
          <w:szCs w:val="18"/>
          <w:lang w:val="es-ES_tradnl"/>
        </w:rPr>
        <w:t>ó</w:t>
      </w:r>
      <w:r>
        <w:rPr>
          <w:spacing w:val="-6"/>
          <w:sz w:val="18"/>
          <w:szCs w:val="18"/>
          <w:lang w:val="es-ES_tradnl"/>
        </w:rPr>
        <w:t xml:space="preserve">n de </w:t>
      </w:r>
      <w:r>
        <w:rPr>
          <w:spacing w:val="-7"/>
          <w:sz w:val="18"/>
          <w:szCs w:val="18"/>
          <w:lang w:val="es-ES_tradnl"/>
        </w:rPr>
        <w:t>autoridad p</w:t>
      </w:r>
      <w:r>
        <w:rPr>
          <w:rFonts w:cs="Times New Roman"/>
          <w:spacing w:val="-7"/>
          <w:sz w:val="18"/>
          <w:szCs w:val="18"/>
          <w:lang w:val="es-ES_tradnl"/>
        </w:rPr>
        <w:t>ú</w:t>
      </w:r>
      <w:r>
        <w:rPr>
          <w:spacing w:val="-7"/>
          <w:sz w:val="18"/>
          <w:szCs w:val="18"/>
          <w:lang w:val="es-ES_tradnl"/>
        </w:rPr>
        <w:t xml:space="preserve">blica, estas se encuentren conformes al texto </w:t>
      </w:r>
      <w:r>
        <w:rPr>
          <w:spacing w:val="-8"/>
          <w:sz w:val="18"/>
          <w:szCs w:val="18"/>
          <w:lang w:val="es-ES_tradnl"/>
        </w:rPr>
        <w:t>de la Constituci</w:t>
      </w:r>
      <w:r>
        <w:rPr>
          <w:rFonts w:cs="Times New Roman"/>
          <w:spacing w:val="-8"/>
          <w:sz w:val="18"/>
          <w:szCs w:val="18"/>
          <w:lang w:val="es-ES_tradnl"/>
        </w:rPr>
        <w:t>ó</w:t>
      </w:r>
      <w:r>
        <w:rPr>
          <w:spacing w:val="-8"/>
          <w:sz w:val="18"/>
          <w:szCs w:val="18"/>
          <w:lang w:val="es-ES_tradnl"/>
        </w:rPr>
        <w:t xml:space="preserve">n y ante todo respeten los derechos de las </w:t>
      </w:r>
      <w:r>
        <w:rPr>
          <w:sz w:val="18"/>
          <w:szCs w:val="18"/>
          <w:lang w:val="es-ES_tradnl"/>
        </w:rPr>
        <w:t>partes procesales.</w:t>
      </w:r>
    </w:p>
    <w:p w14:paraId="4F67B31C" w14:textId="77777777" w:rsidR="00591D54" w:rsidRDefault="00591D54">
      <w:pPr>
        <w:shd w:val="clear" w:color="auto" w:fill="FFFFFF"/>
        <w:spacing w:before="192"/>
      </w:pPr>
      <w:r>
        <w:rPr>
          <w:b/>
          <w:bCs/>
          <w:spacing w:val="-6"/>
          <w:sz w:val="18"/>
          <w:szCs w:val="18"/>
          <w:lang w:val="es-ES_tradnl"/>
        </w:rPr>
        <w:t>Problema jur</w:t>
      </w:r>
      <w:r>
        <w:rPr>
          <w:rFonts w:cs="Times New Roman"/>
          <w:b/>
          <w:bCs/>
          <w:spacing w:val="-6"/>
          <w:sz w:val="18"/>
          <w:szCs w:val="18"/>
          <w:lang w:val="es-ES_tradnl"/>
        </w:rPr>
        <w:t>í</w:t>
      </w:r>
      <w:r>
        <w:rPr>
          <w:b/>
          <w:bCs/>
          <w:spacing w:val="-6"/>
          <w:sz w:val="18"/>
          <w:szCs w:val="18"/>
          <w:lang w:val="es-ES_tradnl"/>
        </w:rPr>
        <w:t>dico</w:t>
      </w:r>
    </w:p>
    <w:p w14:paraId="4F67B31D" w14:textId="77777777" w:rsidR="00591D54" w:rsidRDefault="00591D54">
      <w:pPr>
        <w:shd w:val="clear" w:color="auto" w:fill="FFFFFF"/>
        <w:spacing w:before="197" w:line="216" w:lineRule="exact"/>
        <w:jc w:val="both"/>
      </w:pPr>
      <w:r>
        <w:rPr>
          <w:sz w:val="18"/>
          <w:szCs w:val="18"/>
          <w:lang w:val="es-ES_tradnl"/>
        </w:rPr>
        <w:t xml:space="preserve">Corresponde a la Corte Constitucional determinar si </w:t>
      </w:r>
      <w:r>
        <w:rPr>
          <w:spacing w:val="-8"/>
          <w:sz w:val="18"/>
          <w:szCs w:val="18"/>
          <w:lang w:val="es-ES_tradnl"/>
        </w:rPr>
        <w:t xml:space="preserve">en la sentencia impugnada se han vulnerado derechos </w:t>
      </w:r>
      <w:r>
        <w:rPr>
          <w:spacing w:val="-4"/>
          <w:sz w:val="18"/>
          <w:szCs w:val="18"/>
          <w:lang w:val="es-ES_tradnl"/>
        </w:rPr>
        <w:t xml:space="preserve">constitucionales para efecto de lo cual, se plantea el </w:t>
      </w:r>
      <w:r>
        <w:rPr>
          <w:sz w:val="18"/>
          <w:szCs w:val="18"/>
          <w:lang w:val="es-ES_tradnl"/>
        </w:rPr>
        <w:t>siguiente problema jur</w:t>
      </w:r>
      <w:r>
        <w:rPr>
          <w:rFonts w:cs="Times New Roman"/>
          <w:sz w:val="18"/>
          <w:szCs w:val="18"/>
          <w:lang w:val="es-ES_tradnl"/>
        </w:rPr>
        <w:t>í</w:t>
      </w:r>
      <w:r>
        <w:rPr>
          <w:sz w:val="18"/>
          <w:szCs w:val="18"/>
          <w:lang w:val="es-ES_tradnl"/>
        </w:rPr>
        <w:t>dico:</w:t>
      </w:r>
    </w:p>
    <w:p w14:paraId="4F67B31E" w14:textId="77777777" w:rsidR="00591D54" w:rsidRDefault="00591D54">
      <w:pPr>
        <w:shd w:val="clear" w:color="auto" w:fill="FFFFFF"/>
        <w:spacing w:before="192" w:line="216" w:lineRule="exact"/>
        <w:ind w:left="283"/>
        <w:jc w:val="both"/>
      </w:pPr>
      <w:r>
        <w:rPr>
          <w:b/>
          <w:bCs/>
          <w:spacing w:val="-2"/>
          <w:sz w:val="18"/>
          <w:szCs w:val="18"/>
          <w:lang w:val="es-ES_tradnl"/>
        </w:rPr>
        <w:t xml:space="preserve">1. La sentencia del 05 de diciembre de 2013, </w:t>
      </w:r>
      <w:r>
        <w:rPr>
          <w:b/>
          <w:bCs/>
          <w:spacing w:val="-8"/>
          <w:sz w:val="18"/>
          <w:szCs w:val="18"/>
          <w:lang w:val="es-ES_tradnl"/>
        </w:rPr>
        <w:t xml:space="preserve">expedida por los jueces de la Sala de lo Laboral de </w:t>
      </w:r>
      <w:r>
        <w:rPr>
          <w:b/>
          <w:bCs/>
          <w:spacing w:val="-6"/>
          <w:sz w:val="18"/>
          <w:szCs w:val="18"/>
          <w:lang w:val="es-ES_tradnl"/>
        </w:rPr>
        <w:t>la Corte Nacional de Justicia, dentro del juicio N.</w:t>
      </w:r>
      <w:r>
        <w:rPr>
          <w:rFonts w:cs="Times New Roman"/>
          <w:b/>
          <w:bCs/>
          <w:spacing w:val="-6"/>
          <w:sz w:val="18"/>
          <w:szCs w:val="18"/>
          <w:lang w:val="es-ES_tradnl"/>
        </w:rPr>
        <w:t xml:space="preserve">º </w:t>
      </w:r>
      <w:r>
        <w:rPr>
          <w:b/>
          <w:bCs/>
          <w:spacing w:val="-8"/>
          <w:sz w:val="18"/>
          <w:szCs w:val="18"/>
          <w:lang w:val="es-ES_tradnl"/>
        </w:rPr>
        <w:t xml:space="preserve">1847-2012, </w:t>
      </w:r>
      <w:r>
        <w:rPr>
          <w:rFonts w:cs="Times New Roman"/>
          <w:b/>
          <w:bCs/>
          <w:spacing w:val="-8"/>
          <w:sz w:val="18"/>
          <w:szCs w:val="18"/>
          <w:lang w:val="es-ES_tradnl"/>
        </w:rPr>
        <w:t>¿</w:t>
      </w:r>
      <w:r>
        <w:rPr>
          <w:b/>
          <w:bCs/>
          <w:spacing w:val="-8"/>
          <w:sz w:val="18"/>
          <w:szCs w:val="18"/>
          <w:lang w:val="es-ES_tradnl"/>
        </w:rPr>
        <w:t xml:space="preserve">vulnera el derecho al debido proceso </w:t>
      </w:r>
      <w:r>
        <w:rPr>
          <w:b/>
          <w:bCs/>
          <w:spacing w:val="-10"/>
          <w:sz w:val="18"/>
          <w:szCs w:val="18"/>
          <w:lang w:val="es-ES_tradnl"/>
        </w:rPr>
        <w:t>concretamente, la garant</w:t>
      </w:r>
      <w:r>
        <w:rPr>
          <w:rFonts w:cs="Times New Roman"/>
          <w:b/>
          <w:bCs/>
          <w:spacing w:val="-10"/>
          <w:sz w:val="18"/>
          <w:szCs w:val="18"/>
          <w:lang w:val="es-ES_tradnl"/>
        </w:rPr>
        <w:t>í</w:t>
      </w:r>
      <w:r>
        <w:rPr>
          <w:b/>
          <w:bCs/>
          <w:spacing w:val="-10"/>
          <w:sz w:val="18"/>
          <w:szCs w:val="18"/>
          <w:lang w:val="es-ES_tradnl"/>
        </w:rPr>
        <w:t>a de la motivaci</w:t>
      </w:r>
      <w:r>
        <w:rPr>
          <w:rFonts w:cs="Times New Roman"/>
          <w:b/>
          <w:bCs/>
          <w:spacing w:val="-10"/>
          <w:sz w:val="18"/>
          <w:szCs w:val="18"/>
          <w:lang w:val="es-ES_tradnl"/>
        </w:rPr>
        <w:t>ó</w:t>
      </w:r>
      <w:r>
        <w:rPr>
          <w:b/>
          <w:bCs/>
          <w:spacing w:val="-10"/>
          <w:sz w:val="18"/>
          <w:szCs w:val="18"/>
          <w:lang w:val="es-ES_tradnl"/>
        </w:rPr>
        <w:t>n prevista en el art</w:t>
      </w:r>
      <w:r>
        <w:rPr>
          <w:rFonts w:cs="Times New Roman"/>
          <w:b/>
          <w:bCs/>
          <w:spacing w:val="-10"/>
          <w:sz w:val="18"/>
          <w:szCs w:val="18"/>
          <w:lang w:val="es-ES_tradnl"/>
        </w:rPr>
        <w:t>í</w:t>
      </w:r>
      <w:r>
        <w:rPr>
          <w:b/>
          <w:bCs/>
          <w:spacing w:val="-10"/>
          <w:sz w:val="18"/>
          <w:szCs w:val="18"/>
          <w:lang w:val="es-ES_tradnl"/>
        </w:rPr>
        <w:t>culo 76 numeral 7 literal l de la Constituci</w:t>
      </w:r>
      <w:r>
        <w:rPr>
          <w:rFonts w:cs="Times New Roman"/>
          <w:b/>
          <w:bCs/>
          <w:spacing w:val="-10"/>
          <w:sz w:val="18"/>
          <w:szCs w:val="18"/>
          <w:lang w:val="es-ES_tradnl"/>
        </w:rPr>
        <w:t>ó</w:t>
      </w:r>
      <w:r>
        <w:rPr>
          <w:b/>
          <w:bCs/>
          <w:spacing w:val="-10"/>
          <w:sz w:val="18"/>
          <w:szCs w:val="18"/>
          <w:lang w:val="es-ES_tradnl"/>
        </w:rPr>
        <w:t xml:space="preserve">n </w:t>
      </w:r>
      <w:r>
        <w:rPr>
          <w:b/>
          <w:bCs/>
          <w:sz w:val="18"/>
          <w:szCs w:val="18"/>
          <w:lang w:val="es-ES_tradnl"/>
        </w:rPr>
        <w:t>de la Rep</w:t>
      </w:r>
      <w:r>
        <w:rPr>
          <w:rFonts w:cs="Times New Roman"/>
          <w:b/>
          <w:bCs/>
          <w:sz w:val="18"/>
          <w:szCs w:val="18"/>
          <w:lang w:val="es-ES_tradnl"/>
        </w:rPr>
        <w:t>ú</w:t>
      </w:r>
      <w:r>
        <w:rPr>
          <w:b/>
          <w:bCs/>
          <w:sz w:val="18"/>
          <w:szCs w:val="18"/>
          <w:lang w:val="es-ES_tradnl"/>
        </w:rPr>
        <w:t>blica?</w:t>
      </w:r>
    </w:p>
    <w:p w14:paraId="4F67B31F" w14:textId="77777777" w:rsidR="00591D54" w:rsidRDefault="00591D54">
      <w:pPr>
        <w:shd w:val="clear" w:color="auto" w:fill="FFFFFF"/>
        <w:spacing w:before="192" w:line="216" w:lineRule="exact"/>
        <w:jc w:val="both"/>
      </w:pPr>
      <w:r>
        <w:rPr>
          <w:spacing w:val="-7"/>
          <w:sz w:val="18"/>
          <w:szCs w:val="18"/>
          <w:lang w:val="es-ES_tradnl"/>
        </w:rPr>
        <w:t>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 xml:space="preserve">blica ha previsto como parte de </w:t>
      </w:r>
      <w:r>
        <w:rPr>
          <w:spacing w:val="-10"/>
          <w:sz w:val="18"/>
          <w:szCs w:val="18"/>
          <w:lang w:val="es-ES_tradnl"/>
        </w:rPr>
        <w:t>las garant</w:t>
      </w:r>
      <w:r>
        <w:rPr>
          <w:rFonts w:cs="Times New Roman"/>
          <w:spacing w:val="-10"/>
          <w:sz w:val="18"/>
          <w:szCs w:val="18"/>
          <w:lang w:val="es-ES_tradnl"/>
        </w:rPr>
        <w:t>í</w:t>
      </w:r>
      <w:r>
        <w:rPr>
          <w:spacing w:val="-10"/>
          <w:sz w:val="18"/>
          <w:szCs w:val="18"/>
          <w:lang w:val="es-ES_tradnl"/>
        </w:rPr>
        <w:t xml:space="preserve">as que configuran el derecho al debido proceso y </w:t>
      </w:r>
      <w:r>
        <w:rPr>
          <w:spacing w:val="-9"/>
          <w:sz w:val="18"/>
          <w:szCs w:val="18"/>
          <w:lang w:val="es-ES_tradnl"/>
        </w:rPr>
        <w:t>como componente del derecho a la defensa la garant</w:t>
      </w:r>
      <w:r>
        <w:rPr>
          <w:rFonts w:cs="Times New Roman"/>
          <w:spacing w:val="-9"/>
          <w:sz w:val="18"/>
          <w:szCs w:val="18"/>
          <w:lang w:val="es-ES_tradnl"/>
        </w:rPr>
        <w:t>í</w:t>
      </w:r>
      <w:r>
        <w:rPr>
          <w:spacing w:val="-9"/>
          <w:sz w:val="18"/>
          <w:szCs w:val="18"/>
          <w:lang w:val="es-ES_tradnl"/>
        </w:rPr>
        <w:t xml:space="preserve">a de </w:t>
      </w:r>
      <w:r>
        <w:rPr>
          <w:spacing w:val="-5"/>
          <w:sz w:val="18"/>
          <w:szCs w:val="18"/>
          <w:lang w:val="es-ES_tradnl"/>
        </w:rPr>
        <w:t>motivaci</w:t>
      </w:r>
      <w:r>
        <w:rPr>
          <w:rFonts w:cs="Times New Roman"/>
          <w:spacing w:val="-5"/>
          <w:sz w:val="18"/>
          <w:szCs w:val="18"/>
          <w:lang w:val="es-ES_tradnl"/>
        </w:rPr>
        <w:t>ó</w:t>
      </w:r>
      <w:r>
        <w:rPr>
          <w:spacing w:val="-5"/>
          <w:sz w:val="18"/>
          <w:szCs w:val="18"/>
          <w:lang w:val="es-ES_tradnl"/>
        </w:rPr>
        <w:t>n prevista en el art</w:t>
      </w:r>
      <w:r>
        <w:rPr>
          <w:rFonts w:cs="Times New Roman"/>
          <w:spacing w:val="-5"/>
          <w:sz w:val="18"/>
          <w:szCs w:val="18"/>
          <w:lang w:val="es-ES_tradnl"/>
        </w:rPr>
        <w:t>í</w:t>
      </w:r>
      <w:r>
        <w:rPr>
          <w:spacing w:val="-5"/>
          <w:sz w:val="18"/>
          <w:szCs w:val="18"/>
          <w:lang w:val="es-ES_tradnl"/>
        </w:rPr>
        <w:t xml:space="preserve">culo 76 numeral 7 literal </w:t>
      </w:r>
      <w:r>
        <w:rPr>
          <w:b/>
          <w:bCs/>
          <w:spacing w:val="-5"/>
          <w:sz w:val="18"/>
          <w:szCs w:val="18"/>
          <w:lang w:val="es-ES_tradnl"/>
        </w:rPr>
        <w:t xml:space="preserve">l </w:t>
      </w:r>
      <w:r>
        <w:rPr>
          <w:spacing w:val="-5"/>
          <w:sz w:val="18"/>
          <w:szCs w:val="18"/>
          <w:lang w:val="es-ES_tradnl"/>
        </w:rPr>
        <w:t xml:space="preserve">en </w:t>
      </w:r>
      <w:r>
        <w:rPr>
          <w:spacing w:val="-7"/>
          <w:sz w:val="18"/>
          <w:szCs w:val="18"/>
          <w:lang w:val="es-ES_tradnl"/>
        </w:rPr>
        <w:t>los siguientes t</w:t>
      </w:r>
      <w:r>
        <w:rPr>
          <w:rFonts w:cs="Times New Roman"/>
          <w:spacing w:val="-7"/>
          <w:sz w:val="18"/>
          <w:szCs w:val="18"/>
          <w:lang w:val="es-ES_tradnl"/>
        </w:rPr>
        <w:t>é</w:t>
      </w:r>
      <w:r>
        <w:rPr>
          <w:spacing w:val="-7"/>
          <w:sz w:val="18"/>
          <w:szCs w:val="18"/>
          <w:lang w:val="es-ES_tradnl"/>
        </w:rPr>
        <w:t xml:space="preserve">rminos: </w:t>
      </w:r>
      <w:r>
        <w:rPr>
          <w:rFonts w:cs="Times New Roman"/>
          <w:spacing w:val="-7"/>
          <w:sz w:val="18"/>
          <w:szCs w:val="18"/>
          <w:lang w:val="es-ES_tradnl"/>
        </w:rPr>
        <w:t>“</w:t>
      </w:r>
      <w:r>
        <w:rPr>
          <w:spacing w:val="-7"/>
          <w:sz w:val="18"/>
          <w:szCs w:val="18"/>
          <w:lang w:val="es-ES_tradnl"/>
        </w:rPr>
        <w:t xml:space="preserve">Las resoluciones de los poderes </w:t>
      </w:r>
      <w:r>
        <w:rPr>
          <w:spacing w:val="-5"/>
          <w:sz w:val="18"/>
          <w:szCs w:val="18"/>
          <w:lang w:val="es-ES_tradnl"/>
        </w:rPr>
        <w:t>p</w:t>
      </w:r>
      <w:r>
        <w:rPr>
          <w:rFonts w:cs="Times New Roman"/>
          <w:spacing w:val="-5"/>
          <w:sz w:val="18"/>
          <w:szCs w:val="18"/>
          <w:lang w:val="es-ES_tradnl"/>
        </w:rPr>
        <w:t>ú</w:t>
      </w:r>
      <w:r>
        <w:rPr>
          <w:spacing w:val="-5"/>
          <w:sz w:val="18"/>
          <w:szCs w:val="18"/>
          <w:lang w:val="es-ES_tradnl"/>
        </w:rPr>
        <w:t>blicos deber</w:t>
      </w:r>
      <w:r>
        <w:rPr>
          <w:rFonts w:cs="Times New Roman"/>
          <w:spacing w:val="-5"/>
          <w:sz w:val="18"/>
          <w:szCs w:val="18"/>
          <w:lang w:val="es-ES_tradnl"/>
        </w:rPr>
        <w:t>á</w:t>
      </w:r>
      <w:r>
        <w:rPr>
          <w:spacing w:val="-5"/>
          <w:sz w:val="18"/>
          <w:szCs w:val="18"/>
          <w:lang w:val="es-ES_tradnl"/>
        </w:rPr>
        <w:t>n ser motivadas. No habr</w:t>
      </w:r>
      <w:r>
        <w:rPr>
          <w:rFonts w:cs="Times New Roman"/>
          <w:spacing w:val="-5"/>
          <w:sz w:val="18"/>
          <w:szCs w:val="18"/>
          <w:lang w:val="es-ES_tradnl"/>
        </w:rPr>
        <w:t>á</w:t>
      </w:r>
      <w:r>
        <w:rPr>
          <w:spacing w:val="-5"/>
          <w:sz w:val="18"/>
          <w:szCs w:val="18"/>
          <w:lang w:val="es-ES_tradnl"/>
        </w:rPr>
        <w:t xml:space="preserve"> motivaci</w:t>
      </w:r>
      <w:r>
        <w:rPr>
          <w:rFonts w:cs="Times New Roman"/>
          <w:spacing w:val="-5"/>
          <w:sz w:val="18"/>
          <w:szCs w:val="18"/>
          <w:lang w:val="es-ES_tradnl"/>
        </w:rPr>
        <w:t>ó</w:t>
      </w:r>
      <w:r>
        <w:rPr>
          <w:spacing w:val="-5"/>
          <w:sz w:val="18"/>
          <w:szCs w:val="18"/>
          <w:lang w:val="es-ES_tradnl"/>
        </w:rPr>
        <w:t xml:space="preserve">n si </w:t>
      </w:r>
      <w:r>
        <w:rPr>
          <w:spacing w:val="-6"/>
          <w:sz w:val="18"/>
          <w:szCs w:val="18"/>
          <w:lang w:val="es-ES_tradnl"/>
        </w:rPr>
        <w:t>en la resoluci</w:t>
      </w:r>
      <w:r>
        <w:rPr>
          <w:rFonts w:cs="Times New Roman"/>
          <w:spacing w:val="-6"/>
          <w:sz w:val="18"/>
          <w:szCs w:val="18"/>
          <w:lang w:val="es-ES_tradnl"/>
        </w:rPr>
        <w:t>ó</w:t>
      </w:r>
      <w:r>
        <w:rPr>
          <w:spacing w:val="-6"/>
          <w:sz w:val="18"/>
          <w:szCs w:val="18"/>
          <w:lang w:val="es-ES_tradnl"/>
        </w:rPr>
        <w:t xml:space="preserve">n no se enuncian las normas o principios </w:t>
      </w:r>
      <w:r>
        <w:rPr>
          <w:spacing w:val="-3"/>
          <w:sz w:val="18"/>
          <w:szCs w:val="18"/>
          <w:lang w:val="es-ES_tradnl"/>
        </w:rPr>
        <w:t>jur</w:t>
      </w:r>
      <w:r>
        <w:rPr>
          <w:rFonts w:cs="Times New Roman"/>
          <w:spacing w:val="-3"/>
          <w:sz w:val="18"/>
          <w:szCs w:val="18"/>
          <w:lang w:val="es-ES_tradnl"/>
        </w:rPr>
        <w:t>í</w:t>
      </w:r>
      <w:r>
        <w:rPr>
          <w:spacing w:val="-3"/>
          <w:sz w:val="18"/>
          <w:szCs w:val="18"/>
          <w:lang w:val="es-ES_tradnl"/>
        </w:rPr>
        <w:t xml:space="preserve">dicos en que se funda y no se explica la pertinencia </w:t>
      </w:r>
      <w:r>
        <w:rPr>
          <w:spacing w:val="-8"/>
          <w:sz w:val="18"/>
          <w:szCs w:val="18"/>
          <w:lang w:val="es-ES_tradnl"/>
        </w:rPr>
        <w:t>de su aplicaci</w:t>
      </w:r>
      <w:r>
        <w:rPr>
          <w:rFonts w:cs="Times New Roman"/>
          <w:spacing w:val="-8"/>
          <w:sz w:val="18"/>
          <w:szCs w:val="18"/>
          <w:lang w:val="es-ES_tradnl"/>
        </w:rPr>
        <w:t>ó</w:t>
      </w:r>
      <w:r>
        <w:rPr>
          <w:spacing w:val="-8"/>
          <w:sz w:val="18"/>
          <w:szCs w:val="18"/>
          <w:lang w:val="es-ES_tradnl"/>
        </w:rPr>
        <w:t xml:space="preserve">n a los antecedentes de hecho. Los actos administrativos, resoluciones o fallos que no se encuentren </w:t>
      </w:r>
      <w:r>
        <w:rPr>
          <w:spacing w:val="-7"/>
          <w:sz w:val="18"/>
          <w:szCs w:val="18"/>
          <w:lang w:val="es-ES_tradnl"/>
        </w:rPr>
        <w:t>debidamente motivados se considerar</w:t>
      </w:r>
      <w:r>
        <w:rPr>
          <w:rFonts w:cs="Times New Roman"/>
          <w:spacing w:val="-7"/>
          <w:sz w:val="18"/>
          <w:szCs w:val="18"/>
          <w:lang w:val="es-ES_tradnl"/>
        </w:rPr>
        <w:t>á</w:t>
      </w:r>
      <w:r>
        <w:rPr>
          <w:spacing w:val="-7"/>
          <w:sz w:val="18"/>
          <w:szCs w:val="18"/>
          <w:lang w:val="es-ES_tradnl"/>
        </w:rPr>
        <w:t>n nulos [</w:t>
      </w:r>
      <w:r>
        <w:rPr>
          <w:rFonts w:cs="Times New Roman"/>
          <w:spacing w:val="-7"/>
          <w:sz w:val="18"/>
          <w:szCs w:val="18"/>
          <w:lang w:val="es-ES_tradnl"/>
        </w:rPr>
        <w:t>…</w:t>
      </w:r>
      <w:r>
        <w:rPr>
          <w:spacing w:val="-7"/>
          <w:sz w:val="18"/>
          <w:szCs w:val="18"/>
          <w:lang w:val="es-ES_tradnl"/>
        </w:rPr>
        <w:t>]</w:t>
      </w:r>
      <w:r>
        <w:rPr>
          <w:rFonts w:cs="Times New Roman"/>
          <w:spacing w:val="-7"/>
          <w:sz w:val="18"/>
          <w:szCs w:val="18"/>
          <w:lang w:val="es-ES_tradnl"/>
        </w:rPr>
        <w:t>”</w:t>
      </w:r>
      <w:r>
        <w:rPr>
          <w:spacing w:val="-7"/>
          <w:sz w:val="18"/>
          <w:szCs w:val="18"/>
          <w:lang w:val="es-ES_tradnl"/>
        </w:rPr>
        <w:t>.</w:t>
      </w:r>
    </w:p>
    <w:p w14:paraId="4F67B320" w14:textId="77777777" w:rsidR="00591D54" w:rsidRDefault="00591D54">
      <w:pPr>
        <w:shd w:val="clear" w:color="auto" w:fill="FFFFFF"/>
        <w:spacing w:before="192" w:line="216" w:lineRule="exact"/>
        <w:jc w:val="both"/>
      </w:pPr>
      <w:r>
        <w:rPr>
          <w:spacing w:val="-2"/>
          <w:sz w:val="18"/>
          <w:szCs w:val="18"/>
          <w:lang w:val="es-ES_tradnl"/>
        </w:rPr>
        <w:t xml:space="preserve">La norma constitucional claramente establece que en </w:t>
      </w:r>
      <w:r>
        <w:rPr>
          <w:spacing w:val="-6"/>
          <w:sz w:val="18"/>
          <w:szCs w:val="18"/>
          <w:lang w:val="es-ES_tradnl"/>
        </w:rPr>
        <w:t>toda resoluci</w:t>
      </w:r>
      <w:r>
        <w:rPr>
          <w:rFonts w:cs="Times New Roman"/>
          <w:spacing w:val="-6"/>
          <w:sz w:val="18"/>
          <w:szCs w:val="18"/>
          <w:lang w:val="es-ES_tradnl"/>
        </w:rPr>
        <w:t>ó</w:t>
      </w:r>
      <w:r>
        <w:rPr>
          <w:spacing w:val="-6"/>
          <w:sz w:val="18"/>
          <w:szCs w:val="18"/>
          <w:lang w:val="es-ES_tradnl"/>
        </w:rPr>
        <w:t>n debe enunciarse los principios y normas jur</w:t>
      </w:r>
      <w:r>
        <w:rPr>
          <w:rFonts w:cs="Times New Roman"/>
          <w:spacing w:val="-6"/>
          <w:sz w:val="18"/>
          <w:szCs w:val="18"/>
          <w:lang w:val="es-ES_tradnl"/>
        </w:rPr>
        <w:t>í</w:t>
      </w:r>
      <w:r>
        <w:rPr>
          <w:spacing w:val="-6"/>
          <w:sz w:val="18"/>
          <w:szCs w:val="18"/>
          <w:lang w:val="es-ES_tradnl"/>
        </w:rPr>
        <w:t>dicas en que se fundamenta la decisi</w:t>
      </w:r>
      <w:r>
        <w:rPr>
          <w:rFonts w:cs="Times New Roman"/>
          <w:spacing w:val="-6"/>
          <w:sz w:val="18"/>
          <w:szCs w:val="18"/>
          <w:lang w:val="es-ES_tradnl"/>
        </w:rPr>
        <w:t>ó</w:t>
      </w:r>
      <w:r>
        <w:rPr>
          <w:spacing w:val="-6"/>
          <w:sz w:val="18"/>
          <w:szCs w:val="18"/>
          <w:lang w:val="es-ES_tradnl"/>
        </w:rPr>
        <w:t xml:space="preserve">n y explicar la </w:t>
      </w:r>
      <w:r>
        <w:rPr>
          <w:spacing w:val="-7"/>
          <w:sz w:val="18"/>
          <w:szCs w:val="18"/>
          <w:lang w:val="es-ES_tradnl"/>
        </w:rPr>
        <w:t>pertinencia de su aplicaci</w:t>
      </w:r>
      <w:r>
        <w:rPr>
          <w:rFonts w:cs="Times New Roman"/>
          <w:spacing w:val="-7"/>
          <w:sz w:val="18"/>
          <w:szCs w:val="18"/>
          <w:lang w:val="es-ES_tradnl"/>
        </w:rPr>
        <w:t>ó</w:t>
      </w:r>
      <w:r>
        <w:rPr>
          <w:spacing w:val="-7"/>
          <w:sz w:val="18"/>
          <w:szCs w:val="18"/>
          <w:lang w:val="es-ES_tradnl"/>
        </w:rPr>
        <w:t xml:space="preserve">n a los antecedentes de hecho, </w:t>
      </w:r>
      <w:r>
        <w:rPr>
          <w:spacing w:val="-10"/>
          <w:sz w:val="18"/>
          <w:szCs w:val="18"/>
          <w:lang w:val="es-ES_tradnl"/>
        </w:rPr>
        <w:t xml:space="preserve">de tal manera que las resoluciones no se limiten </w:t>
      </w:r>
      <w:r>
        <w:rPr>
          <w:rFonts w:cs="Times New Roman"/>
          <w:spacing w:val="-10"/>
          <w:sz w:val="18"/>
          <w:szCs w:val="18"/>
          <w:lang w:val="es-ES_tradnl"/>
        </w:rPr>
        <w:t>ú</w:t>
      </w:r>
      <w:r>
        <w:rPr>
          <w:spacing w:val="-10"/>
          <w:sz w:val="18"/>
          <w:szCs w:val="18"/>
          <w:lang w:val="es-ES_tradnl"/>
        </w:rPr>
        <w:t xml:space="preserve">nicamente </w:t>
      </w:r>
      <w:r>
        <w:rPr>
          <w:spacing w:val="-6"/>
          <w:sz w:val="18"/>
          <w:szCs w:val="18"/>
          <w:lang w:val="es-ES_tradnl"/>
        </w:rPr>
        <w:t>a la invocaci</w:t>
      </w:r>
      <w:r>
        <w:rPr>
          <w:rFonts w:cs="Times New Roman"/>
          <w:spacing w:val="-6"/>
          <w:sz w:val="18"/>
          <w:szCs w:val="18"/>
          <w:lang w:val="es-ES_tradnl"/>
        </w:rPr>
        <w:t>ó</w:t>
      </w:r>
      <w:r>
        <w:rPr>
          <w:spacing w:val="-6"/>
          <w:sz w:val="18"/>
          <w:szCs w:val="18"/>
          <w:lang w:val="es-ES_tradnl"/>
        </w:rPr>
        <w:t>n abstracta de normas, sino, tambi</w:t>
      </w:r>
      <w:r>
        <w:rPr>
          <w:rFonts w:cs="Times New Roman"/>
          <w:spacing w:val="-6"/>
          <w:sz w:val="18"/>
          <w:szCs w:val="18"/>
          <w:lang w:val="es-ES_tradnl"/>
        </w:rPr>
        <w:t>é</w:t>
      </w:r>
      <w:r>
        <w:rPr>
          <w:spacing w:val="-6"/>
          <w:sz w:val="18"/>
          <w:szCs w:val="18"/>
          <w:lang w:val="es-ES_tradnl"/>
        </w:rPr>
        <w:t xml:space="preserve">n, que </w:t>
      </w:r>
      <w:r>
        <w:rPr>
          <w:spacing w:val="-9"/>
          <w:sz w:val="18"/>
          <w:szCs w:val="18"/>
          <w:lang w:val="es-ES_tradnl"/>
        </w:rPr>
        <w:t xml:space="preserve">dichas normas sean concordantes con los antecedentes y </w:t>
      </w:r>
      <w:r>
        <w:rPr>
          <w:spacing w:val="-10"/>
          <w:sz w:val="18"/>
          <w:szCs w:val="18"/>
          <w:lang w:val="es-ES_tradnl"/>
        </w:rPr>
        <w:t xml:space="preserve">coherentes con lo que se resuelve, presentando las razones </w:t>
      </w:r>
      <w:r>
        <w:rPr>
          <w:spacing w:val="-7"/>
          <w:sz w:val="18"/>
          <w:szCs w:val="18"/>
          <w:lang w:val="es-ES_tradnl"/>
        </w:rPr>
        <w:t>que permitan establecer con claridad una inferencia l</w:t>
      </w:r>
      <w:r>
        <w:rPr>
          <w:rFonts w:cs="Times New Roman"/>
          <w:spacing w:val="-7"/>
          <w:sz w:val="18"/>
          <w:szCs w:val="18"/>
          <w:lang w:val="es-ES_tradnl"/>
        </w:rPr>
        <w:t>ó</w:t>
      </w:r>
      <w:r>
        <w:rPr>
          <w:spacing w:val="-7"/>
          <w:sz w:val="18"/>
          <w:szCs w:val="18"/>
          <w:lang w:val="es-ES_tradnl"/>
        </w:rPr>
        <w:t xml:space="preserve">gica </w:t>
      </w:r>
      <w:r>
        <w:rPr>
          <w:spacing w:val="-9"/>
          <w:sz w:val="18"/>
          <w:szCs w:val="18"/>
          <w:lang w:val="es-ES_tradnl"/>
        </w:rPr>
        <w:t>entre los antecedentes f</w:t>
      </w:r>
      <w:r>
        <w:rPr>
          <w:rFonts w:cs="Times New Roman"/>
          <w:spacing w:val="-9"/>
          <w:sz w:val="18"/>
          <w:szCs w:val="18"/>
          <w:lang w:val="es-ES_tradnl"/>
        </w:rPr>
        <w:t>á</w:t>
      </w:r>
      <w:r>
        <w:rPr>
          <w:spacing w:val="-9"/>
          <w:sz w:val="18"/>
          <w:szCs w:val="18"/>
          <w:lang w:val="es-ES_tradnl"/>
        </w:rPr>
        <w:t>cticos y la norma jur</w:t>
      </w:r>
      <w:r>
        <w:rPr>
          <w:rFonts w:cs="Times New Roman"/>
          <w:spacing w:val="-9"/>
          <w:sz w:val="18"/>
          <w:szCs w:val="18"/>
          <w:lang w:val="es-ES_tradnl"/>
        </w:rPr>
        <w:t>í</w:t>
      </w:r>
      <w:r>
        <w:rPr>
          <w:spacing w:val="-9"/>
          <w:sz w:val="18"/>
          <w:szCs w:val="18"/>
          <w:lang w:val="es-ES_tradnl"/>
        </w:rPr>
        <w:t>dica aplicada.</w:t>
      </w:r>
    </w:p>
    <w:p w14:paraId="4F67B321" w14:textId="77777777" w:rsidR="00591D54" w:rsidRDefault="00591D54">
      <w:pPr>
        <w:shd w:val="clear" w:color="auto" w:fill="FFFFFF"/>
        <w:spacing w:before="197" w:line="216" w:lineRule="exact"/>
        <w:jc w:val="both"/>
      </w:pPr>
      <w:r>
        <w:rPr>
          <w:spacing w:val="-1"/>
          <w:sz w:val="18"/>
          <w:szCs w:val="18"/>
          <w:lang w:val="es-ES_tradnl"/>
        </w:rPr>
        <w:t>Respecto de la motivaci</w:t>
      </w:r>
      <w:r>
        <w:rPr>
          <w:rFonts w:cs="Times New Roman"/>
          <w:spacing w:val="-1"/>
          <w:sz w:val="18"/>
          <w:szCs w:val="18"/>
          <w:lang w:val="es-ES_tradnl"/>
        </w:rPr>
        <w:t>ó</w:t>
      </w:r>
      <w:r>
        <w:rPr>
          <w:spacing w:val="-1"/>
          <w:sz w:val="18"/>
          <w:szCs w:val="18"/>
          <w:lang w:val="es-ES_tradnl"/>
        </w:rPr>
        <w:t xml:space="preserve">n, la Corte Constitucional en </w:t>
      </w:r>
      <w:r>
        <w:rPr>
          <w:spacing w:val="-8"/>
          <w:sz w:val="18"/>
          <w:szCs w:val="18"/>
          <w:lang w:val="es-ES_tradnl"/>
        </w:rPr>
        <w:t>la   sentencia   N.</w:t>
      </w:r>
      <w:r>
        <w:rPr>
          <w:rFonts w:cs="Times New Roman"/>
          <w:spacing w:val="-8"/>
          <w:sz w:val="18"/>
          <w:szCs w:val="18"/>
          <w:lang w:val="es-ES_tradnl"/>
        </w:rPr>
        <w:t>º</w:t>
      </w:r>
      <w:r>
        <w:rPr>
          <w:spacing w:val="-8"/>
          <w:sz w:val="18"/>
          <w:szCs w:val="18"/>
          <w:lang w:val="es-ES_tradnl"/>
        </w:rPr>
        <w:t xml:space="preserve">   020-13-SEP-CC   manifest</w:t>
      </w:r>
      <w:r>
        <w:rPr>
          <w:rFonts w:cs="Times New Roman"/>
          <w:spacing w:val="-8"/>
          <w:sz w:val="18"/>
          <w:szCs w:val="18"/>
          <w:lang w:val="es-ES_tradnl"/>
        </w:rPr>
        <w:t>ó</w:t>
      </w:r>
      <w:r>
        <w:rPr>
          <w:spacing w:val="-8"/>
          <w:sz w:val="18"/>
          <w:szCs w:val="18"/>
          <w:lang w:val="es-ES_tradnl"/>
        </w:rPr>
        <w:t xml:space="preserve">   que:   </w:t>
      </w:r>
      <w:r>
        <w:rPr>
          <w:rFonts w:cs="Times New Roman"/>
          <w:spacing w:val="-8"/>
          <w:sz w:val="18"/>
          <w:szCs w:val="18"/>
          <w:lang w:val="es-ES_tradnl"/>
        </w:rPr>
        <w:t>“</w:t>
      </w:r>
      <w:r>
        <w:rPr>
          <w:spacing w:val="-8"/>
          <w:sz w:val="18"/>
          <w:szCs w:val="18"/>
          <w:lang w:val="es-ES_tradnl"/>
        </w:rPr>
        <w:t>La</w:t>
      </w:r>
    </w:p>
    <w:p w14:paraId="4F67B322" w14:textId="77777777" w:rsidR="00591D54" w:rsidRDefault="00591D54">
      <w:pPr>
        <w:shd w:val="clear" w:color="auto" w:fill="FFFFFF"/>
        <w:spacing w:before="197" w:line="216" w:lineRule="exact"/>
        <w:jc w:val="both"/>
        <w:sectPr w:rsidR="00591D54">
          <w:type w:val="continuous"/>
          <w:pgSz w:w="11909" w:h="16834"/>
          <w:pgMar w:top="1371" w:right="1309" w:bottom="360" w:left="1308" w:header="720" w:footer="720" w:gutter="0"/>
          <w:cols w:num="2" w:space="720" w:equalWidth="0">
            <w:col w:w="4305" w:space="682"/>
            <w:col w:w="4305"/>
          </w:cols>
          <w:noEndnote/>
        </w:sectPr>
      </w:pPr>
    </w:p>
    <w:p w14:paraId="4F67B323" w14:textId="77777777" w:rsidR="00591D54" w:rsidRDefault="00591D54">
      <w:pPr>
        <w:shd w:val="clear" w:color="auto" w:fill="FFFFFF"/>
        <w:tabs>
          <w:tab w:val="left" w:pos="4814"/>
        </w:tabs>
        <w:spacing w:after="235"/>
        <w:ind w:left="14"/>
      </w:pPr>
      <w:r>
        <w:rPr>
          <w:b/>
          <w:bCs/>
          <w:sz w:val="18"/>
          <w:szCs w:val="18"/>
          <w:lang w:val="es-ES_tradnl"/>
        </w:rPr>
        <w:t xml:space="preserve">192 -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324" w14:textId="77777777" w:rsidR="00591D54" w:rsidRDefault="00591D54">
      <w:pPr>
        <w:shd w:val="clear" w:color="auto" w:fill="FFFFFF"/>
        <w:tabs>
          <w:tab w:val="left" w:pos="4814"/>
        </w:tabs>
        <w:spacing w:after="235"/>
        <w:ind w:left="14"/>
        <w:sectPr w:rsidR="00591D54">
          <w:pgSz w:w="11909" w:h="16834"/>
          <w:pgMar w:top="1356" w:right="1309" w:bottom="360" w:left="1308" w:header="720" w:footer="720" w:gutter="0"/>
          <w:cols w:space="60"/>
          <w:noEndnote/>
        </w:sectPr>
      </w:pPr>
    </w:p>
    <w:p w14:paraId="4F67B325" w14:textId="77777777" w:rsidR="00591D54" w:rsidRDefault="00591D54">
      <w:pPr>
        <w:shd w:val="clear" w:color="auto" w:fill="FFFFFF"/>
        <w:spacing w:line="202" w:lineRule="exact"/>
        <w:jc w:val="both"/>
      </w:pPr>
      <w:r>
        <w:rPr>
          <w:spacing w:val="-7"/>
          <w:sz w:val="18"/>
          <w:szCs w:val="18"/>
          <w:lang w:val="es-ES_tradnl"/>
        </w:rPr>
        <w:t>motivaci</w:t>
      </w:r>
      <w:r>
        <w:rPr>
          <w:rFonts w:cs="Times New Roman"/>
          <w:spacing w:val="-7"/>
          <w:sz w:val="18"/>
          <w:szCs w:val="18"/>
          <w:lang w:val="es-ES_tradnl"/>
        </w:rPr>
        <w:t>ó</w:t>
      </w:r>
      <w:r>
        <w:rPr>
          <w:spacing w:val="-7"/>
          <w:sz w:val="18"/>
          <w:szCs w:val="18"/>
          <w:lang w:val="es-ES_tradnl"/>
        </w:rPr>
        <w:t>n implica la explicaci</w:t>
      </w:r>
      <w:r>
        <w:rPr>
          <w:rFonts w:cs="Times New Roman"/>
          <w:spacing w:val="-7"/>
          <w:sz w:val="18"/>
          <w:szCs w:val="18"/>
          <w:lang w:val="es-ES_tradnl"/>
        </w:rPr>
        <w:t>ó</w:t>
      </w:r>
      <w:r>
        <w:rPr>
          <w:spacing w:val="-7"/>
          <w:sz w:val="18"/>
          <w:szCs w:val="18"/>
          <w:lang w:val="es-ES_tradnl"/>
        </w:rPr>
        <w:t xml:space="preserve">n ordenada de las razones </w:t>
      </w:r>
      <w:r>
        <w:rPr>
          <w:spacing w:val="-4"/>
          <w:sz w:val="18"/>
          <w:szCs w:val="18"/>
          <w:lang w:val="es-ES_tradnl"/>
        </w:rPr>
        <w:t xml:space="preserve">que llevan a la autoridad </w:t>
      </w:r>
      <w:r>
        <w:rPr>
          <w:rFonts w:cs="Times New Roman"/>
          <w:spacing w:val="-4"/>
          <w:sz w:val="18"/>
          <w:szCs w:val="18"/>
          <w:lang w:val="es-ES_tradnl"/>
        </w:rPr>
        <w:t>–</w:t>
      </w:r>
      <w:r>
        <w:rPr>
          <w:spacing w:val="-4"/>
          <w:sz w:val="18"/>
          <w:szCs w:val="18"/>
          <w:lang w:val="es-ES_tradnl"/>
        </w:rPr>
        <w:t xml:space="preserve">en este caso, la autoridad </w:t>
      </w:r>
      <w:r>
        <w:rPr>
          <w:spacing w:val="-8"/>
          <w:sz w:val="18"/>
          <w:szCs w:val="18"/>
          <w:lang w:val="es-ES_tradnl"/>
        </w:rPr>
        <w:t>judicial-, para adoptar determinada decisi</w:t>
      </w:r>
      <w:r>
        <w:rPr>
          <w:rFonts w:cs="Times New Roman"/>
          <w:spacing w:val="-8"/>
          <w:sz w:val="18"/>
          <w:szCs w:val="18"/>
          <w:lang w:val="es-ES_tradnl"/>
        </w:rPr>
        <w:t>ó</w:t>
      </w:r>
      <w:r>
        <w:rPr>
          <w:spacing w:val="-8"/>
          <w:sz w:val="18"/>
          <w:szCs w:val="18"/>
          <w:lang w:val="es-ES_tradnl"/>
        </w:rPr>
        <w:t>n. La motivaci</w:t>
      </w:r>
      <w:r>
        <w:rPr>
          <w:rFonts w:cs="Times New Roman"/>
          <w:spacing w:val="-8"/>
          <w:sz w:val="18"/>
          <w:szCs w:val="18"/>
          <w:lang w:val="es-ES_tradnl"/>
        </w:rPr>
        <w:t>ó</w:t>
      </w:r>
      <w:r>
        <w:rPr>
          <w:spacing w:val="-8"/>
          <w:sz w:val="18"/>
          <w:szCs w:val="18"/>
          <w:lang w:val="es-ES_tradnl"/>
        </w:rPr>
        <w:t xml:space="preserve">n </w:t>
      </w:r>
      <w:r>
        <w:rPr>
          <w:spacing w:val="-3"/>
          <w:sz w:val="18"/>
          <w:szCs w:val="18"/>
          <w:lang w:val="es-ES_tradnl"/>
        </w:rPr>
        <w:t>es la mayor garant</w:t>
      </w:r>
      <w:r>
        <w:rPr>
          <w:rFonts w:cs="Times New Roman"/>
          <w:spacing w:val="-3"/>
          <w:sz w:val="18"/>
          <w:szCs w:val="18"/>
          <w:lang w:val="es-ES_tradnl"/>
        </w:rPr>
        <w:t>í</w:t>
      </w:r>
      <w:r>
        <w:rPr>
          <w:spacing w:val="-3"/>
          <w:sz w:val="18"/>
          <w:szCs w:val="18"/>
          <w:lang w:val="es-ES_tradnl"/>
        </w:rPr>
        <w:t>a de la juridicidad de la actuaci</w:t>
      </w:r>
      <w:r>
        <w:rPr>
          <w:rFonts w:cs="Times New Roman"/>
          <w:spacing w:val="-3"/>
          <w:sz w:val="18"/>
          <w:szCs w:val="18"/>
          <w:lang w:val="es-ES_tradnl"/>
        </w:rPr>
        <w:t>ó</w:t>
      </w:r>
      <w:r>
        <w:rPr>
          <w:spacing w:val="-3"/>
          <w:sz w:val="18"/>
          <w:szCs w:val="18"/>
          <w:lang w:val="es-ES_tradnl"/>
        </w:rPr>
        <w:t xml:space="preserve">n </w:t>
      </w:r>
      <w:r>
        <w:rPr>
          <w:spacing w:val="-7"/>
          <w:sz w:val="18"/>
          <w:szCs w:val="18"/>
          <w:lang w:val="es-ES_tradnl"/>
        </w:rPr>
        <w:t>p</w:t>
      </w:r>
      <w:r>
        <w:rPr>
          <w:rFonts w:cs="Times New Roman"/>
          <w:spacing w:val="-7"/>
          <w:sz w:val="18"/>
          <w:szCs w:val="18"/>
          <w:lang w:val="es-ES_tradnl"/>
        </w:rPr>
        <w:t>ú</w:t>
      </w:r>
      <w:r>
        <w:rPr>
          <w:spacing w:val="-7"/>
          <w:sz w:val="18"/>
          <w:szCs w:val="18"/>
          <w:lang w:val="es-ES_tradnl"/>
        </w:rPr>
        <w:t xml:space="preserve">blica en un Estado Constitucional de Derechos como el </w:t>
      </w:r>
      <w:r>
        <w:rPr>
          <w:sz w:val="18"/>
          <w:szCs w:val="18"/>
          <w:lang w:val="es-ES_tradnl"/>
        </w:rPr>
        <w:t>ecuatoriano</w:t>
      </w:r>
      <w:r>
        <w:rPr>
          <w:rFonts w:cs="Times New Roman"/>
          <w:sz w:val="18"/>
          <w:szCs w:val="18"/>
          <w:lang w:val="es-ES_tradnl"/>
        </w:rPr>
        <w:t>”</w:t>
      </w:r>
      <w:r>
        <w:rPr>
          <w:sz w:val="18"/>
          <w:szCs w:val="18"/>
          <w:vertAlign w:val="superscript"/>
          <w:lang w:val="es-ES_tradnl"/>
        </w:rPr>
        <w:t>1</w:t>
      </w:r>
      <w:r>
        <w:rPr>
          <w:sz w:val="18"/>
          <w:szCs w:val="18"/>
          <w:lang w:val="es-ES_tradnl"/>
        </w:rPr>
        <w:t>.</w:t>
      </w:r>
    </w:p>
    <w:p w14:paraId="4F67B326" w14:textId="77777777" w:rsidR="00591D54" w:rsidRDefault="00591D54">
      <w:pPr>
        <w:shd w:val="clear" w:color="auto" w:fill="FFFFFF"/>
        <w:spacing w:before="192" w:line="211" w:lineRule="exact"/>
        <w:ind w:right="5"/>
        <w:jc w:val="both"/>
      </w:pPr>
      <w:r>
        <w:rPr>
          <w:spacing w:val="-7"/>
          <w:sz w:val="18"/>
          <w:szCs w:val="18"/>
          <w:lang w:val="es-ES_tradnl"/>
        </w:rPr>
        <w:t>Asimismo, en la sentencia N.</w:t>
      </w:r>
      <w:r>
        <w:rPr>
          <w:rFonts w:cs="Times New Roman"/>
          <w:spacing w:val="-7"/>
          <w:sz w:val="18"/>
          <w:szCs w:val="18"/>
          <w:lang w:val="es-ES_tradnl"/>
        </w:rPr>
        <w:t>º</w:t>
      </w:r>
      <w:r>
        <w:rPr>
          <w:spacing w:val="-7"/>
          <w:sz w:val="18"/>
          <w:szCs w:val="18"/>
          <w:lang w:val="es-ES_tradnl"/>
        </w:rPr>
        <w:t xml:space="preserve"> 092-13-SEP-CC, dentro del caso N.</w:t>
      </w:r>
      <w:r>
        <w:rPr>
          <w:rFonts w:cs="Times New Roman"/>
          <w:spacing w:val="-7"/>
          <w:sz w:val="18"/>
          <w:szCs w:val="18"/>
          <w:lang w:val="es-ES_tradnl"/>
        </w:rPr>
        <w:t>º</w:t>
      </w:r>
      <w:r>
        <w:rPr>
          <w:spacing w:val="-7"/>
          <w:sz w:val="18"/>
          <w:szCs w:val="18"/>
          <w:lang w:val="es-ES_tradnl"/>
        </w:rPr>
        <w:t xml:space="preserve"> 538-11-EP, esta Corte estableci</w:t>
      </w:r>
      <w:r>
        <w:rPr>
          <w:rFonts w:cs="Times New Roman"/>
          <w:spacing w:val="-7"/>
          <w:sz w:val="18"/>
          <w:szCs w:val="18"/>
          <w:lang w:val="es-ES_tradnl"/>
        </w:rPr>
        <w:t>ó</w:t>
      </w:r>
      <w:r>
        <w:rPr>
          <w:spacing w:val="-7"/>
          <w:sz w:val="18"/>
          <w:szCs w:val="18"/>
          <w:lang w:val="es-ES_tradnl"/>
        </w:rPr>
        <w:t xml:space="preserve"> los elementos </w:t>
      </w:r>
      <w:r>
        <w:rPr>
          <w:spacing w:val="-10"/>
          <w:sz w:val="18"/>
          <w:szCs w:val="18"/>
          <w:lang w:val="es-ES_tradnl"/>
        </w:rPr>
        <w:t xml:space="preserve">que deben contener las sentencias para que las mismas se </w:t>
      </w:r>
      <w:r>
        <w:rPr>
          <w:spacing w:val="-9"/>
          <w:sz w:val="18"/>
          <w:szCs w:val="18"/>
          <w:lang w:val="es-ES_tradnl"/>
        </w:rPr>
        <w:t xml:space="preserve">encuentren debidamente motivadas en el siguiente sentido: </w:t>
      </w:r>
      <w:r>
        <w:rPr>
          <w:rFonts w:cs="Times New Roman"/>
          <w:spacing w:val="-3"/>
          <w:sz w:val="18"/>
          <w:szCs w:val="18"/>
          <w:lang w:val="es-ES_tradnl"/>
        </w:rPr>
        <w:t>“</w:t>
      </w:r>
      <w:r>
        <w:rPr>
          <w:spacing w:val="-3"/>
          <w:sz w:val="18"/>
          <w:szCs w:val="18"/>
          <w:lang w:val="es-ES_tradnl"/>
        </w:rPr>
        <w:t>[</w:t>
      </w:r>
      <w:r>
        <w:rPr>
          <w:rFonts w:cs="Times New Roman"/>
          <w:spacing w:val="-3"/>
          <w:sz w:val="18"/>
          <w:szCs w:val="18"/>
          <w:lang w:val="es-ES_tradnl"/>
        </w:rPr>
        <w:t>…</w:t>
      </w:r>
      <w:r>
        <w:rPr>
          <w:spacing w:val="-3"/>
          <w:sz w:val="18"/>
          <w:szCs w:val="18"/>
          <w:lang w:val="es-ES_tradnl"/>
        </w:rPr>
        <w:t>] la exposici</w:t>
      </w:r>
      <w:r>
        <w:rPr>
          <w:rFonts w:cs="Times New Roman"/>
          <w:spacing w:val="-3"/>
          <w:sz w:val="18"/>
          <w:szCs w:val="18"/>
          <w:lang w:val="es-ES_tradnl"/>
        </w:rPr>
        <w:t>ó</w:t>
      </w:r>
      <w:r>
        <w:rPr>
          <w:spacing w:val="-3"/>
          <w:sz w:val="18"/>
          <w:szCs w:val="18"/>
          <w:lang w:val="es-ES_tradnl"/>
        </w:rPr>
        <w:t xml:space="preserve">n por parte de la autoridad judicial con </w:t>
      </w:r>
      <w:r>
        <w:rPr>
          <w:spacing w:val="-7"/>
          <w:sz w:val="18"/>
          <w:szCs w:val="18"/>
          <w:lang w:val="es-ES_tradnl"/>
        </w:rPr>
        <w:t>respecto a la decisi</w:t>
      </w:r>
      <w:r>
        <w:rPr>
          <w:rFonts w:cs="Times New Roman"/>
          <w:spacing w:val="-7"/>
          <w:sz w:val="18"/>
          <w:szCs w:val="18"/>
          <w:lang w:val="es-ES_tradnl"/>
        </w:rPr>
        <w:t>ó</w:t>
      </w:r>
      <w:r>
        <w:rPr>
          <w:spacing w:val="-7"/>
          <w:sz w:val="18"/>
          <w:szCs w:val="18"/>
          <w:lang w:val="es-ES_tradnl"/>
        </w:rPr>
        <w:t>n adoptada debe hac</w:t>
      </w:r>
      <w:r>
        <w:rPr>
          <w:rFonts w:cs="Times New Roman"/>
          <w:spacing w:val="-7"/>
          <w:sz w:val="18"/>
          <w:szCs w:val="18"/>
          <w:lang w:val="es-ES_tradnl"/>
        </w:rPr>
        <w:t>é</w:t>
      </w:r>
      <w:r>
        <w:rPr>
          <w:spacing w:val="-7"/>
          <w:sz w:val="18"/>
          <w:szCs w:val="18"/>
          <w:lang w:val="es-ES_tradnl"/>
        </w:rPr>
        <w:t xml:space="preserve">rsela de forma: </w:t>
      </w:r>
      <w:r>
        <w:rPr>
          <w:b/>
          <w:bCs/>
          <w:spacing w:val="-6"/>
          <w:sz w:val="18"/>
          <w:szCs w:val="18"/>
          <w:lang w:val="es-ES_tradnl"/>
        </w:rPr>
        <w:t>i) Razonable</w:t>
      </w:r>
      <w:r>
        <w:rPr>
          <w:spacing w:val="-6"/>
          <w:sz w:val="18"/>
          <w:szCs w:val="18"/>
          <w:lang w:val="es-ES_tradnl"/>
        </w:rPr>
        <w:t xml:space="preserve">, es decir sea fundada en los principios </w:t>
      </w:r>
      <w:r>
        <w:rPr>
          <w:spacing w:val="-7"/>
          <w:sz w:val="18"/>
          <w:szCs w:val="18"/>
          <w:lang w:val="es-ES_tradnl"/>
        </w:rPr>
        <w:t xml:space="preserve">constitucionales; </w:t>
      </w:r>
      <w:r>
        <w:rPr>
          <w:b/>
          <w:bCs/>
          <w:spacing w:val="-7"/>
          <w:sz w:val="18"/>
          <w:szCs w:val="18"/>
          <w:lang w:val="es-ES_tradnl"/>
        </w:rPr>
        <w:t>ii) L</w:t>
      </w:r>
      <w:r>
        <w:rPr>
          <w:rFonts w:cs="Times New Roman"/>
          <w:b/>
          <w:bCs/>
          <w:spacing w:val="-7"/>
          <w:sz w:val="18"/>
          <w:szCs w:val="18"/>
          <w:lang w:val="es-ES_tradnl"/>
        </w:rPr>
        <w:t>ó</w:t>
      </w:r>
      <w:r>
        <w:rPr>
          <w:b/>
          <w:bCs/>
          <w:spacing w:val="-7"/>
          <w:sz w:val="18"/>
          <w:szCs w:val="18"/>
          <w:lang w:val="es-ES_tradnl"/>
        </w:rPr>
        <w:t>gica</w:t>
      </w:r>
      <w:r>
        <w:rPr>
          <w:spacing w:val="-7"/>
          <w:sz w:val="18"/>
          <w:szCs w:val="18"/>
          <w:lang w:val="es-ES_tradnl"/>
        </w:rPr>
        <w:t xml:space="preserve">, lo cual implica una coherencia </w:t>
      </w:r>
      <w:r>
        <w:rPr>
          <w:spacing w:val="-8"/>
          <w:sz w:val="18"/>
          <w:szCs w:val="18"/>
          <w:lang w:val="es-ES_tradnl"/>
        </w:rPr>
        <w:t>entre las premisas y la conclusi</w:t>
      </w:r>
      <w:r>
        <w:rPr>
          <w:rFonts w:cs="Times New Roman"/>
          <w:spacing w:val="-8"/>
          <w:sz w:val="18"/>
          <w:szCs w:val="18"/>
          <w:lang w:val="es-ES_tradnl"/>
        </w:rPr>
        <w:t>ó</w:t>
      </w:r>
      <w:r>
        <w:rPr>
          <w:spacing w:val="-8"/>
          <w:sz w:val="18"/>
          <w:szCs w:val="18"/>
          <w:lang w:val="es-ES_tradnl"/>
        </w:rPr>
        <w:t xml:space="preserve">n y, </w:t>
      </w:r>
      <w:r>
        <w:rPr>
          <w:b/>
          <w:bCs/>
          <w:spacing w:val="-8"/>
          <w:sz w:val="18"/>
          <w:szCs w:val="18"/>
          <w:lang w:val="es-ES_tradnl"/>
        </w:rPr>
        <w:t>iii) Comprensible</w:t>
      </w:r>
      <w:r>
        <w:rPr>
          <w:spacing w:val="-8"/>
          <w:sz w:val="18"/>
          <w:szCs w:val="18"/>
          <w:lang w:val="es-ES_tradnl"/>
        </w:rPr>
        <w:t xml:space="preserve">, es </w:t>
      </w:r>
      <w:r>
        <w:rPr>
          <w:spacing w:val="-6"/>
          <w:sz w:val="18"/>
          <w:szCs w:val="18"/>
          <w:lang w:val="es-ES_tradnl"/>
        </w:rPr>
        <w:t>decir que el fallo goce de claridad en el lenguaje</w:t>
      </w:r>
      <w:r>
        <w:rPr>
          <w:rFonts w:cs="Times New Roman"/>
          <w:spacing w:val="-6"/>
          <w:sz w:val="18"/>
          <w:szCs w:val="18"/>
          <w:lang w:val="es-ES_tradnl"/>
        </w:rPr>
        <w:t>”</w:t>
      </w:r>
      <w:r>
        <w:rPr>
          <w:spacing w:val="-6"/>
          <w:sz w:val="18"/>
          <w:szCs w:val="18"/>
          <w:lang w:val="es-ES_tradnl"/>
        </w:rPr>
        <w:t>.</w:t>
      </w:r>
    </w:p>
    <w:p w14:paraId="4F67B327" w14:textId="77777777" w:rsidR="00591D54" w:rsidRDefault="00591D54">
      <w:pPr>
        <w:shd w:val="clear" w:color="auto" w:fill="FFFFFF"/>
        <w:spacing w:before="187" w:line="211" w:lineRule="exact"/>
        <w:jc w:val="both"/>
      </w:pPr>
      <w:r>
        <w:rPr>
          <w:spacing w:val="-3"/>
          <w:sz w:val="18"/>
          <w:szCs w:val="18"/>
          <w:lang w:val="es-ES_tradnl"/>
        </w:rPr>
        <w:t>Previo a realizar el an</w:t>
      </w:r>
      <w:r>
        <w:rPr>
          <w:rFonts w:cs="Times New Roman"/>
          <w:spacing w:val="-3"/>
          <w:sz w:val="18"/>
          <w:szCs w:val="18"/>
          <w:lang w:val="es-ES_tradnl"/>
        </w:rPr>
        <w:t>á</w:t>
      </w:r>
      <w:r>
        <w:rPr>
          <w:spacing w:val="-3"/>
          <w:sz w:val="18"/>
          <w:szCs w:val="18"/>
          <w:lang w:val="es-ES_tradnl"/>
        </w:rPr>
        <w:t xml:space="preserve">lisis de constitucionalidad </w:t>
      </w:r>
      <w:r>
        <w:rPr>
          <w:spacing w:val="-10"/>
          <w:sz w:val="18"/>
          <w:szCs w:val="18"/>
          <w:lang w:val="es-ES_tradnl"/>
        </w:rPr>
        <w:t>correspondiente, es preciso se</w:t>
      </w:r>
      <w:r>
        <w:rPr>
          <w:rFonts w:cs="Times New Roman"/>
          <w:spacing w:val="-10"/>
          <w:sz w:val="18"/>
          <w:szCs w:val="18"/>
          <w:lang w:val="es-ES_tradnl"/>
        </w:rPr>
        <w:t>ñ</w:t>
      </w:r>
      <w:r>
        <w:rPr>
          <w:spacing w:val="-10"/>
          <w:sz w:val="18"/>
          <w:szCs w:val="18"/>
          <w:lang w:val="es-ES_tradnl"/>
        </w:rPr>
        <w:t xml:space="preserve">alar como antecedentes que </w:t>
      </w:r>
      <w:r>
        <w:rPr>
          <w:spacing w:val="-6"/>
          <w:sz w:val="18"/>
          <w:szCs w:val="18"/>
          <w:lang w:val="es-ES_tradnl"/>
        </w:rPr>
        <w:t>la presente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n, se origin</w:t>
      </w:r>
      <w:r>
        <w:rPr>
          <w:rFonts w:cs="Times New Roman"/>
          <w:spacing w:val="-6"/>
          <w:sz w:val="18"/>
          <w:szCs w:val="18"/>
          <w:lang w:val="es-ES_tradnl"/>
        </w:rPr>
        <w:t xml:space="preserve">ó </w:t>
      </w:r>
      <w:r>
        <w:rPr>
          <w:spacing w:val="-2"/>
          <w:sz w:val="18"/>
          <w:szCs w:val="18"/>
          <w:lang w:val="es-ES_tradnl"/>
        </w:rPr>
        <w:t>en el juicio de trabajo propuesto por el se</w:t>
      </w:r>
      <w:r>
        <w:rPr>
          <w:rFonts w:cs="Times New Roman"/>
          <w:spacing w:val="-2"/>
          <w:sz w:val="18"/>
          <w:szCs w:val="18"/>
          <w:lang w:val="es-ES_tradnl"/>
        </w:rPr>
        <w:t>ñ</w:t>
      </w:r>
      <w:r>
        <w:rPr>
          <w:spacing w:val="-2"/>
          <w:sz w:val="18"/>
          <w:szCs w:val="18"/>
          <w:lang w:val="es-ES_tradnl"/>
        </w:rPr>
        <w:t xml:space="preserve">or Miguel </w:t>
      </w:r>
      <w:r>
        <w:rPr>
          <w:spacing w:val="-4"/>
          <w:sz w:val="18"/>
          <w:szCs w:val="18"/>
          <w:lang w:val="es-ES_tradnl"/>
        </w:rPr>
        <w:t>Antonio Yaure Riofr</w:t>
      </w:r>
      <w:r>
        <w:rPr>
          <w:rFonts w:cs="Times New Roman"/>
          <w:spacing w:val="-4"/>
          <w:sz w:val="18"/>
          <w:szCs w:val="18"/>
          <w:lang w:val="es-ES_tradnl"/>
        </w:rPr>
        <w:t>í</w:t>
      </w:r>
      <w:r>
        <w:rPr>
          <w:spacing w:val="-4"/>
          <w:sz w:val="18"/>
          <w:szCs w:val="18"/>
          <w:lang w:val="es-ES_tradnl"/>
        </w:rPr>
        <w:t>o en contra de los se</w:t>
      </w:r>
      <w:r>
        <w:rPr>
          <w:rFonts w:cs="Times New Roman"/>
          <w:spacing w:val="-4"/>
          <w:sz w:val="18"/>
          <w:szCs w:val="18"/>
          <w:lang w:val="es-ES_tradnl"/>
        </w:rPr>
        <w:t>ñ</w:t>
      </w:r>
      <w:r>
        <w:rPr>
          <w:spacing w:val="-4"/>
          <w:sz w:val="18"/>
          <w:szCs w:val="18"/>
          <w:lang w:val="es-ES_tradnl"/>
        </w:rPr>
        <w:t xml:space="preserve">ores Wilfrido </w:t>
      </w:r>
      <w:r>
        <w:rPr>
          <w:sz w:val="18"/>
          <w:szCs w:val="18"/>
          <w:lang w:val="es-ES_tradnl"/>
        </w:rPr>
        <w:t xml:space="preserve">Euclides Montalvo Bustamante y Libertad Marlene </w:t>
      </w:r>
      <w:r>
        <w:rPr>
          <w:spacing w:val="-7"/>
          <w:sz w:val="18"/>
          <w:szCs w:val="18"/>
          <w:lang w:val="es-ES_tradnl"/>
        </w:rPr>
        <w:t>Galarza Ortega que se sigui</w:t>
      </w:r>
      <w:r>
        <w:rPr>
          <w:rFonts w:cs="Times New Roman"/>
          <w:spacing w:val="-7"/>
          <w:sz w:val="18"/>
          <w:szCs w:val="18"/>
          <w:lang w:val="es-ES_tradnl"/>
        </w:rPr>
        <w:t>ó</w:t>
      </w:r>
      <w:r>
        <w:rPr>
          <w:spacing w:val="-7"/>
          <w:sz w:val="18"/>
          <w:szCs w:val="18"/>
          <w:lang w:val="es-ES_tradnl"/>
        </w:rPr>
        <w:t xml:space="preserve"> en primera instancia ante el </w:t>
      </w:r>
      <w:r>
        <w:rPr>
          <w:spacing w:val="-6"/>
          <w:sz w:val="18"/>
          <w:szCs w:val="18"/>
          <w:lang w:val="es-ES_tradnl"/>
        </w:rPr>
        <w:t xml:space="preserve">Juzgado Primero Provincial de Trabajo de Loja en donde </w:t>
      </w:r>
      <w:r>
        <w:rPr>
          <w:spacing w:val="-9"/>
          <w:sz w:val="18"/>
          <w:szCs w:val="18"/>
          <w:lang w:val="es-ES_tradnl"/>
        </w:rPr>
        <w:t>se acept</w:t>
      </w:r>
      <w:r>
        <w:rPr>
          <w:rFonts w:cs="Times New Roman"/>
          <w:spacing w:val="-9"/>
          <w:sz w:val="18"/>
          <w:szCs w:val="18"/>
          <w:lang w:val="es-ES_tradnl"/>
        </w:rPr>
        <w:t>ó</w:t>
      </w:r>
      <w:r>
        <w:rPr>
          <w:spacing w:val="-9"/>
          <w:sz w:val="18"/>
          <w:szCs w:val="18"/>
          <w:lang w:val="es-ES_tradnl"/>
        </w:rPr>
        <w:t xml:space="preserve"> parcialmente la demanda y se dispuso el pago de </w:t>
      </w:r>
      <w:r>
        <w:rPr>
          <w:spacing w:val="-8"/>
          <w:sz w:val="18"/>
          <w:szCs w:val="18"/>
          <w:lang w:val="es-ES_tradnl"/>
        </w:rPr>
        <w:t>$ 11.604,47 USD, en favor del se</w:t>
      </w:r>
      <w:r>
        <w:rPr>
          <w:rFonts w:cs="Times New Roman"/>
          <w:spacing w:val="-8"/>
          <w:sz w:val="18"/>
          <w:szCs w:val="18"/>
          <w:lang w:val="es-ES_tradnl"/>
        </w:rPr>
        <w:t>ñ</w:t>
      </w:r>
      <w:r>
        <w:rPr>
          <w:spacing w:val="-8"/>
          <w:sz w:val="18"/>
          <w:szCs w:val="18"/>
          <w:lang w:val="es-ES_tradnl"/>
        </w:rPr>
        <w:t xml:space="preserve">or Miguel Yaure, de este fallo, apelaron las partes, correspondiendo el conocimiento </w:t>
      </w:r>
      <w:r>
        <w:rPr>
          <w:spacing w:val="-9"/>
          <w:sz w:val="18"/>
          <w:szCs w:val="18"/>
          <w:lang w:val="es-ES_tradnl"/>
        </w:rPr>
        <w:t xml:space="preserve">de la causa en segunda instancia a la Sala de lo Laboral, de </w:t>
      </w:r>
      <w:r>
        <w:rPr>
          <w:spacing w:val="-6"/>
          <w:sz w:val="18"/>
          <w:szCs w:val="18"/>
          <w:lang w:val="es-ES_tradnl"/>
        </w:rPr>
        <w:t>la Ni</w:t>
      </w:r>
      <w:r>
        <w:rPr>
          <w:rFonts w:cs="Times New Roman"/>
          <w:spacing w:val="-6"/>
          <w:sz w:val="18"/>
          <w:szCs w:val="18"/>
          <w:lang w:val="es-ES_tradnl"/>
        </w:rPr>
        <w:t>ñ</w:t>
      </w:r>
      <w:r>
        <w:rPr>
          <w:spacing w:val="-6"/>
          <w:sz w:val="18"/>
          <w:szCs w:val="18"/>
          <w:lang w:val="es-ES_tradnl"/>
        </w:rPr>
        <w:t xml:space="preserve">ez y Adolescencia de la Corte Provincial del Justicia </w:t>
      </w:r>
      <w:r>
        <w:rPr>
          <w:spacing w:val="-9"/>
          <w:sz w:val="18"/>
          <w:szCs w:val="18"/>
          <w:lang w:val="es-ES_tradnl"/>
        </w:rPr>
        <w:t>de Loja, en donde se revoc</w:t>
      </w:r>
      <w:r>
        <w:rPr>
          <w:rFonts w:cs="Times New Roman"/>
          <w:spacing w:val="-9"/>
          <w:sz w:val="18"/>
          <w:szCs w:val="18"/>
          <w:lang w:val="es-ES_tradnl"/>
        </w:rPr>
        <w:t>ó</w:t>
      </w:r>
      <w:r>
        <w:rPr>
          <w:spacing w:val="-9"/>
          <w:sz w:val="18"/>
          <w:szCs w:val="18"/>
          <w:lang w:val="es-ES_tradnl"/>
        </w:rPr>
        <w:t xml:space="preserve"> el fallo subido en grado y en su </w:t>
      </w:r>
      <w:r>
        <w:rPr>
          <w:sz w:val="18"/>
          <w:szCs w:val="18"/>
          <w:lang w:val="es-ES_tradnl"/>
        </w:rPr>
        <w:t>lugar, se desech</w:t>
      </w:r>
      <w:r>
        <w:rPr>
          <w:rFonts w:cs="Times New Roman"/>
          <w:sz w:val="18"/>
          <w:szCs w:val="18"/>
          <w:lang w:val="es-ES_tradnl"/>
        </w:rPr>
        <w:t>ó</w:t>
      </w:r>
      <w:r>
        <w:rPr>
          <w:sz w:val="18"/>
          <w:szCs w:val="18"/>
          <w:lang w:val="es-ES_tradnl"/>
        </w:rPr>
        <w:t xml:space="preserve"> la demanda.</w:t>
      </w:r>
    </w:p>
    <w:p w14:paraId="4F67B328" w14:textId="77777777" w:rsidR="00591D54" w:rsidRDefault="00591D54">
      <w:pPr>
        <w:shd w:val="clear" w:color="auto" w:fill="FFFFFF"/>
        <w:spacing w:before="192" w:line="211" w:lineRule="exact"/>
        <w:jc w:val="both"/>
      </w:pPr>
      <w:r>
        <w:rPr>
          <w:spacing w:val="-7"/>
          <w:sz w:val="18"/>
          <w:szCs w:val="18"/>
          <w:lang w:val="es-ES_tradnl"/>
        </w:rPr>
        <w:t xml:space="preserve">Inconforme con el pronunciamiento de segunda instancia, </w:t>
      </w:r>
      <w:r>
        <w:rPr>
          <w:spacing w:val="-8"/>
          <w:sz w:val="18"/>
          <w:szCs w:val="18"/>
          <w:lang w:val="es-ES_tradnl"/>
        </w:rPr>
        <w:t>el se</w:t>
      </w:r>
      <w:r>
        <w:rPr>
          <w:rFonts w:cs="Times New Roman"/>
          <w:spacing w:val="-8"/>
          <w:sz w:val="18"/>
          <w:szCs w:val="18"/>
          <w:lang w:val="es-ES_tradnl"/>
        </w:rPr>
        <w:t>ñ</w:t>
      </w:r>
      <w:r>
        <w:rPr>
          <w:spacing w:val="-8"/>
          <w:sz w:val="18"/>
          <w:szCs w:val="18"/>
          <w:lang w:val="es-ES_tradnl"/>
        </w:rPr>
        <w:t>or Miguel Yaure plante</w:t>
      </w:r>
      <w:r>
        <w:rPr>
          <w:rFonts w:cs="Times New Roman"/>
          <w:spacing w:val="-8"/>
          <w:sz w:val="18"/>
          <w:szCs w:val="18"/>
          <w:lang w:val="es-ES_tradnl"/>
        </w:rPr>
        <w:t>ó</w:t>
      </w:r>
      <w:r>
        <w:rPr>
          <w:spacing w:val="-8"/>
          <w:sz w:val="18"/>
          <w:szCs w:val="18"/>
          <w:lang w:val="es-ES_tradnl"/>
        </w:rPr>
        <w:t xml:space="preserve"> recurso de casaci</w:t>
      </w:r>
      <w:r>
        <w:rPr>
          <w:rFonts w:cs="Times New Roman"/>
          <w:spacing w:val="-8"/>
          <w:sz w:val="18"/>
          <w:szCs w:val="18"/>
          <w:lang w:val="es-ES_tradnl"/>
        </w:rPr>
        <w:t>ó</w:t>
      </w:r>
      <w:r>
        <w:rPr>
          <w:spacing w:val="-8"/>
          <w:sz w:val="18"/>
          <w:szCs w:val="18"/>
          <w:lang w:val="es-ES_tradnl"/>
        </w:rPr>
        <w:t xml:space="preserve">n mismo </w:t>
      </w:r>
      <w:r>
        <w:rPr>
          <w:spacing w:val="-4"/>
          <w:sz w:val="18"/>
          <w:szCs w:val="18"/>
          <w:lang w:val="es-ES_tradnl"/>
        </w:rPr>
        <w:t xml:space="preserve">que fue conocido por los jueces de la Sala de lo Laboral </w:t>
      </w:r>
      <w:r>
        <w:rPr>
          <w:spacing w:val="-5"/>
          <w:sz w:val="18"/>
          <w:szCs w:val="18"/>
          <w:lang w:val="es-ES_tradnl"/>
        </w:rPr>
        <w:t xml:space="preserve">de la Corte Nacional de Justicia, quienes mediante la </w:t>
      </w:r>
      <w:r>
        <w:rPr>
          <w:spacing w:val="-10"/>
          <w:sz w:val="18"/>
          <w:szCs w:val="18"/>
          <w:lang w:val="es-ES_tradnl"/>
        </w:rPr>
        <w:t xml:space="preserve">sentencia del 05 de diciembre de 2013, casaron la sentencia </w:t>
      </w:r>
      <w:r>
        <w:rPr>
          <w:spacing w:val="-9"/>
          <w:sz w:val="18"/>
          <w:szCs w:val="18"/>
          <w:lang w:val="es-ES_tradnl"/>
        </w:rPr>
        <w:t>emitida por la Sala de apelaci</w:t>
      </w:r>
      <w:r>
        <w:rPr>
          <w:rFonts w:cs="Times New Roman"/>
          <w:spacing w:val="-9"/>
          <w:sz w:val="18"/>
          <w:szCs w:val="18"/>
          <w:lang w:val="es-ES_tradnl"/>
        </w:rPr>
        <w:t>ó</w:t>
      </w:r>
      <w:r>
        <w:rPr>
          <w:spacing w:val="-9"/>
          <w:sz w:val="18"/>
          <w:szCs w:val="18"/>
          <w:lang w:val="es-ES_tradnl"/>
        </w:rPr>
        <w:t xml:space="preserve">n, aceptando parcialmente la </w:t>
      </w:r>
      <w:r>
        <w:rPr>
          <w:spacing w:val="-10"/>
          <w:sz w:val="18"/>
          <w:szCs w:val="18"/>
          <w:lang w:val="es-ES_tradnl"/>
        </w:rPr>
        <w:t xml:space="preserve">demanda y disponiendo el pago de $ 17.533,37 USD a favor </w:t>
      </w:r>
      <w:r>
        <w:rPr>
          <w:sz w:val="18"/>
          <w:szCs w:val="18"/>
          <w:lang w:val="es-ES_tradnl"/>
        </w:rPr>
        <w:t>del demandante.</w:t>
      </w:r>
    </w:p>
    <w:p w14:paraId="4F67B329" w14:textId="77777777" w:rsidR="00591D54" w:rsidRDefault="00591D54">
      <w:pPr>
        <w:shd w:val="clear" w:color="auto" w:fill="FFFFFF"/>
        <w:spacing w:before="192" w:line="211" w:lineRule="exact"/>
        <w:jc w:val="both"/>
      </w:pPr>
      <w:r>
        <w:rPr>
          <w:spacing w:val="-4"/>
          <w:sz w:val="18"/>
          <w:szCs w:val="18"/>
          <w:lang w:val="es-ES_tradnl"/>
        </w:rPr>
        <w:t>Frente a esta decisi</w:t>
      </w:r>
      <w:r>
        <w:rPr>
          <w:rFonts w:cs="Times New Roman"/>
          <w:spacing w:val="-4"/>
          <w:sz w:val="18"/>
          <w:szCs w:val="18"/>
          <w:lang w:val="es-ES_tradnl"/>
        </w:rPr>
        <w:t>ó</w:t>
      </w:r>
      <w:r>
        <w:rPr>
          <w:spacing w:val="-4"/>
          <w:sz w:val="18"/>
          <w:szCs w:val="18"/>
          <w:lang w:val="es-ES_tradnl"/>
        </w:rPr>
        <w:t>n, los se</w:t>
      </w:r>
      <w:r>
        <w:rPr>
          <w:rFonts w:cs="Times New Roman"/>
          <w:spacing w:val="-4"/>
          <w:sz w:val="18"/>
          <w:szCs w:val="18"/>
          <w:lang w:val="es-ES_tradnl"/>
        </w:rPr>
        <w:t>ñ</w:t>
      </w:r>
      <w:r>
        <w:rPr>
          <w:spacing w:val="-4"/>
          <w:sz w:val="18"/>
          <w:szCs w:val="18"/>
          <w:lang w:val="es-ES_tradnl"/>
        </w:rPr>
        <w:t xml:space="preserve">ores Wilfrido Euclides </w:t>
      </w:r>
      <w:r>
        <w:rPr>
          <w:spacing w:val="-6"/>
          <w:sz w:val="18"/>
          <w:szCs w:val="18"/>
          <w:lang w:val="es-ES_tradnl"/>
        </w:rPr>
        <w:t>Montalvo Bustamante y Libertad Marlene Galarza Ortega plantean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por cuanto </w:t>
      </w:r>
      <w:r>
        <w:rPr>
          <w:spacing w:val="-8"/>
          <w:sz w:val="18"/>
          <w:szCs w:val="18"/>
          <w:lang w:val="es-ES_tradnl"/>
        </w:rPr>
        <w:t>consideran que los jueces de casaci</w:t>
      </w:r>
      <w:r>
        <w:rPr>
          <w:rFonts w:cs="Times New Roman"/>
          <w:spacing w:val="-8"/>
          <w:sz w:val="18"/>
          <w:szCs w:val="18"/>
          <w:lang w:val="es-ES_tradnl"/>
        </w:rPr>
        <w:t>ó</w:t>
      </w:r>
      <w:r>
        <w:rPr>
          <w:spacing w:val="-8"/>
          <w:sz w:val="18"/>
          <w:szCs w:val="18"/>
          <w:lang w:val="es-ES_tradnl"/>
        </w:rPr>
        <w:t xml:space="preserve">n, no apreciaron la </w:t>
      </w:r>
      <w:r>
        <w:rPr>
          <w:spacing w:val="-6"/>
          <w:sz w:val="18"/>
          <w:szCs w:val="18"/>
          <w:lang w:val="es-ES_tradnl"/>
        </w:rPr>
        <w:t>prueba en su conjunto dentro del proceso, ni la confesi</w:t>
      </w:r>
      <w:r>
        <w:rPr>
          <w:rFonts w:cs="Times New Roman"/>
          <w:spacing w:val="-6"/>
          <w:sz w:val="18"/>
          <w:szCs w:val="18"/>
          <w:lang w:val="es-ES_tradnl"/>
        </w:rPr>
        <w:t>ó</w:t>
      </w:r>
      <w:r>
        <w:rPr>
          <w:spacing w:val="-6"/>
          <w:sz w:val="18"/>
          <w:szCs w:val="18"/>
          <w:lang w:val="es-ES_tradnl"/>
        </w:rPr>
        <w:t xml:space="preserve">n </w:t>
      </w:r>
      <w:r>
        <w:rPr>
          <w:spacing w:val="-5"/>
          <w:sz w:val="18"/>
          <w:szCs w:val="18"/>
          <w:lang w:val="es-ES_tradnl"/>
        </w:rPr>
        <w:t>judicial rendida y no aplicaron la sana cr</w:t>
      </w:r>
      <w:r>
        <w:rPr>
          <w:rFonts w:cs="Times New Roman"/>
          <w:spacing w:val="-5"/>
          <w:sz w:val="18"/>
          <w:szCs w:val="18"/>
          <w:lang w:val="es-ES_tradnl"/>
        </w:rPr>
        <w:t>í</w:t>
      </w:r>
      <w:r>
        <w:rPr>
          <w:spacing w:val="-5"/>
          <w:sz w:val="18"/>
          <w:szCs w:val="18"/>
          <w:lang w:val="es-ES_tradnl"/>
        </w:rPr>
        <w:t xml:space="preserve">tica al tenor del </w:t>
      </w:r>
      <w:r>
        <w:rPr>
          <w:spacing w:val="-6"/>
          <w:sz w:val="18"/>
          <w:szCs w:val="18"/>
          <w:lang w:val="es-ES_tradnl"/>
        </w:rPr>
        <w:t>art</w:t>
      </w:r>
      <w:r>
        <w:rPr>
          <w:rFonts w:cs="Times New Roman"/>
          <w:spacing w:val="-6"/>
          <w:sz w:val="18"/>
          <w:szCs w:val="18"/>
          <w:lang w:val="es-ES_tradnl"/>
        </w:rPr>
        <w:t>í</w:t>
      </w:r>
      <w:r>
        <w:rPr>
          <w:spacing w:val="-6"/>
          <w:sz w:val="18"/>
          <w:szCs w:val="18"/>
          <w:lang w:val="es-ES_tradnl"/>
        </w:rPr>
        <w:t>culo 115 del C</w:t>
      </w:r>
      <w:r>
        <w:rPr>
          <w:rFonts w:cs="Times New Roman"/>
          <w:spacing w:val="-6"/>
          <w:sz w:val="18"/>
          <w:szCs w:val="18"/>
          <w:lang w:val="es-ES_tradnl"/>
        </w:rPr>
        <w:t>ó</w:t>
      </w:r>
      <w:r>
        <w:rPr>
          <w:spacing w:val="-6"/>
          <w:sz w:val="18"/>
          <w:szCs w:val="18"/>
          <w:lang w:val="es-ES_tradnl"/>
        </w:rPr>
        <w:t xml:space="preserve">digo de Procedimiento Civil; asimismo, </w:t>
      </w:r>
      <w:r>
        <w:rPr>
          <w:spacing w:val="-9"/>
          <w:sz w:val="18"/>
          <w:szCs w:val="18"/>
          <w:lang w:val="es-ES_tradnl"/>
        </w:rPr>
        <w:t>se</w:t>
      </w:r>
      <w:r>
        <w:rPr>
          <w:rFonts w:cs="Times New Roman"/>
          <w:spacing w:val="-9"/>
          <w:sz w:val="18"/>
          <w:szCs w:val="18"/>
          <w:lang w:val="es-ES_tradnl"/>
        </w:rPr>
        <w:t>ñ</w:t>
      </w:r>
      <w:r>
        <w:rPr>
          <w:spacing w:val="-9"/>
          <w:sz w:val="18"/>
          <w:szCs w:val="18"/>
          <w:lang w:val="es-ES_tradnl"/>
        </w:rPr>
        <w:t xml:space="preserve">alan que los argumentos de la sentencia se encuentran </w:t>
      </w:r>
      <w:r>
        <w:rPr>
          <w:spacing w:val="-8"/>
          <w:sz w:val="18"/>
          <w:szCs w:val="18"/>
          <w:lang w:val="es-ES_tradnl"/>
        </w:rPr>
        <w:t>parcializados y son carentes de motivaci</w:t>
      </w:r>
      <w:r>
        <w:rPr>
          <w:rFonts w:cs="Times New Roman"/>
          <w:spacing w:val="-8"/>
          <w:sz w:val="18"/>
          <w:szCs w:val="18"/>
          <w:lang w:val="es-ES_tradnl"/>
        </w:rPr>
        <w:t>ó</w:t>
      </w:r>
      <w:r>
        <w:rPr>
          <w:spacing w:val="-8"/>
          <w:sz w:val="18"/>
          <w:szCs w:val="18"/>
          <w:lang w:val="es-ES_tradnl"/>
        </w:rPr>
        <w:t>n, pues parten de hechos que no se han probado, como es la relaci</w:t>
      </w:r>
      <w:r>
        <w:rPr>
          <w:rFonts w:cs="Times New Roman"/>
          <w:spacing w:val="-8"/>
          <w:sz w:val="18"/>
          <w:szCs w:val="18"/>
          <w:lang w:val="es-ES_tradnl"/>
        </w:rPr>
        <w:t>ó</w:t>
      </w:r>
      <w:r>
        <w:rPr>
          <w:spacing w:val="-8"/>
          <w:sz w:val="18"/>
          <w:szCs w:val="18"/>
          <w:lang w:val="es-ES_tradnl"/>
        </w:rPr>
        <w:t>n laboral entre el se</w:t>
      </w:r>
      <w:r>
        <w:rPr>
          <w:rFonts w:cs="Times New Roman"/>
          <w:spacing w:val="-8"/>
          <w:sz w:val="18"/>
          <w:szCs w:val="18"/>
          <w:lang w:val="es-ES_tradnl"/>
        </w:rPr>
        <w:t>ñ</w:t>
      </w:r>
      <w:r>
        <w:rPr>
          <w:spacing w:val="-8"/>
          <w:sz w:val="18"/>
          <w:szCs w:val="18"/>
          <w:lang w:val="es-ES_tradnl"/>
        </w:rPr>
        <w:t xml:space="preserve">or Miguel Yaure y los accionantes conforme lo </w:t>
      </w:r>
      <w:r>
        <w:rPr>
          <w:spacing w:val="-10"/>
          <w:sz w:val="18"/>
          <w:szCs w:val="18"/>
          <w:lang w:val="es-ES_tradnl"/>
        </w:rPr>
        <w:t>dispuesto en el art</w:t>
      </w:r>
      <w:r>
        <w:rPr>
          <w:rFonts w:cs="Times New Roman"/>
          <w:spacing w:val="-10"/>
          <w:sz w:val="18"/>
          <w:szCs w:val="18"/>
          <w:lang w:val="es-ES_tradnl"/>
        </w:rPr>
        <w:t>í</w:t>
      </w:r>
      <w:r>
        <w:rPr>
          <w:spacing w:val="-10"/>
          <w:sz w:val="18"/>
          <w:szCs w:val="18"/>
          <w:lang w:val="es-ES_tradnl"/>
        </w:rPr>
        <w:t>culo 8 del C</w:t>
      </w:r>
      <w:r>
        <w:rPr>
          <w:rFonts w:cs="Times New Roman"/>
          <w:spacing w:val="-10"/>
          <w:sz w:val="18"/>
          <w:szCs w:val="18"/>
          <w:lang w:val="es-ES_tradnl"/>
        </w:rPr>
        <w:t>ó</w:t>
      </w:r>
      <w:r>
        <w:rPr>
          <w:spacing w:val="-10"/>
          <w:sz w:val="18"/>
          <w:szCs w:val="18"/>
          <w:lang w:val="es-ES_tradnl"/>
        </w:rPr>
        <w:t xml:space="preserve">digo del Trabajo, vulnerando </w:t>
      </w:r>
      <w:r>
        <w:rPr>
          <w:spacing w:val="-6"/>
          <w:sz w:val="18"/>
          <w:szCs w:val="18"/>
          <w:lang w:val="es-ES_tradnl"/>
        </w:rPr>
        <w:t xml:space="preserve">de esta manera los derechos constitucionales de los accionantes, por lo que solicitan a la Corte Constitucional </w:t>
      </w:r>
      <w:r>
        <w:rPr>
          <w:spacing w:val="-2"/>
          <w:sz w:val="18"/>
          <w:szCs w:val="18"/>
          <w:lang w:val="es-ES_tradnl"/>
        </w:rPr>
        <w:t xml:space="preserve">que </w:t>
      </w:r>
      <w:r>
        <w:rPr>
          <w:rFonts w:cs="Times New Roman"/>
          <w:spacing w:val="-2"/>
          <w:sz w:val="18"/>
          <w:szCs w:val="18"/>
          <w:lang w:val="es-ES_tradnl"/>
        </w:rPr>
        <w:t>“</w:t>
      </w:r>
      <w:r>
        <w:rPr>
          <w:spacing w:val="-2"/>
          <w:sz w:val="18"/>
          <w:szCs w:val="18"/>
          <w:lang w:val="es-ES_tradnl"/>
        </w:rPr>
        <w:t>[</w:t>
      </w:r>
      <w:r>
        <w:rPr>
          <w:rFonts w:cs="Times New Roman"/>
          <w:spacing w:val="-2"/>
          <w:sz w:val="18"/>
          <w:szCs w:val="18"/>
          <w:lang w:val="es-ES_tradnl"/>
        </w:rPr>
        <w:t>…</w:t>
      </w:r>
      <w:r>
        <w:rPr>
          <w:spacing w:val="-2"/>
          <w:sz w:val="18"/>
          <w:szCs w:val="18"/>
          <w:lang w:val="es-ES_tradnl"/>
        </w:rPr>
        <w:t xml:space="preserve">] deje sin efecto la Sentencia emitida por los </w:t>
      </w:r>
      <w:r>
        <w:rPr>
          <w:spacing w:val="-11"/>
          <w:sz w:val="18"/>
          <w:szCs w:val="18"/>
          <w:lang w:val="es-ES_tradnl"/>
        </w:rPr>
        <w:t>se</w:t>
      </w:r>
      <w:r>
        <w:rPr>
          <w:rFonts w:cs="Times New Roman"/>
          <w:spacing w:val="-11"/>
          <w:sz w:val="18"/>
          <w:szCs w:val="18"/>
          <w:lang w:val="es-ES_tradnl"/>
        </w:rPr>
        <w:t>ñ</w:t>
      </w:r>
      <w:r>
        <w:rPr>
          <w:spacing w:val="-11"/>
          <w:sz w:val="18"/>
          <w:szCs w:val="18"/>
          <w:lang w:val="es-ES_tradnl"/>
        </w:rPr>
        <w:t xml:space="preserve">ores Jueces de la Sala de lo Laboral de la Corte Nacional </w:t>
      </w:r>
      <w:r>
        <w:rPr>
          <w:sz w:val="18"/>
          <w:szCs w:val="18"/>
          <w:lang w:val="es-ES_tradnl"/>
        </w:rPr>
        <w:t>de Justicia, de 05 de diciembre de 2013</w:t>
      </w:r>
      <w:r>
        <w:rPr>
          <w:rFonts w:cs="Times New Roman"/>
          <w:sz w:val="18"/>
          <w:szCs w:val="18"/>
          <w:lang w:val="es-ES_tradnl"/>
        </w:rPr>
        <w:t>”</w:t>
      </w:r>
      <w:r>
        <w:rPr>
          <w:sz w:val="18"/>
          <w:szCs w:val="18"/>
          <w:lang w:val="es-ES_tradnl"/>
        </w:rPr>
        <w:t>.</w:t>
      </w:r>
    </w:p>
    <w:p w14:paraId="4F67B32A" w14:textId="77777777" w:rsidR="00591D54" w:rsidRDefault="00591D54">
      <w:pPr>
        <w:shd w:val="clear" w:color="auto" w:fill="FFFFFF"/>
        <w:spacing w:before="514" w:line="178" w:lineRule="exact"/>
        <w:ind w:left="139" w:hanging="139"/>
      </w:pPr>
      <w:r>
        <w:rPr>
          <w:sz w:val="14"/>
          <w:szCs w:val="14"/>
          <w:vertAlign w:val="superscript"/>
          <w:lang w:val="es-ES_tradnl"/>
        </w:rPr>
        <w:t>1</w:t>
      </w:r>
      <w:r>
        <w:rPr>
          <w:sz w:val="14"/>
          <w:szCs w:val="14"/>
          <w:lang w:val="es-ES_tradnl"/>
        </w:rPr>
        <w:t xml:space="preserve">  Corte Constitucional del Ecuador, sentencia N.</w:t>
      </w:r>
      <w:r>
        <w:rPr>
          <w:rFonts w:cs="Times New Roman"/>
          <w:sz w:val="14"/>
          <w:szCs w:val="14"/>
          <w:lang w:val="es-ES_tradnl"/>
        </w:rPr>
        <w:t>º</w:t>
      </w:r>
      <w:r>
        <w:rPr>
          <w:sz w:val="14"/>
          <w:szCs w:val="14"/>
          <w:lang w:val="es-ES_tradnl"/>
        </w:rPr>
        <w:t xml:space="preserve"> 020-13-SEP-CC, caso N.</w:t>
      </w:r>
      <w:r>
        <w:rPr>
          <w:rFonts w:cs="Times New Roman"/>
          <w:sz w:val="14"/>
          <w:szCs w:val="14"/>
          <w:lang w:val="es-ES_tradnl"/>
        </w:rPr>
        <w:t>º</w:t>
      </w:r>
      <w:r>
        <w:rPr>
          <w:sz w:val="14"/>
          <w:szCs w:val="14"/>
          <w:lang w:val="es-ES_tradnl"/>
        </w:rPr>
        <w:t xml:space="preserve"> 0563-12-EP.</w:t>
      </w:r>
    </w:p>
    <w:p w14:paraId="4F67B32B" w14:textId="77777777" w:rsidR="00591D54" w:rsidRDefault="00591D54">
      <w:pPr>
        <w:shd w:val="clear" w:color="auto" w:fill="FFFFFF"/>
        <w:spacing w:line="216" w:lineRule="exact"/>
        <w:jc w:val="both"/>
      </w:pPr>
      <w:r>
        <w:br w:type="column"/>
      </w:r>
      <w:r>
        <w:rPr>
          <w:spacing w:val="-7"/>
          <w:sz w:val="18"/>
          <w:szCs w:val="18"/>
          <w:lang w:val="es-ES_tradnl"/>
        </w:rPr>
        <w:t xml:space="preserve">Ahora bien, con los antecedentes expuestos, corresponde </w:t>
      </w:r>
      <w:r>
        <w:rPr>
          <w:spacing w:val="-3"/>
          <w:sz w:val="18"/>
          <w:szCs w:val="18"/>
          <w:lang w:val="es-ES_tradnl"/>
        </w:rPr>
        <w:t xml:space="preserve">a la Corte Constitucional determinar si la sentencia </w:t>
      </w:r>
      <w:r>
        <w:rPr>
          <w:spacing w:val="-10"/>
          <w:sz w:val="18"/>
          <w:szCs w:val="18"/>
          <w:lang w:val="es-ES_tradnl"/>
        </w:rPr>
        <w:t xml:space="preserve">impugnada por el accionante, ha cumplido con los requisitos </w:t>
      </w:r>
      <w:r>
        <w:rPr>
          <w:spacing w:val="-8"/>
          <w:sz w:val="18"/>
          <w:szCs w:val="18"/>
          <w:lang w:val="es-ES_tradnl"/>
        </w:rPr>
        <w:t>de razonabilidad, l</w:t>
      </w:r>
      <w:r>
        <w:rPr>
          <w:rFonts w:cs="Times New Roman"/>
          <w:spacing w:val="-8"/>
          <w:sz w:val="18"/>
          <w:szCs w:val="18"/>
          <w:lang w:val="es-ES_tradnl"/>
        </w:rPr>
        <w:t>ó</w:t>
      </w:r>
      <w:r>
        <w:rPr>
          <w:spacing w:val="-8"/>
          <w:sz w:val="18"/>
          <w:szCs w:val="18"/>
          <w:lang w:val="es-ES_tradnl"/>
        </w:rPr>
        <w:t xml:space="preserve">gica y comprensibilidad que configuran </w:t>
      </w:r>
      <w:r>
        <w:rPr>
          <w:sz w:val="18"/>
          <w:szCs w:val="18"/>
          <w:lang w:val="es-ES_tradnl"/>
        </w:rPr>
        <w:t>la garant</w:t>
      </w:r>
      <w:r>
        <w:rPr>
          <w:rFonts w:cs="Times New Roman"/>
          <w:sz w:val="18"/>
          <w:szCs w:val="18"/>
          <w:lang w:val="es-ES_tradnl"/>
        </w:rPr>
        <w:t>í</w:t>
      </w:r>
      <w:r>
        <w:rPr>
          <w:sz w:val="18"/>
          <w:szCs w:val="18"/>
          <w:lang w:val="es-ES_tradnl"/>
        </w:rPr>
        <w:t>a de motivaci</w:t>
      </w:r>
      <w:r>
        <w:rPr>
          <w:rFonts w:cs="Times New Roman"/>
          <w:sz w:val="18"/>
          <w:szCs w:val="18"/>
          <w:lang w:val="es-ES_tradnl"/>
        </w:rPr>
        <w:t>ó</w:t>
      </w:r>
      <w:r>
        <w:rPr>
          <w:sz w:val="18"/>
          <w:szCs w:val="18"/>
          <w:lang w:val="es-ES_tradnl"/>
        </w:rPr>
        <w:t>n.</w:t>
      </w:r>
    </w:p>
    <w:p w14:paraId="4F67B32C" w14:textId="77777777" w:rsidR="00591D54" w:rsidRDefault="00591D54">
      <w:pPr>
        <w:shd w:val="clear" w:color="auto" w:fill="FFFFFF"/>
        <w:spacing w:before="202" w:line="216" w:lineRule="exact"/>
        <w:jc w:val="both"/>
      </w:pPr>
      <w:r>
        <w:rPr>
          <w:spacing w:val="-9"/>
          <w:sz w:val="18"/>
          <w:szCs w:val="18"/>
          <w:lang w:val="es-ES_tradnl"/>
        </w:rPr>
        <w:t>Respecto al par</w:t>
      </w:r>
      <w:r>
        <w:rPr>
          <w:rFonts w:cs="Times New Roman"/>
          <w:spacing w:val="-9"/>
          <w:sz w:val="18"/>
          <w:szCs w:val="18"/>
          <w:lang w:val="es-ES_tradnl"/>
        </w:rPr>
        <w:t>á</w:t>
      </w:r>
      <w:r>
        <w:rPr>
          <w:spacing w:val="-9"/>
          <w:sz w:val="18"/>
          <w:szCs w:val="18"/>
          <w:lang w:val="es-ES_tradnl"/>
        </w:rPr>
        <w:t xml:space="preserve">metro de razonabilidad, debemos tener en </w:t>
      </w:r>
      <w:r>
        <w:rPr>
          <w:spacing w:val="-7"/>
          <w:sz w:val="18"/>
          <w:szCs w:val="18"/>
          <w:lang w:val="es-ES_tradnl"/>
        </w:rPr>
        <w:t>cuenta que la resoluci</w:t>
      </w:r>
      <w:r>
        <w:rPr>
          <w:rFonts w:cs="Times New Roman"/>
          <w:spacing w:val="-7"/>
          <w:sz w:val="18"/>
          <w:szCs w:val="18"/>
          <w:lang w:val="es-ES_tradnl"/>
        </w:rPr>
        <w:t>ó</w:t>
      </w:r>
      <w:r>
        <w:rPr>
          <w:spacing w:val="-7"/>
          <w:sz w:val="18"/>
          <w:szCs w:val="18"/>
          <w:lang w:val="es-ES_tradnl"/>
        </w:rPr>
        <w:t>n judicial no debe imponer criterios que sean contrarios a la Constituci</w:t>
      </w:r>
      <w:r>
        <w:rPr>
          <w:rFonts w:cs="Times New Roman"/>
          <w:spacing w:val="-7"/>
          <w:sz w:val="18"/>
          <w:szCs w:val="18"/>
          <w:lang w:val="es-ES_tradnl"/>
        </w:rPr>
        <w:t>ó</w:t>
      </w:r>
      <w:r>
        <w:rPr>
          <w:spacing w:val="-7"/>
          <w:sz w:val="18"/>
          <w:szCs w:val="18"/>
          <w:lang w:val="es-ES_tradnl"/>
        </w:rPr>
        <w:t xml:space="preserve">n o a las fuentes del derecho. Dicho en otras palabras, las resoluciones deben guardar concordancia con los principios constitucionales y </w:t>
      </w:r>
      <w:r>
        <w:rPr>
          <w:sz w:val="18"/>
          <w:szCs w:val="18"/>
          <w:lang w:val="es-ES_tradnl"/>
        </w:rPr>
        <w:t>la legislaci</w:t>
      </w:r>
      <w:r>
        <w:rPr>
          <w:rFonts w:cs="Times New Roman"/>
          <w:sz w:val="18"/>
          <w:szCs w:val="18"/>
          <w:lang w:val="es-ES_tradnl"/>
        </w:rPr>
        <w:t>ó</w:t>
      </w:r>
      <w:r>
        <w:rPr>
          <w:sz w:val="18"/>
          <w:szCs w:val="18"/>
          <w:lang w:val="es-ES_tradnl"/>
        </w:rPr>
        <w:t>n vigente.</w:t>
      </w:r>
    </w:p>
    <w:p w14:paraId="4F67B32D" w14:textId="77777777" w:rsidR="00591D54" w:rsidRDefault="00591D54">
      <w:pPr>
        <w:shd w:val="clear" w:color="auto" w:fill="FFFFFF"/>
        <w:spacing w:before="202" w:line="216" w:lineRule="exact"/>
        <w:jc w:val="both"/>
      </w:pPr>
      <w:r>
        <w:rPr>
          <w:spacing w:val="-7"/>
          <w:sz w:val="18"/>
          <w:szCs w:val="18"/>
          <w:lang w:val="es-ES_tradnl"/>
        </w:rPr>
        <w:t>En atenci</w:t>
      </w:r>
      <w:r>
        <w:rPr>
          <w:rFonts w:cs="Times New Roman"/>
          <w:spacing w:val="-7"/>
          <w:sz w:val="18"/>
          <w:szCs w:val="18"/>
          <w:lang w:val="es-ES_tradnl"/>
        </w:rPr>
        <w:t>ó</w:t>
      </w:r>
      <w:r>
        <w:rPr>
          <w:spacing w:val="-7"/>
          <w:sz w:val="18"/>
          <w:szCs w:val="18"/>
          <w:lang w:val="es-ES_tradnl"/>
        </w:rPr>
        <w:t>n a lo se</w:t>
      </w:r>
      <w:r>
        <w:rPr>
          <w:rFonts w:cs="Times New Roman"/>
          <w:spacing w:val="-7"/>
          <w:sz w:val="18"/>
          <w:szCs w:val="18"/>
          <w:lang w:val="es-ES_tradnl"/>
        </w:rPr>
        <w:t>ñ</w:t>
      </w:r>
      <w:r>
        <w:rPr>
          <w:spacing w:val="-7"/>
          <w:sz w:val="18"/>
          <w:szCs w:val="18"/>
          <w:lang w:val="es-ES_tradnl"/>
        </w:rPr>
        <w:t xml:space="preserve">alado, esta Corte observa que dentro </w:t>
      </w:r>
      <w:r>
        <w:rPr>
          <w:spacing w:val="-8"/>
          <w:sz w:val="18"/>
          <w:szCs w:val="18"/>
          <w:lang w:val="es-ES_tradnl"/>
        </w:rPr>
        <w:t xml:space="preserve">de los argumentos planteados en la sentencia impugnada, los jueces de la Sala de lo Laboral de la Corte Nacional de </w:t>
      </w:r>
      <w:r>
        <w:rPr>
          <w:spacing w:val="-7"/>
          <w:sz w:val="18"/>
          <w:szCs w:val="18"/>
          <w:lang w:val="es-ES_tradnl"/>
        </w:rPr>
        <w:t>Justicia como primer punto, justifican la competencia para conocer el recurso en la causal tercera del art</w:t>
      </w:r>
      <w:r>
        <w:rPr>
          <w:rFonts w:cs="Times New Roman"/>
          <w:spacing w:val="-7"/>
          <w:sz w:val="18"/>
          <w:szCs w:val="18"/>
          <w:lang w:val="es-ES_tradnl"/>
        </w:rPr>
        <w:t>í</w:t>
      </w:r>
      <w:r>
        <w:rPr>
          <w:spacing w:val="-7"/>
          <w:sz w:val="18"/>
          <w:szCs w:val="18"/>
          <w:lang w:val="es-ES_tradnl"/>
        </w:rPr>
        <w:t>culo 3 de la Ley de Casaci</w:t>
      </w:r>
      <w:r>
        <w:rPr>
          <w:rFonts w:cs="Times New Roman"/>
          <w:spacing w:val="-7"/>
          <w:sz w:val="18"/>
          <w:szCs w:val="18"/>
          <w:lang w:val="es-ES_tradnl"/>
        </w:rPr>
        <w:t>ó</w:t>
      </w:r>
      <w:r>
        <w:rPr>
          <w:spacing w:val="-7"/>
          <w:sz w:val="18"/>
          <w:szCs w:val="18"/>
          <w:lang w:val="es-ES_tradnl"/>
        </w:rPr>
        <w:t>n</w:t>
      </w:r>
      <w:r>
        <w:rPr>
          <w:spacing w:val="-7"/>
          <w:sz w:val="18"/>
          <w:szCs w:val="18"/>
          <w:vertAlign w:val="superscript"/>
          <w:lang w:val="es-ES_tradnl"/>
        </w:rPr>
        <w:t>2</w:t>
      </w:r>
      <w:r>
        <w:rPr>
          <w:spacing w:val="-7"/>
          <w:sz w:val="18"/>
          <w:szCs w:val="18"/>
          <w:lang w:val="es-ES_tradnl"/>
        </w:rPr>
        <w:t>, posteriormente abordan el an</w:t>
      </w:r>
      <w:r>
        <w:rPr>
          <w:rFonts w:cs="Times New Roman"/>
          <w:spacing w:val="-7"/>
          <w:sz w:val="18"/>
          <w:szCs w:val="18"/>
          <w:lang w:val="es-ES_tradnl"/>
        </w:rPr>
        <w:t>á</w:t>
      </w:r>
      <w:r>
        <w:rPr>
          <w:spacing w:val="-7"/>
          <w:sz w:val="18"/>
          <w:szCs w:val="18"/>
          <w:lang w:val="es-ES_tradnl"/>
        </w:rPr>
        <w:t xml:space="preserve">lisis del </w:t>
      </w:r>
      <w:r>
        <w:rPr>
          <w:spacing w:val="-8"/>
          <w:sz w:val="18"/>
          <w:szCs w:val="18"/>
          <w:lang w:val="es-ES_tradnl"/>
        </w:rPr>
        <w:t>caso a partir de disposiciones jur</w:t>
      </w:r>
      <w:r>
        <w:rPr>
          <w:rFonts w:cs="Times New Roman"/>
          <w:spacing w:val="-8"/>
          <w:sz w:val="18"/>
          <w:szCs w:val="18"/>
          <w:lang w:val="es-ES_tradnl"/>
        </w:rPr>
        <w:t>í</w:t>
      </w:r>
      <w:r>
        <w:rPr>
          <w:spacing w:val="-8"/>
          <w:sz w:val="18"/>
          <w:szCs w:val="18"/>
          <w:lang w:val="es-ES_tradnl"/>
        </w:rPr>
        <w:t>dicas como la prevista en el art</w:t>
      </w:r>
      <w:r>
        <w:rPr>
          <w:rFonts w:cs="Times New Roman"/>
          <w:spacing w:val="-8"/>
          <w:sz w:val="18"/>
          <w:szCs w:val="18"/>
          <w:lang w:val="es-ES_tradnl"/>
        </w:rPr>
        <w:t>í</w:t>
      </w:r>
      <w:r>
        <w:rPr>
          <w:spacing w:val="-8"/>
          <w:sz w:val="18"/>
          <w:szCs w:val="18"/>
          <w:lang w:val="es-ES_tradnl"/>
        </w:rPr>
        <w:t>culo 115 del C</w:t>
      </w:r>
      <w:r>
        <w:rPr>
          <w:rFonts w:cs="Times New Roman"/>
          <w:spacing w:val="-8"/>
          <w:sz w:val="18"/>
          <w:szCs w:val="18"/>
          <w:lang w:val="es-ES_tradnl"/>
        </w:rPr>
        <w:t>ó</w:t>
      </w:r>
      <w:r>
        <w:rPr>
          <w:spacing w:val="-8"/>
          <w:sz w:val="18"/>
          <w:szCs w:val="18"/>
          <w:lang w:val="es-ES_tradnl"/>
        </w:rPr>
        <w:t>digo de Procedimiento Civil y se</w:t>
      </w:r>
      <w:r>
        <w:rPr>
          <w:rFonts w:cs="Times New Roman"/>
          <w:spacing w:val="-8"/>
          <w:sz w:val="18"/>
          <w:szCs w:val="18"/>
          <w:lang w:val="es-ES_tradnl"/>
        </w:rPr>
        <w:t>ñ</w:t>
      </w:r>
      <w:r>
        <w:rPr>
          <w:spacing w:val="-8"/>
          <w:sz w:val="18"/>
          <w:szCs w:val="18"/>
          <w:lang w:val="es-ES_tradnl"/>
        </w:rPr>
        <w:t xml:space="preserve">alan que si bien la norma adjetiva de acuerdo a la jurisprudencia </w:t>
      </w:r>
      <w:r>
        <w:rPr>
          <w:rFonts w:cs="Times New Roman"/>
          <w:spacing w:val="-6"/>
          <w:sz w:val="18"/>
          <w:szCs w:val="18"/>
          <w:lang w:val="es-ES_tradnl"/>
        </w:rPr>
        <w:t>“</w:t>
      </w:r>
      <w:r>
        <w:rPr>
          <w:spacing w:val="-6"/>
          <w:sz w:val="18"/>
          <w:szCs w:val="18"/>
          <w:lang w:val="es-ES_tradnl"/>
        </w:rPr>
        <w:t>no constituye un precepto de valoraci</w:t>
      </w:r>
      <w:r>
        <w:rPr>
          <w:rFonts w:cs="Times New Roman"/>
          <w:spacing w:val="-6"/>
          <w:sz w:val="18"/>
          <w:szCs w:val="18"/>
          <w:lang w:val="es-ES_tradnl"/>
        </w:rPr>
        <w:t>ó</w:t>
      </w:r>
      <w:r>
        <w:rPr>
          <w:spacing w:val="-6"/>
          <w:sz w:val="18"/>
          <w:szCs w:val="18"/>
          <w:lang w:val="es-ES_tradnl"/>
        </w:rPr>
        <w:t xml:space="preserve">n de la prueba, sin </w:t>
      </w:r>
      <w:r>
        <w:rPr>
          <w:spacing w:val="-11"/>
          <w:sz w:val="18"/>
          <w:szCs w:val="18"/>
          <w:lang w:val="es-ES_tradnl"/>
        </w:rPr>
        <w:t xml:space="preserve">embargo debe ser observado en caso de que en la sentencia </w:t>
      </w:r>
      <w:r>
        <w:rPr>
          <w:spacing w:val="-9"/>
          <w:sz w:val="18"/>
          <w:szCs w:val="18"/>
          <w:lang w:val="es-ES_tradnl"/>
        </w:rPr>
        <w:t>impugnada se evidencie que en el proceso de valoraci</w:t>
      </w:r>
      <w:r>
        <w:rPr>
          <w:rFonts w:cs="Times New Roman"/>
          <w:spacing w:val="-9"/>
          <w:sz w:val="18"/>
          <w:szCs w:val="18"/>
          <w:lang w:val="es-ES_tradnl"/>
        </w:rPr>
        <w:t>ó</w:t>
      </w:r>
      <w:r>
        <w:rPr>
          <w:spacing w:val="-9"/>
          <w:sz w:val="18"/>
          <w:szCs w:val="18"/>
          <w:lang w:val="es-ES_tradnl"/>
        </w:rPr>
        <w:t xml:space="preserve">n se </w:t>
      </w:r>
      <w:r>
        <w:rPr>
          <w:spacing w:val="-6"/>
          <w:sz w:val="18"/>
          <w:szCs w:val="18"/>
          <w:lang w:val="es-ES_tradnl"/>
        </w:rPr>
        <w:t>tom</w:t>
      </w:r>
      <w:r>
        <w:rPr>
          <w:rFonts w:cs="Times New Roman"/>
          <w:spacing w:val="-6"/>
          <w:sz w:val="18"/>
          <w:szCs w:val="18"/>
          <w:lang w:val="es-ES_tradnl"/>
        </w:rPr>
        <w:t>ó</w:t>
      </w:r>
      <w:r>
        <w:rPr>
          <w:spacing w:val="-6"/>
          <w:sz w:val="18"/>
          <w:szCs w:val="18"/>
          <w:lang w:val="es-ES_tradnl"/>
        </w:rPr>
        <w:t xml:space="preserve"> un camino il</w:t>
      </w:r>
      <w:r>
        <w:rPr>
          <w:rFonts w:cs="Times New Roman"/>
          <w:spacing w:val="-6"/>
          <w:sz w:val="18"/>
          <w:szCs w:val="18"/>
          <w:lang w:val="es-ES_tradnl"/>
        </w:rPr>
        <w:t>ó</w:t>
      </w:r>
      <w:r>
        <w:rPr>
          <w:spacing w:val="-6"/>
          <w:sz w:val="18"/>
          <w:szCs w:val="18"/>
          <w:lang w:val="es-ES_tradnl"/>
        </w:rPr>
        <w:t xml:space="preserve">gico y contradictorio, que condujo a los </w:t>
      </w:r>
      <w:r>
        <w:rPr>
          <w:spacing w:val="-7"/>
          <w:sz w:val="18"/>
          <w:szCs w:val="18"/>
          <w:lang w:val="es-ES_tradnl"/>
        </w:rPr>
        <w:t>jugadores a tomar una decisi</w:t>
      </w:r>
      <w:r>
        <w:rPr>
          <w:rFonts w:cs="Times New Roman"/>
          <w:spacing w:val="-7"/>
          <w:sz w:val="18"/>
          <w:szCs w:val="18"/>
          <w:lang w:val="es-ES_tradnl"/>
        </w:rPr>
        <w:t>ó</w:t>
      </w:r>
      <w:r>
        <w:rPr>
          <w:spacing w:val="-7"/>
          <w:sz w:val="18"/>
          <w:szCs w:val="18"/>
          <w:lang w:val="es-ES_tradnl"/>
        </w:rPr>
        <w:t>n absurda o arbitraria</w:t>
      </w:r>
      <w:r>
        <w:rPr>
          <w:rFonts w:cs="Times New Roman"/>
          <w:spacing w:val="-7"/>
          <w:sz w:val="18"/>
          <w:szCs w:val="18"/>
          <w:lang w:val="es-ES_tradnl"/>
        </w:rPr>
        <w:t>”</w:t>
      </w:r>
      <w:r>
        <w:rPr>
          <w:spacing w:val="-7"/>
          <w:sz w:val="18"/>
          <w:szCs w:val="18"/>
          <w:lang w:val="es-ES_tradnl"/>
        </w:rPr>
        <w:t>.</w:t>
      </w:r>
    </w:p>
    <w:p w14:paraId="4F67B32E" w14:textId="77777777" w:rsidR="00591D54" w:rsidRDefault="00591D54">
      <w:pPr>
        <w:shd w:val="clear" w:color="auto" w:fill="FFFFFF"/>
        <w:spacing w:before="197" w:line="216" w:lineRule="exact"/>
        <w:jc w:val="both"/>
      </w:pPr>
      <w:r>
        <w:rPr>
          <w:spacing w:val="-7"/>
          <w:sz w:val="18"/>
          <w:szCs w:val="18"/>
          <w:lang w:val="es-ES_tradnl"/>
        </w:rPr>
        <w:t>Los jueces de la Sala contin</w:t>
      </w:r>
      <w:r>
        <w:rPr>
          <w:rFonts w:cs="Times New Roman"/>
          <w:spacing w:val="-7"/>
          <w:sz w:val="18"/>
          <w:szCs w:val="18"/>
          <w:lang w:val="es-ES_tradnl"/>
        </w:rPr>
        <w:t>ú</w:t>
      </w:r>
      <w:r>
        <w:rPr>
          <w:spacing w:val="-7"/>
          <w:sz w:val="18"/>
          <w:szCs w:val="18"/>
          <w:lang w:val="es-ES_tradnl"/>
        </w:rPr>
        <w:t>an su an</w:t>
      </w:r>
      <w:r>
        <w:rPr>
          <w:rFonts w:cs="Times New Roman"/>
          <w:spacing w:val="-7"/>
          <w:sz w:val="18"/>
          <w:szCs w:val="18"/>
          <w:lang w:val="es-ES_tradnl"/>
        </w:rPr>
        <w:t>á</w:t>
      </w:r>
      <w:r>
        <w:rPr>
          <w:spacing w:val="-7"/>
          <w:sz w:val="18"/>
          <w:szCs w:val="18"/>
          <w:lang w:val="es-ES_tradnl"/>
        </w:rPr>
        <w:t xml:space="preserve">lisis en base a </w:t>
      </w:r>
      <w:r>
        <w:rPr>
          <w:spacing w:val="-10"/>
          <w:sz w:val="18"/>
          <w:szCs w:val="18"/>
          <w:lang w:val="es-ES_tradnl"/>
        </w:rPr>
        <w:t>disposiciones legales como son el art</w:t>
      </w:r>
      <w:r>
        <w:rPr>
          <w:rFonts w:cs="Times New Roman"/>
          <w:spacing w:val="-10"/>
          <w:sz w:val="18"/>
          <w:szCs w:val="18"/>
          <w:lang w:val="es-ES_tradnl"/>
        </w:rPr>
        <w:t>í</w:t>
      </w:r>
      <w:r>
        <w:rPr>
          <w:spacing w:val="-10"/>
          <w:sz w:val="18"/>
          <w:szCs w:val="18"/>
          <w:lang w:val="es-ES_tradnl"/>
        </w:rPr>
        <w:t>culo 208 del C</w:t>
      </w:r>
      <w:r>
        <w:rPr>
          <w:rFonts w:cs="Times New Roman"/>
          <w:spacing w:val="-10"/>
          <w:sz w:val="18"/>
          <w:szCs w:val="18"/>
          <w:lang w:val="es-ES_tradnl"/>
        </w:rPr>
        <w:t>ó</w:t>
      </w:r>
      <w:r>
        <w:rPr>
          <w:spacing w:val="-10"/>
          <w:sz w:val="18"/>
          <w:szCs w:val="18"/>
          <w:lang w:val="es-ES_tradnl"/>
        </w:rPr>
        <w:t xml:space="preserve">digo de </w:t>
      </w:r>
      <w:r>
        <w:rPr>
          <w:spacing w:val="-9"/>
          <w:sz w:val="18"/>
          <w:szCs w:val="18"/>
          <w:lang w:val="es-ES_tradnl"/>
        </w:rPr>
        <w:t>Procedimiento Civil, art</w:t>
      </w:r>
      <w:r>
        <w:rPr>
          <w:rFonts w:cs="Times New Roman"/>
          <w:spacing w:val="-9"/>
          <w:sz w:val="18"/>
          <w:szCs w:val="18"/>
          <w:lang w:val="es-ES_tradnl"/>
        </w:rPr>
        <w:t>í</w:t>
      </w:r>
      <w:r>
        <w:rPr>
          <w:spacing w:val="-9"/>
          <w:sz w:val="18"/>
          <w:szCs w:val="18"/>
          <w:lang w:val="es-ES_tradnl"/>
        </w:rPr>
        <w:t xml:space="preserve">culo 19; 42 numeral 31, 8, 188; 185, </w:t>
      </w:r>
      <w:r>
        <w:rPr>
          <w:spacing w:val="-7"/>
          <w:sz w:val="18"/>
          <w:szCs w:val="18"/>
          <w:lang w:val="es-ES_tradnl"/>
        </w:rPr>
        <w:t>entre otras disposiciones del C</w:t>
      </w:r>
      <w:r>
        <w:rPr>
          <w:rFonts w:cs="Times New Roman"/>
          <w:spacing w:val="-7"/>
          <w:sz w:val="18"/>
          <w:szCs w:val="18"/>
          <w:lang w:val="es-ES_tradnl"/>
        </w:rPr>
        <w:t>ó</w:t>
      </w:r>
      <w:r>
        <w:rPr>
          <w:spacing w:val="-7"/>
          <w:sz w:val="18"/>
          <w:szCs w:val="18"/>
          <w:lang w:val="es-ES_tradnl"/>
        </w:rPr>
        <w:t xml:space="preserve">digo de Trabajo, y a partir </w:t>
      </w:r>
      <w:r>
        <w:rPr>
          <w:spacing w:val="-9"/>
          <w:sz w:val="18"/>
          <w:szCs w:val="18"/>
          <w:lang w:val="es-ES_tradnl"/>
        </w:rPr>
        <w:t>de un ejercicio de subsunci</w:t>
      </w:r>
      <w:r>
        <w:rPr>
          <w:rFonts w:cs="Times New Roman"/>
          <w:spacing w:val="-9"/>
          <w:sz w:val="18"/>
          <w:szCs w:val="18"/>
          <w:lang w:val="es-ES_tradnl"/>
        </w:rPr>
        <w:t>ó</w:t>
      </w:r>
      <w:r>
        <w:rPr>
          <w:spacing w:val="-9"/>
          <w:sz w:val="18"/>
          <w:szCs w:val="18"/>
          <w:lang w:val="es-ES_tradnl"/>
        </w:rPr>
        <w:t>n, establecen la relaci</w:t>
      </w:r>
      <w:r>
        <w:rPr>
          <w:rFonts w:cs="Times New Roman"/>
          <w:spacing w:val="-9"/>
          <w:sz w:val="18"/>
          <w:szCs w:val="18"/>
          <w:lang w:val="es-ES_tradnl"/>
        </w:rPr>
        <w:t>ó</w:t>
      </w:r>
      <w:r>
        <w:rPr>
          <w:spacing w:val="-9"/>
          <w:sz w:val="18"/>
          <w:szCs w:val="18"/>
          <w:lang w:val="es-ES_tradnl"/>
        </w:rPr>
        <w:t xml:space="preserve">n laboral </w:t>
      </w:r>
      <w:r>
        <w:rPr>
          <w:spacing w:val="-7"/>
          <w:sz w:val="18"/>
          <w:szCs w:val="18"/>
          <w:lang w:val="es-ES_tradnl"/>
        </w:rPr>
        <w:t>existente entre el se</w:t>
      </w:r>
      <w:r>
        <w:rPr>
          <w:rFonts w:cs="Times New Roman"/>
          <w:spacing w:val="-7"/>
          <w:sz w:val="18"/>
          <w:szCs w:val="18"/>
          <w:lang w:val="es-ES_tradnl"/>
        </w:rPr>
        <w:t>ñ</w:t>
      </w:r>
      <w:r>
        <w:rPr>
          <w:spacing w:val="-7"/>
          <w:sz w:val="18"/>
          <w:szCs w:val="18"/>
          <w:lang w:val="es-ES_tradnl"/>
        </w:rPr>
        <w:t>or Miguel Antonio Yaure Riofr</w:t>
      </w:r>
      <w:r>
        <w:rPr>
          <w:rFonts w:cs="Times New Roman"/>
          <w:spacing w:val="-7"/>
          <w:sz w:val="18"/>
          <w:szCs w:val="18"/>
          <w:lang w:val="es-ES_tradnl"/>
        </w:rPr>
        <w:t>í</w:t>
      </w:r>
      <w:r>
        <w:rPr>
          <w:spacing w:val="-7"/>
          <w:sz w:val="18"/>
          <w:szCs w:val="18"/>
          <w:lang w:val="es-ES_tradnl"/>
        </w:rPr>
        <w:t>o y los se</w:t>
      </w:r>
      <w:r>
        <w:rPr>
          <w:rFonts w:cs="Times New Roman"/>
          <w:spacing w:val="-7"/>
          <w:sz w:val="18"/>
          <w:szCs w:val="18"/>
          <w:lang w:val="es-ES_tradnl"/>
        </w:rPr>
        <w:t>ñ</w:t>
      </w:r>
      <w:r>
        <w:rPr>
          <w:spacing w:val="-7"/>
          <w:sz w:val="18"/>
          <w:szCs w:val="18"/>
          <w:lang w:val="es-ES_tradnl"/>
        </w:rPr>
        <w:t xml:space="preserve">ores Wilfrido Euclides Montalvo Bustamante y Libertad Marlene Galarza Ortega para finalmente establecer las </w:t>
      </w:r>
      <w:r>
        <w:rPr>
          <w:sz w:val="18"/>
          <w:szCs w:val="18"/>
          <w:lang w:val="es-ES_tradnl"/>
        </w:rPr>
        <w:t>indemnizaciones correspondientes.</w:t>
      </w:r>
    </w:p>
    <w:p w14:paraId="4F67B32F" w14:textId="77777777" w:rsidR="00591D54" w:rsidRDefault="00591D54">
      <w:pPr>
        <w:shd w:val="clear" w:color="auto" w:fill="FFFFFF"/>
        <w:spacing w:before="202" w:line="216" w:lineRule="exact"/>
        <w:jc w:val="both"/>
      </w:pPr>
      <w:r>
        <w:rPr>
          <w:spacing w:val="-6"/>
          <w:sz w:val="18"/>
          <w:szCs w:val="18"/>
          <w:lang w:val="es-ES_tradnl"/>
        </w:rPr>
        <w:t xml:space="preserve">Conforme se puede apreciar, el criterio de razonabilidad </w:t>
      </w:r>
      <w:r>
        <w:rPr>
          <w:spacing w:val="-8"/>
          <w:sz w:val="18"/>
          <w:szCs w:val="18"/>
          <w:lang w:val="es-ES_tradnl"/>
        </w:rPr>
        <w:t xml:space="preserve">empleado por los jueces de la Sala, nace a partir de la </w:t>
      </w:r>
      <w:r>
        <w:rPr>
          <w:spacing w:val="-5"/>
          <w:sz w:val="18"/>
          <w:szCs w:val="18"/>
          <w:lang w:val="es-ES_tradnl"/>
        </w:rPr>
        <w:t>interpretaci</w:t>
      </w:r>
      <w:r>
        <w:rPr>
          <w:rFonts w:cs="Times New Roman"/>
          <w:spacing w:val="-5"/>
          <w:sz w:val="18"/>
          <w:szCs w:val="18"/>
          <w:lang w:val="es-ES_tradnl"/>
        </w:rPr>
        <w:t>ó</w:t>
      </w:r>
      <w:r>
        <w:rPr>
          <w:spacing w:val="-5"/>
          <w:sz w:val="18"/>
          <w:szCs w:val="18"/>
          <w:lang w:val="es-ES_tradnl"/>
        </w:rPr>
        <w:t>n y aplicaci</w:t>
      </w:r>
      <w:r>
        <w:rPr>
          <w:rFonts w:cs="Times New Roman"/>
          <w:spacing w:val="-5"/>
          <w:sz w:val="18"/>
          <w:szCs w:val="18"/>
          <w:lang w:val="es-ES_tradnl"/>
        </w:rPr>
        <w:t>ó</w:t>
      </w:r>
      <w:r>
        <w:rPr>
          <w:spacing w:val="-5"/>
          <w:sz w:val="18"/>
          <w:szCs w:val="18"/>
          <w:lang w:val="es-ES_tradnl"/>
        </w:rPr>
        <w:t>n de normas jur</w:t>
      </w:r>
      <w:r>
        <w:rPr>
          <w:rFonts w:cs="Times New Roman"/>
          <w:spacing w:val="-5"/>
          <w:sz w:val="18"/>
          <w:szCs w:val="18"/>
          <w:lang w:val="es-ES_tradnl"/>
        </w:rPr>
        <w:t>í</w:t>
      </w:r>
      <w:r>
        <w:rPr>
          <w:spacing w:val="-5"/>
          <w:sz w:val="18"/>
          <w:szCs w:val="18"/>
          <w:lang w:val="es-ES_tradnl"/>
        </w:rPr>
        <w:t xml:space="preserve">dicas previas, </w:t>
      </w:r>
      <w:r>
        <w:rPr>
          <w:spacing w:val="-7"/>
          <w:sz w:val="18"/>
          <w:szCs w:val="18"/>
          <w:lang w:val="es-ES_tradnl"/>
        </w:rPr>
        <w:t>claras, p</w:t>
      </w:r>
      <w:r>
        <w:rPr>
          <w:rFonts w:cs="Times New Roman"/>
          <w:spacing w:val="-7"/>
          <w:sz w:val="18"/>
          <w:szCs w:val="18"/>
          <w:lang w:val="es-ES_tradnl"/>
        </w:rPr>
        <w:t>ú</w:t>
      </w:r>
      <w:r>
        <w:rPr>
          <w:spacing w:val="-7"/>
          <w:sz w:val="18"/>
          <w:szCs w:val="18"/>
          <w:lang w:val="es-ES_tradnl"/>
        </w:rPr>
        <w:t xml:space="preserve">blicas y aplicadas por autoridad competente, garantizando de esta manera el derecho a la seguridad </w:t>
      </w:r>
      <w:r>
        <w:rPr>
          <w:spacing w:val="-3"/>
          <w:sz w:val="18"/>
          <w:szCs w:val="18"/>
          <w:lang w:val="es-ES_tradnl"/>
        </w:rPr>
        <w:t>jur</w:t>
      </w:r>
      <w:r>
        <w:rPr>
          <w:rFonts w:cs="Times New Roman"/>
          <w:spacing w:val="-3"/>
          <w:sz w:val="18"/>
          <w:szCs w:val="18"/>
          <w:lang w:val="es-ES_tradnl"/>
        </w:rPr>
        <w:t>í</w:t>
      </w:r>
      <w:r>
        <w:rPr>
          <w:spacing w:val="-3"/>
          <w:sz w:val="18"/>
          <w:szCs w:val="18"/>
          <w:lang w:val="es-ES_tradnl"/>
        </w:rPr>
        <w:t>dica previsto en la Constituci</w:t>
      </w:r>
      <w:r>
        <w:rPr>
          <w:rFonts w:cs="Times New Roman"/>
          <w:spacing w:val="-3"/>
          <w:sz w:val="18"/>
          <w:szCs w:val="18"/>
          <w:lang w:val="es-ES_tradnl"/>
        </w:rPr>
        <w:t>ó</w:t>
      </w:r>
      <w:r>
        <w:rPr>
          <w:spacing w:val="-3"/>
          <w:sz w:val="18"/>
          <w:szCs w:val="18"/>
          <w:lang w:val="es-ES_tradnl"/>
        </w:rPr>
        <w:t>n de la Rep</w:t>
      </w:r>
      <w:r>
        <w:rPr>
          <w:rFonts w:cs="Times New Roman"/>
          <w:spacing w:val="-3"/>
          <w:sz w:val="18"/>
          <w:szCs w:val="18"/>
          <w:lang w:val="es-ES_tradnl"/>
        </w:rPr>
        <w:t>ú</w:t>
      </w:r>
      <w:r>
        <w:rPr>
          <w:spacing w:val="-3"/>
          <w:sz w:val="18"/>
          <w:szCs w:val="18"/>
          <w:lang w:val="es-ES_tradnl"/>
        </w:rPr>
        <w:t xml:space="preserve">blica; </w:t>
      </w:r>
      <w:r>
        <w:rPr>
          <w:spacing w:val="-9"/>
          <w:sz w:val="18"/>
          <w:szCs w:val="18"/>
          <w:lang w:val="es-ES_tradnl"/>
        </w:rPr>
        <w:t>asimismo, se observa que la interpretaci</w:t>
      </w:r>
      <w:r>
        <w:rPr>
          <w:rFonts w:cs="Times New Roman"/>
          <w:spacing w:val="-9"/>
          <w:sz w:val="18"/>
          <w:szCs w:val="18"/>
          <w:lang w:val="es-ES_tradnl"/>
        </w:rPr>
        <w:t>ó</w:t>
      </w:r>
      <w:r>
        <w:rPr>
          <w:spacing w:val="-9"/>
          <w:sz w:val="18"/>
          <w:szCs w:val="18"/>
          <w:lang w:val="es-ES_tradnl"/>
        </w:rPr>
        <w:t xml:space="preserve">n realizada por los </w:t>
      </w:r>
      <w:r>
        <w:rPr>
          <w:spacing w:val="-11"/>
          <w:sz w:val="18"/>
          <w:szCs w:val="18"/>
          <w:lang w:val="es-ES_tradnl"/>
        </w:rPr>
        <w:t>jueces de casaci</w:t>
      </w:r>
      <w:r>
        <w:rPr>
          <w:rFonts w:cs="Times New Roman"/>
          <w:spacing w:val="-11"/>
          <w:sz w:val="18"/>
          <w:szCs w:val="18"/>
          <w:lang w:val="es-ES_tradnl"/>
        </w:rPr>
        <w:t>ó</w:t>
      </w:r>
      <w:r>
        <w:rPr>
          <w:spacing w:val="-11"/>
          <w:sz w:val="18"/>
          <w:szCs w:val="18"/>
          <w:lang w:val="es-ES_tradnl"/>
        </w:rPr>
        <w:t xml:space="preserve">n, no vulnera de forma alguna los derechos </w:t>
      </w:r>
      <w:r>
        <w:rPr>
          <w:spacing w:val="-8"/>
          <w:sz w:val="18"/>
          <w:szCs w:val="18"/>
          <w:lang w:val="es-ES_tradnl"/>
        </w:rPr>
        <w:t>constitucionales alegados por los accionantes.</w:t>
      </w:r>
    </w:p>
    <w:p w14:paraId="4F67B330" w14:textId="77777777" w:rsidR="00591D54" w:rsidRDefault="00591D54">
      <w:pPr>
        <w:shd w:val="clear" w:color="auto" w:fill="FFFFFF"/>
        <w:spacing w:before="202" w:line="216" w:lineRule="exact"/>
        <w:jc w:val="both"/>
      </w:pPr>
      <w:r>
        <w:rPr>
          <w:spacing w:val="-5"/>
          <w:sz w:val="18"/>
          <w:szCs w:val="18"/>
          <w:lang w:val="es-ES_tradnl"/>
        </w:rPr>
        <w:t xml:space="preserve">En este punto vale recordar el efecto irradiador de los </w:t>
      </w:r>
      <w:r>
        <w:rPr>
          <w:sz w:val="18"/>
          <w:szCs w:val="18"/>
          <w:lang w:val="es-ES_tradnl"/>
        </w:rPr>
        <w:t xml:space="preserve">derechos constitucionales, lo que significa que todo </w:t>
      </w:r>
      <w:r>
        <w:rPr>
          <w:spacing w:val="-4"/>
          <w:sz w:val="18"/>
          <w:szCs w:val="18"/>
          <w:lang w:val="es-ES_tradnl"/>
        </w:rPr>
        <w:t>el ordenamiento jur</w:t>
      </w:r>
      <w:r>
        <w:rPr>
          <w:rFonts w:cs="Times New Roman"/>
          <w:spacing w:val="-4"/>
          <w:sz w:val="18"/>
          <w:szCs w:val="18"/>
          <w:lang w:val="es-ES_tradnl"/>
        </w:rPr>
        <w:t>í</w:t>
      </w:r>
      <w:r>
        <w:rPr>
          <w:spacing w:val="-4"/>
          <w:sz w:val="18"/>
          <w:szCs w:val="18"/>
          <w:lang w:val="es-ES_tradnl"/>
        </w:rPr>
        <w:t>dico debe mantener armon</w:t>
      </w:r>
      <w:r>
        <w:rPr>
          <w:rFonts w:cs="Times New Roman"/>
          <w:spacing w:val="-4"/>
          <w:sz w:val="18"/>
          <w:szCs w:val="18"/>
          <w:lang w:val="es-ES_tradnl"/>
        </w:rPr>
        <w:t>í</w:t>
      </w:r>
      <w:r>
        <w:rPr>
          <w:spacing w:val="-4"/>
          <w:sz w:val="18"/>
          <w:szCs w:val="18"/>
          <w:lang w:val="es-ES_tradnl"/>
        </w:rPr>
        <w:t xml:space="preserve">a y </w:t>
      </w:r>
      <w:r>
        <w:rPr>
          <w:spacing w:val="-5"/>
          <w:sz w:val="18"/>
          <w:szCs w:val="18"/>
          <w:lang w:val="es-ES_tradnl"/>
        </w:rPr>
        <w:t xml:space="preserve">concordancia con el texto constitucional; en esta sentido, </w:t>
      </w:r>
      <w:r>
        <w:rPr>
          <w:spacing w:val="-7"/>
          <w:sz w:val="18"/>
          <w:szCs w:val="18"/>
          <w:lang w:val="es-ES_tradnl"/>
        </w:rPr>
        <w:t>al garantizarse el cumplimiento de las normas jur</w:t>
      </w:r>
      <w:r>
        <w:rPr>
          <w:rFonts w:cs="Times New Roman"/>
          <w:spacing w:val="-7"/>
          <w:sz w:val="18"/>
          <w:szCs w:val="18"/>
          <w:lang w:val="es-ES_tradnl"/>
        </w:rPr>
        <w:t>í</w:t>
      </w:r>
      <w:r>
        <w:rPr>
          <w:spacing w:val="-7"/>
          <w:sz w:val="18"/>
          <w:szCs w:val="18"/>
          <w:lang w:val="es-ES_tradnl"/>
        </w:rPr>
        <w:t>dicas conforme lo han hecho los jueces de la Sala de lo Laboral</w:t>
      </w:r>
    </w:p>
    <w:p w14:paraId="4F67B331" w14:textId="77777777" w:rsidR="00591D54" w:rsidRDefault="00591D54">
      <w:pPr>
        <w:shd w:val="clear" w:color="auto" w:fill="FFFFFF"/>
        <w:spacing w:before="504" w:line="178" w:lineRule="exact"/>
        <w:ind w:left="144" w:hanging="144"/>
        <w:jc w:val="both"/>
      </w:pPr>
      <w:r>
        <w:rPr>
          <w:sz w:val="14"/>
          <w:szCs w:val="14"/>
          <w:vertAlign w:val="superscript"/>
          <w:lang w:val="es-ES_tradnl"/>
        </w:rPr>
        <w:t>2</w:t>
      </w:r>
      <w:r>
        <w:rPr>
          <w:sz w:val="14"/>
          <w:szCs w:val="14"/>
          <w:lang w:val="es-ES_tradnl"/>
        </w:rPr>
        <w:t xml:space="preserve"> Ley de Casaci</w:t>
      </w:r>
      <w:r>
        <w:rPr>
          <w:rFonts w:cs="Times New Roman"/>
          <w:sz w:val="14"/>
          <w:szCs w:val="14"/>
          <w:lang w:val="es-ES_tradnl"/>
        </w:rPr>
        <w:t>ó</w:t>
      </w:r>
      <w:r>
        <w:rPr>
          <w:sz w:val="14"/>
          <w:szCs w:val="14"/>
          <w:lang w:val="es-ES_tradnl"/>
        </w:rPr>
        <w:t>n. Registro Oficial Suplemento 299 de 24 de marzo de 2004. Art. 3.- CAUSALES.- El recurso de casaci</w:t>
      </w:r>
      <w:r>
        <w:rPr>
          <w:rFonts w:cs="Times New Roman"/>
          <w:sz w:val="14"/>
          <w:szCs w:val="14"/>
          <w:lang w:val="es-ES_tradnl"/>
        </w:rPr>
        <w:t>ó</w:t>
      </w:r>
      <w:r>
        <w:rPr>
          <w:sz w:val="14"/>
          <w:szCs w:val="14"/>
          <w:lang w:val="es-ES_tradnl"/>
        </w:rPr>
        <w:t>n s</w:t>
      </w:r>
      <w:r>
        <w:rPr>
          <w:rFonts w:cs="Times New Roman"/>
          <w:sz w:val="14"/>
          <w:szCs w:val="14"/>
          <w:lang w:val="es-ES_tradnl"/>
        </w:rPr>
        <w:t>ó</w:t>
      </w:r>
      <w:r>
        <w:rPr>
          <w:sz w:val="14"/>
          <w:szCs w:val="14"/>
          <w:lang w:val="es-ES_tradnl"/>
        </w:rPr>
        <w:t>lo podr</w:t>
      </w:r>
      <w:r>
        <w:rPr>
          <w:rFonts w:cs="Times New Roman"/>
          <w:sz w:val="14"/>
          <w:szCs w:val="14"/>
          <w:lang w:val="es-ES_tradnl"/>
        </w:rPr>
        <w:t xml:space="preserve">á </w:t>
      </w:r>
      <w:r>
        <w:rPr>
          <w:sz w:val="14"/>
          <w:szCs w:val="14"/>
          <w:lang w:val="es-ES_tradnl"/>
        </w:rPr>
        <w:t>fundarse en las siguientes causales: 3ra. Aplicaci</w:t>
      </w:r>
      <w:r>
        <w:rPr>
          <w:rFonts w:cs="Times New Roman"/>
          <w:sz w:val="14"/>
          <w:szCs w:val="14"/>
          <w:lang w:val="es-ES_tradnl"/>
        </w:rPr>
        <w:t>ó</w:t>
      </w:r>
      <w:r>
        <w:rPr>
          <w:sz w:val="14"/>
          <w:szCs w:val="14"/>
          <w:lang w:val="es-ES_tradnl"/>
        </w:rPr>
        <w:t xml:space="preserve">n indebida, falta </w:t>
      </w:r>
      <w:r>
        <w:rPr>
          <w:spacing w:val="-1"/>
          <w:sz w:val="14"/>
          <w:szCs w:val="14"/>
          <w:lang w:val="es-ES_tradnl"/>
        </w:rPr>
        <w:t>de aplicaci</w:t>
      </w:r>
      <w:r>
        <w:rPr>
          <w:rFonts w:cs="Times New Roman"/>
          <w:spacing w:val="-1"/>
          <w:sz w:val="14"/>
          <w:szCs w:val="14"/>
          <w:lang w:val="es-ES_tradnl"/>
        </w:rPr>
        <w:t>ó</w:t>
      </w:r>
      <w:r>
        <w:rPr>
          <w:spacing w:val="-1"/>
          <w:sz w:val="14"/>
          <w:szCs w:val="14"/>
          <w:lang w:val="es-ES_tradnl"/>
        </w:rPr>
        <w:t>n o err</w:t>
      </w:r>
      <w:r>
        <w:rPr>
          <w:rFonts w:cs="Times New Roman"/>
          <w:spacing w:val="-1"/>
          <w:sz w:val="14"/>
          <w:szCs w:val="14"/>
          <w:lang w:val="es-ES_tradnl"/>
        </w:rPr>
        <w:t>ó</w:t>
      </w:r>
      <w:r>
        <w:rPr>
          <w:spacing w:val="-1"/>
          <w:sz w:val="14"/>
          <w:szCs w:val="14"/>
          <w:lang w:val="es-ES_tradnl"/>
        </w:rPr>
        <w:t>nea interpretaci</w:t>
      </w:r>
      <w:r>
        <w:rPr>
          <w:rFonts w:cs="Times New Roman"/>
          <w:spacing w:val="-1"/>
          <w:sz w:val="14"/>
          <w:szCs w:val="14"/>
          <w:lang w:val="es-ES_tradnl"/>
        </w:rPr>
        <w:t>ó</w:t>
      </w:r>
      <w:r>
        <w:rPr>
          <w:spacing w:val="-1"/>
          <w:sz w:val="14"/>
          <w:szCs w:val="14"/>
          <w:lang w:val="es-ES_tradnl"/>
        </w:rPr>
        <w:t>n de los preceptos jur</w:t>
      </w:r>
      <w:r>
        <w:rPr>
          <w:rFonts w:cs="Times New Roman"/>
          <w:spacing w:val="-1"/>
          <w:sz w:val="14"/>
          <w:szCs w:val="14"/>
          <w:lang w:val="es-ES_tradnl"/>
        </w:rPr>
        <w:t>í</w:t>
      </w:r>
      <w:r>
        <w:rPr>
          <w:spacing w:val="-1"/>
          <w:sz w:val="14"/>
          <w:szCs w:val="14"/>
          <w:lang w:val="es-ES_tradnl"/>
        </w:rPr>
        <w:t xml:space="preserve">dicos </w:t>
      </w:r>
      <w:r>
        <w:rPr>
          <w:spacing w:val="-3"/>
          <w:sz w:val="14"/>
          <w:szCs w:val="14"/>
          <w:lang w:val="es-ES_tradnl"/>
        </w:rPr>
        <w:t>aplicables a la valoraci</w:t>
      </w:r>
      <w:r>
        <w:rPr>
          <w:rFonts w:cs="Times New Roman"/>
          <w:spacing w:val="-3"/>
          <w:sz w:val="14"/>
          <w:szCs w:val="14"/>
          <w:lang w:val="es-ES_tradnl"/>
        </w:rPr>
        <w:t>ó</w:t>
      </w:r>
      <w:r>
        <w:rPr>
          <w:spacing w:val="-3"/>
          <w:sz w:val="14"/>
          <w:szCs w:val="14"/>
          <w:lang w:val="es-ES_tradnl"/>
        </w:rPr>
        <w:t xml:space="preserve">n de la prueba, siempre que hayan conducido </w:t>
      </w:r>
      <w:r>
        <w:rPr>
          <w:sz w:val="14"/>
          <w:szCs w:val="14"/>
          <w:lang w:val="es-ES_tradnl"/>
        </w:rPr>
        <w:t>a una equivocada aplicaci</w:t>
      </w:r>
      <w:r>
        <w:rPr>
          <w:rFonts w:cs="Times New Roman"/>
          <w:sz w:val="14"/>
          <w:szCs w:val="14"/>
          <w:lang w:val="es-ES_tradnl"/>
        </w:rPr>
        <w:t>ó</w:t>
      </w:r>
      <w:r>
        <w:rPr>
          <w:sz w:val="14"/>
          <w:szCs w:val="14"/>
          <w:lang w:val="es-ES_tradnl"/>
        </w:rPr>
        <w:t>n o a la no aplicaci</w:t>
      </w:r>
      <w:r>
        <w:rPr>
          <w:rFonts w:cs="Times New Roman"/>
          <w:sz w:val="14"/>
          <w:szCs w:val="14"/>
          <w:lang w:val="es-ES_tradnl"/>
        </w:rPr>
        <w:t>ó</w:t>
      </w:r>
      <w:r>
        <w:rPr>
          <w:sz w:val="14"/>
          <w:szCs w:val="14"/>
          <w:lang w:val="es-ES_tradnl"/>
        </w:rPr>
        <w:t>n de normas de derecho en la sentencia o auto.</w:t>
      </w:r>
    </w:p>
    <w:p w14:paraId="4F67B332" w14:textId="77777777" w:rsidR="00591D54" w:rsidRDefault="00591D54">
      <w:pPr>
        <w:shd w:val="clear" w:color="auto" w:fill="FFFFFF"/>
        <w:spacing w:before="504" w:line="178" w:lineRule="exact"/>
        <w:ind w:left="144" w:hanging="144"/>
        <w:jc w:val="both"/>
        <w:sectPr w:rsidR="00591D54">
          <w:type w:val="continuous"/>
          <w:pgSz w:w="11909" w:h="16834"/>
          <w:pgMar w:top="1356" w:right="1309" w:bottom="360" w:left="1308" w:header="720" w:footer="720" w:gutter="0"/>
          <w:cols w:num="2" w:space="720" w:equalWidth="0">
            <w:col w:w="4305" w:space="682"/>
            <w:col w:w="4305"/>
          </w:cols>
          <w:noEndnote/>
        </w:sectPr>
      </w:pPr>
    </w:p>
    <w:p w14:paraId="4F67B333" w14:textId="77777777" w:rsidR="00591D54" w:rsidRDefault="00591D54">
      <w:pPr>
        <w:shd w:val="clear" w:color="auto" w:fill="FFFFFF"/>
        <w:tabs>
          <w:tab w:val="left" w:pos="584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- 193</w:t>
      </w:r>
    </w:p>
    <w:p w14:paraId="4F67B334" w14:textId="77777777" w:rsidR="00591D54" w:rsidRDefault="00591D54">
      <w:pPr>
        <w:shd w:val="clear" w:color="auto" w:fill="FFFFFF"/>
        <w:tabs>
          <w:tab w:val="left" w:pos="5842"/>
        </w:tabs>
        <w:spacing w:after="230"/>
        <w:ind w:left="5"/>
        <w:sectPr w:rsidR="00591D54">
          <w:pgSz w:w="11909" w:h="16834"/>
          <w:pgMar w:top="1356" w:right="1309" w:bottom="360" w:left="1308" w:header="720" w:footer="720" w:gutter="0"/>
          <w:cols w:space="60"/>
          <w:noEndnote/>
        </w:sectPr>
      </w:pPr>
    </w:p>
    <w:p w14:paraId="4F67B335" w14:textId="77777777" w:rsidR="00591D54" w:rsidRDefault="00591D54">
      <w:pPr>
        <w:shd w:val="clear" w:color="auto" w:fill="FFFFFF"/>
        <w:spacing w:line="216" w:lineRule="exact"/>
        <w:ind w:right="5"/>
        <w:jc w:val="both"/>
      </w:pPr>
      <w:r>
        <w:rPr>
          <w:spacing w:val="-7"/>
          <w:sz w:val="18"/>
          <w:szCs w:val="18"/>
          <w:lang w:val="es-ES_tradnl"/>
        </w:rPr>
        <w:t xml:space="preserve">de la Corte Nacional de Justicia en el caso </w:t>
      </w:r>
      <w:r>
        <w:rPr>
          <w:i/>
          <w:iCs/>
          <w:spacing w:val="-7"/>
          <w:sz w:val="18"/>
          <w:szCs w:val="18"/>
          <w:lang w:val="es-ES_tradnl"/>
        </w:rPr>
        <w:t>sub judice</w:t>
      </w:r>
      <w:r>
        <w:rPr>
          <w:spacing w:val="-7"/>
          <w:sz w:val="18"/>
          <w:szCs w:val="18"/>
          <w:lang w:val="es-ES_tradnl"/>
        </w:rPr>
        <w:t xml:space="preserve">, se </w:t>
      </w:r>
      <w:r>
        <w:rPr>
          <w:spacing w:val="-10"/>
          <w:sz w:val="18"/>
          <w:szCs w:val="18"/>
          <w:lang w:val="es-ES_tradnl"/>
        </w:rPr>
        <w:t>est</w:t>
      </w:r>
      <w:r>
        <w:rPr>
          <w:rFonts w:cs="Times New Roman"/>
          <w:spacing w:val="-10"/>
          <w:sz w:val="18"/>
          <w:szCs w:val="18"/>
          <w:lang w:val="es-ES_tradnl"/>
        </w:rPr>
        <w:t>á</w:t>
      </w:r>
      <w:r>
        <w:rPr>
          <w:spacing w:val="-10"/>
          <w:sz w:val="18"/>
          <w:szCs w:val="18"/>
          <w:lang w:val="es-ES_tradnl"/>
        </w:rPr>
        <w:t xml:space="preserve"> garantizando tambi</w:t>
      </w:r>
      <w:r>
        <w:rPr>
          <w:rFonts w:cs="Times New Roman"/>
          <w:spacing w:val="-10"/>
          <w:sz w:val="18"/>
          <w:szCs w:val="18"/>
          <w:lang w:val="es-ES_tradnl"/>
        </w:rPr>
        <w:t>é</w:t>
      </w:r>
      <w:r>
        <w:rPr>
          <w:spacing w:val="-10"/>
          <w:sz w:val="18"/>
          <w:szCs w:val="18"/>
          <w:lang w:val="es-ES_tradnl"/>
        </w:rPr>
        <w:t xml:space="preserve">n la plena vigencia de los derechos </w:t>
      </w:r>
      <w:r>
        <w:rPr>
          <w:sz w:val="18"/>
          <w:szCs w:val="18"/>
          <w:lang w:val="es-ES_tradnl"/>
        </w:rPr>
        <w:t>constitucionales.</w:t>
      </w:r>
    </w:p>
    <w:p w14:paraId="4F67B336" w14:textId="77777777" w:rsidR="00591D54" w:rsidRDefault="00591D54">
      <w:pPr>
        <w:shd w:val="clear" w:color="auto" w:fill="FFFFFF"/>
        <w:spacing w:before="197" w:line="216" w:lineRule="exact"/>
        <w:ind w:right="5"/>
        <w:jc w:val="both"/>
      </w:pPr>
      <w:r>
        <w:rPr>
          <w:spacing w:val="-6"/>
          <w:sz w:val="18"/>
          <w:szCs w:val="18"/>
          <w:lang w:val="es-ES_tradnl"/>
        </w:rPr>
        <w:t xml:space="preserve">Por lo expuesto y en vista que se ha verificado que la </w:t>
      </w:r>
      <w:r>
        <w:rPr>
          <w:spacing w:val="-8"/>
          <w:sz w:val="18"/>
          <w:szCs w:val="18"/>
          <w:lang w:val="es-ES_tradnl"/>
        </w:rPr>
        <w:t xml:space="preserve">sentencia impugnada </w:t>
      </w:r>
      <w:r>
        <w:rPr>
          <w:rFonts w:cs="Times New Roman"/>
          <w:spacing w:val="-8"/>
          <w:sz w:val="18"/>
          <w:szCs w:val="18"/>
          <w:lang w:val="es-ES_tradnl"/>
        </w:rPr>
        <w:t>–</w:t>
      </w:r>
      <w:r>
        <w:rPr>
          <w:spacing w:val="-8"/>
          <w:sz w:val="18"/>
          <w:szCs w:val="18"/>
          <w:lang w:val="es-ES_tradnl"/>
        </w:rPr>
        <w:t>sentencia de casaci</w:t>
      </w:r>
      <w:r>
        <w:rPr>
          <w:rFonts w:cs="Times New Roman"/>
          <w:spacing w:val="-8"/>
          <w:sz w:val="18"/>
          <w:szCs w:val="18"/>
          <w:lang w:val="es-ES_tradnl"/>
        </w:rPr>
        <w:t>ó</w:t>
      </w:r>
      <w:r>
        <w:rPr>
          <w:spacing w:val="-8"/>
          <w:sz w:val="18"/>
          <w:szCs w:val="18"/>
          <w:lang w:val="es-ES_tradnl"/>
        </w:rPr>
        <w:t>n</w:t>
      </w:r>
      <w:r>
        <w:rPr>
          <w:rFonts w:ascii="Arial Unicode MS" w:eastAsia="Arial Unicode MS" w:hAnsi="Arial Unicode MS" w:cs="Arial Unicode MS" w:hint="eastAsia"/>
          <w:spacing w:val="-8"/>
          <w:sz w:val="18"/>
          <w:szCs w:val="18"/>
          <w:lang w:val="es-ES_tradnl"/>
        </w:rPr>
        <w:t>‒</w:t>
      </w:r>
      <w:r>
        <w:rPr>
          <w:spacing w:val="-8"/>
          <w:sz w:val="18"/>
          <w:szCs w:val="18"/>
          <w:lang w:val="es-ES_tradnl"/>
        </w:rPr>
        <w:t xml:space="preserve">, ha sido </w:t>
      </w:r>
      <w:r>
        <w:rPr>
          <w:spacing w:val="-6"/>
          <w:sz w:val="18"/>
          <w:szCs w:val="18"/>
          <w:lang w:val="es-ES_tradnl"/>
        </w:rPr>
        <w:t xml:space="preserve">dictada atendiendo a los principios constitucionales y la </w:t>
      </w:r>
      <w:r>
        <w:rPr>
          <w:spacing w:val="-4"/>
          <w:sz w:val="18"/>
          <w:szCs w:val="18"/>
          <w:lang w:val="es-ES_tradnl"/>
        </w:rPr>
        <w:t>legislaci</w:t>
      </w:r>
      <w:r>
        <w:rPr>
          <w:rFonts w:cs="Times New Roman"/>
          <w:spacing w:val="-4"/>
          <w:sz w:val="18"/>
          <w:szCs w:val="18"/>
          <w:lang w:val="es-ES_tradnl"/>
        </w:rPr>
        <w:t>ó</w:t>
      </w:r>
      <w:r>
        <w:rPr>
          <w:spacing w:val="-4"/>
          <w:sz w:val="18"/>
          <w:szCs w:val="18"/>
          <w:lang w:val="es-ES_tradnl"/>
        </w:rPr>
        <w:t xml:space="preserve">n vigente, la Corte Constitucional concluye que </w:t>
      </w:r>
      <w:r>
        <w:rPr>
          <w:spacing w:val="-6"/>
          <w:sz w:val="18"/>
          <w:szCs w:val="18"/>
          <w:lang w:val="es-ES_tradnl"/>
        </w:rPr>
        <w:t>la misma cumple con el par</w:t>
      </w:r>
      <w:r>
        <w:rPr>
          <w:rFonts w:cs="Times New Roman"/>
          <w:spacing w:val="-6"/>
          <w:sz w:val="18"/>
          <w:szCs w:val="18"/>
          <w:lang w:val="es-ES_tradnl"/>
        </w:rPr>
        <w:t>á</w:t>
      </w:r>
      <w:r>
        <w:rPr>
          <w:spacing w:val="-6"/>
          <w:sz w:val="18"/>
          <w:szCs w:val="18"/>
          <w:lang w:val="es-ES_tradnl"/>
        </w:rPr>
        <w:t xml:space="preserve">metro de razonabilidad que </w:t>
      </w:r>
      <w:r>
        <w:rPr>
          <w:sz w:val="18"/>
          <w:szCs w:val="18"/>
          <w:lang w:val="es-ES_tradnl"/>
        </w:rPr>
        <w:t>impone la garant</w:t>
      </w:r>
      <w:r>
        <w:rPr>
          <w:rFonts w:cs="Times New Roman"/>
          <w:sz w:val="18"/>
          <w:szCs w:val="18"/>
          <w:lang w:val="es-ES_tradnl"/>
        </w:rPr>
        <w:t>í</w:t>
      </w:r>
      <w:r>
        <w:rPr>
          <w:sz w:val="18"/>
          <w:szCs w:val="18"/>
          <w:lang w:val="es-ES_tradnl"/>
        </w:rPr>
        <w:t>a de la motivaci</w:t>
      </w:r>
      <w:r>
        <w:rPr>
          <w:rFonts w:cs="Times New Roman"/>
          <w:sz w:val="18"/>
          <w:szCs w:val="18"/>
          <w:lang w:val="es-ES_tradnl"/>
        </w:rPr>
        <w:t>ó</w:t>
      </w:r>
      <w:r>
        <w:rPr>
          <w:sz w:val="18"/>
          <w:szCs w:val="18"/>
          <w:lang w:val="es-ES_tradnl"/>
        </w:rPr>
        <w:t>n.</w:t>
      </w:r>
    </w:p>
    <w:p w14:paraId="4F67B337" w14:textId="77777777" w:rsidR="00591D54" w:rsidRDefault="00591D54">
      <w:pPr>
        <w:shd w:val="clear" w:color="auto" w:fill="FFFFFF"/>
        <w:spacing w:before="197" w:line="216" w:lineRule="exact"/>
        <w:ind w:right="5"/>
        <w:jc w:val="both"/>
      </w:pPr>
      <w:r>
        <w:rPr>
          <w:spacing w:val="-5"/>
          <w:sz w:val="18"/>
          <w:szCs w:val="18"/>
          <w:lang w:val="es-ES_tradnl"/>
        </w:rPr>
        <w:t>Ahora bien, en cuanto al requisito de la l</w:t>
      </w:r>
      <w:r>
        <w:rPr>
          <w:rFonts w:cs="Times New Roman"/>
          <w:spacing w:val="-5"/>
          <w:sz w:val="18"/>
          <w:szCs w:val="18"/>
          <w:lang w:val="es-ES_tradnl"/>
        </w:rPr>
        <w:t>ó</w:t>
      </w:r>
      <w:r>
        <w:rPr>
          <w:spacing w:val="-5"/>
          <w:sz w:val="18"/>
          <w:szCs w:val="18"/>
          <w:lang w:val="es-ES_tradnl"/>
        </w:rPr>
        <w:t xml:space="preserve">gica, la Corte </w:t>
      </w:r>
      <w:r>
        <w:rPr>
          <w:spacing w:val="-8"/>
          <w:sz w:val="18"/>
          <w:szCs w:val="18"/>
          <w:lang w:val="es-ES_tradnl"/>
        </w:rPr>
        <w:t xml:space="preserve">Constitucional debe considerar que este elemento tiene </w:t>
      </w:r>
      <w:r>
        <w:rPr>
          <w:spacing w:val="-3"/>
          <w:sz w:val="18"/>
          <w:szCs w:val="18"/>
          <w:lang w:val="es-ES_tradnl"/>
        </w:rPr>
        <w:t>relaci</w:t>
      </w:r>
      <w:r>
        <w:rPr>
          <w:rFonts w:cs="Times New Roman"/>
          <w:spacing w:val="-3"/>
          <w:sz w:val="18"/>
          <w:szCs w:val="18"/>
          <w:lang w:val="es-ES_tradnl"/>
        </w:rPr>
        <w:t>ó</w:t>
      </w:r>
      <w:r>
        <w:rPr>
          <w:spacing w:val="-3"/>
          <w:sz w:val="18"/>
          <w:szCs w:val="18"/>
          <w:lang w:val="es-ES_tradnl"/>
        </w:rPr>
        <w:t xml:space="preserve">n directa con la coherencia de los elementos ordenados y concatenados que permiten construir un </w:t>
      </w:r>
      <w:r>
        <w:rPr>
          <w:spacing w:val="-5"/>
          <w:sz w:val="18"/>
          <w:szCs w:val="18"/>
          <w:lang w:val="es-ES_tradnl"/>
        </w:rPr>
        <w:t xml:space="preserve">juicio de valor en el juzgador al momento de emitir una </w:t>
      </w:r>
      <w:r>
        <w:rPr>
          <w:spacing w:val="-7"/>
          <w:sz w:val="18"/>
          <w:szCs w:val="18"/>
          <w:lang w:val="es-ES_tradnl"/>
        </w:rPr>
        <w:t>resoluci</w:t>
      </w:r>
      <w:r>
        <w:rPr>
          <w:rFonts w:cs="Times New Roman"/>
          <w:spacing w:val="-7"/>
          <w:sz w:val="18"/>
          <w:szCs w:val="18"/>
          <w:lang w:val="es-ES_tradnl"/>
        </w:rPr>
        <w:t>ó</w:t>
      </w:r>
      <w:r>
        <w:rPr>
          <w:spacing w:val="-7"/>
          <w:sz w:val="18"/>
          <w:szCs w:val="18"/>
          <w:lang w:val="es-ES_tradnl"/>
        </w:rPr>
        <w:t>n. Un adecuado uso de la l</w:t>
      </w:r>
      <w:r>
        <w:rPr>
          <w:rFonts w:cs="Times New Roman"/>
          <w:spacing w:val="-7"/>
          <w:sz w:val="18"/>
          <w:szCs w:val="18"/>
          <w:lang w:val="es-ES_tradnl"/>
        </w:rPr>
        <w:t>ó</w:t>
      </w:r>
      <w:r>
        <w:rPr>
          <w:spacing w:val="-7"/>
          <w:sz w:val="18"/>
          <w:szCs w:val="18"/>
          <w:lang w:val="es-ES_tradnl"/>
        </w:rPr>
        <w:t>gica en la resoluci</w:t>
      </w:r>
      <w:r>
        <w:rPr>
          <w:rFonts w:cs="Times New Roman"/>
          <w:spacing w:val="-7"/>
          <w:sz w:val="18"/>
          <w:szCs w:val="18"/>
          <w:lang w:val="es-ES_tradnl"/>
        </w:rPr>
        <w:t>ó</w:t>
      </w:r>
      <w:r>
        <w:rPr>
          <w:spacing w:val="-7"/>
          <w:sz w:val="18"/>
          <w:szCs w:val="18"/>
          <w:lang w:val="es-ES_tradnl"/>
        </w:rPr>
        <w:t xml:space="preserve">n, </w:t>
      </w:r>
      <w:r>
        <w:rPr>
          <w:spacing w:val="-8"/>
          <w:sz w:val="18"/>
          <w:szCs w:val="18"/>
          <w:lang w:val="es-ES_tradnl"/>
        </w:rPr>
        <w:t>debe evidenciar por s</w:t>
      </w:r>
      <w:r>
        <w:rPr>
          <w:rFonts w:cs="Times New Roman"/>
          <w:spacing w:val="-8"/>
          <w:sz w:val="18"/>
          <w:szCs w:val="18"/>
          <w:lang w:val="es-ES_tradnl"/>
        </w:rPr>
        <w:t>í</w:t>
      </w:r>
      <w:r>
        <w:rPr>
          <w:spacing w:val="-8"/>
          <w:sz w:val="18"/>
          <w:szCs w:val="18"/>
          <w:lang w:val="es-ES_tradnl"/>
        </w:rPr>
        <w:t xml:space="preserve"> solo coherencia entre las premisas </w:t>
      </w:r>
      <w:r>
        <w:rPr>
          <w:spacing w:val="-9"/>
          <w:sz w:val="18"/>
          <w:szCs w:val="18"/>
          <w:lang w:val="es-ES_tradnl"/>
        </w:rPr>
        <w:t>que componen el argumento del juzgador con la conclusi</w:t>
      </w:r>
      <w:r>
        <w:rPr>
          <w:rFonts w:cs="Times New Roman"/>
          <w:spacing w:val="-9"/>
          <w:sz w:val="18"/>
          <w:szCs w:val="18"/>
          <w:lang w:val="es-ES_tradnl"/>
        </w:rPr>
        <w:t>ó</w:t>
      </w:r>
      <w:r>
        <w:rPr>
          <w:spacing w:val="-9"/>
          <w:sz w:val="18"/>
          <w:szCs w:val="18"/>
          <w:lang w:val="es-ES_tradnl"/>
        </w:rPr>
        <w:t>n a la que llega de acuerdo a su razonamiento.</w:t>
      </w:r>
    </w:p>
    <w:p w14:paraId="4F67B338" w14:textId="77777777" w:rsidR="00591D54" w:rsidRDefault="00591D54">
      <w:pPr>
        <w:shd w:val="clear" w:color="auto" w:fill="FFFFFF"/>
        <w:spacing w:before="197" w:line="216" w:lineRule="exact"/>
        <w:ind w:right="5"/>
        <w:jc w:val="both"/>
      </w:pPr>
      <w:r>
        <w:rPr>
          <w:spacing w:val="-11"/>
          <w:sz w:val="18"/>
          <w:szCs w:val="18"/>
          <w:lang w:val="es-ES_tradnl"/>
        </w:rPr>
        <w:t>Frente a este requisito, vale se</w:t>
      </w:r>
      <w:r>
        <w:rPr>
          <w:rFonts w:cs="Times New Roman"/>
          <w:spacing w:val="-11"/>
          <w:sz w:val="18"/>
          <w:szCs w:val="18"/>
          <w:lang w:val="es-ES_tradnl"/>
        </w:rPr>
        <w:t>ñ</w:t>
      </w:r>
      <w:r>
        <w:rPr>
          <w:spacing w:val="-11"/>
          <w:sz w:val="18"/>
          <w:szCs w:val="18"/>
          <w:lang w:val="es-ES_tradnl"/>
        </w:rPr>
        <w:t xml:space="preserve">alar que los jueces de la Sala </w:t>
      </w:r>
      <w:r>
        <w:rPr>
          <w:spacing w:val="-6"/>
          <w:sz w:val="18"/>
          <w:szCs w:val="18"/>
          <w:lang w:val="es-ES_tradnl"/>
        </w:rPr>
        <w:t xml:space="preserve">de lo Laboral de la Corte Nacional de Justicia, en vista de </w:t>
      </w:r>
      <w:r>
        <w:rPr>
          <w:spacing w:val="-8"/>
          <w:sz w:val="18"/>
          <w:szCs w:val="18"/>
          <w:lang w:val="es-ES_tradnl"/>
        </w:rPr>
        <w:t xml:space="preserve">la naturaleza del recurso presentado ante esa judicatura, </w:t>
      </w:r>
      <w:r>
        <w:rPr>
          <w:spacing w:val="-6"/>
          <w:sz w:val="18"/>
          <w:szCs w:val="18"/>
          <w:lang w:val="es-ES_tradnl"/>
        </w:rPr>
        <w:t>evidenciaron una vulneraci</w:t>
      </w:r>
      <w:r>
        <w:rPr>
          <w:rFonts w:cs="Times New Roman"/>
          <w:spacing w:val="-6"/>
          <w:sz w:val="18"/>
          <w:szCs w:val="18"/>
          <w:lang w:val="es-ES_tradnl"/>
        </w:rPr>
        <w:t>ó</w:t>
      </w:r>
      <w:r>
        <w:rPr>
          <w:spacing w:val="-6"/>
          <w:sz w:val="18"/>
          <w:szCs w:val="18"/>
          <w:lang w:val="es-ES_tradnl"/>
        </w:rPr>
        <w:t xml:space="preserve">n de la ley por parte de los </w:t>
      </w:r>
      <w:r>
        <w:rPr>
          <w:spacing w:val="-9"/>
          <w:sz w:val="18"/>
          <w:szCs w:val="18"/>
          <w:lang w:val="es-ES_tradnl"/>
        </w:rPr>
        <w:t>jugadores de segunda instancia lo cual les condujo a tomar una decisi</w:t>
      </w:r>
      <w:r>
        <w:rPr>
          <w:rFonts w:cs="Times New Roman"/>
          <w:spacing w:val="-9"/>
          <w:sz w:val="18"/>
          <w:szCs w:val="18"/>
          <w:lang w:val="es-ES_tradnl"/>
        </w:rPr>
        <w:t>ó</w:t>
      </w:r>
      <w:r>
        <w:rPr>
          <w:spacing w:val="-9"/>
          <w:sz w:val="18"/>
          <w:szCs w:val="18"/>
          <w:lang w:val="es-ES_tradnl"/>
        </w:rPr>
        <w:t xml:space="preserve">n errada y en base a los hechos sometidos a su </w:t>
      </w:r>
      <w:r>
        <w:rPr>
          <w:spacing w:val="-6"/>
          <w:sz w:val="18"/>
          <w:szCs w:val="18"/>
          <w:lang w:val="es-ES_tradnl"/>
        </w:rPr>
        <w:t>conocimiento, determinaron la existencia de la relaci</w:t>
      </w:r>
      <w:r>
        <w:rPr>
          <w:rFonts w:cs="Times New Roman"/>
          <w:spacing w:val="-6"/>
          <w:sz w:val="18"/>
          <w:szCs w:val="18"/>
          <w:lang w:val="es-ES_tradnl"/>
        </w:rPr>
        <w:t>ó</w:t>
      </w:r>
      <w:r>
        <w:rPr>
          <w:spacing w:val="-6"/>
          <w:sz w:val="18"/>
          <w:szCs w:val="18"/>
          <w:lang w:val="es-ES_tradnl"/>
        </w:rPr>
        <w:t xml:space="preserve">n </w:t>
      </w:r>
      <w:r>
        <w:rPr>
          <w:spacing w:val="-4"/>
          <w:sz w:val="18"/>
          <w:szCs w:val="18"/>
          <w:lang w:val="es-ES_tradnl"/>
        </w:rPr>
        <w:t>laboral existente entre el se</w:t>
      </w:r>
      <w:r>
        <w:rPr>
          <w:rFonts w:cs="Times New Roman"/>
          <w:spacing w:val="-4"/>
          <w:sz w:val="18"/>
          <w:szCs w:val="18"/>
          <w:lang w:val="es-ES_tradnl"/>
        </w:rPr>
        <w:t>ñ</w:t>
      </w:r>
      <w:r>
        <w:rPr>
          <w:spacing w:val="-4"/>
          <w:sz w:val="18"/>
          <w:szCs w:val="18"/>
          <w:lang w:val="es-ES_tradnl"/>
        </w:rPr>
        <w:t xml:space="preserve">or Miguel Antonio Yaure </w:t>
      </w:r>
      <w:r>
        <w:rPr>
          <w:spacing w:val="-6"/>
          <w:sz w:val="18"/>
          <w:szCs w:val="18"/>
          <w:lang w:val="es-ES_tradnl"/>
        </w:rPr>
        <w:t>Riofrio y los accionantes, y a partir de esta determinaci</w:t>
      </w:r>
      <w:r>
        <w:rPr>
          <w:rFonts w:cs="Times New Roman"/>
          <w:spacing w:val="-6"/>
          <w:sz w:val="18"/>
          <w:szCs w:val="18"/>
          <w:lang w:val="es-ES_tradnl"/>
        </w:rPr>
        <w:t>ó</w:t>
      </w:r>
      <w:r>
        <w:rPr>
          <w:spacing w:val="-6"/>
          <w:sz w:val="18"/>
          <w:szCs w:val="18"/>
          <w:lang w:val="es-ES_tradnl"/>
        </w:rPr>
        <w:t xml:space="preserve">n </w:t>
      </w:r>
      <w:r>
        <w:rPr>
          <w:spacing w:val="-7"/>
          <w:sz w:val="18"/>
          <w:szCs w:val="18"/>
          <w:lang w:val="es-ES_tradnl"/>
        </w:rPr>
        <w:t>establecieron el derecho del se</w:t>
      </w:r>
      <w:r>
        <w:rPr>
          <w:rFonts w:cs="Times New Roman"/>
          <w:spacing w:val="-7"/>
          <w:sz w:val="18"/>
          <w:szCs w:val="18"/>
          <w:lang w:val="es-ES_tradnl"/>
        </w:rPr>
        <w:t>ñ</w:t>
      </w:r>
      <w:r>
        <w:rPr>
          <w:spacing w:val="-7"/>
          <w:sz w:val="18"/>
          <w:szCs w:val="18"/>
          <w:lang w:val="es-ES_tradnl"/>
        </w:rPr>
        <w:t xml:space="preserve">or Miguel Yaure a percibir </w:t>
      </w:r>
      <w:r>
        <w:rPr>
          <w:spacing w:val="-5"/>
          <w:sz w:val="18"/>
          <w:szCs w:val="18"/>
          <w:lang w:val="es-ES_tradnl"/>
        </w:rPr>
        <w:t>la indemnizaci</w:t>
      </w:r>
      <w:r>
        <w:rPr>
          <w:rFonts w:cs="Times New Roman"/>
          <w:spacing w:val="-5"/>
          <w:sz w:val="18"/>
          <w:szCs w:val="18"/>
          <w:lang w:val="es-ES_tradnl"/>
        </w:rPr>
        <w:t>ó</w:t>
      </w:r>
      <w:r>
        <w:rPr>
          <w:spacing w:val="-5"/>
          <w:sz w:val="18"/>
          <w:szCs w:val="18"/>
          <w:lang w:val="es-ES_tradnl"/>
        </w:rPr>
        <w:t>n que conforme al C</w:t>
      </w:r>
      <w:r>
        <w:rPr>
          <w:rFonts w:cs="Times New Roman"/>
          <w:spacing w:val="-5"/>
          <w:sz w:val="18"/>
          <w:szCs w:val="18"/>
          <w:lang w:val="es-ES_tradnl"/>
        </w:rPr>
        <w:t>ó</w:t>
      </w:r>
      <w:r>
        <w:rPr>
          <w:spacing w:val="-5"/>
          <w:sz w:val="18"/>
          <w:szCs w:val="18"/>
          <w:lang w:val="es-ES_tradnl"/>
        </w:rPr>
        <w:t xml:space="preserve">digo del Trabajo le </w:t>
      </w:r>
      <w:r>
        <w:rPr>
          <w:spacing w:val="-8"/>
          <w:sz w:val="18"/>
          <w:szCs w:val="18"/>
          <w:lang w:val="es-ES_tradnl"/>
        </w:rPr>
        <w:t xml:space="preserve">corresponde; en este sentido, es evidente que al haberse </w:t>
      </w:r>
      <w:r>
        <w:rPr>
          <w:spacing w:val="-7"/>
          <w:sz w:val="18"/>
          <w:szCs w:val="18"/>
          <w:lang w:val="es-ES_tradnl"/>
        </w:rPr>
        <w:t>determinado la relaci</w:t>
      </w:r>
      <w:r>
        <w:rPr>
          <w:rFonts w:cs="Times New Roman"/>
          <w:spacing w:val="-7"/>
          <w:sz w:val="18"/>
          <w:szCs w:val="18"/>
          <w:lang w:val="es-ES_tradnl"/>
        </w:rPr>
        <w:t>ó</w:t>
      </w:r>
      <w:r>
        <w:rPr>
          <w:spacing w:val="-7"/>
          <w:sz w:val="18"/>
          <w:szCs w:val="18"/>
          <w:lang w:val="es-ES_tradnl"/>
        </w:rPr>
        <w:t xml:space="preserve">n laboral existente (premisa), lo que </w:t>
      </w:r>
      <w:r>
        <w:rPr>
          <w:spacing w:val="-6"/>
          <w:sz w:val="18"/>
          <w:szCs w:val="18"/>
          <w:lang w:val="es-ES_tradnl"/>
        </w:rPr>
        <w:t>correspond</w:t>
      </w:r>
      <w:r>
        <w:rPr>
          <w:rFonts w:cs="Times New Roman"/>
          <w:spacing w:val="-6"/>
          <w:sz w:val="18"/>
          <w:szCs w:val="18"/>
          <w:lang w:val="es-ES_tradnl"/>
        </w:rPr>
        <w:t>í</w:t>
      </w:r>
      <w:r>
        <w:rPr>
          <w:spacing w:val="-6"/>
          <w:sz w:val="18"/>
          <w:szCs w:val="18"/>
          <w:lang w:val="es-ES_tradnl"/>
        </w:rPr>
        <w:t>a conforme lo determina la legislaci</w:t>
      </w:r>
      <w:r>
        <w:rPr>
          <w:rFonts w:cs="Times New Roman"/>
          <w:spacing w:val="-6"/>
          <w:sz w:val="18"/>
          <w:szCs w:val="18"/>
          <w:lang w:val="es-ES_tradnl"/>
        </w:rPr>
        <w:t>ó</w:t>
      </w:r>
      <w:r>
        <w:rPr>
          <w:spacing w:val="-6"/>
          <w:sz w:val="18"/>
          <w:szCs w:val="18"/>
          <w:lang w:val="es-ES_tradnl"/>
        </w:rPr>
        <w:t xml:space="preserve">n laboral </w:t>
      </w:r>
      <w:r>
        <w:rPr>
          <w:spacing w:val="-8"/>
          <w:sz w:val="18"/>
          <w:szCs w:val="18"/>
          <w:lang w:val="es-ES_tradnl"/>
        </w:rPr>
        <w:t>es el pago de los haberes no percibidos (conclusi</w:t>
      </w:r>
      <w:r>
        <w:rPr>
          <w:rFonts w:cs="Times New Roman"/>
          <w:spacing w:val="-8"/>
          <w:sz w:val="18"/>
          <w:szCs w:val="18"/>
          <w:lang w:val="es-ES_tradnl"/>
        </w:rPr>
        <w:t>ó</w:t>
      </w:r>
      <w:r>
        <w:rPr>
          <w:spacing w:val="-8"/>
          <w:sz w:val="18"/>
          <w:szCs w:val="18"/>
          <w:lang w:val="es-ES_tradnl"/>
        </w:rPr>
        <w:t>n).</w:t>
      </w:r>
    </w:p>
    <w:p w14:paraId="4F67B339" w14:textId="77777777" w:rsidR="00591D54" w:rsidRDefault="00591D54">
      <w:pPr>
        <w:shd w:val="clear" w:color="auto" w:fill="FFFFFF"/>
        <w:spacing w:before="192" w:line="216" w:lineRule="exact"/>
        <w:ind w:right="5"/>
        <w:jc w:val="both"/>
      </w:pPr>
      <w:r>
        <w:rPr>
          <w:spacing w:val="-5"/>
          <w:sz w:val="18"/>
          <w:szCs w:val="18"/>
          <w:lang w:val="es-ES_tradnl"/>
        </w:rPr>
        <w:t>En este punto es preciso se</w:t>
      </w:r>
      <w:r>
        <w:rPr>
          <w:rFonts w:cs="Times New Roman"/>
          <w:spacing w:val="-5"/>
          <w:sz w:val="18"/>
          <w:szCs w:val="18"/>
          <w:lang w:val="es-ES_tradnl"/>
        </w:rPr>
        <w:t>ñ</w:t>
      </w:r>
      <w:r>
        <w:rPr>
          <w:spacing w:val="-5"/>
          <w:sz w:val="18"/>
          <w:szCs w:val="18"/>
          <w:lang w:val="es-ES_tradnl"/>
        </w:rPr>
        <w:t xml:space="preserve">alar que dentro de las </w:t>
      </w:r>
      <w:r>
        <w:rPr>
          <w:spacing w:val="-10"/>
          <w:sz w:val="18"/>
          <w:szCs w:val="18"/>
          <w:lang w:val="es-ES_tradnl"/>
        </w:rPr>
        <w:t xml:space="preserve">pretensiones, los accionantes manifiestan que los jueces de </w:t>
      </w:r>
      <w:r>
        <w:rPr>
          <w:spacing w:val="-9"/>
          <w:sz w:val="18"/>
          <w:szCs w:val="18"/>
          <w:lang w:val="es-ES_tradnl"/>
        </w:rPr>
        <w:t xml:space="preserve">la Sala parten de hechos falsos, ya que no han apreciado la </w:t>
      </w:r>
      <w:r>
        <w:rPr>
          <w:spacing w:val="-10"/>
          <w:sz w:val="18"/>
          <w:szCs w:val="18"/>
          <w:lang w:val="es-ES_tradnl"/>
        </w:rPr>
        <w:t>prueba al tenor del art</w:t>
      </w:r>
      <w:r>
        <w:rPr>
          <w:rFonts w:cs="Times New Roman"/>
          <w:spacing w:val="-10"/>
          <w:sz w:val="18"/>
          <w:szCs w:val="18"/>
          <w:lang w:val="es-ES_tradnl"/>
        </w:rPr>
        <w:t>í</w:t>
      </w:r>
      <w:r>
        <w:rPr>
          <w:spacing w:val="-10"/>
          <w:sz w:val="18"/>
          <w:szCs w:val="18"/>
          <w:lang w:val="es-ES_tradnl"/>
        </w:rPr>
        <w:t>culo 115 del C</w:t>
      </w:r>
      <w:r>
        <w:rPr>
          <w:rFonts w:cs="Times New Roman"/>
          <w:spacing w:val="-10"/>
          <w:sz w:val="18"/>
          <w:szCs w:val="18"/>
          <w:lang w:val="es-ES_tradnl"/>
        </w:rPr>
        <w:t>ó</w:t>
      </w:r>
      <w:r>
        <w:rPr>
          <w:spacing w:val="-10"/>
          <w:sz w:val="18"/>
          <w:szCs w:val="18"/>
          <w:lang w:val="es-ES_tradnl"/>
        </w:rPr>
        <w:t xml:space="preserve">digo de Procedimiento </w:t>
      </w:r>
      <w:r>
        <w:rPr>
          <w:spacing w:val="-6"/>
          <w:sz w:val="18"/>
          <w:szCs w:val="18"/>
          <w:lang w:val="es-ES_tradnl"/>
        </w:rPr>
        <w:t xml:space="preserve">Civil y que el apoyo probatorio permite establecer que no </w:t>
      </w:r>
      <w:r>
        <w:rPr>
          <w:spacing w:val="-5"/>
          <w:sz w:val="18"/>
          <w:szCs w:val="18"/>
          <w:lang w:val="es-ES_tradnl"/>
        </w:rPr>
        <w:t>existi</w:t>
      </w:r>
      <w:r>
        <w:rPr>
          <w:rFonts w:cs="Times New Roman"/>
          <w:spacing w:val="-5"/>
          <w:sz w:val="18"/>
          <w:szCs w:val="18"/>
          <w:lang w:val="es-ES_tradnl"/>
        </w:rPr>
        <w:t>ó</w:t>
      </w:r>
      <w:r>
        <w:rPr>
          <w:spacing w:val="-5"/>
          <w:sz w:val="18"/>
          <w:szCs w:val="18"/>
          <w:lang w:val="es-ES_tradnl"/>
        </w:rPr>
        <w:t xml:space="preserve"> relaci</w:t>
      </w:r>
      <w:r>
        <w:rPr>
          <w:rFonts w:cs="Times New Roman"/>
          <w:spacing w:val="-5"/>
          <w:sz w:val="18"/>
          <w:szCs w:val="18"/>
          <w:lang w:val="es-ES_tradnl"/>
        </w:rPr>
        <w:t>ó</w:t>
      </w:r>
      <w:r>
        <w:rPr>
          <w:spacing w:val="-5"/>
          <w:sz w:val="18"/>
          <w:szCs w:val="18"/>
          <w:lang w:val="es-ES_tradnl"/>
        </w:rPr>
        <w:t>n laboral entre el se</w:t>
      </w:r>
      <w:r>
        <w:rPr>
          <w:rFonts w:cs="Times New Roman"/>
          <w:spacing w:val="-5"/>
          <w:sz w:val="18"/>
          <w:szCs w:val="18"/>
          <w:lang w:val="es-ES_tradnl"/>
        </w:rPr>
        <w:t>ñ</w:t>
      </w:r>
      <w:r>
        <w:rPr>
          <w:spacing w:val="-5"/>
          <w:sz w:val="18"/>
          <w:szCs w:val="18"/>
          <w:lang w:val="es-ES_tradnl"/>
        </w:rPr>
        <w:t xml:space="preserve">or Miguel Yaure y los </w:t>
      </w:r>
      <w:r>
        <w:rPr>
          <w:spacing w:val="-6"/>
          <w:sz w:val="18"/>
          <w:szCs w:val="18"/>
          <w:lang w:val="es-ES_tradnl"/>
        </w:rPr>
        <w:t xml:space="preserve">accionantes, por lo que solicitan a la Corte Constitucional </w:t>
      </w:r>
      <w:r>
        <w:rPr>
          <w:spacing w:val="-8"/>
          <w:sz w:val="18"/>
          <w:szCs w:val="18"/>
          <w:lang w:val="es-ES_tradnl"/>
        </w:rPr>
        <w:t xml:space="preserve">que se deje sin efecto la sentencia del 05 de diciembre de </w:t>
      </w:r>
      <w:r>
        <w:rPr>
          <w:spacing w:val="-7"/>
          <w:sz w:val="18"/>
          <w:szCs w:val="18"/>
          <w:lang w:val="es-ES_tradnl"/>
        </w:rPr>
        <w:t xml:space="preserve">2013, emitida por los jueces de la Sala de lo Laboral de la </w:t>
      </w:r>
      <w:r>
        <w:rPr>
          <w:sz w:val="18"/>
          <w:szCs w:val="18"/>
          <w:lang w:val="es-ES_tradnl"/>
        </w:rPr>
        <w:t>Corte Nacional de Justicia.</w:t>
      </w:r>
    </w:p>
    <w:p w14:paraId="4F67B33A" w14:textId="77777777" w:rsidR="00591D54" w:rsidRDefault="00591D54">
      <w:pPr>
        <w:shd w:val="clear" w:color="auto" w:fill="FFFFFF"/>
        <w:spacing w:before="192" w:line="211" w:lineRule="exact"/>
        <w:jc w:val="both"/>
      </w:pPr>
      <w:r>
        <w:rPr>
          <w:spacing w:val="-10"/>
          <w:sz w:val="18"/>
          <w:szCs w:val="18"/>
          <w:lang w:val="es-ES_tradnl"/>
        </w:rPr>
        <w:t xml:space="preserve">Cabe destacar lo que la Corte Constitucional del Ecuador ha </w:t>
      </w:r>
      <w:r>
        <w:rPr>
          <w:spacing w:val="-11"/>
          <w:sz w:val="18"/>
          <w:szCs w:val="18"/>
          <w:lang w:val="es-ES_tradnl"/>
        </w:rPr>
        <w:t>se</w:t>
      </w:r>
      <w:r>
        <w:rPr>
          <w:rFonts w:cs="Times New Roman"/>
          <w:spacing w:val="-11"/>
          <w:sz w:val="18"/>
          <w:szCs w:val="18"/>
          <w:lang w:val="es-ES_tradnl"/>
        </w:rPr>
        <w:t>ñ</w:t>
      </w:r>
      <w:r>
        <w:rPr>
          <w:spacing w:val="-11"/>
          <w:sz w:val="18"/>
          <w:szCs w:val="18"/>
          <w:lang w:val="es-ES_tradnl"/>
        </w:rPr>
        <w:t>alado respecto de la valoraci</w:t>
      </w:r>
      <w:r>
        <w:rPr>
          <w:rFonts w:cs="Times New Roman"/>
          <w:spacing w:val="-11"/>
          <w:sz w:val="18"/>
          <w:szCs w:val="18"/>
          <w:lang w:val="es-ES_tradnl"/>
        </w:rPr>
        <w:t>ó</w:t>
      </w:r>
      <w:r>
        <w:rPr>
          <w:spacing w:val="-11"/>
          <w:sz w:val="18"/>
          <w:szCs w:val="18"/>
          <w:lang w:val="es-ES_tradnl"/>
        </w:rPr>
        <w:t>n de la prueba en casaci</w:t>
      </w:r>
      <w:r>
        <w:rPr>
          <w:rFonts w:cs="Times New Roman"/>
          <w:spacing w:val="-11"/>
          <w:sz w:val="18"/>
          <w:szCs w:val="18"/>
          <w:lang w:val="es-ES_tradnl"/>
        </w:rPr>
        <w:t>ó</w:t>
      </w:r>
      <w:r>
        <w:rPr>
          <w:spacing w:val="-11"/>
          <w:sz w:val="18"/>
          <w:szCs w:val="18"/>
          <w:lang w:val="es-ES_tradnl"/>
        </w:rPr>
        <w:t>n, esta enf</w:t>
      </w:r>
      <w:r>
        <w:rPr>
          <w:rFonts w:cs="Times New Roman"/>
          <w:spacing w:val="-11"/>
          <w:sz w:val="18"/>
          <w:szCs w:val="18"/>
          <w:lang w:val="es-ES_tradnl"/>
        </w:rPr>
        <w:t>á</w:t>
      </w:r>
      <w:r>
        <w:rPr>
          <w:spacing w:val="-11"/>
          <w:sz w:val="18"/>
          <w:szCs w:val="18"/>
          <w:lang w:val="es-ES_tradnl"/>
        </w:rPr>
        <w:t>ticamente ha se</w:t>
      </w:r>
      <w:r>
        <w:rPr>
          <w:rFonts w:cs="Times New Roman"/>
          <w:spacing w:val="-11"/>
          <w:sz w:val="18"/>
          <w:szCs w:val="18"/>
          <w:lang w:val="es-ES_tradnl"/>
        </w:rPr>
        <w:t>ñ</w:t>
      </w:r>
      <w:r>
        <w:rPr>
          <w:spacing w:val="-11"/>
          <w:sz w:val="18"/>
          <w:szCs w:val="18"/>
          <w:lang w:val="es-ES_tradnl"/>
        </w:rPr>
        <w:t xml:space="preserve">alado: </w:t>
      </w:r>
      <w:r>
        <w:rPr>
          <w:rFonts w:cs="Times New Roman"/>
          <w:spacing w:val="-11"/>
          <w:sz w:val="18"/>
          <w:szCs w:val="18"/>
          <w:lang w:val="es-ES_tradnl"/>
        </w:rPr>
        <w:t>“</w:t>
      </w:r>
      <w:r>
        <w:rPr>
          <w:spacing w:val="-11"/>
          <w:sz w:val="18"/>
          <w:szCs w:val="18"/>
          <w:lang w:val="es-ES_tradnl"/>
        </w:rPr>
        <w:t>(</w:t>
      </w:r>
      <w:r>
        <w:rPr>
          <w:rFonts w:cs="Times New Roman"/>
          <w:spacing w:val="-11"/>
          <w:sz w:val="18"/>
          <w:szCs w:val="18"/>
          <w:lang w:val="es-ES_tradnl"/>
        </w:rPr>
        <w:t>…</w:t>
      </w:r>
      <w:r>
        <w:rPr>
          <w:spacing w:val="-11"/>
          <w:sz w:val="18"/>
          <w:szCs w:val="18"/>
          <w:lang w:val="es-ES_tradnl"/>
        </w:rPr>
        <w:t>) los jueces de casaci</w:t>
      </w:r>
      <w:r>
        <w:rPr>
          <w:rFonts w:cs="Times New Roman"/>
          <w:spacing w:val="-11"/>
          <w:sz w:val="18"/>
          <w:szCs w:val="18"/>
          <w:lang w:val="es-ES_tradnl"/>
        </w:rPr>
        <w:t>ó</w:t>
      </w:r>
      <w:r>
        <w:rPr>
          <w:spacing w:val="-11"/>
          <w:sz w:val="18"/>
          <w:szCs w:val="18"/>
          <w:lang w:val="es-ES_tradnl"/>
        </w:rPr>
        <w:t xml:space="preserve">n </w:t>
      </w:r>
      <w:r>
        <w:rPr>
          <w:rFonts w:cs="Times New Roman"/>
          <w:spacing w:val="-5"/>
          <w:sz w:val="18"/>
          <w:szCs w:val="18"/>
          <w:lang w:val="es-ES_tradnl"/>
        </w:rPr>
        <w:t>ú</w:t>
      </w:r>
      <w:r>
        <w:rPr>
          <w:spacing w:val="-5"/>
          <w:sz w:val="18"/>
          <w:szCs w:val="18"/>
          <w:lang w:val="es-ES_tradnl"/>
        </w:rPr>
        <w:t>nicamente pod</w:t>
      </w:r>
      <w:r>
        <w:rPr>
          <w:rFonts w:cs="Times New Roman"/>
          <w:spacing w:val="-5"/>
          <w:sz w:val="18"/>
          <w:szCs w:val="18"/>
          <w:lang w:val="es-ES_tradnl"/>
        </w:rPr>
        <w:t>í</w:t>
      </w:r>
      <w:r>
        <w:rPr>
          <w:spacing w:val="-5"/>
          <w:sz w:val="18"/>
          <w:szCs w:val="18"/>
          <w:lang w:val="es-ES_tradnl"/>
        </w:rPr>
        <w:t>an valorar la contravenci</w:t>
      </w:r>
      <w:r>
        <w:rPr>
          <w:rFonts w:cs="Times New Roman"/>
          <w:spacing w:val="-5"/>
          <w:sz w:val="18"/>
          <w:szCs w:val="18"/>
          <w:lang w:val="es-ES_tradnl"/>
        </w:rPr>
        <w:t>ó</w:t>
      </w:r>
      <w:r>
        <w:rPr>
          <w:spacing w:val="-5"/>
          <w:sz w:val="18"/>
          <w:szCs w:val="18"/>
          <w:lang w:val="es-ES_tradnl"/>
        </w:rPr>
        <w:t xml:space="preserve">n de la ley, </w:t>
      </w:r>
      <w:r>
        <w:rPr>
          <w:spacing w:val="-6"/>
          <w:sz w:val="18"/>
          <w:szCs w:val="18"/>
          <w:lang w:val="es-ES_tradnl"/>
        </w:rPr>
        <w:t>indebida aplicaci</w:t>
      </w:r>
      <w:r>
        <w:rPr>
          <w:rFonts w:cs="Times New Roman"/>
          <w:spacing w:val="-6"/>
          <w:sz w:val="18"/>
          <w:szCs w:val="18"/>
          <w:lang w:val="es-ES_tradnl"/>
        </w:rPr>
        <w:t>ó</w:t>
      </w:r>
      <w:r>
        <w:rPr>
          <w:spacing w:val="-6"/>
          <w:sz w:val="18"/>
          <w:szCs w:val="18"/>
          <w:lang w:val="es-ES_tradnl"/>
        </w:rPr>
        <w:t>n o err</w:t>
      </w:r>
      <w:r>
        <w:rPr>
          <w:rFonts w:cs="Times New Roman"/>
          <w:spacing w:val="-6"/>
          <w:sz w:val="18"/>
          <w:szCs w:val="18"/>
          <w:lang w:val="es-ES_tradnl"/>
        </w:rPr>
        <w:t>ó</w:t>
      </w:r>
      <w:r>
        <w:rPr>
          <w:spacing w:val="-6"/>
          <w:sz w:val="18"/>
          <w:szCs w:val="18"/>
          <w:lang w:val="es-ES_tradnl"/>
        </w:rPr>
        <w:t>nea interpretaci</w:t>
      </w:r>
      <w:r>
        <w:rPr>
          <w:rFonts w:cs="Times New Roman"/>
          <w:spacing w:val="-6"/>
          <w:sz w:val="18"/>
          <w:szCs w:val="18"/>
          <w:lang w:val="es-ES_tradnl"/>
        </w:rPr>
        <w:t>ó</w:t>
      </w:r>
      <w:r>
        <w:rPr>
          <w:spacing w:val="-6"/>
          <w:sz w:val="18"/>
          <w:szCs w:val="18"/>
          <w:lang w:val="es-ES_tradnl"/>
        </w:rPr>
        <w:t xml:space="preserve">n de la misma </w:t>
      </w:r>
      <w:r>
        <w:rPr>
          <w:spacing w:val="-10"/>
          <w:sz w:val="18"/>
          <w:szCs w:val="18"/>
          <w:lang w:val="es-ES_tradnl"/>
        </w:rPr>
        <w:t>para la valoraci</w:t>
      </w:r>
      <w:r>
        <w:rPr>
          <w:rFonts w:cs="Times New Roman"/>
          <w:spacing w:val="-10"/>
          <w:sz w:val="18"/>
          <w:szCs w:val="18"/>
          <w:lang w:val="es-ES_tradnl"/>
        </w:rPr>
        <w:t>ó</w:t>
      </w:r>
      <w:r>
        <w:rPr>
          <w:spacing w:val="-10"/>
          <w:sz w:val="18"/>
          <w:szCs w:val="18"/>
          <w:lang w:val="es-ES_tradnl"/>
        </w:rPr>
        <w:t>n de la prueba, m</w:t>
      </w:r>
      <w:r>
        <w:rPr>
          <w:rFonts w:cs="Times New Roman"/>
          <w:spacing w:val="-10"/>
          <w:sz w:val="18"/>
          <w:szCs w:val="18"/>
          <w:lang w:val="es-ES_tradnl"/>
        </w:rPr>
        <w:t>á</w:t>
      </w:r>
      <w:r>
        <w:rPr>
          <w:spacing w:val="-10"/>
          <w:sz w:val="18"/>
          <w:szCs w:val="18"/>
          <w:lang w:val="es-ES_tradnl"/>
        </w:rPr>
        <w:t xml:space="preserve">s no valorar la prueba en </w:t>
      </w:r>
      <w:r>
        <w:rPr>
          <w:spacing w:val="-9"/>
          <w:sz w:val="18"/>
          <w:szCs w:val="18"/>
          <w:lang w:val="es-ES_tradnl"/>
        </w:rPr>
        <w:t>s</w:t>
      </w:r>
      <w:r>
        <w:rPr>
          <w:rFonts w:cs="Times New Roman"/>
          <w:spacing w:val="-9"/>
          <w:sz w:val="18"/>
          <w:szCs w:val="18"/>
          <w:lang w:val="es-ES_tradnl"/>
        </w:rPr>
        <w:t>í</w:t>
      </w:r>
      <w:r>
        <w:rPr>
          <w:spacing w:val="-9"/>
          <w:sz w:val="18"/>
          <w:szCs w:val="18"/>
          <w:lang w:val="es-ES_tradnl"/>
        </w:rPr>
        <w:t>, como en el presente caso sucede (</w:t>
      </w:r>
      <w:r>
        <w:rPr>
          <w:rFonts w:cs="Times New Roman"/>
          <w:spacing w:val="-9"/>
          <w:sz w:val="18"/>
          <w:szCs w:val="18"/>
          <w:lang w:val="es-ES_tradnl"/>
        </w:rPr>
        <w:t>…</w:t>
      </w:r>
      <w:r>
        <w:rPr>
          <w:spacing w:val="-9"/>
          <w:sz w:val="18"/>
          <w:szCs w:val="18"/>
          <w:lang w:val="es-ES_tradnl"/>
        </w:rPr>
        <w:t>)</w:t>
      </w:r>
      <w:r>
        <w:rPr>
          <w:rFonts w:cs="Times New Roman"/>
          <w:spacing w:val="-9"/>
          <w:sz w:val="18"/>
          <w:szCs w:val="18"/>
          <w:lang w:val="es-ES_tradnl"/>
        </w:rPr>
        <w:t>”</w:t>
      </w:r>
      <w:r>
        <w:rPr>
          <w:i/>
          <w:iCs/>
          <w:spacing w:val="-9"/>
          <w:sz w:val="18"/>
          <w:szCs w:val="18"/>
          <w:vertAlign w:val="superscript"/>
          <w:lang w:val="es-ES_tradnl"/>
        </w:rPr>
        <w:t>3</w:t>
      </w:r>
      <w:r>
        <w:rPr>
          <w:i/>
          <w:iCs/>
          <w:spacing w:val="-9"/>
          <w:sz w:val="18"/>
          <w:szCs w:val="18"/>
          <w:lang w:val="es-ES_tradnl"/>
        </w:rPr>
        <w:t>.</w:t>
      </w:r>
    </w:p>
    <w:p w14:paraId="4F67B33B" w14:textId="77777777" w:rsidR="00591D54" w:rsidRDefault="00591D54">
      <w:pPr>
        <w:shd w:val="clear" w:color="auto" w:fill="FFFFFF"/>
        <w:spacing w:before="192" w:line="216" w:lineRule="exact"/>
        <w:ind w:right="5"/>
        <w:jc w:val="both"/>
      </w:pPr>
      <w:r>
        <w:rPr>
          <w:spacing w:val="-2"/>
          <w:sz w:val="18"/>
          <w:szCs w:val="18"/>
          <w:lang w:val="es-ES_tradnl"/>
        </w:rPr>
        <w:t>Frente a esta pretensi</w:t>
      </w:r>
      <w:r>
        <w:rPr>
          <w:rFonts w:cs="Times New Roman"/>
          <w:spacing w:val="-2"/>
          <w:sz w:val="18"/>
          <w:szCs w:val="18"/>
          <w:lang w:val="es-ES_tradnl"/>
        </w:rPr>
        <w:t>ó</w:t>
      </w:r>
      <w:r>
        <w:rPr>
          <w:spacing w:val="-2"/>
          <w:sz w:val="18"/>
          <w:szCs w:val="18"/>
          <w:lang w:val="es-ES_tradnl"/>
        </w:rPr>
        <w:t xml:space="preserve">n resulta evidente que lo que buscan los accionantes es que la Corte Constitucional </w:t>
      </w:r>
      <w:r>
        <w:rPr>
          <w:spacing w:val="-3"/>
          <w:sz w:val="18"/>
          <w:szCs w:val="18"/>
          <w:lang w:val="es-ES_tradnl"/>
        </w:rPr>
        <w:t xml:space="preserve">se pronuncie como un </w:t>
      </w:r>
      <w:r>
        <w:rPr>
          <w:rFonts w:cs="Times New Roman"/>
          <w:spacing w:val="-3"/>
          <w:sz w:val="18"/>
          <w:szCs w:val="18"/>
          <w:lang w:val="es-ES_tradnl"/>
        </w:rPr>
        <w:t>ó</w:t>
      </w:r>
      <w:r>
        <w:rPr>
          <w:spacing w:val="-3"/>
          <w:sz w:val="18"/>
          <w:szCs w:val="18"/>
          <w:lang w:val="es-ES_tradnl"/>
        </w:rPr>
        <w:t>rgano de instancia de la justicia</w:t>
      </w:r>
    </w:p>
    <w:p w14:paraId="4F67B33C" w14:textId="77777777" w:rsidR="00591D54" w:rsidRDefault="00591D54">
      <w:pPr>
        <w:shd w:val="clear" w:color="auto" w:fill="FFFFFF"/>
        <w:spacing w:before="514" w:line="178" w:lineRule="exact"/>
        <w:ind w:left="139" w:hanging="139"/>
      </w:pPr>
      <w:r>
        <w:rPr>
          <w:sz w:val="14"/>
          <w:szCs w:val="14"/>
          <w:vertAlign w:val="superscript"/>
          <w:lang w:val="es-ES_tradnl"/>
        </w:rPr>
        <w:t>3</w:t>
      </w:r>
      <w:r>
        <w:rPr>
          <w:sz w:val="14"/>
          <w:szCs w:val="14"/>
          <w:lang w:val="es-ES_tradnl"/>
        </w:rPr>
        <w:t xml:space="preserve">  Corte Constitucional del Ecuador, sentencia N.</w:t>
      </w:r>
      <w:r>
        <w:rPr>
          <w:rFonts w:cs="Times New Roman"/>
          <w:sz w:val="14"/>
          <w:szCs w:val="14"/>
          <w:lang w:val="es-ES_tradnl"/>
        </w:rPr>
        <w:t>º</w:t>
      </w:r>
      <w:r>
        <w:rPr>
          <w:sz w:val="14"/>
          <w:szCs w:val="14"/>
          <w:lang w:val="es-ES_tradnl"/>
        </w:rPr>
        <w:t xml:space="preserve"> 0001-13-SEP-CC; caso N.</w:t>
      </w:r>
      <w:r>
        <w:rPr>
          <w:rFonts w:cs="Times New Roman"/>
          <w:sz w:val="14"/>
          <w:szCs w:val="14"/>
          <w:lang w:val="es-ES_tradnl"/>
        </w:rPr>
        <w:t>º</w:t>
      </w:r>
      <w:r>
        <w:rPr>
          <w:sz w:val="14"/>
          <w:szCs w:val="14"/>
          <w:lang w:val="es-ES_tradnl"/>
        </w:rPr>
        <w:t xml:space="preserve"> 1647-11-EP.</w:t>
      </w:r>
    </w:p>
    <w:p w14:paraId="4F67B33D" w14:textId="77777777" w:rsidR="00591D54" w:rsidRDefault="00591D54">
      <w:pPr>
        <w:shd w:val="clear" w:color="auto" w:fill="FFFFFF"/>
        <w:spacing w:before="5" w:line="216" w:lineRule="exact"/>
        <w:jc w:val="both"/>
      </w:pPr>
      <w:r>
        <w:br w:type="column"/>
      </w:r>
      <w:r>
        <w:rPr>
          <w:spacing w:val="-7"/>
          <w:sz w:val="18"/>
          <w:szCs w:val="18"/>
          <w:lang w:val="es-ES_tradnl"/>
        </w:rPr>
        <w:t>ordinara realizando un control de legalidad de la sentencia de casaci</w:t>
      </w:r>
      <w:r>
        <w:rPr>
          <w:rFonts w:cs="Times New Roman"/>
          <w:spacing w:val="-7"/>
          <w:sz w:val="18"/>
          <w:szCs w:val="18"/>
          <w:lang w:val="es-ES_tradnl"/>
        </w:rPr>
        <w:t>ó</w:t>
      </w:r>
      <w:r>
        <w:rPr>
          <w:spacing w:val="-7"/>
          <w:sz w:val="18"/>
          <w:szCs w:val="18"/>
          <w:lang w:val="es-ES_tradnl"/>
        </w:rPr>
        <w:t>n y realice una nueva revisi</w:t>
      </w:r>
      <w:r>
        <w:rPr>
          <w:rFonts w:cs="Times New Roman"/>
          <w:spacing w:val="-7"/>
          <w:sz w:val="18"/>
          <w:szCs w:val="18"/>
          <w:lang w:val="es-ES_tradnl"/>
        </w:rPr>
        <w:t>ó</w:t>
      </w:r>
      <w:r>
        <w:rPr>
          <w:spacing w:val="-7"/>
          <w:sz w:val="18"/>
          <w:szCs w:val="18"/>
          <w:lang w:val="es-ES_tradnl"/>
        </w:rPr>
        <w:t xml:space="preserve">n de las pruebas practicadas en el proceso laboral, ante lo cual es preciso </w:t>
      </w:r>
      <w:r>
        <w:rPr>
          <w:spacing w:val="-10"/>
          <w:sz w:val="18"/>
          <w:szCs w:val="18"/>
          <w:lang w:val="es-ES_tradnl"/>
        </w:rPr>
        <w:t xml:space="preserve">puntualizar que este tipo de pretensiones, escapa del </w:t>
      </w:r>
      <w:r>
        <w:rPr>
          <w:rFonts w:cs="Times New Roman"/>
          <w:spacing w:val="-10"/>
          <w:sz w:val="18"/>
          <w:szCs w:val="18"/>
          <w:lang w:val="es-ES_tradnl"/>
        </w:rPr>
        <w:t>á</w:t>
      </w:r>
      <w:r>
        <w:rPr>
          <w:spacing w:val="-10"/>
          <w:sz w:val="18"/>
          <w:szCs w:val="18"/>
          <w:lang w:val="es-ES_tradnl"/>
        </w:rPr>
        <w:t xml:space="preserve">mbito </w:t>
      </w:r>
      <w:r>
        <w:rPr>
          <w:spacing w:val="-4"/>
          <w:sz w:val="18"/>
          <w:szCs w:val="18"/>
          <w:lang w:val="es-ES_tradnl"/>
        </w:rPr>
        <w:t>de protecci</w:t>
      </w:r>
      <w:r>
        <w:rPr>
          <w:rFonts w:cs="Times New Roman"/>
          <w:spacing w:val="-4"/>
          <w:sz w:val="18"/>
          <w:szCs w:val="18"/>
          <w:lang w:val="es-ES_tradnl"/>
        </w:rPr>
        <w:t>ó</w:t>
      </w:r>
      <w:r>
        <w:rPr>
          <w:spacing w:val="-4"/>
          <w:sz w:val="18"/>
          <w:szCs w:val="18"/>
          <w:lang w:val="es-ES_tradnl"/>
        </w:rPr>
        <w:t xml:space="preserve">n de la justicia constitucional y de los fines </w:t>
      </w:r>
      <w:r>
        <w:rPr>
          <w:spacing w:val="-8"/>
          <w:sz w:val="18"/>
          <w:szCs w:val="18"/>
          <w:lang w:val="es-ES_tradnl"/>
        </w:rPr>
        <w:t>que persigue la acci</w:t>
      </w:r>
      <w:r>
        <w:rPr>
          <w:rFonts w:cs="Times New Roman"/>
          <w:spacing w:val="-8"/>
          <w:sz w:val="18"/>
          <w:szCs w:val="18"/>
          <w:lang w:val="es-ES_tradnl"/>
        </w:rPr>
        <w:t>ó</w:t>
      </w:r>
      <w:r>
        <w:rPr>
          <w:spacing w:val="-8"/>
          <w:sz w:val="18"/>
          <w:szCs w:val="18"/>
          <w:lang w:val="es-ES_tradnl"/>
        </w:rPr>
        <w:t>n extraordinaria de protecci</w:t>
      </w:r>
      <w:r>
        <w:rPr>
          <w:rFonts w:cs="Times New Roman"/>
          <w:spacing w:val="-8"/>
          <w:sz w:val="18"/>
          <w:szCs w:val="18"/>
          <w:lang w:val="es-ES_tradnl"/>
        </w:rPr>
        <w:t>ó</w:t>
      </w:r>
      <w:r>
        <w:rPr>
          <w:spacing w:val="-8"/>
          <w:sz w:val="18"/>
          <w:szCs w:val="18"/>
          <w:lang w:val="es-ES_tradnl"/>
        </w:rPr>
        <w:t xml:space="preserve">n, misma </w:t>
      </w:r>
      <w:r>
        <w:rPr>
          <w:spacing w:val="-7"/>
          <w:sz w:val="18"/>
          <w:szCs w:val="18"/>
          <w:lang w:val="es-ES_tradnl"/>
        </w:rPr>
        <w:t>que est</w:t>
      </w:r>
      <w:r>
        <w:rPr>
          <w:rFonts w:cs="Times New Roman"/>
          <w:spacing w:val="-7"/>
          <w:sz w:val="18"/>
          <w:szCs w:val="18"/>
          <w:lang w:val="es-ES_tradnl"/>
        </w:rPr>
        <w:t>á</w:t>
      </w:r>
      <w:r>
        <w:rPr>
          <w:spacing w:val="-7"/>
          <w:sz w:val="18"/>
          <w:szCs w:val="18"/>
          <w:lang w:val="es-ES_tradnl"/>
        </w:rPr>
        <w:t xml:space="preserve"> direccionada hacia la protecci</w:t>
      </w:r>
      <w:r>
        <w:rPr>
          <w:rFonts w:cs="Times New Roman"/>
          <w:spacing w:val="-7"/>
          <w:sz w:val="18"/>
          <w:szCs w:val="18"/>
          <w:lang w:val="es-ES_tradnl"/>
        </w:rPr>
        <w:t>ó</w:t>
      </w:r>
      <w:r>
        <w:rPr>
          <w:spacing w:val="-7"/>
          <w:sz w:val="18"/>
          <w:szCs w:val="18"/>
          <w:lang w:val="es-ES_tradnl"/>
        </w:rPr>
        <w:t xml:space="preserve">n de derechos </w:t>
      </w:r>
      <w:r>
        <w:rPr>
          <w:spacing w:val="-10"/>
          <w:sz w:val="18"/>
          <w:szCs w:val="18"/>
          <w:lang w:val="es-ES_tradnl"/>
        </w:rPr>
        <w:t>reconocidos en la Constituci</w:t>
      </w:r>
      <w:r>
        <w:rPr>
          <w:rFonts w:cs="Times New Roman"/>
          <w:spacing w:val="-10"/>
          <w:sz w:val="18"/>
          <w:szCs w:val="18"/>
          <w:lang w:val="es-ES_tradnl"/>
        </w:rPr>
        <w:t>ó</w:t>
      </w:r>
      <w:r>
        <w:rPr>
          <w:spacing w:val="-10"/>
          <w:sz w:val="18"/>
          <w:szCs w:val="18"/>
          <w:lang w:val="es-ES_tradnl"/>
        </w:rPr>
        <w:t>n de la Rep</w:t>
      </w:r>
      <w:r>
        <w:rPr>
          <w:rFonts w:cs="Times New Roman"/>
          <w:spacing w:val="-10"/>
          <w:sz w:val="18"/>
          <w:szCs w:val="18"/>
          <w:lang w:val="es-ES_tradnl"/>
        </w:rPr>
        <w:t>ú</w:t>
      </w:r>
      <w:r>
        <w:rPr>
          <w:spacing w:val="-10"/>
          <w:sz w:val="18"/>
          <w:szCs w:val="18"/>
          <w:lang w:val="es-ES_tradnl"/>
        </w:rPr>
        <w:t xml:space="preserve">blica y las normas </w:t>
      </w:r>
      <w:r>
        <w:rPr>
          <w:sz w:val="18"/>
          <w:szCs w:val="18"/>
          <w:lang w:val="es-ES_tradnl"/>
        </w:rPr>
        <w:t>del debido proceso.</w:t>
      </w:r>
    </w:p>
    <w:p w14:paraId="4F67B33E" w14:textId="77777777" w:rsidR="00591D54" w:rsidRDefault="00591D54">
      <w:pPr>
        <w:shd w:val="clear" w:color="auto" w:fill="FFFFFF"/>
        <w:spacing w:before="197" w:line="221" w:lineRule="exact"/>
        <w:jc w:val="both"/>
      </w:pPr>
      <w:r>
        <w:rPr>
          <w:spacing w:val="-8"/>
          <w:sz w:val="18"/>
          <w:szCs w:val="18"/>
          <w:lang w:val="es-ES_tradnl"/>
        </w:rPr>
        <w:t xml:space="preserve">Por lo expuesto y en vista de que las premisas planteadas por los jueces de la Sala de lo Laboral de la Corte Nacional </w:t>
      </w:r>
      <w:r>
        <w:rPr>
          <w:spacing w:val="-11"/>
          <w:sz w:val="18"/>
          <w:szCs w:val="18"/>
          <w:lang w:val="es-ES_tradnl"/>
        </w:rPr>
        <w:t xml:space="preserve">de Justicia son concordantes con las conclusiones arribadas, </w:t>
      </w:r>
      <w:r>
        <w:rPr>
          <w:spacing w:val="-9"/>
          <w:sz w:val="18"/>
          <w:szCs w:val="18"/>
          <w:lang w:val="es-ES_tradnl"/>
        </w:rPr>
        <w:t xml:space="preserve">esta Corte considera que la misma guarda conformidad con </w:t>
      </w:r>
      <w:r>
        <w:rPr>
          <w:sz w:val="18"/>
          <w:szCs w:val="18"/>
          <w:lang w:val="es-ES_tradnl"/>
        </w:rPr>
        <w:t>el par</w:t>
      </w:r>
      <w:r>
        <w:rPr>
          <w:rFonts w:cs="Times New Roman"/>
          <w:sz w:val="18"/>
          <w:szCs w:val="18"/>
          <w:lang w:val="es-ES_tradnl"/>
        </w:rPr>
        <w:t>á</w:t>
      </w:r>
      <w:r>
        <w:rPr>
          <w:sz w:val="18"/>
          <w:szCs w:val="18"/>
          <w:lang w:val="es-ES_tradnl"/>
        </w:rPr>
        <w:t>metro de la l</w:t>
      </w:r>
      <w:r>
        <w:rPr>
          <w:rFonts w:cs="Times New Roman"/>
          <w:sz w:val="18"/>
          <w:szCs w:val="18"/>
          <w:lang w:val="es-ES_tradnl"/>
        </w:rPr>
        <w:t>ó</w:t>
      </w:r>
      <w:r>
        <w:rPr>
          <w:sz w:val="18"/>
          <w:szCs w:val="18"/>
          <w:lang w:val="es-ES_tradnl"/>
        </w:rPr>
        <w:t>gica.</w:t>
      </w:r>
    </w:p>
    <w:p w14:paraId="4F67B33F" w14:textId="77777777" w:rsidR="00591D54" w:rsidRDefault="00591D54">
      <w:pPr>
        <w:shd w:val="clear" w:color="auto" w:fill="FFFFFF"/>
        <w:spacing w:before="202" w:line="221" w:lineRule="exact"/>
        <w:jc w:val="both"/>
      </w:pPr>
      <w:r>
        <w:rPr>
          <w:spacing w:val="-3"/>
          <w:sz w:val="18"/>
          <w:szCs w:val="18"/>
          <w:lang w:val="es-ES_tradnl"/>
        </w:rPr>
        <w:t xml:space="preserve">Finalmente, respecto a la comprensibilidad debemos </w:t>
      </w:r>
      <w:r>
        <w:rPr>
          <w:spacing w:val="-7"/>
          <w:sz w:val="18"/>
          <w:szCs w:val="18"/>
          <w:lang w:val="es-ES_tradnl"/>
        </w:rPr>
        <w:t>se</w:t>
      </w:r>
      <w:r>
        <w:rPr>
          <w:rFonts w:cs="Times New Roman"/>
          <w:spacing w:val="-7"/>
          <w:sz w:val="18"/>
          <w:szCs w:val="18"/>
          <w:lang w:val="es-ES_tradnl"/>
        </w:rPr>
        <w:t>ñ</w:t>
      </w:r>
      <w:r>
        <w:rPr>
          <w:spacing w:val="-7"/>
          <w:sz w:val="18"/>
          <w:szCs w:val="18"/>
          <w:lang w:val="es-ES_tradnl"/>
        </w:rPr>
        <w:t>alar que este par</w:t>
      </w:r>
      <w:r>
        <w:rPr>
          <w:rFonts w:cs="Times New Roman"/>
          <w:spacing w:val="-7"/>
          <w:sz w:val="18"/>
          <w:szCs w:val="18"/>
          <w:lang w:val="es-ES_tradnl"/>
        </w:rPr>
        <w:t>á</w:t>
      </w:r>
      <w:r>
        <w:rPr>
          <w:spacing w:val="-7"/>
          <w:sz w:val="18"/>
          <w:szCs w:val="18"/>
          <w:lang w:val="es-ES_tradnl"/>
        </w:rPr>
        <w:t>metro de la motivaci</w:t>
      </w:r>
      <w:r>
        <w:rPr>
          <w:rFonts w:cs="Times New Roman"/>
          <w:spacing w:val="-7"/>
          <w:sz w:val="18"/>
          <w:szCs w:val="18"/>
          <w:lang w:val="es-ES_tradnl"/>
        </w:rPr>
        <w:t>ó</w:t>
      </w:r>
      <w:r>
        <w:rPr>
          <w:spacing w:val="-7"/>
          <w:sz w:val="18"/>
          <w:szCs w:val="18"/>
          <w:lang w:val="es-ES_tradnl"/>
        </w:rPr>
        <w:t xml:space="preserve">n, guarda una </w:t>
      </w:r>
      <w:r>
        <w:rPr>
          <w:spacing w:val="-6"/>
          <w:sz w:val="18"/>
          <w:szCs w:val="18"/>
          <w:lang w:val="es-ES_tradnl"/>
        </w:rPr>
        <w:t>estrecha relaci</w:t>
      </w:r>
      <w:r>
        <w:rPr>
          <w:rFonts w:cs="Times New Roman"/>
          <w:spacing w:val="-6"/>
          <w:sz w:val="18"/>
          <w:szCs w:val="18"/>
          <w:lang w:val="es-ES_tradnl"/>
        </w:rPr>
        <w:t>ó</w:t>
      </w:r>
      <w:r>
        <w:rPr>
          <w:spacing w:val="-6"/>
          <w:sz w:val="18"/>
          <w:szCs w:val="18"/>
          <w:lang w:val="es-ES_tradnl"/>
        </w:rPr>
        <w:t>n con el principio de comprensi</w:t>
      </w:r>
      <w:r>
        <w:rPr>
          <w:rFonts w:cs="Times New Roman"/>
          <w:spacing w:val="-6"/>
          <w:sz w:val="18"/>
          <w:szCs w:val="18"/>
          <w:lang w:val="es-ES_tradnl"/>
        </w:rPr>
        <w:t>ó</w:t>
      </w:r>
      <w:r>
        <w:rPr>
          <w:spacing w:val="-6"/>
          <w:sz w:val="18"/>
          <w:szCs w:val="18"/>
          <w:lang w:val="es-ES_tradnl"/>
        </w:rPr>
        <w:t>n efectiva previsto en el art</w:t>
      </w:r>
      <w:r>
        <w:rPr>
          <w:rFonts w:cs="Times New Roman"/>
          <w:spacing w:val="-6"/>
          <w:sz w:val="18"/>
          <w:szCs w:val="18"/>
          <w:lang w:val="es-ES_tradnl"/>
        </w:rPr>
        <w:t>í</w:t>
      </w:r>
      <w:r>
        <w:rPr>
          <w:spacing w:val="-6"/>
          <w:sz w:val="18"/>
          <w:szCs w:val="18"/>
          <w:lang w:val="es-ES_tradnl"/>
        </w:rPr>
        <w:t>culo 4 numeral 10 de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Control Constitucional que </w:t>
      </w:r>
      <w:r>
        <w:rPr>
          <w:spacing w:val="-9"/>
          <w:sz w:val="18"/>
          <w:szCs w:val="18"/>
          <w:lang w:val="es-ES_tradnl"/>
        </w:rPr>
        <w:t>se</w:t>
      </w:r>
      <w:r>
        <w:rPr>
          <w:rFonts w:cs="Times New Roman"/>
          <w:spacing w:val="-9"/>
          <w:sz w:val="18"/>
          <w:szCs w:val="18"/>
          <w:lang w:val="es-ES_tradnl"/>
        </w:rPr>
        <w:t>ñ</w:t>
      </w:r>
      <w:r>
        <w:rPr>
          <w:spacing w:val="-9"/>
          <w:sz w:val="18"/>
          <w:szCs w:val="18"/>
          <w:lang w:val="es-ES_tradnl"/>
        </w:rPr>
        <w:t xml:space="preserve">ala: </w:t>
      </w:r>
      <w:r>
        <w:rPr>
          <w:rFonts w:cs="Times New Roman"/>
          <w:spacing w:val="-9"/>
          <w:sz w:val="18"/>
          <w:szCs w:val="18"/>
          <w:lang w:val="es-ES_tradnl"/>
        </w:rPr>
        <w:t>“</w:t>
      </w:r>
      <w:r>
        <w:rPr>
          <w:spacing w:val="-9"/>
          <w:sz w:val="18"/>
          <w:szCs w:val="18"/>
          <w:lang w:val="es-ES_tradnl"/>
        </w:rPr>
        <w:t>Con la finalidad de acercar la comprensi</w:t>
      </w:r>
      <w:r>
        <w:rPr>
          <w:rFonts w:cs="Times New Roman"/>
          <w:spacing w:val="-9"/>
          <w:sz w:val="18"/>
          <w:szCs w:val="18"/>
          <w:lang w:val="es-ES_tradnl"/>
        </w:rPr>
        <w:t>ó</w:t>
      </w:r>
      <w:r>
        <w:rPr>
          <w:spacing w:val="-9"/>
          <w:sz w:val="18"/>
          <w:szCs w:val="18"/>
          <w:lang w:val="es-ES_tradnl"/>
        </w:rPr>
        <w:t>n efectiva de sus resoluciones a la ciudadan</w:t>
      </w:r>
      <w:r>
        <w:rPr>
          <w:rFonts w:cs="Times New Roman"/>
          <w:spacing w:val="-9"/>
          <w:sz w:val="18"/>
          <w:szCs w:val="18"/>
          <w:lang w:val="es-ES_tradnl"/>
        </w:rPr>
        <w:t>í</w:t>
      </w:r>
      <w:r>
        <w:rPr>
          <w:spacing w:val="-9"/>
          <w:sz w:val="18"/>
          <w:szCs w:val="18"/>
          <w:lang w:val="es-ES_tradnl"/>
        </w:rPr>
        <w:t>a, la jueza o juez deber</w:t>
      </w:r>
      <w:r>
        <w:rPr>
          <w:rFonts w:cs="Times New Roman"/>
          <w:spacing w:val="-9"/>
          <w:sz w:val="18"/>
          <w:szCs w:val="18"/>
          <w:lang w:val="es-ES_tradnl"/>
        </w:rPr>
        <w:t xml:space="preserve">á </w:t>
      </w:r>
      <w:r>
        <w:rPr>
          <w:spacing w:val="-9"/>
          <w:sz w:val="18"/>
          <w:szCs w:val="18"/>
          <w:lang w:val="es-ES_tradnl"/>
        </w:rPr>
        <w:t xml:space="preserve">redactar sus sentencias de forma clara, concreta, inteligible, </w:t>
      </w:r>
      <w:r>
        <w:rPr>
          <w:spacing w:val="-8"/>
          <w:sz w:val="18"/>
          <w:szCs w:val="18"/>
          <w:lang w:val="es-ES_tradnl"/>
        </w:rPr>
        <w:t>asequible y sint</w:t>
      </w:r>
      <w:r>
        <w:rPr>
          <w:rFonts w:cs="Times New Roman"/>
          <w:spacing w:val="-8"/>
          <w:sz w:val="18"/>
          <w:szCs w:val="18"/>
          <w:lang w:val="es-ES_tradnl"/>
        </w:rPr>
        <w:t>é</w:t>
      </w:r>
      <w:r>
        <w:rPr>
          <w:spacing w:val="-8"/>
          <w:sz w:val="18"/>
          <w:szCs w:val="18"/>
          <w:lang w:val="es-ES_tradnl"/>
        </w:rPr>
        <w:t xml:space="preserve">tica, incluyendo las cuestiones de hecho y </w:t>
      </w:r>
      <w:r>
        <w:rPr>
          <w:spacing w:val="-10"/>
          <w:sz w:val="18"/>
          <w:szCs w:val="18"/>
          <w:lang w:val="es-ES_tradnl"/>
        </w:rPr>
        <w:t xml:space="preserve">derecho planteadas y el razonamiento seguido para tomar la </w:t>
      </w:r>
      <w:r>
        <w:rPr>
          <w:sz w:val="18"/>
          <w:szCs w:val="18"/>
          <w:lang w:val="es-ES_tradnl"/>
        </w:rPr>
        <w:t>decisi</w:t>
      </w:r>
      <w:r>
        <w:rPr>
          <w:rFonts w:cs="Times New Roman"/>
          <w:sz w:val="18"/>
          <w:szCs w:val="18"/>
          <w:lang w:val="es-ES_tradnl"/>
        </w:rPr>
        <w:t>ó</w:t>
      </w:r>
      <w:r>
        <w:rPr>
          <w:sz w:val="18"/>
          <w:szCs w:val="18"/>
          <w:lang w:val="es-ES_tradnl"/>
        </w:rPr>
        <w:t>n que adopte</w:t>
      </w:r>
      <w:r>
        <w:rPr>
          <w:rFonts w:cs="Times New Roman"/>
          <w:sz w:val="18"/>
          <w:szCs w:val="18"/>
          <w:lang w:val="es-ES_tradnl"/>
        </w:rPr>
        <w:t>”</w:t>
      </w:r>
      <w:r>
        <w:rPr>
          <w:sz w:val="18"/>
          <w:szCs w:val="18"/>
          <w:lang w:val="es-ES_tradnl"/>
        </w:rPr>
        <w:t>.</w:t>
      </w:r>
    </w:p>
    <w:p w14:paraId="4F67B340" w14:textId="77777777" w:rsidR="00591D54" w:rsidRDefault="00591D54">
      <w:pPr>
        <w:shd w:val="clear" w:color="auto" w:fill="FFFFFF"/>
        <w:spacing w:before="202" w:line="221" w:lineRule="exact"/>
        <w:jc w:val="both"/>
      </w:pPr>
      <w:r>
        <w:rPr>
          <w:spacing w:val="-7"/>
          <w:sz w:val="18"/>
          <w:szCs w:val="18"/>
          <w:lang w:val="es-ES_tradnl"/>
        </w:rPr>
        <w:t xml:space="preserve">Para el efecto, la comprensibilidad de la sentencia debe </w:t>
      </w:r>
      <w:r>
        <w:rPr>
          <w:spacing w:val="-6"/>
          <w:sz w:val="18"/>
          <w:szCs w:val="18"/>
          <w:lang w:val="es-ES_tradnl"/>
        </w:rPr>
        <w:t xml:space="preserve">permitir a las partes procesales y particularmente al gran </w:t>
      </w:r>
      <w:r>
        <w:rPr>
          <w:spacing w:val="-9"/>
          <w:sz w:val="18"/>
          <w:szCs w:val="18"/>
          <w:lang w:val="es-ES_tradnl"/>
        </w:rPr>
        <w:t xml:space="preserve">auditorio social, comprender claramente las ideas y motivos </w:t>
      </w:r>
      <w:r>
        <w:rPr>
          <w:spacing w:val="-11"/>
          <w:sz w:val="18"/>
          <w:szCs w:val="18"/>
          <w:lang w:val="es-ES_tradnl"/>
        </w:rPr>
        <w:t>de la decisi</w:t>
      </w:r>
      <w:r>
        <w:rPr>
          <w:rFonts w:cs="Times New Roman"/>
          <w:spacing w:val="-11"/>
          <w:sz w:val="18"/>
          <w:szCs w:val="18"/>
          <w:lang w:val="es-ES_tradnl"/>
        </w:rPr>
        <w:t>ó</w:t>
      </w:r>
      <w:r>
        <w:rPr>
          <w:spacing w:val="-11"/>
          <w:sz w:val="18"/>
          <w:szCs w:val="18"/>
          <w:lang w:val="es-ES_tradnl"/>
        </w:rPr>
        <w:t>n. En este sentido, hay que se</w:t>
      </w:r>
      <w:r>
        <w:rPr>
          <w:rFonts w:cs="Times New Roman"/>
          <w:spacing w:val="-11"/>
          <w:sz w:val="18"/>
          <w:szCs w:val="18"/>
          <w:lang w:val="es-ES_tradnl"/>
        </w:rPr>
        <w:t>ñ</w:t>
      </w:r>
      <w:r>
        <w:rPr>
          <w:spacing w:val="-11"/>
          <w:sz w:val="18"/>
          <w:szCs w:val="18"/>
          <w:lang w:val="es-ES_tradnl"/>
        </w:rPr>
        <w:t xml:space="preserve">alar que las ideas </w:t>
      </w:r>
      <w:r>
        <w:rPr>
          <w:spacing w:val="-6"/>
          <w:sz w:val="18"/>
          <w:szCs w:val="18"/>
          <w:lang w:val="es-ES_tradnl"/>
        </w:rPr>
        <w:t>plasmadas por los jueces de la Sala de lo Laboral de la Corte Nacional de Justicia, guardan un orden cronol</w:t>
      </w:r>
      <w:r>
        <w:rPr>
          <w:rFonts w:cs="Times New Roman"/>
          <w:spacing w:val="-6"/>
          <w:sz w:val="18"/>
          <w:szCs w:val="18"/>
          <w:lang w:val="es-ES_tradnl"/>
        </w:rPr>
        <w:t>ó</w:t>
      </w:r>
      <w:r>
        <w:rPr>
          <w:spacing w:val="-6"/>
          <w:sz w:val="18"/>
          <w:szCs w:val="18"/>
          <w:lang w:val="es-ES_tradnl"/>
        </w:rPr>
        <w:t xml:space="preserve">gico </w:t>
      </w:r>
      <w:r>
        <w:rPr>
          <w:spacing w:val="-10"/>
          <w:sz w:val="18"/>
          <w:szCs w:val="18"/>
          <w:lang w:val="es-ES_tradnl"/>
        </w:rPr>
        <w:t>en el que se establece de manera clara los antecedentes del caso, conservando en todo momento una concatenaci</w:t>
      </w:r>
      <w:r>
        <w:rPr>
          <w:rFonts w:cs="Times New Roman"/>
          <w:spacing w:val="-10"/>
          <w:sz w:val="18"/>
          <w:szCs w:val="18"/>
          <w:lang w:val="es-ES_tradnl"/>
        </w:rPr>
        <w:t>ó</w:t>
      </w:r>
      <w:r>
        <w:rPr>
          <w:spacing w:val="-10"/>
          <w:sz w:val="18"/>
          <w:szCs w:val="18"/>
          <w:lang w:val="es-ES_tradnl"/>
        </w:rPr>
        <w:t xml:space="preserve">n de </w:t>
      </w:r>
      <w:r>
        <w:rPr>
          <w:spacing w:val="-8"/>
          <w:sz w:val="18"/>
          <w:szCs w:val="18"/>
          <w:lang w:val="es-ES_tradnl"/>
        </w:rPr>
        <w:t xml:space="preserve">ideas y un uso fl uido del lenguaje para finalmente exponer </w:t>
      </w:r>
      <w:r>
        <w:rPr>
          <w:spacing w:val="-4"/>
          <w:sz w:val="18"/>
          <w:szCs w:val="18"/>
          <w:lang w:val="es-ES_tradnl"/>
        </w:rPr>
        <w:t>una decisi</w:t>
      </w:r>
      <w:r>
        <w:rPr>
          <w:rFonts w:cs="Times New Roman"/>
          <w:spacing w:val="-4"/>
          <w:sz w:val="18"/>
          <w:szCs w:val="18"/>
          <w:lang w:val="es-ES_tradnl"/>
        </w:rPr>
        <w:t>ó</w:t>
      </w:r>
      <w:r>
        <w:rPr>
          <w:spacing w:val="-4"/>
          <w:sz w:val="18"/>
          <w:szCs w:val="18"/>
          <w:lang w:val="es-ES_tradnl"/>
        </w:rPr>
        <w:t>n que goza del suficiente contenido te</w:t>
      </w:r>
      <w:r>
        <w:rPr>
          <w:rFonts w:cs="Times New Roman"/>
          <w:spacing w:val="-4"/>
          <w:sz w:val="18"/>
          <w:szCs w:val="18"/>
          <w:lang w:val="es-ES_tradnl"/>
        </w:rPr>
        <w:t>ó</w:t>
      </w:r>
      <w:r>
        <w:rPr>
          <w:spacing w:val="-4"/>
          <w:sz w:val="18"/>
          <w:szCs w:val="18"/>
          <w:lang w:val="es-ES_tradnl"/>
        </w:rPr>
        <w:t xml:space="preserve">rico </w:t>
      </w:r>
      <w:r>
        <w:rPr>
          <w:spacing w:val="-7"/>
          <w:sz w:val="18"/>
          <w:szCs w:val="18"/>
          <w:lang w:val="es-ES_tradnl"/>
        </w:rPr>
        <w:t>que la hace sustentable; por lo tanto, esta Corte concluye que la sentencia impugnada cumple con el par</w:t>
      </w:r>
      <w:r>
        <w:rPr>
          <w:rFonts w:cs="Times New Roman"/>
          <w:spacing w:val="-7"/>
          <w:sz w:val="18"/>
          <w:szCs w:val="18"/>
          <w:lang w:val="es-ES_tradnl"/>
        </w:rPr>
        <w:t>á</w:t>
      </w:r>
      <w:r>
        <w:rPr>
          <w:spacing w:val="-7"/>
          <w:sz w:val="18"/>
          <w:szCs w:val="18"/>
          <w:lang w:val="es-ES_tradnl"/>
        </w:rPr>
        <w:t>metro de comprensibilidad que exige la garant</w:t>
      </w:r>
      <w:r>
        <w:rPr>
          <w:rFonts w:cs="Times New Roman"/>
          <w:spacing w:val="-7"/>
          <w:sz w:val="18"/>
          <w:szCs w:val="18"/>
          <w:lang w:val="es-ES_tradnl"/>
        </w:rPr>
        <w:t>í</w:t>
      </w:r>
      <w:r>
        <w:rPr>
          <w:spacing w:val="-7"/>
          <w:sz w:val="18"/>
          <w:szCs w:val="18"/>
          <w:lang w:val="es-ES_tradnl"/>
        </w:rPr>
        <w:t>a de motivaci</w:t>
      </w:r>
      <w:r>
        <w:rPr>
          <w:rFonts w:cs="Times New Roman"/>
          <w:spacing w:val="-7"/>
          <w:sz w:val="18"/>
          <w:szCs w:val="18"/>
          <w:lang w:val="es-ES_tradnl"/>
        </w:rPr>
        <w:t>ó</w:t>
      </w:r>
      <w:r>
        <w:rPr>
          <w:spacing w:val="-7"/>
          <w:sz w:val="18"/>
          <w:szCs w:val="18"/>
          <w:lang w:val="es-ES_tradnl"/>
        </w:rPr>
        <w:t>n.</w:t>
      </w:r>
    </w:p>
    <w:p w14:paraId="4F67B341" w14:textId="77777777" w:rsidR="00591D54" w:rsidRDefault="00591D54">
      <w:pPr>
        <w:shd w:val="clear" w:color="auto" w:fill="FFFFFF"/>
        <w:spacing w:before="197" w:line="221" w:lineRule="exact"/>
        <w:jc w:val="both"/>
      </w:pPr>
      <w:r>
        <w:rPr>
          <w:spacing w:val="-8"/>
          <w:sz w:val="18"/>
          <w:szCs w:val="18"/>
          <w:lang w:val="es-ES_tradnl"/>
        </w:rPr>
        <w:t xml:space="preserve">Por las consideraciones expuestas, la Corte Constitucional </w:t>
      </w:r>
      <w:r>
        <w:rPr>
          <w:spacing w:val="-7"/>
          <w:sz w:val="18"/>
          <w:szCs w:val="18"/>
          <w:lang w:val="es-ES_tradnl"/>
        </w:rPr>
        <w:t xml:space="preserve">concluye que la sentencia del 05 de diciembre de 2013, emitida por los jueces de la Sala de lo Laboral de la Corte </w:t>
      </w:r>
      <w:r>
        <w:rPr>
          <w:spacing w:val="-2"/>
          <w:sz w:val="18"/>
          <w:szCs w:val="18"/>
          <w:lang w:val="es-ES_tradnl"/>
        </w:rPr>
        <w:t>Nacional de Justicia dentro del juicio N.</w:t>
      </w:r>
      <w:r>
        <w:rPr>
          <w:rFonts w:cs="Times New Roman"/>
          <w:spacing w:val="-2"/>
          <w:sz w:val="18"/>
          <w:szCs w:val="18"/>
          <w:lang w:val="es-ES_tradnl"/>
        </w:rPr>
        <w:t>º</w:t>
      </w:r>
      <w:r>
        <w:rPr>
          <w:spacing w:val="-2"/>
          <w:sz w:val="18"/>
          <w:szCs w:val="18"/>
          <w:lang w:val="es-ES_tradnl"/>
        </w:rPr>
        <w:t xml:space="preserve"> 1847-2012, </w:t>
      </w:r>
      <w:r>
        <w:rPr>
          <w:spacing w:val="-9"/>
          <w:sz w:val="18"/>
          <w:szCs w:val="18"/>
          <w:lang w:val="es-ES_tradnl"/>
        </w:rPr>
        <w:t>cumple con los par</w:t>
      </w:r>
      <w:r>
        <w:rPr>
          <w:rFonts w:cs="Times New Roman"/>
          <w:spacing w:val="-9"/>
          <w:sz w:val="18"/>
          <w:szCs w:val="18"/>
          <w:lang w:val="es-ES_tradnl"/>
        </w:rPr>
        <w:t>á</w:t>
      </w:r>
      <w:r>
        <w:rPr>
          <w:spacing w:val="-9"/>
          <w:sz w:val="18"/>
          <w:szCs w:val="18"/>
          <w:lang w:val="es-ES_tradnl"/>
        </w:rPr>
        <w:t>metros que configuran la garant</w:t>
      </w:r>
      <w:r>
        <w:rPr>
          <w:rFonts w:cs="Times New Roman"/>
          <w:spacing w:val="-9"/>
          <w:sz w:val="18"/>
          <w:szCs w:val="18"/>
          <w:lang w:val="es-ES_tradnl"/>
        </w:rPr>
        <w:t>í</w:t>
      </w:r>
      <w:r>
        <w:rPr>
          <w:spacing w:val="-9"/>
          <w:sz w:val="18"/>
          <w:szCs w:val="18"/>
          <w:lang w:val="es-ES_tradnl"/>
        </w:rPr>
        <w:t xml:space="preserve">a de la </w:t>
      </w:r>
      <w:r>
        <w:rPr>
          <w:spacing w:val="-8"/>
          <w:sz w:val="18"/>
          <w:szCs w:val="18"/>
          <w:lang w:val="es-ES_tradnl"/>
        </w:rPr>
        <w:t>motivaci</w:t>
      </w:r>
      <w:r>
        <w:rPr>
          <w:rFonts w:cs="Times New Roman"/>
          <w:spacing w:val="-8"/>
          <w:sz w:val="18"/>
          <w:szCs w:val="18"/>
          <w:lang w:val="es-ES_tradnl"/>
        </w:rPr>
        <w:t>ó</w:t>
      </w:r>
      <w:r>
        <w:rPr>
          <w:spacing w:val="-8"/>
          <w:sz w:val="18"/>
          <w:szCs w:val="18"/>
          <w:lang w:val="es-ES_tradnl"/>
        </w:rPr>
        <w:t>n; por tal raz</w:t>
      </w:r>
      <w:r>
        <w:rPr>
          <w:rFonts w:cs="Times New Roman"/>
          <w:spacing w:val="-8"/>
          <w:sz w:val="18"/>
          <w:szCs w:val="18"/>
          <w:lang w:val="es-ES_tradnl"/>
        </w:rPr>
        <w:t>ó</w:t>
      </w:r>
      <w:r>
        <w:rPr>
          <w:spacing w:val="-8"/>
          <w:sz w:val="18"/>
          <w:szCs w:val="18"/>
          <w:lang w:val="es-ES_tradnl"/>
        </w:rPr>
        <w:t>n, no se vulnera la garant</w:t>
      </w:r>
      <w:r>
        <w:rPr>
          <w:rFonts w:cs="Times New Roman"/>
          <w:spacing w:val="-8"/>
          <w:sz w:val="18"/>
          <w:szCs w:val="18"/>
          <w:lang w:val="es-ES_tradnl"/>
        </w:rPr>
        <w:t>í</w:t>
      </w:r>
      <w:r>
        <w:rPr>
          <w:spacing w:val="-8"/>
          <w:sz w:val="18"/>
          <w:szCs w:val="18"/>
          <w:lang w:val="es-ES_tradnl"/>
        </w:rPr>
        <w:t xml:space="preserve">a prevista </w:t>
      </w:r>
      <w:r>
        <w:rPr>
          <w:spacing w:val="-6"/>
          <w:sz w:val="18"/>
          <w:szCs w:val="18"/>
          <w:lang w:val="es-ES_tradnl"/>
        </w:rPr>
        <w:t>en el art</w:t>
      </w:r>
      <w:r>
        <w:rPr>
          <w:rFonts w:cs="Times New Roman"/>
          <w:spacing w:val="-6"/>
          <w:sz w:val="18"/>
          <w:szCs w:val="18"/>
          <w:lang w:val="es-ES_tradnl"/>
        </w:rPr>
        <w:t>í</w:t>
      </w:r>
      <w:r>
        <w:rPr>
          <w:spacing w:val="-6"/>
          <w:sz w:val="18"/>
          <w:szCs w:val="18"/>
          <w:lang w:val="es-ES_tradnl"/>
        </w:rPr>
        <w:t xml:space="preserve">culo 76 numeral 7 literal </w:t>
      </w:r>
      <w:r>
        <w:rPr>
          <w:b/>
          <w:bCs/>
          <w:spacing w:val="-6"/>
          <w:sz w:val="18"/>
          <w:szCs w:val="18"/>
          <w:lang w:val="es-ES_tradnl"/>
        </w:rPr>
        <w:t xml:space="preserve">l </w:t>
      </w:r>
      <w:r>
        <w:rPr>
          <w:spacing w:val="-6"/>
          <w:sz w:val="18"/>
          <w:szCs w:val="18"/>
          <w:lang w:val="es-ES_tradnl"/>
        </w:rPr>
        <w:t>de la Constituci</w:t>
      </w:r>
      <w:r>
        <w:rPr>
          <w:rFonts w:cs="Times New Roman"/>
          <w:spacing w:val="-6"/>
          <w:sz w:val="18"/>
          <w:szCs w:val="18"/>
          <w:lang w:val="es-ES_tradnl"/>
        </w:rPr>
        <w:t>ó</w:t>
      </w:r>
      <w:r>
        <w:rPr>
          <w:spacing w:val="-6"/>
          <w:sz w:val="18"/>
          <w:szCs w:val="18"/>
          <w:lang w:val="es-ES_tradnl"/>
        </w:rPr>
        <w:t xml:space="preserve">n de la </w:t>
      </w:r>
      <w:r>
        <w:rPr>
          <w:sz w:val="18"/>
          <w:szCs w:val="18"/>
          <w:lang w:val="es-ES_tradnl"/>
        </w:rPr>
        <w:t>Rep</w:t>
      </w:r>
      <w:r>
        <w:rPr>
          <w:rFonts w:cs="Times New Roman"/>
          <w:sz w:val="18"/>
          <w:szCs w:val="18"/>
          <w:lang w:val="es-ES_tradnl"/>
        </w:rPr>
        <w:t>ú</w:t>
      </w:r>
      <w:r>
        <w:rPr>
          <w:sz w:val="18"/>
          <w:szCs w:val="18"/>
          <w:lang w:val="es-ES_tradnl"/>
        </w:rPr>
        <w:t>blica.</w:t>
      </w:r>
    </w:p>
    <w:p w14:paraId="4F67B342" w14:textId="77777777" w:rsidR="00591D54" w:rsidRDefault="00591D54">
      <w:pPr>
        <w:shd w:val="clear" w:color="auto" w:fill="FFFFFF"/>
        <w:spacing w:before="197"/>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B343" w14:textId="77777777" w:rsidR="00591D54" w:rsidRDefault="00591D54">
      <w:pPr>
        <w:shd w:val="clear" w:color="auto" w:fill="FFFFFF"/>
        <w:spacing w:before="202" w:line="221" w:lineRule="exact"/>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5"/>
          <w:sz w:val="18"/>
          <w:szCs w:val="18"/>
          <w:lang w:val="es-ES_tradnl"/>
        </w:rPr>
        <w:t>constitucional y por mandato de la Constituci</w:t>
      </w:r>
      <w:r>
        <w:rPr>
          <w:rFonts w:cs="Times New Roman"/>
          <w:spacing w:val="-5"/>
          <w:sz w:val="18"/>
          <w:szCs w:val="18"/>
          <w:lang w:val="es-ES_tradnl"/>
        </w:rPr>
        <w:t>ó</w:t>
      </w:r>
      <w:r>
        <w:rPr>
          <w:spacing w:val="-5"/>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 xml:space="preserve">blica del Ecuador, el Pleno de la Corte Constitucional </w:t>
      </w:r>
      <w:r>
        <w:rPr>
          <w:sz w:val="18"/>
          <w:szCs w:val="18"/>
          <w:lang w:val="es-ES_tradnl"/>
        </w:rPr>
        <w:t>expide la siguiente:</w:t>
      </w:r>
    </w:p>
    <w:p w14:paraId="4F67B344" w14:textId="77777777" w:rsidR="00591D54" w:rsidRDefault="00591D54">
      <w:pPr>
        <w:shd w:val="clear" w:color="auto" w:fill="FFFFFF"/>
        <w:spacing w:before="197"/>
        <w:ind w:left="10"/>
        <w:jc w:val="center"/>
      </w:pPr>
      <w:r>
        <w:rPr>
          <w:b/>
          <w:bCs/>
          <w:sz w:val="18"/>
          <w:szCs w:val="18"/>
          <w:lang w:val="es-ES_tradnl"/>
        </w:rPr>
        <w:t>SENTENCIA</w:t>
      </w:r>
    </w:p>
    <w:p w14:paraId="4F67B345" w14:textId="77777777" w:rsidR="00591D54" w:rsidRDefault="00591D54">
      <w:pPr>
        <w:shd w:val="clear" w:color="auto" w:fill="FFFFFF"/>
        <w:spacing w:before="197" w:line="221" w:lineRule="exact"/>
        <w:ind w:left="566" w:hanging="283"/>
      </w:pPr>
      <w:r>
        <w:rPr>
          <w:spacing w:val="-3"/>
          <w:sz w:val="18"/>
          <w:szCs w:val="18"/>
          <w:lang w:val="es-ES_tradnl"/>
        </w:rPr>
        <w:t>1.   Declarar que no existe vulneraci</w:t>
      </w:r>
      <w:r>
        <w:rPr>
          <w:rFonts w:cs="Times New Roman"/>
          <w:spacing w:val="-3"/>
          <w:sz w:val="18"/>
          <w:szCs w:val="18"/>
          <w:lang w:val="es-ES_tradnl"/>
        </w:rPr>
        <w:t>ó</w:t>
      </w:r>
      <w:r>
        <w:rPr>
          <w:spacing w:val="-3"/>
          <w:sz w:val="18"/>
          <w:szCs w:val="18"/>
          <w:lang w:val="es-ES_tradnl"/>
        </w:rPr>
        <w:t xml:space="preserve">n de derechos </w:t>
      </w:r>
      <w:r>
        <w:rPr>
          <w:sz w:val="18"/>
          <w:szCs w:val="18"/>
          <w:lang w:val="es-ES_tradnl"/>
        </w:rPr>
        <w:t>constitucionales.</w:t>
      </w:r>
    </w:p>
    <w:p w14:paraId="4F67B346" w14:textId="77777777" w:rsidR="00591D54" w:rsidRDefault="00591D54">
      <w:pPr>
        <w:shd w:val="clear" w:color="auto" w:fill="FFFFFF"/>
        <w:spacing w:before="197" w:line="221" w:lineRule="exact"/>
        <w:ind w:left="566" w:hanging="283"/>
        <w:sectPr w:rsidR="00591D54">
          <w:type w:val="continuous"/>
          <w:pgSz w:w="11909" w:h="16834"/>
          <w:pgMar w:top="1356" w:right="1309" w:bottom="360" w:left="1308" w:header="720" w:footer="720" w:gutter="0"/>
          <w:cols w:num="2" w:space="720" w:equalWidth="0">
            <w:col w:w="4305" w:space="682"/>
            <w:col w:w="4305"/>
          </w:cols>
          <w:noEndnote/>
        </w:sectPr>
      </w:pPr>
    </w:p>
    <w:p w14:paraId="4F67B347" w14:textId="77777777" w:rsidR="00591D54" w:rsidRDefault="00591D54">
      <w:pPr>
        <w:shd w:val="clear" w:color="auto" w:fill="FFFFFF"/>
        <w:tabs>
          <w:tab w:val="left" w:pos="4814"/>
        </w:tabs>
        <w:spacing w:after="62"/>
        <w:ind w:left="14"/>
      </w:pPr>
      <w:r>
        <w:rPr>
          <w:b/>
          <w:bCs/>
          <w:sz w:val="18"/>
          <w:szCs w:val="18"/>
          <w:lang w:val="es-ES_tradnl"/>
        </w:rPr>
        <w:t xml:space="preserve">194 -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348" w14:textId="77777777" w:rsidR="00591D54" w:rsidRDefault="00591D54">
      <w:pPr>
        <w:shd w:val="clear" w:color="auto" w:fill="FFFFFF"/>
        <w:tabs>
          <w:tab w:val="left" w:pos="4814"/>
        </w:tabs>
        <w:spacing w:after="62"/>
        <w:ind w:left="14"/>
        <w:sectPr w:rsidR="00591D54">
          <w:pgSz w:w="11909" w:h="16834"/>
          <w:pgMar w:top="1356" w:right="1309" w:bottom="360" w:left="1308" w:header="720" w:footer="720" w:gutter="0"/>
          <w:cols w:space="60"/>
          <w:noEndnote/>
        </w:sectPr>
      </w:pPr>
    </w:p>
    <w:p w14:paraId="4F67B349" w14:textId="77777777" w:rsidR="00591D54" w:rsidRDefault="00591D54" w:rsidP="00251195">
      <w:pPr>
        <w:numPr>
          <w:ilvl w:val="0"/>
          <w:numId w:val="95"/>
        </w:numPr>
        <w:shd w:val="clear" w:color="auto" w:fill="FFFFFF"/>
        <w:tabs>
          <w:tab w:val="left" w:pos="566"/>
        </w:tabs>
        <w:spacing w:line="442" w:lineRule="exact"/>
        <w:ind w:left="283"/>
        <w:rPr>
          <w:spacing w:val="-11"/>
          <w:sz w:val="18"/>
          <w:szCs w:val="18"/>
          <w:lang w:val="es-ES_tradnl"/>
        </w:rPr>
      </w:pPr>
      <w:r>
        <w:rPr>
          <w:spacing w:val="-7"/>
          <w:sz w:val="18"/>
          <w:szCs w:val="18"/>
          <w:lang w:val="es-ES_tradnl"/>
        </w:rPr>
        <w:t>Negar la acci</w:t>
      </w:r>
      <w:r>
        <w:rPr>
          <w:rFonts w:cs="Times New Roman"/>
          <w:spacing w:val="-7"/>
          <w:sz w:val="18"/>
          <w:szCs w:val="18"/>
          <w:lang w:val="es-ES_tradnl"/>
        </w:rPr>
        <w:t>ó</w:t>
      </w:r>
      <w:r>
        <w:rPr>
          <w:spacing w:val="-7"/>
          <w:sz w:val="18"/>
          <w:szCs w:val="18"/>
          <w:lang w:val="es-ES_tradnl"/>
        </w:rPr>
        <w:t>n extraordinaria de protecci</w:t>
      </w:r>
      <w:r>
        <w:rPr>
          <w:rFonts w:cs="Times New Roman"/>
          <w:spacing w:val="-7"/>
          <w:sz w:val="18"/>
          <w:szCs w:val="18"/>
          <w:lang w:val="es-ES_tradnl"/>
        </w:rPr>
        <w:t>ó</w:t>
      </w:r>
      <w:r>
        <w:rPr>
          <w:spacing w:val="-7"/>
          <w:sz w:val="18"/>
          <w:szCs w:val="18"/>
          <w:lang w:val="es-ES_tradnl"/>
        </w:rPr>
        <w:t>n.</w:t>
      </w:r>
    </w:p>
    <w:p w14:paraId="4F67B34A" w14:textId="77777777" w:rsidR="00591D54" w:rsidRDefault="00591D54" w:rsidP="00251195">
      <w:pPr>
        <w:numPr>
          <w:ilvl w:val="0"/>
          <w:numId w:val="95"/>
        </w:numPr>
        <w:shd w:val="clear" w:color="auto" w:fill="FFFFFF"/>
        <w:tabs>
          <w:tab w:val="left" w:pos="566"/>
        </w:tabs>
        <w:spacing w:line="442" w:lineRule="exact"/>
        <w:ind w:left="283"/>
        <w:rPr>
          <w:spacing w:val="-11"/>
          <w:sz w:val="18"/>
          <w:szCs w:val="18"/>
          <w:lang w:val="es-ES_tradnl"/>
        </w:rPr>
      </w:pPr>
      <w:r>
        <w:rPr>
          <w:spacing w:val="-7"/>
          <w:sz w:val="18"/>
          <w:szCs w:val="18"/>
          <w:lang w:val="es-ES_tradnl"/>
        </w:rPr>
        <w:t>Notif</w:t>
      </w:r>
      <w:r>
        <w:rPr>
          <w:rFonts w:cs="Times New Roman"/>
          <w:spacing w:val="-7"/>
          <w:sz w:val="18"/>
          <w:szCs w:val="18"/>
          <w:lang w:val="es-ES_tradnl"/>
        </w:rPr>
        <w:t>í</w:t>
      </w:r>
      <w:r>
        <w:rPr>
          <w:spacing w:val="-7"/>
          <w:sz w:val="18"/>
          <w:szCs w:val="18"/>
          <w:lang w:val="es-ES_tradnl"/>
        </w:rPr>
        <w:t>quese, publ</w:t>
      </w:r>
      <w:r>
        <w:rPr>
          <w:rFonts w:cs="Times New Roman"/>
          <w:spacing w:val="-7"/>
          <w:sz w:val="18"/>
          <w:szCs w:val="18"/>
          <w:lang w:val="es-ES_tradnl"/>
        </w:rPr>
        <w:t>í</w:t>
      </w:r>
      <w:r>
        <w:rPr>
          <w:spacing w:val="-7"/>
          <w:sz w:val="18"/>
          <w:szCs w:val="18"/>
          <w:lang w:val="es-ES_tradnl"/>
        </w:rPr>
        <w:t>quese y c</w:t>
      </w:r>
      <w:r>
        <w:rPr>
          <w:rFonts w:cs="Times New Roman"/>
          <w:spacing w:val="-7"/>
          <w:sz w:val="18"/>
          <w:szCs w:val="18"/>
          <w:lang w:val="es-ES_tradnl"/>
        </w:rPr>
        <w:t>ú</w:t>
      </w:r>
      <w:r>
        <w:rPr>
          <w:spacing w:val="-7"/>
          <w:sz w:val="18"/>
          <w:szCs w:val="18"/>
          <w:lang w:val="es-ES_tradnl"/>
        </w:rPr>
        <w:t>mplase.</w:t>
      </w:r>
    </w:p>
    <w:p w14:paraId="4F67B34B" w14:textId="77777777" w:rsidR="00591D54" w:rsidRDefault="00591D54">
      <w:pPr>
        <w:shd w:val="clear" w:color="auto" w:fill="FFFFFF"/>
        <w:spacing w:line="442" w:lineRule="exact"/>
      </w:pPr>
      <w:r>
        <w:rPr>
          <w:spacing w:val="-5"/>
          <w:sz w:val="18"/>
          <w:szCs w:val="18"/>
          <w:lang w:val="es-ES_tradnl"/>
        </w:rPr>
        <w:t xml:space="preserve">f.) Wendy Molina Andrade, </w:t>
      </w:r>
      <w:r>
        <w:rPr>
          <w:b/>
          <w:bCs/>
          <w:spacing w:val="-5"/>
          <w:sz w:val="18"/>
          <w:szCs w:val="18"/>
          <w:lang w:val="es-ES_tradnl"/>
        </w:rPr>
        <w:t>PRESIDENTA (E).</w:t>
      </w:r>
    </w:p>
    <w:p w14:paraId="4F67B34C" w14:textId="77777777" w:rsidR="00591D54" w:rsidRDefault="00591D54">
      <w:pPr>
        <w:shd w:val="clear" w:color="auto" w:fill="FFFFFF"/>
        <w:spacing w:line="442" w:lineRule="exact"/>
      </w:pPr>
      <w:r>
        <w:rPr>
          <w:spacing w:val="-4"/>
          <w:sz w:val="18"/>
          <w:szCs w:val="18"/>
          <w:lang w:val="es-ES_tradnl"/>
        </w:rPr>
        <w:t xml:space="preserve">f.) Jaime Pozo Chamorro, </w:t>
      </w:r>
      <w:r>
        <w:rPr>
          <w:b/>
          <w:bCs/>
          <w:spacing w:val="-4"/>
          <w:sz w:val="18"/>
          <w:szCs w:val="18"/>
          <w:lang w:val="es-ES_tradnl"/>
        </w:rPr>
        <w:t>SECRETARIO GENERAL.</w:t>
      </w:r>
    </w:p>
    <w:p w14:paraId="4F67B34D" w14:textId="77777777" w:rsidR="00591D54" w:rsidRDefault="00591D54">
      <w:pPr>
        <w:shd w:val="clear" w:color="auto" w:fill="FFFFFF"/>
        <w:spacing w:before="168" w:line="226" w:lineRule="exact"/>
        <w:jc w:val="both"/>
      </w:pPr>
      <w:r>
        <w:rPr>
          <w:b/>
          <w:bCs/>
          <w:spacing w:val="-4"/>
          <w:sz w:val="18"/>
          <w:szCs w:val="18"/>
          <w:lang w:val="es-ES_tradnl"/>
        </w:rPr>
        <w:t>RAZ</w:t>
      </w:r>
      <w:r>
        <w:rPr>
          <w:rFonts w:cs="Times New Roman"/>
          <w:b/>
          <w:bCs/>
          <w:spacing w:val="-4"/>
          <w:sz w:val="18"/>
          <w:szCs w:val="18"/>
          <w:lang w:val="es-ES_tradnl"/>
        </w:rPr>
        <w:t>Ó</w:t>
      </w:r>
      <w:r>
        <w:rPr>
          <w:b/>
          <w:bCs/>
          <w:spacing w:val="-4"/>
          <w:sz w:val="18"/>
          <w:szCs w:val="18"/>
          <w:lang w:val="es-ES_tradnl"/>
        </w:rPr>
        <w:t xml:space="preserve">N.- </w:t>
      </w:r>
      <w:r>
        <w:rPr>
          <w:spacing w:val="-4"/>
          <w:sz w:val="18"/>
          <w:szCs w:val="18"/>
          <w:lang w:val="es-ES_tradnl"/>
        </w:rPr>
        <w:t xml:space="preserve">Siento por tal, que la sentencia que antecede </w:t>
      </w:r>
      <w:r>
        <w:rPr>
          <w:spacing w:val="-7"/>
          <w:sz w:val="18"/>
          <w:szCs w:val="18"/>
          <w:lang w:val="es-ES_tradnl"/>
        </w:rPr>
        <w:t xml:space="preserve">fue aprobada por el Pleno de la Corte Constitucional, con </w:t>
      </w:r>
      <w:r>
        <w:rPr>
          <w:spacing w:val="-10"/>
          <w:sz w:val="18"/>
          <w:szCs w:val="18"/>
          <w:lang w:val="es-ES_tradnl"/>
        </w:rPr>
        <w:t>siete votos de las se</w:t>
      </w:r>
      <w:r>
        <w:rPr>
          <w:rFonts w:cs="Times New Roman"/>
          <w:spacing w:val="-10"/>
          <w:sz w:val="18"/>
          <w:szCs w:val="18"/>
          <w:lang w:val="es-ES_tradnl"/>
        </w:rPr>
        <w:t>ñ</w:t>
      </w:r>
      <w:r>
        <w:rPr>
          <w:spacing w:val="-10"/>
          <w:sz w:val="18"/>
          <w:szCs w:val="18"/>
          <w:lang w:val="es-ES_tradnl"/>
        </w:rPr>
        <w:t>oras juezas y se</w:t>
      </w:r>
      <w:r>
        <w:rPr>
          <w:rFonts w:cs="Times New Roman"/>
          <w:spacing w:val="-10"/>
          <w:sz w:val="18"/>
          <w:szCs w:val="18"/>
          <w:lang w:val="es-ES_tradnl"/>
        </w:rPr>
        <w:t>ñ</w:t>
      </w:r>
      <w:r>
        <w:rPr>
          <w:spacing w:val="-10"/>
          <w:sz w:val="18"/>
          <w:szCs w:val="18"/>
          <w:lang w:val="es-ES_tradnl"/>
        </w:rPr>
        <w:t xml:space="preserve">ores jueces: Antonio </w:t>
      </w:r>
      <w:r>
        <w:rPr>
          <w:sz w:val="18"/>
          <w:szCs w:val="18"/>
          <w:lang w:val="es-ES_tradnl"/>
        </w:rPr>
        <w:t>Gagliardo Loor, Marcelo Jaramillo Villa, Mar</w:t>
      </w:r>
      <w:r>
        <w:rPr>
          <w:rFonts w:cs="Times New Roman"/>
          <w:sz w:val="18"/>
          <w:szCs w:val="18"/>
          <w:lang w:val="es-ES_tradnl"/>
        </w:rPr>
        <w:t>í</w:t>
      </w:r>
      <w:r>
        <w:rPr>
          <w:sz w:val="18"/>
          <w:szCs w:val="18"/>
          <w:lang w:val="es-ES_tradnl"/>
        </w:rPr>
        <w:t xml:space="preserve">a del </w:t>
      </w:r>
      <w:r>
        <w:rPr>
          <w:spacing w:val="-7"/>
          <w:sz w:val="18"/>
          <w:szCs w:val="18"/>
          <w:lang w:val="es-ES_tradnl"/>
        </w:rPr>
        <w:t>Carmen Maldonado S</w:t>
      </w:r>
      <w:r>
        <w:rPr>
          <w:rFonts w:cs="Times New Roman"/>
          <w:spacing w:val="-7"/>
          <w:sz w:val="18"/>
          <w:szCs w:val="18"/>
          <w:lang w:val="es-ES_tradnl"/>
        </w:rPr>
        <w:t>á</w:t>
      </w:r>
      <w:r>
        <w:rPr>
          <w:spacing w:val="-7"/>
          <w:sz w:val="18"/>
          <w:szCs w:val="18"/>
          <w:lang w:val="es-ES_tradnl"/>
        </w:rPr>
        <w:t>nchez, Alfredo Ruiz Guzm</w:t>
      </w:r>
      <w:r>
        <w:rPr>
          <w:rFonts w:cs="Times New Roman"/>
          <w:spacing w:val="-7"/>
          <w:sz w:val="18"/>
          <w:szCs w:val="18"/>
          <w:lang w:val="es-ES_tradnl"/>
        </w:rPr>
        <w:t>á</w:t>
      </w:r>
      <w:r>
        <w:rPr>
          <w:spacing w:val="-7"/>
          <w:sz w:val="18"/>
          <w:szCs w:val="18"/>
          <w:lang w:val="es-ES_tradnl"/>
        </w:rPr>
        <w:t xml:space="preserve">n, Ruth </w:t>
      </w:r>
      <w:r>
        <w:rPr>
          <w:spacing w:val="-4"/>
          <w:sz w:val="18"/>
          <w:szCs w:val="18"/>
          <w:lang w:val="es-ES_tradnl"/>
        </w:rPr>
        <w:t xml:space="preserve">Seni Pinoargote, Manuel Viteri Olvera y Wendy Molina </w:t>
      </w:r>
      <w:r>
        <w:rPr>
          <w:spacing w:val="-8"/>
          <w:sz w:val="18"/>
          <w:szCs w:val="18"/>
          <w:lang w:val="es-ES_tradnl"/>
        </w:rPr>
        <w:t xml:space="preserve">Andrade; sin contar con la presencia de los jueces Tatiana </w:t>
      </w:r>
      <w:r>
        <w:rPr>
          <w:spacing w:val="-9"/>
          <w:sz w:val="18"/>
          <w:szCs w:val="18"/>
          <w:lang w:val="es-ES_tradnl"/>
        </w:rPr>
        <w:t>Orde</w:t>
      </w:r>
      <w:r>
        <w:rPr>
          <w:rFonts w:cs="Times New Roman"/>
          <w:spacing w:val="-9"/>
          <w:sz w:val="18"/>
          <w:szCs w:val="18"/>
          <w:lang w:val="es-ES_tradnl"/>
        </w:rPr>
        <w:t>ñ</w:t>
      </w:r>
      <w:r>
        <w:rPr>
          <w:spacing w:val="-9"/>
          <w:sz w:val="18"/>
          <w:szCs w:val="18"/>
          <w:lang w:val="es-ES_tradnl"/>
        </w:rPr>
        <w:t>ana Sierra y Patricio Pazmi</w:t>
      </w:r>
      <w:r>
        <w:rPr>
          <w:rFonts w:cs="Times New Roman"/>
          <w:spacing w:val="-9"/>
          <w:sz w:val="18"/>
          <w:szCs w:val="18"/>
          <w:lang w:val="es-ES_tradnl"/>
        </w:rPr>
        <w:t>ñ</w:t>
      </w:r>
      <w:r>
        <w:rPr>
          <w:spacing w:val="-9"/>
          <w:sz w:val="18"/>
          <w:szCs w:val="18"/>
          <w:lang w:val="es-ES_tradnl"/>
        </w:rPr>
        <w:t>o Freire, en sesi</w:t>
      </w:r>
      <w:r>
        <w:rPr>
          <w:rFonts w:cs="Times New Roman"/>
          <w:spacing w:val="-9"/>
          <w:sz w:val="18"/>
          <w:szCs w:val="18"/>
          <w:lang w:val="es-ES_tradnl"/>
        </w:rPr>
        <w:t>ó</w:t>
      </w:r>
      <w:r>
        <w:rPr>
          <w:spacing w:val="-9"/>
          <w:sz w:val="18"/>
          <w:szCs w:val="18"/>
          <w:lang w:val="es-ES_tradnl"/>
        </w:rPr>
        <w:t xml:space="preserve">n del 12 </w:t>
      </w:r>
      <w:r>
        <w:rPr>
          <w:sz w:val="18"/>
          <w:szCs w:val="18"/>
          <w:lang w:val="es-ES_tradnl"/>
        </w:rPr>
        <w:t>de agosto de 2015. Lo certifico.</w:t>
      </w:r>
    </w:p>
    <w:p w14:paraId="4F67B34E" w14:textId="77777777" w:rsidR="00591D54" w:rsidRDefault="00591D54">
      <w:pPr>
        <w:shd w:val="clear" w:color="auto" w:fill="FFFFFF"/>
        <w:spacing w:before="206"/>
      </w:pPr>
      <w:r>
        <w:rPr>
          <w:spacing w:val="-4"/>
          <w:sz w:val="18"/>
          <w:szCs w:val="18"/>
          <w:lang w:val="es-ES_tradnl"/>
        </w:rPr>
        <w:t xml:space="preserve">f.) Jaime Pozo Chamorro, </w:t>
      </w:r>
      <w:r>
        <w:rPr>
          <w:b/>
          <w:bCs/>
          <w:spacing w:val="-4"/>
          <w:sz w:val="18"/>
          <w:szCs w:val="18"/>
          <w:lang w:val="es-ES_tradnl"/>
        </w:rPr>
        <w:t>SECRETARIO GENERAL.</w:t>
      </w:r>
    </w:p>
    <w:p w14:paraId="4F67B34F" w14:textId="77777777" w:rsidR="00591D54" w:rsidRDefault="00591D54">
      <w:pPr>
        <w:shd w:val="clear" w:color="auto" w:fill="FFFFFF"/>
        <w:spacing w:before="202" w:line="230"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350" w14:textId="77777777" w:rsidR="00591D54" w:rsidRDefault="00591D54">
      <w:pPr>
        <w:shd w:val="clear" w:color="auto" w:fill="FFFFFF"/>
        <w:spacing w:before="206"/>
      </w:pPr>
      <w:r>
        <w:rPr>
          <w:b/>
          <w:bCs/>
          <w:spacing w:val="-5"/>
          <w:sz w:val="18"/>
          <w:szCs w:val="18"/>
          <w:u w:val="single"/>
          <w:lang w:val="es-ES_tradnl"/>
        </w:rPr>
        <w:t>CASO Nro. 0721-14-EP</w:t>
      </w:r>
    </w:p>
    <w:p w14:paraId="4F67B351" w14:textId="77777777" w:rsidR="00591D54" w:rsidRDefault="00591D54">
      <w:pPr>
        <w:shd w:val="clear" w:color="auto" w:fill="FFFFFF"/>
        <w:spacing w:before="202" w:line="230" w:lineRule="exact"/>
        <w:jc w:val="both"/>
      </w:pPr>
      <w:r>
        <w:rPr>
          <w:b/>
          <w:bCs/>
          <w:spacing w:val="-4"/>
          <w:sz w:val="18"/>
          <w:szCs w:val="18"/>
          <w:lang w:val="es-ES_tradnl"/>
        </w:rPr>
        <w:t>RAZ</w:t>
      </w:r>
      <w:r>
        <w:rPr>
          <w:rFonts w:cs="Times New Roman"/>
          <w:b/>
          <w:bCs/>
          <w:spacing w:val="-4"/>
          <w:sz w:val="18"/>
          <w:szCs w:val="18"/>
          <w:lang w:val="es-ES_tradnl"/>
        </w:rPr>
        <w:t>Ó</w:t>
      </w:r>
      <w:r>
        <w:rPr>
          <w:b/>
          <w:bCs/>
          <w:spacing w:val="-4"/>
          <w:sz w:val="18"/>
          <w:szCs w:val="18"/>
          <w:lang w:val="es-ES_tradnl"/>
        </w:rPr>
        <w:t xml:space="preserve">N.- </w:t>
      </w:r>
      <w:r>
        <w:rPr>
          <w:spacing w:val="-4"/>
          <w:sz w:val="18"/>
          <w:szCs w:val="18"/>
          <w:lang w:val="es-ES_tradnl"/>
        </w:rPr>
        <w:t xml:space="preserve">Siento por tal, que la Jueza Wendy Molina </w:t>
      </w:r>
      <w:r>
        <w:rPr>
          <w:spacing w:val="-6"/>
          <w:sz w:val="18"/>
          <w:szCs w:val="18"/>
          <w:lang w:val="es-ES_tradnl"/>
        </w:rPr>
        <w:t>Andrade, suscribi</w:t>
      </w:r>
      <w:r>
        <w:rPr>
          <w:rFonts w:cs="Times New Roman"/>
          <w:spacing w:val="-6"/>
          <w:sz w:val="18"/>
          <w:szCs w:val="18"/>
          <w:lang w:val="es-ES_tradnl"/>
        </w:rPr>
        <w:t>ó</w:t>
      </w:r>
      <w:r>
        <w:rPr>
          <w:spacing w:val="-6"/>
          <w:sz w:val="18"/>
          <w:szCs w:val="18"/>
          <w:lang w:val="es-ES_tradnl"/>
        </w:rPr>
        <w:t xml:space="preserve"> la presente sentencia el d</w:t>
      </w:r>
      <w:r>
        <w:rPr>
          <w:rFonts w:cs="Times New Roman"/>
          <w:spacing w:val="-6"/>
          <w:sz w:val="18"/>
          <w:szCs w:val="18"/>
          <w:lang w:val="es-ES_tradnl"/>
        </w:rPr>
        <w:t>í</w:t>
      </w:r>
      <w:r>
        <w:rPr>
          <w:spacing w:val="-6"/>
          <w:sz w:val="18"/>
          <w:szCs w:val="18"/>
          <w:lang w:val="es-ES_tradnl"/>
        </w:rPr>
        <w:t xml:space="preserve">a martes 01 </w:t>
      </w:r>
      <w:r>
        <w:rPr>
          <w:spacing w:val="-8"/>
          <w:sz w:val="18"/>
          <w:szCs w:val="18"/>
          <w:lang w:val="es-ES_tradnl"/>
        </w:rPr>
        <w:t xml:space="preserve">de septiembre del 2015, en calidad de presidenta (e) de la </w:t>
      </w:r>
      <w:r>
        <w:rPr>
          <w:spacing w:val="-7"/>
          <w:sz w:val="18"/>
          <w:szCs w:val="18"/>
          <w:lang w:val="es-ES_tradnl"/>
        </w:rPr>
        <w:t>Corte Constitucional, al momento de expedirse la misma.-</w:t>
      </w:r>
      <w:r>
        <w:rPr>
          <w:sz w:val="18"/>
          <w:szCs w:val="18"/>
          <w:lang w:val="es-ES_tradnl"/>
        </w:rPr>
        <w:t>Lo certifico.</w:t>
      </w:r>
    </w:p>
    <w:p w14:paraId="4F67B352" w14:textId="77777777" w:rsidR="00591D54" w:rsidRDefault="00591D54">
      <w:pPr>
        <w:shd w:val="clear" w:color="auto" w:fill="FFFFFF"/>
        <w:spacing w:before="206"/>
      </w:pPr>
      <w:r>
        <w:rPr>
          <w:spacing w:val="-7"/>
          <w:sz w:val="18"/>
          <w:szCs w:val="18"/>
          <w:lang w:val="es-ES_tradnl"/>
        </w:rPr>
        <w:t xml:space="preserve">f.) Jaime Pozo Chamorro, </w:t>
      </w:r>
      <w:r>
        <w:rPr>
          <w:b/>
          <w:bCs/>
          <w:spacing w:val="-7"/>
          <w:sz w:val="18"/>
          <w:szCs w:val="18"/>
          <w:lang w:val="es-ES_tradnl"/>
        </w:rPr>
        <w:t>Secretario General.</w:t>
      </w:r>
    </w:p>
    <w:p w14:paraId="4F67B353" w14:textId="77777777" w:rsidR="00591D54" w:rsidRDefault="00591D54">
      <w:pPr>
        <w:shd w:val="clear" w:color="auto" w:fill="FFFFFF"/>
        <w:spacing w:before="206" w:line="22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354" w14:textId="77777777" w:rsidR="00591D54" w:rsidRDefault="00591D54">
      <w:pPr>
        <w:shd w:val="clear" w:color="auto" w:fill="FFFFFF"/>
        <w:spacing w:before="206"/>
      </w:pPr>
      <w:r>
        <w:rPr>
          <w:b/>
          <w:bCs/>
          <w:spacing w:val="-6"/>
          <w:sz w:val="18"/>
          <w:szCs w:val="18"/>
          <w:lang w:val="es-ES_tradnl"/>
        </w:rPr>
        <w:t>CAUSA N.</w:t>
      </w:r>
      <w:r>
        <w:rPr>
          <w:rFonts w:cs="Times New Roman"/>
          <w:b/>
          <w:bCs/>
          <w:spacing w:val="-6"/>
          <w:sz w:val="18"/>
          <w:szCs w:val="18"/>
          <w:lang w:val="es-ES_tradnl"/>
        </w:rPr>
        <w:t>º</w:t>
      </w:r>
      <w:r>
        <w:rPr>
          <w:b/>
          <w:bCs/>
          <w:spacing w:val="-6"/>
          <w:sz w:val="18"/>
          <w:szCs w:val="18"/>
          <w:lang w:val="es-ES_tradnl"/>
        </w:rPr>
        <w:t xml:space="preserve"> 0721-14-EP</w:t>
      </w:r>
    </w:p>
    <w:p w14:paraId="4F67B355" w14:textId="77777777" w:rsidR="00591D54" w:rsidRDefault="00591D54">
      <w:pPr>
        <w:shd w:val="clear" w:color="auto" w:fill="FFFFFF"/>
        <w:spacing w:before="206" w:line="226" w:lineRule="exact"/>
        <w:jc w:val="both"/>
      </w:pPr>
      <w:r>
        <w:rPr>
          <w:b/>
          <w:bCs/>
          <w:spacing w:val="-10"/>
          <w:sz w:val="18"/>
          <w:szCs w:val="18"/>
          <w:lang w:val="es-ES_tradnl"/>
        </w:rPr>
        <w:t>Raz</w:t>
      </w:r>
      <w:r>
        <w:rPr>
          <w:rFonts w:cs="Times New Roman"/>
          <w:b/>
          <w:bCs/>
          <w:spacing w:val="-10"/>
          <w:sz w:val="18"/>
          <w:szCs w:val="18"/>
          <w:lang w:val="es-ES_tradnl"/>
        </w:rPr>
        <w:t>ó</w:t>
      </w:r>
      <w:r>
        <w:rPr>
          <w:b/>
          <w:bCs/>
          <w:spacing w:val="-10"/>
          <w:sz w:val="18"/>
          <w:szCs w:val="18"/>
          <w:lang w:val="es-ES_tradnl"/>
        </w:rPr>
        <w:t xml:space="preserve">n: </w:t>
      </w:r>
      <w:r>
        <w:rPr>
          <w:spacing w:val="-10"/>
          <w:sz w:val="18"/>
          <w:szCs w:val="18"/>
          <w:lang w:val="es-ES_tradnl"/>
        </w:rPr>
        <w:t>Siento por tal, que el Pleno del Organismo en sesi</w:t>
      </w:r>
      <w:r>
        <w:rPr>
          <w:rFonts w:cs="Times New Roman"/>
          <w:spacing w:val="-10"/>
          <w:sz w:val="18"/>
          <w:szCs w:val="18"/>
          <w:lang w:val="es-ES_tradnl"/>
        </w:rPr>
        <w:t>ó</w:t>
      </w:r>
      <w:r>
        <w:rPr>
          <w:spacing w:val="-10"/>
          <w:sz w:val="18"/>
          <w:szCs w:val="18"/>
          <w:lang w:val="es-ES_tradnl"/>
        </w:rPr>
        <w:t xml:space="preserve">n </w:t>
      </w:r>
      <w:r>
        <w:rPr>
          <w:spacing w:val="-7"/>
          <w:sz w:val="18"/>
          <w:szCs w:val="18"/>
          <w:lang w:val="es-ES_tradnl"/>
        </w:rPr>
        <w:t>del 12 de agosto del 2015 conoci</w:t>
      </w:r>
      <w:r>
        <w:rPr>
          <w:rFonts w:cs="Times New Roman"/>
          <w:spacing w:val="-7"/>
          <w:sz w:val="18"/>
          <w:szCs w:val="18"/>
          <w:lang w:val="es-ES_tradnl"/>
        </w:rPr>
        <w:t>ó</w:t>
      </w:r>
      <w:r>
        <w:rPr>
          <w:spacing w:val="-7"/>
          <w:sz w:val="18"/>
          <w:szCs w:val="18"/>
          <w:lang w:val="es-ES_tradnl"/>
        </w:rPr>
        <w:t xml:space="preserve"> el pedido de audiencia </w:t>
      </w:r>
      <w:r>
        <w:rPr>
          <w:spacing w:val="-6"/>
          <w:sz w:val="18"/>
          <w:szCs w:val="18"/>
          <w:lang w:val="es-ES_tradnl"/>
        </w:rPr>
        <w:t>p</w:t>
      </w:r>
      <w:r>
        <w:rPr>
          <w:rFonts w:cs="Times New Roman"/>
          <w:spacing w:val="-6"/>
          <w:sz w:val="18"/>
          <w:szCs w:val="18"/>
          <w:lang w:val="es-ES_tradnl"/>
        </w:rPr>
        <w:t>ú</w:t>
      </w:r>
      <w:r>
        <w:rPr>
          <w:spacing w:val="-6"/>
          <w:sz w:val="18"/>
          <w:szCs w:val="18"/>
          <w:lang w:val="es-ES_tradnl"/>
        </w:rPr>
        <w:t>blica formulado por los se</w:t>
      </w:r>
      <w:r>
        <w:rPr>
          <w:rFonts w:cs="Times New Roman"/>
          <w:spacing w:val="-6"/>
          <w:sz w:val="18"/>
          <w:szCs w:val="18"/>
          <w:lang w:val="es-ES_tradnl"/>
        </w:rPr>
        <w:t>ñ</w:t>
      </w:r>
      <w:r>
        <w:rPr>
          <w:spacing w:val="-6"/>
          <w:sz w:val="18"/>
          <w:szCs w:val="18"/>
          <w:lang w:val="es-ES_tradnl"/>
        </w:rPr>
        <w:t xml:space="preserve">ores Fernando Guerrero </w:t>
      </w:r>
      <w:r>
        <w:rPr>
          <w:spacing w:val="-7"/>
          <w:sz w:val="18"/>
          <w:szCs w:val="18"/>
          <w:lang w:val="es-ES_tradnl"/>
        </w:rPr>
        <w:t>Herdo</w:t>
      </w:r>
      <w:r>
        <w:rPr>
          <w:rFonts w:cs="Times New Roman"/>
          <w:spacing w:val="-7"/>
          <w:sz w:val="18"/>
          <w:szCs w:val="18"/>
          <w:lang w:val="es-ES_tradnl"/>
        </w:rPr>
        <w:t>í</w:t>
      </w:r>
      <w:r>
        <w:rPr>
          <w:spacing w:val="-7"/>
          <w:sz w:val="18"/>
          <w:szCs w:val="18"/>
          <w:lang w:val="es-ES_tradnl"/>
        </w:rPr>
        <w:t>za y Julio C</w:t>
      </w:r>
      <w:r>
        <w:rPr>
          <w:rFonts w:cs="Times New Roman"/>
          <w:spacing w:val="-7"/>
          <w:sz w:val="18"/>
          <w:szCs w:val="18"/>
          <w:lang w:val="es-ES_tradnl"/>
        </w:rPr>
        <w:t>é</w:t>
      </w:r>
      <w:r>
        <w:rPr>
          <w:spacing w:val="-7"/>
          <w:sz w:val="18"/>
          <w:szCs w:val="18"/>
          <w:lang w:val="es-ES_tradnl"/>
        </w:rPr>
        <w:t>sar Ruiz, en representaci</w:t>
      </w:r>
      <w:r>
        <w:rPr>
          <w:rFonts w:cs="Times New Roman"/>
          <w:spacing w:val="-7"/>
          <w:sz w:val="18"/>
          <w:szCs w:val="18"/>
          <w:lang w:val="es-ES_tradnl"/>
        </w:rPr>
        <w:t>ó</w:t>
      </w:r>
      <w:r>
        <w:rPr>
          <w:spacing w:val="-7"/>
          <w:sz w:val="18"/>
          <w:szCs w:val="18"/>
          <w:lang w:val="es-ES_tradnl"/>
        </w:rPr>
        <w:t xml:space="preserve">n de Wilfrido </w:t>
      </w:r>
      <w:r>
        <w:rPr>
          <w:spacing w:val="-5"/>
          <w:sz w:val="18"/>
          <w:szCs w:val="18"/>
          <w:lang w:val="es-ES_tradnl"/>
        </w:rPr>
        <w:t>Montalvo Bustamante y resolvi</w:t>
      </w:r>
      <w:r>
        <w:rPr>
          <w:rFonts w:cs="Times New Roman"/>
          <w:spacing w:val="-5"/>
          <w:sz w:val="18"/>
          <w:szCs w:val="18"/>
          <w:lang w:val="es-ES_tradnl"/>
        </w:rPr>
        <w:t>ó</w:t>
      </w:r>
      <w:r>
        <w:rPr>
          <w:spacing w:val="-5"/>
          <w:sz w:val="18"/>
          <w:szCs w:val="18"/>
          <w:lang w:val="es-ES_tradnl"/>
        </w:rPr>
        <w:t xml:space="preserve"> negar dicho pedido en </w:t>
      </w:r>
      <w:r>
        <w:rPr>
          <w:spacing w:val="-2"/>
          <w:sz w:val="18"/>
          <w:szCs w:val="18"/>
          <w:lang w:val="es-ES_tradnl"/>
        </w:rPr>
        <w:t>virtud de lo dispuesto en el art</w:t>
      </w:r>
      <w:r>
        <w:rPr>
          <w:rFonts w:cs="Times New Roman"/>
          <w:spacing w:val="-2"/>
          <w:sz w:val="18"/>
          <w:szCs w:val="18"/>
          <w:lang w:val="es-ES_tradnl"/>
        </w:rPr>
        <w:t>í</w:t>
      </w:r>
      <w:r>
        <w:rPr>
          <w:spacing w:val="-2"/>
          <w:sz w:val="18"/>
          <w:szCs w:val="18"/>
          <w:lang w:val="es-ES_tradnl"/>
        </w:rPr>
        <w:t xml:space="preserve">culo 22 del Reglamento </w:t>
      </w:r>
      <w:r>
        <w:rPr>
          <w:spacing w:val="-9"/>
          <w:sz w:val="18"/>
          <w:szCs w:val="18"/>
          <w:lang w:val="es-ES_tradnl"/>
        </w:rPr>
        <w:t>de Sustanciaci</w:t>
      </w:r>
      <w:r>
        <w:rPr>
          <w:rFonts w:cs="Times New Roman"/>
          <w:spacing w:val="-9"/>
          <w:sz w:val="18"/>
          <w:szCs w:val="18"/>
          <w:lang w:val="es-ES_tradnl"/>
        </w:rPr>
        <w:t>ó</w:t>
      </w:r>
      <w:r>
        <w:rPr>
          <w:spacing w:val="-9"/>
          <w:sz w:val="18"/>
          <w:szCs w:val="18"/>
          <w:lang w:val="es-ES_tradnl"/>
        </w:rPr>
        <w:t xml:space="preserve">n de Procesos de Competencia de la Corte </w:t>
      </w:r>
      <w:r>
        <w:rPr>
          <w:sz w:val="18"/>
          <w:szCs w:val="18"/>
          <w:lang w:val="es-ES_tradnl"/>
        </w:rPr>
        <w:t xml:space="preserve">Constitucional.- </w:t>
      </w:r>
      <w:r>
        <w:rPr>
          <w:b/>
          <w:bCs/>
          <w:sz w:val="18"/>
          <w:szCs w:val="18"/>
          <w:lang w:val="es-ES_tradnl"/>
        </w:rPr>
        <w:t>Lo certifico.</w:t>
      </w:r>
    </w:p>
    <w:p w14:paraId="4F67B356" w14:textId="77777777" w:rsidR="00591D54" w:rsidRDefault="00591D54">
      <w:pPr>
        <w:shd w:val="clear" w:color="auto" w:fill="FFFFFF"/>
        <w:spacing w:before="206"/>
      </w:pPr>
      <w:r>
        <w:rPr>
          <w:spacing w:val="-7"/>
          <w:sz w:val="18"/>
          <w:szCs w:val="18"/>
          <w:lang w:val="es-ES_tradnl"/>
        </w:rPr>
        <w:t xml:space="preserve">f.) Jaime Pozo Chamorro, </w:t>
      </w:r>
      <w:r>
        <w:rPr>
          <w:b/>
          <w:bCs/>
          <w:spacing w:val="-7"/>
          <w:sz w:val="18"/>
          <w:szCs w:val="18"/>
          <w:lang w:val="es-ES_tradnl"/>
        </w:rPr>
        <w:t>Secretario General.</w:t>
      </w:r>
    </w:p>
    <w:p w14:paraId="4F67B357" w14:textId="77777777" w:rsidR="00591D54" w:rsidRDefault="00591D54">
      <w:pPr>
        <w:shd w:val="clear" w:color="auto" w:fill="FFFFFF"/>
        <w:spacing w:before="202" w:line="230"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358" w14:textId="77777777" w:rsidR="00591D54" w:rsidRDefault="00591D54">
      <w:pPr>
        <w:shd w:val="clear" w:color="auto" w:fill="FFFFFF"/>
        <w:spacing w:before="10" w:line="427" w:lineRule="exact"/>
      </w:pPr>
      <w:r>
        <w:br w:type="column"/>
      </w:r>
      <w:r>
        <w:rPr>
          <w:spacing w:val="-7"/>
          <w:sz w:val="18"/>
          <w:szCs w:val="18"/>
          <w:lang w:val="es-ES_tradnl"/>
        </w:rPr>
        <w:t>Quito, D. M., 12 de agosto de 2015</w:t>
      </w:r>
    </w:p>
    <w:p w14:paraId="4F67B359" w14:textId="77777777" w:rsidR="00591D54" w:rsidRDefault="00591D54">
      <w:pPr>
        <w:shd w:val="clear" w:color="auto" w:fill="FFFFFF"/>
        <w:spacing w:line="427" w:lineRule="exact"/>
        <w:ind w:left="850"/>
      </w:pPr>
      <w:r>
        <w:rPr>
          <w:b/>
          <w:bCs/>
          <w:spacing w:val="-3"/>
          <w:sz w:val="18"/>
          <w:szCs w:val="18"/>
          <w:u w:val="single"/>
          <w:lang w:val="es-ES_tradnl"/>
        </w:rPr>
        <w:t>SENTENCIA N.</w:t>
      </w:r>
      <w:r>
        <w:rPr>
          <w:rFonts w:cs="Times New Roman"/>
          <w:b/>
          <w:bCs/>
          <w:spacing w:val="-3"/>
          <w:sz w:val="18"/>
          <w:szCs w:val="18"/>
          <w:u w:val="single"/>
          <w:lang w:val="es-ES_tradnl"/>
        </w:rPr>
        <w:t>º</w:t>
      </w:r>
      <w:r>
        <w:rPr>
          <w:b/>
          <w:bCs/>
          <w:spacing w:val="-3"/>
          <w:sz w:val="18"/>
          <w:szCs w:val="18"/>
          <w:u w:val="single"/>
          <w:lang w:val="es-ES_tradnl"/>
        </w:rPr>
        <w:t xml:space="preserve"> 265-15-SEP-CC</w:t>
      </w:r>
    </w:p>
    <w:p w14:paraId="4F67B35A" w14:textId="77777777" w:rsidR="00591D54" w:rsidRDefault="00591D54">
      <w:pPr>
        <w:shd w:val="clear" w:color="auto" w:fill="FFFFFF"/>
        <w:spacing w:line="427" w:lineRule="exact"/>
        <w:ind w:left="1296"/>
      </w:pPr>
      <w:r>
        <w:rPr>
          <w:b/>
          <w:bCs/>
          <w:spacing w:val="-5"/>
          <w:sz w:val="18"/>
          <w:szCs w:val="18"/>
          <w:u w:val="single"/>
          <w:lang w:val="es-ES_tradnl"/>
        </w:rPr>
        <w:t>CASO N.</w:t>
      </w:r>
      <w:r>
        <w:rPr>
          <w:rFonts w:cs="Times New Roman"/>
          <w:b/>
          <w:bCs/>
          <w:spacing w:val="-5"/>
          <w:sz w:val="18"/>
          <w:szCs w:val="18"/>
          <w:u w:val="single"/>
          <w:lang w:val="es-ES_tradnl"/>
        </w:rPr>
        <w:t>º</w:t>
      </w:r>
      <w:r>
        <w:rPr>
          <w:b/>
          <w:bCs/>
          <w:spacing w:val="-5"/>
          <w:sz w:val="18"/>
          <w:szCs w:val="18"/>
          <w:u w:val="single"/>
          <w:lang w:val="es-ES_tradnl"/>
        </w:rPr>
        <w:t xml:space="preserve"> 1204-12-EP</w:t>
      </w:r>
    </w:p>
    <w:p w14:paraId="4F67B35B" w14:textId="77777777" w:rsidR="00591D54" w:rsidRDefault="00591D54">
      <w:pPr>
        <w:shd w:val="clear" w:color="auto" w:fill="FFFFFF"/>
        <w:spacing w:line="427" w:lineRule="exact"/>
        <w:ind w:left="298"/>
      </w:pPr>
      <w:r>
        <w:rPr>
          <w:b/>
          <w:bCs/>
          <w:sz w:val="18"/>
          <w:szCs w:val="18"/>
          <w:lang w:val="es-ES_tradnl"/>
        </w:rPr>
        <w:t>CORTE CONSTITUCIONAL DEL ECUADOR</w:t>
      </w:r>
    </w:p>
    <w:p w14:paraId="4F67B35C" w14:textId="77777777" w:rsidR="00591D54" w:rsidRDefault="00591D54">
      <w:pPr>
        <w:shd w:val="clear" w:color="auto" w:fill="FFFFFF"/>
        <w:spacing w:line="427" w:lineRule="exact"/>
        <w:ind w:left="1339"/>
      </w:pPr>
      <w:r>
        <w:rPr>
          <w:b/>
          <w:bCs/>
          <w:sz w:val="18"/>
          <w:szCs w:val="18"/>
          <w:lang w:val="es-ES_tradnl"/>
        </w:rPr>
        <w:t>I. ANTECEDENTES</w:t>
      </w:r>
    </w:p>
    <w:p w14:paraId="4F67B35D" w14:textId="77777777" w:rsidR="00591D54" w:rsidRDefault="00591D54">
      <w:pPr>
        <w:shd w:val="clear" w:color="auto" w:fill="FFFFFF"/>
        <w:spacing w:line="427" w:lineRule="exact"/>
      </w:pPr>
      <w:r>
        <w:rPr>
          <w:b/>
          <w:bCs/>
          <w:spacing w:val="-9"/>
          <w:sz w:val="18"/>
          <w:szCs w:val="18"/>
          <w:lang w:val="es-ES_tradnl"/>
        </w:rPr>
        <w:t>Resumen de admisibilidad</w:t>
      </w:r>
    </w:p>
    <w:p w14:paraId="4F67B35E" w14:textId="77777777" w:rsidR="00591D54" w:rsidRDefault="00591D54">
      <w:pPr>
        <w:shd w:val="clear" w:color="auto" w:fill="FFFFFF"/>
        <w:spacing w:before="163" w:line="216" w:lineRule="exact"/>
        <w:jc w:val="both"/>
      </w:pPr>
      <w:r>
        <w:rPr>
          <w:spacing w:val="-10"/>
          <w:sz w:val="18"/>
          <w:szCs w:val="18"/>
          <w:lang w:val="es-ES_tradnl"/>
        </w:rPr>
        <w:t>La presente demanda de acci</w:t>
      </w:r>
      <w:r>
        <w:rPr>
          <w:rFonts w:cs="Times New Roman"/>
          <w:spacing w:val="-10"/>
          <w:sz w:val="18"/>
          <w:szCs w:val="18"/>
          <w:lang w:val="es-ES_tradnl"/>
        </w:rPr>
        <w:t>ó</w:t>
      </w:r>
      <w:r>
        <w:rPr>
          <w:spacing w:val="-10"/>
          <w:sz w:val="18"/>
          <w:szCs w:val="18"/>
          <w:lang w:val="es-ES_tradnl"/>
        </w:rPr>
        <w:t>n extraordinaria de protecci</w:t>
      </w:r>
      <w:r>
        <w:rPr>
          <w:rFonts w:cs="Times New Roman"/>
          <w:spacing w:val="-10"/>
          <w:sz w:val="18"/>
          <w:szCs w:val="18"/>
          <w:lang w:val="es-ES_tradnl"/>
        </w:rPr>
        <w:t>ó</w:t>
      </w:r>
      <w:r>
        <w:rPr>
          <w:spacing w:val="-10"/>
          <w:sz w:val="18"/>
          <w:szCs w:val="18"/>
          <w:lang w:val="es-ES_tradnl"/>
        </w:rPr>
        <w:t xml:space="preserve">n </w:t>
      </w:r>
      <w:r>
        <w:rPr>
          <w:spacing w:val="-7"/>
          <w:sz w:val="18"/>
          <w:szCs w:val="18"/>
          <w:lang w:val="es-ES_tradnl"/>
        </w:rPr>
        <w:t>fue presentada por el se</w:t>
      </w:r>
      <w:r>
        <w:rPr>
          <w:rFonts w:cs="Times New Roman"/>
          <w:spacing w:val="-7"/>
          <w:sz w:val="18"/>
          <w:szCs w:val="18"/>
          <w:lang w:val="es-ES_tradnl"/>
        </w:rPr>
        <w:t>ñ</w:t>
      </w:r>
      <w:r>
        <w:rPr>
          <w:spacing w:val="-7"/>
          <w:sz w:val="18"/>
          <w:szCs w:val="18"/>
          <w:lang w:val="es-ES_tradnl"/>
        </w:rPr>
        <w:t xml:space="preserve">or Manuel Gonzalo Quillupangui </w:t>
      </w:r>
      <w:r>
        <w:rPr>
          <w:spacing w:val="-8"/>
          <w:sz w:val="18"/>
          <w:szCs w:val="18"/>
          <w:lang w:val="es-ES_tradnl"/>
        </w:rPr>
        <w:t xml:space="preserve">Ninahualpa, por sus propios derechos, el 01 de agosto de </w:t>
      </w:r>
      <w:r>
        <w:rPr>
          <w:spacing w:val="-7"/>
          <w:sz w:val="18"/>
          <w:szCs w:val="18"/>
          <w:lang w:val="es-ES_tradnl"/>
        </w:rPr>
        <w:t xml:space="preserve">2012, en contra del auto dictado por la Sala de lo Penal de </w:t>
      </w:r>
      <w:r>
        <w:rPr>
          <w:spacing w:val="-8"/>
          <w:sz w:val="18"/>
          <w:szCs w:val="18"/>
          <w:lang w:val="es-ES_tradnl"/>
        </w:rPr>
        <w:t xml:space="preserve">la Corte Nacional de Justicia, el 12 de junio de 2012, dentro </w:t>
      </w:r>
      <w:r>
        <w:rPr>
          <w:sz w:val="18"/>
          <w:szCs w:val="18"/>
          <w:lang w:val="es-ES_tradnl"/>
        </w:rPr>
        <w:t>del juicio signado con el N.</w:t>
      </w:r>
      <w:r>
        <w:rPr>
          <w:rFonts w:cs="Times New Roman"/>
          <w:sz w:val="18"/>
          <w:szCs w:val="18"/>
          <w:lang w:val="es-ES_tradnl"/>
        </w:rPr>
        <w:t>º</w:t>
      </w:r>
      <w:r>
        <w:rPr>
          <w:sz w:val="18"/>
          <w:szCs w:val="18"/>
          <w:lang w:val="es-ES_tradnl"/>
        </w:rPr>
        <w:t xml:space="preserve"> 0200-2012.</w:t>
      </w:r>
    </w:p>
    <w:p w14:paraId="4F67B35F" w14:textId="77777777" w:rsidR="00591D54" w:rsidRDefault="00591D54">
      <w:pPr>
        <w:shd w:val="clear" w:color="auto" w:fill="FFFFFF"/>
        <w:spacing w:before="197" w:line="216" w:lineRule="exact"/>
        <w:jc w:val="both"/>
      </w:pPr>
      <w:r>
        <w:rPr>
          <w:spacing w:val="-7"/>
          <w:sz w:val="18"/>
          <w:szCs w:val="18"/>
          <w:lang w:val="es-ES_tradnl"/>
        </w:rPr>
        <w:t xml:space="preserve">El 15 de agosto de 2015, de conformidad con el segundo </w:t>
      </w:r>
      <w:r>
        <w:rPr>
          <w:spacing w:val="-1"/>
          <w:sz w:val="18"/>
          <w:szCs w:val="18"/>
          <w:lang w:val="es-ES_tradnl"/>
        </w:rPr>
        <w:t>inciso del cuarto art</w:t>
      </w:r>
      <w:r>
        <w:rPr>
          <w:rFonts w:cs="Times New Roman"/>
          <w:spacing w:val="-1"/>
          <w:sz w:val="18"/>
          <w:szCs w:val="18"/>
          <w:lang w:val="es-ES_tradnl"/>
        </w:rPr>
        <w:t>í</w:t>
      </w:r>
      <w:r>
        <w:rPr>
          <w:spacing w:val="-1"/>
          <w:sz w:val="18"/>
          <w:szCs w:val="18"/>
          <w:lang w:val="es-ES_tradnl"/>
        </w:rPr>
        <w:t xml:space="preserve">culo innumerado agregado a </w:t>
      </w:r>
      <w:r>
        <w:rPr>
          <w:spacing w:val="-10"/>
          <w:sz w:val="18"/>
          <w:szCs w:val="18"/>
          <w:lang w:val="es-ES_tradnl"/>
        </w:rPr>
        <w:t>continuaci</w:t>
      </w:r>
      <w:r>
        <w:rPr>
          <w:rFonts w:cs="Times New Roman"/>
          <w:spacing w:val="-10"/>
          <w:sz w:val="18"/>
          <w:szCs w:val="18"/>
          <w:lang w:val="es-ES_tradnl"/>
        </w:rPr>
        <w:t>ó</w:t>
      </w:r>
      <w:r>
        <w:rPr>
          <w:spacing w:val="-10"/>
          <w:sz w:val="18"/>
          <w:szCs w:val="18"/>
          <w:lang w:val="es-ES_tradnl"/>
        </w:rPr>
        <w:t>n del art</w:t>
      </w:r>
      <w:r>
        <w:rPr>
          <w:rFonts w:cs="Times New Roman"/>
          <w:spacing w:val="-10"/>
          <w:sz w:val="18"/>
          <w:szCs w:val="18"/>
          <w:lang w:val="es-ES_tradnl"/>
        </w:rPr>
        <w:t>í</w:t>
      </w:r>
      <w:r>
        <w:rPr>
          <w:spacing w:val="-10"/>
          <w:sz w:val="18"/>
          <w:szCs w:val="18"/>
          <w:lang w:val="es-ES_tradnl"/>
        </w:rPr>
        <w:t>culo 8 del Reglamento de Sustanciaci</w:t>
      </w:r>
      <w:r>
        <w:rPr>
          <w:rFonts w:cs="Times New Roman"/>
          <w:spacing w:val="-10"/>
          <w:sz w:val="18"/>
          <w:szCs w:val="18"/>
          <w:lang w:val="es-ES_tradnl"/>
        </w:rPr>
        <w:t>ó</w:t>
      </w:r>
      <w:r>
        <w:rPr>
          <w:spacing w:val="-10"/>
          <w:sz w:val="18"/>
          <w:szCs w:val="18"/>
          <w:lang w:val="es-ES_tradnl"/>
        </w:rPr>
        <w:t xml:space="preserve">n </w:t>
      </w:r>
      <w:r>
        <w:rPr>
          <w:spacing w:val="-5"/>
          <w:sz w:val="18"/>
          <w:szCs w:val="18"/>
          <w:lang w:val="es-ES_tradnl"/>
        </w:rPr>
        <w:t xml:space="preserve">de Procesos de Competencia de la Corte Constitucional, </w:t>
      </w:r>
      <w:r>
        <w:rPr>
          <w:spacing w:val="-6"/>
          <w:sz w:val="18"/>
          <w:szCs w:val="18"/>
          <w:lang w:val="es-ES_tradnl"/>
        </w:rPr>
        <w:t>la Secretar</w:t>
      </w:r>
      <w:r>
        <w:rPr>
          <w:rFonts w:cs="Times New Roman"/>
          <w:spacing w:val="-6"/>
          <w:sz w:val="18"/>
          <w:szCs w:val="18"/>
          <w:lang w:val="es-ES_tradnl"/>
        </w:rPr>
        <w:t>í</w:t>
      </w:r>
      <w:r>
        <w:rPr>
          <w:spacing w:val="-6"/>
          <w:sz w:val="18"/>
          <w:szCs w:val="18"/>
          <w:lang w:val="es-ES_tradnl"/>
        </w:rPr>
        <w:t>a General de la Corte Constitucional certific</w:t>
      </w:r>
      <w:r>
        <w:rPr>
          <w:rFonts w:cs="Times New Roman"/>
          <w:spacing w:val="-6"/>
          <w:sz w:val="18"/>
          <w:szCs w:val="18"/>
          <w:lang w:val="es-ES_tradnl"/>
        </w:rPr>
        <w:t xml:space="preserve">ó </w:t>
      </w:r>
      <w:r>
        <w:rPr>
          <w:spacing w:val="-6"/>
          <w:sz w:val="18"/>
          <w:szCs w:val="18"/>
          <w:lang w:val="es-ES_tradnl"/>
        </w:rPr>
        <w:t>que en referencia a la acci</w:t>
      </w:r>
      <w:r>
        <w:rPr>
          <w:rFonts w:cs="Times New Roman"/>
          <w:spacing w:val="-6"/>
          <w:sz w:val="18"/>
          <w:szCs w:val="18"/>
          <w:lang w:val="es-ES_tradnl"/>
        </w:rPr>
        <w:t>ó</w:t>
      </w:r>
      <w:r>
        <w:rPr>
          <w:spacing w:val="-6"/>
          <w:sz w:val="18"/>
          <w:szCs w:val="18"/>
          <w:lang w:val="es-ES_tradnl"/>
        </w:rPr>
        <w:t>n N.</w:t>
      </w:r>
      <w:r>
        <w:rPr>
          <w:rFonts w:cs="Times New Roman"/>
          <w:spacing w:val="-6"/>
          <w:sz w:val="18"/>
          <w:szCs w:val="18"/>
          <w:lang w:val="es-ES_tradnl"/>
        </w:rPr>
        <w:t>º</w:t>
      </w:r>
      <w:r>
        <w:rPr>
          <w:spacing w:val="-6"/>
          <w:sz w:val="18"/>
          <w:szCs w:val="18"/>
          <w:lang w:val="es-ES_tradnl"/>
        </w:rPr>
        <w:t xml:space="preserve"> 1204-12-EP, no se ha </w:t>
      </w:r>
      <w:r>
        <w:rPr>
          <w:spacing w:val="-9"/>
          <w:sz w:val="18"/>
          <w:szCs w:val="18"/>
          <w:lang w:val="es-ES_tradnl"/>
        </w:rPr>
        <w:t>presentado otra demanda con identidad de objeto y acci</w:t>
      </w:r>
      <w:r>
        <w:rPr>
          <w:rFonts w:cs="Times New Roman"/>
          <w:spacing w:val="-9"/>
          <w:sz w:val="18"/>
          <w:szCs w:val="18"/>
          <w:lang w:val="es-ES_tradnl"/>
        </w:rPr>
        <w:t>ó</w:t>
      </w:r>
      <w:r>
        <w:rPr>
          <w:spacing w:val="-9"/>
          <w:sz w:val="18"/>
          <w:szCs w:val="18"/>
          <w:lang w:val="es-ES_tradnl"/>
        </w:rPr>
        <w:t>n.</w:t>
      </w:r>
    </w:p>
    <w:p w14:paraId="4F67B360" w14:textId="77777777" w:rsidR="00591D54" w:rsidRDefault="00591D54">
      <w:pPr>
        <w:shd w:val="clear" w:color="auto" w:fill="FFFFFF"/>
        <w:spacing w:before="197" w:line="216" w:lineRule="exact"/>
        <w:jc w:val="both"/>
      </w:pPr>
      <w:r>
        <w:rPr>
          <w:sz w:val="18"/>
          <w:szCs w:val="18"/>
          <w:lang w:val="es-ES_tradnl"/>
        </w:rPr>
        <w:t>La Sala de Admisi</w:t>
      </w:r>
      <w:r>
        <w:rPr>
          <w:rFonts w:cs="Times New Roman"/>
          <w:sz w:val="18"/>
          <w:szCs w:val="18"/>
          <w:lang w:val="es-ES_tradnl"/>
        </w:rPr>
        <w:t>ó</w:t>
      </w:r>
      <w:r>
        <w:rPr>
          <w:sz w:val="18"/>
          <w:szCs w:val="18"/>
          <w:lang w:val="es-ES_tradnl"/>
        </w:rPr>
        <w:t xml:space="preserve">n de la Corte Constitucional, para </w:t>
      </w:r>
      <w:r>
        <w:rPr>
          <w:spacing w:val="-6"/>
          <w:sz w:val="18"/>
          <w:szCs w:val="18"/>
          <w:lang w:val="es-ES_tradnl"/>
        </w:rPr>
        <w:t>el per</w:t>
      </w:r>
      <w:r>
        <w:rPr>
          <w:rFonts w:cs="Times New Roman"/>
          <w:spacing w:val="-6"/>
          <w:sz w:val="18"/>
          <w:szCs w:val="18"/>
          <w:lang w:val="es-ES_tradnl"/>
        </w:rPr>
        <w:t>í</w:t>
      </w:r>
      <w:r>
        <w:rPr>
          <w:spacing w:val="-6"/>
          <w:sz w:val="18"/>
          <w:szCs w:val="18"/>
          <w:lang w:val="es-ES_tradnl"/>
        </w:rPr>
        <w:t>odo de transici</w:t>
      </w:r>
      <w:r>
        <w:rPr>
          <w:rFonts w:cs="Times New Roman"/>
          <w:spacing w:val="-6"/>
          <w:sz w:val="18"/>
          <w:szCs w:val="18"/>
          <w:lang w:val="es-ES_tradnl"/>
        </w:rPr>
        <w:t>ó</w:t>
      </w:r>
      <w:r>
        <w:rPr>
          <w:spacing w:val="-6"/>
          <w:sz w:val="18"/>
          <w:szCs w:val="18"/>
          <w:lang w:val="es-ES_tradnl"/>
        </w:rPr>
        <w:t xml:space="preserve">n, conformada por los jueces </w:t>
      </w:r>
      <w:r>
        <w:rPr>
          <w:spacing w:val="-5"/>
          <w:sz w:val="18"/>
          <w:szCs w:val="18"/>
          <w:lang w:val="es-ES_tradnl"/>
        </w:rPr>
        <w:t xml:space="preserve">constitucionales Alfonso Luz Yunes, Nina Pacari Vega y </w:t>
      </w:r>
      <w:r>
        <w:rPr>
          <w:spacing w:val="-6"/>
          <w:sz w:val="18"/>
          <w:szCs w:val="18"/>
          <w:lang w:val="es-ES_tradnl"/>
        </w:rPr>
        <w:t xml:space="preserve">Manuel Viteri Olvera, mediante auto del 19 de septiembre </w:t>
      </w:r>
      <w:r>
        <w:rPr>
          <w:spacing w:val="-5"/>
          <w:sz w:val="18"/>
          <w:szCs w:val="18"/>
          <w:lang w:val="es-ES_tradnl"/>
        </w:rPr>
        <w:t>de 2012, admiti</w:t>
      </w:r>
      <w:r>
        <w:rPr>
          <w:rFonts w:cs="Times New Roman"/>
          <w:spacing w:val="-5"/>
          <w:sz w:val="18"/>
          <w:szCs w:val="18"/>
          <w:lang w:val="es-ES_tradnl"/>
        </w:rPr>
        <w:t>ó</w:t>
      </w:r>
      <w:r>
        <w:rPr>
          <w:spacing w:val="-5"/>
          <w:sz w:val="18"/>
          <w:szCs w:val="18"/>
          <w:lang w:val="es-ES_tradnl"/>
        </w:rPr>
        <w:t xml:space="preserve"> a tr</w:t>
      </w:r>
      <w:r>
        <w:rPr>
          <w:rFonts w:cs="Times New Roman"/>
          <w:spacing w:val="-5"/>
          <w:sz w:val="18"/>
          <w:szCs w:val="18"/>
          <w:lang w:val="es-ES_tradnl"/>
        </w:rPr>
        <w:t>á</w:t>
      </w:r>
      <w:r>
        <w:rPr>
          <w:spacing w:val="-5"/>
          <w:sz w:val="18"/>
          <w:szCs w:val="18"/>
          <w:lang w:val="es-ES_tradnl"/>
        </w:rPr>
        <w:t>mite la acci</w:t>
      </w:r>
      <w:r>
        <w:rPr>
          <w:rFonts w:cs="Times New Roman"/>
          <w:spacing w:val="-5"/>
          <w:sz w:val="18"/>
          <w:szCs w:val="18"/>
          <w:lang w:val="es-ES_tradnl"/>
        </w:rPr>
        <w:t>ó</w:t>
      </w:r>
      <w:r>
        <w:rPr>
          <w:spacing w:val="-5"/>
          <w:sz w:val="18"/>
          <w:szCs w:val="18"/>
          <w:lang w:val="es-ES_tradnl"/>
        </w:rPr>
        <w:t xml:space="preserve">n extraordinaria de </w:t>
      </w:r>
      <w:r>
        <w:rPr>
          <w:sz w:val="18"/>
          <w:szCs w:val="18"/>
          <w:lang w:val="es-ES_tradnl"/>
        </w:rPr>
        <w:t>protecci</w:t>
      </w:r>
      <w:r>
        <w:rPr>
          <w:rFonts w:cs="Times New Roman"/>
          <w:sz w:val="18"/>
          <w:szCs w:val="18"/>
          <w:lang w:val="es-ES_tradnl"/>
        </w:rPr>
        <w:t>ó</w:t>
      </w:r>
      <w:r>
        <w:rPr>
          <w:sz w:val="18"/>
          <w:szCs w:val="18"/>
          <w:lang w:val="es-ES_tradnl"/>
        </w:rPr>
        <w:t>n N.</w:t>
      </w:r>
      <w:r>
        <w:rPr>
          <w:rFonts w:cs="Times New Roman"/>
          <w:sz w:val="18"/>
          <w:szCs w:val="18"/>
          <w:lang w:val="es-ES_tradnl"/>
        </w:rPr>
        <w:t>º</w:t>
      </w:r>
      <w:r>
        <w:rPr>
          <w:sz w:val="18"/>
          <w:szCs w:val="18"/>
          <w:lang w:val="es-ES_tradnl"/>
        </w:rPr>
        <w:t xml:space="preserve"> 1204-12-EP.</w:t>
      </w:r>
    </w:p>
    <w:p w14:paraId="4F67B361" w14:textId="77777777" w:rsidR="00591D54" w:rsidRDefault="00591D54">
      <w:pPr>
        <w:shd w:val="clear" w:color="auto" w:fill="FFFFFF"/>
        <w:spacing w:before="197" w:line="216" w:lineRule="exact"/>
        <w:jc w:val="both"/>
      </w:pPr>
      <w:r>
        <w:rPr>
          <w:spacing w:val="-6"/>
          <w:sz w:val="18"/>
          <w:szCs w:val="18"/>
          <w:lang w:val="es-ES_tradnl"/>
        </w:rPr>
        <w:t>Conforme a lo dispuesto en los art</w:t>
      </w:r>
      <w:r>
        <w:rPr>
          <w:rFonts w:cs="Times New Roman"/>
          <w:spacing w:val="-6"/>
          <w:sz w:val="18"/>
          <w:szCs w:val="18"/>
          <w:lang w:val="es-ES_tradnl"/>
        </w:rPr>
        <w:t>í</w:t>
      </w:r>
      <w:r>
        <w:rPr>
          <w:spacing w:val="-6"/>
          <w:sz w:val="18"/>
          <w:szCs w:val="18"/>
          <w:lang w:val="es-ES_tradnl"/>
        </w:rPr>
        <w:t xml:space="preserve">culos 432 y 434 de la </w:t>
      </w:r>
      <w:r>
        <w:rPr>
          <w:spacing w:val="-7"/>
          <w:sz w:val="18"/>
          <w:szCs w:val="18"/>
          <w:lang w:val="es-ES_tradnl"/>
        </w:rPr>
        <w:t>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 xml:space="preserve">blica, el 06 de noviembre de 2012, </w:t>
      </w:r>
      <w:r>
        <w:rPr>
          <w:spacing w:val="-9"/>
          <w:sz w:val="18"/>
          <w:szCs w:val="18"/>
          <w:lang w:val="es-ES_tradnl"/>
        </w:rPr>
        <w:t xml:space="preserve">se posesionaron ante el Pleno de la Asamblea Nacional los </w:t>
      </w:r>
      <w:r>
        <w:rPr>
          <w:spacing w:val="-7"/>
          <w:sz w:val="18"/>
          <w:szCs w:val="18"/>
          <w:lang w:val="es-ES_tradnl"/>
        </w:rPr>
        <w:t>jueces de la Primera Corte Constitucional del Ecuador.</w:t>
      </w:r>
    </w:p>
    <w:p w14:paraId="4F67B362" w14:textId="77777777" w:rsidR="00591D54" w:rsidRDefault="00591D54">
      <w:pPr>
        <w:shd w:val="clear" w:color="auto" w:fill="FFFFFF"/>
        <w:spacing w:before="197" w:line="216" w:lineRule="exact"/>
        <w:jc w:val="both"/>
      </w:pPr>
      <w:r>
        <w:rPr>
          <w:spacing w:val="-3"/>
          <w:sz w:val="18"/>
          <w:szCs w:val="18"/>
          <w:lang w:val="es-ES_tradnl"/>
        </w:rPr>
        <w:t xml:space="preserve">De conformidad con el sorteo realizado por el Pleno de </w:t>
      </w:r>
      <w:r>
        <w:rPr>
          <w:spacing w:val="-7"/>
          <w:sz w:val="18"/>
          <w:szCs w:val="18"/>
          <w:lang w:val="es-ES_tradnl"/>
        </w:rPr>
        <w:t>la Corte Constitucional en sesi</w:t>
      </w:r>
      <w:r>
        <w:rPr>
          <w:rFonts w:cs="Times New Roman"/>
          <w:spacing w:val="-7"/>
          <w:sz w:val="18"/>
          <w:szCs w:val="18"/>
          <w:lang w:val="es-ES_tradnl"/>
        </w:rPr>
        <w:t>ó</w:t>
      </w:r>
      <w:r>
        <w:rPr>
          <w:spacing w:val="-7"/>
          <w:sz w:val="18"/>
          <w:szCs w:val="18"/>
          <w:lang w:val="es-ES_tradnl"/>
        </w:rPr>
        <w:t xml:space="preserve">n extraordinaria del 03 de </w:t>
      </w:r>
      <w:r>
        <w:rPr>
          <w:spacing w:val="-8"/>
          <w:sz w:val="18"/>
          <w:szCs w:val="18"/>
          <w:lang w:val="es-ES_tradnl"/>
        </w:rPr>
        <w:t>enero de 2013, correspondi</w:t>
      </w:r>
      <w:r>
        <w:rPr>
          <w:rFonts w:cs="Times New Roman"/>
          <w:spacing w:val="-8"/>
          <w:sz w:val="18"/>
          <w:szCs w:val="18"/>
          <w:lang w:val="es-ES_tradnl"/>
        </w:rPr>
        <w:t>ó</w:t>
      </w:r>
      <w:r>
        <w:rPr>
          <w:spacing w:val="-8"/>
          <w:sz w:val="18"/>
          <w:szCs w:val="18"/>
          <w:lang w:val="es-ES_tradnl"/>
        </w:rPr>
        <w:t xml:space="preserve"> al juez constitucional Marcelo </w:t>
      </w:r>
      <w:r>
        <w:rPr>
          <w:spacing w:val="-9"/>
          <w:sz w:val="18"/>
          <w:szCs w:val="18"/>
          <w:lang w:val="es-ES_tradnl"/>
        </w:rPr>
        <w:t xml:space="preserve">Jaramillo Villa sustanciar la presente causa, quien mediante </w:t>
      </w:r>
      <w:r>
        <w:rPr>
          <w:spacing w:val="-7"/>
          <w:sz w:val="18"/>
          <w:szCs w:val="18"/>
          <w:lang w:val="es-ES_tradnl"/>
        </w:rPr>
        <w:t>auto del 27 de marzo de 2014, avoc</w:t>
      </w:r>
      <w:r>
        <w:rPr>
          <w:rFonts w:cs="Times New Roman"/>
          <w:spacing w:val="-7"/>
          <w:sz w:val="18"/>
          <w:szCs w:val="18"/>
          <w:lang w:val="es-ES_tradnl"/>
        </w:rPr>
        <w:t>ó</w:t>
      </w:r>
      <w:r>
        <w:rPr>
          <w:spacing w:val="-7"/>
          <w:sz w:val="18"/>
          <w:szCs w:val="18"/>
          <w:lang w:val="es-ES_tradnl"/>
        </w:rPr>
        <w:t xml:space="preserve"> conocimiento de la </w:t>
      </w:r>
      <w:r>
        <w:rPr>
          <w:sz w:val="18"/>
          <w:szCs w:val="18"/>
          <w:lang w:val="es-ES_tradnl"/>
        </w:rPr>
        <w:t>misma.</w:t>
      </w:r>
    </w:p>
    <w:p w14:paraId="4F67B363" w14:textId="77777777" w:rsidR="00591D54" w:rsidRDefault="00591D54">
      <w:pPr>
        <w:shd w:val="clear" w:color="auto" w:fill="FFFFFF"/>
        <w:spacing w:before="192"/>
      </w:pPr>
      <w:r>
        <w:rPr>
          <w:b/>
          <w:bCs/>
          <w:spacing w:val="-8"/>
          <w:sz w:val="18"/>
          <w:szCs w:val="18"/>
          <w:lang w:val="es-ES_tradnl"/>
        </w:rPr>
        <w:t>Decisi</w:t>
      </w:r>
      <w:r>
        <w:rPr>
          <w:rFonts w:cs="Times New Roman"/>
          <w:b/>
          <w:bCs/>
          <w:spacing w:val="-8"/>
          <w:sz w:val="18"/>
          <w:szCs w:val="18"/>
          <w:lang w:val="es-ES_tradnl"/>
        </w:rPr>
        <w:t>ó</w:t>
      </w:r>
      <w:r>
        <w:rPr>
          <w:b/>
          <w:bCs/>
          <w:spacing w:val="-8"/>
          <w:sz w:val="18"/>
          <w:szCs w:val="18"/>
          <w:lang w:val="es-ES_tradnl"/>
        </w:rPr>
        <w:t>n judicial impugnada</w:t>
      </w:r>
    </w:p>
    <w:p w14:paraId="4F67B364" w14:textId="77777777" w:rsidR="00591D54" w:rsidRDefault="00591D54">
      <w:pPr>
        <w:shd w:val="clear" w:color="auto" w:fill="FFFFFF"/>
        <w:spacing w:before="192" w:line="216" w:lineRule="exact"/>
        <w:jc w:val="both"/>
      </w:pPr>
      <w:r>
        <w:rPr>
          <w:b/>
          <w:bCs/>
          <w:spacing w:val="-10"/>
          <w:sz w:val="18"/>
          <w:szCs w:val="18"/>
          <w:lang w:val="es-ES_tradnl"/>
        </w:rPr>
        <w:t xml:space="preserve">Auto dictado por la Sala de lo Penal de la Corte Nacional </w:t>
      </w:r>
      <w:r>
        <w:rPr>
          <w:b/>
          <w:bCs/>
          <w:spacing w:val="-6"/>
          <w:sz w:val="18"/>
          <w:szCs w:val="18"/>
          <w:lang w:val="es-ES_tradnl"/>
        </w:rPr>
        <w:t xml:space="preserve">de Justicia, el 12 de junio del 2012, dentro del juicio </w:t>
      </w:r>
      <w:r>
        <w:rPr>
          <w:b/>
          <w:bCs/>
          <w:sz w:val="18"/>
          <w:szCs w:val="18"/>
          <w:lang w:val="es-ES_tradnl"/>
        </w:rPr>
        <w:t>penal N.</w:t>
      </w:r>
      <w:r>
        <w:rPr>
          <w:rFonts w:cs="Times New Roman"/>
          <w:b/>
          <w:bCs/>
          <w:sz w:val="18"/>
          <w:szCs w:val="18"/>
          <w:lang w:val="es-ES_tradnl"/>
        </w:rPr>
        <w:t>º</w:t>
      </w:r>
      <w:r>
        <w:rPr>
          <w:b/>
          <w:bCs/>
          <w:sz w:val="18"/>
          <w:szCs w:val="18"/>
          <w:lang w:val="es-ES_tradnl"/>
        </w:rPr>
        <w:t xml:space="preserve"> 0200-2012-YP</w:t>
      </w:r>
    </w:p>
    <w:p w14:paraId="4F67B365" w14:textId="77777777" w:rsidR="00591D54" w:rsidRDefault="00591D54">
      <w:pPr>
        <w:shd w:val="clear" w:color="auto" w:fill="FFFFFF"/>
        <w:spacing w:before="202" w:line="211" w:lineRule="exact"/>
        <w:ind w:left="283"/>
        <w:jc w:val="both"/>
      </w:pPr>
      <w:r>
        <w:rPr>
          <w:spacing w:val="-2"/>
          <w:sz w:val="16"/>
          <w:szCs w:val="16"/>
          <w:lang w:val="es-ES_tradnl"/>
        </w:rPr>
        <w:t>(</w:t>
      </w:r>
      <w:r>
        <w:rPr>
          <w:rFonts w:cs="Times New Roman"/>
          <w:spacing w:val="-2"/>
          <w:sz w:val="16"/>
          <w:szCs w:val="16"/>
          <w:lang w:val="es-ES_tradnl"/>
        </w:rPr>
        <w:t>…</w:t>
      </w:r>
      <w:r>
        <w:rPr>
          <w:spacing w:val="-2"/>
          <w:sz w:val="16"/>
          <w:szCs w:val="16"/>
          <w:lang w:val="es-ES_tradnl"/>
        </w:rPr>
        <w:t xml:space="preserve">) </w:t>
      </w:r>
      <w:r>
        <w:rPr>
          <w:b/>
          <w:bCs/>
          <w:spacing w:val="-2"/>
          <w:sz w:val="16"/>
          <w:szCs w:val="16"/>
          <w:lang w:val="es-ES_tradnl"/>
        </w:rPr>
        <w:t xml:space="preserve">4) </w:t>
      </w:r>
      <w:r>
        <w:rPr>
          <w:spacing w:val="-2"/>
          <w:sz w:val="16"/>
          <w:szCs w:val="16"/>
          <w:lang w:val="es-ES_tradnl"/>
        </w:rPr>
        <w:t>Con relaci</w:t>
      </w:r>
      <w:r>
        <w:rPr>
          <w:rFonts w:cs="Times New Roman"/>
          <w:spacing w:val="-2"/>
          <w:sz w:val="16"/>
          <w:szCs w:val="16"/>
          <w:lang w:val="es-ES_tradnl"/>
        </w:rPr>
        <w:t>ó</w:t>
      </w:r>
      <w:r>
        <w:rPr>
          <w:spacing w:val="-2"/>
          <w:sz w:val="16"/>
          <w:szCs w:val="16"/>
          <w:lang w:val="es-ES_tradnl"/>
        </w:rPr>
        <w:t xml:space="preserve">n a los recursos en materia penal, el </w:t>
      </w:r>
      <w:r>
        <w:rPr>
          <w:spacing w:val="-6"/>
          <w:sz w:val="16"/>
          <w:szCs w:val="16"/>
          <w:lang w:val="es-ES_tradnl"/>
        </w:rPr>
        <w:t>C</w:t>
      </w:r>
      <w:r>
        <w:rPr>
          <w:rFonts w:cs="Times New Roman"/>
          <w:spacing w:val="-6"/>
          <w:sz w:val="16"/>
          <w:szCs w:val="16"/>
          <w:lang w:val="es-ES_tradnl"/>
        </w:rPr>
        <w:t>ó</w:t>
      </w:r>
      <w:r>
        <w:rPr>
          <w:spacing w:val="-6"/>
          <w:sz w:val="16"/>
          <w:szCs w:val="16"/>
          <w:lang w:val="es-ES_tradnl"/>
        </w:rPr>
        <w:t>digo de Procedimiento Penal, considera a la Casaci</w:t>
      </w:r>
      <w:r>
        <w:rPr>
          <w:rFonts w:cs="Times New Roman"/>
          <w:spacing w:val="-6"/>
          <w:sz w:val="16"/>
          <w:szCs w:val="16"/>
          <w:lang w:val="es-ES_tradnl"/>
        </w:rPr>
        <w:t>ó</w:t>
      </w:r>
      <w:r>
        <w:rPr>
          <w:spacing w:val="-6"/>
          <w:sz w:val="16"/>
          <w:szCs w:val="16"/>
          <w:lang w:val="es-ES_tradnl"/>
        </w:rPr>
        <w:t xml:space="preserve">n, </w:t>
      </w:r>
      <w:r>
        <w:rPr>
          <w:spacing w:val="-3"/>
          <w:sz w:val="16"/>
          <w:szCs w:val="16"/>
          <w:lang w:val="es-ES_tradnl"/>
        </w:rPr>
        <w:t>Revisi</w:t>
      </w:r>
      <w:r>
        <w:rPr>
          <w:rFonts w:cs="Times New Roman"/>
          <w:spacing w:val="-3"/>
          <w:sz w:val="16"/>
          <w:szCs w:val="16"/>
          <w:lang w:val="es-ES_tradnl"/>
        </w:rPr>
        <w:t>ó</w:t>
      </w:r>
      <w:r>
        <w:rPr>
          <w:spacing w:val="-3"/>
          <w:sz w:val="16"/>
          <w:szCs w:val="16"/>
          <w:lang w:val="es-ES_tradnl"/>
        </w:rPr>
        <w:t>n, Nulidad, Apelaci</w:t>
      </w:r>
      <w:r>
        <w:rPr>
          <w:rFonts w:cs="Times New Roman"/>
          <w:spacing w:val="-3"/>
          <w:sz w:val="16"/>
          <w:szCs w:val="16"/>
          <w:lang w:val="es-ES_tradnl"/>
        </w:rPr>
        <w:t>ó</w:t>
      </w:r>
      <w:r>
        <w:rPr>
          <w:spacing w:val="-3"/>
          <w:sz w:val="16"/>
          <w:szCs w:val="16"/>
          <w:lang w:val="es-ES_tradnl"/>
        </w:rPr>
        <w:t xml:space="preserve">n y De Hecho, los mismos que </w:t>
      </w:r>
      <w:r>
        <w:rPr>
          <w:spacing w:val="-7"/>
          <w:sz w:val="16"/>
          <w:szCs w:val="16"/>
          <w:lang w:val="es-ES_tradnl"/>
        </w:rPr>
        <w:t xml:space="preserve">al estar expresamente contemplados, no es necesario recurrir </w:t>
      </w:r>
      <w:r>
        <w:rPr>
          <w:spacing w:val="-5"/>
          <w:sz w:val="16"/>
          <w:szCs w:val="16"/>
          <w:lang w:val="es-ES_tradnl"/>
        </w:rPr>
        <w:t>al C</w:t>
      </w:r>
      <w:r>
        <w:rPr>
          <w:rFonts w:cs="Times New Roman"/>
          <w:spacing w:val="-5"/>
          <w:sz w:val="16"/>
          <w:szCs w:val="16"/>
          <w:lang w:val="es-ES_tradnl"/>
        </w:rPr>
        <w:t>ó</w:t>
      </w:r>
      <w:r>
        <w:rPr>
          <w:spacing w:val="-5"/>
          <w:sz w:val="16"/>
          <w:szCs w:val="16"/>
          <w:lang w:val="es-ES_tradnl"/>
        </w:rPr>
        <w:t>digo de Procedimiento Civil. En relaci</w:t>
      </w:r>
      <w:r>
        <w:rPr>
          <w:rFonts w:cs="Times New Roman"/>
          <w:spacing w:val="-5"/>
          <w:sz w:val="16"/>
          <w:szCs w:val="16"/>
          <w:lang w:val="es-ES_tradnl"/>
        </w:rPr>
        <w:t>ó</w:t>
      </w:r>
      <w:r>
        <w:rPr>
          <w:spacing w:val="-5"/>
          <w:sz w:val="16"/>
          <w:szCs w:val="16"/>
          <w:lang w:val="es-ES_tradnl"/>
        </w:rPr>
        <w:t xml:space="preserve">n al Recurso de </w:t>
      </w:r>
      <w:r>
        <w:rPr>
          <w:spacing w:val="-6"/>
          <w:sz w:val="16"/>
          <w:szCs w:val="16"/>
          <w:lang w:val="es-ES_tradnl"/>
        </w:rPr>
        <w:t>Casaci</w:t>
      </w:r>
      <w:r>
        <w:rPr>
          <w:rFonts w:cs="Times New Roman"/>
          <w:spacing w:val="-6"/>
          <w:sz w:val="16"/>
          <w:szCs w:val="16"/>
          <w:lang w:val="es-ES_tradnl"/>
        </w:rPr>
        <w:t>ó</w:t>
      </w:r>
      <w:r>
        <w:rPr>
          <w:spacing w:val="-6"/>
          <w:sz w:val="16"/>
          <w:szCs w:val="16"/>
          <w:lang w:val="es-ES_tradnl"/>
        </w:rPr>
        <w:t>n, conforme al Art. 349 del C</w:t>
      </w:r>
      <w:r>
        <w:rPr>
          <w:rFonts w:cs="Times New Roman"/>
          <w:spacing w:val="-6"/>
          <w:sz w:val="16"/>
          <w:szCs w:val="16"/>
          <w:lang w:val="es-ES_tradnl"/>
        </w:rPr>
        <w:t>ó</w:t>
      </w:r>
      <w:r>
        <w:rPr>
          <w:spacing w:val="-6"/>
          <w:sz w:val="16"/>
          <w:szCs w:val="16"/>
          <w:lang w:val="es-ES_tradnl"/>
        </w:rPr>
        <w:t xml:space="preserve">digo de Procedimiento </w:t>
      </w:r>
      <w:r>
        <w:rPr>
          <w:spacing w:val="-8"/>
          <w:sz w:val="16"/>
          <w:szCs w:val="16"/>
          <w:lang w:val="es-ES_tradnl"/>
        </w:rPr>
        <w:t>Penal</w:t>
      </w:r>
      <w:r>
        <w:rPr>
          <w:spacing w:val="-8"/>
          <w:sz w:val="16"/>
          <w:szCs w:val="16"/>
          <w:vertAlign w:val="superscript"/>
          <w:lang w:val="es-ES_tradnl"/>
        </w:rPr>
        <w:t>1</w:t>
      </w:r>
      <w:r>
        <w:rPr>
          <w:spacing w:val="-8"/>
          <w:sz w:val="16"/>
          <w:szCs w:val="16"/>
          <w:lang w:val="es-ES_tradnl"/>
        </w:rPr>
        <w:t xml:space="preserve">: </w:t>
      </w:r>
      <w:r>
        <w:rPr>
          <w:rFonts w:cs="Times New Roman"/>
          <w:spacing w:val="-8"/>
          <w:sz w:val="16"/>
          <w:szCs w:val="16"/>
          <w:lang w:val="es-ES_tradnl"/>
        </w:rPr>
        <w:t>“</w:t>
      </w:r>
      <w:r>
        <w:rPr>
          <w:spacing w:val="-8"/>
          <w:sz w:val="16"/>
          <w:szCs w:val="16"/>
          <w:lang w:val="es-ES_tradnl"/>
        </w:rPr>
        <w:t>El recurso de casaci</w:t>
      </w:r>
      <w:r>
        <w:rPr>
          <w:rFonts w:cs="Times New Roman"/>
          <w:spacing w:val="-8"/>
          <w:sz w:val="16"/>
          <w:szCs w:val="16"/>
          <w:lang w:val="es-ES_tradnl"/>
        </w:rPr>
        <w:t>ó</w:t>
      </w:r>
      <w:r>
        <w:rPr>
          <w:spacing w:val="-8"/>
          <w:sz w:val="16"/>
          <w:szCs w:val="16"/>
          <w:lang w:val="es-ES_tradnl"/>
        </w:rPr>
        <w:t>n ser</w:t>
      </w:r>
      <w:r>
        <w:rPr>
          <w:rFonts w:cs="Times New Roman"/>
          <w:spacing w:val="-8"/>
          <w:sz w:val="16"/>
          <w:szCs w:val="16"/>
          <w:lang w:val="es-ES_tradnl"/>
        </w:rPr>
        <w:t>á</w:t>
      </w:r>
      <w:r>
        <w:rPr>
          <w:spacing w:val="-8"/>
          <w:sz w:val="16"/>
          <w:szCs w:val="16"/>
          <w:lang w:val="es-ES_tradnl"/>
        </w:rPr>
        <w:t xml:space="preserve"> procedentes para ante la</w:t>
      </w:r>
    </w:p>
    <w:p w14:paraId="4F67B366" w14:textId="77777777" w:rsidR="00591D54" w:rsidRDefault="00591D54">
      <w:pPr>
        <w:shd w:val="clear" w:color="auto" w:fill="FFFFFF"/>
        <w:spacing w:before="523" w:line="178" w:lineRule="exact"/>
        <w:ind w:left="144" w:hanging="144"/>
      </w:pPr>
      <w:r>
        <w:rPr>
          <w:sz w:val="16"/>
          <w:szCs w:val="16"/>
          <w:vertAlign w:val="superscript"/>
          <w:lang w:val="es-ES_tradnl"/>
        </w:rPr>
        <w:t>1</w:t>
      </w:r>
      <w:r>
        <w:rPr>
          <w:sz w:val="16"/>
          <w:szCs w:val="16"/>
          <w:lang w:val="es-ES_tradnl"/>
        </w:rPr>
        <w:t xml:space="preserve">  </w:t>
      </w:r>
      <w:r>
        <w:rPr>
          <w:rFonts w:cs="Times New Roman"/>
          <w:spacing w:val="-9"/>
          <w:sz w:val="16"/>
          <w:szCs w:val="16"/>
          <w:lang w:val="es-ES_tradnl"/>
        </w:rPr>
        <w:t>“</w:t>
      </w:r>
      <w:r>
        <w:rPr>
          <w:spacing w:val="-9"/>
          <w:sz w:val="16"/>
          <w:szCs w:val="16"/>
          <w:lang w:val="es-ES_tradnl"/>
        </w:rPr>
        <w:t>Art. 349.- Causales.- El recurso de casaci</w:t>
      </w:r>
      <w:r>
        <w:rPr>
          <w:rFonts w:cs="Times New Roman"/>
          <w:spacing w:val="-9"/>
          <w:sz w:val="16"/>
          <w:szCs w:val="16"/>
          <w:lang w:val="es-ES_tradnl"/>
        </w:rPr>
        <w:t>ó</w:t>
      </w:r>
      <w:r>
        <w:rPr>
          <w:spacing w:val="-9"/>
          <w:sz w:val="16"/>
          <w:szCs w:val="16"/>
          <w:lang w:val="es-ES_tradnl"/>
        </w:rPr>
        <w:t>n ser</w:t>
      </w:r>
      <w:r>
        <w:rPr>
          <w:rFonts w:cs="Times New Roman"/>
          <w:spacing w:val="-9"/>
          <w:sz w:val="16"/>
          <w:szCs w:val="16"/>
          <w:lang w:val="es-ES_tradnl"/>
        </w:rPr>
        <w:t>á</w:t>
      </w:r>
      <w:r>
        <w:rPr>
          <w:spacing w:val="-9"/>
          <w:sz w:val="16"/>
          <w:szCs w:val="16"/>
          <w:lang w:val="es-ES_tradnl"/>
        </w:rPr>
        <w:t xml:space="preserve"> procedente para </w:t>
      </w:r>
      <w:r>
        <w:rPr>
          <w:spacing w:val="-12"/>
          <w:sz w:val="16"/>
          <w:szCs w:val="16"/>
          <w:lang w:val="es-ES_tradnl"/>
        </w:rPr>
        <w:t>ante la Corte Nacional de Justicia, cuando en la sentencia se hubiera</w:t>
      </w:r>
    </w:p>
    <w:p w14:paraId="4F67B367" w14:textId="77777777" w:rsidR="00591D54" w:rsidRDefault="00591D54">
      <w:pPr>
        <w:shd w:val="clear" w:color="auto" w:fill="FFFFFF"/>
        <w:spacing w:before="523" w:line="178" w:lineRule="exact"/>
        <w:ind w:left="144" w:hanging="144"/>
        <w:sectPr w:rsidR="00591D54">
          <w:type w:val="continuous"/>
          <w:pgSz w:w="11909" w:h="16834"/>
          <w:pgMar w:top="1356" w:right="1309" w:bottom="360" w:left="1308" w:header="720" w:footer="720" w:gutter="0"/>
          <w:cols w:num="2" w:space="720" w:equalWidth="0">
            <w:col w:w="4305" w:space="682"/>
            <w:col w:w="4305"/>
          </w:cols>
          <w:noEndnote/>
        </w:sectPr>
      </w:pPr>
    </w:p>
    <w:p w14:paraId="4F67B368" w14:textId="77777777" w:rsidR="00591D54" w:rsidRDefault="00591D54">
      <w:pPr>
        <w:shd w:val="clear" w:color="auto" w:fill="FFFFFF"/>
        <w:tabs>
          <w:tab w:val="left" w:pos="5842"/>
        </w:tabs>
        <w:spacing w:after="226"/>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- 195</w:t>
      </w:r>
    </w:p>
    <w:p w14:paraId="4F67B369" w14:textId="77777777" w:rsidR="00591D54" w:rsidRDefault="00591D54">
      <w:pPr>
        <w:shd w:val="clear" w:color="auto" w:fill="FFFFFF"/>
        <w:tabs>
          <w:tab w:val="left" w:pos="5842"/>
        </w:tabs>
        <w:spacing w:after="226"/>
        <w:ind w:left="5"/>
        <w:sectPr w:rsidR="00591D54">
          <w:pgSz w:w="11909" w:h="16834"/>
          <w:pgMar w:top="1356" w:right="1309" w:bottom="360" w:left="1308" w:header="720" w:footer="720" w:gutter="0"/>
          <w:cols w:space="60"/>
          <w:noEndnote/>
        </w:sectPr>
      </w:pPr>
    </w:p>
    <w:p w14:paraId="4F67B36A" w14:textId="77777777" w:rsidR="00591D54" w:rsidRDefault="00591D54">
      <w:pPr>
        <w:shd w:val="clear" w:color="auto" w:fill="FFFFFF"/>
        <w:spacing w:line="221" w:lineRule="exact"/>
        <w:ind w:left="283"/>
        <w:jc w:val="both"/>
      </w:pPr>
      <w:r>
        <w:rPr>
          <w:sz w:val="14"/>
          <w:szCs w:val="14"/>
          <w:lang w:val="es-ES_tradnl"/>
        </w:rPr>
        <w:t>Corte Nacional de Justicia, cuando en la sentencia se hubiera violado la ley, ya por contravenci</w:t>
      </w:r>
      <w:r>
        <w:rPr>
          <w:rFonts w:cs="Times New Roman"/>
          <w:sz w:val="14"/>
          <w:szCs w:val="14"/>
          <w:lang w:val="es-ES_tradnl"/>
        </w:rPr>
        <w:t>ó</w:t>
      </w:r>
      <w:r>
        <w:rPr>
          <w:sz w:val="14"/>
          <w:szCs w:val="14"/>
          <w:lang w:val="es-ES_tradnl"/>
        </w:rPr>
        <w:t>n expresa de su texto, por indebida aplicaci</w:t>
      </w:r>
      <w:r>
        <w:rPr>
          <w:rFonts w:cs="Times New Roman"/>
          <w:sz w:val="14"/>
          <w:szCs w:val="14"/>
          <w:lang w:val="es-ES_tradnl"/>
        </w:rPr>
        <w:t>ó</w:t>
      </w:r>
      <w:r>
        <w:rPr>
          <w:sz w:val="14"/>
          <w:szCs w:val="14"/>
          <w:lang w:val="es-ES_tradnl"/>
        </w:rPr>
        <w:t>n o por err</w:t>
      </w:r>
      <w:r>
        <w:rPr>
          <w:rFonts w:cs="Times New Roman"/>
          <w:sz w:val="14"/>
          <w:szCs w:val="14"/>
          <w:lang w:val="es-ES_tradnl"/>
        </w:rPr>
        <w:t>ó</w:t>
      </w:r>
      <w:r>
        <w:rPr>
          <w:sz w:val="14"/>
          <w:szCs w:val="14"/>
          <w:lang w:val="es-ES_tradnl"/>
        </w:rPr>
        <w:t>nea interpretaci</w:t>
      </w:r>
      <w:r>
        <w:rPr>
          <w:rFonts w:cs="Times New Roman"/>
          <w:sz w:val="14"/>
          <w:szCs w:val="14"/>
          <w:lang w:val="es-ES_tradnl"/>
        </w:rPr>
        <w:t>ó</w:t>
      </w:r>
      <w:r>
        <w:rPr>
          <w:sz w:val="14"/>
          <w:szCs w:val="14"/>
          <w:lang w:val="es-ES_tradnl"/>
        </w:rPr>
        <w:t>n</w:t>
      </w:r>
      <w:r>
        <w:rPr>
          <w:rFonts w:cs="Times New Roman"/>
          <w:sz w:val="14"/>
          <w:szCs w:val="14"/>
          <w:lang w:val="es-ES_tradnl"/>
        </w:rPr>
        <w:t>”</w:t>
      </w:r>
      <w:r>
        <w:rPr>
          <w:sz w:val="14"/>
          <w:szCs w:val="14"/>
          <w:lang w:val="es-ES_tradnl"/>
        </w:rPr>
        <w:t xml:space="preserve"> y se lo podr</w:t>
      </w:r>
      <w:r>
        <w:rPr>
          <w:rFonts w:cs="Times New Roman"/>
          <w:sz w:val="14"/>
          <w:szCs w:val="14"/>
          <w:lang w:val="es-ES_tradnl"/>
        </w:rPr>
        <w:t xml:space="preserve">á </w:t>
      </w:r>
      <w:r>
        <w:rPr>
          <w:sz w:val="14"/>
          <w:szCs w:val="14"/>
          <w:lang w:val="es-ES_tradnl"/>
        </w:rPr>
        <w:t>interponer dentro del t</w:t>
      </w:r>
      <w:r>
        <w:rPr>
          <w:rFonts w:cs="Times New Roman"/>
          <w:sz w:val="14"/>
          <w:szCs w:val="14"/>
          <w:lang w:val="es-ES_tradnl"/>
        </w:rPr>
        <w:t>é</w:t>
      </w:r>
      <w:r>
        <w:rPr>
          <w:sz w:val="14"/>
          <w:szCs w:val="14"/>
          <w:lang w:val="es-ES_tradnl"/>
        </w:rPr>
        <w:t>rmino de cinco d</w:t>
      </w:r>
      <w:r>
        <w:rPr>
          <w:rFonts w:cs="Times New Roman"/>
          <w:sz w:val="14"/>
          <w:szCs w:val="14"/>
          <w:lang w:val="es-ES_tradnl"/>
        </w:rPr>
        <w:t>í</w:t>
      </w:r>
      <w:r>
        <w:rPr>
          <w:sz w:val="14"/>
          <w:szCs w:val="14"/>
          <w:lang w:val="es-ES_tradnl"/>
        </w:rPr>
        <w:t>as contados a partir de la notificaci</w:t>
      </w:r>
      <w:r>
        <w:rPr>
          <w:rFonts w:cs="Times New Roman"/>
          <w:sz w:val="14"/>
          <w:szCs w:val="14"/>
          <w:lang w:val="es-ES_tradnl"/>
        </w:rPr>
        <w:t>ó</w:t>
      </w:r>
      <w:r>
        <w:rPr>
          <w:sz w:val="14"/>
          <w:szCs w:val="14"/>
          <w:lang w:val="es-ES_tradnl"/>
        </w:rPr>
        <w:t xml:space="preserve">n de la sentencia. En consecuencia, corresponde al Juzgador verificar si en la especie se ha cumplido o no, con este mandamiento legal. El </w:t>
      </w:r>
      <w:r>
        <w:rPr>
          <w:rFonts w:cs="Times New Roman"/>
          <w:sz w:val="14"/>
          <w:szCs w:val="14"/>
          <w:lang w:val="es-ES_tradnl"/>
        </w:rPr>
        <w:t>Ó</w:t>
      </w:r>
      <w:r>
        <w:rPr>
          <w:sz w:val="14"/>
          <w:szCs w:val="14"/>
          <w:lang w:val="es-ES_tradnl"/>
        </w:rPr>
        <w:t>rgano Judicial que dict</w:t>
      </w:r>
      <w:r>
        <w:rPr>
          <w:rFonts w:cs="Times New Roman"/>
          <w:sz w:val="14"/>
          <w:szCs w:val="14"/>
          <w:lang w:val="es-ES_tradnl"/>
        </w:rPr>
        <w:t xml:space="preserve">ó </w:t>
      </w:r>
      <w:r>
        <w:rPr>
          <w:sz w:val="14"/>
          <w:szCs w:val="14"/>
          <w:lang w:val="es-ES_tradnl"/>
        </w:rPr>
        <w:t>la sentencia, esto es, el Tribunal inferior debi</w:t>
      </w:r>
      <w:r>
        <w:rPr>
          <w:rFonts w:cs="Times New Roman"/>
          <w:sz w:val="14"/>
          <w:szCs w:val="14"/>
          <w:lang w:val="es-ES_tradnl"/>
        </w:rPr>
        <w:t>ó</w:t>
      </w:r>
      <w:r>
        <w:rPr>
          <w:sz w:val="14"/>
          <w:szCs w:val="14"/>
          <w:lang w:val="es-ES_tradnl"/>
        </w:rPr>
        <w:t xml:space="preserve"> verificar si el recurso de casaci</w:t>
      </w:r>
      <w:r>
        <w:rPr>
          <w:rFonts w:cs="Times New Roman"/>
          <w:sz w:val="14"/>
          <w:szCs w:val="14"/>
          <w:lang w:val="es-ES_tradnl"/>
        </w:rPr>
        <w:t>ó</w:t>
      </w:r>
      <w:r>
        <w:rPr>
          <w:sz w:val="14"/>
          <w:szCs w:val="14"/>
          <w:lang w:val="es-ES_tradnl"/>
        </w:rPr>
        <w:t xml:space="preserve">n interpuesto a fojas 78 del cuaderno formado en la Tercera Sala Penal de la Corte Provincial de Justicia, se encontraba interpuesto en debida forma. </w:t>
      </w:r>
      <w:r>
        <w:rPr>
          <w:b/>
          <w:bCs/>
          <w:sz w:val="14"/>
          <w:szCs w:val="14"/>
          <w:lang w:val="es-ES_tradnl"/>
        </w:rPr>
        <w:t xml:space="preserve">4) </w:t>
      </w:r>
      <w:r>
        <w:rPr>
          <w:sz w:val="14"/>
          <w:szCs w:val="14"/>
          <w:lang w:val="es-ES_tradnl"/>
        </w:rPr>
        <w:t>Este Tribunal, al revisar el proceso respecto del recurso de casaci</w:t>
      </w:r>
      <w:r>
        <w:rPr>
          <w:rFonts w:cs="Times New Roman"/>
          <w:sz w:val="14"/>
          <w:szCs w:val="14"/>
          <w:lang w:val="es-ES_tradnl"/>
        </w:rPr>
        <w:t>ó</w:t>
      </w:r>
      <w:r>
        <w:rPr>
          <w:sz w:val="14"/>
          <w:szCs w:val="14"/>
          <w:lang w:val="es-ES_tradnl"/>
        </w:rPr>
        <w:t>n interpuesto el 20 de enero de 2012 a las 15h25, considera que ha sido interpuesto de modo extempor</w:t>
      </w:r>
      <w:r>
        <w:rPr>
          <w:rFonts w:cs="Times New Roman"/>
          <w:sz w:val="14"/>
          <w:szCs w:val="14"/>
          <w:lang w:val="es-ES_tradnl"/>
        </w:rPr>
        <w:t>á</w:t>
      </w:r>
      <w:r>
        <w:rPr>
          <w:sz w:val="14"/>
          <w:szCs w:val="14"/>
          <w:lang w:val="es-ES_tradnl"/>
        </w:rPr>
        <w:t>neo e indebidamente concedido, por lo tanto se lo niega y se ordena la devoluci</w:t>
      </w:r>
      <w:r>
        <w:rPr>
          <w:rFonts w:cs="Times New Roman"/>
          <w:sz w:val="14"/>
          <w:szCs w:val="14"/>
          <w:lang w:val="es-ES_tradnl"/>
        </w:rPr>
        <w:t>ó</w:t>
      </w:r>
      <w:r>
        <w:rPr>
          <w:sz w:val="14"/>
          <w:szCs w:val="14"/>
          <w:lang w:val="es-ES_tradnl"/>
        </w:rPr>
        <w:t>n del proceso al Tribunal de Origen.</w:t>
      </w:r>
    </w:p>
    <w:p w14:paraId="4F67B36B" w14:textId="77777777" w:rsidR="00591D54" w:rsidRDefault="00591D54">
      <w:pPr>
        <w:shd w:val="clear" w:color="auto" w:fill="FFFFFF"/>
        <w:spacing w:before="206"/>
      </w:pPr>
      <w:r>
        <w:rPr>
          <w:b/>
          <w:bCs/>
          <w:spacing w:val="-10"/>
          <w:sz w:val="18"/>
          <w:szCs w:val="18"/>
          <w:lang w:val="es-ES_tradnl"/>
        </w:rPr>
        <w:t>Fundamentos y pretensi</w:t>
      </w:r>
      <w:r>
        <w:rPr>
          <w:rFonts w:cs="Times New Roman"/>
          <w:b/>
          <w:bCs/>
          <w:spacing w:val="-10"/>
          <w:sz w:val="18"/>
          <w:szCs w:val="18"/>
          <w:lang w:val="es-ES_tradnl"/>
        </w:rPr>
        <w:t>ó</w:t>
      </w:r>
      <w:r>
        <w:rPr>
          <w:b/>
          <w:bCs/>
          <w:spacing w:val="-10"/>
          <w:sz w:val="18"/>
          <w:szCs w:val="18"/>
          <w:lang w:val="es-ES_tradnl"/>
        </w:rPr>
        <w:t>n de la demanda</w:t>
      </w:r>
    </w:p>
    <w:p w14:paraId="4F67B36C" w14:textId="77777777" w:rsidR="00591D54" w:rsidRDefault="00591D54">
      <w:pPr>
        <w:shd w:val="clear" w:color="auto" w:fill="FFFFFF"/>
        <w:spacing w:before="197"/>
      </w:pPr>
      <w:r>
        <w:rPr>
          <w:b/>
          <w:bCs/>
          <w:spacing w:val="-13"/>
          <w:sz w:val="18"/>
          <w:szCs w:val="18"/>
          <w:lang w:val="es-ES_tradnl"/>
        </w:rPr>
        <w:t>Antecedentes</w:t>
      </w:r>
    </w:p>
    <w:p w14:paraId="4F67B36D" w14:textId="77777777" w:rsidR="00591D54" w:rsidRDefault="00591D54">
      <w:pPr>
        <w:shd w:val="clear" w:color="auto" w:fill="FFFFFF"/>
        <w:spacing w:before="206" w:line="221" w:lineRule="exact"/>
        <w:ind w:right="5"/>
        <w:jc w:val="both"/>
      </w:pPr>
      <w:r>
        <w:rPr>
          <w:spacing w:val="-6"/>
          <w:sz w:val="18"/>
          <w:szCs w:val="18"/>
          <w:lang w:val="es-ES_tradnl"/>
        </w:rPr>
        <w:t xml:space="preserve">El 22 de septiembre de 2010, la doctora Iralda Claudina </w:t>
      </w:r>
      <w:r>
        <w:rPr>
          <w:spacing w:val="-8"/>
          <w:sz w:val="18"/>
          <w:szCs w:val="18"/>
          <w:lang w:val="es-ES_tradnl"/>
        </w:rPr>
        <w:t xml:space="preserve">Armas Pilatasig presenta ante el Juzgado de lo Penal de </w:t>
      </w:r>
      <w:r>
        <w:rPr>
          <w:spacing w:val="-10"/>
          <w:sz w:val="18"/>
          <w:szCs w:val="18"/>
          <w:lang w:val="es-ES_tradnl"/>
        </w:rPr>
        <w:t xml:space="preserve">Pichincha una querella en contra del doctor Manuel Gonzalo </w:t>
      </w:r>
      <w:r>
        <w:rPr>
          <w:spacing w:val="-6"/>
          <w:sz w:val="18"/>
          <w:szCs w:val="18"/>
          <w:lang w:val="es-ES_tradnl"/>
        </w:rPr>
        <w:t>Quillupangui Ninahualpa, por injurias calumniosas.</w:t>
      </w:r>
    </w:p>
    <w:p w14:paraId="4F67B36E" w14:textId="77777777" w:rsidR="00591D54" w:rsidRDefault="00591D54">
      <w:pPr>
        <w:shd w:val="clear" w:color="auto" w:fill="FFFFFF"/>
        <w:spacing w:before="202" w:line="221" w:lineRule="exact"/>
        <w:ind w:right="5"/>
        <w:jc w:val="both"/>
      </w:pPr>
      <w:r>
        <w:rPr>
          <w:spacing w:val="-12"/>
          <w:sz w:val="18"/>
          <w:szCs w:val="18"/>
          <w:lang w:val="es-ES_tradnl"/>
        </w:rPr>
        <w:t>El 29 de marzo de 2011, el juez d</w:t>
      </w:r>
      <w:r>
        <w:rPr>
          <w:rFonts w:cs="Times New Roman"/>
          <w:spacing w:val="-12"/>
          <w:sz w:val="18"/>
          <w:szCs w:val="18"/>
          <w:lang w:val="es-ES_tradnl"/>
        </w:rPr>
        <w:t>é</w:t>
      </w:r>
      <w:r>
        <w:rPr>
          <w:spacing w:val="-12"/>
          <w:sz w:val="18"/>
          <w:szCs w:val="18"/>
          <w:lang w:val="es-ES_tradnl"/>
        </w:rPr>
        <w:t>cimo segundo de garant</w:t>
      </w:r>
      <w:r>
        <w:rPr>
          <w:rFonts w:cs="Times New Roman"/>
          <w:spacing w:val="-12"/>
          <w:sz w:val="18"/>
          <w:szCs w:val="18"/>
          <w:lang w:val="es-ES_tradnl"/>
        </w:rPr>
        <w:t>í</w:t>
      </w:r>
      <w:r>
        <w:rPr>
          <w:spacing w:val="-12"/>
          <w:sz w:val="18"/>
          <w:szCs w:val="18"/>
          <w:lang w:val="es-ES_tradnl"/>
        </w:rPr>
        <w:t xml:space="preserve">as </w:t>
      </w:r>
      <w:r>
        <w:rPr>
          <w:spacing w:val="-10"/>
          <w:sz w:val="18"/>
          <w:szCs w:val="18"/>
          <w:lang w:val="es-ES_tradnl"/>
        </w:rPr>
        <w:t>penales de Pichincha dict</w:t>
      </w:r>
      <w:r>
        <w:rPr>
          <w:rFonts w:cs="Times New Roman"/>
          <w:spacing w:val="-10"/>
          <w:sz w:val="18"/>
          <w:szCs w:val="18"/>
          <w:lang w:val="es-ES_tradnl"/>
        </w:rPr>
        <w:t>ó</w:t>
      </w:r>
      <w:r>
        <w:rPr>
          <w:spacing w:val="-10"/>
          <w:sz w:val="18"/>
          <w:szCs w:val="18"/>
          <w:lang w:val="es-ES_tradnl"/>
        </w:rPr>
        <w:t xml:space="preserve"> sentencia condenatoria en contra </w:t>
      </w:r>
      <w:r>
        <w:rPr>
          <w:spacing w:val="-3"/>
          <w:sz w:val="18"/>
          <w:szCs w:val="18"/>
          <w:lang w:val="es-ES_tradnl"/>
        </w:rPr>
        <w:t xml:space="preserve">del doctor Manuel Gonzalo Quillupangui Ninahualpa, </w:t>
      </w:r>
      <w:r>
        <w:rPr>
          <w:spacing w:val="-9"/>
          <w:sz w:val="18"/>
          <w:szCs w:val="18"/>
          <w:lang w:val="es-ES_tradnl"/>
        </w:rPr>
        <w:t>dentro del caso N.</w:t>
      </w:r>
      <w:r>
        <w:rPr>
          <w:rFonts w:cs="Times New Roman"/>
          <w:spacing w:val="-9"/>
          <w:sz w:val="18"/>
          <w:szCs w:val="18"/>
          <w:lang w:val="es-ES_tradnl"/>
        </w:rPr>
        <w:t>º</w:t>
      </w:r>
      <w:r>
        <w:rPr>
          <w:spacing w:val="-9"/>
          <w:sz w:val="18"/>
          <w:szCs w:val="18"/>
          <w:lang w:val="es-ES_tradnl"/>
        </w:rPr>
        <w:t xml:space="preserve"> 884-2010, por haber infl igido en calidad </w:t>
      </w:r>
      <w:r>
        <w:rPr>
          <w:spacing w:val="-5"/>
          <w:sz w:val="18"/>
          <w:szCs w:val="18"/>
          <w:lang w:val="es-ES_tradnl"/>
        </w:rPr>
        <w:t xml:space="preserve">de autor del delito de injuria calumniosa, tipificado en los </w:t>
      </w:r>
      <w:r>
        <w:rPr>
          <w:spacing w:val="-11"/>
          <w:sz w:val="18"/>
          <w:szCs w:val="18"/>
          <w:lang w:val="es-ES_tradnl"/>
        </w:rPr>
        <w:t>art</w:t>
      </w:r>
      <w:r>
        <w:rPr>
          <w:rFonts w:cs="Times New Roman"/>
          <w:spacing w:val="-11"/>
          <w:sz w:val="18"/>
          <w:szCs w:val="18"/>
          <w:lang w:val="es-ES_tradnl"/>
        </w:rPr>
        <w:t>í</w:t>
      </w:r>
      <w:r>
        <w:rPr>
          <w:spacing w:val="-11"/>
          <w:sz w:val="18"/>
          <w:szCs w:val="18"/>
          <w:lang w:val="es-ES_tradnl"/>
        </w:rPr>
        <w:t>culos 489 y 493 del C</w:t>
      </w:r>
      <w:r>
        <w:rPr>
          <w:rFonts w:cs="Times New Roman"/>
          <w:spacing w:val="-11"/>
          <w:sz w:val="18"/>
          <w:szCs w:val="18"/>
          <w:lang w:val="es-ES_tradnl"/>
        </w:rPr>
        <w:t>ó</w:t>
      </w:r>
      <w:r>
        <w:rPr>
          <w:spacing w:val="-11"/>
          <w:sz w:val="18"/>
          <w:szCs w:val="18"/>
          <w:lang w:val="es-ES_tradnl"/>
        </w:rPr>
        <w:t>digo Penal</w:t>
      </w:r>
      <w:r>
        <w:rPr>
          <w:spacing w:val="-11"/>
          <w:sz w:val="18"/>
          <w:szCs w:val="18"/>
          <w:vertAlign w:val="superscript"/>
          <w:lang w:val="es-ES_tradnl"/>
        </w:rPr>
        <w:t>2</w:t>
      </w:r>
      <w:r>
        <w:rPr>
          <w:spacing w:val="-11"/>
          <w:sz w:val="18"/>
          <w:szCs w:val="18"/>
          <w:lang w:val="es-ES_tradnl"/>
        </w:rPr>
        <w:t xml:space="preserve">, y le impone una pena </w:t>
      </w:r>
      <w:r>
        <w:rPr>
          <w:spacing w:val="-9"/>
          <w:sz w:val="18"/>
          <w:szCs w:val="18"/>
          <w:lang w:val="es-ES_tradnl"/>
        </w:rPr>
        <w:t>de un a</w:t>
      </w:r>
      <w:r>
        <w:rPr>
          <w:rFonts w:cs="Times New Roman"/>
          <w:spacing w:val="-9"/>
          <w:sz w:val="18"/>
          <w:szCs w:val="18"/>
          <w:lang w:val="es-ES_tradnl"/>
        </w:rPr>
        <w:t>ñ</w:t>
      </w:r>
      <w:r>
        <w:rPr>
          <w:spacing w:val="-9"/>
          <w:sz w:val="18"/>
          <w:szCs w:val="18"/>
          <w:lang w:val="es-ES_tradnl"/>
        </w:rPr>
        <w:t>o de prisi</w:t>
      </w:r>
      <w:r>
        <w:rPr>
          <w:rFonts w:cs="Times New Roman"/>
          <w:spacing w:val="-9"/>
          <w:sz w:val="18"/>
          <w:szCs w:val="18"/>
          <w:lang w:val="es-ES_tradnl"/>
        </w:rPr>
        <w:t>ó</w:t>
      </w:r>
      <w:r>
        <w:rPr>
          <w:spacing w:val="-9"/>
          <w:sz w:val="18"/>
          <w:szCs w:val="18"/>
          <w:lang w:val="es-ES_tradnl"/>
        </w:rPr>
        <w:t>n correccional y multa de seis d</w:t>
      </w:r>
      <w:r>
        <w:rPr>
          <w:rFonts w:cs="Times New Roman"/>
          <w:spacing w:val="-9"/>
          <w:sz w:val="18"/>
          <w:szCs w:val="18"/>
          <w:lang w:val="es-ES_tradnl"/>
        </w:rPr>
        <w:t>ó</w:t>
      </w:r>
      <w:r>
        <w:rPr>
          <w:spacing w:val="-9"/>
          <w:sz w:val="18"/>
          <w:szCs w:val="18"/>
          <w:lang w:val="es-ES_tradnl"/>
        </w:rPr>
        <w:t xml:space="preserve">lares de </w:t>
      </w:r>
      <w:r>
        <w:rPr>
          <w:sz w:val="18"/>
          <w:szCs w:val="18"/>
          <w:lang w:val="es-ES_tradnl"/>
        </w:rPr>
        <w:t>los Estados Unidos de Am</w:t>
      </w:r>
      <w:r>
        <w:rPr>
          <w:rFonts w:cs="Times New Roman"/>
          <w:sz w:val="18"/>
          <w:szCs w:val="18"/>
          <w:lang w:val="es-ES_tradnl"/>
        </w:rPr>
        <w:t>é</w:t>
      </w:r>
      <w:r>
        <w:rPr>
          <w:sz w:val="18"/>
          <w:szCs w:val="18"/>
          <w:lang w:val="es-ES_tradnl"/>
        </w:rPr>
        <w:t>rica.</w:t>
      </w:r>
    </w:p>
    <w:p w14:paraId="4F67B36F" w14:textId="77777777" w:rsidR="00591D54" w:rsidRDefault="00591D54">
      <w:pPr>
        <w:shd w:val="clear" w:color="auto" w:fill="FFFFFF"/>
        <w:spacing w:before="202" w:line="221" w:lineRule="exact"/>
        <w:jc w:val="both"/>
      </w:pPr>
      <w:r>
        <w:rPr>
          <w:spacing w:val="-4"/>
          <w:sz w:val="18"/>
          <w:szCs w:val="18"/>
          <w:lang w:val="es-ES_tradnl"/>
        </w:rPr>
        <w:t xml:space="preserve">El 31 de marzo de 2011, el doctor Manuel Gonzalo </w:t>
      </w:r>
      <w:r>
        <w:rPr>
          <w:spacing w:val="-8"/>
          <w:sz w:val="18"/>
          <w:szCs w:val="18"/>
          <w:lang w:val="es-ES_tradnl"/>
        </w:rPr>
        <w:t>Quillupangui Ninahualpa interpuso recurso de apelaci</w:t>
      </w:r>
      <w:r>
        <w:rPr>
          <w:rFonts w:cs="Times New Roman"/>
          <w:spacing w:val="-8"/>
          <w:sz w:val="18"/>
          <w:szCs w:val="18"/>
          <w:lang w:val="es-ES_tradnl"/>
        </w:rPr>
        <w:t>ó</w:t>
      </w:r>
      <w:r>
        <w:rPr>
          <w:spacing w:val="-8"/>
          <w:sz w:val="18"/>
          <w:szCs w:val="18"/>
          <w:lang w:val="es-ES_tradnl"/>
        </w:rPr>
        <w:t xml:space="preserve">n en </w:t>
      </w:r>
      <w:r>
        <w:rPr>
          <w:sz w:val="18"/>
          <w:szCs w:val="18"/>
          <w:lang w:val="es-ES_tradnl"/>
        </w:rPr>
        <w:t>contra de la sentencia anterior.</w:t>
      </w:r>
    </w:p>
    <w:p w14:paraId="4F67B370" w14:textId="77777777" w:rsidR="00591D54" w:rsidRDefault="00591D54">
      <w:pPr>
        <w:shd w:val="clear" w:color="auto" w:fill="FFFFFF"/>
        <w:spacing w:before="202" w:line="221" w:lineRule="exact"/>
        <w:jc w:val="both"/>
      </w:pPr>
      <w:r>
        <w:rPr>
          <w:spacing w:val="-5"/>
          <w:sz w:val="18"/>
          <w:szCs w:val="18"/>
          <w:lang w:val="es-ES_tradnl"/>
        </w:rPr>
        <w:t xml:space="preserve">El 01 de abril de 2011, la doctora Iralda Claudina Armas </w:t>
      </w:r>
      <w:r>
        <w:rPr>
          <w:spacing w:val="-8"/>
          <w:sz w:val="18"/>
          <w:szCs w:val="18"/>
          <w:lang w:val="es-ES_tradnl"/>
        </w:rPr>
        <w:t>Pilatasig interpuso tambi</w:t>
      </w:r>
      <w:r>
        <w:rPr>
          <w:rFonts w:cs="Times New Roman"/>
          <w:spacing w:val="-8"/>
          <w:sz w:val="18"/>
          <w:szCs w:val="18"/>
          <w:lang w:val="es-ES_tradnl"/>
        </w:rPr>
        <w:t>é</w:t>
      </w:r>
      <w:r>
        <w:rPr>
          <w:spacing w:val="-8"/>
          <w:sz w:val="18"/>
          <w:szCs w:val="18"/>
          <w:lang w:val="es-ES_tradnl"/>
        </w:rPr>
        <w:t>n, recurso de apelaci</w:t>
      </w:r>
      <w:r>
        <w:rPr>
          <w:rFonts w:cs="Times New Roman"/>
          <w:spacing w:val="-8"/>
          <w:sz w:val="18"/>
          <w:szCs w:val="18"/>
          <w:lang w:val="es-ES_tradnl"/>
        </w:rPr>
        <w:t>ó</w:t>
      </w:r>
      <w:r>
        <w:rPr>
          <w:spacing w:val="-8"/>
          <w:sz w:val="18"/>
          <w:szCs w:val="18"/>
          <w:lang w:val="es-ES_tradnl"/>
        </w:rPr>
        <w:t xml:space="preserve">n en contra </w:t>
      </w:r>
      <w:r>
        <w:rPr>
          <w:sz w:val="18"/>
          <w:szCs w:val="18"/>
          <w:lang w:val="es-ES_tradnl"/>
        </w:rPr>
        <w:t>de la sentencia de primera instancia.</w:t>
      </w:r>
    </w:p>
    <w:p w14:paraId="4F67B371" w14:textId="77777777" w:rsidR="00591D54" w:rsidRDefault="00591D54">
      <w:pPr>
        <w:shd w:val="clear" w:color="auto" w:fill="FFFFFF"/>
        <w:spacing w:before="202" w:line="221" w:lineRule="exact"/>
        <w:jc w:val="both"/>
      </w:pPr>
      <w:r>
        <w:rPr>
          <w:spacing w:val="-6"/>
          <w:sz w:val="18"/>
          <w:szCs w:val="18"/>
          <w:lang w:val="es-ES_tradnl"/>
        </w:rPr>
        <w:t xml:space="preserve">El 08 de diciembre de 2011, la Sala Especializada de lo </w:t>
      </w:r>
      <w:r>
        <w:rPr>
          <w:spacing w:val="-4"/>
          <w:sz w:val="18"/>
          <w:szCs w:val="18"/>
          <w:lang w:val="es-ES_tradnl"/>
        </w:rPr>
        <w:t xml:space="preserve">Penal de la Corte Provincial de Justicia de Pichincha </w:t>
      </w:r>
      <w:r>
        <w:rPr>
          <w:spacing w:val="-5"/>
          <w:sz w:val="18"/>
          <w:szCs w:val="18"/>
          <w:lang w:val="es-ES_tradnl"/>
        </w:rPr>
        <w:t>resolvi</w:t>
      </w:r>
      <w:r>
        <w:rPr>
          <w:rFonts w:cs="Times New Roman"/>
          <w:spacing w:val="-5"/>
          <w:sz w:val="18"/>
          <w:szCs w:val="18"/>
          <w:lang w:val="es-ES_tradnl"/>
        </w:rPr>
        <w:t>ó</w:t>
      </w:r>
      <w:r>
        <w:rPr>
          <w:spacing w:val="-5"/>
          <w:sz w:val="18"/>
          <w:szCs w:val="18"/>
          <w:lang w:val="es-ES_tradnl"/>
        </w:rPr>
        <w:t xml:space="preserve"> los recursos antedichos y confirma la sentencia</w:t>
      </w:r>
    </w:p>
    <w:p w14:paraId="4F67B372" w14:textId="77777777" w:rsidR="00591D54" w:rsidRDefault="00591D54">
      <w:pPr>
        <w:shd w:val="clear" w:color="auto" w:fill="FFFFFF"/>
        <w:spacing w:before="523" w:line="178" w:lineRule="exact"/>
        <w:ind w:left="139" w:right="5"/>
        <w:jc w:val="both"/>
      </w:pPr>
      <w:r>
        <w:rPr>
          <w:spacing w:val="-3"/>
          <w:sz w:val="14"/>
          <w:szCs w:val="14"/>
          <w:lang w:val="es-ES_tradnl"/>
        </w:rPr>
        <w:t>violado la ley, ya por contravenci</w:t>
      </w:r>
      <w:r>
        <w:rPr>
          <w:rFonts w:cs="Times New Roman"/>
          <w:spacing w:val="-3"/>
          <w:sz w:val="14"/>
          <w:szCs w:val="14"/>
          <w:lang w:val="es-ES_tradnl"/>
        </w:rPr>
        <w:t>ó</w:t>
      </w:r>
      <w:r>
        <w:rPr>
          <w:spacing w:val="-3"/>
          <w:sz w:val="14"/>
          <w:szCs w:val="14"/>
          <w:lang w:val="es-ES_tradnl"/>
        </w:rPr>
        <w:t xml:space="preserve">n expresa de su texto, por indebida </w:t>
      </w:r>
      <w:r>
        <w:rPr>
          <w:sz w:val="14"/>
          <w:szCs w:val="14"/>
          <w:lang w:val="es-ES_tradnl"/>
        </w:rPr>
        <w:t>aplicaci</w:t>
      </w:r>
      <w:r>
        <w:rPr>
          <w:rFonts w:cs="Times New Roman"/>
          <w:sz w:val="14"/>
          <w:szCs w:val="14"/>
          <w:lang w:val="es-ES_tradnl"/>
        </w:rPr>
        <w:t>ó</w:t>
      </w:r>
      <w:r>
        <w:rPr>
          <w:sz w:val="14"/>
          <w:szCs w:val="14"/>
          <w:lang w:val="es-ES_tradnl"/>
        </w:rPr>
        <w:t>n, o por err</w:t>
      </w:r>
      <w:r>
        <w:rPr>
          <w:rFonts w:cs="Times New Roman"/>
          <w:sz w:val="14"/>
          <w:szCs w:val="14"/>
          <w:lang w:val="es-ES_tradnl"/>
        </w:rPr>
        <w:t>ó</w:t>
      </w:r>
      <w:r>
        <w:rPr>
          <w:sz w:val="14"/>
          <w:szCs w:val="14"/>
          <w:lang w:val="es-ES_tradnl"/>
        </w:rPr>
        <w:t>nea interpretaci</w:t>
      </w:r>
      <w:r>
        <w:rPr>
          <w:rFonts w:cs="Times New Roman"/>
          <w:sz w:val="14"/>
          <w:szCs w:val="14"/>
          <w:lang w:val="es-ES_tradnl"/>
        </w:rPr>
        <w:t>ó</w:t>
      </w:r>
      <w:r>
        <w:rPr>
          <w:sz w:val="14"/>
          <w:szCs w:val="14"/>
          <w:lang w:val="es-ES_tradnl"/>
        </w:rPr>
        <w:t>n. No ser</w:t>
      </w:r>
      <w:r>
        <w:rPr>
          <w:rFonts w:cs="Times New Roman"/>
          <w:sz w:val="14"/>
          <w:szCs w:val="14"/>
          <w:lang w:val="es-ES_tradnl"/>
        </w:rPr>
        <w:t>á</w:t>
      </w:r>
      <w:r>
        <w:rPr>
          <w:sz w:val="14"/>
          <w:szCs w:val="14"/>
          <w:lang w:val="es-ES_tradnl"/>
        </w:rPr>
        <w:t>n admisibles los pedidos tendientes a volver a valorar la prueba.</w:t>
      </w:r>
      <w:r>
        <w:rPr>
          <w:rFonts w:cs="Times New Roman"/>
          <w:sz w:val="14"/>
          <w:szCs w:val="14"/>
          <w:lang w:val="es-ES_tradnl"/>
        </w:rPr>
        <w:t>”</w:t>
      </w:r>
    </w:p>
    <w:p w14:paraId="4F67B373" w14:textId="77777777" w:rsidR="00591D54" w:rsidRDefault="00591D54">
      <w:pPr>
        <w:shd w:val="clear" w:color="auto" w:fill="FFFFFF"/>
        <w:spacing w:before="149" w:line="178" w:lineRule="exact"/>
      </w:pPr>
      <w:r>
        <w:rPr>
          <w:sz w:val="14"/>
          <w:szCs w:val="14"/>
          <w:vertAlign w:val="superscript"/>
          <w:lang w:val="es-ES_tradnl"/>
        </w:rPr>
        <w:t>2</w:t>
      </w:r>
      <w:r>
        <w:rPr>
          <w:sz w:val="14"/>
          <w:szCs w:val="14"/>
          <w:lang w:val="es-ES_tradnl"/>
        </w:rPr>
        <w:t xml:space="preserve">  </w:t>
      </w:r>
      <w:r>
        <w:rPr>
          <w:rFonts w:cs="Times New Roman"/>
          <w:sz w:val="14"/>
          <w:szCs w:val="14"/>
          <w:lang w:val="es-ES_tradnl"/>
        </w:rPr>
        <w:t>“</w:t>
      </w:r>
      <w:r>
        <w:rPr>
          <w:sz w:val="14"/>
          <w:szCs w:val="14"/>
          <w:lang w:val="es-ES_tradnl"/>
        </w:rPr>
        <w:t>Art. 489.- La injuria es:</w:t>
      </w:r>
    </w:p>
    <w:p w14:paraId="4F67B374" w14:textId="77777777" w:rsidR="00591D54" w:rsidRDefault="00591D54">
      <w:pPr>
        <w:shd w:val="clear" w:color="auto" w:fill="FFFFFF"/>
        <w:spacing w:line="178" w:lineRule="exact"/>
        <w:ind w:left="139"/>
        <w:jc w:val="both"/>
      </w:pPr>
      <w:r>
        <w:rPr>
          <w:spacing w:val="-1"/>
          <w:sz w:val="14"/>
          <w:szCs w:val="14"/>
          <w:lang w:val="es-ES_tradnl"/>
        </w:rPr>
        <w:t>Calumniosa, cuando consiste en la falsa imputaci</w:t>
      </w:r>
      <w:r>
        <w:rPr>
          <w:rFonts w:cs="Times New Roman"/>
          <w:spacing w:val="-1"/>
          <w:sz w:val="14"/>
          <w:szCs w:val="14"/>
          <w:lang w:val="es-ES_tradnl"/>
        </w:rPr>
        <w:t>ó</w:t>
      </w:r>
      <w:r>
        <w:rPr>
          <w:spacing w:val="-1"/>
          <w:sz w:val="14"/>
          <w:szCs w:val="14"/>
          <w:lang w:val="es-ES_tradnl"/>
        </w:rPr>
        <w:t xml:space="preserve">n de un delito; y, </w:t>
      </w:r>
      <w:r>
        <w:rPr>
          <w:sz w:val="14"/>
          <w:szCs w:val="14"/>
          <w:lang w:val="es-ES_tradnl"/>
        </w:rPr>
        <w:t>No calumniosa, cuando consiste en toda otra expresi</w:t>
      </w:r>
      <w:r>
        <w:rPr>
          <w:rFonts w:cs="Times New Roman"/>
          <w:sz w:val="14"/>
          <w:szCs w:val="14"/>
          <w:lang w:val="es-ES_tradnl"/>
        </w:rPr>
        <w:t>ó</w:t>
      </w:r>
      <w:r>
        <w:rPr>
          <w:sz w:val="14"/>
          <w:szCs w:val="14"/>
          <w:lang w:val="es-ES_tradnl"/>
        </w:rPr>
        <w:t>n proferida en descr</w:t>
      </w:r>
      <w:r>
        <w:rPr>
          <w:rFonts w:cs="Times New Roman"/>
          <w:sz w:val="14"/>
          <w:szCs w:val="14"/>
          <w:lang w:val="es-ES_tradnl"/>
        </w:rPr>
        <w:t>é</w:t>
      </w:r>
      <w:r>
        <w:rPr>
          <w:sz w:val="14"/>
          <w:szCs w:val="14"/>
          <w:lang w:val="es-ES_tradnl"/>
        </w:rPr>
        <w:t>dito, deshonra o menosprecio de otra persona, o en cualquier acci</w:t>
      </w:r>
      <w:r>
        <w:rPr>
          <w:rFonts w:cs="Times New Roman"/>
          <w:sz w:val="14"/>
          <w:szCs w:val="14"/>
          <w:lang w:val="es-ES_tradnl"/>
        </w:rPr>
        <w:t>ó</w:t>
      </w:r>
      <w:r>
        <w:rPr>
          <w:sz w:val="14"/>
          <w:szCs w:val="14"/>
          <w:lang w:val="es-ES_tradnl"/>
        </w:rPr>
        <w:t>n ejecutada con el mismo objeto. Art. 493.- Ser</w:t>
      </w:r>
      <w:r>
        <w:rPr>
          <w:rFonts w:cs="Times New Roman"/>
          <w:sz w:val="14"/>
          <w:szCs w:val="14"/>
          <w:lang w:val="es-ES_tradnl"/>
        </w:rPr>
        <w:t>á</w:t>
      </w:r>
      <w:r>
        <w:rPr>
          <w:sz w:val="14"/>
          <w:szCs w:val="14"/>
          <w:lang w:val="es-ES_tradnl"/>
        </w:rPr>
        <w:t>n reprimidos con uno a tres a</w:t>
      </w:r>
      <w:r>
        <w:rPr>
          <w:rFonts w:cs="Times New Roman"/>
          <w:sz w:val="14"/>
          <w:szCs w:val="14"/>
          <w:lang w:val="es-ES_tradnl"/>
        </w:rPr>
        <w:t>ñ</w:t>
      </w:r>
      <w:r>
        <w:rPr>
          <w:sz w:val="14"/>
          <w:szCs w:val="14"/>
          <w:lang w:val="es-ES_tradnl"/>
        </w:rPr>
        <w:t>os de prisi</w:t>
      </w:r>
      <w:r>
        <w:rPr>
          <w:rFonts w:cs="Times New Roman"/>
          <w:sz w:val="14"/>
          <w:szCs w:val="14"/>
          <w:lang w:val="es-ES_tradnl"/>
        </w:rPr>
        <w:t>ó</w:t>
      </w:r>
      <w:r>
        <w:rPr>
          <w:sz w:val="14"/>
          <w:szCs w:val="14"/>
          <w:lang w:val="es-ES_tradnl"/>
        </w:rPr>
        <w:t xml:space="preserve">n y multa </w:t>
      </w:r>
      <w:r>
        <w:rPr>
          <w:spacing w:val="-1"/>
          <w:sz w:val="14"/>
          <w:szCs w:val="14"/>
          <w:lang w:val="es-ES_tradnl"/>
        </w:rPr>
        <w:t>de seis a veinte y cinco d</w:t>
      </w:r>
      <w:r>
        <w:rPr>
          <w:rFonts w:cs="Times New Roman"/>
          <w:spacing w:val="-1"/>
          <w:sz w:val="14"/>
          <w:szCs w:val="14"/>
          <w:lang w:val="es-ES_tradnl"/>
        </w:rPr>
        <w:t>ó</w:t>
      </w:r>
      <w:r>
        <w:rPr>
          <w:spacing w:val="-1"/>
          <w:sz w:val="14"/>
          <w:szCs w:val="14"/>
          <w:lang w:val="es-ES_tradnl"/>
        </w:rPr>
        <w:t xml:space="preserve">lares de los Estados Unidos de Norte </w:t>
      </w:r>
      <w:r>
        <w:rPr>
          <w:sz w:val="14"/>
          <w:szCs w:val="14"/>
          <w:lang w:val="es-ES_tradnl"/>
        </w:rPr>
        <w:t>Am</w:t>
      </w:r>
      <w:r>
        <w:rPr>
          <w:rFonts w:cs="Times New Roman"/>
          <w:sz w:val="14"/>
          <w:szCs w:val="14"/>
          <w:lang w:val="es-ES_tradnl"/>
        </w:rPr>
        <w:t>é</w:t>
      </w:r>
      <w:r>
        <w:rPr>
          <w:sz w:val="14"/>
          <w:szCs w:val="14"/>
          <w:lang w:val="es-ES_tradnl"/>
        </w:rPr>
        <w:t xml:space="preserve">rica, los que hubieren dirigido a la autoridad imputaciones </w:t>
      </w:r>
      <w:r>
        <w:rPr>
          <w:spacing w:val="-2"/>
          <w:sz w:val="14"/>
          <w:szCs w:val="14"/>
          <w:lang w:val="es-ES_tradnl"/>
        </w:rPr>
        <w:t xml:space="preserve">que constituyan injuria calumniosa. Si las imputaciones hechas a la </w:t>
      </w:r>
      <w:r>
        <w:rPr>
          <w:sz w:val="14"/>
          <w:szCs w:val="14"/>
          <w:lang w:val="es-ES_tradnl"/>
        </w:rPr>
        <w:t>autoridad constituyeren injurias no calumniosas, pero graves, las penas ser</w:t>
      </w:r>
      <w:r>
        <w:rPr>
          <w:rFonts w:cs="Times New Roman"/>
          <w:sz w:val="14"/>
          <w:szCs w:val="14"/>
          <w:lang w:val="es-ES_tradnl"/>
        </w:rPr>
        <w:t>á</w:t>
      </w:r>
      <w:r>
        <w:rPr>
          <w:sz w:val="14"/>
          <w:szCs w:val="14"/>
          <w:lang w:val="es-ES_tradnl"/>
        </w:rPr>
        <w:t>n de prisi</w:t>
      </w:r>
      <w:r>
        <w:rPr>
          <w:rFonts w:cs="Times New Roman"/>
          <w:sz w:val="14"/>
          <w:szCs w:val="14"/>
          <w:lang w:val="es-ES_tradnl"/>
        </w:rPr>
        <w:t>ó</w:t>
      </w:r>
      <w:r>
        <w:rPr>
          <w:sz w:val="14"/>
          <w:szCs w:val="14"/>
          <w:lang w:val="es-ES_tradnl"/>
        </w:rPr>
        <w:t>n de seis meses a dos a</w:t>
      </w:r>
      <w:r>
        <w:rPr>
          <w:rFonts w:cs="Times New Roman"/>
          <w:sz w:val="14"/>
          <w:szCs w:val="14"/>
          <w:lang w:val="es-ES_tradnl"/>
        </w:rPr>
        <w:t>ñ</w:t>
      </w:r>
      <w:r>
        <w:rPr>
          <w:sz w:val="14"/>
          <w:szCs w:val="14"/>
          <w:lang w:val="es-ES_tradnl"/>
        </w:rPr>
        <w:t>os y multa de seis a diecinueve d</w:t>
      </w:r>
      <w:r>
        <w:rPr>
          <w:rFonts w:cs="Times New Roman"/>
          <w:sz w:val="14"/>
          <w:szCs w:val="14"/>
          <w:lang w:val="es-ES_tradnl"/>
        </w:rPr>
        <w:t>ó</w:t>
      </w:r>
      <w:r>
        <w:rPr>
          <w:sz w:val="14"/>
          <w:szCs w:val="14"/>
          <w:lang w:val="es-ES_tradnl"/>
        </w:rPr>
        <w:t>lares de los Estados Unidos de Norte Am</w:t>
      </w:r>
      <w:r>
        <w:rPr>
          <w:rFonts w:cs="Times New Roman"/>
          <w:sz w:val="14"/>
          <w:szCs w:val="14"/>
          <w:lang w:val="es-ES_tradnl"/>
        </w:rPr>
        <w:t>é</w:t>
      </w:r>
      <w:r>
        <w:rPr>
          <w:sz w:val="14"/>
          <w:szCs w:val="14"/>
          <w:lang w:val="es-ES_tradnl"/>
        </w:rPr>
        <w:t>rica.</w:t>
      </w:r>
      <w:r>
        <w:rPr>
          <w:rFonts w:cs="Times New Roman"/>
          <w:sz w:val="14"/>
          <w:szCs w:val="14"/>
          <w:lang w:val="es-ES_tradnl"/>
        </w:rPr>
        <w:t>”</w:t>
      </w:r>
    </w:p>
    <w:p w14:paraId="4F67B375" w14:textId="77777777" w:rsidR="00591D54" w:rsidRDefault="00591D54">
      <w:pPr>
        <w:shd w:val="clear" w:color="auto" w:fill="FFFFFF"/>
        <w:spacing w:before="5" w:line="230" w:lineRule="exact"/>
        <w:jc w:val="both"/>
      </w:pPr>
      <w:r>
        <w:br w:type="column"/>
      </w:r>
      <w:r>
        <w:rPr>
          <w:spacing w:val="-7"/>
          <w:sz w:val="18"/>
          <w:szCs w:val="18"/>
          <w:lang w:val="es-ES_tradnl"/>
        </w:rPr>
        <w:t xml:space="preserve">dictada por el juez </w:t>
      </w:r>
      <w:r>
        <w:rPr>
          <w:i/>
          <w:iCs/>
          <w:spacing w:val="-7"/>
          <w:sz w:val="18"/>
          <w:szCs w:val="18"/>
          <w:lang w:val="es-ES_tradnl"/>
        </w:rPr>
        <w:t>a quo</w:t>
      </w:r>
      <w:r>
        <w:rPr>
          <w:spacing w:val="-7"/>
          <w:sz w:val="18"/>
          <w:szCs w:val="18"/>
          <w:lang w:val="es-ES_tradnl"/>
        </w:rPr>
        <w:t xml:space="preserve">, mediante la cual se condena al </w:t>
      </w:r>
      <w:r>
        <w:rPr>
          <w:spacing w:val="-6"/>
          <w:sz w:val="18"/>
          <w:szCs w:val="18"/>
          <w:lang w:val="es-ES_tradnl"/>
        </w:rPr>
        <w:t>se</w:t>
      </w:r>
      <w:r>
        <w:rPr>
          <w:rFonts w:cs="Times New Roman"/>
          <w:spacing w:val="-6"/>
          <w:sz w:val="18"/>
          <w:szCs w:val="18"/>
          <w:lang w:val="es-ES_tradnl"/>
        </w:rPr>
        <w:t>ñ</w:t>
      </w:r>
      <w:r>
        <w:rPr>
          <w:spacing w:val="-6"/>
          <w:sz w:val="18"/>
          <w:szCs w:val="18"/>
          <w:lang w:val="es-ES_tradnl"/>
        </w:rPr>
        <w:t>or Quillupangui Ninahualpa a la pena de un a</w:t>
      </w:r>
      <w:r>
        <w:rPr>
          <w:rFonts w:cs="Times New Roman"/>
          <w:spacing w:val="-6"/>
          <w:sz w:val="18"/>
          <w:szCs w:val="18"/>
          <w:lang w:val="es-ES_tradnl"/>
        </w:rPr>
        <w:t>ñ</w:t>
      </w:r>
      <w:r>
        <w:rPr>
          <w:spacing w:val="-6"/>
          <w:sz w:val="18"/>
          <w:szCs w:val="18"/>
          <w:lang w:val="es-ES_tradnl"/>
        </w:rPr>
        <w:t xml:space="preserve">o de </w:t>
      </w:r>
      <w:r>
        <w:rPr>
          <w:spacing w:val="-9"/>
          <w:sz w:val="18"/>
          <w:szCs w:val="18"/>
          <w:lang w:val="es-ES_tradnl"/>
        </w:rPr>
        <w:t>prisi</w:t>
      </w:r>
      <w:r>
        <w:rPr>
          <w:rFonts w:cs="Times New Roman"/>
          <w:spacing w:val="-9"/>
          <w:sz w:val="18"/>
          <w:szCs w:val="18"/>
          <w:lang w:val="es-ES_tradnl"/>
        </w:rPr>
        <w:t>ó</w:t>
      </w:r>
      <w:r>
        <w:rPr>
          <w:spacing w:val="-9"/>
          <w:sz w:val="18"/>
          <w:szCs w:val="18"/>
          <w:lang w:val="es-ES_tradnl"/>
        </w:rPr>
        <w:t>n, al pago de costas, da</w:t>
      </w:r>
      <w:r>
        <w:rPr>
          <w:rFonts w:cs="Times New Roman"/>
          <w:spacing w:val="-9"/>
          <w:sz w:val="18"/>
          <w:szCs w:val="18"/>
          <w:lang w:val="es-ES_tradnl"/>
        </w:rPr>
        <w:t>ñ</w:t>
      </w:r>
      <w:r>
        <w:rPr>
          <w:spacing w:val="-9"/>
          <w:sz w:val="18"/>
          <w:szCs w:val="18"/>
          <w:lang w:val="es-ES_tradnl"/>
        </w:rPr>
        <w:t xml:space="preserve">os y perjuicios y a la multa de </w:t>
      </w:r>
      <w:r>
        <w:rPr>
          <w:spacing w:val="-8"/>
          <w:sz w:val="18"/>
          <w:szCs w:val="18"/>
          <w:lang w:val="es-ES_tradnl"/>
        </w:rPr>
        <w:t>seis d</w:t>
      </w:r>
      <w:r>
        <w:rPr>
          <w:rFonts w:cs="Times New Roman"/>
          <w:spacing w:val="-8"/>
          <w:sz w:val="18"/>
          <w:szCs w:val="18"/>
          <w:lang w:val="es-ES_tradnl"/>
        </w:rPr>
        <w:t>ó</w:t>
      </w:r>
      <w:r>
        <w:rPr>
          <w:spacing w:val="-8"/>
          <w:sz w:val="18"/>
          <w:szCs w:val="18"/>
          <w:lang w:val="es-ES_tradnl"/>
        </w:rPr>
        <w:t>lares de los Estados Unidos de Am</w:t>
      </w:r>
      <w:r>
        <w:rPr>
          <w:rFonts w:cs="Times New Roman"/>
          <w:spacing w:val="-8"/>
          <w:sz w:val="18"/>
          <w:szCs w:val="18"/>
          <w:lang w:val="es-ES_tradnl"/>
        </w:rPr>
        <w:t>é</w:t>
      </w:r>
      <w:r>
        <w:rPr>
          <w:spacing w:val="-8"/>
          <w:sz w:val="18"/>
          <w:szCs w:val="18"/>
          <w:lang w:val="es-ES_tradnl"/>
        </w:rPr>
        <w:t>rica.</w:t>
      </w:r>
    </w:p>
    <w:p w14:paraId="4F67B376" w14:textId="77777777" w:rsidR="00591D54" w:rsidRDefault="00591D54">
      <w:pPr>
        <w:shd w:val="clear" w:color="auto" w:fill="FFFFFF"/>
        <w:spacing w:before="216" w:line="230" w:lineRule="exact"/>
        <w:jc w:val="both"/>
      </w:pPr>
      <w:r>
        <w:rPr>
          <w:spacing w:val="-2"/>
          <w:sz w:val="18"/>
          <w:szCs w:val="18"/>
          <w:lang w:val="es-ES_tradnl"/>
        </w:rPr>
        <w:t>El 13 de diciembre de 2011, el se</w:t>
      </w:r>
      <w:r>
        <w:rPr>
          <w:rFonts w:cs="Times New Roman"/>
          <w:spacing w:val="-2"/>
          <w:sz w:val="18"/>
          <w:szCs w:val="18"/>
          <w:lang w:val="es-ES_tradnl"/>
        </w:rPr>
        <w:t>ñ</w:t>
      </w:r>
      <w:r>
        <w:rPr>
          <w:spacing w:val="-2"/>
          <w:sz w:val="18"/>
          <w:szCs w:val="18"/>
          <w:lang w:val="es-ES_tradnl"/>
        </w:rPr>
        <w:t xml:space="preserve">or Quillupangui </w:t>
      </w:r>
      <w:r>
        <w:rPr>
          <w:spacing w:val="-8"/>
          <w:sz w:val="18"/>
          <w:szCs w:val="18"/>
          <w:lang w:val="es-ES_tradnl"/>
        </w:rPr>
        <w:t>Ninahualpa solicit</w:t>
      </w:r>
      <w:r>
        <w:rPr>
          <w:rFonts w:cs="Times New Roman"/>
          <w:spacing w:val="-8"/>
          <w:sz w:val="18"/>
          <w:szCs w:val="18"/>
          <w:lang w:val="es-ES_tradnl"/>
        </w:rPr>
        <w:t>ó</w:t>
      </w:r>
      <w:r>
        <w:rPr>
          <w:spacing w:val="-8"/>
          <w:sz w:val="18"/>
          <w:szCs w:val="18"/>
          <w:lang w:val="es-ES_tradnl"/>
        </w:rPr>
        <w:t xml:space="preserve"> aclaraci</w:t>
      </w:r>
      <w:r>
        <w:rPr>
          <w:rFonts w:cs="Times New Roman"/>
          <w:spacing w:val="-8"/>
          <w:sz w:val="18"/>
          <w:szCs w:val="18"/>
          <w:lang w:val="es-ES_tradnl"/>
        </w:rPr>
        <w:t>ó</w:t>
      </w:r>
      <w:r>
        <w:rPr>
          <w:spacing w:val="-8"/>
          <w:sz w:val="18"/>
          <w:szCs w:val="18"/>
          <w:lang w:val="es-ES_tradnl"/>
        </w:rPr>
        <w:t>n y ampliaci</w:t>
      </w:r>
      <w:r>
        <w:rPr>
          <w:rFonts w:cs="Times New Roman"/>
          <w:spacing w:val="-8"/>
          <w:sz w:val="18"/>
          <w:szCs w:val="18"/>
          <w:lang w:val="es-ES_tradnl"/>
        </w:rPr>
        <w:t>ó</w:t>
      </w:r>
      <w:r>
        <w:rPr>
          <w:spacing w:val="-8"/>
          <w:sz w:val="18"/>
          <w:szCs w:val="18"/>
          <w:lang w:val="es-ES_tradnl"/>
        </w:rPr>
        <w:t>n de la sentencia antedicha, petici</w:t>
      </w:r>
      <w:r>
        <w:rPr>
          <w:rFonts w:cs="Times New Roman"/>
          <w:spacing w:val="-8"/>
          <w:sz w:val="18"/>
          <w:szCs w:val="18"/>
          <w:lang w:val="es-ES_tradnl"/>
        </w:rPr>
        <w:t>ó</w:t>
      </w:r>
      <w:r>
        <w:rPr>
          <w:spacing w:val="-8"/>
          <w:sz w:val="18"/>
          <w:szCs w:val="18"/>
          <w:lang w:val="es-ES_tradnl"/>
        </w:rPr>
        <w:t>n que es desestimada y negada por extempor</w:t>
      </w:r>
      <w:r>
        <w:rPr>
          <w:rFonts w:cs="Times New Roman"/>
          <w:spacing w:val="-8"/>
          <w:sz w:val="18"/>
          <w:szCs w:val="18"/>
          <w:lang w:val="es-ES_tradnl"/>
        </w:rPr>
        <w:t>á</w:t>
      </w:r>
      <w:r>
        <w:rPr>
          <w:spacing w:val="-8"/>
          <w:sz w:val="18"/>
          <w:szCs w:val="18"/>
          <w:lang w:val="es-ES_tradnl"/>
        </w:rPr>
        <w:t xml:space="preserve">nea, mediante auto del 09 de enero de 2012, </w:t>
      </w:r>
      <w:r>
        <w:rPr>
          <w:spacing w:val="-11"/>
          <w:sz w:val="18"/>
          <w:szCs w:val="18"/>
          <w:lang w:val="es-ES_tradnl"/>
        </w:rPr>
        <w:t>dictado por la Tercera Sala de Garant</w:t>
      </w:r>
      <w:r>
        <w:rPr>
          <w:rFonts w:cs="Times New Roman"/>
          <w:spacing w:val="-11"/>
          <w:sz w:val="18"/>
          <w:szCs w:val="18"/>
          <w:lang w:val="es-ES_tradnl"/>
        </w:rPr>
        <w:t>í</w:t>
      </w:r>
      <w:r>
        <w:rPr>
          <w:spacing w:val="-11"/>
          <w:sz w:val="18"/>
          <w:szCs w:val="18"/>
          <w:lang w:val="es-ES_tradnl"/>
        </w:rPr>
        <w:t xml:space="preserve">as Penales de la Corte </w:t>
      </w:r>
      <w:r>
        <w:rPr>
          <w:sz w:val="18"/>
          <w:szCs w:val="18"/>
          <w:lang w:val="es-ES_tradnl"/>
        </w:rPr>
        <w:t>Provincial de Justicia de Pichincha.</w:t>
      </w:r>
    </w:p>
    <w:p w14:paraId="4F67B377" w14:textId="77777777" w:rsidR="00591D54" w:rsidRDefault="00591D54">
      <w:pPr>
        <w:shd w:val="clear" w:color="auto" w:fill="FFFFFF"/>
        <w:spacing w:before="216" w:line="230" w:lineRule="exact"/>
        <w:jc w:val="both"/>
      </w:pPr>
      <w:r>
        <w:rPr>
          <w:spacing w:val="-9"/>
          <w:sz w:val="18"/>
          <w:szCs w:val="18"/>
          <w:lang w:val="es-ES_tradnl"/>
        </w:rPr>
        <w:t xml:space="preserve">Mediante escrito del 12 de enero de 2012, el doctor Manuel </w:t>
      </w:r>
      <w:r>
        <w:rPr>
          <w:spacing w:val="-4"/>
          <w:sz w:val="18"/>
          <w:szCs w:val="18"/>
          <w:lang w:val="es-ES_tradnl"/>
        </w:rPr>
        <w:t>Gonzalo Quillupangui Ninahualpa solicit</w:t>
      </w:r>
      <w:r>
        <w:rPr>
          <w:rFonts w:cs="Times New Roman"/>
          <w:spacing w:val="-4"/>
          <w:sz w:val="18"/>
          <w:szCs w:val="18"/>
          <w:lang w:val="es-ES_tradnl"/>
        </w:rPr>
        <w:t>ó</w:t>
      </w:r>
      <w:r>
        <w:rPr>
          <w:spacing w:val="-4"/>
          <w:sz w:val="18"/>
          <w:szCs w:val="18"/>
          <w:lang w:val="es-ES_tradnl"/>
        </w:rPr>
        <w:t xml:space="preserve"> la revocatoria </w:t>
      </w:r>
      <w:r>
        <w:rPr>
          <w:spacing w:val="-10"/>
          <w:sz w:val="18"/>
          <w:szCs w:val="18"/>
          <w:lang w:val="es-ES_tradnl"/>
        </w:rPr>
        <w:t xml:space="preserve">del auto antedicho, misma que es negada mediante auto del </w:t>
      </w:r>
      <w:r>
        <w:rPr>
          <w:sz w:val="18"/>
          <w:szCs w:val="18"/>
          <w:lang w:val="es-ES_tradnl"/>
        </w:rPr>
        <w:t>17 de enero de 2012.</w:t>
      </w:r>
    </w:p>
    <w:p w14:paraId="4F67B378" w14:textId="77777777" w:rsidR="00591D54" w:rsidRDefault="00591D54">
      <w:pPr>
        <w:shd w:val="clear" w:color="auto" w:fill="FFFFFF"/>
        <w:spacing w:before="216" w:line="230" w:lineRule="exact"/>
        <w:jc w:val="both"/>
      </w:pPr>
      <w:r>
        <w:rPr>
          <w:spacing w:val="-4"/>
          <w:sz w:val="18"/>
          <w:szCs w:val="18"/>
          <w:lang w:val="es-ES_tradnl"/>
        </w:rPr>
        <w:t xml:space="preserve">El 20 de enero de 2012, el doctor Manuel Gonzalo </w:t>
      </w:r>
      <w:r>
        <w:rPr>
          <w:spacing w:val="-7"/>
          <w:sz w:val="18"/>
          <w:szCs w:val="18"/>
          <w:lang w:val="es-ES_tradnl"/>
        </w:rPr>
        <w:t>Quillupangui Ninahualpa interpuso recurso de casaci</w:t>
      </w:r>
      <w:r>
        <w:rPr>
          <w:rFonts w:cs="Times New Roman"/>
          <w:spacing w:val="-7"/>
          <w:sz w:val="18"/>
          <w:szCs w:val="18"/>
          <w:lang w:val="es-ES_tradnl"/>
        </w:rPr>
        <w:t>ó</w:t>
      </w:r>
      <w:r>
        <w:rPr>
          <w:spacing w:val="-7"/>
          <w:sz w:val="18"/>
          <w:szCs w:val="18"/>
          <w:lang w:val="es-ES_tradnl"/>
        </w:rPr>
        <w:t xml:space="preserve">n en contra de la sentencia dictada el 08 de diciembre de 2011, </w:t>
      </w:r>
      <w:r>
        <w:rPr>
          <w:spacing w:val="-9"/>
          <w:sz w:val="18"/>
          <w:szCs w:val="18"/>
          <w:lang w:val="es-ES_tradnl"/>
        </w:rPr>
        <w:t>mismo que es inadmitido por la Sala de lo Penal de la Corte Nacional de Justicia, mediante auto del 12 de junio de 2012.</w:t>
      </w:r>
    </w:p>
    <w:p w14:paraId="4F67B379" w14:textId="77777777" w:rsidR="00591D54" w:rsidRDefault="00591D54">
      <w:pPr>
        <w:shd w:val="clear" w:color="auto" w:fill="FFFFFF"/>
        <w:spacing w:before="216" w:line="230" w:lineRule="exact"/>
        <w:jc w:val="both"/>
      </w:pPr>
      <w:r>
        <w:rPr>
          <w:spacing w:val="-6"/>
          <w:sz w:val="18"/>
          <w:szCs w:val="18"/>
          <w:lang w:val="es-ES_tradnl"/>
        </w:rPr>
        <w:t xml:space="preserve">El 14 de junio de 2012, el doctor Quillupangui Ninahualpa </w:t>
      </w:r>
      <w:r>
        <w:rPr>
          <w:spacing w:val="-7"/>
          <w:sz w:val="18"/>
          <w:szCs w:val="18"/>
          <w:lang w:val="es-ES_tradnl"/>
        </w:rPr>
        <w:t>present</w:t>
      </w:r>
      <w:r>
        <w:rPr>
          <w:rFonts w:cs="Times New Roman"/>
          <w:spacing w:val="-7"/>
          <w:sz w:val="18"/>
          <w:szCs w:val="18"/>
          <w:lang w:val="es-ES_tradnl"/>
        </w:rPr>
        <w:t>ó</w:t>
      </w:r>
      <w:r>
        <w:rPr>
          <w:spacing w:val="-7"/>
          <w:sz w:val="18"/>
          <w:szCs w:val="18"/>
          <w:lang w:val="es-ES_tradnl"/>
        </w:rPr>
        <w:t xml:space="preserve"> acci</w:t>
      </w:r>
      <w:r>
        <w:rPr>
          <w:rFonts w:cs="Times New Roman"/>
          <w:spacing w:val="-7"/>
          <w:sz w:val="18"/>
          <w:szCs w:val="18"/>
          <w:lang w:val="es-ES_tradnl"/>
        </w:rPr>
        <w:t>ó</w:t>
      </w:r>
      <w:r>
        <w:rPr>
          <w:spacing w:val="-7"/>
          <w:sz w:val="18"/>
          <w:szCs w:val="18"/>
          <w:lang w:val="es-ES_tradnl"/>
        </w:rPr>
        <w:t>n extraordinaria de protecci</w:t>
      </w:r>
      <w:r>
        <w:rPr>
          <w:rFonts w:cs="Times New Roman"/>
          <w:spacing w:val="-7"/>
          <w:sz w:val="18"/>
          <w:szCs w:val="18"/>
          <w:lang w:val="es-ES_tradnl"/>
        </w:rPr>
        <w:t>ó</w:t>
      </w:r>
      <w:r>
        <w:rPr>
          <w:spacing w:val="-7"/>
          <w:sz w:val="18"/>
          <w:szCs w:val="18"/>
          <w:lang w:val="es-ES_tradnl"/>
        </w:rPr>
        <w:t xml:space="preserve">n en contra del </w:t>
      </w:r>
      <w:r>
        <w:rPr>
          <w:sz w:val="18"/>
          <w:szCs w:val="18"/>
          <w:lang w:val="es-ES_tradnl"/>
        </w:rPr>
        <w:t>auto antedicho.</w:t>
      </w:r>
    </w:p>
    <w:p w14:paraId="4F67B37A" w14:textId="77777777" w:rsidR="00591D54" w:rsidRDefault="00591D54">
      <w:pPr>
        <w:shd w:val="clear" w:color="auto" w:fill="FFFFFF"/>
        <w:spacing w:before="221"/>
      </w:pPr>
      <w:r>
        <w:rPr>
          <w:b/>
          <w:bCs/>
          <w:spacing w:val="-9"/>
          <w:sz w:val="18"/>
          <w:szCs w:val="18"/>
          <w:lang w:val="es-ES_tradnl"/>
        </w:rPr>
        <w:t>Detalle y fundamentos de la demanda</w:t>
      </w:r>
    </w:p>
    <w:p w14:paraId="4F67B37B" w14:textId="77777777" w:rsidR="00591D54" w:rsidRDefault="00591D54">
      <w:pPr>
        <w:shd w:val="clear" w:color="auto" w:fill="FFFFFF"/>
        <w:spacing w:before="216" w:line="230" w:lineRule="exact"/>
        <w:jc w:val="both"/>
      </w:pPr>
      <w:r>
        <w:rPr>
          <w:spacing w:val="-6"/>
          <w:sz w:val="18"/>
          <w:szCs w:val="18"/>
          <w:lang w:val="es-ES_tradnl"/>
        </w:rPr>
        <w:t xml:space="preserve">El legitimado activo, doctor Manuel Gonzalo Quillupangui </w:t>
      </w:r>
      <w:r>
        <w:rPr>
          <w:spacing w:val="-7"/>
          <w:sz w:val="18"/>
          <w:szCs w:val="18"/>
          <w:lang w:val="es-ES_tradnl"/>
        </w:rPr>
        <w:t>Ninahualpa en su demanda de acci</w:t>
      </w:r>
      <w:r>
        <w:rPr>
          <w:rFonts w:cs="Times New Roman"/>
          <w:spacing w:val="-7"/>
          <w:sz w:val="18"/>
          <w:szCs w:val="18"/>
          <w:lang w:val="es-ES_tradnl"/>
        </w:rPr>
        <w:t>ó</w:t>
      </w:r>
      <w:r>
        <w:rPr>
          <w:spacing w:val="-7"/>
          <w:sz w:val="18"/>
          <w:szCs w:val="18"/>
          <w:lang w:val="es-ES_tradnl"/>
        </w:rPr>
        <w:t>n extraordinaria de protecci</w:t>
      </w:r>
      <w:r>
        <w:rPr>
          <w:rFonts w:cs="Times New Roman"/>
          <w:spacing w:val="-7"/>
          <w:sz w:val="18"/>
          <w:szCs w:val="18"/>
          <w:lang w:val="es-ES_tradnl"/>
        </w:rPr>
        <w:t>ó</w:t>
      </w:r>
      <w:r>
        <w:rPr>
          <w:spacing w:val="-7"/>
          <w:sz w:val="18"/>
          <w:szCs w:val="18"/>
          <w:lang w:val="es-ES_tradnl"/>
        </w:rPr>
        <w:t>n, se</w:t>
      </w:r>
      <w:r>
        <w:rPr>
          <w:rFonts w:cs="Times New Roman"/>
          <w:spacing w:val="-7"/>
          <w:sz w:val="18"/>
          <w:szCs w:val="18"/>
          <w:lang w:val="es-ES_tradnl"/>
        </w:rPr>
        <w:t>ñ</w:t>
      </w:r>
      <w:r>
        <w:rPr>
          <w:spacing w:val="-7"/>
          <w:sz w:val="18"/>
          <w:szCs w:val="18"/>
          <w:lang w:val="es-ES_tradnl"/>
        </w:rPr>
        <w:t xml:space="preserve">ala que el 20 de enero de 2012 interpuso </w:t>
      </w:r>
      <w:r>
        <w:rPr>
          <w:spacing w:val="-5"/>
          <w:sz w:val="18"/>
          <w:szCs w:val="18"/>
          <w:lang w:val="es-ES_tradnl"/>
        </w:rPr>
        <w:t>recurso de casaci</w:t>
      </w:r>
      <w:r>
        <w:rPr>
          <w:rFonts w:cs="Times New Roman"/>
          <w:spacing w:val="-5"/>
          <w:sz w:val="18"/>
          <w:szCs w:val="18"/>
          <w:lang w:val="es-ES_tradnl"/>
        </w:rPr>
        <w:t>ó</w:t>
      </w:r>
      <w:r>
        <w:rPr>
          <w:spacing w:val="-5"/>
          <w:sz w:val="18"/>
          <w:szCs w:val="18"/>
          <w:lang w:val="es-ES_tradnl"/>
        </w:rPr>
        <w:t xml:space="preserve">n en contra de la sentencia dictada el </w:t>
      </w:r>
      <w:r>
        <w:rPr>
          <w:spacing w:val="-8"/>
          <w:sz w:val="18"/>
          <w:szCs w:val="18"/>
          <w:lang w:val="es-ES_tradnl"/>
        </w:rPr>
        <w:t>08 de diciembre de 2011, por la Tercera Sala de Garant</w:t>
      </w:r>
      <w:r>
        <w:rPr>
          <w:rFonts w:cs="Times New Roman"/>
          <w:spacing w:val="-8"/>
          <w:sz w:val="18"/>
          <w:szCs w:val="18"/>
          <w:lang w:val="es-ES_tradnl"/>
        </w:rPr>
        <w:t>í</w:t>
      </w:r>
      <w:r>
        <w:rPr>
          <w:spacing w:val="-8"/>
          <w:sz w:val="18"/>
          <w:szCs w:val="18"/>
          <w:lang w:val="es-ES_tradnl"/>
        </w:rPr>
        <w:t xml:space="preserve">as </w:t>
      </w:r>
      <w:r>
        <w:rPr>
          <w:spacing w:val="-6"/>
          <w:sz w:val="18"/>
          <w:szCs w:val="18"/>
          <w:lang w:val="es-ES_tradnl"/>
        </w:rPr>
        <w:t xml:space="preserve">Penales de la Corte Provincial de Justicia de Pichincha y </w:t>
      </w:r>
      <w:r>
        <w:rPr>
          <w:spacing w:val="-8"/>
          <w:sz w:val="18"/>
          <w:szCs w:val="18"/>
          <w:lang w:val="es-ES_tradnl"/>
        </w:rPr>
        <w:t xml:space="preserve">agrega, que dicho recurso fue concedido mediante voto de </w:t>
      </w:r>
      <w:r>
        <w:rPr>
          <w:spacing w:val="-7"/>
          <w:sz w:val="18"/>
          <w:szCs w:val="18"/>
          <w:lang w:val="es-ES_tradnl"/>
        </w:rPr>
        <w:t>mayor</w:t>
      </w:r>
      <w:r>
        <w:rPr>
          <w:rFonts w:cs="Times New Roman"/>
          <w:spacing w:val="-7"/>
          <w:sz w:val="18"/>
          <w:szCs w:val="18"/>
          <w:lang w:val="es-ES_tradnl"/>
        </w:rPr>
        <w:t>í</w:t>
      </w:r>
      <w:r>
        <w:rPr>
          <w:spacing w:val="-7"/>
          <w:sz w:val="18"/>
          <w:szCs w:val="18"/>
          <w:lang w:val="es-ES_tradnl"/>
        </w:rPr>
        <w:t>a a trav</w:t>
      </w:r>
      <w:r>
        <w:rPr>
          <w:rFonts w:cs="Times New Roman"/>
          <w:spacing w:val="-7"/>
          <w:sz w:val="18"/>
          <w:szCs w:val="18"/>
          <w:lang w:val="es-ES_tradnl"/>
        </w:rPr>
        <w:t>é</w:t>
      </w:r>
      <w:r>
        <w:rPr>
          <w:spacing w:val="-7"/>
          <w:sz w:val="18"/>
          <w:szCs w:val="18"/>
          <w:lang w:val="es-ES_tradnl"/>
        </w:rPr>
        <w:t xml:space="preserve">s del auto del 08 de febrero de 2012 que </w:t>
      </w:r>
      <w:r>
        <w:rPr>
          <w:spacing w:val="-9"/>
          <w:sz w:val="18"/>
          <w:szCs w:val="18"/>
          <w:lang w:val="es-ES_tradnl"/>
        </w:rPr>
        <w:t>textualmente, se</w:t>
      </w:r>
      <w:r>
        <w:rPr>
          <w:rFonts w:cs="Times New Roman"/>
          <w:spacing w:val="-9"/>
          <w:sz w:val="18"/>
          <w:szCs w:val="18"/>
          <w:lang w:val="es-ES_tradnl"/>
        </w:rPr>
        <w:t>ñ</w:t>
      </w:r>
      <w:r>
        <w:rPr>
          <w:spacing w:val="-9"/>
          <w:sz w:val="18"/>
          <w:szCs w:val="18"/>
          <w:lang w:val="es-ES_tradnl"/>
        </w:rPr>
        <w:t xml:space="preserve">ala: </w:t>
      </w:r>
      <w:r>
        <w:rPr>
          <w:rFonts w:cs="Times New Roman"/>
          <w:spacing w:val="-9"/>
          <w:sz w:val="18"/>
          <w:szCs w:val="18"/>
          <w:lang w:val="es-ES_tradnl"/>
        </w:rPr>
        <w:t>“</w:t>
      </w:r>
      <w:r>
        <w:rPr>
          <w:spacing w:val="-9"/>
          <w:sz w:val="18"/>
          <w:szCs w:val="18"/>
          <w:lang w:val="es-ES_tradnl"/>
        </w:rPr>
        <w:t>Por haberse interpuesto por parte del querellado el recurso de casaci</w:t>
      </w:r>
      <w:r>
        <w:rPr>
          <w:rFonts w:cs="Times New Roman"/>
          <w:spacing w:val="-9"/>
          <w:sz w:val="18"/>
          <w:szCs w:val="18"/>
          <w:lang w:val="es-ES_tradnl"/>
        </w:rPr>
        <w:t>ó</w:t>
      </w:r>
      <w:r>
        <w:rPr>
          <w:spacing w:val="-9"/>
          <w:sz w:val="18"/>
          <w:szCs w:val="18"/>
          <w:lang w:val="es-ES_tradnl"/>
        </w:rPr>
        <w:t>n dentro de los tres d</w:t>
      </w:r>
      <w:r>
        <w:rPr>
          <w:rFonts w:cs="Times New Roman"/>
          <w:spacing w:val="-9"/>
          <w:sz w:val="18"/>
          <w:szCs w:val="18"/>
          <w:lang w:val="es-ES_tradnl"/>
        </w:rPr>
        <w:t>í</w:t>
      </w:r>
      <w:r>
        <w:rPr>
          <w:spacing w:val="-9"/>
          <w:sz w:val="18"/>
          <w:szCs w:val="18"/>
          <w:lang w:val="es-ES_tradnl"/>
        </w:rPr>
        <w:t xml:space="preserve">as de </w:t>
      </w:r>
      <w:r>
        <w:rPr>
          <w:spacing w:val="-7"/>
          <w:sz w:val="18"/>
          <w:szCs w:val="18"/>
          <w:lang w:val="es-ES_tradnl"/>
        </w:rPr>
        <w:t>desechada la ampliaci</w:t>
      </w:r>
      <w:r>
        <w:rPr>
          <w:rFonts w:cs="Times New Roman"/>
          <w:spacing w:val="-7"/>
          <w:sz w:val="18"/>
          <w:szCs w:val="18"/>
          <w:lang w:val="es-ES_tradnl"/>
        </w:rPr>
        <w:t>ó</w:t>
      </w:r>
      <w:r>
        <w:rPr>
          <w:spacing w:val="-7"/>
          <w:sz w:val="18"/>
          <w:szCs w:val="18"/>
          <w:lang w:val="es-ES_tradnl"/>
        </w:rPr>
        <w:t>n, no obstante que la solicitud de ampliaci</w:t>
      </w:r>
      <w:r>
        <w:rPr>
          <w:rFonts w:cs="Times New Roman"/>
          <w:spacing w:val="-7"/>
          <w:sz w:val="18"/>
          <w:szCs w:val="18"/>
          <w:lang w:val="es-ES_tradnl"/>
        </w:rPr>
        <w:t>ó</w:t>
      </w:r>
      <w:r>
        <w:rPr>
          <w:spacing w:val="-7"/>
          <w:sz w:val="18"/>
          <w:szCs w:val="18"/>
          <w:lang w:val="es-ES_tradnl"/>
        </w:rPr>
        <w:t>n fue extempor</w:t>
      </w:r>
      <w:r>
        <w:rPr>
          <w:rFonts w:cs="Times New Roman"/>
          <w:spacing w:val="-7"/>
          <w:sz w:val="18"/>
          <w:szCs w:val="18"/>
          <w:lang w:val="es-ES_tradnl"/>
        </w:rPr>
        <w:t>á</w:t>
      </w:r>
      <w:r>
        <w:rPr>
          <w:spacing w:val="-7"/>
          <w:sz w:val="18"/>
          <w:szCs w:val="18"/>
          <w:lang w:val="es-ES_tradnl"/>
        </w:rPr>
        <w:t xml:space="preserve">nea y desechada por la Sala, se </w:t>
      </w:r>
      <w:r>
        <w:rPr>
          <w:spacing w:val="-10"/>
          <w:sz w:val="18"/>
          <w:szCs w:val="18"/>
          <w:lang w:val="es-ES_tradnl"/>
        </w:rPr>
        <w:t>le concede, disponi</w:t>
      </w:r>
      <w:r>
        <w:rPr>
          <w:rFonts w:cs="Times New Roman"/>
          <w:spacing w:val="-10"/>
          <w:sz w:val="18"/>
          <w:szCs w:val="18"/>
          <w:lang w:val="es-ES_tradnl"/>
        </w:rPr>
        <w:t>é</w:t>
      </w:r>
      <w:r>
        <w:rPr>
          <w:spacing w:val="-10"/>
          <w:sz w:val="18"/>
          <w:szCs w:val="18"/>
          <w:lang w:val="es-ES_tradnl"/>
        </w:rPr>
        <w:t xml:space="preserve">ndose que se remita la causa a la Corte </w:t>
      </w:r>
      <w:r>
        <w:rPr>
          <w:spacing w:val="-6"/>
          <w:sz w:val="18"/>
          <w:szCs w:val="18"/>
          <w:lang w:val="es-ES_tradnl"/>
        </w:rPr>
        <w:t>Nacional de Justicia, Sala de lo Penal (</w:t>
      </w:r>
      <w:r>
        <w:rPr>
          <w:rFonts w:cs="Times New Roman"/>
          <w:spacing w:val="-6"/>
          <w:sz w:val="18"/>
          <w:szCs w:val="18"/>
          <w:lang w:val="es-ES_tradnl"/>
        </w:rPr>
        <w:t>…</w:t>
      </w:r>
      <w:r>
        <w:rPr>
          <w:spacing w:val="-6"/>
          <w:sz w:val="18"/>
          <w:szCs w:val="18"/>
          <w:lang w:val="es-ES_tradnl"/>
        </w:rPr>
        <w:t>)</w:t>
      </w:r>
      <w:r>
        <w:rPr>
          <w:rFonts w:cs="Times New Roman"/>
          <w:spacing w:val="-6"/>
          <w:sz w:val="18"/>
          <w:szCs w:val="18"/>
          <w:lang w:val="es-ES_tradnl"/>
        </w:rPr>
        <w:t>”</w:t>
      </w:r>
      <w:r>
        <w:rPr>
          <w:spacing w:val="-6"/>
          <w:sz w:val="18"/>
          <w:szCs w:val="18"/>
          <w:lang w:val="es-ES_tradnl"/>
        </w:rPr>
        <w:t>.</w:t>
      </w:r>
    </w:p>
    <w:p w14:paraId="4F67B37C" w14:textId="77777777" w:rsidR="00591D54" w:rsidRDefault="00591D54">
      <w:pPr>
        <w:shd w:val="clear" w:color="auto" w:fill="FFFFFF"/>
        <w:spacing w:before="216" w:line="230" w:lineRule="exact"/>
        <w:jc w:val="both"/>
      </w:pPr>
      <w:r>
        <w:rPr>
          <w:spacing w:val="-8"/>
          <w:sz w:val="18"/>
          <w:szCs w:val="18"/>
          <w:lang w:val="es-ES_tradnl"/>
        </w:rPr>
        <w:t>Contin</w:t>
      </w:r>
      <w:r>
        <w:rPr>
          <w:rFonts w:cs="Times New Roman"/>
          <w:spacing w:val="-8"/>
          <w:sz w:val="18"/>
          <w:szCs w:val="18"/>
          <w:lang w:val="es-ES_tradnl"/>
        </w:rPr>
        <w:t>ú</w:t>
      </w:r>
      <w:r>
        <w:rPr>
          <w:spacing w:val="-8"/>
          <w:sz w:val="18"/>
          <w:szCs w:val="18"/>
          <w:lang w:val="es-ES_tradnl"/>
        </w:rPr>
        <w:t xml:space="preserve">a manifestando que la Sala de lo Penal de la Corte </w:t>
      </w:r>
      <w:r>
        <w:rPr>
          <w:spacing w:val="-9"/>
          <w:sz w:val="18"/>
          <w:szCs w:val="18"/>
          <w:lang w:val="es-ES_tradnl"/>
        </w:rPr>
        <w:t xml:space="preserve">Nacional de Justicia, mediante auto del 12 de junio de 2012, </w:t>
      </w:r>
      <w:r>
        <w:rPr>
          <w:spacing w:val="-10"/>
          <w:sz w:val="18"/>
          <w:szCs w:val="18"/>
          <w:lang w:val="es-ES_tradnl"/>
        </w:rPr>
        <w:t>neg</w:t>
      </w:r>
      <w:r>
        <w:rPr>
          <w:rFonts w:cs="Times New Roman"/>
          <w:spacing w:val="-10"/>
          <w:sz w:val="18"/>
          <w:szCs w:val="18"/>
          <w:lang w:val="es-ES_tradnl"/>
        </w:rPr>
        <w:t>ó</w:t>
      </w:r>
      <w:r>
        <w:rPr>
          <w:spacing w:val="-10"/>
          <w:sz w:val="18"/>
          <w:szCs w:val="18"/>
          <w:lang w:val="es-ES_tradnl"/>
        </w:rPr>
        <w:t xml:space="preserve"> el recurso extraordinario de casaci</w:t>
      </w:r>
      <w:r>
        <w:rPr>
          <w:rFonts w:cs="Times New Roman"/>
          <w:spacing w:val="-10"/>
          <w:sz w:val="18"/>
          <w:szCs w:val="18"/>
          <w:lang w:val="es-ES_tradnl"/>
        </w:rPr>
        <w:t>ó</w:t>
      </w:r>
      <w:r>
        <w:rPr>
          <w:spacing w:val="-10"/>
          <w:sz w:val="18"/>
          <w:szCs w:val="18"/>
          <w:lang w:val="es-ES_tradnl"/>
        </w:rPr>
        <w:t>n por cuanto habr</w:t>
      </w:r>
      <w:r>
        <w:rPr>
          <w:rFonts w:cs="Times New Roman"/>
          <w:spacing w:val="-10"/>
          <w:sz w:val="18"/>
          <w:szCs w:val="18"/>
          <w:lang w:val="es-ES_tradnl"/>
        </w:rPr>
        <w:t>í</w:t>
      </w:r>
      <w:r>
        <w:rPr>
          <w:spacing w:val="-10"/>
          <w:sz w:val="18"/>
          <w:szCs w:val="18"/>
          <w:lang w:val="es-ES_tradnl"/>
        </w:rPr>
        <w:t xml:space="preserve">a </w:t>
      </w:r>
      <w:r>
        <w:rPr>
          <w:spacing w:val="-9"/>
          <w:sz w:val="18"/>
          <w:szCs w:val="18"/>
          <w:lang w:val="es-ES_tradnl"/>
        </w:rPr>
        <w:t>sido interpuesto de manera extempor</w:t>
      </w:r>
      <w:r>
        <w:rPr>
          <w:rFonts w:cs="Times New Roman"/>
          <w:spacing w:val="-9"/>
          <w:sz w:val="18"/>
          <w:szCs w:val="18"/>
          <w:lang w:val="es-ES_tradnl"/>
        </w:rPr>
        <w:t>á</w:t>
      </w:r>
      <w:r>
        <w:rPr>
          <w:spacing w:val="-9"/>
          <w:sz w:val="18"/>
          <w:szCs w:val="18"/>
          <w:lang w:val="es-ES_tradnl"/>
        </w:rPr>
        <w:t xml:space="preserve">nea e indebidamente </w:t>
      </w:r>
      <w:r>
        <w:rPr>
          <w:sz w:val="18"/>
          <w:szCs w:val="18"/>
          <w:lang w:val="es-ES_tradnl"/>
        </w:rPr>
        <w:t>concedido.</w:t>
      </w:r>
    </w:p>
    <w:p w14:paraId="4F67B37D" w14:textId="77777777" w:rsidR="00591D54" w:rsidRDefault="00591D54">
      <w:pPr>
        <w:shd w:val="clear" w:color="auto" w:fill="FFFFFF"/>
        <w:spacing w:before="216" w:line="230" w:lineRule="exact"/>
        <w:jc w:val="both"/>
      </w:pPr>
      <w:r>
        <w:rPr>
          <w:spacing w:val="-6"/>
          <w:sz w:val="18"/>
          <w:szCs w:val="18"/>
          <w:lang w:val="es-ES_tradnl"/>
        </w:rPr>
        <w:t xml:space="preserve">Por lo anterior, el accionante estima que en el caso </w:t>
      </w:r>
      <w:r>
        <w:rPr>
          <w:i/>
          <w:iCs/>
          <w:spacing w:val="-6"/>
          <w:sz w:val="18"/>
          <w:szCs w:val="18"/>
          <w:lang w:val="es-ES_tradnl"/>
        </w:rPr>
        <w:t xml:space="preserve">sub </w:t>
      </w:r>
      <w:r>
        <w:rPr>
          <w:i/>
          <w:iCs/>
          <w:spacing w:val="-7"/>
          <w:sz w:val="18"/>
          <w:szCs w:val="18"/>
          <w:lang w:val="es-ES_tradnl"/>
        </w:rPr>
        <w:t xml:space="preserve">judice </w:t>
      </w:r>
      <w:r>
        <w:rPr>
          <w:spacing w:val="-7"/>
          <w:sz w:val="18"/>
          <w:szCs w:val="18"/>
          <w:lang w:val="es-ES_tradnl"/>
        </w:rPr>
        <w:t xml:space="preserve">no ha existido una tutela judicial efectiva, por cuanto </w:t>
      </w:r>
      <w:r>
        <w:rPr>
          <w:spacing w:val="-10"/>
          <w:sz w:val="18"/>
          <w:szCs w:val="18"/>
          <w:lang w:val="es-ES_tradnl"/>
        </w:rPr>
        <w:t>la Sala de la Corte Nacional de Justicia se neg</w:t>
      </w:r>
      <w:r>
        <w:rPr>
          <w:rFonts w:cs="Times New Roman"/>
          <w:spacing w:val="-10"/>
          <w:sz w:val="18"/>
          <w:szCs w:val="18"/>
          <w:lang w:val="es-ES_tradnl"/>
        </w:rPr>
        <w:t>ó</w:t>
      </w:r>
      <w:r>
        <w:rPr>
          <w:spacing w:val="-10"/>
          <w:sz w:val="18"/>
          <w:szCs w:val="18"/>
          <w:lang w:val="es-ES_tradnl"/>
        </w:rPr>
        <w:t xml:space="preserve"> a conocer el </w:t>
      </w:r>
      <w:r>
        <w:rPr>
          <w:spacing w:val="-8"/>
          <w:sz w:val="18"/>
          <w:szCs w:val="18"/>
          <w:lang w:val="es-ES_tradnl"/>
        </w:rPr>
        <w:t>recurso extraordinario de casaci</w:t>
      </w:r>
      <w:r>
        <w:rPr>
          <w:rFonts w:cs="Times New Roman"/>
          <w:spacing w:val="-8"/>
          <w:sz w:val="18"/>
          <w:szCs w:val="18"/>
          <w:lang w:val="es-ES_tradnl"/>
        </w:rPr>
        <w:t>ó</w:t>
      </w:r>
      <w:r>
        <w:rPr>
          <w:spacing w:val="-8"/>
          <w:sz w:val="18"/>
          <w:szCs w:val="18"/>
          <w:lang w:val="es-ES_tradnl"/>
        </w:rPr>
        <w:t xml:space="preserve">n que en su momento fue </w:t>
      </w:r>
      <w:r>
        <w:rPr>
          <w:spacing w:val="-9"/>
          <w:sz w:val="18"/>
          <w:szCs w:val="18"/>
          <w:lang w:val="es-ES_tradnl"/>
        </w:rPr>
        <w:t>concedido por la Tercera Sala de Garant</w:t>
      </w:r>
      <w:r>
        <w:rPr>
          <w:rFonts w:cs="Times New Roman"/>
          <w:spacing w:val="-9"/>
          <w:sz w:val="18"/>
          <w:szCs w:val="18"/>
          <w:lang w:val="es-ES_tradnl"/>
        </w:rPr>
        <w:t>í</w:t>
      </w:r>
      <w:r>
        <w:rPr>
          <w:spacing w:val="-9"/>
          <w:sz w:val="18"/>
          <w:szCs w:val="18"/>
          <w:lang w:val="es-ES_tradnl"/>
        </w:rPr>
        <w:t xml:space="preserve">as Penales de la </w:t>
      </w:r>
      <w:r>
        <w:rPr>
          <w:sz w:val="18"/>
          <w:szCs w:val="18"/>
          <w:lang w:val="es-ES_tradnl"/>
        </w:rPr>
        <w:t>Corte Provincial de Justicia de Pichincha.</w:t>
      </w:r>
    </w:p>
    <w:p w14:paraId="4F67B37E" w14:textId="77777777" w:rsidR="00591D54" w:rsidRDefault="00591D54">
      <w:pPr>
        <w:shd w:val="clear" w:color="auto" w:fill="FFFFFF"/>
        <w:spacing w:before="216" w:line="230" w:lineRule="exact"/>
        <w:jc w:val="both"/>
      </w:pPr>
      <w:r>
        <w:rPr>
          <w:spacing w:val="-8"/>
          <w:sz w:val="18"/>
          <w:szCs w:val="18"/>
          <w:lang w:val="es-ES_tradnl"/>
        </w:rPr>
        <w:t xml:space="preserve">Agrega que es por medio de los recursos judiciales que el </w:t>
      </w:r>
      <w:r>
        <w:rPr>
          <w:sz w:val="18"/>
          <w:szCs w:val="18"/>
          <w:lang w:val="es-ES_tradnl"/>
        </w:rPr>
        <w:t>Estado garantiza el derecho a la defensa.</w:t>
      </w:r>
    </w:p>
    <w:p w14:paraId="4F67B37F" w14:textId="77777777" w:rsidR="00591D54" w:rsidRDefault="00591D54">
      <w:pPr>
        <w:shd w:val="clear" w:color="auto" w:fill="FFFFFF"/>
        <w:spacing w:before="216" w:line="230" w:lineRule="exact"/>
        <w:jc w:val="both"/>
        <w:sectPr w:rsidR="00591D54">
          <w:type w:val="continuous"/>
          <w:pgSz w:w="11909" w:h="16834"/>
          <w:pgMar w:top="1356" w:right="1309" w:bottom="360" w:left="1308" w:header="720" w:footer="720" w:gutter="0"/>
          <w:cols w:num="2" w:space="720" w:equalWidth="0">
            <w:col w:w="4305" w:space="682"/>
            <w:col w:w="4305"/>
          </w:cols>
          <w:noEndnote/>
        </w:sectPr>
      </w:pPr>
    </w:p>
    <w:p w14:paraId="4F67B380" w14:textId="77777777" w:rsidR="00591D54" w:rsidRDefault="00591D54">
      <w:pPr>
        <w:shd w:val="clear" w:color="auto" w:fill="FFFFFF"/>
        <w:tabs>
          <w:tab w:val="left" w:pos="4814"/>
        </w:tabs>
        <w:spacing w:after="226"/>
        <w:ind w:left="14"/>
      </w:pPr>
      <w:r>
        <w:rPr>
          <w:b/>
          <w:bCs/>
          <w:sz w:val="18"/>
          <w:szCs w:val="18"/>
          <w:lang w:val="es-ES_tradnl"/>
        </w:rPr>
        <w:t xml:space="preserve">196 -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381" w14:textId="77777777" w:rsidR="00591D54" w:rsidRDefault="00591D54">
      <w:pPr>
        <w:shd w:val="clear" w:color="auto" w:fill="FFFFFF"/>
        <w:tabs>
          <w:tab w:val="left" w:pos="4814"/>
        </w:tabs>
        <w:spacing w:after="226"/>
        <w:ind w:left="14"/>
        <w:sectPr w:rsidR="00591D54">
          <w:pgSz w:w="11909" w:h="16834"/>
          <w:pgMar w:top="1371" w:right="1304" w:bottom="360" w:left="1308" w:header="720" w:footer="720" w:gutter="0"/>
          <w:cols w:space="60"/>
          <w:noEndnote/>
        </w:sectPr>
      </w:pPr>
    </w:p>
    <w:p w14:paraId="4F67B382" w14:textId="77777777" w:rsidR="00591D54" w:rsidRDefault="00591D54">
      <w:pPr>
        <w:shd w:val="clear" w:color="auto" w:fill="FFFFFF"/>
      </w:pPr>
      <w:r>
        <w:rPr>
          <w:b/>
          <w:bCs/>
          <w:spacing w:val="-11"/>
          <w:sz w:val="18"/>
          <w:szCs w:val="18"/>
          <w:lang w:val="es-ES_tradnl"/>
        </w:rPr>
        <w:t>Pretensi</w:t>
      </w:r>
      <w:r>
        <w:rPr>
          <w:rFonts w:cs="Times New Roman"/>
          <w:b/>
          <w:bCs/>
          <w:spacing w:val="-11"/>
          <w:sz w:val="18"/>
          <w:szCs w:val="18"/>
          <w:lang w:val="es-ES_tradnl"/>
        </w:rPr>
        <w:t>ó</w:t>
      </w:r>
      <w:r>
        <w:rPr>
          <w:b/>
          <w:bCs/>
          <w:spacing w:val="-11"/>
          <w:sz w:val="18"/>
          <w:szCs w:val="18"/>
          <w:lang w:val="es-ES_tradnl"/>
        </w:rPr>
        <w:t>n concreta</w:t>
      </w:r>
    </w:p>
    <w:p w14:paraId="4F67B383" w14:textId="77777777" w:rsidR="00591D54" w:rsidRDefault="00591D54">
      <w:pPr>
        <w:shd w:val="clear" w:color="auto" w:fill="FFFFFF"/>
        <w:spacing w:before="197"/>
      </w:pPr>
      <w:r>
        <w:rPr>
          <w:spacing w:val="-8"/>
          <w:sz w:val="18"/>
          <w:szCs w:val="18"/>
          <w:lang w:val="es-ES_tradnl"/>
        </w:rPr>
        <w:t>La pretensi</w:t>
      </w:r>
      <w:r>
        <w:rPr>
          <w:rFonts w:cs="Times New Roman"/>
          <w:spacing w:val="-8"/>
          <w:sz w:val="18"/>
          <w:szCs w:val="18"/>
          <w:lang w:val="es-ES_tradnl"/>
        </w:rPr>
        <w:t>ó</w:t>
      </w:r>
      <w:r>
        <w:rPr>
          <w:spacing w:val="-8"/>
          <w:sz w:val="18"/>
          <w:szCs w:val="18"/>
          <w:lang w:val="es-ES_tradnl"/>
        </w:rPr>
        <w:t>n concreta del accionante es la siguiente:</w:t>
      </w:r>
    </w:p>
    <w:p w14:paraId="4F67B384" w14:textId="77777777" w:rsidR="00591D54" w:rsidRDefault="00591D54">
      <w:pPr>
        <w:shd w:val="clear" w:color="auto" w:fill="FFFFFF"/>
        <w:spacing w:before="206" w:line="216" w:lineRule="exact"/>
        <w:ind w:left="283"/>
        <w:jc w:val="both"/>
      </w:pPr>
      <w:r>
        <w:rPr>
          <w:spacing w:val="-6"/>
          <w:sz w:val="16"/>
          <w:szCs w:val="16"/>
          <w:lang w:val="es-ES_tradnl"/>
        </w:rPr>
        <w:t>(</w:t>
      </w:r>
      <w:r>
        <w:rPr>
          <w:rFonts w:cs="Times New Roman"/>
          <w:spacing w:val="-6"/>
          <w:sz w:val="16"/>
          <w:szCs w:val="16"/>
          <w:lang w:val="es-ES_tradnl"/>
        </w:rPr>
        <w:t>…</w:t>
      </w:r>
      <w:r>
        <w:rPr>
          <w:spacing w:val="-6"/>
          <w:sz w:val="16"/>
          <w:szCs w:val="16"/>
          <w:lang w:val="es-ES_tradnl"/>
        </w:rPr>
        <w:t xml:space="preserve">) Por las consideraciones expuestas, solicito de ustedes </w:t>
      </w:r>
      <w:r>
        <w:rPr>
          <w:spacing w:val="-4"/>
          <w:sz w:val="16"/>
          <w:szCs w:val="16"/>
          <w:lang w:val="es-ES_tradnl"/>
        </w:rPr>
        <w:t>se</w:t>
      </w:r>
      <w:r>
        <w:rPr>
          <w:rFonts w:cs="Times New Roman"/>
          <w:spacing w:val="-4"/>
          <w:sz w:val="16"/>
          <w:szCs w:val="16"/>
          <w:lang w:val="es-ES_tradnl"/>
        </w:rPr>
        <w:t>ñ</w:t>
      </w:r>
      <w:r>
        <w:rPr>
          <w:spacing w:val="-4"/>
          <w:sz w:val="16"/>
          <w:szCs w:val="16"/>
          <w:lang w:val="es-ES_tradnl"/>
        </w:rPr>
        <w:t xml:space="preserve">ores Magistrados de la Corte Constitucional, a fin de </w:t>
      </w:r>
      <w:r>
        <w:rPr>
          <w:sz w:val="16"/>
          <w:szCs w:val="16"/>
          <w:lang w:val="es-ES_tradnl"/>
        </w:rPr>
        <w:t xml:space="preserve">reparar los derechos constitucionales vulnerados y que </w:t>
      </w:r>
      <w:r>
        <w:rPr>
          <w:spacing w:val="-4"/>
          <w:sz w:val="16"/>
          <w:szCs w:val="16"/>
          <w:lang w:val="es-ES_tradnl"/>
        </w:rPr>
        <w:t xml:space="preserve">han sido descritos, se sirvan DEJAR SIN EFECTO el Auto </w:t>
      </w:r>
      <w:r>
        <w:rPr>
          <w:spacing w:val="-7"/>
          <w:sz w:val="16"/>
          <w:szCs w:val="16"/>
          <w:lang w:val="es-ES_tradnl"/>
        </w:rPr>
        <w:t>expedido el d</w:t>
      </w:r>
      <w:r>
        <w:rPr>
          <w:rFonts w:cs="Times New Roman"/>
          <w:spacing w:val="-7"/>
          <w:sz w:val="16"/>
          <w:szCs w:val="16"/>
          <w:lang w:val="es-ES_tradnl"/>
        </w:rPr>
        <w:t>í</w:t>
      </w:r>
      <w:r>
        <w:rPr>
          <w:spacing w:val="-7"/>
          <w:sz w:val="16"/>
          <w:szCs w:val="16"/>
          <w:lang w:val="es-ES_tradnl"/>
        </w:rPr>
        <w:t xml:space="preserve">a 11 de junio de 2012, las 08h40, por la Sala de </w:t>
      </w:r>
      <w:r>
        <w:rPr>
          <w:spacing w:val="-6"/>
          <w:sz w:val="16"/>
          <w:szCs w:val="16"/>
          <w:lang w:val="es-ES_tradnl"/>
        </w:rPr>
        <w:t xml:space="preserve">lo Penal de la Corte Nacional de Justicia, dentro de la causa </w:t>
      </w:r>
      <w:r>
        <w:rPr>
          <w:spacing w:val="-4"/>
          <w:sz w:val="16"/>
          <w:szCs w:val="16"/>
          <w:lang w:val="es-ES_tradnl"/>
        </w:rPr>
        <w:t xml:space="preserve">No. 200-2012-YP, por existir suficientes justificaciones de </w:t>
      </w:r>
      <w:r>
        <w:rPr>
          <w:spacing w:val="-7"/>
          <w:sz w:val="16"/>
          <w:szCs w:val="16"/>
          <w:lang w:val="es-ES_tradnl"/>
        </w:rPr>
        <w:t>violaciones a expresas normas del debido proceso y de otros derechos reconocidos en nuestra Constituci</w:t>
      </w:r>
      <w:r>
        <w:rPr>
          <w:rFonts w:cs="Times New Roman"/>
          <w:spacing w:val="-7"/>
          <w:sz w:val="16"/>
          <w:szCs w:val="16"/>
          <w:lang w:val="es-ES_tradnl"/>
        </w:rPr>
        <w:t>ó</w:t>
      </w:r>
      <w:r>
        <w:rPr>
          <w:spacing w:val="-7"/>
          <w:sz w:val="16"/>
          <w:szCs w:val="16"/>
          <w:lang w:val="es-ES_tradnl"/>
        </w:rPr>
        <w:t>n.</w:t>
      </w:r>
    </w:p>
    <w:p w14:paraId="4F67B385" w14:textId="77777777" w:rsidR="00591D54" w:rsidRDefault="00591D54">
      <w:pPr>
        <w:shd w:val="clear" w:color="auto" w:fill="FFFFFF"/>
        <w:spacing w:before="197"/>
      </w:pPr>
      <w:r>
        <w:rPr>
          <w:b/>
          <w:bCs/>
          <w:spacing w:val="-11"/>
          <w:sz w:val="18"/>
          <w:szCs w:val="18"/>
          <w:lang w:val="es-ES_tradnl"/>
        </w:rPr>
        <w:t>De la contestaci</w:t>
      </w:r>
      <w:r>
        <w:rPr>
          <w:rFonts w:cs="Times New Roman"/>
          <w:b/>
          <w:bCs/>
          <w:spacing w:val="-11"/>
          <w:sz w:val="18"/>
          <w:szCs w:val="18"/>
          <w:lang w:val="es-ES_tradnl"/>
        </w:rPr>
        <w:t>ó</w:t>
      </w:r>
      <w:r>
        <w:rPr>
          <w:b/>
          <w:bCs/>
          <w:spacing w:val="-11"/>
          <w:sz w:val="18"/>
          <w:szCs w:val="18"/>
          <w:lang w:val="es-ES_tradnl"/>
        </w:rPr>
        <w:t>n y sus argumentos</w:t>
      </w:r>
    </w:p>
    <w:p w14:paraId="4F67B386" w14:textId="77777777" w:rsidR="00591D54" w:rsidRDefault="00591D54">
      <w:pPr>
        <w:shd w:val="clear" w:color="auto" w:fill="FFFFFF"/>
        <w:spacing w:before="192"/>
      </w:pPr>
      <w:r>
        <w:rPr>
          <w:b/>
          <w:bCs/>
          <w:spacing w:val="-8"/>
          <w:sz w:val="18"/>
          <w:szCs w:val="18"/>
          <w:lang w:val="es-ES_tradnl"/>
        </w:rPr>
        <w:t>Corte Nacional de Justicia</w:t>
      </w:r>
    </w:p>
    <w:p w14:paraId="4F67B387" w14:textId="77777777" w:rsidR="00591D54" w:rsidRDefault="00591D54">
      <w:pPr>
        <w:shd w:val="clear" w:color="auto" w:fill="FFFFFF"/>
        <w:spacing w:before="197" w:line="216" w:lineRule="exact"/>
        <w:jc w:val="both"/>
      </w:pPr>
      <w:r>
        <w:rPr>
          <w:spacing w:val="-5"/>
          <w:sz w:val="18"/>
          <w:szCs w:val="18"/>
          <w:lang w:val="es-ES_tradnl"/>
        </w:rPr>
        <w:t>Comparece mediante escrito constante a foja 31 del expediente constitucional, el doctor Richard Villag</w:t>
      </w:r>
      <w:r>
        <w:rPr>
          <w:rFonts w:cs="Times New Roman"/>
          <w:spacing w:val="-5"/>
          <w:sz w:val="18"/>
          <w:szCs w:val="18"/>
          <w:lang w:val="es-ES_tradnl"/>
        </w:rPr>
        <w:t>ó</w:t>
      </w:r>
      <w:r>
        <w:rPr>
          <w:spacing w:val="-5"/>
          <w:sz w:val="18"/>
          <w:szCs w:val="18"/>
          <w:lang w:val="es-ES_tradnl"/>
        </w:rPr>
        <w:t xml:space="preserve">mez Cabezas en calidad de conjuez nacional de la Sala Especializada de lo Penal, Penal Militar, Penal Policial y </w:t>
      </w:r>
      <w:r>
        <w:rPr>
          <w:spacing w:val="-7"/>
          <w:sz w:val="18"/>
          <w:szCs w:val="18"/>
          <w:lang w:val="es-ES_tradnl"/>
        </w:rPr>
        <w:t>Tr</w:t>
      </w:r>
      <w:r>
        <w:rPr>
          <w:rFonts w:cs="Times New Roman"/>
          <w:spacing w:val="-7"/>
          <w:sz w:val="18"/>
          <w:szCs w:val="18"/>
          <w:lang w:val="es-ES_tradnl"/>
        </w:rPr>
        <w:t>á</w:t>
      </w:r>
      <w:r>
        <w:rPr>
          <w:spacing w:val="-7"/>
          <w:sz w:val="18"/>
          <w:szCs w:val="18"/>
          <w:lang w:val="es-ES_tradnl"/>
        </w:rPr>
        <w:t xml:space="preserve">nsito de la Corte Nacional de Justicia, manifestando en </w:t>
      </w:r>
      <w:r>
        <w:rPr>
          <w:spacing w:val="-5"/>
          <w:sz w:val="18"/>
          <w:szCs w:val="18"/>
          <w:lang w:val="es-ES_tradnl"/>
        </w:rPr>
        <w:t>lo principal que la decisi</w:t>
      </w:r>
      <w:r>
        <w:rPr>
          <w:rFonts w:cs="Times New Roman"/>
          <w:spacing w:val="-5"/>
          <w:sz w:val="18"/>
          <w:szCs w:val="18"/>
          <w:lang w:val="es-ES_tradnl"/>
        </w:rPr>
        <w:t>ó</w:t>
      </w:r>
      <w:r>
        <w:rPr>
          <w:spacing w:val="-5"/>
          <w:sz w:val="18"/>
          <w:szCs w:val="18"/>
          <w:lang w:val="es-ES_tradnl"/>
        </w:rPr>
        <w:t xml:space="preserve">n judicial objeto de la presente </w:t>
      </w:r>
      <w:r>
        <w:rPr>
          <w:spacing w:val="-9"/>
          <w:sz w:val="18"/>
          <w:szCs w:val="18"/>
          <w:lang w:val="es-ES_tradnl"/>
        </w:rPr>
        <w:t>garant</w:t>
      </w:r>
      <w:r>
        <w:rPr>
          <w:rFonts w:cs="Times New Roman"/>
          <w:spacing w:val="-9"/>
          <w:sz w:val="18"/>
          <w:szCs w:val="18"/>
          <w:lang w:val="es-ES_tradnl"/>
        </w:rPr>
        <w:t>í</w:t>
      </w:r>
      <w:r>
        <w:rPr>
          <w:spacing w:val="-9"/>
          <w:sz w:val="18"/>
          <w:szCs w:val="18"/>
          <w:lang w:val="es-ES_tradnl"/>
        </w:rPr>
        <w:t xml:space="preserve">a jurisdiccional se encuentra debidamente motivada, </w:t>
      </w:r>
      <w:r>
        <w:rPr>
          <w:spacing w:val="-4"/>
          <w:sz w:val="18"/>
          <w:szCs w:val="18"/>
          <w:lang w:val="es-ES_tradnl"/>
        </w:rPr>
        <w:t>conforme lo prescrito en el art</w:t>
      </w:r>
      <w:r>
        <w:rPr>
          <w:rFonts w:cs="Times New Roman"/>
          <w:spacing w:val="-4"/>
          <w:sz w:val="18"/>
          <w:szCs w:val="18"/>
          <w:lang w:val="es-ES_tradnl"/>
        </w:rPr>
        <w:t>í</w:t>
      </w:r>
      <w:r>
        <w:rPr>
          <w:spacing w:val="-4"/>
          <w:sz w:val="18"/>
          <w:szCs w:val="18"/>
          <w:lang w:val="es-ES_tradnl"/>
        </w:rPr>
        <w:t xml:space="preserve">culo 76 numeral 7 literal </w:t>
      </w:r>
      <w:r>
        <w:rPr>
          <w:b/>
          <w:bCs/>
          <w:spacing w:val="-4"/>
          <w:sz w:val="18"/>
          <w:szCs w:val="18"/>
          <w:lang w:val="es-ES_tradnl"/>
        </w:rPr>
        <w:t xml:space="preserve">l </w:t>
      </w:r>
      <w:r>
        <w:rPr>
          <w:spacing w:val="-7"/>
          <w:sz w:val="18"/>
          <w:szCs w:val="18"/>
          <w:lang w:val="es-ES_tradnl"/>
        </w:rPr>
        <w:t>de 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 xml:space="preserve">blica, en cumplimiento de las </w:t>
      </w:r>
      <w:r>
        <w:rPr>
          <w:spacing w:val="-5"/>
          <w:sz w:val="18"/>
          <w:szCs w:val="18"/>
          <w:lang w:val="es-ES_tradnl"/>
        </w:rPr>
        <w:t>garant</w:t>
      </w:r>
      <w:r>
        <w:rPr>
          <w:rFonts w:cs="Times New Roman"/>
          <w:spacing w:val="-5"/>
          <w:sz w:val="18"/>
          <w:szCs w:val="18"/>
          <w:lang w:val="es-ES_tradnl"/>
        </w:rPr>
        <w:t>í</w:t>
      </w:r>
      <w:r>
        <w:rPr>
          <w:spacing w:val="-5"/>
          <w:sz w:val="18"/>
          <w:szCs w:val="18"/>
          <w:lang w:val="es-ES_tradnl"/>
        </w:rPr>
        <w:t>as judiciales determinadas en los art</w:t>
      </w:r>
      <w:r>
        <w:rPr>
          <w:rFonts w:cs="Times New Roman"/>
          <w:spacing w:val="-5"/>
          <w:sz w:val="18"/>
          <w:szCs w:val="18"/>
          <w:lang w:val="es-ES_tradnl"/>
        </w:rPr>
        <w:t>í</w:t>
      </w:r>
      <w:r>
        <w:rPr>
          <w:spacing w:val="-5"/>
          <w:sz w:val="18"/>
          <w:szCs w:val="18"/>
          <w:lang w:val="es-ES_tradnl"/>
        </w:rPr>
        <w:t xml:space="preserve">culos 8 y 14 </w:t>
      </w:r>
      <w:r>
        <w:rPr>
          <w:spacing w:val="-8"/>
          <w:sz w:val="18"/>
          <w:szCs w:val="18"/>
          <w:lang w:val="es-ES_tradnl"/>
        </w:rPr>
        <w:t>del Pacto de San Jos</w:t>
      </w:r>
      <w:r>
        <w:rPr>
          <w:rFonts w:cs="Times New Roman"/>
          <w:spacing w:val="-8"/>
          <w:sz w:val="18"/>
          <w:szCs w:val="18"/>
          <w:lang w:val="es-ES_tradnl"/>
        </w:rPr>
        <w:t>é</w:t>
      </w:r>
      <w:r>
        <w:rPr>
          <w:spacing w:val="-8"/>
          <w:sz w:val="18"/>
          <w:szCs w:val="18"/>
          <w:lang w:val="es-ES_tradnl"/>
        </w:rPr>
        <w:t xml:space="preserve"> y Pacto Internacional de Derechos </w:t>
      </w:r>
      <w:r>
        <w:rPr>
          <w:sz w:val="18"/>
          <w:szCs w:val="18"/>
          <w:lang w:val="es-ES_tradnl"/>
        </w:rPr>
        <w:t>Civiles y Pol</w:t>
      </w:r>
      <w:r>
        <w:rPr>
          <w:rFonts w:cs="Times New Roman"/>
          <w:sz w:val="18"/>
          <w:szCs w:val="18"/>
          <w:lang w:val="es-ES_tradnl"/>
        </w:rPr>
        <w:t>í</w:t>
      </w:r>
      <w:r>
        <w:rPr>
          <w:sz w:val="18"/>
          <w:szCs w:val="18"/>
          <w:lang w:val="es-ES_tradnl"/>
        </w:rPr>
        <w:t>ticos, respectivamente.</w:t>
      </w:r>
    </w:p>
    <w:p w14:paraId="4F67B388" w14:textId="77777777" w:rsidR="00591D54" w:rsidRDefault="00591D54">
      <w:pPr>
        <w:shd w:val="clear" w:color="auto" w:fill="FFFFFF"/>
        <w:spacing w:before="197" w:line="216" w:lineRule="exact"/>
        <w:ind w:right="5"/>
        <w:jc w:val="both"/>
      </w:pPr>
      <w:r>
        <w:rPr>
          <w:spacing w:val="-7"/>
          <w:sz w:val="18"/>
          <w:szCs w:val="18"/>
          <w:lang w:val="es-ES_tradnl"/>
        </w:rPr>
        <w:t xml:space="preserve">Manifiesta igualmente que los argumentos esgrimidos por </w:t>
      </w:r>
      <w:r>
        <w:rPr>
          <w:spacing w:val="-10"/>
          <w:sz w:val="18"/>
          <w:szCs w:val="18"/>
          <w:lang w:val="es-ES_tradnl"/>
        </w:rPr>
        <w:t xml:space="preserve">el legitimado activo se reducen a asuntos de mera legalidad, </w:t>
      </w:r>
      <w:r>
        <w:rPr>
          <w:spacing w:val="-6"/>
          <w:sz w:val="18"/>
          <w:szCs w:val="18"/>
          <w:lang w:val="es-ES_tradnl"/>
        </w:rPr>
        <w:t>particular que no es objeto de la acci</w:t>
      </w:r>
      <w:r>
        <w:rPr>
          <w:rFonts w:cs="Times New Roman"/>
          <w:spacing w:val="-6"/>
          <w:sz w:val="18"/>
          <w:szCs w:val="18"/>
          <w:lang w:val="es-ES_tradnl"/>
        </w:rPr>
        <w:t>ó</w:t>
      </w:r>
      <w:r>
        <w:rPr>
          <w:spacing w:val="-6"/>
          <w:sz w:val="18"/>
          <w:szCs w:val="18"/>
          <w:lang w:val="es-ES_tradnl"/>
        </w:rPr>
        <w:t xml:space="preserve">n extraordinaria de </w:t>
      </w:r>
      <w:r>
        <w:rPr>
          <w:spacing w:val="-7"/>
          <w:sz w:val="18"/>
          <w:szCs w:val="18"/>
          <w:lang w:val="es-ES_tradnl"/>
        </w:rPr>
        <w:t>protecci</w:t>
      </w:r>
      <w:r>
        <w:rPr>
          <w:rFonts w:cs="Times New Roman"/>
          <w:spacing w:val="-7"/>
          <w:sz w:val="18"/>
          <w:szCs w:val="18"/>
          <w:lang w:val="es-ES_tradnl"/>
        </w:rPr>
        <w:t>ó</w:t>
      </w:r>
      <w:r>
        <w:rPr>
          <w:spacing w:val="-7"/>
          <w:sz w:val="18"/>
          <w:szCs w:val="18"/>
          <w:lang w:val="es-ES_tradnl"/>
        </w:rPr>
        <w:t>n, raz</w:t>
      </w:r>
      <w:r>
        <w:rPr>
          <w:rFonts w:cs="Times New Roman"/>
          <w:spacing w:val="-7"/>
          <w:sz w:val="18"/>
          <w:szCs w:val="18"/>
          <w:lang w:val="es-ES_tradnl"/>
        </w:rPr>
        <w:t>ó</w:t>
      </w:r>
      <w:r>
        <w:rPr>
          <w:spacing w:val="-7"/>
          <w:sz w:val="18"/>
          <w:szCs w:val="18"/>
          <w:lang w:val="es-ES_tradnl"/>
        </w:rPr>
        <w:t xml:space="preserve">n por la cual no existe fundamento alguno </w:t>
      </w:r>
      <w:r>
        <w:rPr>
          <w:sz w:val="18"/>
          <w:szCs w:val="18"/>
          <w:lang w:val="es-ES_tradnl"/>
        </w:rPr>
        <w:t>para su procedencia.</w:t>
      </w:r>
    </w:p>
    <w:p w14:paraId="4F67B389" w14:textId="77777777" w:rsidR="00591D54" w:rsidRDefault="00591D54">
      <w:pPr>
        <w:shd w:val="clear" w:color="auto" w:fill="FFFFFF"/>
        <w:spacing w:before="192"/>
      </w:pPr>
      <w:r>
        <w:rPr>
          <w:b/>
          <w:bCs/>
          <w:spacing w:val="-7"/>
          <w:sz w:val="18"/>
          <w:szCs w:val="18"/>
          <w:lang w:val="es-ES_tradnl"/>
        </w:rPr>
        <w:t>Procuradur</w:t>
      </w:r>
      <w:r>
        <w:rPr>
          <w:rFonts w:cs="Times New Roman"/>
          <w:b/>
          <w:bCs/>
          <w:spacing w:val="-7"/>
          <w:sz w:val="18"/>
          <w:szCs w:val="18"/>
          <w:lang w:val="es-ES_tradnl"/>
        </w:rPr>
        <w:t>í</w:t>
      </w:r>
      <w:r>
        <w:rPr>
          <w:b/>
          <w:bCs/>
          <w:spacing w:val="-7"/>
          <w:sz w:val="18"/>
          <w:szCs w:val="18"/>
          <w:lang w:val="es-ES_tradnl"/>
        </w:rPr>
        <w:t>a General del Estado</w:t>
      </w:r>
    </w:p>
    <w:p w14:paraId="4F67B38A" w14:textId="77777777" w:rsidR="00591D54" w:rsidRDefault="00591D54">
      <w:pPr>
        <w:shd w:val="clear" w:color="auto" w:fill="FFFFFF"/>
        <w:spacing w:before="192" w:line="216" w:lineRule="exact"/>
        <w:ind w:right="5"/>
        <w:jc w:val="both"/>
      </w:pPr>
      <w:r>
        <w:rPr>
          <w:spacing w:val="-6"/>
          <w:sz w:val="18"/>
          <w:szCs w:val="18"/>
          <w:lang w:val="es-ES_tradnl"/>
        </w:rPr>
        <w:t xml:space="preserve">A fojas 34 del expediente constitucional consta el escrito </w:t>
      </w:r>
      <w:r>
        <w:rPr>
          <w:spacing w:val="-8"/>
          <w:sz w:val="18"/>
          <w:szCs w:val="18"/>
          <w:lang w:val="es-ES_tradnl"/>
        </w:rPr>
        <w:t xml:space="preserve">presentado por el abogado Marcos Arteaga Valenzuela, </w:t>
      </w:r>
      <w:r>
        <w:rPr>
          <w:spacing w:val="-7"/>
          <w:sz w:val="18"/>
          <w:szCs w:val="18"/>
          <w:lang w:val="es-ES_tradnl"/>
        </w:rPr>
        <w:t xml:space="preserve">director nacional de Patrocinio y delegado del procurador </w:t>
      </w:r>
      <w:r>
        <w:rPr>
          <w:spacing w:val="-10"/>
          <w:sz w:val="18"/>
          <w:szCs w:val="18"/>
          <w:lang w:val="es-ES_tradnl"/>
        </w:rPr>
        <w:t xml:space="preserve">general del Estado en el cual, designa casillero constitucional </w:t>
      </w:r>
      <w:r>
        <w:rPr>
          <w:spacing w:val="-8"/>
          <w:sz w:val="18"/>
          <w:szCs w:val="18"/>
          <w:lang w:val="es-ES_tradnl"/>
        </w:rPr>
        <w:t>a efectos de recibir las notificaciones correspondientes.</w:t>
      </w:r>
    </w:p>
    <w:p w14:paraId="4F67B38B" w14:textId="77777777" w:rsidR="00591D54" w:rsidRDefault="00591D54">
      <w:pPr>
        <w:shd w:val="clear" w:color="auto" w:fill="FFFFFF"/>
        <w:spacing w:before="187" w:line="216" w:lineRule="exact"/>
        <w:ind w:left="686" w:right="326" w:hanging="355"/>
      </w:pPr>
      <w:r>
        <w:rPr>
          <w:b/>
          <w:bCs/>
          <w:spacing w:val="-1"/>
          <w:sz w:val="18"/>
          <w:szCs w:val="18"/>
          <w:lang w:val="es-ES_tradnl"/>
        </w:rPr>
        <w:t xml:space="preserve">II. CONSIDERACIONES Y FUNDAMENTOS </w:t>
      </w:r>
      <w:r>
        <w:rPr>
          <w:b/>
          <w:bCs/>
          <w:sz w:val="18"/>
          <w:szCs w:val="18"/>
          <w:lang w:val="es-ES_tradnl"/>
        </w:rPr>
        <w:t>DE LA CORTE CONSTITUCIONAL</w:t>
      </w:r>
    </w:p>
    <w:p w14:paraId="4F67B38C" w14:textId="77777777" w:rsidR="00591D54" w:rsidRDefault="00591D54">
      <w:pPr>
        <w:shd w:val="clear" w:color="auto" w:fill="FFFFFF"/>
        <w:spacing w:before="192"/>
      </w:pPr>
      <w:r>
        <w:rPr>
          <w:b/>
          <w:bCs/>
          <w:spacing w:val="-11"/>
          <w:sz w:val="18"/>
          <w:szCs w:val="18"/>
          <w:lang w:val="es-ES_tradnl"/>
        </w:rPr>
        <w:t>Competencia</w:t>
      </w:r>
    </w:p>
    <w:p w14:paraId="4F67B38D" w14:textId="77777777" w:rsidR="00591D54" w:rsidRDefault="00591D54">
      <w:pPr>
        <w:shd w:val="clear" w:color="auto" w:fill="FFFFFF"/>
        <w:spacing w:before="197" w:line="216" w:lineRule="exact"/>
        <w:jc w:val="both"/>
      </w:pPr>
      <w:r>
        <w:rPr>
          <w:spacing w:val="-8"/>
          <w:sz w:val="18"/>
          <w:szCs w:val="18"/>
          <w:lang w:val="es-ES_tradnl"/>
        </w:rPr>
        <w:t>Las normas contenidas en los art</w:t>
      </w:r>
      <w:r>
        <w:rPr>
          <w:rFonts w:cs="Times New Roman"/>
          <w:spacing w:val="-8"/>
          <w:sz w:val="18"/>
          <w:szCs w:val="18"/>
          <w:lang w:val="es-ES_tradnl"/>
        </w:rPr>
        <w:t>í</w:t>
      </w:r>
      <w:r>
        <w:rPr>
          <w:spacing w:val="-8"/>
          <w:sz w:val="18"/>
          <w:szCs w:val="18"/>
          <w:lang w:val="es-ES_tradnl"/>
        </w:rPr>
        <w:t xml:space="preserve">culos 94, 429 y 437 de la </w:t>
      </w:r>
      <w:r>
        <w:rPr>
          <w:spacing w:val="-9"/>
          <w:sz w:val="18"/>
          <w:szCs w:val="18"/>
          <w:lang w:val="es-ES_tradnl"/>
        </w:rPr>
        <w:t>Constituci</w:t>
      </w:r>
      <w:r>
        <w:rPr>
          <w:rFonts w:cs="Times New Roman"/>
          <w:spacing w:val="-9"/>
          <w:sz w:val="18"/>
          <w:szCs w:val="18"/>
          <w:lang w:val="es-ES_tradnl"/>
        </w:rPr>
        <w:t>ó</w:t>
      </w:r>
      <w:r>
        <w:rPr>
          <w:spacing w:val="-9"/>
          <w:sz w:val="18"/>
          <w:szCs w:val="18"/>
          <w:lang w:val="es-ES_tradnl"/>
        </w:rPr>
        <w:t>n de la Rep</w:t>
      </w:r>
      <w:r>
        <w:rPr>
          <w:rFonts w:cs="Times New Roman"/>
          <w:spacing w:val="-9"/>
          <w:sz w:val="18"/>
          <w:szCs w:val="18"/>
          <w:lang w:val="es-ES_tradnl"/>
        </w:rPr>
        <w:t>ú</w:t>
      </w:r>
      <w:r>
        <w:rPr>
          <w:spacing w:val="-9"/>
          <w:sz w:val="18"/>
          <w:szCs w:val="18"/>
          <w:lang w:val="es-ES_tradnl"/>
        </w:rPr>
        <w:t>blica en consonancia con el art</w:t>
      </w:r>
      <w:r>
        <w:rPr>
          <w:rFonts w:cs="Times New Roman"/>
          <w:spacing w:val="-9"/>
          <w:sz w:val="18"/>
          <w:szCs w:val="18"/>
          <w:lang w:val="es-ES_tradnl"/>
        </w:rPr>
        <w:t>í</w:t>
      </w:r>
      <w:r>
        <w:rPr>
          <w:spacing w:val="-9"/>
          <w:sz w:val="18"/>
          <w:szCs w:val="18"/>
          <w:lang w:val="es-ES_tradnl"/>
        </w:rPr>
        <w:t xml:space="preserve">culo </w:t>
      </w:r>
      <w:r>
        <w:rPr>
          <w:spacing w:val="-5"/>
          <w:sz w:val="18"/>
          <w:szCs w:val="18"/>
          <w:lang w:val="es-ES_tradnl"/>
        </w:rPr>
        <w:t xml:space="preserve">191 numeral 2 literal </w:t>
      </w:r>
      <w:r>
        <w:rPr>
          <w:b/>
          <w:bCs/>
          <w:spacing w:val="-5"/>
          <w:sz w:val="18"/>
          <w:szCs w:val="18"/>
          <w:lang w:val="es-ES_tradnl"/>
        </w:rPr>
        <w:t xml:space="preserve">d </w:t>
      </w:r>
      <w:r>
        <w:rPr>
          <w:spacing w:val="-5"/>
          <w:sz w:val="18"/>
          <w:szCs w:val="18"/>
          <w:lang w:val="es-ES_tradnl"/>
        </w:rPr>
        <w:t>de la Ley Org</w:t>
      </w:r>
      <w:r>
        <w:rPr>
          <w:rFonts w:cs="Times New Roman"/>
          <w:spacing w:val="-5"/>
          <w:sz w:val="18"/>
          <w:szCs w:val="18"/>
          <w:lang w:val="es-ES_tradnl"/>
        </w:rPr>
        <w:t>á</w:t>
      </w:r>
      <w:r>
        <w:rPr>
          <w:spacing w:val="-5"/>
          <w:sz w:val="18"/>
          <w:szCs w:val="18"/>
          <w:lang w:val="es-ES_tradnl"/>
        </w:rPr>
        <w:t>nica de Garant</w:t>
      </w:r>
      <w:r>
        <w:rPr>
          <w:rFonts w:cs="Times New Roman"/>
          <w:spacing w:val="-5"/>
          <w:sz w:val="18"/>
          <w:szCs w:val="18"/>
          <w:lang w:val="es-ES_tradnl"/>
        </w:rPr>
        <w:t>í</w:t>
      </w:r>
      <w:r>
        <w:rPr>
          <w:spacing w:val="-5"/>
          <w:sz w:val="18"/>
          <w:szCs w:val="18"/>
          <w:lang w:val="es-ES_tradnl"/>
        </w:rPr>
        <w:t xml:space="preserve">as </w:t>
      </w:r>
      <w:r>
        <w:rPr>
          <w:sz w:val="18"/>
          <w:szCs w:val="18"/>
          <w:lang w:val="es-ES_tradnl"/>
        </w:rPr>
        <w:t>Jurisdiccionales y Control Constitucional, y el art</w:t>
      </w:r>
      <w:r>
        <w:rPr>
          <w:rFonts w:cs="Times New Roman"/>
          <w:sz w:val="18"/>
          <w:szCs w:val="18"/>
          <w:lang w:val="es-ES_tradnl"/>
        </w:rPr>
        <w:t>í</w:t>
      </w:r>
      <w:r>
        <w:rPr>
          <w:sz w:val="18"/>
          <w:szCs w:val="18"/>
          <w:lang w:val="es-ES_tradnl"/>
        </w:rPr>
        <w:t xml:space="preserve">culo </w:t>
      </w:r>
      <w:r>
        <w:rPr>
          <w:spacing w:val="-2"/>
          <w:sz w:val="18"/>
          <w:szCs w:val="18"/>
          <w:lang w:val="es-ES_tradnl"/>
        </w:rPr>
        <w:t xml:space="preserve">3 numeral 8 literal </w:t>
      </w:r>
      <w:r>
        <w:rPr>
          <w:b/>
          <w:bCs/>
          <w:spacing w:val="-2"/>
          <w:sz w:val="18"/>
          <w:szCs w:val="18"/>
          <w:lang w:val="es-ES_tradnl"/>
        </w:rPr>
        <w:t xml:space="preserve">b </w:t>
      </w:r>
      <w:r>
        <w:rPr>
          <w:spacing w:val="-2"/>
          <w:sz w:val="18"/>
          <w:szCs w:val="18"/>
          <w:lang w:val="es-ES_tradnl"/>
        </w:rPr>
        <w:t>del Reglamento de Sustanciaci</w:t>
      </w:r>
      <w:r>
        <w:rPr>
          <w:rFonts w:cs="Times New Roman"/>
          <w:spacing w:val="-2"/>
          <w:sz w:val="18"/>
          <w:szCs w:val="18"/>
          <w:lang w:val="es-ES_tradnl"/>
        </w:rPr>
        <w:t>ó</w:t>
      </w:r>
      <w:r>
        <w:rPr>
          <w:spacing w:val="-2"/>
          <w:sz w:val="18"/>
          <w:szCs w:val="18"/>
          <w:lang w:val="es-ES_tradnl"/>
        </w:rPr>
        <w:t xml:space="preserve">n </w:t>
      </w:r>
      <w:r>
        <w:rPr>
          <w:spacing w:val="-7"/>
          <w:sz w:val="18"/>
          <w:szCs w:val="18"/>
          <w:lang w:val="es-ES_tradnl"/>
        </w:rPr>
        <w:t xml:space="preserve">de Procesos de Competencia de la Corte Constitucional, </w:t>
      </w:r>
      <w:r>
        <w:rPr>
          <w:spacing w:val="-10"/>
          <w:sz w:val="18"/>
          <w:szCs w:val="18"/>
          <w:lang w:val="es-ES_tradnl"/>
        </w:rPr>
        <w:t>se</w:t>
      </w:r>
      <w:r>
        <w:rPr>
          <w:rFonts w:cs="Times New Roman"/>
          <w:spacing w:val="-10"/>
          <w:sz w:val="18"/>
          <w:szCs w:val="18"/>
          <w:lang w:val="es-ES_tradnl"/>
        </w:rPr>
        <w:t>ñ</w:t>
      </w:r>
      <w:r>
        <w:rPr>
          <w:spacing w:val="-10"/>
          <w:sz w:val="18"/>
          <w:szCs w:val="18"/>
          <w:lang w:val="es-ES_tradnl"/>
        </w:rPr>
        <w:t xml:space="preserve">alan que este organismo es competente para conocer y </w:t>
      </w:r>
      <w:r>
        <w:rPr>
          <w:sz w:val="18"/>
          <w:szCs w:val="18"/>
          <w:lang w:val="es-ES_tradnl"/>
        </w:rPr>
        <w:t>resolver la presente causa.</w:t>
      </w:r>
    </w:p>
    <w:p w14:paraId="4F67B38E" w14:textId="77777777" w:rsidR="00591D54" w:rsidRDefault="00591D54">
      <w:pPr>
        <w:shd w:val="clear" w:color="auto" w:fill="FFFFFF"/>
        <w:spacing w:before="192"/>
      </w:pPr>
      <w:r>
        <w:rPr>
          <w:b/>
          <w:bCs/>
          <w:spacing w:val="-8"/>
          <w:sz w:val="18"/>
          <w:szCs w:val="18"/>
          <w:lang w:val="es-ES_tradnl"/>
        </w:rPr>
        <w:t>Legitimaci</w:t>
      </w:r>
      <w:r>
        <w:rPr>
          <w:rFonts w:cs="Times New Roman"/>
          <w:b/>
          <w:bCs/>
          <w:spacing w:val="-8"/>
          <w:sz w:val="18"/>
          <w:szCs w:val="18"/>
          <w:lang w:val="es-ES_tradnl"/>
        </w:rPr>
        <w:t>ó</w:t>
      </w:r>
      <w:r>
        <w:rPr>
          <w:b/>
          <w:bCs/>
          <w:spacing w:val="-8"/>
          <w:sz w:val="18"/>
          <w:szCs w:val="18"/>
          <w:lang w:val="es-ES_tradnl"/>
        </w:rPr>
        <w:t>n activa</w:t>
      </w:r>
    </w:p>
    <w:p w14:paraId="4F67B38F" w14:textId="77777777" w:rsidR="00591D54" w:rsidRDefault="00591D54">
      <w:pPr>
        <w:shd w:val="clear" w:color="auto" w:fill="FFFFFF"/>
        <w:spacing w:before="197" w:line="216" w:lineRule="exact"/>
        <w:jc w:val="both"/>
      </w:pPr>
      <w:r>
        <w:rPr>
          <w:spacing w:val="-7"/>
          <w:sz w:val="18"/>
          <w:szCs w:val="18"/>
          <w:lang w:val="es-ES_tradnl"/>
        </w:rPr>
        <w:t xml:space="preserve">El accionante se encuentra legitimado para presentar la </w:t>
      </w:r>
      <w:r>
        <w:rPr>
          <w:spacing w:val="-5"/>
          <w:sz w:val="18"/>
          <w:szCs w:val="18"/>
          <w:lang w:val="es-ES_tradnl"/>
        </w:rPr>
        <w:t>presente acci</w:t>
      </w:r>
      <w:r>
        <w:rPr>
          <w:rFonts w:cs="Times New Roman"/>
          <w:spacing w:val="-5"/>
          <w:sz w:val="18"/>
          <w:szCs w:val="18"/>
          <w:lang w:val="es-ES_tradnl"/>
        </w:rPr>
        <w:t>ó</w:t>
      </w:r>
      <w:r>
        <w:rPr>
          <w:spacing w:val="-5"/>
          <w:sz w:val="18"/>
          <w:szCs w:val="18"/>
          <w:lang w:val="es-ES_tradnl"/>
        </w:rPr>
        <w:t>n extraordinaria de protecci</w:t>
      </w:r>
      <w:r>
        <w:rPr>
          <w:rFonts w:cs="Times New Roman"/>
          <w:spacing w:val="-5"/>
          <w:sz w:val="18"/>
          <w:szCs w:val="18"/>
          <w:lang w:val="es-ES_tradnl"/>
        </w:rPr>
        <w:t>ó</w:t>
      </w:r>
      <w:r>
        <w:rPr>
          <w:spacing w:val="-5"/>
          <w:sz w:val="18"/>
          <w:szCs w:val="18"/>
          <w:lang w:val="es-ES_tradnl"/>
        </w:rPr>
        <w:t>n en virtud de</w:t>
      </w:r>
    </w:p>
    <w:p w14:paraId="4F67B390" w14:textId="77777777" w:rsidR="00591D54" w:rsidRDefault="00591D54">
      <w:pPr>
        <w:shd w:val="clear" w:color="auto" w:fill="FFFFFF"/>
        <w:spacing w:before="10" w:line="216" w:lineRule="exact"/>
        <w:ind w:right="5"/>
        <w:jc w:val="both"/>
      </w:pPr>
      <w:r>
        <w:br w:type="column"/>
      </w:r>
      <w:r>
        <w:rPr>
          <w:spacing w:val="-7"/>
          <w:sz w:val="18"/>
          <w:szCs w:val="18"/>
          <w:lang w:val="es-ES_tradnl"/>
        </w:rPr>
        <w:t>cumplir con los requerimientos establecidos en el art</w:t>
      </w:r>
      <w:r>
        <w:rPr>
          <w:rFonts w:cs="Times New Roman"/>
          <w:spacing w:val="-7"/>
          <w:sz w:val="18"/>
          <w:szCs w:val="18"/>
          <w:lang w:val="es-ES_tradnl"/>
        </w:rPr>
        <w:t>í</w:t>
      </w:r>
      <w:r>
        <w:rPr>
          <w:spacing w:val="-7"/>
          <w:sz w:val="18"/>
          <w:szCs w:val="18"/>
          <w:lang w:val="es-ES_tradnl"/>
        </w:rPr>
        <w:t xml:space="preserve">culo </w:t>
      </w:r>
      <w:r>
        <w:rPr>
          <w:spacing w:val="-6"/>
          <w:sz w:val="18"/>
          <w:szCs w:val="18"/>
          <w:lang w:val="es-ES_tradnl"/>
        </w:rPr>
        <w:t>437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y de conformidad </w:t>
      </w:r>
      <w:r>
        <w:rPr>
          <w:spacing w:val="-5"/>
          <w:sz w:val="18"/>
          <w:szCs w:val="18"/>
          <w:lang w:val="es-ES_tradnl"/>
        </w:rPr>
        <w:t>con aquellos contenidos en el art</w:t>
      </w:r>
      <w:r>
        <w:rPr>
          <w:rFonts w:cs="Times New Roman"/>
          <w:spacing w:val="-5"/>
          <w:sz w:val="18"/>
          <w:szCs w:val="18"/>
          <w:lang w:val="es-ES_tradnl"/>
        </w:rPr>
        <w:t>í</w:t>
      </w:r>
      <w:r>
        <w:rPr>
          <w:spacing w:val="-5"/>
          <w:sz w:val="18"/>
          <w:szCs w:val="18"/>
          <w:lang w:val="es-ES_tradnl"/>
        </w:rPr>
        <w:t>culo 439 ib</w:t>
      </w:r>
      <w:r>
        <w:rPr>
          <w:rFonts w:cs="Times New Roman"/>
          <w:spacing w:val="-5"/>
          <w:sz w:val="18"/>
          <w:szCs w:val="18"/>
          <w:lang w:val="es-ES_tradnl"/>
        </w:rPr>
        <w:t>í</w:t>
      </w:r>
      <w:r>
        <w:rPr>
          <w:spacing w:val="-5"/>
          <w:sz w:val="18"/>
          <w:szCs w:val="18"/>
          <w:lang w:val="es-ES_tradnl"/>
        </w:rPr>
        <w:t xml:space="preserve">dem, que </w:t>
      </w:r>
      <w:r>
        <w:rPr>
          <w:spacing w:val="-10"/>
          <w:sz w:val="18"/>
          <w:szCs w:val="18"/>
          <w:lang w:val="es-ES_tradnl"/>
        </w:rPr>
        <w:t>se</w:t>
      </w:r>
      <w:r>
        <w:rPr>
          <w:rFonts w:cs="Times New Roman"/>
          <w:spacing w:val="-10"/>
          <w:sz w:val="18"/>
          <w:szCs w:val="18"/>
          <w:lang w:val="es-ES_tradnl"/>
        </w:rPr>
        <w:t>ñ</w:t>
      </w:r>
      <w:r>
        <w:rPr>
          <w:spacing w:val="-10"/>
          <w:sz w:val="18"/>
          <w:szCs w:val="18"/>
          <w:lang w:val="es-ES_tradnl"/>
        </w:rPr>
        <w:t>ala que las acciones constitucionales podr</w:t>
      </w:r>
      <w:r>
        <w:rPr>
          <w:rFonts w:cs="Times New Roman"/>
          <w:spacing w:val="-10"/>
          <w:sz w:val="18"/>
          <w:szCs w:val="18"/>
          <w:lang w:val="es-ES_tradnl"/>
        </w:rPr>
        <w:t>á</w:t>
      </w:r>
      <w:r>
        <w:rPr>
          <w:spacing w:val="-10"/>
          <w:sz w:val="18"/>
          <w:szCs w:val="18"/>
          <w:lang w:val="es-ES_tradnl"/>
        </w:rPr>
        <w:t xml:space="preserve">n presentarse </w:t>
      </w:r>
      <w:r>
        <w:rPr>
          <w:spacing w:val="-5"/>
          <w:sz w:val="18"/>
          <w:szCs w:val="18"/>
          <w:lang w:val="es-ES_tradnl"/>
        </w:rPr>
        <w:t xml:space="preserve">por cualquier ciudadana o ciudadano de forma individual </w:t>
      </w:r>
      <w:r>
        <w:rPr>
          <w:sz w:val="18"/>
          <w:szCs w:val="18"/>
          <w:lang w:val="es-ES_tradnl"/>
        </w:rPr>
        <w:t>o colectiva, en concordancia con el art</w:t>
      </w:r>
      <w:r>
        <w:rPr>
          <w:rFonts w:cs="Times New Roman"/>
          <w:sz w:val="18"/>
          <w:szCs w:val="18"/>
          <w:lang w:val="es-ES_tradnl"/>
        </w:rPr>
        <w:t>í</w:t>
      </w:r>
      <w:r>
        <w:rPr>
          <w:sz w:val="18"/>
          <w:szCs w:val="18"/>
          <w:lang w:val="es-ES_tradnl"/>
        </w:rPr>
        <w:t xml:space="preserve">culo 59 de la </w:t>
      </w:r>
      <w:r>
        <w:rPr>
          <w:spacing w:val="-6"/>
          <w:sz w:val="18"/>
          <w:szCs w:val="18"/>
          <w:lang w:val="es-ES_tradnl"/>
        </w:rPr>
        <w:t>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Control </w:t>
      </w:r>
      <w:r>
        <w:rPr>
          <w:sz w:val="18"/>
          <w:szCs w:val="18"/>
          <w:lang w:val="es-ES_tradnl"/>
        </w:rPr>
        <w:t>Constitucional.</w:t>
      </w:r>
    </w:p>
    <w:p w14:paraId="4F67B391" w14:textId="77777777" w:rsidR="00591D54" w:rsidRDefault="00591D54">
      <w:pPr>
        <w:shd w:val="clear" w:color="auto" w:fill="FFFFFF"/>
        <w:spacing w:before="192"/>
      </w:pPr>
      <w:r>
        <w:rPr>
          <w:b/>
          <w:bCs/>
          <w:spacing w:val="-9"/>
          <w:sz w:val="18"/>
          <w:szCs w:val="18"/>
          <w:lang w:val="es-ES_tradnl"/>
        </w:rPr>
        <w:t>An</w:t>
      </w:r>
      <w:r>
        <w:rPr>
          <w:rFonts w:cs="Times New Roman"/>
          <w:b/>
          <w:bCs/>
          <w:spacing w:val="-9"/>
          <w:sz w:val="18"/>
          <w:szCs w:val="18"/>
          <w:lang w:val="es-ES_tradnl"/>
        </w:rPr>
        <w:t>á</w:t>
      </w:r>
      <w:r>
        <w:rPr>
          <w:b/>
          <w:bCs/>
          <w:spacing w:val="-9"/>
          <w:sz w:val="18"/>
          <w:szCs w:val="18"/>
          <w:lang w:val="es-ES_tradnl"/>
        </w:rPr>
        <w:t>lisis constitucional</w:t>
      </w:r>
    </w:p>
    <w:p w14:paraId="4F67B392" w14:textId="77777777" w:rsidR="00591D54" w:rsidRDefault="00591D54">
      <w:pPr>
        <w:shd w:val="clear" w:color="auto" w:fill="FFFFFF"/>
        <w:spacing w:before="192" w:line="216" w:lineRule="exact"/>
        <w:ind w:right="5"/>
        <w:jc w:val="both"/>
      </w:pPr>
      <w:r>
        <w:rPr>
          <w:b/>
          <w:bCs/>
          <w:spacing w:val="-5"/>
          <w:sz w:val="18"/>
          <w:szCs w:val="18"/>
          <w:lang w:val="es-ES_tradnl"/>
        </w:rPr>
        <w:t>Naturaleza jur</w:t>
      </w:r>
      <w:r>
        <w:rPr>
          <w:rFonts w:cs="Times New Roman"/>
          <w:b/>
          <w:bCs/>
          <w:spacing w:val="-5"/>
          <w:sz w:val="18"/>
          <w:szCs w:val="18"/>
          <w:lang w:val="es-ES_tradnl"/>
        </w:rPr>
        <w:t>í</w:t>
      </w:r>
      <w:r>
        <w:rPr>
          <w:b/>
          <w:bCs/>
          <w:spacing w:val="-5"/>
          <w:sz w:val="18"/>
          <w:szCs w:val="18"/>
          <w:lang w:val="es-ES_tradnl"/>
        </w:rPr>
        <w:t>dica de la acci</w:t>
      </w:r>
      <w:r>
        <w:rPr>
          <w:rFonts w:cs="Times New Roman"/>
          <w:b/>
          <w:bCs/>
          <w:spacing w:val="-5"/>
          <w:sz w:val="18"/>
          <w:szCs w:val="18"/>
          <w:lang w:val="es-ES_tradnl"/>
        </w:rPr>
        <w:t>ó</w:t>
      </w:r>
      <w:r>
        <w:rPr>
          <w:b/>
          <w:bCs/>
          <w:spacing w:val="-5"/>
          <w:sz w:val="18"/>
          <w:szCs w:val="18"/>
          <w:lang w:val="es-ES_tradnl"/>
        </w:rPr>
        <w:t xml:space="preserve">n extraordinaria de </w:t>
      </w:r>
      <w:r>
        <w:rPr>
          <w:b/>
          <w:bCs/>
          <w:sz w:val="18"/>
          <w:szCs w:val="18"/>
          <w:lang w:val="es-ES_tradnl"/>
        </w:rPr>
        <w:t>protecci</w:t>
      </w:r>
      <w:r>
        <w:rPr>
          <w:rFonts w:cs="Times New Roman"/>
          <w:b/>
          <w:bCs/>
          <w:sz w:val="18"/>
          <w:szCs w:val="18"/>
          <w:lang w:val="es-ES_tradnl"/>
        </w:rPr>
        <w:t>ó</w:t>
      </w:r>
      <w:r>
        <w:rPr>
          <w:b/>
          <w:bCs/>
          <w:sz w:val="18"/>
          <w:szCs w:val="18"/>
          <w:lang w:val="es-ES_tradnl"/>
        </w:rPr>
        <w:t>n</w:t>
      </w:r>
    </w:p>
    <w:p w14:paraId="4F67B393" w14:textId="77777777" w:rsidR="00591D54" w:rsidRDefault="00591D54">
      <w:pPr>
        <w:shd w:val="clear" w:color="auto" w:fill="FFFFFF"/>
        <w:spacing w:before="197" w:line="216" w:lineRule="exact"/>
        <w:jc w:val="both"/>
      </w:pPr>
      <w:r>
        <w:rPr>
          <w:sz w:val="18"/>
          <w:szCs w:val="18"/>
          <w:lang w:val="es-ES_tradnl"/>
        </w:rPr>
        <w:t>La acci</w:t>
      </w:r>
      <w:r>
        <w:rPr>
          <w:rFonts w:cs="Times New Roman"/>
          <w:sz w:val="18"/>
          <w:szCs w:val="18"/>
          <w:lang w:val="es-ES_tradnl"/>
        </w:rPr>
        <w:t>ó</w:t>
      </w:r>
      <w:r>
        <w:rPr>
          <w:sz w:val="18"/>
          <w:szCs w:val="18"/>
          <w:lang w:val="es-ES_tradnl"/>
        </w:rPr>
        <w:t>n extraordinaria de protecci</w:t>
      </w:r>
      <w:r>
        <w:rPr>
          <w:rFonts w:cs="Times New Roman"/>
          <w:sz w:val="18"/>
          <w:szCs w:val="18"/>
          <w:lang w:val="es-ES_tradnl"/>
        </w:rPr>
        <w:t>ó</w:t>
      </w:r>
      <w:r>
        <w:rPr>
          <w:sz w:val="18"/>
          <w:szCs w:val="18"/>
          <w:lang w:val="es-ES_tradnl"/>
        </w:rPr>
        <w:t xml:space="preserve">n, instituida por </w:t>
      </w:r>
      <w:r>
        <w:rPr>
          <w:spacing w:val="-5"/>
          <w:sz w:val="18"/>
          <w:szCs w:val="18"/>
          <w:lang w:val="es-ES_tradnl"/>
        </w:rPr>
        <w:t>el art</w:t>
      </w:r>
      <w:r>
        <w:rPr>
          <w:rFonts w:cs="Times New Roman"/>
          <w:spacing w:val="-5"/>
          <w:sz w:val="18"/>
          <w:szCs w:val="18"/>
          <w:lang w:val="es-ES_tradnl"/>
        </w:rPr>
        <w:t>í</w:t>
      </w:r>
      <w:r>
        <w:rPr>
          <w:spacing w:val="-5"/>
          <w:sz w:val="18"/>
          <w:szCs w:val="18"/>
          <w:lang w:val="es-ES_tradnl"/>
        </w:rPr>
        <w:t>culo 94 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 xml:space="preserve">blica, es una </w:t>
      </w:r>
      <w:r>
        <w:rPr>
          <w:spacing w:val="-8"/>
          <w:sz w:val="18"/>
          <w:szCs w:val="18"/>
          <w:lang w:val="es-ES_tradnl"/>
        </w:rPr>
        <w:t>garant</w:t>
      </w:r>
      <w:r>
        <w:rPr>
          <w:rFonts w:cs="Times New Roman"/>
          <w:spacing w:val="-8"/>
          <w:sz w:val="18"/>
          <w:szCs w:val="18"/>
          <w:lang w:val="es-ES_tradnl"/>
        </w:rPr>
        <w:t>í</w:t>
      </w:r>
      <w:r>
        <w:rPr>
          <w:spacing w:val="-8"/>
          <w:sz w:val="18"/>
          <w:szCs w:val="18"/>
          <w:lang w:val="es-ES_tradnl"/>
        </w:rPr>
        <w:t xml:space="preserve">a jurisdiccional creada por el constituyente con el fin </w:t>
      </w:r>
      <w:r>
        <w:rPr>
          <w:spacing w:val="-11"/>
          <w:sz w:val="18"/>
          <w:szCs w:val="18"/>
          <w:lang w:val="es-ES_tradnl"/>
        </w:rPr>
        <w:t xml:space="preserve">de proteger los derechos constitucionales de las personas en </w:t>
      </w:r>
      <w:r>
        <w:rPr>
          <w:spacing w:val="-8"/>
          <w:sz w:val="18"/>
          <w:szCs w:val="18"/>
          <w:lang w:val="es-ES_tradnl"/>
        </w:rPr>
        <w:t>contra de cualquier vulneraci</w:t>
      </w:r>
      <w:r>
        <w:rPr>
          <w:rFonts w:cs="Times New Roman"/>
          <w:spacing w:val="-8"/>
          <w:sz w:val="18"/>
          <w:szCs w:val="18"/>
          <w:lang w:val="es-ES_tradnl"/>
        </w:rPr>
        <w:t>ó</w:t>
      </w:r>
      <w:r>
        <w:rPr>
          <w:spacing w:val="-8"/>
          <w:sz w:val="18"/>
          <w:szCs w:val="18"/>
          <w:lang w:val="es-ES_tradnl"/>
        </w:rPr>
        <w:t xml:space="preserve">n que se produjere mediante </w:t>
      </w:r>
      <w:r>
        <w:rPr>
          <w:sz w:val="18"/>
          <w:szCs w:val="18"/>
          <w:lang w:val="es-ES_tradnl"/>
        </w:rPr>
        <w:t>sentencias o autos definitivos.</w:t>
      </w:r>
    </w:p>
    <w:p w14:paraId="4F67B394" w14:textId="77777777" w:rsidR="00591D54" w:rsidRDefault="00591D54">
      <w:pPr>
        <w:shd w:val="clear" w:color="auto" w:fill="FFFFFF"/>
        <w:spacing w:before="192" w:line="216" w:lineRule="exact"/>
        <w:ind w:right="5"/>
        <w:jc w:val="both"/>
      </w:pPr>
      <w:r>
        <w:rPr>
          <w:spacing w:val="-1"/>
          <w:sz w:val="18"/>
          <w:szCs w:val="18"/>
          <w:lang w:val="es-ES_tradnl"/>
        </w:rPr>
        <w:t>Esta acci</w:t>
      </w:r>
      <w:r>
        <w:rPr>
          <w:rFonts w:cs="Times New Roman"/>
          <w:spacing w:val="-1"/>
          <w:sz w:val="18"/>
          <w:szCs w:val="18"/>
          <w:lang w:val="es-ES_tradnl"/>
        </w:rPr>
        <w:t>ó</w:t>
      </w:r>
      <w:r>
        <w:rPr>
          <w:spacing w:val="-1"/>
          <w:sz w:val="18"/>
          <w:szCs w:val="18"/>
          <w:lang w:val="es-ES_tradnl"/>
        </w:rPr>
        <w:t xml:space="preserve">n nace y existe para garantizar, proteger, </w:t>
      </w:r>
      <w:r>
        <w:rPr>
          <w:spacing w:val="-9"/>
          <w:sz w:val="18"/>
          <w:szCs w:val="18"/>
          <w:lang w:val="es-ES_tradnl"/>
        </w:rPr>
        <w:t>tutelar y amparar el debido proceso y dem</w:t>
      </w:r>
      <w:r>
        <w:rPr>
          <w:rFonts w:cs="Times New Roman"/>
          <w:spacing w:val="-9"/>
          <w:sz w:val="18"/>
          <w:szCs w:val="18"/>
          <w:lang w:val="es-ES_tradnl"/>
        </w:rPr>
        <w:t>á</w:t>
      </w:r>
      <w:r>
        <w:rPr>
          <w:spacing w:val="-9"/>
          <w:sz w:val="18"/>
          <w:szCs w:val="18"/>
          <w:lang w:val="es-ES_tradnl"/>
        </w:rPr>
        <w:t xml:space="preserve">s derechos </w:t>
      </w:r>
      <w:r>
        <w:rPr>
          <w:spacing w:val="-5"/>
          <w:sz w:val="18"/>
          <w:szCs w:val="18"/>
          <w:lang w:val="es-ES_tradnl"/>
        </w:rPr>
        <w:t>constitucionales que por acci</w:t>
      </w:r>
      <w:r>
        <w:rPr>
          <w:rFonts w:cs="Times New Roman"/>
          <w:spacing w:val="-5"/>
          <w:sz w:val="18"/>
          <w:szCs w:val="18"/>
          <w:lang w:val="es-ES_tradnl"/>
        </w:rPr>
        <w:t>ó</w:t>
      </w:r>
      <w:r>
        <w:rPr>
          <w:spacing w:val="-5"/>
          <w:sz w:val="18"/>
          <w:szCs w:val="18"/>
          <w:lang w:val="es-ES_tradnl"/>
        </w:rPr>
        <w:t>n u omisi</w:t>
      </w:r>
      <w:r>
        <w:rPr>
          <w:rFonts w:cs="Times New Roman"/>
          <w:spacing w:val="-5"/>
          <w:sz w:val="18"/>
          <w:szCs w:val="18"/>
          <w:lang w:val="es-ES_tradnl"/>
        </w:rPr>
        <w:t>ó</w:t>
      </w:r>
      <w:r>
        <w:rPr>
          <w:spacing w:val="-5"/>
          <w:sz w:val="18"/>
          <w:szCs w:val="18"/>
          <w:lang w:val="es-ES_tradnl"/>
        </w:rPr>
        <w:t xml:space="preserve">n, pudieren ser </w:t>
      </w:r>
      <w:r>
        <w:rPr>
          <w:spacing w:val="-7"/>
          <w:sz w:val="18"/>
          <w:szCs w:val="18"/>
          <w:lang w:val="es-ES_tradnl"/>
        </w:rPr>
        <w:t>afectados o violados por decisiones judiciales.</w:t>
      </w:r>
    </w:p>
    <w:p w14:paraId="4F67B395" w14:textId="77777777" w:rsidR="00591D54" w:rsidRDefault="00591D54">
      <w:pPr>
        <w:shd w:val="clear" w:color="auto" w:fill="FFFFFF"/>
        <w:spacing w:before="192" w:line="216" w:lineRule="exact"/>
        <w:ind w:right="5"/>
        <w:jc w:val="both"/>
      </w:pPr>
      <w:r>
        <w:rPr>
          <w:spacing w:val="-5"/>
          <w:sz w:val="18"/>
          <w:szCs w:val="18"/>
          <w:lang w:val="es-ES_tradnl"/>
        </w:rPr>
        <w:t>La incorporaci</w:t>
      </w:r>
      <w:r>
        <w:rPr>
          <w:rFonts w:cs="Times New Roman"/>
          <w:spacing w:val="-5"/>
          <w:sz w:val="18"/>
          <w:szCs w:val="18"/>
          <w:lang w:val="es-ES_tradnl"/>
        </w:rPr>
        <w:t>ó</w:t>
      </w:r>
      <w:r>
        <w:rPr>
          <w:spacing w:val="-5"/>
          <w:sz w:val="18"/>
          <w:szCs w:val="18"/>
          <w:lang w:val="es-ES_tradnl"/>
        </w:rPr>
        <w:t xml:space="preserve">n del control de constitucionalidad de las decisiones judiciales permite garantizar que cualquier </w:t>
      </w:r>
      <w:r>
        <w:rPr>
          <w:spacing w:val="-10"/>
          <w:sz w:val="18"/>
          <w:szCs w:val="18"/>
          <w:lang w:val="es-ES_tradnl"/>
        </w:rPr>
        <w:t>decisi</w:t>
      </w:r>
      <w:r>
        <w:rPr>
          <w:rFonts w:cs="Times New Roman"/>
          <w:spacing w:val="-10"/>
          <w:sz w:val="18"/>
          <w:szCs w:val="18"/>
          <w:lang w:val="es-ES_tradnl"/>
        </w:rPr>
        <w:t>ó</w:t>
      </w:r>
      <w:r>
        <w:rPr>
          <w:spacing w:val="-10"/>
          <w:sz w:val="18"/>
          <w:szCs w:val="18"/>
          <w:lang w:val="es-ES_tradnl"/>
        </w:rPr>
        <w:t>n emanada de una autoridad p</w:t>
      </w:r>
      <w:r>
        <w:rPr>
          <w:rFonts w:cs="Times New Roman"/>
          <w:spacing w:val="-10"/>
          <w:sz w:val="18"/>
          <w:szCs w:val="18"/>
          <w:lang w:val="es-ES_tradnl"/>
        </w:rPr>
        <w:t>ú</w:t>
      </w:r>
      <w:r>
        <w:rPr>
          <w:spacing w:val="-10"/>
          <w:sz w:val="18"/>
          <w:szCs w:val="18"/>
          <w:lang w:val="es-ES_tradnl"/>
        </w:rPr>
        <w:t>blica sea conforme al texto de la Constituci</w:t>
      </w:r>
      <w:r>
        <w:rPr>
          <w:rFonts w:cs="Times New Roman"/>
          <w:spacing w:val="-10"/>
          <w:sz w:val="18"/>
          <w:szCs w:val="18"/>
          <w:lang w:val="es-ES_tradnl"/>
        </w:rPr>
        <w:t>ó</w:t>
      </w:r>
      <w:r>
        <w:rPr>
          <w:spacing w:val="-10"/>
          <w:sz w:val="18"/>
          <w:szCs w:val="18"/>
          <w:lang w:val="es-ES_tradnl"/>
        </w:rPr>
        <w:t xml:space="preserve">n y ante todo, respete los derechos de </w:t>
      </w:r>
      <w:r>
        <w:rPr>
          <w:sz w:val="18"/>
          <w:szCs w:val="18"/>
          <w:lang w:val="es-ES_tradnl"/>
        </w:rPr>
        <w:t>las partes procesales.</w:t>
      </w:r>
    </w:p>
    <w:p w14:paraId="4F67B396" w14:textId="77777777" w:rsidR="00591D54" w:rsidRDefault="00591D54">
      <w:pPr>
        <w:shd w:val="clear" w:color="auto" w:fill="FFFFFF"/>
        <w:spacing w:before="192" w:line="216" w:lineRule="exact"/>
        <w:ind w:right="5"/>
        <w:jc w:val="both"/>
      </w:pPr>
      <w:r>
        <w:rPr>
          <w:spacing w:val="-3"/>
          <w:sz w:val="18"/>
          <w:szCs w:val="18"/>
          <w:lang w:val="es-ES_tradnl"/>
        </w:rPr>
        <w:t xml:space="preserve">Por consiguiente, no se trata de una instancia adicional </w:t>
      </w:r>
      <w:r>
        <w:rPr>
          <w:spacing w:val="-6"/>
          <w:sz w:val="18"/>
          <w:szCs w:val="18"/>
          <w:lang w:val="es-ES_tradnl"/>
        </w:rPr>
        <w:t xml:space="preserve">o superpuesta a las ya existentes, ni tiene por objeto </w:t>
      </w:r>
      <w:r>
        <w:rPr>
          <w:sz w:val="18"/>
          <w:szCs w:val="18"/>
          <w:lang w:val="es-ES_tradnl"/>
        </w:rPr>
        <w:t>deslegitimar o desmerecer la actuaci</w:t>
      </w:r>
      <w:r>
        <w:rPr>
          <w:rFonts w:cs="Times New Roman"/>
          <w:sz w:val="18"/>
          <w:szCs w:val="18"/>
          <w:lang w:val="es-ES_tradnl"/>
        </w:rPr>
        <w:t>ó</w:t>
      </w:r>
      <w:r>
        <w:rPr>
          <w:sz w:val="18"/>
          <w:szCs w:val="18"/>
          <w:lang w:val="es-ES_tradnl"/>
        </w:rPr>
        <w:t xml:space="preserve">n de los jueces </w:t>
      </w:r>
      <w:r>
        <w:rPr>
          <w:spacing w:val="-4"/>
          <w:sz w:val="18"/>
          <w:szCs w:val="18"/>
          <w:lang w:val="es-ES_tradnl"/>
        </w:rPr>
        <w:t xml:space="preserve">de instancia; por el contrario, tiene como </w:t>
      </w:r>
      <w:r>
        <w:rPr>
          <w:rFonts w:cs="Times New Roman"/>
          <w:spacing w:val="-4"/>
          <w:sz w:val="18"/>
          <w:szCs w:val="18"/>
          <w:lang w:val="es-ES_tradnl"/>
        </w:rPr>
        <w:t>ú</w:t>
      </w:r>
      <w:r>
        <w:rPr>
          <w:spacing w:val="-4"/>
          <w:sz w:val="18"/>
          <w:szCs w:val="18"/>
          <w:lang w:val="es-ES_tradnl"/>
        </w:rPr>
        <w:t xml:space="preserve">nico fin el </w:t>
      </w:r>
      <w:r>
        <w:rPr>
          <w:spacing w:val="-5"/>
          <w:sz w:val="18"/>
          <w:szCs w:val="18"/>
          <w:lang w:val="es-ES_tradnl"/>
        </w:rPr>
        <w:t>mantenimiento y promoci</w:t>
      </w:r>
      <w:r>
        <w:rPr>
          <w:rFonts w:cs="Times New Roman"/>
          <w:spacing w:val="-5"/>
          <w:sz w:val="18"/>
          <w:szCs w:val="18"/>
          <w:lang w:val="es-ES_tradnl"/>
        </w:rPr>
        <w:t>ó</w:t>
      </w:r>
      <w:r>
        <w:rPr>
          <w:spacing w:val="-5"/>
          <w:sz w:val="18"/>
          <w:szCs w:val="18"/>
          <w:lang w:val="es-ES_tradnl"/>
        </w:rPr>
        <w:t xml:space="preserve">n de un sistema de justicia </w:t>
      </w:r>
      <w:r>
        <w:rPr>
          <w:spacing w:val="-4"/>
          <w:sz w:val="18"/>
          <w:szCs w:val="18"/>
          <w:lang w:val="es-ES_tradnl"/>
        </w:rPr>
        <w:t>caracterizado por el respeto y sujeci</w:t>
      </w:r>
      <w:r>
        <w:rPr>
          <w:rFonts w:cs="Times New Roman"/>
          <w:spacing w:val="-4"/>
          <w:sz w:val="18"/>
          <w:szCs w:val="18"/>
          <w:lang w:val="es-ES_tradnl"/>
        </w:rPr>
        <w:t>ó</w:t>
      </w:r>
      <w:r>
        <w:rPr>
          <w:spacing w:val="-4"/>
          <w:sz w:val="18"/>
          <w:szCs w:val="18"/>
          <w:lang w:val="es-ES_tradnl"/>
        </w:rPr>
        <w:t xml:space="preserve">n a la norma </w:t>
      </w:r>
      <w:r>
        <w:rPr>
          <w:spacing w:val="-7"/>
          <w:sz w:val="18"/>
          <w:szCs w:val="18"/>
          <w:lang w:val="es-ES_tradnl"/>
        </w:rPr>
        <w:t>constitucional. As</w:t>
      </w:r>
      <w:r>
        <w:rPr>
          <w:rFonts w:cs="Times New Roman"/>
          <w:spacing w:val="-7"/>
          <w:sz w:val="18"/>
          <w:szCs w:val="18"/>
          <w:lang w:val="es-ES_tradnl"/>
        </w:rPr>
        <w:t>í</w:t>
      </w:r>
      <w:r>
        <w:rPr>
          <w:spacing w:val="-7"/>
          <w:sz w:val="18"/>
          <w:szCs w:val="18"/>
          <w:lang w:val="es-ES_tradnl"/>
        </w:rPr>
        <w:t xml:space="preserve">, cuando la Corte Constitucional conoce </w:t>
      </w:r>
      <w:r>
        <w:rPr>
          <w:spacing w:val="-4"/>
          <w:sz w:val="18"/>
          <w:szCs w:val="18"/>
          <w:lang w:val="es-ES_tradnl"/>
        </w:rPr>
        <w:t>una acci</w:t>
      </w:r>
      <w:r>
        <w:rPr>
          <w:rFonts w:cs="Times New Roman"/>
          <w:spacing w:val="-4"/>
          <w:sz w:val="18"/>
          <w:szCs w:val="18"/>
          <w:lang w:val="es-ES_tradnl"/>
        </w:rPr>
        <w:t>ó</w:t>
      </w:r>
      <w:r>
        <w:rPr>
          <w:spacing w:val="-4"/>
          <w:sz w:val="18"/>
          <w:szCs w:val="18"/>
          <w:lang w:val="es-ES_tradnl"/>
        </w:rPr>
        <w:t>n extraordinaria de protecci</w:t>
      </w:r>
      <w:r>
        <w:rPr>
          <w:rFonts w:cs="Times New Roman"/>
          <w:spacing w:val="-4"/>
          <w:sz w:val="18"/>
          <w:szCs w:val="18"/>
          <w:lang w:val="es-ES_tradnl"/>
        </w:rPr>
        <w:t>ó</w:t>
      </w:r>
      <w:r>
        <w:rPr>
          <w:spacing w:val="-4"/>
          <w:sz w:val="18"/>
          <w:szCs w:val="18"/>
          <w:lang w:val="es-ES_tradnl"/>
        </w:rPr>
        <w:t>n, no act</w:t>
      </w:r>
      <w:r>
        <w:rPr>
          <w:rFonts w:cs="Times New Roman"/>
          <w:spacing w:val="-4"/>
          <w:sz w:val="18"/>
          <w:szCs w:val="18"/>
          <w:lang w:val="es-ES_tradnl"/>
        </w:rPr>
        <w:t>ú</w:t>
      </w:r>
      <w:r>
        <w:rPr>
          <w:spacing w:val="-4"/>
          <w:sz w:val="18"/>
          <w:szCs w:val="18"/>
          <w:lang w:val="es-ES_tradnl"/>
        </w:rPr>
        <w:t xml:space="preserve">a como </w:t>
      </w:r>
      <w:r>
        <w:rPr>
          <w:spacing w:val="-6"/>
          <w:sz w:val="18"/>
          <w:szCs w:val="18"/>
          <w:lang w:val="es-ES_tradnl"/>
        </w:rPr>
        <w:t xml:space="preserve">un tribunal de alzada, sino que </w:t>
      </w:r>
      <w:r>
        <w:rPr>
          <w:rFonts w:cs="Times New Roman"/>
          <w:spacing w:val="-6"/>
          <w:sz w:val="18"/>
          <w:szCs w:val="18"/>
          <w:lang w:val="es-ES_tradnl"/>
        </w:rPr>
        <w:t>ú</w:t>
      </w:r>
      <w:r>
        <w:rPr>
          <w:spacing w:val="-6"/>
          <w:sz w:val="18"/>
          <w:szCs w:val="18"/>
          <w:lang w:val="es-ES_tradnl"/>
        </w:rPr>
        <w:t xml:space="preserve">nicamente interviene con </w:t>
      </w:r>
      <w:r>
        <w:rPr>
          <w:spacing w:val="-5"/>
          <w:sz w:val="18"/>
          <w:szCs w:val="18"/>
          <w:lang w:val="es-ES_tradnl"/>
        </w:rPr>
        <w:t>el fin de verificar que no exista vulneraci</w:t>
      </w:r>
      <w:r>
        <w:rPr>
          <w:rFonts w:cs="Times New Roman"/>
          <w:spacing w:val="-5"/>
          <w:sz w:val="18"/>
          <w:szCs w:val="18"/>
          <w:lang w:val="es-ES_tradnl"/>
        </w:rPr>
        <w:t>ó</w:t>
      </w:r>
      <w:r>
        <w:rPr>
          <w:spacing w:val="-5"/>
          <w:sz w:val="18"/>
          <w:szCs w:val="18"/>
          <w:lang w:val="es-ES_tradnl"/>
        </w:rPr>
        <w:t>n o violaci</w:t>
      </w:r>
      <w:r>
        <w:rPr>
          <w:rFonts w:cs="Times New Roman"/>
          <w:spacing w:val="-5"/>
          <w:sz w:val="18"/>
          <w:szCs w:val="18"/>
          <w:lang w:val="es-ES_tradnl"/>
        </w:rPr>
        <w:t>ó</w:t>
      </w:r>
      <w:r>
        <w:rPr>
          <w:spacing w:val="-5"/>
          <w:sz w:val="18"/>
          <w:szCs w:val="18"/>
          <w:lang w:val="es-ES_tradnl"/>
        </w:rPr>
        <w:t xml:space="preserve">n a </w:t>
      </w:r>
      <w:r>
        <w:rPr>
          <w:spacing w:val="-7"/>
          <w:sz w:val="18"/>
          <w:szCs w:val="18"/>
          <w:lang w:val="es-ES_tradnl"/>
        </w:rPr>
        <w:t>derechos reconocidos en 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blica y si las hubiere, ordenar su reparaci</w:t>
      </w:r>
      <w:r>
        <w:rPr>
          <w:rFonts w:cs="Times New Roman"/>
          <w:spacing w:val="-7"/>
          <w:sz w:val="18"/>
          <w:szCs w:val="18"/>
          <w:lang w:val="es-ES_tradnl"/>
        </w:rPr>
        <w:t>ó</w:t>
      </w:r>
      <w:r>
        <w:rPr>
          <w:spacing w:val="-7"/>
          <w:sz w:val="18"/>
          <w:szCs w:val="18"/>
          <w:lang w:val="es-ES_tradnl"/>
        </w:rPr>
        <w:t>n integral.</w:t>
      </w:r>
    </w:p>
    <w:p w14:paraId="4F67B397" w14:textId="77777777" w:rsidR="00591D54" w:rsidRDefault="00591D54">
      <w:pPr>
        <w:shd w:val="clear" w:color="auto" w:fill="FFFFFF"/>
        <w:spacing w:before="192"/>
      </w:pPr>
      <w:r>
        <w:rPr>
          <w:b/>
          <w:bCs/>
          <w:spacing w:val="-8"/>
          <w:sz w:val="18"/>
          <w:szCs w:val="18"/>
          <w:lang w:val="es-ES_tradnl"/>
        </w:rPr>
        <w:t>Determinaci</w:t>
      </w:r>
      <w:r>
        <w:rPr>
          <w:rFonts w:cs="Times New Roman"/>
          <w:b/>
          <w:bCs/>
          <w:spacing w:val="-8"/>
          <w:sz w:val="18"/>
          <w:szCs w:val="18"/>
          <w:lang w:val="es-ES_tradnl"/>
        </w:rPr>
        <w:t>ó</w:t>
      </w:r>
      <w:r>
        <w:rPr>
          <w:b/>
          <w:bCs/>
          <w:spacing w:val="-8"/>
          <w:sz w:val="18"/>
          <w:szCs w:val="18"/>
          <w:lang w:val="es-ES_tradnl"/>
        </w:rPr>
        <w:t>n y resoluci</w:t>
      </w:r>
      <w:r>
        <w:rPr>
          <w:rFonts w:cs="Times New Roman"/>
          <w:b/>
          <w:bCs/>
          <w:spacing w:val="-8"/>
          <w:sz w:val="18"/>
          <w:szCs w:val="18"/>
          <w:lang w:val="es-ES_tradnl"/>
        </w:rPr>
        <w:t>ó</w:t>
      </w:r>
      <w:r>
        <w:rPr>
          <w:b/>
          <w:bCs/>
          <w:spacing w:val="-8"/>
          <w:sz w:val="18"/>
          <w:szCs w:val="18"/>
          <w:lang w:val="es-ES_tradnl"/>
        </w:rPr>
        <w:t>n del problema jur</w:t>
      </w:r>
      <w:r>
        <w:rPr>
          <w:rFonts w:cs="Times New Roman"/>
          <w:b/>
          <w:bCs/>
          <w:spacing w:val="-8"/>
          <w:sz w:val="18"/>
          <w:szCs w:val="18"/>
          <w:lang w:val="es-ES_tradnl"/>
        </w:rPr>
        <w:t>í</w:t>
      </w:r>
      <w:r>
        <w:rPr>
          <w:b/>
          <w:bCs/>
          <w:spacing w:val="-8"/>
          <w:sz w:val="18"/>
          <w:szCs w:val="18"/>
          <w:lang w:val="es-ES_tradnl"/>
        </w:rPr>
        <w:t>dico</w:t>
      </w:r>
    </w:p>
    <w:p w14:paraId="4F67B398" w14:textId="77777777" w:rsidR="00591D54" w:rsidRDefault="00591D54">
      <w:pPr>
        <w:shd w:val="clear" w:color="auto" w:fill="FFFFFF"/>
        <w:spacing w:before="197" w:line="216" w:lineRule="exact"/>
        <w:ind w:right="5"/>
        <w:jc w:val="both"/>
      </w:pPr>
      <w:r>
        <w:rPr>
          <w:spacing w:val="-5"/>
          <w:sz w:val="18"/>
          <w:szCs w:val="18"/>
          <w:lang w:val="es-ES_tradnl"/>
        </w:rPr>
        <w:t>La Corte Constitucional en el presente caso, deber</w:t>
      </w:r>
      <w:r>
        <w:rPr>
          <w:rFonts w:cs="Times New Roman"/>
          <w:spacing w:val="-5"/>
          <w:sz w:val="18"/>
          <w:szCs w:val="18"/>
          <w:lang w:val="es-ES_tradnl"/>
        </w:rPr>
        <w:t xml:space="preserve">á </w:t>
      </w:r>
      <w:r>
        <w:rPr>
          <w:spacing w:val="-5"/>
          <w:sz w:val="18"/>
          <w:szCs w:val="18"/>
          <w:lang w:val="es-ES_tradnl"/>
        </w:rPr>
        <w:t>determinar si la decisi</w:t>
      </w:r>
      <w:r>
        <w:rPr>
          <w:rFonts w:cs="Times New Roman"/>
          <w:spacing w:val="-5"/>
          <w:sz w:val="18"/>
          <w:szCs w:val="18"/>
          <w:lang w:val="es-ES_tradnl"/>
        </w:rPr>
        <w:t>ó</w:t>
      </w:r>
      <w:r>
        <w:rPr>
          <w:spacing w:val="-5"/>
          <w:sz w:val="18"/>
          <w:szCs w:val="18"/>
          <w:lang w:val="es-ES_tradnl"/>
        </w:rPr>
        <w:t xml:space="preserve">n impugnada ha vulnerado los derechos constitucionales alegados por el accionante en </w:t>
      </w:r>
      <w:r>
        <w:rPr>
          <w:spacing w:val="-8"/>
          <w:sz w:val="18"/>
          <w:szCs w:val="18"/>
          <w:lang w:val="es-ES_tradnl"/>
        </w:rPr>
        <w:t>su demanda ante lo cual, su an</w:t>
      </w:r>
      <w:r>
        <w:rPr>
          <w:rFonts w:cs="Times New Roman"/>
          <w:spacing w:val="-8"/>
          <w:sz w:val="18"/>
          <w:szCs w:val="18"/>
          <w:lang w:val="es-ES_tradnl"/>
        </w:rPr>
        <w:t>á</w:t>
      </w:r>
      <w:r>
        <w:rPr>
          <w:spacing w:val="-8"/>
          <w:sz w:val="18"/>
          <w:szCs w:val="18"/>
          <w:lang w:val="es-ES_tradnl"/>
        </w:rPr>
        <w:t xml:space="preserve">lisis se concentra en el </w:t>
      </w:r>
      <w:r>
        <w:rPr>
          <w:spacing w:val="-5"/>
          <w:sz w:val="18"/>
          <w:szCs w:val="18"/>
          <w:lang w:val="es-ES_tradnl"/>
        </w:rPr>
        <w:t>desarrollo y resoluci</w:t>
      </w:r>
      <w:r>
        <w:rPr>
          <w:rFonts w:cs="Times New Roman"/>
          <w:spacing w:val="-5"/>
          <w:sz w:val="18"/>
          <w:szCs w:val="18"/>
          <w:lang w:val="es-ES_tradnl"/>
        </w:rPr>
        <w:t>ó</w:t>
      </w:r>
      <w:r>
        <w:rPr>
          <w:spacing w:val="-5"/>
          <w:sz w:val="18"/>
          <w:szCs w:val="18"/>
          <w:lang w:val="es-ES_tradnl"/>
        </w:rPr>
        <w:t>n del siguiente problema jur</w:t>
      </w:r>
      <w:r>
        <w:rPr>
          <w:rFonts w:cs="Times New Roman"/>
          <w:spacing w:val="-5"/>
          <w:sz w:val="18"/>
          <w:szCs w:val="18"/>
          <w:lang w:val="es-ES_tradnl"/>
        </w:rPr>
        <w:t>í</w:t>
      </w:r>
      <w:r>
        <w:rPr>
          <w:spacing w:val="-5"/>
          <w:sz w:val="18"/>
          <w:szCs w:val="18"/>
          <w:lang w:val="es-ES_tradnl"/>
        </w:rPr>
        <w:t>dico:</w:t>
      </w:r>
    </w:p>
    <w:p w14:paraId="4F67B399" w14:textId="77777777" w:rsidR="00591D54" w:rsidRDefault="00591D54">
      <w:pPr>
        <w:shd w:val="clear" w:color="auto" w:fill="FFFFFF"/>
        <w:spacing w:before="192" w:line="216" w:lineRule="exact"/>
        <w:ind w:right="5"/>
        <w:jc w:val="both"/>
      </w:pPr>
      <w:r>
        <w:rPr>
          <w:b/>
          <w:bCs/>
          <w:spacing w:val="-4"/>
          <w:sz w:val="18"/>
          <w:szCs w:val="18"/>
          <w:lang w:val="es-ES_tradnl"/>
        </w:rPr>
        <w:t xml:space="preserve">El auto dictado el 12 de junio de 2012, por la Sala de </w:t>
      </w:r>
      <w:r>
        <w:rPr>
          <w:b/>
          <w:bCs/>
          <w:spacing w:val="-8"/>
          <w:sz w:val="18"/>
          <w:szCs w:val="18"/>
          <w:lang w:val="es-ES_tradnl"/>
        </w:rPr>
        <w:t xml:space="preserve">lo Penal de la Corte Nacional de Justicia, </w:t>
      </w:r>
      <w:r>
        <w:rPr>
          <w:rFonts w:cs="Times New Roman"/>
          <w:b/>
          <w:bCs/>
          <w:spacing w:val="-8"/>
          <w:sz w:val="18"/>
          <w:szCs w:val="18"/>
          <w:lang w:val="es-ES_tradnl"/>
        </w:rPr>
        <w:t>¿</w:t>
      </w:r>
      <w:r>
        <w:rPr>
          <w:b/>
          <w:bCs/>
          <w:spacing w:val="-8"/>
          <w:sz w:val="18"/>
          <w:szCs w:val="18"/>
          <w:lang w:val="es-ES_tradnl"/>
        </w:rPr>
        <w:t xml:space="preserve">vulnera los derechos constitucionales del accionante a la tutela </w:t>
      </w:r>
      <w:r>
        <w:rPr>
          <w:b/>
          <w:bCs/>
          <w:spacing w:val="-6"/>
          <w:sz w:val="18"/>
          <w:szCs w:val="18"/>
          <w:lang w:val="es-ES_tradnl"/>
        </w:rPr>
        <w:t>judicial efectiva y al debido proceso en la garant</w:t>
      </w:r>
      <w:r>
        <w:rPr>
          <w:rFonts w:cs="Times New Roman"/>
          <w:b/>
          <w:bCs/>
          <w:spacing w:val="-6"/>
          <w:sz w:val="18"/>
          <w:szCs w:val="18"/>
          <w:lang w:val="es-ES_tradnl"/>
        </w:rPr>
        <w:t>í</w:t>
      </w:r>
      <w:r>
        <w:rPr>
          <w:b/>
          <w:bCs/>
          <w:spacing w:val="-6"/>
          <w:sz w:val="18"/>
          <w:szCs w:val="18"/>
          <w:lang w:val="es-ES_tradnl"/>
        </w:rPr>
        <w:t xml:space="preserve">a de </w:t>
      </w:r>
      <w:r>
        <w:rPr>
          <w:b/>
          <w:bCs/>
          <w:sz w:val="18"/>
          <w:szCs w:val="18"/>
          <w:lang w:val="es-ES_tradnl"/>
        </w:rPr>
        <w:t>la defensa?</w:t>
      </w:r>
    </w:p>
    <w:p w14:paraId="4F67B39A" w14:textId="77777777" w:rsidR="00591D54" w:rsidRDefault="00591D54">
      <w:pPr>
        <w:shd w:val="clear" w:color="auto" w:fill="FFFFFF"/>
        <w:spacing w:before="197" w:line="216" w:lineRule="exact"/>
        <w:ind w:right="5"/>
        <w:jc w:val="both"/>
      </w:pPr>
      <w:r>
        <w:rPr>
          <w:spacing w:val="-7"/>
          <w:sz w:val="18"/>
          <w:szCs w:val="18"/>
          <w:lang w:val="es-ES_tradnl"/>
        </w:rPr>
        <w:t>El doctor Manuel Gonzalo Quillupangui Ninahualpa se</w:t>
      </w:r>
      <w:r>
        <w:rPr>
          <w:rFonts w:cs="Times New Roman"/>
          <w:spacing w:val="-7"/>
          <w:sz w:val="18"/>
          <w:szCs w:val="18"/>
          <w:lang w:val="es-ES_tradnl"/>
        </w:rPr>
        <w:t>ñ</w:t>
      </w:r>
      <w:r>
        <w:rPr>
          <w:spacing w:val="-7"/>
          <w:sz w:val="18"/>
          <w:szCs w:val="18"/>
          <w:lang w:val="es-ES_tradnl"/>
        </w:rPr>
        <w:t xml:space="preserve">ala que la Sala de lo Penal de la Corte Nacional de Justicia </w:t>
      </w:r>
      <w:r>
        <w:rPr>
          <w:spacing w:val="-6"/>
          <w:sz w:val="18"/>
          <w:szCs w:val="18"/>
          <w:lang w:val="es-ES_tradnl"/>
        </w:rPr>
        <w:t>vulner</w:t>
      </w:r>
      <w:r>
        <w:rPr>
          <w:rFonts w:cs="Times New Roman"/>
          <w:spacing w:val="-6"/>
          <w:sz w:val="18"/>
          <w:szCs w:val="18"/>
          <w:lang w:val="es-ES_tradnl"/>
        </w:rPr>
        <w:t>ó</w:t>
      </w:r>
      <w:r>
        <w:rPr>
          <w:spacing w:val="-6"/>
          <w:sz w:val="18"/>
          <w:szCs w:val="18"/>
          <w:lang w:val="es-ES_tradnl"/>
        </w:rPr>
        <w:t xml:space="preserve"> sus derechos constitucionales a la tutela judicial </w:t>
      </w:r>
      <w:r>
        <w:rPr>
          <w:spacing w:val="-11"/>
          <w:sz w:val="18"/>
          <w:szCs w:val="18"/>
          <w:lang w:val="es-ES_tradnl"/>
        </w:rPr>
        <w:t>efectiva y a la defensa, pues, a trav</w:t>
      </w:r>
      <w:r>
        <w:rPr>
          <w:rFonts w:cs="Times New Roman"/>
          <w:spacing w:val="-11"/>
          <w:sz w:val="18"/>
          <w:szCs w:val="18"/>
          <w:lang w:val="es-ES_tradnl"/>
        </w:rPr>
        <w:t>é</w:t>
      </w:r>
      <w:r>
        <w:rPr>
          <w:spacing w:val="-11"/>
          <w:sz w:val="18"/>
          <w:szCs w:val="18"/>
          <w:lang w:val="es-ES_tradnl"/>
        </w:rPr>
        <w:t>s del auto del 12 de junio</w:t>
      </w:r>
    </w:p>
    <w:p w14:paraId="4F67B39B" w14:textId="77777777" w:rsidR="00591D54" w:rsidRDefault="00591D54">
      <w:pPr>
        <w:shd w:val="clear" w:color="auto" w:fill="FFFFFF"/>
        <w:spacing w:before="197" w:line="216" w:lineRule="exact"/>
        <w:ind w:right="5"/>
        <w:jc w:val="both"/>
        <w:sectPr w:rsidR="00591D54">
          <w:type w:val="continuous"/>
          <w:pgSz w:w="11909" w:h="16834"/>
          <w:pgMar w:top="1371" w:right="1304" w:bottom="360" w:left="1308" w:header="720" w:footer="720" w:gutter="0"/>
          <w:cols w:num="2" w:space="720" w:equalWidth="0">
            <w:col w:w="4305" w:space="682"/>
            <w:col w:w="4310"/>
          </w:cols>
          <w:noEndnote/>
        </w:sectPr>
      </w:pPr>
    </w:p>
    <w:p w14:paraId="4F67B39C" w14:textId="77777777" w:rsidR="00591D54" w:rsidRDefault="00591D54">
      <w:pPr>
        <w:shd w:val="clear" w:color="auto" w:fill="FFFFFF"/>
        <w:tabs>
          <w:tab w:val="left" w:pos="584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- 197</w:t>
      </w:r>
    </w:p>
    <w:p w14:paraId="4F67B39D" w14:textId="77777777" w:rsidR="00591D54" w:rsidRDefault="00591D54">
      <w:pPr>
        <w:shd w:val="clear" w:color="auto" w:fill="FFFFFF"/>
        <w:tabs>
          <w:tab w:val="left" w:pos="5842"/>
        </w:tabs>
        <w:spacing w:after="230"/>
        <w:ind w:left="5"/>
        <w:sectPr w:rsidR="00591D54">
          <w:pgSz w:w="11909" w:h="16834"/>
          <w:pgMar w:top="1356" w:right="1309" w:bottom="360" w:left="1308" w:header="720" w:footer="720" w:gutter="0"/>
          <w:cols w:space="60"/>
          <w:noEndnote/>
        </w:sectPr>
      </w:pPr>
    </w:p>
    <w:p w14:paraId="4F67B39E" w14:textId="77777777" w:rsidR="00591D54" w:rsidRDefault="00591D54">
      <w:pPr>
        <w:shd w:val="clear" w:color="auto" w:fill="FFFFFF"/>
        <w:spacing w:before="5" w:line="216" w:lineRule="exact"/>
        <w:jc w:val="both"/>
      </w:pPr>
      <w:r>
        <w:rPr>
          <w:spacing w:val="-9"/>
          <w:sz w:val="18"/>
          <w:szCs w:val="18"/>
          <w:lang w:val="es-ES_tradnl"/>
        </w:rPr>
        <w:t>de 2012, la Sala se neg</w:t>
      </w:r>
      <w:r>
        <w:rPr>
          <w:rFonts w:cs="Times New Roman"/>
          <w:spacing w:val="-9"/>
          <w:sz w:val="18"/>
          <w:szCs w:val="18"/>
          <w:lang w:val="es-ES_tradnl"/>
        </w:rPr>
        <w:t>ó</w:t>
      </w:r>
      <w:r>
        <w:rPr>
          <w:spacing w:val="-9"/>
          <w:sz w:val="18"/>
          <w:szCs w:val="18"/>
          <w:lang w:val="es-ES_tradnl"/>
        </w:rPr>
        <w:t xml:space="preserve"> a conocer el recurso de casaci</w:t>
      </w:r>
      <w:r>
        <w:rPr>
          <w:rFonts w:cs="Times New Roman"/>
          <w:spacing w:val="-9"/>
          <w:sz w:val="18"/>
          <w:szCs w:val="18"/>
          <w:lang w:val="es-ES_tradnl"/>
        </w:rPr>
        <w:t>ó</w:t>
      </w:r>
      <w:r>
        <w:rPr>
          <w:spacing w:val="-9"/>
          <w:sz w:val="18"/>
          <w:szCs w:val="18"/>
          <w:lang w:val="es-ES_tradnl"/>
        </w:rPr>
        <w:t>n concedido por la Tercera Sala de Garant</w:t>
      </w:r>
      <w:r>
        <w:rPr>
          <w:rFonts w:cs="Times New Roman"/>
          <w:spacing w:val="-9"/>
          <w:sz w:val="18"/>
          <w:szCs w:val="18"/>
          <w:lang w:val="es-ES_tradnl"/>
        </w:rPr>
        <w:t>í</w:t>
      </w:r>
      <w:r>
        <w:rPr>
          <w:spacing w:val="-9"/>
          <w:sz w:val="18"/>
          <w:szCs w:val="18"/>
          <w:lang w:val="es-ES_tradnl"/>
        </w:rPr>
        <w:t xml:space="preserve">as Penales de la </w:t>
      </w:r>
      <w:r>
        <w:rPr>
          <w:spacing w:val="-7"/>
          <w:sz w:val="18"/>
          <w:szCs w:val="18"/>
          <w:lang w:val="es-ES_tradnl"/>
        </w:rPr>
        <w:t xml:space="preserve">Corte Provincial de Justicia de Pichincha, sosteniendo que </w:t>
      </w:r>
      <w:r>
        <w:rPr>
          <w:spacing w:val="-8"/>
          <w:sz w:val="18"/>
          <w:szCs w:val="18"/>
          <w:lang w:val="es-ES_tradnl"/>
        </w:rPr>
        <w:t>la aclaraci</w:t>
      </w:r>
      <w:r>
        <w:rPr>
          <w:rFonts w:cs="Times New Roman"/>
          <w:spacing w:val="-8"/>
          <w:sz w:val="18"/>
          <w:szCs w:val="18"/>
          <w:lang w:val="es-ES_tradnl"/>
        </w:rPr>
        <w:t>ó</w:t>
      </w:r>
      <w:r>
        <w:rPr>
          <w:spacing w:val="-8"/>
          <w:sz w:val="18"/>
          <w:szCs w:val="18"/>
          <w:lang w:val="es-ES_tradnl"/>
        </w:rPr>
        <w:t>n y ampliaci</w:t>
      </w:r>
      <w:r>
        <w:rPr>
          <w:rFonts w:cs="Times New Roman"/>
          <w:spacing w:val="-8"/>
          <w:sz w:val="18"/>
          <w:szCs w:val="18"/>
          <w:lang w:val="es-ES_tradnl"/>
        </w:rPr>
        <w:t>ó</w:t>
      </w:r>
      <w:r>
        <w:rPr>
          <w:spacing w:val="-8"/>
          <w:sz w:val="18"/>
          <w:szCs w:val="18"/>
          <w:lang w:val="es-ES_tradnl"/>
        </w:rPr>
        <w:t>n planteadas eran extempor</w:t>
      </w:r>
      <w:r>
        <w:rPr>
          <w:rFonts w:cs="Times New Roman"/>
          <w:spacing w:val="-8"/>
          <w:sz w:val="18"/>
          <w:szCs w:val="18"/>
          <w:lang w:val="es-ES_tradnl"/>
        </w:rPr>
        <w:t>á</w:t>
      </w:r>
      <w:r>
        <w:rPr>
          <w:spacing w:val="-8"/>
          <w:sz w:val="18"/>
          <w:szCs w:val="18"/>
          <w:lang w:val="es-ES_tradnl"/>
        </w:rPr>
        <w:t xml:space="preserve">neas </w:t>
      </w:r>
      <w:r>
        <w:rPr>
          <w:spacing w:val="-5"/>
          <w:sz w:val="18"/>
          <w:szCs w:val="18"/>
          <w:lang w:val="es-ES_tradnl"/>
        </w:rPr>
        <w:t>y al hacerlo, se le ha dejado en indefensi</w:t>
      </w:r>
      <w:r>
        <w:rPr>
          <w:rFonts w:cs="Times New Roman"/>
          <w:spacing w:val="-5"/>
          <w:sz w:val="18"/>
          <w:szCs w:val="18"/>
          <w:lang w:val="es-ES_tradnl"/>
        </w:rPr>
        <w:t>ó</w:t>
      </w:r>
      <w:r>
        <w:rPr>
          <w:spacing w:val="-5"/>
          <w:sz w:val="18"/>
          <w:szCs w:val="18"/>
          <w:lang w:val="es-ES_tradnl"/>
        </w:rPr>
        <w:t xml:space="preserve">n, tal como lo </w:t>
      </w:r>
      <w:r>
        <w:rPr>
          <w:spacing w:val="-8"/>
          <w:sz w:val="18"/>
          <w:szCs w:val="18"/>
          <w:lang w:val="es-ES_tradnl"/>
        </w:rPr>
        <w:t>manifiesta de fojas 28 y 29 del expediente de casaci</w:t>
      </w:r>
      <w:r>
        <w:rPr>
          <w:rFonts w:cs="Times New Roman"/>
          <w:spacing w:val="-8"/>
          <w:sz w:val="18"/>
          <w:szCs w:val="18"/>
          <w:lang w:val="es-ES_tradnl"/>
        </w:rPr>
        <w:t>ó</w:t>
      </w:r>
      <w:r>
        <w:rPr>
          <w:spacing w:val="-8"/>
          <w:sz w:val="18"/>
          <w:szCs w:val="18"/>
          <w:lang w:val="es-ES_tradnl"/>
        </w:rPr>
        <w:t>n:</w:t>
      </w:r>
    </w:p>
    <w:p w14:paraId="4F67B39F" w14:textId="77777777" w:rsidR="00591D54" w:rsidRDefault="00591D54">
      <w:pPr>
        <w:shd w:val="clear" w:color="auto" w:fill="FFFFFF"/>
        <w:spacing w:before="202" w:line="216" w:lineRule="exact"/>
        <w:ind w:left="283"/>
        <w:jc w:val="both"/>
      </w:pPr>
      <w:r>
        <w:rPr>
          <w:sz w:val="14"/>
          <w:szCs w:val="14"/>
          <w:lang w:val="es-ES_tradnl"/>
        </w:rPr>
        <w:t xml:space="preserve">En </w:t>
      </w:r>
      <w:r>
        <w:rPr>
          <w:rFonts w:cs="Times New Roman"/>
          <w:sz w:val="14"/>
          <w:szCs w:val="14"/>
          <w:lang w:val="es-ES_tradnl"/>
        </w:rPr>
        <w:t>é</w:t>
      </w:r>
      <w:r>
        <w:rPr>
          <w:sz w:val="14"/>
          <w:szCs w:val="14"/>
          <w:lang w:val="es-ES_tradnl"/>
        </w:rPr>
        <w:t>ste caso es evidente que ha ocurrido una violaci</w:t>
      </w:r>
      <w:r>
        <w:rPr>
          <w:rFonts w:cs="Times New Roman"/>
          <w:sz w:val="14"/>
          <w:szCs w:val="14"/>
          <w:lang w:val="es-ES_tradnl"/>
        </w:rPr>
        <w:t>ó</w:t>
      </w:r>
      <w:r>
        <w:rPr>
          <w:sz w:val="14"/>
          <w:szCs w:val="14"/>
          <w:lang w:val="es-ES_tradnl"/>
        </w:rPr>
        <w:t>n a esta disposici</w:t>
      </w:r>
      <w:r>
        <w:rPr>
          <w:rFonts w:cs="Times New Roman"/>
          <w:sz w:val="14"/>
          <w:szCs w:val="14"/>
          <w:lang w:val="es-ES_tradnl"/>
        </w:rPr>
        <w:t>ó</w:t>
      </w:r>
      <w:r>
        <w:rPr>
          <w:sz w:val="14"/>
          <w:szCs w:val="14"/>
          <w:lang w:val="es-ES_tradnl"/>
        </w:rPr>
        <w:t>n constitucional debido a que no ha existido una tutela judicial efectiva en el Auto expedido por parte de la Sala de lo Penal de la Corte Nacional de Justicia (</w:t>
      </w:r>
      <w:r>
        <w:rPr>
          <w:rFonts w:cs="Times New Roman"/>
          <w:sz w:val="14"/>
          <w:szCs w:val="14"/>
          <w:lang w:val="es-ES_tradnl"/>
        </w:rPr>
        <w:t>…</w:t>
      </w:r>
      <w:r>
        <w:rPr>
          <w:sz w:val="14"/>
          <w:szCs w:val="14"/>
          <w:lang w:val="es-ES_tradnl"/>
        </w:rPr>
        <w:t xml:space="preserve">) la Sala, bajo el </w:t>
      </w:r>
      <w:r>
        <w:rPr>
          <w:spacing w:val="-1"/>
          <w:sz w:val="14"/>
          <w:szCs w:val="14"/>
          <w:lang w:val="es-ES_tradnl"/>
        </w:rPr>
        <w:t>argumento de que la ampliaci</w:t>
      </w:r>
      <w:r>
        <w:rPr>
          <w:rFonts w:cs="Times New Roman"/>
          <w:spacing w:val="-1"/>
          <w:sz w:val="14"/>
          <w:szCs w:val="14"/>
          <w:lang w:val="es-ES_tradnl"/>
        </w:rPr>
        <w:t>ó</w:t>
      </w:r>
      <w:r>
        <w:rPr>
          <w:spacing w:val="-1"/>
          <w:sz w:val="14"/>
          <w:szCs w:val="14"/>
          <w:lang w:val="es-ES_tradnl"/>
        </w:rPr>
        <w:t>n y aclaraci</w:t>
      </w:r>
      <w:r>
        <w:rPr>
          <w:rFonts w:cs="Times New Roman"/>
          <w:spacing w:val="-1"/>
          <w:sz w:val="14"/>
          <w:szCs w:val="14"/>
          <w:lang w:val="es-ES_tradnl"/>
        </w:rPr>
        <w:t>ó</w:t>
      </w:r>
      <w:r>
        <w:rPr>
          <w:spacing w:val="-1"/>
          <w:sz w:val="14"/>
          <w:szCs w:val="14"/>
          <w:lang w:val="es-ES_tradnl"/>
        </w:rPr>
        <w:t>n no son recursos se niega a conocer el recurso de casaci</w:t>
      </w:r>
      <w:r>
        <w:rPr>
          <w:rFonts w:cs="Times New Roman"/>
          <w:spacing w:val="-1"/>
          <w:sz w:val="14"/>
          <w:szCs w:val="14"/>
          <w:lang w:val="es-ES_tradnl"/>
        </w:rPr>
        <w:t>ó</w:t>
      </w:r>
      <w:r>
        <w:rPr>
          <w:spacing w:val="-1"/>
          <w:sz w:val="14"/>
          <w:szCs w:val="14"/>
          <w:lang w:val="es-ES_tradnl"/>
        </w:rPr>
        <w:t xml:space="preserve">n concedido por la Tercera </w:t>
      </w:r>
      <w:r>
        <w:rPr>
          <w:sz w:val="14"/>
          <w:szCs w:val="14"/>
          <w:lang w:val="es-ES_tradnl"/>
        </w:rPr>
        <w:t>Sala de Garant</w:t>
      </w:r>
      <w:r>
        <w:rPr>
          <w:rFonts w:cs="Times New Roman"/>
          <w:sz w:val="14"/>
          <w:szCs w:val="14"/>
          <w:lang w:val="es-ES_tradnl"/>
        </w:rPr>
        <w:t>í</w:t>
      </w:r>
      <w:r>
        <w:rPr>
          <w:sz w:val="14"/>
          <w:szCs w:val="14"/>
          <w:lang w:val="es-ES_tradnl"/>
        </w:rPr>
        <w:t>as Penales de la Corte Provincial de Justicia de Pichincha, pues sostienen que la aclaraci</w:t>
      </w:r>
      <w:r>
        <w:rPr>
          <w:rFonts w:cs="Times New Roman"/>
          <w:sz w:val="14"/>
          <w:szCs w:val="14"/>
          <w:lang w:val="es-ES_tradnl"/>
        </w:rPr>
        <w:t>ó</w:t>
      </w:r>
      <w:r>
        <w:rPr>
          <w:sz w:val="14"/>
          <w:szCs w:val="14"/>
          <w:lang w:val="es-ES_tradnl"/>
        </w:rPr>
        <w:t>n y ampliaci</w:t>
      </w:r>
      <w:r>
        <w:rPr>
          <w:rFonts w:cs="Times New Roman"/>
          <w:sz w:val="14"/>
          <w:szCs w:val="14"/>
          <w:lang w:val="es-ES_tradnl"/>
        </w:rPr>
        <w:t>ó</w:t>
      </w:r>
      <w:r>
        <w:rPr>
          <w:sz w:val="14"/>
          <w:szCs w:val="14"/>
          <w:lang w:val="es-ES_tradnl"/>
        </w:rPr>
        <w:t>n eran procedentes hasta el domingo 11 de diciembre (plazo) y no hasta el martes tercer d</w:t>
      </w:r>
      <w:r>
        <w:rPr>
          <w:rFonts w:cs="Times New Roman"/>
          <w:sz w:val="14"/>
          <w:szCs w:val="14"/>
          <w:lang w:val="es-ES_tradnl"/>
        </w:rPr>
        <w:t>í</w:t>
      </w:r>
      <w:r>
        <w:rPr>
          <w:sz w:val="14"/>
          <w:szCs w:val="14"/>
          <w:lang w:val="es-ES_tradnl"/>
        </w:rPr>
        <w:t>a laborable desde la notificaci</w:t>
      </w:r>
      <w:r>
        <w:rPr>
          <w:rFonts w:cs="Times New Roman"/>
          <w:sz w:val="14"/>
          <w:szCs w:val="14"/>
          <w:lang w:val="es-ES_tradnl"/>
        </w:rPr>
        <w:t>ó</w:t>
      </w:r>
      <w:r>
        <w:rPr>
          <w:sz w:val="14"/>
          <w:szCs w:val="14"/>
          <w:lang w:val="es-ES_tradnl"/>
        </w:rPr>
        <w:t>n del fallo (t</w:t>
      </w:r>
      <w:r>
        <w:rPr>
          <w:rFonts w:cs="Times New Roman"/>
          <w:sz w:val="14"/>
          <w:szCs w:val="14"/>
          <w:lang w:val="es-ES_tradnl"/>
        </w:rPr>
        <w:t>é</w:t>
      </w:r>
      <w:r>
        <w:rPr>
          <w:sz w:val="14"/>
          <w:szCs w:val="14"/>
          <w:lang w:val="es-ES_tradnl"/>
        </w:rPr>
        <w:t>rmino), como efectivamente se lo present</w:t>
      </w:r>
      <w:r>
        <w:rPr>
          <w:rFonts w:cs="Times New Roman"/>
          <w:sz w:val="14"/>
          <w:szCs w:val="14"/>
          <w:lang w:val="es-ES_tradnl"/>
        </w:rPr>
        <w:t>ó</w:t>
      </w:r>
      <w:r>
        <w:rPr>
          <w:sz w:val="14"/>
          <w:szCs w:val="14"/>
          <w:lang w:val="es-ES_tradnl"/>
        </w:rPr>
        <w:t xml:space="preserve"> (</w:t>
      </w:r>
      <w:r>
        <w:rPr>
          <w:rFonts w:cs="Times New Roman"/>
          <w:sz w:val="14"/>
          <w:szCs w:val="14"/>
          <w:lang w:val="es-ES_tradnl"/>
        </w:rPr>
        <w:t>…</w:t>
      </w:r>
      <w:r>
        <w:rPr>
          <w:sz w:val="14"/>
          <w:szCs w:val="14"/>
          <w:lang w:val="es-ES_tradnl"/>
        </w:rPr>
        <w:t>) sin embargo se neg</w:t>
      </w:r>
      <w:r>
        <w:rPr>
          <w:rFonts w:cs="Times New Roman"/>
          <w:sz w:val="14"/>
          <w:szCs w:val="14"/>
          <w:lang w:val="es-ES_tradnl"/>
        </w:rPr>
        <w:t>ó</w:t>
      </w:r>
      <w:r>
        <w:rPr>
          <w:sz w:val="14"/>
          <w:szCs w:val="14"/>
          <w:lang w:val="es-ES_tradnl"/>
        </w:rPr>
        <w:t xml:space="preserve"> al compareciente el derecho a fundamentar el recurso de casaci</w:t>
      </w:r>
      <w:r>
        <w:rPr>
          <w:rFonts w:cs="Times New Roman"/>
          <w:sz w:val="14"/>
          <w:szCs w:val="14"/>
          <w:lang w:val="es-ES_tradnl"/>
        </w:rPr>
        <w:t>ó</w:t>
      </w:r>
      <w:r>
        <w:rPr>
          <w:sz w:val="14"/>
          <w:szCs w:val="14"/>
          <w:lang w:val="es-ES_tradnl"/>
        </w:rPr>
        <w:t>n en audiencia tal como lo se</w:t>
      </w:r>
      <w:r>
        <w:rPr>
          <w:rFonts w:cs="Times New Roman"/>
          <w:sz w:val="14"/>
          <w:szCs w:val="14"/>
          <w:lang w:val="es-ES_tradnl"/>
        </w:rPr>
        <w:t>ñ</w:t>
      </w:r>
      <w:r>
        <w:rPr>
          <w:sz w:val="14"/>
          <w:szCs w:val="14"/>
          <w:lang w:val="es-ES_tradnl"/>
        </w:rPr>
        <w:t>ala el Art. 352 del C</w:t>
      </w:r>
      <w:r>
        <w:rPr>
          <w:rFonts w:cs="Times New Roman"/>
          <w:sz w:val="14"/>
          <w:szCs w:val="14"/>
          <w:lang w:val="es-ES_tradnl"/>
        </w:rPr>
        <w:t>ó</w:t>
      </w:r>
      <w:r>
        <w:rPr>
          <w:sz w:val="14"/>
          <w:szCs w:val="14"/>
          <w:lang w:val="es-ES_tradnl"/>
        </w:rPr>
        <w:t xml:space="preserve">digo de Procedimiento Penal, </w:t>
      </w:r>
      <w:r>
        <w:rPr>
          <w:b/>
          <w:bCs/>
          <w:sz w:val="14"/>
          <w:szCs w:val="14"/>
          <w:lang w:val="es-ES_tradnl"/>
        </w:rPr>
        <w:t>coloc</w:t>
      </w:r>
      <w:r>
        <w:rPr>
          <w:rFonts w:cs="Times New Roman"/>
          <w:b/>
          <w:bCs/>
          <w:sz w:val="14"/>
          <w:szCs w:val="14"/>
          <w:lang w:val="es-ES_tradnl"/>
        </w:rPr>
        <w:t>á</w:t>
      </w:r>
      <w:r>
        <w:rPr>
          <w:b/>
          <w:bCs/>
          <w:sz w:val="14"/>
          <w:szCs w:val="14"/>
          <w:lang w:val="es-ES_tradnl"/>
        </w:rPr>
        <w:t xml:space="preserve">ndome de </w:t>
      </w:r>
      <w:r>
        <w:rPr>
          <w:rFonts w:cs="Times New Roman"/>
          <w:b/>
          <w:bCs/>
          <w:sz w:val="14"/>
          <w:szCs w:val="14"/>
          <w:lang w:val="es-ES_tradnl"/>
        </w:rPr>
        <w:t>é</w:t>
      </w:r>
      <w:r>
        <w:rPr>
          <w:b/>
          <w:bCs/>
          <w:sz w:val="14"/>
          <w:szCs w:val="14"/>
          <w:lang w:val="es-ES_tradnl"/>
        </w:rPr>
        <w:t>sta forma en un estado de indefensi</w:t>
      </w:r>
      <w:r>
        <w:rPr>
          <w:rFonts w:cs="Times New Roman"/>
          <w:b/>
          <w:bCs/>
          <w:sz w:val="14"/>
          <w:szCs w:val="14"/>
          <w:lang w:val="es-ES_tradnl"/>
        </w:rPr>
        <w:t>ó</w:t>
      </w:r>
      <w:r>
        <w:rPr>
          <w:b/>
          <w:bCs/>
          <w:sz w:val="14"/>
          <w:szCs w:val="14"/>
          <w:lang w:val="es-ES_tradnl"/>
        </w:rPr>
        <w:t>n</w:t>
      </w:r>
      <w:r>
        <w:rPr>
          <w:sz w:val="14"/>
          <w:szCs w:val="14"/>
          <w:lang w:val="es-ES_tradnl"/>
        </w:rPr>
        <w:t>, vulnerando adem</w:t>
      </w:r>
      <w:r>
        <w:rPr>
          <w:rFonts w:cs="Times New Roman"/>
          <w:sz w:val="14"/>
          <w:szCs w:val="14"/>
          <w:lang w:val="es-ES_tradnl"/>
        </w:rPr>
        <w:t>á</w:t>
      </w:r>
      <w:r>
        <w:rPr>
          <w:sz w:val="14"/>
          <w:szCs w:val="14"/>
          <w:lang w:val="es-ES_tradnl"/>
        </w:rPr>
        <w:t>s uno de los derechos m</w:t>
      </w:r>
      <w:r>
        <w:rPr>
          <w:rFonts w:cs="Times New Roman"/>
          <w:sz w:val="14"/>
          <w:szCs w:val="14"/>
          <w:lang w:val="es-ES_tradnl"/>
        </w:rPr>
        <w:t>á</w:t>
      </w:r>
      <w:r>
        <w:rPr>
          <w:sz w:val="14"/>
          <w:szCs w:val="14"/>
          <w:lang w:val="es-ES_tradnl"/>
        </w:rPr>
        <w:t>s importantes como es el de defensa (</w:t>
      </w:r>
      <w:r>
        <w:rPr>
          <w:rFonts w:cs="Times New Roman"/>
          <w:sz w:val="14"/>
          <w:szCs w:val="14"/>
          <w:lang w:val="es-ES_tradnl"/>
        </w:rPr>
        <w:t>…</w:t>
      </w:r>
      <w:r>
        <w:rPr>
          <w:sz w:val="14"/>
          <w:szCs w:val="14"/>
          <w:lang w:val="es-ES_tradnl"/>
        </w:rPr>
        <w:t>) pues a trav</w:t>
      </w:r>
      <w:r>
        <w:rPr>
          <w:rFonts w:cs="Times New Roman"/>
          <w:sz w:val="14"/>
          <w:szCs w:val="14"/>
          <w:lang w:val="es-ES_tradnl"/>
        </w:rPr>
        <w:t>é</w:t>
      </w:r>
      <w:r>
        <w:rPr>
          <w:sz w:val="14"/>
          <w:szCs w:val="14"/>
          <w:lang w:val="es-ES_tradnl"/>
        </w:rPr>
        <w:t>s de los recursos es como el Estado garantiza el derecho a la defensa (</w:t>
      </w:r>
      <w:r>
        <w:rPr>
          <w:rFonts w:cs="Times New Roman"/>
          <w:sz w:val="14"/>
          <w:szCs w:val="14"/>
          <w:lang w:val="es-ES_tradnl"/>
        </w:rPr>
        <w:t>…</w:t>
      </w:r>
      <w:r>
        <w:rPr>
          <w:sz w:val="14"/>
          <w:szCs w:val="14"/>
          <w:lang w:val="es-ES_tradnl"/>
        </w:rPr>
        <w:t>).</w:t>
      </w:r>
    </w:p>
    <w:p w14:paraId="4F67B3A0" w14:textId="77777777" w:rsidR="00591D54" w:rsidRDefault="00591D54">
      <w:pPr>
        <w:shd w:val="clear" w:color="auto" w:fill="FFFFFF"/>
        <w:spacing w:before="202" w:line="216" w:lineRule="exact"/>
        <w:ind w:right="5"/>
        <w:jc w:val="both"/>
      </w:pPr>
      <w:r>
        <w:rPr>
          <w:spacing w:val="-6"/>
          <w:sz w:val="18"/>
          <w:szCs w:val="18"/>
          <w:lang w:val="es-ES_tradnl"/>
        </w:rPr>
        <w:t>En virtud del problema jur</w:t>
      </w:r>
      <w:r>
        <w:rPr>
          <w:rFonts w:cs="Times New Roman"/>
          <w:spacing w:val="-6"/>
          <w:sz w:val="18"/>
          <w:szCs w:val="18"/>
          <w:lang w:val="es-ES_tradnl"/>
        </w:rPr>
        <w:t>í</w:t>
      </w:r>
      <w:r>
        <w:rPr>
          <w:spacing w:val="-6"/>
          <w:sz w:val="18"/>
          <w:szCs w:val="18"/>
          <w:lang w:val="es-ES_tradnl"/>
        </w:rPr>
        <w:t xml:space="preserve">dico planteado, corresponde a </w:t>
      </w:r>
      <w:r>
        <w:rPr>
          <w:spacing w:val="-9"/>
          <w:sz w:val="18"/>
          <w:szCs w:val="18"/>
          <w:lang w:val="es-ES_tradnl"/>
        </w:rPr>
        <w:t xml:space="preserve">esta Corte determinar el alcance de los derechos a la tutela </w:t>
      </w:r>
      <w:r>
        <w:rPr>
          <w:spacing w:val="-7"/>
          <w:sz w:val="18"/>
          <w:szCs w:val="18"/>
          <w:lang w:val="es-ES_tradnl"/>
        </w:rPr>
        <w:t>judicial efectiva y a la defensa, para verificar si la decisi</w:t>
      </w:r>
      <w:r>
        <w:rPr>
          <w:rFonts w:cs="Times New Roman"/>
          <w:spacing w:val="-7"/>
          <w:sz w:val="18"/>
          <w:szCs w:val="18"/>
          <w:lang w:val="es-ES_tradnl"/>
        </w:rPr>
        <w:t>ó</w:t>
      </w:r>
      <w:r>
        <w:rPr>
          <w:spacing w:val="-7"/>
          <w:sz w:val="18"/>
          <w:szCs w:val="18"/>
          <w:lang w:val="es-ES_tradnl"/>
        </w:rPr>
        <w:t xml:space="preserve">n </w:t>
      </w:r>
      <w:r>
        <w:rPr>
          <w:spacing w:val="-11"/>
          <w:sz w:val="18"/>
          <w:szCs w:val="18"/>
          <w:lang w:val="es-ES_tradnl"/>
        </w:rPr>
        <w:t>que tom</w:t>
      </w:r>
      <w:r>
        <w:rPr>
          <w:rFonts w:cs="Times New Roman"/>
          <w:spacing w:val="-11"/>
          <w:sz w:val="18"/>
          <w:szCs w:val="18"/>
          <w:lang w:val="es-ES_tradnl"/>
        </w:rPr>
        <w:t>ó</w:t>
      </w:r>
      <w:r>
        <w:rPr>
          <w:spacing w:val="-11"/>
          <w:sz w:val="18"/>
          <w:szCs w:val="18"/>
          <w:lang w:val="es-ES_tradnl"/>
        </w:rPr>
        <w:t xml:space="preserve"> la Sala de lo Penal de la Corte Nacional de Justicia </w:t>
      </w:r>
      <w:r>
        <w:rPr>
          <w:sz w:val="18"/>
          <w:szCs w:val="18"/>
          <w:lang w:val="es-ES_tradnl"/>
        </w:rPr>
        <w:t>los ha vulnerado o no.</w:t>
      </w:r>
    </w:p>
    <w:p w14:paraId="4F67B3A1" w14:textId="77777777" w:rsidR="00591D54" w:rsidRDefault="00591D54">
      <w:pPr>
        <w:shd w:val="clear" w:color="auto" w:fill="FFFFFF"/>
        <w:spacing w:before="192" w:line="216" w:lineRule="exact"/>
        <w:ind w:right="5"/>
        <w:jc w:val="both"/>
      </w:pPr>
      <w:r>
        <w:rPr>
          <w:spacing w:val="-6"/>
          <w:sz w:val="18"/>
          <w:szCs w:val="18"/>
          <w:lang w:val="es-ES_tradnl"/>
        </w:rPr>
        <w:t xml:space="preserve">La tutela judicial efectiva de los derechos se encuentra </w:t>
      </w:r>
      <w:r>
        <w:rPr>
          <w:spacing w:val="-11"/>
          <w:sz w:val="18"/>
          <w:szCs w:val="18"/>
          <w:lang w:val="es-ES_tradnl"/>
        </w:rPr>
        <w:t>reconocida en el art</w:t>
      </w:r>
      <w:r>
        <w:rPr>
          <w:rFonts w:cs="Times New Roman"/>
          <w:spacing w:val="-11"/>
          <w:sz w:val="18"/>
          <w:szCs w:val="18"/>
          <w:lang w:val="es-ES_tradnl"/>
        </w:rPr>
        <w:t>í</w:t>
      </w:r>
      <w:r>
        <w:rPr>
          <w:spacing w:val="-11"/>
          <w:sz w:val="18"/>
          <w:szCs w:val="18"/>
          <w:lang w:val="es-ES_tradnl"/>
        </w:rPr>
        <w:t>culo 75 de la Constituci</w:t>
      </w:r>
      <w:r>
        <w:rPr>
          <w:rFonts w:cs="Times New Roman"/>
          <w:spacing w:val="-11"/>
          <w:sz w:val="18"/>
          <w:szCs w:val="18"/>
          <w:lang w:val="es-ES_tradnl"/>
        </w:rPr>
        <w:t>ó</w:t>
      </w:r>
      <w:r>
        <w:rPr>
          <w:spacing w:val="-11"/>
          <w:sz w:val="18"/>
          <w:szCs w:val="18"/>
          <w:lang w:val="es-ES_tradnl"/>
        </w:rPr>
        <w:t xml:space="preserve">n, que establece </w:t>
      </w:r>
      <w:r>
        <w:rPr>
          <w:spacing w:val="-7"/>
          <w:sz w:val="18"/>
          <w:szCs w:val="18"/>
          <w:lang w:val="es-ES_tradnl"/>
        </w:rPr>
        <w:t xml:space="preserve">que toda persona tiene derecho a una tutela imparcial y </w:t>
      </w:r>
      <w:r>
        <w:rPr>
          <w:spacing w:val="-8"/>
          <w:sz w:val="18"/>
          <w:szCs w:val="18"/>
          <w:lang w:val="es-ES_tradnl"/>
        </w:rPr>
        <w:t>expedita de sus derechos e intereses con sujeci</w:t>
      </w:r>
      <w:r>
        <w:rPr>
          <w:rFonts w:cs="Times New Roman"/>
          <w:spacing w:val="-8"/>
          <w:sz w:val="18"/>
          <w:szCs w:val="18"/>
          <w:lang w:val="es-ES_tradnl"/>
        </w:rPr>
        <w:t>ó</w:t>
      </w:r>
      <w:r>
        <w:rPr>
          <w:spacing w:val="-8"/>
          <w:sz w:val="18"/>
          <w:szCs w:val="18"/>
          <w:lang w:val="es-ES_tradnl"/>
        </w:rPr>
        <w:t xml:space="preserve">n a los </w:t>
      </w:r>
      <w:r>
        <w:rPr>
          <w:spacing w:val="-5"/>
          <w:sz w:val="18"/>
          <w:szCs w:val="18"/>
          <w:lang w:val="es-ES_tradnl"/>
        </w:rPr>
        <w:t>principios de inmediaci</w:t>
      </w:r>
      <w:r>
        <w:rPr>
          <w:rFonts w:cs="Times New Roman"/>
          <w:spacing w:val="-5"/>
          <w:sz w:val="18"/>
          <w:szCs w:val="18"/>
          <w:lang w:val="es-ES_tradnl"/>
        </w:rPr>
        <w:t>ó</w:t>
      </w:r>
      <w:r>
        <w:rPr>
          <w:spacing w:val="-5"/>
          <w:sz w:val="18"/>
          <w:szCs w:val="18"/>
          <w:lang w:val="es-ES_tradnl"/>
        </w:rPr>
        <w:t>n y celeridad, sin que en ning</w:t>
      </w:r>
      <w:r>
        <w:rPr>
          <w:rFonts w:cs="Times New Roman"/>
          <w:spacing w:val="-5"/>
          <w:sz w:val="18"/>
          <w:szCs w:val="18"/>
          <w:lang w:val="es-ES_tradnl"/>
        </w:rPr>
        <w:t>ú</w:t>
      </w:r>
      <w:r>
        <w:rPr>
          <w:spacing w:val="-5"/>
          <w:sz w:val="18"/>
          <w:szCs w:val="18"/>
          <w:lang w:val="es-ES_tradnl"/>
        </w:rPr>
        <w:t xml:space="preserve">n </w:t>
      </w:r>
      <w:r>
        <w:rPr>
          <w:spacing w:val="-8"/>
          <w:sz w:val="18"/>
          <w:szCs w:val="18"/>
          <w:lang w:val="es-ES_tradnl"/>
        </w:rPr>
        <w:t>caso pueda quedar en indefensi</w:t>
      </w:r>
      <w:r>
        <w:rPr>
          <w:rFonts w:cs="Times New Roman"/>
          <w:spacing w:val="-8"/>
          <w:sz w:val="18"/>
          <w:szCs w:val="18"/>
          <w:lang w:val="es-ES_tradnl"/>
        </w:rPr>
        <w:t>ó</w:t>
      </w:r>
      <w:r>
        <w:rPr>
          <w:spacing w:val="-8"/>
          <w:sz w:val="18"/>
          <w:szCs w:val="18"/>
          <w:lang w:val="es-ES_tradnl"/>
        </w:rPr>
        <w:t xml:space="preserve">n: </w:t>
      </w:r>
      <w:r>
        <w:rPr>
          <w:rFonts w:cs="Times New Roman"/>
          <w:spacing w:val="-8"/>
          <w:sz w:val="18"/>
          <w:szCs w:val="18"/>
          <w:lang w:val="es-ES_tradnl"/>
        </w:rPr>
        <w:t>“</w:t>
      </w:r>
      <w:r>
        <w:rPr>
          <w:spacing w:val="-8"/>
          <w:sz w:val="18"/>
          <w:szCs w:val="18"/>
          <w:lang w:val="es-ES_tradnl"/>
        </w:rPr>
        <w:t xml:space="preserve">Art. 75.- Toda persona </w:t>
      </w:r>
      <w:r>
        <w:rPr>
          <w:spacing w:val="-6"/>
          <w:sz w:val="18"/>
          <w:szCs w:val="18"/>
          <w:lang w:val="es-ES_tradnl"/>
        </w:rPr>
        <w:t xml:space="preserve">tiene derecho al acceso gratuito a la justicia y a la tutela </w:t>
      </w:r>
      <w:r>
        <w:rPr>
          <w:spacing w:val="-8"/>
          <w:sz w:val="18"/>
          <w:szCs w:val="18"/>
          <w:lang w:val="es-ES_tradnl"/>
        </w:rPr>
        <w:t xml:space="preserve">efectiva, imparcial y expedita de sus derechos e intereses, </w:t>
      </w:r>
      <w:r>
        <w:rPr>
          <w:spacing w:val="-4"/>
          <w:sz w:val="18"/>
          <w:szCs w:val="18"/>
          <w:lang w:val="es-ES_tradnl"/>
        </w:rPr>
        <w:t>con sujeci</w:t>
      </w:r>
      <w:r>
        <w:rPr>
          <w:rFonts w:cs="Times New Roman"/>
          <w:spacing w:val="-4"/>
          <w:sz w:val="18"/>
          <w:szCs w:val="18"/>
          <w:lang w:val="es-ES_tradnl"/>
        </w:rPr>
        <w:t>ó</w:t>
      </w:r>
      <w:r>
        <w:rPr>
          <w:spacing w:val="-4"/>
          <w:sz w:val="18"/>
          <w:szCs w:val="18"/>
          <w:lang w:val="es-ES_tradnl"/>
        </w:rPr>
        <w:t>n a los principios de inmediaci</w:t>
      </w:r>
      <w:r>
        <w:rPr>
          <w:rFonts w:cs="Times New Roman"/>
          <w:spacing w:val="-4"/>
          <w:sz w:val="18"/>
          <w:szCs w:val="18"/>
          <w:lang w:val="es-ES_tradnl"/>
        </w:rPr>
        <w:t>ó</w:t>
      </w:r>
      <w:r>
        <w:rPr>
          <w:spacing w:val="-4"/>
          <w:sz w:val="18"/>
          <w:szCs w:val="18"/>
          <w:lang w:val="es-ES_tradnl"/>
        </w:rPr>
        <w:t xml:space="preserve">n y celeridad; </w:t>
      </w:r>
      <w:r>
        <w:rPr>
          <w:spacing w:val="-7"/>
          <w:sz w:val="18"/>
          <w:szCs w:val="18"/>
          <w:lang w:val="es-ES_tradnl"/>
        </w:rPr>
        <w:t>en ning</w:t>
      </w:r>
      <w:r>
        <w:rPr>
          <w:rFonts w:cs="Times New Roman"/>
          <w:spacing w:val="-7"/>
          <w:sz w:val="18"/>
          <w:szCs w:val="18"/>
          <w:lang w:val="es-ES_tradnl"/>
        </w:rPr>
        <w:t>ú</w:t>
      </w:r>
      <w:r>
        <w:rPr>
          <w:spacing w:val="-7"/>
          <w:sz w:val="18"/>
          <w:szCs w:val="18"/>
          <w:lang w:val="es-ES_tradnl"/>
        </w:rPr>
        <w:t>n caso quedar</w:t>
      </w:r>
      <w:r>
        <w:rPr>
          <w:rFonts w:cs="Times New Roman"/>
          <w:spacing w:val="-7"/>
          <w:sz w:val="18"/>
          <w:szCs w:val="18"/>
          <w:lang w:val="es-ES_tradnl"/>
        </w:rPr>
        <w:t>á</w:t>
      </w:r>
      <w:r>
        <w:rPr>
          <w:spacing w:val="-7"/>
          <w:sz w:val="18"/>
          <w:szCs w:val="18"/>
          <w:lang w:val="es-ES_tradnl"/>
        </w:rPr>
        <w:t xml:space="preserve"> en indefensi</w:t>
      </w:r>
      <w:r>
        <w:rPr>
          <w:rFonts w:cs="Times New Roman"/>
          <w:spacing w:val="-7"/>
          <w:sz w:val="18"/>
          <w:szCs w:val="18"/>
          <w:lang w:val="es-ES_tradnl"/>
        </w:rPr>
        <w:t>ó</w:t>
      </w:r>
      <w:r>
        <w:rPr>
          <w:spacing w:val="-7"/>
          <w:sz w:val="18"/>
          <w:szCs w:val="18"/>
          <w:lang w:val="es-ES_tradnl"/>
        </w:rPr>
        <w:t>n. El incumplimiento de las resoluciones judiciales ser</w:t>
      </w:r>
      <w:r>
        <w:rPr>
          <w:rFonts w:cs="Times New Roman"/>
          <w:spacing w:val="-7"/>
          <w:sz w:val="18"/>
          <w:szCs w:val="18"/>
          <w:lang w:val="es-ES_tradnl"/>
        </w:rPr>
        <w:t>á</w:t>
      </w:r>
      <w:r>
        <w:rPr>
          <w:spacing w:val="-7"/>
          <w:sz w:val="18"/>
          <w:szCs w:val="18"/>
          <w:lang w:val="es-ES_tradnl"/>
        </w:rPr>
        <w:t xml:space="preserve"> sancionado por la ley</w:t>
      </w:r>
      <w:r>
        <w:rPr>
          <w:rFonts w:cs="Times New Roman"/>
          <w:spacing w:val="-7"/>
          <w:sz w:val="18"/>
          <w:szCs w:val="18"/>
          <w:lang w:val="es-ES_tradnl"/>
        </w:rPr>
        <w:t>”</w:t>
      </w:r>
      <w:r>
        <w:rPr>
          <w:spacing w:val="-7"/>
          <w:sz w:val="18"/>
          <w:szCs w:val="18"/>
          <w:lang w:val="es-ES_tradnl"/>
        </w:rPr>
        <w:t>.</w:t>
      </w:r>
    </w:p>
    <w:p w14:paraId="4F67B3A2" w14:textId="77777777" w:rsidR="00591D54" w:rsidRDefault="00591D54">
      <w:pPr>
        <w:shd w:val="clear" w:color="auto" w:fill="FFFFFF"/>
        <w:spacing w:before="192" w:line="216" w:lineRule="exact"/>
        <w:ind w:right="5"/>
        <w:jc w:val="both"/>
      </w:pPr>
      <w:r>
        <w:rPr>
          <w:spacing w:val="-3"/>
          <w:sz w:val="18"/>
          <w:szCs w:val="18"/>
          <w:lang w:val="es-ES_tradnl"/>
        </w:rPr>
        <w:t xml:space="preserve">Este derecho comporta una serie de obligaciones por </w:t>
      </w:r>
      <w:r>
        <w:rPr>
          <w:spacing w:val="-6"/>
          <w:sz w:val="18"/>
          <w:szCs w:val="18"/>
          <w:lang w:val="es-ES_tradnl"/>
        </w:rPr>
        <w:t xml:space="preserve">parte del Estado; por un lado, se requiere de la existencia de un </w:t>
      </w:r>
      <w:r>
        <w:rPr>
          <w:rFonts w:cs="Times New Roman"/>
          <w:spacing w:val="-6"/>
          <w:sz w:val="18"/>
          <w:szCs w:val="18"/>
          <w:lang w:val="es-ES_tradnl"/>
        </w:rPr>
        <w:t>ó</w:t>
      </w:r>
      <w:r>
        <w:rPr>
          <w:spacing w:val="-6"/>
          <w:sz w:val="18"/>
          <w:szCs w:val="18"/>
          <w:lang w:val="es-ES_tradnl"/>
        </w:rPr>
        <w:t xml:space="preserve">rgano jurisdiccional y por otro, de la presencia de </w:t>
      </w:r>
      <w:r>
        <w:rPr>
          <w:spacing w:val="-7"/>
          <w:sz w:val="18"/>
          <w:szCs w:val="18"/>
          <w:lang w:val="es-ES_tradnl"/>
        </w:rPr>
        <w:t xml:space="preserve">jueces investidos de potestad jurisdiccional, cuya tarea </w:t>
      </w:r>
      <w:r>
        <w:rPr>
          <w:spacing w:val="-8"/>
          <w:sz w:val="18"/>
          <w:szCs w:val="18"/>
          <w:lang w:val="es-ES_tradnl"/>
        </w:rPr>
        <w:t xml:space="preserve">principal es la de velar por el cumplimiento de los derechos </w:t>
      </w:r>
      <w:r>
        <w:rPr>
          <w:spacing w:val="-7"/>
          <w:sz w:val="18"/>
          <w:szCs w:val="18"/>
          <w:lang w:val="es-ES_tradnl"/>
        </w:rPr>
        <w:t xml:space="preserve">constitucionales, aquellos contenidos en los tratados internacionales y el cumplimiento de la ley, que garanticen el acceso a la justicia y se pronuncien y resuelvan las </w:t>
      </w:r>
      <w:r>
        <w:rPr>
          <w:spacing w:val="-9"/>
          <w:sz w:val="18"/>
          <w:szCs w:val="18"/>
          <w:lang w:val="es-ES_tradnl"/>
        </w:rPr>
        <w:t>pretensiones motivadamente y fundados en derecho.</w:t>
      </w:r>
    </w:p>
    <w:p w14:paraId="4F67B3A3" w14:textId="77777777" w:rsidR="00591D54" w:rsidRDefault="00591D54">
      <w:pPr>
        <w:shd w:val="clear" w:color="auto" w:fill="FFFFFF"/>
        <w:spacing w:before="192" w:line="216" w:lineRule="exact"/>
        <w:ind w:right="5"/>
        <w:jc w:val="both"/>
      </w:pPr>
      <w:r>
        <w:rPr>
          <w:spacing w:val="-7"/>
          <w:sz w:val="18"/>
          <w:szCs w:val="18"/>
          <w:lang w:val="es-ES_tradnl"/>
        </w:rPr>
        <w:t xml:space="preserve">Toda persona deber tener la posibilidad de acudir a los </w:t>
      </w:r>
      <w:r>
        <w:rPr>
          <w:rFonts w:cs="Times New Roman"/>
          <w:spacing w:val="-5"/>
          <w:sz w:val="18"/>
          <w:szCs w:val="18"/>
          <w:lang w:val="es-ES_tradnl"/>
        </w:rPr>
        <w:t>ó</w:t>
      </w:r>
      <w:r>
        <w:rPr>
          <w:spacing w:val="-5"/>
          <w:sz w:val="18"/>
          <w:szCs w:val="18"/>
          <w:lang w:val="es-ES_tradnl"/>
        </w:rPr>
        <w:t>rganos jurisdiccionales, para obtener, a trav</w:t>
      </w:r>
      <w:r>
        <w:rPr>
          <w:rFonts w:cs="Times New Roman"/>
          <w:spacing w:val="-5"/>
          <w:sz w:val="18"/>
          <w:szCs w:val="18"/>
          <w:lang w:val="es-ES_tradnl"/>
        </w:rPr>
        <w:t>é</w:t>
      </w:r>
      <w:r>
        <w:rPr>
          <w:spacing w:val="-5"/>
          <w:sz w:val="18"/>
          <w:szCs w:val="18"/>
          <w:lang w:val="es-ES_tradnl"/>
        </w:rPr>
        <w:t xml:space="preserve">s de los </w:t>
      </w:r>
      <w:r>
        <w:rPr>
          <w:spacing w:val="-13"/>
          <w:sz w:val="18"/>
          <w:szCs w:val="18"/>
          <w:lang w:val="es-ES_tradnl"/>
        </w:rPr>
        <w:t>debidos cauces procesales y con unas garant</w:t>
      </w:r>
      <w:r>
        <w:rPr>
          <w:rFonts w:cs="Times New Roman"/>
          <w:spacing w:val="-13"/>
          <w:sz w:val="18"/>
          <w:szCs w:val="18"/>
          <w:lang w:val="es-ES_tradnl"/>
        </w:rPr>
        <w:t>í</w:t>
      </w:r>
      <w:r>
        <w:rPr>
          <w:spacing w:val="-13"/>
          <w:sz w:val="18"/>
          <w:szCs w:val="18"/>
          <w:lang w:val="es-ES_tradnl"/>
        </w:rPr>
        <w:t>as m</w:t>
      </w:r>
      <w:r>
        <w:rPr>
          <w:rFonts w:cs="Times New Roman"/>
          <w:spacing w:val="-13"/>
          <w:sz w:val="18"/>
          <w:szCs w:val="18"/>
          <w:lang w:val="es-ES_tradnl"/>
        </w:rPr>
        <w:t>í</w:t>
      </w:r>
      <w:r>
        <w:rPr>
          <w:spacing w:val="-13"/>
          <w:sz w:val="18"/>
          <w:szCs w:val="18"/>
          <w:lang w:val="es-ES_tradnl"/>
        </w:rPr>
        <w:t xml:space="preserve">nimas, una </w:t>
      </w:r>
      <w:r>
        <w:rPr>
          <w:spacing w:val="-11"/>
          <w:sz w:val="18"/>
          <w:szCs w:val="18"/>
          <w:lang w:val="es-ES_tradnl"/>
        </w:rPr>
        <w:t>decisi</w:t>
      </w:r>
      <w:r>
        <w:rPr>
          <w:rFonts w:cs="Times New Roman"/>
          <w:spacing w:val="-11"/>
          <w:sz w:val="18"/>
          <w:szCs w:val="18"/>
          <w:lang w:val="es-ES_tradnl"/>
        </w:rPr>
        <w:t>ó</w:t>
      </w:r>
      <w:r>
        <w:rPr>
          <w:spacing w:val="-11"/>
          <w:sz w:val="18"/>
          <w:szCs w:val="18"/>
          <w:lang w:val="es-ES_tradnl"/>
        </w:rPr>
        <w:t>n sobre las pretensiones propuestas que est</w:t>
      </w:r>
      <w:r>
        <w:rPr>
          <w:rFonts w:cs="Times New Roman"/>
          <w:spacing w:val="-11"/>
          <w:sz w:val="18"/>
          <w:szCs w:val="18"/>
          <w:lang w:val="es-ES_tradnl"/>
        </w:rPr>
        <w:t>é</w:t>
      </w:r>
      <w:r>
        <w:rPr>
          <w:spacing w:val="-11"/>
          <w:sz w:val="18"/>
          <w:szCs w:val="18"/>
          <w:lang w:val="es-ES_tradnl"/>
        </w:rPr>
        <w:t xml:space="preserve"> fundada </w:t>
      </w:r>
      <w:r>
        <w:rPr>
          <w:spacing w:val="-9"/>
          <w:sz w:val="18"/>
          <w:szCs w:val="18"/>
          <w:lang w:val="es-ES_tradnl"/>
        </w:rPr>
        <w:t>en derecho. As</w:t>
      </w:r>
      <w:r>
        <w:rPr>
          <w:rFonts w:cs="Times New Roman"/>
          <w:spacing w:val="-9"/>
          <w:sz w:val="18"/>
          <w:szCs w:val="18"/>
          <w:lang w:val="es-ES_tradnl"/>
        </w:rPr>
        <w:t>í</w:t>
      </w:r>
      <w:r>
        <w:rPr>
          <w:spacing w:val="-9"/>
          <w:sz w:val="18"/>
          <w:szCs w:val="18"/>
          <w:lang w:val="es-ES_tradnl"/>
        </w:rPr>
        <w:t xml:space="preserve"> se ha expresado la Corte Constitucional en </w:t>
      </w:r>
      <w:r>
        <w:rPr>
          <w:spacing w:val="-8"/>
          <w:sz w:val="18"/>
          <w:szCs w:val="18"/>
          <w:lang w:val="es-ES_tradnl"/>
        </w:rPr>
        <w:t>la sentencia signada con el N.</w:t>
      </w:r>
      <w:r>
        <w:rPr>
          <w:rFonts w:cs="Times New Roman"/>
          <w:spacing w:val="-8"/>
          <w:sz w:val="18"/>
          <w:szCs w:val="18"/>
          <w:lang w:val="es-ES_tradnl"/>
        </w:rPr>
        <w:t>º</w:t>
      </w:r>
      <w:r>
        <w:rPr>
          <w:spacing w:val="-8"/>
          <w:sz w:val="18"/>
          <w:szCs w:val="18"/>
          <w:lang w:val="es-ES_tradnl"/>
        </w:rPr>
        <w:t xml:space="preserve"> 110-13-SEP-CC:</w:t>
      </w:r>
    </w:p>
    <w:p w14:paraId="4F67B3A4" w14:textId="77777777" w:rsidR="00591D54" w:rsidRDefault="00591D54">
      <w:pPr>
        <w:shd w:val="clear" w:color="auto" w:fill="FFFFFF"/>
        <w:spacing w:before="202" w:line="216" w:lineRule="exact"/>
        <w:ind w:left="283" w:right="5"/>
        <w:jc w:val="both"/>
      </w:pPr>
      <w:r>
        <w:rPr>
          <w:spacing w:val="-13"/>
          <w:sz w:val="18"/>
          <w:szCs w:val="18"/>
          <w:lang w:val="es-ES_tradnl"/>
        </w:rPr>
        <w:t>(</w:t>
      </w:r>
      <w:r>
        <w:rPr>
          <w:rFonts w:cs="Times New Roman"/>
          <w:spacing w:val="-13"/>
          <w:sz w:val="18"/>
          <w:szCs w:val="18"/>
          <w:lang w:val="es-ES_tradnl"/>
        </w:rPr>
        <w:t>…</w:t>
      </w:r>
      <w:r>
        <w:rPr>
          <w:spacing w:val="-13"/>
          <w:sz w:val="18"/>
          <w:szCs w:val="18"/>
          <w:lang w:val="es-ES_tradnl"/>
        </w:rPr>
        <w:t xml:space="preserve">) la tutela judicial responde a la vigencia del Estado </w:t>
      </w:r>
      <w:r>
        <w:rPr>
          <w:spacing w:val="-14"/>
          <w:sz w:val="18"/>
          <w:szCs w:val="18"/>
          <w:lang w:val="es-ES_tradnl"/>
        </w:rPr>
        <w:t>constitucional de derechos y justicia, en el cual las personas</w:t>
      </w:r>
    </w:p>
    <w:p w14:paraId="4F67B3A5" w14:textId="77777777" w:rsidR="00591D54" w:rsidRDefault="00591D54">
      <w:pPr>
        <w:shd w:val="clear" w:color="auto" w:fill="FFFFFF"/>
        <w:spacing w:line="211" w:lineRule="exact"/>
        <w:ind w:left="283"/>
        <w:jc w:val="both"/>
      </w:pPr>
      <w:r>
        <w:br w:type="column"/>
      </w:r>
      <w:r>
        <w:rPr>
          <w:sz w:val="14"/>
          <w:szCs w:val="14"/>
          <w:lang w:val="es-ES_tradnl"/>
        </w:rPr>
        <w:t xml:space="preserve">encuentran consagrado su derecho a acudir a los </w:t>
      </w:r>
      <w:r>
        <w:rPr>
          <w:rFonts w:cs="Times New Roman"/>
          <w:sz w:val="14"/>
          <w:szCs w:val="14"/>
          <w:lang w:val="es-ES_tradnl"/>
        </w:rPr>
        <w:t>ó</w:t>
      </w:r>
      <w:r>
        <w:rPr>
          <w:sz w:val="14"/>
          <w:szCs w:val="14"/>
          <w:lang w:val="es-ES_tradnl"/>
        </w:rPr>
        <w:t>rganos jurisdiccionales para que [sic], a trav</w:t>
      </w:r>
      <w:r>
        <w:rPr>
          <w:rFonts w:cs="Times New Roman"/>
          <w:sz w:val="14"/>
          <w:szCs w:val="14"/>
          <w:lang w:val="es-ES_tradnl"/>
        </w:rPr>
        <w:t>é</w:t>
      </w:r>
      <w:r>
        <w:rPr>
          <w:sz w:val="14"/>
          <w:szCs w:val="14"/>
          <w:lang w:val="es-ES_tradnl"/>
        </w:rPr>
        <w:t>s de un debido procedimiento y en ejercicio de sus derechos y garant</w:t>
      </w:r>
      <w:r>
        <w:rPr>
          <w:rFonts w:cs="Times New Roman"/>
          <w:sz w:val="14"/>
          <w:szCs w:val="14"/>
          <w:lang w:val="es-ES_tradnl"/>
        </w:rPr>
        <w:t>í</w:t>
      </w:r>
      <w:r>
        <w:rPr>
          <w:sz w:val="14"/>
          <w:szCs w:val="14"/>
          <w:lang w:val="es-ES_tradnl"/>
        </w:rPr>
        <w:t>as, obtener respuestas en decisiones judiciales debidamente motivadas en derecho respecto de sus pretensiones e intereses sin m</w:t>
      </w:r>
      <w:r>
        <w:rPr>
          <w:rFonts w:cs="Times New Roman"/>
          <w:sz w:val="14"/>
          <w:szCs w:val="14"/>
          <w:lang w:val="es-ES_tradnl"/>
        </w:rPr>
        <w:t>á</w:t>
      </w:r>
      <w:r>
        <w:rPr>
          <w:sz w:val="14"/>
          <w:szCs w:val="14"/>
          <w:lang w:val="es-ES_tradnl"/>
        </w:rPr>
        <w:t>s limitaciones que las previstas en la Constituci</w:t>
      </w:r>
      <w:r>
        <w:rPr>
          <w:rFonts w:cs="Times New Roman"/>
          <w:sz w:val="14"/>
          <w:szCs w:val="14"/>
          <w:lang w:val="es-ES_tradnl"/>
        </w:rPr>
        <w:t>ó</w:t>
      </w:r>
      <w:r>
        <w:rPr>
          <w:sz w:val="14"/>
          <w:szCs w:val="14"/>
          <w:lang w:val="es-ES_tradnl"/>
        </w:rPr>
        <w:t>n y la Ley (</w:t>
      </w:r>
      <w:r>
        <w:rPr>
          <w:rFonts w:cs="Times New Roman"/>
          <w:sz w:val="14"/>
          <w:szCs w:val="14"/>
          <w:lang w:val="es-ES_tradnl"/>
        </w:rPr>
        <w:t>…</w:t>
      </w:r>
      <w:r>
        <w:rPr>
          <w:sz w:val="14"/>
          <w:szCs w:val="14"/>
          <w:lang w:val="es-ES_tradnl"/>
        </w:rPr>
        <w:t>)</w:t>
      </w:r>
      <w:r>
        <w:rPr>
          <w:sz w:val="14"/>
          <w:szCs w:val="14"/>
          <w:vertAlign w:val="superscript"/>
          <w:lang w:val="es-ES_tradnl"/>
        </w:rPr>
        <w:t>3</w:t>
      </w:r>
      <w:r>
        <w:rPr>
          <w:sz w:val="14"/>
          <w:szCs w:val="14"/>
          <w:lang w:val="es-ES_tradnl"/>
        </w:rPr>
        <w:t>.</w:t>
      </w:r>
    </w:p>
    <w:p w14:paraId="4F67B3A6" w14:textId="77777777" w:rsidR="00591D54" w:rsidRDefault="00591D54">
      <w:pPr>
        <w:shd w:val="clear" w:color="auto" w:fill="FFFFFF"/>
        <w:spacing w:before="202" w:line="216" w:lineRule="exact"/>
        <w:jc w:val="both"/>
      </w:pPr>
      <w:r>
        <w:rPr>
          <w:spacing w:val="-6"/>
          <w:sz w:val="18"/>
          <w:szCs w:val="18"/>
          <w:lang w:val="es-ES_tradnl"/>
        </w:rPr>
        <w:t xml:space="preserve">El derecho a la tutela judicial efectiva se cumple en tres </w:t>
      </w:r>
      <w:r>
        <w:rPr>
          <w:spacing w:val="-9"/>
          <w:sz w:val="18"/>
          <w:szCs w:val="18"/>
          <w:lang w:val="es-ES_tradnl"/>
        </w:rPr>
        <w:t>momentos: en primer lugar, a trav</w:t>
      </w:r>
      <w:r>
        <w:rPr>
          <w:rFonts w:cs="Times New Roman"/>
          <w:spacing w:val="-9"/>
          <w:sz w:val="18"/>
          <w:szCs w:val="18"/>
          <w:lang w:val="es-ES_tradnl"/>
        </w:rPr>
        <w:t>é</w:t>
      </w:r>
      <w:r>
        <w:rPr>
          <w:spacing w:val="-9"/>
          <w:sz w:val="18"/>
          <w:szCs w:val="18"/>
          <w:lang w:val="es-ES_tradnl"/>
        </w:rPr>
        <w:t>s del derecho de acci</w:t>
      </w:r>
      <w:r>
        <w:rPr>
          <w:rFonts w:cs="Times New Roman"/>
          <w:spacing w:val="-9"/>
          <w:sz w:val="18"/>
          <w:szCs w:val="18"/>
          <w:lang w:val="es-ES_tradnl"/>
        </w:rPr>
        <w:t>ó</w:t>
      </w:r>
      <w:r>
        <w:rPr>
          <w:spacing w:val="-9"/>
          <w:sz w:val="18"/>
          <w:szCs w:val="18"/>
          <w:lang w:val="es-ES_tradnl"/>
        </w:rPr>
        <w:t xml:space="preserve">n, </w:t>
      </w:r>
      <w:r>
        <w:rPr>
          <w:spacing w:val="-7"/>
          <w:sz w:val="18"/>
          <w:szCs w:val="18"/>
          <w:lang w:val="es-ES_tradnl"/>
        </w:rPr>
        <w:t xml:space="preserve">que implica el acceso a los </w:t>
      </w:r>
      <w:r>
        <w:rPr>
          <w:rFonts w:cs="Times New Roman"/>
          <w:spacing w:val="-7"/>
          <w:sz w:val="18"/>
          <w:szCs w:val="18"/>
          <w:lang w:val="es-ES_tradnl"/>
        </w:rPr>
        <w:t>ó</w:t>
      </w:r>
      <w:r>
        <w:rPr>
          <w:spacing w:val="-7"/>
          <w:sz w:val="18"/>
          <w:szCs w:val="18"/>
          <w:lang w:val="es-ES_tradnl"/>
        </w:rPr>
        <w:t xml:space="preserve">rganos jurisdiccionales; en segundo lugar, mediante el sometimiento de la actividad jurisdiccional a las disposiciones constitucionales y legales </w:t>
      </w:r>
      <w:r>
        <w:rPr>
          <w:spacing w:val="-10"/>
          <w:sz w:val="18"/>
          <w:szCs w:val="18"/>
          <w:lang w:val="es-ES_tradnl"/>
        </w:rPr>
        <w:t>vigentes, que permitan contar con resoluciones fundadas en derecho y finalmente, a trav</w:t>
      </w:r>
      <w:r>
        <w:rPr>
          <w:rFonts w:cs="Times New Roman"/>
          <w:spacing w:val="-10"/>
          <w:sz w:val="18"/>
          <w:szCs w:val="18"/>
          <w:lang w:val="es-ES_tradnl"/>
        </w:rPr>
        <w:t>é</w:t>
      </w:r>
      <w:r>
        <w:rPr>
          <w:spacing w:val="-10"/>
          <w:sz w:val="18"/>
          <w:szCs w:val="18"/>
          <w:lang w:val="es-ES_tradnl"/>
        </w:rPr>
        <w:t xml:space="preserve">s del rol de la jueza o juez, una </w:t>
      </w:r>
      <w:r>
        <w:rPr>
          <w:spacing w:val="-7"/>
          <w:sz w:val="18"/>
          <w:szCs w:val="18"/>
          <w:lang w:val="es-ES_tradnl"/>
        </w:rPr>
        <w:t>vez dictada la resoluci</w:t>
      </w:r>
      <w:r>
        <w:rPr>
          <w:rFonts w:cs="Times New Roman"/>
          <w:spacing w:val="-7"/>
          <w:sz w:val="18"/>
          <w:szCs w:val="18"/>
          <w:lang w:val="es-ES_tradnl"/>
        </w:rPr>
        <w:t>ó</w:t>
      </w:r>
      <w:r>
        <w:rPr>
          <w:spacing w:val="-7"/>
          <w:sz w:val="18"/>
          <w:szCs w:val="18"/>
          <w:lang w:val="es-ES_tradnl"/>
        </w:rPr>
        <w:t>n, tanto en la ejecuci</w:t>
      </w:r>
      <w:r>
        <w:rPr>
          <w:rFonts w:cs="Times New Roman"/>
          <w:spacing w:val="-7"/>
          <w:sz w:val="18"/>
          <w:szCs w:val="18"/>
          <w:lang w:val="es-ES_tradnl"/>
        </w:rPr>
        <w:t>ó</w:t>
      </w:r>
      <w:r>
        <w:rPr>
          <w:spacing w:val="-7"/>
          <w:sz w:val="18"/>
          <w:szCs w:val="18"/>
          <w:lang w:val="es-ES_tradnl"/>
        </w:rPr>
        <w:t>n como en la plena efectividad de sus pronunciamientos.</w:t>
      </w:r>
    </w:p>
    <w:p w14:paraId="4F67B3A7" w14:textId="77777777" w:rsidR="00591D54" w:rsidRDefault="00591D54">
      <w:pPr>
        <w:shd w:val="clear" w:color="auto" w:fill="FFFFFF"/>
        <w:spacing w:before="197" w:line="216" w:lineRule="exact"/>
        <w:jc w:val="both"/>
      </w:pPr>
      <w:r>
        <w:rPr>
          <w:spacing w:val="-1"/>
          <w:sz w:val="18"/>
          <w:szCs w:val="18"/>
          <w:lang w:val="es-ES_tradnl"/>
        </w:rPr>
        <w:t>Hay que se</w:t>
      </w:r>
      <w:r>
        <w:rPr>
          <w:rFonts w:cs="Times New Roman"/>
          <w:spacing w:val="-1"/>
          <w:sz w:val="18"/>
          <w:szCs w:val="18"/>
          <w:lang w:val="es-ES_tradnl"/>
        </w:rPr>
        <w:t>ñ</w:t>
      </w:r>
      <w:r>
        <w:rPr>
          <w:spacing w:val="-1"/>
          <w:sz w:val="18"/>
          <w:szCs w:val="18"/>
          <w:lang w:val="es-ES_tradnl"/>
        </w:rPr>
        <w:t>alar que la tutela judicial efectiva va m</w:t>
      </w:r>
      <w:r>
        <w:rPr>
          <w:rFonts w:cs="Times New Roman"/>
          <w:spacing w:val="-1"/>
          <w:sz w:val="18"/>
          <w:szCs w:val="18"/>
          <w:lang w:val="es-ES_tradnl"/>
        </w:rPr>
        <w:t>á</w:t>
      </w:r>
      <w:r>
        <w:rPr>
          <w:spacing w:val="-1"/>
          <w:sz w:val="18"/>
          <w:szCs w:val="18"/>
          <w:lang w:val="es-ES_tradnl"/>
        </w:rPr>
        <w:t xml:space="preserve">s </w:t>
      </w:r>
      <w:r>
        <w:rPr>
          <w:spacing w:val="-4"/>
          <w:sz w:val="18"/>
          <w:szCs w:val="18"/>
          <w:lang w:val="es-ES_tradnl"/>
        </w:rPr>
        <w:t>all</w:t>
      </w:r>
      <w:r>
        <w:rPr>
          <w:rFonts w:cs="Times New Roman"/>
          <w:spacing w:val="-4"/>
          <w:sz w:val="18"/>
          <w:szCs w:val="18"/>
          <w:lang w:val="es-ES_tradnl"/>
        </w:rPr>
        <w:t>á</w:t>
      </w:r>
      <w:r>
        <w:rPr>
          <w:spacing w:val="-4"/>
          <w:sz w:val="18"/>
          <w:szCs w:val="18"/>
          <w:lang w:val="es-ES_tradnl"/>
        </w:rPr>
        <w:t xml:space="preserve"> del simple acceso gratuito a la justicia; implica una </w:t>
      </w:r>
      <w:r>
        <w:rPr>
          <w:spacing w:val="-8"/>
          <w:sz w:val="18"/>
          <w:szCs w:val="18"/>
          <w:lang w:val="es-ES_tradnl"/>
        </w:rPr>
        <w:t>serie de actuaciones por parte del Estado a trav</w:t>
      </w:r>
      <w:r>
        <w:rPr>
          <w:rFonts w:cs="Times New Roman"/>
          <w:spacing w:val="-8"/>
          <w:sz w:val="18"/>
          <w:szCs w:val="18"/>
          <w:lang w:val="es-ES_tradnl"/>
        </w:rPr>
        <w:t>é</w:t>
      </w:r>
      <w:r>
        <w:rPr>
          <w:spacing w:val="-8"/>
          <w:sz w:val="18"/>
          <w:szCs w:val="18"/>
          <w:lang w:val="es-ES_tradnl"/>
        </w:rPr>
        <w:t xml:space="preserve">s de los </w:t>
      </w:r>
      <w:r>
        <w:rPr>
          <w:rFonts w:cs="Times New Roman"/>
          <w:spacing w:val="-8"/>
          <w:sz w:val="18"/>
          <w:szCs w:val="18"/>
          <w:lang w:val="es-ES_tradnl"/>
        </w:rPr>
        <w:t>ó</w:t>
      </w:r>
      <w:r>
        <w:rPr>
          <w:spacing w:val="-8"/>
          <w:sz w:val="18"/>
          <w:szCs w:val="18"/>
          <w:lang w:val="es-ES_tradnl"/>
        </w:rPr>
        <w:t xml:space="preserve">rganos jurisdiccionales, que permiten asegurar el efectivo </w:t>
      </w:r>
      <w:r>
        <w:rPr>
          <w:spacing w:val="-7"/>
          <w:sz w:val="18"/>
          <w:szCs w:val="18"/>
          <w:lang w:val="es-ES_tradnl"/>
        </w:rPr>
        <w:t xml:space="preserve">goce y cumplimiento de los derechos consagrados en la </w:t>
      </w:r>
      <w:r>
        <w:rPr>
          <w:spacing w:val="-6"/>
          <w:sz w:val="18"/>
          <w:szCs w:val="18"/>
          <w:lang w:val="es-ES_tradnl"/>
        </w:rPr>
        <w:t>Constituci</w:t>
      </w:r>
      <w:r>
        <w:rPr>
          <w:rFonts w:cs="Times New Roman"/>
          <w:spacing w:val="-6"/>
          <w:sz w:val="18"/>
          <w:szCs w:val="18"/>
          <w:lang w:val="es-ES_tradnl"/>
        </w:rPr>
        <w:t>ó</w:t>
      </w:r>
      <w:r>
        <w:rPr>
          <w:spacing w:val="-6"/>
          <w:sz w:val="18"/>
          <w:szCs w:val="18"/>
          <w:lang w:val="es-ES_tradnl"/>
        </w:rPr>
        <w:t xml:space="preserve">n. Por tanto, los operadores de justicia deben </w:t>
      </w:r>
      <w:r>
        <w:rPr>
          <w:spacing w:val="-8"/>
          <w:sz w:val="18"/>
          <w:szCs w:val="18"/>
          <w:lang w:val="es-ES_tradnl"/>
        </w:rPr>
        <w:t xml:space="preserve">enmarcar sus actuaciones, sin condicionamientos, a las disposiciones constitucionales y legales aplicables al caso </w:t>
      </w:r>
      <w:r>
        <w:rPr>
          <w:sz w:val="18"/>
          <w:szCs w:val="18"/>
          <w:lang w:val="es-ES_tradnl"/>
        </w:rPr>
        <w:t>concreto.</w:t>
      </w:r>
    </w:p>
    <w:p w14:paraId="4F67B3A8" w14:textId="77777777" w:rsidR="00591D54" w:rsidRDefault="00591D54">
      <w:pPr>
        <w:shd w:val="clear" w:color="auto" w:fill="FFFFFF"/>
        <w:spacing w:before="197" w:line="216" w:lineRule="exact"/>
        <w:jc w:val="both"/>
      </w:pPr>
      <w:r>
        <w:rPr>
          <w:spacing w:val="-5"/>
          <w:sz w:val="18"/>
          <w:szCs w:val="18"/>
          <w:lang w:val="es-ES_tradnl"/>
        </w:rPr>
        <w:t>El derecho a la tutela judicial efectiva est</w:t>
      </w:r>
      <w:r>
        <w:rPr>
          <w:rFonts w:cs="Times New Roman"/>
          <w:spacing w:val="-5"/>
          <w:sz w:val="18"/>
          <w:szCs w:val="18"/>
          <w:lang w:val="es-ES_tradnl"/>
        </w:rPr>
        <w:t>á</w:t>
      </w:r>
      <w:r>
        <w:rPr>
          <w:spacing w:val="-5"/>
          <w:sz w:val="18"/>
          <w:szCs w:val="18"/>
          <w:lang w:val="es-ES_tradnl"/>
        </w:rPr>
        <w:t xml:space="preserve"> </w:t>
      </w:r>
      <w:r>
        <w:rPr>
          <w:rFonts w:cs="Times New Roman"/>
          <w:spacing w:val="-5"/>
          <w:sz w:val="18"/>
          <w:szCs w:val="18"/>
          <w:lang w:val="es-ES_tradnl"/>
        </w:rPr>
        <w:t>í</w:t>
      </w:r>
      <w:r>
        <w:rPr>
          <w:spacing w:val="-5"/>
          <w:sz w:val="18"/>
          <w:szCs w:val="18"/>
          <w:lang w:val="es-ES_tradnl"/>
        </w:rPr>
        <w:t xml:space="preserve">ntimamente </w:t>
      </w:r>
      <w:r>
        <w:rPr>
          <w:spacing w:val="-7"/>
          <w:sz w:val="18"/>
          <w:szCs w:val="18"/>
          <w:lang w:val="es-ES_tradnl"/>
        </w:rPr>
        <w:t>ligado al debido proceso en la garant</w:t>
      </w:r>
      <w:r>
        <w:rPr>
          <w:rFonts w:cs="Times New Roman"/>
          <w:spacing w:val="-7"/>
          <w:sz w:val="18"/>
          <w:szCs w:val="18"/>
          <w:lang w:val="es-ES_tradnl"/>
        </w:rPr>
        <w:t>í</w:t>
      </w:r>
      <w:r>
        <w:rPr>
          <w:spacing w:val="-7"/>
          <w:sz w:val="18"/>
          <w:szCs w:val="18"/>
          <w:lang w:val="es-ES_tradnl"/>
        </w:rPr>
        <w:t xml:space="preserve">a del derecho a la </w:t>
      </w:r>
      <w:r>
        <w:rPr>
          <w:spacing w:val="-4"/>
          <w:sz w:val="18"/>
          <w:szCs w:val="18"/>
          <w:lang w:val="es-ES_tradnl"/>
        </w:rPr>
        <w:t>defensa que constituye una regla de car</w:t>
      </w:r>
      <w:r>
        <w:rPr>
          <w:rFonts w:cs="Times New Roman"/>
          <w:spacing w:val="-4"/>
          <w:sz w:val="18"/>
          <w:szCs w:val="18"/>
          <w:lang w:val="es-ES_tradnl"/>
        </w:rPr>
        <w:t>á</w:t>
      </w:r>
      <w:r>
        <w:rPr>
          <w:spacing w:val="-4"/>
          <w:sz w:val="18"/>
          <w:szCs w:val="18"/>
          <w:lang w:val="es-ES_tradnl"/>
        </w:rPr>
        <w:t xml:space="preserve">cter sustantivo </w:t>
      </w:r>
      <w:r>
        <w:rPr>
          <w:spacing w:val="-7"/>
          <w:sz w:val="18"/>
          <w:szCs w:val="18"/>
          <w:lang w:val="es-ES_tradnl"/>
        </w:rPr>
        <w:t xml:space="preserve">y adjetivo, por medio de la cual toda persona debe tener </w:t>
      </w:r>
      <w:r>
        <w:rPr>
          <w:spacing w:val="-8"/>
          <w:sz w:val="18"/>
          <w:szCs w:val="18"/>
          <w:lang w:val="es-ES_tradnl"/>
        </w:rPr>
        <w:t>acceso a ciertas garant</w:t>
      </w:r>
      <w:r>
        <w:rPr>
          <w:rFonts w:cs="Times New Roman"/>
          <w:spacing w:val="-8"/>
          <w:sz w:val="18"/>
          <w:szCs w:val="18"/>
          <w:lang w:val="es-ES_tradnl"/>
        </w:rPr>
        <w:t>í</w:t>
      </w:r>
      <w:r>
        <w:rPr>
          <w:spacing w:val="-8"/>
          <w:sz w:val="18"/>
          <w:szCs w:val="18"/>
          <w:lang w:val="es-ES_tradnl"/>
        </w:rPr>
        <w:t>as m</w:t>
      </w:r>
      <w:r>
        <w:rPr>
          <w:rFonts w:cs="Times New Roman"/>
          <w:spacing w:val="-8"/>
          <w:sz w:val="18"/>
          <w:szCs w:val="18"/>
          <w:lang w:val="es-ES_tradnl"/>
        </w:rPr>
        <w:t>í</w:t>
      </w:r>
      <w:r>
        <w:rPr>
          <w:spacing w:val="-8"/>
          <w:sz w:val="18"/>
          <w:szCs w:val="18"/>
          <w:lang w:val="es-ES_tradnl"/>
        </w:rPr>
        <w:t xml:space="preserve">nimas dentro de un proceso </w:t>
      </w:r>
      <w:r>
        <w:rPr>
          <w:spacing w:val="-3"/>
          <w:sz w:val="18"/>
          <w:szCs w:val="18"/>
          <w:lang w:val="es-ES_tradnl"/>
        </w:rPr>
        <w:t xml:space="preserve">judicial o administrativo, para poder recibir una tutela </w:t>
      </w:r>
      <w:r>
        <w:rPr>
          <w:spacing w:val="-9"/>
          <w:sz w:val="18"/>
          <w:szCs w:val="18"/>
          <w:lang w:val="es-ES_tradnl"/>
        </w:rPr>
        <w:t xml:space="preserve">efectiva y expedita de sus derechos e intereses. Las partes deben tener la oportunidad de ser escuchadas y de hacer </w:t>
      </w:r>
      <w:r>
        <w:rPr>
          <w:spacing w:val="-11"/>
          <w:sz w:val="18"/>
          <w:szCs w:val="18"/>
          <w:lang w:val="es-ES_tradnl"/>
        </w:rPr>
        <w:t xml:space="preserve">valer sus pretensiones ante el juez y nadie puede ser privado </w:t>
      </w:r>
      <w:r>
        <w:rPr>
          <w:spacing w:val="-8"/>
          <w:sz w:val="18"/>
          <w:szCs w:val="18"/>
          <w:lang w:val="es-ES_tradnl"/>
        </w:rPr>
        <w:t>de los medios necesarios para reclamar y hacer valer sus derechos durante el desarrollo de un proceso legal.</w:t>
      </w:r>
    </w:p>
    <w:p w14:paraId="4F67B3A9" w14:textId="77777777" w:rsidR="00591D54" w:rsidRDefault="00591D54">
      <w:pPr>
        <w:shd w:val="clear" w:color="auto" w:fill="FFFFFF"/>
        <w:spacing w:before="192" w:line="211" w:lineRule="exact"/>
        <w:jc w:val="both"/>
      </w:pPr>
      <w:r>
        <w:rPr>
          <w:spacing w:val="-6"/>
          <w:sz w:val="18"/>
          <w:szCs w:val="18"/>
          <w:lang w:val="es-ES_tradnl"/>
        </w:rPr>
        <w:t xml:space="preserve">El derecho a la defensa garantiza un proceso judicial </w:t>
      </w:r>
      <w:r>
        <w:rPr>
          <w:spacing w:val="-5"/>
          <w:sz w:val="18"/>
          <w:szCs w:val="18"/>
          <w:lang w:val="es-ES_tradnl"/>
        </w:rPr>
        <w:t xml:space="preserve">equitativo, basado en principios de igualdad y seguridad </w:t>
      </w:r>
      <w:r>
        <w:rPr>
          <w:spacing w:val="-7"/>
          <w:sz w:val="18"/>
          <w:szCs w:val="18"/>
          <w:lang w:val="es-ES_tradnl"/>
        </w:rPr>
        <w:t>jur</w:t>
      </w:r>
      <w:r>
        <w:rPr>
          <w:rFonts w:cs="Times New Roman"/>
          <w:spacing w:val="-7"/>
          <w:sz w:val="18"/>
          <w:szCs w:val="18"/>
          <w:lang w:val="es-ES_tradnl"/>
        </w:rPr>
        <w:t>í</w:t>
      </w:r>
      <w:r>
        <w:rPr>
          <w:spacing w:val="-7"/>
          <w:sz w:val="18"/>
          <w:szCs w:val="18"/>
          <w:lang w:val="es-ES_tradnl"/>
        </w:rPr>
        <w:t>dica. En cuanto a este derecho, la Corte Constitucional en su sentencia N.</w:t>
      </w:r>
      <w:r>
        <w:rPr>
          <w:rFonts w:cs="Times New Roman"/>
          <w:spacing w:val="-7"/>
          <w:sz w:val="18"/>
          <w:szCs w:val="18"/>
          <w:lang w:val="es-ES_tradnl"/>
        </w:rPr>
        <w:t>º</w:t>
      </w:r>
      <w:r>
        <w:rPr>
          <w:spacing w:val="-7"/>
          <w:sz w:val="18"/>
          <w:szCs w:val="18"/>
          <w:lang w:val="es-ES_tradnl"/>
        </w:rPr>
        <w:t xml:space="preserve"> 0016-13-SEP-CC, ha se</w:t>
      </w:r>
      <w:r>
        <w:rPr>
          <w:rFonts w:cs="Times New Roman"/>
          <w:spacing w:val="-7"/>
          <w:sz w:val="18"/>
          <w:szCs w:val="18"/>
          <w:lang w:val="es-ES_tradnl"/>
        </w:rPr>
        <w:t>ñ</w:t>
      </w:r>
      <w:r>
        <w:rPr>
          <w:spacing w:val="-7"/>
          <w:sz w:val="18"/>
          <w:szCs w:val="18"/>
          <w:lang w:val="es-ES_tradnl"/>
        </w:rPr>
        <w:t xml:space="preserve">alado: </w:t>
      </w:r>
      <w:r>
        <w:rPr>
          <w:rFonts w:cs="Times New Roman"/>
          <w:spacing w:val="-7"/>
          <w:sz w:val="18"/>
          <w:szCs w:val="18"/>
          <w:lang w:val="es-ES_tradnl"/>
        </w:rPr>
        <w:t>“</w:t>
      </w:r>
      <w:r>
        <w:rPr>
          <w:spacing w:val="-7"/>
          <w:sz w:val="18"/>
          <w:szCs w:val="18"/>
          <w:lang w:val="es-ES_tradnl"/>
        </w:rPr>
        <w:t xml:space="preserve">En </w:t>
      </w:r>
      <w:r>
        <w:rPr>
          <w:spacing w:val="-8"/>
          <w:sz w:val="18"/>
          <w:szCs w:val="18"/>
          <w:lang w:val="es-ES_tradnl"/>
        </w:rPr>
        <w:t>cuanto al derecho a la defensa el mismo se encuentra contemplado en el art</w:t>
      </w:r>
      <w:r>
        <w:rPr>
          <w:rFonts w:cs="Times New Roman"/>
          <w:spacing w:val="-8"/>
          <w:sz w:val="18"/>
          <w:szCs w:val="18"/>
          <w:lang w:val="es-ES_tradnl"/>
        </w:rPr>
        <w:t>í</w:t>
      </w:r>
      <w:r>
        <w:rPr>
          <w:spacing w:val="-8"/>
          <w:sz w:val="18"/>
          <w:szCs w:val="18"/>
          <w:lang w:val="es-ES_tradnl"/>
        </w:rPr>
        <w:t>culo 76 numeral 7 de la Constituci</w:t>
      </w:r>
      <w:r>
        <w:rPr>
          <w:rFonts w:cs="Times New Roman"/>
          <w:spacing w:val="-8"/>
          <w:sz w:val="18"/>
          <w:szCs w:val="18"/>
          <w:lang w:val="es-ES_tradnl"/>
        </w:rPr>
        <w:t>ó</w:t>
      </w:r>
      <w:r>
        <w:rPr>
          <w:spacing w:val="-8"/>
          <w:sz w:val="18"/>
          <w:szCs w:val="18"/>
          <w:lang w:val="es-ES_tradnl"/>
        </w:rPr>
        <w:t xml:space="preserve">n </w:t>
      </w:r>
      <w:r>
        <w:rPr>
          <w:spacing w:val="-3"/>
          <w:sz w:val="18"/>
          <w:szCs w:val="18"/>
          <w:lang w:val="es-ES_tradnl"/>
        </w:rPr>
        <w:t>de la Rep</w:t>
      </w:r>
      <w:r>
        <w:rPr>
          <w:rFonts w:cs="Times New Roman"/>
          <w:spacing w:val="-3"/>
          <w:sz w:val="18"/>
          <w:szCs w:val="18"/>
          <w:lang w:val="es-ES_tradnl"/>
        </w:rPr>
        <w:t>ú</w:t>
      </w:r>
      <w:r>
        <w:rPr>
          <w:spacing w:val="-3"/>
          <w:sz w:val="18"/>
          <w:szCs w:val="18"/>
          <w:lang w:val="es-ES_tradnl"/>
        </w:rPr>
        <w:t>blica y forma parte de las garant</w:t>
      </w:r>
      <w:r>
        <w:rPr>
          <w:rFonts w:cs="Times New Roman"/>
          <w:spacing w:val="-3"/>
          <w:sz w:val="18"/>
          <w:szCs w:val="18"/>
          <w:lang w:val="es-ES_tradnl"/>
        </w:rPr>
        <w:t>í</w:t>
      </w:r>
      <w:r>
        <w:rPr>
          <w:spacing w:val="-3"/>
          <w:sz w:val="18"/>
          <w:szCs w:val="18"/>
          <w:lang w:val="es-ES_tradnl"/>
        </w:rPr>
        <w:t>as b</w:t>
      </w:r>
      <w:r>
        <w:rPr>
          <w:rFonts w:cs="Times New Roman"/>
          <w:spacing w:val="-3"/>
          <w:sz w:val="18"/>
          <w:szCs w:val="18"/>
          <w:lang w:val="es-ES_tradnl"/>
        </w:rPr>
        <w:t>á</w:t>
      </w:r>
      <w:r>
        <w:rPr>
          <w:spacing w:val="-3"/>
          <w:sz w:val="18"/>
          <w:szCs w:val="18"/>
          <w:lang w:val="es-ES_tradnl"/>
        </w:rPr>
        <w:t xml:space="preserve">sicas </w:t>
      </w:r>
      <w:r>
        <w:rPr>
          <w:spacing w:val="-7"/>
          <w:sz w:val="18"/>
          <w:szCs w:val="18"/>
          <w:lang w:val="es-ES_tradnl"/>
        </w:rPr>
        <w:t xml:space="preserve">del derecho al debido proceso. El derecho de defensa se </w:t>
      </w:r>
      <w:r>
        <w:rPr>
          <w:spacing w:val="-8"/>
          <w:sz w:val="18"/>
          <w:szCs w:val="18"/>
          <w:lang w:val="es-ES_tradnl"/>
        </w:rPr>
        <w:t xml:space="preserve">basa en la igualdad procesal en virtud de la cual las partes </w:t>
      </w:r>
      <w:r>
        <w:rPr>
          <w:spacing w:val="-7"/>
          <w:sz w:val="18"/>
          <w:szCs w:val="18"/>
          <w:lang w:val="es-ES_tradnl"/>
        </w:rPr>
        <w:t xml:space="preserve">intervinientes en un proceso deben estar en igualdad de </w:t>
      </w:r>
      <w:r>
        <w:rPr>
          <w:spacing w:val="-6"/>
          <w:sz w:val="18"/>
          <w:szCs w:val="18"/>
          <w:lang w:val="es-ES_tradnl"/>
        </w:rPr>
        <w:t>condiciones ante la administraci</w:t>
      </w:r>
      <w:r>
        <w:rPr>
          <w:rFonts w:cs="Times New Roman"/>
          <w:spacing w:val="-6"/>
          <w:sz w:val="18"/>
          <w:szCs w:val="18"/>
          <w:lang w:val="es-ES_tradnl"/>
        </w:rPr>
        <w:t>ó</w:t>
      </w:r>
      <w:r>
        <w:rPr>
          <w:spacing w:val="-6"/>
          <w:sz w:val="18"/>
          <w:szCs w:val="18"/>
          <w:lang w:val="es-ES_tradnl"/>
        </w:rPr>
        <w:t>n de justicia</w:t>
      </w:r>
      <w:r>
        <w:rPr>
          <w:rFonts w:cs="Times New Roman"/>
          <w:spacing w:val="-6"/>
          <w:sz w:val="18"/>
          <w:szCs w:val="18"/>
          <w:lang w:val="es-ES_tradnl"/>
        </w:rPr>
        <w:t>”</w:t>
      </w:r>
      <w:r>
        <w:rPr>
          <w:spacing w:val="-6"/>
          <w:sz w:val="18"/>
          <w:szCs w:val="18"/>
          <w:vertAlign w:val="superscript"/>
          <w:lang w:val="es-ES_tradnl"/>
        </w:rPr>
        <w:t>4</w:t>
      </w:r>
      <w:r>
        <w:rPr>
          <w:spacing w:val="-6"/>
          <w:sz w:val="18"/>
          <w:szCs w:val="18"/>
          <w:lang w:val="es-ES_tradnl"/>
        </w:rPr>
        <w:t>.</w:t>
      </w:r>
    </w:p>
    <w:p w14:paraId="4F67B3AA" w14:textId="77777777" w:rsidR="00591D54" w:rsidRDefault="00591D54">
      <w:pPr>
        <w:shd w:val="clear" w:color="auto" w:fill="FFFFFF"/>
        <w:spacing w:before="192" w:line="216" w:lineRule="exact"/>
        <w:jc w:val="both"/>
      </w:pPr>
      <w:r>
        <w:rPr>
          <w:spacing w:val="-8"/>
          <w:sz w:val="18"/>
          <w:szCs w:val="18"/>
          <w:lang w:val="es-ES_tradnl"/>
        </w:rPr>
        <w:t xml:space="preserve">En el caso </w:t>
      </w:r>
      <w:r>
        <w:rPr>
          <w:i/>
          <w:iCs/>
          <w:spacing w:val="-8"/>
          <w:sz w:val="18"/>
          <w:szCs w:val="18"/>
          <w:lang w:val="es-ES_tradnl"/>
        </w:rPr>
        <w:t>sub judice</w:t>
      </w:r>
      <w:r>
        <w:rPr>
          <w:spacing w:val="-8"/>
          <w:sz w:val="18"/>
          <w:szCs w:val="18"/>
          <w:lang w:val="es-ES_tradnl"/>
        </w:rPr>
        <w:t xml:space="preserve">, respecto de la tutela judicial efectiva, en cuanto al acceso a los </w:t>
      </w:r>
      <w:r>
        <w:rPr>
          <w:rFonts w:cs="Times New Roman"/>
          <w:spacing w:val="-8"/>
          <w:sz w:val="18"/>
          <w:szCs w:val="18"/>
          <w:lang w:val="es-ES_tradnl"/>
        </w:rPr>
        <w:t>ó</w:t>
      </w:r>
      <w:r>
        <w:rPr>
          <w:spacing w:val="-8"/>
          <w:sz w:val="18"/>
          <w:szCs w:val="18"/>
          <w:lang w:val="es-ES_tradnl"/>
        </w:rPr>
        <w:t xml:space="preserve">rganos jurisdiccionales, para </w:t>
      </w:r>
      <w:r>
        <w:rPr>
          <w:spacing w:val="-7"/>
          <w:sz w:val="18"/>
          <w:szCs w:val="18"/>
          <w:lang w:val="es-ES_tradnl"/>
        </w:rPr>
        <w:t>obtener de ellos tutela o protecci</w:t>
      </w:r>
      <w:r>
        <w:rPr>
          <w:rFonts w:cs="Times New Roman"/>
          <w:spacing w:val="-7"/>
          <w:sz w:val="18"/>
          <w:szCs w:val="18"/>
          <w:lang w:val="es-ES_tradnl"/>
        </w:rPr>
        <w:t>ó</w:t>
      </w:r>
      <w:r>
        <w:rPr>
          <w:spacing w:val="-7"/>
          <w:sz w:val="18"/>
          <w:szCs w:val="18"/>
          <w:lang w:val="es-ES_tradnl"/>
        </w:rPr>
        <w:t>n de sus derechos, se evidencia que el proceso judicial en cuesti</w:t>
      </w:r>
      <w:r>
        <w:rPr>
          <w:rFonts w:cs="Times New Roman"/>
          <w:spacing w:val="-7"/>
          <w:sz w:val="18"/>
          <w:szCs w:val="18"/>
          <w:lang w:val="es-ES_tradnl"/>
        </w:rPr>
        <w:t>ó</w:t>
      </w:r>
      <w:r>
        <w:rPr>
          <w:spacing w:val="-7"/>
          <w:sz w:val="18"/>
          <w:szCs w:val="18"/>
          <w:lang w:val="es-ES_tradnl"/>
        </w:rPr>
        <w:t>n inici</w:t>
      </w:r>
      <w:r>
        <w:rPr>
          <w:rFonts w:cs="Times New Roman"/>
          <w:spacing w:val="-7"/>
          <w:sz w:val="18"/>
          <w:szCs w:val="18"/>
          <w:lang w:val="es-ES_tradnl"/>
        </w:rPr>
        <w:t>ó</w:t>
      </w:r>
      <w:r>
        <w:rPr>
          <w:spacing w:val="-7"/>
          <w:sz w:val="18"/>
          <w:szCs w:val="18"/>
          <w:lang w:val="es-ES_tradnl"/>
        </w:rPr>
        <w:t xml:space="preserve"> cuando </w:t>
      </w:r>
      <w:r>
        <w:rPr>
          <w:spacing w:val="-8"/>
          <w:sz w:val="18"/>
          <w:szCs w:val="18"/>
          <w:lang w:val="es-ES_tradnl"/>
        </w:rPr>
        <w:t>la doctora Iralda Claudina Armas Pilatasig present</w:t>
      </w:r>
      <w:r>
        <w:rPr>
          <w:rFonts w:cs="Times New Roman"/>
          <w:spacing w:val="-8"/>
          <w:sz w:val="18"/>
          <w:szCs w:val="18"/>
          <w:lang w:val="es-ES_tradnl"/>
        </w:rPr>
        <w:t>ó</w:t>
      </w:r>
      <w:r>
        <w:rPr>
          <w:spacing w:val="-8"/>
          <w:sz w:val="18"/>
          <w:szCs w:val="18"/>
          <w:lang w:val="es-ES_tradnl"/>
        </w:rPr>
        <w:t>, ante el</w:t>
      </w:r>
    </w:p>
    <w:p w14:paraId="4F67B3AB" w14:textId="77777777" w:rsidR="00591D54" w:rsidRDefault="00591D54">
      <w:pPr>
        <w:shd w:val="clear" w:color="auto" w:fill="FFFFFF"/>
        <w:tabs>
          <w:tab w:val="left" w:pos="144"/>
        </w:tabs>
        <w:spacing w:before="427" w:line="182" w:lineRule="exact"/>
        <w:ind w:left="144" w:hanging="144"/>
      </w:pPr>
      <w:r>
        <w:rPr>
          <w:sz w:val="10"/>
          <w:szCs w:val="10"/>
          <w:vertAlign w:val="superscript"/>
          <w:lang w:val="es-ES_tradnl"/>
        </w:rPr>
        <w:t>3</w:t>
      </w:r>
      <w:r>
        <w:rPr>
          <w:lang w:val="es-ES_tradnl"/>
        </w:rPr>
        <w:tab/>
      </w:r>
      <w:r>
        <w:rPr>
          <w:sz w:val="14"/>
          <w:szCs w:val="14"/>
          <w:lang w:val="es-ES_tradnl"/>
        </w:rPr>
        <w:t>Corte</w:t>
      </w:r>
      <w:r>
        <w:rPr>
          <w:lang w:val="es-ES_tradnl"/>
        </w:rPr>
        <w:t xml:space="preserve"> </w:t>
      </w:r>
      <w:r>
        <w:rPr>
          <w:sz w:val="14"/>
          <w:szCs w:val="14"/>
          <w:lang w:val="es-ES_tradnl"/>
        </w:rPr>
        <w:t>Constitucional</w:t>
      </w:r>
      <w:r>
        <w:rPr>
          <w:lang w:val="es-ES_tradnl"/>
        </w:rPr>
        <w:t xml:space="preserve"> </w:t>
      </w:r>
      <w:r>
        <w:rPr>
          <w:sz w:val="14"/>
          <w:szCs w:val="14"/>
          <w:lang w:val="es-ES_tradnl"/>
        </w:rPr>
        <w:t>del</w:t>
      </w:r>
      <w:r>
        <w:rPr>
          <w:lang w:val="es-ES_tradnl"/>
        </w:rPr>
        <w:t xml:space="preserve"> </w:t>
      </w:r>
      <w:r>
        <w:rPr>
          <w:sz w:val="14"/>
          <w:szCs w:val="14"/>
          <w:lang w:val="es-ES_tradnl"/>
        </w:rPr>
        <w:t>Ecuador,</w:t>
      </w:r>
      <w:r>
        <w:rPr>
          <w:lang w:val="es-ES_tradnl"/>
        </w:rPr>
        <w:t xml:space="preserve"> </w:t>
      </w:r>
      <w:r>
        <w:rPr>
          <w:sz w:val="14"/>
          <w:szCs w:val="14"/>
          <w:lang w:val="es-ES_tradnl"/>
        </w:rPr>
        <w:t>sentencia</w:t>
      </w:r>
      <w:r>
        <w:rPr>
          <w:lang w:val="es-ES_tradnl"/>
        </w:rPr>
        <w:t xml:space="preserve"> </w:t>
      </w:r>
      <w:r>
        <w:rPr>
          <w:sz w:val="14"/>
          <w:szCs w:val="14"/>
          <w:lang w:val="es-ES_tradnl"/>
        </w:rPr>
        <w:t>N</w:t>
      </w:r>
      <w:r>
        <w:rPr>
          <w:rFonts w:cs="Times New Roman"/>
          <w:sz w:val="14"/>
          <w:szCs w:val="14"/>
          <w:lang w:val="es-ES_tradnl"/>
        </w:rPr>
        <w:t>°</w:t>
      </w:r>
      <w:r>
        <w:rPr>
          <w:lang w:val="es-ES_tradnl"/>
        </w:rPr>
        <w:t xml:space="preserve"> </w:t>
      </w:r>
      <w:r>
        <w:rPr>
          <w:sz w:val="14"/>
          <w:szCs w:val="14"/>
          <w:lang w:val="es-ES_tradnl"/>
        </w:rPr>
        <w:t>110-13-SEP-CC, caso N</w:t>
      </w:r>
      <w:r>
        <w:rPr>
          <w:rFonts w:cs="Times New Roman"/>
          <w:sz w:val="14"/>
          <w:szCs w:val="14"/>
          <w:lang w:val="es-ES_tradnl"/>
        </w:rPr>
        <w:t>º</w:t>
      </w:r>
      <w:r>
        <w:rPr>
          <w:sz w:val="14"/>
          <w:szCs w:val="14"/>
          <w:lang w:val="es-ES_tradnl"/>
        </w:rPr>
        <w:t xml:space="preserve"> 0690-12-EP.</w:t>
      </w:r>
    </w:p>
    <w:p w14:paraId="4F67B3AC" w14:textId="77777777" w:rsidR="00591D54" w:rsidRDefault="00591D54">
      <w:pPr>
        <w:shd w:val="clear" w:color="auto" w:fill="FFFFFF"/>
        <w:tabs>
          <w:tab w:val="left" w:pos="144"/>
        </w:tabs>
        <w:spacing w:before="149" w:line="178" w:lineRule="exact"/>
        <w:ind w:left="144" w:hanging="144"/>
      </w:pPr>
      <w:r>
        <w:rPr>
          <w:sz w:val="10"/>
          <w:szCs w:val="10"/>
          <w:vertAlign w:val="superscript"/>
          <w:lang w:val="es-ES_tradnl"/>
        </w:rPr>
        <w:t>4</w:t>
      </w:r>
      <w:r>
        <w:rPr>
          <w:lang w:val="es-ES_tradnl"/>
        </w:rPr>
        <w:tab/>
      </w:r>
      <w:r>
        <w:rPr>
          <w:sz w:val="14"/>
          <w:szCs w:val="14"/>
          <w:lang w:val="es-ES_tradnl"/>
        </w:rPr>
        <w:t>Corte</w:t>
      </w:r>
      <w:r>
        <w:rPr>
          <w:lang w:val="es-ES_tradnl"/>
        </w:rPr>
        <w:t xml:space="preserve"> </w:t>
      </w:r>
      <w:r>
        <w:rPr>
          <w:sz w:val="14"/>
          <w:szCs w:val="14"/>
          <w:lang w:val="es-ES_tradnl"/>
        </w:rPr>
        <w:t>Constitucional</w:t>
      </w:r>
      <w:r>
        <w:rPr>
          <w:lang w:val="es-ES_tradnl"/>
        </w:rPr>
        <w:t xml:space="preserve"> </w:t>
      </w:r>
      <w:r>
        <w:rPr>
          <w:sz w:val="14"/>
          <w:szCs w:val="14"/>
          <w:lang w:val="es-ES_tradnl"/>
        </w:rPr>
        <w:t>del</w:t>
      </w:r>
      <w:r>
        <w:rPr>
          <w:lang w:val="es-ES_tradnl"/>
        </w:rPr>
        <w:t xml:space="preserve"> </w:t>
      </w:r>
      <w:r>
        <w:rPr>
          <w:sz w:val="14"/>
          <w:szCs w:val="14"/>
          <w:lang w:val="es-ES_tradnl"/>
        </w:rPr>
        <w:t>Ecuador,</w:t>
      </w:r>
      <w:r>
        <w:rPr>
          <w:lang w:val="es-ES_tradnl"/>
        </w:rPr>
        <w:t xml:space="preserve"> </w:t>
      </w:r>
      <w:r>
        <w:rPr>
          <w:sz w:val="14"/>
          <w:szCs w:val="14"/>
          <w:lang w:val="es-ES_tradnl"/>
        </w:rPr>
        <w:t>sentencia</w:t>
      </w:r>
      <w:r>
        <w:rPr>
          <w:lang w:val="es-ES_tradnl"/>
        </w:rPr>
        <w:t xml:space="preserve"> </w:t>
      </w:r>
      <w:r>
        <w:rPr>
          <w:sz w:val="14"/>
          <w:szCs w:val="14"/>
          <w:lang w:val="es-ES_tradnl"/>
        </w:rPr>
        <w:t>N</w:t>
      </w:r>
      <w:r>
        <w:rPr>
          <w:rFonts w:cs="Times New Roman"/>
          <w:sz w:val="14"/>
          <w:szCs w:val="14"/>
          <w:lang w:val="es-ES_tradnl"/>
        </w:rPr>
        <w:t>°</w:t>
      </w:r>
      <w:r>
        <w:rPr>
          <w:lang w:val="es-ES_tradnl"/>
        </w:rPr>
        <w:t xml:space="preserve"> </w:t>
      </w:r>
      <w:r>
        <w:rPr>
          <w:sz w:val="14"/>
          <w:szCs w:val="14"/>
          <w:lang w:val="es-ES_tradnl"/>
        </w:rPr>
        <w:t>0016-13-SEP-CC, caso N.</w:t>
      </w:r>
      <w:r>
        <w:rPr>
          <w:rFonts w:cs="Times New Roman"/>
          <w:sz w:val="14"/>
          <w:szCs w:val="14"/>
          <w:lang w:val="es-ES_tradnl"/>
        </w:rPr>
        <w:t>°</w:t>
      </w:r>
      <w:r>
        <w:rPr>
          <w:sz w:val="14"/>
          <w:szCs w:val="14"/>
          <w:lang w:val="es-ES_tradnl"/>
        </w:rPr>
        <w:t xml:space="preserve"> 1000-12-EP.</w:t>
      </w:r>
    </w:p>
    <w:p w14:paraId="4F67B3AD" w14:textId="77777777" w:rsidR="00591D54" w:rsidRDefault="00591D54">
      <w:pPr>
        <w:shd w:val="clear" w:color="auto" w:fill="FFFFFF"/>
        <w:tabs>
          <w:tab w:val="left" w:pos="144"/>
        </w:tabs>
        <w:spacing w:before="149" w:line="178" w:lineRule="exact"/>
        <w:ind w:left="144" w:hanging="144"/>
        <w:sectPr w:rsidR="00591D54">
          <w:type w:val="continuous"/>
          <w:pgSz w:w="11909" w:h="16834"/>
          <w:pgMar w:top="1356" w:right="1309" w:bottom="360" w:left="1308" w:header="720" w:footer="720" w:gutter="0"/>
          <w:cols w:num="2" w:space="720" w:equalWidth="0">
            <w:col w:w="4305" w:space="682"/>
            <w:col w:w="4305"/>
          </w:cols>
          <w:noEndnote/>
        </w:sectPr>
      </w:pPr>
    </w:p>
    <w:p w14:paraId="4F67B3AE" w14:textId="77777777" w:rsidR="00591D54" w:rsidRDefault="00591D54">
      <w:pPr>
        <w:shd w:val="clear" w:color="auto" w:fill="FFFFFF"/>
        <w:tabs>
          <w:tab w:val="left" w:pos="4814"/>
        </w:tabs>
        <w:spacing w:after="230"/>
        <w:ind w:left="14"/>
      </w:pPr>
      <w:r>
        <w:rPr>
          <w:b/>
          <w:bCs/>
          <w:sz w:val="18"/>
          <w:szCs w:val="18"/>
          <w:lang w:val="es-ES_tradnl"/>
        </w:rPr>
        <w:t xml:space="preserve">198 -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3AF" w14:textId="77777777" w:rsidR="00591D54" w:rsidRDefault="00591D54">
      <w:pPr>
        <w:shd w:val="clear" w:color="auto" w:fill="FFFFFF"/>
        <w:tabs>
          <w:tab w:val="left" w:pos="4814"/>
        </w:tabs>
        <w:spacing w:after="230"/>
        <w:ind w:left="14"/>
        <w:sectPr w:rsidR="00591D54">
          <w:pgSz w:w="11909" w:h="16834"/>
          <w:pgMar w:top="1376" w:right="1309" w:bottom="360" w:left="1308" w:header="720" w:footer="720" w:gutter="0"/>
          <w:cols w:space="60"/>
          <w:noEndnote/>
        </w:sectPr>
      </w:pPr>
    </w:p>
    <w:p w14:paraId="4F67B3B0" w14:textId="77777777" w:rsidR="00591D54" w:rsidRDefault="00591D54">
      <w:pPr>
        <w:shd w:val="clear" w:color="auto" w:fill="FFFFFF"/>
        <w:spacing w:before="5" w:line="221" w:lineRule="exact"/>
        <w:jc w:val="both"/>
      </w:pPr>
      <w:r>
        <w:rPr>
          <w:spacing w:val="-7"/>
          <w:sz w:val="18"/>
          <w:szCs w:val="18"/>
          <w:lang w:val="es-ES_tradnl"/>
        </w:rPr>
        <w:t xml:space="preserve">Juzgado de lo Penal de Pichincha, una querella en contra </w:t>
      </w:r>
      <w:r>
        <w:rPr>
          <w:sz w:val="18"/>
          <w:szCs w:val="18"/>
          <w:lang w:val="es-ES_tradnl"/>
        </w:rPr>
        <w:t xml:space="preserve">del doctor Manuel Gonzalo Quillupangui Ninahualpa </w:t>
      </w:r>
      <w:r>
        <w:rPr>
          <w:rFonts w:ascii="Arial Unicode MS" w:eastAsia="Arial Unicode MS" w:hAnsi="Arial Unicode MS" w:cs="Arial Unicode MS" w:hint="eastAsia"/>
          <w:spacing w:val="-4"/>
          <w:sz w:val="18"/>
          <w:szCs w:val="18"/>
          <w:lang w:val="es-ES_tradnl"/>
        </w:rPr>
        <w:t>‒</w:t>
      </w:r>
      <w:r>
        <w:rPr>
          <w:spacing w:val="-4"/>
          <w:sz w:val="18"/>
          <w:szCs w:val="18"/>
          <w:lang w:val="es-ES_tradnl"/>
        </w:rPr>
        <w:t>por injurias calumniosas</w:t>
      </w:r>
      <w:r>
        <w:rPr>
          <w:rFonts w:ascii="Arial Unicode MS" w:eastAsia="Arial Unicode MS" w:hAnsi="Arial Unicode MS" w:cs="Arial Unicode MS" w:hint="eastAsia"/>
          <w:spacing w:val="-4"/>
          <w:sz w:val="18"/>
          <w:szCs w:val="18"/>
          <w:lang w:val="es-ES_tradnl"/>
        </w:rPr>
        <w:t>‒</w:t>
      </w:r>
      <w:r>
        <w:rPr>
          <w:spacing w:val="-4"/>
          <w:sz w:val="18"/>
          <w:szCs w:val="18"/>
          <w:lang w:val="es-ES_tradnl"/>
        </w:rPr>
        <w:t xml:space="preserve"> a lo largo del proceso de </w:t>
      </w:r>
      <w:r>
        <w:rPr>
          <w:spacing w:val="-6"/>
          <w:sz w:val="18"/>
          <w:szCs w:val="18"/>
          <w:lang w:val="es-ES_tradnl"/>
        </w:rPr>
        <w:t>primera instancia se evidencia que el querellado particip</w:t>
      </w:r>
      <w:r>
        <w:rPr>
          <w:rFonts w:cs="Times New Roman"/>
          <w:spacing w:val="-6"/>
          <w:sz w:val="18"/>
          <w:szCs w:val="18"/>
          <w:lang w:val="es-ES_tradnl"/>
        </w:rPr>
        <w:t xml:space="preserve">ó </w:t>
      </w:r>
      <w:r>
        <w:rPr>
          <w:spacing w:val="-9"/>
          <w:sz w:val="18"/>
          <w:szCs w:val="18"/>
          <w:lang w:val="es-ES_tradnl"/>
        </w:rPr>
        <w:t>activamente y se defendi</w:t>
      </w:r>
      <w:r>
        <w:rPr>
          <w:rFonts w:cs="Times New Roman"/>
          <w:spacing w:val="-9"/>
          <w:sz w:val="18"/>
          <w:szCs w:val="18"/>
          <w:lang w:val="es-ES_tradnl"/>
        </w:rPr>
        <w:t>ó</w:t>
      </w:r>
      <w:r>
        <w:rPr>
          <w:spacing w:val="-9"/>
          <w:sz w:val="18"/>
          <w:szCs w:val="18"/>
          <w:lang w:val="es-ES_tradnl"/>
        </w:rPr>
        <w:t xml:space="preserve"> presentando todas pruebas y los </w:t>
      </w:r>
      <w:r>
        <w:rPr>
          <w:sz w:val="18"/>
          <w:szCs w:val="18"/>
          <w:lang w:val="es-ES_tradnl"/>
        </w:rPr>
        <w:t>escritos que estim</w:t>
      </w:r>
      <w:r>
        <w:rPr>
          <w:rFonts w:cs="Times New Roman"/>
          <w:sz w:val="18"/>
          <w:szCs w:val="18"/>
          <w:lang w:val="es-ES_tradnl"/>
        </w:rPr>
        <w:t>ó</w:t>
      </w:r>
      <w:r>
        <w:rPr>
          <w:sz w:val="18"/>
          <w:szCs w:val="18"/>
          <w:lang w:val="es-ES_tradnl"/>
        </w:rPr>
        <w:t xml:space="preserve"> pertinentes.</w:t>
      </w:r>
    </w:p>
    <w:p w14:paraId="4F67B3B1" w14:textId="77777777" w:rsidR="00591D54" w:rsidRDefault="00591D54">
      <w:pPr>
        <w:shd w:val="clear" w:color="auto" w:fill="FFFFFF"/>
        <w:spacing w:before="206" w:line="221" w:lineRule="exact"/>
        <w:ind w:right="5"/>
        <w:jc w:val="both"/>
      </w:pPr>
      <w:r>
        <w:rPr>
          <w:spacing w:val="-9"/>
          <w:sz w:val="18"/>
          <w:szCs w:val="18"/>
          <w:lang w:val="es-ES_tradnl"/>
        </w:rPr>
        <w:t>Posteriormente, el se</w:t>
      </w:r>
      <w:r>
        <w:rPr>
          <w:rFonts w:cs="Times New Roman"/>
          <w:spacing w:val="-9"/>
          <w:sz w:val="18"/>
          <w:szCs w:val="18"/>
          <w:lang w:val="es-ES_tradnl"/>
        </w:rPr>
        <w:t>ñ</w:t>
      </w:r>
      <w:r>
        <w:rPr>
          <w:spacing w:val="-9"/>
          <w:sz w:val="18"/>
          <w:szCs w:val="18"/>
          <w:lang w:val="es-ES_tradnl"/>
        </w:rPr>
        <w:t xml:space="preserve">or Quillupangui Ninahualpa interpuso </w:t>
      </w:r>
      <w:r>
        <w:rPr>
          <w:spacing w:val="-5"/>
          <w:sz w:val="18"/>
          <w:szCs w:val="18"/>
          <w:lang w:val="es-ES_tradnl"/>
        </w:rPr>
        <w:t>un recurso de apelaci</w:t>
      </w:r>
      <w:r>
        <w:rPr>
          <w:rFonts w:cs="Times New Roman"/>
          <w:spacing w:val="-5"/>
          <w:sz w:val="18"/>
          <w:szCs w:val="18"/>
          <w:lang w:val="es-ES_tradnl"/>
        </w:rPr>
        <w:t>ó</w:t>
      </w:r>
      <w:r>
        <w:rPr>
          <w:spacing w:val="-5"/>
          <w:sz w:val="18"/>
          <w:szCs w:val="18"/>
          <w:lang w:val="es-ES_tradnl"/>
        </w:rPr>
        <w:t xml:space="preserve">n ante la Corte Provincial, el cual </w:t>
      </w:r>
      <w:r>
        <w:rPr>
          <w:spacing w:val="-7"/>
          <w:sz w:val="18"/>
          <w:szCs w:val="18"/>
          <w:lang w:val="es-ES_tradnl"/>
        </w:rPr>
        <w:t xml:space="preserve">fue resuelto por la Tercera Sala Especializada de lo Penal </w:t>
      </w:r>
      <w:r>
        <w:rPr>
          <w:spacing w:val="-6"/>
          <w:sz w:val="18"/>
          <w:szCs w:val="18"/>
          <w:lang w:val="es-ES_tradnl"/>
        </w:rPr>
        <w:t xml:space="preserve">de la Corte Provincial de Justicia de Pichincha mediante </w:t>
      </w:r>
      <w:r>
        <w:rPr>
          <w:spacing w:val="-7"/>
          <w:sz w:val="18"/>
          <w:szCs w:val="18"/>
          <w:lang w:val="es-ES_tradnl"/>
        </w:rPr>
        <w:t>sentencia del 08 de diciembre de 2011, durante esta fase del proceso judicial tambi</w:t>
      </w:r>
      <w:r>
        <w:rPr>
          <w:rFonts w:cs="Times New Roman"/>
          <w:spacing w:val="-7"/>
          <w:sz w:val="18"/>
          <w:szCs w:val="18"/>
          <w:lang w:val="es-ES_tradnl"/>
        </w:rPr>
        <w:t>é</w:t>
      </w:r>
      <w:r>
        <w:rPr>
          <w:spacing w:val="-7"/>
          <w:sz w:val="18"/>
          <w:szCs w:val="18"/>
          <w:lang w:val="es-ES_tradnl"/>
        </w:rPr>
        <w:t>n se evidencia que se garantiz</w:t>
      </w:r>
      <w:r>
        <w:rPr>
          <w:rFonts w:cs="Times New Roman"/>
          <w:spacing w:val="-7"/>
          <w:sz w:val="18"/>
          <w:szCs w:val="18"/>
          <w:lang w:val="es-ES_tradnl"/>
        </w:rPr>
        <w:t xml:space="preserve">ó </w:t>
      </w:r>
      <w:r>
        <w:rPr>
          <w:spacing w:val="-8"/>
          <w:sz w:val="18"/>
          <w:szCs w:val="18"/>
          <w:lang w:val="es-ES_tradnl"/>
        </w:rPr>
        <w:t xml:space="preserve">el debido proceso y el acceso a la justicia, pese a que la </w:t>
      </w:r>
      <w:r>
        <w:rPr>
          <w:spacing w:val="-9"/>
          <w:sz w:val="18"/>
          <w:szCs w:val="18"/>
          <w:lang w:val="es-ES_tradnl"/>
        </w:rPr>
        <w:t>sentencia fue confirmatoria de la decisi</w:t>
      </w:r>
      <w:r>
        <w:rPr>
          <w:rFonts w:cs="Times New Roman"/>
          <w:spacing w:val="-9"/>
          <w:sz w:val="18"/>
          <w:szCs w:val="18"/>
          <w:lang w:val="es-ES_tradnl"/>
        </w:rPr>
        <w:t>ó</w:t>
      </w:r>
      <w:r>
        <w:rPr>
          <w:spacing w:val="-9"/>
          <w:sz w:val="18"/>
          <w:szCs w:val="18"/>
          <w:lang w:val="es-ES_tradnl"/>
        </w:rPr>
        <w:t xml:space="preserve">n subida en grado, </w:t>
      </w:r>
      <w:r>
        <w:rPr>
          <w:spacing w:val="-6"/>
          <w:sz w:val="18"/>
          <w:szCs w:val="18"/>
          <w:lang w:val="es-ES_tradnl"/>
        </w:rPr>
        <w:t>condenando al querellado a la pena de un a</w:t>
      </w:r>
      <w:r>
        <w:rPr>
          <w:rFonts w:cs="Times New Roman"/>
          <w:spacing w:val="-6"/>
          <w:sz w:val="18"/>
          <w:szCs w:val="18"/>
          <w:lang w:val="es-ES_tradnl"/>
        </w:rPr>
        <w:t>ñ</w:t>
      </w:r>
      <w:r>
        <w:rPr>
          <w:spacing w:val="-6"/>
          <w:sz w:val="18"/>
          <w:szCs w:val="18"/>
          <w:lang w:val="es-ES_tradnl"/>
        </w:rPr>
        <w:t>o de prisi</w:t>
      </w:r>
      <w:r>
        <w:rPr>
          <w:rFonts w:cs="Times New Roman"/>
          <w:spacing w:val="-6"/>
          <w:sz w:val="18"/>
          <w:szCs w:val="18"/>
          <w:lang w:val="es-ES_tradnl"/>
        </w:rPr>
        <w:t>ó</w:t>
      </w:r>
      <w:r>
        <w:rPr>
          <w:spacing w:val="-6"/>
          <w:sz w:val="18"/>
          <w:szCs w:val="18"/>
          <w:lang w:val="es-ES_tradnl"/>
        </w:rPr>
        <w:t xml:space="preserve">n, </w:t>
      </w:r>
      <w:r>
        <w:rPr>
          <w:spacing w:val="-7"/>
          <w:sz w:val="18"/>
          <w:szCs w:val="18"/>
          <w:lang w:val="es-ES_tradnl"/>
        </w:rPr>
        <w:t>al pago de costas, da</w:t>
      </w:r>
      <w:r>
        <w:rPr>
          <w:rFonts w:cs="Times New Roman"/>
          <w:spacing w:val="-7"/>
          <w:sz w:val="18"/>
          <w:szCs w:val="18"/>
          <w:lang w:val="es-ES_tradnl"/>
        </w:rPr>
        <w:t>ñ</w:t>
      </w:r>
      <w:r>
        <w:rPr>
          <w:spacing w:val="-7"/>
          <w:sz w:val="18"/>
          <w:szCs w:val="18"/>
          <w:lang w:val="es-ES_tradnl"/>
        </w:rPr>
        <w:t xml:space="preserve">os y perjuicios y a la multa de seis </w:t>
      </w:r>
      <w:r>
        <w:rPr>
          <w:spacing w:val="-8"/>
          <w:sz w:val="18"/>
          <w:szCs w:val="18"/>
          <w:lang w:val="es-ES_tradnl"/>
        </w:rPr>
        <w:t>d</w:t>
      </w:r>
      <w:r>
        <w:rPr>
          <w:rFonts w:cs="Times New Roman"/>
          <w:spacing w:val="-8"/>
          <w:sz w:val="18"/>
          <w:szCs w:val="18"/>
          <w:lang w:val="es-ES_tradnl"/>
        </w:rPr>
        <w:t>ó</w:t>
      </w:r>
      <w:r>
        <w:rPr>
          <w:spacing w:val="-8"/>
          <w:sz w:val="18"/>
          <w:szCs w:val="18"/>
          <w:lang w:val="es-ES_tradnl"/>
        </w:rPr>
        <w:t>lares de los Estados Unidos de Am</w:t>
      </w:r>
      <w:r>
        <w:rPr>
          <w:rFonts w:cs="Times New Roman"/>
          <w:spacing w:val="-8"/>
          <w:sz w:val="18"/>
          <w:szCs w:val="18"/>
          <w:lang w:val="es-ES_tradnl"/>
        </w:rPr>
        <w:t>é</w:t>
      </w:r>
      <w:r>
        <w:rPr>
          <w:spacing w:val="-8"/>
          <w:sz w:val="18"/>
          <w:szCs w:val="18"/>
          <w:lang w:val="es-ES_tradnl"/>
        </w:rPr>
        <w:t>rica.</w:t>
      </w:r>
    </w:p>
    <w:p w14:paraId="4F67B3B2" w14:textId="77777777" w:rsidR="00591D54" w:rsidRDefault="00591D54">
      <w:pPr>
        <w:shd w:val="clear" w:color="auto" w:fill="FFFFFF"/>
        <w:spacing w:before="206" w:line="221" w:lineRule="exact"/>
        <w:ind w:right="5"/>
        <w:jc w:val="both"/>
      </w:pPr>
      <w:r>
        <w:rPr>
          <w:spacing w:val="-8"/>
          <w:sz w:val="18"/>
          <w:szCs w:val="18"/>
          <w:lang w:val="es-ES_tradnl"/>
        </w:rPr>
        <w:t>Continuando con el ejercicio de su derecho a acceder a la justicia, seg</w:t>
      </w:r>
      <w:r>
        <w:rPr>
          <w:rFonts w:cs="Times New Roman"/>
          <w:spacing w:val="-8"/>
          <w:sz w:val="18"/>
          <w:szCs w:val="18"/>
          <w:lang w:val="es-ES_tradnl"/>
        </w:rPr>
        <w:t>ú</w:t>
      </w:r>
      <w:r>
        <w:rPr>
          <w:spacing w:val="-8"/>
          <w:sz w:val="18"/>
          <w:szCs w:val="18"/>
          <w:lang w:val="es-ES_tradnl"/>
        </w:rPr>
        <w:t xml:space="preserve">n consta en el expediente, el 13 de diciembre </w:t>
      </w:r>
      <w:r>
        <w:rPr>
          <w:spacing w:val="-9"/>
          <w:sz w:val="18"/>
          <w:szCs w:val="18"/>
          <w:lang w:val="es-ES_tradnl"/>
        </w:rPr>
        <w:t>de 2011, esto es cuatro d</w:t>
      </w:r>
      <w:r>
        <w:rPr>
          <w:rFonts w:cs="Times New Roman"/>
          <w:spacing w:val="-9"/>
          <w:sz w:val="18"/>
          <w:szCs w:val="18"/>
          <w:lang w:val="es-ES_tradnl"/>
        </w:rPr>
        <w:t>í</w:t>
      </w:r>
      <w:r>
        <w:rPr>
          <w:spacing w:val="-9"/>
          <w:sz w:val="18"/>
          <w:szCs w:val="18"/>
          <w:lang w:val="es-ES_tradnl"/>
        </w:rPr>
        <w:t>as posteriores a la notificaci</w:t>
      </w:r>
      <w:r>
        <w:rPr>
          <w:rFonts w:cs="Times New Roman"/>
          <w:spacing w:val="-9"/>
          <w:sz w:val="18"/>
          <w:szCs w:val="18"/>
          <w:lang w:val="es-ES_tradnl"/>
        </w:rPr>
        <w:t>ó</w:t>
      </w:r>
      <w:r>
        <w:rPr>
          <w:spacing w:val="-9"/>
          <w:sz w:val="18"/>
          <w:szCs w:val="18"/>
          <w:lang w:val="es-ES_tradnl"/>
        </w:rPr>
        <w:t>n de la sentencia de apelaci</w:t>
      </w:r>
      <w:r>
        <w:rPr>
          <w:rFonts w:cs="Times New Roman"/>
          <w:spacing w:val="-9"/>
          <w:sz w:val="18"/>
          <w:szCs w:val="18"/>
          <w:lang w:val="es-ES_tradnl"/>
        </w:rPr>
        <w:t>ó</w:t>
      </w:r>
      <w:r>
        <w:rPr>
          <w:spacing w:val="-9"/>
          <w:sz w:val="18"/>
          <w:szCs w:val="18"/>
          <w:lang w:val="es-ES_tradnl"/>
        </w:rPr>
        <w:t>n, el se</w:t>
      </w:r>
      <w:r>
        <w:rPr>
          <w:rFonts w:cs="Times New Roman"/>
          <w:spacing w:val="-9"/>
          <w:sz w:val="18"/>
          <w:szCs w:val="18"/>
          <w:lang w:val="es-ES_tradnl"/>
        </w:rPr>
        <w:t>ñ</w:t>
      </w:r>
      <w:r>
        <w:rPr>
          <w:spacing w:val="-9"/>
          <w:sz w:val="18"/>
          <w:szCs w:val="18"/>
          <w:lang w:val="es-ES_tradnl"/>
        </w:rPr>
        <w:t xml:space="preserve">or Quillupangui Ninahualpa </w:t>
      </w:r>
      <w:r>
        <w:rPr>
          <w:spacing w:val="-5"/>
          <w:sz w:val="18"/>
          <w:szCs w:val="18"/>
          <w:lang w:val="es-ES_tradnl"/>
        </w:rPr>
        <w:t>present</w:t>
      </w:r>
      <w:r>
        <w:rPr>
          <w:rFonts w:cs="Times New Roman"/>
          <w:spacing w:val="-5"/>
          <w:sz w:val="18"/>
          <w:szCs w:val="18"/>
          <w:lang w:val="es-ES_tradnl"/>
        </w:rPr>
        <w:t>ó</w:t>
      </w:r>
      <w:r>
        <w:rPr>
          <w:spacing w:val="-5"/>
          <w:sz w:val="18"/>
          <w:szCs w:val="18"/>
          <w:lang w:val="es-ES_tradnl"/>
        </w:rPr>
        <w:t xml:space="preserve"> su solicitud de aclaraci</w:t>
      </w:r>
      <w:r>
        <w:rPr>
          <w:rFonts w:cs="Times New Roman"/>
          <w:spacing w:val="-5"/>
          <w:sz w:val="18"/>
          <w:szCs w:val="18"/>
          <w:lang w:val="es-ES_tradnl"/>
        </w:rPr>
        <w:t>ó</w:t>
      </w:r>
      <w:r>
        <w:rPr>
          <w:spacing w:val="-5"/>
          <w:sz w:val="18"/>
          <w:szCs w:val="18"/>
          <w:lang w:val="es-ES_tradnl"/>
        </w:rPr>
        <w:t>n y ampliaci</w:t>
      </w:r>
      <w:r>
        <w:rPr>
          <w:rFonts w:cs="Times New Roman"/>
          <w:spacing w:val="-5"/>
          <w:sz w:val="18"/>
          <w:szCs w:val="18"/>
          <w:lang w:val="es-ES_tradnl"/>
        </w:rPr>
        <w:t>ó</w:t>
      </w:r>
      <w:r>
        <w:rPr>
          <w:spacing w:val="-5"/>
          <w:sz w:val="18"/>
          <w:szCs w:val="18"/>
          <w:lang w:val="es-ES_tradnl"/>
        </w:rPr>
        <w:t>n, petici</w:t>
      </w:r>
      <w:r>
        <w:rPr>
          <w:rFonts w:cs="Times New Roman"/>
          <w:spacing w:val="-5"/>
          <w:sz w:val="18"/>
          <w:szCs w:val="18"/>
          <w:lang w:val="es-ES_tradnl"/>
        </w:rPr>
        <w:t>ó</w:t>
      </w:r>
      <w:r>
        <w:rPr>
          <w:spacing w:val="-5"/>
          <w:sz w:val="18"/>
          <w:szCs w:val="18"/>
          <w:lang w:val="es-ES_tradnl"/>
        </w:rPr>
        <w:t xml:space="preserve">n </w:t>
      </w:r>
      <w:r>
        <w:rPr>
          <w:spacing w:val="-9"/>
          <w:sz w:val="18"/>
          <w:szCs w:val="18"/>
          <w:lang w:val="es-ES_tradnl"/>
        </w:rPr>
        <w:t>que fue desestimada y negada por extempor</w:t>
      </w:r>
      <w:r>
        <w:rPr>
          <w:rFonts w:cs="Times New Roman"/>
          <w:spacing w:val="-9"/>
          <w:sz w:val="18"/>
          <w:szCs w:val="18"/>
          <w:lang w:val="es-ES_tradnl"/>
        </w:rPr>
        <w:t>á</w:t>
      </w:r>
      <w:r>
        <w:rPr>
          <w:spacing w:val="-9"/>
          <w:sz w:val="18"/>
          <w:szCs w:val="18"/>
          <w:lang w:val="es-ES_tradnl"/>
        </w:rPr>
        <w:t xml:space="preserve">nea, por la </w:t>
      </w:r>
      <w:r>
        <w:rPr>
          <w:spacing w:val="-6"/>
          <w:sz w:val="18"/>
          <w:szCs w:val="18"/>
          <w:lang w:val="es-ES_tradnl"/>
        </w:rPr>
        <w:t>Tercera Sala de Garant</w:t>
      </w:r>
      <w:r>
        <w:rPr>
          <w:rFonts w:cs="Times New Roman"/>
          <w:spacing w:val="-6"/>
          <w:sz w:val="18"/>
          <w:szCs w:val="18"/>
          <w:lang w:val="es-ES_tradnl"/>
        </w:rPr>
        <w:t>í</w:t>
      </w:r>
      <w:r>
        <w:rPr>
          <w:spacing w:val="-6"/>
          <w:sz w:val="18"/>
          <w:szCs w:val="18"/>
          <w:lang w:val="es-ES_tradnl"/>
        </w:rPr>
        <w:t xml:space="preserve">as Penales de la Corte Provincial </w:t>
      </w:r>
      <w:r>
        <w:rPr>
          <w:spacing w:val="-5"/>
          <w:sz w:val="18"/>
          <w:szCs w:val="18"/>
          <w:lang w:val="es-ES_tradnl"/>
        </w:rPr>
        <w:t xml:space="preserve">de Justicia de Pichincha, mediante auto del 09 de enero </w:t>
      </w:r>
      <w:r>
        <w:rPr>
          <w:spacing w:val="-7"/>
          <w:sz w:val="18"/>
          <w:szCs w:val="18"/>
          <w:lang w:val="es-ES_tradnl"/>
        </w:rPr>
        <w:t xml:space="preserve">de 2012. Al respecto, la Sala a fojas 72 del expediente de </w:t>
      </w:r>
      <w:r>
        <w:rPr>
          <w:sz w:val="18"/>
          <w:szCs w:val="18"/>
          <w:lang w:val="es-ES_tradnl"/>
        </w:rPr>
        <w:t>apelaci</w:t>
      </w:r>
      <w:r>
        <w:rPr>
          <w:rFonts w:cs="Times New Roman"/>
          <w:sz w:val="18"/>
          <w:szCs w:val="18"/>
          <w:lang w:val="es-ES_tradnl"/>
        </w:rPr>
        <w:t>ó</w:t>
      </w:r>
      <w:r>
        <w:rPr>
          <w:sz w:val="18"/>
          <w:szCs w:val="18"/>
          <w:lang w:val="es-ES_tradnl"/>
        </w:rPr>
        <w:t>n, expresamente se</w:t>
      </w:r>
      <w:r>
        <w:rPr>
          <w:rFonts w:cs="Times New Roman"/>
          <w:sz w:val="18"/>
          <w:szCs w:val="18"/>
          <w:lang w:val="es-ES_tradnl"/>
        </w:rPr>
        <w:t>ñ</w:t>
      </w:r>
      <w:r>
        <w:rPr>
          <w:sz w:val="18"/>
          <w:szCs w:val="18"/>
          <w:lang w:val="es-ES_tradnl"/>
        </w:rPr>
        <w:t>al</w:t>
      </w:r>
      <w:r>
        <w:rPr>
          <w:rFonts w:cs="Times New Roman"/>
          <w:sz w:val="18"/>
          <w:szCs w:val="18"/>
          <w:lang w:val="es-ES_tradnl"/>
        </w:rPr>
        <w:t>ó</w:t>
      </w:r>
      <w:r>
        <w:rPr>
          <w:sz w:val="18"/>
          <w:szCs w:val="18"/>
          <w:lang w:val="es-ES_tradnl"/>
        </w:rPr>
        <w:t>:</w:t>
      </w:r>
    </w:p>
    <w:p w14:paraId="4F67B3B3" w14:textId="77777777" w:rsidR="00591D54" w:rsidRDefault="00591D54">
      <w:pPr>
        <w:shd w:val="clear" w:color="auto" w:fill="FFFFFF"/>
        <w:spacing w:before="206" w:line="221" w:lineRule="exact"/>
        <w:ind w:left="283" w:right="5"/>
        <w:jc w:val="both"/>
      </w:pPr>
      <w:r>
        <w:rPr>
          <w:spacing w:val="-6"/>
          <w:sz w:val="16"/>
          <w:szCs w:val="16"/>
          <w:lang w:val="es-ES_tradnl"/>
        </w:rPr>
        <w:t>(</w:t>
      </w:r>
      <w:r>
        <w:rPr>
          <w:rFonts w:cs="Times New Roman"/>
          <w:spacing w:val="-6"/>
          <w:sz w:val="16"/>
          <w:szCs w:val="16"/>
          <w:lang w:val="es-ES_tradnl"/>
        </w:rPr>
        <w:t>…</w:t>
      </w:r>
      <w:r>
        <w:rPr>
          <w:spacing w:val="-6"/>
          <w:sz w:val="16"/>
          <w:szCs w:val="16"/>
          <w:lang w:val="es-ES_tradnl"/>
        </w:rPr>
        <w:t xml:space="preserve">) la mentada sentencia dentro de este proceso fue dictada </w:t>
      </w:r>
      <w:r>
        <w:rPr>
          <w:spacing w:val="-8"/>
          <w:sz w:val="16"/>
          <w:szCs w:val="16"/>
          <w:lang w:val="es-ES_tradnl"/>
        </w:rPr>
        <w:t>el d</w:t>
      </w:r>
      <w:r>
        <w:rPr>
          <w:rFonts w:cs="Times New Roman"/>
          <w:spacing w:val="-8"/>
          <w:sz w:val="16"/>
          <w:szCs w:val="16"/>
          <w:lang w:val="es-ES_tradnl"/>
        </w:rPr>
        <w:t>í</w:t>
      </w:r>
      <w:r>
        <w:rPr>
          <w:spacing w:val="-8"/>
          <w:sz w:val="16"/>
          <w:szCs w:val="16"/>
          <w:lang w:val="es-ES_tradnl"/>
        </w:rPr>
        <w:t>a 8 de diciembre del 2011, a las 16h35 y notificada seg</w:t>
      </w:r>
      <w:r>
        <w:rPr>
          <w:rFonts w:cs="Times New Roman"/>
          <w:spacing w:val="-8"/>
          <w:sz w:val="16"/>
          <w:szCs w:val="16"/>
          <w:lang w:val="es-ES_tradnl"/>
        </w:rPr>
        <w:t>ú</w:t>
      </w:r>
      <w:r>
        <w:rPr>
          <w:spacing w:val="-8"/>
          <w:sz w:val="16"/>
          <w:szCs w:val="16"/>
          <w:lang w:val="es-ES_tradnl"/>
        </w:rPr>
        <w:t xml:space="preserve">n </w:t>
      </w:r>
      <w:r>
        <w:rPr>
          <w:spacing w:val="-4"/>
          <w:sz w:val="16"/>
          <w:szCs w:val="16"/>
          <w:lang w:val="es-ES_tradnl"/>
        </w:rPr>
        <w:t>consta en autos el d</w:t>
      </w:r>
      <w:r>
        <w:rPr>
          <w:rFonts w:cs="Times New Roman"/>
          <w:spacing w:val="-4"/>
          <w:sz w:val="16"/>
          <w:szCs w:val="16"/>
          <w:lang w:val="es-ES_tradnl"/>
        </w:rPr>
        <w:t>í</w:t>
      </w:r>
      <w:r>
        <w:rPr>
          <w:spacing w:val="-4"/>
          <w:sz w:val="16"/>
          <w:szCs w:val="16"/>
          <w:lang w:val="es-ES_tradnl"/>
        </w:rPr>
        <w:t xml:space="preserve">a 9 de diciembre del 2011, la solicitud </w:t>
      </w:r>
      <w:r>
        <w:rPr>
          <w:spacing w:val="-6"/>
          <w:sz w:val="16"/>
          <w:szCs w:val="16"/>
          <w:lang w:val="es-ES_tradnl"/>
        </w:rPr>
        <w:t>de aclaraci</w:t>
      </w:r>
      <w:r>
        <w:rPr>
          <w:rFonts w:cs="Times New Roman"/>
          <w:spacing w:val="-6"/>
          <w:sz w:val="16"/>
          <w:szCs w:val="16"/>
          <w:lang w:val="es-ES_tradnl"/>
        </w:rPr>
        <w:t>ó</w:t>
      </w:r>
      <w:r>
        <w:rPr>
          <w:spacing w:val="-6"/>
          <w:sz w:val="16"/>
          <w:szCs w:val="16"/>
          <w:lang w:val="es-ES_tradnl"/>
        </w:rPr>
        <w:t>n y ampliaci</w:t>
      </w:r>
      <w:r>
        <w:rPr>
          <w:rFonts w:cs="Times New Roman"/>
          <w:spacing w:val="-6"/>
          <w:sz w:val="16"/>
          <w:szCs w:val="16"/>
          <w:lang w:val="es-ES_tradnl"/>
        </w:rPr>
        <w:t>ó</w:t>
      </w:r>
      <w:r>
        <w:rPr>
          <w:spacing w:val="-6"/>
          <w:sz w:val="16"/>
          <w:szCs w:val="16"/>
          <w:lang w:val="es-ES_tradnl"/>
        </w:rPr>
        <w:t xml:space="preserve">n realizada por el compareciente </w:t>
      </w:r>
      <w:r>
        <w:rPr>
          <w:spacing w:val="-1"/>
          <w:sz w:val="16"/>
          <w:szCs w:val="16"/>
          <w:lang w:val="es-ES_tradnl"/>
        </w:rPr>
        <w:t>presentada el d</w:t>
      </w:r>
      <w:r>
        <w:rPr>
          <w:rFonts w:cs="Times New Roman"/>
          <w:spacing w:val="-1"/>
          <w:sz w:val="16"/>
          <w:szCs w:val="16"/>
          <w:lang w:val="es-ES_tradnl"/>
        </w:rPr>
        <w:t>í</w:t>
      </w:r>
      <w:r>
        <w:rPr>
          <w:spacing w:val="-1"/>
          <w:sz w:val="16"/>
          <w:szCs w:val="16"/>
          <w:lang w:val="es-ES_tradnl"/>
        </w:rPr>
        <w:t xml:space="preserve">a 13 de diciembre del 2011, es decir al </w:t>
      </w:r>
      <w:r>
        <w:rPr>
          <w:spacing w:val="-7"/>
          <w:sz w:val="16"/>
          <w:szCs w:val="16"/>
          <w:lang w:val="es-ES_tradnl"/>
        </w:rPr>
        <w:t>cuarto d</w:t>
      </w:r>
      <w:r>
        <w:rPr>
          <w:rFonts w:cs="Times New Roman"/>
          <w:spacing w:val="-7"/>
          <w:sz w:val="16"/>
          <w:szCs w:val="16"/>
          <w:lang w:val="es-ES_tradnl"/>
        </w:rPr>
        <w:t>í</w:t>
      </w:r>
      <w:r>
        <w:rPr>
          <w:spacing w:val="-7"/>
          <w:sz w:val="16"/>
          <w:szCs w:val="16"/>
          <w:lang w:val="es-ES_tradnl"/>
        </w:rPr>
        <w:t xml:space="preserve">a de haberse notificado la sentencia, </w:t>
      </w:r>
      <w:r>
        <w:rPr>
          <w:b/>
          <w:bCs/>
          <w:spacing w:val="-7"/>
          <w:sz w:val="16"/>
          <w:szCs w:val="16"/>
          <w:lang w:val="es-ES_tradnl"/>
        </w:rPr>
        <w:t xml:space="preserve">no existiendo </w:t>
      </w:r>
      <w:r>
        <w:rPr>
          <w:b/>
          <w:bCs/>
          <w:spacing w:val="-6"/>
          <w:sz w:val="16"/>
          <w:szCs w:val="16"/>
          <w:lang w:val="es-ES_tradnl"/>
        </w:rPr>
        <w:t>en nuestra legislaci</w:t>
      </w:r>
      <w:r>
        <w:rPr>
          <w:rFonts w:cs="Times New Roman"/>
          <w:b/>
          <w:bCs/>
          <w:spacing w:val="-6"/>
          <w:sz w:val="16"/>
          <w:szCs w:val="16"/>
          <w:lang w:val="es-ES_tradnl"/>
        </w:rPr>
        <w:t>ó</w:t>
      </w:r>
      <w:r>
        <w:rPr>
          <w:b/>
          <w:bCs/>
          <w:spacing w:val="-6"/>
          <w:sz w:val="16"/>
          <w:szCs w:val="16"/>
          <w:lang w:val="es-ES_tradnl"/>
        </w:rPr>
        <w:t>n [penal] la aclaraci</w:t>
      </w:r>
      <w:r>
        <w:rPr>
          <w:rFonts w:cs="Times New Roman"/>
          <w:b/>
          <w:bCs/>
          <w:spacing w:val="-6"/>
          <w:sz w:val="16"/>
          <w:szCs w:val="16"/>
          <w:lang w:val="es-ES_tradnl"/>
        </w:rPr>
        <w:t>ó</w:t>
      </w:r>
      <w:r>
        <w:rPr>
          <w:b/>
          <w:bCs/>
          <w:spacing w:val="-6"/>
          <w:sz w:val="16"/>
          <w:szCs w:val="16"/>
          <w:lang w:val="es-ES_tradnl"/>
        </w:rPr>
        <w:t>n y ampliaci</w:t>
      </w:r>
      <w:r>
        <w:rPr>
          <w:rFonts w:cs="Times New Roman"/>
          <w:b/>
          <w:bCs/>
          <w:spacing w:val="-6"/>
          <w:sz w:val="16"/>
          <w:szCs w:val="16"/>
          <w:lang w:val="es-ES_tradnl"/>
        </w:rPr>
        <w:t>ó</w:t>
      </w:r>
      <w:r>
        <w:rPr>
          <w:b/>
          <w:bCs/>
          <w:spacing w:val="-6"/>
          <w:sz w:val="16"/>
          <w:szCs w:val="16"/>
          <w:lang w:val="es-ES_tradnl"/>
        </w:rPr>
        <w:t xml:space="preserve">n </w:t>
      </w:r>
      <w:r>
        <w:rPr>
          <w:b/>
          <w:bCs/>
          <w:spacing w:val="-8"/>
          <w:sz w:val="16"/>
          <w:szCs w:val="16"/>
          <w:lang w:val="es-ES_tradnl"/>
        </w:rPr>
        <w:t>como un recurso horizontal dicha petici</w:t>
      </w:r>
      <w:r>
        <w:rPr>
          <w:rFonts w:cs="Times New Roman"/>
          <w:b/>
          <w:bCs/>
          <w:spacing w:val="-8"/>
          <w:sz w:val="16"/>
          <w:szCs w:val="16"/>
          <w:lang w:val="es-ES_tradnl"/>
        </w:rPr>
        <w:t>ó</w:t>
      </w:r>
      <w:r>
        <w:rPr>
          <w:b/>
          <w:bCs/>
          <w:spacing w:val="-8"/>
          <w:sz w:val="16"/>
          <w:szCs w:val="16"/>
          <w:lang w:val="es-ES_tradnl"/>
        </w:rPr>
        <w:t>n pod</w:t>
      </w:r>
      <w:r>
        <w:rPr>
          <w:rFonts w:cs="Times New Roman"/>
          <w:b/>
          <w:bCs/>
          <w:spacing w:val="-8"/>
          <w:sz w:val="16"/>
          <w:szCs w:val="16"/>
          <w:lang w:val="es-ES_tradnl"/>
        </w:rPr>
        <w:t>í</w:t>
      </w:r>
      <w:r>
        <w:rPr>
          <w:b/>
          <w:bCs/>
          <w:spacing w:val="-8"/>
          <w:sz w:val="16"/>
          <w:szCs w:val="16"/>
          <w:lang w:val="es-ES_tradnl"/>
        </w:rPr>
        <w:t xml:space="preserve">a realizarla </w:t>
      </w:r>
      <w:r>
        <w:rPr>
          <w:b/>
          <w:bCs/>
          <w:spacing w:val="-10"/>
          <w:sz w:val="16"/>
          <w:szCs w:val="16"/>
          <w:lang w:val="es-ES_tradnl"/>
        </w:rPr>
        <w:t xml:space="preserve">hasta el 12 de diciembre del 2011, tal cual lo dispone la Ley, </w:t>
      </w:r>
      <w:r>
        <w:rPr>
          <w:b/>
          <w:bCs/>
          <w:spacing w:val="-9"/>
          <w:sz w:val="16"/>
          <w:szCs w:val="16"/>
          <w:lang w:val="es-ES_tradnl"/>
        </w:rPr>
        <w:t>por estas consideraciones la Sala, por extempor</w:t>
      </w:r>
      <w:r>
        <w:rPr>
          <w:rFonts w:cs="Times New Roman"/>
          <w:b/>
          <w:bCs/>
          <w:spacing w:val="-9"/>
          <w:sz w:val="16"/>
          <w:szCs w:val="16"/>
          <w:lang w:val="es-ES_tradnl"/>
        </w:rPr>
        <w:t>á</w:t>
      </w:r>
      <w:r>
        <w:rPr>
          <w:b/>
          <w:bCs/>
          <w:spacing w:val="-9"/>
          <w:sz w:val="16"/>
          <w:szCs w:val="16"/>
          <w:lang w:val="es-ES_tradnl"/>
        </w:rPr>
        <w:t xml:space="preserve">nea [sic] </w:t>
      </w:r>
      <w:r>
        <w:rPr>
          <w:b/>
          <w:bCs/>
          <w:spacing w:val="-6"/>
          <w:sz w:val="16"/>
          <w:szCs w:val="16"/>
          <w:lang w:val="es-ES_tradnl"/>
        </w:rPr>
        <w:t>desestima y niega la solicitud (</w:t>
      </w:r>
      <w:r>
        <w:rPr>
          <w:rFonts w:cs="Times New Roman"/>
          <w:b/>
          <w:bCs/>
          <w:spacing w:val="-6"/>
          <w:sz w:val="16"/>
          <w:szCs w:val="16"/>
          <w:lang w:val="es-ES_tradnl"/>
        </w:rPr>
        <w:t>…</w:t>
      </w:r>
      <w:r>
        <w:rPr>
          <w:b/>
          <w:bCs/>
          <w:spacing w:val="-6"/>
          <w:sz w:val="16"/>
          <w:szCs w:val="16"/>
          <w:lang w:val="es-ES_tradnl"/>
        </w:rPr>
        <w:t>)</w:t>
      </w:r>
      <w:r>
        <w:rPr>
          <w:spacing w:val="-6"/>
          <w:sz w:val="16"/>
          <w:szCs w:val="16"/>
          <w:lang w:val="es-ES_tradnl"/>
        </w:rPr>
        <w:t>. (</w:t>
      </w:r>
      <w:r>
        <w:rPr>
          <w:rFonts w:cs="Times New Roman"/>
          <w:spacing w:val="-6"/>
          <w:sz w:val="16"/>
          <w:szCs w:val="16"/>
          <w:lang w:val="es-ES_tradnl"/>
        </w:rPr>
        <w:t>É</w:t>
      </w:r>
      <w:r>
        <w:rPr>
          <w:spacing w:val="-6"/>
          <w:sz w:val="16"/>
          <w:szCs w:val="16"/>
          <w:lang w:val="es-ES_tradnl"/>
        </w:rPr>
        <w:t xml:space="preserve">nfasis fuera del texto </w:t>
      </w:r>
      <w:r>
        <w:rPr>
          <w:sz w:val="16"/>
          <w:szCs w:val="16"/>
          <w:lang w:val="es-ES_tradnl"/>
        </w:rPr>
        <w:t>original).</w:t>
      </w:r>
    </w:p>
    <w:p w14:paraId="4F67B3B4" w14:textId="77777777" w:rsidR="00591D54" w:rsidRDefault="00591D54">
      <w:pPr>
        <w:shd w:val="clear" w:color="auto" w:fill="FFFFFF"/>
        <w:spacing w:before="206" w:line="221" w:lineRule="exact"/>
        <w:jc w:val="both"/>
      </w:pPr>
      <w:r>
        <w:rPr>
          <w:spacing w:val="-6"/>
          <w:sz w:val="18"/>
          <w:szCs w:val="18"/>
          <w:lang w:val="es-ES_tradnl"/>
        </w:rPr>
        <w:t>Ante esta decisi</w:t>
      </w:r>
      <w:r>
        <w:rPr>
          <w:rFonts w:cs="Times New Roman"/>
          <w:spacing w:val="-6"/>
          <w:sz w:val="18"/>
          <w:szCs w:val="18"/>
          <w:lang w:val="es-ES_tradnl"/>
        </w:rPr>
        <w:t>ó</w:t>
      </w:r>
      <w:r>
        <w:rPr>
          <w:spacing w:val="-6"/>
          <w:sz w:val="18"/>
          <w:szCs w:val="18"/>
          <w:lang w:val="es-ES_tradnl"/>
        </w:rPr>
        <w:t xml:space="preserve">n, mediante escrito del 12 de enero de 2012, el doctor Manuel Gonzalo Quillupangui Ninahualpa </w:t>
      </w:r>
      <w:r>
        <w:rPr>
          <w:spacing w:val="-5"/>
          <w:sz w:val="18"/>
          <w:szCs w:val="18"/>
          <w:lang w:val="es-ES_tradnl"/>
        </w:rPr>
        <w:t>solicit</w:t>
      </w:r>
      <w:r>
        <w:rPr>
          <w:rFonts w:cs="Times New Roman"/>
          <w:spacing w:val="-5"/>
          <w:sz w:val="18"/>
          <w:szCs w:val="18"/>
          <w:lang w:val="es-ES_tradnl"/>
        </w:rPr>
        <w:t>ó</w:t>
      </w:r>
      <w:r>
        <w:rPr>
          <w:spacing w:val="-5"/>
          <w:sz w:val="18"/>
          <w:szCs w:val="18"/>
          <w:lang w:val="es-ES_tradnl"/>
        </w:rPr>
        <w:t xml:space="preserve"> la revocatoria del auto de negativa antedicho y la </w:t>
      </w:r>
      <w:r>
        <w:rPr>
          <w:spacing w:val="-6"/>
          <w:sz w:val="18"/>
          <w:szCs w:val="18"/>
          <w:lang w:val="es-ES_tradnl"/>
        </w:rPr>
        <w:t>consecuente pronunciaci</w:t>
      </w:r>
      <w:r>
        <w:rPr>
          <w:rFonts w:cs="Times New Roman"/>
          <w:spacing w:val="-6"/>
          <w:sz w:val="18"/>
          <w:szCs w:val="18"/>
          <w:lang w:val="es-ES_tradnl"/>
        </w:rPr>
        <w:t>ó</w:t>
      </w:r>
      <w:r>
        <w:rPr>
          <w:spacing w:val="-6"/>
          <w:sz w:val="18"/>
          <w:szCs w:val="18"/>
          <w:lang w:val="es-ES_tradnl"/>
        </w:rPr>
        <w:t>n sobre el fondo de su petici</w:t>
      </w:r>
      <w:r>
        <w:rPr>
          <w:rFonts w:cs="Times New Roman"/>
          <w:spacing w:val="-6"/>
          <w:sz w:val="18"/>
          <w:szCs w:val="18"/>
          <w:lang w:val="es-ES_tradnl"/>
        </w:rPr>
        <w:t>ó</w:t>
      </w:r>
      <w:r>
        <w:rPr>
          <w:spacing w:val="-6"/>
          <w:sz w:val="18"/>
          <w:szCs w:val="18"/>
          <w:lang w:val="es-ES_tradnl"/>
        </w:rPr>
        <w:t xml:space="preserve">n </w:t>
      </w:r>
      <w:r>
        <w:rPr>
          <w:spacing w:val="-4"/>
          <w:sz w:val="18"/>
          <w:szCs w:val="18"/>
          <w:lang w:val="es-ES_tradnl"/>
        </w:rPr>
        <w:t>de aclaraci</w:t>
      </w:r>
      <w:r>
        <w:rPr>
          <w:rFonts w:cs="Times New Roman"/>
          <w:spacing w:val="-4"/>
          <w:sz w:val="18"/>
          <w:szCs w:val="18"/>
          <w:lang w:val="es-ES_tradnl"/>
        </w:rPr>
        <w:t>ó</w:t>
      </w:r>
      <w:r>
        <w:rPr>
          <w:spacing w:val="-4"/>
          <w:sz w:val="18"/>
          <w:szCs w:val="18"/>
          <w:lang w:val="es-ES_tradnl"/>
        </w:rPr>
        <w:t>n y ampliaci</w:t>
      </w:r>
      <w:r>
        <w:rPr>
          <w:rFonts w:cs="Times New Roman"/>
          <w:spacing w:val="-4"/>
          <w:sz w:val="18"/>
          <w:szCs w:val="18"/>
          <w:lang w:val="es-ES_tradnl"/>
        </w:rPr>
        <w:t>ó</w:t>
      </w:r>
      <w:r>
        <w:rPr>
          <w:spacing w:val="-4"/>
          <w:sz w:val="18"/>
          <w:szCs w:val="18"/>
          <w:lang w:val="es-ES_tradnl"/>
        </w:rPr>
        <w:t>n; dicha solicitud fue tambi</w:t>
      </w:r>
      <w:r>
        <w:rPr>
          <w:rFonts w:cs="Times New Roman"/>
          <w:spacing w:val="-4"/>
          <w:sz w:val="18"/>
          <w:szCs w:val="18"/>
          <w:lang w:val="es-ES_tradnl"/>
        </w:rPr>
        <w:t>é</w:t>
      </w:r>
      <w:r>
        <w:rPr>
          <w:spacing w:val="-4"/>
          <w:sz w:val="18"/>
          <w:szCs w:val="18"/>
          <w:lang w:val="es-ES_tradnl"/>
        </w:rPr>
        <w:t xml:space="preserve">n </w:t>
      </w:r>
      <w:r>
        <w:rPr>
          <w:spacing w:val="-9"/>
          <w:sz w:val="18"/>
          <w:szCs w:val="18"/>
          <w:lang w:val="es-ES_tradnl"/>
        </w:rPr>
        <w:t>negada mediante auto del 17 de enero de 2012.</w:t>
      </w:r>
    </w:p>
    <w:p w14:paraId="4F67B3B5" w14:textId="77777777" w:rsidR="00591D54" w:rsidRDefault="00591D54">
      <w:pPr>
        <w:shd w:val="clear" w:color="auto" w:fill="FFFFFF"/>
        <w:spacing w:before="202" w:line="221" w:lineRule="exact"/>
        <w:jc w:val="both"/>
      </w:pPr>
      <w:r>
        <w:rPr>
          <w:spacing w:val="-13"/>
          <w:sz w:val="18"/>
          <w:szCs w:val="18"/>
          <w:lang w:val="es-ES_tradnl"/>
        </w:rPr>
        <w:t>Finalmente, el 20 de enero de 2012, esto es, tres d</w:t>
      </w:r>
      <w:r>
        <w:rPr>
          <w:rFonts w:cs="Times New Roman"/>
          <w:spacing w:val="-13"/>
          <w:sz w:val="18"/>
          <w:szCs w:val="18"/>
          <w:lang w:val="es-ES_tradnl"/>
        </w:rPr>
        <w:t>í</w:t>
      </w:r>
      <w:r>
        <w:rPr>
          <w:spacing w:val="-13"/>
          <w:sz w:val="18"/>
          <w:szCs w:val="18"/>
          <w:lang w:val="es-ES_tradnl"/>
        </w:rPr>
        <w:t>as despu</w:t>
      </w:r>
      <w:r>
        <w:rPr>
          <w:rFonts w:cs="Times New Roman"/>
          <w:spacing w:val="-13"/>
          <w:sz w:val="18"/>
          <w:szCs w:val="18"/>
          <w:lang w:val="es-ES_tradnl"/>
        </w:rPr>
        <w:t>é</w:t>
      </w:r>
      <w:r>
        <w:rPr>
          <w:spacing w:val="-13"/>
          <w:sz w:val="18"/>
          <w:szCs w:val="18"/>
          <w:lang w:val="es-ES_tradnl"/>
        </w:rPr>
        <w:t xml:space="preserve">s </w:t>
      </w:r>
      <w:r>
        <w:rPr>
          <w:spacing w:val="-5"/>
          <w:sz w:val="18"/>
          <w:szCs w:val="18"/>
          <w:lang w:val="es-ES_tradnl"/>
        </w:rPr>
        <w:t>de la notificaci</w:t>
      </w:r>
      <w:r>
        <w:rPr>
          <w:rFonts w:cs="Times New Roman"/>
          <w:spacing w:val="-5"/>
          <w:sz w:val="18"/>
          <w:szCs w:val="18"/>
          <w:lang w:val="es-ES_tradnl"/>
        </w:rPr>
        <w:t>ó</w:t>
      </w:r>
      <w:r>
        <w:rPr>
          <w:spacing w:val="-5"/>
          <w:sz w:val="18"/>
          <w:szCs w:val="18"/>
          <w:lang w:val="es-ES_tradnl"/>
        </w:rPr>
        <w:t xml:space="preserve">n con la negativa de revocatoria del auto </w:t>
      </w:r>
      <w:r>
        <w:rPr>
          <w:spacing w:val="-6"/>
          <w:sz w:val="18"/>
          <w:szCs w:val="18"/>
          <w:lang w:val="es-ES_tradnl"/>
        </w:rPr>
        <w:t>en menci</w:t>
      </w:r>
      <w:r>
        <w:rPr>
          <w:rFonts w:cs="Times New Roman"/>
          <w:spacing w:val="-6"/>
          <w:sz w:val="18"/>
          <w:szCs w:val="18"/>
          <w:lang w:val="es-ES_tradnl"/>
        </w:rPr>
        <w:t>ó</w:t>
      </w:r>
      <w:r>
        <w:rPr>
          <w:spacing w:val="-6"/>
          <w:sz w:val="18"/>
          <w:szCs w:val="18"/>
          <w:lang w:val="es-ES_tradnl"/>
        </w:rPr>
        <w:t xml:space="preserve">n, el doctor Quillupangui Ninahualpa interpuso </w:t>
      </w:r>
      <w:r>
        <w:rPr>
          <w:spacing w:val="-9"/>
          <w:sz w:val="18"/>
          <w:szCs w:val="18"/>
          <w:lang w:val="es-ES_tradnl"/>
        </w:rPr>
        <w:t>recurso de casaci</w:t>
      </w:r>
      <w:r>
        <w:rPr>
          <w:rFonts w:cs="Times New Roman"/>
          <w:spacing w:val="-9"/>
          <w:sz w:val="18"/>
          <w:szCs w:val="18"/>
          <w:lang w:val="es-ES_tradnl"/>
        </w:rPr>
        <w:t>ó</w:t>
      </w:r>
      <w:r>
        <w:rPr>
          <w:spacing w:val="-9"/>
          <w:sz w:val="18"/>
          <w:szCs w:val="18"/>
          <w:lang w:val="es-ES_tradnl"/>
        </w:rPr>
        <w:t>n en contra del auto de desestimaci</w:t>
      </w:r>
      <w:r>
        <w:rPr>
          <w:rFonts w:cs="Times New Roman"/>
          <w:spacing w:val="-9"/>
          <w:sz w:val="18"/>
          <w:szCs w:val="18"/>
          <w:lang w:val="es-ES_tradnl"/>
        </w:rPr>
        <w:t>ó</w:t>
      </w:r>
      <w:r>
        <w:rPr>
          <w:spacing w:val="-9"/>
          <w:sz w:val="18"/>
          <w:szCs w:val="18"/>
          <w:lang w:val="es-ES_tradnl"/>
        </w:rPr>
        <w:t xml:space="preserve">n y </w:t>
      </w:r>
      <w:r>
        <w:rPr>
          <w:spacing w:val="-12"/>
          <w:sz w:val="18"/>
          <w:szCs w:val="18"/>
          <w:lang w:val="es-ES_tradnl"/>
        </w:rPr>
        <w:t>negativa dictado por la Tercera Sala de Garant</w:t>
      </w:r>
      <w:r>
        <w:rPr>
          <w:rFonts w:cs="Times New Roman"/>
          <w:spacing w:val="-12"/>
          <w:sz w:val="18"/>
          <w:szCs w:val="18"/>
          <w:lang w:val="es-ES_tradnl"/>
        </w:rPr>
        <w:t>í</w:t>
      </w:r>
      <w:r>
        <w:rPr>
          <w:spacing w:val="-12"/>
          <w:sz w:val="18"/>
          <w:szCs w:val="18"/>
          <w:lang w:val="es-ES_tradnl"/>
        </w:rPr>
        <w:t xml:space="preserve">as Penales de </w:t>
      </w:r>
      <w:r>
        <w:rPr>
          <w:spacing w:val="-7"/>
          <w:sz w:val="18"/>
          <w:szCs w:val="18"/>
          <w:lang w:val="es-ES_tradnl"/>
        </w:rPr>
        <w:t xml:space="preserve">la Corte Provincial de Justicia de Pichincha el 09 de enero </w:t>
      </w:r>
      <w:r>
        <w:rPr>
          <w:sz w:val="18"/>
          <w:szCs w:val="18"/>
          <w:lang w:val="es-ES_tradnl"/>
        </w:rPr>
        <w:t>de 2012.</w:t>
      </w:r>
    </w:p>
    <w:p w14:paraId="4F67B3B6" w14:textId="77777777" w:rsidR="00591D54" w:rsidRDefault="00591D54">
      <w:pPr>
        <w:shd w:val="clear" w:color="auto" w:fill="FFFFFF"/>
        <w:spacing w:before="202" w:line="226" w:lineRule="exact"/>
        <w:ind w:right="5"/>
        <w:jc w:val="both"/>
      </w:pPr>
      <w:r>
        <w:rPr>
          <w:spacing w:val="-4"/>
          <w:sz w:val="18"/>
          <w:szCs w:val="18"/>
          <w:lang w:val="es-ES_tradnl"/>
        </w:rPr>
        <w:t xml:space="preserve">La Sala de lo Penal de la Corte Nacional de Justicia </w:t>
      </w:r>
      <w:r>
        <w:rPr>
          <w:spacing w:val="-6"/>
          <w:sz w:val="18"/>
          <w:szCs w:val="18"/>
          <w:lang w:val="es-ES_tradnl"/>
        </w:rPr>
        <w:t>inadmiti</w:t>
      </w:r>
      <w:r>
        <w:rPr>
          <w:rFonts w:cs="Times New Roman"/>
          <w:spacing w:val="-6"/>
          <w:sz w:val="18"/>
          <w:szCs w:val="18"/>
          <w:lang w:val="es-ES_tradnl"/>
        </w:rPr>
        <w:t>ó</w:t>
      </w:r>
      <w:r>
        <w:rPr>
          <w:spacing w:val="-6"/>
          <w:sz w:val="18"/>
          <w:szCs w:val="18"/>
          <w:lang w:val="es-ES_tradnl"/>
        </w:rPr>
        <w:t xml:space="preserve"> el recurso interpuesto, mediante auto dictado el </w:t>
      </w:r>
      <w:r>
        <w:rPr>
          <w:spacing w:val="-9"/>
          <w:sz w:val="18"/>
          <w:szCs w:val="18"/>
          <w:lang w:val="es-ES_tradnl"/>
        </w:rPr>
        <w:t>12 de junio de 2012, se</w:t>
      </w:r>
      <w:r>
        <w:rPr>
          <w:rFonts w:cs="Times New Roman"/>
          <w:spacing w:val="-9"/>
          <w:sz w:val="18"/>
          <w:szCs w:val="18"/>
          <w:lang w:val="es-ES_tradnl"/>
        </w:rPr>
        <w:t>ñ</w:t>
      </w:r>
      <w:r>
        <w:rPr>
          <w:spacing w:val="-9"/>
          <w:sz w:val="18"/>
          <w:szCs w:val="18"/>
          <w:lang w:val="es-ES_tradnl"/>
        </w:rPr>
        <w:t>alando lo que sigue a continuaci</w:t>
      </w:r>
      <w:r>
        <w:rPr>
          <w:rFonts w:cs="Times New Roman"/>
          <w:spacing w:val="-9"/>
          <w:sz w:val="18"/>
          <w:szCs w:val="18"/>
          <w:lang w:val="es-ES_tradnl"/>
        </w:rPr>
        <w:t>ó</w:t>
      </w:r>
      <w:r>
        <w:rPr>
          <w:spacing w:val="-9"/>
          <w:sz w:val="18"/>
          <w:szCs w:val="18"/>
          <w:lang w:val="es-ES_tradnl"/>
        </w:rPr>
        <w:t>n:</w:t>
      </w:r>
    </w:p>
    <w:p w14:paraId="4F67B3B7" w14:textId="77777777" w:rsidR="00591D54" w:rsidRDefault="00591D54">
      <w:pPr>
        <w:shd w:val="clear" w:color="auto" w:fill="FFFFFF"/>
        <w:spacing w:line="216" w:lineRule="exact"/>
        <w:ind w:left="283"/>
        <w:jc w:val="both"/>
      </w:pPr>
      <w:r>
        <w:br w:type="column"/>
      </w:r>
      <w:r>
        <w:rPr>
          <w:b/>
          <w:bCs/>
          <w:spacing w:val="-1"/>
          <w:sz w:val="16"/>
          <w:szCs w:val="16"/>
          <w:lang w:val="es-ES_tradnl"/>
        </w:rPr>
        <w:t xml:space="preserve">4) </w:t>
      </w:r>
      <w:r>
        <w:rPr>
          <w:spacing w:val="-1"/>
          <w:sz w:val="16"/>
          <w:szCs w:val="16"/>
          <w:lang w:val="es-ES_tradnl"/>
        </w:rPr>
        <w:t>(</w:t>
      </w:r>
      <w:r>
        <w:rPr>
          <w:rFonts w:cs="Times New Roman"/>
          <w:spacing w:val="-1"/>
          <w:sz w:val="16"/>
          <w:szCs w:val="16"/>
          <w:lang w:val="es-ES_tradnl"/>
        </w:rPr>
        <w:t>…</w:t>
      </w:r>
      <w:r>
        <w:rPr>
          <w:spacing w:val="-1"/>
          <w:sz w:val="16"/>
          <w:szCs w:val="16"/>
          <w:lang w:val="es-ES_tradnl"/>
        </w:rPr>
        <w:t>) En relaci</w:t>
      </w:r>
      <w:r>
        <w:rPr>
          <w:rFonts w:cs="Times New Roman"/>
          <w:spacing w:val="-1"/>
          <w:sz w:val="16"/>
          <w:szCs w:val="16"/>
          <w:lang w:val="es-ES_tradnl"/>
        </w:rPr>
        <w:t>ó</w:t>
      </w:r>
      <w:r>
        <w:rPr>
          <w:spacing w:val="-1"/>
          <w:sz w:val="16"/>
          <w:szCs w:val="16"/>
          <w:lang w:val="es-ES_tradnl"/>
        </w:rPr>
        <w:t>n al Recurso de Casaci</w:t>
      </w:r>
      <w:r>
        <w:rPr>
          <w:rFonts w:cs="Times New Roman"/>
          <w:spacing w:val="-1"/>
          <w:sz w:val="16"/>
          <w:szCs w:val="16"/>
          <w:lang w:val="es-ES_tradnl"/>
        </w:rPr>
        <w:t>ó</w:t>
      </w:r>
      <w:r>
        <w:rPr>
          <w:spacing w:val="-1"/>
          <w:sz w:val="16"/>
          <w:szCs w:val="16"/>
          <w:lang w:val="es-ES_tradnl"/>
        </w:rPr>
        <w:t xml:space="preserve">n, conforme al </w:t>
      </w:r>
      <w:r>
        <w:rPr>
          <w:sz w:val="16"/>
          <w:szCs w:val="16"/>
          <w:lang w:val="es-ES_tradnl"/>
        </w:rPr>
        <w:t>Art. 349 del C</w:t>
      </w:r>
      <w:r>
        <w:rPr>
          <w:rFonts w:cs="Times New Roman"/>
          <w:sz w:val="16"/>
          <w:szCs w:val="16"/>
          <w:lang w:val="es-ES_tradnl"/>
        </w:rPr>
        <w:t>ó</w:t>
      </w:r>
      <w:r>
        <w:rPr>
          <w:sz w:val="16"/>
          <w:szCs w:val="16"/>
          <w:lang w:val="es-ES_tradnl"/>
        </w:rPr>
        <w:t xml:space="preserve">digo de Procedimiento Penal: </w:t>
      </w:r>
      <w:r>
        <w:rPr>
          <w:rFonts w:cs="Times New Roman"/>
          <w:sz w:val="16"/>
          <w:szCs w:val="16"/>
          <w:lang w:val="es-ES_tradnl"/>
        </w:rPr>
        <w:t>“</w:t>
      </w:r>
      <w:r>
        <w:rPr>
          <w:sz w:val="16"/>
          <w:szCs w:val="16"/>
          <w:lang w:val="es-ES_tradnl"/>
        </w:rPr>
        <w:t xml:space="preserve">El recurso </w:t>
      </w:r>
      <w:r>
        <w:rPr>
          <w:spacing w:val="-7"/>
          <w:sz w:val="16"/>
          <w:szCs w:val="16"/>
          <w:lang w:val="es-ES_tradnl"/>
        </w:rPr>
        <w:t>de casaci</w:t>
      </w:r>
      <w:r>
        <w:rPr>
          <w:rFonts w:cs="Times New Roman"/>
          <w:spacing w:val="-7"/>
          <w:sz w:val="16"/>
          <w:szCs w:val="16"/>
          <w:lang w:val="es-ES_tradnl"/>
        </w:rPr>
        <w:t>ó</w:t>
      </w:r>
      <w:r>
        <w:rPr>
          <w:spacing w:val="-7"/>
          <w:sz w:val="16"/>
          <w:szCs w:val="16"/>
          <w:lang w:val="es-ES_tradnl"/>
        </w:rPr>
        <w:t>n ser</w:t>
      </w:r>
      <w:r>
        <w:rPr>
          <w:rFonts w:cs="Times New Roman"/>
          <w:spacing w:val="-7"/>
          <w:sz w:val="16"/>
          <w:szCs w:val="16"/>
          <w:lang w:val="es-ES_tradnl"/>
        </w:rPr>
        <w:t>á</w:t>
      </w:r>
      <w:r>
        <w:rPr>
          <w:spacing w:val="-7"/>
          <w:sz w:val="16"/>
          <w:szCs w:val="16"/>
          <w:lang w:val="es-ES_tradnl"/>
        </w:rPr>
        <w:t xml:space="preserve"> procedente para ante la Corte Nacional de </w:t>
      </w:r>
      <w:r>
        <w:rPr>
          <w:spacing w:val="-9"/>
          <w:sz w:val="16"/>
          <w:szCs w:val="16"/>
          <w:lang w:val="es-ES_tradnl"/>
        </w:rPr>
        <w:t xml:space="preserve">Justicia, cuando en la sentencia se hubiera violado la ley, ya por </w:t>
      </w:r>
      <w:r>
        <w:rPr>
          <w:spacing w:val="-6"/>
          <w:sz w:val="16"/>
          <w:szCs w:val="16"/>
          <w:lang w:val="es-ES_tradnl"/>
        </w:rPr>
        <w:t>contravenci</w:t>
      </w:r>
      <w:r>
        <w:rPr>
          <w:rFonts w:cs="Times New Roman"/>
          <w:spacing w:val="-6"/>
          <w:sz w:val="16"/>
          <w:szCs w:val="16"/>
          <w:lang w:val="es-ES_tradnl"/>
        </w:rPr>
        <w:t>ó</w:t>
      </w:r>
      <w:r>
        <w:rPr>
          <w:spacing w:val="-6"/>
          <w:sz w:val="16"/>
          <w:szCs w:val="16"/>
          <w:lang w:val="es-ES_tradnl"/>
        </w:rPr>
        <w:t>n expresa de su texto, por indebida aplicaci</w:t>
      </w:r>
      <w:r>
        <w:rPr>
          <w:rFonts w:cs="Times New Roman"/>
          <w:spacing w:val="-6"/>
          <w:sz w:val="16"/>
          <w:szCs w:val="16"/>
          <w:lang w:val="es-ES_tradnl"/>
        </w:rPr>
        <w:t>ó</w:t>
      </w:r>
      <w:r>
        <w:rPr>
          <w:spacing w:val="-6"/>
          <w:sz w:val="16"/>
          <w:szCs w:val="16"/>
          <w:lang w:val="es-ES_tradnl"/>
        </w:rPr>
        <w:t xml:space="preserve">n o </w:t>
      </w:r>
      <w:r>
        <w:rPr>
          <w:spacing w:val="-7"/>
          <w:sz w:val="16"/>
          <w:szCs w:val="16"/>
          <w:lang w:val="es-ES_tradnl"/>
        </w:rPr>
        <w:t>por err</w:t>
      </w:r>
      <w:r>
        <w:rPr>
          <w:rFonts w:cs="Times New Roman"/>
          <w:spacing w:val="-7"/>
          <w:sz w:val="16"/>
          <w:szCs w:val="16"/>
          <w:lang w:val="es-ES_tradnl"/>
        </w:rPr>
        <w:t>ó</w:t>
      </w:r>
      <w:r>
        <w:rPr>
          <w:spacing w:val="-7"/>
          <w:sz w:val="16"/>
          <w:szCs w:val="16"/>
          <w:lang w:val="es-ES_tradnl"/>
        </w:rPr>
        <w:t>nea interpretaci</w:t>
      </w:r>
      <w:r>
        <w:rPr>
          <w:rFonts w:cs="Times New Roman"/>
          <w:spacing w:val="-7"/>
          <w:sz w:val="16"/>
          <w:szCs w:val="16"/>
          <w:lang w:val="es-ES_tradnl"/>
        </w:rPr>
        <w:t>ó</w:t>
      </w:r>
      <w:r>
        <w:rPr>
          <w:spacing w:val="-7"/>
          <w:sz w:val="16"/>
          <w:szCs w:val="16"/>
          <w:lang w:val="es-ES_tradnl"/>
        </w:rPr>
        <w:t>n</w:t>
      </w:r>
      <w:r>
        <w:rPr>
          <w:rFonts w:cs="Times New Roman"/>
          <w:spacing w:val="-7"/>
          <w:sz w:val="16"/>
          <w:szCs w:val="16"/>
          <w:lang w:val="es-ES_tradnl"/>
        </w:rPr>
        <w:t>”</w:t>
      </w:r>
      <w:r>
        <w:rPr>
          <w:spacing w:val="-7"/>
          <w:sz w:val="16"/>
          <w:szCs w:val="16"/>
          <w:lang w:val="es-ES_tradnl"/>
        </w:rPr>
        <w:t xml:space="preserve"> y se lo podr</w:t>
      </w:r>
      <w:r>
        <w:rPr>
          <w:rFonts w:cs="Times New Roman"/>
          <w:spacing w:val="-7"/>
          <w:sz w:val="16"/>
          <w:szCs w:val="16"/>
          <w:lang w:val="es-ES_tradnl"/>
        </w:rPr>
        <w:t>á</w:t>
      </w:r>
      <w:r>
        <w:rPr>
          <w:spacing w:val="-7"/>
          <w:sz w:val="16"/>
          <w:szCs w:val="16"/>
          <w:lang w:val="es-ES_tradnl"/>
        </w:rPr>
        <w:t xml:space="preserve"> interponer dentro del </w:t>
      </w:r>
      <w:r>
        <w:rPr>
          <w:spacing w:val="-8"/>
          <w:sz w:val="16"/>
          <w:szCs w:val="16"/>
          <w:lang w:val="es-ES_tradnl"/>
        </w:rPr>
        <w:t>t</w:t>
      </w:r>
      <w:r>
        <w:rPr>
          <w:rFonts w:cs="Times New Roman"/>
          <w:spacing w:val="-8"/>
          <w:sz w:val="16"/>
          <w:szCs w:val="16"/>
          <w:lang w:val="es-ES_tradnl"/>
        </w:rPr>
        <w:t>é</w:t>
      </w:r>
      <w:r>
        <w:rPr>
          <w:spacing w:val="-8"/>
          <w:sz w:val="16"/>
          <w:szCs w:val="16"/>
          <w:lang w:val="es-ES_tradnl"/>
        </w:rPr>
        <w:t>rmino de cinco d</w:t>
      </w:r>
      <w:r>
        <w:rPr>
          <w:rFonts w:cs="Times New Roman"/>
          <w:spacing w:val="-8"/>
          <w:sz w:val="16"/>
          <w:szCs w:val="16"/>
          <w:lang w:val="es-ES_tradnl"/>
        </w:rPr>
        <w:t>í</w:t>
      </w:r>
      <w:r>
        <w:rPr>
          <w:spacing w:val="-8"/>
          <w:sz w:val="16"/>
          <w:szCs w:val="16"/>
          <w:lang w:val="es-ES_tradnl"/>
        </w:rPr>
        <w:t>as a partir de la notificaci</w:t>
      </w:r>
      <w:r>
        <w:rPr>
          <w:rFonts w:cs="Times New Roman"/>
          <w:spacing w:val="-8"/>
          <w:sz w:val="16"/>
          <w:szCs w:val="16"/>
          <w:lang w:val="es-ES_tradnl"/>
        </w:rPr>
        <w:t>ó</w:t>
      </w:r>
      <w:r>
        <w:rPr>
          <w:spacing w:val="-8"/>
          <w:sz w:val="16"/>
          <w:szCs w:val="16"/>
          <w:lang w:val="es-ES_tradnl"/>
        </w:rPr>
        <w:t xml:space="preserve">n de la sentencia. </w:t>
      </w:r>
      <w:r>
        <w:rPr>
          <w:spacing w:val="-6"/>
          <w:sz w:val="16"/>
          <w:szCs w:val="16"/>
          <w:lang w:val="es-ES_tradnl"/>
        </w:rPr>
        <w:t xml:space="preserve">En consecuencia, corresponde al Juzgador verificar si en la </w:t>
      </w:r>
      <w:r>
        <w:rPr>
          <w:spacing w:val="-7"/>
          <w:sz w:val="16"/>
          <w:szCs w:val="16"/>
          <w:lang w:val="es-ES_tradnl"/>
        </w:rPr>
        <w:t xml:space="preserve">especie se ha cumplido o no, con este mandamiento legal. El </w:t>
      </w:r>
      <w:r>
        <w:rPr>
          <w:rFonts w:cs="Times New Roman"/>
          <w:spacing w:val="-6"/>
          <w:sz w:val="16"/>
          <w:szCs w:val="16"/>
          <w:lang w:val="es-ES_tradnl"/>
        </w:rPr>
        <w:t>Ó</w:t>
      </w:r>
      <w:r>
        <w:rPr>
          <w:spacing w:val="-6"/>
          <w:sz w:val="16"/>
          <w:szCs w:val="16"/>
          <w:lang w:val="es-ES_tradnl"/>
        </w:rPr>
        <w:t>rgano Judicial que dict</w:t>
      </w:r>
      <w:r>
        <w:rPr>
          <w:rFonts w:cs="Times New Roman"/>
          <w:spacing w:val="-6"/>
          <w:sz w:val="16"/>
          <w:szCs w:val="16"/>
          <w:lang w:val="es-ES_tradnl"/>
        </w:rPr>
        <w:t>ó</w:t>
      </w:r>
      <w:r>
        <w:rPr>
          <w:spacing w:val="-6"/>
          <w:sz w:val="16"/>
          <w:szCs w:val="16"/>
          <w:lang w:val="es-ES_tradnl"/>
        </w:rPr>
        <w:t xml:space="preserve"> la sentencia, esto es, el Tribunal </w:t>
      </w:r>
      <w:r>
        <w:rPr>
          <w:spacing w:val="-4"/>
          <w:sz w:val="16"/>
          <w:szCs w:val="16"/>
          <w:lang w:val="es-ES_tradnl"/>
        </w:rPr>
        <w:t>inferior debi</w:t>
      </w:r>
      <w:r>
        <w:rPr>
          <w:rFonts w:cs="Times New Roman"/>
          <w:spacing w:val="-4"/>
          <w:sz w:val="16"/>
          <w:szCs w:val="16"/>
          <w:lang w:val="es-ES_tradnl"/>
        </w:rPr>
        <w:t>ó</w:t>
      </w:r>
      <w:r>
        <w:rPr>
          <w:spacing w:val="-4"/>
          <w:sz w:val="16"/>
          <w:szCs w:val="16"/>
          <w:lang w:val="es-ES_tradnl"/>
        </w:rPr>
        <w:t xml:space="preserve"> verificar si el recurso de casaci</w:t>
      </w:r>
      <w:r>
        <w:rPr>
          <w:rFonts w:cs="Times New Roman"/>
          <w:spacing w:val="-4"/>
          <w:sz w:val="16"/>
          <w:szCs w:val="16"/>
          <w:lang w:val="es-ES_tradnl"/>
        </w:rPr>
        <w:t>ó</w:t>
      </w:r>
      <w:r>
        <w:rPr>
          <w:spacing w:val="-4"/>
          <w:sz w:val="16"/>
          <w:szCs w:val="16"/>
          <w:lang w:val="es-ES_tradnl"/>
        </w:rPr>
        <w:t xml:space="preserve">n interpuesto </w:t>
      </w:r>
      <w:r>
        <w:rPr>
          <w:spacing w:val="-6"/>
          <w:sz w:val="16"/>
          <w:szCs w:val="16"/>
          <w:lang w:val="es-ES_tradnl"/>
        </w:rPr>
        <w:t xml:space="preserve">a fojas 78 del cuaderno formado en la Tercera Sala Penal de la Corte Provincial de Justicia, se encontraba interpuesto en </w:t>
      </w:r>
      <w:r>
        <w:rPr>
          <w:spacing w:val="-5"/>
          <w:sz w:val="16"/>
          <w:szCs w:val="16"/>
          <w:lang w:val="es-ES_tradnl"/>
        </w:rPr>
        <w:t xml:space="preserve">debida forma. </w:t>
      </w:r>
      <w:r>
        <w:rPr>
          <w:b/>
          <w:bCs/>
          <w:spacing w:val="-5"/>
          <w:sz w:val="16"/>
          <w:szCs w:val="16"/>
          <w:lang w:val="es-ES_tradnl"/>
        </w:rPr>
        <w:t xml:space="preserve">4) </w:t>
      </w:r>
      <w:r>
        <w:rPr>
          <w:spacing w:val="-5"/>
          <w:sz w:val="16"/>
          <w:szCs w:val="16"/>
          <w:lang w:val="es-ES_tradnl"/>
        </w:rPr>
        <w:t xml:space="preserve">[sic] </w:t>
      </w:r>
      <w:r>
        <w:rPr>
          <w:b/>
          <w:bCs/>
          <w:spacing w:val="-5"/>
          <w:sz w:val="16"/>
          <w:szCs w:val="16"/>
          <w:lang w:val="es-ES_tradnl"/>
        </w:rPr>
        <w:t xml:space="preserve">Este Tribunal, al revisar el proceso </w:t>
      </w:r>
      <w:r>
        <w:rPr>
          <w:b/>
          <w:bCs/>
          <w:spacing w:val="-10"/>
          <w:sz w:val="16"/>
          <w:szCs w:val="16"/>
          <w:lang w:val="es-ES_tradnl"/>
        </w:rPr>
        <w:t>respecto del recurso de casaci</w:t>
      </w:r>
      <w:r>
        <w:rPr>
          <w:rFonts w:cs="Times New Roman"/>
          <w:b/>
          <w:bCs/>
          <w:spacing w:val="-10"/>
          <w:sz w:val="16"/>
          <w:szCs w:val="16"/>
          <w:lang w:val="es-ES_tradnl"/>
        </w:rPr>
        <w:t>ó</w:t>
      </w:r>
      <w:r>
        <w:rPr>
          <w:b/>
          <w:bCs/>
          <w:spacing w:val="-10"/>
          <w:sz w:val="16"/>
          <w:szCs w:val="16"/>
          <w:lang w:val="es-ES_tradnl"/>
        </w:rPr>
        <w:t xml:space="preserve">n interpuesto el 20 de enero </w:t>
      </w:r>
      <w:r>
        <w:rPr>
          <w:b/>
          <w:bCs/>
          <w:spacing w:val="-9"/>
          <w:sz w:val="16"/>
          <w:szCs w:val="16"/>
          <w:lang w:val="es-ES_tradnl"/>
        </w:rPr>
        <w:t xml:space="preserve">de 2012 a las 15h25, considera que ha sido interpuesto de </w:t>
      </w:r>
      <w:r>
        <w:rPr>
          <w:b/>
          <w:bCs/>
          <w:spacing w:val="-8"/>
          <w:sz w:val="16"/>
          <w:szCs w:val="16"/>
          <w:lang w:val="es-ES_tradnl"/>
        </w:rPr>
        <w:t>modo extempor</w:t>
      </w:r>
      <w:r>
        <w:rPr>
          <w:rFonts w:cs="Times New Roman"/>
          <w:b/>
          <w:bCs/>
          <w:spacing w:val="-8"/>
          <w:sz w:val="16"/>
          <w:szCs w:val="16"/>
          <w:lang w:val="es-ES_tradnl"/>
        </w:rPr>
        <w:t>á</w:t>
      </w:r>
      <w:r>
        <w:rPr>
          <w:b/>
          <w:bCs/>
          <w:spacing w:val="-8"/>
          <w:sz w:val="16"/>
          <w:szCs w:val="16"/>
          <w:lang w:val="es-ES_tradnl"/>
        </w:rPr>
        <w:t xml:space="preserve">neo e indebidamente concedido, por lo </w:t>
      </w:r>
      <w:r>
        <w:rPr>
          <w:b/>
          <w:bCs/>
          <w:spacing w:val="-9"/>
          <w:sz w:val="16"/>
          <w:szCs w:val="16"/>
          <w:lang w:val="es-ES_tradnl"/>
        </w:rPr>
        <w:t>tanto se lo niega y se ordena la devoluci</w:t>
      </w:r>
      <w:r>
        <w:rPr>
          <w:rFonts w:cs="Times New Roman"/>
          <w:b/>
          <w:bCs/>
          <w:spacing w:val="-9"/>
          <w:sz w:val="16"/>
          <w:szCs w:val="16"/>
          <w:lang w:val="es-ES_tradnl"/>
        </w:rPr>
        <w:t>ó</w:t>
      </w:r>
      <w:r>
        <w:rPr>
          <w:b/>
          <w:bCs/>
          <w:spacing w:val="-9"/>
          <w:sz w:val="16"/>
          <w:szCs w:val="16"/>
          <w:lang w:val="es-ES_tradnl"/>
        </w:rPr>
        <w:t xml:space="preserve">n del proceso al </w:t>
      </w:r>
      <w:r>
        <w:rPr>
          <w:b/>
          <w:bCs/>
          <w:spacing w:val="-5"/>
          <w:sz w:val="16"/>
          <w:szCs w:val="16"/>
          <w:lang w:val="es-ES_tradnl"/>
        </w:rPr>
        <w:t>Tribunal de origen</w:t>
      </w:r>
      <w:r>
        <w:rPr>
          <w:spacing w:val="-5"/>
          <w:sz w:val="16"/>
          <w:szCs w:val="16"/>
          <w:lang w:val="es-ES_tradnl"/>
        </w:rPr>
        <w:t>. (</w:t>
      </w:r>
      <w:r>
        <w:rPr>
          <w:rFonts w:cs="Times New Roman"/>
          <w:spacing w:val="-5"/>
          <w:sz w:val="16"/>
          <w:szCs w:val="16"/>
          <w:lang w:val="es-ES_tradnl"/>
        </w:rPr>
        <w:t>É</w:t>
      </w:r>
      <w:r>
        <w:rPr>
          <w:spacing w:val="-5"/>
          <w:sz w:val="16"/>
          <w:szCs w:val="16"/>
          <w:lang w:val="es-ES_tradnl"/>
        </w:rPr>
        <w:t>nfasis fuera del texto original).</w:t>
      </w:r>
    </w:p>
    <w:p w14:paraId="4F67B3B8" w14:textId="77777777" w:rsidR="00591D54" w:rsidRDefault="00591D54">
      <w:pPr>
        <w:shd w:val="clear" w:color="auto" w:fill="FFFFFF"/>
        <w:spacing w:before="202" w:line="216" w:lineRule="exact"/>
        <w:jc w:val="both"/>
      </w:pPr>
      <w:r>
        <w:rPr>
          <w:spacing w:val="-4"/>
          <w:sz w:val="18"/>
          <w:szCs w:val="18"/>
          <w:lang w:val="es-ES_tradnl"/>
        </w:rPr>
        <w:t>Adem</w:t>
      </w:r>
      <w:r>
        <w:rPr>
          <w:rFonts w:cs="Times New Roman"/>
          <w:spacing w:val="-4"/>
          <w:sz w:val="18"/>
          <w:szCs w:val="18"/>
          <w:lang w:val="es-ES_tradnl"/>
        </w:rPr>
        <w:t>á</w:t>
      </w:r>
      <w:r>
        <w:rPr>
          <w:spacing w:val="-4"/>
          <w:sz w:val="18"/>
          <w:szCs w:val="18"/>
          <w:lang w:val="es-ES_tradnl"/>
        </w:rPr>
        <w:t xml:space="preserve">s, concretamente, respecto de la solicitud de </w:t>
      </w:r>
      <w:r>
        <w:rPr>
          <w:spacing w:val="-6"/>
          <w:sz w:val="18"/>
          <w:szCs w:val="18"/>
          <w:lang w:val="es-ES_tradnl"/>
        </w:rPr>
        <w:t>aclaraci</w:t>
      </w:r>
      <w:r>
        <w:rPr>
          <w:rFonts w:cs="Times New Roman"/>
          <w:spacing w:val="-6"/>
          <w:sz w:val="18"/>
          <w:szCs w:val="18"/>
          <w:lang w:val="es-ES_tradnl"/>
        </w:rPr>
        <w:t>ó</w:t>
      </w:r>
      <w:r>
        <w:rPr>
          <w:spacing w:val="-6"/>
          <w:sz w:val="18"/>
          <w:szCs w:val="18"/>
          <w:lang w:val="es-ES_tradnl"/>
        </w:rPr>
        <w:t>n y ampliaci</w:t>
      </w:r>
      <w:r>
        <w:rPr>
          <w:rFonts w:cs="Times New Roman"/>
          <w:spacing w:val="-6"/>
          <w:sz w:val="18"/>
          <w:szCs w:val="18"/>
          <w:lang w:val="es-ES_tradnl"/>
        </w:rPr>
        <w:t>ó</w:t>
      </w:r>
      <w:r>
        <w:rPr>
          <w:spacing w:val="-6"/>
          <w:sz w:val="18"/>
          <w:szCs w:val="18"/>
          <w:lang w:val="es-ES_tradnl"/>
        </w:rPr>
        <w:t xml:space="preserve">n, la Sala de lo Penal de la Corte </w:t>
      </w:r>
      <w:r>
        <w:rPr>
          <w:sz w:val="18"/>
          <w:szCs w:val="18"/>
          <w:lang w:val="es-ES_tradnl"/>
        </w:rPr>
        <w:t>Nacional de Justicia en su auto, expres</w:t>
      </w:r>
      <w:r>
        <w:rPr>
          <w:rFonts w:cs="Times New Roman"/>
          <w:sz w:val="18"/>
          <w:szCs w:val="18"/>
          <w:lang w:val="es-ES_tradnl"/>
        </w:rPr>
        <w:t>ó</w:t>
      </w:r>
      <w:r>
        <w:rPr>
          <w:sz w:val="18"/>
          <w:szCs w:val="18"/>
          <w:lang w:val="es-ES_tradnl"/>
        </w:rPr>
        <w:t>:</w:t>
      </w:r>
    </w:p>
    <w:p w14:paraId="4F67B3B9" w14:textId="77777777" w:rsidR="00591D54" w:rsidRDefault="00591D54">
      <w:pPr>
        <w:shd w:val="clear" w:color="auto" w:fill="FFFFFF"/>
        <w:spacing w:before="202" w:line="216" w:lineRule="exact"/>
        <w:ind w:left="283"/>
        <w:jc w:val="both"/>
      </w:pPr>
      <w:r>
        <w:rPr>
          <w:b/>
          <w:bCs/>
          <w:spacing w:val="-7"/>
          <w:sz w:val="16"/>
          <w:szCs w:val="16"/>
          <w:lang w:val="es-ES_tradnl"/>
        </w:rPr>
        <w:t xml:space="preserve">1) </w:t>
      </w:r>
      <w:r>
        <w:rPr>
          <w:spacing w:val="-7"/>
          <w:sz w:val="16"/>
          <w:szCs w:val="16"/>
          <w:lang w:val="es-ES_tradnl"/>
        </w:rPr>
        <w:t xml:space="preserve">Todo recurso debe ser presentado dentro del tiempo legal, </w:t>
      </w:r>
      <w:r>
        <w:rPr>
          <w:spacing w:val="-5"/>
          <w:sz w:val="16"/>
          <w:szCs w:val="16"/>
          <w:lang w:val="es-ES_tradnl"/>
        </w:rPr>
        <w:t>despu</w:t>
      </w:r>
      <w:r>
        <w:rPr>
          <w:rFonts w:cs="Times New Roman"/>
          <w:spacing w:val="-5"/>
          <w:sz w:val="16"/>
          <w:szCs w:val="16"/>
          <w:lang w:val="es-ES_tradnl"/>
        </w:rPr>
        <w:t>é</w:t>
      </w:r>
      <w:r>
        <w:rPr>
          <w:spacing w:val="-5"/>
          <w:sz w:val="16"/>
          <w:szCs w:val="16"/>
          <w:lang w:val="es-ES_tradnl"/>
        </w:rPr>
        <w:t>s de dictada la resoluci</w:t>
      </w:r>
      <w:r>
        <w:rPr>
          <w:rFonts w:cs="Times New Roman"/>
          <w:spacing w:val="-5"/>
          <w:sz w:val="16"/>
          <w:szCs w:val="16"/>
          <w:lang w:val="es-ES_tradnl"/>
        </w:rPr>
        <w:t>ó</w:t>
      </w:r>
      <w:r>
        <w:rPr>
          <w:spacing w:val="-5"/>
          <w:sz w:val="16"/>
          <w:szCs w:val="16"/>
          <w:lang w:val="es-ES_tradnl"/>
        </w:rPr>
        <w:t>n, en cuanto a las peticiones de aclaraci</w:t>
      </w:r>
      <w:r>
        <w:rPr>
          <w:rFonts w:cs="Times New Roman"/>
          <w:spacing w:val="-5"/>
          <w:sz w:val="16"/>
          <w:szCs w:val="16"/>
          <w:lang w:val="es-ES_tradnl"/>
        </w:rPr>
        <w:t>ó</w:t>
      </w:r>
      <w:r>
        <w:rPr>
          <w:spacing w:val="-5"/>
          <w:sz w:val="16"/>
          <w:szCs w:val="16"/>
          <w:lang w:val="es-ES_tradnl"/>
        </w:rPr>
        <w:t>n y ampliaci</w:t>
      </w:r>
      <w:r>
        <w:rPr>
          <w:rFonts w:cs="Times New Roman"/>
          <w:spacing w:val="-5"/>
          <w:sz w:val="16"/>
          <w:szCs w:val="16"/>
          <w:lang w:val="es-ES_tradnl"/>
        </w:rPr>
        <w:t>ó</w:t>
      </w:r>
      <w:r>
        <w:rPr>
          <w:spacing w:val="-5"/>
          <w:sz w:val="16"/>
          <w:szCs w:val="16"/>
          <w:lang w:val="es-ES_tradnl"/>
        </w:rPr>
        <w:t>n, conforme el Art. 6 del C</w:t>
      </w:r>
      <w:r>
        <w:rPr>
          <w:rFonts w:cs="Times New Roman"/>
          <w:spacing w:val="-5"/>
          <w:sz w:val="16"/>
          <w:szCs w:val="16"/>
          <w:lang w:val="es-ES_tradnl"/>
        </w:rPr>
        <w:t>ó</w:t>
      </w:r>
      <w:r>
        <w:rPr>
          <w:spacing w:val="-5"/>
          <w:sz w:val="16"/>
          <w:szCs w:val="16"/>
          <w:lang w:val="es-ES_tradnl"/>
        </w:rPr>
        <w:t>digo de Procedimiento Civil [sic] respecto al tr</w:t>
      </w:r>
      <w:r>
        <w:rPr>
          <w:rFonts w:cs="Times New Roman"/>
          <w:spacing w:val="-5"/>
          <w:sz w:val="16"/>
          <w:szCs w:val="16"/>
          <w:lang w:val="es-ES_tradnl"/>
        </w:rPr>
        <w:t>á</w:t>
      </w:r>
      <w:r>
        <w:rPr>
          <w:spacing w:val="-5"/>
          <w:sz w:val="16"/>
          <w:szCs w:val="16"/>
          <w:lang w:val="es-ES_tradnl"/>
        </w:rPr>
        <w:t xml:space="preserve">mite de los procesos </w:t>
      </w:r>
      <w:r>
        <w:rPr>
          <w:spacing w:val="-9"/>
          <w:sz w:val="16"/>
          <w:szCs w:val="16"/>
          <w:lang w:val="es-ES_tradnl"/>
        </w:rPr>
        <w:t>penales y la pr</w:t>
      </w:r>
      <w:r>
        <w:rPr>
          <w:rFonts w:cs="Times New Roman"/>
          <w:spacing w:val="-9"/>
          <w:sz w:val="16"/>
          <w:szCs w:val="16"/>
          <w:lang w:val="es-ES_tradnl"/>
        </w:rPr>
        <w:t>á</w:t>
      </w:r>
      <w:r>
        <w:rPr>
          <w:spacing w:val="-9"/>
          <w:sz w:val="16"/>
          <w:szCs w:val="16"/>
          <w:lang w:val="es-ES_tradnl"/>
        </w:rPr>
        <w:t>ctica de los actos procesales, son h</w:t>
      </w:r>
      <w:r>
        <w:rPr>
          <w:rFonts w:cs="Times New Roman"/>
          <w:spacing w:val="-9"/>
          <w:sz w:val="16"/>
          <w:szCs w:val="16"/>
          <w:lang w:val="es-ES_tradnl"/>
        </w:rPr>
        <w:t>á</w:t>
      </w:r>
      <w:r>
        <w:rPr>
          <w:spacing w:val="-9"/>
          <w:sz w:val="16"/>
          <w:szCs w:val="16"/>
          <w:lang w:val="es-ES_tradnl"/>
        </w:rPr>
        <w:t>biles todos los d</w:t>
      </w:r>
      <w:r>
        <w:rPr>
          <w:rFonts w:cs="Times New Roman"/>
          <w:spacing w:val="-9"/>
          <w:sz w:val="16"/>
          <w:szCs w:val="16"/>
          <w:lang w:val="es-ES_tradnl"/>
        </w:rPr>
        <w:t>í</w:t>
      </w:r>
      <w:r>
        <w:rPr>
          <w:spacing w:val="-9"/>
          <w:sz w:val="16"/>
          <w:szCs w:val="16"/>
          <w:lang w:val="es-ES_tradnl"/>
        </w:rPr>
        <w:t>as y horas, excepto en lo que se refiere a la interposici</w:t>
      </w:r>
      <w:r>
        <w:rPr>
          <w:rFonts w:cs="Times New Roman"/>
          <w:spacing w:val="-9"/>
          <w:sz w:val="16"/>
          <w:szCs w:val="16"/>
          <w:lang w:val="es-ES_tradnl"/>
        </w:rPr>
        <w:t>ó</w:t>
      </w:r>
      <w:r>
        <w:rPr>
          <w:spacing w:val="-9"/>
          <w:sz w:val="16"/>
          <w:szCs w:val="16"/>
          <w:lang w:val="es-ES_tradnl"/>
        </w:rPr>
        <w:t xml:space="preserve">n y </w:t>
      </w:r>
      <w:r>
        <w:rPr>
          <w:spacing w:val="-6"/>
          <w:sz w:val="16"/>
          <w:szCs w:val="16"/>
          <w:lang w:val="es-ES_tradnl"/>
        </w:rPr>
        <w:t>fundamentaci</w:t>
      </w:r>
      <w:r>
        <w:rPr>
          <w:rFonts w:cs="Times New Roman"/>
          <w:spacing w:val="-6"/>
          <w:sz w:val="16"/>
          <w:szCs w:val="16"/>
          <w:lang w:val="es-ES_tradnl"/>
        </w:rPr>
        <w:t>ó</w:t>
      </w:r>
      <w:r>
        <w:rPr>
          <w:spacing w:val="-6"/>
          <w:sz w:val="16"/>
          <w:szCs w:val="16"/>
          <w:lang w:val="es-ES_tradnl"/>
        </w:rPr>
        <w:t xml:space="preserve">n de recursos. </w:t>
      </w:r>
      <w:r>
        <w:rPr>
          <w:b/>
          <w:bCs/>
          <w:spacing w:val="-6"/>
          <w:sz w:val="16"/>
          <w:szCs w:val="16"/>
          <w:lang w:val="es-ES_tradnl"/>
        </w:rPr>
        <w:t xml:space="preserve">2) </w:t>
      </w:r>
      <w:r>
        <w:rPr>
          <w:spacing w:val="-6"/>
          <w:sz w:val="16"/>
          <w:szCs w:val="16"/>
          <w:lang w:val="es-ES_tradnl"/>
        </w:rPr>
        <w:t xml:space="preserve">En materia civil, se considera </w:t>
      </w:r>
      <w:r>
        <w:rPr>
          <w:spacing w:val="-5"/>
          <w:sz w:val="16"/>
          <w:szCs w:val="16"/>
          <w:lang w:val="es-ES_tradnl"/>
        </w:rPr>
        <w:t>a la aclaraci</w:t>
      </w:r>
      <w:r>
        <w:rPr>
          <w:rFonts w:cs="Times New Roman"/>
          <w:spacing w:val="-5"/>
          <w:sz w:val="16"/>
          <w:szCs w:val="16"/>
          <w:lang w:val="es-ES_tradnl"/>
        </w:rPr>
        <w:t>ó</w:t>
      </w:r>
      <w:r>
        <w:rPr>
          <w:spacing w:val="-5"/>
          <w:sz w:val="16"/>
          <w:szCs w:val="16"/>
          <w:lang w:val="es-ES_tradnl"/>
        </w:rPr>
        <w:t>n y ampliaci</w:t>
      </w:r>
      <w:r>
        <w:rPr>
          <w:rFonts w:cs="Times New Roman"/>
          <w:spacing w:val="-5"/>
          <w:sz w:val="16"/>
          <w:szCs w:val="16"/>
          <w:lang w:val="es-ES_tradnl"/>
        </w:rPr>
        <w:t>ó</w:t>
      </w:r>
      <w:r>
        <w:rPr>
          <w:spacing w:val="-5"/>
          <w:sz w:val="16"/>
          <w:szCs w:val="16"/>
          <w:lang w:val="es-ES_tradnl"/>
        </w:rPr>
        <w:t xml:space="preserve">n como recursos horizontales, </w:t>
      </w:r>
      <w:r>
        <w:rPr>
          <w:spacing w:val="-6"/>
          <w:sz w:val="16"/>
          <w:szCs w:val="16"/>
          <w:lang w:val="es-ES_tradnl"/>
        </w:rPr>
        <w:t>consideraci</w:t>
      </w:r>
      <w:r>
        <w:rPr>
          <w:rFonts w:cs="Times New Roman"/>
          <w:spacing w:val="-6"/>
          <w:sz w:val="16"/>
          <w:szCs w:val="16"/>
          <w:lang w:val="es-ES_tradnl"/>
        </w:rPr>
        <w:t>ó</w:t>
      </w:r>
      <w:r>
        <w:rPr>
          <w:spacing w:val="-6"/>
          <w:sz w:val="16"/>
          <w:szCs w:val="16"/>
          <w:lang w:val="es-ES_tradnl"/>
        </w:rPr>
        <w:t xml:space="preserve">n que no es aplicable en materia penal. </w:t>
      </w:r>
      <w:r>
        <w:rPr>
          <w:b/>
          <w:bCs/>
          <w:spacing w:val="-6"/>
          <w:sz w:val="16"/>
          <w:szCs w:val="16"/>
          <w:lang w:val="es-ES_tradnl"/>
        </w:rPr>
        <w:t xml:space="preserve">Por </w:t>
      </w:r>
      <w:r>
        <w:rPr>
          <w:b/>
          <w:bCs/>
          <w:spacing w:val="-7"/>
          <w:sz w:val="16"/>
          <w:szCs w:val="16"/>
          <w:lang w:val="es-ES_tradnl"/>
        </w:rPr>
        <w:t>consiguiente, para interponer la solicitud de aclaraci</w:t>
      </w:r>
      <w:r>
        <w:rPr>
          <w:rFonts w:cs="Times New Roman"/>
          <w:b/>
          <w:bCs/>
          <w:spacing w:val="-7"/>
          <w:sz w:val="16"/>
          <w:szCs w:val="16"/>
          <w:lang w:val="es-ES_tradnl"/>
        </w:rPr>
        <w:t>ó</w:t>
      </w:r>
      <w:r>
        <w:rPr>
          <w:b/>
          <w:bCs/>
          <w:spacing w:val="-7"/>
          <w:sz w:val="16"/>
          <w:szCs w:val="16"/>
          <w:lang w:val="es-ES_tradnl"/>
        </w:rPr>
        <w:t xml:space="preserve">n y </w:t>
      </w:r>
      <w:r>
        <w:rPr>
          <w:b/>
          <w:bCs/>
          <w:spacing w:val="-6"/>
          <w:sz w:val="16"/>
          <w:szCs w:val="16"/>
          <w:lang w:val="es-ES_tradnl"/>
        </w:rPr>
        <w:t>ampliaci</w:t>
      </w:r>
      <w:r>
        <w:rPr>
          <w:rFonts w:cs="Times New Roman"/>
          <w:b/>
          <w:bCs/>
          <w:spacing w:val="-6"/>
          <w:sz w:val="16"/>
          <w:szCs w:val="16"/>
          <w:lang w:val="es-ES_tradnl"/>
        </w:rPr>
        <w:t>ó</w:t>
      </w:r>
      <w:r>
        <w:rPr>
          <w:b/>
          <w:bCs/>
          <w:spacing w:val="-6"/>
          <w:sz w:val="16"/>
          <w:szCs w:val="16"/>
          <w:lang w:val="es-ES_tradnl"/>
        </w:rPr>
        <w:t>n, la ley faculta hacerlo dentro de tres d</w:t>
      </w:r>
      <w:r>
        <w:rPr>
          <w:rFonts w:cs="Times New Roman"/>
          <w:b/>
          <w:bCs/>
          <w:spacing w:val="-6"/>
          <w:sz w:val="16"/>
          <w:szCs w:val="16"/>
          <w:lang w:val="es-ES_tradnl"/>
        </w:rPr>
        <w:t>í</w:t>
      </w:r>
      <w:r>
        <w:rPr>
          <w:b/>
          <w:bCs/>
          <w:spacing w:val="-6"/>
          <w:sz w:val="16"/>
          <w:szCs w:val="16"/>
          <w:lang w:val="es-ES_tradnl"/>
        </w:rPr>
        <w:t xml:space="preserve">as de </w:t>
      </w:r>
      <w:r>
        <w:rPr>
          <w:b/>
          <w:bCs/>
          <w:spacing w:val="-8"/>
          <w:sz w:val="16"/>
          <w:szCs w:val="16"/>
          <w:lang w:val="es-ES_tradnl"/>
        </w:rPr>
        <w:t>notificada la resoluci</w:t>
      </w:r>
      <w:r>
        <w:rPr>
          <w:rFonts w:cs="Times New Roman"/>
          <w:b/>
          <w:bCs/>
          <w:spacing w:val="-8"/>
          <w:sz w:val="16"/>
          <w:szCs w:val="16"/>
          <w:lang w:val="es-ES_tradnl"/>
        </w:rPr>
        <w:t>ó</w:t>
      </w:r>
      <w:r>
        <w:rPr>
          <w:b/>
          <w:bCs/>
          <w:spacing w:val="-8"/>
          <w:sz w:val="16"/>
          <w:szCs w:val="16"/>
          <w:lang w:val="es-ES_tradnl"/>
        </w:rPr>
        <w:t xml:space="preserve">n, y en el presente caso, al haberse </w:t>
      </w:r>
      <w:r>
        <w:rPr>
          <w:b/>
          <w:bCs/>
          <w:spacing w:val="-7"/>
          <w:sz w:val="16"/>
          <w:szCs w:val="16"/>
          <w:lang w:val="es-ES_tradnl"/>
        </w:rPr>
        <w:t>notificado la resoluci</w:t>
      </w:r>
      <w:r>
        <w:rPr>
          <w:rFonts w:cs="Times New Roman"/>
          <w:b/>
          <w:bCs/>
          <w:spacing w:val="-7"/>
          <w:sz w:val="16"/>
          <w:szCs w:val="16"/>
          <w:lang w:val="es-ES_tradnl"/>
        </w:rPr>
        <w:t>ó</w:t>
      </w:r>
      <w:r>
        <w:rPr>
          <w:b/>
          <w:bCs/>
          <w:spacing w:val="-7"/>
          <w:sz w:val="16"/>
          <w:szCs w:val="16"/>
          <w:lang w:val="es-ES_tradnl"/>
        </w:rPr>
        <w:t xml:space="preserve">n el viernes 9 de diciembre de 2011 </w:t>
      </w:r>
      <w:r>
        <w:rPr>
          <w:b/>
          <w:bCs/>
          <w:spacing w:val="-5"/>
          <w:sz w:val="16"/>
          <w:szCs w:val="16"/>
          <w:lang w:val="es-ES_tradnl"/>
        </w:rPr>
        <w:t xml:space="preserve">y al haber el querellante Manuel Gonzalo Quillupangui </w:t>
      </w:r>
      <w:r>
        <w:rPr>
          <w:b/>
          <w:bCs/>
          <w:spacing w:val="-4"/>
          <w:sz w:val="16"/>
          <w:szCs w:val="16"/>
          <w:lang w:val="es-ES_tradnl"/>
        </w:rPr>
        <w:t>Ninahualpa presentado su petici</w:t>
      </w:r>
      <w:r>
        <w:rPr>
          <w:rFonts w:cs="Times New Roman"/>
          <w:b/>
          <w:bCs/>
          <w:spacing w:val="-4"/>
          <w:sz w:val="16"/>
          <w:szCs w:val="16"/>
          <w:lang w:val="es-ES_tradnl"/>
        </w:rPr>
        <w:t>ó</w:t>
      </w:r>
      <w:r>
        <w:rPr>
          <w:b/>
          <w:bCs/>
          <w:spacing w:val="-4"/>
          <w:sz w:val="16"/>
          <w:szCs w:val="16"/>
          <w:lang w:val="es-ES_tradnl"/>
        </w:rPr>
        <w:t>n el cuarto d</w:t>
      </w:r>
      <w:r>
        <w:rPr>
          <w:rFonts w:cs="Times New Roman"/>
          <w:b/>
          <w:bCs/>
          <w:spacing w:val="-4"/>
          <w:sz w:val="16"/>
          <w:szCs w:val="16"/>
          <w:lang w:val="es-ES_tradnl"/>
        </w:rPr>
        <w:t>í</w:t>
      </w:r>
      <w:r>
        <w:rPr>
          <w:b/>
          <w:bCs/>
          <w:spacing w:val="-4"/>
          <w:sz w:val="16"/>
          <w:szCs w:val="16"/>
          <w:lang w:val="es-ES_tradnl"/>
        </w:rPr>
        <w:t xml:space="preserve">a, luego </w:t>
      </w:r>
      <w:r>
        <w:rPr>
          <w:b/>
          <w:bCs/>
          <w:spacing w:val="-8"/>
          <w:sz w:val="16"/>
          <w:szCs w:val="16"/>
          <w:lang w:val="es-ES_tradnl"/>
        </w:rPr>
        <w:t>de la notificaci</w:t>
      </w:r>
      <w:r>
        <w:rPr>
          <w:rFonts w:cs="Times New Roman"/>
          <w:b/>
          <w:bCs/>
          <w:spacing w:val="-8"/>
          <w:sz w:val="16"/>
          <w:szCs w:val="16"/>
          <w:lang w:val="es-ES_tradnl"/>
        </w:rPr>
        <w:t>ó</w:t>
      </w:r>
      <w:r>
        <w:rPr>
          <w:b/>
          <w:bCs/>
          <w:spacing w:val="-8"/>
          <w:sz w:val="16"/>
          <w:szCs w:val="16"/>
          <w:lang w:val="es-ES_tradnl"/>
        </w:rPr>
        <w:t xml:space="preserve">n, </w:t>
      </w:r>
      <w:r>
        <w:rPr>
          <w:rFonts w:cs="Times New Roman"/>
          <w:b/>
          <w:bCs/>
          <w:spacing w:val="-8"/>
          <w:sz w:val="16"/>
          <w:szCs w:val="16"/>
          <w:lang w:val="es-ES_tradnl"/>
        </w:rPr>
        <w:t>é</w:t>
      </w:r>
      <w:r>
        <w:rPr>
          <w:b/>
          <w:bCs/>
          <w:spacing w:val="-8"/>
          <w:sz w:val="16"/>
          <w:szCs w:val="16"/>
          <w:lang w:val="es-ES_tradnl"/>
        </w:rPr>
        <w:t>sta es extempor</w:t>
      </w:r>
      <w:r>
        <w:rPr>
          <w:rFonts w:cs="Times New Roman"/>
          <w:b/>
          <w:bCs/>
          <w:spacing w:val="-8"/>
          <w:sz w:val="16"/>
          <w:szCs w:val="16"/>
          <w:lang w:val="es-ES_tradnl"/>
        </w:rPr>
        <w:t>á</w:t>
      </w:r>
      <w:r>
        <w:rPr>
          <w:b/>
          <w:bCs/>
          <w:spacing w:val="-8"/>
          <w:sz w:val="16"/>
          <w:szCs w:val="16"/>
          <w:lang w:val="es-ES_tradnl"/>
        </w:rPr>
        <w:t>nea</w:t>
      </w:r>
      <w:r>
        <w:rPr>
          <w:spacing w:val="-8"/>
          <w:sz w:val="16"/>
          <w:szCs w:val="16"/>
          <w:lang w:val="es-ES_tradnl"/>
        </w:rPr>
        <w:t>. (</w:t>
      </w:r>
      <w:r>
        <w:rPr>
          <w:rFonts w:cs="Times New Roman"/>
          <w:spacing w:val="-8"/>
          <w:sz w:val="16"/>
          <w:szCs w:val="16"/>
          <w:lang w:val="es-ES_tradnl"/>
        </w:rPr>
        <w:t>É</w:t>
      </w:r>
      <w:r>
        <w:rPr>
          <w:spacing w:val="-8"/>
          <w:sz w:val="16"/>
          <w:szCs w:val="16"/>
          <w:lang w:val="es-ES_tradnl"/>
        </w:rPr>
        <w:t xml:space="preserve">nfasis fuera del </w:t>
      </w:r>
      <w:r>
        <w:rPr>
          <w:sz w:val="16"/>
          <w:szCs w:val="16"/>
          <w:lang w:val="es-ES_tradnl"/>
        </w:rPr>
        <w:t>texto original).</w:t>
      </w:r>
    </w:p>
    <w:p w14:paraId="4F67B3BA" w14:textId="77777777" w:rsidR="00591D54" w:rsidRDefault="00591D54">
      <w:pPr>
        <w:shd w:val="clear" w:color="auto" w:fill="FFFFFF"/>
        <w:spacing w:before="202" w:line="216" w:lineRule="exact"/>
        <w:jc w:val="both"/>
      </w:pPr>
      <w:r>
        <w:rPr>
          <w:spacing w:val="-7"/>
          <w:sz w:val="18"/>
          <w:szCs w:val="18"/>
          <w:lang w:val="es-ES_tradnl"/>
        </w:rPr>
        <w:t>Dicho esto, pese a que formalmente podr</w:t>
      </w:r>
      <w:r>
        <w:rPr>
          <w:rFonts w:cs="Times New Roman"/>
          <w:spacing w:val="-7"/>
          <w:sz w:val="18"/>
          <w:szCs w:val="18"/>
          <w:lang w:val="es-ES_tradnl"/>
        </w:rPr>
        <w:t>í</w:t>
      </w:r>
      <w:r>
        <w:rPr>
          <w:spacing w:val="-7"/>
          <w:sz w:val="18"/>
          <w:szCs w:val="18"/>
          <w:lang w:val="es-ES_tradnl"/>
        </w:rPr>
        <w:t xml:space="preserve">a considerarse </w:t>
      </w:r>
      <w:r>
        <w:rPr>
          <w:spacing w:val="-5"/>
          <w:sz w:val="18"/>
          <w:szCs w:val="18"/>
          <w:lang w:val="es-ES_tradnl"/>
        </w:rPr>
        <w:t xml:space="preserve">que el accionante pudo ejercitar su derecho a la defensa </w:t>
      </w:r>
      <w:r>
        <w:rPr>
          <w:sz w:val="18"/>
          <w:szCs w:val="18"/>
          <w:lang w:val="es-ES_tradnl"/>
        </w:rPr>
        <w:t xml:space="preserve">y su derecho a acceder a los </w:t>
      </w:r>
      <w:r>
        <w:rPr>
          <w:rFonts w:cs="Times New Roman"/>
          <w:sz w:val="18"/>
          <w:szCs w:val="18"/>
          <w:lang w:val="es-ES_tradnl"/>
        </w:rPr>
        <w:t>ó</w:t>
      </w:r>
      <w:r>
        <w:rPr>
          <w:sz w:val="18"/>
          <w:szCs w:val="18"/>
          <w:lang w:val="es-ES_tradnl"/>
        </w:rPr>
        <w:t xml:space="preserve">rganos de justicia en </w:t>
      </w:r>
      <w:r>
        <w:rPr>
          <w:spacing w:val="-7"/>
          <w:sz w:val="18"/>
          <w:szCs w:val="18"/>
          <w:lang w:val="es-ES_tradnl"/>
        </w:rPr>
        <w:t>todo momento, esta Corte proceder</w:t>
      </w:r>
      <w:r>
        <w:rPr>
          <w:rFonts w:cs="Times New Roman"/>
          <w:spacing w:val="-7"/>
          <w:sz w:val="18"/>
          <w:szCs w:val="18"/>
          <w:lang w:val="es-ES_tradnl"/>
        </w:rPr>
        <w:t>á</w:t>
      </w:r>
      <w:r>
        <w:rPr>
          <w:spacing w:val="-7"/>
          <w:sz w:val="18"/>
          <w:szCs w:val="18"/>
          <w:lang w:val="es-ES_tradnl"/>
        </w:rPr>
        <w:t xml:space="preserve"> a determinar si la inadmisi</w:t>
      </w:r>
      <w:r>
        <w:rPr>
          <w:rFonts w:cs="Times New Roman"/>
          <w:spacing w:val="-7"/>
          <w:sz w:val="18"/>
          <w:szCs w:val="18"/>
          <w:lang w:val="es-ES_tradnl"/>
        </w:rPr>
        <w:t>ó</w:t>
      </w:r>
      <w:r>
        <w:rPr>
          <w:spacing w:val="-7"/>
          <w:sz w:val="18"/>
          <w:szCs w:val="18"/>
          <w:lang w:val="es-ES_tradnl"/>
        </w:rPr>
        <w:t>n a su recurso de casaci</w:t>
      </w:r>
      <w:r>
        <w:rPr>
          <w:rFonts w:cs="Times New Roman"/>
          <w:spacing w:val="-7"/>
          <w:sz w:val="18"/>
          <w:szCs w:val="18"/>
          <w:lang w:val="es-ES_tradnl"/>
        </w:rPr>
        <w:t>ó</w:t>
      </w:r>
      <w:r>
        <w:rPr>
          <w:spacing w:val="-7"/>
          <w:sz w:val="18"/>
          <w:szCs w:val="18"/>
          <w:lang w:val="es-ES_tradnl"/>
        </w:rPr>
        <w:t>n por extempor</w:t>
      </w:r>
      <w:r>
        <w:rPr>
          <w:rFonts w:cs="Times New Roman"/>
          <w:spacing w:val="-7"/>
          <w:sz w:val="18"/>
          <w:szCs w:val="18"/>
          <w:lang w:val="es-ES_tradnl"/>
        </w:rPr>
        <w:t>á</w:t>
      </w:r>
      <w:r>
        <w:rPr>
          <w:spacing w:val="-7"/>
          <w:sz w:val="18"/>
          <w:szCs w:val="18"/>
          <w:lang w:val="es-ES_tradnl"/>
        </w:rPr>
        <w:t xml:space="preserve">neo, </w:t>
      </w:r>
      <w:r>
        <w:rPr>
          <w:spacing w:val="-11"/>
          <w:sz w:val="18"/>
          <w:szCs w:val="18"/>
          <w:lang w:val="es-ES_tradnl"/>
        </w:rPr>
        <w:t>efectuada por parte de la Tercera Sala de Garant</w:t>
      </w:r>
      <w:r>
        <w:rPr>
          <w:rFonts w:cs="Times New Roman"/>
          <w:spacing w:val="-11"/>
          <w:sz w:val="18"/>
          <w:szCs w:val="18"/>
          <w:lang w:val="es-ES_tradnl"/>
        </w:rPr>
        <w:t>í</w:t>
      </w:r>
      <w:r>
        <w:rPr>
          <w:spacing w:val="-11"/>
          <w:sz w:val="18"/>
          <w:szCs w:val="18"/>
          <w:lang w:val="es-ES_tradnl"/>
        </w:rPr>
        <w:t xml:space="preserve">as Penales </w:t>
      </w:r>
      <w:r>
        <w:rPr>
          <w:spacing w:val="-7"/>
          <w:sz w:val="18"/>
          <w:szCs w:val="18"/>
          <w:lang w:val="es-ES_tradnl"/>
        </w:rPr>
        <w:t xml:space="preserve">de la Corte Provincial de Justicia de Pichincha y la Sala de </w:t>
      </w:r>
      <w:r>
        <w:rPr>
          <w:spacing w:val="-10"/>
          <w:sz w:val="18"/>
          <w:szCs w:val="18"/>
          <w:lang w:val="es-ES_tradnl"/>
        </w:rPr>
        <w:t>lo Penal de la Corte Nacional de Justicia afect</w:t>
      </w:r>
      <w:r>
        <w:rPr>
          <w:rFonts w:cs="Times New Roman"/>
          <w:spacing w:val="-10"/>
          <w:sz w:val="18"/>
          <w:szCs w:val="18"/>
          <w:lang w:val="es-ES_tradnl"/>
        </w:rPr>
        <w:t>ó</w:t>
      </w:r>
      <w:r>
        <w:rPr>
          <w:spacing w:val="-10"/>
          <w:sz w:val="18"/>
          <w:szCs w:val="18"/>
          <w:lang w:val="es-ES_tradnl"/>
        </w:rPr>
        <w:t xml:space="preserve"> los derechos </w:t>
      </w:r>
      <w:r>
        <w:rPr>
          <w:sz w:val="18"/>
          <w:szCs w:val="18"/>
          <w:lang w:val="es-ES_tradnl"/>
        </w:rPr>
        <w:t>constitucionales invocados.</w:t>
      </w:r>
    </w:p>
    <w:p w14:paraId="4F67B3BB" w14:textId="77777777" w:rsidR="00591D54" w:rsidRDefault="00591D54">
      <w:pPr>
        <w:shd w:val="clear" w:color="auto" w:fill="FFFFFF"/>
        <w:spacing w:before="192" w:line="216" w:lineRule="exact"/>
        <w:jc w:val="both"/>
      </w:pPr>
      <w:r>
        <w:rPr>
          <w:spacing w:val="-6"/>
          <w:sz w:val="18"/>
          <w:szCs w:val="18"/>
          <w:lang w:val="es-ES_tradnl"/>
        </w:rPr>
        <w:t>Conforme consta en la raz</w:t>
      </w:r>
      <w:r>
        <w:rPr>
          <w:rFonts w:cs="Times New Roman"/>
          <w:spacing w:val="-6"/>
          <w:sz w:val="18"/>
          <w:szCs w:val="18"/>
          <w:lang w:val="es-ES_tradnl"/>
        </w:rPr>
        <w:t>ó</w:t>
      </w:r>
      <w:r>
        <w:rPr>
          <w:spacing w:val="-6"/>
          <w:sz w:val="18"/>
          <w:szCs w:val="18"/>
          <w:lang w:val="es-ES_tradnl"/>
        </w:rPr>
        <w:t xml:space="preserve">n sentada por la secretaria </w:t>
      </w:r>
      <w:r>
        <w:rPr>
          <w:spacing w:val="-8"/>
          <w:sz w:val="18"/>
          <w:szCs w:val="18"/>
          <w:lang w:val="es-ES_tradnl"/>
        </w:rPr>
        <w:t xml:space="preserve">relatora de la Tercera Sala Especializada de lo Penal de la </w:t>
      </w:r>
      <w:r>
        <w:rPr>
          <w:spacing w:val="-6"/>
          <w:sz w:val="18"/>
          <w:szCs w:val="18"/>
          <w:lang w:val="es-ES_tradnl"/>
        </w:rPr>
        <w:t xml:space="preserve">Corte Provincial de Justicia de Pichincha </w:t>
      </w:r>
      <w:r>
        <w:rPr>
          <w:rFonts w:ascii="Arial Unicode MS" w:eastAsia="Arial Unicode MS" w:hAnsi="Arial Unicode MS" w:cs="Arial Unicode MS" w:hint="eastAsia"/>
          <w:spacing w:val="-6"/>
          <w:sz w:val="18"/>
          <w:szCs w:val="18"/>
          <w:lang w:val="es-ES_tradnl"/>
        </w:rPr>
        <w:t>‒</w:t>
      </w:r>
      <w:r>
        <w:rPr>
          <w:spacing w:val="-6"/>
          <w:sz w:val="18"/>
          <w:szCs w:val="18"/>
          <w:lang w:val="es-ES_tradnl"/>
        </w:rPr>
        <w:t xml:space="preserve">a fojas 68 del </w:t>
      </w:r>
      <w:r>
        <w:rPr>
          <w:spacing w:val="-9"/>
          <w:sz w:val="18"/>
          <w:szCs w:val="18"/>
          <w:lang w:val="es-ES_tradnl"/>
        </w:rPr>
        <w:t>expediente de apelaci</w:t>
      </w:r>
      <w:r>
        <w:rPr>
          <w:rFonts w:cs="Times New Roman"/>
          <w:spacing w:val="-9"/>
          <w:sz w:val="18"/>
          <w:szCs w:val="18"/>
          <w:lang w:val="es-ES_tradnl"/>
        </w:rPr>
        <w:t>ó</w:t>
      </w:r>
      <w:r>
        <w:rPr>
          <w:spacing w:val="-9"/>
          <w:sz w:val="18"/>
          <w:szCs w:val="18"/>
          <w:lang w:val="es-ES_tradnl"/>
        </w:rPr>
        <w:t>n</w:t>
      </w:r>
      <w:r>
        <w:rPr>
          <w:rFonts w:ascii="Arial Unicode MS" w:eastAsia="Arial Unicode MS" w:hAnsi="Arial Unicode MS" w:cs="Arial Unicode MS" w:hint="eastAsia"/>
          <w:spacing w:val="-9"/>
          <w:sz w:val="18"/>
          <w:szCs w:val="18"/>
          <w:lang w:val="es-ES_tradnl"/>
        </w:rPr>
        <w:t>‒</w:t>
      </w:r>
      <w:r>
        <w:rPr>
          <w:spacing w:val="-9"/>
          <w:sz w:val="18"/>
          <w:szCs w:val="18"/>
          <w:lang w:val="es-ES_tradnl"/>
        </w:rPr>
        <w:t xml:space="preserve"> el se</w:t>
      </w:r>
      <w:r>
        <w:rPr>
          <w:rFonts w:cs="Times New Roman"/>
          <w:spacing w:val="-9"/>
          <w:sz w:val="18"/>
          <w:szCs w:val="18"/>
          <w:lang w:val="es-ES_tradnl"/>
        </w:rPr>
        <w:t>ñ</w:t>
      </w:r>
      <w:r>
        <w:rPr>
          <w:spacing w:val="-9"/>
          <w:sz w:val="18"/>
          <w:szCs w:val="18"/>
          <w:lang w:val="es-ES_tradnl"/>
        </w:rPr>
        <w:t xml:space="preserve">or Quillupangui Ninahualpa </w:t>
      </w:r>
      <w:r>
        <w:rPr>
          <w:sz w:val="18"/>
          <w:szCs w:val="18"/>
          <w:lang w:val="es-ES_tradnl"/>
        </w:rPr>
        <w:t>fue notificado con la sentencia de apelaci</w:t>
      </w:r>
      <w:r>
        <w:rPr>
          <w:rFonts w:cs="Times New Roman"/>
          <w:sz w:val="18"/>
          <w:szCs w:val="18"/>
          <w:lang w:val="es-ES_tradnl"/>
        </w:rPr>
        <w:t>ó</w:t>
      </w:r>
      <w:r>
        <w:rPr>
          <w:sz w:val="18"/>
          <w:szCs w:val="18"/>
          <w:lang w:val="es-ES_tradnl"/>
        </w:rPr>
        <w:t xml:space="preserve">n dictada </w:t>
      </w:r>
      <w:r>
        <w:rPr>
          <w:spacing w:val="-6"/>
          <w:sz w:val="18"/>
          <w:szCs w:val="18"/>
          <w:lang w:val="es-ES_tradnl"/>
        </w:rPr>
        <w:t xml:space="preserve">por dicha Sala, el 09 de diciembre de 2011 a las 16h35. </w:t>
      </w:r>
      <w:r>
        <w:rPr>
          <w:spacing w:val="-7"/>
          <w:sz w:val="18"/>
          <w:szCs w:val="18"/>
          <w:lang w:val="es-ES_tradnl"/>
        </w:rPr>
        <w:t xml:space="preserve">Complementariamente, a fojas 74 del mismo expediente, </w:t>
      </w:r>
      <w:r>
        <w:rPr>
          <w:spacing w:val="-5"/>
          <w:sz w:val="18"/>
          <w:szCs w:val="18"/>
          <w:lang w:val="es-ES_tradnl"/>
        </w:rPr>
        <w:t>consta copia de la certificaci</w:t>
      </w:r>
      <w:r>
        <w:rPr>
          <w:rFonts w:cs="Times New Roman"/>
          <w:spacing w:val="-5"/>
          <w:sz w:val="18"/>
          <w:szCs w:val="18"/>
          <w:lang w:val="es-ES_tradnl"/>
        </w:rPr>
        <w:t>ó</w:t>
      </w:r>
      <w:r>
        <w:rPr>
          <w:spacing w:val="-5"/>
          <w:sz w:val="18"/>
          <w:szCs w:val="18"/>
          <w:lang w:val="es-ES_tradnl"/>
        </w:rPr>
        <w:t xml:space="preserve">n original de las boletas </w:t>
      </w:r>
      <w:r>
        <w:rPr>
          <w:spacing w:val="-8"/>
          <w:sz w:val="18"/>
          <w:szCs w:val="18"/>
          <w:lang w:val="es-ES_tradnl"/>
        </w:rPr>
        <w:t xml:space="preserve">recibidas en dicha fecha por la Sala de Sorteos y Casilleros </w:t>
      </w:r>
      <w:r>
        <w:rPr>
          <w:spacing w:val="-10"/>
          <w:sz w:val="18"/>
          <w:szCs w:val="18"/>
          <w:lang w:val="es-ES_tradnl"/>
        </w:rPr>
        <w:t xml:space="preserve">en la cual, se verifica que las diecinueve boletas entregadas </w:t>
      </w:r>
      <w:r>
        <w:rPr>
          <w:spacing w:val="-5"/>
          <w:sz w:val="18"/>
          <w:szCs w:val="18"/>
          <w:lang w:val="es-ES_tradnl"/>
        </w:rPr>
        <w:t>para notificaci</w:t>
      </w:r>
      <w:r>
        <w:rPr>
          <w:rFonts w:cs="Times New Roman"/>
          <w:spacing w:val="-5"/>
          <w:sz w:val="18"/>
          <w:szCs w:val="18"/>
          <w:lang w:val="es-ES_tradnl"/>
        </w:rPr>
        <w:t>ó</w:t>
      </w:r>
      <w:r>
        <w:rPr>
          <w:spacing w:val="-5"/>
          <w:sz w:val="18"/>
          <w:szCs w:val="18"/>
          <w:lang w:val="es-ES_tradnl"/>
        </w:rPr>
        <w:t>n por la Tercera Sala Especializada de lo</w:t>
      </w:r>
    </w:p>
    <w:p w14:paraId="4F67B3BC" w14:textId="77777777" w:rsidR="00591D54" w:rsidRDefault="00591D54">
      <w:pPr>
        <w:shd w:val="clear" w:color="auto" w:fill="FFFFFF"/>
        <w:spacing w:before="192" w:line="216" w:lineRule="exact"/>
        <w:jc w:val="both"/>
        <w:sectPr w:rsidR="00591D54">
          <w:type w:val="continuous"/>
          <w:pgSz w:w="11909" w:h="16834"/>
          <w:pgMar w:top="1376" w:right="1309" w:bottom="360" w:left="1308" w:header="720" w:footer="720" w:gutter="0"/>
          <w:cols w:num="2" w:space="720" w:equalWidth="0">
            <w:col w:w="4305" w:space="682"/>
            <w:col w:w="4305"/>
          </w:cols>
          <w:noEndnote/>
        </w:sectPr>
      </w:pPr>
    </w:p>
    <w:p w14:paraId="4F67B3BD"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- 199</w:t>
      </w:r>
    </w:p>
    <w:p w14:paraId="4F67B3BE" w14:textId="77777777" w:rsidR="00591D54" w:rsidRDefault="00591D54">
      <w:pPr>
        <w:shd w:val="clear" w:color="auto" w:fill="FFFFFF"/>
        <w:tabs>
          <w:tab w:val="left" w:pos="5842"/>
        </w:tabs>
        <w:spacing w:after="235"/>
        <w:ind w:left="5"/>
        <w:sectPr w:rsidR="00591D54">
          <w:pgSz w:w="11909" w:h="16834"/>
          <w:pgMar w:top="1356" w:right="1309" w:bottom="360" w:left="1308" w:header="720" w:footer="720" w:gutter="0"/>
          <w:cols w:space="60"/>
          <w:noEndnote/>
        </w:sectPr>
      </w:pPr>
    </w:p>
    <w:p w14:paraId="4F67B3BF" w14:textId="77777777" w:rsidR="00591D54" w:rsidRDefault="00591D54">
      <w:pPr>
        <w:shd w:val="clear" w:color="auto" w:fill="FFFFFF"/>
        <w:spacing w:line="216" w:lineRule="exact"/>
        <w:jc w:val="both"/>
      </w:pPr>
      <w:r>
        <w:rPr>
          <w:spacing w:val="-8"/>
          <w:sz w:val="18"/>
          <w:szCs w:val="18"/>
          <w:lang w:val="es-ES_tradnl"/>
        </w:rPr>
        <w:t xml:space="preserve">Penal de la Corte Provincial de Justicia de Pichincha, entre </w:t>
      </w:r>
      <w:r>
        <w:rPr>
          <w:spacing w:val="-7"/>
          <w:sz w:val="18"/>
          <w:szCs w:val="18"/>
          <w:lang w:val="es-ES_tradnl"/>
        </w:rPr>
        <w:t>las que consta la sentencia en menci</w:t>
      </w:r>
      <w:r>
        <w:rPr>
          <w:rFonts w:cs="Times New Roman"/>
          <w:spacing w:val="-7"/>
          <w:sz w:val="18"/>
          <w:szCs w:val="18"/>
          <w:lang w:val="es-ES_tradnl"/>
        </w:rPr>
        <w:t>ó</w:t>
      </w:r>
      <w:r>
        <w:rPr>
          <w:spacing w:val="-7"/>
          <w:sz w:val="18"/>
          <w:szCs w:val="18"/>
          <w:lang w:val="es-ES_tradnl"/>
        </w:rPr>
        <w:t xml:space="preserve">n, llegaron a dicha dependencia judicial a las 18h00 del 09 de diciembre de </w:t>
      </w:r>
      <w:r>
        <w:rPr>
          <w:sz w:val="18"/>
          <w:szCs w:val="18"/>
          <w:lang w:val="es-ES_tradnl"/>
        </w:rPr>
        <w:t>2011.</w:t>
      </w:r>
    </w:p>
    <w:p w14:paraId="4F67B3C0" w14:textId="77777777" w:rsidR="00591D54" w:rsidRDefault="00591D54">
      <w:pPr>
        <w:shd w:val="clear" w:color="auto" w:fill="FFFFFF"/>
        <w:spacing w:before="197" w:line="216" w:lineRule="exact"/>
        <w:ind w:right="5"/>
        <w:jc w:val="both"/>
      </w:pPr>
      <w:r>
        <w:rPr>
          <w:spacing w:val="-7"/>
          <w:sz w:val="18"/>
          <w:szCs w:val="18"/>
          <w:lang w:val="es-ES_tradnl"/>
        </w:rPr>
        <w:t>Lo anterior implica que bajo la interpretaci</w:t>
      </w:r>
      <w:r>
        <w:rPr>
          <w:rFonts w:cs="Times New Roman"/>
          <w:spacing w:val="-7"/>
          <w:sz w:val="18"/>
          <w:szCs w:val="18"/>
          <w:lang w:val="es-ES_tradnl"/>
        </w:rPr>
        <w:t>ó</w:t>
      </w:r>
      <w:r>
        <w:rPr>
          <w:spacing w:val="-7"/>
          <w:sz w:val="18"/>
          <w:szCs w:val="18"/>
          <w:lang w:val="es-ES_tradnl"/>
        </w:rPr>
        <w:t xml:space="preserve">n de los jueces, </w:t>
      </w:r>
      <w:r>
        <w:rPr>
          <w:spacing w:val="-8"/>
          <w:sz w:val="18"/>
          <w:szCs w:val="18"/>
          <w:lang w:val="es-ES_tradnl"/>
        </w:rPr>
        <w:t xml:space="preserve">el doctor Quillupangui Ninahualpa, al haber sido notificado </w:t>
      </w:r>
      <w:r>
        <w:rPr>
          <w:spacing w:val="-7"/>
          <w:sz w:val="18"/>
          <w:szCs w:val="18"/>
          <w:lang w:val="es-ES_tradnl"/>
        </w:rPr>
        <w:t>con la sentencia condenatoria de apelaci</w:t>
      </w:r>
      <w:r>
        <w:rPr>
          <w:rFonts w:cs="Times New Roman"/>
          <w:spacing w:val="-7"/>
          <w:sz w:val="18"/>
          <w:szCs w:val="18"/>
          <w:lang w:val="es-ES_tradnl"/>
        </w:rPr>
        <w:t>ó</w:t>
      </w:r>
      <w:r>
        <w:rPr>
          <w:spacing w:val="-7"/>
          <w:sz w:val="18"/>
          <w:szCs w:val="18"/>
          <w:lang w:val="es-ES_tradnl"/>
        </w:rPr>
        <w:t xml:space="preserve">n a partir de las </w:t>
      </w:r>
      <w:r>
        <w:rPr>
          <w:spacing w:val="-8"/>
          <w:sz w:val="18"/>
          <w:szCs w:val="18"/>
          <w:lang w:val="es-ES_tradnl"/>
        </w:rPr>
        <w:t>18h00 del d</w:t>
      </w:r>
      <w:r>
        <w:rPr>
          <w:rFonts w:cs="Times New Roman"/>
          <w:spacing w:val="-8"/>
          <w:sz w:val="18"/>
          <w:szCs w:val="18"/>
          <w:lang w:val="es-ES_tradnl"/>
        </w:rPr>
        <w:t>í</w:t>
      </w:r>
      <w:r>
        <w:rPr>
          <w:spacing w:val="-8"/>
          <w:sz w:val="18"/>
          <w:szCs w:val="18"/>
          <w:lang w:val="es-ES_tradnl"/>
        </w:rPr>
        <w:t xml:space="preserve">a viernes 09 de diciembre de 2011 en el mejor </w:t>
      </w:r>
      <w:r>
        <w:rPr>
          <w:spacing w:val="-4"/>
          <w:sz w:val="18"/>
          <w:szCs w:val="18"/>
          <w:lang w:val="es-ES_tradnl"/>
        </w:rPr>
        <w:t xml:space="preserve">de los casos, </w:t>
      </w:r>
      <w:r>
        <w:rPr>
          <w:rFonts w:ascii="Arial Unicode MS" w:eastAsia="Arial Unicode MS" w:hAnsi="Arial Unicode MS" w:cs="Arial Unicode MS" w:hint="eastAsia"/>
          <w:spacing w:val="-4"/>
          <w:sz w:val="18"/>
          <w:szCs w:val="18"/>
          <w:lang w:val="es-ES_tradnl"/>
        </w:rPr>
        <w:t>‒</w:t>
      </w:r>
      <w:r>
        <w:rPr>
          <w:spacing w:val="-4"/>
          <w:sz w:val="18"/>
          <w:szCs w:val="18"/>
          <w:lang w:val="es-ES_tradnl"/>
        </w:rPr>
        <w:t>si en efecto recibi</w:t>
      </w:r>
      <w:r>
        <w:rPr>
          <w:rFonts w:cs="Times New Roman"/>
          <w:spacing w:val="-4"/>
          <w:sz w:val="18"/>
          <w:szCs w:val="18"/>
          <w:lang w:val="es-ES_tradnl"/>
        </w:rPr>
        <w:t>ó</w:t>
      </w:r>
      <w:r>
        <w:rPr>
          <w:spacing w:val="-4"/>
          <w:sz w:val="18"/>
          <w:szCs w:val="18"/>
          <w:lang w:val="es-ES_tradnl"/>
        </w:rPr>
        <w:t xml:space="preserve"> la notificaci</w:t>
      </w:r>
      <w:r>
        <w:rPr>
          <w:rFonts w:cs="Times New Roman"/>
          <w:spacing w:val="-4"/>
          <w:sz w:val="18"/>
          <w:szCs w:val="18"/>
          <w:lang w:val="es-ES_tradnl"/>
        </w:rPr>
        <w:t>ó</w:t>
      </w:r>
      <w:r>
        <w:rPr>
          <w:spacing w:val="-4"/>
          <w:sz w:val="18"/>
          <w:szCs w:val="18"/>
          <w:lang w:val="es-ES_tradnl"/>
        </w:rPr>
        <w:t xml:space="preserve">n de la </w:t>
      </w:r>
      <w:r>
        <w:rPr>
          <w:spacing w:val="-10"/>
          <w:sz w:val="18"/>
          <w:szCs w:val="18"/>
          <w:lang w:val="es-ES_tradnl"/>
        </w:rPr>
        <w:t>sentencia en tal d</w:t>
      </w:r>
      <w:r>
        <w:rPr>
          <w:rFonts w:cs="Times New Roman"/>
          <w:spacing w:val="-10"/>
          <w:sz w:val="18"/>
          <w:szCs w:val="18"/>
          <w:lang w:val="es-ES_tradnl"/>
        </w:rPr>
        <w:t>í</w:t>
      </w:r>
      <w:r>
        <w:rPr>
          <w:spacing w:val="-10"/>
          <w:sz w:val="18"/>
          <w:szCs w:val="18"/>
          <w:lang w:val="es-ES_tradnl"/>
        </w:rPr>
        <w:t>a</w:t>
      </w:r>
      <w:r>
        <w:rPr>
          <w:rFonts w:ascii="Arial Unicode MS" w:eastAsia="Arial Unicode MS" w:hAnsi="Arial Unicode MS" w:cs="Arial Unicode MS" w:hint="eastAsia"/>
          <w:spacing w:val="-10"/>
          <w:sz w:val="18"/>
          <w:szCs w:val="18"/>
          <w:lang w:val="es-ES_tradnl"/>
        </w:rPr>
        <w:t>‒</w:t>
      </w:r>
      <w:r>
        <w:rPr>
          <w:spacing w:val="-10"/>
          <w:sz w:val="18"/>
          <w:szCs w:val="18"/>
          <w:lang w:val="es-ES_tradnl"/>
        </w:rPr>
        <w:t xml:space="preserve"> contaba con los d</w:t>
      </w:r>
      <w:r>
        <w:rPr>
          <w:rFonts w:cs="Times New Roman"/>
          <w:spacing w:val="-10"/>
          <w:sz w:val="18"/>
          <w:szCs w:val="18"/>
          <w:lang w:val="es-ES_tradnl"/>
        </w:rPr>
        <w:t>í</w:t>
      </w:r>
      <w:r>
        <w:rPr>
          <w:spacing w:val="-10"/>
          <w:sz w:val="18"/>
          <w:szCs w:val="18"/>
          <w:lang w:val="es-ES_tradnl"/>
        </w:rPr>
        <w:t>as s</w:t>
      </w:r>
      <w:r>
        <w:rPr>
          <w:rFonts w:cs="Times New Roman"/>
          <w:spacing w:val="-10"/>
          <w:sz w:val="18"/>
          <w:szCs w:val="18"/>
          <w:lang w:val="es-ES_tradnl"/>
        </w:rPr>
        <w:t>á</w:t>
      </w:r>
      <w:r>
        <w:rPr>
          <w:spacing w:val="-10"/>
          <w:sz w:val="18"/>
          <w:szCs w:val="18"/>
          <w:lang w:val="es-ES_tradnl"/>
        </w:rPr>
        <w:t xml:space="preserve">bado, domingo </w:t>
      </w:r>
      <w:r>
        <w:rPr>
          <w:rFonts w:ascii="Arial Unicode MS" w:eastAsia="Arial Unicode MS" w:hAnsi="Arial Unicode MS" w:cs="Arial Unicode MS" w:hint="eastAsia"/>
          <w:spacing w:val="-8"/>
          <w:sz w:val="18"/>
          <w:szCs w:val="18"/>
          <w:lang w:val="es-ES_tradnl"/>
        </w:rPr>
        <w:t>‒</w:t>
      </w:r>
      <w:r>
        <w:rPr>
          <w:spacing w:val="-8"/>
          <w:sz w:val="18"/>
          <w:szCs w:val="18"/>
          <w:lang w:val="es-ES_tradnl"/>
        </w:rPr>
        <w:t>de descanso obligatorio</w:t>
      </w:r>
      <w:r>
        <w:rPr>
          <w:rFonts w:ascii="Arial Unicode MS" w:eastAsia="Arial Unicode MS" w:hAnsi="Arial Unicode MS" w:cs="Arial Unicode MS" w:hint="eastAsia"/>
          <w:spacing w:val="-8"/>
          <w:sz w:val="18"/>
          <w:szCs w:val="18"/>
          <w:lang w:val="es-ES_tradnl"/>
        </w:rPr>
        <w:t>‒</w:t>
      </w:r>
      <w:r>
        <w:rPr>
          <w:spacing w:val="-8"/>
          <w:sz w:val="18"/>
          <w:szCs w:val="18"/>
          <w:lang w:val="es-ES_tradnl"/>
        </w:rPr>
        <w:t xml:space="preserve"> y lunes 12 de diciembre </w:t>
      </w:r>
      <w:r>
        <w:rPr>
          <w:rFonts w:cs="Times New Roman"/>
          <w:spacing w:val="-8"/>
          <w:sz w:val="18"/>
          <w:szCs w:val="18"/>
          <w:lang w:val="es-ES_tradnl"/>
        </w:rPr>
        <w:t>–ú</w:t>
      </w:r>
      <w:r>
        <w:rPr>
          <w:spacing w:val="-8"/>
          <w:sz w:val="18"/>
          <w:szCs w:val="18"/>
          <w:lang w:val="es-ES_tradnl"/>
        </w:rPr>
        <w:t>nica jornada laboral</w:t>
      </w:r>
      <w:r>
        <w:rPr>
          <w:rFonts w:ascii="Arial Unicode MS" w:eastAsia="Arial Unicode MS" w:hAnsi="Arial Unicode MS" w:cs="Arial Unicode MS" w:hint="eastAsia"/>
          <w:spacing w:val="-8"/>
          <w:sz w:val="18"/>
          <w:szCs w:val="18"/>
          <w:lang w:val="es-ES_tradnl"/>
        </w:rPr>
        <w:t>‒</w:t>
      </w:r>
      <w:r>
        <w:rPr>
          <w:spacing w:val="-8"/>
          <w:sz w:val="18"/>
          <w:szCs w:val="18"/>
          <w:lang w:val="es-ES_tradnl"/>
        </w:rPr>
        <w:t xml:space="preserve"> para preparar su defensa y presentar el </w:t>
      </w:r>
      <w:r>
        <w:rPr>
          <w:spacing w:val="-9"/>
          <w:sz w:val="18"/>
          <w:szCs w:val="18"/>
          <w:lang w:val="es-ES_tradnl"/>
        </w:rPr>
        <w:t>recurso antes de que la misma ejecutor</w:t>
      </w:r>
      <w:r>
        <w:rPr>
          <w:rFonts w:cs="Times New Roman"/>
          <w:spacing w:val="-9"/>
          <w:sz w:val="18"/>
          <w:szCs w:val="18"/>
          <w:lang w:val="es-ES_tradnl"/>
        </w:rPr>
        <w:t>í</w:t>
      </w:r>
      <w:r>
        <w:rPr>
          <w:spacing w:val="-9"/>
          <w:sz w:val="18"/>
          <w:szCs w:val="18"/>
          <w:lang w:val="es-ES_tradnl"/>
        </w:rPr>
        <w:t xml:space="preserve">e. En cambio, en el </w:t>
      </w:r>
      <w:r>
        <w:rPr>
          <w:spacing w:val="-7"/>
          <w:sz w:val="18"/>
          <w:szCs w:val="18"/>
          <w:lang w:val="es-ES_tradnl"/>
        </w:rPr>
        <w:t>supuesto de que la haya recibido el propio d</w:t>
      </w:r>
      <w:r>
        <w:rPr>
          <w:rFonts w:cs="Times New Roman"/>
          <w:spacing w:val="-7"/>
          <w:sz w:val="18"/>
          <w:szCs w:val="18"/>
          <w:lang w:val="es-ES_tradnl"/>
        </w:rPr>
        <w:t>í</w:t>
      </w:r>
      <w:r>
        <w:rPr>
          <w:spacing w:val="-7"/>
          <w:sz w:val="18"/>
          <w:szCs w:val="18"/>
          <w:lang w:val="es-ES_tradnl"/>
        </w:rPr>
        <w:t xml:space="preserve">a lunes 12 de </w:t>
      </w:r>
      <w:r>
        <w:rPr>
          <w:spacing w:val="-8"/>
          <w:sz w:val="18"/>
          <w:szCs w:val="18"/>
          <w:lang w:val="es-ES_tradnl"/>
        </w:rPr>
        <w:t xml:space="preserve">diciembre, aquello significa que solo contaba con un </w:t>
      </w:r>
      <w:r>
        <w:rPr>
          <w:rFonts w:cs="Times New Roman"/>
          <w:spacing w:val="-8"/>
          <w:sz w:val="18"/>
          <w:szCs w:val="18"/>
          <w:lang w:val="es-ES_tradnl"/>
        </w:rPr>
        <w:t>ú</w:t>
      </w:r>
      <w:r>
        <w:rPr>
          <w:spacing w:val="-8"/>
          <w:sz w:val="18"/>
          <w:szCs w:val="18"/>
          <w:lang w:val="es-ES_tradnl"/>
        </w:rPr>
        <w:t xml:space="preserve">nico </w:t>
      </w:r>
      <w:r>
        <w:rPr>
          <w:sz w:val="18"/>
          <w:szCs w:val="18"/>
          <w:lang w:val="es-ES_tradnl"/>
        </w:rPr>
        <w:t>d</w:t>
      </w:r>
      <w:r>
        <w:rPr>
          <w:rFonts w:cs="Times New Roman"/>
          <w:sz w:val="18"/>
          <w:szCs w:val="18"/>
          <w:lang w:val="es-ES_tradnl"/>
        </w:rPr>
        <w:t>í</w:t>
      </w:r>
      <w:r>
        <w:rPr>
          <w:sz w:val="18"/>
          <w:szCs w:val="18"/>
          <w:lang w:val="es-ES_tradnl"/>
        </w:rPr>
        <w:t>a para preparar su defensa.</w:t>
      </w:r>
    </w:p>
    <w:p w14:paraId="4F67B3C1" w14:textId="77777777" w:rsidR="00591D54" w:rsidRDefault="00591D54">
      <w:pPr>
        <w:shd w:val="clear" w:color="auto" w:fill="FFFFFF"/>
        <w:spacing w:before="197" w:line="211" w:lineRule="exact"/>
        <w:jc w:val="both"/>
      </w:pPr>
      <w:r>
        <w:rPr>
          <w:spacing w:val="-8"/>
          <w:sz w:val="18"/>
          <w:szCs w:val="18"/>
          <w:lang w:val="es-ES_tradnl"/>
        </w:rPr>
        <w:t>Seg</w:t>
      </w:r>
      <w:r>
        <w:rPr>
          <w:rFonts w:cs="Times New Roman"/>
          <w:spacing w:val="-8"/>
          <w:sz w:val="18"/>
          <w:szCs w:val="18"/>
          <w:lang w:val="es-ES_tradnl"/>
        </w:rPr>
        <w:t>ú</w:t>
      </w:r>
      <w:r>
        <w:rPr>
          <w:spacing w:val="-8"/>
          <w:sz w:val="18"/>
          <w:szCs w:val="18"/>
          <w:lang w:val="es-ES_tradnl"/>
        </w:rPr>
        <w:t>n se</w:t>
      </w:r>
      <w:r>
        <w:rPr>
          <w:rFonts w:cs="Times New Roman"/>
          <w:spacing w:val="-8"/>
          <w:sz w:val="18"/>
          <w:szCs w:val="18"/>
          <w:lang w:val="es-ES_tradnl"/>
        </w:rPr>
        <w:t>ñ</w:t>
      </w:r>
      <w:r>
        <w:rPr>
          <w:spacing w:val="-8"/>
          <w:sz w:val="18"/>
          <w:szCs w:val="18"/>
          <w:lang w:val="es-ES_tradnl"/>
        </w:rPr>
        <w:t xml:space="preserve">ala el accionante, </w:t>
      </w:r>
      <w:r>
        <w:rPr>
          <w:rFonts w:cs="Times New Roman"/>
          <w:spacing w:val="-8"/>
          <w:sz w:val="18"/>
          <w:szCs w:val="18"/>
          <w:lang w:val="es-ES_tradnl"/>
        </w:rPr>
        <w:t>é</w:t>
      </w:r>
      <w:r>
        <w:rPr>
          <w:spacing w:val="-8"/>
          <w:sz w:val="18"/>
          <w:szCs w:val="18"/>
          <w:lang w:val="es-ES_tradnl"/>
        </w:rPr>
        <w:t>l present</w:t>
      </w:r>
      <w:r>
        <w:rPr>
          <w:rFonts w:cs="Times New Roman"/>
          <w:spacing w:val="-8"/>
          <w:sz w:val="18"/>
          <w:szCs w:val="18"/>
          <w:lang w:val="es-ES_tradnl"/>
        </w:rPr>
        <w:t>ó</w:t>
      </w:r>
      <w:r>
        <w:rPr>
          <w:spacing w:val="-8"/>
          <w:sz w:val="18"/>
          <w:szCs w:val="18"/>
          <w:lang w:val="es-ES_tradnl"/>
        </w:rPr>
        <w:t xml:space="preserve"> su recurso de </w:t>
      </w:r>
      <w:r>
        <w:rPr>
          <w:spacing w:val="-9"/>
          <w:sz w:val="18"/>
          <w:szCs w:val="18"/>
          <w:lang w:val="es-ES_tradnl"/>
        </w:rPr>
        <w:t>aclaraci</w:t>
      </w:r>
      <w:r>
        <w:rPr>
          <w:rFonts w:cs="Times New Roman"/>
          <w:spacing w:val="-9"/>
          <w:sz w:val="18"/>
          <w:szCs w:val="18"/>
          <w:lang w:val="es-ES_tradnl"/>
        </w:rPr>
        <w:t>ó</w:t>
      </w:r>
      <w:r>
        <w:rPr>
          <w:spacing w:val="-9"/>
          <w:sz w:val="18"/>
          <w:szCs w:val="18"/>
          <w:lang w:val="es-ES_tradnl"/>
        </w:rPr>
        <w:t>n y ampliaci</w:t>
      </w:r>
      <w:r>
        <w:rPr>
          <w:rFonts w:cs="Times New Roman"/>
          <w:spacing w:val="-9"/>
          <w:sz w:val="18"/>
          <w:szCs w:val="18"/>
          <w:lang w:val="es-ES_tradnl"/>
        </w:rPr>
        <w:t>ó</w:t>
      </w:r>
      <w:r>
        <w:rPr>
          <w:spacing w:val="-9"/>
          <w:sz w:val="18"/>
          <w:szCs w:val="18"/>
          <w:lang w:val="es-ES_tradnl"/>
        </w:rPr>
        <w:t xml:space="preserve">n el 13 de diciembre de 2011, esto es </w:t>
      </w:r>
      <w:r>
        <w:rPr>
          <w:spacing w:val="-8"/>
          <w:sz w:val="18"/>
          <w:szCs w:val="18"/>
          <w:lang w:val="es-ES_tradnl"/>
        </w:rPr>
        <w:t>al segundo d</w:t>
      </w:r>
      <w:r>
        <w:rPr>
          <w:rFonts w:cs="Times New Roman"/>
          <w:spacing w:val="-8"/>
          <w:sz w:val="18"/>
          <w:szCs w:val="18"/>
          <w:lang w:val="es-ES_tradnl"/>
        </w:rPr>
        <w:t>í</w:t>
      </w:r>
      <w:r>
        <w:rPr>
          <w:spacing w:val="-8"/>
          <w:sz w:val="18"/>
          <w:szCs w:val="18"/>
          <w:lang w:val="es-ES_tradnl"/>
        </w:rPr>
        <w:t>a h</w:t>
      </w:r>
      <w:r>
        <w:rPr>
          <w:rFonts w:cs="Times New Roman"/>
          <w:spacing w:val="-8"/>
          <w:sz w:val="18"/>
          <w:szCs w:val="18"/>
          <w:lang w:val="es-ES_tradnl"/>
        </w:rPr>
        <w:t>á</w:t>
      </w:r>
      <w:r>
        <w:rPr>
          <w:spacing w:val="-8"/>
          <w:sz w:val="18"/>
          <w:szCs w:val="18"/>
          <w:lang w:val="es-ES_tradnl"/>
        </w:rPr>
        <w:t>bil tras la notificaci</w:t>
      </w:r>
      <w:r>
        <w:rPr>
          <w:rFonts w:cs="Times New Roman"/>
          <w:spacing w:val="-8"/>
          <w:sz w:val="18"/>
          <w:szCs w:val="18"/>
          <w:lang w:val="es-ES_tradnl"/>
        </w:rPr>
        <w:t>ó</w:t>
      </w:r>
      <w:r>
        <w:rPr>
          <w:spacing w:val="-8"/>
          <w:sz w:val="18"/>
          <w:szCs w:val="18"/>
          <w:lang w:val="es-ES_tradnl"/>
        </w:rPr>
        <w:t xml:space="preserve">n con la sentencia de </w:t>
      </w:r>
      <w:r>
        <w:rPr>
          <w:spacing w:val="-9"/>
          <w:sz w:val="18"/>
          <w:szCs w:val="18"/>
          <w:lang w:val="es-ES_tradnl"/>
        </w:rPr>
        <w:t>apelaci</w:t>
      </w:r>
      <w:r>
        <w:rPr>
          <w:rFonts w:cs="Times New Roman"/>
          <w:spacing w:val="-9"/>
          <w:sz w:val="18"/>
          <w:szCs w:val="18"/>
          <w:lang w:val="es-ES_tradnl"/>
        </w:rPr>
        <w:t>ó</w:t>
      </w:r>
      <w:r>
        <w:rPr>
          <w:spacing w:val="-9"/>
          <w:sz w:val="18"/>
          <w:szCs w:val="18"/>
          <w:lang w:val="es-ES_tradnl"/>
        </w:rPr>
        <w:t xml:space="preserve">n con lo cual, estima que se apegaba estrictamente </w:t>
      </w:r>
      <w:r>
        <w:rPr>
          <w:spacing w:val="-7"/>
          <w:sz w:val="18"/>
          <w:szCs w:val="18"/>
          <w:lang w:val="es-ES_tradnl"/>
        </w:rPr>
        <w:t>al art</w:t>
      </w:r>
      <w:r>
        <w:rPr>
          <w:rFonts w:cs="Times New Roman"/>
          <w:spacing w:val="-7"/>
          <w:sz w:val="18"/>
          <w:szCs w:val="18"/>
          <w:lang w:val="es-ES_tradnl"/>
        </w:rPr>
        <w:t>í</w:t>
      </w:r>
      <w:r>
        <w:rPr>
          <w:spacing w:val="-7"/>
          <w:sz w:val="18"/>
          <w:szCs w:val="18"/>
          <w:lang w:val="es-ES_tradnl"/>
        </w:rPr>
        <w:t>culo 6 del C</w:t>
      </w:r>
      <w:r>
        <w:rPr>
          <w:rFonts w:cs="Times New Roman"/>
          <w:spacing w:val="-7"/>
          <w:sz w:val="18"/>
          <w:szCs w:val="18"/>
          <w:lang w:val="es-ES_tradnl"/>
        </w:rPr>
        <w:t>ó</w:t>
      </w:r>
      <w:r>
        <w:rPr>
          <w:spacing w:val="-7"/>
          <w:sz w:val="18"/>
          <w:szCs w:val="18"/>
          <w:lang w:val="es-ES_tradnl"/>
        </w:rPr>
        <w:t xml:space="preserve">digo de Procedimiento Penal, en cuanto </w:t>
      </w:r>
      <w:r>
        <w:rPr>
          <w:spacing w:val="-9"/>
          <w:sz w:val="18"/>
          <w:szCs w:val="18"/>
          <w:lang w:val="es-ES_tradnl"/>
        </w:rPr>
        <w:t>a que para el tr</w:t>
      </w:r>
      <w:r>
        <w:rPr>
          <w:rFonts w:cs="Times New Roman"/>
          <w:spacing w:val="-9"/>
          <w:sz w:val="18"/>
          <w:szCs w:val="18"/>
          <w:lang w:val="es-ES_tradnl"/>
        </w:rPr>
        <w:t>á</w:t>
      </w:r>
      <w:r>
        <w:rPr>
          <w:spacing w:val="-9"/>
          <w:sz w:val="18"/>
          <w:szCs w:val="18"/>
          <w:lang w:val="es-ES_tradnl"/>
        </w:rPr>
        <w:t xml:space="preserve">mite de los procesos penales, en lo que se </w:t>
      </w:r>
      <w:r>
        <w:rPr>
          <w:spacing w:val="-5"/>
          <w:sz w:val="18"/>
          <w:szCs w:val="18"/>
          <w:lang w:val="es-ES_tradnl"/>
        </w:rPr>
        <w:t>refiere a la interposici</w:t>
      </w:r>
      <w:r>
        <w:rPr>
          <w:rFonts w:cs="Times New Roman"/>
          <w:spacing w:val="-5"/>
          <w:sz w:val="18"/>
          <w:szCs w:val="18"/>
          <w:lang w:val="es-ES_tradnl"/>
        </w:rPr>
        <w:t>ó</w:t>
      </w:r>
      <w:r>
        <w:rPr>
          <w:spacing w:val="-5"/>
          <w:sz w:val="18"/>
          <w:szCs w:val="18"/>
          <w:lang w:val="es-ES_tradnl"/>
        </w:rPr>
        <w:t>n y fundamentaci</w:t>
      </w:r>
      <w:r>
        <w:rPr>
          <w:rFonts w:cs="Times New Roman"/>
          <w:spacing w:val="-5"/>
          <w:sz w:val="18"/>
          <w:szCs w:val="18"/>
          <w:lang w:val="es-ES_tradnl"/>
        </w:rPr>
        <w:t>ó</w:t>
      </w:r>
      <w:r>
        <w:rPr>
          <w:spacing w:val="-5"/>
          <w:sz w:val="18"/>
          <w:szCs w:val="18"/>
          <w:lang w:val="es-ES_tradnl"/>
        </w:rPr>
        <w:t xml:space="preserve">n de recursos, </w:t>
      </w:r>
      <w:r>
        <w:rPr>
          <w:sz w:val="18"/>
          <w:szCs w:val="18"/>
          <w:lang w:val="es-ES_tradnl"/>
        </w:rPr>
        <w:t>correr</w:t>
      </w:r>
      <w:r>
        <w:rPr>
          <w:rFonts w:cs="Times New Roman"/>
          <w:sz w:val="18"/>
          <w:szCs w:val="18"/>
          <w:lang w:val="es-ES_tradnl"/>
        </w:rPr>
        <w:t>á</w:t>
      </w:r>
      <w:r>
        <w:rPr>
          <w:sz w:val="18"/>
          <w:szCs w:val="18"/>
          <w:lang w:val="es-ES_tradnl"/>
        </w:rPr>
        <w:t xml:space="preserve">n </w:t>
      </w:r>
      <w:r>
        <w:rPr>
          <w:rFonts w:cs="Times New Roman"/>
          <w:sz w:val="18"/>
          <w:szCs w:val="18"/>
          <w:lang w:val="es-ES_tradnl"/>
        </w:rPr>
        <w:t>ú</w:t>
      </w:r>
      <w:r>
        <w:rPr>
          <w:sz w:val="18"/>
          <w:szCs w:val="18"/>
          <w:lang w:val="es-ES_tradnl"/>
        </w:rPr>
        <w:t>nicamente los d</w:t>
      </w:r>
      <w:r>
        <w:rPr>
          <w:rFonts w:cs="Times New Roman"/>
          <w:sz w:val="18"/>
          <w:szCs w:val="18"/>
          <w:lang w:val="es-ES_tradnl"/>
        </w:rPr>
        <w:t>í</w:t>
      </w:r>
      <w:r>
        <w:rPr>
          <w:sz w:val="18"/>
          <w:szCs w:val="18"/>
          <w:lang w:val="es-ES_tradnl"/>
        </w:rPr>
        <w:t>as h</w:t>
      </w:r>
      <w:r>
        <w:rPr>
          <w:rFonts w:cs="Times New Roman"/>
          <w:sz w:val="18"/>
          <w:szCs w:val="18"/>
          <w:lang w:val="es-ES_tradnl"/>
        </w:rPr>
        <w:t>á</w:t>
      </w:r>
      <w:r>
        <w:rPr>
          <w:sz w:val="18"/>
          <w:szCs w:val="18"/>
          <w:lang w:val="es-ES_tradnl"/>
        </w:rPr>
        <w:t>biles</w:t>
      </w:r>
      <w:r>
        <w:rPr>
          <w:sz w:val="18"/>
          <w:szCs w:val="18"/>
          <w:vertAlign w:val="superscript"/>
          <w:lang w:val="es-ES_tradnl"/>
        </w:rPr>
        <w:t>5</w:t>
      </w:r>
      <w:r>
        <w:rPr>
          <w:sz w:val="18"/>
          <w:szCs w:val="18"/>
          <w:lang w:val="es-ES_tradnl"/>
        </w:rPr>
        <w:t>.</w:t>
      </w:r>
    </w:p>
    <w:p w14:paraId="4F67B3C2" w14:textId="77777777" w:rsidR="00591D54" w:rsidRDefault="00591D54">
      <w:pPr>
        <w:shd w:val="clear" w:color="auto" w:fill="FFFFFF"/>
        <w:spacing w:before="192" w:line="216" w:lineRule="exact"/>
        <w:ind w:right="5"/>
        <w:jc w:val="both"/>
      </w:pPr>
      <w:r>
        <w:rPr>
          <w:spacing w:val="-6"/>
          <w:sz w:val="18"/>
          <w:szCs w:val="18"/>
          <w:lang w:val="es-ES_tradnl"/>
        </w:rPr>
        <w:t>No obstante, como ya qued</w:t>
      </w:r>
      <w:r>
        <w:rPr>
          <w:rFonts w:cs="Times New Roman"/>
          <w:spacing w:val="-6"/>
          <w:sz w:val="18"/>
          <w:szCs w:val="18"/>
          <w:lang w:val="es-ES_tradnl"/>
        </w:rPr>
        <w:t>ó</w:t>
      </w:r>
      <w:r>
        <w:rPr>
          <w:spacing w:val="-6"/>
          <w:sz w:val="18"/>
          <w:szCs w:val="18"/>
          <w:lang w:val="es-ES_tradnl"/>
        </w:rPr>
        <w:t xml:space="preserve"> evidenciado, seg</w:t>
      </w:r>
      <w:r>
        <w:rPr>
          <w:rFonts w:cs="Times New Roman"/>
          <w:spacing w:val="-6"/>
          <w:sz w:val="18"/>
          <w:szCs w:val="18"/>
          <w:lang w:val="es-ES_tradnl"/>
        </w:rPr>
        <w:t>ú</w:t>
      </w:r>
      <w:r>
        <w:rPr>
          <w:spacing w:val="-6"/>
          <w:sz w:val="18"/>
          <w:szCs w:val="18"/>
          <w:lang w:val="es-ES_tradnl"/>
        </w:rPr>
        <w:t xml:space="preserve">n la </w:t>
      </w:r>
      <w:r>
        <w:rPr>
          <w:sz w:val="18"/>
          <w:szCs w:val="18"/>
          <w:lang w:val="es-ES_tradnl"/>
        </w:rPr>
        <w:t>interpretaci</w:t>
      </w:r>
      <w:r>
        <w:rPr>
          <w:rFonts w:cs="Times New Roman"/>
          <w:sz w:val="18"/>
          <w:szCs w:val="18"/>
          <w:lang w:val="es-ES_tradnl"/>
        </w:rPr>
        <w:t>ó</w:t>
      </w:r>
      <w:r>
        <w:rPr>
          <w:sz w:val="18"/>
          <w:szCs w:val="18"/>
          <w:lang w:val="es-ES_tradnl"/>
        </w:rPr>
        <w:t xml:space="preserve">n de la normativa aplicable realizada por </w:t>
      </w:r>
      <w:r>
        <w:rPr>
          <w:spacing w:val="-6"/>
          <w:sz w:val="18"/>
          <w:szCs w:val="18"/>
          <w:lang w:val="es-ES_tradnl"/>
        </w:rPr>
        <w:t xml:space="preserve">los jueces tanto de la Corte Provincial como de la Corte </w:t>
      </w:r>
      <w:r>
        <w:rPr>
          <w:spacing w:val="-10"/>
          <w:sz w:val="18"/>
          <w:szCs w:val="18"/>
          <w:lang w:val="es-ES_tradnl"/>
        </w:rPr>
        <w:t>Nacional de Justicia, el querellado no contaba con el t</w:t>
      </w:r>
      <w:r>
        <w:rPr>
          <w:rFonts w:cs="Times New Roman"/>
          <w:spacing w:val="-10"/>
          <w:sz w:val="18"/>
          <w:szCs w:val="18"/>
          <w:lang w:val="es-ES_tradnl"/>
        </w:rPr>
        <w:t>é</w:t>
      </w:r>
      <w:r>
        <w:rPr>
          <w:spacing w:val="-10"/>
          <w:sz w:val="18"/>
          <w:szCs w:val="18"/>
          <w:lang w:val="es-ES_tradnl"/>
        </w:rPr>
        <w:t xml:space="preserve">rmino </w:t>
      </w:r>
      <w:r>
        <w:rPr>
          <w:spacing w:val="-2"/>
          <w:sz w:val="18"/>
          <w:szCs w:val="18"/>
          <w:lang w:val="es-ES_tradnl"/>
        </w:rPr>
        <w:t>previsto en el art</w:t>
      </w:r>
      <w:r>
        <w:rPr>
          <w:rFonts w:cs="Times New Roman"/>
          <w:spacing w:val="-2"/>
          <w:sz w:val="18"/>
          <w:szCs w:val="18"/>
          <w:lang w:val="es-ES_tradnl"/>
        </w:rPr>
        <w:t>í</w:t>
      </w:r>
      <w:r>
        <w:rPr>
          <w:spacing w:val="-2"/>
          <w:sz w:val="18"/>
          <w:szCs w:val="18"/>
          <w:lang w:val="es-ES_tradnl"/>
        </w:rPr>
        <w:t>culo 6 del C</w:t>
      </w:r>
      <w:r>
        <w:rPr>
          <w:rFonts w:cs="Times New Roman"/>
          <w:spacing w:val="-2"/>
          <w:sz w:val="18"/>
          <w:szCs w:val="18"/>
          <w:lang w:val="es-ES_tradnl"/>
        </w:rPr>
        <w:t>ó</w:t>
      </w:r>
      <w:r>
        <w:rPr>
          <w:spacing w:val="-2"/>
          <w:sz w:val="18"/>
          <w:szCs w:val="18"/>
          <w:lang w:val="es-ES_tradnl"/>
        </w:rPr>
        <w:t xml:space="preserve">digo de Procedimiento </w:t>
      </w:r>
      <w:r>
        <w:rPr>
          <w:spacing w:val="-8"/>
          <w:sz w:val="18"/>
          <w:szCs w:val="18"/>
          <w:lang w:val="es-ES_tradnl"/>
        </w:rPr>
        <w:t>Penal sino que deb</w:t>
      </w:r>
      <w:r>
        <w:rPr>
          <w:rFonts w:cs="Times New Roman"/>
          <w:spacing w:val="-8"/>
          <w:sz w:val="18"/>
          <w:szCs w:val="18"/>
          <w:lang w:val="es-ES_tradnl"/>
        </w:rPr>
        <w:t>í</w:t>
      </w:r>
      <w:r>
        <w:rPr>
          <w:spacing w:val="-8"/>
          <w:sz w:val="18"/>
          <w:szCs w:val="18"/>
          <w:lang w:val="es-ES_tradnl"/>
        </w:rPr>
        <w:t>a presentar su solicitud de aclaraci</w:t>
      </w:r>
      <w:r>
        <w:rPr>
          <w:rFonts w:cs="Times New Roman"/>
          <w:spacing w:val="-8"/>
          <w:sz w:val="18"/>
          <w:szCs w:val="18"/>
          <w:lang w:val="es-ES_tradnl"/>
        </w:rPr>
        <w:t>ó</w:t>
      </w:r>
      <w:r>
        <w:rPr>
          <w:spacing w:val="-8"/>
          <w:sz w:val="18"/>
          <w:szCs w:val="18"/>
          <w:lang w:val="es-ES_tradnl"/>
        </w:rPr>
        <w:t>n y ampliaci</w:t>
      </w:r>
      <w:r>
        <w:rPr>
          <w:rFonts w:cs="Times New Roman"/>
          <w:spacing w:val="-8"/>
          <w:sz w:val="18"/>
          <w:szCs w:val="18"/>
          <w:lang w:val="es-ES_tradnl"/>
        </w:rPr>
        <w:t>ó</w:t>
      </w:r>
      <w:r>
        <w:rPr>
          <w:spacing w:val="-8"/>
          <w:sz w:val="18"/>
          <w:szCs w:val="18"/>
          <w:lang w:val="es-ES_tradnl"/>
        </w:rPr>
        <w:t>n dentro de los tres d</w:t>
      </w:r>
      <w:r>
        <w:rPr>
          <w:rFonts w:cs="Times New Roman"/>
          <w:spacing w:val="-8"/>
          <w:sz w:val="18"/>
          <w:szCs w:val="18"/>
          <w:lang w:val="es-ES_tradnl"/>
        </w:rPr>
        <w:t>í</w:t>
      </w:r>
      <w:r>
        <w:rPr>
          <w:spacing w:val="-8"/>
          <w:sz w:val="18"/>
          <w:szCs w:val="18"/>
          <w:lang w:val="es-ES_tradnl"/>
        </w:rPr>
        <w:t xml:space="preserve">as posteriores a la fecha en </w:t>
      </w:r>
      <w:r>
        <w:rPr>
          <w:spacing w:val="-7"/>
          <w:sz w:val="18"/>
          <w:szCs w:val="18"/>
          <w:lang w:val="es-ES_tradnl"/>
        </w:rPr>
        <w:t>que fue notificado en virtud del art</w:t>
      </w:r>
      <w:r>
        <w:rPr>
          <w:rFonts w:cs="Times New Roman"/>
          <w:spacing w:val="-7"/>
          <w:sz w:val="18"/>
          <w:szCs w:val="18"/>
          <w:lang w:val="es-ES_tradnl"/>
        </w:rPr>
        <w:t>í</w:t>
      </w:r>
      <w:r>
        <w:rPr>
          <w:spacing w:val="-7"/>
          <w:sz w:val="18"/>
          <w:szCs w:val="18"/>
          <w:lang w:val="es-ES_tradnl"/>
        </w:rPr>
        <w:t>culo 281 del C</w:t>
      </w:r>
      <w:r>
        <w:rPr>
          <w:rFonts w:cs="Times New Roman"/>
          <w:spacing w:val="-7"/>
          <w:sz w:val="18"/>
          <w:szCs w:val="18"/>
          <w:lang w:val="es-ES_tradnl"/>
        </w:rPr>
        <w:t>ó</w:t>
      </w:r>
      <w:r>
        <w:rPr>
          <w:spacing w:val="-7"/>
          <w:sz w:val="18"/>
          <w:szCs w:val="18"/>
          <w:lang w:val="es-ES_tradnl"/>
        </w:rPr>
        <w:t>digo de Procedimiento Civil</w:t>
      </w:r>
      <w:r>
        <w:rPr>
          <w:spacing w:val="-7"/>
          <w:sz w:val="18"/>
          <w:szCs w:val="18"/>
          <w:vertAlign w:val="superscript"/>
          <w:lang w:val="es-ES_tradnl"/>
        </w:rPr>
        <w:t>6</w:t>
      </w:r>
      <w:r>
        <w:rPr>
          <w:spacing w:val="-7"/>
          <w:sz w:val="18"/>
          <w:szCs w:val="18"/>
          <w:lang w:val="es-ES_tradnl"/>
        </w:rPr>
        <w:t>; esto es, el primer d</w:t>
      </w:r>
      <w:r>
        <w:rPr>
          <w:rFonts w:cs="Times New Roman"/>
          <w:spacing w:val="-7"/>
          <w:sz w:val="18"/>
          <w:szCs w:val="18"/>
          <w:lang w:val="es-ES_tradnl"/>
        </w:rPr>
        <w:t>í</w:t>
      </w:r>
      <w:r>
        <w:rPr>
          <w:spacing w:val="-7"/>
          <w:sz w:val="18"/>
          <w:szCs w:val="18"/>
          <w:lang w:val="es-ES_tradnl"/>
        </w:rPr>
        <w:t>a h</w:t>
      </w:r>
      <w:r>
        <w:rPr>
          <w:rFonts w:cs="Times New Roman"/>
          <w:spacing w:val="-7"/>
          <w:sz w:val="18"/>
          <w:szCs w:val="18"/>
          <w:lang w:val="es-ES_tradnl"/>
        </w:rPr>
        <w:t>á</w:t>
      </w:r>
      <w:r>
        <w:rPr>
          <w:spacing w:val="-7"/>
          <w:sz w:val="18"/>
          <w:szCs w:val="18"/>
          <w:lang w:val="es-ES_tradnl"/>
        </w:rPr>
        <w:t xml:space="preserve">bil siguiente, </w:t>
      </w:r>
      <w:r>
        <w:rPr>
          <w:sz w:val="18"/>
          <w:szCs w:val="18"/>
          <w:lang w:val="es-ES_tradnl"/>
        </w:rPr>
        <w:t>lunes 12 de diciembre de 2011.</w:t>
      </w:r>
    </w:p>
    <w:p w14:paraId="4F67B3C3" w14:textId="77777777" w:rsidR="00591D54" w:rsidRDefault="00591D54">
      <w:pPr>
        <w:shd w:val="clear" w:color="auto" w:fill="FFFFFF"/>
        <w:spacing w:before="192" w:line="216" w:lineRule="exact"/>
        <w:ind w:right="5"/>
        <w:jc w:val="both"/>
      </w:pPr>
      <w:r>
        <w:rPr>
          <w:spacing w:val="-4"/>
          <w:sz w:val="18"/>
          <w:szCs w:val="18"/>
          <w:lang w:val="es-ES_tradnl"/>
        </w:rPr>
        <w:t>Manteniendo la interpretaci</w:t>
      </w:r>
      <w:r>
        <w:rPr>
          <w:rFonts w:cs="Times New Roman"/>
          <w:spacing w:val="-4"/>
          <w:sz w:val="18"/>
          <w:szCs w:val="18"/>
          <w:lang w:val="es-ES_tradnl"/>
        </w:rPr>
        <w:t>ó</w:t>
      </w:r>
      <w:r>
        <w:rPr>
          <w:spacing w:val="-4"/>
          <w:sz w:val="18"/>
          <w:szCs w:val="18"/>
          <w:lang w:val="es-ES_tradnl"/>
        </w:rPr>
        <w:t xml:space="preserve">n de la Tercera Sala de </w:t>
      </w:r>
      <w:r>
        <w:rPr>
          <w:spacing w:val="-7"/>
          <w:sz w:val="18"/>
          <w:szCs w:val="18"/>
          <w:lang w:val="es-ES_tradnl"/>
        </w:rPr>
        <w:t>Garant</w:t>
      </w:r>
      <w:r>
        <w:rPr>
          <w:rFonts w:cs="Times New Roman"/>
          <w:spacing w:val="-7"/>
          <w:sz w:val="18"/>
          <w:szCs w:val="18"/>
          <w:lang w:val="es-ES_tradnl"/>
        </w:rPr>
        <w:t>í</w:t>
      </w:r>
      <w:r>
        <w:rPr>
          <w:spacing w:val="-7"/>
          <w:sz w:val="18"/>
          <w:szCs w:val="18"/>
          <w:lang w:val="es-ES_tradnl"/>
        </w:rPr>
        <w:t xml:space="preserve">as Penales de la Corte Provincial de Justicia de </w:t>
      </w:r>
      <w:r>
        <w:rPr>
          <w:spacing w:val="-5"/>
          <w:sz w:val="18"/>
          <w:szCs w:val="18"/>
          <w:lang w:val="es-ES_tradnl"/>
        </w:rPr>
        <w:t xml:space="preserve">Pichincha, la Sala de lo Penal de la Corte Nacional de </w:t>
      </w:r>
      <w:r>
        <w:rPr>
          <w:spacing w:val="-7"/>
          <w:sz w:val="18"/>
          <w:szCs w:val="18"/>
          <w:lang w:val="es-ES_tradnl"/>
        </w:rPr>
        <w:t>Justicia en su auto de inadmisi</w:t>
      </w:r>
      <w:r>
        <w:rPr>
          <w:rFonts w:cs="Times New Roman"/>
          <w:spacing w:val="-7"/>
          <w:sz w:val="18"/>
          <w:szCs w:val="18"/>
          <w:lang w:val="es-ES_tradnl"/>
        </w:rPr>
        <w:t>ó</w:t>
      </w:r>
      <w:r>
        <w:rPr>
          <w:spacing w:val="-7"/>
          <w:sz w:val="18"/>
          <w:szCs w:val="18"/>
          <w:lang w:val="es-ES_tradnl"/>
        </w:rPr>
        <w:t xml:space="preserve">n del 12 de junio de 2012, </w:t>
      </w:r>
      <w:r>
        <w:rPr>
          <w:spacing w:val="-6"/>
          <w:sz w:val="18"/>
          <w:szCs w:val="18"/>
          <w:lang w:val="es-ES_tradnl"/>
        </w:rPr>
        <w:t>indica que el c</w:t>
      </w:r>
      <w:r>
        <w:rPr>
          <w:rFonts w:cs="Times New Roman"/>
          <w:spacing w:val="-6"/>
          <w:sz w:val="18"/>
          <w:szCs w:val="18"/>
          <w:lang w:val="es-ES_tradnl"/>
        </w:rPr>
        <w:t>ó</w:t>
      </w:r>
      <w:r>
        <w:rPr>
          <w:spacing w:val="-6"/>
          <w:sz w:val="18"/>
          <w:szCs w:val="18"/>
          <w:lang w:val="es-ES_tradnl"/>
        </w:rPr>
        <w:t xml:space="preserve">digo procedimental penal es taxativo al </w:t>
      </w:r>
      <w:r>
        <w:rPr>
          <w:spacing w:val="-8"/>
          <w:sz w:val="18"/>
          <w:szCs w:val="18"/>
          <w:lang w:val="es-ES_tradnl"/>
        </w:rPr>
        <w:t>enunciar cu</w:t>
      </w:r>
      <w:r>
        <w:rPr>
          <w:rFonts w:cs="Times New Roman"/>
          <w:spacing w:val="-8"/>
          <w:sz w:val="18"/>
          <w:szCs w:val="18"/>
          <w:lang w:val="es-ES_tradnl"/>
        </w:rPr>
        <w:t>á</w:t>
      </w:r>
      <w:r>
        <w:rPr>
          <w:spacing w:val="-8"/>
          <w:sz w:val="18"/>
          <w:szCs w:val="18"/>
          <w:lang w:val="es-ES_tradnl"/>
        </w:rPr>
        <w:t xml:space="preserve">les son los recursos disponibles, siendo estos </w:t>
      </w:r>
      <w:r>
        <w:rPr>
          <w:spacing w:val="-4"/>
          <w:sz w:val="18"/>
          <w:szCs w:val="18"/>
          <w:lang w:val="es-ES_tradnl"/>
        </w:rPr>
        <w:t>los de apelaci</w:t>
      </w:r>
      <w:r>
        <w:rPr>
          <w:rFonts w:cs="Times New Roman"/>
          <w:spacing w:val="-4"/>
          <w:sz w:val="18"/>
          <w:szCs w:val="18"/>
          <w:lang w:val="es-ES_tradnl"/>
        </w:rPr>
        <w:t>ó</w:t>
      </w:r>
      <w:r>
        <w:rPr>
          <w:spacing w:val="-4"/>
          <w:sz w:val="18"/>
          <w:szCs w:val="18"/>
          <w:lang w:val="es-ES_tradnl"/>
        </w:rPr>
        <w:t>n, de hecho, nulidad, casaci</w:t>
      </w:r>
      <w:r>
        <w:rPr>
          <w:rFonts w:cs="Times New Roman"/>
          <w:spacing w:val="-4"/>
          <w:sz w:val="18"/>
          <w:szCs w:val="18"/>
          <w:lang w:val="es-ES_tradnl"/>
        </w:rPr>
        <w:t>ó</w:t>
      </w:r>
      <w:r>
        <w:rPr>
          <w:spacing w:val="-4"/>
          <w:sz w:val="18"/>
          <w:szCs w:val="18"/>
          <w:lang w:val="es-ES_tradnl"/>
        </w:rPr>
        <w:t>n y revisi</w:t>
      </w:r>
      <w:r>
        <w:rPr>
          <w:rFonts w:cs="Times New Roman"/>
          <w:spacing w:val="-4"/>
          <w:sz w:val="18"/>
          <w:szCs w:val="18"/>
          <w:lang w:val="es-ES_tradnl"/>
        </w:rPr>
        <w:t>ó</w:t>
      </w:r>
      <w:r>
        <w:rPr>
          <w:spacing w:val="-4"/>
          <w:sz w:val="18"/>
          <w:szCs w:val="18"/>
          <w:lang w:val="es-ES_tradnl"/>
        </w:rPr>
        <w:t xml:space="preserve">n, </w:t>
      </w:r>
      <w:r>
        <w:rPr>
          <w:spacing w:val="-6"/>
          <w:sz w:val="18"/>
          <w:szCs w:val="18"/>
          <w:lang w:val="es-ES_tradnl"/>
        </w:rPr>
        <w:t>y no los de aclaraci</w:t>
      </w:r>
      <w:r>
        <w:rPr>
          <w:rFonts w:cs="Times New Roman"/>
          <w:spacing w:val="-6"/>
          <w:sz w:val="18"/>
          <w:szCs w:val="18"/>
          <w:lang w:val="es-ES_tradnl"/>
        </w:rPr>
        <w:t>ó</w:t>
      </w:r>
      <w:r>
        <w:rPr>
          <w:spacing w:val="-6"/>
          <w:sz w:val="18"/>
          <w:szCs w:val="18"/>
          <w:lang w:val="es-ES_tradnl"/>
        </w:rPr>
        <w:t>n y ampliaci</w:t>
      </w:r>
      <w:r>
        <w:rPr>
          <w:rFonts w:cs="Times New Roman"/>
          <w:spacing w:val="-6"/>
          <w:sz w:val="18"/>
          <w:szCs w:val="18"/>
          <w:lang w:val="es-ES_tradnl"/>
        </w:rPr>
        <w:t>ó</w:t>
      </w:r>
      <w:r>
        <w:rPr>
          <w:spacing w:val="-6"/>
          <w:sz w:val="18"/>
          <w:szCs w:val="18"/>
          <w:lang w:val="es-ES_tradnl"/>
        </w:rPr>
        <w:t xml:space="preserve">n; por lo que, para todo </w:t>
      </w:r>
      <w:r>
        <w:rPr>
          <w:spacing w:val="-9"/>
          <w:sz w:val="18"/>
          <w:szCs w:val="18"/>
          <w:lang w:val="es-ES_tradnl"/>
        </w:rPr>
        <w:t>aquello que no est</w:t>
      </w:r>
      <w:r>
        <w:rPr>
          <w:rFonts w:cs="Times New Roman"/>
          <w:spacing w:val="-9"/>
          <w:sz w:val="18"/>
          <w:szCs w:val="18"/>
          <w:lang w:val="es-ES_tradnl"/>
        </w:rPr>
        <w:t>é</w:t>
      </w:r>
      <w:r>
        <w:rPr>
          <w:spacing w:val="-9"/>
          <w:sz w:val="18"/>
          <w:szCs w:val="18"/>
          <w:lang w:val="es-ES_tradnl"/>
        </w:rPr>
        <w:t xml:space="preserve"> previsto en el C</w:t>
      </w:r>
      <w:r>
        <w:rPr>
          <w:rFonts w:cs="Times New Roman"/>
          <w:spacing w:val="-9"/>
          <w:sz w:val="18"/>
          <w:szCs w:val="18"/>
          <w:lang w:val="es-ES_tradnl"/>
        </w:rPr>
        <w:t>ó</w:t>
      </w:r>
      <w:r>
        <w:rPr>
          <w:spacing w:val="-9"/>
          <w:sz w:val="18"/>
          <w:szCs w:val="18"/>
          <w:lang w:val="es-ES_tradnl"/>
        </w:rPr>
        <w:t xml:space="preserve">digo de Procedimiento </w:t>
      </w:r>
      <w:r>
        <w:rPr>
          <w:spacing w:val="-10"/>
          <w:sz w:val="18"/>
          <w:szCs w:val="18"/>
          <w:lang w:val="es-ES_tradnl"/>
        </w:rPr>
        <w:t>Penal, se estar</w:t>
      </w:r>
      <w:r>
        <w:rPr>
          <w:rFonts w:cs="Times New Roman"/>
          <w:spacing w:val="-10"/>
          <w:sz w:val="18"/>
          <w:szCs w:val="18"/>
          <w:lang w:val="es-ES_tradnl"/>
        </w:rPr>
        <w:t>á</w:t>
      </w:r>
      <w:r>
        <w:rPr>
          <w:spacing w:val="-10"/>
          <w:sz w:val="18"/>
          <w:szCs w:val="18"/>
          <w:lang w:val="es-ES_tradnl"/>
        </w:rPr>
        <w:t xml:space="preserve"> a lo previsto en el C</w:t>
      </w:r>
      <w:r>
        <w:rPr>
          <w:rFonts w:cs="Times New Roman"/>
          <w:spacing w:val="-10"/>
          <w:sz w:val="18"/>
          <w:szCs w:val="18"/>
          <w:lang w:val="es-ES_tradnl"/>
        </w:rPr>
        <w:t>ó</w:t>
      </w:r>
      <w:r>
        <w:rPr>
          <w:spacing w:val="-10"/>
          <w:sz w:val="18"/>
          <w:szCs w:val="18"/>
          <w:lang w:val="es-ES_tradnl"/>
        </w:rPr>
        <w:t xml:space="preserve">digo de Procedimiento </w:t>
      </w:r>
      <w:r>
        <w:rPr>
          <w:spacing w:val="-8"/>
          <w:sz w:val="18"/>
          <w:szCs w:val="18"/>
          <w:lang w:val="es-ES_tradnl"/>
        </w:rPr>
        <w:t xml:space="preserve">Civil y en consecuencia el recurrente contaba con un plazo </w:t>
      </w:r>
      <w:r>
        <w:rPr>
          <w:spacing w:val="-7"/>
          <w:sz w:val="18"/>
          <w:szCs w:val="18"/>
          <w:lang w:val="es-ES_tradnl"/>
        </w:rPr>
        <w:t>de tres d</w:t>
      </w:r>
      <w:r>
        <w:rPr>
          <w:rFonts w:cs="Times New Roman"/>
          <w:spacing w:val="-7"/>
          <w:sz w:val="18"/>
          <w:szCs w:val="18"/>
          <w:lang w:val="es-ES_tradnl"/>
        </w:rPr>
        <w:t>í</w:t>
      </w:r>
      <w:r>
        <w:rPr>
          <w:spacing w:val="-7"/>
          <w:sz w:val="18"/>
          <w:szCs w:val="18"/>
          <w:lang w:val="es-ES_tradnl"/>
        </w:rPr>
        <w:t>as para interponer el recurso de ampliaci</w:t>
      </w:r>
      <w:r>
        <w:rPr>
          <w:rFonts w:cs="Times New Roman"/>
          <w:spacing w:val="-7"/>
          <w:sz w:val="18"/>
          <w:szCs w:val="18"/>
          <w:lang w:val="es-ES_tradnl"/>
        </w:rPr>
        <w:t>ó</w:t>
      </w:r>
      <w:r>
        <w:rPr>
          <w:spacing w:val="-7"/>
          <w:sz w:val="18"/>
          <w:szCs w:val="18"/>
          <w:lang w:val="es-ES_tradnl"/>
        </w:rPr>
        <w:t xml:space="preserve">n y </w:t>
      </w:r>
      <w:r>
        <w:rPr>
          <w:spacing w:val="-6"/>
          <w:sz w:val="18"/>
          <w:szCs w:val="18"/>
          <w:lang w:val="es-ES_tradnl"/>
        </w:rPr>
        <w:t>aclaraci</w:t>
      </w:r>
      <w:r>
        <w:rPr>
          <w:rFonts w:cs="Times New Roman"/>
          <w:spacing w:val="-6"/>
          <w:sz w:val="18"/>
          <w:szCs w:val="18"/>
          <w:lang w:val="es-ES_tradnl"/>
        </w:rPr>
        <w:t>ó</w:t>
      </w:r>
      <w:r>
        <w:rPr>
          <w:spacing w:val="-6"/>
          <w:sz w:val="18"/>
          <w:szCs w:val="18"/>
          <w:lang w:val="es-ES_tradnl"/>
        </w:rPr>
        <w:t xml:space="preserve">n. La Sala de lo Penal de la Corte Nacional de </w:t>
      </w:r>
      <w:r>
        <w:rPr>
          <w:spacing w:val="-7"/>
          <w:sz w:val="18"/>
          <w:szCs w:val="18"/>
          <w:lang w:val="es-ES_tradnl"/>
        </w:rPr>
        <w:t>Justicia en su auto de inadmisi</w:t>
      </w:r>
      <w:r>
        <w:rPr>
          <w:rFonts w:cs="Times New Roman"/>
          <w:spacing w:val="-7"/>
          <w:sz w:val="18"/>
          <w:szCs w:val="18"/>
          <w:lang w:val="es-ES_tradnl"/>
        </w:rPr>
        <w:t>ó</w:t>
      </w:r>
      <w:r>
        <w:rPr>
          <w:spacing w:val="-7"/>
          <w:sz w:val="18"/>
          <w:szCs w:val="18"/>
          <w:lang w:val="es-ES_tradnl"/>
        </w:rPr>
        <w:t xml:space="preserve">n, a fojas 8 del expediente </w:t>
      </w:r>
      <w:r>
        <w:rPr>
          <w:spacing w:val="-9"/>
          <w:sz w:val="18"/>
          <w:szCs w:val="18"/>
          <w:lang w:val="es-ES_tradnl"/>
        </w:rPr>
        <w:t>de casaci</w:t>
      </w:r>
      <w:r>
        <w:rPr>
          <w:rFonts w:cs="Times New Roman"/>
          <w:spacing w:val="-9"/>
          <w:sz w:val="18"/>
          <w:szCs w:val="18"/>
          <w:lang w:val="es-ES_tradnl"/>
        </w:rPr>
        <w:t>ó</w:t>
      </w:r>
      <w:r>
        <w:rPr>
          <w:spacing w:val="-9"/>
          <w:sz w:val="18"/>
          <w:szCs w:val="18"/>
          <w:lang w:val="es-ES_tradnl"/>
        </w:rPr>
        <w:t>n, se</w:t>
      </w:r>
      <w:r>
        <w:rPr>
          <w:rFonts w:cs="Times New Roman"/>
          <w:spacing w:val="-9"/>
          <w:sz w:val="18"/>
          <w:szCs w:val="18"/>
          <w:lang w:val="es-ES_tradnl"/>
        </w:rPr>
        <w:t>ñ</w:t>
      </w:r>
      <w:r>
        <w:rPr>
          <w:spacing w:val="-9"/>
          <w:sz w:val="18"/>
          <w:szCs w:val="18"/>
          <w:lang w:val="es-ES_tradnl"/>
        </w:rPr>
        <w:t xml:space="preserve">ala: </w:t>
      </w:r>
      <w:r>
        <w:rPr>
          <w:rFonts w:cs="Times New Roman"/>
          <w:spacing w:val="-9"/>
          <w:sz w:val="18"/>
          <w:szCs w:val="18"/>
          <w:lang w:val="es-ES_tradnl"/>
        </w:rPr>
        <w:t>“</w:t>
      </w:r>
      <w:r>
        <w:rPr>
          <w:spacing w:val="-9"/>
          <w:sz w:val="18"/>
          <w:szCs w:val="18"/>
          <w:lang w:val="es-ES_tradnl"/>
        </w:rPr>
        <w:t>(</w:t>
      </w:r>
      <w:r>
        <w:rPr>
          <w:rFonts w:cs="Times New Roman"/>
          <w:spacing w:val="-9"/>
          <w:sz w:val="18"/>
          <w:szCs w:val="18"/>
          <w:lang w:val="es-ES_tradnl"/>
        </w:rPr>
        <w:t>…</w:t>
      </w:r>
      <w:r>
        <w:rPr>
          <w:spacing w:val="-9"/>
          <w:sz w:val="18"/>
          <w:szCs w:val="18"/>
          <w:lang w:val="es-ES_tradnl"/>
        </w:rPr>
        <w:t xml:space="preserve">) Por consiguiente, para interponer </w:t>
      </w:r>
      <w:r>
        <w:rPr>
          <w:sz w:val="18"/>
          <w:szCs w:val="18"/>
          <w:lang w:val="es-ES_tradnl"/>
        </w:rPr>
        <w:t>la solicitud de aclaraci</w:t>
      </w:r>
      <w:r>
        <w:rPr>
          <w:rFonts w:cs="Times New Roman"/>
          <w:sz w:val="18"/>
          <w:szCs w:val="18"/>
          <w:lang w:val="es-ES_tradnl"/>
        </w:rPr>
        <w:t>ó</w:t>
      </w:r>
      <w:r>
        <w:rPr>
          <w:sz w:val="18"/>
          <w:szCs w:val="18"/>
          <w:lang w:val="es-ES_tradnl"/>
        </w:rPr>
        <w:t>n o ampliaci</w:t>
      </w:r>
      <w:r>
        <w:rPr>
          <w:rFonts w:cs="Times New Roman"/>
          <w:sz w:val="18"/>
          <w:szCs w:val="18"/>
          <w:lang w:val="es-ES_tradnl"/>
        </w:rPr>
        <w:t>ó</w:t>
      </w:r>
      <w:r>
        <w:rPr>
          <w:sz w:val="18"/>
          <w:szCs w:val="18"/>
          <w:lang w:val="es-ES_tradnl"/>
        </w:rPr>
        <w:t>n, la ley faculta</w:t>
      </w:r>
    </w:p>
    <w:p w14:paraId="4F67B3C4" w14:textId="77777777" w:rsidR="00591D54" w:rsidRDefault="00591D54">
      <w:pPr>
        <w:shd w:val="clear" w:color="auto" w:fill="FFFFFF"/>
        <w:tabs>
          <w:tab w:val="left" w:pos="139"/>
        </w:tabs>
        <w:spacing w:before="518" w:line="178" w:lineRule="exact"/>
        <w:ind w:left="139" w:hanging="139"/>
        <w:jc w:val="both"/>
      </w:pPr>
      <w:r>
        <w:rPr>
          <w:sz w:val="10"/>
          <w:szCs w:val="10"/>
          <w:vertAlign w:val="superscript"/>
          <w:lang w:val="es-ES_tradnl"/>
        </w:rPr>
        <w:t>5</w:t>
      </w:r>
      <w:r>
        <w:rPr>
          <w:sz w:val="18"/>
          <w:szCs w:val="18"/>
          <w:lang w:val="es-ES_tradnl"/>
        </w:rPr>
        <w:tab/>
      </w:r>
      <w:r>
        <w:rPr>
          <w:b/>
          <w:bCs/>
          <w:sz w:val="14"/>
          <w:szCs w:val="14"/>
          <w:lang w:val="es-ES_tradnl"/>
        </w:rPr>
        <w:t>Art.</w:t>
      </w:r>
      <w:r>
        <w:rPr>
          <w:b/>
          <w:bCs/>
          <w:sz w:val="18"/>
          <w:szCs w:val="18"/>
          <w:lang w:val="es-ES_tradnl"/>
        </w:rPr>
        <w:t xml:space="preserve"> </w:t>
      </w:r>
      <w:r>
        <w:rPr>
          <w:b/>
          <w:bCs/>
          <w:sz w:val="14"/>
          <w:szCs w:val="14"/>
          <w:lang w:val="es-ES_tradnl"/>
        </w:rPr>
        <w:t>6.-</w:t>
      </w:r>
      <w:r>
        <w:rPr>
          <w:b/>
          <w:bCs/>
          <w:sz w:val="18"/>
          <w:szCs w:val="18"/>
          <w:lang w:val="es-ES_tradnl"/>
        </w:rPr>
        <w:t xml:space="preserve"> </w:t>
      </w:r>
      <w:r>
        <w:rPr>
          <w:b/>
          <w:bCs/>
          <w:sz w:val="14"/>
          <w:szCs w:val="14"/>
          <w:lang w:val="es-ES_tradnl"/>
        </w:rPr>
        <w:t>Celeridad.-</w:t>
      </w:r>
      <w:r>
        <w:rPr>
          <w:b/>
          <w:bCs/>
          <w:sz w:val="18"/>
          <w:szCs w:val="18"/>
          <w:lang w:val="es-ES_tradnl"/>
        </w:rPr>
        <w:t xml:space="preserve"> </w:t>
      </w:r>
      <w:r>
        <w:rPr>
          <w:sz w:val="14"/>
          <w:szCs w:val="14"/>
          <w:lang w:val="es-ES_tradnl"/>
        </w:rPr>
        <w:t>Para</w:t>
      </w:r>
      <w:r>
        <w:rPr>
          <w:sz w:val="18"/>
          <w:szCs w:val="18"/>
          <w:lang w:val="es-ES_tradnl"/>
        </w:rPr>
        <w:t xml:space="preserve"> </w:t>
      </w:r>
      <w:r>
        <w:rPr>
          <w:sz w:val="14"/>
          <w:szCs w:val="14"/>
          <w:lang w:val="es-ES_tradnl"/>
        </w:rPr>
        <w:t>el</w:t>
      </w:r>
      <w:r>
        <w:rPr>
          <w:sz w:val="18"/>
          <w:szCs w:val="18"/>
          <w:lang w:val="es-ES_tradnl"/>
        </w:rPr>
        <w:t xml:space="preserve"> </w:t>
      </w:r>
      <w:r>
        <w:rPr>
          <w:sz w:val="14"/>
          <w:szCs w:val="14"/>
          <w:lang w:val="es-ES_tradnl"/>
        </w:rPr>
        <w:t>tr</w:t>
      </w:r>
      <w:r>
        <w:rPr>
          <w:rFonts w:cs="Times New Roman"/>
          <w:sz w:val="14"/>
          <w:szCs w:val="14"/>
          <w:lang w:val="es-ES_tradnl"/>
        </w:rPr>
        <w:t>á</w:t>
      </w:r>
      <w:r>
        <w:rPr>
          <w:sz w:val="14"/>
          <w:szCs w:val="14"/>
          <w:lang w:val="es-ES_tradnl"/>
        </w:rPr>
        <w:t>mite</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los</w:t>
      </w:r>
      <w:r>
        <w:rPr>
          <w:sz w:val="18"/>
          <w:szCs w:val="18"/>
          <w:lang w:val="es-ES_tradnl"/>
        </w:rPr>
        <w:t xml:space="preserve"> </w:t>
      </w:r>
      <w:r>
        <w:rPr>
          <w:sz w:val="14"/>
          <w:szCs w:val="14"/>
          <w:lang w:val="es-ES_tradnl"/>
        </w:rPr>
        <w:t>procesos</w:t>
      </w:r>
      <w:r>
        <w:rPr>
          <w:sz w:val="18"/>
          <w:szCs w:val="18"/>
          <w:lang w:val="es-ES_tradnl"/>
        </w:rPr>
        <w:t xml:space="preserve"> </w:t>
      </w:r>
      <w:r>
        <w:rPr>
          <w:sz w:val="14"/>
          <w:szCs w:val="14"/>
          <w:lang w:val="es-ES_tradnl"/>
        </w:rPr>
        <w:t>penales</w:t>
      </w:r>
      <w:r>
        <w:rPr>
          <w:sz w:val="18"/>
          <w:szCs w:val="18"/>
          <w:lang w:val="es-ES_tradnl"/>
        </w:rPr>
        <w:t xml:space="preserve"> </w:t>
      </w:r>
      <w:r>
        <w:rPr>
          <w:sz w:val="14"/>
          <w:szCs w:val="14"/>
          <w:lang w:val="es-ES_tradnl"/>
        </w:rPr>
        <w:t>y</w:t>
      </w:r>
      <w:r>
        <w:rPr>
          <w:sz w:val="18"/>
          <w:szCs w:val="18"/>
          <w:lang w:val="es-ES_tradnl"/>
        </w:rPr>
        <w:t xml:space="preserve"> </w:t>
      </w:r>
      <w:r>
        <w:rPr>
          <w:sz w:val="14"/>
          <w:szCs w:val="14"/>
          <w:lang w:val="es-ES_tradnl"/>
        </w:rPr>
        <w:t>la </w:t>
      </w:r>
      <w:r>
        <w:rPr>
          <w:spacing w:val="-2"/>
          <w:sz w:val="14"/>
          <w:szCs w:val="14"/>
          <w:lang w:val="es-ES_tradnl"/>
        </w:rPr>
        <w:t>pr</w:t>
      </w:r>
      <w:r>
        <w:rPr>
          <w:rFonts w:cs="Times New Roman"/>
          <w:spacing w:val="-2"/>
          <w:sz w:val="14"/>
          <w:szCs w:val="14"/>
          <w:lang w:val="es-ES_tradnl"/>
        </w:rPr>
        <w:t>á</w:t>
      </w:r>
      <w:r>
        <w:rPr>
          <w:spacing w:val="-2"/>
          <w:sz w:val="14"/>
          <w:szCs w:val="14"/>
          <w:lang w:val="es-ES_tradnl"/>
        </w:rPr>
        <w:t>ctica de los actos procesales son h</w:t>
      </w:r>
      <w:r>
        <w:rPr>
          <w:rFonts w:cs="Times New Roman"/>
          <w:spacing w:val="-2"/>
          <w:sz w:val="14"/>
          <w:szCs w:val="14"/>
          <w:lang w:val="es-ES_tradnl"/>
        </w:rPr>
        <w:t>á</w:t>
      </w:r>
      <w:r>
        <w:rPr>
          <w:spacing w:val="-2"/>
          <w:sz w:val="14"/>
          <w:szCs w:val="14"/>
          <w:lang w:val="es-ES_tradnl"/>
        </w:rPr>
        <w:t>biles todos los d</w:t>
      </w:r>
      <w:r>
        <w:rPr>
          <w:rFonts w:cs="Times New Roman"/>
          <w:spacing w:val="-2"/>
          <w:sz w:val="14"/>
          <w:szCs w:val="14"/>
          <w:lang w:val="es-ES_tradnl"/>
        </w:rPr>
        <w:t>í</w:t>
      </w:r>
      <w:r>
        <w:rPr>
          <w:spacing w:val="-2"/>
          <w:sz w:val="14"/>
          <w:szCs w:val="14"/>
          <w:lang w:val="es-ES_tradnl"/>
        </w:rPr>
        <w:t>as y horas: excepto en lo que se refiere a la interposici</w:t>
      </w:r>
      <w:r>
        <w:rPr>
          <w:rFonts w:cs="Times New Roman"/>
          <w:spacing w:val="-2"/>
          <w:sz w:val="14"/>
          <w:szCs w:val="14"/>
          <w:lang w:val="es-ES_tradnl"/>
        </w:rPr>
        <w:t>ó</w:t>
      </w:r>
      <w:r>
        <w:rPr>
          <w:spacing w:val="-2"/>
          <w:sz w:val="14"/>
          <w:szCs w:val="14"/>
          <w:lang w:val="es-ES_tradnl"/>
        </w:rPr>
        <w:t>n y fundamentaci</w:t>
      </w:r>
      <w:r>
        <w:rPr>
          <w:rFonts w:cs="Times New Roman"/>
          <w:spacing w:val="-2"/>
          <w:sz w:val="14"/>
          <w:szCs w:val="14"/>
          <w:lang w:val="es-ES_tradnl"/>
        </w:rPr>
        <w:t>ó</w:t>
      </w:r>
      <w:r>
        <w:rPr>
          <w:spacing w:val="-2"/>
          <w:sz w:val="14"/>
          <w:szCs w:val="14"/>
          <w:lang w:val="es-ES_tradnl"/>
        </w:rPr>
        <w:t>n de </w:t>
      </w:r>
      <w:r>
        <w:rPr>
          <w:spacing w:val="-3"/>
          <w:sz w:val="14"/>
          <w:szCs w:val="14"/>
          <w:lang w:val="es-ES_tradnl"/>
        </w:rPr>
        <w:t>recursos, en cuyo caso correr</w:t>
      </w:r>
      <w:r>
        <w:rPr>
          <w:rFonts w:cs="Times New Roman"/>
          <w:spacing w:val="-3"/>
          <w:sz w:val="14"/>
          <w:szCs w:val="14"/>
          <w:lang w:val="es-ES_tradnl"/>
        </w:rPr>
        <w:t>á</w:t>
      </w:r>
      <w:r>
        <w:rPr>
          <w:spacing w:val="-3"/>
          <w:sz w:val="14"/>
          <w:szCs w:val="14"/>
          <w:lang w:val="es-ES_tradnl"/>
        </w:rPr>
        <w:t>n solo los d</w:t>
      </w:r>
      <w:r>
        <w:rPr>
          <w:rFonts w:cs="Times New Roman"/>
          <w:spacing w:val="-3"/>
          <w:sz w:val="14"/>
          <w:szCs w:val="14"/>
          <w:lang w:val="es-ES_tradnl"/>
        </w:rPr>
        <w:t>í</w:t>
      </w:r>
      <w:r>
        <w:rPr>
          <w:spacing w:val="-3"/>
          <w:sz w:val="14"/>
          <w:szCs w:val="14"/>
          <w:lang w:val="es-ES_tradnl"/>
        </w:rPr>
        <w:t>as h</w:t>
      </w:r>
      <w:r>
        <w:rPr>
          <w:rFonts w:cs="Times New Roman"/>
          <w:spacing w:val="-3"/>
          <w:sz w:val="14"/>
          <w:szCs w:val="14"/>
          <w:lang w:val="es-ES_tradnl"/>
        </w:rPr>
        <w:t>á</w:t>
      </w:r>
      <w:r>
        <w:rPr>
          <w:spacing w:val="-3"/>
          <w:sz w:val="14"/>
          <w:szCs w:val="14"/>
          <w:lang w:val="es-ES_tradnl"/>
        </w:rPr>
        <w:t>biles.</w:t>
      </w:r>
    </w:p>
    <w:p w14:paraId="4F67B3C5" w14:textId="77777777" w:rsidR="00591D54" w:rsidRDefault="00591D54">
      <w:pPr>
        <w:shd w:val="clear" w:color="auto" w:fill="FFFFFF"/>
        <w:tabs>
          <w:tab w:val="left" w:pos="139"/>
        </w:tabs>
        <w:spacing w:before="149" w:line="178" w:lineRule="exact"/>
        <w:ind w:left="139" w:hanging="139"/>
        <w:jc w:val="both"/>
      </w:pPr>
      <w:r>
        <w:rPr>
          <w:sz w:val="10"/>
          <w:szCs w:val="10"/>
          <w:vertAlign w:val="superscript"/>
          <w:lang w:val="es-ES_tradnl"/>
        </w:rPr>
        <w:t>6</w:t>
      </w:r>
      <w:r>
        <w:rPr>
          <w:sz w:val="18"/>
          <w:szCs w:val="18"/>
          <w:lang w:val="es-ES_tradnl"/>
        </w:rPr>
        <w:tab/>
      </w:r>
      <w:r>
        <w:rPr>
          <w:b/>
          <w:bCs/>
          <w:spacing w:val="-1"/>
          <w:sz w:val="14"/>
          <w:szCs w:val="14"/>
          <w:lang w:val="es-ES_tradnl"/>
        </w:rPr>
        <w:t>Art.</w:t>
      </w:r>
      <w:r>
        <w:rPr>
          <w:b/>
          <w:bCs/>
          <w:spacing w:val="-1"/>
          <w:sz w:val="18"/>
          <w:szCs w:val="18"/>
          <w:lang w:val="es-ES_tradnl"/>
        </w:rPr>
        <w:t xml:space="preserve"> </w:t>
      </w:r>
      <w:r>
        <w:rPr>
          <w:b/>
          <w:bCs/>
          <w:spacing w:val="-1"/>
          <w:sz w:val="14"/>
          <w:szCs w:val="14"/>
          <w:lang w:val="es-ES_tradnl"/>
        </w:rPr>
        <w:t>281.-</w:t>
      </w:r>
      <w:r>
        <w:rPr>
          <w:b/>
          <w:bCs/>
          <w:spacing w:val="-1"/>
          <w:sz w:val="18"/>
          <w:szCs w:val="18"/>
          <w:lang w:val="es-ES_tradnl"/>
        </w:rPr>
        <w:t xml:space="preserve"> </w:t>
      </w:r>
      <w:r>
        <w:rPr>
          <w:spacing w:val="-1"/>
          <w:sz w:val="14"/>
          <w:szCs w:val="14"/>
          <w:lang w:val="es-ES_tradnl"/>
        </w:rPr>
        <w:t>El</w:t>
      </w:r>
      <w:r>
        <w:rPr>
          <w:spacing w:val="-1"/>
          <w:sz w:val="18"/>
          <w:szCs w:val="18"/>
          <w:lang w:val="es-ES_tradnl"/>
        </w:rPr>
        <w:t xml:space="preserve"> </w:t>
      </w:r>
      <w:r>
        <w:rPr>
          <w:spacing w:val="-1"/>
          <w:sz w:val="14"/>
          <w:szCs w:val="14"/>
          <w:lang w:val="es-ES_tradnl"/>
        </w:rPr>
        <w:t>juez</w:t>
      </w:r>
      <w:r>
        <w:rPr>
          <w:spacing w:val="-1"/>
          <w:sz w:val="18"/>
          <w:szCs w:val="18"/>
          <w:lang w:val="es-ES_tradnl"/>
        </w:rPr>
        <w:t xml:space="preserve"> </w:t>
      </w:r>
      <w:r>
        <w:rPr>
          <w:spacing w:val="-1"/>
          <w:sz w:val="14"/>
          <w:szCs w:val="14"/>
          <w:lang w:val="es-ES_tradnl"/>
        </w:rPr>
        <w:t>que</w:t>
      </w:r>
      <w:r>
        <w:rPr>
          <w:spacing w:val="-1"/>
          <w:sz w:val="18"/>
          <w:szCs w:val="18"/>
          <w:lang w:val="es-ES_tradnl"/>
        </w:rPr>
        <w:t xml:space="preserve"> </w:t>
      </w:r>
      <w:r>
        <w:rPr>
          <w:spacing w:val="-1"/>
          <w:sz w:val="14"/>
          <w:szCs w:val="14"/>
          <w:lang w:val="es-ES_tradnl"/>
        </w:rPr>
        <w:t>dict</w:t>
      </w:r>
      <w:r>
        <w:rPr>
          <w:rFonts w:cs="Times New Roman"/>
          <w:spacing w:val="-1"/>
          <w:sz w:val="14"/>
          <w:szCs w:val="14"/>
          <w:lang w:val="es-ES_tradnl"/>
        </w:rPr>
        <w:t>ó</w:t>
      </w:r>
      <w:r>
        <w:rPr>
          <w:spacing w:val="-1"/>
          <w:sz w:val="18"/>
          <w:szCs w:val="18"/>
          <w:lang w:val="es-ES_tradnl"/>
        </w:rPr>
        <w:t xml:space="preserve"> </w:t>
      </w:r>
      <w:r>
        <w:rPr>
          <w:spacing w:val="-1"/>
          <w:sz w:val="14"/>
          <w:szCs w:val="14"/>
          <w:lang w:val="es-ES_tradnl"/>
        </w:rPr>
        <w:t>sentencia,</w:t>
      </w:r>
      <w:r>
        <w:rPr>
          <w:spacing w:val="-1"/>
          <w:sz w:val="18"/>
          <w:szCs w:val="18"/>
          <w:lang w:val="es-ES_tradnl"/>
        </w:rPr>
        <w:t xml:space="preserve"> </w:t>
      </w:r>
      <w:r>
        <w:rPr>
          <w:spacing w:val="-1"/>
          <w:sz w:val="14"/>
          <w:szCs w:val="14"/>
          <w:lang w:val="es-ES_tradnl"/>
        </w:rPr>
        <w:t>no</w:t>
      </w:r>
      <w:r>
        <w:rPr>
          <w:spacing w:val="-1"/>
          <w:sz w:val="18"/>
          <w:szCs w:val="18"/>
          <w:lang w:val="es-ES_tradnl"/>
        </w:rPr>
        <w:t xml:space="preserve"> </w:t>
      </w:r>
      <w:r>
        <w:rPr>
          <w:spacing w:val="-1"/>
          <w:sz w:val="14"/>
          <w:szCs w:val="14"/>
          <w:lang w:val="es-ES_tradnl"/>
        </w:rPr>
        <w:t>puede</w:t>
      </w:r>
      <w:r>
        <w:rPr>
          <w:spacing w:val="-1"/>
          <w:sz w:val="18"/>
          <w:szCs w:val="18"/>
          <w:lang w:val="es-ES_tradnl"/>
        </w:rPr>
        <w:t xml:space="preserve"> </w:t>
      </w:r>
      <w:r>
        <w:rPr>
          <w:spacing w:val="-1"/>
          <w:sz w:val="14"/>
          <w:szCs w:val="14"/>
          <w:lang w:val="es-ES_tradnl"/>
        </w:rPr>
        <w:t>revocarla</w:t>
      </w:r>
      <w:r>
        <w:rPr>
          <w:spacing w:val="-1"/>
          <w:sz w:val="18"/>
          <w:szCs w:val="18"/>
          <w:lang w:val="es-ES_tradnl"/>
        </w:rPr>
        <w:t xml:space="preserve"> </w:t>
      </w:r>
      <w:r>
        <w:rPr>
          <w:spacing w:val="-1"/>
          <w:sz w:val="14"/>
          <w:szCs w:val="14"/>
          <w:lang w:val="es-ES_tradnl"/>
        </w:rPr>
        <w:t>ni</w:t>
      </w:r>
      <w:r>
        <w:rPr>
          <w:spacing w:val="-1"/>
          <w:sz w:val="18"/>
          <w:szCs w:val="18"/>
          <w:lang w:val="es-ES_tradnl"/>
        </w:rPr>
        <w:t xml:space="preserve"> </w:t>
      </w:r>
      <w:r>
        <w:rPr>
          <w:spacing w:val="-1"/>
          <w:sz w:val="14"/>
          <w:szCs w:val="14"/>
          <w:lang w:val="es-ES_tradnl"/>
        </w:rPr>
        <w:t>alterar </w:t>
      </w:r>
      <w:r>
        <w:rPr>
          <w:spacing w:val="-3"/>
          <w:sz w:val="14"/>
          <w:szCs w:val="14"/>
          <w:lang w:val="es-ES_tradnl"/>
        </w:rPr>
        <w:t>su sentido en ning</w:t>
      </w:r>
      <w:r>
        <w:rPr>
          <w:rFonts w:cs="Times New Roman"/>
          <w:spacing w:val="-3"/>
          <w:sz w:val="14"/>
          <w:szCs w:val="14"/>
          <w:lang w:val="es-ES_tradnl"/>
        </w:rPr>
        <w:t>ú</w:t>
      </w:r>
      <w:r>
        <w:rPr>
          <w:spacing w:val="-3"/>
          <w:sz w:val="14"/>
          <w:szCs w:val="14"/>
          <w:lang w:val="es-ES_tradnl"/>
        </w:rPr>
        <w:t>n caso; pero podr</w:t>
      </w:r>
      <w:r>
        <w:rPr>
          <w:rFonts w:cs="Times New Roman"/>
          <w:spacing w:val="-3"/>
          <w:sz w:val="14"/>
          <w:szCs w:val="14"/>
          <w:lang w:val="es-ES_tradnl"/>
        </w:rPr>
        <w:t>á</w:t>
      </w:r>
      <w:r>
        <w:rPr>
          <w:spacing w:val="-3"/>
          <w:sz w:val="14"/>
          <w:szCs w:val="14"/>
          <w:lang w:val="es-ES_tradnl"/>
        </w:rPr>
        <w:t xml:space="preserve"> aclararla o ampliarla, si alguna </w:t>
      </w:r>
      <w:r>
        <w:rPr>
          <w:sz w:val="14"/>
          <w:szCs w:val="14"/>
          <w:lang w:val="es-ES_tradnl"/>
        </w:rPr>
        <w:t>de las partes lo solicitare dentro de tres d</w:t>
      </w:r>
      <w:r>
        <w:rPr>
          <w:rFonts w:cs="Times New Roman"/>
          <w:sz w:val="14"/>
          <w:szCs w:val="14"/>
          <w:lang w:val="es-ES_tradnl"/>
        </w:rPr>
        <w:t>í</w:t>
      </w:r>
      <w:r>
        <w:rPr>
          <w:sz w:val="14"/>
          <w:szCs w:val="14"/>
          <w:lang w:val="es-ES_tradnl"/>
        </w:rPr>
        <w:t>as.</w:t>
      </w:r>
    </w:p>
    <w:p w14:paraId="4F67B3C6" w14:textId="77777777" w:rsidR="00591D54" w:rsidRDefault="00591D54">
      <w:pPr>
        <w:shd w:val="clear" w:color="auto" w:fill="FFFFFF"/>
        <w:spacing w:line="216" w:lineRule="exact"/>
        <w:jc w:val="both"/>
      </w:pPr>
      <w:r>
        <w:br w:type="column"/>
      </w:r>
      <w:r>
        <w:rPr>
          <w:spacing w:val="-5"/>
          <w:sz w:val="18"/>
          <w:szCs w:val="18"/>
          <w:lang w:val="es-ES_tradnl"/>
        </w:rPr>
        <w:t>hacerlo dentro de tres d</w:t>
      </w:r>
      <w:r>
        <w:rPr>
          <w:rFonts w:cs="Times New Roman"/>
          <w:spacing w:val="-5"/>
          <w:sz w:val="18"/>
          <w:szCs w:val="18"/>
          <w:lang w:val="es-ES_tradnl"/>
        </w:rPr>
        <w:t>í</w:t>
      </w:r>
      <w:r>
        <w:rPr>
          <w:spacing w:val="-5"/>
          <w:sz w:val="18"/>
          <w:szCs w:val="18"/>
          <w:lang w:val="es-ES_tradnl"/>
        </w:rPr>
        <w:t>as de notificada la resoluci</w:t>
      </w:r>
      <w:r>
        <w:rPr>
          <w:rFonts w:cs="Times New Roman"/>
          <w:spacing w:val="-5"/>
          <w:sz w:val="18"/>
          <w:szCs w:val="18"/>
          <w:lang w:val="es-ES_tradnl"/>
        </w:rPr>
        <w:t>ó</w:t>
      </w:r>
      <w:r>
        <w:rPr>
          <w:spacing w:val="-5"/>
          <w:sz w:val="18"/>
          <w:szCs w:val="18"/>
          <w:lang w:val="es-ES_tradnl"/>
        </w:rPr>
        <w:t xml:space="preserve">n, y </w:t>
      </w:r>
      <w:r>
        <w:rPr>
          <w:spacing w:val="-11"/>
          <w:sz w:val="18"/>
          <w:szCs w:val="18"/>
          <w:lang w:val="es-ES_tradnl"/>
        </w:rPr>
        <w:t xml:space="preserve">en el presente caso, </w:t>
      </w:r>
      <w:r>
        <w:rPr>
          <w:b/>
          <w:bCs/>
          <w:spacing w:val="-11"/>
          <w:sz w:val="18"/>
          <w:szCs w:val="18"/>
          <w:lang w:val="es-ES_tradnl"/>
        </w:rPr>
        <w:t>al haberse notificado la resoluci</w:t>
      </w:r>
      <w:r>
        <w:rPr>
          <w:rFonts w:cs="Times New Roman"/>
          <w:b/>
          <w:bCs/>
          <w:spacing w:val="-11"/>
          <w:sz w:val="18"/>
          <w:szCs w:val="18"/>
          <w:lang w:val="es-ES_tradnl"/>
        </w:rPr>
        <w:t>ó</w:t>
      </w:r>
      <w:r>
        <w:rPr>
          <w:b/>
          <w:bCs/>
          <w:spacing w:val="-11"/>
          <w:sz w:val="18"/>
          <w:szCs w:val="18"/>
          <w:lang w:val="es-ES_tradnl"/>
        </w:rPr>
        <w:t xml:space="preserve">n el </w:t>
      </w:r>
      <w:r>
        <w:rPr>
          <w:b/>
          <w:bCs/>
          <w:spacing w:val="-9"/>
          <w:sz w:val="18"/>
          <w:szCs w:val="18"/>
          <w:lang w:val="es-ES_tradnl"/>
        </w:rPr>
        <w:t xml:space="preserve">viernes 9 de diciembre de 2011 y al haber el querellante </w:t>
      </w:r>
      <w:r>
        <w:rPr>
          <w:b/>
          <w:bCs/>
          <w:spacing w:val="-7"/>
          <w:sz w:val="18"/>
          <w:szCs w:val="18"/>
          <w:lang w:val="es-ES_tradnl"/>
        </w:rPr>
        <w:t xml:space="preserve">Manuel Gonzalo Quillupangui Ninahualpa presentado </w:t>
      </w:r>
      <w:r>
        <w:rPr>
          <w:b/>
          <w:bCs/>
          <w:spacing w:val="-11"/>
          <w:sz w:val="18"/>
          <w:szCs w:val="18"/>
          <w:lang w:val="es-ES_tradnl"/>
        </w:rPr>
        <w:t>su petici</w:t>
      </w:r>
      <w:r>
        <w:rPr>
          <w:rFonts w:cs="Times New Roman"/>
          <w:b/>
          <w:bCs/>
          <w:spacing w:val="-11"/>
          <w:sz w:val="18"/>
          <w:szCs w:val="18"/>
          <w:lang w:val="es-ES_tradnl"/>
        </w:rPr>
        <w:t>ó</w:t>
      </w:r>
      <w:r>
        <w:rPr>
          <w:b/>
          <w:bCs/>
          <w:spacing w:val="-11"/>
          <w:sz w:val="18"/>
          <w:szCs w:val="18"/>
          <w:lang w:val="es-ES_tradnl"/>
        </w:rPr>
        <w:t>n el cuarto d</w:t>
      </w:r>
      <w:r>
        <w:rPr>
          <w:rFonts w:cs="Times New Roman"/>
          <w:b/>
          <w:bCs/>
          <w:spacing w:val="-11"/>
          <w:sz w:val="18"/>
          <w:szCs w:val="18"/>
          <w:lang w:val="es-ES_tradnl"/>
        </w:rPr>
        <w:t>í</w:t>
      </w:r>
      <w:r>
        <w:rPr>
          <w:b/>
          <w:bCs/>
          <w:spacing w:val="-11"/>
          <w:sz w:val="18"/>
          <w:szCs w:val="18"/>
          <w:lang w:val="es-ES_tradnl"/>
        </w:rPr>
        <w:t>a, luego de la notificaci</w:t>
      </w:r>
      <w:r>
        <w:rPr>
          <w:rFonts w:cs="Times New Roman"/>
          <w:b/>
          <w:bCs/>
          <w:spacing w:val="-11"/>
          <w:sz w:val="18"/>
          <w:szCs w:val="18"/>
          <w:lang w:val="es-ES_tradnl"/>
        </w:rPr>
        <w:t>ó</w:t>
      </w:r>
      <w:r>
        <w:rPr>
          <w:b/>
          <w:bCs/>
          <w:spacing w:val="-11"/>
          <w:sz w:val="18"/>
          <w:szCs w:val="18"/>
          <w:lang w:val="es-ES_tradnl"/>
        </w:rPr>
        <w:t xml:space="preserve">n, </w:t>
      </w:r>
      <w:r>
        <w:rPr>
          <w:rFonts w:cs="Times New Roman"/>
          <w:b/>
          <w:bCs/>
          <w:spacing w:val="-11"/>
          <w:sz w:val="18"/>
          <w:szCs w:val="18"/>
          <w:lang w:val="es-ES_tradnl"/>
        </w:rPr>
        <w:t>é</w:t>
      </w:r>
      <w:r>
        <w:rPr>
          <w:b/>
          <w:bCs/>
          <w:spacing w:val="-11"/>
          <w:sz w:val="18"/>
          <w:szCs w:val="18"/>
          <w:lang w:val="es-ES_tradnl"/>
        </w:rPr>
        <w:t xml:space="preserve">sta es </w:t>
      </w:r>
      <w:r>
        <w:rPr>
          <w:b/>
          <w:bCs/>
          <w:spacing w:val="-6"/>
          <w:sz w:val="18"/>
          <w:szCs w:val="18"/>
          <w:lang w:val="es-ES_tradnl"/>
        </w:rPr>
        <w:t>extempor</w:t>
      </w:r>
      <w:r>
        <w:rPr>
          <w:rFonts w:cs="Times New Roman"/>
          <w:b/>
          <w:bCs/>
          <w:spacing w:val="-6"/>
          <w:sz w:val="18"/>
          <w:szCs w:val="18"/>
          <w:lang w:val="es-ES_tradnl"/>
        </w:rPr>
        <w:t>á</w:t>
      </w:r>
      <w:r>
        <w:rPr>
          <w:b/>
          <w:bCs/>
          <w:spacing w:val="-6"/>
          <w:sz w:val="18"/>
          <w:szCs w:val="18"/>
          <w:lang w:val="es-ES_tradnl"/>
        </w:rPr>
        <w:t>nea</w:t>
      </w:r>
      <w:r>
        <w:rPr>
          <w:spacing w:val="-6"/>
          <w:sz w:val="18"/>
          <w:szCs w:val="18"/>
          <w:lang w:val="es-ES_tradnl"/>
        </w:rPr>
        <w:t>.</w:t>
      </w:r>
      <w:r>
        <w:rPr>
          <w:rFonts w:cs="Times New Roman"/>
          <w:spacing w:val="-6"/>
          <w:sz w:val="18"/>
          <w:szCs w:val="18"/>
          <w:lang w:val="es-ES_tradnl"/>
        </w:rPr>
        <w:t>”</w:t>
      </w:r>
      <w:r>
        <w:rPr>
          <w:spacing w:val="-6"/>
          <w:sz w:val="18"/>
          <w:szCs w:val="18"/>
          <w:lang w:val="es-ES_tradnl"/>
        </w:rPr>
        <w:t xml:space="preserve"> (</w:t>
      </w:r>
      <w:r>
        <w:rPr>
          <w:rFonts w:cs="Times New Roman"/>
          <w:spacing w:val="-6"/>
          <w:sz w:val="18"/>
          <w:szCs w:val="18"/>
          <w:lang w:val="es-ES_tradnl"/>
        </w:rPr>
        <w:t>É</w:t>
      </w:r>
      <w:r>
        <w:rPr>
          <w:spacing w:val="-6"/>
          <w:sz w:val="18"/>
          <w:szCs w:val="18"/>
          <w:lang w:val="es-ES_tradnl"/>
        </w:rPr>
        <w:t>nfasis fuera del texto original).</w:t>
      </w:r>
    </w:p>
    <w:p w14:paraId="4F67B3C7" w14:textId="77777777" w:rsidR="00591D54" w:rsidRDefault="00591D54">
      <w:pPr>
        <w:shd w:val="clear" w:color="auto" w:fill="FFFFFF"/>
        <w:spacing w:before="197" w:line="216" w:lineRule="exact"/>
        <w:jc w:val="both"/>
      </w:pPr>
      <w:r>
        <w:rPr>
          <w:spacing w:val="-10"/>
          <w:sz w:val="18"/>
          <w:szCs w:val="18"/>
          <w:lang w:val="es-ES_tradnl"/>
        </w:rPr>
        <w:t>Ante las circunstancia aqu</w:t>
      </w:r>
      <w:r>
        <w:rPr>
          <w:rFonts w:cs="Times New Roman"/>
          <w:spacing w:val="-10"/>
          <w:sz w:val="18"/>
          <w:szCs w:val="18"/>
          <w:lang w:val="es-ES_tradnl"/>
        </w:rPr>
        <w:t>í</w:t>
      </w:r>
      <w:r>
        <w:rPr>
          <w:spacing w:val="-10"/>
          <w:sz w:val="18"/>
          <w:szCs w:val="18"/>
          <w:lang w:val="es-ES_tradnl"/>
        </w:rPr>
        <w:t xml:space="preserve"> planteadas, esta Corte encuentra </w:t>
      </w:r>
      <w:r>
        <w:rPr>
          <w:spacing w:val="-4"/>
          <w:sz w:val="18"/>
          <w:szCs w:val="18"/>
          <w:lang w:val="es-ES_tradnl"/>
        </w:rPr>
        <w:t>que la interpretaci</w:t>
      </w:r>
      <w:r>
        <w:rPr>
          <w:rFonts w:cs="Times New Roman"/>
          <w:spacing w:val="-4"/>
          <w:sz w:val="18"/>
          <w:szCs w:val="18"/>
          <w:lang w:val="es-ES_tradnl"/>
        </w:rPr>
        <w:t>ó</w:t>
      </w:r>
      <w:r>
        <w:rPr>
          <w:spacing w:val="-4"/>
          <w:sz w:val="18"/>
          <w:szCs w:val="18"/>
          <w:lang w:val="es-ES_tradnl"/>
        </w:rPr>
        <w:t xml:space="preserve">n que los jueces de justicia ordinaria </w:t>
      </w:r>
      <w:r>
        <w:rPr>
          <w:spacing w:val="-8"/>
          <w:sz w:val="18"/>
          <w:szCs w:val="18"/>
          <w:lang w:val="es-ES_tradnl"/>
        </w:rPr>
        <w:t>que conocieron la causa han efectuado una interpretaci</w:t>
      </w:r>
      <w:r>
        <w:rPr>
          <w:rFonts w:cs="Times New Roman"/>
          <w:spacing w:val="-8"/>
          <w:sz w:val="18"/>
          <w:szCs w:val="18"/>
          <w:lang w:val="es-ES_tradnl"/>
        </w:rPr>
        <w:t>ó</w:t>
      </w:r>
      <w:r>
        <w:rPr>
          <w:spacing w:val="-8"/>
          <w:sz w:val="18"/>
          <w:szCs w:val="18"/>
          <w:lang w:val="es-ES_tradnl"/>
        </w:rPr>
        <w:t xml:space="preserve">n </w:t>
      </w:r>
      <w:r>
        <w:rPr>
          <w:spacing w:val="-2"/>
          <w:sz w:val="18"/>
          <w:szCs w:val="18"/>
          <w:lang w:val="es-ES_tradnl"/>
        </w:rPr>
        <w:t xml:space="preserve">restrictiva de la normativa aplicable al caso concreto y </w:t>
      </w:r>
      <w:r>
        <w:rPr>
          <w:spacing w:val="-8"/>
          <w:sz w:val="18"/>
          <w:szCs w:val="18"/>
          <w:lang w:val="es-ES_tradnl"/>
        </w:rPr>
        <w:t xml:space="preserve">han impedido que el accionante pueda ejercer plenamente </w:t>
      </w:r>
      <w:r>
        <w:rPr>
          <w:spacing w:val="-9"/>
          <w:sz w:val="18"/>
          <w:szCs w:val="18"/>
          <w:lang w:val="es-ES_tradnl"/>
        </w:rPr>
        <w:t xml:space="preserve">su derecho a la defensa puesto que no pudo contar con los </w:t>
      </w:r>
      <w:r>
        <w:rPr>
          <w:spacing w:val="-8"/>
          <w:sz w:val="18"/>
          <w:szCs w:val="18"/>
          <w:lang w:val="es-ES_tradnl"/>
        </w:rPr>
        <w:t>medios y el tiempo necesario para preparar su defensa. Adem</w:t>
      </w:r>
      <w:r>
        <w:rPr>
          <w:rFonts w:cs="Times New Roman"/>
          <w:spacing w:val="-8"/>
          <w:sz w:val="18"/>
          <w:szCs w:val="18"/>
          <w:lang w:val="es-ES_tradnl"/>
        </w:rPr>
        <w:t>á</w:t>
      </w:r>
      <w:r>
        <w:rPr>
          <w:spacing w:val="-8"/>
          <w:sz w:val="18"/>
          <w:szCs w:val="18"/>
          <w:lang w:val="es-ES_tradnl"/>
        </w:rPr>
        <w:t xml:space="preserve">s, como consecuencia de la negativa de conocer y resolver el recurso ha quedado imposibilitado de acceder a los </w:t>
      </w:r>
      <w:r>
        <w:rPr>
          <w:rFonts w:cs="Times New Roman"/>
          <w:spacing w:val="-8"/>
          <w:sz w:val="18"/>
          <w:szCs w:val="18"/>
          <w:lang w:val="es-ES_tradnl"/>
        </w:rPr>
        <w:t>ó</w:t>
      </w:r>
      <w:r>
        <w:rPr>
          <w:spacing w:val="-8"/>
          <w:sz w:val="18"/>
          <w:szCs w:val="18"/>
          <w:lang w:val="es-ES_tradnl"/>
        </w:rPr>
        <w:t>rganos de justicia para obtener de ellos una resoluci</w:t>
      </w:r>
      <w:r>
        <w:rPr>
          <w:rFonts w:cs="Times New Roman"/>
          <w:spacing w:val="-8"/>
          <w:sz w:val="18"/>
          <w:szCs w:val="18"/>
          <w:lang w:val="es-ES_tradnl"/>
        </w:rPr>
        <w:t>ó</w:t>
      </w:r>
      <w:r>
        <w:rPr>
          <w:spacing w:val="-8"/>
          <w:sz w:val="18"/>
          <w:szCs w:val="18"/>
          <w:lang w:val="es-ES_tradnl"/>
        </w:rPr>
        <w:t xml:space="preserve">n </w:t>
      </w:r>
      <w:r>
        <w:rPr>
          <w:spacing w:val="-10"/>
          <w:sz w:val="18"/>
          <w:szCs w:val="18"/>
          <w:lang w:val="es-ES_tradnl"/>
        </w:rPr>
        <w:t>fundada en derecho respecto de sus pretensiones.</w:t>
      </w:r>
    </w:p>
    <w:p w14:paraId="4F67B3C8" w14:textId="77777777" w:rsidR="00591D54" w:rsidRDefault="00591D54">
      <w:pPr>
        <w:shd w:val="clear" w:color="auto" w:fill="FFFFFF"/>
        <w:spacing w:before="197" w:line="216" w:lineRule="exact"/>
        <w:jc w:val="both"/>
      </w:pPr>
      <w:r>
        <w:rPr>
          <w:spacing w:val="-7"/>
          <w:sz w:val="18"/>
          <w:szCs w:val="18"/>
          <w:lang w:val="es-ES_tradnl"/>
        </w:rPr>
        <w:t xml:space="preserve">Como se ha dicho previamente, los derechos a la tutela </w:t>
      </w:r>
      <w:r>
        <w:rPr>
          <w:spacing w:val="-6"/>
          <w:sz w:val="18"/>
          <w:szCs w:val="18"/>
          <w:lang w:val="es-ES_tradnl"/>
        </w:rPr>
        <w:t>judicial efectiva y al debido proceso en la garant</w:t>
      </w:r>
      <w:r>
        <w:rPr>
          <w:rFonts w:cs="Times New Roman"/>
          <w:spacing w:val="-6"/>
          <w:sz w:val="18"/>
          <w:szCs w:val="18"/>
          <w:lang w:val="es-ES_tradnl"/>
        </w:rPr>
        <w:t>í</w:t>
      </w:r>
      <w:r>
        <w:rPr>
          <w:spacing w:val="-6"/>
          <w:sz w:val="18"/>
          <w:szCs w:val="18"/>
          <w:lang w:val="es-ES_tradnl"/>
        </w:rPr>
        <w:t xml:space="preserve">a de la </w:t>
      </w:r>
      <w:r>
        <w:rPr>
          <w:spacing w:val="-9"/>
          <w:sz w:val="18"/>
          <w:szCs w:val="18"/>
          <w:lang w:val="es-ES_tradnl"/>
        </w:rPr>
        <w:t xml:space="preserve">defensa se encuentran </w:t>
      </w:r>
      <w:r>
        <w:rPr>
          <w:rFonts w:cs="Times New Roman"/>
          <w:spacing w:val="-9"/>
          <w:sz w:val="18"/>
          <w:szCs w:val="18"/>
          <w:lang w:val="es-ES_tradnl"/>
        </w:rPr>
        <w:t>í</w:t>
      </w:r>
      <w:r>
        <w:rPr>
          <w:spacing w:val="-9"/>
          <w:sz w:val="18"/>
          <w:szCs w:val="18"/>
          <w:lang w:val="es-ES_tradnl"/>
        </w:rPr>
        <w:t xml:space="preserve">ntimamente ligados pues ambos </w:t>
      </w:r>
      <w:r>
        <w:rPr>
          <w:spacing w:val="-5"/>
          <w:sz w:val="18"/>
          <w:szCs w:val="18"/>
          <w:lang w:val="es-ES_tradnl"/>
        </w:rPr>
        <w:t xml:space="preserve">permiten asegurar que las autoridades, en este caso </w:t>
      </w:r>
      <w:r>
        <w:rPr>
          <w:spacing w:val="-7"/>
          <w:sz w:val="18"/>
          <w:szCs w:val="18"/>
          <w:lang w:val="es-ES_tradnl"/>
        </w:rPr>
        <w:t xml:space="preserve">judiciales, brinden a las partes procesales una serie de </w:t>
      </w:r>
      <w:r>
        <w:rPr>
          <w:spacing w:val="-9"/>
          <w:sz w:val="18"/>
          <w:szCs w:val="18"/>
          <w:lang w:val="es-ES_tradnl"/>
        </w:rPr>
        <w:t>garant</w:t>
      </w:r>
      <w:r>
        <w:rPr>
          <w:rFonts w:cs="Times New Roman"/>
          <w:spacing w:val="-9"/>
          <w:sz w:val="18"/>
          <w:szCs w:val="18"/>
          <w:lang w:val="es-ES_tradnl"/>
        </w:rPr>
        <w:t>í</w:t>
      </w:r>
      <w:r>
        <w:rPr>
          <w:spacing w:val="-9"/>
          <w:sz w:val="18"/>
          <w:szCs w:val="18"/>
          <w:lang w:val="es-ES_tradnl"/>
        </w:rPr>
        <w:t>as m</w:t>
      </w:r>
      <w:r>
        <w:rPr>
          <w:rFonts w:cs="Times New Roman"/>
          <w:spacing w:val="-9"/>
          <w:sz w:val="18"/>
          <w:szCs w:val="18"/>
          <w:lang w:val="es-ES_tradnl"/>
        </w:rPr>
        <w:t>í</w:t>
      </w:r>
      <w:r>
        <w:rPr>
          <w:spacing w:val="-9"/>
          <w:sz w:val="18"/>
          <w:szCs w:val="18"/>
          <w:lang w:val="es-ES_tradnl"/>
        </w:rPr>
        <w:t xml:space="preserve">nimas dentro del proceso judicial que aseguren </w:t>
      </w:r>
      <w:r>
        <w:rPr>
          <w:spacing w:val="-7"/>
          <w:sz w:val="18"/>
          <w:szCs w:val="18"/>
          <w:lang w:val="es-ES_tradnl"/>
        </w:rPr>
        <w:t xml:space="preserve">el acceso a una tutela efectiva y expedita de sus derechos </w:t>
      </w:r>
      <w:r>
        <w:rPr>
          <w:spacing w:val="-8"/>
          <w:sz w:val="18"/>
          <w:szCs w:val="18"/>
          <w:lang w:val="es-ES_tradnl"/>
        </w:rPr>
        <w:t>e intereses. Esto a trav</w:t>
      </w:r>
      <w:r>
        <w:rPr>
          <w:rFonts w:cs="Times New Roman"/>
          <w:spacing w:val="-8"/>
          <w:sz w:val="18"/>
          <w:szCs w:val="18"/>
          <w:lang w:val="es-ES_tradnl"/>
        </w:rPr>
        <w:t>é</w:t>
      </w:r>
      <w:r>
        <w:rPr>
          <w:spacing w:val="-8"/>
          <w:sz w:val="18"/>
          <w:szCs w:val="18"/>
          <w:lang w:val="es-ES_tradnl"/>
        </w:rPr>
        <w:t>s de garant</w:t>
      </w:r>
      <w:r>
        <w:rPr>
          <w:rFonts w:cs="Times New Roman"/>
          <w:spacing w:val="-8"/>
          <w:sz w:val="18"/>
          <w:szCs w:val="18"/>
          <w:lang w:val="es-ES_tradnl"/>
        </w:rPr>
        <w:t>í</w:t>
      </w:r>
      <w:r>
        <w:rPr>
          <w:spacing w:val="-8"/>
          <w:sz w:val="18"/>
          <w:szCs w:val="18"/>
          <w:lang w:val="es-ES_tradnl"/>
        </w:rPr>
        <w:t xml:space="preserve">as del debido proceso como la oportunidad de ser escuchados en igualdad de </w:t>
      </w:r>
      <w:r>
        <w:rPr>
          <w:spacing w:val="-5"/>
          <w:sz w:val="18"/>
          <w:szCs w:val="18"/>
          <w:lang w:val="es-ES_tradnl"/>
        </w:rPr>
        <w:t xml:space="preserve">condiciones, de hacer valer sus pretensiones ante el juez </w:t>
      </w:r>
      <w:r>
        <w:rPr>
          <w:spacing w:val="-7"/>
          <w:sz w:val="18"/>
          <w:szCs w:val="18"/>
          <w:lang w:val="es-ES_tradnl"/>
        </w:rPr>
        <w:t xml:space="preserve">y de contar con los medios y el tiempo necesarios para </w:t>
      </w:r>
      <w:r>
        <w:rPr>
          <w:sz w:val="18"/>
          <w:szCs w:val="18"/>
          <w:lang w:val="es-ES_tradnl"/>
        </w:rPr>
        <w:t>preparar su defensa.</w:t>
      </w:r>
    </w:p>
    <w:p w14:paraId="4F67B3C9" w14:textId="77777777" w:rsidR="00591D54" w:rsidRDefault="00591D54">
      <w:pPr>
        <w:shd w:val="clear" w:color="auto" w:fill="FFFFFF"/>
        <w:spacing w:before="192" w:line="216" w:lineRule="exact"/>
        <w:jc w:val="both"/>
      </w:pPr>
      <w:r>
        <w:rPr>
          <w:spacing w:val="-6"/>
          <w:sz w:val="18"/>
          <w:szCs w:val="18"/>
          <w:lang w:val="es-ES_tradnl"/>
        </w:rPr>
        <w:t>Adem</w:t>
      </w:r>
      <w:r>
        <w:rPr>
          <w:rFonts w:cs="Times New Roman"/>
          <w:spacing w:val="-6"/>
          <w:sz w:val="18"/>
          <w:szCs w:val="18"/>
          <w:lang w:val="es-ES_tradnl"/>
        </w:rPr>
        <w:t>á</w:t>
      </w:r>
      <w:r>
        <w:rPr>
          <w:spacing w:val="-6"/>
          <w:sz w:val="18"/>
          <w:szCs w:val="18"/>
          <w:lang w:val="es-ES_tradnl"/>
        </w:rPr>
        <w:t xml:space="preserve">s, en virtud de los principios </w:t>
      </w:r>
      <w:r>
        <w:rPr>
          <w:i/>
          <w:iCs/>
          <w:spacing w:val="-6"/>
          <w:sz w:val="18"/>
          <w:szCs w:val="18"/>
          <w:lang w:val="es-ES_tradnl"/>
        </w:rPr>
        <w:t xml:space="preserve">pro homine </w:t>
      </w:r>
      <w:r>
        <w:rPr>
          <w:spacing w:val="-6"/>
          <w:sz w:val="18"/>
          <w:szCs w:val="18"/>
          <w:lang w:val="es-ES_tradnl"/>
        </w:rPr>
        <w:t xml:space="preserve">e </w:t>
      </w:r>
      <w:r>
        <w:rPr>
          <w:i/>
          <w:iCs/>
          <w:spacing w:val="-6"/>
          <w:sz w:val="18"/>
          <w:szCs w:val="18"/>
          <w:lang w:val="es-ES_tradnl"/>
        </w:rPr>
        <w:t xml:space="preserve">in dubio </w:t>
      </w:r>
      <w:r>
        <w:rPr>
          <w:i/>
          <w:iCs/>
          <w:spacing w:val="-1"/>
          <w:sz w:val="18"/>
          <w:szCs w:val="18"/>
          <w:lang w:val="es-ES_tradnl"/>
        </w:rPr>
        <w:t xml:space="preserve">pro reo, </w:t>
      </w:r>
      <w:r>
        <w:rPr>
          <w:spacing w:val="-1"/>
          <w:sz w:val="18"/>
          <w:szCs w:val="18"/>
          <w:lang w:val="es-ES_tradnl"/>
        </w:rPr>
        <w:t>la interpretaci</w:t>
      </w:r>
      <w:r>
        <w:rPr>
          <w:rFonts w:cs="Times New Roman"/>
          <w:spacing w:val="-1"/>
          <w:sz w:val="18"/>
          <w:szCs w:val="18"/>
          <w:lang w:val="es-ES_tradnl"/>
        </w:rPr>
        <w:t>ó</w:t>
      </w:r>
      <w:r>
        <w:rPr>
          <w:spacing w:val="-1"/>
          <w:sz w:val="18"/>
          <w:szCs w:val="18"/>
          <w:lang w:val="es-ES_tradnl"/>
        </w:rPr>
        <w:t>n jur</w:t>
      </w:r>
      <w:r>
        <w:rPr>
          <w:rFonts w:cs="Times New Roman"/>
          <w:spacing w:val="-1"/>
          <w:sz w:val="18"/>
          <w:szCs w:val="18"/>
          <w:lang w:val="es-ES_tradnl"/>
        </w:rPr>
        <w:t>í</w:t>
      </w:r>
      <w:r>
        <w:rPr>
          <w:spacing w:val="-1"/>
          <w:sz w:val="18"/>
          <w:szCs w:val="18"/>
          <w:lang w:val="es-ES_tradnl"/>
        </w:rPr>
        <w:t>dica y la aplicaci</w:t>
      </w:r>
      <w:r>
        <w:rPr>
          <w:rFonts w:cs="Times New Roman"/>
          <w:spacing w:val="-1"/>
          <w:sz w:val="18"/>
          <w:szCs w:val="18"/>
          <w:lang w:val="es-ES_tradnl"/>
        </w:rPr>
        <w:t>ó</w:t>
      </w:r>
      <w:r>
        <w:rPr>
          <w:spacing w:val="-1"/>
          <w:sz w:val="18"/>
          <w:szCs w:val="18"/>
          <w:lang w:val="es-ES_tradnl"/>
        </w:rPr>
        <w:t xml:space="preserve">n del </w:t>
      </w:r>
      <w:r>
        <w:rPr>
          <w:spacing w:val="-10"/>
          <w:sz w:val="18"/>
          <w:szCs w:val="18"/>
          <w:lang w:val="es-ES_tradnl"/>
        </w:rPr>
        <w:t xml:space="preserve">derecho siempre debe buscar el mayor beneficio para el ser </w:t>
      </w:r>
      <w:r>
        <w:rPr>
          <w:spacing w:val="-8"/>
          <w:sz w:val="18"/>
          <w:szCs w:val="18"/>
          <w:lang w:val="es-ES_tradnl"/>
        </w:rPr>
        <w:t>humano y el reo (encausado). As</w:t>
      </w:r>
      <w:r>
        <w:rPr>
          <w:rFonts w:cs="Times New Roman"/>
          <w:spacing w:val="-8"/>
          <w:sz w:val="18"/>
          <w:szCs w:val="18"/>
          <w:lang w:val="es-ES_tradnl"/>
        </w:rPr>
        <w:t>í</w:t>
      </w:r>
      <w:r>
        <w:rPr>
          <w:spacing w:val="-8"/>
          <w:sz w:val="18"/>
          <w:szCs w:val="18"/>
          <w:lang w:val="es-ES_tradnl"/>
        </w:rPr>
        <w:t>, el numeral 5 del art</w:t>
      </w:r>
      <w:r>
        <w:rPr>
          <w:rFonts w:cs="Times New Roman"/>
          <w:spacing w:val="-8"/>
          <w:sz w:val="18"/>
          <w:szCs w:val="18"/>
          <w:lang w:val="es-ES_tradnl"/>
        </w:rPr>
        <w:t>í</w:t>
      </w:r>
      <w:r>
        <w:rPr>
          <w:spacing w:val="-8"/>
          <w:sz w:val="18"/>
          <w:szCs w:val="18"/>
          <w:lang w:val="es-ES_tradnl"/>
        </w:rPr>
        <w:t xml:space="preserve">culo </w:t>
      </w:r>
      <w:r>
        <w:rPr>
          <w:spacing w:val="-9"/>
          <w:sz w:val="18"/>
          <w:szCs w:val="18"/>
          <w:lang w:val="es-ES_tradnl"/>
        </w:rPr>
        <w:t>11 de la Constituci</w:t>
      </w:r>
      <w:r>
        <w:rPr>
          <w:rFonts w:cs="Times New Roman"/>
          <w:spacing w:val="-9"/>
          <w:sz w:val="18"/>
          <w:szCs w:val="18"/>
          <w:lang w:val="es-ES_tradnl"/>
        </w:rPr>
        <w:t>ó</w:t>
      </w:r>
      <w:r>
        <w:rPr>
          <w:spacing w:val="-9"/>
          <w:sz w:val="18"/>
          <w:szCs w:val="18"/>
          <w:lang w:val="es-ES_tradnl"/>
        </w:rPr>
        <w:t>n de la Rep</w:t>
      </w:r>
      <w:r>
        <w:rPr>
          <w:rFonts w:cs="Times New Roman"/>
          <w:spacing w:val="-9"/>
          <w:sz w:val="18"/>
          <w:szCs w:val="18"/>
          <w:lang w:val="es-ES_tradnl"/>
        </w:rPr>
        <w:t>ú</w:t>
      </w:r>
      <w:r>
        <w:rPr>
          <w:spacing w:val="-9"/>
          <w:sz w:val="18"/>
          <w:szCs w:val="18"/>
          <w:lang w:val="es-ES_tradnl"/>
        </w:rPr>
        <w:t>blica expresamente, se</w:t>
      </w:r>
      <w:r>
        <w:rPr>
          <w:rFonts w:cs="Times New Roman"/>
          <w:spacing w:val="-9"/>
          <w:sz w:val="18"/>
          <w:szCs w:val="18"/>
          <w:lang w:val="es-ES_tradnl"/>
        </w:rPr>
        <w:t>ñ</w:t>
      </w:r>
      <w:r>
        <w:rPr>
          <w:spacing w:val="-9"/>
          <w:sz w:val="18"/>
          <w:szCs w:val="18"/>
          <w:lang w:val="es-ES_tradnl"/>
        </w:rPr>
        <w:t xml:space="preserve">ala </w:t>
      </w:r>
      <w:r>
        <w:rPr>
          <w:spacing w:val="-3"/>
          <w:sz w:val="18"/>
          <w:szCs w:val="18"/>
          <w:lang w:val="es-ES_tradnl"/>
        </w:rPr>
        <w:t xml:space="preserve">que: </w:t>
      </w:r>
      <w:r>
        <w:rPr>
          <w:rFonts w:cs="Times New Roman"/>
          <w:spacing w:val="-3"/>
          <w:sz w:val="18"/>
          <w:szCs w:val="18"/>
          <w:lang w:val="es-ES_tradnl"/>
        </w:rPr>
        <w:t>“</w:t>
      </w:r>
      <w:r>
        <w:rPr>
          <w:spacing w:val="-3"/>
          <w:sz w:val="18"/>
          <w:szCs w:val="18"/>
          <w:lang w:val="es-ES_tradnl"/>
        </w:rPr>
        <w:t>Art. 11.- El ejercicio de los derechos se regir</w:t>
      </w:r>
      <w:r>
        <w:rPr>
          <w:rFonts w:cs="Times New Roman"/>
          <w:spacing w:val="-3"/>
          <w:sz w:val="18"/>
          <w:szCs w:val="18"/>
          <w:lang w:val="es-ES_tradnl"/>
        </w:rPr>
        <w:t>á</w:t>
      </w:r>
      <w:r>
        <w:rPr>
          <w:spacing w:val="-3"/>
          <w:sz w:val="18"/>
          <w:szCs w:val="18"/>
          <w:lang w:val="es-ES_tradnl"/>
        </w:rPr>
        <w:t xml:space="preserve"> por </w:t>
      </w:r>
      <w:r>
        <w:rPr>
          <w:spacing w:val="-4"/>
          <w:sz w:val="18"/>
          <w:szCs w:val="18"/>
          <w:lang w:val="es-ES_tradnl"/>
        </w:rPr>
        <w:t>los siguientes principios: (</w:t>
      </w:r>
      <w:r>
        <w:rPr>
          <w:rFonts w:cs="Times New Roman"/>
          <w:spacing w:val="-4"/>
          <w:sz w:val="18"/>
          <w:szCs w:val="18"/>
          <w:lang w:val="es-ES_tradnl"/>
        </w:rPr>
        <w:t>…</w:t>
      </w:r>
      <w:r>
        <w:rPr>
          <w:spacing w:val="-4"/>
          <w:sz w:val="18"/>
          <w:szCs w:val="18"/>
          <w:lang w:val="es-ES_tradnl"/>
        </w:rPr>
        <w:t xml:space="preserve">) 5. En materia de derechos </w:t>
      </w:r>
      <w:r>
        <w:rPr>
          <w:spacing w:val="-7"/>
          <w:sz w:val="18"/>
          <w:szCs w:val="18"/>
          <w:lang w:val="es-ES_tradnl"/>
        </w:rPr>
        <w:t>y garant</w:t>
      </w:r>
      <w:r>
        <w:rPr>
          <w:rFonts w:cs="Times New Roman"/>
          <w:spacing w:val="-7"/>
          <w:sz w:val="18"/>
          <w:szCs w:val="18"/>
          <w:lang w:val="es-ES_tradnl"/>
        </w:rPr>
        <w:t>í</w:t>
      </w:r>
      <w:r>
        <w:rPr>
          <w:spacing w:val="-7"/>
          <w:sz w:val="18"/>
          <w:szCs w:val="18"/>
          <w:lang w:val="es-ES_tradnl"/>
        </w:rPr>
        <w:t xml:space="preserve">as constitucionales, las servidoras y servidores </w:t>
      </w:r>
      <w:r>
        <w:rPr>
          <w:spacing w:val="-5"/>
          <w:sz w:val="18"/>
          <w:szCs w:val="18"/>
          <w:lang w:val="es-ES_tradnl"/>
        </w:rPr>
        <w:t>p</w:t>
      </w:r>
      <w:r>
        <w:rPr>
          <w:rFonts w:cs="Times New Roman"/>
          <w:spacing w:val="-5"/>
          <w:sz w:val="18"/>
          <w:szCs w:val="18"/>
          <w:lang w:val="es-ES_tradnl"/>
        </w:rPr>
        <w:t>ú</w:t>
      </w:r>
      <w:r>
        <w:rPr>
          <w:spacing w:val="-5"/>
          <w:sz w:val="18"/>
          <w:szCs w:val="18"/>
          <w:lang w:val="es-ES_tradnl"/>
        </w:rPr>
        <w:t>blicos, administrativos o judiciales, deber</w:t>
      </w:r>
      <w:r>
        <w:rPr>
          <w:rFonts w:cs="Times New Roman"/>
          <w:spacing w:val="-5"/>
          <w:sz w:val="18"/>
          <w:szCs w:val="18"/>
          <w:lang w:val="es-ES_tradnl"/>
        </w:rPr>
        <w:t>á</w:t>
      </w:r>
      <w:r>
        <w:rPr>
          <w:spacing w:val="-5"/>
          <w:sz w:val="18"/>
          <w:szCs w:val="18"/>
          <w:lang w:val="es-ES_tradnl"/>
        </w:rPr>
        <w:t xml:space="preserve">n aplicar la </w:t>
      </w:r>
      <w:r>
        <w:rPr>
          <w:spacing w:val="-7"/>
          <w:sz w:val="18"/>
          <w:szCs w:val="18"/>
          <w:lang w:val="es-ES_tradnl"/>
        </w:rPr>
        <w:t>norma y la interpretaci</w:t>
      </w:r>
      <w:r>
        <w:rPr>
          <w:rFonts w:cs="Times New Roman"/>
          <w:spacing w:val="-7"/>
          <w:sz w:val="18"/>
          <w:szCs w:val="18"/>
          <w:lang w:val="es-ES_tradnl"/>
        </w:rPr>
        <w:t>ó</w:t>
      </w:r>
      <w:r>
        <w:rPr>
          <w:spacing w:val="-7"/>
          <w:sz w:val="18"/>
          <w:szCs w:val="18"/>
          <w:lang w:val="es-ES_tradnl"/>
        </w:rPr>
        <w:t>n que m</w:t>
      </w:r>
      <w:r>
        <w:rPr>
          <w:rFonts w:cs="Times New Roman"/>
          <w:spacing w:val="-7"/>
          <w:sz w:val="18"/>
          <w:szCs w:val="18"/>
          <w:lang w:val="es-ES_tradnl"/>
        </w:rPr>
        <w:t>á</w:t>
      </w:r>
      <w:r>
        <w:rPr>
          <w:spacing w:val="-7"/>
          <w:sz w:val="18"/>
          <w:szCs w:val="18"/>
          <w:lang w:val="es-ES_tradnl"/>
        </w:rPr>
        <w:t xml:space="preserve">s favorezcan su efectiva </w:t>
      </w:r>
      <w:r>
        <w:rPr>
          <w:sz w:val="18"/>
          <w:szCs w:val="18"/>
          <w:lang w:val="es-ES_tradnl"/>
        </w:rPr>
        <w:t>vigencia (</w:t>
      </w:r>
      <w:r>
        <w:rPr>
          <w:rFonts w:cs="Times New Roman"/>
          <w:sz w:val="18"/>
          <w:szCs w:val="18"/>
          <w:lang w:val="es-ES_tradnl"/>
        </w:rPr>
        <w:t>…</w:t>
      </w:r>
      <w:r>
        <w:rPr>
          <w:sz w:val="18"/>
          <w:szCs w:val="18"/>
          <w:lang w:val="es-ES_tradnl"/>
        </w:rPr>
        <w:t>)</w:t>
      </w:r>
      <w:r>
        <w:rPr>
          <w:rFonts w:cs="Times New Roman"/>
          <w:sz w:val="18"/>
          <w:szCs w:val="18"/>
          <w:lang w:val="es-ES_tradnl"/>
        </w:rPr>
        <w:t>”</w:t>
      </w:r>
      <w:r>
        <w:rPr>
          <w:sz w:val="18"/>
          <w:szCs w:val="18"/>
          <w:lang w:val="es-ES_tradnl"/>
        </w:rPr>
        <w:t>.</w:t>
      </w:r>
    </w:p>
    <w:p w14:paraId="4F67B3CA" w14:textId="77777777" w:rsidR="00591D54" w:rsidRDefault="00591D54">
      <w:pPr>
        <w:shd w:val="clear" w:color="auto" w:fill="FFFFFF"/>
        <w:spacing w:before="192" w:line="216" w:lineRule="exact"/>
        <w:jc w:val="both"/>
      </w:pPr>
      <w:r>
        <w:rPr>
          <w:spacing w:val="-4"/>
          <w:sz w:val="18"/>
          <w:szCs w:val="18"/>
          <w:lang w:val="es-ES_tradnl"/>
        </w:rPr>
        <w:t xml:space="preserve">Tal principio supone que en caso de que hubiere dos </w:t>
      </w:r>
      <w:r>
        <w:rPr>
          <w:spacing w:val="-6"/>
          <w:sz w:val="18"/>
          <w:szCs w:val="18"/>
          <w:lang w:val="es-ES_tradnl"/>
        </w:rPr>
        <w:t>normas aplicables para una misma situaci</w:t>
      </w:r>
      <w:r>
        <w:rPr>
          <w:rFonts w:cs="Times New Roman"/>
          <w:spacing w:val="-6"/>
          <w:sz w:val="18"/>
          <w:szCs w:val="18"/>
          <w:lang w:val="es-ES_tradnl"/>
        </w:rPr>
        <w:t>ó</w:t>
      </w:r>
      <w:r>
        <w:rPr>
          <w:spacing w:val="-6"/>
          <w:sz w:val="18"/>
          <w:szCs w:val="18"/>
          <w:lang w:val="es-ES_tradnl"/>
        </w:rPr>
        <w:t xml:space="preserve">n y dos </w:t>
      </w:r>
      <w:r>
        <w:rPr>
          <w:spacing w:val="-4"/>
          <w:sz w:val="18"/>
          <w:szCs w:val="18"/>
          <w:lang w:val="es-ES_tradnl"/>
        </w:rPr>
        <w:t xml:space="preserve">interpretaciones posibles para una misma norma, se ha </w:t>
      </w:r>
      <w:r>
        <w:rPr>
          <w:spacing w:val="-7"/>
          <w:sz w:val="18"/>
          <w:szCs w:val="18"/>
          <w:lang w:val="es-ES_tradnl"/>
        </w:rPr>
        <w:t>de aplicar necesariamente aquella norma o interpretaci</w:t>
      </w:r>
      <w:r>
        <w:rPr>
          <w:rFonts w:cs="Times New Roman"/>
          <w:spacing w:val="-7"/>
          <w:sz w:val="18"/>
          <w:szCs w:val="18"/>
          <w:lang w:val="es-ES_tradnl"/>
        </w:rPr>
        <w:t>ó</w:t>
      </w:r>
      <w:r>
        <w:rPr>
          <w:spacing w:val="-7"/>
          <w:sz w:val="18"/>
          <w:szCs w:val="18"/>
          <w:lang w:val="es-ES_tradnl"/>
        </w:rPr>
        <w:t xml:space="preserve">n </w:t>
      </w:r>
      <w:r>
        <w:rPr>
          <w:spacing w:val="-8"/>
          <w:sz w:val="18"/>
          <w:szCs w:val="18"/>
          <w:lang w:val="es-ES_tradnl"/>
        </w:rPr>
        <w:t>que m</w:t>
      </w:r>
      <w:r>
        <w:rPr>
          <w:rFonts w:cs="Times New Roman"/>
          <w:spacing w:val="-8"/>
          <w:sz w:val="18"/>
          <w:szCs w:val="18"/>
          <w:lang w:val="es-ES_tradnl"/>
        </w:rPr>
        <w:t>á</w:t>
      </w:r>
      <w:r>
        <w:rPr>
          <w:spacing w:val="-8"/>
          <w:sz w:val="18"/>
          <w:szCs w:val="18"/>
          <w:lang w:val="es-ES_tradnl"/>
        </w:rPr>
        <w:t xml:space="preserve">s favorezca efectivamente el ejercicio de derechos </w:t>
      </w:r>
      <w:r>
        <w:rPr>
          <w:spacing w:val="-2"/>
          <w:sz w:val="18"/>
          <w:szCs w:val="18"/>
          <w:lang w:val="es-ES_tradnl"/>
        </w:rPr>
        <w:t xml:space="preserve">constitucionales. En tal sentido, cuando se trate de </w:t>
      </w:r>
      <w:r>
        <w:rPr>
          <w:spacing w:val="-7"/>
          <w:sz w:val="18"/>
          <w:szCs w:val="18"/>
          <w:lang w:val="es-ES_tradnl"/>
        </w:rPr>
        <w:t>derechos, los jueces acudir</w:t>
      </w:r>
      <w:r>
        <w:rPr>
          <w:rFonts w:cs="Times New Roman"/>
          <w:spacing w:val="-7"/>
          <w:sz w:val="18"/>
          <w:szCs w:val="18"/>
          <w:lang w:val="es-ES_tradnl"/>
        </w:rPr>
        <w:t>á</w:t>
      </w:r>
      <w:r>
        <w:rPr>
          <w:spacing w:val="-7"/>
          <w:sz w:val="18"/>
          <w:szCs w:val="18"/>
          <w:lang w:val="es-ES_tradnl"/>
        </w:rPr>
        <w:t>n a la norma m</w:t>
      </w:r>
      <w:r>
        <w:rPr>
          <w:rFonts w:cs="Times New Roman"/>
          <w:spacing w:val="-7"/>
          <w:sz w:val="18"/>
          <w:szCs w:val="18"/>
          <w:lang w:val="es-ES_tradnl"/>
        </w:rPr>
        <w:t>á</w:t>
      </w:r>
      <w:r>
        <w:rPr>
          <w:spacing w:val="-7"/>
          <w:sz w:val="18"/>
          <w:szCs w:val="18"/>
          <w:lang w:val="es-ES_tradnl"/>
        </w:rPr>
        <w:t xml:space="preserve">s amplia o a </w:t>
      </w:r>
      <w:r>
        <w:rPr>
          <w:spacing w:val="-6"/>
          <w:sz w:val="18"/>
          <w:szCs w:val="18"/>
          <w:lang w:val="es-ES_tradnl"/>
        </w:rPr>
        <w:t>una interpretaci</w:t>
      </w:r>
      <w:r>
        <w:rPr>
          <w:rFonts w:cs="Times New Roman"/>
          <w:spacing w:val="-6"/>
          <w:sz w:val="18"/>
          <w:szCs w:val="18"/>
          <w:lang w:val="es-ES_tradnl"/>
        </w:rPr>
        <w:t>ó</w:t>
      </w:r>
      <w:r>
        <w:rPr>
          <w:spacing w:val="-6"/>
          <w:sz w:val="18"/>
          <w:szCs w:val="18"/>
          <w:lang w:val="es-ES_tradnl"/>
        </w:rPr>
        <w:t xml:space="preserve">n normativa extensiva y por el contrario, </w:t>
      </w:r>
      <w:r>
        <w:rPr>
          <w:spacing w:val="-7"/>
          <w:sz w:val="18"/>
          <w:szCs w:val="18"/>
          <w:lang w:val="es-ES_tradnl"/>
        </w:rPr>
        <w:t>cuando se trate de establecer l</w:t>
      </w:r>
      <w:r>
        <w:rPr>
          <w:rFonts w:cs="Times New Roman"/>
          <w:spacing w:val="-7"/>
          <w:sz w:val="18"/>
          <w:szCs w:val="18"/>
          <w:lang w:val="es-ES_tradnl"/>
        </w:rPr>
        <w:t>í</w:t>
      </w:r>
      <w:r>
        <w:rPr>
          <w:spacing w:val="-7"/>
          <w:sz w:val="18"/>
          <w:szCs w:val="18"/>
          <w:lang w:val="es-ES_tradnl"/>
        </w:rPr>
        <w:t xml:space="preserve">mites al ejercicio de tales </w:t>
      </w:r>
      <w:r>
        <w:rPr>
          <w:spacing w:val="-8"/>
          <w:sz w:val="18"/>
          <w:szCs w:val="18"/>
          <w:lang w:val="es-ES_tradnl"/>
        </w:rPr>
        <w:t>derechos, acudir</w:t>
      </w:r>
      <w:r>
        <w:rPr>
          <w:rFonts w:cs="Times New Roman"/>
          <w:spacing w:val="-8"/>
          <w:sz w:val="18"/>
          <w:szCs w:val="18"/>
          <w:lang w:val="es-ES_tradnl"/>
        </w:rPr>
        <w:t>á</w:t>
      </w:r>
      <w:r>
        <w:rPr>
          <w:spacing w:val="-8"/>
          <w:sz w:val="18"/>
          <w:szCs w:val="18"/>
          <w:lang w:val="es-ES_tradnl"/>
        </w:rPr>
        <w:t>n a la norma o a la interpretaci</w:t>
      </w:r>
      <w:r>
        <w:rPr>
          <w:rFonts w:cs="Times New Roman"/>
          <w:spacing w:val="-8"/>
          <w:sz w:val="18"/>
          <w:szCs w:val="18"/>
          <w:lang w:val="es-ES_tradnl"/>
        </w:rPr>
        <w:t>ó</w:t>
      </w:r>
      <w:r>
        <w:rPr>
          <w:spacing w:val="-8"/>
          <w:sz w:val="18"/>
          <w:szCs w:val="18"/>
          <w:lang w:val="es-ES_tradnl"/>
        </w:rPr>
        <w:t xml:space="preserve">n menos </w:t>
      </w:r>
      <w:r>
        <w:rPr>
          <w:sz w:val="18"/>
          <w:szCs w:val="18"/>
          <w:lang w:val="es-ES_tradnl"/>
        </w:rPr>
        <w:t>restrictiva.</w:t>
      </w:r>
    </w:p>
    <w:p w14:paraId="4F67B3CB" w14:textId="77777777" w:rsidR="00591D54" w:rsidRDefault="00591D54">
      <w:pPr>
        <w:shd w:val="clear" w:color="auto" w:fill="FFFFFF"/>
        <w:spacing w:before="192" w:line="216" w:lineRule="exact"/>
        <w:jc w:val="both"/>
      </w:pPr>
      <w:r>
        <w:rPr>
          <w:spacing w:val="-10"/>
          <w:sz w:val="18"/>
          <w:szCs w:val="18"/>
          <w:lang w:val="es-ES_tradnl"/>
        </w:rPr>
        <w:t>As</w:t>
      </w:r>
      <w:r>
        <w:rPr>
          <w:rFonts w:cs="Times New Roman"/>
          <w:spacing w:val="-10"/>
          <w:sz w:val="18"/>
          <w:szCs w:val="18"/>
          <w:lang w:val="es-ES_tradnl"/>
        </w:rPr>
        <w:t>í</w:t>
      </w:r>
      <w:r>
        <w:rPr>
          <w:spacing w:val="-10"/>
          <w:sz w:val="18"/>
          <w:szCs w:val="18"/>
          <w:lang w:val="es-ES_tradnl"/>
        </w:rPr>
        <w:t xml:space="preserve"> se han expresado varios tratadistas, se</w:t>
      </w:r>
      <w:r>
        <w:rPr>
          <w:rFonts w:cs="Times New Roman"/>
          <w:spacing w:val="-10"/>
          <w:sz w:val="18"/>
          <w:szCs w:val="18"/>
          <w:lang w:val="es-ES_tradnl"/>
        </w:rPr>
        <w:t>ñ</w:t>
      </w:r>
      <w:r>
        <w:rPr>
          <w:spacing w:val="-10"/>
          <w:sz w:val="18"/>
          <w:szCs w:val="18"/>
          <w:lang w:val="es-ES_tradnl"/>
        </w:rPr>
        <w:t xml:space="preserve">alando, como lo </w:t>
      </w:r>
      <w:r>
        <w:rPr>
          <w:spacing w:val="-7"/>
          <w:sz w:val="18"/>
          <w:szCs w:val="18"/>
          <w:lang w:val="es-ES_tradnl"/>
        </w:rPr>
        <w:t xml:space="preserve">hace Ramiro </w:t>
      </w:r>
      <w:r>
        <w:rPr>
          <w:rFonts w:cs="Times New Roman"/>
          <w:spacing w:val="-7"/>
          <w:sz w:val="18"/>
          <w:szCs w:val="18"/>
          <w:lang w:val="es-ES_tradnl"/>
        </w:rPr>
        <w:t>Á</w:t>
      </w:r>
      <w:r>
        <w:rPr>
          <w:spacing w:val="-7"/>
          <w:sz w:val="18"/>
          <w:szCs w:val="18"/>
          <w:lang w:val="es-ES_tradnl"/>
        </w:rPr>
        <w:t>vila Santamar</w:t>
      </w:r>
      <w:r>
        <w:rPr>
          <w:rFonts w:cs="Times New Roman"/>
          <w:spacing w:val="-7"/>
          <w:sz w:val="18"/>
          <w:szCs w:val="18"/>
          <w:lang w:val="es-ES_tradnl"/>
        </w:rPr>
        <w:t>í</w:t>
      </w:r>
      <w:r>
        <w:rPr>
          <w:spacing w:val="-7"/>
          <w:sz w:val="18"/>
          <w:szCs w:val="18"/>
          <w:lang w:val="es-ES_tradnl"/>
        </w:rPr>
        <w:t>a, lo que sigue:</w:t>
      </w:r>
    </w:p>
    <w:p w14:paraId="4F67B3CC" w14:textId="77777777" w:rsidR="00591D54" w:rsidRDefault="00591D54">
      <w:pPr>
        <w:shd w:val="clear" w:color="auto" w:fill="FFFFFF"/>
        <w:spacing w:before="202" w:line="216" w:lineRule="exact"/>
        <w:ind w:left="283"/>
        <w:jc w:val="both"/>
      </w:pPr>
      <w:r>
        <w:rPr>
          <w:sz w:val="14"/>
          <w:szCs w:val="14"/>
          <w:lang w:val="es-ES_tradnl"/>
        </w:rPr>
        <w:t>La prohibici</w:t>
      </w:r>
      <w:r>
        <w:rPr>
          <w:rFonts w:cs="Times New Roman"/>
          <w:sz w:val="14"/>
          <w:szCs w:val="14"/>
          <w:lang w:val="es-ES_tradnl"/>
        </w:rPr>
        <w:t>ó</w:t>
      </w:r>
      <w:r>
        <w:rPr>
          <w:sz w:val="14"/>
          <w:szCs w:val="14"/>
          <w:lang w:val="es-ES_tradnl"/>
        </w:rPr>
        <w:t>n de restricci</w:t>
      </w:r>
      <w:r>
        <w:rPr>
          <w:rFonts w:cs="Times New Roman"/>
          <w:sz w:val="14"/>
          <w:szCs w:val="14"/>
          <w:lang w:val="es-ES_tradnl"/>
        </w:rPr>
        <w:t>ó</w:t>
      </w:r>
      <w:r>
        <w:rPr>
          <w:sz w:val="14"/>
          <w:szCs w:val="14"/>
          <w:lang w:val="es-ES_tradnl"/>
        </w:rPr>
        <w:t>n normativa infraconstitucional tiene relaci</w:t>
      </w:r>
      <w:r>
        <w:rPr>
          <w:rFonts w:cs="Times New Roman"/>
          <w:sz w:val="14"/>
          <w:szCs w:val="14"/>
          <w:lang w:val="es-ES_tradnl"/>
        </w:rPr>
        <w:t>ó</w:t>
      </w:r>
      <w:r>
        <w:rPr>
          <w:sz w:val="14"/>
          <w:szCs w:val="14"/>
          <w:lang w:val="es-ES_tradnl"/>
        </w:rPr>
        <w:t>n directa con (1) la supremac</w:t>
      </w:r>
      <w:r>
        <w:rPr>
          <w:rFonts w:cs="Times New Roman"/>
          <w:sz w:val="14"/>
          <w:szCs w:val="14"/>
          <w:lang w:val="es-ES_tradnl"/>
        </w:rPr>
        <w:t>í</w:t>
      </w:r>
      <w:r>
        <w:rPr>
          <w:sz w:val="14"/>
          <w:szCs w:val="14"/>
          <w:lang w:val="es-ES_tradnl"/>
        </w:rPr>
        <w:t>a de la Constituci</w:t>
      </w:r>
      <w:r>
        <w:rPr>
          <w:rFonts w:cs="Times New Roman"/>
          <w:sz w:val="14"/>
          <w:szCs w:val="14"/>
          <w:lang w:val="es-ES_tradnl"/>
        </w:rPr>
        <w:t>ó</w:t>
      </w:r>
      <w:r>
        <w:rPr>
          <w:sz w:val="14"/>
          <w:szCs w:val="14"/>
          <w:lang w:val="es-ES_tradnl"/>
        </w:rPr>
        <w:t>n, con (2) el principio pro homine y con (3) el principio de progresividad. (1) La Constituci</w:t>
      </w:r>
      <w:r>
        <w:rPr>
          <w:rFonts w:cs="Times New Roman"/>
          <w:sz w:val="14"/>
          <w:szCs w:val="14"/>
          <w:lang w:val="es-ES_tradnl"/>
        </w:rPr>
        <w:t>ó</w:t>
      </w:r>
      <w:r>
        <w:rPr>
          <w:sz w:val="14"/>
          <w:szCs w:val="14"/>
          <w:lang w:val="es-ES_tradnl"/>
        </w:rPr>
        <w:t>n establece, al reconocer</w:t>
      </w:r>
    </w:p>
    <w:p w14:paraId="4F67B3CD" w14:textId="77777777" w:rsidR="00591D54" w:rsidRDefault="00591D54">
      <w:pPr>
        <w:shd w:val="clear" w:color="auto" w:fill="FFFFFF"/>
        <w:spacing w:before="202" w:line="216" w:lineRule="exact"/>
        <w:ind w:left="283"/>
        <w:jc w:val="both"/>
        <w:sectPr w:rsidR="00591D54">
          <w:type w:val="continuous"/>
          <w:pgSz w:w="11909" w:h="16834"/>
          <w:pgMar w:top="1356" w:right="1309" w:bottom="360" w:left="1308" w:header="720" w:footer="720" w:gutter="0"/>
          <w:cols w:num="2" w:space="720" w:equalWidth="0">
            <w:col w:w="4305" w:space="682"/>
            <w:col w:w="4305"/>
          </w:cols>
          <w:noEndnote/>
        </w:sectPr>
      </w:pPr>
    </w:p>
    <w:p w14:paraId="4F67B3CE" w14:textId="77777777" w:rsidR="00591D54" w:rsidRDefault="00591D54">
      <w:pPr>
        <w:shd w:val="clear" w:color="auto" w:fill="FFFFFF"/>
        <w:tabs>
          <w:tab w:val="left" w:pos="4814"/>
        </w:tabs>
        <w:spacing w:after="230"/>
        <w:ind w:left="5"/>
      </w:pPr>
      <w:r>
        <w:rPr>
          <w:b/>
          <w:bCs/>
          <w:sz w:val="18"/>
          <w:szCs w:val="18"/>
          <w:lang w:val="es-ES_tradnl"/>
        </w:rPr>
        <w:t xml:space="preserve">200 -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3CF" w14:textId="77777777" w:rsidR="00591D54" w:rsidRDefault="00591D54">
      <w:pPr>
        <w:shd w:val="clear" w:color="auto" w:fill="FFFFFF"/>
        <w:tabs>
          <w:tab w:val="left" w:pos="4814"/>
        </w:tabs>
        <w:spacing w:after="230"/>
        <w:ind w:left="5"/>
        <w:sectPr w:rsidR="00591D54">
          <w:pgSz w:w="11909" w:h="16834"/>
          <w:pgMar w:top="1356" w:right="1309" w:bottom="360" w:left="1308" w:header="720" w:footer="720" w:gutter="0"/>
          <w:cols w:space="60"/>
          <w:noEndnote/>
        </w:sectPr>
      </w:pPr>
    </w:p>
    <w:p w14:paraId="4F67B3D0" w14:textId="77777777" w:rsidR="00591D54" w:rsidRDefault="00591D54">
      <w:pPr>
        <w:shd w:val="clear" w:color="auto" w:fill="FFFFFF"/>
        <w:spacing w:line="211" w:lineRule="exact"/>
        <w:ind w:left="283"/>
        <w:jc w:val="both"/>
      </w:pPr>
      <w:r>
        <w:rPr>
          <w:spacing w:val="-2"/>
          <w:sz w:val="16"/>
          <w:szCs w:val="16"/>
          <w:lang w:val="es-ES_tradnl"/>
        </w:rPr>
        <w:t>expresamente un derecho y una garant</w:t>
      </w:r>
      <w:r>
        <w:rPr>
          <w:rFonts w:cs="Times New Roman"/>
          <w:spacing w:val="-2"/>
          <w:sz w:val="16"/>
          <w:szCs w:val="16"/>
          <w:lang w:val="es-ES_tradnl"/>
        </w:rPr>
        <w:t>í</w:t>
      </w:r>
      <w:r>
        <w:rPr>
          <w:spacing w:val="-2"/>
          <w:sz w:val="16"/>
          <w:szCs w:val="16"/>
          <w:lang w:val="es-ES_tradnl"/>
        </w:rPr>
        <w:t>a, un m</w:t>
      </w:r>
      <w:r>
        <w:rPr>
          <w:rFonts w:cs="Times New Roman"/>
          <w:spacing w:val="-2"/>
          <w:sz w:val="16"/>
          <w:szCs w:val="16"/>
          <w:lang w:val="es-ES_tradnl"/>
        </w:rPr>
        <w:t>í</w:t>
      </w:r>
      <w:r>
        <w:rPr>
          <w:spacing w:val="-2"/>
          <w:sz w:val="16"/>
          <w:szCs w:val="16"/>
          <w:lang w:val="es-ES_tradnl"/>
        </w:rPr>
        <w:t>nimo que no puede ser disminuido. Irrespetar el m</w:t>
      </w:r>
      <w:r>
        <w:rPr>
          <w:rFonts w:cs="Times New Roman"/>
          <w:spacing w:val="-2"/>
          <w:sz w:val="16"/>
          <w:szCs w:val="16"/>
          <w:lang w:val="es-ES_tradnl"/>
        </w:rPr>
        <w:t>í</w:t>
      </w:r>
      <w:r>
        <w:rPr>
          <w:spacing w:val="-2"/>
          <w:sz w:val="16"/>
          <w:szCs w:val="16"/>
          <w:lang w:val="es-ES_tradnl"/>
        </w:rPr>
        <w:t xml:space="preserve">nimo, mediante </w:t>
      </w:r>
      <w:r>
        <w:rPr>
          <w:spacing w:val="-3"/>
          <w:sz w:val="16"/>
          <w:szCs w:val="16"/>
          <w:lang w:val="es-ES_tradnl"/>
        </w:rPr>
        <w:t>una norma jur</w:t>
      </w:r>
      <w:r>
        <w:rPr>
          <w:rFonts w:cs="Times New Roman"/>
          <w:spacing w:val="-3"/>
          <w:sz w:val="16"/>
          <w:szCs w:val="16"/>
          <w:lang w:val="es-ES_tradnl"/>
        </w:rPr>
        <w:t>í</w:t>
      </w:r>
      <w:r>
        <w:rPr>
          <w:spacing w:val="-3"/>
          <w:sz w:val="16"/>
          <w:szCs w:val="16"/>
          <w:lang w:val="es-ES_tradnl"/>
        </w:rPr>
        <w:t>dica de cualquier jerarqu</w:t>
      </w:r>
      <w:r>
        <w:rPr>
          <w:rFonts w:cs="Times New Roman"/>
          <w:spacing w:val="-3"/>
          <w:sz w:val="16"/>
          <w:szCs w:val="16"/>
          <w:lang w:val="es-ES_tradnl"/>
        </w:rPr>
        <w:t>í</w:t>
      </w:r>
      <w:r>
        <w:rPr>
          <w:spacing w:val="-3"/>
          <w:sz w:val="16"/>
          <w:szCs w:val="16"/>
          <w:lang w:val="es-ES_tradnl"/>
        </w:rPr>
        <w:t>a, significar</w:t>
      </w:r>
      <w:r>
        <w:rPr>
          <w:rFonts w:cs="Times New Roman"/>
          <w:spacing w:val="-3"/>
          <w:sz w:val="16"/>
          <w:szCs w:val="16"/>
          <w:lang w:val="es-ES_tradnl"/>
        </w:rPr>
        <w:t>í</w:t>
      </w:r>
      <w:r>
        <w:rPr>
          <w:spacing w:val="-3"/>
          <w:sz w:val="16"/>
          <w:szCs w:val="16"/>
          <w:lang w:val="es-ES_tradnl"/>
        </w:rPr>
        <w:t xml:space="preserve">a que </w:t>
      </w:r>
      <w:r>
        <w:rPr>
          <w:spacing w:val="-6"/>
          <w:sz w:val="16"/>
          <w:szCs w:val="16"/>
          <w:lang w:val="es-ES_tradnl"/>
        </w:rPr>
        <w:t>la Constituci</w:t>
      </w:r>
      <w:r>
        <w:rPr>
          <w:rFonts w:cs="Times New Roman"/>
          <w:spacing w:val="-6"/>
          <w:sz w:val="16"/>
          <w:szCs w:val="16"/>
          <w:lang w:val="es-ES_tradnl"/>
        </w:rPr>
        <w:t>ó</w:t>
      </w:r>
      <w:r>
        <w:rPr>
          <w:spacing w:val="-6"/>
          <w:sz w:val="16"/>
          <w:szCs w:val="16"/>
          <w:lang w:val="es-ES_tradnl"/>
        </w:rPr>
        <w:t>n est</w:t>
      </w:r>
      <w:r>
        <w:rPr>
          <w:rFonts w:cs="Times New Roman"/>
          <w:spacing w:val="-6"/>
          <w:sz w:val="16"/>
          <w:szCs w:val="16"/>
          <w:lang w:val="es-ES_tradnl"/>
        </w:rPr>
        <w:t>á</w:t>
      </w:r>
      <w:r>
        <w:rPr>
          <w:spacing w:val="-6"/>
          <w:sz w:val="16"/>
          <w:szCs w:val="16"/>
          <w:lang w:val="es-ES_tradnl"/>
        </w:rPr>
        <w:t xml:space="preserve"> siendo irrespetada y que, por tanto, esa </w:t>
      </w:r>
      <w:r>
        <w:rPr>
          <w:spacing w:val="-3"/>
          <w:sz w:val="16"/>
          <w:szCs w:val="16"/>
          <w:lang w:val="es-ES_tradnl"/>
        </w:rPr>
        <w:t>norma se torna inv</w:t>
      </w:r>
      <w:r>
        <w:rPr>
          <w:rFonts w:cs="Times New Roman"/>
          <w:spacing w:val="-3"/>
          <w:sz w:val="16"/>
          <w:szCs w:val="16"/>
          <w:lang w:val="es-ES_tradnl"/>
        </w:rPr>
        <w:t>á</w:t>
      </w:r>
      <w:r>
        <w:rPr>
          <w:spacing w:val="-3"/>
          <w:sz w:val="16"/>
          <w:szCs w:val="16"/>
          <w:lang w:val="es-ES_tradnl"/>
        </w:rPr>
        <w:t>lida. La prohibici</w:t>
      </w:r>
      <w:r>
        <w:rPr>
          <w:rFonts w:cs="Times New Roman"/>
          <w:spacing w:val="-3"/>
          <w:sz w:val="16"/>
          <w:szCs w:val="16"/>
          <w:lang w:val="es-ES_tradnl"/>
        </w:rPr>
        <w:t>ó</w:t>
      </w:r>
      <w:r>
        <w:rPr>
          <w:spacing w:val="-3"/>
          <w:sz w:val="16"/>
          <w:szCs w:val="16"/>
          <w:lang w:val="es-ES_tradnl"/>
        </w:rPr>
        <w:t>n de restricci</w:t>
      </w:r>
      <w:r>
        <w:rPr>
          <w:rFonts w:cs="Times New Roman"/>
          <w:spacing w:val="-3"/>
          <w:sz w:val="16"/>
          <w:szCs w:val="16"/>
          <w:lang w:val="es-ES_tradnl"/>
        </w:rPr>
        <w:t>ó</w:t>
      </w:r>
      <w:r>
        <w:rPr>
          <w:spacing w:val="-3"/>
          <w:sz w:val="16"/>
          <w:szCs w:val="16"/>
          <w:lang w:val="es-ES_tradnl"/>
        </w:rPr>
        <w:t xml:space="preserve">n no </w:t>
      </w:r>
      <w:r>
        <w:rPr>
          <w:spacing w:val="-2"/>
          <w:sz w:val="16"/>
          <w:szCs w:val="16"/>
          <w:lang w:val="es-ES_tradnl"/>
        </w:rPr>
        <w:t>impide la regulaci</w:t>
      </w:r>
      <w:r>
        <w:rPr>
          <w:rFonts w:cs="Times New Roman"/>
          <w:spacing w:val="-2"/>
          <w:sz w:val="16"/>
          <w:szCs w:val="16"/>
          <w:lang w:val="es-ES_tradnl"/>
        </w:rPr>
        <w:t>ó</w:t>
      </w:r>
      <w:r>
        <w:rPr>
          <w:spacing w:val="-2"/>
          <w:sz w:val="16"/>
          <w:szCs w:val="16"/>
          <w:lang w:val="es-ES_tradnl"/>
        </w:rPr>
        <w:t>n. Las normas de car</w:t>
      </w:r>
      <w:r>
        <w:rPr>
          <w:rFonts w:cs="Times New Roman"/>
          <w:spacing w:val="-2"/>
          <w:sz w:val="16"/>
          <w:szCs w:val="16"/>
          <w:lang w:val="es-ES_tradnl"/>
        </w:rPr>
        <w:t>á</w:t>
      </w:r>
      <w:r>
        <w:rPr>
          <w:spacing w:val="-2"/>
          <w:sz w:val="16"/>
          <w:szCs w:val="16"/>
          <w:lang w:val="es-ES_tradnl"/>
        </w:rPr>
        <w:t xml:space="preserve">cter secundario, </w:t>
      </w:r>
      <w:r>
        <w:rPr>
          <w:spacing w:val="-7"/>
          <w:sz w:val="16"/>
          <w:szCs w:val="16"/>
          <w:lang w:val="es-ES_tradnl"/>
        </w:rPr>
        <w:t>si es que regulan sobre los derechos o las garant</w:t>
      </w:r>
      <w:r>
        <w:rPr>
          <w:rFonts w:cs="Times New Roman"/>
          <w:spacing w:val="-7"/>
          <w:sz w:val="16"/>
          <w:szCs w:val="16"/>
          <w:lang w:val="es-ES_tradnl"/>
        </w:rPr>
        <w:t>í</w:t>
      </w:r>
      <w:r>
        <w:rPr>
          <w:spacing w:val="-7"/>
          <w:sz w:val="16"/>
          <w:szCs w:val="16"/>
          <w:lang w:val="es-ES_tradnl"/>
        </w:rPr>
        <w:t xml:space="preserve">as, pueden </w:t>
      </w:r>
      <w:r>
        <w:rPr>
          <w:spacing w:val="-6"/>
          <w:sz w:val="16"/>
          <w:szCs w:val="16"/>
          <w:lang w:val="es-ES_tradnl"/>
        </w:rPr>
        <w:t>ampliar los m</w:t>
      </w:r>
      <w:r>
        <w:rPr>
          <w:rFonts w:cs="Times New Roman"/>
          <w:spacing w:val="-6"/>
          <w:sz w:val="16"/>
          <w:szCs w:val="16"/>
          <w:lang w:val="es-ES_tradnl"/>
        </w:rPr>
        <w:t>í</w:t>
      </w:r>
      <w:r>
        <w:rPr>
          <w:spacing w:val="-6"/>
          <w:sz w:val="16"/>
          <w:szCs w:val="16"/>
          <w:lang w:val="es-ES_tradnl"/>
        </w:rPr>
        <w:t xml:space="preserve">nimos, desarrollar los derechos, ampliar los </w:t>
      </w:r>
      <w:r>
        <w:rPr>
          <w:spacing w:val="-5"/>
          <w:sz w:val="16"/>
          <w:szCs w:val="16"/>
          <w:lang w:val="es-ES_tradnl"/>
        </w:rPr>
        <w:t>m</w:t>
      </w:r>
      <w:r>
        <w:rPr>
          <w:rFonts w:cs="Times New Roman"/>
          <w:spacing w:val="-5"/>
          <w:sz w:val="16"/>
          <w:szCs w:val="16"/>
          <w:lang w:val="es-ES_tradnl"/>
        </w:rPr>
        <w:t>á</w:t>
      </w:r>
      <w:r>
        <w:rPr>
          <w:spacing w:val="-5"/>
          <w:sz w:val="16"/>
          <w:szCs w:val="16"/>
          <w:lang w:val="es-ES_tradnl"/>
        </w:rPr>
        <w:t>rgenes de protecci</w:t>
      </w:r>
      <w:r>
        <w:rPr>
          <w:rFonts w:cs="Times New Roman"/>
          <w:spacing w:val="-5"/>
          <w:sz w:val="16"/>
          <w:szCs w:val="16"/>
          <w:lang w:val="es-ES_tradnl"/>
        </w:rPr>
        <w:t>ó</w:t>
      </w:r>
      <w:r>
        <w:rPr>
          <w:spacing w:val="-5"/>
          <w:sz w:val="16"/>
          <w:szCs w:val="16"/>
          <w:lang w:val="es-ES_tradnl"/>
        </w:rPr>
        <w:t xml:space="preserve">n y facilitar las condiciones para su </w:t>
      </w:r>
      <w:r>
        <w:rPr>
          <w:spacing w:val="-4"/>
          <w:sz w:val="16"/>
          <w:szCs w:val="16"/>
          <w:lang w:val="es-ES_tradnl"/>
        </w:rPr>
        <w:t>aplicaci</w:t>
      </w:r>
      <w:r>
        <w:rPr>
          <w:rFonts w:cs="Times New Roman"/>
          <w:spacing w:val="-4"/>
          <w:sz w:val="16"/>
          <w:szCs w:val="16"/>
          <w:lang w:val="es-ES_tradnl"/>
        </w:rPr>
        <w:t>ó</w:t>
      </w:r>
      <w:r>
        <w:rPr>
          <w:spacing w:val="-4"/>
          <w:sz w:val="16"/>
          <w:szCs w:val="16"/>
          <w:lang w:val="es-ES_tradnl"/>
        </w:rPr>
        <w:t>n. No puede, en cambio, disminuir la protecci</w:t>
      </w:r>
      <w:r>
        <w:rPr>
          <w:rFonts w:cs="Times New Roman"/>
          <w:spacing w:val="-4"/>
          <w:sz w:val="16"/>
          <w:szCs w:val="16"/>
          <w:lang w:val="es-ES_tradnl"/>
        </w:rPr>
        <w:t>ó</w:t>
      </w:r>
      <w:r>
        <w:rPr>
          <w:spacing w:val="-4"/>
          <w:sz w:val="16"/>
          <w:szCs w:val="16"/>
          <w:lang w:val="es-ES_tradnl"/>
        </w:rPr>
        <w:t xml:space="preserve">n, </w:t>
      </w:r>
      <w:r>
        <w:rPr>
          <w:spacing w:val="-7"/>
          <w:sz w:val="16"/>
          <w:szCs w:val="16"/>
          <w:lang w:val="es-ES_tradnl"/>
        </w:rPr>
        <w:t xml:space="preserve">restringir un derecho o imponer condiciones que hagan que el </w:t>
      </w:r>
      <w:r>
        <w:rPr>
          <w:spacing w:val="-4"/>
          <w:sz w:val="16"/>
          <w:szCs w:val="16"/>
          <w:lang w:val="es-ES_tradnl"/>
        </w:rPr>
        <w:t>derecho sea inaplicable (</w:t>
      </w:r>
      <w:r>
        <w:rPr>
          <w:rFonts w:cs="Times New Roman"/>
          <w:spacing w:val="-4"/>
          <w:sz w:val="16"/>
          <w:szCs w:val="16"/>
          <w:lang w:val="es-ES_tradnl"/>
        </w:rPr>
        <w:t>…</w:t>
      </w:r>
      <w:r>
        <w:rPr>
          <w:spacing w:val="-4"/>
          <w:sz w:val="16"/>
          <w:szCs w:val="16"/>
          <w:lang w:val="es-ES_tradnl"/>
        </w:rPr>
        <w:t xml:space="preserve">) (2) El principio pro homine nos </w:t>
      </w:r>
      <w:r>
        <w:rPr>
          <w:spacing w:val="-8"/>
          <w:sz w:val="16"/>
          <w:szCs w:val="16"/>
          <w:lang w:val="es-ES_tradnl"/>
        </w:rPr>
        <w:t xml:space="preserve">indica la real posibilidad de encontrar antinomias en el sistema </w:t>
      </w:r>
      <w:r>
        <w:rPr>
          <w:spacing w:val="-3"/>
          <w:sz w:val="16"/>
          <w:szCs w:val="16"/>
          <w:lang w:val="es-ES_tradnl"/>
        </w:rPr>
        <w:t>jur</w:t>
      </w:r>
      <w:r>
        <w:rPr>
          <w:rFonts w:cs="Times New Roman"/>
          <w:spacing w:val="-3"/>
          <w:sz w:val="16"/>
          <w:szCs w:val="16"/>
          <w:lang w:val="es-ES_tradnl"/>
        </w:rPr>
        <w:t>í</w:t>
      </w:r>
      <w:r>
        <w:rPr>
          <w:spacing w:val="-3"/>
          <w:sz w:val="16"/>
          <w:szCs w:val="16"/>
          <w:lang w:val="es-ES_tradnl"/>
        </w:rPr>
        <w:t>dico. (</w:t>
      </w:r>
      <w:r>
        <w:rPr>
          <w:rFonts w:cs="Times New Roman"/>
          <w:spacing w:val="-3"/>
          <w:sz w:val="16"/>
          <w:szCs w:val="16"/>
          <w:lang w:val="es-ES_tradnl"/>
        </w:rPr>
        <w:t>…</w:t>
      </w:r>
      <w:r>
        <w:rPr>
          <w:spacing w:val="-3"/>
          <w:sz w:val="16"/>
          <w:szCs w:val="16"/>
          <w:lang w:val="es-ES_tradnl"/>
        </w:rPr>
        <w:t xml:space="preserve">) De existir duda en el alcance de una norma, y </w:t>
      </w:r>
      <w:r>
        <w:rPr>
          <w:spacing w:val="-6"/>
          <w:sz w:val="16"/>
          <w:szCs w:val="16"/>
          <w:lang w:val="es-ES_tradnl"/>
        </w:rPr>
        <w:t>si quien debe interpretarla no est</w:t>
      </w:r>
      <w:r>
        <w:rPr>
          <w:rFonts w:cs="Times New Roman"/>
          <w:spacing w:val="-6"/>
          <w:sz w:val="16"/>
          <w:szCs w:val="16"/>
          <w:lang w:val="es-ES_tradnl"/>
        </w:rPr>
        <w:t>á</w:t>
      </w:r>
      <w:r>
        <w:rPr>
          <w:spacing w:val="-6"/>
          <w:sz w:val="16"/>
          <w:szCs w:val="16"/>
          <w:lang w:val="es-ES_tradnl"/>
        </w:rPr>
        <w:t xml:space="preserve"> seguro si la regulaci</w:t>
      </w:r>
      <w:r>
        <w:rPr>
          <w:rFonts w:cs="Times New Roman"/>
          <w:spacing w:val="-6"/>
          <w:sz w:val="16"/>
          <w:szCs w:val="16"/>
          <w:lang w:val="es-ES_tradnl"/>
        </w:rPr>
        <w:t>ó</w:t>
      </w:r>
      <w:r>
        <w:rPr>
          <w:spacing w:val="-6"/>
          <w:sz w:val="16"/>
          <w:szCs w:val="16"/>
          <w:lang w:val="es-ES_tradnl"/>
        </w:rPr>
        <w:t xml:space="preserve">n es </w:t>
      </w:r>
      <w:r>
        <w:rPr>
          <w:spacing w:val="-7"/>
          <w:sz w:val="16"/>
          <w:szCs w:val="16"/>
          <w:lang w:val="es-ES_tradnl"/>
        </w:rPr>
        <w:t>restrictiva o no, por el principio pro homine deber</w:t>
      </w:r>
      <w:r>
        <w:rPr>
          <w:rFonts w:cs="Times New Roman"/>
          <w:spacing w:val="-7"/>
          <w:sz w:val="16"/>
          <w:szCs w:val="16"/>
          <w:lang w:val="es-ES_tradnl"/>
        </w:rPr>
        <w:t>á</w:t>
      </w:r>
      <w:r>
        <w:rPr>
          <w:spacing w:val="-7"/>
          <w:sz w:val="16"/>
          <w:szCs w:val="16"/>
          <w:lang w:val="es-ES_tradnl"/>
        </w:rPr>
        <w:t xml:space="preserve"> entenderse </w:t>
      </w:r>
      <w:r>
        <w:rPr>
          <w:spacing w:val="-5"/>
          <w:sz w:val="16"/>
          <w:szCs w:val="16"/>
          <w:lang w:val="es-ES_tradnl"/>
        </w:rPr>
        <w:t>que la norma sospechosa de restringir derechos, no deber</w:t>
      </w:r>
      <w:r>
        <w:rPr>
          <w:rFonts w:cs="Times New Roman"/>
          <w:spacing w:val="-5"/>
          <w:sz w:val="16"/>
          <w:szCs w:val="16"/>
          <w:lang w:val="es-ES_tradnl"/>
        </w:rPr>
        <w:t xml:space="preserve">á </w:t>
      </w:r>
      <w:r>
        <w:rPr>
          <w:spacing w:val="-6"/>
          <w:sz w:val="16"/>
          <w:szCs w:val="16"/>
          <w:lang w:val="es-ES_tradnl"/>
        </w:rPr>
        <w:t>ser aplicada. (3) Derechos y las garant</w:t>
      </w:r>
      <w:r>
        <w:rPr>
          <w:rFonts w:cs="Times New Roman"/>
          <w:spacing w:val="-6"/>
          <w:sz w:val="16"/>
          <w:szCs w:val="16"/>
          <w:lang w:val="es-ES_tradnl"/>
        </w:rPr>
        <w:t>í</w:t>
      </w:r>
      <w:r>
        <w:rPr>
          <w:spacing w:val="-6"/>
          <w:sz w:val="16"/>
          <w:szCs w:val="16"/>
          <w:lang w:val="es-ES_tradnl"/>
        </w:rPr>
        <w:t xml:space="preserve">as deben ir de menos </w:t>
      </w:r>
      <w:r>
        <w:rPr>
          <w:spacing w:val="-9"/>
          <w:sz w:val="16"/>
          <w:szCs w:val="16"/>
          <w:lang w:val="es-ES_tradnl"/>
        </w:rPr>
        <w:t>a m</w:t>
      </w:r>
      <w:r>
        <w:rPr>
          <w:rFonts w:cs="Times New Roman"/>
          <w:spacing w:val="-9"/>
          <w:sz w:val="16"/>
          <w:szCs w:val="16"/>
          <w:lang w:val="es-ES_tradnl"/>
        </w:rPr>
        <w:t>á</w:t>
      </w:r>
      <w:r>
        <w:rPr>
          <w:spacing w:val="-9"/>
          <w:sz w:val="16"/>
          <w:szCs w:val="16"/>
          <w:lang w:val="es-ES_tradnl"/>
        </w:rPr>
        <w:t>s. La Constituci</w:t>
      </w:r>
      <w:r>
        <w:rPr>
          <w:rFonts w:cs="Times New Roman"/>
          <w:spacing w:val="-9"/>
          <w:sz w:val="16"/>
          <w:szCs w:val="16"/>
          <w:lang w:val="es-ES_tradnl"/>
        </w:rPr>
        <w:t>ó</w:t>
      </w:r>
      <w:r>
        <w:rPr>
          <w:spacing w:val="-9"/>
          <w:sz w:val="16"/>
          <w:szCs w:val="16"/>
          <w:lang w:val="es-ES_tradnl"/>
        </w:rPr>
        <w:t xml:space="preserve">n establece un punto de partida que debe </w:t>
      </w:r>
      <w:r>
        <w:rPr>
          <w:spacing w:val="-7"/>
          <w:sz w:val="16"/>
          <w:szCs w:val="16"/>
          <w:lang w:val="es-ES_tradnl"/>
        </w:rPr>
        <w:t xml:space="preserve">ser desarrollado y expandido en todo sentido: alcance, </w:t>
      </w:r>
      <w:r>
        <w:rPr>
          <w:rFonts w:cs="Times New Roman"/>
          <w:spacing w:val="-7"/>
          <w:sz w:val="16"/>
          <w:szCs w:val="16"/>
          <w:lang w:val="es-ES_tradnl"/>
        </w:rPr>
        <w:t>á</w:t>
      </w:r>
      <w:r>
        <w:rPr>
          <w:spacing w:val="-7"/>
          <w:sz w:val="16"/>
          <w:szCs w:val="16"/>
          <w:lang w:val="es-ES_tradnl"/>
        </w:rPr>
        <w:t xml:space="preserve">mbito </w:t>
      </w:r>
      <w:r>
        <w:rPr>
          <w:spacing w:val="-6"/>
          <w:sz w:val="16"/>
          <w:szCs w:val="16"/>
          <w:lang w:val="es-ES_tradnl"/>
        </w:rPr>
        <w:t>de protecci</w:t>
      </w:r>
      <w:r>
        <w:rPr>
          <w:rFonts w:cs="Times New Roman"/>
          <w:spacing w:val="-6"/>
          <w:sz w:val="16"/>
          <w:szCs w:val="16"/>
          <w:lang w:val="es-ES_tradnl"/>
        </w:rPr>
        <w:t>ó</w:t>
      </w:r>
      <w:r>
        <w:rPr>
          <w:spacing w:val="-6"/>
          <w:sz w:val="16"/>
          <w:szCs w:val="16"/>
          <w:lang w:val="es-ES_tradnl"/>
        </w:rPr>
        <w:t xml:space="preserve">n, personas que las disfrutan, autoridades que </w:t>
      </w:r>
      <w:r>
        <w:rPr>
          <w:sz w:val="16"/>
          <w:szCs w:val="16"/>
          <w:lang w:val="es-ES_tradnl"/>
        </w:rPr>
        <w:t>aplican. El sentido contrario est</w:t>
      </w:r>
      <w:r>
        <w:rPr>
          <w:rFonts w:cs="Times New Roman"/>
          <w:sz w:val="16"/>
          <w:szCs w:val="16"/>
          <w:lang w:val="es-ES_tradnl"/>
        </w:rPr>
        <w:t>á</w:t>
      </w:r>
      <w:r>
        <w:rPr>
          <w:sz w:val="16"/>
          <w:szCs w:val="16"/>
          <w:lang w:val="es-ES_tradnl"/>
        </w:rPr>
        <w:t xml:space="preserve"> proscrito</w:t>
      </w:r>
      <w:r>
        <w:rPr>
          <w:sz w:val="16"/>
          <w:szCs w:val="16"/>
          <w:vertAlign w:val="superscript"/>
          <w:lang w:val="es-ES_tradnl"/>
        </w:rPr>
        <w:t>7</w:t>
      </w:r>
      <w:r>
        <w:rPr>
          <w:sz w:val="16"/>
          <w:szCs w:val="16"/>
          <w:lang w:val="es-ES_tradnl"/>
        </w:rPr>
        <w:t>.</w:t>
      </w:r>
    </w:p>
    <w:p w14:paraId="4F67B3D1" w14:textId="77777777" w:rsidR="00591D54" w:rsidRDefault="00591D54">
      <w:pPr>
        <w:shd w:val="clear" w:color="auto" w:fill="FFFFFF"/>
        <w:spacing w:before="202" w:line="211" w:lineRule="exact"/>
        <w:ind w:right="5"/>
        <w:jc w:val="both"/>
      </w:pPr>
      <w:r>
        <w:rPr>
          <w:spacing w:val="-8"/>
          <w:sz w:val="18"/>
          <w:szCs w:val="18"/>
          <w:lang w:val="es-ES_tradnl"/>
        </w:rPr>
        <w:t>Adem</w:t>
      </w:r>
      <w:r>
        <w:rPr>
          <w:rFonts w:cs="Times New Roman"/>
          <w:spacing w:val="-8"/>
          <w:sz w:val="18"/>
          <w:szCs w:val="18"/>
          <w:lang w:val="es-ES_tradnl"/>
        </w:rPr>
        <w:t>á</w:t>
      </w:r>
      <w:r>
        <w:rPr>
          <w:spacing w:val="-8"/>
          <w:sz w:val="18"/>
          <w:szCs w:val="18"/>
          <w:lang w:val="es-ES_tradnl"/>
        </w:rPr>
        <w:t xml:space="preserve">s, en el </w:t>
      </w:r>
      <w:r>
        <w:rPr>
          <w:rFonts w:cs="Times New Roman"/>
          <w:spacing w:val="-8"/>
          <w:sz w:val="18"/>
          <w:szCs w:val="18"/>
          <w:lang w:val="es-ES_tradnl"/>
        </w:rPr>
        <w:t>á</w:t>
      </w:r>
      <w:r>
        <w:rPr>
          <w:spacing w:val="-8"/>
          <w:sz w:val="18"/>
          <w:szCs w:val="18"/>
          <w:lang w:val="es-ES_tradnl"/>
        </w:rPr>
        <w:t xml:space="preserve">mbito penal, la duda debe resultar siempre </w:t>
      </w:r>
      <w:r>
        <w:rPr>
          <w:spacing w:val="-6"/>
          <w:sz w:val="18"/>
          <w:szCs w:val="18"/>
          <w:lang w:val="es-ES_tradnl"/>
        </w:rPr>
        <w:t xml:space="preserve">a favor del reo, principio de favorabilidad que, entre otros, </w:t>
      </w:r>
      <w:r>
        <w:rPr>
          <w:spacing w:val="-8"/>
          <w:sz w:val="18"/>
          <w:szCs w:val="18"/>
          <w:lang w:val="es-ES_tradnl"/>
        </w:rPr>
        <w:t xml:space="preserve">supone que hay dos normas aplicables para una misma </w:t>
      </w:r>
      <w:r>
        <w:rPr>
          <w:spacing w:val="-10"/>
          <w:sz w:val="18"/>
          <w:szCs w:val="18"/>
          <w:lang w:val="es-ES_tradnl"/>
        </w:rPr>
        <w:t>situaci</w:t>
      </w:r>
      <w:r>
        <w:rPr>
          <w:rFonts w:cs="Times New Roman"/>
          <w:spacing w:val="-10"/>
          <w:sz w:val="18"/>
          <w:szCs w:val="18"/>
          <w:lang w:val="es-ES_tradnl"/>
        </w:rPr>
        <w:t>ó</w:t>
      </w:r>
      <w:r>
        <w:rPr>
          <w:spacing w:val="-10"/>
          <w:sz w:val="18"/>
          <w:szCs w:val="18"/>
          <w:lang w:val="es-ES_tradnl"/>
        </w:rPr>
        <w:t xml:space="preserve">n o caso, y que existen dos interpretaciones posibles </w:t>
      </w:r>
      <w:r>
        <w:rPr>
          <w:spacing w:val="-6"/>
          <w:sz w:val="18"/>
          <w:szCs w:val="18"/>
          <w:lang w:val="es-ES_tradnl"/>
        </w:rPr>
        <w:t>para una misma norma, ante lo cual se aplicar</w:t>
      </w:r>
      <w:r>
        <w:rPr>
          <w:rFonts w:cs="Times New Roman"/>
          <w:spacing w:val="-6"/>
          <w:sz w:val="18"/>
          <w:szCs w:val="18"/>
          <w:lang w:val="es-ES_tradnl"/>
        </w:rPr>
        <w:t>á</w:t>
      </w:r>
      <w:r>
        <w:rPr>
          <w:spacing w:val="-6"/>
          <w:sz w:val="18"/>
          <w:szCs w:val="18"/>
          <w:lang w:val="es-ES_tradnl"/>
        </w:rPr>
        <w:t xml:space="preserve"> aquella norma o interpretaci</w:t>
      </w:r>
      <w:r>
        <w:rPr>
          <w:rFonts w:cs="Times New Roman"/>
          <w:spacing w:val="-6"/>
          <w:sz w:val="18"/>
          <w:szCs w:val="18"/>
          <w:lang w:val="es-ES_tradnl"/>
        </w:rPr>
        <w:t>ó</w:t>
      </w:r>
      <w:r>
        <w:rPr>
          <w:spacing w:val="-6"/>
          <w:sz w:val="18"/>
          <w:szCs w:val="18"/>
          <w:lang w:val="es-ES_tradnl"/>
        </w:rPr>
        <w:t>n que m</w:t>
      </w:r>
      <w:r>
        <w:rPr>
          <w:rFonts w:cs="Times New Roman"/>
          <w:spacing w:val="-6"/>
          <w:sz w:val="18"/>
          <w:szCs w:val="18"/>
          <w:lang w:val="es-ES_tradnl"/>
        </w:rPr>
        <w:t>á</w:t>
      </w:r>
      <w:r>
        <w:rPr>
          <w:spacing w:val="-6"/>
          <w:sz w:val="18"/>
          <w:szCs w:val="18"/>
          <w:lang w:val="es-ES_tradnl"/>
        </w:rPr>
        <w:t xml:space="preserve">s favorezca el ejercicio de </w:t>
      </w:r>
      <w:r>
        <w:rPr>
          <w:spacing w:val="-8"/>
          <w:sz w:val="18"/>
          <w:szCs w:val="18"/>
          <w:lang w:val="es-ES_tradnl"/>
        </w:rPr>
        <w:t xml:space="preserve">los derechos: </w:t>
      </w:r>
      <w:r>
        <w:rPr>
          <w:rFonts w:cs="Times New Roman"/>
          <w:spacing w:val="-8"/>
          <w:sz w:val="18"/>
          <w:szCs w:val="18"/>
          <w:lang w:val="es-ES_tradnl"/>
        </w:rPr>
        <w:t>“</w:t>
      </w:r>
      <w:r>
        <w:rPr>
          <w:spacing w:val="-8"/>
          <w:sz w:val="18"/>
          <w:szCs w:val="18"/>
          <w:lang w:val="es-ES_tradnl"/>
        </w:rPr>
        <w:t>(</w:t>
      </w:r>
      <w:r>
        <w:rPr>
          <w:rFonts w:cs="Times New Roman"/>
          <w:spacing w:val="-8"/>
          <w:sz w:val="18"/>
          <w:szCs w:val="18"/>
          <w:lang w:val="es-ES_tradnl"/>
        </w:rPr>
        <w:t>…</w:t>
      </w:r>
      <w:r>
        <w:rPr>
          <w:spacing w:val="-8"/>
          <w:sz w:val="18"/>
          <w:szCs w:val="18"/>
          <w:lang w:val="es-ES_tradnl"/>
        </w:rPr>
        <w:t xml:space="preserve">) Ante estas dos interpretaciones de una </w:t>
      </w:r>
      <w:r>
        <w:rPr>
          <w:spacing w:val="-11"/>
          <w:sz w:val="18"/>
          <w:szCs w:val="18"/>
          <w:lang w:val="es-ES_tradnl"/>
        </w:rPr>
        <w:t>misma norma procesal, debe preferirse la que m</w:t>
      </w:r>
      <w:r>
        <w:rPr>
          <w:rFonts w:cs="Times New Roman"/>
          <w:spacing w:val="-11"/>
          <w:sz w:val="18"/>
          <w:szCs w:val="18"/>
          <w:lang w:val="es-ES_tradnl"/>
        </w:rPr>
        <w:t>á</w:t>
      </w:r>
      <w:r>
        <w:rPr>
          <w:spacing w:val="-11"/>
          <w:sz w:val="18"/>
          <w:szCs w:val="18"/>
          <w:lang w:val="es-ES_tradnl"/>
        </w:rPr>
        <w:t xml:space="preserve">s favorezca </w:t>
      </w:r>
      <w:r>
        <w:rPr>
          <w:spacing w:val="-9"/>
          <w:sz w:val="18"/>
          <w:szCs w:val="18"/>
          <w:lang w:val="es-ES_tradnl"/>
        </w:rPr>
        <w:t xml:space="preserve">la vigencia de los derechos; en este caso, debe optarse por </w:t>
      </w:r>
      <w:r>
        <w:rPr>
          <w:spacing w:val="-11"/>
          <w:sz w:val="18"/>
          <w:szCs w:val="18"/>
          <w:lang w:val="es-ES_tradnl"/>
        </w:rPr>
        <w:t>la segunda opci</w:t>
      </w:r>
      <w:r>
        <w:rPr>
          <w:rFonts w:cs="Times New Roman"/>
          <w:spacing w:val="-11"/>
          <w:sz w:val="18"/>
          <w:szCs w:val="18"/>
          <w:lang w:val="es-ES_tradnl"/>
        </w:rPr>
        <w:t>ó</w:t>
      </w:r>
      <w:r>
        <w:rPr>
          <w:spacing w:val="-11"/>
          <w:sz w:val="18"/>
          <w:szCs w:val="18"/>
          <w:lang w:val="es-ES_tradnl"/>
        </w:rPr>
        <w:t>n porque beneficiar</w:t>
      </w:r>
      <w:r>
        <w:rPr>
          <w:rFonts w:cs="Times New Roman"/>
          <w:spacing w:val="-11"/>
          <w:sz w:val="18"/>
          <w:szCs w:val="18"/>
          <w:lang w:val="es-ES_tradnl"/>
        </w:rPr>
        <w:t>í</w:t>
      </w:r>
      <w:r>
        <w:rPr>
          <w:spacing w:val="-11"/>
          <w:sz w:val="18"/>
          <w:szCs w:val="18"/>
          <w:lang w:val="es-ES_tradnl"/>
        </w:rPr>
        <w:t>a a la persona que est</w:t>
      </w:r>
      <w:r>
        <w:rPr>
          <w:rFonts w:cs="Times New Roman"/>
          <w:spacing w:val="-11"/>
          <w:sz w:val="18"/>
          <w:szCs w:val="18"/>
          <w:lang w:val="es-ES_tradnl"/>
        </w:rPr>
        <w:t xml:space="preserve">á </w:t>
      </w:r>
      <w:r>
        <w:rPr>
          <w:spacing w:val="-9"/>
          <w:sz w:val="18"/>
          <w:szCs w:val="18"/>
          <w:lang w:val="es-ES_tradnl"/>
        </w:rPr>
        <w:t xml:space="preserve">exigiendo un derecho y que busca la tutela efectiva de parte </w:t>
      </w:r>
      <w:r>
        <w:rPr>
          <w:sz w:val="18"/>
          <w:szCs w:val="18"/>
          <w:lang w:val="es-ES_tradnl"/>
        </w:rPr>
        <w:t>del estado</w:t>
      </w:r>
      <w:r>
        <w:rPr>
          <w:rFonts w:cs="Times New Roman"/>
          <w:sz w:val="18"/>
          <w:szCs w:val="18"/>
          <w:lang w:val="es-ES_tradnl"/>
        </w:rPr>
        <w:t>”</w:t>
      </w:r>
      <w:r>
        <w:rPr>
          <w:sz w:val="18"/>
          <w:szCs w:val="18"/>
          <w:vertAlign w:val="superscript"/>
          <w:lang w:val="es-ES_tradnl"/>
        </w:rPr>
        <w:t>8</w:t>
      </w:r>
      <w:r>
        <w:rPr>
          <w:sz w:val="18"/>
          <w:szCs w:val="18"/>
          <w:lang w:val="es-ES_tradnl"/>
        </w:rPr>
        <w:t>.</w:t>
      </w:r>
    </w:p>
    <w:p w14:paraId="4F67B3D2" w14:textId="77777777" w:rsidR="00591D54" w:rsidRDefault="00591D54">
      <w:pPr>
        <w:shd w:val="clear" w:color="auto" w:fill="FFFFFF"/>
        <w:spacing w:before="197" w:line="216" w:lineRule="exact"/>
        <w:jc w:val="both"/>
      </w:pPr>
      <w:r>
        <w:rPr>
          <w:spacing w:val="-5"/>
          <w:sz w:val="18"/>
          <w:szCs w:val="18"/>
          <w:lang w:val="es-ES_tradnl"/>
        </w:rPr>
        <w:t xml:space="preserve">De modo que sobre la base de estos principios, para </w:t>
      </w:r>
      <w:r>
        <w:rPr>
          <w:spacing w:val="-7"/>
          <w:sz w:val="18"/>
          <w:szCs w:val="18"/>
          <w:lang w:val="es-ES_tradnl"/>
        </w:rPr>
        <w:t>garantizar el acceso a una tutela judicial efectiva, imparcial y expedita de los derechos e intereses de las partes, as</w:t>
      </w:r>
      <w:r>
        <w:rPr>
          <w:rFonts w:cs="Times New Roman"/>
          <w:spacing w:val="-7"/>
          <w:sz w:val="18"/>
          <w:szCs w:val="18"/>
          <w:lang w:val="es-ES_tradnl"/>
        </w:rPr>
        <w:t xml:space="preserve">í </w:t>
      </w:r>
      <w:r>
        <w:rPr>
          <w:spacing w:val="-3"/>
          <w:sz w:val="18"/>
          <w:szCs w:val="18"/>
          <w:lang w:val="es-ES_tradnl"/>
        </w:rPr>
        <w:t xml:space="preserve">como el derecho a la defensa, principalmente respecto </w:t>
      </w:r>
      <w:r>
        <w:rPr>
          <w:spacing w:val="-5"/>
          <w:sz w:val="18"/>
          <w:szCs w:val="18"/>
          <w:lang w:val="es-ES_tradnl"/>
        </w:rPr>
        <w:t>de la garant</w:t>
      </w:r>
      <w:r>
        <w:rPr>
          <w:rFonts w:cs="Times New Roman"/>
          <w:spacing w:val="-5"/>
          <w:sz w:val="18"/>
          <w:szCs w:val="18"/>
          <w:lang w:val="es-ES_tradnl"/>
        </w:rPr>
        <w:t>í</w:t>
      </w:r>
      <w:r>
        <w:rPr>
          <w:spacing w:val="-5"/>
          <w:sz w:val="18"/>
          <w:szCs w:val="18"/>
          <w:lang w:val="es-ES_tradnl"/>
        </w:rPr>
        <w:t xml:space="preserve">a que exige que las partes cuenten con el </w:t>
      </w:r>
      <w:r>
        <w:rPr>
          <w:spacing w:val="-8"/>
          <w:sz w:val="18"/>
          <w:szCs w:val="18"/>
          <w:lang w:val="es-ES_tradnl"/>
        </w:rPr>
        <w:t xml:space="preserve">tiempo y los medios adecuados para preparar su defensa, es menester que la normativa infraconstitucional </w:t>
      </w:r>
      <w:r>
        <w:rPr>
          <w:rFonts w:ascii="Arial Unicode MS" w:eastAsia="Arial Unicode MS" w:hAnsi="Arial Unicode MS" w:cs="Arial Unicode MS" w:hint="eastAsia"/>
          <w:spacing w:val="-8"/>
          <w:sz w:val="18"/>
          <w:szCs w:val="18"/>
          <w:lang w:val="es-ES_tradnl"/>
        </w:rPr>
        <w:t>‒</w:t>
      </w:r>
      <w:r>
        <w:rPr>
          <w:spacing w:val="-8"/>
          <w:sz w:val="18"/>
          <w:szCs w:val="18"/>
          <w:lang w:val="es-ES_tradnl"/>
        </w:rPr>
        <w:t xml:space="preserve">en este </w:t>
      </w:r>
      <w:r>
        <w:rPr>
          <w:spacing w:val="-9"/>
          <w:sz w:val="18"/>
          <w:szCs w:val="18"/>
          <w:lang w:val="es-ES_tradnl"/>
        </w:rPr>
        <w:t>caso, el entonces vigente C</w:t>
      </w:r>
      <w:r>
        <w:rPr>
          <w:rFonts w:cs="Times New Roman"/>
          <w:spacing w:val="-9"/>
          <w:sz w:val="18"/>
          <w:szCs w:val="18"/>
          <w:lang w:val="es-ES_tradnl"/>
        </w:rPr>
        <w:t>ó</w:t>
      </w:r>
      <w:r>
        <w:rPr>
          <w:spacing w:val="-9"/>
          <w:sz w:val="18"/>
          <w:szCs w:val="18"/>
          <w:lang w:val="es-ES_tradnl"/>
        </w:rPr>
        <w:t xml:space="preserve">digo de Procedimiento Penal y </w:t>
      </w:r>
      <w:r>
        <w:rPr>
          <w:spacing w:val="-8"/>
          <w:sz w:val="18"/>
          <w:szCs w:val="18"/>
          <w:lang w:val="es-ES_tradnl"/>
        </w:rPr>
        <w:t>el C</w:t>
      </w:r>
      <w:r>
        <w:rPr>
          <w:rFonts w:cs="Times New Roman"/>
          <w:spacing w:val="-8"/>
          <w:sz w:val="18"/>
          <w:szCs w:val="18"/>
          <w:lang w:val="es-ES_tradnl"/>
        </w:rPr>
        <w:t>ó</w:t>
      </w:r>
      <w:r>
        <w:rPr>
          <w:spacing w:val="-8"/>
          <w:sz w:val="18"/>
          <w:szCs w:val="18"/>
          <w:lang w:val="es-ES_tradnl"/>
        </w:rPr>
        <w:t>digo de Procedimiento Civil, como norma supletoria</w:t>
      </w:r>
      <w:r>
        <w:rPr>
          <w:rFonts w:ascii="Arial Unicode MS" w:eastAsia="Arial Unicode MS" w:hAnsi="Arial Unicode MS" w:cs="Arial Unicode MS" w:hint="eastAsia"/>
          <w:spacing w:val="-8"/>
          <w:sz w:val="18"/>
          <w:szCs w:val="18"/>
          <w:lang w:val="es-ES_tradnl"/>
        </w:rPr>
        <w:t>‒</w:t>
      </w:r>
      <w:r>
        <w:rPr>
          <w:spacing w:val="-8"/>
          <w:sz w:val="18"/>
          <w:szCs w:val="18"/>
          <w:lang w:val="es-ES_tradnl"/>
        </w:rPr>
        <w:t xml:space="preserve">, </w:t>
      </w:r>
      <w:r>
        <w:rPr>
          <w:spacing w:val="-7"/>
          <w:sz w:val="18"/>
          <w:szCs w:val="18"/>
          <w:lang w:val="es-ES_tradnl"/>
        </w:rPr>
        <w:t xml:space="preserve">sea considerada de forma favorable y garantista de los </w:t>
      </w:r>
      <w:r>
        <w:rPr>
          <w:spacing w:val="-9"/>
          <w:sz w:val="18"/>
          <w:szCs w:val="18"/>
          <w:lang w:val="es-ES_tradnl"/>
        </w:rPr>
        <w:t>derechos de los involucrados, especialmente del querellado que ha sido condenado a una pena privativa de su libertad.</w:t>
      </w:r>
    </w:p>
    <w:p w14:paraId="4F67B3D3" w14:textId="77777777" w:rsidR="00591D54" w:rsidRDefault="00591D54">
      <w:pPr>
        <w:shd w:val="clear" w:color="auto" w:fill="FFFFFF"/>
        <w:spacing w:before="197" w:line="216" w:lineRule="exact"/>
        <w:ind w:right="5"/>
        <w:jc w:val="both"/>
      </w:pPr>
      <w:r>
        <w:rPr>
          <w:spacing w:val="-8"/>
          <w:sz w:val="18"/>
          <w:szCs w:val="18"/>
          <w:lang w:val="es-ES_tradnl"/>
        </w:rPr>
        <w:t xml:space="preserve">Independientemente de la norma en la que se encuentren previstos los recursos que les asisten a las partes para </w:t>
      </w:r>
      <w:r>
        <w:rPr>
          <w:spacing w:val="-9"/>
          <w:sz w:val="18"/>
          <w:szCs w:val="18"/>
          <w:lang w:val="es-ES_tradnl"/>
        </w:rPr>
        <w:t>impugnar las decisiones judiciales, el art</w:t>
      </w:r>
      <w:r>
        <w:rPr>
          <w:rFonts w:cs="Times New Roman"/>
          <w:spacing w:val="-9"/>
          <w:sz w:val="18"/>
          <w:szCs w:val="18"/>
          <w:lang w:val="es-ES_tradnl"/>
        </w:rPr>
        <w:t>í</w:t>
      </w:r>
      <w:r>
        <w:rPr>
          <w:spacing w:val="-9"/>
          <w:sz w:val="18"/>
          <w:szCs w:val="18"/>
          <w:lang w:val="es-ES_tradnl"/>
        </w:rPr>
        <w:t xml:space="preserve">culo 6 del entonces </w:t>
      </w:r>
      <w:r>
        <w:rPr>
          <w:spacing w:val="-8"/>
          <w:sz w:val="18"/>
          <w:szCs w:val="18"/>
          <w:lang w:val="es-ES_tradnl"/>
        </w:rPr>
        <w:t>C</w:t>
      </w:r>
      <w:r>
        <w:rPr>
          <w:rFonts w:cs="Times New Roman"/>
          <w:spacing w:val="-8"/>
          <w:sz w:val="18"/>
          <w:szCs w:val="18"/>
          <w:lang w:val="es-ES_tradnl"/>
        </w:rPr>
        <w:t>ó</w:t>
      </w:r>
      <w:r>
        <w:rPr>
          <w:spacing w:val="-8"/>
          <w:sz w:val="18"/>
          <w:szCs w:val="18"/>
          <w:lang w:val="es-ES_tradnl"/>
        </w:rPr>
        <w:t>digo de Procedimiento Penal establec</w:t>
      </w:r>
      <w:r>
        <w:rPr>
          <w:rFonts w:cs="Times New Roman"/>
          <w:spacing w:val="-8"/>
          <w:sz w:val="18"/>
          <w:szCs w:val="18"/>
          <w:lang w:val="es-ES_tradnl"/>
        </w:rPr>
        <w:t>í</w:t>
      </w:r>
      <w:r>
        <w:rPr>
          <w:spacing w:val="-8"/>
          <w:sz w:val="18"/>
          <w:szCs w:val="18"/>
          <w:lang w:val="es-ES_tradnl"/>
        </w:rPr>
        <w:t xml:space="preserve">a expresamente </w:t>
      </w:r>
      <w:r>
        <w:rPr>
          <w:spacing w:val="-6"/>
          <w:sz w:val="18"/>
          <w:szCs w:val="18"/>
          <w:lang w:val="es-ES_tradnl"/>
        </w:rPr>
        <w:t>que para la interposici</w:t>
      </w:r>
      <w:r>
        <w:rPr>
          <w:rFonts w:cs="Times New Roman"/>
          <w:spacing w:val="-6"/>
          <w:sz w:val="18"/>
          <w:szCs w:val="18"/>
          <w:lang w:val="es-ES_tradnl"/>
        </w:rPr>
        <w:t>ó</w:t>
      </w:r>
      <w:r>
        <w:rPr>
          <w:spacing w:val="-6"/>
          <w:sz w:val="18"/>
          <w:szCs w:val="18"/>
          <w:lang w:val="es-ES_tradnl"/>
        </w:rPr>
        <w:t>n y fundamentaci</w:t>
      </w:r>
      <w:r>
        <w:rPr>
          <w:rFonts w:cs="Times New Roman"/>
          <w:spacing w:val="-6"/>
          <w:sz w:val="18"/>
          <w:szCs w:val="18"/>
          <w:lang w:val="es-ES_tradnl"/>
        </w:rPr>
        <w:t>ó</w:t>
      </w:r>
      <w:r>
        <w:rPr>
          <w:spacing w:val="-6"/>
          <w:sz w:val="18"/>
          <w:szCs w:val="18"/>
          <w:lang w:val="es-ES_tradnl"/>
        </w:rPr>
        <w:t xml:space="preserve">n de recursos, </w:t>
      </w:r>
      <w:r>
        <w:rPr>
          <w:spacing w:val="-8"/>
          <w:sz w:val="18"/>
          <w:szCs w:val="18"/>
          <w:lang w:val="es-ES_tradnl"/>
        </w:rPr>
        <w:t>correr</w:t>
      </w:r>
      <w:r>
        <w:rPr>
          <w:rFonts w:cs="Times New Roman"/>
          <w:spacing w:val="-8"/>
          <w:sz w:val="18"/>
          <w:szCs w:val="18"/>
          <w:lang w:val="es-ES_tradnl"/>
        </w:rPr>
        <w:t>á</w:t>
      </w:r>
      <w:r>
        <w:rPr>
          <w:spacing w:val="-8"/>
          <w:sz w:val="18"/>
          <w:szCs w:val="18"/>
          <w:lang w:val="es-ES_tradnl"/>
        </w:rPr>
        <w:t>n solo los d</w:t>
      </w:r>
      <w:r>
        <w:rPr>
          <w:rFonts w:cs="Times New Roman"/>
          <w:spacing w:val="-8"/>
          <w:sz w:val="18"/>
          <w:szCs w:val="18"/>
          <w:lang w:val="es-ES_tradnl"/>
        </w:rPr>
        <w:t>í</w:t>
      </w:r>
      <w:r>
        <w:rPr>
          <w:spacing w:val="-8"/>
          <w:sz w:val="18"/>
          <w:szCs w:val="18"/>
          <w:lang w:val="es-ES_tradnl"/>
        </w:rPr>
        <w:t>as h</w:t>
      </w:r>
      <w:r>
        <w:rPr>
          <w:rFonts w:cs="Times New Roman"/>
          <w:spacing w:val="-8"/>
          <w:sz w:val="18"/>
          <w:szCs w:val="18"/>
          <w:lang w:val="es-ES_tradnl"/>
        </w:rPr>
        <w:t>á</w:t>
      </w:r>
      <w:r>
        <w:rPr>
          <w:spacing w:val="-8"/>
          <w:sz w:val="18"/>
          <w:szCs w:val="18"/>
          <w:lang w:val="es-ES_tradnl"/>
        </w:rPr>
        <w:t>biles. Con lo cual, la interpretaci</w:t>
      </w:r>
      <w:r>
        <w:rPr>
          <w:rFonts w:cs="Times New Roman"/>
          <w:spacing w:val="-8"/>
          <w:sz w:val="18"/>
          <w:szCs w:val="18"/>
          <w:lang w:val="es-ES_tradnl"/>
        </w:rPr>
        <w:t>ó</w:t>
      </w:r>
      <w:r>
        <w:rPr>
          <w:spacing w:val="-8"/>
          <w:sz w:val="18"/>
          <w:szCs w:val="18"/>
          <w:lang w:val="es-ES_tradnl"/>
        </w:rPr>
        <w:t>n</w:t>
      </w:r>
    </w:p>
    <w:p w14:paraId="4F67B3D4" w14:textId="77777777" w:rsidR="00591D54" w:rsidRDefault="00591D54">
      <w:pPr>
        <w:shd w:val="clear" w:color="auto" w:fill="FFFFFF"/>
        <w:tabs>
          <w:tab w:val="left" w:pos="139"/>
        </w:tabs>
        <w:spacing w:before="499" w:line="178" w:lineRule="exact"/>
        <w:ind w:left="139" w:right="5" w:hanging="139"/>
        <w:jc w:val="both"/>
      </w:pPr>
      <w:r>
        <w:rPr>
          <w:sz w:val="10"/>
          <w:szCs w:val="10"/>
          <w:vertAlign w:val="superscript"/>
          <w:lang w:val="es-ES_tradnl"/>
        </w:rPr>
        <w:t>7</w:t>
      </w:r>
      <w:r>
        <w:rPr>
          <w:sz w:val="18"/>
          <w:szCs w:val="18"/>
          <w:lang w:val="es-ES_tradnl"/>
        </w:rPr>
        <w:tab/>
      </w:r>
      <w:r>
        <w:rPr>
          <w:rFonts w:cs="Times New Roman"/>
          <w:spacing w:val="-10"/>
          <w:sz w:val="16"/>
          <w:szCs w:val="16"/>
          <w:lang w:val="es-ES_tradnl"/>
        </w:rPr>
        <w:t>Á</w:t>
      </w:r>
      <w:r>
        <w:rPr>
          <w:spacing w:val="-10"/>
          <w:sz w:val="16"/>
          <w:szCs w:val="16"/>
          <w:lang w:val="es-ES_tradnl"/>
        </w:rPr>
        <w:t>vila</w:t>
      </w:r>
      <w:r>
        <w:rPr>
          <w:spacing w:val="-10"/>
          <w:sz w:val="18"/>
          <w:szCs w:val="18"/>
          <w:lang w:val="es-ES_tradnl"/>
        </w:rPr>
        <w:t xml:space="preserve"> </w:t>
      </w:r>
      <w:r>
        <w:rPr>
          <w:spacing w:val="-10"/>
          <w:sz w:val="16"/>
          <w:szCs w:val="16"/>
          <w:lang w:val="es-ES_tradnl"/>
        </w:rPr>
        <w:t>Santamar</w:t>
      </w:r>
      <w:r>
        <w:rPr>
          <w:rFonts w:cs="Times New Roman"/>
          <w:spacing w:val="-10"/>
          <w:sz w:val="16"/>
          <w:szCs w:val="16"/>
          <w:lang w:val="es-ES_tradnl"/>
        </w:rPr>
        <w:t>í</w:t>
      </w:r>
      <w:r>
        <w:rPr>
          <w:spacing w:val="-10"/>
          <w:sz w:val="16"/>
          <w:szCs w:val="16"/>
          <w:lang w:val="es-ES_tradnl"/>
        </w:rPr>
        <w:t>a,</w:t>
      </w:r>
      <w:r>
        <w:rPr>
          <w:spacing w:val="-10"/>
          <w:sz w:val="18"/>
          <w:szCs w:val="18"/>
          <w:lang w:val="es-ES_tradnl"/>
        </w:rPr>
        <w:t xml:space="preserve"> </w:t>
      </w:r>
      <w:r>
        <w:rPr>
          <w:spacing w:val="-10"/>
          <w:sz w:val="16"/>
          <w:szCs w:val="16"/>
          <w:lang w:val="es-ES_tradnl"/>
        </w:rPr>
        <w:t>Ramiro</w:t>
      </w:r>
      <w:r>
        <w:rPr>
          <w:spacing w:val="-10"/>
          <w:sz w:val="18"/>
          <w:szCs w:val="18"/>
          <w:lang w:val="es-ES_tradnl"/>
        </w:rPr>
        <w:t xml:space="preserve"> </w:t>
      </w:r>
      <w:r>
        <w:rPr>
          <w:spacing w:val="-10"/>
          <w:sz w:val="16"/>
          <w:szCs w:val="16"/>
          <w:lang w:val="es-ES_tradnl"/>
        </w:rPr>
        <w:t>(2012).</w:t>
      </w:r>
      <w:r>
        <w:rPr>
          <w:spacing w:val="-10"/>
          <w:sz w:val="18"/>
          <w:szCs w:val="18"/>
          <w:lang w:val="es-ES_tradnl"/>
        </w:rPr>
        <w:t xml:space="preserve"> </w:t>
      </w:r>
      <w:r>
        <w:rPr>
          <w:spacing w:val="-10"/>
          <w:sz w:val="16"/>
          <w:szCs w:val="16"/>
          <w:lang w:val="es-ES_tradnl"/>
        </w:rPr>
        <w:t>Los</w:t>
      </w:r>
      <w:r>
        <w:rPr>
          <w:spacing w:val="-10"/>
          <w:sz w:val="18"/>
          <w:szCs w:val="18"/>
          <w:lang w:val="es-ES_tradnl"/>
        </w:rPr>
        <w:t xml:space="preserve"> </w:t>
      </w:r>
      <w:r>
        <w:rPr>
          <w:spacing w:val="-10"/>
          <w:sz w:val="16"/>
          <w:szCs w:val="16"/>
          <w:lang w:val="es-ES_tradnl"/>
        </w:rPr>
        <w:t>derechos</w:t>
      </w:r>
      <w:r>
        <w:rPr>
          <w:spacing w:val="-10"/>
          <w:sz w:val="18"/>
          <w:szCs w:val="18"/>
          <w:lang w:val="es-ES_tradnl"/>
        </w:rPr>
        <w:t xml:space="preserve"> </w:t>
      </w:r>
      <w:r>
        <w:rPr>
          <w:spacing w:val="-10"/>
          <w:sz w:val="16"/>
          <w:szCs w:val="16"/>
          <w:lang w:val="es-ES_tradnl"/>
        </w:rPr>
        <w:t>y</w:t>
      </w:r>
      <w:r>
        <w:rPr>
          <w:spacing w:val="-10"/>
          <w:sz w:val="18"/>
          <w:szCs w:val="18"/>
          <w:lang w:val="es-ES_tradnl"/>
        </w:rPr>
        <w:t xml:space="preserve"> </w:t>
      </w:r>
      <w:r>
        <w:rPr>
          <w:spacing w:val="-10"/>
          <w:sz w:val="16"/>
          <w:szCs w:val="16"/>
          <w:lang w:val="es-ES_tradnl"/>
        </w:rPr>
        <w:t>sus</w:t>
      </w:r>
      <w:r>
        <w:rPr>
          <w:spacing w:val="-10"/>
          <w:sz w:val="18"/>
          <w:szCs w:val="18"/>
          <w:lang w:val="es-ES_tradnl"/>
        </w:rPr>
        <w:t xml:space="preserve"> </w:t>
      </w:r>
      <w:r>
        <w:rPr>
          <w:spacing w:val="-10"/>
          <w:sz w:val="16"/>
          <w:szCs w:val="16"/>
          <w:lang w:val="es-ES_tradnl"/>
        </w:rPr>
        <w:t>garant</w:t>
      </w:r>
      <w:r>
        <w:rPr>
          <w:rFonts w:cs="Times New Roman"/>
          <w:spacing w:val="-10"/>
          <w:sz w:val="16"/>
          <w:szCs w:val="16"/>
          <w:lang w:val="es-ES_tradnl"/>
        </w:rPr>
        <w:t>í</w:t>
      </w:r>
      <w:r>
        <w:rPr>
          <w:spacing w:val="-10"/>
          <w:sz w:val="16"/>
          <w:szCs w:val="16"/>
          <w:lang w:val="es-ES_tradnl"/>
        </w:rPr>
        <w:t>as: </w:t>
      </w:r>
      <w:r>
        <w:rPr>
          <w:spacing w:val="-11"/>
          <w:sz w:val="16"/>
          <w:szCs w:val="16"/>
          <w:lang w:val="es-ES_tradnl"/>
        </w:rPr>
        <w:t>ensayos cr</w:t>
      </w:r>
      <w:r>
        <w:rPr>
          <w:rFonts w:cs="Times New Roman"/>
          <w:spacing w:val="-11"/>
          <w:sz w:val="16"/>
          <w:szCs w:val="16"/>
          <w:lang w:val="es-ES_tradnl"/>
        </w:rPr>
        <w:t>í</w:t>
      </w:r>
      <w:r>
        <w:rPr>
          <w:spacing w:val="-11"/>
          <w:sz w:val="16"/>
          <w:szCs w:val="16"/>
          <w:lang w:val="es-ES_tradnl"/>
        </w:rPr>
        <w:t>ticos. Corte Constitucional para el Per</w:t>
      </w:r>
      <w:r>
        <w:rPr>
          <w:rFonts w:cs="Times New Roman"/>
          <w:spacing w:val="-11"/>
          <w:sz w:val="16"/>
          <w:szCs w:val="16"/>
          <w:lang w:val="es-ES_tradnl"/>
        </w:rPr>
        <w:t>í</w:t>
      </w:r>
      <w:r>
        <w:rPr>
          <w:spacing w:val="-11"/>
          <w:sz w:val="16"/>
          <w:szCs w:val="16"/>
          <w:lang w:val="es-ES_tradnl"/>
        </w:rPr>
        <w:t>odo de Transici</w:t>
      </w:r>
      <w:r>
        <w:rPr>
          <w:rFonts w:cs="Times New Roman"/>
          <w:spacing w:val="-11"/>
          <w:sz w:val="16"/>
          <w:szCs w:val="16"/>
          <w:lang w:val="es-ES_tradnl"/>
        </w:rPr>
        <w:t>ó</w:t>
      </w:r>
      <w:r>
        <w:rPr>
          <w:spacing w:val="-11"/>
          <w:sz w:val="16"/>
          <w:szCs w:val="16"/>
          <w:lang w:val="es-ES_tradnl"/>
        </w:rPr>
        <w:t>n, </w:t>
      </w:r>
      <w:r>
        <w:rPr>
          <w:sz w:val="16"/>
          <w:szCs w:val="16"/>
          <w:lang w:val="es-ES_tradnl"/>
        </w:rPr>
        <w:t>Quito, Ecuador.</w:t>
      </w:r>
    </w:p>
    <w:p w14:paraId="4F67B3D5" w14:textId="77777777" w:rsidR="00591D54" w:rsidRDefault="00591D54">
      <w:pPr>
        <w:shd w:val="clear" w:color="auto" w:fill="FFFFFF"/>
        <w:tabs>
          <w:tab w:val="left" w:pos="139"/>
        </w:tabs>
        <w:spacing w:before="154" w:line="178" w:lineRule="exact"/>
        <w:ind w:left="139" w:right="5" w:hanging="139"/>
        <w:jc w:val="both"/>
      </w:pPr>
      <w:r>
        <w:rPr>
          <w:sz w:val="10"/>
          <w:szCs w:val="10"/>
          <w:vertAlign w:val="superscript"/>
          <w:lang w:val="es-ES_tradnl"/>
        </w:rPr>
        <w:t>8</w:t>
      </w:r>
      <w:r>
        <w:rPr>
          <w:sz w:val="18"/>
          <w:szCs w:val="18"/>
          <w:lang w:val="es-ES_tradnl"/>
        </w:rPr>
        <w:tab/>
      </w:r>
      <w:r>
        <w:rPr>
          <w:rFonts w:cs="Times New Roman"/>
          <w:spacing w:val="-10"/>
          <w:sz w:val="16"/>
          <w:szCs w:val="16"/>
          <w:lang w:val="es-ES_tradnl"/>
        </w:rPr>
        <w:t>Á</w:t>
      </w:r>
      <w:r>
        <w:rPr>
          <w:spacing w:val="-10"/>
          <w:sz w:val="16"/>
          <w:szCs w:val="16"/>
          <w:lang w:val="es-ES_tradnl"/>
        </w:rPr>
        <w:t>vila</w:t>
      </w:r>
      <w:r>
        <w:rPr>
          <w:spacing w:val="-10"/>
          <w:sz w:val="18"/>
          <w:szCs w:val="18"/>
          <w:lang w:val="es-ES_tradnl"/>
        </w:rPr>
        <w:t xml:space="preserve"> </w:t>
      </w:r>
      <w:r>
        <w:rPr>
          <w:spacing w:val="-10"/>
          <w:sz w:val="16"/>
          <w:szCs w:val="16"/>
          <w:lang w:val="es-ES_tradnl"/>
        </w:rPr>
        <w:t>Santamar</w:t>
      </w:r>
      <w:r>
        <w:rPr>
          <w:rFonts w:cs="Times New Roman"/>
          <w:spacing w:val="-10"/>
          <w:sz w:val="16"/>
          <w:szCs w:val="16"/>
          <w:lang w:val="es-ES_tradnl"/>
        </w:rPr>
        <w:t>í</w:t>
      </w:r>
      <w:r>
        <w:rPr>
          <w:spacing w:val="-10"/>
          <w:sz w:val="16"/>
          <w:szCs w:val="16"/>
          <w:lang w:val="es-ES_tradnl"/>
        </w:rPr>
        <w:t>a,</w:t>
      </w:r>
      <w:r>
        <w:rPr>
          <w:spacing w:val="-10"/>
          <w:sz w:val="18"/>
          <w:szCs w:val="18"/>
          <w:lang w:val="es-ES_tradnl"/>
        </w:rPr>
        <w:t xml:space="preserve"> </w:t>
      </w:r>
      <w:r>
        <w:rPr>
          <w:spacing w:val="-10"/>
          <w:sz w:val="16"/>
          <w:szCs w:val="16"/>
          <w:lang w:val="es-ES_tradnl"/>
        </w:rPr>
        <w:t>Ramiro</w:t>
      </w:r>
      <w:r>
        <w:rPr>
          <w:spacing w:val="-10"/>
          <w:sz w:val="18"/>
          <w:szCs w:val="18"/>
          <w:lang w:val="es-ES_tradnl"/>
        </w:rPr>
        <w:t xml:space="preserve"> </w:t>
      </w:r>
      <w:r>
        <w:rPr>
          <w:spacing w:val="-10"/>
          <w:sz w:val="16"/>
          <w:szCs w:val="16"/>
          <w:lang w:val="es-ES_tradnl"/>
        </w:rPr>
        <w:t>(2012).</w:t>
      </w:r>
      <w:r>
        <w:rPr>
          <w:spacing w:val="-10"/>
          <w:sz w:val="18"/>
          <w:szCs w:val="18"/>
          <w:lang w:val="es-ES_tradnl"/>
        </w:rPr>
        <w:t xml:space="preserve"> </w:t>
      </w:r>
      <w:r>
        <w:rPr>
          <w:spacing w:val="-10"/>
          <w:sz w:val="16"/>
          <w:szCs w:val="16"/>
          <w:lang w:val="es-ES_tradnl"/>
        </w:rPr>
        <w:t>Los</w:t>
      </w:r>
      <w:r>
        <w:rPr>
          <w:spacing w:val="-10"/>
          <w:sz w:val="18"/>
          <w:szCs w:val="18"/>
          <w:lang w:val="es-ES_tradnl"/>
        </w:rPr>
        <w:t xml:space="preserve"> </w:t>
      </w:r>
      <w:r>
        <w:rPr>
          <w:spacing w:val="-10"/>
          <w:sz w:val="16"/>
          <w:szCs w:val="16"/>
          <w:lang w:val="es-ES_tradnl"/>
        </w:rPr>
        <w:t>derechos</w:t>
      </w:r>
      <w:r>
        <w:rPr>
          <w:spacing w:val="-10"/>
          <w:sz w:val="18"/>
          <w:szCs w:val="18"/>
          <w:lang w:val="es-ES_tradnl"/>
        </w:rPr>
        <w:t xml:space="preserve"> </w:t>
      </w:r>
      <w:r>
        <w:rPr>
          <w:spacing w:val="-10"/>
          <w:sz w:val="16"/>
          <w:szCs w:val="16"/>
          <w:lang w:val="es-ES_tradnl"/>
        </w:rPr>
        <w:t>y</w:t>
      </w:r>
      <w:r>
        <w:rPr>
          <w:spacing w:val="-10"/>
          <w:sz w:val="18"/>
          <w:szCs w:val="18"/>
          <w:lang w:val="es-ES_tradnl"/>
        </w:rPr>
        <w:t xml:space="preserve"> </w:t>
      </w:r>
      <w:r>
        <w:rPr>
          <w:spacing w:val="-10"/>
          <w:sz w:val="16"/>
          <w:szCs w:val="16"/>
          <w:lang w:val="es-ES_tradnl"/>
        </w:rPr>
        <w:t>sus</w:t>
      </w:r>
      <w:r>
        <w:rPr>
          <w:spacing w:val="-10"/>
          <w:sz w:val="18"/>
          <w:szCs w:val="18"/>
          <w:lang w:val="es-ES_tradnl"/>
        </w:rPr>
        <w:t xml:space="preserve"> </w:t>
      </w:r>
      <w:r>
        <w:rPr>
          <w:spacing w:val="-10"/>
          <w:sz w:val="16"/>
          <w:szCs w:val="16"/>
          <w:lang w:val="es-ES_tradnl"/>
        </w:rPr>
        <w:t>garant</w:t>
      </w:r>
      <w:r>
        <w:rPr>
          <w:rFonts w:cs="Times New Roman"/>
          <w:spacing w:val="-10"/>
          <w:sz w:val="16"/>
          <w:szCs w:val="16"/>
          <w:lang w:val="es-ES_tradnl"/>
        </w:rPr>
        <w:t>í</w:t>
      </w:r>
      <w:r>
        <w:rPr>
          <w:spacing w:val="-10"/>
          <w:sz w:val="16"/>
          <w:szCs w:val="16"/>
          <w:lang w:val="es-ES_tradnl"/>
        </w:rPr>
        <w:t>as: </w:t>
      </w:r>
      <w:r>
        <w:rPr>
          <w:spacing w:val="-11"/>
          <w:sz w:val="16"/>
          <w:szCs w:val="16"/>
          <w:lang w:val="es-ES_tradnl"/>
        </w:rPr>
        <w:t>ensayos cr</w:t>
      </w:r>
      <w:r>
        <w:rPr>
          <w:rFonts w:cs="Times New Roman"/>
          <w:spacing w:val="-11"/>
          <w:sz w:val="16"/>
          <w:szCs w:val="16"/>
          <w:lang w:val="es-ES_tradnl"/>
        </w:rPr>
        <w:t>í</w:t>
      </w:r>
      <w:r>
        <w:rPr>
          <w:spacing w:val="-11"/>
          <w:sz w:val="16"/>
          <w:szCs w:val="16"/>
          <w:lang w:val="es-ES_tradnl"/>
        </w:rPr>
        <w:t>ticos. Corte Constitucional para el Per</w:t>
      </w:r>
      <w:r>
        <w:rPr>
          <w:rFonts w:cs="Times New Roman"/>
          <w:spacing w:val="-11"/>
          <w:sz w:val="16"/>
          <w:szCs w:val="16"/>
          <w:lang w:val="es-ES_tradnl"/>
        </w:rPr>
        <w:t>í</w:t>
      </w:r>
      <w:r>
        <w:rPr>
          <w:spacing w:val="-11"/>
          <w:sz w:val="16"/>
          <w:szCs w:val="16"/>
          <w:lang w:val="es-ES_tradnl"/>
        </w:rPr>
        <w:t>odo de Transici</w:t>
      </w:r>
      <w:r>
        <w:rPr>
          <w:rFonts w:cs="Times New Roman"/>
          <w:spacing w:val="-11"/>
          <w:sz w:val="16"/>
          <w:szCs w:val="16"/>
          <w:lang w:val="es-ES_tradnl"/>
        </w:rPr>
        <w:t>ó</w:t>
      </w:r>
      <w:r>
        <w:rPr>
          <w:spacing w:val="-11"/>
          <w:sz w:val="16"/>
          <w:szCs w:val="16"/>
          <w:lang w:val="es-ES_tradnl"/>
        </w:rPr>
        <w:t>n, </w:t>
      </w:r>
      <w:r>
        <w:rPr>
          <w:sz w:val="16"/>
          <w:szCs w:val="16"/>
          <w:lang w:val="es-ES_tradnl"/>
        </w:rPr>
        <w:t>Quito, Ecuador.</w:t>
      </w:r>
    </w:p>
    <w:p w14:paraId="4F67B3D6" w14:textId="77777777" w:rsidR="00591D54" w:rsidRDefault="00591D54">
      <w:pPr>
        <w:shd w:val="clear" w:color="auto" w:fill="FFFFFF"/>
        <w:spacing w:before="5" w:line="216" w:lineRule="exact"/>
        <w:jc w:val="both"/>
      </w:pPr>
      <w:r>
        <w:br w:type="column"/>
      </w:r>
      <w:r>
        <w:rPr>
          <w:spacing w:val="-6"/>
          <w:sz w:val="18"/>
          <w:szCs w:val="18"/>
          <w:lang w:val="es-ES_tradnl"/>
        </w:rPr>
        <w:t>que debe realizarse a la luz de la Constituci</w:t>
      </w:r>
      <w:r>
        <w:rPr>
          <w:rFonts w:cs="Times New Roman"/>
          <w:spacing w:val="-6"/>
          <w:sz w:val="18"/>
          <w:szCs w:val="18"/>
          <w:lang w:val="es-ES_tradnl"/>
        </w:rPr>
        <w:t>ó</w:t>
      </w:r>
      <w:r>
        <w:rPr>
          <w:spacing w:val="-6"/>
          <w:sz w:val="18"/>
          <w:szCs w:val="18"/>
          <w:lang w:val="es-ES_tradnl"/>
        </w:rPr>
        <w:t xml:space="preserve">n y de los </w:t>
      </w:r>
      <w:r>
        <w:rPr>
          <w:spacing w:val="-8"/>
          <w:sz w:val="18"/>
          <w:szCs w:val="18"/>
          <w:lang w:val="es-ES_tradnl"/>
        </w:rPr>
        <w:t xml:space="preserve">principios internacionales </w:t>
      </w:r>
      <w:r>
        <w:rPr>
          <w:i/>
          <w:iCs/>
          <w:spacing w:val="-8"/>
          <w:sz w:val="18"/>
          <w:szCs w:val="18"/>
          <w:lang w:val="es-ES_tradnl"/>
        </w:rPr>
        <w:t xml:space="preserve">pro homine </w:t>
      </w:r>
      <w:r>
        <w:rPr>
          <w:spacing w:val="-8"/>
          <w:sz w:val="18"/>
          <w:szCs w:val="18"/>
          <w:lang w:val="es-ES_tradnl"/>
        </w:rPr>
        <w:t xml:space="preserve">e </w:t>
      </w:r>
      <w:r>
        <w:rPr>
          <w:i/>
          <w:iCs/>
          <w:spacing w:val="-8"/>
          <w:sz w:val="18"/>
          <w:szCs w:val="18"/>
          <w:lang w:val="es-ES_tradnl"/>
        </w:rPr>
        <w:t>in dubio pro reo</w:t>
      </w:r>
      <w:r>
        <w:rPr>
          <w:spacing w:val="-8"/>
          <w:sz w:val="18"/>
          <w:szCs w:val="18"/>
          <w:lang w:val="es-ES_tradnl"/>
        </w:rPr>
        <w:t xml:space="preserve">, es </w:t>
      </w:r>
      <w:r>
        <w:rPr>
          <w:spacing w:val="-9"/>
          <w:sz w:val="18"/>
          <w:szCs w:val="18"/>
          <w:lang w:val="es-ES_tradnl"/>
        </w:rPr>
        <w:t xml:space="preserve">que todos los recursos </w:t>
      </w:r>
      <w:r>
        <w:rPr>
          <w:rFonts w:ascii="Arial Unicode MS" w:eastAsia="Arial Unicode MS" w:hAnsi="Arial Unicode MS" w:cs="Arial Unicode MS" w:hint="eastAsia"/>
          <w:spacing w:val="-9"/>
          <w:sz w:val="18"/>
          <w:szCs w:val="18"/>
          <w:lang w:val="es-ES_tradnl"/>
        </w:rPr>
        <w:t>‒</w:t>
      </w:r>
      <w:r>
        <w:rPr>
          <w:spacing w:val="-9"/>
          <w:sz w:val="18"/>
          <w:szCs w:val="18"/>
          <w:lang w:val="es-ES_tradnl"/>
        </w:rPr>
        <w:t xml:space="preserve">sean estos horizontales, verticales, </w:t>
      </w:r>
      <w:r>
        <w:rPr>
          <w:spacing w:val="-8"/>
          <w:sz w:val="18"/>
          <w:szCs w:val="18"/>
          <w:lang w:val="es-ES_tradnl"/>
        </w:rPr>
        <w:t>ordinarios o extraordinarios</w:t>
      </w:r>
      <w:r>
        <w:rPr>
          <w:rFonts w:ascii="Arial Unicode MS" w:eastAsia="Arial Unicode MS" w:hAnsi="Arial Unicode MS" w:cs="Arial Unicode MS" w:hint="eastAsia"/>
          <w:spacing w:val="-8"/>
          <w:sz w:val="18"/>
          <w:szCs w:val="18"/>
          <w:lang w:val="es-ES_tradnl"/>
        </w:rPr>
        <w:t>‒</w:t>
      </w:r>
      <w:r>
        <w:rPr>
          <w:spacing w:val="-8"/>
          <w:sz w:val="18"/>
          <w:szCs w:val="18"/>
          <w:lang w:val="es-ES_tradnl"/>
        </w:rPr>
        <w:t xml:space="preserve"> se deben contabilizar en d</w:t>
      </w:r>
      <w:r>
        <w:rPr>
          <w:rFonts w:cs="Times New Roman"/>
          <w:spacing w:val="-8"/>
          <w:sz w:val="18"/>
          <w:szCs w:val="18"/>
          <w:lang w:val="es-ES_tradnl"/>
        </w:rPr>
        <w:t>í</w:t>
      </w:r>
      <w:r>
        <w:rPr>
          <w:spacing w:val="-8"/>
          <w:sz w:val="18"/>
          <w:szCs w:val="18"/>
          <w:lang w:val="es-ES_tradnl"/>
        </w:rPr>
        <w:t xml:space="preserve">as </w:t>
      </w:r>
      <w:r>
        <w:rPr>
          <w:spacing w:val="-9"/>
          <w:sz w:val="18"/>
          <w:szCs w:val="18"/>
          <w:lang w:val="es-ES_tradnl"/>
        </w:rPr>
        <w:t>h</w:t>
      </w:r>
      <w:r>
        <w:rPr>
          <w:rFonts w:cs="Times New Roman"/>
          <w:spacing w:val="-9"/>
          <w:sz w:val="18"/>
          <w:szCs w:val="18"/>
          <w:lang w:val="es-ES_tradnl"/>
        </w:rPr>
        <w:t>á</w:t>
      </w:r>
      <w:r>
        <w:rPr>
          <w:spacing w:val="-9"/>
          <w:sz w:val="18"/>
          <w:szCs w:val="18"/>
          <w:lang w:val="es-ES_tradnl"/>
        </w:rPr>
        <w:t xml:space="preserve">biles para garantizar que las partes tengan el tiempo y los </w:t>
      </w:r>
      <w:r>
        <w:rPr>
          <w:spacing w:val="-10"/>
          <w:sz w:val="18"/>
          <w:szCs w:val="18"/>
          <w:lang w:val="es-ES_tradnl"/>
        </w:rPr>
        <w:t>medios necesarios para preparar su defensa.</w:t>
      </w:r>
    </w:p>
    <w:p w14:paraId="4F67B3D7" w14:textId="77777777" w:rsidR="00591D54" w:rsidRDefault="00591D54">
      <w:pPr>
        <w:shd w:val="clear" w:color="auto" w:fill="FFFFFF"/>
        <w:spacing w:before="197" w:line="216" w:lineRule="exact"/>
        <w:jc w:val="both"/>
      </w:pPr>
      <w:r>
        <w:rPr>
          <w:spacing w:val="-9"/>
          <w:sz w:val="18"/>
          <w:szCs w:val="18"/>
          <w:lang w:val="es-ES_tradnl"/>
        </w:rPr>
        <w:t>En esta l</w:t>
      </w:r>
      <w:r>
        <w:rPr>
          <w:rFonts w:cs="Times New Roman"/>
          <w:spacing w:val="-9"/>
          <w:sz w:val="18"/>
          <w:szCs w:val="18"/>
          <w:lang w:val="es-ES_tradnl"/>
        </w:rPr>
        <w:t>í</w:t>
      </w:r>
      <w:r>
        <w:rPr>
          <w:spacing w:val="-9"/>
          <w:sz w:val="18"/>
          <w:szCs w:val="18"/>
          <w:lang w:val="es-ES_tradnl"/>
        </w:rPr>
        <w:t>nea, esta Corte considera que la desestimaci</w:t>
      </w:r>
      <w:r>
        <w:rPr>
          <w:rFonts w:cs="Times New Roman"/>
          <w:spacing w:val="-9"/>
          <w:sz w:val="18"/>
          <w:szCs w:val="18"/>
          <w:lang w:val="es-ES_tradnl"/>
        </w:rPr>
        <w:t>ó</w:t>
      </w:r>
      <w:r>
        <w:rPr>
          <w:spacing w:val="-9"/>
          <w:sz w:val="18"/>
          <w:szCs w:val="18"/>
          <w:lang w:val="es-ES_tradnl"/>
        </w:rPr>
        <w:t xml:space="preserve">n y </w:t>
      </w:r>
      <w:r>
        <w:rPr>
          <w:spacing w:val="-7"/>
          <w:sz w:val="18"/>
          <w:szCs w:val="18"/>
          <w:lang w:val="es-ES_tradnl"/>
        </w:rPr>
        <w:t>negativa del recurso de casaci</w:t>
      </w:r>
      <w:r>
        <w:rPr>
          <w:rFonts w:cs="Times New Roman"/>
          <w:spacing w:val="-7"/>
          <w:sz w:val="18"/>
          <w:szCs w:val="18"/>
          <w:lang w:val="es-ES_tradnl"/>
        </w:rPr>
        <w:t>ó</w:t>
      </w:r>
      <w:r>
        <w:rPr>
          <w:spacing w:val="-7"/>
          <w:sz w:val="18"/>
          <w:szCs w:val="18"/>
          <w:lang w:val="es-ES_tradnl"/>
        </w:rPr>
        <w:t xml:space="preserve">n por parte de los jueces, </w:t>
      </w:r>
      <w:r>
        <w:rPr>
          <w:spacing w:val="-8"/>
          <w:sz w:val="18"/>
          <w:szCs w:val="18"/>
          <w:lang w:val="es-ES_tradnl"/>
        </w:rPr>
        <w:t>tanto de la Tercera Sala de Garant</w:t>
      </w:r>
      <w:r>
        <w:rPr>
          <w:rFonts w:cs="Times New Roman"/>
          <w:spacing w:val="-8"/>
          <w:sz w:val="18"/>
          <w:szCs w:val="18"/>
          <w:lang w:val="es-ES_tradnl"/>
        </w:rPr>
        <w:t>í</w:t>
      </w:r>
      <w:r>
        <w:rPr>
          <w:spacing w:val="-8"/>
          <w:sz w:val="18"/>
          <w:szCs w:val="18"/>
          <w:lang w:val="es-ES_tradnl"/>
        </w:rPr>
        <w:t xml:space="preserve">as Penales de la Corte </w:t>
      </w:r>
      <w:r>
        <w:rPr>
          <w:spacing w:val="-2"/>
          <w:sz w:val="18"/>
          <w:szCs w:val="18"/>
          <w:lang w:val="es-ES_tradnl"/>
        </w:rPr>
        <w:t xml:space="preserve">Provincial de Justicia de Pichincha como de la Sala de </w:t>
      </w:r>
      <w:r>
        <w:rPr>
          <w:spacing w:val="-6"/>
          <w:sz w:val="18"/>
          <w:szCs w:val="18"/>
          <w:lang w:val="es-ES_tradnl"/>
        </w:rPr>
        <w:t xml:space="preserve">lo Penal de la Corte Nacional de Justicia, argumentando </w:t>
      </w:r>
      <w:r>
        <w:rPr>
          <w:spacing w:val="-8"/>
          <w:sz w:val="18"/>
          <w:szCs w:val="18"/>
          <w:lang w:val="es-ES_tradnl"/>
        </w:rPr>
        <w:t xml:space="preserve">que el accionante contaba </w:t>
      </w:r>
      <w:r>
        <w:rPr>
          <w:rFonts w:cs="Times New Roman"/>
          <w:spacing w:val="-8"/>
          <w:sz w:val="18"/>
          <w:szCs w:val="18"/>
          <w:lang w:val="es-ES_tradnl"/>
        </w:rPr>
        <w:t>ú</w:t>
      </w:r>
      <w:r>
        <w:rPr>
          <w:spacing w:val="-8"/>
          <w:sz w:val="18"/>
          <w:szCs w:val="18"/>
          <w:lang w:val="es-ES_tradnl"/>
        </w:rPr>
        <w:t>nicamente con tres d</w:t>
      </w:r>
      <w:r>
        <w:rPr>
          <w:rFonts w:cs="Times New Roman"/>
          <w:spacing w:val="-8"/>
          <w:sz w:val="18"/>
          <w:szCs w:val="18"/>
          <w:lang w:val="es-ES_tradnl"/>
        </w:rPr>
        <w:t>í</w:t>
      </w:r>
      <w:r>
        <w:rPr>
          <w:spacing w:val="-8"/>
          <w:sz w:val="18"/>
          <w:szCs w:val="18"/>
          <w:lang w:val="es-ES_tradnl"/>
        </w:rPr>
        <w:t xml:space="preserve">as para </w:t>
      </w:r>
      <w:r>
        <w:rPr>
          <w:spacing w:val="-5"/>
          <w:sz w:val="18"/>
          <w:szCs w:val="18"/>
          <w:lang w:val="es-ES_tradnl"/>
        </w:rPr>
        <w:t xml:space="preserve">presentar su recurso </w:t>
      </w:r>
      <w:r>
        <w:rPr>
          <w:rFonts w:cs="Times New Roman"/>
          <w:spacing w:val="-5"/>
          <w:sz w:val="18"/>
          <w:szCs w:val="18"/>
          <w:lang w:val="es-ES_tradnl"/>
        </w:rPr>
        <w:t>–</w:t>
      </w:r>
      <w:r>
        <w:rPr>
          <w:spacing w:val="-5"/>
          <w:sz w:val="18"/>
          <w:szCs w:val="18"/>
          <w:lang w:val="es-ES_tradnl"/>
        </w:rPr>
        <w:t>m</w:t>
      </w:r>
      <w:r>
        <w:rPr>
          <w:rFonts w:cs="Times New Roman"/>
          <w:spacing w:val="-5"/>
          <w:sz w:val="18"/>
          <w:szCs w:val="18"/>
          <w:lang w:val="es-ES_tradnl"/>
        </w:rPr>
        <w:t>á</w:t>
      </w:r>
      <w:r>
        <w:rPr>
          <w:spacing w:val="-5"/>
          <w:sz w:val="18"/>
          <w:szCs w:val="18"/>
          <w:lang w:val="es-ES_tradnl"/>
        </w:rPr>
        <w:t xml:space="preserve">s aun, tomando en cuenta que </w:t>
      </w:r>
      <w:r>
        <w:rPr>
          <w:spacing w:val="-7"/>
          <w:sz w:val="18"/>
          <w:szCs w:val="18"/>
          <w:lang w:val="es-ES_tradnl"/>
        </w:rPr>
        <w:t>en el caso concreto esos d</w:t>
      </w:r>
      <w:r>
        <w:rPr>
          <w:rFonts w:cs="Times New Roman"/>
          <w:spacing w:val="-7"/>
          <w:sz w:val="18"/>
          <w:szCs w:val="18"/>
          <w:lang w:val="es-ES_tradnl"/>
        </w:rPr>
        <w:t>í</w:t>
      </w:r>
      <w:r>
        <w:rPr>
          <w:spacing w:val="-7"/>
          <w:sz w:val="18"/>
          <w:szCs w:val="18"/>
          <w:lang w:val="es-ES_tradnl"/>
        </w:rPr>
        <w:t>as implicaban un s</w:t>
      </w:r>
      <w:r>
        <w:rPr>
          <w:rFonts w:cs="Times New Roman"/>
          <w:spacing w:val="-7"/>
          <w:sz w:val="18"/>
          <w:szCs w:val="18"/>
          <w:lang w:val="es-ES_tradnl"/>
        </w:rPr>
        <w:t>á</w:t>
      </w:r>
      <w:r>
        <w:rPr>
          <w:spacing w:val="-7"/>
          <w:sz w:val="18"/>
          <w:szCs w:val="18"/>
          <w:lang w:val="es-ES_tradnl"/>
        </w:rPr>
        <w:t xml:space="preserve">bado y </w:t>
      </w:r>
      <w:r>
        <w:rPr>
          <w:sz w:val="18"/>
          <w:szCs w:val="18"/>
          <w:lang w:val="es-ES_tradnl"/>
        </w:rPr>
        <w:t>domingo</w:t>
      </w:r>
      <w:r>
        <w:rPr>
          <w:rFonts w:ascii="Arial Unicode MS" w:eastAsia="Arial Unicode MS" w:hAnsi="Arial Unicode MS" w:cs="Arial Unicode MS" w:hint="eastAsia"/>
          <w:sz w:val="18"/>
          <w:szCs w:val="18"/>
          <w:lang w:val="es-ES_tradnl"/>
        </w:rPr>
        <w:t>‒</w:t>
      </w:r>
      <w:r>
        <w:rPr>
          <w:sz w:val="18"/>
          <w:szCs w:val="18"/>
          <w:lang w:val="es-ES_tradnl"/>
        </w:rPr>
        <w:t xml:space="preserve"> constituye una interpretaci</w:t>
      </w:r>
      <w:r>
        <w:rPr>
          <w:rFonts w:cs="Times New Roman"/>
          <w:sz w:val="18"/>
          <w:szCs w:val="18"/>
          <w:lang w:val="es-ES_tradnl"/>
        </w:rPr>
        <w:t>ó</w:t>
      </w:r>
      <w:r>
        <w:rPr>
          <w:sz w:val="18"/>
          <w:szCs w:val="18"/>
          <w:lang w:val="es-ES_tradnl"/>
        </w:rPr>
        <w:t xml:space="preserve">n restrictiva de </w:t>
      </w:r>
      <w:r>
        <w:rPr>
          <w:spacing w:val="-6"/>
          <w:sz w:val="18"/>
          <w:szCs w:val="18"/>
          <w:lang w:val="es-ES_tradnl"/>
        </w:rPr>
        <w:t xml:space="preserve">la normativa aplicable al caso y por tanto, no respeta los </w:t>
      </w:r>
      <w:r>
        <w:rPr>
          <w:spacing w:val="-8"/>
          <w:sz w:val="18"/>
          <w:szCs w:val="18"/>
          <w:lang w:val="es-ES_tradnl"/>
        </w:rPr>
        <w:t xml:space="preserve">derechos constitucionales de las partes procesales ni los principios </w:t>
      </w:r>
      <w:r>
        <w:rPr>
          <w:i/>
          <w:iCs/>
          <w:spacing w:val="-8"/>
          <w:sz w:val="18"/>
          <w:szCs w:val="18"/>
          <w:lang w:val="es-ES_tradnl"/>
        </w:rPr>
        <w:t xml:space="preserve">pro homine </w:t>
      </w:r>
      <w:r>
        <w:rPr>
          <w:spacing w:val="-8"/>
          <w:sz w:val="18"/>
          <w:szCs w:val="18"/>
          <w:lang w:val="es-ES_tradnl"/>
        </w:rPr>
        <w:t xml:space="preserve">y </w:t>
      </w:r>
      <w:r>
        <w:rPr>
          <w:i/>
          <w:iCs/>
          <w:spacing w:val="-8"/>
          <w:sz w:val="18"/>
          <w:szCs w:val="18"/>
          <w:lang w:val="es-ES_tradnl"/>
        </w:rPr>
        <w:t xml:space="preserve">pro reo </w:t>
      </w:r>
      <w:r>
        <w:rPr>
          <w:spacing w:val="-8"/>
          <w:sz w:val="18"/>
          <w:szCs w:val="18"/>
          <w:lang w:val="es-ES_tradnl"/>
        </w:rPr>
        <w:t>previstos en la Constituci</w:t>
      </w:r>
      <w:r>
        <w:rPr>
          <w:rFonts w:cs="Times New Roman"/>
          <w:spacing w:val="-8"/>
          <w:sz w:val="18"/>
          <w:szCs w:val="18"/>
          <w:lang w:val="es-ES_tradnl"/>
        </w:rPr>
        <w:t>ó</w:t>
      </w:r>
      <w:r>
        <w:rPr>
          <w:spacing w:val="-8"/>
          <w:sz w:val="18"/>
          <w:szCs w:val="18"/>
          <w:lang w:val="es-ES_tradnl"/>
        </w:rPr>
        <w:t xml:space="preserve">n y los instrumentos internacionales de derechos humanos </w:t>
      </w:r>
      <w:r>
        <w:rPr>
          <w:sz w:val="18"/>
          <w:szCs w:val="18"/>
          <w:lang w:val="es-ES_tradnl"/>
        </w:rPr>
        <w:t>ratificados por el Ecuador.</w:t>
      </w:r>
    </w:p>
    <w:p w14:paraId="4F67B3D8" w14:textId="77777777" w:rsidR="00591D54" w:rsidRDefault="00591D54">
      <w:pPr>
        <w:shd w:val="clear" w:color="auto" w:fill="FFFFFF"/>
        <w:spacing w:before="197" w:line="216" w:lineRule="exact"/>
        <w:jc w:val="both"/>
      </w:pPr>
      <w:r>
        <w:rPr>
          <w:spacing w:val="-4"/>
          <w:sz w:val="18"/>
          <w:szCs w:val="18"/>
          <w:lang w:val="es-ES_tradnl"/>
        </w:rPr>
        <w:t>A la luz de la Constituci</w:t>
      </w:r>
      <w:r>
        <w:rPr>
          <w:rFonts w:cs="Times New Roman"/>
          <w:spacing w:val="-4"/>
          <w:sz w:val="18"/>
          <w:szCs w:val="18"/>
          <w:lang w:val="es-ES_tradnl"/>
        </w:rPr>
        <w:t>ó</w:t>
      </w:r>
      <w:r>
        <w:rPr>
          <w:spacing w:val="-4"/>
          <w:sz w:val="18"/>
          <w:szCs w:val="18"/>
          <w:lang w:val="es-ES_tradnl"/>
        </w:rPr>
        <w:t xml:space="preserve">n y especialmente, por tratarse </w:t>
      </w:r>
      <w:r>
        <w:rPr>
          <w:spacing w:val="-8"/>
          <w:sz w:val="18"/>
          <w:szCs w:val="18"/>
          <w:lang w:val="es-ES_tradnl"/>
        </w:rPr>
        <w:t xml:space="preserve">de un tema penal, las partes procesales deben contar con </w:t>
      </w:r>
      <w:r>
        <w:rPr>
          <w:spacing w:val="-10"/>
          <w:sz w:val="18"/>
          <w:szCs w:val="18"/>
          <w:lang w:val="es-ES_tradnl"/>
        </w:rPr>
        <w:t>todas las garant</w:t>
      </w:r>
      <w:r>
        <w:rPr>
          <w:rFonts w:cs="Times New Roman"/>
          <w:spacing w:val="-10"/>
          <w:sz w:val="18"/>
          <w:szCs w:val="18"/>
          <w:lang w:val="es-ES_tradnl"/>
        </w:rPr>
        <w:t>í</w:t>
      </w:r>
      <w:r>
        <w:rPr>
          <w:spacing w:val="-10"/>
          <w:sz w:val="18"/>
          <w:szCs w:val="18"/>
          <w:lang w:val="es-ES_tradnl"/>
        </w:rPr>
        <w:t xml:space="preserve">as necesarias para asegurar que dentro del </w:t>
      </w:r>
      <w:r>
        <w:rPr>
          <w:spacing w:val="-8"/>
          <w:sz w:val="18"/>
          <w:szCs w:val="18"/>
          <w:lang w:val="es-ES_tradnl"/>
        </w:rPr>
        <w:t>proceso se hayan agotado todos los recursos, pruebas y alegaciones necesarias y por tanto la decisi</w:t>
      </w:r>
      <w:r>
        <w:rPr>
          <w:rFonts w:cs="Times New Roman"/>
          <w:spacing w:val="-8"/>
          <w:sz w:val="18"/>
          <w:szCs w:val="18"/>
          <w:lang w:val="es-ES_tradnl"/>
        </w:rPr>
        <w:t>ó</w:t>
      </w:r>
      <w:r>
        <w:rPr>
          <w:spacing w:val="-8"/>
          <w:sz w:val="18"/>
          <w:szCs w:val="18"/>
          <w:lang w:val="es-ES_tradnl"/>
        </w:rPr>
        <w:t xml:space="preserve">n final pueda </w:t>
      </w:r>
      <w:r>
        <w:rPr>
          <w:spacing w:val="-10"/>
          <w:sz w:val="18"/>
          <w:szCs w:val="18"/>
          <w:lang w:val="es-ES_tradnl"/>
        </w:rPr>
        <w:t>ser considerada justa y absolutamente fundada en derecho.</w:t>
      </w:r>
    </w:p>
    <w:p w14:paraId="4F67B3D9" w14:textId="77777777" w:rsidR="00591D54" w:rsidRDefault="00591D54">
      <w:pPr>
        <w:shd w:val="clear" w:color="auto" w:fill="FFFFFF"/>
        <w:spacing w:before="192" w:line="216" w:lineRule="exact"/>
        <w:jc w:val="both"/>
      </w:pPr>
      <w:r>
        <w:rPr>
          <w:spacing w:val="-8"/>
          <w:sz w:val="18"/>
          <w:szCs w:val="18"/>
          <w:lang w:val="es-ES_tradnl"/>
        </w:rPr>
        <w:t xml:space="preserve">Como ya se ha dicho, en este caso, al haber negado la </w:t>
      </w:r>
      <w:r>
        <w:rPr>
          <w:spacing w:val="-6"/>
          <w:sz w:val="18"/>
          <w:szCs w:val="18"/>
          <w:lang w:val="es-ES_tradnl"/>
        </w:rPr>
        <w:t>solicitud de ampliaci</w:t>
      </w:r>
      <w:r>
        <w:rPr>
          <w:rFonts w:cs="Times New Roman"/>
          <w:spacing w:val="-6"/>
          <w:sz w:val="18"/>
          <w:szCs w:val="18"/>
          <w:lang w:val="es-ES_tradnl"/>
        </w:rPr>
        <w:t>ó</w:t>
      </w:r>
      <w:r>
        <w:rPr>
          <w:spacing w:val="-6"/>
          <w:sz w:val="18"/>
          <w:szCs w:val="18"/>
          <w:lang w:val="es-ES_tradnl"/>
        </w:rPr>
        <w:t>n y aclaraci</w:t>
      </w:r>
      <w:r>
        <w:rPr>
          <w:rFonts w:cs="Times New Roman"/>
          <w:spacing w:val="-6"/>
          <w:sz w:val="18"/>
          <w:szCs w:val="18"/>
          <w:lang w:val="es-ES_tradnl"/>
        </w:rPr>
        <w:t>ó</w:t>
      </w:r>
      <w:r>
        <w:rPr>
          <w:spacing w:val="-6"/>
          <w:sz w:val="18"/>
          <w:szCs w:val="18"/>
          <w:lang w:val="es-ES_tradnl"/>
        </w:rPr>
        <w:t xml:space="preserve">n presentada al cuarto </w:t>
      </w:r>
      <w:r>
        <w:rPr>
          <w:spacing w:val="-4"/>
          <w:sz w:val="18"/>
          <w:szCs w:val="18"/>
          <w:lang w:val="es-ES_tradnl"/>
        </w:rPr>
        <w:t>d</w:t>
      </w:r>
      <w:r>
        <w:rPr>
          <w:rFonts w:cs="Times New Roman"/>
          <w:spacing w:val="-4"/>
          <w:sz w:val="18"/>
          <w:szCs w:val="18"/>
          <w:lang w:val="es-ES_tradnl"/>
        </w:rPr>
        <w:t>í</w:t>
      </w:r>
      <w:r>
        <w:rPr>
          <w:spacing w:val="-4"/>
          <w:sz w:val="18"/>
          <w:szCs w:val="18"/>
          <w:lang w:val="es-ES_tradnl"/>
        </w:rPr>
        <w:t>a de notificada la sentencia por una interpretaci</w:t>
      </w:r>
      <w:r>
        <w:rPr>
          <w:rFonts w:cs="Times New Roman"/>
          <w:spacing w:val="-4"/>
          <w:sz w:val="18"/>
          <w:szCs w:val="18"/>
          <w:lang w:val="es-ES_tradnl"/>
        </w:rPr>
        <w:t>ó</w:t>
      </w:r>
      <w:r>
        <w:rPr>
          <w:spacing w:val="-4"/>
          <w:sz w:val="18"/>
          <w:szCs w:val="18"/>
          <w:lang w:val="es-ES_tradnl"/>
        </w:rPr>
        <w:t xml:space="preserve">n </w:t>
      </w:r>
      <w:r>
        <w:rPr>
          <w:spacing w:val="-5"/>
          <w:sz w:val="18"/>
          <w:szCs w:val="18"/>
          <w:lang w:val="es-ES_tradnl"/>
        </w:rPr>
        <w:t>restrictiva de la norma, se ha impedido tambi</w:t>
      </w:r>
      <w:r>
        <w:rPr>
          <w:rFonts w:cs="Times New Roman"/>
          <w:spacing w:val="-5"/>
          <w:sz w:val="18"/>
          <w:szCs w:val="18"/>
          <w:lang w:val="es-ES_tradnl"/>
        </w:rPr>
        <w:t>é</w:t>
      </w:r>
      <w:r>
        <w:rPr>
          <w:spacing w:val="-5"/>
          <w:sz w:val="18"/>
          <w:szCs w:val="18"/>
          <w:lang w:val="es-ES_tradnl"/>
        </w:rPr>
        <w:t xml:space="preserve">n que el </w:t>
      </w:r>
      <w:r>
        <w:rPr>
          <w:spacing w:val="-8"/>
          <w:sz w:val="18"/>
          <w:szCs w:val="18"/>
          <w:lang w:val="es-ES_tradnl"/>
        </w:rPr>
        <w:t xml:space="preserve">accionante ejercite de forma efectiva su derecho a acceder </w:t>
      </w:r>
      <w:r>
        <w:rPr>
          <w:spacing w:val="-10"/>
          <w:sz w:val="18"/>
          <w:szCs w:val="18"/>
          <w:lang w:val="es-ES_tradnl"/>
        </w:rPr>
        <w:t xml:space="preserve">a los </w:t>
      </w:r>
      <w:r>
        <w:rPr>
          <w:rFonts w:cs="Times New Roman"/>
          <w:spacing w:val="-10"/>
          <w:sz w:val="18"/>
          <w:szCs w:val="18"/>
          <w:lang w:val="es-ES_tradnl"/>
        </w:rPr>
        <w:t>ó</w:t>
      </w:r>
      <w:r>
        <w:rPr>
          <w:spacing w:val="-10"/>
          <w:sz w:val="18"/>
          <w:szCs w:val="18"/>
          <w:lang w:val="es-ES_tradnl"/>
        </w:rPr>
        <w:t xml:space="preserve">rganos de justicia para obtener de ellos una sentencia </w:t>
      </w:r>
      <w:r>
        <w:rPr>
          <w:spacing w:val="-6"/>
          <w:sz w:val="18"/>
          <w:szCs w:val="18"/>
          <w:lang w:val="es-ES_tradnl"/>
        </w:rPr>
        <w:t xml:space="preserve">fundada en derecho que resuelva sobre sus pretensiones </w:t>
      </w:r>
      <w:r>
        <w:rPr>
          <w:spacing w:val="-8"/>
          <w:sz w:val="18"/>
          <w:szCs w:val="18"/>
          <w:lang w:val="es-ES_tradnl"/>
        </w:rPr>
        <w:t xml:space="preserve">y en este caso, se pronuncie respecto de un caso que ha </w:t>
      </w:r>
      <w:r>
        <w:rPr>
          <w:spacing w:val="-7"/>
          <w:sz w:val="18"/>
          <w:szCs w:val="18"/>
          <w:lang w:val="es-ES_tradnl"/>
        </w:rPr>
        <w:t>culminado con una condena privativa de libertad.</w:t>
      </w:r>
    </w:p>
    <w:p w14:paraId="4F67B3DA" w14:textId="77777777" w:rsidR="00591D54" w:rsidRDefault="00591D54">
      <w:pPr>
        <w:shd w:val="clear" w:color="auto" w:fill="FFFFFF"/>
        <w:spacing w:before="192" w:line="216" w:lineRule="exact"/>
        <w:jc w:val="both"/>
      </w:pPr>
      <w:r>
        <w:rPr>
          <w:spacing w:val="-9"/>
          <w:sz w:val="18"/>
          <w:szCs w:val="18"/>
          <w:lang w:val="es-ES_tradnl"/>
        </w:rPr>
        <w:t>Tal como lo manifest</w:t>
      </w:r>
      <w:r>
        <w:rPr>
          <w:rFonts w:cs="Times New Roman"/>
          <w:spacing w:val="-9"/>
          <w:sz w:val="18"/>
          <w:szCs w:val="18"/>
          <w:lang w:val="es-ES_tradnl"/>
        </w:rPr>
        <w:t>ó</w:t>
      </w:r>
      <w:r>
        <w:rPr>
          <w:spacing w:val="-9"/>
          <w:sz w:val="18"/>
          <w:szCs w:val="18"/>
          <w:lang w:val="es-ES_tradnl"/>
        </w:rPr>
        <w:t xml:space="preserve"> la propia Sala de lo Penal de la Corte </w:t>
      </w:r>
      <w:r>
        <w:rPr>
          <w:spacing w:val="-6"/>
          <w:sz w:val="18"/>
          <w:szCs w:val="18"/>
          <w:lang w:val="es-ES_tradnl"/>
        </w:rPr>
        <w:t>Nacional de Justicia en su auto de inadmisi</w:t>
      </w:r>
      <w:r>
        <w:rPr>
          <w:rFonts w:cs="Times New Roman"/>
          <w:spacing w:val="-6"/>
          <w:sz w:val="18"/>
          <w:szCs w:val="18"/>
          <w:lang w:val="es-ES_tradnl"/>
        </w:rPr>
        <w:t>ó</w:t>
      </w:r>
      <w:r>
        <w:rPr>
          <w:spacing w:val="-6"/>
          <w:sz w:val="18"/>
          <w:szCs w:val="18"/>
          <w:lang w:val="es-ES_tradnl"/>
        </w:rPr>
        <w:t xml:space="preserve">n del 12 de </w:t>
      </w:r>
      <w:r>
        <w:rPr>
          <w:spacing w:val="-4"/>
          <w:sz w:val="18"/>
          <w:szCs w:val="18"/>
          <w:lang w:val="es-ES_tradnl"/>
        </w:rPr>
        <w:t>junio de 2012, el art</w:t>
      </w:r>
      <w:r>
        <w:rPr>
          <w:rFonts w:cs="Times New Roman"/>
          <w:spacing w:val="-4"/>
          <w:sz w:val="18"/>
          <w:szCs w:val="18"/>
          <w:lang w:val="es-ES_tradnl"/>
        </w:rPr>
        <w:t>í</w:t>
      </w:r>
      <w:r>
        <w:rPr>
          <w:spacing w:val="-4"/>
          <w:sz w:val="18"/>
          <w:szCs w:val="18"/>
          <w:lang w:val="es-ES_tradnl"/>
        </w:rPr>
        <w:t>culo 6 del entonces vigente C</w:t>
      </w:r>
      <w:r>
        <w:rPr>
          <w:rFonts w:cs="Times New Roman"/>
          <w:spacing w:val="-4"/>
          <w:sz w:val="18"/>
          <w:szCs w:val="18"/>
          <w:lang w:val="es-ES_tradnl"/>
        </w:rPr>
        <w:t>ó</w:t>
      </w:r>
      <w:r>
        <w:rPr>
          <w:spacing w:val="-4"/>
          <w:sz w:val="18"/>
          <w:szCs w:val="18"/>
          <w:lang w:val="es-ES_tradnl"/>
        </w:rPr>
        <w:t xml:space="preserve">digo </w:t>
      </w:r>
      <w:r>
        <w:rPr>
          <w:spacing w:val="-10"/>
          <w:sz w:val="18"/>
          <w:szCs w:val="18"/>
          <w:lang w:val="es-ES_tradnl"/>
        </w:rPr>
        <w:t>de Procedimiento Penal, se</w:t>
      </w:r>
      <w:r>
        <w:rPr>
          <w:rFonts w:cs="Times New Roman"/>
          <w:spacing w:val="-10"/>
          <w:sz w:val="18"/>
          <w:szCs w:val="18"/>
          <w:lang w:val="es-ES_tradnl"/>
        </w:rPr>
        <w:t>ñ</w:t>
      </w:r>
      <w:r>
        <w:rPr>
          <w:spacing w:val="-10"/>
          <w:sz w:val="18"/>
          <w:szCs w:val="18"/>
          <w:lang w:val="es-ES_tradnl"/>
        </w:rPr>
        <w:t xml:space="preserve">alaba, expresamente, que para </w:t>
      </w:r>
      <w:r>
        <w:rPr>
          <w:spacing w:val="-5"/>
          <w:sz w:val="18"/>
          <w:szCs w:val="18"/>
          <w:lang w:val="es-ES_tradnl"/>
        </w:rPr>
        <w:t>el tr</w:t>
      </w:r>
      <w:r>
        <w:rPr>
          <w:rFonts w:cs="Times New Roman"/>
          <w:spacing w:val="-5"/>
          <w:sz w:val="18"/>
          <w:szCs w:val="18"/>
          <w:lang w:val="es-ES_tradnl"/>
        </w:rPr>
        <w:t>á</w:t>
      </w:r>
      <w:r>
        <w:rPr>
          <w:spacing w:val="-5"/>
          <w:sz w:val="18"/>
          <w:szCs w:val="18"/>
          <w:lang w:val="es-ES_tradnl"/>
        </w:rPr>
        <w:t xml:space="preserve">mite de los procesos penales en lo que se refiere a </w:t>
      </w:r>
      <w:r>
        <w:rPr>
          <w:spacing w:val="-6"/>
          <w:sz w:val="18"/>
          <w:szCs w:val="18"/>
          <w:lang w:val="es-ES_tradnl"/>
        </w:rPr>
        <w:t>la interposici</w:t>
      </w:r>
      <w:r>
        <w:rPr>
          <w:rFonts w:cs="Times New Roman"/>
          <w:spacing w:val="-6"/>
          <w:sz w:val="18"/>
          <w:szCs w:val="18"/>
          <w:lang w:val="es-ES_tradnl"/>
        </w:rPr>
        <w:t>ó</w:t>
      </w:r>
      <w:r>
        <w:rPr>
          <w:spacing w:val="-6"/>
          <w:sz w:val="18"/>
          <w:szCs w:val="18"/>
          <w:lang w:val="es-ES_tradnl"/>
        </w:rPr>
        <w:t>n y fundamentaci</w:t>
      </w:r>
      <w:r>
        <w:rPr>
          <w:rFonts w:cs="Times New Roman"/>
          <w:spacing w:val="-6"/>
          <w:sz w:val="18"/>
          <w:szCs w:val="18"/>
          <w:lang w:val="es-ES_tradnl"/>
        </w:rPr>
        <w:t>ó</w:t>
      </w:r>
      <w:r>
        <w:rPr>
          <w:spacing w:val="-6"/>
          <w:sz w:val="18"/>
          <w:szCs w:val="18"/>
          <w:lang w:val="es-ES_tradnl"/>
        </w:rPr>
        <w:t>n de recursos, correr</w:t>
      </w:r>
      <w:r>
        <w:rPr>
          <w:rFonts w:cs="Times New Roman"/>
          <w:spacing w:val="-6"/>
          <w:sz w:val="18"/>
          <w:szCs w:val="18"/>
          <w:lang w:val="es-ES_tradnl"/>
        </w:rPr>
        <w:t>á</w:t>
      </w:r>
      <w:r>
        <w:rPr>
          <w:spacing w:val="-6"/>
          <w:sz w:val="18"/>
          <w:szCs w:val="18"/>
          <w:lang w:val="es-ES_tradnl"/>
        </w:rPr>
        <w:t xml:space="preserve">n </w:t>
      </w:r>
      <w:r>
        <w:rPr>
          <w:rFonts w:cs="Times New Roman"/>
          <w:spacing w:val="-5"/>
          <w:sz w:val="18"/>
          <w:szCs w:val="18"/>
          <w:lang w:val="es-ES_tradnl"/>
        </w:rPr>
        <w:t>ú</w:t>
      </w:r>
      <w:r>
        <w:rPr>
          <w:spacing w:val="-5"/>
          <w:sz w:val="18"/>
          <w:szCs w:val="18"/>
          <w:lang w:val="es-ES_tradnl"/>
        </w:rPr>
        <w:t>nicamente los d</w:t>
      </w:r>
      <w:r>
        <w:rPr>
          <w:rFonts w:cs="Times New Roman"/>
          <w:spacing w:val="-5"/>
          <w:sz w:val="18"/>
          <w:szCs w:val="18"/>
          <w:lang w:val="es-ES_tradnl"/>
        </w:rPr>
        <w:t>í</w:t>
      </w:r>
      <w:r>
        <w:rPr>
          <w:spacing w:val="-5"/>
          <w:sz w:val="18"/>
          <w:szCs w:val="18"/>
          <w:lang w:val="es-ES_tradnl"/>
        </w:rPr>
        <w:t>as h</w:t>
      </w:r>
      <w:r>
        <w:rPr>
          <w:rFonts w:cs="Times New Roman"/>
          <w:spacing w:val="-5"/>
          <w:sz w:val="18"/>
          <w:szCs w:val="18"/>
          <w:lang w:val="es-ES_tradnl"/>
        </w:rPr>
        <w:t>á</w:t>
      </w:r>
      <w:r>
        <w:rPr>
          <w:spacing w:val="-5"/>
          <w:sz w:val="18"/>
          <w:szCs w:val="18"/>
          <w:lang w:val="es-ES_tradnl"/>
        </w:rPr>
        <w:t xml:space="preserve">biles. Aquello, a partir de una </w:t>
      </w:r>
      <w:r>
        <w:rPr>
          <w:spacing w:val="-6"/>
          <w:sz w:val="18"/>
          <w:szCs w:val="18"/>
          <w:lang w:val="es-ES_tradnl"/>
        </w:rPr>
        <w:t>interpretaci</w:t>
      </w:r>
      <w:r>
        <w:rPr>
          <w:rFonts w:cs="Times New Roman"/>
          <w:spacing w:val="-6"/>
          <w:sz w:val="18"/>
          <w:szCs w:val="18"/>
          <w:lang w:val="es-ES_tradnl"/>
        </w:rPr>
        <w:t>ó</w:t>
      </w:r>
      <w:r>
        <w:rPr>
          <w:spacing w:val="-6"/>
          <w:sz w:val="18"/>
          <w:szCs w:val="18"/>
          <w:lang w:val="es-ES_tradnl"/>
        </w:rPr>
        <w:t xml:space="preserve">n garantista de los derechos constitucionales de las partes procesales, implica que incluso los recursos </w:t>
      </w:r>
      <w:r>
        <w:rPr>
          <w:spacing w:val="-3"/>
          <w:sz w:val="18"/>
          <w:szCs w:val="18"/>
          <w:lang w:val="es-ES_tradnl"/>
        </w:rPr>
        <w:t>de aclaraci</w:t>
      </w:r>
      <w:r>
        <w:rPr>
          <w:rFonts w:cs="Times New Roman"/>
          <w:spacing w:val="-3"/>
          <w:sz w:val="18"/>
          <w:szCs w:val="18"/>
          <w:lang w:val="es-ES_tradnl"/>
        </w:rPr>
        <w:t>ó</w:t>
      </w:r>
      <w:r>
        <w:rPr>
          <w:spacing w:val="-3"/>
          <w:sz w:val="18"/>
          <w:szCs w:val="18"/>
          <w:lang w:val="es-ES_tradnl"/>
        </w:rPr>
        <w:t>n y ampliaci</w:t>
      </w:r>
      <w:r>
        <w:rPr>
          <w:rFonts w:cs="Times New Roman"/>
          <w:spacing w:val="-3"/>
          <w:sz w:val="18"/>
          <w:szCs w:val="18"/>
          <w:lang w:val="es-ES_tradnl"/>
        </w:rPr>
        <w:t>ó</w:t>
      </w:r>
      <w:r>
        <w:rPr>
          <w:spacing w:val="-3"/>
          <w:sz w:val="18"/>
          <w:szCs w:val="18"/>
          <w:lang w:val="es-ES_tradnl"/>
        </w:rPr>
        <w:t xml:space="preserve">n, dentro del </w:t>
      </w:r>
      <w:r>
        <w:rPr>
          <w:rFonts w:cs="Times New Roman"/>
          <w:spacing w:val="-3"/>
          <w:sz w:val="18"/>
          <w:szCs w:val="18"/>
          <w:lang w:val="es-ES_tradnl"/>
        </w:rPr>
        <w:t>á</w:t>
      </w:r>
      <w:r>
        <w:rPr>
          <w:spacing w:val="-3"/>
          <w:sz w:val="18"/>
          <w:szCs w:val="18"/>
          <w:lang w:val="es-ES_tradnl"/>
        </w:rPr>
        <w:t xml:space="preserve">mbito penal, </w:t>
      </w:r>
      <w:r>
        <w:rPr>
          <w:spacing w:val="-7"/>
          <w:sz w:val="18"/>
          <w:szCs w:val="18"/>
          <w:lang w:val="es-ES_tradnl"/>
        </w:rPr>
        <w:t>deber</w:t>
      </w:r>
      <w:r>
        <w:rPr>
          <w:rFonts w:cs="Times New Roman"/>
          <w:spacing w:val="-7"/>
          <w:sz w:val="18"/>
          <w:szCs w:val="18"/>
          <w:lang w:val="es-ES_tradnl"/>
        </w:rPr>
        <w:t>á</w:t>
      </w:r>
      <w:r>
        <w:rPr>
          <w:spacing w:val="-7"/>
          <w:sz w:val="18"/>
          <w:szCs w:val="18"/>
          <w:lang w:val="es-ES_tradnl"/>
        </w:rPr>
        <w:t>n regirse por tal norma, pues es la m</w:t>
      </w:r>
      <w:r>
        <w:rPr>
          <w:rFonts w:cs="Times New Roman"/>
          <w:spacing w:val="-7"/>
          <w:sz w:val="18"/>
          <w:szCs w:val="18"/>
          <w:lang w:val="es-ES_tradnl"/>
        </w:rPr>
        <w:t>á</w:t>
      </w:r>
      <w:r>
        <w:rPr>
          <w:spacing w:val="-7"/>
          <w:sz w:val="18"/>
          <w:szCs w:val="18"/>
          <w:lang w:val="es-ES_tradnl"/>
        </w:rPr>
        <w:t xml:space="preserve">s favorable a </w:t>
      </w:r>
      <w:r>
        <w:rPr>
          <w:spacing w:val="-9"/>
          <w:sz w:val="18"/>
          <w:szCs w:val="18"/>
          <w:lang w:val="es-ES_tradnl"/>
        </w:rPr>
        <w:t xml:space="preserve">las partes procesales y la que garantiza que cuenten con el </w:t>
      </w:r>
      <w:r>
        <w:rPr>
          <w:spacing w:val="-6"/>
          <w:sz w:val="18"/>
          <w:szCs w:val="18"/>
          <w:lang w:val="es-ES_tradnl"/>
        </w:rPr>
        <w:t xml:space="preserve">tiempo y los medios necesarios para preparar su defensa y ejercer su derecho a recurrir. En otras palabras, pese a </w:t>
      </w:r>
      <w:r>
        <w:rPr>
          <w:spacing w:val="-10"/>
          <w:sz w:val="18"/>
          <w:szCs w:val="18"/>
          <w:lang w:val="es-ES_tradnl"/>
        </w:rPr>
        <w:t>que de modo expreso, el entonces C</w:t>
      </w:r>
      <w:r>
        <w:rPr>
          <w:rFonts w:cs="Times New Roman"/>
          <w:spacing w:val="-10"/>
          <w:sz w:val="18"/>
          <w:szCs w:val="18"/>
          <w:lang w:val="es-ES_tradnl"/>
        </w:rPr>
        <w:t>ó</w:t>
      </w:r>
      <w:r>
        <w:rPr>
          <w:spacing w:val="-10"/>
          <w:sz w:val="18"/>
          <w:szCs w:val="18"/>
          <w:lang w:val="es-ES_tradnl"/>
        </w:rPr>
        <w:t xml:space="preserve">digo de Procedimiento </w:t>
      </w:r>
      <w:r>
        <w:rPr>
          <w:spacing w:val="-8"/>
          <w:sz w:val="18"/>
          <w:szCs w:val="18"/>
          <w:lang w:val="es-ES_tradnl"/>
        </w:rPr>
        <w:t>Penal no conten</w:t>
      </w:r>
      <w:r>
        <w:rPr>
          <w:rFonts w:cs="Times New Roman"/>
          <w:spacing w:val="-8"/>
          <w:sz w:val="18"/>
          <w:szCs w:val="18"/>
          <w:lang w:val="es-ES_tradnl"/>
        </w:rPr>
        <w:t>í</w:t>
      </w:r>
      <w:r>
        <w:rPr>
          <w:spacing w:val="-8"/>
          <w:sz w:val="18"/>
          <w:szCs w:val="18"/>
          <w:lang w:val="es-ES_tradnl"/>
        </w:rPr>
        <w:t>a menci</w:t>
      </w:r>
      <w:r>
        <w:rPr>
          <w:rFonts w:cs="Times New Roman"/>
          <w:spacing w:val="-8"/>
          <w:sz w:val="18"/>
          <w:szCs w:val="18"/>
          <w:lang w:val="es-ES_tradnl"/>
        </w:rPr>
        <w:t>ó</w:t>
      </w:r>
      <w:r>
        <w:rPr>
          <w:spacing w:val="-8"/>
          <w:sz w:val="18"/>
          <w:szCs w:val="18"/>
          <w:lang w:val="es-ES_tradnl"/>
        </w:rPr>
        <w:t xml:space="preserve">n respecto del recurso horizontal </w:t>
      </w:r>
      <w:r>
        <w:rPr>
          <w:spacing w:val="-6"/>
          <w:sz w:val="18"/>
          <w:szCs w:val="18"/>
          <w:lang w:val="es-ES_tradnl"/>
        </w:rPr>
        <w:t>de ampliaci</w:t>
      </w:r>
      <w:r>
        <w:rPr>
          <w:rFonts w:cs="Times New Roman"/>
          <w:spacing w:val="-6"/>
          <w:sz w:val="18"/>
          <w:szCs w:val="18"/>
          <w:lang w:val="es-ES_tradnl"/>
        </w:rPr>
        <w:t>ó</w:t>
      </w:r>
      <w:r>
        <w:rPr>
          <w:spacing w:val="-6"/>
          <w:sz w:val="18"/>
          <w:szCs w:val="18"/>
          <w:lang w:val="es-ES_tradnl"/>
        </w:rPr>
        <w:t>n y aclaraci</w:t>
      </w:r>
      <w:r>
        <w:rPr>
          <w:rFonts w:cs="Times New Roman"/>
          <w:spacing w:val="-6"/>
          <w:sz w:val="18"/>
          <w:szCs w:val="18"/>
          <w:lang w:val="es-ES_tradnl"/>
        </w:rPr>
        <w:t>ó</w:t>
      </w:r>
      <w:r>
        <w:rPr>
          <w:spacing w:val="-6"/>
          <w:sz w:val="18"/>
          <w:szCs w:val="18"/>
          <w:lang w:val="es-ES_tradnl"/>
        </w:rPr>
        <w:t>n y por tanto, deb</w:t>
      </w:r>
      <w:r>
        <w:rPr>
          <w:rFonts w:cs="Times New Roman"/>
          <w:spacing w:val="-6"/>
          <w:sz w:val="18"/>
          <w:szCs w:val="18"/>
          <w:lang w:val="es-ES_tradnl"/>
        </w:rPr>
        <w:t>í</w:t>
      </w:r>
      <w:r>
        <w:rPr>
          <w:spacing w:val="-6"/>
          <w:sz w:val="18"/>
          <w:szCs w:val="18"/>
          <w:lang w:val="es-ES_tradnl"/>
        </w:rPr>
        <w:t xml:space="preserve">a acudirse al </w:t>
      </w:r>
      <w:r>
        <w:rPr>
          <w:spacing w:val="-8"/>
          <w:sz w:val="18"/>
          <w:szCs w:val="18"/>
          <w:lang w:val="es-ES_tradnl"/>
        </w:rPr>
        <w:t>C</w:t>
      </w:r>
      <w:r>
        <w:rPr>
          <w:rFonts w:cs="Times New Roman"/>
          <w:spacing w:val="-8"/>
          <w:sz w:val="18"/>
          <w:szCs w:val="18"/>
          <w:lang w:val="es-ES_tradnl"/>
        </w:rPr>
        <w:t>ó</w:t>
      </w:r>
      <w:r>
        <w:rPr>
          <w:spacing w:val="-8"/>
          <w:sz w:val="18"/>
          <w:szCs w:val="18"/>
          <w:lang w:val="es-ES_tradnl"/>
        </w:rPr>
        <w:t>digo de Procedimiento Civil, la interpretaci</w:t>
      </w:r>
      <w:r>
        <w:rPr>
          <w:rFonts w:cs="Times New Roman"/>
          <w:spacing w:val="-8"/>
          <w:sz w:val="18"/>
          <w:szCs w:val="18"/>
          <w:lang w:val="es-ES_tradnl"/>
        </w:rPr>
        <w:t>ó</w:t>
      </w:r>
      <w:r>
        <w:rPr>
          <w:spacing w:val="-8"/>
          <w:sz w:val="18"/>
          <w:szCs w:val="18"/>
          <w:lang w:val="es-ES_tradnl"/>
        </w:rPr>
        <w:t>n que deb</w:t>
      </w:r>
      <w:r>
        <w:rPr>
          <w:rFonts w:cs="Times New Roman"/>
          <w:spacing w:val="-8"/>
          <w:sz w:val="18"/>
          <w:szCs w:val="18"/>
          <w:lang w:val="es-ES_tradnl"/>
        </w:rPr>
        <w:t>í</w:t>
      </w:r>
      <w:r>
        <w:rPr>
          <w:spacing w:val="-8"/>
          <w:sz w:val="18"/>
          <w:szCs w:val="18"/>
          <w:lang w:val="es-ES_tradnl"/>
        </w:rPr>
        <w:t xml:space="preserve">an </w:t>
      </w:r>
      <w:r>
        <w:rPr>
          <w:spacing w:val="-6"/>
          <w:sz w:val="18"/>
          <w:szCs w:val="18"/>
          <w:lang w:val="es-ES_tradnl"/>
        </w:rPr>
        <w:t>hacer los jueces a la luz de la Constituci</w:t>
      </w:r>
      <w:r>
        <w:rPr>
          <w:rFonts w:cs="Times New Roman"/>
          <w:spacing w:val="-6"/>
          <w:sz w:val="18"/>
          <w:szCs w:val="18"/>
          <w:lang w:val="es-ES_tradnl"/>
        </w:rPr>
        <w:t>ó</w:t>
      </w:r>
      <w:r>
        <w:rPr>
          <w:spacing w:val="-6"/>
          <w:sz w:val="18"/>
          <w:szCs w:val="18"/>
          <w:lang w:val="es-ES_tradnl"/>
        </w:rPr>
        <w:t>n era que seg</w:t>
      </w:r>
      <w:r>
        <w:rPr>
          <w:rFonts w:cs="Times New Roman"/>
          <w:spacing w:val="-6"/>
          <w:sz w:val="18"/>
          <w:szCs w:val="18"/>
          <w:lang w:val="es-ES_tradnl"/>
        </w:rPr>
        <w:t>ú</w:t>
      </w:r>
      <w:r>
        <w:rPr>
          <w:spacing w:val="-6"/>
          <w:sz w:val="18"/>
          <w:szCs w:val="18"/>
          <w:lang w:val="es-ES_tradnl"/>
        </w:rPr>
        <w:t>n el mandato del art</w:t>
      </w:r>
      <w:r>
        <w:rPr>
          <w:rFonts w:cs="Times New Roman"/>
          <w:spacing w:val="-6"/>
          <w:sz w:val="18"/>
          <w:szCs w:val="18"/>
          <w:lang w:val="es-ES_tradnl"/>
        </w:rPr>
        <w:t>í</w:t>
      </w:r>
      <w:r>
        <w:rPr>
          <w:spacing w:val="-6"/>
          <w:sz w:val="18"/>
          <w:szCs w:val="18"/>
          <w:lang w:val="es-ES_tradnl"/>
        </w:rPr>
        <w:t>culo 6 del entonces vigente C</w:t>
      </w:r>
      <w:r>
        <w:rPr>
          <w:rFonts w:cs="Times New Roman"/>
          <w:spacing w:val="-6"/>
          <w:sz w:val="18"/>
          <w:szCs w:val="18"/>
          <w:lang w:val="es-ES_tradnl"/>
        </w:rPr>
        <w:t>ó</w:t>
      </w:r>
      <w:r>
        <w:rPr>
          <w:spacing w:val="-6"/>
          <w:sz w:val="18"/>
          <w:szCs w:val="18"/>
          <w:lang w:val="es-ES_tradnl"/>
        </w:rPr>
        <w:t xml:space="preserve">digo de </w:t>
      </w:r>
      <w:r>
        <w:rPr>
          <w:spacing w:val="-8"/>
          <w:sz w:val="18"/>
          <w:szCs w:val="18"/>
          <w:lang w:val="es-ES_tradnl"/>
        </w:rPr>
        <w:t>Procedimiento Penal, el recurso de aclaraci</w:t>
      </w:r>
      <w:r>
        <w:rPr>
          <w:rFonts w:cs="Times New Roman"/>
          <w:spacing w:val="-8"/>
          <w:sz w:val="18"/>
          <w:szCs w:val="18"/>
          <w:lang w:val="es-ES_tradnl"/>
        </w:rPr>
        <w:t>ó</w:t>
      </w:r>
      <w:r>
        <w:rPr>
          <w:spacing w:val="-8"/>
          <w:sz w:val="18"/>
          <w:szCs w:val="18"/>
          <w:lang w:val="es-ES_tradnl"/>
        </w:rPr>
        <w:t>n y ampliaci</w:t>
      </w:r>
      <w:r>
        <w:rPr>
          <w:rFonts w:cs="Times New Roman"/>
          <w:spacing w:val="-8"/>
          <w:sz w:val="18"/>
          <w:szCs w:val="18"/>
          <w:lang w:val="es-ES_tradnl"/>
        </w:rPr>
        <w:t>ó</w:t>
      </w:r>
      <w:r>
        <w:rPr>
          <w:spacing w:val="-8"/>
          <w:sz w:val="18"/>
          <w:szCs w:val="18"/>
          <w:lang w:val="es-ES_tradnl"/>
        </w:rPr>
        <w:t xml:space="preserve">n </w:t>
      </w:r>
      <w:r>
        <w:rPr>
          <w:spacing w:val="-6"/>
          <w:sz w:val="18"/>
          <w:szCs w:val="18"/>
          <w:lang w:val="es-ES_tradnl"/>
        </w:rPr>
        <w:t>tambi</w:t>
      </w:r>
      <w:r>
        <w:rPr>
          <w:rFonts w:cs="Times New Roman"/>
          <w:spacing w:val="-6"/>
          <w:sz w:val="18"/>
          <w:szCs w:val="18"/>
          <w:lang w:val="es-ES_tradnl"/>
        </w:rPr>
        <w:t>é</w:t>
      </w:r>
      <w:r>
        <w:rPr>
          <w:spacing w:val="-6"/>
          <w:sz w:val="18"/>
          <w:szCs w:val="18"/>
          <w:lang w:val="es-ES_tradnl"/>
        </w:rPr>
        <w:t>n cuenta con tres d</w:t>
      </w:r>
      <w:r>
        <w:rPr>
          <w:rFonts w:cs="Times New Roman"/>
          <w:spacing w:val="-6"/>
          <w:sz w:val="18"/>
          <w:szCs w:val="18"/>
          <w:lang w:val="es-ES_tradnl"/>
        </w:rPr>
        <w:t>í</w:t>
      </w:r>
      <w:r>
        <w:rPr>
          <w:spacing w:val="-6"/>
          <w:sz w:val="18"/>
          <w:szCs w:val="18"/>
          <w:lang w:val="es-ES_tradnl"/>
        </w:rPr>
        <w:t>as h</w:t>
      </w:r>
      <w:r>
        <w:rPr>
          <w:rFonts w:cs="Times New Roman"/>
          <w:spacing w:val="-6"/>
          <w:sz w:val="18"/>
          <w:szCs w:val="18"/>
          <w:lang w:val="es-ES_tradnl"/>
        </w:rPr>
        <w:t>á</w:t>
      </w:r>
      <w:r>
        <w:rPr>
          <w:spacing w:val="-6"/>
          <w:sz w:val="18"/>
          <w:szCs w:val="18"/>
          <w:lang w:val="es-ES_tradnl"/>
        </w:rPr>
        <w:t xml:space="preserve">biles para ser interpuesto </w:t>
      </w:r>
      <w:r>
        <w:rPr>
          <w:spacing w:val="-4"/>
          <w:sz w:val="18"/>
          <w:szCs w:val="18"/>
          <w:lang w:val="es-ES_tradnl"/>
        </w:rPr>
        <w:t>y no dentro del plazo de tres d</w:t>
      </w:r>
      <w:r>
        <w:rPr>
          <w:rFonts w:cs="Times New Roman"/>
          <w:spacing w:val="-4"/>
          <w:sz w:val="18"/>
          <w:szCs w:val="18"/>
          <w:lang w:val="es-ES_tradnl"/>
        </w:rPr>
        <w:t>í</w:t>
      </w:r>
      <w:r>
        <w:rPr>
          <w:spacing w:val="-4"/>
          <w:sz w:val="18"/>
          <w:szCs w:val="18"/>
          <w:lang w:val="es-ES_tradnl"/>
        </w:rPr>
        <w:t xml:space="preserve">as, como sucede en el </w:t>
      </w:r>
      <w:r>
        <w:rPr>
          <w:rFonts w:cs="Times New Roman"/>
          <w:spacing w:val="-6"/>
          <w:sz w:val="18"/>
          <w:szCs w:val="18"/>
          <w:lang w:val="es-ES_tradnl"/>
        </w:rPr>
        <w:t>á</w:t>
      </w:r>
      <w:r>
        <w:rPr>
          <w:spacing w:val="-6"/>
          <w:sz w:val="18"/>
          <w:szCs w:val="18"/>
          <w:lang w:val="es-ES_tradnl"/>
        </w:rPr>
        <w:t>mbito civil. Solo as</w:t>
      </w:r>
      <w:r>
        <w:rPr>
          <w:rFonts w:cs="Times New Roman"/>
          <w:spacing w:val="-6"/>
          <w:sz w:val="18"/>
          <w:szCs w:val="18"/>
          <w:lang w:val="es-ES_tradnl"/>
        </w:rPr>
        <w:t>í</w:t>
      </w:r>
      <w:r>
        <w:rPr>
          <w:spacing w:val="-6"/>
          <w:sz w:val="18"/>
          <w:szCs w:val="18"/>
          <w:lang w:val="es-ES_tradnl"/>
        </w:rPr>
        <w:t>, habr</w:t>
      </w:r>
      <w:r>
        <w:rPr>
          <w:rFonts w:cs="Times New Roman"/>
          <w:spacing w:val="-6"/>
          <w:sz w:val="18"/>
          <w:szCs w:val="18"/>
          <w:lang w:val="es-ES_tradnl"/>
        </w:rPr>
        <w:t>í</w:t>
      </w:r>
      <w:r>
        <w:rPr>
          <w:spacing w:val="-6"/>
          <w:sz w:val="18"/>
          <w:szCs w:val="18"/>
          <w:lang w:val="es-ES_tradnl"/>
        </w:rPr>
        <w:t>an respetado la Constituci</w:t>
      </w:r>
      <w:r>
        <w:rPr>
          <w:rFonts w:cs="Times New Roman"/>
          <w:spacing w:val="-6"/>
          <w:sz w:val="18"/>
          <w:szCs w:val="18"/>
          <w:lang w:val="es-ES_tradnl"/>
        </w:rPr>
        <w:t>ó</w:t>
      </w:r>
      <w:r>
        <w:rPr>
          <w:spacing w:val="-6"/>
          <w:sz w:val="18"/>
          <w:szCs w:val="18"/>
          <w:lang w:val="es-ES_tradnl"/>
        </w:rPr>
        <w:t>n y</w:t>
      </w:r>
    </w:p>
    <w:p w14:paraId="4F67B3DB" w14:textId="77777777" w:rsidR="00591D54" w:rsidRDefault="00591D54">
      <w:pPr>
        <w:shd w:val="clear" w:color="auto" w:fill="FFFFFF"/>
        <w:spacing w:before="192" w:line="216" w:lineRule="exact"/>
        <w:jc w:val="both"/>
        <w:sectPr w:rsidR="00591D54">
          <w:type w:val="continuous"/>
          <w:pgSz w:w="11909" w:h="16834"/>
          <w:pgMar w:top="1356" w:right="1309" w:bottom="360" w:left="1308" w:header="720" w:footer="720" w:gutter="0"/>
          <w:cols w:num="2" w:space="720" w:equalWidth="0">
            <w:col w:w="4305" w:space="682"/>
            <w:col w:w="4305"/>
          </w:cols>
          <w:noEndnote/>
        </w:sectPr>
      </w:pPr>
    </w:p>
    <w:p w14:paraId="4F67B3DC"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- 201</w:t>
      </w:r>
    </w:p>
    <w:p w14:paraId="4F67B3DD" w14:textId="77777777" w:rsidR="00591D54" w:rsidRDefault="00591D54">
      <w:pPr>
        <w:shd w:val="clear" w:color="auto" w:fill="FFFFFF"/>
        <w:tabs>
          <w:tab w:val="left" w:pos="5842"/>
        </w:tabs>
        <w:spacing w:after="235"/>
        <w:ind w:left="5"/>
        <w:sectPr w:rsidR="00591D54">
          <w:pgSz w:w="11909" w:h="16834"/>
          <w:pgMar w:top="1356" w:right="1309" w:bottom="360" w:left="1308" w:header="720" w:footer="720" w:gutter="0"/>
          <w:cols w:space="60"/>
          <w:noEndnote/>
        </w:sectPr>
      </w:pPr>
    </w:p>
    <w:p w14:paraId="4F67B3DE" w14:textId="77777777" w:rsidR="00591D54" w:rsidRDefault="00591D54">
      <w:pPr>
        <w:shd w:val="clear" w:color="auto" w:fill="FFFFFF"/>
        <w:spacing w:line="216" w:lineRule="exact"/>
        <w:jc w:val="both"/>
      </w:pPr>
      <w:r>
        <w:rPr>
          <w:spacing w:val="-7"/>
          <w:sz w:val="18"/>
          <w:szCs w:val="18"/>
          <w:lang w:val="es-ES_tradnl"/>
        </w:rPr>
        <w:t>garantizado efectivamente los derechos a la tutela judicial efectiva y al debido proceso en cuanto a la garant</w:t>
      </w:r>
      <w:r>
        <w:rPr>
          <w:rFonts w:cs="Times New Roman"/>
          <w:spacing w:val="-7"/>
          <w:sz w:val="18"/>
          <w:szCs w:val="18"/>
          <w:lang w:val="es-ES_tradnl"/>
        </w:rPr>
        <w:t>í</w:t>
      </w:r>
      <w:r>
        <w:rPr>
          <w:spacing w:val="-7"/>
          <w:sz w:val="18"/>
          <w:szCs w:val="18"/>
          <w:lang w:val="es-ES_tradnl"/>
        </w:rPr>
        <w:t xml:space="preserve">a del </w:t>
      </w:r>
      <w:r>
        <w:rPr>
          <w:sz w:val="18"/>
          <w:szCs w:val="18"/>
          <w:lang w:val="es-ES_tradnl"/>
        </w:rPr>
        <w:t>derecho a la defensa.</w:t>
      </w:r>
    </w:p>
    <w:p w14:paraId="4F67B3DF" w14:textId="77777777" w:rsidR="00591D54" w:rsidRDefault="00591D54">
      <w:pPr>
        <w:shd w:val="clear" w:color="auto" w:fill="FFFFFF"/>
        <w:spacing w:before="197" w:line="216" w:lineRule="exact"/>
        <w:jc w:val="both"/>
      </w:pPr>
      <w:r>
        <w:rPr>
          <w:spacing w:val="-7"/>
          <w:sz w:val="18"/>
          <w:szCs w:val="18"/>
          <w:lang w:val="es-ES_tradnl"/>
        </w:rPr>
        <w:t>Por todo lo mencionado hasta aqu</w:t>
      </w:r>
      <w:r>
        <w:rPr>
          <w:rFonts w:cs="Times New Roman"/>
          <w:spacing w:val="-7"/>
          <w:sz w:val="18"/>
          <w:szCs w:val="18"/>
          <w:lang w:val="es-ES_tradnl"/>
        </w:rPr>
        <w:t>í</w:t>
      </w:r>
      <w:r>
        <w:rPr>
          <w:spacing w:val="-7"/>
          <w:sz w:val="18"/>
          <w:szCs w:val="18"/>
          <w:lang w:val="es-ES_tradnl"/>
        </w:rPr>
        <w:t xml:space="preserve">, esta Corte encuentra </w:t>
      </w:r>
      <w:r>
        <w:rPr>
          <w:spacing w:val="-4"/>
          <w:sz w:val="18"/>
          <w:szCs w:val="18"/>
          <w:lang w:val="es-ES_tradnl"/>
        </w:rPr>
        <w:t>que la interpretaci</w:t>
      </w:r>
      <w:r>
        <w:rPr>
          <w:rFonts w:cs="Times New Roman"/>
          <w:spacing w:val="-4"/>
          <w:sz w:val="18"/>
          <w:szCs w:val="18"/>
          <w:lang w:val="es-ES_tradnl"/>
        </w:rPr>
        <w:t>ó</w:t>
      </w:r>
      <w:r>
        <w:rPr>
          <w:spacing w:val="-4"/>
          <w:sz w:val="18"/>
          <w:szCs w:val="18"/>
          <w:lang w:val="es-ES_tradnl"/>
        </w:rPr>
        <w:t xml:space="preserve">n realizada tanto por la Tercera Sala </w:t>
      </w:r>
      <w:r>
        <w:rPr>
          <w:spacing w:val="-8"/>
          <w:sz w:val="18"/>
          <w:szCs w:val="18"/>
          <w:lang w:val="es-ES_tradnl"/>
        </w:rPr>
        <w:t>de Garant</w:t>
      </w:r>
      <w:r>
        <w:rPr>
          <w:rFonts w:cs="Times New Roman"/>
          <w:spacing w:val="-8"/>
          <w:sz w:val="18"/>
          <w:szCs w:val="18"/>
          <w:lang w:val="es-ES_tradnl"/>
        </w:rPr>
        <w:t>í</w:t>
      </w:r>
      <w:r>
        <w:rPr>
          <w:spacing w:val="-8"/>
          <w:sz w:val="18"/>
          <w:szCs w:val="18"/>
          <w:lang w:val="es-ES_tradnl"/>
        </w:rPr>
        <w:t xml:space="preserve">as Penales de la Corte Provincial de Justicia de </w:t>
      </w:r>
      <w:r>
        <w:rPr>
          <w:spacing w:val="-7"/>
          <w:sz w:val="18"/>
          <w:szCs w:val="18"/>
          <w:lang w:val="es-ES_tradnl"/>
        </w:rPr>
        <w:t xml:space="preserve">Pichincha en su auto del 9 de enero de 2012, como por la </w:t>
      </w:r>
      <w:r>
        <w:rPr>
          <w:spacing w:val="-9"/>
          <w:sz w:val="18"/>
          <w:szCs w:val="18"/>
          <w:lang w:val="es-ES_tradnl"/>
        </w:rPr>
        <w:t xml:space="preserve">Sala de lo Penal de la Corte Nacional de Justicia en su auto </w:t>
      </w:r>
      <w:r>
        <w:rPr>
          <w:spacing w:val="-8"/>
          <w:sz w:val="18"/>
          <w:szCs w:val="18"/>
          <w:lang w:val="es-ES_tradnl"/>
        </w:rPr>
        <w:t>de inadmisi</w:t>
      </w:r>
      <w:r>
        <w:rPr>
          <w:rFonts w:cs="Times New Roman"/>
          <w:spacing w:val="-8"/>
          <w:sz w:val="18"/>
          <w:szCs w:val="18"/>
          <w:lang w:val="es-ES_tradnl"/>
        </w:rPr>
        <w:t>ó</w:t>
      </w:r>
      <w:r>
        <w:rPr>
          <w:spacing w:val="-8"/>
          <w:sz w:val="18"/>
          <w:szCs w:val="18"/>
          <w:lang w:val="es-ES_tradnl"/>
        </w:rPr>
        <w:t xml:space="preserve">n del 12 de junio de 2012, al ser estrictamente </w:t>
      </w:r>
      <w:r>
        <w:rPr>
          <w:spacing w:val="-4"/>
          <w:sz w:val="18"/>
          <w:szCs w:val="18"/>
          <w:lang w:val="es-ES_tradnl"/>
        </w:rPr>
        <w:t>formalista y positivista en cuanto a la aplicaci</w:t>
      </w:r>
      <w:r>
        <w:rPr>
          <w:rFonts w:cs="Times New Roman"/>
          <w:spacing w:val="-4"/>
          <w:sz w:val="18"/>
          <w:szCs w:val="18"/>
          <w:lang w:val="es-ES_tradnl"/>
        </w:rPr>
        <w:t>ó</w:t>
      </w:r>
      <w:r>
        <w:rPr>
          <w:spacing w:val="-4"/>
          <w:sz w:val="18"/>
          <w:szCs w:val="18"/>
          <w:lang w:val="es-ES_tradnl"/>
        </w:rPr>
        <w:t xml:space="preserve">n de la </w:t>
      </w:r>
      <w:r>
        <w:rPr>
          <w:spacing w:val="-6"/>
          <w:sz w:val="18"/>
          <w:szCs w:val="18"/>
          <w:lang w:val="es-ES_tradnl"/>
        </w:rPr>
        <w:t xml:space="preserve">normativa infraconstitucional, ha olvidado considerar que </w:t>
      </w:r>
      <w:r>
        <w:rPr>
          <w:spacing w:val="-8"/>
          <w:sz w:val="18"/>
          <w:szCs w:val="18"/>
          <w:lang w:val="es-ES_tradnl"/>
        </w:rPr>
        <w:t xml:space="preserve">estamos en un Estado constitucional de derechos y justicia </w:t>
      </w:r>
      <w:r>
        <w:rPr>
          <w:spacing w:val="-7"/>
          <w:sz w:val="18"/>
          <w:szCs w:val="18"/>
          <w:lang w:val="es-ES_tradnl"/>
        </w:rPr>
        <w:t>en el cual prevalecen los derechos constitucionales y los principios de aplicaci</w:t>
      </w:r>
      <w:r>
        <w:rPr>
          <w:rFonts w:cs="Times New Roman"/>
          <w:spacing w:val="-7"/>
          <w:sz w:val="18"/>
          <w:szCs w:val="18"/>
          <w:lang w:val="es-ES_tradnl"/>
        </w:rPr>
        <w:t>ó</w:t>
      </w:r>
      <w:r>
        <w:rPr>
          <w:spacing w:val="-7"/>
          <w:sz w:val="18"/>
          <w:szCs w:val="18"/>
          <w:lang w:val="es-ES_tradnl"/>
        </w:rPr>
        <w:t xml:space="preserve">n de tales derechos, vulnerando por </w:t>
      </w:r>
      <w:r>
        <w:rPr>
          <w:spacing w:val="-4"/>
          <w:sz w:val="18"/>
          <w:szCs w:val="18"/>
          <w:lang w:val="es-ES_tradnl"/>
        </w:rPr>
        <w:t xml:space="preserve">tanto, el derecho a la tutela judicial efectiva y el derecho </w:t>
      </w:r>
      <w:r>
        <w:rPr>
          <w:spacing w:val="-8"/>
          <w:sz w:val="18"/>
          <w:szCs w:val="18"/>
          <w:lang w:val="es-ES_tradnl"/>
        </w:rPr>
        <w:t>al debido proceso en cuanto a la garant</w:t>
      </w:r>
      <w:r>
        <w:rPr>
          <w:rFonts w:cs="Times New Roman"/>
          <w:spacing w:val="-8"/>
          <w:sz w:val="18"/>
          <w:szCs w:val="18"/>
          <w:lang w:val="es-ES_tradnl"/>
        </w:rPr>
        <w:t>í</w:t>
      </w:r>
      <w:r>
        <w:rPr>
          <w:spacing w:val="-8"/>
          <w:sz w:val="18"/>
          <w:szCs w:val="18"/>
          <w:lang w:val="es-ES_tradnl"/>
        </w:rPr>
        <w:t xml:space="preserve">a del derecho a la </w:t>
      </w:r>
      <w:r>
        <w:rPr>
          <w:spacing w:val="-7"/>
          <w:sz w:val="18"/>
          <w:szCs w:val="18"/>
          <w:lang w:val="es-ES_tradnl"/>
        </w:rPr>
        <w:t xml:space="preserve">defensa respecto a contar con el tiempo y con los medios </w:t>
      </w:r>
      <w:r>
        <w:rPr>
          <w:spacing w:val="-10"/>
          <w:sz w:val="18"/>
          <w:szCs w:val="18"/>
          <w:lang w:val="es-ES_tradnl"/>
        </w:rPr>
        <w:t>adecuados para la preparaci</w:t>
      </w:r>
      <w:r>
        <w:rPr>
          <w:rFonts w:cs="Times New Roman"/>
          <w:spacing w:val="-10"/>
          <w:sz w:val="18"/>
          <w:szCs w:val="18"/>
          <w:lang w:val="es-ES_tradnl"/>
        </w:rPr>
        <w:t>ó</w:t>
      </w:r>
      <w:r>
        <w:rPr>
          <w:spacing w:val="-10"/>
          <w:sz w:val="18"/>
          <w:szCs w:val="18"/>
          <w:lang w:val="es-ES_tradnl"/>
        </w:rPr>
        <w:t>n de su defensa</w:t>
      </w:r>
      <w:r>
        <w:rPr>
          <w:spacing w:val="-10"/>
          <w:sz w:val="18"/>
          <w:szCs w:val="18"/>
          <w:vertAlign w:val="superscript"/>
          <w:lang w:val="es-ES_tradnl"/>
        </w:rPr>
        <w:t>9</w:t>
      </w:r>
      <w:r>
        <w:rPr>
          <w:spacing w:val="-10"/>
          <w:sz w:val="18"/>
          <w:szCs w:val="18"/>
          <w:lang w:val="es-ES_tradnl"/>
        </w:rPr>
        <w:t xml:space="preserve">. En lugar de </w:t>
      </w:r>
      <w:r>
        <w:rPr>
          <w:spacing w:val="-4"/>
          <w:sz w:val="18"/>
          <w:szCs w:val="18"/>
          <w:lang w:val="es-ES_tradnl"/>
        </w:rPr>
        <w:t xml:space="preserve">velar porque el querellado pudiera presentar su recurso </w:t>
      </w:r>
      <w:r>
        <w:rPr>
          <w:spacing w:val="-6"/>
          <w:sz w:val="18"/>
          <w:szCs w:val="18"/>
          <w:lang w:val="es-ES_tradnl"/>
        </w:rPr>
        <w:t>de ampliaci</w:t>
      </w:r>
      <w:r>
        <w:rPr>
          <w:rFonts w:cs="Times New Roman"/>
          <w:spacing w:val="-6"/>
          <w:sz w:val="18"/>
          <w:szCs w:val="18"/>
          <w:lang w:val="es-ES_tradnl"/>
        </w:rPr>
        <w:t>ó</w:t>
      </w:r>
      <w:r>
        <w:rPr>
          <w:spacing w:val="-6"/>
          <w:sz w:val="18"/>
          <w:szCs w:val="18"/>
          <w:lang w:val="es-ES_tradnl"/>
        </w:rPr>
        <w:t>n y aclaraci</w:t>
      </w:r>
      <w:r>
        <w:rPr>
          <w:rFonts w:cs="Times New Roman"/>
          <w:spacing w:val="-6"/>
          <w:sz w:val="18"/>
          <w:szCs w:val="18"/>
          <w:lang w:val="es-ES_tradnl"/>
        </w:rPr>
        <w:t>ó</w:t>
      </w:r>
      <w:r>
        <w:rPr>
          <w:spacing w:val="-6"/>
          <w:sz w:val="18"/>
          <w:szCs w:val="18"/>
          <w:lang w:val="es-ES_tradnl"/>
        </w:rPr>
        <w:t>n dentro del t</w:t>
      </w:r>
      <w:r>
        <w:rPr>
          <w:rFonts w:cs="Times New Roman"/>
          <w:spacing w:val="-6"/>
          <w:sz w:val="18"/>
          <w:szCs w:val="18"/>
          <w:lang w:val="es-ES_tradnl"/>
        </w:rPr>
        <w:t>é</w:t>
      </w:r>
      <w:r>
        <w:rPr>
          <w:spacing w:val="-6"/>
          <w:sz w:val="18"/>
          <w:szCs w:val="18"/>
          <w:lang w:val="es-ES_tradnl"/>
        </w:rPr>
        <w:t xml:space="preserve">rmino en que se </w:t>
      </w:r>
      <w:r>
        <w:rPr>
          <w:spacing w:val="-9"/>
          <w:sz w:val="18"/>
          <w:szCs w:val="18"/>
          <w:lang w:val="es-ES_tradnl"/>
        </w:rPr>
        <w:t xml:space="preserve">presenta cualquier otro recurso dentro de un proceso penal, </w:t>
      </w:r>
      <w:r>
        <w:rPr>
          <w:spacing w:val="-5"/>
          <w:sz w:val="18"/>
          <w:szCs w:val="18"/>
          <w:lang w:val="es-ES_tradnl"/>
        </w:rPr>
        <w:t>se interpret</w:t>
      </w:r>
      <w:r>
        <w:rPr>
          <w:rFonts w:cs="Times New Roman"/>
          <w:spacing w:val="-5"/>
          <w:sz w:val="18"/>
          <w:szCs w:val="18"/>
          <w:lang w:val="es-ES_tradnl"/>
        </w:rPr>
        <w:t>ó</w:t>
      </w:r>
      <w:r>
        <w:rPr>
          <w:spacing w:val="-5"/>
          <w:sz w:val="18"/>
          <w:szCs w:val="18"/>
          <w:lang w:val="es-ES_tradnl"/>
        </w:rPr>
        <w:t xml:space="preserve"> restrictivamente su derecho y se le impidi</w:t>
      </w:r>
      <w:r>
        <w:rPr>
          <w:rFonts w:cs="Times New Roman"/>
          <w:spacing w:val="-5"/>
          <w:sz w:val="18"/>
          <w:szCs w:val="18"/>
          <w:lang w:val="es-ES_tradnl"/>
        </w:rPr>
        <w:t xml:space="preserve">ó </w:t>
      </w:r>
      <w:r>
        <w:rPr>
          <w:spacing w:val="-9"/>
          <w:sz w:val="18"/>
          <w:szCs w:val="18"/>
          <w:lang w:val="es-ES_tradnl"/>
        </w:rPr>
        <w:t xml:space="preserve">acceder efectivamente a los </w:t>
      </w:r>
      <w:r>
        <w:rPr>
          <w:rFonts w:cs="Times New Roman"/>
          <w:spacing w:val="-9"/>
          <w:sz w:val="18"/>
          <w:szCs w:val="18"/>
          <w:lang w:val="es-ES_tradnl"/>
        </w:rPr>
        <w:t>ó</w:t>
      </w:r>
      <w:r>
        <w:rPr>
          <w:spacing w:val="-9"/>
          <w:sz w:val="18"/>
          <w:szCs w:val="18"/>
          <w:lang w:val="es-ES_tradnl"/>
        </w:rPr>
        <w:t>rganos de justicia para recurrir y obtener de ellos una sentencia fundada en derecho.</w:t>
      </w:r>
    </w:p>
    <w:p w14:paraId="4F67B3E0" w14:textId="77777777" w:rsidR="00591D54" w:rsidRDefault="00591D54">
      <w:pPr>
        <w:shd w:val="clear" w:color="auto" w:fill="FFFFFF"/>
        <w:spacing w:before="197" w:line="216" w:lineRule="exact"/>
        <w:ind w:right="5"/>
        <w:jc w:val="both"/>
      </w:pPr>
      <w:r>
        <w:rPr>
          <w:spacing w:val="-8"/>
          <w:sz w:val="18"/>
          <w:szCs w:val="18"/>
          <w:lang w:val="es-ES_tradnl"/>
        </w:rPr>
        <w:t>En consecuencia, esta Corte encuentra que el auto dictado el 9 de enero de 2012, por la Tercera Sala de Garant</w:t>
      </w:r>
      <w:r>
        <w:rPr>
          <w:rFonts w:cs="Times New Roman"/>
          <w:spacing w:val="-8"/>
          <w:sz w:val="18"/>
          <w:szCs w:val="18"/>
          <w:lang w:val="es-ES_tradnl"/>
        </w:rPr>
        <w:t>í</w:t>
      </w:r>
      <w:r>
        <w:rPr>
          <w:spacing w:val="-8"/>
          <w:sz w:val="18"/>
          <w:szCs w:val="18"/>
          <w:lang w:val="es-ES_tradnl"/>
        </w:rPr>
        <w:t xml:space="preserve">as Penales de la Corte Provincial de Justicia de Pichincha y el auto dictado el 12 de junio de 2012, por la Sala de lo Penal </w:t>
      </w:r>
      <w:r>
        <w:rPr>
          <w:spacing w:val="-7"/>
          <w:sz w:val="18"/>
          <w:szCs w:val="18"/>
          <w:lang w:val="es-ES_tradnl"/>
        </w:rPr>
        <w:t>de la Corte Nacional de Justicia vulneraron los derechos a la tutela judicial efectiva y al debido proceso en la garant</w:t>
      </w:r>
      <w:r>
        <w:rPr>
          <w:rFonts w:cs="Times New Roman"/>
          <w:spacing w:val="-7"/>
          <w:sz w:val="18"/>
          <w:szCs w:val="18"/>
          <w:lang w:val="es-ES_tradnl"/>
        </w:rPr>
        <w:t>í</w:t>
      </w:r>
      <w:r>
        <w:rPr>
          <w:spacing w:val="-7"/>
          <w:sz w:val="18"/>
          <w:szCs w:val="18"/>
          <w:lang w:val="es-ES_tradnl"/>
        </w:rPr>
        <w:t xml:space="preserve">a </w:t>
      </w:r>
      <w:r>
        <w:rPr>
          <w:spacing w:val="-10"/>
          <w:sz w:val="18"/>
          <w:szCs w:val="18"/>
          <w:lang w:val="es-ES_tradnl"/>
        </w:rPr>
        <w:t>de la defensa, concretamente en la garant</w:t>
      </w:r>
      <w:r>
        <w:rPr>
          <w:rFonts w:cs="Times New Roman"/>
          <w:spacing w:val="-10"/>
          <w:sz w:val="18"/>
          <w:szCs w:val="18"/>
          <w:lang w:val="es-ES_tradnl"/>
        </w:rPr>
        <w:t>í</w:t>
      </w:r>
      <w:r>
        <w:rPr>
          <w:spacing w:val="-10"/>
          <w:sz w:val="18"/>
          <w:szCs w:val="18"/>
          <w:lang w:val="es-ES_tradnl"/>
        </w:rPr>
        <w:t xml:space="preserve">a relativa a no ser </w:t>
      </w:r>
      <w:r>
        <w:rPr>
          <w:spacing w:val="-6"/>
          <w:sz w:val="18"/>
          <w:szCs w:val="18"/>
          <w:lang w:val="es-ES_tradnl"/>
        </w:rPr>
        <w:t xml:space="preserve">privado de contar con el tiempo y los medios adecuados </w:t>
      </w:r>
      <w:r>
        <w:rPr>
          <w:sz w:val="18"/>
          <w:szCs w:val="18"/>
          <w:lang w:val="es-ES_tradnl"/>
        </w:rPr>
        <w:t>para la preparaci</w:t>
      </w:r>
      <w:r>
        <w:rPr>
          <w:rFonts w:cs="Times New Roman"/>
          <w:sz w:val="18"/>
          <w:szCs w:val="18"/>
          <w:lang w:val="es-ES_tradnl"/>
        </w:rPr>
        <w:t>ó</w:t>
      </w:r>
      <w:r>
        <w:rPr>
          <w:sz w:val="18"/>
          <w:szCs w:val="18"/>
          <w:lang w:val="es-ES_tradnl"/>
        </w:rPr>
        <w:t>n de su defensa.</w:t>
      </w:r>
    </w:p>
    <w:p w14:paraId="4F67B3E1" w14:textId="77777777" w:rsidR="00591D54" w:rsidRDefault="00591D54">
      <w:pPr>
        <w:shd w:val="clear" w:color="auto" w:fill="FFFFFF"/>
        <w:spacing w:before="192"/>
      </w:pPr>
      <w:r>
        <w:rPr>
          <w:b/>
          <w:bCs/>
          <w:spacing w:val="-9"/>
          <w:sz w:val="18"/>
          <w:szCs w:val="18"/>
          <w:lang w:val="es-ES_tradnl"/>
        </w:rPr>
        <w:t>Otras consideraciones de la Corte Constitucional</w:t>
      </w:r>
    </w:p>
    <w:p w14:paraId="4F67B3E2" w14:textId="77777777" w:rsidR="00591D54" w:rsidRDefault="00591D54">
      <w:pPr>
        <w:shd w:val="clear" w:color="auto" w:fill="FFFFFF"/>
        <w:spacing w:before="192" w:line="216" w:lineRule="exact"/>
        <w:ind w:right="5"/>
        <w:jc w:val="both"/>
      </w:pPr>
      <w:r>
        <w:rPr>
          <w:spacing w:val="-7"/>
          <w:sz w:val="18"/>
          <w:szCs w:val="18"/>
          <w:lang w:val="es-ES_tradnl"/>
        </w:rPr>
        <w:t>Una vez que se ha resuelto el caso concreto y se ha determinado que la interpretaci</w:t>
      </w:r>
      <w:r>
        <w:rPr>
          <w:rFonts w:cs="Times New Roman"/>
          <w:spacing w:val="-7"/>
          <w:sz w:val="18"/>
          <w:szCs w:val="18"/>
          <w:lang w:val="es-ES_tradnl"/>
        </w:rPr>
        <w:t>ó</w:t>
      </w:r>
      <w:r>
        <w:rPr>
          <w:spacing w:val="-7"/>
          <w:sz w:val="18"/>
          <w:szCs w:val="18"/>
          <w:lang w:val="es-ES_tradnl"/>
        </w:rPr>
        <w:t xml:space="preserve">n restrictiva efectuada por </w:t>
      </w:r>
      <w:r>
        <w:rPr>
          <w:spacing w:val="-9"/>
          <w:sz w:val="18"/>
          <w:szCs w:val="18"/>
          <w:lang w:val="es-ES_tradnl"/>
        </w:rPr>
        <w:t>los jueces respecto del tiempo para presentar el recurso de aclaraci</w:t>
      </w:r>
      <w:r>
        <w:rPr>
          <w:rFonts w:cs="Times New Roman"/>
          <w:spacing w:val="-9"/>
          <w:sz w:val="18"/>
          <w:szCs w:val="18"/>
          <w:lang w:val="es-ES_tradnl"/>
        </w:rPr>
        <w:t>ó</w:t>
      </w:r>
      <w:r>
        <w:rPr>
          <w:spacing w:val="-9"/>
          <w:sz w:val="18"/>
          <w:szCs w:val="18"/>
          <w:lang w:val="es-ES_tradnl"/>
        </w:rPr>
        <w:t>n y/o ampliaci</w:t>
      </w:r>
      <w:r>
        <w:rPr>
          <w:rFonts w:cs="Times New Roman"/>
          <w:spacing w:val="-9"/>
          <w:sz w:val="18"/>
          <w:szCs w:val="18"/>
          <w:lang w:val="es-ES_tradnl"/>
        </w:rPr>
        <w:t>ó</w:t>
      </w:r>
      <w:r>
        <w:rPr>
          <w:spacing w:val="-9"/>
          <w:sz w:val="18"/>
          <w:szCs w:val="18"/>
          <w:lang w:val="es-ES_tradnl"/>
        </w:rPr>
        <w:t xml:space="preserve">n en materia penal afecta derechos </w:t>
      </w:r>
      <w:r>
        <w:rPr>
          <w:spacing w:val="-3"/>
          <w:sz w:val="18"/>
          <w:szCs w:val="18"/>
          <w:lang w:val="es-ES_tradnl"/>
        </w:rPr>
        <w:t xml:space="preserve">constitucionales, esta Corte Constitucional estima que </w:t>
      </w:r>
      <w:r>
        <w:rPr>
          <w:spacing w:val="-7"/>
          <w:sz w:val="18"/>
          <w:szCs w:val="18"/>
          <w:lang w:val="es-ES_tradnl"/>
        </w:rPr>
        <w:t xml:space="preserve">por tratarse de un tema de gran relevancia que, por sus </w:t>
      </w:r>
      <w:r>
        <w:rPr>
          <w:spacing w:val="-10"/>
          <w:sz w:val="18"/>
          <w:szCs w:val="18"/>
          <w:lang w:val="es-ES_tradnl"/>
        </w:rPr>
        <w:t>caracter</w:t>
      </w:r>
      <w:r>
        <w:rPr>
          <w:rFonts w:cs="Times New Roman"/>
          <w:spacing w:val="-10"/>
          <w:sz w:val="18"/>
          <w:szCs w:val="18"/>
          <w:lang w:val="es-ES_tradnl"/>
        </w:rPr>
        <w:t>í</w:t>
      </w:r>
      <w:r>
        <w:rPr>
          <w:spacing w:val="-10"/>
          <w:sz w:val="18"/>
          <w:szCs w:val="18"/>
          <w:lang w:val="es-ES_tradnl"/>
        </w:rPr>
        <w:t xml:space="preserve">sticas, puede estar afectando a otras personas que </w:t>
      </w:r>
      <w:r>
        <w:rPr>
          <w:spacing w:val="-8"/>
          <w:sz w:val="18"/>
          <w:szCs w:val="18"/>
          <w:lang w:val="es-ES_tradnl"/>
        </w:rPr>
        <w:t xml:space="preserve">se encuentran dentro de procesos penales bajo el mismo </w:t>
      </w:r>
      <w:r>
        <w:rPr>
          <w:spacing w:val="-7"/>
          <w:sz w:val="18"/>
          <w:szCs w:val="18"/>
          <w:lang w:val="es-ES_tradnl"/>
        </w:rPr>
        <w:t>patr</w:t>
      </w:r>
      <w:r>
        <w:rPr>
          <w:rFonts w:cs="Times New Roman"/>
          <w:spacing w:val="-7"/>
          <w:sz w:val="18"/>
          <w:szCs w:val="18"/>
          <w:lang w:val="es-ES_tradnl"/>
        </w:rPr>
        <w:t>ó</w:t>
      </w:r>
      <w:r>
        <w:rPr>
          <w:spacing w:val="-7"/>
          <w:sz w:val="18"/>
          <w:szCs w:val="18"/>
          <w:lang w:val="es-ES_tradnl"/>
        </w:rPr>
        <w:t>n f</w:t>
      </w:r>
      <w:r>
        <w:rPr>
          <w:rFonts w:cs="Times New Roman"/>
          <w:spacing w:val="-7"/>
          <w:sz w:val="18"/>
          <w:szCs w:val="18"/>
          <w:lang w:val="es-ES_tradnl"/>
        </w:rPr>
        <w:t>á</w:t>
      </w:r>
      <w:r>
        <w:rPr>
          <w:spacing w:val="-7"/>
          <w:sz w:val="18"/>
          <w:szCs w:val="18"/>
          <w:lang w:val="es-ES_tradnl"/>
        </w:rPr>
        <w:t>ctico aqu</w:t>
      </w:r>
      <w:r>
        <w:rPr>
          <w:rFonts w:cs="Times New Roman"/>
          <w:spacing w:val="-7"/>
          <w:sz w:val="18"/>
          <w:szCs w:val="18"/>
          <w:lang w:val="es-ES_tradnl"/>
        </w:rPr>
        <w:t>í</w:t>
      </w:r>
      <w:r>
        <w:rPr>
          <w:spacing w:val="-7"/>
          <w:sz w:val="18"/>
          <w:szCs w:val="18"/>
          <w:lang w:val="es-ES_tradnl"/>
        </w:rPr>
        <w:t xml:space="preserve"> analizado, es preciso pronunciarse no </w:t>
      </w:r>
      <w:r>
        <w:rPr>
          <w:spacing w:val="-8"/>
          <w:sz w:val="18"/>
          <w:szCs w:val="18"/>
          <w:lang w:val="es-ES_tradnl"/>
        </w:rPr>
        <w:t>solo respecto de la interpretaci</w:t>
      </w:r>
      <w:r>
        <w:rPr>
          <w:rFonts w:cs="Times New Roman"/>
          <w:spacing w:val="-8"/>
          <w:sz w:val="18"/>
          <w:szCs w:val="18"/>
          <w:lang w:val="es-ES_tradnl"/>
        </w:rPr>
        <w:t>ó</w:t>
      </w:r>
      <w:r>
        <w:rPr>
          <w:spacing w:val="-8"/>
          <w:sz w:val="18"/>
          <w:szCs w:val="18"/>
          <w:lang w:val="es-ES_tradnl"/>
        </w:rPr>
        <w:t>n que correspond</w:t>
      </w:r>
      <w:r>
        <w:rPr>
          <w:rFonts w:cs="Times New Roman"/>
          <w:spacing w:val="-8"/>
          <w:sz w:val="18"/>
          <w:szCs w:val="18"/>
          <w:lang w:val="es-ES_tradnl"/>
        </w:rPr>
        <w:t>í</w:t>
      </w:r>
      <w:r>
        <w:rPr>
          <w:spacing w:val="-8"/>
          <w:sz w:val="18"/>
          <w:szCs w:val="18"/>
          <w:lang w:val="es-ES_tradnl"/>
        </w:rPr>
        <w:t xml:space="preserve">a realizar </w:t>
      </w:r>
      <w:r>
        <w:rPr>
          <w:spacing w:val="-4"/>
          <w:sz w:val="18"/>
          <w:szCs w:val="18"/>
          <w:lang w:val="es-ES_tradnl"/>
        </w:rPr>
        <w:t>bajo el C</w:t>
      </w:r>
      <w:r>
        <w:rPr>
          <w:rFonts w:cs="Times New Roman"/>
          <w:spacing w:val="-4"/>
          <w:sz w:val="18"/>
          <w:szCs w:val="18"/>
          <w:lang w:val="es-ES_tradnl"/>
        </w:rPr>
        <w:t>ó</w:t>
      </w:r>
      <w:r>
        <w:rPr>
          <w:spacing w:val="-4"/>
          <w:sz w:val="18"/>
          <w:szCs w:val="18"/>
          <w:lang w:val="es-ES_tradnl"/>
        </w:rPr>
        <w:t>digo de Procedimiento Penal sino tambi</w:t>
      </w:r>
      <w:r>
        <w:rPr>
          <w:rFonts w:cs="Times New Roman"/>
          <w:spacing w:val="-4"/>
          <w:sz w:val="18"/>
          <w:szCs w:val="18"/>
          <w:lang w:val="es-ES_tradnl"/>
        </w:rPr>
        <w:t>é</w:t>
      </w:r>
      <w:r>
        <w:rPr>
          <w:spacing w:val="-4"/>
          <w:sz w:val="18"/>
          <w:szCs w:val="18"/>
          <w:lang w:val="es-ES_tradnl"/>
        </w:rPr>
        <w:t xml:space="preserve">n </w:t>
      </w:r>
      <w:r>
        <w:rPr>
          <w:spacing w:val="-6"/>
          <w:sz w:val="18"/>
          <w:szCs w:val="18"/>
          <w:lang w:val="es-ES_tradnl"/>
        </w:rPr>
        <w:t>respecto de lo que prescribe el C</w:t>
      </w:r>
      <w:r>
        <w:rPr>
          <w:rFonts w:cs="Times New Roman"/>
          <w:spacing w:val="-6"/>
          <w:sz w:val="18"/>
          <w:szCs w:val="18"/>
          <w:lang w:val="es-ES_tradnl"/>
        </w:rPr>
        <w:t>ó</w:t>
      </w:r>
      <w:r>
        <w:rPr>
          <w:spacing w:val="-6"/>
          <w:sz w:val="18"/>
          <w:szCs w:val="18"/>
          <w:lang w:val="es-ES_tradnl"/>
        </w:rPr>
        <w:t>digo Org</w:t>
      </w:r>
      <w:r>
        <w:rPr>
          <w:rFonts w:cs="Times New Roman"/>
          <w:spacing w:val="-6"/>
          <w:sz w:val="18"/>
          <w:szCs w:val="18"/>
          <w:lang w:val="es-ES_tradnl"/>
        </w:rPr>
        <w:t>á</w:t>
      </w:r>
      <w:r>
        <w:rPr>
          <w:spacing w:val="-6"/>
          <w:sz w:val="18"/>
          <w:szCs w:val="18"/>
          <w:lang w:val="es-ES_tradnl"/>
        </w:rPr>
        <w:t xml:space="preserve">nico Integral </w:t>
      </w:r>
      <w:r>
        <w:rPr>
          <w:spacing w:val="-9"/>
          <w:sz w:val="18"/>
          <w:szCs w:val="18"/>
          <w:lang w:val="es-ES_tradnl"/>
        </w:rPr>
        <w:t>Penal, que es la norma actualmente vigente.</w:t>
      </w:r>
    </w:p>
    <w:p w14:paraId="4F67B3E3" w14:textId="77777777" w:rsidR="00591D54" w:rsidRDefault="00591D54">
      <w:pPr>
        <w:shd w:val="clear" w:color="auto" w:fill="FFFFFF"/>
        <w:spacing w:before="192" w:line="216" w:lineRule="exact"/>
        <w:ind w:right="5"/>
        <w:jc w:val="both"/>
      </w:pPr>
      <w:r>
        <w:rPr>
          <w:spacing w:val="-8"/>
          <w:sz w:val="18"/>
          <w:szCs w:val="18"/>
          <w:lang w:val="es-ES_tradnl"/>
        </w:rPr>
        <w:t>Es preciso destacar que el C</w:t>
      </w:r>
      <w:r>
        <w:rPr>
          <w:rFonts w:cs="Times New Roman"/>
          <w:spacing w:val="-8"/>
          <w:sz w:val="18"/>
          <w:szCs w:val="18"/>
          <w:lang w:val="es-ES_tradnl"/>
        </w:rPr>
        <w:t>ó</w:t>
      </w:r>
      <w:r>
        <w:rPr>
          <w:spacing w:val="-8"/>
          <w:sz w:val="18"/>
          <w:szCs w:val="18"/>
          <w:lang w:val="es-ES_tradnl"/>
        </w:rPr>
        <w:t>digo Org</w:t>
      </w:r>
      <w:r>
        <w:rPr>
          <w:rFonts w:cs="Times New Roman"/>
          <w:spacing w:val="-8"/>
          <w:sz w:val="18"/>
          <w:szCs w:val="18"/>
          <w:lang w:val="es-ES_tradnl"/>
        </w:rPr>
        <w:t>á</w:t>
      </w:r>
      <w:r>
        <w:rPr>
          <w:spacing w:val="-8"/>
          <w:sz w:val="18"/>
          <w:szCs w:val="18"/>
          <w:lang w:val="es-ES_tradnl"/>
        </w:rPr>
        <w:t xml:space="preserve">nico Integral Penal, </w:t>
      </w:r>
      <w:r>
        <w:rPr>
          <w:spacing w:val="-5"/>
          <w:sz w:val="18"/>
          <w:szCs w:val="18"/>
          <w:lang w:val="es-ES_tradnl"/>
        </w:rPr>
        <w:t>en su T</w:t>
      </w:r>
      <w:r>
        <w:rPr>
          <w:rFonts w:cs="Times New Roman"/>
          <w:spacing w:val="-5"/>
          <w:sz w:val="18"/>
          <w:szCs w:val="18"/>
          <w:lang w:val="es-ES_tradnl"/>
        </w:rPr>
        <w:t>í</w:t>
      </w:r>
      <w:r>
        <w:rPr>
          <w:spacing w:val="-5"/>
          <w:sz w:val="18"/>
          <w:szCs w:val="18"/>
          <w:lang w:val="es-ES_tradnl"/>
        </w:rPr>
        <w:t>tulo IX, referente a la impugnaci</w:t>
      </w:r>
      <w:r>
        <w:rPr>
          <w:rFonts w:cs="Times New Roman"/>
          <w:spacing w:val="-5"/>
          <w:sz w:val="18"/>
          <w:szCs w:val="18"/>
          <w:lang w:val="es-ES_tradnl"/>
        </w:rPr>
        <w:t>ó</w:t>
      </w:r>
      <w:r>
        <w:rPr>
          <w:spacing w:val="-5"/>
          <w:sz w:val="18"/>
          <w:szCs w:val="18"/>
          <w:lang w:val="es-ES_tradnl"/>
        </w:rPr>
        <w:t xml:space="preserve">n y los recursos </w:t>
      </w:r>
      <w:r>
        <w:rPr>
          <w:spacing w:val="-7"/>
          <w:sz w:val="18"/>
          <w:szCs w:val="18"/>
          <w:lang w:val="es-ES_tradnl"/>
        </w:rPr>
        <w:t>en materia penal, regula taxativamente los recursos de apelaci</w:t>
      </w:r>
      <w:r>
        <w:rPr>
          <w:rFonts w:cs="Times New Roman"/>
          <w:spacing w:val="-7"/>
          <w:sz w:val="18"/>
          <w:szCs w:val="18"/>
          <w:lang w:val="es-ES_tradnl"/>
        </w:rPr>
        <w:t>ó</w:t>
      </w:r>
      <w:r>
        <w:rPr>
          <w:spacing w:val="-7"/>
          <w:sz w:val="18"/>
          <w:szCs w:val="18"/>
          <w:lang w:val="es-ES_tradnl"/>
        </w:rPr>
        <w:t>n, casaci</w:t>
      </w:r>
      <w:r>
        <w:rPr>
          <w:rFonts w:cs="Times New Roman"/>
          <w:spacing w:val="-7"/>
          <w:sz w:val="18"/>
          <w:szCs w:val="18"/>
          <w:lang w:val="es-ES_tradnl"/>
        </w:rPr>
        <w:t>ó</w:t>
      </w:r>
      <w:r>
        <w:rPr>
          <w:spacing w:val="-7"/>
          <w:sz w:val="18"/>
          <w:szCs w:val="18"/>
          <w:lang w:val="es-ES_tradnl"/>
        </w:rPr>
        <w:t>n, hecho y revisi</w:t>
      </w:r>
      <w:r>
        <w:rPr>
          <w:rFonts w:cs="Times New Roman"/>
          <w:spacing w:val="-7"/>
          <w:sz w:val="18"/>
          <w:szCs w:val="18"/>
          <w:lang w:val="es-ES_tradnl"/>
        </w:rPr>
        <w:t>ó</w:t>
      </w:r>
      <w:r>
        <w:rPr>
          <w:spacing w:val="-7"/>
          <w:sz w:val="18"/>
          <w:szCs w:val="18"/>
          <w:lang w:val="es-ES_tradnl"/>
        </w:rPr>
        <w:t>n. Por consiguiente, la</w:t>
      </w:r>
    </w:p>
    <w:p w14:paraId="4F67B3E4" w14:textId="77777777" w:rsidR="00591D54" w:rsidRDefault="00591D54">
      <w:pPr>
        <w:shd w:val="clear" w:color="auto" w:fill="FFFFFF"/>
        <w:spacing w:before="437" w:line="178" w:lineRule="exact"/>
        <w:ind w:left="139" w:right="5" w:hanging="139"/>
        <w:jc w:val="both"/>
      </w:pPr>
      <w:r>
        <w:rPr>
          <w:sz w:val="14"/>
          <w:szCs w:val="14"/>
          <w:vertAlign w:val="superscript"/>
          <w:lang w:val="es-ES_tradnl"/>
        </w:rPr>
        <w:t>9</w:t>
      </w:r>
      <w:r>
        <w:rPr>
          <w:sz w:val="14"/>
          <w:szCs w:val="14"/>
          <w:lang w:val="es-ES_tradnl"/>
        </w:rPr>
        <w:t xml:space="preserve"> </w:t>
      </w:r>
      <w:r>
        <w:rPr>
          <w:rFonts w:cs="Times New Roman"/>
          <w:sz w:val="14"/>
          <w:szCs w:val="14"/>
          <w:lang w:val="es-ES_tradnl"/>
        </w:rPr>
        <w:t>“</w:t>
      </w:r>
      <w:r>
        <w:rPr>
          <w:sz w:val="14"/>
          <w:szCs w:val="14"/>
          <w:lang w:val="es-ES_tradnl"/>
        </w:rPr>
        <w:t xml:space="preserve">Art. 76.- En todo proceso en el que se determinen derechos y </w:t>
      </w:r>
      <w:r>
        <w:rPr>
          <w:spacing w:val="-2"/>
          <w:sz w:val="14"/>
          <w:szCs w:val="14"/>
          <w:lang w:val="es-ES_tradnl"/>
        </w:rPr>
        <w:t>obligaciones de cualquier orden, se asegurar</w:t>
      </w:r>
      <w:r>
        <w:rPr>
          <w:rFonts w:cs="Times New Roman"/>
          <w:spacing w:val="-2"/>
          <w:sz w:val="14"/>
          <w:szCs w:val="14"/>
          <w:lang w:val="es-ES_tradnl"/>
        </w:rPr>
        <w:t>á</w:t>
      </w:r>
      <w:r>
        <w:rPr>
          <w:spacing w:val="-2"/>
          <w:sz w:val="14"/>
          <w:szCs w:val="14"/>
          <w:lang w:val="es-ES_tradnl"/>
        </w:rPr>
        <w:t xml:space="preserve"> el derecho al debido </w:t>
      </w:r>
      <w:r>
        <w:rPr>
          <w:sz w:val="14"/>
          <w:szCs w:val="14"/>
          <w:lang w:val="es-ES_tradnl"/>
        </w:rPr>
        <w:t>proceso que incluir</w:t>
      </w:r>
      <w:r>
        <w:rPr>
          <w:rFonts w:cs="Times New Roman"/>
          <w:sz w:val="14"/>
          <w:szCs w:val="14"/>
          <w:lang w:val="es-ES_tradnl"/>
        </w:rPr>
        <w:t>á</w:t>
      </w:r>
      <w:r>
        <w:rPr>
          <w:sz w:val="14"/>
          <w:szCs w:val="14"/>
          <w:lang w:val="es-ES_tradnl"/>
        </w:rPr>
        <w:t xml:space="preserve"> las siguientes garant</w:t>
      </w:r>
      <w:r>
        <w:rPr>
          <w:rFonts w:cs="Times New Roman"/>
          <w:sz w:val="14"/>
          <w:szCs w:val="14"/>
          <w:lang w:val="es-ES_tradnl"/>
        </w:rPr>
        <w:t>í</w:t>
      </w:r>
      <w:r>
        <w:rPr>
          <w:sz w:val="14"/>
          <w:szCs w:val="14"/>
          <w:lang w:val="es-ES_tradnl"/>
        </w:rPr>
        <w:t>as b</w:t>
      </w:r>
      <w:r>
        <w:rPr>
          <w:rFonts w:cs="Times New Roman"/>
          <w:sz w:val="14"/>
          <w:szCs w:val="14"/>
          <w:lang w:val="es-ES_tradnl"/>
        </w:rPr>
        <w:t>á</w:t>
      </w:r>
      <w:r>
        <w:rPr>
          <w:sz w:val="14"/>
          <w:szCs w:val="14"/>
          <w:lang w:val="es-ES_tradnl"/>
        </w:rPr>
        <w:t>sicas: (</w:t>
      </w:r>
      <w:r>
        <w:rPr>
          <w:rFonts w:cs="Times New Roman"/>
          <w:sz w:val="14"/>
          <w:szCs w:val="14"/>
          <w:lang w:val="es-ES_tradnl"/>
        </w:rPr>
        <w:t>…</w:t>
      </w:r>
      <w:r>
        <w:rPr>
          <w:sz w:val="14"/>
          <w:szCs w:val="14"/>
          <w:lang w:val="es-ES_tradnl"/>
        </w:rPr>
        <w:t xml:space="preserve">) 7. El </w:t>
      </w:r>
      <w:r>
        <w:rPr>
          <w:spacing w:val="-4"/>
          <w:sz w:val="14"/>
          <w:szCs w:val="14"/>
          <w:lang w:val="es-ES_tradnl"/>
        </w:rPr>
        <w:t>derecho de las personas a la defensa incluir</w:t>
      </w:r>
      <w:r>
        <w:rPr>
          <w:rFonts w:cs="Times New Roman"/>
          <w:spacing w:val="-4"/>
          <w:sz w:val="14"/>
          <w:szCs w:val="14"/>
          <w:lang w:val="es-ES_tradnl"/>
        </w:rPr>
        <w:t>á</w:t>
      </w:r>
      <w:r>
        <w:rPr>
          <w:spacing w:val="-4"/>
          <w:sz w:val="14"/>
          <w:szCs w:val="14"/>
          <w:lang w:val="es-ES_tradnl"/>
        </w:rPr>
        <w:t xml:space="preserve"> las siguientes garant</w:t>
      </w:r>
      <w:r>
        <w:rPr>
          <w:rFonts w:cs="Times New Roman"/>
          <w:spacing w:val="-4"/>
          <w:sz w:val="14"/>
          <w:szCs w:val="14"/>
          <w:lang w:val="es-ES_tradnl"/>
        </w:rPr>
        <w:t>í</w:t>
      </w:r>
      <w:r>
        <w:rPr>
          <w:spacing w:val="-4"/>
          <w:sz w:val="14"/>
          <w:szCs w:val="14"/>
          <w:lang w:val="es-ES_tradnl"/>
        </w:rPr>
        <w:t xml:space="preserve">as: </w:t>
      </w:r>
      <w:r>
        <w:rPr>
          <w:spacing w:val="-1"/>
          <w:sz w:val="14"/>
          <w:szCs w:val="14"/>
          <w:lang w:val="es-ES_tradnl"/>
        </w:rPr>
        <w:t>(</w:t>
      </w:r>
      <w:r>
        <w:rPr>
          <w:rFonts w:cs="Times New Roman"/>
          <w:spacing w:val="-1"/>
          <w:sz w:val="14"/>
          <w:szCs w:val="14"/>
          <w:lang w:val="es-ES_tradnl"/>
        </w:rPr>
        <w:t>…</w:t>
      </w:r>
      <w:r>
        <w:rPr>
          <w:spacing w:val="-1"/>
          <w:sz w:val="14"/>
          <w:szCs w:val="14"/>
          <w:lang w:val="es-ES_tradnl"/>
        </w:rPr>
        <w:t xml:space="preserve">) b) Contar con el tiempo y con los medios adecuados para la </w:t>
      </w:r>
      <w:r>
        <w:rPr>
          <w:sz w:val="14"/>
          <w:szCs w:val="14"/>
          <w:lang w:val="es-ES_tradnl"/>
        </w:rPr>
        <w:t>preparaci</w:t>
      </w:r>
      <w:r>
        <w:rPr>
          <w:rFonts w:cs="Times New Roman"/>
          <w:sz w:val="14"/>
          <w:szCs w:val="14"/>
          <w:lang w:val="es-ES_tradnl"/>
        </w:rPr>
        <w:t>ó</w:t>
      </w:r>
      <w:r>
        <w:rPr>
          <w:sz w:val="14"/>
          <w:szCs w:val="14"/>
          <w:lang w:val="es-ES_tradnl"/>
        </w:rPr>
        <w:t>n de su defensa.</w:t>
      </w:r>
      <w:r>
        <w:rPr>
          <w:rFonts w:cs="Times New Roman"/>
          <w:sz w:val="14"/>
          <w:szCs w:val="14"/>
          <w:lang w:val="es-ES_tradnl"/>
        </w:rPr>
        <w:t>”</w:t>
      </w:r>
    </w:p>
    <w:p w14:paraId="4F67B3E5" w14:textId="77777777" w:rsidR="00591D54" w:rsidRDefault="00591D54">
      <w:pPr>
        <w:shd w:val="clear" w:color="auto" w:fill="FFFFFF"/>
        <w:spacing w:line="206" w:lineRule="exact"/>
        <w:jc w:val="both"/>
      </w:pPr>
      <w:r>
        <w:br w:type="column"/>
      </w:r>
      <w:r>
        <w:rPr>
          <w:spacing w:val="-8"/>
          <w:sz w:val="18"/>
          <w:szCs w:val="18"/>
          <w:lang w:val="es-ES_tradnl"/>
        </w:rPr>
        <w:t>interpretaci</w:t>
      </w:r>
      <w:r>
        <w:rPr>
          <w:rFonts w:cs="Times New Roman"/>
          <w:spacing w:val="-8"/>
          <w:sz w:val="18"/>
          <w:szCs w:val="18"/>
          <w:lang w:val="es-ES_tradnl"/>
        </w:rPr>
        <w:t>ó</w:t>
      </w:r>
      <w:r>
        <w:rPr>
          <w:spacing w:val="-8"/>
          <w:sz w:val="18"/>
          <w:szCs w:val="18"/>
          <w:lang w:val="es-ES_tradnl"/>
        </w:rPr>
        <w:t>n que ocasion</w:t>
      </w:r>
      <w:r>
        <w:rPr>
          <w:rFonts w:cs="Times New Roman"/>
          <w:spacing w:val="-8"/>
          <w:sz w:val="18"/>
          <w:szCs w:val="18"/>
          <w:lang w:val="es-ES_tradnl"/>
        </w:rPr>
        <w:t>ó</w:t>
      </w:r>
      <w:r>
        <w:rPr>
          <w:spacing w:val="-8"/>
          <w:sz w:val="18"/>
          <w:szCs w:val="18"/>
          <w:lang w:val="es-ES_tradnl"/>
        </w:rPr>
        <w:t xml:space="preserve"> la vulneraci</w:t>
      </w:r>
      <w:r>
        <w:rPr>
          <w:rFonts w:cs="Times New Roman"/>
          <w:spacing w:val="-8"/>
          <w:sz w:val="18"/>
          <w:szCs w:val="18"/>
          <w:lang w:val="es-ES_tradnl"/>
        </w:rPr>
        <w:t>ó</w:t>
      </w:r>
      <w:r>
        <w:rPr>
          <w:spacing w:val="-8"/>
          <w:sz w:val="18"/>
          <w:szCs w:val="18"/>
          <w:lang w:val="es-ES_tradnl"/>
        </w:rPr>
        <w:t xml:space="preserve">n de los derechos </w:t>
      </w:r>
      <w:r>
        <w:rPr>
          <w:spacing w:val="-11"/>
          <w:sz w:val="18"/>
          <w:szCs w:val="18"/>
          <w:lang w:val="es-ES_tradnl"/>
        </w:rPr>
        <w:t>del accionante puede ocurrir tambi</w:t>
      </w:r>
      <w:r>
        <w:rPr>
          <w:rFonts w:cs="Times New Roman"/>
          <w:spacing w:val="-11"/>
          <w:sz w:val="18"/>
          <w:szCs w:val="18"/>
          <w:lang w:val="es-ES_tradnl"/>
        </w:rPr>
        <w:t>é</w:t>
      </w:r>
      <w:r>
        <w:rPr>
          <w:spacing w:val="-11"/>
          <w:sz w:val="18"/>
          <w:szCs w:val="18"/>
          <w:lang w:val="es-ES_tradnl"/>
        </w:rPr>
        <w:t xml:space="preserve">n bajo esta norma ya que </w:t>
      </w:r>
      <w:r>
        <w:rPr>
          <w:rFonts w:ascii="Arial Unicode MS" w:eastAsia="Arial Unicode MS" w:hAnsi="Arial Unicode MS" w:cs="Arial Unicode MS" w:hint="eastAsia"/>
          <w:spacing w:val="-9"/>
          <w:sz w:val="18"/>
          <w:szCs w:val="18"/>
          <w:lang w:val="es-ES_tradnl"/>
        </w:rPr>
        <w:t>‒</w:t>
      </w:r>
      <w:r>
        <w:rPr>
          <w:spacing w:val="-9"/>
          <w:sz w:val="18"/>
          <w:szCs w:val="18"/>
          <w:lang w:val="es-ES_tradnl"/>
        </w:rPr>
        <w:t>al igual que suced</w:t>
      </w:r>
      <w:r>
        <w:rPr>
          <w:rFonts w:cs="Times New Roman"/>
          <w:spacing w:val="-9"/>
          <w:sz w:val="18"/>
          <w:szCs w:val="18"/>
          <w:lang w:val="es-ES_tradnl"/>
        </w:rPr>
        <w:t>í</w:t>
      </w:r>
      <w:r>
        <w:rPr>
          <w:spacing w:val="-9"/>
          <w:sz w:val="18"/>
          <w:szCs w:val="18"/>
          <w:lang w:val="es-ES_tradnl"/>
        </w:rPr>
        <w:t>a en el C</w:t>
      </w:r>
      <w:r>
        <w:rPr>
          <w:rFonts w:cs="Times New Roman"/>
          <w:spacing w:val="-9"/>
          <w:sz w:val="18"/>
          <w:szCs w:val="18"/>
          <w:lang w:val="es-ES_tradnl"/>
        </w:rPr>
        <w:t>ó</w:t>
      </w:r>
      <w:r>
        <w:rPr>
          <w:spacing w:val="-9"/>
          <w:sz w:val="18"/>
          <w:szCs w:val="18"/>
          <w:lang w:val="es-ES_tradnl"/>
        </w:rPr>
        <w:t xml:space="preserve">digo de Procedimiento Penal </w:t>
      </w:r>
      <w:r>
        <w:rPr>
          <w:spacing w:val="-6"/>
          <w:sz w:val="18"/>
          <w:szCs w:val="18"/>
          <w:lang w:val="es-ES_tradnl"/>
        </w:rPr>
        <w:t>anterior</w:t>
      </w:r>
      <w:r>
        <w:rPr>
          <w:rFonts w:ascii="Arial Unicode MS" w:eastAsia="Arial Unicode MS" w:hAnsi="Arial Unicode MS" w:cs="Arial Unicode MS" w:hint="eastAsia"/>
          <w:spacing w:val="-6"/>
          <w:sz w:val="18"/>
          <w:szCs w:val="18"/>
          <w:lang w:val="es-ES_tradnl"/>
        </w:rPr>
        <w:t>‒</w:t>
      </w:r>
      <w:r>
        <w:rPr>
          <w:spacing w:val="-6"/>
          <w:sz w:val="18"/>
          <w:szCs w:val="18"/>
          <w:lang w:val="es-ES_tradnl"/>
        </w:rPr>
        <w:t xml:space="preserve"> al no existir el recurso horizontal de aclaraci</w:t>
      </w:r>
      <w:r>
        <w:rPr>
          <w:rFonts w:cs="Times New Roman"/>
          <w:spacing w:val="-6"/>
          <w:sz w:val="18"/>
          <w:szCs w:val="18"/>
          <w:lang w:val="es-ES_tradnl"/>
        </w:rPr>
        <w:t>ó</w:t>
      </w:r>
      <w:r>
        <w:rPr>
          <w:spacing w:val="-6"/>
          <w:sz w:val="18"/>
          <w:szCs w:val="18"/>
          <w:lang w:val="es-ES_tradnl"/>
        </w:rPr>
        <w:t xml:space="preserve">n y </w:t>
      </w:r>
      <w:r>
        <w:rPr>
          <w:spacing w:val="-8"/>
          <w:sz w:val="18"/>
          <w:szCs w:val="18"/>
          <w:lang w:val="es-ES_tradnl"/>
        </w:rPr>
        <w:t>ampliaci</w:t>
      </w:r>
      <w:r>
        <w:rPr>
          <w:rFonts w:cs="Times New Roman"/>
          <w:spacing w:val="-8"/>
          <w:sz w:val="18"/>
          <w:szCs w:val="18"/>
          <w:lang w:val="es-ES_tradnl"/>
        </w:rPr>
        <w:t>ó</w:t>
      </w:r>
      <w:r>
        <w:rPr>
          <w:spacing w:val="-8"/>
          <w:sz w:val="18"/>
          <w:szCs w:val="18"/>
          <w:lang w:val="es-ES_tradnl"/>
        </w:rPr>
        <w:t>n expresamente establecido en la norma, para su interposici</w:t>
      </w:r>
      <w:r>
        <w:rPr>
          <w:rFonts w:cs="Times New Roman"/>
          <w:spacing w:val="-8"/>
          <w:sz w:val="18"/>
          <w:szCs w:val="18"/>
          <w:lang w:val="es-ES_tradnl"/>
        </w:rPr>
        <w:t>ó</w:t>
      </w:r>
      <w:r>
        <w:rPr>
          <w:spacing w:val="-8"/>
          <w:sz w:val="18"/>
          <w:szCs w:val="18"/>
          <w:lang w:val="es-ES_tradnl"/>
        </w:rPr>
        <w:t>n debemos recurrir al C</w:t>
      </w:r>
      <w:r>
        <w:rPr>
          <w:rFonts w:cs="Times New Roman"/>
          <w:spacing w:val="-8"/>
          <w:sz w:val="18"/>
          <w:szCs w:val="18"/>
          <w:lang w:val="es-ES_tradnl"/>
        </w:rPr>
        <w:t>ó</w:t>
      </w:r>
      <w:r>
        <w:rPr>
          <w:spacing w:val="-8"/>
          <w:sz w:val="18"/>
          <w:szCs w:val="18"/>
          <w:lang w:val="es-ES_tradnl"/>
        </w:rPr>
        <w:t xml:space="preserve">digo de Procedimiento </w:t>
      </w:r>
      <w:r>
        <w:rPr>
          <w:sz w:val="18"/>
          <w:szCs w:val="18"/>
          <w:lang w:val="es-ES_tradnl"/>
        </w:rPr>
        <w:t xml:space="preserve">Civil que es la norma supletoria de conformidad con </w:t>
      </w:r>
      <w:r>
        <w:rPr>
          <w:spacing w:val="-5"/>
          <w:sz w:val="18"/>
          <w:szCs w:val="18"/>
          <w:lang w:val="es-ES_tradnl"/>
        </w:rPr>
        <w:t>la disposici</w:t>
      </w:r>
      <w:r>
        <w:rPr>
          <w:rFonts w:cs="Times New Roman"/>
          <w:spacing w:val="-5"/>
          <w:sz w:val="18"/>
          <w:szCs w:val="18"/>
          <w:lang w:val="es-ES_tradnl"/>
        </w:rPr>
        <w:t>ó</w:t>
      </w:r>
      <w:r>
        <w:rPr>
          <w:spacing w:val="-5"/>
          <w:sz w:val="18"/>
          <w:szCs w:val="18"/>
          <w:lang w:val="es-ES_tradnl"/>
        </w:rPr>
        <w:t>n transitoria primera del C</w:t>
      </w:r>
      <w:r>
        <w:rPr>
          <w:rFonts w:cs="Times New Roman"/>
          <w:spacing w:val="-5"/>
          <w:sz w:val="18"/>
          <w:szCs w:val="18"/>
          <w:lang w:val="es-ES_tradnl"/>
        </w:rPr>
        <w:t>ó</w:t>
      </w:r>
      <w:r>
        <w:rPr>
          <w:spacing w:val="-5"/>
          <w:sz w:val="18"/>
          <w:szCs w:val="18"/>
          <w:lang w:val="es-ES_tradnl"/>
        </w:rPr>
        <w:t>digo Org</w:t>
      </w:r>
      <w:r>
        <w:rPr>
          <w:rFonts w:cs="Times New Roman"/>
          <w:spacing w:val="-5"/>
          <w:sz w:val="18"/>
          <w:szCs w:val="18"/>
          <w:lang w:val="es-ES_tradnl"/>
        </w:rPr>
        <w:t>á</w:t>
      </w:r>
      <w:r>
        <w:rPr>
          <w:spacing w:val="-5"/>
          <w:sz w:val="18"/>
          <w:szCs w:val="18"/>
          <w:lang w:val="es-ES_tradnl"/>
        </w:rPr>
        <w:t xml:space="preserve">nico </w:t>
      </w:r>
      <w:r>
        <w:rPr>
          <w:sz w:val="18"/>
          <w:szCs w:val="18"/>
          <w:lang w:val="es-ES_tradnl"/>
        </w:rPr>
        <w:t>Integral Penal</w:t>
      </w:r>
      <w:r>
        <w:rPr>
          <w:sz w:val="18"/>
          <w:szCs w:val="18"/>
          <w:vertAlign w:val="superscript"/>
          <w:lang w:val="es-ES_tradnl"/>
        </w:rPr>
        <w:t>10</w:t>
      </w:r>
      <w:r>
        <w:rPr>
          <w:sz w:val="18"/>
          <w:szCs w:val="18"/>
          <w:lang w:val="es-ES_tradnl"/>
        </w:rPr>
        <w:t>.</w:t>
      </w:r>
    </w:p>
    <w:p w14:paraId="4F67B3E6" w14:textId="77777777" w:rsidR="00591D54" w:rsidRDefault="00591D54">
      <w:pPr>
        <w:shd w:val="clear" w:color="auto" w:fill="FFFFFF"/>
        <w:spacing w:before="192" w:line="211" w:lineRule="exact"/>
        <w:jc w:val="both"/>
      </w:pPr>
      <w:r>
        <w:rPr>
          <w:spacing w:val="-7"/>
          <w:sz w:val="18"/>
          <w:szCs w:val="18"/>
          <w:lang w:val="es-ES_tradnl"/>
        </w:rPr>
        <w:t xml:space="preserve">Ante esta circunstancia, para garantizar los derechos </w:t>
      </w:r>
      <w:r>
        <w:rPr>
          <w:spacing w:val="-9"/>
          <w:sz w:val="18"/>
          <w:szCs w:val="18"/>
          <w:lang w:val="es-ES_tradnl"/>
        </w:rPr>
        <w:t xml:space="preserve">constitucionales de las partes procesales, esta Corte estima necesario precisar que independientemente de la norma en </w:t>
      </w:r>
      <w:r>
        <w:rPr>
          <w:spacing w:val="-6"/>
          <w:sz w:val="18"/>
          <w:szCs w:val="18"/>
          <w:lang w:val="es-ES_tradnl"/>
        </w:rPr>
        <w:t xml:space="preserve">la que se encuentre previsto el recurso con el que cuenta </w:t>
      </w:r>
      <w:r>
        <w:rPr>
          <w:spacing w:val="-8"/>
          <w:sz w:val="18"/>
          <w:szCs w:val="18"/>
          <w:lang w:val="es-ES_tradnl"/>
        </w:rPr>
        <w:t xml:space="preserve">la parte procesal </w:t>
      </w:r>
      <w:r>
        <w:rPr>
          <w:rFonts w:ascii="Arial Unicode MS" w:eastAsia="Arial Unicode MS" w:hAnsi="Arial Unicode MS" w:cs="Arial Unicode MS" w:hint="eastAsia"/>
          <w:spacing w:val="-8"/>
          <w:sz w:val="18"/>
          <w:szCs w:val="18"/>
          <w:lang w:val="es-ES_tradnl"/>
        </w:rPr>
        <w:t>‒</w:t>
      </w:r>
      <w:r>
        <w:rPr>
          <w:spacing w:val="-8"/>
          <w:sz w:val="18"/>
          <w:szCs w:val="18"/>
          <w:lang w:val="es-ES_tradnl"/>
        </w:rPr>
        <w:t xml:space="preserve">en este caso para obtener del juez una </w:t>
      </w:r>
      <w:r>
        <w:rPr>
          <w:spacing w:val="-4"/>
          <w:sz w:val="18"/>
          <w:szCs w:val="18"/>
          <w:lang w:val="es-ES_tradnl"/>
        </w:rPr>
        <w:t>aclaraci</w:t>
      </w:r>
      <w:r>
        <w:rPr>
          <w:rFonts w:cs="Times New Roman"/>
          <w:spacing w:val="-4"/>
          <w:sz w:val="18"/>
          <w:szCs w:val="18"/>
          <w:lang w:val="es-ES_tradnl"/>
        </w:rPr>
        <w:t>ó</w:t>
      </w:r>
      <w:r>
        <w:rPr>
          <w:spacing w:val="-4"/>
          <w:sz w:val="18"/>
          <w:szCs w:val="18"/>
          <w:lang w:val="es-ES_tradnl"/>
        </w:rPr>
        <w:t>n y/o ampliaci</w:t>
      </w:r>
      <w:r>
        <w:rPr>
          <w:rFonts w:cs="Times New Roman"/>
          <w:spacing w:val="-4"/>
          <w:sz w:val="18"/>
          <w:szCs w:val="18"/>
          <w:lang w:val="es-ES_tradnl"/>
        </w:rPr>
        <w:t>ó</w:t>
      </w:r>
      <w:r>
        <w:rPr>
          <w:spacing w:val="-4"/>
          <w:sz w:val="18"/>
          <w:szCs w:val="18"/>
          <w:lang w:val="es-ES_tradnl"/>
        </w:rPr>
        <w:t>n de la sentencia</w:t>
      </w:r>
      <w:r>
        <w:rPr>
          <w:rFonts w:ascii="Arial Unicode MS" w:eastAsia="Arial Unicode MS" w:hAnsi="Arial Unicode MS" w:cs="Arial Unicode MS" w:hint="eastAsia"/>
          <w:spacing w:val="-4"/>
          <w:sz w:val="18"/>
          <w:szCs w:val="18"/>
          <w:lang w:val="es-ES_tradnl"/>
        </w:rPr>
        <w:t>‒</w:t>
      </w:r>
      <w:r>
        <w:rPr>
          <w:spacing w:val="-4"/>
          <w:sz w:val="18"/>
          <w:szCs w:val="18"/>
          <w:lang w:val="es-ES_tradnl"/>
        </w:rPr>
        <w:t xml:space="preserve"> la norma </w:t>
      </w:r>
      <w:r>
        <w:rPr>
          <w:spacing w:val="-8"/>
          <w:sz w:val="18"/>
          <w:szCs w:val="18"/>
          <w:lang w:val="es-ES_tradnl"/>
        </w:rPr>
        <w:t>aplicable para contabilizar los d</w:t>
      </w:r>
      <w:r>
        <w:rPr>
          <w:rFonts w:cs="Times New Roman"/>
          <w:spacing w:val="-8"/>
          <w:sz w:val="18"/>
          <w:szCs w:val="18"/>
          <w:lang w:val="es-ES_tradnl"/>
        </w:rPr>
        <w:t>í</w:t>
      </w:r>
      <w:r>
        <w:rPr>
          <w:spacing w:val="-8"/>
          <w:sz w:val="18"/>
          <w:szCs w:val="18"/>
          <w:lang w:val="es-ES_tradnl"/>
        </w:rPr>
        <w:t>as para la presentaci</w:t>
      </w:r>
      <w:r>
        <w:rPr>
          <w:rFonts w:cs="Times New Roman"/>
          <w:spacing w:val="-8"/>
          <w:sz w:val="18"/>
          <w:szCs w:val="18"/>
          <w:lang w:val="es-ES_tradnl"/>
        </w:rPr>
        <w:t>ó</w:t>
      </w:r>
      <w:r>
        <w:rPr>
          <w:spacing w:val="-8"/>
          <w:sz w:val="18"/>
          <w:szCs w:val="18"/>
          <w:lang w:val="es-ES_tradnl"/>
        </w:rPr>
        <w:t xml:space="preserve">n del </w:t>
      </w:r>
      <w:r>
        <w:rPr>
          <w:spacing w:val="-6"/>
          <w:sz w:val="18"/>
          <w:szCs w:val="18"/>
          <w:lang w:val="es-ES_tradnl"/>
        </w:rPr>
        <w:t xml:space="preserve">recurso debe ser la contenida en la ley de la materia, es </w:t>
      </w:r>
      <w:r>
        <w:rPr>
          <w:spacing w:val="-9"/>
          <w:sz w:val="18"/>
          <w:szCs w:val="18"/>
          <w:lang w:val="es-ES_tradnl"/>
        </w:rPr>
        <w:t>decir, para los casos que se tramitan bajo el antiguo C</w:t>
      </w:r>
      <w:r>
        <w:rPr>
          <w:rFonts w:cs="Times New Roman"/>
          <w:spacing w:val="-9"/>
          <w:sz w:val="18"/>
          <w:szCs w:val="18"/>
          <w:lang w:val="es-ES_tradnl"/>
        </w:rPr>
        <w:t>ó</w:t>
      </w:r>
      <w:r>
        <w:rPr>
          <w:spacing w:val="-9"/>
          <w:sz w:val="18"/>
          <w:szCs w:val="18"/>
          <w:lang w:val="es-ES_tradnl"/>
        </w:rPr>
        <w:t xml:space="preserve">digo </w:t>
      </w:r>
      <w:r>
        <w:rPr>
          <w:spacing w:val="-6"/>
          <w:sz w:val="18"/>
          <w:szCs w:val="18"/>
          <w:lang w:val="es-ES_tradnl"/>
        </w:rPr>
        <w:t>de Procedimiento Penal, su art</w:t>
      </w:r>
      <w:r>
        <w:rPr>
          <w:rFonts w:cs="Times New Roman"/>
          <w:spacing w:val="-6"/>
          <w:sz w:val="18"/>
          <w:szCs w:val="18"/>
          <w:lang w:val="es-ES_tradnl"/>
        </w:rPr>
        <w:t>í</w:t>
      </w:r>
      <w:r>
        <w:rPr>
          <w:spacing w:val="-6"/>
          <w:sz w:val="18"/>
          <w:szCs w:val="18"/>
          <w:lang w:val="es-ES_tradnl"/>
        </w:rPr>
        <w:t xml:space="preserve">culo 6, y para los casos </w:t>
      </w:r>
      <w:r>
        <w:rPr>
          <w:spacing w:val="-7"/>
          <w:sz w:val="18"/>
          <w:szCs w:val="18"/>
          <w:lang w:val="es-ES_tradnl"/>
        </w:rPr>
        <w:t>futuros, el art</w:t>
      </w:r>
      <w:r>
        <w:rPr>
          <w:rFonts w:cs="Times New Roman"/>
          <w:spacing w:val="-7"/>
          <w:sz w:val="18"/>
          <w:szCs w:val="18"/>
          <w:lang w:val="es-ES_tradnl"/>
        </w:rPr>
        <w:t>í</w:t>
      </w:r>
      <w:r>
        <w:rPr>
          <w:spacing w:val="-7"/>
          <w:sz w:val="18"/>
          <w:szCs w:val="18"/>
          <w:lang w:val="es-ES_tradnl"/>
        </w:rPr>
        <w:t>culo 573 del C</w:t>
      </w:r>
      <w:r>
        <w:rPr>
          <w:rFonts w:cs="Times New Roman"/>
          <w:spacing w:val="-7"/>
          <w:sz w:val="18"/>
          <w:szCs w:val="18"/>
          <w:lang w:val="es-ES_tradnl"/>
        </w:rPr>
        <w:t>ó</w:t>
      </w:r>
      <w:r>
        <w:rPr>
          <w:spacing w:val="-7"/>
          <w:sz w:val="18"/>
          <w:szCs w:val="18"/>
          <w:lang w:val="es-ES_tradnl"/>
        </w:rPr>
        <w:t>digo Org</w:t>
      </w:r>
      <w:r>
        <w:rPr>
          <w:rFonts w:cs="Times New Roman"/>
          <w:spacing w:val="-7"/>
          <w:sz w:val="18"/>
          <w:szCs w:val="18"/>
          <w:lang w:val="es-ES_tradnl"/>
        </w:rPr>
        <w:t>á</w:t>
      </w:r>
      <w:r>
        <w:rPr>
          <w:spacing w:val="-7"/>
          <w:sz w:val="18"/>
          <w:szCs w:val="18"/>
          <w:lang w:val="es-ES_tradnl"/>
        </w:rPr>
        <w:t xml:space="preserve">nico Integral Penal, </w:t>
      </w:r>
      <w:r>
        <w:rPr>
          <w:spacing w:val="-9"/>
          <w:sz w:val="18"/>
          <w:szCs w:val="18"/>
          <w:lang w:val="es-ES_tradnl"/>
        </w:rPr>
        <w:t>normas que prescriben expresamente lo siguiente:</w:t>
      </w:r>
    </w:p>
    <w:p w14:paraId="4F67B3E7" w14:textId="77777777" w:rsidR="00591D54" w:rsidRDefault="00591D54">
      <w:pPr>
        <w:shd w:val="clear" w:color="auto" w:fill="FFFFFF"/>
        <w:spacing w:before="202" w:line="211" w:lineRule="exact"/>
        <w:ind w:left="283"/>
        <w:jc w:val="both"/>
      </w:pPr>
      <w:r>
        <w:rPr>
          <w:sz w:val="14"/>
          <w:szCs w:val="14"/>
          <w:lang w:val="es-ES_tradnl"/>
        </w:rPr>
        <w:t>Art. 6.- Celeridad.- Para el tr</w:t>
      </w:r>
      <w:r>
        <w:rPr>
          <w:rFonts w:cs="Times New Roman"/>
          <w:sz w:val="14"/>
          <w:szCs w:val="14"/>
          <w:lang w:val="es-ES_tradnl"/>
        </w:rPr>
        <w:t>á</w:t>
      </w:r>
      <w:r>
        <w:rPr>
          <w:sz w:val="14"/>
          <w:szCs w:val="14"/>
          <w:lang w:val="es-ES_tradnl"/>
        </w:rPr>
        <w:t>mite de los procesos penales y la pr</w:t>
      </w:r>
      <w:r>
        <w:rPr>
          <w:rFonts w:cs="Times New Roman"/>
          <w:sz w:val="14"/>
          <w:szCs w:val="14"/>
          <w:lang w:val="es-ES_tradnl"/>
        </w:rPr>
        <w:t>á</w:t>
      </w:r>
      <w:r>
        <w:rPr>
          <w:sz w:val="14"/>
          <w:szCs w:val="14"/>
          <w:lang w:val="es-ES_tradnl"/>
        </w:rPr>
        <w:t>ctica de los actos procesales son h</w:t>
      </w:r>
      <w:r>
        <w:rPr>
          <w:rFonts w:cs="Times New Roman"/>
          <w:sz w:val="14"/>
          <w:szCs w:val="14"/>
          <w:lang w:val="es-ES_tradnl"/>
        </w:rPr>
        <w:t>á</w:t>
      </w:r>
      <w:r>
        <w:rPr>
          <w:sz w:val="14"/>
          <w:szCs w:val="14"/>
          <w:lang w:val="es-ES_tradnl"/>
        </w:rPr>
        <w:t>biles todos los d</w:t>
      </w:r>
      <w:r>
        <w:rPr>
          <w:rFonts w:cs="Times New Roman"/>
          <w:sz w:val="14"/>
          <w:szCs w:val="14"/>
          <w:lang w:val="es-ES_tradnl"/>
        </w:rPr>
        <w:t>í</w:t>
      </w:r>
      <w:r>
        <w:rPr>
          <w:sz w:val="14"/>
          <w:szCs w:val="14"/>
          <w:lang w:val="es-ES_tradnl"/>
        </w:rPr>
        <w:t xml:space="preserve">as y horas: </w:t>
      </w:r>
      <w:r>
        <w:rPr>
          <w:b/>
          <w:bCs/>
          <w:sz w:val="14"/>
          <w:szCs w:val="14"/>
          <w:lang w:val="es-ES_tradnl"/>
        </w:rPr>
        <w:t>excepto en lo que se refiere a la interposici</w:t>
      </w:r>
      <w:r>
        <w:rPr>
          <w:rFonts w:cs="Times New Roman"/>
          <w:b/>
          <w:bCs/>
          <w:sz w:val="14"/>
          <w:szCs w:val="14"/>
          <w:lang w:val="es-ES_tradnl"/>
        </w:rPr>
        <w:t>ó</w:t>
      </w:r>
      <w:r>
        <w:rPr>
          <w:b/>
          <w:bCs/>
          <w:sz w:val="14"/>
          <w:szCs w:val="14"/>
          <w:lang w:val="es-ES_tradnl"/>
        </w:rPr>
        <w:t>n y fundamentaci</w:t>
      </w:r>
      <w:r>
        <w:rPr>
          <w:rFonts w:cs="Times New Roman"/>
          <w:b/>
          <w:bCs/>
          <w:sz w:val="14"/>
          <w:szCs w:val="14"/>
          <w:lang w:val="es-ES_tradnl"/>
        </w:rPr>
        <w:t>ó</w:t>
      </w:r>
      <w:r>
        <w:rPr>
          <w:b/>
          <w:bCs/>
          <w:sz w:val="14"/>
          <w:szCs w:val="14"/>
          <w:lang w:val="es-ES_tradnl"/>
        </w:rPr>
        <w:t>n de recursos, en cuyo caso correr</w:t>
      </w:r>
      <w:r>
        <w:rPr>
          <w:rFonts w:cs="Times New Roman"/>
          <w:b/>
          <w:bCs/>
          <w:sz w:val="14"/>
          <w:szCs w:val="14"/>
          <w:lang w:val="es-ES_tradnl"/>
        </w:rPr>
        <w:t>á</w:t>
      </w:r>
      <w:r>
        <w:rPr>
          <w:b/>
          <w:bCs/>
          <w:sz w:val="14"/>
          <w:szCs w:val="14"/>
          <w:lang w:val="es-ES_tradnl"/>
        </w:rPr>
        <w:t>n solo los d</w:t>
      </w:r>
      <w:r>
        <w:rPr>
          <w:rFonts w:cs="Times New Roman"/>
          <w:b/>
          <w:bCs/>
          <w:sz w:val="14"/>
          <w:szCs w:val="14"/>
          <w:lang w:val="es-ES_tradnl"/>
        </w:rPr>
        <w:t>í</w:t>
      </w:r>
      <w:r>
        <w:rPr>
          <w:b/>
          <w:bCs/>
          <w:sz w:val="14"/>
          <w:szCs w:val="14"/>
          <w:lang w:val="es-ES_tradnl"/>
        </w:rPr>
        <w:t>as h</w:t>
      </w:r>
      <w:r>
        <w:rPr>
          <w:rFonts w:cs="Times New Roman"/>
          <w:b/>
          <w:bCs/>
          <w:sz w:val="14"/>
          <w:szCs w:val="14"/>
          <w:lang w:val="es-ES_tradnl"/>
        </w:rPr>
        <w:t>á</w:t>
      </w:r>
      <w:r>
        <w:rPr>
          <w:b/>
          <w:bCs/>
          <w:sz w:val="14"/>
          <w:szCs w:val="14"/>
          <w:lang w:val="es-ES_tradnl"/>
        </w:rPr>
        <w:t>biles</w:t>
      </w:r>
      <w:r>
        <w:rPr>
          <w:sz w:val="14"/>
          <w:szCs w:val="14"/>
          <w:lang w:val="es-ES_tradnl"/>
        </w:rPr>
        <w:t>.</w:t>
      </w:r>
    </w:p>
    <w:p w14:paraId="4F67B3E8" w14:textId="77777777" w:rsidR="00591D54" w:rsidRDefault="00591D54">
      <w:pPr>
        <w:shd w:val="clear" w:color="auto" w:fill="FFFFFF"/>
        <w:spacing w:before="206" w:line="211" w:lineRule="exact"/>
        <w:ind w:left="283"/>
        <w:jc w:val="both"/>
      </w:pPr>
      <w:r>
        <w:rPr>
          <w:spacing w:val="-1"/>
          <w:sz w:val="14"/>
          <w:szCs w:val="14"/>
          <w:lang w:val="es-ES_tradnl"/>
        </w:rPr>
        <w:t>Art. 573.-Para el tr</w:t>
      </w:r>
      <w:r>
        <w:rPr>
          <w:rFonts w:cs="Times New Roman"/>
          <w:spacing w:val="-1"/>
          <w:sz w:val="14"/>
          <w:szCs w:val="14"/>
          <w:lang w:val="es-ES_tradnl"/>
        </w:rPr>
        <w:t>á</w:t>
      </w:r>
      <w:r>
        <w:rPr>
          <w:spacing w:val="-1"/>
          <w:sz w:val="14"/>
          <w:szCs w:val="14"/>
          <w:lang w:val="es-ES_tradnl"/>
        </w:rPr>
        <w:t>mite de los procesos penales y la pr</w:t>
      </w:r>
      <w:r>
        <w:rPr>
          <w:rFonts w:cs="Times New Roman"/>
          <w:spacing w:val="-1"/>
          <w:sz w:val="14"/>
          <w:szCs w:val="14"/>
          <w:lang w:val="es-ES_tradnl"/>
        </w:rPr>
        <w:t>á</w:t>
      </w:r>
      <w:r>
        <w:rPr>
          <w:spacing w:val="-1"/>
          <w:sz w:val="14"/>
          <w:szCs w:val="14"/>
          <w:lang w:val="es-ES_tradnl"/>
        </w:rPr>
        <w:t>ctica de los actos procesales son h</w:t>
      </w:r>
      <w:r>
        <w:rPr>
          <w:rFonts w:cs="Times New Roman"/>
          <w:spacing w:val="-1"/>
          <w:sz w:val="14"/>
          <w:szCs w:val="14"/>
          <w:lang w:val="es-ES_tradnl"/>
        </w:rPr>
        <w:t>á</w:t>
      </w:r>
      <w:r>
        <w:rPr>
          <w:spacing w:val="-1"/>
          <w:sz w:val="14"/>
          <w:szCs w:val="14"/>
          <w:lang w:val="es-ES_tradnl"/>
        </w:rPr>
        <w:t>biles todos los d</w:t>
      </w:r>
      <w:r>
        <w:rPr>
          <w:rFonts w:cs="Times New Roman"/>
          <w:spacing w:val="-1"/>
          <w:sz w:val="14"/>
          <w:szCs w:val="14"/>
          <w:lang w:val="es-ES_tradnl"/>
        </w:rPr>
        <w:t>í</w:t>
      </w:r>
      <w:r>
        <w:rPr>
          <w:spacing w:val="-1"/>
          <w:sz w:val="14"/>
          <w:szCs w:val="14"/>
          <w:lang w:val="es-ES_tradnl"/>
        </w:rPr>
        <w:t xml:space="preserve">as y horas, </w:t>
      </w:r>
      <w:r>
        <w:rPr>
          <w:b/>
          <w:bCs/>
          <w:spacing w:val="-1"/>
          <w:sz w:val="14"/>
          <w:szCs w:val="14"/>
          <w:lang w:val="es-ES_tradnl"/>
        </w:rPr>
        <w:t xml:space="preserve">excepto </w:t>
      </w:r>
      <w:r>
        <w:rPr>
          <w:b/>
          <w:bCs/>
          <w:sz w:val="14"/>
          <w:szCs w:val="14"/>
          <w:lang w:val="es-ES_tradnl"/>
        </w:rPr>
        <w:t>en lo que se refiere a la interposici</w:t>
      </w:r>
      <w:r>
        <w:rPr>
          <w:rFonts w:cs="Times New Roman"/>
          <w:b/>
          <w:bCs/>
          <w:sz w:val="14"/>
          <w:szCs w:val="14"/>
          <w:lang w:val="es-ES_tradnl"/>
        </w:rPr>
        <w:t>ó</w:t>
      </w:r>
      <w:r>
        <w:rPr>
          <w:b/>
          <w:bCs/>
          <w:sz w:val="14"/>
          <w:szCs w:val="14"/>
          <w:lang w:val="es-ES_tradnl"/>
        </w:rPr>
        <w:t>n y fundamentaci</w:t>
      </w:r>
      <w:r>
        <w:rPr>
          <w:rFonts w:cs="Times New Roman"/>
          <w:b/>
          <w:bCs/>
          <w:sz w:val="14"/>
          <w:szCs w:val="14"/>
          <w:lang w:val="es-ES_tradnl"/>
        </w:rPr>
        <w:t>ó</w:t>
      </w:r>
      <w:r>
        <w:rPr>
          <w:b/>
          <w:bCs/>
          <w:sz w:val="14"/>
          <w:szCs w:val="14"/>
          <w:lang w:val="es-ES_tradnl"/>
        </w:rPr>
        <w:t>n de recursos</w:t>
      </w:r>
      <w:r>
        <w:rPr>
          <w:sz w:val="14"/>
          <w:szCs w:val="14"/>
          <w:lang w:val="es-ES_tradnl"/>
        </w:rPr>
        <w:t>. (</w:t>
      </w:r>
      <w:r>
        <w:rPr>
          <w:rFonts w:cs="Times New Roman"/>
          <w:sz w:val="14"/>
          <w:szCs w:val="14"/>
          <w:lang w:val="es-ES_tradnl"/>
        </w:rPr>
        <w:t>É</w:t>
      </w:r>
      <w:r>
        <w:rPr>
          <w:sz w:val="14"/>
          <w:szCs w:val="14"/>
          <w:lang w:val="es-ES_tradnl"/>
        </w:rPr>
        <w:t>nfasis fuera del texto original).</w:t>
      </w:r>
    </w:p>
    <w:p w14:paraId="4F67B3E9" w14:textId="77777777" w:rsidR="00591D54" w:rsidRDefault="00591D54">
      <w:pPr>
        <w:shd w:val="clear" w:color="auto" w:fill="FFFFFF"/>
        <w:spacing w:before="197" w:line="211" w:lineRule="exact"/>
        <w:jc w:val="both"/>
      </w:pPr>
      <w:r>
        <w:rPr>
          <w:spacing w:val="-11"/>
          <w:sz w:val="18"/>
          <w:szCs w:val="18"/>
          <w:lang w:val="es-ES_tradnl"/>
        </w:rPr>
        <w:t xml:space="preserve">En consecuencia, en virtud de las competencias establecidas </w:t>
      </w:r>
      <w:r>
        <w:rPr>
          <w:spacing w:val="-6"/>
          <w:sz w:val="18"/>
          <w:szCs w:val="18"/>
          <w:lang w:val="es-ES_tradnl"/>
        </w:rPr>
        <w:t>en el art</w:t>
      </w:r>
      <w:r>
        <w:rPr>
          <w:rFonts w:cs="Times New Roman"/>
          <w:spacing w:val="-6"/>
          <w:sz w:val="18"/>
          <w:szCs w:val="18"/>
          <w:lang w:val="es-ES_tradnl"/>
        </w:rPr>
        <w:t>í</w:t>
      </w:r>
      <w:r>
        <w:rPr>
          <w:spacing w:val="-6"/>
          <w:sz w:val="18"/>
          <w:szCs w:val="18"/>
          <w:lang w:val="es-ES_tradnl"/>
        </w:rPr>
        <w:t>culo 436 numerales 1 y 6 de la Constituci</w:t>
      </w:r>
      <w:r>
        <w:rPr>
          <w:rFonts w:cs="Times New Roman"/>
          <w:spacing w:val="-6"/>
          <w:sz w:val="18"/>
          <w:szCs w:val="18"/>
          <w:lang w:val="es-ES_tradnl"/>
        </w:rPr>
        <w:t>ó</w:t>
      </w:r>
      <w:r>
        <w:rPr>
          <w:spacing w:val="-6"/>
          <w:sz w:val="18"/>
          <w:szCs w:val="18"/>
          <w:lang w:val="es-ES_tradnl"/>
        </w:rPr>
        <w:t>n y en el art</w:t>
      </w:r>
      <w:r>
        <w:rPr>
          <w:rFonts w:cs="Times New Roman"/>
          <w:spacing w:val="-6"/>
          <w:sz w:val="18"/>
          <w:szCs w:val="18"/>
          <w:lang w:val="es-ES_tradnl"/>
        </w:rPr>
        <w:t>í</w:t>
      </w:r>
      <w:r>
        <w:rPr>
          <w:spacing w:val="-6"/>
          <w:sz w:val="18"/>
          <w:szCs w:val="18"/>
          <w:lang w:val="es-ES_tradnl"/>
        </w:rPr>
        <w:t>culo 62 numeral 8 de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Control Constitucional, dada la gran </w:t>
      </w:r>
      <w:r>
        <w:rPr>
          <w:spacing w:val="-7"/>
          <w:sz w:val="18"/>
          <w:szCs w:val="18"/>
          <w:lang w:val="es-ES_tradnl"/>
        </w:rPr>
        <w:t xml:space="preserve">relevancia del problema surgido y para evitar que persista </w:t>
      </w:r>
      <w:r>
        <w:rPr>
          <w:spacing w:val="-4"/>
          <w:sz w:val="18"/>
          <w:szCs w:val="18"/>
          <w:lang w:val="es-ES_tradnl"/>
        </w:rPr>
        <w:t>una interpretaci</w:t>
      </w:r>
      <w:r>
        <w:rPr>
          <w:rFonts w:cs="Times New Roman"/>
          <w:spacing w:val="-4"/>
          <w:sz w:val="18"/>
          <w:szCs w:val="18"/>
          <w:lang w:val="es-ES_tradnl"/>
        </w:rPr>
        <w:t>ó</w:t>
      </w:r>
      <w:r>
        <w:rPr>
          <w:spacing w:val="-4"/>
          <w:sz w:val="18"/>
          <w:szCs w:val="18"/>
          <w:lang w:val="es-ES_tradnl"/>
        </w:rPr>
        <w:t>n restrictiva respecto de c</w:t>
      </w:r>
      <w:r>
        <w:rPr>
          <w:rFonts w:cs="Times New Roman"/>
          <w:spacing w:val="-4"/>
          <w:sz w:val="18"/>
          <w:szCs w:val="18"/>
          <w:lang w:val="es-ES_tradnl"/>
        </w:rPr>
        <w:t>ó</w:t>
      </w:r>
      <w:r>
        <w:rPr>
          <w:spacing w:val="-4"/>
          <w:sz w:val="18"/>
          <w:szCs w:val="18"/>
          <w:lang w:val="es-ES_tradnl"/>
        </w:rPr>
        <w:t xml:space="preserve">mputo del </w:t>
      </w:r>
      <w:r>
        <w:rPr>
          <w:spacing w:val="-8"/>
          <w:sz w:val="18"/>
          <w:szCs w:val="18"/>
          <w:lang w:val="es-ES_tradnl"/>
        </w:rPr>
        <w:t>tiempo para la presentaci</w:t>
      </w:r>
      <w:r>
        <w:rPr>
          <w:rFonts w:cs="Times New Roman"/>
          <w:spacing w:val="-8"/>
          <w:sz w:val="18"/>
          <w:szCs w:val="18"/>
          <w:lang w:val="es-ES_tradnl"/>
        </w:rPr>
        <w:t>ó</w:t>
      </w:r>
      <w:r>
        <w:rPr>
          <w:spacing w:val="-8"/>
          <w:sz w:val="18"/>
          <w:szCs w:val="18"/>
          <w:lang w:val="es-ES_tradnl"/>
        </w:rPr>
        <w:t>n de recursos de aclaraci</w:t>
      </w:r>
      <w:r>
        <w:rPr>
          <w:rFonts w:cs="Times New Roman"/>
          <w:spacing w:val="-8"/>
          <w:sz w:val="18"/>
          <w:szCs w:val="18"/>
          <w:lang w:val="es-ES_tradnl"/>
        </w:rPr>
        <w:t>ó</w:t>
      </w:r>
      <w:r>
        <w:rPr>
          <w:spacing w:val="-8"/>
          <w:sz w:val="18"/>
          <w:szCs w:val="18"/>
          <w:lang w:val="es-ES_tradnl"/>
        </w:rPr>
        <w:t xml:space="preserve">n y/o </w:t>
      </w:r>
      <w:r>
        <w:rPr>
          <w:spacing w:val="-5"/>
          <w:sz w:val="18"/>
          <w:szCs w:val="18"/>
          <w:lang w:val="es-ES_tradnl"/>
        </w:rPr>
        <w:t>ampliaci</w:t>
      </w:r>
      <w:r>
        <w:rPr>
          <w:rFonts w:cs="Times New Roman"/>
          <w:spacing w:val="-5"/>
          <w:sz w:val="18"/>
          <w:szCs w:val="18"/>
          <w:lang w:val="es-ES_tradnl"/>
        </w:rPr>
        <w:t>ó</w:t>
      </w:r>
      <w:r>
        <w:rPr>
          <w:spacing w:val="-5"/>
          <w:sz w:val="18"/>
          <w:szCs w:val="18"/>
          <w:lang w:val="es-ES_tradnl"/>
        </w:rPr>
        <w:t xml:space="preserve">n en el </w:t>
      </w:r>
      <w:r>
        <w:rPr>
          <w:rFonts w:cs="Times New Roman"/>
          <w:spacing w:val="-5"/>
          <w:sz w:val="18"/>
          <w:szCs w:val="18"/>
          <w:lang w:val="es-ES_tradnl"/>
        </w:rPr>
        <w:t>á</w:t>
      </w:r>
      <w:r>
        <w:rPr>
          <w:spacing w:val="-5"/>
          <w:sz w:val="18"/>
          <w:szCs w:val="18"/>
          <w:lang w:val="es-ES_tradnl"/>
        </w:rPr>
        <w:t xml:space="preserve">mbito penal, esta Corte Constitucional </w:t>
      </w:r>
      <w:r>
        <w:rPr>
          <w:spacing w:val="-6"/>
          <w:sz w:val="18"/>
          <w:szCs w:val="18"/>
          <w:lang w:val="es-ES_tradnl"/>
        </w:rPr>
        <w:t>establece la siguiente regla interpretativa de aplicaci</w:t>
      </w:r>
      <w:r>
        <w:rPr>
          <w:rFonts w:cs="Times New Roman"/>
          <w:spacing w:val="-6"/>
          <w:sz w:val="18"/>
          <w:szCs w:val="18"/>
          <w:lang w:val="es-ES_tradnl"/>
        </w:rPr>
        <w:t>ó</w:t>
      </w:r>
      <w:r>
        <w:rPr>
          <w:spacing w:val="-6"/>
          <w:sz w:val="18"/>
          <w:szCs w:val="18"/>
          <w:lang w:val="es-ES_tradnl"/>
        </w:rPr>
        <w:t xml:space="preserve">n </w:t>
      </w:r>
      <w:r>
        <w:rPr>
          <w:spacing w:val="-7"/>
          <w:sz w:val="18"/>
          <w:szCs w:val="18"/>
          <w:lang w:val="es-ES_tradnl"/>
        </w:rPr>
        <w:t xml:space="preserve">obligatoria para todas las causas que se encuentren en </w:t>
      </w:r>
      <w:r>
        <w:rPr>
          <w:spacing w:val="-4"/>
          <w:sz w:val="18"/>
          <w:szCs w:val="18"/>
          <w:lang w:val="es-ES_tradnl"/>
        </w:rPr>
        <w:t>tr</w:t>
      </w:r>
      <w:r>
        <w:rPr>
          <w:rFonts w:cs="Times New Roman"/>
          <w:spacing w:val="-4"/>
          <w:sz w:val="18"/>
          <w:szCs w:val="18"/>
          <w:lang w:val="es-ES_tradnl"/>
        </w:rPr>
        <w:t>á</w:t>
      </w:r>
      <w:r>
        <w:rPr>
          <w:spacing w:val="-4"/>
          <w:sz w:val="18"/>
          <w:szCs w:val="18"/>
          <w:lang w:val="es-ES_tradnl"/>
        </w:rPr>
        <w:t xml:space="preserve">mite y para todos aquellos procesos penales futuros </w:t>
      </w:r>
      <w:r>
        <w:rPr>
          <w:spacing w:val="-6"/>
          <w:sz w:val="18"/>
          <w:szCs w:val="18"/>
          <w:lang w:val="es-ES_tradnl"/>
        </w:rPr>
        <w:t>que presenten identidad, es decir, el patr</w:t>
      </w:r>
      <w:r>
        <w:rPr>
          <w:rFonts w:cs="Times New Roman"/>
          <w:spacing w:val="-6"/>
          <w:sz w:val="18"/>
          <w:szCs w:val="18"/>
          <w:lang w:val="es-ES_tradnl"/>
        </w:rPr>
        <w:t>ó</w:t>
      </w:r>
      <w:r>
        <w:rPr>
          <w:spacing w:val="-6"/>
          <w:sz w:val="18"/>
          <w:szCs w:val="18"/>
          <w:lang w:val="es-ES_tradnl"/>
        </w:rPr>
        <w:t>n f</w:t>
      </w:r>
      <w:r>
        <w:rPr>
          <w:rFonts w:cs="Times New Roman"/>
          <w:spacing w:val="-6"/>
          <w:sz w:val="18"/>
          <w:szCs w:val="18"/>
          <w:lang w:val="es-ES_tradnl"/>
        </w:rPr>
        <w:t>á</w:t>
      </w:r>
      <w:r>
        <w:rPr>
          <w:spacing w:val="-6"/>
          <w:sz w:val="18"/>
          <w:szCs w:val="18"/>
          <w:lang w:val="es-ES_tradnl"/>
        </w:rPr>
        <w:t>ctico aqu</w:t>
      </w:r>
      <w:r>
        <w:rPr>
          <w:rFonts w:cs="Times New Roman"/>
          <w:spacing w:val="-6"/>
          <w:sz w:val="18"/>
          <w:szCs w:val="18"/>
          <w:lang w:val="es-ES_tradnl"/>
        </w:rPr>
        <w:t xml:space="preserve">í </w:t>
      </w:r>
      <w:r>
        <w:rPr>
          <w:sz w:val="18"/>
          <w:szCs w:val="18"/>
          <w:lang w:val="es-ES_tradnl"/>
        </w:rPr>
        <w:t>detallado:</w:t>
      </w:r>
    </w:p>
    <w:p w14:paraId="4F67B3EA" w14:textId="77777777" w:rsidR="00591D54" w:rsidRDefault="00591D54">
      <w:pPr>
        <w:shd w:val="clear" w:color="auto" w:fill="FFFFFF"/>
        <w:spacing w:before="192" w:line="211" w:lineRule="exact"/>
        <w:jc w:val="both"/>
      </w:pPr>
      <w:r>
        <w:rPr>
          <w:spacing w:val="-6"/>
          <w:sz w:val="18"/>
          <w:szCs w:val="18"/>
          <w:lang w:val="es-ES_tradnl"/>
        </w:rPr>
        <w:t>Para la contabilizaci</w:t>
      </w:r>
      <w:r>
        <w:rPr>
          <w:rFonts w:cs="Times New Roman"/>
          <w:spacing w:val="-6"/>
          <w:sz w:val="18"/>
          <w:szCs w:val="18"/>
          <w:lang w:val="es-ES_tradnl"/>
        </w:rPr>
        <w:t>ó</w:t>
      </w:r>
      <w:r>
        <w:rPr>
          <w:spacing w:val="-6"/>
          <w:sz w:val="18"/>
          <w:szCs w:val="18"/>
          <w:lang w:val="es-ES_tradnl"/>
        </w:rPr>
        <w:t>n del tiempo para la presentaci</w:t>
      </w:r>
      <w:r>
        <w:rPr>
          <w:rFonts w:cs="Times New Roman"/>
          <w:spacing w:val="-6"/>
          <w:sz w:val="18"/>
          <w:szCs w:val="18"/>
          <w:lang w:val="es-ES_tradnl"/>
        </w:rPr>
        <w:t>ó</w:t>
      </w:r>
      <w:r>
        <w:rPr>
          <w:spacing w:val="-6"/>
          <w:sz w:val="18"/>
          <w:szCs w:val="18"/>
          <w:lang w:val="es-ES_tradnl"/>
        </w:rPr>
        <w:t>n y fundamentaci</w:t>
      </w:r>
      <w:r>
        <w:rPr>
          <w:rFonts w:cs="Times New Roman"/>
          <w:spacing w:val="-6"/>
          <w:sz w:val="18"/>
          <w:szCs w:val="18"/>
          <w:lang w:val="es-ES_tradnl"/>
        </w:rPr>
        <w:t>ó</w:t>
      </w:r>
      <w:r>
        <w:rPr>
          <w:spacing w:val="-6"/>
          <w:sz w:val="18"/>
          <w:szCs w:val="18"/>
          <w:lang w:val="es-ES_tradnl"/>
        </w:rPr>
        <w:t>n del recurso de aclaraci</w:t>
      </w:r>
      <w:r>
        <w:rPr>
          <w:rFonts w:cs="Times New Roman"/>
          <w:spacing w:val="-6"/>
          <w:sz w:val="18"/>
          <w:szCs w:val="18"/>
          <w:lang w:val="es-ES_tradnl"/>
        </w:rPr>
        <w:t>ó</w:t>
      </w:r>
      <w:r>
        <w:rPr>
          <w:spacing w:val="-6"/>
          <w:sz w:val="18"/>
          <w:szCs w:val="18"/>
          <w:lang w:val="es-ES_tradnl"/>
        </w:rPr>
        <w:t>n y/o ampliaci</w:t>
      </w:r>
      <w:r>
        <w:rPr>
          <w:rFonts w:cs="Times New Roman"/>
          <w:spacing w:val="-6"/>
          <w:sz w:val="18"/>
          <w:szCs w:val="18"/>
          <w:lang w:val="es-ES_tradnl"/>
        </w:rPr>
        <w:t>ó</w:t>
      </w:r>
      <w:r>
        <w:rPr>
          <w:spacing w:val="-6"/>
          <w:sz w:val="18"/>
          <w:szCs w:val="18"/>
          <w:lang w:val="es-ES_tradnl"/>
        </w:rPr>
        <w:t xml:space="preserve">n </w:t>
      </w:r>
      <w:r>
        <w:rPr>
          <w:spacing w:val="-7"/>
          <w:sz w:val="18"/>
          <w:szCs w:val="18"/>
          <w:lang w:val="es-ES_tradnl"/>
        </w:rPr>
        <w:t xml:space="preserve">en el </w:t>
      </w:r>
      <w:r>
        <w:rPr>
          <w:rFonts w:cs="Times New Roman"/>
          <w:spacing w:val="-7"/>
          <w:sz w:val="18"/>
          <w:szCs w:val="18"/>
          <w:lang w:val="es-ES_tradnl"/>
        </w:rPr>
        <w:t>á</w:t>
      </w:r>
      <w:r>
        <w:rPr>
          <w:spacing w:val="-7"/>
          <w:sz w:val="18"/>
          <w:szCs w:val="18"/>
          <w:lang w:val="es-ES_tradnl"/>
        </w:rPr>
        <w:t>mbito penal, correr</w:t>
      </w:r>
      <w:r>
        <w:rPr>
          <w:rFonts w:cs="Times New Roman"/>
          <w:spacing w:val="-7"/>
          <w:sz w:val="18"/>
          <w:szCs w:val="18"/>
          <w:lang w:val="es-ES_tradnl"/>
        </w:rPr>
        <w:t>á</w:t>
      </w:r>
      <w:r>
        <w:rPr>
          <w:spacing w:val="-7"/>
          <w:sz w:val="18"/>
          <w:szCs w:val="18"/>
          <w:lang w:val="es-ES_tradnl"/>
        </w:rPr>
        <w:t xml:space="preserve"> solo los d</w:t>
      </w:r>
      <w:r>
        <w:rPr>
          <w:rFonts w:cs="Times New Roman"/>
          <w:spacing w:val="-7"/>
          <w:sz w:val="18"/>
          <w:szCs w:val="18"/>
          <w:lang w:val="es-ES_tradnl"/>
        </w:rPr>
        <w:t>í</w:t>
      </w:r>
      <w:r>
        <w:rPr>
          <w:spacing w:val="-7"/>
          <w:sz w:val="18"/>
          <w:szCs w:val="18"/>
          <w:lang w:val="es-ES_tradnl"/>
        </w:rPr>
        <w:t>as h</w:t>
      </w:r>
      <w:r>
        <w:rPr>
          <w:rFonts w:cs="Times New Roman"/>
          <w:spacing w:val="-7"/>
          <w:sz w:val="18"/>
          <w:szCs w:val="18"/>
          <w:lang w:val="es-ES_tradnl"/>
        </w:rPr>
        <w:t>á</w:t>
      </w:r>
      <w:r>
        <w:rPr>
          <w:spacing w:val="-7"/>
          <w:sz w:val="18"/>
          <w:szCs w:val="18"/>
          <w:lang w:val="es-ES_tradnl"/>
        </w:rPr>
        <w:t>biles.</w:t>
      </w:r>
    </w:p>
    <w:p w14:paraId="4F67B3EB" w14:textId="77777777" w:rsidR="00591D54" w:rsidRDefault="00591D54">
      <w:pPr>
        <w:shd w:val="clear" w:color="auto" w:fill="FFFFFF"/>
        <w:spacing w:before="187"/>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B3EC" w14:textId="77777777" w:rsidR="00591D54" w:rsidRDefault="00591D54">
      <w:pPr>
        <w:shd w:val="clear" w:color="auto" w:fill="FFFFFF"/>
        <w:spacing w:before="192" w:line="211" w:lineRule="exact"/>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5"/>
          <w:sz w:val="18"/>
          <w:szCs w:val="18"/>
          <w:lang w:val="es-ES_tradnl"/>
        </w:rPr>
        <w:t>constitucional y por mandato de la Constituci</w:t>
      </w:r>
      <w:r>
        <w:rPr>
          <w:rFonts w:cs="Times New Roman"/>
          <w:spacing w:val="-5"/>
          <w:sz w:val="18"/>
          <w:szCs w:val="18"/>
          <w:lang w:val="es-ES_tradnl"/>
        </w:rPr>
        <w:t>ó</w:t>
      </w:r>
      <w:r>
        <w:rPr>
          <w:spacing w:val="-5"/>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 xml:space="preserve">blica del Ecuador, el Pleno de la Corte Constitucional </w:t>
      </w:r>
      <w:r>
        <w:rPr>
          <w:sz w:val="18"/>
          <w:szCs w:val="18"/>
          <w:lang w:val="es-ES_tradnl"/>
        </w:rPr>
        <w:t>expide la siguiente:</w:t>
      </w:r>
    </w:p>
    <w:p w14:paraId="4F67B3ED" w14:textId="77777777" w:rsidR="00591D54" w:rsidRDefault="00591D54">
      <w:pPr>
        <w:shd w:val="clear" w:color="auto" w:fill="FFFFFF"/>
        <w:spacing w:before="562" w:line="178" w:lineRule="exact"/>
        <w:ind w:left="144" w:hanging="144"/>
        <w:jc w:val="both"/>
      </w:pPr>
      <w:r>
        <w:rPr>
          <w:spacing w:val="-4"/>
          <w:sz w:val="14"/>
          <w:szCs w:val="14"/>
          <w:vertAlign w:val="superscript"/>
          <w:lang w:val="es-ES_tradnl"/>
        </w:rPr>
        <w:t>10</w:t>
      </w:r>
      <w:r>
        <w:rPr>
          <w:spacing w:val="-4"/>
          <w:sz w:val="14"/>
          <w:szCs w:val="14"/>
          <w:lang w:val="es-ES_tradnl"/>
        </w:rPr>
        <w:t xml:space="preserve"> </w:t>
      </w:r>
      <w:r>
        <w:rPr>
          <w:b/>
          <w:bCs/>
          <w:sz w:val="14"/>
          <w:szCs w:val="14"/>
          <w:lang w:val="es-ES_tradnl"/>
        </w:rPr>
        <w:t>DISPOSICI</w:t>
      </w:r>
      <w:r>
        <w:rPr>
          <w:rFonts w:cs="Times New Roman"/>
          <w:b/>
          <w:bCs/>
          <w:sz w:val="14"/>
          <w:szCs w:val="14"/>
          <w:lang w:val="es-ES_tradnl"/>
        </w:rPr>
        <w:t>Ó</w:t>
      </w:r>
      <w:r>
        <w:rPr>
          <w:b/>
          <w:bCs/>
          <w:sz w:val="14"/>
          <w:szCs w:val="14"/>
          <w:lang w:val="es-ES_tradnl"/>
        </w:rPr>
        <w:t xml:space="preserve">N GENERAL PRIMERA.- </w:t>
      </w:r>
      <w:r>
        <w:rPr>
          <w:sz w:val="14"/>
          <w:szCs w:val="14"/>
          <w:lang w:val="es-ES_tradnl"/>
        </w:rPr>
        <w:t xml:space="preserve">En lo no previsto en este </w:t>
      </w:r>
      <w:r>
        <w:rPr>
          <w:spacing w:val="-2"/>
          <w:sz w:val="14"/>
          <w:szCs w:val="14"/>
          <w:lang w:val="es-ES_tradnl"/>
        </w:rPr>
        <w:t>C</w:t>
      </w:r>
      <w:r>
        <w:rPr>
          <w:rFonts w:cs="Times New Roman"/>
          <w:spacing w:val="-2"/>
          <w:sz w:val="14"/>
          <w:szCs w:val="14"/>
          <w:lang w:val="es-ES_tradnl"/>
        </w:rPr>
        <w:t>ó</w:t>
      </w:r>
      <w:r>
        <w:rPr>
          <w:spacing w:val="-2"/>
          <w:sz w:val="14"/>
          <w:szCs w:val="14"/>
          <w:lang w:val="es-ES_tradnl"/>
        </w:rPr>
        <w:t>digo se deber</w:t>
      </w:r>
      <w:r>
        <w:rPr>
          <w:rFonts w:cs="Times New Roman"/>
          <w:spacing w:val="-2"/>
          <w:sz w:val="14"/>
          <w:szCs w:val="14"/>
          <w:lang w:val="es-ES_tradnl"/>
        </w:rPr>
        <w:t>á</w:t>
      </w:r>
      <w:r>
        <w:rPr>
          <w:spacing w:val="-2"/>
          <w:sz w:val="14"/>
          <w:szCs w:val="14"/>
          <w:lang w:val="es-ES_tradnl"/>
        </w:rPr>
        <w:t xml:space="preserve"> aplicar lo establecido en el C</w:t>
      </w:r>
      <w:r>
        <w:rPr>
          <w:rFonts w:cs="Times New Roman"/>
          <w:spacing w:val="-2"/>
          <w:sz w:val="14"/>
          <w:szCs w:val="14"/>
          <w:lang w:val="es-ES_tradnl"/>
        </w:rPr>
        <w:t>ó</w:t>
      </w:r>
      <w:r>
        <w:rPr>
          <w:spacing w:val="-2"/>
          <w:sz w:val="14"/>
          <w:szCs w:val="14"/>
          <w:lang w:val="es-ES_tradnl"/>
        </w:rPr>
        <w:t>digo Org</w:t>
      </w:r>
      <w:r>
        <w:rPr>
          <w:rFonts w:cs="Times New Roman"/>
          <w:spacing w:val="-2"/>
          <w:sz w:val="14"/>
          <w:szCs w:val="14"/>
          <w:lang w:val="es-ES_tradnl"/>
        </w:rPr>
        <w:t>á</w:t>
      </w:r>
      <w:r>
        <w:rPr>
          <w:spacing w:val="-2"/>
          <w:sz w:val="14"/>
          <w:szCs w:val="14"/>
          <w:lang w:val="es-ES_tradnl"/>
        </w:rPr>
        <w:t xml:space="preserve">nico de la </w:t>
      </w:r>
      <w:r>
        <w:rPr>
          <w:spacing w:val="-1"/>
          <w:sz w:val="14"/>
          <w:szCs w:val="14"/>
          <w:lang w:val="es-ES_tradnl"/>
        </w:rPr>
        <w:t>Funci</w:t>
      </w:r>
      <w:r>
        <w:rPr>
          <w:rFonts w:cs="Times New Roman"/>
          <w:spacing w:val="-1"/>
          <w:sz w:val="14"/>
          <w:szCs w:val="14"/>
          <w:lang w:val="es-ES_tradnl"/>
        </w:rPr>
        <w:t>ó</w:t>
      </w:r>
      <w:r>
        <w:rPr>
          <w:spacing w:val="-1"/>
          <w:sz w:val="14"/>
          <w:szCs w:val="14"/>
          <w:lang w:val="es-ES_tradnl"/>
        </w:rPr>
        <w:t>n Judicial y el C</w:t>
      </w:r>
      <w:r>
        <w:rPr>
          <w:rFonts w:cs="Times New Roman"/>
          <w:spacing w:val="-1"/>
          <w:sz w:val="14"/>
          <w:szCs w:val="14"/>
          <w:lang w:val="es-ES_tradnl"/>
        </w:rPr>
        <w:t>ó</w:t>
      </w:r>
      <w:r>
        <w:rPr>
          <w:spacing w:val="-1"/>
          <w:sz w:val="14"/>
          <w:szCs w:val="14"/>
          <w:lang w:val="es-ES_tradnl"/>
        </w:rPr>
        <w:t xml:space="preserve">digo de Procedimiento Civil, si es aplicable </w:t>
      </w:r>
      <w:r>
        <w:rPr>
          <w:spacing w:val="-2"/>
          <w:sz w:val="14"/>
          <w:szCs w:val="14"/>
          <w:lang w:val="es-ES_tradnl"/>
        </w:rPr>
        <w:t>con la naturaleza del proceso penal acusatorio oral.</w:t>
      </w:r>
    </w:p>
    <w:p w14:paraId="4F67B3EE" w14:textId="77777777" w:rsidR="00591D54" w:rsidRDefault="00591D54">
      <w:pPr>
        <w:shd w:val="clear" w:color="auto" w:fill="FFFFFF"/>
        <w:spacing w:before="562" w:line="178" w:lineRule="exact"/>
        <w:ind w:left="144" w:hanging="144"/>
        <w:jc w:val="both"/>
        <w:sectPr w:rsidR="00591D54">
          <w:type w:val="continuous"/>
          <w:pgSz w:w="11909" w:h="16834"/>
          <w:pgMar w:top="1356" w:right="1309" w:bottom="360" w:left="1308" w:header="720" w:footer="720" w:gutter="0"/>
          <w:cols w:num="2" w:space="720" w:equalWidth="0">
            <w:col w:w="4305" w:space="682"/>
            <w:col w:w="4305"/>
          </w:cols>
          <w:noEndnote/>
        </w:sectPr>
      </w:pPr>
    </w:p>
    <w:p w14:paraId="4F67B3EF" w14:textId="77777777" w:rsidR="00591D54" w:rsidRDefault="00591D54">
      <w:pPr>
        <w:shd w:val="clear" w:color="auto" w:fill="FFFFFF"/>
        <w:tabs>
          <w:tab w:val="left" w:pos="4814"/>
        </w:tabs>
        <w:spacing w:after="72"/>
        <w:ind w:left="5"/>
      </w:pPr>
      <w:r>
        <w:rPr>
          <w:b/>
          <w:bCs/>
          <w:sz w:val="18"/>
          <w:szCs w:val="18"/>
          <w:lang w:val="es-ES_tradnl"/>
        </w:rPr>
        <w:t xml:space="preserve">202 -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3F0" w14:textId="77777777" w:rsidR="00591D54" w:rsidRDefault="00591D54">
      <w:pPr>
        <w:shd w:val="clear" w:color="auto" w:fill="FFFFFF"/>
        <w:tabs>
          <w:tab w:val="left" w:pos="4814"/>
        </w:tabs>
        <w:spacing w:after="72"/>
        <w:ind w:left="5"/>
        <w:sectPr w:rsidR="00591D54">
          <w:pgSz w:w="11909" w:h="16834"/>
          <w:pgMar w:top="1359" w:right="1309" w:bottom="360" w:left="1308" w:header="720" w:footer="720" w:gutter="0"/>
          <w:cols w:space="60"/>
          <w:noEndnote/>
        </w:sectPr>
      </w:pPr>
    </w:p>
    <w:p w14:paraId="4F67B3F1" w14:textId="77777777" w:rsidR="00591D54" w:rsidRDefault="00591D54">
      <w:pPr>
        <w:shd w:val="clear" w:color="auto" w:fill="FFFFFF"/>
        <w:spacing w:before="154"/>
        <w:ind w:left="5"/>
        <w:jc w:val="center"/>
      </w:pPr>
      <w:r>
        <w:rPr>
          <w:b/>
          <w:bCs/>
          <w:sz w:val="18"/>
          <w:szCs w:val="18"/>
          <w:lang w:val="es-ES_tradnl"/>
        </w:rPr>
        <w:t>SENTENCIA</w:t>
      </w:r>
    </w:p>
    <w:p w14:paraId="4F67B3F2" w14:textId="77777777" w:rsidR="00591D54" w:rsidRDefault="00591D54" w:rsidP="00251195">
      <w:pPr>
        <w:numPr>
          <w:ilvl w:val="0"/>
          <w:numId w:val="96"/>
        </w:numPr>
        <w:shd w:val="clear" w:color="auto" w:fill="FFFFFF"/>
        <w:tabs>
          <w:tab w:val="left" w:pos="566"/>
        </w:tabs>
        <w:spacing w:before="211" w:line="226" w:lineRule="exact"/>
        <w:ind w:left="566" w:hanging="283"/>
        <w:jc w:val="both"/>
        <w:rPr>
          <w:spacing w:val="-11"/>
          <w:sz w:val="18"/>
          <w:szCs w:val="18"/>
          <w:lang w:val="es-ES_tradnl"/>
        </w:rPr>
      </w:pPr>
      <w:r>
        <w:rPr>
          <w:sz w:val="18"/>
          <w:szCs w:val="18"/>
          <w:lang w:val="es-ES_tradnl"/>
        </w:rPr>
        <w:t>Declarar la vulneraci</w:t>
      </w:r>
      <w:r>
        <w:rPr>
          <w:rFonts w:cs="Times New Roman"/>
          <w:sz w:val="18"/>
          <w:szCs w:val="18"/>
          <w:lang w:val="es-ES_tradnl"/>
        </w:rPr>
        <w:t>ó</w:t>
      </w:r>
      <w:r>
        <w:rPr>
          <w:sz w:val="18"/>
          <w:szCs w:val="18"/>
          <w:lang w:val="es-ES_tradnl"/>
        </w:rPr>
        <w:t xml:space="preserve">n de los derechos constitucionales a la tutela judicial efectiva y </w:t>
      </w:r>
      <w:r>
        <w:rPr>
          <w:spacing w:val="-8"/>
          <w:sz w:val="18"/>
          <w:szCs w:val="18"/>
          <w:lang w:val="es-ES_tradnl"/>
        </w:rPr>
        <w:t>al debido proceso en la garant</w:t>
      </w:r>
      <w:r>
        <w:rPr>
          <w:rFonts w:cs="Times New Roman"/>
          <w:spacing w:val="-8"/>
          <w:sz w:val="18"/>
          <w:szCs w:val="18"/>
          <w:lang w:val="es-ES_tradnl"/>
        </w:rPr>
        <w:t>í</w:t>
      </w:r>
      <w:r>
        <w:rPr>
          <w:spacing w:val="-8"/>
          <w:sz w:val="18"/>
          <w:szCs w:val="18"/>
          <w:lang w:val="es-ES_tradnl"/>
        </w:rPr>
        <w:t xml:space="preserve">a del derecho a la </w:t>
      </w:r>
      <w:r>
        <w:rPr>
          <w:spacing w:val="-5"/>
          <w:sz w:val="18"/>
          <w:szCs w:val="18"/>
          <w:lang w:val="es-ES_tradnl"/>
        </w:rPr>
        <w:t>defensa del accionante previstos en los art</w:t>
      </w:r>
      <w:r>
        <w:rPr>
          <w:rFonts w:cs="Times New Roman"/>
          <w:spacing w:val="-5"/>
          <w:sz w:val="18"/>
          <w:szCs w:val="18"/>
          <w:lang w:val="es-ES_tradnl"/>
        </w:rPr>
        <w:t>í</w:t>
      </w:r>
      <w:r>
        <w:rPr>
          <w:spacing w:val="-5"/>
          <w:sz w:val="18"/>
          <w:szCs w:val="18"/>
          <w:lang w:val="es-ES_tradnl"/>
        </w:rPr>
        <w:t xml:space="preserve">culos </w:t>
      </w:r>
      <w:r>
        <w:rPr>
          <w:spacing w:val="-6"/>
          <w:sz w:val="18"/>
          <w:szCs w:val="18"/>
          <w:lang w:val="es-ES_tradnl"/>
        </w:rPr>
        <w:t xml:space="preserve">75 y 76 numeral 7 literal </w:t>
      </w:r>
      <w:r>
        <w:rPr>
          <w:b/>
          <w:bCs/>
          <w:spacing w:val="-6"/>
          <w:sz w:val="18"/>
          <w:szCs w:val="18"/>
          <w:lang w:val="es-ES_tradnl"/>
        </w:rPr>
        <w:t xml:space="preserve">c </w:t>
      </w:r>
      <w:r>
        <w:rPr>
          <w:spacing w:val="-6"/>
          <w:sz w:val="18"/>
          <w:szCs w:val="18"/>
          <w:lang w:val="es-ES_tradnl"/>
        </w:rPr>
        <w:t>de la Constituci</w:t>
      </w:r>
      <w:r>
        <w:rPr>
          <w:rFonts w:cs="Times New Roman"/>
          <w:spacing w:val="-6"/>
          <w:sz w:val="18"/>
          <w:szCs w:val="18"/>
          <w:lang w:val="es-ES_tradnl"/>
        </w:rPr>
        <w:t>ó</w:t>
      </w:r>
      <w:r>
        <w:rPr>
          <w:spacing w:val="-6"/>
          <w:sz w:val="18"/>
          <w:szCs w:val="18"/>
          <w:lang w:val="es-ES_tradnl"/>
        </w:rPr>
        <w:t xml:space="preserve">n de la </w:t>
      </w:r>
      <w:r>
        <w:rPr>
          <w:sz w:val="18"/>
          <w:szCs w:val="18"/>
          <w:lang w:val="es-ES_tradnl"/>
        </w:rPr>
        <w:t>Rep</w:t>
      </w:r>
      <w:r>
        <w:rPr>
          <w:rFonts w:cs="Times New Roman"/>
          <w:sz w:val="18"/>
          <w:szCs w:val="18"/>
          <w:lang w:val="es-ES_tradnl"/>
        </w:rPr>
        <w:t>ú</w:t>
      </w:r>
      <w:r>
        <w:rPr>
          <w:sz w:val="18"/>
          <w:szCs w:val="18"/>
          <w:lang w:val="es-ES_tradnl"/>
        </w:rPr>
        <w:t>blica.</w:t>
      </w:r>
    </w:p>
    <w:p w14:paraId="4F67B3F3" w14:textId="77777777" w:rsidR="00591D54" w:rsidRDefault="00591D54" w:rsidP="00251195">
      <w:pPr>
        <w:numPr>
          <w:ilvl w:val="0"/>
          <w:numId w:val="96"/>
        </w:numPr>
        <w:shd w:val="clear" w:color="auto" w:fill="FFFFFF"/>
        <w:tabs>
          <w:tab w:val="left" w:pos="566"/>
        </w:tabs>
        <w:spacing w:before="202" w:line="230" w:lineRule="exact"/>
        <w:ind w:left="566" w:hanging="283"/>
        <w:jc w:val="both"/>
        <w:rPr>
          <w:spacing w:val="-11"/>
          <w:sz w:val="18"/>
          <w:szCs w:val="18"/>
          <w:lang w:val="es-ES_tradnl"/>
        </w:rPr>
      </w:pPr>
      <w:r>
        <w:rPr>
          <w:spacing w:val="-5"/>
          <w:sz w:val="18"/>
          <w:szCs w:val="18"/>
          <w:lang w:val="es-ES_tradnl"/>
        </w:rPr>
        <w:t>Aceptar la acci</w:t>
      </w:r>
      <w:r>
        <w:rPr>
          <w:rFonts w:cs="Times New Roman"/>
          <w:spacing w:val="-5"/>
          <w:sz w:val="18"/>
          <w:szCs w:val="18"/>
          <w:lang w:val="es-ES_tradnl"/>
        </w:rPr>
        <w:t>ó</w:t>
      </w:r>
      <w:r>
        <w:rPr>
          <w:spacing w:val="-5"/>
          <w:sz w:val="18"/>
          <w:szCs w:val="18"/>
          <w:lang w:val="es-ES_tradnl"/>
        </w:rPr>
        <w:t>n extraordinaria de protecci</w:t>
      </w:r>
      <w:r>
        <w:rPr>
          <w:rFonts w:cs="Times New Roman"/>
          <w:spacing w:val="-5"/>
          <w:sz w:val="18"/>
          <w:szCs w:val="18"/>
          <w:lang w:val="es-ES_tradnl"/>
        </w:rPr>
        <w:t>ó</w:t>
      </w:r>
      <w:r>
        <w:rPr>
          <w:spacing w:val="-5"/>
          <w:sz w:val="18"/>
          <w:szCs w:val="18"/>
          <w:lang w:val="es-ES_tradnl"/>
        </w:rPr>
        <w:t xml:space="preserve">n </w:t>
      </w:r>
      <w:r>
        <w:rPr>
          <w:sz w:val="18"/>
          <w:szCs w:val="18"/>
          <w:lang w:val="es-ES_tradnl"/>
        </w:rPr>
        <w:t>planteada.</w:t>
      </w:r>
    </w:p>
    <w:p w14:paraId="4F67B3F4" w14:textId="77777777" w:rsidR="00591D54" w:rsidRDefault="00591D54" w:rsidP="00251195">
      <w:pPr>
        <w:numPr>
          <w:ilvl w:val="0"/>
          <w:numId w:val="96"/>
        </w:numPr>
        <w:shd w:val="clear" w:color="auto" w:fill="FFFFFF"/>
        <w:tabs>
          <w:tab w:val="left" w:pos="566"/>
        </w:tabs>
        <w:spacing w:before="202" w:line="230" w:lineRule="exact"/>
        <w:ind w:left="566" w:hanging="283"/>
        <w:jc w:val="both"/>
        <w:rPr>
          <w:spacing w:val="-11"/>
          <w:sz w:val="18"/>
          <w:szCs w:val="18"/>
          <w:lang w:val="es-ES_tradnl"/>
        </w:rPr>
      </w:pPr>
      <w:r>
        <w:rPr>
          <w:spacing w:val="-6"/>
          <w:sz w:val="18"/>
          <w:szCs w:val="18"/>
          <w:lang w:val="es-ES_tradnl"/>
        </w:rPr>
        <w:t>Disponer como medidas de reparaci</w:t>
      </w:r>
      <w:r>
        <w:rPr>
          <w:rFonts w:cs="Times New Roman"/>
          <w:spacing w:val="-6"/>
          <w:sz w:val="18"/>
          <w:szCs w:val="18"/>
          <w:lang w:val="es-ES_tradnl"/>
        </w:rPr>
        <w:t>ó</w:t>
      </w:r>
      <w:r>
        <w:rPr>
          <w:spacing w:val="-6"/>
          <w:sz w:val="18"/>
          <w:szCs w:val="18"/>
          <w:lang w:val="es-ES_tradnl"/>
        </w:rPr>
        <w:t xml:space="preserve">n integral lo </w:t>
      </w:r>
      <w:r>
        <w:rPr>
          <w:sz w:val="18"/>
          <w:szCs w:val="18"/>
          <w:lang w:val="es-ES_tradnl"/>
        </w:rPr>
        <w:t>siguiente:</w:t>
      </w:r>
    </w:p>
    <w:p w14:paraId="4F67B3F5" w14:textId="77777777" w:rsidR="00591D54" w:rsidRDefault="00591D54">
      <w:pPr>
        <w:rPr>
          <w:rFonts w:cs="Times New Roman"/>
          <w:sz w:val="2"/>
          <w:szCs w:val="2"/>
        </w:rPr>
      </w:pPr>
    </w:p>
    <w:p w14:paraId="4F67B3F6" w14:textId="77777777" w:rsidR="00591D54" w:rsidRDefault="00591D54" w:rsidP="00251195">
      <w:pPr>
        <w:numPr>
          <w:ilvl w:val="0"/>
          <w:numId w:val="97"/>
        </w:numPr>
        <w:shd w:val="clear" w:color="auto" w:fill="FFFFFF"/>
        <w:tabs>
          <w:tab w:val="left" w:pos="850"/>
        </w:tabs>
        <w:spacing w:before="206" w:line="226" w:lineRule="exact"/>
        <w:ind w:left="850" w:right="5" w:hanging="283"/>
        <w:jc w:val="both"/>
        <w:rPr>
          <w:spacing w:val="-11"/>
          <w:sz w:val="18"/>
          <w:szCs w:val="18"/>
          <w:lang w:val="es-ES_tradnl"/>
        </w:rPr>
      </w:pPr>
      <w:r>
        <w:rPr>
          <w:spacing w:val="-8"/>
          <w:sz w:val="18"/>
          <w:szCs w:val="18"/>
          <w:lang w:val="es-ES_tradnl"/>
        </w:rPr>
        <w:t xml:space="preserve">Dejar sin efecto el auto dictado por la Sala de lo Penal de la Corte Nacional de Justicia, el 12 de </w:t>
      </w:r>
      <w:r>
        <w:rPr>
          <w:spacing w:val="-10"/>
          <w:sz w:val="18"/>
          <w:szCs w:val="18"/>
          <w:lang w:val="es-ES_tradnl"/>
        </w:rPr>
        <w:t xml:space="preserve">junio de 2012, y el auto dictado por Tercera Sala </w:t>
      </w:r>
      <w:r>
        <w:rPr>
          <w:spacing w:val="-8"/>
          <w:sz w:val="18"/>
          <w:szCs w:val="18"/>
          <w:lang w:val="es-ES_tradnl"/>
        </w:rPr>
        <w:t>de Garant</w:t>
      </w:r>
      <w:r>
        <w:rPr>
          <w:rFonts w:cs="Times New Roman"/>
          <w:spacing w:val="-8"/>
          <w:sz w:val="18"/>
          <w:szCs w:val="18"/>
          <w:lang w:val="es-ES_tradnl"/>
        </w:rPr>
        <w:t>í</w:t>
      </w:r>
      <w:r>
        <w:rPr>
          <w:spacing w:val="-8"/>
          <w:sz w:val="18"/>
          <w:szCs w:val="18"/>
          <w:lang w:val="es-ES_tradnl"/>
        </w:rPr>
        <w:t>as Penales de la Corte Provincial de Justicia de Pichincha, el 09 de enero de 2012.</w:t>
      </w:r>
    </w:p>
    <w:p w14:paraId="4F67B3F7" w14:textId="77777777" w:rsidR="00591D54" w:rsidRDefault="00591D54" w:rsidP="00251195">
      <w:pPr>
        <w:numPr>
          <w:ilvl w:val="0"/>
          <w:numId w:val="97"/>
        </w:numPr>
        <w:shd w:val="clear" w:color="auto" w:fill="FFFFFF"/>
        <w:tabs>
          <w:tab w:val="left" w:pos="850"/>
        </w:tabs>
        <w:spacing w:before="206" w:line="226" w:lineRule="exact"/>
        <w:ind w:left="850" w:right="5" w:hanging="283"/>
        <w:jc w:val="both"/>
        <w:rPr>
          <w:spacing w:val="-11"/>
          <w:sz w:val="18"/>
          <w:szCs w:val="18"/>
          <w:lang w:val="es-ES_tradnl"/>
        </w:rPr>
      </w:pPr>
      <w:r>
        <w:rPr>
          <w:spacing w:val="-10"/>
          <w:sz w:val="18"/>
          <w:szCs w:val="18"/>
          <w:lang w:val="es-ES_tradnl"/>
        </w:rPr>
        <w:t xml:space="preserve">Retrotraer el proceso hasta el momento previo a </w:t>
      </w:r>
      <w:r>
        <w:rPr>
          <w:spacing w:val="-8"/>
          <w:sz w:val="18"/>
          <w:szCs w:val="18"/>
          <w:lang w:val="es-ES_tradnl"/>
        </w:rPr>
        <w:t>la vulneraci</w:t>
      </w:r>
      <w:r>
        <w:rPr>
          <w:rFonts w:cs="Times New Roman"/>
          <w:spacing w:val="-8"/>
          <w:sz w:val="18"/>
          <w:szCs w:val="18"/>
          <w:lang w:val="es-ES_tradnl"/>
        </w:rPr>
        <w:t>ó</w:t>
      </w:r>
      <w:r>
        <w:rPr>
          <w:spacing w:val="-8"/>
          <w:sz w:val="18"/>
          <w:szCs w:val="18"/>
          <w:lang w:val="es-ES_tradnl"/>
        </w:rPr>
        <w:t xml:space="preserve">n de derechos constitucionales, es </w:t>
      </w:r>
      <w:r>
        <w:rPr>
          <w:spacing w:val="-10"/>
          <w:sz w:val="18"/>
          <w:szCs w:val="18"/>
          <w:lang w:val="es-ES_tradnl"/>
        </w:rPr>
        <w:t xml:space="preserve">decir, hasta antes del auto dictado por la Tercera </w:t>
      </w:r>
      <w:r>
        <w:rPr>
          <w:spacing w:val="-11"/>
          <w:sz w:val="18"/>
          <w:szCs w:val="18"/>
          <w:lang w:val="es-ES_tradnl"/>
        </w:rPr>
        <w:t>Sala de Garant</w:t>
      </w:r>
      <w:r>
        <w:rPr>
          <w:rFonts w:cs="Times New Roman"/>
          <w:spacing w:val="-11"/>
          <w:sz w:val="18"/>
          <w:szCs w:val="18"/>
          <w:lang w:val="es-ES_tradnl"/>
        </w:rPr>
        <w:t>í</w:t>
      </w:r>
      <w:r>
        <w:rPr>
          <w:spacing w:val="-11"/>
          <w:sz w:val="18"/>
          <w:szCs w:val="18"/>
          <w:lang w:val="es-ES_tradnl"/>
        </w:rPr>
        <w:t>as Penales de la Corte Provincial de Justicia de Pichincha, el 09 de enero de 2012.</w:t>
      </w:r>
    </w:p>
    <w:p w14:paraId="4F67B3F8" w14:textId="77777777" w:rsidR="00591D54" w:rsidRDefault="00591D54" w:rsidP="00251195">
      <w:pPr>
        <w:numPr>
          <w:ilvl w:val="0"/>
          <w:numId w:val="97"/>
        </w:numPr>
        <w:shd w:val="clear" w:color="auto" w:fill="FFFFFF"/>
        <w:tabs>
          <w:tab w:val="left" w:pos="850"/>
        </w:tabs>
        <w:spacing w:before="206" w:line="226" w:lineRule="exact"/>
        <w:ind w:left="850" w:right="5" w:hanging="283"/>
        <w:jc w:val="both"/>
        <w:rPr>
          <w:spacing w:val="-11"/>
          <w:sz w:val="18"/>
          <w:szCs w:val="18"/>
          <w:lang w:val="es-ES_tradnl"/>
        </w:rPr>
      </w:pPr>
      <w:r>
        <w:rPr>
          <w:spacing w:val="-7"/>
          <w:sz w:val="18"/>
          <w:szCs w:val="18"/>
          <w:lang w:val="es-ES_tradnl"/>
        </w:rPr>
        <w:t xml:space="preserve">Disponer que previo sorteo, otro Tribunal de la </w:t>
      </w:r>
      <w:r>
        <w:rPr>
          <w:spacing w:val="-11"/>
          <w:sz w:val="18"/>
          <w:szCs w:val="18"/>
          <w:lang w:val="es-ES_tradnl"/>
        </w:rPr>
        <w:t>Sala de Garant</w:t>
      </w:r>
      <w:r>
        <w:rPr>
          <w:rFonts w:cs="Times New Roman"/>
          <w:spacing w:val="-11"/>
          <w:sz w:val="18"/>
          <w:szCs w:val="18"/>
          <w:lang w:val="es-ES_tradnl"/>
        </w:rPr>
        <w:t>í</w:t>
      </w:r>
      <w:r>
        <w:rPr>
          <w:spacing w:val="-11"/>
          <w:sz w:val="18"/>
          <w:szCs w:val="18"/>
          <w:lang w:val="es-ES_tradnl"/>
        </w:rPr>
        <w:t xml:space="preserve">as Penales de la Corte Provincial </w:t>
      </w:r>
      <w:r>
        <w:rPr>
          <w:spacing w:val="-8"/>
          <w:sz w:val="18"/>
          <w:szCs w:val="18"/>
          <w:lang w:val="es-ES_tradnl"/>
        </w:rPr>
        <w:t>de Justicia de Pichincha conozca y resuelva el recurso de aclaraci</w:t>
      </w:r>
      <w:r>
        <w:rPr>
          <w:rFonts w:cs="Times New Roman"/>
          <w:spacing w:val="-8"/>
          <w:sz w:val="18"/>
          <w:szCs w:val="18"/>
          <w:lang w:val="es-ES_tradnl"/>
        </w:rPr>
        <w:t>ó</w:t>
      </w:r>
      <w:r>
        <w:rPr>
          <w:spacing w:val="-8"/>
          <w:sz w:val="18"/>
          <w:szCs w:val="18"/>
          <w:lang w:val="es-ES_tradnl"/>
        </w:rPr>
        <w:t>n y ampliaci</w:t>
      </w:r>
      <w:r>
        <w:rPr>
          <w:rFonts w:cs="Times New Roman"/>
          <w:spacing w:val="-8"/>
          <w:sz w:val="18"/>
          <w:szCs w:val="18"/>
          <w:lang w:val="es-ES_tradnl"/>
        </w:rPr>
        <w:t>ó</w:t>
      </w:r>
      <w:r>
        <w:rPr>
          <w:spacing w:val="-8"/>
          <w:sz w:val="18"/>
          <w:szCs w:val="18"/>
          <w:lang w:val="es-ES_tradnl"/>
        </w:rPr>
        <w:t xml:space="preserve">n presentado </w:t>
      </w:r>
      <w:r>
        <w:rPr>
          <w:spacing w:val="-5"/>
          <w:sz w:val="18"/>
          <w:szCs w:val="18"/>
          <w:lang w:val="es-ES_tradnl"/>
        </w:rPr>
        <w:t>por el se</w:t>
      </w:r>
      <w:r>
        <w:rPr>
          <w:rFonts w:cs="Times New Roman"/>
          <w:spacing w:val="-5"/>
          <w:sz w:val="18"/>
          <w:szCs w:val="18"/>
          <w:lang w:val="es-ES_tradnl"/>
        </w:rPr>
        <w:t>ñ</w:t>
      </w:r>
      <w:r>
        <w:rPr>
          <w:spacing w:val="-5"/>
          <w:sz w:val="18"/>
          <w:szCs w:val="18"/>
          <w:lang w:val="es-ES_tradnl"/>
        </w:rPr>
        <w:t xml:space="preserve">or Manuel Gonzalo Quillupangui </w:t>
      </w:r>
      <w:r>
        <w:rPr>
          <w:spacing w:val="-8"/>
          <w:sz w:val="18"/>
          <w:szCs w:val="18"/>
          <w:lang w:val="es-ES_tradnl"/>
        </w:rPr>
        <w:t xml:space="preserve">Ninahualpa, sobre la base de lo dispuesto en la </w:t>
      </w:r>
      <w:r>
        <w:rPr>
          <w:sz w:val="18"/>
          <w:szCs w:val="18"/>
          <w:lang w:val="es-ES_tradnl"/>
        </w:rPr>
        <w:t>presente sentencia.</w:t>
      </w:r>
    </w:p>
    <w:p w14:paraId="4F67B3F9" w14:textId="77777777" w:rsidR="00591D54" w:rsidRDefault="00591D54">
      <w:pPr>
        <w:shd w:val="clear" w:color="auto" w:fill="FFFFFF"/>
        <w:tabs>
          <w:tab w:val="left" w:pos="566"/>
        </w:tabs>
        <w:spacing w:before="206" w:line="226" w:lineRule="exact"/>
        <w:ind w:left="566" w:right="5" w:hanging="283"/>
        <w:jc w:val="both"/>
      </w:pPr>
      <w:r>
        <w:rPr>
          <w:spacing w:val="-11"/>
          <w:sz w:val="18"/>
          <w:szCs w:val="18"/>
          <w:lang w:val="es-ES_tradnl"/>
        </w:rPr>
        <w:t>4.</w:t>
      </w:r>
      <w:r>
        <w:rPr>
          <w:sz w:val="18"/>
          <w:szCs w:val="18"/>
          <w:lang w:val="es-ES_tradnl"/>
        </w:rPr>
        <w:tab/>
      </w:r>
      <w:r>
        <w:rPr>
          <w:spacing w:val="-7"/>
          <w:sz w:val="18"/>
          <w:szCs w:val="18"/>
          <w:lang w:val="es-ES_tradnl"/>
        </w:rPr>
        <w:t>En virtud de las competencias establecidas en el </w:t>
      </w:r>
      <w:r>
        <w:rPr>
          <w:spacing w:val="-5"/>
          <w:sz w:val="18"/>
          <w:szCs w:val="18"/>
          <w:lang w:val="es-ES_tradnl"/>
        </w:rPr>
        <w:t>art</w:t>
      </w:r>
      <w:r>
        <w:rPr>
          <w:rFonts w:cs="Times New Roman"/>
          <w:spacing w:val="-5"/>
          <w:sz w:val="18"/>
          <w:szCs w:val="18"/>
          <w:lang w:val="es-ES_tradnl"/>
        </w:rPr>
        <w:t>í</w:t>
      </w:r>
      <w:r>
        <w:rPr>
          <w:spacing w:val="-5"/>
          <w:sz w:val="18"/>
          <w:szCs w:val="18"/>
          <w:lang w:val="es-ES_tradnl"/>
        </w:rPr>
        <w:t>culo 436 numerales 1 y 6 de la Constituci</w:t>
      </w:r>
      <w:r>
        <w:rPr>
          <w:rFonts w:cs="Times New Roman"/>
          <w:spacing w:val="-5"/>
          <w:sz w:val="18"/>
          <w:szCs w:val="18"/>
          <w:lang w:val="es-ES_tradnl"/>
        </w:rPr>
        <w:t>ó</w:t>
      </w:r>
      <w:r>
        <w:rPr>
          <w:spacing w:val="-5"/>
          <w:sz w:val="18"/>
          <w:szCs w:val="18"/>
          <w:lang w:val="es-ES_tradnl"/>
        </w:rPr>
        <w:t>n y </w:t>
      </w:r>
      <w:r>
        <w:rPr>
          <w:spacing w:val="-6"/>
          <w:sz w:val="18"/>
          <w:szCs w:val="18"/>
          <w:lang w:val="es-ES_tradnl"/>
        </w:rPr>
        <w:t>en el art</w:t>
      </w:r>
      <w:r>
        <w:rPr>
          <w:rFonts w:cs="Times New Roman"/>
          <w:spacing w:val="-6"/>
          <w:sz w:val="18"/>
          <w:szCs w:val="18"/>
          <w:lang w:val="es-ES_tradnl"/>
        </w:rPr>
        <w:t>í</w:t>
      </w:r>
      <w:r>
        <w:rPr>
          <w:spacing w:val="-6"/>
          <w:sz w:val="18"/>
          <w:szCs w:val="18"/>
          <w:lang w:val="es-ES_tradnl"/>
        </w:rPr>
        <w:t>culo 62 numeral 8 de la Ley Org</w:t>
      </w:r>
      <w:r>
        <w:rPr>
          <w:rFonts w:cs="Times New Roman"/>
          <w:spacing w:val="-6"/>
          <w:sz w:val="18"/>
          <w:szCs w:val="18"/>
          <w:lang w:val="es-ES_tradnl"/>
        </w:rPr>
        <w:t>á</w:t>
      </w:r>
      <w:r>
        <w:rPr>
          <w:spacing w:val="-6"/>
          <w:sz w:val="18"/>
          <w:szCs w:val="18"/>
          <w:lang w:val="es-ES_tradnl"/>
        </w:rPr>
        <w:t>nica de </w:t>
      </w:r>
      <w:r>
        <w:rPr>
          <w:spacing w:val="-8"/>
          <w:sz w:val="18"/>
          <w:szCs w:val="18"/>
          <w:lang w:val="es-ES_tradnl"/>
        </w:rPr>
        <w:t>Garant</w:t>
      </w:r>
      <w:r>
        <w:rPr>
          <w:rFonts w:cs="Times New Roman"/>
          <w:spacing w:val="-8"/>
          <w:sz w:val="18"/>
          <w:szCs w:val="18"/>
          <w:lang w:val="es-ES_tradnl"/>
        </w:rPr>
        <w:t>í</w:t>
      </w:r>
      <w:r>
        <w:rPr>
          <w:spacing w:val="-8"/>
          <w:sz w:val="18"/>
          <w:szCs w:val="18"/>
          <w:lang w:val="es-ES_tradnl"/>
        </w:rPr>
        <w:t>as Jurisdiccionales y Control Constitucional, </w:t>
      </w:r>
      <w:r>
        <w:rPr>
          <w:spacing w:val="-9"/>
          <w:sz w:val="18"/>
          <w:szCs w:val="18"/>
          <w:lang w:val="es-ES_tradnl"/>
        </w:rPr>
        <w:t>dada la gran relevancia del problema surgido y para </w:t>
      </w:r>
      <w:r>
        <w:rPr>
          <w:spacing w:val="-5"/>
          <w:sz w:val="18"/>
          <w:szCs w:val="18"/>
          <w:lang w:val="es-ES_tradnl"/>
        </w:rPr>
        <w:t>evitar que persista una interpretaci</w:t>
      </w:r>
      <w:r>
        <w:rPr>
          <w:rFonts w:cs="Times New Roman"/>
          <w:spacing w:val="-5"/>
          <w:sz w:val="18"/>
          <w:szCs w:val="18"/>
          <w:lang w:val="es-ES_tradnl"/>
        </w:rPr>
        <w:t>ó</w:t>
      </w:r>
      <w:r>
        <w:rPr>
          <w:spacing w:val="-5"/>
          <w:sz w:val="18"/>
          <w:szCs w:val="18"/>
          <w:lang w:val="es-ES_tradnl"/>
        </w:rPr>
        <w:t>n restrictiva </w:t>
      </w:r>
      <w:r>
        <w:rPr>
          <w:spacing w:val="-11"/>
          <w:sz w:val="18"/>
          <w:szCs w:val="18"/>
          <w:lang w:val="es-ES_tradnl"/>
        </w:rPr>
        <w:t>respecto de c</w:t>
      </w:r>
      <w:r>
        <w:rPr>
          <w:rFonts w:cs="Times New Roman"/>
          <w:spacing w:val="-11"/>
          <w:sz w:val="18"/>
          <w:szCs w:val="18"/>
          <w:lang w:val="es-ES_tradnl"/>
        </w:rPr>
        <w:t>ó</w:t>
      </w:r>
      <w:r>
        <w:rPr>
          <w:spacing w:val="-11"/>
          <w:sz w:val="18"/>
          <w:szCs w:val="18"/>
          <w:lang w:val="es-ES_tradnl"/>
        </w:rPr>
        <w:t>mputo del tiempo para la presentaci</w:t>
      </w:r>
      <w:r>
        <w:rPr>
          <w:rFonts w:cs="Times New Roman"/>
          <w:spacing w:val="-11"/>
          <w:sz w:val="18"/>
          <w:szCs w:val="18"/>
          <w:lang w:val="es-ES_tradnl"/>
        </w:rPr>
        <w:t>ó</w:t>
      </w:r>
      <w:r>
        <w:rPr>
          <w:spacing w:val="-11"/>
          <w:sz w:val="18"/>
          <w:szCs w:val="18"/>
          <w:lang w:val="es-ES_tradnl"/>
        </w:rPr>
        <w:t>n </w:t>
      </w:r>
      <w:r>
        <w:rPr>
          <w:spacing w:val="-5"/>
          <w:sz w:val="18"/>
          <w:szCs w:val="18"/>
          <w:lang w:val="es-ES_tradnl"/>
        </w:rPr>
        <w:t>de recursos de aclaraci</w:t>
      </w:r>
      <w:r>
        <w:rPr>
          <w:rFonts w:cs="Times New Roman"/>
          <w:spacing w:val="-5"/>
          <w:sz w:val="18"/>
          <w:szCs w:val="18"/>
          <w:lang w:val="es-ES_tradnl"/>
        </w:rPr>
        <w:t>ó</w:t>
      </w:r>
      <w:r>
        <w:rPr>
          <w:spacing w:val="-5"/>
          <w:sz w:val="18"/>
          <w:szCs w:val="18"/>
          <w:lang w:val="es-ES_tradnl"/>
        </w:rPr>
        <w:t>n y/o ampliaci</w:t>
      </w:r>
      <w:r>
        <w:rPr>
          <w:rFonts w:cs="Times New Roman"/>
          <w:spacing w:val="-5"/>
          <w:sz w:val="18"/>
          <w:szCs w:val="18"/>
          <w:lang w:val="es-ES_tradnl"/>
        </w:rPr>
        <w:t>ó</w:t>
      </w:r>
      <w:r>
        <w:rPr>
          <w:spacing w:val="-5"/>
          <w:sz w:val="18"/>
          <w:szCs w:val="18"/>
          <w:lang w:val="es-ES_tradnl"/>
        </w:rPr>
        <w:t>n en el </w:t>
      </w:r>
      <w:r>
        <w:rPr>
          <w:rFonts w:cs="Times New Roman"/>
          <w:spacing w:val="-6"/>
          <w:sz w:val="18"/>
          <w:szCs w:val="18"/>
          <w:lang w:val="es-ES_tradnl"/>
        </w:rPr>
        <w:t>á</w:t>
      </w:r>
      <w:r>
        <w:rPr>
          <w:spacing w:val="-6"/>
          <w:sz w:val="18"/>
          <w:szCs w:val="18"/>
          <w:lang w:val="es-ES_tradnl"/>
        </w:rPr>
        <w:t>mbito penal, esta Corte Constitucional establece </w:t>
      </w:r>
      <w:r>
        <w:rPr>
          <w:spacing w:val="-4"/>
          <w:sz w:val="18"/>
          <w:szCs w:val="18"/>
          <w:lang w:val="es-ES_tradnl"/>
        </w:rPr>
        <w:t>la siguiente regla interpretativa de aplicaci</w:t>
      </w:r>
      <w:r>
        <w:rPr>
          <w:rFonts w:cs="Times New Roman"/>
          <w:spacing w:val="-4"/>
          <w:sz w:val="18"/>
          <w:szCs w:val="18"/>
          <w:lang w:val="es-ES_tradnl"/>
        </w:rPr>
        <w:t>ó</w:t>
      </w:r>
      <w:r>
        <w:rPr>
          <w:spacing w:val="-4"/>
          <w:sz w:val="18"/>
          <w:szCs w:val="18"/>
          <w:lang w:val="es-ES_tradnl"/>
        </w:rPr>
        <w:t>n </w:t>
      </w:r>
      <w:r>
        <w:rPr>
          <w:spacing w:val="-10"/>
          <w:sz w:val="18"/>
          <w:szCs w:val="18"/>
          <w:lang w:val="es-ES_tradnl"/>
        </w:rPr>
        <w:t>obligatoria para todas las causas que se encuentren </w:t>
      </w:r>
      <w:r>
        <w:rPr>
          <w:spacing w:val="-8"/>
          <w:sz w:val="18"/>
          <w:szCs w:val="18"/>
          <w:lang w:val="es-ES_tradnl"/>
        </w:rPr>
        <w:t>en tr</w:t>
      </w:r>
      <w:r>
        <w:rPr>
          <w:rFonts w:cs="Times New Roman"/>
          <w:spacing w:val="-8"/>
          <w:sz w:val="18"/>
          <w:szCs w:val="18"/>
          <w:lang w:val="es-ES_tradnl"/>
        </w:rPr>
        <w:t>á</w:t>
      </w:r>
      <w:r>
        <w:rPr>
          <w:spacing w:val="-8"/>
          <w:sz w:val="18"/>
          <w:szCs w:val="18"/>
          <w:lang w:val="es-ES_tradnl"/>
        </w:rPr>
        <w:t>mite y para todos aquellos procesos penales </w:t>
      </w:r>
      <w:r>
        <w:rPr>
          <w:spacing w:val="-7"/>
          <w:sz w:val="18"/>
          <w:szCs w:val="18"/>
          <w:lang w:val="es-ES_tradnl"/>
        </w:rPr>
        <w:t>futuros que presenten identidad, es decir, el patr</w:t>
      </w:r>
      <w:r>
        <w:rPr>
          <w:rFonts w:cs="Times New Roman"/>
          <w:spacing w:val="-7"/>
          <w:sz w:val="18"/>
          <w:szCs w:val="18"/>
          <w:lang w:val="es-ES_tradnl"/>
        </w:rPr>
        <w:t>ó</w:t>
      </w:r>
      <w:r>
        <w:rPr>
          <w:spacing w:val="-7"/>
          <w:sz w:val="18"/>
          <w:szCs w:val="18"/>
          <w:lang w:val="es-ES_tradnl"/>
        </w:rPr>
        <w:t>n </w:t>
      </w:r>
      <w:r>
        <w:rPr>
          <w:sz w:val="18"/>
          <w:szCs w:val="18"/>
          <w:lang w:val="es-ES_tradnl"/>
        </w:rPr>
        <w:t>f</w:t>
      </w:r>
      <w:r>
        <w:rPr>
          <w:rFonts w:cs="Times New Roman"/>
          <w:sz w:val="18"/>
          <w:szCs w:val="18"/>
          <w:lang w:val="es-ES_tradnl"/>
        </w:rPr>
        <w:t>á</w:t>
      </w:r>
      <w:r>
        <w:rPr>
          <w:sz w:val="18"/>
          <w:szCs w:val="18"/>
          <w:lang w:val="es-ES_tradnl"/>
        </w:rPr>
        <w:t>ctico aqu</w:t>
      </w:r>
      <w:r>
        <w:rPr>
          <w:rFonts w:cs="Times New Roman"/>
          <w:sz w:val="18"/>
          <w:szCs w:val="18"/>
          <w:lang w:val="es-ES_tradnl"/>
        </w:rPr>
        <w:t>í</w:t>
      </w:r>
      <w:r>
        <w:rPr>
          <w:sz w:val="18"/>
          <w:szCs w:val="18"/>
          <w:lang w:val="es-ES_tradnl"/>
        </w:rPr>
        <w:t xml:space="preserve"> detallado:</w:t>
      </w:r>
    </w:p>
    <w:p w14:paraId="4F67B3FA" w14:textId="77777777" w:rsidR="00591D54" w:rsidRDefault="00591D54">
      <w:pPr>
        <w:shd w:val="clear" w:color="auto" w:fill="FFFFFF"/>
        <w:spacing w:before="206" w:line="226" w:lineRule="exact"/>
        <w:ind w:left="850" w:right="5"/>
        <w:jc w:val="both"/>
      </w:pPr>
      <w:r>
        <w:rPr>
          <w:spacing w:val="-6"/>
          <w:sz w:val="18"/>
          <w:szCs w:val="18"/>
          <w:lang w:val="es-ES_tradnl"/>
        </w:rPr>
        <w:t>Para la contabilizaci</w:t>
      </w:r>
      <w:r>
        <w:rPr>
          <w:rFonts w:cs="Times New Roman"/>
          <w:spacing w:val="-6"/>
          <w:sz w:val="18"/>
          <w:szCs w:val="18"/>
          <w:lang w:val="es-ES_tradnl"/>
        </w:rPr>
        <w:t>ó</w:t>
      </w:r>
      <w:r>
        <w:rPr>
          <w:spacing w:val="-6"/>
          <w:sz w:val="18"/>
          <w:szCs w:val="18"/>
          <w:lang w:val="es-ES_tradnl"/>
        </w:rPr>
        <w:t xml:space="preserve">n del tiempo para la </w:t>
      </w:r>
      <w:r>
        <w:rPr>
          <w:spacing w:val="-8"/>
          <w:sz w:val="18"/>
          <w:szCs w:val="18"/>
          <w:lang w:val="es-ES_tradnl"/>
        </w:rPr>
        <w:t>presentaci</w:t>
      </w:r>
      <w:r>
        <w:rPr>
          <w:rFonts w:cs="Times New Roman"/>
          <w:spacing w:val="-8"/>
          <w:sz w:val="18"/>
          <w:szCs w:val="18"/>
          <w:lang w:val="es-ES_tradnl"/>
        </w:rPr>
        <w:t>ó</w:t>
      </w:r>
      <w:r>
        <w:rPr>
          <w:spacing w:val="-8"/>
          <w:sz w:val="18"/>
          <w:szCs w:val="18"/>
          <w:lang w:val="es-ES_tradnl"/>
        </w:rPr>
        <w:t>n y fundamentaci</w:t>
      </w:r>
      <w:r>
        <w:rPr>
          <w:rFonts w:cs="Times New Roman"/>
          <w:spacing w:val="-8"/>
          <w:sz w:val="18"/>
          <w:szCs w:val="18"/>
          <w:lang w:val="es-ES_tradnl"/>
        </w:rPr>
        <w:t>ó</w:t>
      </w:r>
      <w:r>
        <w:rPr>
          <w:spacing w:val="-8"/>
          <w:sz w:val="18"/>
          <w:szCs w:val="18"/>
          <w:lang w:val="es-ES_tradnl"/>
        </w:rPr>
        <w:t xml:space="preserve">n del recurso de </w:t>
      </w:r>
      <w:r>
        <w:rPr>
          <w:spacing w:val="-5"/>
          <w:sz w:val="18"/>
          <w:szCs w:val="18"/>
          <w:lang w:val="es-ES_tradnl"/>
        </w:rPr>
        <w:t>aclaraci</w:t>
      </w:r>
      <w:r>
        <w:rPr>
          <w:rFonts w:cs="Times New Roman"/>
          <w:spacing w:val="-5"/>
          <w:sz w:val="18"/>
          <w:szCs w:val="18"/>
          <w:lang w:val="es-ES_tradnl"/>
        </w:rPr>
        <w:t>ó</w:t>
      </w:r>
      <w:r>
        <w:rPr>
          <w:spacing w:val="-5"/>
          <w:sz w:val="18"/>
          <w:szCs w:val="18"/>
          <w:lang w:val="es-ES_tradnl"/>
        </w:rPr>
        <w:t>n y/o ampliaci</w:t>
      </w:r>
      <w:r>
        <w:rPr>
          <w:rFonts w:cs="Times New Roman"/>
          <w:spacing w:val="-5"/>
          <w:sz w:val="18"/>
          <w:szCs w:val="18"/>
          <w:lang w:val="es-ES_tradnl"/>
        </w:rPr>
        <w:t>ó</w:t>
      </w:r>
      <w:r>
        <w:rPr>
          <w:spacing w:val="-5"/>
          <w:sz w:val="18"/>
          <w:szCs w:val="18"/>
          <w:lang w:val="es-ES_tradnl"/>
        </w:rPr>
        <w:t xml:space="preserve">n en el </w:t>
      </w:r>
      <w:r>
        <w:rPr>
          <w:rFonts w:cs="Times New Roman"/>
          <w:spacing w:val="-5"/>
          <w:sz w:val="18"/>
          <w:szCs w:val="18"/>
          <w:lang w:val="es-ES_tradnl"/>
        </w:rPr>
        <w:t>á</w:t>
      </w:r>
      <w:r>
        <w:rPr>
          <w:spacing w:val="-5"/>
          <w:sz w:val="18"/>
          <w:szCs w:val="18"/>
          <w:lang w:val="es-ES_tradnl"/>
        </w:rPr>
        <w:t xml:space="preserve">mbito penal, </w:t>
      </w:r>
      <w:r>
        <w:rPr>
          <w:sz w:val="18"/>
          <w:szCs w:val="18"/>
          <w:lang w:val="es-ES_tradnl"/>
        </w:rPr>
        <w:t>correr</w:t>
      </w:r>
      <w:r>
        <w:rPr>
          <w:rFonts w:cs="Times New Roman"/>
          <w:sz w:val="18"/>
          <w:szCs w:val="18"/>
          <w:lang w:val="es-ES_tradnl"/>
        </w:rPr>
        <w:t>á</w:t>
      </w:r>
      <w:r>
        <w:rPr>
          <w:sz w:val="18"/>
          <w:szCs w:val="18"/>
          <w:lang w:val="es-ES_tradnl"/>
        </w:rPr>
        <w:t xml:space="preserve"> solo los d</w:t>
      </w:r>
      <w:r>
        <w:rPr>
          <w:rFonts w:cs="Times New Roman"/>
          <w:sz w:val="18"/>
          <w:szCs w:val="18"/>
          <w:lang w:val="es-ES_tradnl"/>
        </w:rPr>
        <w:t>í</w:t>
      </w:r>
      <w:r>
        <w:rPr>
          <w:sz w:val="18"/>
          <w:szCs w:val="18"/>
          <w:lang w:val="es-ES_tradnl"/>
        </w:rPr>
        <w:t>as h</w:t>
      </w:r>
      <w:r>
        <w:rPr>
          <w:rFonts w:cs="Times New Roman"/>
          <w:sz w:val="18"/>
          <w:szCs w:val="18"/>
          <w:lang w:val="es-ES_tradnl"/>
        </w:rPr>
        <w:t>á</w:t>
      </w:r>
      <w:r>
        <w:rPr>
          <w:sz w:val="18"/>
          <w:szCs w:val="18"/>
          <w:lang w:val="es-ES_tradnl"/>
        </w:rPr>
        <w:t>biles.</w:t>
      </w:r>
    </w:p>
    <w:p w14:paraId="4F67B3FB" w14:textId="77777777" w:rsidR="00591D54" w:rsidRDefault="00591D54">
      <w:pPr>
        <w:shd w:val="clear" w:color="auto" w:fill="FFFFFF"/>
        <w:spacing w:before="206" w:line="226" w:lineRule="exact"/>
        <w:ind w:left="283" w:right="5" w:hanging="283"/>
        <w:jc w:val="both"/>
      </w:pPr>
      <w:r>
        <w:rPr>
          <w:spacing w:val="-2"/>
          <w:sz w:val="18"/>
          <w:szCs w:val="18"/>
          <w:lang w:val="es-ES_tradnl"/>
        </w:rPr>
        <w:t xml:space="preserve">5. Poner en conocimiento del Consejo de la Judicatura </w:t>
      </w:r>
      <w:r>
        <w:rPr>
          <w:spacing w:val="-8"/>
          <w:sz w:val="18"/>
          <w:szCs w:val="18"/>
          <w:lang w:val="es-ES_tradnl"/>
        </w:rPr>
        <w:t xml:space="preserve">la presente sentencia a fin de que dentro del marco de </w:t>
      </w:r>
      <w:r>
        <w:rPr>
          <w:spacing w:val="-7"/>
          <w:sz w:val="18"/>
          <w:szCs w:val="18"/>
          <w:lang w:val="es-ES_tradnl"/>
        </w:rPr>
        <w:t xml:space="preserve">sus competencias y atribuciones realice una debida, </w:t>
      </w:r>
      <w:r>
        <w:rPr>
          <w:spacing w:val="-6"/>
          <w:sz w:val="18"/>
          <w:szCs w:val="18"/>
          <w:lang w:val="es-ES_tradnl"/>
        </w:rPr>
        <w:t>oportuna y generalizada difusi</w:t>
      </w:r>
      <w:r>
        <w:rPr>
          <w:rFonts w:cs="Times New Roman"/>
          <w:spacing w:val="-6"/>
          <w:sz w:val="18"/>
          <w:szCs w:val="18"/>
          <w:lang w:val="es-ES_tradnl"/>
        </w:rPr>
        <w:t>ó</w:t>
      </w:r>
      <w:r>
        <w:rPr>
          <w:spacing w:val="-6"/>
          <w:sz w:val="18"/>
          <w:szCs w:val="18"/>
          <w:lang w:val="es-ES_tradnl"/>
        </w:rPr>
        <w:t xml:space="preserve">n de la misma en las </w:t>
      </w:r>
      <w:r>
        <w:rPr>
          <w:spacing w:val="-7"/>
          <w:sz w:val="18"/>
          <w:szCs w:val="18"/>
          <w:lang w:val="es-ES_tradnl"/>
        </w:rPr>
        <w:t>instancias pertinentes de la Funci</w:t>
      </w:r>
      <w:r>
        <w:rPr>
          <w:rFonts w:cs="Times New Roman"/>
          <w:spacing w:val="-7"/>
          <w:sz w:val="18"/>
          <w:szCs w:val="18"/>
          <w:lang w:val="es-ES_tradnl"/>
        </w:rPr>
        <w:t>ó</w:t>
      </w:r>
      <w:r>
        <w:rPr>
          <w:spacing w:val="-7"/>
          <w:sz w:val="18"/>
          <w:szCs w:val="18"/>
          <w:lang w:val="es-ES_tradnl"/>
        </w:rPr>
        <w:t>n Judicial.</w:t>
      </w:r>
    </w:p>
    <w:p w14:paraId="4F67B3FC" w14:textId="77777777" w:rsidR="00591D54" w:rsidRDefault="00591D54">
      <w:pPr>
        <w:shd w:val="clear" w:color="auto" w:fill="FFFFFF"/>
        <w:spacing w:line="427" w:lineRule="exact"/>
      </w:pPr>
      <w:r>
        <w:br w:type="column"/>
      </w:r>
      <w:r>
        <w:rPr>
          <w:spacing w:val="-7"/>
          <w:sz w:val="18"/>
          <w:szCs w:val="18"/>
          <w:lang w:val="es-ES_tradnl"/>
        </w:rPr>
        <w:t>6.   Notif</w:t>
      </w:r>
      <w:r>
        <w:rPr>
          <w:rFonts w:cs="Times New Roman"/>
          <w:spacing w:val="-7"/>
          <w:sz w:val="18"/>
          <w:szCs w:val="18"/>
          <w:lang w:val="es-ES_tradnl"/>
        </w:rPr>
        <w:t>í</w:t>
      </w:r>
      <w:r>
        <w:rPr>
          <w:spacing w:val="-7"/>
          <w:sz w:val="18"/>
          <w:szCs w:val="18"/>
          <w:lang w:val="es-ES_tradnl"/>
        </w:rPr>
        <w:t>quese, publ</w:t>
      </w:r>
      <w:r>
        <w:rPr>
          <w:rFonts w:cs="Times New Roman"/>
          <w:spacing w:val="-7"/>
          <w:sz w:val="18"/>
          <w:szCs w:val="18"/>
          <w:lang w:val="es-ES_tradnl"/>
        </w:rPr>
        <w:t>í</w:t>
      </w:r>
      <w:r>
        <w:rPr>
          <w:spacing w:val="-7"/>
          <w:sz w:val="18"/>
          <w:szCs w:val="18"/>
          <w:lang w:val="es-ES_tradnl"/>
        </w:rPr>
        <w:t>quese y c</w:t>
      </w:r>
      <w:r>
        <w:rPr>
          <w:rFonts w:cs="Times New Roman"/>
          <w:spacing w:val="-7"/>
          <w:sz w:val="18"/>
          <w:szCs w:val="18"/>
          <w:lang w:val="es-ES_tradnl"/>
        </w:rPr>
        <w:t>ú</w:t>
      </w:r>
      <w:r>
        <w:rPr>
          <w:spacing w:val="-7"/>
          <w:sz w:val="18"/>
          <w:szCs w:val="18"/>
          <w:lang w:val="es-ES_tradnl"/>
        </w:rPr>
        <w:t>mplase.</w:t>
      </w:r>
    </w:p>
    <w:p w14:paraId="4F67B3FD" w14:textId="77777777" w:rsidR="00591D54" w:rsidRDefault="00591D54">
      <w:pPr>
        <w:shd w:val="clear" w:color="auto" w:fill="FFFFFF"/>
        <w:spacing w:line="427" w:lineRule="exact"/>
      </w:pPr>
      <w:r>
        <w:rPr>
          <w:spacing w:val="-5"/>
          <w:sz w:val="18"/>
          <w:szCs w:val="18"/>
          <w:lang w:val="es-ES_tradnl"/>
        </w:rPr>
        <w:t xml:space="preserve">f.) Wendy Molina Andrade, </w:t>
      </w:r>
      <w:r>
        <w:rPr>
          <w:b/>
          <w:bCs/>
          <w:spacing w:val="-5"/>
          <w:sz w:val="18"/>
          <w:szCs w:val="18"/>
          <w:lang w:val="es-ES_tradnl"/>
        </w:rPr>
        <w:t>PRESIDENTA (E).</w:t>
      </w:r>
    </w:p>
    <w:p w14:paraId="4F67B3FE" w14:textId="77777777" w:rsidR="00591D54" w:rsidRDefault="00591D54">
      <w:pPr>
        <w:shd w:val="clear" w:color="auto" w:fill="FFFFFF"/>
        <w:spacing w:line="427" w:lineRule="exact"/>
      </w:pPr>
      <w:r>
        <w:rPr>
          <w:spacing w:val="-4"/>
          <w:sz w:val="18"/>
          <w:szCs w:val="18"/>
          <w:lang w:val="es-ES_tradnl"/>
        </w:rPr>
        <w:t xml:space="preserve">f.) Jaime Pozo Chamorro, </w:t>
      </w:r>
      <w:r>
        <w:rPr>
          <w:b/>
          <w:bCs/>
          <w:spacing w:val="-4"/>
          <w:sz w:val="18"/>
          <w:szCs w:val="18"/>
          <w:lang w:val="es-ES_tradnl"/>
        </w:rPr>
        <w:t>SECRETARIO GENERAL.</w:t>
      </w:r>
    </w:p>
    <w:p w14:paraId="4F67B3FF" w14:textId="77777777" w:rsidR="00591D54" w:rsidRDefault="00591D54">
      <w:pPr>
        <w:shd w:val="clear" w:color="auto" w:fill="FFFFFF"/>
        <w:spacing w:before="163" w:line="216" w:lineRule="exact"/>
        <w:jc w:val="both"/>
      </w:pPr>
      <w:r>
        <w:rPr>
          <w:b/>
          <w:bCs/>
          <w:spacing w:val="-7"/>
          <w:sz w:val="18"/>
          <w:szCs w:val="18"/>
          <w:lang w:val="es-ES_tradnl"/>
        </w:rPr>
        <w:t>Raz</w:t>
      </w:r>
      <w:r>
        <w:rPr>
          <w:rFonts w:cs="Times New Roman"/>
          <w:b/>
          <w:bCs/>
          <w:spacing w:val="-7"/>
          <w:sz w:val="18"/>
          <w:szCs w:val="18"/>
          <w:lang w:val="es-ES_tradnl"/>
        </w:rPr>
        <w:t>ó</w:t>
      </w:r>
      <w:r>
        <w:rPr>
          <w:b/>
          <w:bCs/>
          <w:spacing w:val="-7"/>
          <w:sz w:val="18"/>
          <w:szCs w:val="18"/>
          <w:lang w:val="es-ES_tradnl"/>
        </w:rPr>
        <w:t xml:space="preserve">n: </w:t>
      </w:r>
      <w:r>
        <w:rPr>
          <w:spacing w:val="-7"/>
          <w:sz w:val="18"/>
          <w:szCs w:val="18"/>
          <w:lang w:val="es-ES_tradnl"/>
        </w:rPr>
        <w:t xml:space="preserve">Siento por tal, que la sentencia que antecede fue </w:t>
      </w:r>
      <w:r>
        <w:rPr>
          <w:spacing w:val="-2"/>
          <w:sz w:val="18"/>
          <w:szCs w:val="18"/>
          <w:lang w:val="es-ES_tradnl"/>
        </w:rPr>
        <w:t xml:space="preserve">aprobada por el Pleno de la Corte Constitucional, con </w:t>
      </w:r>
      <w:r>
        <w:rPr>
          <w:spacing w:val="-10"/>
          <w:sz w:val="18"/>
          <w:szCs w:val="18"/>
          <w:lang w:val="es-ES_tradnl"/>
        </w:rPr>
        <w:t>siete votos de las se</w:t>
      </w:r>
      <w:r>
        <w:rPr>
          <w:rFonts w:cs="Times New Roman"/>
          <w:spacing w:val="-10"/>
          <w:sz w:val="18"/>
          <w:szCs w:val="18"/>
          <w:lang w:val="es-ES_tradnl"/>
        </w:rPr>
        <w:t>ñ</w:t>
      </w:r>
      <w:r>
        <w:rPr>
          <w:spacing w:val="-10"/>
          <w:sz w:val="18"/>
          <w:szCs w:val="18"/>
          <w:lang w:val="es-ES_tradnl"/>
        </w:rPr>
        <w:t>oras juezas y se</w:t>
      </w:r>
      <w:r>
        <w:rPr>
          <w:rFonts w:cs="Times New Roman"/>
          <w:spacing w:val="-10"/>
          <w:sz w:val="18"/>
          <w:szCs w:val="18"/>
          <w:lang w:val="es-ES_tradnl"/>
        </w:rPr>
        <w:t>ñ</w:t>
      </w:r>
      <w:r>
        <w:rPr>
          <w:spacing w:val="-10"/>
          <w:sz w:val="18"/>
          <w:szCs w:val="18"/>
          <w:lang w:val="es-ES_tradnl"/>
        </w:rPr>
        <w:t xml:space="preserve">ores jueces: Antonio </w:t>
      </w:r>
      <w:r>
        <w:rPr>
          <w:spacing w:val="-7"/>
          <w:sz w:val="18"/>
          <w:szCs w:val="18"/>
          <w:lang w:val="es-ES_tradnl"/>
        </w:rPr>
        <w:t>Gagliardo Loor, Marcelo Jaramillo Villa, Mar</w:t>
      </w:r>
      <w:r>
        <w:rPr>
          <w:rFonts w:cs="Times New Roman"/>
          <w:spacing w:val="-7"/>
          <w:sz w:val="18"/>
          <w:szCs w:val="18"/>
          <w:lang w:val="es-ES_tradnl"/>
        </w:rPr>
        <w:t>í</w:t>
      </w:r>
      <w:r>
        <w:rPr>
          <w:spacing w:val="-7"/>
          <w:sz w:val="18"/>
          <w:szCs w:val="18"/>
          <w:lang w:val="es-ES_tradnl"/>
        </w:rPr>
        <w:t xml:space="preserve">a del Carmen </w:t>
      </w:r>
      <w:r>
        <w:rPr>
          <w:spacing w:val="-5"/>
          <w:sz w:val="18"/>
          <w:szCs w:val="18"/>
          <w:lang w:val="es-ES_tradnl"/>
        </w:rPr>
        <w:t>Maldonado S</w:t>
      </w:r>
      <w:r>
        <w:rPr>
          <w:rFonts w:cs="Times New Roman"/>
          <w:spacing w:val="-5"/>
          <w:sz w:val="18"/>
          <w:szCs w:val="18"/>
          <w:lang w:val="es-ES_tradnl"/>
        </w:rPr>
        <w:t>á</w:t>
      </w:r>
      <w:r>
        <w:rPr>
          <w:spacing w:val="-5"/>
          <w:sz w:val="18"/>
          <w:szCs w:val="18"/>
          <w:lang w:val="es-ES_tradnl"/>
        </w:rPr>
        <w:t>nchez, Alfredo Ruiz Guzm</w:t>
      </w:r>
      <w:r>
        <w:rPr>
          <w:rFonts w:cs="Times New Roman"/>
          <w:spacing w:val="-5"/>
          <w:sz w:val="18"/>
          <w:szCs w:val="18"/>
          <w:lang w:val="es-ES_tradnl"/>
        </w:rPr>
        <w:t>á</w:t>
      </w:r>
      <w:r>
        <w:rPr>
          <w:spacing w:val="-5"/>
          <w:sz w:val="18"/>
          <w:szCs w:val="18"/>
          <w:lang w:val="es-ES_tradnl"/>
        </w:rPr>
        <w:t xml:space="preserve">n, Ruth Seni </w:t>
      </w:r>
      <w:r>
        <w:rPr>
          <w:spacing w:val="-8"/>
          <w:sz w:val="18"/>
          <w:szCs w:val="18"/>
          <w:lang w:val="es-ES_tradnl"/>
        </w:rPr>
        <w:t xml:space="preserve">Pinoargote, Manuel Viteri Olvera y Wendy Molina Andrade, </w:t>
      </w:r>
      <w:r>
        <w:rPr>
          <w:spacing w:val="-9"/>
          <w:sz w:val="18"/>
          <w:szCs w:val="18"/>
          <w:lang w:val="es-ES_tradnl"/>
        </w:rPr>
        <w:t>sin contar con la presencia de los jueces Tatiana Orde</w:t>
      </w:r>
      <w:r>
        <w:rPr>
          <w:rFonts w:cs="Times New Roman"/>
          <w:spacing w:val="-9"/>
          <w:sz w:val="18"/>
          <w:szCs w:val="18"/>
          <w:lang w:val="es-ES_tradnl"/>
        </w:rPr>
        <w:t>ñ</w:t>
      </w:r>
      <w:r>
        <w:rPr>
          <w:spacing w:val="-9"/>
          <w:sz w:val="18"/>
          <w:szCs w:val="18"/>
          <w:lang w:val="es-ES_tradnl"/>
        </w:rPr>
        <w:t>ana Sierra y Patricio Pazmi</w:t>
      </w:r>
      <w:r>
        <w:rPr>
          <w:rFonts w:cs="Times New Roman"/>
          <w:spacing w:val="-9"/>
          <w:sz w:val="18"/>
          <w:szCs w:val="18"/>
          <w:lang w:val="es-ES_tradnl"/>
        </w:rPr>
        <w:t>ñ</w:t>
      </w:r>
      <w:r>
        <w:rPr>
          <w:spacing w:val="-9"/>
          <w:sz w:val="18"/>
          <w:szCs w:val="18"/>
          <w:lang w:val="es-ES_tradnl"/>
        </w:rPr>
        <w:t>o Freire, en sesi</w:t>
      </w:r>
      <w:r>
        <w:rPr>
          <w:rFonts w:cs="Times New Roman"/>
          <w:spacing w:val="-9"/>
          <w:sz w:val="18"/>
          <w:szCs w:val="18"/>
          <w:lang w:val="es-ES_tradnl"/>
        </w:rPr>
        <w:t>ó</w:t>
      </w:r>
      <w:r>
        <w:rPr>
          <w:spacing w:val="-9"/>
          <w:sz w:val="18"/>
          <w:szCs w:val="18"/>
          <w:lang w:val="es-ES_tradnl"/>
        </w:rPr>
        <w:t xml:space="preserve">n del 12 de agosto </w:t>
      </w:r>
      <w:r>
        <w:rPr>
          <w:sz w:val="18"/>
          <w:szCs w:val="18"/>
          <w:lang w:val="es-ES_tradnl"/>
        </w:rPr>
        <w:t>del 2015. Lo certifico.</w:t>
      </w:r>
    </w:p>
    <w:p w14:paraId="4F67B400" w14:textId="77777777" w:rsidR="00591D54" w:rsidRDefault="00591D54">
      <w:pPr>
        <w:shd w:val="clear" w:color="auto" w:fill="FFFFFF"/>
        <w:spacing w:before="192"/>
      </w:pPr>
      <w:r>
        <w:rPr>
          <w:spacing w:val="-4"/>
          <w:sz w:val="18"/>
          <w:szCs w:val="18"/>
          <w:lang w:val="es-ES_tradnl"/>
        </w:rPr>
        <w:t xml:space="preserve">f.) Jaime Pozo Chamorro, </w:t>
      </w:r>
      <w:r>
        <w:rPr>
          <w:b/>
          <w:bCs/>
          <w:spacing w:val="-4"/>
          <w:sz w:val="18"/>
          <w:szCs w:val="18"/>
          <w:lang w:val="es-ES_tradnl"/>
        </w:rPr>
        <w:t>SECRETARIO GENERAL.</w:t>
      </w:r>
    </w:p>
    <w:p w14:paraId="4F67B401" w14:textId="77777777" w:rsidR="00591D54" w:rsidRDefault="00591D54">
      <w:pPr>
        <w:shd w:val="clear" w:color="auto" w:fill="FFFFFF"/>
        <w:spacing w:before="192"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402" w14:textId="77777777" w:rsidR="00591D54" w:rsidRDefault="00591D54">
      <w:pPr>
        <w:shd w:val="clear" w:color="auto" w:fill="FFFFFF"/>
        <w:spacing w:before="187"/>
      </w:pPr>
      <w:r>
        <w:rPr>
          <w:b/>
          <w:bCs/>
          <w:spacing w:val="-5"/>
          <w:sz w:val="18"/>
          <w:szCs w:val="18"/>
          <w:u w:val="single"/>
          <w:lang w:val="es-ES_tradnl"/>
        </w:rPr>
        <w:t>CASO Nro. 1204-12-EP</w:t>
      </w:r>
    </w:p>
    <w:p w14:paraId="4F67B403" w14:textId="77777777" w:rsidR="00591D54" w:rsidRDefault="00591D54">
      <w:pPr>
        <w:shd w:val="clear" w:color="auto" w:fill="FFFFFF"/>
        <w:spacing w:before="192" w:line="216" w:lineRule="exact"/>
        <w:jc w:val="both"/>
      </w:pPr>
      <w:r>
        <w:rPr>
          <w:b/>
          <w:bCs/>
          <w:spacing w:val="-4"/>
          <w:sz w:val="18"/>
          <w:szCs w:val="18"/>
          <w:lang w:val="es-ES_tradnl"/>
        </w:rPr>
        <w:t>RAZ</w:t>
      </w:r>
      <w:r>
        <w:rPr>
          <w:rFonts w:cs="Times New Roman"/>
          <w:b/>
          <w:bCs/>
          <w:spacing w:val="-4"/>
          <w:sz w:val="18"/>
          <w:szCs w:val="18"/>
          <w:lang w:val="es-ES_tradnl"/>
        </w:rPr>
        <w:t>Ó</w:t>
      </w:r>
      <w:r>
        <w:rPr>
          <w:b/>
          <w:bCs/>
          <w:spacing w:val="-4"/>
          <w:sz w:val="18"/>
          <w:szCs w:val="18"/>
          <w:lang w:val="es-ES_tradnl"/>
        </w:rPr>
        <w:t xml:space="preserve">N.- </w:t>
      </w:r>
      <w:r>
        <w:rPr>
          <w:spacing w:val="-4"/>
          <w:sz w:val="18"/>
          <w:szCs w:val="18"/>
          <w:lang w:val="es-ES_tradnl"/>
        </w:rPr>
        <w:t xml:space="preserve">Siento por tal, que la Jueza Wendy Molina </w:t>
      </w:r>
      <w:r>
        <w:rPr>
          <w:spacing w:val="-7"/>
          <w:sz w:val="18"/>
          <w:szCs w:val="18"/>
          <w:lang w:val="es-ES_tradnl"/>
        </w:rPr>
        <w:t>Andrade, suscribi</w:t>
      </w:r>
      <w:r>
        <w:rPr>
          <w:rFonts w:cs="Times New Roman"/>
          <w:spacing w:val="-7"/>
          <w:sz w:val="18"/>
          <w:szCs w:val="18"/>
          <w:lang w:val="es-ES_tradnl"/>
        </w:rPr>
        <w:t>ó</w:t>
      </w:r>
      <w:r>
        <w:rPr>
          <w:spacing w:val="-7"/>
          <w:sz w:val="18"/>
          <w:szCs w:val="18"/>
          <w:lang w:val="es-ES_tradnl"/>
        </w:rPr>
        <w:t xml:space="preserve"> la presente sentencia el d</w:t>
      </w:r>
      <w:r>
        <w:rPr>
          <w:rFonts w:cs="Times New Roman"/>
          <w:spacing w:val="-7"/>
          <w:sz w:val="18"/>
          <w:szCs w:val="18"/>
          <w:lang w:val="es-ES_tradnl"/>
        </w:rPr>
        <w:t>í</w:t>
      </w:r>
      <w:r>
        <w:rPr>
          <w:spacing w:val="-7"/>
          <w:sz w:val="18"/>
          <w:szCs w:val="18"/>
          <w:lang w:val="es-ES_tradnl"/>
        </w:rPr>
        <w:t xml:space="preserve">a martes 01 </w:t>
      </w:r>
      <w:r>
        <w:rPr>
          <w:spacing w:val="-8"/>
          <w:sz w:val="18"/>
          <w:szCs w:val="18"/>
          <w:lang w:val="es-ES_tradnl"/>
        </w:rPr>
        <w:t xml:space="preserve">de septiembre del 2015, en calidad de presidenta (e) de la </w:t>
      </w:r>
      <w:r>
        <w:rPr>
          <w:spacing w:val="-7"/>
          <w:sz w:val="18"/>
          <w:szCs w:val="18"/>
          <w:lang w:val="es-ES_tradnl"/>
        </w:rPr>
        <w:t>Corte Constitucional, al momento de expedirse la misma.-</w:t>
      </w:r>
      <w:r>
        <w:rPr>
          <w:sz w:val="18"/>
          <w:szCs w:val="18"/>
          <w:lang w:val="es-ES_tradnl"/>
        </w:rPr>
        <w:t>Lo certifico.</w:t>
      </w:r>
    </w:p>
    <w:p w14:paraId="4F67B404" w14:textId="77777777" w:rsidR="00591D54" w:rsidRDefault="00591D54">
      <w:pPr>
        <w:shd w:val="clear" w:color="auto" w:fill="FFFFFF"/>
        <w:spacing w:before="192"/>
      </w:pPr>
      <w:r>
        <w:rPr>
          <w:spacing w:val="-7"/>
          <w:sz w:val="18"/>
          <w:szCs w:val="18"/>
          <w:lang w:val="es-ES_tradnl"/>
        </w:rPr>
        <w:t xml:space="preserve">f.) Jaime Pozo Chamorro, </w:t>
      </w:r>
      <w:r>
        <w:rPr>
          <w:b/>
          <w:bCs/>
          <w:spacing w:val="-7"/>
          <w:sz w:val="18"/>
          <w:szCs w:val="18"/>
          <w:lang w:val="es-ES_tradnl"/>
        </w:rPr>
        <w:t>Secretario General.</w:t>
      </w:r>
    </w:p>
    <w:p w14:paraId="4F67B405" w14:textId="77777777" w:rsidR="00591D54" w:rsidRDefault="00591D54">
      <w:pPr>
        <w:shd w:val="clear" w:color="auto" w:fill="FFFFFF"/>
        <w:spacing w:before="192"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406" w14:textId="77777777" w:rsidR="00591D54" w:rsidRDefault="00591D54">
      <w:pPr>
        <w:shd w:val="clear" w:color="auto" w:fill="FFFFFF"/>
        <w:spacing w:before="1056" w:line="466" w:lineRule="exact"/>
      </w:pPr>
      <w:r>
        <w:rPr>
          <w:spacing w:val="-7"/>
          <w:sz w:val="18"/>
          <w:szCs w:val="18"/>
          <w:lang w:val="es-ES_tradnl"/>
        </w:rPr>
        <w:t>Quito, D. M., 12 de agosto de 2015</w:t>
      </w:r>
    </w:p>
    <w:p w14:paraId="4F67B407" w14:textId="77777777" w:rsidR="00591D54" w:rsidRDefault="00591D54">
      <w:pPr>
        <w:shd w:val="clear" w:color="auto" w:fill="FFFFFF"/>
        <w:spacing w:line="466" w:lineRule="exact"/>
        <w:ind w:left="850"/>
      </w:pPr>
      <w:r>
        <w:rPr>
          <w:b/>
          <w:bCs/>
          <w:spacing w:val="-3"/>
          <w:sz w:val="18"/>
          <w:szCs w:val="18"/>
          <w:u w:val="single"/>
          <w:lang w:val="es-ES_tradnl"/>
        </w:rPr>
        <w:t>SENTENCIA N.</w:t>
      </w:r>
      <w:r>
        <w:rPr>
          <w:rFonts w:cs="Times New Roman"/>
          <w:b/>
          <w:bCs/>
          <w:spacing w:val="-3"/>
          <w:sz w:val="18"/>
          <w:szCs w:val="18"/>
          <w:u w:val="single"/>
          <w:lang w:val="es-ES_tradnl"/>
        </w:rPr>
        <w:t>º</w:t>
      </w:r>
      <w:r>
        <w:rPr>
          <w:b/>
          <w:bCs/>
          <w:spacing w:val="-3"/>
          <w:sz w:val="18"/>
          <w:szCs w:val="18"/>
          <w:u w:val="single"/>
          <w:lang w:val="es-ES_tradnl"/>
        </w:rPr>
        <w:t xml:space="preserve"> 266-15-SEP-CC</w:t>
      </w:r>
    </w:p>
    <w:p w14:paraId="4F67B408" w14:textId="77777777" w:rsidR="00591D54" w:rsidRDefault="00591D54">
      <w:pPr>
        <w:shd w:val="clear" w:color="auto" w:fill="FFFFFF"/>
        <w:spacing w:line="466" w:lineRule="exact"/>
        <w:ind w:left="1296"/>
      </w:pPr>
      <w:r>
        <w:rPr>
          <w:b/>
          <w:bCs/>
          <w:spacing w:val="-5"/>
          <w:sz w:val="18"/>
          <w:szCs w:val="18"/>
          <w:u w:val="single"/>
          <w:lang w:val="es-ES_tradnl"/>
        </w:rPr>
        <w:t>CASO N.</w:t>
      </w:r>
      <w:r>
        <w:rPr>
          <w:rFonts w:cs="Times New Roman"/>
          <w:b/>
          <w:bCs/>
          <w:spacing w:val="-5"/>
          <w:sz w:val="18"/>
          <w:szCs w:val="18"/>
          <w:u w:val="single"/>
          <w:lang w:val="es-ES_tradnl"/>
        </w:rPr>
        <w:t>º</w:t>
      </w:r>
      <w:r>
        <w:rPr>
          <w:b/>
          <w:bCs/>
          <w:spacing w:val="-5"/>
          <w:sz w:val="18"/>
          <w:szCs w:val="18"/>
          <w:u w:val="single"/>
          <w:lang w:val="es-ES_tradnl"/>
        </w:rPr>
        <w:t xml:space="preserve"> 1496-12-EP</w:t>
      </w:r>
    </w:p>
    <w:p w14:paraId="4F67B409" w14:textId="77777777" w:rsidR="00591D54" w:rsidRDefault="00591D54">
      <w:pPr>
        <w:shd w:val="clear" w:color="auto" w:fill="FFFFFF"/>
        <w:spacing w:line="466" w:lineRule="exact"/>
        <w:ind w:left="298"/>
      </w:pPr>
      <w:r>
        <w:rPr>
          <w:b/>
          <w:bCs/>
          <w:sz w:val="18"/>
          <w:szCs w:val="18"/>
          <w:lang w:val="es-ES_tradnl"/>
        </w:rPr>
        <w:t>CORTE CONSTITUCIONAL DEL ECUADOR</w:t>
      </w:r>
    </w:p>
    <w:p w14:paraId="4F67B40A" w14:textId="77777777" w:rsidR="00591D54" w:rsidRDefault="00591D54">
      <w:pPr>
        <w:shd w:val="clear" w:color="auto" w:fill="FFFFFF"/>
        <w:spacing w:line="466" w:lineRule="exact"/>
        <w:ind w:left="1339"/>
      </w:pPr>
      <w:r>
        <w:rPr>
          <w:b/>
          <w:bCs/>
          <w:sz w:val="18"/>
          <w:szCs w:val="18"/>
          <w:lang w:val="es-ES_tradnl"/>
        </w:rPr>
        <w:t>I. ANTECEDENTES</w:t>
      </w:r>
    </w:p>
    <w:p w14:paraId="4F67B40B" w14:textId="77777777" w:rsidR="00591D54" w:rsidRDefault="00591D54">
      <w:pPr>
        <w:shd w:val="clear" w:color="auto" w:fill="FFFFFF"/>
        <w:spacing w:line="466" w:lineRule="exact"/>
      </w:pPr>
      <w:r>
        <w:rPr>
          <w:b/>
          <w:bCs/>
          <w:spacing w:val="-9"/>
          <w:sz w:val="18"/>
          <w:szCs w:val="18"/>
          <w:lang w:val="es-ES_tradnl"/>
        </w:rPr>
        <w:t>Resumen de admisibilidad</w:t>
      </w:r>
    </w:p>
    <w:p w14:paraId="4F67B40C" w14:textId="77777777" w:rsidR="00591D54" w:rsidRDefault="00591D54">
      <w:pPr>
        <w:shd w:val="clear" w:color="auto" w:fill="FFFFFF"/>
        <w:spacing w:before="187" w:line="226" w:lineRule="exact"/>
        <w:jc w:val="both"/>
      </w:pPr>
      <w:r>
        <w:rPr>
          <w:spacing w:val="-6"/>
          <w:sz w:val="18"/>
          <w:szCs w:val="18"/>
          <w:lang w:val="es-ES_tradnl"/>
        </w:rPr>
        <w:t>El abogado V</w:t>
      </w:r>
      <w:r>
        <w:rPr>
          <w:rFonts w:cs="Times New Roman"/>
          <w:spacing w:val="-6"/>
          <w:sz w:val="18"/>
          <w:szCs w:val="18"/>
          <w:lang w:val="es-ES_tradnl"/>
        </w:rPr>
        <w:t>í</w:t>
      </w:r>
      <w:r>
        <w:rPr>
          <w:spacing w:val="-6"/>
          <w:sz w:val="18"/>
          <w:szCs w:val="18"/>
          <w:lang w:val="es-ES_tradnl"/>
        </w:rPr>
        <w:t xml:space="preserve">ctor Anchundia Places en su calidad de </w:t>
      </w:r>
      <w:r>
        <w:rPr>
          <w:spacing w:val="-7"/>
          <w:sz w:val="18"/>
          <w:szCs w:val="18"/>
          <w:lang w:val="es-ES_tradnl"/>
        </w:rPr>
        <w:t>intendente de compa</w:t>
      </w:r>
      <w:r>
        <w:rPr>
          <w:rFonts w:cs="Times New Roman"/>
          <w:spacing w:val="-7"/>
          <w:sz w:val="18"/>
          <w:szCs w:val="18"/>
          <w:lang w:val="es-ES_tradnl"/>
        </w:rPr>
        <w:t>ñí</w:t>
      </w:r>
      <w:r>
        <w:rPr>
          <w:spacing w:val="-7"/>
          <w:sz w:val="18"/>
          <w:szCs w:val="18"/>
          <w:lang w:val="es-ES_tradnl"/>
        </w:rPr>
        <w:t>as de Guayaquil interpuso acci</w:t>
      </w:r>
      <w:r>
        <w:rPr>
          <w:rFonts w:cs="Times New Roman"/>
          <w:spacing w:val="-7"/>
          <w:sz w:val="18"/>
          <w:szCs w:val="18"/>
          <w:lang w:val="es-ES_tradnl"/>
        </w:rPr>
        <w:t>ó</w:t>
      </w:r>
      <w:r>
        <w:rPr>
          <w:spacing w:val="-7"/>
          <w:sz w:val="18"/>
          <w:szCs w:val="18"/>
          <w:lang w:val="es-ES_tradnl"/>
        </w:rPr>
        <w:t xml:space="preserve">n </w:t>
      </w:r>
      <w:r>
        <w:rPr>
          <w:spacing w:val="-5"/>
          <w:sz w:val="18"/>
          <w:szCs w:val="18"/>
          <w:lang w:val="es-ES_tradnl"/>
        </w:rPr>
        <w:t>extraordinaria de protecci</w:t>
      </w:r>
      <w:r>
        <w:rPr>
          <w:rFonts w:cs="Times New Roman"/>
          <w:spacing w:val="-5"/>
          <w:sz w:val="18"/>
          <w:szCs w:val="18"/>
          <w:lang w:val="es-ES_tradnl"/>
        </w:rPr>
        <w:t>ó</w:t>
      </w:r>
      <w:r>
        <w:rPr>
          <w:spacing w:val="-5"/>
          <w:sz w:val="18"/>
          <w:szCs w:val="18"/>
          <w:lang w:val="es-ES_tradnl"/>
        </w:rPr>
        <w:t xml:space="preserve">n en contra de la sentencia </w:t>
      </w:r>
      <w:r>
        <w:rPr>
          <w:spacing w:val="-9"/>
          <w:sz w:val="18"/>
          <w:szCs w:val="18"/>
          <w:lang w:val="es-ES_tradnl"/>
        </w:rPr>
        <w:t>emitida el 02 de abril de 2012, por los jueces de mayor</w:t>
      </w:r>
      <w:r>
        <w:rPr>
          <w:rFonts w:cs="Times New Roman"/>
          <w:spacing w:val="-9"/>
          <w:sz w:val="18"/>
          <w:szCs w:val="18"/>
          <w:lang w:val="es-ES_tradnl"/>
        </w:rPr>
        <w:t>í</w:t>
      </w:r>
      <w:r>
        <w:rPr>
          <w:spacing w:val="-9"/>
          <w:sz w:val="18"/>
          <w:szCs w:val="18"/>
          <w:lang w:val="es-ES_tradnl"/>
        </w:rPr>
        <w:t xml:space="preserve">a de </w:t>
      </w:r>
      <w:r>
        <w:rPr>
          <w:spacing w:val="-7"/>
          <w:sz w:val="18"/>
          <w:szCs w:val="18"/>
          <w:lang w:val="es-ES_tradnl"/>
        </w:rPr>
        <w:t>la Primera Sala de lo Laboral, Ni</w:t>
      </w:r>
      <w:r>
        <w:rPr>
          <w:rFonts w:cs="Times New Roman"/>
          <w:spacing w:val="-7"/>
          <w:sz w:val="18"/>
          <w:szCs w:val="18"/>
          <w:lang w:val="es-ES_tradnl"/>
        </w:rPr>
        <w:t>ñ</w:t>
      </w:r>
      <w:r>
        <w:rPr>
          <w:spacing w:val="-7"/>
          <w:sz w:val="18"/>
          <w:szCs w:val="18"/>
          <w:lang w:val="es-ES_tradnl"/>
        </w:rPr>
        <w:t xml:space="preserve">ez y Adolescencia de la </w:t>
      </w:r>
      <w:r>
        <w:rPr>
          <w:spacing w:val="-8"/>
          <w:sz w:val="18"/>
          <w:szCs w:val="18"/>
          <w:lang w:val="es-ES_tradnl"/>
        </w:rPr>
        <w:t>Corte Provincial de Justicia del Guayas, dentro de la acci</w:t>
      </w:r>
      <w:r>
        <w:rPr>
          <w:rFonts w:cs="Times New Roman"/>
          <w:spacing w:val="-8"/>
          <w:sz w:val="18"/>
          <w:szCs w:val="18"/>
          <w:lang w:val="es-ES_tradnl"/>
        </w:rPr>
        <w:t>ó</w:t>
      </w:r>
      <w:r>
        <w:rPr>
          <w:spacing w:val="-8"/>
          <w:sz w:val="18"/>
          <w:szCs w:val="18"/>
          <w:lang w:val="es-ES_tradnl"/>
        </w:rPr>
        <w:t>n de protecci</w:t>
      </w:r>
      <w:r>
        <w:rPr>
          <w:rFonts w:cs="Times New Roman"/>
          <w:spacing w:val="-8"/>
          <w:sz w:val="18"/>
          <w:szCs w:val="18"/>
          <w:lang w:val="es-ES_tradnl"/>
        </w:rPr>
        <w:t>ó</w:t>
      </w:r>
      <w:r>
        <w:rPr>
          <w:spacing w:val="-8"/>
          <w:sz w:val="18"/>
          <w:szCs w:val="18"/>
          <w:lang w:val="es-ES_tradnl"/>
        </w:rPr>
        <w:t>n N.</w:t>
      </w:r>
      <w:r>
        <w:rPr>
          <w:rFonts w:cs="Times New Roman"/>
          <w:spacing w:val="-8"/>
          <w:sz w:val="18"/>
          <w:szCs w:val="18"/>
          <w:lang w:val="es-ES_tradnl"/>
        </w:rPr>
        <w:t>º</w:t>
      </w:r>
      <w:r>
        <w:rPr>
          <w:spacing w:val="-8"/>
          <w:sz w:val="18"/>
          <w:szCs w:val="18"/>
          <w:lang w:val="es-ES_tradnl"/>
        </w:rPr>
        <w:t xml:space="preserve"> 1440-2011 (segunda instancia).</w:t>
      </w:r>
    </w:p>
    <w:p w14:paraId="4F67B40D" w14:textId="77777777" w:rsidR="00591D54" w:rsidRDefault="00591D54">
      <w:pPr>
        <w:shd w:val="clear" w:color="auto" w:fill="FFFFFF"/>
        <w:spacing w:before="187" w:line="226" w:lineRule="exact"/>
        <w:jc w:val="both"/>
        <w:sectPr w:rsidR="00591D54">
          <w:type w:val="continuous"/>
          <w:pgSz w:w="11909" w:h="16834"/>
          <w:pgMar w:top="1359" w:right="1309" w:bottom="360" w:left="1308" w:header="720" w:footer="720" w:gutter="0"/>
          <w:cols w:num="2" w:space="720" w:equalWidth="0">
            <w:col w:w="4305" w:space="682"/>
            <w:col w:w="4305"/>
          </w:cols>
          <w:noEndnote/>
        </w:sectPr>
      </w:pPr>
    </w:p>
    <w:p w14:paraId="4F67B40E" w14:textId="77777777" w:rsidR="00591D54" w:rsidRDefault="00591D54">
      <w:pPr>
        <w:shd w:val="clear" w:color="auto" w:fill="FFFFFF"/>
        <w:tabs>
          <w:tab w:val="left" w:pos="5842"/>
        </w:tabs>
        <w:spacing w:after="226"/>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- 203</w:t>
      </w:r>
    </w:p>
    <w:p w14:paraId="4F67B40F" w14:textId="77777777" w:rsidR="00591D54" w:rsidRDefault="00591D54">
      <w:pPr>
        <w:shd w:val="clear" w:color="auto" w:fill="FFFFFF"/>
        <w:tabs>
          <w:tab w:val="left" w:pos="5842"/>
        </w:tabs>
        <w:spacing w:after="226"/>
        <w:ind w:left="5"/>
        <w:sectPr w:rsidR="00591D54">
          <w:pgSz w:w="11909" w:h="16834"/>
          <w:pgMar w:top="1383" w:right="1309" w:bottom="360" w:left="1308" w:header="720" w:footer="720" w:gutter="0"/>
          <w:cols w:space="60"/>
          <w:noEndnote/>
        </w:sectPr>
      </w:pPr>
    </w:p>
    <w:p w14:paraId="4F67B410" w14:textId="77777777" w:rsidR="00591D54" w:rsidRDefault="00591D54">
      <w:pPr>
        <w:shd w:val="clear" w:color="auto" w:fill="FFFFFF"/>
        <w:spacing w:before="10" w:line="216" w:lineRule="exact"/>
        <w:ind w:right="5"/>
        <w:jc w:val="both"/>
      </w:pPr>
      <w:r>
        <w:rPr>
          <w:spacing w:val="-5"/>
          <w:sz w:val="18"/>
          <w:szCs w:val="18"/>
          <w:lang w:val="es-ES_tradnl"/>
        </w:rPr>
        <w:t>Mediante oficio N.</w:t>
      </w:r>
      <w:r>
        <w:rPr>
          <w:rFonts w:cs="Times New Roman"/>
          <w:spacing w:val="-5"/>
          <w:sz w:val="18"/>
          <w:szCs w:val="18"/>
          <w:lang w:val="es-ES_tradnl"/>
        </w:rPr>
        <w:t>º</w:t>
      </w:r>
      <w:r>
        <w:rPr>
          <w:spacing w:val="-5"/>
          <w:sz w:val="18"/>
          <w:szCs w:val="18"/>
          <w:lang w:val="es-ES_tradnl"/>
        </w:rPr>
        <w:t xml:space="preserve"> 727-2012 del 18 de septiembre de 2012, suscrito por la secretaria (e) de la Primera Sala de </w:t>
      </w:r>
      <w:r>
        <w:rPr>
          <w:spacing w:val="-3"/>
          <w:sz w:val="18"/>
          <w:szCs w:val="18"/>
          <w:lang w:val="es-ES_tradnl"/>
        </w:rPr>
        <w:t>lo Laboral, Ni</w:t>
      </w:r>
      <w:r>
        <w:rPr>
          <w:rFonts w:cs="Times New Roman"/>
          <w:spacing w:val="-3"/>
          <w:sz w:val="18"/>
          <w:szCs w:val="18"/>
          <w:lang w:val="es-ES_tradnl"/>
        </w:rPr>
        <w:t>ñ</w:t>
      </w:r>
      <w:r>
        <w:rPr>
          <w:spacing w:val="-3"/>
          <w:sz w:val="18"/>
          <w:szCs w:val="18"/>
          <w:lang w:val="es-ES_tradnl"/>
        </w:rPr>
        <w:t xml:space="preserve">ez y Adolescencia de la Corte Provincial </w:t>
      </w:r>
      <w:r>
        <w:rPr>
          <w:spacing w:val="-6"/>
          <w:sz w:val="18"/>
          <w:szCs w:val="18"/>
          <w:lang w:val="es-ES_tradnl"/>
        </w:rPr>
        <w:t xml:space="preserve">de Justicia del Guayas, remite a la Corte Constitucional </w:t>
      </w:r>
      <w:r>
        <w:rPr>
          <w:rFonts w:cs="Times New Roman"/>
          <w:spacing w:val="-6"/>
          <w:sz w:val="18"/>
          <w:szCs w:val="18"/>
          <w:lang w:val="es-ES_tradnl"/>
        </w:rPr>
        <w:t>“</w:t>
      </w:r>
      <w:r>
        <w:rPr>
          <w:spacing w:val="-6"/>
          <w:sz w:val="18"/>
          <w:szCs w:val="18"/>
          <w:lang w:val="es-ES_tradnl"/>
        </w:rPr>
        <w:t>(</w:t>
      </w:r>
      <w:r>
        <w:rPr>
          <w:rFonts w:cs="Times New Roman"/>
          <w:spacing w:val="-6"/>
          <w:sz w:val="18"/>
          <w:szCs w:val="18"/>
          <w:lang w:val="es-ES_tradnl"/>
        </w:rPr>
        <w:t>…</w:t>
      </w:r>
      <w:r>
        <w:rPr>
          <w:spacing w:val="-6"/>
          <w:sz w:val="18"/>
          <w:szCs w:val="18"/>
          <w:lang w:val="es-ES_tradnl"/>
        </w:rPr>
        <w:t>) la Acci</w:t>
      </w:r>
      <w:r>
        <w:rPr>
          <w:rFonts w:cs="Times New Roman"/>
          <w:spacing w:val="-6"/>
          <w:sz w:val="18"/>
          <w:szCs w:val="18"/>
          <w:lang w:val="es-ES_tradnl"/>
        </w:rPr>
        <w:t>ó</w:t>
      </w:r>
      <w:r>
        <w:rPr>
          <w:spacing w:val="-6"/>
          <w:sz w:val="18"/>
          <w:szCs w:val="18"/>
          <w:lang w:val="es-ES_tradnl"/>
        </w:rPr>
        <w:t>n de Protecci</w:t>
      </w:r>
      <w:r>
        <w:rPr>
          <w:rFonts w:cs="Times New Roman"/>
          <w:spacing w:val="-6"/>
          <w:sz w:val="18"/>
          <w:szCs w:val="18"/>
          <w:lang w:val="es-ES_tradnl"/>
        </w:rPr>
        <w:t>ó</w:t>
      </w:r>
      <w:r>
        <w:rPr>
          <w:spacing w:val="-6"/>
          <w:sz w:val="18"/>
          <w:szCs w:val="18"/>
          <w:lang w:val="es-ES_tradnl"/>
        </w:rPr>
        <w:t xml:space="preserve">n seguida por Blanca Cordero </w:t>
      </w:r>
      <w:r>
        <w:rPr>
          <w:spacing w:val="-8"/>
          <w:sz w:val="18"/>
          <w:szCs w:val="18"/>
          <w:lang w:val="es-ES_tradnl"/>
        </w:rPr>
        <w:t>Hern</w:t>
      </w:r>
      <w:r>
        <w:rPr>
          <w:rFonts w:cs="Times New Roman"/>
          <w:spacing w:val="-8"/>
          <w:sz w:val="18"/>
          <w:szCs w:val="18"/>
          <w:lang w:val="es-ES_tradnl"/>
        </w:rPr>
        <w:t>á</w:t>
      </w:r>
      <w:r>
        <w:rPr>
          <w:spacing w:val="-8"/>
          <w:sz w:val="18"/>
          <w:szCs w:val="18"/>
          <w:lang w:val="es-ES_tradnl"/>
        </w:rPr>
        <w:t>ndez en contra de la Intendencia de Compa</w:t>
      </w:r>
      <w:r>
        <w:rPr>
          <w:rFonts w:cs="Times New Roman"/>
          <w:spacing w:val="-8"/>
          <w:sz w:val="18"/>
          <w:szCs w:val="18"/>
          <w:lang w:val="es-ES_tradnl"/>
        </w:rPr>
        <w:t>ñí</w:t>
      </w:r>
      <w:r>
        <w:rPr>
          <w:spacing w:val="-8"/>
          <w:sz w:val="18"/>
          <w:szCs w:val="18"/>
          <w:lang w:val="es-ES_tradnl"/>
        </w:rPr>
        <w:t>a de Guayaquil, signada en primera instancia con el No. 385-C-</w:t>
      </w:r>
      <w:r>
        <w:rPr>
          <w:spacing w:val="-7"/>
          <w:sz w:val="18"/>
          <w:szCs w:val="18"/>
          <w:lang w:val="es-ES_tradnl"/>
        </w:rPr>
        <w:t>2011(</w:t>
      </w:r>
      <w:r>
        <w:rPr>
          <w:rFonts w:cs="Times New Roman"/>
          <w:spacing w:val="-7"/>
          <w:sz w:val="18"/>
          <w:szCs w:val="18"/>
          <w:lang w:val="es-ES_tradnl"/>
        </w:rPr>
        <w:t>…</w:t>
      </w:r>
      <w:r>
        <w:rPr>
          <w:spacing w:val="-7"/>
          <w:sz w:val="18"/>
          <w:szCs w:val="18"/>
          <w:lang w:val="es-ES_tradnl"/>
        </w:rPr>
        <w:t>) y en segunda instancia signada con el No. 1440-2011(</w:t>
      </w:r>
      <w:r>
        <w:rPr>
          <w:rFonts w:cs="Times New Roman"/>
          <w:spacing w:val="-7"/>
          <w:sz w:val="18"/>
          <w:szCs w:val="18"/>
          <w:lang w:val="es-ES_tradnl"/>
        </w:rPr>
        <w:t>…</w:t>
      </w:r>
      <w:r>
        <w:rPr>
          <w:spacing w:val="-7"/>
          <w:sz w:val="18"/>
          <w:szCs w:val="18"/>
          <w:lang w:val="es-ES_tradnl"/>
        </w:rPr>
        <w:t xml:space="preserve">) por haberse interpuesto </w:t>
      </w:r>
      <w:r>
        <w:rPr>
          <w:b/>
          <w:bCs/>
          <w:spacing w:val="-7"/>
          <w:sz w:val="18"/>
          <w:szCs w:val="18"/>
          <w:lang w:val="es-ES_tradnl"/>
        </w:rPr>
        <w:t>Acci</w:t>
      </w:r>
      <w:r>
        <w:rPr>
          <w:rFonts w:cs="Times New Roman"/>
          <w:b/>
          <w:bCs/>
          <w:spacing w:val="-7"/>
          <w:sz w:val="18"/>
          <w:szCs w:val="18"/>
          <w:lang w:val="es-ES_tradnl"/>
        </w:rPr>
        <w:t>ó</w:t>
      </w:r>
      <w:r>
        <w:rPr>
          <w:b/>
          <w:bCs/>
          <w:spacing w:val="-7"/>
          <w:sz w:val="18"/>
          <w:szCs w:val="18"/>
          <w:lang w:val="es-ES_tradnl"/>
        </w:rPr>
        <w:t xml:space="preserve">n Extraordinaria </w:t>
      </w:r>
      <w:r>
        <w:rPr>
          <w:b/>
          <w:bCs/>
          <w:sz w:val="18"/>
          <w:szCs w:val="18"/>
          <w:lang w:val="es-ES_tradnl"/>
        </w:rPr>
        <w:t>de Protecci</w:t>
      </w:r>
      <w:r>
        <w:rPr>
          <w:rFonts w:cs="Times New Roman"/>
          <w:b/>
          <w:bCs/>
          <w:sz w:val="18"/>
          <w:szCs w:val="18"/>
          <w:lang w:val="es-ES_tradnl"/>
        </w:rPr>
        <w:t>ó</w:t>
      </w:r>
      <w:r>
        <w:rPr>
          <w:b/>
          <w:bCs/>
          <w:sz w:val="18"/>
          <w:szCs w:val="18"/>
          <w:lang w:val="es-ES_tradnl"/>
        </w:rPr>
        <w:t>n</w:t>
      </w:r>
      <w:r>
        <w:rPr>
          <w:rFonts w:cs="Times New Roman"/>
          <w:sz w:val="18"/>
          <w:szCs w:val="18"/>
          <w:lang w:val="es-ES_tradnl"/>
        </w:rPr>
        <w:t>”</w:t>
      </w:r>
      <w:r>
        <w:rPr>
          <w:sz w:val="18"/>
          <w:szCs w:val="18"/>
          <w:lang w:val="es-ES_tradnl"/>
        </w:rPr>
        <w:t xml:space="preserve"> (sic).</w:t>
      </w:r>
    </w:p>
    <w:p w14:paraId="4F67B411" w14:textId="77777777" w:rsidR="00591D54" w:rsidRDefault="00591D54">
      <w:pPr>
        <w:shd w:val="clear" w:color="auto" w:fill="FFFFFF"/>
        <w:spacing w:before="197" w:line="216" w:lineRule="exact"/>
        <w:ind w:right="5"/>
        <w:jc w:val="both"/>
      </w:pPr>
      <w:r>
        <w:rPr>
          <w:spacing w:val="-7"/>
          <w:sz w:val="18"/>
          <w:szCs w:val="18"/>
          <w:lang w:val="es-ES_tradnl"/>
        </w:rPr>
        <w:t xml:space="preserve">El secretario general (e) de la Corte Constitucional, para el </w:t>
      </w:r>
      <w:r>
        <w:rPr>
          <w:spacing w:val="-10"/>
          <w:sz w:val="18"/>
          <w:szCs w:val="18"/>
          <w:lang w:val="es-ES_tradnl"/>
        </w:rPr>
        <w:t>per</w:t>
      </w:r>
      <w:r>
        <w:rPr>
          <w:rFonts w:cs="Times New Roman"/>
          <w:spacing w:val="-10"/>
          <w:sz w:val="18"/>
          <w:szCs w:val="18"/>
          <w:lang w:val="es-ES_tradnl"/>
        </w:rPr>
        <w:t>í</w:t>
      </w:r>
      <w:r>
        <w:rPr>
          <w:spacing w:val="-10"/>
          <w:sz w:val="18"/>
          <w:szCs w:val="18"/>
          <w:lang w:val="es-ES_tradnl"/>
        </w:rPr>
        <w:t>odo de transici</w:t>
      </w:r>
      <w:r>
        <w:rPr>
          <w:rFonts w:cs="Times New Roman"/>
          <w:spacing w:val="-10"/>
          <w:sz w:val="18"/>
          <w:szCs w:val="18"/>
          <w:lang w:val="es-ES_tradnl"/>
        </w:rPr>
        <w:t>ó</w:t>
      </w:r>
      <w:r>
        <w:rPr>
          <w:spacing w:val="-10"/>
          <w:sz w:val="18"/>
          <w:szCs w:val="18"/>
          <w:lang w:val="es-ES_tradnl"/>
        </w:rPr>
        <w:t>n, el 26 de septiembre de 2012, certific</w:t>
      </w:r>
      <w:r>
        <w:rPr>
          <w:rFonts w:cs="Times New Roman"/>
          <w:spacing w:val="-10"/>
          <w:sz w:val="18"/>
          <w:szCs w:val="18"/>
          <w:lang w:val="es-ES_tradnl"/>
        </w:rPr>
        <w:t xml:space="preserve">ó </w:t>
      </w:r>
      <w:r>
        <w:rPr>
          <w:spacing w:val="-8"/>
          <w:sz w:val="18"/>
          <w:szCs w:val="18"/>
          <w:lang w:val="es-ES_tradnl"/>
        </w:rPr>
        <w:t xml:space="preserve">que </w:t>
      </w:r>
      <w:r>
        <w:rPr>
          <w:rFonts w:cs="Times New Roman"/>
          <w:spacing w:val="-8"/>
          <w:sz w:val="18"/>
          <w:szCs w:val="18"/>
          <w:lang w:val="es-ES_tradnl"/>
        </w:rPr>
        <w:t>“</w:t>
      </w:r>
      <w:r>
        <w:rPr>
          <w:spacing w:val="-8"/>
          <w:sz w:val="18"/>
          <w:szCs w:val="18"/>
          <w:lang w:val="es-ES_tradnl"/>
        </w:rPr>
        <w:t>(</w:t>
      </w:r>
      <w:r>
        <w:rPr>
          <w:rFonts w:cs="Times New Roman"/>
          <w:spacing w:val="-8"/>
          <w:sz w:val="18"/>
          <w:szCs w:val="18"/>
          <w:lang w:val="es-ES_tradnl"/>
        </w:rPr>
        <w:t>…</w:t>
      </w:r>
      <w:r>
        <w:rPr>
          <w:spacing w:val="-8"/>
          <w:sz w:val="18"/>
          <w:szCs w:val="18"/>
          <w:lang w:val="es-ES_tradnl"/>
        </w:rPr>
        <w:t>) en referencia a la acci</w:t>
      </w:r>
      <w:r>
        <w:rPr>
          <w:rFonts w:cs="Times New Roman"/>
          <w:spacing w:val="-8"/>
          <w:sz w:val="18"/>
          <w:szCs w:val="18"/>
          <w:lang w:val="es-ES_tradnl"/>
        </w:rPr>
        <w:t>ó</w:t>
      </w:r>
      <w:r>
        <w:rPr>
          <w:spacing w:val="-8"/>
          <w:sz w:val="18"/>
          <w:szCs w:val="18"/>
          <w:lang w:val="es-ES_tradnl"/>
        </w:rPr>
        <w:t>n No. 1496-12-EP (</w:t>
      </w:r>
      <w:r>
        <w:rPr>
          <w:rFonts w:cs="Times New Roman"/>
          <w:spacing w:val="-8"/>
          <w:sz w:val="18"/>
          <w:szCs w:val="18"/>
          <w:lang w:val="es-ES_tradnl"/>
        </w:rPr>
        <w:t>…</w:t>
      </w:r>
      <w:r>
        <w:rPr>
          <w:spacing w:val="-8"/>
          <w:sz w:val="18"/>
          <w:szCs w:val="18"/>
          <w:lang w:val="es-ES_tradnl"/>
        </w:rPr>
        <w:t xml:space="preserve">) </w:t>
      </w:r>
      <w:r>
        <w:rPr>
          <w:b/>
          <w:bCs/>
          <w:spacing w:val="-8"/>
          <w:sz w:val="18"/>
          <w:szCs w:val="18"/>
          <w:lang w:val="es-ES_tradnl"/>
        </w:rPr>
        <w:t xml:space="preserve">no </w:t>
      </w:r>
      <w:r>
        <w:rPr>
          <w:b/>
          <w:bCs/>
          <w:spacing w:val="-9"/>
          <w:sz w:val="18"/>
          <w:szCs w:val="18"/>
          <w:lang w:val="es-ES_tradnl"/>
        </w:rPr>
        <w:t xml:space="preserve">se ha presentado </w:t>
      </w:r>
      <w:r>
        <w:rPr>
          <w:spacing w:val="-9"/>
          <w:sz w:val="18"/>
          <w:szCs w:val="18"/>
          <w:lang w:val="es-ES_tradnl"/>
        </w:rPr>
        <w:t xml:space="preserve">otra demanda con identidad de objeto y </w:t>
      </w:r>
      <w:r>
        <w:rPr>
          <w:spacing w:val="-5"/>
          <w:sz w:val="18"/>
          <w:szCs w:val="18"/>
          <w:lang w:val="es-ES_tradnl"/>
        </w:rPr>
        <w:t>acci</w:t>
      </w:r>
      <w:r>
        <w:rPr>
          <w:rFonts w:cs="Times New Roman"/>
          <w:spacing w:val="-5"/>
          <w:sz w:val="18"/>
          <w:szCs w:val="18"/>
          <w:lang w:val="es-ES_tradnl"/>
        </w:rPr>
        <w:t>ó</w:t>
      </w:r>
      <w:r>
        <w:rPr>
          <w:spacing w:val="-5"/>
          <w:sz w:val="18"/>
          <w:szCs w:val="18"/>
          <w:lang w:val="es-ES_tradnl"/>
        </w:rPr>
        <w:t>n (</w:t>
      </w:r>
      <w:r>
        <w:rPr>
          <w:rFonts w:cs="Times New Roman"/>
          <w:spacing w:val="-5"/>
          <w:sz w:val="18"/>
          <w:szCs w:val="18"/>
          <w:lang w:val="es-ES_tradnl"/>
        </w:rPr>
        <w:t>…</w:t>
      </w:r>
      <w:r>
        <w:rPr>
          <w:spacing w:val="-5"/>
          <w:sz w:val="18"/>
          <w:szCs w:val="18"/>
          <w:lang w:val="es-ES_tradnl"/>
        </w:rPr>
        <w:t>)</w:t>
      </w:r>
      <w:r>
        <w:rPr>
          <w:rFonts w:cs="Times New Roman"/>
          <w:spacing w:val="-5"/>
          <w:sz w:val="18"/>
          <w:szCs w:val="18"/>
          <w:lang w:val="es-ES_tradnl"/>
        </w:rPr>
        <w:t>”</w:t>
      </w:r>
      <w:r>
        <w:rPr>
          <w:spacing w:val="-5"/>
          <w:sz w:val="18"/>
          <w:szCs w:val="18"/>
          <w:lang w:val="es-ES_tradnl"/>
        </w:rPr>
        <w:t xml:space="preserve"> (fojas 03 del expediente constitucional)</w:t>
      </w:r>
      <w:r>
        <w:rPr>
          <w:i/>
          <w:iCs/>
          <w:spacing w:val="-5"/>
          <w:sz w:val="18"/>
          <w:szCs w:val="18"/>
          <w:lang w:val="es-ES_tradnl"/>
        </w:rPr>
        <w:t>.</w:t>
      </w:r>
    </w:p>
    <w:p w14:paraId="4F67B412" w14:textId="77777777" w:rsidR="00591D54" w:rsidRDefault="00591D54">
      <w:pPr>
        <w:shd w:val="clear" w:color="auto" w:fill="FFFFFF"/>
        <w:spacing w:before="197" w:line="216" w:lineRule="exact"/>
        <w:ind w:right="5"/>
        <w:jc w:val="both"/>
      </w:pPr>
      <w:r>
        <w:rPr>
          <w:spacing w:val="-9"/>
          <w:sz w:val="18"/>
          <w:szCs w:val="18"/>
          <w:lang w:val="es-ES_tradnl"/>
        </w:rPr>
        <w:t xml:space="preserve">El 06 de noviembre de 2012, se posesionaron ante el Pleno de la Asamblea Nacional las juezas y jueces de la Primera </w:t>
      </w:r>
      <w:r>
        <w:rPr>
          <w:spacing w:val="-6"/>
          <w:sz w:val="18"/>
          <w:szCs w:val="18"/>
          <w:lang w:val="es-ES_tradnl"/>
        </w:rPr>
        <w:t xml:space="preserve">Corte Constitucional, integrada conforme lo dispuesto en </w:t>
      </w:r>
      <w:r>
        <w:rPr>
          <w:spacing w:val="-7"/>
          <w:sz w:val="18"/>
          <w:szCs w:val="18"/>
          <w:lang w:val="es-ES_tradnl"/>
        </w:rPr>
        <w:t>los art</w:t>
      </w:r>
      <w:r>
        <w:rPr>
          <w:rFonts w:cs="Times New Roman"/>
          <w:spacing w:val="-7"/>
          <w:sz w:val="18"/>
          <w:szCs w:val="18"/>
          <w:lang w:val="es-ES_tradnl"/>
        </w:rPr>
        <w:t>í</w:t>
      </w:r>
      <w:r>
        <w:rPr>
          <w:spacing w:val="-7"/>
          <w:sz w:val="18"/>
          <w:szCs w:val="18"/>
          <w:lang w:val="es-ES_tradnl"/>
        </w:rPr>
        <w:t>culos 432 y 434 de 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blica.</w:t>
      </w:r>
    </w:p>
    <w:p w14:paraId="4F67B413" w14:textId="77777777" w:rsidR="00591D54" w:rsidRDefault="00591D54">
      <w:pPr>
        <w:shd w:val="clear" w:color="auto" w:fill="FFFFFF"/>
        <w:spacing w:before="192" w:line="216" w:lineRule="exact"/>
        <w:ind w:right="5"/>
        <w:jc w:val="both"/>
      </w:pPr>
      <w:r>
        <w:rPr>
          <w:spacing w:val="-6"/>
          <w:sz w:val="18"/>
          <w:szCs w:val="18"/>
          <w:lang w:val="es-ES_tradnl"/>
        </w:rPr>
        <w:t>La Sala de Admisi</w:t>
      </w:r>
      <w:r>
        <w:rPr>
          <w:rFonts w:cs="Times New Roman"/>
          <w:spacing w:val="-6"/>
          <w:sz w:val="18"/>
          <w:szCs w:val="18"/>
          <w:lang w:val="es-ES_tradnl"/>
        </w:rPr>
        <w:t>ó</w:t>
      </w:r>
      <w:r>
        <w:rPr>
          <w:spacing w:val="-6"/>
          <w:sz w:val="18"/>
          <w:szCs w:val="18"/>
          <w:lang w:val="es-ES_tradnl"/>
        </w:rPr>
        <w:t xml:space="preserve">n de la Corte Constitucional integrada </w:t>
      </w:r>
      <w:r>
        <w:rPr>
          <w:spacing w:val="-7"/>
          <w:sz w:val="18"/>
          <w:szCs w:val="18"/>
          <w:lang w:val="es-ES_tradnl"/>
        </w:rPr>
        <w:t>por los jueces constitucionales Tatiana Orde</w:t>
      </w:r>
      <w:r>
        <w:rPr>
          <w:rFonts w:cs="Times New Roman"/>
          <w:spacing w:val="-7"/>
          <w:sz w:val="18"/>
          <w:szCs w:val="18"/>
          <w:lang w:val="es-ES_tradnl"/>
        </w:rPr>
        <w:t>ñ</w:t>
      </w:r>
      <w:r>
        <w:rPr>
          <w:spacing w:val="-7"/>
          <w:sz w:val="18"/>
          <w:szCs w:val="18"/>
          <w:lang w:val="es-ES_tradnl"/>
        </w:rPr>
        <w:t xml:space="preserve">ana Sierra, </w:t>
      </w:r>
      <w:r>
        <w:rPr>
          <w:spacing w:val="-6"/>
          <w:sz w:val="18"/>
          <w:szCs w:val="18"/>
          <w:lang w:val="es-ES_tradnl"/>
        </w:rPr>
        <w:t>Mar</w:t>
      </w:r>
      <w:r>
        <w:rPr>
          <w:rFonts w:cs="Times New Roman"/>
          <w:spacing w:val="-6"/>
          <w:sz w:val="18"/>
          <w:szCs w:val="18"/>
          <w:lang w:val="es-ES_tradnl"/>
        </w:rPr>
        <w:t>í</w:t>
      </w:r>
      <w:r>
        <w:rPr>
          <w:spacing w:val="-6"/>
          <w:sz w:val="18"/>
          <w:szCs w:val="18"/>
          <w:lang w:val="es-ES_tradnl"/>
        </w:rPr>
        <w:t>a del Carmen Maldonado y Fabi</w:t>
      </w:r>
      <w:r>
        <w:rPr>
          <w:rFonts w:cs="Times New Roman"/>
          <w:spacing w:val="-6"/>
          <w:sz w:val="18"/>
          <w:szCs w:val="18"/>
          <w:lang w:val="es-ES_tradnl"/>
        </w:rPr>
        <w:t>á</w:t>
      </w:r>
      <w:r>
        <w:rPr>
          <w:spacing w:val="-6"/>
          <w:sz w:val="18"/>
          <w:szCs w:val="18"/>
          <w:lang w:val="es-ES_tradnl"/>
        </w:rPr>
        <w:t xml:space="preserve">n Marcelo Jaramillo Villa en ejercicio de sus competencias, mediante auto expedido el 12 de marzo de 2013 a las 13h19, </w:t>
      </w:r>
      <w:r>
        <w:rPr>
          <w:rFonts w:cs="Times New Roman"/>
          <w:spacing w:val="-6"/>
          <w:sz w:val="18"/>
          <w:szCs w:val="18"/>
          <w:lang w:val="es-ES_tradnl"/>
        </w:rPr>
        <w:t>“</w:t>
      </w:r>
      <w:r>
        <w:rPr>
          <w:spacing w:val="-6"/>
          <w:sz w:val="18"/>
          <w:szCs w:val="18"/>
          <w:lang w:val="es-ES_tradnl"/>
        </w:rPr>
        <w:t>(</w:t>
      </w:r>
      <w:r>
        <w:rPr>
          <w:rFonts w:cs="Times New Roman"/>
          <w:spacing w:val="-6"/>
          <w:sz w:val="18"/>
          <w:szCs w:val="18"/>
          <w:lang w:val="es-ES_tradnl"/>
        </w:rPr>
        <w:t>…</w:t>
      </w:r>
      <w:r>
        <w:rPr>
          <w:spacing w:val="-6"/>
          <w:sz w:val="18"/>
          <w:szCs w:val="18"/>
          <w:lang w:val="es-ES_tradnl"/>
        </w:rPr>
        <w:t xml:space="preserve">) esta </w:t>
      </w:r>
      <w:r>
        <w:rPr>
          <w:spacing w:val="-5"/>
          <w:sz w:val="18"/>
          <w:szCs w:val="18"/>
          <w:lang w:val="es-ES_tradnl"/>
        </w:rPr>
        <w:t xml:space="preserve">Sala, </w:t>
      </w:r>
      <w:r>
        <w:rPr>
          <w:b/>
          <w:bCs/>
          <w:spacing w:val="-5"/>
          <w:sz w:val="18"/>
          <w:szCs w:val="18"/>
          <w:lang w:val="es-ES_tradnl"/>
        </w:rPr>
        <w:t xml:space="preserve">ADMITE </w:t>
      </w:r>
      <w:r>
        <w:rPr>
          <w:spacing w:val="-5"/>
          <w:sz w:val="18"/>
          <w:szCs w:val="18"/>
          <w:lang w:val="es-ES_tradnl"/>
        </w:rPr>
        <w:t>la acci</w:t>
      </w:r>
      <w:r>
        <w:rPr>
          <w:rFonts w:cs="Times New Roman"/>
          <w:spacing w:val="-5"/>
          <w:sz w:val="18"/>
          <w:szCs w:val="18"/>
          <w:lang w:val="es-ES_tradnl"/>
        </w:rPr>
        <w:t>ó</w:t>
      </w:r>
      <w:r>
        <w:rPr>
          <w:spacing w:val="-5"/>
          <w:sz w:val="18"/>
          <w:szCs w:val="18"/>
          <w:lang w:val="es-ES_tradnl"/>
        </w:rPr>
        <w:t>n extraordinaria de protecci</w:t>
      </w:r>
      <w:r>
        <w:rPr>
          <w:rFonts w:cs="Times New Roman"/>
          <w:spacing w:val="-5"/>
          <w:sz w:val="18"/>
          <w:szCs w:val="18"/>
          <w:lang w:val="es-ES_tradnl"/>
        </w:rPr>
        <w:t>ó</w:t>
      </w:r>
      <w:r>
        <w:rPr>
          <w:spacing w:val="-5"/>
          <w:sz w:val="18"/>
          <w:szCs w:val="18"/>
          <w:lang w:val="es-ES_tradnl"/>
        </w:rPr>
        <w:t xml:space="preserve">n No. 1496-12-EP, sin que esto implique un pronunciamiento </w:t>
      </w:r>
      <w:r>
        <w:rPr>
          <w:spacing w:val="-6"/>
          <w:sz w:val="18"/>
          <w:szCs w:val="18"/>
          <w:lang w:val="es-ES_tradnl"/>
        </w:rPr>
        <w:t>respecto de la pretensi</w:t>
      </w:r>
      <w:r>
        <w:rPr>
          <w:rFonts w:cs="Times New Roman"/>
          <w:spacing w:val="-6"/>
          <w:sz w:val="18"/>
          <w:szCs w:val="18"/>
          <w:lang w:val="es-ES_tradnl"/>
        </w:rPr>
        <w:t>ó</w:t>
      </w:r>
      <w:r>
        <w:rPr>
          <w:spacing w:val="-6"/>
          <w:sz w:val="18"/>
          <w:szCs w:val="18"/>
          <w:lang w:val="es-ES_tradnl"/>
        </w:rPr>
        <w:t>n</w:t>
      </w:r>
      <w:r>
        <w:rPr>
          <w:rFonts w:cs="Times New Roman"/>
          <w:spacing w:val="-6"/>
          <w:sz w:val="18"/>
          <w:szCs w:val="18"/>
          <w:lang w:val="es-ES_tradnl"/>
        </w:rPr>
        <w:t>”</w:t>
      </w:r>
      <w:r>
        <w:rPr>
          <w:spacing w:val="-6"/>
          <w:sz w:val="18"/>
          <w:szCs w:val="18"/>
          <w:lang w:val="es-ES_tradnl"/>
        </w:rPr>
        <w:t xml:space="preserve"> (fojas 4 y 5 del expediente </w:t>
      </w:r>
      <w:r>
        <w:rPr>
          <w:sz w:val="18"/>
          <w:szCs w:val="18"/>
          <w:lang w:val="es-ES_tradnl"/>
        </w:rPr>
        <w:t>constitucional).</w:t>
      </w:r>
    </w:p>
    <w:p w14:paraId="4F67B414" w14:textId="77777777" w:rsidR="00591D54" w:rsidRDefault="00591D54">
      <w:pPr>
        <w:shd w:val="clear" w:color="auto" w:fill="FFFFFF"/>
        <w:spacing w:before="192" w:line="216" w:lineRule="exact"/>
        <w:jc w:val="both"/>
      </w:pPr>
      <w:r>
        <w:rPr>
          <w:sz w:val="18"/>
          <w:szCs w:val="18"/>
          <w:lang w:val="es-ES_tradnl"/>
        </w:rPr>
        <w:t xml:space="preserve">De conformidad con el sorteo realizado por el Pleno </w:t>
      </w:r>
      <w:r>
        <w:rPr>
          <w:spacing w:val="-2"/>
          <w:sz w:val="18"/>
          <w:szCs w:val="18"/>
          <w:lang w:val="es-ES_tradnl"/>
        </w:rPr>
        <w:t>de la Corte Constitucional en sesi</w:t>
      </w:r>
      <w:r>
        <w:rPr>
          <w:rFonts w:cs="Times New Roman"/>
          <w:spacing w:val="-2"/>
          <w:sz w:val="18"/>
          <w:szCs w:val="18"/>
          <w:lang w:val="es-ES_tradnl"/>
        </w:rPr>
        <w:t>ó</w:t>
      </w:r>
      <w:r>
        <w:rPr>
          <w:spacing w:val="-2"/>
          <w:sz w:val="18"/>
          <w:szCs w:val="18"/>
          <w:lang w:val="es-ES_tradnl"/>
        </w:rPr>
        <w:t xml:space="preserve">n extraordinaria del </w:t>
      </w:r>
      <w:r>
        <w:rPr>
          <w:spacing w:val="-6"/>
          <w:sz w:val="18"/>
          <w:szCs w:val="18"/>
          <w:lang w:val="es-ES_tradnl"/>
        </w:rPr>
        <w:t>23 de abril de 2013, como se desprende del memorando N.</w:t>
      </w:r>
      <w:r>
        <w:rPr>
          <w:rFonts w:cs="Times New Roman"/>
          <w:spacing w:val="-6"/>
          <w:sz w:val="18"/>
          <w:szCs w:val="18"/>
          <w:lang w:val="es-ES_tradnl"/>
        </w:rPr>
        <w:t>º</w:t>
      </w:r>
      <w:r>
        <w:rPr>
          <w:spacing w:val="-6"/>
          <w:sz w:val="18"/>
          <w:szCs w:val="18"/>
          <w:lang w:val="es-ES_tradnl"/>
        </w:rPr>
        <w:t xml:space="preserve"> 191-CCE-SG-SUS-2013 del 24 de abril de 2013, le </w:t>
      </w:r>
      <w:r>
        <w:rPr>
          <w:spacing w:val="-2"/>
          <w:sz w:val="18"/>
          <w:szCs w:val="18"/>
          <w:lang w:val="es-ES_tradnl"/>
        </w:rPr>
        <w:t>correspondi</w:t>
      </w:r>
      <w:r>
        <w:rPr>
          <w:rFonts w:cs="Times New Roman"/>
          <w:spacing w:val="-2"/>
          <w:sz w:val="18"/>
          <w:szCs w:val="18"/>
          <w:lang w:val="es-ES_tradnl"/>
        </w:rPr>
        <w:t>ó</w:t>
      </w:r>
      <w:r>
        <w:rPr>
          <w:spacing w:val="-2"/>
          <w:sz w:val="18"/>
          <w:szCs w:val="18"/>
          <w:lang w:val="es-ES_tradnl"/>
        </w:rPr>
        <w:t xml:space="preserve"> al juez constitucional Antonio Gagliardo </w:t>
      </w:r>
      <w:r>
        <w:rPr>
          <w:spacing w:val="-7"/>
          <w:sz w:val="18"/>
          <w:szCs w:val="18"/>
          <w:lang w:val="es-ES_tradnl"/>
        </w:rPr>
        <w:t>Loor la sustanciaci</w:t>
      </w:r>
      <w:r>
        <w:rPr>
          <w:rFonts w:cs="Times New Roman"/>
          <w:spacing w:val="-7"/>
          <w:sz w:val="18"/>
          <w:szCs w:val="18"/>
          <w:lang w:val="es-ES_tradnl"/>
        </w:rPr>
        <w:t>ó</w:t>
      </w:r>
      <w:r>
        <w:rPr>
          <w:spacing w:val="-7"/>
          <w:sz w:val="18"/>
          <w:szCs w:val="18"/>
          <w:lang w:val="es-ES_tradnl"/>
        </w:rPr>
        <w:t>n del presente expediente. El juez sustanciador avoc</w:t>
      </w:r>
      <w:r>
        <w:rPr>
          <w:rFonts w:cs="Times New Roman"/>
          <w:spacing w:val="-7"/>
          <w:sz w:val="18"/>
          <w:szCs w:val="18"/>
          <w:lang w:val="es-ES_tradnl"/>
        </w:rPr>
        <w:t>ó</w:t>
      </w:r>
      <w:r>
        <w:rPr>
          <w:spacing w:val="-7"/>
          <w:sz w:val="18"/>
          <w:szCs w:val="18"/>
          <w:lang w:val="es-ES_tradnl"/>
        </w:rPr>
        <w:t xml:space="preserve"> conocimiento de la causa N.</w:t>
      </w:r>
      <w:r>
        <w:rPr>
          <w:rFonts w:cs="Times New Roman"/>
          <w:spacing w:val="-7"/>
          <w:sz w:val="18"/>
          <w:szCs w:val="18"/>
          <w:lang w:val="es-ES_tradnl"/>
        </w:rPr>
        <w:t>º</w:t>
      </w:r>
      <w:r>
        <w:rPr>
          <w:spacing w:val="-7"/>
          <w:sz w:val="18"/>
          <w:szCs w:val="18"/>
          <w:lang w:val="es-ES_tradnl"/>
        </w:rPr>
        <w:t xml:space="preserve"> 1496-12-EP y mediante providencia emitida el 22 de octubre de </w:t>
      </w:r>
      <w:r>
        <w:rPr>
          <w:spacing w:val="-8"/>
          <w:sz w:val="18"/>
          <w:szCs w:val="18"/>
          <w:lang w:val="es-ES_tradnl"/>
        </w:rPr>
        <w:t xml:space="preserve">2013 a las 10h10, dispuso se notifique con el contenido de </w:t>
      </w:r>
      <w:r>
        <w:rPr>
          <w:spacing w:val="-7"/>
          <w:sz w:val="18"/>
          <w:szCs w:val="18"/>
          <w:lang w:val="es-ES_tradnl"/>
        </w:rPr>
        <w:t xml:space="preserve">este auto y la demanda respectiva a las partes procesales a los jueces de la Primera Sala de lo Laboral de la Corte </w:t>
      </w:r>
      <w:r>
        <w:rPr>
          <w:spacing w:val="-6"/>
          <w:sz w:val="18"/>
          <w:szCs w:val="18"/>
          <w:lang w:val="es-ES_tradnl"/>
        </w:rPr>
        <w:t xml:space="preserve">Provincial de Justicia del Guayas con la finalidad de que </w:t>
      </w:r>
      <w:r>
        <w:rPr>
          <w:spacing w:val="-7"/>
          <w:sz w:val="18"/>
          <w:szCs w:val="18"/>
          <w:lang w:val="es-ES_tradnl"/>
        </w:rPr>
        <w:t xml:space="preserve">presenten un informe de descargo dentro de un plazo de </w:t>
      </w:r>
      <w:r>
        <w:rPr>
          <w:spacing w:val="-8"/>
          <w:sz w:val="18"/>
          <w:szCs w:val="18"/>
          <w:lang w:val="es-ES_tradnl"/>
        </w:rPr>
        <w:t>siete d</w:t>
      </w:r>
      <w:r>
        <w:rPr>
          <w:rFonts w:cs="Times New Roman"/>
          <w:spacing w:val="-8"/>
          <w:sz w:val="18"/>
          <w:szCs w:val="18"/>
          <w:lang w:val="es-ES_tradnl"/>
        </w:rPr>
        <w:t>í</w:t>
      </w:r>
      <w:r>
        <w:rPr>
          <w:spacing w:val="-8"/>
          <w:sz w:val="18"/>
          <w:szCs w:val="18"/>
          <w:lang w:val="es-ES_tradnl"/>
        </w:rPr>
        <w:t>as as</w:t>
      </w:r>
      <w:r>
        <w:rPr>
          <w:rFonts w:cs="Times New Roman"/>
          <w:spacing w:val="-8"/>
          <w:sz w:val="18"/>
          <w:szCs w:val="18"/>
          <w:lang w:val="es-ES_tradnl"/>
        </w:rPr>
        <w:t>í</w:t>
      </w:r>
      <w:r>
        <w:rPr>
          <w:spacing w:val="-8"/>
          <w:sz w:val="18"/>
          <w:szCs w:val="18"/>
          <w:lang w:val="es-ES_tradnl"/>
        </w:rPr>
        <w:t xml:space="preserve"> tambi</w:t>
      </w:r>
      <w:r>
        <w:rPr>
          <w:rFonts w:cs="Times New Roman"/>
          <w:spacing w:val="-8"/>
          <w:sz w:val="18"/>
          <w:szCs w:val="18"/>
          <w:lang w:val="es-ES_tradnl"/>
        </w:rPr>
        <w:t>é</w:t>
      </w:r>
      <w:r>
        <w:rPr>
          <w:spacing w:val="-8"/>
          <w:sz w:val="18"/>
          <w:szCs w:val="18"/>
          <w:lang w:val="es-ES_tradnl"/>
        </w:rPr>
        <w:t xml:space="preserve">n, se hizo conocer con el contenido de </w:t>
      </w:r>
      <w:r>
        <w:rPr>
          <w:spacing w:val="-9"/>
          <w:sz w:val="18"/>
          <w:szCs w:val="18"/>
          <w:lang w:val="es-ES_tradnl"/>
        </w:rPr>
        <w:t xml:space="preserve">la demanda y de este auto al procurador general del Estado </w:t>
      </w:r>
      <w:r>
        <w:rPr>
          <w:sz w:val="18"/>
          <w:szCs w:val="18"/>
          <w:lang w:val="es-ES_tradnl"/>
        </w:rPr>
        <w:t>(fojas 12 del expediente constitucional).</w:t>
      </w:r>
    </w:p>
    <w:p w14:paraId="4F67B415" w14:textId="77777777" w:rsidR="00591D54" w:rsidRDefault="00591D54">
      <w:pPr>
        <w:shd w:val="clear" w:color="auto" w:fill="FFFFFF"/>
        <w:spacing w:before="192"/>
      </w:pPr>
      <w:r>
        <w:rPr>
          <w:b/>
          <w:bCs/>
          <w:spacing w:val="-8"/>
          <w:sz w:val="18"/>
          <w:szCs w:val="18"/>
          <w:lang w:val="es-ES_tradnl"/>
        </w:rPr>
        <w:t>Decisi</w:t>
      </w:r>
      <w:r>
        <w:rPr>
          <w:rFonts w:cs="Times New Roman"/>
          <w:b/>
          <w:bCs/>
          <w:spacing w:val="-8"/>
          <w:sz w:val="18"/>
          <w:szCs w:val="18"/>
          <w:lang w:val="es-ES_tradnl"/>
        </w:rPr>
        <w:t>ó</w:t>
      </w:r>
      <w:r>
        <w:rPr>
          <w:b/>
          <w:bCs/>
          <w:spacing w:val="-8"/>
          <w:sz w:val="18"/>
          <w:szCs w:val="18"/>
          <w:lang w:val="es-ES_tradnl"/>
        </w:rPr>
        <w:t>n judicial impugnada</w:t>
      </w:r>
    </w:p>
    <w:p w14:paraId="4F67B416" w14:textId="77777777" w:rsidR="00591D54" w:rsidRDefault="00591D54">
      <w:pPr>
        <w:shd w:val="clear" w:color="auto" w:fill="FFFFFF"/>
        <w:spacing w:before="192" w:line="216" w:lineRule="exact"/>
        <w:jc w:val="both"/>
      </w:pPr>
      <w:r>
        <w:rPr>
          <w:sz w:val="18"/>
          <w:szCs w:val="18"/>
          <w:lang w:val="es-ES_tradnl"/>
        </w:rPr>
        <w:t xml:space="preserve">La sentencia impugnada es la dictada por los jueces </w:t>
      </w:r>
      <w:r>
        <w:rPr>
          <w:spacing w:val="-5"/>
          <w:sz w:val="18"/>
          <w:szCs w:val="18"/>
          <w:lang w:val="es-ES_tradnl"/>
        </w:rPr>
        <w:t>de mayor</w:t>
      </w:r>
      <w:r>
        <w:rPr>
          <w:rFonts w:cs="Times New Roman"/>
          <w:spacing w:val="-5"/>
          <w:sz w:val="18"/>
          <w:szCs w:val="18"/>
          <w:lang w:val="es-ES_tradnl"/>
        </w:rPr>
        <w:t>í</w:t>
      </w:r>
      <w:r>
        <w:rPr>
          <w:spacing w:val="-5"/>
          <w:sz w:val="18"/>
          <w:szCs w:val="18"/>
          <w:lang w:val="es-ES_tradnl"/>
        </w:rPr>
        <w:t>a de la Primera Sala de lo Laboral, Ni</w:t>
      </w:r>
      <w:r>
        <w:rPr>
          <w:rFonts w:cs="Times New Roman"/>
          <w:spacing w:val="-5"/>
          <w:sz w:val="18"/>
          <w:szCs w:val="18"/>
          <w:lang w:val="es-ES_tradnl"/>
        </w:rPr>
        <w:t>ñ</w:t>
      </w:r>
      <w:r>
        <w:rPr>
          <w:spacing w:val="-5"/>
          <w:sz w:val="18"/>
          <w:szCs w:val="18"/>
          <w:lang w:val="es-ES_tradnl"/>
        </w:rPr>
        <w:t xml:space="preserve">ez y </w:t>
      </w:r>
      <w:r>
        <w:rPr>
          <w:spacing w:val="-8"/>
          <w:sz w:val="18"/>
          <w:szCs w:val="18"/>
          <w:lang w:val="es-ES_tradnl"/>
        </w:rPr>
        <w:t xml:space="preserve">Adolescencia de la Corte Provincial de Justicia del Guayas </w:t>
      </w:r>
      <w:r>
        <w:rPr>
          <w:spacing w:val="-11"/>
          <w:sz w:val="18"/>
          <w:szCs w:val="18"/>
          <w:lang w:val="es-ES_tradnl"/>
        </w:rPr>
        <w:t xml:space="preserve">el 02 de abril de 2012 a las 11h45, que en su parte pertinente </w:t>
      </w:r>
      <w:r>
        <w:rPr>
          <w:sz w:val="18"/>
          <w:szCs w:val="18"/>
          <w:lang w:val="es-ES_tradnl"/>
        </w:rPr>
        <w:t>dice lo siguiente:</w:t>
      </w:r>
    </w:p>
    <w:p w14:paraId="4F67B417" w14:textId="77777777" w:rsidR="00591D54" w:rsidRDefault="00591D54">
      <w:pPr>
        <w:shd w:val="clear" w:color="auto" w:fill="FFFFFF"/>
        <w:spacing w:before="206" w:line="216" w:lineRule="exact"/>
        <w:ind w:left="283" w:right="5"/>
        <w:jc w:val="both"/>
      </w:pPr>
      <w:r>
        <w:rPr>
          <w:b/>
          <w:bCs/>
          <w:spacing w:val="-1"/>
          <w:sz w:val="16"/>
          <w:szCs w:val="16"/>
          <w:lang w:val="es-ES_tradnl"/>
        </w:rPr>
        <w:t xml:space="preserve">VISTOS: </w:t>
      </w:r>
      <w:r>
        <w:rPr>
          <w:spacing w:val="-1"/>
          <w:sz w:val="16"/>
          <w:szCs w:val="16"/>
          <w:lang w:val="es-ES_tradnl"/>
        </w:rPr>
        <w:t>(</w:t>
      </w:r>
      <w:r>
        <w:rPr>
          <w:rFonts w:cs="Times New Roman"/>
          <w:spacing w:val="-1"/>
          <w:sz w:val="16"/>
          <w:szCs w:val="16"/>
          <w:lang w:val="es-ES_tradnl"/>
        </w:rPr>
        <w:t>…</w:t>
      </w:r>
      <w:r>
        <w:rPr>
          <w:spacing w:val="-1"/>
          <w:sz w:val="16"/>
          <w:szCs w:val="16"/>
          <w:lang w:val="es-ES_tradnl"/>
        </w:rPr>
        <w:t xml:space="preserve">) </w:t>
      </w:r>
      <w:r>
        <w:rPr>
          <w:b/>
          <w:bCs/>
          <w:spacing w:val="-1"/>
          <w:sz w:val="16"/>
          <w:szCs w:val="16"/>
          <w:lang w:val="es-ES_tradnl"/>
        </w:rPr>
        <w:t xml:space="preserve">SEXTO: </w:t>
      </w:r>
      <w:r>
        <w:rPr>
          <w:spacing w:val="-1"/>
          <w:sz w:val="16"/>
          <w:szCs w:val="16"/>
          <w:lang w:val="es-ES_tradnl"/>
        </w:rPr>
        <w:t>(</w:t>
      </w:r>
      <w:r>
        <w:rPr>
          <w:rFonts w:cs="Times New Roman"/>
          <w:spacing w:val="-1"/>
          <w:sz w:val="16"/>
          <w:szCs w:val="16"/>
          <w:lang w:val="es-ES_tradnl"/>
        </w:rPr>
        <w:t>…</w:t>
      </w:r>
      <w:r>
        <w:rPr>
          <w:spacing w:val="-1"/>
          <w:sz w:val="16"/>
          <w:szCs w:val="16"/>
          <w:lang w:val="es-ES_tradnl"/>
        </w:rPr>
        <w:t>) consta la acci</w:t>
      </w:r>
      <w:r>
        <w:rPr>
          <w:rFonts w:cs="Times New Roman"/>
          <w:spacing w:val="-1"/>
          <w:sz w:val="16"/>
          <w:szCs w:val="16"/>
          <w:lang w:val="es-ES_tradnl"/>
        </w:rPr>
        <w:t>ó</w:t>
      </w:r>
      <w:r>
        <w:rPr>
          <w:spacing w:val="-1"/>
          <w:sz w:val="16"/>
          <w:szCs w:val="16"/>
          <w:lang w:val="es-ES_tradnl"/>
        </w:rPr>
        <w:t xml:space="preserve">n de la </w:t>
      </w:r>
      <w:r>
        <w:rPr>
          <w:spacing w:val="-10"/>
          <w:sz w:val="16"/>
          <w:szCs w:val="16"/>
          <w:lang w:val="es-ES_tradnl"/>
        </w:rPr>
        <w:t>Superintendencia de Compa</w:t>
      </w:r>
      <w:r>
        <w:rPr>
          <w:rFonts w:cs="Times New Roman"/>
          <w:spacing w:val="-10"/>
          <w:sz w:val="16"/>
          <w:szCs w:val="16"/>
          <w:lang w:val="es-ES_tradnl"/>
        </w:rPr>
        <w:t>ñí</w:t>
      </w:r>
      <w:r>
        <w:rPr>
          <w:spacing w:val="-10"/>
          <w:sz w:val="16"/>
          <w:szCs w:val="16"/>
          <w:lang w:val="es-ES_tradnl"/>
        </w:rPr>
        <w:t xml:space="preserve">as que claramente busca impedir </w:t>
      </w:r>
      <w:r>
        <w:rPr>
          <w:spacing w:val="-8"/>
          <w:sz w:val="16"/>
          <w:szCs w:val="16"/>
          <w:lang w:val="es-ES_tradnl"/>
        </w:rPr>
        <w:t>el normal decurso de las unciones de la instituci</w:t>
      </w:r>
      <w:r>
        <w:rPr>
          <w:rFonts w:cs="Times New Roman"/>
          <w:spacing w:val="-8"/>
          <w:sz w:val="16"/>
          <w:szCs w:val="16"/>
          <w:lang w:val="es-ES_tradnl"/>
        </w:rPr>
        <w:t>ó</w:t>
      </w:r>
      <w:r>
        <w:rPr>
          <w:spacing w:val="-8"/>
          <w:sz w:val="16"/>
          <w:szCs w:val="16"/>
          <w:lang w:val="es-ES_tradnl"/>
        </w:rPr>
        <w:t xml:space="preserve">n accionante, </w:t>
      </w:r>
      <w:r>
        <w:rPr>
          <w:spacing w:val="-7"/>
          <w:sz w:val="16"/>
          <w:szCs w:val="16"/>
          <w:lang w:val="es-ES_tradnl"/>
        </w:rPr>
        <w:t>sin fundamentaci</w:t>
      </w:r>
      <w:r>
        <w:rPr>
          <w:rFonts w:cs="Times New Roman"/>
          <w:spacing w:val="-7"/>
          <w:sz w:val="16"/>
          <w:szCs w:val="16"/>
          <w:lang w:val="es-ES_tradnl"/>
        </w:rPr>
        <w:t>ó</w:t>
      </w:r>
      <w:r>
        <w:rPr>
          <w:spacing w:val="-7"/>
          <w:sz w:val="16"/>
          <w:szCs w:val="16"/>
          <w:lang w:val="es-ES_tradnl"/>
        </w:rPr>
        <w:t xml:space="preserve">n legal alguna y teniendo como base una </w:t>
      </w:r>
      <w:r>
        <w:rPr>
          <w:spacing w:val="-9"/>
          <w:sz w:val="16"/>
          <w:szCs w:val="16"/>
          <w:lang w:val="es-ES_tradnl"/>
        </w:rPr>
        <w:t>denuncia que deb</w:t>
      </w:r>
      <w:r>
        <w:rPr>
          <w:rFonts w:cs="Times New Roman"/>
          <w:spacing w:val="-9"/>
          <w:sz w:val="16"/>
          <w:szCs w:val="16"/>
          <w:lang w:val="es-ES_tradnl"/>
        </w:rPr>
        <w:t>í</w:t>
      </w:r>
      <w:r>
        <w:rPr>
          <w:spacing w:val="-9"/>
          <w:sz w:val="16"/>
          <w:szCs w:val="16"/>
          <w:lang w:val="es-ES_tradnl"/>
        </w:rPr>
        <w:t xml:space="preserve">a haber sido revisada mediante convocatoria </w:t>
      </w:r>
      <w:r>
        <w:rPr>
          <w:spacing w:val="-12"/>
          <w:sz w:val="16"/>
          <w:szCs w:val="16"/>
          <w:lang w:val="es-ES_tradnl"/>
        </w:rPr>
        <w:t>a la Junta General de accionistas; y adem</w:t>
      </w:r>
      <w:r>
        <w:rPr>
          <w:rFonts w:cs="Times New Roman"/>
          <w:spacing w:val="-12"/>
          <w:sz w:val="16"/>
          <w:szCs w:val="16"/>
          <w:lang w:val="es-ES_tradnl"/>
        </w:rPr>
        <w:t>á</w:t>
      </w:r>
      <w:r>
        <w:rPr>
          <w:spacing w:val="-12"/>
          <w:sz w:val="16"/>
          <w:szCs w:val="16"/>
          <w:lang w:val="es-ES_tradnl"/>
        </w:rPr>
        <w:t>s otros mecanismos de</w:t>
      </w:r>
    </w:p>
    <w:p w14:paraId="4F67B418" w14:textId="77777777" w:rsidR="00591D54" w:rsidRDefault="00591D54">
      <w:pPr>
        <w:shd w:val="clear" w:color="auto" w:fill="FFFFFF"/>
        <w:spacing w:line="221" w:lineRule="exact"/>
        <w:ind w:left="283"/>
        <w:jc w:val="both"/>
      </w:pPr>
      <w:r>
        <w:br w:type="column"/>
      </w:r>
      <w:r>
        <w:rPr>
          <w:spacing w:val="-9"/>
          <w:sz w:val="16"/>
          <w:szCs w:val="16"/>
          <w:lang w:val="es-ES_tradnl"/>
        </w:rPr>
        <w:t xml:space="preserve">defensa judicial no son los adecuados para proteger el derecho </w:t>
      </w:r>
      <w:r>
        <w:rPr>
          <w:spacing w:val="-7"/>
          <w:sz w:val="16"/>
          <w:szCs w:val="16"/>
          <w:lang w:val="es-ES_tradnl"/>
        </w:rPr>
        <w:t xml:space="preserve">vulnerado por cuanto existen reiteradas oposiciones por parte </w:t>
      </w:r>
      <w:r>
        <w:rPr>
          <w:spacing w:val="-8"/>
          <w:sz w:val="16"/>
          <w:szCs w:val="16"/>
          <w:lang w:val="es-ES_tradnl"/>
        </w:rPr>
        <w:t>de la Superintendencia de Compa</w:t>
      </w:r>
      <w:r>
        <w:rPr>
          <w:rFonts w:cs="Times New Roman"/>
          <w:spacing w:val="-8"/>
          <w:sz w:val="16"/>
          <w:szCs w:val="16"/>
          <w:lang w:val="es-ES_tradnl"/>
        </w:rPr>
        <w:t>ñí</w:t>
      </w:r>
      <w:r>
        <w:rPr>
          <w:spacing w:val="-8"/>
          <w:sz w:val="16"/>
          <w:szCs w:val="16"/>
          <w:lang w:val="es-ES_tradnl"/>
        </w:rPr>
        <w:t>as y por parte del Juzgado D</w:t>
      </w:r>
      <w:r>
        <w:rPr>
          <w:rFonts w:cs="Times New Roman"/>
          <w:spacing w:val="-8"/>
          <w:sz w:val="16"/>
          <w:szCs w:val="16"/>
          <w:lang w:val="es-ES_tradnl"/>
        </w:rPr>
        <w:t>é</w:t>
      </w:r>
      <w:r>
        <w:rPr>
          <w:spacing w:val="-8"/>
          <w:sz w:val="16"/>
          <w:szCs w:val="16"/>
          <w:lang w:val="es-ES_tradnl"/>
        </w:rPr>
        <w:t>cimo Segundo de la Ni</w:t>
      </w:r>
      <w:r>
        <w:rPr>
          <w:rFonts w:cs="Times New Roman"/>
          <w:spacing w:val="-8"/>
          <w:sz w:val="16"/>
          <w:szCs w:val="16"/>
          <w:lang w:val="es-ES_tradnl"/>
        </w:rPr>
        <w:t>ñ</w:t>
      </w:r>
      <w:r>
        <w:rPr>
          <w:spacing w:val="-8"/>
          <w:sz w:val="16"/>
          <w:szCs w:val="16"/>
          <w:lang w:val="es-ES_tradnl"/>
        </w:rPr>
        <w:t>ez y Adolescencia del Guayas; con tales antecedentes y encontr</w:t>
      </w:r>
      <w:r>
        <w:rPr>
          <w:rFonts w:cs="Times New Roman"/>
          <w:spacing w:val="-8"/>
          <w:sz w:val="16"/>
          <w:szCs w:val="16"/>
          <w:lang w:val="es-ES_tradnl"/>
        </w:rPr>
        <w:t>á</w:t>
      </w:r>
      <w:r>
        <w:rPr>
          <w:spacing w:val="-8"/>
          <w:sz w:val="16"/>
          <w:szCs w:val="16"/>
          <w:lang w:val="es-ES_tradnl"/>
        </w:rPr>
        <w:t xml:space="preserve">ndose el caso citado entre los </w:t>
      </w:r>
      <w:r>
        <w:rPr>
          <w:spacing w:val="-4"/>
          <w:sz w:val="16"/>
          <w:szCs w:val="16"/>
          <w:lang w:val="es-ES_tradnl"/>
        </w:rPr>
        <w:t xml:space="preserve">descritos en el art. 41 de la LOGJCC; esta Primera Sala de </w:t>
      </w:r>
      <w:r>
        <w:rPr>
          <w:spacing w:val="-5"/>
          <w:sz w:val="16"/>
          <w:szCs w:val="16"/>
          <w:lang w:val="es-ES_tradnl"/>
        </w:rPr>
        <w:t>lo Laboral, de la Ni</w:t>
      </w:r>
      <w:r>
        <w:rPr>
          <w:rFonts w:cs="Times New Roman"/>
          <w:spacing w:val="-5"/>
          <w:sz w:val="16"/>
          <w:szCs w:val="16"/>
          <w:lang w:val="es-ES_tradnl"/>
        </w:rPr>
        <w:t>ñ</w:t>
      </w:r>
      <w:r>
        <w:rPr>
          <w:spacing w:val="-5"/>
          <w:sz w:val="16"/>
          <w:szCs w:val="16"/>
          <w:lang w:val="es-ES_tradnl"/>
        </w:rPr>
        <w:t xml:space="preserve">ez y Adolescencia de la Corte Provincial </w:t>
      </w:r>
      <w:r>
        <w:rPr>
          <w:spacing w:val="-3"/>
          <w:sz w:val="16"/>
          <w:szCs w:val="16"/>
          <w:lang w:val="es-ES_tradnl"/>
        </w:rPr>
        <w:t xml:space="preserve">de Justicia del Guayas, </w:t>
      </w:r>
      <w:r>
        <w:rPr>
          <w:b/>
          <w:bCs/>
          <w:spacing w:val="-3"/>
          <w:sz w:val="16"/>
          <w:szCs w:val="16"/>
          <w:lang w:val="es-ES_tradnl"/>
        </w:rPr>
        <w:t xml:space="preserve">ADMINISTRANDO JUSTICIA EN </w:t>
      </w:r>
      <w:r>
        <w:rPr>
          <w:b/>
          <w:bCs/>
          <w:spacing w:val="-1"/>
          <w:sz w:val="16"/>
          <w:szCs w:val="16"/>
          <w:lang w:val="es-ES_tradnl"/>
        </w:rPr>
        <w:t xml:space="preserve">NOMBRE DEL PUEBLO SOBERANO DEL ECUADOR, </w:t>
      </w:r>
      <w:r>
        <w:rPr>
          <w:b/>
          <w:bCs/>
          <w:sz w:val="16"/>
          <w:szCs w:val="16"/>
          <w:lang w:val="es-ES_tradnl"/>
        </w:rPr>
        <w:t xml:space="preserve">Y POR AUTORIDAD DE LA CONSTITUCION Y LAS </w:t>
      </w:r>
      <w:r>
        <w:rPr>
          <w:b/>
          <w:bCs/>
          <w:spacing w:val="-3"/>
          <w:sz w:val="16"/>
          <w:szCs w:val="16"/>
          <w:lang w:val="es-ES_tradnl"/>
        </w:rPr>
        <w:t xml:space="preserve">LEYES DE LA REPUBLICA, ACEPTANDO </w:t>
      </w:r>
      <w:r>
        <w:rPr>
          <w:spacing w:val="-3"/>
          <w:sz w:val="16"/>
          <w:szCs w:val="16"/>
          <w:lang w:val="es-ES_tradnl"/>
        </w:rPr>
        <w:t xml:space="preserve">el recurso de </w:t>
      </w:r>
      <w:r>
        <w:rPr>
          <w:spacing w:val="-6"/>
          <w:sz w:val="16"/>
          <w:szCs w:val="16"/>
          <w:lang w:val="es-ES_tradnl"/>
        </w:rPr>
        <w:t>apelaci</w:t>
      </w:r>
      <w:r>
        <w:rPr>
          <w:rFonts w:cs="Times New Roman"/>
          <w:spacing w:val="-6"/>
          <w:sz w:val="16"/>
          <w:szCs w:val="16"/>
          <w:lang w:val="es-ES_tradnl"/>
        </w:rPr>
        <w:t>ó</w:t>
      </w:r>
      <w:r>
        <w:rPr>
          <w:spacing w:val="-6"/>
          <w:sz w:val="16"/>
          <w:szCs w:val="16"/>
          <w:lang w:val="es-ES_tradnl"/>
        </w:rPr>
        <w:t xml:space="preserve">n interpuesto por la accionante, revoca la sentencia </w:t>
      </w:r>
      <w:r>
        <w:rPr>
          <w:spacing w:val="-8"/>
          <w:sz w:val="16"/>
          <w:szCs w:val="16"/>
          <w:lang w:val="es-ES_tradnl"/>
        </w:rPr>
        <w:t>subida en grado y en consecuencia declara con lugar la acci</w:t>
      </w:r>
      <w:r>
        <w:rPr>
          <w:rFonts w:cs="Times New Roman"/>
          <w:spacing w:val="-8"/>
          <w:sz w:val="16"/>
          <w:szCs w:val="16"/>
          <w:lang w:val="es-ES_tradnl"/>
        </w:rPr>
        <w:t>ó</w:t>
      </w:r>
      <w:r>
        <w:rPr>
          <w:spacing w:val="-8"/>
          <w:sz w:val="16"/>
          <w:szCs w:val="16"/>
          <w:lang w:val="es-ES_tradnl"/>
        </w:rPr>
        <w:t xml:space="preserve">n </w:t>
      </w:r>
      <w:r>
        <w:rPr>
          <w:spacing w:val="-10"/>
          <w:sz w:val="16"/>
          <w:szCs w:val="16"/>
          <w:lang w:val="es-ES_tradnl"/>
        </w:rPr>
        <w:t>de protecci</w:t>
      </w:r>
      <w:r>
        <w:rPr>
          <w:rFonts w:cs="Times New Roman"/>
          <w:spacing w:val="-10"/>
          <w:sz w:val="16"/>
          <w:szCs w:val="16"/>
          <w:lang w:val="es-ES_tradnl"/>
        </w:rPr>
        <w:t>ó</w:t>
      </w:r>
      <w:r>
        <w:rPr>
          <w:spacing w:val="-10"/>
          <w:sz w:val="16"/>
          <w:szCs w:val="16"/>
          <w:lang w:val="es-ES_tradnl"/>
        </w:rPr>
        <w:t>n propuesta por Blanca Cordero Hern</w:t>
      </w:r>
      <w:r>
        <w:rPr>
          <w:rFonts w:cs="Times New Roman"/>
          <w:spacing w:val="-10"/>
          <w:sz w:val="16"/>
          <w:szCs w:val="16"/>
          <w:lang w:val="es-ES_tradnl"/>
        </w:rPr>
        <w:t>á</w:t>
      </w:r>
      <w:r>
        <w:rPr>
          <w:spacing w:val="-10"/>
          <w:sz w:val="16"/>
          <w:szCs w:val="16"/>
          <w:lang w:val="es-ES_tradnl"/>
        </w:rPr>
        <w:t xml:space="preserve">ndez, por los </w:t>
      </w:r>
      <w:r>
        <w:rPr>
          <w:spacing w:val="-8"/>
          <w:sz w:val="16"/>
          <w:szCs w:val="16"/>
          <w:lang w:val="es-ES_tradnl"/>
        </w:rPr>
        <w:t>derechos que representa de la C</w:t>
      </w:r>
      <w:r>
        <w:rPr>
          <w:rFonts w:cs="Times New Roman"/>
          <w:spacing w:val="-8"/>
          <w:sz w:val="16"/>
          <w:szCs w:val="16"/>
          <w:lang w:val="es-ES_tradnl"/>
        </w:rPr>
        <w:t>í</w:t>
      </w:r>
      <w:r>
        <w:rPr>
          <w:spacing w:val="-8"/>
          <w:sz w:val="16"/>
          <w:szCs w:val="16"/>
          <w:lang w:val="es-ES_tradnl"/>
        </w:rPr>
        <w:t xml:space="preserve">a. Piscinas del Ecuador S.A. </w:t>
      </w:r>
      <w:r>
        <w:rPr>
          <w:spacing w:val="-5"/>
          <w:sz w:val="16"/>
          <w:szCs w:val="16"/>
          <w:lang w:val="es-ES_tradnl"/>
        </w:rPr>
        <w:t>PIDESA, dej</w:t>
      </w:r>
      <w:r>
        <w:rPr>
          <w:rFonts w:cs="Times New Roman"/>
          <w:spacing w:val="-5"/>
          <w:sz w:val="16"/>
          <w:szCs w:val="16"/>
          <w:lang w:val="es-ES_tradnl"/>
        </w:rPr>
        <w:t>á</w:t>
      </w:r>
      <w:r>
        <w:rPr>
          <w:spacing w:val="-5"/>
          <w:sz w:val="16"/>
          <w:szCs w:val="16"/>
          <w:lang w:val="es-ES_tradnl"/>
        </w:rPr>
        <w:t>ndose sin efecto la resoluci</w:t>
      </w:r>
      <w:r>
        <w:rPr>
          <w:rFonts w:cs="Times New Roman"/>
          <w:spacing w:val="-5"/>
          <w:sz w:val="16"/>
          <w:szCs w:val="16"/>
          <w:lang w:val="es-ES_tradnl"/>
        </w:rPr>
        <w:t>ó</w:t>
      </w:r>
      <w:r>
        <w:rPr>
          <w:spacing w:val="-5"/>
          <w:sz w:val="16"/>
          <w:szCs w:val="16"/>
          <w:lang w:val="es-ES_tradnl"/>
        </w:rPr>
        <w:t xml:space="preserve">n No. SC.IJ-G-11 </w:t>
      </w:r>
      <w:r>
        <w:rPr>
          <w:spacing w:val="-7"/>
          <w:sz w:val="16"/>
          <w:szCs w:val="16"/>
          <w:lang w:val="es-ES_tradnl"/>
        </w:rPr>
        <w:t>0013 expedida por la Superintendencia de Compa</w:t>
      </w:r>
      <w:r>
        <w:rPr>
          <w:rFonts w:cs="Times New Roman"/>
          <w:spacing w:val="-7"/>
          <w:sz w:val="16"/>
          <w:szCs w:val="16"/>
          <w:lang w:val="es-ES_tradnl"/>
        </w:rPr>
        <w:t>ñí</w:t>
      </w:r>
      <w:r>
        <w:rPr>
          <w:spacing w:val="-7"/>
          <w:sz w:val="16"/>
          <w:szCs w:val="16"/>
          <w:lang w:val="es-ES_tradnl"/>
        </w:rPr>
        <w:t>as (sic).</w:t>
      </w:r>
    </w:p>
    <w:p w14:paraId="4F67B419" w14:textId="77777777" w:rsidR="00591D54" w:rsidRDefault="00591D54">
      <w:pPr>
        <w:shd w:val="clear" w:color="auto" w:fill="FFFFFF"/>
        <w:spacing w:before="202" w:line="226" w:lineRule="exact"/>
        <w:jc w:val="both"/>
      </w:pPr>
      <w:r>
        <w:rPr>
          <w:b/>
          <w:bCs/>
          <w:spacing w:val="-9"/>
          <w:sz w:val="18"/>
          <w:szCs w:val="18"/>
          <w:lang w:val="es-ES_tradnl"/>
        </w:rPr>
        <w:t>Antecedentes que originaron la acci</w:t>
      </w:r>
      <w:r>
        <w:rPr>
          <w:rFonts w:cs="Times New Roman"/>
          <w:b/>
          <w:bCs/>
          <w:spacing w:val="-9"/>
          <w:sz w:val="18"/>
          <w:szCs w:val="18"/>
          <w:lang w:val="es-ES_tradnl"/>
        </w:rPr>
        <w:t>ó</w:t>
      </w:r>
      <w:r>
        <w:rPr>
          <w:b/>
          <w:bCs/>
          <w:spacing w:val="-9"/>
          <w:sz w:val="18"/>
          <w:szCs w:val="18"/>
          <w:lang w:val="es-ES_tradnl"/>
        </w:rPr>
        <w:t>n de protecci</w:t>
      </w:r>
      <w:r>
        <w:rPr>
          <w:rFonts w:cs="Times New Roman"/>
          <w:b/>
          <w:bCs/>
          <w:spacing w:val="-9"/>
          <w:sz w:val="18"/>
          <w:szCs w:val="18"/>
          <w:lang w:val="es-ES_tradnl"/>
        </w:rPr>
        <w:t>ó</w:t>
      </w:r>
      <w:r>
        <w:rPr>
          <w:b/>
          <w:bCs/>
          <w:spacing w:val="-9"/>
          <w:sz w:val="18"/>
          <w:szCs w:val="18"/>
          <w:lang w:val="es-ES_tradnl"/>
        </w:rPr>
        <w:t xml:space="preserve">n y </w:t>
      </w:r>
      <w:r>
        <w:rPr>
          <w:b/>
          <w:bCs/>
          <w:spacing w:val="-10"/>
          <w:sz w:val="18"/>
          <w:szCs w:val="18"/>
          <w:lang w:val="es-ES_tradnl"/>
        </w:rPr>
        <w:t>en consecuencia la acci</w:t>
      </w:r>
      <w:r>
        <w:rPr>
          <w:rFonts w:cs="Times New Roman"/>
          <w:b/>
          <w:bCs/>
          <w:spacing w:val="-10"/>
          <w:sz w:val="18"/>
          <w:szCs w:val="18"/>
          <w:lang w:val="es-ES_tradnl"/>
        </w:rPr>
        <w:t>ó</w:t>
      </w:r>
      <w:r>
        <w:rPr>
          <w:b/>
          <w:bCs/>
          <w:spacing w:val="-10"/>
          <w:sz w:val="18"/>
          <w:szCs w:val="18"/>
          <w:lang w:val="es-ES_tradnl"/>
        </w:rPr>
        <w:t>n extraordinaria de protecci</w:t>
      </w:r>
      <w:r>
        <w:rPr>
          <w:rFonts w:cs="Times New Roman"/>
          <w:b/>
          <w:bCs/>
          <w:spacing w:val="-10"/>
          <w:sz w:val="18"/>
          <w:szCs w:val="18"/>
          <w:lang w:val="es-ES_tradnl"/>
        </w:rPr>
        <w:t>ó</w:t>
      </w:r>
      <w:r>
        <w:rPr>
          <w:b/>
          <w:bCs/>
          <w:spacing w:val="-10"/>
          <w:sz w:val="18"/>
          <w:szCs w:val="18"/>
          <w:lang w:val="es-ES_tradnl"/>
        </w:rPr>
        <w:t>n</w:t>
      </w:r>
    </w:p>
    <w:p w14:paraId="4F67B41A" w14:textId="77777777" w:rsidR="00591D54" w:rsidRDefault="00591D54">
      <w:pPr>
        <w:shd w:val="clear" w:color="auto" w:fill="FFFFFF"/>
        <w:spacing w:before="202" w:line="221" w:lineRule="exact"/>
        <w:jc w:val="both"/>
      </w:pPr>
      <w:r>
        <w:rPr>
          <w:spacing w:val="-4"/>
          <w:sz w:val="18"/>
          <w:szCs w:val="18"/>
          <w:lang w:val="es-ES_tradnl"/>
        </w:rPr>
        <w:t>El se</w:t>
      </w:r>
      <w:r>
        <w:rPr>
          <w:rFonts w:cs="Times New Roman"/>
          <w:spacing w:val="-4"/>
          <w:sz w:val="18"/>
          <w:szCs w:val="18"/>
          <w:lang w:val="es-ES_tradnl"/>
        </w:rPr>
        <w:t>ñ</w:t>
      </w:r>
      <w:r>
        <w:rPr>
          <w:spacing w:val="-4"/>
          <w:sz w:val="18"/>
          <w:szCs w:val="18"/>
          <w:lang w:val="es-ES_tradnl"/>
        </w:rPr>
        <w:t>or Jorge Hern</w:t>
      </w:r>
      <w:r>
        <w:rPr>
          <w:rFonts w:cs="Times New Roman"/>
          <w:spacing w:val="-4"/>
          <w:sz w:val="18"/>
          <w:szCs w:val="18"/>
          <w:lang w:val="es-ES_tradnl"/>
        </w:rPr>
        <w:t>á</w:t>
      </w:r>
      <w:r>
        <w:rPr>
          <w:spacing w:val="-4"/>
          <w:sz w:val="18"/>
          <w:szCs w:val="18"/>
          <w:lang w:val="es-ES_tradnl"/>
        </w:rPr>
        <w:t>n Maura Ru</w:t>
      </w:r>
      <w:r>
        <w:rPr>
          <w:rFonts w:cs="Times New Roman"/>
          <w:spacing w:val="-4"/>
          <w:sz w:val="18"/>
          <w:szCs w:val="18"/>
          <w:lang w:val="es-ES_tradnl"/>
        </w:rPr>
        <w:t>í</w:t>
      </w:r>
      <w:r>
        <w:rPr>
          <w:spacing w:val="-4"/>
          <w:sz w:val="18"/>
          <w:szCs w:val="18"/>
          <w:lang w:val="es-ES_tradnl"/>
        </w:rPr>
        <w:t>z due</w:t>
      </w:r>
      <w:r>
        <w:rPr>
          <w:rFonts w:cs="Times New Roman"/>
          <w:spacing w:val="-4"/>
          <w:sz w:val="18"/>
          <w:szCs w:val="18"/>
          <w:lang w:val="es-ES_tradnl"/>
        </w:rPr>
        <w:t>ñ</w:t>
      </w:r>
      <w:r>
        <w:rPr>
          <w:spacing w:val="-4"/>
          <w:sz w:val="18"/>
          <w:szCs w:val="18"/>
          <w:lang w:val="es-ES_tradnl"/>
        </w:rPr>
        <w:t xml:space="preserve">o de varias </w:t>
      </w:r>
      <w:r>
        <w:rPr>
          <w:spacing w:val="-10"/>
          <w:sz w:val="18"/>
          <w:szCs w:val="18"/>
          <w:lang w:val="es-ES_tradnl"/>
        </w:rPr>
        <w:t>compa</w:t>
      </w:r>
      <w:r>
        <w:rPr>
          <w:rFonts w:cs="Times New Roman"/>
          <w:spacing w:val="-10"/>
          <w:sz w:val="18"/>
          <w:szCs w:val="18"/>
          <w:lang w:val="es-ES_tradnl"/>
        </w:rPr>
        <w:t>ñí</w:t>
      </w:r>
      <w:r>
        <w:rPr>
          <w:spacing w:val="-10"/>
          <w:sz w:val="18"/>
          <w:szCs w:val="18"/>
          <w:lang w:val="es-ES_tradnl"/>
        </w:rPr>
        <w:t xml:space="preserve">as entre ellas, Piscinas del Ecuador S. A. (PIDESA), </w:t>
      </w:r>
      <w:r>
        <w:rPr>
          <w:spacing w:val="-4"/>
          <w:sz w:val="18"/>
          <w:szCs w:val="18"/>
          <w:lang w:val="es-ES_tradnl"/>
        </w:rPr>
        <w:t>tuvo una relaci</w:t>
      </w:r>
      <w:r>
        <w:rPr>
          <w:rFonts w:cs="Times New Roman"/>
          <w:spacing w:val="-4"/>
          <w:sz w:val="18"/>
          <w:szCs w:val="18"/>
          <w:lang w:val="es-ES_tradnl"/>
        </w:rPr>
        <w:t>ó</w:t>
      </w:r>
      <w:r>
        <w:rPr>
          <w:spacing w:val="-4"/>
          <w:sz w:val="18"/>
          <w:szCs w:val="18"/>
          <w:lang w:val="es-ES_tradnl"/>
        </w:rPr>
        <w:t>n extramatrimonial con la se</w:t>
      </w:r>
      <w:r>
        <w:rPr>
          <w:rFonts w:cs="Times New Roman"/>
          <w:spacing w:val="-4"/>
          <w:sz w:val="18"/>
          <w:szCs w:val="18"/>
          <w:lang w:val="es-ES_tradnl"/>
        </w:rPr>
        <w:t>ñ</w:t>
      </w:r>
      <w:r>
        <w:rPr>
          <w:spacing w:val="-4"/>
          <w:sz w:val="18"/>
          <w:szCs w:val="18"/>
          <w:lang w:val="es-ES_tradnl"/>
        </w:rPr>
        <w:t xml:space="preserve">orita Zoila </w:t>
      </w:r>
      <w:r>
        <w:rPr>
          <w:spacing w:val="-6"/>
          <w:sz w:val="18"/>
          <w:szCs w:val="18"/>
          <w:lang w:val="es-ES_tradnl"/>
        </w:rPr>
        <w:t>Flori Sanc</w:t>
      </w:r>
      <w:r>
        <w:rPr>
          <w:rFonts w:cs="Times New Roman"/>
          <w:spacing w:val="-6"/>
          <w:sz w:val="18"/>
          <w:szCs w:val="18"/>
          <w:lang w:val="es-ES_tradnl"/>
        </w:rPr>
        <w:t>á</w:t>
      </w:r>
      <w:r>
        <w:rPr>
          <w:spacing w:val="-6"/>
          <w:sz w:val="18"/>
          <w:szCs w:val="18"/>
          <w:lang w:val="es-ES_tradnl"/>
        </w:rPr>
        <w:t>n y fruto de la misma naci</w:t>
      </w:r>
      <w:r>
        <w:rPr>
          <w:rFonts w:cs="Times New Roman"/>
          <w:spacing w:val="-6"/>
          <w:sz w:val="18"/>
          <w:szCs w:val="18"/>
          <w:lang w:val="es-ES_tradnl"/>
        </w:rPr>
        <w:t>ó</w:t>
      </w:r>
      <w:r>
        <w:rPr>
          <w:spacing w:val="-6"/>
          <w:sz w:val="18"/>
          <w:szCs w:val="18"/>
          <w:lang w:val="es-ES_tradnl"/>
        </w:rPr>
        <w:t xml:space="preserve"> el ni</w:t>
      </w:r>
      <w:r>
        <w:rPr>
          <w:rFonts w:cs="Times New Roman"/>
          <w:spacing w:val="-6"/>
          <w:sz w:val="18"/>
          <w:szCs w:val="18"/>
          <w:lang w:val="es-ES_tradnl"/>
        </w:rPr>
        <w:t>ñ</w:t>
      </w:r>
      <w:r>
        <w:rPr>
          <w:spacing w:val="-6"/>
          <w:sz w:val="18"/>
          <w:szCs w:val="18"/>
          <w:lang w:val="es-ES_tradnl"/>
        </w:rPr>
        <w:t>o NN.</w:t>
      </w:r>
    </w:p>
    <w:p w14:paraId="4F67B41B" w14:textId="77777777" w:rsidR="00591D54" w:rsidRDefault="00591D54">
      <w:pPr>
        <w:shd w:val="clear" w:color="auto" w:fill="FFFFFF"/>
        <w:spacing w:before="202" w:line="221" w:lineRule="exact"/>
        <w:jc w:val="both"/>
      </w:pPr>
      <w:r>
        <w:rPr>
          <w:spacing w:val="-9"/>
          <w:sz w:val="18"/>
          <w:szCs w:val="18"/>
          <w:lang w:val="es-ES_tradnl"/>
        </w:rPr>
        <w:t>El 26 de septiembre de 2008, falleci</w:t>
      </w:r>
      <w:r>
        <w:rPr>
          <w:rFonts w:cs="Times New Roman"/>
          <w:spacing w:val="-9"/>
          <w:sz w:val="18"/>
          <w:szCs w:val="18"/>
          <w:lang w:val="es-ES_tradnl"/>
        </w:rPr>
        <w:t>ó</w:t>
      </w:r>
      <w:r>
        <w:rPr>
          <w:spacing w:val="-9"/>
          <w:sz w:val="18"/>
          <w:szCs w:val="18"/>
          <w:lang w:val="es-ES_tradnl"/>
        </w:rPr>
        <w:t xml:space="preserve"> el se</w:t>
      </w:r>
      <w:r>
        <w:rPr>
          <w:rFonts w:cs="Times New Roman"/>
          <w:spacing w:val="-9"/>
          <w:sz w:val="18"/>
          <w:szCs w:val="18"/>
          <w:lang w:val="es-ES_tradnl"/>
        </w:rPr>
        <w:t>ñ</w:t>
      </w:r>
      <w:r>
        <w:rPr>
          <w:spacing w:val="-9"/>
          <w:sz w:val="18"/>
          <w:szCs w:val="18"/>
          <w:lang w:val="es-ES_tradnl"/>
        </w:rPr>
        <w:t xml:space="preserve">or Jorge Maura, </w:t>
      </w:r>
      <w:r>
        <w:rPr>
          <w:spacing w:val="-8"/>
          <w:sz w:val="18"/>
          <w:szCs w:val="18"/>
          <w:lang w:val="es-ES_tradnl"/>
        </w:rPr>
        <w:t>asumiendo el control de las compa</w:t>
      </w:r>
      <w:r>
        <w:rPr>
          <w:rFonts w:cs="Times New Roman"/>
          <w:spacing w:val="-8"/>
          <w:sz w:val="18"/>
          <w:szCs w:val="18"/>
          <w:lang w:val="es-ES_tradnl"/>
        </w:rPr>
        <w:t>ñí</w:t>
      </w:r>
      <w:r>
        <w:rPr>
          <w:spacing w:val="-8"/>
          <w:sz w:val="18"/>
          <w:szCs w:val="18"/>
          <w:lang w:val="es-ES_tradnl"/>
        </w:rPr>
        <w:t>as la se</w:t>
      </w:r>
      <w:r>
        <w:rPr>
          <w:rFonts w:cs="Times New Roman"/>
          <w:spacing w:val="-8"/>
          <w:sz w:val="18"/>
          <w:szCs w:val="18"/>
          <w:lang w:val="es-ES_tradnl"/>
        </w:rPr>
        <w:t>ñ</w:t>
      </w:r>
      <w:r>
        <w:rPr>
          <w:spacing w:val="-8"/>
          <w:sz w:val="18"/>
          <w:szCs w:val="18"/>
          <w:lang w:val="es-ES_tradnl"/>
        </w:rPr>
        <w:t xml:space="preserve">ora Blanca </w:t>
      </w:r>
      <w:r>
        <w:rPr>
          <w:spacing w:val="-6"/>
          <w:sz w:val="18"/>
          <w:szCs w:val="18"/>
          <w:lang w:val="es-ES_tradnl"/>
        </w:rPr>
        <w:t>Cordero Hern</w:t>
      </w:r>
      <w:r>
        <w:rPr>
          <w:rFonts w:cs="Times New Roman"/>
          <w:spacing w:val="-6"/>
          <w:sz w:val="18"/>
          <w:szCs w:val="18"/>
          <w:lang w:val="es-ES_tradnl"/>
        </w:rPr>
        <w:t>á</w:t>
      </w:r>
      <w:r>
        <w:rPr>
          <w:spacing w:val="-6"/>
          <w:sz w:val="18"/>
          <w:szCs w:val="18"/>
          <w:lang w:val="es-ES_tradnl"/>
        </w:rPr>
        <w:t xml:space="preserve">ndez (viuda de Maura). Al no haberse </w:t>
      </w:r>
      <w:r>
        <w:rPr>
          <w:spacing w:val="-8"/>
          <w:sz w:val="18"/>
          <w:szCs w:val="18"/>
          <w:lang w:val="es-ES_tradnl"/>
        </w:rPr>
        <w:t>considerado como heredero al ni</w:t>
      </w:r>
      <w:r>
        <w:rPr>
          <w:rFonts w:cs="Times New Roman"/>
          <w:spacing w:val="-8"/>
          <w:sz w:val="18"/>
          <w:szCs w:val="18"/>
          <w:lang w:val="es-ES_tradnl"/>
        </w:rPr>
        <w:t>ñ</w:t>
      </w:r>
      <w:r>
        <w:rPr>
          <w:spacing w:val="-8"/>
          <w:sz w:val="18"/>
          <w:szCs w:val="18"/>
          <w:lang w:val="es-ES_tradnl"/>
        </w:rPr>
        <w:t>o NN en las compa</w:t>
      </w:r>
      <w:r>
        <w:rPr>
          <w:rFonts w:cs="Times New Roman"/>
          <w:spacing w:val="-8"/>
          <w:sz w:val="18"/>
          <w:szCs w:val="18"/>
          <w:lang w:val="es-ES_tradnl"/>
        </w:rPr>
        <w:t>ñí</w:t>
      </w:r>
      <w:r>
        <w:rPr>
          <w:spacing w:val="-8"/>
          <w:sz w:val="18"/>
          <w:szCs w:val="18"/>
          <w:lang w:val="es-ES_tradnl"/>
        </w:rPr>
        <w:t xml:space="preserve">as </w:t>
      </w:r>
      <w:r>
        <w:rPr>
          <w:spacing w:val="-5"/>
          <w:sz w:val="18"/>
          <w:szCs w:val="18"/>
          <w:lang w:val="es-ES_tradnl"/>
        </w:rPr>
        <w:t>que ten</w:t>
      </w:r>
      <w:r>
        <w:rPr>
          <w:rFonts w:cs="Times New Roman"/>
          <w:spacing w:val="-5"/>
          <w:sz w:val="18"/>
          <w:szCs w:val="18"/>
          <w:lang w:val="es-ES_tradnl"/>
        </w:rPr>
        <w:t>í</w:t>
      </w:r>
      <w:r>
        <w:rPr>
          <w:spacing w:val="-5"/>
          <w:sz w:val="18"/>
          <w:szCs w:val="18"/>
          <w:lang w:val="es-ES_tradnl"/>
        </w:rPr>
        <w:t>a su padre; su madre, Zoila Flori denunci</w:t>
      </w:r>
      <w:r>
        <w:rPr>
          <w:rFonts w:cs="Times New Roman"/>
          <w:spacing w:val="-5"/>
          <w:sz w:val="18"/>
          <w:szCs w:val="18"/>
          <w:lang w:val="es-ES_tradnl"/>
        </w:rPr>
        <w:t>ó</w:t>
      </w:r>
      <w:r>
        <w:rPr>
          <w:spacing w:val="-5"/>
          <w:sz w:val="18"/>
          <w:szCs w:val="18"/>
          <w:lang w:val="es-ES_tradnl"/>
        </w:rPr>
        <w:t xml:space="preserve"> en la </w:t>
      </w:r>
      <w:r>
        <w:rPr>
          <w:spacing w:val="-8"/>
          <w:sz w:val="18"/>
          <w:szCs w:val="18"/>
          <w:lang w:val="es-ES_tradnl"/>
        </w:rPr>
        <w:t>Superintendencia de Compa</w:t>
      </w:r>
      <w:r>
        <w:rPr>
          <w:rFonts w:cs="Times New Roman"/>
          <w:spacing w:val="-8"/>
          <w:sz w:val="18"/>
          <w:szCs w:val="18"/>
          <w:lang w:val="es-ES_tradnl"/>
        </w:rPr>
        <w:t>ñí</w:t>
      </w:r>
      <w:r>
        <w:rPr>
          <w:spacing w:val="-8"/>
          <w:sz w:val="18"/>
          <w:szCs w:val="18"/>
          <w:lang w:val="es-ES_tradnl"/>
        </w:rPr>
        <w:t xml:space="preserve">as que su hijo no ha recibido </w:t>
      </w:r>
      <w:r>
        <w:rPr>
          <w:spacing w:val="-6"/>
          <w:sz w:val="18"/>
          <w:szCs w:val="18"/>
          <w:lang w:val="es-ES_tradnl"/>
        </w:rPr>
        <w:t>informaci</w:t>
      </w:r>
      <w:r>
        <w:rPr>
          <w:rFonts w:cs="Times New Roman"/>
          <w:spacing w:val="-6"/>
          <w:sz w:val="18"/>
          <w:szCs w:val="18"/>
          <w:lang w:val="es-ES_tradnl"/>
        </w:rPr>
        <w:t>ó</w:t>
      </w:r>
      <w:r>
        <w:rPr>
          <w:spacing w:val="-6"/>
          <w:sz w:val="18"/>
          <w:szCs w:val="18"/>
          <w:lang w:val="es-ES_tradnl"/>
        </w:rPr>
        <w:t xml:space="preserve">n de cuentas, balances, activos y utilidades de </w:t>
      </w:r>
      <w:r>
        <w:rPr>
          <w:spacing w:val="-9"/>
          <w:sz w:val="18"/>
          <w:szCs w:val="18"/>
          <w:lang w:val="es-ES_tradnl"/>
        </w:rPr>
        <w:t>las compa</w:t>
      </w:r>
      <w:r>
        <w:rPr>
          <w:rFonts w:cs="Times New Roman"/>
          <w:spacing w:val="-9"/>
          <w:sz w:val="18"/>
          <w:szCs w:val="18"/>
          <w:lang w:val="es-ES_tradnl"/>
        </w:rPr>
        <w:t>ñí</w:t>
      </w:r>
      <w:r>
        <w:rPr>
          <w:spacing w:val="-9"/>
          <w:sz w:val="18"/>
          <w:szCs w:val="18"/>
          <w:lang w:val="es-ES_tradnl"/>
        </w:rPr>
        <w:t>as que pertenecieron a su padre Jorge Maura.</w:t>
      </w:r>
    </w:p>
    <w:p w14:paraId="4F67B41C" w14:textId="77777777" w:rsidR="00591D54" w:rsidRDefault="00591D54">
      <w:pPr>
        <w:shd w:val="clear" w:color="auto" w:fill="FFFFFF"/>
        <w:spacing w:before="197" w:line="221" w:lineRule="exact"/>
        <w:jc w:val="both"/>
      </w:pPr>
      <w:r>
        <w:rPr>
          <w:b/>
          <w:bCs/>
          <w:spacing w:val="-9"/>
          <w:sz w:val="18"/>
          <w:szCs w:val="18"/>
          <w:lang w:val="es-ES_tradnl"/>
        </w:rPr>
        <w:t>Acci</w:t>
      </w:r>
      <w:r>
        <w:rPr>
          <w:rFonts w:cs="Times New Roman"/>
          <w:b/>
          <w:bCs/>
          <w:spacing w:val="-9"/>
          <w:sz w:val="18"/>
          <w:szCs w:val="18"/>
          <w:lang w:val="es-ES_tradnl"/>
        </w:rPr>
        <w:t>ó</w:t>
      </w:r>
      <w:r>
        <w:rPr>
          <w:b/>
          <w:bCs/>
          <w:spacing w:val="-9"/>
          <w:sz w:val="18"/>
          <w:szCs w:val="18"/>
          <w:lang w:val="es-ES_tradnl"/>
        </w:rPr>
        <w:t>n de protecci</w:t>
      </w:r>
      <w:r>
        <w:rPr>
          <w:rFonts w:cs="Times New Roman"/>
          <w:b/>
          <w:bCs/>
          <w:spacing w:val="-9"/>
          <w:sz w:val="18"/>
          <w:szCs w:val="18"/>
          <w:lang w:val="es-ES_tradnl"/>
        </w:rPr>
        <w:t>ó</w:t>
      </w:r>
      <w:r>
        <w:rPr>
          <w:b/>
          <w:bCs/>
          <w:spacing w:val="-9"/>
          <w:sz w:val="18"/>
          <w:szCs w:val="18"/>
          <w:lang w:val="es-ES_tradnl"/>
        </w:rPr>
        <w:t>n planteada por Zoila Flori Sanc</w:t>
      </w:r>
      <w:r>
        <w:rPr>
          <w:rFonts w:cs="Times New Roman"/>
          <w:b/>
          <w:bCs/>
          <w:spacing w:val="-9"/>
          <w:sz w:val="18"/>
          <w:szCs w:val="18"/>
          <w:lang w:val="es-ES_tradnl"/>
        </w:rPr>
        <w:t>á</w:t>
      </w:r>
      <w:r>
        <w:rPr>
          <w:b/>
          <w:bCs/>
          <w:spacing w:val="-9"/>
          <w:sz w:val="18"/>
          <w:szCs w:val="18"/>
          <w:lang w:val="es-ES_tradnl"/>
        </w:rPr>
        <w:t xml:space="preserve">n, </w:t>
      </w:r>
      <w:r>
        <w:rPr>
          <w:b/>
          <w:bCs/>
          <w:sz w:val="18"/>
          <w:szCs w:val="18"/>
          <w:lang w:val="es-ES_tradnl"/>
        </w:rPr>
        <w:t>madre y representante legal del menor</w:t>
      </w:r>
    </w:p>
    <w:p w14:paraId="4F67B41D" w14:textId="77777777" w:rsidR="00591D54" w:rsidRDefault="00591D54">
      <w:pPr>
        <w:shd w:val="clear" w:color="auto" w:fill="FFFFFF"/>
        <w:spacing w:before="202" w:line="221" w:lineRule="exact"/>
        <w:jc w:val="both"/>
      </w:pPr>
      <w:r>
        <w:rPr>
          <w:spacing w:val="-4"/>
          <w:sz w:val="18"/>
          <w:szCs w:val="18"/>
          <w:lang w:val="es-ES_tradnl"/>
        </w:rPr>
        <w:t>La se</w:t>
      </w:r>
      <w:r>
        <w:rPr>
          <w:rFonts w:cs="Times New Roman"/>
          <w:spacing w:val="-4"/>
          <w:sz w:val="18"/>
          <w:szCs w:val="18"/>
          <w:lang w:val="es-ES_tradnl"/>
        </w:rPr>
        <w:t>ñ</w:t>
      </w:r>
      <w:r>
        <w:rPr>
          <w:spacing w:val="-4"/>
          <w:sz w:val="18"/>
          <w:szCs w:val="18"/>
          <w:lang w:val="es-ES_tradnl"/>
        </w:rPr>
        <w:t xml:space="preserve">ora Zoila Flori, al no tener respuesta de la </w:t>
      </w:r>
      <w:r>
        <w:rPr>
          <w:spacing w:val="-7"/>
          <w:sz w:val="18"/>
          <w:szCs w:val="18"/>
          <w:lang w:val="es-ES_tradnl"/>
        </w:rPr>
        <w:t>Superintendencia de Compa</w:t>
      </w:r>
      <w:r>
        <w:rPr>
          <w:rFonts w:cs="Times New Roman"/>
          <w:spacing w:val="-7"/>
          <w:sz w:val="18"/>
          <w:szCs w:val="18"/>
          <w:lang w:val="es-ES_tradnl"/>
        </w:rPr>
        <w:t>ñí</w:t>
      </w:r>
      <w:r>
        <w:rPr>
          <w:spacing w:val="-7"/>
          <w:sz w:val="18"/>
          <w:szCs w:val="18"/>
          <w:lang w:val="es-ES_tradnl"/>
        </w:rPr>
        <w:t>as, interpuso acci</w:t>
      </w:r>
      <w:r>
        <w:rPr>
          <w:rFonts w:cs="Times New Roman"/>
          <w:spacing w:val="-7"/>
          <w:sz w:val="18"/>
          <w:szCs w:val="18"/>
          <w:lang w:val="es-ES_tradnl"/>
        </w:rPr>
        <w:t>ó</w:t>
      </w:r>
      <w:r>
        <w:rPr>
          <w:spacing w:val="-7"/>
          <w:sz w:val="18"/>
          <w:szCs w:val="18"/>
          <w:lang w:val="es-ES_tradnl"/>
        </w:rPr>
        <w:t xml:space="preserve">n de </w:t>
      </w:r>
      <w:r>
        <w:rPr>
          <w:spacing w:val="-2"/>
          <w:sz w:val="18"/>
          <w:szCs w:val="18"/>
          <w:lang w:val="es-ES_tradnl"/>
        </w:rPr>
        <w:t>protecci</w:t>
      </w:r>
      <w:r>
        <w:rPr>
          <w:rFonts w:cs="Times New Roman"/>
          <w:spacing w:val="-2"/>
          <w:sz w:val="18"/>
          <w:szCs w:val="18"/>
          <w:lang w:val="es-ES_tradnl"/>
        </w:rPr>
        <w:t>ó</w:t>
      </w:r>
      <w:r>
        <w:rPr>
          <w:spacing w:val="-2"/>
          <w:sz w:val="18"/>
          <w:szCs w:val="18"/>
          <w:lang w:val="es-ES_tradnl"/>
        </w:rPr>
        <w:t xml:space="preserve">n en contra del intendente y otros, recayendo </w:t>
      </w:r>
      <w:r>
        <w:rPr>
          <w:spacing w:val="-7"/>
          <w:sz w:val="18"/>
          <w:szCs w:val="18"/>
          <w:lang w:val="es-ES_tradnl"/>
        </w:rPr>
        <w:t>la misma en el Juzgado D</w:t>
      </w:r>
      <w:r>
        <w:rPr>
          <w:rFonts w:cs="Times New Roman"/>
          <w:spacing w:val="-7"/>
          <w:sz w:val="18"/>
          <w:szCs w:val="18"/>
          <w:lang w:val="es-ES_tradnl"/>
        </w:rPr>
        <w:t>é</w:t>
      </w:r>
      <w:r>
        <w:rPr>
          <w:spacing w:val="-7"/>
          <w:sz w:val="18"/>
          <w:szCs w:val="18"/>
          <w:lang w:val="es-ES_tradnl"/>
        </w:rPr>
        <w:t>cimo Segundo de la Ni</w:t>
      </w:r>
      <w:r>
        <w:rPr>
          <w:rFonts w:cs="Times New Roman"/>
          <w:spacing w:val="-7"/>
          <w:sz w:val="18"/>
          <w:szCs w:val="18"/>
          <w:lang w:val="es-ES_tradnl"/>
        </w:rPr>
        <w:t>ñ</w:t>
      </w:r>
      <w:r>
        <w:rPr>
          <w:spacing w:val="-7"/>
          <w:sz w:val="18"/>
          <w:szCs w:val="18"/>
          <w:lang w:val="es-ES_tradnl"/>
        </w:rPr>
        <w:t xml:space="preserve">ez y </w:t>
      </w:r>
      <w:r>
        <w:rPr>
          <w:spacing w:val="-8"/>
          <w:sz w:val="18"/>
          <w:szCs w:val="18"/>
          <w:lang w:val="es-ES_tradnl"/>
        </w:rPr>
        <w:t>Adolescencia del Guayas, siendo resuelta el 18 de febrero de 2011, declarando con lugar la acci</w:t>
      </w:r>
      <w:r>
        <w:rPr>
          <w:rFonts w:cs="Times New Roman"/>
          <w:spacing w:val="-8"/>
          <w:sz w:val="18"/>
          <w:szCs w:val="18"/>
          <w:lang w:val="es-ES_tradnl"/>
        </w:rPr>
        <w:t>ó</w:t>
      </w:r>
      <w:r>
        <w:rPr>
          <w:spacing w:val="-8"/>
          <w:sz w:val="18"/>
          <w:szCs w:val="18"/>
          <w:lang w:val="es-ES_tradnl"/>
        </w:rPr>
        <w:t>n y disponiendo que en el t</w:t>
      </w:r>
      <w:r>
        <w:rPr>
          <w:rFonts w:cs="Times New Roman"/>
          <w:spacing w:val="-8"/>
          <w:sz w:val="18"/>
          <w:szCs w:val="18"/>
          <w:lang w:val="es-ES_tradnl"/>
        </w:rPr>
        <w:t>é</w:t>
      </w:r>
      <w:r>
        <w:rPr>
          <w:spacing w:val="-8"/>
          <w:sz w:val="18"/>
          <w:szCs w:val="18"/>
          <w:lang w:val="es-ES_tradnl"/>
        </w:rPr>
        <w:t>rmino de diez d</w:t>
      </w:r>
      <w:r>
        <w:rPr>
          <w:rFonts w:cs="Times New Roman"/>
          <w:spacing w:val="-8"/>
          <w:sz w:val="18"/>
          <w:szCs w:val="18"/>
          <w:lang w:val="es-ES_tradnl"/>
        </w:rPr>
        <w:t>í</w:t>
      </w:r>
      <w:r>
        <w:rPr>
          <w:spacing w:val="-8"/>
          <w:sz w:val="18"/>
          <w:szCs w:val="18"/>
          <w:lang w:val="es-ES_tradnl"/>
        </w:rPr>
        <w:t>as intervengan las compa</w:t>
      </w:r>
      <w:r>
        <w:rPr>
          <w:rFonts w:cs="Times New Roman"/>
          <w:spacing w:val="-8"/>
          <w:sz w:val="18"/>
          <w:szCs w:val="18"/>
          <w:lang w:val="es-ES_tradnl"/>
        </w:rPr>
        <w:t>ñí</w:t>
      </w:r>
      <w:r>
        <w:rPr>
          <w:spacing w:val="-8"/>
          <w:sz w:val="18"/>
          <w:szCs w:val="18"/>
          <w:lang w:val="es-ES_tradnl"/>
        </w:rPr>
        <w:t xml:space="preserve">as que </w:t>
      </w:r>
      <w:r>
        <w:rPr>
          <w:spacing w:val="-9"/>
          <w:sz w:val="18"/>
          <w:szCs w:val="18"/>
          <w:lang w:val="es-ES_tradnl"/>
        </w:rPr>
        <w:t>fueron de propiedad del se</w:t>
      </w:r>
      <w:r>
        <w:rPr>
          <w:rFonts w:cs="Times New Roman"/>
          <w:spacing w:val="-9"/>
          <w:sz w:val="18"/>
          <w:szCs w:val="18"/>
          <w:lang w:val="es-ES_tradnl"/>
        </w:rPr>
        <w:t>ñ</w:t>
      </w:r>
      <w:r>
        <w:rPr>
          <w:spacing w:val="-9"/>
          <w:sz w:val="18"/>
          <w:szCs w:val="18"/>
          <w:lang w:val="es-ES_tradnl"/>
        </w:rPr>
        <w:t>or Jorge Maura Ru</w:t>
      </w:r>
      <w:r>
        <w:rPr>
          <w:rFonts w:cs="Times New Roman"/>
          <w:spacing w:val="-9"/>
          <w:sz w:val="18"/>
          <w:szCs w:val="18"/>
          <w:lang w:val="es-ES_tradnl"/>
        </w:rPr>
        <w:t>í</w:t>
      </w:r>
      <w:r>
        <w:rPr>
          <w:spacing w:val="-9"/>
          <w:sz w:val="18"/>
          <w:szCs w:val="18"/>
          <w:lang w:val="es-ES_tradnl"/>
        </w:rPr>
        <w:t xml:space="preserve">z y le den la </w:t>
      </w:r>
      <w:r>
        <w:rPr>
          <w:spacing w:val="-8"/>
          <w:sz w:val="18"/>
          <w:szCs w:val="18"/>
          <w:lang w:val="es-ES_tradnl"/>
        </w:rPr>
        <w:t xml:space="preserve">correspondiente tutela a los derechos del menor NN como </w:t>
      </w:r>
      <w:r>
        <w:rPr>
          <w:spacing w:val="-11"/>
          <w:sz w:val="18"/>
          <w:szCs w:val="18"/>
          <w:lang w:val="es-ES_tradnl"/>
        </w:rPr>
        <w:t xml:space="preserve">heredero en las acciones y particiones de las empresas, esta </w:t>
      </w:r>
      <w:r>
        <w:rPr>
          <w:spacing w:val="-6"/>
          <w:sz w:val="18"/>
          <w:szCs w:val="18"/>
          <w:lang w:val="es-ES_tradnl"/>
        </w:rPr>
        <w:t>sentencia se ejecutori</w:t>
      </w:r>
      <w:r>
        <w:rPr>
          <w:rFonts w:cs="Times New Roman"/>
          <w:spacing w:val="-6"/>
          <w:sz w:val="18"/>
          <w:szCs w:val="18"/>
          <w:lang w:val="es-ES_tradnl"/>
        </w:rPr>
        <w:t>ó</w:t>
      </w:r>
      <w:r>
        <w:rPr>
          <w:spacing w:val="-6"/>
          <w:sz w:val="18"/>
          <w:szCs w:val="18"/>
          <w:lang w:val="es-ES_tradnl"/>
        </w:rPr>
        <w:t xml:space="preserve"> por el ministerio de la ley.</w:t>
      </w:r>
    </w:p>
    <w:p w14:paraId="4F67B41E" w14:textId="77777777" w:rsidR="00591D54" w:rsidRDefault="00591D54">
      <w:pPr>
        <w:shd w:val="clear" w:color="auto" w:fill="FFFFFF"/>
        <w:spacing w:before="202" w:line="221" w:lineRule="exact"/>
        <w:jc w:val="both"/>
      </w:pPr>
      <w:r>
        <w:rPr>
          <w:spacing w:val="-7"/>
          <w:sz w:val="18"/>
          <w:szCs w:val="18"/>
          <w:lang w:val="es-ES_tradnl"/>
        </w:rPr>
        <w:t xml:space="preserve">En base a la sentencia referida, la Superintendencia de </w:t>
      </w:r>
      <w:r>
        <w:rPr>
          <w:spacing w:val="-8"/>
          <w:sz w:val="18"/>
          <w:szCs w:val="18"/>
          <w:lang w:val="es-ES_tradnl"/>
        </w:rPr>
        <w:t>Compa</w:t>
      </w:r>
      <w:r>
        <w:rPr>
          <w:rFonts w:cs="Times New Roman"/>
          <w:spacing w:val="-8"/>
          <w:sz w:val="18"/>
          <w:szCs w:val="18"/>
          <w:lang w:val="es-ES_tradnl"/>
        </w:rPr>
        <w:t>ñí</w:t>
      </w:r>
      <w:r>
        <w:rPr>
          <w:spacing w:val="-8"/>
          <w:sz w:val="18"/>
          <w:szCs w:val="18"/>
          <w:lang w:val="es-ES_tradnl"/>
        </w:rPr>
        <w:t>as el 17 de marzo de 2011, emiti</w:t>
      </w:r>
      <w:r>
        <w:rPr>
          <w:rFonts w:cs="Times New Roman"/>
          <w:spacing w:val="-8"/>
          <w:sz w:val="18"/>
          <w:szCs w:val="18"/>
          <w:lang w:val="es-ES_tradnl"/>
        </w:rPr>
        <w:t>ó</w:t>
      </w:r>
      <w:r>
        <w:rPr>
          <w:spacing w:val="-8"/>
          <w:sz w:val="18"/>
          <w:szCs w:val="18"/>
          <w:lang w:val="es-ES_tradnl"/>
        </w:rPr>
        <w:t xml:space="preserve"> Resoluci</w:t>
      </w:r>
      <w:r>
        <w:rPr>
          <w:rFonts w:cs="Times New Roman"/>
          <w:spacing w:val="-8"/>
          <w:sz w:val="18"/>
          <w:szCs w:val="18"/>
          <w:lang w:val="es-ES_tradnl"/>
        </w:rPr>
        <w:t>ó</w:t>
      </w:r>
      <w:r>
        <w:rPr>
          <w:spacing w:val="-8"/>
          <w:sz w:val="18"/>
          <w:szCs w:val="18"/>
          <w:lang w:val="es-ES_tradnl"/>
        </w:rPr>
        <w:t>n N.</w:t>
      </w:r>
      <w:r>
        <w:rPr>
          <w:rFonts w:cs="Times New Roman"/>
          <w:spacing w:val="-8"/>
          <w:sz w:val="18"/>
          <w:szCs w:val="18"/>
          <w:lang w:val="es-ES_tradnl"/>
        </w:rPr>
        <w:t xml:space="preserve">º </w:t>
      </w:r>
      <w:r>
        <w:rPr>
          <w:spacing w:val="-8"/>
          <w:sz w:val="18"/>
          <w:szCs w:val="18"/>
          <w:lang w:val="es-ES_tradnl"/>
        </w:rPr>
        <w:t>SC-IJ-G-11-0013 en la que resolvi</w:t>
      </w:r>
      <w:r>
        <w:rPr>
          <w:rFonts w:cs="Times New Roman"/>
          <w:spacing w:val="-8"/>
          <w:sz w:val="18"/>
          <w:szCs w:val="18"/>
          <w:lang w:val="es-ES_tradnl"/>
        </w:rPr>
        <w:t>ó</w:t>
      </w:r>
      <w:r>
        <w:rPr>
          <w:spacing w:val="-8"/>
          <w:sz w:val="18"/>
          <w:szCs w:val="18"/>
          <w:lang w:val="es-ES_tradnl"/>
        </w:rPr>
        <w:t xml:space="preserve"> declarar la intervenci</w:t>
      </w:r>
      <w:r>
        <w:rPr>
          <w:rFonts w:cs="Times New Roman"/>
          <w:spacing w:val="-8"/>
          <w:sz w:val="18"/>
          <w:szCs w:val="18"/>
          <w:lang w:val="es-ES_tradnl"/>
        </w:rPr>
        <w:t>ó</w:t>
      </w:r>
      <w:r>
        <w:rPr>
          <w:spacing w:val="-8"/>
          <w:sz w:val="18"/>
          <w:szCs w:val="18"/>
          <w:lang w:val="es-ES_tradnl"/>
        </w:rPr>
        <w:t xml:space="preserve">n </w:t>
      </w:r>
      <w:r>
        <w:rPr>
          <w:spacing w:val="-7"/>
          <w:sz w:val="18"/>
          <w:szCs w:val="18"/>
          <w:lang w:val="es-ES_tradnl"/>
        </w:rPr>
        <w:t>de la compa</w:t>
      </w:r>
      <w:r>
        <w:rPr>
          <w:rFonts w:cs="Times New Roman"/>
          <w:spacing w:val="-7"/>
          <w:sz w:val="18"/>
          <w:szCs w:val="18"/>
          <w:lang w:val="es-ES_tradnl"/>
        </w:rPr>
        <w:t>ñí</w:t>
      </w:r>
      <w:r>
        <w:rPr>
          <w:spacing w:val="-7"/>
          <w:sz w:val="18"/>
          <w:szCs w:val="18"/>
          <w:lang w:val="es-ES_tradnl"/>
        </w:rPr>
        <w:t xml:space="preserve">a Piscinas del Ecuador S .A. (PIDESA), por </w:t>
      </w:r>
      <w:r>
        <w:rPr>
          <w:spacing w:val="-5"/>
          <w:sz w:val="18"/>
          <w:szCs w:val="18"/>
          <w:lang w:val="es-ES_tradnl"/>
        </w:rPr>
        <w:t>estar inmersa en la causal tercera del art</w:t>
      </w:r>
      <w:r>
        <w:rPr>
          <w:rFonts w:cs="Times New Roman"/>
          <w:spacing w:val="-5"/>
          <w:sz w:val="18"/>
          <w:szCs w:val="18"/>
          <w:lang w:val="es-ES_tradnl"/>
        </w:rPr>
        <w:t>í</w:t>
      </w:r>
      <w:r>
        <w:rPr>
          <w:spacing w:val="-5"/>
          <w:sz w:val="18"/>
          <w:szCs w:val="18"/>
          <w:lang w:val="es-ES_tradnl"/>
        </w:rPr>
        <w:t xml:space="preserve">culo 354 de la </w:t>
      </w:r>
      <w:r>
        <w:rPr>
          <w:spacing w:val="-7"/>
          <w:sz w:val="18"/>
          <w:szCs w:val="18"/>
          <w:lang w:val="es-ES_tradnl"/>
        </w:rPr>
        <w:t>Ley de Compa</w:t>
      </w:r>
      <w:r>
        <w:rPr>
          <w:rFonts w:cs="Times New Roman"/>
          <w:spacing w:val="-7"/>
          <w:sz w:val="18"/>
          <w:szCs w:val="18"/>
          <w:lang w:val="es-ES_tradnl"/>
        </w:rPr>
        <w:t>ñí</w:t>
      </w:r>
      <w:r>
        <w:rPr>
          <w:spacing w:val="-7"/>
          <w:sz w:val="18"/>
          <w:szCs w:val="18"/>
          <w:lang w:val="es-ES_tradnl"/>
        </w:rPr>
        <w:t>as, asimismo, design</w:t>
      </w:r>
      <w:r>
        <w:rPr>
          <w:rFonts w:cs="Times New Roman"/>
          <w:spacing w:val="-7"/>
          <w:sz w:val="18"/>
          <w:szCs w:val="18"/>
          <w:lang w:val="es-ES_tradnl"/>
        </w:rPr>
        <w:t>ó</w:t>
      </w:r>
      <w:r>
        <w:rPr>
          <w:spacing w:val="-7"/>
          <w:sz w:val="18"/>
          <w:szCs w:val="18"/>
          <w:lang w:val="es-ES_tradnl"/>
        </w:rPr>
        <w:t xml:space="preserve"> un interventor para que ayude a la compa</w:t>
      </w:r>
      <w:r>
        <w:rPr>
          <w:rFonts w:cs="Times New Roman"/>
          <w:spacing w:val="-7"/>
          <w:sz w:val="18"/>
          <w:szCs w:val="18"/>
          <w:lang w:val="es-ES_tradnl"/>
        </w:rPr>
        <w:t>ñí</w:t>
      </w:r>
      <w:r>
        <w:rPr>
          <w:spacing w:val="-7"/>
          <w:sz w:val="18"/>
          <w:szCs w:val="18"/>
          <w:lang w:val="es-ES_tradnl"/>
        </w:rPr>
        <w:t xml:space="preserve">a a corregir las irregularidades </w:t>
      </w:r>
      <w:r>
        <w:rPr>
          <w:sz w:val="18"/>
          <w:szCs w:val="18"/>
          <w:lang w:val="es-ES_tradnl"/>
        </w:rPr>
        <w:t>advertidas.</w:t>
      </w:r>
    </w:p>
    <w:p w14:paraId="4F67B41F" w14:textId="77777777" w:rsidR="00591D54" w:rsidRDefault="00591D54">
      <w:pPr>
        <w:shd w:val="clear" w:color="auto" w:fill="FFFFFF"/>
        <w:spacing w:before="202" w:line="226" w:lineRule="exact"/>
        <w:jc w:val="both"/>
      </w:pPr>
      <w:r>
        <w:rPr>
          <w:spacing w:val="-7"/>
          <w:sz w:val="18"/>
          <w:szCs w:val="18"/>
          <w:lang w:val="es-ES_tradnl"/>
        </w:rPr>
        <w:t>El 25 de marzo de 2011, el intendente de compa</w:t>
      </w:r>
      <w:r>
        <w:rPr>
          <w:rFonts w:cs="Times New Roman"/>
          <w:spacing w:val="-7"/>
          <w:sz w:val="18"/>
          <w:szCs w:val="18"/>
          <w:lang w:val="es-ES_tradnl"/>
        </w:rPr>
        <w:t>ñí</w:t>
      </w:r>
      <w:r>
        <w:rPr>
          <w:spacing w:val="-7"/>
          <w:sz w:val="18"/>
          <w:szCs w:val="18"/>
          <w:lang w:val="es-ES_tradnl"/>
        </w:rPr>
        <w:t xml:space="preserve">as de </w:t>
      </w:r>
      <w:r>
        <w:rPr>
          <w:spacing w:val="-1"/>
          <w:sz w:val="18"/>
          <w:szCs w:val="18"/>
          <w:lang w:val="es-ES_tradnl"/>
        </w:rPr>
        <w:t>Guayaquil hizo conocer a la jueza d</w:t>
      </w:r>
      <w:r>
        <w:rPr>
          <w:rFonts w:cs="Times New Roman"/>
          <w:spacing w:val="-1"/>
          <w:sz w:val="18"/>
          <w:szCs w:val="18"/>
          <w:lang w:val="es-ES_tradnl"/>
        </w:rPr>
        <w:t>é</w:t>
      </w:r>
      <w:r>
        <w:rPr>
          <w:spacing w:val="-1"/>
          <w:sz w:val="18"/>
          <w:szCs w:val="18"/>
          <w:lang w:val="es-ES_tradnl"/>
        </w:rPr>
        <w:t>cima segunda de</w:t>
      </w:r>
    </w:p>
    <w:p w14:paraId="4F67B420" w14:textId="77777777" w:rsidR="00591D54" w:rsidRDefault="00591D54">
      <w:pPr>
        <w:shd w:val="clear" w:color="auto" w:fill="FFFFFF"/>
        <w:spacing w:before="202" w:line="226" w:lineRule="exact"/>
        <w:jc w:val="both"/>
        <w:sectPr w:rsidR="00591D54">
          <w:type w:val="continuous"/>
          <w:pgSz w:w="11909" w:h="16834"/>
          <w:pgMar w:top="1383" w:right="1309" w:bottom="360" w:left="1308" w:header="720" w:footer="720" w:gutter="0"/>
          <w:cols w:num="2" w:space="720" w:equalWidth="0">
            <w:col w:w="4305" w:space="682"/>
            <w:col w:w="4305"/>
          </w:cols>
          <w:noEndnote/>
        </w:sectPr>
      </w:pPr>
    </w:p>
    <w:p w14:paraId="4F67B421" w14:textId="77777777" w:rsidR="00591D54" w:rsidRDefault="00591D54">
      <w:pPr>
        <w:shd w:val="clear" w:color="auto" w:fill="FFFFFF"/>
        <w:tabs>
          <w:tab w:val="left" w:pos="4814"/>
        </w:tabs>
        <w:spacing w:after="235"/>
        <w:ind w:left="5"/>
      </w:pPr>
      <w:r>
        <w:rPr>
          <w:b/>
          <w:bCs/>
          <w:sz w:val="18"/>
          <w:szCs w:val="18"/>
          <w:lang w:val="es-ES_tradnl"/>
        </w:rPr>
        <w:t xml:space="preserve">204 -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422" w14:textId="77777777" w:rsidR="00591D54" w:rsidRDefault="00591D54">
      <w:pPr>
        <w:shd w:val="clear" w:color="auto" w:fill="FFFFFF"/>
        <w:tabs>
          <w:tab w:val="left" w:pos="4814"/>
        </w:tabs>
        <w:spacing w:after="235"/>
        <w:ind w:left="5"/>
        <w:sectPr w:rsidR="00591D54">
          <w:pgSz w:w="11909" w:h="16834"/>
          <w:pgMar w:top="1366" w:right="1309" w:bottom="360" w:left="1308" w:header="720" w:footer="720" w:gutter="0"/>
          <w:cols w:space="60"/>
          <w:noEndnote/>
        </w:sectPr>
      </w:pPr>
    </w:p>
    <w:p w14:paraId="4F67B423" w14:textId="77777777" w:rsidR="00591D54" w:rsidRDefault="00591D54">
      <w:pPr>
        <w:shd w:val="clear" w:color="auto" w:fill="FFFFFF"/>
        <w:spacing w:line="211" w:lineRule="exact"/>
        <w:jc w:val="both"/>
      </w:pPr>
      <w:r>
        <w:rPr>
          <w:spacing w:val="-6"/>
          <w:sz w:val="18"/>
          <w:szCs w:val="18"/>
          <w:lang w:val="es-ES_tradnl"/>
        </w:rPr>
        <w:t>la familia, mujer, ni</w:t>
      </w:r>
      <w:r>
        <w:rPr>
          <w:rFonts w:cs="Times New Roman"/>
          <w:spacing w:val="-6"/>
          <w:sz w:val="18"/>
          <w:szCs w:val="18"/>
          <w:lang w:val="es-ES_tradnl"/>
        </w:rPr>
        <w:t>ñ</w:t>
      </w:r>
      <w:r>
        <w:rPr>
          <w:spacing w:val="-6"/>
          <w:sz w:val="18"/>
          <w:szCs w:val="18"/>
          <w:lang w:val="es-ES_tradnl"/>
        </w:rPr>
        <w:t xml:space="preserve">ez y adolescencia del Guayas, la </w:t>
      </w:r>
      <w:r>
        <w:rPr>
          <w:spacing w:val="-7"/>
          <w:sz w:val="18"/>
          <w:szCs w:val="18"/>
          <w:lang w:val="es-ES_tradnl"/>
        </w:rPr>
        <w:t>intervenci</w:t>
      </w:r>
      <w:r>
        <w:rPr>
          <w:rFonts w:cs="Times New Roman"/>
          <w:spacing w:val="-7"/>
          <w:sz w:val="18"/>
          <w:szCs w:val="18"/>
          <w:lang w:val="es-ES_tradnl"/>
        </w:rPr>
        <w:t>ó</w:t>
      </w:r>
      <w:r>
        <w:rPr>
          <w:spacing w:val="-7"/>
          <w:sz w:val="18"/>
          <w:szCs w:val="18"/>
          <w:lang w:val="es-ES_tradnl"/>
        </w:rPr>
        <w:t>n de varias compa</w:t>
      </w:r>
      <w:r>
        <w:rPr>
          <w:rFonts w:cs="Times New Roman"/>
          <w:spacing w:val="-7"/>
          <w:sz w:val="18"/>
          <w:szCs w:val="18"/>
          <w:lang w:val="es-ES_tradnl"/>
        </w:rPr>
        <w:t>ñí</w:t>
      </w:r>
      <w:r>
        <w:rPr>
          <w:spacing w:val="-7"/>
          <w:sz w:val="18"/>
          <w:szCs w:val="18"/>
          <w:lang w:val="es-ES_tradnl"/>
        </w:rPr>
        <w:t>as del se</w:t>
      </w:r>
      <w:r>
        <w:rPr>
          <w:rFonts w:cs="Times New Roman"/>
          <w:spacing w:val="-7"/>
          <w:sz w:val="18"/>
          <w:szCs w:val="18"/>
          <w:lang w:val="es-ES_tradnl"/>
        </w:rPr>
        <w:t>ñ</w:t>
      </w:r>
      <w:r>
        <w:rPr>
          <w:spacing w:val="-7"/>
          <w:sz w:val="18"/>
          <w:szCs w:val="18"/>
          <w:lang w:val="es-ES_tradnl"/>
        </w:rPr>
        <w:t xml:space="preserve">or Jorge Maura </w:t>
      </w:r>
      <w:r>
        <w:rPr>
          <w:sz w:val="18"/>
          <w:szCs w:val="18"/>
          <w:lang w:val="es-ES_tradnl"/>
        </w:rPr>
        <w:t>Ru</w:t>
      </w:r>
      <w:r>
        <w:rPr>
          <w:rFonts w:cs="Times New Roman"/>
          <w:sz w:val="18"/>
          <w:szCs w:val="18"/>
          <w:lang w:val="es-ES_tradnl"/>
        </w:rPr>
        <w:t>í</w:t>
      </w:r>
      <w:r>
        <w:rPr>
          <w:sz w:val="18"/>
          <w:szCs w:val="18"/>
          <w:lang w:val="es-ES_tradnl"/>
        </w:rPr>
        <w:t>z, entre ellas PIDESA.</w:t>
      </w:r>
    </w:p>
    <w:p w14:paraId="4F67B424" w14:textId="77777777" w:rsidR="00591D54" w:rsidRDefault="00591D54">
      <w:pPr>
        <w:shd w:val="clear" w:color="auto" w:fill="FFFFFF"/>
        <w:spacing w:before="192" w:line="211" w:lineRule="exact"/>
        <w:jc w:val="both"/>
      </w:pPr>
      <w:r>
        <w:rPr>
          <w:b/>
          <w:bCs/>
          <w:spacing w:val="-8"/>
          <w:sz w:val="18"/>
          <w:szCs w:val="18"/>
          <w:lang w:val="es-ES_tradnl"/>
        </w:rPr>
        <w:t>Acci</w:t>
      </w:r>
      <w:r>
        <w:rPr>
          <w:rFonts w:cs="Times New Roman"/>
          <w:b/>
          <w:bCs/>
          <w:spacing w:val="-8"/>
          <w:sz w:val="18"/>
          <w:szCs w:val="18"/>
          <w:lang w:val="es-ES_tradnl"/>
        </w:rPr>
        <w:t>ó</w:t>
      </w:r>
      <w:r>
        <w:rPr>
          <w:b/>
          <w:bCs/>
          <w:spacing w:val="-8"/>
          <w:sz w:val="18"/>
          <w:szCs w:val="18"/>
          <w:lang w:val="es-ES_tradnl"/>
        </w:rPr>
        <w:t>n de protecci</w:t>
      </w:r>
      <w:r>
        <w:rPr>
          <w:rFonts w:cs="Times New Roman"/>
          <w:b/>
          <w:bCs/>
          <w:spacing w:val="-8"/>
          <w:sz w:val="18"/>
          <w:szCs w:val="18"/>
          <w:lang w:val="es-ES_tradnl"/>
        </w:rPr>
        <w:t>ó</w:t>
      </w:r>
      <w:r>
        <w:rPr>
          <w:b/>
          <w:bCs/>
          <w:spacing w:val="-8"/>
          <w:sz w:val="18"/>
          <w:szCs w:val="18"/>
          <w:lang w:val="es-ES_tradnl"/>
        </w:rPr>
        <w:t>n propuesta por la se</w:t>
      </w:r>
      <w:r>
        <w:rPr>
          <w:rFonts w:cs="Times New Roman"/>
          <w:b/>
          <w:bCs/>
          <w:spacing w:val="-8"/>
          <w:sz w:val="18"/>
          <w:szCs w:val="18"/>
          <w:lang w:val="es-ES_tradnl"/>
        </w:rPr>
        <w:t>ñ</w:t>
      </w:r>
      <w:r>
        <w:rPr>
          <w:b/>
          <w:bCs/>
          <w:spacing w:val="-8"/>
          <w:sz w:val="18"/>
          <w:szCs w:val="18"/>
          <w:lang w:val="es-ES_tradnl"/>
        </w:rPr>
        <w:t xml:space="preserve">ora Blanca </w:t>
      </w:r>
      <w:r>
        <w:rPr>
          <w:b/>
          <w:bCs/>
          <w:spacing w:val="-6"/>
          <w:sz w:val="18"/>
          <w:szCs w:val="18"/>
          <w:lang w:val="es-ES_tradnl"/>
        </w:rPr>
        <w:t xml:space="preserve">Cordero viuda de Maura, representante legal de la </w:t>
      </w:r>
      <w:r>
        <w:rPr>
          <w:b/>
          <w:bCs/>
          <w:spacing w:val="-8"/>
          <w:sz w:val="18"/>
          <w:szCs w:val="18"/>
          <w:lang w:val="es-ES_tradnl"/>
        </w:rPr>
        <w:t>compa</w:t>
      </w:r>
      <w:r>
        <w:rPr>
          <w:rFonts w:cs="Times New Roman"/>
          <w:b/>
          <w:bCs/>
          <w:spacing w:val="-8"/>
          <w:sz w:val="18"/>
          <w:szCs w:val="18"/>
          <w:lang w:val="es-ES_tradnl"/>
        </w:rPr>
        <w:t>ñí</w:t>
      </w:r>
      <w:r>
        <w:rPr>
          <w:b/>
          <w:bCs/>
          <w:spacing w:val="-8"/>
          <w:sz w:val="18"/>
          <w:szCs w:val="18"/>
          <w:lang w:val="es-ES_tradnl"/>
        </w:rPr>
        <w:t>a Piscinas del Ecuador S. A. (PIDESA)</w:t>
      </w:r>
    </w:p>
    <w:p w14:paraId="4F67B425" w14:textId="77777777" w:rsidR="00591D54" w:rsidRDefault="00591D54">
      <w:pPr>
        <w:shd w:val="clear" w:color="auto" w:fill="FFFFFF"/>
        <w:spacing w:before="192" w:line="211" w:lineRule="exact"/>
        <w:jc w:val="both"/>
      </w:pPr>
      <w:r>
        <w:rPr>
          <w:spacing w:val="-3"/>
          <w:sz w:val="18"/>
          <w:szCs w:val="18"/>
          <w:lang w:val="es-ES_tradnl"/>
        </w:rPr>
        <w:t>La se</w:t>
      </w:r>
      <w:r>
        <w:rPr>
          <w:rFonts w:cs="Times New Roman"/>
          <w:spacing w:val="-3"/>
          <w:sz w:val="18"/>
          <w:szCs w:val="18"/>
          <w:lang w:val="es-ES_tradnl"/>
        </w:rPr>
        <w:t>ñ</w:t>
      </w:r>
      <w:r>
        <w:rPr>
          <w:spacing w:val="-3"/>
          <w:sz w:val="18"/>
          <w:szCs w:val="18"/>
          <w:lang w:val="es-ES_tradnl"/>
        </w:rPr>
        <w:t>ora Blanca Cordero Hern</w:t>
      </w:r>
      <w:r>
        <w:rPr>
          <w:rFonts w:cs="Times New Roman"/>
          <w:spacing w:val="-3"/>
          <w:sz w:val="18"/>
          <w:szCs w:val="18"/>
          <w:lang w:val="es-ES_tradnl"/>
        </w:rPr>
        <w:t>á</w:t>
      </w:r>
      <w:r>
        <w:rPr>
          <w:spacing w:val="-3"/>
          <w:sz w:val="18"/>
          <w:szCs w:val="18"/>
          <w:lang w:val="es-ES_tradnl"/>
        </w:rPr>
        <w:t xml:space="preserve">ndez, gerente general </w:t>
      </w:r>
      <w:r>
        <w:rPr>
          <w:spacing w:val="-7"/>
          <w:sz w:val="18"/>
          <w:szCs w:val="18"/>
          <w:lang w:val="es-ES_tradnl"/>
        </w:rPr>
        <w:t>y representante legal de PIDESA, interpuso acci</w:t>
      </w:r>
      <w:r>
        <w:rPr>
          <w:rFonts w:cs="Times New Roman"/>
          <w:spacing w:val="-7"/>
          <w:sz w:val="18"/>
          <w:szCs w:val="18"/>
          <w:lang w:val="es-ES_tradnl"/>
        </w:rPr>
        <w:t>ó</w:t>
      </w:r>
      <w:r>
        <w:rPr>
          <w:spacing w:val="-7"/>
          <w:sz w:val="18"/>
          <w:szCs w:val="18"/>
          <w:lang w:val="es-ES_tradnl"/>
        </w:rPr>
        <w:t xml:space="preserve">n de </w:t>
      </w:r>
      <w:r>
        <w:rPr>
          <w:spacing w:val="-11"/>
          <w:sz w:val="18"/>
          <w:szCs w:val="18"/>
          <w:lang w:val="es-ES_tradnl"/>
        </w:rPr>
        <w:t>protecci</w:t>
      </w:r>
      <w:r>
        <w:rPr>
          <w:rFonts w:cs="Times New Roman"/>
          <w:spacing w:val="-11"/>
          <w:sz w:val="18"/>
          <w:szCs w:val="18"/>
          <w:lang w:val="es-ES_tradnl"/>
        </w:rPr>
        <w:t>ó</w:t>
      </w:r>
      <w:r>
        <w:rPr>
          <w:spacing w:val="-11"/>
          <w:sz w:val="18"/>
          <w:szCs w:val="18"/>
          <w:lang w:val="es-ES_tradnl"/>
        </w:rPr>
        <w:t>n contra la Intendencia de compa</w:t>
      </w:r>
      <w:r>
        <w:rPr>
          <w:rFonts w:cs="Times New Roman"/>
          <w:spacing w:val="-11"/>
          <w:sz w:val="18"/>
          <w:szCs w:val="18"/>
          <w:lang w:val="es-ES_tradnl"/>
        </w:rPr>
        <w:t>ñí</w:t>
      </w:r>
      <w:r>
        <w:rPr>
          <w:spacing w:val="-11"/>
          <w:sz w:val="18"/>
          <w:szCs w:val="18"/>
          <w:lang w:val="es-ES_tradnl"/>
        </w:rPr>
        <w:t xml:space="preserve">as de Guayaquil, </w:t>
      </w:r>
      <w:r>
        <w:rPr>
          <w:spacing w:val="-7"/>
          <w:sz w:val="18"/>
          <w:szCs w:val="18"/>
          <w:lang w:val="es-ES_tradnl"/>
        </w:rPr>
        <w:t>representada por el abogado V</w:t>
      </w:r>
      <w:r>
        <w:rPr>
          <w:rFonts w:cs="Times New Roman"/>
          <w:spacing w:val="-7"/>
          <w:sz w:val="18"/>
          <w:szCs w:val="18"/>
          <w:lang w:val="es-ES_tradnl"/>
        </w:rPr>
        <w:t>í</w:t>
      </w:r>
      <w:r>
        <w:rPr>
          <w:spacing w:val="-7"/>
          <w:sz w:val="18"/>
          <w:szCs w:val="18"/>
          <w:lang w:val="es-ES_tradnl"/>
        </w:rPr>
        <w:t xml:space="preserve">ctor Anchundia Places, la </w:t>
      </w:r>
      <w:r>
        <w:rPr>
          <w:spacing w:val="-4"/>
          <w:sz w:val="18"/>
          <w:szCs w:val="18"/>
          <w:lang w:val="es-ES_tradnl"/>
        </w:rPr>
        <w:t>misma que fue conocida por el juez vig</w:t>
      </w:r>
      <w:r>
        <w:rPr>
          <w:rFonts w:cs="Times New Roman"/>
          <w:spacing w:val="-4"/>
          <w:sz w:val="18"/>
          <w:szCs w:val="18"/>
          <w:lang w:val="es-ES_tradnl"/>
        </w:rPr>
        <w:t>é</w:t>
      </w:r>
      <w:r>
        <w:rPr>
          <w:spacing w:val="-4"/>
          <w:sz w:val="18"/>
          <w:szCs w:val="18"/>
          <w:lang w:val="es-ES_tradnl"/>
        </w:rPr>
        <w:t xml:space="preserve">simo tercero de </w:t>
      </w:r>
      <w:r>
        <w:rPr>
          <w:spacing w:val="-6"/>
          <w:sz w:val="18"/>
          <w:szCs w:val="18"/>
          <w:lang w:val="es-ES_tradnl"/>
        </w:rPr>
        <w:t>lo civil del Guayas, quien, el 21 de junio de 2011, resolvi</w:t>
      </w:r>
      <w:r>
        <w:rPr>
          <w:rFonts w:cs="Times New Roman"/>
          <w:spacing w:val="-6"/>
          <w:sz w:val="18"/>
          <w:szCs w:val="18"/>
          <w:lang w:val="es-ES_tradnl"/>
        </w:rPr>
        <w:t xml:space="preserve">ó </w:t>
      </w:r>
      <w:r>
        <w:rPr>
          <w:spacing w:val="-8"/>
          <w:sz w:val="18"/>
          <w:szCs w:val="18"/>
          <w:lang w:val="es-ES_tradnl"/>
        </w:rPr>
        <w:t>declarar sin lugar la acci</w:t>
      </w:r>
      <w:r>
        <w:rPr>
          <w:rFonts w:cs="Times New Roman"/>
          <w:spacing w:val="-8"/>
          <w:sz w:val="18"/>
          <w:szCs w:val="18"/>
          <w:lang w:val="es-ES_tradnl"/>
        </w:rPr>
        <w:t>ó</w:t>
      </w:r>
      <w:r>
        <w:rPr>
          <w:spacing w:val="-8"/>
          <w:sz w:val="18"/>
          <w:szCs w:val="18"/>
          <w:lang w:val="es-ES_tradnl"/>
        </w:rPr>
        <w:t>n de protecci</w:t>
      </w:r>
      <w:r>
        <w:rPr>
          <w:rFonts w:cs="Times New Roman"/>
          <w:spacing w:val="-8"/>
          <w:sz w:val="18"/>
          <w:szCs w:val="18"/>
          <w:lang w:val="es-ES_tradnl"/>
        </w:rPr>
        <w:t>ó</w:t>
      </w:r>
      <w:r>
        <w:rPr>
          <w:spacing w:val="-8"/>
          <w:sz w:val="18"/>
          <w:szCs w:val="18"/>
          <w:lang w:val="es-ES_tradnl"/>
        </w:rPr>
        <w:t>n presentada.</w:t>
      </w:r>
    </w:p>
    <w:p w14:paraId="4F67B426" w14:textId="77777777" w:rsidR="00591D54" w:rsidRDefault="00591D54">
      <w:pPr>
        <w:shd w:val="clear" w:color="auto" w:fill="FFFFFF"/>
        <w:spacing w:before="192" w:line="211" w:lineRule="exact"/>
        <w:jc w:val="both"/>
      </w:pPr>
      <w:r>
        <w:rPr>
          <w:spacing w:val="-7"/>
          <w:sz w:val="18"/>
          <w:szCs w:val="18"/>
          <w:lang w:val="es-ES_tradnl"/>
        </w:rPr>
        <w:t>Ante esta decisi</w:t>
      </w:r>
      <w:r>
        <w:rPr>
          <w:rFonts w:cs="Times New Roman"/>
          <w:spacing w:val="-7"/>
          <w:sz w:val="18"/>
          <w:szCs w:val="18"/>
          <w:lang w:val="es-ES_tradnl"/>
        </w:rPr>
        <w:t>ó</w:t>
      </w:r>
      <w:r>
        <w:rPr>
          <w:spacing w:val="-7"/>
          <w:sz w:val="18"/>
          <w:szCs w:val="18"/>
          <w:lang w:val="es-ES_tradnl"/>
        </w:rPr>
        <w:t>n, la se</w:t>
      </w:r>
      <w:r>
        <w:rPr>
          <w:rFonts w:cs="Times New Roman"/>
          <w:spacing w:val="-7"/>
          <w:sz w:val="18"/>
          <w:szCs w:val="18"/>
          <w:lang w:val="es-ES_tradnl"/>
        </w:rPr>
        <w:t>ñ</w:t>
      </w:r>
      <w:r>
        <w:rPr>
          <w:spacing w:val="-7"/>
          <w:sz w:val="18"/>
          <w:szCs w:val="18"/>
          <w:lang w:val="es-ES_tradnl"/>
        </w:rPr>
        <w:t>ora Blanca Cordero Hern</w:t>
      </w:r>
      <w:r>
        <w:rPr>
          <w:rFonts w:cs="Times New Roman"/>
          <w:spacing w:val="-7"/>
          <w:sz w:val="18"/>
          <w:szCs w:val="18"/>
          <w:lang w:val="es-ES_tradnl"/>
        </w:rPr>
        <w:t>á</w:t>
      </w:r>
      <w:r>
        <w:rPr>
          <w:spacing w:val="-7"/>
          <w:sz w:val="18"/>
          <w:szCs w:val="18"/>
          <w:lang w:val="es-ES_tradnl"/>
        </w:rPr>
        <w:t xml:space="preserve">ndez </w:t>
      </w:r>
      <w:r>
        <w:rPr>
          <w:spacing w:val="-8"/>
          <w:sz w:val="18"/>
          <w:szCs w:val="18"/>
          <w:lang w:val="es-ES_tradnl"/>
        </w:rPr>
        <w:t>apel</w:t>
      </w:r>
      <w:r>
        <w:rPr>
          <w:rFonts w:cs="Times New Roman"/>
          <w:spacing w:val="-8"/>
          <w:sz w:val="18"/>
          <w:szCs w:val="18"/>
          <w:lang w:val="es-ES_tradnl"/>
        </w:rPr>
        <w:t>ó</w:t>
      </w:r>
      <w:r>
        <w:rPr>
          <w:spacing w:val="-8"/>
          <w:sz w:val="18"/>
          <w:szCs w:val="18"/>
          <w:lang w:val="es-ES_tradnl"/>
        </w:rPr>
        <w:t xml:space="preserve"> al fallo antes mencionado, recayendo la causa en la </w:t>
      </w:r>
      <w:r>
        <w:rPr>
          <w:spacing w:val="-5"/>
          <w:sz w:val="18"/>
          <w:szCs w:val="18"/>
          <w:lang w:val="es-ES_tradnl"/>
        </w:rPr>
        <w:t>Primera Sala de lo Laboral, Ni</w:t>
      </w:r>
      <w:r>
        <w:rPr>
          <w:rFonts w:cs="Times New Roman"/>
          <w:spacing w:val="-5"/>
          <w:sz w:val="18"/>
          <w:szCs w:val="18"/>
          <w:lang w:val="es-ES_tradnl"/>
        </w:rPr>
        <w:t>ñ</w:t>
      </w:r>
      <w:r>
        <w:rPr>
          <w:spacing w:val="-5"/>
          <w:sz w:val="18"/>
          <w:szCs w:val="18"/>
          <w:lang w:val="es-ES_tradnl"/>
        </w:rPr>
        <w:t xml:space="preserve">ez y Adolescencia de la </w:t>
      </w:r>
      <w:r>
        <w:rPr>
          <w:spacing w:val="-9"/>
          <w:sz w:val="18"/>
          <w:szCs w:val="18"/>
          <w:lang w:val="es-ES_tradnl"/>
        </w:rPr>
        <w:t xml:space="preserve">Corte Provincial de Justicia del Guayas, quienes en voto de </w:t>
      </w:r>
      <w:r>
        <w:rPr>
          <w:spacing w:val="-11"/>
          <w:sz w:val="18"/>
          <w:szCs w:val="18"/>
          <w:lang w:val="es-ES_tradnl"/>
        </w:rPr>
        <w:t>mayor</w:t>
      </w:r>
      <w:r>
        <w:rPr>
          <w:rFonts w:cs="Times New Roman"/>
          <w:spacing w:val="-11"/>
          <w:sz w:val="18"/>
          <w:szCs w:val="18"/>
          <w:lang w:val="es-ES_tradnl"/>
        </w:rPr>
        <w:t>í</w:t>
      </w:r>
      <w:r>
        <w:rPr>
          <w:spacing w:val="-11"/>
          <w:sz w:val="18"/>
          <w:szCs w:val="18"/>
          <w:lang w:val="es-ES_tradnl"/>
        </w:rPr>
        <w:t>a resuelven aceptar el recurso de apelaci</w:t>
      </w:r>
      <w:r>
        <w:rPr>
          <w:rFonts w:cs="Times New Roman"/>
          <w:spacing w:val="-11"/>
          <w:sz w:val="18"/>
          <w:szCs w:val="18"/>
          <w:lang w:val="es-ES_tradnl"/>
        </w:rPr>
        <w:t>ó</w:t>
      </w:r>
      <w:r>
        <w:rPr>
          <w:spacing w:val="-11"/>
          <w:sz w:val="18"/>
          <w:szCs w:val="18"/>
          <w:lang w:val="es-ES_tradnl"/>
        </w:rPr>
        <w:t xml:space="preserve">n propuesto </w:t>
      </w:r>
      <w:r>
        <w:rPr>
          <w:spacing w:val="-9"/>
          <w:sz w:val="18"/>
          <w:szCs w:val="18"/>
          <w:lang w:val="es-ES_tradnl"/>
        </w:rPr>
        <w:t xml:space="preserve">y en consecuencia, revocar la sentencia subida en grado y </w:t>
      </w:r>
      <w:r>
        <w:rPr>
          <w:spacing w:val="-7"/>
          <w:sz w:val="18"/>
          <w:szCs w:val="18"/>
          <w:lang w:val="es-ES_tradnl"/>
        </w:rPr>
        <w:t>declarar con lugar la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n.</w:t>
      </w:r>
    </w:p>
    <w:p w14:paraId="4F67B427" w14:textId="77777777" w:rsidR="00591D54" w:rsidRDefault="00591D54">
      <w:pPr>
        <w:shd w:val="clear" w:color="auto" w:fill="FFFFFF"/>
        <w:spacing w:before="192" w:line="211" w:lineRule="exact"/>
        <w:jc w:val="both"/>
      </w:pPr>
      <w:r>
        <w:rPr>
          <w:spacing w:val="-5"/>
          <w:sz w:val="18"/>
          <w:szCs w:val="18"/>
          <w:lang w:val="es-ES_tradnl"/>
        </w:rPr>
        <w:t xml:space="preserve">Finalmente, al sentirse supuestamente vulnerado los </w:t>
      </w:r>
      <w:r>
        <w:rPr>
          <w:spacing w:val="-7"/>
          <w:sz w:val="18"/>
          <w:szCs w:val="18"/>
          <w:lang w:val="es-ES_tradnl"/>
        </w:rPr>
        <w:t>derechos constitucionales, el abogado V</w:t>
      </w:r>
      <w:r>
        <w:rPr>
          <w:rFonts w:cs="Times New Roman"/>
          <w:spacing w:val="-7"/>
          <w:sz w:val="18"/>
          <w:szCs w:val="18"/>
          <w:lang w:val="es-ES_tradnl"/>
        </w:rPr>
        <w:t>í</w:t>
      </w:r>
      <w:r>
        <w:rPr>
          <w:spacing w:val="-7"/>
          <w:sz w:val="18"/>
          <w:szCs w:val="18"/>
          <w:lang w:val="es-ES_tradnl"/>
        </w:rPr>
        <w:t xml:space="preserve">ctor Anchundia </w:t>
      </w:r>
      <w:r>
        <w:rPr>
          <w:spacing w:val="-6"/>
          <w:sz w:val="18"/>
          <w:szCs w:val="18"/>
          <w:lang w:val="es-ES_tradnl"/>
        </w:rPr>
        <w:t>Places en su calidad de intendente de compa</w:t>
      </w:r>
      <w:r>
        <w:rPr>
          <w:rFonts w:cs="Times New Roman"/>
          <w:spacing w:val="-6"/>
          <w:sz w:val="18"/>
          <w:szCs w:val="18"/>
          <w:lang w:val="es-ES_tradnl"/>
        </w:rPr>
        <w:t>ñí</w:t>
      </w:r>
      <w:r>
        <w:rPr>
          <w:spacing w:val="-6"/>
          <w:sz w:val="18"/>
          <w:szCs w:val="18"/>
          <w:lang w:val="es-ES_tradnl"/>
        </w:rPr>
        <w:t xml:space="preserve">as de </w:t>
      </w:r>
      <w:r>
        <w:rPr>
          <w:spacing w:val="-8"/>
          <w:sz w:val="18"/>
          <w:szCs w:val="18"/>
          <w:lang w:val="es-ES_tradnl"/>
        </w:rPr>
        <w:t>Guayaquil, interpuso la acci</w:t>
      </w:r>
      <w:r>
        <w:rPr>
          <w:rFonts w:cs="Times New Roman"/>
          <w:spacing w:val="-8"/>
          <w:sz w:val="18"/>
          <w:szCs w:val="18"/>
          <w:lang w:val="es-ES_tradnl"/>
        </w:rPr>
        <w:t>ó</w:t>
      </w:r>
      <w:r>
        <w:rPr>
          <w:spacing w:val="-8"/>
          <w:sz w:val="18"/>
          <w:szCs w:val="18"/>
          <w:lang w:val="es-ES_tradnl"/>
        </w:rPr>
        <w:t>n extraordinaria de protecci</w:t>
      </w:r>
      <w:r>
        <w:rPr>
          <w:rFonts w:cs="Times New Roman"/>
          <w:spacing w:val="-8"/>
          <w:sz w:val="18"/>
          <w:szCs w:val="18"/>
          <w:lang w:val="es-ES_tradnl"/>
        </w:rPr>
        <w:t>ó</w:t>
      </w:r>
      <w:r>
        <w:rPr>
          <w:spacing w:val="-8"/>
          <w:sz w:val="18"/>
          <w:szCs w:val="18"/>
          <w:lang w:val="es-ES_tradnl"/>
        </w:rPr>
        <w:t>n.</w:t>
      </w:r>
    </w:p>
    <w:p w14:paraId="4F67B428" w14:textId="77777777" w:rsidR="00591D54" w:rsidRDefault="00591D54">
      <w:pPr>
        <w:shd w:val="clear" w:color="auto" w:fill="FFFFFF"/>
        <w:spacing w:before="187"/>
      </w:pPr>
      <w:r>
        <w:rPr>
          <w:b/>
          <w:bCs/>
          <w:spacing w:val="-8"/>
          <w:sz w:val="18"/>
          <w:szCs w:val="18"/>
          <w:lang w:val="es-ES_tradnl"/>
        </w:rPr>
        <w:t>Detalle y fundamento de la demanda</w:t>
      </w:r>
    </w:p>
    <w:p w14:paraId="4F67B429" w14:textId="77777777" w:rsidR="00591D54" w:rsidRDefault="00591D54">
      <w:pPr>
        <w:shd w:val="clear" w:color="auto" w:fill="FFFFFF"/>
        <w:spacing w:before="192" w:line="211" w:lineRule="exact"/>
        <w:ind w:right="5"/>
        <w:jc w:val="both"/>
      </w:pPr>
      <w:r>
        <w:rPr>
          <w:spacing w:val="-3"/>
          <w:sz w:val="18"/>
          <w:szCs w:val="18"/>
          <w:lang w:val="es-ES_tradnl"/>
        </w:rPr>
        <w:t xml:space="preserve">En lo principal, el legitimado activo manifiesta que la </w:t>
      </w:r>
      <w:r>
        <w:rPr>
          <w:spacing w:val="-10"/>
          <w:sz w:val="18"/>
          <w:szCs w:val="18"/>
          <w:lang w:val="es-ES_tradnl"/>
        </w:rPr>
        <w:t>se</w:t>
      </w:r>
      <w:r>
        <w:rPr>
          <w:rFonts w:cs="Times New Roman"/>
          <w:spacing w:val="-10"/>
          <w:sz w:val="18"/>
          <w:szCs w:val="18"/>
          <w:lang w:val="es-ES_tradnl"/>
        </w:rPr>
        <w:t>ñ</w:t>
      </w:r>
      <w:r>
        <w:rPr>
          <w:spacing w:val="-10"/>
          <w:sz w:val="18"/>
          <w:szCs w:val="18"/>
          <w:lang w:val="es-ES_tradnl"/>
        </w:rPr>
        <w:t>ora Blanca Cordero Hern</w:t>
      </w:r>
      <w:r>
        <w:rPr>
          <w:rFonts w:cs="Times New Roman"/>
          <w:spacing w:val="-10"/>
          <w:sz w:val="18"/>
          <w:szCs w:val="18"/>
          <w:lang w:val="es-ES_tradnl"/>
        </w:rPr>
        <w:t>á</w:t>
      </w:r>
      <w:r>
        <w:rPr>
          <w:spacing w:val="-10"/>
          <w:sz w:val="18"/>
          <w:szCs w:val="18"/>
          <w:lang w:val="es-ES_tradnl"/>
        </w:rPr>
        <w:t xml:space="preserve">ndez en su calidad de gerente </w:t>
      </w:r>
      <w:r>
        <w:rPr>
          <w:spacing w:val="-8"/>
          <w:sz w:val="18"/>
          <w:szCs w:val="18"/>
          <w:lang w:val="es-ES_tradnl"/>
        </w:rPr>
        <w:t>general y representante legal de la compa</w:t>
      </w:r>
      <w:r>
        <w:rPr>
          <w:rFonts w:cs="Times New Roman"/>
          <w:spacing w:val="-8"/>
          <w:sz w:val="18"/>
          <w:szCs w:val="18"/>
          <w:lang w:val="es-ES_tradnl"/>
        </w:rPr>
        <w:t>ñí</w:t>
      </w:r>
      <w:r>
        <w:rPr>
          <w:spacing w:val="-8"/>
          <w:sz w:val="18"/>
          <w:szCs w:val="18"/>
          <w:lang w:val="es-ES_tradnl"/>
        </w:rPr>
        <w:t xml:space="preserve">a Piscinas del </w:t>
      </w:r>
      <w:r>
        <w:rPr>
          <w:spacing w:val="-4"/>
          <w:sz w:val="18"/>
          <w:szCs w:val="18"/>
          <w:lang w:val="es-ES_tradnl"/>
        </w:rPr>
        <w:t>Ecuador S .A. (PIDESA), present</w:t>
      </w:r>
      <w:r>
        <w:rPr>
          <w:rFonts w:cs="Times New Roman"/>
          <w:spacing w:val="-4"/>
          <w:sz w:val="18"/>
          <w:szCs w:val="18"/>
          <w:lang w:val="es-ES_tradnl"/>
        </w:rPr>
        <w:t>ó</w:t>
      </w:r>
      <w:r>
        <w:rPr>
          <w:spacing w:val="-4"/>
          <w:sz w:val="18"/>
          <w:szCs w:val="18"/>
          <w:lang w:val="es-ES_tradnl"/>
        </w:rPr>
        <w:t xml:space="preserve"> acci</w:t>
      </w:r>
      <w:r>
        <w:rPr>
          <w:rFonts w:cs="Times New Roman"/>
          <w:spacing w:val="-4"/>
          <w:sz w:val="18"/>
          <w:szCs w:val="18"/>
          <w:lang w:val="es-ES_tradnl"/>
        </w:rPr>
        <w:t>ó</w:t>
      </w:r>
      <w:r>
        <w:rPr>
          <w:spacing w:val="-4"/>
          <w:sz w:val="18"/>
          <w:szCs w:val="18"/>
          <w:lang w:val="es-ES_tradnl"/>
        </w:rPr>
        <w:t>n de protecci</w:t>
      </w:r>
      <w:r>
        <w:rPr>
          <w:rFonts w:cs="Times New Roman"/>
          <w:spacing w:val="-4"/>
          <w:sz w:val="18"/>
          <w:szCs w:val="18"/>
          <w:lang w:val="es-ES_tradnl"/>
        </w:rPr>
        <w:t>ó</w:t>
      </w:r>
      <w:r>
        <w:rPr>
          <w:spacing w:val="-4"/>
          <w:sz w:val="18"/>
          <w:szCs w:val="18"/>
          <w:lang w:val="es-ES_tradnl"/>
        </w:rPr>
        <w:t xml:space="preserve">n </w:t>
      </w:r>
      <w:r>
        <w:rPr>
          <w:spacing w:val="-6"/>
          <w:sz w:val="18"/>
          <w:szCs w:val="18"/>
          <w:lang w:val="es-ES_tradnl"/>
        </w:rPr>
        <w:t>el 04 de mayo de 2011, impugnando la Resoluci</w:t>
      </w:r>
      <w:r>
        <w:rPr>
          <w:rFonts w:cs="Times New Roman"/>
          <w:spacing w:val="-6"/>
          <w:sz w:val="18"/>
          <w:szCs w:val="18"/>
          <w:lang w:val="es-ES_tradnl"/>
        </w:rPr>
        <w:t>ó</w:t>
      </w:r>
      <w:r>
        <w:rPr>
          <w:spacing w:val="-6"/>
          <w:sz w:val="18"/>
          <w:szCs w:val="18"/>
          <w:lang w:val="es-ES_tradnl"/>
        </w:rPr>
        <w:t>n N.</w:t>
      </w:r>
      <w:r>
        <w:rPr>
          <w:rFonts w:cs="Times New Roman"/>
          <w:spacing w:val="-6"/>
          <w:sz w:val="18"/>
          <w:szCs w:val="18"/>
          <w:lang w:val="es-ES_tradnl"/>
        </w:rPr>
        <w:t xml:space="preserve">º </w:t>
      </w:r>
      <w:r>
        <w:rPr>
          <w:spacing w:val="-6"/>
          <w:sz w:val="18"/>
          <w:szCs w:val="18"/>
          <w:lang w:val="es-ES_tradnl"/>
        </w:rPr>
        <w:t xml:space="preserve">SC-IJ-G-11-0013 del 17 de marzo de 2011, emitida por la </w:t>
      </w:r>
      <w:r>
        <w:rPr>
          <w:spacing w:val="-9"/>
          <w:sz w:val="18"/>
          <w:szCs w:val="18"/>
          <w:lang w:val="es-ES_tradnl"/>
        </w:rPr>
        <w:t>Superintendencia de Compa</w:t>
      </w:r>
      <w:r>
        <w:rPr>
          <w:rFonts w:cs="Times New Roman"/>
          <w:spacing w:val="-9"/>
          <w:sz w:val="18"/>
          <w:szCs w:val="18"/>
          <w:lang w:val="es-ES_tradnl"/>
        </w:rPr>
        <w:t>ñí</w:t>
      </w:r>
      <w:r>
        <w:rPr>
          <w:spacing w:val="-9"/>
          <w:sz w:val="18"/>
          <w:szCs w:val="18"/>
          <w:lang w:val="es-ES_tradnl"/>
        </w:rPr>
        <w:t xml:space="preserve">as de Guayaquil, causa que </w:t>
      </w:r>
      <w:r>
        <w:rPr>
          <w:spacing w:val="-5"/>
          <w:sz w:val="18"/>
          <w:szCs w:val="18"/>
          <w:lang w:val="es-ES_tradnl"/>
        </w:rPr>
        <w:t>fue conocida por el juez vig</w:t>
      </w:r>
      <w:r>
        <w:rPr>
          <w:rFonts w:cs="Times New Roman"/>
          <w:spacing w:val="-5"/>
          <w:sz w:val="18"/>
          <w:szCs w:val="18"/>
          <w:lang w:val="es-ES_tradnl"/>
        </w:rPr>
        <w:t>é</w:t>
      </w:r>
      <w:r>
        <w:rPr>
          <w:spacing w:val="-5"/>
          <w:sz w:val="18"/>
          <w:szCs w:val="18"/>
          <w:lang w:val="es-ES_tradnl"/>
        </w:rPr>
        <w:t xml:space="preserve">simo tercero de lo civil del </w:t>
      </w:r>
      <w:r>
        <w:rPr>
          <w:sz w:val="18"/>
          <w:szCs w:val="18"/>
          <w:lang w:val="es-ES_tradnl"/>
        </w:rPr>
        <w:t>Guayas signada con el N.</w:t>
      </w:r>
      <w:r>
        <w:rPr>
          <w:rFonts w:cs="Times New Roman"/>
          <w:sz w:val="18"/>
          <w:szCs w:val="18"/>
          <w:lang w:val="es-ES_tradnl"/>
        </w:rPr>
        <w:t>º</w:t>
      </w:r>
      <w:r>
        <w:rPr>
          <w:sz w:val="18"/>
          <w:szCs w:val="18"/>
          <w:lang w:val="es-ES_tradnl"/>
        </w:rPr>
        <w:t xml:space="preserve"> 385-2011.</w:t>
      </w:r>
    </w:p>
    <w:p w14:paraId="4F67B42A" w14:textId="77777777" w:rsidR="00591D54" w:rsidRDefault="00591D54">
      <w:pPr>
        <w:shd w:val="clear" w:color="auto" w:fill="FFFFFF"/>
        <w:spacing w:before="192" w:line="211" w:lineRule="exact"/>
        <w:ind w:right="5"/>
        <w:jc w:val="both"/>
      </w:pPr>
      <w:r>
        <w:rPr>
          <w:spacing w:val="-6"/>
          <w:sz w:val="18"/>
          <w:szCs w:val="18"/>
          <w:lang w:val="es-ES_tradnl"/>
        </w:rPr>
        <w:t xml:space="preserve">Manifiesta que el 21 de junio de 2011, el juez de primera </w:t>
      </w:r>
      <w:r>
        <w:rPr>
          <w:spacing w:val="-9"/>
          <w:sz w:val="18"/>
          <w:szCs w:val="18"/>
          <w:lang w:val="es-ES_tradnl"/>
        </w:rPr>
        <w:t>instancia resuelve declarar sin lugar la acci</w:t>
      </w:r>
      <w:r>
        <w:rPr>
          <w:rFonts w:cs="Times New Roman"/>
          <w:spacing w:val="-9"/>
          <w:sz w:val="18"/>
          <w:szCs w:val="18"/>
          <w:lang w:val="es-ES_tradnl"/>
        </w:rPr>
        <w:t>ó</w:t>
      </w:r>
      <w:r>
        <w:rPr>
          <w:spacing w:val="-9"/>
          <w:sz w:val="18"/>
          <w:szCs w:val="18"/>
          <w:lang w:val="es-ES_tradnl"/>
        </w:rPr>
        <w:t>n de protecci</w:t>
      </w:r>
      <w:r>
        <w:rPr>
          <w:rFonts w:cs="Times New Roman"/>
          <w:spacing w:val="-9"/>
          <w:sz w:val="18"/>
          <w:szCs w:val="18"/>
          <w:lang w:val="es-ES_tradnl"/>
        </w:rPr>
        <w:t>ó</w:t>
      </w:r>
      <w:r>
        <w:rPr>
          <w:spacing w:val="-9"/>
          <w:sz w:val="18"/>
          <w:szCs w:val="18"/>
          <w:lang w:val="es-ES_tradnl"/>
        </w:rPr>
        <w:t xml:space="preserve">n </w:t>
      </w:r>
      <w:r>
        <w:rPr>
          <w:spacing w:val="-6"/>
          <w:sz w:val="18"/>
          <w:szCs w:val="18"/>
          <w:lang w:val="es-ES_tradnl"/>
        </w:rPr>
        <w:t>propuesta por la se</w:t>
      </w:r>
      <w:r>
        <w:rPr>
          <w:rFonts w:cs="Times New Roman"/>
          <w:spacing w:val="-6"/>
          <w:sz w:val="18"/>
          <w:szCs w:val="18"/>
          <w:lang w:val="es-ES_tradnl"/>
        </w:rPr>
        <w:t>ñ</w:t>
      </w:r>
      <w:r>
        <w:rPr>
          <w:spacing w:val="-6"/>
          <w:sz w:val="18"/>
          <w:szCs w:val="18"/>
          <w:lang w:val="es-ES_tradnl"/>
        </w:rPr>
        <w:t>ora Blanca Cordero Hern</w:t>
      </w:r>
      <w:r>
        <w:rPr>
          <w:rFonts w:cs="Times New Roman"/>
          <w:spacing w:val="-6"/>
          <w:sz w:val="18"/>
          <w:szCs w:val="18"/>
          <w:lang w:val="es-ES_tradnl"/>
        </w:rPr>
        <w:t>á</w:t>
      </w:r>
      <w:r>
        <w:rPr>
          <w:spacing w:val="-6"/>
          <w:sz w:val="18"/>
          <w:szCs w:val="18"/>
          <w:lang w:val="es-ES_tradnl"/>
        </w:rPr>
        <w:t xml:space="preserve">ndez, por </w:t>
      </w:r>
      <w:r>
        <w:rPr>
          <w:spacing w:val="-9"/>
          <w:sz w:val="18"/>
          <w:szCs w:val="18"/>
          <w:lang w:val="es-ES_tradnl"/>
        </w:rPr>
        <w:t>los derechos que representa de la compa</w:t>
      </w:r>
      <w:r>
        <w:rPr>
          <w:rFonts w:cs="Times New Roman"/>
          <w:spacing w:val="-9"/>
          <w:sz w:val="18"/>
          <w:szCs w:val="18"/>
          <w:lang w:val="es-ES_tradnl"/>
        </w:rPr>
        <w:t>ñí</w:t>
      </w:r>
      <w:r>
        <w:rPr>
          <w:spacing w:val="-9"/>
          <w:sz w:val="18"/>
          <w:szCs w:val="18"/>
          <w:lang w:val="es-ES_tradnl"/>
        </w:rPr>
        <w:t xml:space="preserve">a Piscinas del </w:t>
      </w:r>
      <w:r>
        <w:rPr>
          <w:spacing w:val="-4"/>
          <w:sz w:val="18"/>
          <w:szCs w:val="18"/>
          <w:lang w:val="es-ES_tradnl"/>
        </w:rPr>
        <w:t>Ecuador S. A. (PIDESA), ante esta decisi</w:t>
      </w:r>
      <w:r>
        <w:rPr>
          <w:rFonts w:cs="Times New Roman"/>
          <w:spacing w:val="-4"/>
          <w:sz w:val="18"/>
          <w:szCs w:val="18"/>
          <w:lang w:val="es-ES_tradnl"/>
        </w:rPr>
        <w:t>ó</w:t>
      </w:r>
      <w:r>
        <w:rPr>
          <w:spacing w:val="-4"/>
          <w:sz w:val="18"/>
          <w:szCs w:val="18"/>
          <w:lang w:val="es-ES_tradnl"/>
        </w:rPr>
        <w:t>n present</w:t>
      </w:r>
      <w:r>
        <w:rPr>
          <w:rFonts w:cs="Times New Roman"/>
          <w:spacing w:val="-4"/>
          <w:sz w:val="18"/>
          <w:szCs w:val="18"/>
          <w:lang w:val="es-ES_tradnl"/>
        </w:rPr>
        <w:t xml:space="preserve">ó </w:t>
      </w:r>
      <w:r>
        <w:rPr>
          <w:spacing w:val="-8"/>
          <w:sz w:val="18"/>
          <w:szCs w:val="18"/>
          <w:lang w:val="es-ES_tradnl"/>
        </w:rPr>
        <w:t>recurso de apelaci</w:t>
      </w:r>
      <w:r>
        <w:rPr>
          <w:rFonts w:cs="Times New Roman"/>
          <w:spacing w:val="-8"/>
          <w:sz w:val="18"/>
          <w:szCs w:val="18"/>
          <w:lang w:val="es-ES_tradnl"/>
        </w:rPr>
        <w:t>ó</w:t>
      </w:r>
      <w:r>
        <w:rPr>
          <w:spacing w:val="-8"/>
          <w:sz w:val="18"/>
          <w:szCs w:val="18"/>
          <w:lang w:val="es-ES_tradnl"/>
        </w:rPr>
        <w:t>n el 27 de junio de 2011.</w:t>
      </w:r>
    </w:p>
    <w:p w14:paraId="4F67B42B" w14:textId="77777777" w:rsidR="00591D54" w:rsidRDefault="00591D54">
      <w:pPr>
        <w:shd w:val="clear" w:color="auto" w:fill="FFFFFF"/>
        <w:spacing w:before="192" w:line="211" w:lineRule="exact"/>
        <w:ind w:right="5"/>
        <w:jc w:val="both"/>
      </w:pPr>
      <w:r>
        <w:rPr>
          <w:spacing w:val="-9"/>
          <w:sz w:val="18"/>
          <w:szCs w:val="18"/>
          <w:lang w:val="es-ES_tradnl"/>
        </w:rPr>
        <w:t>Menciona que la decisi</w:t>
      </w:r>
      <w:r>
        <w:rPr>
          <w:rFonts w:cs="Times New Roman"/>
          <w:spacing w:val="-9"/>
          <w:sz w:val="18"/>
          <w:szCs w:val="18"/>
          <w:lang w:val="es-ES_tradnl"/>
        </w:rPr>
        <w:t>ó</w:t>
      </w:r>
      <w:r>
        <w:rPr>
          <w:spacing w:val="-9"/>
          <w:sz w:val="18"/>
          <w:szCs w:val="18"/>
          <w:lang w:val="es-ES_tradnl"/>
        </w:rPr>
        <w:t>n emitida por los jueces de mayor</w:t>
      </w:r>
      <w:r>
        <w:rPr>
          <w:rFonts w:cs="Times New Roman"/>
          <w:spacing w:val="-9"/>
          <w:sz w:val="18"/>
          <w:szCs w:val="18"/>
          <w:lang w:val="es-ES_tradnl"/>
        </w:rPr>
        <w:t>í</w:t>
      </w:r>
      <w:r>
        <w:rPr>
          <w:spacing w:val="-9"/>
          <w:sz w:val="18"/>
          <w:szCs w:val="18"/>
          <w:lang w:val="es-ES_tradnl"/>
        </w:rPr>
        <w:t xml:space="preserve">a </w:t>
      </w:r>
      <w:r>
        <w:rPr>
          <w:spacing w:val="-3"/>
          <w:sz w:val="18"/>
          <w:szCs w:val="18"/>
          <w:lang w:val="es-ES_tradnl"/>
        </w:rPr>
        <w:t>de la Primera Sala de lo Laboral, Ni</w:t>
      </w:r>
      <w:r>
        <w:rPr>
          <w:rFonts w:cs="Times New Roman"/>
          <w:spacing w:val="-3"/>
          <w:sz w:val="18"/>
          <w:szCs w:val="18"/>
          <w:lang w:val="es-ES_tradnl"/>
        </w:rPr>
        <w:t>ñ</w:t>
      </w:r>
      <w:r>
        <w:rPr>
          <w:spacing w:val="-3"/>
          <w:sz w:val="18"/>
          <w:szCs w:val="18"/>
          <w:lang w:val="es-ES_tradnl"/>
        </w:rPr>
        <w:t xml:space="preserve">ez y Adolescencia </w:t>
      </w:r>
      <w:r>
        <w:rPr>
          <w:spacing w:val="-6"/>
          <w:sz w:val="18"/>
          <w:szCs w:val="18"/>
          <w:lang w:val="es-ES_tradnl"/>
        </w:rPr>
        <w:t xml:space="preserve">de la Corte Provincial de Justicia del Guayas, revocan la </w:t>
      </w:r>
      <w:r>
        <w:rPr>
          <w:spacing w:val="-3"/>
          <w:sz w:val="18"/>
          <w:szCs w:val="18"/>
          <w:lang w:val="es-ES_tradnl"/>
        </w:rPr>
        <w:t xml:space="preserve">sentencia subida en grado y en consecuencia, aceptan </w:t>
      </w:r>
      <w:r>
        <w:rPr>
          <w:spacing w:val="-5"/>
          <w:sz w:val="18"/>
          <w:szCs w:val="18"/>
          <w:lang w:val="es-ES_tradnl"/>
        </w:rPr>
        <w:t>la acci</w:t>
      </w:r>
      <w:r>
        <w:rPr>
          <w:rFonts w:cs="Times New Roman"/>
          <w:spacing w:val="-5"/>
          <w:sz w:val="18"/>
          <w:szCs w:val="18"/>
          <w:lang w:val="es-ES_tradnl"/>
        </w:rPr>
        <w:t>ó</w:t>
      </w:r>
      <w:r>
        <w:rPr>
          <w:spacing w:val="-5"/>
          <w:sz w:val="18"/>
          <w:szCs w:val="18"/>
          <w:lang w:val="es-ES_tradnl"/>
        </w:rPr>
        <w:t>n de protecci</w:t>
      </w:r>
      <w:r>
        <w:rPr>
          <w:rFonts w:cs="Times New Roman"/>
          <w:spacing w:val="-5"/>
          <w:sz w:val="18"/>
          <w:szCs w:val="18"/>
          <w:lang w:val="es-ES_tradnl"/>
        </w:rPr>
        <w:t>ó</w:t>
      </w:r>
      <w:r>
        <w:rPr>
          <w:spacing w:val="-5"/>
          <w:sz w:val="18"/>
          <w:szCs w:val="18"/>
          <w:lang w:val="es-ES_tradnl"/>
        </w:rPr>
        <w:t>n, sin identificar y justificar de qu</w:t>
      </w:r>
      <w:r>
        <w:rPr>
          <w:rFonts w:cs="Times New Roman"/>
          <w:spacing w:val="-5"/>
          <w:sz w:val="18"/>
          <w:szCs w:val="18"/>
          <w:lang w:val="es-ES_tradnl"/>
        </w:rPr>
        <w:t xml:space="preserve">é </w:t>
      </w:r>
      <w:r>
        <w:rPr>
          <w:spacing w:val="-9"/>
          <w:sz w:val="18"/>
          <w:szCs w:val="18"/>
          <w:lang w:val="es-ES_tradnl"/>
        </w:rPr>
        <w:t xml:space="preserve">manera se cumplen los tres requisitos fundamentales para </w:t>
      </w:r>
      <w:r>
        <w:rPr>
          <w:sz w:val="18"/>
          <w:szCs w:val="18"/>
          <w:lang w:val="es-ES_tradnl"/>
        </w:rPr>
        <w:t>que una acci</w:t>
      </w:r>
      <w:r>
        <w:rPr>
          <w:rFonts w:cs="Times New Roman"/>
          <w:sz w:val="18"/>
          <w:szCs w:val="18"/>
          <w:lang w:val="es-ES_tradnl"/>
        </w:rPr>
        <w:t>ó</w:t>
      </w:r>
      <w:r>
        <w:rPr>
          <w:sz w:val="18"/>
          <w:szCs w:val="18"/>
          <w:lang w:val="es-ES_tradnl"/>
        </w:rPr>
        <w:t>n de protecci</w:t>
      </w:r>
      <w:r>
        <w:rPr>
          <w:rFonts w:cs="Times New Roman"/>
          <w:sz w:val="18"/>
          <w:szCs w:val="18"/>
          <w:lang w:val="es-ES_tradnl"/>
        </w:rPr>
        <w:t>ó</w:t>
      </w:r>
      <w:r>
        <w:rPr>
          <w:sz w:val="18"/>
          <w:szCs w:val="18"/>
          <w:lang w:val="es-ES_tradnl"/>
        </w:rPr>
        <w:t>n proceda.</w:t>
      </w:r>
    </w:p>
    <w:p w14:paraId="4F67B42C" w14:textId="77777777" w:rsidR="00591D54" w:rsidRDefault="00591D54">
      <w:pPr>
        <w:shd w:val="clear" w:color="auto" w:fill="FFFFFF"/>
        <w:spacing w:before="192" w:line="211" w:lineRule="exact"/>
        <w:ind w:right="5"/>
        <w:jc w:val="both"/>
      </w:pPr>
      <w:r>
        <w:rPr>
          <w:spacing w:val="-8"/>
          <w:sz w:val="18"/>
          <w:szCs w:val="18"/>
          <w:lang w:val="es-ES_tradnl"/>
        </w:rPr>
        <w:t>Alega que para los jueces de la Primera Sala de lo Laboral, Ni</w:t>
      </w:r>
      <w:r>
        <w:rPr>
          <w:rFonts w:cs="Times New Roman"/>
          <w:spacing w:val="-8"/>
          <w:sz w:val="18"/>
          <w:szCs w:val="18"/>
          <w:lang w:val="es-ES_tradnl"/>
        </w:rPr>
        <w:t>ñ</w:t>
      </w:r>
      <w:r>
        <w:rPr>
          <w:spacing w:val="-8"/>
          <w:sz w:val="18"/>
          <w:szCs w:val="18"/>
          <w:lang w:val="es-ES_tradnl"/>
        </w:rPr>
        <w:t>ez y Adolescencia del Guayas, la Superintendencia de Compa</w:t>
      </w:r>
      <w:r>
        <w:rPr>
          <w:rFonts w:cs="Times New Roman"/>
          <w:spacing w:val="-8"/>
          <w:sz w:val="18"/>
          <w:szCs w:val="18"/>
          <w:lang w:val="es-ES_tradnl"/>
        </w:rPr>
        <w:t>ñí</w:t>
      </w:r>
      <w:r>
        <w:rPr>
          <w:spacing w:val="-8"/>
          <w:sz w:val="18"/>
          <w:szCs w:val="18"/>
          <w:lang w:val="es-ES_tradnl"/>
        </w:rPr>
        <w:t>as vulner</w:t>
      </w:r>
      <w:r>
        <w:rPr>
          <w:rFonts w:cs="Times New Roman"/>
          <w:spacing w:val="-8"/>
          <w:sz w:val="18"/>
          <w:szCs w:val="18"/>
          <w:lang w:val="es-ES_tradnl"/>
        </w:rPr>
        <w:t>ó</w:t>
      </w:r>
      <w:r>
        <w:rPr>
          <w:spacing w:val="-8"/>
          <w:sz w:val="18"/>
          <w:szCs w:val="18"/>
          <w:lang w:val="es-ES_tradnl"/>
        </w:rPr>
        <w:t xml:space="preserve"> los derechos de la compa</w:t>
      </w:r>
      <w:r>
        <w:rPr>
          <w:rFonts w:cs="Times New Roman"/>
          <w:spacing w:val="-8"/>
          <w:sz w:val="18"/>
          <w:szCs w:val="18"/>
          <w:lang w:val="es-ES_tradnl"/>
        </w:rPr>
        <w:t>ñí</w:t>
      </w:r>
      <w:r>
        <w:rPr>
          <w:spacing w:val="-8"/>
          <w:sz w:val="18"/>
          <w:szCs w:val="18"/>
          <w:lang w:val="es-ES_tradnl"/>
        </w:rPr>
        <w:t xml:space="preserve">a Piscinas </w:t>
      </w:r>
      <w:r>
        <w:rPr>
          <w:spacing w:val="-7"/>
          <w:sz w:val="18"/>
          <w:szCs w:val="18"/>
          <w:lang w:val="es-ES_tradnl"/>
        </w:rPr>
        <w:t xml:space="preserve">del Ecuador S. A. (PIDESA), por exigir que se cumpla con </w:t>
      </w:r>
      <w:r>
        <w:rPr>
          <w:spacing w:val="-8"/>
          <w:sz w:val="18"/>
          <w:szCs w:val="18"/>
          <w:lang w:val="es-ES_tradnl"/>
        </w:rPr>
        <w:t>las obligaciones previstas en las leyes que la regula.</w:t>
      </w:r>
    </w:p>
    <w:p w14:paraId="4F67B42D" w14:textId="77777777" w:rsidR="00591D54" w:rsidRDefault="00591D54">
      <w:pPr>
        <w:shd w:val="clear" w:color="auto" w:fill="FFFFFF"/>
        <w:spacing w:before="192" w:line="211" w:lineRule="exact"/>
        <w:ind w:right="5"/>
        <w:jc w:val="both"/>
      </w:pPr>
      <w:r>
        <w:rPr>
          <w:spacing w:val="-9"/>
          <w:sz w:val="18"/>
          <w:szCs w:val="18"/>
          <w:lang w:val="es-ES_tradnl"/>
        </w:rPr>
        <w:t xml:space="preserve">El ahora accionante se pregunta </w:t>
      </w:r>
      <w:r>
        <w:rPr>
          <w:rFonts w:cs="Times New Roman"/>
          <w:spacing w:val="-9"/>
          <w:sz w:val="18"/>
          <w:szCs w:val="18"/>
          <w:lang w:val="es-ES_tradnl"/>
        </w:rPr>
        <w:t>¿</w:t>
      </w:r>
      <w:r>
        <w:rPr>
          <w:spacing w:val="-9"/>
          <w:sz w:val="18"/>
          <w:szCs w:val="18"/>
          <w:lang w:val="es-ES_tradnl"/>
        </w:rPr>
        <w:t>de qu</w:t>
      </w:r>
      <w:r>
        <w:rPr>
          <w:rFonts w:cs="Times New Roman"/>
          <w:spacing w:val="-9"/>
          <w:sz w:val="18"/>
          <w:szCs w:val="18"/>
          <w:lang w:val="es-ES_tradnl"/>
        </w:rPr>
        <w:t>é</w:t>
      </w:r>
      <w:r>
        <w:rPr>
          <w:spacing w:val="-9"/>
          <w:sz w:val="18"/>
          <w:szCs w:val="18"/>
          <w:lang w:val="es-ES_tradnl"/>
        </w:rPr>
        <w:t xml:space="preserve"> manera se ha </w:t>
      </w:r>
      <w:r>
        <w:rPr>
          <w:spacing w:val="-6"/>
          <w:sz w:val="18"/>
          <w:szCs w:val="18"/>
          <w:lang w:val="es-ES_tradnl"/>
        </w:rPr>
        <w:t xml:space="preserve">coartado el derecho a la libertad?, </w:t>
      </w:r>
      <w:r>
        <w:rPr>
          <w:rFonts w:cs="Times New Roman"/>
          <w:spacing w:val="-6"/>
          <w:sz w:val="18"/>
          <w:szCs w:val="18"/>
          <w:lang w:val="es-ES_tradnl"/>
        </w:rPr>
        <w:t>¿</w:t>
      </w:r>
      <w:r>
        <w:rPr>
          <w:spacing w:val="-6"/>
          <w:sz w:val="18"/>
          <w:szCs w:val="18"/>
          <w:lang w:val="es-ES_tradnl"/>
        </w:rPr>
        <w:t>de qu</w:t>
      </w:r>
      <w:r>
        <w:rPr>
          <w:rFonts w:cs="Times New Roman"/>
          <w:spacing w:val="-6"/>
          <w:sz w:val="18"/>
          <w:szCs w:val="18"/>
          <w:lang w:val="es-ES_tradnl"/>
        </w:rPr>
        <w:t>é</w:t>
      </w:r>
      <w:r>
        <w:rPr>
          <w:spacing w:val="-6"/>
          <w:sz w:val="18"/>
          <w:szCs w:val="18"/>
          <w:lang w:val="es-ES_tradnl"/>
        </w:rPr>
        <w:t xml:space="preserve"> manera se ha</w:t>
      </w:r>
    </w:p>
    <w:p w14:paraId="4F67B42E" w14:textId="77777777" w:rsidR="00591D54" w:rsidRDefault="00591D54">
      <w:pPr>
        <w:shd w:val="clear" w:color="auto" w:fill="FFFFFF"/>
        <w:spacing w:line="216" w:lineRule="exact"/>
        <w:jc w:val="both"/>
      </w:pPr>
      <w:r>
        <w:br w:type="column"/>
      </w:r>
      <w:r>
        <w:rPr>
          <w:spacing w:val="-5"/>
          <w:sz w:val="18"/>
          <w:szCs w:val="18"/>
          <w:lang w:val="es-ES_tradnl"/>
        </w:rPr>
        <w:t>impedido desarrollar su actividad econ</w:t>
      </w:r>
      <w:r>
        <w:rPr>
          <w:rFonts w:cs="Times New Roman"/>
          <w:spacing w:val="-5"/>
          <w:sz w:val="18"/>
          <w:szCs w:val="18"/>
          <w:lang w:val="es-ES_tradnl"/>
        </w:rPr>
        <w:t>ó</w:t>
      </w:r>
      <w:r>
        <w:rPr>
          <w:spacing w:val="-5"/>
          <w:sz w:val="18"/>
          <w:szCs w:val="18"/>
          <w:lang w:val="es-ES_tradnl"/>
        </w:rPr>
        <w:t xml:space="preserve">mica o el giro de </w:t>
      </w:r>
      <w:r>
        <w:rPr>
          <w:spacing w:val="-6"/>
          <w:sz w:val="18"/>
          <w:szCs w:val="18"/>
          <w:lang w:val="es-ES_tradnl"/>
        </w:rPr>
        <w:t xml:space="preserve">su actividad? Que, nada de esto ha ocurrido por cuanto </w:t>
      </w:r>
      <w:r>
        <w:rPr>
          <w:spacing w:val="-1"/>
          <w:sz w:val="18"/>
          <w:szCs w:val="18"/>
          <w:lang w:val="es-ES_tradnl"/>
        </w:rPr>
        <w:t xml:space="preserve">como organismo de control han dado cumplimiento a </w:t>
      </w:r>
      <w:r>
        <w:rPr>
          <w:spacing w:val="-5"/>
          <w:sz w:val="18"/>
          <w:szCs w:val="18"/>
          <w:lang w:val="es-ES_tradnl"/>
        </w:rPr>
        <w:t>sus facultades una vez que observaron y analizaron que la compa</w:t>
      </w:r>
      <w:r>
        <w:rPr>
          <w:rFonts w:cs="Times New Roman"/>
          <w:spacing w:val="-5"/>
          <w:sz w:val="18"/>
          <w:szCs w:val="18"/>
          <w:lang w:val="es-ES_tradnl"/>
        </w:rPr>
        <w:t>ñí</w:t>
      </w:r>
      <w:r>
        <w:rPr>
          <w:spacing w:val="-5"/>
          <w:sz w:val="18"/>
          <w:szCs w:val="18"/>
          <w:lang w:val="es-ES_tradnl"/>
        </w:rPr>
        <w:t xml:space="preserve">a Piscinas del Ecuador S. A. (PIDESA), no </w:t>
      </w:r>
      <w:r>
        <w:rPr>
          <w:spacing w:val="-7"/>
          <w:sz w:val="18"/>
          <w:szCs w:val="18"/>
          <w:lang w:val="es-ES_tradnl"/>
        </w:rPr>
        <w:t>cumpli</w:t>
      </w:r>
      <w:r>
        <w:rPr>
          <w:rFonts w:cs="Times New Roman"/>
          <w:spacing w:val="-7"/>
          <w:sz w:val="18"/>
          <w:szCs w:val="18"/>
          <w:lang w:val="es-ES_tradnl"/>
        </w:rPr>
        <w:t>ó</w:t>
      </w:r>
      <w:r>
        <w:rPr>
          <w:spacing w:val="-7"/>
          <w:sz w:val="18"/>
          <w:szCs w:val="18"/>
          <w:lang w:val="es-ES_tradnl"/>
        </w:rPr>
        <w:t xml:space="preserve"> con las obligaciones respectivas y es por ello, que </w:t>
      </w:r>
      <w:r>
        <w:rPr>
          <w:spacing w:val="-9"/>
          <w:sz w:val="18"/>
          <w:szCs w:val="18"/>
          <w:lang w:val="es-ES_tradnl"/>
        </w:rPr>
        <w:t>se declar</w:t>
      </w:r>
      <w:r>
        <w:rPr>
          <w:rFonts w:cs="Times New Roman"/>
          <w:spacing w:val="-9"/>
          <w:sz w:val="18"/>
          <w:szCs w:val="18"/>
          <w:lang w:val="es-ES_tradnl"/>
        </w:rPr>
        <w:t>ó</w:t>
      </w:r>
      <w:r>
        <w:rPr>
          <w:spacing w:val="-9"/>
          <w:sz w:val="18"/>
          <w:szCs w:val="18"/>
          <w:lang w:val="es-ES_tradnl"/>
        </w:rPr>
        <w:t xml:space="preserve"> la intervenci</w:t>
      </w:r>
      <w:r>
        <w:rPr>
          <w:rFonts w:cs="Times New Roman"/>
          <w:spacing w:val="-9"/>
          <w:sz w:val="18"/>
          <w:szCs w:val="18"/>
          <w:lang w:val="es-ES_tradnl"/>
        </w:rPr>
        <w:t>ó</w:t>
      </w:r>
      <w:r>
        <w:rPr>
          <w:spacing w:val="-9"/>
          <w:sz w:val="18"/>
          <w:szCs w:val="18"/>
          <w:lang w:val="es-ES_tradnl"/>
        </w:rPr>
        <w:t>n de la compa</w:t>
      </w:r>
      <w:r>
        <w:rPr>
          <w:rFonts w:cs="Times New Roman"/>
          <w:spacing w:val="-9"/>
          <w:sz w:val="18"/>
          <w:szCs w:val="18"/>
          <w:lang w:val="es-ES_tradnl"/>
        </w:rPr>
        <w:t>ñí</w:t>
      </w:r>
      <w:r>
        <w:rPr>
          <w:spacing w:val="-9"/>
          <w:sz w:val="18"/>
          <w:szCs w:val="18"/>
          <w:lang w:val="es-ES_tradnl"/>
        </w:rPr>
        <w:t>a. Que la actuaci</w:t>
      </w:r>
      <w:r>
        <w:rPr>
          <w:rFonts w:cs="Times New Roman"/>
          <w:spacing w:val="-9"/>
          <w:sz w:val="18"/>
          <w:szCs w:val="18"/>
          <w:lang w:val="es-ES_tradnl"/>
        </w:rPr>
        <w:t>ó</w:t>
      </w:r>
      <w:r>
        <w:rPr>
          <w:spacing w:val="-9"/>
          <w:sz w:val="18"/>
          <w:szCs w:val="18"/>
          <w:lang w:val="es-ES_tradnl"/>
        </w:rPr>
        <w:t>n de la Superintendencia de Compa</w:t>
      </w:r>
      <w:r>
        <w:rPr>
          <w:rFonts w:cs="Times New Roman"/>
          <w:spacing w:val="-9"/>
          <w:sz w:val="18"/>
          <w:szCs w:val="18"/>
          <w:lang w:val="es-ES_tradnl"/>
        </w:rPr>
        <w:t>ñí</w:t>
      </w:r>
      <w:r>
        <w:rPr>
          <w:spacing w:val="-9"/>
          <w:sz w:val="18"/>
          <w:szCs w:val="18"/>
          <w:lang w:val="es-ES_tradnl"/>
        </w:rPr>
        <w:t xml:space="preserve">as ha sido en base a la </w:t>
      </w:r>
      <w:r>
        <w:rPr>
          <w:spacing w:val="-11"/>
          <w:sz w:val="18"/>
          <w:szCs w:val="18"/>
          <w:lang w:val="es-ES_tradnl"/>
        </w:rPr>
        <w:t>Ley de Compa</w:t>
      </w:r>
      <w:r>
        <w:rPr>
          <w:rFonts w:cs="Times New Roman"/>
          <w:spacing w:val="-11"/>
          <w:sz w:val="18"/>
          <w:szCs w:val="18"/>
          <w:lang w:val="es-ES_tradnl"/>
        </w:rPr>
        <w:t>ñí</w:t>
      </w:r>
      <w:r>
        <w:rPr>
          <w:spacing w:val="-11"/>
          <w:sz w:val="18"/>
          <w:szCs w:val="18"/>
          <w:lang w:val="es-ES_tradnl"/>
        </w:rPr>
        <w:t>as y sus reglamentos y en ning</w:t>
      </w:r>
      <w:r>
        <w:rPr>
          <w:rFonts w:cs="Times New Roman"/>
          <w:spacing w:val="-11"/>
          <w:sz w:val="18"/>
          <w:szCs w:val="18"/>
          <w:lang w:val="es-ES_tradnl"/>
        </w:rPr>
        <w:t>ú</w:t>
      </w:r>
      <w:r>
        <w:rPr>
          <w:spacing w:val="-11"/>
          <w:sz w:val="18"/>
          <w:szCs w:val="18"/>
          <w:lang w:val="es-ES_tradnl"/>
        </w:rPr>
        <w:t xml:space="preserve">n momento, </w:t>
      </w:r>
      <w:r>
        <w:rPr>
          <w:spacing w:val="-7"/>
          <w:sz w:val="18"/>
          <w:szCs w:val="18"/>
          <w:lang w:val="es-ES_tradnl"/>
        </w:rPr>
        <w:t>ha vulnerado derecho constitucional alguno.</w:t>
      </w:r>
    </w:p>
    <w:p w14:paraId="4F67B42F" w14:textId="77777777" w:rsidR="00591D54" w:rsidRDefault="00591D54">
      <w:pPr>
        <w:shd w:val="clear" w:color="auto" w:fill="FFFFFF"/>
        <w:spacing w:before="197" w:line="216" w:lineRule="exact"/>
        <w:jc w:val="both"/>
      </w:pPr>
      <w:r>
        <w:rPr>
          <w:spacing w:val="-6"/>
          <w:sz w:val="18"/>
          <w:szCs w:val="18"/>
          <w:lang w:val="es-ES_tradnl"/>
        </w:rPr>
        <w:t>Manifiesta que los jueces de mayor</w:t>
      </w:r>
      <w:r>
        <w:rPr>
          <w:rFonts w:cs="Times New Roman"/>
          <w:spacing w:val="-6"/>
          <w:sz w:val="18"/>
          <w:szCs w:val="18"/>
          <w:lang w:val="es-ES_tradnl"/>
        </w:rPr>
        <w:t>í</w:t>
      </w:r>
      <w:r>
        <w:rPr>
          <w:spacing w:val="-6"/>
          <w:sz w:val="18"/>
          <w:szCs w:val="18"/>
          <w:lang w:val="es-ES_tradnl"/>
        </w:rPr>
        <w:t>a de la Primera Sala de lo Laboral, Ni</w:t>
      </w:r>
      <w:r>
        <w:rPr>
          <w:rFonts w:cs="Times New Roman"/>
          <w:spacing w:val="-6"/>
          <w:sz w:val="18"/>
          <w:szCs w:val="18"/>
          <w:lang w:val="es-ES_tradnl"/>
        </w:rPr>
        <w:t>ñ</w:t>
      </w:r>
      <w:r>
        <w:rPr>
          <w:spacing w:val="-6"/>
          <w:sz w:val="18"/>
          <w:szCs w:val="18"/>
          <w:lang w:val="es-ES_tradnl"/>
        </w:rPr>
        <w:t xml:space="preserve">ez y Adolescencia de la Corte Provincial </w:t>
      </w:r>
      <w:r>
        <w:rPr>
          <w:spacing w:val="-9"/>
          <w:sz w:val="18"/>
          <w:szCs w:val="18"/>
          <w:lang w:val="es-ES_tradnl"/>
        </w:rPr>
        <w:t xml:space="preserve">de Justicia del Guayas, lo </w:t>
      </w:r>
      <w:r>
        <w:rPr>
          <w:rFonts w:cs="Times New Roman"/>
          <w:spacing w:val="-9"/>
          <w:sz w:val="18"/>
          <w:szCs w:val="18"/>
          <w:lang w:val="es-ES_tradnl"/>
        </w:rPr>
        <w:t>ú</w:t>
      </w:r>
      <w:r>
        <w:rPr>
          <w:spacing w:val="-9"/>
          <w:sz w:val="18"/>
          <w:szCs w:val="18"/>
          <w:lang w:val="es-ES_tradnl"/>
        </w:rPr>
        <w:t xml:space="preserve">nico que han hecho es atender puntos de mera legalidad y han pretendido decir que se han </w:t>
      </w:r>
      <w:r>
        <w:rPr>
          <w:spacing w:val="-7"/>
          <w:sz w:val="18"/>
          <w:szCs w:val="18"/>
          <w:lang w:val="es-ES_tradnl"/>
        </w:rPr>
        <w:t xml:space="preserve">vulnerado derechos constitucionales como el derecho al trabajo y el derecho a la libertad de desarrollar actividades </w:t>
      </w:r>
      <w:r>
        <w:rPr>
          <w:spacing w:val="-6"/>
          <w:sz w:val="18"/>
          <w:szCs w:val="18"/>
          <w:lang w:val="es-ES_tradnl"/>
        </w:rPr>
        <w:t>econ</w:t>
      </w:r>
      <w:r>
        <w:rPr>
          <w:rFonts w:cs="Times New Roman"/>
          <w:spacing w:val="-6"/>
          <w:sz w:val="18"/>
          <w:szCs w:val="18"/>
          <w:lang w:val="es-ES_tradnl"/>
        </w:rPr>
        <w:t>ó</w:t>
      </w:r>
      <w:r>
        <w:rPr>
          <w:spacing w:val="-6"/>
          <w:sz w:val="18"/>
          <w:szCs w:val="18"/>
          <w:lang w:val="es-ES_tradnl"/>
        </w:rPr>
        <w:t>micas en forma individual y colectiva.</w:t>
      </w:r>
    </w:p>
    <w:p w14:paraId="4F67B430" w14:textId="77777777" w:rsidR="00591D54" w:rsidRDefault="00591D54">
      <w:pPr>
        <w:shd w:val="clear" w:color="auto" w:fill="FFFFFF"/>
        <w:spacing w:before="197" w:line="216" w:lineRule="exact"/>
        <w:jc w:val="both"/>
      </w:pPr>
      <w:r>
        <w:rPr>
          <w:spacing w:val="-9"/>
          <w:sz w:val="18"/>
          <w:szCs w:val="18"/>
          <w:lang w:val="es-ES_tradnl"/>
        </w:rPr>
        <w:t>Indica que el deber de la motivaci</w:t>
      </w:r>
      <w:r>
        <w:rPr>
          <w:rFonts w:cs="Times New Roman"/>
          <w:spacing w:val="-9"/>
          <w:sz w:val="18"/>
          <w:szCs w:val="18"/>
          <w:lang w:val="es-ES_tradnl"/>
        </w:rPr>
        <w:t>ó</w:t>
      </w:r>
      <w:r>
        <w:rPr>
          <w:spacing w:val="-9"/>
          <w:sz w:val="18"/>
          <w:szCs w:val="18"/>
          <w:lang w:val="es-ES_tradnl"/>
        </w:rPr>
        <w:t xml:space="preserve">n de los fallos, es una de </w:t>
      </w:r>
      <w:r>
        <w:rPr>
          <w:spacing w:val="-7"/>
          <w:sz w:val="18"/>
          <w:szCs w:val="18"/>
          <w:lang w:val="es-ES_tradnl"/>
        </w:rPr>
        <w:t>las m</w:t>
      </w:r>
      <w:r>
        <w:rPr>
          <w:rFonts w:cs="Times New Roman"/>
          <w:spacing w:val="-7"/>
          <w:sz w:val="18"/>
          <w:szCs w:val="18"/>
          <w:lang w:val="es-ES_tradnl"/>
        </w:rPr>
        <w:t>á</w:t>
      </w:r>
      <w:r>
        <w:rPr>
          <w:spacing w:val="-7"/>
          <w:sz w:val="18"/>
          <w:szCs w:val="18"/>
          <w:lang w:val="es-ES_tradnl"/>
        </w:rPr>
        <w:t>ximas garant</w:t>
      </w:r>
      <w:r>
        <w:rPr>
          <w:rFonts w:cs="Times New Roman"/>
          <w:spacing w:val="-7"/>
          <w:sz w:val="18"/>
          <w:szCs w:val="18"/>
          <w:lang w:val="es-ES_tradnl"/>
        </w:rPr>
        <w:t>í</w:t>
      </w:r>
      <w:r>
        <w:rPr>
          <w:spacing w:val="-7"/>
          <w:sz w:val="18"/>
          <w:szCs w:val="18"/>
          <w:lang w:val="es-ES_tradnl"/>
        </w:rPr>
        <w:t>as p</w:t>
      </w:r>
      <w:r>
        <w:rPr>
          <w:rFonts w:cs="Times New Roman"/>
          <w:spacing w:val="-7"/>
          <w:sz w:val="18"/>
          <w:szCs w:val="18"/>
          <w:lang w:val="es-ES_tradnl"/>
        </w:rPr>
        <w:t>ú</w:t>
      </w:r>
      <w:r>
        <w:rPr>
          <w:spacing w:val="-7"/>
          <w:sz w:val="18"/>
          <w:szCs w:val="18"/>
          <w:lang w:val="es-ES_tradnl"/>
        </w:rPr>
        <w:t xml:space="preserve">blicas contra la arbitrariedad y el </w:t>
      </w:r>
      <w:r>
        <w:rPr>
          <w:spacing w:val="-8"/>
          <w:sz w:val="18"/>
          <w:szCs w:val="18"/>
          <w:lang w:val="es-ES_tradnl"/>
        </w:rPr>
        <w:t>desconocimiento de las leyes que rige en nuestro pa</w:t>
      </w:r>
      <w:r>
        <w:rPr>
          <w:rFonts w:cs="Times New Roman"/>
          <w:spacing w:val="-8"/>
          <w:sz w:val="18"/>
          <w:szCs w:val="18"/>
          <w:lang w:val="es-ES_tradnl"/>
        </w:rPr>
        <w:t>í</w:t>
      </w:r>
      <w:r>
        <w:rPr>
          <w:spacing w:val="-8"/>
          <w:sz w:val="18"/>
          <w:szCs w:val="18"/>
          <w:lang w:val="es-ES_tradnl"/>
        </w:rPr>
        <w:t xml:space="preserve">s, las </w:t>
      </w:r>
      <w:r>
        <w:rPr>
          <w:spacing w:val="-10"/>
          <w:sz w:val="18"/>
          <w:szCs w:val="18"/>
          <w:lang w:val="es-ES_tradnl"/>
        </w:rPr>
        <w:t xml:space="preserve">mismas que fueron creadas para ser aplicadas en cada uno </w:t>
      </w:r>
      <w:r>
        <w:rPr>
          <w:spacing w:val="-9"/>
          <w:sz w:val="18"/>
          <w:szCs w:val="18"/>
          <w:lang w:val="es-ES_tradnl"/>
        </w:rPr>
        <w:t>de los casos que se presenten, por lo tanto, toda resoluci</w:t>
      </w:r>
      <w:r>
        <w:rPr>
          <w:rFonts w:cs="Times New Roman"/>
          <w:spacing w:val="-9"/>
          <w:sz w:val="18"/>
          <w:szCs w:val="18"/>
          <w:lang w:val="es-ES_tradnl"/>
        </w:rPr>
        <w:t>ó</w:t>
      </w:r>
      <w:r>
        <w:rPr>
          <w:spacing w:val="-9"/>
          <w:sz w:val="18"/>
          <w:szCs w:val="18"/>
          <w:lang w:val="es-ES_tradnl"/>
        </w:rPr>
        <w:t xml:space="preserve">n </w:t>
      </w:r>
      <w:r>
        <w:rPr>
          <w:sz w:val="18"/>
          <w:szCs w:val="18"/>
          <w:lang w:val="es-ES_tradnl"/>
        </w:rPr>
        <w:t>inmotivada es nula.</w:t>
      </w:r>
    </w:p>
    <w:p w14:paraId="4F67B431" w14:textId="77777777" w:rsidR="00591D54" w:rsidRDefault="00591D54">
      <w:pPr>
        <w:shd w:val="clear" w:color="auto" w:fill="FFFFFF"/>
        <w:spacing w:before="197" w:line="216" w:lineRule="exact"/>
        <w:jc w:val="both"/>
      </w:pPr>
      <w:r>
        <w:rPr>
          <w:spacing w:val="-7"/>
          <w:sz w:val="18"/>
          <w:szCs w:val="18"/>
          <w:lang w:val="es-ES_tradnl"/>
        </w:rPr>
        <w:t>Menciona que de la revisi</w:t>
      </w:r>
      <w:r>
        <w:rPr>
          <w:rFonts w:cs="Times New Roman"/>
          <w:spacing w:val="-7"/>
          <w:sz w:val="18"/>
          <w:szCs w:val="18"/>
          <w:lang w:val="es-ES_tradnl"/>
        </w:rPr>
        <w:t>ó</w:t>
      </w:r>
      <w:r>
        <w:rPr>
          <w:spacing w:val="-7"/>
          <w:sz w:val="18"/>
          <w:szCs w:val="18"/>
          <w:lang w:val="es-ES_tradnl"/>
        </w:rPr>
        <w:t xml:space="preserve">n de la sentencia de los jueces </w:t>
      </w:r>
      <w:r>
        <w:rPr>
          <w:spacing w:val="-6"/>
          <w:sz w:val="18"/>
          <w:szCs w:val="18"/>
          <w:lang w:val="es-ES_tradnl"/>
        </w:rPr>
        <w:t>de mayor</w:t>
      </w:r>
      <w:r>
        <w:rPr>
          <w:rFonts w:cs="Times New Roman"/>
          <w:spacing w:val="-6"/>
          <w:sz w:val="18"/>
          <w:szCs w:val="18"/>
          <w:lang w:val="es-ES_tradnl"/>
        </w:rPr>
        <w:t>í</w:t>
      </w:r>
      <w:r>
        <w:rPr>
          <w:spacing w:val="-6"/>
          <w:sz w:val="18"/>
          <w:szCs w:val="18"/>
          <w:lang w:val="es-ES_tradnl"/>
        </w:rPr>
        <w:t>a de la Primera Sala de lo Laboral, Ni</w:t>
      </w:r>
      <w:r>
        <w:rPr>
          <w:rFonts w:cs="Times New Roman"/>
          <w:spacing w:val="-6"/>
          <w:sz w:val="18"/>
          <w:szCs w:val="18"/>
          <w:lang w:val="es-ES_tradnl"/>
        </w:rPr>
        <w:t>ñ</w:t>
      </w:r>
      <w:r>
        <w:rPr>
          <w:spacing w:val="-6"/>
          <w:sz w:val="18"/>
          <w:szCs w:val="18"/>
          <w:lang w:val="es-ES_tradnl"/>
        </w:rPr>
        <w:t xml:space="preserve">ez y </w:t>
      </w:r>
      <w:r>
        <w:rPr>
          <w:sz w:val="18"/>
          <w:szCs w:val="18"/>
          <w:lang w:val="es-ES_tradnl"/>
        </w:rPr>
        <w:t xml:space="preserve">Adolescencia de la Corte Provincial de Justicia del </w:t>
      </w:r>
      <w:r>
        <w:rPr>
          <w:spacing w:val="-5"/>
          <w:sz w:val="18"/>
          <w:szCs w:val="18"/>
          <w:lang w:val="es-ES_tradnl"/>
        </w:rPr>
        <w:t>Guayas, podr</w:t>
      </w:r>
      <w:r>
        <w:rPr>
          <w:rFonts w:cs="Times New Roman"/>
          <w:spacing w:val="-5"/>
          <w:sz w:val="18"/>
          <w:szCs w:val="18"/>
          <w:lang w:val="es-ES_tradnl"/>
        </w:rPr>
        <w:t>á</w:t>
      </w:r>
      <w:r>
        <w:rPr>
          <w:spacing w:val="-5"/>
          <w:sz w:val="18"/>
          <w:szCs w:val="18"/>
          <w:lang w:val="es-ES_tradnl"/>
        </w:rPr>
        <w:t xml:space="preserve">n corroborar que los magistrados de esa </w:t>
      </w:r>
      <w:r>
        <w:rPr>
          <w:spacing w:val="-6"/>
          <w:sz w:val="18"/>
          <w:szCs w:val="18"/>
          <w:lang w:val="es-ES_tradnl"/>
        </w:rPr>
        <w:t>Sala no han ejecutado ning</w:t>
      </w:r>
      <w:r>
        <w:rPr>
          <w:rFonts w:cs="Times New Roman"/>
          <w:spacing w:val="-6"/>
          <w:sz w:val="18"/>
          <w:szCs w:val="18"/>
          <w:lang w:val="es-ES_tradnl"/>
        </w:rPr>
        <w:t>ú</w:t>
      </w:r>
      <w:r>
        <w:rPr>
          <w:spacing w:val="-6"/>
          <w:sz w:val="18"/>
          <w:szCs w:val="18"/>
          <w:lang w:val="es-ES_tradnl"/>
        </w:rPr>
        <w:t xml:space="preserve">n razonamiento procedente, </w:t>
      </w:r>
      <w:r>
        <w:rPr>
          <w:spacing w:val="-7"/>
          <w:sz w:val="18"/>
          <w:szCs w:val="18"/>
          <w:lang w:val="es-ES_tradnl"/>
        </w:rPr>
        <w:t xml:space="preserve">por cuanto no explican la pertenencia de las disposiciones </w:t>
      </w:r>
      <w:r>
        <w:rPr>
          <w:spacing w:val="-9"/>
          <w:sz w:val="18"/>
          <w:szCs w:val="18"/>
          <w:lang w:val="es-ES_tradnl"/>
        </w:rPr>
        <w:t xml:space="preserve">invocadas, incumpliendo con el derecho de las partes a que </w:t>
      </w:r>
      <w:r>
        <w:rPr>
          <w:spacing w:val="-6"/>
          <w:sz w:val="18"/>
          <w:szCs w:val="18"/>
          <w:lang w:val="es-ES_tradnl"/>
        </w:rPr>
        <w:t>la resoluci</w:t>
      </w:r>
      <w:r>
        <w:rPr>
          <w:rFonts w:cs="Times New Roman"/>
          <w:spacing w:val="-6"/>
          <w:sz w:val="18"/>
          <w:szCs w:val="18"/>
          <w:lang w:val="es-ES_tradnl"/>
        </w:rPr>
        <w:t>ó</w:t>
      </w:r>
      <w:r>
        <w:rPr>
          <w:spacing w:val="-6"/>
          <w:sz w:val="18"/>
          <w:szCs w:val="18"/>
          <w:lang w:val="es-ES_tradnl"/>
        </w:rPr>
        <w:t xml:space="preserve">n deba ser motivada. Que los jueces, no solo han actuado arbitrariamente, sino que han traicionado la </w:t>
      </w:r>
      <w:r>
        <w:rPr>
          <w:spacing w:val="-8"/>
          <w:sz w:val="18"/>
          <w:szCs w:val="18"/>
          <w:lang w:val="es-ES_tradnl"/>
        </w:rPr>
        <w:t>funci</w:t>
      </w:r>
      <w:r>
        <w:rPr>
          <w:rFonts w:cs="Times New Roman"/>
          <w:spacing w:val="-8"/>
          <w:sz w:val="18"/>
          <w:szCs w:val="18"/>
          <w:lang w:val="es-ES_tradnl"/>
        </w:rPr>
        <w:t>ó</w:t>
      </w:r>
      <w:r>
        <w:rPr>
          <w:spacing w:val="-8"/>
          <w:sz w:val="18"/>
          <w:szCs w:val="18"/>
          <w:lang w:val="es-ES_tradnl"/>
        </w:rPr>
        <w:t xml:space="preserve">n esencial como jueces en un proceso constitucional, </w:t>
      </w:r>
      <w:r>
        <w:rPr>
          <w:spacing w:val="-7"/>
          <w:sz w:val="18"/>
          <w:szCs w:val="18"/>
          <w:lang w:val="es-ES_tradnl"/>
        </w:rPr>
        <w:t>cuando no existe en la sentencia ninguna argumentaci</w:t>
      </w:r>
      <w:r>
        <w:rPr>
          <w:rFonts w:cs="Times New Roman"/>
          <w:spacing w:val="-7"/>
          <w:sz w:val="18"/>
          <w:szCs w:val="18"/>
          <w:lang w:val="es-ES_tradnl"/>
        </w:rPr>
        <w:t>ó</w:t>
      </w:r>
      <w:r>
        <w:rPr>
          <w:spacing w:val="-7"/>
          <w:sz w:val="18"/>
          <w:szCs w:val="18"/>
          <w:lang w:val="es-ES_tradnl"/>
        </w:rPr>
        <w:t xml:space="preserve">n </w:t>
      </w:r>
      <w:r>
        <w:rPr>
          <w:sz w:val="18"/>
          <w:szCs w:val="18"/>
          <w:lang w:val="es-ES_tradnl"/>
        </w:rPr>
        <w:t>sobre la presunta vulneraci</w:t>
      </w:r>
      <w:r>
        <w:rPr>
          <w:rFonts w:cs="Times New Roman"/>
          <w:sz w:val="18"/>
          <w:szCs w:val="18"/>
          <w:lang w:val="es-ES_tradnl"/>
        </w:rPr>
        <w:t>ó</w:t>
      </w:r>
      <w:r>
        <w:rPr>
          <w:sz w:val="18"/>
          <w:szCs w:val="18"/>
          <w:lang w:val="es-ES_tradnl"/>
        </w:rPr>
        <w:t>n.</w:t>
      </w:r>
    </w:p>
    <w:p w14:paraId="4F67B432" w14:textId="77777777" w:rsidR="00591D54" w:rsidRDefault="00591D54">
      <w:pPr>
        <w:shd w:val="clear" w:color="auto" w:fill="FFFFFF"/>
        <w:spacing w:before="202" w:line="216" w:lineRule="exact"/>
        <w:jc w:val="both"/>
      </w:pPr>
      <w:r>
        <w:rPr>
          <w:spacing w:val="-7"/>
          <w:sz w:val="18"/>
          <w:szCs w:val="18"/>
          <w:lang w:val="es-ES_tradnl"/>
        </w:rPr>
        <w:t>Alega que no se le han respetado sus derechos y menos a</w:t>
      </w:r>
      <w:r>
        <w:rPr>
          <w:rFonts w:cs="Times New Roman"/>
          <w:spacing w:val="-7"/>
          <w:sz w:val="18"/>
          <w:szCs w:val="18"/>
          <w:lang w:val="es-ES_tradnl"/>
        </w:rPr>
        <w:t>ú</w:t>
      </w:r>
      <w:r>
        <w:rPr>
          <w:spacing w:val="-7"/>
          <w:sz w:val="18"/>
          <w:szCs w:val="18"/>
          <w:lang w:val="es-ES_tradnl"/>
        </w:rPr>
        <w:t xml:space="preserve">n se le ha garantizado el cumplimiento de las normas </w:t>
      </w:r>
      <w:r>
        <w:rPr>
          <w:spacing w:val="-10"/>
          <w:sz w:val="18"/>
          <w:szCs w:val="18"/>
          <w:lang w:val="es-ES_tradnl"/>
        </w:rPr>
        <w:t>establecidas en la Constituci</w:t>
      </w:r>
      <w:r>
        <w:rPr>
          <w:rFonts w:cs="Times New Roman"/>
          <w:spacing w:val="-10"/>
          <w:sz w:val="18"/>
          <w:szCs w:val="18"/>
          <w:lang w:val="es-ES_tradnl"/>
        </w:rPr>
        <w:t>ó</w:t>
      </w:r>
      <w:r>
        <w:rPr>
          <w:spacing w:val="-10"/>
          <w:sz w:val="18"/>
          <w:szCs w:val="18"/>
          <w:lang w:val="es-ES_tradnl"/>
        </w:rPr>
        <w:t>n de la Rep</w:t>
      </w:r>
      <w:r>
        <w:rPr>
          <w:rFonts w:cs="Times New Roman"/>
          <w:spacing w:val="-10"/>
          <w:sz w:val="18"/>
          <w:szCs w:val="18"/>
          <w:lang w:val="es-ES_tradnl"/>
        </w:rPr>
        <w:t>ú</w:t>
      </w:r>
      <w:r>
        <w:rPr>
          <w:spacing w:val="-10"/>
          <w:sz w:val="18"/>
          <w:szCs w:val="18"/>
          <w:lang w:val="es-ES_tradnl"/>
        </w:rPr>
        <w:t xml:space="preserve">blica del Ecuador, </w:t>
      </w:r>
      <w:r>
        <w:rPr>
          <w:spacing w:val="-5"/>
          <w:sz w:val="18"/>
          <w:szCs w:val="18"/>
          <w:lang w:val="es-ES_tradnl"/>
        </w:rPr>
        <w:t>lo que conlleva a una vulneraci</w:t>
      </w:r>
      <w:r>
        <w:rPr>
          <w:rFonts w:cs="Times New Roman"/>
          <w:spacing w:val="-5"/>
          <w:sz w:val="18"/>
          <w:szCs w:val="18"/>
          <w:lang w:val="es-ES_tradnl"/>
        </w:rPr>
        <w:t>ó</w:t>
      </w:r>
      <w:r>
        <w:rPr>
          <w:spacing w:val="-5"/>
          <w:sz w:val="18"/>
          <w:szCs w:val="18"/>
          <w:lang w:val="es-ES_tradnl"/>
        </w:rPr>
        <w:t xml:space="preserve">n del debido proceso, </w:t>
      </w:r>
      <w:r>
        <w:rPr>
          <w:spacing w:val="-9"/>
          <w:sz w:val="18"/>
          <w:szCs w:val="18"/>
          <w:lang w:val="es-ES_tradnl"/>
        </w:rPr>
        <w:t>derecho del cual la Superintendencia de Compa</w:t>
      </w:r>
      <w:r>
        <w:rPr>
          <w:rFonts w:cs="Times New Roman"/>
          <w:spacing w:val="-9"/>
          <w:sz w:val="18"/>
          <w:szCs w:val="18"/>
          <w:lang w:val="es-ES_tradnl"/>
        </w:rPr>
        <w:t>ñí</w:t>
      </w:r>
      <w:r>
        <w:rPr>
          <w:spacing w:val="-9"/>
          <w:sz w:val="18"/>
          <w:szCs w:val="18"/>
          <w:lang w:val="es-ES_tradnl"/>
        </w:rPr>
        <w:t>as est</w:t>
      </w:r>
      <w:r>
        <w:rPr>
          <w:rFonts w:cs="Times New Roman"/>
          <w:spacing w:val="-9"/>
          <w:sz w:val="18"/>
          <w:szCs w:val="18"/>
          <w:lang w:val="es-ES_tradnl"/>
        </w:rPr>
        <w:t xml:space="preserve">á </w:t>
      </w:r>
      <w:r>
        <w:rPr>
          <w:spacing w:val="-7"/>
          <w:sz w:val="18"/>
          <w:szCs w:val="18"/>
          <w:lang w:val="es-ES_tradnl"/>
        </w:rPr>
        <w:t>asistida y no solamente esta instituci</w:t>
      </w:r>
      <w:r>
        <w:rPr>
          <w:rFonts w:cs="Times New Roman"/>
          <w:spacing w:val="-7"/>
          <w:sz w:val="18"/>
          <w:szCs w:val="18"/>
          <w:lang w:val="es-ES_tradnl"/>
        </w:rPr>
        <w:t>ó</w:t>
      </w:r>
      <w:r>
        <w:rPr>
          <w:spacing w:val="-7"/>
          <w:sz w:val="18"/>
          <w:szCs w:val="18"/>
          <w:lang w:val="es-ES_tradnl"/>
        </w:rPr>
        <w:t xml:space="preserve">n, sino cada una de </w:t>
      </w:r>
      <w:r>
        <w:rPr>
          <w:spacing w:val="-9"/>
          <w:sz w:val="18"/>
          <w:szCs w:val="18"/>
          <w:lang w:val="es-ES_tradnl"/>
        </w:rPr>
        <w:t xml:space="preserve">las entidades del Estado y los ciudadanos que habitan en el </w:t>
      </w:r>
      <w:r>
        <w:rPr>
          <w:sz w:val="18"/>
          <w:szCs w:val="18"/>
          <w:lang w:val="es-ES_tradnl"/>
        </w:rPr>
        <w:t>territorio ecuatoriano.</w:t>
      </w:r>
    </w:p>
    <w:p w14:paraId="4F67B433" w14:textId="77777777" w:rsidR="00591D54" w:rsidRDefault="00591D54">
      <w:pPr>
        <w:shd w:val="clear" w:color="auto" w:fill="FFFFFF"/>
        <w:spacing w:before="197" w:line="216" w:lineRule="exact"/>
        <w:jc w:val="both"/>
      </w:pPr>
      <w:r>
        <w:rPr>
          <w:spacing w:val="-9"/>
          <w:sz w:val="18"/>
          <w:szCs w:val="18"/>
          <w:lang w:val="es-ES_tradnl"/>
        </w:rPr>
        <w:t>Finalmente aduce que la Superintendencia de Compa</w:t>
      </w:r>
      <w:r>
        <w:rPr>
          <w:rFonts w:cs="Times New Roman"/>
          <w:spacing w:val="-9"/>
          <w:sz w:val="18"/>
          <w:szCs w:val="18"/>
          <w:lang w:val="es-ES_tradnl"/>
        </w:rPr>
        <w:t>ñí</w:t>
      </w:r>
      <w:r>
        <w:rPr>
          <w:spacing w:val="-9"/>
          <w:sz w:val="18"/>
          <w:szCs w:val="18"/>
          <w:lang w:val="es-ES_tradnl"/>
        </w:rPr>
        <w:t xml:space="preserve">as </w:t>
      </w:r>
      <w:r>
        <w:rPr>
          <w:spacing w:val="-7"/>
          <w:sz w:val="18"/>
          <w:szCs w:val="18"/>
          <w:lang w:val="es-ES_tradnl"/>
        </w:rPr>
        <w:t xml:space="preserve">por sus facultades constitucionales puede vigilar, controlar </w:t>
      </w:r>
      <w:r>
        <w:rPr>
          <w:spacing w:val="-8"/>
          <w:sz w:val="18"/>
          <w:szCs w:val="18"/>
          <w:lang w:val="es-ES_tradnl"/>
        </w:rPr>
        <w:t>e intervenir a las compa</w:t>
      </w:r>
      <w:r>
        <w:rPr>
          <w:rFonts w:cs="Times New Roman"/>
          <w:spacing w:val="-8"/>
          <w:sz w:val="18"/>
          <w:szCs w:val="18"/>
          <w:lang w:val="es-ES_tradnl"/>
        </w:rPr>
        <w:t>ñí</w:t>
      </w:r>
      <w:r>
        <w:rPr>
          <w:spacing w:val="-8"/>
          <w:sz w:val="18"/>
          <w:szCs w:val="18"/>
          <w:lang w:val="es-ES_tradnl"/>
        </w:rPr>
        <w:t xml:space="preserve">as sujetas a su </w:t>
      </w:r>
      <w:r>
        <w:rPr>
          <w:rFonts w:cs="Times New Roman"/>
          <w:spacing w:val="-8"/>
          <w:sz w:val="18"/>
          <w:szCs w:val="18"/>
          <w:lang w:val="es-ES_tradnl"/>
        </w:rPr>
        <w:t>á</w:t>
      </w:r>
      <w:r>
        <w:rPr>
          <w:spacing w:val="-8"/>
          <w:sz w:val="18"/>
          <w:szCs w:val="18"/>
          <w:lang w:val="es-ES_tradnl"/>
        </w:rPr>
        <w:t xml:space="preserve">mbito por dicha </w:t>
      </w:r>
      <w:r>
        <w:rPr>
          <w:spacing w:val="-4"/>
          <w:sz w:val="18"/>
          <w:szCs w:val="18"/>
          <w:lang w:val="es-ES_tradnl"/>
        </w:rPr>
        <w:t>raz</w:t>
      </w:r>
      <w:r>
        <w:rPr>
          <w:rFonts w:cs="Times New Roman"/>
          <w:spacing w:val="-4"/>
          <w:sz w:val="18"/>
          <w:szCs w:val="18"/>
          <w:lang w:val="es-ES_tradnl"/>
        </w:rPr>
        <w:t>ó</w:t>
      </w:r>
      <w:r>
        <w:rPr>
          <w:spacing w:val="-4"/>
          <w:sz w:val="18"/>
          <w:szCs w:val="18"/>
          <w:lang w:val="es-ES_tradnl"/>
        </w:rPr>
        <w:t>n, la resoluci</w:t>
      </w:r>
      <w:r>
        <w:rPr>
          <w:rFonts w:cs="Times New Roman"/>
          <w:spacing w:val="-4"/>
          <w:sz w:val="18"/>
          <w:szCs w:val="18"/>
          <w:lang w:val="es-ES_tradnl"/>
        </w:rPr>
        <w:t>ó</w:t>
      </w:r>
      <w:r>
        <w:rPr>
          <w:spacing w:val="-4"/>
          <w:sz w:val="18"/>
          <w:szCs w:val="18"/>
          <w:lang w:val="es-ES_tradnl"/>
        </w:rPr>
        <w:t>n en donde se declara la intervenci</w:t>
      </w:r>
      <w:r>
        <w:rPr>
          <w:rFonts w:cs="Times New Roman"/>
          <w:spacing w:val="-4"/>
          <w:sz w:val="18"/>
          <w:szCs w:val="18"/>
          <w:lang w:val="es-ES_tradnl"/>
        </w:rPr>
        <w:t>ó</w:t>
      </w:r>
      <w:r>
        <w:rPr>
          <w:spacing w:val="-4"/>
          <w:sz w:val="18"/>
          <w:szCs w:val="18"/>
          <w:lang w:val="es-ES_tradnl"/>
        </w:rPr>
        <w:t xml:space="preserve">n </w:t>
      </w:r>
      <w:r>
        <w:rPr>
          <w:spacing w:val="-1"/>
          <w:sz w:val="18"/>
          <w:szCs w:val="18"/>
          <w:lang w:val="es-ES_tradnl"/>
        </w:rPr>
        <w:t>de la compa</w:t>
      </w:r>
      <w:r>
        <w:rPr>
          <w:rFonts w:cs="Times New Roman"/>
          <w:spacing w:val="-1"/>
          <w:sz w:val="18"/>
          <w:szCs w:val="18"/>
          <w:lang w:val="es-ES_tradnl"/>
        </w:rPr>
        <w:t>ñí</w:t>
      </w:r>
      <w:r>
        <w:rPr>
          <w:spacing w:val="-1"/>
          <w:sz w:val="18"/>
          <w:szCs w:val="18"/>
          <w:lang w:val="es-ES_tradnl"/>
        </w:rPr>
        <w:t xml:space="preserve">a Piscinas del Ecuador S. A. (PIDESA), </w:t>
      </w:r>
      <w:r>
        <w:rPr>
          <w:spacing w:val="-5"/>
          <w:sz w:val="18"/>
          <w:szCs w:val="18"/>
          <w:lang w:val="es-ES_tradnl"/>
        </w:rPr>
        <w:t xml:space="preserve">es constitucional y legal, toda vez que se lo hizo en base </w:t>
      </w:r>
      <w:r>
        <w:rPr>
          <w:spacing w:val="-7"/>
          <w:sz w:val="18"/>
          <w:szCs w:val="18"/>
          <w:lang w:val="es-ES_tradnl"/>
        </w:rPr>
        <w:t>a la Ley de Compa</w:t>
      </w:r>
      <w:r>
        <w:rPr>
          <w:rFonts w:cs="Times New Roman"/>
          <w:spacing w:val="-7"/>
          <w:sz w:val="18"/>
          <w:szCs w:val="18"/>
          <w:lang w:val="es-ES_tradnl"/>
        </w:rPr>
        <w:t>ñí</w:t>
      </w:r>
      <w:r>
        <w:rPr>
          <w:spacing w:val="-7"/>
          <w:sz w:val="18"/>
          <w:szCs w:val="18"/>
          <w:lang w:val="es-ES_tradnl"/>
        </w:rPr>
        <w:t xml:space="preserve">as y sus reglamentos. Indica que </w:t>
      </w:r>
      <w:r>
        <w:rPr>
          <w:spacing w:val="-8"/>
          <w:sz w:val="18"/>
          <w:szCs w:val="18"/>
          <w:lang w:val="es-ES_tradnl"/>
        </w:rPr>
        <w:t xml:space="preserve">consecuentemente no procede que la Primera Sala de lo </w:t>
      </w:r>
      <w:r>
        <w:rPr>
          <w:spacing w:val="-5"/>
          <w:sz w:val="18"/>
          <w:szCs w:val="18"/>
          <w:lang w:val="es-ES_tradnl"/>
        </w:rPr>
        <w:t>Laboral, Ni</w:t>
      </w:r>
      <w:r>
        <w:rPr>
          <w:rFonts w:cs="Times New Roman"/>
          <w:spacing w:val="-5"/>
          <w:sz w:val="18"/>
          <w:szCs w:val="18"/>
          <w:lang w:val="es-ES_tradnl"/>
        </w:rPr>
        <w:t>ñ</w:t>
      </w:r>
      <w:r>
        <w:rPr>
          <w:spacing w:val="-5"/>
          <w:sz w:val="18"/>
          <w:szCs w:val="18"/>
          <w:lang w:val="es-ES_tradnl"/>
        </w:rPr>
        <w:t xml:space="preserve">ez y Adolescencia de la Corte Provincial de </w:t>
      </w:r>
      <w:r>
        <w:rPr>
          <w:spacing w:val="-4"/>
          <w:sz w:val="18"/>
          <w:szCs w:val="18"/>
          <w:lang w:val="es-ES_tradnl"/>
        </w:rPr>
        <w:t xml:space="preserve">Justicia del Guayas, haya revocado la sentencia subida </w:t>
      </w:r>
      <w:r>
        <w:rPr>
          <w:spacing w:val="-5"/>
          <w:sz w:val="18"/>
          <w:szCs w:val="18"/>
          <w:lang w:val="es-ES_tradnl"/>
        </w:rPr>
        <w:t>en grado y en consecuencia declarar con lugar la acci</w:t>
      </w:r>
      <w:r>
        <w:rPr>
          <w:rFonts w:cs="Times New Roman"/>
          <w:spacing w:val="-5"/>
          <w:sz w:val="18"/>
          <w:szCs w:val="18"/>
          <w:lang w:val="es-ES_tradnl"/>
        </w:rPr>
        <w:t>ó</w:t>
      </w:r>
      <w:r>
        <w:rPr>
          <w:spacing w:val="-5"/>
          <w:sz w:val="18"/>
          <w:szCs w:val="18"/>
          <w:lang w:val="es-ES_tradnl"/>
        </w:rPr>
        <w:t xml:space="preserve">n </w:t>
      </w:r>
      <w:r>
        <w:rPr>
          <w:spacing w:val="-6"/>
          <w:sz w:val="18"/>
          <w:szCs w:val="18"/>
          <w:lang w:val="es-ES_tradnl"/>
        </w:rPr>
        <w:t>de protecci</w:t>
      </w:r>
      <w:r>
        <w:rPr>
          <w:rFonts w:cs="Times New Roman"/>
          <w:spacing w:val="-6"/>
          <w:sz w:val="18"/>
          <w:szCs w:val="18"/>
          <w:lang w:val="es-ES_tradnl"/>
        </w:rPr>
        <w:t>ó</w:t>
      </w:r>
      <w:r>
        <w:rPr>
          <w:spacing w:val="-6"/>
          <w:sz w:val="18"/>
          <w:szCs w:val="18"/>
          <w:lang w:val="es-ES_tradnl"/>
        </w:rPr>
        <w:t>n, toda vez que la resoluci</w:t>
      </w:r>
      <w:r>
        <w:rPr>
          <w:rFonts w:cs="Times New Roman"/>
          <w:spacing w:val="-6"/>
          <w:sz w:val="18"/>
          <w:szCs w:val="18"/>
          <w:lang w:val="es-ES_tradnl"/>
        </w:rPr>
        <w:t>ó</w:t>
      </w:r>
      <w:r>
        <w:rPr>
          <w:spacing w:val="-6"/>
          <w:sz w:val="18"/>
          <w:szCs w:val="18"/>
          <w:lang w:val="es-ES_tradnl"/>
        </w:rPr>
        <w:t>n de intervenci</w:t>
      </w:r>
      <w:r>
        <w:rPr>
          <w:rFonts w:cs="Times New Roman"/>
          <w:spacing w:val="-6"/>
          <w:sz w:val="18"/>
          <w:szCs w:val="18"/>
          <w:lang w:val="es-ES_tradnl"/>
        </w:rPr>
        <w:t>ó</w:t>
      </w:r>
      <w:r>
        <w:rPr>
          <w:spacing w:val="-6"/>
          <w:sz w:val="18"/>
          <w:szCs w:val="18"/>
          <w:lang w:val="es-ES_tradnl"/>
        </w:rPr>
        <w:t xml:space="preserve">n </w:t>
      </w:r>
      <w:r>
        <w:rPr>
          <w:spacing w:val="-7"/>
          <w:sz w:val="18"/>
          <w:szCs w:val="18"/>
          <w:lang w:val="es-ES_tradnl"/>
        </w:rPr>
        <w:t xml:space="preserve">puede ser impugnada ante el Tribunal Contencioso </w:t>
      </w:r>
      <w:r>
        <w:rPr>
          <w:sz w:val="18"/>
          <w:szCs w:val="18"/>
          <w:lang w:val="es-ES_tradnl"/>
        </w:rPr>
        <w:t>Administrativo, la cual es la v</w:t>
      </w:r>
      <w:r>
        <w:rPr>
          <w:rFonts w:cs="Times New Roman"/>
          <w:sz w:val="18"/>
          <w:szCs w:val="18"/>
          <w:lang w:val="es-ES_tradnl"/>
        </w:rPr>
        <w:t>í</w:t>
      </w:r>
      <w:r>
        <w:rPr>
          <w:sz w:val="18"/>
          <w:szCs w:val="18"/>
          <w:lang w:val="es-ES_tradnl"/>
        </w:rPr>
        <w:t>a correcta.</w:t>
      </w:r>
    </w:p>
    <w:p w14:paraId="4F67B434" w14:textId="77777777" w:rsidR="00591D54" w:rsidRDefault="00591D54">
      <w:pPr>
        <w:shd w:val="clear" w:color="auto" w:fill="FFFFFF"/>
        <w:spacing w:before="197" w:line="216" w:lineRule="exact"/>
        <w:jc w:val="both"/>
        <w:sectPr w:rsidR="00591D54">
          <w:type w:val="continuous"/>
          <w:pgSz w:w="11909" w:h="16834"/>
          <w:pgMar w:top="1366" w:right="1309" w:bottom="360" w:left="1308" w:header="720" w:footer="720" w:gutter="0"/>
          <w:cols w:num="2" w:space="720" w:equalWidth="0">
            <w:col w:w="4305" w:space="682"/>
            <w:col w:w="4305"/>
          </w:cols>
          <w:noEndnote/>
        </w:sectPr>
      </w:pPr>
    </w:p>
    <w:p w14:paraId="4F67B435" w14:textId="77777777" w:rsidR="00591D54" w:rsidRDefault="00591D54">
      <w:pPr>
        <w:shd w:val="clear" w:color="auto" w:fill="FFFFFF"/>
        <w:tabs>
          <w:tab w:val="left" w:pos="5842"/>
        </w:tabs>
        <w:spacing w:after="226"/>
        <w:ind w:left="14"/>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- 205</w:t>
      </w:r>
    </w:p>
    <w:p w14:paraId="4F67B436" w14:textId="77777777" w:rsidR="00591D54" w:rsidRDefault="00591D54">
      <w:pPr>
        <w:shd w:val="clear" w:color="auto" w:fill="FFFFFF"/>
        <w:tabs>
          <w:tab w:val="left" w:pos="5842"/>
        </w:tabs>
        <w:spacing w:after="226"/>
        <w:ind w:left="14"/>
        <w:sectPr w:rsidR="00591D54">
          <w:pgSz w:w="11909" w:h="16834"/>
          <w:pgMar w:top="1363" w:right="1309" w:bottom="360" w:left="1308" w:header="720" w:footer="720" w:gutter="0"/>
          <w:cols w:space="60"/>
          <w:noEndnote/>
        </w:sectPr>
      </w:pPr>
    </w:p>
    <w:p w14:paraId="4F67B437" w14:textId="77777777" w:rsidR="00591D54" w:rsidRDefault="00591D54">
      <w:pPr>
        <w:shd w:val="clear" w:color="auto" w:fill="FFFFFF"/>
        <w:spacing w:line="211" w:lineRule="exact"/>
        <w:jc w:val="both"/>
      </w:pPr>
      <w:r>
        <w:rPr>
          <w:b/>
          <w:bCs/>
          <w:spacing w:val="-10"/>
          <w:sz w:val="18"/>
          <w:szCs w:val="18"/>
          <w:lang w:val="es-ES_tradnl"/>
        </w:rPr>
        <w:t xml:space="preserve">Derecho constitucional presuntamente vulnerado por el </w:t>
      </w:r>
      <w:r>
        <w:rPr>
          <w:b/>
          <w:bCs/>
          <w:sz w:val="18"/>
          <w:szCs w:val="18"/>
          <w:lang w:val="es-ES_tradnl"/>
        </w:rPr>
        <w:t>fallo judicial impugnado</w:t>
      </w:r>
    </w:p>
    <w:p w14:paraId="4F67B438" w14:textId="77777777" w:rsidR="00591D54" w:rsidRDefault="00591D54">
      <w:pPr>
        <w:shd w:val="clear" w:color="auto" w:fill="FFFFFF"/>
        <w:spacing w:before="187" w:line="211" w:lineRule="exact"/>
        <w:jc w:val="both"/>
      </w:pPr>
      <w:r>
        <w:rPr>
          <w:spacing w:val="-1"/>
          <w:sz w:val="18"/>
          <w:szCs w:val="18"/>
          <w:lang w:val="es-ES_tradnl"/>
        </w:rPr>
        <w:t>A criterio del accionante, a trav</w:t>
      </w:r>
      <w:r>
        <w:rPr>
          <w:rFonts w:cs="Times New Roman"/>
          <w:spacing w:val="-1"/>
          <w:sz w:val="18"/>
          <w:szCs w:val="18"/>
          <w:lang w:val="es-ES_tradnl"/>
        </w:rPr>
        <w:t>é</w:t>
      </w:r>
      <w:r>
        <w:rPr>
          <w:spacing w:val="-1"/>
          <w:sz w:val="18"/>
          <w:szCs w:val="18"/>
          <w:lang w:val="es-ES_tradnl"/>
        </w:rPr>
        <w:t xml:space="preserve">s de la sentencia </w:t>
      </w:r>
      <w:r>
        <w:rPr>
          <w:spacing w:val="-8"/>
          <w:sz w:val="18"/>
          <w:szCs w:val="18"/>
          <w:lang w:val="es-ES_tradnl"/>
        </w:rPr>
        <w:t xml:space="preserve">impugnada, supuestamente, se le ha vulnerado: el debido </w:t>
      </w:r>
      <w:r>
        <w:rPr>
          <w:spacing w:val="-7"/>
          <w:sz w:val="18"/>
          <w:szCs w:val="18"/>
          <w:lang w:val="es-ES_tradnl"/>
        </w:rPr>
        <w:t>proceso se</w:t>
      </w:r>
      <w:r>
        <w:rPr>
          <w:rFonts w:cs="Times New Roman"/>
          <w:spacing w:val="-7"/>
          <w:sz w:val="18"/>
          <w:szCs w:val="18"/>
          <w:lang w:val="es-ES_tradnl"/>
        </w:rPr>
        <w:t>ñ</w:t>
      </w:r>
      <w:r>
        <w:rPr>
          <w:spacing w:val="-7"/>
          <w:sz w:val="18"/>
          <w:szCs w:val="18"/>
          <w:lang w:val="es-ES_tradnl"/>
        </w:rPr>
        <w:t>alado en el art</w:t>
      </w:r>
      <w:r>
        <w:rPr>
          <w:rFonts w:cs="Times New Roman"/>
          <w:spacing w:val="-7"/>
          <w:sz w:val="18"/>
          <w:szCs w:val="18"/>
          <w:lang w:val="es-ES_tradnl"/>
        </w:rPr>
        <w:t>í</w:t>
      </w:r>
      <w:r>
        <w:rPr>
          <w:spacing w:val="-7"/>
          <w:sz w:val="18"/>
          <w:szCs w:val="18"/>
          <w:lang w:val="es-ES_tradnl"/>
        </w:rPr>
        <w:t xml:space="preserve">culo 76 numerales 1 y 7 literal </w:t>
      </w:r>
      <w:r>
        <w:rPr>
          <w:b/>
          <w:bCs/>
          <w:spacing w:val="-7"/>
          <w:sz w:val="18"/>
          <w:szCs w:val="18"/>
          <w:lang w:val="es-ES_tradnl"/>
        </w:rPr>
        <w:t xml:space="preserve">l </w:t>
      </w:r>
      <w:r>
        <w:rPr>
          <w:sz w:val="18"/>
          <w:szCs w:val="18"/>
          <w:lang w:val="es-ES_tradnl"/>
        </w:rPr>
        <w:t>de 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B439" w14:textId="77777777" w:rsidR="00591D54" w:rsidRDefault="00591D54">
      <w:pPr>
        <w:shd w:val="clear" w:color="auto" w:fill="FFFFFF"/>
        <w:spacing w:before="187"/>
      </w:pPr>
      <w:r>
        <w:rPr>
          <w:b/>
          <w:bCs/>
          <w:spacing w:val="-11"/>
          <w:sz w:val="18"/>
          <w:szCs w:val="18"/>
          <w:lang w:val="es-ES_tradnl"/>
        </w:rPr>
        <w:t>Pretensi</w:t>
      </w:r>
      <w:r>
        <w:rPr>
          <w:rFonts w:cs="Times New Roman"/>
          <w:b/>
          <w:bCs/>
          <w:spacing w:val="-11"/>
          <w:sz w:val="18"/>
          <w:szCs w:val="18"/>
          <w:lang w:val="es-ES_tradnl"/>
        </w:rPr>
        <w:t>ó</w:t>
      </w:r>
      <w:r>
        <w:rPr>
          <w:b/>
          <w:bCs/>
          <w:spacing w:val="-11"/>
          <w:sz w:val="18"/>
          <w:szCs w:val="18"/>
          <w:lang w:val="es-ES_tradnl"/>
        </w:rPr>
        <w:t>n</w:t>
      </w:r>
    </w:p>
    <w:p w14:paraId="4F67B43A" w14:textId="77777777" w:rsidR="00591D54" w:rsidRDefault="00591D54">
      <w:pPr>
        <w:shd w:val="clear" w:color="auto" w:fill="FFFFFF"/>
        <w:spacing w:before="192" w:line="211" w:lineRule="exact"/>
        <w:jc w:val="both"/>
      </w:pPr>
      <w:r>
        <w:rPr>
          <w:spacing w:val="-8"/>
          <w:sz w:val="18"/>
          <w:szCs w:val="18"/>
          <w:lang w:val="es-ES_tradnl"/>
        </w:rPr>
        <w:t xml:space="preserve">Con estos antecedentes y fundamentos solicita a la Corte </w:t>
      </w:r>
      <w:r>
        <w:rPr>
          <w:spacing w:val="-7"/>
          <w:sz w:val="18"/>
          <w:szCs w:val="18"/>
          <w:lang w:val="es-ES_tradnl"/>
        </w:rPr>
        <w:t>Constitucional que mediante resoluci</w:t>
      </w:r>
      <w:r>
        <w:rPr>
          <w:rFonts w:cs="Times New Roman"/>
          <w:spacing w:val="-7"/>
          <w:sz w:val="18"/>
          <w:szCs w:val="18"/>
          <w:lang w:val="es-ES_tradnl"/>
        </w:rPr>
        <w:t>ó</w:t>
      </w:r>
      <w:r>
        <w:rPr>
          <w:spacing w:val="-7"/>
          <w:sz w:val="18"/>
          <w:szCs w:val="18"/>
          <w:lang w:val="es-ES_tradnl"/>
        </w:rPr>
        <w:t xml:space="preserve">n se amparen de manera directa y eficaz los derechos reconocidos en la </w:t>
      </w:r>
      <w:r>
        <w:rPr>
          <w:sz w:val="18"/>
          <w:szCs w:val="18"/>
          <w:lang w:val="es-ES_tradnl"/>
        </w:rPr>
        <w:t>Constituci</w:t>
      </w:r>
      <w:r>
        <w:rPr>
          <w:rFonts w:cs="Times New Roman"/>
          <w:sz w:val="18"/>
          <w:szCs w:val="18"/>
          <w:lang w:val="es-ES_tradnl"/>
        </w:rPr>
        <w:t>ó</w:t>
      </w:r>
      <w:r>
        <w:rPr>
          <w:sz w:val="18"/>
          <w:szCs w:val="18"/>
          <w:lang w:val="es-ES_tradnl"/>
        </w:rPr>
        <w:t>n y se ordene que:</w:t>
      </w:r>
    </w:p>
    <w:p w14:paraId="4F67B43B" w14:textId="77777777" w:rsidR="00591D54" w:rsidRDefault="00591D54">
      <w:pPr>
        <w:shd w:val="clear" w:color="auto" w:fill="FFFFFF"/>
        <w:tabs>
          <w:tab w:val="left" w:pos="446"/>
        </w:tabs>
        <w:spacing w:before="197" w:line="211" w:lineRule="exact"/>
        <w:ind w:left="283" w:right="5"/>
        <w:jc w:val="both"/>
      </w:pPr>
      <w:r>
        <w:rPr>
          <w:spacing w:val="-12"/>
          <w:sz w:val="16"/>
          <w:szCs w:val="16"/>
          <w:lang w:val="es-ES_tradnl"/>
        </w:rPr>
        <w:t>a)</w:t>
      </w:r>
      <w:r>
        <w:rPr>
          <w:sz w:val="18"/>
          <w:szCs w:val="18"/>
          <w:lang w:val="es-ES_tradnl"/>
        </w:rPr>
        <w:tab/>
      </w:r>
      <w:r>
        <w:rPr>
          <w:spacing w:val="-8"/>
          <w:sz w:val="16"/>
          <w:szCs w:val="16"/>
          <w:lang w:val="es-ES_tradnl"/>
        </w:rPr>
        <w:t>Se</w:t>
      </w:r>
      <w:r>
        <w:rPr>
          <w:spacing w:val="-8"/>
          <w:sz w:val="18"/>
          <w:szCs w:val="18"/>
          <w:lang w:val="es-ES_tradnl"/>
        </w:rPr>
        <w:t xml:space="preserve"> </w:t>
      </w:r>
      <w:r>
        <w:rPr>
          <w:spacing w:val="-8"/>
          <w:sz w:val="16"/>
          <w:szCs w:val="16"/>
          <w:lang w:val="es-ES_tradnl"/>
        </w:rPr>
        <w:t>sirva</w:t>
      </w:r>
      <w:r>
        <w:rPr>
          <w:spacing w:val="-8"/>
          <w:sz w:val="18"/>
          <w:szCs w:val="18"/>
          <w:lang w:val="es-ES_tradnl"/>
        </w:rPr>
        <w:t xml:space="preserve"> </w:t>
      </w:r>
      <w:r>
        <w:rPr>
          <w:spacing w:val="-8"/>
          <w:sz w:val="16"/>
          <w:szCs w:val="16"/>
          <w:lang w:val="es-ES_tradnl"/>
        </w:rPr>
        <w:t>declarar</w:t>
      </w:r>
      <w:r>
        <w:rPr>
          <w:spacing w:val="-8"/>
          <w:sz w:val="18"/>
          <w:szCs w:val="18"/>
          <w:lang w:val="es-ES_tradnl"/>
        </w:rPr>
        <w:t xml:space="preserve"> </w:t>
      </w:r>
      <w:r>
        <w:rPr>
          <w:spacing w:val="-8"/>
          <w:sz w:val="16"/>
          <w:szCs w:val="16"/>
          <w:lang w:val="es-ES_tradnl"/>
        </w:rPr>
        <w:t>improcedente</w:t>
      </w:r>
      <w:r>
        <w:rPr>
          <w:spacing w:val="-8"/>
          <w:sz w:val="18"/>
          <w:szCs w:val="18"/>
          <w:lang w:val="es-ES_tradnl"/>
        </w:rPr>
        <w:t xml:space="preserve"> </w:t>
      </w:r>
      <w:r>
        <w:rPr>
          <w:spacing w:val="-8"/>
          <w:sz w:val="16"/>
          <w:szCs w:val="16"/>
          <w:lang w:val="es-ES_tradnl"/>
        </w:rPr>
        <w:t>la</w:t>
      </w:r>
      <w:r>
        <w:rPr>
          <w:spacing w:val="-8"/>
          <w:sz w:val="18"/>
          <w:szCs w:val="18"/>
          <w:lang w:val="es-ES_tradnl"/>
        </w:rPr>
        <w:t xml:space="preserve"> </w:t>
      </w:r>
      <w:r>
        <w:rPr>
          <w:spacing w:val="-8"/>
          <w:sz w:val="16"/>
          <w:szCs w:val="16"/>
          <w:lang w:val="es-ES_tradnl"/>
        </w:rPr>
        <w:t>Acci</w:t>
      </w:r>
      <w:r>
        <w:rPr>
          <w:rFonts w:cs="Times New Roman"/>
          <w:spacing w:val="-8"/>
          <w:sz w:val="16"/>
          <w:szCs w:val="16"/>
          <w:lang w:val="es-ES_tradnl"/>
        </w:rPr>
        <w:t>ó</w:t>
      </w:r>
      <w:r>
        <w:rPr>
          <w:spacing w:val="-8"/>
          <w:sz w:val="16"/>
          <w:szCs w:val="16"/>
          <w:lang w:val="es-ES_tradnl"/>
        </w:rPr>
        <w:t>n</w:t>
      </w:r>
      <w:r>
        <w:rPr>
          <w:spacing w:val="-8"/>
          <w:sz w:val="18"/>
          <w:szCs w:val="18"/>
          <w:lang w:val="es-ES_tradnl"/>
        </w:rPr>
        <w:t xml:space="preserve"> </w:t>
      </w:r>
      <w:r>
        <w:rPr>
          <w:spacing w:val="-8"/>
          <w:sz w:val="16"/>
          <w:szCs w:val="16"/>
          <w:lang w:val="es-ES_tradnl"/>
        </w:rPr>
        <w:t>de</w:t>
      </w:r>
      <w:r>
        <w:rPr>
          <w:spacing w:val="-8"/>
          <w:sz w:val="18"/>
          <w:szCs w:val="18"/>
          <w:lang w:val="es-ES_tradnl"/>
        </w:rPr>
        <w:t xml:space="preserve"> </w:t>
      </w:r>
      <w:r>
        <w:rPr>
          <w:spacing w:val="-8"/>
          <w:sz w:val="16"/>
          <w:szCs w:val="16"/>
          <w:lang w:val="es-ES_tradnl"/>
        </w:rPr>
        <w:t>Protecci</w:t>
      </w:r>
      <w:r>
        <w:rPr>
          <w:rFonts w:cs="Times New Roman"/>
          <w:spacing w:val="-8"/>
          <w:sz w:val="16"/>
          <w:szCs w:val="16"/>
          <w:lang w:val="es-ES_tradnl"/>
        </w:rPr>
        <w:t>ó</w:t>
      </w:r>
      <w:r>
        <w:rPr>
          <w:spacing w:val="-8"/>
          <w:sz w:val="16"/>
          <w:szCs w:val="16"/>
          <w:lang w:val="es-ES_tradnl"/>
        </w:rPr>
        <w:t>n,</w:t>
      </w:r>
      <w:r>
        <w:rPr>
          <w:spacing w:val="-8"/>
          <w:sz w:val="18"/>
          <w:szCs w:val="18"/>
          <w:lang w:val="es-ES_tradnl"/>
        </w:rPr>
        <w:t xml:space="preserve"> </w:t>
      </w:r>
      <w:r>
        <w:rPr>
          <w:spacing w:val="-8"/>
          <w:sz w:val="16"/>
          <w:szCs w:val="16"/>
          <w:lang w:val="es-ES_tradnl"/>
        </w:rPr>
        <w:t>por </w:t>
      </w:r>
      <w:r>
        <w:rPr>
          <w:sz w:val="16"/>
          <w:szCs w:val="16"/>
          <w:lang w:val="es-ES_tradnl"/>
        </w:rPr>
        <w:t>haber sido planteada indebidamente.</w:t>
      </w:r>
    </w:p>
    <w:p w14:paraId="4F67B43C" w14:textId="77777777" w:rsidR="00591D54" w:rsidRDefault="00591D54">
      <w:pPr>
        <w:shd w:val="clear" w:color="auto" w:fill="FFFFFF"/>
        <w:tabs>
          <w:tab w:val="left" w:pos="490"/>
        </w:tabs>
        <w:spacing w:line="211" w:lineRule="exact"/>
        <w:ind w:left="283" w:right="5"/>
        <w:jc w:val="both"/>
      </w:pPr>
      <w:r>
        <w:rPr>
          <w:spacing w:val="-7"/>
          <w:sz w:val="16"/>
          <w:szCs w:val="16"/>
          <w:lang w:val="es-ES_tradnl"/>
        </w:rPr>
        <w:t>b)</w:t>
      </w:r>
      <w:r>
        <w:rPr>
          <w:sz w:val="18"/>
          <w:szCs w:val="18"/>
          <w:lang w:val="es-ES_tradnl"/>
        </w:rPr>
        <w:tab/>
      </w:r>
      <w:r>
        <w:rPr>
          <w:spacing w:val="-3"/>
          <w:sz w:val="16"/>
          <w:szCs w:val="16"/>
          <w:lang w:val="es-ES_tradnl"/>
        </w:rPr>
        <w:t>Se</w:t>
      </w:r>
      <w:r>
        <w:rPr>
          <w:spacing w:val="-3"/>
          <w:sz w:val="18"/>
          <w:szCs w:val="18"/>
          <w:lang w:val="es-ES_tradnl"/>
        </w:rPr>
        <w:t xml:space="preserve"> </w:t>
      </w:r>
      <w:r>
        <w:rPr>
          <w:spacing w:val="-3"/>
          <w:sz w:val="16"/>
          <w:szCs w:val="16"/>
          <w:lang w:val="es-ES_tradnl"/>
        </w:rPr>
        <w:t>revoque</w:t>
      </w:r>
      <w:r>
        <w:rPr>
          <w:spacing w:val="-3"/>
          <w:sz w:val="18"/>
          <w:szCs w:val="18"/>
          <w:lang w:val="es-ES_tradnl"/>
        </w:rPr>
        <w:t xml:space="preserve"> </w:t>
      </w:r>
      <w:r>
        <w:rPr>
          <w:spacing w:val="-3"/>
          <w:sz w:val="16"/>
          <w:szCs w:val="16"/>
          <w:lang w:val="es-ES_tradnl"/>
        </w:rPr>
        <w:t>la</w:t>
      </w:r>
      <w:r>
        <w:rPr>
          <w:spacing w:val="-3"/>
          <w:sz w:val="18"/>
          <w:szCs w:val="18"/>
          <w:lang w:val="es-ES_tradnl"/>
        </w:rPr>
        <w:t xml:space="preserve"> </w:t>
      </w:r>
      <w:r>
        <w:rPr>
          <w:spacing w:val="-3"/>
          <w:sz w:val="16"/>
          <w:szCs w:val="16"/>
          <w:lang w:val="es-ES_tradnl"/>
        </w:rPr>
        <w:t>sentencia</w:t>
      </w:r>
      <w:r>
        <w:rPr>
          <w:spacing w:val="-3"/>
          <w:sz w:val="18"/>
          <w:szCs w:val="18"/>
          <w:lang w:val="es-ES_tradnl"/>
        </w:rPr>
        <w:t xml:space="preserve"> </w:t>
      </w:r>
      <w:r>
        <w:rPr>
          <w:spacing w:val="-3"/>
          <w:sz w:val="16"/>
          <w:szCs w:val="16"/>
          <w:lang w:val="es-ES_tradnl"/>
        </w:rPr>
        <w:t>dictada</w:t>
      </w:r>
      <w:r>
        <w:rPr>
          <w:spacing w:val="-3"/>
          <w:sz w:val="18"/>
          <w:szCs w:val="18"/>
          <w:lang w:val="es-ES_tradnl"/>
        </w:rPr>
        <w:t xml:space="preserve"> </w:t>
      </w:r>
      <w:r>
        <w:rPr>
          <w:spacing w:val="-3"/>
          <w:sz w:val="16"/>
          <w:szCs w:val="16"/>
          <w:lang w:val="es-ES_tradnl"/>
        </w:rPr>
        <w:t>por</w:t>
      </w:r>
      <w:r>
        <w:rPr>
          <w:spacing w:val="-3"/>
          <w:sz w:val="18"/>
          <w:szCs w:val="18"/>
          <w:lang w:val="es-ES_tradnl"/>
        </w:rPr>
        <w:t xml:space="preserve"> </w:t>
      </w:r>
      <w:r>
        <w:rPr>
          <w:spacing w:val="-3"/>
          <w:sz w:val="16"/>
          <w:szCs w:val="16"/>
          <w:lang w:val="es-ES_tradnl"/>
        </w:rPr>
        <w:t>la</w:t>
      </w:r>
      <w:r>
        <w:rPr>
          <w:spacing w:val="-3"/>
          <w:sz w:val="18"/>
          <w:szCs w:val="18"/>
          <w:lang w:val="es-ES_tradnl"/>
        </w:rPr>
        <w:t xml:space="preserve"> </w:t>
      </w:r>
      <w:r>
        <w:rPr>
          <w:spacing w:val="-3"/>
          <w:sz w:val="16"/>
          <w:szCs w:val="16"/>
          <w:lang w:val="es-ES_tradnl"/>
        </w:rPr>
        <w:t>Primera</w:t>
      </w:r>
      <w:r>
        <w:rPr>
          <w:spacing w:val="-3"/>
          <w:sz w:val="18"/>
          <w:szCs w:val="18"/>
          <w:lang w:val="es-ES_tradnl"/>
        </w:rPr>
        <w:t xml:space="preserve"> </w:t>
      </w:r>
      <w:r>
        <w:rPr>
          <w:spacing w:val="-3"/>
          <w:sz w:val="16"/>
          <w:szCs w:val="16"/>
          <w:lang w:val="es-ES_tradnl"/>
        </w:rPr>
        <w:t>Sala</w:t>
      </w:r>
      <w:r>
        <w:rPr>
          <w:spacing w:val="-3"/>
          <w:sz w:val="18"/>
          <w:szCs w:val="18"/>
          <w:lang w:val="es-ES_tradnl"/>
        </w:rPr>
        <w:t xml:space="preserve"> </w:t>
      </w:r>
      <w:r>
        <w:rPr>
          <w:spacing w:val="-3"/>
          <w:sz w:val="16"/>
          <w:szCs w:val="16"/>
          <w:lang w:val="es-ES_tradnl"/>
        </w:rPr>
        <w:t>de </w:t>
      </w:r>
      <w:r>
        <w:rPr>
          <w:spacing w:val="-4"/>
          <w:sz w:val="16"/>
          <w:szCs w:val="16"/>
          <w:lang w:val="es-ES_tradnl"/>
        </w:rPr>
        <w:t>lo Laboral, Ni</w:t>
      </w:r>
      <w:r>
        <w:rPr>
          <w:rFonts w:cs="Times New Roman"/>
          <w:spacing w:val="-4"/>
          <w:sz w:val="16"/>
          <w:szCs w:val="16"/>
          <w:lang w:val="es-ES_tradnl"/>
        </w:rPr>
        <w:t>ñ</w:t>
      </w:r>
      <w:r>
        <w:rPr>
          <w:spacing w:val="-4"/>
          <w:sz w:val="16"/>
          <w:szCs w:val="16"/>
          <w:lang w:val="es-ES_tradnl"/>
        </w:rPr>
        <w:t>ez y Adolescencia de la Corte Provincial de </w:t>
      </w:r>
      <w:r>
        <w:rPr>
          <w:spacing w:val="-7"/>
          <w:sz w:val="16"/>
          <w:szCs w:val="16"/>
          <w:lang w:val="es-ES_tradnl"/>
        </w:rPr>
        <w:t>Justicia del Guayas el 02 de abril de 2012 a las 11h45 (sic).</w:t>
      </w:r>
    </w:p>
    <w:p w14:paraId="4F67B43D" w14:textId="77777777" w:rsidR="00591D54" w:rsidRDefault="00591D54">
      <w:pPr>
        <w:shd w:val="clear" w:color="auto" w:fill="FFFFFF"/>
        <w:spacing w:before="197"/>
      </w:pPr>
      <w:r>
        <w:rPr>
          <w:b/>
          <w:bCs/>
          <w:spacing w:val="-10"/>
          <w:sz w:val="18"/>
          <w:szCs w:val="18"/>
          <w:lang w:val="es-ES_tradnl"/>
        </w:rPr>
        <w:t>Contestaci</w:t>
      </w:r>
      <w:r>
        <w:rPr>
          <w:rFonts w:cs="Times New Roman"/>
          <w:b/>
          <w:bCs/>
          <w:spacing w:val="-10"/>
          <w:sz w:val="18"/>
          <w:szCs w:val="18"/>
          <w:lang w:val="es-ES_tradnl"/>
        </w:rPr>
        <w:t>ó</w:t>
      </w:r>
      <w:r>
        <w:rPr>
          <w:b/>
          <w:bCs/>
          <w:spacing w:val="-10"/>
          <w:sz w:val="18"/>
          <w:szCs w:val="18"/>
          <w:lang w:val="es-ES_tradnl"/>
        </w:rPr>
        <w:t>n a la demanda</w:t>
      </w:r>
    </w:p>
    <w:p w14:paraId="4F67B43E" w14:textId="77777777" w:rsidR="00591D54" w:rsidRDefault="00591D54">
      <w:pPr>
        <w:shd w:val="clear" w:color="auto" w:fill="FFFFFF"/>
        <w:spacing w:before="187" w:line="211" w:lineRule="exact"/>
        <w:ind w:right="5"/>
        <w:jc w:val="both"/>
      </w:pPr>
      <w:r>
        <w:rPr>
          <w:b/>
          <w:bCs/>
          <w:spacing w:val="-6"/>
          <w:sz w:val="18"/>
          <w:szCs w:val="18"/>
          <w:lang w:val="es-ES_tradnl"/>
        </w:rPr>
        <w:t>Jueces de la Primera Sala de lo Laboral, Ni</w:t>
      </w:r>
      <w:r>
        <w:rPr>
          <w:rFonts w:cs="Times New Roman"/>
          <w:b/>
          <w:bCs/>
          <w:spacing w:val="-6"/>
          <w:sz w:val="18"/>
          <w:szCs w:val="18"/>
          <w:lang w:val="es-ES_tradnl"/>
        </w:rPr>
        <w:t>ñ</w:t>
      </w:r>
      <w:r>
        <w:rPr>
          <w:b/>
          <w:bCs/>
          <w:spacing w:val="-6"/>
          <w:sz w:val="18"/>
          <w:szCs w:val="18"/>
          <w:lang w:val="es-ES_tradnl"/>
        </w:rPr>
        <w:t xml:space="preserve">ez y Adolescencia de la Corte Provincial de Justicia del </w:t>
      </w:r>
      <w:r>
        <w:rPr>
          <w:b/>
          <w:bCs/>
          <w:sz w:val="18"/>
          <w:szCs w:val="18"/>
          <w:lang w:val="es-ES_tradnl"/>
        </w:rPr>
        <w:t>Guayas (legitimados pasivos)</w:t>
      </w:r>
    </w:p>
    <w:p w14:paraId="4F67B43F" w14:textId="77777777" w:rsidR="00591D54" w:rsidRDefault="00591D54">
      <w:pPr>
        <w:shd w:val="clear" w:color="auto" w:fill="FFFFFF"/>
        <w:spacing w:before="192" w:line="211" w:lineRule="exact"/>
        <w:ind w:right="5"/>
        <w:jc w:val="both"/>
      </w:pPr>
      <w:r>
        <w:rPr>
          <w:spacing w:val="-6"/>
          <w:sz w:val="18"/>
          <w:szCs w:val="18"/>
          <w:lang w:val="es-ES_tradnl"/>
        </w:rPr>
        <w:t>Mediante oficio N.</w:t>
      </w:r>
      <w:r>
        <w:rPr>
          <w:rFonts w:cs="Times New Roman"/>
          <w:spacing w:val="-6"/>
          <w:sz w:val="18"/>
          <w:szCs w:val="18"/>
          <w:lang w:val="es-ES_tradnl"/>
        </w:rPr>
        <w:t>º</w:t>
      </w:r>
      <w:r>
        <w:rPr>
          <w:spacing w:val="-6"/>
          <w:sz w:val="18"/>
          <w:szCs w:val="18"/>
          <w:lang w:val="es-ES_tradnl"/>
        </w:rPr>
        <w:t xml:space="preserve"> 438-13-CC-AGL del 23 de octubre de </w:t>
      </w:r>
      <w:r>
        <w:rPr>
          <w:spacing w:val="-7"/>
          <w:sz w:val="18"/>
          <w:szCs w:val="18"/>
          <w:lang w:val="es-ES_tradnl"/>
        </w:rPr>
        <w:t>2013, la actuaria del despacho envi</w:t>
      </w:r>
      <w:r>
        <w:rPr>
          <w:rFonts w:cs="Times New Roman"/>
          <w:spacing w:val="-7"/>
          <w:sz w:val="18"/>
          <w:szCs w:val="18"/>
          <w:lang w:val="es-ES_tradnl"/>
        </w:rPr>
        <w:t>ó</w:t>
      </w:r>
      <w:r>
        <w:rPr>
          <w:spacing w:val="-7"/>
          <w:sz w:val="18"/>
          <w:szCs w:val="18"/>
          <w:lang w:val="es-ES_tradnl"/>
        </w:rPr>
        <w:t xml:space="preserve"> copia de la demanda y de la providencia a los jueces de la Primera Sala de lo </w:t>
      </w:r>
      <w:r>
        <w:rPr>
          <w:spacing w:val="-5"/>
          <w:sz w:val="18"/>
          <w:szCs w:val="18"/>
          <w:lang w:val="es-ES_tradnl"/>
        </w:rPr>
        <w:t>Laboral, Ni</w:t>
      </w:r>
      <w:r>
        <w:rPr>
          <w:rFonts w:cs="Times New Roman"/>
          <w:spacing w:val="-5"/>
          <w:sz w:val="18"/>
          <w:szCs w:val="18"/>
          <w:lang w:val="es-ES_tradnl"/>
        </w:rPr>
        <w:t>ñ</w:t>
      </w:r>
      <w:r>
        <w:rPr>
          <w:spacing w:val="-5"/>
          <w:sz w:val="18"/>
          <w:szCs w:val="18"/>
          <w:lang w:val="es-ES_tradnl"/>
        </w:rPr>
        <w:t xml:space="preserve">ez y Adolescencia de la Corte Provincial de </w:t>
      </w:r>
      <w:r>
        <w:rPr>
          <w:spacing w:val="-10"/>
          <w:sz w:val="18"/>
          <w:szCs w:val="18"/>
          <w:lang w:val="es-ES_tradnl"/>
        </w:rPr>
        <w:t xml:space="preserve">Justicia del Guayas; no obstante, los referidos jueces no han </w:t>
      </w:r>
      <w:r>
        <w:rPr>
          <w:spacing w:val="-8"/>
          <w:sz w:val="18"/>
          <w:szCs w:val="18"/>
          <w:lang w:val="es-ES_tradnl"/>
        </w:rPr>
        <w:t>remitido el informe de descargo requerido, ni han se</w:t>
      </w:r>
      <w:r>
        <w:rPr>
          <w:rFonts w:cs="Times New Roman"/>
          <w:spacing w:val="-8"/>
          <w:sz w:val="18"/>
          <w:szCs w:val="18"/>
          <w:lang w:val="es-ES_tradnl"/>
        </w:rPr>
        <w:t>ñ</w:t>
      </w:r>
      <w:r>
        <w:rPr>
          <w:spacing w:val="-8"/>
          <w:sz w:val="18"/>
          <w:szCs w:val="18"/>
          <w:lang w:val="es-ES_tradnl"/>
        </w:rPr>
        <w:t>alado casilla constitucional para ser notificados, incumpliendo as</w:t>
      </w:r>
      <w:r>
        <w:rPr>
          <w:rFonts w:cs="Times New Roman"/>
          <w:spacing w:val="-8"/>
          <w:sz w:val="18"/>
          <w:szCs w:val="18"/>
          <w:lang w:val="es-ES_tradnl"/>
        </w:rPr>
        <w:t xml:space="preserve">í </w:t>
      </w:r>
      <w:r>
        <w:rPr>
          <w:sz w:val="18"/>
          <w:szCs w:val="18"/>
          <w:lang w:val="es-ES_tradnl"/>
        </w:rPr>
        <w:t>el mandato jurisdiccional.</w:t>
      </w:r>
    </w:p>
    <w:p w14:paraId="4F67B440" w14:textId="77777777" w:rsidR="00591D54" w:rsidRDefault="00591D54">
      <w:pPr>
        <w:shd w:val="clear" w:color="auto" w:fill="FFFFFF"/>
        <w:spacing w:before="187"/>
      </w:pPr>
      <w:r>
        <w:rPr>
          <w:b/>
          <w:bCs/>
          <w:spacing w:val="-9"/>
          <w:sz w:val="18"/>
          <w:szCs w:val="18"/>
          <w:lang w:val="es-ES_tradnl"/>
        </w:rPr>
        <w:t>Comparecencia de la Procuradur</w:t>
      </w:r>
      <w:r>
        <w:rPr>
          <w:rFonts w:cs="Times New Roman"/>
          <w:b/>
          <w:bCs/>
          <w:spacing w:val="-9"/>
          <w:sz w:val="18"/>
          <w:szCs w:val="18"/>
          <w:lang w:val="es-ES_tradnl"/>
        </w:rPr>
        <w:t>í</w:t>
      </w:r>
      <w:r>
        <w:rPr>
          <w:b/>
          <w:bCs/>
          <w:spacing w:val="-9"/>
          <w:sz w:val="18"/>
          <w:szCs w:val="18"/>
          <w:lang w:val="es-ES_tradnl"/>
        </w:rPr>
        <w:t>a General del Estado</w:t>
      </w:r>
    </w:p>
    <w:p w14:paraId="4F67B441" w14:textId="77777777" w:rsidR="00591D54" w:rsidRDefault="00591D54">
      <w:pPr>
        <w:shd w:val="clear" w:color="auto" w:fill="FFFFFF"/>
        <w:spacing w:before="192" w:line="211" w:lineRule="exact"/>
        <w:jc w:val="both"/>
      </w:pPr>
      <w:r>
        <w:rPr>
          <w:spacing w:val="-7"/>
          <w:sz w:val="18"/>
          <w:szCs w:val="18"/>
          <w:lang w:val="es-ES_tradnl"/>
        </w:rPr>
        <w:t xml:space="preserve">El abogado Marcos Arteaga Valenzuela, director nacional </w:t>
      </w:r>
      <w:r>
        <w:rPr>
          <w:sz w:val="18"/>
          <w:szCs w:val="18"/>
          <w:lang w:val="es-ES_tradnl"/>
        </w:rPr>
        <w:t xml:space="preserve">de patrocinio, delegado del procurador general del </w:t>
      </w:r>
      <w:r>
        <w:rPr>
          <w:spacing w:val="-6"/>
          <w:sz w:val="18"/>
          <w:szCs w:val="18"/>
          <w:lang w:val="es-ES_tradnl"/>
        </w:rPr>
        <w:t xml:space="preserve">Estado, mediante escrito ingresado el 22 de abril de 2013 </w:t>
      </w:r>
      <w:r>
        <w:rPr>
          <w:spacing w:val="-3"/>
          <w:sz w:val="18"/>
          <w:szCs w:val="18"/>
          <w:lang w:val="es-ES_tradnl"/>
        </w:rPr>
        <w:t xml:space="preserve">a las 11h30 en lo principal, indica: </w:t>
      </w:r>
      <w:r>
        <w:rPr>
          <w:rFonts w:cs="Times New Roman"/>
          <w:spacing w:val="-3"/>
          <w:sz w:val="18"/>
          <w:szCs w:val="18"/>
          <w:lang w:val="es-ES_tradnl"/>
        </w:rPr>
        <w:t>“</w:t>
      </w:r>
      <w:r>
        <w:rPr>
          <w:spacing w:val="-3"/>
          <w:sz w:val="18"/>
          <w:szCs w:val="18"/>
          <w:lang w:val="es-ES_tradnl"/>
        </w:rPr>
        <w:t>(</w:t>
      </w:r>
      <w:r>
        <w:rPr>
          <w:rFonts w:cs="Times New Roman"/>
          <w:spacing w:val="-3"/>
          <w:sz w:val="18"/>
          <w:szCs w:val="18"/>
          <w:lang w:val="es-ES_tradnl"/>
        </w:rPr>
        <w:t>…</w:t>
      </w:r>
      <w:r>
        <w:rPr>
          <w:spacing w:val="-3"/>
          <w:sz w:val="18"/>
          <w:szCs w:val="18"/>
          <w:lang w:val="es-ES_tradnl"/>
        </w:rPr>
        <w:t>) Que, se</w:t>
      </w:r>
      <w:r>
        <w:rPr>
          <w:rFonts w:cs="Times New Roman"/>
          <w:spacing w:val="-3"/>
          <w:sz w:val="18"/>
          <w:szCs w:val="18"/>
          <w:lang w:val="es-ES_tradnl"/>
        </w:rPr>
        <w:t>ñ</w:t>
      </w:r>
      <w:r>
        <w:rPr>
          <w:spacing w:val="-3"/>
          <w:sz w:val="18"/>
          <w:szCs w:val="18"/>
          <w:lang w:val="es-ES_tradnl"/>
        </w:rPr>
        <w:t xml:space="preserve">alo la </w:t>
      </w:r>
      <w:r>
        <w:rPr>
          <w:spacing w:val="-5"/>
          <w:sz w:val="18"/>
          <w:szCs w:val="18"/>
          <w:lang w:val="es-ES_tradnl"/>
        </w:rPr>
        <w:t xml:space="preserve">casilla constitucional No. </w:t>
      </w:r>
      <w:r>
        <w:rPr>
          <w:b/>
          <w:bCs/>
          <w:spacing w:val="-5"/>
          <w:sz w:val="18"/>
          <w:szCs w:val="18"/>
          <w:lang w:val="es-ES_tradnl"/>
        </w:rPr>
        <w:t xml:space="preserve">018, </w:t>
      </w:r>
      <w:r>
        <w:rPr>
          <w:spacing w:val="-5"/>
          <w:sz w:val="18"/>
          <w:szCs w:val="18"/>
          <w:lang w:val="es-ES_tradnl"/>
        </w:rPr>
        <w:t xml:space="preserve">para recibir notificaciones. </w:t>
      </w:r>
      <w:r>
        <w:rPr>
          <w:spacing w:val="-9"/>
          <w:sz w:val="18"/>
          <w:szCs w:val="18"/>
          <w:lang w:val="es-ES_tradnl"/>
        </w:rPr>
        <w:t>Acompa</w:t>
      </w:r>
      <w:r>
        <w:rPr>
          <w:rFonts w:cs="Times New Roman"/>
          <w:spacing w:val="-9"/>
          <w:sz w:val="18"/>
          <w:szCs w:val="18"/>
          <w:lang w:val="es-ES_tradnl"/>
        </w:rPr>
        <w:t>ñ</w:t>
      </w:r>
      <w:r>
        <w:rPr>
          <w:spacing w:val="-9"/>
          <w:sz w:val="18"/>
          <w:szCs w:val="18"/>
          <w:lang w:val="es-ES_tradnl"/>
        </w:rPr>
        <w:t xml:space="preserve">o copia certificada del documento que acredita mi </w:t>
      </w:r>
      <w:r>
        <w:rPr>
          <w:spacing w:val="-7"/>
          <w:sz w:val="18"/>
          <w:szCs w:val="18"/>
          <w:lang w:val="es-ES_tradnl"/>
        </w:rPr>
        <w:t>comparecencia</w:t>
      </w:r>
      <w:r>
        <w:rPr>
          <w:rFonts w:cs="Times New Roman"/>
          <w:spacing w:val="-7"/>
          <w:sz w:val="18"/>
          <w:szCs w:val="18"/>
          <w:lang w:val="es-ES_tradnl"/>
        </w:rPr>
        <w:t>”</w:t>
      </w:r>
      <w:r>
        <w:rPr>
          <w:spacing w:val="-7"/>
          <w:sz w:val="18"/>
          <w:szCs w:val="18"/>
          <w:lang w:val="es-ES_tradnl"/>
        </w:rPr>
        <w:t xml:space="preserve">. No emite pronunciamiento alguno sobre </w:t>
      </w:r>
      <w:r>
        <w:rPr>
          <w:spacing w:val="-6"/>
          <w:sz w:val="18"/>
          <w:szCs w:val="18"/>
          <w:lang w:val="es-ES_tradnl"/>
        </w:rPr>
        <w:t>los fundamentos de la presente acci</w:t>
      </w:r>
      <w:r>
        <w:rPr>
          <w:rFonts w:cs="Times New Roman"/>
          <w:spacing w:val="-6"/>
          <w:sz w:val="18"/>
          <w:szCs w:val="18"/>
          <w:lang w:val="es-ES_tradnl"/>
        </w:rPr>
        <w:t>ó</w:t>
      </w:r>
      <w:r>
        <w:rPr>
          <w:spacing w:val="-6"/>
          <w:sz w:val="18"/>
          <w:szCs w:val="18"/>
          <w:lang w:val="es-ES_tradnl"/>
        </w:rPr>
        <w:t xml:space="preserve">n (fojas 09 y 10 del </w:t>
      </w:r>
      <w:r>
        <w:rPr>
          <w:sz w:val="18"/>
          <w:szCs w:val="18"/>
          <w:lang w:val="es-ES_tradnl"/>
        </w:rPr>
        <w:t>expediente constitucional).</w:t>
      </w:r>
    </w:p>
    <w:p w14:paraId="4F67B442" w14:textId="77777777" w:rsidR="00591D54" w:rsidRDefault="00591D54">
      <w:pPr>
        <w:shd w:val="clear" w:color="auto" w:fill="FFFFFF"/>
        <w:spacing w:before="187" w:line="216" w:lineRule="exact"/>
        <w:ind w:left="686" w:right="326" w:hanging="298"/>
      </w:pPr>
      <w:r>
        <w:rPr>
          <w:b/>
          <w:bCs/>
          <w:spacing w:val="-1"/>
          <w:sz w:val="18"/>
          <w:szCs w:val="18"/>
          <w:lang w:val="es-ES_tradnl"/>
        </w:rPr>
        <w:t xml:space="preserve">II. CONSIDERACIONES Y ARGUMENTOS </w:t>
      </w:r>
      <w:r>
        <w:rPr>
          <w:b/>
          <w:bCs/>
          <w:sz w:val="18"/>
          <w:szCs w:val="18"/>
          <w:lang w:val="es-ES_tradnl"/>
        </w:rPr>
        <w:t>DE LA CORTE CONSTITUCIONAL</w:t>
      </w:r>
    </w:p>
    <w:p w14:paraId="4F67B443" w14:textId="77777777" w:rsidR="00591D54" w:rsidRDefault="00591D54">
      <w:pPr>
        <w:shd w:val="clear" w:color="auto" w:fill="FFFFFF"/>
        <w:spacing w:before="187"/>
      </w:pPr>
      <w:r>
        <w:rPr>
          <w:b/>
          <w:bCs/>
          <w:spacing w:val="-8"/>
          <w:sz w:val="18"/>
          <w:szCs w:val="18"/>
          <w:lang w:val="es-ES_tradnl"/>
        </w:rPr>
        <w:t>Competencia de la Corte</w:t>
      </w:r>
    </w:p>
    <w:p w14:paraId="4F67B444" w14:textId="77777777" w:rsidR="00591D54" w:rsidRDefault="00591D54">
      <w:pPr>
        <w:shd w:val="clear" w:color="auto" w:fill="FFFFFF"/>
        <w:spacing w:before="192" w:line="211" w:lineRule="exact"/>
        <w:jc w:val="both"/>
      </w:pPr>
      <w:r>
        <w:rPr>
          <w:spacing w:val="-6"/>
          <w:sz w:val="18"/>
          <w:szCs w:val="18"/>
          <w:lang w:val="es-ES_tradnl"/>
        </w:rPr>
        <w:t xml:space="preserve">La Corte Constitucional es competente para conocer y </w:t>
      </w:r>
      <w:r>
        <w:rPr>
          <w:spacing w:val="-7"/>
          <w:sz w:val="18"/>
          <w:szCs w:val="18"/>
          <w:lang w:val="es-ES_tradnl"/>
        </w:rPr>
        <w:t>resolver sobre las acciones extraordinarias de protecci</w:t>
      </w:r>
      <w:r>
        <w:rPr>
          <w:rFonts w:cs="Times New Roman"/>
          <w:spacing w:val="-7"/>
          <w:sz w:val="18"/>
          <w:szCs w:val="18"/>
          <w:lang w:val="es-ES_tradnl"/>
        </w:rPr>
        <w:t>ó</w:t>
      </w:r>
      <w:r>
        <w:rPr>
          <w:spacing w:val="-7"/>
          <w:sz w:val="18"/>
          <w:szCs w:val="18"/>
          <w:lang w:val="es-ES_tradnl"/>
        </w:rPr>
        <w:t xml:space="preserve">n </w:t>
      </w:r>
      <w:r>
        <w:rPr>
          <w:spacing w:val="-6"/>
          <w:sz w:val="18"/>
          <w:szCs w:val="18"/>
          <w:lang w:val="es-ES_tradnl"/>
        </w:rPr>
        <w:t xml:space="preserve">contra sentencias, autos definitivos y resoluciones con </w:t>
      </w:r>
      <w:r>
        <w:rPr>
          <w:spacing w:val="-7"/>
          <w:sz w:val="18"/>
          <w:szCs w:val="18"/>
          <w:lang w:val="es-ES_tradnl"/>
        </w:rPr>
        <w:t xml:space="preserve">fuerza de sentencia, de conformidad con lo previsto en los </w:t>
      </w:r>
      <w:r>
        <w:rPr>
          <w:spacing w:val="-5"/>
          <w:sz w:val="18"/>
          <w:szCs w:val="18"/>
          <w:lang w:val="es-ES_tradnl"/>
        </w:rPr>
        <w:t>art</w:t>
      </w:r>
      <w:r>
        <w:rPr>
          <w:rFonts w:cs="Times New Roman"/>
          <w:spacing w:val="-5"/>
          <w:sz w:val="18"/>
          <w:szCs w:val="18"/>
          <w:lang w:val="es-ES_tradnl"/>
        </w:rPr>
        <w:t>í</w:t>
      </w:r>
      <w:r>
        <w:rPr>
          <w:spacing w:val="-5"/>
          <w:sz w:val="18"/>
          <w:szCs w:val="18"/>
          <w:lang w:val="es-ES_tradnl"/>
        </w:rPr>
        <w:t>culos 94 y 437 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 xml:space="preserve">blica, en </w:t>
      </w:r>
      <w:r>
        <w:rPr>
          <w:spacing w:val="-7"/>
          <w:sz w:val="18"/>
          <w:szCs w:val="18"/>
          <w:lang w:val="es-ES_tradnl"/>
        </w:rPr>
        <w:t>concordancia con los art</w:t>
      </w:r>
      <w:r>
        <w:rPr>
          <w:rFonts w:cs="Times New Roman"/>
          <w:spacing w:val="-7"/>
          <w:sz w:val="18"/>
          <w:szCs w:val="18"/>
          <w:lang w:val="es-ES_tradnl"/>
        </w:rPr>
        <w:t>í</w:t>
      </w:r>
      <w:r>
        <w:rPr>
          <w:spacing w:val="-7"/>
          <w:sz w:val="18"/>
          <w:szCs w:val="18"/>
          <w:lang w:val="es-ES_tradnl"/>
        </w:rPr>
        <w:t xml:space="preserve">culos 63 y 191 numeral 2 literal </w:t>
      </w:r>
      <w:r>
        <w:rPr>
          <w:b/>
          <w:bCs/>
          <w:spacing w:val="-7"/>
          <w:sz w:val="18"/>
          <w:szCs w:val="18"/>
          <w:lang w:val="es-ES_tradnl"/>
        </w:rPr>
        <w:t xml:space="preserve">d </w:t>
      </w:r>
      <w:r>
        <w:rPr>
          <w:spacing w:val="-8"/>
          <w:sz w:val="18"/>
          <w:szCs w:val="18"/>
          <w:lang w:val="es-ES_tradnl"/>
        </w:rPr>
        <w:t>de la Ley Org</w:t>
      </w:r>
      <w:r>
        <w:rPr>
          <w:rFonts w:cs="Times New Roman"/>
          <w:spacing w:val="-8"/>
          <w:sz w:val="18"/>
          <w:szCs w:val="18"/>
          <w:lang w:val="es-ES_tradnl"/>
        </w:rPr>
        <w:t>á</w:t>
      </w:r>
      <w:r>
        <w:rPr>
          <w:spacing w:val="-8"/>
          <w:sz w:val="18"/>
          <w:szCs w:val="18"/>
          <w:lang w:val="es-ES_tradnl"/>
        </w:rPr>
        <w:t>nica de Garant</w:t>
      </w:r>
      <w:r>
        <w:rPr>
          <w:rFonts w:cs="Times New Roman"/>
          <w:spacing w:val="-8"/>
          <w:sz w:val="18"/>
          <w:szCs w:val="18"/>
          <w:lang w:val="es-ES_tradnl"/>
        </w:rPr>
        <w:t>í</w:t>
      </w:r>
      <w:r>
        <w:rPr>
          <w:spacing w:val="-8"/>
          <w:sz w:val="18"/>
          <w:szCs w:val="18"/>
          <w:lang w:val="es-ES_tradnl"/>
        </w:rPr>
        <w:t xml:space="preserve">as Jurisdiccionales y Control </w:t>
      </w:r>
      <w:r>
        <w:rPr>
          <w:spacing w:val="-4"/>
          <w:sz w:val="18"/>
          <w:szCs w:val="18"/>
          <w:lang w:val="es-ES_tradnl"/>
        </w:rPr>
        <w:t>Constitucional, de acuerdo con el art</w:t>
      </w:r>
      <w:r>
        <w:rPr>
          <w:rFonts w:cs="Times New Roman"/>
          <w:spacing w:val="-4"/>
          <w:sz w:val="18"/>
          <w:szCs w:val="18"/>
          <w:lang w:val="es-ES_tradnl"/>
        </w:rPr>
        <w:t>í</w:t>
      </w:r>
      <w:r>
        <w:rPr>
          <w:spacing w:val="-4"/>
          <w:sz w:val="18"/>
          <w:szCs w:val="18"/>
          <w:lang w:val="es-ES_tradnl"/>
        </w:rPr>
        <w:t xml:space="preserve">culo 3 numeral 8 literal </w:t>
      </w:r>
      <w:r>
        <w:rPr>
          <w:b/>
          <w:bCs/>
          <w:spacing w:val="-4"/>
          <w:sz w:val="18"/>
          <w:szCs w:val="18"/>
          <w:lang w:val="es-ES_tradnl"/>
        </w:rPr>
        <w:t xml:space="preserve">b </w:t>
      </w:r>
      <w:r>
        <w:rPr>
          <w:spacing w:val="-4"/>
          <w:sz w:val="18"/>
          <w:szCs w:val="18"/>
          <w:lang w:val="es-ES_tradnl"/>
        </w:rPr>
        <w:t>y el tercer inciso del art</w:t>
      </w:r>
      <w:r>
        <w:rPr>
          <w:rFonts w:cs="Times New Roman"/>
          <w:spacing w:val="-4"/>
          <w:sz w:val="18"/>
          <w:szCs w:val="18"/>
          <w:lang w:val="es-ES_tradnl"/>
        </w:rPr>
        <w:t>í</w:t>
      </w:r>
      <w:r>
        <w:rPr>
          <w:spacing w:val="-4"/>
          <w:sz w:val="18"/>
          <w:szCs w:val="18"/>
          <w:lang w:val="es-ES_tradnl"/>
        </w:rPr>
        <w:t xml:space="preserve">culo 35 del Reglamento </w:t>
      </w:r>
      <w:r>
        <w:rPr>
          <w:spacing w:val="-10"/>
          <w:sz w:val="18"/>
          <w:szCs w:val="18"/>
          <w:lang w:val="es-ES_tradnl"/>
        </w:rPr>
        <w:t>de Sustanciaci</w:t>
      </w:r>
      <w:r>
        <w:rPr>
          <w:rFonts w:cs="Times New Roman"/>
          <w:spacing w:val="-10"/>
          <w:sz w:val="18"/>
          <w:szCs w:val="18"/>
          <w:lang w:val="es-ES_tradnl"/>
        </w:rPr>
        <w:t>ó</w:t>
      </w:r>
      <w:r>
        <w:rPr>
          <w:spacing w:val="-10"/>
          <w:sz w:val="18"/>
          <w:szCs w:val="18"/>
          <w:lang w:val="es-ES_tradnl"/>
        </w:rPr>
        <w:t xml:space="preserve">n de Procesos de Competencia de la Corte </w:t>
      </w:r>
      <w:r>
        <w:rPr>
          <w:sz w:val="18"/>
          <w:szCs w:val="18"/>
          <w:lang w:val="es-ES_tradnl"/>
        </w:rPr>
        <w:t>Constitucional.</w:t>
      </w:r>
    </w:p>
    <w:p w14:paraId="4F67B445" w14:textId="77777777" w:rsidR="00591D54" w:rsidRDefault="00591D54">
      <w:pPr>
        <w:shd w:val="clear" w:color="auto" w:fill="FFFFFF"/>
        <w:spacing w:before="5"/>
      </w:pPr>
      <w:r>
        <w:br w:type="column"/>
      </w:r>
      <w:r>
        <w:rPr>
          <w:b/>
          <w:bCs/>
          <w:spacing w:val="-8"/>
          <w:sz w:val="18"/>
          <w:szCs w:val="18"/>
          <w:lang w:val="es-ES_tradnl"/>
        </w:rPr>
        <w:t>Legitimaci</w:t>
      </w:r>
      <w:r>
        <w:rPr>
          <w:rFonts w:cs="Times New Roman"/>
          <w:b/>
          <w:bCs/>
          <w:spacing w:val="-8"/>
          <w:sz w:val="18"/>
          <w:szCs w:val="18"/>
          <w:lang w:val="es-ES_tradnl"/>
        </w:rPr>
        <w:t>ó</w:t>
      </w:r>
      <w:r>
        <w:rPr>
          <w:b/>
          <w:bCs/>
          <w:spacing w:val="-8"/>
          <w:sz w:val="18"/>
          <w:szCs w:val="18"/>
          <w:lang w:val="es-ES_tradnl"/>
        </w:rPr>
        <w:t>n activa</w:t>
      </w:r>
    </w:p>
    <w:p w14:paraId="4F67B446" w14:textId="77777777" w:rsidR="00591D54" w:rsidRDefault="00591D54">
      <w:pPr>
        <w:shd w:val="clear" w:color="auto" w:fill="FFFFFF"/>
        <w:spacing w:before="192" w:line="216" w:lineRule="exact"/>
        <w:jc w:val="both"/>
      </w:pPr>
      <w:r>
        <w:rPr>
          <w:sz w:val="18"/>
          <w:szCs w:val="18"/>
          <w:lang w:val="es-ES_tradnl"/>
        </w:rPr>
        <w:t>El accionante V</w:t>
      </w:r>
      <w:r>
        <w:rPr>
          <w:rFonts w:cs="Times New Roman"/>
          <w:sz w:val="18"/>
          <w:szCs w:val="18"/>
          <w:lang w:val="es-ES_tradnl"/>
        </w:rPr>
        <w:t>í</w:t>
      </w:r>
      <w:r>
        <w:rPr>
          <w:sz w:val="18"/>
          <w:szCs w:val="18"/>
          <w:lang w:val="es-ES_tradnl"/>
        </w:rPr>
        <w:t xml:space="preserve">ctor Anchundia Places en su calidad </w:t>
      </w:r>
      <w:r>
        <w:rPr>
          <w:spacing w:val="-4"/>
          <w:sz w:val="18"/>
          <w:szCs w:val="18"/>
          <w:lang w:val="es-ES_tradnl"/>
        </w:rPr>
        <w:t>de intendente de compa</w:t>
      </w:r>
      <w:r>
        <w:rPr>
          <w:rFonts w:cs="Times New Roman"/>
          <w:spacing w:val="-4"/>
          <w:sz w:val="18"/>
          <w:szCs w:val="18"/>
          <w:lang w:val="es-ES_tradnl"/>
        </w:rPr>
        <w:t>ñí</w:t>
      </w:r>
      <w:r>
        <w:rPr>
          <w:spacing w:val="-4"/>
          <w:sz w:val="18"/>
          <w:szCs w:val="18"/>
          <w:lang w:val="es-ES_tradnl"/>
        </w:rPr>
        <w:t xml:space="preserve">as de Guayaquil (demandado </w:t>
      </w:r>
      <w:r>
        <w:rPr>
          <w:spacing w:val="-7"/>
          <w:sz w:val="18"/>
          <w:szCs w:val="18"/>
          <w:lang w:val="es-ES_tradnl"/>
        </w:rPr>
        <w:t>en la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n) se encuentra legitimado para interponer la presente acci</w:t>
      </w:r>
      <w:r>
        <w:rPr>
          <w:rFonts w:cs="Times New Roman"/>
          <w:spacing w:val="-7"/>
          <w:sz w:val="18"/>
          <w:szCs w:val="18"/>
          <w:lang w:val="es-ES_tradnl"/>
        </w:rPr>
        <w:t>ó</w:t>
      </w:r>
      <w:r>
        <w:rPr>
          <w:spacing w:val="-7"/>
          <w:sz w:val="18"/>
          <w:szCs w:val="18"/>
          <w:lang w:val="es-ES_tradnl"/>
        </w:rPr>
        <w:t>n extraordinaria de protecci</w:t>
      </w:r>
      <w:r>
        <w:rPr>
          <w:rFonts w:cs="Times New Roman"/>
          <w:spacing w:val="-7"/>
          <w:sz w:val="18"/>
          <w:szCs w:val="18"/>
          <w:lang w:val="es-ES_tradnl"/>
        </w:rPr>
        <w:t>ó</w:t>
      </w:r>
      <w:r>
        <w:rPr>
          <w:spacing w:val="-7"/>
          <w:sz w:val="18"/>
          <w:szCs w:val="18"/>
          <w:lang w:val="es-ES_tradnl"/>
        </w:rPr>
        <w:t xml:space="preserve">n, </w:t>
      </w:r>
      <w:r>
        <w:rPr>
          <w:spacing w:val="-5"/>
          <w:sz w:val="18"/>
          <w:szCs w:val="18"/>
          <w:lang w:val="es-ES_tradnl"/>
        </w:rPr>
        <w:t xml:space="preserve">en virtud de cumplir con los requerimientos establecidos </w:t>
      </w:r>
      <w:r>
        <w:rPr>
          <w:spacing w:val="-8"/>
          <w:sz w:val="18"/>
          <w:szCs w:val="18"/>
          <w:lang w:val="es-ES_tradnl"/>
        </w:rPr>
        <w:t>en los art</w:t>
      </w:r>
      <w:r>
        <w:rPr>
          <w:rFonts w:cs="Times New Roman"/>
          <w:spacing w:val="-8"/>
          <w:sz w:val="18"/>
          <w:szCs w:val="18"/>
          <w:lang w:val="es-ES_tradnl"/>
        </w:rPr>
        <w:t>í</w:t>
      </w:r>
      <w:r>
        <w:rPr>
          <w:spacing w:val="-8"/>
          <w:sz w:val="18"/>
          <w:szCs w:val="18"/>
          <w:lang w:val="es-ES_tradnl"/>
        </w:rPr>
        <w:t>culos 437 y 439 de la Constituci</w:t>
      </w:r>
      <w:r>
        <w:rPr>
          <w:rFonts w:cs="Times New Roman"/>
          <w:spacing w:val="-8"/>
          <w:sz w:val="18"/>
          <w:szCs w:val="18"/>
          <w:lang w:val="es-ES_tradnl"/>
        </w:rPr>
        <w:t>ó</w:t>
      </w:r>
      <w:r>
        <w:rPr>
          <w:spacing w:val="-8"/>
          <w:sz w:val="18"/>
          <w:szCs w:val="18"/>
          <w:lang w:val="es-ES_tradnl"/>
        </w:rPr>
        <w:t>n, que establece que las acciones constitucionales podr</w:t>
      </w:r>
      <w:r>
        <w:rPr>
          <w:rFonts w:cs="Times New Roman"/>
          <w:spacing w:val="-8"/>
          <w:sz w:val="18"/>
          <w:szCs w:val="18"/>
          <w:lang w:val="es-ES_tradnl"/>
        </w:rPr>
        <w:t>á</w:t>
      </w:r>
      <w:r>
        <w:rPr>
          <w:spacing w:val="-8"/>
          <w:sz w:val="18"/>
          <w:szCs w:val="18"/>
          <w:lang w:val="es-ES_tradnl"/>
        </w:rPr>
        <w:t xml:space="preserve">n ser presentadas </w:t>
      </w:r>
      <w:r>
        <w:rPr>
          <w:spacing w:val="-3"/>
          <w:sz w:val="18"/>
          <w:szCs w:val="18"/>
          <w:lang w:val="es-ES_tradnl"/>
        </w:rPr>
        <w:t xml:space="preserve">por cualquier ciudadana o ciudadano individual o </w:t>
      </w:r>
      <w:r>
        <w:rPr>
          <w:spacing w:val="-6"/>
          <w:sz w:val="18"/>
          <w:szCs w:val="18"/>
          <w:lang w:val="es-ES_tradnl"/>
        </w:rPr>
        <w:t>colectivamente, en concordancia con el art</w:t>
      </w:r>
      <w:r>
        <w:rPr>
          <w:rFonts w:cs="Times New Roman"/>
          <w:spacing w:val="-6"/>
          <w:sz w:val="18"/>
          <w:szCs w:val="18"/>
          <w:lang w:val="es-ES_tradnl"/>
        </w:rPr>
        <w:t>í</w:t>
      </w:r>
      <w:r>
        <w:rPr>
          <w:spacing w:val="-6"/>
          <w:sz w:val="18"/>
          <w:szCs w:val="18"/>
          <w:lang w:val="es-ES_tradnl"/>
        </w:rPr>
        <w:t>culo 59 de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Control </w:t>
      </w:r>
      <w:r>
        <w:rPr>
          <w:sz w:val="18"/>
          <w:szCs w:val="18"/>
          <w:lang w:val="es-ES_tradnl"/>
        </w:rPr>
        <w:t>Constitucional</w:t>
      </w:r>
      <w:r>
        <w:rPr>
          <w:i/>
          <w:iCs/>
          <w:sz w:val="18"/>
          <w:szCs w:val="18"/>
          <w:lang w:val="es-ES_tradnl"/>
        </w:rPr>
        <w:t>.</w:t>
      </w:r>
    </w:p>
    <w:p w14:paraId="4F67B447" w14:textId="77777777" w:rsidR="00591D54" w:rsidRDefault="00591D54">
      <w:pPr>
        <w:shd w:val="clear" w:color="auto" w:fill="FFFFFF"/>
        <w:spacing w:before="29" w:line="432" w:lineRule="exact"/>
      </w:pPr>
      <w:r>
        <w:rPr>
          <w:b/>
          <w:bCs/>
          <w:spacing w:val="-9"/>
          <w:sz w:val="18"/>
          <w:szCs w:val="18"/>
          <w:lang w:val="es-ES_tradnl"/>
        </w:rPr>
        <w:t>An</w:t>
      </w:r>
      <w:r>
        <w:rPr>
          <w:rFonts w:cs="Times New Roman"/>
          <w:b/>
          <w:bCs/>
          <w:spacing w:val="-9"/>
          <w:sz w:val="18"/>
          <w:szCs w:val="18"/>
          <w:lang w:val="es-ES_tradnl"/>
        </w:rPr>
        <w:t>á</w:t>
      </w:r>
      <w:r>
        <w:rPr>
          <w:b/>
          <w:bCs/>
          <w:spacing w:val="-9"/>
          <w:sz w:val="18"/>
          <w:szCs w:val="18"/>
          <w:lang w:val="es-ES_tradnl"/>
        </w:rPr>
        <w:t>lisis constitucional</w:t>
      </w:r>
    </w:p>
    <w:p w14:paraId="4F67B448" w14:textId="77777777" w:rsidR="00591D54" w:rsidRDefault="00591D54">
      <w:pPr>
        <w:shd w:val="clear" w:color="auto" w:fill="FFFFFF"/>
        <w:spacing w:line="432" w:lineRule="exact"/>
      </w:pPr>
      <w:r>
        <w:rPr>
          <w:b/>
          <w:bCs/>
          <w:spacing w:val="-8"/>
          <w:sz w:val="18"/>
          <w:szCs w:val="18"/>
          <w:lang w:val="es-ES_tradnl"/>
        </w:rPr>
        <w:t>Objeto de la acci</w:t>
      </w:r>
      <w:r>
        <w:rPr>
          <w:rFonts w:cs="Times New Roman"/>
          <w:b/>
          <w:bCs/>
          <w:spacing w:val="-8"/>
          <w:sz w:val="18"/>
          <w:szCs w:val="18"/>
          <w:lang w:val="es-ES_tradnl"/>
        </w:rPr>
        <w:t>ó</w:t>
      </w:r>
      <w:r>
        <w:rPr>
          <w:b/>
          <w:bCs/>
          <w:spacing w:val="-8"/>
          <w:sz w:val="18"/>
          <w:szCs w:val="18"/>
          <w:lang w:val="es-ES_tradnl"/>
        </w:rPr>
        <w:t>n extraordinaria de protecci</w:t>
      </w:r>
      <w:r>
        <w:rPr>
          <w:rFonts w:cs="Times New Roman"/>
          <w:b/>
          <w:bCs/>
          <w:spacing w:val="-8"/>
          <w:sz w:val="18"/>
          <w:szCs w:val="18"/>
          <w:lang w:val="es-ES_tradnl"/>
        </w:rPr>
        <w:t>ó</w:t>
      </w:r>
      <w:r>
        <w:rPr>
          <w:b/>
          <w:bCs/>
          <w:spacing w:val="-8"/>
          <w:sz w:val="18"/>
          <w:szCs w:val="18"/>
          <w:lang w:val="es-ES_tradnl"/>
        </w:rPr>
        <w:t>n</w:t>
      </w:r>
    </w:p>
    <w:p w14:paraId="4F67B449" w14:textId="77777777" w:rsidR="00591D54" w:rsidRDefault="00591D54">
      <w:pPr>
        <w:shd w:val="clear" w:color="auto" w:fill="FFFFFF"/>
        <w:spacing w:line="432" w:lineRule="exact"/>
      </w:pPr>
      <w:r>
        <w:rPr>
          <w:spacing w:val="-7"/>
          <w:sz w:val="18"/>
          <w:szCs w:val="18"/>
          <w:lang w:val="es-ES_tradnl"/>
        </w:rPr>
        <w:t>El art</w:t>
      </w:r>
      <w:r>
        <w:rPr>
          <w:rFonts w:cs="Times New Roman"/>
          <w:spacing w:val="-7"/>
          <w:sz w:val="18"/>
          <w:szCs w:val="18"/>
          <w:lang w:val="es-ES_tradnl"/>
        </w:rPr>
        <w:t>í</w:t>
      </w:r>
      <w:r>
        <w:rPr>
          <w:spacing w:val="-7"/>
          <w:sz w:val="18"/>
          <w:szCs w:val="18"/>
          <w:lang w:val="es-ES_tradnl"/>
        </w:rPr>
        <w:t>culo 94 de 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blica establece:</w:t>
      </w:r>
    </w:p>
    <w:p w14:paraId="4F67B44A" w14:textId="77777777" w:rsidR="00591D54" w:rsidRDefault="00591D54">
      <w:pPr>
        <w:shd w:val="clear" w:color="auto" w:fill="FFFFFF"/>
        <w:spacing w:before="168" w:line="216" w:lineRule="exact"/>
        <w:ind w:left="283"/>
        <w:jc w:val="both"/>
      </w:pPr>
      <w:r>
        <w:rPr>
          <w:spacing w:val="-5"/>
          <w:sz w:val="16"/>
          <w:szCs w:val="16"/>
          <w:lang w:val="es-ES_tradnl"/>
        </w:rPr>
        <w:t>La acci</w:t>
      </w:r>
      <w:r>
        <w:rPr>
          <w:rFonts w:cs="Times New Roman"/>
          <w:spacing w:val="-5"/>
          <w:sz w:val="16"/>
          <w:szCs w:val="16"/>
          <w:lang w:val="es-ES_tradnl"/>
        </w:rPr>
        <w:t>ó</w:t>
      </w:r>
      <w:r>
        <w:rPr>
          <w:spacing w:val="-5"/>
          <w:sz w:val="16"/>
          <w:szCs w:val="16"/>
          <w:lang w:val="es-ES_tradnl"/>
        </w:rPr>
        <w:t>n extraordinaria de protecci</w:t>
      </w:r>
      <w:r>
        <w:rPr>
          <w:rFonts w:cs="Times New Roman"/>
          <w:spacing w:val="-5"/>
          <w:sz w:val="16"/>
          <w:szCs w:val="16"/>
          <w:lang w:val="es-ES_tradnl"/>
        </w:rPr>
        <w:t>ó</w:t>
      </w:r>
      <w:r>
        <w:rPr>
          <w:spacing w:val="-5"/>
          <w:sz w:val="16"/>
          <w:szCs w:val="16"/>
          <w:lang w:val="es-ES_tradnl"/>
        </w:rPr>
        <w:t>n proceder</w:t>
      </w:r>
      <w:r>
        <w:rPr>
          <w:rFonts w:cs="Times New Roman"/>
          <w:spacing w:val="-5"/>
          <w:sz w:val="16"/>
          <w:szCs w:val="16"/>
          <w:lang w:val="es-ES_tradnl"/>
        </w:rPr>
        <w:t>á</w:t>
      </w:r>
      <w:r>
        <w:rPr>
          <w:spacing w:val="-5"/>
          <w:sz w:val="16"/>
          <w:szCs w:val="16"/>
          <w:lang w:val="es-ES_tradnl"/>
        </w:rPr>
        <w:t xml:space="preserve"> contra </w:t>
      </w:r>
      <w:r>
        <w:rPr>
          <w:spacing w:val="-6"/>
          <w:sz w:val="16"/>
          <w:szCs w:val="16"/>
          <w:lang w:val="es-ES_tradnl"/>
        </w:rPr>
        <w:t xml:space="preserve">sentencias o autos definitivos en los que se haya violado por </w:t>
      </w:r>
      <w:r>
        <w:rPr>
          <w:spacing w:val="-3"/>
          <w:sz w:val="16"/>
          <w:szCs w:val="16"/>
          <w:lang w:val="es-ES_tradnl"/>
        </w:rPr>
        <w:t>acci</w:t>
      </w:r>
      <w:r>
        <w:rPr>
          <w:rFonts w:cs="Times New Roman"/>
          <w:spacing w:val="-3"/>
          <w:sz w:val="16"/>
          <w:szCs w:val="16"/>
          <w:lang w:val="es-ES_tradnl"/>
        </w:rPr>
        <w:t>ó</w:t>
      </w:r>
      <w:r>
        <w:rPr>
          <w:spacing w:val="-3"/>
          <w:sz w:val="16"/>
          <w:szCs w:val="16"/>
          <w:lang w:val="es-ES_tradnl"/>
        </w:rPr>
        <w:t>n u omisi</w:t>
      </w:r>
      <w:r>
        <w:rPr>
          <w:rFonts w:cs="Times New Roman"/>
          <w:spacing w:val="-3"/>
          <w:sz w:val="16"/>
          <w:szCs w:val="16"/>
          <w:lang w:val="es-ES_tradnl"/>
        </w:rPr>
        <w:t>ó</w:t>
      </w:r>
      <w:r>
        <w:rPr>
          <w:spacing w:val="-3"/>
          <w:sz w:val="16"/>
          <w:szCs w:val="16"/>
          <w:lang w:val="es-ES_tradnl"/>
        </w:rPr>
        <w:t>n derechos reconocidos en la Constituci</w:t>
      </w:r>
      <w:r>
        <w:rPr>
          <w:rFonts w:cs="Times New Roman"/>
          <w:spacing w:val="-3"/>
          <w:sz w:val="16"/>
          <w:szCs w:val="16"/>
          <w:lang w:val="es-ES_tradnl"/>
        </w:rPr>
        <w:t>ó</w:t>
      </w:r>
      <w:r>
        <w:rPr>
          <w:spacing w:val="-3"/>
          <w:sz w:val="16"/>
          <w:szCs w:val="16"/>
          <w:lang w:val="es-ES_tradnl"/>
        </w:rPr>
        <w:t xml:space="preserve">n, </w:t>
      </w:r>
      <w:r>
        <w:rPr>
          <w:spacing w:val="-5"/>
          <w:sz w:val="16"/>
          <w:szCs w:val="16"/>
          <w:lang w:val="es-ES_tradnl"/>
        </w:rPr>
        <w:t>y se interpondr</w:t>
      </w:r>
      <w:r>
        <w:rPr>
          <w:rFonts w:cs="Times New Roman"/>
          <w:spacing w:val="-5"/>
          <w:sz w:val="16"/>
          <w:szCs w:val="16"/>
          <w:lang w:val="es-ES_tradnl"/>
        </w:rPr>
        <w:t>á</w:t>
      </w:r>
      <w:r>
        <w:rPr>
          <w:spacing w:val="-5"/>
          <w:sz w:val="16"/>
          <w:szCs w:val="16"/>
          <w:lang w:val="es-ES_tradnl"/>
        </w:rPr>
        <w:t xml:space="preserve"> ante la Corte Constitucional. El recurso proceder</w:t>
      </w:r>
      <w:r>
        <w:rPr>
          <w:rFonts w:cs="Times New Roman"/>
          <w:spacing w:val="-5"/>
          <w:sz w:val="16"/>
          <w:szCs w:val="16"/>
          <w:lang w:val="es-ES_tradnl"/>
        </w:rPr>
        <w:t>á</w:t>
      </w:r>
      <w:r>
        <w:rPr>
          <w:spacing w:val="-5"/>
          <w:sz w:val="16"/>
          <w:szCs w:val="16"/>
          <w:lang w:val="es-ES_tradnl"/>
        </w:rPr>
        <w:t xml:space="preserve"> cuando se hayan agotado los recursos ordinarios </w:t>
      </w:r>
      <w:r>
        <w:rPr>
          <w:spacing w:val="-3"/>
          <w:sz w:val="16"/>
          <w:szCs w:val="16"/>
          <w:lang w:val="es-ES_tradnl"/>
        </w:rPr>
        <w:t>y extraordinarios dentro del t</w:t>
      </w:r>
      <w:r>
        <w:rPr>
          <w:rFonts w:cs="Times New Roman"/>
          <w:spacing w:val="-3"/>
          <w:sz w:val="16"/>
          <w:szCs w:val="16"/>
          <w:lang w:val="es-ES_tradnl"/>
        </w:rPr>
        <w:t>é</w:t>
      </w:r>
      <w:r>
        <w:rPr>
          <w:spacing w:val="-3"/>
          <w:sz w:val="16"/>
          <w:szCs w:val="16"/>
          <w:lang w:val="es-ES_tradnl"/>
        </w:rPr>
        <w:t xml:space="preserve">rmino legal, a menos que la </w:t>
      </w:r>
      <w:r>
        <w:rPr>
          <w:spacing w:val="-4"/>
          <w:sz w:val="16"/>
          <w:szCs w:val="16"/>
          <w:lang w:val="es-ES_tradnl"/>
        </w:rPr>
        <w:t>falta de interposici</w:t>
      </w:r>
      <w:r>
        <w:rPr>
          <w:rFonts w:cs="Times New Roman"/>
          <w:spacing w:val="-4"/>
          <w:sz w:val="16"/>
          <w:szCs w:val="16"/>
          <w:lang w:val="es-ES_tradnl"/>
        </w:rPr>
        <w:t>ó</w:t>
      </w:r>
      <w:r>
        <w:rPr>
          <w:spacing w:val="-4"/>
          <w:sz w:val="16"/>
          <w:szCs w:val="16"/>
          <w:lang w:val="es-ES_tradnl"/>
        </w:rPr>
        <w:t xml:space="preserve">n de estos recursos no fuera atribuible a </w:t>
      </w:r>
      <w:r>
        <w:rPr>
          <w:spacing w:val="-6"/>
          <w:sz w:val="16"/>
          <w:szCs w:val="16"/>
          <w:lang w:val="es-ES_tradnl"/>
        </w:rPr>
        <w:t xml:space="preserve">la negligencia de la persona titular del derecho constitucional </w:t>
      </w:r>
      <w:r>
        <w:rPr>
          <w:sz w:val="16"/>
          <w:szCs w:val="16"/>
          <w:lang w:val="es-ES_tradnl"/>
        </w:rPr>
        <w:t>vulnerado.</w:t>
      </w:r>
    </w:p>
    <w:p w14:paraId="4F67B44B" w14:textId="77777777" w:rsidR="00591D54" w:rsidRDefault="00591D54">
      <w:pPr>
        <w:shd w:val="clear" w:color="auto" w:fill="FFFFFF"/>
        <w:spacing w:before="202" w:line="216" w:lineRule="exact"/>
        <w:jc w:val="both"/>
      </w:pPr>
      <w:r>
        <w:rPr>
          <w:spacing w:val="-5"/>
          <w:sz w:val="18"/>
          <w:szCs w:val="18"/>
          <w:lang w:val="es-ES_tradnl"/>
        </w:rPr>
        <w:t>Por tanto, la acci</w:t>
      </w:r>
      <w:r>
        <w:rPr>
          <w:rFonts w:cs="Times New Roman"/>
          <w:spacing w:val="-5"/>
          <w:sz w:val="18"/>
          <w:szCs w:val="18"/>
          <w:lang w:val="es-ES_tradnl"/>
        </w:rPr>
        <w:t>ó</w:t>
      </w:r>
      <w:r>
        <w:rPr>
          <w:spacing w:val="-5"/>
          <w:sz w:val="18"/>
          <w:szCs w:val="18"/>
          <w:lang w:val="es-ES_tradnl"/>
        </w:rPr>
        <w:t>n extraordinaria de protecci</w:t>
      </w:r>
      <w:r>
        <w:rPr>
          <w:rFonts w:cs="Times New Roman"/>
          <w:spacing w:val="-5"/>
          <w:sz w:val="18"/>
          <w:szCs w:val="18"/>
          <w:lang w:val="es-ES_tradnl"/>
        </w:rPr>
        <w:t>ó</w:t>
      </w:r>
      <w:r>
        <w:rPr>
          <w:spacing w:val="-5"/>
          <w:sz w:val="18"/>
          <w:szCs w:val="18"/>
          <w:lang w:val="es-ES_tradnl"/>
        </w:rPr>
        <w:t xml:space="preserve">n es un </w:t>
      </w:r>
      <w:r>
        <w:rPr>
          <w:spacing w:val="-10"/>
          <w:sz w:val="18"/>
          <w:szCs w:val="18"/>
          <w:lang w:val="es-ES_tradnl"/>
        </w:rPr>
        <w:t xml:space="preserve">mecanismo excepcional que busca garantizar los derechos </w:t>
      </w:r>
      <w:r>
        <w:rPr>
          <w:spacing w:val="-8"/>
          <w:sz w:val="18"/>
          <w:szCs w:val="18"/>
          <w:lang w:val="es-ES_tradnl"/>
        </w:rPr>
        <w:t>consagrados en la Constituci</w:t>
      </w:r>
      <w:r>
        <w:rPr>
          <w:rFonts w:cs="Times New Roman"/>
          <w:spacing w:val="-8"/>
          <w:sz w:val="18"/>
          <w:szCs w:val="18"/>
          <w:lang w:val="es-ES_tradnl"/>
        </w:rPr>
        <w:t>ó</w:t>
      </w:r>
      <w:r>
        <w:rPr>
          <w:spacing w:val="-8"/>
          <w:sz w:val="18"/>
          <w:szCs w:val="18"/>
          <w:lang w:val="es-ES_tradnl"/>
        </w:rPr>
        <w:t>n y la supremac</w:t>
      </w:r>
      <w:r>
        <w:rPr>
          <w:rFonts w:cs="Times New Roman"/>
          <w:spacing w:val="-8"/>
          <w:sz w:val="18"/>
          <w:szCs w:val="18"/>
          <w:lang w:val="es-ES_tradnl"/>
        </w:rPr>
        <w:t>í</w:t>
      </w:r>
      <w:r>
        <w:rPr>
          <w:spacing w:val="-8"/>
          <w:sz w:val="18"/>
          <w:szCs w:val="18"/>
          <w:lang w:val="es-ES_tradnl"/>
        </w:rPr>
        <w:t xml:space="preserve">a de esta, </w:t>
      </w:r>
      <w:r>
        <w:rPr>
          <w:spacing w:val="-10"/>
          <w:sz w:val="18"/>
          <w:szCs w:val="18"/>
          <w:lang w:val="es-ES_tradnl"/>
        </w:rPr>
        <w:t xml:space="preserve">frente a acciones y omisiones tanto de los particulares como </w:t>
      </w:r>
      <w:r>
        <w:rPr>
          <w:spacing w:val="-6"/>
          <w:sz w:val="18"/>
          <w:szCs w:val="18"/>
          <w:lang w:val="es-ES_tradnl"/>
        </w:rPr>
        <w:t>de todo servidor p</w:t>
      </w:r>
      <w:r>
        <w:rPr>
          <w:rFonts w:cs="Times New Roman"/>
          <w:spacing w:val="-6"/>
          <w:sz w:val="18"/>
          <w:szCs w:val="18"/>
          <w:lang w:val="es-ES_tradnl"/>
        </w:rPr>
        <w:t>ú</w:t>
      </w:r>
      <w:r>
        <w:rPr>
          <w:spacing w:val="-6"/>
          <w:sz w:val="18"/>
          <w:szCs w:val="18"/>
          <w:lang w:val="es-ES_tradnl"/>
        </w:rPr>
        <w:t>blico, incluyendo a los jueces.</w:t>
      </w:r>
    </w:p>
    <w:p w14:paraId="4F67B44C" w14:textId="77777777" w:rsidR="00591D54" w:rsidRDefault="00591D54">
      <w:pPr>
        <w:shd w:val="clear" w:color="auto" w:fill="FFFFFF"/>
        <w:spacing w:before="192" w:line="216" w:lineRule="exact"/>
        <w:jc w:val="both"/>
      </w:pPr>
      <w:r>
        <w:rPr>
          <w:spacing w:val="-6"/>
          <w:sz w:val="18"/>
          <w:szCs w:val="18"/>
          <w:lang w:val="es-ES_tradnl"/>
        </w:rPr>
        <w:t>Sobre esta garant</w:t>
      </w:r>
      <w:r>
        <w:rPr>
          <w:rFonts w:cs="Times New Roman"/>
          <w:spacing w:val="-6"/>
          <w:sz w:val="18"/>
          <w:szCs w:val="18"/>
          <w:lang w:val="es-ES_tradnl"/>
        </w:rPr>
        <w:t>í</w:t>
      </w:r>
      <w:r>
        <w:rPr>
          <w:spacing w:val="-6"/>
          <w:sz w:val="18"/>
          <w:szCs w:val="18"/>
          <w:lang w:val="es-ES_tradnl"/>
        </w:rPr>
        <w:t xml:space="preserve">a jurisdiccional, la Corte Constitucional </w:t>
      </w:r>
      <w:r>
        <w:rPr>
          <w:spacing w:val="-8"/>
          <w:sz w:val="18"/>
          <w:szCs w:val="18"/>
          <w:lang w:val="es-ES_tradnl"/>
        </w:rPr>
        <w:t>del Ecuador en la sentencia N.</w:t>
      </w:r>
      <w:r>
        <w:rPr>
          <w:rFonts w:cs="Times New Roman"/>
          <w:spacing w:val="-8"/>
          <w:sz w:val="18"/>
          <w:szCs w:val="18"/>
          <w:lang w:val="es-ES_tradnl"/>
        </w:rPr>
        <w:t>º</w:t>
      </w:r>
      <w:r>
        <w:rPr>
          <w:spacing w:val="-8"/>
          <w:sz w:val="18"/>
          <w:szCs w:val="18"/>
          <w:lang w:val="es-ES_tradnl"/>
        </w:rPr>
        <w:t xml:space="preserve"> 138-14-SEP-CC, expres</w:t>
      </w:r>
      <w:r>
        <w:rPr>
          <w:rFonts w:cs="Times New Roman"/>
          <w:spacing w:val="-8"/>
          <w:sz w:val="18"/>
          <w:szCs w:val="18"/>
          <w:lang w:val="es-ES_tradnl"/>
        </w:rPr>
        <w:t xml:space="preserve">ó </w:t>
      </w:r>
      <w:r>
        <w:rPr>
          <w:sz w:val="18"/>
          <w:szCs w:val="18"/>
          <w:lang w:val="es-ES_tradnl"/>
        </w:rPr>
        <w:t>que:</w:t>
      </w:r>
    </w:p>
    <w:p w14:paraId="4F67B44D" w14:textId="77777777" w:rsidR="00591D54" w:rsidRDefault="00591D54">
      <w:pPr>
        <w:shd w:val="clear" w:color="auto" w:fill="FFFFFF"/>
        <w:spacing w:before="202" w:line="216" w:lineRule="exact"/>
        <w:ind w:left="283"/>
        <w:jc w:val="both"/>
      </w:pPr>
      <w:r>
        <w:rPr>
          <w:spacing w:val="-3"/>
          <w:sz w:val="16"/>
          <w:szCs w:val="16"/>
          <w:lang w:val="es-ES_tradnl"/>
        </w:rPr>
        <w:t>(</w:t>
      </w:r>
      <w:r>
        <w:rPr>
          <w:rFonts w:cs="Times New Roman"/>
          <w:spacing w:val="-3"/>
          <w:sz w:val="16"/>
          <w:szCs w:val="16"/>
          <w:lang w:val="es-ES_tradnl"/>
        </w:rPr>
        <w:t>…</w:t>
      </w:r>
      <w:r>
        <w:rPr>
          <w:spacing w:val="-3"/>
          <w:sz w:val="16"/>
          <w:szCs w:val="16"/>
          <w:lang w:val="es-ES_tradnl"/>
        </w:rPr>
        <w:t>) la acci</w:t>
      </w:r>
      <w:r>
        <w:rPr>
          <w:rFonts w:cs="Times New Roman"/>
          <w:spacing w:val="-3"/>
          <w:sz w:val="16"/>
          <w:szCs w:val="16"/>
          <w:lang w:val="es-ES_tradnl"/>
        </w:rPr>
        <w:t>ó</w:t>
      </w:r>
      <w:r>
        <w:rPr>
          <w:spacing w:val="-3"/>
          <w:sz w:val="16"/>
          <w:szCs w:val="16"/>
          <w:lang w:val="es-ES_tradnl"/>
        </w:rPr>
        <w:t>n extraordinaria de protecci</w:t>
      </w:r>
      <w:r>
        <w:rPr>
          <w:rFonts w:cs="Times New Roman"/>
          <w:spacing w:val="-3"/>
          <w:sz w:val="16"/>
          <w:szCs w:val="16"/>
          <w:lang w:val="es-ES_tradnl"/>
        </w:rPr>
        <w:t>ó</w:t>
      </w:r>
      <w:r>
        <w:rPr>
          <w:spacing w:val="-3"/>
          <w:sz w:val="16"/>
          <w:szCs w:val="16"/>
          <w:lang w:val="es-ES_tradnl"/>
        </w:rPr>
        <w:t xml:space="preserve">n se origina como </w:t>
      </w:r>
      <w:r>
        <w:rPr>
          <w:spacing w:val="-6"/>
          <w:sz w:val="16"/>
          <w:szCs w:val="16"/>
          <w:lang w:val="es-ES_tradnl"/>
        </w:rPr>
        <w:t xml:space="preserve">un mecanismo de control respecto a la constitucionalidad de </w:t>
      </w:r>
      <w:r>
        <w:rPr>
          <w:spacing w:val="-8"/>
          <w:sz w:val="16"/>
          <w:szCs w:val="16"/>
          <w:lang w:val="es-ES_tradnl"/>
        </w:rPr>
        <w:t xml:space="preserve">las actuaciones de los </w:t>
      </w:r>
      <w:r>
        <w:rPr>
          <w:rFonts w:cs="Times New Roman"/>
          <w:spacing w:val="-8"/>
          <w:sz w:val="16"/>
          <w:szCs w:val="16"/>
          <w:lang w:val="es-ES_tradnl"/>
        </w:rPr>
        <w:t>ó</w:t>
      </w:r>
      <w:r>
        <w:rPr>
          <w:spacing w:val="-8"/>
          <w:sz w:val="16"/>
          <w:szCs w:val="16"/>
          <w:lang w:val="es-ES_tradnl"/>
        </w:rPr>
        <w:t xml:space="preserve">rganos judiciales en lo que compete al </w:t>
      </w:r>
      <w:r>
        <w:rPr>
          <w:spacing w:val="-9"/>
          <w:sz w:val="16"/>
          <w:szCs w:val="16"/>
          <w:lang w:val="es-ES_tradnl"/>
        </w:rPr>
        <w:t>presente caso, a la actuaci</w:t>
      </w:r>
      <w:r>
        <w:rPr>
          <w:rFonts w:cs="Times New Roman"/>
          <w:spacing w:val="-9"/>
          <w:sz w:val="16"/>
          <w:szCs w:val="16"/>
          <w:lang w:val="es-ES_tradnl"/>
        </w:rPr>
        <w:t>ó</w:t>
      </w:r>
      <w:r>
        <w:rPr>
          <w:spacing w:val="-9"/>
          <w:sz w:val="16"/>
          <w:szCs w:val="16"/>
          <w:lang w:val="es-ES_tradnl"/>
        </w:rPr>
        <w:t>n de los jueces (</w:t>
      </w:r>
      <w:r>
        <w:rPr>
          <w:rFonts w:cs="Times New Roman"/>
          <w:spacing w:val="-9"/>
          <w:sz w:val="16"/>
          <w:szCs w:val="16"/>
          <w:lang w:val="es-ES_tradnl"/>
        </w:rPr>
        <w:t>…</w:t>
      </w:r>
      <w:r>
        <w:rPr>
          <w:spacing w:val="-9"/>
          <w:sz w:val="16"/>
          <w:szCs w:val="16"/>
          <w:lang w:val="es-ES_tradnl"/>
        </w:rPr>
        <w:t>) cuya resoluci</w:t>
      </w:r>
      <w:r>
        <w:rPr>
          <w:rFonts w:cs="Times New Roman"/>
          <w:spacing w:val="-9"/>
          <w:sz w:val="16"/>
          <w:szCs w:val="16"/>
          <w:lang w:val="es-ES_tradnl"/>
        </w:rPr>
        <w:t>ó</w:t>
      </w:r>
      <w:r>
        <w:rPr>
          <w:spacing w:val="-9"/>
          <w:sz w:val="16"/>
          <w:szCs w:val="16"/>
          <w:lang w:val="es-ES_tradnl"/>
        </w:rPr>
        <w:t xml:space="preserve">n </w:t>
      </w:r>
      <w:r>
        <w:rPr>
          <w:spacing w:val="-5"/>
          <w:sz w:val="16"/>
          <w:szCs w:val="16"/>
          <w:lang w:val="es-ES_tradnl"/>
        </w:rPr>
        <w:t xml:space="preserve">se impugna, quien en ejercicio de la potestad jurisdiccional, </w:t>
      </w:r>
      <w:r>
        <w:rPr>
          <w:spacing w:val="-7"/>
          <w:sz w:val="16"/>
          <w:szCs w:val="16"/>
          <w:lang w:val="es-ES_tradnl"/>
        </w:rPr>
        <w:t xml:space="preserve">conferida constitucional y legalmente, administra justicia y por </w:t>
      </w:r>
      <w:r>
        <w:rPr>
          <w:spacing w:val="-9"/>
          <w:sz w:val="16"/>
          <w:szCs w:val="16"/>
          <w:lang w:val="es-ES_tradnl"/>
        </w:rPr>
        <w:t xml:space="preserve">ende se encuentra llamado a asegurar que el sistema procesal </w:t>
      </w:r>
      <w:r>
        <w:rPr>
          <w:spacing w:val="-8"/>
          <w:sz w:val="16"/>
          <w:szCs w:val="16"/>
          <w:lang w:val="es-ES_tradnl"/>
        </w:rPr>
        <w:t>sea un medio para la realizaci</w:t>
      </w:r>
      <w:r>
        <w:rPr>
          <w:rFonts w:cs="Times New Roman"/>
          <w:spacing w:val="-8"/>
          <w:sz w:val="16"/>
          <w:szCs w:val="16"/>
          <w:lang w:val="es-ES_tradnl"/>
        </w:rPr>
        <w:t>ó</w:t>
      </w:r>
      <w:r>
        <w:rPr>
          <w:spacing w:val="-8"/>
          <w:sz w:val="16"/>
          <w:szCs w:val="16"/>
          <w:lang w:val="es-ES_tradnl"/>
        </w:rPr>
        <w:t xml:space="preserve">n de la justicia y hacer efectivas </w:t>
      </w:r>
      <w:r>
        <w:rPr>
          <w:spacing w:val="-6"/>
          <w:sz w:val="16"/>
          <w:szCs w:val="16"/>
          <w:lang w:val="es-ES_tradnl"/>
        </w:rPr>
        <w:t>las garant</w:t>
      </w:r>
      <w:r>
        <w:rPr>
          <w:rFonts w:cs="Times New Roman"/>
          <w:spacing w:val="-6"/>
          <w:sz w:val="16"/>
          <w:szCs w:val="16"/>
          <w:lang w:val="es-ES_tradnl"/>
        </w:rPr>
        <w:t>í</w:t>
      </w:r>
      <w:r>
        <w:rPr>
          <w:spacing w:val="-6"/>
          <w:sz w:val="16"/>
          <w:szCs w:val="16"/>
          <w:lang w:val="es-ES_tradnl"/>
        </w:rPr>
        <w:t xml:space="preserve">as del debido proceso; en tal virtud, la Corte </w:t>
      </w:r>
      <w:r>
        <w:rPr>
          <w:spacing w:val="-7"/>
          <w:sz w:val="16"/>
          <w:szCs w:val="16"/>
          <w:lang w:val="es-ES_tradnl"/>
        </w:rPr>
        <w:t>Constitucional, como m</w:t>
      </w:r>
      <w:r>
        <w:rPr>
          <w:rFonts w:cs="Times New Roman"/>
          <w:spacing w:val="-7"/>
          <w:sz w:val="16"/>
          <w:szCs w:val="16"/>
          <w:lang w:val="es-ES_tradnl"/>
        </w:rPr>
        <w:t>á</w:t>
      </w:r>
      <w:r>
        <w:rPr>
          <w:spacing w:val="-7"/>
          <w:sz w:val="16"/>
          <w:szCs w:val="16"/>
          <w:lang w:val="es-ES_tradnl"/>
        </w:rPr>
        <w:t xml:space="preserve">ximo </w:t>
      </w:r>
      <w:r>
        <w:rPr>
          <w:rFonts w:cs="Times New Roman"/>
          <w:spacing w:val="-7"/>
          <w:sz w:val="16"/>
          <w:szCs w:val="16"/>
          <w:lang w:val="es-ES_tradnl"/>
        </w:rPr>
        <w:t>ó</w:t>
      </w:r>
      <w:r>
        <w:rPr>
          <w:spacing w:val="-7"/>
          <w:sz w:val="16"/>
          <w:szCs w:val="16"/>
          <w:lang w:val="es-ES_tradnl"/>
        </w:rPr>
        <w:t>rgano de control, interpretaci</w:t>
      </w:r>
      <w:r>
        <w:rPr>
          <w:rFonts w:cs="Times New Roman"/>
          <w:spacing w:val="-7"/>
          <w:sz w:val="16"/>
          <w:szCs w:val="16"/>
          <w:lang w:val="es-ES_tradnl"/>
        </w:rPr>
        <w:t>ó</w:t>
      </w:r>
      <w:r>
        <w:rPr>
          <w:spacing w:val="-7"/>
          <w:sz w:val="16"/>
          <w:szCs w:val="16"/>
          <w:lang w:val="es-ES_tradnl"/>
        </w:rPr>
        <w:t xml:space="preserve">n </w:t>
      </w:r>
      <w:r>
        <w:rPr>
          <w:spacing w:val="-3"/>
          <w:sz w:val="16"/>
          <w:szCs w:val="16"/>
          <w:lang w:val="es-ES_tradnl"/>
        </w:rPr>
        <w:t>y administraci</w:t>
      </w:r>
      <w:r>
        <w:rPr>
          <w:rFonts w:cs="Times New Roman"/>
          <w:spacing w:val="-3"/>
          <w:sz w:val="16"/>
          <w:szCs w:val="16"/>
          <w:lang w:val="es-ES_tradnl"/>
        </w:rPr>
        <w:t>ó</w:t>
      </w:r>
      <w:r>
        <w:rPr>
          <w:spacing w:val="-3"/>
          <w:sz w:val="16"/>
          <w:szCs w:val="16"/>
          <w:lang w:val="es-ES_tradnl"/>
        </w:rPr>
        <w:t xml:space="preserve">n de justicia en materia constitucional, en </w:t>
      </w:r>
      <w:r>
        <w:rPr>
          <w:spacing w:val="-5"/>
          <w:sz w:val="16"/>
          <w:szCs w:val="16"/>
          <w:lang w:val="es-ES_tradnl"/>
        </w:rPr>
        <w:t>virtud de lo prescrito en el art</w:t>
      </w:r>
      <w:r>
        <w:rPr>
          <w:rFonts w:cs="Times New Roman"/>
          <w:spacing w:val="-5"/>
          <w:sz w:val="16"/>
          <w:szCs w:val="16"/>
          <w:lang w:val="es-ES_tradnl"/>
        </w:rPr>
        <w:t>í</w:t>
      </w:r>
      <w:r>
        <w:rPr>
          <w:spacing w:val="-5"/>
          <w:sz w:val="16"/>
          <w:szCs w:val="16"/>
          <w:lang w:val="es-ES_tradnl"/>
        </w:rPr>
        <w:t>culo 429 de la Constituci</w:t>
      </w:r>
      <w:r>
        <w:rPr>
          <w:rFonts w:cs="Times New Roman"/>
          <w:spacing w:val="-5"/>
          <w:sz w:val="16"/>
          <w:szCs w:val="16"/>
          <w:lang w:val="es-ES_tradnl"/>
        </w:rPr>
        <w:t>ó</w:t>
      </w:r>
      <w:r>
        <w:rPr>
          <w:spacing w:val="-5"/>
          <w:sz w:val="16"/>
          <w:szCs w:val="16"/>
          <w:lang w:val="es-ES_tradnl"/>
        </w:rPr>
        <w:t>n de la Rep</w:t>
      </w:r>
      <w:r>
        <w:rPr>
          <w:rFonts w:cs="Times New Roman"/>
          <w:spacing w:val="-5"/>
          <w:sz w:val="16"/>
          <w:szCs w:val="16"/>
          <w:lang w:val="es-ES_tradnl"/>
        </w:rPr>
        <w:t>ú</w:t>
      </w:r>
      <w:r>
        <w:rPr>
          <w:spacing w:val="-5"/>
          <w:sz w:val="16"/>
          <w:szCs w:val="16"/>
          <w:lang w:val="es-ES_tradnl"/>
        </w:rPr>
        <w:t>blica, en el tr</w:t>
      </w:r>
      <w:r>
        <w:rPr>
          <w:rFonts w:cs="Times New Roman"/>
          <w:spacing w:val="-5"/>
          <w:sz w:val="16"/>
          <w:szCs w:val="16"/>
          <w:lang w:val="es-ES_tradnl"/>
        </w:rPr>
        <w:t>á</w:t>
      </w:r>
      <w:r>
        <w:rPr>
          <w:spacing w:val="-5"/>
          <w:sz w:val="16"/>
          <w:szCs w:val="16"/>
          <w:lang w:val="es-ES_tradnl"/>
        </w:rPr>
        <w:t>mite de una acci</w:t>
      </w:r>
      <w:r>
        <w:rPr>
          <w:rFonts w:cs="Times New Roman"/>
          <w:spacing w:val="-5"/>
          <w:sz w:val="16"/>
          <w:szCs w:val="16"/>
          <w:lang w:val="es-ES_tradnl"/>
        </w:rPr>
        <w:t>ó</w:t>
      </w:r>
      <w:r>
        <w:rPr>
          <w:spacing w:val="-5"/>
          <w:sz w:val="16"/>
          <w:szCs w:val="16"/>
          <w:lang w:val="es-ES_tradnl"/>
        </w:rPr>
        <w:t xml:space="preserve">n extraordinaria de </w:t>
      </w:r>
      <w:r>
        <w:rPr>
          <w:spacing w:val="-8"/>
          <w:sz w:val="16"/>
          <w:szCs w:val="16"/>
          <w:lang w:val="es-ES_tradnl"/>
        </w:rPr>
        <w:t>protecci</w:t>
      </w:r>
      <w:r>
        <w:rPr>
          <w:rFonts w:cs="Times New Roman"/>
          <w:spacing w:val="-8"/>
          <w:sz w:val="16"/>
          <w:szCs w:val="16"/>
          <w:lang w:val="es-ES_tradnl"/>
        </w:rPr>
        <w:t>ó</w:t>
      </w:r>
      <w:r>
        <w:rPr>
          <w:spacing w:val="-8"/>
          <w:sz w:val="16"/>
          <w:szCs w:val="16"/>
          <w:lang w:val="es-ES_tradnl"/>
        </w:rPr>
        <w:t xml:space="preserve">n, debe constatar que efectivamente, las sentencias, </w:t>
      </w:r>
      <w:r>
        <w:rPr>
          <w:spacing w:val="-5"/>
          <w:sz w:val="16"/>
          <w:szCs w:val="16"/>
          <w:lang w:val="es-ES_tradnl"/>
        </w:rPr>
        <w:t xml:space="preserve">autos y resoluciones con fuerza de sentencia se encuentren </w:t>
      </w:r>
      <w:r>
        <w:rPr>
          <w:spacing w:val="-6"/>
          <w:sz w:val="16"/>
          <w:szCs w:val="16"/>
          <w:lang w:val="es-ES_tradnl"/>
        </w:rPr>
        <w:t xml:space="preserve">firmes o ejecutoriados y que, durante el juzgamiento, no se </w:t>
      </w:r>
      <w:r>
        <w:rPr>
          <w:spacing w:val="-8"/>
          <w:sz w:val="16"/>
          <w:szCs w:val="16"/>
          <w:lang w:val="es-ES_tradnl"/>
        </w:rPr>
        <w:t>hayan vulnerado por acci</w:t>
      </w:r>
      <w:r>
        <w:rPr>
          <w:rFonts w:cs="Times New Roman"/>
          <w:spacing w:val="-8"/>
          <w:sz w:val="16"/>
          <w:szCs w:val="16"/>
          <w:lang w:val="es-ES_tradnl"/>
        </w:rPr>
        <w:t>ó</w:t>
      </w:r>
      <w:r>
        <w:rPr>
          <w:spacing w:val="-8"/>
          <w:sz w:val="16"/>
          <w:szCs w:val="16"/>
          <w:lang w:val="es-ES_tradnl"/>
        </w:rPr>
        <w:t>n u omisi</w:t>
      </w:r>
      <w:r>
        <w:rPr>
          <w:rFonts w:cs="Times New Roman"/>
          <w:spacing w:val="-8"/>
          <w:sz w:val="16"/>
          <w:szCs w:val="16"/>
          <w:lang w:val="es-ES_tradnl"/>
        </w:rPr>
        <w:t>ó</w:t>
      </w:r>
      <w:r>
        <w:rPr>
          <w:spacing w:val="-8"/>
          <w:sz w:val="16"/>
          <w:szCs w:val="16"/>
          <w:lang w:val="es-ES_tradnl"/>
        </w:rPr>
        <w:t xml:space="preserve">n el debido proceso u otro </w:t>
      </w:r>
      <w:r>
        <w:rPr>
          <w:sz w:val="16"/>
          <w:szCs w:val="16"/>
          <w:lang w:val="es-ES_tradnl"/>
        </w:rPr>
        <w:t>derecho constitucional.</w:t>
      </w:r>
    </w:p>
    <w:p w14:paraId="4F67B44E" w14:textId="77777777" w:rsidR="00591D54" w:rsidRDefault="00591D54">
      <w:pPr>
        <w:shd w:val="clear" w:color="auto" w:fill="FFFFFF"/>
        <w:spacing w:before="211" w:line="216" w:lineRule="exact"/>
        <w:ind w:left="283"/>
        <w:jc w:val="both"/>
      </w:pPr>
      <w:r>
        <w:rPr>
          <w:spacing w:val="-6"/>
          <w:sz w:val="16"/>
          <w:szCs w:val="16"/>
          <w:lang w:val="es-ES_tradnl"/>
        </w:rPr>
        <w:t xml:space="preserve">Finalmente, esta Corte considera oportuno recordar que la </w:t>
      </w:r>
      <w:r>
        <w:rPr>
          <w:spacing w:val="-5"/>
          <w:sz w:val="16"/>
          <w:szCs w:val="16"/>
          <w:lang w:val="es-ES_tradnl"/>
        </w:rPr>
        <w:t>acci</w:t>
      </w:r>
      <w:r>
        <w:rPr>
          <w:rFonts w:cs="Times New Roman"/>
          <w:spacing w:val="-5"/>
          <w:sz w:val="16"/>
          <w:szCs w:val="16"/>
          <w:lang w:val="es-ES_tradnl"/>
        </w:rPr>
        <w:t>ó</w:t>
      </w:r>
      <w:r>
        <w:rPr>
          <w:spacing w:val="-5"/>
          <w:sz w:val="16"/>
          <w:szCs w:val="16"/>
          <w:lang w:val="es-ES_tradnl"/>
        </w:rPr>
        <w:t>n extraordinaria de protecci</w:t>
      </w:r>
      <w:r>
        <w:rPr>
          <w:rFonts w:cs="Times New Roman"/>
          <w:spacing w:val="-5"/>
          <w:sz w:val="16"/>
          <w:szCs w:val="16"/>
          <w:lang w:val="es-ES_tradnl"/>
        </w:rPr>
        <w:t>ó</w:t>
      </w:r>
      <w:r>
        <w:rPr>
          <w:spacing w:val="-5"/>
          <w:sz w:val="16"/>
          <w:szCs w:val="16"/>
          <w:lang w:val="es-ES_tradnl"/>
        </w:rPr>
        <w:t xml:space="preserve">n no es una </w:t>
      </w:r>
      <w:r>
        <w:rPr>
          <w:rFonts w:cs="Times New Roman"/>
          <w:spacing w:val="-5"/>
          <w:sz w:val="16"/>
          <w:szCs w:val="16"/>
          <w:lang w:val="es-ES_tradnl"/>
        </w:rPr>
        <w:t>“</w:t>
      </w:r>
      <w:r>
        <w:rPr>
          <w:spacing w:val="-5"/>
          <w:sz w:val="16"/>
          <w:szCs w:val="16"/>
          <w:lang w:val="es-ES_tradnl"/>
        </w:rPr>
        <w:t>instancia adicional</w:t>
      </w:r>
      <w:r>
        <w:rPr>
          <w:rFonts w:cs="Times New Roman"/>
          <w:spacing w:val="-5"/>
          <w:sz w:val="16"/>
          <w:szCs w:val="16"/>
          <w:lang w:val="es-ES_tradnl"/>
        </w:rPr>
        <w:t>”</w:t>
      </w:r>
      <w:r>
        <w:rPr>
          <w:spacing w:val="-5"/>
          <w:sz w:val="16"/>
          <w:szCs w:val="16"/>
          <w:lang w:val="es-ES_tradnl"/>
        </w:rPr>
        <w:t xml:space="preserve">, es decir, a partir de ella no se puede pretender el </w:t>
      </w:r>
      <w:r>
        <w:rPr>
          <w:spacing w:val="-7"/>
          <w:sz w:val="16"/>
          <w:szCs w:val="16"/>
          <w:lang w:val="es-ES_tradnl"/>
        </w:rPr>
        <w:t>an</w:t>
      </w:r>
      <w:r>
        <w:rPr>
          <w:rFonts w:cs="Times New Roman"/>
          <w:spacing w:val="-7"/>
          <w:sz w:val="16"/>
          <w:szCs w:val="16"/>
          <w:lang w:val="es-ES_tradnl"/>
        </w:rPr>
        <w:t>á</w:t>
      </w:r>
      <w:r>
        <w:rPr>
          <w:spacing w:val="-7"/>
          <w:sz w:val="16"/>
          <w:szCs w:val="16"/>
          <w:lang w:val="es-ES_tradnl"/>
        </w:rPr>
        <w:t>lisis de asuntos de mera legalidad propios e inherentes de</w:t>
      </w:r>
    </w:p>
    <w:p w14:paraId="4F67B44F" w14:textId="77777777" w:rsidR="00591D54" w:rsidRDefault="00591D54">
      <w:pPr>
        <w:shd w:val="clear" w:color="auto" w:fill="FFFFFF"/>
        <w:spacing w:before="211" w:line="216" w:lineRule="exact"/>
        <w:ind w:left="283"/>
        <w:jc w:val="both"/>
        <w:sectPr w:rsidR="00591D54">
          <w:type w:val="continuous"/>
          <w:pgSz w:w="11909" w:h="16834"/>
          <w:pgMar w:top="1363" w:right="1309" w:bottom="360" w:left="1308" w:header="720" w:footer="720" w:gutter="0"/>
          <w:cols w:num="2" w:space="720" w:equalWidth="0">
            <w:col w:w="4305" w:space="682"/>
            <w:col w:w="4305"/>
          </w:cols>
          <w:noEndnote/>
        </w:sectPr>
      </w:pPr>
    </w:p>
    <w:p w14:paraId="4F67B450" w14:textId="77777777" w:rsidR="00591D54" w:rsidRDefault="00591D54">
      <w:pPr>
        <w:shd w:val="clear" w:color="auto" w:fill="FFFFFF"/>
        <w:tabs>
          <w:tab w:val="left" w:pos="4814"/>
        </w:tabs>
        <w:spacing w:after="230"/>
        <w:ind w:left="5"/>
      </w:pPr>
      <w:r>
        <w:rPr>
          <w:b/>
          <w:bCs/>
          <w:sz w:val="18"/>
          <w:szCs w:val="18"/>
          <w:lang w:val="es-ES_tradnl"/>
        </w:rPr>
        <w:t xml:space="preserve">206 -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451" w14:textId="77777777" w:rsidR="00591D54" w:rsidRDefault="00591D54">
      <w:pPr>
        <w:shd w:val="clear" w:color="auto" w:fill="FFFFFF"/>
        <w:tabs>
          <w:tab w:val="left" w:pos="4814"/>
        </w:tabs>
        <w:spacing w:after="230"/>
        <w:ind w:left="5"/>
        <w:sectPr w:rsidR="00591D54">
          <w:pgSz w:w="11909" w:h="16834"/>
          <w:pgMar w:top="1359" w:right="1309" w:bottom="360" w:left="1308" w:header="720" w:footer="720" w:gutter="0"/>
          <w:cols w:space="60"/>
          <w:noEndnote/>
        </w:sectPr>
      </w:pPr>
    </w:p>
    <w:p w14:paraId="4F67B452" w14:textId="77777777" w:rsidR="00591D54" w:rsidRDefault="00591D54">
      <w:pPr>
        <w:shd w:val="clear" w:color="auto" w:fill="FFFFFF"/>
        <w:spacing w:line="211" w:lineRule="exact"/>
        <w:ind w:left="283"/>
        <w:jc w:val="both"/>
      </w:pPr>
      <w:r>
        <w:rPr>
          <w:sz w:val="14"/>
          <w:szCs w:val="14"/>
          <w:lang w:val="es-ES_tradnl"/>
        </w:rPr>
        <w:t>la justicia ordinaria. En virtud de ello, la Corte Constitucional no puede entrar a analizar, menos a</w:t>
      </w:r>
      <w:r>
        <w:rPr>
          <w:rFonts w:cs="Times New Roman"/>
          <w:sz w:val="14"/>
          <w:szCs w:val="14"/>
          <w:lang w:val="es-ES_tradnl"/>
        </w:rPr>
        <w:t>ú</w:t>
      </w:r>
      <w:r>
        <w:rPr>
          <w:sz w:val="14"/>
          <w:szCs w:val="14"/>
          <w:lang w:val="es-ES_tradnl"/>
        </w:rPr>
        <w:t>n resolver, cuestiones eminentemente legales. El objeto de su an</w:t>
      </w:r>
      <w:r>
        <w:rPr>
          <w:rFonts w:cs="Times New Roman"/>
          <w:sz w:val="14"/>
          <w:szCs w:val="14"/>
          <w:lang w:val="es-ES_tradnl"/>
        </w:rPr>
        <w:t>á</w:t>
      </w:r>
      <w:r>
        <w:rPr>
          <w:sz w:val="14"/>
          <w:szCs w:val="14"/>
          <w:lang w:val="es-ES_tradnl"/>
        </w:rPr>
        <w:t>lisis debe estar dirigido directamente a la presunta vulneraci</w:t>
      </w:r>
      <w:r>
        <w:rPr>
          <w:rFonts w:cs="Times New Roman"/>
          <w:sz w:val="14"/>
          <w:szCs w:val="14"/>
          <w:lang w:val="es-ES_tradnl"/>
        </w:rPr>
        <w:t>ó</w:t>
      </w:r>
      <w:r>
        <w:rPr>
          <w:sz w:val="14"/>
          <w:szCs w:val="14"/>
          <w:lang w:val="es-ES_tradnl"/>
        </w:rPr>
        <w:t>n de derechos constitucionales y normas del debido proceso en el curso de la decisi</w:t>
      </w:r>
      <w:r>
        <w:rPr>
          <w:rFonts w:cs="Times New Roman"/>
          <w:sz w:val="14"/>
          <w:szCs w:val="14"/>
          <w:lang w:val="es-ES_tradnl"/>
        </w:rPr>
        <w:t>ó</w:t>
      </w:r>
      <w:r>
        <w:rPr>
          <w:sz w:val="14"/>
          <w:szCs w:val="14"/>
          <w:lang w:val="es-ES_tradnl"/>
        </w:rPr>
        <w:t>n impugnada</w:t>
      </w:r>
      <w:r>
        <w:rPr>
          <w:sz w:val="14"/>
          <w:szCs w:val="14"/>
          <w:vertAlign w:val="superscript"/>
          <w:lang w:val="es-ES_tradnl"/>
        </w:rPr>
        <w:t>1</w:t>
      </w:r>
      <w:r>
        <w:rPr>
          <w:sz w:val="14"/>
          <w:szCs w:val="14"/>
          <w:lang w:val="es-ES_tradnl"/>
        </w:rPr>
        <w:t>.</w:t>
      </w:r>
    </w:p>
    <w:p w14:paraId="4F67B453" w14:textId="77777777" w:rsidR="00591D54" w:rsidRDefault="00591D54">
      <w:pPr>
        <w:shd w:val="clear" w:color="auto" w:fill="FFFFFF"/>
        <w:spacing w:before="197"/>
      </w:pPr>
      <w:r>
        <w:rPr>
          <w:b/>
          <w:bCs/>
          <w:spacing w:val="-7"/>
          <w:sz w:val="18"/>
          <w:szCs w:val="18"/>
          <w:lang w:val="es-ES_tradnl"/>
        </w:rPr>
        <w:t>Determinaci</w:t>
      </w:r>
      <w:r>
        <w:rPr>
          <w:rFonts w:cs="Times New Roman"/>
          <w:b/>
          <w:bCs/>
          <w:spacing w:val="-7"/>
          <w:sz w:val="18"/>
          <w:szCs w:val="18"/>
          <w:lang w:val="es-ES_tradnl"/>
        </w:rPr>
        <w:t>ó</w:t>
      </w:r>
      <w:r>
        <w:rPr>
          <w:b/>
          <w:bCs/>
          <w:spacing w:val="-7"/>
          <w:sz w:val="18"/>
          <w:szCs w:val="18"/>
          <w:lang w:val="es-ES_tradnl"/>
        </w:rPr>
        <w:t>n del problema jur</w:t>
      </w:r>
      <w:r>
        <w:rPr>
          <w:rFonts w:cs="Times New Roman"/>
          <w:b/>
          <w:bCs/>
          <w:spacing w:val="-7"/>
          <w:sz w:val="18"/>
          <w:szCs w:val="18"/>
          <w:lang w:val="es-ES_tradnl"/>
        </w:rPr>
        <w:t>í</w:t>
      </w:r>
      <w:r>
        <w:rPr>
          <w:b/>
          <w:bCs/>
          <w:spacing w:val="-7"/>
          <w:sz w:val="18"/>
          <w:szCs w:val="18"/>
          <w:lang w:val="es-ES_tradnl"/>
        </w:rPr>
        <w:t>dico</w:t>
      </w:r>
    </w:p>
    <w:p w14:paraId="4F67B454" w14:textId="77777777" w:rsidR="00591D54" w:rsidRDefault="00591D54">
      <w:pPr>
        <w:shd w:val="clear" w:color="auto" w:fill="FFFFFF"/>
        <w:spacing w:before="197" w:line="216" w:lineRule="exact"/>
        <w:jc w:val="both"/>
      </w:pPr>
      <w:r>
        <w:rPr>
          <w:spacing w:val="-5"/>
          <w:sz w:val="18"/>
          <w:szCs w:val="18"/>
          <w:lang w:val="es-ES_tradnl"/>
        </w:rPr>
        <w:t>La Corte Constitucional en el presente caso, deber</w:t>
      </w:r>
      <w:r>
        <w:rPr>
          <w:rFonts w:cs="Times New Roman"/>
          <w:spacing w:val="-5"/>
          <w:sz w:val="18"/>
          <w:szCs w:val="18"/>
          <w:lang w:val="es-ES_tradnl"/>
        </w:rPr>
        <w:t xml:space="preserve">á </w:t>
      </w:r>
      <w:r>
        <w:rPr>
          <w:spacing w:val="-5"/>
          <w:sz w:val="18"/>
          <w:szCs w:val="18"/>
          <w:lang w:val="es-ES_tradnl"/>
        </w:rPr>
        <w:t>determinar si la decisi</w:t>
      </w:r>
      <w:r>
        <w:rPr>
          <w:rFonts w:cs="Times New Roman"/>
          <w:spacing w:val="-5"/>
          <w:sz w:val="18"/>
          <w:szCs w:val="18"/>
          <w:lang w:val="es-ES_tradnl"/>
        </w:rPr>
        <w:t>ó</w:t>
      </w:r>
      <w:r>
        <w:rPr>
          <w:spacing w:val="-5"/>
          <w:sz w:val="18"/>
          <w:szCs w:val="18"/>
          <w:lang w:val="es-ES_tradnl"/>
        </w:rPr>
        <w:t xml:space="preserve">n impugnada ha vulnerado los </w:t>
      </w:r>
      <w:r>
        <w:rPr>
          <w:spacing w:val="-1"/>
          <w:sz w:val="18"/>
          <w:szCs w:val="18"/>
          <w:lang w:val="es-ES_tradnl"/>
        </w:rPr>
        <w:t xml:space="preserve">derechos constitucionales alegados por el accionante </w:t>
      </w:r>
      <w:r>
        <w:rPr>
          <w:spacing w:val="-8"/>
          <w:sz w:val="18"/>
          <w:szCs w:val="18"/>
          <w:lang w:val="es-ES_tradnl"/>
        </w:rPr>
        <w:t>en su demanda, ante lo cual, responder</w:t>
      </w:r>
      <w:r>
        <w:rPr>
          <w:rFonts w:cs="Times New Roman"/>
          <w:spacing w:val="-8"/>
          <w:sz w:val="18"/>
          <w:szCs w:val="18"/>
          <w:lang w:val="es-ES_tradnl"/>
        </w:rPr>
        <w:t>á</w:t>
      </w:r>
      <w:r>
        <w:rPr>
          <w:spacing w:val="-8"/>
          <w:sz w:val="18"/>
          <w:szCs w:val="18"/>
          <w:lang w:val="es-ES_tradnl"/>
        </w:rPr>
        <w:t xml:space="preserve"> a la siguiente </w:t>
      </w:r>
      <w:r>
        <w:rPr>
          <w:sz w:val="18"/>
          <w:szCs w:val="18"/>
          <w:lang w:val="es-ES_tradnl"/>
        </w:rPr>
        <w:t>interrogante:</w:t>
      </w:r>
    </w:p>
    <w:p w14:paraId="4F67B455" w14:textId="77777777" w:rsidR="00591D54" w:rsidRDefault="00591D54">
      <w:pPr>
        <w:shd w:val="clear" w:color="auto" w:fill="FFFFFF"/>
        <w:spacing w:before="197" w:line="216" w:lineRule="exact"/>
        <w:ind w:right="5"/>
        <w:jc w:val="both"/>
      </w:pPr>
      <w:r>
        <w:rPr>
          <w:spacing w:val="-7"/>
          <w:sz w:val="18"/>
          <w:szCs w:val="18"/>
          <w:lang w:val="es-ES_tradnl"/>
        </w:rPr>
        <w:t xml:space="preserve">La sentencia expedida el 02 de abril de 2012 a las 11h45, </w:t>
      </w:r>
      <w:r>
        <w:rPr>
          <w:spacing w:val="-6"/>
          <w:sz w:val="18"/>
          <w:szCs w:val="18"/>
          <w:lang w:val="es-ES_tradnl"/>
        </w:rPr>
        <w:t>por los jueces de la Primera Sala de lo Laboral, Ni</w:t>
      </w:r>
      <w:r>
        <w:rPr>
          <w:rFonts w:cs="Times New Roman"/>
          <w:spacing w:val="-6"/>
          <w:sz w:val="18"/>
          <w:szCs w:val="18"/>
          <w:lang w:val="es-ES_tradnl"/>
        </w:rPr>
        <w:t>ñ</w:t>
      </w:r>
      <w:r>
        <w:rPr>
          <w:spacing w:val="-6"/>
          <w:sz w:val="18"/>
          <w:szCs w:val="18"/>
          <w:lang w:val="es-ES_tradnl"/>
        </w:rPr>
        <w:t xml:space="preserve">ez y </w:t>
      </w:r>
      <w:r>
        <w:rPr>
          <w:spacing w:val="-8"/>
          <w:sz w:val="18"/>
          <w:szCs w:val="18"/>
          <w:lang w:val="es-ES_tradnl"/>
        </w:rPr>
        <w:t xml:space="preserve">Adolescencia de la Corte Provincial de Justicia del Guayas </w:t>
      </w:r>
      <w:r>
        <w:rPr>
          <w:spacing w:val="-1"/>
          <w:sz w:val="18"/>
          <w:szCs w:val="18"/>
          <w:lang w:val="es-ES_tradnl"/>
        </w:rPr>
        <w:t>que revoc</w:t>
      </w:r>
      <w:r>
        <w:rPr>
          <w:rFonts w:cs="Times New Roman"/>
          <w:spacing w:val="-1"/>
          <w:sz w:val="18"/>
          <w:szCs w:val="18"/>
          <w:lang w:val="es-ES_tradnl"/>
        </w:rPr>
        <w:t>ó</w:t>
      </w:r>
      <w:r>
        <w:rPr>
          <w:spacing w:val="-1"/>
          <w:sz w:val="18"/>
          <w:szCs w:val="18"/>
          <w:lang w:val="es-ES_tradnl"/>
        </w:rPr>
        <w:t xml:space="preserve"> el fallo de primer nivel, en consecuencia </w:t>
      </w:r>
      <w:r>
        <w:rPr>
          <w:spacing w:val="-5"/>
          <w:sz w:val="18"/>
          <w:szCs w:val="18"/>
          <w:lang w:val="es-ES_tradnl"/>
        </w:rPr>
        <w:t>acept</w:t>
      </w:r>
      <w:r>
        <w:rPr>
          <w:rFonts w:cs="Times New Roman"/>
          <w:spacing w:val="-5"/>
          <w:sz w:val="18"/>
          <w:szCs w:val="18"/>
          <w:lang w:val="es-ES_tradnl"/>
        </w:rPr>
        <w:t>ó</w:t>
      </w:r>
      <w:r>
        <w:rPr>
          <w:spacing w:val="-5"/>
          <w:sz w:val="18"/>
          <w:szCs w:val="18"/>
          <w:lang w:val="es-ES_tradnl"/>
        </w:rPr>
        <w:t xml:space="preserve"> la acci</w:t>
      </w:r>
      <w:r>
        <w:rPr>
          <w:rFonts w:cs="Times New Roman"/>
          <w:spacing w:val="-5"/>
          <w:sz w:val="18"/>
          <w:szCs w:val="18"/>
          <w:lang w:val="es-ES_tradnl"/>
        </w:rPr>
        <w:t>ó</w:t>
      </w:r>
      <w:r>
        <w:rPr>
          <w:spacing w:val="-5"/>
          <w:sz w:val="18"/>
          <w:szCs w:val="18"/>
          <w:lang w:val="es-ES_tradnl"/>
        </w:rPr>
        <w:t>n de protecci</w:t>
      </w:r>
      <w:r>
        <w:rPr>
          <w:rFonts w:cs="Times New Roman"/>
          <w:spacing w:val="-5"/>
          <w:sz w:val="18"/>
          <w:szCs w:val="18"/>
          <w:lang w:val="es-ES_tradnl"/>
        </w:rPr>
        <w:t>ó</w:t>
      </w:r>
      <w:r>
        <w:rPr>
          <w:spacing w:val="-5"/>
          <w:sz w:val="18"/>
          <w:szCs w:val="18"/>
          <w:lang w:val="es-ES_tradnl"/>
        </w:rPr>
        <w:t xml:space="preserve">n, </w:t>
      </w:r>
      <w:r>
        <w:rPr>
          <w:rFonts w:cs="Times New Roman"/>
          <w:spacing w:val="-5"/>
          <w:sz w:val="18"/>
          <w:szCs w:val="18"/>
          <w:lang w:val="es-ES_tradnl"/>
        </w:rPr>
        <w:t>¿</w:t>
      </w:r>
      <w:r>
        <w:rPr>
          <w:spacing w:val="-5"/>
          <w:sz w:val="18"/>
          <w:szCs w:val="18"/>
          <w:lang w:val="es-ES_tradnl"/>
        </w:rPr>
        <w:t>vulner</w:t>
      </w:r>
      <w:r>
        <w:rPr>
          <w:rFonts w:cs="Times New Roman"/>
          <w:spacing w:val="-5"/>
          <w:sz w:val="18"/>
          <w:szCs w:val="18"/>
          <w:lang w:val="es-ES_tradnl"/>
        </w:rPr>
        <w:t>ó</w:t>
      </w:r>
      <w:r>
        <w:rPr>
          <w:spacing w:val="-5"/>
          <w:sz w:val="18"/>
          <w:szCs w:val="18"/>
          <w:lang w:val="es-ES_tradnl"/>
        </w:rPr>
        <w:t xml:space="preserve"> el derecho al </w:t>
      </w:r>
      <w:r>
        <w:rPr>
          <w:spacing w:val="-7"/>
          <w:sz w:val="18"/>
          <w:szCs w:val="18"/>
          <w:lang w:val="es-ES_tradnl"/>
        </w:rPr>
        <w:t>debido proceso en la garant</w:t>
      </w:r>
      <w:r>
        <w:rPr>
          <w:rFonts w:cs="Times New Roman"/>
          <w:spacing w:val="-7"/>
          <w:sz w:val="18"/>
          <w:szCs w:val="18"/>
          <w:lang w:val="es-ES_tradnl"/>
        </w:rPr>
        <w:t>í</w:t>
      </w:r>
      <w:r>
        <w:rPr>
          <w:spacing w:val="-7"/>
          <w:sz w:val="18"/>
          <w:szCs w:val="18"/>
          <w:lang w:val="es-ES_tradnl"/>
        </w:rPr>
        <w:t>a de la motivaci</w:t>
      </w:r>
      <w:r>
        <w:rPr>
          <w:rFonts w:cs="Times New Roman"/>
          <w:spacing w:val="-7"/>
          <w:sz w:val="18"/>
          <w:szCs w:val="18"/>
          <w:lang w:val="es-ES_tradnl"/>
        </w:rPr>
        <w:t>ó</w:t>
      </w:r>
      <w:r>
        <w:rPr>
          <w:spacing w:val="-7"/>
          <w:sz w:val="18"/>
          <w:szCs w:val="18"/>
          <w:lang w:val="es-ES_tradnl"/>
        </w:rPr>
        <w:t xml:space="preserve">n prevista en </w:t>
      </w:r>
      <w:r>
        <w:rPr>
          <w:spacing w:val="-5"/>
          <w:sz w:val="18"/>
          <w:szCs w:val="18"/>
          <w:lang w:val="es-ES_tradnl"/>
        </w:rPr>
        <w:t>el art</w:t>
      </w:r>
      <w:r>
        <w:rPr>
          <w:rFonts w:cs="Times New Roman"/>
          <w:spacing w:val="-5"/>
          <w:sz w:val="18"/>
          <w:szCs w:val="18"/>
          <w:lang w:val="es-ES_tradnl"/>
        </w:rPr>
        <w:t>í</w:t>
      </w:r>
      <w:r>
        <w:rPr>
          <w:spacing w:val="-5"/>
          <w:sz w:val="18"/>
          <w:szCs w:val="18"/>
          <w:lang w:val="es-ES_tradnl"/>
        </w:rPr>
        <w:t>culo 76 numeral 7 literal l de la Constituci</w:t>
      </w:r>
      <w:r>
        <w:rPr>
          <w:rFonts w:cs="Times New Roman"/>
          <w:spacing w:val="-5"/>
          <w:sz w:val="18"/>
          <w:szCs w:val="18"/>
          <w:lang w:val="es-ES_tradnl"/>
        </w:rPr>
        <w:t>ó</w:t>
      </w:r>
      <w:r>
        <w:rPr>
          <w:spacing w:val="-5"/>
          <w:sz w:val="18"/>
          <w:szCs w:val="18"/>
          <w:lang w:val="es-ES_tradnl"/>
        </w:rPr>
        <w:t xml:space="preserve">n de la </w:t>
      </w:r>
      <w:r>
        <w:rPr>
          <w:sz w:val="18"/>
          <w:szCs w:val="18"/>
          <w:lang w:val="es-ES_tradnl"/>
        </w:rPr>
        <w:t>Rep</w:t>
      </w:r>
      <w:r>
        <w:rPr>
          <w:rFonts w:cs="Times New Roman"/>
          <w:sz w:val="18"/>
          <w:szCs w:val="18"/>
          <w:lang w:val="es-ES_tradnl"/>
        </w:rPr>
        <w:t>ú</w:t>
      </w:r>
      <w:r>
        <w:rPr>
          <w:sz w:val="18"/>
          <w:szCs w:val="18"/>
          <w:lang w:val="es-ES_tradnl"/>
        </w:rPr>
        <w:t>blica?</w:t>
      </w:r>
    </w:p>
    <w:p w14:paraId="4F67B456" w14:textId="77777777" w:rsidR="00591D54" w:rsidRDefault="00591D54">
      <w:pPr>
        <w:shd w:val="clear" w:color="auto" w:fill="FFFFFF"/>
        <w:spacing w:before="192"/>
      </w:pPr>
      <w:r>
        <w:rPr>
          <w:b/>
          <w:bCs/>
          <w:spacing w:val="-8"/>
          <w:sz w:val="18"/>
          <w:szCs w:val="18"/>
          <w:lang w:val="es-ES_tradnl"/>
        </w:rPr>
        <w:t>Resoluci</w:t>
      </w:r>
      <w:r>
        <w:rPr>
          <w:rFonts w:cs="Times New Roman"/>
          <w:b/>
          <w:bCs/>
          <w:spacing w:val="-8"/>
          <w:sz w:val="18"/>
          <w:szCs w:val="18"/>
          <w:lang w:val="es-ES_tradnl"/>
        </w:rPr>
        <w:t>ó</w:t>
      </w:r>
      <w:r>
        <w:rPr>
          <w:b/>
          <w:bCs/>
          <w:spacing w:val="-8"/>
          <w:sz w:val="18"/>
          <w:szCs w:val="18"/>
          <w:lang w:val="es-ES_tradnl"/>
        </w:rPr>
        <w:t>n del problema jur</w:t>
      </w:r>
      <w:r>
        <w:rPr>
          <w:rFonts w:cs="Times New Roman"/>
          <w:b/>
          <w:bCs/>
          <w:spacing w:val="-8"/>
          <w:sz w:val="18"/>
          <w:szCs w:val="18"/>
          <w:lang w:val="es-ES_tradnl"/>
        </w:rPr>
        <w:t>í</w:t>
      </w:r>
      <w:r>
        <w:rPr>
          <w:b/>
          <w:bCs/>
          <w:spacing w:val="-8"/>
          <w:sz w:val="18"/>
          <w:szCs w:val="18"/>
          <w:lang w:val="es-ES_tradnl"/>
        </w:rPr>
        <w:t>dico</w:t>
      </w:r>
    </w:p>
    <w:p w14:paraId="4F67B457" w14:textId="77777777" w:rsidR="00591D54" w:rsidRDefault="00591D54">
      <w:pPr>
        <w:shd w:val="clear" w:color="auto" w:fill="FFFFFF"/>
        <w:spacing w:before="192" w:line="216" w:lineRule="exact"/>
        <w:ind w:right="5"/>
        <w:jc w:val="both"/>
      </w:pPr>
      <w:r>
        <w:rPr>
          <w:b/>
          <w:bCs/>
          <w:spacing w:val="-3"/>
          <w:sz w:val="18"/>
          <w:szCs w:val="18"/>
          <w:lang w:val="es-ES_tradnl"/>
        </w:rPr>
        <w:t xml:space="preserve">La sentencia expedida el 02 de abril de 2012 a las </w:t>
      </w:r>
      <w:r>
        <w:rPr>
          <w:b/>
          <w:bCs/>
          <w:spacing w:val="-7"/>
          <w:sz w:val="18"/>
          <w:szCs w:val="18"/>
          <w:lang w:val="es-ES_tradnl"/>
        </w:rPr>
        <w:t xml:space="preserve">11h45, por los jueces de la Primera Sala de lo Laboral, </w:t>
      </w:r>
      <w:r>
        <w:rPr>
          <w:b/>
          <w:bCs/>
          <w:spacing w:val="-9"/>
          <w:sz w:val="18"/>
          <w:szCs w:val="18"/>
          <w:lang w:val="es-ES_tradnl"/>
        </w:rPr>
        <w:t>Ni</w:t>
      </w:r>
      <w:r>
        <w:rPr>
          <w:rFonts w:cs="Times New Roman"/>
          <w:b/>
          <w:bCs/>
          <w:spacing w:val="-9"/>
          <w:sz w:val="18"/>
          <w:szCs w:val="18"/>
          <w:lang w:val="es-ES_tradnl"/>
        </w:rPr>
        <w:t>ñ</w:t>
      </w:r>
      <w:r>
        <w:rPr>
          <w:b/>
          <w:bCs/>
          <w:spacing w:val="-9"/>
          <w:sz w:val="18"/>
          <w:szCs w:val="18"/>
          <w:lang w:val="es-ES_tradnl"/>
        </w:rPr>
        <w:t xml:space="preserve">ez y Adolescencia de la Corte Provincial de Justicia </w:t>
      </w:r>
      <w:r>
        <w:rPr>
          <w:b/>
          <w:bCs/>
          <w:spacing w:val="-7"/>
          <w:sz w:val="18"/>
          <w:szCs w:val="18"/>
          <w:lang w:val="es-ES_tradnl"/>
        </w:rPr>
        <w:t>del Guayas que revoc</w:t>
      </w:r>
      <w:r>
        <w:rPr>
          <w:rFonts w:cs="Times New Roman"/>
          <w:b/>
          <w:bCs/>
          <w:spacing w:val="-7"/>
          <w:sz w:val="18"/>
          <w:szCs w:val="18"/>
          <w:lang w:val="es-ES_tradnl"/>
        </w:rPr>
        <w:t>ó</w:t>
      </w:r>
      <w:r>
        <w:rPr>
          <w:b/>
          <w:bCs/>
          <w:spacing w:val="-7"/>
          <w:sz w:val="18"/>
          <w:szCs w:val="18"/>
          <w:lang w:val="es-ES_tradnl"/>
        </w:rPr>
        <w:t xml:space="preserve"> el fallo de primer nivel, en </w:t>
      </w:r>
      <w:r>
        <w:rPr>
          <w:b/>
          <w:bCs/>
          <w:spacing w:val="-9"/>
          <w:sz w:val="18"/>
          <w:szCs w:val="18"/>
          <w:lang w:val="es-ES_tradnl"/>
        </w:rPr>
        <w:t>consecuencia acept</w:t>
      </w:r>
      <w:r>
        <w:rPr>
          <w:rFonts w:cs="Times New Roman"/>
          <w:b/>
          <w:bCs/>
          <w:spacing w:val="-9"/>
          <w:sz w:val="18"/>
          <w:szCs w:val="18"/>
          <w:lang w:val="es-ES_tradnl"/>
        </w:rPr>
        <w:t>ó</w:t>
      </w:r>
      <w:r>
        <w:rPr>
          <w:b/>
          <w:bCs/>
          <w:spacing w:val="-9"/>
          <w:sz w:val="18"/>
          <w:szCs w:val="18"/>
          <w:lang w:val="es-ES_tradnl"/>
        </w:rPr>
        <w:t xml:space="preserve"> la acci</w:t>
      </w:r>
      <w:r>
        <w:rPr>
          <w:rFonts w:cs="Times New Roman"/>
          <w:b/>
          <w:bCs/>
          <w:spacing w:val="-9"/>
          <w:sz w:val="18"/>
          <w:szCs w:val="18"/>
          <w:lang w:val="es-ES_tradnl"/>
        </w:rPr>
        <w:t>ó</w:t>
      </w:r>
      <w:r>
        <w:rPr>
          <w:b/>
          <w:bCs/>
          <w:spacing w:val="-9"/>
          <w:sz w:val="18"/>
          <w:szCs w:val="18"/>
          <w:lang w:val="es-ES_tradnl"/>
        </w:rPr>
        <w:t>n de protecci</w:t>
      </w:r>
      <w:r>
        <w:rPr>
          <w:rFonts w:cs="Times New Roman"/>
          <w:b/>
          <w:bCs/>
          <w:spacing w:val="-9"/>
          <w:sz w:val="18"/>
          <w:szCs w:val="18"/>
          <w:lang w:val="es-ES_tradnl"/>
        </w:rPr>
        <w:t>ó</w:t>
      </w:r>
      <w:r>
        <w:rPr>
          <w:b/>
          <w:bCs/>
          <w:spacing w:val="-9"/>
          <w:sz w:val="18"/>
          <w:szCs w:val="18"/>
          <w:lang w:val="es-ES_tradnl"/>
        </w:rPr>
        <w:t xml:space="preserve">n, </w:t>
      </w:r>
      <w:r>
        <w:rPr>
          <w:rFonts w:cs="Times New Roman"/>
          <w:b/>
          <w:bCs/>
          <w:spacing w:val="-9"/>
          <w:sz w:val="18"/>
          <w:szCs w:val="18"/>
          <w:lang w:val="es-ES_tradnl"/>
        </w:rPr>
        <w:t>¿</w:t>
      </w:r>
      <w:r>
        <w:rPr>
          <w:b/>
          <w:bCs/>
          <w:spacing w:val="-9"/>
          <w:sz w:val="18"/>
          <w:szCs w:val="18"/>
          <w:lang w:val="es-ES_tradnl"/>
        </w:rPr>
        <w:t>vulner</w:t>
      </w:r>
      <w:r>
        <w:rPr>
          <w:rFonts w:cs="Times New Roman"/>
          <w:b/>
          <w:bCs/>
          <w:spacing w:val="-9"/>
          <w:sz w:val="18"/>
          <w:szCs w:val="18"/>
          <w:lang w:val="es-ES_tradnl"/>
        </w:rPr>
        <w:t xml:space="preserve">ó </w:t>
      </w:r>
      <w:r>
        <w:rPr>
          <w:b/>
          <w:bCs/>
          <w:spacing w:val="-6"/>
          <w:sz w:val="18"/>
          <w:szCs w:val="18"/>
          <w:lang w:val="es-ES_tradnl"/>
        </w:rPr>
        <w:t>el derecho al debido proceso en la garant</w:t>
      </w:r>
      <w:r>
        <w:rPr>
          <w:rFonts w:cs="Times New Roman"/>
          <w:b/>
          <w:bCs/>
          <w:spacing w:val="-6"/>
          <w:sz w:val="18"/>
          <w:szCs w:val="18"/>
          <w:lang w:val="es-ES_tradnl"/>
        </w:rPr>
        <w:t>í</w:t>
      </w:r>
      <w:r>
        <w:rPr>
          <w:b/>
          <w:bCs/>
          <w:spacing w:val="-6"/>
          <w:sz w:val="18"/>
          <w:szCs w:val="18"/>
          <w:lang w:val="es-ES_tradnl"/>
        </w:rPr>
        <w:t xml:space="preserve">a de la </w:t>
      </w:r>
      <w:r>
        <w:rPr>
          <w:b/>
          <w:bCs/>
          <w:spacing w:val="-7"/>
          <w:sz w:val="18"/>
          <w:szCs w:val="18"/>
          <w:lang w:val="es-ES_tradnl"/>
        </w:rPr>
        <w:t>motivaci</w:t>
      </w:r>
      <w:r>
        <w:rPr>
          <w:rFonts w:cs="Times New Roman"/>
          <w:b/>
          <w:bCs/>
          <w:spacing w:val="-7"/>
          <w:sz w:val="18"/>
          <w:szCs w:val="18"/>
          <w:lang w:val="es-ES_tradnl"/>
        </w:rPr>
        <w:t>ó</w:t>
      </w:r>
      <w:r>
        <w:rPr>
          <w:b/>
          <w:bCs/>
          <w:spacing w:val="-7"/>
          <w:sz w:val="18"/>
          <w:szCs w:val="18"/>
          <w:lang w:val="es-ES_tradnl"/>
        </w:rPr>
        <w:t>n prevista en el art</w:t>
      </w:r>
      <w:r>
        <w:rPr>
          <w:rFonts w:cs="Times New Roman"/>
          <w:b/>
          <w:bCs/>
          <w:spacing w:val="-7"/>
          <w:sz w:val="18"/>
          <w:szCs w:val="18"/>
          <w:lang w:val="es-ES_tradnl"/>
        </w:rPr>
        <w:t>í</w:t>
      </w:r>
      <w:r>
        <w:rPr>
          <w:b/>
          <w:bCs/>
          <w:spacing w:val="-7"/>
          <w:sz w:val="18"/>
          <w:szCs w:val="18"/>
          <w:lang w:val="es-ES_tradnl"/>
        </w:rPr>
        <w:t xml:space="preserve">culo 76 numeral 7 literal l </w:t>
      </w:r>
      <w:r>
        <w:rPr>
          <w:b/>
          <w:bCs/>
          <w:sz w:val="18"/>
          <w:szCs w:val="18"/>
          <w:lang w:val="es-ES_tradnl"/>
        </w:rPr>
        <w:t>de la Constituci</w:t>
      </w:r>
      <w:r>
        <w:rPr>
          <w:rFonts w:cs="Times New Roman"/>
          <w:b/>
          <w:bCs/>
          <w:sz w:val="18"/>
          <w:szCs w:val="18"/>
          <w:lang w:val="es-ES_tradnl"/>
        </w:rPr>
        <w:t>ó</w:t>
      </w:r>
      <w:r>
        <w:rPr>
          <w:b/>
          <w:bCs/>
          <w:sz w:val="18"/>
          <w:szCs w:val="18"/>
          <w:lang w:val="es-ES_tradnl"/>
        </w:rPr>
        <w:t>n de la Rep</w:t>
      </w:r>
      <w:r>
        <w:rPr>
          <w:rFonts w:cs="Times New Roman"/>
          <w:b/>
          <w:bCs/>
          <w:sz w:val="18"/>
          <w:szCs w:val="18"/>
          <w:lang w:val="es-ES_tradnl"/>
        </w:rPr>
        <w:t>ú</w:t>
      </w:r>
      <w:r>
        <w:rPr>
          <w:b/>
          <w:bCs/>
          <w:sz w:val="18"/>
          <w:szCs w:val="18"/>
          <w:lang w:val="es-ES_tradnl"/>
        </w:rPr>
        <w:t>blica?</w:t>
      </w:r>
    </w:p>
    <w:p w14:paraId="4F67B458" w14:textId="77777777" w:rsidR="00591D54" w:rsidRDefault="00591D54">
      <w:pPr>
        <w:shd w:val="clear" w:color="auto" w:fill="FFFFFF"/>
        <w:spacing w:before="192" w:line="216" w:lineRule="exact"/>
        <w:ind w:right="5"/>
        <w:jc w:val="both"/>
      </w:pPr>
      <w:r>
        <w:rPr>
          <w:spacing w:val="-3"/>
          <w:sz w:val="18"/>
          <w:szCs w:val="18"/>
          <w:lang w:val="es-ES_tradnl"/>
        </w:rPr>
        <w:t xml:space="preserve">En el presente caso, el legitimado activo considera que </w:t>
      </w:r>
      <w:r>
        <w:rPr>
          <w:spacing w:val="-6"/>
          <w:sz w:val="18"/>
          <w:szCs w:val="18"/>
          <w:lang w:val="es-ES_tradnl"/>
        </w:rPr>
        <w:t>en la decisi</w:t>
      </w:r>
      <w:r>
        <w:rPr>
          <w:rFonts w:cs="Times New Roman"/>
          <w:spacing w:val="-6"/>
          <w:sz w:val="18"/>
          <w:szCs w:val="18"/>
          <w:lang w:val="es-ES_tradnl"/>
        </w:rPr>
        <w:t>ó</w:t>
      </w:r>
      <w:r>
        <w:rPr>
          <w:spacing w:val="-6"/>
          <w:sz w:val="18"/>
          <w:szCs w:val="18"/>
          <w:lang w:val="es-ES_tradnl"/>
        </w:rPr>
        <w:t>n impugnada, los jueces de mayor</w:t>
      </w:r>
      <w:r>
        <w:rPr>
          <w:rFonts w:cs="Times New Roman"/>
          <w:spacing w:val="-6"/>
          <w:sz w:val="18"/>
          <w:szCs w:val="18"/>
          <w:lang w:val="es-ES_tradnl"/>
        </w:rPr>
        <w:t>í</w:t>
      </w:r>
      <w:r>
        <w:rPr>
          <w:spacing w:val="-6"/>
          <w:sz w:val="18"/>
          <w:szCs w:val="18"/>
          <w:lang w:val="es-ES_tradnl"/>
        </w:rPr>
        <w:t xml:space="preserve">a de la </w:t>
      </w:r>
      <w:r>
        <w:rPr>
          <w:spacing w:val="-5"/>
          <w:sz w:val="18"/>
          <w:szCs w:val="18"/>
          <w:lang w:val="es-ES_tradnl"/>
        </w:rPr>
        <w:t>Primera Sala de lo Laboral, Ni</w:t>
      </w:r>
      <w:r>
        <w:rPr>
          <w:rFonts w:cs="Times New Roman"/>
          <w:spacing w:val="-5"/>
          <w:sz w:val="18"/>
          <w:szCs w:val="18"/>
          <w:lang w:val="es-ES_tradnl"/>
        </w:rPr>
        <w:t>ñ</w:t>
      </w:r>
      <w:r>
        <w:rPr>
          <w:spacing w:val="-5"/>
          <w:sz w:val="18"/>
          <w:szCs w:val="18"/>
          <w:lang w:val="es-ES_tradnl"/>
        </w:rPr>
        <w:t xml:space="preserve">ez y Adolescencia de la </w:t>
      </w:r>
      <w:r>
        <w:rPr>
          <w:spacing w:val="-7"/>
          <w:sz w:val="18"/>
          <w:szCs w:val="18"/>
          <w:lang w:val="es-ES_tradnl"/>
        </w:rPr>
        <w:t xml:space="preserve">Corte Provincial de Justicia del Guayas, no han expuesto </w:t>
      </w:r>
      <w:r>
        <w:rPr>
          <w:spacing w:val="-5"/>
          <w:sz w:val="18"/>
          <w:szCs w:val="18"/>
          <w:lang w:val="es-ES_tradnl"/>
        </w:rPr>
        <w:t>ning</w:t>
      </w:r>
      <w:r>
        <w:rPr>
          <w:rFonts w:cs="Times New Roman"/>
          <w:spacing w:val="-5"/>
          <w:sz w:val="18"/>
          <w:szCs w:val="18"/>
          <w:lang w:val="es-ES_tradnl"/>
        </w:rPr>
        <w:t>ú</w:t>
      </w:r>
      <w:r>
        <w:rPr>
          <w:spacing w:val="-5"/>
          <w:sz w:val="18"/>
          <w:szCs w:val="18"/>
          <w:lang w:val="es-ES_tradnl"/>
        </w:rPr>
        <w:t>n razonamiento jur</w:t>
      </w:r>
      <w:r>
        <w:rPr>
          <w:rFonts w:cs="Times New Roman"/>
          <w:spacing w:val="-5"/>
          <w:sz w:val="18"/>
          <w:szCs w:val="18"/>
          <w:lang w:val="es-ES_tradnl"/>
        </w:rPr>
        <w:t>í</w:t>
      </w:r>
      <w:r>
        <w:rPr>
          <w:spacing w:val="-5"/>
          <w:sz w:val="18"/>
          <w:szCs w:val="18"/>
          <w:lang w:val="es-ES_tradnl"/>
        </w:rPr>
        <w:t xml:space="preserve">dico, por cuanto, no explican la </w:t>
      </w:r>
      <w:r>
        <w:rPr>
          <w:spacing w:val="-7"/>
          <w:sz w:val="18"/>
          <w:szCs w:val="18"/>
          <w:lang w:val="es-ES_tradnl"/>
        </w:rPr>
        <w:t xml:space="preserve">pertinencia de las disposiciones invocadas, incumpliendo con el derecho de las partes a que todo fallo deba ser </w:t>
      </w:r>
      <w:r>
        <w:rPr>
          <w:spacing w:val="-10"/>
          <w:sz w:val="18"/>
          <w:szCs w:val="18"/>
          <w:lang w:val="es-ES_tradnl"/>
        </w:rPr>
        <w:t xml:space="preserve">motivado. Por tanto, corresponde a este Organismo analizar </w:t>
      </w:r>
      <w:r>
        <w:rPr>
          <w:sz w:val="18"/>
          <w:szCs w:val="18"/>
          <w:lang w:val="es-ES_tradnl"/>
        </w:rPr>
        <w:t>el supuesto derecho vulnerado.</w:t>
      </w:r>
    </w:p>
    <w:p w14:paraId="4F67B459" w14:textId="77777777" w:rsidR="00591D54" w:rsidRDefault="00591D54">
      <w:pPr>
        <w:shd w:val="clear" w:color="auto" w:fill="FFFFFF"/>
        <w:spacing w:before="192" w:line="216" w:lineRule="exact"/>
        <w:ind w:right="5"/>
        <w:jc w:val="both"/>
      </w:pPr>
      <w:r>
        <w:rPr>
          <w:spacing w:val="-6"/>
          <w:sz w:val="18"/>
          <w:szCs w:val="18"/>
          <w:lang w:val="es-ES_tradnl"/>
        </w:rPr>
        <w:t>En relaci</w:t>
      </w:r>
      <w:r>
        <w:rPr>
          <w:rFonts w:cs="Times New Roman"/>
          <w:spacing w:val="-6"/>
          <w:sz w:val="18"/>
          <w:szCs w:val="18"/>
          <w:lang w:val="es-ES_tradnl"/>
        </w:rPr>
        <w:t>ó</w:t>
      </w:r>
      <w:r>
        <w:rPr>
          <w:spacing w:val="-6"/>
          <w:sz w:val="18"/>
          <w:szCs w:val="18"/>
          <w:lang w:val="es-ES_tradnl"/>
        </w:rPr>
        <w:t xml:space="preserve">n al derecho del debido proceso, el mismo se </w:t>
      </w:r>
      <w:r>
        <w:rPr>
          <w:spacing w:val="-12"/>
          <w:sz w:val="18"/>
          <w:szCs w:val="18"/>
          <w:lang w:val="es-ES_tradnl"/>
        </w:rPr>
        <w:t>encuentra consagrado en el art</w:t>
      </w:r>
      <w:r>
        <w:rPr>
          <w:rFonts w:cs="Times New Roman"/>
          <w:spacing w:val="-12"/>
          <w:sz w:val="18"/>
          <w:szCs w:val="18"/>
          <w:lang w:val="es-ES_tradnl"/>
        </w:rPr>
        <w:t>í</w:t>
      </w:r>
      <w:r>
        <w:rPr>
          <w:spacing w:val="-12"/>
          <w:sz w:val="18"/>
          <w:szCs w:val="18"/>
          <w:lang w:val="es-ES_tradnl"/>
        </w:rPr>
        <w:t xml:space="preserve">culo 76 de la Norma Suprema </w:t>
      </w:r>
      <w:r>
        <w:rPr>
          <w:spacing w:val="-11"/>
          <w:sz w:val="18"/>
          <w:szCs w:val="18"/>
          <w:lang w:val="es-ES_tradnl"/>
        </w:rPr>
        <w:t xml:space="preserve">que dice: </w:t>
      </w:r>
      <w:r>
        <w:rPr>
          <w:rFonts w:cs="Times New Roman"/>
          <w:spacing w:val="-11"/>
          <w:sz w:val="18"/>
          <w:szCs w:val="18"/>
          <w:lang w:val="es-ES_tradnl"/>
        </w:rPr>
        <w:t>“</w:t>
      </w:r>
      <w:r>
        <w:rPr>
          <w:spacing w:val="-11"/>
          <w:sz w:val="18"/>
          <w:szCs w:val="18"/>
          <w:lang w:val="es-ES_tradnl"/>
        </w:rPr>
        <w:t xml:space="preserve">En todo proceso en el que se determinen derechos </w:t>
      </w:r>
      <w:r>
        <w:rPr>
          <w:spacing w:val="-8"/>
          <w:sz w:val="18"/>
          <w:szCs w:val="18"/>
          <w:lang w:val="es-ES_tradnl"/>
        </w:rPr>
        <w:t>y obligaciones de cualquier orden, se asegurar</w:t>
      </w:r>
      <w:r>
        <w:rPr>
          <w:rFonts w:cs="Times New Roman"/>
          <w:spacing w:val="-8"/>
          <w:sz w:val="18"/>
          <w:szCs w:val="18"/>
          <w:lang w:val="es-ES_tradnl"/>
        </w:rPr>
        <w:t>á</w:t>
      </w:r>
      <w:r>
        <w:rPr>
          <w:spacing w:val="-8"/>
          <w:sz w:val="18"/>
          <w:szCs w:val="18"/>
          <w:lang w:val="es-ES_tradnl"/>
        </w:rPr>
        <w:t xml:space="preserve"> el derecho al debido proceso (</w:t>
      </w:r>
      <w:r>
        <w:rPr>
          <w:rFonts w:cs="Times New Roman"/>
          <w:spacing w:val="-8"/>
          <w:sz w:val="18"/>
          <w:szCs w:val="18"/>
          <w:lang w:val="es-ES_tradnl"/>
        </w:rPr>
        <w:t>…</w:t>
      </w:r>
      <w:r>
        <w:rPr>
          <w:spacing w:val="-8"/>
          <w:sz w:val="18"/>
          <w:szCs w:val="18"/>
          <w:lang w:val="es-ES_tradnl"/>
        </w:rPr>
        <w:t>)</w:t>
      </w:r>
      <w:r>
        <w:rPr>
          <w:rFonts w:cs="Times New Roman"/>
          <w:spacing w:val="-8"/>
          <w:sz w:val="18"/>
          <w:szCs w:val="18"/>
          <w:lang w:val="es-ES_tradnl"/>
        </w:rPr>
        <w:t>”</w:t>
      </w:r>
      <w:r>
        <w:rPr>
          <w:spacing w:val="-8"/>
          <w:sz w:val="18"/>
          <w:szCs w:val="18"/>
          <w:lang w:val="es-ES_tradnl"/>
        </w:rPr>
        <w:t xml:space="preserve">. Desde esta premisa constitucional, </w:t>
      </w:r>
      <w:r>
        <w:rPr>
          <w:spacing w:val="-5"/>
          <w:sz w:val="18"/>
          <w:szCs w:val="18"/>
          <w:lang w:val="es-ES_tradnl"/>
        </w:rPr>
        <w:t>el debido proceso est</w:t>
      </w:r>
      <w:r>
        <w:rPr>
          <w:rFonts w:cs="Times New Roman"/>
          <w:spacing w:val="-5"/>
          <w:sz w:val="18"/>
          <w:szCs w:val="18"/>
          <w:lang w:val="es-ES_tradnl"/>
        </w:rPr>
        <w:t>á</w:t>
      </w:r>
      <w:r>
        <w:rPr>
          <w:spacing w:val="-5"/>
          <w:sz w:val="18"/>
          <w:szCs w:val="18"/>
          <w:lang w:val="es-ES_tradnl"/>
        </w:rPr>
        <w:t xml:space="preserve"> integrado a su vez, por varias </w:t>
      </w:r>
      <w:r>
        <w:rPr>
          <w:spacing w:val="-8"/>
          <w:sz w:val="18"/>
          <w:szCs w:val="18"/>
          <w:lang w:val="es-ES_tradnl"/>
        </w:rPr>
        <w:t>garant</w:t>
      </w:r>
      <w:r>
        <w:rPr>
          <w:rFonts w:cs="Times New Roman"/>
          <w:spacing w:val="-8"/>
          <w:sz w:val="18"/>
          <w:szCs w:val="18"/>
          <w:lang w:val="es-ES_tradnl"/>
        </w:rPr>
        <w:t>í</w:t>
      </w:r>
      <w:r>
        <w:rPr>
          <w:spacing w:val="-8"/>
          <w:sz w:val="18"/>
          <w:szCs w:val="18"/>
          <w:lang w:val="es-ES_tradnl"/>
        </w:rPr>
        <w:t xml:space="preserve">as procesales tendientes a tutelar un proceso justo, </w:t>
      </w:r>
      <w:r>
        <w:rPr>
          <w:spacing w:val="-7"/>
          <w:sz w:val="18"/>
          <w:szCs w:val="18"/>
          <w:lang w:val="es-ES_tradnl"/>
        </w:rPr>
        <w:t xml:space="preserve">libre de arbitrariedades en todas las instancias judiciales y </w:t>
      </w:r>
      <w:r>
        <w:rPr>
          <w:spacing w:val="-9"/>
          <w:sz w:val="18"/>
          <w:szCs w:val="18"/>
          <w:lang w:val="es-ES_tradnl"/>
        </w:rPr>
        <w:t>recibir de los operadores jur</w:t>
      </w:r>
      <w:r>
        <w:rPr>
          <w:rFonts w:cs="Times New Roman"/>
          <w:spacing w:val="-9"/>
          <w:sz w:val="18"/>
          <w:szCs w:val="18"/>
          <w:lang w:val="es-ES_tradnl"/>
        </w:rPr>
        <w:t>í</w:t>
      </w:r>
      <w:r>
        <w:rPr>
          <w:spacing w:val="-9"/>
          <w:sz w:val="18"/>
          <w:szCs w:val="18"/>
          <w:lang w:val="es-ES_tradnl"/>
        </w:rPr>
        <w:t>dicos una decisi</w:t>
      </w:r>
      <w:r>
        <w:rPr>
          <w:rFonts w:cs="Times New Roman"/>
          <w:spacing w:val="-9"/>
          <w:sz w:val="18"/>
          <w:szCs w:val="18"/>
          <w:lang w:val="es-ES_tradnl"/>
        </w:rPr>
        <w:t>ó</w:t>
      </w:r>
      <w:r>
        <w:rPr>
          <w:spacing w:val="-9"/>
          <w:sz w:val="18"/>
          <w:szCs w:val="18"/>
          <w:lang w:val="es-ES_tradnl"/>
        </w:rPr>
        <w:t xml:space="preserve">n justa acorde </w:t>
      </w:r>
      <w:r>
        <w:rPr>
          <w:spacing w:val="-6"/>
          <w:sz w:val="18"/>
          <w:szCs w:val="18"/>
          <w:lang w:val="es-ES_tradnl"/>
        </w:rPr>
        <w:t>a la Constituci</w:t>
      </w:r>
      <w:r>
        <w:rPr>
          <w:rFonts w:cs="Times New Roman"/>
          <w:spacing w:val="-6"/>
          <w:sz w:val="18"/>
          <w:szCs w:val="18"/>
          <w:lang w:val="es-ES_tradnl"/>
        </w:rPr>
        <w:t>ó</w:t>
      </w:r>
      <w:r>
        <w:rPr>
          <w:spacing w:val="-6"/>
          <w:sz w:val="18"/>
          <w:szCs w:val="18"/>
          <w:lang w:val="es-ES_tradnl"/>
        </w:rPr>
        <w:t>n y al ordenamiento jur</w:t>
      </w:r>
      <w:r>
        <w:rPr>
          <w:rFonts w:cs="Times New Roman"/>
          <w:spacing w:val="-6"/>
          <w:sz w:val="18"/>
          <w:szCs w:val="18"/>
          <w:lang w:val="es-ES_tradnl"/>
        </w:rPr>
        <w:t>í</w:t>
      </w:r>
      <w:r>
        <w:rPr>
          <w:spacing w:val="-6"/>
          <w:sz w:val="18"/>
          <w:szCs w:val="18"/>
          <w:lang w:val="es-ES_tradnl"/>
        </w:rPr>
        <w:t xml:space="preserve">dico. Dentro de las </w:t>
      </w:r>
      <w:r>
        <w:rPr>
          <w:spacing w:val="-9"/>
          <w:sz w:val="18"/>
          <w:szCs w:val="18"/>
          <w:lang w:val="es-ES_tradnl"/>
        </w:rPr>
        <w:t>garant</w:t>
      </w:r>
      <w:r>
        <w:rPr>
          <w:rFonts w:cs="Times New Roman"/>
          <w:spacing w:val="-9"/>
          <w:sz w:val="18"/>
          <w:szCs w:val="18"/>
          <w:lang w:val="es-ES_tradnl"/>
        </w:rPr>
        <w:t>í</w:t>
      </w:r>
      <w:r>
        <w:rPr>
          <w:spacing w:val="-9"/>
          <w:sz w:val="18"/>
          <w:szCs w:val="18"/>
          <w:lang w:val="es-ES_tradnl"/>
        </w:rPr>
        <w:t xml:space="preserve">as que contiene este derecho, se encuentra el de la </w:t>
      </w:r>
      <w:r>
        <w:rPr>
          <w:spacing w:val="-8"/>
          <w:sz w:val="18"/>
          <w:szCs w:val="18"/>
          <w:lang w:val="es-ES_tradnl"/>
        </w:rPr>
        <w:t>defensa, a trav</w:t>
      </w:r>
      <w:r>
        <w:rPr>
          <w:rFonts w:cs="Times New Roman"/>
          <w:spacing w:val="-8"/>
          <w:sz w:val="18"/>
          <w:szCs w:val="18"/>
          <w:lang w:val="es-ES_tradnl"/>
        </w:rPr>
        <w:t>é</w:t>
      </w:r>
      <w:r>
        <w:rPr>
          <w:spacing w:val="-8"/>
          <w:sz w:val="18"/>
          <w:szCs w:val="18"/>
          <w:lang w:val="es-ES_tradnl"/>
        </w:rPr>
        <w:t xml:space="preserve">s del cual toda persona puede acudir a los </w:t>
      </w:r>
      <w:r>
        <w:rPr>
          <w:rFonts w:cs="Times New Roman"/>
          <w:spacing w:val="-8"/>
          <w:sz w:val="18"/>
          <w:szCs w:val="18"/>
          <w:lang w:val="es-ES_tradnl"/>
        </w:rPr>
        <w:t>ó</w:t>
      </w:r>
      <w:r>
        <w:rPr>
          <w:spacing w:val="-8"/>
          <w:sz w:val="18"/>
          <w:szCs w:val="18"/>
          <w:lang w:val="es-ES_tradnl"/>
        </w:rPr>
        <w:t xml:space="preserve">rganos de justicia a fin de debatir, contradecir y presentar </w:t>
      </w:r>
      <w:r>
        <w:rPr>
          <w:spacing w:val="-9"/>
          <w:sz w:val="18"/>
          <w:szCs w:val="18"/>
          <w:lang w:val="es-ES_tradnl"/>
        </w:rPr>
        <w:t>las pruebas pertinentes para su defensa, as</w:t>
      </w:r>
      <w:r>
        <w:rPr>
          <w:rFonts w:cs="Times New Roman"/>
          <w:spacing w:val="-9"/>
          <w:sz w:val="18"/>
          <w:szCs w:val="18"/>
          <w:lang w:val="es-ES_tradnl"/>
        </w:rPr>
        <w:t>í</w:t>
      </w:r>
      <w:r>
        <w:rPr>
          <w:spacing w:val="-9"/>
          <w:sz w:val="18"/>
          <w:szCs w:val="18"/>
          <w:lang w:val="es-ES_tradnl"/>
        </w:rPr>
        <w:t xml:space="preserve"> como tambi</w:t>
      </w:r>
      <w:r>
        <w:rPr>
          <w:rFonts w:cs="Times New Roman"/>
          <w:spacing w:val="-9"/>
          <w:sz w:val="18"/>
          <w:szCs w:val="18"/>
          <w:lang w:val="es-ES_tradnl"/>
        </w:rPr>
        <w:t>é</w:t>
      </w:r>
      <w:r>
        <w:rPr>
          <w:spacing w:val="-9"/>
          <w:sz w:val="18"/>
          <w:szCs w:val="18"/>
          <w:lang w:val="es-ES_tradnl"/>
        </w:rPr>
        <w:t>n</w:t>
      </w:r>
    </w:p>
    <w:p w14:paraId="4F67B45A" w14:textId="77777777" w:rsidR="00591D54" w:rsidRDefault="00591D54">
      <w:pPr>
        <w:shd w:val="clear" w:color="auto" w:fill="FFFFFF"/>
        <w:spacing w:before="528" w:line="178" w:lineRule="exact"/>
        <w:ind w:left="139" w:hanging="139"/>
      </w:pPr>
      <w:r>
        <w:rPr>
          <w:sz w:val="14"/>
          <w:szCs w:val="14"/>
          <w:vertAlign w:val="superscript"/>
          <w:lang w:val="es-ES_tradnl"/>
        </w:rPr>
        <w:t>1</w:t>
      </w:r>
      <w:r>
        <w:rPr>
          <w:sz w:val="14"/>
          <w:szCs w:val="14"/>
          <w:lang w:val="es-ES_tradnl"/>
        </w:rPr>
        <w:t xml:space="preserve">  Corte Constitucional del Ecuador, Sentencia N.</w:t>
      </w:r>
      <w:r>
        <w:rPr>
          <w:rFonts w:cs="Times New Roman"/>
          <w:sz w:val="14"/>
          <w:szCs w:val="14"/>
          <w:lang w:val="es-ES_tradnl"/>
        </w:rPr>
        <w:t>º</w:t>
      </w:r>
      <w:r>
        <w:rPr>
          <w:sz w:val="14"/>
          <w:szCs w:val="14"/>
          <w:lang w:val="es-ES_tradnl"/>
        </w:rPr>
        <w:t xml:space="preserve"> 138-14-SEP-CC, dentro del caso N.</w:t>
      </w:r>
      <w:r>
        <w:rPr>
          <w:rFonts w:cs="Times New Roman"/>
          <w:sz w:val="14"/>
          <w:szCs w:val="14"/>
          <w:lang w:val="es-ES_tradnl"/>
        </w:rPr>
        <w:t>º</w:t>
      </w:r>
      <w:r>
        <w:rPr>
          <w:sz w:val="14"/>
          <w:szCs w:val="14"/>
          <w:lang w:val="es-ES_tradnl"/>
        </w:rPr>
        <w:t xml:space="preserve"> 0599-13-EP, pp. 5-6</w:t>
      </w:r>
    </w:p>
    <w:p w14:paraId="4F67B45B" w14:textId="77777777" w:rsidR="00591D54" w:rsidRDefault="00591D54">
      <w:pPr>
        <w:shd w:val="clear" w:color="auto" w:fill="FFFFFF"/>
        <w:spacing w:before="5" w:line="216" w:lineRule="exact"/>
        <w:jc w:val="both"/>
      </w:pPr>
      <w:r>
        <w:br w:type="column"/>
      </w:r>
      <w:r>
        <w:rPr>
          <w:spacing w:val="-10"/>
          <w:sz w:val="18"/>
          <w:szCs w:val="18"/>
          <w:lang w:val="es-ES_tradnl"/>
        </w:rPr>
        <w:t>que se d</w:t>
      </w:r>
      <w:r>
        <w:rPr>
          <w:rFonts w:cs="Times New Roman"/>
          <w:spacing w:val="-10"/>
          <w:sz w:val="18"/>
          <w:szCs w:val="18"/>
          <w:lang w:val="es-ES_tradnl"/>
        </w:rPr>
        <w:t>é</w:t>
      </w:r>
      <w:r>
        <w:rPr>
          <w:spacing w:val="-10"/>
          <w:sz w:val="18"/>
          <w:szCs w:val="18"/>
          <w:lang w:val="es-ES_tradnl"/>
        </w:rPr>
        <w:t xml:space="preserve"> una recta administraci</w:t>
      </w:r>
      <w:r>
        <w:rPr>
          <w:rFonts w:cs="Times New Roman"/>
          <w:spacing w:val="-10"/>
          <w:sz w:val="18"/>
          <w:szCs w:val="18"/>
          <w:lang w:val="es-ES_tradnl"/>
        </w:rPr>
        <w:t>ó</w:t>
      </w:r>
      <w:r>
        <w:rPr>
          <w:spacing w:val="-10"/>
          <w:sz w:val="18"/>
          <w:szCs w:val="18"/>
          <w:lang w:val="es-ES_tradnl"/>
        </w:rPr>
        <w:t>n de justicia. Es as</w:t>
      </w:r>
      <w:r>
        <w:rPr>
          <w:rFonts w:cs="Times New Roman"/>
          <w:spacing w:val="-10"/>
          <w:sz w:val="18"/>
          <w:szCs w:val="18"/>
          <w:lang w:val="es-ES_tradnl"/>
        </w:rPr>
        <w:t>í</w:t>
      </w:r>
      <w:r>
        <w:rPr>
          <w:spacing w:val="-10"/>
          <w:sz w:val="18"/>
          <w:szCs w:val="18"/>
          <w:lang w:val="es-ES_tradnl"/>
        </w:rPr>
        <w:t xml:space="preserve">, que la </w:t>
      </w:r>
      <w:r>
        <w:rPr>
          <w:spacing w:val="-8"/>
          <w:sz w:val="18"/>
          <w:szCs w:val="18"/>
          <w:lang w:val="es-ES_tradnl"/>
        </w:rPr>
        <w:t>Constituci</w:t>
      </w:r>
      <w:r>
        <w:rPr>
          <w:rFonts w:cs="Times New Roman"/>
          <w:spacing w:val="-8"/>
          <w:sz w:val="18"/>
          <w:szCs w:val="18"/>
          <w:lang w:val="es-ES_tradnl"/>
        </w:rPr>
        <w:t>ó</w:t>
      </w:r>
      <w:r>
        <w:rPr>
          <w:spacing w:val="-8"/>
          <w:sz w:val="18"/>
          <w:szCs w:val="18"/>
          <w:lang w:val="es-ES_tradnl"/>
        </w:rPr>
        <w:t>n de la Rep</w:t>
      </w:r>
      <w:r>
        <w:rPr>
          <w:rFonts w:cs="Times New Roman"/>
          <w:spacing w:val="-8"/>
          <w:sz w:val="18"/>
          <w:szCs w:val="18"/>
          <w:lang w:val="es-ES_tradnl"/>
        </w:rPr>
        <w:t>ú</w:t>
      </w:r>
      <w:r>
        <w:rPr>
          <w:spacing w:val="-8"/>
          <w:sz w:val="18"/>
          <w:szCs w:val="18"/>
          <w:lang w:val="es-ES_tradnl"/>
        </w:rPr>
        <w:t xml:space="preserve">blica ha previsto como parte de las </w:t>
      </w:r>
      <w:r>
        <w:rPr>
          <w:spacing w:val="-9"/>
          <w:sz w:val="18"/>
          <w:szCs w:val="18"/>
          <w:lang w:val="es-ES_tradnl"/>
        </w:rPr>
        <w:t>garant</w:t>
      </w:r>
      <w:r>
        <w:rPr>
          <w:rFonts w:cs="Times New Roman"/>
          <w:spacing w:val="-9"/>
          <w:sz w:val="18"/>
          <w:szCs w:val="18"/>
          <w:lang w:val="es-ES_tradnl"/>
        </w:rPr>
        <w:t>í</w:t>
      </w:r>
      <w:r>
        <w:rPr>
          <w:spacing w:val="-9"/>
          <w:sz w:val="18"/>
          <w:szCs w:val="18"/>
          <w:lang w:val="es-ES_tradnl"/>
        </w:rPr>
        <w:t>as del derecho a la defensa en el art</w:t>
      </w:r>
      <w:r>
        <w:rPr>
          <w:rFonts w:cs="Times New Roman"/>
          <w:spacing w:val="-9"/>
          <w:sz w:val="18"/>
          <w:szCs w:val="18"/>
          <w:lang w:val="es-ES_tradnl"/>
        </w:rPr>
        <w:t>í</w:t>
      </w:r>
      <w:r>
        <w:rPr>
          <w:spacing w:val="-9"/>
          <w:sz w:val="18"/>
          <w:szCs w:val="18"/>
          <w:lang w:val="es-ES_tradnl"/>
        </w:rPr>
        <w:t xml:space="preserve">culo 76 numeral </w:t>
      </w:r>
      <w:r>
        <w:rPr>
          <w:spacing w:val="-6"/>
          <w:sz w:val="18"/>
          <w:szCs w:val="18"/>
          <w:lang w:val="es-ES_tradnl"/>
        </w:rPr>
        <w:t xml:space="preserve">7 literal </w:t>
      </w:r>
      <w:r>
        <w:rPr>
          <w:b/>
          <w:bCs/>
          <w:spacing w:val="-6"/>
          <w:sz w:val="18"/>
          <w:szCs w:val="18"/>
          <w:lang w:val="es-ES_tradnl"/>
        </w:rPr>
        <w:t>l</w:t>
      </w:r>
      <w:r>
        <w:rPr>
          <w:spacing w:val="-6"/>
          <w:sz w:val="18"/>
          <w:szCs w:val="18"/>
          <w:lang w:val="es-ES_tradnl"/>
        </w:rPr>
        <w:t>, la garant</w:t>
      </w:r>
      <w:r>
        <w:rPr>
          <w:rFonts w:cs="Times New Roman"/>
          <w:spacing w:val="-6"/>
          <w:sz w:val="18"/>
          <w:szCs w:val="18"/>
          <w:lang w:val="es-ES_tradnl"/>
        </w:rPr>
        <w:t>í</w:t>
      </w:r>
      <w:r>
        <w:rPr>
          <w:spacing w:val="-6"/>
          <w:sz w:val="18"/>
          <w:szCs w:val="18"/>
          <w:lang w:val="es-ES_tradnl"/>
        </w:rPr>
        <w:t>a de la motivaci</w:t>
      </w:r>
      <w:r>
        <w:rPr>
          <w:rFonts w:cs="Times New Roman"/>
          <w:spacing w:val="-6"/>
          <w:sz w:val="18"/>
          <w:szCs w:val="18"/>
          <w:lang w:val="es-ES_tradnl"/>
        </w:rPr>
        <w:t>ó</w:t>
      </w:r>
      <w:r>
        <w:rPr>
          <w:spacing w:val="-6"/>
          <w:sz w:val="18"/>
          <w:szCs w:val="18"/>
          <w:lang w:val="es-ES_tradnl"/>
        </w:rPr>
        <w:t>n que determina:</w:t>
      </w:r>
    </w:p>
    <w:p w14:paraId="4F67B45C" w14:textId="77777777" w:rsidR="00591D54" w:rsidRDefault="00591D54">
      <w:pPr>
        <w:shd w:val="clear" w:color="auto" w:fill="FFFFFF"/>
        <w:spacing w:before="202" w:line="216" w:lineRule="exact"/>
        <w:ind w:left="283"/>
        <w:jc w:val="both"/>
      </w:pPr>
      <w:r>
        <w:rPr>
          <w:sz w:val="14"/>
          <w:szCs w:val="14"/>
          <w:lang w:val="es-ES_tradnl"/>
        </w:rPr>
        <w:t>Las resoluciones de los poderes p</w:t>
      </w:r>
      <w:r>
        <w:rPr>
          <w:rFonts w:cs="Times New Roman"/>
          <w:sz w:val="14"/>
          <w:szCs w:val="14"/>
          <w:lang w:val="es-ES_tradnl"/>
        </w:rPr>
        <w:t>ú</w:t>
      </w:r>
      <w:r>
        <w:rPr>
          <w:sz w:val="14"/>
          <w:szCs w:val="14"/>
          <w:lang w:val="es-ES_tradnl"/>
        </w:rPr>
        <w:t>blicos deber</w:t>
      </w:r>
      <w:r>
        <w:rPr>
          <w:rFonts w:cs="Times New Roman"/>
          <w:sz w:val="14"/>
          <w:szCs w:val="14"/>
          <w:lang w:val="es-ES_tradnl"/>
        </w:rPr>
        <w:t>á</w:t>
      </w:r>
      <w:r>
        <w:rPr>
          <w:sz w:val="14"/>
          <w:szCs w:val="14"/>
          <w:lang w:val="es-ES_tradnl"/>
        </w:rPr>
        <w:t>n ser motivadas. No habr</w:t>
      </w:r>
      <w:r>
        <w:rPr>
          <w:rFonts w:cs="Times New Roman"/>
          <w:sz w:val="14"/>
          <w:szCs w:val="14"/>
          <w:lang w:val="es-ES_tradnl"/>
        </w:rPr>
        <w:t>á</w:t>
      </w:r>
      <w:r>
        <w:rPr>
          <w:sz w:val="14"/>
          <w:szCs w:val="14"/>
          <w:lang w:val="es-ES_tradnl"/>
        </w:rPr>
        <w:t xml:space="preserve"> motivaci</w:t>
      </w:r>
      <w:r>
        <w:rPr>
          <w:rFonts w:cs="Times New Roman"/>
          <w:sz w:val="14"/>
          <w:szCs w:val="14"/>
          <w:lang w:val="es-ES_tradnl"/>
        </w:rPr>
        <w:t>ó</w:t>
      </w:r>
      <w:r>
        <w:rPr>
          <w:sz w:val="14"/>
          <w:szCs w:val="14"/>
          <w:lang w:val="es-ES_tradnl"/>
        </w:rPr>
        <w:t>n si en la resoluci</w:t>
      </w:r>
      <w:r>
        <w:rPr>
          <w:rFonts w:cs="Times New Roman"/>
          <w:sz w:val="14"/>
          <w:szCs w:val="14"/>
          <w:lang w:val="es-ES_tradnl"/>
        </w:rPr>
        <w:t>ó</w:t>
      </w:r>
      <w:r>
        <w:rPr>
          <w:sz w:val="14"/>
          <w:szCs w:val="14"/>
          <w:lang w:val="es-ES_tradnl"/>
        </w:rPr>
        <w:t>n no se enuncian las normas o principios jur</w:t>
      </w:r>
      <w:r>
        <w:rPr>
          <w:rFonts w:cs="Times New Roman"/>
          <w:sz w:val="14"/>
          <w:szCs w:val="14"/>
          <w:lang w:val="es-ES_tradnl"/>
        </w:rPr>
        <w:t>í</w:t>
      </w:r>
      <w:r>
        <w:rPr>
          <w:sz w:val="14"/>
          <w:szCs w:val="14"/>
          <w:lang w:val="es-ES_tradnl"/>
        </w:rPr>
        <w:t>dicos en que se funda y no se explica la pertinencia de su aplicaci</w:t>
      </w:r>
      <w:r>
        <w:rPr>
          <w:rFonts w:cs="Times New Roman"/>
          <w:sz w:val="14"/>
          <w:szCs w:val="14"/>
          <w:lang w:val="es-ES_tradnl"/>
        </w:rPr>
        <w:t>ó</w:t>
      </w:r>
      <w:r>
        <w:rPr>
          <w:sz w:val="14"/>
          <w:szCs w:val="14"/>
          <w:lang w:val="es-ES_tradnl"/>
        </w:rPr>
        <w:t>n a los antecedentes de hecho. Los actos administrativos, resoluciones o fallos que no se encuentren debidamente motivados se considerar</w:t>
      </w:r>
      <w:r>
        <w:rPr>
          <w:rFonts w:cs="Times New Roman"/>
          <w:sz w:val="14"/>
          <w:szCs w:val="14"/>
          <w:lang w:val="es-ES_tradnl"/>
        </w:rPr>
        <w:t>á</w:t>
      </w:r>
      <w:r>
        <w:rPr>
          <w:sz w:val="14"/>
          <w:szCs w:val="14"/>
          <w:lang w:val="es-ES_tradnl"/>
        </w:rPr>
        <w:t>n nulos. Las servidoras o servidores responsables ser</w:t>
      </w:r>
      <w:r>
        <w:rPr>
          <w:rFonts w:cs="Times New Roman"/>
          <w:sz w:val="14"/>
          <w:szCs w:val="14"/>
          <w:lang w:val="es-ES_tradnl"/>
        </w:rPr>
        <w:t>á</w:t>
      </w:r>
      <w:r>
        <w:rPr>
          <w:sz w:val="14"/>
          <w:szCs w:val="14"/>
          <w:lang w:val="es-ES_tradnl"/>
        </w:rPr>
        <w:t>n sancionados.</w:t>
      </w:r>
    </w:p>
    <w:p w14:paraId="4F67B45D" w14:textId="77777777" w:rsidR="00591D54" w:rsidRDefault="00591D54">
      <w:pPr>
        <w:shd w:val="clear" w:color="auto" w:fill="FFFFFF"/>
        <w:spacing w:before="202" w:line="216" w:lineRule="exact"/>
        <w:jc w:val="both"/>
      </w:pPr>
      <w:r>
        <w:rPr>
          <w:spacing w:val="-8"/>
          <w:sz w:val="18"/>
          <w:szCs w:val="18"/>
          <w:lang w:val="es-ES_tradnl"/>
        </w:rPr>
        <w:t>De all</w:t>
      </w:r>
      <w:r>
        <w:rPr>
          <w:rFonts w:cs="Times New Roman"/>
          <w:spacing w:val="-8"/>
          <w:sz w:val="18"/>
          <w:szCs w:val="18"/>
          <w:lang w:val="es-ES_tradnl"/>
        </w:rPr>
        <w:t>í</w:t>
      </w:r>
      <w:r>
        <w:rPr>
          <w:spacing w:val="-8"/>
          <w:sz w:val="18"/>
          <w:szCs w:val="18"/>
          <w:lang w:val="es-ES_tradnl"/>
        </w:rPr>
        <w:t xml:space="preserve"> que, es deber sustancial de los operadores jur</w:t>
      </w:r>
      <w:r>
        <w:rPr>
          <w:rFonts w:cs="Times New Roman"/>
          <w:spacing w:val="-8"/>
          <w:sz w:val="18"/>
          <w:szCs w:val="18"/>
          <w:lang w:val="es-ES_tradnl"/>
        </w:rPr>
        <w:t>í</w:t>
      </w:r>
      <w:r>
        <w:rPr>
          <w:spacing w:val="-8"/>
          <w:sz w:val="18"/>
          <w:szCs w:val="18"/>
          <w:lang w:val="es-ES_tradnl"/>
        </w:rPr>
        <w:t>dicos motivar debidamente sus resoluciones a fin de dotarlas de legitimidad, para que las personas puedan conocer cu</w:t>
      </w:r>
      <w:r>
        <w:rPr>
          <w:rFonts w:cs="Times New Roman"/>
          <w:spacing w:val="-8"/>
          <w:sz w:val="18"/>
          <w:szCs w:val="18"/>
          <w:lang w:val="es-ES_tradnl"/>
        </w:rPr>
        <w:t>á</w:t>
      </w:r>
      <w:r>
        <w:rPr>
          <w:spacing w:val="-8"/>
          <w:sz w:val="18"/>
          <w:szCs w:val="18"/>
          <w:lang w:val="es-ES_tradnl"/>
        </w:rPr>
        <w:t xml:space="preserve">les </w:t>
      </w:r>
      <w:r>
        <w:rPr>
          <w:spacing w:val="-7"/>
          <w:sz w:val="18"/>
          <w:szCs w:val="18"/>
          <w:lang w:val="es-ES_tradnl"/>
        </w:rPr>
        <w:t xml:space="preserve">fueron los argumentos que llevaron al juez a tomar una </w:t>
      </w:r>
      <w:r>
        <w:rPr>
          <w:spacing w:val="-10"/>
          <w:sz w:val="18"/>
          <w:szCs w:val="18"/>
          <w:lang w:val="es-ES_tradnl"/>
        </w:rPr>
        <w:t>decisi</w:t>
      </w:r>
      <w:r>
        <w:rPr>
          <w:rFonts w:cs="Times New Roman"/>
          <w:spacing w:val="-10"/>
          <w:sz w:val="18"/>
          <w:szCs w:val="18"/>
          <w:lang w:val="es-ES_tradnl"/>
        </w:rPr>
        <w:t>ó</w:t>
      </w:r>
      <w:r>
        <w:rPr>
          <w:spacing w:val="-10"/>
          <w:sz w:val="18"/>
          <w:szCs w:val="18"/>
          <w:lang w:val="es-ES_tradnl"/>
        </w:rPr>
        <w:t xml:space="preserve">n determinada en el caso puesto en su conocimiento. </w:t>
      </w:r>
      <w:r>
        <w:rPr>
          <w:spacing w:val="-6"/>
          <w:sz w:val="18"/>
          <w:szCs w:val="18"/>
          <w:lang w:val="es-ES_tradnl"/>
        </w:rPr>
        <w:t>As</w:t>
      </w:r>
      <w:r>
        <w:rPr>
          <w:rFonts w:cs="Times New Roman"/>
          <w:spacing w:val="-6"/>
          <w:sz w:val="18"/>
          <w:szCs w:val="18"/>
          <w:lang w:val="es-ES_tradnl"/>
        </w:rPr>
        <w:t>í</w:t>
      </w:r>
      <w:r>
        <w:rPr>
          <w:spacing w:val="-6"/>
          <w:sz w:val="18"/>
          <w:szCs w:val="18"/>
          <w:lang w:val="es-ES_tradnl"/>
        </w:rPr>
        <w:t xml:space="preserve"> que toda resoluci</w:t>
      </w:r>
      <w:r>
        <w:rPr>
          <w:rFonts w:cs="Times New Roman"/>
          <w:spacing w:val="-6"/>
          <w:sz w:val="18"/>
          <w:szCs w:val="18"/>
          <w:lang w:val="es-ES_tradnl"/>
        </w:rPr>
        <w:t>ó</w:t>
      </w:r>
      <w:r>
        <w:rPr>
          <w:spacing w:val="-6"/>
          <w:sz w:val="18"/>
          <w:szCs w:val="18"/>
          <w:lang w:val="es-ES_tradnl"/>
        </w:rPr>
        <w:t>n carente de motivaci</w:t>
      </w:r>
      <w:r>
        <w:rPr>
          <w:rFonts w:cs="Times New Roman"/>
          <w:spacing w:val="-6"/>
          <w:sz w:val="18"/>
          <w:szCs w:val="18"/>
          <w:lang w:val="es-ES_tradnl"/>
        </w:rPr>
        <w:t>ó</w:t>
      </w:r>
      <w:r>
        <w:rPr>
          <w:spacing w:val="-6"/>
          <w:sz w:val="18"/>
          <w:szCs w:val="18"/>
          <w:lang w:val="es-ES_tradnl"/>
        </w:rPr>
        <w:t>n, ser</w:t>
      </w:r>
      <w:r>
        <w:rPr>
          <w:rFonts w:cs="Times New Roman"/>
          <w:spacing w:val="-6"/>
          <w:sz w:val="18"/>
          <w:szCs w:val="18"/>
          <w:lang w:val="es-ES_tradnl"/>
        </w:rPr>
        <w:t>í</w:t>
      </w:r>
      <w:r>
        <w:rPr>
          <w:spacing w:val="-6"/>
          <w:sz w:val="18"/>
          <w:szCs w:val="18"/>
          <w:lang w:val="es-ES_tradnl"/>
        </w:rPr>
        <w:t xml:space="preserve">a una </w:t>
      </w:r>
      <w:r>
        <w:rPr>
          <w:spacing w:val="-7"/>
          <w:sz w:val="18"/>
          <w:szCs w:val="18"/>
          <w:lang w:val="es-ES_tradnl"/>
        </w:rPr>
        <w:t>decisi</w:t>
      </w:r>
      <w:r>
        <w:rPr>
          <w:rFonts w:cs="Times New Roman"/>
          <w:spacing w:val="-7"/>
          <w:sz w:val="18"/>
          <w:szCs w:val="18"/>
          <w:lang w:val="es-ES_tradnl"/>
        </w:rPr>
        <w:t>ó</w:t>
      </w:r>
      <w:r>
        <w:rPr>
          <w:spacing w:val="-7"/>
          <w:sz w:val="18"/>
          <w:szCs w:val="18"/>
          <w:lang w:val="es-ES_tradnl"/>
        </w:rPr>
        <w:t>n arbitraria y la misma se considerar</w:t>
      </w:r>
      <w:r>
        <w:rPr>
          <w:rFonts w:cs="Times New Roman"/>
          <w:spacing w:val="-7"/>
          <w:sz w:val="18"/>
          <w:szCs w:val="18"/>
          <w:lang w:val="es-ES_tradnl"/>
        </w:rPr>
        <w:t>á</w:t>
      </w:r>
      <w:r>
        <w:rPr>
          <w:spacing w:val="-7"/>
          <w:sz w:val="18"/>
          <w:szCs w:val="18"/>
          <w:lang w:val="es-ES_tradnl"/>
        </w:rPr>
        <w:t xml:space="preserve"> nula.</w:t>
      </w:r>
    </w:p>
    <w:p w14:paraId="4F67B45E" w14:textId="77777777" w:rsidR="00591D54" w:rsidRDefault="00591D54">
      <w:pPr>
        <w:shd w:val="clear" w:color="auto" w:fill="FFFFFF"/>
        <w:spacing w:before="192" w:line="211" w:lineRule="exact"/>
        <w:jc w:val="both"/>
      </w:pPr>
      <w:r>
        <w:rPr>
          <w:spacing w:val="-4"/>
          <w:sz w:val="18"/>
          <w:szCs w:val="18"/>
          <w:lang w:val="es-ES_tradnl"/>
        </w:rPr>
        <w:t xml:space="preserve">Por otra parte, la Corte Interamericana de Derechos </w:t>
      </w:r>
      <w:r>
        <w:rPr>
          <w:spacing w:val="-6"/>
          <w:sz w:val="18"/>
          <w:szCs w:val="18"/>
          <w:lang w:val="es-ES_tradnl"/>
        </w:rPr>
        <w:t>Humanos respecto de la motivaci</w:t>
      </w:r>
      <w:r>
        <w:rPr>
          <w:rFonts w:cs="Times New Roman"/>
          <w:spacing w:val="-6"/>
          <w:sz w:val="18"/>
          <w:szCs w:val="18"/>
          <w:lang w:val="es-ES_tradnl"/>
        </w:rPr>
        <w:t>ó</w:t>
      </w:r>
      <w:r>
        <w:rPr>
          <w:spacing w:val="-6"/>
          <w:sz w:val="18"/>
          <w:szCs w:val="18"/>
          <w:lang w:val="es-ES_tradnl"/>
        </w:rPr>
        <w:t>n ha se</w:t>
      </w:r>
      <w:r>
        <w:rPr>
          <w:rFonts w:cs="Times New Roman"/>
          <w:spacing w:val="-6"/>
          <w:sz w:val="18"/>
          <w:szCs w:val="18"/>
          <w:lang w:val="es-ES_tradnl"/>
        </w:rPr>
        <w:t>ñ</w:t>
      </w:r>
      <w:r>
        <w:rPr>
          <w:spacing w:val="-6"/>
          <w:sz w:val="18"/>
          <w:szCs w:val="18"/>
          <w:lang w:val="es-ES_tradnl"/>
        </w:rPr>
        <w:t xml:space="preserve">alado que </w:t>
      </w:r>
      <w:r>
        <w:rPr>
          <w:rFonts w:cs="Times New Roman"/>
          <w:spacing w:val="-6"/>
          <w:sz w:val="18"/>
          <w:szCs w:val="18"/>
          <w:lang w:val="es-ES_tradnl"/>
        </w:rPr>
        <w:t>“</w:t>
      </w:r>
      <w:r>
        <w:rPr>
          <w:spacing w:val="-6"/>
          <w:sz w:val="18"/>
          <w:szCs w:val="18"/>
          <w:lang w:val="es-ES_tradnl"/>
        </w:rPr>
        <w:t>es la exteriorizaci</w:t>
      </w:r>
      <w:r>
        <w:rPr>
          <w:rFonts w:cs="Times New Roman"/>
          <w:spacing w:val="-6"/>
          <w:sz w:val="18"/>
          <w:szCs w:val="18"/>
          <w:lang w:val="es-ES_tradnl"/>
        </w:rPr>
        <w:t>ó</w:t>
      </w:r>
      <w:r>
        <w:rPr>
          <w:spacing w:val="-6"/>
          <w:sz w:val="18"/>
          <w:szCs w:val="18"/>
          <w:lang w:val="es-ES_tradnl"/>
        </w:rPr>
        <w:t>n de la justificaci</w:t>
      </w:r>
      <w:r>
        <w:rPr>
          <w:rFonts w:cs="Times New Roman"/>
          <w:spacing w:val="-6"/>
          <w:sz w:val="18"/>
          <w:szCs w:val="18"/>
          <w:lang w:val="es-ES_tradnl"/>
        </w:rPr>
        <w:t>ó</w:t>
      </w:r>
      <w:r>
        <w:rPr>
          <w:spacing w:val="-6"/>
          <w:sz w:val="18"/>
          <w:szCs w:val="18"/>
          <w:lang w:val="es-ES_tradnl"/>
        </w:rPr>
        <w:t xml:space="preserve">n razonada que permite </w:t>
      </w:r>
      <w:r>
        <w:rPr>
          <w:spacing w:val="-2"/>
          <w:sz w:val="18"/>
          <w:szCs w:val="18"/>
          <w:lang w:val="es-ES_tradnl"/>
        </w:rPr>
        <w:t>llegar a una conclusi</w:t>
      </w:r>
      <w:r>
        <w:rPr>
          <w:rFonts w:cs="Times New Roman"/>
          <w:spacing w:val="-2"/>
          <w:sz w:val="18"/>
          <w:szCs w:val="18"/>
          <w:lang w:val="es-ES_tradnl"/>
        </w:rPr>
        <w:t>ó</w:t>
      </w:r>
      <w:r>
        <w:rPr>
          <w:spacing w:val="-2"/>
          <w:sz w:val="18"/>
          <w:szCs w:val="18"/>
          <w:lang w:val="es-ES_tradnl"/>
        </w:rPr>
        <w:t>n</w:t>
      </w:r>
      <w:r>
        <w:rPr>
          <w:rFonts w:cs="Times New Roman"/>
          <w:spacing w:val="-2"/>
          <w:sz w:val="18"/>
          <w:szCs w:val="18"/>
          <w:lang w:val="es-ES_tradnl"/>
        </w:rPr>
        <w:t>”</w:t>
      </w:r>
      <w:r>
        <w:rPr>
          <w:spacing w:val="-2"/>
          <w:sz w:val="18"/>
          <w:szCs w:val="18"/>
          <w:vertAlign w:val="superscript"/>
          <w:lang w:val="es-ES_tradnl"/>
        </w:rPr>
        <w:t>2</w:t>
      </w:r>
      <w:r>
        <w:rPr>
          <w:spacing w:val="-2"/>
          <w:sz w:val="18"/>
          <w:szCs w:val="18"/>
          <w:lang w:val="es-ES_tradnl"/>
        </w:rPr>
        <w:t xml:space="preserve">. Asimismo, la Corte Europea </w:t>
      </w:r>
      <w:r>
        <w:rPr>
          <w:spacing w:val="-7"/>
          <w:sz w:val="18"/>
          <w:szCs w:val="18"/>
          <w:lang w:val="es-ES_tradnl"/>
        </w:rPr>
        <w:t>ha manifestado por su parte que el deber de motivar las resoluciones es una garant</w:t>
      </w:r>
      <w:r>
        <w:rPr>
          <w:rFonts w:cs="Times New Roman"/>
          <w:spacing w:val="-7"/>
          <w:sz w:val="18"/>
          <w:szCs w:val="18"/>
          <w:lang w:val="es-ES_tradnl"/>
        </w:rPr>
        <w:t>í</w:t>
      </w:r>
      <w:r>
        <w:rPr>
          <w:spacing w:val="-7"/>
          <w:sz w:val="18"/>
          <w:szCs w:val="18"/>
          <w:lang w:val="es-ES_tradnl"/>
        </w:rPr>
        <w:t xml:space="preserve">a vinculada con la correcta </w:t>
      </w:r>
      <w:r>
        <w:rPr>
          <w:spacing w:val="-1"/>
          <w:sz w:val="18"/>
          <w:szCs w:val="18"/>
          <w:lang w:val="es-ES_tradnl"/>
        </w:rPr>
        <w:t>administraci</w:t>
      </w:r>
      <w:r>
        <w:rPr>
          <w:rFonts w:cs="Times New Roman"/>
          <w:spacing w:val="-1"/>
          <w:sz w:val="18"/>
          <w:szCs w:val="18"/>
          <w:lang w:val="es-ES_tradnl"/>
        </w:rPr>
        <w:t>ó</w:t>
      </w:r>
      <w:r>
        <w:rPr>
          <w:spacing w:val="-1"/>
          <w:sz w:val="18"/>
          <w:szCs w:val="18"/>
          <w:lang w:val="es-ES_tradnl"/>
        </w:rPr>
        <w:t xml:space="preserve">n de justicia, pues </w:t>
      </w:r>
      <w:r>
        <w:rPr>
          <w:rFonts w:cs="Times New Roman"/>
          <w:spacing w:val="-1"/>
          <w:sz w:val="18"/>
          <w:szCs w:val="18"/>
          <w:lang w:val="es-ES_tradnl"/>
        </w:rPr>
        <w:t>“</w:t>
      </w:r>
      <w:r>
        <w:rPr>
          <w:spacing w:val="-1"/>
          <w:sz w:val="18"/>
          <w:szCs w:val="18"/>
          <w:lang w:val="es-ES_tradnl"/>
        </w:rPr>
        <w:t xml:space="preserve">las decisiones que </w:t>
      </w:r>
      <w:r>
        <w:rPr>
          <w:spacing w:val="-9"/>
          <w:sz w:val="18"/>
          <w:szCs w:val="18"/>
          <w:lang w:val="es-ES_tradnl"/>
        </w:rPr>
        <w:t xml:space="preserve">adopten los </w:t>
      </w:r>
      <w:r>
        <w:rPr>
          <w:rFonts w:cs="Times New Roman"/>
          <w:spacing w:val="-9"/>
          <w:sz w:val="18"/>
          <w:szCs w:val="18"/>
          <w:lang w:val="es-ES_tradnl"/>
        </w:rPr>
        <w:t>ó</w:t>
      </w:r>
      <w:r>
        <w:rPr>
          <w:spacing w:val="-9"/>
          <w:sz w:val="18"/>
          <w:szCs w:val="18"/>
          <w:lang w:val="es-ES_tradnl"/>
        </w:rPr>
        <w:t xml:space="preserve">rganos internos que puedan afectar derechos </w:t>
      </w:r>
      <w:r>
        <w:rPr>
          <w:spacing w:val="-11"/>
          <w:sz w:val="18"/>
          <w:szCs w:val="18"/>
          <w:lang w:val="es-ES_tradnl"/>
        </w:rPr>
        <w:t xml:space="preserve">humanos deben estar debidamente fundamentadas, pues de </w:t>
      </w:r>
      <w:r>
        <w:rPr>
          <w:spacing w:val="-7"/>
          <w:sz w:val="18"/>
          <w:szCs w:val="18"/>
          <w:lang w:val="es-ES_tradnl"/>
        </w:rPr>
        <w:t>lo contrario ser</w:t>
      </w:r>
      <w:r>
        <w:rPr>
          <w:rFonts w:cs="Times New Roman"/>
          <w:spacing w:val="-7"/>
          <w:sz w:val="18"/>
          <w:szCs w:val="18"/>
          <w:lang w:val="es-ES_tradnl"/>
        </w:rPr>
        <w:t>í</w:t>
      </w:r>
      <w:r>
        <w:rPr>
          <w:spacing w:val="-7"/>
          <w:sz w:val="18"/>
          <w:szCs w:val="18"/>
          <w:lang w:val="es-ES_tradnl"/>
        </w:rPr>
        <w:t>an decisiones arbitrarias</w:t>
      </w:r>
      <w:r>
        <w:rPr>
          <w:rFonts w:cs="Times New Roman"/>
          <w:spacing w:val="-7"/>
          <w:sz w:val="18"/>
          <w:szCs w:val="18"/>
          <w:lang w:val="es-ES_tradnl"/>
        </w:rPr>
        <w:t>”</w:t>
      </w:r>
      <w:r>
        <w:rPr>
          <w:spacing w:val="-7"/>
          <w:sz w:val="18"/>
          <w:szCs w:val="18"/>
          <w:vertAlign w:val="superscript"/>
          <w:lang w:val="es-ES_tradnl"/>
        </w:rPr>
        <w:t>3</w:t>
      </w:r>
      <w:r>
        <w:rPr>
          <w:spacing w:val="-7"/>
          <w:sz w:val="18"/>
          <w:szCs w:val="18"/>
          <w:lang w:val="es-ES_tradnl"/>
        </w:rPr>
        <w:t>.</w:t>
      </w:r>
    </w:p>
    <w:p w14:paraId="4F67B45F" w14:textId="77777777" w:rsidR="00591D54" w:rsidRDefault="00591D54">
      <w:pPr>
        <w:shd w:val="clear" w:color="auto" w:fill="FFFFFF"/>
        <w:spacing w:before="192" w:line="216" w:lineRule="exact"/>
        <w:jc w:val="both"/>
      </w:pPr>
      <w:r>
        <w:rPr>
          <w:spacing w:val="-8"/>
          <w:sz w:val="18"/>
          <w:szCs w:val="18"/>
          <w:lang w:val="es-ES_tradnl"/>
        </w:rPr>
        <w:t xml:space="preserve">En este punto vale destacar lo manifestado por esta Corte </w:t>
      </w:r>
      <w:r>
        <w:rPr>
          <w:spacing w:val="-6"/>
          <w:sz w:val="18"/>
          <w:szCs w:val="18"/>
          <w:lang w:val="es-ES_tradnl"/>
        </w:rPr>
        <w:t>Constitucional en la sentencia N.</w:t>
      </w:r>
      <w:r>
        <w:rPr>
          <w:rFonts w:cs="Times New Roman"/>
          <w:spacing w:val="-6"/>
          <w:sz w:val="18"/>
          <w:szCs w:val="18"/>
          <w:lang w:val="es-ES_tradnl"/>
        </w:rPr>
        <w:t>º</w:t>
      </w:r>
      <w:r>
        <w:rPr>
          <w:spacing w:val="-6"/>
          <w:sz w:val="18"/>
          <w:szCs w:val="18"/>
          <w:lang w:val="es-ES_tradnl"/>
        </w:rPr>
        <w:t xml:space="preserve"> 024-13-SEP-CC, que </w:t>
      </w:r>
      <w:r>
        <w:rPr>
          <w:sz w:val="18"/>
          <w:szCs w:val="18"/>
          <w:lang w:val="es-ES_tradnl"/>
        </w:rPr>
        <w:t>dice:</w:t>
      </w:r>
    </w:p>
    <w:p w14:paraId="4F67B460" w14:textId="77777777" w:rsidR="00591D54" w:rsidRDefault="00591D54">
      <w:pPr>
        <w:shd w:val="clear" w:color="auto" w:fill="FFFFFF"/>
        <w:spacing w:before="202" w:line="211" w:lineRule="exact"/>
        <w:ind w:left="283"/>
        <w:jc w:val="both"/>
      </w:pPr>
      <w:r>
        <w:rPr>
          <w:sz w:val="14"/>
          <w:szCs w:val="14"/>
          <w:lang w:val="es-ES_tradnl"/>
        </w:rPr>
        <w:t>(</w:t>
      </w:r>
      <w:r>
        <w:rPr>
          <w:rFonts w:cs="Times New Roman"/>
          <w:sz w:val="14"/>
          <w:szCs w:val="14"/>
          <w:lang w:val="es-ES_tradnl"/>
        </w:rPr>
        <w:t>…</w:t>
      </w:r>
      <w:r>
        <w:rPr>
          <w:sz w:val="14"/>
          <w:szCs w:val="14"/>
          <w:lang w:val="es-ES_tradnl"/>
        </w:rPr>
        <w:t>) Corresponde a los jueces realizar un an</w:t>
      </w:r>
      <w:r>
        <w:rPr>
          <w:rFonts w:cs="Times New Roman"/>
          <w:sz w:val="14"/>
          <w:szCs w:val="14"/>
          <w:lang w:val="es-ES_tradnl"/>
        </w:rPr>
        <w:t>á</w:t>
      </w:r>
      <w:r>
        <w:rPr>
          <w:sz w:val="14"/>
          <w:szCs w:val="14"/>
          <w:lang w:val="es-ES_tradnl"/>
        </w:rPr>
        <w:t>lisis preciso, claro y articulado entre los fundamentos f</w:t>
      </w:r>
      <w:r>
        <w:rPr>
          <w:rFonts w:cs="Times New Roman"/>
          <w:sz w:val="14"/>
          <w:szCs w:val="14"/>
          <w:lang w:val="es-ES_tradnl"/>
        </w:rPr>
        <w:t>á</w:t>
      </w:r>
      <w:r>
        <w:rPr>
          <w:sz w:val="14"/>
          <w:szCs w:val="14"/>
          <w:lang w:val="es-ES_tradnl"/>
        </w:rPr>
        <w:t>cticos y los derechos, pues no es suficiente mencionar los principios o derechos violentados, sino que es necesario determinar c</w:t>
      </w:r>
      <w:r>
        <w:rPr>
          <w:rFonts w:cs="Times New Roman"/>
          <w:sz w:val="14"/>
          <w:szCs w:val="14"/>
          <w:lang w:val="es-ES_tradnl"/>
        </w:rPr>
        <w:t>ó</w:t>
      </w:r>
      <w:r>
        <w:rPr>
          <w:sz w:val="14"/>
          <w:szCs w:val="14"/>
          <w:lang w:val="es-ES_tradnl"/>
        </w:rPr>
        <w:t>mo y de qu</w:t>
      </w:r>
      <w:r>
        <w:rPr>
          <w:rFonts w:cs="Times New Roman"/>
          <w:sz w:val="14"/>
          <w:szCs w:val="14"/>
          <w:lang w:val="es-ES_tradnl"/>
        </w:rPr>
        <w:t xml:space="preserve">é </w:t>
      </w:r>
      <w:r>
        <w:rPr>
          <w:sz w:val="14"/>
          <w:szCs w:val="14"/>
          <w:lang w:val="es-ES_tradnl"/>
        </w:rPr>
        <w:t>forma se vinculan los hechos con las normas aplicables al caso concreto. Por tanto, la motivaci</w:t>
      </w:r>
      <w:r>
        <w:rPr>
          <w:rFonts w:cs="Times New Roman"/>
          <w:sz w:val="14"/>
          <w:szCs w:val="14"/>
          <w:lang w:val="es-ES_tradnl"/>
        </w:rPr>
        <w:t>ó</w:t>
      </w:r>
      <w:r>
        <w:rPr>
          <w:sz w:val="14"/>
          <w:szCs w:val="14"/>
          <w:lang w:val="es-ES_tradnl"/>
        </w:rPr>
        <w:t>n no es solo un elemento formal, como requisito obligatorio de toda manifestaci</w:t>
      </w:r>
      <w:r>
        <w:rPr>
          <w:rFonts w:cs="Times New Roman"/>
          <w:sz w:val="14"/>
          <w:szCs w:val="14"/>
          <w:lang w:val="es-ES_tradnl"/>
        </w:rPr>
        <w:t>ó</w:t>
      </w:r>
      <w:r>
        <w:rPr>
          <w:sz w:val="14"/>
          <w:szCs w:val="14"/>
          <w:lang w:val="es-ES_tradnl"/>
        </w:rPr>
        <w:t>n de autoridad p</w:t>
      </w:r>
      <w:r>
        <w:rPr>
          <w:rFonts w:cs="Times New Roman"/>
          <w:sz w:val="14"/>
          <w:szCs w:val="14"/>
          <w:lang w:val="es-ES_tradnl"/>
        </w:rPr>
        <w:t>ú</w:t>
      </w:r>
      <w:r>
        <w:rPr>
          <w:sz w:val="14"/>
          <w:szCs w:val="14"/>
          <w:lang w:val="es-ES_tradnl"/>
        </w:rPr>
        <w:t>blica, sino que constituye un elemento sustancial que expresa la garant</w:t>
      </w:r>
      <w:r>
        <w:rPr>
          <w:rFonts w:cs="Times New Roman"/>
          <w:sz w:val="14"/>
          <w:szCs w:val="14"/>
          <w:lang w:val="es-ES_tradnl"/>
        </w:rPr>
        <w:t>í</w:t>
      </w:r>
      <w:r>
        <w:rPr>
          <w:sz w:val="14"/>
          <w:szCs w:val="14"/>
          <w:lang w:val="es-ES_tradnl"/>
        </w:rPr>
        <w:t>a del derecho al debido proceso, pues permite a las partes conocer el razonamiento l</w:t>
      </w:r>
      <w:r>
        <w:rPr>
          <w:rFonts w:cs="Times New Roman"/>
          <w:sz w:val="14"/>
          <w:szCs w:val="14"/>
          <w:lang w:val="es-ES_tradnl"/>
        </w:rPr>
        <w:t>ó</w:t>
      </w:r>
      <w:r>
        <w:rPr>
          <w:sz w:val="14"/>
          <w:szCs w:val="14"/>
          <w:lang w:val="es-ES_tradnl"/>
        </w:rPr>
        <w:t>gico del juez y por tanto comprender las razones jur</w:t>
      </w:r>
      <w:r>
        <w:rPr>
          <w:rFonts w:cs="Times New Roman"/>
          <w:sz w:val="14"/>
          <w:szCs w:val="14"/>
          <w:lang w:val="es-ES_tradnl"/>
        </w:rPr>
        <w:t>í</w:t>
      </w:r>
      <w:r>
        <w:rPr>
          <w:sz w:val="14"/>
          <w:szCs w:val="14"/>
          <w:lang w:val="es-ES_tradnl"/>
        </w:rPr>
        <w:t>dicas por las que se ha llegado a un fallo determinado (</w:t>
      </w:r>
      <w:r>
        <w:rPr>
          <w:rFonts w:cs="Times New Roman"/>
          <w:sz w:val="14"/>
          <w:szCs w:val="14"/>
          <w:lang w:val="es-ES_tradnl"/>
        </w:rPr>
        <w:t>…</w:t>
      </w:r>
      <w:r>
        <w:rPr>
          <w:sz w:val="14"/>
          <w:szCs w:val="14"/>
          <w:lang w:val="es-ES_tradnl"/>
        </w:rPr>
        <w:t>)</w:t>
      </w:r>
      <w:r>
        <w:rPr>
          <w:sz w:val="14"/>
          <w:szCs w:val="14"/>
          <w:vertAlign w:val="superscript"/>
          <w:lang w:val="es-ES_tradnl"/>
        </w:rPr>
        <w:t>4</w:t>
      </w:r>
      <w:r>
        <w:rPr>
          <w:sz w:val="14"/>
          <w:szCs w:val="14"/>
          <w:lang w:val="es-ES_tradnl"/>
        </w:rPr>
        <w:t>.</w:t>
      </w:r>
    </w:p>
    <w:p w14:paraId="4F67B461" w14:textId="77777777" w:rsidR="00591D54" w:rsidRDefault="00591D54">
      <w:pPr>
        <w:shd w:val="clear" w:color="auto" w:fill="FFFFFF"/>
        <w:spacing w:before="202" w:line="216" w:lineRule="exact"/>
        <w:jc w:val="both"/>
      </w:pPr>
      <w:r>
        <w:rPr>
          <w:spacing w:val="-8"/>
          <w:sz w:val="18"/>
          <w:szCs w:val="18"/>
          <w:lang w:val="es-ES_tradnl"/>
        </w:rPr>
        <w:t xml:space="preserve">De acuerdo a la jurisprudencia citada, los jueces deben </w:t>
      </w:r>
      <w:r>
        <w:rPr>
          <w:spacing w:val="-7"/>
          <w:sz w:val="18"/>
          <w:szCs w:val="18"/>
          <w:lang w:val="es-ES_tradnl"/>
        </w:rPr>
        <w:t xml:space="preserve">establecer en sus resoluciones, los principios y normas </w:t>
      </w:r>
      <w:r>
        <w:rPr>
          <w:spacing w:val="-1"/>
          <w:sz w:val="18"/>
          <w:szCs w:val="18"/>
          <w:lang w:val="es-ES_tradnl"/>
        </w:rPr>
        <w:t>jur</w:t>
      </w:r>
      <w:r>
        <w:rPr>
          <w:rFonts w:cs="Times New Roman"/>
          <w:spacing w:val="-1"/>
          <w:sz w:val="18"/>
          <w:szCs w:val="18"/>
          <w:lang w:val="es-ES_tradnl"/>
        </w:rPr>
        <w:t>í</w:t>
      </w:r>
      <w:r>
        <w:rPr>
          <w:spacing w:val="-1"/>
          <w:sz w:val="18"/>
          <w:szCs w:val="18"/>
          <w:lang w:val="es-ES_tradnl"/>
        </w:rPr>
        <w:t>dicas en los que argumenten su decisi</w:t>
      </w:r>
      <w:r>
        <w:rPr>
          <w:rFonts w:cs="Times New Roman"/>
          <w:spacing w:val="-1"/>
          <w:sz w:val="18"/>
          <w:szCs w:val="18"/>
          <w:lang w:val="es-ES_tradnl"/>
        </w:rPr>
        <w:t>ó</w:t>
      </w:r>
      <w:r>
        <w:rPr>
          <w:spacing w:val="-1"/>
          <w:sz w:val="18"/>
          <w:szCs w:val="18"/>
          <w:lang w:val="es-ES_tradnl"/>
        </w:rPr>
        <w:t>n as</w:t>
      </w:r>
      <w:r>
        <w:rPr>
          <w:rFonts w:cs="Times New Roman"/>
          <w:spacing w:val="-1"/>
          <w:sz w:val="18"/>
          <w:szCs w:val="18"/>
          <w:lang w:val="es-ES_tradnl"/>
        </w:rPr>
        <w:t>í</w:t>
      </w:r>
      <w:r>
        <w:rPr>
          <w:spacing w:val="-1"/>
          <w:sz w:val="18"/>
          <w:szCs w:val="18"/>
          <w:lang w:val="es-ES_tradnl"/>
        </w:rPr>
        <w:t xml:space="preserve"> como</w:t>
      </w:r>
    </w:p>
    <w:p w14:paraId="4F67B462" w14:textId="77777777" w:rsidR="00591D54" w:rsidRDefault="00591D54">
      <w:pPr>
        <w:shd w:val="clear" w:color="auto" w:fill="FFFFFF"/>
        <w:tabs>
          <w:tab w:val="left" w:pos="144"/>
        </w:tabs>
        <w:spacing w:before="427" w:line="178" w:lineRule="exact"/>
        <w:ind w:left="144" w:hanging="144"/>
        <w:jc w:val="both"/>
      </w:pPr>
      <w:r>
        <w:rPr>
          <w:sz w:val="10"/>
          <w:szCs w:val="10"/>
          <w:vertAlign w:val="superscript"/>
          <w:lang w:val="es-ES_tradnl"/>
        </w:rPr>
        <w:t>2</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Interamericana</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Derechos</w:t>
      </w:r>
      <w:r>
        <w:rPr>
          <w:sz w:val="18"/>
          <w:szCs w:val="18"/>
          <w:lang w:val="es-ES_tradnl"/>
        </w:rPr>
        <w:t xml:space="preserve"> </w:t>
      </w:r>
      <w:r>
        <w:rPr>
          <w:sz w:val="14"/>
          <w:szCs w:val="14"/>
          <w:lang w:val="es-ES_tradnl"/>
        </w:rPr>
        <w:t>Humanos,</w:t>
      </w:r>
      <w:r>
        <w:rPr>
          <w:sz w:val="18"/>
          <w:szCs w:val="18"/>
          <w:lang w:val="es-ES_tradnl"/>
        </w:rPr>
        <w:t xml:space="preserve"> </w:t>
      </w:r>
      <w:r>
        <w:rPr>
          <w:sz w:val="14"/>
          <w:szCs w:val="14"/>
          <w:lang w:val="es-ES_tradnl"/>
        </w:rPr>
        <w:t>Caso</w:t>
      </w:r>
      <w:r>
        <w:rPr>
          <w:sz w:val="18"/>
          <w:szCs w:val="18"/>
          <w:lang w:val="es-ES_tradnl"/>
        </w:rPr>
        <w:t xml:space="preserve"> </w:t>
      </w:r>
      <w:r>
        <w:rPr>
          <w:sz w:val="14"/>
          <w:szCs w:val="14"/>
          <w:lang w:val="es-ES_tradnl"/>
        </w:rPr>
        <w:t>Chaparro </w:t>
      </w:r>
      <w:r>
        <w:rPr>
          <w:rFonts w:cs="Times New Roman"/>
          <w:spacing w:val="-1"/>
          <w:sz w:val="14"/>
          <w:szCs w:val="14"/>
          <w:lang w:val="es-ES_tradnl"/>
        </w:rPr>
        <w:t>Á</w:t>
      </w:r>
      <w:r>
        <w:rPr>
          <w:spacing w:val="-1"/>
          <w:sz w:val="14"/>
          <w:szCs w:val="14"/>
          <w:lang w:val="es-ES_tradnl"/>
        </w:rPr>
        <w:t>lvarez y Lapo I</w:t>
      </w:r>
      <w:r>
        <w:rPr>
          <w:rFonts w:cs="Times New Roman"/>
          <w:spacing w:val="-1"/>
          <w:sz w:val="14"/>
          <w:szCs w:val="14"/>
          <w:lang w:val="es-ES_tradnl"/>
        </w:rPr>
        <w:t>ñ</w:t>
      </w:r>
      <w:r>
        <w:rPr>
          <w:spacing w:val="-1"/>
          <w:sz w:val="14"/>
          <w:szCs w:val="14"/>
          <w:lang w:val="es-ES_tradnl"/>
        </w:rPr>
        <w:t>iguez. Vs. Ecuador, Excepci</w:t>
      </w:r>
      <w:r>
        <w:rPr>
          <w:rFonts w:cs="Times New Roman"/>
          <w:spacing w:val="-1"/>
          <w:sz w:val="14"/>
          <w:szCs w:val="14"/>
          <w:lang w:val="es-ES_tradnl"/>
        </w:rPr>
        <w:t>ó</w:t>
      </w:r>
      <w:r>
        <w:rPr>
          <w:spacing w:val="-1"/>
          <w:sz w:val="14"/>
          <w:szCs w:val="14"/>
          <w:lang w:val="es-ES_tradnl"/>
        </w:rPr>
        <w:t>n Preliminar, Fondo, </w:t>
      </w:r>
      <w:r>
        <w:rPr>
          <w:spacing w:val="-4"/>
          <w:sz w:val="14"/>
          <w:szCs w:val="14"/>
          <w:lang w:val="es-ES_tradnl"/>
        </w:rPr>
        <w:t>Reparaciones y Costas. Sentencia de 21 de noviembre de 2007. Serie </w:t>
      </w:r>
      <w:r>
        <w:rPr>
          <w:sz w:val="14"/>
          <w:szCs w:val="14"/>
          <w:lang w:val="es-ES_tradnl"/>
        </w:rPr>
        <w:t>C No. 170, p</w:t>
      </w:r>
      <w:r>
        <w:rPr>
          <w:rFonts w:cs="Times New Roman"/>
          <w:sz w:val="14"/>
          <w:szCs w:val="14"/>
          <w:lang w:val="es-ES_tradnl"/>
        </w:rPr>
        <w:t>á</w:t>
      </w:r>
      <w:r>
        <w:rPr>
          <w:sz w:val="14"/>
          <w:szCs w:val="14"/>
          <w:lang w:val="es-ES_tradnl"/>
        </w:rPr>
        <w:t>rr. 107</w:t>
      </w:r>
    </w:p>
    <w:p w14:paraId="4F67B463" w14:textId="77777777" w:rsidR="00591D54" w:rsidRDefault="00591D54">
      <w:pPr>
        <w:shd w:val="clear" w:color="auto" w:fill="FFFFFF"/>
        <w:tabs>
          <w:tab w:val="left" w:pos="144"/>
        </w:tabs>
        <w:spacing w:before="154" w:line="178" w:lineRule="exact"/>
        <w:ind w:left="144" w:hanging="144"/>
        <w:jc w:val="both"/>
      </w:pPr>
      <w:r>
        <w:rPr>
          <w:sz w:val="10"/>
          <w:szCs w:val="10"/>
          <w:vertAlign w:val="superscript"/>
          <w:lang w:val="es-ES_tradnl"/>
        </w:rPr>
        <w:t>3</w:t>
      </w:r>
      <w:r>
        <w:rPr>
          <w:sz w:val="18"/>
          <w:szCs w:val="18"/>
          <w:lang w:val="es-ES_tradnl"/>
        </w:rPr>
        <w:tab/>
      </w:r>
      <w:r>
        <w:rPr>
          <w:spacing w:val="-2"/>
          <w:sz w:val="14"/>
          <w:szCs w:val="14"/>
          <w:lang w:val="es-ES_tradnl"/>
        </w:rPr>
        <w:t>Corte</w:t>
      </w:r>
      <w:r>
        <w:rPr>
          <w:spacing w:val="-2"/>
          <w:sz w:val="18"/>
          <w:szCs w:val="18"/>
          <w:lang w:val="es-ES_tradnl"/>
        </w:rPr>
        <w:t xml:space="preserve"> </w:t>
      </w:r>
      <w:r>
        <w:rPr>
          <w:spacing w:val="-2"/>
          <w:sz w:val="14"/>
          <w:szCs w:val="14"/>
          <w:lang w:val="es-ES_tradnl"/>
        </w:rPr>
        <w:t>Interamericana</w:t>
      </w:r>
      <w:r>
        <w:rPr>
          <w:spacing w:val="-2"/>
          <w:sz w:val="18"/>
          <w:szCs w:val="18"/>
          <w:lang w:val="es-ES_tradnl"/>
        </w:rPr>
        <w:t xml:space="preserve"> </w:t>
      </w:r>
      <w:r>
        <w:rPr>
          <w:spacing w:val="-2"/>
          <w:sz w:val="14"/>
          <w:szCs w:val="14"/>
          <w:lang w:val="es-ES_tradnl"/>
        </w:rPr>
        <w:t>de</w:t>
      </w:r>
      <w:r>
        <w:rPr>
          <w:spacing w:val="-2"/>
          <w:sz w:val="18"/>
          <w:szCs w:val="18"/>
          <w:lang w:val="es-ES_tradnl"/>
        </w:rPr>
        <w:t xml:space="preserve"> </w:t>
      </w:r>
      <w:r>
        <w:rPr>
          <w:spacing w:val="-2"/>
          <w:sz w:val="14"/>
          <w:szCs w:val="14"/>
          <w:lang w:val="es-ES_tradnl"/>
        </w:rPr>
        <w:t>Derechos</w:t>
      </w:r>
      <w:r>
        <w:rPr>
          <w:spacing w:val="-2"/>
          <w:sz w:val="18"/>
          <w:szCs w:val="18"/>
          <w:lang w:val="es-ES_tradnl"/>
        </w:rPr>
        <w:t xml:space="preserve"> </w:t>
      </w:r>
      <w:r>
        <w:rPr>
          <w:spacing w:val="-2"/>
          <w:sz w:val="14"/>
          <w:szCs w:val="14"/>
          <w:lang w:val="es-ES_tradnl"/>
        </w:rPr>
        <w:t>Humanos,</w:t>
      </w:r>
      <w:r>
        <w:rPr>
          <w:spacing w:val="-2"/>
          <w:sz w:val="18"/>
          <w:szCs w:val="18"/>
          <w:lang w:val="es-ES_tradnl"/>
        </w:rPr>
        <w:t xml:space="preserve"> </w:t>
      </w:r>
      <w:r>
        <w:rPr>
          <w:spacing w:val="-2"/>
          <w:sz w:val="14"/>
          <w:szCs w:val="14"/>
          <w:lang w:val="es-ES_tradnl"/>
        </w:rPr>
        <w:t>Caso</w:t>
      </w:r>
      <w:r>
        <w:rPr>
          <w:spacing w:val="-2"/>
          <w:sz w:val="18"/>
          <w:szCs w:val="18"/>
          <w:lang w:val="es-ES_tradnl"/>
        </w:rPr>
        <w:t xml:space="preserve"> </w:t>
      </w:r>
      <w:r>
        <w:rPr>
          <w:spacing w:val="-2"/>
          <w:sz w:val="14"/>
          <w:szCs w:val="14"/>
          <w:lang w:val="es-ES_tradnl"/>
        </w:rPr>
        <w:t>Yatama,</w:t>
      </w:r>
      <w:r>
        <w:rPr>
          <w:spacing w:val="-2"/>
          <w:sz w:val="18"/>
          <w:szCs w:val="18"/>
          <w:lang w:val="es-ES_tradnl"/>
        </w:rPr>
        <w:t xml:space="preserve"> </w:t>
      </w:r>
      <w:r>
        <w:rPr>
          <w:spacing w:val="-2"/>
          <w:sz w:val="14"/>
          <w:szCs w:val="14"/>
          <w:lang w:val="es-ES_tradnl"/>
        </w:rPr>
        <w:t>supra </w:t>
      </w:r>
      <w:r>
        <w:rPr>
          <w:spacing w:val="-1"/>
          <w:sz w:val="14"/>
          <w:szCs w:val="14"/>
          <w:lang w:val="es-ES_tradnl"/>
        </w:rPr>
        <w:t>nota 63, p</w:t>
      </w:r>
      <w:r>
        <w:rPr>
          <w:rFonts w:cs="Times New Roman"/>
          <w:spacing w:val="-1"/>
          <w:sz w:val="14"/>
          <w:szCs w:val="14"/>
          <w:lang w:val="es-ES_tradnl"/>
        </w:rPr>
        <w:t>á</w:t>
      </w:r>
      <w:r>
        <w:rPr>
          <w:spacing w:val="-1"/>
          <w:sz w:val="14"/>
          <w:szCs w:val="14"/>
          <w:lang w:val="es-ES_tradnl"/>
        </w:rPr>
        <w:t xml:space="preserve">rrs. 152 y 153, y Caso Chaparro </w:t>
      </w:r>
      <w:r>
        <w:rPr>
          <w:rFonts w:cs="Times New Roman"/>
          <w:spacing w:val="-1"/>
          <w:sz w:val="14"/>
          <w:szCs w:val="14"/>
          <w:lang w:val="es-ES_tradnl"/>
        </w:rPr>
        <w:t>Á</w:t>
      </w:r>
      <w:r>
        <w:rPr>
          <w:spacing w:val="-1"/>
          <w:sz w:val="14"/>
          <w:szCs w:val="14"/>
          <w:lang w:val="es-ES_tradnl"/>
        </w:rPr>
        <w:t>lvarez y Lapo I</w:t>
      </w:r>
      <w:r>
        <w:rPr>
          <w:rFonts w:cs="Times New Roman"/>
          <w:spacing w:val="-1"/>
          <w:sz w:val="14"/>
          <w:szCs w:val="14"/>
          <w:lang w:val="es-ES_tradnl"/>
        </w:rPr>
        <w:t>ñ</w:t>
      </w:r>
      <w:r>
        <w:rPr>
          <w:spacing w:val="-1"/>
          <w:sz w:val="14"/>
          <w:szCs w:val="14"/>
          <w:lang w:val="es-ES_tradnl"/>
        </w:rPr>
        <w:t>iguez, </w:t>
      </w:r>
      <w:r>
        <w:rPr>
          <w:sz w:val="14"/>
          <w:szCs w:val="14"/>
          <w:lang w:val="es-ES_tradnl"/>
        </w:rPr>
        <w:t>p</w:t>
      </w:r>
      <w:r>
        <w:rPr>
          <w:rFonts w:cs="Times New Roman"/>
          <w:sz w:val="14"/>
          <w:szCs w:val="14"/>
          <w:lang w:val="es-ES_tradnl"/>
        </w:rPr>
        <w:t>á</w:t>
      </w:r>
      <w:r>
        <w:rPr>
          <w:sz w:val="14"/>
          <w:szCs w:val="14"/>
          <w:lang w:val="es-ES_tradnl"/>
        </w:rPr>
        <w:t>rr. 107.</w:t>
      </w:r>
    </w:p>
    <w:p w14:paraId="4F67B464" w14:textId="77777777" w:rsidR="00591D54" w:rsidRDefault="00591D54">
      <w:pPr>
        <w:shd w:val="clear" w:color="auto" w:fill="FFFFFF"/>
        <w:tabs>
          <w:tab w:val="left" w:pos="144"/>
        </w:tabs>
        <w:spacing w:before="149" w:line="178" w:lineRule="exact"/>
        <w:ind w:left="144" w:hanging="144"/>
        <w:jc w:val="both"/>
      </w:pPr>
      <w:r>
        <w:rPr>
          <w:sz w:val="10"/>
          <w:szCs w:val="10"/>
          <w:vertAlign w:val="superscript"/>
          <w:lang w:val="es-ES_tradnl"/>
        </w:rPr>
        <w:t>4</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º</w:t>
      </w:r>
      <w:r>
        <w:rPr>
          <w:sz w:val="18"/>
          <w:szCs w:val="18"/>
          <w:lang w:val="es-ES_tradnl"/>
        </w:rPr>
        <w:t xml:space="preserve"> </w:t>
      </w:r>
      <w:r>
        <w:rPr>
          <w:sz w:val="14"/>
          <w:szCs w:val="14"/>
          <w:lang w:val="es-ES_tradnl"/>
        </w:rPr>
        <w:t>024-13-SEP- CC.,dentro del caso N.</w:t>
      </w:r>
      <w:r>
        <w:rPr>
          <w:rFonts w:cs="Times New Roman"/>
          <w:sz w:val="14"/>
          <w:szCs w:val="14"/>
          <w:lang w:val="es-ES_tradnl"/>
        </w:rPr>
        <w:t>º</w:t>
      </w:r>
      <w:r>
        <w:rPr>
          <w:sz w:val="14"/>
          <w:szCs w:val="14"/>
          <w:lang w:val="es-ES_tradnl"/>
        </w:rPr>
        <w:t xml:space="preserve"> 1437-11-EP, p. 9.</w:t>
      </w:r>
    </w:p>
    <w:p w14:paraId="4F67B465" w14:textId="77777777" w:rsidR="00591D54" w:rsidRDefault="00591D54">
      <w:pPr>
        <w:shd w:val="clear" w:color="auto" w:fill="FFFFFF"/>
        <w:tabs>
          <w:tab w:val="left" w:pos="144"/>
        </w:tabs>
        <w:spacing w:before="149" w:line="178" w:lineRule="exact"/>
        <w:ind w:left="144" w:hanging="144"/>
        <w:jc w:val="both"/>
        <w:sectPr w:rsidR="00591D54">
          <w:type w:val="continuous"/>
          <w:pgSz w:w="11909" w:h="16834"/>
          <w:pgMar w:top="1359" w:right="1309" w:bottom="360" w:left="1308" w:header="720" w:footer="720" w:gutter="0"/>
          <w:cols w:num="2" w:space="720" w:equalWidth="0">
            <w:col w:w="4305" w:space="682"/>
            <w:col w:w="4305"/>
          </w:cols>
          <w:noEndnote/>
        </w:sectPr>
      </w:pPr>
    </w:p>
    <w:p w14:paraId="4F67B466"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- 207</w:t>
      </w:r>
    </w:p>
    <w:p w14:paraId="4F67B467" w14:textId="77777777" w:rsidR="00591D54" w:rsidRDefault="00591D54">
      <w:pPr>
        <w:shd w:val="clear" w:color="auto" w:fill="FFFFFF"/>
        <w:tabs>
          <w:tab w:val="left" w:pos="5842"/>
        </w:tabs>
        <w:spacing w:after="235"/>
        <w:ind w:left="5"/>
        <w:sectPr w:rsidR="00591D54">
          <w:pgSz w:w="11909" w:h="16834"/>
          <w:pgMar w:top="1356" w:right="1309" w:bottom="360" w:left="1308" w:header="720" w:footer="720" w:gutter="0"/>
          <w:cols w:space="60"/>
          <w:noEndnote/>
        </w:sectPr>
      </w:pPr>
    </w:p>
    <w:p w14:paraId="4F67B468" w14:textId="77777777" w:rsidR="00591D54" w:rsidRDefault="00591D54">
      <w:pPr>
        <w:shd w:val="clear" w:color="auto" w:fill="FFFFFF"/>
        <w:spacing w:line="216" w:lineRule="exact"/>
        <w:jc w:val="both"/>
      </w:pPr>
      <w:r>
        <w:rPr>
          <w:spacing w:val="-8"/>
          <w:sz w:val="18"/>
          <w:szCs w:val="18"/>
          <w:lang w:val="es-ES_tradnl"/>
        </w:rPr>
        <w:t>tambi</w:t>
      </w:r>
      <w:r>
        <w:rPr>
          <w:rFonts w:cs="Times New Roman"/>
          <w:spacing w:val="-8"/>
          <w:sz w:val="18"/>
          <w:szCs w:val="18"/>
          <w:lang w:val="es-ES_tradnl"/>
        </w:rPr>
        <w:t>é</w:t>
      </w:r>
      <w:r>
        <w:rPr>
          <w:spacing w:val="-8"/>
          <w:sz w:val="18"/>
          <w:szCs w:val="18"/>
          <w:lang w:val="es-ES_tradnl"/>
        </w:rPr>
        <w:t>n, tienen que explicar la pertinencia de su aplicaci</w:t>
      </w:r>
      <w:r>
        <w:rPr>
          <w:rFonts w:cs="Times New Roman"/>
          <w:spacing w:val="-8"/>
          <w:sz w:val="18"/>
          <w:szCs w:val="18"/>
          <w:lang w:val="es-ES_tradnl"/>
        </w:rPr>
        <w:t>ó</w:t>
      </w:r>
      <w:r>
        <w:rPr>
          <w:spacing w:val="-8"/>
          <w:sz w:val="18"/>
          <w:szCs w:val="18"/>
          <w:lang w:val="es-ES_tradnl"/>
        </w:rPr>
        <w:t xml:space="preserve">n </w:t>
      </w:r>
      <w:r>
        <w:rPr>
          <w:spacing w:val="-6"/>
          <w:sz w:val="18"/>
          <w:szCs w:val="18"/>
          <w:lang w:val="es-ES_tradnl"/>
        </w:rPr>
        <w:t xml:space="preserve">de estos a los antecedentes de hecho y que las mismas </w:t>
      </w:r>
      <w:r>
        <w:rPr>
          <w:spacing w:val="-4"/>
          <w:sz w:val="18"/>
          <w:szCs w:val="18"/>
          <w:lang w:val="es-ES_tradnl"/>
        </w:rPr>
        <w:t xml:space="preserve">sean concordantes con esos hechos y que a su vez, lo </w:t>
      </w:r>
      <w:r>
        <w:rPr>
          <w:spacing w:val="-8"/>
          <w:sz w:val="18"/>
          <w:szCs w:val="18"/>
          <w:lang w:val="es-ES_tradnl"/>
        </w:rPr>
        <w:t xml:space="preserve">que se resuelve tenga coherencia. Por lo expuesto, la </w:t>
      </w:r>
      <w:r>
        <w:rPr>
          <w:spacing w:val="-3"/>
          <w:sz w:val="18"/>
          <w:szCs w:val="18"/>
          <w:lang w:val="es-ES_tradnl"/>
        </w:rPr>
        <w:t>motivaci</w:t>
      </w:r>
      <w:r>
        <w:rPr>
          <w:rFonts w:cs="Times New Roman"/>
          <w:spacing w:val="-3"/>
          <w:sz w:val="18"/>
          <w:szCs w:val="18"/>
          <w:lang w:val="es-ES_tradnl"/>
        </w:rPr>
        <w:t>ó</w:t>
      </w:r>
      <w:r>
        <w:rPr>
          <w:spacing w:val="-3"/>
          <w:sz w:val="18"/>
          <w:szCs w:val="18"/>
          <w:lang w:val="es-ES_tradnl"/>
        </w:rPr>
        <w:t xml:space="preserve">n, como parte del derecho a la defensa, debe </w:t>
      </w:r>
      <w:r>
        <w:rPr>
          <w:spacing w:val="-8"/>
          <w:sz w:val="18"/>
          <w:szCs w:val="18"/>
          <w:lang w:val="es-ES_tradnl"/>
        </w:rPr>
        <w:t xml:space="preserve">ser un condicionamiento esencial de las sentencias y </w:t>
      </w:r>
      <w:r>
        <w:rPr>
          <w:spacing w:val="-6"/>
          <w:sz w:val="18"/>
          <w:szCs w:val="18"/>
          <w:lang w:val="es-ES_tradnl"/>
        </w:rPr>
        <w:t xml:space="preserve">resoluciones judiciales dentro de un proceso por eso, la </w:t>
      </w:r>
      <w:r>
        <w:rPr>
          <w:spacing w:val="-8"/>
          <w:sz w:val="18"/>
          <w:szCs w:val="18"/>
          <w:lang w:val="es-ES_tradnl"/>
        </w:rPr>
        <w:t>Corte Constitucional ha sido clara al se</w:t>
      </w:r>
      <w:r>
        <w:rPr>
          <w:rFonts w:cs="Times New Roman"/>
          <w:spacing w:val="-8"/>
          <w:sz w:val="18"/>
          <w:szCs w:val="18"/>
          <w:lang w:val="es-ES_tradnl"/>
        </w:rPr>
        <w:t>ñ</w:t>
      </w:r>
      <w:r>
        <w:rPr>
          <w:spacing w:val="-8"/>
          <w:sz w:val="18"/>
          <w:szCs w:val="18"/>
          <w:lang w:val="es-ES_tradnl"/>
        </w:rPr>
        <w:t xml:space="preserve">alar que para que </w:t>
      </w:r>
      <w:r>
        <w:rPr>
          <w:spacing w:val="-7"/>
          <w:sz w:val="18"/>
          <w:szCs w:val="18"/>
          <w:lang w:val="es-ES_tradnl"/>
        </w:rPr>
        <w:t>exista una debida motivaci</w:t>
      </w:r>
      <w:r>
        <w:rPr>
          <w:rFonts w:cs="Times New Roman"/>
          <w:spacing w:val="-7"/>
          <w:sz w:val="18"/>
          <w:szCs w:val="18"/>
          <w:lang w:val="es-ES_tradnl"/>
        </w:rPr>
        <w:t>ó</w:t>
      </w:r>
      <w:r>
        <w:rPr>
          <w:spacing w:val="-7"/>
          <w:sz w:val="18"/>
          <w:szCs w:val="18"/>
          <w:lang w:val="es-ES_tradnl"/>
        </w:rPr>
        <w:t>n la decisi</w:t>
      </w:r>
      <w:r>
        <w:rPr>
          <w:rFonts w:cs="Times New Roman"/>
          <w:spacing w:val="-7"/>
          <w:sz w:val="18"/>
          <w:szCs w:val="18"/>
          <w:lang w:val="es-ES_tradnl"/>
        </w:rPr>
        <w:t>ó</w:t>
      </w:r>
      <w:r>
        <w:rPr>
          <w:spacing w:val="-7"/>
          <w:sz w:val="18"/>
          <w:szCs w:val="18"/>
          <w:lang w:val="es-ES_tradnl"/>
        </w:rPr>
        <w:t>n debe contener:</w:t>
      </w:r>
    </w:p>
    <w:p w14:paraId="4F67B469" w14:textId="77777777" w:rsidR="00591D54" w:rsidRDefault="00591D54">
      <w:pPr>
        <w:shd w:val="clear" w:color="auto" w:fill="FFFFFF"/>
        <w:spacing w:before="202" w:line="211" w:lineRule="exact"/>
        <w:ind w:left="283" w:right="5"/>
        <w:jc w:val="both"/>
      </w:pPr>
      <w:r>
        <w:rPr>
          <w:spacing w:val="-4"/>
          <w:sz w:val="16"/>
          <w:szCs w:val="16"/>
          <w:lang w:val="es-ES_tradnl"/>
        </w:rPr>
        <w:t>(</w:t>
      </w:r>
      <w:r>
        <w:rPr>
          <w:rFonts w:cs="Times New Roman"/>
          <w:spacing w:val="-4"/>
          <w:sz w:val="16"/>
          <w:szCs w:val="16"/>
          <w:lang w:val="es-ES_tradnl"/>
        </w:rPr>
        <w:t>…</w:t>
      </w:r>
      <w:r>
        <w:rPr>
          <w:spacing w:val="-4"/>
          <w:sz w:val="16"/>
          <w:szCs w:val="16"/>
          <w:lang w:val="es-ES_tradnl"/>
        </w:rPr>
        <w:t xml:space="preserve">) al menos tres requisitos, a saber: a) Razonabilidad, el </w:t>
      </w:r>
      <w:r>
        <w:rPr>
          <w:spacing w:val="-6"/>
          <w:sz w:val="16"/>
          <w:szCs w:val="16"/>
          <w:lang w:val="es-ES_tradnl"/>
        </w:rPr>
        <w:t>cual implica que la decisi</w:t>
      </w:r>
      <w:r>
        <w:rPr>
          <w:rFonts w:cs="Times New Roman"/>
          <w:spacing w:val="-6"/>
          <w:sz w:val="16"/>
          <w:szCs w:val="16"/>
          <w:lang w:val="es-ES_tradnl"/>
        </w:rPr>
        <w:t>ó</w:t>
      </w:r>
      <w:r>
        <w:rPr>
          <w:spacing w:val="-6"/>
          <w:sz w:val="16"/>
          <w:szCs w:val="16"/>
          <w:lang w:val="es-ES_tradnl"/>
        </w:rPr>
        <w:t xml:space="preserve">n se encuentre fundamentada en </w:t>
      </w:r>
      <w:r>
        <w:rPr>
          <w:spacing w:val="-7"/>
          <w:sz w:val="16"/>
          <w:szCs w:val="16"/>
          <w:lang w:val="es-ES_tradnl"/>
        </w:rPr>
        <w:t xml:space="preserve">principios y normas constitucionales, sin que puedan incluirse </w:t>
      </w:r>
      <w:r>
        <w:rPr>
          <w:spacing w:val="-1"/>
          <w:sz w:val="16"/>
          <w:szCs w:val="16"/>
          <w:lang w:val="es-ES_tradnl"/>
        </w:rPr>
        <w:t>criterios que contradigan dichos principios; b) L</w:t>
      </w:r>
      <w:r>
        <w:rPr>
          <w:rFonts w:cs="Times New Roman"/>
          <w:spacing w:val="-1"/>
          <w:sz w:val="16"/>
          <w:szCs w:val="16"/>
          <w:lang w:val="es-ES_tradnl"/>
        </w:rPr>
        <w:t>ó</w:t>
      </w:r>
      <w:r>
        <w:rPr>
          <w:spacing w:val="-1"/>
          <w:sz w:val="16"/>
          <w:szCs w:val="16"/>
          <w:lang w:val="es-ES_tradnl"/>
        </w:rPr>
        <w:t xml:space="preserve">gica, en </w:t>
      </w:r>
      <w:r>
        <w:rPr>
          <w:spacing w:val="-2"/>
          <w:sz w:val="16"/>
          <w:szCs w:val="16"/>
          <w:lang w:val="es-ES_tradnl"/>
        </w:rPr>
        <w:t>el sentido de que la decisi</w:t>
      </w:r>
      <w:r>
        <w:rPr>
          <w:rFonts w:cs="Times New Roman"/>
          <w:spacing w:val="-2"/>
          <w:sz w:val="16"/>
          <w:szCs w:val="16"/>
          <w:lang w:val="es-ES_tradnl"/>
        </w:rPr>
        <w:t>ó</w:t>
      </w:r>
      <w:r>
        <w:rPr>
          <w:spacing w:val="-2"/>
          <w:sz w:val="16"/>
          <w:szCs w:val="16"/>
          <w:lang w:val="es-ES_tradnl"/>
        </w:rPr>
        <w:t xml:space="preserve">n se encuentre estructura de </w:t>
      </w:r>
      <w:r>
        <w:rPr>
          <w:spacing w:val="-6"/>
          <w:sz w:val="16"/>
          <w:szCs w:val="16"/>
          <w:lang w:val="es-ES_tradnl"/>
        </w:rPr>
        <w:t>forma sistem</w:t>
      </w:r>
      <w:r>
        <w:rPr>
          <w:rFonts w:cs="Times New Roman"/>
          <w:spacing w:val="-6"/>
          <w:sz w:val="16"/>
          <w:szCs w:val="16"/>
          <w:lang w:val="es-ES_tradnl"/>
        </w:rPr>
        <w:t>á</w:t>
      </w:r>
      <w:r>
        <w:rPr>
          <w:spacing w:val="-6"/>
          <w:sz w:val="16"/>
          <w:szCs w:val="16"/>
          <w:lang w:val="es-ES_tradnl"/>
        </w:rPr>
        <w:t xml:space="preserve">tica, en la cual las premisas que la conforman </w:t>
      </w:r>
      <w:r>
        <w:rPr>
          <w:spacing w:val="-8"/>
          <w:sz w:val="16"/>
          <w:szCs w:val="16"/>
          <w:lang w:val="es-ES_tradnl"/>
        </w:rPr>
        <w:t xml:space="preserve">mantenga un orden coherente y, c) Comprensibilidad, requisito que exige que todas las decisiones judiciales sean elaboradas </w:t>
      </w:r>
      <w:r>
        <w:rPr>
          <w:spacing w:val="-4"/>
          <w:sz w:val="16"/>
          <w:szCs w:val="16"/>
          <w:lang w:val="es-ES_tradnl"/>
        </w:rPr>
        <w:t xml:space="preserve">con un lenguaje claro y sencillo, que permita su efectivo </w:t>
      </w:r>
      <w:r>
        <w:rPr>
          <w:spacing w:val="-6"/>
          <w:sz w:val="16"/>
          <w:szCs w:val="16"/>
          <w:lang w:val="es-ES_tradnl"/>
        </w:rPr>
        <w:t>entendimiento por parte del auditorio social</w:t>
      </w:r>
      <w:r>
        <w:rPr>
          <w:spacing w:val="-6"/>
          <w:sz w:val="16"/>
          <w:szCs w:val="16"/>
          <w:vertAlign w:val="superscript"/>
          <w:lang w:val="es-ES_tradnl"/>
        </w:rPr>
        <w:t>5</w:t>
      </w:r>
      <w:r>
        <w:rPr>
          <w:spacing w:val="-6"/>
          <w:sz w:val="16"/>
          <w:szCs w:val="16"/>
          <w:lang w:val="es-ES_tradnl"/>
        </w:rPr>
        <w:t>.</w:t>
      </w:r>
    </w:p>
    <w:p w14:paraId="4F67B46A" w14:textId="77777777" w:rsidR="00591D54" w:rsidRDefault="00591D54">
      <w:pPr>
        <w:shd w:val="clear" w:color="auto" w:fill="FFFFFF"/>
        <w:spacing w:before="202" w:line="216" w:lineRule="exact"/>
        <w:ind w:right="5"/>
        <w:jc w:val="both"/>
      </w:pPr>
      <w:r>
        <w:rPr>
          <w:spacing w:val="-9"/>
          <w:sz w:val="18"/>
          <w:szCs w:val="18"/>
          <w:lang w:val="es-ES_tradnl"/>
        </w:rPr>
        <w:t>De lo anotado en p</w:t>
      </w:r>
      <w:r>
        <w:rPr>
          <w:rFonts w:cs="Times New Roman"/>
          <w:spacing w:val="-9"/>
          <w:sz w:val="18"/>
          <w:szCs w:val="18"/>
          <w:lang w:val="es-ES_tradnl"/>
        </w:rPr>
        <w:t>á</w:t>
      </w:r>
      <w:r>
        <w:rPr>
          <w:spacing w:val="-9"/>
          <w:sz w:val="18"/>
          <w:szCs w:val="18"/>
          <w:lang w:val="es-ES_tradnl"/>
        </w:rPr>
        <w:t xml:space="preserve">rrafos precedentes, se desprende que </w:t>
      </w:r>
      <w:r>
        <w:rPr>
          <w:spacing w:val="-6"/>
          <w:sz w:val="18"/>
          <w:szCs w:val="18"/>
          <w:lang w:val="es-ES_tradnl"/>
        </w:rPr>
        <w:t>esta garant</w:t>
      </w:r>
      <w:r>
        <w:rPr>
          <w:rFonts w:cs="Times New Roman"/>
          <w:spacing w:val="-6"/>
          <w:sz w:val="18"/>
          <w:szCs w:val="18"/>
          <w:lang w:val="es-ES_tradnl"/>
        </w:rPr>
        <w:t>í</w:t>
      </w:r>
      <w:r>
        <w:rPr>
          <w:spacing w:val="-6"/>
          <w:sz w:val="18"/>
          <w:szCs w:val="18"/>
          <w:lang w:val="es-ES_tradnl"/>
        </w:rPr>
        <w:t xml:space="preserve">a constitucional se encuentra compuesta por </w:t>
      </w:r>
      <w:r>
        <w:rPr>
          <w:spacing w:val="-7"/>
          <w:sz w:val="18"/>
          <w:szCs w:val="18"/>
          <w:lang w:val="es-ES_tradnl"/>
        </w:rPr>
        <w:t>tres requisitos fundamentales que son: la razonabilidad, la l</w:t>
      </w:r>
      <w:r>
        <w:rPr>
          <w:rFonts w:cs="Times New Roman"/>
          <w:spacing w:val="-7"/>
          <w:sz w:val="18"/>
          <w:szCs w:val="18"/>
          <w:lang w:val="es-ES_tradnl"/>
        </w:rPr>
        <w:t>ó</w:t>
      </w:r>
      <w:r>
        <w:rPr>
          <w:spacing w:val="-7"/>
          <w:sz w:val="18"/>
          <w:szCs w:val="18"/>
          <w:lang w:val="es-ES_tradnl"/>
        </w:rPr>
        <w:t>gica y la comprensibilidad. En atenci</w:t>
      </w:r>
      <w:r>
        <w:rPr>
          <w:rFonts w:cs="Times New Roman"/>
          <w:spacing w:val="-7"/>
          <w:sz w:val="18"/>
          <w:szCs w:val="18"/>
          <w:lang w:val="es-ES_tradnl"/>
        </w:rPr>
        <w:t>ó</w:t>
      </w:r>
      <w:r>
        <w:rPr>
          <w:spacing w:val="-7"/>
          <w:sz w:val="18"/>
          <w:szCs w:val="18"/>
          <w:lang w:val="es-ES_tradnl"/>
        </w:rPr>
        <w:t>n a los par</w:t>
      </w:r>
      <w:r>
        <w:rPr>
          <w:rFonts w:cs="Times New Roman"/>
          <w:spacing w:val="-7"/>
          <w:sz w:val="18"/>
          <w:szCs w:val="18"/>
          <w:lang w:val="es-ES_tradnl"/>
        </w:rPr>
        <w:t>á</w:t>
      </w:r>
      <w:r>
        <w:rPr>
          <w:spacing w:val="-7"/>
          <w:sz w:val="18"/>
          <w:szCs w:val="18"/>
          <w:lang w:val="es-ES_tradnl"/>
        </w:rPr>
        <w:t xml:space="preserve">metros </w:t>
      </w:r>
      <w:r>
        <w:rPr>
          <w:spacing w:val="-8"/>
          <w:sz w:val="18"/>
          <w:szCs w:val="18"/>
          <w:lang w:val="es-ES_tradnl"/>
        </w:rPr>
        <w:t>expuestos por este Organismo, analizaremos si la decisi</w:t>
      </w:r>
      <w:r>
        <w:rPr>
          <w:rFonts w:cs="Times New Roman"/>
          <w:spacing w:val="-8"/>
          <w:sz w:val="18"/>
          <w:szCs w:val="18"/>
          <w:lang w:val="es-ES_tradnl"/>
        </w:rPr>
        <w:t>ó</w:t>
      </w:r>
      <w:r>
        <w:rPr>
          <w:spacing w:val="-8"/>
          <w:sz w:val="18"/>
          <w:szCs w:val="18"/>
          <w:lang w:val="es-ES_tradnl"/>
        </w:rPr>
        <w:t xml:space="preserve">n </w:t>
      </w:r>
      <w:r>
        <w:rPr>
          <w:spacing w:val="-7"/>
          <w:sz w:val="18"/>
          <w:szCs w:val="18"/>
          <w:lang w:val="es-ES_tradnl"/>
        </w:rPr>
        <w:t xml:space="preserve">impugnada ha cumplido con estos requisitos, los cuales </w:t>
      </w:r>
      <w:r>
        <w:rPr>
          <w:spacing w:val="-12"/>
          <w:sz w:val="18"/>
          <w:szCs w:val="18"/>
          <w:lang w:val="es-ES_tradnl"/>
        </w:rPr>
        <w:t>deben estar presente de manera simult</w:t>
      </w:r>
      <w:r>
        <w:rPr>
          <w:rFonts w:cs="Times New Roman"/>
          <w:spacing w:val="-12"/>
          <w:sz w:val="18"/>
          <w:szCs w:val="18"/>
          <w:lang w:val="es-ES_tradnl"/>
        </w:rPr>
        <w:t>á</w:t>
      </w:r>
      <w:r>
        <w:rPr>
          <w:spacing w:val="-12"/>
          <w:sz w:val="18"/>
          <w:szCs w:val="18"/>
          <w:lang w:val="es-ES_tradnl"/>
        </w:rPr>
        <w:t>nea de no ser as</w:t>
      </w:r>
      <w:r>
        <w:rPr>
          <w:rFonts w:cs="Times New Roman"/>
          <w:spacing w:val="-12"/>
          <w:sz w:val="18"/>
          <w:szCs w:val="18"/>
          <w:lang w:val="es-ES_tradnl"/>
        </w:rPr>
        <w:t>í</w:t>
      </w:r>
      <w:r>
        <w:rPr>
          <w:spacing w:val="-12"/>
          <w:sz w:val="18"/>
          <w:szCs w:val="18"/>
          <w:lang w:val="es-ES_tradnl"/>
        </w:rPr>
        <w:t xml:space="preserve">, no </w:t>
      </w:r>
      <w:r>
        <w:rPr>
          <w:sz w:val="18"/>
          <w:szCs w:val="18"/>
          <w:lang w:val="es-ES_tradnl"/>
        </w:rPr>
        <w:t>estar</w:t>
      </w:r>
      <w:r>
        <w:rPr>
          <w:rFonts w:cs="Times New Roman"/>
          <w:sz w:val="18"/>
          <w:szCs w:val="18"/>
          <w:lang w:val="es-ES_tradnl"/>
        </w:rPr>
        <w:t>í</w:t>
      </w:r>
      <w:r>
        <w:rPr>
          <w:sz w:val="18"/>
          <w:szCs w:val="18"/>
          <w:lang w:val="es-ES_tradnl"/>
        </w:rPr>
        <w:t>a debidamente motivada.</w:t>
      </w:r>
    </w:p>
    <w:p w14:paraId="4F67B46B" w14:textId="77777777" w:rsidR="00591D54" w:rsidRDefault="00591D54">
      <w:pPr>
        <w:shd w:val="clear" w:color="auto" w:fill="FFFFFF"/>
        <w:spacing w:before="192" w:line="216" w:lineRule="exact"/>
        <w:ind w:right="5"/>
        <w:jc w:val="both"/>
      </w:pPr>
      <w:r>
        <w:rPr>
          <w:spacing w:val="-9"/>
          <w:sz w:val="18"/>
          <w:szCs w:val="18"/>
          <w:lang w:val="es-ES_tradnl"/>
        </w:rPr>
        <w:t xml:space="preserve">En cuanto a la </w:t>
      </w:r>
      <w:r>
        <w:rPr>
          <w:b/>
          <w:bCs/>
          <w:spacing w:val="-9"/>
          <w:sz w:val="18"/>
          <w:szCs w:val="18"/>
          <w:lang w:val="es-ES_tradnl"/>
        </w:rPr>
        <w:t>razonabilidad</w:t>
      </w:r>
      <w:r>
        <w:rPr>
          <w:spacing w:val="-9"/>
          <w:sz w:val="18"/>
          <w:szCs w:val="18"/>
          <w:lang w:val="es-ES_tradnl"/>
        </w:rPr>
        <w:t xml:space="preserve">, se debe tener en cuenta que </w:t>
      </w:r>
      <w:r>
        <w:rPr>
          <w:spacing w:val="-8"/>
          <w:sz w:val="18"/>
          <w:szCs w:val="18"/>
          <w:lang w:val="es-ES_tradnl"/>
        </w:rPr>
        <w:t>la misma tiene que ser acorde a la Constituci</w:t>
      </w:r>
      <w:r>
        <w:rPr>
          <w:rFonts w:cs="Times New Roman"/>
          <w:spacing w:val="-8"/>
          <w:sz w:val="18"/>
          <w:szCs w:val="18"/>
          <w:lang w:val="es-ES_tradnl"/>
        </w:rPr>
        <w:t>ó</w:t>
      </w:r>
      <w:r>
        <w:rPr>
          <w:spacing w:val="-8"/>
          <w:sz w:val="18"/>
          <w:szCs w:val="18"/>
          <w:lang w:val="es-ES_tradnl"/>
        </w:rPr>
        <w:t xml:space="preserve">n, a las leyes </w:t>
      </w:r>
      <w:r>
        <w:rPr>
          <w:spacing w:val="-9"/>
          <w:sz w:val="18"/>
          <w:szCs w:val="18"/>
          <w:lang w:val="es-ES_tradnl"/>
        </w:rPr>
        <w:t xml:space="preserve">y precedentes jurisprudenciales aplicables al caso concreto. </w:t>
      </w:r>
      <w:r>
        <w:rPr>
          <w:spacing w:val="-5"/>
          <w:sz w:val="18"/>
          <w:szCs w:val="18"/>
          <w:lang w:val="es-ES_tradnl"/>
        </w:rPr>
        <w:t xml:space="preserve">Esto quiere decir que el juez debe remitirse al tema que </w:t>
      </w:r>
      <w:r>
        <w:rPr>
          <w:spacing w:val="-3"/>
          <w:sz w:val="18"/>
          <w:szCs w:val="18"/>
          <w:lang w:val="es-ES_tradnl"/>
        </w:rPr>
        <w:t xml:space="preserve">han puesto en su conocimiento. Por consiguiente, tiene </w:t>
      </w:r>
      <w:r>
        <w:rPr>
          <w:spacing w:val="-6"/>
          <w:sz w:val="18"/>
          <w:szCs w:val="18"/>
          <w:lang w:val="es-ES_tradnl"/>
        </w:rPr>
        <w:t xml:space="preserve">el deber de argumentar las razones que lo llevan a tomar </w:t>
      </w:r>
      <w:r>
        <w:rPr>
          <w:spacing w:val="-4"/>
          <w:sz w:val="18"/>
          <w:szCs w:val="18"/>
          <w:lang w:val="es-ES_tradnl"/>
        </w:rPr>
        <w:t>tal decisi</w:t>
      </w:r>
      <w:r>
        <w:rPr>
          <w:rFonts w:cs="Times New Roman"/>
          <w:spacing w:val="-4"/>
          <w:sz w:val="18"/>
          <w:szCs w:val="18"/>
          <w:lang w:val="es-ES_tradnl"/>
        </w:rPr>
        <w:t>ó</w:t>
      </w:r>
      <w:r>
        <w:rPr>
          <w:spacing w:val="-4"/>
          <w:sz w:val="18"/>
          <w:szCs w:val="18"/>
          <w:lang w:val="es-ES_tradnl"/>
        </w:rPr>
        <w:t xml:space="preserve">n, pronunciando para ello sus razonamientos </w:t>
      </w:r>
      <w:r>
        <w:rPr>
          <w:spacing w:val="-2"/>
          <w:sz w:val="18"/>
          <w:szCs w:val="18"/>
          <w:lang w:val="es-ES_tradnl"/>
        </w:rPr>
        <w:t>con relaci</w:t>
      </w:r>
      <w:r>
        <w:rPr>
          <w:rFonts w:cs="Times New Roman"/>
          <w:spacing w:val="-2"/>
          <w:sz w:val="18"/>
          <w:szCs w:val="18"/>
          <w:lang w:val="es-ES_tradnl"/>
        </w:rPr>
        <w:t>ó</w:t>
      </w:r>
      <w:r>
        <w:rPr>
          <w:spacing w:val="-2"/>
          <w:sz w:val="18"/>
          <w:szCs w:val="18"/>
          <w:lang w:val="es-ES_tradnl"/>
        </w:rPr>
        <w:t>n al caso, es decir, que la resoluci</w:t>
      </w:r>
      <w:r>
        <w:rPr>
          <w:rFonts w:cs="Times New Roman"/>
          <w:spacing w:val="-2"/>
          <w:sz w:val="18"/>
          <w:szCs w:val="18"/>
          <w:lang w:val="es-ES_tradnl"/>
        </w:rPr>
        <w:t>ó</w:t>
      </w:r>
      <w:r>
        <w:rPr>
          <w:spacing w:val="-2"/>
          <w:sz w:val="18"/>
          <w:szCs w:val="18"/>
          <w:lang w:val="es-ES_tradnl"/>
        </w:rPr>
        <w:t xml:space="preserve">n debe </w:t>
      </w:r>
      <w:r>
        <w:rPr>
          <w:spacing w:val="-7"/>
          <w:sz w:val="18"/>
          <w:szCs w:val="18"/>
          <w:lang w:val="es-ES_tradnl"/>
        </w:rPr>
        <w:t xml:space="preserve">estar amparada en principios constitucionales o en los </w:t>
      </w:r>
      <w:r>
        <w:rPr>
          <w:spacing w:val="-1"/>
          <w:sz w:val="18"/>
          <w:szCs w:val="18"/>
          <w:lang w:val="es-ES_tradnl"/>
        </w:rPr>
        <w:t xml:space="preserve">instrumentos internacionales de derechos humanos o </w:t>
      </w:r>
      <w:r>
        <w:rPr>
          <w:spacing w:val="-6"/>
          <w:sz w:val="18"/>
          <w:szCs w:val="18"/>
          <w:lang w:val="es-ES_tradnl"/>
        </w:rPr>
        <w:t>en las normas vigentes del pa</w:t>
      </w:r>
      <w:r>
        <w:rPr>
          <w:rFonts w:cs="Times New Roman"/>
          <w:spacing w:val="-6"/>
          <w:sz w:val="18"/>
          <w:szCs w:val="18"/>
          <w:lang w:val="es-ES_tradnl"/>
        </w:rPr>
        <w:t>í</w:t>
      </w:r>
      <w:r>
        <w:rPr>
          <w:spacing w:val="-6"/>
          <w:sz w:val="18"/>
          <w:szCs w:val="18"/>
          <w:lang w:val="es-ES_tradnl"/>
        </w:rPr>
        <w:t xml:space="preserve">s, los mismos que deben </w:t>
      </w:r>
      <w:r>
        <w:rPr>
          <w:spacing w:val="-8"/>
          <w:sz w:val="18"/>
          <w:szCs w:val="18"/>
          <w:lang w:val="es-ES_tradnl"/>
        </w:rPr>
        <w:t xml:space="preserve">estar relacionados al </w:t>
      </w:r>
      <w:r>
        <w:rPr>
          <w:i/>
          <w:iCs/>
          <w:spacing w:val="-8"/>
          <w:sz w:val="18"/>
          <w:szCs w:val="18"/>
          <w:lang w:val="es-ES_tradnl"/>
        </w:rPr>
        <w:t xml:space="preserve">thema decidendum </w:t>
      </w:r>
      <w:r>
        <w:rPr>
          <w:spacing w:val="-8"/>
          <w:sz w:val="18"/>
          <w:szCs w:val="18"/>
          <w:lang w:val="es-ES_tradnl"/>
        </w:rPr>
        <w:t xml:space="preserve">y no, a cualquier </w:t>
      </w:r>
      <w:r>
        <w:rPr>
          <w:spacing w:val="-7"/>
          <w:sz w:val="18"/>
          <w:szCs w:val="18"/>
          <w:lang w:val="es-ES_tradnl"/>
        </w:rPr>
        <w:t>disposici</w:t>
      </w:r>
      <w:r>
        <w:rPr>
          <w:rFonts w:cs="Times New Roman"/>
          <w:spacing w:val="-7"/>
          <w:sz w:val="18"/>
          <w:szCs w:val="18"/>
          <w:lang w:val="es-ES_tradnl"/>
        </w:rPr>
        <w:t>ó</w:t>
      </w:r>
      <w:r>
        <w:rPr>
          <w:spacing w:val="-7"/>
          <w:sz w:val="18"/>
          <w:szCs w:val="18"/>
          <w:lang w:val="es-ES_tradnl"/>
        </w:rPr>
        <w:t>n ajena al tema, de all</w:t>
      </w:r>
      <w:r>
        <w:rPr>
          <w:rFonts w:cs="Times New Roman"/>
          <w:spacing w:val="-7"/>
          <w:sz w:val="18"/>
          <w:szCs w:val="18"/>
          <w:lang w:val="es-ES_tradnl"/>
        </w:rPr>
        <w:t>í</w:t>
      </w:r>
      <w:r>
        <w:rPr>
          <w:spacing w:val="-7"/>
          <w:sz w:val="18"/>
          <w:szCs w:val="18"/>
          <w:lang w:val="es-ES_tradnl"/>
        </w:rPr>
        <w:t xml:space="preserve"> que, el juez est</w:t>
      </w:r>
      <w:r>
        <w:rPr>
          <w:rFonts w:cs="Times New Roman"/>
          <w:spacing w:val="-7"/>
          <w:sz w:val="18"/>
          <w:szCs w:val="18"/>
          <w:lang w:val="es-ES_tradnl"/>
        </w:rPr>
        <w:t>á</w:t>
      </w:r>
      <w:r>
        <w:rPr>
          <w:spacing w:val="-7"/>
          <w:sz w:val="18"/>
          <w:szCs w:val="18"/>
          <w:lang w:val="es-ES_tradnl"/>
        </w:rPr>
        <w:t xml:space="preserve"> obligado a interpretar y aplicar las leyes y reglamentos de acuerdo </w:t>
      </w:r>
      <w:r>
        <w:rPr>
          <w:spacing w:val="-6"/>
          <w:sz w:val="18"/>
          <w:szCs w:val="18"/>
          <w:lang w:val="es-ES_tradnl"/>
        </w:rPr>
        <w:t xml:space="preserve">con los preceptos y principios constitucionales de cuya </w:t>
      </w:r>
      <w:r>
        <w:rPr>
          <w:spacing w:val="-7"/>
          <w:sz w:val="18"/>
          <w:szCs w:val="18"/>
          <w:lang w:val="es-ES_tradnl"/>
        </w:rPr>
        <w:t>interpretaci</w:t>
      </w:r>
      <w:r>
        <w:rPr>
          <w:rFonts w:cs="Times New Roman"/>
          <w:spacing w:val="-7"/>
          <w:sz w:val="18"/>
          <w:szCs w:val="18"/>
          <w:lang w:val="es-ES_tradnl"/>
        </w:rPr>
        <w:t>ó</w:t>
      </w:r>
      <w:r>
        <w:rPr>
          <w:spacing w:val="-7"/>
          <w:sz w:val="18"/>
          <w:szCs w:val="18"/>
          <w:lang w:val="es-ES_tradnl"/>
        </w:rPr>
        <w:t xml:space="preserve">n se debe alcanzar la conformidad con su </w:t>
      </w:r>
      <w:r>
        <w:rPr>
          <w:spacing w:val="-8"/>
          <w:sz w:val="18"/>
          <w:szCs w:val="18"/>
          <w:lang w:val="es-ES_tradnl"/>
        </w:rPr>
        <w:t xml:space="preserve">contenido constitucionalmente declarado, evitando que las </w:t>
      </w:r>
      <w:r>
        <w:rPr>
          <w:spacing w:val="-7"/>
          <w:sz w:val="18"/>
          <w:szCs w:val="18"/>
          <w:lang w:val="es-ES_tradnl"/>
        </w:rPr>
        <w:t xml:space="preserve">resoluciones judiciales puedan restringir, menoscabar o </w:t>
      </w:r>
      <w:r>
        <w:rPr>
          <w:spacing w:val="-8"/>
          <w:sz w:val="18"/>
          <w:szCs w:val="18"/>
          <w:lang w:val="es-ES_tradnl"/>
        </w:rPr>
        <w:t>inaplicar el referido contenido, para lo cual se debe realizar un exhaustivo an</w:t>
      </w:r>
      <w:r>
        <w:rPr>
          <w:rFonts w:cs="Times New Roman"/>
          <w:spacing w:val="-8"/>
          <w:sz w:val="18"/>
          <w:szCs w:val="18"/>
          <w:lang w:val="es-ES_tradnl"/>
        </w:rPr>
        <w:t>á</w:t>
      </w:r>
      <w:r>
        <w:rPr>
          <w:spacing w:val="-8"/>
          <w:sz w:val="18"/>
          <w:szCs w:val="18"/>
          <w:lang w:val="es-ES_tradnl"/>
        </w:rPr>
        <w:t>lisis de la sentencia impugnada.</w:t>
      </w:r>
    </w:p>
    <w:p w14:paraId="4F67B46C" w14:textId="77777777" w:rsidR="00591D54" w:rsidRDefault="00591D54">
      <w:pPr>
        <w:shd w:val="clear" w:color="auto" w:fill="FFFFFF"/>
        <w:spacing w:before="192" w:line="216" w:lineRule="exact"/>
        <w:ind w:right="5"/>
        <w:jc w:val="both"/>
      </w:pPr>
      <w:r>
        <w:rPr>
          <w:spacing w:val="-6"/>
          <w:sz w:val="18"/>
          <w:szCs w:val="18"/>
          <w:lang w:val="es-ES_tradnl"/>
        </w:rPr>
        <w:t xml:space="preserve">En el caso </w:t>
      </w:r>
      <w:r>
        <w:rPr>
          <w:i/>
          <w:iCs/>
          <w:spacing w:val="-6"/>
          <w:sz w:val="18"/>
          <w:szCs w:val="18"/>
          <w:lang w:val="es-ES_tradnl"/>
        </w:rPr>
        <w:t>sub examine</w:t>
      </w:r>
      <w:r>
        <w:rPr>
          <w:spacing w:val="-6"/>
          <w:sz w:val="18"/>
          <w:szCs w:val="18"/>
          <w:lang w:val="es-ES_tradnl"/>
        </w:rPr>
        <w:t xml:space="preserve">, la sentencia impugnada se </w:t>
      </w:r>
      <w:r>
        <w:rPr>
          <w:sz w:val="18"/>
          <w:szCs w:val="18"/>
          <w:lang w:val="es-ES_tradnl"/>
        </w:rPr>
        <w:t>circunscribe de la siguiente manera:</w:t>
      </w:r>
    </w:p>
    <w:p w14:paraId="4F67B46D" w14:textId="77777777" w:rsidR="00591D54" w:rsidRDefault="00591D54">
      <w:pPr>
        <w:shd w:val="clear" w:color="auto" w:fill="FFFFFF"/>
        <w:spacing w:before="192" w:line="216" w:lineRule="exact"/>
        <w:ind w:right="5"/>
        <w:jc w:val="both"/>
      </w:pPr>
      <w:r>
        <w:rPr>
          <w:spacing w:val="-5"/>
          <w:sz w:val="18"/>
          <w:szCs w:val="18"/>
          <w:lang w:val="es-ES_tradnl"/>
        </w:rPr>
        <w:t xml:space="preserve">En el primer considerando delimitan la competencia en </w:t>
      </w:r>
      <w:r>
        <w:rPr>
          <w:spacing w:val="-2"/>
          <w:sz w:val="18"/>
          <w:szCs w:val="18"/>
          <w:lang w:val="es-ES_tradnl"/>
        </w:rPr>
        <w:t>base a lo establecido en el segundo inciso del numeral 3 del art</w:t>
      </w:r>
      <w:r>
        <w:rPr>
          <w:rFonts w:cs="Times New Roman"/>
          <w:spacing w:val="-2"/>
          <w:sz w:val="18"/>
          <w:szCs w:val="18"/>
          <w:lang w:val="es-ES_tradnl"/>
        </w:rPr>
        <w:t>í</w:t>
      </w:r>
      <w:r>
        <w:rPr>
          <w:spacing w:val="-2"/>
          <w:sz w:val="18"/>
          <w:szCs w:val="18"/>
          <w:lang w:val="es-ES_tradnl"/>
        </w:rPr>
        <w:t>culo 86 de la Constituci</w:t>
      </w:r>
      <w:r>
        <w:rPr>
          <w:rFonts w:cs="Times New Roman"/>
          <w:spacing w:val="-2"/>
          <w:sz w:val="18"/>
          <w:szCs w:val="18"/>
          <w:lang w:val="es-ES_tradnl"/>
        </w:rPr>
        <w:t>ó</w:t>
      </w:r>
      <w:r>
        <w:rPr>
          <w:spacing w:val="-2"/>
          <w:sz w:val="18"/>
          <w:szCs w:val="18"/>
          <w:lang w:val="es-ES_tradnl"/>
        </w:rPr>
        <w:t>n de la Rep</w:t>
      </w:r>
      <w:r>
        <w:rPr>
          <w:rFonts w:cs="Times New Roman"/>
          <w:spacing w:val="-2"/>
          <w:sz w:val="18"/>
          <w:szCs w:val="18"/>
          <w:lang w:val="es-ES_tradnl"/>
        </w:rPr>
        <w:t>ú</w:t>
      </w:r>
      <w:r>
        <w:rPr>
          <w:spacing w:val="-2"/>
          <w:sz w:val="18"/>
          <w:szCs w:val="18"/>
          <w:lang w:val="es-ES_tradnl"/>
        </w:rPr>
        <w:t xml:space="preserve">blica, </w:t>
      </w:r>
      <w:r>
        <w:rPr>
          <w:spacing w:val="-5"/>
          <w:sz w:val="18"/>
          <w:szCs w:val="18"/>
          <w:lang w:val="es-ES_tradnl"/>
        </w:rPr>
        <w:t>art</w:t>
      </w:r>
      <w:r>
        <w:rPr>
          <w:rFonts w:cs="Times New Roman"/>
          <w:spacing w:val="-5"/>
          <w:sz w:val="18"/>
          <w:szCs w:val="18"/>
          <w:lang w:val="es-ES_tradnl"/>
        </w:rPr>
        <w:t>í</w:t>
      </w:r>
      <w:r>
        <w:rPr>
          <w:spacing w:val="-5"/>
          <w:sz w:val="18"/>
          <w:szCs w:val="18"/>
          <w:lang w:val="es-ES_tradnl"/>
        </w:rPr>
        <w:t>culos 31 y 208 del C</w:t>
      </w:r>
      <w:r>
        <w:rPr>
          <w:rFonts w:cs="Times New Roman"/>
          <w:spacing w:val="-5"/>
          <w:sz w:val="18"/>
          <w:szCs w:val="18"/>
          <w:lang w:val="es-ES_tradnl"/>
        </w:rPr>
        <w:t>ó</w:t>
      </w:r>
      <w:r>
        <w:rPr>
          <w:spacing w:val="-5"/>
          <w:sz w:val="18"/>
          <w:szCs w:val="18"/>
          <w:lang w:val="es-ES_tradnl"/>
        </w:rPr>
        <w:t>digo Org</w:t>
      </w:r>
      <w:r>
        <w:rPr>
          <w:rFonts w:cs="Times New Roman"/>
          <w:spacing w:val="-5"/>
          <w:sz w:val="18"/>
          <w:szCs w:val="18"/>
          <w:lang w:val="es-ES_tradnl"/>
        </w:rPr>
        <w:t>á</w:t>
      </w:r>
      <w:r>
        <w:rPr>
          <w:spacing w:val="-5"/>
          <w:sz w:val="18"/>
          <w:szCs w:val="18"/>
          <w:lang w:val="es-ES_tradnl"/>
        </w:rPr>
        <w:t>nico de la Funci</w:t>
      </w:r>
      <w:r>
        <w:rPr>
          <w:rFonts w:cs="Times New Roman"/>
          <w:spacing w:val="-5"/>
          <w:sz w:val="18"/>
          <w:szCs w:val="18"/>
          <w:lang w:val="es-ES_tradnl"/>
        </w:rPr>
        <w:t>ó</w:t>
      </w:r>
      <w:r>
        <w:rPr>
          <w:spacing w:val="-5"/>
          <w:sz w:val="18"/>
          <w:szCs w:val="18"/>
          <w:lang w:val="es-ES_tradnl"/>
        </w:rPr>
        <w:t xml:space="preserve">n </w:t>
      </w:r>
      <w:r>
        <w:rPr>
          <w:spacing w:val="-3"/>
          <w:sz w:val="18"/>
          <w:szCs w:val="18"/>
          <w:lang w:val="es-ES_tradnl"/>
        </w:rPr>
        <w:t>Judicial. Por tanto, se evidencia que los jueces de Sala</w:t>
      </w:r>
    </w:p>
    <w:p w14:paraId="4F67B46E" w14:textId="77777777" w:rsidR="00591D54" w:rsidRDefault="00591D54">
      <w:pPr>
        <w:shd w:val="clear" w:color="auto" w:fill="FFFFFF"/>
        <w:spacing w:before="509" w:line="178" w:lineRule="exact"/>
        <w:ind w:left="139" w:hanging="139"/>
      </w:pPr>
      <w:r>
        <w:rPr>
          <w:sz w:val="16"/>
          <w:szCs w:val="16"/>
          <w:vertAlign w:val="superscript"/>
          <w:lang w:val="es-ES_tradnl"/>
        </w:rPr>
        <w:t>5</w:t>
      </w:r>
      <w:r>
        <w:rPr>
          <w:sz w:val="16"/>
          <w:szCs w:val="16"/>
          <w:lang w:val="es-ES_tradnl"/>
        </w:rPr>
        <w:t xml:space="preserve">  </w:t>
      </w:r>
      <w:r>
        <w:rPr>
          <w:spacing w:val="-7"/>
          <w:sz w:val="16"/>
          <w:szCs w:val="16"/>
          <w:lang w:val="es-ES_tradnl"/>
        </w:rPr>
        <w:t>Corte Constitucional del Ecuador, sentencia N.</w:t>
      </w:r>
      <w:r>
        <w:rPr>
          <w:rFonts w:cs="Times New Roman"/>
          <w:spacing w:val="-7"/>
          <w:sz w:val="16"/>
          <w:szCs w:val="16"/>
          <w:lang w:val="es-ES_tradnl"/>
        </w:rPr>
        <w:t>º</w:t>
      </w:r>
      <w:r>
        <w:rPr>
          <w:spacing w:val="-7"/>
          <w:sz w:val="16"/>
          <w:szCs w:val="16"/>
          <w:lang w:val="es-ES_tradnl"/>
        </w:rPr>
        <w:t xml:space="preserve"> 062-14-SEP-CC, </w:t>
      </w:r>
      <w:r>
        <w:rPr>
          <w:sz w:val="16"/>
          <w:szCs w:val="16"/>
          <w:lang w:val="es-ES_tradnl"/>
        </w:rPr>
        <w:t>dentro del caso N.</w:t>
      </w:r>
      <w:r>
        <w:rPr>
          <w:rFonts w:cs="Times New Roman"/>
          <w:sz w:val="16"/>
          <w:szCs w:val="16"/>
          <w:lang w:val="es-ES_tradnl"/>
        </w:rPr>
        <w:t>º</w:t>
      </w:r>
      <w:r>
        <w:rPr>
          <w:sz w:val="16"/>
          <w:szCs w:val="16"/>
          <w:lang w:val="es-ES_tradnl"/>
        </w:rPr>
        <w:t xml:space="preserve"> 1616-11-EP, p. 9</w:t>
      </w:r>
    </w:p>
    <w:p w14:paraId="4F67B46F" w14:textId="77777777" w:rsidR="00591D54" w:rsidRDefault="00591D54">
      <w:pPr>
        <w:shd w:val="clear" w:color="auto" w:fill="FFFFFF"/>
        <w:spacing w:line="216" w:lineRule="exact"/>
        <w:jc w:val="both"/>
      </w:pPr>
      <w:r>
        <w:br w:type="column"/>
      </w:r>
      <w:r>
        <w:rPr>
          <w:spacing w:val="-10"/>
          <w:sz w:val="18"/>
          <w:szCs w:val="18"/>
          <w:lang w:val="es-ES_tradnl"/>
        </w:rPr>
        <w:t>establecieron su competencia en raz</w:t>
      </w:r>
      <w:r>
        <w:rPr>
          <w:rFonts w:cs="Times New Roman"/>
          <w:spacing w:val="-10"/>
          <w:sz w:val="18"/>
          <w:szCs w:val="18"/>
          <w:lang w:val="es-ES_tradnl"/>
        </w:rPr>
        <w:t>ó</w:t>
      </w:r>
      <w:r>
        <w:rPr>
          <w:spacing w:val="-10"/>
          <w:sz w:val="18"/>
          <w:szCs w:val="18"/>
          <w:lang w:val="es-ES_tradnl"/>
        </w:rPr>
        <w:t xml:space="preserve">n de lo dispuesto tanto </w:t>
      </w:r>
      <w:r>
        <w:rPr>
          <w:spacing w:val="-5"/>
          <w:sz w:val="18"/>
          <w:szCs w:val="18"/>
          <w:lang w:val="es-ES_tradnl"/>
        </w:rPr>
        <w:t>en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blica y C</w:t>
      </w:r>
      <w:r>
        <w:rPr>
          <w:rFonts w:cs="Times New Roman"/>
          <w:spacing w:val="-5"/>
          <w:sz w:val="18"/>
          <w:szCs w:val="18"/>
          <w:lang w:val="es-ES_tradnl"/>
        </w:rPr>
        <w:t>ó</w:t>
      </w:r>
      <w:r>
        <w:rPr>
          <w:spacing w:val="-5"/>
          <w:sz w:val="18"/>
          <w:szCs w:val="18"/>
          <w:lang w:val="es-ES_tradnl"/>
        </w:rPr>
        <w:t>digo Org</w:t>
      </w:r>
      <w:r>
        <w:rPr>
          <w:rFonts w:cs="Times New Roman"/>
          <w:spacing w:val="-5"/>
          <w:sz w:val="18"/>
          <w:szCs w:val="18"/>
          <w:lang w:val="es-ES_tradnl"/>
        </w:rPr>
        <w:t>á</w:t>
      </w:r>
      <w:r>
        <w:rPr>
          <w:spacing w:val="-5"/>
          <w:sz w:val="18"/>
          <w:szCs w:val="18"/>
          <w:lang w:val="es-ES_tradnl"/>
        </w:rPr>
        <w:t xml:space="preserve">nico de </w:t>
      </w:r>
      <w:r>
        <w:rPr>
          <w:spacing w:val="-8"/>
          <w:sz w:val="18"/>
          <w:szCs w:val="18"/>
          <w:lang w:val="es-ES_tradnl"/>
        </w:rPr>
        <w:t>la Funci</w:t>
      </w:r>
      <w:r>
        <w:rPr>
          <w:rFonts w:cs="Times New Roman"/>
          <w:spacing w:val="-8"/>
          <w:sz w:val="18"/>
          <w:szCs w:val="18"/>
          <w:lang w:val="es-ES_tradnl"/>
        </w:rPr>
        <w:t>ó</w:t>
      </w:r>
      <w:r>
        <w:rPr>
          <w:spacing w:val="-8"/>
          <w:sz w:val="18"/>
          <w:szCs w:val="18"/>
          <w:lang w:val="es-ES_tradnl"/>
        </w:rPr>
        <w:t xml:space="preserve">n Judicial para sustanciar y resolver el recurso de </w:t>
      </w:r>
      <w:r>
        <w:rPr>
          <w:sz w:val="18"/>
          <w:szCs w:val="18"/>
          <w:lang w:val="es-ES_tradnl"/>
        </w:rPr>
        <w:t>apelaci</w:t>
      </w:r>
      <w:r>
        <w:rPr>
          <w:rFonts w:cs="Times New Roman"/>
          <w:sz w:val="18"/>
          <w:szCs w:val="18"/>
          <w:lang w:val="es-ES_tradnl"/>
        </w:rPr>
        <w:t>ó</w:t>
      </w:r>
      <w:r>
        <w:rPr>
          <w:sz w:val="18"/>
          <w:szCs w:val="18"/>
          <w:lang w:val="es-ES_tradnl"/>
        </w:rPr>
        <w:t>n.</w:t>
      </w:r>
    </w:p>
    <w:p w14:paraId="4F67B470" w14:textId="77777777" w:rsidR="00591D54" w:rsidRDefault="00591D54">
      <w:pPr>
        <w:shd w:val="clear" w:color="auto" w:fill="FFFFFF"/>
        <w:spacing w:before="197" w:line="216" w:lineRule="exact"/>
        <w:jc w:val="both"/>
      </w:pPr>
      <w:r>
        <w:rPr>
          <w:spacing w:val="-6"/>
          <w:sz w:val="18"/>
          <w:szCs w:val="18"/>
          <w:lang w:val="es-ES_tradnl"/>
        </w:rPr>
        <w:t xml:space="preserve">En el segundo considerando expresan que declaran la </w:t>
      </w:r>
      <w:r>
        <w:rPr>
          <w:sz w:val="18"/>
          <w:szCs w:val="18"/>
          <w:lang w:val="es-ES_tradnl"/>
        </w:rPr>
        <w:t>validez del proceso.</w:t>
      </w:r>
    </w:p>
    <w:p w14:paraId="4F67B471" w14:textId="77777777" w:rsidR="00591D54" w:rsidRDefault="00591D54">
      <w:pPr>
        <w:shd w:val="clear" w:color="auto" w:fill="FFFFFF"/>
        <w:spacing w:before="197" w:line="216" w:lineRule="exact"/>
        <w:jc w:val="both"/>
      </w:pPr>
      <w:r>
        <w:rPr>
          <w:spacing w:val="-3"/>
          <w:sz w:val="18"/>
          <w:szCs w:val="18"/>
          <w:lang w:val="es-ES_tradnl"/>
        </w:rPr>
        <w:t>En el tercero transcriben lo que se detalla en el art</w:t>
      </w:r>
      <w:r>
        <w:rPr>
          <w:rFonts w:cs="Times New Roman"/>
          <w:spacing w:val="-3"/>
          <w:sz w:val="18"/>
          <w:szCs w:val="18"/>
          <w:lang w:val="es-ES_tradnl"/>
        </w:rPr>
        <w:t>í</w:t>
      </w:r>
      <w:r>
        <w:rPr>
          <w:spacing w:val="-3"/>
          <w:sz w:val="18"/>
          <w:szCs w:val="18"/>
          <w:lang w:val="es-ES_tradnl"/>
        </w:rPr>
        <w:t xml:space="preserve">culo </w:t>
      </w:r>
      <w:r>
        <w:rPr>
          <w:spacing w:val="-6"/>
          <w:sz w:val="18"/>
          <w:szCs w:val="18"/>
          <w:lang w:val="es-ES_tradnl"/>
        </w:rPr>
        <w:t>88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que trata sobre la </w:t>
      </w:r>
      <w:r>
        <w:rPr>
          <w:spacing w:val="-8"/>
          <w:sz w:val="18"/>
          <w:szCs w:val="18"/>
          <w:lang w:val="es-ES_tradnl"/>
        </w:rPr>
        <w:t>acci</w:t>
      </w:r>
      <w:r>
        <w:rPr>
          <w:rFonts w:cs="Times New Roman"/>
          <w:spacing w:val="-8"/>
          <w:sz w:val="18"/>
          <w:szCs w:val="18"/>
          <w:lang w:val="es-ES_tradnl"/>
        </w:rPr>
        <w:t>ó</w:t>
      </w:r>
      <w:r>
        <w:rPr>
          <w:spacing w:val="-8"/>
          <w:sz w:val="18"/>
          <w:szCs w:val="18"/>
          <w:lang w:val="es-ES_tradnl"/>
        </w:rPr>
        <w:t>n de protecci</w:t>
      </w:r>
      <w:r>
        <w:rPr>
          <w:rFonts w:cs="Times New Roman"/>
          <w:spacing w:val="-8"/>
          <w:sz w:val="18"/>
          <w:szCs w:val="18"/>
          <w:lang w:val="es-ES_tradnl"/>
        </w:rPr>
        <w:t>ó</w:t>
      </w:r>
      <w:r>
        <w:rPr>
          <w:spacing w:val="-8"/>
          <w:sz w:val="18"/>
          <w:szCs w:val="18"/>
          <w:lang w:val="es-ES_tradnl"/>
        </w:rPr>
        <w:t>n, sin realizar un an</w:t>
      </w:r>
      <w:r>
        <w:rPr>
          <w:rFonts w:cs="Times New Roman"/>
          <w:spacing w:val="-8"/>
          <w:sz w:val="18"/>
          <w:szCs w:val="18"/>
          <w:lang w:val="es-ES_tradnl"/>
        </w:rPr>
        <w:t>á</w:t>
      </w:r>
      <w:r>
        <w:rPr>
          <w:spacing w:val="-8"/>
          <w:sz w:val="18"/>
          <w:szCs w:val="18"/>
          <w:lang w:val="es-ES_tradnl"/>
        </w:rPr>
        <w:t>lisis al respecto del referido art</w:t>
      </w:r>
      <w:r>
        <w:rPr>
          <w:rFonts w:cs="Times New Roman"/>
          <w:spacing w:val="-8"/>
          <w:sz w:val="18"/>
          <w:szCs w:val="18"/>
          <w:lang w:val="es-ES_tradnl"/>
        </w:rPr>
        <w:t>í</w:t>
      </w:r>
      <w:r>
        <w:rPr>
          <w:spacing w:val="-8"/>
          <w:sz w:val="18"/>
          <w:szCs w:val="18"/>
          <w:lang w:val="es-ES_tradnl"/>
        </w:rPr>
        <w:t>culo, pues solo consta la mera transcripci</w:t>
      </w:r>
      <w:r>
        <w:rPr>
          <w:rFonts w:cs="Times New Roman"/>
          <w:spacing w:val="-8"/>
          <w:sz w:val="18"/>
          <w:szCs w:val="18"/>
          <w:lang w:val="es-ES_tradnl"/>
        </w:rPr>
        <w:t>ó</w:t>
      </w:r>
      <w:r>
        <w:rPr>
          <w:spacing w:val="-8"/>
          <w:sz w:val="18"/>
          <w:szCs w:val="18"/>
          <w:lang w:val="es-ES_tradnl"/>
        </w:rPr>
        <w:t xml:space="preserve">n del </w:t>
      </w:r>
      <w:r>
        <w:rPr>
          <w:spacing w:val="-9"/>
          <w:sz w:val="18"/>
          <w:szCs w:val="18"/>
          <w:lang w:val="es-ES_tradnl"/>
        </w:rPr>
        <w:t>mismo, lo cual no es suficiente para una debida motivaci</w:t>
      </w:r>
      <w:r>
        <w:rPr>
          <w:rFonts w:cs="Times New Roman"/>
          <w:spacing w:val="-9"/>
          <w:sz w:val="18"/>
          <w:szCs w:val="18"/>
          <w:lang w:val="es-ES_tradnl"/>
        </w:rPr>
        <w:t>ó</w:t>
      </w:r>
      <w:r>
        <w:rPr>
          <w:spacing w:val="-9"/>
          <w:sz w:val="18"/>
          <w:szCs w:val="18"/>
          <w:lang w:val="es-ES_tradnl"/>
        </w:rPr>
        <w:t>n.</w:t>
      </w:r>
    </w:p>
    <w:p w14:paraId="4F67B472" w14:textId="77777777" w:rsidR="00591D54" w:rsidRDefault="00591D54">
      <w:pPr>
        <w:shd w:val="clear" w:color="auto" w:fill="FFFFFF"/>
        <w:spacing w:before="192" w:line="216" w:lineRule="exact"/>
        <w:jc w:val="both"/>
      </w:pPr>
      <w:r>
        <w:rPr>
          <w:spacing w:val="-10"/>
          <w:sz w:val="18"/>
          <w:szCs w:val="18"/>
          <w:lang w:val="es-ES_tradnl"/>
        </w:rPr>
        <w:t xml:space="preserve">En lo concerniente al cuarto considerando se menciona, que </w:t>
      </w:r>
      <w:r>
        <w:rPr>
          <w:spacing w:val="-8"/>
          <w:sz w:val="18"/>
          <w:szCs w:val="18"/>
          <w:lang w:val="es-ES_tradnl"/>
        </w:rPr>
        <w:t>la recurrente, representante legal de la compa</w:t>
      </w:r>
      <w:r>
        <w:rPr>
          <w:rFonts w:cs="Times New Roman"/>
          <w:spacing w:val="-8"/>
          <w:sz w:val="18"/>
          <w:szCs w:val="18"/>
          <w:lang w:val="es-ES_tradnl"/>
        </w:rPr>
        <w:t>ñí</w:t>
      </w:r>
      <w:r>
        <w:rPr>
          <w:spacing w:val="-8"/>
          <w:sz w:val="18"/>
          <w:szCs w:val="18"/>
          <w:lang w:val="es-ES_tradnl"/>
        </w:rPr>
        <w:t xml:space="preserve">a Piscinas </w:t>
      </w:r>
      <w:r>
        <w:rPr>
          <w:sz w:val="18"/>
          <w:szCs w:val="18"/>
          <w:lang w:val="es-ES_tradnl"/>
        </w:rPr>
        <w:t xml:space="preserve">del Ecuador S. A. (PIDESA), impugna el fallo del juez </w:t>
      </w:r>
      <w:r>
        <w:rPr>
          <w:i/>
          <w:iCs/>
          <w:spacing w:val="-6"/>
          <w:sz w:val="18"/>
          <w:szCs w:val="18"/>
          <w:lang w:val="es-ES_tradnl"/>
        </w:rPr>
        <w:t xml:space="preserve">a quo </w:t>
      </w:r>
      <w:r>
        <w:rPr>
          <w:spacing w:val="-6"/>
          <w:sz w:val="18"/>
          <w:szCs w:val="18"/>
          <w:lang w:val="es-ES_tradnl"/>
        </w:rPr>
        <w:t xml:space="preserve">el cual refiere que es contrario a lo que dispone la </w:t>
      </w:r>
      <w:r>
        <w:rPr>
          <w:sz w:val="18"/>
          <w:szCs w:val="18"/>
          <w:lang w:val="es-ES_tradnl"/>
        </w:rPr>
        <w:t>Norma Suprema.</w:t>
      </w:r>
    </w:p>
    <w:p w14:paraId="4F67B473" w14:textId="77777777" w:rsidR="00591D54" w:rsidRDefault="00591D54">
      <w:pPr>
        <w:shd w:val="clear" w:color="auto" w:fill="FFFFFF"/>
        <w:spacing w:before="192" w:line="216" w:lineRule="exact"/>
        <w:jc w:val="both"/>
      </w:pPr>
      <w:r>
        <w:rPr>
          <w:spacing w:val="-4"/>
          <w:sz w:val="18"/>
          <w:szCs w:val="18"/>
          <w:lang w:val="es-ES_tradnl"/>
        </w:rPr>
        <w:t xml:space="preserve">En el quinto relatan los antecedentes de hecho de la </w:t>
      </w:r>
      <w:r>
        <w:rPr>
          <w:spacing w:val="-7"/>
          <w:sz w:val="18"/>
          <w:szCs w:val="18"/>
          <w:lang w:val="es-ES_tradnl"/>
        </w:rPr>
        <w:t>demanda de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n propuesta por la se</w:t>
      </w:r>
      <w:r>
        <w:rPr>
          <w:rFonts w:cs="Times New Roman"/>
          <w:spacing w:val="-7"/>
          <w:sz w:val="18"/>
          <w:szCs w:val="18"/>
          <w:lang w:val="es-ES_tradnl"/>
        </w:rPr>
        <w:t>ñ</w:t>
      </w:r>
      <w:r>
        <w:rPr>
          <w:spacing w:val="-7"/>
          <w:sz w:val="18"/>
          <w:szCs w:val="18"/>
          <w:lang w:val="es-ES_tradnl"/>
        </w:rPr>
        <w:t xml:space="preserve">ora </w:t>
      </w:r>
      <w:r>
        <w:rPr>
          <w:spacing w:val="-4"/>
          <w:sz w:val="18"/>
          <w:szCs w:val="18"/>
          <w:lang w:val="es-ES_tradnl"/>
        </w:rPr>
        <w:t>Blanca Cordero, representante legal de la compa</w:t>
      </w:r>
      <w:r>
        <w:rPr>
          <w:rFonts w:cs="Times New Roman"/>
          <w:spacing w:val="-4"/>
          <w:sz w:val="18"/>
          <w:szCs w:val="18"/>
          <w:lang w:val="es-ES_tradnl"/>
        </w:rPr>
        <w:t>ñí</w:t>
      </w:r>
      <w:r>
        <w:rPr>
          <w:spacing w:val="-4"/>
          <w:sz w:val="18"/>
          <w:szCs w:val="18"/>
          <w:lang w:val="es-ES_tradnl"/>
        </w:rPr>
        <w:t xml:space="preserve">a </w:t>
      </w:r>
      <w:r>
        <w:rPr>
          <w:spacing w:val="-7"/>
          <w:sz w:val="18"/>
          <w:szCs w:val="18"/>
          <w:lang w:val="es-ES_tradnl"/>
        </w:rPr>
        <w:t>PIDESA; as</w:t>
      </w:r>
      <w:r>
        <w:rPr>
          <w:rFonts w:cs="Times New Roman"/>
          <w:spacing w:val="-7"/>
          <w:sz w:val="18"/>
          <w:szCs w:val="18"/>
          <w:lang w:val="es-ES_tradnl"/>
        </w:rPr>
        <w:t>í</w:t>
      </w:r>
      <w:r>
        <w:rPr>
          <w:spacing w:val="-7"/>
          <w:sz w:val="18"/>
          <w:szCs w:val="18"/>
          <w:lang w:val="es-ES_tradnl"/>
        </w:rPr>
        <w:t xml:space="preserve"> como la intervenci</w:t>
      </w:r>
      <w:r>
        <w:rPr>
          <w:rFonts w:cs="Times New Roman"/>
          <w:spacing w:val="-7"/>
          <w:sz w:val="18"/>
          <w:szCs w:val="18"/>
          <w:lang w:val="es-ES_tradnl"/>
        </w:rPr>
        <w:t>ó</w:t>
      </w:r>
      <w:r>
        <w:rPr>
          <w:spacing w:val="-7"/>
          <w:sz w:val="18"/>
          <w:szCs w:val="18"/>
          <w:lang w:val="es-ES_tradnl"/>
        </w:rPr>
        <w:t>n de la referida compa</w:t>
      </w:r>
      <w:r>
        <w:rPr>
          <w:rFonts w:cs="Times New Roman"/>
          <w:spacing w:val="-7"/>
          <w:sz w:val="18"/>
          <w:szCs w:val="18"/>
          <w:lang w:val="es-ES_tradnl"/>
        </w:rPr>
        <w:t>ñí</w:t>
      </w:r>
      <w:r>
        <w:rPr>
          <w:spacing w:val="-7"/>
          <w:sz w:val="18"/>
          <w:szCs w:val="18"/>
          <w:lang w:val="es-ES_tradnl"/>
        </w:rPr>
        <w:t xml:space="preserve">a </w:t>
      </w:r>
      <w:r>
        <w:rPr>
          <w:spacing w:val="-5"/>
          <w:sz w:val="18"/>
          <w:szCs w:val="18"/>
          <w:lang w:val="es-ES_tradnl"/>
        </w:rPr>
        <w:t>por parte de la Intendencia de Compa</w:t>
      </w:r>
      <w:r>
        <w:rPr>
          <w:rFonts w:cs="Times New Roman"/>
          <w:spacing w:val="-5"/>
          <w:sz w:val="18"/>
          <w:szCs w:val="18"/>
          <w:lang w:val="es-ES_tradnl"/>
        </w:rPr>
        <w:t>ñí</w:t>
      </w:r>
      <w:r>
        <w:rPr>
          <w:spacing w:val="-5"/>
          <w:sz w:val="18"/>
          <w:szCs w:val="18"/>
          <w:lang w:val="es-ES_tradnl"/>
        </w:rPr>
        <w:t xml:space="preserve">as de Guayaquil; </w:t>
      </w:r>
      <w:r>
        <w:rPr>
          <w:spacing w:val="-1"/>
          <w:sz w:val="18"/>
          <w:szCs w:val="18"/>
          <w:lang w:val="es-ES_tradnl"/>
        </w:rPr>
        <w:t>la denuncia de la se</w:t>
      </w:r>
      <w:r>
        <w:rPr>
          <w:rFonts w:cs="Times New Roman"/>
          <w:spacing w:val="-1"/>
          <w:sz w:val="18"/>
          <w:szCs w:val="18"/>
          <w:lang w:val="es-ES_tradnl"/>
        </w:rPr>
        <w:t>ñ</w:t>
      </w:r>
      <w:r>
        <w:rPr>
          <w:spacing w:val="-1"/>
          <w:sz w:val="18"/>
          <w:szCs w:val="18"/>
          <w:lang w:val="es-ES_tradnl"/>
        </w:rPr>
        <w:t>ora Zoila Flori Sanc</w:t>
      </w:r>
      <w:r>
        <w:rPr>
          <w:rFonts w:cs="Times New Roman"/>
          <w:spacing w:val="-1"/>
          <w:sz w:val="18"/>
          <w:szCs w:val="18"/>
          <w:lang w:val="es-ES_tradnl"/>
        </w:rPr>
        <w:t>á</w:t>
      </w:r>
      <w:r>
        <w:rPr>
          <w:spacing w:val="-1"/>
          <w:sz w:val="18"/>
          <w:szCs w:val="18"/>
          <w:lang w:val="es-ES_tradnl"/>
        </w:rPr>
        <w:t xml:space="preserve">n por los </w:t>
      </w:r>
      <w:r>
        <w:rPr>
          <w:spacing w:val="-4"/>
          <w:sz w:val="18"/>
          <w:szCs w:val="18"/>
          <w:lang w:val="es-ES_tradnl"/>
        </w:rPr>
        <w:t>derechos que representa de su hijo, quien solicit</w:t>
      </w:r>
      <w:r>
        <w:rPr>
          <w:rFonts w:cs="Times New Roman"/>
          <w:spacing w:val="-4"/>
          <w:sz w:val="18"/>
          <w:szCs w:val="18"/>
          <w:lang w:val="es-ES_tradnl"/>
        </w:rPr>
        <w:t>ó</w:t>
      </w:r>
      <w:r>
        <w:rPr>
          <w:spacing w:val="-4"/>
          <w:sz w:val="18"/>
          <w:szCs w:val="18"/>
          <w:lang w:val="es-ES_tradnl"/>
        </w:rPr>
        <w:t xml:space="preserve"> a la </w:t>
      </w:r>
      <w:r>
        <w:rPr>
          <w:spacing w:val="-8"/>
          <w:sz w:val="18"/>
          <w:szCs w:val="18"/>
          <w:lang w:val="es-ES_tradnl"/>
        </w:rPr>
        <w:t>Superintendencia de Compa</w:t>
      </w:r>
      <w:r>
        <w:rPr>
          <w:rFonts w:cs="Times New Roman"/>
          <w:spacing w:val="-8"/>
          <w:sz w:val="18"/>
          <w:szCs w:val="18"/>
          <w:lang w:val="es-ES_tradnl"/>
        </w:rPr>
        <w:t>ñí</w:t>
      </w:r>
      <w:r>
        <w:rPr>
          <w:spacing w:val="-8"/>
          <w:sz w:val="18"/>
          <w:szCs w:val="18"/>
          <w:lang w:val="es-ES_tradnl"/>
        </w:rPr>
        <w:t xml:space="preserve">as que revisen los balances </w:t>
      </w:r>
      <w:r>
        <w:rPr>
          <w:spacing w:val="-3"/>
          <w:sz w:val="18"/>
          <w:szCs w:val="18"/>
          <w:lang w:val="es-ES_tradnl"/>
        </w:rPr>
        <w:t>contables de la compa</w:t>
      </w:r>
      <w:r>
        <w:rPr>
          <w:rFonts w:cs="Times New Roman"/>
          <w:spacing w:val="-3"/>
          <w:sz w:val="18"/>
          <w:szCs w:val="18"/>
          <w:lang w:val="es-ES_tradnl"/>
        </w:rPr>
        <w:t>ñí</w:t>
      </w:r>
      <w:r>
        <w:rPr>
          <w:spacing w:val="-3"/>
          <w:sz w:val="18"/>
          <w:szCs w:val="18"/>
          <w:lang w:val="es-ES_tradnl"/>
        </w:rPr>
        <w:t xml:space="preserve">a y el destino de las utilidades </w:t>
      </w:r>
      <w:r>
        <w:rPr>
          <w:spacing w:val="-4"/>
          <w:sz w:val="18"/>
          <w:szCs w:val="18"/>
          <w:lang w:val="es-ES_tradnl"/>
        </w:rPr>
        <w:t>que deb</w:t>
      </w:r>
      <w:r>
        <w:rPr>
          <w:rFonts w:cs="Times New Roman"/>
          <w:spacing w:val="-4"/>
          <w:sz w:val="18"/>
          <w:szCs w:val="18"/>
          <w:lang w:val="es-ES_tradnl"/>
        </w:rPr>
        <w:t>í</w:t>
      </w:r>
      <w:r>
        <w:rPr>
          <w:spacing w:val="-4"/>
          <w:sz w:val="18"/>
          <w:szCs w:val="18"/>
          <w:lang w:val="es-ES_tradnl"/>
        </w:rPr>
        <w:t xml:space="preserve">an corresponderle a su hijo; un extracto de la </w:t>
      </w:r>
      <w:r>
        <w:rPr>
          <w:spacing w:val="-6"/>
          <w:sz w:val="18"/>
          <w:szCs w:val="18"/>
          <w:lang w:val="es-ES_tradnl"/>
        </w:rPr>
        <w:t>audiencia p</w:t>
      </w:r>
      <w:r>
        <w:rPr>
          <w:rFonts w:cs="Times New Roman"/>
          <w:spacing w:val="-6"/>
          <w:sz w:val="18"/>
          <w:szCs w:val="18"/>
          <w:lang w:val="es-ES_tradnl"/>
        </w:rPr>
        <w:t>ú</w:t>
      </w:r>
      <w:r>
        <w:rPr>
          <w:spacing w:val="-6"/>
          <w:sz w:val="18"/>
          <w:szCs w:val="18"/>
          <w:lang w:val="es-ES_tradnl"/>
        </w:rPr>
        <w:t>blica celebrada ante el juez de primer nivel y que en su parte pertinente relata sobre la disposici</w:t>
      </w:r>
      <w:r>
        <w:rPr>
          <w:rFonts w:cs="Times New Roman"/>
          <w:spacing w:val="-6"/>
          <w:sz w:val="18"/>
          <w:szCs w:val="18"/>
          <w:lang w:val="es-ES_tradnl"/>
        </w:rPr>
        <w:t>ó</w:t>
      </w:r>
      <w:r>
        <w:rPr>
          <w:spacing w:val="-6"/>
          <w:sz w:val="18"/>
          <w:szCs w:val="18"/>
          <w:lang w:val="es-ES_tradnl"/>
        </w:rPr>
        <w:t xml:space="preserve">n que </w:t>
      </w:r>
      <w:r>
        <w:rPr>
          <w:spacing w:val="-8"/>
          <w:sz w:val="18"/>
          <w:szCs w:val="18"/>
          <w:lang w:val="es-ES_tradnl"/>
        </w:rPr>
        <w:t>emiti</w:t>
      </w:r>
      <w:r>
        <w:rPr>
          <w:rFonts w:cs="Times New Roman"/>
          <w:spacing w:val="-8"/>
          <w:sz w:val="18"/>
          <w:szCs w:val="18"/>
          <w:lang w:val="es-ES_tradnl"/>
        </w:rPr>
        <w:t>ó</w:t>
      </w:r>
      <w:r>
        <w:rPr>
          <w:spacing w:val="-8"/>
          <w:sz w:val="18"/>
          <w:szCs w:val="18"/>
          <w:lang w:val="es-ES_tradnl"/>
        </w:rPr>
        <w:t xml:space="preserve"> la jueza d</w:t>
      </w:r>
      <w:r>
        <w:rPr>
          <w:rFonts w:cs="Times New Roman"/>
          <w:spacing w:val="-8"/>
          <w:sz w:val="18"/>
          <w:szCs w:val="18"/>
          <w:lang w:val="es-ES_tradnl"/>
        </w:rPr>
        <w:t>é</w:t>
      </w:r>
      <w:r>
        <w:rPr>
          <w:spacing w:val="-8"/>
          <w:sz w:val="18"/>
          <w:szCs w:val="18"/>
          <w:lang w:val="es-ES_tradnl"/>
        </w:rPr>
        <w:t>cima segunda de la ni</w:t>
      </w:r>
      <w:r>
        <w:rPr>
          <w:rFonts w:cs="Times New Roman"/>
          <w:spacing w:val="-8"/>
          <w:sz w:val="18"/>
          <w:szCs w:val="18"/>
          <w:lang w:val="es-ES_tradnl"/>
        </w:rPr>
        <w:t>ñ</w:t>
      </w:r>
      <w:r>
        <w:rPr>
          <w:spacing w:val="-8"/>
          <w:sz w:val="18"/>
          <w:szCs w:val="18"/>
          <w:lang w:val="es-ES_tradnl"/>
        </w:rPr>
        <w:t xml:space="preserve">ez y adolescencia </w:t>
      </w:r>
      <w:r>
        <w:rPr>
          <w:spacing w:val="-6"/>
          <w:sz w:val="18"/>
          <w:szCs w:val="18"/>
          <w:lang w:val="es-ES_tradnl"/>
        </w:rPr>
        <w:t>del Guayas dentro de la acci</w:t>
      </w:r>
      <w:r>
        <w:rPr>
          <w:rFonts w:cs="Times New Roman"/>
          <w:spacing w:val="-6"/>
          <w:sz w:val="18"/>
          <w:szCs w:val="18"/>
          <w:lang w:val="es-ES_tradnl"/>
        </w:rPr>
        <w:t>ó</w:t>
      </w:r>
      <w:r>
        <w:rPr>
          <w:spacing w:val="-6"/>
          <w:sz w:val="18"/>
          <w:szCs w:val="18"/>
          <w:lang w:val="es-ES_tradnl"/>
        </w:rPr>
        <w:t>n de protecci</w:t>
      </w:r>
      <w:r>
        <w:rPr>
          <w:rFonts w:cs="Times New Roman"/>
          <w:spacing w:val="-6"/>
          <w:sz w:val="18"/>
          <w:szCs w:val="18"/>
          <w:lang w:val="es-ES_tradnl"/>
        </w:rPr>
        <w:t>ó</w:t>
      </w:r>
      <w:r>
        <w:rPr>
          <w:spacing w:val="-6"/>
          <w:sz w:val="18"/>
          <w:szCs w:val="18"/>
          <w:lang w:val="es-ES_tradnl"/>
        </w:rPr>
        <w:t>n que plante</w:t>
      </w:r>
      <w:r>
        <w:rPr>
          <w:rFonts w:cs="Times New Roman"/>
          <w:spacing w:val="-6"/>
          <w:sz w:val="18"/>
          <w:szCs w:val="18"/>
          <w:lang w:val="es-ES_tradnl"/>
        </w:rPr>
        <w:t xml:space="preserve">ó </w:t>
      </w:r>
      <w:r>
        <w:rPr>
          <w:spacing w:val="-3"/>
          <w:sz w:val="18"/>
          <w:szCs w:val="18"/>
          <w:lang w:val="es-ES_tradnl"/>
        </w:rPr>
        <w:t>Zoila Flori Sanc</w:t>
      </w:r>
      <w:r>
        <w:rPr>
          <w:rFonts w:cs="Times New Roman"/>
          <w:spacing w:val="-3"/>
          <w:sz w:val="18"/>
          <w:szCs w:val="18"/>
          <w:lang w:val="es-ES_tradnl"/>
        </w:rPr>
        <w:t>á</w:t>
      </w:r>
      <w:r>
        <w:rPr>
          <w:spacing w:val="-3"/>
          <w:sz w:val="18"/>
          <w:szCs w:val="18"/>
          <w:lang w:val="es-ES_tradnl"/>
        </w:rPr>
        <w:t>n madre del menor (caso 0083-2011), en la cual dispuso la intervenci</w:t>
      </w:r>
      <w:r>
        <w:rPr>
          <w:rFonts w:cs="Times New Roman"/>
          <w:spacing w:val="-3"/>
          <w:sz w:val="18"/>
          <w:szCs w:val="18"/>
          <w:lang w:val="es-ES_tradnl"/>
        </w:rPr>
        <w:t>ó</w:t>
      </w:r>
      <w:r>
        <w:rPr>
          <w:spacing w:val="-3"/>
          <w:sz w:val="18"/>
          <w:szCs w:val="18"/>
          <w:lang w:val="es-ES_tradnl"/>
        </w:rPr>
        <w:t>n de varias compa</w:t>
      </w:r>
      <w:r>
        <w:rPr>
          <w:rFonts w:cs="Times New Roman"/>
          <w:spacing w:val="-3"/>
          <w:sz w:val="18"/>
          <w:szCs w:val="18"/>
          <w:lang w:val="es-ES_tradnl"/>
        </w:rPr>
        <w:t>ñí</w:t>
      </w:r>
      <w:r>
        <w:rPr>
          <w:spacing w:val="-3"/>
          <w:sz w:val="18"/>
          <w:szCs w:val="18"/>
          <w:lang w:val="es-ES_tradnl"/>
        </w:rPr>
        <w:t xml:space="preserve">as </w:t>
      </w:r>
      <w:r>
        <w:rPr>
          <w:sz w:val="18"/>
          <w:szCs w:val="18"/>
          <w:lang w:val="es-ES_tradnl"/>
        </w:rPr>
        <w:t>que fueron de propiedad del se</w:t>
      </w:r>
      <w:r>
        <w:rPr>
          <w:rFonts w:cs="Times New Roman"/>
          <w:sz w:val="18"/>
          <w:szCs w:val="18"/>
          <w:lang w:val="es-ES_tradnl"/>
        </w:rPr>
        <w:t>ñ</w:t>
      </w:r>
      <w:r>
        <w:rPr>
          <w:sz w:val="18"/>
          <w:szCs w:val="18"/>
          <w:lang w:val="es-ES_tradnl"/>
        </w:rPr>
        <w:t>or Jorge Maura Ru</w:t>
      </w:r>
      <w:r>
        <w:rPr>
          <w:rFonts w:cs="Times New Roman"/>
          <w:sz w:val="18"/>
          <w:szCs w:val="18"/>
          <w:lang w:val="es-ES_tradnl"/>
        </w:rPr>
        <w:t>í</w:t>
      </w:r>
      <w:r>
        <w:rPr>
          <w:sz w:val="18"/>
          <w:szCs w:val="18"/>
          <w:lang w:val="es-ES_tradnl"/>
        </w:rPr>
        <w:t xml:space="preserve">z </w:t>
      </w:r>
      <w:r>
        <w:rPr>
          <w:spacing w:val="-5"/>
          <w:sz w:val="18"/>
          <w:szCs w:val="18"/>
          <w:lang w:val="es-ES_tradnl"/>
        </w:rPr>
        <w:t>en el t</w:t>
      </w:r>
      <w:r>
        <w:rPr>
          <w:rFonts w:cs="Times New Roman"/>
          <w:spacing w:val="-5"/>
          <w:sz w:val="18"/>
          <w:szCs w:val="18"/>
          <w:lang w:val="es-ES_tradnl"/>
        </w:rPr>
        <w:t>é</w:t>
      </w:r>
      <w:r>
        <w:rPr>
          <w:spacing w:val="-5"/>
          <w:sz w:val="18"/>
          <w:szCs w:val="18"/>
          <w:lang w:val="es-ES_tradnl"/>
        </w:rPr>
        <w:t>rmino de diez d</w:t>
      </w:r>
      <w:r>
        <w:rPr>
          <w:rFonts w:cs="Times New Roman"/>
          <w:spacing w:val="-5"/>
          <w:sz w:val="18"/>
          <w:szCs w:val="18"/>
          <w:lang w:val="es-ES_tradnl"/>
        </w:rPr>
        <w:t>í</w:t>
      </w:r>
      <w:r>
        <w:rPr>
          <w:spacing w:val="-5"/>
          <w:sz w:val="18"/>
          <w:szCs w:val="18"/>
          <w:lang w:val="es-ES_tradnl"/>
        </w:rPr>
        <w:t xml:space="preserve">as y la correspondiente tutela al </w:t>
      </w:r>
      <w:r>
        <w:rPr>
          <w:spacing w:val="-4"/>
          <w:sz w:val="18"/>
          <w:szCs w:val="18"/>
          <w:lang w:val="es-ES_tradnl"/>
        </w:rPr>
        <w:t xml:space="preserve">menor NN como heredero en las acciones y particiones </w:t>
      </w:r>
      <w:r>
        <w:rPr>
          <w:spacing w:val="-8"/>
          <w:sz w:val="18"/>
          <w:szCs w:val="18"/>
          <w:lang w:val="es-ES_tradnl"/>
        </w:rPr>
        <w:t>de las empresas. Es de indicar, que aqu</w:t>
      </w:r>
      <w:r>
        <w:rPr>
          <w:rFonts w:cs="Times New Roman"/>
          <w:spacing w:val="-8"/>
          <w:sz w:val="18"/>
          <w:szCs w:val="18"/>
          <w:lang w:val="es-ES_tradnl"/>
        </w:rPr>
        <w:t>í</w:t>
      </w:r>
      <w:r>
        <w:rPr>
          <w:spacing w:val="-8"/>
          <w:sz w:val="18"/>
          <w:szCs w:val="18"/>
          <w:lang w:val="es-ES_tradnl"/>
        </w:rPr>
        <w:t xml:space="preserve"> se detallan varios </w:t>
      </w:r>
      <w:r>
        <w:rPr>
          <w:spacing w:val="-10"/>
          <w:sz w:val="18"/>
          <w:szCs w:val="18"/>
          <w:lang w:val="es-ES_tradnl"/>
        </w:rPr>
        <w:t>documentos anexados al expediente adem</w:t>
      </w:r>
      <w:r>
        <w:rPr>
          <w:rFonts w:cs="Times New Roman"/>
          <w:spacing w:val="-10"/>
          <w:sz w:val="18"/>
          <w:szCs w:val="18"/>
          <w:lang w:val="es-ES_tradnl"/>
        </w:rPr>
        <w:t>á</w:t>
      </w:r>
      <w:r>
        <w:rPr>
          <w:spacing w:val="-10"/>
          <w:sz w:val="18"/>
          <w:szCs w:val="18"/>
          <w:lang w:val="es-ES_tradnl"/>
        </w:rPr>
        <w:t xml:space="preserve">s, de mencionar </w:t>
      </w:r>
      <w:r>
        <w:rPr>
          <w:spacing w:val="-3"/>
          <w:sz w:val="18"/>
          <w:szCs w:val="18"/>
          <w:lang w:val="es-ES_tradnl"/>
        </w:rPr>
        <w:t>que existe una sentencia de acci</w:t>
      </w:r>
      <w:r>
        <w:rPr>
          <w:rFonts w:cs="Times New Roman"/>
          <w:spacing w:val="-3"/>
          <w:sz w:val="18"/>
          <w:szCs w:val="18"/>
          <w:lang w:val="es-ES_tradnl"/>
        </w:rPr>
        <w:t>ó</w:t>
      </w:r>
      <w:r>
        <w:rPr>
          <w:spacing w:val="-3"/>
          <w:sz w:val="18"/>
          <w:szCs w:val="18"/>
          <w:lang w:val="es-ES_tradnl"/>
        </w:rPr>
        <w:t>n de protecci</w:t>
      </w:r>
      <w:r>
        <w:rPr>
          <w:rFonts w:cs="Times New Roman"/>
          <w:spacing w:val="-3"/>
          <w:sz w:val="18"/>
          <w:szCs w:val="18"/>
          <w:lang w:val="es-ES_tradnl"/>
        </w:rPr>
        <w:t>ó</w:t>
      </w:r>
      <w:r>
        <w:rPr>
          <w:spacing w:val="-3"/>
          <w:sz w:val="18"/>
          <w:szCs w:val="18"/>
          <w:lang w:val="es-ES_tradnl"/>
        </w:rPr>
        <w:t xml:space="preserve">n, a la </w:t>
      </w:r>
      <w:r>
        <w:rPr>
          <w:spacing w:val="-6"/>
          <w:sz w:val="18"/>
          <w:szCs w:val="18"/>
          <w:lang w:val="es-ES_tradnl"/>
        </w:rPr>
        <w:t xml:space="preserve">cual no le dan importancia, pues no indican nada de esa </w:t>
      </w:r>
      <w:r>
        <w:rPr>
          <w:spacing w:val="-5"/>
          <w:sz w:val="18"/>
          <w:szCs w:val="18"/>
          <w:lang w:val="es-ES_tradnl"/>
        </w:rPr>
        <w:t>decisi</w:t>
      </w:r>
      <w:r>
        <w:rPr>
          <w:rFonts w:cs="Times New Roman"/>
          <w:spacing w:val="-5"/>
          <w:sz w:val="18"/>
          <w:szCs w:val="18"/>
          <w:lang w:val="es-ES_tradnl"/>
        </w:rPr>
        <w:t>ó</w:t>
      </w:r>
      <w:r>
        <w:rPr>
          <w:spacing w:val="-5"/>
          <w:sz w:val="18"/>
          <w:szCs w:val="18"/>
          <w:lang w:val="es-ES_tradnl"/>
        </w:rPr>
        <w:t>n constitucional, cuando esta hab</w:t>
      </w:r>
      <w:r>
        <w:rPr>
          <w:rFonts w:cs="Times New Roman"/>
          <w:spacing w:val="-5"/>
          <w:sz w:val="18"/>
          <w:szCs w:val="18"/>
          <w:lang w:val="es-ES_tradnl"/>
        </w:rPr>
        <w:t>í</w:t>
      </w:r>
      <w:r>
        <w:rPr>
          <w:spacing w:val="-5"/>
          <w:sz w:val="18"/>
          <w:szCs w:val="18"/>
          <w:lang w:val="es-ES_tradnl"/>
        </w:rPr>
        <w:t xml:space="preserve">a tutelado los derechos constitucionales del menor y que se encuentra </w:t>
      </w:r>
      <w:r>
        <w:rPr>
          <w:spacing w:val="-4"/>
          <w:sz w:val="18"/>
          <w:szCs w:val="18"/>
          <w:lang w:val="es-ES_tradnl"/>
        </w:rPr>
        <w:t>firme y ejecut</w:t>
      </w:r>
      <w:r>
        <w:rPr>
          <w:rFonts w:cs="Times New Roman"/>
          <w:spacing w:val="-4"/>
          <w:sz w:val="18"/>
          <w:szCs w:val="18"/>
          <w:lang w:val="es-ES_tradnl"/>
        </w:rPr>
        <w:t>á</w:t>
      </w:r>
      <w:r>
        <w:rPr>
          <w:spacing w:val="-4"/>
          <w:sz w:val="18"/>
          <w:szCs w:val="18"/>
          <w:lang w:val="es-ES_tradnl"/>
        </w:rPr>
        <w:t>ndose, conforme lo se</w:t>
      </w:r>
      <w:r>
        <w:rPr>
          <w:rFonts w:cs="Times New Roman"/>
          <w:spacing w:val="-4"/>
          <w:sz w:val="18"/>
          <w:szCs w:val="18"/>
          <w:lang w:val="es-ES_tradnl"/>
        </w:rPr>
        <w:t>ñ</w:t>
      </w:r>
      <w:r>
        <w:rPr>
          <w:spacing w:val="-4"/>
          <w:sz w:val="18"/>
          <w:szCs w:val="18"/>
          <w:lang w:val="es-ES_tradnl"/>
        </w:rPr>
        <w:t>ala el art</w:t>
      </w:r>
      <w:r>
        <w:rPr>
          <w:rFonts w:cs="Times New Roman"/>
          <w:spacing w:val="-4"/>
          <w:sz w:val="18"/>
          <w:szCs w:val="18"/>
          <w:lang w:val="es-ES_tradnl"/>
        </w:rPr>
        <w:t>í</w:t>
      </w:r>
      <w:r>
        <w:rPr>
          <w:spacing w:val="-4"/>
          <w:sz w:val="18"/>
          <w:szCs w:val="18"/>
          <w:lang w:val="es-ES_tradnl"/>
        </w:rPr>
        <w:t>culo 83 numeral 1 de la Constituci</w:t>
      </w:r>
      <w:r>
        <w:rPr>
          <w:rFonts w:cs="Times New Roman"/>
          <w:spacing w:val="-4"/>
          <w:sz w:val="18"/>
          <w:szCs w:val="18"/>
          <w:lang w:val="es-ES_tradnl"/>
        </w:rPr>
        <w:t>ó</w:t>
      </w:r>
      <w:r>
        <w:rPr>
          <w:spacing w:val="-4"/>
          <w:sz w:val="18"/>
          <w:szCs w:val="18"/>
          <w:lang w:val="es-ES_tradnl"/>
        </w:rPr>
        <w:t xml:space="preserve">n que dice: </w:t>
      </w:r>
      <w:r>
        <w:rPr>
          <w:rFonts w:cs="Times New Roman"/>
          <w:spacing w:val="-4"/>
          <w:sz w:val="18"/>
          <w:szCs w:val="18"/>
          <w:lang w:val="es-ES_tradnl"/>
        </w:rPr>
        <w:t>“</w:t>
      </w:r>
      <w:r>
        <w:rPr>
          <w:spacing w:val="-4"/>
          <w:sz w:val="18"/>
          <w:szCs w:val="18"/>
          <w:lang w:val="es-ES_tradnl"/>
        </w:rPr>
        <w:t xml:space="preserve">Son deberes y </w:t>
      </w:r>
      <w:r>
        <w:rPr>
          <w:spacing w:val="-7"/>
          <w:sz w:val="18"/>
          <w:szCs w:val="18"/>
          <w:lang w:val="es-ES_tradnl"/>
        </w:rPr>
        <w:t xml:space="preserve">responsabilidades de las ecuatorianas y los ecuatorianos, </w:t>
      </w:r>
      <w:r>
        <w:rPr>
          <w:spacing w:val="-5"/>
          <w:sz w:val="18"/>
          <w:szCs w:val="18"/>
          <w:lang w:val="es-ES_tradnl"/>
        </w:rPr>
        <w:t>sin perjuicio de otros previstos en la Constituci</w:t>
      </w:r>
      <w:r>
        <w:rPr>
          <w:rFonts w:cs="Times New Roman"/>
          <w:spacing w:val="-5"/>
          <w:sz w:val="18"/>
          <w:szCs w:val="18"/>
          <w:lang w:val="es-ES_tradnl"/>
        </w:rPr>
        <w:t>ó</w:t>
      </w:r>
      <w:r>
        <w:rPr>
          <w:spacing w:val="-5"/>
          <w:sz w:val="18"/>
          <w:szCs w:val="18"/>
          <w:lang w:val="es-ES_tradnl"/>
        </w:rPr>
        <w:t>n y la ley: 1. Acatar y cumplir la Constituci</w:t>
      </w:r>
      <w:r>
        <w:rPr>
          <w:rFonts w:cs="Times New Roman"/>
          <w:spacing w:val="-5"/>
          <w:sz w:val="18"/>
          <w:szCs w:val="18"/>
          <w:lang w:val="es-ES_tradnl"/>
        </w:rPr>
        <w:t>ó</w:t>
      </w:r>
      <w:r>
        <w:rPr>
          <w:spacing w:val="-5"/>
          <w:sz w:val="18"/>
          <w:szCs w:val="18"/>
          <w:lang w:val="es-ES_tradnl"/>
        </w:rPr>
        <w:t xml:space="preserve">n, la ley y las decisiones </w:t>
      </w:r>
      <w:r>
        <w:rPr>
          <w:spacing w:val="-4"/>
          <w:sz w:val="18"/>
          <w:szCs w:val="18"/>
          <w:lang w:val="es-ES_tradnl"/>
        </w:rPr>
        <w:t>leg</w:t>
      </w:r>
      <w:r>
        <w:rPr>
          <w:rFonts w:cs="Times New Roman"/>
          <w:spacing w:val="-4"/>
          <w:sz w:val="18"/>
          <w:szCs w:val="18"/>
          <w:lang w:val="es-ES_tradnl"/>
        </w:rPr>
        <w:t>í</w:t>
      </w:r>
      <w:r>
        <w:rPr>
          <w:spacing w:val="-4"/>
          <w:sz w:val="18"/>
          <w:szCs w:val="18"/>
          <w:lang w:val="es-ES_tradnl"/>
        </w:rPr>
        <w:t>timas de autoridad competente</w:t>
      </w:r>
      <w:r>
        <w:rPr>
          <w:rFonts w:cs="Times New Roman"/>
          <w:spacing w:val="-4"/>
          <w:sz w:val="18"/>
          <w:szCs w:val="18"/>
          <w:lang w:val="es-ES_tradnl"/>
        </w:rPr>
        <w:t>”</w:t>
      </w:r>
      <w:r>
        <w:rPr>
          <w:spacing w:val="-4"/>
          <w:sz w:val="18"/>
          <w:szCs w:val="18"/>
          <w:lang w:val="es-ES_tradnl"/>
        </w:rPr>
        <w:t xml:space="preserve">. Examinado el </w:t>
      </w:r>
      <w:r>
        <w:rPr>
          <w:spacing w:val="-7"/>
          <w:sz w:val="18"/>
          <w:szCs w:val="18"/>
          <w:lang w:val="es-ES_tradnl"/>
        </w:rPr>
        <w:t>razonamiento constante en este ac</w:t>
      </w:r>
      <w:r>
        <w:rPr>
          <w:rFonts w:cs="Times New Roman"/>
          <w:spacing w:val="-7"/>
          <w:sz w:val="18"/>
          <w:szCs w:val="18"/>
          <w:lang w:val="es-ES_tradnl"/>
        </w:rPr>
        <w:t>á</w:t>
      </w:r>
      <w:r>
        <w:rPr>
          <w:spacing w:val="-7"/>
          <w:sz w:val="18"/>
          <w:szCs w:val="18"/>
          <w:lang w:val="es-ES_tradnl"/>
        </w:rPr>
        <w:t xml:space="preserve">pite, no se observa </w:t>
      </w:r>
      <w:r>
        <w:rPr>
          <w:spacing w:val="-2"/>
          <w:sz w:val="18"/>
          <w:szCs w:val="18"/>
          <w:lang w:val="es-ES_tradnl"/>
        </w:rPr>
        <w:t>disposici</w:t>
      </w:r>
      <w:r>
        <w:rPr>
          <w:rFonts w:cs="Times New Roman"/>
          <w:spacing w:val="-2"/>
          <w:sz w:val="18"/>
          <w:szCs w:val="18"/>
          <w:lang w:val="es-ES_tradnl"/>
        </w:rPr>
        <w:t>ó</w:t>
      </w:r>
      <w:r>
        <w:rPr>
          <w:spacing w:val="-2"/>
          <w:sz w:val="18"/>
          <w:szCs w:val="18"/>
          <w:lang w:val="es-ES_tradnl"/>
        </w:rPr>
        <w:t xml:space="preserve">n constitucional, legal o jurisprudencial que </w:t>
      </w:r>
      <w:r>
        <w:rPr>
          <w:sz w:val="18"/>
          <w:szCs w:val="18"/>
          <w:lang w:val="es-ES_tradnl"/>
        </w:rPr>
        <w:t>justifique lo detallado.</w:t>
      </w:r>
    </w:p>
    <w:p w14:paraId="4F67B474" w14:textId="77777777" w:rsidR="00591D54" w:rsidRDefault="00591D54">
      <w:pPr>
        <w:shd w:val="clear" w:color="auto" w:fill="FFFFFF"/>
        <w:spacing w:before="192" w:line="216" w:lineRule="exact"/>
        <w:jc w:val="both"/>
      </w:pPr>
      <w:r>
        <w:rPr>
          <w:spacing w:val="-9"/>
          <w:sz w:val="18"/>
          <w:szCs w:val="18"/>
          <w:lang w:val="es-ES_tradnl"/>
        </w:rPr>
        <w:t>Finalmente, en el sexto considerando indica que el menor si consta registrado como accionista de la compa</w:t>
      </w:r>
      <w:r>
        <w:rPr>
          <w:rFonts w:cs="Times New Roman"/>
          <w:spacing w:val="-9"/>
          <w:sz w:val="18"/>
          <w:szCs w:val="18"/>
          <w:lang w:val="es-ES_tradnl"/>
        </w:rPr>
        <w:t>ñí</w:t>
      </w:r>
      <w:r>
        <w:rPr>
          <w:spacing w:val="-9"/>
          <w:sz w:val="18"/>
          <w:szCs w:val="18"/>
          <w:lang w:val="es-ES_tradnl"/>
        </w:rPr>
        <w:t xml:space="preserve">a y que no </w:t>
      </w:r>
      <w:r>
        <w:rPr>
          <w:spacing w:val="-7"/>
          <w:sz w:val="18"/>
          <w:szCs w:val="18"/>
          <w:lang w:val="es-ES_tradnl"/>
        </w:rPr>
        <w:t>es menos cierto que dicha intervenci</w:t>
      </w:r>
      <w:r>
        <w:rPr>
          <w:rFonts w:cs="Times New Roman"/>
          <w:spacing w:val="-7"/>
          <w:sz w:val="18"/>
          <w:szCs w:val="18"/>
          <w:lang w:val="es-ES_tradnl"/>
        </w:rPr>
        <w:t>ó</w:t>
      </w:r>
      <w:r>
        <w:rPr>
          <w:spacing w:val="-7"/>
          <w:sz w:val="18"/>
          <w:szCs w:val="18"/>
          <w:lang w:val="es-ES_tradnl"/>
        </w:rPr>
        <w:t>n ha sido de manera ilegal y que la Superintendencia de Compa</w:t>
      </w:r>
      <w:r>
        <w:rPr>
          <w:rFonts w:cs="Times New Roman"/>
          <w:spacing w:val="-7"/>
          <w:sz w:val="18"/>
          <w:szCs w:val="18"/>
          <w:lang w:val="es-ES_tradnl"/>
        </w:rPr>
        <w:t>ñí</w:t>
      </w:r>
      <w:r>
        <w:rPr>
          <w:spacing w:val="-7"/>
          <w:sz w:val="18"/>
          <w:szCs w:val="18"/>
          <w:lang w:val="es-ES_tradnl"/>
        </w:rPr>
        <w:t>as vulner</w:t>
      </w:r>
      <w:r>
        <w:rPr>
          <w:rFonts w:cs="Times New Roman"/>
          <w:spacing w:val="-7"/>
          <w:sz w:val="18"/>
          <w:szCs w:val="18"/>
          <w:lang w:val="es-ES_tradnl"/>
        </w:rPr>
        <w:t xml:space="preserve">ó </w:t>
      </w:r>
      <w:r>
        <w:rPr>
          <w:spacing w:val="-5"/>
          <w:sz w:val="18"/>
          <w:szCs w:val="18"/>
          <w:lang w:val="es-ES_tradnl"/>
        </w:rPr>
        <w:t xml:space="preserve">derechos constitucionales como la libertad de trabajo, </w:t>
      </w:r>
      <w:r>
        <w:rPr>
          <w:spacing w:val="-8"/>
          <w:sz w:val="18"/>
          <w:szCs w:val="18"/>
          <w:lang w:val="es-ES_tradnl"/>
        </w:rPr>
        <w:t>libertad para desarrollar actividades econ</w:t>
      </w:r>
      <w:r>
        <w:rPr>
          <w:rFonts w:cs="Times New Roman"/>
          <w:spacing w:val="-8"/>
          <w:sz w:val="18"/>
          <w:szCs w:val="18"/>
          <w:lang w:val="es-ES_tradnl"/>
        </w:rPr>
        <w:t>ó</w:t>
      </w:r>
      <w:r>
        <w:rPr>
          <w:spacing w:val="-8"/>
          <w:sz w:val="18"/>
          <w:szCs w:val="18"/>
          <w:lang w:val="es-ES_tradnl"/>
        </w:rPr>
        <w:t xml:space="preserve">micas en forma </w:t>
      </w:r>
      <w:r>
        <w:rPr>
          <w:spacing w:val="-6"/>
          <w:sz w:val="18"/>
          <w:szCs w:val="18"/>
          <w:lang w:val="es-ES_tradnl"/>
        </w:rPr>
        <w:t xml:space="preserve">individual o colectiva, para finalizar diciendo que aceptan </w:t>
      </w:r>
      <w:r>
        <w:rPr>
          <w:spacing w:val="-9"/>
          <w:sz w:val="18"/>
          <w:szCs w:val="18"/>
          <w:lang w:val="es-ES_tradnl"/>
        </w:rPr>
        <w:t>el recurso de apelaci</w:t>
      </w:r>
      <w:r>
        <w:rPr>
          <w:rFonts w:cs="Times New Roman"/>
          <w:spacing w:val="-9"/>
          <w:sz w:val="18"/>
          <w:szCs w:val="18"/>
          <w:lang w:val="es-ES_tradnl"/>
        </w:rPr>
        <w:t>ó</w:t>
      </w:r>
      <w:r>
        <w:rPr>
          <w:spacing w:val="-9"/>
          <w:sz w:val="18"/>
          <w:szCs w:val="18"/>
          <w:lang w:val="es-ES_tradnl"/>
        </w:rPr>
        <w:t>n propuesto por la recurrente. N</w:t>
      </w:r>
      <w:r>
        <w:rPr>
          <w:rFonts w:cs="Times New Roman"/>
          <w:spacing w:val="-9"/>
          <w:sz w:val="18"/>
          <w:szCs w:val="18"/>
          <w:lang w:val="es-ES_tradnl"/>
        </w:rPr>
        <w:t>ó</w:t>
      </w:r>
      <w:r>
        <w:rPr>
          <w:spacing w:val="-9"/>
          <w:sz w:val="18"/>
          <w:szCs w:val="18"/>
          <w:lang w:val="es-ES_tradnl"/>
        </w:rPr>
        <w:t>tese,</w:t>
      </w:r>
    </w:p>
    <w:p w14:paraId="4F67B475" w14:textId="77777777" w:rsidR="00591D54" w:rsidRDefault="00591D54">
      <w:pPr>
        <w:shd w:val="clear" w:color="auto" w:fill="FFFFFF"/>
        <w:spacing w:before="192" w:line="216" w:lineRule="exact"/>
        <w:jc w:val="both"/>
        <w:sectPr w:rsidR="00591D54">
          <w:type w:val="continuous"/>
          <w:pgSz w:w="11909" w:h="16834"/>
          <w:pgMar w:top="1356" w:right="1309" w:bottom="360" w:left="1308" w:header="720" w:footer="720" w:gutter="0"/>
          <w:cols w:num="2" w:space="720" w:equalWidth="0">
            <w:col w:w="4305" w:space="682"/>
            <w:col w:w="4305"/>
          </w:cols>
          <w:noEndnote/>
        </w:sectPr>
      </w:pPr>
    </w:p>
    <w:p w14:paraId="4F67B476" w14:textId="77777777" w:rsidR="00591D54" w:rsidRDefault="00591D54">
      <w:pPr>
        <w:shd w:val="clear" w:color="auto" w:fill="FFFFFF"/>
        <w:tabs>
          <w:tab w:val="left" w:pos="4814"/>
        </w:tabs>
        <w:spacing w:after="230"/>
        <w:ind w:left="5"/>
      </w:pPr>
      <w:r>
        <w:rPr>
          <w:b/>
          <w:bCs/>
          <w:sz w:val="18"/>
          <w:szCs w:val="18"/>
          <w:lang w:val="es-ES_tradnl"/>
        </w:rPr>
        <w:t xml:space="preserve">208 -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477" w14:textId="77777777" w:rsidR="00591D54" w:rsidRDefault="00591D54">
      <w:pPr>
        <w:shd w:val="clear" w:color="auto" w:fill="FFFFFF"/>
        <w:tabs>
          <w:tab w:val="left" w:pos="4814"/>
        </w:tabs>
        <w:spacing w:after="230"/>
        <w:ind w:left="5"/>
        <w:sectPr w:rsidR="00591D54">
          <w:pgSz w:w="11909" w:h="16834"/>
          <w:pgMar w:top="1356" w:right="1304" w:bottom="360" w:left="1308" w:header="720" w:footer="720" w:gutter="0"/>
          <w:cols w:space="60"/>
          <w:noEndnote/>
        </w:sectPr>
      </w:pPr>
    </w:p>
    <w:p w14:paraId="4F67B478" w14:textId="77777777" w:rsidR="00591D54" w:rsidRDefault="00591D54">
      <w:pPr>
        <w:shd w:val="clear" w:color="auto" w:fill="FFFFFF"/>
        <w:spacing w:before="5" w:line="216" w:lineRule="exact"/>
        <w:jc w:val="both"/>
      </w:pPr>
      <w:r>
        <w:rPr>
          <w:spacing w:val="-6"/>
          <w:sz w:val="18"/>
          <w:szCs w:val="18"/>
          <w:lang w:val="es-ES_tradnl"/>
        </w:rPr>
        <w:t xml:space="preserve">que los razonamientos expuestos en el fallo no reciben </w:t>
      </w:r>
      <w:r>
        <w:rPr>
          <w:spacing w:val="-3"/>
          <w:sz w:val="18"/>
          <w:szCs w:val="18"/>
          <w:lang w:val="es-ES_tradnl"/>
        </w:rPr>
        <w:t>ning</w:t>
      </w:r>
      <w:r>
        <w:rPr>
          <w:rFonts w:cs="Times New Roman"/>
          <w:spacing w:val="-3"/>
          <w:sz w:val="18"/>
          <w:szCs w:val="18"/>
          <w:lang w:val="es-ES_tradnl"/>
        </w:rPr>
        <w:t>ú</w:t>
      </w:r>
      <w:r>
        <w:rPr>
          <w:spacing w:val="-3"/>
          <w:sz w:val="18"/>
          <w:szCs w:val="18"/>
          <w:lang w:val="es-ES_tradnl"/>
        </w:rPr>
        <w:t xml:space="preserve">n respaldo constitucional, legal o jurisprudencial, </w:t>
      </w:r>
      <w:r>
        <w:rPr>
          <w:spacing w:val="-8"/>
          <w:sz w:val="18"/>
          <w:szCs w:val="18"/>
          <w:lang w:val="es-ES_tradnl"/>
        </w:rPr>
        <w:t>pues, el mismo, no se ha fundamentado en art</w:t>
      </w:r>
      <w:r>
        <w:rPr>
          <w:rFonts w:cs="Times New Roman"/>
          <w:spacing w:val="-8"/>
          <w:sz w:val="18"/>
          <w:szCs w:val="18"/>
          <w:lang w:val="es-ES_tradnl"/>
        </w:rPr>
        <w:t>í</w:t>
      </w:r>
      <w:r>
        <w:rPr>
          <w:spacing w:val="-8"/>
          <w:sz w:val="18"/>
          <w:szCs w:val="18"/>
          <w:lang w:val="es-ES_tradnl"/>
        </w:rPr>
        <w:t xml:space="preserve">culo alguno, </w:t>
      </w:r>
      <w:r>
        <w:rPr>
          <w:spacing w:val="-7"/>
          <w:sz w:val="18"/>
          <w:szCs w:val="18"/>
          <w:lang w:val="es-ES_tradnl"/>
        </w:rPr>
        <w:t>ni en normas jur</w:t>
      </w:r>
      <w:r>
        <w:rPr>
          <w:rFonts w:cs="Times New Roman"/>
          <w:spacing w:val="-7"/>
          <w:sz w:val="18"/>
          <w:szCs w:val="18"/>
          <w:lang w:val="es-ES_tradnl"/>
        </w:rPr>
        <w:t>í</w:t>
      </w:r>
      <w:r>
        <w:rPr>
          <w:spacing w:val="-7"/>
          <w:sz w:val="18"/>
          <w:szCs w:val="18"/>
          <w:lang w:val="es-ES_tradnl"/>
        </w:rPr>
        <w:t xml:space="preserve">dicas previas y claras que se encuentren vigentes o que se pudiesen aplicar al caso concreto; sin </w:t>
      </w:r>
      <w:r>
        <w:rPr>
          <w:spacing w:val="-9"/>
          <w:sz w:val="18"/>
          <w:szCs w:val="18"/>
          <w:lang w:val="es-ES_tradnl"/>
        </w:rPr>
        <w:t xml:space="preserve">embargo, de aquello, resuelven revocar la sentencia subida </w:t>
      </w:r>
      <w:r>
        <w:rPr>
          <w:spacing w:val="-8"/>
          <w:sz w:val="18"/>
          <w:szCs w:val="18"/>
          <w:lang w:val="es-ES_tradnl"/>
        </w:rPr>
        <w:t>en grado y aceptar la acci</w:t>
      </w:r>
      <w:r>
        <w:rPr>
          <w:rFonts w:cs="Times New Roman"/>
          <w:spacing w:val="-8"/>
          <w:sz w:val="18"/>
          <w:szCs w:val="18"/>
          <w:lang w:val="es-ES_tradnl"/>
        </w:rPr>
        <w:t>ó</w:t>
      </w:r>
      <w:r>
        <w:rPr>
          <w:spacing w:val="-8"/>
          <w:sz w:val="18"/>
          <w:szCs w:val="18"/>
          <w:lang w:val="es-ES_tradnl"/>
        </w:rPr>
        <w:t>n de protecci</w:t>
      </w:r>
      <w:r>
        <w:rPr>
          <w:rFonts w:cs="Times New Roman"/>
          <w:spacing w:val="-8"/>
          <w:sz w:val="18"/>
          <w:szCs w:val="18"/>
          <w:lang w:val="es-ES_tradnl"/>
        </w:rPr>
        <w:t>ó</w:t>
      </w:r>
      <w:r>
        <w:rPr>
          <w:spacing w:val="-8"/>
          <w:sz w:val="18"/>
          <w:szCs w:val="18"/>
          <w:lang w:val="es-ES_tradnl"/>
        </w:rPr>
        <w:t>n.</w:t>
      </w:r>
    </w:p>
    <w:p w14:paraId="4F67B479" w14:textId="77777777" w:rsidR="00591D54" w:rsidRDefault="00591D54">
      <w:pPr>
        <w:shd w:val="clear" w:color="auto" w:fill="FFFFFF"/>
        <w:spacing w:before="197" w:line="216" w:lineRule="exact"/>
        <w:jc w:val="both"/>
      </w:pPr>
      <w:r>
        <w:rPr>
          <w:spacing w:val="-7"/>
          <w:sz w:val="18"/>
          <w:szCs w:val="18"/>
          <w:lang w:val="es-ES_tradnl"/>
        </w:rPr>
        <w:t>Complementando el an</w:t>
      </w:r>
      <w:r>
        <w:rPr>
          <w:rFonts w:cs="Times New Roman"/>
          <w:spacing w:val="-7"/>
          <w:sz w:val="18"/>
          <w:szCs w:val="18"/>
          <w:lang w:val="es-ES_tradnl"/>
        </w:rPr>
        <w:t>á</w:t>
      </w:r>
      <w:r>
        <w:rPr>
          <w:spacing w:val="-7"/>
          <w:sz w:val="18"/>
          <w:szCs w:val="18"/>
          <w:lang w:val="es-ES_tradnl"/>
        </w:rPr>
        <w:t xml:space="preserve">lisis, cabe manifestar que la </w:t>
      </w:r>
      <w:r>
        <w:rPr>
          <w:spacing w:val="-8"/>
          <w:sz w:val="18"/>
          <w:szCs w:val="18"/>
          <w:lang w:val="es-ES_tradnl"/>
        </w:rPr>
        <w:t xml:space="preserve">jurisprudencia expuesta por esta Corte Constitucional en la </w:t>
      </w:r>
      <w:r>
        <w:rPr>
          <w:spacing w:val="-9"/>
          <w:sz w:val="18"/>
          <w:szCs w:val="18"/>
          <w:lang w:val="es-ES_tradnl"/>
        </w:rPr>
        <w:t>sentencia N.</w:t>
      </w:r>
      <w:r>
        <w:rPr>
          <w:rFonts w:cs="Times New Roman"/>
          <w:spacing w:val="-9"/>
          <w:sz w:val="18"/>
          <w:szCs w:val="18"/>
          <w:lang w:val="es-ES_tradnl"/>
        </w:rPr>
        <w:t>º</w:t>
      </w:r>
      <w:r>
        <w:rPr>
          <w:spacing w:val="-9"/>
          <w:sz w:val="18"/>
          <w:szCs w:val="18"/>
          <w:lang w:val="es-ES_tradnl"/>
        </w:rPr>
        <w:t xml:space="preserve"> 064-14-SEP-CC ha expresado que:</w:t>
      </w:r>
    </w:p>
    <w:p w14:paraId="4F67B47A" w14:textId="77777777" w:rsidR="00591D54" w:rsidRDefault="00591D54">
      <w:pPr>
        <w:shd w:val="clear" w:color="auto" w:fill="FFFFFF"/>
        <w:spacing w:before="202" w:line="211" w:lineRule="exact"/>
        <w:ind w:left="283"/>
        <w:jc w:val="both"/>
      </w:pPr>
      <w:r>
        <w:rPr>
          <w:sz w:val="14"/>
          <w:szCs w:val="14"/>
          <w:lang w:val="es-ES_tradnl"/>
        </w:rPr>
        <w:t>(</w:t>
      </w:r>
      <w:r>
        <w:rPr>
          <w:rFonts w:cs="Times New Roman"/>
          <w:sz w:val="14"/>
          <w:szCs w:val="14"/>
          <w:lang w:val="es-ES_tradnl"/>
        </w:rPr>
        <w:t>…</w:t>
      </w:r>
      <w:r>
        <w:rPr>
          <w:sz w:val="14"/>
          <w:szCs w:val="14"/>
          <w:lang w:val="es-ES_tradnl"/>
        </w:rPr>
        <w:t>) al no haberse advertido de la lectura de la resoluci</w:t>
      </w:r>
      <w:r>
        <w:rPr>
          <w:rFonts w:cs="Times New Roman"/>
          <w:sz w:val="14"/>
          <w:szCs w:val="14"/>
          <w:lang w:val="es-ES_tradnl"/>
        </w:rPr>
        <w:t>ó</w:t>
      </w:r>
      <w:r>
        <w:rPr>
          <w:sz w:val="14"/>
          <w:szCs w:val="14"/>
          <w:lang w:val="es-ES_tradnl"/>
        </w:rPr>
        <w:t>n impugnada la utilizaci</w:t>
      </w:r>
      <w:r>
        <w:rPr>
          <w:rFonts w:cs="Times New Roman"/>
          <w:sz w:val="14"/>
          <w:szCs w:val="14"/>
          <w:lang w:val="es-ES_tradnl"/>
        </w:rPr>
        <w:t>ó</w:t>
      </w:r>
      <w:r>
        <w:rPr>
          <w:sz w:val="14"/>
          <w:szCs w:val="14"/>
          <w:lang w:val="es-ES_tradnl"/>
        </w:rPr>
        <w:t>n de normas constitucionales ni fuentes jur</w:t>
      </w:r>
      <w:r>
        <w:rPr>
          <w:rFonts w:cs="Times New Roman"/>
          <w:sz w:val="14"/>
          <w:szCs w:val="14"/>
          <w:lang w:val="es-ES_tradnl"/>
        </w:rPr>
        <w:t>í</w:t>
      </w:r>
      <w:r>
        <w:rPr>
          <w:sz w:val="14"/>
          <w:szCs w:val="14"/>
          <w:lang w:val="es-ES_tradnl"/>
        </w:rPr>
        <w:t>dicas que se refieran directamente o que guarden relaci</w:t>
      </w:r>
      <w:r>
        <w:rPr>
          <w:rFonts w:cs="Times New Roman"/>
          <w:sz w:val="14"/>
          <w:szCs w:val="14"/>
          <w:lang w:val="es-ES_tradnl"/>
        </w:rPr>
        <w:t>ó</w:t>
      </w:r>
      <w:r>
        <w:rPr>
          <w:sz w:val="14"/>
          <w:szCs w:val="14"/>
          <w:lang w:val="es-ES_tradnl"/>
        </w:rPr>
        <w:t>n directa con una posible vulneraci</w:t>
      </w:r>
      <w:r>
        <w:rPr>
          <w:rFonts w:cs="Times New Roman"/>
          <w:sz w:val="14"/>
          <w:szCs w:val="14"/>
          <w:lang w:val="es-ES_tradnl"/>
        </w:rPr>
        <w:t>ó</w:t>
      </w:r>
      <w:r>
        <w:rPr>
          <w:sz w:val="14"/>
          <w:szCs w:val="14"/>
          <w:lang w:val="es-ES_tradnl"/>
        </w:rPr>
        <w:t>n, o no de los derechos constitucionales del accionante, se concluye que la misma no es razonable y por lo tanto, no ha superado el primer requisito del test de motivaci</w:t>
      </w:r>
      <w:r>
        <w:rPr>
          <w:rFonts w:cs="Times New Roman"/>
          <w:sz w:val="14"/>
          <w:szCs w:val="14"/>
          <w:lang w:val="es-ES_tradnl"/>
        </w:rPr>
        <w:t>ó</w:t>
      </w:r>
      <w:r>
        <w:rPr>
          <w:sz w:val="14"/>
          <w:szCs w:val="14"/>
          <w:lang w:val="es-ES_tradnl"/>
        </w:rPr>
        <w:t>n</w:t>
      </w:r>
      <w:r>
        <w:rPr>
          <w:sz w:val="14"/>
          <w:szCs w:val="14"/>
          <w:vertAlign w:val="superscript"/>
          <w:lang w:val="es-ES_tradnl"/>
        </w:rPr>
        <w:t>6</w:t>
      </w:r>
      <w:r>
        <w:rPr>
          <w:sz w:val="14"/>
          <w:szCs w:val="14"/>
          <w:lang w:val="es-ES_tradnl"/>
        </w:rPr>
        <w:t>.</w:t>
      </w:r>
    </w:p>
    <w:p w14:paraId="4F67B47B" w14:textId="77777777" w:rsidR="00591D54" w:rsidRDefault="00591D54">
      <w:pPr>
        <w:shd w:val="clear" w:color="auto" w:fill="FFFFFF"/>
        <w:spacing w:before="197" w:line="216" w:lineRule="exact"/>
        <w:jc w:val="both"/>
      </w:pPr>
      <w:r>
        <w:rPr>
          <w:spacing w:val="-10"/>
          <w:sz w:val="18"/>
          <w:szCs w:val="18"/>
          <w:lang w:val="es-ES_tradnl"/>
        </w:rPr>
        <w:t xml:space="preserve">Por las consideraciones expuestas, este Organismo observa </w:t>
      </w:r>
      <w:r>
        <w:rPr>
          <w:spacing w:val="-4"/>
          <w:sz w:val="18"/>
          <w:szCs w:val="18"/>
          <w:lang w:val="es-ES_tradnl"/>
        </w:rPr>
        <w:t xml:space="preserve">que la falta de razonabilidad, la cual es entendida como </w:t>
      </w:r>
      <w:r>
        <w:rPr>
          <w:spacing w:val="-3"/>
          <w:sz w:val="18"/>
          <w:szCs w:val="18"/>
          <w:lang w:val="es-ES_tradnl"/>
        </w:rPr>
        <w:t>la escasa especificaci</w:t>
      </w:r>
      <w:r>
        <w:rPr>
          <w:rFonts w:cs="Times New Roman"/>
          <w:spacing w:val="-3"/>
          <w:sz w:val="18"/>
          <w:szCs w:val="18"/>
          <w:lang w:val="es-ES_tradnl"/>
        </w:rPr>
        <w:t>ó</w:t>
      </w:r>
      <w:r>
        <w:rPr>
          <w:spacing w:val="-3"/>
          <w:sz w:val="18"/>
          <w:szCs w:val="18"/>
          <w:lang w:val="es-ES_tradnl"/>
        </w:rPr>
        <w:t xml:space="preserve">n de la fuente de derecho que </w:t>
      </w:r>
      <w:r>
        <w:rPr>
          <w:spacing w:val="-6"/>
          <w:sz w:val="18"/>
          <w:szCs w:val="18"/>
          <w:lang w:val="es-ES_tradnl"/>
        </w:rPr>
        <w:t>sirve de sustento del operador jur</w:t>
      </w:r>
      <w:r>
        <w:rPr>
          <w:rFonts w:cs="Times New Roman"/>
          <w:spacing w:val="-6"/>
          <w:sz w:val="18"/>
          <w:szCs w:val="18"/>
          <w:lang w:val="es-ES_tradnl"/>
        </w:rPr>
        <w:t>í</w:t>
      </w:r>
      <w:r>
        <w:rPr>
          <w:spacing w:val="-6"/>
          <w:sz w:val="18"/>
          <w:szCs w:val="18"/>
          <w:lang w:val="es-ES_tradnl"/>
        </w:rPr>
        <w:t>dico para justificar su pronunciamiento, puede tambi</w:t>
      </w:r>
      <w:r>
        <w:rPr>
          <w:rFonts w:cs="Times New Roman"/>
          <w:spacing w:val="-6"/>
          <w:sz w:val="18"/>
          <w:szCs w:val="18"/>
          <w:lang w:val="es-ES_tradnl"/>
        </w:rPr>
        <w:t>é</w:t>
      </w:r>
      <w:r>
        <w:rPr>
          <w:spacing w:val="-6"/>
          <w:sz w:val="18"/>
          <w:szCs w:val="18"/>
          <w:lang w:val="es-ES_tradnl"/>
        </w:rPr>
        <w:t xml:space="preserve">n resultar insuficiente en </w:t>
      </w:r>
      <w:r>
        <w:rPr>
          <w:spacing w:val="-8"/>
          <w:sz w:val="18"/>
          <w:szCs w:val="18"/>
          <w:lang w:val="es-ES_tradnl"/>
        </w:rPr>
        <w:t xml:space="preserve">situaciones en las que el juzgador aparenta determinar y </w:t>
      </w:r>
      <w:r>
        <w:rPr>
          <w:spacing w:val="-10"/>
          <w:sz w:val="18"/>
          <w:szCs w:val="18"/>
          <w:lang w:val="es-ES_tradnl"/>
        </w:rPr>
        <w:t>especificar dicha fuente en la que apoya su resoluci</w:t>
      </w:r>
      <w:r>
        <w:rPr>
          <w:rFonts w:cs="Times New Roman"/>
          <w:spacing w:val="-10"/>
          <w:sz w:val="18"/>
          <w:szCs w:val="18"/>
          <w:lang w:val="es-ES_tradnl"/>
        </w:rPr>
        <w:t>ó</w:t>
      </w:r>
      <w:r>
        <w:rPr>
          <w:spacing w:val="-10"/>
          <w:sz w:val="18"/>
          <w:szCs w:val="18"/>
          <w:lang w:val="es-ES_tradnl"/>
        </w:rPr>
        <w:t xml:space="preserve">n, pero </w:t>
      </w:r>
      <w:r>
        <w:rPr>
          <w:spacing w:val="-13"/>
          <w:sz w:val="18"/>
          <w:szCs w:val="18"/>
          <w:lang w:val="es-ES_tradnl"/>
        </w:rPr>
        <w:t>luego de una revisi</w:t>
      </w:r>
      <w:r>
        <w:rPr>
          <w:rFonts w:cs="Times New Roman"/>
          <w:spacing w:val="-13"/>
          <w:sz w:val="18"/>
          <w:szCs w:val="18"/>
          <w:lang w:val="es-ES_tradnl"/>
        </w:rPr>
        <w:t>ó</w:t>
      </w:r>
      <w:r>
        <w:rPr>
          <w:spacing w:val="-13"/>
          <w:sz w:val="18"/>
          <w:szCs w:val="18"/>
          <w:lang w:val="es-ES_tradnl"/>
        </w:rPr>
        <w:t xml:space="preserve">n adecuada de la sentencia, demuestra sin </w:t>
      </w:r>
      <w:r>
        <w:rPr>
          <w:spacing w:val="-10"/>
          <w:sz w:val="18"/>
          <w:szCs w:val="18"/>
          <w:lang w:val="es-ES_tradnl"/>
        </w:rPr>
        <w:t xml:space="preserve">lugar a dudas, que este tipo de actuaciones son irrazonables </w:t>
      </w:r>
      <w:r>
        <w:rPr>
          <w:spacing w:val="-12"/>
          <w:sz w:val="18"/>
          <w:szCs w:val="18"/>
          <w:lang w:val="es-ES_tradnl"/>
        </w:rPr>
        <w:t xml:space="preserve">y equivalentes a actuaciones arbitrarias que no se encuentran </w:t>
      </w:r>
      <w:r>
        <w:rPr>
          <w:spacing w:val="-7"/>
          <w:sz w:val="18"/>
          <w:szCs w:val="18"/>
          <w:lang w:val="es-ES_tradnl"/>
        </w:rPr>
        <w:t>justificadas conforme a derecho; es decir, que la omisi</w:t>
      </w:r>
      <w:r>
        <w:rPr>
          <w:rFonts w:cs="Times New Roman"/>
          <w:spacing w:val="-7"/>
          <w:sz w:val="18"/>
          <w:szCs w:val="18"/>
          <w:lang w:val="es-ES_tradnl"/>
        </w:rPr>
        <w:t>ó</w:t>
      </w:r>
      <w:r>
        <w:rPr>
          <w:spacing w:val="-7"/>
          <w:sz w:val="18"/>
          <w:szCs w:val="18"/>
          <w:lang w:val="es-ES_tradnl"/>
        </w:rPr>
        <w:t xml:space="preserve">n </w:t>
      </w:r>
      <w:r>
        <w:rPr>
          <w:spacing w:val="-6"/>
          <w:sz w:val="18"/>
          <w:szCs w:val="18"/>
          <w:lang w:val="es-ES_tradnl"/>
        </w:rPr>
        <w:t xml:space="preserve">incurrida por los jueces provinciales, al momento que no </w:t>
      </w:r>
      <w:r>
        <w:rPr>
          <w:spacing w:val="-8"/>
          <w:sz w:val="18"/>
          <w:szCs w:val="18"/>
          <w:lang w:val="es-ES_tradnl"/>
        </w:rPr>
        <w:t xml:space="preserve">utilizaron una fuente de derecho aplicable al caso, debe ser </w:t>
      </w:r>
      <w:r>
        <w:rPr>
          <w:spacing w:val="-9"/>
          <w:sz w:val="18"/>
          <w:szCs w:val="18"/>
          <w:lang w:val="es-ES_tradnl"/>
        </w:rPr>
        <w:t>entendida como una actuaci</w:t>
      </w:r>
      <w:r>
        <w:rPr>
          <w:rFonts w:cs="Times New Roman"/>
          <w:spacing w:val="-9"/>
          <w:sz w:val="18"/>
          <w:szCs w:val="18"/>
          <w:lang w:val="es-ES_tradnl"/>
        </w:rPr>
        <w:t>ó</w:t>
      </w:r>
      <w:r>
        <w:rPr>
          <w:spacing w:val="-9"/>
          <w:sz w:val="18"/>
          <w:szCs w:val="18"/>
          <w:lang w:val="es-ES_tradnl"/>
        </w:rPr>
        <w:t>n arbitraria e injustificada, que deviene en una resoluci</w:t>
      </w:r>
      <w:r>
        <w:rPr>
          <w:rFonts w:cs="Times New Roman"/>
          <w:spacing w:val="-9"/>
          <w:sz w:val="18"/>
          <w:szCs w:val="18"/>
          <w:lang w:val="es-ES_tradnl"/>
        </w:rPr>
        <w:t>ó</w:t>
      </w:r>
      <w:r>
        <w:rPr>
          <w:spacing w:val="-9"/>
          <w:sz w:val="18"/>
          <w:szCs w:val="18"/>
          <w:lang w:val="es-ES_tradnl"/>
        </w:rPr>
        <w:t xml:space="preserve">n alejada de la razonabilidad. De lo </w:t>
      </w:r>
      <w:r>
        <w:rPr>
          <w:spacing w:val="-8"/>
          <w:sz w:val="18"/>
          <w:szCs w:val="18"/>
          <w:lang w:val="es-ES_tradnl"/>
        </w:rPr>
        <w:t xml:space="preserve">anotado, la Corte Constitucional concluye que la sentencia </w:t>
      </w:r>
      <w:r>
        <w:rPr>
          <w:spacing w:val="-10"/>
          <w:sz w:val="18"/>
          <w:szCs w:val="18"/>
          <w:lang w:val="es-ES_tradnl"/>
        </w:rPr>
        <w:t>expedida por los jueces de mayor</w:t>
      </w:r>
      <w:r>
        <w:rPr>
          <w:rFonts w:cs="Times New Roman"/>
          <w:spacing w:val="-10"/>
          <w:sz w:val="18"/>
          <w:szCs w:val="18"/>
          <w:lang w:val="es-ES_tradnl"/>
        </w:rPr>
        <w:t>í</w:t>
      </w:r>
      <w:r>
        <w:rPr>
          <w:spacing w:val="-10"/>
          <w:sz w:val="18"/>
          <w:szCs w:val="18"/>
          <w:lang w:val="es-ES_tradnl"/>
        </w:rPr>
        <w:t xml:space="preserve">a de la Primera Sala de lo </w:t>
      </w:r>
      <w:r>
        <w:rPr>
          <w:spacing w:val="-6"/>
          <w:sz w:val="18"/>
          <w:szCs w:val="18"/>
          <w:lang w:val="es-ES_tradnl"/>
        </w:rPr>
        <w:t>Laboral, de la Ni</w:t>
      </w:r>
      <w:r>
        <w:rPr>
          <w:rFonts w:cs="Times New Roman"/>
          <w:spacing w:val="-6"/>
          <w:sz w:val="18"/>
          <w:szCs w:val="18"/>
          <w:lang w:val="es-ES_tradnl"/>
        </w:rPr>
        <w:t>ñ</w:t>
      </w:r>
      <w:r>
        <w:rPr>
          <w:spacing w:val="-6"/>
          <w:sz w:val="18"/>
          <w:szCs w:val="18"/>
          <w:lang w:val="es-ES_tradnl"/>
        </w:rPr>
        <w:t xml:space="preserve">ez y Adolescencia de la Corte Provincial </w:t>
      </w:r>
      <w:r>
        <w:rPr>
          <w:spacing w:val="-7"/>
          <w:sz w:val="18"/>
          <w:szCs w:val="18"/>
          <w:lang w:val="es-ES_tradnl"/>
        </w:rPr>
        <w:t xml:space="preserve">de Justicia del Guayas el 02 de abril de 2012, dentro de la </w:t>
      </w:r>
      <w:r>
        <w:rPr>
          <w:spacing w:val="-10"/>
          <w:sz w:val="18"/>
          <w:szCs w:val="18"/>
          <w:lang w:val="es-ES_tradnl"/>
        </w:rPr>
        <w:t>acci</w:t>
      </w:r>
      <w:r>
        <w:rPr>
          <w:rFonts w:cs="Times New Roman"/>
          <w:spacing w:val="-10"/>
          <w:sz w:val="18"/>
          <w:szCs w:val="18"/>
          <w:lang w:val="es-ES_tradnl"/>
        </w:rPr>
        <w:t>ó</w:t>
      </w:r>
      <w:r>
        <w:rPr>
          <w:spacing w:val="-10"/>
          <w:sz w:val="18"/>
          <w:szCs w:val="18"/>
          <w:lang w:val="es-ES_tradnl"/>
        </w:rPr>
        <w:t>n de protecci</w:t>
      </w:r>
      <w:r>
        <w:rPr>
          <w:rFonts w:cs="Times New Roman"/>
          <w:spacing w:val="-10"/>
          <w:sz w:val="18"/>
          <w:szCs w:val="18"/>
          <w:lang w:val="es-ES_tradnl"/>
        </w:rPr>
        <w:t>ó</w:t>
      </w:r>
      <w:r>
        <w:rPr>
          <w:spacing w:val="-10"/>
          <w:sz w:val="18"/>
          <w:szCs w:val="18"/>
          <w:lang w:val="es-ES_tradnl"/>
        </w:rPr>
        <w:t>n N.</w:t>
      </w:r>
      <w:r>
        <w:rPr>
          <w:rFonts w:cs="Times New Roman"/>
          <w:spacing w:val="-10"/>
          <w:sz w:val="18"/>
          <w:szCs w:val="18"/>
          <w:lang w:val="es-ES_tradnl"/>
        </w:rPr>
        <w:t>º</w:t>
      </w:r>
      <w:r>
        <w:rPr>
          <w:spacing w:val="-10"/>
          <w:sz w:val="18"/>
          <w:szCs w:val="18"/>
          <w:lang w:val="es-ES_tradnl"/>
        </w:rPr>
        <w:t xml:space="preserve"> 1440-2011, no observ</w:t>
      </w:r>
      <w:r>
        <w:rPr>
          <w:rFonts w:cs="Times New Roman"/>
          <w:spacing w:val="-10"/>
          <w:sz w:val="18"/>
          <w:szCs w:val="18"/>
          <w:lang w:val="es-ES_tradnl"/>
        </w:rPr>
        <w:t>ó</w:t>
      </w:r>
      <w:r>
        <w:rPr>
          <w:spacing w:val="-10"/>
          <w:sz w:val="18"/>
          <w:szCs w:val="18"/>
          <w:lang w:val="es-ES_tradnl"/>
        </w:rPr>
        <w:t xml:space="preserve"> este primer </w:t>
      </w:r>
      <w:r>
        <w:rPr>
          <w:sz w:val="18"/>
          <w:szCs w:val="18"/>
          <w:lang w:val="es-ES_tradnl"/>
        </w:rPr>
        <w:t>requisito de la motivaci</w:t>
      </w:r>
      <w:r>
        <w:rPr>
          <w:rFonts w:cs="Times New Roman"/>
          <w:sz w:val="18"/>
          <w:szCs w:val="18"/>
          <w:lang w:val="es-ES_tradnl"/>
        </w:rPr>
        <w:t>ó</w:t>
      </w:r>
      <w:r>
        <w:rPr>
          <w:sz w:val="18"/>
          <w:szCs w:val="18"/>
          <w:lang w:val="es-ES_tradnl"/>
        </w:rPr>
        <w:t>n.</w:t>
      </w:r>
    </w:p>
    <w:p w14:paraId="4F67B47C" w14:textId="77777777" w:rsidR="00591D54" w:rsidRDefault="00591D54">
      <w:pPr>
        <w:shd w:val="clear" w:color="auto" w:fill="FFFFFF"/>
        <w:spacing w:before="192" w:line="216" w:lineRule="exact"/>
        <w:jc w:val="both"/>
      </w:pPr>
      <w:r>
        <w:rPr>
          <w:spacing w:val="-7"/>
          <w:sz w:val="18"/>
          <w:szCs w:val="18"/>
          <w:lang w:val="es-ES_tradnl"/>
        </w:rPr>
        <w:t xml:space="preserve">En cuanto al requisito de la </w:t>
      </w:r>
      <w:r>
        <w:rPr>
          <w:b/>
          <w:bCs/>
          <w:spacing w:val="-7"/>
          <w:sz w:val="18"/>
          <w:szCs w:val="18"/>
          <w:lang w:val="es-ES_tradnl"/>
        </w:rPr>
        <w:t>l</w:t>
      </w:r>
      <w:r>
        <w:rPr>
          <w:rFonts w:cs="Times New Roman"/>
          <w:b/>
          <w:bCs/>
          <w:spacing w:val="-7"/>
          <w:sz w:val="18"/>
          <w:szCs w:val="18"/>
          <w:lang w:val="es-ES_tradnl"/>
        </w:rPr>
        <w:t>ó</w:t>
      </w:r>
      <w:r>
        <w:rPr>
          <w:b/>
          <w:bCs/>
          <w:spacing w:val="-7"/>
          <w:sz w:val="18"/>
          <w:szCs w:val="18"/>
          <w:lang w:val="es-ES_tradnl"/>
        </w:rPr>
        <w:t>gica</w:t>
      </w:r>
      <w:r>
        <w:rPr>
          <w:spacing w:val="-7"/>
          <w:sz w:val="18"/>
          <w:szCs w:val="18"/>
          <w:lang w:val="es-ES_tradnl"/>
        </w:rPr>
        <w:t>, la Corte Constitucional considera que este elemento tiene relaci</w:t>
      </w:r>
      <w:r>
        <w:rPr>
          <w:rFonts w:cs="Times New Roman"/>
          <w:spacing w:val="-7"/>
          <w:sz w:val="18"/>
          <w:szCs w:val="18"/>
          <w:lang w:val="es-ES_tradnl"/>
        </w:rPr>
        <w:t>ó</w:t>
      </w:r>
      <w:r>
        <w:rPr>
          <w:spacing w:val="-7"/>
          <w:sz w:val="18"/>
          <w:szCs w:val="18"/>
          <w:lang w:val="es-ES_tradnl"/>
        </w:rPr>
        <w:t>n directa con la coherencia entre las premisas y la conclusi</w:t>
      </w:r>
      <w:r>
        <w:rPr>
          <w:rFonts w:cs="Times New Roman"/>
          <w:spacing w:val="-7"/>
          <w:sz w:val="18"/>
          <w:szCs w:val="18"/>
          <w:lang w:val="es-ES_tradnl"/>
        </w:rPr>
        <w:t>ó</w:t>
      </w:r>
      <w:r>
        <w:rPr>
          <w:spacing w:val="-7"/>
          <w:sz w:val="18"/>
          <w:szCs w:val="18"/>
          <w:lang w:val="es-ES_tradnl"/>
        </w:rPr>
        <w:t xml:space="preserve">n y que los </w:t>
      </w:r>
      <w:r>
        <w:rPr>
          <w:spacing w:val="-10"/>
          <w:sz w:val="18"/>
          <w:szCs w:val="18"/>
          <w:lang w:val="es-ES_tradnl"/>
        </w:rPr>
        <w:t xml:space="preserve">elementos se encuentren ordenados y concatenados, para </w:t>
      </w:r>
      <w:r>
        <w:rPr>
          <w:spacing w:val="-3"/>
          <w:sz w:val="18"/>
          <w:szCs w:val="18"/>
          <w:lang w:val="es-ES_tradnl"/>
        </w:rPr>
        <w:t xml:space="preserve">permitirle al juzgador enunciar conclusiones con una </w:t>
      </w:r>
      <w:r>
        <w:rPr>
          <w:spacing w:val="-10"/>
          <w:sz w:val="18"/>
          <w:szCs w:val="18"/>
          <w:lang w:val="es-ES_tradnl"/>
        </w:rPr>
        <w:t>correcta argumentaci</w:t>
      </w:r>
      <w:r>
        <w:rPr>
          <w:rFonts w:cs="Times New Roman"/>
          <w:spacing w:val="-10"/>
          <w:sz w:val="18"/>
          <w:szCs w:val="18"/>
          <w:lang w:val="es-ES_tradnl"/>
        </w:rPr>
        <w:t>ó</w:t>
      </w:r>
      <w:r>
        <w:rPr>
          <w:spacing w:val="-10"/>
          <w:sz w:val="18"/>
          <w:szCs w:val="18"/>
          <w:lang w:val="es-ES_tradnl"/>
        </w:rPr>
        <w:t xml:space="preserve">n. Este requisito debe erigirse sobre la </w:t>
      </w:r>
      <w:r>
        <w:rPr>
          <w:spacing w:val="-11"/>
          <w:sz w:val="18"/>
          <w:szCs w:val="18"/>
          <w:lang w:val="es-ES_tradnl"/>
        </w:rPr>
        <w:t>base de los hechos puestos a consideraci</w:t>
      </w:r>
      <w:r>
        <w:rPr>
          <w:rFonts w:cs="Times New Roman"/>
          <w:spacing w:val="-11"/>
          <w:sz w:val="18"/>
          <w:szCs w:val="18"/>
          <w:lang w:val="es-ES_tradnl"/>
        </w:rPr>
        <w:t>ó</w:t>
      </w:r>
      <w:r>
        <w:rPr>
          <w:spacing w:val="-11"/>
          <w:sz w:val="18"/>
          <w:szCs w:val="18"/>
          <w:lang w:val="es-ES_tradnl"/>
        </w:rPr>
        <w:t xml:space="preserve">n del juzgador, de </w:t>
      </w:r>
      <w:r>
        <w:rPr>
          <w:spacing w:val="-9"/>
          <w:sz w:val="18"/>
          <w:szCs w:val="18"/>
          <w:lang w:val="es-ES_tradnl"/>
        </w:rPr>
        <w:t>modo que mediante la recurrencia a las fuentes del derecho aplicables al caso, se obtenga de aquel la promulgaci</w:t>
      </w:r>
      <w:r>
        <w:rPr>
          <w:rFonts w:cs="Times New Roman"/>
          <w:spacing w:val="-9"/>
          <w:sz w:val="18"/>
          <w:szCs w:val="18"/>
          <w:lang w:val="es-ES_tradnl"/>
        </w:rPr>
        <w:t>ó</w:t>
      </w:r>
      <w:r>
        <w:rPr>
          <w:spacing w:val="-9"/>
          <w:sz w:val="18"/>
          <w:szCs w:val="18"/>
          <w:lang w:val="es-ES_tradnl"/>
        </w:rPr>
        <w:t xml:space="preserve">n de </w:t>
      </w:r>
      <w:r>
        <w:rPr>
          <w:spacing w:val="-7"/>
          <w:sz w:val="18"/>
          <w:szCs w:val="18"/>
          <w:lang w:val="es-ES_tradnl"/>
        </w:rPr>
        <w:t>un criterio jur</w:t>
      </w:r>
      <w:r>
        <w:rPr>
          <w:rFonts w:cs="Times New Roman"/>
          <w:spacing w:val="-7"/>
          <w:sz w:val="18"/>
          <w:szCs w:val="18"/>
          <w:lang w:val="es-ES_tradnl"/>
        </w:rPr>
        <w:t>í</w:t>
      </w:r>
      <w:r>
        <w:rPr>
          <w:spacing w:val="-7"/>
          <w:sz w:val="18"/>
          <w:szCs w:val="18"/>
          <w:lang w:val="es-ES_tradnl"/>
        </w:rPr>
        <w:t xml:space="preserve">dico que integre aquellas fuentes para tener </w:t>
      </w:r>
      <w:r>
        <w:rPr>
          <w:spacing w:val="-4"/>
          <w:sz w:val="18"/>
          <w:szCs w:val="18"/>
          <w:lang w:val="es-ES_tradnl"/>
        </w:rPr>
        <w:t>razones jur</w:t>
      </w:r>
      <w:r>
        <w:rPr>
          <w:rFonts w:cs="Times New Roman"/>
          <w:spacing w:val="-4"/>
          <w:sz w:val="18"/>
          <w:szCs w:val="18"/>
          <w:lang w:val="es-ES_tradnl"/>
        </w:rPr>
        <w:t>í</w:t>
      </w:r>
      <w:r>
        <w:rPr>
          <w:spacing w:val="-4"/>
          <w:sz w:val="18"/>
          <w:szCs w:val="18"/>
          <w:lang w:val="es-ES_tradnl"/>
        </w:rPr>
        <w:t>dicamente v</w:t>
      </w:r>
      <w:r>
        <w:rPr>
          <w:rFonts w:cs="Times New Roman"/>
          <w:spacing w:val="-4"/>
          <w:sz w:val="18"/>
          <w:szCs w:val="18"/>
          <w:lang w:val="es-ES_tradnl"/>
        </w:rPr>
        <w:t>á</w:t>
      </w:r>
      <w:r>
        <w:rPr>
          <w:spacing w:val="-4"/>
          <w:sz w:val="18"/>
          <w:szCs w:val="18"/>
          <w:lang w:val="es-ES_tradnl"/>
        </w:rPr>
        <w:t xml:space="preserve">lidas que guarden coherencia </w:t>
      </w:r>
      <w:r>
        <w:rPr>
          <w:spacing w:val="-6"/>
          <w:sz w:val="18"/>
          <w:szCs w:val="18"/>
          <w:lang w:val="es-ES_tradnl"/>
        </w:rPr>
        <w:t>con los elementos f</w:t>
      </w:r>
      <w:r>
        <w:rPr>
          <w:rFonts w:cs="Times New Roman"/>
          <w:spacing w:val="-6"/>
          <w:sz w:val="18"/>
          <w:szCs w:val="18"/>
          <w:lang w:val="es-ES_tradnl"/>
        </w:rPr>
        <w:t>á</w:t>
      </w:r>
      <w:r>
        <w:rPr>
          <w:spacing w:val="-6"/>
          <w:sz w:val="18"/>
          <w:szCs w:val="18"/>
          <w:lang w:val="es-ES_tradnl"/>
        </w:rPr>
        <w:t>cticos y jur</w:t>
      </w:r>
      <w:r>
        <w:rPr>
          <w:rFonts w:cs="Times New Roman"/>
          <w:spacing w:val="-6"/>
          <w:sz w:val="18"/>
          <w:szCs w:val="18"/>
          <w:lang w:val="es-ES_tradnl"/>
        </w:rPr>
        <w:t>í</w:t>
      </w:r>
      <w:r>
        <w:rPr>
          <w:spacing w:val="-6"/>
          <w:sz w:val="18"/>
          <w:szCs w:val="18"/>
          <w:lang w:val="es-ES_tradnl"/>
        </w:rPr>
        <w:t>dicos, y as</w:t>
      </w:r>
      <w:r>
        <w:rPr>
          <w:rFonts w:cs="Times New Roman"/>
          <w:spacing w:val="-6"/>
          <w:sz w:val="18"/>
          <w:szCs w:val="18"/>
          <w:lang w:val="es-ES_tradnl"/>
        </w:rPr>
        <w:t>í</w:t>
      </w:r>
      <w:r>
        <w:rPr>
          <w:spacing w:val="-6"/>
          <w:sz w:val="18"/>
          <w:szCs w:val="18"/>
          <w:lang w:val="es-ES_tradnl"/>
        </w:rPr>
        <w:t xml:space="preserve"> llegar a una </w:t>
      </w:r>
      <w:r>
        <w:rPr>
          <w:sz w:val="18"/>
          <w:szCs w:val="18"/>
          <w:lang w:val="es-ES_tradnl"/>
        </w:rPr>
        <w:t>resoluci</w:t>
      </w:r>
      <w:r>
        <w:rPr>
          <w:rFonts w:cs="Times New Roman"/>
          <w:sz w:val="18"/>
          <w:szCs w:val="18"/>
          <w:lang w:val="es-ES_tradnl"/>
        </w:rPr>
        <w:t>ó</w:t>
      </w:r>
      <w:r>
        <w:rPr>
          <w:sz w:val="18"/>
          <w:szCs w:val="18"/>
          <w:lang w:val="es-ES_tradnl"/>
        </w:rPr>
        <w:t>n l</w:t>
      </w:r>
      <w:r>
        <w:rPr>
          <w:rFonts w:cs="Times New Roman"/>
          <w:sz w:val="18"/>
          <w:szCs w:val="18"/>
          <w:lang w:val="es-ES_tradnl"/>
        </w:rPr>
        <w:t>ó</w:t>
      </w:r>
      <w:r>
        <w:rPr>
          <w:sz w:val="18"/>
          <w:szCs w:val="18"/>
          <w:lang w:val="es-ES_tradnl"/>
        </w:rPr>
        <w:t>gica.</w:t>
      </w:r>
    </w:p>
    <w:p w14:paraId="4F67B47D" w14:textId="77777777" w:rsidR="00591D54" w:rsidRDefault="00591D54">
      <w:pPr>
        <w:shd w:val="clear" w:color="auto" w:fill="FFFFFF"/>
        <w:spacing w:before="192" w:line="216" w:lineRule="exact"/>
        <w:ind w:right="5"/>
        <w:jc w:val="both"/>
      </w:pPr>
      <w:r>
        <w:rPr>
          <w:spacing w:val="-8"/>
          <w:sz w:val="18"/>
          <w:szCs w:val="18"/>
          <w:lang w:val="es-ES_tradnl"/>
        </w:rPr>
        <w:t xml:space="preserve">En palabras de Josep Joan Moreso i Mateos: </w:t>
      </w:r>
      <w:r>
        <w:rPr>
          <w:rFonts w:cs="Times New Roman"/>
          <w:spacing w:val="-8"/>
          <w:sz w:val="18"/>
          <w:szCs w:val="18"/>
          <w:lang w:val="es-ES_tradnl"/>
        </w:rPr>
        <w:t>“</w:t>
      </w:r>
      <w:r>
        <w:rPr>
          <w:spacing w:val="-8"/>
          <w:sz w:val="18"/>
          <w:szCs w:val="18"/>
          <w:lang w:val="es-ES_tradnl"/>
        </w:rPr>
        <w:t xml:space="preserve">Argumentar </w:t>
      </w:r>
      <w:r>
        <w:rPr>
          <w:spacing w:val="-6"/>
          <w:sz w:val="18"/>
          <w:szCs w:val="18"/>
          <w:lang w:val="es-ES_tradnl"/>
        </w:rPr>
        <w:t xml:space="preserve">es inferir o derivar, a partir de un conjunto de enunciados </w:t>
      </w:r>
      <w:r>
        <w:rPr>
          <w:spacing w:val="-9"/>
          <w:sz w:val="18"/>
          <w:szCs w:val="18"/>
          <w:lang w:val="es-ES_tradnl"/>
        </w:rPr>
        <w:t>llamados      premisas,      otro      enunciado      denominado</w:t>
      </w:r>
    </w:p>
    <w:p w14:paraId="4F67B47E" w14:textId="77777777" w:rsidR="00591D54" w:rsidRDefault="00591D54">
      <w:pPr>
        <w:shd w:val="clear" w:color="auto" w:fill="FFFFFF"/>
        <w:spacing w:before="509" w:line="178" w:lineRule="exact"/>
        <w:ind w:left="139" w:hanging="139"/>
      </w:pPr>
      <w:r>
        <w:rPr>
          <w:sz w:val="14"/>
          <w:szCs w:val="14"/>
          <w:vertAlign w:val="superscript"/>
          <w:lang w:val="es-ES_tradnl"/>
        </w:rPr>
        <w:t>6</w:t>
      </w:r>
      <w:r>
        <w:rPr>
          <w:sz w:val="14"/>
          <w:szCs w:val="14"/>
          <w:lang w:val="es-ES_tradnl"/>
        </w:rPr>
        <w:t xml:space="preserve">  Corte Constitucional del Ecuador, Sentencia N.</w:t>
      </w:r>
      <w:r>
        <w:rPr>
          <w:rFonts w:cs="Times New Roman"/>
          <w:sz w:val="14"/>
          <w:szCs w:val="14"/>
          <w:lang w:val="es-ES_tradnl"/>
        </w:rPr>
        <w:t>º</w:t>
      </w:r>
      <w:r>
        <w:rPr>
          <w:sz w:val="14"/>
          <w:szCs w:val="14"/>
          <w:lang w:val="es-ES_tradnl"/>
        </w:rPr>
        <w:t xml:space="preserve"> 064-14-SEP-CC; dentro del caso 0831-12-EP, p. 10</w:t>
      </w:r>
    </w:p>
    <w:p w14:paraId="4F67B47F" w14:textId="77777777" w:rsidR="00591D54" w:rsidRDefault="00591D54">
      <w:pPr>
        <w:shd w:val="clear" w:color="auto" w:fill="FFFFFF"/>
        <w:spacing w:line="221" w:lineRule="exact"/>
        <w:ind w:right="5"/>
        <w:jc w:val="both"/>
      </w:pPr>
      <w:r>
        <w:br w:type="column"/>
      </w:r>
      <w:r>
        <w:rPr>
          <w:spacing w:val="-5"/>
          <w:sz w:val="18"/>
          <w:szCs w:val="18"/>
          <w:lang w:val="es-ES_tradnl"/>
        </w:rPr>
        <w:t>conclusi</w:t>
      </w:r>
      <w:r>
        <w:rPr>
          <w:rFonts w:cs="Times New Roman"/>
          <w:spacing w:val="-5"/>
          <w:sz w:val="18"/>
          <w:szCs w:val="18"/>
          <w:lang w:val="es-ES_tradnl"/>
        </w:rPr>
        <w:t>ó</w:t>
      </w:r>
      <w:r>
        <w:rPr>
          <w:spacing w:val="-5"/>
          <w:sz w:val="18"/>
          <w:szCs w:val="18"/>
          <w:lang w:val="es-ES_tradnl"/>
        </w:rPr>
        <w:t>n</w:t>
      </w:r>
      <w:r>
        <w:rPr>
          <w:rFonts w:cs="Times New Roman"/>
          <w:spacing w:val="-5"/>
          <w:sz w:val="18"/>
          <w:szCs w:val="18"/>
          <w:lang w:val="es-ES_tradnl"/>
        </w:rPr>
        <w:t>”</w:t>
      </w:r>
      <w:r>
        <w:rPr>
          <w:spacing w:val="-5"/>
          <w:sz w:val="18"/>
          <w:szCs w:val="18"/>
          <w:vertAlign w:val="superscript"/>
          <w:lang w:val="es-ES_tradnl"/>
        </w:rPr>
        <w:t>7</w:t>
      </w:r>
      <w:r>
        <w:rPr>
          <w:spacing w:val="-5"/>
          <w:sz w:val="18"/>
          <w:szCs w:val="18"/>
          <w:lang w:val="es-ES_tradnl"/>
        </w:rPr>
        <w:t xml:space="preserve"> para lo cual, debe incluir la enunciaci</w:t>
      </w:r>
      <w:r>
        <w:rPr>
          <w:rFonts w:cs="Times New Roman"/>
          <w:spacing w:val="-5"/>
          <w:sz w:val="18"/>
          <w:szCs w:val="18"/>
          <w:lang w:val="es-ES_tradnl"/>
        </w:rPr>
        <w:t>ó</w:t>
      </w:r>
      <w:r>
        <w:rPr>
          <w:spacing w:val="-5"/>
          <w:sz w:val="18"/>
          <w:szCs w:val="18"/>
          <w:lang w:val="es-ES_tradnl"/>
        </w:rPr>
        <w:t xml:space="preserve">n de </w:t>
      </w:r>
      <w:r>
        <w:rPr>
          <w:spacing w:val="-8"/>
          <w:sz w:val="18"/>
          <w:szCs w:val="18"/>
          <w:lang w:val="es-ES_tradnl"/>
        </w:rPr>
        <w:t>normas y hechos y la conexi</w:t>
      </w:r>
      <w:r>
        <w:rPr>
          <w:rFonts w:cs="Times New Roman"/>
          <w:spacing w:val="-8"/>
          <w:sz w:val="18"/>
          <w:szCs w:val="18"/>
          <w:lang w:val="es-ES_tradnl"/>
        </w:rPr>
        <w:t>ó</w:t>
      </w:r>
      <w:r>
        <w:rPr>
          <w:spacing w:val="-8"/>
          <w:sz w:val="18"/>
          <w:szCs w:val="18"/>
          <w:lang w:val="es-ES_tradnl"/>
        </w:rPr>
        <w:t>n entre ambos, a fin de llegar a una conclusi</w:t>
      </w:r>
      <w:r>
        <w:rPr>
          <w:rFonts w:cs="Times New Roman"/>
          <w:spacing w:val="-8"/>
          <w:sz w:val="18"/>
          <w:szCs w:val="18"/>
          <w:lang w:val="es-ES_tradnl"/>
        </w:rPr>
        <w:t>ó</w:t>
      </w:r>
      <w:r>
        <w:rPr>
          <w:spacing w:val="-8"/>
          <w:sz w:val="18"/>
          <w:szCs w:val="18"/>
          <w:lang w:val="es-ES_tradnl"/>
        </w:rPr>
        <w:t>n general del caso concreto.</w:t>
      </w:r>
    </w:p>
    <w:p w14:paraId="4F67B480" w14:textId="77777777" w:rsidR="00591D54" w:rsidRDefault="00591D54">
      <w:pPr>
        <w:shd w:val="clear" w:color="auto" w:fill="FFFFFF"/>
        <w:spacing w:before="197" w:line="216" w:lineRule="exact"/>
        <w:ind w:right="5"/>
        <w:jc w:val="both"/>
      </w:pPr>
      <w:r>
        <w:rPr>
          <w:spacing w:val="-7"/>
          <w:sz w:val="18"/>
          <w:szCs w:val="18"/>
          <w:lang w:val="es-ES_tradnl"/>
        </w:rPr>
        <w:t>Ahora bien, esta Corte Constitucional pasar</w:t>
      </w:r>
      <w:r>
        <w:rPr>
          <w:rFonts w:cs="Times New Roman"/>
          <w:spacing w:val="-7"/>
          <w:sz w:val="18"/>
          <w:szCs w:val="18"/>
          <w:lang w:val="es-ES_tradnl"/>
        </w:rPr>
        <w:t>á</w:t>
      </w:r>
      <w:r>
        <w:rPr>
          <w:spacing w:val="-7"/>
          <w:sz w:val="18"/>
          <w:szCs w:val="18"/>
          <w:lang w:val="es-ES_tradnl"/>
        </w:rPr>
        <w:t xml:space="preserve"> a verificar si </w:t>
      </w:r>
      <w:r>
        <w:rPr>
          <w:spacing w:val="-10"/>
          <w:sz w:val="18"/>
          <w:szCs w:val="18"/>
          <w:lang w:val="es-ES_tradnl"/>
        </w:rPr>
        <w:t>en la resoluci</w:t>
      </w:r>
      <w:r>
        <w:rPr>
          <w:rFonts w:cs="Times New Roman"/>
          <w:spacing w:val="-10"/>
          <w:sz w:val="18"/>
          <w:szCs w:val="18"/>
          <w:lang w:val="es-ES_tradnl"/>
        </w:rPr>
        <w:t>ó</w:t>
      </w:r>
      <w:r>
        <w:rPr>
          <w:spacing w:val="-10"/>
          <w:sz w:val="18"/>
          <w:szCs w:val="18"/>
          <w:lang w:val="es-ES_tradnl"/>
        </w:rPr>
        <w:t xml:space="preserve">n impugnada se ha incorporado este segundo </w:t>
      </w:r>
      <w:r>
        <w:rPr>
          <w:spacing w:val="-9"/>
          <w:sz w:val="18"/>
          <w:szCs w:val="18"/>
          <w:lang w:val="es-ES_tradnl"/>
        </w:rPr>
        <w:t xml:space="preserve">elemento. En el caso </w:t>
      </w:r>
      <w:r>
        <w:rPr>
          <w:i/>
          <w:iCs/>
          <w:spacing w:val="-9"/>
          <w:sz w:val="18"/>
          <w:szCs w:val="18"/>
          <w:lang w:val="es-ES_tradnl"/>
        </w:rPr>
        <w:t xml:space="preserve">sub judice, </w:t>
      </w:r>
      <w:r>
        <w:rPr>
          <w:spacing w:val="-9"/>
          <w:sz w:val="18"/>
          <w:szCs w:val="18"/>
          <w:lang w:val="es-ES_tradnl"/>
        </w:rPr>
        <w:t xml:space="preserve">los jueces en la sentencia </w:t>
      </w:r>
      <w:r>
        <w:rPr>
          <w:spacing w:val="-8"/>
          <w:sz w:val="18"/>
          <w:szCs w:val="18"/>
          <w:lang w:val="es-ES_tradnl"/>
        </w:rPr>
        <w:t xml:space="preserve">determinan las siguientes premisas: </w:t>
      </w:r>
      <w:r>
        <w:rPr>
          <w:b/>
          <w:bCs/>
          <w:spacing w:val="-8"/>
          <w:sz w:val="18"/>
          <w:szCs w:val="18"/>
          <w:lang w:val="es-ES_tradnl"/>
        </w:rPr>
        <w:t xml:space="preserve">i) </w:t>
      </w:r>
      <w:r>
        <w:rPr>
          <w:spacing w:val="-8"/>
          <w:sz w:val="18"/>
          <w:szCs w:val="18"/>
          <w:lang w:val="es-ES_tradnl"/>
        </w:rPr>
        <w:t xml:space="preserve">Que el menor NN, si </w:t>
      </w:r>
      <w:r>
        <w:rPr>
          <w:spacing w:val="-9"/>
          <w:sz w:val="18"/>
          <w:szCs w:val="18"/>
          <w:lang w:val="es-ES_tradnl"/>
        </w:rPr>
        <w:t>consta registrado como accionista de la compa</w:t>
      </w:r>
      <w:r>
        <w:rPr>
          <w:rFonts w:cs="Times New Roman"/>
          <w:spacing w:val="-9"/>
          <w:sz w:val="18"/>
          <w:szCs w:val="18"/>
          <w:lang w:val="es-ES_tradnl"/>
        </w:rPr>
        <w:t>ñí</w:t>
      </w:r>
      <w:r>
        <w:rPr>
          <w:spacing w:val="-9"/>
          <w:sz w:val="18"/>
          <w:szCs w:val="18"/>
          <w:lang w:val="es-ES_tradnl"/>
        </w:rPr>
        <w:t xml:space="preserve">a PIDESA; </w:t>
      </w:r>
      <w:r>
        <w:rPr>
          <w:b/>
          <w:bCs/>
          <w:spacing w:val="-6"/>
          <w:sz w:val="18"/>
          <w:szCs w:val="18"/>
          <w:lang w:val="es-ES_tradnl"/>
        </w:rPr>
        <w:t xml:space="preserve">ii) </w:t>
      </w:r>
      <w:r>
        <w:rPr>
          <w:spacing w:val="-6"/>
          <w:sz w:val="18"/>
          <w:szCs w:val="18"/>
          <w:lang w:val="es-ES_tradnl"/>
        </w:rPr>
        <w:t>Que la intervenci</w:t>
      </w:r>
      <w:r>
        <w:rPr>
          <w:rFonts w:cs="Times New Roman"/>
          <w:spacing w:val="-6"/>
          <w:sz w:val="18"/>
          <w:szCs w:val="18"/>
          <w:lang w:val="es-ES_tradnl"/>
        </w:rPr>
        <w:t>ó</w:t>
      </w:r>
      <w:r>
        <w:rPr>
          <w:spacing w:val="-6"/>
          <w:sz w:val="18"/>
          <w:szCs w:val="18"/>
          <w:lang w:val="es-ES_tradnl"/>
        </w:rPr>
        <w:t>n de la compa</w:t>
      </w:r>
      <w:r>
        <w:rPr>
          <w:rFonts w:cs="Times New Roman"/>
          <w:spacing w:val="-6"/>
          <w:sz w:val="18"/>
          <w:szCs w:val="18"/>
          <w:lang w:val="es-ES_tradnl"/>
        </w:rPr>
        <w:t>ñí</w:t>
      </w:r>
      <w:r>
        <w:rPr>
          <w:spacing w:val="-6"/>
          <w:sz w:val="18"/>
          <w:szCs w:val="18"/>
          <w:lang w:val="es-ES_tradnl"/>
        </w:rPr>
        <w:t xml:space="preserve">a PIDESA es ilegal; </w:t>
      </w:r>
      <w:r>
        <w:rPr>
          <w:b/>
          <w:bCs/>
          <w:spacing w:val="-7"/>
          <w:sz w:val="18"/>
          <w:szCs w:val="18"/>
          <w:lang w:val="es-ES_tradnl"/>
        </w:rPr>
        <w:t xml:space="preserve">iii) </w:t>
      </w:r>
      <w:r>
        <w:rPr>
          <w:spacing w:val="-7"/>
          <w:sz w:val="18"/>
          <w:szCs w:val="18"/>
          <w:lang w:val="es-ES_tradnl"/>
        </w:rPr>
        <w:t>Que la Superintendencia de Compa</w:t>
      </w:r>
      <w:r>
        <w:rPr>
          <w:rFonts w:cs="Times New Roman"/>
          <w:spacing w:val="-7"/>
          <w:sz w:val="18"/>
          <w:szCs w:val="18"/>
          <w:lang w:val="es-ES_tradnl"/>
        </w:rPr>
        <w:t>ñí</w:t>
      </w:r>
      <w:r>
        <w:rPr>
          <w:spacing w:val="-7"/>
          <w:sz w:val="18"/>
          <w:szCs w:val="18"/>
          <w:lang w:val="es-ES_tradnl"/>
        </w:rPr>
        <w:t xml:space="preserve">as al intervenir la </w:t>
      </w:r>
      <w:r>
        <w:rPr>
          <w:spacing w:val="-5"/>
          <w:sz w:val="18"/>
          <w:szCs w:val="18"/>
          <w:lang w:val="es-ES_tradnl"/>
        </w:rPr>
        <w:t>compa</w:t>
      </w:r>
      <w:r>
        <w:rPr>
          <w:rFonts w:cs="Times New Roman"/>
          <w:spacing w:val="-5"/>
          <w:sz w:val="18"/>
          <w:szCs w:val="18"/>
          <w:lang w:val="es-ES_tradnl"/>
        </w:rPr>
        <w:t>ñí</w:t>
      </w:r>
      <w:r>
        <w:rPr>
          <w:spacing w:val="-5"/>
          <w:sz w:val="18"/>
          <w:szCs w:val="18"/>
          <w:lang w:val="es-ES_tradnl"/>
        </w:rPr>
        <w:t>a PIDESA, est</w:t>
      </w:r>
      <w:r>
        <w:rPr>
          <w:rFonts w:cs="Times New Roman"/>
          <w:spacing w:val="-5"/>
          <w:sz w:val="18"/>
          <w:szCs w:val="18"/>
          <w:lang w:val="es-ES_tradnl"/>
        </w:rPr>
        <w:t>á</w:t>
      </w:r>
      <w:r>
        <w:rPr>
          <w:spacing w:val="-5"/>
          <w:sz w:val="18"/>
          <w:szCs w:val="18"/>
          <w:lang w:val="es-ES_tradnl"/>
        </w:rPr>
        <w:t xml:space="preserve"> vulnerando la libertad de trabajo </w:t>
      </w:r>
      <w:r>
        <w:rPr>
          <w:spacing w:val="-6"/>
          <w:sz w:val="18"/>
          <w:szCs w:val="18"/>
          <w:lang w:val="es-ES_tradnl"/>
        </w:rPr>
        <w:t>y la libertad de desarrollar actividades econ</w:t>
      </w:r>
      <w:r>
        <w:rPr>
          <w:rFonts w:cs="Times New Roman"/>
          <w:spacing w:val="-6"/>
          <w:sz w:val="18"/>
          <w:szCs w:val="18"/>
          <w:lang w:val="es-ES_tradnl"/>
        </w:rPr>
        <w:t>ó</w:t>
      </w:r>
      <w:r>
        <w:rPr>
          <w:spacing w:val="-6"/>
          <w:sz w:val="18"/>
          <w:szCs w:val="18"/>
          <w:lang w:val="es-ES_tradnl"/>
        </w:rPr>
        <w:t xml:space="preserve">micas y; </w:t>
      </w:r>
      <w:r>
        <w:rPr>
          <w:b/>
          <w:bCs/>
          <w:spacing w:val="-6"/>
          <w:sz w:val="18"/>
          <w:szCs w:val="18"/>
          <w:lang w:val="es-ES_tradnl"/>
        </w:rPr>
        <w:t xml:space="preserve">iv) </w:t>
      </w:r>
      <w:r>
        <w:rPr>
          <w:spacing w:val="-8"/>
          <w:sz w:val="18"/>
          <w:szCs w:val="18"/>
          <w:lang w:val="es-ES_tradnl"/>
        </w:rPr>
        <w:t>Que es reiterativo de parte del Servicio de Rentas Internas, Juzgado D</w:t>
      </w:r>
      <w:r>
        <w:rPr>
          <w:rFonts w:cs="Times New Roman"/>
          <w:spacing w:val="-8"/>
          <w:sz w:val="18"/>
          <w:szCs w:val="18"/>
          <w:lang w:val="es-ES_tradnl"/>
        </w:rPr>
        <w:t>é</w:t>
      </w:r>
      <w:r>
        <w:rPr>
          <w:spacing w:val="-8"/>
          <w:sz w:val="18"/>
          <w:szCs w:val="18"/>
          <w:lang w:val="es-ES_tradnl"/>
        </w:rPr>
        <w:t>cimo Segundo de la Ni</w:t>
      </w:r>
      <w:r>
        <w:rPr>
          <w:rFonts w:cs="Times New Roman"/>
          <w:spacing w:val="-8"/>
          <w:sz w:val="18"/>
          <w:szCs w:val="18"/>
          <w:lang w:val="es-ES_tradnl"/>
        </w:rPr>
        <w:t>ñ</w:t>
      </w:r>
      <w:r>
        <w:rPr>
          <w:spacing w:val="-8"/>
          <w:sz w:val="18"/>
          <w:szCs w:val="18"/>
          <w:lang w:val="es-ES_tradnl"/>
        </w:rPr>
        <w:t>ez y Adolescencia del Guayas y la Superintendencia de Compa</w:t>
      </w:r>
      <w:r>
        <w:rPr>
          <w:rFonts w:cs="Times New Roman"/>
          <w:spacing w:val="-8"/>
          <w:sz w:val="18"/>
          <w:szCs w:val="18"/>
          <w:lang w:val="es-ES_tradnl"/>
        </w:rPr>
        <w:t>ñí</w:t>
      </w:r>
      <w:r>
        <w:rPr>
          <w:spacing w:val="-8"/>
          <w:sz w:val="18"/>
          <w:szCs w:val="18"/>
          <w:lang w:val="es-ES_tradnl"/>
        </w:rPr>
        <w:t xml:space="preserve">as, intervenir la </w:t>
      </w:r>
      <w:r>
        <w:rPr>
          <w:sz w:val="18"/>
          <w:szCs w:val="18"/>
          <w:lang w:val="es-ES_tradnl"/>
        </w:rPr>
        <w:t>compa</w:t>
      </w:r>
      <w:r>
        <w:rPr>
          <w:rFonts w:cs="Times New Roman"/>
          <w:sz w:val="18"/>
          <w:szCs w:val="18"/>
          <w:lang w:val="es-ES_tradnl"/>
        </w:rPr>
        <w:t>ñí</w:t>
      </w:r>
      <w:r>
        <w:rPr>
          <w:sz w:val="18"/>
          <w:szCs w:val="18"/>
          <w:lang w:val="es-ES_tradnl"/>
        </w:rPr>
        <w:t>a PIDESA.</w:t>
      </w:r>
    </w:p>
    <w:p w14:paraId="4F67B481" w14:textId="77777777" w:rsidR="00591D54" w:rsidRDefault="00591D54">
      <w:pPr>
        <w:shd w:val="clear" w:color="auto" w:fill="FFFFFF"/>
        <w:spacing w:before="197" w:line="216" w:lineRule="exact"/>
        <w:ind w:right="5"/>
        <w:jc w:val="both"/>
      </w:pPr>
      <w:r>
        <w:rPr>
          <w:spacing w:val="-8"/>
          <w:sz w:val="18"/>
          <w:szCs w:val="18"/>
          <w:lang w:val="es-ES_tradnl"/>
        </w:rPr>
        <w:t xml:space="preserve">En el presente caso, los jueces de Sala no consideran en </w:t>
      </w:r>
      <w:r>
        <w:rPr>
          <w:spacing w:val="-7"/>
          <w:sz w:val="18"/>
          <w:szCs w:val="18"/>
          <w:lang w:val="es-ES_tradnl"/>
        </w:rPr>
        <w:t>ning</w:t>
      </w:r>
      <w:r>
        <w:rPr>
          <w:rFonts w:cs="Times New Roman"/>
          <w:spacing w:val="-7"/>
          <w:sz w:val="18"/>
          <w:szCs w:val="18"/>
          <w:lang w:val="es-ES_tradnl"/>
        </w:rPr>
        <w:t>ú</w:t>
      </w:r>
      <w:r>
        <w:rPr>
          <w:spacing w:val="-7"/>
          <w:sz w:val="18"/>
          <w:szCs w:val="18"/>
          <w:lang w:val="es-ES_tradnl"/>
        </w:rPr>
        <w:t>n momento la sentencia de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n N.</w:t>
      </w:r>
      <w:r>
        <w:rPr>
          <w:rFonts w:cs="Times New Roman"/>
          <w:spacing w:val="-7"/>
          <w:sz w:val="18"/>
          <w:szCs w:val="18"/>
          <w:lang w:val="es-ES_tradnl"/>
        </w:rPr>
        <w:t xml:space="preserve">º </w:t>
      </w:r>
      <w:r>
        <w:rPr>
          <w:spacing w:val="-9"/>
          <w:sz w:val="18"/>
          <w:szCs w:val="18"/>
          <w:lang w:val="es-ES_tradnl"/>
        </w:rPr>
        <w:t>0083-2011, emitida por la jueza d</w:t>
      </w:r>
      <w:r>
        <w:rPr>
          <w:rFonts w:cs="Times New Roman"/>
          <w:spacing w:val="-9"/>
          <w:sz w:val="18"/>
          <w:szCs w:val="18"/>
          <w:lang w:val="es-ES_tradnl"/>
        </w:rPr>
        <w:t>é</w:t>
      </w:r>
      <w:r>
        <w:rPr>
          <w:spacing w:val="-9"/>
          <w:sz w:val="18"/>
          <w:szCs w:val="18"/>
          <w:lang w:val="es-ES_tradnl"/>
        </w:rPr>
        <w:t>cima segunda de la ni</w:t>
      </w:r>
      <w:r>
        <w:rPr>
          <w:rFonts w:cs="Times New Roman"/>
          <w:spacing w:val="-9"/>
          <w:sz w:val="18"/>
          <w:szCs w:val="18"/>
          <w:lang w:val="es-ES_tradnl"/>
        </w:rPr>
        <w:t>ñ</w:t>
      </w:r>
      <w:r>
        <w:rPr>
          <w:spacing w:val="-9"/>
          <w:sz w:val="18"/>
          <w:szCs w:val="18"/>
          <w:lang w:val="es-ES_tradnl"/>
        </w:rPr>
        <w:t xml:space="preserve">ez </w:t>
      </w:r>
      <w:r>
        <w:rPr>
          <w:spacing w:val="-10"/>
          <w:sz w:val="18"/>
          <w:szCs w:val="18"/>
          <w:lang w:val="es-ES_tradnl"/>
        </w:rPr>
        <w:t>y adolescencia del Guayas, en la que dispuso la intervenci</w:t>
      </w:r>
      <w:r>
        <w:rPr>
          <w:rFonts w:cs="Times New Roman"/>
          <w:spacing w:val="-10"/>
          <w:sz w:val="18"/>
          <w:szCs w:val="18"/>
          <w:lang w:val="es-ES_tradnl"/>
        </w:rPr>
        <w:t>ó</w:t>
      </w:r>
      <w:r>
        <w:rPr>
          <w:spacing w:val="-10"/>
          <w:sz w:val="18"/>
          <w:szCs w:val="18"/>
          <w:lang w:val="es-ES_tradnl"/>
        </w:rPr>
        <w:t xml:space="preserve">n </w:t>
      </w:r>
      <w:r>
        <w:rPr>
          <w:spacing w:val="-8"/>
          <w:sz w:val="18"/>
          <w:szCs w:val="18"/>
          <w:lang w:val="es-ES_tradnl"/>
        </w:rPr>
        <w:t>de la compa</w:t>
      </w:r>
      <w:r>
        <w:rPr>
          <w:rFonts w:cs="Times New Roman"/>
          <w:spacing w:val="-8"/>
          <w:sz w:val="18"/>
          <w:szCs w:val="18"/>
          <w:lang w:val="es-ES_tradnl"/>
        </w:rPr>
        <w:t>ñí</w:t>
      </w:r>
      <w:r>
        <w:rPr>
          <w:spacing w:val="-8"/>
          <w:sz w:val="18"/>
          <w:szCs w:val="18"/>
          <w:lang w:val="es-ES_tradnl"/>
        </w:rPr>
        <w:t xml:space="preserve">a PIDESA y que se tutelen los derechos del </w:t>
      </w:r>
      <w:r>
        <w:rPr>
          <w:sz w:val="18"/>
          <w:szCs w:val="18"/>
          <w:lang w:val="es-ES_tradnl"/>
        </w:rPr>
        <w:t>menor NN.</w:t>
      </w:r>
    </w:p>
    <w:p w14:paraId="4F67B482" w14:textId="77777777" w:rsidR="00591D54" w:rsidRDefault="00591D54">
      <w:pPr>
        <w:shd w:val="clear" w:color="auto" w:fill="FFFFFF"/>
        <w:spacing w:before="192" w:line="216" w:lineRule="exact"/>
        <w:jc w:val="both"/>
      </w:pPr>
      <w:r>
        <w:rPr>
          <w:spacing w:val="-10"/>
          <w:sz w:val="18"/>
          <w:szCs w:val="18"/>
          <w:lang w:val="es-ES_tradnl"/>
        </w:rPr>
        <w:t>En la fase de ejecuci</w:t>
      </w:r>
      <w:r>
        <w:rPr>
          <w:rFonts w:cs="Times New Roman"/>
          <w:spacing w:val="-10"/>
          <w:sz w:val="18"/>
          <w:szCs w:val="18"/>
          <w:lang w:val="es-ES_tradnl"/>
        </w:rPr>
        <w:t>ó</w:t>
      </w:r>
      <w:r>
        <w:rPr>
          <w:spacing w:val="-10"/>
          <w:sz w:val="18"/>
          <w:szCs w:val="18"/>
          <w:lang w:val="es-ES_tradnl"/>
        </w:rPr>
        <w:t xml:space="preserve">n de la sentencia, nace la </w:t>
      </w:r>
      <w:r>
        <w:rPr>
          <w:b/>
          <w:bCs/>
          <w:spacing w:val="-10"/>
          <w:sz w:val="18"/>
          <w:szCs w:val="18"/>
          <w:lang w:val="es-ES_tradnl"/>
        </w:rPr>
        <w:t>Resoluci</w:t>
      </w:r>
      <w:r>
        <w:rPr>
          <w:rFonts w:cs="Times New Roman"/>
          <w:b/>
          <w:bCs/>
          <w:spacing w:val="-10"/>
          <w:sz w:val="18"/>
          <w:szCs w:val="18"/>
          <w:lang w:val="es-ES_tradnl"/>
        </w:rPr>
        <w:t>ó</w:t>
      </w:r>
      <w:r>
        <w:rPr>
          <w:b/>
          <w:bCs/>
          <w:spacing w:val="-10"/>
          <w:sz w:val="18"/>
          <w:szCs w:val="18"/>
          <w:lang w:val="es-ES_tradnl"/>
        </w:rPr>
        <w:t xml:space="preserve">n </w:t>
      </w:r>
      <w:r>
        <w:rPr>
          <w:b/>
          <w:bCs/>
          <w:spacing w:val="-3"/>
          <w:sz w:val="18"/>
          <w:szCs w:val="18"/>
          <w:lang w:val="es-ES_tradnl"/>
        </w:rPr>
        <w:t>N.</w:t>
      </w:r>
      <w:r>
        <w:rPr>
          <w:rFonts w:cs="Times New Roman"/>
          <w:b/>
          <w:bCs/>
          <w:spacing w:val="-3"/>
          <w:sz w:val="18"/>
          <w:szCs w:val="18"/>
          <w:lang w:val="es-ES_tradnl"/>
        </w:rPr>
        <w:t>º</w:t>
      </w:r>
      <w:r>
        <w:rPr>
          <w:b/>
          <w:bCs/>
          <w:spacing w:val="-3"/>
          <w:sz w:val="18"/>
          <w:szCs w:val="18"/>
          <w:lang w:val="es-ES_tradnl"/>
        </w:rPr>
        <w:t xml:space="preserve"> SC-IJ-G-11 0013 </w:t>
      </w:r>
      <w:r>
        <w:rPr>
          <w:spacing w:val="-3"/>
          <w:sz w:val="18"/>
          <w:szCs w:val="18"/>
          <w:lang w:val="es-ES_tradnl"/>
        </w:rPr>
        <w:t xml:space="preserve">expedida por la Superintendencia </w:t>
      </w:r>
      <w:r>
        <w:rPr>
          <w:spacing w:val="-2"/>
          <w:sz w:val="18"/>
          <w:szCs w:val="18"/>
          <w:lang w:val="es-ES_tradnl"/>
        </w:rPr>
        <w:t>de Compa</w:t>
      </w:r>
      <w:r>
        <w:rPr>
          <w:rFonts w:cs="Times New Roman"/>
          <w:spacing w:val="-2"/>
          <w:sz w:val="18"/>
          <w:szCs w:val="18"/>
          <w:lang w:val="es-ES_tradnl"/>
        </w:rPr>
        <w:t>ñí</w:t>
      </w:r>
      <w:r>
        <w:rPr>
          <w:spacing w:val="-2"/>
          <w:sz w:val="18"/>
          <w:szCs w:val="18"/>
          <w:lang w:val="es-ES_tradnl"/>
        </w:rPr>
        <w:t xml:space="preserve">as </w:t>
      </w:r>
      <w:r>
        <w:rPr>
          <w:rFonts w:cs="Times New Roman"/>
          <w:spacing w:val="-2"/>
          <w:sz w:val="18"/>
          <w:szCs w:val="18"/>
          <w:lang w:val="es-ES_tradnl"/>
        </w:rPr>
        <w:t>–</w:t>
      </w:r>
      <w:r>
        <w:rPr>
          <w:spacing w:val="-2"/>
          <w:sz w:val="18"/>
          <w:szCs w:val="18"/>
          <w:lang w:val="es-ES_tradnl"/>
        </w:rPr>
        <w:t>materia de la acci</w:t>
      </w:r>
      <w:r>
        <w:rPr>
          <w:rFonts w:cs="Times New Roman"/>
          <w:spacing w:val="-2"/>
          <w:sz w:val="18"/>
          <w:szCs w:val="18"/>
          <w:lang w:val="es-ES_tradnl"/>
        </w:rPr>
        <w:t>ó</w:t>
      </w:r>
      <w:r>
        <w:rPr>
          <w:spacing w:val="-2"/>
          <w:sz w:val="18"/>
          <w:szCs w:val="18"/>
          <w:lang w:val="es-ES_tradnl"/>
        </w:rPr>
        <w:t>n de protecci</w:t>
      </w:r>
      <w:r>
        <w:rPr>
          <w:rFonts w:cs="Times New Roman"/>
          <w:spacing w:val="-2"/>
          <w:sz w:val="18"/>
          <w:szCs w:val="18"/>
          <w:lang w:val="es-ES_tradnl"/>
        </w:rPr>
        <w:t>ó</w:t>
      </w:r>
      <w:r>
        <w:rPr>
          <w:spacing w:val="-2"/>
          <w:sz w:val="18"/>
          <w:szCs w:val="18"/>
          <w:lang w:val="es-ES_tradnl"/>
        </w:rPr>
        <w:t xml:space="preserve">n </w:t>
      </w:r>
      <w:r>
        <w:rPr>
          <w:spacing w:val="-6"/>
          <w:sz w:val="18"/>
          <w:szCs w:val="18"/>
          <w:lang w:val="es-ES_tradnl"/>
        </w:rPr>
        <w:t>planteada por la compa</w:t>
      </w:r>
      <w:r>
        <w:rPr>
          <w:rFonts w:cs="Times New Roman"/>
          <w:spacing w:val="-6"/>
          <w:sz w:val="18"/>
          <w:szCs w:val="18"/>
          <w:lang w:val="es-ES_tradnl"/>
        </w:rPr>
        <w:t>ñí</w:t>
      </w:r>
      <w:r>
        <w:rPr>
          <w:spacing w:val="-6"/>
          <w:sz w:val="18"/>
          <w:szCs w:val="18"/>
          <w:lang w:val="es-ES_tradnl"/>
        </w:rPr>
        <w:t>a PIDESA</w:t>
      </w:r>
      <w:r>
        <w:rPr>
          <w:rFonts w:ascii="Arial Unicode MS" w:eastAsia="Arial Unicode MS" w:hAnsi="Arial Unicode MS" w:cs="Arial Unicode MS" w:hint="eastAsia"/>
          <w:spacing w:val="-6"/>
          <w:sz w:val="18"/>
          <w:szCs w:val="18"/>
          <w:lang w:val="es-ES_tradnl"/>
        </w:rPr>
        <w:t>‒</w:t>
      </w:r>
      <w:r>
        <w:rPr>
          <w:spacing w:val="-6"/>
          <w:sz w:val="18"/>
          <w:szCs w:val="18"/>
          <w:lang w:val="es-ES_tradnl"/>
        </w:rPr>
        <w:t xml:space="preserve"> la cual se basa en que la citada compa</w:t>
      </w:r>
      <w:r>
        <w:rPr>
          <w:rFonts w:cs="Times New Roman"/>
          <w:spacing w:val="-6"/>
          <w:sz w:val="18"/>
          <w:szCs w:val="18"/>
          <w:lang w:val="es-ES_tradnl"/>
        </w:rPr>
        <w:t>ñí</w:t>
      </w:r>
      <w:r>
        <w:rPr>
          <w:spacing w:val="-6"/>
          <w:sz w:val="18"/>
          <w:szCs w:val="18"/>
          <w:lang w:val="es-ES_tradnl"/>
        </w:rPr>
        <w:t>a, legitimada activa en la acci</w:t>
      </w:r>
      <w:r>
        <w:rPr>
          <w:rFonts w:cs="Times New Roman"/>
          <w:spacing w:val="-6"/>
          <w:sz w:val="18"/>
          <w:szCs w:val="18"/>
          <w:lang w:val="es-ES_tradnl"/>
        </w:rPr>
        <w:t>ó</w:t>
      </w:r>
      <w:r>
        <w:rPr>
          <w:spacing w:val="-6"/>
          <w:sz w:val="18"/>
          <w:szCs w:val="18"/>
          <w:lang w:val="es-ES_tradnl"/>
        </w:rPr>
        <w:t xml:space="preserve">n de </w:t>
      </w:r>
      <w:r>
        <w:rPr>
          <w:spacing w:val="-8"/>
          <w:sz w:val="18"/>
          <w:szCs w:val="18"/>
          <w:lang w:val="es-ES_tradnl"/>
        </w:rPr>
        <w:t>protecci</w:t>
      </w:r>
      <w:r>
        <w:rPr>
          <w:rFonts w:cs="Times New Roman"/>
          <w:spacing w:val="-8"/>
          <w:sz w:val="18"/>
          <w:szCs w:val="18"/>
          <w:lang w:val="es-ES_tradnl"/>
        </w:rPr>
        <w:t>ó</w:t>
      </w:r>
      <w:r>
        <w:rPr>
          <w:spacing w:val="-8"/>
          <w:sz w:val="18"/>
          <w:szCs w:val="18"/>
          <w:lang w:val="es-ES_tradnl"/>
        </w:rPr>
        <w:t xml:space="preserve">n, no ha proporcionado los balances, documentos </w:t>
      </w:r>
      <w:r>
        <w:rPr>
          <w:spacing w:val="-5"/>
          <w:sz w:val="18"/>
          <w:szCs w:val="18"/>
          <w:lang w:val="es-ES_tradnl"/>
        </w:rPr>
        <w:t xml:space="preserve">y comprobantes solicitados por la Intendencia, a fin de </w:t>
      </w:r>
      <w:r>
        <w:rPr>
          <w:spacing w:val="-7"/>
          <w:sz w:val="18"/>
          <w:szCs w:val="18"/>
          <w:lang w:val="es-ES_tradnl"/>
        </w:rPr>
        <w:t>determinar su situaci</w:t>
      </w:r>
      <w:r>
        <w:rPr>
          <w:rFonts w:cs="Times New Roman"/>
          <w:spacing w:val="-7"/>
          <w:sz w:val="18"/>
          <w:szCs w:val="18"/>
          <w:lang w:val="es-ES_tradnl"/>
        </w:rPr>
        <w:t>ó</w:t>
      </w:r>
      <w:r>
        <w:rPr>
          <w:spacing w:val="-7"/>
          <w:sz w:val="18"/>
          <w:szCs w:val="18"/>
          <w:lang w:val="es-ES_tradnl"/>
        </w:rPr>
        <w:t>n financiera, por lo que la compa</w:t>
      </w:r>
      <w:r>
        <w:rPr>
          <w:rFonts w:cs="Times New Roman"/>
          <w:spacing w:val="-7"/>
          <w:sz w:val="18"/>
          <w:szCs w:val="18"/>
          <w:lang w:val="es-ES_tradnl"/>
        </w:rPr>
        <w:t>ñí</w:t>
      </w:r>
      <w:r>
        <w:rPr>
          <w:spacing w:val="-7"/>
          <w:sz w:val="18"/>
          <w:szCs w:val="18"/>
          <w:lang w:val="es-ES_tradnl"/>
        </w:rPr>
        <w:t>a estar</w:t>
      </w:r>
      <w:r>
        <w:rPr>
          <w:rFonts w:cs="Times New Roman"/>
          <w:spacing w:val="-7"/>
          <w:sz w:val="18"/>
          <w:szCs w:val="18"/>
          <w:lang w:val="es-ES_tradnl"/>
        </w:rPr>
        <w:t>í</w:t>
      </w:r>
      <w:r>
        <w:rPr>
          <w:spacing w:val="-7"/>
          <w:sz w:val="18"/>
          <w:szCs w:val="18"/>
          <w:lang w:val="es-ES_tradnl"/>
        </w:rPr>
        <w:t>a incursa en la causal de intervenci</w:t>
      </w:r>
      <w:r>
        <w:rPr>
          <w:rFonts w:cs="Times New Roman"/>
          <w:spacing w:val="-7"/>
          <w:sz w:val="18"/>
          <w:szCs w:val="18"/>
          <w:lang w:val="es-ES_tradnl"/>
        </w:rPr>
        <w:t>ó</w:t>
      </w:r>
      <w:r>
        <w:rPr>
          <w:spacing w:val="-7"/>
          <w:sz w:val="18"/>
          <w:szCs w:val="18"/>
          <w:lang w:val="es-ES_tradnl"/>
        </w:rPr>
        <w:t xml:space="preserve">n prevista en el </w:t>
      </w:r>
      <w:r>
        <w:rPr>
          <w:spacing w:val="-8"/>
          <w:sz w:val="18"/>
          <w:szCs w:val="18"/>
          <w:lang w:val="es-ES_tradnl"/>
        </w:rPr>
        <w:t>numeral tercero del art</w:t>
      </w:r>
      <w:r>
        <w:rPr>
          <w:rFonts w:cs="Times New Roman"/>
          <w:spacing w:val="-8"/>
          <w:sz w:val="18"/>
          <w:szCs w:val="18"/>
          <w:lang w:val="es-ES_tradnl"/>
        </w:rPr>
        <w:t>í</w:t>
      </w:r>
      <w:r>
        <w:rPr>
          <w:spacing w:val="-8"/>
          <w:sz w:val="18"/>
          <w:szCs w:val="18"/>
          <w:lang w:val="es-ES_tradnl"/>
        </w:rPr>
        <w:t>culo 354 de la Ley de Compa</w:t>
      </w:r>
      <w:r>
        <w:rPr>
          <w:rFonts w:cs="Times New Roman"/>
          <w:spacing w:val="-8"/>
          <w:sz w:val="18"/>
          <w:szCs w:val="18"/>
          <w:lang w:val="es-ES_tradnl"/>
        </w:rPr>
        <w:t>ñí</w:t>
      </w:r>
      <w:r>
        <w:rPr>
          <w:spacing w:val="-8"/>
          <w:sz w:val="18"/>
          <w:szCs w:val="18"/>
          <w:lang w:val="es-ES_tradnl"/>
        </w:rPr>
        <w:t>as</w:t>
      </w:r>
      <w:r>
        <w:rPr>
          <w:spacing w:val="-8"/>
          <w:sz w:val="18"/>
          <w:szCs w:val="18"/>
          <w:vertAlign w:val="superscript"/>
          <w:lang w:val="es-ES_tradnl"/>
        </w:rPr>
        <w:t>8</w:t>
      </w:r>
      <w:r>
        <w:rPr>
          <w:spacing w:val="-8"/>
          <w:sz w:val="18"/>
          <w:szCs w:val="18"/>
          <w:lang w:val="es-ES_tradnl"/>
        </w:rPr>
        <w:t xml:space="preserve">. </w:t>
      </w:r>
      <w:r>
        <w:rPr>
          <w:spacing w:val="-1"/>
          <w:sz w:val="18"/>
          <w:szCs w:val="18"/>
          <w:lang w:val="es-ES_tradnl"/>
        </w:rPr>
        <w:t>Por tanto, a criterio de la instituci</w:t>
      </w:r>
      <w:r>
        <w:rPr>
          <w:rFonts w:cs="Times New Roman"/>
          <w:spacing w:val="-1"/>
          <w:sz w:val="18"/>
          <w:szCs w:val="18"/>
          <w:lang w:val="es-ES_tradnl"/>
        </w:rPr>
        <w:t>ó</w:t>
      </w:r>
      <w:r>
        <w:rPr>
          <w:spacing w:val="-1"/>
          <w:sz w:val="18"/>
          <w:szCs w:val="18"/>
          <w:lang w:val="es-ES_tradnl"/>
        </w:rPr>
        <w:t xml:space="preserve">n era procedente </w:t>
      </w:r>
      <w:r>
        <w:rPr>
          <w:spacing w:val="-7"/>
          <w:sz w:val="18"/>
          <w:szCs w:val="18"/>
          <w:lang w:val="es-ES_tradnl"/>
        </w:rPr>
        <w:t>adoptar esta medida administrativa de car</w:t>
      </w:r>
      <w:r>
        <w:rPr>
          <w:rFonts w:cs="Times New Roman"/>
          <w:spacing w:val="-7"/>
          <w:sz w:val="18"/>
          <w:szCs w:val="18"/>
          <w:lang w:val="es-ES_tradnl"/>
        </w:rPr>
        <w:t>á</w:t>
      </w:r>
      <w:r>
        <w:rPr>
          <w:spacing w:val="-7"/>
          <w:sz w:val="18"/>
          <w:szCs w:val="18"/>
          <w:lang w:val="es-ES_tradnl"/>
        </w:rPr>
        <w:t xml:space="preserve">cter temporal, </w:t>
      </w:r>
      <w:r>
        <w:rPr>
          <w:spacing w:val="-6"/>
          <w:sz w:val="18"/>
          <w:szCs w:val="18"/>
          <w:lang w:val="es-ES_tradnl"/>
        </w:rPr>
        <w:t xml:space="preserve">esto es, la de intervenir la empresa, a fin de procurar el </w:t>
      </w:r>
      <w:r>
        <w:rPr>
          <w:spacing w:val="-7"/>
          <w:sz w:val="18"/>
          <w:szCs w:val="18"/>
          <w:lang w:val="es-ES_tradnl"/>
        </w:rPr>
        <w:t xml:space="preserve">mantenimiento del patrimonio de la misma y evitar que se </w:t>
      </w:r>
      <w:r>
        <w:rPr>
          <w:spacing w:val="-9"/>
          <w:sz w:val="18"/>
          <w:szCs w:val="18"/>
          <w:lang w:val="es-ES_tradnl"/>
        </w:rPr>
        <w:t xml:space="preserve">ocasionen perjuicios a los accionistas o terceros, es decir, la </w:t>
      </w:r>
      <w:r>
        <w:rPr>
          <w:spacing w:val="-11"/>
          <w:sz w:val="18"/>
          <w:szCs w:val="18"/>
          <w:lang w:val="es-ES_tradnl"/>
        </w:rPr>
        <w:t>Superintendencia de Compa</w:t>
      </w:r>
      <w:r>
        <w:rPr>
          <w:rFonts w:cs="Times New Roman"/>
          <w:spacing w:val="-11"/>
          <w:sz w:val="18"/>
          <w:szCs w:val="18"/>
          <w:lang w:val="es-ES_tradnl"/>
        </w:rPr>
        <w:t>ñí</w:t>
      </w:r>
      <w:r>
        <w:rPr>
          <w:spacing w:val="-11"/>
          <w:sz w:val="18"/>
          <w:szCs w:val="18"/>
          <w:lang w:val="es-ES_tradnl"/>
        </w:rPr>
        <w:t xml:space="preserve">as se encuentra facultada para </w:t>
      </w:r>
      <w:r>
        <w:rPr>
          <w:spacing w:val="-5"/>
          <w:sz w:val="18"/>
          <w:szCs w:val="18"/>
          <w:lang w:val="es-ES_tradnl"/>
        </w:rPr>
        <w:t>intervenir compa</w:t>
      </w:r>
      <w:r>
        <w:rPr>
          <w:rFonts w:cs="Times New Roman"/>
          <w:spacing w:val="-5"/>
          <w:sz w:val="18"/>
          <w:szCs w:val="18"/>
          <w:lang w:val="es-ES_tradnl"/>
        </w:rPr>
        <w:t>ñí</w:t>
      </w:r>
      <w:r>
        <w:rPr>
          <w:spacing w:val="-5"/>
          <w:sz w:val="18"/>
          <w:szCs w:val="18"/>
          <w:lang w:val="es-ES_tradnl"/>
        </w:rPr>
        <w:t xml:space="preserve">as y evitar que se ocasionen perjuicios </w:t>
      </w:r>
      <w:r>
        <w:rPr>
          <w:spacing w:val="-8"/>
          <w:sz w:val="18"/>
          <w:szCs w:val="18"/>
          <w:lang w:val="es-ES_tradnl"/>
        </w:rPr>
        <w:t>a los socios, accionistas o a terceros, as</w:t>
      </w:r>
      <w:r>
        <w:rPr>
          <w:rFonts w:cs="Times New Roman"/>
          <w:spacing w:val="-8"/>
          <w:sz w:val="18"/>
          <w:szCs w:val="18"/>
          <w:lang w:val="es-ES_tradnl"/>
        </w:rPr>
        <w:t>í</w:t>
      </w:r>
      <w:r>
        <w:rPr>
          <w:spacing w:val="-8"/>
          <w:sz w:val="18"/>
          <w:szCs w:val="18"/>
          <w:lang w:val="es-ES_tradnl"/>
        </w:rPr>
        <w:t xml:space="preserve"> como tambi</w:t>
      </w:r>
      <w:r>
        <w:rPr>
          <w:rFonts w:cs="Times New Roman"/>
          <w:spacing w:val="-8"/>
          <w:sz w:val="18"/>
          <w:szCs w:val="18"/>
          <w:lang w:val="es-ES_tradnl"/>
        </w:rPr>
        <w:t>é</w:t>
      </w:r>
      <w:r>
        <w:rPr>
          <w:spacing w:val="-8"/>
          <w:sz w:val="18"/>
          <w:szCs w:val="18"/>
          <w:lang w:val="es-ES_tradnl"/>
        </w:rPr>
        <w:t xml:space="preserve">n la </w:t>
      </w:r>
      <w:r>
        <w:rPr>
          <w:sz w:val="18"/>
          <w:szCs w:val="18"/>
          <w:lang w:val="es-ES_tradnl"/>
        </w:rPr>
        <w:t>tutela del patrimonio de la misma.</w:t>
      </w:r>
    </w:p>
    <w:p w14:paraId="4F67B483" w14:textId="77777777" w:rsidR="00591D54" w:rsidRDefault="00591D54">
      <w:pPr>
        <w:shd w:val="clear" w:color="auto" w:fill="FFFFFF"/>
        <w:spacing w:before="192" w:line="216" w:lineRule="exact"/>
        <w:ind w:right="5"/>
        <w:jc w:val="both"/>
      </w:pPr>
      <w:r>
        <w:rPr>
          <w:spacing w:val="-7"/>
          <w:sz w:val="18"/>
          <w:szCs w:val="18"/>
          <w:lang w:val="es-ES_tradnl"/>
        </w:rPr>
        <w:t>El asunto controvertido, esto es, la intervenci</w:t>
      </w:r>
      <w:r>
        <w:rPr>
          <w:rFonts w:cs="Times New Roman"/>
          <w:spacing w:val="-7"/>
          <w:sz w:val="18"/>
          <w:szCs w:val="18"/>
          <w:lang w:val="es-ES_tradnl"/>
        </w:rPr>
        <w:t>ó</w:t>
      </w:r>
      <w:r>
        <w:rPr>
          <w:spacing w:val="-7"/>
          <w:sz w:val="18"/>
          <w:szCs w:val="18"/>
          <w:lang w:val="es-ES_tradnl"/>
        </w:rPr>
        <w:t xml:space="preserve">n ordenada </w:t>
      </w:r>
      <w:r>
        <w:rPr>
          <w:spacing w:val="-6"/>
          <w:sz w:val="18"/>
          <w:szCs w:val="18"/>
          <w:lang w:val="es-ES_tradnl"/>
        </w:rPr>
        <w:t>por la autoridad accionada, surge como consecuencia de no haber proporcionado la exhibici</w:t>
      </w:r>
      <w:r>
        <w:rPr>
          <w:rFonts w:cs="Times New Roman"/>
          <w:spacing w:val="-6"/>
          <w:sz w:val="18"/>
          <w:szCs w:val="18"/>
          <w:lang w:val="es-ES_tradnl"/>
        </w:rPr>
        <w:t>ó</w:t>
      </w:r>
      <w:r>
        <w:rPr>
          <w:spacing w:val="-6"/>
          <w:sz w:val="18"/>
          <w:szCs w:val="18"/>
          <w:lang w:val="es-ES_tradnl"/>
        </w:rPr>
        <w:t xml:space="preserve">n de los documentos </w:t>
      </w:r>
      <w:r>
        <w:rPr>
          <w:spacing w:val="-2"/>
          <w:sz w:val="18"/>
          <w:szCs w:val="18"/>
          <w:lang w:val="es-ES_tradnl"/>
        </w:rPr>
        <w:t>requeridos por la Superintendencia de Compa</w:t>
      </w:r>
      <w:r>
        <w:rPr>
          <w:rFonts w:cs="Times New Roman"/>
          <w:spacing w:val="-2"/>
          <w:sz w:val="18"/>
          <w:szCs w:val="18"/>
          <w:lang w:val="es-ES_tradnl"/>
        </w:rPr>
        <w:t>ñí</w:t>
      </w:r>
      <w:r>
        <w:rPr>
          <w:spacing w:val="-2"/>
          <w:sz w:val="18"/>
          <w:szCs w:val="18"/>
          <w:lang w:val="es-ES_tradnl"/>
        </w:rPr>
        <w:t xml:space="preserve">as, </w:t>
      </w:r>
      <w:r>
        <w:rPr>
          <w:spacing w:val="-11"/>
          <w:sz w:val="18"/>
          <w:szCs w:val="18"/>
          <w:lang w:val="es-ES_tradnl"/>
        </w:rPr>
        <w:t>situaci</w:t>
      </w:r>
      <w:r>
        <w:rPr>
          <w:rFonts w:cs="Times New Roman"/>
          <w:spacing w:val="-11"/>
          <w:sz w:val="18"/>
          <w:szCs w:val="18"/>
          <w:lang w:val="es-ES_tradnl"/>
        </w:rPr>
        <w:t>ó</w:t>
      </w:r>
      <w:r>
        <w:rPr>
          <w:spacing w:val="-11"/>
          <w:sz w:val="18"/>
          <w:szCs w:val="18"/>
          <w:lang w:val="es-ES_tradnl"/>
        </w:rPr>
        <w:t>n que se encuentra prevista en la Ley de Compa</w:t>
      </w:r>
      <w:r>
        <w:rPr>
          <w:rFonts w:cs="Times New Roman"/>
          <w:spacing w:val="-11"/>
          <w:sz w:val="18"/>
          <w:szCs w:val="18"/>
          <w:lang w:val="es-ES_tradnl"/>
        </w:rPr>
        <w:t>ñí</w:t>
      </w:r>
      <w:r>
        <w:rPr>
          <w:spacing w:val="-11"/>
          <w:sz w:val="18"/>
          <w:szCs w:val="18"/>
          <w:lang w:val="es-ES_tradnl"/>
        </w:rPr>
        <w:t>as.</w:t>
      </w:r>
    </w:p>
    <w:p w14:paraId="4F67B484" w14:textId="77777777" w:rsidR="00591D54" w:rsidRDefault="00591D54">
      <w:pPr>
        <w:shd w:val="clear" w:color="auto" w:fill="FFFFFF"/>
        <w:tabs>
          <w:tab w:val="left" w:pos="144"/>
        </w:tabs>
        <w:spacing w:before="485" w:line="182" w:lineRule="exact"/>
        <w:ind w:left="144" w:right="5" w:hanging="144"/>
        <w:jc w:val="both"/>
      </w:pPr>
      <w:r>
        <w:rPr>
          <w:sz w:val="10"/>
          <w:szCs w:val="10"/>
          <w:vertAlign w:val="superscript"/>
          <w:lang w:val="es-ES_tradnl"/>
        </w:rPr>
        <w:t>7</w:t>
      </w:r>
      <w:r>
        <w:rPr>
          <w:sz w:val="18"/>
          <w:szCs w:val="18"/>
          <w:lang w:val="es-ES_tradnl"/>
        </w:rPr>
        <w:tab/>
      </w:r>
      <w:r>
        <w:rPr>
          <w:spacing w:val="-3"/>
          <w:sz w:val="14"/>
          <w:szCs w:val="14"/>
          <w:lang w:val="es-ES_tradnl"/>
        </w:rPr>
        <w:t>Josep</w:t>
      </w:r>
      <w:r>
        <w:rPr>
          <w:spacing w:val="-3"/>
          <w:sz w:val="18"/>
          <w:szCs w:val="18"/>
          <w:lang w:val="es-ES_tradnl"/>
        </w:rPr>
        <w:t xml:space="preserve"> </w:t>
      </w:r>
      <w:r>
        <w:rPr>
          <w:spacing w:val="-3"/>
          <w:sz w:val="14"/>
          <w:szCs w:val="14"/>
          <w:lang w:val="es-ES_tradnl"/>
        </w:rPr>
        <w:t>Joan</w:t>
      </w:r>
      <w:r>
        <w:rPr>
          <w:spacing w:val="-3"/>
          <w:sz w:val="18"/>
          <w:szCs w:val="18"/>
          <w:lang w:val="es-ES_tradnl"/>
        </w:rPr>
        <w:t xml:space="preserve"> </w:t>
      </w:r>
      <w:r>
        <w:rPr>
          <w:spacing w:val="-3"/>
          <w:sz w:val="14"/>
          <w:szCs w:val="14"/>
          <w:lang w:val="es-ES_tradnl"/>
        </w:rPr>
        <w:t>Moreso</w:t>
      </w:r>
      <w:r>
        <w:rPr>
          <w:spacing w:val="-3"/>
          <w:sz w:val="18"/>
          <w:szCs w:val="18"/>
          <w:lang w:val="es-ES_tradnl"/>
        </w:rPr>
        <w:t xml:space="preserve"> </w:t>
      </w:r>
      <w:r>
        <w:rPr>
          <w:spacing w:val="-3"/>
          <w:sz w:val="14"/>
          <w:szCs w:val="14"/>
          <w:lang w:val="es-ES_tradnl"/>
        </w:rPr>
        <w:t>i</w:t>
      </w:r>
      <w:r>
        <w:rPr>
          <w:spacing w:val="-3"/>
          <w:sz w:val="18"/>
          <w:szCs w:val="18"/>
          <w:lang w:val="es-ES_tradnl"/>
        </w:rPr>
        <w:t xml:space="preserve"> </w:t>
      </w:r>
      <w:r>
        <w:rPr>
          <w:spacing w:val="-3"/>
          <w:sz w:val="14"/>
          <w:szCs w:val="14"/>
          <w:lang w:val="es-ES_tradnl"/>
        </w:rPr>
        <w:t>Mateos,</w:t>
      </w:r>
      <w:r>
        <w:rPr>
          <w:spacing w:val="-3"/>
          <w:sz w:val="18"/>
          <w:szCs w:val="18"/>
          <w:lang w:val="es-ES_tradnl"/>
        </w:rPr>
        <w:t xml:space="preserve"> </w:t>
      </w:r>
      <w:r>
        <w:rPr>
          <w:spacing w:val="-3"/>
          <w:sz w:val="14"/>
          <w:szCs w:val="14"/>
          <w:lang w:val="es-ES_tradnl"/>
        </w:rPr>
        <w:t>L</w:t>
      </w:r>
      <w:r>
        <w:rPr>
          <w:rFonts w:cs="Times New Roman"/>
          <w:spacing w:val="-3"/>
          <w:sz w:val="14"/>
          <w:szCs w:val="14"/>
          <w:lang w:val="es-ES_tradnl"/>
        </w:rPr>
        <w:t>ó</w:t>
      </w:r>
      <w:r>
        <w:rPr>
          <w:spacing w:val="-3"/>
          <w:sz w:val="14"/>
          <w:szCs w:val="14"/>
          <w:lang w:val="es-ES_tradnl"/>
        </w:rPr>
        <w:t>gica,</w:t>
      </w:r>
      <w:r>
        <w:rPr>
          <w:spacing w:val="-3"/>
          <w:sz w:val="18"/>
          <w:szCs w:val="18"/>
          <w:lang w:val="es-ES_tradnl"/>
        </w:rPr>
        <w:t xml:space="preserve"> </w:t>
      </w:r>
      <w:r>
        <w:rPr>
          <w:spacing w:val="-3"/>
          <w:sz w:val="14"/>
          <w:szCs w:val="14"/>
          <w:lang w:val="es-ES_tradnl"/>
        </w:rPr>
        <w:t>argumentaci</w:t>
      </w:r>
      <w:r>
        <w:rPr>
          <w:rFonts w:cs="Times New Roman"/>
          <w:spacing w:val="-3"/>
          <w:sz w:val="14"/>
          <w:szCs w:val="14"/>
          <w:lang w:val="es-ES_tradnl"/>
        </w:rPr>
        <w:t>ó</w:t>
      </w:r>
      <w:r>
        <w:rPr>
          <w:spacing w:val="-3"/>
          <w:sz w:val="14"/>
          <w:szCs w:val="14"/>
          <w:lang w:val="es-ES_tradnl"/>
        </w:rPr>
        <w:t>n</w:t>
      </w:r>
      <w:r>
        <w:rPr>
          <w:spacing w:val="-3"/>
          <w:sz w:val="18"/>
          <w:szCs w:val="18"/>
          <w:lang w:val="es-ES_tradnl"/>
        </w:rPr>
        <w:t xml:space="preserve"> </w:t>
      </w:r>
      <w:r>
        <w:rPr>
          <w:spacing w:val="-3"/>
          <w:sz w:val="14"/>
          <w:szCs w:val="14"/>
          <w:lang w:val="es-ES_tradnl"/>
        </w:rPr>
        <w:t>e</w:t>
      </w:r>
      <w:r>
        <w:rPr>
          <w:spacing w:val="-3"/>
          <w:sz w:val="18"/>
          <w:szCs w:val="18"/>
          <w:lang w:val="es-ES_tradnl"/>
        </w:rPr>
        <w:t xml:space="preserve"> </w:t>
      </w:r>
      <w:r>
        <w:rPr>
          <w:spacing w:val="-3"/>
          <w:sz w:val="14"/>
          <w:szCs w:val="14"/>
          <w:lang w:val="es-ES_tradnl"/>
        </w:rPr>
        <w:t>interpretaci</w:t>
      </w:r>
      <w:r>
        <w:rPr>
          <w:rFonts w:cs="Times New Roman"/>
          <w:spacing w:val="-3"/>
          <w:sz w:val="14"/>
          <w:szCs w:val="14"/>
          <w:lang w:val="es-ES_tradnl"/>
        </w:rPr>
        <w:t>ó</w:t>
      </w:r>
      <w:r>
        <w:rPr>
          <w:spacing w:val="-3"/>
          <w:sz w:val="14"/>
          <w:szCs w:val="14"/>
          <w:lang w:val="es-ES_tradnl"/>
        </w:rPr>
        <w:t>n </w:t>
      </w:r>
      <w:r>
        <w:rPr>
          <w:sz w:val="14"/>
          <w:szCs w:val="14"/>
          <w:lang w:val="es-ES_tradnl"/>
        </w:rPr>
        <w:t>en el derecho, Ed. UOC, Barcelona, 2006, p. 15.</w:t>
      </w:r>
    </w:p>
    <w:p w14:paraId="4F67B485" w14:textId="77777777" w:rsidR="00591D54" w:rsidRDefault="00591D54">
      <w:pPr>
        <w:shd w:val="clear" w:color="auto" w:fill="FFFFFF"/>
        <w:tabs>
          <w:tab w:val="left" w:pos="144"/>
        </w:tabs>
        <w:spacing w:before="149" w:line="178" w:lineRule="exact"/>
        <w:ind w:left="144" w:right="5" w:hanging="144"/>
        <w:jc w:val="both"/>
      </w:pPr>
      <w:r>
        <w:rPr>
          <w:sz w:val="10"/>
          <w:szCs w:val="10"/>
          <w:vertAlign w:val="superscript"/>
          <w:lang w:val="es-ES_tradnl"/>
        </w:rPr>
        <w:t>8</w:t>
      </w:r>
      <w:r>
        <w:rPr>
          <w:sz w:val="18"/>
          <w:szCs w:val="18"/>
          <w:lang w:val="es-ES_tradnl"/>
        </w:rPr>
        <w:tab/>
      </w:r>
      <w:r>
        <w:rPr>
          <w:b/>
          <w:bCs/>
          <w:spacing w:val="-2"/>
          <w:sz w:val="14"/>
          <w:szCs w:val="14"/>
          <w:lang w:val="es-ES_tradnl"/>
        </w:rPr>
        <w:t>Art.</w:t>
      </w:r>
      <w:r>
        <w:rPr>
          <w:b/>
          <w:bCs/>
          <w:spacing w:val="-2"/>
          <w:sz w:val="18"/>
          <w:szCs w:val="18"/>
          <w:lang w:val="es-ES_tradnl"/>
        </w:rPr>
        <w:t xml:space="preserve"> </w:t>
      </w:r>
      <w:r>
        <w:rPr>
          <w:b/>
          <w:bCs/>
          <w:spacing w:val="-2"/>
          <w:sz w:val="14"/>
          <w:szCs w:val="14"/>
          <w:lang w:val="es-ES_tradnl"/>
        </w:rPr>
        <w:t>354.-</w:t>
      </w:r>
      <w:r>
        <w:rPr>
          <w:b/>
          <w:bCs/>
          <w:spacing w:val="-2"/>
          <w:sz w:val="18"/>
          <w:szCs w:val="18"/>
          <w:lang w:val="es-ES_tradnl"/>
        </w:rPr>
        <w:t xml:space="preserve"> </w:t>
      </w:r>
      <w:r>
        <w:rPr>
          <w:spacing w:val="-2"/>
          <w:sz w:val="14"/>
          <w:szCs w:val="14"/>
          <w:lang w:val="es-ES_tradnl"/>
        </w:rPr>
        <w:t>Trat</w:t>
      </w:r>
      <w:r>
        <w:rPr>
          <w:rFonts w:cs="Times New Roman"/>
          <w:spacing w:val="-2"/>
          <w:sz w:val="14"/>
          <w:szCs w:val="14"/>
          <w:lang w:val="es-ES_tradnl"/>
        </w:rPr>
        <w:t>á</w:t>
      </w:r>
      <w:r>
        <w:rPr>
          <w:spacing w:val="-2"/>
          <w:sz w:val="14"/>
          <w:szCs w:val="14"/>
          <w:lang w:val="es-ES_tradnl"/>
        </w:rPr>
        <w:t>ndose</w:t>
      </w:r>
      <w:r>
        <w:rPr>
          <w:spacing w:val="-2"/>
          <w:sz w:val="18"/>
          <w:szCs w:val="18"/>
          <w:lang w:val="es-ES_tradnl"/>
        </w:rPr>
        <w:t xml:space="preserve"> </w:t>
      </w:r>
      <w:r>
        <w:rPr>
          <w:spacing w:val="-2"/>
          <w:sz w:val="14"/>
          <w:szCs w:val="14"/>
          <w:lang w:val="es-ES_tradnl"/>
        </w:rPr>
        <w:t>de</w:t>
      </w:r>
      <w:r>
        <w:rPr>
          <w:spacing w:val="-2"/>
          <w:sz w:val="18"/>
          <w:szCs w:val="18"/>
          <w:lang w:val="es-ES_tradnl"/>
        </w:rPr>
        <w:t xml:space="preserve"> </w:t>
      </w:r>
      <w:r>
        <w:rPr>
          <w:spacing w:val="-2"/>
          <w:sz w:val="14"/>
          <w:szCs w:val="14"/>
          <w:lang w:val="es-ES_tradnl"/>
        </w:rPr>
        <w:t>una</w:t>
      </w:r>
      <w:r>
        <w:rPr>
          <w:spacing w:val="-2"/>
          <w:sz w:val="18"/>
          <w:szCs w:val="18"/>
          <w:lang w:val="es-ES_tradnl"/>
        </w:rPr>
        <w:t xml:space="preserve"> </w:t>
      </w:r>
      <w:r>
        <w:rPr>
          <w:spacing w:val="-2"/>
          <w:sz w:val="14"/>
          <w:szCs w:val="14"/>
          <w:lang w:val="es-ES_tradnl"/>
        </w:rPr>
        <w:t>compa</w:t>
      </w:r>
      <w:r>
        <w:rPr>
          <w:rFonts w:cs="Times New Roman"/>
          <w:spacing w:val="-2"/>
          <w:sz w:val="14"/>
          <w:szCs w:val="14"/>
          <w:lang w:val="es-ES_tradnl"/>
        </w:rPr>
        <w:t>ñí</w:t>
      </w:r>
      <w:r>
        <w:rPr>
          <w:spacing w:val="-2"/>
          <w:sz w:val="14"/>
          <w:szCs w:val="14"/>
          <w:lang w:val="es-ES_tradnl"/>
        </w:rPr>
        <w:t>a</w:t>
      </w:r>
      <w:r>
        <w:rPr>
          <w:spacing w:val="-2"/>
          <w:sz w:val="18"/>
          <w:szCs w:val="18"/>
          <w:lang w:val="es-ES_tradnl"/>
        </w:rPr>
        <w:t xml:space="preserve"> </w:t>
      </w:r>
      <w:r>
        <w:rPr>
          <w:spacing w:val="-2"/>
          <w:sz w:val="14"/>
          <w:szCs w:val="14"/>
          <w:lang w:val="es-ES_tradnl"/>
        </w:rPr>
        <w:t>sujeta</w:t>
      </w:r>
      <w:r>
        <w:rPr>
          <w:spacing w:val="-2"/>
          <w:sz w:val="18"/>
          <w:szCs w:val="18"/>
          <w:lang w:val="es-ES_tradnl"/>
        </w:rPr>
        <w:t xml:space="preserve"> </w:t>
      </w:r>
      <w:r>
        <w:rPr>
          <w:spacing w:val="-2"/>
          <w:sz w:val="14"/>
          <w:szCs w:val="14"/>
          <w:lang w:val="es-ES_tradnl"/>
        </w:rPr>
        <w:t>al</w:t>
      </w:r>
      <w:r>
        <w:rPr>
          <w:spacing w:val="-2"/>
          <w:sz w:val="18"/>
          <w:szCs w:val="18"/>
          <w:lang w:val="es-ES_tradnl"/>
        </w:rPr>
        <w:t xml:space="preserve"> </w:t>
      </w:r>
      <w:r>
        <w:rPr>
          <w:spacing w:val="-2"/>
          <w:sz w:val="14"/>
          <w:szCs w:val="14"/>
          <w:lang w:val="es-ES_tradnl"/>
        </w:rPr>
        <w:t>control</w:t>
      </w:r>
      <w:r>
        <w:rPr>
          <w:spacing w:val="-2"/>
          <w:sz w:val="18"/>
          <w:szCs w:val="18"/>
          <w:lang w:val="es-ES_tradnl"/>
        </w:rPr>
        <w:t xml:space="preserve"> </w:t>
      </w:r>
      <w:r>
        <w:rPr>
          <w:spacing w:val="-2"/>
          <w:sz w:val="14"/>
          <w:szCs w:val="14"/>
          <w:lang w:val="es-ES_tradnl"/>
        </w:rPr>
        <w:t>y</w:t>
      </w:r>
      <w:r>
        <w:rPr>
          <w:spacing w:val="-2"/>
          <w:sz w:val="18"/>
          <w:szCs w:val="18"/>
          <w:lang w:val="es-ES_tradnl"/>
        </w:rPr>
        <w:t xml:space="preserve"> </w:t>
      </w:r>
      <w:r>
        <w:rPr>
          <w:spacing w:val="-2"/>
          <w:sz w:val="14"/>
          <w:szCs w:val="14"/>
          <w:lang w:val="es-ES_tradnl"/>
        </w:rPr>
        <w:t>vigilancia </w:t>
      </w:r>
      <w:r>
        <w:rPr>
          <w:spacing w:val="-3"/>
          <w:sz w:val="14"/>
          <w:szCs w:val="14"/>
          <w:lang w:val="es-ES_tradnl"/>
        </w:rPr>
        <w:t>total de la Superintendencia de Compa</w:t>
      </w:r>
      <w:r>
        <w:rPr>
          <w:rFonts w:cs="Times New Roman"/>
          <w:spacing w:val="-3"/>
          <w:sz w:val="14"/>
          <w:szCs w:val="14"/>
          <w:lang w:val="es-ES_tradnl"/>
        </w:rPr>
        <w:t>ñí</w:t>
      </w:r>
      <w:r>
        <w:rPr>
          <w:spacing w:val="-3"/>
          <w:sz w:val="14"/>
          <w:szCs w:val="14"/>
          <w:lang w:val="es-ES_tradnl"/>
        </w:rPr>
        <w:t xml:space="preserve">as, </w:t>
      </w:r>
      <w:r>
        <w:rPr>
          <w:rFonts w:cs="Times New Roman"/>
          <w:spacing w:val="-3"/>
          <w:sz w:val="14"/>
          <w:szCs w:val="14"/>
          <w:lang w:val="es-ES_tradnl"/>
        </w:rPr>
        <w:t>é</w:t>
      </w:r>
      <w:r>
        <w:rPr>
          <w:spacing w:val="-3"/>
          <w:sz w:val="14"/>
          <w:szCs w:val="14"/>
          <w:lang w:val="es-ES_tradnl"/>
        </w:rPr>
        <w:t>sta podr</w:t>
      </w:r>
      <w:r>
        <w:rPr>
          <w:rFonts w:cs="Times New Roman"/>
          <w:spacing w:val="-3"/>
          <w:sz w:val="14"/>
          <w:szCs w:val="14"/>
          <w:lang w:val="es-ES_tradnl"/>
        </w:rPr>
        <w:t>á</w:t>
      </w:r>
      <w:r>
        <w:rPr>
          <w:spacing w:val="-3"/>
          <w:sz w:val="14"/>
          <w:szCs w:val="14"/>
          <w:lang w:val="es-ES_tradnl"/>
        </w:rPr>
        <w:t xml:space="preserve"> declarar a la misma en estado de intervenci</w:t>
      </w:r>
      <w:r>
        <w:rPr>
          <w:rFonts w:cs="Times New Roman"/>
          <w:spacing w:val="-3"/>
          <w:sz w:val="14"/>
          <w:szCs w:val="14"/>
          <w:lang w:val="es-ES_tradnl"/>
        </w:rPr>
        <w:t>ó</w:t>
      </w:r>
      <w:r>
        <w:rPr>
          <w:spacing w:val="-3"/>
          <w:sz w:val="14"/>
          <w:szCs w:val="14"/>
          <w:lang w:val="es-ES_tradnl"/>
        </w:rPr>
        <w:t>n y designar uno o m</w:t>
      </w:r>
      <w:r>
        <w:rPr>
          <w:rFonts w:cs="Times New Roman"/>
          <w:spacing w:val="-3"/>
          <w:sz w:val="14"/>
          <w:szCs w:val="14"/>
          <w:lang w:val="es-ES_tradnl"/>
        </w:rPr>
        <w:t>á</w:t>
      </w:r>
      <w:r>
        <w:rPr>
          <w:spacing w:val="-3"/>
          <w:sz w:val="14"/>
          <w:szCs w:val="14"/>
          <w:lang w:val="es-ES_tradnl"/>
        </w:rPr>
        <w:t>s interventores </w:t>
      </w:r>
      <w:r>
        <w:rPr>
          <w:sz w:val="14"/>
          <w:szCs w:val="14"/>
          <w:lang w:val="es-ES_tradnl"/>
        </w:rPr>
        <w:t>para aquella, solamente en los casos siguientes:</w:t>
      </w:r>
      <w:r>
        <w:rPr>
          <w:rFonts w:cs="Times New Roman"/>
          <w:sz w:val="14"/>
          <w:szCs w:val="14"/>
          <w:lang w:val="es-ES_tradnl"/>
        </w:rPr>
        <w:t>…</w:t>
      </w:r>
      <w:r>
        <w:rPr>
          <w:sz w:val="14"/>
          <w:szCs w:val="14"/>
          <w:lang w:val="es-ES_tradnl"/>
        </w:rPr>
        <w:t xml:space="preserve"> </w:t>
      </w:r>
      <w:r>
        <w:rPr>
          <w:b/>
          <w:bCs/>
          <w:spacing w:val="-10"/>
          <w:sz w:val="14"/>
          <w:szCs w:val="14"/>
          <w:vertAlign w:val="superscript"/>
          <w:lang w:val="es-ES_tradnl"/>
        </w:rPr>
        <w:t>3.</w:t>
      </w:r>
      <w:r>
        <w:rPr>
          <w:b/>
          <w:bCs/>
          <w:spacing w:val="-10"/>
          <w:sz w:val="14"/>
          <w:szCs w:val="14"/>
          <w:lang w:val="es-ES_tradnl"/>
        </w:rPr>
        <w:t xml:space="preserve"> </w:t>
      </w:r>
      <w:r>
        <w:rPr>
          <w:sz w:val="14"/>
          <w:szCs w:val="14"/>
          <w:lang w:val="es-ES_tradnl"/>
        </w:rPr>
        <w:t>Si requerida la compa</w:t>
      </w:r>
      <w:r>
        <w:rPr>
          <w:rFonts w:cs="Times New Roman"/>
          <w:sz w:val="14"/>
          <w:szCs w:val="14"/>
          <w:lang w:val="es-ES_tradnl"/>
        </w:rPr>
        <w:t>ñí</w:t>
      </w:r>
      <w:r>
        <w:rPr>
          <w:sz w:val="14"/>
          <w:szCs w:val="14"/>
          <w:lang w:val="es-ES_tradnl"/>
        </w:rPr>
        <w:t>a por la Superintendencia para presentar el balance </w:t>
      </w:r>
      <w:r>
        <w:rPr>
          <w:spacing w:val="-3"/>
          <w:sz w:val="14"/>
          <w:szCs w:val="14"/>
          <w:lang w:val="es-ES_tradnl"/>
        </w:rPr>
        <w:t>general anual y el estado de p</w:t>
      </w:r>
      <w:r>
        <w:rPr>
          <w:rFonts w:cs="Times New Roman"/>
          <w:spacing w:val="-3"/>
          <w:sz w:val="14"/>
          <w:szCs w:val="14"/>
          <w:lang w:val="es-ES_tradnl"/>
        </w:rPr>
        <w:t>é</w:t>
      </w:r>
      <w:r>
        <w:rPr>
          <w:spacing w:val="-3"/>
          <w:sz w:val="14"/>
          <w:szCs w:val="14"/>
          <w:lang w:val="es-ES_tradnl"/>
        </w:rPr>
        <w:t>rdidas y ganancias o documentos y </w:t>
      </w:r>
      <w:r>
        <w:rPr>
          <w:spacing w:val="-2"/>
          <w:sz w:val="14"/>
          <w:szCs w:val="14"/>
          <w:lang w:val="es-ES_tradnl"/>
        </w:rPr>
        <w:t>comprobantes necesarios para determinar la situaci</w:t>
      </w:r>
      <w:r>
        <w:rPr>
          <w:rFonts w:cs="Times New Roman"/>
          <w:spacing w:val="-2"/>
          <w:sz w:val="14"/>
          <w:szCs w:val="14"/>
          <w:lang w:val="es-ES_tradnl"/>
        </w:rPr>
        <w:t>ó</w:t>
      </w:r>
      <w:r>
        <w:rPr>
          <w:spacing w:val="-2"/>
          <w:sz w:val="14"/>
          <w:szCs w:val="14"/>
          <w:lang w:val="es-ES_tradnl"/>
        </w:rPr>
        <w:t>n financiera de la compa</w:t>
      </w:r>
      <w:r>
        <w:rPr>
          <w:rFonts w:cs="Times New Roman"/>
          <w:spacing w:val="-2"/>
          <w:sz w:val="14"/>
          <w:szCs w:val="14"/>
          <w:lang w:val="es-ES_tradnl"/>
        </w:rPr>
        <w:t>ñí</w:t>
      </w:r>
      <w:r>
        <w:rPr>
          <w:spacing w:val="-2"/>
          <w:sz w:val="14"/>
          <w:szCs w:val="14"/>
          <w:lang w:val="es-ES_tradnl"/>
        </w:rPr>
        <w:t>a, no lo hiciere, y hubiere motivos para temer que con su </w:t>
      </w:r>
      <w:r>
        <w:rPr>
          <w:spacing w:val="-3"/>
          <w:sz w:val="14"/>
          <w:szCs w:val="14"/>
          <w:lang w:val="es-ES_tradnl"/>
        </w:rPr>
        <w:t>renuencia trate de encubrir una situaci</w:t>
      </w:r>
      <w:r>
        <w:rPr>
          <w:rFonts w:cs="Times New Roman"/>
          <w:spacing w:val="-3"/>
          <w:sz w:val="14"/>
          <w:szCs w:val="14"/>
          <w:lang w:val="es-ES_tradnl"/>
        </w:rPr>
        <w:t>ó</w:t>
      </w:r>
      <w:r>
        <w:rPr>
          <w:spacing w:val="-3"/>
          <w:sz w:val="14"/>
          <w:szCs w:val="14"/>
          <w:lang w:val="es-ES_tradnl"/>
        </w:rPr>
        <w:t>n econ</w:t>
      </w:r>
      <w:r>
        <w:rPr>
          <w:rFonts w:cs="Times New Roman"/>
          <w:spacing w:val="-3"/>
          <w:sz w:val="14"/>
          <w:szCs w:val="14"/>
          <w:lang w:val="es-ES_tradnl"/>
        </w:rPr>
        <w:t>ó</w:t>
      </w:r>
      <w:r>
        <w:rPr>
          <w:spacing w:val="-3"/>
          <w:sz w:val="14"/>
          <w:szCs w:val="14"/>
          <w:lang w:val="es-ES_tradnl"/>
        </w:rPr>
        <w:t>mica o financiera que </w:t>
      </w:r>
      <w:r>
        <w:rPr>
          <w:spacing w:val="-2"/>
          <w:sz w:val="14"/>
          <w:szCs w:val="14"/>
          <w:lang w:val="es-ES_tradnl"/>
        </w:rPr>
        <w:t>implique graves riesgos para sus accionistas, socios o terceros.</w:t>
      </w:r>
    </w:p>
    <w:p w14:paraId="4F67B486" w14:textId="77777777" w:rsidR="00591D54" w:rsidRDefault="00591D54">
      <w:pPr>
        <w:shd w:val="clear" w:color="auto" w:fill="FFFFFF"/>
        <w:tabs>
          <w:tab w:val="left" w:pos="144"/>
        </w:tabs>
        <w:spacing w:before="149" w:line="178" w:lineRule="exact"/>
        <w:ind w:left="144" w:right="5" w:hanging="144"/>
        <w:jc w:val="both"/>
        <w:sectPr w:rsidR="00591D54">
          <w:type w:val="continuous"/>
          <w:pgSz w:w="11909" w:h="16834"/>
          <w:pgMar w:top="1356" w:right="1304" w:bottom="360" w:left="1308" w:header="720" w:footer="720" w:gutter="0"/>
          <w:cols w:num="2" w:space="720" w:equalWidth="0">
            <w:col w:w="4305" w:space="682"/>
            <w:col w:w="4310"/>
          </w:cols>
          <w:noEndnote/>
        </w:sectPr>
      </w:pPr>
    </w:p>
    <w:p w14:paraId="4F67B487"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- 209</w:t>
      </w:r>
    </w:p>
    <w:p w14:paraId="4F67B488" w14:textId="77777777" w:rsidR="00591D54" w:rsidRDefault="00591D54">
      <w:pPr>
        <w:shd w:val="clear" w:color="auto" w:fill="FFFFFF"/>
        <w:tabs>
          <w:tab w:val="left" w:pos="5842"/>
        </w:tabs>
        <w:spacing w:after="235"/>
        <w:ind w:left="5"/>
        <w:sectPr w:rsidR="00591D54">
          <w:pgSz w:w="11909" w:h="16834"/>
          <w:pgMar w:top="1366" w:right="1309" w:bottom="360" w:left="1308" w:header="720" w:footer="720" w:gutter="0"/>
          <w:cols w:space="60"/>
          <w:noEndnote/>
        </w:sectPr>
      </w:pPr>
    </w:p>
    <w:p w14:paraId="4F67B489" w14:textId="77777777" w:rsidR="00591D54" w:rsidRDefault="00591D54">
      <w:pPr>
        <w:shd w:val="clear" w:color="auto" w:fill="FFFFFF"/>
        <w:spacing w:line="221" w:lineRule="exact"/>
        <w:jc w:val="both"/>
      </w:pPr>
      <w:r>
        <w:rPr>
          <w:spacing w:val="-8"/>
          <w:sz w:val="18"/>
          <w:szCs w:val="18"/>
          <w:lang w:val="es-ES_tradnl"/>
        </w:rPr>
        <w:t>Esta medida, durar</w:t>
      </w:r>
      <w:r>
        <w:rPr>
          <w:rFonts w:cs="Times New Roman"/>
          <w:spacing w:val="-8"/>
          <w:sz w:val="18"/>
          <w:szCs w:val="18"/>
          <w:lang w:val="es-ES_tradnl"/>
        </w:rPr>
        <w:t>á</w:t>
      </w:r>
      <w:r>
        <w:rPr>
          <w:spacing w:val="-8"/>
          <w:sz w:val="18"/>
          <w:szCs w:val="18"/>
          <w:lang w:val="es-ES_tradnl"/>
        </w:rPr>
        <w:t xml:space="preserve"> el tiempo necesario para superar la </w:t>
      </w:r>
      <w:r>
        <w:rPr>
          <w:spacing w:val="-7"/>
          <w:sz w:val="18"/>
          <w:szCs w:val="18"/>
          <w:lang w:val="es-ES_tradnl"/>
        </w:rPr>
        <w:t>situaci</w:t>
      </w:r>
      <w:r>
        <w:rPr>
          <w:rFonts w:cs="Times New Roman"/>
          <w:spacing w:val="-7"/>
          <w:sz w:val="18"/>
          <w:szCs w:val="18"/>
          <w:lang w:val="es-ES_tradnl"/>
        </w:rPr>
        <w:t>ó</w:t>
      </w:r>
      <w:r>
        <w:rPr>
          <w:spacing w:val="-7"/>
          <w:sz w:val="18"/>
          <w:szCs w:val="18"/>
          <w:lang w:val="es-ES_tradnl"/>
        </w:rPr>
        <w:t>n an</w:t>
      </w:r>
      <w:r>
        <w:rPr>
          <w:rFonts w:cs="Times New Roman"/>
          <w:spacing w:val="-7"/>
          <w:sz w:val="18"/>
          <w:szCs w:val="18"/>
          <w:lang w:val="es-ES_tradnl"/>
        </w:rPr>
        <w:t>ó</w:t>
      </w:r>
      <w:r>
        <w:rPr>
          <w:spacing w:val="-7"/>
          <w:sz w:val="18"/>
          <w:szCs w:val="18"/>
          <w:lang w:val="es-ES_tradnl"/>
        </w:rPr>
        <w:t>mala de la empresa, conforme el art</w:t>
      </w:r>
      <w:r>
        <w:rPr>
          <w:rFonts w:cs="Times New Roman"/>
          <w:spacing w:val="-7"/>
          <w:sz w:val="18"/>
          <w:szCs w:val="18"/>
          <w:lang w:val="es-ES_tradnl"/>
        </w:rPr>
        <w:t>í</w:t>
      </w:r>
      <w:r>
        <w:rPr>
          <w:spacing w:val="-7"/>
          <w:sz w:val="18"/>
          <w:szCs w:val="18"/>
          <w:lang w:val="es-ES_tradnl"/>
        </w:rPr>
        <w:t xml:space="preserve">culo 357 </w:t>
      </w:r>
      <w:r>
        <w:rPr>
          <w:spacing w:val="-3"/>
          <w:sz w:val="18"/>
          <w:szCs w:val="18"/>
          <w:lang w:val="es-ES_tradnl"/>
        </w:rPr>
        <w:t>de la Ley de Compa</w:t>
      </w:r>
      <w:r>
        <w:rPr>
          <w:rFonts w:cs="Times New Roman"/>
          <w:spacing w:val="-3"/>
          <w:sz w:val="18"/>
          <w:szCs w:val="18"/>
          <w:lang w:val="es-ES_tradnl"/>
        </w:rPr>
        <w:t>ñí</w:t>
      </w:r>
      <w:r>
        <w:rPr>
          <w:spacing w:val="-3"/>
          <w:sz w:val="18"/>
          <w:szCs w:val="18"/>
          <w:lang w:val="es-ES_tradnl"/>
        </w:rPr>
        <w:t xml:space="preserve">as. Las disposiciones contenidas </w:t>
      </w:r>
      <w:r>
        <w:rPr>
          <w:spacing w:val="-5"/>
          <w:sz w:val="18"/>
          <w:szCs w:val="18"/>
          <w:lang w:val="es-ES_tradnl"/>
        </w:rPr>
        <w:t>en los art</w:t>
      </w:r>
      <w:r>
        <w:rPr>
          <w:rFonts w:cs="Times New Roman"/>
          <w:spacing w:val="-5"/>
          <w:sz w:val="18"/>
          <w:szCs w:val="18"/>
          <w:lang w:val="es-ES_tradnl"/>
        </w:rPr>
        <w:t>í</w:t>
      </w:r>
      <w:r>
        <w:rPr>
          <w:spacing w:val="-5"/>
          <w:sz w:val="18"/>
          <w:szCs w:val="18"/>
          <w:lang w:val="es-ES_tradnl"/>
        </w:rPr>
        <w:t xml:space="preserve">culos 353 y 354 </w:t>
      </w:r>
      <w:r>
        <w:rPr>
          <w:i/>
          <w:iCs/>
          <w:spacing w:val="-5"/>
          <w:sz w:val="18"/>
          <w:szCs w:val="18"/>
          <w:lang w:val="es-ES_tradnl"/>
        </w:rPr>
        <w:t>ib</w:t>
      </w:r>
      <w:r>
        <w:rPr>
          <w:rFonts w:cs="Times New Roman"/>
          <w:i/>
          <w:iCs/>
          <w:spacing w:val="-5"/>
          <w:sz w:val="18"/>
          <w:szCs w:val="18"/>
          <w:lang w:val="es-ES_tradnl"/>
        </w:rPr>
        <w:t>í</w:t>
      </w:r>
      <w:r>
        <w:rPr>
          <w:i/>
          <w:iCs/>
          <w:spacing w:val="-5"/>
          <w:sz w:val="18"/>
          <w:szCs w:val="18"/>
          <w:lang w:val="es-ES_tradnl"/>
        </w:rPr>
        <w:t>dem</w:t>
      </w:r>
      <w:r>
        <w:rPr>
          <w:spacing w:val="-5"/>
          <w:sz w:val="18"/>
          <w:szCs w:val="18"/>
          <w:lang w:val="es-ES_tradnl"/>
        </w:rPr>
        <w:t xml:space="preserve">, permite a la autoridad </w:t>
      </w:r>
      <w:r>
        <w:rPr>
          <w:spacing w:val="-8"/>
          <w:sz w:val="18"/>
          <w:szCs w:val="18"/>
          <w:lang w:val="es-ES_tradnl"/>
        </w:rPr>
        <w:t>accionada ahora legitimado activo en esta acci</w:t>
      </w:r>
      <w:r>
        <w:rPr>
          <w:rFonts w:cs="Times New Roman"/>
          <w:spacing w:val="-8"/>
          <w:sz w:val="18"/>
          <w:szCs w:val="18"/>
          <w:lang w:val="es-ES_tradnl"/>
        </w:rPr>
        <w:t>ó</w:t>
      </w:r>
      <w:r>
        <w:rPr>
          <w:spacing w:val="-8"/>
          <w:sz w:val="18"/>
          <w:szCs w:val="18"/>
          <w:lang w:val="es-ES_tradnl"/>
        </w:rPr>
        <w:t>n, declarar el estado de intervenci</w:t>
      </w:r>
      <w:r>
        <w:rPr>
          <w:rFonts w:cs="Times New Roman"/>
          <w:spacing w:val="-8"/>
          <w:sz w:val="18"/>
          <w:szCs w:val="18"/>
          <w:lang w:val="es-ES_tradnl"/>
        </w:rPr>
        <w:t>ó</w:t>
      </w:r>
      <w:r>
        <w:rPr>
          <w:spacing w:val="-8"/>
          <w:sz w:val="18"/>
          <w:szCs w:val="18"/>
          <w:lang w:val="es-ES_tradnl"/>
        </w:rPr>
        <w:t>n de la compa</w:t>
      </w:r>
      <w:r>
        <w:rPr>
          <w:rFonts w:cs="Times New Roman"/>
          <w:spacing w:val="-8"/>
          <w:sz w:val="18"/>
          <w:szCs w:val="18"/>
          <w:lang w:val="es-ES_tradnl"/>
        </w:rPr>
        <w:t>ñí</w:t>
      </w:r>
      <w:r>
        <w:rPr>
          <w:spacing w:val="-8"/>
          <w:sz w:val="18"/>
          <w:szCs w:val="18"/>
          <w:lang w:val="es-ES_tradnl"/>
        </w:rPr>
        <w:t xml:space="preserve">a que se halla bajo </w:t>
      </w:r>
      <w:r>
        <w:rPr>
          <w:spacing w:val="-7"/>
          <w:sz w:val="18"/>
          <w:szCs w:val="18"/>
          <w:lang w:val="es-ES_tradnl"/>
        </w:rPr>
        <w:t xml:space="preserve">su control y designar, de su personal o fuera de </w:t>
      </w:r>
      <w:r>
        <w:rPr>
          <w:rFonts w:cs="Times New Roman"/>
          <w:spacing w:val="-7"/>
          <w:sz w:val="18"/>
          <w:szCs w:val="18"/>
          <w:lang w:val="es-ES_tradnl"/>
        </w:rPr>
        <w:t>é</w:t>
      </w:r>
      <w:r>
        <w:rPr>
          <w:spacing w:val="-7"/>
          <w:sz w:val="18"/>
          <w:szCs w:val="18"/>
          <w:lang w:val="es-ES_tradnl"/>
        </w:rPr>
        <w:t xml:space="preserve">l, uno o </w:t>
      </w:r>
      <w:r>
        <w:rPr>
          <w:spacing w:val="-9"/>
          <w:sz w:val="18"/>
          <w:szCs w:val="18"/>
          <w:lang w:val="es-ES_tradnl"/>
        </w:rPr>
        <w:t>m</w:t>
      </w:r>
      <w:r>
        <w:rPr>
          <w:rFonts w:cs="Times New Roman"/>
          <w:spacing w:val="-9"/>
          <w:sz w:val="18"/>
          <w:szCs w:val="18"/>
          <w:lang w:val="es-ES_tradnl"/>
        </w:rPr>
        <w:t>á</w:t>
      </w:r>
      <w:r>
        <w:rPr>
          <w:spacing w:val="-9"/>
          <w:sz w:val="18"/>
          <w:szCs w:val="18"/>
          <w:lang w:val="es-ES_tradnl"/>
        </w:rPr>
        <w:t>s interventores para que supervigilen las actividades que desarrollan tales compa</w:t>
      </w:r>
      <w:r>
        <w:rPr>
          <w:rFonts w:cs="Times New Roman"/>
          <w:spacing w:val="-9"/>
          <w:sz w:val="18"/>
          <w:szCs w:val="18"/>
          <w:lang w:val="es-ES_tradnl"/>
        </w:rPr>
        <w:t>ñí</w:t>
      </w:r>
      <w:r>
        <w:rPr>
          <w:spacing w:val="-9"/>
          <w:sz w:val="18"/>
          <w:szCs w:val="18"/>
          <w:lang w:val="es-ES_tradnl"/>
        </w:rPr>
        <w:t xml:space="preserve">as, cuando hubieren causas para </w:t>
      </w:r>
      <w:r>
        <w:rPr>
          <w:spacing w:val="-10"/>
          <w:sz w:val="18"/>
          <w:szCs w:val="18"/>
          <w:lang w:val="es-ES_tradnl"/>
        </w:rPr>
        <w:t>adoptar dichas medidas. Por tanto, la intervenci</w:t>
      </w:r>
      <w:r>
        <w:rPr>
          <w:rFonts w:cs="Times New Roman"/>
          <w:spacing w:val="-10"/>
          <w:sz w:val="18"/>
          <w:szCs w:val="18"/>
          <w:lang w:val="es-ES_tradnl"/>
        </w:rPr>
        <w:t>ó</w:t>
      </w:r>
      <w:r>
        <w:rPr>
          <w:spacing w:val="-10"/>
          <w:sz w:val="18"/>
          <w:szCs w:val="18"/>
          <w:lang w:val="es-ES_tradnl"/>
        </w:rPr>
        <w:t xml:space="preserve">n no es una </w:t>
      </w:r>
      <w:r>
        <w:rPr>
          <w:spacing w:val="-8"/>
          <w:sz w:val="18"/>
          <w:szCs w:val="18"/>
          <w:lang w:val="es-ES_tradnl"/>
        </w:rPr>
        <w:t>sanci</w:t>
      </w:r>
      <w:r>
        <w:rPr>
          <w:rFonts w:cs="Times New Roman"/>
          <w:spacing w:val="-8"/>
          <w:sz w:val="18"/>
          <w:szCs w:val="18"/>
          <w:lang w:val="es-ES_tradnl"/>
        </w:rPr>
        <w:t>ó</w:t>
      </w:r>
      <w:r>
        <w:rPr>
          <w:spacing w:val="-8"/>
          <w:sz w:val="18"/>
          <w:szCs w:val="18"/>
          <w:lang w:val="es-ES_tradnl"/>
        </w:rPr>
        <w:t xml:space="preserve">n administrativa que cause perjuicio, peor considerar </w:t>
      </w:r>
      <w:r>
        <w:rPr>
          <w:spacing w:val="-9"/>
          <w:sz w:val="18"/>
          <w:szCs w:val="18"/>
          <w:lang w:val="es-ES_tradnl"/>
        </w:rPr>
        <w:t>que se est</w:t>
      </w:r>
      <w:r>
        <w:rPr>
          <w:rFonts w:cs="Times New Roman"/>
          <w:spacing w:val="-9"/>
          <w:sz w:val="18"/>
          <w:szCs w:val="18"/>
          <w:lang w:val="es-ES_tradnl"/>
        </w:rPr>
        <w:t>é</w:t>
      </w:r>
      <w:r>
        <w:rPr>
          <w:spacing w:val="-9"/>
          <w:sz w:val="18"/>
          <w:szCs w:val="18"/>
          <w:lang w:val="es-ES_tradnl"/>
        </w:rPr>
        <w:t xml:space="preserve"> vulnerando el derecho al trabajo o la libertad del </w:t>
      </w:r>
      <w:r>
        <w:rPr>
          <w:sz w:val="18"/>
          <w:szCs w:val="18"/>
          <w:lang w:val="es-ES_tradnl"/>
        </w:rPr>
        <w:t>desarrollo de las actividades econ</w:t>
      </w:r>
      <w:r>
        <w:rPr>
          <w:rFonts w:cs="Times New Roman"/>
          <w:sz w:val="18"/>
          <w:szCs w:val="18"/>
          <w:lang w:val="es-ES_tradnl"/>
        </w:rPr>
        <w:t>ó</w:t>
      </w:r>
      <w:r>
        <w:rPr>
          <w:sz w:val="18"/>
          <w:szCs w:val="18"/>
          <w:lang w:val="es-ES_tradnl"/>
        </w:rPr>
        <w:t>micas.</w:t>
      </w:r>
    </w:p>
    <w:p w14:paraId="4F67B48A" w14:textId="77777777" w:rsidR="00591D54" w:rsidRDefault="00591D54">
      <w:pPr>
        <w:shd w:val="clear" w:color="auto" w:fill="FFFFFF"/>
        <w:spacing w:before="202" w:line="221" w:lineRule="exact"/>
        <w:jc w:val="both"/>
      </w:pPr>
      <w:r>
        <w:rPr>
          <w:spacing w:val="-11"/>
          <w:sz w:val="18"/>
          <w:szCs w:val="18"/>
          <w:lang w:val="es-ES_tradnl"/>
        </w:rPr>
        <w:t>Ante esta situaci</w:t>
      </w:r>
      <w:r>
        <w:rPr>
          <w:rFonts w:cs="Times New Roman"/>
          <w:spacing w:val="-11"/>
          <w:sz w:val="18"/>
          <w:szCs w:val="18"/>
          <w:lang w:val="es-ES_tradnl"/>
        </w:rPr>
        <w:t>ó</w:t>
      </w:r>
      <w:r>
        <w:rPr>
          <w:spacing w:val="-11"/>
          <w:sz w:val="18"/>
          <w:szCs w:val="18"/>
          <w:lang w:val="es-ES_tradnl"/>
        </w:rPr>
        <w:t>n, los jueces de mayor</w:t>
      </w:r>
      <w:r>
        <w:rPr>
          <w:rFonts w:cs="Times New Roman"/>
          <w:spacing w:val="-11"/>
          <w:sz w:val="18"/>
          <w:szCs w:val="18"/>
          <w:lang w:val="es-ES_tradnl"/>
        </w:rPr>
        <w:t>í</w:t>
      </w:r>
      <w:r>
        <w:rPr>
          <w:spacing w:val="-11"/>
          <w:sz w:val="18"/>
          <w:szCs w:val="18"/>
          <w:lang w:val="es-ES_tradnl"/>
        </w:rPr>
        <w:t xml:space="preserve">a de la Sala estaban </w:t>
      </w:r>
      <w:r>
        <w:rPr>
          <w:spacing w:val="-7"/>
          <w:sz w:val="18"/>
          <w:szCs w:val="18"/>
          <w:lang w:val="es-ES_tradnl"/>
        </w:rPr>
        <w:t>obligados a examinar la descripci</w:t>
      </w:r>
      <w:r>
        <w:rPr>
          <w:rFonts w:cs="Times New Roman"/>
          <w:spacing w:val="-7"/>
          <w:sz w:val="18"/>
          <w:szCs w:val="18"/>
          <w:lang w:val="es-ES_tradnl"/>
        </w:rPr>
        <w:t>ó</w:t>
      </w:r>
      <w:r>
        <w:rPr>
          <w:spacing w:val="-7"/>
          <w:sz w:val="18"/>
          <w:szCs w:val="18"/>
          <w:lang w:val="es-ES_tradnl"/>
        </w:rPr>
        <w:t xml:space="preserve">n de los fundamentos </w:t>
      </w:r>
      <w:r>
        <w:rPr>
          <w:spacing w:val="-9"/>
          <w:sz w:val="18"/>
          <w:szCs w:val="18"/>
          <w:lang w:val="es-ES_tradnl"/>
        </w:rPr>
        <w:t>f</w:t>
      </w:r>
      <w:r>
        <w:rPr>
          <w:rFonts w:cs="Times New Roman"/>
          <w:spacing w:val="-9"/>
          <w:sz w:val="18"/>
          <w:szCs w:val="18"/>
          <w:lang w:val="es-ES_tradnl"/>
        </w:rPr>
        <w:t>á</w:t>
      </w:r>
      <w:r>
        <w:rPr>
          <w:spacing w:val="-9"/>
          <w:sz w:val="18"/>
          <w:szCs w:val="18"/>
          <w:lang w:val="es-ES_tradnl"/>
        </w:rPr>
        <w:t xml:space="preserve">cticos y sus pretensiones que ante ellos se expusieron y a </w:t>
      </w:r>
      <w:r>
        <w:rPr>
          <w:spacing w:val="-11"/>
          <w:sz w:val="18"/>
          <w:szCs w:val="18"/>
          <w:lang w:val="es-ES_tradnl"/>
        </w:rPr>
        <w:t>verificar, si por sus caracter</w:t>
      </w:r>
      <w:r>
        <w:rPr>
          <w:rFonts w:cs="Times New Roman"/>
          <w:spacing w:val="-11"/>
          <w:sz w:val="18"/>
          <w:szCs w:val="18"/>
          <w:lang w:val="es-ES_tradnl"/>
        </w:rPr>
        <w:t>í</w:t>
      </w:r>
      <w:r>
        <w:rPr>
          <w:spacing w:val="-11"/>
          <w:sz w:val="18"/>
          <w:szCs w:val="18"/>
          <w:lang w:val="es-ES_tradnl"/>
        </w:rPr>
        <w:t xml:space="preserve">sticas, el caso puede ser resuelto </w:t>
      </w:r>
      <w:r>
        <w:rPr>
          <w:spacing w:val="-9"/>
          <w:sz w:val="18"/>
          <w:szCs w:val="18"/>
          <w:lang w:val="es-ES_tradnl"/>
        </w:rPr>
        <w:t>en relaci</w:t>
      </w:r>
      <w:r>
        <w:rPr>
          <w:rFonts w:cs="Times New Roman"/>
          <w:spacing w:val="-9"/>
          <w:sz w:val="18"/>
          <w:szCs w:val="18"/>
          <w:lang w:val="es-ES_tradnl"/>
        </w:rPr>
        <w:t>ó</w:t>
      </w:r>
      <w:r>
        <w:rPr>
          <w:spacing w:val="-9"/>
          <w:sz w:val="18"/>
          <w:szCs w:val="18"/>
          <w:lang w:val="es-ES_tradnl"/>
        </w:rPr>
        <w:t xml:space="preserve">n con los derechos constitucionales posiblemente vulnerados y con la efectividad indispensable para tutelarla. </w:t>
      </w:r>
      <w:r>
        <w:rPr>
          <w:spacing w:val="-8"/>
          <w:sz w:val="18"/>
          <w:szCs w:val="18"/>
          <w:lang w:val="es-ES_tradnl"/>
        </w:rPr>
        <w:t xml:space="preserve">Por lo que, en el presente caso, las premisas no guardan </w:t>
      </w:r>
      <w:r>
        <w:rPr>
          <w:spacing w:val="-7"/>
          <w:sz w:val="18"/>
          <w:szCs w:val="18"/>
          <w:lang w:val="es-ES_tradnl"/>
        </w:rPr>
        <w:t>coherencia con la conclusi</w:t>
      </w:r>
      <w:r>
        <w:rPr>
          <w:rFonts w:cs="Times New Roman"/>
          <w:spacing w:val="-7"/>
          <w:sz w:val="18"/>
          <w:szCs w:val="18"/>
          <w:lang w:val="es-ES_tradnl"/>
        </w:rPr>
        <w:t>ó</w:t>
      </w:r>
      <w:r>
        <w:rPr>
          <w:spacing w:val="-7"/>
          <w:sz w:val="18"/>
          <w:szCs w:val="18"/>
          <w:lang w:val="es-ES_tradnl"/>
        </w:rPr>
        <w:t>n y la decisi</w:t>
      </w:r>
      <w:r>
        <w:rPr>
          <w:rFonts w:cs="Times New Roman"/>
          <w:spacing w:val="-7"/>
          <w:sz w:val="18"/>
          <w:szCs w:val="18"/>
          <w:lang w:val="es-ES_tradnl"/>
        </w:rPr>
        <w:t>ó</w:t>
      </w:r>
      <w:r>
        <w:rPr>
          <w:spacing w:val="-7"/>
          <w:sz w:val="18"/>
          <w:szCs w:val="18"/>
          <w:lang w:val="es-ES_tradnl"/>
        </w:rPr>
        <w:t xml:space="preserve">n final adoptada, </w:t>
      </w:r>
      <w:r>
        <w:rPr>
          <w:spacing w:val="-4"/>
          <w:sz w:val="18"/>
          <w:szCs w:val="18"/>
          <w:lang w:val="es-ES_tradnl"/>
        </w:rPr>
        <w:t>pues no consta ninguna argumentaci</w:t>
      </w:r>
      <w:r>
        <w:rPr>
          <w:rFonts w:cs="Times New Roman"/>
          <w:spacing w:val="-4"/>
          <w:sz w:val="18"/>
          <w:szCs w:val="18"/>
          <w:lang w:val="es-ES_tradnl"/>
        </w:rPr>
        <w:t>ó</w:t>
      </w:r>
      <w:r>
        <w:rPr>
          <w:spacing w:val="-4"/>
          <w:sz w:val="18"/>
          <w:szCs w:val="18"/>
          <w:lang w:val="es-ES_tradnl"/>
        </w:rPr>
        <w:t xml:space="preserve">n adecuada entre </w:t>
      </w:r>
      <w:r>
        <w:rPr>
          <w:spacing w:val="-6"/>
          <w:sz w:val="18"/>
          <w:szCs w:val="18"/>
          <w:lang w:val="es-ES_tradnl"/>
        </w:rPr>
        <w:t xml:space="preserve">la parte considerativa y resolutiva, por lo que, esta Corte </w:t>
      </w:r>
      <w:r>
        <w:rPr>
          <w:spacing w:val="-5"/>
          <w:sz w:val="18"/>
          <w:szCs w:val="18"/>
          <w:lang w:val="es-ES_tradnl"/>
        </w:rPr>
        <w:t xml:space="preserve">concluye que al haberse evidenciado incoherencia entre </w:t>
      </w:r>
      <w:r>
        <w:rPr>
          <w:spacing w:val="-7"/>
          <w:sz w:val="18"/>
          <w:szCs w:val="18"/>
          <w:lang w:val="es-ES_tradnl"/>
        </w:rPr>
        <w:t>la argumentaci</w:t>
      </w:r>
      <w:r>
        <w:rPr>
          <w:rFonts w:cs="Times New Roman"/>
          <w:spacing w:val="-7"/>
          <w:sz w:val="18"/>
          <w:szCs w:val="18"/>
          <w:lang w:val="es-ES_tradnl"/>
        </w:rPr>
        <w:t>ó</w:t>
      </w:r>
      <w:r>
        <w:rPr>
          <w:spacing w:val="-7"/>
          <w:sz w:val="18"/>
          <w:szCs w:val="18"/>
          <w:lang w:val="es-ES_tradnl"/>
        </w:rPr>
        <w:t>n y la conclusi</w:t>
      </w:r>
      <w:r>
        <w:rPr>
          <w:rFonts w:cs="Times New Roman"/>
          <w:spacing w:val="-7"/>
          <w:sz w:val="18"/>
          <w:szCs w:val="18"/>
          <w:lang w:val="es-ES_tradnl"/>
        </w:rPr>
        <w:t>ó</w:t>
      </w:r>
      <w:r>
        <w:rPr>
          <w:spacing w:val="-7"/>
          <w:sz w:val="18"/>
          <w:szCs w:val="18"/>
          <w:lang w:val="es-ES_tradnl"/>
        </w:rPr>
        <w:t xml:space="preserve">n, origina que la sentencia </w:t>
      </w:r>
      <w:r>
        <w:rPr>
          <w:spacing w:val="-9"/>
          <w:sz w:val="18"/>
          <w:szCs w:val="18"/>
          <w:lang w:val="es-ES_tradnl"/>
        </w:rPr>
        <w:t>impugnada carezca de l</w:t>
      </w:r>
      <w:r>
        <w:rPr>
          <w:rFonts w:cs="Times New Roman"/>
          <w:spacing w:val="-9"/>
          <w:sz w:val="18"/>
          <w:szCs w:val="18"/>
          <w:lang w:val="es-ES_tradnl"/>
        </w:rPr>
        <w:t>ó</w:t>
      </w:r>
      <w:r>
        <w:rPr>
          <w:spacing w:val="-9"/>
          <w:sz w:val="18"/>
          <w:szCs w:val="18"/>
          <w:lang w:val="es-ES_tradnl"/>
        </w:rPr>
        <w:t xml:space="preserve">gica, lo cual es necesario para una </w:t>
      </w:r>
      <w:r>
        <w:rPr>
          <w:sz w:val="18"/>
          <w:szCs w:val="18"/>
          <w:lang w:val="es-ES_tradnl"/>
        </w:rPr>
        <w:t>debida motivaci</w:t>
      </w:r>
      <w:r>
        <w:rPr>
          <w:rFonts w:cs="Times New Roman"/>
          <w:sz w:val="18"/>
          <w:szCs w:val="18"/>
          <w:lang w:val="es-ES_tradnl"/>
        </w:rPr>
        <w:t>ó</w:t>
      </w:r>
      <w:r>
        <w:rPr>
          <w:sz w:val="18"/>
          <w:szCs w:val="18"/>
          <w:lang w:val="es-ES_tradnl"/>
        </w:rPr>
        <w:t>n.</w:t>
      </w:r>
    </w:p>
    <w:p w14:paraId="4F67B48B" w14:textId="77777777" w:rsidR="00591D54" w:rsidRDefault="00591D54">
      <w:pPr>
        <w:shd w:val="clear" w:color="auto" w:fill="FFFFFF"/>
        <w:spacing w:before="197" w:line="221" w:lineRule="exact"/>
        <w:jc w:val="both"/>
      </w:pPr>
      <w:r>
        <w:rPr>
          <w:spacing w:val="-8"/>
          <w:sz w:val="18"/>
          <w:szCs w:val="18"/>
          <w:lang w:val="es-ES_tradnl"/>
        </w:rPr>
        <w:t xml:space="preserve">Finalmente, en cuanto al requisito de </w:t>
      </w:r>
      <w:r>
        <w:rPr>
          <w:b/>
          <w:bCs/>
          <w:spacing w:val="-8"/>
          <w:sz w:val="18"/>
          <w:szCs w:val="18"/>
          <w:lang w:val="es-ES_tradnl"/>
        </w:rPr>
        <w:t>comprensibilidad</w:t>
      </w:r>
      <w:r>
        <w:rPr>
          <w:spacing w:val="-8"/>
          <w:sz w:val="18"/>
          <w:szCs w:val="18"/>
          <w:lang w:val="es-ES_tradnl"/>
        </w:rPr>
        <w:t xml:space="preserve">, el </w:t>
      </w:r>
      <w:r>
        <w:rPr>
          <w:spacing w:val="-9"/>
          <w:sz w:val="18"/>
          <w:szCs w:val="18"/>
          <w:lang w:val="es-ES_tradnl"/>
        </w:rPr>
        <w:t xml:space="preserve">mismo se refiere a que todas las decisiones judiciales sean elaboradas con un lenguaje claro y sencillo, a fin de permitir </w:t>
      </w:r>
      <w:r>
        <w:rPr>
          <w:spacing w:val="-10"/>
          <w:sz w:val="18"/>
          <w:szCs w:val="18"/>
          <w:lang w:val="es-ES_tradnl"/>
        </w:rPr>
        <w:t>su efectivo entendimiento al mayor n</w:t>
      </w:r>
      <w:r>
        <w:rPr>
          <w:rFonts w:cs="Times New Roman"/>
          <w:spacing w:val="-10"/>
          <w:sz w:val="18"/>
          <w:szCs w:val="18"/>
          <w:lang w:val="es-ES_tradnl"/>
        </w:rPr>
        <w:t>ú</w:t>
      </w:r>
      <w:r>
        <w:rPr>
          <w:spacing w:val="-10"/>
          <w:sz w:val="18"/>
          <w:szCs w:val="18"/>
          <w:lang w:val="es-ES_tradnl"/>
        </w:rPr>
        <w:t xml:space="preserve">mero de personas. En efecto, la sentencia debe contener las razones, los hechos y </w:t>
      </w:r>
      <w:r>
        <w:rPr>
          <w:spacing w:val="-8"/>
          <w:sz w:val="18"/>
          <w:szCs w:val="18"/>
          <w:lang w:val="es-ES_tradnl"/>
        </w:rPr>
        <w:t>fundamentos del por qu</w:t>
      </w:r>
      <w:r>
        <w:rPr>
          <w:rFonts w:cs="Times New Roman"/>
          <w:spacing w:val="-8"/>
          <w:sz w:val="18"/>
          <w:szCs w:val="18"/>
          <w:lang w:val="es-ES_tradnl"/>
        </w:rPr>
        <w:t>é</w:t>
      </w:r>
      <w:r>
        <w:rPr>
          <w:spacing w:val="-8"/>
          <w:sz w:val="18"/>
          <w:szCs w:val="18"/>
          <w:lang w:val="es-ES_tradnl"/>
        </w:rPr>
        <w:t xml:space="preserve"> los jueces tomaron determinada </w:t>
      </w:r>
      <w:r>
        <w:rPr>
          <w:sz w:val="18"/>
          <w:szCs w:val="18"/>
          <w:lang w:val="es-ES_tradnl"/>
        </w:rPr>
        <w:t>resoluci</w:t>
      </w:r>
      <w:r>
        <w:rPr>
          <w:rFonts w:cs="Times New Roman"/>
          <w:sz w:val="18"/>
          <w:szCs w:val="18"/>
          <w:lang w:val="es-ES_tradnl"/>
        </w:rPr>
        <w:t>ó</w:t>
      </w:r>
      <w:r>
        <w:rPr>
          <w:sz w:val="18"/>
          <w:szCs w:val="18"/>
          <w:lang w:val="es-ES_tradnl"/>
        </w:rPr>
        <w:t>n.</w:t>
      </w:r>
    </w:p>
    <w:p w14:paraId="4F67B48C" w14:textId="77777777" w:rsidR="00591D54" w:rsidRDefault="00591D54">
      <w:pPr>
        <w:shd w:val="clear" w:color="auto" w:fill="FFFFFF"/>
        <w:spacing w:before="206" w:line="221" w:lineRule="exact"/>
        <w:jc w:val="both"/>
      </w:pPr>
      <w:r>
        <w:rPr>
          <w:spacing w:val="-4"/>
          <w:sz w:val="18"/>
          <w:szCs w:val="18"/>
          <w:lang w:val="es-ES_tradnl"/>
        </w:rPr>
        <w:t xml:space="preserve">Ahora bien, para determinar si el fallo impugnado ha </w:t>
      </w:r>
      <w:r>
        <w:rPr>
          <w:spacing w:val="-9"/>
          <w:sz w:val="18"/>
          <w:szCs w:val="18"/>
          <w:lang w:val="es-ES_tradnl"/>
        </w:rPr>
        <w:t>cumplido con este requisito, hay que examinar qu</w:t>
      </w:r>
      <w:r>
        <w:rPr>
          <w:rFonts w:cs="Times New Roman"/>
          <w:spacing w:val="-9"/>
          <w:sz w:val="18"/>
          <w:szCs w:val="18"/>
          <w:lang w:val="es-ES_tradnl"/>
        </w:rPr>
        <w:t>é</w:t>
      </w:r>
      <w:r>
        <w:rPr>
          <w:spacing w:val="-9"/>
          <w:sz w:val="18"/>
          <w:szCs w:val="18"/>
          <w:lang w:val="es-ES_tradnl"/>
        </w:rPr>
        <w:t xml:space="preserve"> expres</w:t>
      </w:r>
      <w:r>
        <w:rPr>
          <w:rFonts w:cs="Times New Roman"/>
          <w:spacing w:val="-9"/>
          <w:sz w:val="18"/>
          <w:szCs w:val="18"/>
          <w:lang w:val="es-ES_tradnl"/>
        </w:rPr>
        <w:t xml:space="preserve">ó </w:t>
      </w:r>
      <w:r>
        <w:rPr>
          <w:spacing w:val="-8"/>
          <w:sz w:val="18"/>
          <w:szCs w:val="18"/>
          <w:lang w:val="es-ES_tradnl"/>
        </w:rPr>
        <w:t>la misma; as</w:t>
      </w:r>
      <w:r>
        <w:rPr>
          <w:rFonts w:cs="Times New Roman"/>
          <w:spacing w:val="-8"/>
          <w:sz w:val="18"/>
          <w:szCs w:val="18"/>
          <w:lang w:val="es-ES_tradnl"/>
        </w:rPr>
        <w:t>í</w:t>
      </w:r>
      <w:r>
        <w:rPr>
          <w:spacing w:val="-8"/>
          <w:sz w:val="18"/>
          <w:szCs w:val="18"/>
          <w:lang w:val="es-ES_tradnl"/>
        </w:rPr>
        <w:t xml:space="preserve">, encontramos que en el considerando sexto </w:t>
      </w:r>
      <w:r>
        <w:rPr>
          <w:sz w:val="18"/>
          <w:szCs w:val="18"/>
          <w:lang w:val="es-ES_tradnl"/>
        </w:rPr>
        <w:t>menciona en lo principal:</w:t>
      </w:r>
    </w:p>
    <w:p w14:paraId="4F67B48D" w14:textId="77777777" w:rsidR="00591D54" w:rsidRDefault="00591D54">
      <w:pPr>
        <w:shd w:val="clear" w:color="auto" w:fill="FFFFFF"/>
        <w:spacing w:before="206" w:line="221" w:lineRule="exact"/>
        <w:ind w:left="283" w:right="5"/>
        <w:jc w:val="both"/>
      </w:pPr>
      <w:r>
        <w:rPr>
          <w:b/>
          <w:bCs/>
          <w:spacing w:val="-7"/>
          <w:sz w:val="16"/>
          <w:szCs w:val="16"/>
          <w:lang w:val="es-ES_tradnl"/>
        </w:rPr>
        <w:t xml:space="preserve">SEXTO: </w:t>
      </w:r>
      <w:r>
        <w:rPr>
          <w:spacing w:val="-7"/>
          <w:sz w:val="16"/>
          <w:szCs w:val="16"/>
          <w:lang w:val="es-ES_tradnl"/>
        </w:rPr>
        <w:t>(</w:t>
      </w:r>
      <w:r>
        <w:rPr>
          <w:rFonts w:cs="Times New Roman"/>
          <w:spacing w:val="-7"/>
          <w:sz w:val="16"/>
          <w:szCs w:val="16"/>
          <w:lang w:val="es-ES_tradnl"/>
        </w:rPr>
        <w:t>…</w:t>
      </w:r>
      <w:r>
        <w:rPr>
          <w:spacing w:val="-7"/>
          <w:sz w:val="16"/>
          <w:szCs w:val="16"/>
          <w:lang w:val="es-ES_tradnl"/>
        </w:rPr>
        <w:t>) por cuanto la pretensi</w:t>
      </w:r>
      <w:r>
        <w:rPr>
          <w:rFonts w:cs="Times New Roman"/>
          <w:spacing w:val="-7"/>
          <w:sz w:val="16"/>
          <w:szCs w:val="16"/>
          <w:lang w:val="es-ES_tradnl"/>
        </w:rPr>
        <w:t>ó</w:t>
      </w:r>
      <w:r>
        <w:rPr>
          <w:spacing w:val="-7"/>
          <w:sz w:val="16"/>
          <w:szCs w:val="16"/>
          <w:lang w:val="es-ES_tradnl"/>
        </w:rPr>
        <w:t>n de que se intervenga a la compa</w:t>
      </w:r>
      <w:r>
        <w:rPr>
          <w:rFonts w:cs="Times New Roman"/>
          <w:spacing w:val="-7"/>
          <w:sz w:val="16"/>
          <w:szCs w:val="16"/>
          <w:lang w:val="es-ES_tradnl"/>
        </w:rPr>
        <w:t>ñí</w:t>
      </w:r>
      <w:r>
        <w:rPr>
          <w:spacing w:val="-7"/>
          <w:sz w:val="16"/>
          <w:szCs w:val="16"/>
          <w:lang w:val="es-ES_tradnl"/>
        </w:rPr>
        <w:t>a es reiterada tanto por el SRI, como por la Jueza D</w:t>
      </w:r>
      <w:r>
        <w:rPr>
          <w:rFonts w:cs="Times New Roman"/>
          <w:spacing w:val="-7"/>
          <w:sz w:val="16"/>
          <w:szCs w:val="16"/>
          <w:lang w:val="es-ES_tradnl"/>
        </w:rPr>
        <w:t>é</w:t>
      </w:r>
      <w:r>
        <w:rPr>
          <w:spacing w:val="-7"/>
          <w:sz w:val="16"/>
          <w:szCs w:val="16"/>
          <w:lang w:val="es-ES_tradnl"/>
        </w:rPr>
        <w:t>cimo Segunda de la Ni</w:t>
      </w:r>
      <w:r>
        <w:rPr>
          <w:rFonts w:cs="Times New Roman"/>
          <w:spacing w:val="-7"/>
          <w:sz w:val="16"/>
          <w:szCs w:val="16"/>
          <w:lang w:val="es-ES_tradnl"/>
        </w:rPr>
        <w:t>ñ</w:t>
      </w:r>
      <w:r>
        <w:rPr>
          <w:spacing w:val="-7"/>
          <w:sz w:val="16"/>
          <w:szCs w:val="16"/>
          <w:lang w:val="es-ES_tradnl"/>
        </w:rPr>
        <w:t>ez y Adolescencia del Guayas (</w:t>
      </w:r>
      <w:r>
        <w:rPr>
          <w:rFonts w:cs="Times New Roman"/>
          <w:spacing w:val="-7"/>
          <w:sz w:val="16"/>
          <w:szCs w:val="16"/>
          <w:lang w:val="es-ES_tradnl"/>
        </w:rPr>
        <w:t>…</w:t>
      </w:r>
      <w:r>
        <w:rPr>
          <w:spacing w:val="-7"/>
          <w:sz w:val="16"/>
          <w:szCs w:val="16"/>
          <w:lang w:val="es-ES_tradnl"/>
        </w:rPr>
        <w:t xml:space="preserve">) por lo que resulta ilegal y violatorio a todo derecho laboral y de </w:t>
      </w:r>
      <w:r>
        <w:rPr>
          <w:spacing w:val="-9"/>
          <w:sz w:val="16"/>
          <w:szCs w:val="16"/>
          <w:lang w:val="es-ES_tradnl"/>
        </w:rPr>
        <w:t xml:space="preserve">libertad el accionar de la entidad demanda en la presente causa </w:t>
      </w:r>
      <w:r>
        <w:rPr>
          <w:spacing w:val="-10"/>
          <w:sz w:val="16"/>
          <w:szCs w:val="16"/>
          <w:lang w:val="es-ES_tradnl"/>
        </w:rPr>
        <w:t>(</w:t>
      </w:r>
      <w:r>
        <w:rPr>
          <w:rFonts w:cs="Times New Roman"/>
          <w:spacing w:val="-10"/>
          <w:sz w:val="16"/>
          <w:szCs w:val="16"/>
          <w:lang w:val="es-ES_tradnl"/>
        </w:rPr>
        <w:t>…</w:t>
      </w:r>
      <w:r>
        <w:rPr>
          <w:spacing w:val="-10"/>
          <w:sz w:val="16"/>
          <w:szCs w:val="16"/>
          <w:lang w:val="es-ES_tradnl"/>
        </w:rPr>
        <w:t>) consta la acci</w:t>
      </w:r>
      <w:r>
        <w:rPr>
          <w:rFonts w:cs="Times New Roman"/>
          <w:spacing w:val="-10"/>
          <w:sz w:val="16"/>
          <w:szCs w:val="16"/>
          <w:lang w:val="es-ES_tradnl"/>
        </w:rPr>
        <w:t>ó</w:t>
      </w:r>
      <w:r>
        <w:rPr>
          <w:spacing w:val="-10"/>
          <w:sz w:val="16"/>
          <w:szCs w:val="16"/>
          <w:lang w:val="es-ES_tradnl"/>
        </w:rPr>
        <w:t>n de la Superintendencia de Compa</w:t>
      </w:r>
      <w:r>
        <w:rPr>
          <w:rFonts w:cs="Times New Roman"/>
          <w:spacing w:val="-10"/>
          <w:sz w:val="16"/>
          <w:szCs w:val="16"/>
          <w:lang w:val="es-ES_tradnl"/>
        </w:rPr>
        <w:t>ñí</w:t>
      </w:r>
      <w:r>
        <w:rPr>
          <w:spacing w:val="-10"/>
          <w:sz w:val="16"/>
          <w:szCs w:val="16"/>
          <w:lang w:val="es-ES_tradnl"/>
        </w:rPr>
        <w:t xml:space="preserve">as que </w:t>
      </w:r>
      <w:r>
        <w:rPr>
          <w:spacing w:val="-7"/>
          <w:sz w:val="16"/>
          <w:szCs w:val="16"/>
          <w:lang w:val="es-ES_tradnl"/>
        </w:rPr>
        <w:t xml:space="preserve">claramente busca impedir el normal decurso de las funciones </w:t>
      </w:r>
      <w:r>
        <w:rPr>
          <w:spacing w:val="-8"/>
          <w:sz w:val="16"/>
          <w:szCs w:val="16"/>
          <w:lang w:val="es-ES_tradnl"/>
        </w:rPr>
        <w:t>de la instituci</w:t>
      </w:r>
      <w:r>
        <w:rPr>
          <w:rFonts w:cs="Times New Roman"/>
          <w:spacing w:val="-8"/>
          <w:sz w:val="16"/>
          <w:szCs w:val="16"/>
          <w:lang w:val="es-ES_tradnl"/>
        </w:rPr>
        <w:t>ó</w:t>
      </w:r>
      <w:r>
        <w:rPr>
          <w:spacing w:val="-8"/>
          <w:sz w:val="16"/>
          <w:szCs w:val="16"/>
          <w:lang w:val="es-ES_tradnl"/>
        </w:rPr>
        <w:t>n accionante, sin fundamentaci</w:t>
      </w:r>
      <w:r>
        <w:rPr>
          <w:rFonts w:cs="Times New Roman"/>
          <w:spacing w:val="-8"/>
          <w:sz w:val="16"/>
          <w:szCs w:val="16"/>
          <w:lang w:val="es-ES_tradnl"/>
        </w:rPr>
        <w:t>ó</w:t>
      </w:r>
      <w:r>
        <w:rPr>
          <w:spacing w:val="-8"/>
          <w:sz w:val="16"/>
          <w:szCs w:val="16"/>
          <w:lang w:val="es-ES_tradnl"/>
        </w:rPr>
        <w:t xml:space="preserve">n legal alguna y </w:t>
      </w:r>
      <w:r>
        <w:rPr>
          <w:spacing w:val="-11"/>
          <w:sz w:val="16"/>
          <w:szCs w:val="16"/>
          <w:lang w:val="es-ES_tradnl"/>
        </w:rPr>
        <w:t>teniendo como base una denuncia que deb</w:t>
      </w:r>
      <w:r>
        <w:rPr>
          <w:rFonts w:cs="Times New Roman"/>
          <w:spacing w:val="-11"/>
          <w:sz w:val="16"/>
          <w:szCs w:val="16"/>
          <w:lang w:val="es-ES_tradnl"/>
        </w:rPr>
        <w:t>í</w:t>
      </w:r>
      <w:r>
        <w:rPr>
          <w:spacing w:val="-11"/>
          <w:sz w:val="16"/>
          <w:szCs w:val="16"/>
          <w:lang w:val="es-ES_tradnl"/>
        </w:rPr>
        <w:t xml:space="preserve">a haber sido revisada </w:t>
      </w:r>
      <w:r>
        <w:rPr>
          <w:spacing w:val="-2"/>
          <w:sz w:val="16"/>
          <w:szCs w:val="16"/>
          <w:lang w:val="es-ES_tradnl"/>
        </w:rPr>
        <w:t xml:space="preserve">mediante convocatoria a la Junta General de accionistas; </w:t>
      </w:r>
      <w:r>
        <w:rPr>
          <w:spacing w:val="-7"/>
          <w:sz w:val="16"/>
          <w:szCs w:val="16"/>
          <w:lang w:val="es-ES_tradnl"/>
        </w:rPr>
        <w:t>y adem</w:t>
      </w:r>
      <w:r>
        <w:rPr>
          <w:rFonts w:cs="Times New Roman"/>
          <w:spacing w:val="-7"/>
          <w:sz w:val="16"/>
          <w:szCs w:val="16"/>
          <w:lang w:val="es-ES_tradnl"/>
        </w:rPr>
        <w:t>á</w:t>
      </w:r>
      <w:r>
        <w:rPr>
          <w:spacing w:val="-7"/>
          <w:sz w:val="16"/>
          <w:szCs w:val="16"/>
          <w:lang w:val="es-ES_tradnl"/>
        </w:rPr>
        <w:t xml:space="preserve">s otros mecanismos de defensa judicial no son los </w:t>
      </w:r>
      <w:r>
        <w:rPr>
          <w:spacing w:val="-6"/>
          <w:sz w:val="16"/>
          <w:szCs w:val="16"/>
          <w:lang w:val="es-ES_tradnl"/>
        </w:rPr>
        <w:t xml:space="preserve">adecuados para proteger el derecho vulnerado por cuanto </w:t>
      </w:r>
      <w:r>
        <w:rPr>
          <w:spacing w:val="-9"/>
          <w:sz w:val="16"/>
          <w:szCs w:val="16"/>
          <w:lang w:val="es-ES_tradnl"/>
        </w:rPr>
        <w:t xml:space="preserve">existen reiteradas oposiciones por parte de la Superintendencia </w:t>
      </w:r>
      <w:r>
        <w:rPr>
          <w:spacing w:val="-5"/>
          <w:sz w:val="16"/>
          <w:szCs w:val="16"/>
          <w:lang w:val="es-ES_tradnl"/>
        </w:rPr>
        <w:t>de Compa</w:t>
      </w:r>
      <w:r>
        <w:rPr>
          <w:rFonts w:cs="Times New Roman"/>
          <w:spacing w:val="-5"/>
          <w:sz w:val="16"/>
          <w:szCs w:val="16"/>
          <w:lang w:val="es-ES_tradnl"/>
        </w:rPr>
        <w:t>ñí</w:t>
      </w:r>
      <w:r>
        <w:rPr>
          <w:spacing w:val="-5"/>
          <w:sz w:val="16"/>
          <w:szCs w:val="16"/>
          <w:lang w:val="es-ES_tradnl"/>
        </w:rPr>
        <w:t>as y por parte del Juzgado D</w:t>
      </w:r>
      <w:r>
        <w:rPr>
          <w:rFonts w:cs="Times New Roman"/>
          <w:spacing w:val="-5"/>
          <w:sz w:val="16"/>
          <w:szCs w:val="16"/>
          <w:lang w:val="es-ES_tradnl"/>
        </w:rPr>
        <w:t>é</w:t>
      </w:r>
      <w:r>
        <w:rPr>
          <w:spacing w:val="-5"/>
          <w:sz w:val="16"/>
          <w:szCs w:val="16"/>
          <w:lang w:val="es-ES_tradnl"/>
        </w:rPr>
        <w:t>cimo Segundo de la Ni</w:t>
      </w:r>
      <w:r>
        <w:rPr>
          <w:rFonts w:cs="Times New Roman"/>
          <w:spacing w:val="-5"/>
          <w:sz w:val="16"/>
          <w:szCs w:val="16"/>
          <w:lang w:val="es-ES_tradnl"/>
        </w:rPr>
        <w:t>ñ</w:t>
      </w:r>
      <w:r>
        <w:rPr>
          <w:spacing w:val="-5"/>
          <w:sz w:val="16"/>
          <w:szCs w:val="16"/>
          <w:lang w:val="es-ES_tradnl"/>
        </w:rPr>
        <w:t xml:space="preserve">ez y Adolescencia del Guayas; con tales antecedentes </w:t>
      </w:r>
      <w:r>
        <w:rPr>
          <w:spacing w:val="-8"/>
          <w:sz w:val="16"/>
          <w:szCs w:val="16"/>
          <w:lang w:val="es-ES_tradnl"/>
        </w:rPr>
        <w:t>y encontr</w:t>
      </w:r>
      <w:r>
        <w:rPr>
          <w:rFonts w:cs="Times New Roman"/>
          <w:spacing w:val="-8"/>
          <w:sz w:val="16"/>
          <w:szCs w:val="16"/>
          <w:lang w:val="es-ES_tradnl"/>
        </w:rPr>
        <w:t>á</w:t>
      </w:r>
      <w:r>
        <w:rPr>
          <w:spacing w:val="-8"/>
          <w:sz w:val="16"/>
          <w:szCs w:val="16"/>
          <w:lang w:val="es-ES_tradnl"/>
        </w:rPr>
        <w:t xml:space="preserve">ndose el caso citado entre los descritos en el art. 41 </w:t>
      </w:r>
      <w:r>
        <w:rPr>
          <w:spacing w:val="-5"/>
          <w:sz w:val="16"/>
          <w:szCs w:val="16"/>
          <w:lang w:val="es-ES_tradnl"/>
        </w:rPr>
        <w:t>de la LOGJCC; esta Primera Sala de lo Laboral, de la Ni</w:t>
      </w:r>
      <w:r>
        <w:rPr>
          <w:rFonts w:cs="Times New Roman"/>
          <w:spacing w:val="-5"/>
          <w:sz w:val="16"/>
          <w:szCs w:val="16"/>
          <w:lang w:val="es-ES_tradnl"/>
        </w:rPr>
        <w:t>ñ</w:t>
      </w:r>
      <w:r>
        <w:rPr>
          <w:spacing w:val="-5"/>
          <w:sz w:val="16"/>
          <w:szCs w:val="16"/>
          <w:lang w:val="es-ES_tradnl"/>
        </w:rPr>
        <w:t xml:space="preserve">ez </w:t>
      </w:r>
      <w:r>
        <w:rPr>
          <w:spacing w:val="-6"/>
          <w:sz w:val="16"/>
          <w:szCs w:val="16"/>
          <w:lang w:val="es-ES_tradnl"/>
        </w:rPr>
        <w:t xml:space="preserve">y Adolescencia de la Corte Provincial de Justicia del Guayas </w:t>
      </w:r>
      <w:r>
        <w:rPr>
          <w:sz w:val="16"/>
          <w:szCs w:val="16"/>
          <w:lang w:val="es-ES_tradnl"/>
        </w:rPr>
        <w:t>(</w:t>
      </w:r>
      <w:r>
        <w:rPr>
          <w:rFonts w:cs="Times New Roman"/>
          <w:sz w:val="16"/>
          <w:szCs w:val="16"/>
          <w:lang w:val="es-ES_tradnl"/>
        </w:rPr>
        <w:t>…</w:t>
      </w:r>
      <w:r>
        <w:rPr>
          <w:sz w:val="16"/>
          <w:szCs w:val="16"/>
          <w:lang w:val="es-ES_tradnl"/>
        </w:rPr>
        <w:t>) sic.</w:t>
      </w:r>
    </w:p>
    <w:p w14:paraId="4F67B48E" w14:textId="77777777" w:rsidR="00591D54" w:rsidRDefault="00591D54">
      <w:pPr>
        <w:shd w:val="clear" w:color="auto" w:fill="FFFFFF"/>
        <w:spacing w:line="216" w:lineRule="exact"/>
        <w:jc w:val="both"/>
      </w:pPr>
      <w:r>
        <w:br w:type="column"/>
      </w:r>
      <w:r>
        <w:rPr>
          <w:spacing w:val="-8"/>
          <w:sz w:val="18"/>
          <w:szCs w:val="18"/>
          <w:lang w:val="es-ES_tradnl"/>
        </w:rPr>
        <w:t>Como se observa en el p</w:t>
      </w:r>
      <w:r>
        <w:rPr>
          <w:rFonts w:cs="Times New Roman"/>
          <w:spacing w:val="-8"/>
          <w:sz w:val="18"/>
          <w:szCs w:val="18"/>
          <w:lang w:val="es-ES_tradnl"/>
        </w:rPr>
        <w:t>á</w:t>
      </w:r>
      <w:r>
        <w:rPr>
          <w:spacing w:val="-8"/>
          <w:sz w:val="18"/>
          <w:szCs w:val="18"/>
          <w:lang w:val="es-ES_tradnl"/>
        </w:rPr>
        <w:t xml:space="preserve">rrafo precedente, los jueces de </w:t>
      </w:r>
      <w:r>
        <w:rPr>
          <w:spacing w:val="-6"/>
          <w:sz w:val="18"/>
          <w:szCs w:val="18"/>
          <w:lang w:val="es-ES_tradnl"/>
        </w:rPr>
        <w:t>Sala mencionan que la Superintendencia de Compa</w:t>
      </w:r>
      <w:r>
        <w:rPr>
          <w:rFonts w:cs="Times New Roman"/>
          <w:spacing w:val="-6"/>
          <w:sz w:val="18"/>
          <w:szCs w:val="18"/>
          <w:lang w:val="es-ES_tradnl"/>
        </w:rPr>
        <w:t>ñí</w:t>
      </w:r>
      <w:r>
        <w:rPr>
          <w:spacing w:val="-6"/>
          <w:sz w:val="18"/>
          <w:szCs w:val="18"/>
          <w:lang w:val="es-ES_tradnl"/>
        </w:rPr>
        <w:t xml:space="preserve">as </w:t>
      </w:r>
      <w:r>
        <w:rPr>
          <w:spacing w:val="-7"/>
          <w:sz w:val="18"/>
          <w:szCs w:val="18"/>
          <w:lang w:val="es-ES_tradnl"/>
        </w:rPr>
        <w:t>sin fundamentaci</w:t>
      </w:r>
      <w:r>
        <w:rPr>
          <w:rFonts w:cs="Times New Roman"/>
          <w:spacing w:val="-7"/>
          <w:sz w:val="18"/>
          <w:szCs w:val="18"/>
          <w:lang w:val="es-ES_tradnl"/>
        </w:rPr>
        <w:t>ó</w:t>
      </w:r>
      <w:r>
        <w:rPr>
          <w:spacing w:val="-7"/>
          <w:sz w:val="18"/>
          <w:szCs w:val="18"/>
          <w:lang w:val="es-ES_tradnl"/>
        </w:rPr>
        <w:t>n alguna, quieren intervenir la compa</w:t>
      </w:r>
      <w:r>
        <w:rPr>
          <w:rFonts w:cs="Times New Roman"/>
          <w:spacing w:val="-7"/>
          <w:sz w:val="18"/>
          <w:szCs w:val="18"/>
          <w:lang w:val="es-ES_tradnl"/>
        </w:rPr>
        <w:t>ñí</w:t>
      </w:r>
      <w:r>
        <w:rPr>
          <w:spacing w:val="-7"/>
          <w:sz w:val="18"/>
          <w:szCs w:val="18"/>
          <w:lang w:val="es-ES_tradnl"/>
        </w:rPr>
        <w:t xml:space="preserve">a </w:t>
      </w:r>
      <w:r>
        <w:rPr>
          <w:spacing w:val="-6"/>
          <w:sz w:val="18"/>
          <w:szCs w:val="18"/>
          <w:lang w:val="es-ES_tradnl"/>
        </w:rPr>
        <w:t>PIDESA, cuando esa intervenci</w:t>
      </w:r>
      <w:r>
        <w:rPr>
          <w:rFonts w:cs="Times New Roman"/>
          <w:spacing w:val="-6"/>
          <w:sz w:val="18"/>
          <w:szCs w:val="18"/>
          <w:lang w:val="es-ES_tradnl"/>
        </w:rPr>
        <w:t>ó</w:t>
      </w:r>
      <w:r>
        <w:rPr>
          <w:spacing w:val="-6"/>
          <w:sz w:val="18"/>
          <w:szCs w:val="18"/>
          <w:lang w:val="es-ES_tradnl"/>
        </w:rPr>
        <w:t>n nace de una decisi</w:t>
      </w:r>
      <w:r>
        <w:rPr>
          <w:rFonts w:cs="Times New Roman"/>
          <w:spacing w:val="-6"/>
          <w:sz w:val="18"/>
          <w:szCs w:val="18"/>
          <w:lang w:val="es-ES_tradnl"/>
        </w:rPr>
        <w:t>ó</w:t>
      </w:r>
      <w:r>
        <w:rPr>
          <w:spacing w:val="-6"/>
          <w:sz w:val="18"/>
          <w:szCs w:val="18"/>
          <w:lang w:val="es-ES_tradnl"/>
        </w:rPr>
        <w:t xml:space="preserve">n </w:t>
      </w:r>
      <w:r>
        <w:rPr>
          <w:spacing w:val="-10"/>
          <w:sz w:val="18"/>
          <w:szCs w:val="18"/>
          <w:lang w:val="es-ES_tradnl"/>
        </w:rPr>
        <w:t>constitucional que debe ser cumplida en todos sus t</w:t>
      </w:r>
      <w:r>
        <w:rPr>
          <w:rFonts w:cs="Times New Roman"/>
          <w:spacing w:val="-10"/>
          <w:sz w:val="18"/>
          <w:szCs w:val="18"/>
          <w:lang w:val="es-ES_tradnl"/>
        </w:rPr>
        <w:t>é</w:t>
      </w:r>
      <w:r>
        <w:rPr>
          <w:spacing w:val="-10"/>
          <w:sz w:val="18"/>
          <w:szCs w:val="18"/>
          <w:lang w:val="es-ES_tradnl"/>
        </w:rPr>
        <w:t xml:space="preserve">rminos, </w:t>
      </w:r>
      <w:r>
        <w:rPr>
          <w:spacing w:val="-7"/>
          <w:sz w:val="18"/>
          <w:szCs w:val="18"/>
          <w:lang w:val="es-ES_tradnl"/>
        </w:rPr>
        <w:t>la misma que fue emitida por la jueza d</w:t>
      </w:r>
      <w:r>
        <w:rPr>
          <w:rFonts w:cs="Times New Roman"/>
          <w:spacing w:val="-7"/>
          <w:sz w:val="18"/>
          <w:szCs w:val="18"/>
          <w:lang w:val="es-ES_tradnl"/>
        </w:rPr>
        <w:t>é</w:t>
      </w:r>
      <w:r>
        <w:rPr>
          <w:spacing w:val="-7"/>
          <w:sz w:val="18"/>
          <w:szCs w:val="18"/>
          <w:lang w:val="es-ES_tradnl"/>
        </w:rPr>
        <w:t xml:space="preserve">cima segunda de </w:t>
      </w:r>
      <w:r>
        <w:rPr>
          <w:spacing w:val="-10"/>
          <w:sz w:val="18"/>
          <w:szCs w:val="18"/>
          <w:lang w:val="es-ES_tradnl"/>
        </w:rPr>
        <w:t>la ni</w:t>
      </w:r>
      <w:r>
        <w:rPr>
          <w:rFonts w:cs="Times New Roman"/>
          <w:spacing w:val="-10"/>
          <w:sz w:val="18"/>
          <w:szCs w:val="18"/>
          <w:lang w:val="es-ES_tradnl"/>
        </w:rPr>
        <w:t>ñ</w:t>
      </w:r>
      <w:r>
        <w:rPr>
          <w:spacing w:val="-10"/>
          <w:sz w:val="18"/>
          <w:szCs w:val="18"/>
          <w:lang w:val="es-ES_tradnl"/>
        </w:rPr>
        <w:t xml:space="preserve">ez y adolescencia, quien es una autoridad competente, </w:t>
      </w:r>
      <w:r>
        <w:rPr>
          <w:spacing w:val="-5"/>
          <w:sz w:val="18"/>
          <w:szCs w:val="18"/>
          <w:lang w:val="es-ES_tradnl"/>
        </w:rPr>
        <w:t>es decir, que la intervenci</w:t>
      </w:r>
      <w:r>
        <w:rPr>
          <w:rFonts w:cs="Times New Roman"/>
          <w:spacing w:val="-5"/>
          <w:sz w:val="18"/>
          <w:szCs w:val="18"/>
          <w:lang w:val="es-ES_tradnl"/>
        </w:rPr>
        <w:t>ó</w:t>
      </w:r>
      <w:r>
        <w:rPr>
          <w:spacing w:val="-5"/>
          <w:sz w:val="18"/>
          <w:szCs w:val="18"/>
          <w:lang w:val="es-ES_tradnl"/>
        </w:rPr>
        <w:t>n de la compa</w:t>
      </w:r>
      <w:r>
        <w:rPr>
          <w:rFonts w:cs="Times New Roman"/>
          <w:spacing w:val="-5"/>
          <w:sz w:val="18"/>
          <w:szCs w:val="18"/>
          <w:lang w:val="es-ES_tradnl"/>
        </w:rPr>
        <w:t>ñí</w:t>
      </w:r>
      <w:r>
        <w:rPr>
          <w:spacing w:val="-5"/>
          <w:sz w:val="18"/>
          <w:szCs w:val="18"/>
          <w:lang w:val="es-ES_tradnl"/>
        </w:rPr>
        <w:t xml:space="preserve">a es legal, por </w:t>
      </w:r>
      <w:r>
        <w:rPr>
          <w:spacing w:val="-4"/>
          <w:sz w:val="18"/>
          <w:szCs w:val="18"/>
          <w:lang w:val="es-ES_tradnl"/>
        </w:rPr>
        <w:t xml:space="preserve">lo que al manifestar eso los jueces no existe claridad en </w:t>
      </w:r>
      <w:r>
        <w:rPr>
          <w:spacing w:val="-5"/>
          <w:sz w:val="18"/>
          <w:szCs w:val="18"/>
          <w:lang w:val="es-ES_tradnl"/>
        </w:rPr>
        <w:t>lo que se refiere. Tambi</w:t>
      </w:r>
      <w:r>
        <w:rPr>
          <w:rFonts w:cs="Times New Roman"/>
          <w:spacing w:val="-5"/>
          <w:sz w:val="18"/>
          <w:szCs w:val="18"/>
          <w:lang w:val="es-ES_tradnl"/>
        </w:rPr>
        <w:t>é</w:t>
      </w:r>
      <w:r>
        <w:rPr>
          <w:spacing w:val="-5"/>
          <w:sz w:val="18"/>
          <w:szCs w:val="18"/>
          <w:lang w:val="es-ES_tradnl"/>
        </w:rPr>
        <w:t xml:space="preserve">n indican que es reiterado lo de </w:t>
      </w:r>
      <w:r>
        <w:rPr>
          <w:spacing w:val="-7"/>
          <w:sz w:val="18"/>
          <w:szCs w:val="18"/>
          <w:lang w:val="es-ES_tradnl"/>
        </w:rPr>
        <w:t>la intervenci</w:t>
      </w:r>
      <w:r>
        <w:rPr>
          <w:rFonts w:cs="Times New Roman"/>
          <w:spacing w:val="-7"/>
          <w:sz w:val="18"/>
          <w:szCs w:val="18"/>
          <w:lang w:val="es-ES_tradnl"/>
        </w:rPr>
        <w:t>ó</w:t>
      </w:r>
      <w:r>
        <w:rPr>
          <w:spacing w:val="-7"/>
          <w:sz w:val="18"/>
          <w:szCs w:val="18"/>
          <w:lang w:val="es-ES_tradnl"/>
        </w:rPr>
        <w:t>n de la compa</w:t>
      </w:r>
      <w:r>
        <w:rPr>
          <w:rFonts w:cs="Times New Roman"/>
          <w:spacing w:val="-7"/>
          <w:sz w:val="18"/>
          <w:szCs w:val="18"/>
          <w:lang w:val="es-ES_tradnl"/>
        </w:rPr>
        <w:t>ñí</w:t>
      </w:r>
      <w:r>
        <w:rPr>
          <w:spacing w:val="-7"/>
          <w:sz w:val="18"/>
          <w:szCs w:val="18"/>
          <w:lang w:val="es-ES_tradnl"/>
        </w:rPr>
        <w:t xml:space="preserve">a PIDESA, sin embargo, del </w:t>
      </w:r>
      <w:r>
        <w:rPr>
          <w:spacing w:val="-10"/>
          <w:sz w:val="18"/>
          <w:szCs w:val="18"/>
          <w:lang w:val="es-ES_tradnl"/>
        </w:rPr>
        <w:t xml:space="preserve">estudio del expediente de instancia se puede determinar que </w:t>
      </w:r>
      <w:r>
        <w:rPr>
          <w:spacing w:val="-8"/>
          <w:sz w:val="18"/>
          <w:szCs w:val="18"/>
          <w:lang w:val="es-ES_tradnl"/>
        </w:rPr>
        <w:t xml:space="preserve">la </w:t>
      </w:r>
      <w:r>
        <w:rPr>
          <w:rFonts w:cs="Times New Roman"/>
          <w:spacing w:val="-8"/>
          <w:sz w:val="18"/>
          <w:szCs w:val="18"/>
          <w:lang w:val="es-ES_tradnl"/>
        </w:rPr>
        <w:t>ú</w:t>
      </w:r>
      <w:r>
        <w:rPr>
          <w:spacing w:val="-8"/>
          <w:sz w:val="18"/>
          <w:szCs w:val="18"/>
          <w:lang w:val="es-ES_tradnl"/>
        </w:rPr>
        <w:t>nica que dispuso que se intervenga la compa</w:t>
      </w:r>
      <w:r>
        <w:rPr>
          <w:rFonts w:cs="Times New Roman"/>
          <w:spacing w:val="-8"/>
          <w:sz w:val="18"/>
          <w:szCs w:val="18"/>
          <w:lang w:val="es-ES_tradnl"/>
        </w:rPr>
        <w:t>ñí</w:t>
      </w:r>
      <w:r>
        <w:rPr>
          <w:spacing w:val="-8"/>
          <w:sz w:val="18"/>
          <w:szCs w:val="18"/>
          <w:lang w:val="es-ES_tradnl"/>
        </w:rPr>
        <w:t xml:space="preserve">a, fue la </w:t>
      </w:r>
      <w:r>
        <w:rPr>
          <w:spacing w:val="-7"/>
          <w:sz w:val="18"/>
          <w:szCs w:val="18"/>
          <w:lang w:val="es-ES_tradnl"/>
        </w:rPr>
        <w:t>jueza d</w:t>
      </w:r>
      <w:r>
        <w:rPr>
          <w:rFonts w:cs="Times New Roman"/>
          <w:spacing w:val="-7"/>
          <w:sz w:val="18"/>
          <w:szCs w:val="18"/>
          <w:lang w:val="es-ES_tradnl"/>
        </w:rPr>
        <w:t>é</w:t>
      </w:r>
      <w:r>
        <w:rPr>
          <w:spacing w:val="-7"/>
          <w:sz w:val="18"/>
          <w:szCs w:val="18"/>
          <w:lang w:val="es-ES_tradnl"/>
        </w:rPr>
        <w:t>cimo segundo de la ni</w:t>
      </w:r>
      <w:r>
        <w:rPr>
          <w:rFonts w:cs="Times New Roman"/>
          <w:spacing w:val="-7"/>
          <w:sz w:val="18"/>
          <w:szCs w:val="18"/>
          <w:lang w:val="es-ES_tradnl"/>
        </w:rPr>
        <w:t>ñ</w:t>
      </w:r>
      <w:r>
        <w:rPr>
          <w:spacing w:val="-7"/>
          <w:sz w:val="18"/>
          <w:szCs w:val="18"/>
          <w:lang w:val="es-ES_tradnl"/>
        </w:rPr>
        <w:t xml:space="preserve">ez del Guayas, lo cual fue </w:t>
      </w:r>
      <w:r>
        <w:rPr>
          <w:spacing w:val="-10"/>
          <w:sz w:val="18"/>
          <w:szCs w:val="18"/>
          <w:lang w:val="es-ES_tradnl"/>
        </w:rPr>
        <w:t>cumplido por la Superintendencia de Compa</w:t>
      </w:r>
      <w:r>
        <w:rPr>
          <w:rFonts w:cs="Times New Roman"/>
          <w:spacing w:val="-10"/>
          <w:sz w:val="18"/>
          <w:szCs w:val="18"/>
          <w:lang w:val="es-ES_tradnl"/>
        </w:rPr>
        <w:t>ñí</w:t>
      </w:r>
      <w:r>
        <w:rPr>
          <w:spacing w:val="-10"/>
          <w:sz w:val="18"/>
          <w:szCs w:val="18"/>
          <w:lang w:val="es-ES_tradnl"/>
        </w:rPr>
        <w:t xml:space="preserve">as, por lo que </w:t>
      </w:r>
      <w:r>
        <w:rPr>
          <w:spacing w:val="-9"/>
          <w:sz w:val="18"/>
          <w:szCs w:val="18"/>
          <w:lang w:val="es-ES_tradnl"/>
        </w:rPr>
        <w:t>resulta contradictorio lo que manifiestan los jueces de Sala.</w:t>
      </w:r>
    </w:p>
    <w:p w14:paraId="4F67B48F" w14:textId="77777777" w:rsidR="00591D54" w:rsidRDefault="00591D54">
      <w:pPr>
        <w:shd w:val="clear" w:color="auto" w:fill="FFFFFF"/>
        <w:spacing w:before="197" w:line="216" w:lineRule="exact"/>
        <w:jc w:val="both"/>
      </w:pPr>
      <w:r>
        <w:rPr>
          <w:spacing w:val="-7"/>
          <w:sz w:val="18"/>
          <w:szCs w:val="18"/>
          <w:lang w:val="es-ES_tradnl"/>
        </w:rPr>
        <w:t>En tal sentido, esta Organismo determina que los t</w:t>
      </w:r>
      <w:r>
        <w:rPr>
          <w:rFonts w:cs="Times New Roman"/>
          <w:spacing w:val="-7"/>
          <w:sz w:val="18"/>
          <w:szCs w:val="18"/>
          <w:lang w:val="es-ES_tradnl"/>
        </w:rPr>
        <w:t>é</w:t>
      </w:r>
      <w:r>
        <w:rPr>
          <w:spacing w:val="-7"/>
          <w:sz w:val="18"/>
          <w:szCs w:val="18"/>
          <w:lang w:val="es-ES_tradnl"/>
        </w:rPr>
        <w:t xml:space="preserve">rminos </w:t>
      </w:r>
      <w:r>
        <w:rPr>
          <w:spacing w:val="-5"/>
          <w:sz w:val="18"/>
          <w:szCs w:val="18"/>
          <w:lang w:val="es-ES_tradnl"/>
        </w:rPr>
        <w:t xml:space="preserve">y el lenguaje empleados en la sentencia impugnada, no </w:t>
      </w:r>
      <w:r>
        <w:rPr>
          <w:spacing w:val="-6"/>
          <w:sz w:val="18"/>
          <w:szCs w:val="18"/>
          <w:lang w:val="es-ES_tradnl"/>
        </w:rPr>
        <w:t xml:space="preserve">son claros e inteligibles, por la manera en como esta se </w:t>
      </w:r>
      <w:r>
        <w:rPr>
          <w:spacing w:val="-7"/>
          <w:sz w:val="18"/>
          <w:szCs w:val="18"/>
          <w:lang w:val="es-ES_tradnl"/>
        </w:rPr>
        <w:t>encuentra redactada, lo cual no permite su comprensi</w:t>
      </w:r>
      <w:r>
        <w:rPr>
          <w:rFonts w:cs="Times New Roman"/>
          <w:spacing w:val="-7"/>
          <w:sz w:val="18"/>
          <w:szCs w:val="18"/>
          <w:lang w:val="es-ES_tradnl"/>
        </w:rPr>
        <w:t>ó</w:t>
      </w:r>
      <w:r>
        <w:rPr>
          <w:spacing w:val="-7"/>
          <w:sz w:val="18"/>
          <w:szCs w:val="18"/>
          <w:lang w:val="es-ES_tradnl"/>
        </w:rPr>
        <w:t xml:space="preserve">n, </w:t>
      </w:r>
      <w:r>
        <w:rPr>
          <w:spacing w:val="-5"/>
          <w:sz w:val="18"/>
          <w:szCs w:val="18"/>
          <w:lang w:val="es-ES_tradnl"/>
        </w:rPr>
        <w:t>causando confusi</w:t>
      </w:r>
      <w:r>
        <w:rPr>
          <w:rFonts w:cs="Times New Roman"/>
          <w:spacing w:val="-5"/>
          <w:sz w:val="18"/>
          <w:szCs w:val="18"/>
          <w:lang w:val="es-ES_tradnl"/>
        </w:rPr>
        <w:t>ó</w:t>
      </w:r>
      <w:r>
        <w:rPr>
          <w:spacing w:val="-5"/>
          <w:sz w:val="18"/>
          <w:szCs w:val="18"/>
          <w:lang w:val="es-ES_tradnl"/>
        </w:rPr>
        <w:t xml:space="preserve">n al auditorio social como se dijo en </w:t>
      </w:r>
      <w:r>
        <w:rPr>
          <w:spacing w:val="-6"/>
          <w:sz w:val="18"/>
          <w:szCs w:val="18"/>
          <w:lang w:val="es-ES_tradnl"/>
        </w:rPr>
        <w:t>l</w:t>
      </w:r>
      <w:r>
        <w:rPr>
          <w:rFonts w:cs="Times New Roman"/>
          <w:spacing w:val="-6"/>
          <w:sz w:val="18"/>
          <w:szCs w:val="18"/>
          <w:lang w:val="es-ES_tradnl"/>
        </w:rPr>
        <w:t>í</w:t>
      </w:r>
      <w:r>
        <w:rPr>
          <w:spacing w:val="-6"/>
          <w:sz w:val="18"/>
          <w:szCs w:val="18"/>
          <w:lang w:val="es-ES_tradnl"/>
        </w:rPr>
        <w:t xml:space="preserve">neas anteriores, por lo que incumple con el requisito de </w:t>
      </w:r>
      <w:r>
        <w:rPr>
          <w:sz w:val="18"/>
          <w:szCs w:val="18"/>
          <w:lang w:val="es-ES_tradnl"/>
        </w:rPr>
        <w:t>comprensibilidad.</w:t>
      </w:r>
    </w:p>
    <w:p w14:paraId="4F67B490" w14:textId="77777777" w:rsidR="00591D54" w:rsidRDefault="00591D54">
      <w:pPr>
        <w:shd w:val="clear" w:color="auto" w:fill="FFFFFF"/>
        <w:spacing w:before="197" w:line="216" w:lineRule="exact"/>
        <w:jc w:val="both"/>
      </w:pPr>
      <w:r>
        <w:rPr>
          <w:spacing w:val="-9"/>
          <w:sz w:val="18"/>
          <w:szCs w:val="18"/>
          <w:lang w:val="es-ES_tradnl"/>
        </w:rPr>
        <w:t>De lo analizado se desprende que la sentencia en cuesti</w:t>
      </w:r>
      <w:r>
        <w:rPr>
          <w:rFonts w:cs="Times New Roman"/>
          <w:spacing w:val="-9"/>
          <w:sz w:val="18"/>
          <w:szCs w:val="18"/>
          <w:lang w:val="es-ES_tradnl"/>
        </w:rPr>
        <w:t>ó</w:t>
      </w:r>
      <w:r>
        <w:rPr>
          <w:spacing w:val="-9"/>
          <w:sz w:val="18"/>
          <w:szCs w:val="18"/>
          <w:lang w:val="es-ES_tradnl"/>
        </w:rPr>
        <w:t xml:space="preserve">n, </w:t>
      </w:r>
      <w:r>
        <w:rPr>
          <w:spacing w:val="-7"/>
          <w:sz w:val="18"/>
          <w:szCs w:val="18"/>
          <w:lang w:val="es-ES_tradnl"/>
        </w:rPr>
        <w:t xml:space="preserve">carece de razonabilidad al no haber invocado normas </w:t>
      </w:r>
      <w:r>
        <w:rPr>
          <w:spacing w:val="-1"/>
          <w:sz w:val="18"/>
          <w:szCs w:val="18"/>
          <w:lang w:val="es-ES_tradnl"/>
        </w:rPr>
        <w:t xml:space="preserve">constitucionales, legales o jurisprudenciales, es decir, </w:t>
      </w:r>
      <w:r>
        <w:rPr>
          <w:spacing w:val="-8"/>
          <w:sz w:val="18"/>
          <w:szCs w:val="18"/>
          <w:lang w:val="es-ES_tradnl"/>
        </w:rPr>
        <w:t xml:space="preserve">las fuentes del derecho pertinente al caso puesto en su </w:t>
      </w:r>
      <w:r>
        <w:rPr>
          <w:spacing w:val="-9"/>
          <w:sz w:val="18"/>
          <w:szCs w:val="18"/>
          <w:lang w:val="es-ES_tradnl"/>
        </w:rPr>
        <w:t>conocimiento. Tambi</w:t>
      </w:r>
      <w:r>
        <w:rPr>
          <w:rFonts w:cs="Times New Roman"/>
          <w:spacing w:val="-9"/>
          <w:sz w:val="18"/>
          <w:szCs w:val="18"/>
          <w:lang w:val="es-ES_tradnl"/>
        </w:rPr>
        <w:t>é</w:t>
      </w:r>
      <w:r>
        <w:rPr>
          <w:spacing w:val="-9"/>
          <w:sz w:val="18"/>
          <w:szCs w:val="18"/>
          <w:lang w:val="es-ES_tradnl"/>
        </w:rPr>
        <w:t>n carece de l</w:t>
      </w:r>
      <w:r>
        <w:rPr>
          <w:rFonts w:cs="Times New Roman"/>
          <w:spacing w:val="-9"/>
          <w:sz w:val="18"/>
          <w:szCs w:val="18"/>
          <w:lang w:val="es-ES_tradnl"/>
        </w:rPr>
        <w:t>ó</w:t>
      </w:r>
      <w:r>
        <w:rPr>
          <w:spacing w:val="-9"/>
          <w:sz w:val="18"/>
          <w:szCs w:val="18"/>
          <w:lang w:val="es-ES_tradnl"/>
        </w:rPr>
        <w:t xml:space="preserve">gica lo cual deriva en la </w:t>
      </w:r>
      <w:r>
        <w:rPr>
          <w:spacing w:val="-8"/>
          <w:sz w:val="18"/>
          <w:szCs w:val="18"/>
          <w:lang w:val="es-ES_tradnl"/>
        </w:rPr>
        <w:t>incoherencia entre las premisas y la conclusi</w:t>
      </w:r>
      <w:r>
        <w:rPr>
          <w:rFonts w:cs="Times New Roman"/>
          <w:spacing w:val="-8"/>
          <w:sz w:val="18"/>
          <w:szCs w:val="18"/>
          <w:lang w:val="es-ES_tradnl"/>
        </w:rPr>
        <w:t>ó</w:t>
      </w:r>
      <w:r>
        <w:rPr>
          <w:spacing w:val="-8"/>
          <w:sz w:val="18"/>
          <w:szCs w:val="18"/>
          <w:lang w:val="es-ES_tradnl"/>
        </w:rPr>
        <w:t xml:space="preserve">n final, pues, </w:t>
      </w:r>
      <w:r>
        <w:rPr>
          <w:spacing w:val="-7"/>
          <w:sz w:val="18"/>
          <w:szCs w:val="18"/>
          <w:lang w:val="es-ES_tradnl"/>
        </w:rPr>
        <w:t>contiene un pronunciamiento ligero sin argumentar de una manera ordenada y concatenada las razones que llevaron a los jueces provinciales a revocar la sentencia subida en grado y aceptar la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 xml:space="preserve">n. Finalmente, no es </w:t>
      </w:r>
      <w:r>
        <w:rPr>
          <w:spacing w:val="-5"/>
          <w:sz w:val="18"/>
          <w:szCs w:val="18"/>
          <w:lang w:val="es-ES_tradnl"/>
        </w:rPr>
        <w:t>comprensible, pues la redacci</w:t>
      </w:r>
      <w:r>
        <w:rPr>
          <w:rFonts w:cs="Times New Roman"/>
          <w:spacing w:val="-5"/>
          <w:sz w:val="18"/>
          <w:szCs w:val="18"/>
          <w:lang w:val="es-ES_tradnl"/>
        </w:rPr>
        <w:t>ó</w:t>
      </w:r>
      <w:r>
        <w:rPr>
          <w:spacing w:val="-5"/>
          <w:sz w:val="18"/>
          <w:szCs w:val="18"/>
          <w:lang w:val="es-ES_tradnl"/>
        </w:rPr>
        <w:t xml:space="preserve">n realizada por los jueces </w:t>
      </w:r>
      <w:r>
        <w:rPr>
          <w:spacing w:val="-3"/>
          <w:sz w:val="18"/>
          <w:szCs w:val="18"/>
          <w:lang w:val="es-ES_tradnl"/>
        </w:rPr>
        <w:t>no ha sido clara, siendo incomprensible su resoluci</w:t>
      </w:r>
      <w:r>
        <w:rPr>
          <w:rFonts w:cs="Times New Roman"/>
          <w:spacing w:val="-3"/>
          <w:sz w:val="18"/>
          <w:szCs w:val="18"/>
          <w:lang w:val="es-ES_tradnl"/>
        </w:rPr>
        <w:t>ó</w:t>
      </w:r>
      <w:r>
        <w:rPr>
          <w:spacing w:val="-3"/>
          <w:sz w:val="18"/>
          <w:szCs w:val="18"/>
          <w:lang w:val="es-ES_tradnl"/>
        </w:rPr>
        <w:t xml:space="preserve">n, </w:t>
      </w:r>
      <w:r>
        <w:rPr>
          <w:spacing w:val="-6"/>
          <w:sz w:val="18"/>
          <w:szCs w:val="18"/>
          <w:lang w:val="es-ES_tradnl"/>
        </w:rPr>
        <w:t>por lo que la decisi</w:t>
      </w:r>
      <w:r>
        <w:rPr>
          <w:rFonts w:cs="Times New Roman"/>
          <w:spacing w:val="-6"/>
          <w:sz w:val="18"/>
          <w:szCs w:val="18"/>
          <w:lang w:val="es-ES_tradnl"/>
        </w:rPr>
        <w:t>ó</w:t>
      </w:r>
      <w:r>
        <w:rPr>
          <w:spacing w:val="-6"/>
          <w:sz w:val="18"/>
          <w:szCs w:val="18"/>
          <w:lang w:val="es-ES_tradnl"/>
        </w:rPr>
        <w:t xml:space="preserve">n impugnada al no cumplir con estos </w:t>
      </w:r>
      <w:r>
        <w:rPr>
          <w:spacing w:val="-8"/>
          <w:sz w:val="18"/>
          <w:szCs w:val="18"/>
          <w:lang w:val="es-ES_tradnl"/>
        </w:rPr>
        <w:t>requisitos no se encuentra debidamente motivada.</w:t>
      </w:r>
    </w:p>
    <w:p w14:paraId="4F67B491" w14:textId="77777777" w:rsidR="00591D54" w:rsidRDefault="00591D54">
      <w:pPr>
        <w:shd w:val="clear" w:color="auto" w:fill="FFFFFF"/>
        <w:spacing w:before="192" w:line="216" w:lineRule="exact"/>
        <w:jc w:val="both"/>
      </w:pPr>
      <w:r>
        <w:rPr>
          <w:spacing w:val="-5"/>
          <w:sz w:val="18"/>
          <w:szCs w:val="18"/>
          <w:lang w:val="es-ES_tradnl"/>
        </w:rPr>
        <w:t xml:space="preserve">Esta Corte Constitucional en el efectivo uso de sus </w:t>
      </w:r>
      <w:r>
        <w:rPr>
          <w:sz w:val="18"/>
          <w:szCs w:val="18"/>
          <w:lang w:val="es-ES_tradnl"/>
        </w:rPr>
        <w:t>competencias y facultades como m</w:t>
      </w:r>
      <w:r>
        <w:rPr>
          <w:rFonts w:cs="Times New Roman"/>
          <w:sz w:val="18"/>
          <w:szCs w:val="18"/>
          <w:lang w:val="es-ES_tradnl"/>
        </w:rPr>
        <w:t>á</w:t>
      </w:r>
      <w:r>
        <w:rPr>
          <w:sz w:val="18"/>
          <w:szCs w:val="18"/>
          <w:lang w:val="es-ES_tradnl"/>
        </w:rPr>
        <w:t>ximo organismo de interpretaci</w:t>
      </w:r>
      <w:r>
        <w:rPr>
          <w:rFonts w:cs="Times New Roman"/>
          <w:sz w:val="18"/>
          <w:szCs w:val="18"/>
          <w:lang w:val="es-ES_tradnl"/>
        </w:rPr>
        <w:t>ó</w:t>
      </w:r>
      <w:r>
        <w:rPr>
          <w:sz w:val="18"/>
          <w:szCs w:val="18"/>
          <w:lang w:val="es-ES_tradnl"/>
        </w:rPr>
        <w:t>n constitucional y de administraci</w:t>
      </w:r>
      <w:r>
        <w:rPr>
          <w:rFonts w:cs="Times New Roman"/>
          <w:sz w:val="18"/>
          <w:szCs w:val="18"/>
          <w:lang w:val="es-ES_tradnl"/>
        </w:rPr>
        <w:t>ó</w:t>
      </w:r>
      <w:r>
        <w:rPr>
          <w:sz w:val="18"/>
          <w:szCs w:val="18"/>
          <w:lang w:val="es-ES_tradnl"/>
        </w:rPr>
        <w:t xml:space="preserve">n </w:t>
      </w:r>
      <w:r>
        <w:rPr>
          <w:spacing w:val="-5"/>
          <w:sz w:val="18"/>
          <w:szCs w:val="18"/>
          <w:lang w:val="es-ES_tradnl"/>
        </w:rPr>
        <w:t>de justicia, encuentra que la decisi</w:t>
      </w:r>
      <w:r>
        <w:rPr>
          <w:rFonts w:cs="Times New Roman"/>
          <w:spacing w:val="-5"/>
          <w:sz w:val="18"/>
          <w:szCs w:val="18"/>
          <w:lang w:val="es-ES_tradnl"/>
        </w:rPr>
        <w:t>ó</w:t>
      </w:r>
      <w:r>
        <w:rPr>
          <w:spacing w:val="-5"/>
          <w:sz w:val="18"/>
          <w:szCs w:val="18"/>
          <w:lang w:val="es-ES_tradnl"/>
        </w:rPr>
        <w:t xml:space="preserve">n judicial recurrida </w:t>
      </w:r>
      <w:r>
        <w:rPr>
          <w:spacing w:val="-8"/>
          <w:sz w:val="18"/>
          <w:szCs w:val="18"/>
          <w:lang w:val="es-ES_tradnl"/>
        </w:rPr>
        <w:t>mediante la acci</w:t>
      </w:r>
      <w:r>
        <w:rPr>
          <w:rFonts w:cs="Times New Roman"/>
          <w:spacing w:val="-8"/>
          <w:sz w:val="18"/>
          <w:szCs w:val="18"/>
          <w:lang w:val="es-ES_tradnl"/>
        </w:rPr>
        <w:t>ó</w:t>
      </w:r>
      <w:r>
        <w:rPr>
          <w:spacing w:val="-8"/>
          <w:sz w:val="18"/>
          <w:szCs w:val="18"/>
          <w:lang w:val="es-ES_tradnl"/>
        </w:rPr>
        <w:t>n extraordinaria de protecci</w:t>
      </w:r>
      <w:r>
        <w:rPr>
          <w:rFonts w:cs="Times New Roman"/>
          <w:spacing w:val="-8"/>
          <w:sz w:val="18"/>
          <w:szCs w:val="18"/>
          <w:lang w:val="es-ES_tradnl"/>
        </w:rPr>
        <w:t>ó</w:t>
      </w:r>
      <w:r>
        <w:rPr>
          <w:spacing w:val="-8"/>
          <w:sz w:val="18"/>
          <w:szCs w:val="18"/>
          <w:lang w:val="es-ES_tradnl"/>
        </w:rPr>
        <w:t xml:space="preserve">n interpuesta </w:t>
      </w:r>
      <w:r>
        <w:rPr>
          <w:spacing w:val="-6"/>
          <w:sz w:val="18"/>
          <w:szCs w:val="18"/>
          <w:lang w:val="es-ES_tradnl"/>
        </w:rPr>
        <w:t>por el abogado V</w:t>
      </w:r>
      <w:r>
        <w:rPr>
          <w:rFonts w:cs="Times New Roman"/>
          <w:spacing w:val="-6"/>
          <w:sz w:val="18"/>
          <w:szCs w:val="18"/>
          <w:lang w:val="es-ES_tradnl"/>
        </w:rPr>
        <w:t>í</w:t>
      </w:r>
      <w:r>
        <w:rPr>
          <w:spacing w:val="-6"/>
          <w:sz w:val="18"/>
          <w:szCs w:val="18"/>
          <w:lang w:val="es-ES_tradnl"/>
        </w:rPr>
        <w:t xml:space="preserve">ctor Manuel Anchundia Places en su </w:t>
      </w:r>
      <w:r>
        <w:rPr>
          <w:spacing w:val="-8"/>
          <w:sz w:val="18"/>
          <w:szCs w:val="18"/>
          <w:lang w:val="es-ES_tradnl"/>
        </w:rPr>
        <w:t>calidad de intendente de compa</w:t>
      </w:r>
      <w:r>
        <w:rPr>
          <w:rFonts w:cs="Times New Roman"/>
          <w:spacing w:val="-8"/>
          <w:sz w:val="18"/>
          <w:szCs w:val="18"/>
          <w:lang w:val="es-ES_tradnl"/>
        </w:rPr>
        <w:t>ñí</w:t>
      </w:r>
      <w:r>
        <w:rPr>
          <w:spacing w:val="-8"/>
          <w:sz w:val="18"/>
          <w:szCs w:val="18"/>
          <w:lang w:val="es-ES_tradnl"/>
        </w:rPr>
        <w:t xml:space="preserve">as de Guayaquil, vulnera </w:t>
      </w:r>
      <w:r>
        <w:rPr>
          <w:spacing w:val="-7"/>
          <w:sz w:val="18"/>
          <w:szCs w:val="18"/>
          <w:lang w:val="es-ES_tradnl"/>
        </w:rPr>
        <w:t>el derecho constitucional al debido proceso en la garant</w:t>
      </w:r>
      <w:r>
        <w:rPr>
          <w:rFonts w:cs="Times New Roman"/>
          <w:spacing w:val="-7"/>
          <w:sz w:val="18"/>
          <w:szCs w:val="18"/>
          <w:lang w:val="es-ES_tradnl"/>
        </w:rPr>
        <w:t>í</w:t>
      </w:r>
      <w:r>
        <w:rPr>
          <w:spacing w:val="-7"/>
          <w:sz w:val="18"/>
          <w:szCs w:val="18"/>
          <w:lang w:val="es-ES_tradnl"/>
        </w:rPr>
        <w:t xml:space="preserve">a </w:t>
      </w:r>
      <w:r>
        <w:rPr>
          <w:sz w:val="18"/>
          <w:szCs w:val="18"/>
          <w:lang w:val="es-ES_tradnl"/>
        </w:rPr>
        <w:t>de la motivaci</w:t>
      </w:r>
      <w:r>
        <w:rPr>
          <w:rFonts w:cs="Times New Roman"/>
          <w:sz w:val="18"/>
          <w:szCs w:val="18"/>
          <w:lang w:val="es-ES_tradnl"/>
        </w:rPr>
        <w:t>ó</w:t>
      </w:r>
      <w:r>
        <w:rPr>
          <w:sz w:val="18"/>
          <w:szCs w:val="18"/>
          <w:lang w:val="es-ES_tradnl"/>
        </w:rPr>
        <w:t>n.</w:t>
      </w:r>
    </w:p>
    <w:p w14:paraId="4F67B492" w14:textId="77777777" w:rsidR="00591D54" w:rsidRDefault="00591D54">
      <w:pPr>
        <w:shd w:val="clear" w:color="auto" w:fill="FFFFFF"/>
        <w:spacing w:before="192"/>
      </w:pPr>
      <w:r>
        <w:rPr>
          <w:b/>
          <w:bCs/>
          <w:spacing w:val="-11"/>
          <w:sz w:val="18"/>
          <w:szCs w:val="18"/>
          <w:lang w:val="es-ES_tradnl"/>
        </w:rPr>
        <w:t>Otras consideraciones</w:t>
      </w:r>
    </w:p>
    <w:p w14:paraId="4F67B493" w14:textId="77777777" w:rsidR="00591D54" w:rsidRDefault="00591D54">
      <w:pPr>
        <w:shd w:val="clear" w:color="auto" w:fill="FFFFFF"/>
        <w:spacing w:before="192" w:line="216" w:lineRule="exact"/>
        <w:jc w:val="both"/>
      </w:pPr>
      <w:r>
        <w:rPr>
          <w:spacing w:val="-8"/>
          <w:sz w:val="18"/>
          <w:szCs w:val="18"/>
          <w:lang w:val="es-ES_tradnl"/>
        </w:rPr>
        <w:t xml:space="preserve">Para complementar el presente estudio, este Organismo </w:t>
      </w:r>
      <w:r>
        <w:rPr>
          <w:spacing w:val="-6"/>
          <w:sz w:val="18"/>
          <w:szCs w:val="18"/>
          <w:lang w:val="es-ES_tradnl"/>
        </w:rPr>
        <w:t>considera pertinente referirse a la resoluci</w:t>
      </w:r>
      <w:r>
        <w:rPr>
          <w:rFonts w:cs="Times New Roman"/>
          <w:spacing w:val="-6"/>
          <w:sz w:val="18"/>
          <w:szCs w:val="18"/>
          <w:lang w:val="es-ES_tradnl"/>
        </w:rPr>
        <w:t>ó</w:t>
      </w:r>
      <w:r>
        <w:rPr>
          <w:spacing w:val="-6"/>
          <w:sz w:val="18"/>
          <w:szCs w:val="18"/>
          <w:lang w:val="es-ES_tradnl"/>
        </w:rPr>
        <w:t xml:space="preserve">n anterior a la </w:t>
      </w:r>
      <w:r>
        <w:rPr>
          <w:spacing w:val="-8"/>
          <w:sz w:val="18"/>
          <w:szCs w:val="18"/>
          <w:lang w:val="es-ES_tradnl"/>
        </w:rPr>
        <w:t xml:space="preserve">impugnada, esto es, la sentencia emitida el 21 de junio de </w:t>
      </w:r>
      <w:r>
        <w:rPr>
          <w:spacing w:val="-4"/>
          <w:sz w:val="18"/>
          <w:szCs w:val="18"/>
          <w:lang w:val="es-ES_tradnl"/>
        </w:rPr>
        <w:t>2011, por el juez vig</w:t>
      </w:r>
      <w:r>
        <w:rPr>
          <w:rFonts w:cs="Times New Roman"/>
          <w:spacing w:val="-4"/>
          <w:sz w:val="18"/>
          <w:szCs w:val="18"/>
          <w:lang w:val="es-ES_tradnl"/>
        </w:rPr>
        <w:t>é</w:t>
      </w:r>
      <w:r>
        <w:rPr>
          <w:spacing w:val="-4"/>
          <w:sz w:val="18"/>
          <w:szCs w:val="18"/>
          <w:lang w:val="es-ES_tradnl"/>
        </w:rPr>
        <w:t xml:space="preserve">simo tercero de lo civil del Guayas, a fin de conservar la vigencia y juridicidad de este fallo, </w:t>
      </w:r>
      <w:r>
        <w:rPr>
          <w:spacing w:val="-5"/>
          <w:sz w:val="18"/>
          <w:szCs w:val="18"/>
          <w:lang w:val="es-ES_tradnl"/>
        </w:rPr>
        <w:t>que resolvi</w:t>
      </w:r>
      <w:r>
        <w:rPr>
          <w:rFonts w:cs="Times New Roman"/>
          <w:spacing w:val="-5"/>
          <w:sz w:val="18"/>
          <w:szCs w:val="18"/>
          <w:lang w:val="es-ES_tradnl"/>
        </w:rPr>
        <w:t>ó</w:t>
      </w:r>
      <w:r>
        <w:rPr>
          <w:spacing w:val="-5"/>
          <w:sz w:val="18"/>
          <w:szCs w:val="18"/>
          <w:lang w:val="es-ES_tradnl"/>
        </w:rPr>
        <w:t xml:space="preserve"> negar la acci</w:t>
      </w:r>
      <w:r>
        <w:rPr>
          <w:rFonts w:cs="Times New Roman"/>
          <w:spacing w:val="-5"/>
          <w:sz w:val="18"/>
          <w:szCs w:val="18"/>
          <w:lang w:val="es-ES_tradnl"/>
        </w:rPr>
        <w:t>ó</w:t>
      </w:r>
      <w:r>
        <w:rPr>
          <w:spacing w:val="-5"/>
          <w:sz w:val="18"/>
          <w:szCs w:val="18"/>
          <w:lang w:val="es-ES_tradnl"/>
        </w:rPr>
        <w:t>n de protecci</w:t>
      </w:r>
      <w:r>
        <w:rPr>
          <w:rFonts w:cs="Times New Roman"/>
          <w:spacing w:val="-5"/>
          <w:sz w:val="18"/>
          <w:szCs w:val="18"/>
          <w:lang w:val="es-ES_tradnl"/>
        </w:rPr>
        <w:t>ó</w:t>
      </w:r>
      <w:r>
        <w:rPr>
          <w:spacing w:val="-5"/>
          <w:sz w:val="18"/>
          <w:szCs w:val="18"/>
          <w:lang w:val="es-ES_tradnl"/>
        </w:rPr>
        <w:t xml:space="preserve">n planteada por </w:t>
      </w:r>
      <w:r>
        <w:rPr>
          <w:spacing w:val="-4"/>
          <w:sz w:val="18"/>
          <w:szCs w:val="18"/>
          <w:lang w:val="es-ES_tradnl"/>
        </w:rPr>
        <w:t>la se</w:t>
      </w:r>
      <w:r>
        <w:rPr>
          <w:rFonts w:cs="Times New Roman"/>
          <w:spacing w:val="-4"/>
          <w:sz w:val="18"/>
          <w:szCs w:val="18"/>
          <w:lang w:val="es-ES_tradnl"/>
        </w:rPr>
        <w:t>ñ</w:t>
      </w:r>
      <w:r>
        <w:rPr>
          <w:spacing w:val="-4"/>
          <w:sz w:val="18"/>
          <w:szCs w:val="18"/>
          <w:lang w:val="es-ES_tradnl"/>
        </w:rPr>
        <w:t>ora Blanca Cordero Hern</w:t>
      </w:r>
      <w:r>
        <w:rPr>
          <w:rFonts w:cs="Times New Roman"/>
          <w:spacing w:val="-4"/>
          <w:sz w:val="18"/>
          <w:szCs w:val="18"/>
          <w:lang w:val="es-ES_tradnl"/>
        </w:rPr>
        <w:t>á</w:t>
      </w:r>
      <w:r>
        <w:rPr>
          <w:spacing w:val="-4"/>
          <w:sz w:val="18"/>
          <w:szCs w:val="18"/>
          <w:lang w:val="es-ES_tradnl"/>
        </w:rPr>
        <w:t xml:space="preserve">ndez, por los derechos </w:t>
      </w:r>
      <w:r>
        <w:rPr>
          <w:spacing w:val="-8"/>
          <w:sz w:val="18"/>
          <w:szCs w:val="18"/>
          <w:lang w:val="es-ES_tradnl"/>
        </w:rPr>
        <w:t>que representa de la compa</w:t>
      </w:r>
      <w:r>
        <w:rPr>
          <w:rFonts w:cs="Times New Roman"/>
          <w:spacing w:val="-8"/>
          <w:sz w:val="18"/>
          <w:szCs w:val="18"/>
          <w:lang w:val="es-ES_tradnl"/>
        </w:rPr>
        <w:t>ñí</w:t>
      </w:r>
      <w:r>
        <w:rPr>
          <w:spacing w:val="-8"/>
          <w:sz w:val="18"/>
          <w:szCs w:val="18"/>
          <w:lang w:val="es-ES_tradnl"/>
        </w:rPr>
        <w:t xml:space="preserve">a Piscinas del Ecuador S. A. </w:t>
      </w:r>
      <w:r>
        <w:rPr>
          <w:spacing w:val="-5"/>
          <w:sz w:val="18"/>
          <w:szCs w:val="18"/>
          <w:lang w:val="es-ES_tradnl"/>
        </w:rPr>
        <w:t>(PIDESA), toda vez que el mencionado juez argument</w:t>
      </w:r>
      <w:r>
        <w:rPr>
          <w:rFonts w:cs="Times New Roman"/>
          <w:spacing w:val="-5"/>
          <w:sz w:val="18"/>
          <w:szCs w:val="18"/>
          <w:lang w:val="es-ES_tradnl"/>
        </w:rPr>
        <w:t>ó</w:t>
      </w:r>
      <w:r>
        <w:rPr>
          <w:spacing w:val="-5"/>
          <w:sz w:val="18"/>
          <w:szCs w:val="18"/>
          <w:lang w:val="es-ES_tradnl"/>
        </w:rPr>
        <w:t xml:space="preserve">, </w:t>
      </w:r>
      <w:r>
        <w:rPr>
          <w:spacing w:val="-8"/>
          <w:sz w:val="18"/>
          <w:szCs w:val="18"/>
          <w:lang w:val="es-ES_tradnl"/>
        </w:rPr>
        <w:t xml:space="preserve">en base a la sentencia expedida el 18 de febrero de 2011, </w:t>
      </w:r>
      <w:r>
        <w:rPr>
          <w:spacing w:val="-7"/>
          <w:sz w:val="18"/>
          <w:szCs w:val="18"/>
          <w:lang w:val="es-ES_tradnl"/>
        </w:rPr>
        <w:t>por el juez d</w:t>
      </w:r>
      <w:r>
        <w:rPr>
          <w:rFonts w:cs="Times New Roman"/>
          <w:spacing w:val="-7"/>
          <w:sz w:val="18"/>
          <w:szCs w:val="18"/>
          <w:lang w:val="es-ES_tradnl"/>
        </w:rPr>
        <w:t>é</w:t>
      </w:r>
      <w:r>
        <w:rPr>
          <w:spacing w:val="-7"/>
          <w:sz w:val="18"/>
          <w:szCs w:val="18"/>
          <w:lang w:val="es-ES_tradnl"/>
        </w:rPr>
        <w:t>cimo segundo de la ni</w:t>
      </w:r>
      <w:r>
        <w:rPr>
          <w:rFonts w:cs="Times New Roman"/>
          <w:spacing w:val="-7"/>
          <w:sz w:val="18"/>
          <w:szCs w:val="18"/>
          <w:lang w:val="es-ES_tradnl"/>
        </w:rPr>
        <w:t>ñ</w:t>
      </w:r>
      <w:r>
        <w:rPr>
          <w:spacing w:val="-7"/>
          <w:sz w:val="18"/>
          <w:szCs w:val="18"/>
          <w:lang w:val="es-ES_tradnl"/>
        </w:rPr>
        <w:t>ez y adolescencia del</w:t>
      </w:r>
    </w:p>
    <w:p w14:paraId="4F67B494" w14:textId="77777777" w:rsidR="00591D54" w:rsidRDefault="00591D54">
      <w:pPr>
        <w:shd w:val="clear" w:color="auto" w:fill="FFFFFF"/>
        <w:spacing w:before="192" w:line="216" w:lineRule="exact"/>
        <w:jc w:val="both"/>
        <w:sectPr w:rsidR="00591D54">
          <w:type w:val="continuous"/>
          <w:pgSz w:w="11909" w:h="16834"/>
          <w:pgMar w:top="1366" w:right="1309" w:bottom="360" w:left="1308" w:header="720" w:footer="720" w:gutter="0"/>
          <w:cols w:num="2" w:space="720" w:equalWidth="0">
            <w:col w:w="4305" w:space="682"/>
            <w:col w:w="4305"/>
          </w:cols>
          <w:noEndnote/>
        </w:sectPr>
      </w:pPr>
    </w:p>
    <w:p w14:paraId="4F67B495" w14:textId="77777777" w:rsidR="00591D54" w:rsidRDefault="00591D54">
      <w:pPr>
        <w:shd w:val="clear" w:color="auto" w:fill="FFFFFF"/>
        <w:tabs>
          <w:tab w:val="left" w:pos="4814"/>
        </w:tabs>
        <w:spacing w:after="235"/>
        <w:ind w:left="5"/>
      </w:pPr>
      <w:r>
        <w:rPr>
          <w:b/>
          <w:bCs/>
          <w:sz w:val="18"/>
          <w:szCs w:val="18"/>
          <w:lang w:val="es-ES_tradnl"/>
        </w:rPr>
        <w:t xml:space="preserve">210 -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496" w14:textId="77777777" w:rsidR="00591D54" w:rsidRDefault="00591D54">
      <w:pPr>
        <w:shd w:val="clear" w:color="auto" w:fill="FFFFFF"/>
        <w:tabs>
          <w:tab w:val="left" w:pos="4814"/>
        </w:tabs>
        <w:spacing w:after="235"/>
        <w:ind w:left="5"/>
        <w:sectPr w:rsidR="00591D54">
          <w:pgSz w:w="11909" w:h="16834"/>
          <w:pgMar w:top="1363" w:right="1309" w:bottom="360" w:left="1308" w:header="720" w:footer="720" w:gutter="0"/>
          <w:cols w:space="60"/>
          <w:noEndnote/>
        </w:sectPr>
      </w:pPr>
    </w:p>
    <w:p w14:paraId="4F67B497" w14:textId="77777777" w:rsidR="00591D54" w:rsidRDefault="00591D54">
      <w:pPr>
        <w:shd w:val="clear" w:color="auto" w:fill="FFFFFF"/>
        <w:spacing w:line="216" w:lineRule="exact"/>
        <w:jc w:val="both"/>
      </w:pPr>
      <w:r>
        <w:rPr>
          <w:spacing w:val="-7"/>
          <w:sz w:val="18"/>
          <w:szCs w:val="18"/>
          <w:lang w:val="es-ES_tradnl"/>
        </w:rPr>
        <w:t>Guayas, dentro de la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n N.</w:t>
      </w:r>
      <w:r>
        <w:rPr>
          <w:rFonts w:cs="Times New Roman"/>
          <w:spacing w:val="-7"/>
          <w:sz w:val="18"/>
          <w:szCs w:val="18"/>
          <w:lang w:val="es-ES_tradnl"/>
        </w:rPr>
        <w:t>º</w:t>
      </w:r>
      <w:r>
        <w:rPr>
          <w:spacing w:val="-7"/>
          <w:sz w:val="18"/>
          <w:szCs w:val="18"/>
          <w:lang w:val="es-ES_tradnl"/>
        </w:rPr>
        <w:t xml:space="preserve"> 0083-2011, que dispuso que en el t</w:t>
      </w:r>
      <w:r>
        <w:rPr>
          <w:rFonts w:cs="Times New Roman"/>
          <w:spacing w:val="-7"/>
          <w:sz w:val="18"/>
          <w:szCs w:val="18"/>
          <w:lang w:val="es-ES_tradnl"/>
        </w:rPr>
        <w:t>é</w:t>
      </w:r>
      <w:r>
        <w:rPr>
          <w:spacing w:val="-7"/>
          <w:sz w:val="18"/>
          <w:szCs w:val="18"/>
          <w:lang w:val="es-ES_tradnl"/>
        </w:rPr>
        <w:t>rmino de diez d</w:t>
      </w:r>
      <w:r>
        <w:rPr>
          <w:rFonts w:cs="Times New Roman"/>
          <w:spacing w:val="-7"/>
          <w:sz w:val="18"/>
          <w:szCs w:val="18"/>
          <w:lang w:val="es-ES_tradnl"/>
        </w:rPr>
        <w:t>í</w:t>
      </w:r>
      <w:r>
        <w:rPr>
          <w:spacing w:val="-7"/>
          <w:sz w:val="18"/>
          <w:szCs w:val="18"/>
          <w:lang w:val="es-ES_tradnl"/>
        </w:rPr>
        <w:t>as se intervengan a las compa</w:t>
      </w:r>
      <w:r>
        <w:rPr>
          <w:rFonts w:cs="Times New Roman"/>
          <w:spacing w:val="-7"/>
          <w:sz w:val="18"/>
          <w:szCs w:val="18"/>
          <w:lang w:val="es-ES_tradnl"/>
        </w:rPr>
        <w:t>ñí</w:t>
      </w:r>
      <w:r>
        <w:rPr>
          <w:spacing w:val="-7"/>
          <w:sz w:val="18"/>
          <w:szCs w:val="18"/>
          <w:lang w:val="es-ES_tradnl"/>
        </w:rPr>
        <w:t xml:space="preserve">as que fueron de propiedad de Jorge Maura </w:t>
      </w:r>
      <w:r>
        <w:rPr>
          <w:spacing w:val="-5"/>
          <w:sz w:val="18"/>
          <w:szCs w:val="18"/>
          <w:lang w:val="es-ES_tradnl"/>
        </w:rPr>
        <w:t>Ru</w:t>
      </w:r>
      <w:r>
        <w:rPr>
          <w:rFonts w:cs="Times New Roman"/>
          <w:spacing w:val="-5"/>
          <w:sz w:val="18"/>
          <w:szCs w:val="18"/>
          <w:lang w:val="es-ES_tradnl"/>
        </w:rPr>
        <w:t>í</w:t>
      </w:r>
      <w:r>
        <w:rPr>
          <w:spacing w:val="-5"/>
          <w:sz w:val="18"/>
          <w:szCs w:val="18"/>
          <w:lang w:val="es-ES_tradnl"/>
        </w:rPr>
        <w:t xml:space="preserve">z y dar la correspondiente tutela a los derechos del </w:t>
      </w:r>
      <w:r>
        <w:rPr>
          <w:spacing w:val="-8"/>
          <w:sz w:val="18"/>
          <w:szCs w:val="18"/>
          <w:lang w:val="es-ES_tradnl"/>
        </w:rPr>
        <w:t xml:space="preserve">menor NN como heredero en las acciones y particiones de </w:t>
      </w:r>
      <w:r>
        <w:rPr>
          <w:spacing w:val="-9"/>
          <w:sz w:val="18"/>
          <w:szCs w:val="18"/>
          <w:lang w:val="es-ES_tradnl"/>
        </w:rPr>
        <w:t>las compa</w:t>
      </w:r>
      <w:r>
        <w:rPr>
          <w:rFonts w:cs="Times New Roman"/>
          <w:spacing w:val="-9"/>
          <w:sz w:val="18"/>
          <w:szCs w:val="18"/>
          <w:lang w:val="es-ES_tradnl"/>
        </w:rPr>
        <w:t>ñí</w:t>
      </w:r>
      <w:r>
        <w:rPr>
          <w:spacing w:val="-9"/>
          <w:sz w:val="18"/>
          <w:szCs w:val="18"/>
          <w:lang w:val="es-ES_tradnl"/>
        </w:rPr>
        <w:t xml:space="preserve">as de su difunto padre. Dicho sea de paso, este </w:t>
      </w:r>
      <w:r>
        <w:rPr>
          <w:spacing w:val="-3"/>
          <w:sz w:val="18"/>
          <w:szCs w:val="18"/>
          <w:lang w:val="es-ES_tradnl"/>
        </w:rPr>
        <w:t>fallo se ejecutori</w:t>
      </w:r>
      <w:r>
        <w:rPr>
          <w:rFonts w:cs="Times New Roman"/>
          <w:spacing w:val="-3"/>
          <w:sz w:val="18"/>
          <w:szCs w:val="18"/>
          <w:lang w:val="es-ES_tradnl"/>
        </w:rPr>
        <w:t>ó</w:t>
      </w:r>
      <w:r>
        <w:rPr>
          <w:spacing w:val="-3"/>
          <w:sz w:val="18"/>
          <w:szCs w:val="18"/>
          <w:lang w:val="es-ES_tradnl"/>
        </w:rPr>
        <w:t xml:space="preserve"> por el ministerio de la ley.</w:t>
      </w:r>
    </w:p>
    <w:p w14:paraId="4F67B498" w14:textId="77777777" w:rsidR="00591D54" w:rsidRDefault="00591D54">
      <w:pPr>
        <w:shd w:val="clear" w:color="auto" w:fill="FFFFFF"/>
        <w:spacing w:before="197" w:line="221" w:lineRule="exact"/>
        <w:jc w:val="both"/>
      </w:pPr>
      <w:r>
        <w:rPr>
          <w:spacing w:val="-8"/>
          <w:sz w:val="18"/>
          <w:szCs w:val="18"/>
          <w:lang w:val="es-ES_tradnl"/>
        </w:rPr>
        <w:t>Asimismo, examinada la referida resoluci</w:t>
      </w:r>
      <w:r>
        <w:rPr>
          <w:rFonts w:cs="Times New Roman"/>
          <w:spacing w:val="-8"/>
          <w:sz w:val="18"/>
          <w:szCs w:val="18"/>
          <w:lang w:val="es-ES_tradnl"/>
        </w:rPr>
        <w:t>ó</w:t>
      </w:r>
      <w:r>
        <w:rPr>
          <w:spacing w:val="-8"/>
          <w:sz w:val="18"/>
          <w:szCs w:val="18"/>
          <w:lang w:val="es-ES_tradnl"/>
        </w:rPr>
        <w:t xml:space="preserve">n, se desprende </w:t>
      </w:r>
      <w:r>
        <w:rPr>
          <w:spacing w:val="-6"/>
          <w:sz w:val="18"/>
          <w:szCs w:val="18"/>
          <w:lang w:val="es-ES_tradnl"/>
        </w:rPr>
        <w:t>que el juez vig</w:t>
      </w:r>
      <w:r>
        <w:rPr>
          <w:rFonts w:cs="Times New Roman"/>
          <w:spacing w:val="-6"/>
          <w:sz w:val="18"/>
          <w:szCs w:val="18"/>
          <w:lang w:val="es-ES_tradnl"/>
        </w:rPr>
        <w:t>é</w:t>
      </w:r>
      <w:r>
        <w:rPr>
          <w:spacing w:val="-6"/>
          <w:sz w:val="18"/>
          <w:szCs w:val="18"/>
          <w:lang w:val="es-ES_tradnl"/>
        </w:rPr>
        <w:t>simo tercero de lo civil del Guayas motiv</w:t>
      </w:r>
      <w:r>
        <w:rPr>
          <w:rFonts w:cs="Times New Roman"/>
          <w:spacing w:val="-6"/>
          <w:sz w:val="18"/>
          <w:szCs w:val="18"/>
          <w:lang w:val="es-ES_tradnl"/>
        </w:rPr>
        <w:t xml:space="preserve">ó </w:t>
      </w:r>
      <w:r>
        <w:rPr>
          <w:spacing w:val="-3"/>
          <w:sz w:val="18"/>
          <w:szCs w:val="18"/>
          <w:lang w:val="es-ES_tradnl"/>
        </w:rPr>
        <w:t>su decisi</w:t>
      </w:r>
      <w:r>
        <w:rPr>
          <w:rFonts w:cs="Times New Roman"/>
          <w:spacing w:val="-3"/>
          <w:sz w:val="18"/>
          <w:szCs w:val="18"/>
          <w:lang w:val="es-ES_tradnl"/>
        </w:rPr>
        <w:t>ó</w:t>
      </w:r>
      <w:r>
        <w:rPr>
          <w:spacing w:val="-3"/>
          <w:sz w:val="18"/>
          <w:szCs w:val="18"/>
          <w:lang w:val="es-ES_tradnl"/>
        </w:rPr>
        <w:t>n en el art</w:t>
      </w:r>
      <w:r>
        <w:rPr>
          <w:rFonts w:cs="Times New Roman"/>
          <w:spacing w:val="-3"/>
          <w:sz w:val="18"/>
          <w:szCs w:val="18"/>
          <w:lang w:val="es-ES_tradnl"/>
        </w:rPr>
        <w:t>í</w:t>
      </w:r>
      <w:r>
        <w:rPr>
          <w:spacing w:val="-3"/>
          <w:sz w:val="18"/>
          <w:szCs w:val="18"/>
          <w:lang w:val="es-ES_tradnl"/>
        </w:rPr>
        <w:t>culo 354 de la Ley de Compa</w:t>
      </w:r>
      <w:r>
        <w:rPr>
          <w:rFonts w:cs="Times New Roman"/>
          <w:spacing w:val="-3"/>
          <w:sz w:val="18"/>
          <w:szCs w:val="18"/>
          <w:lang w:val="es-ES_tradnl"/>
        </w:rPr>
        <w:t>ñí</w:t>
      </w:r>
      <w:r>
        <w:rPr>
          <w:spacing w:val="-3"/>
          <w:sz w:val="18"/>
          <w:szCs w:val="18"/>
          <w:lang w:val="es-ES_tradnl"/>
        </w:rPr>
        <w:t xml:space="preserve">as, </w:t>
      </w:r>
      <w:r>
        <w:rPr>
          <w:spacing w:val="-4"/>
          <w:sz w:val="18"/>
          <w:szCs w:val="18"/>
          <w:lang w:val="es-ES_tradnl"/>
        </w:rPr>
        <w:t>la misma que faculta que una compa</w:t>
      </w:r>
      <w:r>
        <w:rPr>
          <w:rFonts w:cs="Times New Roman"/>
          <w:spacing w:val="-4"/>
          <w:sz w:val="18"/>
          <w:szCs w:val="18"/>
          <w:lang w:val="es-ES_tradnl"/>
        </w:rPr>
        <w:t>ñí</w:t>
      </w:r>
      <w:r>
        <w:rPr>
          <w:spacing w:val="-4"/>
          <w:sz w:val="18"/>
          <w:szCs w:val="18"/>
          <w:lang w:val="es-ES_tradnl"/>
        </w:rPr>
        <w:t xml:space="preserve">a pueda ser </w:t>
      </w:r>
      <w:r>
        <w:rPr>
          <w:spacing w:val="-2"/>
          <w:sz w:val="18"/>
          <w:szCs w:val="18"/>
          <w:lang w:val="es-ES_tradnl"/>
        </w:rPr>
        <w:t>intervenida, sin que ello signifique vulneraci</w:t>
      </w:r>
      <w:r>
        <w:rPr>
          <w:rFonts w:cs="Times New Roman"/>
          <w:spacing w:val="-2"/>
          <w:sz w:val="18"/>
          <w:szCs w:val="18"/>
          <w:lang w:val="es-ES_tradnl"/>
        </w:rPr>
        <w:t>ó</w:t>
      </w:r>
      <w:r>
        <w:rPr>
          <w:spacing w:val="-2"/>
          <w:sz w:val="18"/>
          <w:szCs w:val="18"/>
          <w:lang w:val="es-ES_tradnl"/>
        </w:rPr>
        <w:t xml:space="preserve">n alguna, </w:t>
      </w:r>
      <w:r>
        <w:rPr>
          <w:spacing w:val="-6"/>
          <w:sz w:val="18"/>
          <w:szCs w:val="18"/>
          <w:lang w:val="es-ES_tradnl"/>
        </w:rPr>
        <w:t>es decir, aplic</w:t>
      </w:r>
      <w:r>
        <w:rPr>
          <w:rFonts w:cs="Times New Roman"/>
          <w:spacing w:val="-6"/>
          <w:sz w:val="18"/>
          <w:szCs w:val="18"/>
          <w:lang w:val="es-ES_tradnl"/>
        </w:rPr>
        <w:t>ó</w:t>
      </w:r>
      <w:r>
        <w:rPr>
          <w:spacing w:val="-6"/>
          <w:sz w:val="18"/>
          <w:szCs w:val="18"/>
          <w:lang w:val="es-ES_tradnl"/>
        </w:rPr>
        <w:t xml:space="preserve"> las disposiciones jur</w:t>
      </w:r>
      <w:r>
        <w:rPr>
          <w:rFonts w:cs="Times New Roman"/>
          <w:spacing w:val="-6"/>
          <w:sz w:val="18"/>
          <w:szCs w:val="18"/>
          <w:lang w:val="es-ES_tradnl"/>
        </w:rPr>
        <w:t>í</w:t>
      </w:r>
      <w:r>
        <w:rPr>
          <w:spacing w:val="-6"/>
          <w:sz w:val="18"/>
          <w:szCs w:val="18"/>
          <w:lang w:val="es-ES_tradnl"/>
        </w:rPr>
        <w:t>dicas previas, claras, p</w:t>
      </w:r>
      <w:r>
        <w:rPr>
          <w:rFonts w:cs="Times New Roman"/>
          <w:spacing w:val="-6"/>
          <w:sz w:val="18"/>
          <w:szCs w:val="18"/>
          <w:lang w:val="es-ES_tradnl"/>
        </w:rPr>
        <w:t>ú</w:t>
      </w:r>
      <w:r>
        <w:rPr>
          <w:spacing w:val="-6"/>
          <w:sz w:val="18"/>
          <w:szCs w:val="18"/>
          <w:lang w:val="es-ES_tradnl"/>
        </w:rPr>
        <w:t xml:space="preserve">blicas y pertinentes al caso puesto en su conocimiento. </w:t>
      </w:r>
      <w:r>
        <w:rPr>
          <w:rFonts w:cs="Times New Roman"/>
          <w:spacing w:val="-2"/>
          <w:sz w:val="18"/>
          <w:szCs w:val="18"/>
          <w:lang w:val="es-ES_tradnl"/>
        </w:rPr>
        <w:t>“</w:t>
      </w:r>
      <w:r>
        <w:rPr>
          <w:spacing w:val="-2"/>
          <w:sz w:val="18"/>
          <w:szCs w:val="18"/>
          <w:lang w:val="es-ES_tradnl"/>
        </w:rPr>
        <w:t>Considerando NOVENO</w:t>
      </w:r>
      <w:r>
        <w:rPr>
          <w:rFonts w:cs="Times New Roman"/>
          <w:spacing w:val="-2"/>
          <w:sz w:val="18"/>
          <w:szCs w:val="18"/>
          <w:lang w:val="es-ES_tradnl"/>
        </w:rPr>
        <w:t>”</w:t>
      </w:r>
      <w:r>
        <w:rPr>
          <w:spacing w:val="-2"/>
          <w:sz w:val="18"/>
          <w:szCs w:val="18"/>
          <w:lang w:val="es-ES_tradnl"/>
        </w:rPr>
        <w:t xml:space="preserve">, fallo </w:t>
      </w:r>
      <w:r>
        <w:rPr>
          <w:i/>
          <w:iCs/>
          <w:spacing w:val="-2"/>
          <w:sz w:val="18"/>
          <w:szCs w:val="18"/>
          <w:lang w:val="es-ES_tradnl"/>
        </w:rPr>
        <w:t>ut supra.</w:t>
      </w:r>
    </w:p>
    <w:p w14:paraId="4F67B499" w14:textId="77777777" w:rsidR="00591D54" w:rsidRDefault="00591D54">
      <w:pPr>
        <w:shd w:val="clear" w:color="auto" w:fill="FFFFFF"/>
        <w:spacing w:before="202" w:line="216" w:lineRule="exact"/>
        <w:jc w:val="both"/>
      </w:pPr>
      <w:r>
        <w:rPr>
          <w:spacing w:val="-5"/>
          <w:sz w:val="18"/>
          <w:szCs w:val="18"/>
          <w:lang w:val="es-ES_tradnl"/>
        </w:rPr>
        <w:t>En consecuencia, de conformidad al sustento jur</w:t>
      </w:r>
      <w:r>
        <w:rPr>
          <w:rFonts w:cs="Times New Roman"/>
          <w:spacing w:val="-5"/>
          <w:sz w:val="18"/>
          <w:szCs w:val="18"/>
          <w:lang w:val="es-ES_tradnl"/>
        </w:rPr>
        <w:t>í</w:t>
      </w:r>
      <w:r>
        <w:rPr>
          <w:spacing w:val="-5"/>
          <w:sz w:val="18"/>
          <w:szCs w:val="18"/>
          <w:lang w:val="es-ES_tradnl"/>
        </w:rPr>
        <w:t>dico expuesto, se procedi</w:t>
      </w:r>
      <w:r>
        <w:rPr>
          <w:rFonts w:cs="Times New Roman"/>
          <w:spacing w:val="-5"/>
          <w:sz w:val="18"/>
          <w:szCs w:val="18"/>
          <w:lang w:val="es-ES_tradnl"/>
        </w:rPr>
        <w:t>ó</w:t>
      </w:r>
      <w:r>
        <w:rPr>
          <w:spacing w:val="-5"/>
          <w:sz w:val="18"/>
          <w:szCs w:val="18"/>
          <w:lang w:val="es-ES_tradnl"/>
        </w:rPr>
        <w:t xml:space="preserve"> a negar la acci</w:t>
      </w:r>
      <w:r>
        <w:rPr>
          <w:rFonts w:cs="Times New Roman"/>
          <w:spacing w:val="-5"/>
          <w:sz w:val="18"/>
          <w:szCs w:val="18"/>
          <w:lang w:val="es-ES_tradnl"/>
        </w:rPr>
        <w:t>ó</w:t>
      </w:r>
      <w:r>
        <w:rPr>
          <w:spacing w:val="-5"/>
          <w:sz w:val="18"/>
          <w:szCs w:val="18"/>
          <w:lang w:val="es-ES_tradnl"/>
        </w:rPr>
        <w:t>n de protecci</w:t>
      </w:r>
      <w:r>
        <w:rPr>
          <w:rFonts w:cs="Times New Roman"/>
          <w:spacing w:val="-5"/>
          <w:sz w:val="18"/>
          <w:szCs w:val="18"/>
          <w:lang w:val="es-ES_tradnl"/>
        </w:rPr>
        <w:t>ó</w:t>
      </w:r>
      <w:r>
        <w:rPr>
          <w:spacing w:val="-5"/>
          <w:sz w:val="18"/>
          <w:szCs w:val="18"/>
          <w:lang w:val="es-ES_tradnl"/>
        </w:rPr>
        <w:t xml:space="preserve">n </w:t>
      </w:r>
      <w:r>
        <w:rPr>
          <w:spacing w:val="-7"/>
          <w:sz w:val="18"/>
          <w:szCs w:val="18"/>
          <w:lang w:val="es-ES_tradnl"/>
        </w:rPr>
        <w:t>propuesta, por no cumplir con los art</w:t>
      </w:r>
      <w:r>
        <w:rPr>
          <w:rFonts w:cs="Times New Roman"/>
          <w:spacing w:val="-7"/>
          <w:sz w:val="18"/>
          <w:szCs w:val="18"/>
          <w:lang w:val="es-ES_tradnl"/>
        </w:rPr>
        <w:t>í</w:t>
      </w:r>
      <w:r>
        <w:rPr>
          <w:spacing w:val="-7"/>
          <w:sz w:val="18"/>
          <w:szCs w:val="18"/>
          <w:lang w:val="es-ES_tradnl"/>
        </w:rPr>
        <w:t>culos 40 numerales 1 y 2; 41 numeral 1 y 42 numerales 1 y 4 de la Ley Org</w:t>
      </w:r>
      <w:r>
        <w:rPr>
          <w:rFonts w:cs="Times New Roman"/>
          <w:spacing w:val="-7"/>
          <w:sz w:val="18"/>
          <w:szCs w:val="18"/>
          <w:lang w:val="es-ES_tradnl"/>
        </w:rPr>
        <w:t>á</w:t>
      </w:r>
      <w:r>
        <w:rPr>
          <w:spacing w:val="-7"/>
          <w:sz w:val="18"/>
          <w:szCs w:val="18"/>
          <w:lang w:val="es-ES_tradnl"/>
        </w:rPr>
        <w:t xml:space="preserve">nica </w:t>
      </w:r>
      <w:r>
        <w:rPr>
          <w:spacing w:val="-3"/>
          <w:sz w:val="18"/>
          <w:szCs w:val="18"/>
          <w:lang w:val="es-ES_tradnl"/>
        </w:rPr>
        <w:t>de Garant</w:t>
      </w:r>
      <w:r>
        <w:rPr>
          <w:rFonts w:cs="Times New Roman"/>
          <w:spacing w:val="-3"/>
          <w:sz w:val="18"/>
          <w:szCs w:val="18"/>
          <w:lang w:val="es-ES_tradnl"/>
        </w:rPr>
        <w:t>í</w:t>
      </w:r>
      <w:r>
        <w:rPr>
          <w:spacing w:val="-3"/>
          <w:sz w:val="18"/>
          <w:szCs w:val="18"/>
          <w:lang w:val="es-ES_tradnl"/>
        </w:rPr>
        <w:t xml:space="preserve">as Jurisdiccionales y Control Constitucional esta </w:t>
      </w:r>
      <w:r>
        <w:rPr>
          <w:rFonts w:cs="Times New Roman"/>
          <w:spacing w:val="-3"/>
          <w:sz w:val="18"/>
          <w:szCs w:val="18"/>
          <w:lang w:val="es-ES_tradnl"/>
        </w:rPr>
        <w:t>ú</w:t>
      </w:r>
      <w:r>
        <w:rPr>
          <w:spacing w:val="-3"/>
          <w:sz w:val="18"/>
          <w:szCs w:val="18"/>
          <w:lang w:val="es-ES_tradnl"/>
        </w:rPr>
        <w:t xml:space="preserve">ltima, que determina la improcedencia de esta </w:t>
      </w:r>
      <w:r>
        <w:rPr>
          <w:spacing w:val="-1"/>
          <w:sz w:val="18"/>
          <w:szCs w:val="18"/>
          <w:lang w:val="es-ES_tradnl"/>
        </w:rPr>
        <w:t>garant</w:t>
      </w:r>
      <w:r>
        <w:rPr>
          <w:rFonts w:cs="Times New Roman"/>
          <w:spacing w:val="-1"/>
          <w:sz w:val="18"/>
          <w:szCs w:val="18"/>
          <w:lang w:val="es-ES_tradnl"/>
        </w:rPr>
        <w:t>í</w:t>
      </w:r>
      <w:r>
        <w:rPr>
          <w:spacing w:val="-1"/>
          <w:sz w:val="18"/>
          <w:szCs w:val="18"/>
          <w:lang w:val="es-ES_tradnl"/>
        </w:rPr>
        <w:t xml:space="preserve">a jurisdiccional, cuando del acto administrativo </w:t>
      </w:r>
      <w:r>
        <w:rPr>
          <w:spacing w:val="-7"/>
          <w:sz w:val="18"/>
          <w:szCs w:val="18"/>
          <w:lang w:val="es-ES_tradnl"/>
        </w:rPr>
        <w:t>no se desprenda que exista una vulneraci</w:t>
      </w:r>
      <w:r>
        <w:rPr>
          <w:rFonts w:cs="Times New Roman"/>
          <w:spacing w:val="-7"/>
          <w:sz w:val="18"/>
          <w:szCs w:val="18"/>
          <w:lang w:val="es-ES_tradnl"/>
        </w:rPr>
        <w:t>ó</w:t>
      </w:r>
      <w:r>
        <w:rPr>
          <w:spacing w:val="-7"/>
          <w:sz w:val="18"/>
          <w:szCs w:val="18"/>
          <w:lang w:val="es-ES_tradnl"/>
        </w:rPr>
        <w:t xml:space="preserve">n de derechos </w:t>
      </w:r>
      <w:r>
        <w:rPr>
          <w:spacing w:val="-1"/>
          <w:sz w:val="18"/>
          <w:szCs w:val="18"/>
          <w:lang w:val="es-ES_tradnl"/>
        </w:rPr>
        <w:t xml:space="preserve">constitucionales y cuando esta puede ser impugnada </w:t>
      </w:r>
      <w:r>
        <w:rPr>
          <w:sz w:val="18"/>
          <w:szCs w:val="18"/>
          <w:lang w:val="es-ES_tradnl"/>
        </w:rPr>
        <w:t>por la v</w:t>
      </w:r>
      <w:r>
        <w:rPr>
          <w:rFonts w:cs="Times New Roman"/>
          <w:sz w:val="18"/>
          <w:szCs w:val="18"/>
          <w:lang w:val="es-ES_tradnl"/>
        </w:rPr>
        <w:t>í</w:t>
      </w:r>
      <w:r>
        <w:rPr>
          <w:sz w:val="18"/>
          <w:szCs w:val="18"/>
          <w:lang w:val="es-ES_tradnl"/>
        </w:rPr>
        <w:t>a judicial ordinaria puesto que, la resoluci</w:t>
      </w:r>
      <w:r>
        <w:rPr>
          <w:rFonts w:cs="Times New Roman"/>
          <w:sz w:val="18"/>
          <w:szCs w:val="18"/>
          <w:lang w:val="es-ES_tradnl"/>
        </w:rPr>
        <w:t>ó</w:t>
      </w:r>
      <w:r>
        <w:rPr>
          <w:sz w:val="18"/>
          <w:szCs w:val="18"/>
          <w:lang w:val="es-ES_tradnl"/>
        </w:rPr>
        <w:t xml:space="preserve">n </w:t>
      </w:r>
      <w:r>
        <w:rPr>
          <w:spacing w:val="-5"/>
          <w:sz w:val="18"/>
          <w:szCs w:val="18"/>
          <w:lang w:val="es-ES_tradnl"/>
        </w:rPr>
        <w:t>de la intervenci</w:t>
      </w:r>
      <w:r>
        <w:rPr>
          <w:rFonts w:cs="Times New Roman"/>
          <w:spacing w:val="-5"/>
          <w:sz w:val="18"/>
          <w:szCs w:val="18"/>
          <w:lang w:val="es-ES_tradnl"/>
        </w:rPr>
        <w:t>ó</w:t>
      </w:r>
      <w:r>
        <w:rPr>
          <w:spacing w:val="-5"/>
          <w:sz w:val="18"/>
          <w:szCs w:val="18"/>
          <w:lang w:val="es-ES_tradnl"/>
        </w:rPr>
        <w:t>n de la compa</w:t>
      </w:r>
      <w:r>
        <w:rPr>
          <w:rFonts w:cs="Times New Roman"/>
          <w:spacing w:val="-5"/>
          <w:sz w:val="18"/>
          <w:szCs w:val="18"/>
          <w:lang w:val="es-ES_tradnl"/>
        </w:rPr>
        <w:t>ñí</w:t>
      </w:r>
      <w:r>
        <w:rPr>
          <w:spacing w:val="-5"/>
          <w:sz w:val="18"/>
          <w:szCs w:val="18"/>
          <w:lang w:val="es-ES_tradnl"/>
        </w:rPr>
        <w:t xml:space="preserve">a dispuesta por la </w:t>
      </w:r>
      <w:r>
        <w:rPr>
          <w:spacing w:val="-6"/>
          <w:sz w:val="18"/>
          <w:szCs w:val="18"/>
          <w:lang w:val="es-ES_tradnl"/>
        </w:rPr>
        <w:t>Superintendencia de Compa</w:t>
      </w:r>
      <w:r>
        <w:rPr>
          <w:rFonts w:cs="Times New Roman"/>
          <w:spacing w:val="-6"/>
          <w:sz w:val="18"/>
          <w:szCs w:val="18"/>
          <w:lang w:val="es-ES_tradnl"/>
        </w:rPr>
        <w:t>ñí</w:t>
      </w:r>
      <w:r>
        <w:rPr>
          <w:spacing w:val="-6"/>
          <w:sz w:val="18"/>
          <w:szCs w:val="18"/>
          <w:lang w:val="es-ES_tradnl"/>
        </w:rPr>
        <w:t>as, es en atenci</w:t>
      </w:r>
      <w:r>
        <w:rPr>
          <w:rFonts w:cs="Times New Roman"/>
          <w:spacing w:val="-6"/>
          <w:sz w:val="18"/>
          <w:szCs w:val="18"/>
          <w:lang w:val="es-ES_tradnl"/>
        </w:rPr>
        <w:t>ó</w:t>
      </w:r>
      <w:r>
        <w:rPr>
          <w:spacing w:val="-6"/>
          <w:sz w:val="18"/>
          <w:szCs w:val="18"/>
          <w:lang w:val="es-ES_tradnl"/>
        </w:rPr>
        <w:t xml:space="preserve">n a la </w:t>
      </w:r>
      <w:r>
        <w:rPr>
          <w:spacing w:val="-5"/>
          <w:sz w:val="18"/>
          <w:szCs w:val="18"/>
          <w:lang w:val="es-ES_tradnl"/>
        </w:rPr>
        <w:t>ejecuci</w:t>
      </w:r>
      <w:r>
        <w:rPr>
          <w:rFonts w:cs="Times New Roman"/>
          <w:spacing w:val="-5"/>
          <w:sz w:val="18"/>
          <w:szCs w:val="18"/>
          <w:lang w:val="es-ES_tradnl"/>
        </w:rPr>
        <w:t>ó</w:t>
      </w:r>
      <w:r>
        <w:rPr>
          <w:spacing w:val="-5"/>
          <w:sz w:val="18"/>
          <w:szCs w:val="18"/>
          <w:lang w:val="es-ES_tradnl"/>
        </w:rPr>
        <w:t>n de la sentencia de acci</w:t>
      </w:r>
      <w:r>
        <w:rPr>
          <w:rFonts w:cs="Times New Roman"/>
          <w:spacing w:val="-5"/>
          <w:sz w:val="18"/>
          <w:szCs w:val="18"/>
          <w:lang w:val="es-ES_tradnl"/>
        </w:rPr>
        <w:t>ó</w:t>
      </w:r>
      <w:r>
        <w:rPr>
          <w:spacing w:val="-5"/>
          <w:sz w:val="18"/>
          <w:szCs w:val="18"/>
          <w:lang w:val="es-ES_tradnl"/>
        </w:rPr>
        <w:t>n de protecci</w:t>
      </w:r>
      <w:r>
        <w:rPr>
          <w:rFonts w:cs="Times New Roman"/>
          <w:spacing w:val="-5"/>
          <w:sz w:val="18"/>
          <w:szCs w:val="18"/>
          <w:lang w:val="es-ES_tradnl"/>
        </w:rPr>
        <w:t>ó</w:t>
      </w:r>
      <w:r>
        <w:rPr>
          <w:spacing w:val="-5"/>
          <w:sz w:val="18"/>
          <w:szCs w:val="18"/>
          <w:lang w:val="es-ES_tradnl"/>
        </w:rPr>
        <w:t xml:space="preserve">n por lo </w:t>
      </w:r>
      <w:r>
        <w:rPr>
          <w:spacing w:val="-4"/>
          <w:sz w:val="18"/>
          <w:szCs w:val="18"/>
          <w:lang w:val="es-ES_tradnl"/>
        </w:rPr>
        <w:t>cual, cumple con la seguridad jur</w:t>
      </w:r>
      <w:r>
        <w:rPr>
          <w:rFonts w:cs="Times New Roman"/>
          <w:spacing w:val="-4"/>
          <w:sz w:val="18"/>
          <w:szCs w:val="18"/>
          <w:lang w:val="es-ES_tradnl"/>
        </w:rPr>
        <w:t>í</w:t>
      </w:r>
      <w:r>
        <w:rPr>
          <w:spacing w:val="-4"/>
          <w:sz w:val="18"/>
          <w:szCs w:val="18"/>
          <w:lang w:val="es-ES_tradnl"/>
        </w:rPr>
        <w:t xml:space="preserve">dica, en tal virtud se </w:t>
      </w:r>
      <w:r>
        <w:rPr>
          <w:spacing w:val="-6"/>
          <w:sz w:val="18"/>
          <w:szCs w:val="18"/>
          <w:lang w:val="es-ES_tradnl"/>
        </w:rPr>
        <w:t xml:space="preserve">encuentra constitucionalmente motivada la misma, dentro </w:t>
      </w:r>
      <w:r>
        <w:rPr>
          <w:spacing w:val="-4"/>
          <w:sz w:val="18"/>
          <w:szCs w:val="18"/>
          <w:lang w:val="es-ES_tradnl"/>
        </w:rPr>
        <w:t>de los par</w:t>
      </w:r>
      <w:r>
        <w:rPr>
          <w:rFonts w:cs="Times New Roman"/>
          <w:spacing w:val="-4"/>
          <w:sz w:val="18"/>
          <w:szCs w:val="18"/>
          <w:lang w:val="es-ES_tradnl"/>
        </w:rPr>
        <w:t>á</w:t>
      </w:r>
      <w:r>
        <w:rPr>
          <w:spacing w:val="-4"/>
          <w:sz w:val="18"/>
          <w:szCs w:val="18"/>
          <w:lang w:val="es-ES_tradnl"/>
        </w:rPr>
        <w:t>metros previstos en el art</w:t>
      </w:r>
      <w:r>
        <w:rPr>
          <w:rFonts w:cs="Times New Roman"/>
          <w:spacing w:val="-4"/>
          <w:sz w:val="18"/>
          <w:szCs w:val="18"/>
          <w:lang w:val="es-ES_tradnl"/>
        </w:rPr>
        <w:t>í</w:t>
      </w:r>
      <w:r>
        <w:rPr>
          <w:spacing w:val="-4"/>
          <w:sz w:val="18"/>
          <w:szCs w:val="18"/>
          <w:lang w:val="es-ES_tradnl"/>
        </w:rPr>
        <w:t xml:space="preserve">culo 76 numeral 7 literal </w:t>
      </w:r>
      <w:r>
        <w:rPr>
          <w:b/>
          <w:bCs/>
          <w:spacing w:val="-4"/>
          <w:sz w:val="18"/>
          <w:szCs w:val="18"/>
          <w:lang w:val="es-ES_tradnl"/>
        </w:rPr>
        <w:t xml:space="preserve">l </w:t>
      </w:r>
      <w:r>
        <w:rPr>
          <w:spacing w:val="-4"/>
          <w:sz w:val="18"/>
          <w:szCs w:val="18"/>
          <w:lang w:val="es-ES_tradnl"/>
        </w:rPr>
        <w:t>de la Constituci</w:t>
      </w:r>
      <w:r>
        <w:rPr>
          <w:rFonts w:cs="Times New Roman"/>
          <w:spacing w:val="-4"/>
          <w:sz w:val="18"/>
          <w:szCs w:val="18"/>
          <w:lang w:val="es-ES_tradnl"/>
        </w:rPr>
        <w:t>ó</w:t>
      </w:r>
      <w:r>
        <w:rPr>
          <w:spacing w:val="-4"/>
          <w:sz w:val="18"/>
          <w:szCs w:val="18"/>
          <w:lang w:val="es-ES_tradnl"/>
        </w:rPr>
        <w:t>n de la Rep</w:t>
      </w:r>
      <w:r>
        <w:rPr>
          <w:rFonts w:cs="Times New Roman"/>
          <w:spacing w:val="-4"/>
          <w:sz w:val="18"/>
          <w:szCs w:val="18"/>
          <w:lang w:val="es-ES_tradnl"/>
        </w:rPr>
        <w:t>ú</w:t>
      </w:r>
      <w:r>
        <w:rPr>
          <w:spacing w:val="-4"/>
          <w:sz w:val="18"/>
          <w:szCs w:val="18"/>
          <w:lang w:val="es-ES_tradnl"/>
        </w:rPr>
        <w:t>blica del Ecuador.</w:t>
      </w:r>
    </w:p>
    <w:p w14:paraId="4F67B49A" w14:textId="77777777" w:rsidR="00591D54" w:rsidRDefault="00591D54">
      <w:pPr>
        <w:shd w:val="clear" w:color="auto" w:fill="FFFFFF"/>
        <w:spacing w:before="197"/>
        <w:ind w:right="5"/>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B49B" w14:textId="77777777" w:rsidR="00591D54" w:rsidRDefault="00591D54">
      <w:pPr>
        <w:shd w:val="clear" w:color="auto" w:fill="FFFFFF"/>
        <w:spacing w:before="197" w:line="221" w:lineRule="exact"/>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4"/>
          <w:sz w:val="18"/>
          <w:szCs w:val="18"/>
          <w:lang w:val="es-ES_tradnl"/>
        </w:rPr>
        <w:t>constitucional y por mandato de la Constituci</w:t>
      </w:r>
      <w:r>
        <w:rPr>
          <w:rFonts w:cs="Times New Roman"/>
          <w:spacing w:val="-4"/>
          <w:sz w:val="18"/>
          <w:szCs w:val="18"/>
          <w:lang w:val="es-ES_tradnl"/>
        </w:rPr>
        <w:t>ó</w:t>
      </w:r>
      <w:r>
        <w:rPr>
          <w:spacing w:val="-4"/>
          <w:sz w:val="18"/>
          <w:szCs w:val="18"/>
          <w:lang w:val="es-ES_tradnl"/>
        </w:rPr>
        <w:t xml:space="preserve">n de la </w:t>
      </w:r>
      <w:r>
        <w:rPr>
          <w:spacing w:val="-8"/>
          <w:sz w:val="18"/>
          <w:szCs w:val="18"/>
          <w:lang w:val="es-ES_tradnl"/>
        </w:rPr>
        <w:t>Rep</w:t>
      </w:r>
      <w:r>
        <w:rPr>
          <w:rFonts w:cs="Times New Roman"/>
          <w:spacing w:val="-8"/>
          <w:sz w:val="18"/>
          <w:szCs w:val="18"/>
          <w:lang w:val="es-ES_tradnl"/>
        </w:rPr>
        <w:t>ú</w:t>
      </w:r>
      <w:r>
        <w:rPr>
          <w:spacing w:val="-8"/>
          <w:sz w:val="18"/>
          <w:szCs w:val="18"/>
          <w:lang w:val="es-ES_tradnl"/>
        </w:rPr>
        <w:t xml:space="preserve">blica del Ecuador, el Pleno de la Corte Constitucional, </w:t>
      </w:r>
      <w:r>
        <w:rPr>
          <w:sz w:val="18"/>
          <w:szCs w:val="18"/>
          <w:lang w:val="es-ES_tradnl"/>
        </w:rPr>
        <w:t>expide la siguiente:</w:t>
      </w:r>
    </w:p>
    <w:p w14:paraId="4F67B49C" w14:textId="77777777" w:rsidR="00591D54" w:rsidRDefault="00591D54">
      <w:pPr>
        <w:shd w:val="clear" w:color="auto" w:fill="FFFFFF"/>
        <w:spacing w:before="197"/>
        <w:ind w:left="10"/>
        <w:jc w:val="center"/>
      </w:pPr>
      <w:r>
        <w:rPr>
          <w:b/>
          <w:bCs/>
          <w:sz w:val="18"/>
          <w:szCs w:val="18"/>
          <w:lang w:val="es-ES_tradnl"/>
        </w:rPr>
        <w:t>SENTENCIA</w:t>
      </w:r>
    </w:p>
    <w:p w14:paraId="4F67B49D" w14:textId="77777777" w:rsidR="00591D54" w:rsidRDefault="00591D54" w:rsidP="00251195">
      <w:pPr>
        <w:numPr>
          <w:ilvl w:val="0"/>
          <w:numId w:val="98"/>
        </w:numPr>
        <w:shd w:val="clear" w:color="auto" w:fill="FFFFFF"/>
        <w:tabs>
          <w:tab w:val="left" w:pos="566"/>
        </w:tabs>
        <w:spacing w:before="202" w:line="221" w:lineRule="exact"/>
        <w:ind w:left="566" w:hanging="283"/>
        <w:rPr>
          <w:spacing w:val="-9"/>
          <w:sz w:val="18"/>
          <w:szCs w:val="18"/>
          <w:lang w:val="es-ES_tradnl"/>
        </w:rPr>
      </w:pPr>
      <w:r>
        <w:rPr>
          <w:spacing w:val="-1"/>
          <w:sz w:val="18"/>
          <w:szCs w:val="18"/>
          <w:lang w:val="es-ES_tradnl"/>
        </w:rPr>
        <w:t xml:space="preserve">Declarar vulnerado el derecho constitucional al </w:t>
      </w:r>
      <w:r>
        <w:rPr>
          <w:spacing w:val="-6"/>
          <w:sz w:val="18"/>
          <w:szCs w:val="18"/>
          <w:lang w:val="es-ES_tradnl"/>
        </w:rPr>
        <w:t>debido proceso en la garant</w:t>
      </w:r>
      <w:r>
        <w:rPr>
          <w:rFonts w:cs="Times New Roman"/>
          <w:spacing w:val="-6"/>
          <w:sz w:val="18"/>
          <w:szCs w:val="18"/>
          <w:lang w:val="es-ES_tradnl"/>
        </w:rPr>
        <w:t>í</w:t>
      </w:r>
      <w:r>
        <w:rPr>
          <w:spacing w:val="-6"/>
          <w:sz w:val="18"/>
          <w:szCs w:val="18"/>
          <w:lang w:val="es-ES_tradnl"/>
        </w:rPr>
        <w:t>a de la motivaci</w:t>
      </w:r>
      <w:r>
        <w:rPr>
          <w:rFonts w:cs="Times New Roman"/>
          <w:spacing w:val="-6"/>
          <w:sz w:val="18"/>
          <w:szCs w:val="18"/>
          <w:lang w:val="es-ES_tradnl"/>
        </w:rPr>
        <w:t>ó</w:t>
      </w:r>
      <w:r>
        <w:rPr>
          <w:spacing w:val="-6"/>
          <w:sz w:val="18"/>
          <w:szCs w:val="18"/>
          <w:lang w:val="es-ES_tradnl"/>
        </w:rPr>
        <w:t>n.</w:t>
      </w:r>
    </w:p>
    <w:p w14:paraId="4F67B49E" w14:textId="77777777" w:rsidR="00591D54" w:rsidRDefault="00591D54" w:rsidP="00251195">
      <w:pPr>
        <w:numPr>
          <w:ilvl w:val="0"/>
          <w:numId w:val="98"/>
        </w:numPr>
        <w:shd w:val="clear" w:color="auto" w:fill="FFFFFF"/>
        <w:tabs>
          <w:tab w:val="left" w:pos="566"/>
        </w:tabs>
        <w:spacing w:before="202" w:line="221" w:lineRule="exact"/>
        <w:ind w:left="566" w:hanging="283"/>
        <w:rPr>
          <w:spacing w:val="-9"/>
          <w:sz w:val="18"/>
          <w:szCs w:val="18"/>
          <w:lang w:val="es-ES_tradnl"/>
        </w:rPr>
      </w:pPr>
      <w:r>
        <w:rPr>
          <w:sz w:val="18"/>
          <w:szCs w:val="18"/>
          <w:lang w:val="es-ES_tradnl"/>
        </w:rPr>
        <w:t>Aceptar la acci</w:t>
      </w:r>
      <w:r>
        <w:rPr>
          <w:rFonts w:cs="Times New Roman"/>
          <w:sz w:val="18"/>
          <w:szCs w:val="18"/>
          <w:lang w:val="es-ES_tradnl"/>
        </w:rPr>
        <w:t>ó</w:t>
      </w:r>
      <w:r>
        <w:rPr>
          <w:sz w:val="18"/>
          <w:szCs w:val="18"/>
          <w:lang w:val="es-ES_tradnl"/>
        </w:rPr>
        <w:t>n extraordinaria de protecci</w:t>
      </w:r>
      <w:r>
        <w:rPr>
          <w:rFonts w:cs="Times New Roman"/>
          <w:sz w:val="18"/>
          <w:szCs w:val="18"/>
          <w:lang w:val="es-ES_tradnl"/>
        </w:rPr>
        <w:t>ó</w:t>
      </w:r>
      <w:r>
        <w:rPr>
          <w:sz w:val="18"/>
          <w:szCs w:val="18"/>
          <w:lang w:val="es-ES_tradnl"/>
        </w:rPr>
        <w:t>n propuesta.</w:t>
      </w:r>
    </w:p>
    <w:p w14:paraId="4F67B49F" w14:textId="77777777" w:rsidR="00591D54" w:rsidRDefault="00591D54">
      <w:pPr>
        <w:shd w:val="clear" w:color="auto" w:fill="FFFFFF"/>
        <w:tabs>
          <w:tab w:val="left" w:pos="614"/>
        </w:tabs>
        <w:spacing w:before="197"/>
        <w:ind w:left="283"/>
      </w:pPr>
      <w:r>
        <w:rPr>
          <w:spacing w:val="-9"/>
          <w:sz w:val="18"/>
          <w:szCs w:val="18"/>
          <w:lang w:val="es-ES_tradnl"/>
        </w:rPr>
        <w:t>3.</w:t>
      </w:r>
      <w:r>
        <w:rPr>
          <w:sz w:val="18"/>
          <w:szCs w:val="18"/>
          <w:lang w:val="es-ES_tradnl"/>
        </w:rPr>
        <w:tab/>
      </w:r>
      <w:r>
        <w:rPr>
          <w:spacing w:val="-6"/>
          <w:sz w:val="18"/>
          <w:szCs w:val="18"/>
          <w:lang w:val="es-ES_tradnl"/>
        </w:rPr>
        <w:t>Como medida de reparaci</w:t>
      </w:r>
      <w:r>
        <w:rPr>
          <w:rFonts w:cs="Times New Roman"/>
          <w:spacing w:val="-6"/>
          <w:sz w:val="18"/>
          <w:szCs w:val="18"/>
          <w:lang w:val="es-ES_tradnl"/>
        </w:rPr>
        <w:t>ó</w:t>
      </w:r>
      <w:r>
        <w:rPr>
          <w:spacing w:val="-6"/>
          <w:sz w:val="18"/>
          <w:szCs w:val="18"/>
          <w:lang w:val="es-ES_tradnl"/>
        </w:rPr>
        <w:t>n integral se dispone:</w:t>
      </w:r>
    </w:p>
    <w:p w14:paraId="4F67B4A0" w14:textId="77777777" w:rsidR="00591D54" w:rsidRDefault="00591D54" w:rsidP="00251195">
      <w:pPr>
        <w:numPr>
          <w:ilvl w:val="0"/>
          <w:numId w:val="99"/>
        </w:numPr>
        <w:shd w:val="clear" w:color="auto" w:fill="FFFFFF"/>
        <w:tabs>
          <w:tab w:val="left" w:pos="850"/>
        </w:tabs>
        <w:spacing w:before="197" w:line="221" w:lineRule="exact"/>
        <w:ind w:left="850" w:hanging="283"/>
        <w:jc w:val="both"/>
        <w:rPr>
          <w:spacing w:val="-9"/>
          <w:sz w:val="18"/>
          <w:szCs w:val="18"/>
          <w:lang w:val="es-ES_tradnl"/>
        </w:rPr>
      </w:pPr>
      <w:r>
        <w:rPr>
          <w:sz w:val="18"/>
          <w:szCs w:val="18"/>
          <w:lang w:val="es-ES_tradnl"/>
        </w:rPr>
        <w:t>Dejar sin efecto jur</w:t>
      </w:r>
      <w:r>
        <w:rPr>
          <w:rFonts w:cs="Times New Roman"/>
          <w:sz w:val="18"/>
          <w:szCs w:val="18"/>
          <w:lang w:val="es-ES_tradnl"/>
        </w:rPr>
        <w:t>í</w:t>
      </w:r>
      <w:r>
        <w:rPr>
          <w:sz w:val="18"/>
          <w:szCs w:val="18"/>
          <w:lang w:val="es-ES_tradnl"/>
        </w:rPr>
        <w:t>dico la resoluci</w:t>
      </w:r>
      <w:r>
        <w:rPr>
          <w:rFonts w:cs="Times New Roman"/>
          <w:sz w:val="18"/>
          <w:szCs w:val="18"/>
          <w:lang w:val="es-ES_tradnl"/>
        </w:rPr>
        <w:t>ó</w:t>
      </w:r>
      <w:r>
        <w:rPr>
          <w:sz w:val="18"/>
          <w:szCs w:val="18"/>
          <w:lang w:val="es-ES_tradnl"/>
        </w:rPr>
        <w:t xml:space="preserve">n del </w:t>
      </w:r>
      <w:r>
        <w:rPr>
          <w:spacing w:val="-3"/>
          <w:sz w:val="18"/>
          <w:szCs w:val="18"/>
          <w:lang w:val="es-ES_tradnl"/>
        </w:rPr>
        <w:t>02 de abril de 2012 a las 11h45, emitida por los jueces de mayor</w:t>
      </w:r>
      <w:r>
        <w:rPr>
          <w:rFonts w:cs="Times New Roman"/>
          <w:spacing w:val="-3"/>
          <w:sz w:val="18"/>
          <w:szCs w:val="18"/>
          <w:lang w:val="es-ES_tradnl"/>
        </w:rPr>
        <w:t>í</w:t>
      </w:r>
      <w:r>
        <w:rPr>
          <w:spacing w:val="-3"/>
          <w:sz w:val="18"/>
          <w:szCs w:val="18"/>
          <w:lang w:val="es-ES_tradnl"/>
        </w:rPr>
        <w:t xml:space="preserve">a de la Primera Sala de </w:t>
      </w:r>
      <w:r>
        <w:rPr>
          <w:spacing w:val="-4"/>
          <w:sz w:val="18"/>
          <w:szCs w:val="18"/>
          <w:lang w:val="es-ES_tradnl"/>
        </w:rPr>
        <w:t>lo Laboral, Ni</w:t>
      </w:r>
      <w:r>
        <w:rPr>
          <w:rFonts w:cs="Times New Roman"/>
          <w:spacing w:val="-4"/>
          <w:sz w:val="18"/>
          <w:szCs w:val="18"/>
          <w:lang w:val="es-ES_tradnl"/>
        </w:rPr>
        <w:t>ñ</w:t>
      </w:r>
      <w:r>
        <w:rPr>
          <w:spacing w:val="-4"/>
          <w:sz w:val="18"/>
          <w:szCs w:val="18"/>
          <w:lang w:val="es-ES_tradnl"/>
        </w:rPr>
        <w:t xml:space="preserve">ez y Adolescencia de la Corte </w:t>
      </w:r>
      <w:r>
        <w:rPr>
          <w:spacing w:val="-6"/>
          <w:sz w:val="18"/>
          <w:szCs w:val="18"/>
          <w:lang w:val="es-ES_tradnl"/>
        </w:rPr>
        <w:t>Provincial de Justicia del Guayas, dentro de la causa N.</w:t>
      </w:r>
      <w:r>
        <w:rPr>
          <w:rFonts w:cs="Times New Roman"/>
          <w:spacing w:val="-6"/>
          <w:sz w:val="18"/>
          <w:szCs w:val="18"/>
          <w:lang w:val="es-ES_tradnl"/>
        </w:rPr>
        <w:t>º</w:t>
      </w:r>
      <w:r>
        <w:rPr>
          <w:spacing w:val="-6"/>
          <w:sz w:val="18"/>
          <w:szCs w:val="18"/>
          <w:lang w:val="es-ES_tradnl"/>
        </w:rPr>
        <w:t xml:space="preserve"> 1440-2011, que revoc</w:t>
      </w:r>
      <w:r>
        <w:rPr>
          <w:rFonts w:cs="Times New Roman"/>
          <w:spacing w:val="-6"/>
          <w:sz w:val="18"/>
          <w:szCs w:val="18"/>
          <w:lang w:val="es-ES_tradnl"/>
        </w:rPr>
        <w:t>ó</w:t>
      </w:r>
      <w:r>
        <w:rPr>
          <w:spacing w:val="-6"/>
          <w:sz w:val="18"/>
          <w:szCs w:val="18"/>
          <w:lang w:val="es-ES_tradnl"/>
        </w:rPr>
        <w:t xml:space="preserve"> la sentencia </w:t>
      </w:r>
      <w:r>
        <w:rPr>
          <w:sz w:val="18"/>
          <w:szCs w:val="18"/>
          <w:lang w:val="es-ES_tradnl"/>
        </w:rPr>
        <w:t>subida en grado.</w:t>
      </w:r>
    </w:p>
    <w:p w14:paraId="4F67B4A1" w14:textId="77777777" w:rsidR="00591D54" w:rsidRDefault="00591D54" w:rsidP="00251195">
      <w:pPr>
        <w:numPr>
          <w:ilvl w:val="0"/>
          <w:numId w:val="99"/>
        </w:numPr>
        <w:shd w:val="clear" w:color="auto" w:fill="FFFFFF"/>
        <w:tabs>
          <w:tab w:val="left" w:pos="850"/>
        </w:tabs>
        <w:spacing w:before="202" w:line="221" w:lineRule="exact"/>
        <w:ind w:left="850" w:hanging="283"/>
        <w:jc w:val="both"/>
        <w:rPr>
          <w:spacing w:val="-9"/>
          <w:sz w:val="18"/>
          <w:szCs w:val="18"/>
          <w:lang w:val="es-ES_tradnl"/>
        </w:rPr>
      </w:pPr>
      <w:r>
        <w:rPr>
          <w:spacing w:val="-3"/>
          <w:sz w:val="18"/>
          <w:szCs w:val="18"/>
          <w:lang w:val="es-ES_tradnl"/>
        </w:rPr>
        <w:t>Ordenar que se est</w:t>
      </w:r>
      <w:r>
        <w:rPr>
          <w:rFonts w:cs="Times New Roman"/>
          <w:spacing w:val="-3"/>
          <w:sz w:val="18"/>
          <w:szCs w:val="18"/>
          <w:lang w:val="es-ES_tradnl"/>
        </w:rPr>
        <w:t>é</w:t>
      </w:r>
      <w:r>
        <w:rPr>
          <w:spacing w:val="-3"/>
          <w:sz w:val="18"/>
          <w:szCs w:val="18"/>
          <w:lang w:val="es-ES_tradnl"/>
        </w:rPr>
        <w:t xml:space="preserve"> a lo dispuesto en la </w:t>
      </w:r>
      <w:r>
        <w:rPr>
          <w:spacing w:val="-4"/>
          <w:sz w:val="18"/>
          <w:szCs w:val="18"/>
          <w:lang w:val="es-ES_tradnl"/>
        </w:rPr>
        <w:t>sentencia dictada el 21 de junio de 2011, por</w:t>
      </w:r>
    </w:p>
    <w:p w14:paraId="4F67B4A2" w14:textId="77777777" w:rsidR="00591D54" w:rsidRDefault="00591D54">
      <w:pPr>
        <w:shd w:val="clear" w:color="auto" w:fill="FFFFFF"/>
        <w:spacing w:line="216" w:lineRule="exact"/>
        <w:ind w:left="850"/>
        <w:jc w:val="both"/>
      </w:pPr>
      <w:r>
        <w:rPr>
          <w:spacing w:val="-9"/>
          <w:sz w:val="18"/>
          <w:szCs w:val="18"/>
          <w:lang w:val="es-ES_tradnl"/>
        </w:rPr>
        <w:br w:type="column"/>
      </w:r>
      <w:r>
        <w:rPr>
          <w:spacing w:val="-6"/>
          <w:sz w:val="18"/>
          <w:szCs w:val="18"/>
          <w:lang w:val="es-ES_tradnl"/>
        </w:rPr>
        <w:t>el juez vig</w:t>
      </w:r>
      <w:r>
        <w:rPr>
          <w:rFonts w:cs="Times New Roman"/>
          <w:spacing w:val="-6"/>
          <w:sz w:val="18"/>
          <w:szCs w:val="18"/>
          <w:lang w:val="es-ES_tradnl"/>
        </w:rPr>
        <w:t>é</w:t>
      </w:r>
      <w:r>
        <w:rPr>
          <w:spacing w:val="-6"/>
          <w:sz w:val="18"/>
          <w:szCs w:val="18"/>
          <w:lang w:val="es-ES_tradnl"/>
        </w:rPr>
        <w:t xml:space="preserve">simo tercero de lo civil del Guayas, </w:t>
      </w:r>
      <w:r>
        <w:rPr>
          <w:spacing w:val="-4"/>
          <w:sz w:val="18"/>
          <w:szCs w:val="18"/>
          <w:lang w:val="es-ES_tradnl"/>
        </w:rPr>
        <w:t>dentro de la acci</w:t>
      </w:r>
      <w:r>
        <w:rPr>
          <w:rFonts w:cs="Times New Roman"/>
          <w:spacing w:val="-4"/>
          <w:sz w:val="18"/>
          <w:szCs w:val="18"/>
          <w:lang w:val="es-ES_tradnl"/>
        </w:rPr>
        <w:t>ó</w:t>
      </w:r>
      <w:r>
        <w:rPr>
          <w:spacing w:val="-4"/>
          <w:sz w:val="18"/>
          <w:szCs w:val="18"/>
          <w:lang w:val="es-ES_tradnl"/>
        </w:rPr>
        <w:t>n de protecci</w:t>
      </w:r>
      <w:r>
        <w:rPr>
          <w:rFonts w:cs="Times New Roman"/>
          <w:spacing w:val="-4"/>
          <w:sz w:val="18"/>
          <w:szCs w:val="18"/>
          <w:lang w:val="es-ES_tradnl"/>
        </w:rPr>
        <w:t>ó</w:t>
      </w:r>
      <w:r>
        <w:rPr>
          <w:spacing w:val="-4"/>
          <w:sz w:val="18"/>
          <w:szCs w:val="18"/>
          <w:lang w:val="es-ES_tradnl"/>
        </w:rPr>
        <w:t>n N.</w:t>
      </w:r>
      <w:r>
        <w:rPr>
          <w:rFonts w:cs="Times New Roman"/>
          <w:spacing w:val="-4"/>
          <w:sz w:val="18"/>
          <w:szCs w:val="18"/>
          <w:lang w:val="es-ES_tradnl"/>
        </w:rPr>
        <w:t>º</w:t>
      </w:r>
      <w:r>
        <w:rPr>
          <w:spacing w:val="-4"/>
          <w:sz w:val="18"/>
          <w:szCs w:val="18"/>
          <w:lang w:val="es-ES_tradnl"/>
        </w:rPr>
        <w:t xml:space="preserve"> 0385-</w:t>
      </w:r>
      <w:r>
        <w:rPr>
          <w:sz w:val="18"/>
          <w:szCs w:val="18"/>
          <w:lang w:val="es-ES_tradnl"/>
        </w:rPr>
        <w:t>2011.</w:t>
      </w:r>
    </w:p>
    <w:p w14:paraId="4F67B4A3" w14:textId="77777777" w:rsidR="00591D54" w:rsidRDefault="00591D54">
      <w:pPr>
        <w:shd w:val="clear" w:color="auto" w:fill="FFFFFF"/>
        <w:spacing w:before="29" w:line="432" w:lineRule="exact"/>
        <w:ind w:left="283"/>
      </w:pPr>
      <w:r>
        <w:rPr>
          <w:spacing w:val="-5"/>
          <w:sz w:val="18"/>
          <w:szCs w:val="18"/>
          <w:lang w:val="es-ES_tradnl"/>
        </w:rPr>
        <w:t>4.    Notif</w:t>
      </w:r>
      <w:r>
        <w:rPr>
          <w:rFonts w:cs="Times New Roman"/>
          <w:spacing w:val="-5"/>
          <w:sz w:val="18"/>
          <w:szCs w:val="18"/>
          <w:lang w:val="es-ES_tradnl"/>
        </w:rPr>
        <w:t>í</w:t>
      </w:r>
      <w:r>
        <w:rPr>
          <w:spacing w:val="-5"/>
          <w:sz w:val="18"/>
          <w:szCs w:val="18"/>
          <w:lang w:val="es-ES_tradnl"/>
        </w:rPr>
        <w:t>quese, publ</w:t>
      </w:r>
      <w:r>
        <w:rPr>
          <w:rFonts w:cs="Times New Roman"/>
          <w:spacing w:val="-5"/>
          <w:sz w:val="18"/>
          <w:szCs w:val="18"/>
          <w:lang w:val="es-ES_tradnl"/>
        </w:rPr>
        <w:t>í</w:t>
      </w:r>
      <w:r>
        <w:rPr>
          <w:spacing w:val="-5"/>
          <w:sz w:val="18"/>
          <w:szCs w:val="18"/>
          <w:lang w:val="es-ES_tradnl"/>
        </w:rPr>
        <w:t>quese y c</w:t>
      </w:r>
      <w:r>
        <w:rPr>
          <w:rFonts w:cs="Times New Roman"/>
          <w:spacing w:val="-5"/>
          <w:sz w:val="18"/>
          <w:szCs w:val="18"/>
          <w:lang w:val="es-ES_tradnl"/>
        </w:rPr>
        <w:t>ú</w:t>
      </w:r>
      <w:r>
        <w:rPr>
          <w:spacing w:val="-5"/>
          <w:sz w:val="18"/>
          <w:szCs w:val="18"/>
          <w:lang w:val="es-ES_tradnl"/>
        </w:rPr>
        <w:t>mplase.</w:t>
      </w:r>
    </w:p>
    <w:p w14:paraId="4F67B4A4" w14:textId="77777777" w:rsidR="00591D54" w:rsidRDefault="00591D54">
      <w:pPr>
        <w:shd w:val="clear" w:color="auto" w:fill="FFFFFF"/>
        <w:spacing w:line="432" w:lineRule="exact"/>
      </w:pPr>
      <w:r>
        <w:rPr>
          <w:spacing w:val="-5"/>
          <w:sz w:val="18"/>
          <w:szCs w:val="18"/>
          <w:lang w:val="es-ES_tradnl"/>
        </w:rPr>
        <w:t xml:space="preserve">f.) Wendy Molina Andrade, </w:t>
      </w:r>
      <w:r>
        <w:rPr>
          <w:b/>
          <w:bCs/>
          <w:spacing w:val="-5"/>
          <w:sz w:val="18"/>
          <w:szCs w:val="18"/>
          <w:lang w:val="es-ES_tradnl"/>
        </w:rPr>
        <w:t>PRESIDENTA (E).</w:t>
      </w:r>
    </w:p>
    <w:p w14:paraId="4F67B4A5" w14:textId="77777777" w:rsidR="00591D54" w:rsidRDefault="00591D54">
      <w:pPr>
        <w:shd w:val="clear" w:color="auto" w:fill="FFFFFF"/>
        <w:spacing w:line="432" w:lineRule="exact"/>
      </w:pPr>
      <w:r>
        <w:rPr>
          <w:spacing w:val="-4"/>
          <w:sz w:val="18"/>
          <w:szCs w:val="18"/>
          <w:lang w:val="es-ES_tradnl"/>
        </w:rPr>
        <w:t xml:space="preserve">f.) Jaime Pozo Chamorro, </w:t>
      </w:r>
      <w:r>
        <w:rPr>
          <w:b/>
          <w:bCs/>
          <w:spacing w:val="-4"/>
          <w:sz w:val="18"/>
          <w:szCs w:val="18"/>
          <w:lang w:val="es-ES_tradnl"/>
        </w:rPr>
        <w:t>SECRETARIO GENERAL.</w:t>
      </w:r>
    </w:p>
    <w:p w14:paraId="4F67B4A6" w14:textId="77777777" w:rsidR="00591D54" w:rsidRDefault="00591D54">
      <w:pPr>
        <w:shd w:val="clear" w:color="auto" w:fill="FFFFFF"/>
        <w:spacing w:before="163" w:line="216" w:lineRule="exact"/>
        <w:jc w:val="both"/>
      </w:pPr>
      <w:r>
        <w:rPr>
          <w:b/>
          <w:bCs/>
          <w:spacing w:val="-4"/>
          <w:sz w:val="18"/>
          <w:szCs w:val="18"/>
          <w:lang w:val="es-ES_tradnl"/>
        </w:rPr>
        <w:t>RAZ</w:t>
      </w:r>
      <w:r>
        <w:rPr>
          <w:rFonts w:cs="Times New Roman"/>
          <w:b/>
          <w:bCs/>
          <w:spacing w:val="-4"/>
          <w:sz w:val="18"/>
          <w:szCs w:val="18"/>
          <w:lang w:val="es-ES_tradnl"/>
        </w:rPr>
        <w:t>Ó</w:t>
      </w:r>
      <w:r>
        <w:rPr>
          <w:b/>
          <w:bCs/>
          <w:spacing w:val="-4"/>
          <w:sz w:val="18"/>
          <w:szCs w:val="18"/>
          <w:lang w:val="es-ES_tradnl"/>
        </w:rPr>
        <w:t xml:space="preserve">N.- </w:t>
      </w:r>
      <w:r>
        <w:rPr>
          <w:spacing w:val="-4"/>
          <w:sz w:val="18"/>
          <w:szCs w:val="18"/>
          <w:lang w:val="es-ES_tradnl"/>
        </w:rPr>
        <w:t xml:space="preserve">Siento por tal, que la sentencia que antecede </w:t>
      </w:r>
      <w:r>
        <w:rPr>
          <w:spacing w:val="-1"/>
          <w:sz w:val="18"/>
          <w:szCs w:val="18"/>
          <w:lang w:val="es-ES_tradnl"/>
        </w:rPr>
        <w:t xml:space="preserve">fue aprobada por el Pleno de la Corte Constitucional, </w:t>
      </w:r>
      <w:r>
        <w:rPr>
          <w:spacing w:val="-5"/>
          <w:sz w:val="18"/>
          <w:szCs w:val="18"/>
          <w:lang w:val="es-ES_tradnl"/>
        </w:rPr>
        <w:t xml:space="preserve">con siete votos a favor, de las juezas y jueces Antonio </w:t>
      </w:r>
      <w:r>
        <w:rPr>
          <w:sz w:val="18"/>
          <w:szCs w:val="18"/>
          <w:lang w:val="es-ES_tradnl"/>
        </w:rPr>
        <w:t>Gagliardo Loor, Marcelo Jaramillo Villa, Mar</w:t>
      </w:r>
      <w:r>
        <w:rPr>
          <w:rFonts w:cs="Times New Roman"/>
          <w:sz w:val="18"/>
          <w:szCs w:val="18"/>
          <w:lang w:val="es-ES_tradnl"/>
        </w:rPr>
        <w:t>í</w:t>
      </w:r>
      <w:r>
        <w:rPr>
          <w:sz w:val="18"/>
          <w:szCs w:val="18"/>
          <w:lang w:val="es-ES_tradnl"/>
        </w:rPr>
        <w:t xml:space="preserve">a del </w:t>
      </w:r>
      <w:r>
        <w:rPr>
          <w:spacing w:val="-7"/>
          <w:sz w:val="18"/>
          <w:szCs w:val="18"/>
          <w:lang w:val="es-ES_tradnl"/>
        </w:rPr>
        <w:t>Carmen Maldonado S</w:t>
      </w:r>
      <w:r>
        <w:rPr>
          <w:rFonts w:cs="Times New Roman"/>
          <w:spacing w:val="-7"/>
          <w:sz w:val="18"/>
          <w:szCs w:val="18"/>
          <w:lang w:val="es-ES_tradnl"/>
        </w:rPr>
        <w:t>á</w:t>
      </w:r>
      <w:r>
        <w:rPr>
          <w:spacing w:val="-7"/>
          <w:sz w:val="18"/>
          <w:szCs w:val="18"/>
          <w:lang w:val="es-ES_tradnl"/>
        </w:rPr>
        <w:t>nchez, Alfredo Ruiz Guzm</w:t>
      </w:r>
      <w:r>
        <w:rPr>
          <w:rFonts w:cs="Times New Roman"/>
          <w:spacing w:val="-7"/>
          <w:sz w:val="18"/>
          <w:szCs w:val="18"/>
          <w:lang w:val="es-ES_tradnl"/>
        </w:rPr>
        <w:t>á</w:t>
      </w:r>
      <w:r>
        <w:rPr>
          <w:spacing w:val="-7"/>
          <w:sz w:val="18"/>
          <w:szCs w:val="18"/>
          <w:lang w:val="es-ES_tradnl"/>
        </w:rPr>
        <w:t xml:space="preserve">n, Ruth </w:t>
      </w:r>
      <w:r>
        <w:rPr>
          <w:spacing w:val="-3"/>
          <w:sz w:val="18"/>
          <w:szCs w:val="18"/>
          <w:lang w:val="es-ES_tradnl"/>
        </w:rPr>
        <w:t xml:space="preserve">Seni Pinoargote, Manuel Viteri Olvera y Wendy Molina </w:t>
      </w:r>
      <w:r>
        <w:rPr>
          <w:spacing w:val="-7"/>
          <w:sz w:val="18"/>
          <w:szCs w:val="18"/>
          <w:lang w:val="es-ES_tradnl"/>
        </w:rPr>
        <w:t xml:space="preserve">Andrade, sin contar con la presencia de los jueces Tatiana </w:t>
      </w:r>
      <w:r>
        <w:rPr>
          <w:spacing w:val="-6"/>
          <w:sz w:val="18"/>
          <w:szCs w:val="18"/>
          <w:lang w:val="es-ES_tradnl"/>
        </w:rPr>
        <w:t>Orde</w:t>
      </w:r>
      <w:r>
        <w:rPr>
          <w:rFonts w:cs="Times New Roman"/>
          <w:spacing w:val="-6"/>
          <w:sz w:val="18"/>
          <w:szCs w:val="18"/>
          <w:lang w:val="es-ES_tradnl"/>
        </w:rPr>
        <w:t>ñ</w:t>
      </w:r>
      <w:r>
        <w:rPr>
          <w:spacing w:val="-6"/>
          <w:sz w:val="18"/>
          <w:szCs w:val="18"/>
          <w:lang w:val="es-ES_tradnl"/>
        </w:rPr>
        <w:t>ana Sierra, y Patricio Pazmi</w:t>
      </w:r>
      <w:r>
        <w:rPr>
          <w:rFonts w:cs="Times New Roman"/>
          <w:spacing w:val="-6"/>
          <w:sz w:val="18"/>
          <w:szCs w:val="18"/>
          <w:lang w:val="es-ES_tradnl"/>
        </w:rPr>
        <w:t>ñ</w:t>
      </w:r>
      <w:r>
        <w:rPr>
          <w:spacing w:val="-6"/>
          <w:sz w:val="18"/>
          <w:szCs w:val="18"/>
          <w:lang w:val="es-ES_tradnl"/>
        </w:rPr>
        <w:t>o Freire, en sesi</w:t>
      </w:r>
      <w:r>
        <w:rPr>
          <w:rFonts w:cs="Times New Roman"/>
          <w:spacing w:val="-6"/>
          <w:sz w:val="18"/>
          <w:szCs w:val="18"/>
          <w:lang w:val="es-ES_tradnl"/>
        </w:rPr>
        <w:t>ó</w:t>
      </w:r>
      <w:r>
        <w:rPr>
          <w:spacing w:val="-6"/>
          <w:sz w:val="18"/>
          <w:szCs w:val="18"/>
          <w:lang w:val="es-ES_tradnl"/>
        </w:rPr>
        <w:t xml:space="preserve">n de </w:t>
      </w:r>
      <w:r>
        <w:rPr>
          <w:sz w:val="18"/>
          <w:szCs w:val="18"/>
          <w:lang w:val="es-ES_tradnl"/>
        </w:rPr>
        <w:t>12 de agosto del 2015. Lo certifico.</w:t>
      </w:r>
    </w:p>
    <w:p w14:paraId="4F67B4A7" w14:textId="77777777" w:rsidR="00591D54" w:rsidRDefault="00591D54">
      <w:pPr>
        <w:shd w:val="clear" w:color="auto" w:fill="FFFFFF"/>
        <w:spacing w:before="192"/>
      </w:pPr>
      <w:r>
        <w:rPr>
          <w:spacing w:val="-4"/>
          <w:sz w:val="18"/>
          <w:szCs w:val="18"/>
          <w:lang w:val="es-ES_tradnl"/>
        </w:rPr>
        <w:t xml:space="preserve">f.) Jaime Pozo Chamorro, </w:t>
      </w:r>
      <w:r>
        <w:rPr>
          <w:b/>
          <w:bCs/>
          <w:spacing w:val="-4"/>
          <w:sz w:val="18"/>
          <w:szCs w:val="18"/>
          <w:lang w:val="es-ES_tradnl"/>
        </w:rPr>
        <w:t>SECRETARIO GENERAL.</w:t>
      </w:r>
    </w:p>
    <w:p w14:paraId="4F67B4A8" w14:textId="77777777" w:rsidR="00591D54" w:rsidRDefault="00591D54">
      <w:pPr>
        <w:shd w:val="clear" w:color="auto" w:fill="FFFFFF"/>
        <w:spacing w:before="187"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4A9" w14:textId="77777777" w:rsidR="00591D54" w:rsidRDefault="00591D54">
      <w:pPr>
        <w:shd w:val="clear" w:color="auto" w:fill="FFFFFF"/>
        <w:spacing w:before="206"/>
      </w:pPr>
      <w:r>
        <w:rPr>
          <w:b/>
          <w:bCs/>
          <w:spacing w:val="-5"/>
          <w:sz w:val="18"/>
          <w:szCs w:val="18"/>
          <w:lang w:val="es-ES_tradnl"/>
        </w:rPr>
        <w:t>CAUSA N.</w:t>
      </w:r>
      <w:r>
        <w:rPr>
          <w:rFonts w:cs="Times New Roman"/>
          <w:b/>
          <w:bCs/>
          <w:spacing w:val="-5"/>
          <w:sz w:val="18"/>
          <w:szCs w:val="18"/>
          <w:lang w:val="es-ES_tradnl"/>
        </w:rPr>
        <w:t>º</w:t>
      </w:r>
      <w:r>
        <w:rPr>
          <w:b/>
          <w:bCs/>
          <w:spacing w:val="-5"/>
          <w:sz w:val="18"/>
          <w:szCs w:val="18"/>
          <w:lang w:val="es-ES_tradnl"/>
        </w:rPr>
        <w:t xml:space="preserve"> 1496-12-EP</w:t>
      </w:r>
    </w:p>
    <w:p w14:paraId="4F67B4AA" w14:textId="77777777" w:rsidR="00591D54" w:rsidRDefault="00591D54">
      <w:pPr>
        <w:shd w:val="clear" w:color="auto" w:fill="FFFFFF"/>
        <w:spacing w:before="202" w:line="226" w:lineRule="exact"/>
        <w:jc w:val="both"/>
      </w:pPr>
      <w:r>
        <w:rPr>
          <w:b/>
          <w:bCs/>
          <w:spacing w:val="-4"/>
          <w:sz w:val="18"/>
          <w:szCs w:val="18"/>
          <w:lang w:val="es-ES_tradnl"/>
        </w:rPr>
        <w:t>Raz</w:t>
      </w:r>
      <w:r>
        <w:rPr>
          <w:rFonts w:cs="Times New Roman"/>
          <w:b/>
          <w:bCs/>
          <w:spacing w:val="-4"/>
          <w:sz w:val="18"/>
          <w:szCs w:val="18"/>
          <w:lang w:val="es-ES_tradnl"/>
        </w:rPr>
        <w:t>ó</w:t>
      </w:r>
      <w:r>
        <w:rPr>
          <w:b/>
          <w:bCs/>
          <w:spacing w:val="-4"/>
          <w:sz w:val="18"/>
          <w:szCs w:val="18"/>
          <w:lang w:val="es-ES_tradnl"/>
        </w:rPr>
        <w:t xml:space="preserve">n: </w:t>
      </w:r>
      <w:r>
        <w:rPr>
          <w:spacing w:val="-4"/>
          <w:sz w:val="18"/>
          <w:szCs w:val="18"/>
          <w:lang w:val="es-ES_tradnl"/>
        </w:rPr>
        <w:t xml:space="preserve">Siento por tal, que el Pleno del Organismo en </w:t>
      </w:r>
      <w:r>
        <w:rPr>
          <w:sz w:val="18"/>
          <w:szCs w:val="18"/>
          <w:lang w:val="es-ES_tradnl"/>
        </w:rPr>
        <w:t>sesi</w:t>
      </w:r>
      <w:r>
        <w:rPr>
          <w:rFonts w:cs="Times New Roman"/>
          <w:sz w:val="18"/>
          <w:szCs w:val="18"/>
          <w:lang w:val="es-ES_tradnl"/>
        </w:rPr>
        <w:t>ó</w:t>
      </w:r>
      <w:r>
        <w:rPr>
          <w:sz w:val="18"/>
          <w:szCs w:val="18"/>
          <w:lang w:val="es-ES_tradnl"/>
        </w:rPr>
        <w:t>n del 12 de agosto del 2015 conoci</w:t>
      </w:r>
      <w:r>
        <w:rPr>
          <w:rFonts w:cs="Times New Roman"/>
          <w:sz w:val="18"/>
          <w:szCs w:val="18"/>
          <w:lang w:val="es-ES_tradnl"/>
        </w:rPr>
        <w:t>ó</w:t>
      </w:r>
      <w:r>
        <w:rPr>
          <w:sz w:val="18"/>
          <w:szCs w:val="18"/>
          <w:lang w:val="es-ES_tradnl"/>
        </w:rPr>
        <w:t xml:space="preserve"> el pedido </w:t>
      </w:r>
      <w:r>
        <w:rPr>
          <w:spacing w:val="-2"/>
          <w:sz w:val="18"/>
          <w:szCs w:val="18"/>
          <w:lang w:val="es-ES_tradnl"/>
        </w:rPr>
        <w:t>de audiencia p</w:t>
      </w:r>
      <w:r>
        <w:rPr>
          <w:rFonts w:cs="Times New Roman"/>
          <w:spacing w:val="-2"/>
          <w:sz w:val="18"/>
          <w:szCs w:val="18"/>
          <w:lang w:val="es-ES_tradnl"/>
        </w:rPr>
        <w:t>ú</w:t>
      </w:r>
      <w:r>
        <w:rPr>
          <w:spacing w:val="-2"/>
          <w:sz w:val="18"/>
          <w:szCs w:val="18"/>
          <w:lang w:val="es-ES_tradnl"/>
        </w:rPr>
        <w:t xml:space="preserve">blica formulado por el doctor Xavier </w:t>
      </w:r>
      <w:r>
        <w:rPr>
          <w:spacing w:val="-4"/>
          <w:sz w:val="18"/>
          <w:szCs w:val="18"/>
          <w:lang w:val="es-ES_tradnl"/>
        </w:rPr>
        <w:t>Emiliano Oquendo P</w:t>
      </w:r>
      <w:r>
        <w:rPr>
          <w:rFonts w:cs="Times New Roman"/>
          <w:spacing w:val="-4"/>
          <w:sz w:val="18"/>
          <w:szCs w:val="18"/>
          <w:lang w:val="es-ES_tradnl"/>
        </w:rPr>
        <w:t>ó</w:t>
      </w:r>
      <w:r>
        <w:rPr>
          <w:spacing w:val="-4"/>
          <w:sz w:val="18"/>
          <w:szCs w:val="18"/>
          <w:lang w:val="es-ES_tradnl"/>
        </w:rPr>
        <w:t xml:space="preserve">lit, en su calidad de Procurador </w:t>
      </w:r>
      <w:r>
        <w:rPr>
          <w:spacing w:val="-7"/>
          <w:sz w:val="18"/>
          <w:szCs w:val="18"/>
          <w:lang w:val="es-ES_tradnl"/>
        </w:rPr>
        <w:t>Judicial de la Superintendencia de Compan</w:t>
      </w:r>
      <w:r>
        <w:rPr>
          <w:rFonts w:cs="Times New Roman"/>
          <w:spacing w:val="-7"/>
          <w:sz w:val="18"/>
          <w:szCs w:val="18"/>
          <w:lang w:val="es-ES_tradnl"/>
        </w:rPr>
        <w:t>í</w:t>
      </w:r>
      <w:r>
        <w:rPr>
          <w:spacing w:val="-7"/>
          <w:sz w:val="18"/>
          <w:szCs w:val="18"/>
          <w:lang w:val="es-ES_tradnl"/>
        </w:rPr>
        <w:t>as y resolvi</w:t>
      </w:r>
      <w:r>
        <w:rPr>
          <w:rFonts w:cs="Times New Roman"/>
          <w:spacing w:val="-7"/>
          <w:sz w:val="18"/>
          <w:szCs w:val="18"/>
          <w:lang w:val="es-ES_tradnl"/>
        </w:rPr>
        <w:t xml:space="preserve">ó </w:t>
      </w:r>
      <w:r>
        <w:rPr>
          <w:spacing w:val="-6"/>
          <w:sz w:val="18"/>
          <w:szCs w:val="18"/>
          <w:lang w:val="es-ES_tradnl"/>
        </w:rPr>
        <w:t>negar dicho pedido en virtud de lo dispuesto en el art</w:t>
      </w:r>
      <w:r>
        <w:rPr>
          <w:rFonts w:cs="Times New Roman"/>
          <w:spacing w:val="-6"/>
          <w:sz w:val="18"/>
          <w:szCs w:val="18"/>
          <w:lang w:val="es-ES_tradnl"/>
        </w:rPr>
        <w:t>í</w:t>
      </w:r>
      <w:r>
        <w:rPr>
          <w:spacing w:val="-6"/>
          <w:sz w:val="18"/>
          <w:szCs w:val="18"/>
          <w:lang w:val="es-ES_tradnl"/>
        </w:rPr>
        <w:t xml:space="preserve">culo </w:t>
      </w:r>
      <w:r>
        <w:rPr>
          <w:spacing w:val="-9"/>
          <w:sz w:val="18"/>
          <w:szCs w:val="18"/>
          <w:lang w:val="es-ES_tradnl"/>
        </w:rPr>
        <w:t>22 del Reglamento de Sustanciaci</w:t>
      </w:r>
      <w:r>
        <w:rPr>
          <w:rFonts w:cs="Times New Roman"/>
          <w:spacing w:val="-9"/>
          <w:sz w:val="18"/>
          <w:szCs w:val="18"/>
          <w:lang w:val="es-ES_tradnl"/>
        </w:rPr>
        <w:t>ó</w:t>
      </w:r>
      <w:r>
        <w:rPr>
          <w:spacing w:val="-9"/>
          <w:sz w:val="18"/>
          <w:szCs w:val="18"/>
          <w:lang w:val="es-ES_tradnl"/>
        </w:rPr>
        <w:t xml:space="preserve">n de Procesesos de </w:t>
      </w:r>
      <w:r>
        <w:rPr>
          <w:spacing w:val="-7"/>
          <w:sz w:val="18"/>
          <w:szCs w:val="18"/>
          <w:lang w:val="es-ES_tradnl"/>
        </w:rPr>
        <w:t xml:space="preserve">Competencia de la Corte Constitucional.- </w:t>
      </w:r>
      <w:r>
        <w:rPr>
          <w:b/>
          <w:bCs/>
          <w:spacing w:val="-7"/>
          <w:sz w:val="18"/>
          <w:szCs w:val="18"/>
          <w:lang w:val="es-ES_tradnl"/>
        </w:rPr>
        <w:t>Lo certifico.</w:t>
      </w:r>
    </w:p>
    <w:p w14:paraId="4F67B4AB" w14:textId="77777777" w:rsidR="00591D54" w:rsidRDefault="00591D54">
      <w:pPr>
        <w:shd w:val="clear" w:color="auto" w:fill="FFFFFF"/>
        <w:spacing w:before="192"/>
      </w:pPr>
      <w:r>
        <w:rPr>
          <w:spacing w:val="-4"/>
          <w:sz w:val="18"/>
          <w:szCs w:val="18"/>
          <w:lang w:val="es-ES_tradnl"/>
        </w:rPr>
        <w:t xml:space="preserve">f.) Jaime Pozo Chamorro, </w:t>
      </w:r>
      <w:r>
        <w:rPr>
          <w:b/>
          <w:bCs/>
          <w:spacing w:val="-4"/>
          <w:sz w:val="18"/>
          <w:szCs w:val="18"/>
          <w:lang w:val="es-ES_tradnl"/>
        </w:rPr>
        <w:t>SECRETARIO GENERAL.</w:t>
      </w:r>
    </w:p>
    <w:p w14:paraId="4F67B4AC" w14:textId="77777777" w:rsidR="00591D54" w:rsidRDefault="00591D54">
      <w:pPr>
        <w:shd w:val="clear" w:color="auto" w:fill="FFFFFF"/>
        <w:spacing w:before="192"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4AD" w14:textId="77777777" w:rsidR="00591D54" w:rsidRDefault="00591D54">
      <w:pPr>
        <w:shd w:val="clear" w:color="auto" w:fill="FFFFFF"/>
        <w:spacing w:before="187"/>
      </w:pPr>
      <w:r>
        <w:rPr>
          <w:b/>
          <w:bCs/>
          <w:spacing w:val="-5"/>
          <w:sz w:val="18"/>
          <w:szCs w:val="18"/>
          <w:u w:val="single"/>
          <w:lang w:val="es-ES_tradnl"/>
        </w:rPr>
        <w:t>CASO Nro. 1496-12-EP</w:t>
      </w:r>
    </w:p>
    <w:p w14:paraId="4F67B4AE" w14:textId="77777777" w:rsidR="00591D54" w:rsidRDefault="00591D54">
      <w:pPr>
        <w:shd w:val="clear" w:color="auto" w:fill="FFFFFF"/>
        <w:spacing w:before="192" w:line="216" w:lineRule="exact"/>
        <w:jc w:val="both"/>
      </w:pPr>
      <w:r>
        <w:rPr>
          <w:b/>
          <w:bCs/>
          <w:spacing w:val="-4"/>
          <w:sz w:val="18"/>
          <w:szCs w:val="18"/>
          <w:lang w:val="es-ES_tradnl"/>
        </w:rPr>
        <w:t>RAZ</w:t>
      </w:r>
      <w:r>
        <w:rPr>
          <w:rFonts w:cs="Times New Roman"/>
          <w:b/>
          <w:bCs/>
          <w:spacing w:val="-4"/>
          <w:sz w:val="18"/>
          <w:szCs w:val="18"/>
          <w:lang w:val="es-ES_tradnl"/>
        </w:rPr>
        <w:t>Ó</w:t>
      </w:r>
      <w:r>
        <w:rPr>
          <w:b/>
          <w:bCs/>
          <w:spacing w:val="-4"/>
          <w:sz w:val="18"/>
          <w:szCs w:val="18"/>
          <w:lang w:val="es-ES_tradnl"/>
        </w:rPr>
        <w:t xml:space="preserve">N.- </w:t>
      </w:r>
      <w:r>
        <w:rPr>
          <w:spacing w:val="-4"/>
          <w:sz w:val="18"/>
          <w:szCs w:val="18"/>
          <w:lang w:val="es-ES_tradnl"/>
        </w:rPr>
        <w:t xml:space="preserve">Siento por tal, que la Jueza Wendy Molina </w:t>
      </w:r>
      <w:r>
        <w:rPr>
          <w:spacing w:val="-7"/>
          <w:sz w:val="18"/>
          <w:szCs w:val="18"/>
          <w:lang w:val="es-ES_tradnl"/>
        </w:rPr>
        <w:t>Andrade, suscribi</w:t>
      </w:r>
      <w:r>
        <w:rPr>
          <w:rFonts w:cs="Times New Roman"/>
          <w:spacing w:val="-7"/>
          <w:sz w:val="18"/>
          <w:szCs w:val="18"/>
          <w:lang w:val="es-ES_tradnl"/>
        </w:rPr>
        <w:t>ó</w:t>
      </w:r>
      <w:r>
        <w:rPr>
          <w:spacing w:val="-7"/>
          <w:sz w:val="18"/>
          <w:szCs w:val="18"/>
          <w:lang w:val="es-ES_tradnl"/>
        </w:rPr>
        <w:t xml:space="preserve"> la presente sentencia el d</w:t>
      </w:r>
      <w:r>
        <w:rPr>
          <w:rFonts w:cs="Times New Roman"/>
          <w:spacing w:val="-7"/>
          <w:sz w:val="18"/>
          <w:szCs w:val="18"/>
          <w:lang w:val="es-ES_tradnl"/>
        </w:rPr>
        <w:t>í</w:t>
      </w:r>
      <w:r>
        <w:rPr>
          <w:spacing w:val="-7"/>
          <w:sz w:val="18"/>
          <w:szCs w:val="18"/>
          <w:lang w:val="es-ES_tradnl"/>
        </w:rPr>
        <w:t xml:space="preserve">a martes 01 </w:t>
      </w:r>
      <w:r>
        <w:rPr>
          <w:spacing w:val="-8"/>
          <w:sz w:val="18"/>
          <w:szCs w:val="18"/>
          <w:lang w:val="es-ES_tradnl"/>
        </w:rPr>
        <w:t xml:space="preserve">de septiembre del 2015, en calidad de presidenta (e) de la </w:t>
      </w:r>
      <w:r>
        <w:rPr>
          <w:spacing w:val="-7"/>
          <w:sz w:val="18"/>
          <w:szCs w:val="18"/>
          <w:lang w:val="es-ES_tradnl"/>
        </w:rPr>
        <w:t>Corte Constitucional, al momento de expedirse la misma.-</w:t>
      </w:r>
      <w:r>
        <w:rPr>
          <w:sz w:val="18"/>
          <w:szCs w:val="18"/>
          <w:lang w:val="es-ES_tradnl"/>
        </w:rPr>
        <w:t>Lo certifico.</w:t>
      </w:r>
    </w:p>
    <w:p w14:paraId="4F67B4AF" w14:textId="77777777" w:rsidR="00591D54" w:rsidRDefault="00591D54">
      <w:pPr>
        <w:shd w:val="clear" w:color="auto" w:fill="FFFFFF"/>
        <w:spacing w:before="192"/>
      </w:pPr>
      <w:r>
        <w:rPr>
          <w:spacing w:val="-7"/>
          <w:sz w:val="18"/>
          <w:szCs w:val="18"/>
          <w:lang w:val="es-ES_tradnl"/>
        </w:rPr>
        <w:t xml:space="preserve">f.) Jaime Pozo Chamorro, </w:t>
      </w:r>
      <w:r>
        <w:rPr>
          <w:b/>
          <w:bCs/>
          <w:spacing w:val="-7"/>
          <w:sz w:val="18"/>
          <w:szCs w:val="18"/>
          <w:lang w:val="es-ES_tradnl"/>
        </w:rPr>
        <w:t>Secretario General.</w:t>
      </w:r>
    </w:p>
    <w:p w14:paraId="4F67B4B0" w14:textId="77777777" w:rsidR="00591D54" w:rsidRDefault="00591D54">
      <w:pPr>
        <w:shd w:val="clear" w:color="auto" w:fill="FFFFFF"/>
        <w:spacing w:before="192"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4B1" w14:textId="77777777" w:rsidR="00591D54" w:rsidRDefault="00591D54">
      <w:pPr>
        <w:shd w:val="clear" w:color="auto" w:fill="FFFFFF"/>
        <w:spacing w:before="192" w:line="216" w:lineRule="exact"/>
        <w:jc w:val="both"/>
        <w:sectPr w:rsidR="00591D54">
          <w:type w:val="continuous"/>
          <w:pgSz w:w="11909" w:h="16834"/>
          <w:pgMar w:top="1363" w:right="1309" w:bottom="360" w:left="1308" w:header="720" w:footer="720" w:gutter="0"/>
          <w:cols w:num="2" w:space="720" w:equalWidth="0">
            <w:col w:w="4305" w:space="682"/>
            <w:col w:w="4305"/>
          </w:cols>
          <w:noEndnote/>
        </w:sectPr>
      </w:pPr>
    </w:p>
    <w:p w14:paraId="4F67B4B2" w14:textId="77777777" w:rsidR="00591D54" w:rsidRDefault="00591D54">
      <w:pPr>
        <w:shd w:val="clear" w:color="auto" w:fill="FFFFFF"/>
        <w:tabs>
          <w:tab w:val="left" w:pos="5856"/>
        </w:tabs>
        <w:spacing w:after="72"/>
        <w:ind w:left="14"/>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- 211</w:t>
      </w:r>
    </w:p>
    <w:p w14:paraId="4F67B4B3" w14:textId="77777777" w:rsidR="00591D54" w:rsidRDefault="00591D54">
      <w:pPr>
        <w:shd w:val="clear" w:color="auto" w:fill="FFFFFF"/>
        <w:tabs>
          <w:tab w:val="left" w:pos="5856"/>
        </w:tabs>
        <w:spacing w:after="72"/>
        <w:ind w:left="14"/>
        <w:sectPr w:rsidR="00591D54">
          <w:pgSz w:w="11909" w:h="16834"/>
          <w:pgMar w:top="1371" w:right="1299" w:bottom="360" w:left="1308" w:header="720" w:footer="720" w:gutter="0"/>
          <w:cols w:space="60"/>
          <w:noEndnote/>
        </w:sectPr>
      </w:pPr>
    </w:p>
    <w:p w14:paraId="4F67B4B4" w14:textId="77777777" w:rsidR="00591D54" w:rsidRDefault="00591D54">
      <w:pPr>
        <w:shd w:val="clear" w:color="auto" w:fill="FFFFFF"/>
        <w:spacing w:line="427" w:lineRule="exact"/>
      </w:pPr>
      <w:r>
        <w:rPr>
          <w:spacing w:val="-7"/>
          <w:sz w:val="18"/>
          <w:szCs w:val="18"/>
          <w:lang w:val="es-ES_tradnl"/>
        </w:rPr>
        <w:t>Quito, D. M., 19 de agosto de 2015</w:t>
      </w:r>
    </w:p>
    <w:p w14:paraId="4F67B4B5" w14:textId="77777777" w:rsidR="00591D54" w:rsidRDefault="00591D54">
      <w:pPr>
        <w:shd w:val="clear" w:color="auto" w:fill="FFFFFF"/>
        <w:spacing w:line="427" w:lineRule="exact"/>
        <w:ind w:left="850"/>
      </w:pPr>
      <w:r>
        <w:rPr>
          <w:b/>
          <w:bCs/>
          <w:spacing w:val="-3"/>
          <w:sz w:val="18"/>
          <w:szCs w:val="18"/>
          <w:u w:val="single"/>
          <w:lang w:val="es-ES_tradnl"/>
        </w:rPr>
        <w:t>SENTENCIA N.</w:t>
      </w:r>
      <w:r>
        <w:rPr>
          <w:rFonts w:cs="Times New Roman"/>
          <w:b/>
          <w:bCs/>
          <w:spacing w:val="-3"/>
          <w:sz w:val="18"/>
          <w:szCs w:val="18"/>
          <w:u w:val="single"/>
          <w:lang w:val="es-ES_tradnl"/>
        </w:rPr>
        <w:t>º</w:t>
      </w:r>
      <w:r>
        <w:rPr>
          <w:b/>
          <w:bCs/>
          <w:spacing w:val="-3"/>
          <w:sz w:val="18"/>
          <w:szCs w:val="18"/>
          <w:u w:val="single"/>
          <w:lang w:val="es-ES_tradnl"/>
        </w:rPr>
        <w:t xml:space="preserve"> 268-15-SEP-CC</w:t>
      </w:r>
    </w:p>
    <w:p w14:paraId="4F67B4B6" w14:textId="77777777" w:rsidR="00591D54" w:rsidRDefault="00591D54">
      <w:pPr>
        <w:shd w:val="clear" w:color="auto" w:fill="FFFFFF"/>
        <w:spacing w:line="427" w:lineRule="exact"/>
        <w:ind w:left="1291"/>
      </w:pPr>
      <w:r>
        <w:rPr>
          <w:b/>
          <w:bCs/>
          <w:spacing w:val="-5"/>
          <w:sz w:val="18"/>
          <w:szCs w:val="18"/>
          <w:u w:val="single"/>
          <w:lang w:val="es-ES_tradnl"/>
        </w:rPr>
        <w:t>CASO N.</w:t>
      </w:r>
      <w:r>
        <w:rPr>
          <w:rFonts w:cs="Times New Roman"/>
          <w:b/>
          <w:bCs/>
          <w:spacing w:val="-5"/>
          <w:sz w:val="18"/>
          <w:szCs w:val="18"/>
          <w:u w:val="single"/>
          <w:lang w:val="es-ES_tradnl"/>
        </w:rPr>
        <w:t>º</w:t>
      </w:r>
      <w:r>
        <w:rPr>
          <w:b/>
          <w:bCs/>
          <w:spacing w:val="-5"/>
          <w:sz w:val="18"/>
          <w:szCs w:val="18"/>
          <w:u w:val="single"/>
          <w:lang w:val="es-ES_tradnl"/>
        </w:rPr>
        <w:t xml:space="preserve"> 1656-10-EP</w:t>
      </w:r>
    </w:p>
    <w:p w14:paraId="4F67B4B7" w14:textId="77777777" w:rsidR="00591D54" w:rsidRDefault="00591D54">
      <w:pPr>
        <w:shd w:val="clear" w:color="auto" w:fill="FFFFFF"/>
        <w:spacing w:line="427" w:lineRule="exact"/>
        <w:ind w:left="293"/>
      </w:pPr>
      <w:r>
        <w:rPr>
          <w:b/>
          <w:bCs/>
          <w:sz w:val="18"/>
          <w:szCs w:val="18"/>
          <w:lang w:val="es-ES_tradnl"/>
        </w:rPr>
        <w:t>CORTE CONSTITUCIONAL DEL ECUADOR</w:t>
      </w:r>
    </w:p>
    <w:p w14:paraId="4F67B4B8" w14:textId="77777777" w:rsidR="00591D54" w:rsidRDefault="00591D54">
      <w:pPr>
        <w:shd w:val="clear" w:color="auto" w:fill="FFFFFF"/>
        <w:spacing w:line="427" w:lineRule="exact"/>
        <w:ind w:left="1334"/>
      </w:pPr>
      <w:r>
        <w:rPr>
          <w:b/>
          <w:bCs/>
          <w:sz w:val="18"/>
          <w:szCs w:val="18"/>
          <w:lang w:val="es-ES_tradnl"/>
        </w:rPr>
        <w:t>I. ANTECEDENTES</w:t>
      </w:r>
    </w:p>
    <w:p w14:paraId="4F67B4B9" w14:textId="77777777" w:rsidR="00591D54" w:rsidRDefault="00591D54">
      <w:pPr>
        <w:shd w:val="clear" w:color="auto" w:fill="FFFFFF"/>
        <w:spacing w:line="427" w:lineRule="exact"/>
      </w:pPr>
      <w:r>
        <w:rPr>
          <w:b/>
          <w:bCs/>
          <w:spacing w:val="-9"/>
          <w:sz w:val="18"/>
          <w:szCs w:val="18"/>
          <w:lang w:val="es-ES_tradnl"/>
        </w:rPr>
        <w:t>Resumen de admisibilidad</w:t>
      </w:r>
    </w:p>
    <w:p w14:paraId="4F67B4BA" w14:textId="77777777" w:rsidR="00591D54" w:rsidRDefault="00591D54">
      <w:pPr>
        <w:shd w:val="clear" w:color="auto" w:fill="FFFFFF"/>
        <w:spacing w:before="163" w:line="216" w:lineRule="exact"/>
        <w:jc w:val="both"/>
      </w:pPr>
      <w:r>
        <w:rPr>
          <w:spacing w:val="-8"/>
          <w:sz w:val="18"/>
          <w:szCs w:val="18"/>
          <w:lang w:val="es-ES_tradnl"/>
        </w:rPr>
        <w:t>El doctor Wilson Narv</w:t>
      </w:r>
      <w:r>
        <w:rPr>
          <w:rFonts w:cs="Times New Roman"/>
          <w:spacing w:val="-8"/>
          <w:sz w:val="18"/>
          <w:szCs w:val="18"/>
          <w:lang w:val="es-ES_tradnl"/>
        </w:rPr>
        <w:t>á</w:t>
      </w:r>
      <w:r>
        <w:rPr>
          <w:spacing w:val="-8"/>
          <w:sz w:val="18"/>
          <w:szCs w:val="18"/>
          <w:lang w:val="es-ES_tradnl"/>
        </w:rPr>
        <w:t>ez Vicu</w:t>
      </w:r>
      <w:r>
        <w:rPr>
          <w:rFonts w:cs="Times New Roman"/>
          <w:spacing w:val="-8"/>
          <w:sz w:val="18"/>
          <w:szCs w:val="18"/>
          <w:lang w:val="es-ES_tradnl"/>
        </w:rPr>
        <w:t>ñ</w:t>
      </w:r>
      <w:r>
        <w:rPr>
          <w:spacing w:val="-8"/>
          <w:sz w:val="18"/>
          <w:szCs w:val="18"/>
          <w:lang w:val="es-ES_tradnl"/>
        </w:rPr>
        <w:t>a comparece en calidad de abogado de EP Petroecuador y apoderado de VALM (SP), Manuel Zapater Ramos, gerente general y representante legal de la Empresa P</w:t>
      </w:r>
      <w:r>
        <w:rPr>
          <w:rFonts w:cs="Times New Roman"/>
          <w:spacing w:val="-8"/>
          <w:sz w:val="18"/>
          <w:szCs w:val="18"/>
          <w:lang w:val="es-ES_tradnl"/>
        </w:rPr>
        <w:t>ú</w:t>
      </w:r>
      <w:r>
        <w:rPr>
          <w:spacing w:val="-8"/>
          <w:sz w:val="18"/>
          <w:szCs w:val="18"/>
          <w:lang w:val="es-ES_tradnl"/>
        </w:rPr>
        <w:t xml:space="preserve">blica de Hidrocarburos del Ecuador, </w:t>
      </w:r>
      <w:r>
        <w:rPr>
          <w:spacing w:val="-9"/>
          <w:sz w:val="18"/>
          <w:szCs w:val="18"/>
          <w:lang w:val="es-ES_tradnl"/>
        </w:rPr>
        <w:t>presenta acci</w:t>
      </w:r>
      <w:r>
        <w:rPr>
          <w:rFonts w:cs="Times New Roman"/>
          <w:spacing w:val="-9"/>
          <w:sz w:val="18"/>
          <w:szCs w:val="18"/>
          <w:lang w:val="es-ES_tradnl"/>
        </w:rPr>
        <w:t>ó</w:t>
      </w:r>
      <w:r>
        <w:rPr>
          <w:spacing w:val="-9"/>
          <w:sz w:val="18"/>
          <w:szCs w:val="18"/>
          <w:lang w:val="es-ES_tradnl"/>
        </w:rPr>
        <w:t>n extraordinaria de protecci</w:t>
      </w:r>
      <w:r>
        <w:rPr>
          <w:rFonts w:cs="Times New Roman"/>
          <w:spacing w:val="-9"/>
          <w:sz w:val="18"/>
          <w:szCs w:val="18"/>
          <w:lang w:val="es-ES_tradnl"/>
        </w:rPr>
        <w:t>ó</w:t>
      </w:r>
      <w:r>
        <w:rPr>
          <w:spacing w:val="-9"/>
          <w:sz w:val="18"/>
          <w:szCs w:val="18"/>
          <w:lang w:val="es-ES_tradnl"/>
        </w:rPr>
        <w:t xml:space="preserve">n en contra de la </w:t>
      </w:r>
      <w:r>
        <w:rPr>
          <w:spacing w:val="-8"/>
          <w:sz w:val="18"/>
          <w:szCs w:val="18"/>
          <w:lang w:val="es-ES_tradnl"/>
        </w:rPr>
        <w:t xml:space="preserve">sentencia del 01 de septiembre de 2010 a las 15h19 y del </w:t>
      </w:r>
      <w:r>
        <w:rPr>
          <w:spacing w:val="-7"/>
          <w:sz w:val="18"/>
          <w:szCs w:val="18"/>
          <w:lang w:val="es-ES_tradnl"/>
        </w:rPr>
        <w:t xml:space="preserve">auto dictado el 29 de septiembre de 2010, emitidos por la </w:t>
      </w:r>
      <w:r>
        <w:rPr>
          <w:spacing w:val="-6"/>
          <w:sz w:val="18"/>
          <w:szCs w:val="18"/>
          <w:lang w:val="es-ES_tradnl"/>
        </w:rPr>
        <w:t xml:space="preserve">Segunda Sala de lo Civil, Mercantil, Inquilinato y Materias </w:t>
      </w:r>
      <w:r>
        <w:rPr>
          <w:spacing w:val="-7"/>
          <w:sz w:val="18"/>
          <w:szCs w:val="18"/>
          <w:lang w:val="es-ES_tradnl"/>
        </w:rPr>
        <w:t xml:space="preserve">Residuales de la Corte Provincial de Justicia de Pichincha </w:t>
      </w:r>
      <w:r>
        <w:rPr>
          <w:sz w:val="18"/>
          <w:szCs w:val="18"/>
          <w:lang w:val="es-ES_tradnl"/>
        </w:rPr>
        <w:t>dentro del proceso ejecutivo 358-2010.</w:t>
      </w:r>
    </w:p>
    <w:p w14:paraId="4F67B4BB" w14:textId="77777777" w:rsidR="00591D54" w:rsidRDefault="00591D54">
      <w:pPr>
        <w:shd w:val="clear" w:color="auto" w:fill="FFFFFF"/>
        <w:spacing w:before="197" w:line="216" w:lineRule="exact"/>
        <w:jc w:val="both"/>
      </w:pPr>
      <w:r>
        <w:rPr>
          <w:spacing w:val="-6"/>
          <w:sz w:val="18"/>
          <w:szCs w:val="18"/>
          <w:lang w:val="es-ES_tradnl"/>
        </w:rPr>
        <w:t>El 15 de noviembre de 2010, la Secretar</w:t>
      </w:r>
      <w:r>
        <w:rPr>
          <w:rFonts w:cs="Times New Roman"/>
          <w:spacing w:val="-6"/>
          <w:sz w:val="18"/>
          <w:szCs w:val="18"/>
          <w:lang w:val="es-ES_tradnl"/>
        </w:rPr>
        <w:t>í</w:t>
      </w:r>
      <w:r>
        <w:rPr>
          <w:spacing w:val="-6"/>
          <w:sz w:val="18"/>
          <w:szCs w:val="18"/>
          <w:lang w:val="es-ES_tradnl"/>
        </w:rPr>
        <w:t xml:space="preserve">a General de la </w:t>
      </w:r>
      <w:r>
        <w:rPr>
          <w:spacing w:val="-4"/>
          <w:sz w:val="18"/>
          <w:szCs w:val="18"/>
          <w:lang w:val="es-ES_tradnl"/>
        </w:rPr>
        <w:t xml:space="preserve">Corte Constitucional, de conformidad con lo establecido </w:t>
      </w:r>
      <w:r>
        <w:rPr>
          <w:spacing w:val="-6"/>
          <w:sz w:val="18"/>
          <w:szCs w:val="18"/>
          <w:lang w:val="es-ES_tradnl"/>
        </w:rPr>
        <w:t>en el segundo inciso del art</w:t>
      </w:r>
      <w:r>
        <w:rPr>
          <w:rFonts w:cs="Times New Roman"/>
          <w:spacing w:val="-6"/>
          <w:sz w:val="18"/>
          <w:szCs w:val="18"/>
          <w:lang w:val="es-ES_tradnl"/>
        </w:rPr>
        <w:t>í</w:t>
      </w:r>
      <w:r>
        <w:rPr>
          <w:spacing w:val="-6"/>
          <w:sz w:val="18"/>
          <w:szCs w:val="18"/>
          <w:lang w:val="es-ES_tradnl"/>
        </w:rPr>
        <w:t xml:space="preserve">culo 17 del Reglamento de </w:t>
      </w:r>
      <w:r>
        <w:rPr>
          <w:spacing w:val="-8"/>
          <w:sz w:val="18"/>
          <w:szCs w:val="18"/>
          <w:lang w:val="es-ES_tradnl"/>
        </w:rPr>
        <w:t>Sustanciaci</w:t>
      </w:r>
      <w:r>
        <w:rPr>
          <w:rFonts w:cs="Times New Roman"/>
          <w:spacing w:val="-8"/>
          <w:sz w:val="18"/>
          <w:szCs w:val="18"/>
          <w:lang w:val="es-ES_tradnl"/>
        </w:rPr>
        <w:t>ó</w:t>
      </w:r>
      <w:r>
        <w:rPr>
          <w:spacing w:val="-8"/>
          <w:sz w:val="18"/>
          <w:szCs w:val="18"/>
          <w:lang w:val="es-ES_tradnl"/>
        </w:rPr>
        <w:t xml:space="preserve">n de Procesos de Competencia de la Corte </w:t>
      </w:r>
      <w:r>
        <w:rPr>
          <w:spacing w:val="-4"/>
          <w:sz w:val="18"/>
          <w:szCs w:val="18"/>
          <w:lang w:val="es-ES_tradnl"/>
        </w:rPr>
        <w:t>Constitucional, publicado en el Registro Oficial N.</w:t>
      </w:r>
      <w:r>
        <w:rPr>
          <w:rFonts w:cs="Times New Roman"/>
          <w:spacing w:val="-4"/>
          <w:sz w:val="18"/>
          <w:szCs w:val="18"/>
          <w:lang w:val="es-ES_tradnl"/>
        </w:rPr>
        <w:t>º</w:t>
      </w:r>
      <w:r>
        <w:rPr>
          <w:spacing w:val="-4"/>
          <w:sz w:val="18"/>
          <w:szCs w:val="18"/>
          <w:lang w:val="es-ES_tradnl"/>
        </w:rPr>
        <w:t xml:space="preserve"> 127 </w:t>
      </w:r>
      <w:r>
        <w:rPr>
          <w:spacing w:val="-3"/>
          <w:sz w:val="18"/>
          <w:szCs w:val="18"/>
          <w:lang w:val="es-ES_tradnl"/>
        </w:rPr>
        <w:t>del 10 de febrero de 2010, certific</w:t>
      </w:r>
      <w:r>
        <w:rPr>
          <w:rFonts w:cs="Times New Roman"/>
          <w:spacing w:val="-3"/>
          <w:sz w:val="18"/>
          <w:szCs w:val="18"/>
          <w:lang w:val="es-ES_tradnl"/>
        </w:rPr>
        <w:t>ó</w:t>
      </w:r>
      <w:r>
        <w:rPr>
          <w:spacing w:val="-3"/>
          <w:sz w:val="18"/>
          <w:szCs w:val="18"/>
          <w:lang w:val="es-ES_tradnl"/>
        </w:rPr>
        <w:t xml:space="preserve"> que en referencia a </w:t>
      </w:r>
      <w:r>
        <w:rPr>
          <w:spacing w:val="-9"/>
          <w:sz w:val="18"/>
          <w:szCs w:val="18"/>
          <w:lang w:val="es-ES_tradnl"/>
        </w:rPr>
        <w:t>la presente acci</w:t>
      </w:r>
      <w:r>
        <w:rPr>
          <w:rFonts w:cs="Times New Roman"/>
          <w:spacing w:val="-9"/>
          <w:sz w:val="18"/>
          <w:szCs w:val="18"/>
          <w:lang w:val="es-ES_tradnl"/>
        </w:rPr>
        <w:t>ó</w:t>
      </w:r>
      <w:r>
        <w:rPr>
          <w:spacing w:val="-9"/>
          <w:sz w:val="18"/>
          <w:szCs w:val="18"/>
          <w:lang w:val="es-ES_tradnl"/>
        </w:rPr>
        <w:t xml:space="preserve">n, no se ha presentado otra demanda con </w:t>
      </w:r>
      <w:r>
        <w:rPr>
          <w:sz w:val="18"/>
          <w:szCs w:val="18"/>
          <w:lang w:val="es-ES_tradnl"/>
        </w:rPr>
        <w:t>identidad de objeto y acci</w:t>
      </w:r>
      <w:r>
        <w:rPr>
          <w:rFonts w:cs="Times New Roman"/>
          <w:sz w:val="18"/>
          <w:szCs w:val="18"/>
          <w:lang w:val="es-ES_tradnl"/>
        </w:rPr>
        <w:t>ó</w:t>
      </w:r>
      <w:r>
        <w:rPr>
          <w:sz w:val="18"/>
          <w:szCs w:val="18"/>
          <w:lang w:val="es-ES_tradnl"/>
        </w:rPr>
        <w:t>n.</w:t>
      </w:r>
    </w:p>
    <w:p w14:paraId="4F67B4BC" w14:textId="77777777" w:rsidR="00591D54" w:rsidRDefault="00591D54">
      <w:pPr>
        <w:shd w:val="clear" w:color="auto" w:fill="FFFFFF"/>
        <w:spacing w:before="197" w:line="216" w:lineRule="exact"/>
        <w:ind w:right="5"/>
        <w:jc w:val="both"/>
      </w:pPr>
      <w:r>
        <w:rPr>
          <w:sz w:val="18"/>
          <w:szCs w:val="18"/>
          <w:lang w:val="es-ES_tradnl"/>
        </w:rPr>
        <w:t>La Sala de Admisi</w:t>
      </w:r>
      <w:r>
        <w:rPr>
          <w:rFonts w:cs="Times New Roman"/>
          <w:sz w:val="18"/>
          <w:szCs w:val="18"/>
          <w:lang w:val="es-ES_tradnl"/>
        </w:rPr>
        <w:t>ó</w:t>
      </w:r>
      <w:r>
        <w:rPr>
          <w:sz w:val="18"/>
          <w:szCs w:val="18"/>
          <w:lang w:val="es-ES_tradnl"/>
        </w:rPr>
        <w:t xml:space="preserve">n de la Corte Constitucional, para </w:t>
      </w:r>
      <w:r>
        <w:rPr>
          <w:spacing w:val="-2"/>
          <w:sz w:val="18"/>
          <w:szCs w:val="18"/>
          <w:lang w:val="es-ES_tradnl"/>
        </w:rPr>
        <w:t>el per</w:t>
      </w:r>
      <w:r>
        <w:rPr>
          <w:rFonts w:cs="Times New Roman"/>
          <w:spacing w:val="-2"/>
          <w:sz w:val="18"/>
          <w:szCs w:val="18"/>
          <w:lang w:val="es-ES_tradnl"/>
        </w:rPr>
        <w:t>í</w:t>
      </w:r>
      <w:r>
        <w:rPr>
          <w:spacing w:val="-2"/>
          <w:sz w:val="18"/>
          <w:szCs w:val="18"/>
          <w:lang w:val="es-ES_tradnl"/>
        </w:rPr>
        <w:t>odo de transici</w:t>
      </w:r>
      <w:r>
        <w:rPr>
          <w:rFonts w:cs="Times New Roman"/>
          <w:spacing w:val="-2"/>
          <w:sz w:val="18"/>
          <w:szCs w:val="18"/>
          <w:lang w:val="es-ES_tradnl"/>
        </w:rPr>
        <w:t>ó</w:t>
      </w:r>
      <w:r>
        <w:rPr>
          <w:spacing w:val="-2"/>
          <w:sz w:val="18"/>
          <w:szCs w:val="18"/>
          <w:lang w:val="es-ES_tradnl"/>
        </w:rPr>
        <w:t xml:space="preserve">n, conformada por la jueza </w:t>
      </w:r>
      <w:r>
        <w:rPr>
          <w:spacing w:val="-5"/>
          <w:sz w:val="18"/>
          <w:szCs w:val="18"/>
          <w:lang w:val="es-ES_tradnl"/>
        </w:rPr>
        <w:t xml:space="preserve">constitucional y los jueces constitucionales Nina Pacari </w:t>
      </w:r>
      <w:r>
        <w:rPr>
          <w:spacing w:val="-4"/>
          <w:sz w:val="18"/>
          <w:szCs w:val="18"/>
          <w:lang w:val="es-ES_tradnl"/>
        </w:rPr>
        <w:t xml:space="preserve">Vega, </w:t>
      </w:r>
      <w:r>
        <w:rPr>
          <w:rFonts w:cs="Times New Roman"/>
          <w:spacing w:val="-4"/>
          <w:sz w:val="18"/>
          <w:szCs w:val="18"/>
          <w:lang w:val="es-ES_tradnl"/>
        </w:rPr>
        <w:t>É</w:t>
      </w:r>
      <w:r>
        <w:rPr>
          <w:spacing w:val="-4"/>
          <w:sz w:val="18"/>
          <w:szCs w:val="18"/>
          <w:lang w:val="es-ES_tradnl"/>
        </w:rPr>
        <w:t>dgar Z</w:t>
      </w:r>
      <w:r>
        <w:rPr>
          <w:rFonts w:cs="Times New Roman"/>
          <w:spacing w:val="-4"/>
          <w:sz w:val="18"/>
          <w:szCs w:val="18"/>
          <w:lang w:val="es-ES_tradnl"/>
        </w:rPr>
        <w:t>á</w:t>
      </w:r>
      <w:r>
        <w:rPr>
          <w:spacing w:val="-4"/>
          <w:sz w:val="18"/>
          <w:szCs w:val="18"/>
          <w:lang w:val="es-ES_tradnl"/>
        </w:rPr>
        <w:t>rate Z</w:t>
      </w:r>
      <w:r>
        <w:rPr>
          <w:rFonts w:cs="Times New Roman"/>
          <w:spacing w:val="-4"/>
          <w:sz w:val="18"/>
          <w:szCs w:val="18"/>
          <w:lang w:val="es-ES_tradnl"/>
        </w:rPr>
        <w:t>á</w:t>
      </w:r>
      <w:r>
        <w:rPr>
          <w:spacing w:val="-4"/>
          <w:sz w:val="18"/>
          <w:szCs w:val="18"/>
          <w:lang w:val="es-ES_tradnl"/>
        </w:rPr>
        <w:t xml:space="preserve">rate y Manuel Viteri Olvera, el 21 </w:t>
      </w:r>
      <w:r>
        <w:rPr>
          <w:spacing w:val="-7"/>
          <w:sz w:val="18"/>
          <w:szCs w:val="18"/>
          <w:lang w:val="es-ES_tradnl"/>
        </w:rPr>
        <w:t>de marzo de 2011 a las 14h30, admiti</w:t>
      </w:r>
      <w:r>
        <w:rPr>
          <w:rFonts w:cs="Times New Roman"/>
          <w:spacing w:val="-7"/>
          <w:sz w:val="18"/>
          <w:szCs w:val="18"/>
          <w:lang w:val="es-ES_tradnl"/>
        </w:rPr>
        <w:t>ó</w:t>
      </w:r>
      <w:r>
        <w:rPr>
          <w:spacing w:val="-7"/>
          <w:sz w:val="18"/>
          <w:szCs w:val="18"/>
          <w:lang w:val="es-ES_tradnl"/>
        </w:rPr>
        <w:t xml:space="preserve"> a tr</w:t>
      </w:r>
      <w:r>
        <w:rPr>
          <w:rFonts w:cs="Times New Roman"/>
          <w:spacing w:val="-7"/>
          <w:sz w:val="18"/>
          <w:szCs w:val="18"/>
          <w:lang w:val="es-ES_tradnl"/>
        </w:rPr>
        <w:t>á</w:t>
      </w:r>
      <w:r>
        <w:rPr>
          <w:spacing w:val="-7"/>
          <w:sz w:val="18"/>
          <w:szCs w:val="18"/>
          <w:lang w:val="es-ES_tradnl"/>
        </w:rPr>
        <w:t>mite la acci</w:t>
      </w:r>
      <w:r>
        <w:rPr>
          <w:rFonts w:cs="Times New Roman"/>
          <w:spacing w:val="-7"/>
          <w:sz w:val="18"/>
          <w:szCs w:val="18"/>
          <w:lang w:val="es-ES_tradnl"/>
        </w:rPr>
        <w:t>ó</w:t>
      </w:r>
      <w:r>
        <w:rPr>
          <w:spacing w:val="-7"/>
          <w:sz w:val="18"/>
          <w:szCs w:val="18"/>
          <w:lang w:val="es-ES_tradnl"/>
        </w:rPr>
        <w:t xml:space="preserve">n </w:t>
      </w:r>
      <w:r>
        <w:rPr>
          <w:spacing w:val="-9"/>
          <w:sz w:val="18"/>
          <w:szCs w:val="18"/>
          <w:lang w:val="es-ES_tradnl"/>
        </w:rPr>
        <w:t>extraordinaria de protecci</w:t>
      </w:r>
      <w:r>
        <w:rPr>
          <w:rFonts w:cs="Times New Roman"/>
          <w:spacing w:val="-9"/>
          <w:sz w:val="18"/>
          <w:szCs w:val="18"/>
          <w:lang w:val="es-ES_tradnl"/>
        </w:rPr>
        <w:t>ó</w:t>
      </w:r>
      <w:r>
        <w:rPr>
          <w:spacing w:val="-9"/>
          <w:sz w:val="18"/>
          <w:szCs w:val="18"/>
          <w:lang w:val="es-ES_tradnl"/>
        </w:rPr>
        <w:t>n signada con el N.</w:t>
      </w:r>
      <w:r>
        <w:rPr>
          <w:rFonts w:cs="Times New Roman"/>
          <w:spacing w:val="-9"/>
          <w:sz w:val="18"/>
          <w:szCs w:val="18"/>
          <w:lang w:val="es-ES_tradnl"/>
        </w:rPr>
        <w:t>º</w:t>
      </w:r>
      <w:r>
        <w:rPr>
          <w:spacing w:val="-9"/>
          <w:sz w:val="18"/>
          <w:szCs w:val="18"/>
          <w:lang w:val="es-ES_tradnl"/>
        </w:rPr>
        <w:t xml:space="preserve"> 1656-10-EP.</w:t>
      </w:r>
    </w:p>
    <w:p w14:paraId="4F67B4BD" w14:textId="77777777" w:rsidR="00591D54" w:rsidRDefault="00591D54">
      <w:pPr>
        <w:shd w:val="clear" w:color="auto" w:fill="FFFFFF"/>
        <w:spacing w:before="197" w:line="216" w:lineRule="exact"/>
        <w:ind w:right="5"/>
        <w:jc w:val="both"/>
      </w:pPr>
      <w:r>
        <w:rPr>
          <w:spacing w:val="-3"/>
          <w:sz w:val="18"/>
          <w:szCs w:val="18"/>
          <w:lang w:val="es-ES_tradnl"/>
        </w:rPr>
        <w:t xml:space="preserve">El 18 de abril de 2011 de conformidad con el sorteo </w:t>
      </w:r>
      <w:r>
        <w:rPr>
          <w:spacing w:val="-5"/>
          <w:sz w:val="18"/>
          <w:szCs w:val="18"/>
          <w:lang w:val="es-ES_tradnl"/>
        </w:rPr>
        <w:t>realizado por el Pleno de la Corte Constitucional, para el per</w:t>
      </w:r>
      <w:r>
        <w:rPr>
          <w:rFonts w:cs="Times New Roman"/>
          <w:spacing w:val="-5"/>
          <w:sz w:val="18"/>
          <w:szCs w:val="18"/>
          <w:lang w:val="es-ES_tradnl"/>
        </w:rPr>
        <w:t>í</w:t>
      </w:r>
      <w:r>
        <w:rPr>
          <w:spacing w:val="-5"/>
          <w:sz w:val="18"/>
          <w:szCs w:val="18"/>
          <w:lang w:val="es-ES_tradnl"/>
        </w:rPr>
        <w:t>odo de transici</w:t>
      </w:r>
      <w:r>
        <w:rPr>
          <w:rFonts w:cs="Times New Roman"/>
          <w:spacing w:val="-5"/>
          <w:sz w:val="18"/>
          <w:szCs w:val="18"/>
          <w:lang w:val="es-ES_tradnl"/>
        </w:rPr>
        <w:t>ó</w:t>
      </w:r>
      <w:r>
        <w:rPr>
          <w:spacing w:val="-5"/>
          <w:sz w:val="18"/>
          <w:szCs w:val="18"/>
          <w:lang w:val="es-ES_tradnl"/>
        </w:rPr>
        <w:t>n, en sesi</w:t>
      </w:r>
      <w:r>
        <w:rPr>
          <w:rFonts w:cs="Times New Roman"/>
          <w:spacing w:val="-5"/>
          <w:sz w:val="18"/>
          <w:szCs w:val="18"/>
          <w:lang w:val="es-ES_tradnl"/>
        </w:rPr>
        <w:t>ó</w:t>
      </w:r>
      <w:r>
        <w:rPr>
          <w:spacing w:val="-5"/>
          <w:sz w:val="18"/>
          <w:szCs w:val="18"/>
          <w:lang w:val="es-ES_tradnl"/>
        </w:rPr>
        <w:t xml:space="preserve">n ordinaria del 14 de abril </w:t>
      </w:r>
      <w:r>
        <w:rPr>
          <w:spacing w:val="-8"/>
          <w:sz w:val="18"/>
          <w:szCs w:val="18"/>
          <w:lang w:val="es-ES_tradnl"/>
        </w:rPr>
        <w:t>de 2011, se remiti</w:t>
      </w:r>
      <w:r>
        <w:rPr>
          <w:rFonts w:cs="Times New Roman"/>
          <w:spacing w:val="-8"/>
          <w:sz w:val="18"/>
          <w:szCs w:val="18"/>
          <w:lang w:val="es-ES_tradnl"/>
        </w:rPr>
        <w:t>ó</w:t>
      </w:r>
      <w:r>
        <w:rPr>
          <w:spacing w:val="-8"/>
          <w:sz w:val="18"/>
          <w:szCs w:val="18"/>
          <w:lang w:val="es-ES_tradnl"/>
        </w:rPr>
        <w:t xml:space="preserve"> para su sustanciaci</w:t>
      </w:r>
      <w:r>
        <w:rPr>
          <w:rFonts w:cs="Times New Roman"/>
          <w:spacing w:val="-8"/>
          <w:sz w:val="18"/>
          <w:szCs w:val="18"/>
          <w:lang w:val="es-ES_tradnl"/>
        </w:rPr>
        <w:t>ó</w:t>
      </w:r>
      <w:r>
        <w:rPr>
          <w:spacing w:val="-8"/>
          <w:sz w:val="18"/>
          <w:szCs w:val="18"/>
          <w:lang w:val="es-ES_tradnl"/>
        </w:rPr>
        <w:t xml:space="preserve">n el expediente del </w:t>
      </w:r>
      <w:r>
        <w:rPr>
          <w:spacing w:val="-6"/>
          <w:sz w:val="18"/>
          <w:szCs w:val="18"/>
          <w:lang w:val="es-ES_tradnl"/>
        </w:rPr>
        <w:t>caso N.</w:t>
      </w:r>
      <w:r>
        <w:rPr>
          <w:rFonts w:cs="Times New Roman"/>
          <w:spacing w:val="-6"/>
          <w:sz w:val="18"/>
          <w:szCs w:val="18"/>
          <w:lang w:val="es-ES_tradnl"/>
        </w:rPr>
        <w:t>º</w:t>
      </w:r>
      <w:r>
        <w:rPr>
          <w:spacing w:val="-6"/>
          <w:sz w:val="18"/>
          <w:szCs w:val="18"/>
          <w:lang w:val="es-ES_tradnl"/>
        </w:rPr>
        <w:t xml:space="preserve"> 1656-10-EP, al juez constitucional Manuel Viteri </w:t>
      </w:r>
      <w:r>
        <w:rPr>
          <w:sz w:val="18"/>
          <w:szCs w:val="18"/>
          <w:lang w:val="es-ES_tradnl"/>
        </w:rPr>
        <w:t>Olvera.</w:t>
      </w:r>
    </w:p>
    <w:p w14:paraId="4F67B4BE" w14:textId="77777777" w:rsidR="00591D54" w:rsidRDefault="00591D54">
      <w:pPr>
        <w:shd w:val="clear" w:color="auto" w:fill="FFFFFF"/>
        <w:spacing w:before="197" w:line="216" w:lineRule="exact"/>
        <w:ind w:right="5"/>
        <w:jc w:val="both"/>
      </w:pPr>
      <w:r>
        <w:rPr>
          <w:spacing w:val="-6"/>
          <w:sz w:val="18"/>
          <w:szCs w:val="18"/>
          <w:lang w:val="es-ES_tradnl"/>
        </w:rPr>
        <w:t xml:space="preserve">El 09 de mayo de 2011 a las 09h35, el juez constitucional </w:t>
      </w:r>
      <w:r>
        <w:rPr>
          <w:spacing w:val="-4"/>
          <w:sz w:val="18"/>
          <w:szCs w:val="18"/>
          <w:lang w:val="es-ES_tradnl"/>
        </w:rPr>
        <w:t xml:space="preserve">Manuel Viteri Olvera en su calidad de juez sustanciador </w:t>
      </w:r>
      <w:r>
        <w:rPr>
          <w:spacing w:val="-8"/>
          <w:sz w:val="18"/>
          <w:szCs w:val="18"/>
          <w:lang w:val="es-ES_tradnl"/>
        </w:rPr>
        <w:t>de la causa, avoc</w:t>
      </w:r>
      <w:r>
        <w:rPr>
          <w:rFonts w:cs="Times New Roman"/>
          <w:spacing w:val="-8"/>
          <w:sz w:val="18"/>
          <w:szCs w:val="18"/>
          <w:lang w:val="es-ES_tradnl"/>
        </w:rPr>
        <w:t>ó</w:t>
      </w:r>
      <w:r>
        <w:rPr>
          <w:spacing w:val="-8"/>
          <w:sz w:val="18"/>
          <w:szCs w:val="18"/>
          <w:lang w:val="es-ES_tradnl"/>
        </w:rPr>
        <w:t xml:space="preserve"> conocimiento de la misma disponiendo </w:t>
      </w:r>
      <w:r>
        <w:rPr>
          <w:spacing w:val="-5"/>
          <w:sz w:val="18"/>
          <w:szCs w:val="18"/>
          <w:lang w:val="es-ES_tradnl"/>
        </w:rPr>
        <w:t xml:space="preserve">que se notifique con el contenido de la providencia y la </w:t>
      </w:r>
      <w:r>
        <w:rPr>
          <w:spacing w:val="-9"/>
          <w:sz w:val="18"/>
          <w:szCs w:val="18"/>
          <w:lang w:val="es-ES_tradnl"/>
        </w:rPr>
        <w:t xml:space="preserve">demanda respectiva a los jueces de la Segunda Sala de lo </w:t>
      </w:r>
      <w:r>
        <w:rPr>
          <w:spacing w:val="-3"/>
          <w:sz w:val="18"/>
          <w:szCs w:val="18"/>
          <w:lang w:val="es-ES_tradnl"/>
        </w:rPr>
        <w:t xml:space="preserve">Civil, Mercantil, Inquilinato y Materias Residuales de la </w:t>
      </w:r>
      <w:r>
        <w:rPr>
          <w:sz w:val="18"/>
          <w:szCs w:val="18"/>
          <w:lang w:val="es-ES_tradnl"/>
        </w:rPr>
        <w:t>Corte Provincial de Justicia de Pichincha.</w:t>
      </w:r>
    </w:p>
    <w:p w14:paraId="4F67B4BF" w14:textId="77777777" w:rsidR="00591D54" w:rsidRDefault="00591D54">
      <w:pPr>
        <w:shd w:val="clear" w:color="auto" w:fill="FFFFFF"/>
        <w:spacing w:before="197" w:line="216" w:lineRule="exact"/>
        <w:ind w:right="5"/>
        <w:jc w:val="both"/>
      </w:pPr>
      <w:r>
        <w:rPr>
          <w:spacing w:val="-4"/>
          <w:sz w:val="18"/>
          <w:szCs w:val="18"/>
          <w:lang w:val="es-ES_tradnl"/>
        </w:rPr>
        <w:t>Terminado el per</w:t>
      </w:r>
      <w:r>
        <w:rPr>
          <w:rFonts w:cs="Times New Roman"/>
          <w:spacing w:val="-4"/>
          <w:sz w:val="18"/>
          <w:szCs w:val="18"/>
          <w:lang w:val="es-ES_tradnl"/>
        </w:rPr>
        <w:t>í</w:t>
      </w:r>
      <w:r>
        <w:rPr>
          <w:spacing w:val="-4"/>
          <w:sz w:val="18"/>
          <w:szCs w:val="18"/>
          <w:lang w:val="es-ES_tradnl"/>
        </w:rPr>
        <w:t>odo de transici</w:t>
      </w:r>
      <w:r>
        <w:rPr>
          <w:rFonts w:cs="Times New Roman"/>
          <w:spacing w:val="-4"/>
          <w:sz w:val="18"/>
          <w:szCs w:val="18"/>
          <w:lang w:val="es-ES_tradnl"/>
        </w:rPr>
        <w:t>ó</w:t>
      </w:r>
      <w:r>
        <w:rPr>
          <w:spacing w:val="-4"/>
          <w:sz w:val="18"/>
          <w:szCs w:val="18"/>
          <w:lang w:val="es-ES_tradnl"/>
        </w:rPr>
        <w:t xml:space="preserve">n, el 06 de noviembre </w:t>
      </w:r>
      <w:r>
        <w:rPr>
          <w:spacing w:val="-8"/>
          <w:sz w:val="18"/>
          <w:szCs w:val="18"/>
          <w:lang w:val="es-ES_tradnl"/>
        </w:rPr>
        <w:t xml:space="preserve">de 2012, se posesionaron ante el Pleno de la Asamblea </w:t>
      </w:r>
      <w:r>
        <w:rPr>
          <w:spacing w:val="-6"/>
          <w:sz w:val="18"/>
          <w:szCs w:val="18"/>
          <w:lang w:val="es-ES_tradnl"/>
        </w:rPr>
        <w:t xml:space="preserve">Nacional los jueces de la Primera Corte Constitucional, </w:t>
      </w:r>
      <w:r>
        <w:rPr>
          <w:spacing w:val="-7"/>
          <w:sz w:val="18"/>
          <w:szCs w:val="18"/>
          <w:lang w:val="es-ES_tradnl"/>
        </w:rPr>
        <w:t>integrada conforme lo dispuesto en los art</w:t>
      </w:r>
      <w:r>
        <w:rPr>
          <w:rFonts w:cs="Times New Roman"/>
          <w:spacing w:val="-7"/>
          <w:sz w:val="18"/>
          <w:szCs w:val="18"/>
          <w:lang w:val="es-ES_tradnl"/>
        </w:rPr>
        <w:t>í</w:t>
      </w:r>
      <w:r>
        <w:rPr>
          <w:spacing w:val="-7"/>
          <w:sz w:val="18"/>
          <w:szCs w:val="18"/>
          <w:lang w:val="es-ES_tradnl"/>
        </w:rPr>
        <w:t xml:space="preserve">culos 432 y 434 </w:t>
      </w:r>
      <w:r>
        <w:rPr>
          <w:sz w:val="18"/>
          <w:szCs w:val="18"/>
          <w:lang w:val="es-ES_tradnl"/>
        </w:rPr>
        <w:t>de 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B4C0" w14:textId="77777777" w:rsidR="00591D54" w:rsidRDefault="00591D54">
      <w:pPr>
        <w:shd w:val="clear" w:color="auto" w:fill="FFFFFF"/>
        <w:spacing w:before="192" w:line="216" w:lineRule="exact"/>
        <w:ind w:right="5"/>
        <w:jc w:val="both"/>
      </w:pPr>
      <w:r>
        <w:rPr>
          <w:spacing w:val="-5"/>
          <w:sz w:val="18"/>
          <w:szCs w:val="18"/>
          <w:lang w:val="es-ES_tradnl"/>
        </w:rPr>
        <w:t xml:space="preserve">En virtud del sorteo realizado por el Pleno de la Corte </w:t>
      </w:r>
      <w:r>
        <w:rPr>
          <w:spacing w:val="-7"/>
          <w:sz w:val="18"/>
          <w:szCs w:val="18"/>
          <w:lang w:val="es-ES_tradnl"/>
        </w:rPr>
        <w:t>Constitucional en sesi</w:t>
      </w:r>
      <w:r>
        <w:rPr>
          <w:rFonts w:cs="Times New Roman"/>
          <w:spacing w:val="-7"/>
          <w:sz w:val="18"/>
          <w:szCs w:val="18"/>
          <w:lang w:val="es-ES_tradnl"/>
        </w:rPr>
        <w:t>ó</w:t>
      </w:r>
      <w:r>
        <w:rPr>
          <w:spacing w:val="-7"/>
          <w:sz w:val="18"/>
          <w:szCs w:val="18"/>
          <w:lang w:val="es-ES_tradnl"/>
        </w:rPr>
        <w:t xml:space="preserve">n extraordinaria del 03 de enero de </w:t>
      </w:r>
      <w:r>
        <w:rPr>
          <w:spacing w:val="-9"/>
          <w:sz w:val="18"/>
          <w:szCs w:val="18"/>
          <w:lang w:val="es-ES_tradnl"/>
        </w:rPr>
        <w:t>2013, correspondi</w:t>
      </w:r>
      <w:r>
        <w:rPr>
          <w:rFonts w:cs="Times New Roman"/>
          <w:spacing w:val="-9"/>
          <w:sz w:val="18"/>
          <w:szCs w:val="18"/>
          <w:lang w:val="es-ES_tradnl"/>
        </w:rPr>
        <w:t>ó</w:t>
      </w:r>
      <w:r>
        <w:rPr>
          <w:spacing w:val="-9"/>
          <w:sz w:val="18"/>
          <w:szCs w:val="18"/>
          <w:lang w:val="es-ES_tradnl"/>
        </w:rPr>
        <w:t xml:space="preserve"> la sustanciaci</w:t>
      </w:r>
      <w:r>
        <w:rPr>
          <w:rFonts w:cs="Times New Roman"/>
          <w:spacing w:val="-9"/>
          <w:sz w:val="18"/>
          <w:szCs w:val="18"/>
          <w:lang w:val="es-ES_tradnl"/>
        </w:rPr>
        <w:t>ó</w:t>
      </w:r>
      <w:r>
        <w:rPr>
          <w:spacing w:val="-9"/>
          <w:sz w:val="18"/>
          <w:szCs w:val="18"/>
          <w:lang w:val="es-ES_tradnl"/>
        </w:rPr>
        <w:t>n de la presente causa al</w:t>
      </w:r>
    </w:p>
    <w:p w14:paraId="4F67B4C1" w14:textId="77777777" w:rsidR="00591D54" w:rsidRDefault="00591D54">
      <w:pPr>
        <w:shd w:val="clear" w:color="auto" w:fill="FFFFFF"/>
        <w:spacing w:before="163" w:line="216" w:lineRule="exact"/>
        <w:ind w:right="10"/>
        <w:jc w:val="both"/>
      </w:pPr>
      <w:r>
        <w:br w:type="column"/>
      </w:r>
      <w:r>
        <w:rPr>
          <w:spacing w:val="-6"/>
          <w:sz w:val="18"/>
          <w:szCs w:val="18"/>
          <w:lang w:val="es-ES_tradnl"/>
        </w:rPr>
        <w:t>juez constitucional Patricio Pazmi</w:t>
      </w:r>
      <w:r>
        <w:rPr>
          <w:rFonts w:cs="Times New Roman"/>
          <w:spacing w:val="-6"/>
          <w:sz w:val="18"/>
          <w:szCs w:val="18"/>
          <w:lang w:val="es-ES_tradnl"/>
        </w:rPr>
        <w:t>ñ</w:t>
      </w:r>
      <w:r>
        <w:rPr>
          <w:spacing w:val="-6"/>
          <w:sz w:val="18"/>
          <w:szCs w:val="18"/>
          <w:lang w:val="es-ES_tradnl"/>
        </w:rPr>
        <w:t>o Freire, as</w:t>
      </w:r>
      <w:r>
        <w:rPr>
          <w:rFonts w:cs="Times New Roman"/>
          <w:spacing w:val="-6"/>
          <w:sz w:val="18"/>
          <w:szCs w:val="18"/>
          <w:lang w:val="es-ES_tradnl"/>
        </w:rPr>
        <w:t>í</w:t>
      </w:r>
      <w:r>
        <w:rPr>
          <w:spacing w:val="-6"/>
          <w:sz w:val="18"/>
          <w:szCs w:val="18"/>
          <w:lang w:val="es-ES_tradnl"/>
        </w:rPr>
        <w:t xml:space="preserve">, mediante </w:t>
      </w:r>
      <w:r>
        <w:rPr>
          <w:spacing w:val="-7"/>
          <w:sz w:val="18"/>
          <w:szCs w:val="18"/>
          <w:lang w:val="es-ES_tradnl"/>
        </w:rPr>
        <w:t>memorando N.</w:t>
      </w:r>
      <w:r>
        <w:rPr>
          <w:rFonts w:cs="Times New Roman"/>
          <w:spacing w:val="-7"/>
          <w:sz w:val="18"/>
          <w:szCs w:val="18"/>
          <w:lang w:val="es-ES_tradnl"/>
        </w:rPr>
        <w:t>º</w:t>
      </w:r>
      <w:r>
        <w:rPr>
          <w:spacing w:val="-7"/>
          <w:sz w:val="18"/>
          <w:szCs w:val="18"/>
          <w:lang w:val="es-ES_tradnl"/>
        </w:rPr>
        <w:t xml:space="preserve"> 001-CCE-SG-SUS-2013 del 07 de enero de 2013, el secretario general remiti</w:t>
      </w:r>
      <w:r>
        <w:rPr>
          <w:rFonts w:cs="Times New Roman"/>
          <w:spacing w:val="-7"/>
          <w:sz w:val="18"/>
          <w:szCs w:val="18"/>
          <w:lang w:val="es-ES_tradnl"/>
        </w:rPr>
        <w:t>ó</w:t>
      </w:r>
      <w:r>
        <w:rPr>
          <w:spacing w:val="-7"/>
          <w:sz w:val="18"/>
          <w:szCs w:val="18"/>
          <w:lang w:val="es-ES_tradnl"/>
        </w:rPr>
        <w:t xml:space="preserve"> el expediente de las </w:t>
      </w:r>
      <w:r>
        <w:rPr>
          <w:spacing w:val="-10"/>
          <w:sz w:val="18"/>
          <w:szCs w:val="18"/>
          <w:lang w:val="es-ES_tradnl"/>
        </w:rPr>
        <w:t>causas sorteadas en el que se encuentra la causa N.</w:t>
      </w:r>
      <w:r>
        <w:rPr>
          <w:rFonts w:cs="Times New Roman"/>
          <w:spacing w:val="-10"/>
          <w:sz w:val="18"/>
          <w:szCs w:val="18"/>
          <w:lang w:val="es-ES_tradnl"/>
        </w:rPr>
        <w:t>º</w:t>
      </w:r>
      <w:r>
        <w:rPr>
          <w:spacing w:val="-10"/>
          <w:sz w:val="18"/>
          <w:szCs w:val="18"/>
          <w:lang w:val="es-ES_tradnl"/>
        </w:rPr>
        <w:t xml:space="preserve"> 1656-</w:t>
      </w:r>
      <w:r>
        <w:rPr>
          <w:sz w:val="18"/>
          <w:szCs w:val="18"/>
          <w:lang w:val="es-ES_tradnl"/>
        </w:rPr>
        <w:t>10-EP.</w:t>
      </w:r>
    </w:p>
    <w:p w14:paraId="4F67B4C2" w14:textId="77777777" w:rsidR="00591D54" w:rsidRDefault="00591D54">
      <w:pPr>
        <w:shd w:val="clear" w:color="auto" w:fill="FFFFFF"/>
        <w:spacing w:before="202" w:line="216" w:lineRule="exact"/>
        <w:ind w:right="10"/>
        <w:jc w:val="both"/>
      </w:pPr>
      <w:r>
        <w:rPr>
          <w:spacing w:val="-5"/>
          <w:sz w:val="18"/>
          <w:szCs w:val="18"/>
          <w:lang w:val="es-ES_tradnl"/>
        </w:rPr>
        <w:t xml:space="preserve">En providencia dictada el 09 de abril del 2015, el juez </w:t>
      </w:r>
      <w:r>
        <w:rPr>
          <w:spacing w:val="-7"/>
          <w:sz w:val="18"/>
          <w:szCs w:val="18"/>
          <w:lang w:val="es-ES_tradnl"/>
        </w:rPr>
        <w:t>constitucional Patricio Pazmi</w:t>
      </w:r>
      <w:r>
        <w:rPr>
          <w:rFonts w:cs="Times New Roman"/>
          <w:spacing w:val="-7"/>
          <w:sz w:val="18"/>
          <w:szCs w:val="18"/>
          <w:lang w:val="es-ES_tradnl"/>
        </w:rPr>
        <w:t>ñ</w:t>
      </w:r>
      <w:r>
        <w:rPr>
          <w:spacing w:val="-7"/>
          <w:sz w:val="18"/>
          <w:szCs w:val="18"/>
          <w:lang w:val="es-ES_tradnl"/>
        </w:rPr>
        <w:t>o Freire avoc</w:t>
      </w:r>
      <w:r>
        <w:rPr>
          <w:rFonts w:cs="Times New Roman"/>
          <w:spacing w:val="-7"/>
          <w:sz w:val="18"/>
          <w:szCs w:val="18"/>
          <w:lang w:val="es-ES_tradnl"/>
        </w:rPr>
        <w:t>ó</w:t>
      </w:r>
      <w:r>
        <w:rPr>
          <w:spacing w:val="-7"/>
          <w:sz w:val="18"/>
          <w:szCs w:val="18"/>
          <w:lang w:val="es-ES_tradnl"/>
        </w:rPr>
        <w:t xml:space="preserve"> conocimiento </w:t>
      </w:r>
      <w:r>
        <w:rPr>
          <w:spacing w:val="-8"/>
          <w:sz w:val="18"/>
          <w:szCs w:val="18"/>
          <w:lang w:val="es-ES_tradnl"/>
        </w:rPr>
        <w:t xml:space="preserve">de la causa y dispuso que se notifique con el contenido de la providencia y demanda a los jueces de la Segunda Sala </w:t>
      </w:r>
      <w:r>
        <w:rPr>
          <w:spacing w:val="-6"/>
          <w:sz w:val="18"/>
          <w:szCs w:val="18"/>
          <w:lang w:val="es-ES_tradnl"/>
        </w:rPr>
        <w:t xml:space="preserve">de lo Civil, Mercantil, Inquilinato y Materias Residuales de </w:t>
      </w:r>
      <w:r>
        <w:rPr>
          <w:spacing w:val="-8"/>
          <w:sz w:val="18"/>
          <w:szCs w:val="18"/>
          <w:lang w:val="es-ES_tradnl"/>
        </w:rPr>
        <w:t xml:space="preserve">la Corte Provincial de Justicia de Pichincha a fin de que en </w:t>
      </w:r>
      <w:r>
        <w:rPr>
          <w:spacing w:val="-6"/>
          <w:sz w:val="18"/>
          <w:szCs w:val="18"/>
          <w:lang w:val="es-ES_tradnl"/>
        </w:rPr>
        <w:t>el t</w:t>
      </w:r>
      <w:r>
        <w:rPr>
          <w:rFonts w:cs="Times New Roman"/>
          <w:spacing w:val="-6"/>
          <w:sz w:val="18"/>
          <w:szCs w:val="18"/>
          <w:lang w:val="es-ES_tradnl"/>
        </w:rPr>
        <w:t>é</w:t>
      </w:r>
      <w:r>
        <w:rPr>
          <w:spacing w:val="-6"/>
          <w:sz w:val="18"/>
          <w:szCs w:val="18"/>
          <w:lang w:val="es-ES_tradnl"/>
        </w:rPr>
        <w:t>rmino de cinco d</w:t>
      </w:r>
      <w:r>
        <w:rPr>
          <w:rFonts w:cs="Times New Roman"/>
          <w:spacing w:val="-6"/>
          <w:sz w:val="18"/>
          <w:szCs w:val="18"/>
          <w:lang w:val="es-ES_tradnl"/>
        </w:rPr>
        <w:t>í</w:t>
      </w:r>
      <w:r>
        <w:rPr>
          <w:spacing w:val="-6"/>
          <w:sz w:val="18"/>
          <w:szCs w:val="18"/>
          <w:lang w:val="es-ES_tradnl"/>
        </w:rPr>
        <w:t xml:space="preserve">as remitan un informe debidamente </w:t>
      </w:r>
      <w:r>
        <w:rPr>
          <w:spacing w:val="-11"/>
          <w:sz w:val="18"/>
          <w:szCs w:val="18"/>
          <w:lang w:val="es-ES_tradnl"/>
        </w:rPr>
        <w:t xml:space="preserve">motivado respecto de los hechos y argumentos expuestos en </w:t>
      </w:r>
      <w:r>
        <w:rPr>
          <w:spacing w:val="-9"/>
          <w:sz w:val="18"/>
          <w:szCs w:val="18"/>
          <w:lang w:val="es-ES_tradnl"/>
        </w:rPr>
        <w:t>la demanda, as</w:t>
      </w:r>
      <w:r>
        <w:rPr>
          <w:rFonts w:cs="Times New Roman"/>
          <w:spacing w:val="-9"/>
          <w:sz w:val="18"/>
          <w:szCs w:val="18"/>
          <w:lang w:val="es-ES_tradnl"/>
        </w:rPr>
        <w:t>í</w:t>
      </w:r>
      <w:r>
        <w:rPr>
          <w:spacing w:val="-9"/>
          <w:sz w:val="18"/>
          <w:szCs w:val="18"/>
          <w:lang w:val="es-ES_tradnl"/>
        </w:rPr>
        <w:t xml:space="preserve"> como a la Procuradur</w:t>
      </w:r>
      <w:r>
        <w:rPr>
          <w:rFonts w:cs="Times New Roman"/>
          <w:spacing w:val="-9"/>
          <w:sz w:val="18"/>
          <w:szCs w:val="18"/>
          <w:lang w:val="es-ES_tradnl"/>
        </w:rPr>
        <w:t>í</w:t>
      </w:r>
      <w:r>
        <w:rPr>
          <w:spacing w:val="-9"/>
          <w:sz w:val="18"/>
          <w:szCs w:val="18"/>
          <w:lang w:val="es-ES_tradnl"/>
        </w:rPr>
        <w:t xml:space="preserve">a General del Estado </w:t>
      </w:r>
      <w:r>
        <w:rPr>
          <w:spacing w:val="-4"/>
          <w:sz w:val="18"/>
          <w:szCs w:val="18"/>
          <w:lang w:val="es-ES_tradnl"/>
        </w:rPr>
        <w:t>y legitimado activo en la casilla constitucional se</w:t>
      </w:r>
      <w:r>
        <w:rPr>
          <w:rFonts w:cs="Times New Roman"/>
          <w:spacing w:val="-4"/>
          <w:sz w:val="18"/>
          <w:szCs w:val="18"/>
          <w:lang w:val="es-ES_tradnl"/>
        </w:rPr>
        <w:t>ñ</w:t>
      </w:r>
      <w:r>
        <w:rPr>
          <w:spacing w:val="-4"/>
          <w:sz w:val="18"/>
          <w:szCs w:val="18"/>
          <w:lang w:val="es-ES_tradnl"/>
        </w:rPr>
        <w:t xml:space="preserve">alada </w:t>
      </w:r>
      <w:r>
        <w:rPr>
          <w:sz w:val="18"/>
          <w:szCs w:val="18"/>
          <w:lang w:val="es-ES_tradnl"/>
        </w:rPr>
        <w:t>para el efecto.</w:t>
      </w:r>
    </w:p>
    <w:p w14:paraId="4F67B4C3" w14:textId="77777777" w:rsidR="00591D54" w:rsidRDefault="00591D54">
      <w:pPr>
        <w:shd w:val="clear" w:color="auto" w:fill="FFFFFF"/>
        <w:spacing w:before="197"/>
      </w:pPr>
      <w:r>
        <w:rPr>
          <w:b/>
          <w:bCs/>
          <w:spacing w:val="-11"/>
          <w:sz w:val="18"/>
          <w:szCs w:val="18"/>
          <w:lang w:val="es-ES_tradnl"/>
        </w:rPr>
        <w:t>Decisiones judiciales que se impugnan</w:t>
      </w:r>
    </w:p>
    <w:p w14:paraId="4F67B4C4" w14:textId="77777777" w:rsidR="00591D54" w:rsidRDefault="00591D54">
      <w:pPr>
        <w:shd w:val="clear" w:color="auto" w:fill="FFFFFF"/>
        <w:spacing w:before="202" w:line="221" w:lineRule="exact"/>
        <w:ind w:right="10"/>
        <w:jc w:val="both"/>
      </w:pPr>
      <w:r>
        <w:rPr>
          <w:spacing w:val="-3"/>
          <w:sz w:val="18"/>
          <w:szCs w:val="18"/>
          <w:lang w:val="es-ES_tradnl"/>
        </w:rPr>
        <w:t>La decisi</w:t>
      </w:r>
      <w:r>
        <w:rPr>
          <w:rFonts w:cs="Times New Roman"/>
          <w:spacing w:val="-3"/>
          <w:sz w:val="18"/>
          <w:szCs w:val="18"/>
          <w:lang w:val="es-ES_tradnl"/>
        </w:rPr>
        <w:t>ó</w:t>
      </w:r>
      <w:r>
        <w:rPr>
          <w:spacing w:val="-3"/>
          <w:sz w:val="18"/>
          <w:szCs w:val="18"/>
          <w:lang w:val="es-ES_tradnl"/>
        </w:rPr>
        <w:t xml:space="preserve">n judicial que se impugna es la sentencia del </w:t>
      </w:r>
      <w:r>
        <w:rPr>
          <w:spacing w:val="-5"/>
          <w:sz w:val="18"/>
          <w:szCs w:val="18"/>
          <w:lang w:val="es-ES_tradnl"/>
        </w:rPr>
        <w:t xml:space="preserve">01 de septiembre de 2010 a las 15h19, emitida por la </w:t>
      </w:r>
      <w:r>
        <w:rPr>
          <w:spacing w:val="-6"/>
          <w:sz w:val="18"/>
          <w:szCs w:val="18"/>
          <w:lang w:val="es-ES_tradnl"/>
        </w:rPr>
        <w:t xml:space="preserve">Segunda Sala de lo Civil, Mercantil, Inquilinato y Materias </w:t>
      </w:r>
      <w:r>
        <w:rPr>
          <w:spacing w:val="-7"/>
          <w:sz w:val="18"/>
          <w:szCs w:val="18"/>
          <w:lang w:val="es-ES_tradnl"/>
        </w:rPr>
        <w:t xml:space="preserve">Residuales de la Corte Provincial de Justicia de Pichincha </w:t>
      </w:r>
      <w:r>
        <w:rPr>
          <w:sz w:val="18"/>
          <w:szCs w:val="18"/>
          <w:lang w:val="es-ES_tradnl"/>
        </w:rPr>
        <w:t>que en la parte pertinente, resolvi</w:t>
      </w:r>
      <w:r>
        <w:rPr>
          <w:rFonts w:cs="Times New Roman"/>
          <w:sz w:val="18"/>
          <w:szCs w:val="18"/>
          <w:lang w:val="es-ES_tradnl"/>
        </w:rPr>
        <w:t>ó</w:t>
      </w:r>
      <w:r>
        <w:rPr>
          <w:sz w:val="18"/>
          <w:szCs w:val="18"/>
          <w:lang w:val="es-ES_tradnl"/>
        </w:rPr>
        <w:t>:</w:t>
      </w:r>
    </w:p>
    <w:p w14:paraId="4F67B4C5" w14:textId="77777777" w:rsidR="00591D54" w:rsidRDefault="00591D54">
      <w:pPr>
        <w:shd w:val="clear" w:color="auto" w:fill="FFFFFF"/>
        <w:spacing w:before="206" w:line="216" w:lineRule="exact"/>
        <w:ind w:left="283"/>
        <w:jc w:val="both"/>
      </w:pPr>
      <w:r>
        <w:rPr>
          <w:spacing w:val="-3"/>
          <w:sz w:val="16"/>
          <w:szCs w:val="16"/>
          <w:lang w:val="es-ES_tradnl"/>
        </w:rPr>
        <w:t xml:space="preserve">CORTE PROVINCIAL DE PICHINCHA, SEGUNDA SALA </w:t>
      </w:r>
      <w:r>
        <w:rPr>
          <w:spacing w:val="-2"/>
          <w:sz w:val="16"/>
          <w:szCs w:val="16"/>
          <w:lang w:val="es-ES_tradnl"/>
        </w:rPr>
        <w:t xml:space="preserve">DE LO CIVIL, MERCANTIL, INQUILINATO Y MATERIAS </w:t>
      </w:r>
      <w:r>
        <w:rPr>
          <w:spacing w:val="-6"/>
          <w:sz w:val="16"/>
          <w:szCs w:val="16"/>
          <w:lang w:val="es-ES_tradnl"/>
        </w:rPr>
        <w:t>RESIDUALES.- Quito, mi</w:t>
      </w:r>
      <w:r>
        <w:rPr>
          <w:rFonts w:cs="Times New Roman"/>
          <w:spacing w:val="-6"/>
          <w:sz w:val="16"/>
          <w:szCs w:val="16"/>
          <w:lang w:val="es-ES_tradnl"/>
        </w:rPr>
        <w:t>é</w:t>
      </w:r>
      <w:r>
        <w:rPr>
          <w:spacing w:val="-6"/>
          <w:sz w:val="16"/>
          <w:szCs w:val="16"/>
          <w:lang w:val="es-ES_tradnl"/>
        </w:rPr>
        <w:t xml:space="preserve">rcoles 01 de septiembre del 2010, </w:t>
      </w:r>
      <w:r>
        <w:rPr>
          <w:spacing w:val="-5"/>
          <w:sz w:val="16"/>
          <w:szCs w:val="16"/>
          <w:lang w:val="es-ES_tradnl"/>
        </w:rPr>
        <w:t>las 15h19.- VISTOS: (</w:t>
      </w:r>
      <w:r>
        <w:rPr>
          <w:rFonts w:cs="Times New Roman"/>
          <w:spacing w:val="-5"/>
          <w:sz w:val="16"/>
          <w:szCs w:val="16"/>
          <w:lang w:val="es-ES_tradnl"/>
        </w:rPr>
        <w:t>…</w:t>
      </w:r>
      <w:r>
        <w:rPr>
          <w:spacing w:val="-5"/>
          <w:sz w:val="16"/>
          <w:szCs w:val="16"/>
          <w:lang w:val="es-ES_tradnl"/>
        </w:rPr>
        <w:t>) SEXTO: En el caso, el documento base de la acci</w:t>
      </w:r>
      <w:r>
        <w:rPr>
          <w:rFonts w:cs="Times New Roman"/>
          <w:spacing w:val="-5"/>
          <w:sz w:val="16"/>
          <w:szCs w:val="16"/>
          <w:lang w:val="es-ES_tradnl"/>
        </w:rPr>
        <w:t>ó</w:t>
      </w:r>
      <w:r>
        <w:rPr>
          <w:spacing w:val="-5"/>
          <w:sz w:val="16"/>
          <w:szCs w:val="16"/>
          <w:lang w:val="es-ES_tradnl"/>
        </w:rPr>
        <w:t xml:space="preserve">n ejecutiva claramente determine que de </w:t>
      </w:r>
      <w:r>
        <w:rPr>
          <w:spacing w:val="-4"/>
          <w:sz w:val="16"/>
          <w:szCs w:val="16"/>
          <w:lang w:val="es-ES_tradnl"/>
        </w:rPr>
        <w:t>acuerdo con la cl</w:t>
      </w:r>
      <w:r>
        <w:rPr>
          <w:rFonts w:cs="Times New Roman"/>
          <w:spacing w:val="-4"/>
          <w:sz w:val="16"/>
          <w:szCs w:val="16"/>
          <w:lang w:val="es-ES_tradnl"/>
        </w:rPr>
        <w:t>á</w:t>
      </w:r>
      <w:r>
        <w:rPr>
          <w:spacing w:val="-4"/>
          <w:sz w:val="16"/>
          <w:szCs w:val="16"/>
          <w:lang w:val="es-ES_tradnl"/>
        </w:rPr>
        <w:t xml:space="preserve">usula catorce del sexto contrato colectivo </w:t>
      </w:r>
      <w:r>
        <w:rPr>
          <w:spacing w:val="-7"/>
          <w:sz w:val="16"/>
          <w:szCs w:val="16"/>
          <w:lang w:val="es-ES_tradnl"/>
        </w:rPr>
        <w:t xml:space="preserve">el trabajador que se separe voluntariamente de la empresa, </w:t>
      </w:r>
      <w:r>
        <w:rPr>
          <w:spacing w:val="-5"/>
          <w:sz w:val="16"/>
          <w:szCs w:val="16"/>
          <w:lang w:val="es-ES_tradnl"/>
        </w:rPr>
        <w:t>recibir</w:t>
      </w:r>
      <w:r>
        <w:rPr>
          <w:rFonts w:cs="Times New Roman"/>
          <w:spacing w:val="-5"/>
          <w:sz w:val="16"/>
          <w:szCs w:val="16"/>
          <w:lang w:val="es-ES_tradnl"/>
        </w:rPr>
        <w:t>á</w:t>
      </w:r>
      <w:r>
        <w:rPr>
          <w:spacing w:val="-5"/>
          <w:sz w:val="16"/>
          <w:szCs w:val="16"/>
          <w:lang w:val="es-ES_tradnl"/>
        </w:rPr>
        <w:t xml:space="preserve"> la contribuci</w:t>
      </w:r>
      <w:r>
        <w:rPr>
          <w:rFonts w:cs="Times New Roman"/>
          <w:spacing w:val="-5"/>
          <w:sz w:val="16"/>
          <w:szCs w:val="16"/>
          <w:lang w:val="es-ES_tradnl"/>
        </w:rPr>
        <w:t>ó</w:t>
      </w:r>
      <w:r>
        <w:rPr>
          <w:spacing w:val="-5"/>
          <w:sz w:val="16"/>
          <w:szCs w:val="16"/>
          <w:lang w:val="es-ES_tradnl"/>
        </w:rPr>
        <w:t>n por separaci</w:t>
      </w:r>
      <w:r>
        <w:rPr>
          <w:rFonts w:cs="Times New Roman"/>
          <w:spacing w:val="-5"/>
          <w:sz w:val="16"/>
          <w:szCs w:val="16"/>
          <w:lang w:val="es-ES_tradnl"/>
        </w:rPr>
        <w:t>ó</w:t>
      </w:r>
      <w:r>
        <w:rPr>
          <w:spacing w:val="-5"/>
          <w:sz w:val="16"/>
          <w:szCs w:val="16"/>
          <w:lang w:val="es-ES_tradnl"/>
        </w:rPr>
        <w:t xml:space="preserve">n voluntaria de acuerdo </w:t>
      </w:r>
      <w:r>
        <w:rPr>
          <w:spacing w:val="-7"/>
          <w:sz w:val="16"/>
          <w:szCs w:val="16"/>
          <w:lang w:val="es-ES_tradnl"/>
        </w:rPr>
        <w:t>a la tabla establecida en la misma cl</w:t>
      </w:r>
      <w:r>
        <w:rPr>
          <w:rFonts w:cs="Times New Roman"/>
          <w:spacing w:val="-7"/>
          <w:sz w:val="16"/>
          <w:szCs w:val="16"/>
          <w:lang w:val="es-ES_tradnl"/>
        </w:rPr>
        <w:t>á</w:t>
      </w:r>
      <w:r>
        <w:rPr>
          <w:spacing w:val="-7"/>
          <w:sz w:val="16"/>
          <w:szCs w:val="16"/>
          <w:lang w:val="es-ES_tradnl"/>
        </w:rPr>
        <w:t xml:space="preserve">usula; y lo que acuerdan en el acta es el plan de pagos. Pretender como hacen los </w:t>
      </w:r>
      <w:r>
        <w:rPr>
          <w:spacing w:val="-8"/>
          <w:sz w:val="16"/>
          <w:szCs w:val="16"/>
          <w:lang w:val="es-ES_tradnl"/>
        </w:rPr>
        <w:t xml:space="preserve">demandados que en este juicio ejecutivo se entre a considerar </w:t>
      </w:r>
      <w:r>
        <w:rPr>
          <w:spacing w:val="-5"/>
          <w:sz w:val="16"/>
          <w:szCs w:val="16"/>
          <w:lang w:val="es-ES_tradnl"/>
        </w:rPr>
        <w:t>la licitud o legalidad del contrato colectivo aduciendo falta de causa y objeto l</w:t>
      </w:r>
      <w:r>
        <w:rPr>
          <w:rFonts w:cs="Times New Roman"/>
          <w:spacing w:val="-5"/>
          <w:sz w:val="16"/>
          <w:szCs w:val="16"/>
          <w:lang w:val="es-ES_tradnl"/>
        </w:rPr>
        <w:t>í</w:t>
      </w:r>
      <w:r>
        <w:rPr>
          <w:spacing w:val="-5"/>
          <w:sz w:val="16"/>
          <w:szCs w:val="16"/>
          <w:lang w:val="es-ES_tradnl"/>
        </w:rPr>
        <w:t xml:space="preserve">citos es del todo improcedente, por lo tanto </w:t>
      </w:r>
      <w:r>
        <w:rPr>
          <w:spacing w:val="-7"/>
          <w:sz w:val="16"/>
          <w:szCs w:val="16"/>
          <w:lang w:val="es-ES_tradnl"/>
        </w:rPr>
        <w:t>tales alegaciones se las rechaza dejando al arbitrio de los ejecutados intentar la v</w:t>
      </w:r>
      <w:r>
        <w:rPr>
          <w:rFonts w:cs="Times New Roman"/>
          <w:spacing w:val="-7"/>
          <w:sz w:val="16"/>
          <w:szCs w:val="16"/>
          <w:lang w:val="es-ES_tradnl"/>
        </w:rPr>
        <w:t>í</w:t>
      </w:r>
      <w:r>
        <w:rPr>
          <w:spacing w:val="-7"/>
          <w:sz w:val="16"/>
          <w:szCs w:val="16"/>
          <w:lang w:val="es-ES_tradnl"/>
        </w:rPr>
        <w:t>a ordinaria conforme las disposiciones legales antes citadas. SEPTIMO: Las restantes excepciones: negativa pura y simple de los fundamentos de la demanda implica desconocer la relaci</w:t>
      </w:r>
      <w:r>
        <w:rPr>
          <w:rFonts w:cs="Times New Roman"/>
          <w:spacing w:val="-7"/>
          <w:sz w:val="16"/>
          <w:szCs w:val="16"/>
          <w:lang w:val="es-ES_tradnl"/>
        </w:rPr>
        <w:t>ó</w:t>
      </w:r>
      <w:r>
        <w:rPr>
          <w:spacing w:val="-7"/>
          <w:sz w:val="16"/>
          <w:szCs w:val="16"/>
          <w:lang w:val="es-ES_tradnl"/>
        </w:rPr>
        <w:t>n jur</w:t>
      </w:r>
      <w:r>
        <w:rPr>
          <w:rFonts w:cs="Times New Roman"/>
          <w:spacing w:val="-7"/>
          <w:sz w:val="16"/>
          <w:szCs w:val="16"/>
          <w:lang w:val="es-ES_tradnl"/>
        </w:rPr>
        <w:t>í</w:t>
      </w:r>
      <w:r>
        <w:rPr>
          <w:spacing w:val="-7"/>
          <w:sz w:val="16"/>
          <w:szCs w:val="16"/>
          <w:lang w:val="es-ES_tradnl"/>
        </w:rPr>
        <w:t xml:space="preserve">dica habida entre las partes, </w:t>
      </w:r>
      <w:r>
        <w:rPr>
          <w:spacing w:val="-8"/>
          <w:sz w:val="16"/>
          <w:szCs w:val="16"/>
          <w:lang w:val="es-ES_tradnl"/>
        </w:rPr>
        <w:t>por tanto a m</w:t>
      </w:r>
      <w:r>
        <w:rPr>
          <w:rFonts w:cs="Times New Roman"/>
          <w:spacing w:val="-8"/>
          <w:sz w:val="16"/>
          <w:szCs w:val="16"/>
          <w:lang w:val="es-ES_tradnl"/>
        </w:rPr>
        <w:t>á</w:t>
      </w:r>
      <w:r>
        <w:rPr>
          <w:spacing w:val="-8"/>
          <w:sz w:val="16"/>
          <w:szCs w:val="16"/>
          <w:lang w:val="es-ES_tradnl"/>
        </w:rPr>
        <w:t xml:space="preserve">s de contradictoria es improcedente. El derecho </w:t>
      </w:r>
      <w:r>
        <w:rPr>
          <w:spacing w:val="-4"/>
          <w:sz w:val="16"/>
          <w:szCs w:val="16"/>
          <w:lang w:val="es-ES_tradnl"/>
        </w:rPr>
        <w:t xml:space="preserve">del actor proviene de un contrato colectivo que en autos no </w:t>
      </w:r>
      <w:r>
        <w:rPr>
          <w:spacing w:val="-6"/>
          <w:sz w:val="16"/>
          <w:szCs w:val="16"/>
          <w:lang w:val="es-ES_tradnl"/>
        </w:rPr>
        <w:t>se ha probado que haya sido declarado ileg</w:t>
      </w:r>
      <w:r>
        <w:rPr>
          <w:rFonts w:cs="Times New Roman"/>
          <w:spacing w:val="-6"/>
          <w:sz w:val="16"/>
          <w:szCs w:val="16"/>
          <w:lang w:val="es-ES_tradnl"/>
        </w:rPr>
        <w:t>í</w:t>
      </w:r>
      <w:r>
        <w:rPr>
          <w:spacing w:val="-6"/>
          <w:sz w:val="16"/>
          <w:szCs w:val="16"/>
          <w:lang w:val="es-ES_tradnl"/>
        </w:rPr>
        <w:t xml:space="preserve">timo o nulo y del </w:t>
      </w:r>
      <w:r>
        <w:rPr>
          <w:spacing w:val="-7"/>
          <w:sz w:val="16"/>
          <w:szCs w:val="16"/>
          <w:lang w:val="es-ES_tradnl"/>
        </w:rPr>
        <w:t>acta que establece la forma de pago, por cuanto la excepci</w:t>
      </w:r>
      <w:r>
        <w:rPr>
          <w:rFonts w:cs="Times New Roman"/>
          <w:spacing w:val="-7"/>
          <w:sz w:val="16"/>
          <w:szCs w:val="16"/>
          <w:lang w:val="es-ES_tradnl"/>
        </w:rPr>
        <w:t>ó</w:t>
      </w:r>
      <w:r>
        <w:rPr>
          <w:spacing w:val="-7"/>
          <w:sz w:val="16"/>
          <w:szCs w:val="16"/>
          <w:lang w:val="es-ES_tradnl"/>
        </w:rPr>
        <w:t xml:space="preserve">n </w:t>
      </w:r>
      <w:r>
        <w:rPr>
          <w:spacing w:val="-6"/>
          <w:sz w:val="16"/>
          <w:szCs w:val="16"/>
          <w:lang w:val="es-ES_tradnl"/>
        </w:rPr>
        <w:t xml:space="preserve">de falta de derecho no tiene sustento legal. Finalmente es </w:t>
      </w:r>
      <w:r>
        <w:rPr>
          <w:spacing w:val="-8"/>
          <w:sz w:val="16"/>
          <w:szCs w:val="16"/>
          <w:lang w:val="es-ES_tradnl"/>
        </w:rPr>
        <w:t>totalmente contraria a derecho la alegaci</w:t>
      </w:r>
      <w:r>
        <w:rPr>
          <w:rFonts w:cs="Times New Roman"/>
          <w:spacing w:val="-8"/>
          <w:sz w:val="16"/>
          <w:szCs w:val="16"/>
          <w:lang w:val="es-ES_tradnl"/>
        </w:rPr>
        <w:t>ó</w:t>
      </w:r>
      <w:r>
        <w:rPr>
          <w:spacing w:val="-8"/>
          <w:sz w:val="16"/>
          <w:szCs w:val="16"/>
          <w:lang w:val="es-ES_tradnl"/>
        </w:rPr>
        <w:t>n de falta de leg</w:t>
      </w:r>
      <w:r>
        <w:rPr>
          <w:rFonts w:cs="Times New Roman"/>
          <w:spacing w:val="-8"/>
          <w:sz w:val="16"/>
          <w:szCs w:val="16"/>
          <w:lang w:val="es-ES_tradnl"/>
        </w:rPr>
        <w:t>í</w:t>
      </w:r>
      <w:r>
        <w:rPr>
          <w:spacing w:val="-8"/>
          <w:sz w:val="16"/>
          <w:szCs w:val="16"/>
          <w:lang w:val="es-ES_tradnl"/>
        </w:rPr>
        <w:t xml:space="preserve">timo </w:t>
      </w:r>
      <w:r>
        <w:rPr>
          <w:spacing w:val="-6"/>
          <w:sz w:val="16"/>
          <w:szCs w:val="16"/>
          <w:lang w:val="es-ES_tradnl"/>
        </w:rPr>
        <w:t xml:space="preserve">contradictor aduciendo que el actual Presidente Ejecutivo de </w:t>
      </w:r>
      <w:r>
        <w:rPr>
          <w:spacing w:val="-8"/>
          <w:sz w:val="16"/>
          <w:szCs w:val="16"/>
          <w:lang w:val="es-ES_tradnl"/>
        </w:rPr>
        <w:t>Petroecuador no suscribi</w:t>
      </w:r>
      <w:r>
        <w:rPr>
          <w:rFonts w:cs="Times New Roman"/>
          <w:spacing w:val="-8"/>
          <w:sz w:val="16"/>
          <w:szCs w:val="16"/>
          <w:lang w:val="es-ES_tradnl"/>
        </w:rPr>
        <w:t>ó</w:t>
      </w:r>
      <w:r>
        <w:rPr>
          <w:spacing w:val="-8"/>
          <w:sz w:val="16"/>
          <w:szCs w:val="16"/>
          <w:lang w:val="es-ES_tradnl"/>
        </w:rPr>
        <w:t xml:space="preserve"> el acta fundamento de la demanda, </w:t>
      </w:r>
      <w:r>
        <w:rPr>
          <w:spacing w:val="-3"/>
          <w:sz w:val="16"/>
          <w:szCs w:val="16"/>
          <w:lang w:val="es-ES_tradnl"/>
        </w:rPr>
        <w:t>como si se hubiera deducido la acci</w:t>
      </w:r>
      <w:r>
        <w:rPr>
          <w:rFonts w:cs="Times New Roman"/>
          <w:spacing w:val="-3"/>
          <w:sz w:val="16"/>
          <w:szCs w:val="16"/>
          <w:lang w:val="es-ES_tradnl"/>
        </w:rPr>
        <w:t>ó</w:t>
      </w:r>
      <w:r>
        <w:rPr>
          <w:spacing w:val="-3"/>
          <w:sz w:val="16"/>
          <w:szCs w:val="16"/>
          <w:lang w:val="es-ES_tradnl"/>
        </w:rPr>
        <w:t xml:space="preserve">n en forma personal. </w:t>
      </w:r>
      <w:r>
        <w:rPr>
          <w:spacing w:val="-6"/>
          <w:sz w:val="16"/>
          <w:szCs w:val="16"/>
          <w:lang w:val="es-ES_tradnl"/>
        </w:rPr>
        <w:t xml:space="preserve">Por las consideraciones que anteceden, ADMINISTRANDO </w:t>
      </w:r>
      <w:r>
        <w:rPr>
          <w:spacing w:val="-3"/>
          <w:sz w:val="16"/>
          <w:szCs w:val="16"/>
          <w:lang w:val="es-ES_tradnl"/>
        </w:rPr>
        <w:t xml:space="preserve">JUSTICIA, EN NOMBRE DEL PEUBLO SOBERANO DEL </w:t>
      </w:r>
      <w:r>
        <w:rPr>
          <w:spacing w:val="-4"/>
          <w:sz w:val="16"/>
          <w:szCs w:val="16"/>
          <w:lang w:val="es-ES_tradnl"/>
        </w:rPr>
        <w:t>ECUADOR, Y POR AUTORIDAD DE LA CONSTITUCI</w:t>
      </w:r>
      <w:r>
        <w:rPr>
          <w:rFonts w:cs="Times New Roman"/>
          <w:spacing w:val="-4"/>
          <w:sz w:val="16"/>
          <w:szCs w:val="16"/>
          <w:lang w:val="es-ES_tradnl"/>
        </w:rPr>
        <w:t>Ó</w:t>
      </w:r>
      <w:r>
        <w:rPr>
          <w:spacing w:val="-4"/>
          <w:sz w:val="16"/>
          <w:szCs w:val="16"/>
          <w:lang w:val="es-ES_tradnl"/>
        </w:rPr>
        <w:t xml:space="preserve">N </w:t>
      </w:r>
      <w:r>
        <w:rPr>
          <w:sz w:val="16"/>
          <w:szCs w:val="16"/>
          <w:lang w:val="es-ES_tradnl"/>
        </w:rPr>
        <w:t>Y LAS LEYES DE LA REP</w:t>
      </w:r>
      <w:r>
        <w:rPr>
          <w:rFonts w:cs="Times New Roman"/>
          <w:sz w:val="16"/>
          <w:szCs w:val="16"/>
          <w:lang w:val="es-ES_tradnl"/>
        </w:rPr>
        <w:t>Ú</w:t>
      </w:r>
      <w:r>
        <w:rPr>
          <w:sz w:val="16"/>
          <w:szCs w:val="16"/>
          <w:lang w:val="es-ES_tradnl"/>
        </w:rPr>
        <w:t xml:space="preserve">BLICA, se rechazan los </w:t>
      </w:r>
      <w:r>
        <w:rPr>
          <w:spacing w:val="-4"/>
          <w:sz w:val="16"/>
          <w:szCs w:val="16"/>
          <w:lang w:val="es-ES_tradnl"/>
        </w:rPr>
        <w:t>recursos interpuestos y se confirma en lo principal el fallo recurrido, reform</w:t>
      </w:r>
      <w:r>
        <w:rPr>
          <w:rFonts w:cs="Times New Roman"/>
          <w:spacing w:val="-4"/>
          <w:sz w:val="16"/>
          <w:szCs w:val="16"/>
          <w:lang w:val="es-ES_tradnl"/>
        </w:rPr>
        <w:t>á</w:t>
      </w:r>
      <w:r>
        <w:rPr>
          <w:spacing w:val="-4"/>
          <w:sz w:val="16"/>
          <w:szCs w:val="16"/>
          <w:lang w:val="es-ES_tradnl"/>
        </w:rPr>
        <w:t xml:space="preserve">ndolo en cuanto que al practicarse la </w:t>
      </w:r>
      <w:r>
        <w:rPr>
          <w:spacing w:val="-6"/>
          <w:sz w:val="16"/>
          <w:szCs w:val="16"/>
          <w:lang w:val="es-ES_tradnl"/>
        </w:rPr>
        <w:t>liquidaci</w:t>
      </w:r>
      <w:r>
        <w:rPr>
          <w:rFonts w:cs="Times New Roman"/>
          <w:spacing w:val="-6"/>
          <w:sz w:val="16"/>
          <w:szCs w:val="16"/>
          <w:lang w:val="es-ES_tradnl"/>
        </w:rPr>
        <w:t>ó</w:t>
      </w:r>
      <w:r>
        <w:rPr>
          <w:spacing w:val="-6"/>
          <w:sz w:val="16"/>
          <w:szCs w:val="16"/>
          <w:lang w:val="es-ES_tradnl"/>
        </w:rPr>
        <w:t>n deber</w:t>
      </w:r>
      <w:r>
        <w:rPr>
          <w:rFonts w:cs="Times New Roman"/>
          <w:spacing w:val="-6"/>
          <w:sz w:val="16"/>
          <w:szCs w:val="16"/>
          <w:lang w:val="es-ES_tradnl"/>
        </w:rPr>
        <w:t>á</w:t>
      </w:r>
      <w:r>
        <w:rPr>
          <w:spacing w:val="-6"/>
          <w:sz w:val="16"/>
          <w:szCs w:val="16"/>
          <w:lang w:val="es-ES_tradnl"/>
        </w:rPr>
        <w:t xml:space="preserve">n tomarse en cuenta los abonos parciales </w:t>
      </w:r>
      <w:r>
        <w:rPr>
          <w:spacing w:val="-5"/>
          <w:sz w:val="16"/>
          <w:szCs w:val="16"/>
          <w:lang w:val="es-ES_tradnl"/>
        </w:rPr>
        <w:t xml:space="preserve">que el demandante reconoce en su libelo inicial. Sin costas. </w:t>
      </w:r>
      <w:r>
        <w:rPr>
          <w:sz w:val="16"/>
          <w:szCs w:val="16"/>
          <w:lang w:val="es-ES_tradnl"/>
        </w:rPr>
        <w:t>Notif</w:t>
      </w:r>
      <w:r>
        <w:rPr>
          <w:rFonts w:cs="Times New Roman"/>
          <w:sz w:val="16"/>
          <w:szCs w:val="16"/>
          <w:lang w:val="es-ES_tradnl"/>
        </w:rPr>
        <w:t>í</w:t>
      </w:r>
      <w:r>
        <w:rPr>
          <w:sz w:val="16"/>
          <w:szCs w:val="16"/>
          <w:lang w:val="es-ES_tradnl"/>
        </w:rPr>
        <w:t>quese.</w:t>
      </w:r>
    </w:p>
    <w:p w14:paraId="4F67B4C6" w14:textId="77777777" w:rsidR="00591D54" w:rsidRDefault="00591D54">
      <w:pPr>
        <w:shd w:val="clear" w:color="auto" w:fill="FFFFFF"/>
        <w:spacing w:before="206" w:line="216" w:lineRule="exact"/>
        <w:ind w:left="283"/>
        <w:jc w:val="both"/>
        <w:sectPr w:rsidR="00591D54">
          <w:type w:val="continuous"/>
          <w:pgSz w:w="11909" w:h="16834"/>
          <w:pgMar w:top="1371" w:right="1299" w:bottom="360" w:left="1308" w:header="720" w:footer="720" w:gutter="0"/>
          <w:cols w:num="2" w:space="720" w:equalWidth="0">
            <w:col w:w="4305" w:space="682"/>
            <w:col w:w="4315"/>
          </w:cols>
          <w:noEndnote/>
        </w:sectPr>
      </w:pPr>
    </w:p>
    <w:p w14:paraId="4F67B4C7" w14:textId="77777777" w:rsidR="00591D54" w:rsidRDefault="00591D54">
      <w:pPr>
        <w:shd w:val="clear" w:color="auto" w:fill="FFFFFF"/>
        <w:tabs>
          <w:tab w:val="left" w:pos="4814"/>
        </w:tabs>
        <w:spacing w:after="235"/>
        <w:ind w:left="5"/>
      </w:pPr>
      <w:r>
        <w:rPr>
          <w:b/>
          <w:bCs/>
          <w:sz w:val="18"/>
          <w:szCs w:val="18"/>
          <w:lang w:val="es-ES_tradnl"/>
        </w:rPr>
        <w:t xml:space="preserve">212 -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4C8" w14:textId="77777777" w:rsidR="00591D54" w:rsidRDefault="00591D54">
      <w:pPr>
        <w:shd w:val="clear" w:color="auto" w:fill="FFFFFF"/>
        <w:tabs>
          <w:tab w:val="left" w:pos="4814"/>
        </w:tabs>
        <w:spacing w:after="235"/>
        <w:ind w:left="5"/>
        <w:sectPr w:rsidR="00591D54">
          <w:pgSz w:w="11909" w:h="16834"/>
          <w:pgMar w:top="1371" w:right="1309" w:bottom="360" w:left="1308" w:header="720" w:footer="720" w:gutter="0"/>
          <w:cols w:space="60"/>
          <w:noEndnote/>
        </w:sectPr>
      </w:pPr>
    </w:p>
    <w:p w14:paraId="4F67B4C9" w14:textId="77777777" w:rsidR="00591D54" w:rsidRDefault="00591D54">
      <w:pPr>
        <w:shd w:val="clear" w:color="auto" w:fill="FFFFFF"/>
        <w:spacing w:line="216" w:lineRule="exact"/>
        <w:ind w:right="5"/>
        <w:jc w:val="both"/>
      </w:pPr>
      <w:r>
        <w:rPr>
          <w:spacing w:val="-8"/>
          <w:sz w:val="18"/>
          <w:szCs w:val="18"/>
          <w:lang w:val="es-ES_tradnl"/>
        </w:rPr>
        <w:t xml:space="preserve">Auto dictado el 29 de septiembre del 2010, por la Segunda </w:t>
      </w:r>
      <w:r>
        <w:rPr>
          <w:sz w:val="18"/>
          <w:szCs w:val="18"/>
          <w:lang w:val="es-ES_tradnl"/>
        </w:rPr>
        <w:t xml:space="preserve">Sala de lo Civil, Mercantil, Inquilinato y Materias </w:t>
      </w:r>
      <w:r>
        <w:rPr>
          <w:spacing w:val="-6"/>
          <w:sz w:val="18"/>
          <w:szCs w:val="18"/>
          <w:lang w:val="es-ES_tradnl"/>
        </w:rPr>
        <w:t xml:space="preserve">Residuales de la Corte Provincial de Pichincha el cual, en </w:t>
      </w:r>
      <w:r>
        <w:rPr>
          <w:sz w:val="18"/>
          <w:szCs w:val="18"/>
          <w:lang w:val="es-ES_tradnl"/>
        </w:rPr>
        <w:t>lo principal, estableci</w:t>
      </w:r>
      <w:r>
        <w:rPr>
          <w:rFonts w:cs="Times New Roman"/>
          <w:sz w:val="18"/>
          <w:szCs w:val="18"/>
          <w:lang w:val="es-ES_tradnl"/>
        </w:rPr>
        <w:t>ó</w:t>
      </w:r>
      <w:r>
        <w:rPr>
          <w:sz w:val="18"/>
          <w:szCs w:val="18"/>
          <w:lang w:val="es-ES_tradnl"/>
        </w:rPr>
        <w:t>:</w:t>
      </w:r>
    </w:p>
    <w:p w14:paraId="4F67B4CA" w14:textId="77777777" w:rsidR="00591D54" w:rsidRDefault="00591D54">
      <w:pPr>
        <w:shd w:val="clear" w:color="auto" w:fill="FFFFFF"/>
        <w:spacing w:before="202" w:line="216" w:lineRule="exact"/>
        <w:ind w:left="283"/>
        <w:jc w:val="both"/>
      </w:pPr>
      <w:r>
        <w:rPr>
          <w:spacing w:val="-3"/>
          <w:sz w:val="16"/>
          <w:szCs w:val="16"/>
          <w:lang w:val="es-ES_tradnl"/>
        </w:rPr>
        <w:t xml:space="preserve">CORTE PROVINCIAL DE PICHINCHA, SEGUNDA SALA </w:t>
      </w:r>
      <w:r>
        <w:rPr>
          <w:spacing w:val="-2"/>
          <w:sz w:val="16"/>
          <w:szCs w:val="16"/>
          <w:lang w:val="es-ES_tradnl"/>
        </w:rPr>
        <w:t xml:space="preserve">DE LO CIVIL, MERCANTIL, INQUILINATO Y MATERIAS </w:t>
      </w:r>
      <w:r>
        <w:rPr>
          <w:spacing w:val="-5"/>
          <w:sz w:val="16"/>
          <w:szCs w:val="16"/>
          <w:lang w:val="es-ES_tradnl"/>
        </w:rPr>
        <w:t>RESIDUALES. Quito, mi</w:t>
      </w:r>
      <w:r>
        <w:rPr>
          <w:rFonts w:cs="Times New Roman"/>
          <w:spacing w:val="-5"/>
          <w:sz w:val="16"/>
          <w:szCs w:val="16"/>
          <w:lang w:val="es-ES_tradnl"/>
        </w:rPr>
        <w:t>é</w:t>
      </w:r>
      <w:r>
        <w:rPr>
          <w:spacing w:val="-5"/>
          <w:sz w:val="16"/>
          <w:szCs w:val="16"/>
          <w:lang w:val="es-ES_tradnl"/>
        </w:rPr>
        <w:t>rcoles 29 de septiembre del 2010, las 15h13. VISTOS: (</w:t>
      </w:r>
      <w:r>
        <w:rPr>
          <w:rFonts w:cs="Times New Roman"/>
          <w:spacing w:val="-5"/>
          <w:sz w:val="16"/>
          <w:szCs w:val="16"/>
          <w:lang w:val="es-ES_tradnl"/>
        </w:rPr>
        <w:t>…</w:t>
      </w:r>
      <w:r>
        <w:rPr>
          <w:spacing w:val="-5"/>
          <w:sz w:val="16"/>
          <w:szCs w:val="16"/>
          <w:lang w:val="es-ES_tradnl"/>
        </w:rPr>
        <w:t xml:space="preserve">) Para resolver las solicitudes de </w:t>
      </w:r>
      <w:r>
        <w:rPr>
          <w:spacing w:val="-4"/>
          <w:sz w:val="16"/>
          <w:szCs w:val="16"/>
          <w:lang w:val="es-ES_tradnl"/>
        </w:rPr>
        <w:t>ampliaci</w:t>
      </w:r>
      <w:r>
        <w:rPr>
          <w:rFonts w:cs="Times New Roman"/>
          <w:spacing w:val="-4"/>
          <w:sz w:val="16"/>
          <w:szCs w:val="16"/>
          <w:lang w:val="es-ES_tradnl"/>
        </w:rPr>
        <w:t>ó</w:t>
      </w:r>
      <w:r>
        <w:rPr>
          <w:spacing w:val="-4"/>
          <w:sz w:val="16"/>
          <w:szCs w:val="16"/>
          <w:lang w:val="es-ES_tradnl"/>
        </w:rPr>
        <w:t>n y aclaraci</w:t>
      </w:r>
      <w:r>
        <w:rPr>
          <w:rFonts w:cs="Times New Roman"/>
          <w:spacing w:val="-4"/>
          <w:sz w:val="16"/>
          <w:szCs w:val="16"/>
          <w:lang w:val="es-ES_tradnl"/>
        </w:rPr>
        <w:t>ó</w:t>
      </w:r>
      <w:r>
        <w:rPr>
          <w:spacing w:val="-4"/>
          <w:sz w:val="16"/>
          <w:szCs w:val="16"/>
          <w:lang w:val="es-ES_tradnl"/>
        </w:rPr>
        <w:t xml:space="preserve">n de la sentencia dictada por la Sala, </w:t>
      </w:r>
      <w:r>
        <w:rPr>
          <w:spacing w:val="-6"/>
          <w:sz w:val="16"/>
          <w:szCs w:val="16"/>
          <w:lang w:val="es-ES_tradnl"/>
        </w:rPr>
        <w:t xml:space="preserve">se considera: 1) La sentencia puede ser aclarada o ampliada </w:t>
      </w:r>
      <w:r>
        <w:rPr>
          <w:spacing w:val="-5"/>
          <w:sz w:val="16"/>
          <w:szCs w:val="16"/>
          <w:lang w:val="es-ES_tradnl"/>
        </w:rPr>
        <w:t>si alguna de las partes solicita dentro del t</w:t>
      </w:r>
      <w:r>
        <w:rPr>
          <w:rFonts w:cs="Times New Roman"/>
          <w:spacing w:val="-5"/>
          <w:sz w:val="16"/>
          <w:szCs w:val="16"/>
          <w:lang w:val="es-ES_tradnl"/>
        </w:rPr>
        <w:t>é</w:t>
      </w:r>
      <w:r>
        <w:rPr>
          <w:spacing w:val="-5"/>
          <w:sz w:val="16"/>
          <w:szCs w:val="16"/>
          <w:lang w:val="es-ES_tradnl"/>
        </w:rPr>
        <w:t xml:space="preserve">rmino legal. La </w:t>
      </w:r>
      <w:r>
        <w:rPr>
          <w:spacing w:val="-6"/>
          <w:sz w:val="16"/>
          <w:szCs w:val="16"/>
          <w:lang w:val="es-ES_tradnl"/>
        </w:rPr>
        <w:t>aclaraci</w:t>
      </w:r>
      <w:r>
        <w:rPr>
          <w:rFonts w:cs="Times New Roman"/>
          <w:spacing w:val="-6"/>
          <w:sz w:val="16"/>
          <w:szCs w:val="16"/>
          <w:lang w:val="es-ES_tradnl"/>
        </w:rPr>
        <w:t>ó</w:t>
      </w:r>
      <w:r>
        <w:rPr>
          <w:spacing w:val="-6"/>
          <w:sz w:val="16"/>
          <w:szCs w:val="16"/>
          <w:lang w:val="es-ES_tradnl"/>
        </w:rPr>
        <w:t>n tendr</w:t>
      </w:r>
      <w:r>
        <w:rPr>
          <w:rFonts w:cs="Times New Roman"/>
          <w:spacing w:val="-6"/>
          <w:sz w:val="16"/>
          <w:szCs w:val="16"/>
          <w:lang w:val="es-ES_tradnl"/>
        </w:rPr>
        <w:t>á</w:t>
      </w:r>
      <w:r>
        <w:rPr>
          <w:spacing w:val="-6"/>
          <w:sz w:val="16"/>
          <w:szCs w:val="16"/>
          <w:lang w:val="es-ES_tradnl"/>
        </w:rPr>
        <w:t xml:space="preserve"> lugar si la sentencia fuere obscura; y la </w:t>
      </w:r>
      <w:r>
        <w:rPr>
          <w:spacing w:val="-9"/>
          <w:sz w:val="16"/>
          <w:szCs w:val="16"/>
          <w:lang w:val="es-ES_tradnl"/>
        </w:rPr>
        <w:t>ampliaci</w:t>
      </w:r>
      <w:r>
        <w:rPr>
          <w:rFonts w:cs="Times New Roman"/>
          <w:spacing w:val="-9"/>
          <w:sz w:val="16"/>
          <w:szCs w:val="16"/>
          <w:lang w:val="es-ES_tradnl"/>
        </w:rPr>
        <w:t>ó</w:t>
      </w:r>
      <w:r>
        <w:rPr>
          <w:spacing w:val="-9"/>
          <w:sz w:val="16"/>
          <w:szCs w:val="16"/>
          <w:lang w:val="es-ES_tradnl"/>
        </w:rPr>
        <w:t xml:space="preserve">n cuando no se hubiere resuelto alguno de los puntos </w:t>
      </w:r>
      <w:r>
        <w:rPr>
          <w:spacing w:val="-4"/>
          <w:sz w:val="16"/>
          <w:szCs w:val="16"/>
          <w:lang w:val="es-ES_tradnl"/>
        </w:rPr>
        <w:t xml:space="preserve">controvertidos, o se hubiere omitido decidir sobre frutos, </w:t>
      </w:r>
      <w:r>
        <w:rPr>
          <w:spacing w:val="-5"/>
          <w:sz w:val="16"/>
          <w:szCs w:val="16"/>
          <w:lang w:val="es-ES_tradnl"/>
        </w:rPr>
        <w:t>intereses o costas (Arts. 281-282 C</w:t>
      </w:r>
      <w:r>
        <w:rPr>
          <w:rFonts w:cs="Times New Roman"/>
          <w:spacing w:val="-5"/>
          <w:sz w:val="16"/>
          <w:szCs w:val="16"/>
          <w:lang w:val="es-ES_tradnl"/>
        </w:rPr>
        <w:t>ó</w:t>
      </w:r>
      <w:r>
        <w:rPr>
          <w:spacing w:val="-5"/>
          <w:sz w:val="16"/>
          <w:szCs w:val="16"/>
          <w:lang w:val="es-ES_tradnl"/>
        </w:rPr>
        <w:t xml:space="preserve">digo de Procedimiento Civil) En la especie, la sentencia dictada por el Tribunal es </w:t>
      </w:r>
      <w:r>
        <w:rPr>
          <w:spacing w:val="-6"/>
          <w:sz w:val="16"/>
          <w:szCs w:val="16"/>
          <w:lang w:val="es-ES_tradnl"/>
        </w:rPr>
        <w:t xml:space="preserve">perfectamente inteligible y como ha resuelto todos los puntos </w:t>
      </w:r>
      <w:r>
        <w:rPr>
          <w:spacing w:val="-7"/>
          <w:sz w:val="16"/>
          <w:szCs w:val="16"/>
          <w:lang w:val="es-ES_tradnl"/>
        </w:rPr>
        <w:t>sobre los que se trab</w:t>
      </w:r>
      <w:r>
        <w:rPr>
          <w:rFonts w:cs="Times New Roman"/>
          <w:spacing w:val="-7"/>
          <w:sz w:val="16"/>
          <w:szCs w:val="16"/>
          <w:lang w:val="es-ES_tradnl"/>
        </w:rPr>
        <w:t>ó</w:t>
      </w:r>
      <w:r>
        <w:rPr>
          <w:spacing w:val="-7"/>
          <w:sz w:val="16"/>
          <w:szCs w:val="16"/>
          <w:lang w:val="es-ES_tradnl"/>
        </w:rPr>
        <w:t xml:space="preserve"> la litis nada hay que aclarar ni ampliar. En todo caso se aclara al demandado que la autenticidad es </w:t>
      </w:r>
      <w:r>
        <w:rPr>
          <w:rFonts w:cs="Times New Roman"/>
          <w:spacing w:val="-2"/>
          <w:sz w:val="16"/>
          <w:szCs w:val="16"/>
          <w:lang w:val="es-ES_tradnl"/>
        </w:rPr>
        <w:t>“</w:t>
      </w:r>
      <w:r>
        <w:rPr>
          <w:spacing w:val="-2"/>
          <w:sz w:val="16"/>
          <w:szCs w:val="16"/>
          <w:lang w:val="es-ES_tradnl"/>
        </w:rPr>
        <w:t>La circunstancia o el requerimiento que hace aut</w:t>
      </w:r>
      <w:r>
        <w:rPr>
          <w:rFonts w:cs="Times New Roman"/>
          <w:spacing w:val="-2"/>
          <w:sz w:val="16"/>
          <w:szCs w:val="16"/>
          <w:lang w:val="es-ES_tradnl"/>
        </w:rPr>
        <w:t>é</w:t>
      </w:r>
      <w:r>
        <w:rPr>
          <w:spacing w:val="-2"/>
          <w:sz w:val="16"/>
          <w:szCs w:val="16"/>
          <w:lang w:val="es-ES_tradnl"/>
        </w:rPr>
        <w:t xml:space="preserve">ntica </w:t>
      </w:r>
      <w:r>
        <w:rPr>
          <w:spacing w:val="-5"/>
          <w:sz w:val="16"/>
          <w:szCs w:val="16"/>
          <w:lang w:val="es-ES_tradnl"/>
        </w:rPr>
        <w:t>alguna cosa (</w:t>
      </w:r>
      <w:r>
        <w:rPr>
          <w:rFonts w:cs="Times New Roman"/>
          <w:spacing w:val="-5"/>
          <w:sz w:val="16"/>
          <w:szCs w:val="16"/>
          <w:lang w:val="es-ES_tradnl"/>
        </w:rPr>
        <w:t>…</w:t>
      </w:r>
      <w:r>
        <w:rPr>
          <w:spacing w:val="-5"/>
          <w:sz w:val="16"/>
          <w:szCs w:val="16"/>
          <w:lang w:val="es-ES_tradnl"/>
        </w:rPr>
        <w:t>) Finalmente sobre la disposici</w:t>
      </w:r>
      <w:r>
        <w:rPr>
          <w:rFonts w:cs="Times New Roman"/>
          <w:spacing w:val="-5"/>
          <w:sz w:val="16"/>
          <w:szCs w:val="16"/>
          <w:lang w:val="es-ES_tradnl"/>
        </w:rPr>
        <w:t>ó</w:t>
      </w:r>
      <w:r>
        <w:rPr>
          <w:spacing w:val="-5"/>
          <w:sz w:val="16"/>
          <w:szCs w:val="16"/>
          <w:lang w:val="es-ES_tradnl"/>
        </w:rPr>
        <w:t xml:space="preserve">n del Art. 12 </w:t>
      </w:r>
      <w:r>
        <w:rPr>
          <w:spacing w:val="-6"/>
          <w:sz w:val="16"/>
          <w:szCs w:val="16"/>
          <w:lang w:val="es-ES_tradnl"/>
        </w:rPr>
        <w:t>de la Ley de la Procuradur</w:t>
      </w:r>
      <w:r>
        <w:rPr>
          <w:rFonts w:cs="Times New Roman"/>
          <w:spacing w:val="-6"/>
          <w:sz w:val="16"/>
          <w:szCs w:val="16"/>
          <w:lang w:val="es-ES_tradnl"/>
        </w:rPr>
        <w:t>í</w:t>
      </w:r>
      <w:r>
        <w:rPr>
          <w:spacing w:val="-6"/>
          <w:sz w:val="16"/>
          <w:szCs w:val="16"/>
          <w:lang w:val="es-ES_tradnl"/>
        </w:rPr>
        <w:t xml:space="preserve">a General del Estado, se precisa </w:t>
      </w:r>
      <w:r>
        <w:rPr>
          <w:spacing w:val="-4"/>
          <w:sz w:val="16"/>
          <w:szCs w:val="16"/>
          <w:lang w:val="es-ES_tradnl"/>
        </w:rPr>
        <w:t xml:space="preserve">que la sentencia se refiere a un contrato colectivo y a una </w:t>
      </w:r>
      <w:r>
        <w:rPr>
          <w:spacing w:val="-8"/>
          <w:sz w:val="16"/>
          <w:szCs w:val="16"/>
          <w:lang w:val="es-ES_tradnl"/>
        </w:rPr>
        <w:t xml:space="preserve">acta que establece la forma de pago. Por lo dicho se rechazan </w:t>
      </w:r>
      <w:r>
        <w:rPr>
          <w:spacing w:val="-5"/>
          <w:sz w:val="16"/>
          <w:szCs w:val="16"/>
          <w:lang w:val="es-ES_tradnl"/>
        </w:rPr>
        <w:t>las indicadas peticiones. 2). En cuanto a la ampliaci</w:t>
      </w:r>
      <w:r>
        <w:rPr>
          <w:rFonts w:cs="Times New Roman"/>
          <w:spacing w:val="-5"/>
          <w:sz w:val="16"/>
          <w:szCs w:val="16"/>
          <w:lang w:val="es-ES_tradnl"/>
        </w:rPr>
        <w:t>ó</w:t>
      </w:r>
      <w:r>
        <w:rPr>
          <w:spacing w:val="-5"/>
          <w:sz w:val="16"/>
          <w:szCs w:val="16"/>
          <w:lang w:val="es-ES_tradnl"/>
        </w:rPr>
        <w:t xml:space="preserve">n de la </w:t>
      </w:r>
      <w:r>
        <w:rPr>
          <w:spacing w:val="-8"/>
          <w:sz w:val="16"/>
          <w:szCs w:val="16"/>
          <w:lang w:val="es-ES_tradnl"/>
        </w:rPr>
        <w:t xml:space="preserve">sentencia solicitada por el actor, se precisa que el punto al que </w:t>
      </w:r>
      <w:r>
        <w:rPr>
          <w:spacing w:val="-6"/>
          <w:sz w:val="16"/>
          <w:szCs w:val="16"/>
          <w:lang w:val="es-ES_tradnl"/>
        </w:rPr>
        <w:t>se refiere no fue material de c</w:t>
      </w:r>
      <w:r>
        <w:rPr>
          <w:rFonts w:cs="Times New Roman"/>
          <w:spacing w:val="-6"/>
          <w:sz w:val="16"/>
          <w:szCs w:val="16"/>
          <w:lang w:val="es-ES_tradnl"/>
        </w:rPr>
        <w:t>ó</w:t>
      </w:r>
      <w:r>
        <w:rPr>
          <w:spacing w:val="-6"/>
          <w:sz w:val="16"/>
          <w:szCs w:val="16"/>
          <w:lang w:val="es-ES_tradnl"/>
        </w:rPr>
        <w:t>mo se trab</w:t>
      </w:r>
      <w:r>
        <w:rPr>
          <w:rFonts w:cs="Times New Roman"/>
          <w:spacing w:val="-6"/>
          <w:sz w:val="16"/>
          <w:szCs w:val="16"/>
          <w:lang w:val="es-ES_tradnl"/>
        </w:rPr>
        <w:t>ó</w:t>
      </w:r>
      <w:r>
        <w:rPr>
          <w:spacing w:val="-6"/>
          <w:sz w:val="16"/>
          <w:szCs w:val="16"/>
          <w:lang w:val="es-ES_tradnl"/>
        </w:rPr>
        <w:t xml:space="preserve"> la litis, por lo que </w:t>
      </w:r>
      <w:r>
        <w:rPr>
          <w:spacing w:val="-5"/>
          <w:sz w:val="16"/>
          <w:szCs w:val="16"/>
          <w:lang w:val="es-ES_tradnl"/>
        </w:rPr>
        <w:t>en conformidad a lo dispuesto por el Art. 273 del C</w:t>
      </w:r>
      <w:r>
        <w:rPr>
          <w:rFonts w:cs="Times New Roman"/>
          <w:spacing w:val="-5"/>
          <w:sz w:val="16"/>
          <w:szCs w:val="16"/>
          <w:lang w:val="es-ES_tradnl"/>
        </w:rPr>
        <w:t>ó</w:t>
      </w:r>
      <w:r>
        <w:rPr>
          <w:spacing w:val="-5"/>
          <w:sz w:val="16"/>
          <w:szCs w:val="16"/>
          <w:lang w:val="es-ES_tradnl"/>
        </w:rPr>
        <w:t xml:space="preserve">digo de </w:t>
      </w:r>
      <w:r>
        <w:rPr>
          <w:sz w:val="16"/>
          <w:szCs w:val="16"/>
          <w:lang w:val="es-ES_tradnl"/>
        </w:rPr>
        <w:t>Procedimiento Civil, se la deniega (</w:t>
      </w:r>
      <w:r>
        <w:rPr>
          <w:rFonts w:cs="Times New Roman"/>
          <w:sz w:val="16"/>
          <w:szCs w:val="16"/>
          <w:lang w:val="es-ES_tradnl"/>
        </w:rPr>
        <w:t>…</w:t>
      </w:r>
      <w:r>
        <w:rPr>
          <w:sz w:val="16"/>
          <w:szCs w:val="16"/>
          <w:lang w:val="es-ES_tradnl"/>
        </w:rPr>
        <w:t>).</w:t>
      </w:r>
    </w:p>
    <w:p w14:paraId="4F67B4CB" w14:textId="77777777" w:rsidR="00591D54" w:rsidRDefault="00591D54">
      <w:pPr>
        <w:shd w:val="clear" w:color="auto" w:fill="FFFFFF"/>
        <w:spacing w:before="197"/>
      </w:pPr>
      <w:r>
        <w:rPr>
          <w:b/>
          <w:bCs/>
          <w:spacing w:val="-12"/>
          <w:sz w:val="18"/>
          <w:szCs w:val="18"/>
          <w:lang w:val="es-ES_tradnl"/>
        </w:rPr>
        <w:t>Antecedentes del caso concreto</w:t>
      </w:r>
    </w:p>
    <w:p w14:paraId="4F67B4CC" w14:textId="77777777" w:rsidR="00591D54" w:rsidRDefault="00591D54">
      <w:pPr>
        <w:shd w:val="clear" w:color="auto" w:fill="FFFFFF"/>
        <w:spacing w:before="192" w:line="216" w:lineRule="exact"/>
        <w:ind w:right="10"/>
        <w:jc w:val="both"/>
      </w:pPr>
      <w:r>
        <w:rPr>
          <w:spacing w:val="-6"/>
          <w:sz w:val="18"/>
          <w:szCs w:val="18"/>
          <w:lang w:val="es-ES_tradnl"/>
        </w:rPr>
        <w:t>El se</w:t>
      </w:r>
      <w:r>
        <w:rPr>
          <w:rFonts w:cs="Times New Roman"/>
          <w:spacing w:val="-6"/>
          <w:sz w:val="18"/>
          <w:szCs w:val="18"/>
          <w:lang w:val="es-ES_tradnl"/>
        </w:rPr>
        <w:t>ñ</w:t>
      </w:r>
      <w:r>
        <w:rPr>
          <w:spacing w:val="-6"/>
          <w:sz w:val="18"/>
          <w:szCs w:val="18"/>
          <w:lang w:val="es-ES_tradnl"/>
        </w:rPr>
        <w:t xml:space="preserve">or Eduardo Francisco Manuel Naranjo Cruz de 68 </w:t>
      </w:r>
      <w:r>
        <w:rPr>
          <w:spacing w:val="-9"/>
          <w:sz w:val="18"/>
          <w:szCs w:val="18"/>
          <w:lang w:val="es-ES_tradnl"/>
        </w:rPr>
        <w:t>a</w:t>
      </w:r>
      <w:r>
        <w:rPr>
          <w:rFonts w:cs="Times New Roman"/>
          <w:spacing w:val="-9"/>
          <w:sz w:val="18"/>
          <w:szCs w:val="18"/>
          <w:lang w:val="es-ES_tradnl"/>
        </w:rPr>
        <w:t>ñ</w:t>
      </w:r>
      <w:r>
        <w:rPr>
          <w:spacing w:val="-9"/>
          <w:sz w:val="18"/>
          <w:szCs w:val="18"/>
          <w:lang w:val="es-ES_tradnl"/>
        </w:rPr>
        <w:t xml:space="preserve">os de edad, presenta demanda ejecutiva en contra de la </w:t>
      </w:r>
      <w:r>
        <w:rPr>
          <w:spacing w:val="-8"/>
          <w:sz w:val="18"/>
          <w:szCs w:val="18"/>
          <w:lang w:val="es-ES_tradnl"/>
        </w:rPr>
        <w:t>Empresa Estatal de Petr</w:t>
      </w:r>
      <w:r>
        <w:rPr>
          <w:rFonts w:cs="Times New Roman"/>
          <w:spacing w:val="-8"/>
          <w:sz w:val="18"/>
          <w:szCs w:val="18"/>
          <w:lang w:val="es-ES_tradnl"/>
        </w:rPr>
        <w:t>ó</w:t>
      </w:r>
      <w:r>
        <w:rPr>
          <w:spacing w:val="-8"/>
          <w:sz w:val="18"/>
          <w:szCs w:val="18"/>
          <w:lang w:val="es-ES_tradnl"/>
        </w:rPr>
        <w:t xml:space="preserve">leos del Ecuador </w:t>
      </w:r>
      <w:r>
        <w:rPr>
          <w:rFonts w:cs="Times New Roman"/>
          <w:spacing w:val="-8"/>
          <w:sz w:val="18"/>
          <w:szCs w:val="18"/>
          <w:lang w:val="es-ES_tradnl"/>
        </w:rPr>
        <w:t>“</w:t>
      </w:r>
      <w:r>
        <w:rPr>
          <w:spacing w:val="-8"/>
          <w:sz w:val="18"/>
          <w:szCs w:val="18"/>
          <w:lang w:val="es-ES_tradnl"/>
        </w:rPr>
        <w:t>Petroecuador</w:t>
      </w:r>
      <w:r>
        <w:rPr>
          <w:rFonts w:cs="Times New Roman"/>
          <w:spacing w:val="-8"/>
          <w:sz w:val="18"/>
          <w:szCs w:val="18"/>
          <w:lang w:val="es-ES_tradnl"/>
        </w:rPr>
        <w:t xml:space="preserve">” </w:t>
      </w:r>
      <w:r>
        <w:rPr>
          <w:spacing w:val="-12"/>
          <w:sz w:val="18"/>
          <w:szCs w:val="18"/>
          <w:lang w:val="es-ES_tradnl"/>
        </w:rPr>
        <w:t xml:space="preserve">con la finalidad de que se le cancele una suma de dinero que </w:t>
      </w:r>
      <w:r>
        <w:rPr>
          <w:spacing w:val="-6"/>
          <w:sz w:val="18"/>
          <w:szCs w:val="18"/>
          <w:lang w:val="es-ES_tradnl"/>
        </w:rPr>
        <w:t xml:space="preserve">presuntamente se le adeuda en virtud de la existencia de </w:t>
      </w:r>
      <w:r>
        <w:rPr>
          <w:spacing w:val="-8"/>
          <w:sz w:val="18"/>
          <w:szCs w:val="18"/>
          <w:lang w:val="es-ES_tradnl"/>
        </w:rPr>
        <w:t>un acta de pago de contribuci</w:t>
      </w:r>
      <w:r>
        <w:rPr>
          <w:rFonts w:cs="Times New Roman"/>
          <w:spacing w:val="-8"/>
          <w:sz w:val="18"/>
          <w:szCs w:val="18"/>
          <w:lang w:val="es-ES_tradnl"/>
        </w:rPr>
        <w:t>ó</w:t>
      </w:r>
      <w:r>
        <w:rPr>
          <w:spacing w:val="-8"/>
          <w:sz w:val="18"/>
          <w:szCs w:val="18"/>
          <w:lang w:val="es-ES_tradnl"/>
        </w:rPr>
        <w:t>n por separaci</w:t>
      </w:r>
      <w:r>
        <w:rPr>
          <w:rFonts w:cs="Times New Roman"/>
          <w:spacing w:val="-8"/>
          <w:sz w:val="18"/>
          <w:szCs w:val="18"/>
          <w:lang w:val="es-ES_tradnl"/>
        </w:rPr>
        <w:t>ó</w:t>
      </w:r>
      <w:r>
        <w:rPr>
          <w:spacing w:val="-8"/>
          <w:sz w:val="18"/>
          <w:szCs w:val="18"/>
          <w:lang w:val="es-ES_tradnl"/>
        </w:rPr>
        <w:t>n voluntaria.</w:t>
      </w:r>
    </w:p>
    <w:p w14:paraId="4F67B4CD" w14:textId="77777777" w:rsidR="00591D54" w:rsidRDefault="00591D54">
      <w:pPr>
        <w:shd w:val="clear" w:color="auto" w:fill="FFFFFF"/>
        <w:spacing w:before="192" w:line="216" w:lineRule="exact"/>
        <w:ind w:right="10"/>
        <w:jc w:val="both"/>
      </w:pPr>
      <w:r>
        <w:rPr>
          <w:spacing w:val="-12"/>
          <w:sz w:val="18"/>
          <w:szCs w:val="18"/>
          <w:lang w:val="es-ES_tradnl"/>
        </w:rPr>
        <w:t xml:space="preserve">El 25 de febrero de 2010 a las 11h20, el Juzgado Segundo de </w:t>
      </w:r>
      <w:r>
        <w:rPr>
          <w:spacing w:val="-9"/>
          <w:sz w:val="18"/>
          <w:szCs w:val="18"/>
          <w:lang w:val="es-ES_tradnl"/>
        </w:rPr>
        <w:t>lo Civil de Pichincha dict</w:t>
      </w:r>
      <w:r>
        <w:rPr>
          <w:rFonts w:cs="Times New Roman"/>
          <w:spacing w:val="-9"/>
          <w:sz w:val="18"/>
          <w:szCs w:val="18"/>
          <w:lang w:val="es-ES_tradnl"/>
        </w:rPr>
        <w:t>ó</w:t>
      </w:r>
      <w:r>
        <w:rPr>
          <w:spacing w:val="-9"/>
          <w:sz w:val="18"/>
          <w:szCs w:val="18"/>
          <w:lang w:val="es-ES_tradnl"/>
        </w:rPr>
        <w:t xml:space="preserve"> sentencia, aceptando la demanda propuesta por Eduardo Francisco Manuel Naranjo Cruz, de esta decisi</w:t>
      </w:r>
      <w:r>
        <w:rPr>
          <w:rFonts w:cs="Times New Roman"/>
          <w:spacing w:val="-9"/>
          <w:sz w:val="18"/>
          <w:szCs w:val="18"/>
          <w:lang w:val="es-ES_tradnl"/>
        </w:rPr>
        <w:t>ó</w:t>
      </w:r>
      <w:r>
        <w:rPr>
          <w:spacing w:val="-9"/>
          <w:sz w:val="18"/>
          <w:szCs w:val="18"/>
          <w:lang w:val="es-ES_tradnl"/>
        </w:rPr>
        <w:t>n se propone recurso de apelaci</w:t>
      </w:r>
      <w:r>
        <w:rPr>
          <w:rFonts w:cs="Times New Roman"/>
          <w:spacing w:val="-9"/>
          <w:sz w:val="18"/>
          <w:szCs w:val="18"/>
          <w:lang w:val="es-ES_tradnl"/>
        </w:rPr>
        <w:t>ó</w:t>
      </w:r>
      <w:r>
        <w:rPr>
          <w:spacing w:val="-9"/>
          <w:sz w:val="18"/>
          <w:szCs w:val="18"/>
          <w:lang w:val="es-ES_tradnl"/>
        </w:rPr>
        <w:t xml:space="preserve">n para ante el </w:t>
      </w:r>
      <w:r>
        <w:rPr>
          <w:sz w:val="18"/>
          <w:szCs w:val="18"/>
          <w:lang w:val="es-ES_tradnl"/>
        </w:rPr>
        <w:t>superior el 01 de marzo de 2010.</w:t>
      </w:r>
    </w:p>
    <w:p w14:paraId="4F67B4CE" w14:textId="77777777" w:rsidR="00591D54" w:rsidRDefault="00591D54">
      <w:pPr>
        <w:shd w:val="clear" w:color="auto" w:fill="FFFFFF"/>
        <w:spacing w:before="192" w:line="216" w:lineRule="exact"/>
        <w:ind w:right="10"/>
        <w:jc w:val="both"/>
      </w:pPr>
      <w:r>
        <w:rPr>
          <w:spacing w:val="-8"/>
          <w:sz w:val="18"/>
          <w:szCs w:val="18"/>
          <w:lang w:val="es-ES_tradnl"/>
        </w:rPr>
        <w:t xml:space="preserve">El 01 de septiembre de 2010 a las 15h19, la Segunda Sala </w:t>
      </w:r>
      <w:r>
        <w:rPr>
          <w:spacing w:val="-2"/>
          <w:sz w:val="18"/>
          <w:szCs w:val="18"/>
          <w:lang w:val="es-ES_tradnl"/>
        </w:rPr>
        <w:t xml:space="preserve">de lo Civil, Mercantil, Inquilinato y Materias Residuales </w:t>
      </w:r>
      <w:r>
        <w:rPr>
          <w:spacing w:val="-3"/>
          <w:sz w:val="18"/>
          <w:szCs w:val="18"/>
          <w:lang w:val="es-ES_tradnl"/>
        </w:rPr>
        <w:t>de la Corte Provincial de Pichincha dict</w:t>
      </w:r>
      <w:r>
        <w:rPr>
          <w:rFonts w:cs="Times New Roman"/>
          <w:spacing w:val="-3"/>
          <w:sz w:val="18"/>
          <w:szCs w:val="18"/>
          <w:lang w:val="es-ES_tradnl"/>
        </w:rPr>
        <w:t>ó</w:t>
      </w:r>
      <w:r>
        <w:rPr>
          <w:spacing w:val="-3"/>
          <w:sz w:val="18"/>
          <w:szCs w:val="18"/>
          <w:lang w:val="es-ES_tradnl"/>
        </w:rPr>
        <w:t xml:space="preserve"> sentencia </w:t>
      </w:r>
      <w:r>
        <w:rPr>
          <w:spacing w:val="-7"/>
          <w:sz w:val="18"/>
          <w:szCs w:val="18"/>
          <w:lang w:val="es-ES_tradnl"/>
        </w:rPr>
        <w:t xml:space="preserve">rechazando los recursos interpuestos y confirmando la </w:t>
      </w:r>
      <w:r>
        <w:rPr>
          <w:spacing w:val="-9"/>
          <w:sz w:val="18"/>
          <w:szCs w:val="18"/>
          <w:lang w:val="es-ES_tradnl"/>
        </w:rPr>
        <w:t>sentencia recurrida, de esta decisi</w:t>
      </w:r>
      <w:r>
        <w:rPr>
          <w:rFonts w:cs="Times New Roman"/>
          <w:spacing w:val="-9"/>
          <w:sz w:val="18"/>
          <w:szCs w:val="18"/>
          <w:lang w:val="es-ES_tradnl"/>
        </w:rPr>
        <w:t>ó</w:t>
      </w:r>
      <w:r>
        <w:rPr>
          <w:spacing w:val="-9"/>
          <w:sz w:val="18"/>
          <w:szCs w:val="18"/>
          <w:lang w:val="es-ES_tradnl"/>
        </w:rPr>
        <w:t>n se solicit</w:t>
      </w:r>
      <w:r>
        <w:rPr>
          <w:rFonts w:cs="Times New Roman"/>
          <w:spacing w:val="-9"/>
          <w:sz w:val="18"/>
          <w:szCs w:val="18"/>
          <w:lang w:val="es-ES_tradnl"/>
        </w:rPr>
        <w:t>ó</w:t>
      </w:r>
      <w:r>
        <w:rPr>
          <w:spacing w:val="-9"/>
          <w:sz w:val="18"/>
          <w:szCs w:val="18"/>
          <w:lang w:val="es-ES_tradnl"/>
        </w:rPr>
        <w:t xml:space="preserve"> aclaraci</w:t>
      </w:r>
      <w:r>
        <w:rPr>
          <w:rFonts w:cs="Times New Roman"/>
          <w:spacing w:val="-9"/>
          <w:sz w:val="18"/>
          <w:szCs w:val="18"/>
          <w:lang w:val="es-ES_tradnl"/>
        </w:rPr>
        <w:t>ó</w:t>
      </w:r>
      <w:r>
        <w:rPr>
          <w:spacing w:val="-9"/>
          <w:sz w:val="18"/>
          <w:szCs w:val="18"/>
          <w:lang w:val="es-ES_tradnl"/>
        </w:rPr>
        <w:t xml:space="preserve">n y </w:t>
      </w:r>
      <w:r>
        <w:rPr>
          <w:spacing w:val="-7"/>
          <w:sz w:val="18"/>
          <w:szCs w:val="18"/>
          <w:lang w:val="es-ES_tradnl"/>
        </w:rPr>
        <w:t>ampliaci</w:t>
      </w:r>
      <w:r>
        <w:rPr>
          <w:rFonts w:cs="Times New Roman"/>
          <w:spacing w:val="-7"/>
          <w:sz w:val="18"/>
          <w:szCs w:val="18"/>
          <w:lang w:val="es-ES_tradnl"/>
        </w:rPr>
        <w:t>ó</w:t>
      </w:r>
      <w:r>
        <w:rPr>
          <w:spacing w:val="-7"/>
          <w:sz w:val="18"/>
          <w:szCs w:val="18"/>
          <w:lang w:val="es-ES_tradnl"/>
        </w:rPr>
        <w:t xml:space="preserve">n, solicitud que fue negada mediante auto del 29 </w:t>
      </w:r>
      <w:r>
        <w:rPr>
          <w:sz w:val="18"/>
          <w:szCs w:val="18"/>
          <w:lang w:val="es-ES_tradnl"/>
        </w:rPr>
        <w:t>de septiembre de 2010 a las 15h13.</w:t>
      </w:r>
    </w:p>
    <w:p w14:paraId="4F67B4CF" w14:textId="77777777" w:rsidR="00591D54" w:rsidRDefault="00591D54">
      <w:pPr>
        <w:shd w:val="clear" w:color="auto" w:fill="FFFFFF"/>
        <w:spacing w:before="187"/>
      </w:pPr>
      <w:r>
        <w:rPr>
          <w:b/>
          <w:bCs/>
          <w:spacing w:val="-8"/>
          <w:sz w:val="18"/>
          <w:szCs w:val="18"/>
          <w:lang w:val="es-ES_tradnl"/>
        </w:rPr>
        <w:t>Detalle y fundamento de la demanda</w:t>
      </w:r>
    </w:p>
    <w:p w14:paraId="4F67B4D0" w14:textId="77777777" w:rsidR="00591D54" w:rsidRDefault="00591D54">
      <w:pPr>
        <w:shd w:val="clear" w:color="auto" w:fill="FFFFFF"/>
        <w:spacing w:before="197" w:line="216" w:lineRule="exact"/>
        <w:ind w:right="5"/>
        <w:jc w:val="both"/>
      </w:pPr>
      <w:r>
        <w:rPr>
          <w:spacing w:val="-7"/>
          <w:sz w:val="18"/>
          <w:szCs w:val="18"/>
          <w:lang w:val="es-ES_tradnl"/>
        </w:rPr>
        <w:t>En lo principal, el accionante se</w:t>
      </w:r>
      <w:r>
        <w:rPr>
          <w:rFonts w:cs="Times New Roman"/>
          <w:spacing w:val="-7"/>
          <w:sz w:val="18"/>
          <w:szCs w:val="18"/>
          <w:lang w:val="es-ES_tradnl"/>
        </w:rPr>
        <w:t>ñ</w:t>
      </w:r>
      <w:r>
        <w:rPr>
          <w:spacing w:val="-7"/>
          <w:sz w:val="18"/>
          <w:szCs w:val="18"/>
          <w:lang w:val="es-ES_tradnl"/>
        </w:rPr>
        <w:t xml:space="preserve">ala que se han vulnerado </w:t>
      </w:r>
      <w:r>
        <w:rPr>
          <w:spacing w:val="-8"/>
          <w:sz w:val="18"/>
          <w:szCs w:val="18"/>
          <w:lang w:val="es-ES_tradnl"/>
        </w:rPr>
        <w:t>los derechos contenidos en los art</w:t>
      </w:r>
      <w:r>
        <w:rPr>
          <w:rFonts w:cs="Times New Roman"/>
          <w:spacing w:val="-8"/>
          <w:sz w:val="18"/>
          <w:szCs w:val="18"/>
          <w:lang w:val="es-ES_tradnl"/>
        </w:rPr>
        <w:t>í</w:t>
      </w:r>
      <w:r>
        <w:rPr>
          <w:spacing w:val="-8"/>
          <w:sz w:val="18"/>
          <w:szCs w:val="18"/>
          <w:lang w:val="es-ES_tradnl"/>
        </w:rPr>
        <w:t xml:space="preserve">culos 11 numerales 3, 4, </w:t>
      </w:r>
      <w:r>
        <w:rPr>
          <w:spacing w:val="-6"/>
          <w:sz w:val="18"/>
          <w:szCs w:val="18"/>
          <w:lang w:val="es-ES_tradnl"/>
        </w:rPr>
        <w:t>5 y 9 (principios de aplicaci</w:t>
      </w:r>
      <w:r>
        <w:rPr>
          <w:rFonts w:cs="Times New Roman"/>
          <w:spacing w:val="-6"/>
          <w:sz w:val="18"/>
          <w:szCs w:val="18"/>
          <w:lang w:val="es-ES_tradnl"/>
        </w:rPr>
        <w:t>ó</w:t>
      </w:r>
      <w:r>
        <w:rPr>
          <w:spacing w:val="-6"/>
          <w:sz w:val="18"/>
          <w:szCs w:val="18"/>
          <w:lang w:val="es-ES_tradnl"/>
        </w:rPr>
        <w:t>n de los derechos); 75 (tutela judicial efectiva); 76 numeral 3 (debido proceso).</w:t>
      </w:r>
    </w:p>
    <w:p w14:paraId="4F67B4D1" w14:textId="77777777" w:rsidR="00591D54" w:rsidRDefault="00591D54">
      <w:pPr>
        <w:shd w:val="clear" w:color="auto" w:fill="FFFFFF"/>
        <w:spacing w:before="197" w:line="216" w:lineRule="exact"/>
        <w:ind w:right="10"/>
        <w:jc w:val="both"/>
      </w:pPr>
      <w:r>
        <w:rPr>
          <w:spacing w:val="-7"/>
          <w:sz w:val="18"/>
          <w:szCs w:val="18"/>
          <w:lang w:val="es-ES_tradnl"/>
        </w:rPr>
        <w:t>Manifiesta que cuando se dio contestaci</w:t>
      </w:r>
      <w:r>
        <w:rPr>
          <w:rFonts w:cs="Times New Roman"/>
          <w:spacing w:val="-7"/>
          <w:sz w:val="18"/>
          <w:szCs w:val="18"/>
          <w:lang w:val="es-ES_tradnl"/>
        </w:rPr>
        <w:t>ó</w:t>
      </w:r>
      <w:r>
        <w:rPr>
          <w:spacing w:val="-7"/>
          <w:sz w:val="18"/>
          <w:szCs w:val="18"/>
          <w:lang w:val="es-ES_tradnl"/>
        </w:rPr>
        <w:t xml:space="preserve">n a la demanda </w:t>
      </w:r>
      <w:r>
        <w:rPr>
          <w:spacing w:val="-5"/>
          <w:sz w:val="18"/>
          <w:szCs w:val="18"/>
          <w:lang w:val="es-ES_tradnl"/>
        </w:rPr>
        <w:t>propuesta  en  su  contra  se  aleg</w:t>
      </w:r>
      <w:r>
        <w:rPr>
          <w:rFonts w:cs="Times New Roman"/>
          <w:spacing w:val="-5"/>
          <w:sz w:val="18"/>
          <w:szCs w:val="18"/>
          <w:lang w:val="es-ES_tradnl"/>
        </w:rPr>
        <w:t>ó</w:t>
      </w:r>
      <w:r>
        <w:rPr>
          <w:spacing w:val="-5"/>
          <w:sz w:val="18"/>
          <w:szCs w:val="18"/>
          <w:lang w:val="es-ES_tradnl"/>
        </w:rPr>
        <w:t xml:space="preserve">  que  existe  falta  de</w:t>
      </w:r>
    </w:p>
    <w:p w14:paraId="4F67B4D2" w14:textId="77777777" w:rsidR="00591D54" w:rsidRDefault="00591D54">
      <w:pPr>
        <w:shd w:val="clear" w:color="auto" w:fill="FFFFFF"/>
        <w:spacing w:line="221" w:lineRule="exact"/>
        <w:jc w:val="both"/>
      </w:pPr>
      <w:r>
        <w:br w:type="column"/>
      </w:r>
      <w:r>
        <w:rPr>
          <w:sz w:val="18"/>
          <w:szCs w:val="18"/>
          <w:lang w:val="es-ES_tradnl"/>
        </w:rPr>
        <w:t xml:space="preserve">competencia del juez civil para conocer y tramitar el </w:t>
      </w:r>
      <w:r>
        <w:rPr>
          <w:spacing w:val="-4"/>
          <w:sz w:val="18"/>
          <w:szCs w:val="18"/>
          <w:lang w:val="es-ES_tradnl"/>
        </w:rPr>
        <w:t>caso de conformidad con lo que dispone el art</w:t>
      </w:r>
      <w:r>
        <w:rPr>
          <w:rFonts w:cs="Times New Roman"/>
          <w:spacing w:val="-4"/>
          <w:sz w:val="18"/>
          <w:szCs w:val="18"/>
          <w:lang w:val="es-ES_tradnl"/>
        </w:rPr>
        <w:t>í</w:t>
      </w:r>
      <w:r>
        <w:rPr>
          <w:spacing w:val="-4"/>
          <w:sz w:val="18"/>
          <w:szCs w:val="18"/>
          <w:lang w:val="es-ES_tradnl"/>
        </w:rPr>
        <w:t xml:space="preserve">culo 568 </w:t>
      </w:r>
      <w:r>
        <w:rPr>
          <w:spacing w:val="-5"/>
          <w:sz w:val="18"/>
          <w:szCs w:val="18"/>
          <w:lang w:val="es-ES_tradnl"/>
        </w:rPr>
        <w:t>del C</w:t>
      </w:r>
      <w:r>
        <w:rPr>
          <w:rFonts w:cs="Times New Roman"/>
          <w:spacing w:val="-5"/>
          <w:sz w:val="18"/>
          <w:szCs w:val="18"/>
          <w:lang w:val="es-ES_tradnl"/>
        </w:rPr>
        <w:t>ó</w:t>
      </w:r>
      <w:r>
        <w:rPr>
          <w:spacing w:val="-5"/>
          <w:sz w:val="18"/>
          <w:szCs w:val="18"/>
          <w:lang w:val="es-ES_tradnl"/>
        </w:rPr>
        <w:t xml:space="preserve">digo de Trabajo y que por tanto, este proceso le </w:t>
      </w:r>
      <w:r>
        <w:rPr>
          <w:spacing w:val="-7"/>
          <w:sz w:val="18"/>
          <w:szCs w:val="18"/>
          <w:lang w:val="es-ES_tradnl"/>
        </w:rPr>
        <w:t>correspond</w:t>
      </w:r>
      <w:r>
        <w:rPr>
          <w:rFonts w:cs="Times New Roman"/>
          <w:spacing w:val="-7"/>
          <w:sz w:val="18"/>
          <w:szCs w:val="18"/>
          <w:lang w:val="es-ES_tradnl"/>
        </w:rPr>
        <w:t>í</w:t>
      </w:r>
      <w:r>
        <w:rPr>
          <w:spacing w:val="-7"/>
          <w:sz w:val="18"/>
          <w:szCs w:val="18"/>
          <w:lang w:val="es-ES_tradnl"/>
        </w:rPr>
        <w:t xml:space="preserve">a conocer al juez del trabajo mismo que tiene </w:t>
      </w:r>
      <w:r>
        <w:rPr>
          <w:spacing w:val="-6"/>
          <w:sz w:val="18"/>
          <w:szCs w:val="18"/>
          <w:lang w:val="es-ES_tradnl"/>
        </w:rPr>
        <w:t>competencia privativa en temas laborales.</w:t>
      </w:r>
    </w:p>
    <w:p w14:paraId="4F67B4D3" w14:textId="77777777" w:rsidR="00591D54" w:rsidRDefault="00591D54">
      <w:pPr>
        <w:shd w:val="clear" w:color="auto" w:fill="FFFFFF"/>
        <w:spacing w:before="202" w:line="221" w:lineRule="exact"/>
        <w:jc w:val="both"/>
      </w:pPr>
      <w:r>
        <w:rPr>
          <w:spacing w:val="-4"/>
          <w:sz w:val="18"/>
          <w:szCs w:val="18"/>
          <w:lang w:val="es-ES_tradnl"/>
        </w:rPr>
        <w:t>Por consiguiente a su criterio, se vulner</w:t>
      </w:r>
      <w:r>
        <w:rPr>
          <w:rFonts w:cs="Times New Roman"/>
          <w:spacing w:val="-4"/>
          <w:sz w:val="18"/>
          <w:szCs w:val="18"/>
          <w:lang w:val="es-ES_tradnl"/>
        </w:rPr>
        <w:t>ó</w:t>
      </w:r>
      <w:r>
        <w:rPr>
          <w:spacing w:val="-4"/>
          <w:sz w:val="18"/>
          <w:szCs w:val="18"/>
          <w:lang w:val="es-ES_tradnl"/>
        </w:rPr>
        <w:t xml:space="preserve"> el derecho </w:t>
      </w:r>
      <w:r>
        <w:rPr>
          <w:spacing w:val="-5"/>
          <w:sz w:val="18"/>
          <w:szCs w:val="18"/>
          <w:lang w:val="es-ES_tradnl"/>
        </w:rPr>
        <w:t>constitucional al debido proceso en la garant</w:t>
      </w:r>
      <w:r>
        <w:rPr>
          <w:rFonts w:cs="Times New Roman"/>
          <w:spacing w:val="-5"/>
          <w:sz w:val="18"/>
          <w:szCs w:val="18"/>
          <w:lang w:val="es-ES_tradnl"/>
        </w:rPr>
        <w:t>í</w:t>
      </w:r>
      <w:r>
        <w:rPr>
          <w:spacing w:val="-5"/>
          <w:sz w:val="18"/>
          <w:szCs w:val="18"/>
          <w:lang w:val="es-ES_tradnl"/>
        </w:rPr>
        <w:t xml:space="preserve">a de ser </w:t>
      </w:r>
      <w:r>
        <w:rPr>
          <w:spacing w:val="-7"/>
          <w:sz w:val="18"/>
          <w:szCs w:val="18"/>
          <w:lang w:val="es-ES_tradnl"/>
        </w:rPr>
        <w:t>juzgado por un juez competente, as</w:t>
      </w:r>
      <w:r>
        <w:rPr>
          <w:rFonts w:cs="Times New Roman"/>
          <w:spacing w:val="-7"/>
          <w:sz w:val="18"/>
          <w:szCs w:val="18"/>
          <w:lang w:val="es-ES_tradnl"/>
        </w:rPr>
        <w:t>í</w:t>
      </w:r>
      <w:r>
        <w:rPr>
          <w:spacing w:val="-7"/>
          <w:sz w:val="18"/>
          <w:szCs w:val="18"/>
          <w:lang w:val="es-ES_tradnl"/>
        </w:rPr>
        <w:t xml:space="preserve"> como el derecho a la </w:t>
      </w:r>
      <w:r>
        <w:rPr>
          <w:spacing w:val="-6"/>
          <w:sz w:val="18"/>
          <w:szCs w:val="18"/>
          <w:lang w:val="es-ES_tradnl"/>
        </w:rPr>
        <w:t>seguridad jur</w:t>
      </w:r>
      <w:r>
        <w:rPr>
          <w:rFonts w:cs="Times New Roman"/>
          <w:spacing w:val="-6"/>
          <w:sz w:val="18"/>
          <w:szCs w:val="18"/>
          <w:lang w:val="es-ES_tradnl"/>
        </w:rPr>
        <w:t>í</w:t>
      </w:r>
      <w:r>
        <w:rPr>
          <w:spacing w:val="-6"/>
          <w:sz w:val="18"/>
          <w:szCs w:val="18"/>
          <w:lang w:val="es-ES_tradnl"/>
        </w:rPr>
        <w:t xml:space="preserve">dica, ya que si la demanda o el documento </w:t>
      </w:r>
      <w:r>
        <w:rPr>
          <w:spacing w:val="-7"/>
          <w:sz w:val="18"/>
          <w:szCs w:val="18"/>
          <w:lang w:val="es-ES_tradnl"/>
        </w:rPr>
        <w:t>que present</w:t>
      </w:r>
      <w:r>
        <w:rPr>
          <w:rFonts w:cs="Times New Roman"/>
          <w:spacing w:val="-7"/>
          <w:sz w:val="18"/>
          <w:szCs w:val="18"/>
          <w:lang w:val="es-ES_tradnl"/>
        </w:rPr>
        <w:t>ó</w:t>
      </w:r>
      <w:r>
        <w:rPr>
          <w:spacing w:val="-7"/>
          <w:sz w:val="18"/>
          <w:szCs w:val="18"/>
          <w:lang w:val="es-ES_tradnl"/>
        </w:rPr>
        <w:t xml:space="preserve"> el actor, proviene de un contrato colectivo de </w:t>
      </w:r>
      <w:r>
        <w:rPr>
          <w:spacing w:val="-5"/>
          <w:sz w:val="18"/>
          <w:szCs w:val="18"/>
          <w:lang w:val="es-ES_tradnl"/>
        </w:rPr>
        <w:t>trabajo, l</w:t>
      </w:r>
      <w:r>
        <w:rPr>
          <w:rFonts w:cs="Times New Roman"/>
          <w:spacing w:val="-5"/>
          <w:sz w:val="18"/>
          <w:szCs w:val="18"/>
          <w:lang w:val="es-ES_tradnl"/>
        </w:rPr>
        <w:t>ó</w:t>
      </w:r>
      <w:r>
        <w:rPr>
          <w:spacing w:val="-5"/>
          <w:sz w:val="18"/>
          <w:szCs w:val="18"/>
          <w:lang w:val="es-ES_tradnl"/>
        </w:rPr>
        <w:t>gicamente que al derivarse de una relaci</w:t>
      </w:r>
      <w:r>
        <w:rPr>
          <w:rFonts w:cs="Times New Roman"/>
          <w:spacing w:val="-5"/>
          <w:sz w:val="18"/>
          <w:szCs w:val="18"/>
          <w:lang w:val="es-ES_tradnl"/>
        </w:rPr>
        <w:t>ó</w:t>
      </w:r>
      <w:r>
        <w:rPr>
          <w:spacing w:val="-5"/>
          <w:sz w:val="18"/>
          <w:szCs w:val="18"/>
          <w:lang w:val="es-ES_tradnl"/>
        </w:rPr>
        <w:t xml:space="preserve">n de </w:t>
      </w:r>
      <w:r>
        <w:rPr>
          <w:spacing w:val="-6"/>
          <w:sz w:val="18"/>
          <w:szCs w:val="18"/>
          <w:lang w:val="es-ES_tradnl"/>
        </w:rPr>
        <w:t>trabajo, la competencia es del juez de trabajo.</w:t>
      </w:r>
    </w:p>
    <w:p w14:paraId="4F67B4D4" w14:textId="77777777" w:rsidR="00591D54" w:rsidRDefault="00591D54">
      <w:pPr>
        <w:shd w:val="clear" w:color="auto" w:fill="FFFFFF"/>
        <w:spacing w:before="202" w:line="221" w:lineRule="exact"/>
        <w:jc w:val="both"/>
      </w:pPr>
      <w:r>
        <w:rPr>
          <w:spacing w:val="-4"/>
          <w:sz w:val="18"/>
          <w:szCs w:val="18"/>
          <w:lang w:val="es-ES_tradnl"/>
        </w:rPr>
        <w:t>Determina que lo manifestado conllev</w:t>
      </w:r>
      <w:r>
        <w:rPr>
          <w:rFonts w:cs="Times New Roman"/>
          <w:spacing w:val="-4"/>
          <w:sz w:val="18"/>
          <w:szCs w:val="18"/>
          <w:lang w:val="es-ES_tradnl"/>
        </w:rPr>
        <w:t>ó</w:t>
      </w:r>
      <w:r>
        <w:rPr>
          <w:spacing w:val="-4"/>
          <w:sz w:val="18"/>
          <w:szCs w:val="18"/>
          <w:lang w:val="es-ES_tradnl"/>
        </w:rPr>
        <w:t xml:space="preserve"> a que no exista </w:t>
      </w:r>
      <w:r>
        <w:rPr>
          <w:spacing w:val="-8"/>
          <w:sz w:val="18"/>
          <w:szCs w:val="18"/>
          <w:lang w:val="es-ES_tradnl"/>
        </w:rPr>
        <w:t>una adecuada administraci</w:t>
      </w:r>
      <w:r>
        <w:rPr>
          <w:rFonts w:cs="Times New Roman"/>
          <w:spacing w:val="-8"/>
          <w:sz w:val="18"/>
          <w:szCs w:val="18"/>
          <w:lang w:val="es-ES_tradnl"/>
        </w:rPr>
        <w:t>ó</w:t>
      </w:r>
      <w:r>
        <w:rPr>
          <w:spacing w:val="-8"/>
          <w:sz w:val="18"/>
          <w:szCs w:val="18"/>
          <w:lang w:val="es-ES_tradnl"/>
        </w:rPr>
        <w:t xml:space="preserve">n de justicia en tanto, que en la </w:t>
      </w:r>
      <w:r>
        <w:rPr>
          <w:spacing w:val="-7"/>
          <w:sz w:val="18"/>
          <w:szCs w:val="18"/>
          <w:lang w:val="es-ES_tradnl"/>
        </w:rPr>
        <w:t xml:space="preserve">sentencia sin fundamento, se expresa que la autenticidad </w:t>
      </w:r>
      <w:r>
        <w:rPr>
          <w:spacing w:val="-5"/>
          <w:sz w:val="18"/>
          <w:szCs w:val="18"/>
          <w:lang w:val="es-ES_tradnl"/>
        </w:rPr>
        <w:t>del t</w:t>
      </w:r>
      <w:r>
        <w:rPr>
          <w:rFonts w:cs="Times New Roman"/>
          <w:spacing w:val="-5"/>
          <w:sz w:val="18"/>
          <w:szCs w:val="18"/>
          <w:lang w:val="es-ES_tradnl"/>
        </w:rPr>
        <w:t>í</w:t>
      </w:r>
      <w:r>
        <w:rPr>
          <w:spacing w:val="-5"/>
          <w:sz w:val="18"/>
          <w:szCs w:val="18"/>
          <w:lang w:val="es-ES_tradnl"/>
        </w:rPr>
        <w:t xml:space="preserve">tulo ejecutivo no ha sido impugnado ni controvertido por PETROECUADOR, cuando en las excepciones </w:t>
      </w:r>
      <w:r>
        <w:rPr>
          <w:spacing w:val="-1"/>
          <w:sz w:val="18"/>
          <w:szCs w:val="18"/>
          <w:lang w:val="es-ES_tradnl"/>
        </w:rPr>
        <w:t xml:space="preserve">formuladas por PETROECUADOR, claramente se </w:t>
      </w:r>
      <w:r>
        <w:rPr>
          <w:spacing w:val="-5"/>
          <w:sz w:val="18"/>
          <w:szCs w:val="18"/>
          <w:lang w:val="es-ES_tradnl"/>
        </w:rPr>
        <w:t>impugn</w:t>
      </w:r>
      <w:r>
        <w:rPr>
          <w:rFonts w:cs="Times New Roman"/>
          <w:spacing w:val="-5"/>
          <w:sz w:val="18"/>
          <w:szCs w:val="18"/>
          <w:lang w:val="es-ES_tradnl"/>
        </w:rPr>
        <w:t>ó</w:t>
      </w:r>
      <w:r>
        <w:rPr>
          <w:spacing w:val="-5"/>
          <w:sz w:val="18"/>
          <w:szCs w:val="18"/>
          <w:lang w:val="es-ES_tradnl"/>
        </w:rPr>
        <w:t xml:space="preserve"> el documento inv</w:t>
      </w:r>
      <w:r>
        <w:rPr>
          <w:rFonts w:cs="Times New Roman"/>
          <w:spacing w:val="-5"/>
          <w:sz w:val="18"/>
          <w:szCs w:val="18"/>
          <w:lang w:val="es-ES_tradnl"/>
        </w:rPr>
        <w:t>á</w:t>
      </w:r>
      <w:r>
        <w:rPr>
          <w:spacing w:val="-5"/>
          <w:sz w:val="18"/>
          <w:szCs w:val="18"/>
          <w:lang w:val="es-ES_tradnl"/>
        </w:rPr>
        <w:t>lido presentado por el actor.</w:t>
      </w:r>
    </w:p>
    <w:p w14:paraId="4F67B4D5" w14:textId="77777777" w:rsidR="00591D54" w:rsidRDefault="00591D54">
      <w:pPr>
        <w:shd w:val="clear" w:color="auto" w:fill="FFFFFF"/>
        <w:spacing w:before="202" w:line="221" w:lineRule="exact"/>
        <w:jc w:val="both"/>
      </w:pPr>
      <w:r>
        <w:rPr>
          <w:spacing w:val="-6"/>
          <w:sz w:val="18"/>
          <w:szCs w:val="18"/>
          <w:lang w:val="es-ES_tradnl"/>
        </w:rPr>
        <w:t xml:space="preserve">En este sentido, precisa que la Segunda Sala de lo Civil, </w:t>
      </w:r>
      <w:r>
        <w:rPr>
          <w:spacing w:val="-3"/>
          <w:sz w:val="18"/>
          <w:szCs w:val="18"/>
          <w:lang w:val="es-ES_tradnl"/>
        </w:rPr>
        <w:t xml:space="preserve">Mercantil, Inquilinato y Materias Residuales de la Corte </w:t>
      </w:r>
      <w:r>
        <w:rPr>
          <w:sz w:val="18"/>
          <w:szCs w:val="18"/>
          <w:lang w:val="es-ES_tradnl"/>
        </w:rPr>
        <w:t xml:space="preserve">Provincial de Justicia de Pichincha, al no aplicar el </w:t>
      </w:r>
      <w:r>
        <w:rPr>
          <w:spacing w:val="-7"/>
          <w:sz w:val="18"/>
          <w:szCs w:val="18"/>
          <w:lang w:val="es-ES_tradnl"/>
        </w:rPr>
        <w:t>art</w:t>
      </w:r>
      <w:r>
        <w:rPr>
          <w:rFonts w:cs="Times New Roman"/>
          <w:spacing w:val="-7"/>
          <w:sz w:val="18"/>
          <w:szCs w:val="18"/>
          <w:lang w:val="es-ES_tradnl"/>
        </w:rPr>
        <w:t>í</w:t>
      </w:r>
      <w:r>
        <w:rPr>
          <w:spacing w:val="-7"/>
          <w:sz w:val="18"/>
          <w:szCs w:val="18"/>
          <w:lang w:val="es-ES_tradnl"/>
        </w:rPr>
        <w:t>culo 568 del C</w:t>
      </w:r>
      <w:r>
        <w:rPr>
          <w:rFonts w:cs="Times New Roman"/>
          <w:spacing w:val="-7"/>
          <w:sz w:val="18"/>
          <w:szCs w:val="18"/>
          <w:lang w:val="es-ES_tradnl"/>
        </w:rPr>
        <w:t>ó</w:t>
      </w:r>
      <w:r>
        <w:rPr>
          <w:spacing w:val="-7"/>
          <w:sz w:val="18"/>
          <w:szCs w:val="18"/>
          <w:lang w:val="es-ES_tradnl"/>
        </w:rPr>
        <w:t xml:space="preserve">digo de Trabajo, y al ratificar sin mayor </w:t>
      </w:r>
      <w:r>
        <w:rPr>
          <w:spacing w:val="-4"/>
          <w:sz w:val="18"/>
          <w:szCs w:val="18"/>
          <w:lang w:val="es-ES_tradnl"/>
        </w:rPr>
        <w:t>fundamento lo resuelto por el juez inferior.</w:t>
      </w:r>
    </w:p>
    <w:p w14:paraId="4F67B4D6" w14:textId="77777777" w:rsidR="00591D54" w:rsidRDefault="00591D54">
      <w:pPr>
        <w:shd w:val="clear" w:color="auto" w:fill="FFFFFF"/>
        <w:spacing w:before="197"/>
      </w:pPr>
      <w:r>
        <w:rPr>
          <w:b/>
          <w:bCs/>
          <w:spacing w:val="-9"/>
          <w:sz w:val="18"/>
          <w:szCs w:val="18"/>
          <w:lang w:val="es-ES_tradnl"/>
        </w:rPr>
        <w:t>Derechos constitucionales vulnerados</w:t>
      </w:r>
    </w:p>
    <w:p w14:paraId="4F67B4D7" w14:textId="77777777" w:rsidR="00591D54" w:rsidRDefault="00591D54">
      <w:pPr>
        <w:shd w:val="clear" w:color="auto" w:fill="FFFFFF"/>
        <w:spacing w:before="206" w:line="221" w:lineRule="exact"/>
        <w:jc w:val="both"/>
      </w:pPr>
      <w:r>
        <w:rPr>
          <w:spacing w:val="-9"/>
          <w:sz w:val="18"/>
          <w:szCs w:val="18"/>
          <w:lang w:val="es-ES_tradnl"/>
        </w:rPr>
        <w:t xml:space="preserve">El accionante en su demanda determina que las decisiones </w:t>
      </w:r>
      <w:r>
        <w:rPr>
          <w:spacing w:val="-5"/>
          <w:sz w:val="18"/>
          <w:szCs w:val="18"/>
          <w:lang w:val="es-ES_tradnl"/>
        </w:rPr>
        <w:t xml:space="preserve">que impugna vulneran sus derechos constitucionales al </w:t>
      </w:r>
      <w:r>
        <w:rPr>
          <w:spacing w:val="-3"/>
          <w:sz w:val="18"/>
          <w:szCs w:val="18"/>
          <w:lang w:val="es-ES_tradnl"/>
        </w:rPr>
        <w:t xml:space="preserve">debido proceso y a la tutela judicial efectiva contenidos </w:t>
      </w:r>
      <w:r>
        <w:rPr>
          <w:spacing w:val="-7"/>
          <w:sz w:val="18"/>
          <w:szCs w:val="18"/>
          <w:lang w:val="es-ES_tradnl"/>
        </w:rPr>
        <w:t>en los art</w:t>
      </w:r>
      <w:r>
        <w:rPr>
          <w:rFonts w:cs="Times New Roman"/>
          <w:spacing w:val="-7"/>
          <w:sz w:val="18"/>
          <w:szCs w:val="18"/>
          <w:lang w:val="es-ES_tradnl"/>
        </w:rPr>
        <w:t>í</w:t>
      </w:r>
      <w:r>
        <w:rPr>
          <w:spacing w:val="-7"/>
          <w:sz w:val="18"/>
          <w:szCs w:val="18"/>
          <w:lang w:val="es-ES_tradnl"/>
        </w:rPr>
        <w:t>culos 76 y 75 de 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blica.</w:t>
      </w:r>
    </w:p>
    <w:p w14:paraId="4F67B4D8" w14:textId="77777777" w:rsidR="00591D54" w:rsidRDefault="00591D54">
      <w:pPr>
        <w:shd w:val="clear" w:color="auto" w:fill="FFFFFF"/>
        <w:spacing w:before="197"/>
      </w:pPr>
      <w:r>
        <w:rPr>
          <w:b/>
          <w:bCs/>
          <w:spacing w:val="-9"/>
          <w:sz w:val="18"/>
          <w:szCs w:val="18"/>
          <w:lang w:val="es-ES_tradnl"/>
        </w:rPr>
        <w:t>Pretensi</w:t>
      </w:r>
      <w:r>
        <w:rPr>
          <w:rFonts w:cs="Times New Roman"/>
          <w:b/>
          <w:bCs/>
          <w:spacing w:val="-9"/>
          <w:sz w:val="18"/>
          <w:szCs w:val="18"/>
          <w:lang w:val="es-ES_tradnl"/>
        </w:rPr>
        <w:t>ó</w:t>
      </w:r>
      <w:r>
        <w:rPr>
          <w:b/>
          <w:bCs/>
          <w:spacing w:val="-9"/>
          <w:sz w:val="18"/>
          <w:szCs w:val="18"/>
          <w:lang w:val="es-ES_tradnl"/>
        </w:rPr>
        <w:t>n concreta</w:t>
      </w:r>
    </w:p>
    <w:p w14:paraId="4F67B4D9" w14:textId="77777777" w:rsidR="00591D54" w:rsidRDefault="00591D54">
      <w:pPr>
        <w:shd w:val="clear" w:color="auto" w:fill="FFFFFF"/>
        <w:spacing w:before="206" w:line="221" w:lineRule="exact"/>
        <w:jc w:val="both"/>
      </w:pPr>
      <w:r>
        <w:rPr>
          <w:sz w:val="18"/>
          <w:szCs w:val="18"/>
          <w:lang w:val="es-ES_tradnl"/>
        </w:rPr>
        <w:t xml:space="preserve">El accionante expresamente, solicita: </w:t>
      </w:r>
      <w:r>
        <w:rPr>
          <w:rFonts w:cs="Times New Roman"/>
          <w:sz w:val="18"/>
          <w:szCs w:val="18"/>
          <w:lang w:val="es-ES_tradnl"/>
        </w:rPr>
        <w:t>“</w:t>
      </w:r>
      <w:r>
        <w:rPr>
          <w:sz w:val="18"/>
          <w:szCs w:val="18"/>
          <w:lang w:val="es-ES_tradnl"/>
        </w:rPr>
        <w:t>(</w:t>
      </w:r>
      <w:r>
        <w:rPr>
          <w:rFonts w:cs="Times New Roman"/>
          <w:sz w:val="18"/>
          <w:szCs w:val="18"/>
          <w:lang w:val="es-ES_tradnl"/>
        </w:rPr>
        <w:t>…</w:t>
      </w:r>
      <w:r>
        <w:rPr>
          <w:sz w:val="18"/>
          <w:szCs w:val="18"/>
          <w:lang w:val="es-ES_tradnl"/>
        </w:rPr>
        <w:t xml:space="preserve">) que se </w:t>
      </w:r>
      <w:r>
        <w:rPr>
          <w:spacing w:val="-6"/>
          <w:sz w:val="18"/>
          <w:szCs w:val="18"/>
          <w:lang w:val="es-ES_tradnl"/>
        </w:rPr>
        <w:t>declare la existencia de vulneraci</w:t>
      </w:r>
      <w:r>
        <w:rPr>
          <w:rFonts w:cs="Times New Roman"/>
          <w:spacing w:val="-6"/>
          <w:sz w:val="18"/>
          <w:szCs w:val="18"/>
          <w:lang w:val="es-ES_tradnl"/>
        </w:rPr>
        <w:t>ó</w:t>
      </w:r>
      <w:r>
        <w:rPr>
          <w:spacing w:val="-6"/>
          <w:sz w:val="18"/>
          <w:szCs w:val="18"/>
          <w:lang w:val="es-ES_tradnl"/>
        </w:rPr>
        <w:t xml:space="preserve">n de los derechos </w:t>
      </w:r>
      <w:r>
        <w:rPr>
          <w:sz w:val="18"/>
          <w:szCs w:val="18"/>
          <w:lang w:val="es-ES_tradnl"/>
        </w:rPr>
        <w:t xml:space="preserve">fundamentales anteriormente referidos y contenidos </w:t>
      </w:r>
      <w:r>
        <w:rPr>
          <w:spacing w:val="-5"/>
          <w:sz w:val="18"/>
          <w:szCs w:val="18"/>
          <w:lang w:val="es-ES_tradnl"/>
        </w:rPr>
        <w:t xml:space="preserve">en la sentencia dictada por la Segunda Sala de lo Civil, </w:t>
      </w:r>
      <w:r>
        <w:rPr>
          <w:spacing w:val="-4"/>
          <w:sz w:val="18"/>
          <w:szCs w:val="18"/>
          <w:lang w:val="es-ES_tradnl"/>
        </w:rPr>
        <w:t xml:space="preserve">Mercantil, Inquilinato y Materias Residuales de la Coree </w:t>
      </w:r>
      <w:r>
        <w:rPr>
          <w:spacing w:val="-3"/>
          <w:sz w:val="18"/>
          <w:szCs w:val="18"/>
          <w:lang w:val="es-ES_tradnl"/>
        </w:rPr>
        <w:t>Provincial de Justicia de Pichincha (</w:t>
      </w:r>
      <w:r>
        <w:rPr>
          <w:rFonts w:cs="Times New Roman"/>
          <w:spacing w:val="-3"/>
          <w:sz w:val="18"/>
          <w:szCs w:val="18"/>
          <w:lang w:val="es-ES_tradnl"/>
        </w:rPr>
        <w:t>…</w:t>
      </w:r>
      <w:r>
        <w:rPr>
          <w:spacing w:val="-3"/>
          <w:sz w:val="18"/>
          <w:szCs w:val="18"/>
          <w:lang w:val="es-ES_tradnl"/>
        </w:rPr>
        <w:t>); se ordene la reparaci</w:t>
      </w:r>
      <w:r>
        <w:rPr>
          <w:rFonts w:cs="Times New Roman"/>
          <w:spacing w:val="-3"/>
          <w:sz w:val="18"/>
          <w:szCs w:val="18"/>
          <w:lang w:val="es-ES_tradnl"/>
        </w:rPr>
        <w:t>ó</w:t>
      </w:r>
      <w:r>
        <w:rPr>
          <w:spacing w:val="-3"/>
          <w:sz w:val="18"/>
          <w:szCs w:val="18"/>
          <w:lang w:val="es-ES_tradnl"/>
        </w:rPr>
        <w:t xml:space="preserve">n de los derechos contravenidos, disponiendo </w:t>
      </w:r>
      <w:r>
        <w:rPr>
          <w:spacing w:val="-2"/>
          <w:sz w:val="18"/>
          <w:szCs w:val="18"/>
          <w:lang w:val="es-ES_tradnl"/>
        </w:rPr>
        <w:t xml:space="preserve">a la Segunda Sala de lo Civil, Mercantil, Inquilinato y </w:t>
      </w:r>
      <w:r>
        <w:rPr>
          <w:spacing w:val="-5"/>
          <w:sz w:val="18"/>
          <w:szCs w:val="18"/>
          <w:lang w:val="es-ES_tradnl"/>
        </w:rPr>
        <w:t xml:space="preserve">Materias Residuales de la Corte Provincial de Justicia de </w:t>
      </w:r>
      <w:r>
        <w:rPr>
          <w:spacing w:val="-7"/>
          <w:sz w:val="18"/>
          <w:szCs w:val="18"/>
          <w:lang w:val="es-ES_tradnl"/>
        </w:rPr>
        <w:t xml:space="preserve">Pichincha que se declare la falta de competencia del Juez </w:t>
      </w:r>
      <w:r>
        <w:rPr>
          <w:sz w:val="18"/>
          <w:szCs w:val="18"/>
          <w:lang w:val="es-ES_tradnl"/>
        </w:rPr>
        <w:t>Civil y por tanto de la propia Sala (</w:t>
      </w:r>
      <w:r>
        <w:rPr>
          <w:rFonts w:cs="Times New Roman"/>
          <w:sz w:val="18"/>
          <w:szCs w:val="18"/>
          <w:lang w:val="es-ES_tradnl"/>
        </w:rPr>
        <w:t>…</w:t>
      </w:r>
      <w:r>
        <w:rPr>
          <w:sz w:val="18"/>
          <w:szCs w:val="18"/>
          <w:lang w:val="es-ES_tradnl"/>
        </w:rPr>
        <w:t>)</w:t>
      </w:r>
      <w:r>
        <w:rPr>
          <w:rFonts w:cs="Times New Roman"/>
          <w:sz w:val="18"/>
          <w:szCs w:val="18"/>
          <w:lang w:val="es-ES_tradnl"/>
        </w:rPr>
        <w:t>”</w:t>
      </w:r>
      <w:r>
        <w:rPr>
          <w:sz w:val="18"/>
          <w:szCs w:val="18"/>
          <w:lang w:val="es-ES_tradnl"/>
        </w:rPr>
        <w:t>.</w:t>
      </w:r>
    </w:p>
    <w:p w14:paraId="4F67B4DA" w14:textId="77777777" w:rsidR="00591D54" w:rsidRDefault="00591D54">
      <w:pPr>
        <w:shd w:val="clear" w:color="auto" w:fill="FFFFFF"/>
        <w:spacing w:before="202"/>
      </w:pPr>
      <w:r>
        <w:rPr>
          <w:b/>
          <w:bCs/>
          <w:spacing w:val="-8"/>
          <w:sz w:val="18"/>
          <w:szCs w:val="18"/>
          <w:lang w:val="es-ES_tradnl"/>
        </w:rPr>
        <w:t>Contestaci</w:t>
      </w:r>
      <w:r>
        <w:rPr>
          <w:rFonts w:cs="Times New Roman"/>
          <w:b/>
          <w:bCs/>
          <w:spacing w:val="-8"/>
          <w:sz w:val="18"/>
          <w:szCs w:val="18"/>
          <w:lang w:val="es-ES_tradnl"/>
        </w:rPr>
        <w:t>ó</w:t>
      </w:r>
      <w:r>
        <w:rPr>
          <w:b/>
          <w:bCs/>
          <w:spacing w:val="-8"/>
          <w:sz w:val="18"/>
          <w:szCs w:val="18"/>
          <w:lang w:val="es-ES_tradnl"/>
        </w:rPr>
        <w:t>n a la demanda</w:t>
      </w:r>
    </w:p>
    <w:p w14:paraId="4F67B4DB" w14:textId="77777777" w:rsidR="00591D54" w:rsidRDefault="00591D54">
      <w:pPr>
        <w:shd w:val="clear" w:color="auto" w:fill="FFFFFF"/>
        <w:spacing w:before="197" w:line="221" w:lineRule="exact"/>
        <w:jc w:val="both"/>
      </w:pPr>
      <w:r>
        <w:rPr>
          <w:b/>
          <w:bCs/>
          <w:spacing w:val="-3"/>
          <w:sz w:val="18"/>
          <w:szCs w:val="18"/>
          <w:lang w:val="es-ES_tradnl"/>
        </w:rPr>
        <w:t xml:space="preserve">A fs. 15 comparecen los doctores Jorge Mazon </w:t>
      </w:r>
      <w:r>
        <w:rPr>
          <w:b/>
          <w:bCs/>
          <w:spacing w:val="-4"/>
          <w:sz w:val="18"/>
          <w:szCs w:val="18"/>
          <w:lang w:val="es-ES_tradnl"/>
        </w:rPr>
        <w:t>Jaramillo, Mar</w:t>
      </w:r>
      <w:r>
        <w:rPr>
          <w:rFonts w:cs="Times New Roman"/>
          <w:b/>
          <w:bCs/>
          <w:spacing w:val="-4"/>
          <w:sz w:val="18"/>
          <w:szCs w:val="18"/>
          <w:lang w:val="es-ES_tradnl"/>
        </w:rPr>
        <w:t>í</w:t>
      </w:r>
      <w:r>
        <w:rPr>
          <w:b/>
          <w:bCs/>
          <w:spacing w:val="-4"/>
          <w:sz w:val="18"/>
          <w:szCs w:val="18"/>
          <w:lang w:val="es-ES_tradnl"/>
        </w:rPr>
        <w:t xml:space="preserve">a de los </w:t>
      </w:r>
      <w:r>
        <w:rPr>
          <w:rFonts w:cs="Times New Roman"/>
          <w:b/>
          <w:bCs/>
          <w:spacing w:val="-4"/>
          <w:sz w:val="18"/>
          <w:szCs w:val="18"/>
          <w:lang w:val="es-ES_tradnl"/>
        </w:rPr>
        <w:t>Á</w:t>
      </w:r>
      <w:r>
        <w:rPr>
          <w:b/>
          <w:bCs/>
          <w:spacing w:val="-4"/>
          <w:sz w:val="18"/>
          <w:szCs w:val="18"/>
          <w:lang w:val="es-ES_tradnl"/>
        </w:rPr>
        <w:t xml:space="preserve">ngeles Montalvo y Guido </w:t>
      </w:r>
      <w:r>
        <w:rPr>
          <w:b/>
          <w:bCs/>
          <w:spacing w:val="-10"/>
          <w:sz w:val="18"/>
          <w:szCs w:val="18"/>
          <w:lang w:val="es-ES_tradnl"/>
        </w:rPr>
        <w:t xml:space="preserve">Mantilla Cardoso en su calidad de jueces de la Segunda </w:t>
      </w:r>
      <w:r>
        <w:rPr>
          <w:b/>
          <w:bCs/>
          <w:spacing w:val="-1"/>
          <w:sz w:val="18"/>
          <w:szCs w:val="18"/>
          <w:lang w:val="es-ES_tradnl"/>
        </w:rPr>
        <w:t xml:space="preserve">Sala de lo Civil, Mercantil, Inquilinato y Materias </w:t>
      </w:r>
      <w:r>
        <w:rPr>
          <w:b/>
          <w:bCs/>
          <w:spacing w:val="-7"/>
          <w:sz w:val="18"/>
          <w:szCs w:val="18"/>
          <w:lang w:val="es-ES_tradnl"/>
        </w:rPr>
        <w:t xml:space="preserve">Residuales de la Corte Provincial de Pichincha y en lo </w:t>
      </w:r>
      <w:r>
        <w:rPr>
          <w:b/>
          <w:bCs/>
          <w:sz w:val="18"/>
          <w:szCs w:val="18"/>
          <w:lang w:val="es-ES_tradnl"/>
        </w:rPr>
        <w:t>principal, manifiestan:</w:t>
      </w:r>
    </w:p>
    <w:p w14:paraId="4F67B4DC" w14:textId="77777777" w:rsidR="00591D54" w:rsidRDefault="00591D54">
      <w:pPr>
        <w:shd w:val="clear" w:color="auto" w:fill="FFFFFF"/>
        <w:spacing w:before="202" w:line="221" w:lineRule="exact"/>
        <w:jc w:val="both"/>
      </w:pPr>
      <w:r>
        <w:rPr>
          <w:spacing w:val="-3"/>
          <w:sz w:val="18"/>
          <w:szCs w:val="18"/>
          <w:lang w:val="es-ES_tradnl"/>
        </w:rPr>
        <w:t xml:space="preserve">Que las manifestaciones y fundamentos para haber </w:t>
      </w:r>
      <w:r>
        <w:rPr>
          <w:spacing w:val="-7"/>
          <w:sz w:val="18"/>
          <w:szCs w:val="18"/>
          <w:lang w:val="es-ES_tradnl"/>
        </w:rPr>
        <w:t>aceptado la acci</w:t>
      </w:r>
      <w:r>
        <w:rPr>
          <w:rFonts w:cs="Times New Roman"/>
          <w:spacing w:val="-7"/>
          <w:sz w:val="18"/>
          <w:szCs w:val="18"/>
          <w:lang w:val="es-ES_tradnl"/>
        </w:rPr>
        <w:t>ó</w:t>
      </w:r>
      <w:r>
        <w:rPr>
          <w:spacing w:val="-7"/>
          <w:sz w:val="18"/>
          <w:szCs w:val="18"/>
          <w:lang w:val="es-ES_tradnl"/>
        </w:rPr>
        <w:t>n constan en la resoluci</w:t>
      </w:r>
      <w:r>
        <w:rPr>
          <w:rFonts w:cs="Times New Roman"/>
          <w:spacing w:val="-7"/>
          <w:sz w:val="18"/>
          <w:szCs w:val="18"/>
          <w:lang w:val="es-ES_tradnl"/>
        </w:rPr>
        <w:t>ó</w:t>
      </w:r>
      <w:r>
        <w:rPr>
          <w:spacing w:val="-7"/>
          <w:sz w:val="18"/>
          <w:szCs w:val="18"/>
          <w:lang w:val="es-ES_tradnl"/>
        </w:rPr>
        <w:t xml:space="preserve">n, por lo que se </w:t>
      </w:r>
      <w:r>
        <w:rPr>
          <w:sz w:val="18"/>
          <w:szCs w:val="18"/>
          <w:lang w:val="es-ES_tradnl"/>
        </w:rPr>
        <w:t>ratifican en todo su contenido.</w:t>
      </w:r>
    </w:p>
    <w:p w14:paraId="4F67B4DD" w14:textId="77777777" w:rsidR="00591D54" w:rsidRDefault="00591D54">
      <w:pPr>
        <w:shd w:val="clear" w:color="auto" w:fill="FFFFFF"/>
        <w:spacing w:before="202" w:line="221" w:lineRule="exact"/>
        <w:jc w:val="both"/>
        <w:sectPr w:rsidR="00591D54">
          <w:type w:val="continuous"/>
          <w:pgSz w:w="11909" w:h="16834"/>
          <w:pgMar w:top="1371" w:right="1309" w:bottom="360" w:left="1308" w:header="720" w:footer="720" w:gutter="0"/>
          <w:cols w:num="2" w:space="720" w:equalWidth="0">
            <w:col w:w="4310" w:space="677"/>
            <w:col w:w="4305"/>
          </w:cols>
          <w:noEndnote/>
        </w:sectPr>
      </w:pPr>
    </w:p>
    <w:p w14:paraId="4F67B4DE" w14:textId="77777777" w:rsidR="00591D54" w:rsidRDefault="00591D54">
      <w:pPr>
        <w:shd w:val="clear" w:color="auto" w:fill="FFFFFF"/>
        <w:tabs>
          <w:tab w:val="left" w:pos="584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- 213</w:t>
      </w:r>
    </w:p>
    <w:p w14:paraId="4F67B4DF" w14:textId="77777777" w:rsidR="00591D54" w:rsidRDefault="00591D54">
      <w:pPr>
        <w:shd w:val="clear" w:color="auto" w:fill="FFFFFF"/>
        <w:tabs>
          <w:tab w:val="left" w:pos="5842"/>
        </w:tabs>
        <w:spacing w:after="230"/>
        <w:ind w:left="5"/>
        <w:sectPr w:rsidR="00591D54">
          <w:pgSz w:w="11909" w:h="16834"/>
          <w:pgMar w:top="1378" w:right="1299" w:bottom="360" w:left="1308" w:header="720" w:footer="720" w:gutter="0"/>
          <w:cols w:space="60"/>
          <w:noEndnote/>
        </w:sectPr>
      </w:pPr>
    </w:p>
    <w:p w14:paraId="4F67B4E0" w14:textId="77777777" w:rsidR="00591D54" w:rsidRDefault="00591D54">
      <w:pPr>
        <w:shd w:val="clear" w:color="auto" w:fill="FFFFFF"/>
        <w:spacing w:before="5" w:line="221" w:lineRule="exact"/>
        <w:jc w:val="both"/>
      </w:pPr>
      <w:r>
        <w:rPr>
          <w:spacing w:val="-8"/>
          <w:sz w:val="18"/>
          <w:szCs w:val="18"/>
          <w:lang w:val="es-ES_tradnl"/>
        </w:rPr>
        <w:t xml:space="preserve">En escrito presentado a fs. 50 del expediente constitucional </w:t>
      </w:r>
      <w:r>
        <w:rPr>
          <w:spacing w:val="-1"/>
          <w:sz w:val="18"/>
          <w:szCs w:val="18"/>
          <w:lang w:val="es-ES_tradnl"/>
        </w:rPr>
        <w:t>comparece Mar</w:t>
      </w:r>
      <w:r>
        <w:rPr>
          <w:rFonts w:cs="Times New Roman"/>
          <w:spacing w:val="-1"/>
          <w:sz w:val="18"/>
          <w:szCs w:val="18"/>
          <w:lang w:val="es-ES_tradnl"/>
        </w:rPr>
        <w:t>í</w:t>
      </w:r>
      <w:r>
        <w:rPr>
          <w:spacing w:val="-1"/>
          <w:sz w:val="18"/>
          <w:szCs w:val="18"/>
          <w:lang w:val="es-ES_tradnl"/>
        </w:rPr>
        <w:t xml:space="preserve">a de los </w:t>
      </w:r>
      <w:r>
        <w:rPr>
          <w:rFonts w:cs="Times New Roman"/>
          <w:spacing w:val="-1"/>
          <w:sz w:val="18"/>
          <w:szCs w:val="18"/>
          <w:lang w:val="es-ES_tradnl"/>
        </w:rPr>
        <w:t>Á</w:t>
      </w:r>
      <w:r>
        <w:rPr>
          <w:spacing w:val="-1"/>
          <w:sz w:val="18"/>
          <w:szCs w:val="18"/>
          <w:lang w:val="es-ES_tradnl"/>
        </w:rPr>
        <w:t xml:space="preserve">ngeles Montalvo en calidad </w:t>
      </w:r>
      <w:r>
        <w:rPr>
          <w:sz w:val="18"/>
          <w:szCs w:val="18"/>
          <w:lang w:val="es-ES_tradnl"/>
        </w:rPr>
        <w:t xml:space="preserve">de exjueza de la Segunda Sala de lo Civil y Mercantil </w:t>
      </w:r>
      <w:r>
        <w:rPr>
          <w:spacing w:val="-4"/>
          <w:sz w:val="18"/>
          <w:szCs w:val="18"/>
          <w:lang w:val="es-ES_tradnl"/>
        </w:rPr>
        <w:t xml:space="preserve">de la Corte Provincial de Pichincha, y determina que la </w:t>
      </w:r>
      <w:r>
        <w:rPr>
          <w:spacing w:val="-5"/>
          <w:sz w:val="18"/>
          <w:szCs w:val="18"/>
          <w:lang w:val="es-ES_tradnl"/>
        </w:rPr>
        <w:t>resoluci</w:t>
      </w:r>
      <w:r>
        <w:rPr>
          <w:rFonts w:cs="Times New Roman"/>
          <w:spacing w:val="-5"/>
          <w:sz w:val="18"/>
          <w:szCs w:val="18"/>
          <w:lang w:val="es-ES_tradnl"/>
        </w:rPr>
        <w:t>ó</w:t>
      </w:r>
      <w:r>
        <w:rPr>
          <w:spacing w:val="-5"/>
          <w:sz w:val="18"/>
          <w:szCs w:val="18"/>
          <w:lang w:val="es-ES_tradnl"/>
        </w:rPr>
        <w:t xml:space="preserve">n dictada por la Sala no vulnera ninguno de los </w:t>
      </w:r>
      <w:r>
        <w:rPr>
          <w:sz w:val="18"/>
          <w:szCs w:val="18"/>
          <w:lang w:val="es-ES_tradnl"/>
        </w:rPr>
        <w:t>derechos constitucionales.</w:t>
      </w:r>
    </w:p>
    <w:p w14:paraId="4F67B4E1" w14:textId="77777777" w:rsidR="00591D54" w:rsidRDefault="00591D54">
      <w:pPr>
        <w:shd w:val="clear" w:color="auto" w:fill="FFFFFF"/>
        <w:spacing w:before="206" w:line="221" w:lineRule="exact"/>
        <w:jc w:val="both"/>
      </w:pPr>
      <w:r>
        <w:rPr>
          <w:spacing w:val="-7"/>
          <w:sz w:val="18"/>
          <w:szCs w:val="18"/>
          <w:lang w:val="es-ES_tradnl"/>
        </w:rPr>
        <w:t>Precisa que si bien la relaci</w:t>
      </w:r>
      <w:r>
        <w:rPr>
          <w:rFonts w:cs="Times New Roman"/>
          <w:spacing w:val="-7"/>
          <w:sz w:val="18"/>
          <w:szCs w:val="18"/>
          <w:lang w:val="es-ES_tradnl"/>
        </w:rPr>
        <w:t>ó</w:t>
      </w:r>
      <w:r>
        <w:rPr>
          <w:spacing w:val="-7"/>
          <w:sz w:val="18"/>
          <w:szCs w:val="18"/>
          <w:lang w:val="es-ES_tradnl"/>
        </w:rPr>
        <w:t>n jur</w:t>
      </w:r>
      <w:r>
        <w:rPr>
          <w:rFonts w:cs="Times New Roman"/>
          <w:spacing w:val="-7"/>
          <w:sz w:val="18"/>
          <w:szCs w:val="18"/>
          <w:lang w:val="es-ES_tradnl"/>
        </w:rPr>
        <w:t>í</w:t>
      </w:r>
      <w:r>
        <w:rPr>
          <w:spacing w:val="-7"/>
          <w:sz w:val="18"/>
          <w:szCs w:val="18"/>
          <w:lang w:val="es-ES_tradnl"/>
        </w:rPr>
        <w:t xml:space="preserve">dica sustancial anterior a </w:t>
      </w:r>
      <w:r>
        <w:rPr>
          <w:spacing w:val="-8"/>
          <w:sz w:val="18"/>
          <w:szCs w:val="18"/>
          <w:lang w:val="es-ES_tradnl"/>
        </w:rPr>
        <w:t>la emisi</w:t>
      </w:r>
      <w:r>
        <w:rPr>
          <w:rFonts w:cs="Times New Roman"/>
          <w:spacing w:val="-8"/>
          <w:sz w:val="18"/>
          <w:szCs w:val="18"/>
          <w:lang w:val="es-ES_tradnl"/>
        </w:rPr>
        <w:t>ó</w:t>
      </w:r>
      <w:r>
        <w:rPr>
          <w:spacing w:val="-8"/>
          <w:sz w:val="18"/>
          <w:szCs w:val="18"/>
          <w:lang w:val="es-ES_tradnl"/>
        </w:rPr>
        <w:t>n del t</w:t>
      </w:r>
      <w:r>
        <w:rPr>
          <w:rFonts w:cs="Times New Roman"/>
          <w:spacing w:val="-8"/>
          <w:sz w:val="18"/>
          <w:szCs w:val="18"/>
          <w:lang w:val="es-ES_tradnl"/>
        </w:rPr>
        <w:t>í</w:t>
      </w:r>
      <w:r>
        <w:rPr>
          <w:spacing w:val="-8"/>
          <w:sz w:val="18"/>
          <w:szCs w:val="18"/>
          <w:lang w:val="es-ES_tradnl"/>
        </w:rPr>
        <w:t>tulo fue, seg</w:t>
      </w:r>
      <w:r>
        <w:rPr>
          <w:rFonts w:cs="Times New Roman"/>
          <w:spacing w:val="-8"/>
          <w:sz w:val="18"/>
          <w:szCs w:val="18"/>
          <w:lang w:val="es-ES_tradnl"/>
        </w:rPr>
        <w:t>ú</w:t>
      </w:r>
      <w:r>
        <w:rPr>
          <w:spacing w:val="-8"/>
          <w:sz w:val="18"/>
          <w:szCs w:val="18"/>
          <w:lang w:val="es-ES_tradnl"/>
        </w:rPr>
        <w:t xml:space="preserve">n Petroecuador, de naturaleza </w:t>
      </w:r>
      <w:r>
        <w:rPr>
          <w:spacing w:val="-5"/>
          <w:sz w:val="18"/>
          <w:szCs w:val="18"/>
          <w:lang w:val="es-ES_tradnl"/>
        </w:rPr>
        <w:t>laboral, sin embargo, manifiesta que en el momento en que el empleador y el trabajador realizan un acuerdo y crean un t</w:t>
      </w:r>
      <w:r>
        <w:rPr>
          <w:rFonts w:cs="Times New Roman"/>
          <w:spacing w:val="-5"/>
          <w:sz w:val="18"/>
          <w:szCs w:val="18"/>
          <w:lang w:val="es-ES_tradnl"/>
        </w:rPr>
        <w:t>í</w:t>
      </w:r>
      <w:r>
        <w:rPr>
          <w:spacing w:val="-5"/>
          <w:sz w:val="18"/>
          <w:szCs w:val="18"/>
          <w:lang w:val="es-ES_tradnl"/>
        </w:rPr>
        <w:t xml:space="preserve">tulo ejecutivo, que incorpora un derecho literal </w:t>
      </w:r>
      <w:r>
        <w:rPr>
          <w:spacing w:val="-4"/>
          <w:sz w:val="18"/>
          <w:szCs w:val="18"/>
          <w:lang w:val="es-ES_tradnl"/>
        </w:rPr>
        <w:t>y aut</w:t>
      </w:r>
      <w:r>
        <w:rPr>
          <w:rFonts w:cs="Times New Roman"/>
          <w:spacing w:val="-4"/>
          <w:sz w:val="18"/>
          <w:szCs w:val="18"/>
          <w:lang w:val="es-ES_tradnl"/>
        </w:rPr>
        <w:t>ó</w:t>
      </w:r>
      <w:r>
        <w:rPr>
          <w:spacing w:val="-4"/>
          <w:sz w:val="18"/>
          <w:szCs w:val="18"/>
          <w:lang w:val="es-ES_tradnl"/>
        </w:rPr>
        <w:t>nomo, la pretensi</w:t>
      </w:r>
      <w:r>
        <w:rPr>
          <w:rFonts w:cs="Times New Roman"/>
          <w:spacing w:val="-4"/>
          <w:sz w:val="18"/>
          <w:szCs w:val="18"/>
          <w:lang w:val="es-ES_tradnl"/>
        </w:rPr>
        <w:t>ó</w:t>
      </w:r>
      <w:r>
        <w:rPr>
          <w:spacing w:val="-4"/>
          <w:sz w:val="18"/>
          <w:szCs w:val="18"/>
          <w:lang w:val="es-ES_tradnl"/>
        </w:rPr>
        <w:t>n para la ejecuci</w:t>
      </w:r>
      <w:r>
        <w:rPr>
          <w:rFonts w:cs="Times New Roman"/>
          <w:spacing w:val="-4"/>
          <w:sz w:val="18"/>
          <w:szCs w:val="18"/>
          <w:lang w:val="es-ES_tradnl"/>
        </w:rPr>
        <w:t>ó</w:t>
      </w:r>
      <w:r>
        <w:rPr>
          <w:spacing w:val="-4"/>
          <w:sz w:val="18"/>
          <w:szCs w:val="18"/>
          <w:lang w:val="es-ES_tradnl"/>
        </w:rPr>
        <w:t>n del t</w:t>
      </w:r>
      <w:r>
        <w:rPr>
          <w:rFonts w:cs="Times New Roman"/>
          <w:spacing w:val="-4"/>
          <w:sz w:val="18"/>
          <w:szCs w:val="18"/>
          <w:lang w:val="es-ES_tradnl"/>
        </w:rPr>
        <w:t>í</w:t>
      </w:r>
      <w:r>
        <w:rPr>
          <w:spacing w:val="-4"/>
          <w:sz w:val="18"/>
          <w:szCs w:val="18"/>
          <w:lang w:val="es-ES_tradnl"/>
        </w:rPr>
        <w:t xml:space="preserve">tulo </w:t>
      </w:r>
      <w:r>
        <w:rPr>
          <w:spacing w:val="-6"/>
          <w:sz w:val="18"/>
          <w:szCs w:val="18"/>
          <w:lang w:val="es-ES_tradnl"/>
        </w:rPr>
        <w:t>ejecutivo debe ser resuelta en la sede mercantil.</w:t>
      </w:r>
    </w:p>
    <w:p w14:paraId="4F67B4E2" w14:textId="77777777" w:rsidR="00591D54" w:rsidRDefault="00591D54">
      <w:pPr>
        <w:shd w:val="clear" w:color="auto" w:fill="FFFFFF"/>
        <w:spacing w:before="202" w:line="221" w:lineRule="exact"/>
        <w:jc w:val="both"/>
      </w:pPr>
      <w:r>
        <w:rPr>
          <w:spacing w:val="-6"/>
          <w:sz w:val="18"/>
          <w:szCs w:val="18"/>
          <w:lang w:val="es-ES_tradnl"/>
        </w:rPr>
        <w:t>Agrega que como se podr</w:t>
      </w:r>
      <w:r>
        <w:rPr>
          <w:rFonts w:cs="Times New Roman"/>
          <w:spacing w:val="-6"/>
          <w:sz w:val="18"/>
          <w:szCs w:val="18"/>
          <w:lang w:val="es-ES_tradnl"/>
        </w:rPr>
        <w:t>á</w:t>
      </w:r>
      <w:r>
        <w:rPr>
          <w:spacing w:val="-6"/>
          <w:sz w:val="18"/>
          <w:szCs w:val="18"/>
          <w:lang w:val="es-ES_tradnl"/>
        </w:rPr>
        <w:t xml:space="preserve"> constatar en base al t</w:t>
      </w:r>
      <w:r>
        <w:rPr>
          <w:rFonts w:cs="Times New Roman"/>
          <w:spacing w:val="-6"/>
          <w:sz w:val="18"/>
          <w:szCs w:val="18"/>
          <w:lang w:val="es-ES_tradnl"/>
        </w:rPr>
        <w:t>í</w:t>
      </w:r>
      <w:r>
        <w:rPr>
          <w:spacing w:val="-6"/>
          <w:sz w:val="18"/>
          <w:szCs w:val="18"/>
          <w:lang w:val="es-ES_tradnl"/>
        </w:rPr>
        <w:t>tulo ejecutivo que se aparej</w:t>
      </w:r>
      <w:r>
        <w:rPr>
          <w:rFonts w:cs="Times New Roman"/>
          <w:spacing w:val="-6"/>
          <w:sz w:val="18"/>
          <w:szCs w:val="18"/>
          <w:lang w:val="es-ES_tradnl"/>
        </w:rPr>
        <w:t>ó</w:t>
      </w:r>
      <w:r>
        <w:rPr>
          <w:spacing w:val="-6"/>
          <w:sz w:val="18"/>
          <w:szCs w:val="18"/>
          <w:lang w:val="es-ES_tradnl"/>
        </w:rPr>
        <w:t xml:space="preserve"> a la demanda, se trata de un </w:t>
      </w:r>
      <w:r>
        <w:rPr>
          <w:spacing w:val="-4"/>
          <w:sz w:val="18"/>
          <w:szCs w:val="18"/>
          <w:lang w:val="es-ES_tradnl"/>
        </w:rPr>
        <w:t>documento privado con reconocimiento de firmas (t</w:t>
      </w:r>
      <w:r>
        <w:rPr>
          <w:rFonts w:cs="Times New Roman"/>
          <w:spacing w:val="-4"/>
          <w:sz w:val="18"/>
          <w:szCs w:val="18"/>
          <w:lang w:val="es-ES_tradnl"/>
        </w:rPr>
        <w:t>í</w:t>
      </w:r>
      <w:r>
        <w:rPr>
          <w:spacing w:val="-4"/>
          <w:sz w:val="18"/>
          <w:szCs w:val="18"/>
          <w:lang w:val="es-ES_tradnl"/>
        </w:rPr>
        <w:t xml:space="preserve">tulo </w:t>
      </w:r>
      <w:r>
        <w:rPr>
          <w:spacing w:val="-9"/>
          <w:sz w:val="18"/>
          <w:szCs w:val="18"/>
          <w:lang w:val="es-ES_tradnl"/>
        </w:rPr>
        <w:t>ejecutivo seg</w:t>
      </w:r>
      <w:r>
        <w:rPr>
          <w:rFonts w:cs="Times New Roman"/>
          <w:spacing w:val="-9"/>
          <w:sz w:val="18"/>
          <w:szCs w:val="18"/>
          <w:lang w:val="es-ES_tradnl"/>
        </w:rPr>
        <w:t>ú</w:t>
      </w:r>
      <w:r>
        <w:rPr>
          <w:spacing w:val="-9"/>
          <w:sz w:val="18"/>
          <w:szCs w:val="18"/>
          <w:lang w:val="es-ES_tradnl"/>
        </w:rPr>
        <w:t>n el art</w:t>
      </w:r>
      <w:r>
        <w:rPr>
          <w:rFonts w:cs="Times New Roman"/>
          <w:spacing w:val="-9"/>
          <w:sz w:val="18"/>
          <w:szCs w:val="18"/>
          <w:lang w:val="es-ES_tradnl"/>
        </w:rPr>
        <w:t>í</w:t>
      </w:r>
      <w:r>
        <w:rPr>
          <w:spacing w:val="-9"/>
          <w:sz w:val="18"/>
          <w:szCs w:val="18"/>
          <w:lang w:val="es-ES_tradnl"/>
        </w:rPr>
        <w:t>culo 413 del C</w:t>
      </w:r>
      <w:r>
        <w:rPr>
          <w:rFonts w:cs="Times New Roman"/>
          <w:spacing w:val="-9"/>
          <w:sz w:val="18"/>
          <w:szCs w:val="18"/>
          <w:lang w:val="es-ES_tradnl"/>
        </w:rPr>
        <w:t>ó</w:t>
      </w:r>
      <w:r>
        <w:rPr>
          <w:spacing w:val="-9"/>
          <w:sz w:val="18"/>
          <w:szCs w:val="18"/>
          <w:lang w:val="es-ES_tradnl"/>
        </w:rPr>
        <w:t xml:space="preserve">digo de Procedimiento </w:t>
      </w:r>
      <w:r>
        <w:rPr>
          <w:spacing w:val="-7"/>
          <w:sz w:val="18"/>
          <w:szCs w:val="18"/>
          <w:lang w:val="es-ES_tradnl"/>
        </w:rPr>
        <w:t>Civil) que incorpora una declaraci</w:t>
      </w:r>
      <w:r>
        <w:rPr>
          <w:rFonts w:cs="Times New Roman"/>
          <w:spacing w:val="-7"/>
          <w:sz w:val="18"/>
          <w:szCs w:val="18"/>
          <w:lang w:val="es-ES_tradnl"/>
        </w:rPr>
        <w:t>ó</w:t>
      </w:r>
      <w:r>
        <w:rPr>
          <w:spacing w:val="-7"/>
          <w:sz w:val="18"/>
          <w:szCs w:val="18"/>
          <w:lang w:val="es-ES_tradnl"/>
        </w:rPr>
        <w:t>n de certeza en la cual, la empresa para la cual prest</w:t>
      </w:r>
      <w:r>
        <w:rPr>
          <w:rFonts w:cs="Times New Roman"/>
          <w:spacing w:val="-7"/>
          <w:sz w:val="18"/>
          <w:szCs w:val="18"/>
          <w:lang w:val="es-ES_tradnl"/>
        </w:rPr>
        <w:t>ó</w:t>
      </w:r>
      <w:r>
        <w:rPr>
          <w:spacing w:val="-7"/>
          <w:sz w:val="18"/>
          <w:szCs w:val="18"/>
          <w:lang w:val="es-ES_tradnl"/>
        </w:rPr>
        <w:t xml:space="preserve"> sus servicios el ejecutante, luego de realizar una liquidaci</w:t>
      </w:r>
      <w:r>
        <w:rPr>
          <w:rFonts w:cs="Times New Roman"/>
          <w:spacing w:val="-7"/>
          <w:sz w:val="18"/>
          <w:szCs w:val="18"/>
          <w:lang w:val="es-ES_tradnl"/>
        </w:rPr>
        <w:t>ó</w:t>
      </w:r>
      <w:r>
        <w:rPr>
          <w:spacing w:val="-7"/>
          <w:sz w:val="18"/>
          <w:szCs w:val="18"/>
          <w:lang w:val="es-ES_tradnl"/>
        </w:rPr>
        <w:t>n, le paga en ese momento una suma de dinero y se compromete a pagar lo dem</w:t>
      </w:r>
      <w:r>
        <w:rPr>
          <w:rFonts w:cs="Times New Roman"/>
          <w:spacing w:val="-7"/>
          <w:sz w:val="18"/>
          <w:szCs w:val="18"/>
          <w:lang w:val="es-ES_tradnl"/>
        </w:rPr>
        <w:t>á</w:t>
      </w:r>
      <w:r>
        <w:rPr>
          <w:spacing w:val="-7"/>
          <w:sz w:val="18"/>
          <w:szCs w:val="18"/>
          <w:lang w:val="es-ES_tradnl"/>
        </w:rPr>
        <w:t xml:space="preserve">s </w:t>
      </w:r>
      <w:r>
        <w:rPr>
          <w:spacing w:val="-5"/>
          <w:sz w:val="18"/>
          <w:szCs w:val="18"/>
          <w:lang w:val="es-ES_tradnl"/>
        </w:rPr>
        <w:t>mediante cuotas, por tanto la causa para la emisi</w:t>
      </w:r>
      <w:r>
        <w:rPr>
          <w:rFonts w:cs="Times New Roman"/>
          <w:spacing w:val="-5"/>
          <w:sz w:val="18"/>
          <w:szCs w:val="18"/>
          <w:lang w:val="es-ES_tradnl"/>
        </w:rPr>
        <w:t>ó</w:t>
      </w:r>
      <w:r>
        <w:rPr>
          <w:spacing w:val="-5"/>
          <w:sz w:val="18"/>
          <w:szCs w:val="18"/>
          <w:lang w:val="es-ES_tradnl"/>
        </w:rPr>
        <w:t>n del t</w:t>
      </w:r>
      <w:r>
        <w:rPr>
          <w:rFonts w:cs="Times New Roman"/>
          <w:spacing w:val="-5"/>
          <w:sz w:val="18"/>
          <w:szCs w:val="18"/>
          <w:lang w:val="es-ES_tradnl"/>
        </w:rPr>
        <w:t>í</w:t>
      </w:r>
      <w:r>
        <w:rPr>
          <w:spacing w:val="-5"/>
          <w:sz w:val="18"/>
          <w:szCs w:val="18"/>
          <w:lang w:val="es-ES_tradnl"/>
        </w:rPr>
        <w:t>tulo fue el cr</w:t>
      </w:r>
      <w:r>
        <w:rPr>
          <w:rFonts w:cs="Times New Roman"/>
          <w:spacing w:val="-5"/>
          <w:sz w:val="18"/>
          <w:szCs w:val="18"/>
          <w:lang w:val="es-ES_tradnl"/>
        </w:rPr>
        <w:t>é</w:t>
      </w:r>
      <w:r>
        <w:rPr>
          <w:spacing w:val="-5"/>
          <w:sz w:val="18"/>
          <w:szCs w:val="18"/>
          <w:lang w:val="es-ES_tradnl"/>
        </w:rPr>
        <w:t>dito que contrajo la empresa que no pag</w:t>
      </w:r>
      <w:r>
        <w:rPr>
          <w:rFonts w:cs="Times New Roman"/>
          <w:spacing w:val="-5"/>
          <w:sz w:val="18"/>
          <w:szCs w:val="18"/>
          <w:lang w:val="es-ES_tradnl"/>
        </w:rPr>
        <w:t xml:space="preserve">ó </w:t>
      </w:r>
      <w:r>
        <w:rPr>
          <w:spacing w:val="-5"/>
          <w:sz w:val="18"/>
          <w:szCs w:val="18"/>
          <w:lang w:val="es-ES_tradnl"/>
        </w:rPr>
        <w:t>inmediatamente la deuda al trabajador y no la relaci</w:t>
      </w:r>
      <w:r>
        <w:rPr>
          <w:rFonts w:cs="Times New Roman"/>
          <w:spacing w:val="-5"/>
          <w:sz w:val="18"/>
          <w:szCs w:val="18"/>
          <w:lang w:val="es-ES_tradnl"/>
        </w:rPr>
        <w:t>ó</w:t>
      </w:r>
      <w:r>
        <w:rPr>
          <w:spacing w:val="-5"/>
          <w:sz w:val="18"/>
          <w:szCs w:val="18"/>
          <w:lang w:val="es-ES_tradnl"/>
        </w:rPr>
        <w:t xml:space="preserve">n </w:t>
      </w:r>
      <w:r>
        <w:rPr>
          <w:sz w:val="18"/>
          <w:szCs w:val="18"/>
          <w:lang w:val="es-ES_tradnl"/>
        </w:rPr>
        <w:t>laboral.</w:t>
      </w:r>
    </w:p>
    <w:p w14:paraId="4F67B4E3" w14:textId="77777777" w:rsidR="00591D54" w:rsidRDefault="00591D54">
      <w:pPr>
        <w:shd w:val="clear" w:color="auto" w:fill="FFFFFF"/>
        <w:spacing w:before="206" w:line="221" w:lineRule="exact"/>
        <w:jc w:val="both"/>
      </w:pPr>
      <w:r>
        <w:rPr>
          <w:spacing w:val="-5"/>
          <w:sz w:val="18"/>
          <w:szCs w:val="18"/>
          <w:lang w:val="es-ES_tradnl"/>
        </w:rPr>
        <w:t>Determina que en la ejecuci</w:t>
      </w:r>
      <w:r>
        <w:rPr>
          <w:rFonts w:cs="Times New Roman"/>
          <w:spacing w:val="-5"/>
          <w:sz w:val="18"/>
          <w:szCs w:val="18"/>
          <w:lang w:val="es-ES_tradnl"/>
        </w:rPr>
        <w:t>ó</w:t>
      </w:r>
      <w:r>
        <w:rPr>
          <w:spacing w:val="-5"/>
          <w:sz w:val="18"/>
          <w:szCs w:val="18"/>
          <w:lang w:val="es-ES_tradnl"/>
        </w:rPr>
        <w:t xml:space="preserve">n de esta llamada </w:t>
      </w:r>
      <w:r>
        <w:rPr>
          <w:rFonts w:cs="Times New Roman"/>
          <w:spacing w:val="-5"/>
          <w:sz w:val="18"/>
          <w:szCs w:val="18"/>
          <w:lang w:val="es-ES_tradnl"/>
        </w:rPr>
        <w:t>“</w:t>
      </w:r>
      <w:r>
        <w:rPr>
          <w:spacing w:val="-5"/>
          <w:sz w:val="18"/>
          <w:szCs w:val="18"/>
          <w:lang w:val="es-ES_tradnl"/>
        </w:rPr>
        <w:t>acta de pago de contribuci</w:t>
      </w:r>
      <w:r>
        <w:rPr>
          <w:rFonts w:cs="Times New Roman"/>
          <w:spacing w:val="-5"/>
          <w:sz w:val="18"/>
          <w:szCs w:val="18"/>
          <w:lang w:val="es-ES_tradnl"/>
        </w:rPr>
        <w:t>ó</w:t>
      </w:r>
      <w:r>
        <w:rPr>
          <w:spacing w:val="-5"/>
          <w:sz w:val="18"/>
          <w:szCs w:val="18"/>
          <w:lang w:val="es-ES_tradnl"/>
        </w:rPr>
        <w:t>n por separaci</w:t>
      </w:r>
      <w:r>
        <w:rPr>
          <w:rFonts w:cs="Times New Roman"/>
          <w:spacing w:val="-5"/>
          <w:sz w:val="18"/>
          <w:szCs w:val="18"/>
          <w:lang w:val="es-ES_tradnl"/>
        </w:rPr>
        <w:t>ó</w:t>
      </w:r>
      <w:r>
        <w:rPr>
          <w:spacing w:val="-5"/>
          <w:sz w:val="18"/>
          <w:szCs w:val="18"/>
          <w:lang w:val="es-ES_tradnl"/>
        </w:rPr>
        <w:t>n voluntaria</w:t>
      </w:r>
      <w:r>
        <w:rPr>
          <w:rFonts w:cs="Times New Roman"/>
          <w:spacing w:val="-5"/>
          <w:sz w:val="18"/>
          <w:szCs w:val="18"/>
          <w:lang w:val="es-ES_tradnl"/>
        </w:rPr>
        <w:t>”</w:t>
      </w:r>
      <w:r>
        <w:rPr>
          <w:spacing w:val="-5"/>
          <w:sz w:val="18"/>
          <w:szCs w:val="18"/>
          <w:lang w:val="es-ES_tradnl"/>
        </w:rPr>
        <w:t xml:space="preserve"> ya no se discute si existi</w:t>
      </w:r>
      <w:r>
        <w:rPr>
          <w:rFonts w:cs="Times New Roman"/>
          <w:spacing w:val="-5"/>
          <w:sz w:val="18"/>
          <w:szCs w:val="18"/>
          <w:lang w:val="es-ES_tradnl"/>
        </w:rPr>
        <w:t>ó</w:t>
      </w:r>
      <w:r>
        <w:rPr>
          <w:spacing w:val="-5"/>
          <w:sz w:val="18"/>
          <w:szCs w:val="18"/>
          <w:lang w:val="es-ES_tradnl"/>
        </w:rPr>
        <w:t xml:space="preserve"> o no la relaci</w:t>
      </w:r>
      <w:r>
        <w:rPr>
          <w:rFonts w:cs="Times New Roman"/>
          <w:spacing w:val="-5"/>
          <w:sz w:val="18"/>
          <w:szCs w:val="18"/>
          <w:lang w:val="es-ES_tradnl"/>
        </w:rPr>
        <w:t>ó</w:t>
      </w:r>
      <w:r>
        <w:rPr>
          <w:spacing w:val="-5"/>
          <w:sz w:val="18"/>
          <w:szCs w:val="18"/>
          <w:lang w:val="es-ES_tradnl"/>
        </w:rPr>
        <w:t xml:space="preserve">n laboral o si el trabajador </w:t>
      </w:r>
      <w:r>
        <w:rPr>
          <w:spacing w:val="-8"/>
          <w:sz w:val="18"/>
          <w:szCs w:val="18"/>
          <w:lang w:val="es-ES_tradnl"/>
        </w:rPr>
        <w:t>tiene o no derecho a esta prestaci</w:t>
      </w:r>
      <w:r>
        <w:rPr>
          <w:rFonts w:cs="Times New Roman"/>
          <w:spacing w:val="-8"/>
          <w:sz w:val="18"/>
          <w:szCs w:val="18"/>
          <w:lang w:val="es-ES_tradnl"/>
        </w:rPr>
        <w:t>ó</w:t>
      </w:r>
      <w:r>
        <w:rPr>
          <w:spacing w:val="-8"/>
          <w:sz w:val="18"/>
          <w:szCs w:val="18"/>
          <w:lang w:val="es-ES_tradnl"/>
        </w:rPr>
        <w:t xml:space="preserve">n, sino que se solicita el </w:t>
      </w:r>
      <w:r>
        <w:rPr>
          <w:spacing w:val="-5"/>
          <w:sz w:val="18"/>
          <w:szCs w:val="18"/>
          <w:lang w:val="es-ES_tradnl"/>
        </w:rPr>
        <w:t>cumplimiento de una obligaci</w:t>
      </w:r>
      <w:r>
        <w:rPr>
          <w:rFonts w:cs="Times New Roman"/>
          <w:spacing w:val="-5"/>
          <w:sz w:val="18"/>
          <w:szCs w:val="18"/>
          <w:lang w:val="es-ES_tradnl"/>
        </w:rPr>
        <w:t>ó</w:t>
      </w:r>
      <w:r>
        <w:rPr>
          <w:spacing w:val="-5"/>
          <w:sz w:val="18"/>
          <w:szCs w:val="18"/>
          <w:lang w:val="es-ES_tradnl"/>
        </w:rPr>
        <w:t>n personal de cr</w:t>
      </w:r>
      <w:r>
        <w:rPr>
          <w:rFonts w:cs="Times New Roman"/>
          <w:spacing w:val="-5"/>
          <w:sz w:val="18"/>
          <w:szCs w:val="18"/>
          <w:lang w:val="es-ES_tradnl"/>
        </w:rPr>
        <w:t>é</w:t>
      </w:r>
      <w:r>
        <w:rPr>
          <w:spacing w:val="-5"/>
          <w:sz w:val="18"/>
          <w:szCs w:val="18"/>
          <w:lang w:val="es-ES_tradnl"/>
        </w:rPr>
        <w:t xml:space="preserve">dito, que </w:t>
      </w:r>
      <w:r>
        <w:rPr>
          <w:spacing w:val="-7"/>
          <w:sz w:val="18"/>
          <w:szCs w:val="18"/>
          <w:lang w:val="es-ES_tradnl"/>
        </w:rPr>
        <w:t>est</w:t>
      </w:r>
      <w:r>
        <w:rPr>
          <w:rFonts w:cs="Times New Roman"/>
          <w:spacing w:val="-7"/>
          <w:sz w:val="18"/>
          <w:szCs w:val="18"/>
          <w:lang w:val="es-ES_tradnl"/>
        </w:rPr>
        <w:t>á</w:t>
      </w:r>
      <w:r>
        <w:rPr>
          <w:spacing w:val="-7"/>
          <w:sz w:val="18"/>
          <w:szCs w:val="18"/>
          <w:lang w:val="es-ES_tradnl"/>
        </w:rPr>
        <w:t xml:space="preserve"> respaldada en un t</w:t>
      </w:r>
      <w:r>
        <w:rPr>
          <w:rFonts w:cs="Times New Roman"/>
          <w:spacing w:val="-7"/>
          <w:sz w:val="18"/>
          <w:szCs w:val="18"/>
          <w:lang w:val="es-ES_tradnl"/>
        </w:rPr>
        <w:t>í</w:t>
      </w:r>
      <w:r>
        <w:rPr>
          <w:spacing w:val="-7"/>
          <w:sz w:val="18"/>
          <w:szCs w:val="18"/>
          <w:lang w:val="es-ES_tradnl"/>
        </w:rPr>
        <w:t xml:space="preserve">tulo ejecutivo, por lo que no existe </w:t>
      </w:r>
      <w:r>
        <w:rPr>
          <w:spacing w:val="-6"/>
          <w:sz w:val="18"/>
          <w:szCs w:val="18"/>
          <w:lang w:val="es-ES_tradnl"/>
        </w:rPr>
        <w:t>vulneraci</w:t>
      </w:r>
      <w:r>
        <w:rPr>
          <w:rFonts w:cs="Times New Roman"/>
          <w:spacing w:val="-6"/>
          <w:sz w:val="18"/>
          <w:szCs w:val="18"/>
          <w:lang w:val="es-ES_tradnl"/>
        </w:rPr>
        <w:t>ó</w:t>
      </w:r>
      <w:r>
        <w:rPr>
          <w:spacing w:val="-6"/>
          <w:sz w:val="18"/>
          <w:szCs w:val="18"/>
          <w:lang w:val="es-ES_tradnl"/>
        </w:rPr>
        <w:t>n de derechos constitucionales.</w:t>
      </w:r>
    </w:p>
    <w:p w14:paraId="4F67B4E4" w14:textId="77777777" w:rsidR="00591D54" w:rsidRDefault="00591D54">
      <w:pPr>
        <w:shd w:val="clear" w:color="auto" w:fill="FFFFFF"/>
        <w:spacing w:before="197"/>
      </w:pPr>
      <w:r>
        <w:rPr>
          <w:b/>
          <w:bCs/>
          <w:spacing w:val="-10"/>
          <w:sz w:val="18"/>
          <w:szCs w:val="18"/>
          <w:lang w:val="es-ES_tradnl"/>
        </w:rPr>
        <w:t>Terceros interesados</w:t>
      </w:r>
    </w:p>
    <w:p w14:paraId="4F67B4E5" w14:textId="77777777" w:rsidR="00591D54" w:rsidRDefault="00591D54">
      <w:pPr>
        <w:shd w:val="clear" w:color="auto" w:fill="FFFFFF"/>
        <w:spacing w:before="202" w:line="226" w:lineRule="exact"/>
        <w:jc w:val="both"/>
      </w:pPr>
      <w:r>
        <w:rPr>
          <w:b/>
          <w:bCs/>
          <w:spacing w:val="-2"/>
          <w:sz w:val="18"/>
          <w:szCs w:val="18"/>
          <w:lang w:val="es-ES_tradnl"/>
        </w:rPr>
        <w:t xml:space="preserve">Lcdo. Eduardo Naranjo Cruz por sus propios y </w:t>
      </w:r>
      <w:r>
        <w:rPr>
          <w:b/>
          <w:bCs/>
          <w:spacing w:val="-10"/>
          <w:sz w:val="18"/>
          <w:szCs w:val="18"/>
          <w:lang w:val="es-ES_tradnl"/>
        </w:rPr>
        <w:t xml:space="preserve">personales derechos, comparece a fs. 54 del expediente </w:t>
      </w:r>
      <w:r>
        <w:rPr>
          <w:b/>
          <w:bCs/>
          <w:spacing w:val="-6"/>
          <w:sz w:val="18"/>
          <w:szCs w:val="18"/>
          <w:lang w:val="es-ES_tradnl"/>
        </w:rPr>
        <w:t>constitucional y en lo principal, determina:</w:t>
      </w:r>
    </w:p>
    <w:p w14:paraId="4F67B4E6" w14:textId="77777777" w:rsidR="00591D54" w:rsidRDefault="00591D54">
      <w:pPr>
        <w:shd w:val="clear" w:color="auto" w:fill="FFFFFF"/>
        <w:spacing w:before="206" w:line="221" w:lineRule="exact"/>
        <w:jc w:val="both"/>
      </w:pPr>
      <w:r>
        <w:rPr>
          <w:spacing w:val="-1"/>
          <w:sz w:val="18"/>
          <w:szCs w:val="18"/>
          <w:lang w:val="es-ES_tradnl"/>
        </w:rPr>
        <w:t>Manifiesta que posterior a su desvinculaci</w:t>
      </w:r>
      <w:r>
        <w:rPr>
          <w:rFonts w:cs="Times New Roman"/>
          <w:spacing w:val="-1"/>
          <w:sz w:val="18"/>
          <w:szCs w:val="18"/>
          <w:lang w:val="es-ES_tradnl"/>
        </w:rPr>
        <w:t>ó</w:t>
      </w:r>
      <w:r>
        <w:rPr>
          <w:spacing w:val="-1"/>
          <w:sz w:val="18"/>
          <w:szCs w:val="18"/>
          <w:lang w:val="es-ES_tradnl"/>
        </w:rPr>
        <w:t xml:space="preserve">n de </w:t>
      </w:r>
      <w:r>
        <w:rPr>
          <w:spacing w:val="-2"/>
          <w:sz w:val="18"/>
          <w:szCs w:val="18"/>
          <w:lang w:val="es-ES_tradnl"/>
        </w:rPr>
        <w:t xml:space="preserve">Petroecuador, en cumplimiento del contrato colectivo, </w:t>
      </w:r>
      <w:r>
        <w:rPr>
          <w:spacing w:val="-4"/>
          <w:sz w:val="18"/>
          <w:szCs w:val="18"/>
          <w:lang w:val="es-ES_tradnl"/>
        </w:rPr>
        <w:t>que en ese entonces le amparaba, el 28 de agosto de 2007, suscribi</w:t>
      </w:r>
      <w:r>
        <w:rPr>
          <w:rFonts w:cs="Times New Roman"/>
          <w:spacing w:val="-4"/>
          <w:sz w:val="18"/>
          <w:szCs w:val="18"/>
          <w:lang w:val="es-ES_tradnl"/>
        </w:rPr>
        <w:t>ó</w:t>
      </w:r>
      <w:r>
        <w:rPr>
          <w:spacing w:val="-4"/>
          <w:sz w:val="18"/>
          <w:szCs w:val="18"/>
          <w:lang w:val="es-ES_tradnl"/>
        </w:rPr>
        <w:t xml:space="preserve"> con el entonces presidente ejecutivo y </w:t>
      </w:r>
      <w:r>
        <w:rPr>
          <w:spacing w:val="-5"/>
          <w:sz w:val="18"/>
          <w:szCs w:val="18"/>
          <w:lang w:val="es-ES_tradnl"/>
        </w:rPr>
        <w:t xml:space="preserve">representante legal de Petroecuador, ingeniero Carlos </w:t>
      </w:r>
      <w:r>
        <w:rPr>
          <w:spacing w:val="-4"/>
          <w:sz w:val="18"/>
          <w:szCs w:val="18"/>
          <w:lang w:val="es-ES_tradnl"/>
        </w:rPr>
        <w:t>Pareja Yannuzzelli, el acta de pago de contribuci</w:t>
      </w:r>
      <w:r>
        <w:rPr>
          <w:rFonts w:cs="Times New Roman"/>
          <w:spacing w:val="-4"/>
          <w:sz w:val="18"/>
          <w:szCs w:val="18"/>
          <w:lang w:val="es-ES_tradnl"/>
        </w:rPr>
        <w:t>ó</w:t>
      </w:r>
      <w:r>
        <w:rPr>
          <w:spacing w:val="-4"/>
          <w:sz w:val="18"/>
          <w:szCs w:val="18"/>
          <w:lang w:val="es-ES_tradnl"/>
        </w:rPr>
        <w:t xml:space="preserve">n por </w:t>
      </w:r>
      <w:r>
        <w:rPr>
          <w:sz w:val="18"/>
          <w:szCs w:val="18"/>
          <w:lang w:val="es-ES_tradnl"/>
        </w:rPr>
        <w:t>separaci</w:t>
      </w:r>
      <w:r>
        <w:rPr>
          <w:rFonts w:cs="Times New Roman"/>
          <w:sz w:val="18"/>
          <w:szCs w:val="18"/>
          <w:lang w:val="es-ES_tradnl"/>
        </w:rPr>
        <w:t>ó</w:t>
      </w:r>
      <w:r>
        <w:rPr>
          <w:sz w:val="18"/>
          <w:szCs w:val="18"/>
          <w:lang w:val="es-ES_tradnl"/>
        </w:rPr>
        <w:t>n voluntaria N.</w:t>
      </w:r>
      <w:r>
        <w:rPr>
          <w:rFonts w:cs="Times New Roman"/>
          <w:sz w:val="18"/>
          <w:szCs w:val="18"/>
          <w:lang w:val="es-ES_tradnl"/>
        </w:rPr>
        <w:t>º</w:t>
      </w:r>
      <w:r>
        <w:rPr>
          <w:sz w:val="18"/>
          <w:szCs w:val="18"/>
          <w:lang w:val="es-ES_tradnl"/>
        </w:rPr>
        <w:t xml:space="preserve"> 2007419.</w:t>
      </w:r>
    </w:p>
    <w:p w14:paraId="4F67B4E7" w14:textId="77777777" w:rsidR="00591D54" w:rsidRDefault="00591D54">
      <w:pPr>
        <w:shd w:val="clear" w:color="auto" w:fill="FFFFFF"/>
        <w:spacing w:before="202" w:line="221" w:lineRule="exact"/>
        <w:jc w:val="both"/>
      </w:pPr>
      <w:r>
        <w:rPr>
          <w:spacing w:val="-10"/>
          <w:sz w:val="18"/>
          <w:szCs w:val="18"/>
          <w:lang w:val="es-ES_tradnl"/>
        </w:rPr>
        <w:t>Se</w:t>
      </w:r>
      <w:r>
        <w:rPr>
          <w:rFonts w:cs="Times New Roman"/>
          <w:spacing w:val="-10"/>
          <w:sz w:val="18"/>
          <w:szCs w:val="18"/>
          <w:lang w:val="es-ES_tradnl"/>
        </w:rPr>
        <w:t>ñ</w:t>
      </w:r>
      <w:r>
        <w:rPr>
          <w:spacing w:val="-10"/>
          <w:sz w:val="18"/>
          <w:szCs w:val="18"/>
          <w:lang w:val="es-ES_tradnl"/>
        </w:rPr>
        <w:t>ala que en la mencionada acta de pago por contribuci</w:t>
      </w:r>
      <w:r>
        <w:rPr>
          <w:rFonts w:cs="Times New Roman"/>
          <w:spacing w:val="-10"/>
          <w:sz w:val="18"/>
          <w:szCs w:val="18"/>
          <w:lang w:val="es-ES_tradnl"/>
        </w:rPr>
        <w:t>ó</w:t>
      </w:r>
      <w:r>
        <w:rPr>
          <w:spacing w:val="-10"/>
          <w:sz w:val="18"/>
          <w:szCs w:val="18"/>
          <w:lang w:val="es-ES_tradnl"/>
        </w:rPr>
        <w:t xml:space="preserve">n, </w:t>
      </w:r>
      <w:r>
        <w:rPr>
          <w:spacing w:val="-5"/>
          <w:sz w:val="18"/>
          <w:szCs w:val="18"/>
          <w:lang w:val="es-ES_tradnl"/>
        </w:rPr>
        <w:t>por separaci</w:t>
      </w:r>
      <w:r>
        <w:rPr>
          <w:rFonts w:cs="Times New Roman"/>
          <w:spacing w:val="-5"/>
          <w:sz w:val="18"/>
          <w:szCs w:val="18"/>
          <w:lang w:val="es-ES_tradnl"/>
        </w:rPr>
        <w:t>ó</w:t>
      </w:r>
      <w:r>
        <w:rPr>
          <w:spacing w:val="-5"/>
          <w:sz w:val="18"/>
          <w:szCs w:val="18"/>
          <w:lang w:val="es-ES_tradnl"/>
        </w:rPr>
        <w:t>n voluntaria Petroecuador, se comprometi</w:t>
      </w:r>
      <w:r>
        <w:rPr>
          <w:rFonts w:cs="Times New Roman"/>
          <w:spacing w:val="-5"/>
          <w:sz w:val="18"/>
          <w:szCs w:val="18"/>
          <w:lang w:val="es-ES_tradnl"/>
        </w:rPr>
        <w:t xml:space="preserve">ó </w:t>
      </w:r>
      <w:r>
        <w:rPr>
          <w:spacing w:val="-1"/>
          <w:sz w:val="18"/>
          <w:szCs w:val="18"/>
          <w:lang w:val="es-ES_tradnl"/>
        </w:rPr>
        <w:t xml:space="preserve">a cancelar a su favor ciertos valores, por concepto de </w:t>
      </w:r>
      <w:r>
        <w:rPr>
          <w:spacing w:val="-3"/>
          <w:sz w:val="18"/>
          <w:szCs w:val="18"/>
          <w:lang w:val="es-ES_tradnl"/>
        </w:rPr>
        <w:t>su desvinculaci</w:t>
      </w:r>
      <w:r>
        <w:rPr>
          <w:rFonts w:cs="Times New Roman"/>
          <w:spacing w:val="-3"/>
          <w:sz w:val="18"/>
          <w:szCs w:val="18"/>
          <w:lang w:val="es-ES_tradnl"/>
        </w:rPr>
        <w:t>ó</w:t>
      </w:r>
      <w:r>
        <w:rPr>
          <w:spacing w:val="-3"/>
          <w:sz w:val="18"/>
          <w:szCs w:val="18"/>
          <w:lang w:val="es-ES_tradnl"/>
        </w:rPr>
        <w:t xml:space="preserve">n con la entidad los cuales fueron </w:t>
      </w:r>
      <w:r>
        <w:rPr>
          <w:spacing w:val="-6"/>
          <w:sz w:val="18"/>
          <w:szCs w:val="18"/>
          <w:lang w:val="es-ES_tradnl"/>
        </w:rPr>
        <w:t>parcialmente cubiertos, quedando pendientes de pago algunos dividendos. En este sentido, agrega que inici</w:t>
      </w:r>
      <w:r>
        <w:rPr>
          <w:rFonts w:cs="Times New Roman"/>
          <w:spacing w:val="-6"/>
          <w:sz w:val="18"/>
          <w:szCs w:val="18"/>
          <w:lang w:val="es-ES_tradnl"/>
        </w:rPr>
        <w:t>ó</w:t>
      </w:r>
      <w:r>
        <w:rPr>
          <w:spacing w:val="-6"/>
          <w:sz w:val="18"/>
          <w:szCs w:val="18"/>
          <w:lang w:val="es-ES_tradnl"/>
        </w:rPr>
        <w:t xml:space="preserve"> un </w:t>
      </w:r>
      <w:r>
        <w:rPr>
          <w:spacing w:val="-8"/>
          <w:sz w:val="18"/>
          <w:szCs w:val="18"/>
          <w:lang w:val="es-ES_tradnl"/>
        </w:rPr>
        <w:t xml:space="preserve">juicio ejecutivo en contra de EP Petroecuador, a fin de que </w:t>
      </w:r>
      <w:r>
        <w:rPr>
          <w:spacing w:val="-9"/>
          <w:sz w:val="18"/>
          <w:szCs w:val="18"/>
          <w:lang w:val="es-ES_tradnl"/>
        </w:rPr>
        <w:t xml:space="preserve">en sentencia se disponga el pago de los montos adeudados </w:t>
      </w:r>
      <w:r>
        <w:rPr>
          <w:spacing w:val="-2"/>
          <w:sz w:val="18"/>
          <w:szCs w:val="18"/>
          <w:lang w:val="es-ES_tradnl"/>
        </w:rPr>
        <w:t>y que se establec</w:t>
      </w:r>
      <w:r>
        <w:rPr>
          <w:rFonts w:cs="Times New Roman"/>
          <w:spacing w:val="-2"/>
          <w:sz w:val="18"/>
          <w:szCs w:val="18"/>
          <w:lang w:val="es-ES_tradnl"/>
        </w:rPr>
        <w:t>í</w:t>
      </w:r>
      <w:r>
        <w:rPr>
          <w:spacing w:val="-2"/>
          <w:sz w:val="18"/>
          <w:szCs w:val="18"/>
          <w:lang w:val="es-ES_tradnl"/>
        </w:rPr>
        <w:t>an en el t</w:t>
      </w:r>
      <w:r>
        <w:rPr>
          <w:rFonts w:cs="Times New Roman"/>
          <w:spacing w:val="-2"/>
          <w:sz w:val="18"/>
          <w:szCs w:val="18"/>
          <w:lang w:val="es-ES_tradnl"/>
        </w:rPr>
        <w:t>í</w:t>
      </w:r>
      <w:r>
        <w:rPr>
          <w:spacing w:val="-2"/>
          <w:sz w:val="18"/>
          <w:szCs w:val="18"/>
          <w:lang w:val="es-ES_tradnl"/>
        </w:rPr>
        <w:t xml:space="preserve">tulo ejecutivo contenido en </w:t>
      </w:r>
      <w:r>
        <w:rPr>
          <w:spacing w:val="-7"/>
          <w:sz w:val="18"/>
          <w:szCs w:val="18"/>
          <w:lang w:val="es-ES_tradnl"/>
        </w:rPr>
        <w:t xml:space="preserve">el acta de pago, demanda que fue aceptada en primera </w:t>
      </w:r>
      <w:r>
        <w:rPr>
          <w:sz w:val="18"/>
          <w:szCs w:val="18"/>
          <w:lang w:val="es-ES_tradnl"/>
        </w:rPr>
        <w:t>instancia y ratificada en segunda.</w:t>
      </w:r>
    </w:p>
    <w:p w14:paraId="4F67B4E8" w14:textId="77777777" w:rsidR="00591D54" w:rsidRDefault="00591D54">
      <w:pPr>
        <w:shd w:val="clear" w:color="auto" w:fill="FFFFFF"/>
        <w:spacing w:line="221" w:lineRule="exact"/>
        <w:ind w:right="10"/>
        <w:jc w:val="both"/>
      </w:pPr>
      <w:r>
        <w:br w:type="column"/>
      </w:r>
      <w:r>
        <w:rPr>
          <w:spacing w:val="-1"/>
          <w:sz w:val="18"/>
          <w:szCs w:val="18"/>
          <w:lang w:val="es-ES_tradnl"/>
        </w:rPr>
        <w:t>En tal virtud, considera que esta acci</w:t>
      </w:r>
      <w:r>
        <w:rPr>
          <w:rFonts w:cs="Times New Roman"/>
          <w:spacing w:val="-1"/>
          <w:sz w:val="18"/>
          <w:szCs w:val="18"/>
          <w:lang w:val="es-ES_tradnl"/>
        </w:rPr>
        <w:t>ó</w:t>
      </w:r>
      <w:r>
        <w:rPr>
          <w:spacing w:val="-1"/>
          <w:sz w:val="18"/>
          <w:szCs w:val="18"/>
          <w:lang w:val="es-ES_tradnl"/>
        </w:rPr>
        <w:t xml:space="preserve">n extraordinaria </w:t>
      </w:r>
      <w:r>
        <w:rPr>
          <w:spacing w:val="-6"/>
          <w:sz w:val="18"/>
          <w:szCs w:val="18"/>
          <w:lang w:val="es-ES_tradnl"/>
        </w:rPr>
        <w:t>de protecci</w:t>
      </w:r>
      <w:r>
        <w:rPr>
          <w:rFonts w:cs="Times New Roman"/>
          <w:spacing w:val="-6"/>
          <w:sz w:val="18"/>
          <w:szCs w:val="18"/>
          <w:lang w:val="es-ES_tradnl"/>
        </w:rPr>
        <w:t>ó</w:t>
      </w:r>
      <w:r>
        <w:rPr>
          <w:spacing w:val="-6"/>
          <w:sz w:val="18"/>
          <w:szCs w:val="18"/>
          <w:lang w:val="es-ES_tradnl"/>
        </w:rPr>
        <w:t xml:space="preserve">n es improcedente, ya que EP Petroecuador </w:t>
      </w:r>
      <w:r>
        <w:rPr>
          <w:spacing w:val="-7"/>
          <w:sz w:val="18"/>
          <w:szCs w:val="18"/>
          <w:lang w:val="es-ES_tradnl"/>
        </w:rPr>
        <w:t>pretende convertir a esta acci</w:t>
      </w:r>
      <w:r>
        <w:rPr>
          <w:rFonts w:cs="Times New Roman"/>
          <w:spacing w:val="-7"/>
          <w:sz w:val="18"/>
          <w:szCs w:val="18"/>
          <w:lang w:val="es-ES_tradnl"/>
        </w:rPr>
        <w:t>ó</w:t>
      </w:r>
      <w:r>
        <w:rPr>
          <w:spacing w:val="-7"/>
          <w:sz w:val="18"/>
          <w:szCs w:val="18"/>
          <w:lang w:val="es-ES_tradnl"/>
        </w:rPr>
        <w:t xml:space="preserve">n en una instancia adicional </w:t>
      </w:r>
      <w:r>
        <w:rPr>
          <w:spacing w:val="-5"/>
          <w:sz w:val="18"/>
          <w:szCs w:val="18"/>
          <w:lang w:val="es-ES_tradnl"/>
        </w:rPr>
        <w:t>adem</w:t>
      </w:r>
      <w:r>
        <w:rPr>
          <w:rFonts w:cs="Times New Roman"/>
          <w:spacing w:val="-5"/>
          <w:sz w:val="18"/>
          <w:szCs w:val="18"/>
          <w:lang w:val="es-ES_tradnl"/>
        </w:rPr>
        <w:t>á</w:t>
      </w:r>
      <w:r>
        <w:rPr>
          <w:spacing w:val="-5"/>
          <w:sz w:val="18"/>
          <w:szCs w:val="18"/>
          <w:lang w:val="es-ES_tradnl"/>
        </w:rPr>
        <w:t>s, de que en su argumentaci</w:t>
      </w:r>
      <w:r>
        <w:rPr>
          <w:rFonts w:cs="Times New Roman"/>
          <w:spacing w:val="-5"/>
          <w:sz w:val="18"/>
          <w:szCs w:val="18"/>
          <w:lang w:val="es-ES_tradnl"/>
        </w:rPr>
        <w:t>ó</w:t>
      </w:r>
      <w:r>
        <w:rPr>
          <w:spacing w:val="-5"/>
          <w:sz w:val="18"/>
          <w:szCs w:val="18"/>
          <w:lang w:val="es-ES_tradnl"/>
        </w:rPr>
        <w:t xml:space="preserve">n se limita a citar </w:t>
      </w:r>
      <w:r>
        <w:rPr>
          <w:sz w:val="18"/>
          <w:szCs w:val="18"/>
          <w:lang w:val="es-ES_tradnl"/>
        </w:rPr>
        <w:t>normas legales.</w:t>
      </w:r>
    </w:p>
    <w:p w14:paraId="4F67B4E9" w14:textId="77777777" w:rsidR="00591D54" w:rsidRDefault="00591D54">
      <w:pPr>
        <w:shd w:val="clear" w:color="auto" w:fill="FFFFFF"/>
        <w:spacing w:before="202" w:line="221" w:lineRule="exact"/>
        <w:ind w:right="5"/>
        <w:jc w:val="both"/>
      </w:pPr>
      <w:r>
        <w:rPr>
          <w:sz w:val="18"/>
          <w:szCs w:val="18"/>
          <w:lang w:val="es-ES_tradnl"/>
        </w:rPr>
        <w:t xml:space="preserve">Establece que el accionante para intentar sostener </w:t>
      </w:r>
      <w:r>
        <w:rPr>
          <w:spacing w:val="-4"/>
          <w:sz w:val="18"/>
          <w:szCs w:val="18"/>
          <w:lang w:val="es-ES_tradnl"/>
        </w:rPr>
        <w:t>una inexistente violaci</w:t>
      </w:r>
      <w:r>
        <w:rPr>
          <w:rFonts w:cs="Times New Roman"/>
          <w:spacing w:val="-4"/>
          <w:sz w:val="18"/>
          <w:szCs w:val="18"/>
          <w:lang w:val="es-ES_tradnl"/>
        </w:rPr>
        <w:t>ó</w:t>
      </w:r>
      <w:r>
        <w:rPr>
          <w:spacing w:val="-4"/>
          <w:sz w:val="18"/>
          <w:szCs w:val="18"/>
          <w:lang w:val="es-ES_tradnl"/>
        </w:rPr>
        <w:t xml:space="preserve">n del derecho al juez natural </w:t>
      </w:r>
      <w:r>
        <w:rPr>
          <w:sz w:val="18"/>
          <w:szCs w:val="18"/>
          <w:lang w:val="es-ES_tradnl"/>
        </w:rPr>
        <w:t>consagrado en el art</w:t>
      </w:r>
      <w:r>
        <w:rPr>
          <w:rFonts w:cs="Times New Roman"/>
          <w:sz w:val="18"/>
          <w:szCs w:val="18"/>
          <w:lang w:val="es-ES_tradnl"/>
        </w:rPr>
        <w:t>í</w:t>
      </w:r>
      <w:r>
        <w:rPr>
          <w:sz w:val="18"/>
          <w:szCs w:val="18"/>
          <w:lang w:val="es-ES_tradnl"/>
        </w:rPr>
        <w:t xml:space="preserve">culo 76 numerales 3 y 7 literal </w:t>
      </w:r>
      <w:r>
        <w:rPr>
          <w:b/>
          <w:bCs/>
          <w:sz w:val="18"/>
          <w:szCs w:val="18"/>
          <w:lang w:val="es-ES_tradnl"/>
        </w:rPr>
        <w:t xml:space="preserve">k </w:t>
      </w:r>
      <w:r>
        <w:rPr>
          <w:spacing w:val="-2"/>
          <w:sz w:val="18"/>
          <w:szCs w:val="18"/>
          <w:lang w:val="es-ES_tradnl"/>
        </w:rPr>
        <w:t>de la Constituci</w:t>
      </w:r>
      <w:r>
        <w:rPr>
          <w:rFonts w:cs="Times New Roman"/>
          <w:spacing w:val="-2"/>
          <w:sz w:val="18"/>
          <w:szCs w:val="18"/>
          <w:lang w:val="es-ES_tradnl"/>
        </w:rPr>
        <w:t>ó</w:t>
      </w:r>
      <w:r>
        <w:rPr>
          <w:spacing w:val="-2"/>
          <w:sz w:val="18"/>
          <w:szCs w:val="18"/>
          <w:lang w:val="es-ES_tradnl"/>
        </w:rPr>
        <w:t>n, insiste en que se habr</w:t>
      </w:r>
      <w:r>
        <w:rPr>
          <w:rFonts w:cs="Times New Roman"/>
          <w:spacing w:val="-2"/>
          <w:sz w:val="18"/>
          <w:szCs w:val="18"/>
          <w:lang w:val="es-ES_tradnl"/>
        </w:rPr>
        <w:t>í</w:t>
      </w:r>
      <w:r>
        <w:rPr>
          <w:spacing w:val="-2"/>
          <w:sz w:val="18"/>
          <w:szCs w:val="18"/>
          <w:lang w:val="es-ES_tradnl"/>
        </w:rPr>
        <w:t xml:space="preserve">a incumplido </w:t>
      </w:r>
      <w:r>
        <w:rPr>
          <w:sz w:val="18"/>
          <w:szCs w:val="18"/>
          <w:lang w:val="es-ES_tradnl"/>
        </w:rPr>
        <w:t>el art</w:t>
      </w:r>
      <w:r>
        <w:rPr>
          <w:rFonts w:cs="Times New Roman"/>
          <w:sz w:val="18"/>
          <w:szCs w:val="18"/>
          <w:lang w:val="es-ES_tradnl"/>
        </w:rPr>
        <w:t>í</w:t>
      </w:r>
      <w:r>
        <w:rPr>
          <w:sz w:val="18"/>
          <w:szCs w:val="18"/>
          <w:lang w:val="es-ES_tradnl"/>
        </w:rPr>
        <w:t>culo 568 del C</w:t>
      </w:r>
      <w:r>
        <w:rPr>
          <w:rFonts w:cs="Times New Roman"/>
          <w:sz w:val="18"/>
          <w:szCs w:val="18"/>
          <w:lang w:val="es-ES_tradnl"/>
        </w:rPr>
        <w:t>ó</w:t>
      </w:r>
      <w:r>
        <w:rPr>
          <w:sz w:val="18"/>
          <w:szCs w:val="18"/>
          <w:lang w:val="es-ES_tradnl"/>
        </w:rPr>
        <w:t xml:space="preserve">digo de Trabajo y pretende de </w:t>
      </w:r>
      <w:r>
        <w:rPr>
          <w:spacing w:val="-3"/>
          <w:sz w:val="18"/>
          <w:szCs w:val="18"/>
          <w:lang w:val="es-ES_tradnl"/>
        </w:rPr>
        <w:t xml:space="preserve">forma improcedente, que la Corte Constitucional vuelva </w:t>
      </w:r>
      <w:r>
        <w:rPr>
          <w:spacing w:val="-6"/>
          <w:sz w:val="18"/>
          <w:szCs w:val="18"/>
          <w:lang w:val="es-ES_tradnl"/>
        </w:rPr>
        <w:t xml:space="preserve">a pronunciarse sobre aspectos que ya fueron materia de </w:t>
      </w:r>
      <w:r>
        <w:rPr>
          <w:spacing w:val="-4"/>
          <w:sz w:val="18"/>
          <w:szCs w:val="18"/>
          <w:lang w:val="es-ES_tradnl"/>
        </w:rPr>
        <w:t>an</w:t>
      </w:r>
      <w:r>
        <w:rPr>
          <w:rFonts w:cs="Times New Roman"/>
          <w:spacing w:val="-4"/>
          <w:sz w:val="18"/>
          <w:szCs w:val="18"/>
          <w:lang w:val="es-ES_tradnl"/>
        </w:rPr>
        <w:t>á</w:t>
      </w:r>
      <w:r>
        <w:rPr>
          <w:spacing w:val="-4"/>
          <w:sz w:val="18"/>
          <w:szCs w:val="18"/>
          <w:lang w:val="es-ES_tradnl"/>
        </w:rPr>
        <w:t>lisis en el juicio que origin</w:t>
      </w:r>
      <w:r>
        <w:rPr>
          <w:rFonts w:cs="Times New Roman"/>
          <w:spacing w:val="-4"/>
          <w:sz w:val="18"/>
          <w:szCs w:val="18"/>
          <w:lang w:val="es-ES_tradnl"/>
        </w:rPr>
        <w:t>ó</w:t>
      </w:r>
      <w:r>
        <w:rPr>
          <w:spacing w:val="-4"/>
          <w:sz w:val="18"/>
          <w:szCs w:val="18"/>
          <w:lang w:val="es-ES_tradnl"/>
        </w:rPr>
        <w:t xml:space="preserve"> las decisiones judiciales </w:t>
      </w:r>
      <w:r>
        <w:rPr>
          <w:sz w:val="18"/>
          <w:szCs w:val="18"/>
          <w:lang w:val="es-ES_tradnl"/>
        </w:rPr>
        <w:t>que ahora impugna.</w:t>
      </w:r>
    </w:p>
    <w:p w14:paraId="4F67B4EA" w14:textId="77777777" w:rsidR="00591D54" w:rsidRDefault="00591D54">
      <w:pPr>
        <w:shd w:val="clear" w:color="auto" w:fill="FFFFFF"/>
        <w:spacing w:before="202" w:line="221" w:lineRule="exact"/>
        <w:ind w:right="5"/>
        <w:jc w:val="both"/>
      </w:pPr>
      <w:r>
        <w:rPr>
          <w:spacing w:val="-7"/>
          <w:sz w:val="18"/>
          <w:szCs w:val="18"/>
          <w:lang w:val="es-ES_tradnl"/>
        </w:rPr>
        <w:t>En este sentido, arguye que no existe violaci</w:t>
      </w:r>
      <w:r>
        <w:rPr>
          <w:rFonts w:cs="Times New Roman"/>
          <w:spacing w:val="-7"/>
          <w:sz w:val="18"/>
          <w:szCs w:val="18"/>
          <w:lang w:val="es-ES_tradnl"/>
        </w:rPr>
        <w:t>ó</w:t>
      </w:r>
      <w:r>
        <w:rPr>
          <w:spacing w:val="-7"/>
          <w:sz w:val="18"/>
          <w:szCs w:val="18"/>
          <w:lang w:val="es-ES_tradnl"/>
        </w:rPr>
        <w:t xml:space="preserve">n al derecho </w:t>
      </w:r>
      <w:r>
        <w:rPr>
          <w:spacing w:val="-6"/>
          <w:sz w:val="18"/>
          <w:szCs w:val="18"/>
          <w:lang w:val="es-ES_tradnl"/>
        </w:rPr>
        <w:t xml:space="preserve">del juez natural, por cuanto la demanda en el proceso de </w:t>
      </w:r>
      <w:r>
        <w:rPr>
          <w:spacing w:val="-3"/>
          <w:sz w:val="18"/>
          <w:szCs w:val="18"/>
          <w:lang w:val="es-ES_tradnl"/>
        </w:rPr>
        <w:t>instancia, no ten</w:t>
      </w:r>
      <w:r>
        <w:rPr>
          <w:rFonts w:cs="Times New Roman"/>
          <w:spacing w:val="-3"/>
          <w:sz w:val="18"/>
          <w:szCs w:val="18"/>
          <w:lang w:val="es-ES_tradnl"/>
        </w:rPr>
        <w:t>í</w:t>
      </w:r>
      <w:r>
        <w:rPr>
          <w:spacing w:val="-3"/>
          <w:sz w:val="18"/>
          <w:szCs w:val="18"/>
          <w:lang w:val="es-ES_tradnl"/>
        </w:rPr>
        <w:t>a ni tuvo por finalidad discutir sobre la existencia o no de una relaci</w:t>
      </w:r>
      <w:r>
        <w:rPr>
          <w:rFonts w:cs="Times New Roman"/>
          <w:spacing w:val="-3"/>
          <w:sz w:val="18"/>
          <w:szCs w:val="18"/>
          <w:lang w:val="es-ES_tradnl"/>
        </w:rPr>
        <w:t>ó</w:t>
      </w:r>
      <w:r>
        <w:rPr>
          <w:spacing w:val="-3"/>
          <w:sz w:val="18"/>
          <w:szCs w:val="18"/>
          <w:lang w:val="es-ES_tradnl"/>
        </w:rPr>
        <w:t xml:space="preserve">n laboral, asunto que no </w:t>
      </w:r>
      <w:r>
        <w:rPr>
          <w:spacing w:val="-6"/>
          <w:sz w:val="18"/>
          <w:szCs w:val="18"/>
          <w:lang w:val="es-ES_tradnl"/>
        </w:rPr>
        <w:t xml:space="preserve">solo compete al juez civil, sino que, en todo caso, estaba </w:t>
      </w:r>
      <w:r>
        <w:rPr>
          <w:spacing w:val="-5"/>
          <w:sz w:val="18"/>
          <w:szCs w:val="18"/>
          <w:lang w:val="es-ES_tradnl"/>
        </w:rPr>
        <w:t xml:space="preserve">absolutamente probado en virtud de la existencia de un </w:t>
      </w:r>
      <w:r>
        <w:rPr>
          <w:spacing w:val="-7"/>
          <w:sz w:val="18"/>
          <w:szCs w:val="18"/>
          <w:lang w:val="es-ES_tradnl"/>
        </w:rPr>
        <w:t>contrato colectivo que creaba el beneficio econ</w:t>
      </w:r>
      <w:r>
        <w:rPr>
          <w:rFonts w:cs="Times New Roman"/>
          <w:spacing w:val="-7"/>
          <w:sz w:val="18"/>
          <w:szCs w:val="18"/>
          <w:lang w:val="es-ES_tradnl"/>
        </w:rPr>
        <w:t>ó</w:t>
      </w:r>
      <w:r>
        <w:rPr>
          <w:spacing w:val="-7"/>
          <w:sz w:val="18"/>
          <w:szCs w:val="18"/>
          <w:lang w:val="es-ES_tradnl"/>
        </w:rPr>
        <w:t>mico que EP Petroecuador reconoci</w:t>
      </w:r>
      <w:r>
        <w:rPr>
          <w:rFonts w:cs="Times New Roman"/>
          <w:spacing w:val="-7"/>
          <w:sz w:val="18"/>
          <w:szCs w:val="18"/>
          <w:lang w:val="es-ES_tradnl"/>
        </w:rPr>
        <w:t>ó</w:t>
      </w:r>
      <w:r>
        <w:rPr>
          <w:spacing w:val="-7"/>
          <w:sz w:val="18"/>
          <w:szCs w:val="18"/>
          <w:lang w:val="es-ES_tradnl"/>
        </w:rPr>
        <w:t xml:space="preserve"> a su favor por concepto de su </w:t>
      </w:r>
      <w:r>
        <w:rPr>
          <w:spacing w:val="-4"/>
          <w:sz w:val="18"/>
          <w:szCs w:val="18"/>
          <w:lang w:val="es-ES_tradnl"/>
        </w:rPr>
        <w:t>retiro voluntario. Por lo cual, su pretensi</w:t>
      </w:r>
      <w:r>
        <w:rPr>
          <w:rFonts w:cs="Times New Roman"/>
          <w:spacing w:val="-4"/>
          <w:sz w:val="18"/>
          <w:szCs w:val="18"/>
          <w:lang w:val="es-ES_tradnl"/>
        </w:rPr>
        <w:t>ó</w:t>
      </w:r>
      <w:r>
        <w:rPr>
          <w:spacing w:val="-4"/>
          <w:sz w:val="18"/>
          <w:szCs w:val="18"/>
          <w:lang w:val="es-ES_tradnl"/>
        </w:rPr>
        <w:t xml:space="preserve">n simplemente </w:t>
      </w:r>
      <w:r>
        <w:rPr>
          <w:spacing w:val="-2"/>
          <w:sz w:val="18"/>
          <w:szCs w:val="18"/>
          <w:lang w:val="es-ES_tradnl"/>
        </w:rPr>
        <w:t>se limitaba a exigir el cumplimiento de una obligaci</w:t>
      </w:r>
      <w:r>
        <w:rPr>
          <w:rFonts w:cs="Times New Roman"/>
          <w:spacing w:val="-2"/>
          <w:sz w:val="18"/>
          <w:szCs w:val="18"/>
          <w:lang w:val="es-ES_tradnl"/>
        </w:rPr>
        <w:t>ó</w:t>
      </w:r>
      <w:r>
        <w:rPr>
          <w:spacing w:val="-2"/>
          <w:sz w:val="18"/>
          <w:szCs w:val="18"/>
          <w:lang w:val="es-ES_tradnl"/>
        </w:rPr>
        <w:t xml:space="preserve">n </w:t>
      </w:r>
      <w:r>
        <w:rPr>
          <w:spacing w:val="-7"/>
          <w:sz w:val="18"/>
          <w:szCs w:val="18"/>
          <w:lang w:val="es-ES_tradnl"/>
        </w:rPr>
        <w:t>pendiente de pago contenida en un t</w:t>
      </w:r>
      <w:r>
        <w:rPr>
          <w:rFonts w:cs="Times New Roman"/>
          <w:spacing w:val="-7"/>
          <w:sz w:val="18"/>
          <w:szCs w:val="18"/>
          <w:lang w:val="es-ES_tradnl"/>
        </w:rPr>
        <w:t>í</w:t>
      </w:r>
      <w:r>
        <w:rPr>
          <w:spacing w:val="-7"/>
          <w:sz w:val="18"/>
          <w:szCs w:val="18"/>
          <w:lang w:val="es-ES_tradnl"/>
        </w:rPr>
        <w:t xml:space="preserve">tulo ejecutivo de este </w:t>
      </w:r>
      <w:r>
        <w:rPr>
          <w:spacing w:val="-1"/>
          <w:sz w:val="18"/>
          <w:szCs w:val="18"/>
          <w:lang w:val="es-ES_tradnl"/>
        </w:rPr>
        <w:t>modo, conforme lo dispone el art</w:t>
      </w:r>
      <w:r>
        <w:rPr>
          <w:rFonts w:cs="Times New Roman"/>
          <w:spacing w:val="-1"/>
          <w:sz w:val="18"/>
          <w:szCs w:val="18"/>
          <w:lang w:val="es-ES_tradnl"/>
        </w:rPr>
        <w:t>í</w:t>
      </w:r>
      <w:r>
        <w:rPr>
          <w:spacing w:val="-1"/>
          <w:sz w:val="18"/>
          <w:szCs w:val="18"/>
          <w:lang w:val="es-ES_tradnl"/>
        </w:rPr>
        <w:t>culo 413 del C</w:t>
      </w:r>
      <w:r>
        <w:rPr>
          <w:rFonts w:cs="Times New Roman"/>
          <w:spacing w:val="-1"/>
          <w:sz w:val="18"/>
          <w:szCs w:val="18"/>
          <w:lang w:val="es-ES_tradnl"/>
        </w:rPr>
        <w:t>ó</w:t>
      </w:r>
      <w:r>
        <w:rPr>
          <w:spacing w:val="-1"/>
          <w:sz w:val="18"/>
          <w:szCs w:val="18"/>
          <w:lang w:val="es-ES_tradnl"/>
        </w:rPr>
        <w:t xml:space="preserve">digo </w:t>
      </w:r>
      <w:r>
        <w:rPr>
          <w:spacing w:val="-4"/>
          <w:sz w:val="18"/>
          <w:szCs w:val="18"/>
          <w:lang w:val="es-ES_tradnl"/>
        </w:rPr>
        <w:t>de Procedimiento Civil, el juez sobre el cual reca</w:t>
      </w:r>
      <w:r>
        <w:rPr>
          <w:rFonts w:cs="Times New Roman"/>
          <w:spacing w:val="-4"/>
          <w:sz w:val="18"/>
          <w:szCs w:val="18"/>
          <w:lang w:val="es-ES_tradnl"/>
        </w:rPr>
        <w:t>í</w:t>
      </w:r>
      <w:r>
        <w:rPr>
          <w:spacing w:val="-4"/>
          <w:sz w:val="18"/>
          <w:szCs w:val="18"/>
          <w:lang w:val="es-ES_tradnl"/>
        </w:rPr>
        <w:t xml:space="preserve">a la </w:t>
      </w:r>
      <w:r>
        <w:rPr>
          <w:spacing w:val="-3"/>
          <w:sz w:val="18"/>
          <w:szCs w:val="18"/>
          <w:lang w:val="es-ES_tradnl"/>
        </w:rPr>
        <w:t>competencia en raz</w:t>
      </w:r>
      <w:r>
        <w:rPr>
          <w:rFonts w:cs="Times New Roman"/>
          <w:spacing w:val="-3"/>
          <w:sz w:val="18"/>
          <w:szCs w:val="18"/>
          <w:lang w:val="es-ES_tradnl"/>
        </w:rPr>
        <w:t>ó</w:t>
      </w:r>
      <w:r>
        <w:rPr>
          <w:spacing w:val="-3"/>
          <w:sz w:val="18"/>
          <w:szCs w:val="18"/>
          <w:lang w:val="es-ES_tradnl"/>
        </w:rPr>
        <w:t xml:space="preserve">n de la materia era el juez civil, no </w:t>
      </w:r>
      <w:r>
        <w:rPr>
          <w:sz w:val="18"/>
          <w:szCs w:val="18"/>
          <w:lang w:val="es-ES_tradnl"/>
        </w:rPr>
        <w:t>el juez laboral.</w:t>
      </w:r>
    </w:p>
    <w:p w14:paraId="4F67B4EB" w14:textId="77777777" w:rsidR="00591D54" w:rsidRDefault="00591D54">
      <w:pPr>
        <w:shd w:val="clear" w:color="auto" w:fill="FFFFFF"/>
        <w:spacing w:before="202" w:line="221" w:lineRule="exact"/>
        <w:ind w:right="10"/>
        <w:jc w:val="both"/>
      </w:pPr>
      <w:r>
        <w:rPr>
          <w:spacing w:val="-4"/>
          <w:sz w:val="18"/>
          <w:szCs w:val="18"/>
          <w:lang w:val="es-ES_tradnl"/>
        </w:rPr>
        <w:t xml:space="preserve">Por lo que concluye que los juzgadores civiles no han </w:t>
      </w:r>
      <w:r>
        <w:rPr>
          <w:sz w:val="18"/>
          <w:szCs w:val="18"/>
          <w:lang w:val="es-ES_tradnl"/>
        </w:rPr>
        <w:t xml:space="preserve">vulnerado el derecho al juez natural, pues como se </w:t>
      </w:r>
      <w:r>
        <w:rPr>
          <w:spacing w:val="-4"/>
          <w:sz w:val="18"/>
          <w:szCs w:val="18"/>
          <w:lang w:val="es-ES_tradnl"/>
        </w:rPr>
        <w:t xml:space="preserve">ha manifestado, tanto el juez de primer nivel como los </w:t>
      </w:r>
      <w:r>
        <w:rPr>
          <w:spacing w:val="-3"/>
          <w:sz w:val="18"/>
          <w:szCs w:val="18"/>
          <w:lang w:val="es-ES_tradnl"/>
        </w:rPr>
        <w:t xml:space="preserve">miembros de la Segunda Sala de lo Civil y Mercantil, Inquilinato y Materias Residuales de la Corte Provincial </w:t>
      </w:r>
      <w:r>
        <w:rPr>
          <w:spacing w:val="-7"/>
          <w:sz w:val="18"/>
          <w:szCs w:val="18"/>
          <w:lang w:val="es-ES_tradnl"/>
        </w:rPr>
        <w:t>de Justicia de Pichincha, eran competentes en raz</w:t>
      </w:r>
      <w:r>
        <w:rPr>
          <w:rFonts w:cs="Times New Roman"/>
          <w:spacing w:val="-7"/>
          <w:sz w:val="18"/>
          <w:szCs w:val="18"/>
          <w:lang w:val="es-ES_tradnl"/>
        </w:rPr>
        <w:t>ó</w:t>
      </w:r>
      <w:r>
        <w:rPr>
          <w:spacing w:val="-7"/>
          <w:sz w:val="18"/>
          <w:szCs w:val="18"/>
          <w:lang w:val="es-ES_tradnl"/>
        </w:rPr>
        <w:t xml:space="preserve">n de la </w:t>
      </w:r>
      <w:r>
        <w:rPr>
          <w:spacing w:val="-6"/>
          <w:sz w:val="18"/>
          <w:szCs w:val="18"/>
          <w:lang w:val="es-ES_tradnl"/>
        </w:rPr>
        <w:t>materia para conocer y resolver sobre su pretensi</w:t>
      </w:r>
      <w:r>
        <w:rPr>
          <w:rFonts w:cs="Times New Roman"/>
          <w:spacing w:val="-6"/>
          <w:sz w:val="18"/>
          <w:szCs w:val="18"/>
          <w:lang w:val="es-ES_tradnl"/>
        </w:rPr>
        <w:t>ó</w:t>
      </w:r>
      <w:r>
        <w:rPr>
          <w:spacing w:val="-6"/>
          <w:sz w:val="18"/>
          <w:szCs w:val="18"/>
          <w:lang w:val="es-ES_tradnl"/>
        </w:rPr>
        <w:t>n.</w:t>
      </w:r>
    </w:p>
    <w:p w14:paraId="4F67B4EC" w14:textId="77777777" w:rsidR="00591D54" w:rsidRDefault="00591D54">
      <w:pPr>
        <w:shd w:val="clear" w:color="auto" w:fill="FFFFFF"/>
        <w:spacing w:before="202" w:line="221" w:lineRule="exact"/>
        <w:jc w:val="both"/>
      </w:pPr>
      <w:r>
        <w:rPr>
          <w:spacing w:val="-9"/>
          <w:sz w:val="18"/>
          <w:szCs w:val="18"/>
          <w:lang w:val="es-ES_tradnl"/>
        </w:rPr>
        <w:t>Bajo este argumento, adem</w:t>
      </w:r>
      <w:r>
        <w:rPr>
          <w:rFonts w:cs="Times New Roman"/>
          <w:spacing w:val="-9"/>
          <w:sz w:val="18"/>
          <w:szCs w:val="18"/>
          <w:lang w:val="es-ES_tradnl"/>
        </w:rPr>
        <w:t>á</w:t>
      </w:r>
      <w:r>
        <w:rPr>
          <w:spacing w:val="-9"/>
          <w:sz w:val="18"/>
          <w:szCs w:val="18"/>
          <w:lang w:val="es-ES_tradnl"/>
        </w:rPr>
        <w:t xml:space="preserve">s, sostiene que los jueces que </w:t>
      </w:r>
      <w:r>
        <w:rPr>
          <w:spacing w:val="-4"/>
          <w:sz w:val="18"/>
          <w:szCs w:val="18"/>
          <w:lang w:val="es-ES_tradnl"/>
        </w:rPr>
        <w:t>resolvieron el recurso de apelaci</w:t>
      </w:r>
      <w:r>
        <w:rPr>
          <w:rFonts w:cs="Times New Roman"/>
          <w:spacing w:val="-4"/>
          <w:sz w:val="18"/>
          <w:szCs w:val="18"/>
          <w:lang w:val="es-ES_tradnl"/>
        </w:rPr>
        <w:t>ó</w:t>
      </w:r>
      <w:r>
        <w:rPr>
          <w:spacing w:val="-4"/>
          <w:sz w:val="18"/>
          <w:szCs w:val="18"/>
          <w:lang w:val="es-ES_tradnl"/>
        </w:rPr>
        <w:t xml:space="preserve">n interpuesto por EP </w:t>
      </w:r>
      <w:r>
        <w:rPr>
          <w:spacing w:val="-5"/>
          <w:sz w:val="18"/>
          <w:szCs w:val="18"/>
          <w:lang w:val="es-ES_tradnl"/>
        </w:rPr>
        <w:t>Petroecuador dentro del juicio ejecutivo que gener</w:t>
      </w:r>
      <w:r>
        <w:rPr>
          <w:rFonts w:cs="Times New Roman"/>
          <w:spacing w:val="-5"/>
          <w:sz w:val="18"/>
          <w:szCs w:val="18"/>
          <w:lang w:val="es-ES_tradnl"/>
        </w:rPr>
        <w:t>ó</w:t>
      </w:r>
      <w:r>
        <w:rPr>
          <w:spacing w:val="-5"/>
          <w:sz w:val="18"/>
          <w:szCs w:val="18"/>
          <w:lang w:val="es-ES_tradnl"/>
        </w:rPr>
        <w:t xml:space="preserve"> las </w:t>
      </w:r>
      <w:r>
        <w:rPr>
          <w:spacing w:val="-9"/>
          <w:sz w:val="18"/>
          <w:szCs w:val="18"/>
          <w:lang w:val="es-ES_tradnl"/>
        </w:rPr>
        <w:t>decisiones impugnadas, a trav</w:t>
      </w:r>
      <w:r>
        <w:rPr>
          <w:rFonts w:cs="Times New Roman"/>
          <w:spacing w:val="-9"/>
          <w:sz w:val="18"/>
          <w:szCs w:val="18"/>
          <w:lang w:val="es-ES_tradnl"/>
        </w:rPr>
        <w:t>é</w:t>
      </w:r>
      <w:r>
        <w:rPr>
          <w:spacing w:val="-9"/>
          <w:sz w:val="18"/>
          <w:szCs w:val="18"/>
          <w:lang w:val="es-ES_tradnl"/>
        </w:rPr>
        <w:t>s de esta acci</w:t>
      </w:r>
      <w:r>
        <w:rPr>
          <w:rFonts w:cs="Times New Roman"/>
          <w:spacing w:val="-9"/>
          <w:sz w:val="18"/>
          <w:szCs w:val="18"/>
          <w:lang w:val="es-ES_tradnl"/>
        </w:rPr>
        <w:t>ó</w:t>
      </w:r>
      <w:r>
        <w:rPr>
          <w:spacing w:val="-9"/>
          <w:sz w:val="18"/>
          <w:szCs w:val="18"/>
          <w:lang w:val="es-ES_tradnl"/>
        </w:rPr>
        <w:t xml:space="preserve">n, no vulnera </w:t>
      </w:r>
      <w:r>
        <w:rPr>
          <w:spacing w:val="-5"/>
          <w:sz w:val="18"/>
          <w:szCs w:val="18"/>
          <w:lang w:val="es-ES_tradnl"/>
        </w:rPr>
        <w:t>la seguridad jur</w:t>
      </w:r>
      <w:r>
        <w:rPr>
          <w:rFonts w:cs="Times New Roman"/>
          <w:spacing w:val="-5"/>
          <w:sz w:val="18"/>
          <w:szCs w:val="18"/>
          <w:lang w:val="es-ES_tradnl"/>
        </w:rPr>
        <w:t>í</w:t>
      </w:r>
      <w:r>
        <w:rPr>
          <w:spacing w:val="-5"/>
          <w:sz w:val="18"/>
          <w:szCs w:val="18"/>
          <w:lang w:val="es-ES_tradnl"/>
        </w:rPr>
        <w:t xml:space="preserve">dica, pues no excluye la certeza que los </w:t>
      </w:r>
      <w:r>
        <w:rPr>
          <w:spacing w:val="-7"/>
          <w:sz w:val="18"/>
          <w:szCs w:val="18"/>
          <w:lang w:val="es-ES_tradnl"/>
        </w:rPr>
        <w:t xml:space="preserve">participantes tienen en un proceso respecto de las normas </w:t>
      </w:r>
      <w:r>
        <w:rPr>
          <w:spacing w:val="-8"/>
          <w:sz w:val="18"/>
          <w:szCs w:val="18"/>
          <w:lang w:val="es-ES_tradnl"/>
        </w:rPr>
        <w:t>procesales y sustantivas aplicables en las causas.</w:t>
      </w:r>
    </w:p>
    <w:p w14:paraId="4F67B4ED" w14:textId="77777777" w:rsidR="00591D54" w:rsidRDefault="00591D54">
      <w:pPr>
        <w:shd w:val="clear" w:color="auto" w:fill="FFFFFF"/>
        <w:spacing w:before="202" w:line="221" w:lineRule="exact"/>
        <w:ind w:right="10"/>
        <w:jc w:val="both"/>
      </w:pPr>
      <w:r>
        <w:rPr>
          <w:spacing w:val="-5"/>
          <w:sz w:val="18"/>
          <w:szCs w:val="18"/>
          <w:lang w:val="es-ES_tradnl"/>
        </w:rPr>
        <w:t xml:space="preserve">Adicionalmente, establece que no existe una debida </w:t>
      </w:r>
      <w:r>
        <w:rPr>
          <w:spacing w:val="-8"/>
          <w:sz w:val="18"/>
          <w:szCs w:val="18"/>
          <w:lang w:val="es-ES_tradnl"/>
        </w:rPr>
        <w:t>argumentaci</w:t>
      </w:r>
      <w:r>
        <w:rPr>
          <w:rFonts w:cs="Times New Roman"/>
          <w:spacing w:val="-8"/>
          <w:sz w:val="18"/>
          <w:szCs w:val="18"/>
          <w:lang w:val="es-ES_tradnl"/>
        </w:rPr>
        <w:t>ó</w:t>
      </w:r>
      <w:r>
        <w:rPr>
          <w:spacing w:val="-8"/>
          <w:sz w:val="18"/>
          <w:szCs w:val="18"/>
          <w:lang w:val="es-ES_tradnl"/>
        </w:rPr>
        <w:t xml:space="preserve">n respecto de los derechos vulnerados, por lo que manifiesta que la demanda es inadmisible, solicitando </w:t>
      </w:r>
      <w:r>
        <w:rPr>
          <w:spacing w:val="-5"/>
          <w:sz w:val="18"/>
          <w:szCs w:val="18"/>
          <w:lang w:val="es-ES_tradnl"/>
        </w:rPr>
        <w:t>que se rechace la acci</w:t>
      </w:r>
      <w:r>
        <w:rPr>
          <w:rFonts w:cs="Times New Roman"/>
          <w:spacing w:val="-5"/>
          <w:sz w:val="18"/>
          <w:szCs w:val="18"/>
          <w:lang w:val="es-ES_tradnl"/>
        </w:rPr>
        <w:t>ó</w:t>
      </w:r>
      <w:r>
        <w:rPr>
          <w:spacing w:val="-5"/>
          <w:sz w:val="18"/>
          <w:szCs w:val="18"/>
          <w:lang w:val="es-ES_tradnl"/>
        </w:rPr>
        <w:t>n extraordinaria de protecci</w:t>
      </w:r>
      <w:r>
        <w:rPr>
          <w:rFonts w:cs="Times New Roman"/>
          <w:spacing w:val="-5"/>
          <w:sz w:val="18"/>
          <w:szCs w:val="18"/>
          <w:lang w:val="es-ES_tradnl"/>
        </w:rPr>
        <w:t>ó</w:t>
      </w:r>
      <w:r>
        <w:rPr>
          <w:spacing w:val="-5"/>
          <w:sz w:val="18"/>
          <w:szCs w:val="18"/>
          <w:lang w:val="es-ES_tradnl"/>
        </w:rPr>
        <w:t xml:space="preserve">n </w:t>
      </w:r>
      <w:r>
        <w:rPr>
          <w:sz w:val="18"/>
          <w:szCs w:val="18"/>
          <w:lang w:val="es-ES_tradnl"/>
        </w:rPr>
        <w:t>propuesta.</w:t>
      </w:r>
    </w:p>
    <w:p w14:paraId="4F67B4EE" w14:textId="77777777" w:rsidR="00591D54" w:rsidRDefault="00591D54">
      <w:pPr>
        <w:shd w:val="clear" w:color="auto" w:fill="FFFFFF"/>
        <w:spacing w:before="202" w:line="221" w:lineRule="exact"/>
        <w:ind w:right="10"/>
        <w:jc w:val="both"/>
      </w:pPr>
      <w:r>
        <w:rPr>
          <w:b/>
          <w:bCs/>
          <w:spacing w:val="-4"/>
          <w:sz w:val="18"/>
          <w:szCs w:val="18"/>
          <w:lang w:val="es-ES_tradnl"/>
        </w:rPr>
        <w:t xml:space="preserve">A fs. 17 comparece el abogado Marcos Arteaga </w:t>
      </w:r>
      <w:r>
        <w:rPr>
          <w:b/>
          <w:bCs/>
          <w:spacing w:val="-6"/>
          <w:sz w:val="18"/>
          <w:szCs w:val="18"/>
          <w:lang w:val="es-ES_tradnl"/>
        </w:rPr>
        <w:t xml:space="preserve">Valenzuela en su calidad de director nacional de </w:t>
      </w:r>
      <w:r>
        <w:rPr>
          <w:b/>
          <w:bCs/>
          <w:spacing w:val="-2"/>
          <w:sz w:val="18"/>
          <w:szCs w:val="18"/>
          <w:lang w:val="es-ES_tradnl"/>
        </w:rPr>
        <w:t xml:space="preserve">Patrocinio, delegado del procurador general del </w:t>
      </w:r>
      <w:r>
        <w:rPr>
          <w:b/>
          <w:bCs/>
          <w:sz w:val="18"/>
          <w:szCs w:val="18"/>
          <w:lang w:val="es-ES_tradnl"/>
        </w:rPr>
        <w:t>Estado, y determina:</w:t>
      </w:r>
    </w:p>
    <w:p w14:paraId="4F67B4EF" w14:textId="77777777" w:rsidR="00591D54" w:rsidRDefault="00591D54">
      <w:pPr>
        <w:shd w:val="clear" w:color="auto" w:fill="FFFFFF"/>
        <w:spacing w:before="202" w:line="221" w:lineRule="exact"/>
        <w:ind w:right="10"/>
        <w:jc w:val="both"/>
      </w:pPr>
      <w:r>
        <w:rPr>
          <w:spacing w:val="-4"/>
          <w:sz w:val="18"/>
          <w:szCs w:val="18"/>
          <w:lang w:val="es-ES_tradnl"/>
        </w:rPr>
        <w:t>Que notificaciones posteriores las recibir</w:t>
      </w:r>
      <w:r>
        <w:rPr>
          <w:rFonts w:cs="Times New Roman"/>
          <w:spacing w:val="-4"/>
          <w:sz w:val="18"/>
          <w:szCs w:val="18"/>
          <w:lang w:val="es-ES_tradnl"/>
        </w:rPr>
        <w:t>á</w:t>
      </w:r>
      <w:r>
        <w:rPr>
          <w:spacing w:val="-4"/>
          <w:sz w:val="18"/>
          <w:szCs w:val="18"/>
          <w:lang w:val="es-ES_tradnl"/>
        </w:rPr>
        <w:t xml:space="preserve"> en la casilla </w:t>
      </w:r>
      <w:r>
        <w:rPr>
          <w:sz w:val="18"/>
          <w:szCs w:val="18"/>
          <w:lang w:val="es-ES_tradnl"/>
        </w:rPr>
        <w:t>constitucional N.</w:t>
      </w:r>
      <w:r>
        <w:rPr>
          <w:rFonts w:cs="Times New Roman"/>
          <w:sz w:val="18"/>
          <w:szCs w:val="18"/>
          <w:lang w:val="es-ES_tradnl"/>
        </w:rPr>
        <w:t>º</w:t>
      </w:r>
      <w:r>
        <w:rPr>
          <w:sz w:val="18"/>
          <w:szCs w:val="18"/>
          <w:lang w:val="es-ES_tradnl"/>
        </w:rPr>
        <w:t xml:space="preserve"> 18.</w:t>
      </w:r>
    </w:p>
    <w:p w14:paraId="4F67B4F0" w14:textId="77777777" w:rsidR="00591D54" w:rsidRDefault="00591D54">
      <w:pPr>
        <w:shd w:val="clear" w:color="auto" w:fill="FFFFFF"/>
        <w:spacing w:before="202" w:line="221" w:lineRule="exact"/>
        <w:ind w:right="10"/>
        <w:jc w:val="both"/>
        <w:sectPr w:rsidR="00591D54">
          <w:type w:val="continuous"/>
          <w:pgSz w:w="11909" w:h="16834"/>
          <w:pgMar w:top="1378" w:right="1299" w:bottom="360" w:left="1308" w:header="720" w:footer="720" w:gutter="0"/>
          <w:cols w:num="2" w:space="720" w:equalWidth="0">
            <w:col w:w="4305" w:space="682"/>
            <w:col w:w="4315"/>
          </w:cols>
          <w:noEndnote/>
        </w:sectPr>
      </w:pPr>
    </w:p>
    <w:p w14:paraId="4F67B4F1" w14:textId="77777777" w:rsidR="00591D54" w:rsidRDefault="00591D54">
      <w:pPr>
        <w:shd w:val="clear" w:color="auto" w:fill="FFFFFF"/>
        <w:tabs>
          <w:tab w:val="left" w:pos="4814"/>
        </w:tabs>
        <w:spacing w:after="226"/>
        <w:ind w:left="5"/>
      </w:pPr>
      <w:r>
        <w:rPr>
          <w:b/>
          <w:bCs/>
          <w:sz w:val="18"/>
          <w:szCs w:val="18"/>
          <w:lang w:val="es-ES_tradnl"/>
        </w:rPr>
        <w:t xml:space="preserve">214 -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4F2" w14:textId="77777777" w:rsidR="00591D54" w:rsidRDefault="00591D54">
      <w:pPr>
        <w:shd w:val="clear" w:color="auto" w:fill="FFFFFF"/>
        <w:tabs>
          <w:tab w:val="left" w:pos="4814"/>
        </w:tabs>
        <w:spacing w:after="226"/>
        <w:ind w:left="5"/>
        <w:sectPr w:rsidR="00591D54">
          <w:pgSz w:w="11909" w:h="16834"/>
          <w:pgMar w:top="1368" w:right="1299" w:bottom="360" w:left="1308" w:header="720" w:footer="720" w:gutter="0"/>
          <w:cols w:space="60"/>
          <w:noEndnote/>
        </w:sectPr>
      </w:pPr>
    </w:p>
    <w:p w14:paraId="4F67B4F3" w14:textId="77777777" w:rsidR="00591D54" w:rsidRDefault="00591D54">
      <w:pPr>
        <w:shd w:val="clear" w:color="auto" w:fill="FFFFFF"/>
        <w:spacing w:line="216" w:lineRule="exact"/>
        <w:ind w:left="686" w:right="326" w:hanging="355"/>
      </w:pPr>
      <w:r>
        <w:rPr>
          <w:b/>
          <w:bCs/>
          <w:spacing w:val="-1"/>
          <w:sz w:val="18"/>
          <w:szCs w:val="18"/>
          <w:lang w:val="es-ES_tradnl"/>
        </w:rPr>
        <w:t xml:space="preserve">II. CONSIDERACIONES Y FUNDAMENTOS </w:t>
      </w:r>
      <w:r>
        <w:rPr>
          <w:b/>
          <w:bCs/>
          <w:sz w:val="18"/>
          <w:szCs w:val="18"/>
          <w:lang w:val="es-ES_tradnl"/>
        </w:rPr>
        <w:t>DE LA CORTE CONSTITUCIONAL</w:t>
      </w:r>
    </w:p>
    <w:p w14:paraId="4F67B4F4" w14:textId="77777777" w:rsidR="00591D54" w:rsidRDefault="00591D54">
      <w:pPr>
        <w:shd w:val="clear" w:color="auto" w:fill="FFFFFF"/>
        <w:spacing w:before="192"/>
      </w:pPr>
      <w:r>
        <w:rPr>
          <w:b/>
          <w:bCs/>
          <w:spacing w:val="-11"/>
          <w:sz w:val="18"/>
          <w:szCs w:val="18"/>
          <w:lang w:val="es-ES_tradnl"/>
        </w:rPr>
        <w:t>Competencia</w:t>
      </w:r>
    </w:p>
    <w:p w14:paraId="4F67B4F5" w14:textId="77777777" w:rsidR="00591D54" w:rsidRDefault="00591D54">
      <w:pPr>
        <w:shd w:val="clear" w:color="auto" w:fill="FFFFFF"/>
        <w:spacing w:before="197" w:line="216" w:lineRule="exact"/>
        <w:jc w:val="both"/>
      </w:pPr>
      <w:r>
        <w:rPr>
          <w:spacing w:val="-7"/>
          <w:sz w:val="18"/>
          <w:szCs w:val="18"/>
          <w:lang w:val="es-ES_tradnl"/>
        </w:rPr>
        <w:t>El Pleno de la Corte Constitucional, seg</w:t>
      </w:r>
      <w:r>
        <w:rPr>
          <w:rFonts w:cs="Times New Roman"/>
          <w:spacing w:val="-7"/>
          <w:sz w:val="18"/>
          <w:szCs w:val="18"/>
          <w:lang w:val="es-ES_tradnl"/>
        </w:rPr>
        <w:t>ú</w:t>
      </w:r>
      <w:r>
        <w:rPr>
          <w:spacing w:val="-7"/>
          <w:sz w:val="18"/>
          <w:szCs w:val="18"/>
          <w:lang w:val="es-ES_tradnl"/>
        </w:rPr>
        <w:t xml:space="preserve">n las atribuciones </w:t>
      </w:r>
      <w:r>
        <w:rPr>
          <w:spacing w:val="-8"/>
          <w:sz w:val="18"/>
          <w:szCs w:val="18"/>
          <w:lang w:val="es-ES_tradnl"/>
        </w:rPr>
        <w:t>establecidas en los art</w:t>
      </w:r>
      <w:r>
        <w:rPr>
          <w:rFonts w:cs="Times New Roman"/>
          <w:spacing w:val="-8"/>
          <w:sz w:val="18"/>
          <w:szCs w:val="18"/>
          <w:lang w:val="es-ES_tradnl"/>
        </w:rPr>
        <w:t>í</w:t>
      </w:r>
      <w:r>
        <w:rPr>
          <w:spacing w:val="-8"/>
          <w:sz w:val="18"/>
          <w:szCs w:val="18"/>
          <w:lang w:val="es-ES_tradnl"/>
        </w:rPr>
        <w:t>culos 94 y 437 de la Constituci</w:t>
      </w:r>
      <w:r>
        <w:rPr>
          <w:rFonts w:cs="Times New Roman"/>
          <w:spacing w:val="-8"/>
          <w:sz w:val="18"/>
          <w:szCs w:val="18"/>
          <w:lang w:val="es-ES_tradnl"/>
        </w:rPr>
        <w:t>ó</w:t>
      </w:r>
      <w:r>
        <w:rPr>
          <w:spacing w:val="-8"/>
          <w:sz w:val="18"/>
          <w:szCs w:val="18"/>
          <w:lang w:val="es-ES_tradnl"/>
        </w:rPr>
        <w:t xml:space="preserve">n de </w:t>
      </w:r>
      <w:r>
        <w:rPr>
          <w:spacing w:val="-5"/>
          <w:sz w:val="18"/>
          <w:szCs w:val="18"/>
          <w:lang w:val="es-ES_tradnl"/>
        </w:rPr>
        <w:t>la Rep</w:t>
      </w:r>
      <w:r>
        <w:rPr>
          <w:rFonts w:cs="Times New Roman"/>
          <w:spacing w:val="-5"/>
          <w:sz w:val="18"/>
          <w:szCs w:val="18"/>
          <w:lang w:val="es-ES_tradnl"/>
        </w:rPr>
        <w:t>ú</w:t>
      </w:r>
      <w:r>
        <w:rPr>
          <w:spacing w:val="-5"/>
          <w:sz w:val="18"/>
          <w:szCs w:val="18"/>
          <w:lang w:val="es-ES_tradnl"/>
        </w:rPr>
        <w:t>blica, art</w:t>
      </w:r>
      <w:r>
        <w:rPr>
          <w:rFonts w:cs="Times New Roman"/>
          <w:spacing w:val="-5"/>
          <w:sz w:val="18"/>
          <w:szCs w:val="18"/>
          <w:lang w:val="es-ES_tradnl"/>
        </w:rPr>
        <w:t>í</w:t>
      </w:r>
      <w:r>
        <w:rPr>
          <w:spacing w:val="-5"/>
          <w:sz w:val="18"/>
          <w:szCs w:val="18"/>
          <w:lang w:val="es-ES_tradnl"/>
        </w:rPr>
        <w:t>culo 58 y siguientes de la Ley Org</w:t>
      </w:r>
      <w:r>
        <w:rPr>
          <w:rFonts w:cs="Times New Roman"/>
          <w:spacing w:val="-5"/>
          <w:sz w:val="18"/>
          <w:szCs w:val="18"/>
          <w:lang w:val="es-ES_tradnl"/>
        </w:rPr>
        <w:t>á</w:t>
      </w:r>
      <w:r>
        <w:rPr>
          <w:spacing w:val="-5"/>
          <w:sz w:val="18"/>
          <w:szCs w:val="18"/>
          <w:lang w:val="es-ES_tradnl"/>
        </w:rPr>
        <w:t xml:space="preserve">nica </w:t>
      </w:r>
      <w:r>
        <w:rPr>
          <w:spacing w:val="-6"/>
          <w:sz w:val="18"/>
          <w:szCs w:val="18"/>
          <w:lang w:val="es-ES_tradnl"/>
        </w:rPr>
        <w:t>de Garant</w:t>
      </w:r>
      <w:r>
        <w:rPr>
          <w:rFonts w:cs="Times New Roman"/>
          <w:spacing w:val="-6"/>
          <w:sz w:val="18"/>
          <w:szCs w:val="18"/>
          <w:lang w:val="es-ES_tradnl"/>
        </w:rPr>
        <w:t>í</w:t>
      </w:r>
      <w:r>
        <w:rPr>
          <w:spacing w:val="-6"/>
          <w:sz w:val="18"/>
          <w:szCs w:val="18"/>
          <w:lang w:val="es-ES_tradnl"/>
        </w:rPr>
        <w:t xml:space="preserve">as Jurisdiccionales y Control Constitucional y </w:t>
      </w:r>
      <w:r>
        <w:rPr>
          <w:spacing w:val="-7"/>
          <w:sz w:val="18"/>
          <w:szCs w:val="18"/>
          <w:lang w:val="es-ES_tradnl"/>
        </w:rPr>
        <w:t>art</w:t>
      </w:r>
      <w:r>
        <w:rPr>
          <w:rFonts w:cs="Times New Roman"/>
          <w:spacing w:val="-7"/>
          <w:sz w:val="18"/>
          <w:szCs w:val="18"/>
          <w:lang w:val="es-ES_tradnl"/>
        </w:rPr>
        <w:t>í</w:t>
      </w:r>
      <w:r>
        <w:rPr>
          <w:spacing w:val="-7"/>
          <w:sz w:val="18"/>
          <w:szCs w:val="18"/>
          <w:lang w:val="es-ES_tradnl"/>
        </w:rPr>
        <w:t>culo 35 del Reglamento de Sustanciaci</w:t>
      </w:r>
      <w:r>
        <w:rPr>
          <w:rFonts w:cs="Times New Roman"/>
          <w:spacing w:val="-7"/>
          <w:sz w:val="18"/>
          <w:szCs w:val="18"/>
          <w:lang w:val="es-ES_tradnl"/>
        </w:rPr>
        <w:t>ó</w:t>
      </w:r>
      <w:r>
        <w:rPr>
          <w:spacing w:val="-7"/>
          <w:sz w:val="18"/>
          <w:szCs w:val="18"/>
          <w:lang w:val="es-ES_tradnl"/>
        </w:rPr>
        <w:t xml:space="preserve">n de Procesos </w:t>
      </w:r>
      <w:r>
        <w:rPr>
          <w:spacing w:val="-8"/>
          <w:sz w:val="18"/>
          <w:szCs w:val="18"/>
          <w:lang w:val="es-ES_tradnl"/>
        </w:rPr>
        <w:t>de Competencia de la Corte Constitucional, es competente para conocer y pronunciarse sobre la acci</w:t>
      </w:r>
      <w:r>
        <w:rPr>
          <w:rFonts w:cs="Times New Roman"/>
          <w:spacing w:val="-8"/>
          <w:sz w:val="18"/>
          <w:szCs w:val="18"/>
          <w:lang w:val="es-ES_tradnl"/>
        </w:rPr>
        <w:t>ó</w:t>
      </w:r>
      <w:r>
        <w:rPr>
          <w:spacing w:val="-8"/>
          <w:sz w:val="18"/>
          <w:szCs w:val="18"/>
          <w:lang w:val="es-ES_tradnl"/>
        </w:rPr>
        <w:t xml:space="preserve">n extraordinaria </w:t>
      </w:r>
      <w:r>
        <w:rPr>
          <w:spacing w:val="-9"/>
          <w:sz w:val="18"/>
          <w:szCs w:val="18"/>
          <w:lang w:val="es-ES_tradnl"/>
        </w:rPr>
        <w:t>de protecci</w:t>
      </w:r>
      <w:r>
        <w:rPr>
          <w:rFonts w:cs="Times New Roman"/>
          <w:spacing w:val="-9"/>
          <w:sz w:val="18"/>
          <w:szCs w:val="18"/>
          <w:lang w:val="es-ES_tradnl"/>
        </w:rPr>
        <w:t>ó</w:t>
      </w:r>
      <w:r>
        <w:rPr>
          <w:spacing w:val="-9"/>
          <w:sz w:val="18"/>
          <w:szCs w:val="18"/>
          <w:lang w:val="es-ES_tradnl"/>
        </w:rPr>
        <w:t>n, contenida en el proceso N.</w:t>
      </w:r>
      <w:r>
        <w:rPr>
          <w:rFonts w:cs="Times New Roman"/>
          <w:spacing w:val="-9"/>
          <w:sz w:val="18"/>
          <w:szCs w:val="18"/>
          <w:lang w:val="es-ES_tradnl"/>
        </w:rPr>
        <w:t>º</w:t>
      </w:r>
      <w:r>
        <w:rPr>
          <w:spacing w:val="-9"/>
          <w:sz w:val="18"/>
          <w:szCs w:val="18"/>
          <w:lang w:val="es-ES_tradnl"/>
        </w:rPr>
        <w:t xml:space="preserve"> 1656-10-EP, con </w:t>
      </w:r>
      <w:r>
        <w:rPr>
          <w:spacing w:val="-8"/>
          <w:sz w:val="18"/>
          <w:szCs w:val="18"/>
          <w:lang w:val="es-ES_tradnl"/>
        </w:rPr>
        <w:t xml:space="preserve">el fin de establecer si la sentencia del 01 de septiembre de 2010 a las 15h19 y del auto dictado el 29 de septiembre de </w:t>
      </w:r>
      <w:r>
        <w:rPr>
          <w:spacing w:val="-6"/>
          <w:sz w:val="18"/>
          <w:szCs w:val="18"/>
          <w:lang w:val="es-ES_tradnl"/>
        </w:rPr>
        <w:t xml:space="preserve">2010, emitidos por la Segunda Sala de lo Civil, Mercantil, </w:t>
      </w:r>
      <w:r>
        <w:rPr>
          <w:spacing w:val="-3"/>
          <w:sz w:val="18"/>
          <w:szCs w:val="18"/>
          <w:lang w:val="es-ES_tradnl"/>
        </w:rPr>
        <w:t xml:space="preserve">Inquilinato y Materias Residuales de la Corte Provincial </w:t>
      </w:r>
      <w:r>
        <w:rPr>
          <w:spacing w:val="-8"/>
          <w:sz w:val="18"/>
          <w:szCs w:val="18"/>
          <w:lang w:val="es-ES_tradnl"/>
        </w:rPr>
        <w:t>de Justicia de Pichincha, dentro del proceso ejecutivo 358-</w:t>
      </w:r>
      <w:r>
        <w:rPr>
          <w:spacing w:val="-9"/>
          <w:sz w:val="18"/>
          <w:szCs w:val="18"/>
          <w:lang w:val="es-ES_tradnl"/>
        </w:rPr>
        <w:t>2010, ha vulnerado o no los derechos alegados.</w:t>
      </w:r>
    </w:p>
    <w:p w14:paraId="4F67B4F6" w14:textId="77777777" w:rsidR="00591D54" w:rsidRDefault="00591D54">
      <w:pPr>
        <w:shd w:val="clear" w:color="auto" w:fill="FFFFFF"/>
        <w:spacing w:before="192"/>
      </w:pPr>
      <w:r>
        <w:rPr>
          <w:b/>
          <w:bCs/>
          <w:spacing w:val="-8"/>
          <w:sz w:val="18"/>
          <w:szCs w:val="18"/>
          <w:lang w:val="es-ES_tradnl"/>
        </w:rPr>
        <w:t>Legitimaci</w:t>
      </w:r>
      <w:r>
        <w:rPr>
          <w:rFonts w:cs="Times New Roman"/>
          <w:b/>
          <w:bCs/>
          <w:spacing w:val="-8"/>
          <w:sz w:val="18"/>
          <w:szCs w:val="18"/>
          <w:lang w:val="es-ES_tradnl"/>
        </w:rPr>
        <w:t>ó</w:t>
      </w:r>
      <w:r>
        <w:rPr>
          <w:b/>
          <w:bCs/>
          <w:spacing w:val="-8"/>
          <w:sz w:val="18"/>
          <w:szCs w:val="18"/>
          <w:lang w:val="es-ES_tradnl"/>
        </w:rPr>
        <w:t>n activa</w:t>
      </w:r>
    </w:p>
    <w:p w14:paraId="4F67B4F7" w14:textId="77777777" w:rsidR="00591D54" w:rsidRDefault="00591D54">
      <w:pPr>
        <w:shd w:val="clear" w:color="auto" w:fill="FFFFFF"/>
        <w:spacing w:before="197" w:line="216" w:lineRule="exact"/>
        <w:ind w:right="5"/>
        <w:jc w:val="both"/>
      </w:pPr>
      <w:r>
        <w:rPr>
          <w:spacing w:val="-8"/>
          <w:sz w:val="18"/>
          <w:szCs w:val="18"/>
          <w:lang w:val="es-ES_tradnl"/>
        </w:rPr>
        <w:t xml:space="preserve">El peticionario se encuentra legitimado para presentar esta </w:t>
      </w:r>
      <w:r>
        <w:rPr>
          <w:spacing w:val="-4"/>
          <w:sz w:val="18"/>
          <w:szCs w:val="18"/>
          <w:lang w:val="es-ES_tradnl"/>
        </w:rPr>
        <w:t>acci</w:t>
      </w:r>
      <w:r>
        <w:rPr>
          <w:rFonts w:cs="Times New Roman"/>
          <w:spacing w:val="-4"/>
          <w:sz w:val="18"/>
          <w:szCs w:val="18"/>
          <w:lang w:val="es-ES_tradnl"/>
        </w:rPr>
        <w:t>ó</w:t>
      </w:r>
      <w:r>
        <w:rPr>
          <w:spacing w:val="-4"/>
          <w:sz w:val="18"/>
          <w:szCs w:val="18"/>
          <w:lang w:val="es-ES_tradnl"/>
        </w:rPr>
        <w:t>n extraordinaria de protecci</w:t>
      </w:r>
      <w:r>
        <w:rPr>
          <w:rFonts w:cs="Times New Roman"/>
          <w:spacing w:val="-4"/>
          <w:sz w:val="18"/>
          <w:szCs w:val="18"/>
          <w:lang w:val="es-ES_tradnl"/>
        </w:rPr>
        <w:t>ó</w:t>
      </w:r>
      <w:r>
        <w:rPr>
          <w:spacing w:val="-4"/>
          <w:sz w:val="18"/>
          <w:szCs w:val="18"/>
          <w:lang w:val="es-ES_tradnl"/>
        </w:rPr>
        <w:t xml:space="preserve">n en virtud de cumplir </w:t>
      </w:r>
      <w:r>
        <w:rPr>
          <w:spacing w:val="-5"/>
          <w:sz w:val="18"/>
          <w:szCs w:val="18"/>
          <w:lang w:val="es-ES_tradnl"/>
        </w:rPr>
        <w:t>con los requerimientos establecidos en el art</w:t>
      </w:r>
      <w:r>
        <w:rPr>
          <w:rFonts w:cs="Times New Roman"/>
          <w:spacing w:val="-5"/>
          <w:sz w:val="18"/>
          <w:szCs w:val="18"/>
          <w:lang w:val="es-ES_tradnl"/>
        </w:rPr>
        <w:t>í</w:t>
      </w:r>
      <w:r>
        <w:rPr>
          <w:spacing w:val="-5"/>
          <w:sz w:val="18"/>
          <w:szCs w:val="18"/>
          <w:lang w:val="es-ES_tradnl"/>
        </w:rPr>
        <w:t xml:space="preserve">culo 437 de </w:t>
      </w:r>
      <w:r>
        <w:rPr>
          <w:sz w:val="18"/>
          <w:szCs w:val="18"/>
          <w:lang w:val="es-ES_tradnl"/>
        </w:rPr>
        <w:t>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 xml:space="preserve">blica y de conformidad con </w:t>
      </w:r>
      <w:r>
        <w:rPr>
          <w:spacing w:val="-7"/>
          <w:sz w:val="18"/>
          <w:szCs w:val="18"/>
          <w:lang w:val="es-ES_tradnl"/>
        </w:rPr>
        <w:t>el art</w:t>
      </w:r>
      <w:r>
        <w:rPr>
          <w:rFonts w:cs="Times New Roman"/>
          <w:spacing w:val="-7"/>
          <w:sz w:val="18"/>
          <w:szCs w:val="18"/>
          <w:lang w:val="es-ES_tradnl"/>
        </w:rPr>
        <w:t>í</w:t>
      </w:r>
      <w:r>
        <w:rPr>
          <w:spacing w:val="-7"/>
          <w:sz w:val="18"/>
          <w:szCs w:val="18"/>
          <w:lang w:val="es-ES_tradnl"/>
        </w:rPr>
        <w:t>culo 439 ib</w:t>
      </w:r>
      <w:r>
        <w:rPr>
          <w:rFonts w:cs="Times New Roman"/>
          <w:spacing w:val="-7"/>
          <w:sz w:val="18"/>
          <w:szCs w:val="18"/>
          <w:lang w:val="es-ES_tradnl"/>
        </w:rPr>
        <w:t>í</w:t>
      </w:r>
      <w:r>
        <w:rPr>
          <w:spacing w:val="-7"/>
          <w:sz w:val="18"/>
          <w:szCs w:val="18"/>
          <w:lang w:val="es-ES_tradnl"/>
        </w:rPr>
        <w:t>dem, que establece que las acciones constitucionales podr</w:t>
      </w:r>
      <w:r>
        <w:rPr>
          <w:rFonts w:cs="Times New Roman"/>
          <w:spacing w:val="-7"/>
          <w:sz w:val="18"/>
          <w:szCs w:val="18"/>
          <w:lang w:val="es-ES_tradnl"/>
        </w:rPr>
        <w:t>á</w:t>
      </w:r>
      <w:r>
        <w:rPr>
          <w:spacing w:val="-7"/>
          <w:sz w:val="18"/>
          <w:szCs w:val="18"/>
          <w:lang w:val="es-ES_tradnl"/>
        </w:rPr>
        <w:t xml:space="preserve">n ser presentadas por cualquier </w:t>
      </w:r>
      <w:r>
        <w:rPr>
          <w:spacing w:val="-6"/>
          <w:sz w:val="18"/>
          <w:szCs w:val="18"/>
          <w:lang w:val="es-ES_tradnl"/>
        </w:rPr>
        <w:t>ciudadana o ciudadano, individual o colectivamente, en concordancia con el art</w:t>
      </w:r>
      <w:r>
        <w:rPr>
          <w:rFonts w:cs="Times New Roman"/>
          <w:spacing w:val="-6"/>
          <w:sz w:val="18"/>
          <w:szCs w:val="18"/>
          <w:lang w:val="es-ES_tradnl"/>
        </w:rPr>
        <w:t>í</w:t>
      </w:r>
      <w:r>
        <w:rPr>
          <w:spacing w:val="-6"/>
          <w:sz w:val="18"/>
          <w:szCs w:val="18"/>
          <w:lang w:val="es-ES_tradnl"/>
        </w:rPr>
        <w:t>culo 59 de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as Jurisdiccionales y Control Constitucional.</w:t>
      </w:r>
    </w:p>
    <w:p w14:paraId="4F67B4F8" w14:textId="77777777" w:rsidR="00591D54" w:rsidRDefault="00591D54">
      <w:pPr>
        <w:shd w:val="clear" w:color="auto" w:fill="FFFFFF"/>
        <w:spacing w:before="192" w:line="216" w:lineRule="exact"/>
        <w:ind w:right="5"/>
        <w:jc w:val="both"/>
      </w:pPr>
      <w:r>
        <w:rPr>
          <w:b/>
          <w:bCs/>
          <w:spacing w:val="-5"/>
          <w:sz w:val="18"/>
          <w:szCs w:val="18"/>
          <w:lang w:val="es-ES_tradnl"/>
        </w:rPr>
        <w:t>Naturaleza jur</w:t>
      </w:r>
      <w:r>
        <w:rPr>
          <w:rFonts w:cs="Times New Roman"/>
          <w:b/>
          <w:bCs/>
          <w:spacing w:val="-5"/>
          <w:sz w:val="18"/>
          <w:szCs w:val="18"/>
          <w:lang w:val="es-ES_tradnl"/>
        </w:rPr>
        <w:t>í</w:t>
      </w:r>
      <w:r>
        <w:rPr>
          <w:b/>
          <w:bCs/>
          <w:spacing w:val="-5"/>
          <w:sz w:val="18"/>
          <w:szCs w:val="18"/>
          <w:lang w:val="es-ES_tradnl"/>
        </w:rPr>
        <w:t>dica de la acci</w:t>
      </w:r>
      <w:r>
        <w:rPr>
          <w:rFonts w:cs="Times New Roman"/>
          <w:b/>
          <w:bCs/>
          <w:spacing w:val="-5"/>
          <w:sz w:val="18"/>
          <w:szCs w:val="18"/>
          <w:lang w:val="es-ES_tradnl"/>
        </w:rPr>
        <w:t>ó</w:t>
      </w:r>
      <w:r>
        <w:rPr>
          <w:b/>
          <w:bCs/>
          <w:spacing w:val="-5"/>
          <w:sz w:val="18"/>
          <w:szCs w:val="18"/>
          <w:lang w:val="es-ES_tradnl"/>
        </w:rPr>
        <w:t xml:space="preserve">n extraordinaria de </w:t>
      </w:r>
      <w:r>
        <w:rPr>
          <w:b/>
          <w:bCs/>
          <w:sz w:val="18"/>
          <w:szCs w:val="18"/>
          <w:lang w:val="es-ES_tradnl"/>
        </w:rPr>
        <w:t>protecci</w:t>
      </w:r>
      <w:r>
        <w:rPr>
          <w:rFonts w:cs="Times New Roman"/>
          <w:b/>
          <w:bCs/>
          <w:sz w:val="18"/>
          <w:szCs w:val="18"/>
          <w:lang w:val="es-ES_tradnl"/>
        </w:rPr>
        <w:t>ó</w:t>
      </w:r>
      <w:r>
        <w:rPr>
          <w:b/>
          <w:bCs/>
          <w:sz w:val="18"/>
          <w:szCs w:val="18"/>
          <w:lang w:val="es-ES_tradnl"/>
        </w:rPr>
        <w:t>n</w:t>
      </w:r>
    </w:p>
    <w:p w14:paraId="4F67B4F9" w14:textId="77777777" w:rsidR="00591D54" w:rsidRDefault="00591D54">
      <w:pPr>
        <w:shd w:val="clear" w:color="auto" w:fill="FFFFFF"/>
        <w:spacing w:before="197" w:line="216" w:lineRule="exact"/>
        <w:ind w:right="5"/>
        <w:jc w:val="both"/>
      </w:pPr>
      <w:r>
        <w:rPr>
          <w:spacing w:val="-8"/>
          <w:sz w:val="18"/>
          <w:szCs w:val="18"/>
          <w:lang w:val="es-ES_tradnl"/>
        </w:rPr>
        <w:t>La Corte Constitucional al ser el m</w:t>
      </w:r>
      <w:r>
        <w:rPr>
          <w:rFonts w:cs="Times New Roman"/>
          <w:spacing w:val="-8"/>
          <w:sz w:val="18"/>
          <w:szCs w:val="18"/>
          <w:lang w:val="es-ES_tradnl"/>
        </w:rPr>
        <w:t>á</w:t>
      </w:r>
      <w:r>
        <w:rPr>
          <w:spacing w:val="-8"/>
          <w:sz w:val="18"/>
          <w:szCs w:val="18"/>
          <w:lang w:val="es-ES_tradnl"/>
        </w:rPr>
        <w:t xml:space="preserve">ximo </w:t>
      </w:r>
      <w:r>
        <w:rPr>
          <w:rFonts w:cs="Times New Roman"/>
          <w:spacing w:val="-8"/>
          <w:sz w:val="18"/>
          <w:szCs w:val="18"/>
          <w:lang w:val="es-ES_tradnl"/>
        </w:rPr>
        <w:t>ó</w:t>
      </w:r>
      <w:r>
        <w:rPr>
          <w:spacing w:val="-8"/>
          <w:sz w:val="18"/>
          <w:szCs w:val="18"/>
          <w:lang w:val="es-ES_tradnl"/>
        </w:rPr>
        <w:t xml:space="preserve">rgano de control, </w:t>
      </w:r>
      <w:r>
        <w:rPr>
          <w:spacing w:val="-6"/>
          <w:sz w:val="18"/>
          <w:szCs w:val="18"/>
          <w:lang w:val="es-ES_tradnl"/>
        </w:rPr>
        <w:t>interpretaci</w:t>
      </w:r>
      <w:r>
        <w:rPr>
          <w:rFonts w:cs="Times New Roman"/>
          <w:spacing w:val="-6"/>
          <w:sz w:val="18"/>
          <w:szCs w:val="18"/>
          <w:lang w:val="es-ES_tradnl"/>
        </w:rPr>
        <w:t>ó</w:t>
      </w:r>
      <w:r>
        <w:rPr>
          <w:spacing w:val="-6"/>
          <w:sz w:val="18"/>
          <w:szCs w:val="18"/>
          <w:lang w:val="es-ES_tradnl"/>
        </w:rPr>
        <w:t>n y administraci</w:t>
      </w:r>
      <w:r>
        <w:rPr>
          <w:rFonts w:cs="Times New Roman"/>
          <w:spacing w:val="-6"/>
          <w:sz w:val="18"/>
          <w:szCs w:val="18"/>
          <w:lang w:val="es-ES_tradnl"/>
        </w:rPr>
        <w:t>ó</w:t>
      </w:r>
      <w:r>
        <w:rPr>
          <w:spacing w:val="-6"/>
          <w:sz w:val="18"/>
          <w:szCs w:val="18"/>
          <w:lang w:val="es-ES_tradnl"/>
        </w:rPr>
        <w:t xml:space="preserve">n de la justicia constitucional </w:t>
      </w:r>
      <w:r>
        <w:rPr>
          <w:spacing w:val="-10"/>
          <w:sz w:val="18"/>
          <w:szCs w:val="18"/>
          <w:lang w:val="es-ES_tradnl"/>
        </w:rPr>
        <w:t>se encuentra investida de la facultad de preservar la garant</w:t>
      </w:r>
      <w:r>
        <w:rPr>
          <w:rFonts w:cs="Times New Roman"/>
          <w:spacing w:val="-10"/>
          <w:sz w:val="18"/>
          <w:szCs w:val="18"/>
          <w:lang w:val="es-ES_tradnl"/>
        </w:rPr>
        <w:t>í</w:t>
      </w:r>
      <w:r>
        <w:rPr>
          <w:spacing w:val="-10"/>
          <w:sz w:val="18"/>
          <w:szCs w:val="18"/>
          <w:lang w:val="es-ES_tradnl"/>
        </w:rPr>
        <w:t xml:space="preserve">a </w:t>
      </w:r>
      <w:r>
        <w:rPr>
          <w:spacing w:val="-7"/>
          <w:sz w:val="18"/>
          <w:szCs w:val="18"/>
          <w:lang w:val="es-ES_tradnl"/>
        </w:rPr>
        <w:t xml:space="preserve">de los derechos constitucionales y de esta forma, evitar o </w:t>
      </w:r>
      <w:r>
        <w:rPr>
          <w:spacing w:val="-5"/>
          <w:sz w:val="18"/>
          <w:szCs w:val="18"/>
          <w:lang w:val="es-ES_tradnl"/>
        </w:rPr>
        <w:t>corregir su posible vulneraci</w:t>
      </w:r>
      <w:r>
        <w:rPr>
          <w:rFonts w:cs="Times New Roman"/>
          <w:spacing w:val="-5"/>
          <w:sz w:val="18"/>
          <w:szCs w:val="18"/>
          <w:lang w:val="es-ES_tradnl"/>
        </w:rPr>
        <w:t>ó</w:t>
      </w:r>
      <w:r>
        <w:rPr>
          <w:spacing w:val="-5"/>
          <w:sz w:val="18"/>
          <w:szCs w:val="18"/>
          <w:lang w:val="es-ES_tradnl"/>
        </w:rPr>
        <w:t xml:space="preserve">n. En este sentido, con la </w:t>
      </w:r>
      <w:r>
        <w:rPr>
          <w:spacing w:val="-2"/>
          <w:sz w:val="18"/>
          <w:szCs w:val="18"/>
          <w:lang w:val="es-ES_tradnl"/>
        </w:rPr>
        <w:t>expedici</w:t>
      </w:r>
      <w:r>
        <w:rPr>
          <w:rFonts w:cs="Times New Roman"/>
          <w:spacing w:val="-2"/>
          <w:sz w:val="18"/>
          <w:szCs w:val="18"/>
          <w:lang w:val="es-ES_tradnl"/>
        </w:rPr>
        <w:t>ó</w:t>
      </w:r>
      <w:r>
        <w:rPr>
          <w:spacing w:val="-2"/>
          <w:sz w:val="18"/>
          <w:szCs w:val="18"/>
          <w:lang w:val="es-ES_tradnl"/>
        </w:rPr>
        <w:t>n de la Constituci</w:t>
      </w:r>
      <w:r>
        <w:rPr>
          <w:rFonts w:cs="Times New Roman"/>
          <w:spacing w:val="-2"/>
          <w:sz w:val="18"/>
          <w:szCs w:val="18"/>
          <w:lang w:val="es-ES_tradnl"/>
        </w:rPr>
        <w:t>ó</w:t>
      </w:r>
      <w:r>
        <w:rPr>
          <w:spacing w:val="-2"/>
          <w:sz w:val="18"/>
          <w:szCs w:val="18"/>
          <w:lang w:val="es-ES_tradnl"/>
        </w:rPr>
        <w:t>n del a</w:t>
      </w:r>
      <w:r>
        <w:rPr>
          <w:rFonts w:cs="Times New Roman"/>
          <w:spacing w:val="-2"/>
          <w:sz w:val="18"/>
          <w:szCs w:val="18"/>
          <w:lang w:val="es-ES_tradnl"/>
        </w:rPr>
        <w:t>ñ</w:t>
      </w:r>
      <w:r>
        <w:rPr>
          <w:spacing w:val="-2"/>
          <w:sz w:val="18"/>
          <w:szCs w:val="18"/>
          <w:lang w:val="es-ES_tradnl"/>
        </w:rPr>
        <w:t>o 2008, se cambi</w:t>
      </w:r>
      <w:r>
        <w:rPr>
          <w:rFonts w:cs="Times New Roman"/>
          <w:spacing w:val="-2"/>
          <w:sz w:val="18"/>
          <w:szCs w:val="18"/>
          <w:lang w:val="es-ES_tradnl"/>
        </w:rPr>
        <w:t xml:space="preserve">ó </w:t>
      </w:r>
      <w:r>
        <w:rPr>
          <w:spacing w:val="-5"/>
          <w:sz w:val="18"/>
          <w:szCs w:val="18"/>
          <w:lang w:val="es-ES_tradnl"/>
        </w:rPr>
        <w:t xml:space="preserve">el paradigma constitucional, planteando la posibilidad </w:t>
      </w:r>
      <w:r>
        <w:rPr>
          <w:spacing w:val="-2"/>
          <w:sz w:val="18"/>
          <w:szCs w:val="18"/>
          <w:lang w:val="es-ES_tradnl"/>
        </w:rPr>
        <w:t xml:space="preserve">extraordinaria de tutelar los derechos constitucionales </w:t>
      </w:r>
      <w:r>
        <w:rPr>
          <w:spacing w:val="-8"/>
          <w:sz w:val="18"/>
          <w:szCs w:val="18"/>
          <w:lang w:val="es-ES_tradnl"/>
        </w:rPr>
        <w:t>que pudieran ser vulnerados durante la emisi</w:t>
      </w:r>
      <w:r>
        <w:rPr>
          <w:rFonts w:cs="Times New Roman"/>
          <w:spacing w:val="-8"/>
          <w:sz w:val="18"/>
          <w:szCs w:val="18"/>
          <w:lang w:val="es-ES_tradnl"/>
        </w:rPr>
        <w:t>ó</w:t>
      </w:r>
      <w:r>
        <w:rPr>
          <w:spacing w:val="-8"/>
          <w:sz w:val="18"/>
          <w:szCs w:val="18"/>
          <w:lang w:val="es-ES_tradnl"/>
        </w:rPr>
        <w:t xml:space="preserve">n de una </w:t>
      </w:r>
      <w:r>
        <w:rPr>
          <w:spacing w:val="-4"/>
          <w:sz w:val="18"/>
          <w:szCs w:val="18"/>
          <w:lang w:val="es-ES_tradnl"/>
        </w:rPr>
        <w:t>sentencia, auto definitivo o resoluci</w:t>
      </w:r>
      <w:r>
        <w:rPr>
          <w:rFonts w:cs="Times New Roman"/>
          <w:spacing w:val="-4"/>
          <w:sz w:val="18"/>
          <w:szCs w:val="18"/>
          <w:lang w:val="es-ES_tradnl"/>
        </w:rPr>
        <w:t>ó</w:t>
      </w:r>
      <w:r>
        <w:rPr>
          <w:spacing w:val="-4"/>
          <w:sz w:val="18"/>
          <w:szCs w:val="18"/>
          <w:lang w:val="es-ES_tradnl"/>
        </w:rPr>
        <w:t xml:space="preserve">n con fuerza de </w:t>
      </w:r>
      <w:r>
        <w:rPr>
          <w:spacing w:val="-7"/>
          <w:sz w:val="18"/>
          <w:szCs w:val="18"/>
          <w:lang w:val="es-ES_tradnl"/>
        </w:rPr>
        <w:t>sentencia resultado de un proceso judicial.</w:t>
      </w:r>
    </w:p>
    <w:p w14:paraId="4F67B4FA" w14:textId="77777777" w:rsidR="00591D54" w:rsidRDefault="00591D54">
      <w:pPr>
        <w:shd w:val="clear" w:color="auto" w:fill="FFFFFF"/>
        <w:spacing w:before="192" w:line="216" w:lineRule="exact"/>
        <w:ind w:right="5"/>
        <w:jc w:val="both"/>
      </w:pPr>
      <w:r>
        <w:rPr>
          <w:spacing w:val="-1"/>
          <w:sz w:val="18"/>
          <w:szCs w:val="18"/>
          <w:lang w:val="es-ES_tradnl"/>
        </w:rPr>
        <w:t>La acci</w:t>
      </w:r>
      <w:r>
        <w:rPr>
          <w:rFonts w:cs="Times New Roman"/>
          <w:spacing w:val="-1"/>
          <w:sz w:val="18"/>
          <w:szCs w:val="18"/>
          <w:lang w:val="es-ES_tradnl"/>
        </w:rPr>
        <w:t>ó</w:t>
      </w:r>
      <w:r>
        <w:rPr>
          <w:spacing w:val="-1"/>
          <w:sz w:val="18"/>
          <w:szCs w:val="18"/>
          <w:lang w:val="es-ES_tradnl"/>
        </w:rPr>
        <w:t>n extraordinaria de protecci</w:t>
      </w:r>
      <w:r>
        <w:rPr>
          <w:rFonts w:cs="Times New Roman"/>
          <w:spacing w:val="-1"/>
          <w:sz w:val="18"/>
          <w:szCs w:val="18"/>
          <w:lang w:val="es-ES_tradnl"/>
        </w:rPr>
        <w:t>ó</w:t>
      </w:r>
      <w:r>
        <w:rPr>
          <w:spacing w:val="-1"/>
          <w:sz w:val="18"/>
          <w:szCs w:val="18"/>
          <w:lang w:val="es-ES_tradnl"/>
        </w:rPr>
        <w:t xml:space="preserve">n, procede </w:t>
      </w:r>
      <w:r>
        <w:rPr>
          <w:spacing w:val="-6"/>
          <w:sz w:val="18"/>
          <w:szCs w:val="18"/>
          <w:lang w:val="es-ES_tradnl"/>
        </w:rPr>
        <w:t xml:space="preserve">exclusivamente en contra sentencias, autos definitivos o </w:t>
      </w:r>
      <w:r>
        <w:rPr>
          <w:spacing w:val="-11"/>
          <w:sz w:val="18"/>
          <w:szCs w:val="18"/>
          <w:lang w:val="es-ES_tradnl"/>
        </w:rPr>
        <w:t>resoluciones con fuerza de sentencia en los que por acci</w:t>
      </w:r>
      <w:r>
        <w:rPr>
          <w:rFonts w:cs="Times New Roman"/>
          <w:spacing w:val="-11"/>
          <w:sz w:val="18"/>
          <w:szCs w:val="18"/>
          <w:lang w:val="es-ES_tradnl"/>
        </w:rPr>
        <w:t>ó</w:t>
      </w:r>
      <w:r>
        <w:rPr>
          <w:spacing w:val="-11"/>
          <w:sz w:val="18"/>
          <w:szCs w:val="18"/>
          <w:lang w:val="es-ES_tradnl"/>
        </w:rPr>
        <w:t xml:space="preserve">n u </w:t>
      </w:r>
      <w:r>
        <w:rPr>
          <w:spacing w:val="-10"/>
          <w:sz w:val="18"/>
          <w:szCs w:val="18"/>
          <w:lang w:val="es-ES_tradnl"/>
        </w:rPr>
        <w:t>omisi</w:t>
      </w:r>
      <w:r>
        <w:rPr>
          <w:rFonts w:cs="Times New Roman"/>
          <w:spacing w:val="-10"/>
          <w:sz w:val="18"/>
          <w:szCs w:val="18"/>
          <w:lang w:val="es-ES_tradnl"/>
        </w:rPr>
        <w:t>ó</w:t>
      </w:r>
      <w:r>
        <w:rPr>
          <w:spacing w:val="-10"/>
          <w:sz w:val="18"/>
          <w:szCs w:val="18"/>
          <w:lang w:val="es-ES_tradnl"/>
        </w:rPr>
        <w:t xml:space="preserve">n, se haya violado el debido proceso u otros derechos </w:t>
      </w:r>
      <w:r>
        <w:rPr>
          <w:spacing w:val="-6"/>
          <w:sz w:val="18"/>
          <w:szCs w:val="18"/>
          <w:lang w:val="es-ES_tradnl"/>
        </w:rPr>
        <w:t>constitucionales reconocidos en la Constituci</w:t>
      </w:r>
      <w:r>
        <w:rPr>
          <w:rFonts w:cs="Times New Roman"/>
          <w:spacing w:val="-6"/>
          <w:sz w:val="18"/>
          <w:szCs w:val="18"/>
          <w:lang w:val="es-ES_tradnl"/>
        </w:rPr>
        <w:t>ó</w:t>
      </w:r>
      <w:r>
        <w:rPr>
          <w:spacing w:val="-6"/>
          <w:sz w:val="18"/>
          <w:szCs w:val="18"/>
          <w:lang w:val="es-ES_tradnl"/>
        </w:rPr>
        <w:t xml:space="preserve">n, una vez agotados los recursos ordinarios y extraordinarios dentro </w:t>
      </w:r>
      <w:r>
        <w:rPr>
          <w:spacing w:val="-2"/>
          <w:sz w:val="18"/>
          <w:szCs w:val="18"/>
          <w:lang w:val="es-ES_tradnl"/>
        </w:rPr>
        <w:t>del t</w:t>
      </w:r>
      <w:r>
        <w:rPr>
          <w:rFonts w:cs="Times New Roman"/>
          <w:spacing w:val="-2"/>
          <w:sz w:val="18"/>
          <w:szCs w:val="18"/>
          <w:lang w:val="es-ES_tradnl"/>
        </w:rPr>
        <w:t>é</w:t>
      </w:r>
      <w:r>
        <w:rPr>
          <w:spacing w:val="-2"/>
          <w:sz w:val="18"/>
          <w:szCs w:val="18"/>
          <w:lang w:val="es-ES_tradnl"/>
        </w:rPr>
        <w:t>rmino legal, a menos que la falta de interposici</w:t>
      </w:r>
      <w:r>
        <w:rPr>
          <w:rFonts w:cs="Times New Roman"/>
          <w:spacing w:val="-2"/>
          <w:sz w:val="18"/>
          <w:szCs w:val="18"/>
          <w:lang w:val="es-ES_tradnl"/>
        </w:rPr>
        <w:t>ó</w:t>
      </w:r>
      <w:r>
        <w:rPr>
          <w:spacing w:val="-2"/>
          <w:sz w:val="18"/>
          <w:szCs w:val="18"/>
          <w:lang w:val="es-ES_tradnl"/>
        </w:rPr>
        <w:t xml:space="preserve">n </w:t>
      </w:r>
      <w:r>
        <w:rPr>
          <w:spacing w:val="-4"/>
          <w:sz w:val="18"/>
          <w:szCs w:val="18"/>
          <w:lang w:val="es-ES_tradnl"/>
        </w:rPr>
        <w:t xml:space="preserve">de estos recursos no fuera atribuible a la negligencia de </w:t>
      </w:r>
      <w:r>
        <w:rPr>
          <w:spacing w:val="-6"/>
          <w:sz w:val="18"/>
          <w:szCs w:val="18"/>
          <w:lang w:val="es-ES_tradnl"/>
        </w:rPr>
        <w:t xml:space="preserve">la persona titular del derecho constitucional vulnerado, </w:t>
      </w:r>
      <w:r>
        <w:rPr>
          <w:spacing w:val="-4"/>
          <w:sz w:val="18"/>
          <w:szCs w:val="18"/>
          <w:lang w:val="es-ES_tradnl"/>
        </w:rPr>
        <w:t>conforme lo previsto en el art</w:t>
      </w:r>
      <w:r>
        <w:rPr>
          <w:rFonts w:cs="Times New Roman"/>
          <w:spacing w:val="-4"/>
          <w:sz w:val="18"/>
          <w:szCs w:val="18"/>
          <w:lang w:val="es-ES_tradnl"/>
        </w:rPr>
        <w:t>í</w:t>
      </w:r>
      <w:r>
        <w:rPr>
          <w:spacing w:val="-4"/>
          <w:sz w:val="18"/>
          <w:szCs w:val="18"/>
          <w:lang w:val="es-ES_tradnl"/>
        </w:rPr>
        <w:t>culo 94 de la Constituci</w:t>
      </w:r>
      <w:r>
        <w:rPr>
          <w:rFonts w:cs="Times New Roman"/>
          <w:spacing w:val="-4"/>
          <w:sz w:val="18"/>
          <w:szCs w:val="18"/>
          <w:lang w:val="es-ES_tradnl"/>
        </w:rPr>
        <w:t>ó</w:t>
      </w:r>
      <w:r>
        <w:rPr>
          <w:spacing w:val="-4"/>
          <w:sz w:val="18"/>
          <w:szCs w:val="18"/>
          <w:lang w:val="es-ES_tradnl"/>
        </w:rPr>
        <w:t xml:space="preserve">n </w:t>
      </w:r>
      <w:r>
        <w:rPr>
          <w:sz w:val="18"/>
          <w:szCs w:val="18"/>
          <w:lang w:val="es-ES_tradnl"/>
        </w:rPr>
        <w:t>de la Rep</w:t>
      </w:r>
      <w:r>
        <w:rPr>
          <w:rFonts w:cs="Times New Roman"/>
          <w:sz w:val="18"/>
          <w:szCs w:val="18"/>
          <w:lang w:val="es-ES_tradnl"/>
        </w:rPr>
        <w:t>ú</w:t>
      </w:r>
      <w:r>
        <w:rPr>
          <w:sz w:val="18"/>
          <w:szCs w:val="18"/>
          <w:lang w:val="es-ES_tradnl"/>
        </w:rPr>
        <w:t>blica.</w:t>
      </w:r>
    </w:p>
    <w:p w14:paraId="4F67B4FB" w14:textId="77777777" w:rsidR="00591D54" w:rsidRDefault="00591D54">
      <w:pPr>
        <w:shd w:val="clear" w:color="auto" w:fill="FFFFFF"/>
        <w:spacing w:before="192" w:line="216" w:lineRule="exact"/>
        <w:jc w:val="both"/>
      </w:pPr>
      <w:r>
        <w:rPr>
          <w:spacing w:val="-8"/>
          <w:sz w:val="18"/>
          <w:szCs w:val="18"/>
          <w:lang w:val="es-ES_tradnl"/>
        </w:rPr>
        <w:t>De esa forma, la esencia de esta garant</w:t>
      </w:r>
      <w:r>
        <w:rPr>
          <w:rFonts w:cs="Times New Roman"/>
          <w:spacing w:val="-8"/>
          <w:sz w:val="18"/>
          <w:szCs w:val="18"/>
          <w:lang w:val="es-ES_tradnl"/>
        </w:rPr>
        <w:t>í</w:t>
      </w:r>
      <w:r>
        <w:rPr>
          <w:spacing w:val="-8"/>
          <w:sz w:val="18"/>
          <w:szCs w:val="18"/>
          <w:lang w:val="es-ES_tradnl"/>
        </w:rPr>
        <w:t>a es tutelar los derechos constitucionales, a trav</w:t>
      </w:r>
      <w:r>
        <w:rPr>
          <w:rFonts w:cs="Times New Roman"/>
          <w:spacing w:val="-8"/>
          <w:sz w:val="18"/>
          <w:szCs w:val="18"/>
          <w:lang w:val="es-ES_tradnl"/>
        </w:rPr>
        <w:t>é</w:t>
      </w:r>
      <w:r>
        <w:rPr>
          <w:spacing w:val="-8"/>
          <w:sz w:val="18"/>
          <w:szCs w:val="18"/>
          <w:lang w:val="es-ES_tradnl"/>
        </w:rPr>
        <w:t>s del an</w:t>
      </w:r>
      <w:r>
        <w:rPr>
          <w:rFonts w:cs="Times New Roman"/>
          <w:spacing w:val="-8"/>
          <w:sz w:val="18"/>
          <w:szCs w:val="18"/>
          <w:lang w:val="es-ES_tradnl"/>
        </w:rPr>
        <w:t>á</w:t>
      </w:r>
      <w:r>
        <w:rPr>
          <w:spacing w:val="-8"/>
          <w:sz w:val="18"/>
          <w:szCs w:val="18"/>
          <w:lang w:val="es-ES_tradnl"/>
        </w:rPr>
        <w:t xml:space="preserve">lisis que este </w:t>
      </w:r>
      <w:r>
        <w:rPr>
          <w:rFonts w:cs="Times New Roman"/>
          <w:spacing w:val="-6"/>
          <w:sz w:val="18"/>
          <w:szCs w:val="18"/>
          <w:lang w:val="es-ES_tradnl"/>
        </w:rPr>
        <w:t>ó</w:t>
      </w:r>
      <w:r>
        <w:rPr>
          <w:spacing w:val="-6"/>
          <w:sz w:val="18"/>
          <w:szCs w:val="18"/>
          <w:lang w:val="es-ES_tradnl"/>
        </w:rPr>
        <w:t xml:space="preserve">rgano de justicia constitucional realiza respecto de las </w:t>
      </w:r>
      <w:r>
        <w:rPr>
          <w:sz w:val="18"/>
          <w:szCs w:val="18"/>
          <w:lang w:val="es-ES_tradnl"/>
        </w:rPr>
        <w:t>decisiones judiciales.</w:t>
      </w:r>
    </w:p>
    <w:p w14:paraId="4F67B4FC" w14:textId="77777777" w:rsidR="00591D54" w:rsidRDefault="00591D54">
      <w:pPr>
        <w:shd w:val="clear" w:color="auto" w:fill="FFFFFF"/>
        <w:spacing w:before="5" w:line="226" w:lineRule="exact"/>
        <w:ind w:right="10"/>
        <w:jc w:val="both"/>
      </w:pPr>
      <w:r>
        <w:br w:type="column"/>
      </w:r>
      <w:r>
        <w:rPr>
          <w:b/>
          <w:bCs/>
          <w:spacing w:val="-6"/>
          <w:sz w:val="18"/>
          <w:szCs w:val="18"/>
          <w:lang w:val="es-ES_tradnl"/>
        </w:rPr>
        <w:t>Determinaci</w:t>
      </w:r>
      <w:r>
        <w:rPr>
          <w:rFonts w:cs="Times New Roman"/>
          <w:b/>
          <w:bCs/>
          <w:spacing w:val="-6"/>
          <w:sz w:val="18"/>
          <w:szCs w:val="18"/>
          <w:lang w:val="es-ES_tradnl"/>
        </w:rPr>
        <w:t>ó</w:t>
      </w:r>
      <w:r>
        <w:rPr>
          <w:b/>
          <w:bCs/>
          <w:spacing w:val="-6"/>
          <w:sz w:val="18"/>
          <w:szCs w:val="18"/>
          <w:lang w:val="es-ES_tradnl"/>
        </w:rPr>
        <w:t>n de los problemas jur</w:t>
      </w:r>
      <w:r>
        <w:rPr>
          <w:rFonts w:cs="Times New Roman"/>
          <w:b/>
          <w:bCs/>
          <w:spacing w:val="-6"/>
          <w:sz w:val="18"/>
          <w:szCs w:val="18"/>
          <w:lang w:val="es-ES_tradnl"/>
        </w:rPr>
        <w:t>í</w:t>
      </w:r>
      <w:r>
        <w:rPr>
          <w:b/>
          <w:bCs/>
          <w:spacing w:val="-6"/>
          <w:sz w:val="18"/>
          <w:szCs w:val="18"/>
          <w:lang w:val="es-ES_tradnl"/>
        </w:rPr>
        <w:t xml:space="preserve">dicos para la </w:t>
      </w:r>
      <w:r>
        <w:rPr>
          <w:b/>
          <w:bCs/>
          <w:sz w:val="18"/>
          <w:szCs w:val="18"/>
          <w:lang w:val="es-ES_tradnl"/>
        </w:rPr>
        <w:t>resoluci</w:t>
      </w:r>
      <w:r>
        <w:rPr>
          <w:rFonts w:cs="Times New Roman"/>
          <w:b/>
          <w:bCs/>
          <w:sz w:val="18"/>
          <w:szCs w:val="18"/>
          <w:lang w:val="es-ES_tradnl"/>
        </w:rPr>
        <w:t>ó</w:t>
      </w:r>
      <w:r>
        <w:rPr>
          <w:b/>
          <w:bCs/>
          <w:sz w:val="18"/>
          <w:szCs w:val="18"/>
          <w:lang w:val="es-ES_tradnl"/>
        </w:rPr>
        <w:t>n del caso</w:t>
      </w:r>
    </w:p>
    <w:p w14:paraId="4F67B4FD" w14:textId="77777777" w:rsidR="00591D54" w:rsidRDefault="00591D54">
      <w:pPr>
        <w:shd w:val="clear" w:color="auto" w:fill="FFFFFF"/>
        <w:spacing w:before="202" w:line="226" w:lineRule="exact"/>
        <w:ind w:right="10"/>
        <w:jc w:val="both"/>
      </w:pPr>
      <w:r>
        <w:rPr>
          <w:spacing w:val="-5"/>
          <w:sz w:val="18"/>
          <w:szCs w:val="18"/>
          <w:lang w:val="es-ES_tradnl"/>
        </w:rPr>
        <w:t>La Corte Constitucional analizar</w:t>
      </w:r>
      <w:r>
        <w:rPr>
          <w:rFonts w:cs="Times New Roman"/>
          <w:spacing w:val="-5"/>
          <w:sz w:val="18"/>
          <w:szCs w:val="18"/>
          <w:lang w:val="es-ES_tradnl"/>
        </w:rPr>
        <w:t>á</w:t>
      </w:r>
      <w:r>
        <w:rPr>
          <w:spacing w:val="-5"/>
          <w:sz w:val="18"/>
          <w:szCs w:val="18"/>
          <w:lang w:val="es-ES_tradnl"/>
        </w:rPr>
        <w:t xml:space="preserve"> el caso a partir de la </w:t>
      </w:r>
      <w:r>
        <w:rPr>
          <w:spacing w:val="-6"/>
          <w:sz w:val="18"/>
          <w:szCs w:val="18"/>
          <w:lang w:val="es-ES_tradnl"/>
        </w:rPr>
        <w:t>formulaci</w:t>
      </w:r>
      <w:r>
        <w:rPr>
          <w:rFonts w:cs="Times New Roman"/>
          <w:spacing w:val="-6"/>
          <w:sz w:val="18"/>
          <w:szCs w:val="18"/>
          <w:lang w:val="es-ES_tradnl"/>
        </w:rPr>
        <w:t>ó</w:t>
      </w:r>
      <w:r>
        <w:rPr>
          <w:spacing w:val="-6"/>
          <w:sz w:val="18"/>
          <w:szCs w:val="18"/>
          <w:lang w:val="es-ES_tradnl"/>
        </w:rPr>
        <w:t>n de los siguientes problemas jur</w:t>
      </w:r>
      <w:r>
        <w:rPr>
          <w:rFonts w:cs="Times New Roman"/>
          <w:spacing w:val="-6"/>
          <w:sz w:val="18"/>
          <w:szCs w:val="18"/>
          <w:lang w:val="es-ES_tradnl"/>
        </w:rPr>
        <w:t>í</w:t>
      </w:r>
      <w:r>
        <w:rPr>
          <w:spacing w:val="-6"/>
          <w:sz w:val="18"/>
          <w:szCs w:val="18"/>
          <w:lang w:val="es-ES_tradnl"/>
        </w:rPr>
        <w:t>dicos:</w:t>
      </w:r>
    </w:p>
    <w:p w14:paraId="4F67B4FE" w14:textId="77777777" w:rsidR="00591D54" w:rsidRDefault="00591D54" w:rsidP="00251195">
      <w:pPr>
        <w:numPr>
          <w:ilvl w:val="0"/>
          <w:numId w:val="100"/>
        </w:numPr>
        <w:shd w:val="clear" w:color="auto" w:fill="FFFFFF"/>
        <w:tabs>
          <w:tab w:val="left" w:pos="566"/>
        </w:tabs>
        <w:spacing w:before="202" w:line="226" w:lineRule="exact"/>
        <w:ind w:left="566" w:right="10" w:hanging="283"/>
        <w:jc w:val="both"/>
        <w:rPr>
          <w:spacing w:val="-9"/>
          <w:sz w:val="18"/>
          <w:szCs w:val="18"/>
          <w:lang w:val="es-ES_tradnl"/>
        </w:rPr>
      </w:pPr>
      <w:r>
        <w:rPr>
          <w:spacing w:val="-4"/>
          <w:sz w:val="18"/>
          <w:szCs w:val="18"/>
          <w:lang w:val="es-ES_tradnl"/>
        </w:rPr>
        <w:t xml:space="preserve">Las decisiones judiciales impugnadas </w:t>
      </w:r>
      <w:r>
        <w:rPr>
          <w:rFonts w:cs="Times New Roman"/>
          <w:spacing w:val="-4"/>
          <w:sz w:val="18"/>
          <w:szCs w:val="18"/>
          <w:lang w:val="es-ES_tradnl"/>
        </w:rPr>
        <w:t>¿</w:t>
      </w:r>
      <w:r>
        <w:rPr>
          <w:spacing w:val="-4"/>
          <w:sz w:val="18"/>
          <w:szCs w:val="18"/>
          <w:lang w:val="es-ES_tradnl"/>
        </w:rPr>
        <w:t xml:space="preserve">vulneran </w:t>
      </w:r>
      <w:r>
        <w:rPr>
          <w:spacing w:val="-6"/>
          <w:sz w:val="18"/>
          <w:szCs w:val="18"/>
          <w:lang w:val="es-ES_tradnl"/>
        </w:rPr>
        <w:t xml:space="preserve">el derecho constitucional al debido proceso en la </w:t>
      </w:r>
      <w:r>
        <w:rPr>
          <w:spacing w:val="-9"/>
          <w:sz w:val="18"/>
          <w:szCs w:val="18"/>
          <w:lang w:val="es-ES_tradnl"/>
        </w:rPr>
        <w:t>garant</w:t>
      </w:r>
      <w:r>
        <w:rPr>
          <w:rFonts w:cs="Times New Roman"/>
          <w:spacing w:val="-9"/>
          <w:sz w:val="18"/>
          <w:szCs w:val="18"/>
          <w:lang w:val="es-ES_tradnl"/>
        </w:rPr>
        <w:t>í</w:t>
      </w:r>
      <w:r>
        <w:rPr>
          <w:spacing w:val="-9"/>
          <w:sz w:val="18"/>
          <w:szCs w:val="18"/>
          <w:lang w:val="es-ES_tradnl"/>
        </w:rPr>
        <w:t>a de ser juzgado por un juez competente?</w:t>
      </w:r>
    </w:p>
    <w:p w14:paraId="4F67B4FF" w14:textId="77777777" w:rsidR="00591D54" w:rsidRDefault="00591D54" w:rsidP="00251195">
      <w:pPr>
        <w:numPr>
          <w:ilvl w:val="0"/>
          <w:numId w:val="100"/>
        </w:numPr>
        <w:shd w:val="clear" w:color="auto" w:fill="FFFFFF"/>
        <w:tabs>
          <w:tab w:val="left" w:pos="566"/>
        </w:tabs>
        <w:spacing w:before="202" w:line="226" w:lineRule="exact"/>
        <w:ind w:left="566" w:right="10" w:hanging="283"/>
        <w:jc w:val="both"/>
        <w:rPr>
          <w:spacing w:val="-9"/>
          <w:sz w:val="18"/>
          <w:szCs w:val="18"/>
          <w:lang w:val="es-ES_tradnl"/>
        </w:rPr>
      </w:pPr>
      <w:r>
        <w:rPr>
          <w:spacing w:val="-8"/>
          <w:sz w:val="18"/>
          <w:szCs w:val="18"/>
          <w:lang w:val="es-ES_tradnl"/>
        </w:rPr>
        <w:t xml:space="preserve">Las decisiones impugnadas </w:t>
      </w:r>
      <w:r>
        <w:rPr>
          <w:rFonts w:cs="Times New Roman"/>
          <w:spacing w:val="-8"/>
          <w:sz w:val="18"/>
          <w:szCs w:val="18"/>
          <w:lang w:val="es-ES_tradnl"/>
        </w:rPr>
        <w:t>¿</w:t>
      </w:r>
      <w:r>
        <w:rPr>
          <w:spacing w:val="-8"/>
          <w:sz w:val="18"/>
          <w:szCs w:val="18"/>
          <w:lang w:val="es-ES_tradnl"/>
        </w:rPr>
        <w:t xml:space="preserve">vulneran el derecho </w:t>
      </w:r>
      <w:r>
        <w:rPr>
          <w:spacing w:val="-5"/>
          <w:sz w:val="18"/>
          <w:szCs w:val="18"/>
          <w:lang w:val="es-ES_tradnl"/>
        </w:rPr>
        <w:t>constitucional a la tutela judicial efectiva?</w:t>
      </w:r>
    </w:p>
    <w:p w14:paraId="4F67B500" w14:textId="77777777" w:rsidR="00591D54" w:rsidRDefault="00591D54">
      <w:pPr>
        <w:shd w:val="clear" w:color="auto" w:fill="FFFFFF"/>
        <w:spacing w:before="202"/>
      </w:pPr>
      <w:r>
        <w:rPr>
          <w:b/>
          <w:bCs/>
          <w:spacing w:val="-10"/>
          <w:sz w:val="18"/>
          <w:szCs w:val="18"/>
          <w:lang w:val="es-ES_tradnl"/>
        </w:rPr>
        <w:t>Resoluci</w:t>
      </w:r>
      <w:r>
        <w:rPr>
          <w:rFonts w:cs="Times New Roman"/>
          <w:b/>
          <w:bCs/>
          <w:spacing w:val="-10"/>
          <w:sz w:val="18"/>
          <w:szCs w:val="18"/>
          <w:lang w:val="es-ES_tradnl"/>
        </w:rPr>
        <w:t>ó</w:t>
      </w:r>
      <w:r>
        <w:rPr>
          <w:b/>
          <w:bCs/>
          <w:spacing w:val="-10"/>
          <w:sz w:val="18"/>
          <w:szCs w:val="18"/>
          <w:lang w:val="es-ES_tradnl"/>
        </w:rPr>
        <w:t>n de los problemas jur</w:t>
      </w:r>
      <w:r>
        <w:rPr>
          <w:rFonts w:cs="Times New Roman"/>
          <w:b/>
          <w:bCs/>
          <w:spacing w:val="-10"/>
          <w:sz w:val="18"/>
          <w:szCs w:val="18"/>
          <w:lang w:val="es-ES_tradnl"/>
        </w:rPr>
        <w:t>í</w:t>
      </w:r>
      <w:r>
        <w:rPr>
          <w:b/>
          <w:bCs/>
          <w:spacing w:val="-10"/>
          <w:sz w:val="18"/>
          <w:szCs w:val="18"/>
          <w:lang w:val="es-ES_tradnl"/>
        </w:rPr>
        <w:t>dicos</w:t>
      </w:r>
    </w:p>
    <w:p w14:paraId="4F67B501" w14:textId="77777777" w:rsidR="00591D54" w:rsidRDefault="00591D54">
      <w:pPr>
        <w:shd w:val="clear" w:color="auto" w:fill="FFFFFF"/>
        <w:spacing w:before="197" w:line="221" w:lineRule="exact"/>
        <w:ind w:left="283" w:right="10" w:hanging="283"/>
        <w:jc w:val="both"/>
      </w:pPr>
      <w:r>
        <w:rPr>
          <w:b/>
          <w:bCs/>
          <w:spacing w:val="-3"/>
          <w:sz w:val="18"/>
          <w:szCs w:val="18"/>
          <w:lang w:val="es-ES_tradnl"/>
        </w:rPr>
        <w:t xml:space="preserve">1. Las decisiones judiciales impugnadas </w:t>
      </w:r>
      <w:r>
        <w:rPr>
          <w:rFonts w:cs="Times New Roman"/>
          <w:b/>
          <w:bCs/>
          <w:spacing w:val="-3"/>
          <w:sz w:val="18"/>
          <w:szCs w:val="18"/>
          <w:lang w:val="es-ES_tradnl"/>
        </w:rPr>
        <w:t>¿</w:t>
      </w:r>
      <w:r>
        <w:rPr>
          <w:b/>
          <w:bCs/>
          <w:spacing w:val="-3"/>
          <w:sz w:val="18"/>
          <w:szCs w:val="18"/>
          <w:lang w:val="es-ES_tradnl"/>
        </w:rPr>
        <w:t xml:space="preserve">vulneran </w:t>
      </w:r>
      <w:r>
        <w:rPr>
          <w:b/>
          <w:bCs/>
          <w:spacing w:val="-9"/>
          <w:sz w:val="18"/>
          <w:szCs w:val="18"/>
          <w:lang w:val="es-ES_tradnl"/>
        </w:rPr>
        <w:t>el derecho constitucional al debido proceso en la garant</w:t>
      </w:r>
      <w:r>
        <w:rPr>
          <w:rFonts w:cs="Times New Roman"/>
          <w:b/>
          <w:bCs/>
          <w:spacing w:val="-9"/>
          <w:sz w:val="18"/>
          <w:szCs w:val="18"/>
          <w:lang w:val="es-ES_tradnl"/>
        </w:rPr>
        <w:t>í</w:t>
      </w:r>
      <w:r>
        <w:rPr>
          <w:b/>
          <w:bCs/>
          <w:spacing w:val="-9"/>
          <w:sz w:val="18"/>
          <w:szCs w:val="18"/>
          <w:lang w:val="es-ES_tradnl"/>
        </w:rPr>
        <w:t>a de ser juzgado por un juez competente?</w:t>
      </w:r>
    </w:p>
    <w:p w14:paraId="4F67B502" w14:textId="77777777" w:rsidR="00591D54" w:rsidRDefault="00591D54">
      <w:pPr>
        <w:shd w:val="clear" w:color="auto" w:fill="FFFFFF"/>
        <w:spacing w:before="202" w:line="221" w:lineRule="exact"/>
        <w:ind w:right="10"/>
        <w:jc w:val="both"/>
      </w:pPr>
      <w:r>
        <w:rPr>
          <w:spacing w:val="-2"/>
          <w:sz w:val="18"/>
          <w:szCs w:val="18"/>
          <w:lang w:val="es-ES_tradnl"/>
        </w:rPr>
        <w:t>El accionante en su demanda de acci</w:t>
      </w:r>
      <w:r>
        <w:rPr>
          <w:rFonts w:cs="Times New Roman"/>
          <w:spacing w:val="-2"/>
          <w:sz w:val="18"/>
          <w:szCs w:val="18"/>
          <w:lang w:val="es-ES_tradnl"/>
        </w:rPr>
        <w:t>ó</w:t>
      </w:r>
      <w:r>
        <w:rPr>
          <w:spacing w:val="-2"/>
          <w:sz w:val="18"/>
          <w:szCs w:val="18"/>
          <w:lang w:val="es-ES_tradnl"/>
        </w:rPr>
        <w:t xml:space="preserve">n extraordinaria </w:t>
      </w:r>
      <w:r>
        <w:rPr>
          <w:spacing w:val="-7"/>
          <w:sz w:val="18"/>
          <w:szCs w:val="18"/>
          <w:lang w:val="es-ES_tradnl"/>
        </w:rPr>
        <w:t>de protecci</w:t>
      </w:r>
      <w:r>
        <w:rPr>
          <w:rFonts w:cs="Times New Roman"/>
          <w:spacing w:val="-7"/>
          <w:sz w:val="18"/>
          <w:szCs w:val="18"/>
          <w:lang w:val="es-ES_tradnl"/>
        </w:rPr>
        <w:t>ó</w:t>
      </w:r>
      <w:r>
        <w:rPr>
          <w:spacing w:val="-7"/>
          <w:sz w:val="18"/>
          <w:szCs w:val="18"/>
          <w:lang w:val="es-ES_tradnl"/>
        </w:rPr>
        <w:t xml:space="preserve">n, determina que las decisiones impugnadas </w:t>
      </w:r>
      <w:r>
        <w:rPr>
          <w:spacing w:val="-9"/>
          <w:sz w:val="18"/>
          <w:szCs w:val="18"/>
          <w:lang w:val="es-ES_tradnl"/>
        </w:rPr>
        <w:t xml:space="preserve">vulneraron el derecho constitucional al debido proceso en la </w:t>
      </w:r>
      <w:r>
        <w:rPr>
          <w:spacing w:val="-10"/>
          <w:sz w:val="18"/>
          <w:szCs w:val="18"/>
          <w:lang w:val="es-ES_tradnl"/>
        </w:rPr>
        <w:t>garant</w:t>
      </w:r>
      <w:r>
        <w:rPr>
          <w:rFonts w:cs="Times New Roman"/>
          <w:spacing w:val="-10"/>
          <w:sz w:val="18"/>
          <w:szCs w:val="18"/>
          <w:lang w:val="es-ES_tradnl"/>
        </w:rPr>
        <w:t>í</w:t>
      </w:r>
      <w:r>
        <w:rPr>
          <w:spacing w:val="-10"/>
          <w:sz w:val="18"/>
          <w:szCs w:val="18"/>
          <w:lang w:val="es-ES_tradnl"/>
        </w:rPr>
        <w:t>a de ser juzgado por un juez competente, por cuanto:</w:t>
      </w:r>
    </w:p>
    <w:p w14:paraId="4F67B503" w14:textId="77777777" w:rsidR="00591D54" w:rsidRDefault="00591D54">
      <w:pPr>
        <w:shd w:val="clear" w:color="auto" w:fill="FFFFFF"/>
        <w:spacing w:before="206" w:line="221" w:lineRule="exact"/>
        <w:ind w:left="283"/>
        <w:jc w:val="both"/>
      </w:pPr>
      <w:r>
        <w:rPr>
          <w:spacing w:val="-1"/>
          <w:sz w:val="16"/>
          <w:szCs w:val="16"/>
          <w:lang w:val="es-ES_tradnl"/>
        </w:rPr>
        <w:t>EP PETROECUADOR, cuando dio contestaci</w:t>
      </w:r>
      <w:r>
        <w:rPr>
          <w:rFonts w:cs="Times New Roman"/>
          <w:spacing w:val="-1"/>
          <w:sz w:val="16"/>
          <w:szCs w:val="16"/>
          <w:lang w:val="es-ES_tradnl"/>
        </w:rPr>
        <w:t>ó</w:t>
      </w:r>
      <w:r>
        <w:rPr>
          <w:spacing w:val="-1"/>
          <w:sz w:val="16"/>
          <w:szCs w:val="16"/>
          <w:lang w:val="es-ES_tradnl"/>
        </w:rPr>
        <w:t xml:space="preserve">n a la </w:t>
      </w:r>
      <w:r>
        <w:rPr>
          <w:spacing w:val="-5"/>
          <w:sz w:val="16"/>
          <w:szCs w:val="16"/>
          <w:lang w:val="es-ES_tradnl"/>
        </w:rPr>
        <w:t xml:space="preserve">infundada demanda propuesta por el Sr. Eduardo Naranjo </w:t>
      </w:r>
      <w:r>
        <w:rPr>
          <w:spacing w:val="-6"/>
          <w:sz w:val="16"/>
          <w:szCs w:val="16"/>
          <w:lang w:val="es-ES_tradnl"/>
        </w:rPr>
        <w:t>Cruz, claramente aleg</w:t>
      </w:r>
      <w:r>
        <w:rPr>
          <w:rFonts w:cs="Times New Roman"/>
          <w:spacing w:val="-6"/>
          <w:sz w:val="16"/>
          <w:szCs w:val="16"/>
          <w:lang w:val="es-ES_tradnl"/>
        </w:rPr>
        <w:t>ó</w:t>
      </w:r>
      <w:r>
        <w:rPr>
          <w:spacing w:val="-6"/>
          <w:sz w:val="16"/>
          <w:szCs w:val="16"/>
          <w:lang w:val="es-ES_tradnl"/>
        </w:rPr>
        <w:t xml:space="preserve"> que existe falta de competencia del </w:t>
      </w:r>
      <w:r>
        <w:rPr>
          <w:spacing w:val="-8"/>
          <w:sz w:val="16"/>
          <w:szCs w:val="16"/>
          <w:lang w:val="es-ES_tradnl"/>
        </w:rPr>
        <w:t xml:space="preserve">Juez Civil para conocer esta demanda, por cuanto de acuerdo </w:t>
      </w:r>
      <w:r>
        <w:rPr>
          <w:spacing w:val="-4"/>
          <w:sz w:val="16"/>
          <w:szCs w:val="16"/>
          <w:lang w:val="es-ES_tradnl"/>
        </w:rPr>
        <w:t>con el Art. 568 del C</w:t>
      </w:r>
      <w:r>
        <w:rPr>
          <w:rFonts w:cs="Times New Roman"/>
          <w:spacing w:val="-4"/>
          <w:sz w:val="16"/>
          <w:szCs w:val="16"/>
          <w:lang w:val="es-ES_tradnl"/>
        </w:rPr>
        <w:t>ó</w:t>
      </w:r>
      <w:r>
        <w:rPr>
          <w:spacing w:val="-4"/>
          <w:sz w:val="16"/>
          <w:szCs w:val="16"/>
          <w:lang w:val="es-ES_tradnl"/>
        </w:rPr>
        <w:t xml:space="preserve">digo del Trabajo, al derivar y provenir </w:t>
      </w:r>
      <w:r>
        <w:rPr>
          <w:spacing w:val="-2"/>
          <w:sz w:val="16"/>
          <w:szCs w:val="16"/>
          <w:lang w:val="es-ES_tradnl"/>
        </w:rPr>
        <w:t>de una relaci</w:t>
      </w:r>
      <w:r>
        <w:rPr>
          <w:rFonts w:cs="Times New Roman"/>
          <w:spacing w:val="-2"/>
          <w:sz w:val="16"/>
          <w:szCs w:val="16"/>
          <w:lang w:val="es-ES_tradnl"/>
        </w:rPr>
        <w:t>ó</w:t>
      </w:r>
      <w:r>
        <w:rPr>
          <w:spacing w:val="-2"/>
          <w:sz w:val="16"/>
          <w:szCs w:val="16"/>
          <w:lang w:val="es-ES_tradnl"/>
        </w:rPr>
        <w:t>n laboral la acci</w:t>
      </w:r>
      <w:r>
        <w:rPr>
          <w:rFonts w:cs="Times New Roman"/>
          <w:spacing w:val="-2"/>
          <w:sz w:val="16"/>
          <w:szCs w:val="16"/>
          <w:lang w:val="es-ES_tradnl"/>
        </w:rPr>
        <w:t>ó</w:t>
      </w:r>
      <w:r>
        <w:rPr>
          <w:spacing w:val="-2"/>
          <w:sz w:val="16"/>
          <w:szCs w:val="16"/>
          <w:lang w:val="es-ES_tradnl"/>
        </w:rPr>
        <w:t xml:space="preserve">n y el documento que se </w:t>
      </w:r>
      <w:r>
        <w:rPr>
          <w:spacing w:val="-6"/>
          <w:sz w:val="16"/>
          <w:szCs w:val="16"/>
          <w:lang w:val="es-ES_tradnl"/>
        </w:rPr>
        <w:t>funda el actor, esto correspond</w:t>
      </w:r>
      <w:r>
        <w:rPr>
          <w:rFonts w:cs="Times New Roman"/>
          <w:spacing w:val="-6"/>
          <w:sz w:val="16"/>
          <w:szCs w:val="16"/>
          <w:lang w:val="es-ES_tradnl"/>
        </w:rPr>
        <w:t>í</w:t>
      </w:r>
      <w:r>
        <w:rPr>
          <w:spacing w:val="-6"/>
          <w:sz w:val="16"/>
          <w:szCs w:val="16"/>
          <w:lang w:val="es-ES_tradnl"/>
        </w:rPr>
        <w:t xml:space="preserve">a conocer, tramitar y resolver </w:t>
      </w:r>
      <w:r>
        <w:rPr>
          <w:spacing w:val="-7"/>
          <w:sz w:val="16"/>
          <w:szCs w:val="16"/>
          <w:lang w:val="es-ES_tradnl"/>
        </w:rPr>
        <w:t xml:space="preserve">exclusivamente al Juez de Trabajo que tiene COMPETENCIA </w:t>
      </w:r>
      <w:r>
        <w:rPr>
          <w:sz w:val="16"/>
          <w:szCs w:val="16"/>
          <w:lang w:val="es-ES_tradnl"/>
        </w:rPr>
        <w:t>PRIVATIVA (</w:t>
      </w:r>
      <w:r>
        <w:rPr>
          <w:rFonts w:cs="Times New Roman"/>
          <w:sz w:val="16"/>
          <w:szCs w:val="16"/>
          <w:lang w:val="es-ES_tradnl"/>
        </w:rPr>
        <w:t>…</w:t>
      </w:r>
      <w:r>
        <w:rPr>
          <w:sz w:val="16"/>
          <w:szCs w:val="16"/>
          <w:lang w:val="es-ES_tradnl"/>
        </w:rPr>
        <w:t>).</w:t>
      </w:r>
    </w:p>
    <w:p w14:paraId="4F67B504" w14:textId="77777777" w:rsidR="00591D54" w:rsidRDefault="00591D54">
      <w:pPr>
        <w:shd w:val="clear" w:color="auto" w:fill="FFFFFF"/>
        <w:spacing w:before="211" w:line="221" w:lineRule="exact"/>
        <w:ind w:right="10"/>
        <w:jc w:val="both"/>
      </w:pPr>
      <w:r>
        <w:rPr>
          <w:spacing w:val="-7"/>
          <w:sz w:val="18"/>
          <w:szCs w:val="18"/>
          <w:lang w:val="es-ES_tradnl"/>
        </w:rPr>
        <w:t>El derecho constitucional al debido proceso en la garant</w:t>
      </w:r>
      <w:r>
        <w:rPr>
          <w:rFonts w:cs="Times New Roman"/>
          <w:spacing w:val="-7"/>
          <w:sz w:val="18"/>
          <w:szCs w:val="18"/>
          <w:lang w:val="es-ES_tradnl"/>
        </w:rPr>
        <w:t>í</w:t>
      </w:r>
      <w:r>
        <w:rPr>
          <w:spacing w:val="-7"/>
          <w:sz w:val="18"/>
          <w:szCs w:val="18"/>
          <w:lang w:val="es-ES_tradnl"/>
        </w:rPr>
        <w:t xml:space="preserve">a </w:t>
      </w:r>
      <w:r>
        <w:rPr>
          <w:spacing w:val="-8"/>
          <w:sz w:val="18"/>
          <w:szCs w:val="18"/>
          <w:lang w:val="es-ES_tradnl"/>
        </w:rPr>
        <w:t xml:space="preserve">de ser juzgado por un juez competente, es un derecho que </w:t>
      </w:r>
      <w:r>
        <w:rPr>
          <w:spacing w:val="-7"/>
          <w:sz w:val="18"/>
          <w:szCs w:val="18"/>
          <w:lang w:val="es-ES_tradnl"/>
        </w:rPr>
        <w:t>se encuentra reconocido en el art</w:t>
      </w:r>
      <w:r>
        <w:rPr>
          <w:rFonts w:cs="Times New Roman"/>
          <w:spacing w:val="-7"/>
          <w:sz w:val="18"/>
          <w:szCs w:val="18"/>
          <w:lang w:val="es-ES_tradnl"/>
        </w:rPr>
        <w:t>í</w:t>
      </w:r>
      <w:r>
        <w:rPr>
          <w:spacing w:val="-7"/>
          <w:sz w:val="18"/>
          <w:szCs w:val="18"/>
          <w:lang w:val="es-ES_tradnl"/>
        </w:rPr>
        <w:t xml:space="preserve">culo 76 numeral 3 de la </w:t>
      </w:r>
      <w:r>
        <w:rPr>
          <w:spacing w:val="-6"/>
          <w:sz w:val="18"/>
          <w:szCs w:val="18"/>
          <w:lang w:val="es-ES_tradnl"/>
        </w:rPr>
        <w:t>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 el cual determina:</w:t>
      </w:r>
    </w:p>
    <w:p w14:paraId="4F67B505" w14:textId="77777777" w:rsidR="00591D54" w:rsidRDefault="00591D54">
      <w:pPr>
        <w:shd w:val="clear" w:color="auto" w:fill="FFFFFF"/>
        <w:spacing w:before="206" w:line="221" w:lineRule="exact"/>
        <w:ind w:left="283" w:right="10"/>
        <w:jc w:val="both"/>
      </w:pPr>
      <w:r>
        <w:rPr>
          <w:spacing w:val="-3"/>
          <w:sz w:val="16"/>
          <w:szCs w:val="16"/>
          <w:lang w:val="es-ES_tradnl"/>
        </w:rPr>
        <w:t xml:space="preserve">En todo proceso en el que se determinen derechos y </w:t>
      </w:r>
      <w:r>
        <w:rPr>
          <w:spacing w:val="-7"/>
          <w:sz w:val="16"/>
          <w:szCs w:val="16"/>
          <w:lang w:val="es-ES_tradnl"/>
        </w:rPr>
        <w:t>obligaciones de cualquier orden, se asegurar</w:t>
      </w:r>
      <w:r>
        <w:rPr>
          <w:rFonts w:cs="Times New Roman"/>
          <w:spacing w:val="-7"/>
          <w:sz w:val="16"/>
          <w:szCs w:val="16"/>
          <w:lang w:val="es-ES_tradnl"/>
        </w:rPr>
        <w:t>á</w:t>
      </w:r>
      <w:r>
        <w:rPr>
          <w:spacing w:val="-7"/>
          <w:sz w:val="16"/>
          <w:szCs w:val="16"/>
          <w:lang w:val="es-ES_tradnl"/>
        </w:rPr>
        <w:t xml:space="preserve"> el derecho al debido proceso que incluir</w:t>
      </w:r>
      <w:r>
        <w:rPr>
          <w:rFonts w:cs="Times New Roman"/>
          <w:spacing w:val="-7"/>
          <w:sz w:val="16"/>
          <w:szCs w:val="16"/>
          <w:lang w:val="es-ES_tradnl"/>
        </w:rPr>
        <w:t>á</w:t>
      </w:r>
      <w:r>
        <w:rPr>
          <w:spacing w:val="-7"/>
          <w:sz w:val="16"/>
          <w:szCs w:val="16"/>
          <w:lang w:val="es-ES_tradnl"/>
        </w:rPr>
        <w:t xml:space="preserve"> las siguientes garant</w:t>
      </w:r>
      <w:r>
        <w:rPr>
          <w:rFonts w:cs="Times New Roman"/>
          <w:spacing w:val="-7"/>
          <w:sz w:val="16"/>
          <w:szCs w:val="16"/>
          <w:lang w:val="es-ES_tradnl"/>
        </w:rPr>
        <w:t>í</w:t>
      </w:r>
      <w:r>
        <w:rPr>
          <w:spacing w:val="-7"/>
          <w:sz w:val="16"/>
          <w:szCs w:val="16"/>
          <w:lang w:val="es-ES_tradnl"/>
        </w:rPr>
        <w:t>as b</w:t>
      </w:r>
      <w:r>
        <w:rPr>
          <w:rFonts w:cs="Times New Roman"/>
          <w:spacing w:val="-7"/>
          <w:sz w:val="16"/>
          <w:szCs w:val="16"/>
          <w:lang w:val="es-ES_tradnl"/>
        </w:rPr>
        <w:t>á</w:t>
      </w:r>
      <w:r>
        <w:rPr>
          <w:spacing w:val="-7"/>
          <w:sz w:val="16"/>
          <w:szCs w:val="16"/>
          <w:lang w:val="es-ES_tradnl"/>
        </w:rPr>
        <w:t xml:space="preserve">sicas: </w:t>
      </w:r>
      <w:r>
        <w:rPr>
          <w:spacing w:val="-5"/>
          <w:sz w:val="16"/>
          <w:szCs w:val="16"/>
          <w:lang w:val="es-ES_tradnl"/>
        </w:rPr>
        <w:t>(</w:t>
      </w:r>
      <w:r>
        <w:rPr>
          <w:rFonts w:cs="Times New Roman"/>
          <w:spacing w:val="-5"/>
          <w:sz w:val="16"/>
          <w:szCs w:val="16"/>
          <w:lang w:val="es-ES_tradnl"/>
        </w:rPr>
        <w:t>…</w:t>
      </w:r>
      <w:r>
        <w:rPr>
          <w:spacing w:val="-5"/>
          <w:sz w:val="16"/>
          <w:szCs w:val="16"/>
          <w:lang w:val="es-ES_tradnl"/>
        </w:rPr>
        <w:t>) 3. Nadie podr</w:t>
      </w:r>
      <w:r>
        <w:rPr>
          <w:rFonts w:cs="Times New Roman"/>
          <w:spacing w:val="-5"/>
          <w:sz w:val="16"/>
          <w:szCs w:val="16"/>
          <w:lang w:val="es-ES_tradnl"/>
        </w:rPr>
        <w:t>á</w:t>
      </w:r>
      <w:r>
        <w:rPr>
          <w:spacing w:val="-5"/>
          <w:sz w:val="16"/>
          <w:szCs w:val="16"/>
          <w:lang w:val="es-ES_tradnl"/>
        </w:rPr>
        <w:t xml:space="preserve"> ser juzgado ni sancionado por un acto u </w:t>
      </w:r>
      <w:r>
        <w:rPr>
          <w:spacing w:val="-9"/>
          <w:sz w:val="16"/>
          <w:szCs w:val="16"/>
          <w:lang w:val="es-ES_tradnl"/>
        </w:rPr>
        <w:t>omisi</w:t>
      </w:r>
      <w:r>
        <w:rPr>
          <w:rFonts w:cs="Times New Roman"/>
          <w:spacing w:val="-9"/>
          <w:sz w:val="16"/>
          <w:szCs w:val="16"/>
          <w:lang w:val="es-ES_tradnl"/>
        </w:rPr>
        <w:t>ó</w:t>
      </w:r>
      <w:r>
        <w:rPr>
          <w:spacing w:val="-9"/>
          <w:sz w:val="16"/>
          <w:szCs w:val="16"/>
          <w:lang w:val="es-ES_tradnl"/>
        </w:rPr>
        <w:t>n que, al momento de cometerse, no est</w:t>
      </w:r>
      <w:r>
        <w:rPr>
          <w:rFonts w:cs="Times New Roman"/>
          <w:spacing w:val="-9"/>
          <w:sz w:val="16"/>
          <w:szCs w:val="16"/>
          <w:lang w:val="es-ES_tradnl"/>
        </w:rPr>
        <w:t>é</w:t>
      </w:r>
      <w:r>
        <w:rPr>
          <w:spacing w:val="-9"/>
          <w:sz w:val="16"/>
          <w:szCs w:val="16"/>
          <w:lang w:val="es-ES_tradnl"/>
        </w:rPr>
        <w:t xml:space="preserve"> tipificado en la </w:t>
      </w:r>
      <w:r>
        <w:rPr>
          <w:spacing w:val="-7"/>
          <w:sz w:val="16"/>
          <w:szCs w:val="16"/>
          <w:lang w:val="es-ES_tradnl"/>
        </w:rPr>
        <w:t>ley como infracci</w:t>
      </w:r>
      <w:r>
        <w:rPr>
          <w:rFonts w:cs="Times New Roman"/>
          <w:spacing w:val="-7"/>
          <w:sz w:val="16"/>
          <w:szCs w:val="16"/>
          <w:lang w:val="es-ES_tradnl"/>
        </w:rPr>
        <w:t>ó</w:t>
      </w:r>
      <w:r>
        <w:rPr>
          <w:spacing w:val="-7"/>
          <w:sz w:val="16"/>
          <w:szCs w:val="16"/>
          <w:lang w:val="es-ES_tradnl"/>
        </w:rPr>
        <w:t xml:space="preserve">n penal, administrativa o de otra naturaleza; </w:t>
      </w:r>
      <w:r>
        <w:rPr>
          <w:spacing w:val="-6"/>
          <w:sz w:val="16"/>
          <w:szCs w:val="16"/>
          <w:lang w:val="es-ES_tradnl"/>
        </w:rPr>
        <w:t>ni se le aplicar</w:t>
      </w:r>
      <w:r>
        <w:rPr>
          <w:rFonts w:cs="Times New Roman"/>
          <w:spacing w:val="-6"/>
          <w:sz w:val="16"/>
          <w:szCs w:val="16"/>
          <w:lang w:val="es-ES_tradnl"/>
        </w:rPr>
        <w:t>á</w:t>
      </w:r>
      <w:r>
        <w:rPr>
          <w:spacing w:val="-6"/>
          <w:sz w:val="16"/>
          <w:szCs w:val="16"/>
          <w:lang w:val="es-ES_tradnl"/>
        </w:rPr>
        <w:t xml:space="preserve"> una sanci</w:t>
      </w:r>
      <w:r>
        <w:rPr>
          <w:rFonts w:cs="Times New Roman"/>
          <w:spacing w:val="-6"/>
          <w:sz w:val="16"/>
          <w:szCs w:val="16"/>
          <w:lang w:val="es-ES_tradnl"/>
        </w:rPr>
        <w:t>ó</w:t>
      </w:r>
      <w:r>
        <w:rPr>
          <w:spacing w:val="-6"/>
          <w:sz w:val="16"/>
          <w:szCs w:val="16"/>
          <w:lang w:val="es-ES_tradnl"/>
        </w:rPr>
        <w:t>n no prevista por la Constituci</w:t>
      </w:r>
      <w:r>
        <w:rPr>
          <w:rFonts w:cs="Times New Roman"/>
          <w:spacing w:val="-6"/>
          <w:sz w:val="16"/>
          <w:szCs w:val="16"/>
          <w:lang w:val="es-ES_tradnl"/>
        </w:rPr>
        <w:t>ó</w:t>
      </w:r>
      <w:r>
        <w:rPr>
          <w:spacing w:val="-6"/>
          <w:sz w:val="16"/>
          <w:szCs w:val="16"/>
          <w:lang w:val="es-ES_tradnl"/>
        </w:rPr>
        <w:t xml:space="preserve">n o </w:t>
      </w:r>
      <w:r>
        <w:rPr>
          <w:spacing w:val="-7"/>
          <w:sz w:val="16"/>
          <w:szCs w:val="16"/>
          <w:lang w:val="es-ES_tradnl"/>
        </w:rPr>
        <w:t xml:space="preserve">la ley. </w:t>
      </w:r>
      <w:r>
        <w:rPr>
          <w:b/>
          <w:bCs/>
          <w:spacing w:val="-7"/>
          <w:sz w:val="16"/>
          <w:szCs w:val="16"/>
          <w:lang w:val="es-ES_tradnl"/>
        </w:rPr>
        <w:t>S</w:t>
      </w:r>
      <w:r>
        <w:rPr>
          <w:rFonts w:cs="Times New Roman"/>
          <w:b/>
          <w:bCs/>
          <w:spacing w:val="-7"/>
          <w:sz w:val="16"/>
          <w:szCs w:val="16"/>
          <w:lang w:val="es-ES_tradnl"/>
        </w:rPr>
        <w:t>ó</w:t>
      </w:r>
      <w:r>
        <w:rPr>
          <w:b/>
          <w:bCs/>
          <w:spacing w:val="-7"/>
          <w:sz w:val="16"/>
          <w:szCs w:val="16"/>
          <w:lang w:val="es-ES_tradnl"/>
        </w:rPr>
        <w:t>lo se podr</w:t>
      </w:r>
      <w:r>
        <w:rPr>
          <w:rFonts w:cs="Times New Roman"/>
          <w:b/>
          <w:bCs/>
          <w:spacing w:val="-7"/>
          <w:sz w:val="16"/>
          <w:szCs w:val="16"/>
          <w:lang w:val="es-ES_tradnl"/>
        </w:rPr>
        <w:t>á</w:t>
      </w:r>
      <w:r>
        <w:rPr>
          <w:b/>
          <w:bCs/>
          <w:spacing w:val="-7"/>
          <w:sz w:val="16"/>
          <w:szCs w:val="16"/>
          <w:lang w:val="es-ES_tradnl"/>
        </w:rPr>
        <w:t xml:space="preserve"> juzgar a una persona ante un juez o </w:t>
      </w:r>
      <w:r>
        <w:rPr>
          <w:b/>
          <w:bCs/>
          <w:spacing w:val="-10"/>
          <w:sz w:val="16"/>
          <w:szCs w:val="16"/>
          <w:lang w:val="es-ES_tradnl"/>
        </w:rPr>
        <w:t>autoridad competente y con observancia del tr</w:t>
      </w:r>
      <w:r>
        <w:rPr>
          <w:rFonts w:cs="Times New Roman"/>
          <w:b/>
          <w:bCs/>
          <w:spacing w:val="-10"/>
          <w:sz w:val="16"/>
          <w:szCs w:val="16"/>
          <w:lang w:val="es-ES_tradnl"/>
        </w:rPr>
        <w:t>á</w:t>
      </w:r>
      <w:r>
        <w:rPr>
          <w:b/>
          <w:bCs/>
          <w:spacing w:val="-10"/>
          <w:sz w:val="16"/>
          <w:szCs w:val="16"/>
          <w:lang w:val="es-ES_tradnl"/>
        </w:rPr>
        <w:t xml:space="preserve">mite propio </w:t>
      </w:r>
      <w:r>
        <w:rPr>
          <w:b/>
          <w:bCs/>
          <w:spacing w:val="-7"/>
          <w:sz w:val="16"/>
          <w:szCs w:val="16"/>
          <w:lang w:val="es-ES_tradnl"/>
        </w:rPr>
        <w:t>de cada procedimiento</w:t>
      </w:r>
      <w:r>
        <w:rPr>
          <w:spacing w:val="-7"/>
          <w:sz w:val="16"/>
          <w:szCs w:val="16"/>
          <w:lang w:val="es-ES_tradnl"/>
        </w:rPr>
        <w:t>. (Lo resaltado fuera del texto).</w:t>
      </w:r>
    </w:p>
    <w:p w14:paraId="4F67B506" w14:textId="77777777" w:rsidR="00591D54" w:rsidRDefault="00591D54">
      <w:pPr>
        <w:shd w:val="clear" w:color="auto" w:fill="FFFFFF"/>
        <w:spacing w:before="211" w:line="221" w:lineRule="exact"/>
        <w:ind w:right="10"/>
        <w:jc w:val="both"/>
      </w:pPr>
      <w:r>
        <w:rPr>
          <w:spacing w:val="-5"/>
          <w:sz w:val="18"/>
          <w:szCs w:val="18"/>
          <w:lang w:val="es-ES_tradnl"/>
        </w:rPr>
        <w:t xml:space="preserve">Este derecho se encuentra </w:t>
      </w:r>
      <w:r>
        <w:rPr>
          <w:rFonts w:cs="Times New Roman"/>
          <w:spacing w:val="-5"/>
          <w:sz w:val="18"/>
          <w:szCs w:val="18"/>
          <w:lang w:val="es-ES_tradnl"/>
        </w:rPr>
        <w:t>í</w:t>
      </w:r>
      <w:r>
        <w:rPr>
          <w:spacing w:val="-5"/>
          <w:sz w:val="18"/>
          <w:szCs w:val="18"/>
          <w:lang w:val="es-ES_tradnl"/>
        </w:rPr>
        <w:t xml:space="preserve">ntimamente relacionado con </w:t>
      </w:r>
      <w:r>
        <w:rPr>
          <w:spacing w:val="-4"/>
          <w:sz w:val="18"/>
          <w:szCs w:val="18"/>
          <w:lang w:val="es-ES_tradnl"/>
        </w:rPr>
        <w:t>el derecho constitucional a la seguridad jur</w:t>
      </w:r>
      <w:r>
        <w:rPr>
          <w:rFonts w:cs="Times New Roman"/>
          <w:spacing w:val="-4"/>
          <w:sz w:val="18"/>
          <w:szCs w:val="18"/>
          <w:lang w:val="es-ES_tradnl"/>
        </w:rPr>
        <w:t>í</w:t>
      </w:r>
      <w:r>
        <w:rPr>
          <w:spacing w:val="-4"/>
          <w:sz w:val="18"/>
          <w:szCs w:val="18"/>
          <w:lang w:val="es-ES_tradnl"/>
        </w:rPr>
        <w:t xml:space="preserve">dica, puesto </w:t>
      </w:r>
      <w:r>
        <w:rPr>
          <w:spacing w:val="-10"/>
          <w:sz w:val="18"/>
          <w:szCs w:val="18"/>
          <w:lang w:val="es-ES_tradnl"/>
        </w:rPr>
        <w:t xml:space="preserve">que asegura que todas las personas sean juzgadas de </w:t>
      </w:r>
      <w:r>
        <w:rPr>
          <w:spacing w:val="-6"/>
          <w:sz w:val="18"/>
          <w:szCs w:val="18"/>
          <w:lang w:val="es-ES_tradnl"/>
        </w:rPr>
        <w:t xml:space="preserve">conformidad con lo dispuesto en la normativa y que en tal </w:t>
      </w:r>
      <w:r>
        <w:rPr>
          <w:spacing w:val="-8"/>
          <w:sz w:val="18"/>
          <w:szCs w:val="18"/>
          <w:lang w:val="es-ES_tradnl"/>
        </w:rPr>
        <w:t>sentido, el juzgamiento se efect</w:t>
      </w:r>
      <w:r>
        <w:rPr>
          <w:rFonts w:cs="Times New Roman"/>
          <w:spacing w:val="-8"/>
          <w:sz w:val="18"/>
          <w:szCs w:val="18"/>
          <w:lang w:val="es-ES_tradnl"/>
        </w:rPr>
        <w:t>ú</w:t>
      </w:r>
      <w:r>
        <w:rPr>
          <w:spacing w:val="-8"/>
          <w:sz w:val="18"/>
          <w:szCs w:val="18"/>
          <w:lang w:val="es-ES_tradnl"/>
        </w:rPr>
        <w:t xml:space="preserve">e de conformidad con una </w:t>
      </w:r>
      <w:r>
        <w:rPr>
          <w:spacing w:val="-9"/>
          <w:sz w:val="18"/>
          <w:szCs w:val="18"/>
          <w:lang w:val="es-ES_tradnl"/>
        </w:rPr>
        <w:t xml:space="preserve">norma que se encuentre vigente al momento de cometerse </w:t>
      </w:r>
      <w:r>
        <w:rPr>
          <w:spacing w:val="-6"/>
          <w:sz w:val="18"/>
          <w:szCs w:val="18"/>
          <w:lang w:val="es-ES_tradnl"/>
        </w:rPr>
        <w:t>una infracci</w:t>
      </w:r>
      <w:r>
        <w:rPr>
          <w:rFonts w:cs="Times New Roman"/>
          <w:spacing w:val="-6"/>
          <w:sz w:val="18"/>
          <w:szCs w:val="18"/>
          <w:lang w:val="es-ES_tradnl"/>
        </w:rPr>
        <w:t>ó</w:t>
      </w:r>
      <w:r>
        <w:rPr>
          <w:spacing w:val="-6"/>
          <w:sz w:val="18"/>
          <w:szCs w:val="18"/>
          <w:lang w:val="es-ES_tradnl"/>
        </w:rPr>
        <w:t xml:space="preserve">n y por un juez competente que observe el </w:t>
      </w:r>
      <w:r>
        <w:rPr>
          <w:sz w:val="18"/>
          <w:szCs w:val="18"/>
          <w:lang w:val="es-ES_tradnl"/>
        </w:rPr>
        <w:t>tr</w:t>
      </w:r>
      <w:r>
        <w:rPr>
          <w:rFonts w:cs="Times New Roman"/>
          <w:sz w:val="18"/>
          <w:szCs w:val="18"/>
          <w:lang w:val="es-ES_tradnl"/>
        </w:rPr>
        <w:t>á</w:t>
      </w:r>
      <w:r>
        <w:rPr>
          <w:sz w:val="18"/>
          <w:szCs w:val="18"/>
          <w:lang w:val="es-ES_tradnl"/>
        </w:rPr>
        <w:t>mite propio de cada procedimiento.</w:t>
      </w:r>
    </w:p>
    <w:p w14:paraId="4F67B507" w14:textId="77777777" w:rsidR="00591D54" w:rsidRDefault="00591D54">
      <w:pPr>
        <w:shd w:val="clear" w:color="auto" w:fill="FFFFFF"/>
        <w:spacing w:before="202" w:line="221" w:lineRule="exact"/>
        <w:ind w:right="10"/>
        <w:jc w:val="both"/>
      </w:pPr>
      <w:r>
        <w:rPr>
          <w:spacing w:val="-7"/>
          <w:sz w:val="18"/>
          <w:szCs w:val="18"/>
          <w:lang w:val="es-ES_tradnl"/>
        </w:rPr>
        <w:t xml:space="preserve">De esta forma, se genera la previsibilidad del derecho, ya </w:t>
      </w:r>
      <w:r>
        <w:rPr>
          <w:spacing w:val="-6"/>
          <w:sz w:val="18"/>
          <w:szCs w:val="18"/>
          <w:lang w:val="es-ES_tradnl"/>
        </w:rPr>
        <w:t>que las personas en un proceso de juzgamiento conocen</w:t>
      </w:r>
    </w:p>
    <w:p w14:paraId="4F67B508" w14:textId="77777777" w:rsidR="00591D54" w:rsidRDefault="00591D54">
      <w:pPr>
        <w:shd w:val="clear" w:color="auto" w:fill="FFFFFF"/>
        <w:spacing w:before="202" w:line="221" w:lineRule="exact"/>
        <w:ind w:right="10"/>
        <w:jc w:val="both"/>
        <w:sectPr w:rsidR="00591D54">
          <w:type w:val="continuous"/>
          <w:pgSz w:w="11909" w:h="16834"/>
          <w:pgMar w:top="1368" w:right="1299" w:bottom="360" w:left="1308" w:header="720" w:footer="720" w:gutter="0"/>
          <w:cols w:num="2" w:space="720" w:equalWidth="0">
            <w:col w:w="4305" w:space="682"/>
            <w:col w:w="4315"/>
          </w:cols>
          <w:noEndnote/>
        </w:sectPr>
      </w:pPr>
    </w:p>
    <w:p w14:paraId="4F67B509"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- 215</w:t>
      </w:r>
    </w:p>
    <w:p w14:paraId="4F67B50A" w14:textId="77777777" w:rsidR="00591D54" w:rsidRDefault="00591D54">
      <w:pPr>
        <w:shd w:val="clear" w:color="auto" w:fill="FFFFFF"/>
        <w:tabs>
          <w:tab w:val="left" w:pos="5842"/>
        </w:tabs>
        <w:spacing w:after="235"/>
        <w:ind w:left="5"/>
        <w:sectPr w:rsidR="00591D54">
          <w:pgSz w:w="11909" w:h="16834"/>
          <w:pgMar w:top="1356" w:right="1299" w:bottom="360" w:left="1308" w:header="720" w:footer="720" w:gutter="0"/>
          <w:cols w:space="60"/>
          <w:noEndnote/>
        </w:sectPr>
      </w:pPr>
    </w:p>
    <w:p w14:paraId="4F67B50B" w14:textId="77777777" w:rsidR="00591D54" w:rsidRDefault="00591D54">
      <w:pPr>
        <w:shd w:val="clear" w:color="auto" w:fill="FFFFFF"/>
        <w:spacing w:line="221" w:lineRule="exact"/>
        <w:jc w:val="both"/>
      </w:pPr>
      <w:r>
        <w:rPr>
          <w:spacing w:val="-4"/>
          <w:sz w:val="18"/>
          <w:szCs w:val="18"/>
          <w:lang w:val="es-ES_tradnl"/>
        </w:rPr>
        <w:t>cual va a ser el camino a seguirse y cu</w:t>
      </w:r>
      <w:r>
        <w:rPr>
          <w:rFonts w:cs="Times New Roman"/>
          <w:spacing w:val="-4"/>
          <w:sz w:val="18"/>
          <w:szCs w:val="18"/>
          <w:lang w:val="es-ES_tradnl"/>
        </w:rPr>
        <w:t>á</w:t>
      </w:r>
      <w:r>
        <w:rPr>
          <w:spacing w:val="-4"/>
          <w:sz w:val="18"/>
          <w:szCs w:val="18"/>
          <w:lang w:val="es-ES_tradnl"/>
        </w:rPr>
        <w:t xml:space="preserve">les son los </w:t>
      </w:r>
      <w:r>
        <w:rPr>
          <w:spacing w:val="-8"/>
          <w:sz w:val="18"/>
          <w:szCs w:val="18"/>
          <w:lang w:val="es-ES_tradnl"/>
        </w:rPr>
        <w:t>lineamientos m</w:t>
      </w:r>
      <w:r>
        <w:rPr>
          <w:rFonts w:cs="Times New Roman"/>
          <w:spacing w:val="-8"/>
          <w:sz w:val="18"/>
          <w:szCs w:val="18"/>
          <w:lang w:val="es-ES_tradnl"/>
        </w:rPr>
        <w:t>í</w:t>
      </w:r>
      <w:r>
        <w:rPr>
          <w:spacing w:val="-8"/>
          <w:sz w:val="18"/>
          <w:szCs w:val="18"/>
          <w:lang w:val="es-ES_tradnl"/>
        </w:rPr>
        <w:t>nimos que debe poseer la autoridad judicial para constituirse en competente dentro del proceso.</w:t>
      </w:r>
    </w:p>
    <w:p w14:paraId="4F67B50C" w14:textId="77777777" w:rsidR="00591D54" w:rsidRDefault="00591D54">
      <w:pPr>
        <w:shd w:val="clear" w:color="auto" w:fill="FFFFFF"/>
        <w:spacing w:before="206" w:line="221" w:lineRule="exact"/>
        <w:jc w:val="both"/>
      </w:pPr>
      <w:r>
        <w:rPr>
          <w:spacing w:val="-6"/>
          <w:sz w:val="18"/>
          <w:szCs w:val="18"/>
          <w:lang w:val="es-ES_tradnl"/>
        </w:rPr>
        <w:t>La Corte Constitucional del Ecuador en la sentencia N.</w:t>
      </w:r>
      <w:r>
        <w:rPr>
          <w:rFonts w:cs="Times New Roman"/>
          <w:spacing w:val="-6"/>
          <w:sz w:val="18"/>
          <w:szCs w:val="18"/>
          <w:lang w:val="es-ES_tradnl"/>
        </w:rPr>
        <w:t xml:space="preserve">º </w:t>
      </w:r>
      <w:r>
        <w:rPr>
          <w:spacing w:val="-6"/>
          <w:sz w:val="18"/>
          <w:szCs w:val="18"/>
          <w:lang w:val="es-ES_tradnl"/>
        </w:rPr>
        <w:t>113-15-SEP-CC estableci</w:t>
      </w:r>
      <w:r>
        <w:rPr>
          <w:rFonts w:cs="Times New Roman"/>
          <w:spacing w:val="-6"/>
          <w:sz w:val="18"/>
          <w:szCs w:val="18"/>
          <w:lang w:val="es-ES_tradnl"/>
        </w:rPr>
        <w:t>ó</w:t>
      </w:r>
      <w:r>
        <w:rPr>
          <w:spacing w:val="-6"/>
          <w:sz w:val="18"/>
          <w:szCs w:val="18"/>
          <w:lang w:val="es-ES_tradnl"/>
        </w:rPr>
        <w:t xml:space="preserve">: </w:t>
      </w:r>
      <w:r>
        <w:rPr>
          <w:rFonts w:cs="Times New Roman"/>
          <w:spacing w:val="-6"/>
          <w:sz w:val="18"/>
          <w:szCs w:val="18"/>
          <w:lang w:val="es-ES_tradnl"/>
        </w:rPr>
        <w:t>“</w:t>
      </w:r>
      <w:r>
        <w:rPr>
          <w:spacing w:val="-6"/>
          <w:sz w:val="18"/>
          <w:szCs w:val="18"/>
          <w:lang w:val="es-ES_tradnl"/>
        </w:rPr>
        <w:t xml:space="preserve">Establecido lo anterior, se </w:t>
      </w:r>
      <w:r>
        <w:rPr>
          <w:spacing w:val="-8"/>
          <w:sz w:val="18"/>
          <w:szCs w:val="18"/>
          <w:lang w:val="es-ES_tradnl"/>
        </w:rPr>
        <w:t xml:space="preserve">distingue que toda persona goza del derecho constitucional </w:t>
      </w:r>
      <w:r>
        <w:rPr>
          <w:spacing w:val="-11"/>
          <w:sz w:val="18"/>
          <w:szCs w:val="18"/>
          <w:lang w:val="es-ES_tradnl"/>
        </w:rPr>
        <w:t xml:space="preserve">y convencional de ser juzgado por una autoridad competente </w:t>
      </w:r>
      <w:r>
        <w:rPr>
          <w:spacing w:val="-7"/>
          <w:sz w:val="18"/>
          <w:szCs w:val="18"/>
          <w:lang w:val="es-ES_tradnl"/>
        </w:rPr>
        <w:t>dentro de un proceso, cumpli</w:t>
      </w:r>
      <w:r>
        <w:rPr>
          <w:rFonts w:cs="Times New Roman"/>
          <w:spacing w:val="-7"/>
          <w:sz w:val="18"/>
          <w:szCs w:val="18"/>
          <w:lang w:val="es-ES_tradnl"/>
        </w:rPr>
        <w:t>é</w:t>
      </w:r>
      <w:r>
        <w:rPr>
          <w:spacing w:val="-7"/>
          <w:sz w:val="18"/>
          <w:szCs w:val="18"/>
          <w:lang w:val="es-ES_tradnl"/>
        </w:rPr>
        <w:t xml:space="preserve">ndose reglas previamente </w:t>
      </w:r>
      <w:r>
        <w:rPr>
          <w:spacing w:val="-5"/>
          <w:sz w:val="18"/>
          <w:szCs w:val="18"/>
          <w:lang w:val="es-ES_tradnl"/>
        </w:rPr>
        <w:t xml:space="preserve">establecidas para el desarrollo de cada procedimiento, </w:t>
      </w:r>
      <w:r>
        <w:rPr>
          <w:spacing w:val="-8"/>
          <w:sz w:val="18"/>
          <w:szCs w:val="18"/>
          <w:lang w:val="es-ES_tradnl"/>
        </w:rPr>
        <w:t xml:space="preserve">desde su comienzo hasta el </w:t>
      </w:r>
      <w:r>
        <w:rPr>
          <w:rFonts w:cs="Times New Roman"/>
          <w:spacing w:val="-8"/>
          <w:sz w:val="18"/>
          <w:szCs w:val="18"/>
          <w:lang w:val="es-ES_tradnl"/>
        </w:rPr>
        <w:t>ú</w:t>
      </w:r>
      <w:r>
        <w:rPr>
          <w:spacing w:val="-8"/>
          <w:sz w:val="18"/>
          <w:szCs w:val="18"/>
          <w:lang w:val="es-ES_tradnl"/>
        </w:rPr>
        <w:t>ltimo recurso o instancia</w:t>
      </w:r>
      <w:r>
        <w:rPr>
          <w:rFonts w:cs="Times New Roman"/>
          <w:spacing w:val="-8"/>
          <w:sz w:val="18"/>
          <w:szCs w:val="18"/>
          <w:lang w:val="es-ES_tradnl"/>
        </w:rPr>
        <w:t>”</w:t>
      </w:r>
      <w:r>
        <w:rPr>
          <w:spacing w:val="-8"/>
          <w:sz w:val="18"/>
          <w:szCs w:val="18"/>
          <w:vertAlign w:val="superscript"/>
          <w:lang w:val="es-ES_tradnl"/>
        </w:rPr>
        <w:t>1</w:t>
      </w:r>
      <w:r>
        <w:rPr>
          <w:spacing w:val="-8"/>
          <w:sz w:val="18"/>
          <w:szCs w:val="18"/>
          <w:lang w:val="es-ES_tradnl"/>
        </w:rPr>
        <w:t>.</w:t>
      </w:r>
    </w:p>
    <w:p w14:paraId="4F67B50D" w14:textId="77777777" w:rsidR="00591D54" w:rsidRDefault="00591D54">
      <w:pPr>
        <w:shd w:val="clear" w:color="auto" w:fill="FFFFFF"/>
        <w:spacing w:before="202" w:line="221" w:lineRule="exact"/>
        <w:ind w:right="5"/>
        <w:jc w:val="both"/>
      </w:pPr>
      <w:r>
        <w:rPr>
          <w:spacing w:val="-9"/>
          <w:sz w:val="18"/>
          <w:szCs w:val="18"/>
          <w:lang w:val="es-ES_tradnl"/>
        </w:rPr>
        <w:t>En este sentido, la determinaci</w:t>
      </w:r>
      <w:r>
        <w:rPr>
          <w:rFonts w:cs="Times New Roman"/>
          <w:spacing w:val="-9"/>
          <w:sz w:val="18"/>
          <w:szCs w:val="18"/>
          <w:lang w:val="es-ES_tradnl"/>
        </w:rPr>
        <w:t>ó</w:t>
      </w:r>
      <w:r>
        <w:rPr>
          <w:spacing w:val="-9"/>
          <w:sz w:val="18"/>
          <w:szCs w:val="18"/>
          <w:lang w:val="es-ES_tradnl"/>
        </w:rPr>
        <w:t xml:space="preserve">n de la competencia es una </w:t>
      </w:r>
      <w:r>
        <w:rPr>
          <w:spacing w:val="-11"/>
          <w:sz w:val="18"/>
          <w:szCs w:val="18"/>
          <w:lang w:val="es-ES_tradnl"/>
        </w:rPr>
        <w:t xml:space="preserve">materia que se encuentra regulada por la diferente normativa </w:t>
      </w:r>
      <w:r>
        <w:rPr>
          <w:spacing w:val="-6"/>
          <w:sz w:val="18"/>
          <w:szCs w:val="18"/>
          <w:lang w:val="es-ES_tradnl"/>
        </w:rPr>
        <w:t>que rige cada proceso. As</w:t>
      </w:r>
      <w:r>
        <w:rPr>
          <w:rFonts w:cs="Times New Roman"/>
          <w:spacing w:val="-6"/>
          <w:sz w:val="18"/>
          <w:szCs w:val="18"/>
          <w:lang w:val="es-ES_tradnl"/>
        </w:rPr>
        <w:t>í</w:t>
      </w:r>
      <w:r>
        <w:rPr>
          <w:spacing w:val="-6"/>
          <w:sz w:val="18"/>
          <w:szCs w:val="18"/>
          <w:lang w:val="es-ES_tradnl"/>
        </w:rPr>
        <w:t>, el C</w:t>
      </w:r>
      <w:r>
        <w:rPr>
          <w:rFonts w:cs="Times New Roman"/>
          <w:spacing w:val="-6"/>
          <w:sz w:val="18"/>
          <w:szCs w:val="18"/>
          <w:lang w:val="es-ES_tradnl"/>
        </w:rPr>
        <w:t>ó</w:t>
      </w:r>
      <w:r>
        <w:rPr>
          <w:spacing w:val="-6"/>
          <w:sz w:val="18"/>
          <w:szCs w:val="18"/>
          <w:lang w:val="es-ES_tradnl"/>
        </w:rPr>
        <w:t>digo de Procedimiento Civil determina en su art</w:t>
      </w:r>
      <w:r>
        <w:rPr>
          <w:rFonts w:cs="Times New Roman"/>
          <w:spacing w:val="-6"/>
          <w:sz w:val="18"/>
          <w:szCs w:val="18"/>
          <w:lang w:val="es-ES_tradnl"/>
        </w:rPr>
        <w:t>í</w:t>
      </w:r>
      <w:r>
        <w:rPr>
          <w:spacing w:val="-6"/>
          <w:sz w:val="18"/>
          <w:szCs w:val="18"/>
          <w:lang w:val="es-ES_tradnl"/>
        </w:rPr>
        <w:t xml:space="preserve">culo 1 que la competencia es la </w:t>
      </w:r>
      <w:r>
        <w:rPr>
          <w:spacing w:val="-7"/>
          <w:sz w:val="18"/>
          <w:szCs w:val="18"/>
          <w:lang w:val="es-ES_tradnl"/>
        </w:rPr>
        <w:t>medida dentro de la cual la potestad est</w:t>
      </w:r>
      <w:r>
        <w:rPr>
          <w:rFonts w:cs="Times New Roman"/>
          <w:spacing w:val="-7"/>
          <w:sz w:val="18"/>
          <w:szCs w:val="18"/>
          <w:lang w:val="es-ES_tradnl"/>
        </w:rPr>
        <w:t>á</w:t>
      </w:r>
      <w:r>
        <w:rPr>
          <w:spacing w:val="-7"/>
          <w:sz w:val="18"/>
          <w:szCs w:val="18"/>
          <w:lang w:val="es-ES_tradnl"/>
        </w:rPr>
        <w:t xml:space="preserve"> distribuida entre </w:t>
      </w:r>
      <w:r>
        <w:rPr>
          <w:spacing w:val="-6"/>
          <w:sz w:val="18"/>
          <w:szCs w:val="18"/>
          <w:lang w:val="es-ES_tradnl"/>
        </w:rPr>
        <w:t>los diversos tribunales y juzgados, por raz</w:t>
      </w:r>
      <w:r>
        <w:rPr>
          <w:rFonts w:cs="Times New Roman"/>
          <w:spacing w:val="-6"/>
          <w:sz w:val="18"/>
          <w:szCs w:val="18"/>
          <w:lang w:val="es-ES_tradnl"/>
        </w:rPr>
        <w:t>ó</w:t>
      </w:r>
      <w:r>
        <w:rPr>
          <w:spacing w:val="-6"/>
          <w:sz w:val="18"/>
          <w:szCs w:val="18"/>
          <w:lang w:val="es-ES_tradnl"/>
        </w:rPr>
        <w:t xml:space="preserve">n del territorio, </w:t>
      </w:r>
      <w:r>
        <w:rPr>
          <w:sz w:val="18"/>
          <w:szCs w:val="18"/>
          <w:lang w:val="es-ES_tradnl"/>
        </w:rPr>
        <w:t>la materia, de las personas y los grados.</w:t>
      </w:r>
    </w:p>
    <w:p w14:paraId="4F67B50E" w14:textId="77777777" w:rsidR="00591D54" w:rsidRDefault="00591D54">
      <w:pPr>
        <w:shd w:val="clear" w:color="auto" w:fill="FFFFFF"/>
        <w:spacing w:before="206" w:line="221" w:lineRule="exact"/>
        <w:ind w:right="5"/>
        <w:jc w:val="both"/>
      </w:pPr>
      <w:r>
        <w:rPr>
          <w:spacing w:val="-8"/>
          <w:sz w:val="18"/>
          <w:szCs w:val="18"/>
          <w:lang w:val="es-ES_tradnl"/>
        </w:rPr>
        <w:t xml:space="preserve">La competencia se divide en estos cuatro aspectos y es la </w:t>
      </w:r>
      <w:r>
        <w:rPr>
          <w:spacing w:val="-5"/>
          <w:sz w:val="18"/>
          <w:szCs w:val="18"/>
          <w:lang w:val="es-ES_tradnl"/>
        </w:rPr>
        <w:t xml:space="preserve">normativa infraconstitucional la cual determina su </w:t>
      </w:r>
      <w:r>
        <w:rPr>
          <w:rFonts w:cs="Times New Roman"/>
          <w:spacing w:val="-5"/>
          <w:sz w:val="18"/>
          <w:szCs w:val="18"/>
          <w:lang w:val="es-ES_tradnl"/>
        </w:rPr>
        <w:t>á</w:t>
      </w:r>
      <w:r>
        <w:rPr>
          <w:spacing w:val="-5"/>
          <w:sz w:val="18"/>
          <w:szCs w:val="18"/>
          <w:lang w:val="es-ES_tradnl"/>
        </w:rPr>
        <w:t xml:space="preserve">mbito </w:t>
      </w:r>
      <w:r>
        <w:rPr>
          <w:spacing w:val="-9"/>
          <w:sz w:val="18"/>
          <w:szCs w:val="18"/>
          <w:lang w:val="es-ES_tradnl"/>
        </w:rPr>
        <w:t>de aplicaci</w:t>
      </w:r>
      <w:r>
        <w:rPr>
          <w:rFonts w:cs="Times New Roman"/>
          <w:spacing w:val="-9"/>
          <w:sz w:val="18"/>
          <w:szCs w:val="18"/>
          <w:lang w:val="es-ES_tradnl"/>
        </w:rPr>
        <w:t>ó</w:t>
      </w:r>
      <w:r>
        <w:rPr>
          <w:spacing w:val="-9"/>
          <w:sz w:val="18"/>
          <w:szCs w:val="18"/>
          <w:lang w:val="es-ES_tradnl"/>
        </w:rPr>
        <w:t xml:space="preserve">n. En el caso concreto, el accionante manifiesta </w:t>
      </w:r>
      <w:r>
        <w:rPr>
          <w:spacing w:val="-10"/>
          <w:sz w:val="18"/>
          <w:szCs w:val="18"/>
          <w:lang w:val="es-ES_tradnl"/>
        </w:rPr>
        <w:t>que no se observ</w:t>
      </w:r>
      <w:r>
        <w:rPr>
          <w:rFonts w:cs="Times New Roman"/>
          <w:spacing w:val="-10"/>
          <w:sz w:val="18"/>
          <w:szCs w:val="18"/>
          <w:lang w:val="es-ES_tradnl"/>
        </w:rPr>
        <w:t>ó</w:t>
      </w:r>
      <w:r>
        <w:rPr>
          <w:spacing w:val="-10"/>
          <w:sz w:val="18"/>
          <w:szCs w:val="18"/>
          <w:lang w:val="es-ES_tradnl"/>
        </w:rPr>
        <w:t xml:space="preserve"> lo dispuesto en el art</w:t>
      </w:r>
      <w:r>
        <w:rPr>
          <w:rFonts w:cs="Times New Roman"/>
          <w:spacing w:val="-10"/>
          <w:sz w:val="18"/>
          <w:szCs w:val="18"/>
          <w:lang w:val="es-ES_tradnl"/>
        </w:rPr>
        <w:t>í</w:t>
      </w:r>
      <w:r>
        <w:rPr>
          <w:spacing w:val="-10"/>
          <w:sz w:val="18"/>
          <w:szCs w:val="18"/>
          <w:lang w:val="es-ES_tradnl"/>
        </w:rPr>
        <w:t>culo 568 del C</w:t>
      </w:r>
      <w:r>
        <w:rPr>
          <w:rFonts w:cs="Times New Roman"/>
          <w:spacing w:val="-10"/>
          <w:sz w:val="18"/>
          <w:szCs w:val="18"/>
          <w:lang w:val="es-ES_tradnl"/>
        </w:rPr>
        <w:t>ó</w:t>
      </w:r>
      <w:r>
        <w:rPr>
          <w:spacing w:val="-10"/>
          <w:sz w:val="18"/>
          <w:szCs w:val="18"/>
          <w:lang w:val="es-ES_tradnl"/>
        </w:rPr>
        <w:t xml:space="preserve">digo </w:t>
      </w:r>
      <w:r>
        <w:rPr>
          <w:spacing w:val="-8"/>
          <w:sz w:val="18"/>
          <w:szCs w:val="18"/>
          <w:lang w:val="es-ES_tradnl"/>
        </w:rPr>
        <w:t xml:space="preserve">de Trabajo que consagra: </w:t>
      </w:r>
      <w:r>
        <w:rPr>
          <w:rFonts w:cs="Times New Roman"/>
          <w:spacing w:val="-8"/>
          <w:sz w:val="18"/>
          <w:szCs w:val="18"/>
          <w:lang w:val="es-ES_tradnl"/>
        </w:rPr>
        <w:t>“</w:t>
      </w:r>
      <w:r>
        <w:rPr>
          <w:spacing w:val="-8"/>
          <w:sz w:val="18"/>
          <w:szCs w:val="18"/>
          <w:lang w:val="es-ES_tradnl"/>
        </w:rPr>
        <w:t xml:space="preserve">Los jueces de trabajo ejercen </w:t>
      </w:r>
      <w:r>
        <w:rPr>
          <w:spacing w:val="-6"/>
          <w:sz w:val="18"/>
          <w:szCs w:val="18"/>
          <w:lang w:val="es-ES_tradnl"/>
        </w:rPr>
        <w:t>jurisdicci</w:t>
      </w:r>
      <w:r>
        <w:rPr>
          <w:rFonts w:cs="Times New Roman"/>
          <w:spacing w:val="-6"/>
          <w:sz w:val="18"/>
          <w:szCs w:val="18"/>
          <w:lang w:val="es-ES_tradnl"/>
        </w:rPr>
        <w:t>ó</w:t>
      </w:r>
      <w:r>
        <w:rPr>
          <w:spacing w:val="-6"/>
          <w:sz w:val="18"/>
          <w:szCs w:val="18"/>
          <w:lang w:val="es-ES_tradnl"/>
        </w:rPr>
        <w:t xml:space="preserve">n provincial y tienen competencia privativa para </w:t>
      </w:r>
      <w:r>
        <w:rPr>
          <w:spacing w:val="-7"/>
          <w:sz w:val="18"/>
          <w:szCs w:val="18"/>
          <w:lang w:val="es-ES_tradnl"/>
        </w:rPr>
        <w:t xml:space="preserve">conocer y resolver los confl ictos individuales provenientes </w:t>
      </w:r>
      <w:r>
        <w:rPr>
          <w:spacing w:val="-9"/>
          <w:sz w:val="18"/>
          <w:szCs w:val="18"/>
          <w:lang w:val="es-ES_tradnl"/>
        </w:rPr>
        <w:t xml:space="preserve">de relaciones de trabajo, y que no se encuentren sometidos </w:t>
      </w:r>
      <w:r>
        <w:rPr>
          <w:spacing w:val="-6"/>
          <w:sz w:val="18"/>
          <w:szCs w:val="18"/>
          <w:lang w:val="es-ES_tradnl"/>
        </w:rPr>
        <w:t>a la decisi</w:t>
      </w:r>
      <w:r>
        <w:rPr>
          <w:rFonts w:cs="Times New Roman"/>
          <w:spacing w:val="-6"/>
          <w:sz w:val="18"/>
          <w:szCs w:val="18"/>
          <w:lang w:val="es-ES_tradnl"/>
        </w:rPr>
        <w:t>ó</w:t>
      </w:r>
      <w:r>
        <w:rPr>
          <w:spacing w:val="-6"/>
          <w:sz w:val="18"/>
          <w:szCs w:val="18"/>
          <w:lang w:val="es-ES_tradnl"/>
        </w:rPr>
        <w:t>n de otra autoridad</w:t>
      </w:r>
      <w:r>
        <w:rPr>
          <w:rFonts w:cs="Times New Roman"/>
          <w:spacing w:val="-6"/>
          <w:sz w:val="18"/>
          <w:szCs w:val="18"/>
          <w:lang w:val="es-ES_tradnl"/>
        </w:rPr>
        <w:t>”</w:t>
      </w:r>
      <w:r>
        <w:rPr>
          <w:spacing w:val="-6"/>
          <w:sz w:val="18"/>
          <w:szCs w:val="18"/>
          <w:lang w:val="es-ES_tradnl"/>
        </w:rPr>
        <w:t>. Los jueces de trabajo conforme lo dispuesto en el C</w:t>
      </w:r>
      <w:r>
        <w:rPr>
          <w:rFonts w:cs="Times New Roman"/>
          <w:spacing w:val="-6"/>
          <w:sz w:val="18"/>
          <w:szCs w:val="18"/>
          <w:lang w:val="es-ES_tradnl"/>
        </w:rPr>
        <w:t>ó</w:t>
      </w:r>
      <w:r>
        <w:rPr>
          <w:spacing w:val="-6"/>
          <w:sz w:val="18"/>
          <w:szCs w:val="18"/>
          <w:lang w:val="es-ES_tradnl"/>
        </w:rPr>
        <w:t xml:space="preserve">digo de Trabajo tienen </w:t>
      </w:r>
      <w:r>
        <w:rPr>
          <w:spacing w:val="-7"/>
          <w:sz w:val="18"/>
          <w:szCs w:val="18"/>
          <w:lang w:val="es-ES_tradnl"/>
        </w:rPr>
        <w:t xml:space="preserve">competencia para conocer los confl ictos provenientes de </w:t>
      </w:r>
      <w:r>
        <w:rPr>
          <w:sz w:val="18"/>
          <w:szCs w:val="18"/>
          <w:lang w:val="es-ES_tradnl"/>
        </w:rPr>
        <w:t>relaciones de trabajo.</w:t>
      </w:r>
    </w:p>
    <w:p w14:paraId="4F67B50F" w14:textId="77777777" w:rsidR="00591D54" w:rsidRDefault="00591D54">
      <w:pPr>
        <w:shd w:val="clear" w:color="auto" w:fill="FFFFFF"/>
        <w:spacing w:before="202" w:line="221" w:lineRule="exact"/>
        <w:ind w:right="5"/>
        <w:jc w:val="both"/>
      </w:pPr>
      <w:r>
        <w:rPr>
          <w:spacing w:val="-6"/>
          <w:sz w:val="18"/>
          <w:szCs w:val="18"/>
          <w:lang w:val="es-ES_tradnl"/>
        </w:rPr>
        <w:t>En el caso concreto, como producto de la terminaci</w:t>
      </w:r>
      <w:r>
        <w:rPr>
          <w:rFonts w:cs="Times New Roman"/>
          <w:spacing w:val="-6"/>
          <w:sz w:val="18"/>
          <w:szCs w:val="18"/>
          <w:lang w:val="es-ES_tradnl"/>
        </w:rPr>
        <w:t>ó</w:t>
      </w:r>
      <w:r>
        <w:rPr>
          <w:spacing w:val="-6"/>
          <w:sz w:val="18"/>
          <w:szCs w:val="18"/>
          <w:lang w:val="es-ES_tradnl"/>
        </w:rPr>
        <w:t xml:space="preserve">n de </w:t>
      </w:r>
      <w:r>
        <w:rPr>
          <w:spacing w:val="-7"/>
          <w:sz w:val="18"/>
          <w:szCs w:val="18"/>
          <w:lang w:val="es-ES_tradnl"/>
        </w:rPr>
        <w:t>la relaci</w:t>
      </w:r>
      <w:r>
        <w:rPr>
          <w:rFonts w:cs="Times New Roman"/>
          <w:spacing w:val="-7"/>
          <w:sz w:val="18"/>
          <w:szCs w:val="18"/>
          <w:lang w:val="es-ES_tradnl"/>
        </w:rPr>
        <w:t>ó</w:t>
      </w:r>
      <w:r>
        <w:rPr>
          <w:spacing w:val="-7"/>
          <w:sz w:val="18"/>
          <w:szCs w:val="18"/>
          <w:lang w:val="es-ES_tradnl"/>
        </w:rPr>
        <w:t>n laboral entre EP PETROECUADOR y el se</w:t>
      </w:r>
      <w:r>
        <w:rPr>
          <w:rFonts w:cs="Times New Roman"/>
          <w:spacing w:val="-7"/>
          <w:sz w:val="18"/>
          <w:szCs w:val="18"/>
          <w:lang w:val="es-ES_tradnl"/>
        </w:rPr>
        <w:t>ñ</w:t>
      </w:r>
      <w:r>
        <w:rPr>
          <w:spacing w:val="-7"/>
          <w:sz w:val="18"/>
          <w:szCs w:val="18"/>
          <w:lang w:val="es-ES_tradnl"/>
        </w:rPr>
        <w:t xml:space="preserve">or </w:t>
      </w:r>
      <w:r>
        <w:rPr>
          <w:spacing w:val="-9"/>
          <w:sz w:val="18"/>
          <w:szCs w:val="18"/>
          <w:lang w:val="es-ES_tradnl"/>
        </w:rPr>
        <w:t>Francisco Manuel Eduardo Naranjo Cruz, se firm</w:t>
      </w:r>
      <w:r>
        <w:rPr>
          <w:rFonts w:cs="Times New Roman"/>
          <w:spacing w:val="-9"/>
          <w:sz w:val="18"/>
          <w:szCs w:val="18"/>
          <w:lang w:val="es-ES_tradnl"/>
        </w:rPr>
        <w:t>ó</w:t>
      </w:r>
      <w:r>
        <w:rPr>
          <w:spacing w:val="-9"/>
          <w:sz w:val="18"/>
          <w:szCs w:val="18"/>
          <w:lang w:val="es-ES_tradnl"/>
        </w:rPr>
        <w:t xml:space="preserve"> un </w:t>
      </w:r>
      <w:r>
        <w:rPr>
          <w:rFonts w:cs="Times New Roman"/>
          <w:spacing w:val="-9"/>
          <w:sz w:val="18"/>
          <w:szCs w:val="18"/>
          <w:lang w:val="es-ES_tradnl"/>
        </w:rPr>
        <w:t>“</w:t>
      </w:r>
      <w:r>
        <w:rPr>
          <w:spacing w:val="-9"/>
          <w:sz w:val="18"/>
          <w:szCs w:val="18"/>
          <w:lang w:val="es-ES_tradnl"/>
        </w:rPr>
        <w:t xml:space="preserve">Acta </w:t>
      </w:r>
      <w:r>
        <w:rPr>
          <w:spacing w:val="-5"/>
          <w:sz w:val="18"/>
          <w:szCs w:val="18"/>
          <w:lang w:val="es-ES_tradnl"/>
        </w:rPr>
        <w:t>de pago de contribuci</w:t>
      </w:r>
      <w:r>
        <w:rPr>
          <w:rFonts w:cs="Times New Roman"/>
          <w:spacing w:val="-5"/>
          <w:sz w:val="18"/>
          <w:szCs w:val="18"/>
          <w:lang w:val="es-ES_tradnl"/>
        </w:rPr>
        <w:t>ó</w:t>
      </w:r>
      <w:r>
        <w:rPr>
          <w:spacing w:val="-5"/>
          <w:sz w:val="18"/>
          <w:szCs w:val="18"/>
          <w:lang w:val="es-ES_tradnl"/>
        </w:rPr>
        <w:t>n por separaci</w:t>
      </w:r>
      <w:r>
        <w:rPr>
          <w:rFonts w:cs="Times New Roman"/>
          <w:spacing w:val="-5"/>
          <w:sz w:val="18"/>
          <w:szCs w:val="18"/>
          <w:lang w:val="es-ES_tradnl"/>
        </w:rPr>
        <w:t>ó</w:t>
      </w:r>
      <w:r>
        <w:rPr>
          <w:spacing w:val="-5"/>
          <w:sz w:val="18"/>
          <w:szCs w:val="18"/>
          <w:lang w:val="es-ES_tradnl"/>
        </w:rPr>
        <w:t>n voluntaria</w:t>
      </w:r>
      <w:r>
        <w:rPr>
          <w:rFonts w:cs="Times New Roman"/>
          <w:spacing w:val="-5"/>
          <w:sz w:val="18"/>
          <w:szCs w:val="18"/>
          <w:lang w:val="es-ES_tradnl"/>
        </w:rPr>
        <w:t>”</w:t>
      </w:r>
      <w:r>
        <w:rPr>
          <w:spacing w:val="-5"/>
          <w:sz w:val="18"/>
          <w:szCs w:val="18"/>
          <w:lang w:val="es-ES_tradnl"/>
        </w:rPr>
        <w:t xml:space="preserve"> en la </w:t>
      </w:r>
      <w:r>
        <w:rPr>
          <w:spacing w:val="-7"/>
          <w:sz w:val="18"/>
          <w:szCs w:val="18"/>
          <w:lang w:val="es-ES_tradnl"/>
        </w:rPr>
        <w:t>cual, se determin</w:t>
      </w:r>
      <w:r>
        <w:rPr>
          <w:rFonts w:cs="Times New Roman"/>
          <w:spacing w:val="-7"/>
          <w:sz w:val="18"/>
          <w:szCs w:val="18"/>
          <w:lang w:val="es-ES_tradnl"/>
        </w:rPr>
        <w:t>ó</w:t>
      </w:r>
      <w:r>
        <w:rPr>
          <w:spacing w:val="-7"/>
          <w:sz w:val="18"/>
          <w:szCs w:val="18"/>
          <w:lang w:val="es-ES_tradnl"/>
        </w:rPr>
        <w:t xml:space="preserve"> los rubros que le correspond</w:t>
      </w:r>
      <w:r>
        <w:rPr>
          <w:rFonts w:cs="Times New Roman"/>
          <w:spacing w:val="-7"/>
          <w:sz w:val="18"/>
          <w:szCs w:val="18"/>
          <w:lang w:val="es-ES_tradnl"/>
        </w:rPr>
        <w:t>í</w:t>
      </w:r>
      <w:r>
        <w:rPr>
          <w:spacing w:val="-7"/>
          <w:sz w:val="18"/>
          <w:szCs w:val="18"/>
          <w:lang w:val="es-ES_tradnl"/>
        </w:rPr>
        <w:t xml:space="preserve">a recibir al </w:t>
      </w:r>
      <w:r>
        <w:rPr>
          <w:spacing w:val="-8"/>
          <w:sz w:val="18"/>
          <w:szCs w:val="18"/>
          <w:lang w:val="es-ES_tradnl"/>
        </w:rPr>
        <w:t>extrabajador, as</w:t>
      </w:r>
      <w:r>
        <w:rPr>
          <w:rFonts w:cs="Times New Roman"/>
          <w:spacing w:val="-8"/>
          <w:sz w:val="18"/>
          <w:szCs w:val="18"/>
          <w:lang w:val="es-ES_tradnl"/>
        </w:rPr>
        <w:t>í</w:t>
      </w:r>
      <w:r>
        <w:rPr>
          <w:spacing w:val="-8"/>
          <w:sz w:val="18"/>
          <w:szCs w:val="18"/>
          <w:lang w:val="es-ES_tradnl"/>
        </w:rPr>
        <w:t xml:space="preserve"> como las formas y modalidades de pago </w:t>
      </w:r>
      <w:r>
        <w:rPr>
          <w:sz w:val="18"/>
          <w:szCs w:val="18"/>
          <w:lang w:val="es-ES_tradnl"/>
        </w:rPr>
        <w:t>que deb</w:t>
      </w:r>
      <w:r>
        <w:rPr>
          <w:rFonts w:cs="Times New Roman"/>
          <w:sz w:val="18"/>
          <w:szCs w:val="18"/>
          <w:lang w:val="es-ES_tradnl"/>
        </w:rPr>
        <w:t>í</w:t>
      </w:r>
      <w:r>
        <w:rPr>
          <w:sz w:val="18"/>
          <w:szCs w:val="18"/>
          <w:lang w:val="es-ES_tradnl"/>
        </w:rPr>
        <w:t>a efectuar la empresa.</w:t>
      </w:r>
    </w:p>
    <w:p w14:paraId="4F67B510" w14:textId="77777777" w:rsidR="00591D54" w:rsidRDefault="00591D54">
      <w:pPr>
        <w:shd w:val="clear" w:color="auto" w:fill="FFFFFF"/>
        <w:spacing w:before="202" w:line="221" w:lineRule="exact"/>
        <w:jc w:val="both"/>
      </w:pPr>
      <w:r>
        <w:rPr>
          <w:spacing w:val="-6"/>
          <w:sz w:val="18"/>
          <w:szCs w:val="18"/>
          <w:lang w:val="es-ES_tradnl"/>
        </w:rPr>
        <w:t>En este sentido, la relaci</w:t>
      </w:r>
      <w:r>
        <w:rPr>
          <w:rFonts w:cs="Times New Roman"/>
          <w:spacing w:val="-6"/>
          <w:sz w:val="18"/>
          <w:szCs w:val="18"/>
          <w:lang w:val="es-ES_tradnl"/>
        </w:rPr>
        <w:t>ó</w:t>
      </w:r>
      <w:r>
        <w:rPr>
          <w:spacing w:val="-6"/>
          <w:sz w:val="18"/>
          <w:szCs w:val="18"/>
          <w:lang w:val="es-ES_tradnl"/>
        </w:rPr>
        <w:t xml:space="preserve">n laboral a partir de la firma de </w:t>
      </w:r>
      <w:r>
        <w:rPr>
          <w:spacing w:val="-7"/>
          <w:sz w:val="18"/>
          <w:szCs w:val="18"/>
          <w:lang w:val="es-ES_tradnl"/>
        </w:rPr>
        <w:t>esta acta que fue de voluntaria aceptaci</w:t>
      </w:r>
      <w:r>
        <w:rPr>
          <w:rFonts w:cs="Times New Roman"/>
          <w:spacing w:val="-7"/>
          <w:sz w:val="18"/>
          <w:szCs w:val="18"/>
          <w:lang w:val="es-ES_tradnl"/>
        </w:rPr>
        <w:t>ó</w:t>
      </w:r>
      <w:r>
        <w:rPr>
          <w:spacing w:val="-7"/>
          <w:sz w:val="18"/>
          <w:szCs w:val="18"/>
          <w:lang w:val="es-ES_tradnl"/>
        </w:rPr>
        <w:t xml:space="preserve">n por parte del </w:t>
      </w:r>
      <w:r>
        <w:rPr>
          <w:spacing w:val="-9"/>
          <w:sz w:val="18"/>
          <w:szCs w:val="18"/>
          <w:lang w:val="es-ES_tradnl"/>
        </w:rPr>
        <w:t xml:space="preserve">trabajador y de la empresa se encontraba terminada, tal es </w:t>
      </w:r>
      <w:r>
        <w:rPr>
          <w:sz w:val="18"/>
          <w:szCs w:val="18"/>
          <w:lang w:val="es-ES_tradnl"/>
        </w:rPr>
        <w:t>as</w:t>
      </w:r>
      <w:r>
        <w:rPr>
          <w:rFonts w:cs="Times New Roman"/>
          <w:sz w:val="18"/>
          <w:szCs w:val="18"/>
          <w:lang w:val="es-ES_tradnl"/>
        </w:rPr>
        <w:t>í</w:t>
      </w:r>
      <w:r>
        <w:rPr>
          <w:sz w:val="18"/>
          <w:szCs w:val="18"/>
          <w:lang w:val="es-ES_tradnl"/>
        </w:rPr>
        <w:t xml:space="preserve"> que dentro del acta se estableci</w:t>
      </w:r>
      <w:r>
        <w:rPr>
          <w:rFonts w:cs="Times New Roman"/>
          <w:sz w:val="18"/>
          <w:szCs w:val="18"/>
          <w:lang w:val="es-ES_tradnl"/>
        </w:rPr>
        <w:t>ó</w:t>
      </w:r>
      <w:r>
        <w:rPr>
          <w:sz w:val="18"/>
          <w:szCs w:val="18"/>
          <w:lang w:val="es-ES_tradnl"/>
        </w:rPr>
        <w:t>:</w:t>
      </w:r>
    </w:p>
    <w:p w14:paraId="4F67B511" w14:textId="77777777" w:rsidR="00591D54" w:rsidRDefault="00591D54">
      <w:pPr>
        <w:shd w:val="clear" w:color="auto" w:fill="FFFFFF"/>
        <w:spacing w:before="211" w:line="221" w:lineRule="exact"/>
        <w:ind w:left="283" w:right="5"/>
        <w:jc w:val="both"/>
      </w:pPr>
      <w:r>
        <w:rPr>
          <w:spacing w:val="-10"/>
          <w:sz w:val="16"/>
          <w:szCs w:val="16"/>
          <w:lang w:val="es-ES_tradnl"/>
        </w:rPr>
        <w:t xml:space="preserve">En consecuencia, </w:t>
      </w:r>
      <w:r>
        <w:rPr>
          <w:b/>
          <w:bCs/>
          <w:spacing w:val="-10"/>
          <w:sz w:val="16"/>
          <w:szCs w:val="16"/>
          <w:lang w:val="es-ES_tradnl"/>
        </w:rPr>
        <w:t xml:space="preserve">las partes dan por cumplidas, finiquitadas </w:t>
      </w:r>
      <w:r>
        <w:rPr>
          <w:b/>
          <w:bCs/>
          <w:spacing w:val="-12"/>
          <w:sz w:val="16"/>
          <w:szCs w:val="16"/>
          <w:lang w:val="es-ES_tradnl"/>
        </w:rPr>
        <w:t>y extinguidas todas las obligaciones derivadas de su relaci</w:t>
      </w:r>
      <w:r>
        <w:rPr>
          <w:rFonts w:cs="Times New Roman"/>
          <w:b/>
          <w:bCs/>
          <w:spacing w:val="-12"/>
          <w:sz w:val="16"/>
          <w:szCs w:val="16"/>
          <w:lang w:val="es-ES_tradnl"/>
        </w:rPr>
        <w:t>ó</w:t>
      </w:r>
      <w:r>
        <w:rPr>
          <w:b/>
          <w:bCs/>
          <w:spacing w:val="-12"/>
          <w:sz w:val="16"/>
          <w:szCs w:val="16"/>
          <w:lang w:val="es-ES_tradnl"/>
        </w:rPr>
        <w:t xml:space="preserve">n </w:t>
      </w:r>
      <w:r>
        <w:rPr>
          <w:b/>
          <w:bCs/>
          <w:spacing w:val="-6"/>
          <w:sz w:val="16"/>
          <w:szCs w:val="16"/>
          <w:lang w:val="es-ES_tradnl"/>
        </w:rPr>
        <w:t xml:space="preserve">laboral </w:t>
      </w:r>
      <w:r>
        <w:rPr>
          <w:spacing w:val="-6"/>
          <w:sz w:val="16"/>
          <w:szCs w:val="16"/>
          <w:lang w:val="es-ES_tradnl"/>
        </w:rPr>
        <w:t xml:space="preserve">con PETROECUADOR, por concepto de pago de </w:t>
      </w:r>
      <w:r>
        <w:rPr>
          <w:spacing w:val="-7"/>
          <w:sz w:val="16"/>
          <w:szCs w:val="16"/>
          <w:lang w:val="es-ES_tradnl"/>
        </w:rPr>
        <w:t>Contribuci</w:t>
      </w:r>
      <w:r>
        <w:rPr>
          <w:rFonts w:cs="Times New Roman"/>
          <w:spacing w:val="-7"/>
          <w:sz w:val="16"/>
          <w:szCs w:val="16"/>
          <w:lang w:val="es-ES_tradnl"/>
        </w:rPr>
        <w:t>ó</w:t>
      </w:r>
      <w:r>
        <w:rPr>
          <w:spacing w:val="-7"/>
          <w:sz w:val="16"/>
          <w:szCs w:val="16"/>
          <w:lang w:val="es-ES_tradnl"/>
        </w:rPr>
        <w:t>n por Separaci</w:t>
      </w:r>
      <w:r>
        <w:rPr>
          <w:rFonts w:cs="Times New Roman"/>
          <w:spacing w:val="-7"/>
          <w:sz w:val="16"/>
          <w:szCs w:val="16"/>
          <w:lang w:val="es-ES_tradnl"/>
        </w:rPr>
        <w:t>ó</w:t>
      </w:r>
      <w:r>
        <w:rPr>
          <w:spacing w:val="-7"/>
          <w:sz w:val="16"/>
          <w:szCs w:val="16"/>
          <w:lang w:val="es-ES_tradnl"/>
        </w:rPr>
        <w:t>n Voluntaria (</w:t>
      </w:r>
      <w:r>
        <w:rPr>
          <w:rFonts w:cs="Times New Roman"/>
          <w:spacing w:val="-7"/>
          <w:sz w:val="16"/>
          <w:szCs w:val="16"/>
          <w:lang w:val="es-ES_tradnl"/>
        </w:rPr>
        <w:t>…</w:t>
      </w:r>
      <w:r>
        <w:rPr>
          <w:spacing w:val="-7"/>
          <w:sz w:val="16"/>
          <w:szCs w:val="16"/>
          <w:lang w:val="es-ES_tradnl"/>
        </w:rPr>
        <w:t xml:space="preserve">) El ex </w:t>
      </w:r>
      <w:r>
        <w:rPr>
          <w:rFonts w:cs="Times New Roman"/>
          <w:spacing w:val="-7"/>
          <w:sz w:val="16"/>
          <w:szCs w:val="16"/>
          <w:lang w:val="es-ES_tradnl"/>
        </w:rPr>
        <w:t>–</w:t>
      </w:r>
      <w:r>
        <w:rPr>
          <w:spacing w:val="-7"/>
          <w:sz w:val="16"/>
          <w:szCs w:val="16"/>
          <w:lang w:val="es-ES_tradnl"/>
        </w:rPr>
        <w:t xml:space="preserve"> trabajador </w:t>
      </w:r>
      <w:r>
        <w:rPr>
          <w:spacing w:val="-6"/>
          <w:sz w:val="16"/>
          <w:szCs w:val="16"/>
          <w:lang w:val="es-ES_tradnl"/>
        </w:rPr>
        <w:t>declara recibir a entera satisfacci</w:t>
      </w:r>
      <w:r>
        <w:rPr>
          <w:rFonts w:cs="Times New Roman"/>
          <w:spacing w:val="-6"/>
          <w:sz w:val="16"/>
          <w:szCs w:val="16"/>
          <w:lang w:val="es-ES_tradnl"/>
        </w:rPr>
        <w:t>ó</w:t>
      </w:r>
      <w:r>
        <w:rPr>
          <w:spacing w:val="-6"/>
          <w:sz w:val="16"/>
          <w:szCs w:val="16"/>
          <w:lang w:val="es-ES_tradnl"/>
        </w:rPr>
        <w:t xml:space="preserve">n el pago por concepto de </w:t>
      </w:r>
      <w:r>
        <w:rPr>
          <w:spacing w:val="-7"/>
          <w:sz w:val="16"/>
          <w:szCs w:val="16"/>
          <w:lang w:val="es-ES_tradnl"/>
        </w:rPr>
        <w:t>Contribuci</w:t>
      </w:r>
      <w:r>
        <w:rPr>
          <w:rFonts w:cs="Times New Roman"/>
          <w:spacing w:val="-7"/>
          <w:sz w:val="16"/>
          <w:szCs w:val="16"/>
          <w:lang w:val="es-ES_tradnl"/>
        </w:rPr>
        <w:t>ó</w:t>
      </w:r>
      <w:r>
        <w:rPr>
          <w:spacing w:val="-7"/>
          <w:sz w:val="16"/>
          <w:szCs w:val="16"/>
          <w:lang w:val="es-ES_tradnl"/>
        </w:rPr>
        <w:t>n por Separaci</w:t>
      </w:r>
      <w:r>
        <w:rPr>
          <w:rFonts w:cs="Times New Roman"/>
          <w:spacing w:val="-7"/>
          <w:sz w:val="16"/>
          <w:szCs w:val="16"/>
          <w:lang w:val="es-ES_tradnl"/>
        </w:rPr>
        <w:t>ó</w:t>
      </w:r>
      <w:r>
        <w:rPr>
          <w:spacing w:val="-7"/>
          <w:sz w:val="16"/>
          <w:szCs w:val="16"/>
          <w:lang w:val="es-ES_tradnl"/>
        </w:rPr>
        <w:t xml:space="preserve">n Voluntaria, por lo que nada tiene </w:t>
      </w:r>
      <w:r>
        <w:rPr>
          <w:spacing w:val="-5"/>
          <w:sz w:val="16"/>
          <w:szCs w:val="16"/>
          <w:lang w:val="es-ES_tradnl"/>
        </w:rPr>
        <w:t xml:space="preserve">que reclamar a PETROECUADOR, en el futuro, por este </w:t>
      </w:r>
      <w:r>
        <w:rPr>
          <w:spacing w:val="-8"/>
          <w:sz w:val="16"/>
          <w:szCs w:val="16"/>
          <w:lang w:val="es-ES_tradnl"/>
        </w:rPr>
        <w:t xml:space="preserve">concepto y expresamente reconoce que la presente acta, tiene </w:t>
      </w:r>
      <w:r>
        <w:rPr>
          <w:spacing w:val="-5"/>
          <w:sz w:val="16"/>
          <w:szCs w:val="16"/>
          <w:lang w:val="es-ES_tradnl"/>
        </w:rPr>
        <w:t>el car</w:t>
      </w:r>
      <w:r>
        <w:rPr>
          <w:rFonts w:cs="Times New Roman"/>
          <w:spacing w:val="-5"/>
          <w:sz w:val="16"/>
          <w:szCs w:val="16"/>
          <w:lang w:val="es-ES_tradnl"/>
        </w:rPr>
        <w:t>á</w:t>
      </w:r>
      <w:r>
        <w:rPr>
          <w:spacing w:val="-5"/>
          <w:sz w:val="16"/>
          <w:szCs w:val="16"/>
          <w:lang w:val="es-ES_tradnl"/>
        </w:rPr>
        <w:t xml:space="preserve">cter de sentencia ejecutoriada, pasada por autoridad </w:t>
      </w:r>
      <w:r>
        <w:rPr>
          <w:spacing w:val="-6"/>
          <w:sz w:val="16"/>
          <w:szCs w:val="16"/>
          <w:lang w:val="es-ES_tradnl"/>
        </w:rPr>
        <w:t xml:space="preserve">de cosa juzgada, por lo que desiste a cualquier reclamo. (Lo </w:t>
      </w:r>
      <w:r>
        <w:rPr>
          <w:sz w:val="16"/>
          <w:szCs w:val="16"/>
          <w:lang w:val="es-ES_tradnl"/>
        </w:rPr>
        <w:t>resaltado fuera del texto)</w:t>
      </w:r>
    </w:p>
    <w:p w14:paraId="4F67B512" w14:textId="77777777" w:rsidR="00591D54" w:rsidRDefault="00591D54">
      <w:pPr>
        <w:shd w:val="clear" w:color="auto" w:fill="FFFFFF"/>
        <w:spacing w:before="552" w:line="178" w:lineRule="exact"/>
        <w:ind w:left="139" w:hanging="139"/>
      </w:pPr>
      <w:r>
        <w:rPr>
          <w:sz w:val="16"/>
          <w:szCs w:val="16"/>
          <w:vertAlign w:val="superscript"/>
          <w:lang w:val="es-ES_tradnl"/>
        </w:rPr>
        <w:t>1</w:t>
      </w:r>
      <w:r>
        <w:rPr>
          <w:sz w:val="16"/>
          <w:szCs w:val="16"/>
          <w:lang w:val="es-ES_tradnl"/>
        </w:rPr>
        <w:t xml:space="preserve">  </w:t>
      </w:r>
      <w:r>
        <w:rPr>
          <w:spacing w:val="-8"/>
          <w:sz w:val="16"/>
          <w:szCs w:val="16"/>
          <w:lang w:val="es-ES_tradnl"/>
        </w:rPr>
        <w:t xml:space="preserve">Corte Constitucional del Ecuador, sentencia No. 113-15-SEP-CC, </w:t>
      </w:r>
      <w:r>
        <w:rPr>
          <w:sz w:val="16"/>
          <w:szCs w:val="16"/>
          <w:lang w:val="es-ES_tradnl"/>
        </w:rPr>
        <w:t>caso No. 543-14-EP.</w:t>
      </w:r>
    </w:p>
    <w:p w14:paraId="4F67B513" w14:textId="77777777" w:rsidR="00591D54" w:rsidRDefault="00591D54">
      <w:pPr>
        <w:shd w:val="clear" w:color="auto" w:fill="FFFFFF"/>
        <w:spacing w:line="216" w:lineRule="exact"/>
        <w:ind w:right="10"/>
        <w:jc w:val="both"/>
      </w:pPr>
      <w:r>
        <w:br w:type="column"/>
      </w:r>
      <w:r>
        <w:rPr>
          <w:spacing w:val="-7"/>
          <w:sz w:val="18"/>
          <w:szCs w:val="18"/>
          <w:lang w:val="es-ES_tradnl"/>
        </w:rPr>
        <w:t>Conforme lo expuesto, se determin</w:t>
      </w:r>
      <w:r>
        <w:rPr>
          <w:rFonts w:cs="Times New Roman"/>
          <w:spacing w:val="-7"/>
          <w:sz w:val="18"/>
          <w:szCs w:val="18"/>
          <w:lang w:val="es-ES_tradnl"/>
        </w:rPr>
        <w:t>ó</w:t>
      </w:r>
      <w:r>
        <w:rPr>
          <w:spacing w:val="-7"/>
          <w:sz w:val="18"/>
          <w:szCs w:val="18"/>
          <w:lang w:val="es-ES_tradnl"/>
        </w:rPr>
        <w:t xml:space="preserve"> que el acta tiene el </w:t>
      </w:r>
      <w:r>
        <w:rPr>
          <w:spacing w:val="-8"/>
          <w:sz w:val="18"/>
          <w:szCs w:val="18"/>
          <w:lang w:val="es-ES_tradnl"/>
        </w:rPr>
        <w:t>car</w:t>
      </w:r>
      <w:r>
        <w:rPr>
          <w:rFonts w:cs="Times New Roman"/>
          <w:spacing w:val="-8"/>
          <w:sz w:val="18"/>
          <w:szCs w:val="18"/>
          <w:lang w:val="es-ES_tradnl"/>
        </w:rPr>
        <w:t>á</w:t>
      </w:r>
      <w:r>
        <w:rPr>
          <w:spacing w:val="-8"/>
          <w:sz w:val="18"/>
          <w:szCs w:val="18"/>
          <w:lang w:val="es-ES_tradnl"/>
        </w:rPr>
        <w:t>cter de sentencia ejecutoriada y que la relaci</w:t>
      </w:r>
      <w:r>
        <w:rPr>
          <w:rFonts w:cs="Times New Roman"/>
          <w:spacing w:val="-8"/>
          <w:sz w:val="18"/>
          <w:szCs w:val="18"/>
          <w:lang w:val="es-ES_tradnl"/>
        </w:rPr>
        <w:t>ó</w:t>
      </w:r>
      <w:r>
        <w:rPr>
          <w:spacing w:val="-8"/>
          <w:sz w:val="18"/>
          <w:szCs w:val="18"/>
          <w:lang w:val="es-ES_tradnl"/>
        </w:rPr>
        <w:t>n laboral se encontraba extinguida. No obstante, el se</w:t>
      </w:r>
      <w:r>
        <w:rPr>
          <w:rFonts w:cs="Times New Roman"/>
          <w:spacing w:val="-8"/>
          <w:sz w:val="18"/>
          <w:szCs w:val="18"/>
          <w:lang w:val="es-ES_tradnl"/>
        </w:rPr>
        <w:t>ñ</w:t>
      </w:r>
      <w:r>
        <w:rPr>
          <w:spacing w:val="-8"/>
          <w:sz w:val="18"/>
          <w:szCs w:val="18"/>
          <w:lang w:val="es-ES_tradnl"/>
        </w:rPr>
        <w:t xml:space="preserve">or Francisco </w:t>
      </w:r>
      <w:r>
        <w:rPr>
          <w:spacing w:val="-4"/>
          <w:sz w:val="18"/>
          <w:szCs w:val="18"/>
          <w:lang w:val="es-ES_tradnl"/>
        </w:rPr>
        <w:t xml:space="preserve">Manuel Eduardo Naranjo Cruz, el 04 de diciembre del </w:t>
      </w:r>
      <w:r>
        <w:rPr>
          <w:spacing w:val="-7"/>
          <w:sz w:val="18"/>
          <w:szCs w:val="18"/>
          <w:lang w:val="es-ES_tradnl"/>
        </w:rPr>
        <w:t>2008, present</w:t>
      </w:r>
      <w:r>
        <w:rPr>
          <w:rFonts w:cs="Times New Roman"/>
          <w:spacing w:val="-7"/>
          <w:sz w:val="18"/>
          <w:szCs w:val="18"/>
          <w:lang w:val="es-ES_tradnl"/>
        </w:rPr>
        <w:t>ó</w:t>
      </w:r>
      <w:r>
        <w:rPr>
          <w:spacing w:val="-7"/>
          <w:sz w:val="18"/>
          <w:szCs w:val="18"/>
          <w:lang w:val="es-ES_tradnl"/>
        </w:rPr>
        <w:t xml:space="preserve"> una demanda ejecutiva en contra de </w:t>
      </w:r>
      <w:r>
        <w:rPr>
          <w:spacing w:val="-3"/>
          <w:sz w:val="18"/>
          <w:szCs w:val="18"/>
          <w:lang w:val="es-ES_tradnl"/>
        </w:rPr>
        <w:t xml:space="preserve">PETROECUADOR, alegando la falta de pago de los </w:t>
      </w:r>
      <w:r>
        <w:rPr>
          <w:sz w:val="18"/>
          <w:szCs w:val="18"/>
          <w:lang w:val="es-ES_tradnl"/>
        </w:rPr>
        <w:t>valores convenidos.</w:t>
      </w:r>
    </w:p>
    <w:p w14:paraId="4F67B514" w14:textId="77777777" w:rsidR="00591D54" w:rsidRDefault="00591D54">
      <w:pPr>
        <w:shd w:val="clear" w:color="auto" w:fill="FFFFFF"/>
        <w:spacing w:before="197" w:line="216" w:lineRule="exact"/>
        <w:ind w:right="10"/>
        <w:jc w:val="both"/>
      </w:pPr>
      <w:r>
        <w:rPr>
          <w:spacing w:val="-9"/>
          <w:sz w:val="18"/>
          <w:szCs w:val="18"/>
          <w:lang w:val="es-ES_tradnl"/>
        </w:rPr>
        <w:t xml:space="preserve">Por lo que corresponde a esta Corte, en base a lo alegado </w:t>
      </w:r>
      <w:r>
        <w:rPr>
          <w:spacing w:val="-7"/>
          <w:sz w:val="18"/>
          <w:szCs w:val="18"/>
          <w:lang w:val="es-ES_tradnl"/>
        </w:rPr>
        <w:t>por el accionante referirse a lo dispuesto en el art</w:t>
      </w:r>
      <w:r>
        <w:rPr>
          <w:rFonts w:cs="Times New Roman"/>
          <w:spacing w:val="-7"/>
          <w:sz w:val="18"/>
          <w:szCs w:val="18"/>
          <w:lang w:val="es-ES_tradnl"/>
        </w:rPr>
        <w:t>í</w:t>
      </w:r>
      <w:r>
        <w:rPr>
          <w:spacing w:val="-7"/>
          <w:sz w:val="18"/>
          <w:szCs w:val="18"/>
          <w:lang w:val="es-ES_tradnl"/>
        </w:rPr>
        <w:t>culo 413 del C</w:t>
      </w:r>
      <w:r>
        <w:rPr>
          <w:rFonts w:cs="Times New Roman"/>
          <w:spacing w:val="-7"/>
          <w:sz w:val="18"/>
          <w:szCs w:val="18"/>
          <w:lang w:val="es-ES_tradnl"/>
        </w:rPr>
        <w:t>ó</w:t>
      </w:r>
      <w:r>
        <w:rPr>
          <w:spacing w:val="-7"/>
          <w:sz w:val="18"/>
          <w:szCs w:val="18"/>
          <w:lang w:val="es-ES_tradnl"/>
        </w:rPr>
        <w:t>digo de Procedimiento Civil que se</w:t>
      </w:r>
      <w:r>
        <w:rPr>
          <w:rFonts w:cs="Times New Roman"/>
          <w:spacing w:val="-7"/>
          <w:sz w:val="18"/>
          <w:szCs w:val="18"/>
          <w:lang w:val="es-ES_tradnl"/>
        </w:rPr>
        <w:t>ñ</w:t>
      </w:r>
      <w:r>
        <w:rPr>
          <w:spacing w:val="-7"/>
          <w:sz w:val="18"/>
          <w:szCs w:val="18"/>
          <w:lang w:val="es-ES_tradnl"/>
        </w:rPr>
        <w:t xml:space="preserve">ala: </w:t>
      </w:r>
      <w:r>
        <w:rPr>
          <w:rFonts w:cs="Times New Roman"/>
          <w:spacing w:val="-7"/>
          <w:sz w:val="18"/>
          <w:szCs w:val="18"/>
          <w:lang w:val="es-ES_tradnl"/>
        </w:rPr>
        <w:t>“</w:t>
      </w:r>
      <w:r>
        <w:rPr>
          <w:spacing w:val="-7"/>
          <w:sz w:val="18"/>
          <w:szCs w:val="18"/>
          <w:lang w:val="es-ES_tradnl"/>
        </w:rPr>
        <w:t>Son t</w:t>
      </w:r>
      <w:r>
        <w:rPr>
          <w:rFonts w:cs="Times New Roman"/>
          <w:spacing w:val="-7"/>
          <w:sz w:val="18"/>
          <w:szCs w:val="18"/>
          <w:lang w:val="es-ES_tradnl"/>
        </w:rPr>
        <w:t>í</w:t>
      </w:r>
      <w:r>
        <w:rPr>
          <w:spacing w:val="-7"/>
          <w:sz w:val="18"/>
          <w:szCs w:val="18"/>
          <w:lang w:val="es-ES_tradnl"/>
        </w:rPr>
        <w:t xml:space="preserve">tulos </w:t>
      </w:r>
      <w:r>
        <w:rPr>
          <w:spacing w:val="-9"/>
          <w:sz w:val="18"/>
          <w:szCs w:val="18"/>
          <w:lang w:val="es-ES_tradnl"/>
        </w:rPr>
        <w:t>ejecutivos: la confesi</w:t>
      </w:r>
      <w:r>
        <w:rPr>
          <w:rFonts w:cs="Times New Roman"/>
          <w:spacing w:val="-9"/>
          <w:sz w:val="18"/>
          <w:szCs w:val="18"/>
          <w:lang w:val="es-ES_tradnl"/>
        </w:rPr>
        <w:t>ó</w:t>
      </w:r>
      <w:r>
        <w:rPr>
          <w:spacing w:val="-9"/>
          <w:sz w:val="18"/>
          <w:szCs w:val="18"/>
          <w:lang w:val="es-ES_tradnl"/>
        </w:rPr>
        <w:t xml:space="preserve">n de parte, hecha con juramento ante </w:t>
      </w:r>
      <w:r>
        <w:rPr>
          <w:spacing w:val="-10"/>
          <w:sz w:val="18"/>
          <w:szCs w:val="18"/>
          <w:lang w:val="es-ES_tradnl"/>
        </w:rPr>
        <w:t xml:space="preserve">juez competente; la sentencia pasada en autoridad de cosa </w:t>
      </w:r>
      <w:r>
        <w:rPr>
          <w:spacing w:val="-9"/>
          <w:sz w:val="18"/>
          <w:szCs w:val="18"/>
          <w:lang w:val="es-ES_tradnl"/>
        </w:rPr>
        <w:t>juzgada; la copia y la compulsa aut</w:t>
      </w:r>
      <w:r>
        <w:rPr>
          <w:rFonts w:cs="Times New Roman"/>
          <w:spacing w:val="-9"/>
          <w:sz w:val="18"/>
          <w:szCs w:val="18"/>
          <w:lang w:val="es-ES_tradnl"/>
        </w:rPr>
        <w:t>é</w:t>
      </w:r>
      <w:r>
        <w:rPr>
          <w:spacing w:val="-9"/>
          <w:sz w:val="18"/>
          <w:szCs w:val="18"/>
          <w:lang w:val="es-ES_tradnl"/>
        </w:rPr>
        <w:t xml:space="preserve">nticas de las escrituras </w:t>
      </w:r>
      <w:r>
        <w:rPr>
          <w:spacing w:val="-7"/>
          <w:sz w:val="18"/>
          <w:szCs w:val="18"/>
          <w:lang w:val="es-ES_tradnl"/>
        </w:rPr>
        <w:t>p</w:t>
      </w:r>
      <w:r>
        <w:rPr>
          <w:rFonts w:cs="Times New Roman"/>
          <w:spacing w:val="-7"/>
          <w:sz w:val="18"/>
          <w:szCs w:val="18"/>
          <w:lang w:val="es-ES_tradnl"/>
        </w:rPr>
        <w:t>ú</w:t>
      </w:r>
      <w:r>
        <w:rPr>
          <w:spacing w:val="-7"/>
          <w:sz w:val="18"/>
          <w:szCs w:val="18"/>
          <w:lang w:val="es-ES_tradnl"/>
        </w:rPr>
        <w:t xml:space="preserve">blicas; </w:t>
      </w:r>
      <w:r>
        <w:rPr>
          <w:b/>
          <w:bCs/>
          <w:spacing w:val="-7"/>
          <w:sz w:val="18"/>
          <w:szCs w:val="18"/>
          <w:lang w:val="es-ES_tradnl"/>
        </w:rPr>
        <w:t xml:space="preserve">los documentos privados reconocidos ante </w:t>
      </w:r>
      <w:r>
        <w:rPr>
          <w:b/>
          <w:bCs/>
          <w:spacing w:val="-6"/>
          <w:sz w:val="18"/>
          <w:szCs w:val="18"/>
          <w:lang w:val="es-ES_tradnl"/>
        </w:rPr>
        <w:t>juez o notario p</w:t>
      </w:r>
      <w:r>
        <w:rPr>
          <w:rFonts w:cs="Times New Roman"/>
          <w:b/>
          <w:bCs/>
          <w:spacing w:val="-6"/>
          <w:sz w:val="18"/>
          <w:szCs w:val="18"/>
          <w:lang w:val="es-ES_tradnl"/>
        </w:rPr>
        <w:t>ú</w:t>
      </w:r>
      <w:r>
        <w:rPr>
          <w:b/>
          <w:bCs/>
          <w:spacing w:val="-6"/>
          <w:sz w:val="18"/>
          <w:szCs w:val="18"/>
          <w:lang w:val="es-ES_tradnl"/>
        </w:rPr>
        <w:t>blico</w:t>
      </w:r>
      <w:r>
        <w:rPr>
          <w:spacing w:val="-6"/>
          <w:sz w:val="18"/>
          <w:szCs w:val="18"/>
          <w:lang w:val="es-ES_tradnl"/>
        </w:rPr>
        <w:t>; las letras de cambio; los pagar</w:t>
      </w:r>
      <w:r>
        <w:rPr>
          <w:rFonts w:cs="Times New Roman"/>
          <w:spacing w:val="-6"/>
          <w:sz w:val="18"/>
          <w:szCs w:val="18"/>
          <w:lang w:val="es-ES_tradnl"/>
        </w:rPr>
        <w:t>é</w:t>
      </w:r>
      <w:r>
        <w:rPr>
          <w:spacing w:val="-6"/>
          <w:sz w:val="18"/>
          <w:szCs w:val="18"/>
          <w:lang w:val="es-ES_tradnl"/>
        </w:rPr>
        <w:t xml:space="preserve">s a la orden; los testamentos; las actas judiciales de remate </w:t>
      </w:r>
      <w:r>
        <w:rPr>
          <w:spacing w:val="-8"/>
          <w:sz w:val="18"/>
          <w:szCs w:val="18"/>
          <w:lang w:val="es-ES_tradnl"/>
        </w:rPr>
        <w:t>o las copias de los autos de adjudicaci</w:t>
      </w:r>
      <w:r>
        <w:rPr>
          <w:rFonts w:cs="Times New Roman"/>
          <w:spacing w:val="-8"/>
          <w:sz w:val="18"/>
          <w:szCs w:val="18"/>
          <w:lang w:val="es-ES_tradnl"/>
        </w:rPr>
        <w:t>ó</w:t>
      </w:r>
      <w:r>
        <w:rPr>
          <w:spacing w:val="-8"/>
          <w:sz w:val="18"/>
          <w:szCs w:val="18"/>
          <w:lang w:val="es-ES_tradnl"/>
        </w:rPr>
        <w:t xml:space="preserve">n debidamente </w:t>
      </w:r>
      <w:r>
        <w:rPr>
          <w:spacing w:val="-9"/>
          <w:sz w:val="18"/>
          <w:szCs w:val="18"/>
          <w:lang w:val="es-ES_tradnl"/>
        </w:rPr>
        <w:t>protocolizados, seg</w:t>
      </w:r>
      <w:r>
        <w:rPr>
          <w:rFonts w:cs="Times New Roman"/>
          <w:spacing w:val="-9"/>
          <w:sz w:val="18"/>
          <w:szCs w:val="18"/>
          <w:lang w:val="es-ES_tradnl"/>
        </w:rPr>
        <w:t>ú</w:t>
      </w:r>
      <w:r>
        <w:rPr>
          <w:spacing w:val="-9"/>
          <w:sz w:val="18"/>
          <w:szCs w:val="18"/>
          <w:lang w:val="es-ES_tradnl"/>
        </w:rPr>
        <w:t xml:space="preserve">n el caso; </w:t>
      </w:r>
      <w:r>
        <w:rPr>
          <w:b/>
          <w:bCs/>
          <w:spacing w:val="-9"/>
          <w:sz w:val="18"/>
          <w:szCs w:val="18"/>
          <w:lang w:val="es-ES_tradnl"/>
        </w:rPr>
        <w:t>las actas de transacci</w:t>
      </w:r>
      <w:r>
        <w:rPr>
          <w:rFonts w:cs="Times New Roman"/>
          <w:b/>
          <w:bCs/>
          <w:spacing w:val="-9"/>
          <w:sz w:val="18"/>
          <w:szCs w:val="18"/>
          <w:lang w:val="es-ES_tradnl"/>
        </w:rPr>
        <w:t>ó</w:t>
      </w:r>
      <w:r>
        <w:rPr>
          <w:b/>
          <w:bCs/>
          <w:spacing w:val="-9"/>
          <w:sz w:val="18"/>
          <w:szCs w:val="18"/>
          <w:lang w:val="es-ES_tradnl"/>
        </w:rPr>
        <w:t xml:space="preserve">n u </w:t>
      </w:r>
      <w:r>
        <w:rPr>
          <w:b/>
          <w:bCs/>
          <w:spacing w:val="-11"/>
          <w:sz w:val="18"/>
          <w:szCs w:val="18"/>
          <w:lang w:val="es-ES_tradnl"/>
        </w:rPr>
        <w:t xml:space="preserve">otras que contengan obligaciones de dar o hacer alguna </w:t>
      </w:r>
      <w:r>
        <w:rPr>
          <w:b/>
          <w:bCs/>
          <w:spacing w:val="-9"/>
          <w:sz w:val="18"/>
          <w:szCs w:val="18"/>
          <w:lang w:val="es-ES_tradnl"/>
        </w:rPr>
        <w:t>cosa</w:t>
      </w:r>
      <w:r>
        <w:rPr>
          <w:spacing w:val="-9"/>
          <w:sz w:val="18"/>
          <w:szCs w:val="18"/>
          <w:lang w:val="es-ES_tradnl"/>
        </w:rPr>
        <w:t>; y los dem</w:t>
      </w:r>
      <w:r>
        <w:rPr>
          <w:rFonts w:cs="Times New Roman"/>
          <w:spacing w:val="-9"/>
          <w:sz w:val="18"/>
          <w:szCs w:val="18"/>
          <w:lang w:val="es-ES_tradnl"/>
        </w:rPr>
        <w:t>á</w:t>
      </w:r>
      <w:r>
        <w:rPr>
          <w:spacing w:val="-9"/>
          <w:sz w:val="18"/>
          <w:szCs w:val="18"/>
          <w:lang w:val="es-ES_tradnl"/>
        </w:rPr>
        <w:t xml:space="preserve">s instrumentos a los que leyes especiales </w:t>
      </w:r>
      <w:r>
        <w:rPr>
          <w:spacing w:val="-6"/>
          <w:sz w:val="18"/>
          <w:szCs w:val="18"/>
          <w:lang w:val="es-ES_tradnl"/>
        </w:rPr>
        <w:t>dan el car</w:t>
      </w:r>
      <w:r>
        <w:rPr>
          <w:rFonts w:cs="Times New Roman"/>
          <w:spacing w:val="-6"/>
          <w:sz w:val="18"/>
          <w:szCs w:val="18"/>
          <w:lang w:val="es-ES_tradnl"/>
        </w:rPr>
        <w:t>á</w:t>
      </w:r>
      <w:r>
        <w:rPr>
          <w:spacing w:val="-6"/>
          <w:sz w:val="18"/>
          <w:szCs w:val="18"/>
          <w:lang w:val="es-ES_tradnl"/>
        </w:rPr>
        <w:t>cter de t</w:t>
      </w:r>
      <w:r>
        <w:rPr>
          <w:rFonts w:cs="Times New Roman"/>
          <w:spacing w:val="-6"/>
          <w:sz w:val="18"/>
          <w:szCs w:val="18"/>
          <w:lang w:val="es-ES_tradnl"/>
        </w:rPr>
        <w:t>í</w:t>
      </w:r>
      <w:r>
        <w:rPr>
          <w:spacing w:val="-6"/>
          <w:sz w:val="18"/>
          <w:szCs w:val="18"/>
          <w:lang w:val="es-ES_tradnl"/>
        </w:rPr>
        <w:t>tulos ejecutivos</w:t>
      </w:r>
      <w:r>
        <w:rPr>
          <w:rFonts w:cs="Times New Roman"/>
          <w:spacing w:val="-6"/>
          <w:sz w:val="18"/>
          <w:szCs w:val="18"/>
          <w:lang w:val="es-ES_tradnl"/>
        </w:rPr>
        <w:t>”</w:t>
      </w:r>
      <w:r>
        <w:rPr>
          <w:spacing w:val="-6"/>
          <w:sz w:val="18"/>
          <w:szCs w:val="18"/>
          <w:lang w:val="es-ES_tradnl"/>
        </w:rPr>
        <w:t>. (</w:t>
      </w:r>
      <w:r>
        <w:rPr>
          <w:rFonts w:cs="Times New Roman"/>
          <w:spacing w:val="-6"/>
          <w:sz w:val="18"/>
          <w:szCs w:val="18"/>
          <w:lang w:val="es-ES_tradnl"/>
        </w:rPr>
        <w:t>É</w:t>
      </w:r>
      <w:r>
        <w:rPr>
          <w:spacing w:val="-6"/>
          <w:sz w:val="18"/>
          <w:szCs w:val="18"/>
          <w:lang w:val="es-ES_tradnl"/>
        </w:rPr>
        <w:t>nfasis a</w:t>
      </w:r>
      <w:r>
        <w:rPr>
          <w:rFonts w:cs="Times New Roman"/>
          <w:spacing w:val="-6"/>
          <w:sz w:val="18"/>
          <w:szCs w:val="18"/>
          <w:lang w:val="es-ES_tradnl"/>
        </w:rPr>
        <w:t>ñ</w:t>
      </w:r>
      <w:r>
        <w:rPr>
          <w:spacing w:val="-6"/>
          <w:sz w:val="18"/>
          <w:szCs w:val="18"/>
          <w:lang w:val="es-ES_tradnl"/>
        </w:rPr>
        <w:t>adido).</w:t>
      </w:r>
    </w:p>
    <w:p w14:paraId="4F67B515" w14:textId="77777777" w:rsidR="00591D54" w:rsidRDefault="00591D54">
      <w:pPr>
        <w:shd w:val="clear" w:color="auto" w:fill="FFFFFF"/>
        <w:spacing w:before="197" w:line="216" w:lineRule="exact"/>
        <w:ind w:right="10"/>
        <w:jc w:val="both"/>
      </w:pPr>
      <w:r>
        <w:rPr>
          <w:spacing w:val="-6"/>
          <w:sz w:val="18"/>
          <w:szCs w:val="18"/>
          <w:lang w:val="es-ES_tradnl"/>
        </w:rPr>
        <w:t xml:space="preserve">En el presente caso, se constata que en efecto, el acta </w:t>
      </w:r>
      <w:r>
        <w:rPr>
          <w:spacing w:val="-11"/>
          <w:sz w:val="18"/>
          <w:szCs w:val="18"/>
          <w:lang w:val="es-ES_tradnl"/>
        </w:rPr>
        <w:t>suscrita entre las partes conten</w:t>
      </w:r>
      <w:r>
        <w:rPr>
          <w:rFonts w:cs="Times New Roman"/>
          <w:spacing w:val="-11"/>
          <w:sz w:val="18"/>
          <w:szCs w:val="18"/>
          <w:lang w:val="es-ES_tradnl"/>
        </w:rPr>
        <w:t>í</w:t>
      </w:r>
      <w:r>
        <w:rPr>
          <w:spacing w:val="-11"/>
          <w:sz w:val="18"/>
          <w:szCs w:val="18"/>
          <w:lang w:val="es-ES_tradnl"/>
        </w:rPr>
        <w:t xml:space="preserve">a obligaciones de dar o hacer </w:t>
      </w:r>
      <w:r>
        <w:rPr>
          <w:spacing w:val="-8"/>
          <w:sz w:val="18"/>
          <w:szCs w:val="18"/>
          <w:lang w:val="es-ES_tradnl"/>
        </w:rPr>
        <w:t>alguna cosa y por lo tanto, cab</w:t>
      </w:r>
      <w:r>
        <w:rPr>
          <w:rFonts w:cs="Times New Roman"/>
          <w:spacing w:val="-8"/>
          <w:sz w:val="18"/>
          <w:szCs w:val="18"/>
          <w:lang w:val="es-ES_tradnl"/>
        </w:rPr>
        <w:t>í</w:t>
      </w:r>
      <w:r>
        <w:rPr>
          <w:spacing w:val="-8"/>
          <w:sz w:val="18"/>
          <w:szCs w:val="18"/>
          <w:lang w:val="es-ES_tradnl"/>
        </w:rPr>
        <w:t>a bajo la denominaci</w:t>
      </w:r>
      <w:r>
        <w:rPr>
          <w:rFonts w:cs="Times New Roman"/>
          <w:spacing w:val="-8"/>
          <w:sz w:val="18"/>
          <w:szCs w:val="18"/>
          <w:lang w:val="es-ES_tradnl"/>
        </w:rPr>
        <w:t>ó</w:t>
      </w:r>
      <w:r>
        <w:rPr>
          <w:spacing w:val="-8"/>
          <w:sz w:val="18"/>
          <w:szCs w:val="18"/>
          <w:lang w:val="es-ES_tradnl"/>
        </w:rPr>
        <w:t xml:space="preserve">n que </w:t>
      </w:r>
      <w:r>
        <w:rPr>
          <w:spacing w:val="-6"/>
          <w:sz w:val="18"/>
          <w:szCs w:val="18"/>
          <w:lang w:val="es-ES_tradnl"/>
        </w:rPr>
        <w:t>la normativa ha dado a los t</w:t>
      </w:r>
      <w:r>
        <w:rPr>
          <w:rFonts w:cs="Times New Roman"/>
          <w:spacing w:val="-6"/>
          <w:sz w:val="18"/>
          <w:szCs w:val="18"/>
          <w:lang w:val="es-ES_tradnl"/>
        </w:rPr>
        <w:t>í</w:t>
      </w:r>
      <w:r>
        <w:rPr>
          <w:spacing w:val="-6"/>
          <w:sz w:val="18"/>
          <w:szCs w:val="18"/>
          <w:lang w:val="es-ES_tradnl"/>
        </w:rPr>
        <w:t>tulos ejecutivos.</w:t>
      </w:r>
    </w:p>
    <w:p w14:paraId="4F67B516" w14:textId="77777777" w:rsidR="00591D54" w:rsidRDefault="00591D54">
      <w:pPr>
        <w:shd w:val="clear" w:color="auto" w:fill="FFFFFF"/>
        <w:spacing w:before="192" w:line="216" w:lineRule="exact"/>
        <w:ind w:right="10"/>
        <w:jc w:val="both"/>
      </w:pPr>
      <w:r>
        <w:rPr>
          <w:spacing w:val="-6"/>
          <w:sz w:val="18"/>
          <w:szCs w:val="18"/>
          <w:lang w:val="es-ES_tradnl"/>
        </w:rPr>
        <w:t>Por la consideraci</w:t>
      </w:r>
      <w:r>
        <w:rPr>
          <w:rFonts w:cs="Times New Roman"/>
          <w:spacing w:val="-6"/>
          <w:sz w:val="18"/>
          <w:szCs w:val="18"/>
          <w:lang w:val="es-ES_tradnl"/>
        </w:rPr>
        <w:t>ó</w:t>
      </w:r>
      <w:r>
        <w:rPr>
          <w:spacing w:val="-6"/>
          <w:sz w:val="18"/>
          <w:szCs w:val="18"/>
          <w:lang w:val="es-ES_tradnl"/>
        </w:rPr>
        <w:t>n se</w:t>
      </w:r>
      <w:r>
        <w:rPr>
          <w:rFonts w:cs="Times New Roman"/>
          <w:spacing w:val="-6"/>
          <w:sz w:val="18"/>
          <w:szCs w:val="18"/>
          <w:lang w:val="es-ES_tradnl"/>
        </w:rPr>
        <w:t>ñ</w:t>
      </w:r>
      <w:r>
        <w:rPr>
          <w:spacing w:val="-6"/>
          <w:sz w:val="18"/>
          <w:szCs w:val="18"/>
          <w:lang w:val="es-ES_tradnl"/>
        </w:rPr>
        <w:t>alada, al no existir una relaci</w:t>
      </w:r>
      <w:r>
        <w:rPr>
          <w:rFonts w:cs="Times New Roman"/>
          <w:spacing w:val="-6"/>
          <w:sz w:val="18"/>
          <w:szCs w:val="18"/>
          <w:lang w:val="es-ES_tradnl"/>
        </w:rPr>
        <w:t>ó</w:t>
      </w:r>
      <w:r>
        <w:rPr>
          <w:spacing w:val="-6"/>
          <w:sz w:val="18"/>
          <w:szCs w:val="18"/>
          <w:lang w:val="es-ES_tradnl"/>
        </w:rPr>
        <w:t xml:space="preserve">n </w:t>
      </w:r>
      <w:r>
        <w:rPr>
          <w:spacing w:val="-7"/>
          <w:sz w:val="18"/>
          <w:szCs w:val="18"/>
          <w:lang w:val="es-ES_tradnl"/>
        </w:rPr>
        <w:t>laboral entre EP PETROECUADOR y el se</w:t>
      </w:r>
      <w:r>
        <w:rPr>
          <w:rFonts w:cs="Times New Roman"/>
          <w:spacing w:val="-7"/>
          <w:sz w:val="18"/>
          <w:szCs w:val="18"/>
          <w:lang w:val="es-ES_tradnl"/>
        </w:rPr>
        <w:t>ñ</w:t>
      </w:r>
      <w:r>
        <w:rPr>
          <w:spacing w:val="-7"/>
          <w:sz w:val="18"/>
          <w:szCs w:val="18"/>
          <w:lang w:val="es-ES_tradnl"/>
        </w:rPr>
        <w:t xml:space="preserve">or Francisco Manuel Eduardo Naranjo Cruz, el juez de trabajo no era el </w:t>
      </w:r>
      <w:r>
        <w:rPr>
          <w:spacing w:val="-8"/>
          <w:sz w:val="18"/>
          <w:szCs w:val="18"/>
          <w:lang w:val="es-ES_tradnl"/>
        </w:rPr>
        <w:t xml:space="preserve">competente para conocer la falta de pago de lo convenido, </w:t>
      </w:r>
      <w:r>
        <w:rPr>
          <w:spacing w:val="-7"/>
          <w:sz w:val="18"/>
          <w:szCs w:val="18"/>
          <w:lang w:val="es-ES_tradnl"/>
        </w:rPr>
        <w:t xml:space="preserve">puesto que el confl icto que se desprende de este caso, </w:t>
      </w:r>
      <w:r>
        <w:rPr>
          <w:spacing w:val="-6"/>
          <w:sz w:val="18"/>
          <w:szCs w:val="18"/>
          <w:lang w:val="es-ES_tradnl"/>
        </w:rPr>
        <w:t>proviene del incumplimiento de una obligaci</w:t>
      </w:r>
      <w:r>
        <w:rPr>
          <w:rFonts w:cs="Times New Roman"/>
          <w:spacing w:val="-6"/>
          <w:sz w:val="18"/>
          <w:szCs w:val="18"/>
          <w:lang w:val="es-ES_tradnl"/>
        </w:rPr>
        <w:t>ó</w:t>
      </w:r>
      <w:r>
        <w:rPr>
          <w:spacing w:val="-6"/>
          <w:sz w:val="18"/>
          <w:szCs w:val="18"/>
          <w:lang w:val="es-ES_tradnl"/>
        </w:rPr>
        <w:t>n m</w:t>
      </w:r>
      <w:r>
        <w:rPr>
          <w:rFonts w:cs="Times New Roman"/>
          <w:spacing w:val="-6"/>
          <w:sz w:val="18"/>
          <w:szCs w:val="18"/>
          <w:lang w:val="es-ES_tradnl"/>
        </w:rPr>
        <w:t>á</w:t>
      </w:r>
      <w:r>
        <w:rPr>
          <w:spacing w:val="-6"/>
          <w:sz w:val="18"/>
          <w:szCs w:val="18"/>
          <w:lang w:val="es-ES_tradnl"/>
        </w:rPr>
        <w:t xml:space="preserve">s no de </w:t>
      </w:r>
      <w:r>
        <w:rPr>
          <w:spacing w:val="-8"/>
          <w:sz w:val="18"/>
          <w:szCs w:val="18"/>
          <w:lang w:val="es-ES_tradnl"/>
        </w:rPr>
        <w:t>un confl icto atinente a una relaci</w:t>
      </w:r>
      <w:r>
        <w:rPr>
          <w:rFonts w:cs="Times New Roman"/>
          <w:spacing w:val="-8"/>
          <w:sz w:val="18"/>
          <w:szCs w:val="18"/>
          <w:lang w:val="es-ES_tradnl"/>
        </w:rPr>
        <w:t>ó</w:t>
      </w:r>
      <w:r>
        <w:rPr>
          <w:spacing w:val="-8"/>
          <w:sz w:val="18"/>
          <w:szCs w:val="18"/>
          <w:lang w:val="es-ES_tradnl"/>
        </w:rPr>
        <w:t xml:space="preserve">n laboral en tanto, que la </w:t>
      </w:r>
      <w:r>
        <w:rPr>
          <w:spacing w:val="-11"/>
          <w:sz w:val="18"/>
          <w:szCs w:val="18"/>
          <w:lang w:val="es-ES_tradnl"/>
        </w:rPr>
        <w:t>relaci</w:t>
      </w:r>
      <w:r>
        <w:rPr>
          <w:rFonts w:cs="Times New Roman"/>
          <w:spacing w:val="-11"/>
          <w:sz w:val="18"/>
          <w:szCs w:val="18"/>
          <w:lang w:val="es-ES_tradnl"/>
        </w:rPr>
        <w:t>ó</w:t>
      </w:r>
      <w:r>
        <w:rPr>
          <w:spacing w:val="-11"/>
          <w:sz w:val="18"/>
          <w:szCs w:val="18"/>
          <w:lang w:val="es-ES_tradnl"/>
        </w:rPr>
        <w:t xml:space="preserve">n se encontraba extinguida y no se estaba reclamando </w:t>
      </w:r>
      <w:r>
        <w:rPr>
          <w:sz w:val="18"/>
          <w:szCs w:val="18"/>
          <w:lang w:val="es-ES_tradnl"/>
        </w:rPr>
        <w:t>nada respecto a esta.</w:t>
      </w:r>
    </w:p>
    <w:p w14:paraId="4F67B517" w14:textId="77777777" w:rsidR="00591D54" w:rsidRDefault="00591D54">
      <w:pPr>
        <w:shd w:val="clear" w:color="auto" w:fill="FFFFFF"/>
        <w:spacing w:before="192" w:line="216" w:lineRule="exact"/>
        <w:ind w:right="10"/>
        <w:jc w:val="both"/>
      </w:pPr>
      <w:r>
        <w:rPr>
          <w:spacing w:val="-7"/>
          <w:sz w:val="18"/>
          <w:szCs w:val="18"/>
          <w:lang w:val="es-ES_tradnl"/>
        </w:rPr>
        <w:t>En este sentido, del an</w:t>
      </w:r>
      <w:r>
        <w:rPr>
          <w:rFonts w:cs="Times New Roman"/>
          <w:spacing w:val="-7"/>
          <w:sz w:val="18"/>
          <w:szCs w:val="18"/>
          <w:lang w:val="es-ES_tradnl"/>
        </w:rPr>
        <w:t>á</w:t>
      </w:r>
      <w:r>
        <w:rPr>
          <w:spacing w:val="-7"/>
          <w:sz w:val="18"/>
          <w:szCs w:val="18"/>
          <w:lang w:val="es-ES_tradnl"/>
        </w:rPr>
        <w:t xml:space="preserve">lisis del caso, se evidencia que el </w:t>
      </w:r>
      <w:r>
        <w:rPr>
          <w:spacing w:val="-10"/>
          <w:sz w:val="18"/>
          <w:szCs w:val="18"/>
          <w:lang w:val="es-ES_tradnl"/>
        </w:rPr>
        <w:t>juez segundo de lo civil de Pichincha asumi</w:t>
      </w:r>
      <w:r>
        <w:rPr>
          <w:rFonts w:cs="Times New Roman"/>
          <w:spacing w:val="-10"/>
          <w:sz w:val="18"/>
          <w:szCs w:val="18"/>
          <w:lang w:val="es-ES_tradnl"/>
        </w:rPr>
        <w:t>ó</w:t>
      </w:r>
      <w:r>
        <w:rPr>
          <w:spacing w:val="-10"/>
          <w:sz w:val="18"/>
          <w:szCs w:val="18"/>
          <w:lang w:val="es-ES_tradnl"/>
        </w:rPr>
        <w:t xml:space="preserve"> la competencia </w:t>
      </w:r>
      <w:r>
        <w:rPr>
          <w:spacing w:val="-9"/>
          <w:sz w:val="18"/>
          <w:szCs w:val="18"/>
          <w:lang w:val="es-ES_tradnl"/>
        </w:rPr>
        <w:t>en el presente caso, dictando sentencia el 25 de febrero de 2010, en la que se resolvi</w:t>
      </w:r>
      <w:r>
        <w:rPr>
          <w:rFonts w:cs="Times New Roman"/>
          <w:spacing w:val="-9"/>
          <w:sz w:val="18"/>
          <w:szCs w:val="18"/>
          <w:lang w:val="es-ES_tradnl"/>
        </w:rPr>
        <w:t>ó</w:t>
      </w:r>
      <w:r>
        <w:rPr>
          <w:spacing w:val="-9"/>
          <w:sz w:val="18"/>
          <w:szCs w:val="18"/>
          <w:lang w:val="es-ES_tradnl"/>
        </w:rPr>
        <w:t xml:space="preserve"> aceptar la demanda.</w:t>
      </w:r>
    </w:p>
    <w:p w14:paraId="4F67B518" w14:textId="77777777" w:rsidR="00591D54" w:rsidRDefault="00591D54">
      <w:pPr>
        <w:shd w:val="clear" w:color="auto" w:fill="FFFFFF"/>
        <w:spacing w:before="192" w:line="216" w:lineRule="exact"/>
        <w:ind w:right="10"/>
        <w:jc w:val="both"/>
      </w:pPr>
      <w:r>
        <w:rPr>
          <w:spacing w:val="-6"/>
          <w:sz w:val="18"/>
          <w:szCs w:val="18"/>
          <w:lang w:val="es-ES_tradnl"/>
        </w:rPr>
        <w:t>En base al recurso de apelaci</w:t>
      </w:r>
      <w:r>
        <w:rPr>
          <w:rFonts w:cs="Times New Roman"/>
          <w:spacing w:val="-6"/>
          <w:sz w:val="18"/>
          <w:szCs w:val="18"/>
          <w:lang w:val="es-ES_tradnl"/>
        </w:rPr>
        <w:t>ó</w:t>
      </w:r>
      <w:r>
        <w:rPr>
          <w:spacing w:val="-6"/>
          <w:sz w:val="18"/>
          <w:szCs w:val="18"/>
          <w:lang w:val="es-ES_tradnl"/>
        </w:rPr>
        <w:t xml:space="preserve">n presentado por </w:t>
      </w:r>
      <w:r>
        <w:rPr>
          <w:spacing w:val="-4"/>
          <w:sz w:val="18"/>
          <w:szCs w:val="18"/>
          <w:lang w:val="es-ES_tradnl"/>
        </w:rPr>
        <w:t>PETROECUADOR, correspondi</w:t>
      </w:r>
      <w:r>
        <w:rPr>
          <w:rFonts w:cs="Times New Roman"/>
          <w:spacing w:val="-4"/>
          <w:sz w:val="18"/>
          <w:szCs w:val="18"/>
          <w:lang w:val="es-ES_tradnl"/>
        </w:rPr>
        <w:t>ó</w:t>
      </w:r>
      <w:r>
        <w:rPr>
          <w:spacing w:val="-4"/>
          <w:sz w:val="18"/>
          <w:szCs w:val="18"/>
          <w:lang w:val="es-ES_tradnl"/>
        </w:rPr>
        <w:t xml:space="preserve"> el conocimiento del </w:t>
      </w:r>
      <w:r>
        <w:rPr>
          <w:spacing w:val="-6"/>
          <w:sz w:val="18"/>
          <w:szCs w:val="18"/>
          <w:lang w:val="es-ES_tradnl"/>
        </w:rPr>
        <w:t xml:space="preserve">mismo a la Segunda Sala de lo Civil, Mercantil, Inquilinato </w:t>
      </w:r>
      <w:r>
        <w:rPr>
          <w:spacing w:val="-7"/>
          <w:sz w:val="18"/>
          <w:szCs w:val="18"/>
          <w:lang w:val="es-ES_tradnl"/>
        </w:rPr>
        <w:t xml:space="preserve">y Materias Residuales de la Corte Provincial de Pichincha, </w:t>
      </w:r>
      <w:r>
        <w:rPr>
          <w:spacing w:val="-9"/>
          <w:sz w:val="18"/>
          <w:szCs w:val="18"/>
          <w:lang w:val="es-ES_tradnl"/>
        </w:rPr>
        <w:t xml:space="preserve">la cual en la sentencia dictada el 01 de septiembre de 2010, </w:t>
      </w:r>
      <w:r>
        <w:rPr>
          <w:spacing w:val="-8"/>
          <w:sz w:val="18"/>
          <w:szCs w:val="18"/>
          <w:lang w:val="es-ES_tradnl"/>
        </w:rPr>
        <w:t>se pronunci</w:t>
      </w:r>
      <w:r>
        <w:rPr>
          <w:rFonts w:cs="Times New Roman"/>
          <w:spacing w:val="-8"/>
          <w:sz w:val="18"/>
          <w:szCs w:val="18"/>
          <w:lang w:val="es-ES_tradnl"/>
        </w:rPr>
        <w:t>ó</w:t>
      </w:r>
      <w:r>
        <w:rPr>
          <w:spacing w:val="-8"/>
          <w:sz w:val="18"/>
          <w:szCs w:val="18"/>
          <w:lang w:val="es-ES_tradnl"/>
        </w:rPr>
        <w:t xml:space="preserve"> sobre la excepci</w:t>
      </w:r>
      <w:r>
        <w:rPr>
          <w:rFonts w:cs="Times New Roman"/>
          <w:spacing w:val="-8"/>
          <w:sz w:val="18"/>
          <w:szCs w:val="18"/>
          <w:lang w:val="es-ES_tradnl"/>
        </w:rPr>
        <w:t>ó</w:t>
      </w:r>
      <w:r>
        <w:rPr>
          <w:spacing w:val="-8"/>
          <w:sz w:val="18"/>
          <w:szCs w:val="18"/>
          <w:lang w:val="es-ES_tradnl"/>
        </w:rPr>
        <w:t xml:space="preserve">n de competencia alegada </w:t>
      </w:r>
      <w:r>
        <w:rPr>
          <w:spacing w:val="-7"/>
          <w:sz w:val="18"/>
          <w:szCs w:val="18"/>
          <w:lang w:val="es-ES_tradnl"/>
        </w:rPr>
        <w:t>por PETROECUADOR en la contestaci</w:t>
      </w:r>
      <w:r>
        <w:rPr>
          <w:rFonts w:cs="Times New Roman"/>
          <w:spacing w:val="-7"/>
          <w:sz w:val="18"/>
          <w:szCs w:val="18"/>
          <w:lang w:val="es-ES_tradnl"/>
        </w:rPr>
        <w:t>ó</w:t>
      </w:r>
      <w:r>
        <w:rPr>
          <w:spacing w:val="-7"/>
          <w:sz w:val="18"/>
          <w:szCs w:val="18"/>
          <w:lang w:val="es-ES_tradnl"/>
        </w:rPr>
        <w:t xml:space="preserve">n a la demanda, </w:t>
      </w:r>
      <w:r>
        <w:rPr>
          <w:sz w:val="18"/>
          <w:szCs w:val="18"/>
          <w:lang w:val="es-ES_tradnl"/>
        </w:rPr>
        <w:t>determinando:</w:t>
      </w:r>
    </w:p>
    <w:p w14:paraId="4F67B519" w14:textId="77777777" w:rsidR="00591D54" w:rsidRDefault="00591D54">
      <w:pPr>
        <w:shd w:val="clear" w:color="auto" w:fill="FFFFFF"/>
        <w:spacing w:before="202" w:line="216" w:lineRule="exact"/>
        <w:ind w:left="283"/>
        <w:jc w:val="both"/>
      </w:pPr>
      <w:r>
        <w:rPr>
          <w:spacing w:val="-4"/>
          <w:sz w:val="16"/>
          <w:szCs w:val="16"/>
          <w:lang w:val="es-ES_tradnl"/>
        </w:rPr>
        <w:t>(</w:t>
      </w:r>
      <w:r>
        <w:rPr>
          <w:rFonts w:cs="Times New Roman"/>
          <w:spacing w:val="-4"/>
          <w:sz w:val="16"/>
          <w:szCs w:val="16"/>
          <w:lang w:val="es-ES_tradnl"/>
        </w:rPr>
        <w:t>…</w:t>
      </w:r>
      <w:r>
        <w:rPr>
          <w:spacing w:val="-4"/>
          <w:sz w:val="16"/>
          <w:szCs w:val="16"/>
          <w:lang w:val="es-ES_tradnl"/>
        </w:rPr>
        <w:t>) SEGUNDO: El actor funda su pretensi</w:t>
      </w:r>
      <w:r>
        <w:rPr>
          <w:rFonts w:cs="Times New Roman"/>
          <w:spacing w:val="-4"/>
          <w:sz w:val="16"/>
          <w:szCs w:val="16"/>
          <w:lang w:val="es-ES_tradnl"/>
        </w:rPr>
        <w:t>ó</w:t>
      </w:r>
      <w:r>
        <w:rPr>
          <w:spacing w:val="-4"/>
          <w:sz w:val="16"/>
          <w:szCs w:val="16"/>
          <w:lang w:val="es-ES_tradnl"/>
        </w:rPr>
        <w:t xml:space="preserve">n en el </w:t>
      </w:r>
      <w:r>
        <w:rPr>
          <w:rFonts w:cs="Times New Roman"/>
          <w:spacing w:val="-4"/>
          <w:sz w:val="16"/>
          <w:szCs w:val="16"/>
          <w:lang w:val="es-ES_tradnl"/>
        </w:rPr>
        <w:t>“</w:t>
      </w:r>
      <w:r>
        <w:rPr>
          <w:spacing w:val="-4"/>
          <w:sz w:val="16"/>
          <w:szCs w:val="16"/>
          <w:lang w:val="es-ES_tradnl"/>
        </w:rPr>
        <w:t xml:space="preserve">ACTA </w:t>
      </w:r>
      <w:r>
        <w:rPr>
          <w:spacing w:val="-2"/>
          <w:sz w:val="16"/>
          <w:szCs w:val="16"/>
          <w:lang w:val="es-ES_tradnl"/>
        </w:rPr>
        <w:t>DE PAGO DE CONTRIBUCI</w:t>
      </w:r>
      <w:r>
        <w:rPr>
          <w:rFonts w:cs="Times New Roman"/>
          <w:spacing w:val="-2"/>
          <w:sz w:val="16"/>
          <w:szCs w:val="16"/>
          <w:lang w:val="es-ES_tradnl"/>
        </w:rPr>
        <w:t>Ó</w:t>
      </w:r>
      <w:r>
        <w:rPr>
          <w:spacing w:val="-2"/>
          <w:sz w:val="16"/>
          <w:szCs w:val="16"/>
          <w:lang w:val="es-ES_tradnl"/>
        </w:rPr>
        <w:t>N POR SEPARACI</w:t>
      </w:r>
      <w:r>
        <w:rPr>
          <w:rFonts w:cs="Times New Roman"/>
          <w:spacing w:val="-2"/>
          <w:sz w:val="16"/>
          <w:szCs w:val="16"/>
          <w:lang w:val="es-ES_tradnl"/>
        </w:rPr>
        <w:t>Ó</w:t>
      </w:r>
      <w:r>
        <w:rPr>
          <w:spacing w:val="-2"/>
          <w:sz w:val="16"/>
          <w:szCs w:val="16"/>
          <w:lang w:val="es-ES_tradnl"/>
        </w:rPr>
        <w:t xml:space="preserve">N </w:t>
      </w:r>
      <w:r>
        <w:rPr>
          <w:sz w:val="16"/>
          <w:szCs w:val="16"/>
          <w:lang w:val="es-ES_tradnl"/>
        </w:rPr>
        <w:t>VOLUNTARIA</w:t>
      </w:r>
      <w:r>
        <w:rPr>
          <w:rFonts w:cs="Times New Roman"/>
          <w:sz w:val="16"/>
          <w:szCs w:val="16"/>
          <w:lang w:val="es-ES_tradnl"/>
        </w:rPr>
        <w:t>”</w:t>
      </w:r>
      <w:r>
        <w:rPr>
          <w:sz w:val="16"/>
          <w:szCs w:val="16"/>
          <w:lang w:val="es-ES_tradnl"/>
        </w:rPr>
        <w:t xml:space="preserve"> No. 2007419 suscrita el 28 de Agosto </w:t>
      </w:r>
      <w:r>
        <w:rPr>
          <w:spacing w:val="-3"/>
          <w:sz w:val="16"/>
          <w:szCs w:val="16"/>
          <w:lang w:val="es-ES_tradnl"/>
        </w:rPr>
        <w:t xml:space="preserve">de 2007, entre el accionante y la empresa demandada; en </w:t>
      </w:r>
      <w:r>
        <w:rPr>
          <w:spacing w:val="-7"/>
          <w:sz w:val="16"/>
          <w:szCs w:val="16"/>
          <w:lang w:val="es-ES_tradnl"/>
        </w:rPr>
        <w:t xml:space="preserve">el contexto de dicha acta se desprende claramente que se </w:t>
      </w:r>
      <w:r>
        <w:rPr>
          <w:spacing w:val="-5"/>
          <w:sz w:val="16"/>
          <w:szCs w:val="16"/>
          <w:lang w:val="es-ES_tradnl"/>
        </w:rPr>
        <w:t>encuadra dentro de las se</w:t>
      </w:r>
      <w:r>
        <w:rPr>
          <w:rFonts w:cs="Times New Roman"/>
          <w:spacing w:val="-5"/>
          <w:sz w:val="16"/>
          <w:szCs w:val="16"/>
          <w:lang w:val="es-ES_tradnl"/>
        </w:rPr>
        <w:t>ñ</w:t>
      </w:r>
      <w:r>
        <w:rPr>
          <w:spacing w:val="-5"/>
          <w:sz w:val="16"/>
          <w:szCs w:val="16"/>
          <w:lang w:val="es-ES_tradnl"/>
        </w:rPr>
        <w:t>aladas por el Art. 413 del C</w:t>
      </w:r>
      <w:r>
        <w:rPr>
          <w:rFonts w:cs="Times New Roman"/>
          <w:spacing w:val="-5"/>
          <w:sz w:val="16"/>
          <w:szCs w:val="16"/>
          <w:lang w:val="es-ES_tradnl"/>
        </w:rPr>
        <w:t>ó</w:t>
      </w:r>
      <w:r>
        <w:rPr>
          <w:spacing w:val="-5"/>
          <w:sz w:val="16"/>
          <w:szCs w:val="16"/>
          <w:lang w:val="es-ES_tradnl"/>
        </w:rPr>
        <w:t xml:space="preserve">digo </w:t>
      </w:r>
      <w:r>
        <w:rPr>
          <w:sz w:val="16"/>
          <w:szCs w:val="16"/>
          <w:lang w:val="es-ES_tradnl"/>
        </w:rPr>
        <w:t>de Procedimiento Civil al determinar que son t</w:t>
      </w:r>
      <w:r>
        <w:rPr>
          <w:rFonts w:cs="Times New Roman"/>
          <w:sz w:val="16"/>
          <w:szCs w:val="16"/>
          <w:lang w:val="es-ES_tradnl"/>
        </w:rPr>
        <w:t>í</w:t>
      </w:r>
      <w:r>
        <w:rPr>
          <w:sz w:val="16"/>
          <w:szCs w:val="16"/>
          <w:lang w:val="es-ES_tradnl"/>
        </w:rPr>
        <w:t xml:space="preserve">tulos </w:t>
      </w:r>
      <w:r>
        <w:rPr>
          <w:spacing w:val="-6"/>
          <w:sz w:val="16"/>
          <w:szCs w:val="16"/>
          <w:lang w:val="es-ES_tradnl"/>
        </w:rPr>
        <w:t xml:space="preserve">ejecutivos entre otros </w:t>
      </w:r>
      <w:r>
        <w:rPr>
          <w:rFonts w:cs="Times New Roman"/>
          <w:spacing w:val="-6"/>
          <w:sz w:val="16"/>
          <w:szCs w:val="16"/>
          <w:lang w:val="es-ES_tradnl"/>
        </w:rPr>
        <w:t>“</w:t>
      </w:r>
      <w:r>
        <w:rPr>
          <w:spacing w:val="-6"/>
          <w:sz w:val="16"/>
          <w:szCs w:val="16"/>
          <w:lang w:val="es-ES_tradnl"/>
        </w:rPr>
        <w:t>las actas de transacci</w:t>
      </w:r>
      <w:r>
        <w:rPr>
          <w:rFonts w:cs="Times New Roman"/>
          <w:spacing w:val="-6"/>
          <w:sz w:val="16"/>
          <w:szCs w:val="16"/>
          <w:lang w:val="es-ES_tradnl"/>
        </w:rPr>
        <w:t>ó</w:t>
      </w:r>
      <w:r>
        <w:rPr>
          <w:spacing w:val="-6"/>
          <w:sz w:val="16"/>
          <w:szCs w:val="16"/>
          <w:lang w:val="es-ES_tradnl"/>
        </w:rPr>
        <w:t>n u otras que contengan obligaciones de dar o hacer alguna cosa</w:t>
      </w:r>
      <w:r>
        <w:rPr>
          <w:rFonts w:cs="Times New Roman"/>
          <w:spacing w:val="-6"/>
          <w:sz w:val="16"/>
          <w:szCs w:val="16"/>
          <w:lang w:val="es-ES_tradnl"/>
        </w:rPr>
        <w:t>”</w:t>
      </w:r>
      <w:r>
        <w:rPr>
          <w:spacing w:val="-6"/>
          <w:sz w:val="16"/>
          <w:szCs w:val="16"/>
          <w:lang w:val="es-ES_tradnl"/>
        </w:rPr>
        <w:t xml:space="preserve">. El acta </w:t>
      </w:r>
      <w:r>
        <w:rPr>
          <w:spacing w:val="-5"/>
          <w:sz w:val="16"/>
          <w:szCs w:val="16"/>
          <w:lang w:val="es-ES_tradnl"/>
        </w:rPr>
        <w:t>fundamento del presente juicio contiene una obligaci</w:t>
      </w:r>
      <w:r>
        <w:rPr>
          <w:rFonts w:cs="Times New Roman"/>
          <w:spacing w:val="-5"/>
          <w:sz w:val="16"/>
          <w:szCs w:val="16"/>
          <w:lang w:val="es-ES_tradnl"/>
        </w:rPr>
        <w:t>ó</w:t>
      </w:r>
      <w:r>
        <w:rPr>
          <w:spacing w:val="-5"/>
          <w:sz w:val="16"/>
          <w:szCs w:val="16"/>
          <w:lang w:val="es-ES_tradnl"/>
        </w:rPr>
        <w:t>n de pagar una cantidad de dinero determinada dentro de plazos</w:t>
      </w:r>
    </w:p>
    <w:p w14:paraId="4F67B51A" w14:textId="77777777" w:rsidR="00591D54" w:rsidRDefault="00591D54">
      <w:pPr>
        <w:shd w:val="clear" w:color="auto" w:fill="FFFFFF"/>
        <w:spacing w:before="202" w:line="216" w:lineRule="exact"/>
        <w:ind w:left="283"/>
        <w:jc w:val="both"/>
        <w:sectPr w:rsidR="00591D54">
          <w:type w:val="continuous"/>
          <w:pgSz w:w="11909" w:h="16834"/>
          <w:pgMar w:top="1356" w:right="1299" w:bottom="360" w:left="1308" w:header="720" w:footer="720" w:gutter="0"/>
          <w:cols w:num="2" w:space="720" w:equalWidth="0">
            <w:col w:w="4305" w:space="682"/>
            <w:col w:w="4315"/>
          </w:cols>
          <w:noEndnote/>
        </w:sectPr>
      </w:pPr>
    </w:p>
    <w:p w14:paraId="4F67B51B" w14:textId="77777777" w:rsidR="00591D54" w:rsidRDefault="00591D54">
      <w:pPr>
        <w:shd w:val="clear" w:color="auto" w:fill="FFFFFF"/>
        <w:tabs>
          <w:tab w:val="left" w:pos="4814"/>
        </w:tabs>
        <w:spacing w:after="226"/>
        <w:ind w:left="5"/>
      </w:pPr>
      <w:r>
        <w:rPr>
          <w:b/>
          <w:bCs/>
          <w:sz w:val="18"/>
          <w:szCs w:val="18"/>
          <w:lang w:val="es-ES_tradnl"/>
        </w:rPr>
        <w:t xml:space="preserve">216 -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51C" w14:textId="77777777" w:rsidR="00591D54" w:rsidRDefault="00591D54">
      <w:pPr>
        <w:shd w:val="clear" w:color="auto" w:fill="FFFFFF"/>
        <w:tabs>
          <w:tab w:val="left" w:pos="4814"/>
        </w:tabs>
        <w:spacing w:after="226"/>
        <w:ind w:left="5"/>
        <w:sectPr w:rsidR="00591D54">
          <w:pgSz w:w="11909" w:h="16834"/>
          <w:pgMar w:top="1378" w:right="1304" w:bottom="360" w:left="1308" w:header="720" w:footer="720" w:gutter="0"/>
          <w:cols w:space="60"/>
          <w:noEndnote/>
        </w:sectPr>
      </w:pPr>
    </w:p>
    <w:p w14:paraId="4F67B51D" w14:textId="77777777" w:rsidR="00591D54" w:rsidRDefault="00591D54">
      <w:pPr>
        <w:shd w:val="clear" w:color="auto" w:fill="FFFFFF"/>
        <w:spacing w:line="221" w:lineRule="exact"/>
        <w:ind w:left="283"/>
        <w:jc w:val="both"/>
      </w:pPr>
      <w:r>
        <w:rPr>
          <w:spacing w:val="-4"/>
          <w:sz w:val="16"/>
          <w:szCs w:val="16"/>
          <w:lang w:val="es-ES_tradnl"/>
        </w:rPr>
        <w:t>establecidos, por lo que constituye t</w:t>
      </w:r>
      <w:r>
        <w:rPr>
          <w:rFonts w:cs="Times New Roman"/>
          <w:spacing w:val="-4"/>
          <w:sz w:val="16"/>
          <w:szCs w:val="16"/>
          <w:lang w:val="es-ES_tradnl"/>
        </w:rPr>
        <w:t>í</w:t>
      </w:r>
      <w:r>
        <w:rPr>
          <w:spacing w:val="-4"/>
          <w:sz w:val="16"/>
          <w:szCs w:val="16"/>
          <w:lang w:val="es-ES_tradnl"/>
        </w:rPr>
        <w:t xml:space="preserve">tulo ejecutivo una vez </w:t>
      </w:r>
      <w:r>
        <w:rPr>
          <w:spacing w:val="-6"/>
          <w:sz w:val="16"/>
          <w:szCs w:val="16"/>
          <w:lang w:val="es-ES_tradnl"/>
        </w:rPr>
        <w:t xml:space="preserve">que su autenticidad no ha sido siquiera controvertida menos </w:t>
      </w:r>
      <w:r>
        <w:rPr>
          <w:spacing w:val="-9"/>
          <w:sz w:val="16"/>
          <w:szCs w:val="16"/>
          <w:lang w:val="es-ES_tradnl"/>
        </w:rPr>
        <w:t>impugnada y adem</w:t>
      </w:r>
      <w:r>
        <w:rPr>
          <w:rFonts w:cs="Times New Roman"/>
          <w:spacing w:val="-9"/>
          <w:sz w:val="16"/>
          <w:szCs w:val="16"/>
          <w:lang w:val="es-ES_tradnl"/>
        </w:rPr>
        <w:t>á</w:t>
      </w:r>
      <w:r>
        <w:rPr>
          <w:spacing w:val="-9"/>
          <w:sz w:val="16"/>
          <w:szCs w:val="16"/>
          <w:lang w:val="es-ES_tradnl"/>
        </w:rPr>
        <w:t xml:space="preserve">s se ha reconocido legalmente las firmas y </w:t>
      </w:r>
      <w:r>
        <w:rPr>
          <w:sz w:val="16"/>
          <w:szCs w:val="16"/>
          <w:lang w:val="es-ES_tradnl"/>
        </w:rPr>
        <w:t>r</w:t>
      </w:r>
      <w:r>
        <w:rPr>
          <w:rFonts w:cs="Times New Roman"/>
          <w:sz w:val="16"/>
          <w:szCs w:val="16"/>
          <w:lang w:val="es-ES_tradnl"/>
        </w:rPr>
        <w:t>ú</w:t>
      </w:r>
      <w:r>
        <w:rPr>
          <w:sz w:val="16"/>
          <w:szCs w:val="16"/>
          <w:lang w:val="es-ES_tradnl"/>
        </w:rPr>
        <w:t>bricas de sus suscriptores (</w:t>
      </w:r>
      <w:r>
        <w:rPr>
          <w:rFonts w:cs="Times New Roman"/>
          <w:sz w:val="16"/>
          <w:szCs w:val="16"/>
          <w:lang w:val="es-ES_tradnl"/>
        </w:rPr>
        <w:t>…</w:t>
      </w:r>
      <w:r>
        <w:rPr>
          <w:sz w:val="16"/>
          <w:szCs w:val="16"/>
          <w:lang w:val="es-ES_tradnl"/>
        </w:rPr>
        <w:t>).</w:t>
      </w:r>
    </w:p>
    <w:p w14:paraId="4F67B51E" w14:textId="77777777" w:rsidR="00591D54" w:rsidRDefault="00591D54">
      <w:pPr>
        <w:shd w:val="clear" w:color="auto" w:fill="FFFFFF"/>
        <w:spacing w:before="206" w:line="221" w:lineRule="exact"/>
        <w:jc w:val="both"/>
      </w:pPr>
      <w:r>
        <w:rPr>
          <w:spacing w:val="-5"/>
          <w:sz w:val="18"/>
          <w:szCs w:val="18"/>
          <w:lang w:val="es-ES_tradnl"/>
        </w:rPr>
        <w:t>En virtud de lo se</w:t>
      </w:r>
      <w:r>
        <w:rPr>
          <w:rFonts w:cs="Times New Roman"/>
          <w:spacing w:val="-5"/>
          <w:sz w:val="18"/>
          <w:szCs w:val="18"/>
          <w:lang w:val="es-ES_tradnl"/>
        </w:rPr>
        <w:t>ñ</w:t>
      </w:r>
      <w:r>
        <w:rPr>
          <w:spacing w:val="-5"/>
          <w:sz w:val="18"/>
          <w:szCs w:val="18"/>
          <w:lang w:val="es-ES_tradnl"/>
        </w:rPr>
        <w:t xml:space="preserve">alado, la autoridad judicial de la cual </w:t>
      </w:r>
      <w:r>
        <w:rPr>
          <w:spacing w:val="-8"/>
          <w:sz w:val="18"/>
          <w:szCs w:val="18"/>
          <w:lang w:val="es-ES_tradnl"/>
        </w:rPr>
        <w:t>emana la decisi</w:t>
      </w:r>
      <w:r>
        <w:rPr>
          <w:rFonts w:cs="Times New Roman"/>
          <w:spacing w:val="-8"/>
          <w:sz w:val="18"/>
          <w:szCs w:val="18"/>
          <w:lang w:val="es-ES_tradnl"/>
        </w:rPr>
        <w:t>ó</w:t>
      </w:r>
      <w:r>
        <w:rPr>
          <w:spacing w:val="-8"/>
          <w:sz w:val="18"/>
          <w:szCs w:val="18"/>
          <w:lang w:val="es-ES_tradnl"/>
        </w:rPr>
        <w:t>n impugnada a trav</w:t>
      </w:r>
      <w:r>
        <w:rPr>
          <w:rFonts w:cs="Times New Roman"/>
          <w:spacing w:val="-8"/>
          <w:sz w:val="18"/>
          <w:szCs w:val="18"/>
          <w:lang w:val="es-ES_tradnl"/>
        </w:rPr>
        <w:t>é</w:t>
      </w:r>
      <w:r>
        <w:rPr>
          <w:spacing w:val="-8"/>
          <w:sz w:val="18"/>
          <w:szCs w:val="18"/>
          <w:lang w:val="es-ES_tradnl"/>
        </w:rPr>
        <w:t>s de esta acci</w:t>
      </w:r>
      <w:r>
        <w:rPr>
          <w:rFonts w:cs="Times New Roman"/>
          <w:spacing w:val="-8"/>
          <w:sz w:val="18"/>
          <w:szCs w:val="18"/>
          <w:lang w:val="es-ES_tradnl"/>
        </w:rPr>
        <w:t>ó</w:t>
      </w:r>
      <w:r>
        <w:rPr>
          <w:spacing w:val="-8"/>
          <w:sz w:val="18"/>
          <w:szCs w:val="18"/>
          <w:lang w:val="es-ES_tradnl"/>
        </w:rPr>
        <w:t xml:space="preserve">n, se </w:t>
      </w:r>
      <w:r>
        <w:rPr>
          <w:spacing w:val="-7"/>
          <w:sz w:val="18"/>
          <w:szCs w:val="18"/>
          <w:lang w:val="es-ES_tradnl"/>
        </w:rPr>
        <w:t>pronunci</w:t>
      </w:r>
      <w:r>
        <w:rPr>
          <w:rFonts w:cs="Times New Roman"/>
          <w:spacing w:val="-7"/>
          <w:sz w:val="18"/>
          <w:szCs w:val="18"/>
          <w:lang w:val="es-ES_tradnl"/>
        </w:rPr>
        <w:t>ó</w:t>
      </w:r>
      <w:r>
        <w:rPr>
          <w:spacing w:val="-7"/>
          <w:sz w:val="18"/>
          <w:szCs w:val="18"/>
          <w:lang w:val="es-ES_tradnl"/>
        </w:rPr>
        <w:t xml:space="preserve"> respecto de la supuesta falta de competencia y </w:t>
      </w:r>
      <w:r>
        <w:rPr>
          <w:spacing w:val="-11"/>
          <w:sz w:val="18"/>
          <w:szCs w:val="18"/>
          <w:lang w:val="es-ES_tradnl"/>
        </w:rPr>
        <w:t>desech</w:t>
      </w:r>
      <w:r>
        <w:rPr>
          <w:rFonts w:cs="Times New Roman"/>
          <w:spacing w:val="-11"/>
          <w:sz w:val="18"/>
          <w:szCs w:val="18"/>
          <w:lang w:val="es-ES_tradnl"/>
        </w:rPr>
        <w:t>ó</w:t>
      </w:r>
      <w:r>
        <w:rPr>
          <w:spacing w:val="-11"/>
          <w:sz w:val="18"/>
          <w:szCs w:val="18"/>
          <w:lang w:val="es-ES_tradnl"/>
        </w:rPr>
        <w:t xml:space="preserve"> esta excepci</w:t>
      </w:r>
      <w:r>
        <w:rPr>
          <w:rFonts w:cs="Times New Roman"/>
          <w:spacing w:val="-11"/>
          <w:sz w:val="18"/>
          <w:szCs w:val="18"/>
          <w:lang w:val="es-ES_tradnl"/>
        </w:rPr>
        <w:t>ó</w:t>
      </w:r>
      <w:r>
        <w:rPr>
          <w:spacing w:val="-11"/>
          <w:sz w:val="18"/>
          <w:szCs w:val="18"/>
          <w:lang w:val="es-ES_tradnl"/>
        </w:rPr>
        <w:t xml:space="preserve">n, por cuanto en virtud de la normativa </w:t>
      </w:r>
      <w:r>
        <w:rPr>
          <w:spacing w:val="-1"/>
          <w:sz w:val="18"/>
          <w:szCs w:val="18"/>
          <w:lang w:val="es-ES_tradnl"/>
        </w:rPr>
        <w:t>que regula los juicios ejecutivos como lo es el C</w:t>
      </w:r>
      <w:r>
        <w:rPr>
          <w:rFonts w:cs="Times New Roman"/>
          <w:spacing w:val="-1"/>
          <w:sz w:val="18"/>
          <w:szCs w:val="18"/>
          <w:lang w:val="es-ES_tradnl"/>
        </w:rPr>
        <w:t>ó</w:t>
      </w:r>
      <w:r>
        <w:rPr>
          <w:spacing w:val="-1"/>
          <w:sz w:val="18"/>
          <w:szCs w:val="18"/>
          <w:lang w:val="es-ES_tradnl"/>
        </w:rPr>
        <w:t xml:space="preserve">digo </w:t>
      </w:r>
      <w:r>
        <w:rPr>
          <w:spacing w:val="-6"/>
          <w:sz w:val="18"/>
          <w:szCs w:val="18"/>
          <w:lang w:val="es-ES_tradnl"/>
        </w:rPr>
        <w:t xml:space="preserve">de Procedimiento Civil, se determina claramente que documentos constituyen </w:t>
      </w:r>
      <w:r>
        <w:rPr>
          <w:rFonts w:cs="Times New Roman"/>
          <w:spacing w:val="-6"/>
          <w:sz w:val="18"/>
          <w:szCs w:val="18"/>
          <w:lang w:val="es-ES_tradnl"/>
        </w:rPr>
        <w:t>“</w:t>
      </w:r>
      <w:r>
        <w:rPr>
          <w:spacing w:val="-6"/>
          <w:sz w:val="18"/>
          <w:szCs w:val="18"/>
          <w:lang w:val="es-ES_tradnl"/>
        </w:rPr>
        <w:t>t</w:t>
      </w:r>
      <w:r>
        <w:rPr>
          <w:rFonts w:cs="Times New Roman"/>
          <w:spacing w:val="-6"/>
          <w:sz w:val="18"/>
          <w:szCs w:val="18"/>
          <w:lang w:val="es-ES_tradnl"/>
        </w:rPr>
        <w:t>í</w:t>
      </w:r>
      <w:r>
        <w:rPr>
          <w:spacing w:val="-6"/>
          <w:sz w:val="18"/>
          <w:szCs w:val="18"/>
          <w:lang w:val="es-ES_tradnl"/>
        </w:rPr>
        <w:t>tulos ejecutivos</w:t>
      </w:r>
      <w:r>
        <w:rPr>
          <w:rFonts w:cs="Times New Roman"/>
          <w:spacing w:val="-6"/>
          <w:sz w:val="18"/>
          <w:szCs w:val="18"/>
          <w:lang w:val="es-ES_tradnl"/>
        </w:rPr>
        <w:t>”</w:t>
      </w:r>
      <w:r>
        <w:rPr>
          <w:spacing w:val="-6"/>
          <w:sz w:val="18"/>
          <w:szCs w:val="18"/>
          <w:lang w:val="es-ES_tradnl"/>
        </w:rPr>
        <w:t xml:space="preserve"> dentro de los </w:t>
      </w:r>
      <w:r>
        <w:rPr>
          <w:spacing w:val="-9"/>
          <w:sz w:val="18"/>
          <w:szCs w:val="18"/>
          <w:lang w:val="es-ES_tradnl"/>
        </w:rPr>
        <w:t xml:space="preserve">cuales se encuentra el acta, en tanto contiene obligaciones </w:t>
      </w:r>
      <w:r>
        <w:rPr>
          <w:sz w:val="18"/>
          <w:szCs w:val="18"/>
          <w:lang w:val="es-ES_tradnl"/>
        </w:rPr>
        <w:t>de dar o hacer algo.</w:t>
      </w:r>
    </w:p>
    <w:p w14:paraId="4F67B51F" w14:textId="77777777" w:rsidR="00591D54" w:rsidRDefault="00591D54">
      <w:pPr>
        <w:shd w:val="clear" w:color="auto" w:fill="FFFFFF"/>
        <w:spacing w:before="202" w:line="221" w:lineRule="exact"/>
        <w:ind w:right="5"/>
        <w:jc w:val="both"/>
      </w:pPr>
      <w:r>
        <w:rPr>
          <w:sz w:val="18"/>
          <w:szCs w:val="18"/>
          <w:lang w:val="es-ES_tradnl"/>
        </w:rPr>
        <w:t>As</w:t>
      </w:r>
      <w:r>
        <w:rPr>
          <w:rFonts w:cs="Times New Roman"/>
          <w:sz w:val="18"/>
          <w:szCs w:val="18"/>
          <w:lang w:val="es-ES_tradnl"/>
        </w:rPr>
        <w:t>í</w:t>
      </w:r>
      <w:r>
        <w:rPr>
          <w:sz w:val="18"/>
          <w:szCs w:val="18"/>
          <w:lang w:val="es-ES_tradnl"/>
        </w:rPr>
        <w:t>, la Segunda Sala de lo Civil, Mercantil, Inquilinato y Materias Residuales, adem</w:t>
      </w:r>
      <w:r>
        <w:rPr>
          <w:rFonts w:cs="Times New Roman"/>
          <w:sz w:val="18"/>
          <w:szCs w:val="18"/>
          <w:lang w:val="es-ES_tradnl"/>
        </w:rPr>
        <w:t>á</w:t>
      </w:r>
      <w:r>
        <w:rPr>
          <w:sz w:val="18"/>
          <w:szCs w:val="18"/>
          <w:lang w:val="es-ES_tradnl"/>
        </w:rPr>
        <w:t>s agreg</w:t>
      </w:r>
      <w:r>
        <w:rPr>
          <w:rFonts w:cs="Times New Roman"/>
          <w:sz w:val="18"/>
          <w:szCs w:val="18"/>
          <w:lang w:val="es-ES_tradnl"/>
        </w:rPr>
        <w:t>ó</w:t>
      </w:r>
      <w:r>
        <w:rPr>
          <w:sz w:val="18"/>
          <w:szCs w:val="18"/>
          <w:lang w:val="es-ES_tradnl"/>
        </w:rPr>
        <w:t xml:space="preserve">: </w:t>
      </w:r>
      <w:r>
        <w:rPr>
          <w:rFonts w:cs="Times New Roman"/>
          <w:sz w:val="18"/>
          <w:szCs w:val="18"/>
          <w:lang w:val="es-ES_tradnl"/>
        </w:rPr>
        <w:t>“</w:t>
      </w:r>
      <w:r>
        <w:rPr>
          <w:sz w:val="18"/>
          <w:szCs w:val="18"/>
          <w:lang w:val="es-ES_tradnl"/>
        </w:rPr>
        <w:t xml:space="preserve">Siendo el </w:t>
      </w:r>
      <w:r>
        <w:rPr>
          <w:spacing w:val="-4"/>
          <w:sz w:val="18"/>
          <w:szCs w:val="18"/>
          <w:lang w:val="es-ES_tradnl"/>
        </w:rPr>
        <w:t>t</w:t>
      </w:r>
      <w:r>
        <w:rPr>
          <w:rFonts w:cs="Times New Roman"/>
          <w:spacing w:val="-4"/>
          <w:sz w:val="18"/>
          <w:szCs w:val="18"/>
          <w:lang w:val="es-ES_tradnl"/>
        </w:rPr>
        <w:t>í</w:t>
      </w:r>
      <w:r>
        <w:rPr>
          <w:spacing w:val="-4"/>
          <w:sz w:val="18"/>
          <w:szCs w:val="18"/>
          <w:lang w:val="es-ES_tradnl"/>
        </w:rPr>
        <w:t>tulo y obligaci</w:t>
      </w:r>
      <w:r>
        <w:rPr>
          <w:rFonts w:cs="Times New Roman"/>
          <w:spacing w:val="-4"/>
          <w:sz w:val="18"/>
          <w:szCs w:val="18"/>
          <w:lang w:val="es-ES_tradnl"/>
        </w:rPr>
        <w:t>ó</w:t>
      </w:r>
      <w:r>
        <w:rPr>
          <w:spacing w:val="-4"/>
          <w:sz w:val="18"/>
          <w:szCs w:val="18"/>
          <w:lang w:val="es-ES_tradnl"/>
        </w:rPr>
        <w:t>n ejecutivos, la acci</w:t>
      </w:r>
      <w:r>
        <w:rPr>
          <w:rFonts w:cs="Times New Roman"/>
          <w:spacing w:val="-4"/>
          <w:sz w:val="18"/>
          <w:szCs w:val="18"/>
          <w:lang w:val="es-ES_tradnl"/>
        </w:rPr>
        <w:t>ó</w:t>
      </w:r>
      <w:r>
        <w:rPr>
          <w:spacing w:val="-4"/>
          <w:sz w:val="18"/>
          <w:szCs w:val="18"/>
          <w:lang w:val="es-ES_tradnl"/>
        </w:rPr>
        <w:t xml:space="preserve">n ejercida para su </w:t>
      </w:r>
      <w:r>
        <w:rPr>
          <w:spacing w:val="-7"/>
          <w:sz w:val="18"/>
          <w:szCs w:val="18"/>
          <w:lang w:val="es-ES_tradnl"/>
        </w:rPr>
        <w:t xml:space="preserve">cobro corresponde no al Juez de Trabajo como dicen los </w:t>
      </w:r>
      <w:r>
        <w:rPr>
          <w:spacing w:val="-8"/>
          <w:sz w:val="18"/>
          <w:szCs w:val="18"/>
          <w:lang w:val="es-ES_tradnl"/>
        </w:rPr>
        <w:t xml:space="preserve">demandados, sino al Juez de lo Civil por mandato expreso </w:t>
      </w:r>
      <w:r>
        <w:rPr>
          <w:spacing w:val="-9"/>
          <w:sz w:val="18"/>
          <w:szCs w:val="18"/>
          <w:lang w:val="es-ES_tradnl"/>
        </w:rPr>
        <w:t>del Art. 71 de la Ley Org</w:t>
      </w:r>
      <w:r>
        <w:rPr>
          <w:rFonts w:cs="Times New Roman"/>
          <w:spacing w:val="-9"/>
          <w:sz w:val="18"/>
          <w:szCs w:val="18"/>
          <w:lang w:val="es-ES_tradnl"/>
        </w:rPr>
        <w:t>á</w:t>
      </w:r>
      <w:r>
        <w:rPr>
          <w:spacing w:val="-9"/>
          <w:sz w:val="18"/>
          <w:szCs w:val="18"/>
          <w:lang w:val="es-ES_tradnl"/>
        </w:rPr>
        <w:t>nica de la Funci</w:t>
      </w:r>
      <w:r>
        <w:rPr>
          <w:rFonts w:cs="Times New Roman"/>
          <w:spacing w:val="-9"/>
          <w:sz w:val="18"/>
          <w:szCs w:val="18"/>
          <w:lang w:val="es-ES_tradnl"/>
        </w:rPr>
        <w:t>ó</w:t>
      </w:r>
      <w:r>
        <w:rPr>
          <w:spacing w:val="-9"/>
          <w:sz w:val="18"/>
          <w:szCs w:val="18"/>
          <w:lang w:val="es-ES_tradnl"/>
        </w:rPr>
        <w:t>n Judicial vigente a la presentaci</w:t>
      </w:r>
      <w:r>
        <w:rPr>
          <w:rFonts w:cs="Times New Roman"/>
          <w:spacing w:val="-9"/>
          <w:sz w:val="18"/>
          <w:szCs w:val="18"/>
          <w:lang w:val="es-ES_tradnl"/>
        </w:rPr>
        <w:t>ó</w:t>
      </w:r>
      <w:r>
        <w:rPr>
          <w:spacing w:val="-9"/>
          <w:sz w:val="18"/>
          <w:szCs w:val="18"/>
          <w:lang w:val="es-ES_tradnl"/>
        </w:rPr>
        <w:t xml:space="preserve">n de la demanda y como lo determina el Art. </w:t>
      </w:r>
      <w:r>
        <w:rPr>
          <w:spacing w:val="-6"/>
          <w:sz w:val="18"/>
          <w:szCs w:val="18"/>
          <w:lang w:val="es-ES_tradnl"/>
        </w:rPr>
        <w:t>240 del C</w:t>
      </w:r>
      <w:r>
        <w:rPr>
          <w:rFonts w:cs="Times New Roman"/>
          <w:spacing w:val="-6"/>
          <w:sz w:val="18"/>
          <w:szCs w:val="18"/>
          <w:lang w:val="es-ES_tradnl"/>
        </w:rPr>
        <w:t>ó</w:t>
      </w:r>
      <w:r>
        <w:rPr>
          <w:spacing w:val="-6"/>
          <w:sz w:val="18"/>
          <w:szCs w:val="18"/>
          <w:lang w:val="es-ES_tradnl"/>
        </w:rPr>
        <w:t>digo Org</w:t>
      </w:r>
      <w:r>
        <w:rPr>
          <w:rFonts w:cs="Times New Roman"/>
          <w:spacing w:val="-6"/>
          <w:sz w:val="18"/>
          <w:szCs w:val="18"/>
          <w:lang w:val="es-ES_tradnl"/>
        </w:rPr>
        <w:t>á</w:t>
      </w:r>
      <w:r>
        <w:rPr>
          <w:spacing w:val="-6"/>
          <w:sz w:val="18"/>
          <w:szCs w:val="18"/>
          <w:lang w:val="es-ES_tradnl"/>
        </w:rPr>
        <w:t>nico de la Funci</w:t>
      </w:r>
      <w:r>
        <w:rPr>
          <w:rFonts w:cs="Times New Roman"/>
          <w:spacing w:val="-6"/>
          <w:sz w:val="18"/>
          <w:szCs w:val="18"/>
          <w:lang w:val="es-ES_tradnl"/>
        </w:rPr>
        <w:t>ó</w:t>
      </w:r>
      <w:r>
        <w:rPr>
          <w:spacing w:val="-6"/>
          <w:sz w:val="18"/>
          <w:szCs w:val="18"/>
          <w:lang w:val="es-ES_tradnl"/>
        </w:rPr>
        <w:t xml:space="preserve">n Judicial en actual </w:t>
      </w:r>
      <w:r>
        <w:rPr>
          <w:spacing w:val="-8"/>
          <w:sz w:val="18"/>
          <w:szCs w:val="18"/>
          <w:lang w:val="es-ES_tradnl"/>
        </w:rPr>
        <w:t>vigencia. Con lo dicho la incompetencia alegada carece de fundamento legal, por lo tanto habi</w:t>
      </w:r>
      <w:r>
        <w:rPr>
          <w:rFonts w:cs="Times New Roman"/>
          <w:spacing w:val="-8"/>
          <w:sz w:val="18"/>
          <w:szCs w:val="18"/>
          <w:lang w:val="es-ES_tradnl"/>
        </w:rPr>
        <w:t>é</w:t>
      </w:r>
      <w:r>
        <w:rPr>
          <w:spacing w:val="-8"/>
          <w:sz w:val="18"/>
          <w:szCs w:val="18"/>
          <w:lang w:val="es-ES_tradnl"/>
        </w:rPr>
        <w:t xml:space="preserve">ndose dado al proceso </w:t>
      </w:r>
      <w:r>
        <w:rPr>
          <w:spacing w:val="-7"/>
          <w:sz w:val="18"/>
          <w:szCs w:val="18"/>
          <w:lang w:val="es-ES_tradnl"/>
        </w:rPr>
        <w:t>el tr</w:t>
      </w:r>
      <w:r>
        <w:rPr>
          <w:rFonts w:cs="Times New Roman"/>
          <w:spacing w:val="-7"/>
          <w:sz w:val="18"/>
          <w:szCs w:val="18"/>
          <w:lang w:val="es-ES_tradnl"/>
        </w:rPr>
        <w:t>á</w:t>
      </w:r>
      <w:r>
        <w:rPr>
          <w:spacing w:val="-7"/>
          <w:sz w:val="18"/>
          <w:szCs w:val="18"/>
          <w:lang w:val="es-ES_tradnl"/>
        </w:rPr>
        <w:t>mite legal correspondiente y no habi</w:t>
      </w:r>
      <w:r>
        <w:rPr>
          <w:rFonts w:cs="Times New Roman"/>
          <w:spacing w:val="-7"/>
          <w:sz w:val="18"/>
          <w:szCs w:val="18"/>
          <w:lang w:val="es-ES_tradnl"/>
        </w:rPr>
        <w:t>é</w:t>
      </w:r>
      <w:r>
        <w:rPr>
          <w:spacing w:val="-7"/>
          <w:sz w:val="18"/>
          <w:szCs w:val="18"/>
          <w:lang w:val="es-ES_tradnl"/>
        </w:rPr>
        <w:t>ndose incurrido en omisi</w:t>
      </w:r>
      <w:r>
        <w:rPr>
          <w:rFonts w:cs="Times New Roman"/>
          <w:spacing w:val="-7"/>
          <w:sz w:val="18"/>
          <w:szCs w:val="18"/>
          <w:lang w:val="es-ES_tradnl"/>
        </w:rPr>
        <w:t>ó</w:t>
      </w:r>
      <w:r>
        <w:rPr>
          <w:spacing w:val="-7"/>
          <w:sz w:val="18"/>
          <w:szCs w:val="18"/>
          <w:lang w:val="es-ES_tradnl"/>
        </w:rPr>
        <w:t xml:space="preserve">n de ninguna solemnidad se declara su validez </w:t>
      </w:r>
      <w:r>
        <w:rPr>
          <w:sz w:val="18"/>
          <w:szCs w:val="18"/>
          <w:lang w:val="es-ES_tradnl"/>
        </w:rPr>
        <w:t>(</w:t>
      </w:r>
      <w:r>
        <w:rPr>
          <w:rFonts w:cs="Times New Roman"/>
          <w:sz w:val="18"/>
          <w:szCs w:val="18"/>
          <w:lang w:val="es-ES_tradnl"/>
        </w:rPr>
        <w:t>…</w:t>
      </w:r>
      <w:r>
        <w:rPr>
          <w:sz w:val="18"/>
          <w:szCs w:val="18"/>
          <w:lang w:val="es-ES_tradnl"/>
        </w:rPr>
        <w:t>)</w:t>
      </w:r>
      <w:r>
        <w:rPr>
          <w:rFonts w:cs="Times New Roman"/>
          <w:sz w:val="18"/>
          <w:szCs w:val="18"/>
          <w:lang w:val="es-ES_tradnl"/>
        </w:rPr>
        <w:t>”</w:t>
      </w:r>
      <w:r>
        <w:rPr>
          <w:sz w:val="18"/>
          <w:szCs w:val="18"/>
          <w:lang w:val="es-ES_tradnl"/>
        </w:rPr>
        <w:t>.</w:t>
      </w:r>
    </w:p>
    <w:p w14:paraId="4F67B520" w14:textId="77777777" w:rsidR="00591D54" w:rsidRDefault="00591D54">
      <w:pPr>
        <w:shd w:val="clear" w:color="auto" w:fill="FFFFFF"/>
        <w:spacing w:before="206" w:line="221" w:lineRule="exact"/>
        <w:ind w:right="5"/>
        <w:jc w:val="both"/>
      </w:pPr>
      <w:r>
        <w:rPr>
          <w:spacing w:val="-12"/>
          <w:sz w:val="18"/>
          <w:szCs w:val="18"/>
          <w:lang w:val="es-ES_tradnl"/>
        </w:rPr>
        <w:t>Bajo estas consideraciones y bajo un an</w:t>
      </w:r>
      <w:r>
        <w:rPr>
          <w:rFonts w:cs="Times New Roman"/>
          <w:spacing w:val="-12"/>
          <w:sz w:val="18"/>
          <w:szCs w:val="18"/>
          <w:lang w:val="es-ES_tradnl"/>
        </w:rPr>
        <w:t>á</w:t>
      </w:r>
      <w:r>
        <w:rPr>
          <w:spacing w:val="-12"/>
          <w:sz w:val="18"/>
          <w:szCs w:val="18"/>
          <w:lang w:val="es-ES_tradnl"/>
        </w:rPr>
        <w:t xml:space="preserve">lisis de los recaudos </w:t>
      </w:r>
      <w:r>
        <w:rPr>
          <w:spacing w:val="-8"/>
          <w:sz w:val="18"/>
          <w:szCs w:val="18"/>
          <w:lang w:val="es-ES_tradnl"/>
        </w:rPr>
        <w:t xml:space="preserve">procesales, y de la normativa que rige el proceso ejecutivo, </w:t>
      </w:r>
      <w:r>
        <w:rPr>
          <w:spacing w:val="-9"/>
          <w:sz w:val="18"/>
          <w:szCs w:val="18"/>
          <w:lang w:val="es-ES_tradnl"/>
        </w:rPr>
        <w:t>la Sala resolvi</w:t>
      </w:r>
      <w:r>
        <w:rPr>
          <w:rFonts w:cs="Times New Roman"/>
          <w:spacing w:val="-9"/>
          <w:sz w:val="18"/>
          <w:szCs w:val="18"/>
          <w:lang w:val="es-ES_tradnl"/>
        </w:rPr>
        <w:t>ó</w:t>
      </w:r>
      <w:r>
        <w:rPr>
          <w:spacing w:val="-9"/>
          <w:sz w:val="18"/>
          <w:szCs w:val="18"/>
          <w:lang w:val="es-ES_tradnl"/>
        </w:rPr>
        <w:t xml:space="preserve">: </w:t>
      </w:r>
      <w:r>
        <w:rPr>
          <w:rFonts w:cs="Times New Roman"/>
          <w:spacing w:val="-9"/>
          <w:sz w:val="18"/>
          <w:szCs w:val="18"/>
          <w:lang w:val="es-ES_tradnl"/>
        </w:rPr>
        <w:t>“</w:t>
      </w:r>
      <w:r>
        <w:rPr>
          <w:spacing w:val="-9"/>
          <w:sz w:val="18"/>
          <w:szCs w:val="18"/>
          <w:lang w:val="es-ES_tradnl"/>
        </w:rPr>
        <w:t xml:space="preserve">se rechazan los recursos interpuestos y se </w:t>
      </w:r>
      <w:r>
        <w:rPr>
          <w:spacing w:val="-7"/>
          <w:sz w:val="18"/>
          <w:szCs w:val="18"/>
          <w:lang w:val="es-ES_tradnl"/>
        </w:rPr>
        <w:t>confirma en lo principal el fallo recurrido, reform</w:t>
      </w:r>
      <w:r>
        <w:rPr>
          <w:rFonts w:cs="Times New Roman"/>
          <w:spacing w:val="-7"/>
          <w:sz w:val="18"/>
          <w:szCs w:val="18"/>
          <w:lang w:val="es-ES_tradnl"/>
        </w:rPr>
        <w:t>á</w:t>
      </w:r>
      <w:r>
        <w:rPr>
          <w:spacing w:val="-7"/>
          <w:sz w:val="18"/>
          <w:szCs w:val="18"/>
          <w:lang w:val="es-ES_tradnl"/>
        </w:rPr>
        <w:t xml:space="preserve">ndolo en </w:t>
      </w:r>
      <w:r>
        <w:rPr>
          <w:spacing w:val="-9"/>
          <w:sz w:val="18"/>
          <w:szCs w:val="18"/>
          <w:lang w:val="es-ES_tradnl"/>
        </w:rPr>
        <w:t>cuanto que al practicarse la liquidaci</w:t>
      </w:r>
      <w:r>
        <w:rPr>
          <w:rFonts w:cs="Times New Roman"/>
          <w:spacing w:val="-9"/>
          <w:sz w:val="18"/>
          <w:szCs w:val="18"/>
          <w:lang w:val="es-ES_tradnl"/>
        </w:rPr>
        <w:t>ó</w:t>
      </w:r>
      <w:r>
        <w:rPr>
          <w:spacing w:val="-9"/>
          <w:sz w:val="18"/>
          <w:szCs w:val="18"/>
          <w:lang w:val="es-ES_tradnl"/>
        </w:rPr>
        <w:t>n deber</w:t>
      </w:r>
      <w:r>
        <w:rPr>
          <w:rFonts w:cs="Times New Roman"/>
          <w:spacing w:val="-9"/>
          <w:sz w:val="18"/>
          <w:szCs w:val="18"/>
          <w:lang w:val="es-ES_tradnl"/>
        </w:rPr>
        <w:t>á</w:t>
      </w:r>
      <w:r>
        <w:rPr>
          <w:spacing w:val="-9"/>
          <w:sz w:val="18"/>
          <w:szCs w:val="18"/>
          <w:lang w:val="es-ES_tradnl"/>
        </w:rPr>
        <w:t xml:space="preserve">n tomarse en </w:t>
      </w:r>
      <w:r>
        <w:rPr>
          <w:spacing w:val="-10"/>
          <w:sz w:val="18"/>
          <w:szCs w:val="18"/>
          <w:lang w:val="es-ES_tradnl"/>
        </w:rPr>
        <w:t xml:space="preserve">cuenta abonos parciales que el demandante reconoce en su </w:t>
      </w:r>
      <w:r>
        <w:rPr>
          <w:sz w:val="18"/>
          <w:szCs w:val="18"/>
          <w:lang w:val="es-ES_tradnl"/>
        </w:rPr>
        <w:t>libelo inicial</w:t>
      </w:r>
      <w:r>
        <w:rPr>
          <w:rFonts w:cs="Times New Roman"/>
          <w:sz w:val="18"/>
          <w:szCs w:val="18"/>
          <w:lang w:val="es-ES_tradnl"/>
        </w:rPr>
        <w:t>”</w:t>
      </w:r>
      <w:r>
        <w:rPr>
          <w:sz w:val="18"/>
          <w:szCs w:val="18"/>
          <w:lang w:val="es-ES_tradnl"/>
        </w:rPr>
        <w:t>.</w:t>
      </w:r>
    </w:p>
    <w:p w14:paraId="4F67B521" w14:textId="77777777" w:rsidR="00591D54" w:rsidRDefault="00591D54">
      <w:pPr>
        <w:shd w:val="clear" w:color="auto" w:fill="FFFFFF"/>
        <w:spacing w:before="202" w:line="221" w:lineRule="exact"/>
        <w:ind w:right="5"/>
        <w:jc w:val="both"/>
      </w:pPr>
      <w:r>
        <w:rPr>
          <w:spacing w:val="-8"/>
          <w:sz w:val="18"/>
          <w:szCs w:val="18"/>
          <w:lang w:val="es-ES_tradnl"/>
        </w:rPr>
        <w:t>Respecto de esta decisi</w:t>
      </w:r>
      <w:r>
        <w:rPr>
          <w:rFonts w:cs="Times New Roman"/>
          <w:spacing w:val="-8"/>
          <w:sz w:val="18"/>
          <w:szCs w:val="18"/>
          <w:lang w:val="es-ES_tradnl"/>
        </w:rPr>
        <w:t>ó</w:t>
      </w:r>
      <w:r>
        <w:rPr>
          <w:spacing w:val="-8"/>
          <w:sz w:val="18"/>
          <w:szCs w:val="18"/>
          <w:lang w:val="es-ES_tradnl"/>
        </w:rPr>
        <w:t>n, el accionante solicit</w:t>
      </w:r>
      <w:r>
        <w:rPr>
          <w:rFonts w:cs="Times New Roman"/>
          <w:spacing w:val="-8"/>
          <w:sz w:val="18"/>
          <w:szCs w:val="18"/>
          <w:lang w:val="es-ES_tradnl"/>
        </w:rPr>
        <w:t>ó</w:t>
      </w:r>
      <w:r>
        <w:rPr>
          <w:spacing w:val="-8"/>
          <w:sz w:val="18"/>
          <w:szCs w:val="18"/>
          <w:lang w:val="es-ES_tradnl"/>
        </w:rPr>
        <w:t xml:space="preserve"> aclaraci</w:t>
      </w:r>
      <w:r>
        <w:rPr>
          <w:rFonts w:cs="Times New Roman"/>
          <w:spacing w:val="-8"/>
          <w:sz w:val="18"/>
          <w:szCs w:val="18"/>
          <w:lang w:val="es-ES_tradnl"/>
        </w:rPr>
        <w:t>ó</w:t>
      </w:r>
      <w:r>
        <w:rPr>
          <w:spacing w:val="-8"/>
          <w:sz w:val="18"/>
          <w:szCs w:val="18"/>
          <w:lang w:val="es-ES_tradnl"/>
        </w:rPr>
        <w:t xml:space="preserve">n </w:t>
      </w:r>
      <w:r>
        <w:rPr>
          <w:spacing w:val="-4"/>
          <w:sz w:val="18"/>
          <w:szCs w:val="18"/>
          <w:lang w:val="es-ES_tradnl"/>
        </w:rPr>
        <w:t>y ampliaci</w:t>
      </w:r>
      <w:r>
        <w:rPr>
          <w:rFonts w:cs="Times New Roman"/>
          <w:spacing w:val="-4"/>
          <w:sz w:val="18"/>
          <w:szCs w:val="18"/>
          <w:lang w:val="es-ES_tradnl"/>
        </w:rPr>
        <w:t>ó</w:t>
      </w:r>
      <w:r>
        <w:rPr>
          <w:spacing w:val="-4"/>
          <w:sz w:val="18"/>
          <w:szCs w:val="18"/>
          <w:lang w:val="es-ES_tradnl"/>
        </w:rPr>
        <w:t xml:space="preserve">n, la cual fue atendida mediante auto dictado </w:t>
      </w:r>
      <w:r>
        <w:rPr>
          <w:spacing w:val="-5"/>
          <w:sz w:val="18"/>
          <w:szCs w:val="18"/>
          <w:lang w:val="es-ES_tradnl"/>
        </w:rPr>
        <w:t>el 29 de septiembre del 2010 en la que la Sala aclar</w:t>
      </w:r>
      <w:r>
        <w:rPr>
          <w:rFonts w:cs="Times New Roman"/>
          <w:spacing w:val="-5"/>
          <w:sz w:val="18"/>
          <w:szCs w:val="18"/>
          <w:lang w:val="es-ES_tradnl"/>
        </w:rPr>
        <w:t>ó</w:t>
      </w:r>
      <w:r>
        <w:rPr>
          <w:spacing w:val="-5"/>
          <w:sz w:val="18"/>
          <w:szCs w:val="18"/>
          <w:lang w:val="es-ES_tradnl"/>
        </w:rPr>
        <w:t xml:space="preserve"> lo </w:t>
      </w:r>
      <w:r>
        <w:rPr>
          <w:spacing w:val="-6"/>
          <w:sz w:val="18"/>
          <w:szCs w:val="18"/>
          <w:lang w:val="es-ES_tradnl"/>
        </w:rPr>
        <w:t>que significa la autenticidad de un t</w:t>
      </w:r>
      <w:r>
        <w:rPr>
          <w:rFonts w:cs="Times New Roman"/>
          <w:spacing w:val="-6"/>
          <w:sz w:val="18"/>
          <w:szCs w:val="18"/>
          <w:lang w:val="es-ES_tradnl"/>
        </w:rPr>
        <w:t>í</w:t>
      </w:r>
      <w:r>
        <w:rPr>
          <w:spacing w:val="-6"/>
          <w:sz w:val="18"/>
          <w:szCs w:val="18"/>
          <w:lang w:val="es-ES_tradnl"/>
        </w:rPr>
        <w:t>tulo, determin</w:t>
      </w:r>
      <w:r>
        <w:rPr>
          <w:rFonts w:cs="Times New Roman"/>
          <w:spacing w:val="-6"/>
          <w:sz w:val="18"/>
          <w:szCs w:val="18"/>
          <w:lang w:val="es-ES_tradnl"/>
        </w:rPr>
        <w:t>á</w:t>
      </w:r>
      <w:r>
        <w:rPr>
          <w:spacing w:val="-6"/>
          <w:sz w:val="18"/>
          <w:szCs w:val="18"/>
          <w:lang w:val="es-ES_tradnl"/>
        </w:rPr>
        <w:t xml:space="preserve">ndose </w:t>
      </w:r>
      <w:r>
        <w:rPr>
          <w:spacing w:val="-3"/>
          <w:sz w:val="18"/>
          <w:szCs w:val="18"/>
          <w:lang w:val="es-ES_tradnl"/>
        </w:rPr>
        <w:t xml:space="preserve">que: </w:t>
      </w:r>
      <w:r>
        <w:rPr>
          <w:rFonts w:cs="Times New Roman"/>
          <w:spacing w:val="-3"/>
          <w:sz w:val="18"/>
          <w:szCs w:val="18"/>
          <w:lang w:val="es-ES_tradnl"/>
        </w:rPr>
        <w:t>«</w:t>
      </w:r>
      <w:r>
        <w:rPr>
          <w:spacing w:val="-3"/>
          <w:sz w:val="18"/>
          <w:szCs w:val="18"/>
          <w:lang w:val="es-ES_tradnl"/>
        </w:rPr>
        <w:t xml:space="preserve">En la especie la sentencia dictada por el Tribunal </w:t>
      </w:r>
      <w:r>
        <w:rPr>
          <w:spacing w:val="-6"/>
          <w:sz w:val="18"/>
          <w:szCs w:val="18"/>
          <w:lang w:val="es-ES_tradnl"/>
        </w:rPr>
        <w:t>es perfectamente inteligible y como ha resuelto todos los puntos sobre los que se trab</w:t>
      </w:r>
      <w:r>
        <w:rPr>
          <w:rFonts w:cs="Times New Roman"/>
          <w:spacing w:val="-6"/>
          <w:sz w:val="18"/>
          <w:szCs w:val="18"/>
          <w:lang w:val="es-ES_tradnl"/>
        </w:rPr>
        <w:t>ó</w:t>
      </w:r>
      <w:r>
        <w:rPr>
          <w:spacing w:val="-6"/>
          <w:sz w:val="18"/>
          <w:szCs w:val="18"/>
          <w:lang w:val="es-ES_tradnl"/>
        </w:rPr>
        <w:t xml:space="preserve"> la litis nada hay que aclarar </w:t>
      </w:r>
      <w:r>
        <w:rPr>
          <w:sz w:val="18"/>
          <w:szCs w:val="18"/>
          <w:lang w:val="es-ES_tradnl"/>
        </w:rPr>
        <w:t xml:space="preserve">ni ampliar. En todo caso se aclara al demandado que </w:t>
      </w:r>
      <w:r>
        <w:rPr>
          <w:spacing w:val="-2"/>
          <w:sz w:val="18"/>
          <w:szCs w:val="18"/>
          <w:lang w:val="es-ES_tradnl"/>
        </w:rPr>
        <w:t xml:space="preserve">la autenticidad es </w:t>
      </w:r>
      <w:r>
        <w:rPr>
          <w:rFonts w:cs="Times New Roman"/>
          <w:spacing w:val="-2"/>
          <w:sz w:val="18"/>
          <w:szCs w:val="18"/>
          <w:lang w:val="es-ES_tradnl"/>
        </w:rPr>
        <w:t>“</w:t>
      </w:r>
      <w:r>
        <w:rPr>
          <w:spacing w:val="-2"/>
          <w:sz w:val="18"/>
          <w:szCs w:val="18"/>
          <w:lang w:val="es-ES_tradnl"/>
        </w:rPr>
        <w:t xml:space="preserve">La circunstancia o el requerimiento </w:t>
      </w:r>
      <w:r>
        <w:rPr>
          <w:spacing w:val="-8"/>
          <w:sz w:val="18"/>
          <w:szCs w:val="18"/>
          <w:lang w:val="es-ES_tradnl"/>
        </w:rPr>
        <w:t>que hace aut</w:t>
      </w:r>
      <w:r>
        <w:rPr>
          <w:rFonts w:cs="Times New Roman"/>
          <w:spacing w:val="-8"/>
          <w:sz w:val="18"/>
          <w:szCs w:val="18"/>
          <w:lang w:val="es-ES_tradnl"/>
        </w:rPr>
        <w:t>é</w:t>
      </w:r>
      <w:r>
        <w:rPr>
          <w:spacing w:val="-8"/>
          <w:sz w:val="18"/>
          <w:szCs w:val="18"/>
          <w:lang w:val="es-ES_tradnl"/>
        </w:rPr>
        <w:t>ntica alguna cosa (</w:t>
      </w:r>
      <w:r>
        <w:rPr>
          <w:rFonts w:cs="Times New Roman"/>
          <w:spacing w:val="-8"/>
          <w:sz w:val="18"/>
          <w:szCs w:val="18"/>
          <w:lang w:val="es-ES_tradnl"/>
        </w:rPr>
        <w:t>…</w:t>
      </w:r>
      <w:r>
        <w:rPr>
          <w:spacing w:val="-8"/>
          <w:sz w:val="18"/>
          <w:szCs w:val="18"/>
          <w:lang w:val="es-ES_tradnl"/>
        </w:rPr>
        <w:t xml:space="preserve">) Los demandados no </w:t>
      </w:r>
      <w:r>
        <w:rPr>
          <w:spacing w:val="-9"/>
          <w:sz w:val="18"/>
          <w:szCs w:val="18"/>
          <w:lang w:val="es-ES_tradnl"/>
        </w:rPr>
        <w:t xml:space="preserve">alegaron que el acta no fuere verdadera, el sostener que el </w:t>
      </w:r>
      <w:r>
        <w:rPr>
          <w:spacing w:val="-8"/>
          <w:sz w:val="18"/>
          <w:szCs w:val="18"/>
          <w:lang w:val="es-ES_tradnl"/>
        </w:rPr>
        <w:t>documento presentado por el actor no es v</w:t>
      </w:r>
      <w:r>
        <w:rPr>
          <w:rFonts w:cs="Times New Roman"/>
          <w:spacing w:val="-8"/>
          <w:sz w:val="18"/>
          <w:szCs w:val="18"/>
          <w:lang w:val="es-ES_tradnl"/>
        </w:rPr>
        <w:t>á</w:t>
      </w:r>
      <w:r>
        <w:rPr>
          <w:spacing w:val="-8"/>
          <w:sz w:val="18"/>
          <w:szCs w:val="18"/>
          <w:lang w:val="es-ES_tradnl"/>
        </w:rPr>
        <w:t>lido como t</w:t>
      </w:r>
      <w:r>
        <w:rPr>
          <w:rFonts w:cs="Times New Roman"/>
          <w:spacing w:val="-8"/>
          <w:sz w:val="18"/>
          <w:szCs w:val="18"/>
          <w:lang w:val="es-ES_tradnl"/>
        </w:rPr>
        <w:t>í</w:t>
      </w:r>
      <w:r>
        <w:rPr>
          <w:spacing w:val="-8"/>
          <w:sz w:val="18"/>
          <w:szCs w:val="18"/>
          <w:lang w:val="es-ES_tradnl"/>
        </w:rPr>
        <w:t xml:space="preserve">tulo </w:t>
      </w:r>
      <w:r>
        <w:rPr>
          <w:spacing w:val="-3"/>
          <w:sz w:val="18"/>
          <w:szCs w:val="18"/>
          <w:lang w:val="es-ES_tradnl"/>
        </w:rPr>
        <w:t>ejecutivo, no es decir, que no es aut</w:t>
      </w:r>
      <w:r>
        <w:rPr>
          <w:rFonts w:cs="Times New Roman"/>
          <w:spacing w:val="-3"/>
          <w:sz w:val="18"/>
          <w:szCs w:val="18"/>
          <w:lang w:val="es-ES_tradnl"/>
        </w:rPr>
        <w:t>é</w:t>
      </w:r>
      <w:r>
        <w:rPr>
          <w:spacing w:val="-3"/>
          <w:sz w:val="18"/>
          <w:szCs w:val="18"/>
          <w:lang w:val="es-ES_tradnl"/>
        </w:rPr>
        <w:t>ntico</w:t>
      </w:r>
      <w:r>
        <w:rPr>
          <w:rFonts w:cs="Times New Roman"/>
          <w:spacing w:val="-3"/>
          <w:sz w:val="18"/>
          <w:szCs w:val="18"/>
          <w:lang w:val="es-ES_tradnl"/>
        </w:rPr>
        <w:t>”</w:t>
      </w:r>
      <w:r>
        <w:rPr>
          <w:spacing w:val="-3"/>
          <w:sz w:val="18"/>
          <w:szCs w:val="18"/>
          <w:lang w:val="es-ES_tradnl"/>
        </w:rPr>
        <w:t xml:space="preserve">.- En cuanto </w:t>
      </w:r>
      <w:r>
        <w:rPr>
          <w:spacing w:val="-8"/>
          <w:sz w:val="18"/>
          <w:szCs w:val="18"/>
          <w:lang w:val="es-ES_tradnl"/>
        </w:rPr>
        <w:t xml:space="preserve">al segundo punto, se recuerda al demandado, que </w:t>
      </w:r>
      <w:r>
        <w:rPr>
          <w:rFonts w:cs="Times New Roman"/>
          <w:spacing w:val="-8"/>
          <w:sz w:val="18"/>
          <w:szCs w:val="18"/>
          <w:lang w:val="es-ES_tradnl"/>
        </w:rPr>
        <w:t>“</w:t>
      </w:r>
      <w:r>
        <w:rPr>
          <w:spacing w:val="-8"/>
          <w:sz w:val="18"/>
          <w:szCs w:val="18"/>
          <w:lang w:val="es-ES_tradnl"/>
        </w:rPr>
        <w:t xml:space="preserve">Todo </w:t>
      </w:r>
      <w:r>
        <w:rPr>
          <w:spacing w:val="-7"/>
          <w:sz w:val="18"/>
          <w:szCs w:val="18"/>
          <w:lang w:val="es-ES_tradnl"/>
        </w:rPr>
        <w:t xml:space="preserve">contrato celebrado es una ley para los contratantes y no </w:t>
      </w:r>
      <w:r>
        <w:rPr>
          <w:spacing w:val="-9"/>
          <w:sz w:val="18"/>
          <w:szCs w:val="18"/>
          <w:lang w:val="es-ES_tradnl"/>
        </w:rPr>
        <w:t xml:space="preserve">puede ser invalidado sino por su consentimiento muto o por </w:t>
      </w:r>
      <w:r>
        <w:rPr>
          <w:spacing w:val="-8"/>
          <w:sz w:val="18"/>
          <w:szCs w:val="18"/>
          <w:lang w:val="es-ES_tradnl"/>
        </w:rPr>
        <w:t>causas legales</w:t>
      </w:r>
      <w:r>
        <w:rPr>
          <w:rFonts w:cs="Times New Roman"/>
          <w:spacing w:val="-8"/>
          <w:sz w:val="18"/>
          <w:szCs w:val="18"/>
          <w:lang w:val="es-ES_tradnl"/>
        </w:rPr>
        <w:t>”</w:t>
      </w:r>
      <w:r>
        <w:rPr>
          <w:spacing w:val="-8"/>
          <w:sz w:val="18"/>
          <w:szCs w:val="18"/>
          <w:lang w:val="es-ES_tradnl"/>
        </w:rPr>
        <w:t xml:space="preserve"> y que la nulidad pronunciada en sentencia </w:t>
      </w:r>
      <w:r>
        <w:rPr>
          <w:spacing w:val="-9"/>
          <w:sz w:val="18"/>
          <w:szCs w:val="18"/>
          <w:lang w:val="es-ES_tradnl"/>
        </w:rPr>
        <w:t xml:space="preserve">que tiene fuerza de cosa juzgada, da a las partes derecho </w:t>
      </w:r>
      <w:r>
        <w:rPr>
          <w:spacing w:val="-7"/>
          <w:sz w:val="18"/>
          <w:szCs w:val="18"/>
          <w:lang w:val="es-ES_tradnl"/>
        </w:rPr>
        <w:t>para ser restituidas al mismo estado en que hallar</w:t>
      </w:r>
      <w:r>
        <w:rPr>
          <w:rFonts w:cs="Times New Roman"/>
          <w:spacing w:val="-7"/>
          <w:sz w:val="18"/>
          <w:szCs w:val="18"/>
          <w:lang w:val="es-ES_tradnl"/>
        </w:rPr>
        <w:t>í</w:t>
      </w:r>
      <w:r>
        <w:rPr>
          <w:spacing w:val="-7"/>
          <w:sz w:val="18"/>
          <w:szCs w:val="18"/>
          <w:lang w:val="es-ES_tradnl"/>
        </w:rPr>
        <w:t xml:space="preserve">an si no </w:t>
      </w:r>
      <w:r>
        <w:rPr>
          <w:spacing w:val="-8"/>
          <w:sz w:val="18"/>
          <w:szCs w:val="18"/>
          <w:lang w:val="es-ES_tradnl"/>
        </w:rPr>
        <w:t>hubiese existido el acto o contrato nulo (</w:t>
      </w:r>
      <w:r>
        <w:rPr>
          <w:rFonts w:cs="Times New Roman"/>
          <w:spacing w:val="-8"/>
          <w:sz w:val="18"/>
          <w:szCs w:val="18"/>
          <w:lang w:val="es-ES_tradnl"/>
        </w:rPr>
        <w:t>…</w:t>
      </w:r>
      <w:r>
        <w:rPr>
          <w:spacing w:val="-8"/>
          <w:sz w:val="18"/>
          <w:szCs w:val="18"/>
          <w:lang w:val="es-ES_tradnl"/>
        </w:rPr>
        <w:t xml:space="preserve">) Por lo dicho se </w:t>
      </w:r>
      <w:r>
        <w:rPr>
          <w:sz w:val="18"/>
          <w:szCs w:val="18"/>
          <w:lang w:val="es-ES_tradnl"/>
        </w:rPr>
        <w:t>rechazan las indicadas peticiones (</w:t>
      </w:r>
      <w:r>
        <w:rPr>
          <w:rFonts w:cs="Times New Roman"/>
          <w:sz w:val="18"/>
          <w:szCs w:val="18"/>
          <w:lang w:val="es-ES_tradnl"/>
        </w:rPr>
        <w:t>…</w:t>
      </w:r>
      <w:r>
        <w:rPr>
          <w:sz w:val="18"/>
          <w:szCs w:val="18"/>
          <w:lang w:val="es-ES_tradnl"/>
        </w:rPr>
        <w:t>)</w:t>
      </w:r>
      <w:r>
        <w:rPr>
          <w:rFonts w:cs="Times New Roman"/>
          <w:sz w:val="18"/>
          <w:szCs w:val="18"/>
          <w:lang w:val="es-ES_tradnl"/>
        </w:rPr>
        <w:t>»</w:t>
      </w:r>
      <w:r>
        <w:rPr>
          <w:sz w:val="18"/>
          <w:szCs w:val="18"/>
          <w:lang w:val="es-ES_tradnl"/>
        </w:rPr>
        <w:t>.</w:t>
      </w:r>
    </w:p>
    <w:p w14:paraId="4F67B522" w14:textId="77777777" w:rsidR="00591D54" w:rsidRDefault="00591D54">
      <w:pPr>
        <w:shd w:val="clear" w:color="auto" w:fill="FFFFFF"/>
        <w:spacing w:before="202" w:line="226" w:lineRule="exact"/>
        <w:ind w:right="5"/>
        <w:jc w:val="both"/>
      </w:pPr>
      <w:r>
        <w:rPr>
          <w:spacing w:val="-7"/>
          <w:sz w:val="18"/>
          <w:szCs w:val="18"/>
          <w:lang w:val="es-ES_tradnl"/>
        </w:rPr>
        <w:t>Del an</w:t>
      </w:r>
      <w:r>
        <w:rPr>
          <w:rFonts w:cs="Times New Roman"/>
          <w:spacing w:val="-7"/>
          <w:sz w:val="18"/>
          <w:szCs w:val="18"/>
          <w:lang w:val="es-ES_tradnl"/>
        </w:rPr>
        <w:t>á</w:t>
      </w:r>
      <w:r>
        <w:rPr>
          <w:spacing w:val="-7"/>
          <w:sz w:val="18"/>
          <w:szCs w:val="18"/>
          <w:lang w:val="es-ES_tradnl"/>
        </w:rPr>
        <w:t xml:space="preserve">lisis de las decisiones judiciales impugnadas, se </w:t>
      </w:r>
      <w:r>
        <w:rPr>
          <w:spacing w:val="-8"/>
          <w:sz w:val="18"/>
          <w:szCs w:val="18"/>
          <w:lang w:val="es-ES_tradnl"/>
        </w:rPr>
        <w:t>observa que las mismas se formulan a partir de las normas</w:t>
      </w:r>
    </w:p>
    <w:p w14:paraId="4F67B523" w14:textId="77777777" w:rsidR="00591D54" w:rsidRDefault="00591D54">
      <w:pPr>
        <w:shd w:val="clear" w:color="auto" w:fill="FFFFFF"/>
        <w:spacing w:before="5" w:line="216" w:lineRule="exact"/>
        <w:ind w:right="5"/>
        <w:jc w:val="both"/>
      </w:pPr>
      <w:r>
        <w:br w:type="column"/>
      </w:r>
      <w:r>
        <w:rPr>
          <w:spacing w:val="-8"/>
          <w:sz w:val="18"/>
          <w:szCs w:val="18"/>
          <w:lang w:val="es-ES_tradnl"/>
        </w:rPr>
        <w:t xml:space="preserve">que rigen estos procesos, y se determina que el acta al ser </w:t>
      </w:r>
      <w:r>
        <w:rPr>
          <w:spacing w:val="-7"/>
          <w:sz w:val="18"/>
          <w:szCs w:val="18"/>
          <w:lang w:val="es-ES_tradnl"/>
        </w:rPr>
        <w:t>un t</w:t>
      </w:r>
      <w:r>
        <w:rPr>
          <w:rFonts w:cs="Times New Roman"/>
          <w:spacing w:val="-7"/>
          <w:sz w:val="18"/>
          <w:szCs w:val="18"/>
          <w:lang w:val="es-ES_tradnl"/>
        </w:rPr>
        <w:t>í</w:t>
      </w:r>
      <w:r>
        <w:rPr>
          <w:spacing w:val="-7"/>
          <w:sz w:val="18"/>
          <w:szCs w:val="18"/>
          <w:lang w:val="es-ES_tradnl"/>
        </w:rPr>
        <w:t xml:space="preserve">tulo ejecutivo corresponde conocer a un juez civil y no </w:t>
      </w:r>
      <w:r>
        <w:rPr>
          <w:sz w:val="18"/>
          <w:szCs w:val="18"/>
          <w:lang w:val="es-ES_tradnl"/>
        </w:rPr>
        <w:t>a un juez de trabajo.</w:t>
      </w:r>
    </w:p>
    <w:p w14:paraId="4F67B524" w14:textId="77777777" w:rsidR="00591D54" w:rsidRDefault="00591D54">
      <w:pPr>
        <w:shd w:val="clear" w:color="auto" w:fill="FFFFFF"/>
        <w:spacing w:before="197" w:line="216" w:lineRule="exact"/>
        <w:ind w:right="5"/>
        <w:jc w:val="both"/>
      </w:pPr>
      <w:r>
        <w:rPr>
          <w:spacing w:val="-7"/>
          <w:sz w:val="18"/>
          <w:szCs w:val="18"/>
          <w:lang w:val="es-ES_tradnl"/>
        </w:rPr>
        <w:t>En este escenario, el accionante recibi</w:t>
      </w:r>
      <w:r>
        <w:rPr>
          <w:rFonts w:cs="Times New Roman"/>
          <w:spacing w:val="-7"/>
          <w:sz w:val="18"/>
          <w:szCs w:val="18"/>
          <w:lang w:val="es-ES_tradnl"/>
        </w:rPr>
        <w:t>ó</w:t>
      </w:r>
      <w:r>
        <w:rPr>
          <w:spacing w:val="-7"/>
          <w:sz w:val="18"/>
          <w:szCs w:val="18"/>
          <w:lang w:val="es-ES_tradnl"/>
        </w:rPr>
        <w:t xml:space="preserve"> por parte de los </w:t>
      </w:r>
      <w:r>
        <w:rPr>
          <w:rFonts w:cs="Times New Roman"/>
          <w:spacing w:val="-8"/>
          <w:sz w:val="18"/>
          <w:szCs w:val="18"/>
          <w:lang w:val="es-ES_tradnl"/>
        </w:rPr>
        <w:t>ó</w:t>
      </w:r>
      <w:r>
        <w:rPr>
          <w:spacing w:val="-8"/>
          <w:sz w:val="18"/>
          <w:szCs w:val="18"/>
          <w:lang w:val="es-ES_tradnl"/>
        </w:rPr>
        <w:t xml:space="preserve">rganos judiciales que tramitaron este caso una respuesta </w:t>
      </w:r>
      <w:r>
        <w:rPr>
          <w:spacing w:val="-9"/>
          <w:sz w:val="18"/>
          <w:szCs w:val="18"/>
          <w:lang w:val="es-ES_tradnl"/>
        </w:rPr>
        <w:t>respecto de la excepci</w:t>
      </w:r>
      <w:r>
        <w:rPr>
          <w:rFonts w:cs="Times New Roman"/>
          <w:spacing w:val="-9"/>
          <w:sz w:val="18"/>
          <w:szCs w:val="18"/>
          <w:lang w:val="es-ES_tradnl"/>
        </w:rPr>
        <w:t>ó</w:t>
      </w:r>
      <w:r>
        <w:rPr>
          <w:spacing w:val="-9"/>
          <w:sz w:val="18"/>
          <w:szCs w:val="18"/>
          <w:lang w:val="es-ES_tradnl"/>
        </w:rPr>
        <w:t xml:space="preserve">n de falta de competencia, la misma </w:t>
      </w:r>
      <w:r>
        <w:rPr>
          <w:spacing w:val="-10"/>
          <w:sz w:val="18"/>
          <w:szCs w:val="18"/>
          <w:lang w:val="es-ES_tradnl"/>
        </w:rPr>
        <w:t>que se encontr</w:t>
      </w:r>
      <w:r>
        <w:rPr>
          <w:rFonts w:cs="Times New Roman"/>
          <w:spacing w:val="-10"/>
          <w:sz w:val="18"/>
          <w:szCs w:val="18"/>
          <w:lang w:val="es-ES_tradnl"/>
        </w:rPr>
        <w:t>ó</w:t>
      </w:r>
      <w:r>
        <w:rPr>
          <w:spacing w:val="-10"/>
          <w:sz w:val="18"/>
          <w:szCs w:val="18"/>
          <w:lang w:val="es-ES_tradnl"/>
        </w:rPr>
        <w:t xml:space="preserve"> fundamentada en disposiciones pertinentes </w:t>
      </w:r>
      <w:r>
        <w:rPr>
          <w:spacing w:val="-9"/>
          <w:sz w:val="18"/>
          <w:szCs w:val="18"/>
          <w:lang w:val="es-ES_tradnl"/>
        </w:rPr>
        <w:t xml:space="preserve">y que establecen claramente la competencia de los jueces </w:t>
      </w:r>
      <w:r>
        <w:rPr>
          <w:spacing w:val="-8"/>
          <w:sz w:val="18"/>
          <w:szCs w:val="18"/>
          <w:lang w:val="es-ES_tradnl"/>
        </w:rPr>
        <w:t xml:space="preserve">civiles para conocer y resolver procesos ejecutivos nacidos </w:t>
      </w:r>
      <w:r>
        <w:rPr>
          <w:spacing w:val="-6"/>
          <w:sz w:val="18"/>
          <w:szCs w:val="18"/>
          <w:lang w:val="es-ES_tradnl"/>
        </w:rPr>
        <w:t>respecto de t</w:t>
      </w:r>
      <w:r>
        <w:rPr>
          <w:rFonts w:cs="Times New Roman"/>
          <w:spacing w:val="-6"/>
          <w:sz w:val="18"/>
          <w:szCs w:val="18"/>
          <w:lang w:val="es-ES_tradnl"/>
        </w:rPr>
        <w:t>í</w:t>
      </w:r>
      <w:r>
        <w:rPr>
          <w:spacing w:val="-6"/>
          <w:sz w:val="18"/>
          <w:szCs w:val="18"/>
          <w:lang w:val="es-ES_tradnl"/>
        </w:rPr>
        <w:t xml:space="preserve">tulos ejecutivos como lo era el acta materia </w:t>
      </w:r>
      <w:r>
        <w:rPr>
          <w:sz w:val="18"/>
          <w:szCs w:val="18"/>
          <w:lang w:val="es-ES_tradnl"/>
        </w:rPr>
        <w:t>del presente caso.</w:t>
      </w:r>
    </w:p>
    <w:p w14:paraId="4F67B525" w14:textId="77777777" w:rsidR="00591D54" w:rsidRDefault="00591D54">
      <w:pPr>
        <w:shd w:val="clear" w:color="auto" w:fill="FFFFFF"/>
        <w:spacing w:before="197" w:line="216" w:lineRule="exact"/>
        <w:ind w:right="5"/>
        <w:jc w:val="both"/>
      </w:pPr>
      <w:r>
        <w:rPr>
          <w:spacing w:val="-11"/>
          <w:sz w:val="18"/>
          <w:szCs w:val="18"/>
          <w:lang w:val="es-ES_tradnl"/>
        </w:rPr>
        <w:t xml:space="preserve">Por las consideraciones expuestas, esta Corte Constitucional </w:t>
      </w:r>
      <w:r>
        <w:rPr>
          <w:spacing w:val="-7"/>
          <w:sz w:val="18"/>
          <w:szCs w:val="18"/>
          <w:lang w:val="es-ES_tradnl"/>
        </w:rPr>
        <w:t>no evidencia una vulneraci</w:t>
      </w:r>
      <w:r>
        <w:rPr>
          <w:rFonts w:cs="Times New Roman"/>
          <w:spacing w:val="-7"/>
          <w:sz w:val="18"/>
          <w:szCs w:val="18"/>
          <w:lang w:val="es-ES_tradnl"/>
        </w:rPr>
        <w:t>ó</w:t>
      </w:r>
      <w:r>
        <w:rPr>
          <w:spacing w:val="-7"/>
          <w:sz w:val="18"/>
          <w:szCs w:val="18"/>
          <w:lang w:val="es-ES_tradnl"/>
        </w:rPr>
        <w:t xml:space="preserve">n del derecho constitucional al </w:t>
      </w:r>
      <w:r>
        <w:rPr>
          <w:spacing w:val="-8"/>
          <w:sz w:val="18"/>
          <w:szCs w:val="18"/>
          <w:lang w:val="es-ES_tradnl"/>
        </w:rPr>
        <w:t>debido proceso en la garant</w:t>
      </w:r>
      <w:r>
        <w:rPr>
          <w:rFonts w:cs="Times New Roman"/>
          <w:spacing w:val="-8"/>
          <w:sz w:val="18"/>
          <w:szCs w:val="18"/>
          <w:lang w:val="es-ES_tradnl"/>
        </w:rPr>
        <w:t>í</w:t>
      </w:r>
      <w:r>
        <w:rPr>
          <w:spacing w:val="-8"/>
          <w:sz w:val="18"/>
          <w:szCs w:val="18"/>
          <w:lang w:val="es-ES_tradnl"/>
        </w:rPr>
        <w:t xml:space="preserve">a de ser juzgado por un juez </w:t>
      </w:r>
      <w:r>
        <w:rPr>
          <w:spacing w:val="-6"/>
          <w:sz w:val="18"/>
          <w:szCs w:val="18"/>
          <w:lang w:val="es-ES_tradnl"/>
        </w:rPr>
        <w:t>competente, por cuanto, adem</w:t>
      </w:r>
      <w:r>
        <w:rPr>
          <w:rFonts w:cs="Times New Roman"/>
          <w:spacing w:val="-6"/>
          <w:sz w:val="18"/>
          <w:szCs w:val="18"/>
          <w:lang w:val="es-ES_tradnl"/>
        </w:rPr>
        <w:t>á</w:t>
      </w:r>
      <w:r>
        <w:rPr>
          <w:spacing w:val="-6"/>
          <w:sz w:val="18"/>
          <w:szCs w:val="18"/>
          <w:lang w:val="es-ES_tradnl"/>
        </w:rPr>
        <w:t xml:space="preserve">s de que el accionante </w:t>
      </w:r>
      <w:r>
        <w:rPr>
          <w:spacing w:val="-10"/>
          <w:sz w:val="18"/>
          <w:szCs w:val="18"/>
          <w:lang w:val="es-ES_tradnl"/>
        </w:rPr>
        <w:t>recibi</w:t>
      </w:r>
      <w:r>
        <w:rPr>
          <w:rFonts w:cs="Times New Roman"/>
          <w:spacing w:val="-10"/>
          <w:sz w:val="18"/>
          <w:szCs w:val="18"/>
          <w:lang w:val="es-ES_tradnl"/>
        </w:rPr>
        <w:t>ó</w:t>
      </w:r>
      <w:r>
        <w:rPr>
          <w:spacing w:val="-10"/>
          <w:sz w:val="18"/>
          <w:szCs w:val="18"/>
          <w:lang w:val="es-ES_tradnl"/>
        </w:rPr>
        <w:t xml:space="preserve"> una respuesta por parte de las autoridades judiciales, </w:t>
      </w:r>
      <w:r>
        <w:rPr>
          <w:spacing w:val="-8"/>
          <w:sz w:val="18"/>
          <w:szCs w:val="18"/>
          <w:lang w:val="es-ES_tradnl"/>
        </w:rPr>
        <w:t xml:space="preserve">esta respuesta fue fundada en la normativa que rige estos </w:t>
      </w:r>
      <w:r>
        <w:rPr>
          <w:spacing w:val="-12"/>
          <w:sz w:val="18"/>
          <w:szCs w:val="18"/>
          <w:lang w:val="es-ES_tradnl"/>
        </w:rPr>
        <w:t>procesos, ya que como se se</w:t>
      </w:r>
      <w:r>
        <w:rPr>
          <w:rFonts w:cs="Times New Roman"/>
          <w:spacing w:val="-12"/>
          <w:sz w:val="18"/>
          <w:szCs w:val="18"/>
          <w:lang w:val="es-ES_tradnl"/>
        </w:rPr>
        <w:t>ñ</w:t>
      </w:r>
      <w:r>
        <w:rPr>
          <w:spacing w:val="-12"/>
          <w:sz w:val="18"/>
          <w:szCs w:val="18"/>
          <w:lang w:val="es-ES_tradnl"/>
        </w:rPr>
        <w:t>al</w:t>
      </w:r>
      <w:r>
        <w:rPr>
          <w:rFonts w:cs="Times New Roman"/>
          <w:spacing w:val="-12"/>
          <w:sz w:val="18"/>
          <w:szCs w:val="18"/>
          <w:lang w:val="es-ES_tradnl"/>
        </w:rPr>
        <w:t>ó</w:t>
      </w:r>
      <w:r>
        <w:rPr>
          <w:spacing w:val="-12"/>
          <w:sz w:val="18"/>
          <w:szCs w:val="18"/>
          <w:lang w:val="es-ES_tradnl"/>
        </w:rPr>
        <w:t xml:space="preserve"> el presente caso no atend</w:t>
      </w:r>
      <w:r>
        <w:rPr>
          <w:rFonts w:cs="Times New Roman"/>
          <w:spacing w:val="-12"/>
          <w:sz w:val="18"/>
          <w:szCs w:val="18"/>
          <w:lang w:val="es-ES_tradnl"/>
        </w:rPr>
        <w:t>í</w:t>
      </w:r>
      <w:r>
        <w:rPr>
          <w:spacing w:val="-12"/>
          <w:sz w:val="18"/>
          <w:szCs w:val="18"/>
          <w:lang w:val="es-ES_tradnl"/>
        </w:rPr>
        <w:t xml:space="preserve">a </w:t>
      </w:r>
      <w:r>
        <w:rPr>
          <w:spacing w:val="-4"/>
          <w:sz w:val="18"/>
          <w:szCs w:val="18"/>
          <w:lang w:val="es-ES_tradnl"/>
        </w:rPr>
        <w:t>a un confl icto nacido de una relaci</w:t>
      </w:r>
      <w:r>
        <w:rPr>
          <w:rFonts w:cs="Times New Roman"/>
          <w:spacing w:val="-4"/>
          <w:sz w:val="18"/>
          <w:szCs w:val="18"/>
          <w:lang w:val="es-ES_tradnl"/>
        </w:rPr>
        <w:t>ó</w:t>
      </w:r>
      <w:r>
        <w:rPr>
          <w:spacing w:val="-4"/>
          <w:sz w:val="18"/>
          <w:szCs w:val="18"/>
          <w:lang w:val="es-ES_tradnl"/>
        </w:rPr>
        <w:t>n laboral, sino m</w:t>
      </w:r>
      <w:r>
        <w:rPr>
          <w:rFonts w:cs="Times New Roman"/>
          <w:spacing w:val="-4"/>
          <w:sz w:val="18"/>
          <w:szCs w:val="18"/>
          <w:lang w:val="es-ES_tradnl"/>
        </w:rPr>
        <w:t>á</w:t>
      </w:r>
      <w:r>
        <w:rPr>
          <w:spacing w:val="-4"/>
          <w:sz w:val="18"/>
          <w:szCs w:val="18"/>
          <w:lang w:val="es-ES_tradnl"/>
        </w:rPr>
        <w:t xml:space="preserve">s </w:t>
      </w:r>
      <w:r>
        <w:rPr>
          <w:spacing w:val="-6"/>
          <w:sz w:val="18"/>
          <w:szCs w:val="18"/>
          <w:lang w:val="es-ES_tradnl"/>
        </w:rPr>
        <w:t>bien a la falta de pago de una obligaci</w:t>
      </w:r>
      <w:r>
        <w:rPr>
          <w:rFonts w:cs="Times New Roman"/>
          <w:spacing w:val="-6"/>
          <w:sz w:val="18"/>
          <w:szCs w:val="18"/>
          <w:lang w:val="es-ES_tradnl"/>
        </w:rPr>
        <w:t>ó</w:t>
      </w:r>
      <w:r>
        <w:rPr>
          <w:spacing w:val="-6"/>
          <w:sz w:val="18"/>
          <w:szCs w:val="18"/>
          <w:lang w:val="es-ES_tradnl"/>
        </w:rPr>
        <w:t xml:space="preserve">n contenida en un </w:t>
      </w:r>
      <w:r>
        <w:rPr>
          <w:spacing w:val="-8"/>
          <w:sz w:val="18"/>
          <w:szCs w:val="18"/>
          <w:lang w:val="es-ES_tradnl"/>
        </w:rPr>
        <w:t>documento al cual se lo denomin</w:t>
      </w:r>
      <w:r>
        <w:rPr>
          <w:rFonts w:cs="Times New Roman"/>
          <w:spacing w:val="-8"/>
          <w:sz w:val="18"/>
          <w:szCs w:val="18"/>
          <w:lang w:val="es-ES_tradnl"/>
        </w:rPr>
        <w:t>ó</w:t>
      </w:r>
      <w:r>
        <w:rPr>
          <w:spacing w:val="-8"/>
          <w:sz w:val="18"/>
          <w:szCs w:val="18"/>
          <w:lang w:val="es-ES_tradnl"/>
        </w:rPr>
        <w:t xml:space="preserve"> como </w:t>
      </w:r>
      <w:r>
        <w:rPr>
          <w:rFonts w:cs="Times New Roman"/>
          <w:spacing w:val="-8"/>
          <w:sz w:val="18"/>
          <w:szCs w:val="18"/>
          <w:lang w:val="es-ES_tradnl"/>
        </w:rPr>
        <w:t>“</w:t>
      </w:r>
      <w:r>
        <w:rPr>
          <w:spacing w:val="-8"/>
          <w:sz w:val="18"/>
          <w:szCs w:val="18"/>
          <w:lang w:val="es-ES_tradnl"/>
        </w:rPr>
        <w:t xml:space="preserve">Acta de pago de </w:t>
      </w:r>
      <w:r>
        <w:rPr>
          <w:sz w:val="18"/>
          <w:szCs w:val="18"/>
          <w:lang w:val="es-ES_tradnl"/>
        </w:rPr>
        <w:t>contribuci</w:t>
      </w:r>
      <w:r>
        <w:rPr>
          <w:rFonts w:cs="Times New Roman"/>
          <w:sz w:val="18"/>
          <w:szCs w:val="18"/>
          <w:lang w:val="es-ES_tradnl"/>
        </w:rPr>
        <w:t>ó</w:t>
      </w:r>
      <w:r>
        <w:rPr>
          <w:sz w:val="18"/>
          <w:szCs w:val="18"/>
          <w:lang w:val="es-ES_tradnl"/>
        </w:rPr>
        <w:t>n por separaci</w:t>
      </w:r>
      <w:r>
        <w:rPr>
          <w:rFonts w:cs="Times New Roman"/>
          <w:sz w:val="18"/>
          <w:szCs w:val="18"/>
          <w:lang w:val="es-ES_tradnl"/>
        </w:rPr>
        <w:t>ó</w:t>
      </w:r>
      <w:r>
        <w:rPr>
          <w:sz w:val="18"/>
          <w:szCs w:val="18"/>
          <w:lang w:val="es-ES_tradnl"/>
        </w:rPr>
        <w:t>n voluntaria</w:t>
      </w:r>
      <w:r>
        <w:rPr>
          <w:rFonts w:cs="Times New Roman"/>
          <w:sz w:val="18"/>
          <w:szCs w:val="18"/>
          <w:lang w:val="es-ES_tradnl"/>
        </w:rPr>
        <w:t>”</w:t>
      </w:r>
      <w:r>
        <w:rPr>
          <w:sz w:val="18"/>
          <w:szCs w:val="18"/>
          <w:lang w:val="es-ES_tradnl"/>
        </w:rPr>
        <w:t>.</w:t>
      </w:r>
    </w:p>
    <w:p w14:paraId="4F67B526" w14:textId="77777777" w:rsidR="00591D54" w:rsidRDefault="00591D54">
      <w:pPr>
        <w:shd w:val="clear" w:color="auto" w:fill="FFFFFF"/>
        <w:spacing w:before="192" w:line="216" w:lineRule="exact"/>
        <w:ind w:left="283" w:hanging="283"/>
      </w:pPr>
      <w:r>
        <w:rPr>
          <w:b/>
          <w:bCs/>
          <w:spacing w:val="-6"/>
          <w:sz w:val="18"/>
          <w:szCs w:val="18"/>
          <w:lang w:val="es-ES_tradnl"/>
        </w:rPr>
        <w:t xml:space="preserve">2.   Las decisiones impugnadas </w:t>
      </w:r>
      <w:r>
        <w:rPr>
          <w:rFonts w:cs="Times New Roman"/>
          <w:b/>
          <w:bCs/>
          <w:spacing w:val="-6"/>
          <w:sz w:val="18"/>
          <w:szCs w:val="18"/>
          <w:lang w:val="es-ES_tradnl"/>
        </w:rPr>
        <w:t>¿</w:t>
      </w:r>
      <w:r>
        <w:rPr>
          <w:b/>
          <w:bCs/>
          <w:spacing w:val="-6"/>
          <w:sz w:val="18"/>
          <w:szCs w:val="18"/>
          <w:lang w:val="es-ES_tradnl"/>
        </w:rPr>
        <w:t xml:space="preserve">vulneran el derecho </w:t>
      </w:r>
      <w:r>
        <w:rPr>
          <w:b/>
          <w:bCs/>
          <w:spacing w:val="-8"/>
          <w:sz w:val="18"/>
          <w:szCs w:val="18"/>
          <w:lang w:val="es-ES_tradnl"/>
        </w:rPr>
        <w:t>constitucional a la tutela judicial efectiva?</w:t>
      </w:r>
    </w:p>
    <w:p w14:paraId="4F67B527" w14:textId="77777777" w:rsidR="00591D54" w:rsidRDefault="00591D54">
      <w:pPr>
        <w:shd w:val="clear" w:color="auto" w:fill="FFFFFF"/>
        <w:spacing w:before="197" w:line="216" w:lineRule="exact"/>
        <w:ind w:right="5"/>
        <w:jc w:val="both"/>
      </w:pPr>
      <w:r>
        <w:rPr>
          <w:spacing w:val="-6"/>
          <w:sz w:val="18"/>
          <w:szCs w:val="18"/>
          <w:lang w:val="es-ES_tradnl"/>
        </w:rPr>
        <w:t xml:space="preserve">En lo que respecta al derecho constitucional a la tutela </w:t>
      </w:r>
      <w:r>
        <w:rPr>
          <w:spacing w:val="-4"/>
          <w:sz w:val="18"/>
          <w:szCs w:val="18"/>
          <w:lang w:val="es-ES_tradnl"/>
        </w:rPr>
        <w:t>judicial efectiva, la Constituci</w:t>
      </w:r>
      <w:r>
        <w:rPr>
          <w:rFonts w:cs="Times New Roman"/>
          <w:spacing w:val="-4"/>
          <w:sz w:val="18"/>
          <w:szCs w:val="18"/>
          <w:lang w:val="es-ES_tradnl"/>
        </w:rPr>
        <w:t>ó</w:t>
      </w:r>
      <w:r>
        <w:rPr>
          <w:spacing w:val="-4"/>
          <w:sz w:val="18"/>
          <w:szCs w:val="18"/>
          <w:lang w:val="es-ES_tradnl"/>
        </w:rPr>
        <w:t>n de la Rep</w:t>
      </w:r>
      <w:r>
        <w:rPr>
          <w:rFonts w:cs="Times New Roman"/>
          <w:spacing w:val="-4"/>
          <w:sz w:val="18"/>
          <w:szCs w:val="18"/>
          <w:lang w:val="es-ES_tradnl"/>
        </w:rPr>
        <w:t>ú</w:t>
      </w:r>
      <w:r>
        <w:rPr>
          <w:spacing w:val="-4"/>
          <w:sz w:val="18"/>
          <w:szCs w:val="18"/>
          <w:lang w:val="es-ES_tradnl"/>
        </w:rPr>
        <w:t xml:space="preserve">blica en su </w:t>
      </w:r>
      <w:r>
        <w:rPr>
          <w:spacing w:val="-5"/>
          <w:sz w:val="18"/>
          <w:szCs w:val="18"/>
          <w:lang w:val="es-ES_tradnl"/>
        </w:rPr>
        <w:t>art</w:t>
      </w:r>
      <w:r>
        <w:rPr>
          <w:rFonts w:cs="Times New Roman"/>
          <w:spacing w:val="-5"/>
          <w:sz w:val="18"/>
          <w:szCs w:val="18"/>
          <w:lang w:val="es-ES_tradnl"/>
        </w:rPr>
        <w:t>í</w:t>
      </w:r>
      <w:r>
        <w:rPr>
          <w:spacing w:val="-5"/>
          <w:sz w:val="18"/>
          <w:szCs w:val="18"/>
          <w:lang w:val="es-ES_tradnl"/>
        </w:rPr>
        <w:t xml:space="preserve">culo 75, establece: </w:t>
      </w:r>
      <w:r>
        <w:rPr>
          <w:rFonts w:cs="Times New Roman"/>
          <w:spacing w:val="-5"/>
          <w:sz w:val="18"/>
          <w:szCs w:val="18"/>
          <w:lang w:val="es-ES_tradnl"/>
        </w:rPr>
        <w:t>“</w:t>
      </w:r>
      <w:r>
        <w:rPr>
          <w:spacing w:val="-5"/>
          <w:sz w:val="18"/>
          <w:szCs w:val="18"/>
          <w:lang w:val="es-ES_tradnl"/>
        </w:rPr>
        <w:t xml:space="preserve">Toda persona tiene derecho al </w:t>
      </w:r>
      <w:r>
        <w:rPr>
          <w:spacing w:val="-6"/>
          <w:sz w:val="18"/>
          <w:szCs w:val="18"/>
          <w:lang w:val="es-ES_tradnl"/>
        </w:rPr>
        <w:t xml:space="preserve">acceso gratuito a la justicia y a la tutela efectiva, imparcial </w:t>
      </w:r>
      <w:r>
        <w:rPr>
          <w:spacing w:val="-3"/>
          <w:sz w:val="18"/>
          <w:szCs w:val="18"/>
          <w:lang w:val="es-ES_tradnl"/>
        </w:rPr>
        <w:t>y expedita de sus derechos e intereses, con sujeci</w:t>
      </w:r>
      <w:r>
        <w:rPr>
          <w:rFonts w:cs="Times New Roman"/>
          <w:spacing w:val="-3"/>
          <w:sz w:val="18"/>
          <w:szCs w:val="18"/>
          <w:lang w:val="es-ES_tradnl"/>
        </w:rPr>
        <w:t>ó</w:t>
      </w:r>
      <w:r>
        <w:rPr>
          <w:spacing w:val="-3"/>
          <w:sz w:val="18"/>
          <w:szCs w:val="18"/>
          <w:lang w:val="es-ES_tradnl"/>
        </w:rPr>
        <w:t xml:space="preserve">n a </w:t>
      </w:r>
      <w:r>
        <w:rPr>
          <w:sz w:val="18"/>
          <w:szCs w:val="18"/>
          <w:lang w:val="es-ES_tradnl"/>
        </w:rPr>
        <w:t>los principios de inmediaci</w:t>
      </w:r>
      <w:r>
        <w:rPr>
          <w:rFonts w:cs="Times New Roman"/>
          <w:sz w:val="18"/>
          <w:szCs w:val="18"/>
          <w:lang w:val="es-ES_tradnl"/>
        </w:rPr>
        <w:t>ó</w:t>
      </w:r>
      <w:r>
        <w:rPr>
          <w:sz w:val="18"/>
          <w:szCs w:val="18"/>
          <w:lang w:val="es-ES_tradnl"/>
        </w:rPr>
        <w:t>n y celeridad; en ning</w:t>
      </w:r>
      <w:r>
        <w:rPr>
          <w:rFonts w:cs="Times New Roman"/>
          <w:sz w:val="18"/>
          <w:szCs w:val="18"/>
          <w:lang w:val="es-ES_tradnl"/>
        </w:rPr>
        <w:t>ú</w:t>
      </w:r>
      <w:r>
        <w:rPr>
          <w:sz w:val="18"/>
          <w:szCs w:val="18"/>
          <w:lang w:val="es-ES_tradnl"/>
        </w:rPr>
        <w:t xml:space="preserve">n </w:t>
      </w:r>
      <w:r>
        <w:rPr>
          <w:spacing w:val="-6"/>
          <w:sz w:val="18"/>
          <w:szCs w:val="18"/>
          <w:lang w:val="es-ES_tradnl"/>
        </w:rPr>
        <w:t>caso quedar</w:t>
      </w:r>
      <w:r>
        <w:rPr>
          <w:rFonts w:cs="Times New Roman"/>
          <w:spacing w:val="-6"/>
          <w:sz w:val="18"/>
          <w:szCs w:val="18"/>
          <w:lang w:val="es-ES_tradnl"/>
        </w:rPr>
        <w:t>á</w:t>
      </w:r>
      <w:r>
        <w:rPr>
          <w:spacing w:val="-6"/>
          <w:sz w:val="18"/>
          <w:szCs w:val="18"/>
          <w:lang w:val="es-ES_tradnl"/>
        </w:rPr>
        <w:t xml:space="preserve"> en indefensi</w:t>
      </w:r>
      <w:r>
        <w:rPr>
          <w:rFonts w:cs="Times New Roman"/>
          <w:spacing w:val="-6"/>
          <w:sz w:val="18"/>
          <w:szCs w:val="18"/>
          <w:lang w:val="es-ES_tradnl"/>
        </w:rPr>
        <w:t>ó</w:t>
      </w:r>
      <w:r>
        <w:rPr>
          <w:spacing w:val="-6"/>
          <w:sz w:val="18"/>
          <w:szCs w:val="18"/>
          <w:lang w:val="es-ES_tradnl"/>
        </w:rPr>
        <w:t xml:space="preserve">n. El incumplimiento de las </w:t>
      </w:r>
      <w:r>
        <w:rPr>
          <w:spacing w:val="-7"/>
          <w:sz w:val="18"/>
          <w:szCs w:val="18"/>
          <w:lang w:val="es-ES_tradnl"/>
        </w:rPr>
        <w:t>resoluciones judiciales ser</w:t>
      </w:r>
      <w:r>
        <w:rPr>
          <w:rFonts w:cs="Times New Roman"/>
          <w:spacing w:val="-7"/>
          <w:sz w:val="18"/>
          <w:szCs w:val="18"/>
          <w:lang w:val="es-ES_tradnl"/>
        </w:rPr>
        <w:t>á</w:t>
      </w:r>
      <w:r>
        <w:rPr>
          <w:spacing w:val="-7"/>
          <w:sz w:val="18"/>
          <w:szCs w:val="18"/>
          <w:lang w:val="es-ES_tradnl"/>
        </w:rPr>
        <w:t xml:space="preserve"> sancionado por la ley</w:t>
      </w:r>
      <w:r>
        <w:rPr>
          <w:rFonts w:cs="Times New Roman"/>
          <w:spacing w:val="-7"/>
          <w:sz w:val="18"/>
          <w:szCs w:val="18"/>
          <w:lang w:val="es-ES_tradnl"/>
        </w:rPr>
        <w:t>”</w:t>
      </w:r>
      <w:r>
        <w:rPr>
          <w:spacing w:val="-7"/>
          <w:sz w:val="18"/>
          <w:szCs w:val="18"/>
          <w:lang w:val="es-ES_tradnl"/>
        </w:rPr>
        <w:t>.</w:t>
      </w:r>
    </w:p>
    <w:p w14:paraId="4F67B528" w14:textId="77777777" w:rsidR="00591D54" w:rsidRDefault="00591D54">
      <w:pPr>
        <w:shd w:val="clear" w:color="auto" w:fill="FFFFFF"/>
        <w:spacing w:before="192" w:line="216" w:lineRule="exact"/>
        <w:jc w:val="both"/>
      </w:pPr>
      <w:r>
        <w:rPr>
          <w:spacing w:val="-8"/>
          <w:sz w:val="18"/>
          <w:szCs w:val="18"/>
          <w:lang w:val="es-ES_tradnl"/>
        </w:rPr>
        <w:t xml:space="preserve">De la norma citada se evidencia que el derecho a la tutela </w:t>
      </w:r>
      <w:r>
        <w:rPr>
          <w:spacing w:val="-7"/>
          <w:sz w:val="18"/>
          <w:szCs w:val="18"/>
          <w:lang w:val="es-ES_tradnl"/>
        </w:rPr>
        <w:t xml:space="preserve">judicial efectiva se garantiza en tres momentos. El primero es cuando se tutela que las personas accedan a la justicia de forma gratuita y en igualdad de condiciones, sin que en dicho acceso se establezcan trabas ni condicionamientos </w:t>
      </w:r>
      <w:r>
        <w:rPr>
          <w:spacing w:val="-8"/>
          <w:sz w:val="18"/>
          <w:szCs w:val="18"/>
          <w:lang w:val="es-ES_tradnl"/>
        </w:rPr>
        <w:t xml:space="preserve">que no se encuentren determinados en el ordenamiento </w:t>
      </w:r>
      <w:r>
        <w:rPr>
          <w:spacing w:val="-7"/>
          <w:sz w:val="18"/>
          <w:szCs w:val="18"/>
          <w:lang w:val="es-ES_tradnl"/>
        </w:rPr>
        <w:t>jur</w:t>
      </w:r>
      <w:r>
        <w:rPr>
          <w:rFonts w:cs="Times New Roman"/>
          <w:spacing w:val="-7"/>
          <w:sz w:val="18"/>
          <w:szCs w:val="18"/>
          <w:lang w:val="es-ES_tradnl"/>
        </w:rPr>
        <w:t>í</w:t>
      </w:r>
      <w:r>
        <w:rPr>
          <w:spacing w:val="-7"/>
          <w:sz w:val="18"/>
          <w:szCs w:val="18"/>
          <w:lang w:val="es-ES_tradnl"/>
        </w:rPr>
        <w:t>dico. En este sentido, el segundo momento se genera cuando se accede a la justicia, tutel</w:t>
      </w:r>
      <w:r>
        <w:rPr>
          <w:rFonts w:cs="Times New Roman"/>
          <w:spacing w:val="-7"/>
          <w:sz w:val="18"/>
          <w:szCs w:val="18"/>
          <w:lang w:val="es-ES_tradnl"/>
        </w:rPr>
        <w:t>á</w:t>
      </w:r>
      <w:r>
        <w:rPr>
          <w:spacing w:val="-7"/>
          <w:sz w:val="18"/>
          <w:szCs w:val="18"/>
          <w:lang w:val="es-ES_tradnl"/>
        </w:rPr>
        <w:t xml:space="preserve">ndose que dentro de </w:t>
      </w:r>
      <w:r>
        <w:rPr>
          <w:spacing w:val="-6"/>
          <w:sz w:val="18"/>
          <w:szCs w:val="18"/>
          <w:lang w:val="es-ES_tradnl"/>
        </w:rPr>
        <w:t xml:space="preserve">los procesos se respeten los principios de imparcialidad, </w:t>
      </w:r>
      <w:r>
        <w:rPr>
          <w:spacing w:val="-8"/>
          <w:sz w:val="18"/>
          <w:szCs w:val="18"/>
          <w:lang w:val="es-ES_tradnl"/>
        </w:rPr>
        <w:t xml:space="preserve">inmediatez y celeridad, lo que se traduce en que todas las </w:t>
      </w:r>
      <w:r>
        <w:rPr>
          <w:spacing w:val="-11"/>
          <w:sz w:val="18"/>
          <w:szCs w:val="18"/>
          <w:lang w:val="es-ES_tradnl"/>
        </w:rPr>
        <w:t xml:space="preserve">partes sean notificadas y sus peticiones sean oportunamente </w:t>
      </w:r>
      <w:r>
        <w:rPr>
          <w:spacing w:val="-6"/>
          <w:sz w:val="18"/>
          <w:szCs w:val="18"/>
          <w:lang w:val="es-ES_tradnl"/>
        </w:rPr>
        <w:t xml:space="preserve">contestadas, de forma que obtengan de la justicia una </w:t>
      </w:r>
      <w:r>
        <w:rPr>
          <w:spacing w:val="-8"/>
          <w:sz w:val="18"/>
          <w:szCs w:val="18"/>
          <w:lang w:val="es-ES_tradnl"/>
        </w:rPr>
        <w:t>decisi</w:t>
      </w:r>
      <w:r>
        <w:rPr>
          <w:rFonts w:cs="Times New Roman"/>
          <w:spacing w:val="-8"/>
          <w:sz w:val="18"/>
          <w:szCs w:val="18"/>
          <w:lang w:val="es-ES_tradnl"/>
        </w:rPr>
        <w:t>ó</w:t>
      </w:r>
      <w:r>
        <w:rPr>
          <w:spacing w:val="-8"/>
          <w:sz w:val="18"/>
          <w:szCs w:val="18"/>
          <w:lang w:val="es-ES_tradnl"/>
        </w:rPr>
        <w:t>n fundada en derecho. Finalmente, la tercera etapa consagra la garant</w:t>
      </w:r>
      <w:r>
        <w:rPr>
          <w:rFonts w:cs="Times New Roman"/>
          <w:spacing w:val="-8"/>
          <w:sz w:val="18"/>
          <w:szCs w:val="18"/>
          <w:lang w:val="es-ES_tradnl"/>
        </w:rPr>
        <w:t>í</w:t>
      </w:r>
      <w:r>
        <w:rPr>
          <w:spacing w:val="-8"/>
          <w:sz w:val="18"/>
          <w:szCs w:val="18"/>
          <w:lang w:val="es-ES_tradnl"/>
        </w:rPr>
        <w:t xml:space="preserve">a de que las decisiones judiciales sean </w:t>
      </w:r>
      <w:r>
        <w:rPr>
          <w:spacing w:val="-7"/>
          <w:sz w:val="18"/>
          <w:szCs w:val="18"/>
          <w:lang w:val="es-ES_tradnl"/>
        </w:rPr>
        <w:t xml:space="preserve">efectivamente cumplidas, a efectos de que se logre el fin </w:t>
      </w:r>
      <w:r>
        <w:rPr>
          <w:rFonts w:cs="Times New Roman"/>
          <w:sz w:val="18"/>
          <w:szCs w:val="18"/>
          <w:lang w:val="es-ES_tradnl"/>
        </w:rPr>
        <w:t>ú</w:t>
      </w:r>
      <w:r>
        <w:rPr>
          <w:sz w:val="18"/>
          <w:szCs w:val="18"/>
          <w:lang w:val="es-ES_tradnl"/>
        </w:rPr>
        <w:t>ltimo de la justicia.</w:t>
      </w:r>
    </w:p>
    <w:p w14:paraId="4F67B529" w14:textId="77777777" w:rsidR="00591D54" w:rsidRDefault="00591D54">
      <w:pPr>
        <w:shd w:val="clear" w:color="auto" w:fill="FFFFFF"/>
        <w:spacing w:before="192" w:line="216" w:lineRule="exact"/>
        <w:ind w:right="5"/>
        <w:jc w:val="both"/>
      </w:pPr>
      <w:r>
        <w:rPr>
          <w:spacing w:val="-6"/>
          <w:sz w:val="18"/>
          <w:szCs w:val="18"/>
          <w:lang w:val="es-ES_tradnl"/>
        </w:rPr>
        <w:t xml:space="preserve">La Corte Constitucional con respecto a este derecho, ha </w:t>
      </w:r>
      <w:r>
        <w:rPr>
          <w:sz w:val="18"/>
          <w:szCs w:val="18"/>
          <w:lang w:val="es-ES_tradnl"/>
        </w:rPr>
        <w:t>manifestado:</w:t>
      </w:r>
    </w:p>
    <w:p w14:paraId="4F67B52A" w14:textId="77777777" w:rsidR="00591D54" w:rsidRDefault="00591D54">
      <w:pPr>
        <w:shd w:val="clear" w:color="auto" w:fill="FFFFFF"/>
        <w:spacing w:before="206" w:line="216" w:lineRule="exact"/>
        <w:ind w:left="283" w:right="5"/>
        <w:jc w:val="both"/>
      </w:pPr>
      <w:r>
        <w:rPr>
          <w:spacing w:val="-5"/>
          <w:sz w:val="16"/>
          <w:szCs w:val="16"/>
          <w:lang w:val="es-ES_tradnl"/>
        </w:rPr>
        <w:t xml:space="preserve">La tutela judicial efectiva, a la luz de las normas citadas, </w:t>
      </w:r>
      <w:r>
        <w:rPr>
          <w:spacing w:val="-1"/>
          <w:sz w:val="16"/>
          <w:szCs w:val="16"/>
          <w:lang w:val="es-ES_tradnl"/>
        </w:rPr>
        <w:t>constituye el fundamento y la justificaci</w:t>
      </w:r>
      <w:r>
        <w:rPr>
          <w:rFonts w:cs="Times New Roman"/>
          <w:spacing w:val="-1"/>
          <w:sz w:val="16"/>
          <w:szCs w:val="16"/>
          <w:lang w:val="es-ES_tradnl"/>
        </w:rPr>
        <w:t>ó</w:t>
      </w:r>
      <w:r>
        <w:rPr>
          <w:spacing w:val="-1"/>
          <w:sz w:val="16"/>
          <w:szCs w:val="16"/>
          <w:lang w:val="es-ES_tradnl"/>
        </w:rPr>
        <w:t xml:space="preserve">n constitucional </w:t>
      </w:r>
      <w:r>
        <w:rPr>
          <w:spacing w:val="-5"/>
          <w:sz w:val="16"/>
          <w:szCs w:val="16"/>
          <w:lang w:val="es-ES_tradnl"/>
        </w:rPr>
        <w:t xml:space="preserve">de la existencia de toda la institucionalidad con potestad </w:t>
      </w:r>
      <w:r>
        <w:rPr>
          <w:spacing w:val="-3"/>
          <w:sz w:val="16"/>
          <w:szCs w:val="16"/>
          <w:lang w:val="es-ES_tradnl"/>
        </w:rPr>
        <w:t xml:space="preserve">jurisdiccional. Es un derecho que permite la viabilidad de </w:t>
      </w:r>
      <w:r>
        <w:rPr>
          <w:spacing w:val="-5"/>
          <w:sz w:val="16"/>
          <w:szCs w:val="16"/>
          <w:lang w:val="es-ES_tradnl"/>
        </w:rPr>
        <w:t>todos los dem</w:t>
      </w:r>
      <w:r>
        <w:rPr>
          <w:rFonts w:cs="Times New Roman"/>
          <w:spacing w:val="-5"/>
          <w:sz w:val="16"/>
          <w:szCs w:val="16"/>
          <w:lang w:val="es-ES_tradnl"/>
        </w:rPr>
        <w:t>á</w:t>
      </w:r>
      <w:r>
        <w:rPr>
          <w:spacing w:val="-5"/>
          <w:sz w:val="16"/>
          <w:szCs w:val="16"/>
          <w:lang w:val="es-ES_tradnl"/>
        </w:rPr>
        <w:t>s derechos constitucionales, as</w:t>
      </w:r>
      <w:r>
        <w:rPr>
          <w:rFonts w:cs="Times New Roman"/>
          <w:spacing w:val="-5"/>
          <w:sz w:val="16"/>
          <w:szCs w:val="16"/>
          <w:lang w:val="es-ES_tradnl"/>
        </w:rPr>
        <w:t>í</w:t>
      </w:r>
      <w:r>
        <w:rPr>
          <w:spacing w:val="-5"/>
          <w:sz w:val="16"/>
          <w:szCs w:val="16"/>
          <w:lang w:val="es-ES_tradnl"/>
        </w:rPr>
        <w:t xml:space="preserve"> como de </w:t>
      </w:r>
      <w:r>
        <w:rPr>
          <w:spacing w:val="-2"/>
          <w:sz w:val="16"/>
          <w:szCs w:val="16"/>
          <w:lang w:val="es-ES_tradnl"/>
        </w:rPr>
        <w:t>aquellos derivados de fuentes inferiores, siempre que sea</w:t>
      </w:r>
    </w:p>
    <w:p w14:paraId="4F67B52B" w14:textId="77777777" w:rsidR="00591D54" w:rsidRDefault="00591D54">
      <w:pPr>
        <w:shd w:val="clear" w:color="auto" w:fill="FFFFFF"/>
        <w:spacing w:before="206" w:line="216" w:lineRule="exact"/>
        <w:ind w:left="283" w:right="5"/>
        <w:jc w:val="both"/>
        <w:sectPr w:rsidR="00591D54">
          <w:type w:val="continuous"/>
          <w:pgSz w:w="11909" w:h="16834"/>
          <w:pgMar w:top="1378" w:right="1304" w:bottom="360" w:left="1308" w:header="720" w:footer="720" w:gutter="0"/>
          <w:cols w:num="2" w:space="720" w:equalWidth="0">
            <w:col w:w="4305" w:space="682"/>
            <w:col w:w="4310"/>
          </w:cols>
          <w:noEndnote/>
        </w:sectPr>
      </w:pPr>
    </w:p>
    <w:p w14:paraId="4F67B52C"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- 217</w:t>
      </w:r>
    </w:p>
    <w:p w14:paraId="4F67B52D" w14:textId="77777777" w:rsidR="00591D54" w:rsidRDefault="00591D54">
      <w:pPr>
        <w:shd w:val="clear" w:color="auto" w:fill="FFFFFF"/>
        <w:tabs>
          <w:tab w:val="left" w:pos="5842"/>
        </w:tabs>
        <w:spacing w:after="235"/>
        <w:ind w:left="5"/>
        <w:sectPr w:rsidR="00591D54">
          <w:pgSz w:w="11909" w:h="16834"/>
          <w:pgMar w:top="1356" w:right="1309" w:bottom="360" w:left="1308" w:header="720" w:footer="720" w:gutter="0"/>
          <w:cols w:space="60"/>
          <w:noEndnote/>
        </w:sectPr>
      </w:pPr>
    </w:p>
    <w:p w14:paraId="4F67B52E" w14:textId="77777777" w:rsidR="00591D54" w:rsidRDefault="00591D54">
      <w:pPr>
        <w:shd w:val="clear" w:color="auto" w:fill="FFFFFF"/>
        <w:spacing w:line="206" w:lineRule="exact"/>
        <w:ind w:left="283"/>
        <w:jc w:val="both"/>
      </w:pPr>
      <w:r>
        <w:rPr>
          <w:spacing w:val="-4"/>
          <w:sz w:val="16"/>
          <w:szCs w:val="16"/>
          <w:lang w:val="es-ES_tradnl"/>
        </w:rPr>
        <w:t>requerida la intervenci</w:t>
      </w:r>
      <w:r>
        <w:rPr>
          <w:rFonts w:cs="Times New Roman"/>
          <w:spacing w:val="-4"/>
          <w:sz w:val="16"/>
          <w:szCs w:val="16"/>
          <w:lang w:val="es-ES_tradnl"/>
        </w:rPr>
        <w:t>ó</w:t>
      </w:r>
      <w:r>
        <w:rPr>
          <w:spacing w:val="-4"/>
          <w:sz w:val="16"/>
          <w:szCs w:val="16"/>
          <w:lang w:val="es-ES_tradnl"/>
        </w:rPr>
        <w:t>n del Estado para su protecci</w:t>
      </w:r>
      <w:r>
        <w:rPr>
          <w:rFonts w:cs="Times New Roman"/>
          <w:spacing w:val="-4"/>
          <w:sz w:val="16"/>
          <w:szCs w:val="16"/>
          <w:lang w:val="es-ES_tradnl"/>
        </w:rPr>
        <w:t>ó</w:t>
      </w:r>
      <w:r>
        <w:rPr>
          <w:spacing w:val="-4"/>
          <w:sz w:val="16"/>
          <w:szCs w:val="16"/>
          <w:lang w:val="es-ES_tradnl"/>
        </w:rPr>
        <w:t xml:space="preserve">n. En </w:t>
      </w:r>
      <w:r>
        <w:rPr>
          <w:spacing w:val="-6"/>
          <w:sz w:val="16"/>
          <w:szCs w:val="16"/>
          <w:lang w:val="es-ES_tradnl"/>
        </w:rPr>
        <w:t>tal sentido, su satisfacci</w:t>
      </w:r>
      <w:r>
        <w:rPr>
          <w:rFonts w:cs="Times New Roman"/>
          <w:spacing w:val="-6"/>
          <w:sz w:val="16"/>
          <w:szCs w:val="16"/>
          <w:lang w:val="es-ES_tradnl"/>
        </w:rPr>
        <w:t>ó</w:t>
      </w:r>
      <w:r>
        <w:rPr>
          <w:spacing w:val="-6"/>
          <w:sz w:val="16"/>
          <w:szCs w:val="16"/>
          <w:lang w:val="es-ES_tradnl"/>
        </w:rPr>
        <w:t xml:space="preserve">n no se agota en la existencia de la </w:t>
      </w:r>
      <w:r>
        <w:rPr>
          <w:spacing w:val="-7"/>
          <w:sz w:val="16"/>
          <w:szCs w:val="16"/>
          <w:lang w:val="es-ES_tradnl"/>
        </w:rPr>
        <w:t>justicia constitucional, sino en la puesta a disposici</w:t>
      </w:r>
      <w:r>
        <w:rPr>
          <w:rFonts w:cs="Times New Roman"/>
          <w:spacing w:val="-7"/>
          <w:sz w:val="16"/>
          <w:szCs w:val="16"/>
          <w:lang w:val="es-ES_tradnl"/>
        </w:rPr>
        <w:t>ó</w:t>
      </w:r>
      <w:r>
        <w:rPr>
          <w:spacing w:val="-7"/>
          <w:sz w:val="16"/>
          <w:szCs w:val="16"/>
          <w:lang w:val="es-ES_tradnl"/>
        </w:rPr>
        <w:t>n de todas las personas de un sistema jur</w:t>
      </w:r>
      <w:r>
        <w:rPr>
          <w:rFonts w:cs="Times New Roman"/>
          <w:spacing w:val="-7"/>
          <w:sz w:val="16"/>
          <w:szCs w:val="16"/>
          <w:lang w:val="es-ES_tradnl"/>
        </w:rPr>
        <w:t>í</w:t>
      </w:r>
      <w:r>
        <w:rPr>
          <w:spacing w:val="-7"/>
          <w:sz w:val="16"/>
          <w:szCs w:val="16"/>
          <w:lang w:val="es-ES_tradnl"/>
        </w:rPr>
        <w:t>dico institucional encargado de dar protecci</w:t>
      </w:r>
      <w:r>
        <w:rPr>
          <w:rFonts w:cs="Times New Roman"/>
          <w:spacing w:val="-7"/>
          <w:sz w:val="16"/>
          <w:szCs w:val="16"/>
          <w:lang w:val="es-ES_tradnl"/>
        </w:rPr>
        <w:t>ó</w:t>
      </w:r>
      <w:r>
        <w:rPr>
          <w:spacing w:val="-7"/>
          <w:sz w:val="16"/>
          <w:szCs w:val="16"/>
          <w:lang w:val="es-ES_tradnl"/>
        </w:rPr>
        <w:t>n judicial en todas las materias</w:t>
      </w:r>
      <w:r>
        <w:rPr>
          <w:spacing w:val="-7"/>
          <w:sz w:val="16"/>
          <w:szCs w:val="16"/>
          <w:vertAlign w:val="superscript"/>
          <w:lang w:val="es-ES_tradnl"/>
        </w:rPr>
        <w:t>2</w:t>
      </w:r>
      <w:r>
        <w:rPr>
          <w:spacing w:val="-7"/>
          <w:sz w:val="16"/>
          <w:szCs w:val="16"/>
          <w:lang w:val="es-ES_tradnl"/>
        </w:rPr>
        <w:t>.</w:t>
      </w:r>
    </w:p>
    <w:p w14:paraId="4F67B52F" w14:textId="77777777" w:rsidR="00591D54" w:rsidRDefault="00591D54">
      <w:pPr>
        <w:shd w:val="clear" w:color="auto" w:fill="FFFFFF"/>
        <w:spacing w:before="197" w:line="216" w:lineRule="exact"/>
        <w:ind w:right="5"/>
        <w:jc w:val="both"/>
      </w:pPr>
      <w:r>
        <w:rPr>
          <w:spacing w:val="-7"/>
          <w:sz w:val="18"/>
          <w:szCs w:val="18"/>
          <w:lang w:val="es-ES_tradnl"/>
        </w:rPr>
        <w:t>Por otro parte, este Organismo en la sentencia N.</w:t>
      </w:r>
      <w:r>
        <w:rPr>
          <w:rFonts w:cs="Times New Roman"/>
          <w:spacing w:val="-7"/>
          <w:sz w:val="18"/>
          <w:szCs w:val="18"/>
          <w:lang w:val="es-ES_tradnl"/>
        </w:rPr>
        <w:t xml:space="preserve">º </w:t>
      </w:r>
      <w:r>
        <w:rPr>
          <w:sz w:val="18"/>
          <w:szCs w:val="18"/>
          <w:lang w:val="es-ES_tradnl"/>
        </w:rPr>
        <w:t>186-15-SEP-CC, determin</w:t>
      </w:r>
      <w:r>
        <w:rPr>
          <w:rFonts w:cs="Times New Roman"/>
          <w:sz w:val="18"/>
          <w:szCs w:val="18"/>
          <w:lang w:val="es-ES_tradnl"/>
        </w:rPr>
        <w:t>ó</w:t>
      </w:r>
      <w:r>
        <w:rPr>
          <w:sz w:val="18"/>
          <w:szCs w:val="18"/>
          <w:lang w:val="es-ES_tradnl"/>
        </w:rPr>
        <w:t>:</w:t>
      </w:r>
    </w:p>
    <w:p w14:paraId="4F67B530" w14:textId="77777777" w:rsidR="00591D54" w:rsidRDefault="00591D54">
      <w:pPr>
        <w:shd w:val="clear" w:color="auto" w:fill="FFFFFF"/>
        <w:spacing w:before="206" w:line="206" w:lineRule="exact"/>
        <w:ind w:left="283" w:right="5"/>
        <w:jc w:val="both"/>
      </w:pPr>
      <w:r>
        <w:rPr>
          <w:spacing w:val="-6"/>
          <w:sz w:val="16"/>
          <w:szCs w:val="16"/>
          <w:lang w:val="es-ES_tradnl"/>
        </w:rPr>
        <w:t xml:space="preserve">El derecho a la tutela efectiva deber ser entendido como el </w:t>
      </w:r>
      <w:r>
        <w:rPr>
          <w:spacing w:val="-10"/>
          <w:sz w:val="16"/>
          <w:szCs w:val="16"/>
          <w:lang w:val="es-ES_tradnl"/>
        </w:rPr>
        <w:t xml:space="preserve">derecho de toda persona a que se le garantice justicia, mediante </w:t>
      </w:r>
      <w:r>
        <w:rPr>
          <w:spacing w:val="-7"/>
          <w:sz w:val="16"/>
          <w:szCs w:val="16"/>
          <w:lang w:val="es-ES_tradnl"/>
        </w:rPr>
        <w:t>un proceso que reconozca un conjunto de garant</w:t>
      </w:r>
      <w:r>
        <w:rPr>
          <w:rFonts w:cs="Times New Roman"/>
          <w:spacing w:val="-7"/>
          <w:sz w:val="16"/>
          <w:szCs w:val="16"/>
          <w:lang w:val="es-ES_tradnl"/>
        </w:rPr>
        <w:t>í</w:t>
      </w:r>
      <w:r>
        <w:rPr>
          <w:spacing w:val="-7"/>
          <w:sz w:val="16"/>
          <w:szCs w:val="16"/>
          <w:lang w:val="es-ES_tradnl"/>
        </w:rPr>
        <w:t>as b</w:t>
      </w:r>
      <w:r>
        <w:rPr>
          <w:rFonts w:cs="Times New Roman"/>
          <w:spacing w:val="-7"/>
          <w:sz w:val="16"/>
          <w:szCs w:val="16"/>
          <w:lang w:val="es-ES_tradnl"/>
        </w:rPr>
        <w:t>á</w:t>
      </w:r>
      <w:r>
        <w:rPr>
          <w:spacing w:val="-7"/>
          <w:sz w:val="16"/>
          <w:szCs w:val="16"/>
          <w:lang w:val="es-ES_tradnl"/>
        </w:rPr>
        <w:t xml:space="preserve">sicas, </w:t>
      </w:r>
      <w:r>
        <w:rPr>
          <w:spacing w:val="-4"/>
          <w:sz w:val="16"/>
          <w:szCs w:val="16"/>
          <w:lang w:val="es-ES_tradnl"/>
        </w:rPr>
        <w:t xml:space="preserve">como son: a) Concurrir ante los tribunales de justicia y a </w:t>
      </w:r>
      <w:r>
        <w:rPr>
          <w:spacing w:val="-7"/>
          <w:sz w:val="16"/>
          <w:szCs w:val="16"/>
          <w:lang w:val="es-ES_tradnl"/>
        </w:rPr>
        <w:t xml:space="preserve">obtener de ellos una sentencia </w:t>
      </w:r>
      <w:r>
        <w:rPr>
          <w:rFonts w:cs="Times New Roman"/>
          <w:spacing w:val="-7"/>
          <w:sz w:val="16"/>
          <w:szCs w:val="16"/>
          <w:lang w:val="es-ES_tradnl"/>
        </w:rPr>
        <w:t>ú</w:t>
      </w:r>
      <w:r>
        <w:rPr>
          <w:spacing w:val="-7"/>
          <w:sz w:val="16"/>
          <w:szCs w:val="16"/>
          <w:lang w:val="es-ES_tradnl"/>
        </w:rPr>
        <w:t xml:space="preserve">til; b) Acceder a una instancia </w:t>
      </w:r>
      <w:r>
        <w:rPr>
          <w:spacing w:val="-1"/>
          <w:sz w:val="16"/>
          <w:szCs w:val="16"/>
          <w:lang w:val="es-ES_tradnl"/>
        </w:rPr>
        <w:t xml:space="preserve">judicial ordinaria y a lograr un control judicial suficiente </w:t>
      </w:r>
      <w:r>
        <w:rPr>
          <w:spacing w:val="-5"/>
          <w:sz w:val="16"/>
          <w:szCs w:val="16"/>
          <w:lang w:val="es-ES_tradnl"/>
        </w:rPr>
        <w:t xml:space="preserve">sobre lo actuado; c) A un juez natural e imparcial; d) La </w:t>
      </w:r>
      <w:r>
        <w:rPr>
          <w:spacing w:val="-8"/>
          <w:sz w:val="16"/>
          <w:szCs w:val="16"/>
          <w:lang w:val="es-ES_tradnl"/>
        </w:rPr>
        <w:t>eliminaci</w:t>
      </w:r>
      <w:r>
        <w:rPr>
          <w:rFonts w:cs="Times New Roman"/>
          <w:spacing w:val="-8"/>
          <w:sz w:val="16"/>
          <w:szCs w:val="16"/>
          <w:lang w:val="es-ES_tradnl"/>
        </w:rPr>
        <w:t>ó</w:t>
      </w:r>
      <w:r>
        <w:rPr>
          <w:spacing w:val="-8"/>
          <w:sz w:val="16"/>
          <w:szCs w:val="16"/>
          <w:lang w:val="es-ES_tradnl"/>
        </w:rPr>
        <w:t xml:space="preserve">n de las trabas que impidan u obstaculicen el acceso </w:t>
      </w:r>
      <w:r>
        <w:rPr>
          <w:spacing w:val="-6"/>
          <w:sz w:val="16"/>
          <w:szCs w:val="16"/>
          <w:lang w:val="es-ES_tradnl"/>
        </w:rPr>
        <w:t>a la jurisdicci</w:t>
      </w:r>
      <w:r>
        <w:rPr>
          <w:rFonts w:cs="Times New Roman"/>
          <w:spacing w:val="-6"/>
          <w:sz w:val="16"/>
          <w:szCs w:val="16"/>
          <w:lang w:val="es-ES_tradnl"/>
        </w:rPr>
        <w:t>ó</w:t>
      </w:r>
      <w:r>
        <w:rPr>
          <w:spacing w:val="-6"/>
          <w:sz w:val="16"/>
          <w:szCs w:val="16"/>
          <w:lang w:val="es-ES_tradnl"/>
        </w:rPr>
        <w:t>n; e) Una decisi</w:t>
      </w:r>
      <w:r>
        <w:rPr>
          <w:rFonts w:cs="Times New Roman"/>
          <w:spacing w:val="-6"/>
          <w:sz w:val="16"/>
          <w:szCs w:val="16"/>
          <w:lang w:val="es-ES_tradnl"/>
        </w:rPr>
        <w:t>ó</w:t>
      </w:r>
      <w:r>
        <w:rPr>
          <w:spacing w:val="-6"/>
          <w:sz w:val="16"/>
          <w:szCs w:val="16"/>
          <w:lang w:val="es-ES_tradnl"/>
        </w:rPr>
        <w:t>n fundada que haga m</w:t>
      </w:r>
      <w:r>
        <w:rPr>
          <w:rFonts w:cs="Times New Roman"/>
          <w:spacing w:val="-6"/>
          <w:sz w:val="16"/>
          <w:szCs w:val="16"/>
          <w:lang w:val="es-ES_tradnl"/>
        </w:rPr>
        <w:t>é</w:t>
      </w:r>
      <w:r>
        <w:rPr>
          <w:spacing w:val="-6"/>
          <w:sz w:val="16"/>
          <w:szCs w:val="16"/>
          <w:lang w:val="es-ES_tradnl"/>
        </w:rPr>
        <w:t xml:space="preserve">rito de </w:t>
      </w:r>
      <w:r>
        <w:rPr>
          <w:spacing w:val="-8"/>
          <w:sz w:val="16"/>
          <w:szCs w:val="16"/>
          <w:lang w:val="es-ES_tradnl"/>
        </w:rPr>
        <w:t xml:space="preserve">las principales cuestiones planteadas; f) Impugnar la sentencia </w:t>
      </w:r>
      <w:r>
        <w:rPr>
          <w:spacing w:val="-7"/>
          <w:sz w:val="16"/>
          <w:szCs w:val="16"/>
          <w:lang w:val="es-ES_tradnl"/>
        </w:rPr>
        <w:t xml:space="preserve">definitiva y, finalmente, g) Tener la posibilidad de ejecutar en </w:t>
      </w:r>
      <w:r>
        <w:rPr>
          <w:sz w:val="16"/>
          <w:szCs w:val="16"/>
          <w:lang w:val="es-ES_tradnl"/>
        </w:rPr>
        <w:t>tiempo y forma la sentencia dictada</w:t>
      </w:r>
      <w:r>
        <w:rPr>
          <w:sz w:val="16"/>
          <w:szCs w:val="16"/>
          <w:vertAlign w:val="superscript"/>
          <w:lang w:val="es-ES_tradnl"/>
        </w:rPr>
        <w:t>3</w:t>
      </w:r>
      <w:r>
        <w:rPr>
          <w:sz w:val="16"/>
          <w:szCs w:val="16"/>
          <w:lang w:val="es-ES_tradnl"/>
        </w:rPr>
        <w:t>.</w:t>
      </w:r>
    </w:p>
    <w:p w14:paraId="4F67B531" w14:textId="77777777" w:rsidR="00591D54" w:rsidRDefault="00591D54">
      <w:pPr>
        <w:shd w:val="clear" w:color="auto" w:fill="FFFFFF"/>
        <w:spacing w:before="192" w:line="211" w:lineRule="exact"/>
        <w:ind w:right="5"/>
        <w:jc w:val="both"/>
      </w:pPr>
      <w:r>
        <w:rPr>
          <w:sz w:val="18"/>
          <w:szCs w:val="18"/>
          <w:lang w:val="es-ES_tradnl"/>
        </w:rPr>
        <w:t xml:space="preserve">En el caso </w:t>
      </w:r>
      <w:r>
        <w:rPr>
          <w:i/>
          <w:iCs/>
          <w:sz w:val="18"/>
          <w:szCs w:val="18"/>
          <w:lang w:val="es-ES_tradnl"/>
        </w:rPr>
        <w:t xml:space="preserve">sub iudice </w:t>
      </w:r>
      <w:r>
        <w:rPr>
          <w:sz w:val="18"/>
          <w:szCs w:val="18"/>
          <w:lang w:val="es-ES_tradnl"/>
        </w:rPr>
        <w:t xml:space="preserve">se constata que el accionante </w:t>
      </w:r>
      <w:r>
        <w:rPr>
          <w:spacing w:val="-6"/>
          <w:sz w:val="18"/>
          <w:szCs w:val="18"/>
          <w:lang w:val="es-ES_tradnl"/>
        </w:rPr>
        <w:t xml:space="preserve">ha sido notificado en todas las actuaciones judiciales </w:t>
      </w:r>
      <w:r>
        <w:rPr>
          <w:spacing w:val="-7"/>
          <w:sz w:val="18"/>
          <w:szCs w:val="18"/>
          <w:lang w:val="es-ES_tradnl"/>
        </w:rPr>
        <w:t xml:space="preserve">correspondientes y que no se ha limitado su derecho a </w:t>
      </w:r>
      <w:r>
        <w:rPr>
          <w:spacing w:val="-9"/>
          <w:sz w:val="18"/>
          <w:szCs w:val="18"/>
          <w:lang w:val="es-ES_tradnl"/>
        </w:rPr>
        <w:t xml:space="preserve">presentar escritos y medios probatorios que permitan dar su </w:t>
      </w:r>
      <w:r>
        <w:rPr>
          <w:spacing w:val="-7"/>
          <w:sz w:val="18"/>
          <w:szCs w:val="18"/>
          <w:lang w:val="es-ES_tradnl"/>
        </w:rPr>
        <w:t xml:space="preserve">punto de vista y sus alegaciones ante la autoridad judicial </w:t>
      </w:r>
      <w:r>
        <w:rPr>
          <w:spacing w:val="-8"/>
          <w:sz w:val="18"/>
          <w:szCs w:val="18"/>
          <w:lang w:val="es-ES_tradnl"/>
        </w:rPr>
        <w:t>competente. Se observa que sus alegatos fueron tomados en consideraci</w:t>
      </w:r>
      <w:r>
        <w:rPr>
          <w:rFonts w:cs="Times New Roman"/>
          <w:spacing w:val="-8"/>
          <w:sz w:val="18"/>
          <w:szCs w:val="18"/>
          <w:lang w:val="es-ES_tradnl"/>
        </w:rPr>
        <w:t>ó</w:t>
      </w:r>
      <w:r>
        <w:rPr>
          <w:spacing w:val="-8"/>
          <w:sz w:val="18"/>
          <w:szCs w:val="18"/>
          <w:lang w:val="es-ES_tradnl"/>
        </w:rPr>
        <w:t>n en el momento de dictar sentencia y que no se ha realizado actuaci</w:t>
      </w:r>
      <w:r>
        <w:rPr>
          <w:rFonts w:cs="Times New Roman"/>
          <w:spacing w:val="-8"/>
          <w:sz w:val="18"/>
          <w:szCs w:val="18"/>
          <w:lang w:val="es-ES_tradnl"/>
        </w:rPr>
        <w:t>ó</w:t>
      </w:r>
      <w:r>
        <w:rPr>
          <w:spacing w:val="-8"/>
          <w:sz w:val="18"/>
          <w:szCs w:val="18"/>
          <w:lang w:val="es-ES_tradnl"/>
        </w:rPr>
        <w:t xml:space="preserve">n alguna que lo haya dejado en </w:t>
      </w:r>
      <w:r>
        <w:rPr>
          <w:spacing w:val="-7"/>
          <w:sz w:val="18"/>
          <w:szCs w:val="18"/>
          <w:lang w:val="es-ES_tradnl"/>
        </w:rPr>
        <w:t>indefensi</w:t>
      </w:r>
      <w:r>
        <w:rPr>
          <w:rFonts w:cs="Times New Roman"/>
          <w:spacing w:val="-7"/>
          <w:sz w:val="18"/>
          <w:szCs w:val="18"/>
          <w:lang w:val="es-ES_tradnl"/>
        </w:rPr>
        <w:t>ó</w:t>
      </w:r>
      <w:r>
        <w:rPr>
          <w:spacing w:val="-7"/>
          <w:sz w:val="18"/>
          <w:szCs w:val="18"/>
          <w:lang w:val="es-ES_tradnl"/>
        </w:rPr>
        <w:t>n, ya que conforme lo se</w:t>
      </w:r>
      <w:r>
        <w:rPr>
          <w:rFonts w:cs="Times New Roman"/>
          <w:spacing w:val="-7"/>
          <w:sz w:val="18"/>
          <w:szCs w:val="18"/>
          <w:lang w:val="es-ES_tradnl"/>
        </w:rPr>
        <w:t>ñ</w:t>
      </w:r>
      <w:r>
        <w:rPr>
          <w:spacing w:val="-7"/>
          <w:sz w:val="18"/>
          <w:szCs w:val="18"/>
          <w:lang w:val="es-ES_tradnl"/>
        </w:rPr>
        <w:t xml:space="preserve">alado en el problema </w:t>
      </w:r>
      <w:r>
        <w:rPr>
          <w:spacing w:val="-5"/>
          <w:sz w:val="18"/>
          <w:szCs w:val="18"/>
          <w:lang w:val="es-ES_tradnl"/>
        </w:rPr>
        <w:t>jur</w:t>
      </w:r>
      <w:r>
        <w:rPr>
          <w:rFonts w:cs="Times New Roman"/>
          <w:spacing w:val="-5"/>
          <w:sz w:val="18"/>
          <w:szCs w:val="18"/>
          <w:lang w:val="es-ES_tradnl"/>
        </w:rPr>
        <w:t>í</w:t>
      </w:r>
      <w:r>
        <w:rPr>
          <w:spacing w:val="-5"/>
          <w:sz w:val="18"/>
          <w:szCs w:val="18"/>
          <w:lang w:val="es-ES_tradnl"/>
        </w:rPr>
        <w:t>dico que antecede, el mismo recibi</w:t>
      </w:r>
      <w:r>
        <w:rPr>
          <w:rFonts w:cs="Times New Roman"/>
          <w:spacing w:val="-5"/>
          <w:sz w:val="18"/>
          <w:szCs w:val="18"/>
          <w:lang w:val="es-ES_tradnl"/>
        </w:rPr>
        <w:t>ó</w:t>
      </w:r>
      <w:r>
        <w:rPr>
          <w:spacing w:val="-5"/>
          <w:sz w:val="18"/>
          <w:szCs w:val="18"/>
          <w:lang w:val="es-ES_tradnl"/>
        </w:rPr>
        <w:t xml:space="preserve"> por parte de la </w:t>
      </w:r>
      <w:r>
        <w:rPr>
          <w:spacing w:val="-8"/>
          <w:sz w:val="18"/>
          <w:szCs w:val="18"/>
          <w:lang w:val="es-ES_tradnl"/>
        </w:rPr>
        <w:t>justicia una decisi</w:t>
      </w:r>
      <w:r>
        <w:rPr>
          <w:rFonts w:cs="Times New Roman"/>
          <w:spacing w:val="-8"/>
          <w:sz w:val="18"/>
          <w:szCs w:val="18"/>
          <w:lang w:val="es-ES_tradnl"/>
        </w:rPr>
        <w:t>ó</w:t>
      </w:r>
      <w:r>
        <w:rPr>
          <w:spacing w:val="-8"/>
          <w:sz w:val="18"/>
          <w:szCs w:val="18"/>
          <w:lang w:val="es-ES_tradnl"/>
        </w:rPr>
        <w:t xml:space="preserve">n fundada en disposiciones que regulan </w:t>
      </w:r>
      <w:r>
        <w:rPr>
          <w:spacing w:val="-6"/>
          <w:sz w:val="18"/>
          <w:szCs w:val="18"/>
          <w:lang w:val="es-ES_tradnl"/>
        </w:rPr>
        <w:t xml:space="preserve">este tipo de procesos, la cual fue emitida por un juez </w:t>
      </w:r>
      <w:r>
        <w:rPr>
          <w:sz w:val="18"/>
          <w:szCs w:val="18"/>
          <w:lang w:val="es-ES_tradnl"/>
        </w:rPr>
        <w:t>competente.</w:t>
      </w:r>
    </w:p>
    <w:p w14:paraId="4F67B532" w14:textId="77777777" w:rsidR="00591D54" w:rsidRDefault="00591D54">
      <w:pPr>
        <w:shd w:val="clear" w:color="auto" w:fill="FFFFFF"/>
        <w:spacing w:before="192" w:line="211" w:lineRule="exact"/>
        <w:ind w:right="5"/>
        <w:jc w:val="both"/>
      </w:pPr>
      <w:r>
        <w:rPr>
          <w:spacing w:val="-8"/>
          <w:sz w:val="18"/>
          <w:szCs w:val="18"/>
          <w:lang w:val="es-ES_tradnl"/>
        </w:rPr>
        <w:t>De lo anteriormente se</w:t>
      </w:r>
      <w:r>
        <w:rPr>
          <w:rFonts w:cs="Times New Roman"/>
          <w:spacing w:val="-8"/>
          <w:sz w:val="18"/>
          <w:szCs w:val="18"/>
          <w:lang w:val="es-ES_tradnl"/>
        </w:rPr>
        <w:t>ñ</w:t>
      </w:r>
      <w:r>
        <w:rPr>
          <w:spacing w:val="-8"/>
          <w:sz w:val="18"/>
          <w:szCs w:val="18"/>
          <w:lang w:val="es-ES_tradnl"/>
        </w:rPr>
        <w:t>alado y del an</w:t>
      </w:r>
      <w:r>
        <w:rPr>
          <w:rFonts w:cs="Times New Roman"/>
          <w:spacing w:val="-8"/>
          <w:sz w:val="18"/>
          <w:szCs w:val="18"/>
          <w:lang w:val="es-ES_tradnl"/>
        </w:rPr>
        <w:t>á</w:t>
      </w:r>
      <w:r>
        <w:rPr>
          <w:spacing w:val="-8"/>
          <w:sz w:val="18"/>
          <w:szCs w:val="18"/>
          <w:lang w:val="es-ES_tradnl"/>
        </w:rPr>
        <w:t xml:space="preserve">lisis del expediente, </w:t>
      </w:r>
      <w:r>
        <w:rPr>
          <w:spacing w:val="-12"/>
          <w:sz w:val="18"/>
          <w:szCs w:val="18"/>
          <w:lang w:val="es-ES_tradnl"/>
        </w:rPr>
        <w:t xml:space="preserve">esta Corte declara que tanto la sentencia del 01 de septiembre </w:t>
      </w:r>
      <w:r>
        <w:rPr>
          <w:spacing w:val="-9"/>
          <w:sz w:val="18"/>
          <w:szCs w:val="18"/>
          <w:lang w:val="es-ES_tradnl"/>
        </w:rPr>
        <w:t>de 2010 a las 15h19, as</w:t>
      </w:r>
      <w:r>
        <w:rPr>
          <w:rFonts w:cs="Times New Roman"/>
          <w:spacing w:val="-9"/>
          <w:sz w:val="18"/>
          <w:szCs w:val="18"/>
          <w:lang w:val="es-ES_tradnl"/>
        </w:rPr>
        <w:t>í</w:t>
      </w:r>
      <w:r>
        <w:rPr>
          <w:spacing w:val="-9"/>
          <w:sz w:val="18"/>
          <w:szCs w:val="18"/>
          <w:lang w:val="es-ES_tradnl"/>
        </w:rPr>
        <w:t xml:space="preserve"> como el auto de 29 de septiembre </w:t>
      </w:r>
      <w:r>
        <w:rPr>
          <w:spacing w:val="-7"/>
          <w:sz w:val="18"/>
          <w:szCs w:val="18"/>
          <w:lang w:val="es-ES_tradnl"/>
        </w:rPr>
        <w:t xml:space="preserve">de 2010 a las 15h13, emitidos por la Segunda Sala de lo </w:t>
      </w:r>
      <w:r>
        <w:rPr>
          <w:spacing w:val="-3"/>
          <w:sz w:val="18"/>
          <w:szCs w:val="18"/>
          <w:lang w:val="es-ES_tradnl"/>
        </w:rPr>
        <w:t xml:space="preserve">Civil, Mercantil, Inquilinato y Materias Residuales de la </w:t>
      </w:r>
      <w:r>
        <w:rPr>
          <w:spacing w:val="-5"/>
          <w:sz w:val="18"/>
          <w:szCs w:val="18"/>
          <w:lang w:val="es-ES_tradnl"/>
        </w:rPr>
        <w:t>Corte Provincial de Justicia de Pichincha no vulneran el derecho constitucional a la tutela judicial efectiva.</w:t>
      </w:r>
    </w:p>
    <w:p w14:paraId="4F67B533" w14:textId="77777777" w:rsidR="00591D54" w:rsidRDefault="00591D54">
      <w:pPr>
        <w:shd w:val="clear" w:color="auto" w:fill="FFFFFF"/>
        <w:spacing w:before="187"/>
        <w:ind w:right="5"/>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B534" w14:textId="77777777" w:rsidR="00591D54" w:rsidRDefault="00591D54">
      <w:pPr>
        <w:shd w:val="clear" w:color="auto" w:fill="FFFFFF"/>
        <w:spacing w:before="192" w:line="211" w:lineRule="exact"/>
        <w:ind w:right="5"/>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5"/>
          <w:sz w:val="18"/>
          <w:szCs w:val="18"/>
          <w:lang w:val="es-ES_tradnl"/>
        </w:rPr>
        <w:t>constitucional y por mandato de la Constituci</w:t>
      </w:r>
      <w:r>
        <w:rPr>
          <w:rFonts w:cs="Times New Roman"/>
          <w:spacing w:val="-5"/>
          <w:sz w:val="18"/>
          <w:szCs w:val="18"/>
          <w:lang w:val="es-ES_tradnl"/>
        </w:rPr>
        <w:t>ó</w:t>
      </w:r>
      <w:r>
        <w:rPr>
          <w:spacing w:val="-5"/>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 xml:space="preserve">blica del Ecuador, el Pleno de la Corte Constitucional </w:t>
      </w:r>
      <w:r>
        <w:rPr>
          <w:sz w:val="18"/>
          <w:szCs w:val="18"/>
          <w:lang w:val="es-ES_tradnl"/>
        </w:rPr>
        <w:t>expide la siguiente:</w:t>
      </w:r>
    </w:p>
    <w:p w14:paraId="4F67B535" w14:textId="77777777" w:rsidR="00591D54" w:rsidRDefault="00591D54">
      <w:pPr>
        <w:shd w:val="clear" w:color="auto" w:fill="FFFFFF"/>
        <w:spacing w:before="187"/>
        <w:ind w:left="5"/>
        <w:jc w:val="center"/>
      </w:pPr>
      <w:r>
        <w:rPr>
          <w:b/>
          <w:bCs/>
          <w:sz w:val="18"/>
          <w:szCs w:val="18"/>
          <w:lang w:val="es-ES_tradnl"/>
        </w:rPr>
        <w:t>SENTENCIA</w:t>
      </w:r>
    </w:p>
    <w:p w14:paraId="4F67B536" w14:textId="77777777" w:rsidR="00591D54" w:rsidRDefault="00591D54" w:rsidP="00251195">
      <w:pPr>
        <w:numPr>
          <w:ilvl w:val="0"/>
          <w:numId w:val="101"/>
        </w:numPr>
        <w:shd w:val="clear" w:color="auto" w:fill="FFFFFF"/>
        <w:tabs>
          <w:tab w:val="left" w:pos="566"/>
        </w:tabs>
        <w:spacing w:before="192" w:line="216" w:lineRule="exact"/>
        <w:ind w:left="566" w:hanging="283"/>
        <w:rPr>
          <w:spacing w:val="-11"/>
          <w:sz w:val="18"/>
          <w:szCs w:val="18"/>
          <w:lang w:val="es-ES_tradnl"/>
        </w:rPr>
      </w:pPr>
      <w:r>
        <w:rPr>
          <w:spacing w:val="-3"/>
          <w:sz w:val="18"/>
          <w:szCs w:val="18"/>
          <w:lang w:val="es-ES_tradnl"/>
        </w:rPr>
        <w:t>Declarar que no existe vulneraci</w:t>
      </w:r>
      <w:r>
        <w:rPr>
          <w:rFonts w:cs="Times New Roman"/>
          <w:spacing w:val="-3"/>
          <w:sz w:val="18"/>
          <w:szCs w:val="18"/>
          <w:lang w:val="es-ES_tradnl"/>
        </w:rPr>
        <w:t>ó</w:t>
      </w:r>
      <w:r>
        <w:rPr>
          <w:spacing w:val="-3"/>
          <w:sz w:val="18"/>
          <w:szCs w:val="18"/>
          <w:lang w:val="es-ES_tradnl"/>
        </w:rPr>
        <w:t xml:space="preserve">n de derechos </w:t>
      </w:r>
      <w:r>
        <w:rPr>
          <w:sz w:val="18"/>
          <w:szCs w:val="18"/>
          <w:lang w:val="es-ES_tradnl"/>
        </w:rPr>
        <w:t>constitucionales.</w:t>
      </w:r>
    </w:p>
    <w:p w14:paraId="4F67B537" w14:textId="77777777" w:rsidR="00591D54" w:rsidRDefault="00591D54" w:rsidP="00251195">
      <w:pPr>
        <w:numPr>
          <w:ilvl w:val="0"/>
          <w:numId w:val="101"/>
        </w:numPr>
        <w:shd w:val="clear" w:color="auto" w:fill="FFFFFF"/>
        <w:tabs>
          <w:tab w:val="left" w:pos="566"/>
        </w:tabs>
        <w:spacing w:before="192" w:line="211" w:lineRule="exact"/>
        <w:ind w:left="566" w:hanging="283"/>
        <w:rPr>
          <w:spacing w:val="-11"/>
          <w:sz w:val="18"/>
          <w:szCs w:val="18"/>
          <w:lang w:val="es-ES_tradnl"/>
        </w:rPr>
      </w:pPr>
      <w:r>
        <w:rPr>
          <w:spacing w:val="-7"/>
          <w:sz w:val="18"/>
          <w:szCs w:val="18"/>
          <w:lang w:val="es-ES_tradnl"/>
        </w:rPr>
        <w:t>Negar   la   acci</w:t>
      </w:r>
      <w:r>
        <w:rPr>
          <w:rFonts w:cs="Times New Roman"/>
          <w:spacing w:val="-7"/>
          <w:sz w:val="18"/>
          <w:szCs w:val="18"/>
          <w:lang w:val="es-ES_tradnl"/>
        </w:rPr>
        <w:t>ó</w:t>
      </w:r>
      <w:r>
        <w:rPr>
          <w:spacing w:val="-7"/>
          <w:sz w:val="18"/>
          <w:szCs w:val="18"/>
          <w:lang w:val="es-ES_tradnl"/>
        </w:rPr>
        <w:t>n   extraordinaria   de   protecci</w:t>
      </w:r>
      <w:r>
        <w:rPr>
          <w:rFonts w:cs="Times New Roman"/>
          <w:spacing w:val="-7"/>
          <w:sz w:val="18"/>
          <w:szCs w:val="18"/>
          <w:lang w:val="es-ES_tradnl"/>
        </w:rPr>
        <w:t>ó</w:t>
      </w:r>
      <w:r>
        <w:rPr>
          <w:spacing w:val="-7"/>
          <w:sz w:val="18"/>
          <w:szCs w:val="18"/>
          <w:lang w:val="es-ES_tradnl"/>
        </w:rPr>
        <w:t xml:space="preserve">n </w:t>
      </w:r>
      <w:r>
        <w:rPr>
          <w:sz w:val="18"/>
          <w:szCs w:val="18"/>
          <w:lang w:val="es-ES_tradnl"/>
        </w:rPr>
        <w:t>planteada.</w:t>
      </w:r>
    </w:p>
    <w:p w14:paraId="4F67B538" w14:textId="77777777" w:rsidR="00591D54" w:rsidRDefault="00591D54">
      <w:pPr>
        <w:shd w:val="clear" w:color="auto" w:fill="FFFFFF"/>
        <w:tabs>
          <w:tab w:val="left" w:pos="139"/>
        </w:tabs>
        <w:spacing w:before="408" w:line="182" w:lineRule="exact"/>
        <w:ind w:left="139" w:hanging="139"/>
      </w:pPr>
      <w:r>
        <w:rPr>
          <w:sz w:val="10"/>
          <w:szCs w:val="10"/>
          <w:vertAlign w:val="superscript"/>
          <w:lang w:val="es-ES_tradnl"/>
        </w:rPr>
        <w:t>2</w:t>
      </w:r>
      <w:r>
        <w:rPr>
          <w:sz w:val="18"/>
          <w:szCs w:val="18"/>
          <w:lang w:val="es-ES_tradnl"/>
        </w:rPr>
        <w:tab/>
      </w:r>
      <w:r>
        <w:rPr>
          <w:spacing w:val="-8"/>
          <w:sz w:val="16"/>
          <w:szCs w:val="16"/>
          <w:lang w:val="es-ES_tradnl"/>
        </w:rPr>
        <w:t>Corte</w:t>
      </w:r>
      <w:r>
        <w:rPr>
          <w:spacing w:val="-8"/>
          <w:sz w:val="18"/>
          <w:szCs w:val="18"/>
          <w:lang w:val="es-ES_tradnl"/>
        </w:rPr>
        <w:t xml:space="preserve"> </w:t>
      </w:r>
      <w:r>
        <w:rPr>
          <w:spacing w:val="-8"/>
          <w:sz w:val="16"/>
          <w:szCs w:val="16"/>
          <w:lang w:val="es-ES_tradnl"/>
        </w:rPr>
        <w:t>Constitucional</w:t>
      </w:r>
      <w:r>
        <w:rPr>
          <w:spacing w:val="-8"/>
          <w:sz w:val="18"/>
          <w:szCs w:val="18"/>
          <w:lang w:val="es-ES_tradnl"/>
        </w:rPr>
        <w:t xml:space="preserve"> </w:t>
      </w:r>
      <w:r>
        <w:rPr>
          <w:spacing w:val="-8"/>
          <w:sz w:val="16"/>
          <w:szCs w:val="16"/>
          <w:lang w:val="es-ES_tradnl"/>
        </w:rPr>
        <w:t>del</w:t>
      </w:r>
      <w:r>
        <w:rPr>
          <w:spacing w:val="-8"/>
          <w:sz w:val="18"/>
          <w:szCs w:val="18"/>
          <w:lang w:val="es-ES_tradnl"/>
        </w:rPr>
        <w:t xml:space="preserve"> </w:t>
      </w:r>
      <w:r>
        <w:rPr>
          <w:spacing w:val="-8"/>
          <w:sz w:val="16"/>
          <w:szCs w:val="16"/>
          <w:lang w:val="es-ES_tradnl"/>
        </w:rPr>
        <w:t>Ecuador,</w:t>
      </w:r>
      <w:r>
        <w:rPr>
          <w:spacing w:val="-8"/>
          <w:sz w:val="18"/>
          <w:szCs w:val="18"/>
          <w:lang w:val="es-ES_tradnl"/>
        </w:rPr>
        <w:t xml:space="preserve"> </w:t>
      </w:r>
      <w:r>
        <w:rPr>
          <w:spacing w:val="-8"/>
          <w:sz w:val="16"/>
          <w:szCs w:val="16"/>
          <w:lang w:val="es-ES_tradnl"/>
        </w:rPr>
        <w:t>sentencia</w:t>
      </w:r>
      <w:r>
        <w:rPr>
          <w:spacing w:val="-8"/>
          <w:sz w:val="18"/>
          <w:szCs w:val="18"/>
          <w:lang w:val="es-ES_tradnl"/>
        </w:rPr>
        <w:t xml:space="preserve"> </w:t>
      </w:r>
      <w:r>
        <w:rPr>
          <w:spacing w:val="-8"/>
          <w:sz w:val="16"/>
          <w:szCs w:val="16"/>
          <w:lang w:val="es-ES_tradnl"/>
        </w:rPr>
        <w:t>N.</w:t>
      </w:r>
      <w:r>
        <w:rPr>
          <w:rFonts w:cs="Times New Roman"/>
          <w:spacing w:val="-8"/>
          <w:sz w:val="16"/>
          <w:szCs w:val="16"/>
          <w:lang w:val="es-ES_tradnl"/>
        </w:rPr>
        <w:t>º</w:t>
      </w:r>
      <w:r>
        <w:rPr>
          <w:spacing w:val="-8"/>
          <w:sz w:val="18"/>
          <w:szCs w:val="18"/>
          <w:lang w:val="es-ES_tradnl"/>
        </w:rPr>
        <w:t xml:space="preserve"> </w:t>
      </w:r>
      <w:r>
        <w:rPr>
          <w:spacing w:val="-8"/>
          <w:sz w:val="16"/>
          <w:szCs w:val="16"/>
          <w:lang w:val="es-ES_tradnl"/>
        </w:rPr>
        <w:t>041-13-SEP-CC, </w:t>
      </w:r>
      <w:r>
        <w:rPr>
          <w:sz w:val="16"/>
          <w:szCs w:val="16"/>
          <w:lang w:val="es-ES_tradnl"/>
        </w:rPr>
        <w:t>caso N,</w:t>
      </w:r>
      <w:r>
        <w:rPr>
          <w:rFonts w:cs="Times New Roman"/>
          <w:sz w:val="16"/>
          <w:szCs w:val="16"/>
          <w:lang w:val="es-ES_tradnl"/>
        </w:rPr>
        <w:t>º</w:t>
      </w:r>
      <w:r>
        <w:rPr>
          <w:sz w:val="16"/>
          <w:szCs w:val="16"/>
          <w:lang w:val="es-ES_tradnl"/>
        </w:rPr>
        <w:t xml:space="preserve"> 0470-12-EP.</w:t>
      </w:r>
    </w:p>
    <w:p w14:paraId="4F67B539" w14:textId="77777777" w:rsidR="00591D54" w:rsidRDefault="00591D54">
      <w:pPr>
        <w:shd w:val="clear" w:color="auto" w:fill="FFFFFF"/>
        <w:tabs>
          <w:tab w:val="left" w:pos="139"/>
        </w:tabs>
        <w:spacing w:before="149" w:line="178" w:lineRule="exact"/>
        <w:ind w:left="139" w:hanging="139"/>
      </w:pPr>
      <w:r>
        <w:rPr>
          <w:sz w:val="10"/>
          <w:szCs w:val="10"/>
          <w:vertAlign w:val="superscript"/>
          <w:lang w:val="es-ES_tradnl"/>
        </w:rPr>
        <w:t>3</w:t>
      </w:r>
      <w:r>
        <w:rPr>
          <w:sz w:val="18"/>
          <w:szCs w:val="18"/>
          <w:lang w:val="es-ES_tradnl"/>
        </w:rPr>
        <w:tab/>
      </w:r>
      <w:r>
        <w:rPr>
          <w:spacing w:val="-9"/>
          <w:sz w:val="16"/>
          <w:szCs w:val="16"/>
          <w:lang w:val="es-ES_tradnl"/>
        </w:rPr>
        <w:t>Corte</w:t>
      </w:r>
      <w:r>
        <w:rPr>
          <w:spacing w:val="-9"/>
          <w:sz w:val="18"/>
          <w:szCs w:val="18"/>
          <w:lang w:val="es-ES_tradnl"/>
        </w:rPr>
        <w:t xml:space="preserve"> </w:t>
      </w:r>
      <w:r>
        <w:rPr>
          <w:spacing w:val="-9"/>
          <w:sz w:val="16"/>
          <w:szCs w:val="16"/>
          <w:lang w:val="es-ES_tradnl"/>
        </w:rPr>
        <w:t>Constitucional</w:t>
      </w:r>
      <w:r>
        <w:rPr>
          <w:spacing w:val="-9"/>
          <w:sz w:val="18"/>
          <w:szCs w:val="18"/>
          <w:lang w:val="es-ES_tradnl"/>
        </w:rPr>
        <w:t xml:space="preserve"> </w:t>
      </w:r>
      <w:r>
        <w:rPr>
          <w:spacing w:val="-9"/>
          <w:sz w:val="16"/>
          <w:szCs w:val="16"/>
          <w:lang w:val="es-ES_tradnl"/>
        </w:rPr>
        <w:t>del</w:t>
      </w:r>
      <w:r>
        <w:rPr>
          <w:spacing w:val="-9"/>
          <w:sz w:val="18"/>
          <w:szCs w:val="18"/>
          <w:lang w:val="es-ES_tradnl"/>
        </w:rPr>
        <w:t xml:space="preserve"> </w:t>
      </w:r>
      <w:r>
        <w:rPr>
          <w:spacing w:val="-9"/>
          <w:sz w:val="16"/>
          <w:szCs w:val="16"/>
          <w:lang w:val="es-ES_tradnl"/>
        </w:rPr>
        <w:t>Ecuador,</w:t>
      </w:r>
      <w:r>
        <w:rPr>
          <w:spacing w:val="-9"/>
          <w:sz w:val="18"/>
          <w:szCs w:val="18"/>
          <w:lang w:val="es-ES_tradnl"/>
        </w:rPr>
        <w:t xml:space="preserve"> </w:t>
      </w:r>
      <w:r>
        <w:rPr>
          <w:spacing w:val="-9"/>
          <w:sz w:val="16"/>
          <w:szCs w:val="16"/>
          <w:lang w:val="es-ES_tradnl"/>
        </w:rPr>
        <w:t>Sentencia</w:t>
      </w:r>
      <w:r>
        <w:rPr>
          <w:spacing w:val="-9"/>
          <w:sz w:val="18"/>
          <w:szCs w:val="18"/>
          <w:lang w:val="es-ES_tradnl"/>
        </w:rPr>
        <w:t xml:space="preserve"> </w:t>
      </w:r>
      <w:r>
        <w:rPr>
          <w:spacing w:val="-9"/>
          <w:sz w:val="16"/>
          <w:szCs w:val="16"/>
          <w:lang w:val="es-ES_tradnl"/>
        </w:rPr>
        <w:t>No.</w:t>
      </w:r>
      <w:r>
        <w:rPr>
          <w:spacing w:val="-9"/>
          <w:sz w:val="18"/>
          <w:szCs w:val="18"/>
          <w:lang w:val="es-ES_tradnl"/>
        </w:rPr>
        <w:t xml:space="preserve"> </w:t>
      </w:r>
      <w:r>
        <w:rPr>
          <w:spacing w:val="-9"/>
          <w:sz w:val="16"/>
          <w:szCs w:val="16"/>
          <w:lang w:val="es-ES_tradnl"/>
        </w:rPr>
        <w:t>186-15-SEP-CC, </w:t>
      </w:r>
      <w:r>
        <w:rPr>
          <w:sz w:val="16"/>
          <w:szCs w:val="16"/>
          <w:lang w:val="es-ES_tradnl"/>
        </w:rPr>
        <w:t>dictada dentro del Caso No. 0107-12-EP.</w:t>
      </w:r>
    </w:p>
    <w:p w14:paraId="4F67B53A" w14:textId="77777777" w:rsidR="00591D54" w:rsidRDefault="00591D54">
      <w:pPr>
        <w:shd w:val="clear" w:color="auto" w:fill="FFFFFF"/>
        <w:ind w:left="283"/>
      </w:pPr>
      <w:r>
        <w:br w:type="column"/>
      </w:r>
      <w:r>
        <w:rPr>
          <w:spacing w:val="-7"/>
          <w:sz w:val="18"/>
          <w:szCs w:val="18"/>
          <w:lang w:val="es-ES_tradnl"/>
        </w:rPr>
        <w:t>3.   Notif</w:t>
      </w:r>
      <w:r>
        <w:rPr>
          <w:rFonts w:cs="Times New Roman"/>
          <w:spacing w:val="-7"/>
          <w:sz w:val="18"/>
          <w:szCs w:val="18"/>
          <w:lang w:val="es-ES_tradnl"/>
        </w:rPr>
        <w:t>í</w:t>
      </w:r>
      <w:r>
        <w:rPr>
          <w:spacing w:val="-7"/>
          <w:sz w:val="18"/>
          <w:szCs w:val="18"/>
          <w:lang w:val="es-ES_tradnl"/>
        </w:rPr>
        <w:t>quese, publ</w:t>
      </w:r>
      <w:r>
        <w:rPr>
          <w:rFonts w:cs="Times New Roman"/>
          <w:spacing w:val="-7"/>
          <w:sz w:val="18"/>
          <w:szCs w:val="18"/>
          <w:lang w:val="es-ES_tradnl"/>
        </w:rPr>
        <w:t>í</w:t>
      </w:r>
      <w:r>
        <w:rPr>
          <w:spacing w:val="-7"/>
          <w:sz w:val="18"/>
          <w:szCs w:val="18"/>
          <w:lang w:val="es-ES_tradnl"/>
        </w:rPr>
        <w:t>quese y c</w:t>
      </w:r>
      <w:r>
        <w:rPr>
          <w:rFonts w:cs="Times New Roman"/>
          <w:spacing w:val="-7"/>
          <w:sz w:val="18"/>
          <w:szCs w:val="18"/>
          <w:lang w:val="es-ES_tradnl"/>
        </w:rPr>
        <w:t>ú</w:t>
      </w:r>
      <w:r>
        <w:rPr>
          <w:spacing w:val="-7"/>
          <w:sz w:val="18"/>
          <w:szCs w:val="18"/>
          <w:lang w:val="es-ES_tradnl"/>
        </w:rPr>
        <w:t>mplase.</w:t>
      </w:r>
    </w:p>
    <w:p w14:paraId="4F67B53B" w14:textId="77777777" w:rsidR="00591D54" w:rsidRDefault="00591D54">
      <w:pPr>
        <w:shd w:val="clear" w:color="auto" w:fill="FFFFFF"/>
        <w:spacing w:before="192"/>
      </w:pPr>
      <w:r>
        <w:rPr>
          <w:spacing w:val="-4"/>
          <w:sz w:val="18"/>
          <w:szCs w:val="18"/>
          <w:lang w:val="es-ES_tradnl"/>
        </w:rPr>
        <w:t>f.) Patricio Pazmi</w:t>
      </w:r>
      <w:r>
        <w:rPr>
          <w:rFonts w:cs="Times New Roman"/>
          <w:spacing w:val="-4"/>
          <w:sz w:val="18"/>
          <w:szCs w:val="18"/>
          <w:lang w:val="es-ES_tradnl"/>
        </w:rPr>
        <w:t>ñ</w:t>
      </w:r>
      <w:r>
        <w:rPr>
          <w:spacing w:val="-4"/>
          <w:sz w:val="18"/>
          <w:szCs w:val="18"/>
          <w:lang w:val="es-ES_tradnl"/>
        </w:rPr>
        <w:t xml:space="preserve">o Freire, </w:t>
      </w:r>
      <w:r>
        <w:rPr>
          <w:b/>
          <w:bCs/>
          <w:spacing w:val="-4"/>
          <w:sz w:val="18"/>
          <w:szCs w:val="18"/>
          <w:lang w:val="es-ES_tradnl"/>
        </w:rPr>
        <w:t>PRESIDENTE.</w:t>
      </w:r>
    </w:p>
    <w:p w14:paraId="4F67B53C" w14:textId="77777777" w:rsidR="00591D54" w:rsidRDefault="00591D54">
      <w:pPr>
        <w:shd w:val="clear" w:color="auto" w:fill="FFFFFF"/>
        <w:spacing w:before="187" w:line="216" w:lineRule="exact"/>
        <w:jc w:val="both"/>
      </w:pPr>
      <w:r>
        <w:rPr>
          <w:spacing w:val="-1"/>
          <w:sz w:val="18"/>
          <w:szCs w:val="18"/>
          <w:lang w:val="es-ES_tradnl"/>
        </w:rPr>
        <w:t>f.) Pa</w:t>
      </w:r>
      <w:r>
        <w:rPr>
          <w:rFonts w:cs="Times New Roman"/>
          <w:spacing w:val="-1"/>
          <w:sz w:val="18"/>
          <w:szCs w:val="18"/>
          <w:lang w:val="es-ES_tradnl"/>
        </w:rPr>
        <w:t>ú</w:t>
      </w:r>
      <w:r>
        <w:rPr>
          <w:spacing w:val="-1"/>
          <w:sz w:val="18"/>
          <w:szCs w:val="18"/>
          <w:lang w:val="es-ES_tradnl"/>
        </w:rPr>
        <w:t xml:space="preserve">l Emilio Prado Chiriboga, </w:t>
      </w:r>
      <w:r>
        <w:rPr>
          <w:b/>
          <w:bCs/>
          <w:spacing w:val="-1"/>
          <w:sz w:val="18"/>
          <w:szCs w:val="18"/>
          <w:lang w:val="es-ES_tradnl"/>
        </w:rPr>
        <w:t xml:space="preserve">SECRETARIO </w:t>
      </w:r>
      <w:r>
        <w:rPr>
          <w:b/>
          <w:bCs/>
          <w:sz w:val="18"/>
          <w:szCs w:val="18"/>
          <w:lang w:val="es-ES_tradnl"/>
        </w:rPr>
        <w:t>GENERAL (E).</w:t>
      </w:r>
    </w:p>
    <w:p w14:paraId="4F67B53D" w14:textId="77777777" w:rsidR="00591D54" w:rsidRDefault="00591D54">
      <w:pPr>
        <w:shd w:val="clear" w:color="auto" w:fill="FFFFFF"/>
        <w:spacing w:before="192" w:line="216" w:lineRule="exact"/>
        <w:jc w:val="both"/>
      </w:pPr>
      <w:r>
        <w:rPr>
          <w:b/>
          <w:bCs/>
          <w:spacing w:val="-7"/>
          <w:sz w:val="18"/>
          <w:szCs w:val="18"/>
          <w:lang w:val="es-ES_tradnl"/>
        </w:rPr>
        <w:t>Raz</w:t>
      </w:r>
      <w:r>
        <w:rPr>
          <w:rFonts w:cs="Times New Roman"/>
          <w:b/>
          <w:bCs/>
          <w:spacing w:val="-7"/>
          <w:sz w:val="18"/>
          <w:szCs w:val="18"/>
          <w:lang w:val="es-ES_tradnl"/>
        </w:rPr>
        <w:t>ó</w:t>
      </w:r>
      <w:r>
        <w:rPr>
          <w:b/>
          <w:bCs/>
          <w:spacing w:val="-7"/>
          <w:sz w:val="18"/>
          <w:szCs w:val="18"/>
          <w:lang w:val="es-ES_tradnl"/>
        </w:rPr>
        <w:t xml:space="preserve">n: </w:t>
      </w:r>
      <w:r>
        <w:rPr>
          <w:spacing w:val="-7"/>
          <w:sz w:val="18"/>
          <w:szCs w:val="18"/>
          <w:lang w:val="es-ES_tradnl"/>
        </w:rPr>
        <w:t xml:space="preserve">Siento por tal, que la sentencia que antecede fue </w:t>
      </w:r>
      <w:r>
        <w:rPr>
          <w:spacing w:val="-3"/>
          <w:sz w:val="18"/>
          <w:szCs w:val="18"/>
          <w:lang w:val="es-ES_tradnl"/>
        </w:rPr>
        <w:t xml:space="preserve">aprobada por el Pleno de la Corte Constitucional, con </w:t>
      </w:r>
      <w:r>
        <w:rPr>
          <w:spacing w:val="-10"/>
          <w:sz w:val="18"/>
          <w:szCs w:val="18"/>
          <w:lang w:val="es-ES_tradnl"/>
        </w:rPr>
        <w:t>cinco votos de las se</w:t>
      </w:r>
      <w:r>
        <w:rPr>
          <w:rFonts w:cs="Times New Roman"/>
          <w:spacing w:val="-10"/>
          <w:sz w:val="18"/>
          <w:szCs w:val="18"/>
          <w:lang w:val="es-ES_tradnl"/>
        </w:rPr>
        <w:t>ñ</w:t>
      </w:r>
      <w:r>
        <w:rPr>
          <w:spacing w:val="-10"/>
          <w:sz w:val="18"/>
          <w:szCs w:val="18"/>
          <w:lang w:val="es-ES_tradnl"/>
        </w:rPr>
        <w:t>oras juezas y se</w:t>
      </w:r>
      <w:r>
        <w:rPr>
          <w:rFonts w:cs="Times New Roman"/>
          <w:spacing w:val="-10"/>
          <w:sz w:val="18"/>
          <w:szCs w:val="18"/>
          <w:lang w:val="es-ES_tradnl"/>
        </w:rPr>
        <w:t>ñ</w:t>
      </w:r>
      <w:r>
        <w:rPr>
          <w:spacing w:val="-10"/>
          <w:sz w:val="18"/>
          <w:szCs w:val="18"/>
          <w:lang w:val="es-ES_tradnl"/>
        </w:rPr>
        <w:t xml:space="preserve">ores jueces: Antonio </w:t>
      </w:r>
      <w:r>
        <w:rPr>
          <w:spacing w:val="-5"/>
          <w:sz w:val="18"/>
          <w:szCs w:val="18"/>
          <w:lang w:val="es-ES_tradnl"/>
        </w:rPr>
        <w:t>Gagliardo Loor, Tatiana Orde</w:t>
      </w:r>
      <w:r>
        <w:rPr>
          <w:rFonts w:cs="Times New Roman"/>
          <w:spacing w:val="-5"/>
          <w:sz w:val="18"/>
          <w:szCs w:val="18"/>
          <w:lang w:val="es-ES_tradnl"/>
        </w:rPr>
        <w:t>ñ</w:t>
      </w:r>
      <w:r>
        <w:rPr>
          <w:spacing w:val="-5"/>
          <w:sz w:val="18"/>
          <w:szCs w:val="18"/>
          <w:lang w:val="es-ES_tradnl"/>
        </w:rPr>
        <w:t>ana Sierra, Alfredo Ruiz Guzm</w:t>
      </w:r>
      <w:r>
        <w:rPr>
          <w:rFonts w:cs="Times New Roman"/>
          <w:spacing w:val="-5"/>
          <w:sz w:val="18"/>
          <w:szCs w:val="18"/>
          <w:lang w:val="es-ES_tradnl"/>
        </w:rPr>
        <w:t>á</w:t>
      </w:r>
      <w:r>
        <w:rPr>
          <w:spacing w:val="-5"/>
          <w:sz w:val="18"/>
          <w:szCs w:val="18"/>
          <w:lang w:val="es-ES_tradnl"/>
        </w:rPr>
        <w:t>n, Manuel Viteri Olvera y Patricio Pazmi</w:t>
      </w:r>
      <w:r>
        <w:rPr>
          <w:rFonts w:cs="Times New Roman"/>
          <w:spacing w:val="-5"/>
          <w:sz w:val="18"/>
          <w:szCs w:val="18"/>
          <w:lang w:val="es-ES_tradnl"/>
        </w:rPr>
        <w:t>ñ</w:t>
      </w:r>
      <w:r>
        <w:rPr>
          <w:spacing w:val="-5"/>
          <w:sz w:val="18"/>
          <w:szCs w:val="18"/>
          <w:lang w:val="es-ES_tradnl"/>
        </w:rPr>
        <w:t xml:space="preserve">o Freire, </w:t>
      </w:r>
      <w:r>
        <w:rPr>
          <w:spacing w:val="-8"/>
          <w:sz w:val="18"/>
          <w:szCs w:val="18"/>
          <w:lang w:val="es-ES_tradnl"/>
        </w:rPr>
        <w:t xml:space="preserve">sin contar con la presencia de los jueces Marcelo Jaramillo </w:t>
      </w:r>
      <w:r>
        <w:rPr>
          <w:spacing w:val="-4"/>
          <w:sz w:val="18"/>
          <w:szCs w:val="18"/>
          <w:lang w:val="es-ES_tradnl"/>
        </w:rPr>
        <w:t>Villa, Mar</w:t>
      </w:r>
      <w:r>
        <w:rPr>
          <w:rFonts w:cs="Times New Roman"/>
          <w:spacing w:val="-4"/>
          <w:sz w:val="18"/>
          <w:szCs w:val="18"/>
          <w:lang w:val="es-ES_tradnl"/>
        </w:rPr>
        <w:t>í</w:t>
      </w:r>
      <w:r>
        <w:rPr>
          <w:spacing w:val="-4"/>
          <w:sz w:val="18"/>
          <w:szCs w:val="18"/>
          <w:lang w:val="es-ES_tradnl"/>
        </w:rPr>
        <w:t>a del Carmen Maldonado S</w:t>
      </w:r>
      <w:r>
        <w:rPr>
          <w:rFonts w:cs="Times New Roman"/>
          <w:spacing w:val="-4"/>
          <w:sz w:val="18"/>
          <w:szCs w:val="18"/>
          <w:lang w:val="es-ES_tradnl"/>
        </w:rPr>
        <w:t>á</w:t>
      </w:r>
      <w:r>
        <w:rPr>
          <w:spacing w:val="-4"/>
          <w:sz w:val="18"/>
          <w:szCs w:val="18"/>
          <w:lang w:val="es-ES_tradnl"/>
        </w:rPr>
        <w:t xml:space="preserve">nchez, Wendy </w:t>
      </w:r>
      <w:r>
        <w:rPr>
          <w:spacing w:val="-6"/>
          <w:sz w:val="18"/>
          <w:szCs w:val="18"/>
          <w:lang w:val="es-ES_tradnl"/>
        </w:rPr>
        <w:t>Molina Andrade y Ruth Seni Pinoargote, en sesi</w:t>
      </w:r>
      <w:r>
        <w:rPr>
          <w:rFonts w:cs="Times New Roman"/>
          <w:spacing w:val="-6"/>
          <w:sz w:val="18"/>
          <w:szCs w:val="18"/>
          <w:lang w:val="es-ES_tradnl"/>
        </w:rPr>
        <w:t>ó</w:t>
      </w:r>
      <w:r>
        <w:rPr>
          <w:spacing w:val="-6"/>
          <w:sz w:val="18"/>
          <w:szCs w:val="18"/>
          <w:lang w:val="es-ES_tradnl"/>
        </w:rPr>
        <w:t xml:space="preserve">n del 19 </w:t>
      </w:r>
      <w:r>
        <w:rPr>
          <w:sz w:val="18"/>
          <w:szCs w:val="18"/>
          <w:lang w:val="es-ES_tradnl"/>
        </w:rPr>
        <w:t>de agosto del 2015. Lo certifico.</w:t>
      </w:r>
    </w:p>
    <w:p w14:paraId="4F67B53E" w14:textId="77777777" w:rsidR="00591D54" w:rsidRDefault="00591D54">
      <w:pPr>
        <w:shd w:val="clear" w:color="auto" w:fill="FFFFFF"/>
        <w:spacing w:before="187" w:line="216" w:lineRule="exact"/>
        <w:jc w:val="both"/>
      </w:pPr>
      <w:r>
        <w:rPr>
          <w:spacing w:val="-1"/>
          <w:sz w:val="18"/>
          <w:szCs w:val="18"/>
          <w:lang w:val="es-ES_tradnl"/>
        </w:rPr>
        <w:t>f.) Pa</w:t>
      </w:r>
      <w:r>
        <w:rPr>
          <w:rFonts w:cs="Times New Roman"/>
          <w:spacing w:val="-1"/>
          <w:sz w:val="18"/>
          <w:szCs w:val="18"/>
          <w:lang w:val="es-ES_tradnl"/>
        </w:rPr>
        <w:t>ú</w:t>
      </w:r>
      <w:r>
        <w:rPr>
          <w:spacing w:val="-1"/>
          <w:sz w:val="18"/>
          <w:szCs w:val="18"/>
          <w:lang w:val="es-ES_tradnl"/>
        </w:rPr>
        <w:t xml:space="preserve">l Emilio Prado Chiriboga, </w:t>
      </w:r>
      <w:r>
        <w:rPr>
          <w:b/>
          <w:bCs/>
          <w:spacing w:val="-1"/>
          <w:sz w:val="18"/>
          <w:szCs w:val="18"/>
          <w:lang w:val="es-ES_tradnl"/>
        </w:rPr>
        <w:t xml:space="preserve">SECRETARIO </w:t>
      </w:r>
      <w:r>
        <w:rPr>
          <w:b/>
          <w:bCs/>
          <w:sz w:val="18"/>
          <w:szCs w:val="18"/>
          <w:lang w:val="es-ES_tradnl"/>
        </w:rPr>
        <w:t>GENERAL (E).</w:t>
      </w:r>
    </w:p>
    <w:p w14:paraId="4F67B53F" w14:textId="77777777" w:rsidR="00591D54" w:rsidRDefault="00591D54">
      <w:pPr>
        <w:shd w:val="clear" w:color="auto" w:fill="FFFFFF"/>
        <w:spacing w:before="192"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540" w14:textId="77777777" w:rsidR="00591D54" w:rsidRDefault="00591D54">
      <w:pPr>
        <w:shd w:val="clear" w:color="auto" w:fill="FFFFFF"/>
        <w:spacing w:before="192"/>
      </w:pPr>
      <w:r>
        <w:rPr>
          <w:b/>
          <w:bCs/>
          <w:spacing w:val="-5"/>
          <w:sz w:val="18"/>
          <w:szCs w:val="18"/>
          <w:u w:val="single"/>
          <w:lang w:val="es-ES_tradnl"/>
        </w:rPr>
        <w:t>CASO Nro. 1656-10-EP</w:t>
      </w:r>
    </w:p>
    <w:p w14:paraId="4F67B541" w14:textId="77777777" w:rsidR="00591D54" w:rsidRDefault="00591D54">
      <w:pPr>
        <w:shd w:val="clear" w:color="auto" w:fill="FFFFFF"/>
        <w:spacing w:before="192" w:line="216" w:lineRule="exact"/>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w:t>
      </w:r>
      <w:r>
        <w:rPr>
          <w:spacing w:val="-7"/>
          <w:sz w:val="18"/>
          <w:szCs w:val="18"/>
          <w:lang w:val="es-ES_tradnl"/>
        </w:rPr>
        <w:t>suscrita por el Juez Patricio Pazmi</w:t>
      </w:r>
      <w:r>
        <w:rPr>
          <w:rFonts w:cs="Times New Roman"/>
          <w:spacing w:val="-7"/>
          <w:sz w:val="18"/>
          <w:szCs w:val="18"/>
          <w:lang w:val="es-ES_tradnl"/>
        </w:rPr>
        <w:t>ñ</w:t>
      </w:r>
      <w:r>
        <w:rPr>
          <w:spacing w:val="-7"/>
          <w:sz w:val="18"/>
          <w:szCs w:val="18"/>
          <w:lang w:val="es-ES_tradnl"/>
        </w:rPr>
        <w:t xml:space="preserve">o Freire, Presidente de </w:t>
      </w:r>
      <w:r>
        <w:rPr>
          <w:spacing w:val="-8"/>
          <w:sz w:val="18"/>
          <w:szCs w:val="18"/>
          <w:lang w:val="es-ES_tradnl"/>
        </w:rPr>
        <w:t>la Corte Constitucional, el d</w:t>
      </w:r>
      <w:r>
        <w:rPr>
          <w:rFonts w:cs="Times New Roman"/>
          <w:spacing w:val="-8"/>
          <w:sz w:val="18"/>
          <w:szCs w:val="18"/>
          <w:lang w:val="es-ES_tradnl"/>
        </w:rPr>
        <w:t>í</w:t>
      </w:r>
      <w:r>
        <w:rPr>
          <w:spacing w:val="-8"/>
          <w:sz w:val="18"/>
          <w:szCs w:val="18"/>
          <w:lang w:val="es-ES_tradnl"/>
        </w:rPr>
        <w:t xml:space="preserve">a viernes 04 de septiembre del </w:t>
      </w:r>
      <w:r>
        <w:rPr>
          <w:sz w:val="18"/>
          <w:szCs w:val="18"/>
          <w:lang w:val="es-ES_tradnl"/>
        </w:rPr>
        <w:t>dos mil quince.- Lo certifico.</w:t>
      </w:r>
    </w:p>
    <w:p w14:paraId="4F67B542" w14:textId="77777777" w:rsidR="00591D54" w:rsidRDefault="00591D54">
      <w:pPr>
        <w:shd w:val="clear" w:color="auto" w:fill="FFFFFF"/>
        <w:spacing w:before="192"/>
      </w:pPr>
      <w:r>
        <w:rPr>
          <w:spacing w:val="-7"/>
          <w:sz w:val="18"/>
          <w:szCs w:val="18"/>
          <w:lang w:val="es-ES_tradnl"/>
        </w:rPr>
        <w:t xml:space="preserve">f.) Jaime Pozo Chamorro, </w:t>
      </w:r>
      <w:r>
        <w:rPr>
          <w:b/>
          <w:bCs/>
          <w:spacing w:val="-7"/>
          <w:sz w:val="18"/>
          <w:szCs w:val="18"/>
          <w:lang w:val="es-ES_tradnl"/>
        </w:rPr>
        <w:t>Secretario General.</w:t>
      </w:r>
    </w:p>
    <w:p w14:paraId="4F67B543" w14:textId="77777777" w:rsidR="00591D54" w:rsidRDefault="00591D54">
      <w:pPr>
        <w:shd w:val="clear" w:color="auto" w:fill="FFFFFF"/>
        <w:spacing w:before="192"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544" w14:textId="77777777" w:rsidR="00591D54" w:rsidRDefault="00591D54">
      <w:pPr>
        <w:shd w:val="clear" w:color="auto" w:fill="FFFFFF"/>
        <w:spacing w:before="1253" w:line="437" w:lineRule="exact"/>
      </w:pPr>
      <w:r>
        <w:rPr>
          <w:spacing w:val="-6"/>
          <w:sz w:val="18"/>
          <w:szCs w:val="18"/>
          <w:lang w:val="es-ES_tradnl"/>
        </w:rPr>
        <w:t>Quito, D. M., 19 de agosto del 2015</w:t>
      </w:r>
    </w:p>
    <w:p w14:paraId="4F67B545" w14:textId="77777777" w:rsidR="00591D54" w:rsidRDefault="00591D54">
      <w:pPr>
        <w:shd w:val="clear" w:color="auto" w:fill="FFFFFF"/>
        <w:spacing w:line="437" w:lineRule="exact"/>
        <w:ind w:left="850"/>
      </w:pPr>
      <w:r>
        <w:rPr>
          <w:b/>
          <w:bCs/>
          <w:spacing w:val="-3"/>
          <w:sz w:val="18"/>
          <w:szCs w:val="18"/>
          <w:u w:val="single"/>
          <w:lang w:val="es-ES_tradnl"/>
        </w:rPr>
        <w:t>SENTENCIA N.</w:t>
      </w:r>
      <w:r>
        <w:rPr>
          <w:rFonts w:cs="Times New Roman"/>
          <w:b/>
          <w:bCs/>
          <w:spacing w:val="-3"/>
          <w:sz w:val="18"/>
          <w:szCs w:val="18"/>
          <w:u w:val="single"/>
          <w:lang w:val="es-ES_tradnl"/>
        </w:rPr>
        <w:t>º</w:t>
      </w:r>
      <w:r>
        <w:rPr>
          <w:b/>
          <w:bCs/>
          <w:spacing w:val="-3"/>
          <w:sz w:val="18"/>
          <w:szCs w:val="18"/>
          <w:u w:val="single"/>
          <w:lang w:val="es-ES_tradnl"/>
        </w:rPr>
        <w:t xml:space="preserve"> 269-15-SEP-CC</w:t>
      </w:r>
    </w:p>
    <w:p w14:paraId="4F67B546" w14:textId="77777777" w:rsidR="00591D54" w:rsidRDefault="00591D54">
      <w:pPr>
        <w:shd w:val="clear" w:color="auto" w:fill="FFFFFF"/>
        <w:spacing w:line="437" w:lineRule="exact"/>
        <w:ind w:left="1301"/>
      </w:pPr>
      <w:r>
        <w:rPr>
          <w:b/>
          <w:bCs/>
          <w:spacing w:val="-6"/>
          <w:sz w:val="18"/>
          <w:szCs w:val="18"/>
          <w:u w:val="single"/>
          <w:lang w:val="es-ES_tradnl"/>
        </w:rPr>
        <w:t>CASO N.</w:t>
      </w:r>
      <w:r>
        <w:rPr>
          <w:rFonts w:cs="Times New Roman"/>
          <w:b/>
          <w:bCs/>
          <w:spacing w:val="-6"/>
          <w:sz w:val="18"/>
          <w:szCs w:val="18"/>
          <w:u w:val="single"/>
          <w:lang w:val="es-ES_tradnl"/>
        </w:rPr>
        <w:t>º</w:t>
      </w:r>
      <w:r>
        <w:rPr>
          <w:b/>
          <w:bCs/>
          <w:spacing w:val="-6"/>
          <w:sz w:val="18"/>
          <w:szCs w:val="18"/>
          <w:u w:val="single"/>
          <w:lang w:val="es-ES_tradnl"/>
        </w:rPr>
        <w:t xml:space="preserve"> 0368-11-EP</w:t>
      </w:r>
    </w:p>
    <w:p w14:paraId="4F67B547" w14:textId="77777777" w:rsidR="00591D54" w:rsidRDefault="00591D54">
      <w:pPr>
        <w:shd w:val="clear" w:color="auto" w:fill="FFFFFF"/>
        <w:spacing w:line="437" w:lineRule="exact"/>
        <w:ind w:left="298"/>
      </w:pPr>
      <w:r>
        <w:rPr>
          <w:b/>
          <w:bCs/>
          <w:sz w:val="18"/>
          <w:szCs w:val="18"/>
          <w:lang w:val="es-ES_tradnl"/>
        </w:rPr>
        <w:t>CORTE CONSTITUCIONAL DEL ECUADOR</w:t>
      </w:r>
    </w:p>
    <w:p w14:paraId="4F67B548" w14:textId="77777777" w:rsidR="00591D54" w:rsidRDefault="00591D54">
      <w:pPr>
        <w:shd w:val="clear" w:color="auto" w:fill="FFFFFF"/>
        <w:spacing w:line="437" w:lineRule="exact"/>
        <w:ind w:left="1339"/>
      </w:pPr>
      <w:r>
        <w:rPr>
          <w:b/>
          <w:bCs/>
          <w:sz w:val="18"/>
          <w:szCs w:val="18"/>
          <w:lang w:val="es-ES_tradnl"/>
        </w:rPr>
        <w:t>I. ANTECEDENTES</w:t>
      </w:r>
    </w:p>
    <w:p w14:paraId="4F67B549" w14:textId="77777777" w:rsidR="00591D54" w:rsidRDefault="00591D54">
      <w:pPr>
        <w:shd w:val="clear" w:color="auto" w:fill="FFFFFF"/>
        <w:spacing w:line="437" w:lineRule="exact"/>
      </w:pPr>
      <w:r>
        <w:rPr>
          <w:b/>
          <w:bCs/>
          <w:spacing w:val="-9"/>
          <w:sz w:val="18"/>
          <w:szCs w:val="18"/>
          <w:lang w:val="es-ES_tradnl"/>
        </w:rPr>
        <w:t>Resumen de admisibilidad</w:t>
      </w:r>
    </w:p>
    <w:p w14:paraId="4F67B54A" w14:textId="77777777" w:rsidR="00591D54" w:rsidRDefault="00591D54">
      <w:pPr>
        <w:shd w:val="clear" w:color="auto" w:fill="FFFFFF"/>
        <w:spacing w:before="168" w:line="221" w:lineRule="exact"/>
        <w:jc w:val="both"/>
      </w:pPr>
      <w:r>
        <w:rPr>
          <w:spacing w:val="-12"/>
          <w:sz w:val="18"/>
          <w:szCs w:val="18"/>
          <w:lang w:val="es-ES_tradnl"/>
        </w:rPr>
        <w:t xml:space="preserve">Comparece ante los jueces de la Segunda Sala Especializada </w:t>
      </w:r>
      <w:r>
        <w:rPr>
          <w:spacing w:val="-4"/>
          <w:sz w:val="18"/>
          <w:szCs w:val="18"/>
          <w:lang w:val="es-ES_tradnl"/>
        </w:rPr>
        <w:t>de lo Penal y Tr</w:t>
      </w:r>
      <w:r>
        <w:rPr>
          <w:rFonts w:cs="Times New Roman"/>
          <w:spacing w:val="-4"/>
          <w:sz w:val="18"/>
          <w:szCs w:val="18"/>
          <w:lang w:val="es-ES_tradnl"/>
        </w:rPr>
        <w:t>á</w:t>
      </w:r>
      <w:r>
        <w:rPr>
          <w:spacing w:val="-4"/>
          <w:sz w:val="18"/>
          <w:szCs w:val="18"/>
          <w:lang w:val="es-ES_tradnl"/>
        </w:rPr>
        <w:t xml:space="preserve">nsito de la Corte Provincial de Justicia </w:t>
      </w:r>
      <w:r>
        <w:rPr>
          <w:spacing w:val="-6"/>
          <w:sz w:val="18"/>
          <w:szCs w:val="18"/>
          <w:lang w:val="es-ES_tradnl"/>
        </w:rPr>
        <w:t>del Azuay, el licenciado Fausto Gil S</w:t>
      </w:r>
      <w:r>
        <w:rPr>
          <w:rFonts w:cs="Times New Roman"/>
          <w:spacing w:val="-6"/>
          <w:sz w:val="18"/>
          <w:szCs w:val="18"/>
          <w:lang w:val="es-ES_tradnl"/>
        </w:rPr>
        <w:t>á</w:t>
      </w:r>
      <w:r>
        <w:rPr>
          <w:spacing w:val="-6"/>
          <w:sz w:val="18"/>
          <w:szCs w:val="18"/>
          <w:lang w:val="es-ES_tradnl"/>
        </w:rPr>
        <w:t xml:space="preserve">enz Zavala, en su </w:t>
      </w:r>
      <w:r>
        <w:rPr>
          <w:spacing w:val="-4"/>
          <w:sz w:val="18"/>
          <w:szCs w:val="18"/>
          <w:lang w:val="es-ES_tradnl"/>
        </w:rPr>
        <w:t>calidad de director provincial de educaci</w:t>
      </w:r>
      <w:r>
        <w:rPr>
          <w:rFonts w:cs="Times New Roman"/>
          <w:spacing w:val="-4"/>
          <w:sz w:val="18"/>
          <w:szCs w:val="18"/>
          <w:lang w:val="es-ES_tradnl"/>
        </w:rPr>
        <w:t>ó</w:t>
      </w:r>
      <w:r>
        <w:rPr>
          <w:spacing w:val="-4"/>
          <w:sz w:val="18"/>
          <w:szCs w:val="18"/>
          <w:lang w:val="es-ES_tradnl"/>
        </w:rPr>
        <w:t xml:space="preserve">n del Azuay, y </w:t>
      </w:r>
      <w:r>
        <w:rPr>
          <w:spacing w:val="-9"/>
          <w:sz w:val="18"/>
          <w:szCs w:val="18"/>
          <w:lang w:val="es-ES_tradnl"/>
        </w:rPr>
        <w:t>por los derechos que representa, amparado en lo dispuesto en los art</w:t>
      </w:r>
      <w:r>
        <w:rPr>
          <w:rFonts w:cs="Times New Roman"/>
          <w:spacing w:val="-9"/>
          <w:sz w:val="18"/>
          <w:szCs w:val="18"/>
          <w:lang w:val="es-ES_tradnl"/>
        </w:rPr>
        <w:t>í</w:t>
      </w:r>
      <w:r>
        <w:rPr>
          <w:spacing w:val="-9"/>
          <w:sz w:val="18"/>
          <w:szCs w:val="18"/>
          <w:lang w:val="es-ES_tradnl"/>
        </w:rPr>
        <w:t>culos 94 y 437 de la Constituci</w:t>
      </w:r>
      <w:r>
        <w:rPr>
          <w:rFonts w:cs="Times New Roman"/>
          <w:spacing w:val="-9"/>
          <w:sz w:val="18"/>
          <w:szCs w:val="18"/>
          <w:lang w:val="es-ES_tradnl"/>
        </w:rPr>
        <w:t>ó</w:t>
      </w:r>
      <w:r>
        <w:rPr>
          <w:spacing w:val="-9"/>
          <w:sz w:val="18"/>
          <w:szCs w:val="18"/>
          <w:lang w:val="es-ES_tradnl"/>
        </w:rPr>
        <w:t>n de la Rep</w:t>
      </w:r>
      <w:r>
        <w:rPr>
          <w:rFonts w:cs="Times New Roman"/>
          <w:spacing w:val="-9"/>
          <w:sz w:val="18"/>
          <w:szCs w:val="18"/>
          <w:lang w:val="es-ES_tradnl"/>
        </w:rPr>
        <w:t>ú</w:t>
      </w:r>
      <w:r>
        <w:rPr>
          <w:spacing w:val="-9"/>
          <w:sz w:val="18"/>
          <w:szCs w:val="18"/>
          <w:lang w:val="es-ES_tradnl"/>
        </w:rPr>
        <w:t>blica,</w:t>
      </w:r>
    </w:p>
    <w:p w14:paraId="4F67B54B" w14:textId="77777777" w:rsidR="00591D54" w:rsidRDefault="00591D54">
      <w:pPr>
        <w:shd w:val="clear" w:color="auto" w:fill="FFFFFF"/>
        <w:spacing w:before="168" w:line="221" w:lineRule="exact"/>
        <w:jc w:val="both"/>
        <w:sectPr w:rsidR="00591D54">
          <w:type w:val="continuous"/>
          <w:pgSz w:w="11909" w:h="16834"/>
          <w:pgMar w:top="1356" w:right="1309" w:bottom="360" w:left="1308" w:header="720" w:footer="720" w:gutter="0"/>
          <w:cols w:num="2" w:space="720" w:equalWidth="0">
            <w:col w:w="4305" w:space="682"/>
            <w:col w:w="4305"/>
          </w:cols>
          <w:noEndnote/>
        </w:sectPr>
      </w:pPr>
    </w:p>
    <w:p w14:paraId="4F67B54C" w14:textId="77777777" w:rsidR="00591D54" w:rsidRDefault="00591D54">
      <w:pPr>
        <w:shd w:val="clear" w:color="auto" w:fill="FFFFFF"/>
        <w:tabs>
          <w:tab w:val="left" w:pos="4814"/>
        </w:tabs>
        <w:spacing w:after="235"/>
        <w:ind w:left="5"/>
      </w:pPr>
      <w:r>
        <w:rPr>
          <w:b/>
          <w:bCs/>
          <w:sz w:val="18"/>
          <w:szCs w:val="18"/>
          <w:lang w:val="es-ES_tradnl"/>
        </w:rPr>
        <w:t xml:space="preserve">218 -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54D" w14:textId="77777777" w:rsidR="00591D54" w:rsidRDefault="00591D54">
      <w:pPr>
        <w:shd w:val="clear" w:color="auto" w:fill="FFFFFF"/>
        <w:tabs>
          <w:tab w:val="left" w:pos="4814"/>
        </w:tabs>
        <w:spacing w:after="235"/>
        <w:ind w:left="5"/>
        <w:sectPr w:rsidR="00591D54">
          <w:pgSz w:w="11909" w:h="16834"/>
          <w:pgMar w:top="1373" w:right="1309" w:bottom="360" w:left="1308" w:header="720" w:footer="720" w:gutter="0"/>
          <w:cols w:space="60"/>
          <w:noEndnote/>
        </w:sectPr>
      </w:pPr>
    </w:p>
    <w:p w14:paraId="4F67B54E" w14:textId="77777777" w:rsidR="00591D54" w:rsidRDefault="00591D54">
      <w:pPr>
        <w:shd w:val="clear" w:color="auto" w:fill="FFFFFF"/>
        <w:spacing w:line="216" w:lineRule="exact"/>
        <w:jc w:val="both"/>
      </w:pPr>
      <w:r>
        <w:rPr>
          <w:spacing w:val="-7"/>
          <w:sz w:val="18"/>
          <w:szCs w:val="18"/>
          <w:lang w:val="es-ES_tradnl"/>
        </w:rPr>
        <w:t>presenta acci</w:t>
      </w:r>
      <w:r>
        <w:rPr>
          <w:rFonts w:cs="Times New Roman"/>
          <w:spacing w:val="-7"/>
          <w:sz w:val="18"/>
          <w:szCs w:val="18"/>
          <w:lang w:val="es-ES_tradnl"/>
        </w:rPr>
        <w:t>ó</w:t>
      </w:r>
      <w:r>
        <w:rPr>
          <w:spacing w:val="-7"/>
          <w:sz w:val="18"/>
          <w:szCs w:val="18"/>
          <w:lang w:val="es-ES_tradnl"/>
        </w:rPr>
        <w:t>n extraordinaria de protecci</w:t>
      </w:r>
      <w:r>
        <w:rPr>
          <w:rFonts w:cs="Times New Roman"/>
          <w:spacing w:val="-7"/>
          <w:sz w:val="18"/>
          <w:szCs w:val="18"/>
          <w:lang w:val="es-ES_tradnl"/>
        </w:rPr>
        <w:t>ó</w:t>
      </w:r>
      <w:r>
        <w:rPr>
          <w:spacing w:val="-7"/>
          <w:sz w:val="18"/>
          <w:szCs w:val="18"/>
          <w:lang w:val="es-ES_tradnl"/>
        </w:rPr>
        <w:t xml:space="preserve">n ante la Corte </w:t>
      </w:r>
      <w:r>
        <w:rPr>
          <w:spacing w:val="-6"/>
          <w:sz w:val="18"/>
          <w:szCs w:val="18"/>
          <w:lang w:val="es-ES_tradnl"/>
        </w:rPr>
        <w:t>Constitucional, para el per</w:t>
      </w:r>
      <w:r>
        <w:rPr>
          <w:rFonts w:cs="Times New Roman"/>
          <w:spacing w:val="-6"/>
          <w:sz w:val="18"/>
          <w:szCs w:val="18"/>
          <w:lang w:val="es-ES_tradnl"/>
        </w:rPr>
        <w:t>í</w:t>
      </w:r>
      <w:r>
        <w:rPr>
          <w:spacing w:val="-6"/>
          <w:sz w:val="18"/>
          <w:szCs w:val="18"/>
          <w:lang w:val="es-ES_tradnl"/>
        </w:rPr>
        <w:t>odo de transici</w:t>
      </w:r>
      <w:r>
        <w:rPr>
          <w:rFonts w:cs="Times New Roman"/>
          <w:spacing w:val="-6"/>
          <w:sz w:val="18"/>
          <w:szCs w:val="18"/>
          <w:lang w:val="es-ES_tradnl"/>
        </w:rPr>
        <w:t>ó</w:t>
      </w:r>
      <w:r>
        <w:rPr>
          <w:spacing w:val="-6"/>
          <w:sz w:val="18"/>
          <w:szCs w:val="18"/>
          <w:lang w:val="es-ES_tradnl"/>
        </w:rPr>
        <w:t xml:space="preserve">n, en contra de </w:t>
      </w:r>
      <w:r>
        <w:rPr>
          <w:spacing w:val="-9"/>
          <w:sz w:val="18"/>
          <w:szCs w:val="18"/>
          <w:lang w:val="es-ES_tradnl"/>
        </w:rPr>
        <w:t>la sentencia expedida por dicha Sala el 5 de enero de 2011, y mediante la cual acept</w:t>
      </w:r>
      <w:r>
        <w:rPr>
          <w:rFonts w:cs="Times New Roman"/>
          <w:spacing w:val="-9"/>
          <w:sz w:val="18"/>
          <w:szCs w:val="18"/>
          <w:lang w:val="es-ES_tradnl"/>
        </w:rPr>
        <w:t>ó</w:t>
      </w:r>
      <w:r>
        <w:rPr>
          <w:spacing w:val="-9"/>
          <w:sz w:val="18"/>
          <w:szCs w:val="18"/>
          <w:lang w:val="es-ES_tradnl"/>
        </w:rPr>
        <w:t xml:space="preserve"> el recurso de apelaci</w:t>
      </w:r>
      <w:r>
        <w:rPr>
          <w:rFonts w:cs="Times New Roman"/>
          <w:spacing w:val="-9"/>
          <w:sz w:val="18"/>
          <w:szCs w:val="18"/>
          <w:lang w:val="es-ES_tradnl"/>
        </w:rPr>
        <w:t>ó</w:t>
      </w:r>
      <w:r>
        <w:rPr>
          <w:spacing w:val="-9"/>
          <w:sz w:val="18"/>
          <w:szCs w:val="18"/>
          <w:lang w:val="es-ES_tradnl"/>
        </w:rPr>
        <w:t xml:space="preserve">n formulado </w:t>
      </w:r>
      <w:r>
        <w:rPr>
          <w:spacing w:val="-7"/>
          <w:sz w:val="18"/>
          <w:szCs w:val="18"/>
          <w:lang w:val="es-ES_tradnl"/>
        </w:rPr>
        <w:t>en contra de la sentencia expedida en primera instancia dentro de la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n N.</w:t>
      </w:r>
      <w:r>
        <w:rPr>
          <w:rFonts w:cs="Times New Roman"/>
          <w:spacing w:val="-7"/>
          <w:sz w:val="18"/>
          <w:szCs w:val="18"/>
          <w:lang w:val="es-ES_tradnl"/>
        </w:rPr>
        <w:t>°</w:t>
      </w:r>
      <w:r>
        <w:rPr>
          <w:spacing w:val="-7"/>
          <w:sz w:val="18"/>
          <w:szCs w:val="18"/>
          <w:lang w:val="es-ES_tradnl"/>
        </w:rPr>
        <w:t xml:space="preserve"> 0337-10.</w:t>
      </w:r>
    </w:p>
    <w:p w14:paraId="4F67B54F" w14:textId="77777777" w:rsidR="00591D54" w:rsidRDefault="00591D54">
      <w:pPr>
        <w:shd w:val="clear" w:color="auto" w:fill="FFFFFF"/>
        <w:spacing w:before="197" w:line="216" w:lineRule="exact"/>
        <w:jc w:val="both"/>
      </w:pPr>
      <w:r>
        <w:rPr>
          <w:spacing w:val="-9"/>
          <w:sz w:val="18"/>
          <w:szCs w:val="18"/>
          <w:lang w:val="es-ES_tradnl"/>
        </w:rPr>
        <w:t xml:space="preserve">De conformidad con lo establecido en el segundo inciso del </w:t>
      </w:r>
      <w:r>
        <w:rPr>
          <w:spacing w:val="-7"/>
          <w:sz w:val="18"/>
          <w:szCs w:val="18"/>
          <w:lang w:val="es-ES_tradnl"/>
        </w:rPr>
        <w:t>art</w:t>
      </w:r>
      <w:r>
        <w:rPr>
          <w:rFonts w:cs="Times New Roman"/>
          <w:spacing w:val="-7"/>
          <w:sz w:val="18"/>
          <w:szCs w:val="18"/>
          <w:lang w:val="es-ES_tradnl"/>
        </w:rPr>
        <w:t>í</w:t>
      </w:r>
      <w:r>
        <w:rPr>
          <w:spacing w:val="-7"/>
          <w:sz w:val="18"/>
          <w:szCs w:val="18"/>
          <w:lang w:val="es-ES_tradnl"/>
        </w:rPr>
        <w:t>culo 17 del Reglamento de Sustanciaci</w:t>
      </w:r>
      <w:r>
        <w:rPr>
          <w:rFonts w:cs="Times New Roman"/>
          <w:spacing w:val="-7"/>
          <w:sz w:val="18"/>
          <w:szCs w:val="18"/>
          <w:lang w:val="es-ES_tradnl"/>
        </w:rPr>
        <w:t>ó</w:t>
      </w:r>
      <w:r>
        <w:rPr>
          <w:spacing w:val="-7"/>
          <w:sz w:val="18"/>
          <w:szCs w:val="18"/>
          <w:lang w:val="es-ES_tradnl"/>
        </w:rPr>
        <w:t>n de Procesos de Competencia de la Corte Constitucional, la Secretar</w:t>
      </w:r>
      <w:r>
        <w:rPr>
          <w:rFonts w:cs="Times New Roman"/>
          <w:spacing w:val="-7"/>
          <w:sz w:val="18"/>
          <w:szCs w:val="18"/>
          <w:lang w:val="es-ES_tradnl"/>
        </w:rPr>
        <w:t>í</w:t>
      </w:r>
      <w:r>
        <w:rPr>
          <w:spacing w:val="-7"/>
          <w:sz w:val="18"/>
          <w:szCs w:val="18"/>
          <w:lang w:val="es-ES_tradnl"/>
        </w:rPr>
        <w:t xml:space="preserve">a </w:t>
      </w:r>
      <w:r>
        <w:rPr>
          <w:spacing w:val="-6"/>
          <w:sz w:val="18"/>
          <w:szCs w:val="18"/>
          <w:lang w:val="es-ES_tradnl"/>
        </w:rPr>
        <w:t>General de la Corte Constitucional, para el per</w:t>
      </w:r>
      <w:r>
        <w:rPr>
          <w:rFonts w:cs="Times New Roman"/>
          <w:spacing w:val="-6"/>
          <w:sz w:val="18"/>
          <w:szCs w:val="18"/>
          <w:lang w:val="es-ES_tradnl"/>
        </w:rPr>
        <w:t>í</w:t>
      </w:r>
      <w:r>
        <w:rPr>
          <w:spacing w:val="-6"/>
          <w:sz w:val="18"/>
          <w:szCs w:val="18"/>
          <w:lang w:val="es-ES_tradnl"/>
        </w:rPr>
        <w:t xml:space="preserve">odo de </w:t>
      </w:r>
      <w:r>
        <w:rPr>
          <w:spacing w:val="-7"/>
          <w:sz w:val="18"/>
          <w:szCs w:val="18"/>
          <w:lang w:val="es-ES_tradnl"/>
        </w:rPr>
        <w:t>transici</w:t>
      </w:r>
      <w:r>
        <w:rPr>
          <w:rFonts w:cs="Times New Roman"/>
          <w:spacing w:val="-7"/>
          <w:sz w:val="18"/>
          <w:szCs w:val="18"/>
          <w:lang w:val="es-ES_tradnl"/>
        </w:rPr>
        <w:t>ó</w:t>
      </w:r>
      <w:r>
        <w:rPr>
          <w:spacing w:val="-7"/>
          <w:sz w:val="18"/>
          <w:szCs w:val="18"/>
          <w:lang w:val="es-ES_tradnl"/>
        </w:rPr>
        <w:t>n, certific</w:t>
      </w:r>
      <w:r>
        <w:rPr>
          <w:rFonts w:cs="Times New Roman"/>
          <w:spacing w:val="-7"/>
          <w:sz w:val="18"/>
          <w:szCs w:val="18"/>
          <w:lang w:val="es-ES_tradnl"/>
        </w:rPr>
        <w:t>ó</w:t>
      </w:r>
      <w:r>
        <w:rPr>
          <w:spacing w:val="-7"/>
          <w:sz w:val="18"/>
          <w:szCs w:val="18"/>
          <w:lang w:val="es-ES_tradnl"/>
        </w:rPr>
        <w:t xml:space="preserve"> que en referencia a la acci</w:t>
      </w:r>
      <w:r>
        <w:rPr>
          <w:rFonts w:cs="Times New Roman"/>
          <w:spacing w:val="-7"/>
          <w:sz w:val="18"/>
          <w:szCs w:val="18"/>
          <w:lang w:val="es-ES_tradnl"/>
        </w:rPr>
        <w:t>ó</w:t>
      </w:r>
      <w:r>
        <w:rPr>
          <w:spacing w:val="-7"/>
          <w:sz w:val="18"/>
          <w:szCs w:val="18"/>
          <w:lang w:val="es-ES_tradnl"/>
        </w:rPr>
        <w:t>n N.</w:t>
      </w:r>
      <w:r>
        <w:rPr>
          <w:rFonts w:cs="Times New Roman"/>
          <w:spacing w:val="-7"/>
          <w:sz w:val="18"/>
          <w:szCs w:val="18"/>
          <w:lang w:val="es-ES_tradnl"/>
        </w:rPr>
        <w:t>º</w:t>
      </w:r>
      <w:r>
        <w:rPr>
          <w:spacing w:val="-7"/>
          <w:sz w:val="18"/>
          <w:szCs w:val="18"/>
          <w:lang w:val="es-ES_tradnl"/>
        </w:rPr>
        <w:t xml:space="preserve"> 0368-</w:t>
      </w:r>
      <w:r>
        <w:rPr>
          <w:spacing w:val="-9"/>
          <w:sz w:val="18"/>
          <w:szCs w:val="18"/>
          <w:lang w:val="es-ES_tradnl"/>
        </w:rPr>
        <w:t xml:space="preserve">11-EP, no se ha presentado otra demanda con identidad de </w:t>
      </w:r>
      <w:r>
        <w:rPr>
          <w:sz w:val="18"/>
          <w:szCs w:val="18"/>
          <w:lang w:val="es-ES_tradnl"/>
        </w:rPr>
        <w:t>objeto y acci</w:t>
      </w:r>
      <w:r>
        <w:rPr>
          <w:rFonts w:cs="Times New Roman"/>
          <w:sz w:val="18"/>
          <w:szCs w:val="18"/>
          <w:lang w:val="es-ES_tradnl"/>
        </w:rPr>
        <w:t>ó</w:t>
      </w:r>
      <w:r>
        <w:rPr>
          <w:sz w:val="18"/>
          <w:szCs w:val="18"/>
          <w:lang w:val="es-ES_tradnl"/>
        </w:rPr>
        <w:t>n.</w:t>
      </w:r>
    </w:p>
    <w:p w14:paraId="4F67B550" w14:textId="77777777" w:rsidR="00591D54" w:rsidRDefault="00591D54">
      <w:pPr>
        <w:shd w:val="clear" w:color="auto" w:fill="FFFFFF"/>
        <w:spacing w:before="197" w:line="216" w:lineRule="exact"/>
        <w:ind w:right="5"/>
        <w:jc w:val="both"/>
      </w:pPr>
      <w:r>
        <w:rPr>
          <w:spacing w:val="-6"/>
          <w:sz w:val="18"/>
          <w:szCs w:val="18"/>
          <w:lang w:val="es-ES_tradnl"/>
        </w:rPr>
        <w:t>El 31 de agosto de 2011, la Sala de Admisi</w:t>
      </w:r>
      <w:r>
        <w:rPr>
          <w:rFonts w:cs="Times New Roman"/>
          <w:spacing w:val="-6"/>
          <w:sz w:val="18"/>
          <w:szCs w:val="18"/>
          <w:lang w:val="es-ES_tradnl"/>
        </w:rPr>
        <w:t>ó</w:t>
      </w:r>
      <w:r>
        <w:rPr>
          <w:spacing w:val="-6"/>
          <w:sz w:val="18"/>
          <w:szCs w:val="18"/>
          <w:lang w:val="es-ES_tradnl"/>
        </w:rPr>
        <w:t>n de la Corte Constitucional, para el per</w:t>
      </w:r>
      <w:r>
        <w:rPr>
          <w:rFonts w:cs="Times New Roman"/>
          <w:spacing w:val="-6"/>
          <w:sz w:val="18"/>
          <w:szCs w:val="18"/>
          <w:lang w:val="es-ES_tradnl"/>
        </w:rPr>
        <w:t>í</w:t>
      </w:r>
      <w:r>
        <w:rPr>
          <w:spacing w:val="-6"/>
          <w:sz w:val="18"/>
          <w:szCs w:val="18"/>
          <w:lang w:val="es-ES_tradnl"/>
        </w:rPr>
        <w:t>odo de transici</w:t>
      </w:r>
      <w:r>
        <w:rPr>
          <w:rFonts w:cs="Times New Roman"/>
          <w:spacing w:val="-6"/>
          <w:sz w:val="18"/>
          <w:szCs w:val="18"/>
          <w:lang w:val="es-ES_tradnl"/>
        </w:rPr>
        <w:t>ó</w:t>
      </w:r>
      <w:r>
        <w:rPr>
          <w:spacing w:val="-6"/>
          <w:sz w:val="18"/>
          <w:szCs w:val="18"/>
          <w:lang w:val="es-ES_tradnl"/>
        </w:rPr>
        <w:t xml:space="preserve">n, conformada </w:t>
      </w:r>
      <w:r>
        <w:rPr>
          <w:spacing w:val="-9"/>
          <w:sz w:val="18"/>
          <w:szCs w:val="18"/>
          <w:lang w:val="es-ES_tradnl"/>
        </w:rPr>
        <w:t xml:space="preserve">por los jueces constitucionales Ruth Seni Pinoargote, </w:t>
      </w:r>
      <w:r>
        <w:rPr>
          <w:rFonts w:cs="Times New Roman"/>
          <w:spacing w:val="-9"/>
          <w:sz w:val="18"/>
          <w:szCs w:val="18"/>
          <w:lang w:val="es-ES_tradnl"/>
        </w:rPr>
        <w:t>É</w:t>
      </w:r>
      <w:r>
        <w:rPr>
          <w:spacing w:val="-9"/>
          <w:sz w:val="18"/>
          <w:szCs w:val="18"/>
          <w:lang w:val="es-ES_tradnl"/>
        </w:rPr>
        <w:t xml:space="preserve">dgar </w:t>
      </w:r>
      <w:r>
        <w:rPr>
          <w:spacing w:val="-5"/>
          <w:sz w:val="18"/>
          <w:szCs w:val="18"/>
          <w:lang w:val="es-ES_tradnl"/>
        </w:rPr>
        <w:t>Z</w:t>
      </w:r>
      <w:r>
        <w:rPr>
          <w:rFonts w:cs="Times New Roman"/>
          <w:spacing w:val="-5"/>
          <w:sz w:val="18"/>
          <w:szCs w:val="18"/>
          <w:lang w:val="es-ES_tradnl"/>
        </w:rPr>
        <w:t>á</w:t>
      </w:r>
      <w:r>
        <w:rPr>
          <w:spacing w:val="-5"/>
          <w:sz w:val="18"/>
          <w:szCs w:val="18"/>
          <w:lang w:val="es-ES_tradnl"/>
        </w:rPr>
        <w:t>rate Z</w:t>
      </w:r>
      <w:r>
        <w:rPr>
          <w:rFonts w:cs="Times New Roman"/>
          <w:spacing w:val="-5"/>
          <w:sz w:val="18"/>
          <w:szCs w:val="18"/>
          <w:lang w:val="es-ES_tradnl"/>
        </w:rPr>
        <w:t>á</w:t>
      </w:r>
      <w:r>
        <w:rPr>
          <w:spacing w:val="-5"/>
          <w:sz w:val="18"/>
          <w:szCs w:val="18"/>
          <w:lang w:val="es-ES_tradnl"/>
        </w:rPr>
        <w:t>rate y Hernando Morales Vinueza, admiti</w:t>
      </w:r>
      <w:r>
        <w:rPr>
          <w:rFonts w:cs="Times New Roman"/>
          <w:spacing w:val="-5"/>
          <w:sz w:val="18"/>
          <w:szCs w:val="18"/>
          <w:lang w:val="es-ES_tradnl"/>
        </w:rPr>
        <w:t>ó</w:t>
      </w:r>
      <w:r>
        <w:rPr>
          <w:spacing w:val="-5"/>
          <w:sz w:val="18"/>
          <w:szCs w:val="18"/>
          <w:lang w:val="es-ES_tradnl"/>
        </w:rPr>
        <w:t xml:space="preserve"> a </w:t>
      </w:r>
      <w:r>
        <w:rPr>
          <w:spacing w:val="-8"/>
          <w:sz w:val="18"/>
          <w:szCs w:val="18"/>
          <w:lang w:val="es-ES_tradnl"/>
        </w:rPr>
        <w:t>tr</w:t>
      </w:r>
      <w:r>
        <w:rPr>
          <w:rFonts w:cs="Times New Roman"/>
          <w:spacing w:val="-8"/>
          <w:sz w:val="18"/>
          <w:szCs w:val="18"/>
          <w:lang w:val="es-ES_tradnl"/>
        </w:rPr>
        <w:t>á</w:t>
      </w:r>
      <w:r>
        <w:rPr>
          <w:spacing w:val="-8"/>
          <w:sz w:val="18"/>
          <w:szCs w:val="18"/>
          <w:lang w:val="es-ES_tradnl"/>
        </w:rPr>
        <w:t>mite la acci</w:t>
      </w:r>
      <w:r>
        <w:rPr>
          <w:rFonts w:cs="Times New Roman"/>
          <w:spacing w:val="-8"/>
          <w:sz w:val="18"/>
          <w:szCs w:val="18"/>
          <w:lang w:val="es-ES_tradnl"/>
        </w:rPr>
        <w:t>ó</w:t>
      </w:r>
      <w:r>
        <w:rPr>
          <w:spacing w:val="-8"/>
          <w:sz w:val="18"/>
          <w:szCs w:val="18"/>
          <w:lang w:val="es-ES_tradnl"/>
        </w:rPr>
        <w:t>n N.</w:t>
      </w:r>
      <w:r>
        <w:rPr>
          <w:rFonts w:cs="Times New Roman"/>
          <w:spacing w:val="-8"/>
          <w:sz w:val="18"/>
          <w:szCs w:val="18"/>
          <w:lang w:val="es-ES_tradnl"/>
        </w:rPr>
        <w:t>º</w:t>
      </w:r>
      <w:r>
        <w:rPr>
          <w:spacing w:val="-8"/>
          <w:sz w:val="18"/>
          <w:szCs w:val="18"/>
          <w:lang w:val="es-ES_tradnl"/>
        </w:rPr>
        <w:t xml:space="preserve"> 0368-11-EP y dispuso que se proceda </w:t>
      </w:r>
      <w:r>
        <w:rPr>
          <w:spacing w:val="-7"/>
          <w:sz w:val="18"/>
          <w:szCs w:val="18"/>
          <w:lang w:val="es-ES_tradnl"/>
        </w:rPr>
        <w:t>con el sorteo correspondiente para la sustanciaci</w:t>
      </w:r>
      <w:r>
        <w:rPr>
          <w:rFonts w:cs="Times New Roman"/>
          <w:spacing w:val="-7"/>
          <w:sz w:val="18"/>
          <w:szCs w:val="18"/>
          <w:lang w:val="es-ES_tradnl"/>
        </w:rPr>
        <w:t>ó</w:t>
      </w:r>
      <w:r>
        <w:rPr>
          <w:spacing w:val="-7"/>
          <w:sz w:val="18"/>
          <w:szCs w:val="18"/>
          <w:lang w:val="es-ES_tradnl"/>
        </w:rPr>
        <w:t xml:space="preserve">n de la </w:t>
      </w:r>
      <w:r>
        <w:rPr>
          <w:sz w:val="18"/>
          <w:szCs w:val="18"/>
          <w:lang w:val="es-ES_tradnl"/>
        </w:rPr>
        <w:t>misma.</w:t>
      </w:r>
    </w:p>
    <w:p w14:paraId="4F67B551" w14:textId="77777777" w:rsidR="00591D54" w:rsidRDefault="00591D54">
      <w:pPr>
        <w:shd w:val="clear" w:color="auto" w:fill="FFFFFF"/>
        <w:spacing w:before="192" w:line="216" w:lineRule="exact"/>
        <w:ind w:right="5"/>
        <w:jc w:val="both"/>
      </w:pPr>
      <w:r>
        <w:rPr>
          <w:spacing w:val="-9"/>
          <w:sz w:val="18"/>
          <w:szCs w:val="18"/>
          <w:lang w:val="es-ES_tradnl"/>
        </w:rPr>
        <w:t>Mediante memorando N.</w:t>
      </w:r>
      <w:r>
        <w:rPr>
          <w:rFonts w:cs="Times New Roman"/>
          <w:spacing w:val="-9"/>
          <w:sz w:val="18"/>
          <w:szCs w:val="18"/>
          <w:lang w:val="es-ES_tradnl"/>
        </w:rPr>
        <w:t>º</w:t>
      </w:r>
      <w:r>
        <w:rPr>
          <w:spacing w:val="-9"/>
          <w:sz w:val="18"/>
          <w:szCs w:val="18"/>
          <w:lang w:val="es-ES_tradnl"/>
        </w:rPr>
        <w:t xml:space="preserve"> 627-CC-SG del 17 de octubre de </w:t>
      </w:r>
      <w:r>
        <w:rPr>
          <w:spacing w:val="-6"/>
          <w:sz w:val="18"/>
          <w:szCs w:val="18"/>
          <w:lang w:val="es-ES_tradnl"/>
        </w:rPr>
        <w:t>2011 y de conformidad con el sorteo realizado en sesi</w:t>
      </w:r>
      <w:r>
        <w:rPr>
          <w:rFonts w:cs="Times New Roman"/>
          <w:spacing w:val="-6"/>
          <w:sz w:val="18"/>
          <w:szCs w:val="18"/>
          <w:lang w:val="es-ES_tradnl"/>
        </w:rPr>
        <w:t>ó</w:t>
      </w:r>
      <w:r>
        <w:rPr>
          <w:spacing w:val="-6"/>
          <w:sz w:val="18"/>
          <w:szCs w:val="18"/>
          <w:lang w:val="es-ES_tradnl"/>
        </w:rPr>
        <w:t xml:space="preserve">n del Pleno del Organismo del 12 de octubre de 2011, el secretario general encargado de la Corte Constitucional, </w:t>
      </w:r>
      <w:r>
        <w:rPr>
          <w:spacing w:val="-4"/>
          <w:sz w:val="18"/>
          <w:szCs w:val="18"/>
          <w:lang w:val="es-ES_tradnl"/>
        </w:rPr>
        <w:t>para el per</w:t>
      </w:r>
      <w:r>
        <w:rPr>
          <w:rFonts w:cs="Times New Roman"/>
          <w:spacing w:val="-4"/>
          <w:sz w:val="18"/>
          <w:szCs w:val="18"/>
          <w:lang w:val="es-ES_tradnl"/>
        </w:rPr>
        <w:t>í</w:t>
      </w:r>
      <w:r>
        <w:rPr>
          <w:spacing w:val="-4"/>
          <w:sz w:val="18"/>
          <w:szCs w:val="18"/>
          <w:lang w:val="es-ES_tradnl"/>
        </w:rPr>
        <w:t>odo de transici</w:t>
      </w:r>
      <w:r>
        <w:rPr>
          <w:rFonts w:cs="Times New Roman"/>
          <w:spacing w:val="-4"/>
          <w:sz w:val="18"/>
          <w:szCs w:val="18"/>
          <w:lang w:val="es-ES_tradnl"/>
        </w:rPr>
        <w:t>ó</w:t>
      </w:r>
      <w:r>
        <w:rPr>
          <w:spacing w:val="-4"/>
          <w:sz w:val="18"/>
          <w:szCs w:val="18"/>
          <w:lang w:val="es-ES_tradnl"/>
        </w:rPr>
        <w:t>n, remiti</w:t>
      </w:r>
      <w:r>
        <w:rPr>
          <w:rFonts w:cs="Times New Roman"/>
          <w:spacing w:val="-4"/>
          <w:sz w:val="18"/>
          <w:szCs w:val="18"/>
          <w:lang w:val="es-ES_tradnl"/>
        </w:rPr>
        <w:t>ó</w:t>
      </w:r>
      <w:r>
        <w:rPr>
          <w:spacing w:val="-4"/>
          <w:sz w:val="18"/>
          <w:szCs w:val="18"/>
          <w:lang w:val="es-ES_tradnl"/>
        </w:rPr>
        <w:t xml:space="preserve"> al ex juez Patricio </w:t>
      </w:r>
      <w:r>
        <w:rPr>
          <w:spacing w:val="-8"/>
          <w:sz w:val="18"/>
          <w:szCs w:val="18"/>
          <w:lang w:val="es-ES_tradnl"/>
        </w:rPr>
        <w:t>Herrera Betancourt la causa N.</w:t>
      </w:r>
      <w:r>
        <w:rPr>
          <w:rFonts w:cs="Times New Roman"/>
          <w:spacing w:val="-8"/>
          <w:sz w:val="18"/>
          <w:szCs w:val="18"/>
          <w:lang w:val="es-ES_tradnl"/>
        </w:rPr>
        <w:t>º</w:t>
      </w:r>
      <w:r>
        <w:rPr>
          <w:spacing w:val="-8"/>
          <w:sz w:val="18"/>
          <w:szCs w:val="18"/>
          <w:lang w:val="es-ES_tradnl"/>
        </w:rPr>
        <w:t xml:space="preserve"> 0368-11-EP.</w:t>
      </w:r>
    </w:p>
    <w:p w14:paraId="4F67B552" w14:textId="77777777" w:rsidR="00591D54" w:rsidRDefault="00591D54">
      <w:pPr>
        <w:shd w:val="clear" w:color="auto" w:fill="FFFFFF"/>
        <w:spacing w:before="192" w:line="216" w:lineRule="exact"/>
        <w:ind w:right="5"/>
        <w:jc w:val="both"/>
      </w:pPr>
      <w:r>
        <w:rPr>
          <w:spacing w:val="-7"/>
          <w:sz w:val="18"/>
          <w:szCs w:val="18"/>
          <w:lang w:val="es-ES_tradnl"/>
        </w:rPr>
        <w:t xml:space="preserve">El 6 de noviembre de 2012 se posesionaron ante el Pleno de la Asamblea Nacional los jueces de la primera Corte </w:t>
      </w:r>
      <w:r>
        <w:rPr>
          <w:spacing w:val="-6"/>
          <w:sz w:val="18"/>
          <w:szCs w:val="18"/>
          <w:lang w:val="es-ES_tradnl"/>
        </w:rPr>
        <w:t>Constitucional, integrada conforme lo dispuesto en los art</w:t>
      </w:r>
      <w:r>
        <w:rPr>
          <w:rFonts w:cs="Times New Roman"/>
          <w:spacing w:val="-6"/>
          <w:sz w:val="18"/>
          <w:szCs w:val="18"/>
          <w:lang w:val="es-ES_tradnl"/>
        </w:rPr>
        <w:t>í</w:t>
      </w:r>
      <w:r>
        <w:rPr>
          <w:spacing w:val="-6"/>
          <w:sz w:val="18"/>
          <w:szCs w:val="18"/>
          <w:lang w:val="es-ES_tradnl"/>
        </w:rPr>
        <w:t>culos 432 y 434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del </w:t>
      </w:r>
      <w:r>
        <w:rPr>
          <w:sz w:val="18"/>
          <w:szCs w:val="18"/>
          <w:lang w:val="es-ES_tradnl"/>
        </w:rPr>
        <w:t>Ecuador.</w:t>
      </w:r>
    </w:p>
    <w:p w14:paraId="4F67B553" w14:textId="77777777" w:rsidR="00591D54" w:rsidRDefault="00591D54">
      <w:pPr>
        <w:shd w:val="clear" w:color="auto" w:fill="FFFFFF"/>
        <w:spacing w:before="192" w:line="216" w:lineRule="exact"/>
        <w:ind w:right="5"/>
        <w:jc w:val="both"/>
      </w:pPr>
      <w:r>
        <w:rPr>
          <w:spacing w:val="-10"/>
          <w:sz w:val="18"/>
          <w:szCs w:val="18"/>
          <w:lang w:val="es-ES_tradnl"/>
        </w:rPr>
        <w:t>Mediante memorando N.</w:t>
      </w:r>
      <w:r>
        <w:rPr>
          <w:rFonts w:cs="Times New Roman"/>
          <w:spacing w:val="-10"/>
          <w:sz w:val="18"/>
          <w:szCs w:val="18"/>
          <w:lang w:val="es-ES_tradnl"/>
        </w:rPr>
        <w:t>º</w:t>
      </w:r>
      <w:r>
        <w:rPr>
          <w:spacing w:val="-10"/>
          <w:sz w:val="18"/>
          <w:szCs w:val="18"/>
          <w:lang w:val="es-ES_tradnl"/>
        </w:rPr>
        <w:t xml:space="preserve"> 022-CCE-SG-SUS-2013 del 8 de </w:t>
      </w:r>
      <w:r>
        <w:rPr>
          <w:spacing w:val="-12"/>
          <w:sz w:val="18"/>
          <w:szCs w:val="18"/>
          <w:lang w:val="es-ES_tradnl"/>
        </w:rPr>
        <w:t xml:space="preserve">enero de 2013, el secretario general de la Corte Constitucional </w:t>
      </w:r>
      <w:r>
        <w:rPr>
          <w:spacing w:val="-7"/>
          <w:sz w:val="18"/>
          <w:szCs w:val="18"/>
          <w:lang w:val="es-ES_tradnl"/>
        </w:rPr>
        <w:t>remiti</w:t>
      </w:r>
      <w:r>
        <w:rPr>
          <w:rFonts w:cs="Times New Roman"/>
          <w:spacing w:val="-7"/>
          <w:sz w:val="18"/>
          <w:szCs w:val="18"/>
          <w:lang w:val="es-ES_tradnl"/>
        </w:rPr>
        <w:t>ó</w:t>
      </w:r>
      <w:r>
        <w:rPr>
          <w:spacing w:val="-7"/>
          <w:sz w:val="18"/>
          <w:szCs w:val="18"/>
          <w:lang w:val="es-ES_tradnl"/>
        </w:rPr>
        <w:t xml:space="preserve"> la causa N.</w:t>
      </w:r>
      <w:r>
        <w:rPr>
          <w:rFonts w:cs="Times New Roman"/>
          <w:spacing w:val="-7"/>
          <w:sz w:val="18"/>
          <w:szCs w:val="18"/>
          <w:lang w:val="es-ES_tradnl"/>
        </w:rPr>
        <w:t>º</w:t>
      </w:r>
      <w:r>
        <w:rPr>
          <w:spacing w:val="-7"/>
          <w:sz w:val="18"/>
          <w:szCs w:val="18"/>
          <w:lang w:val="es-ES_tradnl"/>
        </w:rPr>
        <w:t xml:space="preserve"> 0368-11-EP al despacho del juez constitucional, Alfredo Ruiz Guzm</w:t>
      </w:r>
      <w:r>
        <w:rPr>
          <w:rFonts w:cs="Times New Roman"/>
          <w:spacing w:val="-7"/>
          <w:sz w:val="18"/>
          <w:szCs w:val="18"/>
          <w:lang w:val="es-ES_tradnl"/>
        </w:rPr>
        <w:t>á</w:t>
      </w:r>
      <w:r>
        <w:rPr>
          <w:spacing w:val="-7"/>
          <w:sz w:val="18"/>
          <w:szCs w:val="18"/>
          <w:lang w:val="es-ES_tradnl"/>
        </w:rPr>
        <w:t>n, quien mediante auto del 15 de mayo de 2015 a las 08h01, avoc</w:t>
      </w:r>
      <w:r>
        <w:rPr>
          <w:rFonts w:cs="Times New Roman"/>
          <w:spacing w:val="-7"/>
          <w:sz w:val="18"/>
          <w:szCs w:val="18"/>
          <w:lang w:val="es-ES_tradnl"/>
        </w:rPr>
        <w:t>ó</w:t>
      </w:r>
      <w:r>
        <w:rPr>
          <w:spacing w:val="-7"/>
          <w:sz w:val="18"/>
          <w:szCs w:val="18"/>
          <w:lang w:val="es-ES_tradnl"/>
        </w:rPr>
        <w:t xml:space="preserve"> conocimiento </w:t>
      </w:r>
      <w:r>
        <w:rPr>
          <w:spacing w:val="-6"/>
          <w:sz w:val="18"/>
          <w:szCs w:val="18"/>
          <w:lang w:val="es-ES_tradnl"/>
        </w:rPr>
        <w:t>de la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formulada por el </w:t>
      </w:r>
      <w:r>
        <w:rPr>
          <w:spacing w:val="-8"/>
          <w:sz w:val="18"/>
          <w:szCs w:val="18"/>
          <w:lang w:val="es-ES_tradnl"/>
        </w:rPr>
        <w:t>se</w:t>
      </w:r>
      <w:r>
        <w:rPr>
          <w:rFonts w:cs="Times New Roman"/>
          <w:spacing w:val="-8"/>
          <w:sz w:val="18"/>
          <w:szCs w:val="18"/>
          <w:lang w:val="es-ES_tradnl"/>
        </w:rPr>
        <w:t>ñ</w:t>
      </w:r>
      <w:r>
        <w:rPr>
          <w:spacing w:val="-8"/>
          <w:sz w:val="18"/>
          <w:szCs w:val="18"/>
          <w:lang w:val="es-ES_tradnl"/>
        </w:rPr>
        <w:t>or Fausto Gil S</w:t>
      </w:r>
      <w:r>
        <w:rPr>
          <w:rFonts w:cs="Times New Roman"/>
          <w:spacing w:val="-8"/>
          <w:sz w:val="18"/>
          <w:szCs w:val="18"/>
          <w:lang w:val="es-ES_tradnl"/>
        </w:rPr>
        <w:t>á</w:t>
      </w:r>
      <w:r>
        <w:rPr>
          <w:spacing w:val="-8"/>
          <w:sz w:val="18"/>
          <w:szCs w:val="18"/>
          <w:lang w:val="es-ES_tradnl"/>
        </w:rPr>
        <w:t xml:space="preserve">enz Zavala, en contra de la sentencia </w:t>
      </w:r>
      <w:r>
        <w:rPr>
          <w:spacing w:val="-7"/>
          <w:sz w:val="18"/>
          <w:szCs w:val="18"/>
          <w:lang w:val="es-ES_tradnl"/>
        </w:rPr>
        <w:t xml:space="preserve">dictada el 05 de enero del 2011, por la Segunda Sala </w:t>
      </w:r>
      <w:r>
        <w:rPr>
          <w:spacing w:val="-8"/>
          <w:sz w:val="18"/>
          <w:szCs w:val="18"/>
          <w:lang w:val="es-ES_tradnl"/>
        </w:rPr>
        <w:t xml:space="preserve">Especializada de lo Penal de la Corte Provincial de Justicia </w:t>
      </w:r>
      <w:r>
        <w:rPr>
          <w:spacing w:val="-9"/>
          <w:sz w:val="18"/>
          <w:szCs w:val="18"/>
          <w:lang w:val="es-ES_tradnl"/>
        </w:rPr>
        <w:t>del Azuay, dentro de la acci</w:t>
      </w:r>
      <w:r>
        <w:rPr>
          <w:rFonts w:cs="Times New Roman"/>
          <w:spacing w:val="-9"/>
          <w:sz w:val="18"/>
          <w:szCs w:val="18"/>
          <w:lang w:val="es-ES_tradnl"/>
        </w:rPr>
        <w:t>ó</w:t>
      </w:r>
      <w:r>
        <w:rPr>
          <w:spacing w:val="-9"/>
          <w:sz w:val="18"/>
          <w:szCs w:val="18"/>
          <w:lang w:val="es-ES_tradnl"/>
        </w:rPr>
        <w:t>n de protecci</w:t>
      </w:r>
      <w:r>
        <w:rPr>
          <w:rFonts w:cs="Times New Roman"/>
          <w:spacing w:val="-9"/>
          <w:sz w:val="18"/>
          <w:szCs w:val="18"/>
          <w:lang w:val="es-ES_tradnl"/>
        </w:rPr>
        <w:t>ó</w:t>
      </w:r>
      <w:r>
        <w:rPr>
          <w:spacing w:val="-9"/>
          <w:sz w:val="18"/>
          <w:szCs w:val="18"/>
          <w:lang w:val="es-ES_tradnl"/>
        </w:rPr>
        <w:t>n N.</w:t>
      </w:r>
      <w:r>
        <w:rPr>
          <w:rFonts w:cs="Times New Roman"/>
          <w:spacing w:val="-9"/>
          <w:sz w:val="18"/>
          <w:szCs w:val="18"/>
          <w:lang w:val="es-ES_tradnl"/>
        </w:rPr>
        <w:t>º</w:t>
      </w:r>
      <w:r>
        <w:rPr>
          <w:spacing w:val="-9"/>
          <w:sz w:val="18"/>
          <w:szCs w:val="18"/>
          <w:lang w:val="es-ES_tradnl"/>
        </w:rPr>
        <w:t xml:space="preserve"> 0337-2010. </w:t>
      </w:r>
      <w:r>
        <w:rPr>
          <w:spacing w:val="-7"/>
          <w:sz w:val="18"/>
          <w:szCs w:val="18"/>
          <w:lang w:val="es-ES_tradnl"/>
        </w:rPr>
        <w:t xml:space="preserve">En lo principal, el juez constitucional sustanciador dispuso </w:t>
      </w:r>
      <w:r>
        <w:rPr>
          <w:spacing w:val="-8"/>
          <w:sz w:val="18"/>
          <w:szCs w:val="18"/>
          <w:lang w:val="es-ES_tradnl"/>
        </w:rPr>
        <w:t xml:space="preserve">que se notifique con el contenido de dicho auto y demanda </w:t>
      </w:r>
      <w:r>
        <w:rPr>
          <w:spacing w:val="-6"/>
          <w:sz w:val="18"/>
          <w:szCs w:val="18"/>
          <w:lang w:val="es-ES_tradnl"/>
        </w:rPr>
        <w:t>a los jueces provinciales integrantes de la referida Sala, a fin de que en el t</w:t>
      </w:r>
      <w:r>
        <w:rPr>
          <w:rFonts w:cs="Times New Roman"/>
          <w:spacing w:val="-6"/>
          <w:sz w:val="18"/>
          <w:szCs w:val="18"/>
          <w:lang w:val="es-ES_tradnl"/>
        </w:rPr>
        <w:t>é</w:t>
      </w:r>
      <w:r>
        <w:rPr>
          <w:spacing w:val="-6"/>
          <w:sz w:val="18"/>
          <w:szCs w:val="18"/>
          <w:lang w:val="es-ES_tradnl"/>
        </w:rPr>
        <w:t>rmino de cinco d</w:t>
      </w:r>
      <w:r>
        <w:rPr>
          <w:rFonts w:cs="Times New Roman"/>
          <w:spacing w:val="-6"/>
          <w:sz w:val="18"/>
          <w:szCs w:val="18"/>
          <w:lang w:val="es-ES_tradnl"/>
        </w:rPr>
        <w:t>í</w:t>
      </w:r>
      <w:r>
        <w:rPr>
          <w:spacing w:val="-6"/>
          <w:sz w:val="18"/>
          <w:szCs w:val="18"/>
          <w:lang w:val="es-ES_tradnl"/>
        </w:rPr>
        <w:t xml:space="preserve">as remitan un informe </w:t>
      </w:r>
      <w:r>
        <w:rPr>
          <w:spacing w:val="-7"/>
          <w:sz w:val="18"/>
          <w:szCs w:val="18"/>
          <w:lang w:val="es-ES_tradnl"/>
        </w:rPr>
        <w:t>motivado respecto de la demanda; as</w:t>
      </w:r>
      <w:r>
        <w:rPr>
          <w:rFonts w:cs="Times New Roman"/>
          <w:spacing w:val="-7"/>
          <w:sz w:val="18"/>
          <w:szCs w:val="18"/>
          <w:lang w:val="es-ES_tradnl"/>
        </w:rPr>
        <w:t>í</w:t>
      </w:r>
      <w:r>
        <w:rPr>
          <w:spacing w:val="-7"/>
          <w:sz w:val="18"/>
          <w:szCs w:val="18"/>
          <w:lang w:val="es-ES_tradnl"/>
        </w:rPr>
        <w:t xml:space="preserve"> como tambi</w:t>
      </w:r>
      <w:r>
        <w:rPr>
          <w:rFonts w:cs="Times New Roman"/>
          <w:spacing w:val="-7"/>
          <w:sz w:val="18"/>
          <w:szCs w:val="18"/>
          <w:lang w:val="es-ES_tradnl"/>
        </w:rPr>
        <w:t>é</w:t>
      </w:r>
      <w:r>
        <w:rPr>
          <w:spacing w:val="-7"/>
          <w:sz w:val="18"/>
          <w:szCs w:val="18"/>
          <w:lang w:val="es-ES_tradnl"/>
        </w:rPr>
        <w:t>n que se notifique al accionante, a los terceros con inter</w:t>
      </w:r>
      <w:r>
        <w:rPr>
          <w:rFonts w:cs="Times New Roman"/>
          <w:spacing w:val="-7"/>
          <w:sz w:val="18"/>
          <w:szCs w:val="18"/>
          <w:lang w:val="es-ES_tradnl"/>
        </w:rPr>
        <w:t>é</w:t>
      </w:r>
      <w:r>
        <w:rPr>
          <w:spacing w:val="-7"/>
          <w:sz w:val="18"/>
          <w:szCs w:val="18"/>
          <w:lang w:val="es-ES_tradnl"/>
        </w:rPr>
        <w:t xml:space="preserve">s en el </w:t>
      </w:r>
      <w:r>
        <w:rPr>
          <w:spacing w:val="-8"/>
          <w:sz w:val="18"/>
          <w:szCs w:val="18"/>
          <w:lang w:val="es-ES_tradnl"/>
        </w:rPr>
        <w:t>proceso y que se cuente con la Procuradur</w:t>
      </w:r>
      <w:r>
        <w:rPr>
          <w:rFonts w:cs="Times New Roman"/>
          <w:spacing w:val="-8"/>
          <w:sz w:val="18"/>
          <w:szCs w:val="18"/>
          <w:lang w:val="es-ES_tradnl"/>
        </w:rPr>
        <w:t>í</w:t>
      </w:r>
      <w:r>
        <w:rPr>
          <w:spacing w:val="-8"/>
          <w:sz w:val="18"/>
          <w:szCs w:val="18"/>
          <w:lang w:val="es-ES_tradnl"/>
        </w:rPr>
        <w:t xml:space="preserve">a General del </w:t>
      </w:r>
      <w:r>
        <w:rPr>
          <w:sz w:val="18"/>
          <w:szCs w:val="18"/>
          <w:lang w:val="es-ES_tradnl"/>
        </w:rPr>
        <w:t>Estado.</w:t>
      </w:r>
    </w:p>
    <w:p w14:paraId="4F67B554" w14:textId="77777777" w:rsidR="00591D54" w:rsidRDefault="00591D54">
      <w:pPr>
        <w:shd w:val="clear" w:color="auto" w:fill="FFFFFF"/>
        <w:spacing w:before="187"/>
      </w:pPr>
      <w:r>
        <w:rPr>
          <w:b/>
          <w:bCs/>
          <w:spacing w:val="-11"/>
          <w:sz w:val="18"/>
          <w:szCs w:val="18"/>
          <w:lang w:val="es-ES_tradnl"/>
        </w:rPr>
        <w:t>De la demanda y sus argumentos</w:t>
      </w:r>
    </w:p>
    <w:p w14:paraId="4F67B555" w14:textId="77777777" w:rsidR="00591D54" w:rsidRDefault="00591D54">
      <w:pPr>
        <w:shd w:val="clear" w:color="auto" w:fill="FFFFFF"/>
        <w:spacing w:before="197" w:line="216" w:lineRule="exact"/>
        <w:jc w:val="both"/>
      </w:pPr>
      <w:r>
        <w:rPr>
          <w:spacing w:val="-5"/>
          <w:sz w:val="18"/>
          <w:szCs w:val="18"/>
          <w:lang w:val="es-ES_tradnl"/>
        </w:rPr>
        <w:t>El se</w:t>
      </w:r>
      <w:r>
        <w:rPr>
          <w:rFonts w:cs="Times New Roman"/>
          <w:spacing w:val="-5"/>
          <w:sz w:val="18"/>
          <w:szCs w:val="18"/>
          <w:lang w:val="es-ES_tradnl"/>
        </w:rPr>
        <w:t>ñ</w:t>
      </w:r>
      <w:r>
        <w:rPr>
          <w:spacing w:val="-5"/>
          <w:sz w:val="18"/>
          <w:szCs w:val="18"/>
          <w:lang w:val="es-ES_tradnl"/>
        </w:rPr>
        <w:t>or Fausto Gil S</w:t>
      </w:r>
      <w:r>
        <w:rPr>
          <w:rFonts w:cs="Times New Roman"/>
          <w:spacing w:val="-5"/>
          <w:sz w:val="18"/>
          <w:szCs w:val="18"/>
          <w:lang w:val="es-ES_tradnl"/>
        </w:rPr>
        <w:t>á</w:t>
      </w:r>
      <w:r>
        <w:rPr>
          <w:spacing w:val="-5"/>
          <w:sz w:val="18"/>
          <w:szCs w:val="18"/>
          <w:lang w:val="es-ES_tradnl"/>
        </w:rPr>
        <w:t>enz Zavala inicia su exposici</w:t>
      </w:r>
      <w:r>
        <w:rPr>
          <w:rFonts w:cs="Times New Roman"/>
          <w:spacing w:val="-5"/>
          <w:sz w:val="18"/>
          <w:szCs w:val="18"/>
          <w:lang w:val="es-ES_tradnl"/>
        </w:rPr>
        <w:t>ó</w:t>
      </w:r>
      <w:r>
        <w:rPr>
          <w:spacing w:val="-5"/>
          <w:sz w:val="18"/>
          <w:szCs w:val="18"/>
          <w:lang w:val="es-ES_tradnl"/>
        </w:rPr>
        <w:t xml:space="preserve">n </w:t>
      </w:r>
      <w:r>
        <w:rPr>
          <w:spacing w:val="-2"/>
          <w:sz w:val="18"/>
          <w:szCs w:val="18"/>
          <w:lang w:val="es-ES_tradnl"/>
        </w:rPr>
        <w:t>se</w:t>
      </w:r>
      <w:r>
        <w:rPr>
          <w:rFonts w:cs="Times New Roman"/>
          <w:spacing w:val="-2"/>
          <w:sz w:val="18"/>
          <w:szCs w:val="18"/>
          <w:lang w:val="es-ES_tradnl"/>
        </w:rPr>
        <w:t>ñ</w:t>
      </w:r>
      <w:r>
        <w:rPr>
          <w:spacing w:val="-2"/>
          <w:sz w:val="18"/>
          <w:szCs w:val="18"/>
          <w:lang w:val="es-ES_tradnl"/>
        </w:rPr>
        <w:t xml:space="preserve">alando que los jueces provinciales han trasgredido </w:t>
      </w:r>
      <w:r>
        <w:rPr>
          <w:spacing w:val="-4"/>
          <w:sz w:val="18"/>
          <w:szCs w:val="18"/>
          <w:lang w:val="es-ES_tradnl"/>
        </w:rPr>
        <w:t>la seguridad jur</w:t>
      </w:r>
      <w:r>
        <w:rPr>
          <w:rFonts w:cs="Times New Roman"/>
          <w:spacing w:val="-4"/>
          <w:sz w:val="18"/>
          <w:szCs w:val="18"/>
          <w:lang w:val="es-ES_tradnl"/>
        </w:rPr>
        <w:t>í</w:t>
      </w:r>
      <w:r>
        <w:rPr>
          <w:spacing w:val="-4"/>
          <w:sz w:val="18"/>
          <w:szCs w:val="18"/>
          <w:lang w:val="es-ES_tradnl"/>
        </w:rPr>
        <w:t xml:space="preserve">dica, por cuanto mediante el fallo objeto </w:t>
      </w:r>
      <w:r>
        <w:rPr>
          <w:spacing w:val="-5"/>
          <w:sz w:val="18"/>
          <w:szCs w:val="18"/>
          <w:lang w:val="es-ES_tradnl"/>
        </w:rPr>
        <w:t>de impugnaci</w:t>
      </w:r>
      <w:r>
        <w:rPr>
          <w:rFonts w:cs="Times New Roman"/>
          <w:spacing w:val="-5"/>
          <w:sz w:val="18"/>
          <w:szCs w:val="18"/>
          <w:lang w:val="es-ES_tradnl"/>
        </w:rPr>
        <w:t>ó</w:t>
      </w:r>
      <w:r>
        <w:rPr>
          <w:spacing w:val="-5"/>
          <w:sz w:val="18"/>
          <w:szCs w:val="18"/>
          <w:lang w:val="es-ES_tradnl"/>
        </w:rPr>
        <w:t>n no se consider</w:t>
      </w:r>
      <w:r>
        <w:rPr>
          <w:rFonts w:cs="Times New Roman"/>
          <w:spacing w:val="-5"/>
          <w:sz w:val="18"/>
          <w:szCs w:val="18"/>
          <w:lang w:val="es-ES_tradnl"/>
        </w:rPr>
        <w:t>ó</w:t>
      </w:r>
      <w:r>
        <w:rPr>
          <w:spacing w:val="-5"/>
          <w:sz w:val="18"/>
          <w:szCs w:val="18"/>
          <w:lang w:val="es-ES_tradnl"/>
        </w:rPr>
        <w:t xml:space="preserve"> lo decidido por la Corte </w:t>
      </w:r>
      <w:r>
        <w:rPr>
          <w:spacing w:val="-6"/>
          <w:sz w:val="18"/>
          <w:szCs w:val="18"/>
          <w:lang w:val="es-ES_tradnl"/>
        </w:rPr>
        <w:t>Constitucional a trav</w:t>
      </w:r>
      <w:r>
        <w:rPr>
          <w:rFonts w:cs="Times New Roman"/>
          <w:spacing w:val="-6"/>
          <w:sz w:val="18"/>
          <w:szCs w:val="18"/>
          <w:lang w:val="es-ES_tradnl"/>
        </w:rPr>
        <w:t>é</w:t>
      </w:r>
      <w:r>
        <w:rPr>
          <w:spacing w:val="-6"/>
          <w:sz w:val="18"/>
          <w:szCs w:val="18"/>
          <w:lang w:val="es-ES_tradnl"/>
        </w:rPr>
        <w:t>s de su sentencia N.</w:t>
      </w:r>
      <w:r>
        <w:rPr>
          <w:rFonts w:cs="Times New Roman"/>
          <w:spacing w:val="-6"/>
          <w:sz w:val="18"/>
          <w:szCs w:val="18"/>
          <w:lang w:val="es-ES_tradnl"/>
        </w:rPr>
        <w:t>º</w:t>
      </w:r>
      <w:r>
        <w:rPr>
          <w:spacing w:val="-6"/>
          <w:sz w:val="18"/>
          <w:szCs w:val="18"/>
          <w:lang w:val="es-ES_tradnl"/>
        </w:rPr>
        <w:t xml:space="preserve"> 001-10-SAN-</w:t>
      </w:r>
      <w:r>
        <w:rPr>
          <w:spacing w:val="-5"/>
          <w:sz w:val="18"/>
          <w:szCs w:val="18"/>
          <w:lang w:val="es-ES_tradnl"/>
        </w:rPr>
        <w:t>CC sobre el alcance del mandato constituyente N.</w:t>
      </w:r>
      <w:r>
        <w:rPr>
          <w:rFonts w:cs="Times New Roman"/>
          <w:spacing w:val="-5"/>
          <w:sz w:val="18"/>
          <w:szCs w:val="18"/>
          <w:lang w:val="es-ES_tradnl"/>
        </w:rPr>
        <w:t>º</w:t>
      </w:r>
      <w:r>
        <w:rPr>
          <w:spacing w:val="-5"/>
          <w:sz w:val="18"/>
          <w:szCs w:val="18"/>
          <w:lang w:val="es-ES_tradnl"/>
        </w:rPr>
        <w:t xml:space="preserve"> 2, en</w:t>
      </w:r>
    </w:p>
    <w:p w14:paraId="4F67B556" w14:textId="77777777" w:rsidR="00591D54" w:rsidRDefault="00591D54">
      <w:pPr>
        <w:shd w:val="clear" w:color="auto" w:fill="FFFFFF"/>
        <w:spacing w:line="221" w:lineRule="exact"/>
        <w:jc w:val="both"/>
      </w:pPr>
      <w:r>
        <w:br w:type="column"/>
      </w:r>
      <w:r>
        <w:rPr>
          <w:spacing w:val="-9"/>
          <w:sz w:val="18"/>
          <w:szCs w:val="18"/>
          <w:lang w:val="es-ES_tradnl"/>
        </w:rPr>
        <w:t xml:space="preserve">el sentido de que tal mandato se orientaba a establecer los </w:t>
      </w:r>
      <w:r>
        <w:rPr>
          <w:spacing w:val="-7"/>
          <w:sz w:val="18"/>
          <w:szCs w:val="18"/>
          <w:lang w:val="es-ES_tradnl"/>
        </w:rPr>
        <w:t>topes m</w:t>
      </w:r>
      <w:r>
        <w:rPr>
          <w:rFonts w:cs="Times New Roman"/>
          <w:spacing w:val="-7"/>
          <w:sz w:val="18"/>
          <w:szCs w:val="18"/>
          <w:lang w:val="es-ES_tradnl"/>
        </w:rPr>
        <w:t>á</w:t>
      </w:r>
      <w:r>
        <w:rPr>
          <w:spacing w:val="-7"/>
          <w:sz w:val="18"/>
          <w:szCs w:val="18"/>
          <w:lang w:val="es-ES_tradnl"/>
        </w:rPr>
        <w:t>ximos para las liquidaciones de jubilaci</w:t>
      </w:r>
      <w:r>
        <w:rPr>
          <w:rFonts w:cs="Times New Roman"/>
          <w:spacing w:val="-7"/>
          <w:sz w:val="18"/>
          <w:szCs w:val="18"/>
          <w:lang w:val="es-ES_tradnl"/>
        </w:rPr>
        <w:t>ó</w:t>
      </w:r>
      <w:r>
        <w:rPr>
          <w:spacing w:val="-7"/>
          <w:sz w:val="18"/>
          <w:szCs w:val="18"/>
          <w:lang w:val="es-ES_tradnl"/>
        </w:rPr>
        <w:t xml:space="preserve">n, sean </w:t>
      </w:r>
      <w:r>
        <w:rPr>
          <w:spacing w:val="-3"/>
          <w:sz w:val="18"/>
          <w:szCs w:val="18"/>
          <w:lang w:val="es-ES_tradnl"/>
        </w:rPr>
        <w:t>estas por supresi</w:t>
      </w:r>
      <w:r>
        <w:rPr>
          <w:rFonts w:cs="Times New Roman"/>
          <w:spacing w:val="-3"/>
          <w:sz w:val="18"/>
          <w:szCs w:val="18"/>
          <w:lang w:val="es-ES_tradnl"/>
        </w:rPr>
        <w:t>ó</w:t>
      </w:r>
      <w:r>
        <w:rPr>
          <w:spacing w:val="-3"/>
          <w:sz w:val="18"/>
          <w:szCs w:val="18"/>
          <w:lang w:val="es-ES_tradnl"/>
        </w:rPr>
        <w:t xml:space="preserve">n de partidas, renuncia voluntaria o </w:t>
      </w:r>
      <w:r>
        <w:rPr>
          <w:spacing w:val="-6"/>
          <w:sz w:val="18"/>
          <w:szCs w:val="18"/>
          <w:lang w:val="es-ES_tradnl"/>
        </w:rPr>
        <w:t>retiro voluntario de los funcionarios, servidores y personal docente del sector p</w:t>
      </w:r>
      <w:r>
        <w:rPr>
          <w:rFonts w:cs="Times New Roman"/>
          <w:spacing w:val="-6"/>
          <w:sz w:val="18"/>
          <w:szCs w:val="18"/>
          <w:lang w:val="es-ES_tradnl"/>
        </w:rPr>
        <w:t>ú</w:t>
      </w:r>
      <w:r>
        <w:rPr>
          <w:spacing w:val="-6"/>
          <w:sz w:val="18"/>
          <w:szCs w:val="18"/>
          <w:lang w:val="es-ES_tradnl"/>
        </w:rPr>
        <w:t xml:space="preserve">blico. Explica de este modo que con </w:t>
      </w:r>
      <w:r>
        <w:rPr>
          <w:spacing w:val="-7"/>
          <w:sz w:val="18"/>
          <w:szCs w:val="18"/>
          <w:lang w:val="es-ES_tradnl"/>
        </w:rPr>
        <w:t xml:space="preserve">la sentencia invocada, nacieron efectos </w:t>
      </w:r>
      <w:r>
        <w:rPr>
          <w:i/>
          <w:iCs/>
          <w:spacing w:val="-7"/>
          <w:sz w:val="18"/>
          <w:szCs w:val="18"/>
          <w:lang w:val="es-ES_tradnl"/>
        </w:rPr>
        <w:t>inter comunis</w:t>
      </w:r>
      <w:r>
        <w:rPr>
          <w:spacing w:val="-7"/>
          <w:sz w:val="18"/>
          <w:szCs w:val="18"/>
          <w:lang w:val="es-ES_tradnl"/>
        </w:rPr>
        <w:t xml:space="preserve">, es </w:t>
      </w:r>
      <w:r>
        <w:rPr>
          <w:spacing w:val="-8"/>
          <w:sz w:val="18"/>
          <w:szCs w:val="18"/>
          <w:lang w:val="es-ES_tradnl"/>
        </w:rPr>
        <w:t xml:space="preserve">decir </w:t>
      </w:r>
      <w:r>
        <w:rPr>
          <w:rFonts w:cs="Times New Roman"/>
          <w:spacing w:val="-8"/>
          <w:sz w:val="18"/>
          <w:szCs w:val="18"/>
          <w:lang w:val="es-ES_tradnl"/>
        </w:rPr>
        <w:t>“</w:t>
      </w:r>
      <w:r>
        <w:rPr>
          <w:spacing w:val="-8"/>
          <w:sz w:val="18"/>
          <w:szCs w:val="18"/>
          <w:lang w:val="es-ES_tradnl"/>
        </w:rPr>
        <w:t xml:space="preserve">efectos que alcanzan y benefician a terceros que no </w:t>
      </w:r>
      <w:r>
        <w:rPr>
          <w:spacing w:val="-9"/>
          <w:sz w:val="18"/>
          <w:szCs w:val="18"/>
          <w:lang w:val="es-ES_tradnl"/>
        </w:rPr>
        <w:t xml:space="preserve">habiendo sido parte en el proceso, comparte circunstancias </w:t>
      </w:r>
      <w:r>
        <w:rPr>
          <w:spacing w:val="-7"/>
          <w:sz w:val="18"/>
          <w:szCs w:val="18"/>
          <w:lang w:val="es-ES_tradnl"/>
        </w:rPr>
        <w:t>comunes con los peticionarios de la acci</w:t>
      </w:r>
      <w:r>
        <w:rPr>
          <w:rFonts w:cs="Times New Roman"/>
          <w:spacing w:val="-7"/>
          <w:sz w:val="18"/>
          <w:szCs w:val="18"/>
          <w:lang w:val="es-ES_tradnl"/>
        </w:rPr>
        <w:t>ó</w:t>
      </w:r>
      <w:r>
        <w:rPr>
          <w:spacing w:val="-7"/>
          <w:sz w:val="18"/>
          <w:szCs w:val="18"/>
          <w:lang w:val="es-ES_tradnl"/>
        </w:rPr>
        <w:t>n</w:t>
      </w:r>
      <w:r>
        <w:rPr>
          <w:rFonts w:cs="Times New Roman"/>
          <w:spacing w:val="-7"/>
          <w:sz w:val="18"/>
          <w:szCs w:val="18"/>
          <w:lang w:val="es-ES_tradnl"/>
        </w:rPr>
        <w:t>”</w:t>
      </w:r>
      <w:r>
        <w:rPr>
          <w:spacing w:val="-7"/>
          <w:sz w:val="18"/>
          <w:szCs w:val="18"/>
          <w:lang w:val="es-ES_tradnl"/>
        </w:rPr>
        <w:t>.</w:t>
      </w:r>
    </w:p>
    <w:p w14:paraId="4F67B557" w14:textId="77777777" w:rsidR="00591D54" w:rsidRDefault="00591D54">
      <w:pPr>
        <w:shd w:val="clear" w:color="auto" w:fill="FFFFFF"/>
        <w:spacing w:before="206" w:line="221" w:lineRule="exact"/>
        <w:jc w:val="both"/>
      </w:pPr>
      <w:r>
        <w:rPr>
          <w:spacing w:val="-1"/>
          <w:sz w:val="18"/>
          <w:szCs w:val="18"/>
          <w:lang w:val="es-ES_tradnl"/>
        </w:rPr>
        <w:t>A</w:t>
      </w:r>
      <w:r>
        <w:rPr>
          <w:rFonts w:cs="Times New Roman"/>
          <w:spacing w:val="-1"/>
          <w:sz w:val="18"/>
          <w:szCs w:val="18"/>
          <w:lang w:val="es-ES_tradnl"/>
        </w:rPr>
        <w:t>ñ</w:t>
      </w:r>
      <w:r>
        <w:rPr>
          <w:spacing w:val="-1"/>
          <w:sz w:val="18"/>
          <w:szCs w:val="18"/>
          <w:lang w:val="es-ES_tradnl"/>
        </w:rPr>
        <w:t xml:space="preserve">ade que los jueces provinciales incumplieron el </w:t>
      </w:r>
      <w:r>
        <w:rPr>
          <w:spacing w:val="-4"/>
          <w:sz w:val="18"/>
          <w:szCs w:val="18"/>
          <w:lang w:val="es-ES_tradnl"/>
        </w:rPr>
        <w:t>contenido de lo dispuesto en el art</w:t>
      </w:r>
      <w:r>
        <w:rPr>
          <w:rFonts w:cs="Times New Roman"/>
          <w:spacing w:val="-4"/>
          <w:sz w:val="18"/>
          <w:szCs w:val="18"/>
          <w:lang w:val="es-ES_tradnl"/>
        </w:rPr>
        <w:t>í</w:t>
      </w:r>
      <w:r>
        <w:rPr>
          <w:spacing w:val="-4"/>
          <w:sz w:val="18"/>
          <w:szCs w:val="18"/>
          <w:lang w:val="es-ES_tradnl"/>
        </w:rPr>
        <w:t xml:space="preserve">culo 40 numeral 3 de </w:t>
      </w:r>
      <w:r>
        <w:rPr>
          <w:spacing w:val="-6"/>
          <w:sz w:val="18"/>
          <w:szCs w:val="18"/>
          <w:lang w:val="es-ES_tradnl"/>
        </w:rPr>
        <w:t>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Control </w:t>
      </w:r>
      <w:r>
        <w:rPr>
          <w:spacing w:val="-3"/>
          <w:sz w:val="18"/>
          <w:szCs w:val="18"/>
          <w:lang w:val="es-ES_tradnl"/>
        </w:rPr>
        <w:t xml:space="preserve">Constitucional, en tanto los actos administrativos de </w:t>
      </w:r>
      <w:r>
        <w:rPr>
          <w:spacing w:val="-11"/>
          <w:sz w:val="18"/>
          <w:szCs w:val="18"/>
          <w:lang w:val="es-ES_tradnl"/>
        </w:rPr>
        <w:t>cualquier autoridad del Estado podr</w:t>
      </w:r>
      <w:r>
        <w:rPr>
          <w:rFonts w:cs="Times New Roman"/>
          <w:spacing w:val="-11"/>
          <w:sz w:val="18"/>
          <w:szCs w:val="18"/>
          <w:lang w:val="es-ES_tradnl"/>
        </w:rPr>
        <w:t>á</w:t>
      </w:r>
      <w:r>
        <w:rPr>
          <w:spacing w:val="-11"/>
          <w:sz w:val="18"/>
          <w:szCs w:val="18"/>
          <w:lang w:val="es-ES_tradnl"/>
        </w:rPr>
        <w:t xml:space="preserve">n ser impugnados, tanto </w:t>
      </w:r>
      <w:r>
        <w:rPr>
          <w:spacing w:val="-7"/>
          <w:sz w:val="18"/>
          <w:szCs w:val="18"/>
          <w:lang w:val="es-ES_tradnl"/>
        </w:rPr>
        <w:t>en la v</w:t>
      </w:r>
      <w:r>
        <w:rPr>
          <w:rFonts w:cs="Times New Roman"/>
          <w:spacing w:val="-7"/>
          <w:sz w:val="18"/>
          <w:szCs w:val="18"/>
          <w:lang w:val="es-ES_tradnl"/>
        </w:rPr>
        <w:t>í</w:t>
      </w:r>
      <w:r>
        <w:rPr>
          <w:spacing w:val="-7"/>
          <w:sz w:val="18"/>
          <w:szCs w:val="18"/>
          <w:lang w:val="es-ES_tradnl"/>
        </w:rPr>
        <w:t xml:space="preserve">a administrativa como ante los correspondientes </w:t>
      </w:r>
      <w:r>
        <w:rPr>
          <w:rFonts w:cs="Times New Roman"/>
          <w:spacing w:val="-9"/>
          <w:sz w:val="18"/>
          <w:szCs w:val="18"/>
          <w:lang w:val="es-ES_tradnl"/>
        </w:rPr>
        <w:t>ó</w:t>
      </w:r>
      <w:r>
        <w:rPr>
          <w:spacing w:val="-9"/>
          <w:sz w:val="18"/>
          <w:szCs w:val="18"/>
          <w:lang w:val="es-ES_tradnl"/>
        </w:rPr>
        <w:t>rganos de la Funci</w:t>
      </w:r>
      <w:r>
        <w:rPr>
          <w:rFonts w:cs="Times New Roman"/>
          <w:spacing w:val="-9"/>
          <w:sz w:val="18"/>
          <w:szCs w:val="18"/>
          <w:lang w:val="es-ES_tradnl"/>
        </w:rPr>
        <w:t>ó</w:t>
      </w:r>
      <w:r>
        <w:rPr>
          <w:spacing w:val="-9"/>
          <w:sz w:val="18"/>
          <w:szCs w:val="18"/>
          <w:lang w:val="es-ES_tradnl"/>
        </w:rPr>
        <w:t xml:space="preserve">n Judicial, y que en casos como estos, </w:t>
      </w:r>
      <w:r>
        <w:rPr>
          <w:spacing w:val="-6"/>
          <w:sz w:val="18"/>
          <w:szCs w:val="18"/>
          <w:lang w:val="es-ES_tradnl"/>
        </w:rPr>
        <w:t xml:space="preserve">el administrado cuenta con la posibilidad de acudir a la </w:t>
      </w:r>
      <w:r>
        <w:rPr>
          <w:sz w:val="18"/>
          <w:szCs w:val="18"/>
          <w:lang w:val="es-ES_tradnl"/>
        </w:rPr>
        <w:t>jurisdicci</w:t>
      </w:r>
      <w:r>
        <w:rPr>
          <w:rFonts w:cs="Times New Roman"/>
          <w:sz w:val="18"/>
          <w:szCs w:val="18"/>
          <w:lang w:val="es-ES_tradnl"/>
        </w:rPr>
        <w:t>ó</w:t>
      </w:r>
      <w:r>
        <w:rPr>
          <w:sz w:val="18"/>
          <w:szCs w:val="18"/>
          <w:lang w:val="es-ES_tradnl"/>
        </w:rPr>
        <w:t>n contenciosa administrativa.</w:t>
      </w:r>
    </w:p>
    <w:p w14:paraId="4F67B558" w14:textId="77777777" w:rsidR="00591D54" w:rsidRDefault="00591D54">
      <w:pPr>
        <w:shd w:val="clear" w:color="auto" w:fill="FFFFFF"/>
        <w:spacing w:before="202" w:line="221" w:lineRule="exact"/>
        <w:jc w:val="both"/>
      </w:pPr>
      <w:r>
        <w:rPr>
          <w:spacing w:val="-5"/>
          <w:sz w:val="18"/>
          <w:szCs w:val="18"/>
          <w:lang w:val="es-ES_tradnl"/>
        </w:rPr>
        <w:t>En cuanto a una presunta vulneraci</w:t>
      </w:r>
      <w:r>
        <w:rPr>
          <w:rFonts w:cs="Times New Roman"/>
          <w:spacing w:val="-5"/>
          <w:sz w:val="18"/>
          <w:szCs w:val="18"/>
          <w:lang w:val="es-ES_tradnl"/>
        </w:rPr>
        <w:t>ó</w:t>
      </w:r>
      <w:r>
        <w:rPr>
          <w:spacing w:val="-5"/>
          <w:sz w:val="18"/>
          <w:szCs w:val="18"/>
          <w:lang w:val="es-ES_tradnl"/>
        </w:rPr>
        <w:t xml:space="preserve">n al debido proceso </w:t>
      </w:r>
      <w:r>
        <w:rPr>
          <w:spacing w:val="-7"/>
          <w:sz w:val="18"/>
          <w:szCs w:val="18"/>
          <w:lang w:val="es-ES_tradnl"/>
        </w:rPr>
        <w:t>en la garant</w:t>
      </w:r>
      <w:r>
        <w:rPr>
          <w:rFonts w:cs="Times New Roman"/>
          <w:spacing w:val="-7"/>
          <w:sz w:val="18"/>
          <w:szCs w:val="18"/>
          <w:lang w:val="es-ES_tradnl"/>
        </w:rPr>
        <w:t>í</w:t>
      </w:r>
      <w:r>
        <w:rPr>
          <w:spacing w:val="-7"/>
          <w:sz w:val="18"/>
          <w:szCs w:val="18"/>
          <w:lang w:val="es-ES_tradnl"/>
        </w:rPr>
        <w:t>a de la motivaci</w:t>
      </w:r>
      <w:r>
        <w:rPr>
          <w:rFonts w:cs="Times New Roman"/>
          <w:spacing w:val="-7"/>
          <w:sz w:val="18"/>
          <w:szCs w:val="18"/>
          <w:lang w:val="es-ES_tradnl"/>
        </w:rPr>
        <w:t>ó</w:t>
      </w:r>
      <w:r>
        <w:rPr>
          <w:spacing w:val="-7"/>
          <w:sz w:val="18"/>
          <w:szCs w:val="18"/>
          <w:lang w:val="es-ES_tradnl"/>
        </w:rPr>
        <w:t xml:space="preserve">n, el accionante </w:t>
      </w:r>
      <w:r>
        <w:rPr>
          <w:rFonts w:cs="Times New Roman"/>
          <w:spacing w:val="-7"/>
          <w:sz w:val="18"/>
          <w:szCs w:val="18"/>
          <w:lang w:val="es-ES_tradnl"/>
        </w:rPr>
        <w:t>ú</w:t>
      </w:r>
      <w:r>
        <w:rPr>
          <w:spacing w:val="-7"/>
          <w:sz w:val="18"/>
          <w:szCs w:val="18"/>
          <w:lang w:val="es-ES_tradnl"/>
        </w:rPr>
        <w:t xml:space="preserve">nicamente </w:t>
      </w:r>
      <w:r>
        <w:rPr>
          <w:sz w:val="18"/>
          <w:szCs w:val="18"/>
          <w:lang w:val="es-ES_tradnl"/>
        </w:rPr>
        <w:t>expresa que al revisar el contenido de la resoluci</w:t>
      </w:r>
      <w:r>
        <w:rPr>
          <w:rFonts w:cs="Times New Roman"/>
          <w:sz w:val="18"/>
          <w:szCs w:val="18"/>
          <w:lang w:val="es-ES_tradnl"/>
        </w:rPr>
        <w:t>ó</w:t>
      </w:r>
      <w:r>
        <w:rPr>
          <w:sz w:val="18"/>
          <w:szCs w:val="18"/>
          <w:lang w:val="es-ES_tradnl"/>
        </w:rPr>
        <w:t xml:space="preserve">n </w:t>
      </w:r>
      <w:r>
        <w:rPr>
          <w:spacing w:val="-7"/>
          <w:sz w:val="18"/>
          <w:szCs w:val="18"/>
          <w:lang w:val="es-ES_tradnl"/>
        </w:rPr>
        <w:t xml:space="preserve">de los jueces provinciales, la misma no se encuentra fundamentada y que es generalizada, que carece de valor </w:t>
      </w:r>
      <w:r>
        <w:rPr>
          <w:spacing w:val="-8"/>
          <w:sz w:val="18"/>
          <w:szCs w:val="18"/>
          <w:lang w:val="es-ES_tradnl"/>
        </w:rPr>
        <w:t>y eficacia jur</w:t>
      </w:r>
      <w:r>
        <w:rPr>
          <w:rFonts w:cs="Times New Roman"/>
          <w:spacing w:val="-8"/>
          <w:sz w:val="18"/>
          <w:szCs w:val="18"/>
          <w:lang w:val="es-ES_tradnl"/>
        </w:rPr>
        <w:t>í</w:t>
      </w:r>
      <w:r>
        <w:rPr>
          <w:spacing w:val="-8"/>
          <w:sz w:val="18"/>
          <w:szCs w:val="18"/>
          <w:lang w:val="es-ES_tradnl"/>
        </w:rPr>
        <w:t>dica, provocando arbitrariedad e indefinici</w:t>
      </w:r>
      <w:r>
        <w:rPr>
          <w:rFonts w:cs="Times New Roman"/>
          <w:spacing w:val="-8"/>
          <w:sz w:val="18"/>
          <w:szCs w:val="18"/>
          <w:lang w:val="es-ES_tradnl"/>
        </w:rPr>
        <w:t>ó</w:t>
      </w:r>
      <w:r>
        <w:rPr>
          <w:spacing w:val="-8"/>
          <w:sz w:val="18"/>
          <w:szCs w:val="18"/>
          <w:lang w:val="es-ES_tradnl"/>
        </w:rPr>
        <w:t>n, sin acompa</w:t>
      </w:r>
      <w:r>
        <w:rPr>
          <w:rFonts w:cs="Times New Roman"/>
          <w:spacing w:val="-8"/>
          <w:sz w:val="18"/>
          <w:szCs w:val="18"/>
          <w:lang w:val="es-ES_tradnl"/>
        </w:rPr>
        <w:t>ñ</w:t>
      </w:r>
      <w:r>
        <w:rPr>
          <w:spacing w:val="-8"/>
          <w:sz w:val="18"/>
          <w:szCs w:val="18"/>
          <w:lang w:val="es-ES_tradnl"/>
        </w:rPr>
        <w:t>ar argumentaci</w:t>
      </w:r>
      <w:r>
        <w:rPr>
          <w:rFonts w:cs="Times New Roman"/>
          <w:spacing w:val="-8"/>
          <w:sz w:val="18"/>
          <w:szCs w:val="18"/>
          <w:lang w:val="es-ES_tradnl"/>
        </w:rPr>
        <w:t>ó</w:t>
      </w:r>
      <w:r>
        <w:rPr>
          <w:spacing w:val="-8"/>
          <w:sz w:val="18"/>
          <w:szCs w:val="18"/>
          <w:lang w:val="es-ES_tradnl"/>
        </w:rPr>
        <w:t>n adicional sobre este punto.</w:t>
      </w:r>
    </w:p>
    <w:p w14:paraId="4F67B559" w14:textId="77777777" w:rsidR="00591D54" w:rsidRDefault="00591D54">
      <w:pPr>
        <w:shd w:val="clear" w:color="auto" w:fill="FFFFFF"/>
        <w:spacing w:before="202" w:line="221" w:lineRule="exact"/>
        <w:jc w:val="both"/>
      </w:pPr>
      <w:r>
        <w:rPr>
          <w:spacing w:val="-2"/>
          <w:sz w:val="18"/>
          <w:szCs w:val="18"/>
          <w:lang w:val="es-ES_tradnl"/>
        </w:rPr>
        <w:t>Finalmente, el accionante sostiene que los jueces provinciales inobservaron el contenido del art</w:t>
      </w:r>
      <w:r>
        <w:rPr>
          <w:rFonts w:cs="Times New Roman"/>
          <w:spacing w:val="-2"/>
          <w:sz w:val="18"/>
          <w:szCs w:val="18"/>
          <w:lang w:val="es-ES_tradnl"/>
        </w:rPr>
        <w:t>í</w:t>
      </w:r>
      <w:r>
        <w:rPr>
          <w:spacing w:val="-2"/>
          <w:sz w:val="18"/>
          <w:szCs w:val="18"/>
          <w:lang w:val="es-ES_tradnl"/>
        </w:rPr>
        <w:t xml:space="preserve">culo 424 </w:t>
      </w:r>
      <w:r>
        <w:rPr>
          <w:spacing w:val="-6"/>
          <w:sz w:val="18"/>
          <w:szCs w:val="18"/>
          <w:lang w:val="es-ES_tradnl"/>
        </w:rPr>
        <w:t>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al haber actuado sin </w:t>
      </w:r>
      <w:r>
        <w:rPr>
          <w:spacing w:val="-3"/>
          <w:sz w:val="18"/>
          <w:szCs w:val="18"/>
          <w:lang w:val="es-ES_tradnl"/>
        </w:rPr>
        <w:t>competencia, ya que el caso en menci</w:t>
      </w:r>
      <w:r>
        <w:rPr>
          <w:rFonts w:cs="Times New Roman"/>
          <w:spacing w:val="-3"/>
          <w:sz w:val="18"/>
          <w:szCs w:val="18"/>
          <w:lang w:val="es-ES_tradnl"/>
        </w:rPr>
        <w:t>ó</w:t>
      </w:r>
      <w:r>
        <w:rPr>
          <w:spacing w:val="-3"/>
          <w:sz w:val="18"/>
          <w:szCs w:val="18"/>
          <w:lang w:val="es-ES_tradnl"/>
        </w:rPr>
        <w:t xml:space="preserve">n se trataba de </w:t>
      </w:r>
      <w:r>
        <w:rPr>
          <w:spacing w:val="-7"/>
          <w:sz w:val="18"/>
          <w:szCs w:val="18"/>
          <w:lang w:val="es-ES_tradnl"/>
        </w:rPr>
        <w:t>un asunto de mera legalidad, violentando las garant</w:t>
      </w:r>
      <w:r>
        <w:rPr>
          <w:rFonts w:cs="Times New Roman"/>
          <w:spacing w:val="-7"/>
          <w:sz w:val="18"/>
          <w:szCs w:val="18"/>
          <w:lang w:val="es-ES_tradnl"/>
        </w:rPr>
        <w:t>í</w:t>
      </w:r>
      <w:r>
        <w:rPr>
          <w:spacing w:val="-7"/>
          <w:sz w:val="18"/>
          <w:szCs w:val="18"/>
          <w:lang w:val="es-ES_tradnl"/>
        </w:rPr>
        <w:t xml:space="preserve">as </w:t>
      </w:r>
      <w:r>
        <w:rPr>
          <w:spacing w:val="-5"/>
          <w:sz w:val="18"/>
          <w:szCs w:val="18"/>
          <w:lang w:val="es-ES_tradnl"/>
        </w:rPr>
        <w:t>constitucionales establecidas en el art</w:t>
      </w:r>
      <w:r>
        <w:rPr>
          <w:rFonts w:cs="Times New Roman"/>
          <w:spacing w:val="-5"/>
          <w:sz w:val="18"/>
          <w:szCs w:val="18"/>
          <w:lang w:val="es-ES_tradnl"/>
        </w:rPr>
        <w:t>í</w:t>
      </w:r>
      <w:r>
        <w:rPr>
          <w:spacing w:val="-5"/>
          <w:sz w:val="18"/>
          <w:szCs w:val="18"/>
          <w:lang w:val="es-ES_tradnl"/>
        </w:rPr>
        <w:t>culo 86 numeral 5 de la Constituci</w:t>
      </w:r>
      <w:r>
        <w:rPr>
          <w:rFonts w:cs="Times New Roman"/>
          <w:spacing w:val="-5"/>
          <w:sz w:val="18"/>
          <w:szCs w:val="18"/>
          <w:lang w:val="es-ES_tradnl"/>
        </w:rPr>
        <w:t>ó</w:t>
      </w:r>
      <w:r>
        <w:rPr>
          <w:spacing w:val="-5"/>
          <w:sz w:val="18"/>
          <w:szCs w:val="18"/>
          <w:lang w:val="es-ES_tradnl"/>
        </w:rPr>
        <w:t xml:space="preserve">n, </w:t>
      </w:r>
      <w:r>
        <w:rPr>
          <w:rFonts w:cs="Times New Roman"/>
          <w:spacing w:val="-5"/>
          <w:sz w:val="18"/>
          <w:szCs w:val="18"/>
          <w:lang w:val="es-ES_tradnl"/>
        </w:rPr>
        <w:t>“</w:t>
      </w:r>
      <w:r>
        <w:rPr>
          <w:spacing w:val="-5"/>
          <w:sz w:val="18"/>
          <w:szCs w:val="18"/>
          <w:lang w:val="es-ES_tradnl"/>
        </w:rPr>
        <w:t xml:space="preserve">en franco irrespeto a la reserva legal </w:t>
      </w:r>
      <w:r>
        <w:rPr>
          <w:spacing w:val="-8"/>
          <w:sz w:val="18"/>
          <w:szCs w:val="18"/>
          <w:lang w:val="es-ES_tradnl"/>
        </w:rPr>
        <w:t>del Estado garantizado en el art</w:t>
      </w:r>
      <w:r>
        <w:rPr>
          <w:rFonts w:cs="Times New Roman"/>
          <w:spacing w:val="-8"/>
          <w:sz w:val="18"/>
          <w:szCs w:val="18"/>
          <w:lang w:val="es-ES_tradnl"/>
        </w:rPr>
        <w:t>í</w:t>
      </w:r>
      <w:r>
        <w:rPr>
          <w:spacing w:val="-8"/>
          <w:sz w:val="18"/>
          <w:szCs w:val="18"/>
          <w:lang w:val="es-ES_tradnl"/>
        </w:rPr>
        <w:t>culo 226 de la Constituci</w:t>
      </w:r>
      <w:r>
        <w:rPr>
          <w:rFonts w:cs="Times New Roman"/>
          <w:spacing w:val="-8"/>
          <w:sz w:val="18"/>
          <w:szCs w:val="18"/>
          <w:lang w:val="es-ES_tradnl"/>
        </w:rPr>
        <w:t>ó</w:t>
      </w:r>
      <w:r>
        <w:rPr>
          <w:spacing w:val="-8"/>
          <w:sz w:val="18"/>
          <w:szCs w:val="18"/>
          <w:lang w:val="es-ES_tradnl"/>
        </w:rPr>
        <w:t>n de la Rep</w:t>
      </w:r>
      <w:r>
        <w:rPr>
          <w:rFonts w:cs="Times New Roman"/>
          <w:spacing w:val="-8"/>
          <w:sz w:val="18"/>
          <w:szCs w:val="18"/>
          <w:lang w:val="es-ES_tradnl"/>
        </w:rPr>
        <w:t>ú</w:t>
      </w:r>
      <w:r>
        <w:rPr>
          <w:spacing w:val="-8"/>
          <w:sz w:val="18"/>
          <w:szCs w:val="18"/>
          <w:lang w:val="es-ES_tradnl"/>
        </w:rPr>
        <w:t>blica; adem</w:t>
      </w:r>
      <w:r>
        <w:rPr>
          <w:rFonts w:cs="Times New Roman"/>
          <w:spacing w:val="-8"/>
          <w:sz w:val="18"/>
          <w:szCs w:val="18"/>
          <w:lang w:val="es-ES_tradnl"/>
        </w:rPr>
        <w:t>á</w:t>
      </w:r>
      <w:r>
        <w:rPr>
          <w:spacing w:val="-8"/>
          <w:sz w:val="18"/>
          <w:szCs w:val="18"/>
          <w:lang w:val="es-ES_tradnl"/>
        </w:rPr>
        <w:t>s de inobservar el principio de que todos los poderes p</w:t>
      </w:r>
      <w:r>
        <w:rPr>
          <w:rFonts w:cs="Times New Roman"/>
          <w:spacing w:val="-8"/>
          <w:sz w:val="18"/>
          <w:szCs w:val="18"/>
          <w:lang w:val="es-ES_tradnl"/>
        </w:rPr>
        <w:t>ú</w:t>
      </w:r>
      <w:r>
        <w:rPr>
          <w:spacing w:val="-8"/>
          <w:sz w:val="18"/>
          <w:szCs w:val="18"/>
          <w:lang w:val="es-ES_tradnl"/>
        </w:rPr>
        <w:t xml:space="preserve">blicos deben sujetar sus actos a las </w:t>
      </w:r>
      <w:r>
        <w:rPr>
          <w:spacing w:val="-6"/>
          <w:sz w:val="18"/>
          <w:szCs w:val="18"/>
          <w:lang w:val="es-ES_tradnl"/>
        </w:rPr>
        <w:t xml:space="preserve">normas valores y principios constitucionales, debiendo </w:t>
      </w:r>
      <w:r>
        <w:rPr>
          <w:spacing w:val="-10"/>
          <w:sz w:val="18"/>
          <w:szCs w:val="18"/>
          <w:lang w:val="es-ES_tradnl"/>
        </w:rPr>
        <w:t>someterse a las reglas procesales que son de orden p</w:t>
      </w:r>
      <w:r>
        <w:rPr>
          <w:rFonts w:cs="Times New Roman"/>
          <w:spacing w:val="-10"/>
          <w:sz w:val="18"/>
          <w:szCs w:val="18"/>
          <w:lang w:val="es-ES_tradnl"/>
        </w:rPr>
        <w:t>ú</w:t>
      </w:r>
      <w:r>
        <w:rPr>
          <w:spacing w:val="-10"/>
          <w:sz w:val="18"/>
          <w:szCs w:val="18"/>
          <w:lang w:val="es-ES_tradnl"/>
        </w:rPr>
        <w:t xml:space="preserve">blico </w:t>
      </w:r>
      <w:r>
        <w:rPr>
          <w:spacing w:val="-7"/>
          <w:sz w:val="18"/>
          <w:szCs w:val="18"/>
          <w:lang w:val="es-ES_tradnl"/>
        </w:rPr>
        <w:t>para que su aplicaci</w:t>
      </w:r>
      <w:r>
        <w:rPr>
          <w:rFonts w:cs="Times New Roman"/>
          <w:spacing w:val="-7"/>
          <w:sz w:val="18"/>
          <w:szCs w:val="18"/>
          <w:lang w:val="es-ES_tradnl"/>
        </w:rPr>
        <w:t>ó</w:t>
      </w:r>
      <w:r>
        <w:rPr>
          <w:spacing w:val="-7"/>
          <w:sz w:val="18"/>
          <w:szCs w:val="18"/>
          <w:lang w:val="es-ES_tradnl"/>
        </w:rPr>
        <w:t xml:space="preserve">n no quede al arbitrio de los litigantes </w:t>
      </w:r>
      <w:r>
        <w:rPr>
          <w:sz w:val="18"/>
          <w:szCs w:val="18"/>
          <w:lang w:val="es-ES_tradnl"/>
        </w:rPr>
        <w:t>o jueces</w:t>
      </w:r>
      <w:r>
        <w:rPr>
          <w:rFonts w:cs="Times New Roman"/>
          <w:sz w:val="18"/>
          <w:szCs w:val="18"/>
          <w:lang w:val="es-ES_tradnl"/>
        </w:rPr>
        <w:t>”</w:t>
      </w:r>
      <w:r>
        <w:rPr>
          <w:sz w:val="18"/>
          <w:szCs w:val="18"/>
          <w:lang w:val="es-ES_tradnl"/>
        </w:rPr>
        <w:t>.</w:t>
      </w:r>
    </w:p>
    <w:p w14:paraId="4F67B55A" w14:textId="77777777" w:rsidR="00591D54" w:rsidRDefault="00591D54">
      <w:pPr>
        <w:shd w:val="clear" w:color="auto" w:fill="FFFFFF"/>
        <w:spacing w:before="202"/>
      </w:pPr>
      <w:r>
        <w:rPr>
          <w:b/>
          <w:bCs/>
          <w:spacing w:val="-11"/>
          <w:sz w:val="18"/>
          <w:szCs w:val="18"/>
          <w:lang w:val="es-ES_tradnl"/>
        </w:rPr>
        <w:t>Derechos presuntamente vulnerados</w:t>
      </w:r>
    </w:p>
    <w:p w14:paraId="4F67B55B" w14:textId="77777777" w:rsidR="00591D54" w:rsidRDefault="00591D54">
      <w:pPr>
        <w:shd w:val="clear" w:color="auto" w:fill="FFFFFF"/>
        <w:spacing w:before="202" w:line="221" w:lineRule="exact"/>
        <w:jc w:val="both"/>
      </w:pPr>
      <w:r>
        <w:rPr>
          <w:spacing w:val="-4"/>
          <w:sz w:val="18"/>
          <w:szCs w:val="18"/>
          <w:lang w:val="es-ES_tradnl"/>
        </w:rPr>
        <w:t xml:space="preserve">El accionante plantea como principales derechos </w:t>
      </w:r>
      <w:r>
        <w:rPr>
          <w:sz w:val="18"/>
          <w:szCs w:val="18"/>
          <w:lang w:val="es-ES_tradnl"/>
        </w:rPr>
        <w:t xml:space="preserve">constitucionales vulnerados aquellos contenidos en </w:t>
      </w:r>
      <w:r>
        <w:rPr>
          <w:spacing w:val="-4"/>
          <w:sz w:val="18"/>
          <w:szCs w:val="18"/>
          <w:lang w:val="es-ES_tradnl"/>
        </w:rPr>
        <w:t>los art</w:t>
      </w:r>
      <w:r>
        <w:rPr>
          <w:rFonts w:cs="Times New Roman"/>
          <w:spacing w:val="-4"/>
          <w:sz w:val="18"/>
          <w:szCs w:val="18"/>
          <w:lang w:val="es-ES_tradnl"/>
        </w:rPr>
        <w:t>í</w:t>
      </w:r>
      <w:r>
        <w:rPr>
          <w:spacing w:val="-4"/>
          <w:sz w:val="18"/>
          <w:szCs w:val="18"/>
          <w:lang w:val="es-ES_tradnl"/>
        </w:rPr>
        <w:t xml:space="preserve">culos 76 numeral 7 literal </w:t>
      </w:r>
      <w:r>
        <w:rPr>
          <w:b/>
          <w:bCs/>
          <w:spacing w:val="-4"/>
          <w:sz w:val="18"/>
          <w:szCs w:val="18"/>
          <w:lang w:val="es-ES_tradnl"/>
        </w:rPr>
        <w:t xml:space="preserve">l </w:t>
      </w:r>
      <w:r>
        <w:rPr>
          <w:spacing w:val="-4"/>
          <w:sz w:val="18"/>
          <w:szCs w:val="18"/>
          <w:lang w:val="es-ES_tradnl"/>
        </w:rPr>
        <w:t>(motivaci</w:t>
      </w:r>
      <w:r>
        <w:rPr>
          <w:rFonts w:cs="Times New Roman"/>
          <w:spacing w:val="-4"/>
          <w:sz w:val="18"/>
          <w:szCs w:val="18"/>
          <w:lang w:val="es-ES_tradnl"/>
        </w:rPr>
        <w:t>ó</w:t>
      </w:r>
      <w:r>
        <w:rPr>
          <w:spacing w:val="-4"/>
          <w:sz w:val="18"/>
          <w:szCs w:val="18"/>
          <w:lang w:val="es-ES_tradnl"/>
        </w:rPr>
        <w:t xml:space="preserve">n de las </w:t>
      </w:r>
      <w:r>
        <w:rPr>
          <w:spacing w:val="-5"/>
          <w:sz w:val="18"/>
          <w:szCs w:val="18"/>
          <w:lang w:val="es-ES_tradnl"/>
        </w:rPr>
        <w:t>resoluciones judiciales) y 82 (seguridad jur</w:t>
      </w:r>
      <w:r>
        <w:rPr>
          <w:rFonts w:cs="Times New Roman"/>
          <w:spacing w:val="-5"/>
          <w:sz w:val="18"/>
          <w:szCs w:val="18"/>
          <w:lang w:val="es-ES_tradnl"/>
        </w:rPr>
        <w:t>í</w:t>
      </w:r>
      <w:r>
        <w:rPr>
          <w:spacing w:val="-5"/>
          <w:sz w:val="18"/>
          <w:szCs w:val="18"/>
          <w:lang w:val="es-ES_tradnl"/>
        </w:rPr>
        <w:t xml:space="preserve">dica) de la </w:t>
      </w:r>
      <w:r>
        <w:rPr>
          <w:sz w:val="18"/>
          <w:szCs w:val="18"/>
          <w:lang w:val="es-ES_tradnl"/>
        </w:rPr>
        <w:t>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B55C" w14:textId="77777777" w:rsidR="00591D54" w:rsidRDefault="00591D54">
      <w:pPr>
        <w:shd w:val="clear" w:color="auto" w:fill="FFFFFF"/>
        <w:spacing w:before="202"/>
      </w:pPr>
      <w:r>
        <w:rPr>
          <w:b/>
          <w:bCs/>
          <w:spacing w:val="-10"/>
          <w:sz w:val="18"/>
          <w:szCs w:val="18"/>
          <w:lang w:val="es-ES_tradnl"/>
        </w:rPr>
        <w:t>Pretensi</w:t>
      </w:r>
      <w:r>
        <w:rPr>
          <w:rFonts w:cs="Times New Roman"/>
          <w:b/>
          <w:bCs/>
          <w:spacing w:val="-10"/>
          <w:sz w:val="18"/>
          <w:szCs w:val="18"/>
          <w:lang w:val="es-ES_tradnl"/>
        </w:rPr>
        <w:t>ó</w:t>
      </w:r>
      <w:r>
        <w:rPr>
          <w:b/>
          <w:bCs/>
          <w:spacing w:val="-10"/>
          <w:sz w:val="18"/>
          <w:szCs w:val="18"/>
          <w:lang w:val="es-ES_tradnl"/>
        </w:rPr>
        <w:t>n concreta</w:t>
      </w:r>
    </w:p>
    <w:p w14:paraId="4F67B55D" w14:textId="77777777" w:rsidR="00591D54" w:rsidRDefault="00591D54">
      <w:pPr>
        <w:shd w:val="clear" w:color="auto" w:fill="FFFFFF"/>
        <w:spacing w:before="202"/>
      </w:pPr>
      <w:r>
        <w:rPr>
          <w:spacing w:val="-9"/>
          <w:sz w:val="18"/>
          <w:szCs w:val="18"/>
          <w:lang w:val="es-ES_tradnl"/>
        </w:rPr>
        <w:t>Con estos antecedentes, el accionante solicita lo siguiente:</w:t>
      </w:r>
    </w:p>
    <w:p w14:paraId="4F67B55E" w14:textId="77777777" w:rsidR="00591D54" w:rsidRDefault="00591D54">
      <w:pPr>
        <w:shd w:val="clear" w:color="auto" w:fill="FFFFFF"/>
        <w:spacing w:before="211" w:line="221" w:lineRule="exact"/>
        <w:ind w:left="283"/>
        <w:jc w:val="both"/>
      </w:pPr>
      <w:r>
        <w:rPr>
          <w:spacing w:val="-5"/>
          <w:sz w:val="16"/>
          <w:szCs w:val="16"/>
          <w:lang w:val="es-ES_tradnl"/>
        </w:rPr>
        <w:t>Que se admita la acci</w:t>
      </w:r>
      <w:r>
        <w:rPr>
          <w:rFonts w:cs="Times New Roman"/>
          <w:spacing w:val="-5"/>
          <w:sz w:val="16"/>
          <w:szCs w:val="16"/>
          <w:lang w:val="es-ES_tradnl"/>
        </w:rPr>
        <w:t>ó</w:t>
      </w:r>
      <w:r>
        <w:rPr>
          <w:spacing w:val="-5"/>
          <w:sz w:val="16"/>
          <w:szCs w:val="16"/>
          <w:lang w:val="es-ES_tradnl"/>
        </w:rPr>
        <w:t>n extraordinaria de protecci</w:t>
      </w:r>
      <w:r>
        <w:rPr>
          <w:rFonts w:cs="Times New Roman"/>
          <w:spacing w:val="-5"/>
          <w:sz w:val="16"/>
          <w:szCs w:val="16"/>
          <w:lang w:val="es-ES_tradnl"/>
        </w:rPr>
        <w:t>ó</w:t>
      </w:r>
      <w:r>
        <w:rPr>
          <w:spacing w:val="-5"/>
          <w:sz w:val="16"/>
          <w:szCs w:val="16"/>
          <w:lang w:val="es-ES_tradnl"/>
        </w:rPr>
        <w:t xml:space="preserve">n y que </w:t>
      </w:r>
      <w:r>
        <w:rPr>
          <w:spacing w:val="-8"/>
          <w:sz w:val="16"/>
          <w:szCs w:val="16"/>
          <w:lang w:val="es-ES_tradnl"/>
        </w:rPr>
        <w:t>luego de la sustanciaci</w:t>
      </w:r>
      <w:r>
        <w:rPr>
          <w:rFonts w:cs="Times New Roman"/>
          <w:spacing w:val="-8"/>
          <w:sz w:val="16"/>
          <w:szCs w:val="16"/>
          <w:lang w:val="es-ES_tradnl"/>
        </w:rPr>
        <w:t>ó</w:t>
      </w:r>
      <w:r>
        <w:rPr>
          <w:spacing w:val="-8"/>
          <w:sz w:val="16"/>
          <w:szCs w:val="16"/>
          <w:lang w:val="es-ES_tradnl"/>
        </w:rPr>
        <w:t xml:space="preserve">n mediante la respectiva sentencia se </w:t>
      </w:r>
      <w:r>
        <w:rPr>
          <w:spacing w:val="-6"/>
          <w:sz w:val="16"/>
          <w:szCs w:val="16"/>
          <w:lang w:val="es-ES_tradnl"/>
        </w:rPr>
        <w:t>deje sin efecto la sentencia dictada por los se</w:t>
      </w:r>
      <w:r>
        <w:rPr>
          <w:rFonts w:cs="Times New Roman"/>
          <w:spacing w:val="-6"/>
          <w:sz w:val="16"/>
          <w:szCs w:val="16"/>
          <w:lang w:val="es-ES_tradnl"/>
        </w:rPr>
        <w:t>ñ</w:t>
      </w:r>
      <w:r>
        <w:rPr>
          <w:spacing w:val="-6"/>
          <w:sz w:val="16"/>
          <w:szCs w:val="16"/>
          <w:lang w:val="es-ES_tradnl"/>
        </w:rPr>
        <w:t xml:space="preserve">ores ministros </w:t>
      </w:r>
      <w:r>
        <w:rPr>
          <w:spacing w:val="-1"/>
          <w:sz w:val="16"/>
          <w:szCs w:val="16"/>
          <w:lang w:val="es-ES_tradnl"/>
        </w:rPr>
        <w:t>jueces de Mayor</w:t>
      </w:r>
      <w:r>
        <w:rPr>
          <w:rFonts w:cs="Times New Roman"/>
          <w:spacing w:val="-1"/>
          <w:sz w:val="16"/>
          <w:szCs w:val="16"/>
          <w:lang w:val="es-ES_tradnl"/>
        </w:rPr>
        <w:t>í</w:t>
      </w:r>
      <w:r>
        <w:rPr>
          <w:spacing w:val="-1"/>
          <w:sz w:val="16"/>
          <w:szCs w:val="16"/>
          <w:lang w:val="es-ES_tradnl"/>
        </w:rPr>
        <w:t xml:space="preserve">a de la Segunda Sala Especializada de </w:t>
      </w:r>
      <w:r>
        <w:rPr>
          <w:spacing w:val="-2"/>
          <w:sz w:val="16"/>
          <w:szCs w:val="16"/>
          <w:lang w:val="es-ES_tradnl"/>
        </w:rPr>
        <w:t>lo Penal y Tr</w:t>
      </w:r>
      <w:r>
        <w:rPr>
          <w:rFonts w:cs="Times New Roman"/>
          <w:spacing w:val="-2"/>
          <w:sz w:val="16"/>
          <w:szCs w:val="16"/>
          <w:lang w:val="es-ES_tradnl"/>
        </w:rPr>
        <w:t>á</w:t>
      </w:r>
      <w:r>
        <w:rPr>
          <w:spacing w:val="-2"/>
          <w:sz w:val="16"/>
          <w:szCs w:val="16"/>
          <w:lang w:val="es-ES_tradnl"/>
        </w:rPr>
        <w:t xml:space="preserve">nsito de la Corte Provincial de Justicia del </w:t>
      </w:r>
      <w:r>
        <w:rPr>
          <w:spacing w:val="-3"/>
          <w:sz w:val="16"/>
          <w:szCs w:val="16"/>
          <w:lang w:val="es-ES_tradnl"/>
        </w:rPr>
        <w:t>Azuay y se respete la resoluci</w:t>
      </w:r>
      <w:r>
        <w:rPr>
          <w:rFonts w:cs="Times New Roman"/>
          <w:spacing w:val="-3"/>
          <w:sz w:val="16"/>
          <w:szCs w:val="16"/>
          <w:lang w:val="es-ES_tradnl"/>
        </w:rPr>
        <w:t>ó</w:t>
      </w:r>
      <w:r>
        <w:rPr>
          <w:spacing w:val="-3"/>
          <w:sz w:val="16"/>
          <w:szCs w:val="16"/>
          <w:lang w:val="es-ES_tradnl"/>
        </w:rPr>
        <w:t>n del juez constitucional de</w:t>
      </w:r>
    </w:p>
    <w:p w14:paraId="4F67B55F" w14:textId="77777777" w:rsidR="00591D54" w:rsidRDefault="00591D54">
      <w:pPr>
        <w:shd w:val="clear" w:color="auto" w:fill="FFFFFF"/>
        <w:spacing w:before="211" w:line="221" w:lineRule="exact"/>
        <w:ind w:left="283"/>
        <w:jc w:val="both"/>
        <w:sectPr w:rsidR="00591D54">
          <w:type w:val="continuous"/>
          <w:pgSz w:w="11909" w:h="16834"/>
          <w:pgMar w:top="1373" w:right="1309" w:bottom="360" w:left="1308" w:header="720" w:footer="720" w:gutter="0"/>
          <w:cols w:num="2" w:space="720" w:equalWidth="0">
            <w:col w:w="4305" w:space="682"/>
            <w:col w:w="4305"/>
          </w:cols>
          <w:noEndnote/>
        </w:sectPr>
      </w:pPr>
    </w:p>
    <w:p w14:paraId="4F67B560" w14:textId="77777777" w:rsidR="00591D54" w:rsidRDefault="00591D54">
      <w:pPr>
        <w:shd w:val="clear" w:color="auto" w:fill="FFFFFF"/>
        <w:tabs>
          <w:tab w:val="left" w:pos="584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- 219</w:t>
      </w:r>
    </w:p>
    <w:p w14:paraId="4F67B561" w14:textId="77777777" w:rsidR="00591D54" w:rsidRDefault="00591D54">
      <w:pPr>
        <w:shd w:val="clear" w:color="auto" w:fill="FFFFFF"/>
        <w:tabs>
          <w:tab w:val="left" w:pos="5842"/>
        </w:tabs>
        <w:spacing w:after="230"/>
        <w:ind w:left="5"/>
        <w:sectPr w:rsidR="00591D54">
          <w:pgSz w:w="11909" w:h="16834"/>
          <w:pgMar w:top="1378" w:right="1304" w:bottom="360" w:left="1308" w:header="720" w:footer="720" w:gutter="0"/>
          <w:cols w:space="60"/>
          <w:noEndnote/>
        </w:sectPr>
      </w:pPr>
    </w:p>
    <w:p w14:paraId="4F67B562" w14:textId="77777777" w:rsidR="00591D54" w:rsidRDefault="00591D54">
      <w:pPr>
        <w:shd w:val="clear" w:color="auto" w:fill="FFFFFF"/>
        <w:spacing w:line="216" w:lineRule="exact"/>
        <w:ind w:left="283"/>
        <w:jc w:val="both"/>
      </w:pPr>
      <w:r>
        <w:rPr>
          <w:spacing w:val="-3"/>
          <w:sz w:val="16"/>
          <w:szCs w:val="16"/>
          <w:lang w:val="es-ES_tradnl"/>
        </w:rPr>
        <w:t>primera instancia; esto implica declarar sin lugar la acci</w:t>
      </w:r>
      <w:r>
        <w:rPr>
          <w:rFonts w:cs="Times New Roman"/>
          <w:spacing w:val="-3"/>
          <w:sz w:val="16"/>
          <w:szCs w:val="16"/>
          <w:lang w:val="es-ES_tradnl"/>
        </w:rPr>
        <w:t>ó</w:t>
      </w:r>
      <w:r>
        <w:rPr>
          <w:spacing w:val="-3"/>
          <w:sz w:val="16"/>
          <w:szCs w:val="16"/>
          <w:lang w:val="es-ES_tradnl"/>
        </w:rPr>
        <w:t xml:space="preserve">n </w:t>
      </w:r>
      <w:r>
        <w:rPr>
          <w:spacing w:val="-6"/>
          <w:sz w:val="16"/>
          <w:szCs w:val="16"/>
          <w:lang w:val="es-ES_tradnl"/>
        </w:rPr>
        <w:t>de protecci</w:t>
      </w:r>
      <w:r>
        <w:rPr>
          <w:rFonts w:cs="Times New Roman"/>
          <w:spacing w:val="-6"/>
          <w:sz w:val="16"/>
          <w:szCs w:val="16"/>
          <w:lang w:val="es-ES_tradnl"/>
        </w:rPr>
        <w:t>ó</w:t>
      </w:r>
      <w:r>
        <w:rPr>
          <w:spacing w:val="-6"/>
          <w:sz w:val="16"/>
          <w:szCs w:val="16"/>
          <w:lang w:val="es-ES_tradnl"/>
        </w:rPr>
        <w:t>n propuesta por Jos</w:t>
      </w:r>
      <w:r>
        <w:rPr>
          <w:rFonts w:cs="Times New Roman"/>
          <w:spacing w:val="-6"/>
          <w:sz w:val="16"/>
          <w:szCs w:val="16"/>
          <w:lang w:val="es-ES_tradnl"/>
        </w:rPr>
        <w:t>é</w:t>
      </w:r>
      <w:r>
        <w:rPr>
          <w:spacing w:val="-6"/>
          <w:sz w:val="16"/>
          <w:szCs w:val="16"/>
          <w:lang w:val="es-ES_tradnl"/>
        </w:rPr>
        <w:t xml:space="preserve"> Rafael Buest</w:t>
      </w:r>
      <w:r>
        <w:rPr>
          <w:rFonts w:cs="Times New Roman"/>
          <w:spacing w:val="-6"/>
          <w:sz w:val="16"/>
          <w:szCs w:val="16"/>
          <w:lang w:val="es-ES_tradnl"/>
        </w:rPr>
        <w:t>á</w:t>
      </w:r>
      <w:r>
        <w:rPr>
          <w:spacing w:val="-6"/>
          <w:sz w:val="16"/>
          <w:szCs w:val="16"/>
          <w:lang w:val="es-ES_tradnl"/>
        </w:rPr>
        <w:t xml:space="preserve">n Guaricela, </w:t>
      </w:r>
      <w:r>
        <w:rPr>
          <w:spacing w:val="-3"/>
          <w:sz w:val="16"/>
          <w:szCs w:val="16"/>
          <w:lang w:val="es-ES_tradnl"/>
        </w:rPr>
        <w:t>M</w:t>
      </w:r>
      <w:r>
        <w:rPr>
          <w:rFonts w:cs="Times New Roman"/>
          <w:spacing w:val="-3"/>
          <w:sz w:val="16"/>
          <w:szCs w:val="16"/>
          <w:lang w:val="es-ES_tradnl"/>
        </w:rPr>
        <w:t>é</w:t>
      </w:r>
      <w:r>
        <w:rPr>
          <w:spacing w:val="-3"/>
          <w:sz w:val="16"/>
          <w:szCs w:val="16"/>
          <w:lang w:val="es-ES_tradnl"/>
        </w:rPr>
        <w:t>lida Olimpia Molina Abril y Ernesto Robalino Jaramillo.</w:t>
      </w:r>
    </w:p>
    <w:p w14:paraId="4F67B563" w14:textId="77777777" w:rsidR="00591D54" w:rsidRDefault="00591D54">
      <w:pPr>
        <w:shd w:val="clear" w:color="auto" w:fill="FFFFFF"/>
        <w:spacing w:before="197"/>
      </w:pPr>
      <w:r>
        <w:rPr>
          <w:b/>
          <w:bCs/>
          <w:spacing w:val="-8"/>
          <w:sz w:val="18"/>
          <w:szCs w:val="18"/>
          <w:lang w:val="es-ES_tradnl"/>
        </w:rPr>
        <w:t>Decisi</w:t>
      </w:r>
      <w:r>
        <w:rPr>
          <w:rFonts w:cs="Times New Roman"/>
          <w:b/>
          <w:bCs/>
          <w:spacing w:val="-8"/>
          <w:sz w:val="18"/>
          <w:szCs w:val="18"/>
          <w:lang w:val="es-ES_tradnl"/>
        </w:rPr>
        <w:t>ó</w:t>
      </w:r>
      <w:r>
        <w:rPr>
          <w:b/>
          <w:bCs/>
          <w:spacing w:val="-8"/>
          <w:sz w:val="18"/>
          <w:szCs w:val="18"/>
          <w:lang w:val="es-ES_tradnl"/>
        </w:rPr>
        <w:t>n judicial impugnada</w:t>
      </w:r>
    </w:p>
    <w:p w14:paraId="4F67B564" w14:textId="77777777" w:rsidR="00591D54" w:rsidRDefault="00591D54">
      <w:pPr>
        <w:shd w:val="clear" w:color="auto" w:fill="FFFFFF"/>
        <w:spacing w:before="197" w:line="216" w:lineRule="exact"/>
        <w:jc w:val="both"/>
      </w:pPr>
      <w:r>
        <w:rPr>
          <w:spacing w:val="-4"/>
          <w:sz w:val="18"/>
          <w:szCs w:val="18"/>
          <w:lang w:val="es-ES_tradnl"/>
        </w:rPr>
        <w:t xml:space="preserve">Sentencia expedida el 05 de enero de 2011 (voto de </w:t>
      </w:r>
      <w:r>
        <w:rPr>
          <w:spacing w:val="-8"/>
          <w:sz w:val="18"/>
          <w:szCs w:val="18"/>
          <w:lang w:val="es-ES_tradnl"/>
        </w:rPr>
        <w:t>mayor</w:t>
      </w:r>
      <w:r>
        <w:rPr>
          <w:rFonts w:cs="Times New Roman"/>
          <w:spacing w:val="-8"/>
          <w:sz w:val="18"/>
          <w:szCs w:val="18"/>
          <w:lang w:val="es-ES_tradnl"/>
        </w:rPr>
        <w:t>í</w:t>
      </w:r>
      <w:r>
        <w:rPr>
          <w:spacing w:val="-8"/>
          <w:sz w:val="18"/>
          <w:szCs w:val="18"/>
          <w:lang w:val="es-ES_tradnl"/>
        </w:rPr>
        <w:t xml:space="preserve">a) por los jueces de la Segunda Sala Especializada </w:t>
      </w:r>
      <w:r>
        <w:rPr>
          <w:spacing w:val="-6"/>
          <w:sz w:val="18"/>
          <w:szCs w:val="18"/>
          <w:lang w:val="es-ES_tradnl"/>
        </w:rPr>
        <w:t xml:space="preserve">de lo Penal de la Corte Provincial de Justicia del Azuay, </w:t>
      </w:r>
      <w:r>
        <w:rPr>
          <w:sz w:val="18"/>
          <w:szCs w:val="18"/>
          <w:lang w:val="es-ES_tradnl"/>
        </w:rPr>
        <w:t>juicio N.</w:t>
      </w:r>
      <w:r>
        <w:rPr>
          <w:rFonts w:cs="Times New Roman"/>
          <w:sz w:val="18"/>
          <w:szCs w:val="18"/>
          <w:lang w:val="es-ES_tradnl"/>
        </w:rPr>
        <w:t>º</w:t>
      </w:r>
      <w:r>
        <w:rPr>
          <w:sz w:val="18"/>
          <w:szCs w:val="18"/>
          <w:lang w:val="es-ES_tradnl"/>
        </w:rPr>
        <w:t xml:space="preserve"> 337-10</w:t>
      </w:r>
    </w:p>
    <w:p w14:paraId="4F67B565" w14:textId="77777777" w:rsidR="00591D54" w:rsidRDefault="00591D54">
      <w:pPr>
        <w:shd w:val="clear" w:color="auto" w:fill="FFFFFF"/>
        <w:spacing w:before="202" w:line="216" w:lineRule="exact"/>
        <w:ind w:left="283"/>
        <w:jc w:val="both"/>
      </w:pPr>
      <w:r>
        <w:rPr>
          <w:b/>
          <w:bCs/>
          <w:spacing w:val="-3"/>
          <w:sz w:val="16"/>
          <w:szCs w:val="16"/>
          <w:lang w:val="es-ES_tradnl"/>
        </w:rPr>
        <w:t>Cuenca, Enero 05 de 2011, las 14h00 VISTOS.- (</w:t>
      </w:r>
      <w:r>
        <w:rPr>
          <w:rFonts w:cs="Times New Roman"/>
          <w:b/>
          <w:bCs/>
          <w:spacing w:val="-3"/>
          <w:sz w:val="16"/>
          <w:szCs w:val="16"/>
          <w:lang w:val="es-ES_tradnl"/>
        </w:rPr>
        <w:t>…</w:t>
      </w:r>
      <w:r>
        <w:rPr>
          <w:b/>
          <w:bCs/>
          <w:spacing w:val="-3"/>
          <w:sz w:val="16"/>
          <w:szCs w:val="16"/>
          <w:lang w:val="es-ES_tradnl"/>
        </w:rPr>
        <w:t>).-</w:t>
      </w:r>
      <w:r>
        <w:rPr>
          <w:b/>
          <w:bCs/>
          <w:spacing w:val="-4"/>
          <w:sz w:val="16"/>
          <w:szCs w:val="16"/>
          <w:lang w:val="es-ES_tradnl"/>
        </w:rPr>
        <w:t xml:space="preserve">OCTAVO.- </w:t>
      </w:r>
      <w:r>
        <w:rPr>
          <w:spacing w:val="-4"/>
          <w:sz w:val="16"/>
          <w:szCs w:val="16"/>
          <w:lang w:val="es-ES_tradnl"/>
        </w:rPr>
        <w:t>El esp</w:t>
      </w:r>
      <w:r>
        <w:rPr>
          <w:rFonts w:cs="Times New Roman"/>
          <w:spacing w:val="-4"/>
          <w:sz w:val="16"/>
          <w:szCs w:val="16"/>
          <w:lang w:val="es-ES_tradnl"/>
        </w:rPr>
        <w:t>í</w:t>
      </w:r>
      <w:r>
        <w:rPr>
          <w:spacing w:val="-4"/>
          <w:sz w:val="16"/>
          <w:szCs w:val="16"/>
          <w:lang w:val="es-ES_tradnl"/>
        </w:rPr>
        <w:t xml:space="preserve">ritu del mandato constituyente pretende </w:t>
      </w:r>
      <w:r>
        <w:rPr>
          <w:spacing w:val="-3"/>
          <w:sz w:val="16"/>
          <w:szCs w:val="16"/>
          <w:lang w:val="es-ES_tradnl"/>
        </w:rPr>
        <w:t xml:space="preserve">eliminar todas esas inequidades y desigualdades que se </w:t>
      </w:r>
      <w:r>
        <w:rPr>
          <w:spacing w:val="-2"/>
          <w:sz w:val="16"/>
          <w:szCs w:val="16"/>
          <w:lang w:val="es-ES_tradnl"/>
        </w:rPr>
        <w:t>daban anteriormente entre las instituciones p</w:t>
      </w:r>
      <w:r>
        <w:rPr>
          <w:rFonts w:cs="Times New Roman"/>
          <w:spacing w:val="-2"/>
          <w:sz w:val="16"/>
          <w:szCs w:val="16"/>
          <w:lang w:val="es-ES_tradnl"/>
        </w:rPr>
        <w:t>ú</w:t>
      </w:r>
      <w:r>
        <w:rPr>
          <w:spacing w:val="-2"/>
          <w:sz w:val="16"/>
          <w:szCs w:val="16"/>
          <w:lang w:val="es-ES_tradnl"/>
        </w:rPr>
        <w:t xml:space="preserve">blicas en </w:t>
      </w:r>
      <w:r>
        <w:rPr>
          <w:spacing w:val="-6"/>
          <w:sz w:val="16"/>
          <w:szCs w:val="16"/>
          <w:lang w:val="es-ES_tradnl"/>
        </w:rPr>
        <w:t>donde unos sal</w:t>
      </w:r>
      <w:r>
        <w:rPr>
          <w:rFonts w:cs="Times New Roman"/>
          <w:spacing w:val="-6"/>
          <w:sz w:val="16"/>
          <w:szCs w:val="16"/>
          <w:lang w:val="es-ES_tradnl"/>
        </w:rPr>
        <w:t>í</w:t>
      </w:r>
      <w:r>
        <w:rPr>
          <w:spacing w:val="-6"/>
          <w:sz w:val="16"/>
          <w:szCs w:val="16"/>
          <w:lang w:val="es-ES_tradnl"/>
        </w:rPr>
        <w:t xml:space="preserve">an con indemnizaciones de oro y otros con indemnizaciones realmente irrisorias, ese fue el verdadero </w:t>
      </w:r>
      <w:r>
        <w:rPr>
          <w:spacing w:val="-3"/>
          <w:sz w:val="16"/>
          <w:szCs w:val="16"/>
          <w:lang w:val="es-ES_tradnl"/>
        </w:rPr>
        <w:t>esp</w:t>
      </w:r>
      <w:r>
        <w:rPr>
          <w:rFonts w:cs="Times New Roman"/>
          <w:spacing w:val="-3"/>
          <w:sz w:val="16"/>
          <w:szCs w:val="16"/>
          <w:lang w:val="es-ES_tradnl"/>
        </w:rPr>
        <w:t>í</w:t>
      </w:r>
      <w:r>
        <w:rPr>
          <w:spacing w:val="-3"/>
          <w:sz w:val="16"/>
          <w:szCs w:val="16"/>
          <w:lang w:val="es-ES_tradnl"/>
        </w:rPr>
        <w:t xml:space="preserve">ritu de este mandato, establecer igualdad entre todos </w:t>
      </w:r>
      <w:r>
        <w:rPr>
          <w:spacing w:val="-2"/>
          <w:sz w:val="16"/>
          <w:szCs w:val="16"/>
          <w:lang w:val="es-ES_tradnl"/>
        </w:rPr>
        <w:t>los trabajadores p</w:t>
      </w:r>
      <w:r>
        <w:rPr>
          <w:rFonts w:cs="Times New Roman"/>
          <w:spacing w:val="-2"/>
          <w:sz w:val="16"/>
          <w:szCs w:val="16"/>
          <w:lang w:val="es-ES_tradnl"/>
        </w:rPr>
        <w:t>ú</w:t>
      </w:r>
      <w:r>
        <w:rPr>
          <w:spacing w:val="-2"/>
          <w:sz w:val="16"/>
          <w:szCs w:val="16"/>
          <w:lang w:val="es-ES_tradnl"/>
        </w:rPr>
        <w:t xml:space="preserve">blicos, o sea </w:t>
      </w:r>
      <w:r>
        <w:rPr>
          <w:rFonts w:cs="Times New Roman"/>
          <w:spacing w:val="-2"/>
          <w:sz w:val="16"/>
          <w:szCs w:val="16"/>
          <w:lang w:val="es-ES_tradnl"/>
        </w:rPr>
        <w:t>“</w:t>
      </w:r>
      <w:r>
        <w:rPr>
          <w:spacing w:val="-2"/>
          <w:sz w:val="16"/>
          <w:szCs w:val="16"/>
          <w:lang w:val="es-ES_tradnl"/>
        </w:rPr>
        <w:t xml:space="preserve">igual trabajo, igual </w:t>
      </w:r>
      <w:r>
        <w:rPr>
          <w:spacing w:val="-6"/>
          <w:sz w:val="16"/>
          <w:szCs w:val="16"/>
          <w:lang w:val="es-ES_tradnl"/>
        </w:rPr>
        <w:t>remuneraci</w:t>
      </w:r>
      <w:r>
        <w:rPr>
          <w:rFonts w:cs="Times New Roman"/>
          <w:spacing w:val="-6"/>
          <w:sz w:val="16"/>
          <w:szCs w:val="16"/>
          <w:lang w:val="es-ES_tradnl"/>
        </w:rPr>
        <w:t>ó</w:t>
      </w:r>
      <w:r>
        <w:rPr>
          <w:spacing w:val="-6"/>
          <w:sz w:val="16"/>
          <w:szCs w:val="16"/>
          <w:lang w:val="es-ES_tradnl"/>
        </w:rPr>
        <w:t>n</w:t>
      </w:r>
      <w:r>
        <w:rPr>
          <w:rFonts w:cs="Times New Roman"/>
          <w:spacing w:val="-6"/>
          <w:sz w:val="16"/>
          <w:szCs w:val="16"/>
          <w:lang w:val="es-ES_tradnl"/>
        </w:rPr>
        <w:t>”</w:t>
      </w:r>
      <w:r>
        <w:rPr>
          <w:spacing w:val="-6"/>
          <w:sz w:val="16"/>
          <w:szCs w:val="16"/>
          <w:lang w:val="es-ES_tradnl"/>
        </w:rPr>
        <w:t xml:space="preserve"> o </w:t>
      </w:r>
      <w:r>
        <w:rPr>
          <w:rFonts w:cs="Times New Roman"/>
          <w:spacing w:val="-6"/>
          <w:sz w:val="16"/>
          <w:szCs w:val="16"/>
          <w:lang w:val="es-ES_tradnl"/>
        </w:rPr>
        <w:t>“</w:t>
      </w:r>
      <w:r>
        <w:rPr>
          <w:spacing w:val="-6"/>
          <w:sz w:val="16"/>
          <w:szCs w:val="16"/>
          <w:lang w:val="es-ES_tradnl"/>
        </w:rPr>
        <w:t>igual a</w:t>
      </w:r>
      <w:r>
        <w:rPr>
          <w:rFonts w:cs="Times New Roman"/>
          <w:spacing w:val="-6"/>
          <w:sz w:val="16"/>
          <w:szCs w:val="16"/>
          <w:lang w:val="es-ES_tradnl"/>
        </w:rPr>
        <w:t>ñ</w:t>
      </w:r>
      <w:r>
        <w:rPr>
          <w:spacing w:val="-6"/>
          <w:sz w:val="16"/>
          <w:szCs w:val="16"/>
          <w:lang w:val="es-ES_tradnl"/>
        </w:rPr>
        <w:t>o de servicio, igual indemnizaci</w:t>
      </w:r>
      <w:r>
        <w:rPr>
          <w:rFonts w:cs="Times New Roman"/>
          <w:spacing w:val="-6"/>
          <w:sz w:val="16"/>
          <w:szCs w:val="16"/>
          <w:lang w:val="es-ES_tradnl"/>
        </w:rPr>
        <w:t>ó</w:t>
      </w:r>
      <w:r>
        <w:rPr>
          <w:spacing w:val="-6"/>
          <w:sz w:val="16"/>
          <w:szCs w:val="16"/>
          <w:lang w:val="es-ES_tradnl"/>
        </w:rPr>
        <w:t>n</w:t>
      </w:r>
      <w:r>
        <w:rPr>
          <w:rFonts w:cs="Times New Roman"/>
          <w:spacing w:val="-6"/>
          <w:sz w:val="16"/>
          <w:szCs w:val="16"/>
          <w:lang w:val="es-ES_tradnl"/>
        </w:rPr>
        <w:t>”</w:t>
      </w:r>
      <w:r>
        <w:rPr>
          <w:spacing w:val="-6"/>
          <w:sz w:val="16"/>
          <w:szCs w:val="16"/>
          <w:lang w:val="es-ES_tradnl"/>
        </w:rPr>
        <w:t>, de ah</w:t>
      </w:r>
      <w:r>
        <w:rPr>
          <w:rFonts w:cs="Times New Roman"/>
          <w:spacing w:val="-6"/>
          <w:sz w:val="16"/>
          <w:szCs w:val="16"/>
          <w:lang w:val="es-ES_tradnl"/>
        </w:rPr>
        <w:t>í</w:t>
      </w:r>
      <w:r>
        <w:rPr>
          <w:spacing w:val="-6"/>
          <w:sz w:val="16"/>
          <w:szCs w:val="16"/>
          <w:lang w:val="es-ES_tradnl"/>
        </w:rPr>
        <w:t xml:space="preserve"> la obligatoriedad de aplicar la disposici</w:t>
      </w:r>
      <w:r>
        <w:rPr>
          <w:rFonts w:cs="Times New Roman"/>
          <w:spacing w:val="-6"/>
          <w:sz w:val="16"/>
          <w:szCs w:val="16"/>
          <w:lang w:val="es-ES_tradnl"/>
        </w:rPr>
        <w:t>ó</w:t>
      </w:r>
      <w:r>
        <w:rPr>
          <w:spacing w:val="-6"/>
          <w:sz w:val="16"/>
          <w:szCs w:val="16"/>
          <w:lang w:val="es-ES_tradnl"/>
        </w:rPr>
        <w:t>n del art</w:t>
      </w:r>
      <w:r>
        <w:rPr>
          <w:rFonts w:cs="Times New Roman"/>
          <w:spacing w:val="-6"/>
          <w:sz w:val="16"/>
          <w:szCs w:val="16"/>
          <w:lang w:val="es-ES_tradnl"/>
        </w:rPr>
        <w:t>í</w:t>
      </w:r>
      <w:r>
        <w:rPr>
          <w:spacing w:val="-6"/>
          <w:sz w:val="16"/>
          <w:szCs w:val="16"/>
          <w:lang w:val="es-ES_tradnl"/>
        </w:rPr>
        <w:t xml:space="preserve">culo 8 </w:t>
      </w:r>
      <w:r>
        <w:rPr>
          <w:spacing w:val="-9"/>
          <w:sz w:val="16"/>
          <w:szCs w:val="16"/>
          <w:lang w:val="es-ES_tradnl"/>
        </w:rPr>
        <w:t>del mandato constituyente n</w:t>
      </w:r>
      <w:r>
        <w:rPr>
          <w:rFonts w:cs="Times New Roman"/>
          <w:spacing w:val="-9"/>
          <w:sz w:val="16"/>
          <w:szCs w:val="16"/>
          <w:lang w:val="es-ES_tradnl"/>
        </w:rPr>
        <w:t>ú</w:t>
      </w:r>
      <w:r>
        <w:rPr>
          <w:spacing w:val="-9"/>
          <w:sz w:val="16"/>
          <w:szCs w:val="16"/>
          <w:lang w:val="es-ES_tradnl"/>
        </w:rPr>
        <w:t xml:space="preserve">mero 2, que claramente establece </w:t>
      </w:r>
      <w:r>
        <w:rPr>
          <w:rFonts w:cs="Times New Roman"/>
          <w:spacing w:val="-5"/>
          <w:sz w:val="16"/>
          <w:szCs w:val="16"/>
          <w:lang w:val="es-ES_tradnl"/>
        </w:rPr>
        <w:t>“</w:t>
      </w:r>
      <w:r>
        <w:rPr>
          <w:spacing w:val="-5"/>
          <w:sz w:val="16"/>
          <w:szCs w:val="16"/>
          <w:lang w:val="es-ES_tradnl"/>
        </w:rPr>
        <w:t>El mondo de la indemnizaci</w:t>
      </w:r>
      <w:r>
        <w:rPr>
          <w:rFonts w:cs="Times New Roman"/>
          <w:spacing w:val="-5"/>
          <w:sz w:val="16"/>
          <w:szCs w:val="16"/>
          <w:lang w:val="es-ES_tradnl"/>
        </w:rPr>
        <w:t>ó</w:t>
      </w:r>
      <w:r>
        <w:rPr>
          <w:spacing w:val="-5"/>
          <w:sz w:val="16"/>
          <w:szCs w:val="16"/>
          <w:lang w:val="es-ES_tradnl"/>
        </w:rPr>
        <w:t>n, por supresi</w:t>
      </w:r>
      <w:r>
        <w:rPr>
          <w:rFonts w:cs="Times New Roman"/>
          <w:spacing w:val="-5"/>
          <w:sz w:val="16"/>
          <w:szCs w:val="16"/>
          <w:lang w:val="es-ES_tradnl"/>
        </w:rPr>
        <w:t>ó</w:t>
      </w:r>
      <w:r>
        <w:rPr>
          <w:spacing w:val="-5"/>
          <w:sz w:val="16"/>
          <w:szCs w:val="16"/>
          <w:lang w:val="es-ES_tradnl"/>
        </w:rPr>
        <w:t xml:space="preserve">n de partidas, </w:t>
      </w:r>
      <w:r>
        <w:rPr>
          <w:spacing w:val="-7"/>
          <w:sz w:val="16"/>
          <w:szCs w:val="16"/>
          <w:lang w:val="es-ES_tradnl"/>
        </w:rPr>
        <w:t>renuncia voluntaria y personal docente del sector p</w:t>
      </w:r>
      <w:r>
        <w:rPr>
          <w:rFonts w:cs="Times New Roman"/>
          <w:spacing w:val="-7"/>
          <w:sz w:val="16"/>
          <w:szCs w:val="16"/>
          <w:lang w:val="es-ES_tradnl"/>
        </w:rPr>
        <w:t>ú</w:t>
      </w:r>
      <w:r>
        <w:rPr>
          <w:spacing w:val="-7"/>
          <w:sz w:val="16"/>
          <w:szCs w:val="16"/>
          <w:lang w:val="es-ES_tradnl"/>
        </w:rPr>
        <w:t xml:space="preserve">blico, con </w:t>
      </w:r>
      <w:r>
        <w:rPr>
          <w:spacing w:val="-9"/>
          <w:sz w:val="16"/>
          <w:szCs w:val="16"/>
          <w:lang w:val="es-ES_tradnl"/>
        </w:rPr>
        <w:t>excepci</w:t>
      </w:r>
      <w:r>
        <w:rPr>
          <w:rFonts w:cs="Times New Roman"/>
          <w:spacing w:val="-9"/>
          <w:sz w:val="16"/>
          <w:szCs w:val="16"/>
          <w:lang w:val="es-ES_tradnl"/>
        </w:rPr>
        <w:t>ó</w:t>
      </w:r>
      <w:r>
        <w:rPr>
          <w:spacing w:val="-9"/>
          <w:sz w:val="16"/>
          <w:szCs w:val="16"/>
          <w:lang w:val="es-ES_tradnl"/>
        </w:rPr>
        <w:t>n del perteneciente a las Fuerzas Armadas y la Polic</w:t>
      </w:r>
      <w:r>
        <w:rPr>
          <w:rFonts w:cs="Times New Roman"/>
          <w:spacing w:val="-9"/>
          <w:sz w:val="16"/>
          <w:szCs w:val="16"/>
          <w:lang w:val="es-ES_tradnl"/>
        </w:rPr>
        <w:t>í</w:t>
      </w:r>
      <w:r>
        <w:rPr>
          <w:spacing w:val="-9"/>
          <w:sz w:val="16"/>
          <w:szCs w:val="16"/>
          <w:lang w:val="es-ES_tradnl"/>
        </w:rPr>
        <w:t xml:space="preserve">a </w:t>
      </w:r>
      <w:r>
        <w:rPr>
          <w:spacing w:val="-5"/>
          <w:sz w:val="16"/>
          <w:szCs w:val="16"/>
          <w:lang w:val="es-ES_tradnl"/>
        </w:rPr>
        <w:t>Nacional, ser</w:t>
      </w:r>
      <w:r>
        <w:rPr>
          <w:rFonts w:cs="Times New Roman"/>
          <w:spacing w:val="-5"/>
          <w:sz w:val="16"/>
          <w:szCs w:val="16"/>
          <w:lang w:val="es-ES_tradnl"/>
        </w:rPr>
        <w:t>á</w:t>
      </w:r>
      <w:r>
        <w:rPr>
          <w:spacing w:val="-5"/>
          <w:sz w:val="16"/>
          <w:szCs w:val="16"/>
          <w:lang w:val="es-ES_tradnl"/>
        </w:rPr>
        <w:t xml:space="preserve"> de hasta siete (7) salarios m</w:t>
      </w:r>
      <w:r>
        <w:rPr>
          <w:rFonts w:cs="Times New Roman"/>
          <w:spacing w:val="-5"/>
          <w:sz w:val="16"/>
          <w:szCs w:val="16"/>
          <w:lang w:val="es-ES_tradnl"/>
        </w:rPr>
        <w:t>í</w:t>
      </w:r>
      <w:r>
        <w:rPr>
          <w:spacing w:val="-5"/>
          <w:sz w:val="16"/>
          <w:szCs w:val="16"/>
          <w:lang w:val="es-ES_tradnl"/>
        </w:rPr>
        <w:t>nimos b</w:t>
      </w:r>
      <w:r>
        <w:rPr>
          <w:rFonts w:cs="Times New Roman"/>
          <w:spacing w:val="-5"/>
          <w:sz w:val="16"/>
          <w:szCs w:val="16"/>
          <w:lang w:val="es-ES_tradnl"/>
        </w:rPr>
        <w:t>á</w:t>
      </w:r>
      <w:r>
        <w:rPr>
          <w:spacing w:val="-5"/>
          <w:sz w:val="16"/>
          <w:szCs w:val="16"/>
          <w:lang w:val="es-ES_tradnl"/>
        </w:rPr>
        <w:t xml:space="preserve">sicos </w:t>
      </w:r>
      <w:r>
        <w:rPr>
          <w:spacing w:val="-3"/>
          <w:sz w:val="16"/>
          <w:szCs w:val="16"/>
          <w:lang w:val="es-ES_tradnl"/>
        </w:rPr>
        <w:t>unificados del trabajador privado por cada a</w:t>
      </w:r>
      <w:r>
        <w:rPr>
          <w:rFonts w:cs="Times New Roman"/>
          <w:spacing w:val="-3"/>
          <w:sz w:val="16"/>
          <w:szCs w:val="16"/>
          <w:lang w:val="es-ES_tradnl"/>
        </w:rPr>
        <w:t>ñ</w:t>
      </w:r>
      <w:r>
        <w:rPr>
          <w:spacing w:val="-3"/>
          <w:sz w:val="16"/>
          <w:szCs w:val="16"/>
          <w:lang w:val="es-ES_tradnl"/>
        </w:rPr>
        <w:t xml:space="preserve">o de servicio </w:t>
      </w:r>
      <w:r>
        <w:rPr>
          <w:spacing w:val="-5"/>
          <w:sz w:val="16"/>
          <w:szCs w:val="16"/>
          <w:lang w:val="es-ES_tradnl"/>
        </w:rPr>
        <w:t>y hasta un monto m</w:t>
      </w:r>
      <w:r>
        <w:rPr>
          <w:rFonts w:cs="Times New Roman"/>
          <w:spacing w:val="-5"/>
          <w:sz w:val="16"/>
          <w:szCs w:val="16"/>
          <w:lang w:val="es-ES_tradnl"/>
        </w:rPr>
        <w:t>á</w:t>
      </w:r>
      <w:r>
        <w:rPr>
          <w:spacing w:val="-5"/>
          <w:sz w:val="16"/>
          <w:szCs w:val="16"/>
          <w:lang w:val="es-ES_tradnl"/>
        </w:rPr>
        <w:t>ximo de doscientos diez (210) salarios m</w:t>
      </w:r>
      <w:r>
        <w:rPr>
          <w:rFonts w:cs="Times New Roman"/>
          <w:spacing w:val="-5"/>
          <w:sz w:val="16"/>
          <w:szCs w:val="16"/>
          <w:lang w:val="es-ES_tradnl"/>
        </w:rPr>
        <w:t>í</w:t>
      </w:r>
      <w:r>
        <w:rPr>
          <w:spacing w:val="-5"/>
          <w:sz w:val="16"/>
          <w:szCs w:val="16"/>
          <w:lang w:val="es-ES_tradnl"/>
        </w:rPr>
        <w:t>nimos b</w:t>
      </w:r>
      <w:r>
        <w:rPr>
          <w:rFonts w:cs="Times New Roman"/>
          <w:spacing w:val="-5"/>
          <w:sz w:val="16"/>
          <w:szCs w:val="16"/>
          <w:lang w:val="es-ES_tradnl"/>
        </w:rPr>
        <w:t>á</w:t>
      </w:r>
      <w:r>
        <w:rPr>
          <w:spacing w:val="-5"/>
          <w:sz w:val="16"/>
          <w:szCs w:val="16"/>
          <w:lang w:val="es-ES_tradnl"/>
        </w:rPr>
        <w:t>sicos unificados del trabajador privado en total</w:t>
      </w:r>
      <w:r>
        <w:rPr>
          <w:rFonts w:cs="Times New Roman"/>
          <w:spacing w:val="-5"/>
          <w:sz w:val="16"/>
          <w:szCs w:val="16"/>
          <w:lang w:val="es-ES_tradnl"/>
        </w:rPr>
        <w:t>”</w:t>
      </w:r>
      <w:r>
        <w:rPr>
          <w:spacing w:val="-5"/>
          <w:sz w:val="16"/>
          <w:szCs w:val="16"/>
          <w:lang w:val="es-ES_tradnl"/>
        </w:rPr>
        <w:t xml:space="preserve">, </w:t>
      </w:r>
      <w:r>
        <w:rPr>
          <w:spacing w:val="-8"/>
          <w:sz w:val="16"/>
          <w:szCs w:val="16"/>
          <w:lang w:val="es-ES_tradnl"/>
        </w:rPr>
        <w:t>por treinta a</w:t>
      </w:r>
      <w:r>
        <w:rPr>
          <w:rFonts w:cs="Times New Roman"/>
          <w:spacing w:val="-8"/>
          <w:sz w:val="16"/>
          <w:szCs w:val="16"/>
          <w:lang w:val="es-ES_tradnl"/>
        </w:rPr>
        <w:t>ñ</w:t>
      </w:r>
      <w:r>
        <w:rPr>
          <w:spacing w:val="-8"/>
          <w:sz w:val="16"/>
          <w:szCs w:val="16"/>
          <w:lang w:val="es-ES_tradnl"/>
        </w:rPr>
        <w:t>os. (</w:t>
      </w:r>
      <w:r>
        <w:rPr>
          <w:rFonts w:cs="Times New Roman"/>
          <w:spacing w:val="-8"/>
          <w:sz w:val="16"/>
          <w:szCs w:val="16"/>
          <w:lang w:val="es-ES_tradnl"/>
        </w:rPr>
        <w:t>…</w:t>
      </w:r>
      <w:r>
        <w:rPr>
          <w:spacing w:val="-8"/>
          <w:sz w:val="16"/>
          <w:szCs w:val="16"/>
          <w:lang w:val="es-ES_tradnl"/>
        </w:rPr>
        <w:t xml:space="preserve">) Los accionantes, al verse vulnerados sus </w:t>
      </w:r>
      <w:r>
        <w:rPr>
          <w:spacing w:val="-7"/>
          <w:sz w:val="16"/>
          <w:szCs w:val="16"/>
          <w:lang w:val="es-ES_tradnl"/>
        </w:rPr>
        <w:t xml:space="preserve">derechos constitucionales acuden a la justicia pidiendo que se </w:t>
      </w:r>
      <w:r>
        <w:rPr>
          <w:spacing w:val="-9"/>
          <w:sz w:val="16"/>
          <w:szCs w:val="16"/>
          <w:lang w:val="es-ES_tradnl"/>
        </w:rPr>
        <w:t>adopten todas las medidas de reparaci</w:t>
      </w:r>
      <w:r>
        <w:rPr>
          <w:rFonts w:cs="Times New Roman"/>
          <w:spacing w:val="-9"/>
          <w:sz w:val="16"/>
          <w:szCs w:val="16"/>
          <w:lang w:val="es-ES_tradnl"/>
        </w:rPr>
        <w:t>ó</w:t>
      </w:r>
      <w:r>
        <w:rPr>
          <w:spacing w:val="-9"/>
          <w:sz w:val="16"/>
          <w:szCs w:val="16"/>
          <w:lang w:val="es-ES_tradnl"/>
        </w:rPr>
        <w:t>n integral que remedien de manera inmediata las consecuencias de la ileg</w:t>
      </w:r>
      <w:r>
        <w:rPr>
          <w:rFonts w:cs="Times New Roman"/>
          <w:spacing w:val="-9"/>
          <w:sz w:val="16"/>
          <w:szCs w:val="16"/>
          <w:lang w:val="es-ES_tradnl"/>
        </w:rPr>
        <w:t>í</w:t>
      </w:r>
      <w:r>
        <w:rPr>
          <w:spacing w:val="-9"/>
          <w:sz w:val="16"/>
          <w:szCs w:val="16"/>
          <w:lang w:val="es-ES_tradnl"/>
        </w:rPr>
        <w:t>tima omisi</w:t>
      </w:r>
      <w:r>
        <w:rPr>
          <w:rFonts w:cs="Times New Roman"/>
          <w:spacing w:val="-9"/>
          <w:sz w:val="16"/>
          <w:szCs w:val="16"/>
          <w:lang w:val="es-ES_tradnl"/>
        </w:rPr>
        <w:t>ó</w:t>
      </w:r>
      <w:r>
        <w:rPr>
          <w:spacing w:val="-9"/>
          <w:sz w:val="16"/>
          <w:szCs w:val="16"/>
          <w:lang w:val="es-ES_tradnl"/>
        </w:rPr>
        <w:t xml:space="preserve">n, </w:t>
      </w:r>
      <w:r>
        <w:rPr>
          <w:spacing w:val="-8"/>
          <w:sz w:val="16"/>
          <w:szCs w:val="16"/>
          <w:lang w:val="es-ES_tradnl"/>
        </w:rPr>
        <w:t>disponiendo que la parte accionada inmediatamente efectu</w:t>
      </w:r>
      <w:r>
        <w:rPr>
          <w:rFonts w:cs="Times New Roman"/>
          <w:spacing w:val="-8"/>
          <w:sz w:val="16"/>
          <w:szCs w:val="16"/>
          <w:lang w:val="es-ES_tradnl"/>
        </w:rPr>
        <w:t>é</w:t>
      </w:r>
      <w:r>
        <w:rPr>
          <w:spacing w:val="-8"/>
          <w:sz w:val="16"/>
          <w:szCs w:val="16"/>
          <w:lang w:val="es-ES_tradnl"/>
        </w:rPr>
        <w:t xml:space="preserve"> la </w:t>
      </w:r>
      <w:r>
        <w:rPr>
          <w:spacing w:val="-6"/>
          <w:sz w:val="16"/>
          <w:szCs w:val="16"/>
          <w:lang w:val="es-ES_tradnl"/>
        </w:rPr>
        <w:t>reliquidaci</w:t>
      </w:r>
      <w:r>
        <w:rPr>
          <w:rFonts w:cs="Times New Roman"/>
          <w:spacing w:val="-6"/>
          <w:sz w:val="16"/>
          <w:szCs w:val="16"/>
          <w:lang w:val="es-ES_tradnl"/>
        </w:rPr>
        <w:t>ó</w:t>
      </w:r>
      <w:r>
        <w:rPr>
          <w:spacing w:val="-6"/>
          <w:sz w:val="16"/>
          <w:szCs w:val="16"/>
          <w:lang w:val="es-ES_tradnl"/>
        </w:rPr>
        <w:t xml:space="preserve">n y el pago a favor de los comparecientes de las </w:t>
      </w:r>
      <w:r>
        <w:rPr>
          <w:spacing w:val="-5"/>
          <w:sz w:val="16"/>
          <w:szCs w:val="16"/>
          <w:lang w:val="es-ES_tradnl"/>
        </w:rPr>
        <w:t>indemnizaciones constantes en el art</w:t>
      </w:r>
      <w:r>
        <w:rPr>
          <w:rFonts w:cs="Times New Roman"/>
          <w:spacing w:val="-5"/>
          <w:sz w:val="16"/>
          <w:szCs w:val="16"/>
          <w:lang w:val="es-ES_tradnl"/>
        </w:rPr>
        <w:t>í</w:t>
      </w:r>
      <w:r>
        <w:rPr>
          <w:spacing w:val="-5"/>
          <w:sz w:val="16"/>
          <w:szCs w:val="16"/>
          <w:lang w:val="es-ES_tradnl"/>
        </w:rPr>
        <w:t xml:space="preserve">culo 8 inciso segundo </w:t>
      </w:r>
      <w:r>
        <w:rPr>
          <w:sz w:val="16"/>
          <w:szCs w:val="16"/>
          <w:lang w:val="es-ES_tradnl"/>
        </w:rPr>
        <w:t>del mandato constituyente n</w:t>
      </w:r>
      <w:r>
        <w:rPr>
          <w:rFonts w:cs="Times New Roman"/>
          <w:sz w:val="16"/>
          <w:szCs w:val="16"/>
          <w:lang w:val="es-ES_tradnl"/>
        </w:rPr>
        <w:t>°</w:t>
      </w:r>
      <w:r>
        <w:rPr>
          <w:sz w:val="16"/>
          <w:szCs w:val="16"/>
          <w:lang w:val="es-ES_tradnl"/>
        </w:rPr>
        <w:t xml:space="preserve">. 2 debiendo considerarse </w:t>
      </w:r>
      <w:r>
        <w:rPr>
          <w:spacing w:val="-5"/>
          <w:sz w:val="16"/>
          <w:szCs w:val="16"/>
          <w:lang w:val="es-ES_tradnl"/>
        </w:rPr>
        <w:t>los a</w:t>
      </w:r>
      <w:r>
        <w:rPr>
          <w:rFonts w:cs="Times New Roman"/>
          <w:spacing w:val="-5"/>
          <w:sz w:val="16"/>
          <w:szCs w:val="16"/>
          <w:lang w:val="es-ES_tradnl"/>
        </w:rPr>
        <w:t>ñ</w:t>
      </w:r>
      <w:r>
        <w:rPr>
          <w:spacing w:val="-5"/>
          <w:sz w:val="16"/>
          <w:szCs w:val="16"/>
          <w:lang w:val="es-ES_tradnl"/>
        </w:rPr>
        <w:t xml:space="preserve">os de servicio institucional de los actores y el salario </w:t>
      </w:r>
      <w:r>
        <w:rPr>
          <w:spacing w:val="-8"/>
          <w:sz w:val="16"/>
          <w:szCs w:val="16"/>
          <w:lang w:val="es-ES_tradnl"/>
        </w:rPr>
        <w:t>m</w:t>
      </w:r>
      <w:r>
        <w:rPr>
          <w:rFonts w:cs="Times New Roman"/>
          <w:spacing w:val="-8"/>
          <w:sz w:val="16"/>
          <w:szCs w:val="16"/>
          <w:lang w:val="es-ES_tradnl"/>
        </w:rPr>
        <w:t>í</w:t>
      </w:r>
      <w:r>
        <w:rPr>
          <w:spacing w:val="-8"/>
          <w:sz w:val="16"/>
          <w:szCs w:val="16"/>
          <w:lang w:val="es-ES_tradnl"/>
        </w:rPr>
        <w:t>nimo b</w:t>
      </w:r>
      <w:r>
        <w:rPr>
          <w:rFonts w:cs="Times New Roman"/>
          <w:spacing w:val="-8"/>
          <w:sz w:val="16"/>
          <w:szCs w:val="16"/>
          <w:lang w:val="es-ES_tradnl"/>
        </w:rPr>
        <w:t>á</w:t>
      </w:r>
      <w:r>
        <w:rPr>
          <w:spacing w:val="-8"/>
          <w:sz w:val="16"/>
          <w:szCs w:val="16"/>
          <w:lang w:val="es-ES_tradnl"/>
        </w:rPr>
        <w:t>sico unificado del trabajador privado en el a</w:t>
      </w:r>
      <w:r>
        <w:rPr>
          <w:rFonts w:cs="Times New Roman"/>
          <w:spacing w:val="-8"/>
          <w:sz w:val="16"/>
          <w:szCs w:val="16"/>
          <w:lang w:val="es-ES_tradnl"/>
        </w:rPr>
        <w:t>ñ</w:t>
      </w:r>
      <w:r>
        <w:rPr>
          <w:spacing w:val="-8"/>
          <w:sz w:val="16"/>
          <w:szCs w:val="16"/>
          <w:lang w:val="es-ES_tradnl"/>
        </w:rPr>
        <w:t xml:space="preserve">o 2009 </w:t>
      </w:r>
      <w:r>
        <w:rPr>
          <w:spacing w:val="-7"/>
          <w:sz w:val="16"/>
          <w:szCs w:val="16"/>
          <w:lang w:val="es-ES_tradnl"/>
        </w:rPr>
        <w:t>($218,00) a</w:t>
      </w:r>
      <w:r>
        <w:rPr>
          <w:rFonts w:cs="Times New Roman"/>
          <w:spacing w:val="-7"/>
          <w:sz w:val="16"/>
          <w:szCs w:val="16"/>
          <w:lang w:val="es-ES_tradnl"/>
        </w:rPr>
        <w:t>ñ</w:t>
      </w:r>
      <w:r>
        <w:rPr>
          <w:spacing w:val="-7"/>
          <w:sz w:val="16"/>
          <w:szCs w:val="16"/>
          <w:lang w:val="es-ES_tradnl"/>
        </w:rPr>
        <w:t>o en que los accionantes terminaron su relaci</w:t>
      </w:r>
      <w:r>
        <w:rPr>
          <w:rFonts w:cs="Times New Roman"/>
          <w:spacing w:val="-7"/>
          <w:sz w:val="16"/>
          <w:szCs w:val="16"/>
          <w:lang w:val="es-ES_tradnl"/>
        </w:rPr>
        <w:t>ó</w:t>
      </w:r>
      <w:r>
        <w:rPr>
          <w:spacing w:val="-7"/>
          <w:sz w:val="16"/>
          <w:szCs w:val="16"/>
          <w:lang w:val="es-ES_tradnl"/>
        </w:rPr>
        <w:t xml:space="preserve">n </w:t>
      </w:r>
      <w:r>
        <w:rPr>
          <w:spacing w:val="-5"/>
          <w:sz w:val="16"/>
          <w:szCs w:val="16"/>
          <w:lang w:val="es-ES_tradnl"/>
        </w:rPr>
        <w:t>laboral con la Direcci</w:t>
      </w:r>
      <w:r>
        <w:rPr>
          <w:rFonts w:cs="Times New Roman"/>
          <w:spacing w:val="-5"/>
          <w:sz w:val="16"/>
          <w:szCs w:val="16"/>
          <w:lang w:val="es-ES_tradnl"/>
        </w:rPr>
        <w:t>ó</w:t>
      </w:r>
      <w:r>
        <w:rPr>
          <w:spacing w:val="-5"/>
          <w:sz w:val="16"/>
          <w:szCs w:val="16"/>
          <w:lang w:val="es-ES_tradnl"/>
        </w:rPr>
        <w:t>n Provincial de Educaci</w:t>
      </w:r>
      <w:r>
        <w:rPr>
          <w:rFonts w:cs="Times New Roman"/>
          <w:spacing w:val="-5"/>
          <w:sz w:val="16"/>
          <w:szCs w:val="16"/>
          <w:lang w:val="es-ES_tradnl"/>
        </w:rPr>
        <w:t>ó</w:t>
      </w:r>
      <w:r>
        <w:rPr>
          <w:spacing w:val="-5"/>
          <w:sz w:val="16"/>
          <w:szCs w:val="16"/>
          <w:lang w:val="es-ES_tradnl"/>
        </w:rPr>
        <w:t xml:space="preserve">n del Azuay. </w:t>
      </w:r>
      <w:r>
        <w:rPr>
          <w:spacing w:val="-7"/>
          <w:sz w:val="16"/>
          <w:szCs w:val="16"/>
          <w:lang w:val="es-ES_tradnl"/>
        </w:rPr>
        <w:t>(</w:t>
      </w:r>
      <w:r>
        <w:rPr>
          <w:rFonts w:cs="Times New Roman"/>
          <w:spacing w:val="-7"/>
          <w:sz w:val="16"/>
          <w:szCs w:val="16"/>
          <w:lang w:val="es-ES_tradnl"/>
        </w:rPr>
        <w:t>…</w:t>
      </w:r>
      <w:r>
        <w:rPr>
          <w:spacing w:val="-7"/>
          <w:sz w:val="16"/>
          <w:szCs w:val="16"/>
          <w:lang w:val="es-ES_tradnl"/>
        </w:rPr>
        <w:t xml:space="preserve">) En la especie, aunque las reclamaciones hechas por los </w:t>
      </w:r>
      <w:r>
        <w:rPr>
          <w:spacing w:val="-9"/>
          <w:sz w:val="16"/>
          <w:szCs w:val="16"/>
          <w:lang w:val="es-ES_tradnl"/>
        </w:rPr>
        <w:t>accionantes, aparentemente parecer</w:t>
      </w:r>
      <w:r>
        <w:rPr>
          <w:rFonts w:cs="Times New Roman"/>
          <w:spacing w:val="-9"/>
          <w:sz w:val="16"/>
          <w:szCs w:val="16"/>
          <w:lang w:val="es-ES_tradnl"/>
        </w:rPr>
        <w:t>í</w:t>
      </w:r>
      <w:r>
        <w:rPr>
          <w:spacing w:val="-9"/>
          <w:sz w:val="16"/>
          <w:szCs w:val="16"/>
          <w:lang w:val="es-ES_tradnl"/>
        </w:rPr>
        <w:t xml:space="preserve">an como peticiones sobre </w:t>
      </w:r>
      <w:r>
        <w:rPr>
          <w:spacing w:val="-7"/>
          <w:sz w:val="16"/>
          <w:szCs w:val="16"/>
          <w:lang w:val="es-ES_tradnl"/>
        </w:rPr>
        <w:t xml:space="preserve">derechos meramente patrimoniales y sobre todo de simple </w:t>
      </w:r>
      <w:r>
        <w:rPr>
          <w:spacing w:val="-9"/>
          <w:sz w:val="16"/>
          <w:szCs w:val="16"/>
          <w:lang w:val="es-ES_tradnl"/>
        </w:rPr>
        <w:t>administraci</w:t>
      </w:r>
      <w:r>
        <w:rPr>
          <w:rFonts w:cs="Times New Roman"/>
          <w:spacing w:val="-9"/>
          <w:sz w:val="16"/>
          <w:szCs w:val="16"/>
          <w:lang w:val="es-ES_tradnl"/>
        </w:rPr>
        <w:t>ó</w:t>
      </w:r>
      <w:r>
        <w:rPr>
          <w:spacing w:val="-9"/>
          <w:sz w:val="16"/>
          <w:szCs w:val="16"/>
          <w:lang w:val="es-ES_tradnl"/>
        </w:rPr>
        <w:t xml:space="preserve">n; no corresponden a mera legalidad y se insertan </w:t>
      </w:r>
      <w:r>
        <w:rPr>
          <w:spacing w:val="-7"/>
          <w:sz w:val="16"/>
          <w:szCs w:val="16"/>
          <w:lang w:val="es-ES_tradnl"/>
        </w:rPr>
        <w:t>en la dimensi</w:t>
      </w:r>
      <w:r>
        <w:rPr>
          <w:rFonts w:cs="Times New Roman"/>
          <w:spacing w:val="-7"/>
          <w:sz w:val="16"/>
          <w:szCs w:val="16"/>
          <w:lang w:val="es-ES_tradnl"/>
        </w:rPr>
        <w:t>ó</w:t>
      </w:r>
      <w:r>
        <w:rPr>
          <w:spacing w:val="-7"/>
          <w:sz w:val="16"/>
          <w:szCs w:val="16"/>
          <w:lang w:val="es-ES_tradnl"/>
        </w:rPr>
        <w:t xml:space="preserve">n sustancial de los derechos constitucionales , </w:t>
      </w:r>
      <w:r>
        <w:rPr>
          <w:spacing w:val="-4"/>
          <w:sz w:val="16"/>
          <w:szCs w:val="16"/>
          <w:lang w:val="es-ES_tradnl"/>
        </w:rPr>
        <w:t xml:space="preserve">pues, no implica un simple menoscabo en el patrimonio de </w:t>
      </w:r>
      <w:r>
        <w:rPr>
          <w:spacing w:val="-3"/>
          <w:sz w:val="16"/>
          <w:szCs w:val="16"/>
          <w:lang w:val="es-ES_tradnl"/>
        </w:rPr>
        <w:t>los accionantes, sino de una lesi</w:t>
      </w:r>
      <w:r>
        <w:rPr>
          <w:rFonts w:cs="Times New Roman"/>
          <w:spacing w:val="-3"/>
          <w:sz w:val="16"/>
          <w:szCs w:val="16"/>
          <w:lang w:val="es-ES_tradnl"/>
        </w:rPr>
        <w:t>ó</w:t>
      </w:r>
      <w:r>
        <w:rPr>
          <w:spacing w:val="-3"/>
          <w:sz w:val="16"/>
          <w:szCs w:val="16"/>
          <w:lang w:val="es-ES_tradnl"/>
        </w:rPr>
        <w:t xml:space="preserve">n en la actividad laboral </w:t>
      </w:r>
      <w:r>
        <w:rPr>
          <w:spacing w:val="-9"/>
          <w:sz w:val="16"/>
          <w:szCs w:val="16"/>
          <w:lang w:val="es-ES_tradnl"/>
        </w:rPr>
        <w:t>que los accionantes han venido desempe</w:t>
      </w:r>
      <w:r>
        <w:rPr>
          <w:rFonts w:cs="Times New Roman"/>
          <w:spacing w:val="-9"/>
          <w:sz w:val="16"/>
          <w:szCs w:val="16"/>
          <w:lang w:val="es-ES_tradnl"/>
        </w:rPr>
        <w:t>ñ</w:t>
      </w:r>
      <w:r>
        <w:rPr>
          <w:spacing w:val="-9"/>
          <w:sz w:val="16"/>
          <w:szCs w:val="16"/>
          <w:lang w:val="es-ES_tradnl"/>
        </w:rPr>
        <w:t xml:space="preserve">ando, no de manera </w:t>
      </w:r>
      <w:r>
        <w:rPr>
          <w:spacing w:val="-6"/>
          <w:sz w:val="16"/>
          <w:szCs w:val="16"/>
          <w:lang w:val="es-ES_tradnl"/>
        </w:rPr>
        <w:t>circunstancial ni secundaria, sino por el contrario, se trata de una actividad que han ejercicio a lo largo de su desempe</w:t>
      </w:r>
      <w:r>
        <w:rPr>
          <w:rFonts w:cs="Times New Roman"/>
          <w:spacing w:val="-6"/>
          <w:sz w:val="16"/>
          <w:szCs w:val="16"/>
          <w:lang w:val="es-ES_tradnl"/>
        </w:rPr>
        <w:t>ñ</w:t>
      </w:r>
      <w:r>
        <w:rPr>
          <w:spacing w:val="-6"/>
          <w:sz w:val="16"/>
          <w:szCs w:val="16"/>
          <w:lang w:val="es-ES_tradnl"/>
        </w:rPr>
        <w:t xml:space="preserve">o </w:t>
      </w:r>
      <w:r>
        <w:rPr>
          <w:spacing w:val="-4"/>
          <w:sz w:val="16"/>
          <w:szCs w:val="16"/>
          <w:lang w:val="es-ES_tradnl"/>
        </w:rPr>
        <w:t xml:space="preserve">como profesionales y sobre el cual ha entregado todo su talento durante toda su vida laboral formal, lo que ha sido </w:t>
      </w:r>
      <w:r>
        <w:rPr>
          <w:spacing w:val="-5"/>
          <w:sz w:val="16"/>
          <w:szCs w:val="16"/>
          <w:lang w:val="es-ES_tradnl"/>
        </w:rPr>
        <w:t>parte de su personalidad misma. (</w:t>
      </w:r>
      <w:r>
        <w:rPr>
          <w:rFonts w:cs="Times New Roman"/>
          <w:spacing w:val="-5"/>
          <w:sz w:val="16"/>
          <w:szCs w:val="16"/>
          <w:lang w:val="es-ES_tradnl"/>
        </w:rPr>
        <w:t>…</w:t>
      </w:r>
      <w:r>
        <w:rPr>
          <w:spacing w:val="-5"/>
          <w:sz w:val="16"/>
          <w:szCs w:val="16"/>
          <w:lang w:val="es-ES_tradnl"/>
        </w:rPr>
        <w:t xml:space="preserve">). NOVENO.- Si bien la </w:t>
      </w:r>
      <w:r>
        <w:rPr>
          <w:spacing w:val="-6"/>
          <w:sz w:val="16"/>
          <w:szCs w:val="16"/>
          <w:lang w:val="es-ES_tradnl"/>
        </w:rPr>
        <w:t>Directora Provincial de Educaci</w:t>
      </w:r>
      <w:r>
        <w:rPr>
          <w:rFonts w:cs="Times New Roman"/>
          <w:spacing w:val="-6"/>
          <w:sz w:val="16"/>
          <w:szCs w:val="16"/>
          <w:lang w:val="es-ES_tradnl"/>
        </w:rPr>
        <w:t>ó</w:t>
      </w:r>
      <w:r>
        <w:rPr>
          <w:spacing w:val="-6"/>
          <w:sz w:val="16"/>
          <w:szCs w:val="16"/>
          <w:lang w:val="es-ES_tradnl"/>
        </w:rPr>
        <w:t>n, cumpli</w:t>
      </w:r>
      <w:r>
        <w:rPr>
          <w:rFonts w:cs="Times New Roman"/>
          <w:spacing w:val="-6"/>
          <w:sz w:val="16"/>
          <w:szCs w:val="16"/>
          <w:lang w:val="es-ES_tradnl"/>
        </w:rPr>
        <w:t>ó</w:t>
      </w:r>
      <w:r>
        <w:rPr>
          <w:spacing w:val="-6"/>
          <w:sz w:val="16"/>
          <w:szCs w:val="16"/>
          <w:lang w:val="es-ES_tradnl"/>
        </w:rPr>
        <w:t xml:space="preserve"> con su obligaci</w:t>
      </w:r>
      <w:r>
        <w:rPr>
          <w:rFonts w:cs="Times New Roman"/>
          <w:spacing w:val="-6"/>
          <w:sz w:val="16"/>
          <w:szCs w:val="16"/>
          <w:lang w:val="es-ES_tradnl"/>
        </w:rPr>
        <w:t>ó</w:t>
      </w:r>
      <w:r>
        <w:rPr>
          <w:spacing w:val="-6"/>
          <w:sz w:val="16"/>
          <w:szCs w:val="16"/>
          <w:lang w:val="es-ES_tradnl"/>
        </w:rPr>
        <w:t xml:space="preserve">n </w:t>
      </w:r>
      <w:r>
        <w:rPr>
          <w:spacing w:val="-5"/>
          <w:sz w:val="16"/>
          <w:szCs w:val="16"/>
          <w:lang w:val="es-ES_tradnl"/>
        </w:rPr>
        <w:t>de cubrir las remuneraciones, as</w:t>
      </w:r>
      <w:r>
        <w:rPr>
          <w:rFonts w:cs="Times New Roman"/>
          <w:spacing w:val="-5"/>
          <w:sz w:val="16"/>
          <w:szCs w:val="16"/>
          <w:lang w:val="es-ES_tradnl"/>
        </w:rPr>
        <w:t>í</w:t>
      </w:r>
      <w:r>
        <w:rPr>
          <w:spacing w:val="-5"/>
          <w:sz w:val="16"/>
          <w:szCs w:val="16"/>
          <w:lang w:val="es-ES_tradnl"/>
        </w:rPr>
        <w:t xml:space="preserve"> como de la liquidaci</w:t>
      </w:r>
      <w:r>
        <w:rPr>
          <w:rFonts w:cs="Times New Roman"/>
          <w:spacing w:val="-5"/>
          <w:sz w:val="16"/>
          <w:szCs w:val="16"/>
          <w:lang w:val="es-ES_tradnl"/>
        </w:rPr>
        <w:t>ó</w:t>
      </w:r>
      <w:r>
        <w:rPr>
          <w:spacing w:val="-5"/>
          <w:sz w:val="16"/>
          <w:szCs w:val="16"/>
          <w:lang w:val="es-ES_tradnl"/>
        </w:rPr>
        <w:t xml:space="preserve">n </w:t>
      </w:r>
      <w:r>
        <w:rPr>
          <w:spacing w:val="-3"/>
          <w:sz w:val="16"/>
          <w:szCs w:val="16"/>
          <w:lang w:val="es-ES_tradnl"/>
        </w:rPr>
        <w:t>respectiva de doce mil d</w:t>
      </w:r>
      <w:r>
        <w:rPr>
          <w:rFonts w:cs="Times New Roman"/>
          <w:spacing w:val="-3"/>
          <w:sz w:val="16"/>
          <w:szCs w:val="16"/>
          <w:lang w:val="es-ES_tradnl"/>
        </w:rPr>
        <w:t>ó</w:t>
      </w:r>
      <w:r>
        <w:rPr>
          <w:spacing w:val="-3"/>
          <w:sz w:val="16"/>
          <w:szCs w:val="16"/>
          <w:lang w:val="es-ES_tradnl"/>
        </w:rPr>
        <w:t>lares a prop</w:t>
      </w:r>
      <w:r>
        <w:rPr>
          <w:rFonts w:cs="Times New Roman"/>
          <w:spacing w:val="-3"/>
          <w:sz w:val="16"/>
          <w:szCs w:val="16"/>
          <w:lang w:val="es-ES_tradnl"/>
        </w:rPr>
        <w:t>ó</w:t>
      </w:r>
      <w:r>
        <w:rPr>
          <w:spacing w:val="-3"/>
          <w:sz w:val="16"/>
          <w:szCs w:val="16"/>
          <w:lang w:val="es-ES_tradnl"/>
        </w:rPr>
        <w:t>sito de la jubilaci</w:t>
      </w:r>
      <w:r>
        <w:rPr>
          <w:rFonts w:cs="Times New Roman"/>
          <w:spacing w:val="-3"/>
          <w:sz w:val="16"/>
          <w:szCs w:val="16"/>
          <w:lang w:val="es-ES_tradnl"/>
        </w:rPr>
        <w:t>ó</w:t>
      </w:r>
      <w:r>
        <w:rPr>
          <w:spacing w:val="-3"/>
          <w:sz w:val="16"/>
          <w:szCs w:val="16"/>
          <w:lang w:val="es-ES_tradnl"/>
        </w:rPr>
        <w:t xml:space="preserve">n </w:t>
      </w:r>
      <w:r>
        <w:rPr>
          <w:spacing w:val="-5"/>
          <w:sz w:val="16"/>
          <w:szCs w:val="16"/>
          <w:lang w:val="es-ES_tradnl"/>
        </w:rPr>
        <w:t>de las accionantes, m</w:t>
      </w:r>
      <w:r>
        <w:rPr>
          <w:rFonts w:cs="Times New Roman"/>
          <w:spacing w:val="-5"/>
          <w:sz w:val="16"/>
          <w:szCs w:val="16"/>
          <w:lang w:val="es-ES_tradnl"/>
        </w:rPr>
        <w:t>á</w:t>
      </w:r>
      <w:r>
        <w:rPr>
          <w:spacing w:val="-5"/>
          <w:sz w:val="16"/>
          <w:szCs w:val="16"/>
          <w:lang w:val="es-ES_tradnl"/>
        </w:rPr>
        <w:t xml:space="preserve">s lo hace de forma incompleta, pues </w:t>
      </w:r>
      <w:r>
        <w:rPr>
          <w:spacing w:val="-7"/>
          <w:sz w:val="16"/>
          <w:szCs w:val="16"/>
          <w:lang w:val="es-ES_tradnl"/>
        </w:rPr>
        <w:t>no se sujeta a lo que establece el art</w:t>
      </w:r>
      <w:r>
        <w:rPr>
          <w:rFonts w:cs="Times New Roman"/>
          <w:spacing w:val="-7"/>
          <w:sz w:val="16"/>
          <w:szCs w:val="16"/>
          <w:lang w:val="es-ES_tradnl"/>
        </w:rPr>
        <w:t>í</w:t>
      </w:r>
      <w:r>
        <w:rPr>
          <w:spacing w:val="-7"/>
          <w:sz w:val="16"/>
          <w:szCs w:val="16"/>
          <w:lang w:val="es-ES_tradnl"/>
        </w:rPr>
        <w:t xml:space="preserve">culo 8 del mandato </w:t>
      </w:r>
      <w:r>
        <w:rPr>
          <w:spacing w:val="-6"/>
          <w:sz w:val="16"/>
          <w:szCs w:val="16"/>
          <w:lang w:val="es-ES_tradnl"/>
        </w:rPr>
        <w:t>constituyente n</w:t>
      </w:r>
      <w:r>
        <w:rPr>
          <w:rFonts w:cs="Times New Roman"/>
          <w:spacing w:val="-6"/>
          <w:sz w:val="16"/>
          <w:szCs w:val="16"/>
          <w:lang w:val="es-ES_tradnl"/>
        </w:rPr>
        <w:t>°</w:t>
      </w:r>
      <w:r>
        <w:rPr>
          <w:spacing w:val="-6"/>
          <w:sz w:val="16"/>
          <w:szCs w:val="16"/>
          <w:lang w:val="es-ES_tradnl"/>
        </w:rPr>
        <w:t xml:space="preserve">. 2. Por lo que en la especie cabe mandar a </w:t>
      </w:r>
      <w:r>
        <w:rPr>
          <w:spacing w:val="-3"/>
          <w:sz w:val="16"/>
          <w:szCs w:val="16"/>
          <w:lang w:val="es-ES_tradnl"/>
        </w:rPr>
        <w:t>cumplir de manera completa la obligaci</w:t>
      </w:r>
      <w:r>
        <w:rPr>
          <w:rFonts w:cs="Times New Roman"/>
          <w:spacing w:val="-3"/>
          <w:sz w:val="16"/>
          <w:szCs w:val="16"/>
          <w:lang w:val="es-ES_tradnl"/>
        </w:rPr>
        <w:t>ó</w:t>
      </w:r>
      <w:r>
        <w:rPr>
          <w:spacing w:val="-3"/>
          <w:sz w:val="16"/>
          <w:szCs w:val="16"/>
          <w:lang w:val="es-ES_tradnl"/>
        </w:rPr>
        <w:t>n correspondiente a la Direcci</w:t>
      </w:r>
      <w:r>
        <w:rPr>
          <w:rFonts w:cs="Times New Roman"/>
          <w:spacing w:val="-3"/>
          <w:sz w:val="16"/>
          <w:szCs w:val="16"/>
          <w:lang w:val="es-ES_tradnl"/>
        </w:rPr>
        <w:t>ó</w:t>
      </w:r>
      <w:r>
        <w:rPr>
          <w:spacing w:val="-3"/>
          <w:sz w:val="16"/>
          <w:szCs w:val="16"/>
          <w:lang w:val="es-ES_tradnl"/>
        </w:rPr>
        <w:t>n Provincial de Educaci</w:t>
      </w:r>
      <w:r>
        <w:rPr>
          <w:rFonts w:cs="Times New Roman"/>
          <w:spacing w:val="-3"/>
          <w:sz w:val="16"/>
          <w:szCs w:val="16"/>
          <w:lang w:val="es-ES_tradnl"/>
        </w:rPr>
        <w:t>ó</w:t>
      </w:r>
      <w:r>
        <w:rPr>
          <w:spacing w:val="-3"/>
          <w:sz w:val="16"/>
          <w:szCs w:val="16"/>
          <w:lang w:val="es-ES_tradnl"/>
        </w:rPr>
        <w:t xml:space="preserve">n y/o Ministerio de </w:t>
      </w:r>
      <w:r>
        <w:rPr>
          <w:spacing w:val="-5"/>
          <w:sz w:val="16"/>
          <w:szCs w:val="16"/>
          <w:lang w:val="es-ES_tradnl"/>
        </w:rPr>
        <w:t>Educaci</w:t>
      </w:r>
      <w:r>
        <w:rPr>
          <w:rFonts w:cs="Times New Roman"/>
          <w:spacing w:val="-5"/>
          <w:sz w:val="16"/>
          <w:szCs w:val="16"/>
          <w:lang w:val="es-ES_tradnl"/>
        </w:rPr>
        <w:t>ó</w:t>
      </w:r>
      <w:r>
        <w:rPr>
          <w:spacing w:val="-5"/>
          <w:sz w:val="16"/>
          <w:szCs w:val="16"/>
          <w:lang w:val="es-ES_tradnl"/>
        </w:rPr>
        <w:t>n a fin de garantizar los derechos constitucionales</w:t>
      </w:r>
    </w:p>
    <w:p w14:paraId="4F67B566" w14:textId="77777777" w:rsidR="00591D54" w:rsidRDefault="00591D54">
      <w:pPr>
        <w:shd w:val="clear" w:color="auto" w:fill="FFFFFF"/>
        <w:spacing w:line="216" w:lineRule="exact"/>
        <w:ind w:left="283"/>
        <w:jc w:val="both"/>
      </w:pPr>
      <w:r>
        <w:br w:type="column"/>
      </w:r>
      <w:r>
        <w:rPr>
          <w:spacing w:val="-5"/>
          <w:sz w:val="16"/>
          <w:szCs w:val="16"/>
          <w:lang w:val="es-ES_tradnl"/>
        </w:rPr>
        <w:t>de la accionante; es decir el l</w:t>
      </w:r>
      <w:r>
        <w:rPr>
          <w:rFonts w:cs="Times New Roman"/>
          <w:spacing w:val="-5"/>
          <w:sz w:val="16"/>
          <w:szCs w:val="16"/>
          <w:lang w:val="es-ES_tradnl"/>
        </w:rPr>
        <w:t>í</w:t>
      </w:r>
      <w:r>
        <w:rPr>
          <w:spacing w:val="-5"/>
          <w:sz w:val="16"/>
          <w:szCs w:val="16"/>
          <w:lang w:val="es-ES_tradnl"/>
        </w:rPr>
        <w:t xml:space="preserve">mite establecido por el propio </w:t>
      </w:r>
      <w:r>
        <w:rPr>
          <w:spacing w:val="-8"/>
          <w:sz w:val="16"/>
          <w:szCs w:val="16"/>
          <w:lang w:val="es-ES_tradnl"/>
        </w:rPr>
        <w:t xml:space="preserve">constituyente de Montecristi, no cabe duda que deben acceder </w:t>
      </w:r>
      <w:r>
        <w:rPr>
          <w:spacing w:val="-6"/>
          <w:sz w:val="16"/>
          <w:szCs w:val="16"/>
          <w:lang w:val="es-ES_tradnl"/>
        </w:rPr>
        <w:t>al l</w:t>
      </w:r>
      <w:r>
        <w:rPr>
          <w:rFonts w:cs="Times New Roman"/>
          <w:spacing w:val="-6"/>
          <w:sz w:val="16"/>
          <w:szCs w:val="16"/>
          <w:lang w:val="es-ES_tradnl"/>
        </w:rPr>
        <w:t>í</w:t>
      </w:r>
      <w:r>
        <w:rPr>
          <w:spacing w:val="-6"/>
          <w:sz w:val="16"/>
          <w:szCs w:val="16"/>
          <w:lang w:val="es-ES_tradnl"/>
        </w:rPr>
        <w:t>mite de doscientos diez salarios (210) por treinta a</w:t>
      </w:r>
      <w:r>
        <w:rPr>
          <w:rFonts w:cs="Times New Roman"/>
          <w:spacing w:val="-6"/>
          <w:sz w:val="16"/>
          <w:szCs w:val="16"/>
          <w:lang w:val="es-ES_tradnl"/>
        </w:rPr>
        <w:t>ñ</w:t>
      </w:r>
      <w:r>
        <w:rPr>
          <w:spacing w:val="-6"/>
          <w:sz w:val="16"/>
          <w:szCs w:val="16"/>
          <w:lang w:val="es-ES_tradnl"/>
        </w:rPr>
        <w:t xml:space="preserve">os de </w:t>
      </w:r>
      <w:r>
        <w:rPr>
          <w:spacing w:val="-4"/>
          <w:sz w:val="16"/>
          <w:szCs w:val="16"/>
          <w:lang w:val="es-ES_tradnl"/>
        </w:rPr>
        <w:t>servicio para lo cual se considerar</w:t>
      </w:r>
      <w:r>
        <w:rPr>
          <w:rFonts w:cs="Times New Roman"/>
          <w:spacing w:val="-4"/>
          <w:sz w:val="16"/>
          <w:szCs w:val="16"/>
          <w:lang w:val="es-ES_tradnl"/>
        </w:rPr>
        <w:t>á</w:t>
      </w:r>
      <w:r>
        <w:rPr>
          <w:spacing w:val="-4"/>
          <w:sz w:val="16"/>
          <w:szCs w:val="16"/>
          <w:lang w:val="es-ES_tradnl"/>
        </w:rPr>
        <w:t xml:space="preserve"> lo ya percibido (12.000) </w:t>
      </w:r>
      <w:r>
        <w:rPr>
          <w:spacing w:val="-6"/>
          <w:sz w:val="16"/>
          <w:szCs w:val="16"/>
          <w:lang w:val="es-ES_tradnl"/>
        </w:rPr>
        <w:t xml:space="preserve">y evitar que reciba una cantidad superior a la merecida, pues </w:t>
      </w:r>
      <w:r>
        <w:rPr>
          <w:spacing w:val="-8"/>
          <w:sz w:val="16"/>
          <w:szCs w:val="16"/>
          <w:lang w:val="es-ES_tradnl"/>
        </w:rPr>
        <w:t xml:space="preserve">no cabe duda que los mandatos constituyentes tienen el rango </w:t>
      </w:r>
      <w:r>
        <w:rPr>
          <w:spacing w:val="-5"/>
          <w:sz w:val="16"/>
          <w:szCs w:val="16"/>
          <w:lang w:val="es-ES_tradnl"/>
        </w:rPr>
        <w:t xml:space="preserve">de norma constitucional, por lo tanto de cumplimiento directo </w:t>
      </w:r>
      <w:r>
        <w:rPr>
          <w:spacing w:val="-4"/>
          <w:sz w:val="16"/>
          <w:szCs w:val="16"/>
          <w:lang w:val="es-ES_tradnl"/>
        </w:rPr>
        <w:t>e inmediato. (</w:t>
      </w:r>
      <w:r>
        <w:rPr>
          <w:rFonts w:cs="Times New Roman"/>
          <w:spacing w:val="-4"/>
          <w:sz w:val="16"/>
          <w:szCs w:val="16"/>
          <w:lang w:val="es-ES_tradnl"/>
        </w:rPr>
        <w:t>…</w:t>
      </w:r>
      <w:r>
        <w:rPr>
          <w:spacing w:val="-4"/>
          <w:sz w:val="16"/>
          <w:szCs w:val="16"/>
          <w:lang w:val="es-ES_tradnl"/>
        </w:rPr>
        <w:t xml:space="preserve">), por lo que haciendo justicia constitucional </w:t>
      </w:r>
      <w:r>
        <w:rPr>
          <w:spacing w:val="-5"/>
          <w:sz w:val="16"/>
          <w:szCs w:val="16"/>
          <w:lang w:val="es-ES_tradnl"/>
        </w:rPr>
        <w:t>la Sala, en m</w:t>
      </w:r>
      <w:r>
        <w:rPr>
          <w:rFonts w:cs="Times New Roman"/>
          <w:spacing w:val="-5"/>
          <w:sz w:val="16"/>
          <w:szCs w:val="16"/>
          <w:lang w:val="es-ES_tradnl"/>
        </w:rPr>
        <w:t>é</w:t>
      </w:r>
      <w:r>
        <w:rPr>
          <w:spacing w:val="-5"/>
          <w:sz w:val="16"/>
          <w:szCs w:val="16"/>
          <w:lang w:val="es-ES_tradnl"/>
        </w:rPr>
        <w:t xml:space="preserve">rito de lo expuesto y de conformidad con el </w:t>
      </w:r>
      <w:r>
        <w:rPr>
          <w:spacing w:val="-7"/>
          <w:sz w:val="16"/>
          <w:szCs w:val="16"/>
          <w:lang w:val="es-ES_tradnl"/>
        </w:rPr>
        <w:t>art</w:t>
      </w:r>
      <w:r>
        <w:rPr>
          <w:rFonts w:cs="Times New Roman"/>
          <w:spacing w:val="-7"/>
          <w:sz w:val="16"/>
          <w:szCs w:val="16"/>
          <w:lang w:val="es-ES_tradnl"/>
        </w:rPr>
        <w:t>í</w:t>
      </w:r>
      <w:r>
        <w:rPr>
          <w:spacing w:val="-7"/>
          <w:sz w:val="16"/>
          <w:szCs w:val="16"/>
          <w:lang w:val="es-ES_tradnl"/>
        </w:rPr>
        <w:t>culo 17 de la Ley Org</w:t>
      </w:r>
      <w:r>
        <w:rPr>
          <w:rFonts w:cs="Times New Roman"/>
          <w:spacing w:val="-7"/>
          <w:sz w:val="16"/>
          <w:szCs w:val="16"/>
          <w:lang w:val="es-ES_tradnl"/>
        </w:rPr>
        <w:t>á</w:t>
      </w:r>
      <w:r>
        <w:rPr>
          <w:spacing w:val="-7"/>
          <w:sz w:val="16"/>
          <w:szCs w:val="16"/>
          <w:lang w:val="es-ES_tradnl"/>
        </w:rPr>
        <w:t>nica de Garant</w:t>
      </w:r>
      <w:r>
        <w:rPr>
          <w:rFonts w:cs="Times New Roman"/>
          <w:spacing w:val="-7"/>
          <w:sz w:val="16"/>
          <w:szCs w:val="16"/>
          <w:lang w:val="es-ES_tradnl"/>
        </w:rPr>
        <w:t>í</w:t>
      </w:r>
      <w:r>
        <w:rPr>
          <w:spacing w:val="-7"/>
          <w:sz w:val="16"/>
          <w:szCs w:val="16"/>
          <w:lang w:val="es-ES_tradnl"/>
        </w:rPr>
        <w:t xml:space="preserve">as Jurisdiccionales y </w:t>
      </w:r>
      <w:r>
        <w:rPr>
          <w:spacing w:val="-2"/>
          <w:sz w:val="16"/>
          <w:szCs w:val="16"/>
          <w:lang w:val="es-ES_tradnl"/>
        </w:rPr>
        <w:t xml:space="preserve">Control Constitucional; ADMINISTRANDO JUSTICIA, EN NOMBRE DEL PUEBLO SOBERANO DEL ECUADOR Y </w:t>
      </w:r>
      <w:r>
        <w:rPr>
          <w:spacing w:val="-4"/>
          <w:sz w:val="16"/>
          <w:szCs w:val="16"/>
          <w:lang w:val="es-ES_tradnl"/>
        </w:rPr>
        <w:t>POR AUTORIDAD DE LA CONSTITUCI</w:t>
      </w:r>
      <w:r>
        <w:rPr>
          <w:rFonts w:cs="Times New Roman"/>
          <w:spacing w:val="-4"/>
          <w:sz w:val="16"/>
          <w:szCs w:val="16"/>
          <w:lang w:val="es-ES_tradnl"/>
        </w:rPr>
        <w:t>Ó</w:t>
      </w:r>
      <w:r>
        <w:rPr>
          <w:spacing w:val="-4"/>
          <w:sz w:val="16"/>
          <w:szCs w:val="16"/>
          <w:lang w:val="es-ES_tradnl"/>
        </w:rPr>
        <w:t xml:space="preserve">N Y LAS LEYES </w:t>
      </w:r>
      <w:r>
        <w:rPr>
          <w:spacing w:val="-8"/>
          <w:sz w:val="16"/>
          <w:szCs w:val="16"/>
          <w:lang w:val="es-ES_tradnl"/>
        </w:rPr>
        <w:t>DE LA REP</w:t>
      </w:r>
      <w:r>
        <w:rPr>
          <w:rFonts w:cs="Times New Roman"/>
          <w:spacing w:val="-8"/>
          <w:sz w:val="16"/>
          <w:szCs w:val="16"/>
          <w:lang w:val="es-ES_tradnl"/>
        </w:rPr>
        <w:t>Ú</w:t>
      </w:r>
      <w:r>
        <w:rPr>
          <w:spacing w:val="-8"/>
          <w:sz w:val="16"/>
          <w:szCs w:val="16"/>
          <w:lang w:val="es-ES_tradnl"/>
        </w:rPr>
        <w:t>BLICA</w:t>
      </w:r>
      <w:r>
        <w:rPr>
          <w:rFonts w:cs="Times New Roman"/>
          <w:spacing w:val="-8"/>
          <w:sz w:val="16"/>
          <w:szCs w:val="16"/>
          <w:lang w:val="es-ES_tradnl"/>
        </w:rPr>
        <w:t>”</w:t>
      </w:r>
      <w:r>
        <w:rPr>
          <w:spacing w:val="-8"/>
          <w:sz w:val="16"/>
          <w:szCs w:val="16"/>
          <w:lang w:val="es-ES_tradnl"/>
        </w:rPr>
        <w:t xml:space="preserve">, aceptando el recurso interpuesto por los accionantes revoca la sentencia subida en grado y se dispone </w:t>
      </w:r>
      <w:r>
        <w:rPr>
          <w:spacing w:val="-6"/>
          <w:sz w:val="16"/>
          <w:szCs w:val="16"/>
          <w:lang w:val="es-ES_tradnl"/>
        </w:rPr>
        <w:t>que la parte accionada proceda a realizar la reliquidaci</w:t>
      </w:r>
      <w:r>
        <w:rPr>
          <w:rFonts w:cs="Times New Roman"/>
          <w:spacing w:val="-6"/>
          <w:sz w:val="16"/>
          <w:szCs w:val="16"/>
          <w:lang w:val="es-ES_tradnl"/>
        </w:rPr>
        <w:t>ó</w:t>
      </w:r>
      <w:r>
        <w:rPr>
          <w:spacing w:val="-6"/>
          <w:sz w:val="16"/>
          <w:szCs w:val="16"/>
          <w:lang w:val="es-ES_tradnl"/>
        </w:rPr>
        <w:t xml:space="preserve">n y el </w:t>
      </w:r>
      <w:r>
        <w:rPr>
          <w:spacing w:val="-8"/>
          <w:sz w:val="16"/>
          <w:szCs w:val="16"/>
          <w:lang w:val="es-ES_tradnl"/>
        </w:rPr>
        <w:t xml:space="preserve">pago de los valores a favor de los accionantes de conformidad </w:t>
      </w:r>
      <w:r>
        <w:rPr>
          <w:spacing w:val="-5"/>
          <w:sz w:val="16"/>
          <w:szCs w:val="16"/>
          <w:lang w:val="es-ES_tradnl"/>
        </w:rPr>
        <w:t>con lo dispuesto en el art</w:t>
      </w:r>
      <w:r>
        <w:rPr>
          <w:rFonts w:cs="Times New Roman"/>
          <w:spacing w:val="-5"/>
          <w:sz w:val="16"/>
          <w:szCs w:val="16"/>
          <w:lang w:val="es-ES_tradnl"/>
        </w:rPr>
        <w:t>í</w:t>
      </w:r>
      <w:r>
        <w:rPr>
          <w:spacing w:val="-5"/>
          <w:sz w:val="16"/>
          <w:szCs w:val="16"/>
          <w:lang w:val="es-ES_tradnl"/>
        </w:rPr>
        <w:t xml:space="preserve">culo 8 inciso primero del mandato </w:t>
      </w:r>
      <w:r>
        <w:rPr>
          <w:sz w:val="16"/>
          <w:szCs w:val="16"/>
          <w:lang w:val="es-ES_tradnl"/>
        </w:rPr>
        <w:t>constituyente n</w:t>
      </w:r>
      <w:r>
        <w:rPr>
          <w:rFonts w:cs="Times New Roman"/>
          <w:sz w:val="16"/>
          <w:szCs w:val="16"/>
          <w:lang w:val="es-ES_tradnl"/>
        </w:rPr>
        <w:t>°</w:t>
      </w:r>
      <w:r>
        <w:rPr>
          <w:sz w:val="16"/>
          <w:szCs w:val="16"/>
          <w:lang w:val="es-ES_tradnl"/>
        </w:rPr>
        <w:t>. 8 [Sic] (</w:t>
      </w:r>
      <w:r>
        <w:rPr>
          <w:rFonts w:cs="Times New Roman"/>
          <w:sz w:val="16"/>
          <w:szCs w:val="16"/>
          <w:lang w:val="es-ES_tradnl"/>
        </w:rPr>
        <w:t>…</w:t>
      </w:r>
      <w:r>
        <w:rPr>
          <w:sz w:val="16"/>
          <w:szCs w:val="16"/>
          <w:lang w:val="es-ES_tradnl"/>
        </w:rPr>
        <w:t>).</w:t>
      </w:r>
    </w:p>
    <w:p w14:paraId="4F67B567" w14:textId="77777777" w:rsidR="00591D54" w:rsidRDefault="00591D54">
      <w:pPr>
        <w:shd w:val="clear" w:color="auto" w:fill="FFFFFF"/>
        <w:spacing w:before="197"/>
      </w:pPr>
      <w:r>
        <w:rPr>
          <w:b/>
          <w:bCs/>
          <w:spacing w:val="-10"/>
          <w:sz w:val="18"/>
          <w:szCs w:val="18"/>
          <w:lang w:val="es-ES_tradnl"/>
        </w:rPr>
        <w:t>Contestaci</w:t>
      </w:r>
      <w:r>
        <w:rPr>
          <w:rFonts w:cs="Times New Roman"/>
          <w:b/>
          <w:bCs/>
          <w:spacing w:val="-10"/>
          <w:sz w:val="18"/>
          <w:szCs w:val="18"/>
          <w:lang w:val="es-ES_tradnl"/>
        </w:rPr>
        <w:t>ó</w:t>
      </w:r>
      <w:r>
        <w:rPr>
          <w:b/>
          <w:bCs/>
          <w:spacing w:val="-10"/>
          <w:sz w:val="18"/>
          <w:szCs w:val="18"/>
          <w:lang w:val="es-ES_tradnl"/>
        </w:rPr>
        <w:t>n a la demanda</w:t>
      </w:r>
    </w:p>
    <w:p w14:paraId="4F67B568" w14:textId="77777777" w:rsidR="00591D54" w:rsidRDefault="00591D54">
      <w:pPr>
        <w:shd w:val="clear" w:color="auto" w:fill="FFFFFF"/>
        <w:spacing w:before="192" w:line="216" w:lineRule="exact"/>
        <w:ind w:right="5"/>
        <w:jc w:val="both"/>
      </w:pPr>
      <w:r>
        <w:rPr>
          <w:b/>
          <w:bCs/>
          <w:spacing w:val="-11"/>
          <w:sz w:val="18"/>
          <w:szCs w:val="18"/>
          <w:lang w:val="es-ES_tradnl"/>
        </w:rPr>
        <w:t>Jueces de la Sala Especializada de lo Penal y Tr</w:t>
      </w:r>
      <w:r>
        <w:rPr>
          <w:rFonts w:cs="Times New Roman"/>
          <w:b/>
          <w:bCs/>
          <w:spacing w:val="-11"/>
          <w:sz w:val="18"/>
          <w:szCs w:val="18"/>
          <w:lang w:val="es-ES_tradnl"/>
        </w:rPr>
        <w:t>á</w:t>
      </w:r>
      <w:r>
        <w:rPr>
          <w:b/>
          <w:bCs/>
          <w:spacing w:val="-11"/>
          <w:sz w:val="18"/>
          <w:szCs w:val="18"/>
          <w:lang w:val="es-ES_tradnl"/>
        </w:rPr>
        <w:t xml:space="preserve">nsito de </w:t>
      </w:r>
      <w:r>
        <w:rPr>
          <w:b/>
          <w:bCs/>
          <w:spacing w:val="-7"/>
          <w:sz w:val="18"/>
          <w:szCs w:val="18"/>
          <w:lang w:val="es-ES_tradnl"/>
        </w:rPr>
        <w:t>la Corte Provincial de Justicia del Azuay</w:t>
      </w:r>
    </w:p>
    <w:p w14:paraId="4F67B569" w14:textId="77777777" w:rsidR="00591D54" w:rsidRDefault="00591D54">
      <w:pPr>
        <w:shd w:val="clear" w:color="auto" w:fill="FFFFFF"/>
        <w:spacing w:before="197" w:line="216" w:lineRule="exact"/>
        <w:ind w:right="5"/>
        <w:jc w:val="both"/>
      </w:pPr>
      <w:r>
        <w:rPr>
          <w:spacing w:val="-8"/>
          <w:sz w:val="18"/>
          <w:szCs w:val="18"/>
          <w:lang w:val="es-ES_tradnl"/>
        </w:rPr>
        <w:t xml:space="preserve">A pesar de haberse notificado a los jueces de la Sala </w:t>
      </w:r>
      <w:r>
        <w:rPr>
          <w:spacing w:val="-7"/>
          <w:sz w:val="18"/>
          <w:szCs w:val="18"/>
          <w:lang w:val="es-ES_tradnl"/>
        </w:rPr>
        <w:t>Especializada de lo Penal y Tr</w:t>
      </w:r>
      <w:r>
        <w:rPr>
          <w:rFonts w:cs="Times New Roman"/>
          <w:spacing w:val="-7"/>
          <w:sz w:val="18"/>
          <w:szCs w:val="18"/>
          <w:lang w:val="es-ES_tradnl"/>
        </w:rPr>
        <w:t>á</w:t>
      </w:r>
      <w:r>
        <w:rPr>
          <w:spacing w:val="-7"/>
          <w:sz w:val="18"/>
          <w:szCs w:val="18"/>
          <w:lang w:val="es-ES_tradnl"/>
        </w:rPr>
        <w:t xml:space="preserve">nsito de la Corte Provincial de Justicia del Azuay, no se advierte en el expediente constitucional que dichos jueces hayan dado cumplimiento </w:t>
      </w:r>
      <w:r>
        <w:rPr>
          <w:spacing w:val="-4"/>
          <w:sz w:val="18"/>
          <w:szCs w:val="18"/>
          <w:lang w:val="es-ES_tradnl"/>
        </w:rPr>
        <w:t>a la presentaci</w:t>
      </w:r>
      <w:r>
        <w:rPr>
          <w:rFonts w:cs="Times New Roman"/>
          <w:spacing w:val="-4"/>
          <w:sz w:val="18"/>
          <w:szCs w:val="18"/>
          <w:lang w:val="es-ES_tradnl"/>
        </w:rPr>
        <w:t>ó</w:t>
      </w:r>
      <w:r>
        <w:rPr>
          <w:spacing w:val="-4"/>
          <w:sz w:val="18"/>
          <w:szCs w:val="18"/>
          <w:lang w:val="es-ES_tradnl"/>
        </w:rPr>
        <w:t>n del informe motivado en el t</w:t>
      </w:r>
      <w:r>
        <w:rPr>
          <w:rFonts w:cs="Times New Roman"/>
          <w:spacing w:val="-4"/>
          <w:sz w:val="18"/>
          <w:szCs w:val="18"/>
          <w:lang w:val="es-ES_tradnl"/>
        </w:rPr>
        <w:t>é</w:t>
      </w:r>
      <w:r>
        <w:rPr>
          <w:spacing w:val="-4"/>
          <w:sz w:val="18"/>
          <w:szCs w:val="18"/>
          <w:lang w:val="es-ES_tradnl"/>
        </w:rPr>
        <w:t xml:space="preserve">rmino </w:t>
      </w:r>
      <w:r>
        <w:rPr>
          <w:spacing w:val="-7"/>
          <w:sz w:val="18"/>
          <w:szCs w:val="18"/>
          <w:lang w:val="es-ES_tradnl"/>
        </w:rPr>
        <w:t>dispuesto por el juez constitucional sustanciador.</w:t>
      </w:r>
    </w:p>
    <w:p w14:paraId="4F67B56A" w14:textId="77777777" w:rsidR="00591D54" w:rsidRDefault="00591D54">
      <w:pPr>
        <w:shd w:val="clear" w:color="auto" w:fill="FFFFFF"/>
        <w:spacing w:before="192"/>
      </w:pPr>
      <w:r>
        <w:rPr>
          <w:b/>
          <w:bCs/>
          <w:spacing w:val="-7"/>
          <w:sz w:val="18"/>
          <w:szCs w:val="18"/>
          <w:lang w:val="es-ES_tradnl"/>
        </w:rPr>
        <w:t>Procuradur</w:t>
      </w:r>
      <w:r>
        <w:rPr>
          <w:rFonts w:cs="Times New Roman"/>
          <w:b/>
          <w:bCs/>
          <w:spacing w:val="-7"/>
          <w:sz w:val="18"/>
          <w:szCs w:val="18"/>
          <w:lang w:val="es-ES_tradnl"/>
        </w:rPr>
        <w:t>í</w:t>
      </w:r>
      <w:r>
        <w:rPr>
          <w:b/>
          <w:bCs/>
          <w:spacing w:val="-7"/>
          <w:sz w:val="18"/>
          <w:szCs w:val="18"/>
          <w:lang w:val="es-ES_tradnl"/>
        </w:rPr>
        <w:t>a General del Estado</w:t>
      </w:r>
    </w:p>
    <w:p w14:paraId="4F67B56B" w14:textId="77777777" w:rsidR="00591D54" w:rsidRDefault="00591D54">
      <w:pPr>
        <w:shd w:val="clear" w:color="auto" w:fill="FFFFFF"/>
        <w:spacing w:before="192" w:line="216" w:lineRule="exact"/>
        <w:ind w:right="5"/>
        <w:jc w:val="both"/>
      </w:pPr>
      <w:r>
        <w:rPr>
          <w:spacing w:val="-9"/>
          <w:sz w:val="18"/>
          <w:szCs w:val="18"/>
          <w:lang w:val="es-ES_tradnl"/>
        </w:rPr>
        <w:t>Mediante hoja de registro N.</w:t>
      </w:r>
      <w:r>
        <w:rPr>
          <w:rFonts w:cs="Times New Roman"/>
          <w:spacing w:val="-9"/>
          <w:sz w:val="18"/>
          <w:szCs w:val="18"/>
          <w:lang w:val="es-ES_tradnl"/>
        </w:rPr>
        <w:t>°</w:t>
      </w:r>
      <w:r>
        <w:rPr>
          <w:spacing w:val="-9"/>
          <w:sz w:val="18"/>
          <w:szCs w:val="18"/>
          <w:lang w:val="es-ES_tradnl"/>
        </w:rPr>
        <w:t xml:space="preserve"> 3655 del 27 de mayo de 2015 </w:t>
      </w:r>
      <w:r>
        <w:rPr>
          <w:spacing w:val="-4"/>
          <w:sz w:val="18"/>
          <w:szCs w:val="18"/>
          <w:lang w:val="es-ES_tradnl"/>
        </w:rPr>
        <w:t>(foja 32) ingres</w:t>
      </w:r>
      <w:r>
        <w:rPr>
          <w:rFonts w:cs="Times New Roman"/>
          <w:spacing w:val="-4"/>
          <w:sz w:val="18"/>
          <w:szCs w:val="18"/>
          <w:lang w:val="es-ES_tradnl"/>
        </w:rPr>
        <w:t>ó</w:t>
      </w:r>
      <w:r>
        <w:rPr>
          <w:spacing w:val="-4"/>
          <w:sz w:val="18"/>
          <w:szCs w:val="18"/>
          <w:lang w:val="es-ES_tradnl"/>
        </w:rPr>
        <w:t xml:space="preserve"> al Organismo el escrito presentado por </w:t>
      </w:r>
      <w:r>
        <w:rPr>
          <w:spacing w:val="-6"/>
          <w:sz w:val="18"/>
          <w:szCs w:val="18"/>
          <w:lang w:val="es-ES_tradnl"/>
        </w:rPr>
        <w:t xml:space="preserve">el abogado Marcos Arteaga Valenzuela, director nacional </w:t>
      </w:r>
      <w:r>
        <w:rPr>
          <w:spacing w:val="-8"/>
          <w:sz w:val="18"/>
          <w:szCs w:val="18"/>
          <w:lang w:val="es-ES_tradnl"/>
        </w:rPr>
        <w:t xml:space="preserve">de patrocinio, delegado del procurador general del Estado, </w:t>
      </w:r>
      <w:r>
        <w:rPr>
          <w:spacing w:val="-6"/>
          <w:sz w:val="18"/>
          <w:szCs w:val="18"/>
          <w:lang w:val="es-ES_tradnl"/>
        </w:rPr>
        <w:t>quien en relaci</w:t>
      </w:r>
      <w:r>
        <w:rPr>
          <w:rFonts w:cs="Times New Roman"/>
          <w:spacing w:val="-6"/>
          <w:sz w:val="18"/>
          <w:szCs w:val="18"/>
          <w:lang w:val="es-ES_tradnl"/>
        </w:rPr>
        <w:t>ó</w:t>
      </w:r>
      <w:r>
        <w:rPr>
          <w:spacing w:val="-6"/>
          <w:sz w:val="18"/>
          <w:szCs w:val="18"/>
          <w:lang w:val="es-ES_tradnl"/>
        </w:rPr>
        <w:t>n a la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w:t>
      </w:r>
      <w:r>
        <w:rPr>
          <w:spacing w:val="-7"/>
          <w:sz w:val="18"/>
          <w:szCs w:val="18"/>
          <w:lang w:val="es-ES_tradnl"/>
        </w:rPr>
        <w:t>N.</w:t>
      </w:r>
      <w:r>
        <w:rPr>
          <w:rFonts w:cs="Times New Roman"/>
          <w:spacing w:val="-7"/>
          <w:sz w:val="18"/>
          <w:szCs w:val="18"/>
          <w:lang w:val="es-ES_tradnl"/>
        </w:rPr>
        <w:t>°</w:t>
      </w:r>
      <w:r>
        <w:rPr>
          <w:spacing w:val="-7"/>
          <w:sz w:val="18"/>
          <w:szCs w:val="18"/>
          <w:lang w:val="es-ES_tradnl"/>
        </w:rPr>
        <w:t xml:space="preserve"> 0368-11-EP, </w:t>
      </w:r>
      <w:r>
        <w:rPr>
          <w:rFonts w:cs="Times New Roman"/>
          <w:spacing w:val="-7"/>
          <w:sz w:val="18"/>
          <w:szCs w:val="18"/>
          <w:lang w:val="es-ES_tradnl"/>
        </w:rPr>
        <w:t>ú</w:t>
      </w:r>
      <w:r>
        <w:rPr>
          <w:spacing w:val="-7"/>
          <w:sz w:val="18"/>
          <w:szCs w:val="18"/>
          <w:lang w:val="es-ES_tradnl"/>
        </w:rPr>
        <w:t>nicamente se</w:t>
      </w:r>
      <w:r>
        <w:rPr>
          <w:rFonts w:cs="Times New Roman"/>
          <w:spacing w:val="-7"/>
          <w:sz w:val="18"/>
          <w:szCs w:val="18"/>
          <w:lang w:val="es-ES_tradnl"/>
        </w:rPr>
        <w:t>ñ</w:t>
      </w:r>
      <w:r>
        <w:rPr>
          <w:spacing w:val="-7"/>
          <w:sz w:val="18"/>
          <w:szCs w:val="18"/>
          <w:lang w:val="es-ES_tradnl"/>
        </w:rPr>
        <w:t>al</w:t>
      </w:r>
      <w:r>
        <w:rPr>
          <w:rFonts w:cs="Times New Roman"/>
          <w:spacing w:val="-7"/>
          <w:sz w:val="18"/>
          <w:szCs w:val="18"/>
          <w:lang w:val="es-ES_tradnl"/>
        </w:rPr>
        <w:t>ó</w:t>
      </w:r>
      <w:r>
        <w:rPr>
          <w:spacing w:val="-7"/>
          <w:sz w:val="18"/>
          <w:szCs w:val="18"/>
          <w:lang w:val="es-ES_tradnl"/>
        </w:rPr>
        <w:t xml:space="preserve"> casilla constitucional </w:t>
      </w:r>
      <w:r>
        <w:rPr>
          <w:sz w:val="18"/>
          <w:szCs w:val="18"/>
          <w:lang w:val="es-ES_tradnl"/>
        </w:rPr>
        <w:t>para recibir notificaciones.</w:t>
      </w:r>
    </w:p>
    <w:p w14:paraId="4F67B56C" w14:textId="77777777" w:rsidR="00591D54" w:rsidRDefault="00591D54">
      <w:pPr>
        <w:shd w:val="clear" w:color="auto" w:fill="FFFFFF"/>
        <w:spacing w:before="192"/>
      </w:pPr>
      <w:r>
        <w:rPr>
          <w:b/>
          <w:bCs/>
          <w:spacing w:val="-12"/>
          <w:sz w:val="18"/>
          <w:szCs w:val="18"/>
          <w:lang w:val="es-ES_tradnl"/>
        </w:rPr>
        <w:t>Terceros interesados</w:t>
      </w:r>
    </w:p>
    <w:p w14:paraId="4F67B56D" w14:textId="77777777" w:rsidR="00591D54" w:rsidRDefault="00591D54">
      <w:pPr>
        <w:shd w:val="clear" w:color="auto" w:fill="FFFFFF"/>
        <w:spacing w:before="192" w:line="216" w:lineRule="exact"/>
        <w:ind w:right="5"/>
        <w:jc w:val="both"/>
      </w:pPr>
      <w:r>
        <w:rPr>
          <w:spacing w:val="-6"/>
          <w:sz w:val="18"/>
          <w:szCs w:val="18"/>
          <w:lang w:val="es-ES_tradnl"/>
        </w:rPr>
        <w:t xml:space="preserve">A foja quince del expediente constitucional comparece el </w:t>
      </w:r>
      <w:r>
        <w:rPr>
          <w:spacing w:val="-7"/>
          <w:sz w:val="18"/>
          <w:szCs w:val="18"/>
          <w:lang w:val="es-ES_tradnl"/>
        </w:rPr>
        <w:t>director provincial de educaci</w:t>
      </w:r>
      <w:r>
        <w:rPr>
          <w:rFonts w:cs="Times New Roman"/>
          <w:spacing w:val="-7"/>
          <w:sz w:val="18"/>
          <w:szCs w:val="18"/>
          <w:lang w:val="es-ES_tradnl"/>
        </w:rPr>
        <w:t>ó</w:t>
      </w:r>
      <w:r>
        <w:rPr>
          <w:spacing w:val="-7"/>
          <w:sz w:val="18"/>
          <w:szCs w:val="18"/>
          <w:lang w:val="es-ES_tradnl"/>
        </w:rPr>
        <w:t>n del Azuay, Jos</w:t>
      </w:r>
      <w:r>
        <w:rPr>
          <w:rFonts w:cs="Times New Roman"/>
          <w:spacing w:val="-7"/>
          <w:sz w:val="18"/>
          <w:szCs w:val="18"/>
          <w:lang w:val="es-ES_tradnl"/>
        </w:rPr>
        <w:t>é</w:t>
      </w:r>
      <w:r>
        <w:rPr>
          <w:spacing w:val="-7"/>
          <w:sz w:val="18"/>
          <w:szCs w:val="18"/>
          <w:lang w:val="es-ES_tradnl"/>
        </w:rPr>
        <w:t xml:space="preserve"> Alejandro </w:t>
      </w:r>
      <w:r>
        <w:rPr>
          <w:spacing w:val="-8"/>
          <w:sz w:val="18"/>
          <w:szCs w:val="18"/>
          <w:lang w:val="es-ES_tradnl"/>
        </w:rPr>
        <w:t>Quilambaqui Tenesaca, y design</w:t>
      </w:r>
      <w:r>
        <w:rPr>
          <w:rFonts w:cs="Times New Roman"/>
          <w:spacing w:val="-8"/>
          <w:sz w:val="18"/>
          <w:szCs w:val="18"/>
          <w:lang w:val="es-ES_tradnl"/>
        </w:rPr>
        <w:t>ó</w:t>
      </w:r>
      <w:r>
        <w:rPr>
          <w:spacing w:val="-8"/>
          <w:sz w:val="18"/>
          <w:szCs w:val="18"/>
          <w:lang w:val="es-ES_tradnl"/>
        </w:rPr>
        <w:t xml:space="preserve"> como sus defensores a </w:t>
      </w:r>
      <w:r>
        <w:rPr>
          <w:spacing w:val="-7"/>
          <w:sz w:val="18"/>
          <w:szCs w:val="18"/>
          <w:lang w:val="es-ES_tradnl"/>
        </w:rPr>
        <w:t>los abogados Carlos Cisneros Pazmi</w:t>
      </w:r>
      <w:r>
        <w:rPr>
          <w:rFonts w:cs="Times New Roman"/>
          <w:spacing w:val="-7"/>
          <w:sz w:val="18"/>
          <w:szCs w:val="18"/>
          <w:lang w:val="es-ES_tradnl"/>
        </w:rPr>
        <w:t>ñ</w:t>
      </w:r>
      <w:r>
        <w:rPr>
          <w:spacing w:val="-7"/>
          <w:sz w:val="18"/>
          <w:szCs w:val="18"/>
          <w:lang w:val="es-ES_tradnl"/>
        </w:rPr>
        <w:t xml:space="preserve">o, Williams Cuesta </w:t>
      </w:r>
      <w:r>
        <w:rPr>
          <w:spacing w:val="-8"/>
          <w:sz w:val="18"/>
          <w:szCs w:val="18"/>
          <w:lang w:val="es-ES_tradnl"/>
        </w:rPr>
        <w:t>Lucas y Jeanneth Mendieta Vanegas, y se</w:t>
      </w:r>
      <w:r>
        <w:rPr>
          <w:rFonts w:cs="Times New Roman"/>
          <w:spacing w:val="-8"/>
          <w:sz w:val="18"/>
          <w:szCs w:val="18"/>
          <w:lang w:val="es-ES_tradnl"/>
        </w:rPr>
        <w:t>ñ</w:t>
      </w:r>
      <w:r>
        <w:rPr>
          <w:spacing w:val="-8"/>
          <w:sz w:val="18"/>
          <w:szCs w:val="18"/>
          <w:lang w:val="es-ES_tradnl"/>
        </w:rPr>
        <w:t>al</w:t>
      </w:r>
      <w:r>
        <w:rPr>
          <w:rFonts w:cs="Times New Roman"/>
          <w:spacing w:val="-8"/>
          <w:sz w:val="18"/>
          <w:szCs w:val="18"/>
          <w:lang w:val="es-ES_tradnl"/>
        </w:rPr>
        <w:t>ó</w:t>
      </w:r>
      <w:r>
        <w:rPr>
          <w:spacing w:val="-8"/>
          <w:sz w:val="18"/>
          <w:szCs w:val="18"/>
          <w:lang w:val="es-ES_tradnl"/>
        </w:rPr>
        <w:t xml:space="preserve"> casilla </w:t>
      </w:r>
      <w:r>
        <w:rPr>
          <w:sz w:val="18"/>
          <w:szCs w:val="18"/>
          <w:lang w:val="es-ES_tradnl"/>
        </w:rPr>
        <w:t>constitucional para recibir notificaciones.</w:t>
      </w:r>
    </w:p>
    <w:p w14:paraId="4F67B56E" w14:textId="77777777" w:rsidR="00591D54" w:rsidRDefault="00591D54">
      <w:pPr>
        <w:shd w:val="clear" w:color="auto" w:fill="FFFFFF"/>
        <w:spacing w:before="192" w:line="216" w:lineRule="exact"/>
        <w:ind w:left="691" w:right="326" w:hanging="336"/>
      </w:pPr>
      <w:r>
        <w:rPr>
          <w:b/>
          <w:bCs/>
          <w:sz w:val="18"/>
          <w:szCs w:val="18"/>
          <w:lang w:val="es-ES_tradnl"/>
        </w:rPr>
        <w:t>II. CONSIDERACIONES Y COMPETENCIA DE LA CORTE CONSTITUCIONAL</w:t>
      </w:r>
    </w:p>
    <w:p w14:paraId="4F67B56F" w14:textId="77777777" w:rsidR="00591D54" w:rsidRDefault="00591D54">
      <w:pPr>
        <w:shd w:val="clear" w:color="auto" w:fill="FFFFFF"/>
        <w:spacing w:before="192"/>
      </w:pPr>
      <w:r>
        <w:rPr>
          <w:b/>
          <w:bCs/>
          <w:spacing w:val="-8"/>
          <w:sz w:val="18"/>
          <w:szCs w:val="18"/>
          <w:lang w:val="es-ES_tradnl"/>
        </w:rPr>
        <w:t>Competencia de la Corte</w:t>
      </w:r>
    </w:p>
    <w:p w14:paraId="4F67B570" w14:textId="77777777" w:rsidR="00591D54" w:rsidRDefault="00591D54">
      <w:pPr>
        <w:shd w:val="clear" w:color="auto" w:fill="FFFFFF"/>
        <w:spacing w:before="197" w:line="216" w:lineRule="exact"/>
        <w:ind w:right="5"/>
        <w:jc w:val="both"/>
      </w:pPr>
      <w:r>
        <w:rPr>
          <w:spacing w:val="-7"/>
          <w:sz w:val="18"/>
          <w:szCs w:val="18"/>
          <w:lang w:val="es-ES_tradnl"/>
        </w:rPr>
        <w:t>De conformidad con lo dispuesto en los art</w:t>
      </w:r>
      <w:r>
        <w:rPr>
          <w:rFonts w:cs="Times New Roman"/>
          <w:spacing w:val="-7"/>
          <w:sz w:val="18"/>
          <w:szCs w:val="18"/>
          <w:lang w:val="es-ES_tradnl"/>
        </w:rPr>
        <w:t>í</w:t>
      </w:r>
      <w:r>
        <w:rPr>
          <w:spacing w:val="-7"/>
          <w:sz w:val="18"/>
          <w:szCs w:val="18"/>
          <w:lang w:val="es-ES_tradnl"/>
        </w:rPr>
        <w:t xml:space="preserve">culos 94 y 437 </w:t>
      </w:r>
      <w:r>
        <w:rPr>
          <w:spacing w:val="-5"/>
          <w:sz w:val="18"/>
          <w:szCs w:val="18"/>
          <w:lang w:val="es-ES_tradnl"/>
        </w:rPr>
        <w:t>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 xml:space="preserve">blica, el Pleno de la Corte </w:t>
      </w:r>
      <w:r>
        <w:rPr>
          <w:spacing w:val="-9"/>
          <w:sz w:val="18"/>
          <w:szCs w:val="18"/>
          <w:lang w:val="es-ES_tradnl"/>
        </w:rPr>
        <w:t xml:space="preserve">Constitucional es competente para conocer y resolver sobre </w:t>
      </w:r>
      <w:r>
        <w:rPr>
          <w:spacing w:val="-7"/>
          <w:sz w:val="18"/>
          <w:szCs w:val="18"/>
          <w:lang w:val="es-ES_tradnl"/>
        </w:rPr>
        <w:t>las acciones extraordinarias de protecci</w:t>
      </w:r>
      <w:r>
        <w:rPr>
          <w:rFonts w:cs="Times New Roman"/>
          <w:spacing w:val="-7"/>
          <w:sz w:val="18"/>
          <w:szCs w:val="18"/>
          <w:lang w:val="es-ES_tradnl"/>
        </w:rPr>
        <w:t>ó</w:t>
      </w:r>
      <w:r>
        <w:rPr>
          <w:spacing w:val="-7"/>
          <w:sz w:val="18"/>
          <w:szCs w:val="18"/>
          <w:lang w:val="es-ES_tradnl"/>
        </w:rPr>
        <w:t xml:space="preserve">n en contra de sentencias, autos definitivos y resoluciones con fuerza de </w:t>
      </w:r>
      <w:r>
        <w:rPr>
          <w:spacing w:val="-8"/>
          <w:sz w:val="18"/>
          <w:szCs w:val="18"/>
          <w:lang w:val="es-ES_tradnl"/>
        </w:rPr>
        <w:t>sentencia. En el presente caso, la acci</w:t>
      </w:r>
      <w:r>
        <w:rPr>
          <w:rFonts w:cs="Times New Roman"/>
          <w:spacing w:val="-8"/>
          <w:sz w:val="18"/>
          <w:szCs w:val="18"/>
          <w:lang w:val="es-ES_tradnl"/>
        </w:rPr>
        <w:t>ó</w:t>
      </w:r>
      <w:r>
        <w:rPr>
          <w:spacing w:val="-8"/>
          <w:sz w:val="18"/>
          <w:szCs w:val="18"/>
          <w:lang w:val="es-ES_tradnl"/>
        </w:rPr>
        <w:t xml:space="preserve">n extraordinaria de </w:t>
      </w:r>
      <w:r>
        <w:rPr>
          <w:spacing w:val="-9"/>
          <w:sz w:val="18"/>
          <w:szCs w:val="18"/>
          <w:lang w:val="es-ES_tradnl"/>
        </w:rPr>
        <w:t>protecci</w:t>
      </w:r>
      <w:r>
        <w:rPr>
          <w:rFonts w:cs="Times New Roman"/>
          <w:spacing w:val="-9"/>
          <w:sz w:val="18"/>
          <w:szCs w:val="18"/>
          <w:lang w:val="es-ES_tradnl"/>
        </w:rPr>
        <w:t>ó</w:t>
      </w:r>
      <w:r>
        <w:rPr>
          <w:spacing w:val="-9"/>
          <w:sz w:val="18"/>
          <w:szCs w:val="18"/>
          <w:lang w:val="es-ES_tradnl"/>
        </w:rPr>
        <w:t>n fue presentada en contra de la sentencia dictada</w:t>
      </w:r>
    </w:p>
    <w:p w14:paraId="4F67B571" w14:textId="77777777" w:rsidR="00591D54" w:rsidRDefault="00591D54">
      <w:pPr>
        <w:shd w:val="clear" w:color="auto" w:fill="FFFFFF"/>
        <w:spacing w:before="197" w:line="216" w:lineRule="exact"/>
        <w:ind w:right="5"/>
        <w:jc w:val="both"/>
        <w:sectPr w:rsidR="00591D54">
          <w:type w:val="continuous"/>
          <w:pgSz w:w="11909" w:h="16834"/>
          <w:pgMar w:top="1378" w:right="1304" w:bottom="360" w:left="1308" w:header="720" w:footer="720" w:gutter="0"/>
          <w:cols w:num="2" w:space="720" w:equalWidth="0">
            <w:col w:w="4305" w:space="682"/>
            <w:col w:w="4310"/>
          </w:cols>
          <w:noEndnote/>
        </w:sectPr>
      </w:pPr>
    </w:p>
    <w:p w14:paraId="4F67B572" w14:textId="77777777" w:rsidR="00591D54" w:rsidRDefault="00591D54">
      <w:pPr>
        <w:shd w:val="clear" w:color="auto" w:fill="FFFFFF"/>
        <w:tabs>
          <w:tab w:val="left" w:pos="4814"/>
        </w:tabs>
        <w:spacing w:after="230"/>
        <w:ind w:left="5"/>
      </w:pPr>
      <w:r>
        <w:rPr>
          <w:b/>
          <w:bCs/>
          <w:sz w:val="18"/>
          <w:szCs w:val="18"/>
          <w:lang w:val="es-ES_tradnl"/>
        </w:rPr>
        <w:t xml:space="preserve">220 -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573" w14:textId="77777777" w:rsidR="00591D54" w:rsidRDefault="00591D54">
      <w:pPr>
        <w:shd w:val="clear" w:color="auto" w:fill="FFFFFF"/>
        <w:tabs>
          <w:tab w:val="left" w:pos="4814"/>
        </w:tabs>
        <w:spacing w:after="230"/>
        <w:ind w:left="5"/>
        <w:sectPr w:rsidR="00591D54">
          <w:pgSz w:w="11909" w:h="16834"/>
          <w:pgMar w:top="1356" w:right="1309" w:bottom="360" w:left="1308" w:header="720" w:footer="720" w:gutter="0"/>
          <w:cols w:space="60"/>
          <w:noEndnote/>
        </w:sectPr>
      </w:pPr>
    </w:p>
    <w:p w14:paraId="4F67B574" w14:textId="77777777" w:rsidR="00591D54" w:rsidRDefault="00591D54">
      <w:pPr>
        <w:shd w:val="clear" w:color="auto" w:fill="FFFFFF"/>
        <w:spacing w:line="230" w:lineRule="exact"/>
        <w:jc w:val="both"/>
      </w:pPr>
      <w:r>
        <w:rPr>
          <w:spacing w:val="-9"/>
          <w:sz w:val="18"/>
          <w:szCs w:val="18"/>
          <w:lang w:val="es-ES_tradnl"/>
        </w:rPr>
        <w:t xml:space="preserve">el 05 de enero de 2011, por la Segunda Sala Especializada </w:t>
      </w:r>
      <w:r>
        <w:rPr>
          <w:spacing w:val="-5"/>
          <w:sz w:val="18"/>
          <w:szCs w:val="18"/>
          <w:lang w:val="es-ES_tradnl"/>
        </w:rPr>
        <w:t xml:space="preserve">de lo Penal de la Corte Provincial del Azuay, dentro de la </w:t>
      </w:r>
      <w:r>
        <w:rPr>
          <w:sz w:val="18"/>
          <w:szCs w:val="18"/>
          <w:lang w:val="es-ES_tradnl"/>
        </w:rPr>
        <w:t>acci</w:t>
      </w:r>
      <w:r>
        <w:rPr>
          <w:rFonts w:cs="Times New Roman"/>
          <w:sz w:val="18"/>
          <w:szCs w:val="18"/>
          <w:lang w:val="es-ES_tradnl"/>
        </w:rPr>
        <w:t>ó</w:t>
      </w:r>
      <w:r>
        <w:rPr>
          <w:sz w:val="18"/>
          <w:szCs w:val="18"/>
          <w:lang w:val="es-ES_tradnl"/>
        </w:rPr>
        <w:t>n de protecci</w:t>
      </w:r>
      <w:r>
        <w:rPr>
          <w:rFonts w:cs="Times New Roman"/>
          <w:sz w:val="18"/>
          <w:szCs w:val="18"/>
          <w:lang w:val="es-ES_tradnl"/>
        </w:rPr>
        <w:t>ó</w:t>
      </w:r>
      <w:r>
        <w:rPr>
          <w:sz w:val="18"/>
          <w:szCs w:val="18"/>
          <w:lang w:val="es-ES_tradnl"/>
        </w:rPr>
        <w:t>n N.</w:t>
      </w:r>
      <w:r>
        <w:rPr>
          <w:rFonts w:cs="Times New Roman"/>
          <w:sz w:val="18"/>
          <w:szCs w:val="18"/>
          <w:lang w:val="es-ES_tradnl"/>
        </w:rPr>
        <w:t>º</w:t>
      </w:r>
      <w:r>
        <w:rPr>
          <w:sz w:val="18"/>
          <w:szCs w:val="18"/>
          <w:lang w:val="es-ES_tradnl"/>
        </w:rPr>
        <w:t xml:space="preserve"> 0337-10.</w:t>
      </w:r>
    </w:p>
    <w:p w14:paraId="4F67B575" w14:textId="77777777" w:rsidR="00591D54" w:rsidRDefault="00591D54">
      <w:pPr>
        <w:shd w:val="clear" w:color="auto" w:fill="FFFFFF"/>
        <w:spacing w:before="235" w:line="235" w:lineRule="exact"/>
        <w:jc w:val="both"/>
      </w:pPr>
      <w:r>
        <w:rPr>
          <w:b/>
          <w:bCs/>
          <w:spacing w:val="-6"/>
          <w:sz w:val="18"/>
          <w:szCs w:val="18"/>
          <w:lang w:val="es-ES_tradnl"/>
        </w:rPr>
        <w:t>Naturaleza jur</w:t>
      </w:r>
      <w:r>
        <w:rPr>
          <w:rFonts w:cs="Times New Roman"/>
          <w:b/>
          <w:bCs/>
          <w:spacing w:val="-6"/>
          <w:sz w:val="18"/>
          <w:szCs w:val="18"/>
          <w:lang w:val="es-ES_tradnl"/>
        </w:rPr>
        <w:t>í</w:t>
      </w:r>
      <w:r>
        <w:rPr>
          <w:b/>
          <w:bCs/>
          <w:spacing w:val="-6"/>
          <w:sz w:val="18"/>
          <w:szCs w:val="18"/>
          <w:lang w:val="es-ES_tradnl"/>
        </w:rPr>
        <w:t>dica, alcances y efectos de la acci</w:t>
      </w:r>
      <w:r>
        <w:rPr>
          <w:rFonts w:cs="Times New Roman"/>
          <w:b/>
          <w:bCs/>
          <w:spacing w:val="-6"/>
          <w:sz w:val="18"/>
          <w:szCs w:val="18"/>
          <w:lang w:val="es-ES_tradnl"/>
        </w:rPr>
        <w:t>ó</w:t>
      </w:r>
      <w:r>
        <w:rPr>
          <w:b/>
          <w:bCs/>
          <w:spacing w:val="-6"/>
          <w:sz w:val="18"/>
          <w:szCs w:val="18"/>
          <w:lang w:val="es-ES_tradnl"/>
        </w:rPr>
        <w:t xml:space="preserve">n </w:t>
      </w:r>
      <w:r>
        <w:rPr>
          <w:b/>
          <w:bCs/>
          <w:sz w:val="18"/>
          <w:szCs w:val="18"/>
          <w:lang w:val="es-ES_tradnl"/>
        </w:rPr>
        <w:t>extraordinaria de protecci</w:t>
      </w:r>
      <w:r>
        <w:rPr>
          <w:rFonts w:cs="Times New Roman"/>
          <w:b/>
          <w:bCs/>
          <w:sz w:val="18"/>
          <w:szCs w:val="18"/>
          <w:lang w:val="es-ES_tradnl"/>
        </w:rPr>
        <w:t>ó</w:t>
      </w:r>
      <w:r>
        <w:rPr>
          <w:b/>
          <w:bCs/>
          <w:sz w:val="18"/>
          <w:szCs w:val="18"/>
          <w:lang w:val="es-ES_tradnl"/>
        </w:rPr>
        <w:t>n</w:t>
      </w:r>
    </w:p>
    <w:p w14:paraId="4F67B576" w14:textId="77777777" w:rsidR="00591D54" w:rsidRDefault="00591D54">
      <w:pPr>
        <w:shd w:val="clear" w:color="auto" w:fill="FFFFFF"/>
        <w:spacing w:before="240" w:line="230" w:lineRule="exact"/>
        <w:jc w:val="both"/>
      </w:pPr>
      <w:r>
        <w:rPr>
          <w:spacing w:val="-3"/>
          <w:sz w:val="18"/>
          <w:szCs w:val="18"/>
          <w:lang w:val="es-ES_tradnl"/>
        </w:rPr>
        <w:t>La acci</w:t>
      </w:r>
      <w:r>
        <w:rPr>
          <w:rFonts w:cs="Times New Roman"/>
          <w:spacing w:val="-3"/>
          <w:sz w:val="18"/>
          <w:szCs w:val="18"/>
          <w:lang w:val="es-ES_tradnl"/>
        </w:rPr>
        <w:t>ó</w:t>
      </w:r>
      <w:r>
        <w:rPr>
          <w:spacing w:val="-3"/>
          <w:sz w:val="18"/>
          <w:szCs w:val="18"/>
          <w:lang w:val="es-ES_tradnl"/>
        </w:rPr>
        <w:t>n extraordinaria de protecci</w:t>
      </w:r>
      <w:r>
        <w:rPr>
          <w:rFonts w:cs="Times New Roman"/>
          <w:spacing w:val="-3"/>
          <w:sz w:val="18"/>
          <w:szCs w:val="18"/>
          <w:lang w:val="es-ES_tradnl"/>
        </w:rPr>
        <w:t>ó</w:t>
      </w:r>
      <w:r>
        <w:rPr>
          <w:spacing w:val="-3"/>
          <w:sz w:val="18"/>
          <w:szCs w:val="18"/>
          <w:lang w:val="es-ES_tradnl"/>
        </w:rPr>
        <w:t xml:space="preserve">n, prevista en el </w:t>
      </w:r>
      <w:r>
        <w:rPr>
          <w:spacing w:val="-5"/>
          <w:sz w:val="18"/>
          <w:szCs w:val="18"/>
          <w:lang w:val="es-ES_tradnl"/>
        </w:rPr>
        <w:t>art</w:t>
      </w:r>
      <w:r>
        <w:rPr>
          <w:rFonts w:cs="Times New Roman"/>
          <w:spacing w:val="-5"/>
          <w:sz w:val="18"/>
          <w:szCs w:val="18"/>
          <w:lang w:val="es-ES_tradnl"/>
        </w:rPr>
        <w:t>í</w:t>
      </w:r>
      <w:r>
        <w:rPr>
          <w:spacing w:val="-5"/>
          <w:sz w:val="18"/>
          <w:szCs w:val="18"/>
          <w:lang w:val="es-ES_tradnl"/>
        </w:rPr>
        <w:t>culo 94 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 xml:space="preserve">blica, constituye </w:t>
      </w:r>
      <w:r>
        <w:rPr>
          <w:spacing w:val="-3"/>
          <w:sz w:val="18"/>
          <w:szCs w:val="18"/>
          <w:lang w:val="es-ES_tradnl"/>
        </w:rPr>
        <w:t>una garant</w:t>
      </w:r>
      <w:r>
        <w:rPr>
          <w:rFonts w:cs="Times New Roman"/>
          <w:spacing w:val="-3"/>
          <w:sz w:val="18"/>
          <w:szCs w:val="18"/>
          <w:lang w:val="es-ES_tradnl"/>
        </w:rPr>
        <w:t>í</w:t>
      </w:r>
      <w:r>
        <w:rPr>
          <w:spacing w:val="-3"/>
          <w:sz w:val="18"/>
          <w:szCs w:val="18"/>
          <w:lang w:val="es-ES_tradnl"/>
        </w:rPr>
        <w:t xml:space="preserve">a jurisdiccional creada por el constituyente </w:t>
      </w:r>
      <w:r>
        <w:rPr>
          <w:spacing w:val="-9"/>
          <w:sz w:val="18"/>
          <w:szCs w:val="18"/>
          <w:lang w:val="es-ES_tradnl"/>
        </w:rPr>
        <w:t xml:space="preserve">para proteger los derechos constitucionales de las personas </w:t>
      </w:r>
      <w:r>
        <w:rPr>
          <w:spacing w:val="-3"/>
          <w:sz w:val="18"/>
          <w:szCs w:val="18"/>
          <w:lang w:val="es-ES_tradnl"/>
        </w:rPr>
        <w:t>en contra de cualquier vulneraci</w:t>
      </w:r>
      <w:r>
        <w:rPr>
          <w:rFonts w:cs="Times New Roman"/>
          <w:spacing w:val="-3"/>
          <w:sz w:val="18"/>
          <w:szCs w:val="18"/>
          <w:lang w:val="es-ES_tradnl"/>
        </w:rPr>
        <w:t>ó</w:t>
      </w:r>
      <w:r>
        <w:rPr>
          <w:spacing w:val="-3"/>
          <w:sz w:val="18"/>
          <w:szCs w:val="18"/>
          <w:lang w:val="es-ES_tradnl"/>
        </w:rPr>
        <w:t xml:space="preserve">n que se produzca </w:t>
      </w:r>
      <w:r>
        <w:rPr>
          <w:spacing w:val="-6"/>
          <w:sz w:val="18"/>
          <w:szCs w:val="18"/>
          <w:lang w:val="es-ES_tradnl"/>
        </w:rPr>
        <w:t>mediante actos jurisdiccionales. Esta acci</w:t>
      </w:r>
      <w:r>
        <w:rPr>
          <w:rFonts w:cs="Times New Roman"/>
          <w:spacing w:val="-6"/>
          <w:sz w:val="18"/>
          <w:szCs w:val="18"/>
          <w:lang w:val="es-ES_tradnl"/>
        </w:rPr>
        <w:t>ó</w:t>
      </w:r>
      <w:r>
        <w:rPr>
          <w:spacing w:val="-6"/>
          <w:sz w:val="18"/>
          <w:szCs w:val="18"/>
          <w:lang w:val="es-ES_tradnl"/>
        </w:rPr>
        <w:t xml:space="preserve">n nace y existe </w:t>
      </w:r>
      <w:r>
        <w:rPr>
          <w:spacing w:val="-7"/>
          <w:sz w:val="18"/>
          <w:szCs w:val="18"/>
          <w:lang w:val="es-ES_tradnl"/>
        </w:rPr>
        <w:t xml:space="preserve">para garantizar y defender el respeto de los derechos </w:t>
      </w:r>
      <w:r>
        <w:rPr>
          <w:spacing w:val="-5"/>
          <w:sz w:val="18"/>
          <w:szCs w:val="18"/>
          <w:lang w:val="es-ES_tradnl"/>
        </w:rPr>
        <w:t xml:space="preserve">constitucionales y el debido proceso. Por consiguiente, </w:t>
      </w:r>
      <w:r>
        <w:rPr>
          <w:spacing w:val="-6"/>
          <w:sz w:val="18"/>
          <w:szCs w:val="18"/>
          <w:lang w:val="es-ES_tradnl"/>
        </w:rPr>
        <w:t xml:space="preserve">tiene como fin proteger, precautelar, tutelar y amparar los </w:t>
      </w:r>
      <w:r>
        <w:rPr>
          <w:spacing w:val="-7"/>
          <w:sz w:val="18"/>
          <w:szCs w:val="18"/>
          <w:lang w:val="es-ES_tradnl"/>
        </w:rPr>
        <w:t>derechos de las personas que, por acci</w:t>
      </w:r>
      <w:r>
        <w:rPr>
          <w:rFonts w:cs="Times New Roman"/>
          <w:spacing w:val="-7"/>
          <w:sz w:val="18"/>
          <w:szCs w:val="18"/>
          <w:lang w:val="es-ES_tradnl"/>
        </w:rPr>
        <w:t>ó</w:t>
      </w:r>
      <w:r>
        <w:rPr>
          <w:spacing w:val="-7"/>
          <w:sz w:val="18"/>
          <w:szCs w:val="18"/>
          <w:lang w:val="es-ES_tradnl"/>
        </w:rPr>
        <w:t>n u omisi</w:t>
      </w:r>
      <w:r>
        <w:rPr>
          <w:rFonts w:cs="Times New Roman"/>
          <w:spacing w:val="-7"/>
          <w:sz w:val="18"/>
          <w:szCs w:val="18"/>
          <w:lang w:val="es-ES_tradnl"/>
        </w:rPr>
        <w:t>ó</w:t>
      </w:r>
      <w:r>
        <w:rPr>
          <w:spacing w:val="-7"/>
          <w:sz w:val="18"/>
          <w:szCs w:val="18"/>
          <w:lang w:val="es-ES_tradnl"/>
        </w:rPr>
        <w:t xml:space="preserve">n, sean </w:t>
      </w:r>
      <w:r>
        <w:rPr>
          <w:sz w:val="18"/>
          <w:szCs w:val="18"/>
          <w:lang w:val="es-ES_tradnl"/>
        </w:rPr>
        <w:t>vulnerados en las decisiones judiciales.</w:t>
      </w:r>
    </w:p>
    <w:p w14:paraId="4F67B577" w14:textId="77777777" w:rsidR="00591D54" w:rsidRDefault="00591D54">
      <w:pPr>
        <w:shd w:val="clear" w:color="auto" w:fill="FFFFFF"/>
        <w:spacing w:before="240" w:line="230" w:lineRule="exact"/>
        <w:jc w:val="both"/>
      </w:pPr>
      <w:r>
        <w:rPr>
          <w:spacing w:val="-5"/>
          <w:sz w:val="18"/>
          <w:szCs w:val="18"/>
          <w:lang w:val="es-ES_tradnl"/>
        </w:rPr>
        <w:t>En este sentido, de acuerdo con el art</w:t>
      </w:r>
      <w:r>
        <w:rPr>
          <w:rFonts w:cs="Times New Roman"/>
          <w:spacing w:val="-5"/>
          <w:sz w:val="18"/>
          <w:szCs w:val="18"/>
          <w:lang w:val="es-ES_tradnl"/>
        </w:rPr>
        <w:t>í</w:t>
      </w:r>
      <w:r>
        <w:rPr>
          <w:spacing w:val="-5"/>
          <w:sz w:val="18"/>
          <w:szCs w:val="18"/>
          <w:lang w:val="es-ES_tradnl"/>
        </w:rPr>
        <w:t xml:space="preserve">culo 437 de la </w:t>
      </w:r>
      <w:r>
        <w:rPr>
          <w:sz w:val="18"/>
          <w:szCs w:val="18"/>
          <w:lang w:val="es-ES_tradnl"/>
        </w:rPr>
        <w:t>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 la acci</w:t>
      </w:r>
      <w:r>
        <w:rPr>
          <w:rFonts w:cs="Times New Roman"/>
          <w:sz w:val="18"/>
          <w:szCs w:val="18"/>
          <w:lang w:val="es-ES_tradnl"/>
        </w:rPr>
        <w:t>ó</w:t>
      </w:r>
      <w:r>
        <w:rPr>
          <w:sz w:val="18"/>
          <w:szCs w:val="18"/>
          <w:lang w:val="es-ES_tradnl"/>
        </w:rPr>
        <w:t xml:space="preserve">n extraordinaria </w:t>
      </w:r>
      <w:r>
        <w:rPr>
          <w:spacing w:val="-6"/>
          <w:sz w:val="18"/>
          <w:szCs w:val="18"/>
          <w:lang w:val="es-ES_tradnl"/>
        </w:rPr>
        <w:t>de protecci</w:t>
      </w:r>
      <w:r>
        <w:rPr>
          <w:rFonts w:cs="Times New Roman"/>
          <w:spacing w:val="-6"/>
          <w:sz w:val="18"/>
          <w:szCs w:val="18"/>
          <w:lang w:val="es-ES_tradnl"/>
        </w:rPr>
        <w:t>ó</w:t>
      </w:r>
      <w:r>
        <w:rPr>
          <w:spacing w:val="-6"/>
          <w:sz w:val="18"/>
          <w:szCs w:val="18"/>
          <w:lang w:val="es-ES_tradnl"/>
        </w:rPr>
        <w:t xml:space="preserve">n procede </w:t>
      </w:r>
      <w:r>
        <w:rPr>
          <w:rFonts w:cs="Times New Roman"/>
          <w:spacing w:val="-6"/>
          <w:sz w:val="18"/>
          <w:szCs w:val="18"/>
          <w:lang w:val="es-ES_tradnl"/>
        </w:rPr>
        <w:t>ú</w:t>
      </w:r>
      <w:r>
        <w:rPr>
          <w:spacing w:val="-6"/>
          <w:sz w:val="18"/>
          <w:szCs w:val="18"/>
          <w:lang w:val="es-ES_tradnl"/>
        </w:rPr>
        <w:t xml:space="preserve">nicamente cuando se trate de </w:t>
      </w:r>
      <w:r>
        <w:rPr>
          <w:spacing w:val="-7"/>
          <w:sz w:val="18"/>
          <w:szCs w:val="18"/>
          <w:lang w:val="es-ES_tradnl"/>
        </w:rPr>
        <w:t xml:space="preserve">sentencias, autos definitivos y resoluciones con fuerza de </w:t>
      </w:r>
      <w:r>
        <w:rPr>
          <w:spacing w:val="-9"/>
          <w:sz w:val="18"/>
          <w:szCs w:val="18"/>
          <w:lang w:val="es-ES_tradnl"/>
        </w:rPr>
        <w:t xml:space="preserve">sentencia, que se encuentren firmes o ejecutoriados, en los </w:t>
      </w:r>
      <w:r>
        <w:rPr>
          <w:spacing w:val="-8"/>
          <w:sz w:val="18"/>
          <w:szCs w:val="18"/>
          <w:lang w:val="es-ES_tradnl"/>
        </w:rPr>
        <w:t xml:space="preserve">que el accionante demuestre que en el juzgamiento se ha </w:t>
      </w:r>
      <w:r>
        <w:rPr>
          <w:spacing w:val="-4"/>
          <w:sz w:val="18"/>
          <w:szCs w:val="18"/>
          <w:lang w:val="es-ES_tradnl"/>
        </w:rPr>
        <w:t>violado, por acci</w:t>
      </w:r>
      <w:r>
        <w:rPr>
          <w:rFonts w:cs="Times New Roman"/>
          <w:spacing w:val="-4"/>
          <w:sz w:val="18"/>
          <w:szCs w:val="18"/>
          <w:lang w:val="es-ES_tradnl"/>
        </w:rPr>
        <w:t>ó</w:t>
      </w:r>
      <w:r>
        <w:rPr>
          <w:spacing w:val="-4"/>
          <w:sz w:val="18"/>
          <w:szCs w:val="18"/>
          <w:lang w:val="es-ES_tradnl"/>
        </w:rPr>
        <w:t>n u omisi</w:t>
      </w:r>
      <w:r>
        <w:rPr>
          <w:rFonts w:cs="Times New Roman"/>
          <w:spacing w:val="-4"/>
          <w:sz w:val="18"/>
          <w:szCs w:val="18"/>
          <w:lang w:val="es-ES_tradnl"/>
        </w:rPr>
        <w:t>ó</w:t>
      </w:r>
      <w:r>
        <w:rPr>
          <w:spacing w:val="-4"/>
          <w:sz w:val="18"/>
          <w:szCs w:val="18"/>
          <w:lang w:val="es-ES_tradnl"/>
        </w:rPr>
        <w:t>n, el debido proceso u otros derechos reconocidos en la Constituci</w:t>
      </w:r>
      <w:r>
        <w:rPr>
          <w:rFonts w:cs="Times New Roman"/>
          <w:spacing w:val="-4"/>
          <w:sz w:val="18"/>
          <w:szCs w:val="18"/>
          <w:lang w:val="es-ES_tradnl"/>
        </w:rPr>
        <w:t>ó</w:t>
      </w:r>
      <w:r>
        <w:rPr>
          <w:spacing w:val="-4"/>
          <w:sz w:val="18"/>
          <w:szCs w:val="18"/>
          <w:lang w:val="es-ES_tradnl"/>
        </w:rPr>
        <w:t>n. As</w:t>
      </w:r>
      <w:r>
        <w:rPr>
          <w:rFonts w:cs="Times New Roman"/>
          <w:spacing w:val="-4"/>
          <w:sz w:val="18"/>
          <w:szCs w:val="18"/>
          <w:lang w:val="es-ES_tradnl"/>
        </w:rPr>
        <w:t>í</w:t>
      </w:r>
      <w:r>
        <w:rPr>
          <w:spacing w:val="-4"/>
          <w:sz w:val="18"/>
          <w:szCs w:val="18"/>
          <w:lang w:val="es-ES_tradnl"/>
        </w:rPr>
        <w:t xml:space="preserve">, la Corte </w:t>
      </w:r>
      <w:r>
        <w:rPr>
          <w:spacing w:val="-7"/>
          <w:sz w:val="18"/>
          <w:szCs w:val="18"/>
          <w:lang w:val="es-ES_tradnl"/>
        </w:rPr>
        <w:t>Constitucional, por medio de esta acci</w:t>
      </w:r>
      <w:r>
        <w:rPr>
          <w:rFonts w:cs="Times New Roman"/>
          <w:spacing w:val="-7"/>
          <w:sz w:val="18"/>
          <w:szCs w:val="18"/>
          <w:lang w:val="es-ES_tradnl"/>
        </w:rPr>
        <w:t>ó</w:t>
      </w:r>
      <w:r>
        <w:rPr>
          <w:spacing w:val="-7"/>
          <w:sz w:val="18"/>
          <w:szCs w:val="18"/>
          <w:lang w:val="es-ES_tradnl"/>
        </w:rPr>
        <w:t xml:space="preserve">n excepcional, solo </w:t>
      </w:r>
      <w:r>
        <w:rPr>
          <w:spacing w:val="-6"/>
          <w:sz w:val="18"/>
          <w:szCs w:val="18"/>
          <w:lang w:val="es-ES_tradnl"/>
        </w:rPr>
        <w:t>se pronunciar</w:t>
      </w:r>
      <w:r>
        <w:rPr>
          <w:rFonts w:cs="Times New Roman"/>
          <w:spacing w:val="-6"/>
          <w:sz w:val="18"/>
          <w:szCs w:val="18"/>
          <w:lang w:val="es-ES_tradnl"/>
        </w:rPr>
        <w:t>á</w:t>
      </w:r>
      <w:r>
        <w:rPr>
          <w:spacing w:val="-6"/>
          <w:sz w:val="18"/>
          <w:szCs w:val="18"/>
          <w:lang w:val="es-ES_tradnl"/>
        </w:rPr>
        <w:t xml:space="preserve"> respecto a dos cuestiones principales: la vulneraci</w:t>
      </w:r>
      <w:r>
        <w:rPr>
          <w:rFonts w:cs="Times New Roman"/>
          <w:spacing w:val="-6"/>
          <w:sz w:val="18"/>
          <w:szCs w:val="18"/>
          <w:lang w:val="es-ES_tradnl"/>
        </w:rPr>
        <w:t>ó</w:t>
      </w:r>
      <w:r>
        <w:rPr>
          <w:spacing w:val="-6"/>
          <w:sz w:val="18"/>
          <w:szCs w:val="18"/>
          <w:lang w:val="es-ES_tradnl"/>
        </w:rPr>
        <w:t>n de derechos constitucionales o la vulneraci</w:t>
      </w:r>
      <w:r>
        <w:rPr>
          <w:rFonts w:cs="Times New Roman"/>
          <w:spacing w:val="-6"/>
          <w:sz w:val="18"/>
          <w:szCs w:val="18"/>
          <w:lang w:val="es-ES_tradnl"/>
        </w:rPr>
        <w:t>ó</w:t>
      </w:r>
      <w:r>
        <w:rPr>
          <w:spacing w:val="-6"/>
          <w:sz w:val="18"/>
          <w:szCs w:val="18"/>
          <w:lang w:val="es-ES_tradnl"/>
        </w:rPr>
        <w:t xml:space="preserve">n </w:t>
      </w:r>
      <w:r>
        <w:rPr>
          <w:sz w:val="18"/>
          <w:szCs w:val="18"/>
          <w:lang w:val="es-ES_tradnl"/>
        </w:rPr>
        <w:t>de normas del debido proceso.</w:t>
      </w:r>
    </w:p>
    <w:p w14:paraId="4F67B578" w14:textId="77777777" w:rsidR="00591D54" w:rsidRDefault="00591D54">
      <w:pPr>
        <w:shd w:val="clear" w:color="auto" w:fill="FFFFFF"/>
        <w:spacing w:before="240" w:line="230" w:lineRule="exact"/>
        <w:jc w:val="both"/>
      </w:pPr>
      <w:r>
        <w:rPr>
          <w:spacing w:val="-4"/>
          <w:sz w:val="18"/>
          <w:szCs w:val="18"/>
          <w:lang w:val="es-ES_tradnl"/>
        </w:rPr>
        <w:t>Cabe se</w:t>
      </w:r>
      <w:r>
        <w:rPr>
          <w:rFonts w:cs="Times New Roman"/>
          <w:spacing w:val="-4"/>
          <w:sz w:val="18"/>
          <w:szCs w:val="18"/>
          <w:lang w:val="es-ES_tradnl"/>
        </w:rPr>
        <w:t>ñ</w:t>
      </w:r>
      <w:r>
        <w:rPr>
          <w:spacing w:val="-4"/>
          <w:sz w:val="18"/>
          <w:szCs w:val="18"/>
          <w:lang w:val="es-ES_tradnl"/>
        </w:rPr>
        <w:t>alar que la acci</w:t>
      </w:r>
      <w:r>
        <w:rPr>
          <w:rFonts w:cs="Times New Roman"/>
          <w:spacing w:val="-4"/>
          <w:sz w:val="18"/>
          <w:szCs w:val="18"/>
          <w:lang w:val="es-ES_tradnl"/>
        </w:rPr>
        <w:t>ó</w:t>
      </w:r>
      <w:r>
        <w:rPr>
          <w:spacing w:val="-4"/>
          <w:sz w:val="18"/>
          <w:szCs w:val="18"/>
          <w:lang w:val="es-ES_tradnl"/>
        </w:rPr>
        <w:t>n extraordinaria de protecci</w:t>
      </w:r>
      <w:r>
        <w:rPr>
          <w:rFonts w:cs="Times New Roman"/>
          <w:spacing w:val="-4"/>
          <w:sz w:val="18"/>
          <w:szCs w:val="18"/>
          <w:lang w:val="es-ES_tradnl"/>
        </w:rPr>
        <w:t>ó</w:t>
      </w:r>
      <w:r>
        <w:rPr>
          <w:spacing w:val="-4"/>
          <w:sz w:val="18"/>
          <w:szCs w:val="18"/>
          <w:lang w:val="es-ES_tradnl"/>
        </w:rPr>
        <w:t xml:space="preserve">n </w:t>
      </w:r>
      <w:r>
        <w:rPr>
          <w:sz w:val="18"/>
          <w:szCs w:val="18"/>
          <w:lang w:val="es-ES_tradnl"/>
        </w:rPr>
        <w:t>es un mecanismo excepcional que busca garantizar la supremac</w:t>
      </w:r>
      <w:r>
        <w:rPr>
          <w:rFonts w:cs="Times New Roman"/>
          <w:sz w:val="18"/>
          <w:szCs w:val="18"/>
          <w:lang w:val="es-ES_tradnl"/>
        </w:rPr>
        <w:t>í</w:t>
      </w:r>
      <w:r>
        <w:rPr>
          <w:sz w:val="18"/>
          <w:szCs w:val="18"/>
          <w:lang w:val="es-ES_tradnl"/>
        </w:rPr>
        <w:t>a de la Constituci</w:t>
      </w:r>
      <w:r>
        <w:rPr>
          <w:rFonts w:cs="Times New Roman"/>
          <w:sz w:val="18"/>
          <w:szCs w:val="18"/>
          <w:lang w:val="es-ES_tradnl"/>
        </w:rPr>
        <w:t>ó</w:t>
      </w:r>
      <w:r>
        <w:rPr>
          <w:sz w:val="18"/>
          <w:szCs w:val="18"/>
          <w:lang w:val="es-ES_tradnl"/>
        </w:rPr>
        <w:t xml:space="preserve">n frente a acciones </w:t>
      </w:r>
      <w:r>
        <w:rPr>
          <w:spacing w:val="-1"/>
          <w:sz w:val="18"/>
          <w:szCs w:val="18"/>
          <w:lang w:val="es-ES_tradnl"/>
        </w:rPr>
        <w:t>y omisiones, en este caso, de los jueces. As</w:t>
      </w:r>
      <w:r>
        <w:rPr>
          <w:rFonts w:cs="Times New Roman"/>
          <w:spacing w:val="-1"/>
          <w:sz w:val="18"/>
          <w:szCs w:val="18"/>
          <w:lang w:val="es-ES_tradnl"/>
        </w:rPr>
        <w:t>í</w:t>
      </w:r>
      <w:r>
        <w:rPr>
          <w:spacing w:val="-1"/>
          <w:sz w:val="18"/>
          <w:szCs w:val="18"/>
          <w:lang w:val="es-ES_tradnl"/>
        </w:rPr>
        <w:t xml:space="preserve">, la </w:t>
      </w:r>
      <w:r>
        <w:rPr>
          <w:spacing w:val="-3"/>
          <w:sz w:val="18"/>
          <w:szCs w:val="18"/>
          <w:lang w:val="es-ES_tradnl"/>
        </w:rPr>
        <w:t>incorporaci</w:t>
      </w:r>
      <w:r>
        <w:rPr>
          <w:rFonts w:cs="Times New Roman"/>
          <w:spacing w:val="-3"/>
          <w:sz w:val="18"/>
          <w:szCs w:val="18"/>
          <w:lang w:val="es-ES_tradnl"/>
        </w:rPr>
        <w:t>ó</w:t>
      </w:r>
      <w:r>
        <w:rPr>
          <w:spacing w:val="-3"/>
          <w:sz w:val="18"/>
          <w:szCs w:val="18"/>
          <w:lang w:val="es-ES_tradnl"/>
        </w:rPr>
        <w:t>n del control de constitucionalidad tambi</w:t>
      </w:r>
      <w:r>
        <w:rPr>
          <w:rFonts w:cs="Times New Roman"/>
          <w:spacing w:val="-3"/>
          <w:sz w:val="18"/>
          <w:szCs w:val="18"/>
          <w:lang w:val="es-ES_tradnl"/>
        </w:rPr>
        <w:t>é</w:t>
      </w:r>
      <w:r>
        <w:rPr>
          <w:spacing w:val="-3"/>
          <w:sz w:val="18"/>
          <w:szCs w:val="18"/>
          <w:lang w:val="es-ES_tradnl"/>
        </w:rPr>
        <w:t xml:space="preserve">n de las decisiones judiciales permite garantizar que, al </w:t>
      </w:r>
      <w:r>
        <w:rPr>
          <w:spacing w:val="-7"/>
          <w:sz w:val="18"/>
          <w:szCs w:val="18"/>
          <w:lang w:val="es-ES_tradnl"/>
        </w:rPr>
        <w:t>igual que cualquier decisi</w:t>
      </w:r>
      <w:r>
        <w:rPr>
          <w:rFonts w:cs="Times New Roman"/>
          <w:spacing w:val="-7"/>
          <w:sz w:val="18"/>
          <w:szCs w:val="18"/>
          <w:lang w:val="es-ES_tradnl"/>
        </w:rPr>
        <w:t>ó</w:t>
      </w:r>
      <w:r>
        <w:rPr>
          <w:spacing w:val="-7"/>
          <w:sz w:val="18"/>
          <w:szCs w:val="18"/>
          <w:lang w:val="es-ES_tradnl"/>
        </w:rPr>
        <w:t>n de autoridad p</w:t>
      </w:r>
      <w:r>
        <w:rPr>
          <w:rFonts w:cs="Times New Roman"/>
          <w:spacing w:val="-7"/>
          <w:sz w:val="18"/>
          <w:szCs w:val="18"/>
          <w:lang w:val="es-ES_tradnl"/>
        </w:rPr>
        <w:t>ú</w:t>
      </w:r>
      <w:r>
        <w:rPr>
          <w:spacing w:val="-7"/>
          <w:sz w:val="18"/>
          <w:szCs w:val="18"/>
          <w:lang w:val="es-ES_tradnl"/>
        </w:rPr>
        <w:t xml:space="preserve">blica, estas se </w:t>
      </w:r>
      <w:r>
        <w:rPr>
          <w:spacing w:val="-5"/>
          <w:sz w:val="18"/>
          <w:szCs w:val="18"/>
          <w:lang w:val="es-ES_tradnl"/>
        </w:rPr>
        <w:t>encuentren conformes al texto de la Constituci</w:t>
      </w:r>
      <w:r>
        <w:rPr>
          <w:rFonts w:cs="Times New Roman"/>
          <w:spacing w:val="-5"/>
          <w:sz w:val="18"/>
          <w:szCs w:val="18"/>
          <w:lang w:val="es-ES_tradnl"/>
        </w:rPr>
        <w:t>ó</w:t>
      </w:r>
      <w:r>
        <w:rPr>
          <w:spacing w:val="-5"/>
          <w:sz w:val="18"/>
          <w:szCs w:val="18"/>
          <w:lang w:val="es-ES_tradnl"/>
        </w:rPr>
        <w:t xml:space="preserve">n y, ante </w:t>
      </w:r>
      <w:r>
        <w:rPr>
          <w:spacing w:val="-8"/>
          <w:sz w:val="18"/>
          <w:szCs w:val="18"/>
          <w:lang w:val="es-ES_tradnl"/>
        </w:rPr>
        <w:t>todo, respeten los derechos de las partes procesales.</w:t>
      </w:r>
    </w:p>
    <w:p w14:paraId="4F67B579" w14:textId="77777777" w:rsidR="00591D54" w:rsidRDefault="00591D54">
      <w:pPr>
        <w:shd w:val="clear" w:color="auto" w:fill="FFFFFF"/>
        <w:spacing w:before="245"/>
      </w:pPr>
      <w:r>
        <w:rPr>
          <w:b/>
          <w:bCs/>
          <w:spacing w:val="-5"/>
          <w:sz w:val="18"/>
          <w:szCs w:val="18"/>
          <w:lang w:val="es-ES_tradnl"/>
        </w:rPr>
        <w:t>Determinaci</w:t>
      </w:r>
      <w:r>
        <w:rPr>
          <w:rFonts w:cs="Times New Roman"/>
          <w:b/>
          <w:bCs/>
          <w:spacing w:val="-5"/>
          <w:sz w:val="18"/>
          <w:szCs w:val="18"/>
          <w:lang w:val="es-ES_tradnl"/>
        </w:rPr>
        <w:t>ó</w:t>
      </w:r>
      <w:r>
        <w:rPr>
          <w:b/>
          <w:bCs/>
          <w:spacing w:val="-5"/>
          <w:sz w:val="18"/>
          <w:szCs w:val="18"/>
          <w:lang w:val="es-ES_tradnl"/>
        </w:rPr>
        <w:t>n del problema jur</w:t>
      </w:r>
      <w:r>
        <w:rPr>
          <w:rFonts w:cs="Times New Roman"/>
          <w:b/>
          <w:bCs/>
          <w:spacing w:val="-5"/>
          <w:sz w:val="18"/>
          <w:szCs w:val="18"/>
          <w:lang w:val="es-ES_tradnl"/>
        </w:rPr>
        <w:t>í</w:t>
      </w:r>
      <w:r>
        <w:rPr>
          <w:b/>
          <w:bCs/>
          <w:spacing w:val="-5"/>
          <w:sz w:val="18"/>
          <w:szCs w:val="18"/>
          <w:lang w:val="es-ES_tradnl"/>
        </w:rPr>
        <w:t>dico</w:t>
      </w:r>
    </w:p>
    <w:p w14:paraId="4F67B57A" w14:textId="77777777" w:rsidR="00591D54" w:rsidRDefault="00591D54">
      <w:pPr>
        <w:shd w:val="clear" w:color="auto" w:fill="FFFFFF"/>
        <w:spacing w:before="240" w:line="230" w:lineRule="exact"/>
        <w:jc w:val="both"/>
      </w:pPr>
      <w:r>
        <w:rPr>
          <w:sz w:val="18"/>
          <w:szCs w:val="18"/>
          <w:lang w:val="es-ES_tradnl"/>
        </w:rPr>
        <w:t xml:space="preserve">En este contexto, al Pleno de la Corte Constitucional </w:t>
      </w:r>
      <w:r>
        <w:rPr>
          <w:spacing w:val="-2"/>
          <w:sz w:val="18"/>
          <w:szCs w:val="18"/>
          <w:lang w:val="es-ES_tradnl"/>
        </w:rPr>
        <w:t xml:space="preserve">le corresponde examinar si la sentencia impugnada </w:t>
      </w:r>
      <w:r>
        <w:rPr>
          <w:spacing w:val="-5"/>
          <w:sz w:val="18"/>
          <w:szCs w:val="18"/>
          <w:lang w:val="es-ES_tradnl"/>
        </w:rPr>
        <w:t>vulner</w:t>
      </w:r>
      <w:r>
        <w:rPr>
          <w:rFonts w:cs="Times New Roman"/>
          <w:spacing w:val="-5"/>
          <w:sz w:val="18"/>
          <w:szCs w:val="18"/>
          <w:lang w:val="es-ES_tradnl"/>
        </w:rPr>
        <w:t>ó</w:t>
      </w:r>
      <w:r>
        <w:rPr>
          <w:spacing w:val="-5"/>
          <w:sz w:val="18"/>
          <w:szCs w:val="18"/>
          <w:lang w:val="es-ES_tradnl"/>
        </w:rPr>
        <w:t xml:space="preserve"> derechos constitucionales, para lo cual la Corte </w:t>
      </w:r>
      <w:r>
        <w:rPr>
          <w:spacing w:val="-6"/>
          <w:sz w:val="18"/>
          <w:szCs w:val="18"/>
          <w:lang w:val="es-ES_tradnl"/>
        </w:rPr>
        <w:t xml:space="preserve">Constitucional, luego de revisar de modo contextualizado </w:t>
      </w:r>
      <w:r>
        <w:rPr>
          <w:spacing w:val="-1"/>
          <w:sz w:val="18"/>
          <w:szCs w:val="18"/>
          <w:lang w:val="es-ES_tradnl"/>
        </w:rPr>
        <w:t xml:space="preserve">las alegaciones formuladas por el accionante, ha </w:t>
      </w:r>
      <w:r>
        <w:rPr>
          <w:spacing w:val="-6"/>
          <w:sz w:val="18"/>
          <w:szCs w:val="18"/>
          <w:lang w:val="es-ES_tradnl"/>
        </w:rPr>
        <w:t>considerado pertinente formular un problema jur</w:t>
      </w:r>
      <w:r>
        <w:rPr>
          <w:rFonts w:cs="Times New Roman"/>
          <w:spacing w:val="-6"/>
          <w:sz w:val="18"/>
          <w:szCs w:val="18"/>
          <w:lang w:val="es-ES_tradnl"/>
        </w:rPr>
        <w:t>í</w:t>
      </w:r>
      <w:r>
        <w:rPr>
          <w:spacing w:val="-6"/>
          <w:sz w:val="18"/>
          <w:szCs w:val="18"/>
          <w:lang w:val="es-ES_tradnl"/>
        </w:rPr>
        <w:t>dico que abarque de modo un</w:t>
      </w:r>
      <w:r>
        <w:rPr>
          <w:rFonts w:cs="Times New Roman"/>
          <w:spacing w:val="-6"/>
          <w:sz w:val="18"/>
          <w:szCs w:val="18"/>
          <w:lang w:val="es-ES_tradnl"/>
        </w:rPr>
        <w:t>í</w:t>
      </w:r>
      <w:r>
        <w:rPr>
          <w:spacing w:val="-6"/>
          <w:sz w:val="18"/>
          <w:szCs w:val="18"/>
          <w:lang w:val="es-ES_tradnl"/>
        </w:rPr>
        <w:t xml:space="preserve">voco dichas alegaciones, y para el </w:t>
      </w:r>
      <w:r>
        <w:rPr>
          <w:sz w:val="18"/>
          <w:szCs w:val="18"/>
          <w:lang w:val="es-ES_tradnl"/>
        </w:rPr>
        <w:t>efecto se plantea lo siguiente:</w:t>
      </w:r>
    </w:p>
    <w:p w14:paraId="4F67B57B" w14:textId="77777777" w:rsidR="00591D54" w:rsidRDefault="00591D54">
      <w:pPr>
        <w:shd w:val="clear" w:color="auto" w:fill="FFFFFF"/>
        <w:spacing w:before="240" w:line="230" w:lineRule="exact"/>
        <w:jc w:val="both"/>
      </w:pPr>
      <w:r>
        <w:rPr>
          <w:spacing w:val="-10"/>
          <w:sz w:val="18"/>
          <w:szCs w:val="18"/>
          <w:lang w:val="es-ES_tradnl"/>
        </w:rPr>
        <w:t xml:space="preserve">La sentencia expedida el 5 de enero de 2011, por los jueces </w:t>
      </w:r>
      <w:r>
        <w:rPr>
          <w:spacing w:val="-5"/>
          <w:sz w:val="18"/>
          <w:szCs w:val="18"/>
          <w:lang w:val="es-ES_tradnl"/>
        </w:rPr>
        <w:t>de la Segunda Sala Especializada de lo Penal y Tr</w:t>
      </w:r>
      <w:r>
        <w:rPr>
          <w:rFonts w:cs="Times New Roman"/>
          <w:spacing w:val="-5"/>
          <w:sz w:val="18"/>
          <w:szCs w:val="18"/>
          <w:lang w:val="es-ES_tradnl"/>
        </w:rPr>
        <w:t>á</w:t>
      </w:r>
      <w:r>
        <w:rPr>
          <w:spacing w:val="-5"/>
          <w:sz w:val="18"/>
          <w:szCs w:val="18"/>
          <w:lang w:val="es-ES_tradnl"/>
        </w:rPr>
        <w:t xml:space="preserve">nsito </w:t>
      </w:r>
      <w:r>
        <w:rPr>
          <w:spacing w:val="-4"/>
          <w:sz w:val="18"/>
          <w:szCs w:val="18"/>
          <w:lang w:val="es-ES_tradnl"/>
        </w:rPr>
        <w:t xml:space="preserve">de la Corte Provincial de Justicia del Azuay, </w:t>
      </w:r>
      <w:r>
        <w:rPr>
          <w:rFonts w:cs="Times New Roman"/>
          <w:spacing w:val="-4"/>
          <w:sz w:val="18"/>
          <w:szCs w:val="18"/>
          <w:lang w:val="es-ES_tradnl"/>
        </w:rPr>
        <w:t>¿</w:t>
      </w:r>
      <w:r>
        <w:rPr>
          <w:spacing w:val="-4"/>
          <w:sz w:val="18"/>
          <w:szCs w:val="18"/>
          <w:lang w:val="es-ES_tradnl"/>
        </w:rPr>
        <w:t>vulner</w:t>
      </w:r>
      <w:r>
        <w:rPr>
          <w:rFonts w:cs="Times New Roman"/>
          <w:spacing w:val="-4"/>
          <w:sz w:val="18"/>
          <w:szCs w:val="18"/>
          <w:lang w:val="es-ES_tradnl"/>
        </w:rPr>
        <w:t>ó</w:t>
      </w:r>
      <w:r>
        <w:rPr>
          <w:spacing w:val="-4"/>
          <w:sz w:val="18"/>
          <w:szCs w:val="18"/>
          <w:lang w:val="es-ES_tradnl"/>
        </w:rPr>
        <w:t xml:space="preserve"> el </w:t>
      </w:r>
      <w:r>
        <w:rPr>
          <w:spacing w:val="-5"/>
          <w:sz w:val="18"/>
          <w:szCs w:val="18"/>
          <w:lang w:val="es-ES_tradnl"/>
        </w:rPr>
        <w:t>derecho a la seguridad jur</w:t>
      </w:r>
      <w:r>
        <w:rPr>
          <w:rFonts w:cs="Times New Roman"/>
          <w:spacing w:val="-5"/>
          <w:sz w:val="18"/>
          <w:szCs w:val="18"/>
          <w:lang w:val="es-ES_tradnl"/>
        </w:rPr>
        <w:t>í</w:t>
      </w:r>
      <w:r>
        <w:rPr>
          <w:spacing w:val="-5"/>
          <w:sz w:val="18"/>
          <w:szCs w:val="18"/>
          <w:lang w:val="es-ES_tradnl"/>
        </w:rPr>
        <w:t>dica, establecido en el art</w:t>
      </w:r>
      <w:r>
        <w:rPr>
          <w:rFonts w:cs="Times New Roman"/>
          <w:spacing w:val="-5"/>
          <w:sz w:val="18"/>
          <w:szCs w:val="18"/>
          <w:lang w:val="es-ES_tradnl"/>
        </w:rPr>
        <w:t>í</w:t>
      </w:r>
      <w:r>
        <w:rPr>
          <w:spacing w:val="-5"/>
          <w:sz w:val="18"/>
          <w:szCs w:val="18"/>
          <w:lang w:val="es-ES_tradnl"/>
        </w:rPr>
        <w:t>culo 82 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blica del Ecuador?</w:t>
      </w:r>
    </w:p>
    <w:p w14:paraId="4F67B57C" w14:textId="77777777" w:rsidR="00591D54" w:rsidRDefault="00591D54">
      <w:pPr>
        <w:shd w:val="clear" w:color="auto" w:fill="FFFFFF"/>
      </w:pPr>
      <w:r>
        <w:br w:type="column"/>
      </w:r>
      <w:r>
        <w:rPr>
          <w:b/>
          <w:bCs/>
          <w:spacing w:val="-8"/>
          <w:sz w:val="18"/>
          <w:szCs w:val="18"/>
          <w:lang w:val="es-ES_tradnl"/>
        </w:rPr>
        <w:t>Resoluci</w:t>
      </w:r>
      <w:r>
        <w:rPr>
          <w:rFonts w:cs="Times New Roman"/>
          <w:b/>
          <w:bCs/>
          <w:spacing w:val="-8"/>
          <w:sz w:val="18"/>
          <w:szCs w:val="18"/>
          <w:lang w:val="es-ES_tradnl"/>
        </w:rPr>
        <w:t>ó</w:t>
      </w:r>
      <w:r>
        <w:rPr>
          <w:b/>
          <w:bCs/>
          <w:spacing w:val="-8"/>
          <w:sz w:val="18"/>
          <w:szCs w:val="18"/>
          <w:lang w:val="es-ES_tradnl"/>
        </w:rPr>
        <w:t>n del problema jur</w:t>
      </w:r>
      <w:r>
        <w:rPr>
          <w:rFonts w:cs="Times New Roman"/>
          <w:b/>
          <w:bCs/>
          <w:spacing w:val="-8"/>
          <w:sz w:val="18"/>
          <w:szCs w:val="18"/>
          <w:lang w:val="es-ES_tradnl"/>
        </w:rPr>
        <w:t>í</w:t>
      </w:r>
      <w:r>
        <w:rPr>
          <w:b/>
          <w:bCs/>
          <w:spacing w:val="-8"/>
          <w:sz w:val="18"/>
          <w:szCs w:val="18"/>
          <w:lang w:val="es-ES_tradnl"/>
        </w:rPr>
        <w:t>dico</w:t>
      </w:r>
    </w:p>
    <w:p w14:paraId="4F67B57D" w14:textId="77777777" w:rsidR="00591D54" w:rsidRDefault="00591D54">
      <w:pPr>
        <w:shd w:val="clear" w:color="auto" w:fill="FFFFFF"/>
        <w:spacing w:before="192" w:line="216" w:lineRule="exact"/>
        <w:jc w:val="both"/>
      </w:pPr>
      <w:r>
        <w:rPr>
          <w:b/>
          <w:bCs/>
          <w:spacing w:val="-8"/>
          <w:sz w:val="18"/>
          <w:szCs w:val="18"/>
          <w:lang w:val="es-ES_tradnl"/>
        </w:rPr>
        <w:t xml:space="preserve">La sentencia expedida el 5 de enero de 2011, por los </w:t>
      </w:r>
      <w:r>
        <w:rPr>
          <w:b/>
          <w:bCs/>
          <w:spacing w:val="-9"/>
          <w:sz w:val="18"/>
          <w:szCs w:val="18"/>
          <w:lang w:val="es-ES_tradnl"/>
        </w:rPr>
        <w:t xml:space="preserve">jueces de la Segunda Sala Especializada de lo Penal y </w:t>
      </w:r>
      <w:r>
        <w:rPr>
          <w:b/>
          <w:bCs/>
          <w:spacing w:val="-6"/>
          <w:sz w:val="18"/>
          <w:szCs w:val="18"/>
          <w:lang w:val="es-ES_tradnl"/>
        </w:rPr>
        <w:t>Tr</w:t>
      </w:r>
      <w:r>
        <w:rPr>
          <w:rFonts w:cs="Times New Roman"/>
          <w:b/>
          <w:bCs/>
          <w:spacing w:val="-6"/>
          <w:sz w:val="18"/>
          <w:szCs w:val="18"/>
          <w:lang w:val="es-ES_tradnl"/>
        </w:rPr>
        <w:t>á</w:t>
      </w:r>
      <w:r>
        <w:rPr>
          <w:b/>
          <w:bCs/>
          <w:spacing w:val="-6"/>
          <w:sz w:val="18"/>
          <w:szCs w:val="18"/>
          <w:lang w:val="es-ES_tradnl"/>
        </w:rPr>
        <w:t xml:space="preserve">nsito de la Corte Provincial de Justicia del Azuay, </w:t>
      </w:r>
      <w:r>
        <w:rPr>
          <w:rFonts w:cs="Times New Roman"/>
          <w:b/>
          <w:bCs/>
          <w:spacing w:val="-9"/>
          <w:sz w:val="18"/>
          <w:szCs w:val="18"/>
          <w:lang w:val="es-ES_tradnl"/>
        </w:rPr>
        <w:t>¿</w:t>
      </w:r>
      <w:r>
        <w:rPr>
          <w:b/>
          <w:bCs/>
          <w:spacing w:val="-9"/>
          <w:sz w:val="18"/>
          <w:szCs w:val="18"/>
          <w:lang w:val="es-ES_tradnl"/>
        </w:rPr>
        <w:t>vulner</w:t>
      </w:r>
      <w:r>
        <w:rPr>
          <w:rFonts w:cs="Times New Roman"/>
          <w:b/>
          <w:bCs/>
          <w:spacing w:val="-9"/>
          <w:sz w:val="18"/>
          <w:szCs w:val="18"/>
          <w:lang w:val="es-ES_tradnl"/>
        </w:rPr>
        <w:t>ó</w:t>
      </w:r>
      <w:r>
        <w:rPr>
          <w:b/>
          <w:bCs/>
          <w:spacing w:val="-9"/>
          <w:sz w:val="18"/>
          <w:szCs w:val="18"/>
          <w:lang w:val="es-ES_tradnl"/>
        </w:rPr>
        <w:t xml:space="preserve"> el derecho a la seguridad jur</w:t>
      </w:r>
      <w:r>
        <w:rPr>
          <w:rFonts w:cs="Times New Roman"/>
          <w:b/>
          <w:bCs/>
          <w:spacing w:val="-9"/>
          <w:sz w:val="18"/>
          <w:szCs w:val="18"/>
          <w:lang w:val="es-ES_tradnl"/>
        </w:rPr>
        <w:t>í</w:t>
      </w:r>
      <w:r>
        <w:rPr>
          <w:b/>
          <w:bCs/>
          <w:spacing w:val="-9"/>
          <w:sz w:val="18"/>
          <w:szCs w:val="18"/>
          <w:lang w:val="es-ES_tradnl"/>
        </w:rPr>
        <w:t xml:space="preserve">dica, establecido </w:t>
      </w:r>
      <w:r>
        <w:rPr>
          <w:b/>
          <w:bCs/>
          <w:spacing w:val="-7"/>
          <w:sz w:val="18"/>
          <w:szCs w:val="18"/>
          <w:lang w:val="es-ES_tradnl"/>
        </w:rPr>
        <w:t>en el art</w:t>
      </w:r>
      <w:r>
        <w:rPr>
          <w:rFonts w:cs="Times New Roman"/>
          <w:b/>
          <w:bCs/>
          <w:spacing w:val="-7"/>
          <w:sz w:val="18"/>
          <w:szCs w:val="18"/>
          <w:lang w:val="es-ES_tradnl"/>
        </w:rPr>
        <w:t>í</w:t>
      </w:r>
      <w:r>
        <w:rPr>
          <w:b/>
          <w:bCs/>
          <w:spacing w:val="-7"/>
          <w:sz w:val="18"/>
          <w:szCs w:val="18"/>
          <w:lang w:val="es-ES_tradnl"/>
        </w:rPr>
        <w:t>culo 82 de la Constituci</w:t>
      </w:r>
      <w:r>
        <w:rPr>
          <w:rFonts w:cs="Times New Roman"/>
          <w:b/>
          <w:bCs/>
          <w:spacing w:val="-7"/>
          <w:sz w:val="18"/>
          <w:szCs w:val="18"/>
          <w:lang w:val="es-ES_tradnl"/>
        </w:rPr>
        <w:t>ó</w:t>
      </w:r>
      <w:r>
        <w:rPr>
          <w:b/>
          <w:bCs/>
          <w:spacing w:val="-7"/>
          <w:sz w:val="18"/>
          <w:szCs w:val="18"/>
          <w:lang w:val="es-ES_tradnl"/>
        </w:rPr>
        <w:t>n de la Rep</w:t>
      </w:r>
      <w:r>
        <w:rPr>
          <w:rFonts w:cs="Times New Roman"/>
          <w:b/>
          <w:bCs/>
          <w:spacing w:val="-7"/>
          <w:sz w:val="18"/>
          <w:szCs w:val="18"/>
          <w:lang w:val="es-ES_tradnl"/>
        </w:rPr>
        <w:t>ú</w:t>
      </w:r>
      <w:r>
        <w:rPr>
          <w:b/>
          <w:bCs/>
          <w:spacing w:val="-7"/>
          <w:sz w:val="18"/>
          <w:szCs w:val="18"/>
          <w:lang w:val="es-ES_tradnl"/>
        </w:rPr>
        <w:t xml:space="preserve">blica del </w:t>
      </w:r>
      <w:r>
        <w:rPr>
          <w:b/>
          <w:bCs/>
          <w:sz w:val="18"/>
          <w:szCs w:val="18"/>
          <w:lang w:val="es-ES_tradnl"/>
        </w:rPr>
        <w:t>Ecuador?</w:t>
      </w:r>
    </w:p>
    <w:p w14:paraId="4F67B57E" w14:textId="77777777" w:rsidR="00591D54" w:rsidRDefault="00591D54">
      <w:pPr>
        <w:shd w:val="clear" w:color="auto" w:fill="FFFFFF"/>
        <w:spacing w:before="197" w:line="211" w:lineRule="exact"/>
        <w:jc w:val="both"/>
      </w:pPr>
      <w:r>
        <w:rPr>
          <w:spacing w:val="-8"/>
          <w:sz w:val="18"/>
          <w:szCs w:val="18"/>
          <w:lang w:val="es-ES_tradnl"/>
        </w:rPr>
        <w:t>Al abordar el derecho a la seguridad jur</w:t>
      </w:r>
      <w:r>
        <w:rPr>
          <w:rFonts w:cs="Times New Roman"/>
          <w:spacing w:val="-8"/>
          <w:sz w:val="18"/>
          <w:szCs w:val="18"/>
          <w:lang w:val="es-ES_tradnl"/>
        </w:rPr>
        <w:t>í</w:t>
      </w:r>
      <w:r>
        <w:rPr>
          <w:spacing w:val="-8"/>
          <w:sz w:val="18"/>
          <w:szCs w:val="18"/>
          <w:lang w:val="es-ES_tradnl"/>
        </w:rPr>
        <w:t xml:space="preserve">dica establecido en </w:t>
      </w:r>
      <w:r>
        <w:rPr>
          <w:spacing w:val="-7"/>
          <w:sz w:val="18"/>
          <w:szCs w:val="18"/>
          <w:lang w:val="es-ES_tradnl"/>
        </w:rPr>
        <w:t>el art</w:t>
      </w:r>
      <w:r>
        <w:rPr>
          <w:rFonts w:cs="Times New Roman"/>
          <w:spacing w:val="-7"/>
          <w:sz w:val="18"/>
          <w:szCs w:val="18"/>
          <w:lang w:val="es-ES_tradnl"/>
        </w:rPr>
        <w:t>í</w:t>
      </w:r>
      <w:r>
        <w:rPr>
          <w:spacing w:val="-7"/>
          <w:sz w:val="18"/>
          <w:szCs w:val="18"/>
          <w:lang w:val="es-ES_tradnl"/>
        </w:rPr>
        <w:t>culo 82 de 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 xml:space="preserve">blica, debemos </w:t>
      </w:r>
      <w:r>
        <w:rPr>
          <w:spacing w:val="-8"/>
          <w:sz w:val="18"/>
          <w:szCs w:val="18"/>
          <w:lang w:val="es-ES_tradnl"/>
        </w:rPr>
        <w:t xml:space="preserve">partir de la premisa de que este derecho permite garantizar la vigencia del Estado constitucional de derechos y justicia, </w:t>
      </w:r>
      <w:r>
        <w:rPr>
          <w:spacing w:val="-11"/>
          <w:sz w:val="18"/>
          <w:szCs w:val="18"/>
          <w:lang w:val="es-ES_tradnl"/>
        </w:rPr>
        <w:t xml:space="preserve">en tanto es aquel que </w:t>
      </w:r>
      <w:r>
        <w:rPr>
          <w:rFonts w:cs="Times New Roman"/>
          <w:spacing w:val="-11"/>
          <w:sz w:val="18"/>
          <w:szCs w:val="18"/>
          <w:lang w:val="es-ES_tradnl"/>
        </w:rPr>
        <w:t>“</w:t>
      </w:r>
      <w:r>
        <w:rPr>
          <w:spacing w:val="-11"/>
          <w:sz w:val="18"/>
          <w:szCs w:val="18"/>
          <w:lang w:val="es-ES_tradnl"/>
        </w:rPr>
        <w:t xml:space="preserve">crea un </w:t>
      </w:r>
      <w:r>
        <w:rPr>
          <w:rFonts w:cs="Times New Roman"/>
          <w:spacing w:val="-11"/>
          <w:sz w:val="18"/>
          <w:szCs w:val="18"/>
          <w:lang w:val="es-ES_tradnl"/>
        </w:rPr>
        <w:t>á</w:t>
      </w:r>
      <w:r>
        <w:rPr>
          <w:spacing w:val="-11"/>
          <w:sz w:val="18"/>
          <w:szCs w:val="18"/>
          <w:lang w:val="es-ES_tradnl"/>
        </w:rPr>
        <w:t xml:space="preserve">mbito de certeza y confianza </w:t>
      </w:r>
      <w:r>
        <w:rPr>
          <w:spacing w:val="-7"/>
          <w:sz w:val="18"/>
          <w:szCs w:val="18"/>
          <w:lang w:val="es-ES_tradnl"/>
        </w:rPr>
        <w:t xml:space="preserve">ciudadana respecto de las actuaciones de los poderes </w:t>
      </w:r>
      <w:r>
        <w:rPr>
          <w:spacing w:val="-8"/>
          <w:sz w:val="18"/>
          <w:szCs w:val="18"/>
          <w:lang w:val="es-ES_tradnl"/>
        </w:rPr>
        <w:t>p</w:t>
      </w:r>
      <w:r>
        <w:rPr>
          <w:rFonts w:cs="Times New Roman"/>
          <w:spacing w:val="-8"/>
          <w:sz w:val="18"/>
          <w:szCs w:val="18"/>
          <w:lang w:val="es-ES_tradnl"/>
        </w:rPr>
        <w:t>ú</w:t>
      </w:r>
      <w:r>
        <w:rPr>
          <w:spacing w:val="-8"/>
          <w:sz w:val="18"/>
          <w:szCs w:val="18"/>
          <w:lang w:val="es-ES_tradnl"/>
        </w:rPr>
        <w:t>blicos, pues garantiza a las personas que toda actuaci</w:t>
      </w:r>
      <w:r>
        <w:rPr>
          <w:rFonts w:cs="Times New Roman"/>
          <w:spacing w:val="-8"/>
          <w:sz w:val="18"/>
          <w:szCs w:val="18"/>
          <w:lang w:val="es-ES_tradnl"/>
        </w:rPr>
        <w:t>ó</w:t>
      </w:r>
      <w:r>
        <w:rPr>
          <w:spacing w:val="-8"/>
          <w:sz w:val="18"/>
          <w:szCs w:val="18"/>
          <w:lang w:val="es-ES_tradnl"/>
        </w:rPr>
        <w:t xml:space="preserve">n </w:t>
      </w:r>
      <w:r>
        <w:rPr>
          <w:spacing w:val="-5"/>
          <w:sz w:val="18"/>
          <w:szCs w:val="18"/>
          <w:lang w:val="es-ES_tradnl"/>
        </w:rPr>
        <w:t>se realizar</w:t>
      </w:r>
      <w:r>
        <w:rPr>
          <w:rFonts w:cs="Times New Roman"/>
          <w:spacing w:val="-5"/>
          <w:sz w:val="18"/>
          <w:szCs w:val="18"/>
          <w:lang w:val="es-ES_tradnl"/>
        </w:rPr>
        <w:t>á</w:t>
      </w:r>
      <w:r>
        <w:rPr>
          <w:spacing w:val="-5"/>
          <w:sz w:val="18"/>
          <w:szCs w:val="18"/>
          <w:lang w:val="es-ES_tradnl"/>
        </w:rPr>
        <w:t xml:space="preserve"> acorde con la Constituci</w:t>
      </w:r>
      <w:r>
        <w:rPr>
          <w:rFonts w:cs="Times New Roman"/>
          <w:spacing w:val="-5"/>
          <w:sz w:val="18"/>
          <w:szCs w:val="18"/>
          <w:lang w:val="es-ES_tradnl"/>
        </w:rPr>
        <w:t>ó</w:t>
      </w:r>
      <w:r>
        <w:rPr>
          <w:spacing w:val="-5"/>
          <w:sz w:val="18"/>
          <w:szCs w:val="18"/>
          <w:lang w:val="es-ES_tradnl"/>
        </w:rPr>
        <w:t xml:space="preserve">n y con normativa </w:t>
      </w:r>
      <w:r>
        <w:rPr>
          <w:spacing w:val="-9"/>
          <w:sz w:val="18"/>
          <w:szCs w:val="18"/>
          <w:lang w:val="es-ES_tradnl"/>
        </w:rPr>
        <w:t>previamente establecida, que ser</w:t>
      </w:r>
      <w:r>
        <w:rPr>
          <w:rFonts w:cs="Times New Roman"/>
          <w:spacing w:val="-9"/>
          <w:sz w:val="18"/>
          <w:szCs w:val="18"/>
          <w:lang w:val="es-ES_tradnl"/>
        </w:rPr>
        <w:t>á</w:t>
      </w:r>
      <w:r>
        <w:rPr>
          <w:spacing w:val="-9"/>
          <w:sz w:val="18"/>
          <w:szCs w:val="18"/>
          <w:lang w:val="es-ES_tradnl"/>
        </w:rPr>
        <w:t xml:space="preserve"> aplicada </w:t>
      </w:r>
      <w:r>
        <w:rPr>
          <w:rFonts w:cs="Times New Roman"/>
          <w:spacing w:val="-9"/>
          <w:sz w:val="18"/>
          <w:szCs w:val="18"/>
          <w:lang w:val="es-ES_tradnl"/>
        </w:rPr>
        <w:t>ú</w:t>
      </w:r>
      <w:r>
        <w:rPr>
          <w:spacing w:val="-9"/>
          <w:sz w:val="18"/>
          <w:szCs w:val="18"/>
          <w:lang w:val="es-ES_tradnl"/>
        </w:rPr>
        <w:t xml:space="preserve">nicamente por </w:t>
      </w:r>
      <w:r>
        <w:rPr>
          <w:sz w:val="18"/>
          <w:szCs w:val="18"/>
          <w:lang w:val="es-ES_tradnl"/>
        </w:rPr>
        <w:t>parte de las autoridades competentes</w:t>
      </w:r>
      <w:r>
        <w:rPr>
          <w:rFonts w:cs="Times New Roman"/>
          <w:sz w:val="18"/>
          <w:szCs w:val="18"/>
          <w:lang w:val="es-ES_tradnl"/>
        </w:rPr>
        <w:t>”</w:t>
      </w:r>
      <w:r>
        <w:rPr>
          <w:sz w:val="18"/>
          <w:szCs w:val="18"/>
          <w:vertAlign w:val="superscript"/>
          <w:lang w:val="es-ES_tradnl"/>
        </w:rPr>
        <w:t>1</w:t>
      </w:r>
      <w:r>
        <w:rPr>
          <w:sz w:val="18"/>
          <w:szCs w:val="18"/>
          <w:lang w:val="es-ES_tradnl"/>
        </w:rPr>
        <w:t>.</w:t>
      </w:r>
    </w:p>
    <w:p w14:paraId="4F67B57F" w14:textId="77777777" w:rsidR="00591D54" w:rsidRDefault="00591D54">
      <w:pPr>
        <w:shd w:val="clear" w:color="auto" w:fill="FFFFFF"/>
        <w:spacing w:before="192" w:line="216" w:lineRule="exact"/>
        <w:jc w:val="both"/>
      </w:pPr>
      <w:r>
        <w:rPr>
          <w:spacing w:val="-8"/>
          <w:sz w:val="18"/>
          <w:szCs w:val="18"/>
          <w:lang w:val="es-ES_tradnl"/>
        </w:rPr>
        <w:t>A trav</w:t>
      </w:r>
      <w:r>
        <w:rPr>
          <w:rFonts w:cs="Times New Roman"/>
          <w:spacing w:val="-8"/>
          <w:sz w:val="18"/>
          <w:szCs w:val="18"/>
          <w:lang w:val="es-ES_tradnl"/>
        </w:rPr>
        <w:t>é</w:t>
      </w:r>
      <w:r>
        <w:rPr>
          <w:spacing w:val="-8"/>
          <w:sz w:val="18"/>
          <w:szCs w:val="18"/>
          <w:lang w:val="es-ES_tradnl"/>
        </w:rPr>
        <w:t xml:space="preserve">s de este </w:t>
      </w:r>
      <w:r>
        <w:rPr>
          <w:rFonts w:cs="Times New Roman"/>
          <w:spacing w:val="-8"/>
          <w:sz w:val="18"/>
          <w:szCs w:val="18"/>
          <w:lang w:val="es-ES_tradnl"/>
        </w:rPr>
        <w:t>á</w:t>
      </w:r>
      <w:r>
        <w:rPr>
          <w:spacing w:val="-8"/>
          <w:sz w:val="18"/>
          <w:szCs w:val="18"/>
          <w:lang w:val="es-ES_tradnl"/>
        </w:rPr>
        <w:t xml:space="preserve">mbito de certeza y confianza ciudadana </w:t>
      </w:r>
      <w:r>
        <w:rPr>
          <w:spacing w:val="-7"/>
          <w:sz w:val="18"/>
          <w:szCs w:val="18"/>
          <w:lang w:val="es-ES_tradnl"/>
        </w:rPr>
        <w:t>sobre el cual descansa la legitimidad del poder p</w:t>
      </w:r>
      <w:r>
        <w:rPr>
          <w:rFonts w:cs="Times New Roman"/>
          <w:spacing w:val="-7"/>
          <w:sz w:val="18"/>
          <w:szCs w:val="18"/>
          <w:lang w:val="es-ES_tradnl"/>
        </w:rPr>
        <w:t>ú</w:t>
      </w:r>
      <w:r>
        <w:rPr>
          <w:spacing w:val="-7"/>
          <w:sz w:val="18"/>
          <w:szCs w:val="18"/>
          <w:lang w:val="es-ES_tradnl"/>
        </w:rPr>
        <w:t xml:space="preserve">blico, en </w:t>
      </w:r>
      <w:r>
        <w:rPr>
          <w:spacing w:val="-8"/>
          <w:sz w:val="18"/>
          <w:szCs w:val="18"/>
          <w:lang w:val="es-ES_tradnl"/>
        </w:rPr>
        <w:t xml:space="preserve">tanto existe la expectativa racional que quienes detentan el </w:t>
      </w:r>
      <w:r>
        <w:rPr>
          <w:spacing w:val="-9"/>
          <w:sz w:val="18"/>
          <w:szCs w:val="18"/>
          <w:lang w:val="es-ES_tradnl"/>
        </w:rPr>
        <w:t>poder p</w:t>
      </w:r>
      <w:r>
        <w:rPr>
          <w:rFonts w:cs="Times New Roman"/>
          <w:spacing w:val="-9"/>
          <w:sz w:val="18"/>
          <w:szCs w:val="18"/>
          <w:lang w:val="es-ES_tradnl"/>
        </w:rPr>
        <w:t>ú</w:t>
      </w:r>
      <w:r>
        <w:rPr>
          <w:spacing w:val="-9"/>
          <w:sz w:val="18"/>
          <w:szCs w:val="18"/>
          <w:lang w:val="es-ES_tradnl"/>
        </w:rPr>
        <w:t xml:space="preserve">blico, las instituciones del Estado, sus organismos, </w:t>
      </w:r>
      <w:r>
        <w:rPr>
          <w:spacing w:val="-5"/>
          <w:sz w:val="18"/>
          <w:szCs w:val="18"/>
          <w:lang w:val="es-ES_tradnl"/>
        </w:rPr>
        <w:t>dependencias, servidores p</w:t>
      </w:r>
      <w:r>
        <w:rPr>
          <w:rFonts w:cs="Times New Roman"/>
          <w:spacing w:val="-5"/>
          <w:sz w:val="18"/>
          <w:szCs w:val="18"/>
          <w:lang w:val="es-ES_tradnl"/>
        </w:rPr>
        <w:t>ú</w:t>
      </w:r>
      <w:r>
        <w:rPr>
          <w:spacing w:val="-5"/>
          <w:sz w:val="18"/>
          <w:szCs w:val="18"/>
          <w:lang w:val="es-ES_tradnl"/>
        </w:rPr>
        <w:t xml:space="preserve">blicos y las personas que </w:t>
      </w:r>
      <w:r>
        <w:rPr>
          <w:spacing w:val="-7"/>
          <w:sz w:val="18"/>
          <w:szCs w:val="18"/>
          <w:lang w:val="es-ES_tradnl"/>
        </w:rPr>
        <w:t>act</w:t>
      </w:r>
      <w:r>
        <w:rPr>
          <w:rFonts w:cs="Times New Roman"/>
          <w:spacing w:val="-7"/>
          <w:sz w:val="18"/>
          <w:szCs w:val="18"/>
          <w:lang w:val="es-ES_tradnl"/>
        </w:rPr>
        <w:t>ú</w:t>
      </w:r>
      <w:r>
        <w:rPr>
          <w:spacing w:val="-7"/>
          <w:sz w:val="18"/>
          <w:szCs w:val="18"/>
          <w:lang w:val="es-ES_tradnl"/>
        </w:rPr>
        <w:t>en en virtud de una potestad estatal ejerzan aquellas competencias y facultades establecidas en la Constituci</w:t>
      </w:r>
      <w:r>
        <w:rPr>
          <w:rFonts w:cs="Times New Roman"/>
          <w:spacing w:val="-7"/>
          <w:sz w:val="18"/>
          <w:szCs w:val="18"/>
          <w:lang w:val="es-ES_tradnl"/>
        </w:rPr>
        <w:t>ó</w:t>
      </w:r>
      <w:r>
        <w:rPr>
          <w:spacing w:val="-7"/>
          <w:sz w:val="18"/>
          <w:szCs w:val="18"/>
          <w:lang w:val="es-ES_tradnl"/>
        </w:rPr>
        <w:t xml:space="preserve">n </w:t>
      </w:r>
      <w:r>
        <w:rPr>
          <w:sz w:val="18"/>
          <w:szCs w:val="18"/>
          <w:lang w:val="es-ES_tradnl"/>
        </w:rPr>
        <w:t>y en el resto del ordenamiento jur</w:t>
      </w:r>
      <w:r>
        <w:rPr>
          <w:rFonts w:cs="Times New Roman"/>
          <w:sz w:val="18"/>
          <w:szCs w:val="18"/>
          <w:lang w:val="es-ES_tradnl"/>
        </w:rPr>
        <w:t>í</w:t>
      </w:r>
      <w:r>
        <w:rPr>
          <w:sz w:val="18"/>
          <w:szCs w:val="18"/>
          <w:lang w:val="es-ES_tradnl"/>
        </w:rPr>
        <w:t xml:space="preserve">dico, sin perjuicio </w:t>
      </w:r>
      <w:r>
        <w:rPr>
          <w:spacing w:val="-1"/>
          <w:sz w:val="18"/>
          <w:szCs w:val="18"/>
          <w:lang w:val="es-ES_tradnl"/>
        </w:rPr>
        <w:t>que para cumplir tal prop</w:t>
      </w:r>
      <w:r>
        <w:rPr>
          <w:rFonts w:cs="Times New Roman"/>
          <w:spacing w:val="-1"/>
          <w:sz w:val="18"/>
          <w:szCs w:val="18"/>
          <w:lang w:val="es-ES_tradnl"/>
        </w:rPr>
        <w:t>ó</w:t>
      </w:r>
      <w:r>
        <w:rPr>
          <w:spacing w:val="-1"/>
          <w:sz w:val="18"/>
          <w:szCs w:val="18"/>
          <w:lang w:val="es-ES_tradnl"/>
        </w:rPr>
        <w:t xml:space="preserve">sito se coordinen acciones </w:t>
      </w:r>
      <w:r>
        <w:rPr>
          <w:spacing w:val="-6"/>
          <w:sz w:val="18"/>
          <w:szCs w:val="18"/>
          <w:lang w:val="es-ES_tradnl"/>
        </w:rPr>
        <w:t xml:space="preserve">para el cumplimiento de sus fines y que en definitiva, se </w:t>
      </w:r>
      <w:r>
        <w:rPr>
          <w:spacing w:val="-7"/>
          <w:sz w:val="18"/>
          <w:szCs w:val="18"/>
          <w:lang w:val="es-ES_tradnl"/>
        </w:rPr>
        <w:t xml:space="preserve">procure hacer efectivo el goce y ejercicio de los derechos </w:t>
      </w:r>
      <w:r>
        <w:rPr>
          <w:sz w:val="18"/>
          <w:szCs w:val="18"/>
          <w:lang w:val="es-ES_tradnl"/>
        </w:rPr>
        <w:t>reconocidos en la Constituci</w:t>
      </w:r>
      <w:r>
        <w:rPr>
          <w:rFonts w:cs="Times New Roman"/>
          <w:sz w:val="18"/>
          <w:szCs w:val="18"/>
          <w:lang w:val="es-ES_tradnl"/>
        </w:rPr>
        <w:t>ó</w:t>
      </w:r>
      <w:r>
        <w:rPr>
          <w:sz w:val="18"/>
          <w:szCs w:val="18"/>
          <w:lang w:val="es-ES_tradnl"/>
        </w:rPr>
        <w:t>n.</w:t>
      </w:r>
    </w:p>
    <w:p w14:paraId="4F67B580" w14:textId="77777777" w:rsidR="00591D54" w:rsidRDefault="00591D54">
      <w:pPr>
        <w:shd w:val="clear" w:color="auto" w:fill="FFFFFF"/>
        <w:spacing w:before="197" w:line="216" w:lineRule="exact"/>
        <w:jc w:val="both"/>
      </w:pPr>
      <w:r>
        <w:rPr>
          <w:spacing w:val="-6"/>
          <w:sz w:val="18"/>
          <w:szCs w:val="18"/>
          <w:lang w:val="es-ES_tradnl"/>
        </w:rPr>
        <w:t>Dicho en otras palabras, conviene recordar lo expresado por esta Corte Constitucional mediante sentencia N.</w:t>
      </w:r>
      <w:r>
        <w:rPr>
          <w:rFonts w:cs="Times New Roman"/>
          <w:spacing w:val="-6"/>
          <w:sz w:val="18"/>
          <w:szCs w:val="18"/>
          <w:lang w:val="es-ES_tradnl"/>
        </w:rPr>
        <w:t xml:space="preserve">º </w:t>
      </w:r>
      <w:r>
        <w:rPr>
          <w:spacing w:val="-9"/>
          <w:sz w:val="18"/>
          <w:szCs w:val="18"/>
          <w:lang w:val="es-ES_tradnl"/>
        </w:rPr>
        <w:t>160-15-SEP-CC, cuando al referirse a la seguridad jur</w:t>
      </w:r>
      <w:r>
        <w:rPr>
          <w:rFonts w:cs="Times New Roman"/>
          <w:spacing w:val="-9"/>
          <w:sz w:val="18"/>
          <w:szCs w:val="18"/>
          <w:lang w:val="es-ES_tradnl"/>
        </w:rPr>
        <w:t>í</w:t>
      </w:r>
      <w:r>
        <w:rPr>
          <w:spacing w:val="-9"/>
          <w:sz w:val="18"/>
          <w:szCs w:val="18"/>
          <w:lang w:val="es-ES_tradnl"/>
        </w:rPr>
        <w:t xml:space="preserve">dica, </w:t>
      </w:r>
      <w:r>
        <w:rPr>
          <w:sz w:val="18"/>
          <w:szCs w:val="18"/>
          <w:lang w:val="es-ES_tradnl"/>
        </w:rPr>
        <w:t>se</w:t>
      </w:r>
      <w:r>
        <w:rPr>
          <w:rFonts w:cs="Times New Roman"/>
          <w:sz w:val="18"/>
          <w:szCs w:val="18"/>
          <w:lang w:val="es-ES_tradnl"/>
        </w:rPr>
        <w:t>ñ</w:t>
      </w:r>
      <w:r>
        <w:rPr>
          <w:sz w:val="18"/>
          <w:szCs w:val="18"/>
          <w:lang w:val="es-ES_tradnl"/>
        </w:rPr>
        <w:t>al</w:t>
      </w:r>
      <w:r>
        <w:rPr>
          <w:rFonts w:cs="Times New Roman"/>
          <w:sz w:val="18"/>
          <w:szCs w:val="18"/>
          <w:lang w:val="es-ES_tradnl"/>
        </w:rPr>
        <w:t>ó</w:t>
      </w:r>
      <w:r>
        <w:rPr>
          <w:sz w:val="18"/>
          <w:szCs w:val="18"/>
          <w:lang w:val="es-ES_tradnl"/>
        </w:rPr>
        <w:t>:</w:t>
      </w:r>
    </w:p>
    <w:p w14:paraId="4F67B581" w14:textId="77777777" w:rsidR="00591D54" w:rsidRDefault="00591D54">
      <w:pPr>
        <w:shd w:val="clear" w:color="auto" w:fill="FFFFFF"/>
        <w:spacing w:before="202" w:line="211" w:lineRule="exact"/>
        <w:ind w:left="283"/>
        <w:jc w:val="both"/>
      </w:pPr>
      <w:r>
        <w:rPr>
          <w:sz w:val="14"/>
          <w:szCs w:val="14"/>
          <w:lang w:val="es-ES_tradnl"/>
        </w:rPr>
        <w:t>De la lectura de la norma constitucional transcrita [art</w:t>
      </w:r>
      <w:r>
        <w:rPr>
          <w:rFonts w:cs="Times New Roman"/>
          <w:sz w:val="14"/>
          <w:szCs w:val="14"/>
          <w:lang w:val="es-ES_tradnl"/>
        </w:rPr>
        <w:t>í</w:t>
      </w:r>
      <w:r>
        <w:rPr>
          <w:sz w:val="14"/>
          <w:szCs w:val="14"/>
          <w:lang w:val="es-ES_tradnl"/>
        </w:rPr>
        <w:t>culo 82], se desprende que la seguridad jur</w:t>
      </w:r>
      <w:r>
        <w:rPr>
          <w:rFonts w:cs="Times New Roman"/>
          <w:sz w:val="14"/>
          <w:szCs w:val="14"/>
          <w:lang w:val="es-ES_tradnl"/>
        </w:rPr>
        <w:t>í</w:t>
      </w:r>
      <w:r>
        <w:rPr>
          <w:sz w:val="14"/>
          <w:szCs w:val="14"/>
          <w:lang w:val="es-ES_tradnl"/>
        </w:rPr>
        <w:t xml:space="preserve">dica abarca tres </w:t>
      </w:r>
      <w:r>
        <w:rPr>
          <w:rFonts w:cs="Times New Roman"/>
          <w:sz w:val="14"/>
          <w:szCs w:val="14"/>
          <w:lang w:val="es-ES_tradnl"/>
        </w:rPr>
        <w:t>á</w:t>
      </w:r>
      <w:r>
        <w:rPr>
          <w:sz w:val="14"/>
          <w:szCs w:val="14"/>
          <w:lang w:val="es-ES_tradnl"/>
        </w:rPr>
        <w:t>mbitos ya que por un lado, establece que su fundamento es el respeto a la Constituci</w:t>
      </w:r>
      <w:r>
        <w:rPr>
          <w:rFonts w:cs="Times New Roman"/>
          <w:sz w:val="14"/>
          <w:szCs w:val="14"/>
          <w:lang w:val="es-ES_tradnl"/>
        </w:rPr>
        <w:t>ó</w:t>
      </w:r>
      <w:r>
        <w:rPr>
          <w:sz w:val="14"/>
          <w:szCs w:val="14"/>
          <w:lang w:val="es-ES_tradnl"/>
        </w:rPr>
        <w:t>n de la Rep</w:t>
      </w:r>
      <w:r>
        <w:rPr>
          <w:rFonts w:cs="Times New Roman"/>
          <w:sz w:val="14"/>
          <w:szCs w:val="14"/>
          <w:lang w:val="es-ES_tradnl"/>
        </w:rPr>
        <w:t>ú</w:t>
      </w:r>
      <w:r>
        <w:rPr>
          <w:sz w:val="14"/>
          <w:szCs w:val="14"/>
          <w:lang w:val="es-ES_tradnl"/>
        </w:rPr>
        <w:t>blica, como la m</w:t>
      </w:r>
      <w:r>
        <w:rPr>
          <w:rFonts w:cs="Times New Roman"/>
          <w:sz w:val="14"/>
          <w:szCs w:val="14"/>
          <w:lang w:val="es-ES_tradnl"/>
        </w:rPr>
        <w:t>á</w:t>
      </w:r>
      <w:r>
        <w:rPr>
          <w:sz w:val="14"/>
          <w:szCs w:val="14"/>
          <w:lang w:val="es-ES_tradnl"/>
        </w:rPr>
        <w:t>xima norma del ordenamiento jur</w:t>
      </w:r>
      <w:r>
        <w:rPr>
          <w:rFonts w:cs="Times New Roman"/>
          <w:sz w:val="14"/>
          <w:szCs w:val="14"/>
          <w:lang w:val="es-ES_tradnl"/>
        </w:rPr>
        <w:t>í</w:t>
      </w:r>
      <w:r>
        <w:rPr>
          <w:sz w:val="14"/>
          <w:szCs w:val="14"/>
          <w:lang w:val="es-ES_tradnl"/>
        </w:rPr>
        <w:t>dico dentro de la que se reconocen un conjunto de derechos que deben ser tutelados por el Estado; por otra parte, determina la existencia de normas jur</w:t>
      </w:r>
      <w:r>
        <w:rPr>
          <w:rFonts w:cs="Times New Roman"/>
          <w:sz w:val="14"/>
          <w:szCs w:val="14"/>
          <w:lang w:val="es-ES_tradnl"/>
        </w:rPr>
        <w:t>í</w:t>
      </w:r>
      <w:r>
        <w:rPr>
          <w:sz w:val="14"/>
          <w:szCs w:val="14"/>
          <w:lang w:val="es-ES_tradnl"/>
        </w:rPr>
        <w:t>dicas que sean previas, claras y p</w:t>
      </w:r>
      <w:r>
        <w:rPr>
          <w:rFonts w:cs="Times New Roman"/>
          <w:sz w:val="14"/>
          <w:szCs w:val="14"/>
          <w:lang w:val="es-ES_tradnl"/>
        </w:rPr>
        <w:t>ú</w:t>
      </w:r>
      <w:r>
        <w:rPr>
          <w:sz w:val="14"/>
          <w:szCs w:val="14"/>
          <w:lang w:val="es-ES_tradnl"/>
        </w:rPr>
        <w:t>blicas, es decir, garantiza la obligaci</w:t>
      </w:r>
      <w:r>
        <w:rPr>
          <w:rFonts w:cs="Times New Roman"/>
          <w:sz w:val="14"/>
          <w:szCs w:val="14"/>
          <w:lang w:val="es-ES_tradnl"/>
        </w:rPr>
        <w:t>ó</w:t>
      </w:r>
      <w:r>
        <w:rPr>
          <w:sz w:val="14"/>
          <w:szCs w:val="14"/>
          <w:lang w:val="es-ES_tradnl"/>
        </w:rPr>
        <w:t>n de que las autoridades competentes apliquen el marco constitucional vigente. En este escenario, la seguridad jur</w:t>
      </w:r>
      <w:r>
        <w:rPr>
          <w:rFonts w:cs="Times New Roman"/>
          <w:sz w:val="14"/>
          <w:szCs w:val="14"/>
          <w:lang w:val="es-ES_tradnl"/>
        </w:rPr>
        <w:t>í</w:t>
      </w:r>
      <w:r>
        <w:rPr>
          <w:sz w:val="14"/>
          <w:szCs w:val="14"/>
          <w:lang w:val="es-ES_tradnl"/>
        </w:rPr>
        <w:t>dica genera la previsibilidad del derecho, lo cual otorga confianza a las personas respecto de la aplicaci</w:t>
      </w:r>
      <w:r>
        <w:rPr>
          <w:rFonts w:cs="Times New Roman"/>
          <w:sz w:val="14"/>
          <w:szCs w:val="14"/>
          <w:lang w:val="es-ES_tradnl"/>
        </w:rPr>
        <w:t>ó</w:t>
      </w:r>
      <w:r>
        <w:rPr>
          <w:sz w:val="14"/>
          <w:szCs w:val="14"/>
          <w:lang w:val="es-ES_tradnl"/>
        </w:rPr>
        <w:t>n normativa</w:t>
      </w:r>
      <w:r>
        <w:rPr>
          <w:sz w:val="14"/>
          <w:szCs w:val="14"/>
          <w:vertAlign w:val="superscript"/>
          <w:lang w:val="es-ES_tradnl"/>
        </w:rPr>
        <w:t>2</w:t>
      </w:r>
      <w:r>
        <w:rPr>
          <w:sz w:val="14"/>
          <w:szCs w:val="14"/>
          <w:lang w:val="es-ES_tradnl"/>
        </w:rPr>
        <w:t>.</w:t>
      </w:r>
    </w:p>
    <w:p w14:paraId="4F67B582" w14:textId="77777777" w:rsidR="00591D54" w:rsidRDefault="00591D54">
      <w:pPr>
        <w:shd w:val="clear" w:color="auto" w:fill="FFFFFF"/>
        <w:spacing w:before="202" w:line="216" w:lineRule="exact"/>
        <w:jc w:val="both"/>
      </w:pPr>
      <w:r>
        <w:rPr>
          <w:spacing w:val="-8"/>
          <w:sz w:val="18"/>
          <w:szCs w:val="18"/>
          <w:lang w:val="es-ES_tradnl"/>
        </w:rPr>
        <w:t>Desde esta perspectiva, encontr</w:t>
      </w:r>
      <w:r>
        <w:rPr>
          <w:rFonts w:cs="Times New Roman"/>
          <w:spacing w:val="-8"/>
          <w:sz w:val="18"/>
          <w:szCs w:val="18"/>
          <w:lang w:val="es-ES_tradnl"/>
        </w:rPr>
        <w:t>á</w:t>
      </w:r>
      <w:r>
        <w:rPr>
          <w:spacing w:val="-8"/>
          <w:sz w:val="18"/>
          <w:szCs w:val="18"/>
          <w:lang w:val="es-ES_tradnl"/>
        </w:rPr>
        <w:t xml:space="preserve">ndose obligadas las </w:t>
      </w:r>
      <w:r>
        <w:rPr>
          <w:spacing w:val="-7"/>
          <w:sz w:val="18"/>
          <w:szCs w:val="18"/>
          <w:lang w:val="es-ES_tradnl"/>
        </w:rPr>
        <w:t>autoridades p</w:t>
      </w:r>
      <w:r>
        <w:rPr>
          <w:rFonts w:cs="Times New Roman"/>
          <w:spacing w:val="-7"/>
          <w:sz w:val="18"/>
          <w:szCs w:val="18"/>
          <w:lang w:val="es-ES_tradnl"/>
        </w:rPr>
        <w:t>ú</w:t>
      </w:r>
      <w:r>
        <w:rPr>
          <w:spacing w:val="-7"/>
          <w:sz w:val="18"/>
          <w:szCs w:val="18"/>
          <w:lang w:val="es-ES_tradnl"/>
        </w:rPr>
        <w:t xml:space="preserve">blicas a aplicar las disposiciones existentes </w:t>
      </w:r>
      <w:r>
        <w:rPr>
          <w:spacing w:val="-9"/>
          <w:sz w:val="18"/>
          <w:szCs w:val="18"/>
          <w:lang w:val="es-ES_tradnl"/>
        </w:rPr>
        <w:t>en el ordenamiento jur</w:t>
      </w:r>
      <w:r>
        <w:rPr>
          <w:rFonts w:cs="Times New Roman"/>
          <w:spacing w:val="-9"/>
          <w:sz w:val="18"/>
          <w:szCs w:val="18"/>
          <w:lang w:val="es-ES_tradnl"/>
        </w:rPr>
        <w:t>í</w:t>
      </w:r>
      <w:r>
        <w:rPr>
          <w:spacing w:val="-9"/>
          <w:sz w:val="18"/>
          <w:szCs w:val="18"/>
          <w:lang w:val="es-ES_tradnl"/>
        </w:rPr>
        <w:t xml:space="preserve">dico, la Corte Constitucional procede </w:t>
      </w:r>
      <w:r>
        <w:rPr>
          <w:spacing w:val="-5"/>
          <w:sz w:val="18"/>
          <w:szCs w:val="18"/>
          <w:lang w:val="es-ES_tradnl"/>
        </w:rPr>
        <w:t>a continuaci</w:t>
      </w:r>
      <w:r>
        <w:rPr>
          <w:rFonts w:cs="Times New Roman"/>
          <w:spacing w:val="-5"/>
          <w:sz w:val="18"/>
          <w:szCs w:val="18"/>
          <w:lang w:val="es-ES_tradnl"/>
        </w:rPr>
        <w:t>ó</w:t>
      </w:r>
      <w:r>
        <w:rPr>
          <w:spacing w:val="-5"/>
          <w:sz w:val="18"/>
          <w:szCs w:val="18"/>
          <w:lang w:val="es-ES_tradnl"/>
        </w:rPr>
        <w:t xml:space="preserve">n a identificar si en el caso concreto se ha </w:t>
      </w:r>
      <w:r>
        <w:rPr>
          <w:spacing w:val="-7"/>
          <w:sz w:val="18"/>
          <w:szCs w:val="18"/>
          <w:lang w:val="es-ES_tradnl"/>
        </w:rPr>
        <w:t xml:space="preserve">expedido una sentencia que ha incurrido en inobservancia </w:t>
      </w:r>
      <w:r>
        <w:rPr>
          <w:spacing w:val="-9"/>
          <w:sz w:val="18"/>
          <w:szCs w:val="18"/>
          <w:lang w:val="es-ES_tradnl"/>
        </w:rPr>
        <w:t>de normas claras, previas y p</w:t>
      </w:r>
      <w:r>
        <w:rPr>
          <w:rFonts w:cs="Times New Roman"/>
          <w:spacing w:val="-9"/>
          <w:sz w:val="18"/>
          <w:szCs w:val="18"/>
          <w:lang w:val="es-ES_tradnl"/>
        </w:rPr>
        <w:t>ú</w:t>
      </w:r>
      <w:r>
        <w:rPr>
          <w:spacing w:val="-9"/>
          <w:sz w:val="18"/>
          <w:szCs w:val="18"/>
          <w:lang w:val="es-ES_tradnl"/>
        </w:rPr>
        <w:t>blicas por parte de los jueces</w:t>
      </w:r>
    </w:p>
    <w:p w14:paraId="4F67B583" w14:textId="77777777" w:rsidR="00591D54" w:rsidRDefault="00591D54">
      <w:pPr>
        <w:shd w:val="clear" w:color="auto" w:fill="FFFFFF"/>
        <w:tabs>
          <w:tab w:val="left" w:pos="144"/>
        </w:tabs>
        <w:spacing w:before="418" w:line="182" w:lineRule="exact"/>
        <w:ind w:left="144" w:hanging="144"/>
      </w:pPr>
      <w:r>
        <w:rPr>
          <w:sz w:val="16"/>
          <w:szCs w:val="16"/>
          <w:vertAlign w:val="superscript"/>
          <w:lang w:val="es-ES_tradnl"/>
        </w:rPr>
        <w:t>1</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w:t>
      </w:r>
      <w:r>
        <w:rPr>
          <w:sz w:val="18"/>
          <w:szCs w:val="18"/>
          <w:lang w:val="es-ES_tradnl"/>
        </w:rPr>
        <w:t xml:space="preserve"> </w:t>
      </w:r>
      <w:r>
        <w:rPr>
          <w:sz w:val="14"/>
          <w:szCs w:val="14"/>
          <w:lang w:val="es-ES_tradnl"/>
        </w:rPr>
        <w:t>161-15-SEP-CC, caso N.</w:t>
      </w:r>
      <w:r>
        <w:rPr>
          <w:rFonts w:cs="Times New Roman"/>
          <w:sz w:val="14"/>
          <w:szCs w:val="14"/>
          <w:lang w:val="es-ES_tradnl"/>
        </w:rPr>
        <w:t>º</w:t>
      </w:r>
      <w:r>
        <w:rPr>
          <w:sz w:val="14"/>
          <w:szCs w:val="14"/>
          <w:lang w:val="es-ES_tradnl"/>
        </w:rPr>
        <w:t xml:space="preserve"> 0338-14-EP, p. 19.</w:t>
      </w:r>
    </w:p>
    <w:p w14:paraId="4F67B584" w14:textId="77777777" w:rsidR="00591D54" w:rsidRDefault="00591D54">
      <w:pPr>
        <w:shd w:val="clear" w:color="auto" w:fill="FFFFFF"/>
        <w:tabs>
          <w:tab w:val="left" w:pos="144"/>
        </w:tabs>
        <w:spacing w:before="149" w:line="178" w:lineRule="exact"/>
        <w:ind w:left="144" w:hanging="144"/>
      </w:pPr>
      <w:r>
        <w:rPr>
          <w:sz w:val="10"/>
          <w:szCs w:val="10"/>
          <w:vertAlign w:val="superscript"/>
          <w:lang w:val="es-ES_tradnl"/>
        </w:rPr>
        <w:t>2</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º</w:t>
      </w:r>
      <w:r>
        <w:rPr>
          <w:sz w:val="18"/>
          <w:szCs w:val="18"/>
          <w:lang w:val="es-ES_tradnl"/>
        </w:rPr>
        <w:t xml:space="preserve"> </w:t>
      </w:r>
      <w:r>
        <w:rPr>
          <w:sz w:val="14"/>
          <w:szCs w:val="14"/>
          <w:lang w:val="es-ES_tradnl"/>
        </w:rPr>
        <w:t>160-15-SEP-CC, caso N.</w:t>
      </w:r>
      <w:r>
        <w:rPr>
          <w:rFonts w:cs="Times New Roman"/>
          <w:sz w:val="14"/>
          <w:szCs w:val="14"/>
          <w:lang w:val="es-ES_tradnl"/>
        </w:rPr>
        <w:t>º</w:t>
      </w:r>
      <w:r>
        <w:rPr>
          <w:sz w:val="14"/>
          <w:szCs w:val="14"/>
          <w:lang w:val="es-ES_tradnl"/>
        </w:rPr>
        <w:t xml:space="preserve"> 0600-12-EP, p. 7</w:t>
      </w:r>
    </w:p>
    <w:p w14:paraId="4F67B585" w14:textId="77777777" w:rsidR="00591D54" w:rsidRDefault="00591D54">
      <w:pPr>
        <w:shd w:val="clear" w:color="auto" w:fill="FFFFFF"/>
        <w:tabs>
          <w:tab w:val="left" w:pos="144"/>
        </w:tabs>
        <w:spacing w:before="149" w:line="178" w:lineRule="exact"/>
        <w:ind w:left="144" w:hanging="144"/>
        <w:sectPr w:rsidR="00591D54">
          <w:type w:val="continuous"/>
          <w:pgSz w:w="11909" w:h="16834"/>
          <w:pgMar w:top="1356" w:right="1309" w:bottom="360" w:left="1308" w:header="720" w:footer="720" w:gutter="0"/>
          <w:cols w:num="2" w:space="720" w:equalWidth="0">
            <w:col w:w="4305" w:space="682"/>
            <w:col w:w="4305"/>
          </w:cols>
          <w:noEndnote/>
        </w:sectPr>
      </w:pPr>
    </w:p>
    <w:p w14:paraId="4F67B586"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- 221</w:t>
      </w:r>
    </w:p>
    <w:p w14:paraId="4F67B587" w14:textId="77777777" w:rsidR="00591D54" w:rsidRDefault="00591D54">
      <w:pPr>
        <w:shd w:val="clear" w:color="auto" w:fill="FFFFFF"/>
        <w:tabs>
          <w:tab w:val="left" w:pos="5842"/>
        </w:tabs>
        <w:spacing w:after="235"/>
        <w:ind w:left="5"/>
        <w:sectPr w:rsidR="00591D54">
          <w:pgSz w:w="11909" w:h="16834"/>
          <w:pgMar w:top="1356" w:right="1309" w:bottom="360" w:left="1308" w:header="720" w:footer="720" w:gutter="0"/>
          <w:cols w:space="60"/>
          <w:noEndnote/>
        </w:sectPr>
      </w:pPr>
    </w:p>
    <w:p w14:paraId="4F67B588" w14:textId="77777777" w:rsidR="00591D54" w:rsidRDefault="00591D54">
      <w:pPr>
        <w:shd w:val="clear" w:color="auto" w:fill="FFFFFF"/>
        <w:spacing w:line="216" w:lineRule="exact"/>
        <w:jc w:val="both"/>
      </w:pPr>
      <w:r>
        <w:rPr>
          <w:spacing w:val="-8"/>
          <w:sz w:val="18"/>
          <w:szCs w:val="18"/>
          <w:lang w:val="es-ES_tradnl"/>
        </w:rPr>
        <w:t xml:space="preserve">provinciales del Azuay. Para el efecto, resulta pertinente en </w:t>
      </w:r>
      <w:r>
        <w:rPr>
          <w:spacing w:val="-9"/>
          <w:sz w:val="18"/>
          <w:szCs w:val="18"/>
          <w:lang w:val="es-ES_tradnl"/>
        </w:rPr>
        <w:t>el presente an</w:t>
      </w:r>
      <w:r>
        <w:rPr>
          <w:rFonts w:cs="Times New Roman"/>
          <w:spacing w:val="-9"/>
          <w:sz w:val="18"/>
          <w:szCs w:val="18"/>
          <w:lang w:val="es-ES_tradnl"/>
        </w:rPr>
        <w:t>á</w:t>
      </w:r>
      <w:r>
        <w:rPr>
          <w:spacing w:val="-9"/>
          <w:sz w:val="18"/>
          <w:szCs w:val="18"/>
          <w:lang w:val="es-ES_tradnl"/>
        </w:rPr>
        <w:t>lisis constitucional, hacer una breve menci</w:t>
      </w:r>
      <w:r>
        <w:rPr>
          <w:rFonts w:cs="Times New Roman"/>
          <w:spacing w:val="-9"/>
          <w:sz w:val="18"/>
          <w:szCs w:val="18"/>
          <w:lang w:val="es-ES_tradnl"/>
        </w:rPr>
        <w:t>ó</w:t>
      </w:r>
      <w:r>
        <w:rPr>
          <w:spacing w:val="-9"/>
          <w:sz w:val="18"/>
          <w:szCs w:val="18"/>
          <w:lang w:val="es-ES_tradnl"/>
        </w:rPr>
        <w:t xml:space="preserve">n </w:t>
      </w:r>
      <w:r>
        <w:rPr>
          <w:spacing w:val="-4"/>
          <w:sz w:val="18"/>
          <w:szCs w:val="18"/>
          <w:lang w:val="es-ES_tradnl"/>
        </w:rPr>
        <w:t>a aquella pretensi</w:t>
      </w:r>
      <w:r>
        <w:rPr>
          <w:rFonts w:cs="Times New Roman"/>
          <w:spacing w:val="-4"/>
          <w:sz w:val="18"/>
          <w:szCs w:val="18"/>
          <w:lang w:val="es-ES_tradnl"/>
        </w:rPr>
        <w:t>ó</w:t>
      </w:r>
      <w:r>
        <w:rPr>
          <w:spacing w:val="-4"/>
          <w:sz w:val="18"/>
          <w:szCs w:val="18"/>
          <w:lang w:val="es-ES_tradnl"/>
        </w:rPr>
        <w:t>n jur</w:t>
      </w:r>
      <w:r>
        <w:rPr>
          <w:rFonts w:cs="Times New Roman"/>
          <w:spacing w:val="-4"/>
          <w:sz w:val="18"/>
          <w:szCs w:val="18"/>
          <w:lang w:val="es-ES_tradnl"/>
        </w:rPr>
        <w:t>í</w:t>
      </w:r>
      <w:r>
        <w:rPr>
          <w:spacing w:val="-4"/>
          <w:sz w:val="18"/>
          <w:szCs w:val="18"/>
          <w:lang w:val="es-ES_tradnl"/>
        </w:rPr>
        <w:t>dica que motiv</w:t>
      </w:r>
      <w:r>
        <w:rPr>
          <w:rFonts w:cs="Times New Roman"/>
          <w:spacing w:val="-4"/>
          <w:sz w:val="18"/>
          <w:szCs w:val="18"/>
          <w:lang w:val="es-ES_tradnl"/>
        </w:rPr>
        <w:t>ó</w:t>
      </w:r>
      <w:r>
        <w:rPr>
          <w:spacing w:val="-4"/>
          <w:sz w:val="18"/>
          <w:szCs w:val="18"/>
          <w:lang w:val="es-ES_tradnl"/>
        </w:rPr>
        <w:t xml:space="preserve"> la activaci</w:t>
      </w:r>
      <w:r>
        <w:rPr>
          <w:rFonts w:cs="Times New Roman"/>
          <w:spacing w:val="-4"/>
          <w:sz w:val="18"/>
          <w:szCs w:val="18"/>
          <w:lang w:val="es-ES_tradnl"/>
        </w:rPr>
        <w:t>ó</w:t>
      </w:r>
      <w:r>
        <w:rPr>
          <w:spacing w:val="-4"/>
          <w:sz w:val="18"/>
          <w:szCs w:val="18"/>
          <w:lang w:val="es-ES_tradnl"/>
        </w:rPr>
        <w:t xml:space="preserve">n de </w:t>
      </w:r>
      <w:r>
        <w:rPr>
          <w:spacing w:val="-1"/>
          <w:sz w:val="18"/>
          <w:szCs w:val="18"/>
          <w:lang w:val="es-ES_tradnl"/>
        </w:rPr>
        <w:t>la garant</w:t>
      </w:r>
      <w:r>
        <w:rPr>
          <w:rFonts w:cs="Times New Roman"/>
          <w:spacing w:val="-1"/>
          <w:sz w:val="18"/>
          <w:szCs w:val="18"/>
          <w:lang w:val="es-ES_tradnl"/>
        </w:rPr>
        <w:t>í</w:t>
      </w:r>
      <w:r>
        <w:rPr>
          <w:spacing w:val="-1"/>
          <w:sz w:val="18"/>
          <w:szCs w:val="18"/>
          <w:lang w:val="es-ES_tradnl"/>
        </w:rPr>
        <w:t>a jurisdiccional de acci</w:t>
      </w:r>
      <w:r>
        <w:rPr>
          <w:rFonts w:cs="Times New Roman"/>
          <w:spacing w:val="-1"/>
          <w:sz w:val="18"/>
          <w:szCs w:val="18"/>
          <w:lang w:val="es-ES_tradnl"/>
        </w:rPr>
        <w:t>ó</w:t>
      </w:r>
      <w:r>
        <w:rPr>
          <w:spacing w:val="-1"/>
          <w:sz w:val="18"/>
          <w:szCs w:val="18"/>
          <w:lang w:val="es-ES_tradnl"/>
        </w:rPr>
        <w:t>n de protecci</w:t>
      </w:r>
      <w:r>
        <w:rPr>
          <w:rFonts w:cs="Times New Roman"/>
          <w:spacing w:val="-1"/>
          <w:sz w:val="18"/>
          <w:szCs w:val="18"/>
          <w:lang w:val="es-ES_tradnl"/>
        </w:rPr>
        <w:t>ó</w:t>
      </w:r>
      <w:r>
        <w:rPr>
          <w:spacing w:val="-1"/>
          <w:sz w:val="18"/>
          <w:szCs w:val="18"/>
          <w:lang w:val="es-ES_tradnl"/>
        </w:rPr>
        <w:t xml:space="preserve">n ante </w:t>
      </w:r>
      <w:r>
        <w:rPr>
          <w:spacing w:val="-7"/>
          <w:sz w:val="18"/>
          <w:szCs w:val="18"/>
          <w:lang w:val="es-ES_tradnl"/>
        </w:rPr>
        <w:t>el juez de primer nivel, por parte de los se</w:t>
      </w:r>
      <w:r>
        <w:rPr>
          <w:rFonts w:cs="Times New Roman"/>
          <w:spacing w:val="-7"/>
          <w:sz w:val="18"/>
          <w:szCs w:val="18"/>
          <w:lang w:val="es-ES_tradnl"/>
        </w:rPr>
        <w:t>ñ</w:t>
      </w:r>
      <w:r>
        <w:rPr>
          <w:spacing w:val="-7"/>
          <w:sz w:val="18"/>
          <w:szCs w:val="18"/>
          <w:lang w:val="es-ES_tradnl"/>
        </w:rPr>
        <w:t xml:space="preserve">ores Ernesto </w:t>
      </w:r>
      <w:r>
        <w:rPr>
          <w:spacing w:val="-3"/>
          <w:sz w:val="18"/>
          <w:szCs w:val="18"/>
          <w:lang w:val="es-ES_tradnl"/>
        </w:rPr>
        <w:t>Robalino Jaramillo, M</w:t>
      </w:r>
      <w:r>
        <w:rPr>
          <w:rFonts w:cs="Times New Roman"/>
          <w:spacing w:val="-3"/>
          <w:sz w:val="18"/>
          <w:szCs w:val="18"/>
          <w:lang w:val="es-ES_tradnl"/>
        </w:rPr>
        <w:t>é</w:t>
      </w:r>
      <w:r>
        <w:rPr>
          <w:spacing w:val="-3"/>
          <w:sz w:val="18"/>
          <w:szCs w:val="18"/>
          <w:lang w:val="es-ES_tradnl"/>
        </w:rPr>
        <w:t>lida Olimpia Molina Abril y Jos</w:t>
      </w:r>
      <w:r>
        <w:rPr>
          <w:rFonts w:cs="Times New Roman"/>
          <w:spacing w:val="-3"/>
          <w:sz w:val="18"/>
          <w:szCs w:val="18"/>
          <w:lang w:val="es-ES_tradnl"/>
        </w:rPr>
        <w:t xml:space="preserve">é </w:t>
      </w:r>
      <w:r>
        <w:rPr>
          <w:spacing w:val="-4"/>
          <w:sz w:val="18"/>
          <w:szCs w:val="18"/>
          <w:lang w:val="es-ES_tradnl"/>
        </w:rPr>
        <w:t>Rafael Buest</w:t>
      </w:r>
      <w:r>
        <w:rPr>
          <w:rFonts w:cs="Times New Roman"/>
          <w:spacing w:val="-4"/>
          <w:sz w:val="18"/>
          <w:szCs w:val="18"/>
          <w:lang w:val="es-ES_tradnl"/>
        </w:rPr>
        <w:t>á</w:t>
      </w:r>
      <w:r>
        <w:rPr>
          <w:spacing w:val="-4"/>
          <w:sz w:val="18"/>
          <w:szCs w:val="18"/>
          <w:lang w:val="es-ES_tradnl"/>
        </w:rPr>
        <w:t>n Guaricela, con el prop</w:t>
      </w:r>
      <w:r>
        <w:rPr>
          <w:rFonts w:cs="Times New Roman"/>
          <w:spacing w:val="-4"/>
          <w:sz w:val="18"/>
          <w:szCs w:val="18"/>
          <w:lang w:val="es-ES_tradnl"/>
        </w:rPr>
        <w:t>ó</w:t>
      </w:r>
      <w:r>
        <w:rPr>
          <w:spacing w:val="-4"/>
          <w:sz w:val="18"/>
          <w:szCs w:val="18"/>
          <w:lang w:val="es-ES_tradnl"/>
        </w:rPr>
        <w:t xml:space="preserve">sito fundamental </w:t>
      </w:r>
      <w:r>
        <w:rPr>
          <w:spacing w:val="-9"/>
          <w:sz w:val="18"/>
          <w:szCs w:val="18"/>
          <w:lang w:val="es-ES_tradnl"/>
        </w:rPr>
        <w:t>de establecer si la sentencia impugnada vulner</w:t>
      </w:r>
      <w:r>
        <w:rPr>
          <w:rFonts w:cs="Times New Roman"/>
          <w:spacing w:val="-9"/>
          <w:sz w:val="18"/>
          <w:szCs w:val="18"/>
          <w:lang w:val="es-ES_tradnl"/>
        </w:rPr>
        <w:t>ó</w:t>
      </w:r>
      <w:r>
        <w:rPr>
          <w:spacing w:val="-9"/>
          <w:sz w:val="18"/>
          <w:szCs w:val="18"/>
          <w:lang w:val="es-ES_tradnl"/>
        </w:rPr>
        <w:t xml:space="preserve"> el derecho </w:t>
      </w:r>
      <w:r>
        <w:rPr>
          <w:sz w:val="18"/>
          <w:szCs w:val="18"/>
          <w:lang w:val="es-ES_tradnl"/>
        </w:rPr>
        <w:t>constitucional alegado.</w:t>
      </w:r>
    </w:p>
    <w:p w14:paraId="4F67B589" w14:textId="77777777" w:rsidR="00591D54" w:rsidRDefault="00591D54">
      <w:pPr>
        <w:shd w:val="clear" w:color="auto" w:fill="FFFFFF"/>
        <w:spacing w:before="197" w:line="216" w:lineRule="exact"/>
        <w:jc w:val="both"/>
      </w:pPr>
      <w:r>
        <w:rPr>
          <w:spacing w:val="-4"/>
          <w:sz w:val="18"/>
          <w:szCs w:val="18"/>
          <w:lang w:val="es-ES_tradnl"/>
        </w:rPr>
        <w:t>Al revisar el contenido de la demanda de acci</w:t>
      </w:r>
      <w:r>
        <w:rPr>
          <w:rFonts w:cs="Times New Roman"/>
          <w:spacing w:val="-4"/>
          <w:sz w:val="18"/>
          <w:szCs w:val="18"/>
          <w:lang w:val="es-ES_tradnl"/>
        </w:rPr>
        <w:t>ó</w:t>
      </w:r>
      <w:r>
        <w:rPr>
          <w:spacing w:val="-4"/>
          <w:sz w:val="18"/>
          <w:szCs w:val="18"/>
          <w:lang w:val="es-ES_tradnl"/>
        </w:rPr>
        <w:t xml:space="preserve">n de </w:t>
      </w:r>
      <w:r>
        <w:rPr>
          <w:spacing w:val="-6"/>
          <w:sz w:val="18"/>
          <w:szCs w:val="18"/>
          <w:lang w:val="es-ES_tradnl"/>
        </w:rPr>
        <w:t>protecci</w:t>
      </w:r>
      <w:r>
        <w:rPr>
          <w:rFonts w:cs="Times New Roman"/>
          <w:spacing w:val="-6"/>
          <w:sz w:val="18"/>
          <w:szCs w:val="18"/>
          <w:lang w:val="es-ES_tradnl"/>
        </w:rPr>
        <w:t>ó</w:t>
      </w:r>
      <w:r>
        <w:rPr>
          <w:spacing w:val="-6"/>
          <w:sz w:val="18"/>
          <w:szCs w:val="18"/>
          <w:lang w:val="es-ES_tradnl"/>
        </w:rPr>
        <w:t xml:space="preserve">n, se observa en lo principal que los antedichos </w:t>
      </w:r>
      <w:r>
        <w:rPr>
          <w:spacing w:val="-1"/>
          <w:sz w:val="18"/>
          <w:szCs w:val="18"/>
          <w:lang w:val="es-ES_tradnl"/>
        </w:rPr>
        <w:t>ciudadanos formularon su petici</w:t>
      </w:r>
      <w:r>
        <w:rPr>
          <w:rFonts w:cs="Times New Roman"/>
          <w:spacing w:val="-1"/>
          <w:sz w:val="18"/>
          <w:szCs w:val="18"/>
          <w:lang w:val="es-ES_tradnl"/>
        </w:rPr>
        <w:t>ó</w:t>
      </w:r>
      <w:r>
        <w:rPr>
          <w:spacing w:val="-1"/>
          <w:sz w:val="18"/>
          <w:szCs w:val="18"/>
          <w:lang w:val="es-ES_tradnl"/>
        </w:rPr>
        <w:t>n de jubilaci</w:t>
      </w:r>
      <w:r>
        <w:rPr>
          <w:rFonts w:cs="Times New Roman"/>
          <w:spacing w:val="-1"/>
          <w:sz w:val="18"/>
          <w:szCs w:val="18"/>
          <w:lang w:val="es-ES_tradnl"/>
        </w:rPr>
        <w:t>ó</w:t>
      </w:r>
      <w:r>
        <w:rPr>
          <w:spacing w:val="-1"/>
          <w:sz w:val="18"/>
          <w:szCs w:val="18"/>
          <w:lang w:val="es-ES_tradnl"/>
        </w:rPr>
        <w:t xml:space="preserve">n en el </w:t>
      </w:r>
      <w:r>
        <w:rPr>
          <w:spacing w:val="-6"/>
          <w:sz w:val="18"/>
          <w:szCs w:val="18"/>
          <w:lang w:val="es-ES_tradnl"/>
        </w:rPr>
        <w:t>mes de septiembre de 2009 a la Direcci</w:t>
      </w:r>
      <w:r>
        <w:rPr>
          <w:rFonts w:cs="Times New Roman"/>
          <w:spacing w:val="-6"/>
          <w:sz w:val="18"/>
          <w:szCs w:val="18"/>
          <w:lang w:val="es-ES_tradnl"/>
        </w:rPr>
        <w:t>ó</w:t>
      </w:r>
      <w:r>
        <w:rPr>
          <w:spacing w:val="-6"/>
          <w:sz w:val="18"/>
          <w:szCs w:val="18"/>
          <w:lang w:val="es-ES_tradnl"/>
        </w:rPr>
        <w:t xml:space="preserve">n Provincial de </w:t>
      </w:r>
      <w:r>
        <w:rPr>
          <w:spacing w:val="-2"/>
          <w:sz w:val="18"/>
          <w:szCs w:val="18"/>
          <w:lang w:val="es-ES_tradnl"/>
        </w:rPr>
        <w:t>Educaci</w:t>
      </w:r>
      <w:r>
        <w:rPr>
          <w:rFonts w:cs="Times New Roman"/>
          <w:spacing w:val="-2"/>
          <w:sz w:val="18"/>
          <w:szCs w:val="18"/>
          <w:lang w:val="es-ES_tradnl"/>
        </w:rPr>
        <w:t>ó</w:t>
      </w:r>
      <w:r>
        <w:rPr>
          <w:spacing w:val="-2"/>
          <w:sz w:val="18"/>
          <w:szCs w:val="18"/>
          <w:lang w:val="es-ES_tradnl"/>
        </w:rPr>
        <w:t>n, y que una vez que habr</w:t>
      </w:r>
      <w:r>
        <w:rPr>
          <w:rFonts w:cs="Times New Roman"/>
          <w:spacing w:val="-2"/>
          <w:sz w:val="18"/>
          <w:szCs w:val="18"/>
          <w:lang w:val="es-ES_tradnl"/>
        </w:rPr>
        <w:t>í</w:t>
      </w:r>
      <w:r>
        <w:rPr>
          <w:spacing w:val="-2"/>
          <w:sz w:val="18"/>
          <w:szCs w:val="18"/>
          <w:lang w:val="es-ES_tradnl"/>
        </w:rPr>
        <w:t xml:space="preserve">an sido aceptadas </w:t>
      </w:r>
      <w:r>
        <w:rPr>
          <w:spacing w:val="-7"/>
          <w:sz w:val="18"/>
          <w:szCs w:val="18"/>
          <w:lang w:val="es-ES_tradnl"/>
        </w:rPr>
        <w:t>las mismas, dicha entidad les habr</w:t>
      </w:r>
      <w:r>
        <w:rPr>
          <w:rFonts w:cs="Times New Roman"/>
          <w:spacing w:val="-7"/>
          <w:sz w:val="18"/>
          <w:szCs w:val="18"/>
          <w:lang w:val="es-ES_tradnl"/>
        </w:rPr>
        <w:t>í</w:t>
      </w:r>
      <w:r>
        <w:rPr>
          <w:spacing w:val="-7"/>
          <w:sz w:val="18"/>
          <w:szCs w:val="18"/>
          <w:lang w:val="es-ES_tradnl"/>
        </w:rPr>
        <w:t xml:space="preserve">a entregado de modo </w:t>
      </w:r>
      <w:r>
        <w:rPr>
          <w:spacing w:val="-8"/>
          <w:sz w:val="18"/>
          <w:szCs w:val="18"/>
          <w:lang w:val="es-ES_tradnl"/>
        </w:rPr>
        <w:t>individual la cantidad de doce mil d</w:t>
      </w:r>
      <w:r>
        <w:rPr>
          <w:rFonts w:cs="Times New Roman"/>
          <w:spacing w:val="-8"/>
          <w:sz w:val="18"/>
          <w:szCs w:val="18"/>
          <w:lang w:val="es-ES_tradnl"/>
        </w:rPr>
        <w:t>ó</w:t>
      </w:r>
      <w:r>
        <w:rPr>
          <w:spacing w:val="-8"/>
          <w:sz w:val="18"/>
          <w:szCs w:val="18"/>
          <w:lang w:val="es-ES_tradnl"/>
        </w:rPr>
        <w:t xml:space="preserve">lares y que tal cantidad </w:t>
      </w:r>
      <w:r>
        <w:rPr>
          <w:spacing w:val="-7"/>
          <w:sz w:val="18"/>
          <w:szCs w:val="18"/>
          <w:lang w:val="es-ES_tradnl"/>
        </w:rPr>
        <w:t>econ</w:t>
      </w:r>
      <w:r>
        <w:rPr>
          <w:rFonts w:cs="Times New Roman"/>
          <w:spacing w:val="-7"/>
          <w:sz w:val="18"/>
          <w:szCs w:val="18"/>
          <w:lang w:val="es-ES_tradnl"/>
        </w:rPr>
        <w:t>ó</w:t>
      </w:r>
      <w:r>
        <w:rPr>
          <w:spacing w:val="-7"/>
          <w:sz w:val="18"/>
          <w:szCs w:val="18"/>
          <w:lang w:val="es-ES_tradnl"/>
        </w:rPr>
        <w:t xml:space="preserve">mica </w:t>
      </w:r>
      <w:r>
        <w:rPr>
          <w:rFonts w:cs="Times New Roman"/>
          <w:spacing w:val="-7"/>
          <w:sz w:val="18"/>
          <w:szCs w:val="18"/>
          <w:lang w:val="es-ES_tradnl"/>
        </w:rPr>
        <w:t>“</w:t>
      </w:r>
      <w:r>
        <w:rPr>
          <w:spacing w:val="-7"/>
          <w:sz w:val="18"/>
          <w:szCs w:val="18"/>
          <w:lang w:val="es-ES_tradnl"/>
        </w:rPr>
        <w:t xml:space="preserve">no tiene nada que ver con lo decretado en el </w:t>
      </w:r>
      <w:r>
        <w:rPr>
          <w:spacing w:val="-5"/>
          <w:sz w:val="18"/>
          <w:szCs w:val="18"/>
          <w:lang w:val="es-ES_tradnl"/>
        </w:rPr>
        <w:t>art</w:t>
      </w:r>
      <w:r>
        <w:rPr>
          <w:rFonts w:cs="Times New Roman"/>
          <w:spacing w:val="-5"/>
          <w:sz w:val="18"/>
          <w:szCs w:val="18"/>
          <w:lang w:val="es-ES_tradnl"/>
        </w:rPr>
        <w:t>í</w:t>
      </w:r>
      <w:r>
        <w:rPr>
          <w:spacing w:val="-5"/>
          <w:sz w:val="18"/>
          <w:szCs w:val="18"/>
          <w:lang w:val="es-ES_tradnl"/>
        </w:rPr>
        <w:t>culo 8 del mandato constituyente N.</w:t>
      </w:r>
      <w:r>
        <w:rPr>
          <w:rFonts w:cs="Times New Roman"/>
          <w:spacing w:val="-5"/>
          <w:sz w:val="18"/>
          <w:szCs w:val="18"/>
          <w:lang w:val="es-ES_tradnl"/>
        </w:rPr>
        <w:t>º</w:t>
      </w:r>
      <w:r>
        <w:rPr>
          <w:spacing w:val="-5"/>
          <w:sz w:val="18"/>
          <w:szCs w:val="18"/>
          <w:lang w:val="es-ES_tradnl"/>
        </w:rPr>
        <w:t xml:space="preserve"> 2</w:t>
      </w:r>
      <w:r>
        <w:rPr>
          <w:rFonts w:cs="Times New Roman"/>
          <w:spacing w:val="-5"/>
          <w:sz w:val="18"/>
          <w:szCs w:val="18"/>
          <w:lang w:val="es-ES_tradnl"/>
        </w:rPr>
        <w:t>”</w:t>
      </w:r>
      <w:r>
        <w:rPr>
          <w:spacing w:val="-5"/>
          <w:sz w:val="18"/>
          <w:szCs w:val="18"/>
          <w:lang w:val="es-ES_tradnl"/>
        </w:rPr>
        <w:t xml:space="preserve">, en cuanto al </w:t>
      </w:r>
      <w:r>
        <w:rPr>
          <w:spacing w:val="-4"/>
          <w:sz w:val="18"/>
          <w:szCs w:val="18"/>
          <w:lang w:val="es-ES_tradnl"/>
        </w:rPr>
        <w:t>c</w:t>
      </w:r>
      <w:r>
        <w:rPr>
          <w:rFonts w:cs="Times New Roman"/>
          <w:spacing w:val="-4"/>
          <w:sz w:val="18"/>
          <w:szCs w:val="18"/>
          <w:lang w:val="es-ES_tradnl"/>
        </w:rPr>
        <w:t>á</w:t>
      </w:r>
      <w:r>
        <w:rPr>
          <w:spacing w:val="-4"/>
          <w:sz w:val="18"/>
          <w:szCs w:val="18"/>
          <w:lang w:val="es-ES_tradnl"/>
        </w:rPr>
        <w:t>lculo para tal determinaci</w:t>
      </w:r>
      <w:r>
        <w:rPr>
          <w:rFonts w:cs="Times New Roman"/>
          <w:spacing w:val="-4"/>
          <w:sz w:val="18"/>
          <w:szCs w:val="18"/>
          <w:lang w:val="es-ES_tradnl"/>
        </w:rPr>
        <w:t>ó</w:t>
      </w:r>
      <w:r>
        <w:rPr>
          <w:spacing w:val="-4"/>
          <w:sz w:val="18"/>
          <w:szCs w:val="18"/>
          <w:lang w:val="es-ES_tradnl"/>
        </w:rPr>
        <w:t xml:space="preserve">n. Luego de enunciar una </w:t>
      </w:r>
      <w:r>
        <w:rPr>
          <w:spacing w:val="-9"/>
          <w:sz w:val="18"/>
          <w:szCs w:val="18"/>
          <w:lang w:val="es-ES_tradnl"/>
        </w:rPr>
        <w:t xml:space="preserve">serie de derechos constitucionales que consideran han sido </w:t>
      </w:r>
      <w:r>
        <w:rPr>
          <w:spacing w:val="-6"/>
          <w:sz w:val="18"/>
          <w:szCs w:val="18"/>
          <w:lang w:val="es-ES_tradnl"/>
        </w:rPr>
        <w:t>vulnerados con este c</w:t>
      </w:r>
      <w:r>
        <w:rPr>
          <w:rFonts w:cs="Times New Roman"/>
          <w:spacing w:val="-6"/>
          <w:sz w:val="18"/>
          <w:szCs w:val="18"/>
          <w:lang w:val="es-ES_tradnl"/>
        </w:rPr>
        <w:t>á</w:t>
      </w:r>
      <w:r>
        <w:rPr>
          <w:spacing w:val="-6"/>
          <w:sz w:val="18"/>
          <w:szCs w:val="18"/>
          <w:lang w:val="es-ES_tradnl"/>
        </w:rPr>
        <w:t>lculo, indican que la separaci</w:t>
      </w:r>
      <w:r>
        <w:rPr>
          <w:rFonts w:cs="Times New Roman"/>
          <w:spacing w:val="-6"/>
          <w:sz w:val="18"/>
          <w:szCs w:val="18"/>
          <w:lang w:val="es-ES_tradnl"/>
        </w:rPr>
        <w:t>ó</w:t>
      </w:r>
      <w:r>
        <w:rPr>
          <w:spacing w:val="-6"/>
          <w:sz w:val="18"/>
          <w:szCs w:val="18"/>
          <w:lang w:val="es-ES_tradnl"/>
        </w:rPr>
        <w:t xml:space="preserve">n </w:t>
      </w:r>
      <w:r>
        <w:rPr>
          <w:spacing w:val="-7"/>
          <w:sz w:val="18"/>
          <w:szCs w:val="18"/>
          <w:lang w:val="es-ES_tradnl"/>
        </w:rPr>
        <w:t xml:space="preserve">institucional se produjo en el mes de septiembre de 2009, </w:t>
      </w:r>
      <w:r>
        <w:rPr>
          <w:spacing w:val="-10"/>
          <w:sz w:val="18"/>
          <w:szCs w:val="18"/>
          <w:lang w:val="es-ES_tradnl"/>
        </w:rPr>
        <w:t xml:space="preserve">mientras ya se encontraba vigente el mandato constituyente </w:t>
      </w:r>
      <w:r>
        <w:rPr>
          <w:spacing w:val="-7"/>
          <w:sz w:val="18"/>
          <w:szCs w:val="18"/>
          <w:lang w:val="es-ES_tradnl"/>
        </w:rPr>
        <w:t>en menci</w:t>
      </w:r>
      <w:r>
        <w:rPr>
          <w:rFonts w:cs="Times New Roman"/>
          <w:spacing w:val="-7"/>
          <w:sz w:val="18"/>
          <w:szCs w:val="18"/>
          <w:lang w:val="es-ES_tradnl"/>
        </w:rPr>
        <w:t>ó</w:t>
      </w:r>
      <w:r>
        <w:rPr>
          <w:spacing w:val="-7"/>
          <w:sz w:val="18"/>
          <w:szCs w:val="18"/>
          <w:lang w:val="es-ES_tradnl"/>
        </w:rPr>
        <w:t>n y que el monto del salario b</w:t>
      </w:r>
      <w:r>
        <w:rPr>
          <w:rFonts w:cs="Times New Roman"/>
          <w:spacing w:val="-7"/>
          <w:sz w:val="18"/>
          <w:szCs w:val="18"/>
          <w:lang w:val="es-ES_tradnl"/>
        </w:rPr>
        <w:t>á</w:t>
      </w:r>
      <w:r>
        <w:rPr>
          <w:spacing w:val="-7"/>
          <w:sz w:val="18"/>
          <w:szCs w:val="18"/>
          <w:lang w:val="es-ES_tradnl"/>
        </w:rPr>
        <w:t xml:space="preserve">sico unificado en </w:t>
      </w:r>
      <w:r>
        <w:rPr>
          <w:sz w:val="18"/>
          <w:szCs w:val="18"/>
          <w:lang w:val="es-ES_tradnl"/>
        </w:rPr>
        <w:t>ese entonces era de $218,00.</w:t>
      </w:r>
    </w:p>
    <w:p w14:paraId="4F67B58A" w14:textId="77777777" w:rsidR="00591D54" w:rsidRDefault="00591D54">
      <w:pPr>
        <w:shd w:val="clear" w:color="auto" w:fill="FFFFFF"/>
        <w:spacing w:before="197" w:line="216" w:lineRule="exact"/>
        <w:jc w:val="both"/>
      </w:pPr>
      <w:r>
        <w:rPr>
          <w:spacing w:val="-6"/>
          <w:sz w:val="18"/>
          <w:szCs w:val="18"/>
          <w:lang w:val="es-ES_tradnl"/>
        </w:rPr>
        <w:t>Ahora bien, una vez que el juez cuarto de la Ni</w:t>
      </w:r>
      <w:r>
        <w:rPr>
          <w:rFonts w:cs="Times New Roman"/>
          <w:spacing w:val="-6"/>
          <w:sz w:val="18"/>
          <w:szCs w:val="18"/>
          <w:lang w:val="es-ES_tradnl"/>
        </w:rPr>
        <w:t>ñ</w:t>
      </w:r>
      <w:r>
        <w:rPr>
          <w:spacing w:val="-6"/>
          <w:sz w:val="18"/>
          <w:szCs w:val="18"/>
          <w:lang w:val="es-ES_tradnl"/>
        </w:rPr>
        <w:t xml:space="preserve">ez y </w:t>
      </w:r>
      <w:r>
        <w:rPr>
          <w:spacing w:val="-2"/>
          <w:sz w:val="18"/>
          <w:szCs w:val="18"/>
          <w:lang w:val="es-ES_tradnl"/>
        </w:rPr>
        <w:t>Adolescencia del Azuay expidi</w:t>
      </w:r>
      <w:r>
        <w:rPr>
          <w:rFonts w:cs="Times New Roman"/>
          <w:spacing w:val="-2"/>
          <w:sz w:val="18"/>
          <w:szCs w:val="18"/>
          <w:lang w:val="es-ES_tradnl"/>
        </w:rPr>
        <w:t>ó</w:t>
      </w:r>
      <w:r>
        <w:rPr>
          <w:spacing w:val="-2"/>
          <w:sz w:val="18"/>
          <w:szCs w:val="18"/>
          <w:lang w:val="es-ES_tradnl"/>
        </w:rPr>
        <w:t xml:space="preserve"> sentencia el 06 de </w:t>
      </w:r>
      <w:r>
        <w:rPr>
          <w:spacing w:val="-5"/>
          <w:sz w:val="18"/>
          <w:szCs w:val="18"/>
          <w:lang w:val="es-ES_tradnl"/>
        </w:rPr>
        <w:t>diciembre de 2010, estableci</w:t>
      </w:r>
      <w:r>
        <w:rPr>
          <w:rFonts w:cs="Times New Roman"/>
          <w:spacing w:val="-5"/>
          <w:sz w:val="18"/>
          <w:szCs w:val="18"/>
          <w:lang w:val="es-ES_tradnl"/>
        </w:rPr>
        <w:t>ó</w:t>
      </w:r>
      <w:r>
        <w:rPr>
          <w:spacing w:val="-5"/>
          <w:sz w:val="18"/>
          <w:szCs w:val="18"/>
          <w:lang w:val="es-ES_tradnl"/>
        </w:rPr>
        <w:t xml:space="preserve"> en el p</w:t>
      </w:r>
      <w:r>
        <w:rPr>
          <w:rFonts w:cs="Times New Roman"/>
          <w:spacing w:val="-5"/>
          <w:sz w:val="18"/>
          <w:szCs w:val="18"/>
          <w:lang w:val="es-ES_tradnl"/>
        </w:rPr>
        <w:t>á</w:t>
      </w:r>
      <w:r>
        <w:rPr>
          <w:spacing w:val="-5"/>
          <w:sz w:val="18"/>
          <w:szCs w:val="18"/>
          <w:lang w:val="es-ES_tradnl"/>
        </w:rPr>
        <w:t>rrafo s</w:t>
      </w:r>
      <w:r>
        <w:rPr>
          <w:rFonts w:cs="Times New Roman"/>
          <w:spacing w:val="-5"/>
          <w:sz w:val="18"/>
          <w:szCs w:val="18"/>
          <w:lang w:val="es-ES_tradnl"/>
        </w:rPr>
        <w:t>é</w:t>
      </w:r>
      <w:r>
        <w:rPr>
          <w:spacing w:val="-5"/>
          <w:sz w:val="18"/>
          <w:szCs w:val="18"/>
          <w:lang w:val="es-ES_tradnl"/>
        </w:rPr>
        <w:t xml:space="preserve">ptimo de </w:t>
      </w:r>
      <w:r>
        <w:rPr>
          <w:spacing w:val="-6"/>
          <w:sz w:val="18"/>
          <w:szCs w:val="18"/>
          <w:lang w:val="es-ES_tradnl"/>
        </w:rPr>
        <w:t xml:space="preserve">dicha sentencia que la Corte Constitucional, mediante </w:t>
      </w:r>
      <w:r>
        <w:rPr>
          <w:sz w:val="18"/>
          <w:szCs w:val="18"/>
          <w:lang w:val="es-ES_tradnl"/>
        </w:rPr>
        <w:t>sentencia N.</w:t>
      </w:r>
      <w:r>
        <w:rPr>
          <w:rFonts w:cs="Times New Roman"/>
          <w:sz w:val="18"/>
          <w:szCs w:val="18"/>
          <w:lang w:val="es-ES_tradnl"/>
        </w:rPr>
        <w:t>º</w:t>
      </w:r>
      <w:r>
        <w:rPr>
          <w:sz w:val="18"/>
          <w:szCs w:val="18"/>
          <w:lang w:val="es-ES_tradnl"/>
        </w:rPr>
        <w:t xml:space="preserve"> 001-10-SAN-CC, determin</w:t>
      </w:r>
      <w:r>
        <w:rPr>
          <w:rFonts w:cs="Times New Roman"/>
          <w:sz w:val="18"/>
          <w:szCs w:val="18"/>
          <w:lang w:val="es-ES_tradnl"/>
        </w:rPr>
        <w:t>ó</w:t>
      </w:r>
      <w:r>
        <w:rPr>
          <w:sz w:val="18"/>
          <w:szCs w:val="18"/>
          <w:lang w:val="es-ES_tradnl"/>
        </w:rPr>
        <w:t xml:space="preserve"> el alcance </w:t>
      </w:r>
      <w:r>
        <w:rPr>
          <w:spacing w:val="-1"/>
          <w:sz w:val="18"/>
          <w:szCs w:val="18"/>
          <w:lang w:val="es-ES_tradnl"/>
        </w:rPr>
        <w:t>del mandato constituyente N.</w:t>
      </w:r>
      <w:r>
        <w:rPr>
          <w:rFonts w:cs="Times New Roman"/>
          <w:spacing w:val="-1"/>
          <w:sz w:val="18"/>
          <w:szCs w:val="18"/>
          <w:lang w:val="es-ES_tradnl"/>
        </w:rPr>
        <w:t>º</w:t>
      </w:r>
      <w:r>
        <w:rPr>
          <w:spacing w:val="-1"/>
          <w:sz w:val="18"/>
          <w:szCs w:val="18"/>
          <w:lang w:val="es-ES_tradnl"/>
        </w:rPr>
        <w:t xml:space="preserve"> 2, en el sentido de que </w:t>
      </w:r>
      <w:r>
        <w:rPr>
          <w:spacing w:val="-4"/>
          <w:sz w:val="18"/>
          <w:szCs w:val="18"/>
          <w:lang w:val="es-ES_tradnl"/>
        </w:rPr>
        <w:t>tal mandato estableci</w:t>
      </w:r>
      <w:r>
        <w:rPr>
          <w:rFonts w:cs="Times New Roman"/>
          <w:spacing w:val="-4"/>
          <w:sz w:val="18"/>
          <w:szCs w:val="18"/>
          <w:lang w:val="es-ES_tradnl"/>
        </w:rPr>
        <w:t>ó</w:t>
      </w:r>
      <w:r>
        <w:rPr>
          <w:spacing w:val="-4"/>
          <w:sz w:val="18"/>
          <w:szCs w:val="18"/>
          <w:lang w:val="es-ES_tradnl"/>
        </w:rPr>
        <w:t xml:space="preserve"> los topes m</w:t>
      </w:r>
      <w:r>
        <w:rPr>
          <w:rFonts w:cs="Times New Roman"/>
          <w:spacing w:val="-4"/>
          <w:sz w:val="18"/>
          <w:szCs w:val="18"/>
          <w:lang w:val="es-ES_tradnl"/>
        </w:rPr>
        <w:t>á</w:t>
      </w:r>
      <w:r>
        <w:rPr>
          <w:spacing w:val="-4"/>
          <w:sz w:val="18"/>
          <w:szCs w:val="18"/>
          <w:lang w:val="es-ES_tradnl"/>
        </w:rPr>
        <w:t xml:space="preserve">ximos para las </w:t>
      </w:r>
      <w:r>
        <w:rPr>
          <w:spacing w:val="-6"/>
          <w:sz w:val="18"/>
          <w:szCs w:val="18"/>
          <w:lang w:val="es-ES_tradnl"/>
        </w:rPr>
        <w:t>liquidaciones por jubilaci</w:t>
      </w:r>
      <w:r>
        <w:rPr>
          <w:rFonts w:cs="Times New Roman"/>
          <w:spacing w:val="-6"/>
          <w:sz w:val="18"/>
          <w:szCs w:val="18"/>
          <w:lang w:val="es-ES_tradnl"/>
        </w:rPr>
        <w:t>ó</w:t>
      </w:r>
      <w:r>
        <w:rPr>
          <w:spacing w:val="-6"/>
          <w:sz w:val="18"/>
          <w:szCs w:val="18"/>
          <w:lang w:val="es-ES_tradnl"/>
        </w:rPr>
        <w:t>n, sean estas por supresi</w:t>
      </w:r>
      <w:r>
        <w:rPr>
          <w:rFonts w:cs="Times New Roman"/>
          <w:spacing w:val="-6"/>
          <w:sz w:val="18"/>
          <w:szCs w:val="18"/>
          <w:lang w:val="es-ES_tradnl"/>
        </w:rPr>
        <w:t>ó</w:t>
      </w:r>
      <w:r>
        <w:rPr>
          <w:spacing w:val="-6"/>
          <w:sz w:val="18"/>
          <w:szCs w:val="18"/>
          <w:lang w:val="es-ES_tradnl"/>
        </w:rPr>
        <w:t xml:space="preserve">n de </w:t>
      </w:r>
      <w:r>
        <w:rPr>
          <w:spacing w:val="-4"/>
          <w:sz w:val="18"/>
          <w:szCs w:val="18"/>
          <w:lang w:val="es-ES_tradnl"/>
        </w:rPr>
        <w:t xml:space="preserve">partidas, renuncia voluntaria o retiro voluntario de los </w:t>
      </w:r>
      <w:r>
        <w:rPr>
          <w:spacing w:val="-6"/>
          <w:sz w:val="18"/>
          <w:szCs w:val="18"/>
          <w:lang w:val="es-ES_tradnl"/>
        </w:rPr>
        <w:t>funcionarios, servidores p</w:t>
      </w:r>
      <w:r>
        <w:rPr>
          <w:rFonts w:cs="Times New Roman"/>
          <w:spacing w:val="-6"/>
          <w:sz w:val="18"/>
          <w:szCs w:val="18"/>
          <w:lang w:val="es-ES_tradnl"/>
        </w:rPr>
        <w:t>ú</w:t>
      </w:r>
      <w:r>
        <w:rPr>
          <w:spacing w:val="-6"/>
          <w:sz w:val="18"/>
          <w:szCs w:val="18"/>
          <w:lang w:val="es-ES_tradnl"/>
        </w:rPr>
        <w:t xml:space="preserve">blicos y personal docente del </w:t>
      </w:r>
      <w:r>
        <w:rPr>
          <w:spacing w:val="-7"/>
          <w:sz w:val="18"/>
          <w:szCs w:val="18"/>
          <w:lang w:val="es-ES_tradnl"/>
        </w:rPr>
        <w:t>sector p</w:t>
      </w:r>
      <w:r>
        <w:rPr>
          <w:rFonts w:cs="Times New Roman"/>
          <w:spacing w:val="-7"/>
          <w:sz w:val="18"/>
          <w:szCs w:val="18"/>
          <w:lang w:val="es-ES_tradnl"/>
        </w:rPr>
        <w:t>ú</w:t>
      </w:r>
      <w:r>
        <w:rPr>
          <w:spacing w:val="-7"/>
          <w:sz w:val="18"/>
          <w:szCs w:val="18"/>
          <w:lang w:val="es-ES_tradnl"/>
        </w:rPr>
        <w:t>blico. Pero adem</w:t>
      </w:r>
      <w:r>
        <w:rPr>
          <w:rFonts w:cs="Times New Roman"/>
          <w:spacing w:val="-7"/>
          <w:sz w:val="18"/>
          <w:szCs w:val="18"/>
          <w:lang w:val="es-ES_tradnl"/>
        </w:rPr>
        <w:t>á</w:t>
      </w:r>
      <w:r>
        <w:rPr>
          <w:spacing w:val="-7"/>
          <w:sz w:val="18"/>
          <w:szCs w:val="18"/>
          <w:lang w:val="es-ES_tradnl"/>
        </w:rPr>
        <w:t>s, el juez de primer nivel aclar</w:t>
      </w:r>
      <w:r>
        <w:rPr>
          <w:rFonts w:cs="Times New Roman"/>
          <w:spacing w:val="-7"/>
          <w:sz w:val="18"/>
          <w:szCs w:val="18"/>
          <w:lang w:val="es-ES_tradnl"/>
        </w:rPr>
        <w:t xml:space="preserve">ó </w:t>
      </w:r>
      <w:r>
        <w:rPr>
          <w:spacing w:val="-8"/>
          <w:sz w:val="18"/>
          <w:szCs w:val="18"/>
          <w:lang w:val="es-ES_tradnl"/>
        </w:rPr>
        <w:t xml:space="preserve">que en el supuesto de haberse incurrido en incumplimiento </w:t>
      </w:r>
      <w:r>
        <w:rPr>
          <w:spacing w:val="-10"/>
          <w:sz w:val="18"/>
          <w:szCs w:val="18"/>
          <w:lang w:val="es-ES_tradnl"/>
        </w:rPr>
        <w:t xml:space="preserve">de las pretensiones de los accionantes, es decir, de haberse </w:t>
      </w:r>
      <w:r>
        <w:rPr>
          <w:spacing w:val="-8"/>
          <w:sz w:val="18"/>
          <w:szCs w:val="18"/>
          <w:lang w:val="es-ES_tradnl"/>
        </w:rPr>
        <w:t>presentado errores de c</w:t>
      </w:r>
      <w:r>
        <w:rPr>
          <w:rFonts w:cs="Times New Roman"/>
          <w:spacing w:val="-8"/>
          <w:sz w:val="18"/>
          <w:szCs w:val="18"/>
          <w:lang w:val="es-ES_tradnl"/>
        </w:rPr>
        <w:t>á</w:t>
      </w:r>
      <w:r>
        <w:rPr>
          <w:spacing w:val="-8"/>
          <w:sz w:val="18"/>
          <w:szCs w:val="18"/>
          <w:lang w:val="es-ES_tradnl"/>
        </w:rPr>
        <w:t xml:space="preserve">lculo sobre los valores de tales </w:t>
      </w:r>
      <w:r>
        <w:rPr>
          <w:spacing w:val="-3"/>
          <w:sz w:val="18"/>
          <w:szCs w:val="18"/>
          <w:lang w:val="es-ES_tradnl"/>
        </w:rPr>
        <w:t xml:space="preserve">liquidaciones, </w:t>
      </w:r>
      <w:r>
        <w:rPr>
          <w:rFonts w:cs="Times New Roman"/>
          <w:spacing w:val="-3"/>
          <w:sz w:val="18"/>
          <w:szCs w:val="18"/>
          <w:lang w:val="es-ES_tradnl"/>
        </w:rPr>
        <w:t>“</w:t>
      </w:r>
      <w:r>
        <w:rPr>
          <w:spacing w:val="-3"/>
          <w:sz w:val="18"/>
          <w:szCs w:val="18"/>
          <w:lang w:val="es-ES_tradnl"/>
        </w:rPr>
        <w:t>esta pretensi</w:t>
      </w:r>
      <w:r>
        <w:rPr>
          <w:rFonts w:cs="Times New Roman"/>
          <w:spacing w:val="-3"/>
          <w:sz w:val="18"/>
          <w:szCs w:val="18"/>
          <w:lang w:val="es-ES_tradnl"/>
        </w:rPr>
        <w:t>ó</w:t>
      </w:r>
      <w:r>
        <w:rPr>
          <w:spacing w:val="-3"/>
          <w:sz w:val="18"/>
          <w:szCs w:val="18"/>
          <w:lang w:val="es-ES_tradnl"/>
        </w:rPr>
        <w:t>n debi</w:t>
      </w:r>
      <w:r>
        <w:rPr>
          <w:rFonts w:cs="Times New Roman"/>
          <w:spacing w:val="-3"/>
          <w:sz w:val="18"/>
          <w:szCs w:val="18"/>
          <w:lang w:val="es-ES_tradnl"/>
        </w:rPr>
        <w:t>ó</w:t>
      </w:r>
      <w:r>
        <w:rPr>
          <w:spacing w:val="-3"/>
          <w:sz w:val="18"/>
          <w:szCs w:val="18"/>
          <w:lang w:val="es-ES_tradnl"/>
        </w:rPr>
        <w:t xml:space="preserve"> ser reclamada por </w:t>
      </w:r>
      <w:r>
        <w:rPr>
          <w:spacing w:val="-6"/>
          <w:sz w:val="18"/>
          <w:szCs w:val="18"/>
          <w:lang w:val="es-ES_tradnl"/>
        </w:rPr>
        <w:t>la v</w:t>
      </w:r>
      <w:r>
        <w:rPr>
          <w:rFonts w:cs="Times New Roman"/>
          <w:spacing w:val="-6"/>
          <w:sz w:val="18"/>
          <w:szCs w:val="18"/>
          <w:lang w:val="es-ES_tradnl"/>
        </w:rPr>
        <w:t>í</w:t>
      </w:r>
      <w:r>
        <w:rPr>
          <w:spacing w:val="-6"/>
          <w:sz w:val="18"/>
          <w:szCs w:val="18"/>
          <w:lang w:val="es-ES_tradnl"/>
        </w:rPr>
        <w:t>a ordinaria que s</w:t>
      </w:r>
      <w:r>
        <w:rPr>
          <w:rFonts w:cs="Times New Roman"/>
          <w:spacing w:val="-6"/>
          <w:sz w:val="18"/>
          <w:szCs w:val="18"/>
          <w:lang w:val="es-ES_tradnl"/>
        </w:rPr>
        <w:t>í</w:t>
      </w:r>
      <w:r>
        <w:rPr>
          <w:spacing w:val="-6"/>
          <w:sz w:val="18"/>
          <w:szCs w:val="18"/>
          <w:lang w:val="es-ES_tradnl"/>
        </w:rPr>
        <w:t xml:space="preserve"> la prev</w:t>
      </w:r>
      <w:r>
        <w:rPr>
          <w:rFonts w:cs="Times New Roman"/>
          <w:spacing w:val="-6"/>
          <w:sz w:val="18"/>
          <w:szCs w:val="18"/>
          <w:lang w:val="es-ES_tradnl"/>
        </w:rPr>
        <w:t>é</w:t>
      </w:r>
      <w:r>
        <w:rPr>
          <w:spacing w:val="-6"/>
          <w:sz w:val="18"/>
          <w:szCs w:val="18"/>
          <w:lang w:val="es-ES_tradnl"/>
        </w:rPr>
        <w:t xml:space="preserve"> el ordenamiento jur</w:t>
      </w:r>
      <w:r>
        <w:rPr>
          <w:rFonts w:cs="Times New Roman"/>
          <w:spacing w:val="-6"/>
          <w:sz w:val="18"/>
          <w:szCs w:val="18"/>
          <w:lang w:val="es-ES_tradnl"/>
        </w:rPr>
        <w:t>í</w:t>
      </w:r>
      <w:r>
        <w:rPr>
          <w:spacing w:val="-6"/>
          <w:sz w:val="18"/>
          <w:szCs w:val="18"/>
          <w:lang w:val="es-ES_tradnl"/>
        </w:rPr>
        <w:t>dico ecuatoriano</w:t>
      </w:r>
      <w:r>
        <w:rPr>
          <w:rFonts w:cs="Times New Roman"/>
          <w:spacing w:val="-6"/>
          <w:sz w:val="18"/>
          <w:szCs w:val="18"/>
          <w:lang w:val="es-ES_tradnl"/>
        </w:rPr>
        <w:t>”</w:t>
      </w:r>
      <w:r>
        <w:rPr>
          <w:spacing w:val="-6"/>
          <w:sz w:val="18"/>
          <w:szCs w:val="18"/>
          <w:lang w:val="es-ES_tradnl"/>
        </w:rPr>
        <w:t xml:space="preserve">, para finalmente concluir que no ha habido </w:t>
      </w:r>
      <w:r>
        <w:rPr>
          <w:spacing w:val="-7"/>
          <w:sz w:val="18"/>
          <w:szCs w:val="18"/>
          <w:lang w:val="es-ES_tradnl"/>
        </w:rPr>
        <w:t>vulneraci</w:t>
      </w:r>
      <w:r>
        <w:rPr>
          <w:rFonts w:cs="Times New Roman"/>
          <w:spacing w:val="-7"/>
          <w:sz w:val="18"/>
          <w:szCs w:val="18"/>
          <w:lang w:val="es-ES_tradnl"/>
        </w:rPr>
        <w:t>ó</w:t>
      </w:r>
      <w:r>
        <w:rPr>
          <w:spacing w:val="-7"/>
          <w:sz w:val="18"/>
          <w:szCs w:val="18"/>
          <w:lang w:val="es-ES_tradnl"/>
        </w:rPr>
        <w:t xml:space="preserve">n de derechos constitucionales ni que se haya </w:t>
      </w:r>
      <w:r>
        <w:rPr>
          <w:spacing w:val="-10"/>
          <w:sz w:val="18"/>
          <w:szCs w:val="18"/>
          <w:lang w:val="es-ES_tradnl"/>
        </w:rPr>
        <w:t>justificado que no existan otras v</w:t>
      </w:r>
      <w:r>
        <w:rPr>
          <w:rFonts w:cs="Times New Roman"/>
          <w:spacing w:val="-10"/>
          <w:sz w:val="18"/>
          <w:szCs w:val="18"/>
          <w:lang w:val="es-ES_tradnl"/>
        </w:rPr>
        <w:t>í</w:t>
      </w:r>
      <w:r>
        <w:rPr>
          <w:spacing w:val="-10"/>
          <w:sz w:val="18"/>
          <w:szCs w:val="18"/>
          <w:lang w:val="es-ES_tradnl"/>
        </w:rPr>
        <w:t xml:space="preserve">as para hacer su reclamo y </w:t>
      </w:r>
      <w:r>
        <w:rPr>
          <w:spacing w:val="-9"/>
          <w:sz w:val="18"/>
          <w:szCs w:val="18"/>
          <w:lang w:val="es-ES_tradnl"/>
        </w:rPr>
        <w:t>que su pretensi</w:t>
      </w:r>
      <w:r>
        <w:rPr>
          <w:rFonts w:cs="Times New Roman"/>
          <w:spacing w:val="-9"/>
          <w:sz w:val="18"/>
          <w:szCs w:val="18"/>
          <w:lang w:val="es-ES_tradnl"/>
        </w:rPr>
        <w:t>ó</w:t>
      </w:r>
      <w:r>
        <w:rPr>
          <w:spacing w:val="-9"/>
          <w:sz w:val="18"/>
          <w:szCs w:val="18"/>
          <w:lang w:val="es-ES_tradnl"/>
        </w:rPr>
        <w:t>n es una reparaci</w:t>
      </w:r>
      <w:r>
        <w:rPr>
          <w:rFonts w:cs="Times New Roman"/>
          <w:spacing w:val="-9"/>
          <w:sz w:val="18"/>
          <w:szCs w:val="18"/>
          <w:lang w:val="es-ES_tradnl"/>
        </w:rPr>
        <w:t>ó</w:t>
      </w:r>
      <w:r>
        <w:rPr>
          <w:spacing w:val="-9"/>
          <w:sz w:val="18"/>
          <w:szCs w:val="18"/>
          <w:lang w:val="es-ES_tradnl"/>
        </w:rPr>
        <w:t>n econ</w:t>
      </w:r>
      <w:r>
        <w:rPr>
          <w:rFonts w:cs="Times New Roman"/>
          <w:spacing w:val="-9"/>
          <w:sz w:val="18"/>
          <w:szCs w:val="18"/>
          <w:lang w:val="es-ES_tradnl"/>
        </w:rPr>
        <w:t>ó</w:t>
      </w:r>
      <w:r>
        <w:rPr>
          <w:spacing w:val="-9"/>
          <w:sz w:val="18"/>
          <w:szCs w:val="18"/>
          <w:lang w:val="es-ES_tradnl"/>
        </w:rPr>
        <w:t>mica.</w:t>
      </w:r>
    </w:p>
    <w:p w14:paraId="4F67B58B" w14:textId="77777777" w:rsidR="00591D54" w:rsidRDefault="00591D54">
      <w:pPr>
        <w:shd w:val="clear" w:color="auto" w:fill="FFFFFF"/>
        <w:spacing w:before="192" w:line="216" w:lineRule="exact"/>
        <w:ind w:right="5"/>
        <w:jc w:val="both"/>
      </w:pPr>
      <w:r>
        <w:rPr>
          <w:spacing w:val="-7"/>
          <w:sz w:val="18"/>
          <w:szCs w:val="18"/>
          <w:lang w:val="es-ES_tradnl"/>
        </w:rPr>
        <w:t>Entonces, una vez que el juez de primer nivel neg</w:t>
      </w:r>
      <w:r>
        <w:rPr>
          <w:rFonts w:cs="Times New Roman"/>
          <w:spacing w:val="-7"/>
          <w:sz w:val="18"/>
          <w:szCs w:val="18"/>
          <w:lang w:val="es-ES_tradnl"/>
        </w:rPr>
        <w:t>ó</w:t>
      </w:r>
      <w:r>
        <w:rPr>
          <w:spacing w:val="-7"/>
          <w:sz w:val="18"/>
          <w:szCs w:val="18"/>
          <w:lang w:val="es-ES_tradnl"/>
        </w:rPr>
        <w:t xml:space="preserve"> dicha </w:t>
      </w:r>
      <w:r>
        <w:rPr>
          <w:spacing w:val="-6"/>
          <w:sz w:val="18"/>
          <w:szCs w:val="18"/>
          <w:lang w:val="es-ES_tradnl"/>
        </w:rPr>
        <w:t>pretensi</w:t>
      </w:r>
      <w:r>
        <w:rPr>
          <w:rFonts w:cs="Times New Roman"/>
          <w:spacing w:val="-6"/>
          <w:sz w:val="18"/>
          <w:szCs w:val="18"/>
          <w:lang w:val="es-ES_tradnl"/>
        </w:rPr>
        <w:t>ó</w:t>
      </w:r>
      <w:r>
        <w:rPr>
          <w:spacing w:val="-6"/>
          <w:sz w:val="18"/>
          <w:szCs w:val="18"/>
          <w:lang w:val="es-ES_tradnl"/>
        </w:rPr>
        <w:t>n, y a partir del recurso de apelaci</w:t>
      </w:r>
      <w:r>
        <w:rPr>
          <w:rFonts w:cs="Times New Roman"/>
          <w:spacing w:val="-6"/>
          <w:sz w:val="18"/>
          <w:szCs w:val="18"/>
          <w:lang w:val="es-ES_tradnl"/>
        </w:rPr>
        <w:t>ó</w:t>
      </w:r>
      <w:r>
        <w:rPr>
          <w:spacing w:val="-6"/>
          <w:sz w:val="18"/>
          <w:szCs w:val="18"/>
          <w:lang w:val="es-ES_tradnl"/>
        </w:rPr>
        <w:t xml:space="preserve">n formulado </w:t>
      </w:r>
      <w:r>
        <w:rPr>
          <w:spacing w:val="-4"/>
          <w:sz w:val="18"/>
          <w:szCs w:val="18"/>
          <w:lang w:val="es-ES_tradnl"/>
        </w:rPr>
        <w:t xml:space="preserve">por los accionantes, la Corte Provincial de Justicia del </w:t>
      </w:r>
      <w:r>
        <w:rPr>
          <w:spacing w:val="-1"/>
          <w:sz w:val="18"/>
          <w:szCs w:val="18"/>
          <w:lang w:val="es-ES_tradnl"/>
        </w:rPr>
        <w:t>Azuay expidi</w:t>
      </w:r>
      <w:r>
        <w:rPr>
          <w:rFonts w:cs="Times New Roman"/>
          <w:spacing w:val="-1"/>
          <w:sz w:val="18"/>
          <w:szCs w:val="18"/>
          <w:lang w:val="es-ES_tradnl"/>
        </w:rPr>
        <w:t>ó</w:t>
      </w:r>
      <w:r>
        <w:rPr>
          <w:spacing w:val="-1"/>
          <w:sz w:val="18"/>
          <w:szCs w:val="18"/>
          <w:lang w:val="es-ES_tradnl"/>
        </w:rPr>
        <w:t xml:space="preserve"> la sentencia objeto de impugnaci</w:t>
      </w:r>
      <w:r>
        <w:rPr>
          <w:rFonts w:cs="Times New Roman"/>
          <w:spacing w:val="-1"/>
          <w:sz w:val="18"/>
          <w:szCs w:val="18"/>
          <w:lang w:val="es-ES_tradnl"/>
        </w:rPr>
        <w:t>ó</w:t>
      </w:r>
      <w:r>
        <w:rPr>
          <w:spacing w:val="-1"/>
          <w:sz w:val="18"/>
          <w:szCs w:val="18"/>
          <w:lang w:val="es-ES_tradnl"/>
        </w:rPr>
        <w:t xml:space="preserve">n por </w:t>
      </w:r>
      <w:r>
        <w:rPr>
          <w:spacing w:val="-4"/>
          <w:sz w:val="18"/>
          <w:szCs w:val="18"/>
          <w:lang w:val="es-ES_tradnl"/>
        </w:rPr>
        <w:t>la cual se revoc</w:t>
      </w:r>
      <w:r>
        <w:rPr>
          <w:rFonts w:cs="Times New Roman"/>
          <w:spacing w:val="-4"/>
          <w:sz w:val="18"/>
          <w:szCs w:val="18"/>
          <w:lang w:val="es-ES_tradnl"/>
        </w:rPr>
        <w:t>ó</w:t>
      </w:r>
      <w:r>
        <w:rPr>
          <w:spacing w:val="-4"/>
          <w:sz w:val="18"/>
          <w:szCs w:val="18"/>
          <w:lang w:val="es-ES_tradnl"/>
        </w:rPr>
        <w:t xml:space="preserve"> la decisi</w:t>
      </w:r>
      <w:r>
        <w:rPr>
          <w:rFonts w:cs="Times New Roman"/>
          <w:spacing w:val="-4"/>
          <w:sz w:val="18"/>
          <w:szCs w:val="18"/>
          <w:lang w:val="es-ES_tradnl"/>
        </w:rPr>
        <w:t>ó</w:t>
      </w:r>
      <w:r>
        <w:rPr>
          <w:spacing w:val="-4"/>
          <w:sz w:val="18"/>
          <w:szCs w:val="18"/>
          <w:lang w:val="es-ES_tradnl"/>
        </w:rPr>
        <w:t xml:space="preserve">n del juez de instancia y se </w:t>
      </w:r>
      <w:r>
        <w:rPr>
          <w:spacing w:val="-5"/>
          <w:sz w:val="18"/>
          <w:szCs w:val="18"/>
          <w:lang w:val="es-ES_tradnl"/>
        </w:rPr>
        <w:t>acept</w:t>
      </w:r>
      <w:r>
        <w:rPr>
          <w:rFonts w:cs="Times New Roman"/>
          <w:spacing w:val="-5"/>
          <w:sz w:val="18"/>
          <w:szCs w:val="18"/>
          <w:lang w:val="es-ES_tradnl"/>
        </w:rPr>
        <w:t>ó</w:t>
      </w:r>
      <w:r>
        <w:rPr>
          <w:spacing w:val="-5"/>
          <w:sz w:val="18"/>
          <w:szCs w:val="18"/>
          <w:lang w:val="es-ES_tradnl"/>
        </w:rPr>
        <w:t xml:space="preserve"> la demanda formulada bajo el argumento de que </w:t>
      </w:r>
      <w:r>
        <w:rPr>
          <w:spacing w:val="-3"/>
          <w:sz w:val="18"/>
          <w:szCs w:val="18"/>
          <w:lang w:val="es-ES_tradnl"/>
        </w:rPr>
        <w:t>la Direcci</w:t>
      </w:r>
      <w:r>
        <w:rPr>
          <w:rFonts w:cs="Times New Roman"/>
          <w:spacing w:val="-3"/>
          <w:sz w:val="18"/>
          <w:szCs w:val="18"/>
          <w:lang w:val="es-ES_tradnl"/>
        </w:rPr>
        <w:t>ó</w:t>
      </w:r>
      <w:r>
        <w:rPr>
          <w:spacing w:val="-3"/>
          <w:sz w:val="18"/>
          <w:szCs w:val="18"/>
          <w:lang w:val="es-ES_tradnl"/>
        </w:rPr>
        <w:t>n Provincial de Educaci</w:t>
      </w:r>
      <w:r>
        <w:rPr>
          <w:rFonts w:cs="Times New Roman"/>
          <w:spacing w:val="-3"/>
          <w:sz w:val="18"/>
          <w:szCs w:val="18"/>
          <w:lang w:val="es-ES_tradnl"/>
        </w:rPr>
        <w:t>ó</w:t>
      </w:r>
      <w:r>
        <w:rPr>
          <w:spacing w:val="-3"/>
          <w:sz w:val="18"/>
          <w:szCs w:val="18"/>
          <w:lang w:val="es-ES_tradnl"/>
        </w:rPr>
        <w:t>n del Azuay realiz</w:t>
      </w:r>
      <w:r>
        <w:rPr>
          <w:rFonts w:cs="Times New Roman"/>
          <w:spacing w:val="-3"/>
          <w:sz w:val="18"/>
          <w:szCs w:val="18"/>
          <w:lang w:val="es-ES_tradnl"/>
        </w:rPr>
        <w:t xml:space="preserve">ó </w:t>
      </w:r>
      <w:r>
        <w:rPr>
          <w:spacing w:val="-4"/>
          <w:sz w:val="18"/>
          <w:szCs w:val="18"/>
          <w:lang w:val="es-ES_tradnl"/>
        </w:rPr>
        <w:t>una liquidaci</w:t>
      </w:r>
      <w:r>
        <w:rPr>
          <w:rFonts w:cs="Times New Roman"/>
          <w:spacing w:val="-4"/>
          <w:sz w:val="18"/>
          <w:szCs w:val="18"/>
          <w:lang w:val="es-ES_tradnl"/>
        </w:rPr>
        <w:t>ó</w:t>
      </w:r>
      <w:r>
        <w:rPr>
          <w:spacing w:val="-4"/>
          <w:sz w:val="18"/>
          <w:szCs w:val="18"/>
          <w:lang w:val="es-ES_tradnl"/>
        </w:rPr>
        <w:t xml:space="preserve">n </w:t>
      </w:r>
      <w:r>
        <w:rPr>
          <w:rFonts w:cs="Times New Roman"/>
          <w:spacing w:val="-4"/>
          <w:sz w:val="18"/>
          <w:szCs w:val="18"/>
          <w:lang w:val="es-ES_tradnl"/>
        </w:rPr>
        <w:t>“</w:t>
      </w:r>
      <w:r>
        <w:rPr>
          <w:spacing w:val="-4"/>
          <w:sz w:val="18"/>
          <w:szCs w:val="18"/>
          <w:lang w:val="es-ES_tradnl"/>
        </w:rPr>
        <w:t>de forma incompleta</w:t>
      </w:r>
      <w:r>
        <w:rPr>
          <w:rFonts w:cs="Times New Roman"/>
          <w:spacing w:val="-4"/>
          <w:sz w:val="18"/>
          <w:szCs w:val="18"/>
          <w:lang w:val="es-ES_tradnl"/>
        </w:rPr>
        <w:t>”</w:t>
      </w:r>
      <w:r>
        <w:rPr>
          <w:spacing w:val="-4"/>
          <w:sz w:val="18"/>
          <w:szCs w:val="18"/>
          <w:lang w:val="es-ES_tradnl"/>
        </w:rPr>
        <w:t xml:space="preserve">, pues a criterio de </w:t>
      </w:r>
      <w:r>
        <w:rPr>
          <w:spacing w:val="-6"/>
          <w:sz w:val="18"/>
          <w:szCs w:val="18"/>
          <w:lang w:val="es-ES_tradnl"/>
        </w:rPr>
        <w:t>los jueces provinciales, la misma no se habr</w:t>
      </w:r>
      <w:r>
        <w:rPr>
          <w:rFonts w:cs="Times New Roman"/>
          <w:spacing w:val="-6"/>
          <w:sz w:val="18"/>
          <w:szCs w:val="18"/>
          <w:lang w:val="es-ES_tradnl"/>
        </w:rPr>
        <w:t>í</w:t>
      </w:r>
      <w:r>
        <w:rPr>
          <w:spacing w:val="-6"/>
          <w:sz w:val="18"/>
          <w:szCs w:val="18"/>
          <w:lang w:val="es-ES_tradnl"/>
        </w:rPr>
        <w:t xml:space="preserve">a sujetado a </w:t>
      </w:r>
      <w:r>
        <w:rPr>
          <w:spacing w:val="-5"/>
          <w:sz w:val="18"/>
          <w:szCs w:val="18"/>
          <w:lang w:val="es-ES_tradnl"/>
        </w:rPr>
        <w:t>lo establecido en el art</w:t>
      </w:r>
      <w:r>
        <w:rPr>
          <w:rFonts w:cs="Times New Roman"/>
          <w:spacing w:val="-5"/>
          <w:sz w:val="18"/>
          <w:szCs w:val="18"/>
          <w:lang w:val="es-ES_tradnl"/>
        </w:rPr>
        <w:t>í</w:t>
      </w:r>
      <w:r>
        <w:rPr>
          <w:spacing w:val="-5"/>
          <w:sz w:val="18"/>
          <w:szCs w:val="18"/>
          <w:lang w:val="es-ES_tradnl"/>
        </w:rPr>
        <w:t xml:space="preserve">culo 8 del mandato constituyente </w:t>
      </w:r>
      <w:r>
        <w:rPr>
          <w:spacing w:val="-6"/>
          <w:sz w:val="18"/>
          <w:szCs w:val="18"/>
          <w:lang w:val="es-ES_tradnl"/>
        </w:rPr>
        <w:t>N.</w:t>
      </w:r>
      <w:r>
        <w:rPr>
          <w:rFonts w:cs="Times New Roman"/>
          <w:spacing w:val="-6"/>
          <w:sz w:val="18"/>
          <w:szCs w:val="18"/>
          <w:lang w:val="es-ES_tradnl"/>
        </w:rPr>
        <w:t>º</w:t>
      </w:r>
      <w:r>
        <w:rPr>
          <w:spacing w:val="-6"/>
          <w:sz w:val="18"/>
          <w:szCs w:val="18"/>
          <w:lang w:val="es-ES_tradnl"/>
        </w:rPr>
        <w:t xml:space="preserve"> 2, debiendo completarse la obligaci</w:t>
      </w:r>
      <w:r>
        <w:rPr>
          <w:rFonts w:cs="Times New Roman"/>
          <w:spacing w:val="-6"/>
          <w:sz w:val="18"/>
          <w:szCs w:val="18"/>
          <w:lang w:val="es-ES_tradnl"/>
        </w:rPr>
        <w:t>ó</w:t>
      </w:r>
      <w:r>
        <w:rPr>
          <w:spacing w:val="-6"/>
          <w:sz w:val="18"/>
          <w:szCs w:val="18"/>
          <w:lang w:val="es-ES_tradnl"/>
        </w:rPr>
        <w:t xml:space="preserve">n en cuanto a la </w:t>
      </w:r>
      <w:r>
        <w:rPr>
          <w:sz w:val="18"/>
          <w:szCs w:val="18"/>
          <w:lang w:val="es-ES_tradnl"/>
        </w:rPr>
        <w:t>liquidaci</w:t>
      </w:r>
      <w:r>
        <w:rPr>
          <w:rFonts w:cs="Times New Roman"/>
          <w:sz w:val="18"/>
          <w:szCs w:val="18"/>
          <w:lang w:val="es-ES_tradnl"/>
        </w:rPr>
        <w:t>ó</w:t>
      </w:r>
      <w:r>
        <w:rPr>
          <w:sz w:val="18"/>
          <w:szCs w:val="18"/>
          <w:lang w:val="es-ES_tradnl"/>
        </w:rPr>
        <w:t>n.</w:t>
      </w:r>
    </w:p>
    <w:p w14:paraId="4F67B58C" w14:textId="77777777" w:rsidR="00591D54" w:rsidRDefault="00591D54">
      <w:pPr>
        <w:shd w:val="clear" w:color="auto" w:fill="FFFFFF"/>
        <w:spacing w:before="192" w:line="216" w:lineRule="exact"/>
        <w:ind w:right="5"/>
        <w:jc w:val="both"/>
      </w:pPr>
      <w:r>
        <w:rPr>
          <w:spacing w:val="-10"/>
          <w:sz w:val="18"/>
          <w:szCs w:val="18"/>
          <w:lang w:val="es-ES_tradnl"/>
        </w:rPr>
        <w:t xml:space="preserve">Sobre este punto, la Corte Constitucional procede a efectuar </w:t>
      </w:r>
      <w:r>
        <w:rPr>
          <w:sz w:val="18"/>
          <w:szCs w:val="18"/>
          <w:lang w:val="es-ES_tradnl"/>
        </w:rPr>
        <w:t>las siguientes consideraciones:</w:t>
      </w:r>
    </w:p>
    <w:p w14:paraId="4F67B58D" w14:textId="77777777" w:rsidR="00591D54" w:rsidRDefault="00591D54">
      <w:pPr>
        <w:shd w:val="clear" w:color="auto" w:fill="FFFFFF"/>
        <w:spacing w:line="226" w:lineRule="exact"/>
        <w:jc w:val="both"/>
      </w:pPr>
      <w:r>
        <w:br w:type="column"/>
      </w:r>
      <w:r>
        <w:rPr>
          <w:spacing w:val="-5"/>
          <w:sz w:val="18"/>
          <w:szCs w:val="18"/>
          <w:lang w:val="es-ES_tradnl"/>
        </w:rPr>
        <w:t xml:space="preserve">En primer lugar, puede determinarse que los jueces </w:t>
      </w:r>
      <w:r>
        <w:rPr>
          <w:spacing w:val="-6"/>
          <w:sz w:val="18"/>
          <w:szCs w:val="18"/>
          <w:lang w:val="es-ES_tradnl"/>
        </w:rPr>
        <w:t>provinciales proceden a efectuar una interpretaci</w:t>
      </w:r>
      <w:r>
        <w:rPr>
          <w:rFonts w:cs="Times New Roman"/>
          <w:spacing w:val="-6"/>
          <w:sz w:val="18"/>
          <w:szCs w:val="18"/>
          <w:lang w:val="es-ES_tradnl"/>
        </w:rPr>
        <w:t>ó</w:t>
      </w:r>
      <w:r>
        <w:rPr>
          <w:spacing w:val="-6"/>
          <w:sz w:val="18"/>
          <w:szCs w:val="18"/>
          <w:lang w:val="es-ES_tradnl"/>
        </w:rPr>
        <w:t xml:space="preserve">n sobre </w:t>
      </w:r>
      <w:r>
        <w:rPr>
          <w:spacing w:val="-7"/>
          <w:sz w:val="18"/>
          <w:szCs w:val="18"/>
          <w:lang w:val="es-ES_tradnl"/>
        </w:rPr>
        <w:t>la naturaleza jur</w:t>
      </w:r>
      <w:r>
        <w:rPr>
          <w:rFonts w:cs="Times New Roman"/>
          <w:spacing w:val="-7"/>
          <w:sz w:val="18"/>
          <w:szCs w:val="18"/>
          <w:lang w:val="es-ES_tradnl"/>
        </w:rPr>
        <w:t>í</w:t>
      </w:r>
      <w:r>
        <w:rPr>
          <w:spacing w:val="-7"/>
          <w:sz w:val="18"/>
          <w:szCs w:val="18"/>
          <w:lang w:val="es-ES_tradnl"/>
        </w:rPr>
        <w:t xml:space="preserve">dica de los mandatos constitucionales y </w:t>
      </w:r>
      <w:r>
        <w:rPr>
          <w:spacing w:val="-6"/>
          <w:sz w:val="18"/>
          <w:szCs w:val="18"/>
          <w:lang w:val="es-ES_tradnl"/>
        </w:rPr>
        <w:t>sobre su jerarqu</w:t>
      </w:r>
      <w:r>
        <w:rPr>
          <w:rFonts w:cs="Times New Roman"/>
          <w:spacing w:val="-6"/>
          <w:sz w:val="18"/>
          <w:szCs w:val="18"/>
          <w:lang w:val="es-ES_tradnl"/>
        </w:rPr>
        <w:t>í</w:t>
      </w:r>
      <w:r>
        <w:rPr>
          <w:spacing w:val="-6"/>
          <w:sz w:val="18"/>
          <w:szCs w:val="18"/>
          <w:lang w:val="es-ES_tradnl"/>
        </w:rPr>
        <w:t>a normativa en el ordenamiento jur</w:t>
      </w:r>
      <w:r>
        <w:rPr>
          <w:rFonts w:cs="Times New Roman"/>
          <w:spacing w:val="-6"/>
          <w:sz w:val="18"/>
          <w:szCs w:val="18"/>
          <w:lang w:val="es-ES_tradnl"/>
        </w:rPr>
        <w:t>í</w:t>
      </w:r>
      <w:r>
        <w:rPr>
          <w:spacing w:val="-6"/>
          <w:sz w:val="18"/>
          <w:szCs w:val="18"/>
          <w:lang w:val="es-ES_tradnl"/>
        </w:rPr>
        <w:t xml:space="preserve">dico </w:t>
      </w:r>
      <w:r>
        <w:rPr>
          <w:spacing w:val="-8"/>
          <w:sz w:val="18"/>
          <w:szCs w:val="18"/>
          <w:lang w:val="es-ES_tradnl"/>
        </w:rPr>
        <w:t>ecuatoriano, hecho que puede ser constatado en la p</w:t>
      </w:r>
      <w:r>
        <w:rPr>
          <w:rFonts w:cs="Times New Roman"/>
          <w:spacing w:val="-8"/>
          <w:sz w:val="18"/>
          <w:szCs w:val="18"/>
          <w:lang w:val="es-ES_tradnl"/>
        </w:rPr>
        <w:t>á</w:t>
      </w:r>
      <w:r>
        <w:rPr>
          <w:spacing w:val="-8"/>
          <w:sz w:val="18"/>
          <w:szCs w:val="18"/>
          <w:lang w:val="es-ES_tradnl"/>
        </w:rPr>
        <w:t xml:space="preserve">gina </w:t>
      </w:r>
      <w:r>
        <w:rPr>
          <w:spacing w:val="-7"/>
          <w:sz w:val="18"/>
          <w:szCs w:val="18"/>
          <w:lang w:val="es-ES_tradnl"/>
        </w:rPr>
        <w:t xml:space="preserve">7 de la sentencia bajo examen cuando expresan que </w:t>
      </w:r>
      <w:r>
        <w:rPr>
          <w:rFonts w:cs="Times New Roman"/>
          <w:spacing w:val="-7"/>
          <w:sz w:val="18"/>
          <w:szCs w:val="18"/>
          <w:lang w:val="es-ES_tradnl"/>
        </w:rPr>
        <w:t>“</w:t>
      </w:r>
      <w:r>
        <w:rPr>
          <w:spacing w:val="-7"/>
          <w:sz w:val="18"/>
          <w:szCs w:val="18"/>
          <w:lang w:val="es-ES_tradnl"/>
        </w:rPr>
        <w:t xml:space="preserve">El </w:t>
      </w:r>
      <w:r>
        <w:rPr>
          <w:spacing w:val="-5"/>
          <w:sz w:val="18"/>
          <w:szCs w:val="18"/>
          <w:lang w:val="es-ES_tradnl"/>
        </w:rPr>
        <w:t>ejercicio de los derechos y garant</w:t>
      </w:r>
      <w:r>
        <w:rPr>
          <w:rFonts w:cs="Times New Roman"/>
          <w:spacing w:val="-5"/>
          <w:sz w:val="18"/>
          <w:szCs w:val="18"/>
          <w:lang w:val="es-ES_tradnl"/>
        </w:rPr>
        <w:t>í</w:t>
      </w:r>
      <w:r>
        <w:rPr>
          <w:spacing w:val="-5"/>
          <w:sz w:val="18"/>
          <w:szCs w:val="18"/>
          <w:lang w:val="es-ES_tradnl"/>
        </w:rPr>
        <w:t xml:space="preserve">as se rigen por los </w:t>
      </w:r>
      <w:r>
        <w:rPr>
          <w:spacing w:val="-3"/>
          <w:sz w:val="18"/>
          <w:szCs w:val="18"/>
          <w:lang w:val="es-ES_tradnl"/>
        </w:rPr>
        <w:t>principios regulados en el art</w:t>
      </w:r>
      <w:r>
        <w:rPr>
          <w:rFonts w:cs="Times New Roman"/>
          <w:spacing w:val="-3"/>
          <w:sz w:val="18"/>
          <w:szCs w:val="18"/>
          <w:lang w:val="es-ES_tradnl"/>
        </w:rPr>
        <w:t>í</w:t>
      </w:r>
      <w:r>
        <w:rPr>
          <w:spacing w:val="-3"/>
          <w:sz w:val="18"/>
          <w:szCs w:val="18"/>
          <w:lang w:val="es-ES_tradnl"/>
        </w:rPr>
        <w:t>culo 11 de la Constituci</w:t>
      </w:r>
      <w:r>
        <w:rPr>
          <w:rFonts w:cs="Times New Roman"/>
          <w:spacing w:val="-3"/>
          <w:sz w:val="18"/>
          <w:szCs w:val="18"/>
          <w:lang w:val="es-ES_tradnl"/>
        </w:rPr>
        <w:t>ó</w:t>
      </w:r>
      <w:r>
        <w:rPr>
          <w:spacing w:val="-3"/>
          <w:sz w:val="18"/>
          <w:szCs w:val="18"/>
          <w:lang w:val="es-ES_tradnl"/>
        </w:rPr>
        <w:t xml:space="preserve">n </w:t>
      </w:r>
      <w:r>
        <w:rPr>
          <w:spacing w:val="-4"/>
          <w:sz w:val="18"/>
          <w:szCs w:val="18"/>
          <w:lang w:val="es-ES_tradnl"/>
        </w:rPr>
        <w:t>de la Rep</w:t>
      </w:r>
      <w:r>
        <w:rPr>
          <w:rFonts w:cs="Times New Roman"/>
          <w:spacing w:val="-4"/>
          <w:sz w:val="18"/>
          <w:szCs w:val="18"/>
          <w:lang w:val="es-ES_tradnl"/>
        </w:rPr>
        <w:t>ú</w:t>
      </w:r>
      <w:r>
        <w:rPr>
          <w:spacing w:val="-4"/>
          <w:sz w:val="18"/>
          <w:szCs w:val="18"/>
          <w:lang w:val="es-ES_tradnl"/>
        </w:rPr>
        <w:t>blica que la Sala est</w:t>
      </w:r>
      <w:r>
        <w:rPr>
          <w:rFonts w:cs="Times New Roman"/>
          <w:spacing w:val="-4"/>
          <w:sz w:val="18"/>
          <w:szCs w:val="18"/>
          <w:lang w:val="es-ES_tradnl"/>
        </w:rPr>
        <w:t>á</w:t>
      </w:r>
      <w:r>
        <w:rPr>
          <w:spacing w:val="-4"/>
          <w:sz w:val="18"/>
          <w:szCs w:val="18"/>
          <w:lang w:val="es-ES_tradnl"/>
        </w:rPr>
        <w:t xml:space="preserve"> en la obligaci</w:t>
      </w:r>
      <w:r>
        <w:rPr>
          <w:rFonts w:cs="Times New Roman"/>
          <w:spacing w:val="-4"/>
          <w:sz w:val="18"/>
          <w:szCs w:val="18"/>
          <w:lang w:val="es-ES_tradnl"/>
        </w:rPr>
        <w:t>ó</w:t>
      </w:r>
      <w:r>
        <w:rPr>
          <w:spacing w:val="-4"/>
          <w:sz w:val="18"/>
          <w:szCs w:val="18"/>
          <w:lang w:val="es-ES_tradnl"/>
        </w:rPr>
        <w:t xml:space="preserve">n de </w:t>
      </w:r>
      <w:r>
        <w:rPr>
          <w:spacing w:val="-5"/>
          <w:sz w:val="18"/>
          <w:szCs w:val="18"/>
          <w:lang w:val="es-ES_tradnl"/>
        </w:rPr>
        <w:t xml:space="preserve">garantizar su cumplimiento (sic). Es imperativo aplicar lo </w:t>
      </w:r>
      <w:r>
        <w:rPr>
          <w:spacing w:val="-8"/>
          <w:sz w:val="18"/>
          <w:szCs w:val="18"/>
          <w:lang w:val="es-ES_tradnl"/>
        </w:rPr>
        <w:t xml:space="preserve">enunciado en los mandatos constituyentes 1 y 2 expedidos </w:t>
      </w:r>
      <w:r>
        <w:rPr>
          <w:spacing w:val="-9"/>
          <w:sz w:val="18"/>
          <w:szCs w:val="18"/>
          <w:lang w:val="es-ES_tradnl"/>
        </w:rPr>
        <w:t>por la Asamblea Constituyente, leg</w:t>
      </w:r>
      <w:r>
        <w:rPr>
          <w:rFonts w:cs="Times New Roman"/>
          <w:spacing w:val="-9"/>
          <w:sz w:val="18"/>
          <w:szCs w:val="18"/>
          <w:lang w:val="es-ES_tradnl"/>
        </w:rPr>
        <w:t>í</w:t>
      </w:r>
      <w:r>
        <w:rPr>
          <w:spacing w:val="-9"/>
          <w:sz w:val="18"/>
          <w:szCs w:val="18"/>
          <w:lang w:val="es-ES_tradnl"/>
        </w:rPr>
        <w:t xml:space="preserve">tima representante de la </w:t>
      </w:r>
      <w:r>
        <w:rPr>
          <w:sz w:val="18"/>
          <w:szCs w:val="18"/>
          <w:lang w:val="es-ES_tradnl"/>
        </w:rPr>
        <w:t>voluntad soberana del pueblo</w:t>
      </w:r>
      <w:r>
        <w:rPr>
          <w:rFonts w:cs="Times New Roman"/>
          <w:sz w:val="18"/>
          <w:szCs w:val="18"/>
          <w:lang w:val="es-ES_tradnl"/>
        </w:rPr>
        <w:t>”</w:t>
      </w:r>
      <w:r>
        <w:rPr>
          <w:sz w:val="18"/>
          <w:szCs w:val="18"/>
          <w:lang w:val="es-ES_tradnl"/>
        </w:rPr>
        <w:t>.</w:t>
      </w:r>
    </w:p>
    <w:p w14:paraId="4F67B58E" w14:textId="77777777" w:rsidR="00591D54" w:rsidRDefault="00591D54">
      <w:pPr>
        <w:shd w:val="clear" w:color="auto" w:fill="FFFFFF"/>
        <w:spacing w:before="206" w:line="226" w:lineRule="exact"/>
        <w:jc w:val="both"/>
      </w:pPr>
      <w:r>
        <w:rPr>
          <w:spacing w:val="-8"/>
          <w:sz w:val="18"/>
          <w:szCs w:val="18"/>
          <w:lang w:val="es-ES_tradnl"/>
        </w:rPr>
        <w:t>Adem</w:t>
      </w:r>
      <w:r>
        <w:rPr>
          <w:rFonts w:cs="Times New Roman"/>
          <w:spacing w:val="-8"/>
          <w:sz w:val="18"/>
          <w:szCs w:val="18"/>
          <w:lang w:val="es-ES_tradnl"/>
        </w:rPr>
        <w:t>á</w:t>
      </w:r>
      <w:r>
        <w:rPr>
          <w:spacing w:val="-8"/>
          <w:sz w:val="18"/>
          <w:szCs w:val="18"/>
          <w:lang w:val="es-ES_tradnl"/>
        </w:rPr>
        <w:t>s, algo que resulta m</w:t>
      </w:r>
      <w:r>
        <w:rPr>
          <w:rFonts w:cs="Times New Roman"/>
          <w:spacing w:val="-8"/>
          <w:sz w:val="18"/>
          <w:szCs w:val="18"/>
          <w:lang w:val="es-ES_tradnl"/>
        </w:rPr>
        <w:t>á</w:t>
      </w:r>
      <w:r>
        <w:rPr>
          <w:spacing w:val="-8"/>
          <w:sz w:val="18"/>
          <w:szCs w:val="18"/>
          <w:lang w:val="es-ES_tradnl"/>
        </w:rPr>
        <w:t xml:space="preserve">s grave para este Organismo es que los jueces afirman y sustentan un argumento </w:t>
      </w:r>
      <w:r>
        <w:rPr>
          <w:spacing w:val="-2"/>
          <w:sz w:val="18"/>
          <w:szCs w:val="18"/>
          <w:lang w:val="es-ES_tradnl"/>
        </w:rPr>
        <w:t xml:space="preserve">constitucional en que tales liquidaciones deben ser </w:t>
      </w:r>
      <w:r>
        <w:rPr>
          <w:spacing w:val="-4"/>
          <w:sz w:val="18"/>
          <w:szCs w:val="18"/>
          <w:lang w:val="es-ES_tradnl"/>
        </w:rPr>
        <w:t>realizadas de acuerdo al Decreto Ejecutivo que reform</w:t>
      </w:r>
      <w:r>
        <w:rPr>
          <w:rFonts w:cs="Times New Roman"/>
          <w:spacing w:val="-4"/>
          <w:sz w:val="18"/>
          <w:szCs w:val="18"/>
          <w:lang w:val="es-ES_tradnl"/>
        </w:rPr>
        <w:t xml:space="preserve">ó </w:t>
      </w:r>
      <w:r>
        <w:rPr>
          <w:spacing w:val="-7"/>
          <w:sz w:val="18"/>
          <w:szCs w:val="18"/>
          <w:lang w:val="es-ES_tradnl"/>
        </w:rPr>
        <w:t xml:space="preserve">el Reglamento General a la Ley de Carrera Docente y </w:t>
      </w:r>
      <w:r>
        <w:rPr>
          <w:spacing w:val="-6"/>
          <w:sz w:val="18"/>
          <w:szCs w:val="18"/>
          <w:lang w:val="es-ES_tradnl"/>
        </w:rPr>
        <w:t>Escalaf</w:t>
      </w:r>
      <w:r>
        <w:rPr>
          <w:rFonts w:cs="Times New Roman"/>
          <w:spacing w:val="-6"/>
          <w:sz w:val="18"/>
          <w:szCs w:val="18"/>
          <w:lang w:val="es-ES_tradnl"/>
        </w:rPr>
        <w:t>ó</w:t>
      </w:r>
      <w:r>
        <w:rPr>
          <w:spacing w:val="-6"/>
          <w:sz w:val="18"/>
          <w:szCs w:val="18"/>
          <w:lang w:val="es-ES_tradnl"/>
        </w:rPr>
        <w:t xml:space="preserve">n del Magisterio Nacional, y como consecuencia </w:t>
      </w:r>
      <w:r>
        <w:rPr>
          <w:spacing w:val="-7"/>
          <w:sz w:val="18"/>
          <w:szCs w:val="18"/>
          <w:lang w:val="es-ES_tradnl"/>
        </w:rPr>
        <w:t>de ello, llegan a la conclusi</w:t>
      </w:r>
      <w:r>
        <w:rPr>
          <w:rFonts w:cs="Times New Roman"/>
          <w:spacing w:val="-7"/>
          <w:sz w:val="18"/>
          <w:szCs w:val="18"/>
          <w:lang w:val="es-ES_tradnl"/>
        </w:rPr>
        <w:t>ó</w:t>
      </w:r>
      <w:r>
        <w:rPr>
          <w:spacing w:val="-7"/>
          <w:sz w:val="18"/>
          <w:szCs w:val="18"/>
          <w:lang w:val="es-ES_tradnl"/>
        </w:rPr>
        <w:t xml:space="preserve">n, mediante su sentencia, que </w:t>
      </w:r>
      <w:r>
        <w:rPr>
          <w:spacing w:val="-6"/>
          <w:sz w:val="18"/>
          <w:szCs w:val="18"/>
          <w:lang w:val="es-ES_tradnl"/>
        </w:rPr>
        <w:t>ha habido vulneraci</w:t>
      </w:r>
      <w:r>
        <w:rPr>
          <w:rFonts w:cs="Times New Roman"/>
          <w:spacing w:val="-6"/>
          <w:sz w:val="18"/>
          <w:szCs w:val="18"/>
          <w:lang w:val="es-ES_tradnl"/>
        </w:rPr>
        <w:t>ó</w:t>
      </w:r>
      <w:r>
        <w:rPr>
          <w:spacing w:val="-6"/>
          <w:sz w:val="18"/>
          <w:szCs w:val="18"/>
          <w:lang w:val="es-ES_tradnl"/>
        </w:rPr>
        <w:t xml:space="preserve">n de derechos constitucionales por </w:t>
      </w:r>
      <w:r>
        <w:rPr>
          <w:i/>
          <w:iCs/>
          <w:spacing w:val="-6"/>
          <w:sz w:val="18"/>
          <w:szCs w:val="18"/>
          <w:lang w:val="es-ES_tradnl"/>
        </w:rPr>
        <w:t>inaplicaci</w:t>
      </w:r>
      <w:r>
        <w:rPr>
          <w:rFonts w:cs="Times New Roman"/>
          <w:i/>
          <w:iCs/>
          <w:spacing w:val="-6"/>
          <w:sz w:val="18"/>
          <w:szCs w:val="18"/>
          <w:lang w:val="es-ES_tradnl"/>
        </w:rPr>
        <w:t>ó</w:t>
      </w:r>
      <w:r>
        <w:rPr>
          <w:i/>
          <w:iCs/>
          <w:spacing w:val="-6"/>
          <w:sz w:val="18"/>
          <w:szCs w:val="18"/>
          <w:lang w:val="es-ES_tradnl"/>
        </w:rPr>
        <w:t>n</w:t>
      </w:r>
      <w:r>
        <w:rPr>
          <w:spacing w:val="-6"/>
          <w:sz w:val="18"/>
          <w:szCs w:val="18"/>
          <w:lang w:val="es-ES_tradnl"/>
        </w:rPr>
        <w:t>, tanto de un mandato constituyente, como de normas que regulan en el nivel reglamentario a la Ley de Carrera Docente y Escalaf</w:t>
      </w:r>
      <w:r>
        <w:rPr>
          <w:rFonts w:cs="Times New Roman"/>
          <w:spacing w:val="-6"/>
          <w:sz w:val="18"/>
          <w:szCs w:val="18"/>
          <w:lang w:val="es-ES_tradnl"/>
        </w:rPr>
        <w:t>ó</w:t>
      </w:r>
      <w:r>
        <w:rPr>
          <w:spacing w:val="-6"/>
          <w:sz w:val="18"/>
          <w:szCs w:val="18"/>
          <w:lang w:val="es-ES_tradnl"/>
        </w:rPr>
        <w:t>n del Magisterio Nacional.</w:t>
      </w:r>
    </w:p>
    <w:p w14:paraId="4F67B58F" w14:textId="77777777" w:rsidR="00591D54" w:rsidRDefault="00591D54">
      <w:pPr>
        <w:shd w:val="clear" w:color="auto" w:fill="FFFFFF"/>
        <w:spacing w:before="206" w:line="226" w:lineRule="exact"/>
        <w:jc w:val="both"/>
      </w:pPr>
      <w:r>
        <w:rPr>
          <w:sz w:val="18"/>
          <w:szCs w:val="18"/>
          <w:lang w:val="es-ES_tradnl"/>
        </w:rPr>
        <w:t>As</w:t>
      </w:r>
      <w:r>
        <w:rPr>
          <w:rFonts w:cs="Times New Roman"/>
          <w:sz w:val="18"/>
          <w:szCs w:val="18"/>
          <w:lang w:val="es-ES_tradnl"/>
        </w:rPr>
        <w:t>í</w:t>
      </w:r>
      <w:r>
        <w:rPr>
          <w:sz w:val="18"/>
          <w:szCs w:val="18"/>
          <w:lang w:val="es-ES_tradnl"/>
        </w:rPr>
        <w:t xml:space="preserve">, este Organismo considera necesario referirse a </w:t>
      </w:r>
      <w:r>
        <w:rPr>
          <w:spacing w:val="-6"/>
          <w:sz w:val="18"/>
          <w:szCs w:val="18"/>
          <w:lang w:val="es-ES_tradnl"/>
        </w:rPr>
        <w:t>la naturaleza jur</w:t>
      </w:r>
      <w:r>
        <w:rPr>
          <w:rFonts w:cs="Times New Roman"/>
          <w:spacing w:val="-6"/>
          <w:sz w:val="18"/>
          <w:szCs w:val="18"/>
          <w:lang w:val="es-ES_tradnl"/>
        </w:rPr>
        <w:t>í</w:t>
      </w:r>
      <w:r>
        <w:rPr>
          <w:spacing w:val="-6"/>
          <w:sz w:val="18"/>
          <w:szCs w:val="18"/>
          <w:lang w:val="es-ES_tradnl"/>
        </w:rPr>
        <w:t xml:space="preserve">dica de los mandatos constituyentes, </w:t>
      </w:r>
      <w:r>
        <w:rPr>
          <w:spacing w:val="-8"/>
          <w:sz w:val="18"/>
          <w:szCs w:val="18"/>
          <w:lang w:val="es-ES_tradnl"/>
        </w:rPr>
        <w:t>debiendo tenerse en cuenta que respecto a la condici</w:t>
      </w:r>
      <w:r>
        <w:rPr>
          <w:rFonts w:cs="Times New Roman"/>
          <w:spacing w:val="-8"/>
          <w:sz w:val="18"/>
          <w:szCs w:val="18"/>
          <w:lang w:val="es-ES_tradnl"/>
        </w:rPr>
        <w:t>ó</w:t>
      </w:r>
      <w:r>
        <w:rPr>
          <w:spacing w:val="-8"/>
          <w:sz w:val="18"/>
          <w:szCs w:val="18"/>
          <w:lang w:val="es-ES_tradnl"/>
        </w:rPr>
        <w:t>n normativa de aquellos, la Corte Constitucional del Ecuador, a trav</w:t>
      </w:r>
      <w:r>
        <w:rPr>
          <w:rFonts w:cs="Times New Roman"/>
          <w:spacing w:val="-8"/>
          <w:sz w:val="18"/>
          <w:szCs w:val="18"/>
          <w:lang w:val="es-ES_tradnl"/>
        </w:rPr>
        <w:t>é</w:t>
      </w:r>
      <w:r>
        <w:rPr>
          <w:spacing w:val="-8"/>
          <w:sz w:val="18"/>
          <w:szCs w:val="18"/>
          <w:lang w:val="es-ES_tradnl"/>
        </w:rPr>
        <w:t>s de la sentencia N.</w:t>
      </w:r>
      <w:r>
        <w:rPr>
          <w:rFonts w:cs="Times New Roman"/>
          <w:spacing w:val="-8"/>
          <w:sz w:val="18"/>
          <w:szCs w:val="18"/>
          <w:lang w:val="es-ES_tradnl"/>
        </w:rPr>
        <w:t>º</w:t>
      </w:r>
      <w:r>
        <w:rPr>
          <w:spacing w:val="-8"/>
          <w:sz w:val="18"/>
          <w:szCs w:val="18"/>
          <w:lang w:val="es-ES_tradnl"/>
        </w:rPr>
        <w:t xml:space="preserve"> 102-14-SEP-CC</w:t>
      </w:r>
      <w:r>
        <w:rPr>
          <w:spacing w:val="-8"/>
          <w:sz w:val="18"/>
          <w:szCs w:val="18"/>
          <w:vertAlign w:val="superscript"/>
          <w:lang w:val="es-ES_tradnl"/>
        </w:rPr>
        <w:t>3</w:t>
      </w:r>
      <w:r>
        <w:rPr>
          <w:spacing w:val="-8"/>
          <w:sz w:val="18"/>
          <w:szCs w:val="18"/>
          <w:lang w:val="es-ES_tradnl"/>
        </w:rPr>
        <w:t xml:space="preserve">, misma que </w:t>
      </w:r>
      <w:r>
        <w:rPr>
          <w:spacing w:val="-5"/>
          <w:sz w:val="18"/>
          <w:szCs w:val="18"/>
          <w:lang w:val="es-ES_tradnl"/>
        </w:rPr>
        <w:t xml:space="preserve">reitera el criterio emitido en sentencia 073-14-SEP-CC y por la sentencia 001-10-SAN-CC emitida por la Corte </w:t>
      </w:r>
      <w:r>
        <w:rPr>
          <w:spacing w:val="-6"/>
          <w:sz w:val="18"/>
          <w:szCs w:val="18"/>
          <w:lang w:val="es-ES_tradnl"/>
        </w:rPr>
        <w:t>Constitucional en periodo de transici</w:t>
      </w:r>
      <w:r>
        <w:rPr>
          <w:rFonts w:cs="Times New Roman"/>
          <w:spacing w:val="-6"/>
          <w:sz w:val="18"/>
          <w:szCs w:val="18"/>
          <w:lang w:val="es-ES_tradnl"/>
        </w:rPr>
        <w:t>ó</w:t>
      </w:r>
      <w:r>
        <w:rPr>
          <w:spacing w:val="-6"/>
          <w:sz w:val="18"/>
          <w:szCs w:val="18"/>
          <w:lang w:val="es-ES_tradnl"/>
        </w:rPr>
        <w:t>n, determin</w:t>
      </w:r>
      <w:r>
        <w:rPr>
          <w:rFonts w:cs="Times New Roman"/>
          <w:spacing w:val="-6"/>
          <w:sz w:val="18"/>
          <w:szCs w:val="18"/>
          <w:lang w:val="es-ES_tradnl"/>
        </w:rPr>
        <w:t>ó</w:t>
      </w:r>
      <w:r>
        <w:rPr>
          <w:spacing w:val="-6"/>
          <w:sz w:val="18"/>
          <w:szCs w:val="18"/>
          <w:lang w:val="es-ES_tradnl"/>
        </w:rPr>
        <w:t>:</w:t>
      </w:r>
    </w:p>
    <w:p w14:paraId="4F67B590" w14:textId="77777777" w:rsidR="00591D54" w:rsidRDefault="00591D54">
      <w:pPr>
        <w:shd w:val="clear" w:color="auto" w:fill="FFFFFF"/>
        <w:spacing w:before="206" w:line="226" w:lineRule="exact"/>
        <w:ind w:left="283"/>
        <w:jc w:val="both"/>
      </w:pPr>
      <w:r>
        <w:rPr>
          <w:spacing w:val="-8"/>
          <w:sz w:val="16"/>
          <w:szCs w:val="16"/>
          <w:lang w:val="es-ES_tradnl"/>
        </w:rPr>
        <w:t xml:space="preserve">Resulta trascendente ponderar que el Mandato Constituyente </w:t>
      </w:r>
      <w:r>
        <w:rPr>
          <w:spacing w:val="-3"/>
          <w:sz w:val="16"/>
          <w:szCs w:val="16"/>
          <w:lang w:val="es-ES_tradnl"/>
        </w:rPr>
        <w:t>N</w:t>
      </w:r>
      <w:r>
        <w:rPr>
          <w:rFonts w:cs="Times New Roman"/>
          <w:spacing w:val="-3"/>
          <w:sz w:val="16"/>
          <w:szCs w:val="16"/>
          <w:lang w:val="es-ES_tradnl"/>
        </w:rPr>
        <w:t>º</w:t>
      </w:r>
      <w:r>
        <w:rPr>
          <w:spacing w:val="-3"/>
          <w:sz w:val="16"/>
          <w:szCs w:val="16"/>
          <w:lang w:val="es-ES_tradnl"/>
        </w:rPr>
        <w:t>. 2 y en particular de su art</w:t>
      </w:r>
      <w:r>
        <w:rPr>
          <w:rFonts w:cs="Times New Roman"/>
          <w:spacing w:val="-3"/>
          <w:sz w:val="16"/>
          <w:szCs w:val="16"/>
          <w:lang w:val="es-ES_tradnl"/>
        </w:rPr>
        <w:t>í</w:t>
      </w:r>
      <w:r>
        <w:rPr>
          <w:spacing w:val="-3"/>
          <w:sz w:val="16"/>
          <w:szCs w:val="16"/>
          <w:lang w:val="es-ES_tradnl"/>
        </w:rPr>
        <w:t xml:space="preserve">culo 8, </w:t>
      </w:r>
      <w:r>
        <w:rPr>
          <w:b/>
          <w:bCs/>
          <w:spacing w:val="-3"/>
          <w:sz w:val="16"/>
          <w:szCs w:val="16"/>
          <w:lang w:val="es-ES_tradnl"/>
        </w:rPr>
        <w:t>tiene el car</w:t>
      </w:r>
      <w:r>
        <w:rPr>
          <w:rFonts w:cs="Times New Roman"/>
          <w:b/>
          <w:bCs/>
          <w:spacing w:val="-3"/>
          <w:sz w:val="16"/>
          <w:szCs w:val="16"/>
          <w:lang w:val="es-ES_tradnl"/>
        </w:rPr>
        <w:t>á</w:t>
      </w:r>
      <w:r>
        <w:rPr>
          <w:b/>
          <w:bCs/>
          <w:spacing w:val="-3"/>
          <w:sz w:val="16"/>
          <w:szCs w:val="16"/>
          <w:lang w:val="es-ES_tradnl"/>
        </w:rPr>
        <w:t xml:space="preserve">cter de </w:t>
      </w:r>
      <w:r>
        <w:rPr>
          <w:b/>
          <w:bCs/>
          <w:spacing w:val="-7"/>
          <w:sz w:val="16"/>
          <w:szCs w:val="16"/>
          <w:lang w:val="es-ES_tradnl"/>
        </w:rPr>
        <w:t>ley org</w:t>
      </w:r>
      <w:r>
        <w:rPr>
          <w:rFonts w:cs="Times New Roman"/>
          <w:b/>
          <w:bCs/>
          <w:spacing w:val="-7"/>
          <w:sz w:val="16"/>
          <w:szCs w:val="16"/>
          <w:lang w:val="es-ES_tradnl"/>
        </w:rPr>
        <w:t>á</w:t>
      </w:r>
      <w:r>
        <w:rPr>
          <w:b/>
          <w:bCs/>
          <w:spacing w:val="-7"/>
          <w:sz w:val="16"/>
          <w:szCs w:val="16"/>
          <w:lang w:val="es-ES_tradnl"/>
        </w:rPr>
        <w:t>nica</w:t>
      </w:r>
      <w:r>
        <w:rPr>
          <w:spacing w:val="-7"/>
          <w:sz w:val="16"/>
          <w:szCs w:val="16"/>
          <w:lang w:val="es-ES_tradnl"/>
        </w:rPr>
        <w:t>, raz</w:t>
      </w:r>
      <w:r>
        <w:rPr>
          <w:rFonts w:cs="Times New Roman"/>
          <w:spacing w:val="-7"/>
          <w:sz w:val="16"/>
          <w:szCs w:val="16"/>
          <w:lang w:val="es-ES_tradnl"/>
        </w:rPr>
        <w:t>ó</w:t>
      </w:r>
      <w:r>
        <w:rPr>
          <w:spacing w:val="-7"/>
          <w:sz w:val="16"/>
          <w:szCs w:val="16"/>
          <w:lang w:val="es-ES_tradnl"/>
        </w:rPr>
        <w:t>n por la cual posee la representaci</w:t>
      </w:r>
      <w:r>
        <w:rPr>
          <w:rFonts w:cs="Times New Roman"/>
          <w:spacing w:val="-7"/>
          <w:sz w:val="16"/>
          <w:szCs w:val="16"/>
          <w:lang w:val="es-ES_tradnl"/>
        </w:rPr>
        <w:t>ó</w:t>
      </w:r>
      <w:r>
        <w:rPr>
          <w:spacing w:val="-7"/>
          <w:sz w:val="16"/>
          <w:szCs w:val="16"/>
          <w:lang w:val="es-ES_tradnl"/>
        </w:rPr>
        <w:t xml:space="preserve">n de </w:t>
      </w:r>
      <w:r>
        <w:rPr>
          <w:spacing w:val="-8"/>
          <w:sz w:val="16"/>
          <w:szCs w:val="16"/>
          <w:lang w:val="es-ES_tradnl"/>
        </w:rPr>
        <w:t>generalidad, en armon</w:t>
      </w:r>
      <w:r>
        <w:rPr>
          <w:rFonts w:cs="Times New Roman"/>
          <w:spacing w:val="-8"/>
          <w:sz w:val="16"/>
          <w:szCs w:val="16"/>
          <w:lang w:val="es-ES_tradnl"/>
        </w:rPr>
        <w:t>í</w:t>
      </w:r>
      <w:r>
        <w:rPr>
          <w:spacing w:val="-8"/>
          <w:sz w:val="16"/>
          <w:szCs w:val="16"/>
          <w:lang w:val="es-ES_tradnl"/>
        </w:rPr>
        <w:t>a con la rigidez de nuestra Constituci</w:t>
      </w:r>
      <w:r>
        <w:rPr>
          <w:rFonts w:cs="Times New Roman"/>
          <w:spacing w:val="-8"/>
          <w:sz w:val="16"/>
          <w:szCs w:val="16"/>
          <w:lang w:val="es-ES_tradnl"/>
        </w:rPr>
        <w:t>ó</w:t>
      </w:r>
      <w:r>
        <w:rPr>
          <w:spacing w:val="-8"/>
          <w:sz w:val="16"/>
          <w:szCs w:val="16"/>
          <w:lang w:val="es-ES_tradnl"/>
        </w:rPr>
        <w:t xml:space="preserve">n </w:t>
      </w:r>
      <w:r>
        <w:rPr>
          <w:spacing w:val="-10"/>
          <w:sz w:val="16"/>
          <w:szCs w:val="16"/>
          <w:lang w:val="es-ES_tradnl"/>
        </w:rPr>
        <w:t>de la Rep</w:t>
      </w:r>
      <w:r>
        <w:rPr>
          <w:rFonts w:cs="Times New Roman"/>
          <w:spacing w:val="-10"/>
          <w:sz w:val="16"/>
          <w:szCs w:val="16"/>
          <w:lang w:val="es-ES_tradnl"/>
        </w:rPr>
        <w:t>ú</w:t>
      </w:r>
      <w:r>
        <w:rPr>
          <w:spacing w:val="-10"/>
          <w:sz w:val="16"/>
          <w:szCs w:val="16"/>
          <w:lang w:val="es-ES_tradnl"/>
        </w:rPr>
        <w:t>blica. El car</w:t>
      </w:r>
      <w:r>
        <w:rPr>
          <w:rFonts w:cs="Times New Roman"/>
          <w:spacing w:val="-10"/>
          <w:sz w:val="16"/>
          <w:szCs w:val="16"/>
          <w:lang w:val="es-ES_tradnl"/>
        </w:rPr>
        <w:t>á</w:t>
      </w:r>
      <w:r>
        <w:rPr>
          <w:spacing w:val="-10"/>
          <w:sz w:val="16"/>
          <w:szCs w:val="16"/>
          <w:lang w:val="es-ES_tradnl"/>
        </w:rPr>
        <w:t xml:space="preserve">cter de generalidad establece destinarios </w:t>
      </w:r>
      <w:r>
        <w:rPr>
          <w:spacing w:val="-4"/>
          <w:sz w:val="16"/>
          <w:szCs w:val="16"/>
          <w:lang w:val="es-ES_tradnl"/>
        </w:rPr>
        <w:t xml:space="preserve">con una pluralidad indeterminada o general, lo contrario al </w:t>
      </w:r>
      <w:r>
        <w:rPr>
          <w:spacing w:val="-6"/>
          <w:sz w:val="16"/>
          <w:szCs w:val="16"/>
          <w:lang w:val="es-ES_tradnl"/>
        </w:rPr>
        <w:t>car</w:t>
      </w:r>
      <w:r>
        <w:rPr>
          <w:rFonts w:cs="Times New Roman"/>
          <w:spacing w:val="-6"/>
          <w:sz w:val="16"/>
          <w:szCs w:val="16"/>
          <w:lang w:val="es-ES_tradnl"/>
        </w:rPr>
        <w:t>á</w:t>
      </w:r>
      <w:r>
        <w:rPr>
          <w:spacing w:val="-6"/>
          <w:sz w:val="16"/>
          <w:szCs w:val="16"/>
          <w:lang w:val="es-ES_tradnl"/>
        </w:rPr>
        <w:t>cter singular cuyo receptor es una persona individual y concreta</w:t>
      </w:r>
      <w:r>
        <w:rPr>
          <w:rFonts w:cs="Times New Roman"/>
          <w:spacing w:val="-6"/>
          <w:sz w:val="16"/>
          <w:szCs w:val="16"/>
          <w:lang w:val="es-ES_tradnl"/>
        </w:rPr>
        <w:t>”</w:t>
      </w:r>
      <w:r>
        <w:rPr>
          <w:spacing w:val="-6"/>
          <w:sz w:val="16"/>
          <w:szCs w:val="16"/>
          <w:lang w:val="es-ES_tradnl"/>
        </w:rPr>
        <w:t>. (El resaltado no corresponde a la transcripci</w:t>
      </w:r>
      <w:r>
        <w:rPr>
          <w:rFonts w:cs="Times New Roman"/>
          <w:spacing w:val="-6"/>
          <w:sz w:val="16"/>
          <w:szCs w:val="16"/>
          <w:lang w:val="es-ES_tradnl"/>
        </w:rPr>
        <w:t>ó</w:t>
      </w:r>
      <w:r>
        <w:rPr>
          <w:spacing w:val="-6"/>
          <w:sz w:val="16"/>
          <w:szCs w:val="16"/>
          <w:lang w:val="es-ES_tradnl"/>
        </w:rPr>
        <w:t>n).</w:t>
      </w:r>
    </w:p>
    <w:p w14:paraId="4F67B591" w14:textId="77777777" w:rsidR="00591D54" w:rsidRDefault="00591D54">
      <w:pPr>
        <w:shd w:val="clear" w:color="auto" w:fill="FFFFFF"/>
        <w:spacing w:before="211" w:line="226" w:lineRule="exact"/>
        <w:ind w:left="283"/>
        <w:jc w:val="both"/>
      </w:pPr>
      <w:r>
        <w:rPr>
          <w:sz w:val="16"/>
          <w:szCs w:val="16"/>
          <w:lang w:val="es-ES_tradnl"/>
        </w:rPr>
        <w:t>En este sentido, el Mandato Constituyente N.</w:t>
      </w:r>
      <w:r>
        <w:rPr>
          <w:rFonts w:cs="Times New Roman"/>
          <w:sz w:val="16"/>
          <w:szCs w:val="16"/>
          <w:lang w:val="es-ES_tradnl"/>
        </w:rPr>
        <w:t>º</w:t>
      </w:r>
      <w:r>
        <w:rPr>
          <w:sz w:val="16"/>
          <w:szCs w:val="16"/>
          <w:lang w:val="es-ES_tradnl"/>
        </w:rPr>
        <w:t xml:space="preserve"> 2, dentro </w:t>
      </w:r>
      <w:r>
        <w:rPr>
          <w:spacing w:val="-4"/>
          <w:sz w:val="16"/>
          <w:szCs w:val="16"/>
          <w:lang w:val="es-ES_tradnl"/>
        </w:rPr>
        <w:t>de nuestro ordenamiento jur</w:t>
      </w:r>
      <w:r>
        <w:rPr>
          <w:rFonts w:cs="Times New Roman"/>
          <w:spacing w:val="-4"/>
          <w:sz w:val="16"/>
          <w:szCs w:val="16"/>
          <w:lang w:val="es-ES_tradnl"/>
        </w:rPr>
        <w:t>í</w:t>
      </w:r>
      <w:r>
        <w:rPr>
          <w:spacing w:val="-4"/>
          <w:sz w:val="16"/>
          <w:szCs w:val="16"/>
          <w:lang w:val="es-ES_tradnl"/>
        </w:rPr>
        <w:t>dico, tiene la jerarqu</w:t>
      </w:r>
      <w:r>
        <w:rPr>
          <w:rFonts w:cs="Times New Roman"/>
          <w:spacing w:val="-4"/>
          <w:sz w:val="16"/>
          <w:szCs w:val="16"/>
          <w:lang w:val="es-ES_tradnl"/>
        </w:rPr>
        <w:t>í</w:t>
      </w:r>
      <w:r>
        <w:rPr>
          <w:spacing w:val="-4"/>
          <w:sz w:val="16"/>
          <w:szCs w:val="16"/>
          <w:lang w:val="es-ES_tradnl"/>
        </w:rPr>
        <w:t xml:space="preserve">a de una </w:t>
      </w:r>
      <w:r>
        <w:rPr>
          <w:spacing w:val="-6"/>
          <w:sz w:val="16"/>
          <w:szCs w:val="16"/>
          <w:lang w:val="es-ES_tradnl"/>
        </w:rPr>
        <w:t>ley org</w:t>
      </w:r>
      <w:r>
        <w:rPr>
          <w:rFonts w:cs="Times New Roman"/>
          <w:spacing w:val="-6"/>
          <w:sz w:val="16"/>
          <w:szCs w:val="16"/>
          <w:lang w:val="es-ES_tradnl"/>
        </w:rPr>
        <w:t>á</w:t>
      </w:r>
      <w:r>
        <w:rPr>
          <w:spacing w:val="-6"/>
          <w:sz w:val="16"/>
          <w:szCs w:val="16"/>
          <w:lang w:val="es-ES_tradnl"/>
        </w:rPr>
        <w:t xml:space="preserve">nica, que regula lo referente a las remuneraciones </w:t>
      </w:r>
      <w:r>
        <w:rPr>
          <w:spacing w:val="-5"/>
          <w:sz w:val="16"/>
          <w:szCs w:val="16"/>
          <w:lang w:val="es-ES_tradnl"/>
        </w:rPr>
        <w:t>m</w:t>
      </w:r>
      <w:r>
        <w:rPr>
          <w:rFonts w:cs="Times New Roman"/>
          <w:spacing w:val="-5"/>
          <w:sz w:val="16"/>
          <w:szCs w:val="16"/>
          <w:lang w:val="es-ES_tradnl"/>
        </w:rPr>
        <w:t>á</w:t>
      </w:r>
      <w:r>
        <w:rPr>
          <w:spacing w:val="-5"/>
          <w:sz w:val="16"/>
          <w:szCs w:val="16"/>
          <w:lang w:val="es-ES_tradnl"/>
        </w:rPr>
        <w:t>ximas del sector p</w:t>
      </w:r>
      <w:r>
        <w:rPr>
          <w:rFonts w:cs="Times New Roman"/>
          <w:spacing w:val="-5"/>
          <w:sz w:val="16"/>
          <w:szCs w:val="16"/>
          <w:lang w:val="es-ES_tradnl"/>
        </w:rPr>
        <w:t>ú</w:t>
      </w:r>
      <w:r>
        <w:rPr>
          <w:spacing w:val="-5"/>
          <w:sz w:val="16"/>
          <w:szCs w:val="16"/>
          <w:lang w:val="es-ES_tradnl"/>
        </w:rPr>
        <w:t xml:space="preserve">blico de forma abstracta, general, sin </w:t>
      </w:r>
      <w:r>
        <w:rPr>
          <w:spacing w:val="-1"/>
          <w:sz w:val="16"/>
          <w:szCs w:val="16"/>
          <w:lang w:val="es-ES_tradnl"/>
        </w:rPr>
        <w:t xml:space="preserve">un destinatario concreto, sino por el contrario, dirigido a </w:t>
      </w:r>
      <w:r>
        <w:rPr>
          <w:spacing w:val="-7"/>
          <w:sz w:val="16"/>
          <w:szCs w:val="16"/>
          <w:lang w:val="es-ES_tradnl"/>
        </w:rPr>
        <w:t xml:space="preserve">una totalidad de individuos. Consecuentemente, este cuerpo </w:t>
      </w:r>
      <w:r>
        <w:rPr>
          <w:spacing w:val="-6"/>
          <w:sz w:val="16"/>
          <w:szCs w:val="16"/>
          <w:lang w:val="es-ES_tradnl"/>
        </w:rPr>
        <w:t>jur</w:t>
      </w:r>
      <w:r>
        <w:rPr>
          <w:rFonts w:cs="Times New Roman"/>
          <w:spacing w:val="-6"/>
          <w:sz w:val="16"/>
          <w:szCs w:val="16"/>
          <w:lang w:val="es-ES_tradnl"/>
        </w:rPr>
        <w:t>í</w:t>
      </w:r>
      <w:r>
        <w:rPr>
          <w:spacing w:val="-6"/>
          <w:sz w:val="16"/>
          <w:szCs w:val="16"/>
          <w:lang w:val="es-ES_tradnl"/>
        </w:rPr>
        <w:t>dico no reconoce derechos subjetivos o colectivos.</w:t>
      </w:r>
    </w:p>
    <w:p w14:paraId="4F67B592" w14:textId="77777777" w:rsidR="00591D54" w:rsidRDefault="00591D54">
      <w:pPr>
        <w:shd w:val="clear" w:color="auto" w:fill="FFFFFF"/>
        <w:spacing w:before="211" w:line="226" w:lineRule="exact"/>
        <w:jc w:val="both"/>
      </w:pPr>
      <w:r>
        <w:rPr>
          <w:spacing w:val="-7"/>
          <w:sz w:val="18"/>
          <w:szCs w:val="18"/>
          <w:lang w:val="es-ES_tradnl"/>
        </w:rPr>
        <w:t xml:space="preserve">Desde tales consideraciones, es posible identificar que la </w:t>
      </w:r>
      <w:r>
        <w:rPr>
          <w:spacing w:val="-6"/>
          <w:sz w:val="18"/>
          <w:szCs w:val="18"/>
          <w:lang w:val="es-ES_tradnl"/>
        </w:rPr>
        <w:t xml:space="preserve">materia de la litis en el caso </w:t>
      </w:r>
      <w:r>
        <w:rPr>
          <w:i/>
          <w:iCs/>
          <w:spacing w:val="-6"/>
          <w:sz w:val="18"/>
          <w:szCs w:val="18"/>
          <w:lang w:val="es-ES_tradnl"/>
        </w:rPr>
        <w:t xml:space="preserve">sub examine, </w:t>
      </w:r>
      <w:r>
        <w:rPr>
          <w:spacing w:val="-6"/>
          <w:sz w:val="18"/>
          <w:szCs w:val="18"/>
          <w:lang w:val="es-ES_tradnl"/>
        </w:rPr>
        <w:t xml:space="preserve">principalmente </w:t>
      </w:r>
      <w:r>
        <w:rPr>
          <w:spacing w:val="-3"/>
          <w:sz w:val="18"/>
          <w:szCs w:val="18"/>
          <w:lang w:val="es-ES_tradnl"/>
        </w:rPr>
        <w:t>desde la formulaci</w:t>
      </w:r>
      <w:r>
        <w:rPr>
          <w:rFonts w:cs="Times New Roman"/>
          <w:spacing w:val="-3"/>
          <w:sz w:val="18"/>
          <w:szCs w:val="18"/>
          <w:lang w:val="es-ES_tradnl"/>
        </w:rPr>
        <w:t>ó</w:t>
      </w:r>
      <w:r>
        <w:rPr>
          <w:spacing w:val="-3"/>
          <w:sz w:val="18"/>
          <w:szCs w:val="18"/>
          <w:lang w:val="es-ES_tradnl"/>
        </w:rPr>
        <w:t>n de la pretensi</w:t>
      </w:r>
      <w:r>
        <w:rPr>
          <w:rFonts w:cs="Times New Roman"/>
          <w:spacing w:val="-3"/>
          <w:sz w:val="18"/>
          <w:szCs w:val="18"/>
          <w:lang w:val="es-ES_tradnl"/>
        </w:rPr>
        <w:t>ó</w:t>
      </w:r>
      <w:r>
        <w:rPr>
          <w:spacing w:val="-3"/>
          <w:sz w:val="18"/>
          <w:szCs w:val="18"/>
          <w:lang w:val="es-ES_tradnl"/>
        </w:rPr>
        <w:t xml:space="preserve">n en la primera </w:t>
      </w:r>
      <w:r>
        <w:rPr>
          <w:spacing w:val="-10"/>
          <w:sz w:val="18"/>
          <w:szCs w:val="18"/>
          <w:lang w:val="es-ES_tradnl"/>
        </w:rPr>
        <w:t>instancia, se relaciona con la cuantificaci</w:t>
      </w:r>
      <w:r>
        <w:rPr>
          <w:rFonts w:cs="Times New Roman"/>
          <w:spacing w:val="-10"/>
          <w:sz w:val="18"/>
          <w:szCs w:val="18"/>
          <w:lang w:val="es-ES_tradnl"/>
        </w:rPr>
        <w:t>ó</w:t>
      </w:r>
      <w:r>
        <w:rPr>
          <w:spacing w:val="-10"/>
          <w:sz w:val="18"/>
          <w:szCs w:val="18"/>
          <w:lang w:val="es-ES_tradnl"/>
        </w:rPr>
        <w:t>n correspondiente</w:t>
      </w:r>
    </w:p>
    <w:p w14:paraId="4F67B593" w14:textId="77777777" w:rsidR="00591D54" w:rsidRDefault="00591D54">
      <w:pPr>
        <w:shd w:val="clear" w:color="auto" w:fill="FFFFFF"/>
        <w:spacing w:before="557" w:line="178" w:lineRule="exact"/>
        <w:ind w:left="144" w:hanging="144"/>
      </w:pPr>
      <w:r>
        <w:rPr>
          <w:sz w:val="16"/>
          <w:szCs w:val="16"/>
          <w:vertAlign w:val="superscript"/>
          <w:lang w:val="es-ES_tradnl"/>
        </w:rPr>
        <w:t>3</w:t>
      </w:r>
      <w:r>
        <w:rPr>
          <w:sz w:val="16"/>
          <w:szCs w:val="16"/>
          <w:lang w:val="es-ES_tradnl"/>
        </w:rPr>
        <w:t xml:space="preserve">  </w:t>
      </w:r>
      <w:r>
        <w:rPr>
          <w:spacing w:val="-8"/>
          <w:sz w:val="16"/>
          <w:szCs w:val="16"/>
          <w:lang w:val="es-ES_tradnl"/>
        </w:rPr>
        <w:t>Corte Constitucional del Ecuador, sentencia N.</w:t>
      </w:r>
      <w:r>
        <w:rPr>
          <w:rFonts w:cs="Times New Roman"/>
          <w:spacing w:val="-8"/>
          <w:sz w:val="16"/>
          <w:szCs w:val="16"/>
          <w:lang w:val="es-ES_tradnl"/>
        </w:rPr>
        <w:t>°</w:t>
      </w:r>
      <w:r>
        <w:rPr>
          <w:spacing w:val="-8"/>
          <w:sz w:val="16"/>
          <w:szCs w:val="16"/>
          <w:lang w:val="es-ES_tradnl"/>
        </w:rPr>
        <w:t xml:space="preserve"> 102-14-SEP-CC, </w:t>
      </w:r>
      <w:r>
        <w:rPr>
          <w:sz w:val="16"/>
          <w:szCs w:val="16"/>
          <w:lang w:val="es-ES_tradnl"/>
        </w:rPr>
        <w:t>caso 0186-11-EP.</w:t>
      </w:r>
    </w:p>
    <w:p w14:paraId="4F67B594" w14:textId="77777777" w:rsidR="00591D54" w:rsidRDefault="00591D54">
      <w:pPr>
        <w:shd w:val="clear" w:color="auto" w:fill="FFFFFF"/>
        <w:spacing w:before="557" w:line="178" w:lineRule="exact"/>
        <w:ind w:left="144" w:hanging="144"/>
        <w:sectPr w:rsidR="00591D54">
          <w:type w:val="continuous"/>
          <w:pgSz w:w="11909" w:h="16834"/>
          <w:pgMar w:top="1356" w:right="1309" w:bottom="360" w:left="1308" w:header="720" w:footer="720" w:gutter="0"/>
          <w:cols w:num="2" w:space="720" w:equalWidth="0">
            <w:col w:w="4305" w:space="682"/>
            <w:col w:w="4305"/>
          </w:cols>
          <w:noEndnote/>
        </w:sectPr>
      </w:pPr>
    </w:p>
    <w:p w14:paraId="4F67B595" w14:textId="77777777" w:rsidR="00591D54" w:rsidRDefault="00591D54">
      <w:pPr>
        <w:shd w:val="clear" w:color="auto" w:fill="FFFFFF"/>
        <w:tabs>
          <w:tab w:val="left" w:pos="4814"/>
        </w:tabs>
        <w:spacing w:after="235"/>
        <w:ind w:left="5"/>
      </w:pPr>
      <w:r>
        <w:rPr>
          <w:b/>
          <w:bCs/>
          <w:sz w:val="18"/>
          <w:szCs w:val="18"/>
          <w:lang w:val="es-ES_tradnl"/>
        </w:rPr>
        <w:t xml:space="preserve">222 -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596" w14:textId="77777777" w:rsidR="00591D54" w:rsidRDefault="00591D54">
      <w:pPr>
        <w:shd w:val="clear" w:color="auto" w:fill="FFFFFF"/>
        <w:tabs>
          <w:tab w:val="left" w:pos="4814"/>
        </w:tabs>
        <w:spacing w:after="235"/>
        <w:ind w:left="5"/>
        <w:sectPr w:rsidR="00591D54">
          <w:pgSz w:w="11909" w:h="16834"/>
          <w:pgMar w:top="1356" w:right="1309" w:bottom="360" w:left="1308" w:header="720" w:footer="720" w:gutter="0"/>
          <w:cols w:space="60"/>
          <w:noEndnote/>
        </w:sectPr>
      </w:pPr>
    </w:p>
    <w:p w14:paraId="4F67B597" w14:textId="77777777" w:rsidR="00591D54" w:rsidRDefault="00591D54">
      <w:pPr>
        <w:shd w:val="clear" w:color="auto" w:fill="FFFFFF"/>
        <w:spacing w:line="216" w:lineRule="exact"/>
        <w:jc w:val="both"/>
      </w:pPr>
      <w:r>
        <w:rPr>
          <w:spacing w:val="-5"/>
          <w:sz w:val="18"/>
          <w:szCs w:val="18"/>
          <w:lang w:val="es-ES_tradnl"/>
        </w:rPr>
        <w:t>a la renuncia voluntaria por jubilaci</w:t>
      </w:r>
      <w:r>
        <w:rPr>
          <w:rFonts w:cs="Times New Roman"/>
          <w:spacing w:val="-5"/>
          <w:sz w:val="18"/>
          <w:szCs w:val="18"/>
          <w:lang w:val="es-ES_tradnl"/>
        </w:rPr>
        <w:t>ó</w:t>
      </w:r>
      <w:r>
        <w:rPr>
          <w:spacing w:val="-5"/>
          <w:sz w:val="18"/>
          <w:szCs w:val="18"/>
          <w:lang w:val="es-ES_tradnl"/>
        </w:rPr>
        <w:t xml:space="preserve">n de los legitimados </w:t>
      </w:r>
      <w:r>
        <w:rPr>
          <w:spacing w:val="-9"/>
          <w:sz w:val="18"/>
          <w:szCs w:val="18"/>
          <w:lang w:val="es-ES_tradnl"/>
        </w:rPr>
        <w:t xml:space="preserve">activos, fundamentados en el mandato constituyente al que la Corte Constitucional hace referencia y le da el tratamiento </w:t>
      </w:r>
      <w:r>
        <w:rPr>
          <w:sz w:val="18"/>
          <w:szCs w:val="18"/>
          <w:lang w:val="es-ES_tradnl"/>
        </w:rPr>
        <w:t>de ley org</w:t>
      </w:r>
      <w:r>
        <w:rPr>
          <w:rFonts w:cs="Times New Roman"/>
          <w:sz w:val="18"/>
          <w:szCs w:val="18"/>
          <w:lang w:val="es-ES_tradnl"/>
        </w:rPr>
        <w:t>á</w:t>
      </w:r>
      <w:r>
        <w:rPr>
          <w:sz w:val="18"/>
          <w:szCs w:val="18"/>
          <w:lang w:val="es-ES_tradnl"/>
        </w:rPr>
        <w:t>nica.</w:t>
      </w:r>
    </w:p>
    <w:p w14:paraId="4F67B598" w14:textId="77777777" w:rsidR="00591D54" w:rsidRDefault="00591D54">
      <w:pPr>
        <w:shd w:val="clear" w:color="auto" w:fill="FFFFFF"/>
        <w:spacing w:before="197" w:line="216" w:lineRule="exact"/>
        <w:jc w:val="both"/>
      </w:pPr>
      <w:r>
        <w:rPr>
          <w:spacing w:val="-3"/>
          <w:sz w:val="18"/>
          <w:szCs w:val="18"/>
          <w:lang w:val="es-ES_tradnl"/>
        </w:rPr>
        <w:t>El segundo inciso del art</w:t>
      </w:r>
      <w:r>
        <w:rPr>
          <w:rFonts w:cs="Times New Roman"/>
          <w:spacing w:val="-3"/>
          <w:sz w:val="18"/>
          <w:szCs w:val="18"/>
          <w:lang w:val="es-ES_tradnl"/>
        </w:rPr>
        <w:t>í</w:t>
      </w:r>
      <w:r>
        <w:rPr>
          <w:spacing w:val="-3"/>
          <w:sz w:val="18"/>
          <w:szCs w:val="18"/>
          <w:lang w:val="es-ES_tradnl"/>
        </w:rPr>
        <w:t>culo 229 de la Constituci</w:t>
      </w:r>
      <w:r>
        <w:rPr>
          <w:rFonts w:cs="Times New Roman"/>
          <w:spacing w:val="-3"/>
          <w:sz w:val="18"/>
          <w:szCs w:val="18"/>
          <w:lang w:val="es-ES_tradnl"/>
        </w:rPr>
        <w:t>ó</w:t>
      </w:r>
      <w:r>
        <w:rPr>
          <w:spacing w:val="-3"/>
          <w:sz w:val="18"/>
          <w:szCs w:val="18"/>
          <w:lang w:val="es-ES_tradnl"/>
        </w:rPr>
        <w:t xml:space="preserve">n de </w:t>
      </w:r>
      <w:r>
        <w:rPr>
          <w:spacing w:val="-4"/>
          <w:sz w:val="18"/>
          <w:szCs w:val="18"/>
          <w:lang w:val="es-ES_tradnl"/>
        </w:rPr>
        <w:t>la Rep</w:t>
      </w:r>
      <w:r>
        <w:rPr>
          <w:rFonts w:cs="Times New Roman"/>
          <w:spacing w:val="-4"/>
          <w:sz w:val="18"/>
          <w:szCs w:val="18"/>
          <w:lang w:val="es-ES_tradnl"/>
        </w:rPr>
        <w:t>ú</w:t>
      </w:r>
      <w:r>
        <w:rPr>
          <w:spacing w:val="-4"/>
          <w:sz w:val="18"/>
          <w:szCs w:val="18"/>
          <w:lang w:val="es-ES_tradnl"/>
        </w:rPr>
        <w:t xml:space="preserve">blica determina que mediante </w:t>
      </w:r>
      <w:r>
        <w:rPr>
          <w:rFonts w:cs="Times New Roman"/>
          <w:spacing w:val="-4"/>
          <w:sz w:val="18"/>
          <w:szCs w:val="18"/>
          <w:lang w:val="es-ES_tradnl"/>
        </w:rPr>
        <w:t>“…</w:t>
      </w:r>
      <w:r>
        <w:rPr>
          <w:spacing w:val="-4"/>
          <w:sz w:val="18"/>
          <w:szCs w:val="18"/>
          <w:lang w:val="es-ES_tradnl"/>
        </w:rPr>
        <w:t>ley se definir</w:t>
      </w:r>
      <w:r>
        <w:rPr>
          <w:rFonts w:cs="Times New Roman"/>
          <w:spacing w:val="-4"/>
          <w:sz w:val="18"/>
          <w:szCs w:val="18"/>
          <w:lang w:val="es-ES_tradnl"/>
        </w:rPr>
        <w:t xml:space="preserve">á </w:t>
      </w:r>
      <w:r>
        <w:rPr>
          <w:spacing w:val="-7"/>
          <w:sz w:val="18"/>
          <w:szCs w:val="18"/>
          <w:lang w:val="es-ES_tradnl"/>
        </w:rPr>
        <w:t xml:space="preserve">el organismo rector en materia de recursos humanos y </w:t>
      </w:r>
      <w:r>
        <w:rPr>
          <w:spacing w:val="-1"/>
          <w:sz w:val="18"/>
          <w:szCs w:val="18"/>
          <w:lang w:val="es-ES_tradnl"/>
        </w:rPr>
        <w:t>remuneraciones para todo el sector p</w:t>
      </w:r>
      <w:r>
        <w:rPr>
          <w:rFonts w:cs="Times New Roman"/>
          <w:spacing w:val="-1"/>
          <w:sz w:val="18"/>
          <w:szCs w:val="18"/>
          <w:lang w:val="es-ES_tradnl"/>
        </w:rPr>
        <w:t>ú</w:t>
      </w:r>
      <w:r>
        <w:rPr>
          <w:spacing w:val="-1"/>
          <w:sz w:val="18"/>
          <w:szCs w:val="18"/>
          <w:lang w:val="es-ES_tradnl"/>
        </w:rPr>
        <w:t>blico y regular</w:t>
      </w:r>
      <w:r>
        <w:rPr>
          <w:rFonts w:cs="Times New Roman"/>
          <w:spacing w:val="-1"/>
          <w:sz w:val="18"/>
          <w:szCs w:val="18"/>
          <w:lang w:val="es-ES_tradnl"/>
        </w:rPr>
        <w:t xml:space="preserve">á </w:t>
      </w:r>
      <w:r>
        <w:rPr>
          <w:spacing w:val="-6"/>
          <w:sz w:val="18"/>
          <w:szCs w:val="18"/>
          <w:lang w:val="es-ES_tradnl"/>
        </w:rPr>
        <w:t>el ingreso, ascenso, promoci</w:t>
      </w:r>
      <w:r>
        <w:rPr>
          <w:rFonts w:cs="Times New Roman"/>
          <w:spacing w:val="-6"/>
          <w:sz w:val="18"/>
          <w:szCs w:val="18"/>
          <w:lang w:val="es-ES_tradnl"/>
        </w:rPr>
        <w:t>ó</w:t>
      </w:r>
      <w:r>
        <w:rPr>
          <w:spacing w:val="-6"/>
          <w:sz w:val="18"/>
          <w:szCs w:val="18"/>
          <w:lang w:val="es-ES_tradnl"/>
        </w:rPr>
        <w:t>n, incentivos, r</w:t>
      </w:r>
      <w:r>
        <w:rPr>
          <w:rFonts w:cs="Times New Roman"/>
          <w:spacing w:val="-6"/>
          <w:sz w:val="18"/>
          <w:szCs w:val="18"/>
          <w:lang w:val="es-ES_tradnl"/>
        </w:rPr>
        <w:t>é</w:t>
      </w:r>
      <w:r>
        <w:rPr>
          <w:spacing w:val="-6"/>
          <w:sz w:val="18"/>
          <w:szCs w:val="18"/>
          <w:lang w:val="es-ES_tradnl"/>
        </w:rPr>
        <w:t xml:space="preserve">gimen </w:t>
      </w:r>
      <w:r>
        <w:rPr>
          <w:spacing w:val="-3"/>
          <w:sz w:val="18"/>
          <w:szCs w:val="18"/>
          <w:lang w:val="es-ES_tradnl"/>
        </w:rPr>
        <w:t>disciplinario, estabilidad, sistema de remuneraci</w:t>
      </w:r>
      <w:r>
        <w:rPr>
          <w:rFonts w:cs="Times New Roman"/>
          <w:spacing w:val="-3"/>
          <w:sz w:val="18"/>
          <w:szCs w:val="18"/>
          <w:lang w:val="es-ES_tradnl"/>
        </w:rPr>
        <w:t>ó</w:t>
      </w:r>
      <w:r>
        <w:rPr>
          <w:spacing w:val="-3"/>
          <w:sz w:val="18"/>
          <w:szCs w:val="18"/>
          <w:lang w:val="es-ES_tradnl"/>
        </w:rPr>
        <w:t xml:space="preserve">n y </w:t>
      </w:r>
      <w:r>
        <w:rPr>
          <w:spacing w:val="-6"/>
          <w:sz w:val="18"/>
          <w:szCs w:val="18"/>
          <w:lang w:val="es-ES_tradnl"/>
        </w:rPr>
        <w:t>cesaci</w:t>
      </w:r>
      <w:r>
        <w:rPr>
          <w:rFonts w:cs="Times New Roman"/>
          <w:spacing w:val="-6"/>
          <w:sz w:val="18"/>
          <w:szCs w:val="18"/>
          <w:lang w:val="es-ES_tradnl"/>
        </w:rPr>
        <w:t>ó</w:t>
      </w:r>
      <w:r>
        <w:rPr>
          <w:spacing w:val="-6"/>
          <w:sz w:val="18"/>
          <w:szCs w:val="18"/>
          <w:lang w:val="es-ES_tradnl"/>
        </w:rPr>
        <w:t>n de funciones de sus servidores</w:t>
      </w:r>
      <w:r>
        <w:rPr>
          <w:rFonts w:cs="Times New Roman"/>
          <w:spacing w:val="-6"/>
          <w:sz w:val="18"/>
          <w:szCs w:val="18"/>
          <w:lang w:val="es-ES_tradnl"/>
        </w:rPr>
        <w:t>”</w:t>
      </w:r>
      <w:r>
        <w:rPr>
          <w:spacing w:val="-6"/>
          <w:sz w:val="18"/>
          <w:szCs w:val="18"/>
          <w:lang w:val="es-ES_tradnl"/>
        </w:rPr>
        <w:t xml:space="preserve">, pudiendo llegar </w:t>
      </w:r>
      <w:r>
        <w:rPr>
          <w:spacing w:val="-7"/>
          <w:sz w:val="18"/>
          <w:szCs w:val="18"/>
          <w:lang w:val="es-ES_tradnl"/>
        </w:rPr>
        <w:t>a establecer que la fijaci</w:t>
      </w:r>
      <w:r>
        <w:rPr>
          <w:rFonts w:cs="Times New Roman"/>
          <w:spacing w:val="-7"/>
          <w:sz w:val="18"/>
          <w:szCs w:val="18"/>
          <w:lang w:val="es-ES_tradnl"/>
        </w:rPr>
        <w:t>ó</w:t>
      </w:r>
      <w:r>
        <w:rPr>
          <w:spacing w:val="-7"/>
          <w:sz w:val="18"/>
          <w:szCs w:val="18"/>
          <w:lang w:val="es-ES_tradnl"/>
        </w:rPr>
        <w:t>n de los montos econ</w:t>
      </w:r>
      <w:r>
        <w:rPr>
          <w:rFonts w:cs="Times New Roman"/>
          <w:spacing w:val="-7"/>
          <w:sz w:val="18"/>
          <w:szCs w:val="18"/>
          <w:lang w:val="es-ES_tradnl"/>
        </w:rPr>
        <w:t>ó</w:t>
      </w:r>
      <w:r>
        <w:rPr>
          <w:spacing w:val="-7"/>
          <w:sz w:val="18"/>
          <w:szCs w:val="18"/>
          <w:lang w:val="es-ES_tradnl"/>
        </w:rPr>
        <w:t xml:space="preserve">micos </w:t>
      </w:r>
      <w:r>
        <w:rPr>
          <w:spacing w:val="-10"/>
          <w:sz w:val="18"/>
          <w:szCs w:val="18"/>
          <w:lang w:val="es-ES_tradnl"/>
        </w:rPr>
        <w:t>correspondientes a la liquidaci</w:t>
      </w:r>
      <w:r>
        <w:rPr>
          <w:rFonts w:cs="Times New Roman"/>
          <w:spacing w:val="-10"/>
          <w:sz w:val="18"/>
          <w:szCs w:val="18"/>
          <w:lang w:val="es-ES_tradnl"/>
        </w:rPr>
        <w:t>ó</w:t>
      </w:r>
      <w:r>
        <w:rPr>
          <w:spacing w:val="-10"/>
          <w:sz w:val="18"/>
          <w:szCs w:val="18"/>
          <w:lang w:val="es-ES_tradnl"/>
        </w:rPr>
        <w:t>n de servidores p</w:t>
      </w:r>
      <w:r>
        <w:rPr>
          <w:rFonts w:cs="Times New Roman"/>
          <w:spacing w:val="-10"/>
          <w:sz w:val="18"/>
          <w:szCs w:val="18"/>
          <w:lang w:val="es-ES_tradnl"/>
        </w:rPr>
        <w:t>ú</w:t>
      </w:r>
      <w:r>
        <w:rPr>
          <w:spacing w:val="-10"/>
          <w:sz w:val="18"/>
          <w:szCs w:val="18"/>
          <w:lang w:val="es-ES_tradnl"/>
        </w:rPr>
        <w:t xml:space="preserve">blicos que </w:t>
      </w:r>
      <w:r>
        <w:rPr>
          <w:spacing w:val="-8"/>
          <w:sz w:val="18"/>
          <w:szCs w:val="18"/>
          <w:lang w:val="es-ES_tradnl"/>
        </w:rPr>
        <w:t>han solicitado su jubilaci</w:t>
      </w:r>
      <w:r>
        <w:rPr>
          <w:rFonts w:cs="Times New Roman"/>
          <w:spacing w:val="-8"/>
          <w:sz w:val="18"/>
          <w:szCs w:val="18"/>
          <w:lang w:val="es-ES_tradnl"/>
        </w:rPr>
        <w:t>ó</w:t>
      </w:r>
      <w:r>
        <w:rPr>
          <w:spacing w:val="-8"/>
          <w:sz w:val="18"/>
          <w:szCs w:val="18"/>
          <w:lang w:val="es-ES_tradnl"/>
        </w:rPr>
        <w:t xml:space="preserve">n, es un asunto que se encuentra </w:t>
      </w:r>
      <w:r>
        <w:rPr>
          <w:spacing w:val="-6"/>
          <w:sz w:val="18"/>
          <w:szCs w:val="18"/>
          <w:lang w:val="es-ES_tradnl"/>
        </w:rPr>
        <w:t>debidamente regulado en la normativa infraconstitucional y, por lo tanto, su interpretaci</w:t>
      </w:r>
      <w:r>
        <w:rPr>
          <w:rFonts w:cs="Times New Roman"/>
          <w:spacing w:val="-6"/>
          <w:sz w:val="18"/>
          <w:szCs w:val="18"/>
          <w:lang w:val="es-ES_tradnl"/>
        </w:rPr>
        <w:t>ó</w:t>
      </w:r>
      <w:r>
        <w:rPr>
          <w:spacing w:val="-6"/>
          <w:sz w:val="18"/>
          <w:szCs w:val="18"/>
          <w:lang w:val="es-ES_tradnl"/>
        </w:rPr>
        <w:t xml:space="preserve">n se encuentra fuera de la </w:t>
      </w:r>
      <w:r>
        <w:rPr>
          <w:spacing w:val="-9"/>
          <w:sz w:val="18"/>
          <w:szCs w:val="18"/>
          <w:lang w:val="es-ES_tradnl"/>
        </w:rPr>
        <w:t>esfera de tutela jurisdiccional de los jueces constitucionales.</w:t>
      </w:r>
    </w:p>
    <w:p w14:paraId="4F67B599" w14:textId="77777777" w:rsidR="00591D54" w:rsidRDefault="00591D54">
      <w:pPr>
        <w:shd w:val="clear" w:color="auto" w:fill="FFFFFF"/>
        <w:spacing w:before="197" w:line="211" w:lineRule="exact"/>
        <w:jc w:val="both"/>
      </w:pPr>
      <w:r>
        <w:rPr>
          <w:spacing w:val="-8"/>
          <w:sz w:val="18"/>
          <w:szCs w:val="18"/>
          <w:lang w:val="es-ES_tradnl"/>
        </w:rPr>
        <w:t>Adem</w:t>
      </w:r>
      <w:r>
        <w:rPr>
          <w:rFonts w:cs="Times New Roman"/>
          <w:spacing w:val="-8"/>
          <w:sz w:val="18"/>
          <w:szCs w:val="18"/>
          <w:lang w:val="es-ES_tradnl"/>
        </w:rPr>
        <w:t>á</w:t>
      </w:r>
      <w:r>
        <w:rPr>
          <w:spacing w:val="-8"/>
          <w:sz w:val="18"/>
          <w:szCs w:val="18"/>
          <w:lang w:val="es-ES_tradnl"/>
        </w:rPr>
        <w:t xml:space="preserve">s de este asunto, cuando los jueces provinciales </w:t>
      </w:r>
      <w:r>
        <w:rPr>
          <w:spacing w:val="-9"/>
          <w:sz w:val="18"/>
          <w:szCs w:val="18"/>
          <w:lang w:val="es-ES_tradnl"/>
        </w:rPr>
        <w:t>sustentan su argumentaci</w:t>
      </w:r>
      <w:r>
        <w:rPr>
          <w:rFonts w:cs="Times New Roman"/>
          <w:spacing w:val="-9"/>
          <w:sz w:val="18"/>
          <w:szCs w:val="18"/>
          <w:lang w:val="es-ES_tradnl"/>
        </w:rPr>
        <w:t>ó</w:t>
      </w:r>
      <w:r>
        <w:rPr>
          <w:spacing w:val="-9"/>
          <w:sz w:val="18"/>
          <w:szCs w:val="18"/>
          <w:lang w:val="es-ES_tradnl"/>
        </w:rPr>
        <w:t>n jur</w:t>
      </w:r>
      <w:r>
        <w:rPr>
          <w:rFonts w:cs="Times New Roman"/>
          <w:spacing w:val="-9"/>
          <w:sz w:val="18"/>
          <w:szCs w:val="18"/>
          <w:lang w:val="es-ES_tradnl"/>
        </w:rPr>
        <w:t>í</w:t>
      </w:r>
      <w:r>
        <w:rPr>
          <w:spacing w:val="-9"/>
          <w:sz w:val="18"/>
          <w:szCs w:val="18"/>
          <w:lang w:val="es-ES_tradnl"/>
        </w:rPr>
        <w:t xml:space="preserve">dica en una posible falta de </w:t>
      </w:r>
      <w:r>
        <w:rPr>
          <w:spacing w:val="-11"/>
          <w:sz w:val="18"/>
          <w:szCs w:val="18"/>
          <w:lang w:val="es-ES_tradnl"/>
        </w:rPr>
        <w:t>aplicaci</w:t>
      </w:r>
      <w:r>
        <w:rPr>
          <w:rFonts w:cs="Times New Roman"/>
          <w:spacing w:val="-11"/>
          <w:sz w:val="18"/>
          <w:szCs w:val="18"/>
          <w:lang w:val="es-ES_tradnl"/>
        </w:rPr>
        <w:t>ó</w:t>
      </w:r>
      <w:r>
        <w:rPr>
          <w:spacing w:val="-11"/>
          <w:sz w:val="18"/>
          <w:szCs w:val="18"/>
          <w:lang w:val="es-ES_tradnl"/>
        </w:rPr>
        <w:t xml:space="preserve">n de las normas reglamentarias de la Ley de Carrera </w:t>
      </w:r>
      <w:r>
        <w:rPr>
          <w:spacing w:val="-8"/>
          <w:sz w:val="18"/>
          <w:szCs w:val="18"/>
          <w:lang w:val="es-ES_tradnl"/>
        </w:rPr>
        <w:t>Docente y Escalaf</w:t>
      </w:r>
      <w:r>
        <w:rPr>
          <w:rFonts w:cs="Times New Roman"/>
          <w:spacing w:val="-8"/>
          <w:sz w:val="18"/>
          <w:szCs w:val="18"/>
          <w:lang w:val="es-ES_tradnl"/>
        </w:rPr>
        <w:t>ó</w:t>
      </w:r>
      <w:r>
        <w:rPr>
          <w:spacing w:val="-8"/>
          <w:sz w:val="18"/>
          <w:szCs w:val="18"/>
          <w:lang w:val="es-ES_tradnl"/>
        </w:rPr>
        <w:t xml:space="preserve">n del Magisterio, los jueces provinciales </w:t>
      </w:r>
      <w:r>
        <w:rPr>
          <w:spacing w:val="-4"/>
          <w:sz w:val="18"/>
          <w:szCs w:val="18"/>
          <w:lang w:val="es-ES_tradnl"/>
        </w:rPr>
        <w:t xml:space="preserve">incurren en una inobservancia injustificada de criterios </w:t>
      </w:r>
      <w:r>
        <w:rPr>
          <w:spacing w:val="-8"/>
          <w:sz w:val="18"/>
          <w:szCs w:val="18"/>
          <w:lang w:val="es-ES_tradnl"/>
        </w:rPr>
        <w:t>expedidos por esta Corte Constitucional sobre este asunto, y que adem</w:t>
      </w:r>
      <w:r>
        <w:rPr>
          <w:rFonts w:cs="Times New Roman"/>
          <w:spacing w:val="-8"/>
          <w:sz w:val="18"/>
          <w:szCs w:val="18"/>
          <w:lang w:val="es-ES_tradnl"/>
        </w:rPr>
        <w:t>á</w:t>
      </w:r>
      <w:r>
        <w:rPr>
          <w:spacing w:val="-8"/>
          <w:sz w:val="18"/>
          <w:szCs w:val="18"/>
          <w:lang w:val="es-ES_tradnl"/>
        </w:rPr>
        <w:t>s han sido establecidas en la sentencia N.</w:t>
      </w:r>
      <w:r>
        <w:rPr>
          <w:rFonts w:cs="Times New Roman"/>
          <w:spacing w:val="-8"/>
          <w:sz w:val="18"/>
          <w:szCs w:val="18"/>
          <w:lang w:val="es-ES_tradnl"/>
        </w:rPr>
        <w:t xml:space="preserve">º </w:t>
      </w:r>
      <w:r>
        <w:rPr>
          <w:spacing w:val="-9"/>
          <w:sz w:val="18"/>
          <w:szCs w:val="18"/>
          <w:lang w:val="es-ES_tradnl"/>
        </w:rPr>
        <w:t>016-13-SEP-CC, cuando oportunamente se se</w:t>
      </w:r>
      <w:r>
        <w:rPr>
          <w:rFonts w:cs="Times New Roman"/>
          <w:spacing w:val="-9"/>
          <w:sz w:val="18"/>
          <w:szCs w:val="18"/>
          <w:lang w:val="es-ES_tradnl"/>
        </w:rPr>
        <w:t>ñ</w:t>
      </w:r>
      <w:r>
        <w:rPr>
          <w:spacing w:val="-9"/>
          <w:sz w:val="18"/>
          <w:szCs w:val="18"/>
          <w:lang w:val="es-ES_tradnl"/>
        </w:rPr>
        <w:t>al</w:t>
      </w:r>
      <w:r>
        <w:rPr>
          <w:rFonts w:cs="Times New Roman"/>
          <w:spacing w:val="-9"/>
          <w:sz w:val="18"/>
          <w:szCs w:val="18"/>
          <w:lang w:val="es-ES_tradnl"/>
        </w:rPr>
        <w:t>ó</w:t>
      </w:r>
      <w:r>
        <w:rPr>
          <w:spacing w:val="-9"/>
          <w:sz w:val="18"/>
          <w:szCs w:val="18"/>
          <w:lang w:val="es-ES_tradnl"/>
        </w:rPr>
        <w:t xml:space="preserve"> que </w:t>
      </w:r>
      <w:r>
        <w:rPr>
          <w:rFonts w:cs="Times New Roman"/>
          <w:spacing w:val="-9"/>
          <w:sz w:val="18"/>
          <w:szCs w:val="18"/>
          <w:lang w:val="es-ES_tradnl"/>
        </w:rPr>
        <w:t>“</w:t>
      </w:r>
      <w:r>
        <w:rPr>
          <w:spacing w:val="-9"/>
          <w:sz w:val="18"/>
          <w:szCs w:val="18"/>
          <w:lang w:val="es-ES_tradnl"/>
        </w:rPr>
        <w:t xml:space="preserve">el </w:t>
      </w:r>
      <w:r>
        <w:rPr>
          <w:spacing w:val="-12"/>
          <w:sz w:val="18"/>
          <w:szCs w:val="18"/>
          <w:lang w:val="es-ES_tradnl"/>
        </w:rPr>
        <w:t>juez que conoce de garant</w:t>
      </w:r>
      <w:r>
        <w:rPr>
          <w:rFonts w:cs="Times New Roman"/>
          <w:spacing w:val="-12"/>
          <w:sz w:val="18"/>
          <w:szCs w:val="18"/>
          <w:lang w:val="es-ES_tradnl"/>
        </w:rPr>
        <w:t>í</w:t>
      </w:r>
      <w:r>
        <w:rPr>
          <w:spacing w:val="-12"/>
          <w:sz w:val="18"/>
          <w:szCs w:val="18"/>
          <w:lang w:val="es-ES_tradnl"/>
        </w:rPr>
        <w:t xml:space="preserve">as jurisdiccionales de los derechos </w:t>
      </w:r>
      <w:r>
        <w:rPr>
          <w:spacing w:val="-11"/>
          <w:sz w:val="18"/>
          <w:szCs w:val="18"/>
          <w:lang w:val="es-ES_tradnl"/>
        </w:rPr>
        <w:t xml:space="preserve">debe adecuar sus actuaciones a las normas constitucionales, </w:t>
      </w:r>
      <w:r>
        <w:rPr>
          <w:spacing w:val="-7"/>
          <w:sz w:val="18"/>
          <w:szCs w:val="18"/>
          <w:lang w:val="es-ES_tradnl"/>
        </w:rPr>
        <w:t xml:space="preserve">legales y jurisprudenciales, que integran el ordenamiento </w:t>
      </w:r>
      <w:r>
        <w:rPr>
          <w:spacing w:val="-6"/>
          <w:sz w:val="18"/>
          <w:szCs w:val="18"/>
          <w:lang w:val="es-ES_tradnl"/>
        </w:rPr>
        <w:t>jur</w:t>
      </w:r>
      <w:r>
        <w:rPr>
          <w:rFonts w:cs="Times New Roman"/>
          <w:spacing w:val="-6"/>
          <w:sz w:val="18"/>
          <w:szCs w:val="18"/>
          <w:lang w:val="es-ES_tradnl"/>
        </w:rPr>
        <w:t>í</w:t>
      </w:r>
      <w:r>
        <w:rPr>
          <w:spacing w:val="-6"/>
          <w:sz w:val="18"/>
          <w:szCs w:val="18"/>
          <w:lang w:val="es-ES_tradnl"/>
        </w:rPr>
        <w:t xml:space="preserve">dico ecuatoriano; por tanto, los filtros regulatorios para </w:t>
      </w:r>
      <w:r>
        <w:rPr>
          <w:spacing w:val="-10"/>
          <w:sz w:val="18"/>
          <w:szCs w:val="18"/>
          <w:lang w:val="es-ES_tradnl"/>
        </w:rPr>
        <w:t>determinar su competencia se circunscriben a la vulneraci</w:t>
      </w:r>
      <w:r>
        <w:rPr>
          <w:rFonts w:cs="Times New Roman"/>
          <w:spacing w:val="-10"/>
          <w:sz w:val="18"/>
          <w:szCs w:val="18"/>
          <w:lang w:val="es-ES_tradnl"/>
        </w:rPr>
        <w:t>ó</w:t>
      </w:r>
      <w:r>
        <w:rPr>
          <w:spacing w:val="-10"/>
          <w:sz w:val="18"/>
          <w:szCs w:val="18"/>
          <w:lang w:val="es-ES_tradnl"/>
        </w:rPr>
        <w:t xml:space="preserve">n </w:t>
      </w:r>
      <w:r>
        <w:rPr>
          <w:spacing w:val="-8"/>
          <w:sz w:val="18"/>
          <w:szCs w:val="18"/>
          <w:lang w:val="es-ES_tradnl"/>
        </w:rPr>
        <w:t xml:space="preserve">de derechos constitucionales, mas no a problemas que se </w:t>
      </w:r>
      <w:r>
        <w:rPr>
          <w:spacing w:val="-7"/>
          <w:sz w:val="18"/>
          <w:szCs w:val="18"/>
          <w:lang w:val="es-ES_tradnl"/>
        </w:rPr>
        <w:t>deriven de antinomias infraconstitucionales</w:t>
      </w:r>
      <w:r>
        <w:rPr>
          <w:spacing w:val="-7"/>
          <w:sz w:val="18"/>
          <w:szCs w:val="18"/>
          <w:vertAlign w:val="superscript"/>
          <w:lang w:val="es-ES_tradnl"/>
        </w:rPr>
        <w:t>4</w:t>
      </w:r>
      <w:r>
        <w:rPr>
          <w:rFonts w:cs="Times New Roman"/>
          <w:spacing w:val="-7"/>
          <w:sz w:val="18"/>
          <w:szCs w:val="18"/>
          <w:lang w:val="es-ES_tradnl"/>
        </w:rPr>
        <w:t>”</w:t>
      </w:r>
      <w:r>
        <w:rPr>
          <w:spacing w:val="-7"/>
          <w:sz w:val="18"/>
          <w:szCs w:val="18"/>
          <w:lang w:val="es-ES_tradnl"/>
        </w:rPr>
        <w:t>.</w:t>
      </w:r>
    </w:p>
    <w:p w14:paraId="4F67B59A" w14:textId="77777777" w:rsidR="00591D54" w:rsidRDefault="00591D54">
      <w:pPr>
        <w:shd w:val="clear" w:color="auto" w:fill="FFFFFF"/>
        <w:spacing w:before="192" w:line="216" w:lineRule="exact"/>
        <w:jc w:val="both"/>
      </w:pPr>
      <w:r>
        <w:rPr>
          <w:spacing w:val="-5"/>
          <w:sz w:val="18"/>
          <w:szCs w:val="18"/>
          <w:lang w:val="es-ES_tradnl"/>
        </w:rPr>
        <w:t>Entonces, si la interpretaci</w:t>
      </w:r>
      <w:r>
        <w:rPr>
          <w:rFonts w:cs="Times New Roman"/>
          <w:spacing w:val="-5"/>
          <w:sz w:val="18"/>
          <w:szCs w:val="18"/>
          <w:lang w:val="es-ES_tradnl"/>
        </w:rPr>
        <w:t>ó</w:t>
      </w:r>
      <w:r>
        <w:rPr>
          <w:spacing w:val="-5"/>
          <w:sz w:val="18"/>
          <w:szCs w:val="18"/>
          <w:lang w:val="es-ES_tradnl"/>
        </w:rPr>
        <w:t>n y aplicaci</w:t>
      </w:r>
      <w:r>
        <w:rPr>
          <w:rFonts w:cs="Times New Roman"/>
          <w:spacing w:val="-5"/>
          <w:sz w:val="18"/>
          <w:szCs w:val="18"/>
          <w:lang w:val="es-ES_tradnl"/>
        </w:rPr>
        <w:t>ó</w:t>
      </w:r>
      <w:r>
        <w:rPr>
          <w:spacing w:val="-5"/>
          <w:sz w:val="18"/>
          <w:szCs w:val="18"/>
          <w:lang w:val="es-ES_tradnl"/>
        </w:rPr>
        <w:t xml:space="preserve">n de normativa </w:t>
      </w:r>
      <w:r>
        <w:rPr>
          <w:spacing w:val="-7"/>
          <w:sz w:val="18"/>
          <w:szCs w:val="18"/>
          <w:lang w:val="es-ES_tradnl"/>
        </w:rPr>
        <w:t xml:space="preserve">infraconstitucional en casos concretos, no corresponde </w:t>
      </w:r>
      <w:r>
        <w:rPr>
          <w:spacing w:val="-6"/>
          <w:sz w:val="18"/>
          <w:szCs w:val="18"/>
          <w:lang w:val="es-ES_tradnl"/>
        </w:rPr>
        <w:t xml:space="preserve">resolver a la justicia constitucional, se puede concluir que </w:t>
      </w:r>
      <w:r>
        <w:rPr>
          <w:spacing w:val="-5"/>
          <w:sz w:val="18"/>
          <w:szCs w:val="18"/>
          <w:lang w:val="es-ES_tradnl"/>
        </w:rPr>
        <w:t xml:space="preserve">los jueces provinciales del Azuay resolvieron mediante </w:t>
      </w:r>
      <w:r>
        <w:rPr>
          <w:spacing w:val="-12"/>
          <w:sz w:val="18"/>
          <w:szCs w:val="18"/>
          <w:lang w:val="es-ES_tradnl"/>
        </w:rPr>
        <w:t>acci</w:t>
      </w:r>
      <w:r>
        <w:rPr>
          <w:rFonts w:cs="Times New Roman"/>
          <w:spacing w:val="-12"/>
          <w:sz w:val="18"/>
          <w:szCs w:val="18"/>
          <w:lang w:val="es-ES_tradnl"/>
        </w:rPr>
        <w:t>ó</w:t>
      </w:r>
      <w:r>
        <w:rPr>
          <w:spacing w:val="-12"/>
          <w:sz w:val="18"/>
          <w:szCs w:val="18"/>
          <w:lang w:val="es-ES_tradnl"/>
        </w:rPr>
        <w:t>n de protecci</w:t>
      </w:r>
      <w:r>
        <w:rPr>
          <w:rFonts w:cs="Times New Roman"/>
          <w:spacing w:val="-12"/>
          <w:sz w:val="18"/>
          <w:szCs w:val="18"/>
          <w:lang w:val="es-ES_tradnl"/>
        </w:rPr>
        <w:t>ó</w:t>
      </w:r>
      <w:r>
        <w:rPr>
          <w:spacing w:val="-12"/>
          <w:sz w:val="18"/>
          <w:szCs w:val="18"/>
          <w:lang w:val="es-ES_tradnl"/>
        </w:rPr>
        <w:t xml:space="preserve">n un asunto que se refiere a controversias </w:t>
      </w:r>
      <w:r>
        <w:rPr>
          <w:spacing w:val="-3"/>
          <w:sz w:val="18"/>
          <w:szCs w:val="18"/>
          <w:lang w:val="es-ES_tradnl"/>
        </w:rPr>
        <w:t xml:space="preserve">que versan sobre un presunto incumplimiento de una </w:t>
      </w:r>
      <w:r>
        <w:rPr>
          <w:spacing w:val="-5"/>
          <w:sz w:val="18"/>
          <w:szCs w:val="18"/>
          <w:lang w:val="es-ES_tradnl"/>
        </w:rPr>
        <w:t>norma infraconstitucional (mandato constituyente N.</w:t>
      </w:r>
      <w:r>
        <w:rPr>
          <w:rFonts w:cs="Times New Roman"/>
          <w:spacing w:val="-5"/>
          <w:sz w:val="18"/>
          <w:szCs w:val="18"/>
          <w:lang w:val="es-ES_tradnl"/>
        </w:rPr>
        <w:t>°</w:t>
      </w:r>
      <w:r>
        <w:rPr>
          <w:spacing w:val="-5"/>
          <w:sz w:val="18"/>
          <w:szCs w:val="18"/>
          <w:lang w:val="es-ES_tradnl"/>
        </w:rPr>
        <w:t xml:space="preserve"> 2), </w:t>
      </w:r>
      <w:r>
        <w:rPr>
          <w:spacing w:val="-9"/>
          <w:sz w:val="18"/>
          <w:szCs w:val="18"/>
          <w:lang w:val="es-ES_tradnl"/>
        </w:rPr>
        <w:t>que adem</w:t>
      </w:r>
      <w:r>
        <w:rPr>
          <w:rFonts w:cs="Times New Roman"/>
          <w:spacing w:val="-9"/>
          <w:sz w:val="18"/>
          <w:szCs w:val="18"/>
          <w:lang w:val="es-ES_tradnl"/>
        </w:rPr>
        <w:t>á</w:t>
      </w:r>
      <w:r>
        <w:rPr>
          <w:spacing w:val="-9"/>
          <w:sz w:val="18"/>
          <w:szCs w:val="18"/>
          <w:lang w:val="es-ES_tradnl"/>
        </w:rPr>
        <w:t>s no pod</w:t>
      </w:r>
      <w:r>
        <w:rPr>
          <w:rFonts w:cs="Times New Roman"/>
          <w:spacing w:val="-9"/>
          <w:sz w:val="18"/>
          <w:szCs w:val="18"/>
          <w:lang w:val="es-ES_tradnl"/>
        </w:rPr>
        <w:t>í</w:t>
      </w:r>
      <w:r>
        <w:rPr>
          <w:spacing w:val="-9"/>
          <w:sz w:val="18"/>
          <w:szCs w:val="18"/>
          <w:lang w:val="es-ES_tradnl"/>
        </w:rPr>
        <w:t>a ser resuelto mediante una garant</w:t>
      </w:r>
      <w:r>
        <w:rPr>
          <w:rFonts w:cs="Times New Roman"/>
          <w:spacing w:val="-9"/>
          <w:sz w:val="18"/>
          <w:szCs w:val="18"/>
          <w:lang w:val="es-ES_tradnl"/>
        </w:rPr>
        <w:t>í</w:t>
      </w:r>
      <w:r>
        <w:rPr>
          <w:spacing w:val="-9"/>
          <w:sz w:val="18"/>
          <w:szCs w:val="18"/>
          <w:lang w:val="es-ES_tradnl"/>
        </w:rPr>
        <w:t xml:space="preserve">a </w:t>
      </w:r>
      <w:r>
        <w:rPr>
          <w:spacing w:val="-7"/>
          <w:sz w:val="18"/>
          <w:szCs w:val="18"/>
          <w:lang w:val="es-ES_tradnl"/>
        </w:rPr>
        <w:t>jurisdiccional y, como consecuencia de ello, se contravino de manera expresa el objeto de la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 xml:space="preserve">n, </w:t>
      </w:r>
      <w:r>
        <w:rPr>
          <w:spacing w:val="-2"/>
          <w:sz w:val="18"/>
          <w:szCs w:val="18"/>
          <w:lang w:val="es-ES_tradnl"/>
        </w:rPr>
        <w:t>contenido en el art</w:t>
      </w:r>
      <w:r>
        <w:rPr>
          <w:rFonts w:cs="Times New Roman"/>
          <w:spacing w:val="-2"/>
          <w:sz w:val="18"/>
          <w:szCs w:val="18"/>
          <w:lang w:val="es-ES_tradnl"/>
        </w:rPr>
        <w:t>í</w:t>
      </w:r>
      <w:r>
        <w:rPr>
          <w:spacing w:val="-2"/>
          <w:sz w:val="18"/>
          <w:szCs w:val="18"/>
          <w:lang w:val="es-ES_tradnl"/>
        </w:rPr>
        <w:t>culo 88 de la Constituci</w:t>
      </w:r>
      <w:r>
        <w:rPr>
          <w:rFonts w:cs="Times New Roman"/>
          <w:spacing w:val="-2"/>
          <w:sz w:val="18"/>
          <w:szCs w:val="18"/>
          <w:lang w:val="es-ES_tradnl"/>
        </w:rPr>
        <w:t>ó</w:t>
      </w:r>
      <w:r>
        <w:rPr>
          <w:spacing w:val="-2"/>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blica y el art</w:t>
      </w:r>
      <w:r>
        <w:rPr>
          <w:rFonts w:cs="Times New Roman"/>
          <w:spacing w:val="-7"/>
          <w:sz w:val="18"/>
          <w:szCs w:val="18"/>
          <w:lang w:val="es-ES_tradnl"/>
        </w:rPr>
        <w:t>í</w:t>
      </w:r>
      <w:r>
        <w:rPr>
          <w:spacing w:val="-7"/>
          <w:sz w:val="18"/>
          <w:szCs w:val="18"/>
          <w:lang w:val="es-ES_tradnl"/>
        </w:rPr>
        <w:t>culo 39 de la Ley Org</w:t>
      </w:r>
      <w:r>
        <w:rPr>
          <w:rFonts w:cs="Times New Roman"/>
          <w:spacing w:val="-7"/>
          <w:sz w:val="18"/>
          <w:szCs w:val="18"/>
          <w:lang w:val="es-ES_tradnl"/>
        </w:rPr>
        <w:t>á</w:t>
      </w:r>
      <w:r>
        <w:rPr>
          <w:spacing w:val="-7"/>
          <w:sz w:val="18"/>
          <w:szCs w:val="18"/>
          <w:lang w:val="es-ES_tradnl"/>
        </w:rPr>
        <w:t>nica de Garant</w:t>
      </w:r>
      <w:r>
        <w:rPr>
          <w:rFonts w:cs="Times New Roman"/>
          <w:spacing w:val="-7"/>
          <w:sz w:val="18"/>
          <w:szCs w:val="18"/>
          <w:lang w:val="es-ES_tradnl"/>
        </w:rPr>
        <w:t>í</w:t>
      </w:r>
      <w:r>
        <w:rPr>
          <w:spacing w:val="-7"/>
          <w:sz w:val="18"/>
          <w:szCs w:val="18"/>
          <w:lang w:val="es-ES_tradnl"/>
        </w:rPr>
        <w:t xml:space="preserve">as </w:t>
      </w:r>
      <w:r>
        <w:rPr>
          <w:spacing w:val="-5"/>
          <w:sz w:val="18"/>
          <w:szCs w:val="18"/>
          <w:lang w:val="es-ES_tradnl"/>
        </w:rPr>
        <w:t>Jurisdiccionales y Control Constitucional, adem</w:t>
      </w:r>
      <w:r>
        <w:rPr>
          <w:rFonts w:cs="Times New Roman"/>
          <w:spacing w:val="-5"/>
          <w:sz w:val="18"/>
          <w:szCs w:val="18"/>
          <w:lang w:val="es-ES_tradnl"/>
        </w:rPr>
        <w:t>á</w:t>
      </w:r>
      <w:r>
        <w:rPr>
          <w:spacing w:val="-5"/>
          <w:sz w:val="18"/>
          <w:szCs w:val="18"/>
          <w:lang w:val="es-ES_tradnl"/>
        </w:rPr>
        <w:t xml:space="preserve">s de la </w:t>
      </w:r>
      <w:r>
        <w:rPr>
          <w:spacing w:val="-7"/>
          <w:sz w:val="18"/>
          <w:szCs w:val="18"/>
          <w:lang w:val="es-ES_tradnl"/>
        </w:rPr>
        <w:t xml:space="preserve">regla jurisprudencial mencionada </w:t>
      </w:r>
      <w:r>
        <w:rPr>
          <w:i/>
          <w:iCs/>
          <w:spacing w:val="-7"/>
          <w:sz w:val="18"/>
          <w:szCs w:val="18"/>
          <w:lang w:val="es-ES_tradnl"/>
        </w:rPr>
        <w:t>ut supra.</w:t>
      </w:r>
    </w:p>
    <w:p w14:paraId="4F67B59B" w14:textId="77777777" w:rsidR="00591D54" w:rsidRDefault="00591D54">
      <w:pPr>
        <w:shd w:val="clear" w:color="auto" w:fill="FFFFFF"/>
        <w:spacing w:before="192" w:line="216" w:lineRule="exact"/>
        <w:jc w:val="both"/>
      </w:pPr>
      <w:r>
        <w:rPr>
          <w:spacing w:val="-7"/>
          <w:sz w:val="18"/>
          <w:szCs w:val="18"/>
          <w:lang w:val="es-ES_tradnl"/>
        </w:rPr>
        <w:t>La Corte Constitucional observa que al contrario de lo que sucedi</w:t>
      </w:r>
      <w:r>
        <w:rPr>
          <w:rFonts w:cs="Times New Roman"/>
          <w:spacing w:val="-7"/>
          <w:sz w:val="18"/>
          <w:szCs w:val="18"/>
          <w:lang w:val="es-ES_tradnl"/>
        </w:rPr>
        <w:t>ó</w:t>
      </w:r>
      <w:r>
        <w:rPr>
          <w:spacing w:val="-7"/>
          <w:sz w:val="18"/>
          <w:szCs w:val="18"/>
          <w:lang w:val="es-ES_tradnl"/>
        </w:rPr>
        <w:t xml:space="preserve"> con el tribunal de alzada, el juez cuarto de la ni</w:t>
      </w:r>
      <w:r>
        <w:rPr>
          <w:rFonts w:cs="Times New Roman"/>
          <w:spacing w:val="-7"/>
          <w:sz w:val="18"/>
          <w:szCs w:val="18"/>
          <w:lang w:val="es-ES_tradnl"/>
        </w:rPr>
        <w:t>ñ</w:t>
      </w:r>
      <w:r>
        <w:rPr>
          <w:spacing w:val="-7"/>
          <w:sz w:val="18"/>
          <w:szCs w:val="18"/>
          <w:lang w:val="es-ES_tradnl"/>
        </w:rPr>
        <w:t xml:space="preserve">ez </w:t>
      </w:r>
      <w:r>
        <w:rPr>
          <w:spacing w:val="-8"/>
          <w:sz w:val="18"/>
          <w:szCs w:val="18"/>
          <w:lang w:val="es-ES_tradnl"/>
        </w:rPr>
        <w:t>y la adolescencia del Azuay ajust</w:t>
      </w:r>
      <w:r>
        <w:rPr>
          <w:rFonts w:cs="Times New Roman"/>
          <w:spacing w:val="-8"/>
          <w:sz w:val="18"/>
          <w:szCs w:val="18"/>
          <w:lang w:val="es-ES_tradnl"/>
        </w:rPr>
        <w:t>ó</w:t>
      </w:r>
      <w:r>
        <w:rPr>
          <w:spacing w:val="-8"/>
          <w:sz w:val="18"/>
          <w:szCs w:val="18"/>
          <w:lang w:val="es-ES_tradnl"/>
        </w:rPr>
        <w:t xml:space="preserve"> su proceder conforme a </w:t>
      </w:r>
      <w:r>
        <w:rPr>
          <w:spacing w:val="-10"/>
          <w:sz w:val="18"/>
          <w:szCs w:val="18"/>
          <w:lang w:val="es-ES_tradnl"/>
        </w:rPr>
        <w:t xml:space="preserve">derecho y a los criterios jurisprudenciales pertinentes al caso </w:t>
      </w:r>
      <w:r>
        <w:rPr>
          <w:spacing w:val="-7"/>
          <w:sz w:val="18"/>
          <w:szCs w:val="18"/>
          <w:lang w:val="es-ES_tradnl"/>
        </w:rPr>
        <w:t>sometido a an</w:t>
      </w:r>
      <w:r>
        <w:rPr>
          <w:rFonts w:cs="Times New Roman"/>
          <w:spacing w:val="-7"/>
          <w:sz w:val="18"/>
          <w:szCs w:val="18"/>
          <w:lang w:val="es-ES_tradnl"/>
        </w:rPr>
        <w:t>á</w:t>
      </w:r>
      <w:r>
        <w:rPr>
          <w:spacing w:val="-7"/>
          <w:sz w:val="18"/>
          <w:szCs w:val="18"/>
          <w:lang w:val="es-ES_tradnl"/>
        </w:rPr>
        <w:t xml:space="preserve">lisis, debiendo ser la sentencia de primera </w:t>
      </w:r>
      <w:r>
        <w:rPr>
          <w:spacing w:val="-6"/>
          <w:sz w:val="18"/>
          <w:szCs w:val="18"/>
          <w:lang w:val="es-ES_tradnl"/>
        </w:rPr>
        <w:t>instancia la que quede en vigencia, a fin de salvaguardar la seguridad jur</w:t>
      </w:r>
      <w:r>
        <w:rPr>
          <w:rFonts w:cs="Times New Roman"/>
          <w:spacing w:val="-6"/>
          <w:sz w:val="18"/>
          <w:szCs w:val="18"/>
          <w:lang w:val="es-ES_tradnl"/>
        </w:rPr>
        <w:t>í</w:t>
      </w:r>
      <w:r>
        <w:rPr>
          <w:spacing w:val="-6"/>
          <w:sz w:val="18"/>
          <w:szCs w:val="18"/>
          <w:lang w:val="es-ES_tradnl"/>
        </w:rPr>
        <w:t>dica determinada en el art</w:t>
      </w:r>
      <w:r>
        <w:rPr>
          <w:rFonts w:cs="Times New Roman"/>
          <w:spacing w:val="-6"/>
          <w:sz w:val="18"/>
          <w:szCs w:val="18"/>
          <w:lang w:val="es-ES_tradnl"/>
        </w:rPr>
        <w:t>í</w:t>
      </w:r>
      <w:r>
        <w:rPr>
          <w:spacing w:val="-6"/>
          <w:sz w:val="18"/>
          <w:szCs w:val="18"/>
          <w:lang w:val="es-ES_tradnl"/>
        </w:rPr>
        <w:t xml:space="preserve">culo 82 de la </w:t>
      </w:r>
      <w:r>
        <w:rPr>
          <w:sz w:val="18"/>
          <w:szCs w:val="18"/>
          <w:lang w:val="es-ES_tradnl"/>
        </w:rPr>
        <w:t>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B59C" w14:textId="77777777" w:rsidR="00591D54" w:rsidRDefault="00591D54">
      <w:pPr>
        <w:shd w:val="clear" w:color="auto" w:fill="FFFFFF"/>
        <w:spacing w:before="725" w:line="178" w:lineRule="exact"/>
        <w:ind w:left="139" w:hanging="139"/>
      </w:pPr>
      <w:r>
        <w:rPr>
          <w:sz w:val="14"/>
          <w:szCs w:val="14"/>
          <w:vertAlign w:val="superscript"/>
          <w:lang w:val="es-ES_tradnl"/>
        </w:rPr>
        <w:t>4</w:t>
      </w:r>
      <w:r>
        <w:rPr>
          <w:sz w:val="14"/>
          <w:szCs w:val="14"/>
          <w:lang w:val="es-ES_tradnl"/>
        </w:rPr>
        <w:t xml:space="preserve">  Corte Constitucional del Ecuador, sentencia N.</w:t>
      </w:r>
      <w:r>
        <w:rPr>
          <w:rFonts w:cs="Times New Roman"/>
          <w:sz w:val="14"/>
          <w:szCs w:val="14"/>
          <w:lang w:val="es-ES_tradnl"/>
        </w:rPr>
        <w:t>º</w:t>
      </w:r>
      <w:r>
        <w:rPr>
          <w:sz w:val="14"/>
          <w:szCs w:val="14"/>
          <w:lang w:val="es-ES_tradnl"/>
        </w:rPr>
        <w:t xml:space="preserve"> 016-13-SEP-CC, caso N.</w:t>
      </w:r>
      <w:r>
        <w:rPr>
          <w:rFonts w:cs="Times New Roman"/>
          <w:sz w:val="14"/>
          <w:szCs w:val="14"/>
          <w:lang w:val="es-ES_tradnl"/>
        </w:rPr>
        <w:t>º</w:t>
      </w:r>
      <w:r>
        <w:rPr>
          <w:sz w:val="14"/>
          <w:szCs w:val="14"/>
          <w:lang w:val="es-ES_tradnl"/>
        </w:rPr>
        <w:t xml:space="preserve"> 1000-12-EP.</w:t>
      </w:r>
    </w:p>
    <w:p w14:paraId="4F67B59D" w14:textId="77777777" w:rsidR="00591D54" w:rsidRDefault="00591D54">
      <w:pPr>
        <w:shd w:val="clear" w:color="auto" w:fill="FFFFFF"/>
        <w:spacing w:line="226" w:lineRule="exact"/>
        <w:jc w:val="both"/>
      </w:pPr>
      <w:r>
        <w:br w:type="column"/>
      </w:r>
      <w:r>
        <w:rPr>
          <w:spacing w:val="-10"/>
          <w:sz w:val="18"/>
          <w:szCs w:val="18"/>
          <w:lang w:val="es-ES_tradnl"/>
        </w:rPr>
        <w:t xml:space="preserve">Con todas estas consideraciones, este Organismo concluye </w:t>
      </w:r>
      <w:r>
        <w:rPr>
          <w:spacing w:val="-7"/>
          <w:sz w:val="18"/>
          <w:szCs w:val="18"/>
          <w:lang w:val="es-ES_tradnl"/>
        </w:rPr>
        <w:t xml:space="preserve">que la sentencia expedida el 5 de enero de 2011, por los jueces de la Segunda Sala Especializada de lo Penal y </w:t>
      </w:r>
      <w:r>
        <w:rPr>
          <w:spacing w:val="-3"/>
          <w:sz w:val="18"/>
          <w:szCs w:val="18"/>
          <w:lang w:val="es-ES_tradnl"/>
        </w:rPr>
        <w:t>Tr</w:t>
      </w:r>
      <w:r>
        <w:rPr>
          <w:rFonts w:cs="Times New Roman"/>
          <w:spacing w:val="-3"/>
          <w:sz w:val="18"/>
          <w:szCs w:val="18"/>
          <w:lang w:val="es-ES_tradnl"/>
        </w:rPr>
        <w:t>á</w:t>
      </w:r>
      <w:r>
        <w:rPr>
          <w:spacing w:val="-3"/>
          <w:sz w:val="18"/>
          <w:szCs w:val="18"/>
          <w:lang w:val="es-ES_tradnl"/>
        </w:rPr>
        <w:t xml:space="preserve">nsito de la Corte Provincial de Justicia del Azuay, </w:t>
      </w:r>
      <w:r>
        <w:rPr>
          <w:spacing w:val="-8"/>
          <w:sz w:val="18"/>
          <w:szCs w:val="18"/>
          <w:lang w:val="es-ES_tradnl"/>
        </w:rPr>
        <w:t>vulner</w:t>
      </w:r>
      <w:r>
        <w:rPr>
          <w:rFonts w:cs="Times New Roman"/>
          <w:spacing w:val="-8"/>
          <w:sz w:val="18"/>
          <w:szCs w:val="18"/>
          <w:lang w:val="es-ES_tradnl"/>
        </w:rPr>
        <w:t>ó</w:t>
      </w:r>
      <w:r>
        <w:rPr>
          <w:spacing w:val="-8"/>
          <w:sz w:val="18"/>
          <w:szCs w:val="18"/>
          <w:lang w:val="es-ES_tradnl"/>
        </w:rPr>
        <w:t xml:space="preserve"> el derecho a la seguridad jur</w:t>
      </w:r>
      <w:r>
        <w:rPr>
          <w:rFonts w:cs="Times New Roman"/>
          <w:spacing w:val="-8"/>
          <w:sz w:val="18"/>
          <w:szCs w:val="18"/>
          <w:lang w:val="es-ES_tradnl"/>
        </w:rPr>
        <w:t>í</w:t>
      </w:r>
      <w:r>
        <w:rPr>
          <w:spacing w:val="-8"/>
          <w:sz w:val="18"/>
          <w:szCs w:val="18"/>
          <w:lang w:val="es-ES_tradnl"/>
        </w:rPr>
        <w:t>dica, establecido en el art</w:t>
      </w:r>
      <w:r>
        <w:rPr>
          <w:rFonts w:cs="Times New Roman"/>
          <w:spacing w:val="-8"/>
          <w:sz w:val="18"/>
          <w:szCs w:val="18"/>
          <w:lang w:val="es-ES_tradnl"/>
        </w:rPr>
        <w:t>í</w:t>
      </w:r>
      <w:r>
        <w:rPr>
          <w:spacing w:val="-8"/>
          <w:sz w:val="18"/>
          <w:szCs w:val="18"/>
          <w:lang w:val="es-ES_tradnl"/>
        </w:rPr>
        <w:t>culo 82 de la Constituci</w:t>
      </w:r>
      <w:r>
        <w:rPr>
          <w:rFonts w:cs="Times New Roman"/>
          <w:spacing w:val="-8"/>
          <w:sz w:val="18"/>
          <w:szCs w:val="18"/>
          <w:lang w:val="es-ES_tradnl"/>
        </w:rPr>
        <w:t>ó</w:t>
      </w:r>
      <w:r>
        <w:rPr>
          <w:spacing w:val="-8"/>
          <w:sz w:val="18"/>
          <w:szCs w:val="18"/>
          <w:lang w:val="es-ES_tradnl"/>
        </w:rPr>
        <w:t>n de la Rep</w:t>
      </w:r>
      <w:r>
        <w:rPr>
          <w:rFonts w:cs="Times New Roman"/>
          <w:spacing w:val="-8"/>
          <w:sz w:val="18"/>
          <w:szCs w:val="18"/>
          <w:lang w:val="es-ES_tradnl"/>
        </w:rPr>
        <w:t>ú</w:t>
      </w:r>
      <w:r>
        <w:rPr>
          <w:spacing w:val="-8"/>
          <w:sz w:val="18"/>
          <w:szCs w:val="18"/>
          <w:lang w:val="es-ES_tradnl"/>
        </w:rPr>
        <w:t>blica del Ecuador.</w:t>
      </w:r>
    </w:p>
    <w:p w14:paraId="4F67B59E" w14:textId="77777777" w:rsidR="00591D54" w:rsidRDefault="00591D54">
      <w:pPr>
        <w:shd w:val="clear" w:color="auto" w:fill="FFFFFF"/>
        <w:spacing w:before="202"/>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B59F" w14:textId="77777777" w:rsidR="00591D54" w:rsidRDefault="00591D54">
      <w:pPr>
        <w:shd w:val="clear" w:color="auto" w:fill="FFFFFF"/>
        <w:spacing w:before="202" w:line="226" w:lineRule="exact"/>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5"/>
          <w:sz w:val="18"/>
          <w:szCs w:val="18"/>
          <w:lang w:val="es-ES_tradnl"/>
        </w:rPr>
        <w:t>constitucional y por mandato de la Constituci</w:t>
      </w:r>
      <w:r>
        <w:rPr>
          <w:rFonts w:cs="Times New Roman"/>
          <w:spacing w:val="-5"/>
          <w:sz w:val="18"/>
          <w:szCs w:val="18"/>
          <w:lang w:val="es-ES_tradnl"/>
        </w:rPr>
        <w:t>ó</w:t>
      </w:r>
      <w:r>
        <w:rPr>
          <w:spacing w:val="-5"/>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 xml:space="preserve">blica del Ecuador, el Pleno de la Corte Constitucional </w:t>
      </w:r>
      <w:r>
        <w:rPr>
          <w:sz w:val="18"/>
          <w:szCs w:val="18"/>
          <w:lang w:val="es-ES_tradnl"/>
        </w:rPr>
        <w:t>expide la siguiente sentencia:</w:t>
      </w:r>
    </w:p>
    <w:p w14:paraId="4F67B5A0" w14:textId="77777777" w:rsidR="00591D54" w:rsidRDefault="00591D54">
      <w:pPr>
        <w:shd w:val="clear" w:color="auto" w:fill="FFFFFF"/>
        <w:spacing w:before="202"/>
        <w:jc w:val="center"/>
      </w:pPr>
      <w:r>
        <w:rPr>
          <w:b/>
          <w:bCs/>
          <w:sz w:val="18"/>
          <w:szCs w:val="18"/>
          <w:lang w:val="es-ES_tradnl"/>
        </w:rPr>
        <w:t>SENTENCIA</w:t>
      </w:r>
    </w:p>
    <w:p w14:paraId="4F67B5A1" w14:textId="77777777" w:rsidR="00591D54" w:rsidRDefault="00591D54" w:rsidP="00251195">
      <w:pPr>
        <w:numPr>
          <w:ilvl w:val="0"/>
          <w:numId w:val="102"/>
        </w:numPr>
        <w:shd w:val="clear" w:color="auto" w:fill="FFFFFF"/>
        <w:tabs>
          <w:tab w:val="left" w:pos="566"/>
        </w:tabs>
        <w:spacing w:before="202" w:line="226" w:lineRule="exact"/>
        <w:ind w:left="566" w:hanging="283"/>
        <w:jc w:val="both"/>
        <w:rPr>
          <w:spacing w:val="-9"/>
          <w:sz w:val="18"/>
          <w:szCs w:val="18"/>
          <w:lang w:val="es-ES_tradnl"/>
        </w:rPr>
      </w:pPr>
      <w:r>
        <w:rPr>
          <w:spacing w:val="-5"/>
          <w:sz w:val="18"/>
          <w:szCs w:val="18"/>
          <w:lang w:val="es-ES_tradnl"/>
        </w:rPr>
        <w:t>Declarar la vulneraci</w:t>
      </w:r>
      <w:r>
        <w:rPr>
          <w:rFonts w:cs="Times New Roman"/>
          <w:spacing w:val="-5"/>
          <w:sz w:val="18"/>
          <w:szCs w:val="18"/>
          <w:lang w:val="es-ES_tradnl"/>
        </w:rPr>
        <w:t>ó</w:t>
      </w:r>
      <w:r>
        <w:rPr>
          <w:spacing w:val="-5"/>
          <w:sz w:val="18"/>
          <w:szCs w:val="18"/>
          <w:lang w:val="es-ES_tradnl"/>
        </w:rPr>
        <w:t xml:space="preserve">n del derecho constitucional </w:t>
      </w:r>
      <w:r>
        <w:rPr>
          <w:spacing w:val="-8"/>
          <w:sz w:val="18"/>
          <w:szCs w:val="18"/>
          <w:lang w:val="es-ES_tradnl"/>
        </w:rPr>
        <w:t>a la seguridad jur</w:t>
      </w:r>
      <w:r>
        <w:rPr>
          <w:rFonts w:cs="Times New Roman"/>
          <w:spacing w:val="-8"/>
          <w:sz w:val="18"/>
          <w:szCs w:val="18"/>
          <w:lang w:val="es-ES_tradnl"/>
        </w:rPr>
        <w:t>í</w:t>
      </w:r>
      <w:r>
        <w:rPr>
          <w:spacing w:val="-8"/>
          <w:sz w:val="18"/>
          <w:szCs w:val="18"/>
          <w:lang w:val="es-ES_tradnl"/>
        </w:rPr>
        <w:t>dica, establecido en el art</w:t>
      </w:r>
      <w:r>
        <w:rPr>
          <w:rFonts w:cs="Times New Roman"/>
          <w:spacing w:val="-8"/>
          <w:sz w:val="18"/>
          <w:szCs w:val="18"/>
          <w:lang w:val="es-ES_tradnl"/>
        </w:rPr>
        <w:t>í</w:t>
      </w:r>
      <w:r>
        <w:rPr>
          <w:spacing w:val="-8"/>
          <w:sz w:val="18"/>
          <w:szCs w:val="18"/>
          <w:lang w:val="es-ES_tradnl"/>
        </w:rPr>
        <w:t xml:space="preserve">culo 82 </w:t>
      </w:r>
      <w:r>
        <w:rPr>
          <w:sz w:val="18"/>
          <w:szCs w:val="18"/>
          <w:lang w:val="es-ES_tradnl"/>
        </w:rPr>
        <w:t>de 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B5A2" w14:textId="77777777" w:rsidR="00591D54" w:rsidRDefault="00591D54" w:rsidP="00251195">
      <w:pPr>
        <w:numPr>
          <w:ilvl w:val="0"/>
          <w:numId w:val="102"/>
        </w:numPr>
        <w:shd w:val="clear" w:color="auto" w:fill="FFFFFF"/>
        <w:tabs>
          <w:tab w:val="left" w:pos="566"/>
        </w:tabs>
        <w:spacing w:before="206" w:line="226" w:lineRule="exact"/>
        <w:ind w:left="566" w:hanging="283"/>
        <w:jc w:val="both"/>
        <w:rPr>
          <w:spacing w:val="-9"/>
          <w:sz w:val="18"/>
          <w:szCs w:val="18"/>
          <w:lang w:val="es-ES_tradnl"/>
        </w:rPr>
      </w:pPr>
      <w:r>
        <w:rPr>
          <w:spacing w:val="-6"/>
          <w:sz w:val="18"/>
          <w:szCs w:val="18"/>
          <w:lang w:val="es-ES_tradnl"/>
        </w:rPr>
        <w:t>Aceptar la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w:t>
      </w:r>
      <w:r>
        <w:rPr>
          <w:sz w:val="18"/>
          <w:szCs w:val="18"/>
          <w:lang w:val="es-ES_tradnl"/>
        </w:rPr>
        <w:t>planteada.</w:t>
      </w:r>
    </w:p>
    <w:p w14:paraId="4F67B5A3" w14:textId="77777777" w:rsidR="00591D54" w:rsidRDefault="00591D54" w:rsidP="00251195">
      <w:pPr>
        <w:numPr>
          <w:ilvl w:val="0"/>
          <w:numId w:val="102"/>
        </w:numPr>
        <w:shd w:val="clear" w:color="auto" w:fill="FFFFFF"/>
        <w:tabs>
          <w:tab w:val="left" w:pos="566"/>
        </w:tabs>
        <w:spacing w:before="206"/>
        <w:ind w:left="283"/>
        <w:rPr>
          <w:spacing w:val="-9"/>
          <w:sz w:val="18"/>
          <w:szCs w:val="18"/>
          <w:lang w:val="es-ES_tradnl"/>
        </w:rPr>
      </w:pPr>
      <w:r>
        <w:rPr>
          <w:spacing w:val="-8"/>
          <w:sz w:val="18"/>
          <w:szCs w:val="18"/>
          <w:lang w:val="es-ES_tradnl"/>
        </w:rPr>
        <w:t>Como medidas de reparaci</w:t>
      </w:r>
      <w:r>
        <w:rPr>
          <w:rFonts w:cs="Times New Roman"/>
          <w:spacing w:val="-8"/>
          <w:sz w:val="18"/>
          <w:szCs w:val="18"/>
          <w:lang w:val="es-ES_tradnl"/>
        </w:rPr>
        <w:t>ó</w:t>
      </w:r>
      <w:r>
        <w:rPr>
          <w:spacing w:val="-8"/>
          <w:sz w:val="18"/>
          <w:szCs w:val="18"/>
          <w:lang w:val="es-ES_tradnl"/>
        </w:rPr>
        <w:t>n integral se dispone:</w:t>
      </w:r>
    </w:p>
    <w:p w14:paraId="4F67B5A4" w14:textId="77777777" w:rsidR="00591D54" w:rsidRDefault="00591D54">
      <w:pPr>
        <w:rPr>
          <w:rFonts w:cs="Times New Roman"/>
          <w:sz w:val="2"/>
          <w:szCs w:val="2"/>
        </w:rPr>
      </w:pPr>
    </w:p>
    <w:p w14:paraId="4F67B5A5" w14:textId="77777777" w:rsidR="00591D54" w:rsidRDefault="00591D54" w:rsidP="00251195">
      <w:pPr>
        <w:numPr>
          <w:ilvl w:val="0"/>
          <w:numId w:val="103"/>
        </w:numPr>
        <w:shd w:val="clear" w:color="auto" w:fill="FFFFFF"/>
        <w:tabs>
          <w:tab w:val="left" w:pos="850"/>
        </w:tabs>
        <w:spacing w:before="206" w:line="226" w:lineRule="exact"/>
        <w:ind w:left="850" w:hanging="283"/>
        <w:jc w:val="both"/>
        <w:rPr>
          <w:spacing w:val="-9"/>
          <w:sz w:val="18"/>
          <w:szCs w:val="18"/>
          <w:lang w:val="es-ES_tradnl"/>
        </w:rPr>
      </w:pPr>
      <w:r>
        <w:rPr>
          <w:spacing w:val="-6"/>
          <w:sz w:val="18"/>
          <w:szCs w:val="18"/>
          <w:lang w:val="es-ES_tradnl"/>
        </w:rPr>
        <w:t xml:space="preserve">Dejar sin efecto la sentencia expedida el 5 de </w:t>
      </w:r>
      <w:r>
        <w:rPr>
          <w:spacing w:val="-7"/>
          <w:sz w:val="18"/>
          <w:szCs w:val="18"/>
          <w:lang w:val="es-ES_tradnl"/>
        </w:rPr>
        <w:t xml:space="preserve">enero de 2011, por los jueces de la Segunda </w:t>
      </w:r>
      <w:r>
        <w:rPr>
          <w:spacing w:val="-8"/>
          <w:sz w:val="18"/>
          <w:szCs w:val="18"/>
          <w:lang w:val="es-ES_tradnl"/>
        </w:rPr>
        <w:t>Sala Especializada de lo Penal y Tr</w:t>
      </w:r>
      <w:r>
        <w:rPr>
          <w:rFonts w:cs="Times New Roman"/>
          <w:spacing w:val="-8"/>
          <w:sz w:val="18"/>
          <w:szCs w:val="18"/>
          <w:lang w:val="es-ES_tradnl"/>
        </w:rPr>
        <w:t>á</w:t>
      </w:r>
      <w:r>
        <w:rPr>
          <w:spacing w:val="-8"/>
          <w:sz w:val="18"/>
          <w:szCs w:val="18"/>
          <w:lang w:val="es-ES_tradnl"/>
        </w:rPr>
        <w:t xml:space="preserve">nsito de la </w:t>
      </w:r>
      <w:r>
        <w:rPr>
          <w:spacing w:val="-6"/>
          <w:sz w:val="18"/>
          <w:szCs w:val="18"/>
          <w:lang w:val="es-ES_tradnl"/>
        </w:rPr>
        <w:t>Corte Provincial de Justicia del Azuay.</w:t>
      </w:r>
    </w:p>
    <w:p w14:paraId="4F67B5A6" w14:textId="77777777" w:rsidR="00591D54" w:rsidRDefault="00591D54" w:rsidP="00251195">
      <w:pPr>
        <w:numPr>
          <w:ilvl w:val="0"/>
          <w:numId w:val="103"/>
        </w:numPr>
        <w:shd w:val="clear" w:color="auto" w:fill="FFFFFF"/>
        <w:tabs>
          <w:tab w:val="left" w:pos="850"/>
        </w:tabs>
        <w:spacing w:before="202" w:line="226" w:lineRule="exact"/>
        <w:ind w:left="850" w:hanging="283"/>
        <w:jc w:val="both"/>
        <w:rPr>
          <w:spacing w:val="-9"/>
          <w:sz w:val="18"/>
          <w:szCs w:val="18"/>
          <w:lang w:val="es-ES_tradnl"/>
        </w:rPr>
      </w:pPr>
      <w:r>
        <w:rPr>
          <w:spacing w:val="-9"/>
          <w:sz w:val="18"/>
          <w:szCs w:val="18"/>
          <w:lang w:val="es-ES_tradnl"/>
        </w:rPr>
        <w:t xml:space="preserve">Dejar en firme la sentencia expedida por el juez </w:t>
      </w:r>
      <w:r>
        <w:rPr>
          <w:spacing w:val="-7"/>
          <w:sz w:val="18"/>
          <w:szCs w:val="18"/>
          <w:lang w:val="es-ES_tradnl"/>
        </w:rPr>
        <w:t>cuarto de la Ni</w:t>
      </w:r>
      <w:r>
        <w:rPr>
          <w:rFonts w:cs="Times New Roman"/>
          <w:spacing w:val="-7"/>
          <w:sz w:val="18"/>
          <w:szCs w:val="18"/>
          <w:lang w:val="es-ES_tradnl"/>
        </w:rPr>
        <w:t>ñ</w:t>
      </w:r>
      <w:r>
        <w:rPr>
          <w:spacing w:val="-7"/>
          <w:sz w:val="18"/>
          <w:szCs w:val="18"/>
          <w:lang w:val="es-ES_tradnl"/>
        </w:rPr>
        <w:t xml:space="preserve">ez y Adolescencia del Azuay el </w:t>
      </w:r>
      <w:r>
        <w:rPr>
          <w:sz w:val="18"/>
          <w:szCs w:val="18"/>
          <w:lang w:val="es-ES_tradnl"/>
        </w:rPr>
        <w:t>06 de diciembre del 2010.</w:t>
      </w:r>
    </w:p>
    <w:p w14:paraId="4F67B5A7" w14:textId="77777777" w:rsidR="00591D54" w:rsidRDefault="00591D54">
      <w:pPr>
        <w:shd w:val="clear" w:color="auto" w:fill="FFFFFF"/>
        <w:tabs>
          <w:tab w:val="left" w:pos="566"/>
        </w:tabs>
        <w:spacing w:before="29" w:line="442" w:lineRule="exact"/>
        <w:ind w:right="979" w:firstLine="283"/>
      </w:pPr>
      <w:r>
        <w:rPr>
          <w:spacing w:val="-9"/>
          <w:sz w:val="18"/>
          <w:szCs w:val="18"/>
          <w:lang w:val="es-ES_tradnl"/>
        </w:rPr>
        <w:t>4.</w:t>
      </w:r>
      <w:r>
        <w:rPr>
          <w:sz w:val="18"/>
          <w:szCs w:val="18"/>
          <w:lang w:val="es-ES_tradnl"/>
        </w:rPr>
        <w:tab/>
      </w:r>
      <w:r>
        <w:rPr>
          <w:spacing w:val="-8"/>
          <w:sz w:val="18"/>
          <w:szCs w:val="18"/>
          <w:lang w:val="es-ES_tradnl"/>
        </w:rPr>
        <w:t>Notif</w:t>
      </w:r>
      <w:r>
        <w:rPr>
          <w:rFonts w:cs="Times New Roman"/>
          <w:spacing w:val="-8"/>
          <w:sz w:val="18"/>
          <w:szCs w:val="18"/>
          <w:lang w:val="es-ES_tradnl"/>
        </w:rPr>
        <w:t>í</w:t>
      </w:r>
      <w:r>
        <w:rPr>
          <w:spacing w:val="-8"/>
          <w:sz w:val="18"/>
          <w:szCs w:val="18"/>
          <w:lang w:val="es-ES_tradnl"/>
        </w:rPr>
        <w:t>quese, publ</w:t>
      </w:r>
      <w:r>
        <w:rPr>
          <w:rFonts w:cs="Times New Roman"/>
          <w:spacing w:val="-8"/>
          <w:sz w:val="18"/>
          <w:szCs w:val="18"/>
          <w:lang w:val="es-ES_tradnl"/>
        </w:rPr>
        <w:t>í</w:t>
      </w:r>
      <w:r>
        <w:rPr>
          <w:spacing w:val="-8"/>
          <w:sz w:val="18"/>
          <w:szCs w:val="18"/>
          <w:lang w:val="es-ES_tradnl"/>
        </w:rPr>
        <w:t>quese y c</w:t>
      </w:r>
      <w:r>
        <w:rPr>
          <w:rFonts w:cs="Times New Roman"/>
          <w:spacing w:val="-8"/>
          <w:sz w:val="18"/>
          <w:szCs w:val="18"/>
          <w:lang w:val="es-ES_tradnl"/>
        </w:rPr>
        <w:t>ú</w:t>
      </w:r>
      <w:r>
        <w:rPr>
          <w:spacing w:val="-8"/>
          <w:sz w:val="18"/>
          <w:szCs w:val="18"/>
          <w:lang w:val="es-ES_tradnl"/>
        </w:rPr>
        <w:t>mplase. </w:t>
      </w:r>
      <w:r>
        <w:rPr>
          <w:spacing w:val="-5"/>
          <w:sz w:val="18"/>
          <w:szCs w:val="18"/>
          <w:lang w:val="es-ES_tradnl"/>
        </w:rPr>
        <w:t>f.) Patricio Pazmi</w:t>
      </w:r>
      <w:r>
        <w:rPr>
          <w:rFonts w:cs="Times New Roman"/>
          <w:spacing w:val="-5"/>
          <w:sz w:val="18"/>
          <w:szCs w:val="18"/>
          <w:lang w:val="es-ES_tradnl"/>
        </w:rPr>
        <w:t>ñ</w:t>
      </w:r>
      <w:r>
        <w:rPr>
          <w:spacing w:val="-5"/>
          <w:sz w:val="18"/>
          <w:szCs w:val="18"/>
          <w:lang w:val="es-ES_tradnl"/>
        </w:rPr>
        <w:t xml:space="preserve">o Freire, </w:t>
      </w:r>
      <w:r>
        <w:rPr>
          <w:b/>
          <w:bCs/>
          <w:spacing w:val="-5"/>
          <w:sz w:val="18"/>
          <w:szCs w:val="18"/>
          <w:lang w:val="es-ES_tradnl"/>
        </w:rPr>
        <w:t>PRESIDENTE.</w:t>
      </w:r>
    </w:p>
    <w:p w14:paraId="4F67B5A8" w14:textId="77777777" w:rsidR="00591D54" w:rsidRDefault="00591D54">
      <w:pPr>
        <w:shd w:val="clear" w:color="auto" w:fill="FFFFFF"/>
        <w:spacing w:line="442" w:lineRule="exact"/>
      </w:pPr>
      <w:r>
        <w:rPr>
          <w:spacing w:val="-4"/>
          <w:sz w:val="18"/>
          <w:szCs w:val="18"/>
          <w:lang w:val="es-ES_tradnl"/>
        </w:rPr>
        <w:t>f.) Pa</w:t>
      </w:r>
      <w:r>
        <w:rPr>
          <w:rFonts w:cs="Times New Roman"/>
          <w:spacing w:val="-4"/>
          <w:sz w:val="18"/>
          <w:szCs w:val="18"/>
          <w:lang w:val="es-ES_tradnl"/>
        </w:rPr>
        <w:t>ú</w:t>
      </w:r>
      <w:r>
        <w:rPr>
          <w:spacing w:val="-4"/>
          <w:sz w:val="18"/>
          <w:szCs w:val="18"/>
          <w:lang w:val="es-ES_tradnl"/>
        </w:rPr>
        <w:t xml:space="preserve">l Prado Chiriboga, </w:t>
      </w:r>
      <w:r>
        <w:rPr>
          <w:b/>
          <w:bCs/>
          <w:spacing w:val="-4"/>
          <w:sz w:val="18"/>
          <w:szCs w:val="18"/>
          <w:lang w:val="es-ES_tradnl"/>
        </w:rPr>
        <w:t>SECRETARIO GENERAL (E).</w:t>
      </w:r>
    </w:p>
    <w:p w14:paraId="4F67B5A9" w14:textId="77777777" w:rsidR="00591D54" w:rsidRDefault="00591D54">
      <w:pPr>
        <w:shd w:val="clear" w:color="auto" w:fill="FFFFFF"/>
        <w:spacing w:before="163" w:line="226" w:lineRule="exact"/>
        <w:jc w:val="both"/>
      </w:pPr>
      <w:r>
        <w:rPr>
          <w:b/>
          <w:bCs/>
          <w:spacing w:val="-4"/>
          <w:sz w:val="18"/>
          <w:szCs w:val="18"/>
          <w:lang w:val="es-ES_tradnl"/>
        </w:rPr>
        <w:t>RAZ</w:t>
      </w:r>
      <w:r>
        <w:rPr>
          <w:rFonts w:cs="Times New Roman"/>
          <w:b/>
          <w:bCs/>
          <w:spacing w:val="-4"/>
          <w:sz w:val="18"/>
          <w:szCs w:val="18"/>
          <w:lang w:val="es-ES_tradnl"/>
        </w:rPr>
        <w:t>Ó</w:t>
      </w:r>
      <w:r>
        <w:rPr>
          <w:b/>
          <w:bCs/>
          <w:spacing w:val="-4"/>
          <w:sz w:val="18"/>
          <w:szCs w:val="18"/>
          <w:lang w:val="es-ES_tradnl"/>
        </w:rPr>
        <w:t xml:space="preserve">N.- </w:t>
      </w:r>
      <w:r>
        <w:rPr>
          <w:spacing w:val="-4"/>
          <w:sz w:val="18"/>
          <w:szCs w:val="18"/>
          <w:lang w:val="es-ES_tradnl"/>
        </w:rPr>
        <w:t xml:space="preserve">Siento por tal, que la sentencia que antecede </w:t>
      </w:r>
      <w:r>
        <w:rPr>
          <w:spacing w:val="-7"/>
          <w:sz w:val="18"/>
          <w:szCs w:val="18"/>
          <w:lang w:val="es-ES_tradnl"/>
        </w:rPr>
        <w:t xml:space="preserve">fue aprobada por el Pleno de la Corte Constitucional, con </w:t>
      </w:r>
      <w:r>
        <w:rPr>
          <w:spacing w:val="-8"/>
          <w:sz w:val="18"/>
          <w:szCs w:val="18"/>
          <w:lang w:val="es-ES_tradnl"/>
        </w:rPr>
        <w:t xml:space="preserve">seis votos a favor, de las juezas y jueces Antonio Gagliardo </w:t>
      </w:r>
      <w:r>
        <w:rPr>
          <w:spacing w:val="-4"/>
          <w:sz w:val="18"/>
          <w:szCs w:val="18"/>
          <w:lang w:val="es-ES_tradnl"/>
        </w:rPr>
        <w:t>Loor, Marcelo Jaramillo Villa, Tatiana Orde</w:t>
      </w:r>
      <w:r>
        <w:rPr>
          <w:rFonts w:cs="Times New Roman"/>
          <w:spacing w:val="-4"/>
          <w:sz w:val="18"/>
          <w:szCs w:val="18"/>
          <w:lang w:val="es-ES_tradnl"/>
        </w:rPr>
        <w:t>ñ</w:t>
      </w:r>
      <w:r>
        <w:rPr>
          <w:spacing w:val="-4"/>
          <w:sz w:val="18"/>
          <w:szCs w:val="18"/>
          <w:lang w:val="es-ES_tradnl"/>
        </w:rPr>
        <w:t xml:space="preserve">ana Sierra, </w:t>
      </w:r>
      <w:r>
        <w:rPr>
          <w:spacing w:val="-2"/>
          <w:sz w:val="18"/>
          <w:szCs w:val="18"/>
          <w:lang w:val="es-ES_tradnl"/>
        </w:rPr>
        <w:t>Alfredo Ruiz Guzm</w:t>
      </w:r>
      <w:r>
        <w:rPr>
          <w:rFonts w:cs="Times New Roman"/>
          <w:spacing w:val="-2"/>
          <w:sz w:val="18"/>
          <w:szCs w:val="18"/>
          <w:lang w:val="es-ES_tradnl"/>
        </w:rPr>
        <w:t>á</w:t>
      </w:r>
      <w:r>
        <w:rPr>
          <w:spacing w:val="-2"/>
          <w:sz w:val="18"/>
          <w:szCs w:val="18"/>
          <w:lang w:val="es-ES_tradnl"/>
        </w:rPr>
        <w:t xml:space="preserve">n, Manuel Viteri Olvera y Patricio </w:t>
      </w:r>
      <w:r>
        <w:rPr>
          <w:spacing w:val="-7"/>
          <w:sz w:val="18"/>
          <w:szCs w:val="18"/>
          <w:lang w:val="es-ES_tradnl"/>
        </w:rPr>
        <w:t>Pazmi</w:t>
      </w:r>
      <w:r>
        <w:rPr>
          <w:rFonts w:cs="Times New Roman"/>
          <w:spacing w:val="-7"/>
          <w:sz w:val="18"/>
          <w:szCs w:val="18"/>
          <w:lang w:val="es-ES_tradnl"/>
        </w:rPr>
        <w:t>ñ</w:t>
      </w:r>
      <w:r>
        <w:rPr>
          <w:spacing w:val="-7"/>
          <w:sz w:val="18"/>
          <w:szCs w:val="18"/>
          <w:lang w:val="es-ES_tradnl"/>
        </w:rPr>
        <w:t xml:space="preserve">o Freire, sin contar con la presencia de las juezas </w:t>
      </w:r>
      <w:r>
        <w:rPr>
          <w:spacing w:val="-6"/>
          <w:sz w:val="18"/>
          <w:szCs w:val="18"/>
          <w:lang w:val="es-ES_tradnl"/>
        </w:rPr>
        <w:t>Mar</w:t>
      </w:r>
      <w:r>
        <w:rPr>
          <w:rFonts w:cs="Times New Roman"/>
          <w:spacing w:val="-6"/>
          <w:sz w:val="18"/>
          <w:szCs w:val="18"/>
          <w:lang w:val="es-ES_tradnl"/>
        </w:rPr>
        <w:t>í</w:t>
      </w:r>
      <w:r>
        <w:rPr>
          <w:spacing w:val="-6"/>
          <w:sz w:val="18"/>
          <w:szCs w:val="18"/>
          <w:lang w:val="es-ES_tradnl"/>
        </w:rPr>
        <w:t>a del Carmen Maldonado S</w:t>
      </w:r>
      <w:r>
        <w:rPr>
          <w:rFonts w:cs="Times New Roman"/>
          <w:spacing w:val="-6"/>
          <w:sz w:val="18"/>
          <w:szCs w:val="18"/>
          <w:lang w:val="es-ES_tradnl"/>
        </w:rPr>
        <w:t>á</w:t>
      </w:r>
      <w:r>
        <w:rPr>
          <w:spacing w:val="-6"/>
          <w:sz w:val="18"/>
          <w:szCs w:val="18"/>
          <w:lang w:val="es-ES_tradnl"/>
        </w:rPr>
        <w:t xml:space="preserve">nchez, Wendy Molina </w:t>
      </w:r>
      <w:r>
        <w:rPr>
          <w:spacing w:val="-10"/>
          <w:sz w:val="18"/>
          <w:szCs w:val="18"/>
          <w:lang w:val="es-ES_tradnl"/>
        </w:rPr>
        <w:t>Andrade y Ruth Seni Pinoargote, en sesi</w:t>
      </w:r>
      <w:r>
        <w:rPr>
          <w:rFonts w:cs="Times New Roman"/>
          <w:spacing w:val="-10"/>
          <w:sz w:val="18"/>
          <w:szCs w:val="18"/>
          <w:lang w:val="es-ES_tradnl"/>
        </w:rPr>
        <w:t>ó</w:t>
      </w:r>
      <w:r>
        <w:rPr>
          <w:spacing w:val="-10"/>
          <w:sz w:val="18"/>
          <w:szCs w:val="18"/>
          <w:lang w:val="es-ES_tradnl"/>
        </w:rPr>
        <w:t xml:space="preserve">n de 19 de agosto </w:t>
      </w:r>
      <w:r>
        <w:rPr>
          <w:sz w:val="18"/>
          <w:szCs w:val="18"/>
          <w:lang w:val="es-ES_tradnl"/>
        </w:rPr>
        <w:t>del 2015. Lo certifico.</w:t>
      </w:r>
    </w:p>
    <w:p w14:paraId="4F67B5AA" w14:textId="77777777" w:rsidR="00591D54" w:rsidRDefault="00591D54">
      <w:pPr>
        <w:shd w:val="clear" w:color="auto" w:fill="FFFFFF"/>
        <w:spacing w:before="202"/>
      </w:pPr>
      <w:r>
        <w:rPr>
          <w:spacing w:val="-4"/>
          <w:sz w:val="18"/>
          <w:szCs w:val="18"/>
          <w:lang w:val="es-ES_tradnl"/>
        </w:rPr>
        <w:t>f.) Pa</w:t>
      </w:r>
      <w:r>
        <w:rPr>
          <w:rFonts w:cs="Times New Roman"/>
          <w:spacing w:val="-4"/>
          <w:sz w:val="18"/>
          <w:szCs w:val="18"/>
          <w:lang w:val="es-ES_tradnl"/>
        </w:rPr>
        <w:t>ú</w:t>
      </w:r>
      <w:r>
        <w:rPr>
          <w:spacing w:val="-4"/>
          <w:sz w:val="18"/>
          <w:szCs w:val="18"/>
          <w:lang w:val="es-ES_tradnl"/>
        </w:rPr>
        <w:t xml:space="preserve">l Prado Chiriboga, </w:t>
      </w:r>
      <w:r>
        <w:rPr>
          <w:b/>
          <w:bCs/>
          <w:spacing w:val="-4"/>
          <w:sz w:val="18"/>
          <w:szCs w:val="18"/>
          <w:lang w:val="es-ES_tradnl"/>
        </w:rPr>
        <w:t>SECRETARIO GENERAL (E).</w:t>
      </w:r>
    </w:p>
    <w:p w14:paraId="4F67B5AB" w14:textId="77777777" w:rsidR="00591D54" w:rsidRDefault="00591D54">
      <w:pPr>
        <w:shd w:val="clear" w:color="auto" w:fill="FFFFFF"/>
        <w:spacing w:before="202" w:line="221"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5AC" w14:textId="77777777" w:rsidR="00591D54" w:rsidRDefault="00591D54">
      <w:pPr>
        <w:shd w:val="clear" w:color="auto" w:fill="FFFFFF"/>
        <w:spacing w:before="202"/>
      </w:pPr>
      <w:r>
        <w:rPr>
          <w:b/>
          <w:bCs/>
          <w:spacing w:val="-6"/>
          <w:sz w:val="18"/>
          <w:szCs w:val="18"/>
          <w:u w:val="single"/>
          <w:lang w:val="es-ES_tradnl"/>
        </w:rPr>
        <w:t>CASO Nro. 0368-11-EP</w:t>
      </w:r>
    </w:p>
    <w:p w14:paraId="4F67B5AD" w14:textId="77777777" w:rsidR="00591D54" w:rsidRDefault="00591D54">
      <w:pPr>
        <w:shd w:val="clear" w:color="auto" w:fill="FFFFFF"/>
        <w:spacing w:before="202" w:line="226" w:lineRule="exact"/>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w:t>
      </w:r>
      <w:r>
        <w:rPr>
          <w:spacing w:val="-7"/>
          <w:sz w:val="18"/>
          <w:szCs w:val="18"/>
          <w:lang w:val="es-ES_tradnl"/>
        </w:rPr>
        <w:t>suscrita por el Juez Patricio Pazmi</w:t>
      </w:r>
      <w:r>
        <w:rPr>
          <w:rFonts w:cs="Times New Roman"/>
          <w:spacing w:val="-7"/>
          <w:sz w:val="18"/>
          <w:szCs w:val="18"/>
          <w:lang w:val="es-ES_tradnl"/>
        </w:rPr>
        <w:t>ñ</w:t>
      </w:r>
      <w:r>
        <w:rPr>
          <w:spacing w:val="-7"/>
          <w:sz w:val="18"/>
          <w:szCs w:val="18"/>
          <w:lang w:val="es-ES_tradnl"/>
        </w:rPr>
        <w:t>o Freire, Presidente de</w:t>
      </w:r>
    </w:p>
    <w:p w14:paraId="4F67B5AE" w14:textId="77777777" w:rsidR="00591D54" w:rsidRDefault="00591D54">
      <w:pPr>
        <w:shd w:val="clear" w:color="auto" w:fill="FFFFFF"/>
        <w:spacing w:before="202" w:line="226" w:lineRule="exact"/>
        <w:jc w:val="both"/>
        <w:sectPr w:rsidR="00591D54">
          <w:type w:val="continuous"/>
          <w:pgSz w:w="11909" w:h="16834"/>
          <w:pgMar w:top="1356" w:right="1309" w:bottom="360" w:left="1308" w:header="720" w:footer="720" w:gutter="0"/>
          <w:cols w:num="2" w:space="720" w:equalWidth="0">
            <w:col w:w="4305" w:space="682"/>
            <w:col w:w="4305"/>
          </w:cols>
          <w:noEndnote/>
        </w:sectPr>
      </w:pPr>
    </w:p>
    <w:p w14:paraId="4F67B5AF"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- 223</w:t>
      </w:r>
    </w:p>
    <w:p w14:paraId="4F67B5B0" w14:textId="77777777" w:rsidR="00591D54" w:rsidRDefault="00591D54">
      <w:pPr>
        <w:shd w:val="clear" w:color="auto" w:fill="FFFFFF"/>
        <w:tabs>
          <w:tab w:val="left" w:pos="5842"/>
        </w:tabs>
        <w:spacing w:after="235"/>
        <w:ind w:left="5"/>
        <w:sectPr w:rsidR="00591D54">
          <w:pgSz w:w="11909" w:h="16834"/>
          <w:pgMar w:top="1359" w:right="1309" w:bottom="360" w:left="1308" w:header="720" w:footer="720" w:gutter="0"/>
          <w:cols w:space="60"/>
          <w:noEndnote/>
        </w:sectPr>
      </w:pPr>
    </w:p>
    <w:p w14:paraId="4F67B5B1" w14:textId="77777777" w:rsidR="00591D54" w:rsidRDefault="00591D54">
      <w:pPr>
        <w:shd w:val="clear" w:color="auto" w:fill="FFFFFF"/>
        <w:spacing w:line="216" w:lineRule="exact"/>
        <w:jc w:val="both"/>
      </w:pPr>
      <w:r>
        <w:rPr>
          <w:spacing w:val="-8"/>
          <w:sz w:val="18"/>
          <w:szCs w:val="18"/>
          <w:lang w:val="es-ES_tradnl"/>
        </w:rPr>
        <w:t>la Corte Constitucional, el d</w:t>
      </w:r>
      <w:r>
        <w:rPr>
          <w:rFonts w:cs="Times New Roman"/>
          <w:spacing w:val="-8"/>
          <w:sz w:val="18"/>
          <w:szCs w:val="18"/>
          <w:lang w:val="es-ES_tradnl"/>
        </w:rPr>
        <w:t>í</w:t>
      </w:r>
      <w:r>
        <w:rPr>
          <w:spacing w:val="-8"/>
          <w:sz w:val="18"/>
          <w:szCs w:val="18"/>
          <w:lang w:val="es-ES_tradnl"/>
        </w:rPr>
        <w:t xml:space="preserve">a viernes 04 de septiembre del </w:t>
      </w:r>
      <w:r>
        <w:rPr>
          <w:sz w:val="18"/>
          <w:szCs w:val="18"/>
          <w:lang w:val="es-ES_tradnl"/>
        </w:rPr>
        <w:t>dos mil quince.- Lo certifico.</w:t>
      </w:r>
    </w:p>
    <w:p w14:paraId="4F67B5B2" w14:textId="77777777" w:rsidR="00591D54" w:rsidRDefault="00591D54">
      <w:pPr>
        <w:shd w:val="clear" w:color="auto" w:fill="FFFFFF"/>
        <w:spacing w:before="216"/>
      </w:pPr>
      <w:r>
        <w:rPr>
          <w:spacing w:val="-4"/>
          <w:sz w:val="18"/>
          <w:szCs w:val="18"/>
          <w:lang w:val="es-ES_tradnl"/>
        </w:rPr>
        <w:t xml:space="preserve">f.) Jaime Pozo Chamorro, </w:t>
      </w:r>
      <w:r>
        <w:rPr>
          <w:b/>
          <w:bCs/>
          <w:spacing w:val="-4"/>
          <w:sz w:val="18"/>
          <w:szCs w:val="18"/>
          <w:lang w:val="es-ES_tradnl"/>
        </w:rPr>
        <w:t>SECRETARIO GENERAL.</w:t>
      </w:r>
    </w:p>
    <w:p w14:paraId="4F67B5B3" w14:textId="77777777" w:rsidR="00591D54" w:rsidRDefault="00591D54">
      <w:pPr>
        <w:shd w:val="clear" w:color="auto" w:fill="FFFFFF"/>
        <w:spacing w:before="192"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5B4" w14:textId="77777777" w:rsidR="00591D54" w:rsidRDefault="00591D54">
      <w:pPr>
        <w:shd w:val="clear" w:color="auto" w:fill="FFFFFF"/>
        <w:spacing w:before="1027" w:line="442" w:lineRule="exact"/>
      </w:pPr>
      <w:r>
        <w:rPr>
          <w:spacing w:val="-6"/>
          <w:sz w:val="18"/>
          <w:szCs w:val="18"/>
          <w:lang w:val="es-ES_tradnl"/>
        </w:rPr>
        <w:t>Quito, D. M., 19 de agosto del 2015</w:t>
      </w:r>
    </w:p>
    <w:p w14:paraId="4F67B5B5" w14:textId="77777777" w:rsidR="00591D54" w:rsidRDefault="00591D54">
      <w:pPr>
        <w:shd w:val="clear" w:color="auto" w:fill="FFFFFF"/>
        <w:spacing w:line="442" w:lineRule="exact"/>
        <w:ind w:left="850"/>
      </w:pPr>
      <w:r>
        <w:rPr>
          <w:b/>
          <w:bCs/>
          <w:spacing w:val="-3"/>
          <w:sz w:val="18"/>
          <w:szCs w:val="18"/>
          <w:u w:val="single"/>
          <w:lang w:val="es-ES_tradnl"/>
        </w:rPr>
        <w:t>SENTENCIA N.</w:t>
      </w:r>
      <w:r>
        <w:rPr>
          <w:rFonts w:cs="Times New Roman"/>
          <w:b/>
          <w:bCs/>
          <w:spacing w:val="-3"/>
          <w:sz w:val="18"/>
          <w:szCs w:val="18"/>
          <w:u w:val="single"/>
          <w:lang w:val="es-ES_tradnl"/>
        </w:rPr>
        <w:t>º</w:t>
      </w:r>
      <w:r>
        <w:rPr>
          <w:b/>
          <w:bCs/>
          <w:spacing w:val="-3"/>
          <w:sz w:val="18"/>
          <w:szCs w:val="18"/>
          <w:u w:val="single"/>
          <w:lang w:val="es-ES_tradnl"/>
        </w:rPr>
        <w:t xml:space="preserve"> 270-15-SEP-CC</w:t>
      </w:r>
    </w:p>
    <w:p w14:paraId="4F67B5B6" w14:textId="77777777" w:rsidR="00591D54" w:rsidRDefault="00591D54">
      <w:pPr>
        <w:shd w:val="clear" w:color="auto" w:fill="FFFFFF"/>
        <w:spacing w:line="442" w:lineRule="exact"/>
        <w:ind w:left="1296"/>
      </w:pPr>
      <w:r>
        <w:rPr>
          <w:b/>
          <w:bCs/>
          <w:spacing w:val="-6"/>
          <w:sz w:val="18"/>
          <w:szCs w:val="18"/>
          <w:u w:val="single"/>
          <w:lang w:val="es-ES_tradnl"/>
        </w:rPr>
        <w:t>CASO N.</w:t>
      </w:r>
      <w:r>
        <w:rPr>
          <w:rFonts w:cs="Times New Roman"/>
          <w:b/>
          <w:bCs/>
          <w:spacing w:val="-6"/>
          <w:sz w:val="18"/>
          <w:szCs w:val="18"/>
          <w:u w:val="single"/>
          <w:lang w:val="es-ES_tradnl"/>
        </w:rPr>
        <w:t>º</w:t>
      </w:r>
      <w:r>
        <w:rPr>
          <w:b/>
          <w:bCs/>
          <w:spacing w:val="-6"/>
          <w:sz w:val="18"/>
          <w:szCs w:val="18"/>
          <w:u w:val="single"/>
          <w:lang w:val="es-ES_tradnl"/>
        </w:rPr>
        <w:t xml:space="preserve"> 1945-11-EP</w:t>
      </w:r>
    </w:p>
    <w:p w14:paraId="4F67B5B7" w14:textId="77777777" w:rsidR="00591D54" w:rsidRDefault="00591D54">
      <w:pPr>
        <w:shd w:val="clear" w:color="auto" w:fill="FFFFFF"/>
        <w:spacing w:line="442" w:lineRule="exact"/>
        <w:ind w:left="293"/>
      </w:pPr>
      <w:r>
        <w:rPr>
          <w:b/>
          <w:bCs/>
          <w:sz w:val="18"/>
          <w:szCs w:val="18"/>
          <w:lang w:val="es-ES_tradnl"/>
        </w:rPr>
        <w:t>CORTE CONSTITUCIONAL DEL ECUADOR</w:t>
      </w:r>
    </w:p>
    <w:p w14:paraId="4F67B5B8" w14:textId="77777777" w:rsidR="00591D54" w:rsidRDefault="00591D54">
      <w:pPr>
        <w:shd w:val="clear" w:color="auto" w:fill="FFFFFF"/>
        <w:spacing w:line="442" w:lineRule="exact"/>
        <w:ind w:left="1334"/>
      </w:pPr>
      <w:r>
        <w:rPr>
          <w:b/>
          <w:bCs/>
          <w:sz w:val="18"/>
          <w:szCs w:val="18"/>
          <w:lang w:val="es-ES_tradnl"/>
        </w:rPr>
        <w:t>I. ANTECEDENTES</w:t>
      </w:r>
    </w:p>
    <w:p w14:paraId="4F67B5B9" w14:textId="77777777" w:rsidR="00591D54" w:rsidRDefault="00591D54">
      <w:pPr>
        <w:shd w:val="clear" w:color="auto" w:fill="FFFFFF"/>
        <w:spacing w:line="442" w:lineRule="exact"/>
      </w:pPr>
      <w:r>
        <w:rPr>
          <w:b/>
          <w:bCs/>
          <w:spacing w:val="-9"/>
          <w:sz w:val="18"/>
          <w:szCs w:val="18"/>
          <w:lang w:val="es-ES_tradnl"/>
        </w:rPr>
        <w:t>Resumen de admisibilidad</w:t>
      </w:r>
    </w:p>
    <w:p w14:paraId="4F67B5BA" w14:textId="77777777" w:rsidR="00591D54" w:rsidRDefault="00591D54">
      <w:pPr>
        <w:shd w:val="clear" w:color="auto" w:fill="FFFFFF"/>
        <w:spacing w:before="173" w:line="226" w:lineRule="exact"/>
        <w:ind w:right="5"/>
        <w:jc w:val="both"/>
      </w:pPr>
      <w:r>
        <w:rPr>
          <w:spacing w:val="-6"/>
          <w:sz w:val="18"/>
          <w:szCs w:val="18"/>
          <w:lang w:val="es-ES_tradnl"/>
        </w:rPr>
        <w:t xml:space="preserve">El 6 de septiembre de 2011, el abogado Christian Molina </w:t>
      </w:r>
      <w:r>
        <w:rPr>
          <w:spacing w:val="-3"/>
          <w:sz w:val="18"/>
          <w:szCs w:val="18"/>
          <w:lang w:val="es-ES_tradnl"/>
        </w:rPr>
        <w:t>Rom</w:t>
      </w:r>
      <w:r>
        <w:rPr>
          <w:rFonts w:cs="Times New Roman"/>
          <w:spacing w:val="-3"/>
          <w:sz w:val="18"/>
          <w:szCs w:val="18"/>
          <w:lang w:val="es-ES_tradnl"/>
        </w:rPr>
        <w:t>á</w:t>
      </w:r>
      <w:r>
        <w:rPr>
          <w:spacing w:val="-3"/>
          <w:sz w:val="18"/>
          <w:szCs w:val="18"/>
          <w:lang w:val="es-ES_tradnl"/>
        </w:rPr>
        <w:t>n, autorizado por el doctor Wladimir L</w:t>
      </w:r>
      <w:r>
        <w:rPr>
          <w:rFonts w:cs="Times New Roman"/>
          <w:spacing w:val="-3"/>
          <w:sz w:val="18"/>
          <w:szCs w:val="18"/>
          <w:lang w:val="es-ES_tradnl"/>
        </w:rPr>
        <w:t>ó</w:t>
      </w:r>
      <w:r>
        <w:rPr>
          <w:spacing w:val="-3"/>
          <w:sz w:val="18"/>
          <w:szCs w:val="18"/>
          <w:lang w:val="es-ES_tradnl"/>
        </w:rPr>
        <w:t xml:space="preserve">pez Erazo </w:t>
      </w:r>
      <w:r>
        <w:rPr>
          <w:spacing w:val="-7"/>
          <w:sz w:val="18"/>
          <w:szCs w:val="18"/>
          <w:lang w:val="es-ES_tradnl"/>
        </w:rPr>
        <w:t>en su calidad de abogado de patrocinio (e) de la Empresa P</w:t>
      </w:r>
      <w:r>
        <w:rPr>
          <w:rFonts w:cs="Times New Roman"/>
          <w:spacing w:val="-7"/>
          <w:sz w:val="18"/>
          <w:szCs w:val="18"/>
          <w:lang w:val="es-ES_tradnl"/>
        </w:rPr>
        <w:t>ú</w:t>
      </w:r>
      <w:r>
        <w:rPr>
          <w:spacing w:val="-7"/>
          <w:sz w:val="18"/>
          <w:szCs w:val="18"/>
          <w:lang w:val="es-ES_tradnl"/>
        </w:rPr>
        <w:t>blica Petroecuador y apoderado del gerente general de la misma, present</w:t>
      </w:r>
      <w:r>
        <w:rPr>
          <w:rFonts w:cs="Times New Roman"/>
          <w:spacing w:val="-7"/>
          <w:sz w:val="18"/>
          <w:szCs w:val="18"/>
          <w:lang w:val="es-ES_tradnl"/>
        </w:rPr>
        <w:t>ó</w:t>
      </w:r>
      <w:r>
        <w:rPr>
          <w:spacing w:val="-7"/>
          <w:sz w:val="18"/>
          <w:szCs w:val="18"/>
          <w:lang w:val="es-ES_tradnl"/>
        </w:rPr>
        <w:t xml:space="preserve"> acci</w:t>
      </w:r>
      <w:r>
        <w:rPr>
          <w:rFonts w:cs="Times New Roman"/>
          <w:spacing w:val="-7"/>
          <w:sz w:val="18"/>
          <w:szCs w:val="18"/>
          <w:lang w:val="es-ES_tradnl"/>
        </w:rPr>
        <w:t>ó</w:t>
      </w:r>
      <w:r>
        <w:rPr>
          <w:spacing w:val="-7"/>
          <w:sz w:val="18"/>
          <w:szCs w:val="18"/>
          <w:lang w:val="es-ES_tradnl"/>
        </w:rPr>
        <w:t>n extraordinaria de protecci</w:t>
      </w:r>
      <w:r>
        <w:rPr>
          <w:rFonts w:cs="Times New Roman"/>
          <w:spacing w:val="-7"/>
          <w:sz w:val="18"/>
          <w:szCs w:val="18"/>
          <w:lang w:val="es-ES_tradnl"/>
        </w:rPr>
        <w:t>ó</w:t>
      </w:r>
      <w:r>
        <w:rPr>
          <w:spacing w:val="-7"/>
          <w:sz w:val="18"/>
          <w:szCs w:val="18"/>
          <w:lang w:val="es-ES_tradnl"/>
        </w:rPr>
        <w:t xml:space="preserve">n en </w:t>
      </w:r>
      <w:r>
        <w:rPr>
          <w:spacing w:val="-11"/>
          <w:sz w:val="18"/>
          <w:szCs w:val="18"/>
          <w:lang w:val="es-ES_tradnl"/>
        </w:rPr>
        <w:t xml:space="preserve">contra del auto dictado el 5 de agosto de 2011, por el Tribunal </w:t>
      </w:r>
      <w:r>
        <w:rPr>
          <w:spacing w:val="-6"/>
          <w:sz w:val="18"/>
          <w:szCs w:val="18"/>
          <w:lang w:val="es-ES_tradnl"/>
        </w:rPr>
        <w:t>Arbitral de la C</w:t>
      </w:r>
      <w:r>
        <w:rPr>
          <w:rFonts w:cs="Times New Roman"/>
          <w:spacing w:val="-6"/>
          <w:sz w:val="18"/>
          <w:szCs w:val="18"/>
          <w:lang w:val="es-ES_tradnl"/>
        </w:rPr>
        <w:t>á</w:t>
      </w:r>
      <w:r>
        <w:rPr>
          <w:spacing w:val="-6"/>
          <w:sz w:val="18"/>
          <w:szCs w:val="18"/>
          <w:lang w:val="es-ES_tradnl"/>
        </w:rPr>
        <w:t>mara de Comercio de Quito, que resolvi</w:t>
      </w:r>
      <w:r>
        <w:rPr>
          <w:rFonts w:cs="Times New Roman"/>
          <w:spacing w:val="-6"/>
          <w:sz w:val="18"/>
          <w:szCs w:val="18"/>
          <w:lang w:val="es-ES_tradnl"/>
        </w:rPr>
        <w:t xml:space="preserve">ó </w:t>
      </w:r>
      <w:r>
        <w:rPr>
          <w:spacing w:val="-6"/>
          <w:sz w:val="18"/>
          <w:szCs w:val="18"/>
          <w:lang w:val="es-ES_tradnl"/>
        </w:rPr>
        <w:t xml:space="preserve">negar la solicitud de revocatoria de la providencia emitida </w:t>
      </w:r>
      <w:r>
        <w:rPr>
          <w:spacing w:val="-7"/>
          <w:sz w:val="18"/>
          <w:szCs w:val="18"/>
          <w:lang w:val="es-ES_tradnl"/>
        </w:rPr>
        <w:t xml:space="preserve">el 26 de julio del 2011, en la cual dispuso que en virtud de </w:t>
      </w:r>
      <w:r>
        <w:rPr>
          <w:spacing w:val="-8"/>
          <w:sz w:val="18"/>
          <w:szCs w:val="18"/>
          <w:lang w:val="es-ES_tradnl"/>
        </w:rPr>
        <w:t>la acci</w:t>
      </w:r>
      <w:r>
        <w:rPr>
          <w:rFonts w:cs="Times New Roman"/>
          <w:spacing w:val="-8"/>
          <w:sz w:val="18"/>
          <w:szCs w:val="18"/>
          <w:lang w:val="es-ES_tradnl"/>
        </w:rPr>
        <w:t>ó</w:t>
      </w:r>
      <w:r>
        <w:rPr>
          <w:spacing w:val="-8"/>
          <w:sz w:val="18"/>
          <w:szCs w:val="18"/>
          <w:lang w:val="es-ES_tradnl"/>
        </w:rPr>
        <w:t xml:space="preserve">n de nulidad de laudo arbitral interpuesta, se realice </w:t>
      </w:r>
      <w:r>
        <w:rPr>
          <w:spacing w:val="-9"/>
          <w:sz w:val="18"/>
          <w:szCs w:val="18"/>
          <w:lang w:val="es-ES_tradnl"/>
        </w:rPr>
        <w:t>el pago de la cauci</w:t>
      </w:r>
      <w:r>
        <w:rPr>
          <w:rFonts w:cs="Times New Roman"/>
          <w:spacing w:val="-9"/>
          <w:sz w:val="18"/>
          <w:szCs w:val="18"/>
          <w:lang w:val="es-ES_tradnl"/>
        </w:rPr>
        <w:t>ó</w:t>
      </w:r>
      <w:r>
        <w:rPr>
          <w:spacing w:val="-9"/>
          <w:sz w:val="18"/>
          <w:szCs w:val="18"/>
          <w:lang w:val="es-ES_tradnl"/>
        </w:rPr>
        <w:t>n que la fij</w:t>
      </w:r>
      <w:r>
        <w:rPr>
          <w:rFonts w:cs="Times New Roman"/>
          <w:spacing w:val="-9"/>
          <w:sz w:val="18"/>
          <w:szCs w:val="18"/>
          <w:lang w:val="es-ES_tradnl"/>
        </w:rPr>
        <w:t>ó</w:t>
      </w:r>
      <w:r>
        <w:rPr>
          <w:spacing w:val="-9"/>
          <w:sz w:val="18"/>
          <w:szCs w:val="18"/>
          <w:lang w:val="es-ES_tradnl"/>
        </w:rPr>
        <w:t xml:space="preserve"> en </w:t>
      </w:r>
      <w:r>
        <w:rPr>
          <w:b/>
          <w:bCs/>
          <w:spacing w:val="-9"/>
          <w:sz w:val="18"/>
          <w:szCs w:val="18"/>
          <w:lang w:val="es-ES_tradnl"/>
        </w:rPr>
        <w:t xml:space="preserve">doscientos cuarenta y </w:t>
      </w:r>
      <w:r>
        <w:rPr>
          <w:b/>
          <w:bCs/>
          <w:spacing w:val="-11"/>
          <w:sz w:val="18"/>
          <w:szCs w:val="18"/>
          <w:lang w:val="es-ES_tradnl"/>
        </w:rPr>
        <w:t xml:space="preserve">cuatro mil setecientos setenta y uno </w:t>
      </w:r>
      <w:r>
        <w:rPr>
          <w:spacing w:val="-11"/>
          <w:sz w:val="18"/>
          <w:szCs w:val="18"/>
          <w:lang w:val="es-ES_tradnl"/>
        </w:rPr>
        <w:t>80/100 d</w:t>
      </w:r>
      <w:r>
        <w:rPr>
          <w:rFonts w:cs="Times New Roman"/>
          <w:spacing w:val="-11"/>
          <w:sz w:val="18"/>
          <w:szCs w:val="18"/>
          <w:lang w:val="es-ES_tradnl"/>
        </w:rPr>
        <w:t>ó</w:t>
      </w:r>
      <w:r>
        <w:rPr>
          <w:spacing w:val="-11"/>
          <w:sz w:val="18"/>
          <w:szCs w:val="18"/>
          <w:lang w:val="es-ES_tradnl"/>
        </w:rPr>
        <w:t xml:space="preserve">lares de los </w:t>
      </w:r>
      <w:r>
        <w:rPr>
          <w:spacing w:val="-10"/>
          <w:sz w:val="18"/>
          <w:szCs w:val="18"/>
          <w:lang w:val="es-ES_tradnl"/>
        </w:rPr>
        <w:t>Estados Unidos de Norteam</w:t>
      </w:r>
      <w:r>
        <w:rPr>
          <w:rFonts w:cs="Times New Roman"/>
          <w:spacing w:val="-10"/>
          <w:sz w:val="18"/>
          <w:szCs w:val="18"/>
          <w:lang w:val="es-ES_tradnl"/>
        </w:rPr>
        <w:t>é</w:t>
      </w:r>
      <w:r>
        <w:rPr>
          <w:spacing w:val="-10"/>
          <w:sz w:val="18"/>
          <w:szCs w:val="18"/>
          <w:lang w:val="es-ES_tradnl"/>
        </w:rPr>
        <w:t xml:space="preserve">rica ( $ 244.771,80 USD), para </w:t>
      </w:r>
      <w:r>
        <w:rPr>
          <w:sz w:val="18"/>
          <w:szCs w:val="18"/>
          <w:lang w:val="es-ES_tradnl"/>
        </w:rPr>
        <w:t>suspender los efectos del laudo arbitral.</w:t>
      </w:r>
    </w:p>
    <w:p w14:paraId="4F67B5BB" w14:textId="77777777" w:rsidR="00591D54" w:rsidRDefault="00591D54">
      <w:pPr>
        <w:shd w:val="clear" w:color="auto" w:fill="FFFFFF"/>
        <w:spacing w:before="211" w:line="226" w:lineRule="exact"/>
        <w:ind w:right="5"/>
        <w:jc w:val="both"/>
      </w:pPr>
      <w:r>
        <w:rPr>
          <w:spacing w:val="-6"/>
          <w:sz w:val="18"/>
          <w:szCs w:val="18"/>
          <w:lang w:val="es-ES_tradnl"/>
        </w:rPr>
        <w:t>La Secretar</w:t>
      </w:r>
      <w:r>
        <w:rPr>
          <w:rFonts w:cs="Times New Roman"/>
          <w:spacing w:val="-6"/>
          <w:sz w:val="18"/>
          <w:szCs w:val="18"/>
          <w:lang w:val="es-ES_tradnl"/>
        </w:rPr>
        <w:t>í</w:t>
      </w:r>
      <w:r>
        <w:rPr>
          <w:spacing w:val="-6"/>
          <w:sz w:val="18"/>
          <w:szCs w:val="18"/>
          <w:lang w:val="es-ES_tradnl"/>
        </w:rPr>
        <w:t xml:space="preserve">a General de la Corte Constitucional, para el </w:t>
      </w:r>
      <w:r>
        <w:rPr>
          <w:spacing w:val="-7"/>
          <w:sz w:val="18"/>
          <w:szCs w:val="18"/>
          <w:lang w:val="es-ES_tradnl"/>
        </w:rPr>
        <w:t>per</w:t>
      </w:r>
      <w:r>
        <w:rPr>
          <w:rFonts w:cs="Times New Roman"/>
          <w:spacing w:val="-7"/>
          <w:sz w:val="18"/>
          <w:szCs w:val="18"/>
          <w:lang w:val="es-ES_tradnl"/>
        </w:rPr>
        <w:t>í</w:t>
      </w:r>
      <w:r>
        <w:rPr>
          <w:spacing w:val="-7"/>
          <w:sz w:val="18"/>
          <w:szCs w:val="18"/>
          <w:lang w:val="es-ES_tradnl"/>
        </w:rPr>
        <w:t>odo de transici</w:t>
      </w:r>
      <w:r>
        <w:rPr>
          <w:rFonts w:cs="Times New Roman"/>
          <w:spacing w:val="-7"/>
          <w:sz w:val="18"/>
          <w:szCs w:val="18"/>
          <w:lang w:val="es-ES_tradnl"/>
        </w:rPr>
        <w:t>ó</w:t>
      </w:r>
      <w:r>
        <w:rPr>
          <w:spacing w:val="-7"/>
          <w:sz w:val="18"/>
          <w:szCs w:val="18"/>
          <w:lang w:val="es-ES_tradnl"/>
        </w:rPr>
        <w:t>n, el 1 de noviembre de 2011, certific</w:t>
      </w:r>
      <w:r>
        <w:rPr>
          <w:rFonts w:cs="Times New Roman"/>
          <w:spacing w:val="-7"/>
          <w:sz w:val="18"/>
          <w:szCs w:val="18"/>
          <w:lang w:val="es-ES_tradnl"/>
        </w:rPr>
        <w:t xml:space="preserve">ó </w:t>
      </w:r>
      <w:r>
        <w:rPr>
          <w:spacing w:val="-6"/>
          <w:sz w:val="18"/>
          <w:szCs w:val="18"/>
          <w:lang w:val="es-ES_tradnl"/>
        </w:rPr>
        <w:t>que en referencia a la acci</w:t>
      </w:r>
      <w:r>
        <w:rPr>
          <w:rFonts w:cs="Times New Roman"/>
          <w:spacing w:val="-6"/>
          <w:sz w:val="18"/>
          <w:szCs w:val="18"/>
          <w:lang w:val="es-ES_tradnl"/>
        </w:rPr>
        <w:t>ó</w:t>
      </w:r>
      <w:r>
        <w:rPr>
          <w:spacing w:val="-6"/>
          <w:sz w:val="18"/>
          <w:szCs w:val="18"/>
          <w:lang w:val="es-ES_tradnl"/>
        </w:rPr>
        <w:t>n N.</w:t>
      </w:r>
      <w:r>
        <w:rPr>
          <w:rFonts w:cs="Times New Roman"/>
          <w:spacing w:val="-6"/>
          <w:sz w:val="18"/>
          <w:szCs w:val="18"/>
          <w:lang w:val="es-ES_tradnl"/>
        </w:rPr>
        <w:t>º</w:t>
      </w:r>
      <w:r>
        <w:rPr>
          <w:spacing w:val="-6"/>
          <w:sz w:val="18"/>
          <w:szCs w:val="18"/>
          <w:lang w:val="es-ES_tradnl"/>
        </w:rPr>
        <w:t xml:space="preserve"> 1945-11-EP, no se ha </w:t>
      </w:r>
      <w:r>
        <w:rPr>
          <w:spacing w:val="-9"/>
          <w:sz w:val="18"/>
          <w:szCs w:val="18"/>
          <w:lang w:val="es-ES_tradnl"/>
        </w:rPr>
        <w:t>presentado otra demanda con identidad de objeto y acci</w:t>
      </w:r>
      <w:r>
        <w:rPr>
          <w:rFonts w:cs="Times New Roman"/>
          <w:spacing w:val="-9"/>
          <w:sz w:val="18"/>
          <w:szCs w:val="18"/>
          <w:lang w:val="es-ES_tradnl"/>
        </w:rPr>
        <w:t>ó</w:t>
      </w:r>
      <w:r>
        <w:rPr>
          <w:spacing w:val="-9"/>
          <w:sz w:val="18"/>
          <w:szCs w:val="18"/>
          <w:lang w:val="es-ES_tradnl"/>
        </w:rPr>
        <w:t>n.</w:t>
      </w:r>
    </w:p>
    <w:p w14:paraId="4F67B5BC" w14:textId="77777777" w:rsidR="00591D54" w:rsidRDefault="00591D54">
      <w:pPr>
        <w:shd w:val="clear" w:color="auto" w:fill="FFFFFF"/>
        <w:spacing w:before="206" w:line="226" w:lineRule="exact"/>
        <w:ind w:right="5"/>
        <w:jc w:val="both"/>
      </w:pPr>
      <w:r>
        <w:rPr>
          <w:sz w:val="18"/>
          <w:szCs w:val="18"/>
          <w:lang w:val="es-ES_tradnl"/>
        </w:rPr>
        <w:t>La Sala de Admisi</w:t>
      </w:r>
      <w:r>
        <w:rPr>
          <w:rFonts w:cs="Times New Roman"/>
          <w:sz w:val="18"/>
          <w:szCs w:val="18"/>
          <w:lang w:val="es-ES_tradnl"/>
        </w:rPr>
        <w:t>ó</w:t>
      </w:r>
      <w:r>
        <w:rPr>
          <w:sz w:val="18"/>
          <w:szCs w:val="18"/>
          <w:lang w:val="es-ES_tradnl"/>
        </w:rPr>
        <w:t xml:space="preserve">n de la Corte Constitucional, para </w:t>
      </w:r>
      <w:r>
        <w:rPr>
          <w:spacing w:val="-7"/>
          <w:sz w:val="18"/>
          <w:szCs w:val="18"/>
          <w:lang w:val="es-ES_tradnl"/>
        </w:rPr>
        <w:t>el per</w:t>
      </w:r>
      <w:r>
        <w:rPr>
          <w:rFonts w:cs="Times New Roman"/>
          <w:spacing w:val="-7"/>
          <w:sz w:val="18"/>
          <w:szCs w:val="18"/>
          <w:lang w:val="es-ES_tradnl"/>
        </w:rPr>
        <w:t>í</w:t>
      </w:r>
      <w:r>
        <w:rPr>
          <w:spacing w:val="-7"/>
          <w:sz w:val="18"/>
          <w:szCs w:val="18"/>
          <w:lang w:val="es-ES_tradnl"/>
        </w:rPr>
        <w:t>odo de transici</w:t>
      </w:r>
      <w:r>
        <w:rPr>
          <w:rFonts w:cs="Times New Roman"/>
          <w:spacing w:val="-7"/>
          <w:sz w:val="18"/>
          <w:szCs w:val="18"/>
          <w:lang w:val="es-ES_tradnl"/>
        </w:rPr>
        <w:t>ó</w:t>
      </w:r>
      <w:r>
        <w:rPr>
          <w:spacing w:val="-7"/>
          <w:sz w:val="18"/>
          <w:szCs w:val="18"/>
          <w:lang w:val="es-ES_tradnl"/>
        </w:rPr>
        <w:t xml:space="preserve">n, conformada por los jueces </w:t>
      </w:r>
      <w:r>
        <w:rPr>
          <w:spacing w:val="-3"/>
          <w:sz w:val="18"/>
          <w:szCs w:val="18"/>
          <w:lang w:val="es-ES_tradnl"/>
        </w:rPr>
        <w:t>constitucionales Patricio Pazmi</w:t>
      </w:r>
      <w:r>
        <w:rPr>
          <w:rFonts w:cs="Times New Roman"/>
          <w:spacing w:val="-3"/>
          <w:sz w:val="18"/>
          <w:szCs w:val="18"/>
          <w:lang w:val="es-ES_tradnl"/>
        </w:rPr>
        <w:t>ñ</w:t>
      </w:r>
      <w:r>
        <w:rPr>
          <w:spacing w:val="-3"/>
          <w:sz w:val="18"/>
          <w:szCs w:val="18"/>
          <w:lang w:val="es-ES_tradnl"/>
        </w:rPr>
        <w:t xml:space="preserve">o Freire, Alfonso Luz </w:t>
      </w:r>
      <w:r>
        <w:rPr>
          <w:spacing w:val="-11"/>
          <w:sz w:val="18"/>
          <w:szCs w:val="18"/>
          <w:lang w:val="es-ES_tradnl"/>
        </w:rPr>
        <w:t>Yunes y Nina Pacari Vega, el 7 de diciembre de 2011, avoc</w:t>
      </w:r>
      <w:r>
        <w:rPr>
          <w:rFonts w:cs="Times New Roman"/>
          <w:spacing w:val="-11"/>
          <w:sz w:val="18"/>
          <w:szCs w:val="18"/>
          <w:lang w:val="es-ES_tradnl"/>
        </w:rPr>
        <w:t xml:space="preserve">ó </w:t>
      </w:r>
      <w:r>
        <w:rPr>
          <w:spacing w:val="-8"/>
          <w:sz w:val="18"/>
          <w:szCs w:val="18"/>
          <w:lang w:val="es-ES_tradnl"/>
        </w:rPr>
        <w:t>conocimiento de la causa N.</w:t>
      </w:r>
      <w:r>
        <w:rPr>
          <w:rFonts w:cs="Times New Roman"/>
          <w:spacing w:val="-8"/>
          <w:sz w:val="18"/>
          <w:szCs w:val="18"/>
          <w:lang w:val="es-ES_tradnl"/>
        </w:rPr>
        <w:t>º</w:t>
      </w:r>
      <w:r>
        <w:rPr>
          <w:spacing w:val="-8"/>
          <w:sz w:val="18"/>
          <w:szCs w:val="18"/>
          <w:lang w:val="es-ES_tradnl"/>
        </w:rPr>
        <w:t xml:space="preserve"> 1945-11-EP y dispuso que el accionante aclare y complete su demanda de conformidad </w:t>
      </w:r>
      <w:r>
        <w:rPr>
          <w:spacing w:val="-11"/>
          <w:sz w:val="18"/>
          <w:szCs w:val="18"/>
          <w:lang w:val="es-ES_tradnl"/>
        </w:rPr>
        <w:t>con el art</w:t>
      </w:r>
      <w:r>
        <w:rPr>
          <w:rFonts w:cs="Times New Roman"/>
          <w:spacing w:val="-11"/>
          <w:sz w:val="18"/>
          <w:szCs w:val="18"/>
          <w:lang w:val="es-ES_tradnl"/>
        </w:rPr>
        <w:t>í</w:t>
      </w:r>
      <w:r>
        <w:rPr>
          <w:spacing w:val="-11"/>
          <w:sz w:val="18"/>
          <w:szCs w:val="18"/>
          <w:lang w:val="es-ES_tradnl"/>
        </w:rPr>
        <w:t>culo 61 numeral 5 de la Ley Org</w:t>
      </w:r>
      <w:r>
        <w:rPr>
          <w:rFonts w:cs="Times New Roman"/>
          <w:spacing w:val="-11"/>
          <w:sz w:val="18"/>
          <w:szCs w:val="18"/>
          <w:lang w:val="es-ES_tradnl"/>
        </w:rPr>
        <w:t>á</w:t>
      </w:r>
      <w:r>
        <w:rPr>
          <w:spacing w:val="-11"/>
          <w:sz w:val="18"/>
          <w:szCs w:val="18"/>
          <w:lang w:val="es-ES_tradnl"/>
        </w:rPr>
        <w:t>nica de Garant</w:t>
      </w:r>
      <w:r>
        <w:rPr>
          <w:rFonts w:cs="Times New Roman"/>
          <w:spacing w:val="-11"/>
          <w:sz w:val="18"/>
          <w:szCs w:val="18"/>
          <w:lang w:val="es-ES_tradnl"/>
        </w:rPr>
        <w:t>í</w:t>
      </w:r>
      <w:r>
        <w:rPr>
          <w:spacing w:val="-11"/>
          <w:sz w:val="18"/>
          <w:szCs w:val="18"/>
          <w:lang w:val="es-ES_tradnl"/>
        </w:rPr>
        <w:t xml:space="preserve">as </w:t>
      </w:r>
      <w:r>
        <w:rPr>
          <w:spacing w:val="-4"/>
          <w:sz w:val="18"/>
          <w:szCs w:val="18"/>
          <w:lang w:val="es-ES_tradnl"/>
        </w:rPr>
        <w:t xml:space="preserve">Jurisdiccionales y Control Constitucional, esto es, que </w:t>
      </w:r>
      <w:r>
        <w:rPr>
          <w:spacing w:val="-7"/>
          <w:sz w:val="18"/>
          <w:szCs w:val="18"/>
          <w:lang w:val="es-ES_tradnl"/>
        </w:rPr>
        <w:t xml:space="preserve">justifique argumentadamente el derecho constitucional </w:t>
      </w:r>
      <w:r>
        <w:rPr>
          <w:spacing w:val="-5"/>
          <w:sz w:val="18"/>
          <w:szCs w:val="18"/>
          <w:lang w:val="es-ES_tradnl"/>
        </w:rPr>
        <w:t>vulnerado y su relaci</w:t>
      </w:r>
      <w:r>
        <w:rPr>
          <w:rFonts w:cs="Times New Roman"/>
          <w:spacing w:val="-5"/>
          <w:sz w:val="18"/>
          <w:szCs w:val="18"/>
          <w:lang w:val="es-ES_tradnl"/>
        </w:rPr>
        <w:t>ó</w:t>
      </w:r>
      <w:r>
        <w:rPr>
          <w:spacing w:val="-5"/>
          <w:sz w:val="18"/>
          <w:szCs w:val="18"/>
          <w:lang w:val="es-ES_tradnl"/>
        </w:rPr>
        <w:t>n con la acci</w:t>
      </w:r>
      <w:r>
        <w:rPr>
          <w:rFonts w:cs="Times New Roman"/>
          <w:spacing w:val="-5"/>
          <w:sz w:val="18"/>
          <w:szCs w:val="18"/>
          <w:lang w:val="es-ES_tradnl"/>
        </w:rPr>
        <w:t>ó</w:t>
      </w:r>
      <w:r>
        <w:rPr>
          <w:spacing w:val="-5"/>
          <w:sz w:val="18"/>
          <w:szCs w:val="18"/>
          <w:lang w:val="es-ES_tradnl"/>
        </w:rPr>
        <w:t>n u omisi</w:t>
      </w:r>
      <w:r>
        <w:rPr>
          <w:rFonts w:cs="Times New Roman"/>
          <w:spacing w:val="-5"/>
          <w:sz w:val="18"/>
          <w:szCs w:val="18"/>
          <w:lang w:val="es-ES_tradnl"/>
        </w:rPr>
        <w:t>ó</w:t>
      </w:r>
      <w:r>
        <w:rPr>
          <w:spacing w:val="-5"/>
          <w:sz w:val="18"/>
          <w:szCs w:val="18"/>
          <w:lang w:val="es-ES_tradnl"/>
        </w:rPr>
        <w:t xml:space="preserve">n de la </w:t>
      </w:r>
      <w:r>
        <w:rPr>
          <w:spacing w:val="-4"/>
          <w:sz w:val="18"/>
          <w:szCs w:val="18"/>
          <w:lang w:val="es-ES_tradnl"/>
        </w:rPr>
        <w:t>autoridad judicial. Dicha disposici</w:t>
      </w:r>
      <w:r>
        <w:rPr>
          <w:rFonts w:cs="Times New Roman"/>
          <w:spacing w:val="-4"/>
          <w:sz w:val="18"/>
          <w:szCs w:val="18"/>
          <w:lang w:val="es-ES_tradnl"/>
        </w:rPr>
        <w:t>ó</w:t>
      </w:r>
      <w:r>
        <w:rPr>
          <w:spacing w:val="-4"/>
          <w:sz w:val="18"/>
          <w:szCs w:val="18"/>
          <w:lang w:val="es-ES_tradnl"/>
        </w:rPr>
        <w:t xml:space="preserve">n fue cumplida por el </w:t>
      </w:r>
      <w:r>
        <w:rPr>
          <w:spacing w:val="-12"/>
          <w:sz w:val="18"/>
          <w:szCs w:val="18"/>
          <w:lang w:val="es-ES_tradnl"/>
        </w:rPr>
        <w:t>accionante el 18 de enero de 2012, seg</w:t>
      </w:r>
      <w:r>
        <w:rPr>
          <w:rFonts w:cs="Times New Roman"/>
          <w:spacing w:val="-12"/>
          <w:sz w:val="18"/>
          <w:szCs w:val="18"/>
          <w:lang w:val="es-ES_tradnl"/>
        </w:rPr>
        <w:t>ú</w:t>
      </w:r>
      <w:r>
        <w:rPr>
          <w:spacing w:val="-12"/>
          <w:sz w:val="18"/>
          <w:szCs w:val="18"/>
          <w:lang w:val="es-ES_tradnl"/>
        </w:rPr>
        <w:t xml:space="preserve">n consta el escrito de </w:t>
      </w:r>
      <w:r>
        <w:rPr>
          <w:spacing w:val="-10"/>
          <w:sz w:val="18"/>
          <w:szCs w:val="18"/>
          <w:lang w:val="es-ES_tradnl"/>
        </w:rPr>
        <w:t>aclaraci</w:t>
      </w:r>
      <w:r>
        <w:rPr>
          <w:rFonts w:cs="Times New Roman"/>
          <w:spacing w:val="-10"/>
          <w:sz w:val="18"/>
          <w:szCs w:val="18"/>
          <w:lang w:val="es-ES_tradnl"/>
        </w:rPr>
        <w:t>ó</w:t>
      </w:r>
      <w:r>
        <w:rPr>
          <w:spacing w:val="-10"/>
          <w:sz w:val="18"/>
          <w:szCs w:val="18"/>
          <w:lang w:val="es-ES_tradnl"/>
        </w:rPr>
        <w:t xml:space="preserve">n, conforme consta de fojas 13 a 17 del expediente </w:t>
      </w:r>
      <w:r>
        <w:rPr>
          <w:sz w:val="18"/>
          <w:szCs w:val="18"/>
          <w:lang w:val="es-ES_tradnl"/>
        </w:rPr>
        <w:t>constitucional.</w:t>
      </w:r>
    </w:p>
    <w:p w14:paraId="4F67B5BD" w14:textId="77777777" w:rsidR="00591D54" w:rsidRDefault="00591D54">
      <w:pPr>
        <w:shd w:val="clear" w:color="auto" w:fill="FFFFFF"/>
        <w:spacing w:line="216" w:lineRule="exact"/>
        <w:jc w:val="both"/>
      </w:pPr>
      <w:r>
        <w:br w:type="column"/>
      </w:r>
      <w:r>
        <w:rPr>
          <w:sz w:val="18"/>
          <w:szCs w:val="18"/>
          <w:lang w:val="es-ES_tradnl"/>
        </w:rPr>
        <w:t>La Sala de Admisi</w:t>
      </w:r>
      <w:r>
        <w:rPr>
          <w:rFonts w:cs="Times New Roman"/>
          <w:sz w:val="18"/>
          <w:szCs w:val="18"/>
          <w:lang w:val="es-ES_tradnl"/>
        </w:rPr>
        <w:t>ó</w:t>
      </w:r>
      <w:r>
        <w:rPr>
          <w:sz w:val="18"/>
          <w:szCs w:val="18"/>
          <w:lang w:val="es-ES_tradnl"/>
        </w:rPr>
        <w:t xml:space="preserve">n de la Corte Constitucional, para </w:t>
      </w:r>
      <w:r>
        <w:rPr>
          <w:spacing w:val="-6"/>
          <w:sz w:val="18"/>
          <w:szCs w:val="18"/>
          <w:lang w:val="es-ES_tradnl"/>
        </w:rPr>
        <w:t>el per</w:t>
      </w:r>
      <w:r>
        <w:rPr>
          <w:rFonts w:cs="Times New Roman"/>
          <w:spacing w:val="-6"/>
          <w:sz w:val="18"/>
          <w:szCs w:val="18"/>
          <w:lang w:val="es-ES_tradnl"/>
        </w:rPr>
        <w:t>í</w:t>
      </w:r>
      <w:r>
        <w:rPr>
          <w:spacing w:val="-6"/>
          <w:sz w:val="18"/>
          <w:szCs w:val="18"/>
          <w:lang w:val="es-ES_tradnl"/>
        </w:rPr>
        <w:t>odo de transici</w:t>
      </w:r>
      <w:r>
        <w:rPr>
          <w:rFonts w:cs="Times New Roman"/>
          <w:spacing w:val="-6"/>
          <w:sz w:val="18"/>
          <w:szCs w:val="18"/>
          <w:lang w:val="es-ES_tradnl"/>
        </w:rPr>
        <w:t>ó</w:t>
      </w:r>
      <w:r>
        <w:rPr>
          <w:spacing w:val="-6"/>
          <w:sz w:val="18"/>
          <w:szCs w:val="18"/>
          <w:lang w:val="es-ES_tradnl"/>
        </w:rPr>
        <w:t xml:space="preserve">n, conformada por los jueces </w:t>
      </w:r>
      <w:r>
        <w:rPr>
          <w:spacing w:val="-5"/>
          <w:sz w:val="18"/>
          <w:szCs w:val="18"/>
          <w:lang w:val="es-ES_tradnl"/>
        </w:rPr>
        <w:t>constitucionales Patricio Pazmi</w:t>
      </w:r>
      <w:r>
        <w:rPr>
          <w:rFonts w:cs="Times New Roman"/>
          <w:spacing w:val="-5"/>
          <w:sz w:val="18"/>
          <w:szCs w:val="18"/>
          <w:lang w:val="es-ES_tradnl"/>
        </w:rPr>
        <w:t>ñ</w:t>
      </w:r>
      <w:r>
        <w:rPr>
          <w:spacing w:val="-5"/>
          <w:sz w:val="18"/>
          <w:szCs w:val="18"/>
          <w:lang w:val="es-ES_tradnl"/>
        </w:rPr>
        <w:t>o Freire, Edgar Z</w:t>
      </w:r>
      <w:r>
        <w:rPr>
          <w:rFonts w:cs="Times New Roman"/>
          <w:spacing w:val="-5"/>
          <w:sz w:val="18"/>
          <w:szCs w:val="18"/>
          <w:lang w:val="es-ES_tradnl"/>
        </w:rPr>
        <w:t>á</w:t>
      </w:r>
      <w:r>
        <w:rPr>
          <w:spacing w:val="-5"/>
          <w:sz w:val="18"/>
          <w:szCs w:val="18"/>
          <w:lang w:val="es-ES_tradnl"/>
        </w:rPr>
        <w:t xml:space="preserve">rate </w:t>
      </w:r>
      <w:r>
        <w:rPr>
          <w:spacing w:val="-4"/>
          <w:sz w:val="18"/>
          <w:szCs w:val="18"/>
          <w:lang w:val="es-ES_tradnl"/>
        </w:rPr>
        <w:t>Z</w:t>
      </w:r>
      <w:r>
        <w:rPr>
          <w:rFonts w:cs="Times New Roman"/>
          <w:spacing w:val="-4"/>
          <w:sz w:val="18"/>
          <w:szCs w:val="18"/>
          <w:lang w:val="es-ES_tradnl"/>
        </w:rPr>
        <w:t>á</w:t>
      </w:r>
      <w:r>
        <w:rPr>
          <w:spacing w:val="-4"/>
          <w:sz w:val="18"/>
          <w:szCs w:val="18"/>
          <w:lang w:val="es-ES_tradnl"/>
        </w:rPr>
        <w:t xml:space="preserve">rate y Manuel Viteri Olvera, mediante auto del 27 de </w:t>
      </w:r>
      <w:r>
        <w:rPr>
          <w:spacing w:val="-6"/>
          <w:sz w:val="18"/>
          <w:szCs w:val="18"/>
          <w:lang w:val="es-ES_tradnl"/>
        </w:rPr>
        <w:t>abril de 2012, admiti</w:t>
      </w:r>
      <w:r>
        <w:rPr>
          <w:rFonts w:cs="Times New Roman"/>
          <w:spacing w:val="-6"/>
          <w:sz w:val="18"/>
          <w:szCs w:val="18"/>
          <w:lang w:val="es-ES_tradnl"/>
        </w:rPr>
        <w:t>ó</w:t>
      </w:r>
      <w:r>
        <w:rPr>
          <w:spacing w:val="-6"/>
          <w:sz w:val="18"/>
          <w:szCs w:val="18"/>
          <w:lang w:val="es-ES_tradnl"/>
        </w:rPr>
        <w:t xml:space="preserve"> a tr</w:t>
      </w:r>
      <w:r>
        <w:rPr>
          <w:rFonts w:cs="Times New Roman"/>
          <w:spacing w:val="-6"/>
          <w:sz w:val="18"/>
          <w:szCs w:val="18"/>
          <w:lang w:val="es-ES_tradnl"/>
        </w:rPr>
        <w:t>á</w:t>
      </w:r>
      <w:r>
        <w:rPr>
          <w:spacing w:val="-6"/>
          <w:sz w:val="18"/>
          <w:szCs w:val="18"/>
          <w:lang w:val="es-ES_tradnl"/>
        </w:rPr>
        <w:t>mite la acci</w:t>
      </w:r>
      <w:r>
        <w:rPr>
          <w:rFonts w:cs="Times New Roman"/>
          <w:spacing w:val="-6"/>
          <w:sz w:val="18"/>
          <w:szCs w:val="18"/>
          <w:lang w:val="es-ES_tradnl"/>
        </w:rPr>
        <w:t>ó</w:t>
      </w:r>
      <w:r>
        <w:rPr>
          <w:spacing w:val="-6"/>
          <w:sz w:val="18"/>
          <w:szCs w:val="18"/>
          <w:lang w:val="es-ES_tradnl"/>
        </w:rPr>
        <w:t xml:space="preserve">n extraordinaria de </w:t>
      </w:r>
      <w:r>
        <w:rPr>
          <w:spacing w:val="-10"/>
          <w:sz w:val="18"/>
          <w:szCs w:val="18"/>
          <w:lang w:val="es-ES_tradnl"/>
        </w:rPr>
        <w:t>protecci</w:t>
      </w:r>
      <w:r>
        <w:rPr>
          <w:rFonts w:cs="Times New Roman"/>
          <w:spacing w:val="-10"/>
          <w:sz w:val="18"/>
          <w:szCs w:val="18"/>
          <w:lang w:val="es-ES_tradnl"/>
        </w:rPr>
        <w:t>ó</w:t>
      </w:r>
      <w:r>
        <w:rPr>
          <w:spacing w:val="-10"/>
          <w:sz w:val="18"/>
          <w:szCs w:val="18"/>
          <w:lang w:val="es-ES_tradnl"/>
        </w:rPr>
        <w:t>n N.</w:t>
      </w:r>
      <w:r>
        <w:rPr>
          <w:rFonts w:cs="Times New Roman"/>
          <w:spacing w:val="-10"/>
          <w:sz w:val="18"/>
          <w:szCs w:val="18"/>
          <w:lang w:val="es-ES_tradnl"/>
        </w:rPr>
        <w:t>º</w:t>
      </w:r>
      <w:r>
        <w:rPr>
          <w:spacing w:val="-10"/>
          <w:sz w:val="18"/>
          <w:szCs w:val="18"/>
          <w:lang w:val="es-ES_tradnl"/>
        </w:rPr>
        <w:t xml:space="preserve"> 1945-11-EP, y dispuso que se proceda con el </w:t>
      </w:r>
      <w:r>
        <w:rPr>
          <w:spacing w:val="-8"/>
          <w:sz w:val="18"/>
          <w:szCs w:val="18"/>
          <w:lang w:val="es-ES_tradnl"/>
        </w:rPr>
        <w:t>sorteo correspondiente para la sustanciaci</w:t>
      </w:r>
      <w:r>
        <w:rPr>
          <w:rFonts w:cs="Times New Roman"/>
          <w:spacing w:val="-8"/>
          <w:sz w:val="18"/>
          <w:szCs w:val="18"/>
          <w:lang w:val="es-ES_tradnl"/>
        </w:rPr>
        <w:t>ó</w:t>
      </w:r>
      <w:r>
        <w:rPr>
          <w:spacing w:val="-8"/>
          <w:sz w:val="18"/>
          <w:szCs w:val="18"/>
          <w:lang w:val="es-ES_tradnl"/>
        </w:rPr>
        <w:t>n.</w:t>
      </w:r>
    </w:p>
    <w:p w14:paraId="4F67B5BE" w14:textId="77777777" w:rsidR="00591D54" w:rsidRDefault="00591D54">
      <w:pPr>
        <w:shd w:val="clear" w:color="auto" w:fill="FFFFFF"/>
        <w:spacing w:before="197" w:line="216" w:lineRule="exact"/>
        <w:jc w:val="both"/>
      </w:pPr>
      <w:r>
        <w:rPr>
          <w:spacing w:val="-8"/>
          <w:sz w:val="18"/>
          <w:szCs w:val="18"/>
          <w:lang w:val="es-ES_tradnl"/>
        </w:rPr>
        <w:t>El 12 de junio de 2012, mediante memorando N.</w:t>
      </w:r>
      <w:r>
        <w:rPr>
          <w:rFonts w:cs="Times New Roman"/>
          <w:spacing w:val="-8"/>
          <w:sz w:val="18"/>
          <w:szCs w:val="18"/>
          <w:lang w:val="es-ES_tradnl"/>
        </w:rPr>
        <w:t>°</w:t>
      </w:r>
      <w:r>
        <w:rPr>
          <w:spacing w:val="-8"/>
          <w:sz w:val="18"/>
          <w:szCs w:val="18"/>
          <w:lang w:val="es-ES_tradnl"/>
        </w:rPr>
        <w:t xml:space="preserve"> 086-CC-</w:t>
      </w:r>
      <w:r>
        <w:rPr>
          <w:spacing w:val="-6"/>
          <w:sz w:val="18"/>
          <w:szCs w:val="18"/>
          <w:lang w:val="es-ES_tradnl"/>
        </w:rPr>
        <w:t>SA-SG, la Secretar</w:t>
      </w:r>
      <w:r>
        <w:rPr>
          <w:rFonts w:cs="Times New Roman"/>
          <w:spacing w:val="-6"/>
          <w:sz w:val="18"/>
          <w:szCs w:val="18"/>
          <w:lang w:val="es-ES_tradnl"/>
        </w:rPr>
        <w:t>í</w:t>
      </w:r>
      <w:r>
        <w:rPr>
          <w:spacing w:val="-6"/>
          <w:sz w:val="18"/>
          <w:szCs w:val="18"/>
          <w:lang w:val="es-ES_tradnl"/>
        </w:rPr>
        <w:t>a General de la Corte Constitucional, remiti</w:t>
      </w:r>
      <w:r>
        <w:rPr>
          <w:rFonts w:cs="Times New Roman"/>
          <w:spacing w:val="-6"/>
          <w:sz w:val="18"/>
          <w:szCs w:val="18"/>
          <w:lang w:val="es-ES_tradnl"/>
        </w:rPr>
        <w:t>ó</w:t>
      </w:r>
      <w:r>
        <w:rPr>
          <w:spacing w:val="-6"/>
          <w:sz w:val="18"/>
          <w:szCs w:val="18"/>
          <w:lang w:val="es-ES_tradnl"/>
        </w:rPr>
        <w:t xml:space="preserve"> a la jueza constitucional Ruth Seni Pinoargote, los </w:t>
      </w:r>
      <w:r>
        <w:rPr>
          <w:spacing w:val="-8"/>
          <w:sz w:val="18"/>
          <w:szCs w:val="18"/>
          <w:lang w:val="es-ES_tradnl"/>
        </w:rPr>
        <w:t xml:space="preserve">casos sorteados por el Pleno del Organismo entre los que </w:t>
      </w:r>
      <w:r>
        <w:rPr>
          <w:sz w:val="18"/>
          <w:szCs w:val="18"/>
          <w:lang w:val="es-ES_tradnl"/>
        </w:rPr>
        <w:t>constaba el caso N.</w:t>
      </w:r>
      <w:r>
        <w:rPr>
          <w:rFonts w:cs="Times New Roman"/>
          <w:sz w:val="18"/>
          <w:szCs w:val="18"/>
          <w:lang w:val="es-ES_tradnl"/>
        </w:rPr>
        <w:t>º</w:t>
      </w:r>
      <w:r>
        <w:rPr>
          <w:sz w:val="18"/>
          <w:szCs w:val="18"/>
          <w:lang w:val="es-ES_tradnl"/>
        </w:rPr>
        <w:t xml:space="preserve"> 1945-11-EP.</w:t>
      </w:r>
    </w:p>
    <w:p w14:paraId="4F67B5BF" w14:textId="77777777" w:rsidR="00591D54" w:rsidRDefault="00591D54">
      <w:pPr>
        <w:shd w:val="clear" w:color="auto" w:fill="FFFFFF"/>
        <w:spacing w:before="197" w:line="216" w:lineRule="exact"/>
        <w:jc w:val="both"/>
      </w:pPr>
      <w:r>
        <w:rPr>
          <w:spacing w:val="-8"/>
          <w:sz w:val="18"/>
          <w:szCs w:val="18"/>
          <w:lang w:val="es-ES_tradnl"/>
        </w:rPr>
        <w:t xml:space="preserve">El 6 de noviembre de 2012, se posesionaron ante el Pleno </w:t>
      </w:r>
      <w:r>
        <w:rPr>
          <w:spacing w:val="-7"/>
          <w:sz w:val="18"/>
          <w:szCs w:val="18"/>
          <w:lang w:val="es-ES_tradnl"/>
        </w:rPr>
        <w:t xml:space="preserve">de la Asamblea Nacional los jueces de la Primera Corte </w:t>
      </w:r>
      <w:r>
        <w:rPr>
          <w:spacing w:val="-6"/>
          <w:sz w:val="18"/>
          <w:szCs w:val="18"/>
          <w:lang w:val="es-ES_tradnl"/>
        </w:rPr>
        <w:t>Constitucional, integrada conforme lo dispuesto en los art</w:t>
      </w:r>
      <w:r>
        <w:rPr>
          <w:rFonts w:cs="Times New Roman"/>
          <w:spacing w:val="-6"/>
          <w:sz w:val="18"/>
          <w:szCs w:val="18"/>
          <w:lang w:val="es-ES_tradnl"/>
        </w:rPr>
        <w:t>í</w:t>
      </w:r>
      <w:r>
        <w:rPr>
          <w:spacing w:val="-6"/>
          <w:sz w:val="18"/>
          <w:szCs w:val="18"/>
          <w:lang w:val="es-ES_tradnl"/>
        </w:rPr>
        <w:t>culos 432 y 434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w:t>
      </w:r>
    </w:p>
    <w:p w14:paraId="4F67B5C0" w14:textId="77777777" w:rsidR="00591D54" w:rsidRDefault="00591D54">
      <w:pPr>
        <w:shd w:val="clear" w:color="auto" w:fill="FFFFFF"/>
        <w:spacing w:before="197" w:line="216" w:lineRule="exact"/>
        <w:jc w:val="both"/>
      </w:pPr>
      <w:r>
        <w:rPr>
          <w:spacing w:val="-8"/>
          <w:sz w:val="18"/>
          <w:szCs w:val="18"/>
          <w:lang w:val="es-ES_tradnl"/>
        </w:rPr>
        <w:t>En sesi</w:t>
      </w:r>
      <w:r>
        <w:rPr>
          <w:rFonts w:cs="Times New Roman"/>
          <w:spacing w:val="-8"/>
          <w:sz w:val="18"/>
          <w:szCs w:val="18"/>
          <w:lang w:val="es-ES_tradnl"/>
        </w:rPr>
        <w:t>ó</w:t>
      </w:r>
      <w:r>
        <w:rPr>
          <w:spacing w:val="-8"/>
          <w:sz w:val="18"/>
          <w:szCs w:val="18"/>
          <w:lang w:val="es-ES_tradnl"/>
        </w:rPr>
        <w:t>n del Pleno del Organismo, el 3 de enero de 2013, se efectu</w:t>
      </w:r>
      <w:r>
        <w:rPr>
          <w:rFonts w:cs="Times New Roman"/>
          <w:spacing w:val="-8"/>
          <w:sz w:val="18"/>
          <w:szCs w:val="18"/>
          <w:lang w:val="es-ES_tradnl"/>
        </w:rPr>
        <w:t>ó</w:t>
      </w:r>
      <w:r>
        <w:rPr>
          <w:spacing w:val="-8"/>
          <w:sz w:val="18"/>
          <w:szCs w:val="18"/>
          <w:lang w:val="es-ES_tradnl"/>
        </w:rPr>
        <w:t xml:space="preserve"> el sorteo de la causa, correspondi</w:t>
      </w:r>
      <w:r>
        <w:rPr>
          <w:rFonts w:cs="Times New Roman"/>
          <w:spacing w:val="-8"/>
          <w:sz w:val="18"/>
          <w:szCs w:val="18"/>
          <w:lang w:val="es-ES_tradnl"/>
        </w:rPr>
        <w:t>é</w:t>
      </w:r>
      <w:r>
        <w:rPr>
          <w:spacing w:val="-8"/>
          <w:sz w:val="18"/>
          <w:szCs w:val="18"/>
          <w:lang w:val="es-ES_tradnl"/>
        </w:rPr>
        <w:t>ndole la sustanciaci</w:t>
      </w:r>
      <w:r>
        <w:rPr>
          <w:rFonts w:cs="Times New Roman"/>
          <w:spacing w:val="-8"/>
          <w:sz w:val="18"/>
          <w:szCs w:val="18"/>
          <w:lang w:val="es-ES_tradnl"/>
        </w:rPr>
        <w:t>ó</w:t>
      </w:r>
      <w:r>
        <w:rPr>
          <w:spacing w:val="-8"/>
          <w:sz w:val="18"/>
          <w:szCs w:val="18"/>
          <w:lang w:val="es-ES_tradnl"/>
        </w:rPr>
        <w:t xml:space="preserve">n de la misma a la jueza constitucional Tatiana </w:t>
      </w:r>
      <w:r>
        <w:rPr>
          <w:spacing w:val="-2"/>
          <w:sz w:val="18"/>
          <w:szCs w:val="18"/>
          <w:lang w:val="es-ES_tradnl"/>
        </w:rPr>
        <w:t>Orde</w:t>
      </w:r>
      <w:r>
        <w:rPr>
          <w:rFonts w:cs="Times New Roman"/>
          <w:spacing w:val="-2"/>
          <w:sz w:val="18"/>
          <w:szCs w:val="18"/>
          <w:lang w:val="es-ES_tradnl"/>
        </w:rPr>
        <w:t>ñ</w:t>
      </w:r>
      <w:r>
        <w:rPr>
          <w:spacing w:val="-2"/>
          <w:sz w:val="18"/>
          <w:szCs w:val="18"/>
          <w:lang w:val="es-ES_tradnl"/>
        </w:rPr>
        <w:t>ana Sierra. Para el efecto, la Secretar</w:t>
      </w:r>
      <w:r>
        <w:rPr>
          <w:rFonts w:cs="Times New Roman"/>
          <w:spacing w:val="-2"/>
          <w:sz w:val="18"/>
          <w:szCs w:val="18"/>
          <w:lang w:val="es-ES_tradnl"/>
        </w:rPr>
        <w:t>í</w:t>
      </w:r>
      <w:r>
        <w:rPr>
          <w:spacing w:val="-2"/>
          <w:sz w:val="18"/>
          <w:szCs w:val="18"/>
          <w:lang w:val="es-ES_tradnl"/>
        </w:rPr>
        <w:t xml:space="preserve">a General </w:t>
      </w:r>
      <w:r>
        <w:rPr>
          <w:spacing w:val="-6"/>
          <w:sz w:val="18"/>
          <w:szCs w:val="18"/>
          <w:lang w:val="es-ES_tradnl"/>
        </w:rPr>
        <w:t>de la Corte Constitucional, mediante memorando N.</w:t>
      </w:r>
      <w:r>
        <w:rPr>
          <w:rFonts w:cs="Times New Roman"/>
          <w:spacing w:val="-6"/>
          <w:sz w:val="18"/>
          <w:szCs w:val="18"/>
          <w:lang w:val="es-ES_tradnl"/>
        </w:rPr>
        <w:t xml:space="preserve">º </w:t>
      </w:r>
      <w:r>
        <w:rPr>
          <w:spacing w:val="-7"/>
          <w:sz w:val="18"/>
          <w:szCs w:val="18"/>
          <w:lang w:val="es-ES_tradnl"/>
        </w:rPr>
        <w:t>021-CCE-SG-SUS-2013 del 11 de enero de 2013, remiti</w:t>
      </w:r>
      <w:r>
        <w:rPr>
          <w:rFonts w:cs="Times New Roman"/>
          <w:spacing w:val="-7"/>
          <w:sz w:val="18"/>
          <w:szCs w:val="18"/>
          <w:lang w:val="es-ES_tradnl"/>
        </w:rPr>
        <w:t xml:space="preserve">ó </w:t>
      </w:r>
      <w:r>
        <w:rPr>
          <w:spacing w:val="-7"/>
          <w:sz w:val="18"/>
          <w:szCs w:val="18"/>
          <w:lang w:val="es-ES_tradnl"/>
        </w:rPr>
        <w:t>el expediente constitucional N.</w:t>
      </w:r>
      <w:r>
        <w:rPr>
          <w:rFonts w:cs="Times New Roman"/>
          <w:spacing w:val="-7"/>
          <w:sz w:val="18"/>
          <w:szCs w:val="18"/>
          <w:lang w:val="es-ES_tradnl"/>
        </w:rPr>
        <w:t>º</w:t>
      </w:r>
      <w:r>
        <w:rPr>
          <w:spacing w:val="-7"/>
          <w:sz w:val="18"/>
          <w:szCs w:val="18"/>
          <w:lang w:val="es-ES_tradnl"/>
        </w:rPr>
        <w:t xml:space="preserve"> 1945-11-EP, al despacho </w:t>
      </w:r>
      <w:r>
        <w:rPr>
          <w:sz w:val="18"/>
          <w:szCs w:val="18"/>
          <w:lang w:val="es-ES_tradnl"/>
        </w:rPr>
        <w:t>de la jueza sustanciadora.</w:t>
      </w:r>
    </w:p>
    <w:p w14:paraId="4F67B5C1" w14:textId="77777777" w:rsidR="00591D54" w:rsidRDefault="00591D54">
      <w:pPr>
        <w:shd w:val="clear" w:color="auto" w:fill="FFFFFF"/>
        <w:spacing w:before="197" w:line="216" w:lineRule="exact"/>
        <w:jc w:val="both"/>
      </w:pPr>
      <w:r>
        <w:rPr>
          <w:spacing w:val="-1"/>
          <w:sz w:val="18"/>
          <w:szCs w:val="18"/>
          <w:lang w:val="es-ES_tradnl"/>
        </w:rPr>
        <w:t xml:space="preserve">Mediante providencia dictada el 29 de enero de 2014, </w:t>
      </w:r>
      <w:r>
        <w:rPr>
          <w:spacing w:val="-8"/>
          <w:sz w:val="18"/>
          <w:szCs w:val="18"/>
          <w:lang w:val="es-ES_tradnl"/>
        </w:rPr>
        <w:t>la jueza constitucional Tatiana Orde</w:t>
      </w:r>
      <w:r>
        <w:rPr>
          <w:rFonts w:cs="Times New Roman"/>
          <w:spacing w:val="-8"/>
          <w:sz w:val="18"/>
          <w:szCs w:val="18"/>
          <w:lang w:val="es-ES_tradnl"/>
        </w:rPr>
        <w:t>ñ</w:t>
      </w:r>
      <w:r>
        <w:rPr>
          <w:spacing w:val="-8"/>
          <w:sz w:val="18"/>
          <w:szCs w:val="18"/>
          <w:lang w:val="es-ES_tradnl"/>
        </w:rPr>
        <w:t>ana Sierra avoc</w:t>
      </w:r>
      <w:r>
        <w:rPr>
          <w:rFonts w:cs="Times New Roman"/>
          <w:spacing w:val="-8"/>
          <w:sz w:val="18"/>
          <w:szCs w:val="18"/>
          <w:lang w:val="es-ES_tradnl"/>
        </w:rPr>
        <w:t xml:space="preserve">ó </w:t>
      </w:r>
      <w:r>
        <w:rPr>
          <w:spacing w:val="-12"/>
          <w:sz w:val="18"/>
          <w:szCs w:val="18"/>
          <w:lang w:val="es-ES_tradnl"/>
        </w:rPr>
        <w:t xml:space="preserve">conocimiento de la presente causa y dispuso que se notifique </w:t>
      </w:r>
      <w:r>
        <w:rPr>
          <w:spacing w:val="-5"/>
          <w:sz w:val="18"/>
          <w:szCs w:val="18"/>
          <w:lang w:val="es-ES_tradnl"/>
        </w:rPr>
        <w:t>con el contenido de la demanda de acci</w:t>
      </w:r>
      <w:r>
        <w:rPr>
          <w:rFonts w:cs="Times New Roman"/>
          <w:spacing w:val="-5"/>
          <w:sz w:val="18"/>
          <w:szCs w:val="18"/>
          <w:lang w:val="es-ES_tradnl"/>
        </w:rPr>
        <w:t>ó</w:t>
      </w:r>
      <w:r>
        <w:rPr>
          <w:spacing w:val="-5"/>
          <w:sz w:val="18"/>
          <w:szCs w:val="18"/>
          <w:lang w:val="es-ES_tradnl"/>
        </w:rPr>
        <w:t xml:space="preserve">n extraordinaria </w:t>
      </w:r>
      <w:r>
        <w:rPr>
          <w:spacing w:val="-8"/>
          <w:sz w:val="18"/>
          <w:szCs w:val="18"/>
          <w:lang w:val="es-ES_tradnl"/>
        </w:rPr>
        <w:t>de protecci</w:t>
      </w:r>
      <w:r>
        <w:rPr>
          <w:rFonts w:cs="Times New Roman"/>
          <w:spacing w:val="-8"/>
          <w:sz w:val="18"/>
          <w:szCs w:val="18"/>
          <w:lang w:val="es-ES_tradnl"/>
        </w:rPr>
        <w:t>ó</w:t>
      </w:r>
      <w:r>
        <w:rPr>
          <w:spacing w:val="-8"/>
          <w:sz w:val="18"/>
          <w:szCs w:val="18"/>
          <w:lang w:val="es-ES_tradnl"/>
        </w:rPr>
        <w:t>n N.</w:t>
      </w:r>
      <w:r>
        <w:rPr>
          <w:rFonts w:cs="Times New Roman"/>
          <w:spacing w:val="-8"/>
          <w:sz w:val="18"/>
          <w:szCs w:val="18"/>
          <w:lang w:val="es-ES_tradnl"/>
        </w:rPr>
        <w:t>º</w:t>
      </w:r>
      <w:r>
        <w:rPr>
          <w:spacing w:val="-8"/>
          <w:sz w:val="18"/>
          <w:szCs w:val="18"/>
          <w:lang w:val="es-ES_tradnl"/>
        </w:rPr>
        <w:t xml:space="preserve"> 1945-11-EP, a los miembros del Tribunal </w:t>
      </w:r>
      <w:r>
        <w:rPr>
          <w:sz w:val="18"/>
          <w:szCs w:val="18"/>
          <w:lang w:val="es-ES_tradnl"/>
        </w:rPr>
        <w:t>Arbitral de la C</w:t>
      </w:r>
      <w:r>
        <w:rPr>
          <w:rFonts w:cs="Times New Roman"/>
          <w:sz w:val="18"/>
          <w:szCs w:val="18"/>
          <w:lang w:val="es-ES_tradnl"/>
        </w:rPr>
        <w:t>á</w:t>
      </w:r>
      <w:r>
        <w:rPr>
          <w:sz w:val="18"/>
          <w:szCs w:val="18"/>
          <w:lang w:val="es-ES_tradnl"/>
        </w:rPr>
        <w:t xml:space="preserve">mara de Comercio de Quito con la </w:t>
      </w:r>
      <w:r>
        <w:rPr>
          <w:spacing w:val="-10"/>
          <w:sz w:val="18"/>
          <w:szCs w:val="18"/>
          <w:lang w:val="es-ES_tradnl"/>
        </w:rPr>
        <w:t>finalidad de que en el plazo de 5 d</w:t>
      </w:r>
      <w:r>
        <w:rPr>
          <w:rFonts w:cs="Times New Roman"/>
          <w:spacing w:val="-10"/>
          <w:sz w:val="18"/>
          <w:szCs w:val="18"/>
          <w:lang w:val="es-ES_tradnl"/>
        </w:rPr>
        <w:t>í</w:t>
      </w:r>
      <w:r>
        <w:rPr>
          <w:spacing w:val="-10"/>
          <w:sz w:val="18"/>
          <w:szCs w:val="18"/>
          <w:lang w:val="es-ES_tradnl"/>
        </w:rPr>
        <w:t xml:space="preserve">as, presenten un informe </w:t>
      </w:r>
      <w:r>
        <w:rPr>
          <w:spacing w:val="-9"/>
          <w:sz w:val="18"/>
          <w:szCs w:val="18"/>
          <w:lang w:val="es-ES_tradnl"/>
        </w:rPr>
        <w:t xml:space="preserve">de descargo debidamente motivado sobre los argumentos </w:t>
      </w:r>
      <w:r>
        <w:rPr>
          <w:sz w:val="18"/>
          <w:szCs w:val="18"/>
          <w:lang w:val="es-ES_tradnl"/>
        </w:rPr>
        <w:t>que fundamentan la demanda.</w:t>
      </w:r>
    </w:p>
    <w:p w14:paraId="4F67B5C2" w14:textId="77777777" w:rsidR="00591D54" w:rsidRDefault="00591D54">
      <w:pPr>
        <w:shd w:val="clear" w:color="auto" w:fill="FFFFFF"/>
        <w:spacing w:before="192"/>
      </w:pPr>
      <w:r>
        <w:rPr>
          <w:b/>
          <w:bCs/>
          <w:spacing w:val="-12"/>
          <w:sz w:val="18"/>
          <w:szCs w:val="18"/>
          <w:lang w:val="es-ES_tradnl"/>
        </w:rPr>
        <w:t>Antecedentes f</w:t>
      </w:r>
      <w:r>
        <w:rPr>
          <w:rFonts w:cs="Times New Roman"/>
          <w:b/>
          <w:bCs/>
          <w:spacing w:val="-12"/>
          <w:sz w:val="18"/>
          <w:szCs w:val="18"/>
          <w:lang w:val="es-ES_tradnl"/>
        </w:rPr>
        <w:t>á</w:t>
      </w:r>
      <w:r>
        <w:rPr>
          <w:b/>
          <w:bCs/>
          <w:spacing w:val="-12"/>
          <w:sz w:val="18"/>
          <w:szCs w:val="18"/>
          <w:lang w:val="es-ES_tradnl"/>
        </w:rPr>
        <w:t>cticos</w:t>
      </w:r>
    </w:p>
    <w:p w14:paraId="4F67B5C3" w14:textId="77777777" w:rsidR="00591D54" w:rsidRDefault="00591D54">
      <w:pPr>
        <w:shd w:val="clear" w:color="auto" w:fill="FFFFFF"/>
        <w:spacing w:before="192" w:line="216" w:lineRule="exact"/>
        <w:jc w:val="both"/>
      </w:pPr>
      <w:r>
        <w:rPr>
          <w:spacing w:val="-5"/>
          <w:sz w:val="18"/>
          <w:szCs w:val="18"/>
          <w:lang w:val="es-ES_tradnl"/>
        </w:rPr>
        <w:t xml:space="preserve">Petrocomercial </w:t>
      </w:r>
      <w:r>
        <w:rPr>
          <w:rFonts w:cs="Times New Roman"/>
          <w:spacing w:val="-5"/>
          <w:sz w:val="18"/>
          <w:szCs w:val="18"/>
          <w:lang w:val="es-ES_tradnl"/>
        </w:rPr>
        <w:t>–</w:t>
      </w:r>
      <w:r>
        <w:rPr>
          <w:spacing w:val="-5"/>
          <w:sz w:val="18"/>
          <w:szCs w:val="18"/>
          <w:lang w:val="es-ES_tradnl"/>
        </w:rPr>
        <w:t>ahora, Petroecuador</w:t>
      </w:r>
      <w:r>
        <w:rPr>
          <w:rFonts w:ascii="Arial Unicode MS" w:eastAsia="Arial Unicode MS" w:hAnsi="Arial Unicode MS" w:cs="Arial Unicode MS" w:hint="eastAsia"/>
          <w:spacing w:val="-5"/>
          <w:sz w:val="18"/>
          <w:szCs w:val="18"/>
          <w:lang w:val="es-ES_tradnl"/>
        </w:rPr>
        <w:t>‒</w:t>
      </w:r>
      <w:r>
        <w:rPr>
          <w:spacing w:val="-5"/>
          <w:sz w:val="18"/>
          <w:szCs w:val="18"/>
          <w:lang w:val="es-ES_tradnl"/>
        </w:rPr>
        <w:t xml:space="preserve"> y la empresa </w:t>
      </w:r>
      <w:r>
        <w:rPr>
          <w:spacing w:val="-6"/>
          <w:sz w:val="18"/>
          <w:szCs w:val="18"/>
          <w:lang w:val="es-ES_tradnl"/>
        </w:rPr>
        <w:t xml:space="preserve">Terminal Aeroportuaria de Guayaquil S. A. (en adelante, </w:t>
      </w:r>
      <w:r>
        <w:rPr>
          <w:spacing w:val="-5"/>
          <w:sz w:val="18"/>
          <w:szCs w:val="18"/>
          <w:lang w:val="es-ES_tradnl"/>
        </w:rPr>
        <w:t>TAGSA) firmaron los contratos N.</w:t>
      </w:r>
      <w:r>
        <w:rPr>
          <w:rFonts w:cs="Times New Roman"/>
          <w:spacing w:val="-5"/>
          <w:sz w:val="18"/>
          <w:szCs w:val="18"/>
          <w:lang w:val="es-ES_tradnl"/>
        </w:rPr>
        <w:t>º</w:t>
      </w:r>
      <w:r>
        <w:rPr>
          <w:spacing w:val="-5"/>
          <w:sz w:val="18"/>
          <w:szCs w:val="18"/>
          <w:lang w:val="es-ES_tradnl"/>
        </w:rPr>
        <w:t xml:space="preserve"> 2006019 y 2006020. En raz</w:t>
      </w:r>
      <w:r>
        <w:rPr>
          <w:rFonts w:cs="Times New Roman"/>
          <w:spacing w:val="-5"/>
          <w:sz w:val="18"/>
          <w:szCs w:val="18"/>
          <w:lang w:val="es-ES_tradnl"/>
        </w:rPr>
        <w:t>ó</w:t>
      </w:r>
      <w:r>
        <w:rPr>
          <w:spacing w:val="-5"/>
          <w:sz w:val="18"/>
          <w:szCs w:val="18"/>
          <w:lang w:val="es-ES_tradnl"/>
        </w:rPr>
        <w:t>n del primer contrato (N.</w:t>
      </w:r>
      <w:r>
        <w:rPr>
          <w:rFonts w:cs="Times New Roman"/>
          <w:spacing w:val="-5"/>
          <w:sz w:val="18"/>
          <w:szCs w:val="18"/>
          <w:lang w:val="es-ES_tradnl"/>
        </w:rPr>
        <w:t>º</w:t>
      </w:r>
      <w:r>
        <w:rPr>
          <w:spacing w:val="-5"/>
          <w:sz w:val="18"/>
          <w:szCs w:val="18"/>
          <w:lang w:val="es-ES_tradnl"/>
        </w:rPr>
        <w:t xml:space="preserve"> 2006019), firmado el 3 </w:t>
      </w:r>
      <w:r>
        <w:rPr>
          <w:spacing w:val="-8"/>
          <w:sz w:val="18"/>
          <w:szCs w:val="18"/>
          <w:lang w:val="es-ES_tradnl"/>
        </w:rPr>
        <w:t xml:space="preserve">de marzo de 2006, pero vigente desde el 28 de noviembre </w:t>
      </w:r>
      <w:r>
        <w:rPr>
          <w:spacing w:val="-6"/>
          <w:sz w:val="18"/>
          <w:szCs w:val="18"/>
          <w:lang w:val="es-ES_tradnl"/>
        </w:rPr>
        <w:t>de 2005, TAGSA se comprometi</w:t>
      </w:r>
      <w:r>
        <w:rPr>
          <w:rFonts w:cs="Times New Roman"/>
          <w:spacing w:val="-6"/>
          <w:sz w:val="18"/>
          <w:szCs w:val="18"/>
          <w:lang w:val="es-ES_tradnl"/>
        </w:rPr>
        <w:t>ó</w:t>
      </w:r>
      <w:r>
        <w:rPr>
          <w:spacing w:val="-6"/>
          <w:sz w:val="18"/>
          <w:szCs w:val="18"/>
          <w:lang w:val="es-ES_tradnl"/>
        </w:rPr>
        <w:t xml:space="preserve"> a recibir en dep</w:t>
      </w:r>
      <w:r>
        <w:rPr>
          <w:rFonts w:cs="Times New Roman"/>
          <w:spacing w:val="-6"/>
          <w:sz w:val="18"/>
          <w:szCs w:val="18"/>
          <w:lang w:val="es-ES_tradnl"/>
        </w:rPr>
        <w:t>ó</w:t>
      </w:r>
      <w:r>
        <w:rPr>
          <w:spacing w:val="-6"/>
          <w:sz w:val="18"/>
          <w:szCs w:val="18"/>
          <w:lang w:val="es-ES_tradnl"/>
        </w:rPr>
        <w:t xml:space="preserve">sito, </w:t>
      </w:r>
      <w:r>
        <w:rPr>
          <w:spacing w:val="-3"/>
          <w:sz w:val="18"/>
          <w:szCs w:val="18"/>
          <w:lang w:val="es-ES_tradnl"/>
        </w:rPr>
        <w:t>combustibles para aviaci</w:t>
      </w:r>
      <w:r>
        <w:rPr>
          <w:rFonts w:cs="Times New Roman"/>
          <w:spacing w:val="-3"/>
          <w:sz w:val="18"/>
          <w:szCs w:val="18"/>
          <w:lang w:val="es-ES_tradnl"/>
        </w:rPr>
        <w:t>ó</w:t>
      </w:r>
      <w:r>
        <w:rPr>
          <w:spacing w:val="-3"/>
          <w:sz w:val="18"/>
          <w:szCs w:val="18"/>
          <w:lang w:val="es-ES_tradnl"/>
        </w:rPr>
        <w:t xml:space="preserve">n dentro de las instalaciones </w:t>
      </w:r>
      <w:r>
        <w:rPr>
          <w:spacing w:val="-4"/>
          <w:sz w:val="18"/>
          <w:szCs w:val="18"/>
          <w:lang w:val="es-ES_tradnl"/>
        </w:rPr>
        <w:t>del Aeropuerto Internacional Sim</w:t>
      </w:r>
      <w:r>
        <w:rPr>
          <w:rFonts w:cs="Times New Roman"/>
          <w:spacing w:val="-4"/>
          <w:sz w:val="18"/>
          <w:szCs w:val="18"/>
          <w:lang w:val="es-ES_tradnl"/>
        </w:rPr>
        <w:t>ó</w:t>
      </w:r>
      <w:r>
        <w:rPr>
          <w:spacing w:val="-4"/>
          <w:sz w:val="18"/>
          <w:szCs w:val="18"/>
          <w:lang w:val="es-ES_tradnl"/>
        </w:rPr>
        <w:t>n Bol</w:t>
      </w:r>
      <w:r>
        <w:rPr>
          <w:rFonts w:cs="Times New Roman"/>
          <w:spacing w:val="-4"/>
          <w:sz w:val="18"/>
          <w:szCs w:val="18"/>
          <w:lang w:val="es-ES_tradnl"/>
        </w:rPr>
        <w:t>í</w:t>
      </w:r>
      <w:r>
        <w:rPr>
          <w:spacing w:val="-4"/>
          <w:sz w:val="18"/>
          <w:szCs w:val="18"/>
          <w:lang w:val="es-ES_tradnl"/>
        </w:rPr>
        <w:t xml:space="preserve">var de la ciudad </w:t>
      </w:r>
      <w:r>
        <w:rPr>
          <w:spacing w:val="-6"/>
          <w:sz w:val="18"/>
          <w:szCs w:val="18"/>
          <w:lang w:val="es-ES_tradnl"/>
        </w:rPr>
        <w:t xml:space="preserve">de Guayaquil y luego entregarlos a las comercializadoras </w:t>
      </w:r>
      <w:r>
        <w:rPr>
          <w:spacing w:val="-5"/>
          <w:sz w:val="18"/>
          <w:szCs w:val="18"/>
          <w:lang w:val="es-ES_tradnl"/>
        </w:rPr>
        <w:t>de combustibles de aviaci</w:t>
      </w:r>
      <w:r>
        <w:rPr>
          <w:rFonts w:cs="Times New Roman"/>
          <w:spacing w:val="-5"/>
          <w:sz w:val="18"/>
          <w:szCs w:val="18"/>
          <w:lang w:val="es-ES_tradnl"/>
        </w:rPr>
        <w:t>ó</w:t>
      </w:r>
      <w:r>
        <w:rPr>
          <w:spacing w:val="-5"/>
          <w:sz w:val="18"/>
          <w:szCs w:val="18"/>
          <w:lang w:val="es-ES_tradnl"/>
        </w:rPr>
        <w:t>n calificadas por la Direcci</w:t>
      </w:r>
      <w:r>
        <w:rPr>
          <w:rFonts w:cs="Times New Roman"/>
          <w:spacing w:val="-5"/>
          <w:sz w:val="18"/>
          <w:szCs w:val="18"/>
          <w:lang w:val="es-ES_tradnl"/>
        </w:rPr>
        <w:t>ó</w:t>
      </w:r>
      <w:r>
        <w:rPr>
          <w:spacing w:val="-5"/>
          <w:sz w:val="18"/>
          <w:szCs w:val="18"/>
          <w:lang w:val="es-ES_tradnl"/>
        </w:rPr>
        <w:t xml:space="preserve">n </w:t>
      </w:r>
      <w:r>
        <w:rPr>
          <w:spacing w:val="-12"/>
          <w:sz w:val="18"/>
          <w:szCs w:val="18"/>
          <w:lang w:val="es-ES_tradnl"/>
        </w:rPr>
        <w:t xml:space="preserve">Nacional de Hidrocarburos para su despacho a las aeronaves </w:t>
      </w:r>
      <w:r>
        <w:rPr>
          <w:sz w:val="18"/>
          <w:szCs w:val="18"/>
          <w:lang w:val="es-ES_tradnl"/>
        </w:rPr>
        <w:t>que utilizaren en el aeropuerto.</w:t>
      </w:r>
    </w:p>
    <w:p w14:paraId="4F67B5C4" w14:textId="77777777" w:rsidR="00591D54" w:rsidRDefault="00591D54">
      <w:pPr>
        <w:shd w:val="clear" w:color="auto" w:fill="FFFFFF"/>
        <w:spacing w:before="192" w:line="216" w:lineRule="exact"/>
        <w:jc w:val="both"/>
      </w:pPr>
      <w:r>
        <w:rPr>
          <w:spacing w:val="-6"/>
          <w:sz w:val="18"/>
          <w:szCs w:val="18"/>
          <w:lang w:val="es-ES_tradnl"/>
        </w:rPr>
        <w:t>En el contrato N.</w:t>
      </w:r>
      <w:r>
        <w:rPr>
          <w:rFonts w:cs="Times New Roman"/>
          <w:spacing w:val="-6"/>
          <w:sz w:val="18"/>
          <w:szCs w:val="18"/>
          <w:lang w:val="es-ES_tradnl"/>
        </w:rPr>
        <w:t>º</w:t>
      </w:r>
      <w:r>
        <w:rPr>
          <w:spacing w:val="-6"/>
          <w:sz w:val="18"/>
          <w:szCs w:val="18"/>
          <w:lang w:val="es-ES_tradnl"/>
        </w:rPr>
        <w:t xml:space="preserve"> 2006020 (segundo contrato) celebrado </w:t>
      </w:r>
      <w:r>
        <w:rPr>
          <w:spacing w:val="-9"/>
          <w:sz w:val="18"/>
          <w:szCs w:val="18"/>
          <w:lang w:val="es-ES_tradnl"/>
        </w:rPr>
        <w:t>el 3 de marzo de 2006 y con vigencia de dos a</w:t>
      </w:r>
      <w:r>
        <w:rPr>
          <w:rFonts w:cs="Times New Roman"/>
          <w:spacing w:val="-9"/>
          <w:sz w:val="18"/>
          <w:szCs w:val="18"/>
          <w:lang w:val="es-ES_tradnl"/>
        </w:rPr>
        <w:t>ñ</w:t>
      </w:r>
      <w:r>
        <w:rPr>
          <w:spacing w:val="-9"/>
          <w:sz w:val="18"/>
          <w:szCs w:val="18"/>
          <w:lang w:val="es-ES_tradnl"/>
        </w:rPr>
        <w:t xml:space="preserve">os contados </w:t>
      </w:r>
      <w:r>
        <w:rPr>
          <w:spacing w:val="-6"/>
          <w:sz w:val="18"/>
          <w:szCs w:val="18"/>
          <w:lang w:val="es-ES_tradnl"/>
        </w:rPr>
        <w:t xml:space="preserve">a partir del 28 de noviembre de 2005, Petrocomercial se </w:t>
      </w:r>
      <w:r>
        <w:rPr>
          <w:spacing w:val="-8"/>
          <w:sz w:val="18"/>
          <w:szCs w:val="18"/>
          <w:lang w:val="es-ES_tradnl"/>
        </w:rPr>
        <w:t>oblig</w:t>
      </w:r>
      <w:r>
        <w:rPr>
          <w:rFonts w:cs="Times New Roman"/>
          <w:spacing w:val="-8"/>
          <w:sz w:val="18"/>
          <w:szCs w:val="18"/>
          <w:lang w:val="es-ES_tradnl"/>
        </w:rPr>
        <w:t>ó</w:t>
      </w:r>
      <w:r>
        <w:rPr>
          <w:spacing w:val="-8"/>
          <w:sz w:val="18"/>
          <w:szCs w:val="18"/>
          <w:lang w:val="es-ES_tradnl"/>
        </w:rPr>
        <w:t xml:space="preserve"> a pagar a TAGSA, siete centavos de d</w:t>
      </w:r>
      <w:r>
        <w:rPr>
          <w:rFonts w:cs="Times New Roman"/>
          <w:spacing w:val="-8"/>
          <w:sz w:val="18"/>
          <w:szCs w:val="18"/>
          <w:lang w:val="es-ES_tradnl"/>
        </w:rPr>
        <w:t>ó</w:t>
      </w:r>
      <w:r>
        <w:rPr>
          <w:spacing w:val="-8"/>
          <w:sz w:val="18"/>
          <w:szCs w:val="18"/>
          <w:lang w:val="es-ES_tradnl"/>
        </w:rPr>
        <w:t xml:space="preserve">lar por cada </w:t>
      </w:r>
      <w:r>
        <w:rPr>
          <w:spacing w:val="-6"/>
          <w:sz w:val="18"/>
          <w:szCs w:val="18"/>
          <w:lang w:val="es-ES_tradnl"/>
        </w:rPr>
        <w:t>gal</w:t>
      </w:r>
      <w:r>
        <w:rPr>
          <w:rFonts w:cs="Times New Roman"/>
          <w:spacing w:val="-6"/>
          <w:sz w:val="18"/>
          <w:szCs w:val="18"/>
          <w:lang w:val="es-ES_tradnl"/>
        </w:rPr>
        <w:t>ó</w:t>
      </w:r>
      <w:r>
        <w:rPr>
          <w:spacing w:val="-6"/>
          <w:sz w:val="18"/>
          <w:szCs w:val="18"/>
          <w:lang w:val="es-ES_tradnl"/>
        </w:rPr>
        <w:t>n de combustible almacenado y un centavo de d</w:t>
      </w:r>
      <w:r>
        <w:rPr>
          <w:rFonts w:cs="Times New Roman"/>
          <w:spacing w:val="-6"/>
          <w:sz w:val="18"/>
          <w:szCs w:val="18"/>
          <w:lang w:val="es-ES_tradnl"/>
        </w:rPr>
        <w:t>ó</w:t>
      </w:r>
      <w:r>
        <w:rPr>
          <w:spacing w:val="-6"/>
          <w:sz w:val="18"/>
          <w:szCs w:val="18"/>
          <w:lang w:val="es-ES_tradnl"/>
        </w:rPr>
        <w:t xml:space="preserve">lar </w:t>
      </w:r>
      <w:r>
        <w:rPr>
          <w:spacing w:val="-8"/>
          <w:sz w:val="18"/>
          <w:szCs w:val="18"/>
          <w:lang w:val="es-ES_tradnl"/>
        </w:rPr>
        <w:t>por cada gal</w:t>
      </w:r>
      <w:r>
        <w:rPr>
          <w:rFonts w:cs="Times New Roman"/>
          <w:spacing w:val="-8"/>
          <w:sz w:val="18"/>
          <w:szCs w:val="18"/>
          <w:lang w:val="es-ES_tradnl"/>
        </w:rPr>
        <w:t>ó</w:t>
      </w:r>
      <w:r>
        <w:rPr>
          <w:spacing w:val="-8"/>
          <w:sz w:val="18"/>
          <w:szCs w:val="18"/>
          <w:lang w:val="es-ES_tradnl"/>
        </w:rPr>
        <w:t xml:space="preserve">n entregado en las comercializadores en las </w:t>
      </w:r>
      <w:r>
        <w:rPr>
          <w:sz w:val="18"/>
          <w:szCs w:val="18"/>
          <w:lang w:val="es-ES_tradnl"/>
        </w:rPr>
        <w:t>aeronaves que estas designen.</w:t>
      </w:r>
    </w:p>
    <w:p w14:paraId="4F67B5C5" w14:textId="77777777" w:rsidR="00591D54" w:rsidRDefault="00591D54">
      <w:pPr>
        <w:shd w:val="clear" w:color="auto" w:fill="FFFFFF"/>
        <w:spacing w:before="192" w:line="216" w:lineRule="exact"/>
        <w:jc w:val="both"/>
      </w:pPr>
      <w:r>
        <w:rPr>
          <w:spacing w:val="-8"/>
          <w:sz w:val="18"/>
          <w:szCs w:val="18"/>
          <w:lang w:val="es-ES_tradnl"/>
        </w:rPr>
        <w:t>En ambos contratos, se pact</w:t>
      </w:r>
      <w:r>
        <w:rPr>
          <w:rFonts w:cs="Times New Roman"/>
          <w:spacing w:val="-8"/>
          <w:sz w:val="18"/>
          <w:szCs w:val="18"/>
          <w:lang w:val="es-ES_tradnl"/>
        </w:rPr>
        <w:t>ó</w:t>
      </w:r>
      <w:r>
        <w:rPr>
          <w:spacing w:val="-8"/>
          <w:sz w:val="18"/>
          <w:szCs w:val="18"/>
          <w:lang w:val="es-ES_tradnl"/>
        </w:rPr>
        <w:t xml:space="preserve"> arbitraje en derecho ante el </w:t>
      </w:r>
      <w:r>
        <w:rPr>
          <w:spacing w:val="-4"/>
          <w:sz w:val="18"/>
          <w:szCs w:val="18"/>
          <w:lang w:val="es-ES_tradnl"/>
        </w:rPr>
        <w:t>Centro de Arbitraje de la C</w:t>
      </w:r>
      <w:r>
        <w:rPr>
          <w:rFonts w:cs="Times New Roman"/>
          <w:spacing w:val="-4"/>
          <w:sz w:val="18"/>
          <w:szCs w:val="18"/>
          <w:lang w:val="es-ES_tradnl"/>
        </w:rPr>
        <w:t>á</w:t>
      </w:r>
      <w:r>
        <w:rPr>
          <w:spacing w:val="-4"/>
          <w:sz w:val="18"/>
          <w:szCs w:val="18"/>
          <w:lang w:val="es-ES_tradnl"/>
        </w:rPr>
        <w:t>mara de Comercio de Quito,</w:t>
      </w:r>
    </w:p>
    <w:p w14:paraId="4F67B5C6" w14:textId="77777777" w:rsidR="00591D54" w:rsidRDefault="00591D54">
      <w:pPr>
        <w:shd w:val="clear" w:color="auto" w:fill="FFFFFF"/>
        <w:spacing w:before="192" w:line="216" w:lineRule="exact"/>
        <w:jc w:val="both"/>
        <w:sectPr w:rsidR="00591D54">
          <w:type w:val="continuous"/>
          <w:pgSz w:w="11909" w:h="16834"/>
          <w:pgMar w:top="1359" w:right="1309" w:bottom="360" w:left="1308" w:header="720" w:footer="720" w:gutter="0"/>
          <w:cols w:num="2" w:space="720" w:equalWidth="0">
            <w:col w:w="4305" w:space="682"/>
            <w:col w:w="4305"/>
          </w:cols>
          <w:noEndnote/>
        </w:sectPr>
      </w:pPr>
    </w:p>
    <w:p w14:paraId="4F67B5C7" w14:textId="77777777" w:rsidR="00591D54" w:rsidRDefault="00591D54">
      <w:pPr>
        <w:shd w:val="clear" w:color="auto" w:fill="FFFFFF"/>
        <w:tabs>
          <w:tab w:val="left" w:pos="4814"/>
        </w:tabs>
        <w:spacing w:after="235"/>
        <w:ind w:left="5"/>
      </w:pPr>
      <w:r>
        <w:rPr>
          <w:b/>
          <w:bCs/>
          <w:sz w:val="18"/>
          <w:szCs w:val="18"/>
          <w:lang w:val="es-ES_tradnl"/>
        </w:rPr>
        <w:t xml:space="preserve">224 -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5C8" w14:textId="77777777" w:rsidR="00591D54" w:rsidRDefault="00591D54">
      <w:pPr>
        <w:shd w:val="clear" w:color="auto" w:fill="FFFFFF"/>
        <w:tabs>
          <w:tab w:val="left" w:pos="4814"/>
        </w:tabs>
        <w:spacing w:after="235"/>
        <w:ind w:left="5"/>
        <w:sectPr w:rsidR="00591D54">
          <w:pgSz w:w="11909" w:h="16834"/>
          <w:pgMar w:top="1354" w:right="1309" w:bottom="360" w:left="1308" w:header="720" w:footer="720" w:gutter="0"/>
          <w:cols w:space="60"/>
          <w:noEndnote/>
        </w:sectPr>
      </w:pPr>
    </w:p>
    <w:p w14:paraId="4F67B5C9" w14:textId="77777777" w:rsidR="00591D54" w:rsidRDefault="00591D54">
      <w:pPr>
        <w:shd w:val="clear" w:color="auto" w:fill="FFFFFF"/>
        <w:spacing w:line="211" w:lineRule="exact"/>
        <w:jc w:val="both"/>
      </w:pPr>
      <w:r>
        <w:rPr>
          <w:spacing w:val="-7"/>
          <w:sz w:val="18"/>
          <w:szCs w:val="18"/>
          <w:lang w:val="es-ES_tradnl"/>
        </w:rPr>
        <w:t xml:space="preserve">conforme consta de las clausulas arbitrales contenidas en </w:t>
      </w:r>
      <w:r>
        <w:rPr>
          <w:sz w:val="18"/>
          <w:szCs w:val="18"/>
          <w:lang w:val="es-ES_tradnl"/>
        </w:rPr>
        <w:t>los contratos en menci</w:t>
      </w:r>
      <w:r>
        <w:rPr>
          <w:rFonts w:cs="Times New Roman"/>
          <w:sz w:val="18"/>
          <w:szCs w:val="18"/>
          <w:lang w:val="es-ES_tradnl"/>
        </w:rPr>
        <w:t>ó</w:t>
      </w:r>
      <w:r>
        <w:rPr>
          <w:sz w:val="18"/>
          <w:szCs w:val="18"/>
          <w:lang w:val="es-ES_tradnl"/>
        </w:rPr>
        <w:t>n.</w:t>
      </w:r>
    </w:p>
    <w:p w14:paraId="4F67B5CA" w14:textId="77777777" w:rsidR="00591D54" w:rsidRDefault="00591D54">
      <w:pPr>
        <w:shd w:val="clear" w:color="auto" w:fill="FFFFFF"/>
        <w:spacing w:before="192" w:line="211" w:lineRule="exact"/>
        <w:ind w:right="5"/>
        <w:jc w:val="both"/>
      </w:pPr>
      <w:r>
        <w:rPr>
          <w:spacing w:val="-5"/>
          <w:sz w:val="18"/>
          <w:szCs w:val="18"/>
          <w:lang w:val="es-ES_tradnl"/>
        </w:rPr>
        <w:t xml:space="preserve">En virtud de los contratos, Petrocomercial, el 3 de marzo </w:t>
      </w:r>
      <w:r>
        <w:rPr>
          <w:spacing w:val="-7"/>
          <w:sz w:val="18"/>
          <w:szCs w:val="18"/>
          <w:lang w:val="es-ES_tradnl"/>
        </w:rPr>
        <w:t>de 2010, notific</w:t>
      </w:r>
      <w:r>
        <w:rPr>
          <w:rFonts w:cs="Times New Roman"/>
          <w:spacing w:val="-7"/>
          <w:sz w:val="18"/>
          <w:szCs w:val="18"/>
          <w:lang w:val="es-ES_tradnl"/>
        </w:rPr>
        <w:t>ó</w:t>
      </w:r>
      <w:r>
        <w:rPr>
          <w:spacing w:val="-7"/>
          <w:sz w:val="18"/>
          <w:szCs w:val="18"/>
          <w:lang w:val="es-ES_tradnl"/>
        </w:rPr>
        <w:t xml:space="preserve"> a TAGSA con la solicitud de cancelaci</w:t>
      </w:r>
      <w:r>
        <w:rPr>
          <w:rFonts w:cs="Times New Roman"/>
          <w:spacing w:val="-7"/>
          <w:sz w:val="18"/>
          <w:szCs w:val="18"/>
          <w:lang w:val="es-ES_tradnl"/>
        </w:rPr>
        <w:t>ó</w:t>
      </w:r>
      <w:r>
        <w:rPr>
          <w:spacing w:val="-7"/>
          <w:sz w:val="18"/>
          <w:szCs w:val="18"/>
          <w:lang w:val="es-ES_tradnl"/>
        </w:rPr>
        <w:t xml:space="preserve">n </w:t>
      </w:r>
      <w:r>
        <w:rPr>
          <w:spacing w:val="-11"/>
          <w:sz w:val="18"/>
          <w:szCs w:val="18"/>
          <w:lang w:val="es-ES_tradnl"/>
        </w:rPr>
        <w:t xml:space="preserve">de </w:t>
      </w:r>
      <w:r>
        <w:rPr>
          <w:b/>
          <w:bCs/>
          <w:spacing w:val="-11"/>
          <w:sz w:val="18"/>
          <w:szCs w:val="18"/>
          <w:lang w:val="es-ES_tradnl"/>
        </w:rPr>
        <w:t xml:space="preserve">novecientos setenta y cuatro mil setecientos </w:t>
      </w:r>
      <w:r>
        <w:rPr>
          <w:b/>
          <w:bCs/>
          <w:spacing w:val="-4"/>
          <w:sz w:val="18"/>
          <w:szCs w:val="18"/>
          <w:lang w:val="es-ES_tradnl"/>
        </w:rPr>
        <w:t xml:space="preserve">noventa y ocho </w:t>
      </w:r>
      <w:r>
        <w:rPr>
          <w:spacing w:val="-4"/>
          <w:sz w:val="18"/>
          <w:szCs w:val="18"/>
          <w:lang w:val="es-ES_tradnl"/>
        </w:rPr>
        <w:t>12/100 d</w:t>
      </w:r>
      <w:r>
        <w:rPr>
          <w:rFonts w:cs="Times New Roman"/>
          <w:spacing w:val="-4"/>
          <w:sz w:val="18"/>
          <w:szCs w:val="18"/>
          <w:lang w:val="es-ES_tradnl"/>
        </w:rPr>
        <w:t>ó</w:t>
      </w:r>
      <w:r>
        <w:rPr>
          <w:spacing w:val="-4"/>
          <w:sz w:val="18"/>
          <w:szCs w:val="18"/>
          <w:lang w:val="es-ES_tradnl"/>
        </w:rPr>
        <w:t xml:space="preserve">lares de los Estados Unidos </w:t>
      </w:r>
      <w:r>
        <w:rPr>
          <w:spacing w:val="-2"/>
          <w:sz w:val="18"/>
          <w:szCs w:val="18"/>
          <w:lang w:val="es-ES_tradnl"/>
        </w:rPr>
        <w:t>de Norteam</w:t>
      </w:r>
      <w:r>
        <w:rPr>
          <w:rFonts w:cs="Times New Roman"/>
          <w:spacing w:val="-2"/>
          <w:sz w:val="18"/>
          <w:szCs w:val="18"/>
          <w:lang w:val="es-ES_tradnl"/>
        </w:rPr>
        <w:t>é</w:t>
      </w:r>
      <w:r>
        <w:rPr>
          <w:spacing w:val="-2"/>
          <w:sz w:val="18"/>
          <w:szCs w:val="18"/>
          <w:lang w:val="es-ES_tradnl"/>
        </w:rPr>
        <w:t xml:space="preserve">rica ( $ 974.798,12 USD) correspondiente </w:t>
      </w:r>
      <w:r>
        <w:rPr>
          <w:spacing w:val="-7"/>
          <w:sz w:val="18"/>
          <w:szCs w:val="18"/>
          <w:lang w:val="es-ES_tradnl"/>
        </w:rPr>
        <w:t>a mermas no permisibles, con fundamento en la cl</w:t>
      </w:r>
      <w:r>
        <w:rPr>
          <w:rFonts w:cs="Times New Roman"/>
          <w:spacing w:val="-7"/>
          <w:sz w:val="18"/>
          <w:szCs w:val="18"/>
          <w:lang w:val="es-ES_tradnl"/>
        </w:rPr>
        <w:t>á</w:t>
      </w:r>
      <w:r>
        <w:rPr>
          <w:spacing w:val="-7"/>
          <w:sz w:val="18"/>
          <w:szCs w:val="18"/>
          <w:lang w:val="es-ES_tradnl"/>
        </w:rPr>
        <w:t xml:space="preserve">usula </w:t>
      </w:r>
      <w:r>
        <w:rPr>
          <w:spacing w:val="-8"/>
          <w:sz w:val="18"/>
          <w:szCs w:val="18"/>
          <w:lang w:val="es-ES_tradnl"/>
        </w:rPr>
        <w:t>novena del contrato N.</w:t>
      </w:r>
      <w:r>
        <w:rPr>
          <w:rFonts w:cs="Times New Roman"/>
          <w:spacing w:val="-8"/>
          <w:sz w:val="18"/>
          <w:szCs w:val="18"/>
          <w:lang w:val="es-ES_tradnl"/>
        </w:rPr>
        <w:t>º</w:t>
      </w:r>
      <w:r>
        <w:rPr>
          <w:spacing w:val="-8"/>
          <w:sz w:val="18"/>
          <w:szCs w:val="18"/>
          <w:lang w:val="es-ES_tradnl"/>
        </w:rPr>
        <w:t xml:space="preserve"> 2006019 seg</w:t>
      </w:r>
      <w:r>
        <w:rPr>
          <w:rFonts w:cs="Times New Roman"/>
          <w:spacing w:val="-8"/>
          <w:sz w:val="18"/>
          <w:szCs w:val="18"/>
          <w:lang w:val="es-ES_tradnl"/>
        </w:rPr>
        <w:t>ú</w:t>
      </w:r>
      <w:r>
        <w:rPr>
          <w:spacing w:val="-8"/>
          <w:sz w:val="18"/>
          <w:szCs w:val="18"/>
          <w:lang w:val="es-ES_tradnl"/>
        </w:rPr>
        <w:t>n el cual, se tomar</w:t>
      </w:r>
      <w:r>
        <w:rPr>
          <w:rFonts w:cs="Times New Roman"/>
          <w:spacing w:val="-8"/>
          <w:sz w:val="18"/>
          <w:szCs w:val="18"/>
          <w:lang w:val="es-ES_tradnl"/>
        </w:rPr>
        <w:t>í</w:t>
      </w:r>
      <w:r>
        <w:rPr>
          <w:spacing w:val="-8"/>
          <w:sz w:val="18"/>
          <w:szCs w:val="18"/>
          <w:lang w:val="es-ES_tradnl"/>
        </w:rPr>
        <w:t xml:space="preserve">a </w:t>
      </w:r>
      <w:r>
        <w:rPr>
          <w:spacing w:val="-7"/>
          <w:sz w:val="18"/>
          <w:szCs w:val="18"/>
          <w:lang w:val="es-ES_tradnl"/>
        </w:rPr>
        <w:t>en cuenta los vol</w:t>
      </w:r>
      <w:r>
        <w:rPr>
          <w:rFonts w:cs="Times New Roman"/>
          <w:spacing w:val="-7"/>
          <w:sz w:val="18"/>
          <w:szCs w:val="18"/>
          <w:lang w:val="es-ES_tradnl"/>
        </w:rPr>
        <w:t>ú</w:t>
      </w:r>
      <w:r>
        <w:rPr>
          <w:spacing w:val="-7"/>
          <w:sz w:val="18"/>
          <w:szCs w:val="18"/>
          <w:lang w:val="es-ES_tradnl"/>
        </w:rPr>
        <w:t>menes consignados en las gu</w:t>
      </w:r>
      <w:r>
        <w:rPr>
          <w:rFonts w:cs="Times New Roman"/>
          <w:spacing w:val="-7"/>
          <w:sz w:val="18"/>
          <w:szCs w:val="18"/>
          <w:lang w:val="es-ES_tradnl"/>
        </w:rPr>
        <w:t>í</w:t>
      </w:r>
      <w:r>
        <w:rPr>
          <w:spacing w:val="-7"/>
          <w:sz w:val="18"/>
          <w:szCs w:val="18"/>
          <w:lang w:val="es-ES_tradnl"/>
        </w:rPr>
        <w:t xml:space="preserve">as de </w:t>
      </w:r>
      <w:r>
        <w:rPr>
          <w:spacing w:val="-8"/>
          <w:sz w:val="18"/>
          <w:szCs w:val="18"/>
          <w:lang w:val="es-ES_tradnl"/>
        </w:rPr>
        <w:t>remisi</w:t>
      </w:r>
      <w:r>
        <w:rPr>
          <w:rFonts w:cs="Times New Roman"/>
          <w:spacing w:val="-8"/>
          <w:sz w:val="18"/>
          <w:szCs w:val="18"/>
          <w:lang w:val="es-ES_tradnl"/>
        </w:rPr>
        <w:t>ó</w:t>
      </w:r>
      <w:r>
        <w:rPr>
          <w:spacing w:val="-8"/>
          <w:sz w:val="18"/>
          <w:szCs w:val="18"/>
          <w:lang w:val="es-ES_tradnl"/>
        </w:rPr>
        <w:t xml:space="preserve">n o transferencias desde los terminales o centro de </w:t>
      </w:r>
      <w:r>
        <w:rPr>
          <w:spacing w:val="-9"/>
          <w:sz w:val="18"/>
          <w:szCs w:val="18"/>
          <w:lang w:val="es-ES_tradnl"/>
        </w:rPr>
        <w:t xml:space="preserve">despacho consignados por Petrocomercial, adicionalmente, </w:t>
      </w:r>
      <w:r>
        <w:rPr>
          <w:spacing w:val="-11"/>
          <w:sz w:val="18"/>
          <w:szCs w:val="18"/>
          <w:lang w:val="es-ES_tradnl"/>
        </w:rPr>
        <w:t>la cl</w:t>
      </w:r>
      <w:r>
        <w:rPr>
          <w:rFonts w:cs="Times New Roman"/>
          <w:spacing w:val="-11"/>
          <w:sz w:val="18"/>
          <w:szCs w:val="18"/>
          <w:lang w:val="es-ES_tradnl"/>
        </w:rPr>
        <w:t>á</w:t>
      </w:r>
      <w:r>
        <w:rPr>
          <w:spacing w:val="-11"/>
          <w:sz w:val="18"/>
          <w:szCs w:val="18"/>
          <w:lang w:val="es-ES_tradnl"/>
        </w:rPr>
        <w:t>usula d</w:t>
      </w:r>
      <w:r>
        <w:rPr>
          <w:rFonts w:cs="Times New Roman"/>
          <w:spacing w:val="-11"/>
          <w:sz w:val="18"/>
          <w:szCs w:val="18"/>
          <w:lang w:val="es-ES_tradnl"/>
        </w:rPr>
        <w:t>é</w:t>
      </w:r>
      <w:r>
        <w:rPr>
          <w:spacing w:val="-11"/>
          <w:sz w:val="18"/>
          <w:szCs w:val="18"/>
          <w:lang w:val="es-ES_tradnl"/>
        </w:rPr>
        <w:t>cima se</w:t>
      </w:r>
      <w:r>
        <w:rPr>
          <w:rFonts w:cs="Times New Roman"/>
          <w:spacing w:val="-11"/>
          <w:sz w:val="18"/>
          <w:szCs w:val="18"/>
          <w:lang w:val="es-ES_tradnl"/>
        </w:rPr>
        <w:t>ñ</w:t>
      </w:r>
      <w:r>
        <w:rPr>
          <w:spacing w:val="-11"/>
          <w:sz w:val="18"/>
          <w:szCs w:val="18"/>
          <w:lang w:val="es-ES_tradnl"/>
        </w:rPr>
        <w:t>ala que las mermas ser</w:t>
      </w:r>
      <w:r>
        <w:rPr>
          <w:rFonts w:cs="Times New Roman"/>
          <w:spacing w:val="-11"/>
          <w:sz w:val="18"/>
          <w:szCs w:val="18"/>
          <w:lang w:val="es-ES_tradnl"/>
        </w:rPr>
        <w:t>á</w:t>
      </w:r>
      <w:r>
        <w:rPr>
          <w:spacing w:val="-11"/>
          <w:sz w:val="18"/>
          <w:szCs w:val="18"/>
          <w:lang w:val="es-ES_tradnl"/>
        </w:rPr>
        <w:t xml:space="preserve">n canceladas </w:t>
      </w:r>
      <w:r>
        <w:rPr>
          <w:spacing w:val="-7"/>
          <w:sz w:val="18"/>
          <w:szCs w:val="18"/>
          <w:lang w:val="es-ES_tradnl"/>
        </w:rPr>
        <w:t>por TAGSA, por lo cual, Petrocomercial emiti</w:t>
      </w:r>
      <w:r>
        <w:rPr>
          <w:rFonts w:cs="Times New Roman"/>
          <w:spacing w:val="-7"/>
          <w:sz w:val="18"/>
          <w:szCs w:val="18"/>
          <w:lang w:val="es-ES_tradnl"/>
        </w:rPr>
        <w:t>ó</w:t>
      </w:r>
      <w:r>
        <w:rPr>
          <w:spacing w:val="-7"/>
          <w:sz w:val="18"/>
          <w:szCs w:val="18"/>
          <w:lang w:val="es-ES_tradnl"/>
        </w:rPr>
        <w:t xml:space="preserve"> las facturas </w:t>
      </w:r>
      <w:r>
        <w:rPr>
          <w:sz w:val="18"/>
          <w:szCs w:val="18"/>
          <w:lang w:val="es-ES_tradnl"/>
        </w:rPr>
        <w:t>respectivas.</w:t>
      </w:r>
    </w:p>
    <w:p w14:paraId="4F67B5CB" w14:textId="77777777" w:rsidR="00591D54" w:rsidRDefault="00591D54">
      <w:pPr>
        <w:shd w:val="clear" w:color="auto" w:fill="FFFFFF"/>
        <w:spacing w:before="192" w:line="211" w:lineRule="exact"/>
        <w:jc w:val="both"/>
      </w:pPr>
      <w:r>
        <w:rPr>
          <w:spacing w:val="-7"/>
          <w:sz w:val="18"/>
          <w:szCs w:val="18"/>
          <w:lang w:val="es-ES_tradnl"/>
        </w:rPr>
        <w:t>Frente a estos acontecimientos, TAGSA present</w:t>
      </w:r>
      <w:r>
        <w:rPr>
          <w:rFonts w:cs="Times New Roman"/>
          <w:spacing w:val="-7"/>
          <w:sz w:val="18"/>
          <w:szCs w:val="18"/>
          <w:lang w:val="es-ES_tradnl"/>
        </w:rPr>
        <w:t>ó</w:t>
      </w:r>
      <w:r>
        <w:rPr>
          <w:spacing w:val="-7"/>
          <w:sz w:val="18"/>
          <w:szCs w:val="18"/>
          <w:lang w:val="es-ES_tradnl"/>
        </w:rPr>
        <w:t xml:space="preserve"> una </w:t>
      </w:r>
      <w:r>
        <w:rPr>
          <w:spacing w:val="-10"/>
          <w:sz w:val="18"/>
          <w:szCs w:val="18"/>
          <w:lang w:val="es-ES_tradnl"/>
        </w:rPr>
        <w:t xml:space="preserve">demanda arbitral el 11 de marzo de 2010, manifestando que </w:t>
      </w:r>
      <w:r>
        <w:rPr>
          <w:spacing w:val="-11"/>
          <w:sz w:val="18"/>
          <w:szCs w:val="18"/>
          <w:lang w:val="es-ES_tradnl"/>
        </w:rPr>
        <w:t>de conformidad con las cl</w:t>
      </w:r>
      <w:r>
        <w:rPr>
          <w:rFonts w:cs="Times New Roman"/>
          <w:spacing w:val="-11"/>
          <w:sz w:val="18"/>
          <w:szCs w:val="18"/>
          <w:lang w:val="es-ES_tradnl"/>
        </w:rPr>
        <w:t>á</w:t>
      </w:r>
      <w:r>
        <w:rPr>
          <w:spacing w:val="-11"/>
          <w:sz w:val="18"/>
          <w:szCs w:val="18"/>
          <w:lang w:val="es-ES_tradnl"/>
        </w:rPr>
        <w:t xml:space="preserve">usulas sexta y octava se realizaba </w:t>
      </w:r>
      <w:r>
        <w:rPr>
          <w:spacing w:val="-8"/>
          <w:sz w:val="18"/>
          <w:szCs w:val="18"/>
          <w:lang w:val="es-ES_tradnl"/>
        </w:rPr>
        <w:t>aforo de los tanques en presencia y con la participaci</w:t>
      </w:r>
      <w:r>
        <w:rPr>
          <w:rFonts w:cs="Times New Roman"/>
          <w:spacing w:val="-8"/>
          <w:sz w:val="18"/>
          <w:szCs w:val="18"/>
          <w:lang w:val="es-ES_tradnl"/>
        </w:rPr>
        <w:t>ó</w:t>
      </w:r>
      <w:r>
        <w:rPr>
          <w:spacing w:val="-8"/>
          <w:sz w:val="18"/>
          <w:szCs w:val="18"/>
          <w:lang w:val="es-ES_tradnl"/>
        </w:rPr>
        <w:t xml:space="preserve">n de </w:t>
      </w:r>
      <w:r>
        <w:rPr>
          <w:spacing w:val="-5"/>
          <w:sz w:val="18"/>
          <w:szCs w:val="18"/>
          <w:lang w:val="es-ES_tradnl"/>
        </w:rPr>
        <w:t>los funcionarios de Petrocomercial, TAGSA, la DGAC/ Ecuafuel y la Direcci</w:t>
      </w:r>
      <w:r>
        <w:rPr>
          <w:rFonts w:cs="Times New Roman"/>
          <w:spacing w:val="-5"/>
          <w:sz w:val="18"/>
          <w:szCs w:val="18"/>
          <w:lang w:val="es-ES_tradnl"/>
        </w:rPr>
        <w:t>ó</w:t>
      </w:r>
      <w:r>
        <w:rPr>
          <w:spacing w:val="-5"/>
          <w:sz w:val="18"/>
          <w:szCs w:val="18"/>
          <w:lang w:val="es-ES_tradnl"/>
        </w:rPr>
        <w:t xml:space="preserve">n Nacional de Hidrocarburos, para </w:t>
      </w:r>
      <w:r>
        <w:rPr>
          <w:spacing w:val="-9"/>
          <w:sz w:val="18"/>
          <w:szCs w:val="18"/>
          <w:lang w:val="es-ES_tradnl"/>
        </w:rPr>
        <w:t xml:space="preserve">determinar la cantidad que efectivamente es recibida en los </w:t>
      </w:r>
      <w:r>
        <w:rPr>
          <w:spacing w:val="-5"/>
          <w:sz w:val="18"/>
          <w:szCs w:val="18"/>
          <w:lang w:val="es-ES_tradnl"/>
        </w:rPr>
        <w:t xml:space="preserve">tanques de almacenamiento del aeropuerto por TAGSA, </w:t>
      </w:r>
      <w:r>
        <w:rPr>
          <w:spacing w:val="-10"/>
          <w:sz w:val="18"/>
          <w:szCs w:val="18"/>
          <w:lang w:val="es-ES_tradnl"/>
        </w:rPr>
        <w:t xml:space="preserve">ya que las cantidades correspondientes desde los patios de </w:t>
      </w:r>
      <w:r>
        <w:rPr>
          <w:spacing w:val="-9"/>
          <w:sz w:val="18"/>
          <w:szCs w:val="18"/>
          <w:lang w:val="es-ES_tradnl"/>
        </w:rPr>
        <w:t xml:space="preserve">despacho de Petrocomercial hasta llegar al aeropuerto de Guayaquil son mermas que se producen en el despacho y que surgen por los transportistas de los combustibles en las </w:t>
      </w:r>
      <w:r>
        <w:rPr>
          <w:spacing w:val="-8"/>
          <w:sz w:val="18"/>
          <w:szCs w:val="18"/>
          <w:lang w:val="es-ES_tradnl"/>
        </w:rPr>
        <w:t>v</w:t>
      </w:r>
      <w:r>
        <w:rPr>
          <w:rFonts w:cs="Times New Roman"/>
          <w:spacing w:val="-8"/>
          <w:sz w:val="18"/>
          <w:szCs w:val="18"/>
          <w:lang w:val="es-ES_tradnl"/>
        </w:rPr>
        <w:t>í</w:t>
      </w:r>
      <w:r>
        <w:rPr>
          <w:spacing w:val="-8"/>
          <w:sz w:val="18"/>
          <w:szCs w:val="18"/>
          <w:lang w:val="es-ES_tradnl"/>
        </w:rPr>
        <w:t>as p</w:t>
      </w:r>
      <w:r>
        <w:rPr>
          <w:rFonts w:cs="Times New Roman"/>
          <w:spacing w:val="-8"/>
          <w:sz w:val="18"/>
          <w:szCs w:val="18"/>
          <w:lang w:val="es-ES_tradnl"/>
        </w:rPr>
        <w:t>ú</w:t>
      </w:r>
      <w:r>
        <w:rPr>
          <w:spacing w:val="-8"/>
          <w:sz w:val="18"/>
          <w:szCs w:val="18"/>
          <w:lang w:val="es-ES_tradnl"/>
        </w:rPr>
        <w:t>blicas, que no son imputables a TAGSA.</w:t>
      </w:r>
    </w:p>
    <w:p w14:paraId="4F67B5CC" w14:textId="77777777" w:rsidR="00591D54" w:rsidRDefault="00591D54">
      <w:pPr>
        <w:shd w:val="clear" w:color="auto" w:fill="FFFFFF"/>
        <w:spacing w:before="187" w:line="211" w:lineRule="exact"/>
        <w:ind w:right="5"/>
        <w:jc w:val="both"/>
      </w:pPr>
      <w:r>
        <w:rPr>
          <w:spacing w:val="-2"/>
          <w:sz w:val="18"/>
          <w:szCs w:val="18"/>
          <w:lang w:val="es-ES_tradnl"/>
        </w:rPr>
        <w:t>El 7 de julio de 2011, el Tribunal Arbitral de la C</w:t>
      </w:r>
      <w:r>
        <w:rPr>
          <w:rFonts w:cs="Times New Roman"/>
          <w:spacing w:val="-2"/>
          <w:sz w:val="18"/>
          <w:szCs w:val="18"/>
          <w:lang w:val="es-ES_tradnl"/>
        </w:rPr>
        <w:t>á</w:t>
      </w:r>
      <w:r>
        <w:rPr>
          <w:spacing w:val="-2"/>
          <w:sz w:val="18"/>
          <w:szCs w:val="18"/>
          <w:lang w:val="es-ES_tradnl"/>
        </w:rPr>
        <w:t xml:space="preserve">mara </w:t>
      </w:r>
      <w:r>
        <w:rPr>
          <w:spacing w:val="-5"/>
          <w:sz w:val="18"/>
          <w:szCs w:val="18"/>
          <w:lang w:val="es-ES_tradnl"/>
        </w:rPr>
        <w:t>de Comercio de Quito emiti</w:t>
      </w:r>
      <w:r>
        <w:rPr>
          <w:rFonts w:cs="Times New Roman"/>
          <w:spacing w:val="-5"/>
          <w:sz w:val="18"/>
          <w:szCs w:val="18"/>
          <w:lang w:val="es-ES_tradnl"/>
        </w:rPr>
        <w:t>ó</w:t>
      </w:r>
      <w:r>
        <w:rPr>
          <w:spacing w:val="-5"/>
          <w:sz w:val="18"/>
          <w:szCs w:val="18"/>
          <w:lang w:val="es-ES_tradnl"/>
        </w:rPr>
        <w:t xml:space="preserve"> el laudo arbitral en el cual </w:t>
      </w:r>
      <w:r>
        <w:rPr>
          <w:spacing w:val="-9"/>
          <w:sz w:val="18"/>
          <w:szCs w:val="18"/>
          <w:lang w:val="es-ES_tradnl"/>
        </w:rPr>
        <w:t>resolvi</w:t>
      </w:r>
      <w:r>
        <w:rPr>
          <w:rFonts w:cs="Times New Roman"/>
          <w:spacing w:val="-9"/>
          <w:sz w:val="18"/>
          <w:szCs w:val="18"/>
          <w:lang w:val="es-ES_tradnl"/>
        </w:rPr>
        <w:t>ó</w:t>
      </w:r>
      <w:r>
        <w:rPr>
          <w:spacing w:val="-9"/>
          <w:sz w:val="18"/>
          <w:szCs w:val="18"/>
          <w:lang w:val="es-ES_tradnl"/>
        </w:rPr>
        <w:t xml:space="preserve"> que TAGSA no es deudora de las facturas emitidas </w:t>
      </w:r>
      <w:r>
        <w:rPr>
          <w:spacing w:val="-8"/>
          <w:sz w:val="18"/>
          <w:szCs w:val="18"/>
          <w:lang w:val="es-ES_tradnl"/>
        </w:rPr>
        <w:t>por Petrocomercial, en raz</w:t>
      </w:r>
      <w:r>
        <w:rPr>
          <w:rFonts w:cs="Times New Roman"/>
          <w:spacing w:val="-8"/>
          <w:sz w:val="18"/>
          <w:szCs w:val="18"/>
          <w:lang w:val="es-ES_tradnl"/>
        </w:rPr>
        <w:t>ó</w:t>
      </w:r>
      <w:r>
        <w:rPr>
          <w:spacing w:val="-8"/>
          <w:sz w:val="18"/>
          <w:szCs w:val="18"/>
          <w:lang w:val="es-ES_tradnl"/>
        </w:rPr>
        <w:t xml:space="preserve">n de que no se ha demostrado </w:t>
      </w:r>
      <w:r>
        <w:rPr>
          <w:sz w:val="18"/>
          <w:szCs w:val="18"/>
          <w:lang w:val="es-ES_tradnl"/>
        </w:rPr>
        <w:t xml:space="preserve">en el proceso que las obligaciones a que se refieren </w:t>
      </w:r>
      <w:r>
        <w:rPr>
          <w:spacing w:val="-8"/>
          <w:sz w:val="18"/>
          <w:szCs w:val="18"/>
          <w:lang w:val="es-ES_tradnl"/>
        </w:rPr>
        <w:t xml:space="preserve">las mencionadas facturas, se originen en mermas de </w:t>
      </w:r>
      <w:r>
        <w:rPr>
          <w:spacing w:val="-7"/>
          <w:sz w:val="18"/>
          <w:szCs w:val="18"/>
          <w:lang w:val="es-ES_tradnl"/>
        </w:rPr>
        <w:t>aerocombustibles ocurridas en el centro de distribuci</w:t>
      </w:r>
      <w:r>
        <w:rPr>
          <w:rFonts w:cs="Times New Roman"/>
          <w:spacing w:val="-7"/>
          <w:sz w:val="18"/>
          <w:szCs w:val="18"/>
          <w:lang w:val="es-ES_tradnl"/>
        </w:rPr>
        <w:t>ó</w:t>
      </w:r>
      <w:r>
        <w:rPr>
          <w:spacing w:val="-7"/>
          <w:sz w:val="18"/>
          <w:szCs w:val="18"/>
          <w:lang w:val="es-ES_tradnl"/>
        </w:rPr>
        <w:t xml:space="preserve">n de </w:t>
      </w:r>
      <w:r>
        <w:rPr>
          <w:spacing w:val="-6"/>
          <w:sz w:val="18"/>
          <w:szCs w:val="18"/>
          <w:lang w:val="es-ES_tradnl"/>
        </w:rPr>
        <w:t xml:space="preserve">combustibles del aeropuerto </w:t>
      </w:r>
      <w:r>
        <w:rPr>
          <w:rFonts w:cs="Times New Roman"/>
          <w:spacing w:val="-6"/>
          <w:sz w:val="18"/>
          <w:szCs w:val="18"/>
          <w:lang w:val="es-ES_tradnl"/>
        </w:rPr>
        <w:t>“</w:t>
      </w:r>
      <w:r>
        <w:rPr>
          <w:spacing w:val="-6"/>
          <w:sz w:val="18"/>
          <w:szCs w:val="18"/>
          <w:lang w:val="es-ES_tradnl"/>
        </w:rPr>
        <w:t>Sim</w:t>
      </w:r>
      <w:r>
        <w:rPr>
          <w:rFonts w:cs="Times New Roman"/>
          <w:spacing w:val="-6"/>
          <w:sz w:val="18"/>
          <w:szCs w:val="18"/>
          <w:lang w:val="es-ES_tradnl"/>
        </w:rPr>
        <w:t>ó</w:t>
      </w:r>
      <w:r>
        <w:rPr>
          <w:spacing w:val="-6"/>
          <w:sz w:val="18"/>
          <w:szCs w:val="18"/>
          <w:lang w:val="es-ES_tradnl"/>
        </w:rPr>
        <w:t>n Bol</w:t>
      </w:r>
      <w:r>
        <w:rPr>
          <w:rFonts w:cs="Times New Roman"/>
          <w:spacing w:val="-6"/>
          <w:sz w:val="18"/>
          <w:szCs w:val="18"/>
          <w:lang w:val="es-ES_tradnl"/>
        </w:rPr>
        <w:t>í</w:t>
      </w:r>
      <w:r>
        <w:rPr>
          <w:spacing w:val="-6"/>
          <w:sz w:val="18"/>
          <w:szCs w:val="18"/>
          <w:lang w:val="es-ES_tradnl"/>
        </w:rPr>
        <w:t>var</w:t>
      </w:r>
      <w:r>
        <w:rPr>
          <w:rFonts w:cs="Times New Roman"/>
          <w:spacing w:val="-6"/>
          <w:sz w:val="18"/>
          <w:szCs w:val="18"/>
          <w:lang w:val="es-ES_tradnl"/>
        </w:rPr>
        <w:t>”</w:t>
      </w:r>
      <w:r>
        <w:rPr>
          <w:spacing w:val="-6"/>
          <w:sz w:val="18"/>
          <w:szCs w:val="18"/>
          <w:lang w:val="es-ES_tradnl"/>
        </w:rPr>
        <w:t xml:space="preserve"> de la ciudad </w:t>
      </w:r>
      <w:r>
        <w:rPr>
          <w:sz w:val="18"/>
          <w:szCs w:val="18"/>
          <w:lang w:val="es-ES_tradnl"/>
        </w:rPr>
        <w:t>de Guayaquil.</w:t>
      </w:r>
    </w:p>
    <w:p w14:paraId="4F67B5CD" w14:textId="77777777" w:rsidR="00591D54" w:rsidRDefault="00591D54">
      <w:pPr>
        <w:shd w:val="clear" w:color="auto" w:fill="FFFFFF"/>
        <w:spacing w:before="192" w:line="211" w:lineRule="exact"/>
        <w:ind w:right="5"/>
        <w:jc w:val="both"/>
      </w:pPr>
      <w:r>
        <w:rPr>
          <w:spacing w:val="-5"/>
          <w:sz w:val="18"/>
          <w:szCs w:val="18"/>
          <w:lang w:val="es-ES_tradnl"/>
        </w:rPr>
        <w:t xml:space="preserve">De este laudo arbitral, el 21 de julio de 2011, el doctor </w:t>
      </w:r>
      <w:r>
        <w:rPr>
          <w:spacing w:val="-4"/>
          <w:sz w:val="18"/>
          <w:szCs w:val="18"/>
          <w:lang w:val="es-ES_tradnl"/>
        </w:rPr>
        <w:t>Wladimir L</w:t>
      </w:r>
      <w:r>
        <w:rPr>
          <w:rFonts w:cs="Times New Roman"/>
          <w:spacing w:val="-4"/>
          <w:sz w:val="18"/>
          <w:szCs w:val="18"/>
          <w:lang w:val="es-ES_tradnl"/>
        </w:rPr>
        <w:t>ó</w:t>
      </w:r>
      <w:r>
        <w:rPr>
          <w:spacing w:val="-4"/>
          <w:sz w:val="18"/>
          <w:szCs w:val="18"/>
          <w:lang w:val="es-ES_tradnl"/>
        </w:rPr>
        <w:t xml:space="preserve">pez Erazo en calidad de coordinador de patrocinio (e) de la EP Petroecuador y apoderado del </w:t>
      </w:r>
      <w:r>
        <w:rPr>
          <w:spacing w:val="-8"/>
          <w:sz w:val="18"/>
          <w:szCs w:val="18"/>
          <w:lang w:val="es-ES_tradnl"/>
        </w:rPr>
        <w:t>gerente general de la misma, present</w:t>
      </w:r>
      <w:r>
        <w:rPr>
          <w:rFonts w:cs="Times New Roman"/>
          <w:spacing w:val="-8"/>
          <w:sz w:val="18"/>
          <w:szCs w:val="18"/>
          <w:lang w:val="es-ES_tradnl"/>
        </w:rPr>
        <w:t>ó</w:t>
      </w:r>
      <w:r>
        <w:rPr>
          <w:spacing w:val="-8"/>
          <w:sz w:val="18"/>
          <w:szCs w:val="18"/>
          <w:lang w:val="es-ES_tradnl"/>
        </w:rPr>
        <w:t xml:space="preserve"> la acci</w:t>
      </w:r>
      <w:r>
        <w:rPr>
          <w:rFonts w:cs="Times New Roman"/>
          <w:spacing w:val="-8"/>
          <w:sz w:val="18"/>
          <w:szCs w:val="18"/>
          <w:lang w:val="es-ES_tradnl"/>
        </w:rPr>
        <w:t>ó</w:t>
      </w:r>
      <w:r>
        <w:rPr>
          <w:spacing w:val="-8"/>
          <w:sz w:val="18"/>
          <w:szCs w:val="18"/>
          <w:lang w:val="es-ES_tradnl"/>
        </w:rPr>
        <w:t xml:space="preserve">n de nulidad </w:t>
      </w:r>
      <w:r>
        <w:rPr>
          <w:spacing w:val="-5"/>
          <w:sz w:val="18"/>
          <w:szCs w:val="18"/>
          <w:lang w:val="es-ES_tradnl"/>
        </w:rPr>
        <w:t xml:space="preserve">del laudo arbitral y de la misma forma, el 22 de julio de </w:t>
      </w:r>
      <w:r>
        <w:rPr>
          <w:spacing w:val="-8"/>
          <w:sz w:val="18"/>
          <w:szCs w:val="18"/>
          <w:lang w:val="es-ES_tradnl"/>
        </w:rPr>
        <w:t>2011, formul</w:t>
      </w:r>
      <w:r>
        <w:rPr>
          <w:rFonts w:cs="Times New Roman"/>
          <w:spacing w:val="-8"/>
          <w:sz w:val="18"/>
          <w:szCs w:val="18"/>
          <w:lang w:val="es-ES_tradnl"/>
        </w:rPr>
        <w:t>ó</w:t>
      </w:r>
      <w:r>
        <w:rPr>
          <w:spacing w:val="-8"/>
          <w:sz w:val="18"/>
          <w:szCs w:val="18"/>
          <w:lang w:val="es-ES_tradnl"/>
        </w:rPr>
        <w:t xml:space="preserve"> la misma acci</w:t>
      </w:r>
      <w:r>
        <w:rPr>
          <w:rFonts w:cs="Times New Roman"/>
          <w:spacing w:val="-8"/>
          <w:sz w:val="18"/>
          <w:szCs w:val="18"/>
          <w:lang w:val="es-ES_tradnl"/>
        </w:rPr>
        <w:t>ó</w:t>
      </w:r>
      <w:r>
        <w:rPr>
          <w:spacing w:val="-8"/>
          <w:sz w:val="18"/>
          <w:szCs w:val="18"/>
          <w:lang w:val="es-ES_tradnl"/>
        </w:rPr>
        <w:t>n la Procuradur</w:t>
      </w:r>
      <w:r>
        <w:rPr>
          <w:rFonts w:cs="Times New Roman"/>
          <w:spacing w:val="-8"/>
          <w:sz w:val="18"/>
          <w:szCs w:val="18"/>
          <w:lang w:val="es-ES_tradnl"/>
        </w:rPr>
        <w:t>í</w:t>
      </w:r>
      <w:r>
        <w:rPr>
          <w:spacing w:val="-8"/>
          <w:sz w:val="18"/>
          <w:szCs w:val="18"/>
          <w:lang w:val="es-ES_tradnl"/>
        </w:rPr>
        <w:t xml:space="preserve">a General del </w:t>
      </w:r>
      <w:r>
        <w:rPr>
          <w:sz w:val="18"/>
          <w:szCs w:val="18"/>
          <w:lang w:val="es-ES_tradnl"/>
        </w:rPr>
        <w:t>Estado.</w:t>
      </w:r>
    </w:p>
    <w:p w14:paraId="4F67B5CE" w14:textId="77777777" w:rsidR="00591D54" w:rsidRDefault="00591D54">
      <w:pPr>
        <w:shd w:val="clear" w:color="auto" w:fill="FFFFFF"/>
        <w:spacing w:before="192" w:line="211" w:lineRule="exact"/>
        <w:ind w:right="5"/>
        <w:jc w:val="both"/>
      </w:pPr>
      <w:r>
        <w:rPr>
          <w:spacing w:val="-3"/>
          <w:sz w:val="18"/>
          <w:szCs w:val="18"/>
          <w:lang w:val="es-ES_tradnl"/>
        </w:rPr>
        <w:t>As</w:t>
      </w:r>
      <w:r>
        <w:rPr>
          <w:rFonts w:cs="Times New Roman"/>
          <w:spacing w:val="-3"/>
          <w:sz w:val="18"/>
          <w:szCs w:val="18"/>
          <w:lang w:val="es-ES_tradnl"/>
        </w:rPr>
        <w:t>í</w:t>
      </w:r>
      <w:r>
        <w:rPr>
          <w:spacing w:val="-3"/>
          <w:sz w:val="18"/>
          <w:szCs w:val="18"/>
          <w:lang w:val="es-ES_tradnl"/>
        </w:rPr>
        <w:t xml:space="preserve"> pues, mediante auto dictado el 26 de julio de 2011, </w:t>
      </w:r>
      <w:r>
        <w:rPr>
          <w:spacing w:val="-4"/>
          <w:sz w:val="18"/>
          <w:szCs w:val="18"/>
          <w:lang w:val="es-ES_tradnl"/>
        </w:rPr>
        <w:t>el Tribunal Arbitral de la C</w:t>
      </w:r>
      <w:r>
        <w:rPr>
          <w:rFonts w:cs="Times New Roman"/>
          <w:spacing w:val="-4"/>
          <w:sz w:val="18"/>
          <w:szCs w:val="18"/>
          <w:lang w:val="es-ES_tradnl"/>
        </w:rPr>
        <w:t>á</w:t>
      </w:r>
      <w:r>
        <w:rPr>
          <w:spacing w:val="-4"/>
          <w:sz w:val="18"/>
          <w:szCs w:val="18"/>
          <w:lang w:val="es-ES_tradnl"/>
        </w:rPr>
        <w:t xml:space="preserve">mara de Comercio de Quito, </w:t>
      </w:r>
      <w:r>
        <w:rPr>
          <w:spacing w:val="-3"/>
          <w:sz w:val="18"/>
          <w:szCs w:val="18"/>
          <w:lang w:val="es-ES_tradnl"/>
        </w:rPr>
        <w:t>en virtud de los recursos presentados fij</w:t>
      </w:r>
      <w:r>
        <w:rPr>
          <w:rFonts w:cs="Times New Roman"/>
          <w:spacing w:val="-3"/>
          <w:sz w:val="18"/>
          <w:szCs w:val="18"/>
          <w:lang w:val="es-ES_tradnl"/>
        </w:rPr>
        <w:t>ó</w:t>
      </w:r>
      <w:r>
        <w:rPr>
          <w:spacing w:val="-3"/>
          <w:sz w:val="18"/>
          <w:szCs w:val="18"/>
          <w:lang w:val="es-ES_tradnl"/>
        </w:rPr>
        <w:t xml:space="preserve"> la cauci</w:t>
      </w:r>
      <w:r>
        <w:rPr>
          <w:rFonts w:cs="Times New Roman"/>
          <w:spacing w:val="-3"/>
          <w:sz w:val="18"/>
          <w:szCs w:val="18"/>
          <w:lang w:val="es-ES_tradnl"/>
        </w:rPr>
        <w:t>ó</w:t>
      </w:r>
      <w:r>
        <w:rPr>
          <w:spacing w:val="-3"/>
          <w:sz w:val="18"/>
          <w:szCs w:val="18"/>
          <w:lang w:val="es-ES_tradnl"/>
        </w:rPr>
        <w:t>n en</w:t>
      </w:r>
    </w:p>
    <w:p w14:paraId="4F67B5CF" w14:textId="77777777" w:rsidR="00591D54" w:rsidRDefault="00591D54">
      <w:pPr>
        <w:shd w:val="clear" w:color="auto" w:fill="FFFFFF"/>
        <w:spacing w:line="211" w:lineRule="exact"/>
        <w:ind w:right="5"/>
        <w:jc w:val="both"/>
      </w:pPr>
      <w:r>
        <w:rPr>
          <w:b/>
          <w:bCs/>
          <w:spacing w:val="-10"/>
          <w:sz w:val="18"/>
          <w:szCs w:val="18"/>
          <w:lang w:val="es-ES_tradnl"/>
        </w:rPr>
        <w:t xml:space="preserve">doscientos cuarenta y cuatro mil setecientos setenta </w:t>
      </w:r>
      <w:r>
        <w:rPr>
          <w:b/>
          <w:bCs/>
          <w:spacing w:val="-4"/>
          <w:sz w:val="18"/>
          <w:szCs w:val="18"/>
          <w:lang w:val="es-ES_tradnl"/>
        </w:rPr>
        <w:t>y un</w:t>
      </w:r>
      <w:r>
        <w:rPr>
          <w:spacing w:val="-4"/>
          <w:sz w:val="18"/>
          <w:szCs w:val="18"/>
          <w:lang w:val="es-ES_tradnl"/>
        </w:rPr>
        <w:t>o 80/100 D</w:t>
      </w:r>
      <w:r>
        <w:rPr>
          <w:rFonts w:cs="Times New Roman"/>
          <w:spacing w:val="-4"/>
          <w:sz w:val="18"/>
          <w:szCs w:val="18"/>
          <w:lang w:val="es-ES_tradnl"/>
        </w:rPr>
        <w:t>Ó</w:t>
      </w:r>
      <w:r>
        <w:rPr>
          <w:spacing w:val="-4"/>
          <w:sz w:val="18"/>
          <w:szCs w:val="18"/>
          <w:lang w:val="es-ES_tradnl"/>
        </w:rPr>
        <w:t>LARES DE LOS Estados Unidos de Norteam</w:t>
      </w:r>
      <w:r>
        <w:rPr>
          <w:rFonts w:cs="Times New Roman"/>
          <w:spacing w:val="-4"/>
          <w:sz w:val="18"/>
          <w:szCs w:val="18"/>
          <w:lang w:val="es-ES_tradnl"/>
        </w:rPr>
        <w:t>é</w:t>
      </w:r>
      <w:r>
        <w:rPr>
          <w:spacing w:val="-4"/>
          <w:sz w:val="18"/>
          <w:szCs w:val="18"/>
          <w:lang w:val="es-ES_tradnl"/>
        </w:rPr>
        <w:t xml:space="preserve">rica ( $ 244.771,80 USD), de conformidad con </w:t>
      </w:r>
      <w:r>
        <w:rPr>
          <w:spacing w:val="-1"/>
          <w:sz w:val="18"/>
          <w:szCs w:val="18"/>
          <w:lang w:val="es-ES_tradnl"/>
        </w:rPr>
        <w:t>el art</w:t>
      </w:r>
      <w:r>
        <w:rPr>
          <w:rFonts w:cs="Times New Roman"/>
          <w:spacing w:val="-1"/>
          <w:sz w:val="18"/>
          <w:szCs w:val="18"/>
          <w:lang w:val="es-ES_tradnl"/>
        </w:rPr>
        <w:t>í</w:t>
      </w:r>
      <w:r>
        <w:rPr>
          <w:spacing w:val="-1"/>
          <w:sz w:val="18"/>
          <w:szCs w:val="18"/>
          <w:lang w:val="es-ES_tradnl"/>
        </w:rPr>
        <w:t>culo 31 de la Ley de Arbitraje y Mediaci</w:t>
      </w:r>
      <w:r>
        <w:rPr>
          <w:rFonts w:cs="Times New Roman"/>
          <w:spacing w:val="-1"/>
          <w:sz w:val="18"/>
          <w:szCs w:val="18"/>
          <w:lang w:val="es-ES_tradnl"/>
        </w:rPr>
        <w:t>ó</w:t>
      </w:r>
      <w:r>
        <w:rPr>
          <w:spacing w:val="-1"/>
          <w:sz w:val="18"/>
          <w:szCs w:val="18"/>
          <w:lang w:val="es-ES_tradnl"/>
        </w:rPr>
        <w:t xml:space="preserve">n con la </w:t>
      </w:r>
      <w:r>
        <w:rPr>
          <w:spacing w:val="-5"/>
          <w:sz w:val="18"/>
          <w:szCs w:val="18"/>
          <w:lang w:val="es-ES_tradnl"/>
        </w:rPr>
        <w:t>finalidad de suspender los efectos del laudo. De ah</w:t>
      </w:r>
      <w:r>
        <w:rPr>
          <w:rFonts w:cs="Times New Roman"/>
          <w:spacing w:val="-5"/>
          <w:sz w:val="18"/>
          <w:szCs w:val="18"/>
          <w:lang w:val="es-ES_tradnl"/>
        </w:rPr>
        <w:t>í</w:t>
      </w:r>
      <w:r>
        <w:rPr>
          <w:spacing w:val="-5"/>
          <w:sz w:val="18"/>
          <w:szCs w:val="18"/>
          <w:lang w:val="es-ES_tradnl"/>
        </w:rPr>
        <w:t xml:space="preserve"> que </w:t>
      </w:r>
      <w:r>
        <w:rPr>
          <w:spacing w:val="-3"/>
          <w:sz w:val="18"/>
          <w:szCs w:val="18"/>
          <w:lang w:val="es-ES_tradnl"/>
        </w:rPr>
        <w:t xml:space="preserve">el 3 de agosto de 2011, el abogado Christian Molina </w:t>
      </w:r>
      <w:r>
        <w:rPr>
          <w:spacing w:val="-10"/>
          <w:sz w:val="18"/>
          <w:szCs w:val="18"/>
          <w:lang w:val="es-ES_tradnl"/>
        </w:rPr>
        <w:t>Rom</w:t>
      </w:r>
      <w:r>
        <w:rPr>
          <w:rFonts w:cs="Times New Roman"/>
          <w:spacing w:val="-10"/>
          <w:sz w:val="18"/>
          <w:szCs w:val="18"/>
          <w:lang w:val="es-ES_tradnl"/>
        </w:rPr>
        <w:t>á</w:t>
      </w:r>
      <w:r>
        <w:rPr>
          <w:spacing w:val="-10"/>
          <w:sz w:val="18"/>
          <w:szCs w:val="18"/>
          <w:lang w:val="es-ES_tradnl"/>
        </w:rPr>
        <w:t xml:space="preserve">n, debidamente autorizado por parte de Petroecuador, </w:t>
      </w:r>
      <w:r>
        <w:rPr>
          <w:spacing w:val="-5"/>
          <w:sz w:val="18"/>
          <w:szCs w:val="18"/>
          <w:lang w:val="es-ES_tradnl"/>
        </w:rPr>
        <w:t>present</w:t>
      </w:r>
      <w:r>
        <w:rPr>
          <w:rFonts w:cs="Times New Roman"/>
          <w:spacing w:val="-5"/>
          <w:sz w:val="18"/>
          <w:szCs w:val="18"/>
          <w:lang w:val="es-ES_tradnl"/>
        </w:rPr>
        <w:t>ó</w:t>
      </w:r>
      <w:r>
        <w:rPr>
          <w:spacing w:val="-5"/>
          <w:sz w:val="18"/>
          <w:szCs w:val="18"/>
          <w:lang w:val="es-ES_tradnl"/>
        </w:rPr>
        <w:t xml:space="preserve"> una solicitud de revocatoria del auto del 26 de julio de 2011, considerando que el fijar el 25,10% como </w:t>
      </w:r>
      <w:r>
        <w:rPr>
          <w:spacing w:val="-8"/>
          <w:sz w:val="18"/>
          <w:szCs w:val="18"/>
          <w:lang w:val="es-ES_tradnl"/>
        </w:rPr>
        <w:t>cauci</w:t>
      </w:r>
      <w:r>
        <w:rPr>
          <w:rFonts w:cs="Times New Roman"/>
          <w:spacing w:val="-8"/>
          <w:sz w:val="18"/>
          <w:szCs w:val="18"/>
          <w:lang w:val="es-ES_tradnl"/>
        </w:rPr>
        <w:t>ó</w:t>
      </w:r>
      <w:r>
        <w:rPr>
          <w:spacing w:val="-8"/>
          <w:sz w:val="18"/>
          <w:szCs w:val="18"/>
          <w:lang w:val="es-ES_tradnl"/>
        </w:rPr>
        <w:t>n es excesiva frente a otros casos en que la cauci</w:t>
      </w:r>
      <w:r>
        <w:rPr>
          <w:rFonts w:cs="Times New Roman"/>
          <w:spacing w:val="-8"/>
          <w:sz w:val="18"/>
          <w:szCs w:val="18"/>
          <w:lang w:val="es-ES_tradnl"/>
        </w:rPr>
        <w:t>ó</w:t>
      </w:r>
      <w:r>
        <w:rPr>
          <w:spacing w:val="-8"/>
          <w:sz w:val="18"/>
          <w:szCs w:val="18"/>
          <w:lang w:val="es-ES_tradnl"/>
        </w:rPr>
        <w:t xml:space="preserve">n </w:t>
      </w:r>
      <w:r>
        <w:rPr>
          <w:spacing w:val="-7"/>
          <w:sz w:val="18"/>
          <w:szCs w:val="18"/>
          <w:lang w:val="es-ES_tradnl"/>
        </w:rPr>
        <w:t xml:space="preserve">no ha superado el 10%, que respecto al caso en concreto </w:t>
      </w:r>
      <w:r>
        <w:rPr>
          <w:spacing w:val="-9"/>
          <w:sz w:val="18"/>
          <w:szCs w:val="18"/>
          <w:lang w:val="es-ES_tradnl"/>
        </w:rPr>
        <w:t>se calcula del monto de las mermas imputables a TAGSA.</w:t>
      </w:r>
    </w:p>
    <w:p w14:paraId="4F67B5D0" w14:textId="77777777" w:rsidR="00591D54" w:rsidRDefault="00591D54">
      <w:pPr>
        <w:shd w:val="clear" w:color="auto" w:fill="FFFFFF"/>
        <w:spacing w:line="216" w:lineRule="exact"/>
        <w:jc w:val="both"/>
      </w:pPr>
      <w:r>
        <w:br w:type="column"/>
      </w:r>
      <w:r>
        <w:rPr>
          <w:spacing w:val="-6"/>
          <w:sz w:val="18"/>
          <w:szCs w:val="18"/>
          <w:lang w:val="es-ES_tradnl"/>
        </w:rPr>
        <w:t xml:space="preserve">Al respecto, el 5 de agosto de 2011, los miembros del </w:t>
      </w:r>
      <w:r>
        <w:rPr>
          <w:spacing w:val="-1"/>
          <w:sz w:val="18"/>
          <w:szCs w:val="18"/>
          <w:lang w:val="es-ES_tradnl"/>
        </w:rPr>
        <w:t>Tribunal Arbitral de la C</w:t>
      </w:r>
      <w:r>
        <w:rPr>
          <w:rFonts w:cs="Times New Roman"/>
          <w:spacing w:val="-1"/>
          <w:sz w:val="18"/>
          <w:szCs w:val="18"/>
          <w:lang w:val="es-ES_tradnl"/>
        </w:rPr>
        <w:t>á</w:t>
      </w:r>
      <w:r>
        <w:rPr>
          <w:spacing w:val="-1"/>
          <w:sz w:val="18"/>
          <w:szCs w:val="18"/>
          <w:lang w:val="es-ES_tradnl"/>
        </w:rPr>
        <w:t xml:space="preserve">mara de Comercio de Quito </w:t>
      </w:r>
      <w:r>
        <w:rPr>
          <w:spacing w:val="-5"/>
          <w:sz w:val="18"/>
          <w:szCs w:val="18"/>
          <w:lang w:val="es-ES_tradnl"/>
        </w:rPr>
        <w:t>ratificaron en todos sus t</w:t>
      </w:r>
      <w:r>
        <w:rPr>
          <w:rFonts w:cs="Times New Roman"/>
          <w:spacing w:val="-5"/>
          <w:sz w:val="18"/>
          <w:szCs w:val="18"/>
          <w:lang w:val="es-ES_tradnl"/>
        </w:rPr>
        <w:t>é</w:t>
      </w:r>
      <w:r>
        <w:rPr>
          <w:spacing w:val="-5"/>
          <w:sz w:val="18"/>
          <w:szCs w:val="18"/>
          <w:lang w:val="es-ES_tradnl"/>
        </w:rPr>
        <w:t>rminos la cauci</w:t>
      </w:r>
      <w:r>
        <w:rPr>
          <w:rFonts w:cs="Times New Roman"/>
          <w:spacing w:val="-5"/>
          <w:sz w:val="18"/>
          <w:szCs w:val="18"/>
          <w:lang w:val="es-ES_tradnl"/>
        </w:rPr>
        <w:t>ó</w:t>
      </w:r>
      <w:r>
        <w:rPr>
          <w:spacing w:val="-5"/>
          <w:sz w:val="18"/>
          <w:szCs w:val="18"/>
          <w:lang w:val="es-ES_tradnl"/>
        </w:rPr>
        <w:t xml:space="preserve">n fijada por </w:t>
      </w:r>
      <w:r>
        <w:rPr>
          <w:spacing w:val="-7"/>
          <w:sz w:val="18"/>
          <w:szCs w:val="18"/>
          <w:lang w:val="es-ES_tradnl"/>
        </w:rPr>
        <w:t>considerar que se estim</w:t>
      </w:r>
      <w:r>
        <w:rPr>
          <w:rFonts w:cs="Times New Roman"/>
          <w:spacing w:val="-7"/>
          <w:sz w:val="18"/>
          <w:szCs w:val="18"/>
          <w:lang w:val="es-ES_tradnl"/>
        </w:rPr>
        <w:t>ó</w:t>
      </w:r>
      <w:r>
        <w:rPr>
          <w:spacing w:val="-7"/>
          <w:sz w:val="18"/>
          <w:szCs w:val="18"/>
          <w:lang w:val="es-ES_tradnl"/>
        </w:rPr>
        <w:t xml:space="preserve"> los posibles da</w:t>
      </w:r>
      <w:r>
        <w:rPr>
          <w:rFonts w:cs="Times New Roman"/>
          <w:spacing w:val="-7"/>
          <w:sz w:val="18"/>
          <w:szCs w:val="18"/>
          <w:lang w:val="es-ES_tradnl"/>
        </w:rPr>
        <w:t>ñ</w:t>
      </w:r>
      <w:r>
        <w:rPr>
          <w:spacing w:val="-7"/>
          <w:sz w:val="18"/>
          <w:szCs w:val="18"/>
          <w:lang w:val="es-ES_tradnl"/>
        </w:rPr>
        <w:t xml:space="preserve">os derivados de </w:t>
      </w:r>
      <w:r>
        <w:rPr>
          <w:spacing w:val="-6"/>
          <w:sz w:val="18"/>
          <w:szCs w:val="18"/>
          <w:lang w:val="es-ES_tradnl"/>
        </w:rPr>
        <w:t>la demora en la ejecuci</w:t>
      </w:r>
      <w:r>
        <w:rPr>
          <w:rFonts w:cs="Times New Roman"/>
          <w:spacing w:val="-6"/>
          <w:sz w:val="18"/>
          <w:szCs w:val="18"/>
          <w:lang w:val="es-ES_tradnl"/>
        </w:rPr>
        <w:t>ó</w:t>
      </w:r>
      <w:r>
        <w:rPr>
          <w:spacing w:val="-6"/>
          <w:sz w:val="18"/>
          <w:szCs w:val="18"/>
          <w:lang w:val="es-ES_tradnl"/>
        </w:rPr>
        <w:t xml:space="preserve">n del laudo arbitral, tomando en </w:t>
      </w:r>
      <w:r>
        <w:rPr>
          <w:spacing w:val="-7"/>
          <w:sz w:val="18"/>
          <w:szCs w:val="18"/>
          <w:lang w:val="es-ES_tradnl"/>
        </w:rPr>
        <w:t>cuenta la tasa de inter</w:t>
      </w:r>
      <w:r>
        <w:rPr>
          <w:rFonts w:cs="Times New Roman"/>
          <w:spacing w:val="-7"/>
          <w:sz w:val="18"/>
          <w:szCs w:val="18"/>
          <w:lang w:val="es-ES_tradnl"/>
        </w:rPr>
        <w:t>é</w:t>
      </w:r>
      <w:r>
        <w:rPr>
          <w:spacing w:val="-7"/>
          <w:sz w:val="18"/>
          <w:szCs w:val="18"/>
          <w:lang w:val="es-ES_tradnl"/>
        </w:rPr>
        <w:t xml:space="preserve">s legal establecida por el Banco </w:t>
      </w:r>
      <w:r>
        <w:rPr>
          <w:spacing w:val="-4"/>
          <w:sz w:val="18"/>
          <w:szCs w:val="18"/>
          <w:lang w:val="es-ES_tradnl"/>
        </w:rPr>
        <w:t xml:space="preserve">Central del Ecuador para el mes de julio de 2011 y que </w:t>
      </w:r>
      <w:r>
        <w:rPr>
          <w:spacing w:val="-6"/>
          <w:sz w:val="18"/>
          <w:szCs w:val="18"/>
          <w:lang w:val="es-ES_tradnl"/>
        </w:rPr>
        <w:t xml:space="preserve">fue de 8.33% calculado sobre el valor de </w:t>
      </w:r>
      <w:r>
        <w:rPr>
          <w:b/>
          <w:bCs/>
          <w:spacing w:val="-6"/>
          <w:sz w:val="18"/>
          <w:szCs w:val="18"/>
          <w:lang w:val="es-ES_tradnl"/>
        </w:rPr>
        <w:t xml:space="preserve">novecientos </w:t>
      </w:r>
      <w:r>
        <w:rPr>
          <w:b/>
          <w:bCs/>
          <w:spacing w:val="-10"/>
          <w:sz w:val="18"/>
          <w:szCs w:val="18"/>
          <w:lang w:val="es-ES_tradnl"/>
        </w:rPr>
        <w:t xml:space="preserve">setenta y cuatro mil setecientos noventa y ocho </w:t>
      </w:r>
      <w:r>
        <w:rPr>
          <w:spacing w:val="-10"/>
          <w:sz w:val="18"/>
          <w:szCs w:val="18"/>
          <w:lang w:val="es-ES_tradnl"/>
        </w:rPr>
        <w:t xml:space="preserve">12/100 </w:t>
      </w:r>
      <w:r>
        <w:rPr>
          <w:spacing w:val="-5"/>
          <w:sz w:val="18"/>
          <w:szCs w:val="18"/>
          <w:lang w:val="es-ES_tradnl"/>
        </w:rPr>
        <w:t>D</w:t>
      </w:r>
      <w:r>
        <w:rPr>
          <w:rFonts w:cs="Times New Roman"/>
          <w:spacing w:val="-5"/>
          <w:sz w:val="18"/>
          <w:szCs w:val="18"/>
          <w:lang w:val="es-ES_tradnl"/>
        </w:rPr>
        <w:t>Ó</w:t>
      </w:r>
      <w:r>
        <w:rPr>
          <w:spacing w:val="-5"/>
          <w:sz w:val="18"/>
          <w:szCs w:val="18"/>
          <w:lang w:val="es-ES_tradnl"/>
        </w:rPr>
        <w:t>LARES de los Estados Unidos de Norteam</w:t>
      </w:r>
      <w:r>
        <w:rPr>
          <w:rFonts w:cs="Times New Roman"/>
          <w:spacing w:val="-5"/>
          <w:sz w:val="18"/>
          <w:szCs w:val="18"/>
          <w:lang w:val="es-ES_tradnl"/>
        </w:rPr>
        <w:t>é</w:t>
      </w:r>
      <w:r>
        <w:rPr>
          <w:spacing w:val="-5"/>
          <w:sz w:val="18"/>
          <w:szCs w:val="18"/>
          <w:lang w:val="es-ES_tradnl"/>
        </w:rPr>
        <w:t xml:space="preserve">rica ( $ </w:t>
      </w:r>
      <w:r>
        <w:rPr>
          <w:spacing w:val="-10"/>
          <w:sz w:val="18"/>
          <w:szCs w:val="18"/>
          <w:lang w:val="es-ES_tradnl"/>
        </w:rPr>
        <w:t>974,798.12 USD), sobre un per</w:t>
      </w:r>
      <w:r>
        <w:rPr>
          <w:rFonts w:cs="Times New Roman"/>
          <w:spacing w:val="-10"/>
          <w:sz w:val="18"/>
          <w:szCs w:val="18"/>
          <w:lang w:val="es-ES_tradnl"/>
        </w:rPr>
        <w:t>í</w:t>
      </w:r>
      <w:r>
        <w:rPr>
          <w:spacing w:val="-10"/>
          <w:sz w:val="18"/>
          <w:szCs w:val="18"/>
          <w:lang w:val="es-ES_tradnl"/>
        </w:rPr>
        <w:t xml:space="preserve">odo de 36 meses y no de 18 </w:t>
      </w:r>
      <w:r>
        <w:rPr>
          <w:spacing w:val="-8"/>
          <w:sz w:val="18"/>
          <w:szCs w:val="18"/>
          <w:lang w:val="es-ES_tradnl"/>
        </w:rPr>
        <w:t>meses, solamente el per</w:t>
      </w:r>
      <w:r>
        <w:rPr>
          <w:rFonts w:cs="Times New Roman"/>
          <w:spacing w:val="-8"/>
          <w:sz w:val="18"/>
          <w:szCs w:val="18"/>
          <w:lang w:val="es-ES_tradnl"/>
        </w:rPr>
        <w:t>í</w:t>
      </w:r>
      <w:r>
        <w:rPr>
          <w:spacing w:val="-8"/>
          <w:sz w:val="18"/>
          <w:szCs w:val="18"/>
          <w:lang w:val="es-ES_tradnl"/>
        </w:rPr>
        <w:t>odo m</w:t>
      </w:r>
      <w:r>
        <w:rPr>
          <w:rFonts w:cs="Times New Roman"/>
          <w:spacing w:val="-8"/>
          <w:sz w:val="18"/>
          <w:szCs w:val="18"/>
          <w:lang w:val="es-ES_tradnl"/>
        </w:rPr>
        <w:t>á</w:t>
      </w:r>
      <w:r>
        <w:rPr>
          <w:spacing w:val="-8"/>
          <w:sz w:val="18"/>
          <w:szCs w:val="18"/>
          <w:lang w:val="es-ES_tradnl"/>
        </w:rPr>
        <w:t>s amplio comprender</w:t>
      </w:r>
      <w:r>
        <w:rPr>
          <w:rFonts w:cs="Times New Roman"/>
          <w:spacing w:val="-8"/>
          <w:sz w:val="18"/>
          <w:szCs w:val="18"/>
          <w:lang w:val="es-ES_tradnl"/>
        </w:rPr>
        <w:t>í</w:t>
      </w:r>
      <w:r>
        <w:rPr>
          <w:spacing w:val="-8"/>
          <w:sz w:val="18"/>
          <w:szCs w:val="18"/>
          <w:lang w:val="es-ES_tradnl"/>
        </w:rPr>
        <w:t>a el estimado para resolver la acci</w:t>
      </w:r>
      <w:r>
        <w:rPr>
          <w:rFonts w:cs="Times New Roman"/>
          <w:spacing w:val="-8"/>
          <w:sz w:val="18"/>
          <w:szCs w:val="18"/>
          <w:lang w:val="es-ES_tradnl"/>
        </w:rPr>
        <w:t>ó</w:t>
      </w:r>
      <w:r>
        <w:rPr>
          <w:spacing w:val="-8"/>
          <w:sz w:val="18"/>
          <w:szCs w:val="18"/>
          <w:lang w:val="es-ES_tradnl"/>
        </w:rPr>
        <w:t>n de nulidad m</w:t>
      </w:r>
      <w:r>
        <w:rPr>
          <w:rFonts w:cs="Times New Roman"/>
          <w:spacing w:val="-8"/>
          <w:sz w:val="18"/>
          <w:szCs w:val="18"/>
          <w:lang w:val="es-ES_tradnl"/>
        </w:rPr>
        <w:t>á</w:t>
      </w:r>
      <w:r>
        <w:rPr>
          <w:spacing w:val="-8"/>
          <w:sz w:val="18"/>
          <w:szCs w:val="18"/>
          <w:lang w:val="es-ES_tradnl"/>
        </w:rPr>
        <w:t xml:space="preserve">s 18 meses </w:t>
      </w:r>
      <w:r>
        <w:rPr>
          <w:spacing w:val="-6"/>
          <w:sz w:val="18"/>
          <w:szCs w:val="18"/>
          <w:lang w:val="es-ES_tradnl"/>
        </w:rPr>
        <w:t>adicionales, porque se interponen contra las sentencia de la Corte Superior de Justicia. Ante esta decisi</w:t>
      </w:r>
      <w:r>
        <w:rPr>
          <w:rFonts w:cs="Times New Roman"/>
          <w:spacing w:val="-6"/>
          <w:sz w:val="18"/>
          <w:szCs w:val="18"/>
          <w:lang w:val="es-ES_tradnl"/>
        </w:rPr>
        <w:t>ó</w:t>
      </w:r>
      <w:r>
        <w:rPr>
          <w:spacing w:val="-6"/>
          <w:sz w:val="18"/>
          <w:szCs w:val="18"/>
          <w:lang w:val="es-ES_tradnl"/>
        </w:rPr>
        <w:t xml:space="preserve">n, el 6 de </w:t>
      </w:r>
      <w:r>
        <w:rPr>
          <w:spacing w:val="-7"/>
          <w:sz w:val="18"/>
          <w:szCs w:val="18"/>
          <w:lang w:val="es-ES_tradnl"/>
        </w:rPr>
        <w:t>septiembre de 2011, la empresa p</w:t>
      </w:r>
      <w:r>
        <w:rPr>
          <w:rFonts w:cs="Times New Roman"/>
          <w:spacing w:val="-7"/>
          <w:sz w:val="18"/>
          <w:szCs w:val="18"/>
          <w:lang w:val="es-ES_tradnl"/>
        </w:rPr>
        <w:t>ú</w:t>
      </w:r>
      <w:r>
        <w:rPr>
          <w:spacing w:val="-7"/>
          <w:sz w:val="18"/>
          <w:szCs w:val="18"/>
          <w:lang w:val="es-ES_tradnl"/>
        </w:rPr>
        <w:t>blica Petroecuador interpuso acci</w:t>
      </w:r>
      <w:r>
        <w:rPr>
          <w:rFonts w:cs="Times New Roman"/>
          <w:spacing w:val="-7"/>
          <w:sz w:val="18"/>
          <w:szCs w:val="18"/>
          <w:lang w:val="es-ES_tradnl"/>
        </w:rPr>
        <w:t>ó</w:t>
      </w:r>
      <w:r>
        <w:rPr>
          <w:spacing w:val="-7"/>
          <w:sz w:val="18"/>
          <w:szCs w:val="18"/>
          <w:lang w:val="es-ES_tradnl"/>
        </w:rPr>
        <w:t>n extraordinaria de protecci</w:t>
      </w:r>
      <w:r>
        <w:rPr>
          <w:rFonts w:cs="Times New Roman"/>
          <w:spacing w:val="-7"/>
          <w:sz w:val="18"/>
          <w:szCs w:val="18"/>
          <w:lang w:val="es-ES_tradnl"/>
        </w:rPr>
        <w:t>ó</w:t>
      </w:r>
      <w:r>
        <w:rPr>
          <w:spacing w:val="-7"/>
          <w:sz w:val="18"/>
          <w:szCs w:val="18"/>
          <w:lang w:val="es-ES_tradnl"/>
        </w:rPr>
        <w:t>n.</w:t>
      </w:r>
    </w:p>
    <w:p w14:paraId="4F67B5D1" w14:textId="77777777" w:rsidR="00591D54" w:rsidRDefault="00591D54">
      <w:pPr>
        <w:shd w:val="clear" w:color="auto" w:fill="FFFFFF"/>
        <w:spacing w:before="192"/>
      </w:pPr>
      <w:r>
        <w:rPr>
          <w:b/>
          <w:bCs/>
          <w:spacing w:val="-8"/>
          <w:sz w:val="18"/>
          <w:szCs w:val="18"/>
          <w:lang w:val="es-ES_tradnl"/>
        </w:rPr>
        <w:t>Decisi</w:t>
      </w:r>
      <w:r>
        <w:rPr>
          <w:rFonts w:cs="Times New Roman"/>
          <w:b/>
          <w:bCs/>
          <w:spacing w:val="-8"/>
          <w:sz w:val="18"/>
          <w:szCs w:val="18"/>
          <w:lang w:val="es-ES_tradnl"/>
        </w:rPr>
        <w:t>ó</w:t>
      </w:r>
      <w:r>
        <w:rPr>
          <w:b/>
          <w:bCs/>
          <w:spacing w:val="-8"/>
          <w:sz w:val="18"/>
          <w:szCs w:val="18"/>
          <w:lang w:val="es-ES_tradnl"/>
        </w:rPr>
        <w:t>n judicial impugnada</w:t>
      </w:r>
    </w:p>
    <w:p w14:paraId="4F67B5D2" w14:textId="77777777" w:rsidR="00591D54" w:rsidRDefault="00591D54">
      <w:pPr>
        <w:shd w:val="clear" w:color="auto" w:fill="FFFFFF"/>
        <w:spacing w:before="192" w:line="216" w:lineRule="exact"/>
        <w:jc w:val="both"/>
      </w:pPr>
      <w:r>
        <w:rPr>
          <w:spacing w:val="-5"/>
          <w:sz w:val="18"/>
          <w:szCs w:val="18"/>
          <w:lang w:val="es-ES_tradnl"/>
        </w:rPr>
        <w:t>La decisi</w:t>
      </w:r>
      <w:r>
        <w:rPr>
          <w:rFonts w:cs="Times New Roman"/>
          <w:spacing w:val="-5"/>
          <w:sz w:val="18"/>
          <w:szCs w:val="18"/>
          <w:lang w:val="es-ES_tradnl"/>
        </w:rPr>
        <w:t>ó</w:t>
      </w:r>
      <w:r>
        <w:rPr>
          <w:spacing w:val="-5"/>
          <w:sz w:val="18"/>
          <w:szCs w:val="18"/>
          <w:lang w:val="es-ES_tradnl"/>
        </w:rPr>
        <w:t xml:space="preserve">n judicial impugnada es el auto dictado el 5 de </w:t>
      </w:r>
      <w:r>
        <w:rPr>
          <w:spacing w:val="-10"/>
          <w:sz w:val="18"/>
          <w:szCs w:val="18"/>
          <w:lang w:val="es-ES_tradnl"/>
        </w:rPr>
        <w:t>agosto de 2011, por el Tribunal de Arbitraje de la C</w:t>
      </w:r>
      <w:r>
        <w:rPr>
          <w:rFonts w:cs="Times New Roman"/>
          <w:spacing w:val="-10"/>
          <w:sz w:val="18"/>
          <w:szCs w:val="18"/>
          <w:lang w:val="es-ES_tradnl"/>
        </w:rPr>
        <w:t>á</w:t>
      </w:r>
      <w:r>
        <w:rPr>
          <w:spacing w:val="-10"/>
          <w:sz w:val="18"/>
          <w:szCs w:val="18"/>
          <w:lang w:val="es-ES_tradnl"/>
        </w:rPr>
        <w:t xml:space="preserve">mara de Comercio de Quito, el cual, en su parte pertinente, establece </w:t>
      </w:r>
      <w:r>
        <w:rPr>
          <w:sz w:val="18"/>
          <w:szCs w:val="18"/>
          <w:lang w:val="es-ES_tradnl"/>
        </w:rPr>
        <w:t>lo siguiente:</w:t>
      </w:r>
    </w:p>
    <w:p w14:paraId="4F67B5D3" w14:textId="77777777" w:rsidR="00591D54" w:rsidRDefault="00591D54">
      <w:pPr>
        <w:shd w:val="clear" w:color="auto" w:fill="FFFFFF"/>
        <w:spacing w:before="202" w:line="216" w:lineRule="exact"/>
        <w:ind w:left="283"/>
        <w:jc w:val="both"/>
      </w:pPr>
      <w:r>
        <w:rPr>
          <w:sz w:val="16"/>
          <w:szCs w:val="16"/>
          <w:lang w:val="es-ES_tradnl"/>
        </w:rPr>
        <w:t>(</w:t>
      </w:r>
      <w:r>
        <w:rPr>
          <w:rFonts w:cs="Times New Roman"/>
          <w:sz w:val="16"/>
          <w:szCs w:val="16"/>
          <w:lang w:val="es-ES_tradnl"/>
        </w:rPr>
        <w:t>…</w:t>
      </w:r>
      <w:r>
        <w:rPr>
          <w:sz w:val="16"/>
          <w:szCs w:val="16"/>
          <w:lang w:val="es-ES_tradnl"/>
        </w:rPr>
        <w:t xml:space="preserve">) el Tribunal considera y resuelve: 2.1. Que el monto </w:t>
      </w:r>
      <w:r>
        <w:rPr>
          <w:spacing w:val="-5"/>
          <w:sz w:val="16"/>
          <w:szCs w:val="16"/>
          <w:lang w:val="es-ES_tradnl"/>
        </w:rPr>
        <w:t>de la cauci</w:t>
      </w:r>
      <w:r>
        <w:rPr>
          <w:rFonts w:cs="Times New Roman"/>
          <w:spacing w:val="-5"/>
          <w:sz w:val="16"/>
          <w:szCs w:val="16"/>
          <w:lang w:val="es-ES_tradnl"/>
        </w:rPr>
        <w:t>ó</w:t>
      </w:r>
      <w:r>
        <w:rPr>
          <w:spacing w:val="-5"/>
          <w:sz w:val="16"/>
          <w:szCs w:val="16"/>
          <w:lang w:val="es-ES_tradnl"/>
        </w:rPr>
        <w:t xml:space="preserve">n de US$244.711.80 fue establecido tomando </w:t>
      </w:r>
      <w:r>
        <w:rPr>
          <w:spacing w:val="-8"/>
          <w:sz w:val="16"/>
          <w:szCs w:val="16"/>
          <w:lang w:val="es-ES_tradnl"/>
        </w:rPr>
        <w:t>como base el valor total del adeudo a la compa</w:t>
      </w:r>
      <w:r>
        <w:rPr>
          <w:rFonts w:cs="Times New Roman"/>
          <w:spacing w:val="-8"/>
          <w:sz w:val="16"/>
          <w:szCs w:val="16"/>
          <w:lang w:val="es-ES_tradnl"/>
        </w:rPr>
        <w:t>ñí</w:t>
      </w:r>
      <w:r>
        <w:rPr>
          <w:spacing w:val="-8"/>
          <w:sz w:val="16"/>
          <w:szCs w:val="16"/>
          <w:lang w:val="es-ES_tradnl"/>
        </w:rPr>
        <w:t xml:space="preserve">a Tagsa s.a. </w:t>
      </w:r>
      <w:r>
        <w:rPr>
          <w:spacing w:val="-7"/>
          <w:sz w:val="16"/>
          <w:szCs w:val="16"/>
          <w:lang w:val="es-ES_tradnl"/>
        </w:rPr>
        <w:t xml:space="preserve">que es de US$974,798.14- Por ello, y sobre la base de su </w:t>
      </w:r>
      <w:r>
        <w:rPr>
          <w:spacing w:val="-4"/>
          <w:sz w:val="16"/>
          <w:szCs w:val="16"/>
          <w:lang w:val="es-ES_tradnl"/>
        </w:rPr>
        <w:t>atribuci</w:t>
      </w:r>
      <w:r>
        <w:rPr>
          <w:rFonts w:cs="Times New Roman"/>
          <w:spacing w:val="-4"/>
          <w:sz w:val="16"/>
          <w:szCs w:val="16"/>
          <w:lang w:val="es-ES_tradnl"/>
        </w:rPr>
        <w:t>ó</w:t>
      </w:r>
      <w:r>
        <w:rPr>
          <w:spacing w:val="-4"/>
          <w:sz w:val="16"/>
          <w:szCs w:val="16"/>
          <w:lang w:val="es-ES_tradnl"/>
        </w:rPr>
        <w:t xml:space="preserve">n establecida en el Art. 31 de la Ley de Arbitraje y </w:t>
      </w:r>
      <w:r>
        <w:rPr>
          <w:spacing w:val="-6"/>
          <w:sz w:val="16"/>
          <w:szCs w:val="16"/>
          <w:lang w:val="es-ES_tradnl"/>
        </w:rPr>
        <w:t>Mediaci</w:t>
      </w:r>
      <w:r>
        <w:rPr>
          <w:rFonts w:cs="Times New Roman"/>
          <w:spacing w:val="-6"/>
          <w:sz w:val="16"/>
          <w:szCs w:val="16"/>
          <w:lang w:val="es-ES_tradnl"/>
        </w:rPr>
        <w:t>ó</w:t>
      </w:r>
      <w:r>
        <w:rPr>
          <w:spacing w:val="-6"/>
          <w:sz w:val="16"/>
          <w:szCs w:val="16"/>
          <w:lang w:val="es-ES_tradnl"/>
        </w:rPr>
        <w:t xml:space="preserve">n, este Tribunal ha estimado que los perjuicios que </w:t>
      </w:r>
      <w:r>
        <w:rPr>
          <w:spacing w:val="-4"/>
          <w:sz w:val="16"/>
          <w:szCs w:val="16"/>
          <w:lang w:val="es-ES_tradnl"/>
        </w:rPr>
        <w:t>soportar</w:t>
      </w:r>
      <w:r>
        <w:rPr>
          <w:rFonts w:cs="Times New Roman"/>
          <w:spacing w:val="-4"/>
          <w:sz w:val="16"/>
          <w:szCs w:val="16"/>
          <w:lang w:val="es-ES_tradnl"/>
        </w:rPr>
        <w:t>í</w:t>
      </w:r>
      <w:r>
        <w:rPr>
          <w:spacing w:val="-4"/>
          <w:sz w:val="16"/>
          <w:szCs w:val="16"/>
          <w:lang w:val="es-ES_tradnl"/>
        </w:rPr>
        <w:t>a la compa</w:t>
      </w:r>
      <w:r>
        <w:rPr>
          <w:rFonts w:cs="Times New Roman"/>
          <w:spacing w:val="-4"/>
          <w:sz w:val="16"/>
          <w:szCs w:val="16"/>
          <w:lang w:val="es-ES_tradnl"/>
        </w:rPr>
        <w:t>ñí</w:t>
      </w:r>
      <w:r>
        <w:rPr>
          <w:spacing w:val="-4"/>
          <w:sz w:val="16"/>
          <w:szCs w:val="16"/>
          <w:lang w:val="es-ES_tradnl"/>
        </w:rPr>
        <w:t xml:space="preserve">a TERMINAL AEROPORTUARIA DE </w:t>
      </w:r>
      <w:r>
        <w:rPr>
          <w:spacing w:val="-5"/>
          <w:sz w:val="16"/>
          <w:szCs w:val="16"/>
          <w:lang w:val="es-ES_tradnl"/>
        </w:rPr>
        <w:t xml:space="preserve">GUAYAQUIL TAGSA S.A. por la demora en el reintegro de </w:t>
      </w:r>
      <w:r>
        <w:rPr>
          <w:spacing w:val="-8"/>
          <w:sz w:val="16"/>
          <w:szCs w:val="16"/>
          <w:lang w:val="es-ES_tradnl"/>
        </w:rPr>
        <w:t>los valores adeudados, corresponder</w:t>
      </w:r>
      <w:r>
        <w:rPr>
          <w:rFonts w:cs="Times New Roman"/>
          <w:spacing w:val="-8"/>
          <w:sz w:val="16"/>
          <w:szCs w:val="16"/>
          <w:lang w:val="es-ES_tradnl"/>
        </w:rPr>
        <w:t>í</w:t>
      </w:r>
      <w:r>
        <w:rPr>
          <w:spacing w:val="-8"/>
          <w:sz w:val="16"/>
          <w:szCs w:val="16"/>
          <w:lang w:val="es-ES_tradnl"/>
        </w:rPr>
        <w:t xml:space="preserve">an al costo financiero de </w:t>
      </w:r>
      <w:r>
        <w:rPr>
          <w:spacing w:val="-4"/>
          <w:sz w:val="16"/>
          <w:szCs w:val="16"/>
          <w:lang w:val="es-ES_tradnl"/>
        </w:rPr>
        <w:t xml:space="preserve">dicho valor, criterio que se ha aplicado no solamente en el </w:t>
      </w:r>
      <w:r>
        <w:rPr>
          <w:spacing w:val="-6"/>
          <w:sz w:val="16"/>
          <w:szCs w:val="16"/>
          <w:lang w:val="es-ES_tradnl"/>
        </w:rPr>
        <w:t>caso que refiri</w:t>
      </w:r>
      <w:r>
        <w:rPr>
          <w:rFonts w:cs="Times New Roman"/>
          <w:spacing w:val="-6"/>
          <w:sz w:val="16"/>
          <w:szCs w:val="16"/>
          <w:lang w:val="es-ES_tradnl"/>
        </w:rPr>
        <w:t>ó</w:t>
      </w:r>
      <w:r>
        <w:rPr>
          <w:spacing w:val="-6"/>
          <w:sz w:val="16"/>
          <w:szCs w:val="16"/>
          <w:lang w:val="es-ES_tradnl"/>
        </w:rPr>
        <w:t xml:space="preserve"> EP PETROECUADOR en el escrito que se </w:t>
      </w:r>
      <w:r>
        <w:rPr>
          <w:spacing w:val="-7"/>
          <w:sz w:val="16"/>
          <w:szCs w:val="16"/>
          <w:lang w:val="es-ES_tradnl"/>
        </w:rPr>
        <w:t>manda agregar, sino en un sinn</w:t>
      </w:r>
      <w:r>
        <w:rPr>
          <w:rFonts w:cs="Times New Roman"/>
          <w:spacing w:val="-7"/>
          <w:sz w:val="16"/>
          <w:szCs w:val="16"/>
          <w:lang w:val="es-ES_tradnl"/>
        </w:rPr>
        <w:t>ú</w:t>
      </w:r>
      <w:r>
        <w:rPr>
          <w:spacing w:val="-7"/>
          <w:sz w:val="16"/>
          <w:szCs w:val="16"/>
          <w:lang w:val="es-ES_tradnl"/>
        </w:rPr>
        <w:t xml:space="preserve">mero de otros caso. Por ello, </w:t>
      </w:r>
      <w:r>
        <w:rPr>
          <w:spacing w:val="-4"/>
          <w:sz w:val="16"/>
          <w:szCs w:val="16"/>
          <w:lang w:val="es-ES_tradnl"/>
        </w:rPr>
        <w:t xml:space="preserve">el Tribunal Arbitral mantiene tal criterio, difiriendo en el tipo </w:t>
      </w:r>
      <w:r>
        <w:rPr>
          <w:spacing w:val="-7"/>
          <w:sz w:val="16"/>
          <w:szCs w:val="16"/>
          <w:lang w:val="es-ES_tradnl"/>
        </w:rPr>
        <w:t>de inter</w:t>
      </w:r>
      <w:r>
        <w:rPr>
          <w:rFonts w:cs="Times New Roman"/>
          <w:spacing w:val="-7"/>
          <w:sz w:val="16"/>
          <w:szCs w:val="16"/>
          <w:lang w:val="es-ES_tradnl"/>
        </w:rPr>
        <w:t>é</w:t>
      </w:r>
      <w:r>
        <w:rPr>
          <w:spacing w:val="-7"/>
          <w:sz w:val="16"/>
          <w:szCs w:val="16"/>
          <w:lang w:val="es-ES_tradnl"/>
        </w:rPr>
        <w:t xml:space="preserve">s aplicable y, en el tiempo respecto del cual debe ser </w:t>
      </w:r>
      <w:r>
        <w:rPr>
          <w:spacing w:val="-8"/>
          <w:sz w:val="16"/>
          <w:szCs w:val="16"/>
          <w:lang w:val="es-ES_tradnl"/>
        </w:rPr>
        <w:t>calculado ese inter</w:t>
      </w:r>
      <w:r>
        <w:rPr>
          <w:rFonts w:cs="Times New Roman"/>
          <w:spacing w:val="-8"/>
          <w:sz w:val="16"/>
          <w:szCs w:val="16"/>
          <w:lang w:val="es-ES_tradnl"/>
        </w:rPr>
        <w:t>é</w:t>
      </w:r>
      <w:r>
        <w:rPr>
          <w:spacing w:val="-8"/>
          <w:sz w:val="16"/>
          <w:szCs w:val="16"/>
          <w:lang w:val="es-ES_tradnl"/>
        </w:rPr>
        <w:t>s. 2.2 Que para estimar los posibles da</w:t>
      </w:r>
      <w:r>
        <w:rPr>
          <w:rFonts w:cs="Times New Roman"/>
          <w:spacing w:val="-8"/>
          <w:sz w:val="16"/>
          <w:szCs w:val="16"/>
          <w:lang w:val="es-ES_tradnl"/>
        </w:rPr>
        <w:t>ñ</w:t>
      </w:r>
      <w:r>
        <w:rPr>
          <w:spacing w:val="-8"/>
          <w:sz w:val="16"/>
          <w:szCs w:val="16"/>
          <w:lang w:val="es-ES_tradnl"/>
        </w:rPr>
        <w:t xml:space="preserve">os </w:t>
      </w:r>
      <w:r>
        <w:rPr>
          <w:spacing w:val="-5"/>
          <w:sz w:val="16"/>
          <w:szCs w:val="16"/>
          <w:lang w:val="es-ES_tradnl"/>
        </w:rPr>
        <w:t>derivados de la demora en la ejecuci</w:t>
      </w:r>
      <w:r>
        <w:rPr>
          <w:rFonts w:cs="Times New Roman"/>
          <w:spacing w:val="-5"/>
          <w:sz w:val="16"/>
          <w:szCs w:val="16"/>
          <w:lang w:val="es-ES_tradnl"/>
        </w:rPr>
        <w:t>ó</w:t>
      </w:r>
      <w:r>
        <w:rPr>
          <w:spacing w:val="-5"/>
          <w:sz w:val="16"/>
          <w:szCs w:val="16"/>
          <w:lang w:val="es-ES_tradnl"/>
        </w:rPr>
        <w:t xml:space="preserve">n del laudo arbitral, se </w:t>
      </w:r>
      <w:r>
        <w:rPr>
          <w:spacing w:val="-7"/>
          <w:sz w:val="16"/>
          <w:szCs w:val="16"/>
          <w:lang w:val="es-ES_tradnl"/>
        </w:rPr>
        <w:t>ha tomado la tasa de inter</w:t>
      </w:r>
      <w:r>
        <w:rPr>
          <w:rFonts w:cs="Times New Roman"/>
          <w:spacing w:val="-7"/>
          <w:sz w:val="16"/>
          <w:szCs w:val="16"/>
          <w:lang w:val="es-ES_tradnl"/>
        </w:rPr>
        <w:t>é</w:t>
      </w:r>
      <w:r>
        <w:rPr>
          <w:spacing w:val="-7"/>
          <w:sz w:val="16"/>
          <w:szCs w:val="16"/>
          <w:lang w:val="es-ES_tradnl"/>
        </w:rPr>
        <w:t xml:space="preserve">s legal establecida por el Banco </w:t>
      </w:r>
      <w:r>
        <w:rPr>
          <w:spacing w:val="-4"/>
          <w:sz w:val="16"/>
          <w:szCs w:val="16"/>
          <w:lang w:val="es-ES_tradnl"/>
        </w:rPr>
        <w:t xml:space="preserve">Central del Ecuador para el mes de julio de 2011 y que fue </w:t>
      </w:r>
      <w:r>
        <w:rPr>
          <w:spacing w:val="-7"/>
          <w:sz w:val="16"/>
          <w:szCs w:val="16"/>
          <w:lang w:val="es-ES_tradnl"/>
        </w:rPr>
        <w:t xml:space="preserve">del 8.22%, calculado sobre el valor de $ 974.798.14, sobre un </w:t>
      </w:r>
      <w:r>
        <w:rPr>
          <w:spacing w:val="-8"/>
          <w:sz w:val="16"/>
          <w:szCs w:val="16"/>
          <w:lang w:val="es-ES_tradnl"/>
        </w:rPr>
        <w:t>per</w:t>
      </w:r>
      <w:r>
        <w:rPr>
          <w:rFonts w:cs="Times New Roman"/>
          <w:spacing w:val="-8"/>
          <w:sz w:val="16"/>
          <w:szCs w:val="16"/>
          <w:lang w:val="es-ES_tradnl"/>
        </w:rPr>
        <w:t>í</w:t>
      </w:r>
      <w:r>
        <w:rPr>
          <w:spacing w:val="-8"/>
          <w:sz w:val="16"/>
          <w:szCs w:val="16"/>
          <w:lang w:val="es-ES_tradnl"/>
        </w:rPr>
        <w:t>odo de 36 meses y no de 18 meses solamente. El per</w:t>
      </w:r>
      <w:r>
        <w:rPr>
          <w:rFonts w:cs="Times New Roman"/>
          <w:spacing w:val="-8"/>
          <w:sz w:val="16"/>
          <w:szCs w:val="16"/>
          <w:lang w:val="es-ES_tradnl"/>
        </w:rPr>
        <w:t>í</w:t>
      </w:r>
      <w:r>
        <w:rPr>
          <w:spacing w:val="-8"/>
          <w:sz w:val="16"/>
          <w:szCs w:val="16"/>
          <w:lang w:val="es-ES_tradnl"/>
        </w:rPr>
        <w:t xml:space="preserve">odo </w:t>
      </w:r>
      <w:r>
        <w:rPr>
          <w:spacing w:val="-7"/>
          <w:sz w:val="16"/>
          <w:szCs w:val="16"/>
          <w:lang w:val="es-ES_tradnl"/>
        </w:rPr>
        <w:t>m</w:t>
      </w:r>
      <w:r>
        <w:rPr>
          <w:rFonts w:cs="Times New Roman"/>
          <w:spacing w:val="-7"/>
          <w:sz w:val="16"/>
          <w:szCs w:val="16"/>
          <w:lang w:val="es-ES_tradnl"/>
        </w:rPr>
        <w:t>á</w:t>
      </w:r>
      <w:r>
        <w:rPr>
          <w:spacing w:val="-7"/>
          <w:sz w:val="16"/>
          <w:szCs w:val="16"/>
          <w:lang w:val="es-ES_tradnl"/>
        </w:rPr>
        <w:t>s amplio comprender</w:t>
      </w:r>
      <w:r>
        <w:rPr>
          <w:rFonts w:cs="Times New Roman"/>
          <w:spacing w:val="-7"/>
          <w:sz w:val="16"/>
          <w:szCs w:val="16"/>
          <w:lang w:val="es-ES_tradnl"/>
        </w:rPr>
        <w:t>í</w:t>
      </w:r>
      <w:r>
        <w:rPr>
          <w:spacing w:val="-7"/>
          <w:sz w:val="16"/>
          <w:szCs w:val="16"/>
          <w:lang w:val="es-ES_tradnl"/>
        </w:rPr>
        <w:t>a el estimado para resolver la acci</w:t>
      </w:r>
      <w:r>
        <w:rPr>
          <w:rFonts w:cs="Times New Roman"/>
          <w:spacing w:val="-7"/>
          <w:sz w:val="16"/>
          <w:szCs w:val="16"/>
          <w:lang w:val="es-ES_tradnl"/>
        </w:rPr>
        <w:t>ó</w:t>
      </w:r>
      <w:r>
        <w:rPr>
          <w:spacing w:val="-7"/>
          <w:sz w:val="16"/>
          <w:szCs w:val="16"/>
          <w:lang w:val="es-ES_tradnl"/>
        </w:rPr>
        <w:t xml:space="preserve">n </w:t>
      </w:r>
      <w:r>
        <w:rPr>
          <w:spacing w:val="-5"/>
          <w:sz w:val="16"/>
          <w:szCs w:val="16"/>
          <w:lang w:val="es-ES_tradnl"/>
        </w:rPr>
        <w:t xml:space="preserve">de nulidad, (tomando en cuenta los registro del Centro de </w:t>
      </w:r>
      <w:r>
        <w:rPr>
          <w:spacing w:val="-3"/>
          <w:sz w:val="16"/>
          <w:szCs w:val="16"/>
          <w:lang w:val="es-ES_tradnl"/>
        </w:rPr>
        <w:t>Arbitraje y Mediaci</w:t>
      </w:r>
      <w:r>
        <w:rPr>
          <w:rFonts w:cs="Times New Roman"/>
          <w:spacing w:val="-3"/>
          <w:sz w:val="16"/>
          <w:szCs w:val="16"/>
          <w:lang w:val="es-ES_tradnl"/>
        </w:rPr>
        <w:t>ó</w:t>
      </w:r>
      <w:r>
        <w:rPr>
          <w:spacing w:val="-3"/>
          <w:sz w:val="16"/>
          <w:szCs w:val="16"/>
          <w:lang w:val="es-ES_tradnl"/>
        </w:rPr>
        <w:t>n de la C</w:t>
      </w:r>
      <w:r>
        <w:rPr>
          <w:rFonts w:cs="Times New Roman"/>
          <w:spacing w:val="-3"/>
          <w:sz w:val="16"/>
          <w:szCs w:val="16"/>
          <w:lang w:val="es-ES_tradnl"/>
        </w:rPr>
        <w:t>á</w:t>
      </w:r>
      <w:r>
        <w:rPr>
          <w:spacing w:val="-3"/>
          <w:sz w:val="16"/>
          <w:szCs w:val="16"/>
          <w:lang w:val="es-ES_tradnl"/>
        </w:rPr>
        <w:t xml:space="preserve">mara de Comercio de Quito </w:t>
      </w:r>
      <w:r>
        <w:rPr>
          <w:spacing w:val="-4"/>
          <w:sz w:val="16"/>
          <w:szCs w:val="16"/>
          <w:lang w:val="es-ES_tradnl"/>
        </w:rPr>
        <w:t>que establece ese promedio de un a</w:t>
      </w:r>
      <w:r>
        <w:rPr>
          <w:rFonts w:cs="Times New Roman"/>
          <w:spacing w:val="-4"/>
          <w:sz w:val="16"/>
          <w:szCs w:val="16"/>
          <w:lang w:val="es-ES_tradnl"/>
        </w:rPr>
        <w:t>ñ</w:t>
      </w:r>
      <w:r>
        <w:rPr>
          <w:spacing w:val="-4"/>
          <w:sz w:val="16"/>
          <w:szCs w:val="16"/>
          <w:lang w:val="es-ES_tradnl"/>
        </w:rPr>
        <w:t>o y medio), m</w:t>
      </w:r>
      <w:r>
        <w:rPr>
          <w:rFonts w:cs="Times New Roman"/>
          <w:spacing w:val="-4"/>
          <w:sz w:val="16"/>
          <w:szCs w:val="16"/>
          <w:lang w:val="es-ES_tradnl"/>
        </w:rPr>
        <w:t>á</w:t>
      </w:r>
      <w:r>
        <w:rPr>
          <w:spacing w:val="-4"/>
          <w:sz w:val="16"/>
          <w:szCs w:val="16"/>
          <w:lang w:val="es-ES_tradnl"/>
        </w:rPr>
        <w:t xml:space="preserve">s 18 </w:t>
      </w:r>
      <w:r>
        <w:rPr>
          <w:spacing w:val="-8"/>
          <w:sz w:val="16"/>
          <w:szCs w:val="16"/>
          <w:lang w:val="es-ES_tradnl"/>
        </w:rPr>
        <w:t>meses adicionales por cuanto se ha reiterado una pr</w:t>
      </w:r>
      <w:r>
        <w:rPr>
          <w:rFonts w:cs="Times New Roman"/>
          <w:spacing w:val="-8"/>
          <w:sz w:val="16"/>
          <w:szCs w:val="16"/>
          <w:lang w:val="es-ES_tradnl"/>
        </w:rPr>
        <w:t>á</w:t>
      </w:r>
      <w:r>
        <w:rPr>
          <w:spacing w:val="-8"/>
          <w:sz w:val="16"/>
          <w:szCs w:val="16"/>
          <w:lang w:val="es-ES_tradnl"/>
        </w:rPr>
        <w:t xml:space="preserve">ctica de </w:t>
      </w:r>
      <w:r>
        <w:rPr>
          <w:spacing w:val="-7"/>
          <w:sz w:val="16"/>
          <w:szCs w:val="16"/>
          <w:lang w:val="es-ES_tradnl"/>
        </w:rPr>
        <w:t xml:space="preserve">interponer, contra las sentencia de la Corte Superior, recursos </w:t>
      </w:r>
      <w:r>
        <w:rPr>
          <w:spacing w:val="-6"/>
          <w:sz w:val="16"/>
          <w:szCs w:val="16"/>
          <w:lang w:val="es-ES_tradnl"/>
        </w:rPr>
        <w:t>de casaci</w:t>
      </w:r>
      <w:r>
        <w:rPr>
          <w:rFonts w:cs="Times New Roman"/>
          <w:spacing w:val="-6"/>
          <w:sz w:val="16"/>
          <w:szCs w:val="16"/>
          <w:lang w:val="es-ES_tradnl"/>
        </w:rPr>
        <w:t>ó</w:t>
      </w:r>
      <w:r>
        <w:rPr>
          <w:spacing w:val="-6"/>
          <w:sz w:val="16"/>
          <w:szCs w:val="16"/>
          <w:lang w:val="es-ES_tradnl"/>
        </w:rPr>
        <w:t>n y, posteriormente, acci</w:t>
      </w:r>
      <w:r>
        <w:rPr>
          <w:rFonts w:cs="Times New Roman"/>
          <w:spacing w:val="-6"/>
          <w:sz w:val="16"/>
          <w:szCs w:val="16"/>
          <w:lang w:val="es-ES_tradnl"/>
        </w:rPr>
        <w:t>ó</w:t>
      </w:r>
      <w:r>
        <w:rPr>
          <w:spacing w:val="-6"/>
          <w:sz w:val="16"/>
          <w:szCs w:val="16"/>
          <w:lang w:val="es-ES_tradnl"/>
        </w:rPr>
        <w:t>n de protecci</w:t>
      </w:r>
      <w:r>
        <w:rPr>
          <w:rFonts w:cs="Times New Roman"/>
          <w:spacing w:val="-6"/>
          <w:sz w:val="16"/>
          <w:szCs w:val="16"/>
          <w:lang w:val="es-ES_tradnl"/>
        </w:rPr>
        <w:t>ó</w:t>
      </w:r>
      <w:r>
        <w:rPr>
          <w:spacing w:val="-6"/>
          <w:sz w:val="16"/>
          <w:szCs w:val="16"/>
          <w:lang w:val="es-ES_tradnl"/>
        </w:rPr>
        <w:t xml:space="preserve">n ante el </w:t>
      </w:r>
      <w:r>
        <w:rPr>
          <w:spacing w:val="-4"/>
          <w:sz w:val="16"/>
          <w:szCs w:val="16"/>
          <w:lang w:val="es-ES_tradnl"/>
        </w:rPr>
        <w:t>Tribunal Constitucional (</w:t>
      </w:r>
      <w:r>
        <w:rPr>
          <w:rFonts w:cs="Times New Roman"/>
          <w:spacing w:val="-4"/>
          <w:sz w:val="16"/>
          <w:szCs w:val="16"/>
          <w:lang w:val="es-ES_tradnl"/>
        </w:rPr>
        <w:t>…</w:t>
      </w:r>
      <w:r>
        <w:rPr>
          <w:spacing w:val="-4"/>
          <w:sz w:val="16"/>
          <w:szCs w:val="16"/>
          <w:lang w:val="es-ES_tradnl"/>
        </w:rPr>
        <w:t xml:space="preserve">) 3.- La accionante de la nulidad </w:t>
      </w:r>
      <w:r>
        <w:rPr>
          <w:spacing w:val="-8"/>
          <w:sz w:val="16"/>
          <w:szCs w:val="16"/>
          <w:lang w:val="es-ES_tradnl"/>
        </w:rPr>
        <w:t>consignar</w:t>
      </w:r>
      <w:r>
        <w:rPr>
          <w:rFonts w:cs="Times New Roman"/>
          <w:spacing w:val="-8"/>
          <w:sz w:val="16"/>
          <w:szCs w:val="16"/>
          <w:lang w:val="es-ES_tradnl"/>
        </w:rPr>
        <w:t>á</w:t>
      </w:r>
      <w:r>
        <w:rPr>
          <w:spacing w:val="-8"/>
          <w:sz w:val="16"/>
          <w:szCs w:val="16"/>
          <w:lang w:val="es-ES_tradnl"/>
        </w:rPr>
        <w:t xml:space="preserve"> en el t</w:t>
      </w:r>
      <w:r>
        <w:rPr>
          <w:rFonts w:cs="Times New Roman"/>
          <w:spacing w:val="-8"/>
          <w:sz w:val="16"/>
          <w:szCs w:val="16"/>
          <w:lang w:val="es-ES_tradnl"/>
        </w:rPr>
        <w:t>é</w:t>
      </w:r>
      <w:r>
        <w:rPr>
          <w:spacing w:val="-8"/>
          <w:sz w:val="16"/>
          <w:szCs w:val="16"/>
          <w:lang w:val="es-ES_tradnl"/>
        </w:rPr>
        <w:t>rmino improrrogable de tres d</w:t>
      </w:r>
      <w:r>
        <w:rPr>
          <w:rFonts w:cs="Times New Roman"/>
          <w:spacing w:val="-8"/>
          <w:sz w:val="16"/>
          <w:szCs w:val="16"/>
          <w:lang w:val="es-ES_tradnl"/>
        </w:rPr>
        <w:t>í</w:t>
      </w:r>
      <w:r>
        <w:rPr>
          <w:spacing w:val="-8"/>
          <w:sz w:val="16"/>
          <w:szCs w:val="16"/>
          <w:lang w:val="es-ES_tradnl"/>
        </w:rPr>
        <w:t>as, la cauci</w:t>
      </w:r>
      <w:r>
        <w:rPr>
          <w:rFonts w:cs="Times New Roman"/>
          <w:spacing w:val="-8"/>
          <w:sz w:val="16"/>
          <w:szCs w:val="16"/>
          <w:lang w:val="es-ES_tradnl"/>
        </w:rPr>
        <w:t>ó</w:t>
      </w:r>
      <w:r>
        <w:rPr>
          <w:spacing w:val="-8"/>
          <w:sz w:val="16"/>
          <w:szCs w:val="16"/>
          <w:lang w:val="es-ES_tradnl"/>
        </w:rPr>
        <w:t>n se</w:t>
      </w:r>
      <w:r>
        <w:rPr>
          <w:rFonts w:cs="Times New Roman"/>
          <w:spacing w:val="-8"/>
          <w:sz w:val="16"/>
          <w:szCs w:val="16"/>
          <w:lang w:val="es-ES_tradnl"/>
        </w:rPr>
        <w:t>ñ</w:t>
      </w:r>
      <w:r>
        <w:rPr>
          <w:spacing w:val="-8"/>
          <w:sz w:val="16"/>
          <w:szCs w:val="16"/>
          <w:lang w:val="es-ES_tradnl"/>
        </w:rPr>
        <w:t xml:space="preserve">alada por este Tribunal, bajo prevenciones del Art. 31 de la </w:t>
      </w:r>
      <w:r>
        <w:rPr>
          <w:spacing w:val="-5"/>
          <w:sz w:val="16"/>
          <w:szCs w:val="16"/>
          <w:lang w:val="es-ES_tradnl"/>
        </w:rPr>
        <w:t>Ley de Arbitraje y Mediaci</w:t>
      </w:r>
      <w:r>
        <w:rPr>
          <w:rFonts w:cs="Times New Roman"/>
          <w:spacing w:val="-5"/>
          <w:sz w:val="16"/>
          <w:szCs w:val="16"/>
          <w:lang w:val="es-ES_tradnl"/>
        </w:rPr>
        <w:t>ó</w:t>
      </w:r>
      <w:r>
        <w:rPr>
          <w:spacing w:val="-5"/>
          <w:sz w:val="16"/>
          <w:szCs w:val="16"/>
          <w:lang w:val="es-ES_tradnl"/>
        </w:rPr>
        <w:t xml:space="preserve">n, puesto que, de no hacerlo, se </w:t>
      </w:r>
      <w:r>
        <w:rPr>
          <w:spacing w:val="-6"/>
          <w:sz w:val="16"/>
          <w:szCs w:val="16"/>
          <w:lang w:val="es-ES_tradnl"/>
        </w:rPr>
        <w:t>remitir</w:t>
      </w:r>
      <w:r>
        <w:rPr>
          <w:rFonts w:cs="Times New Roman"/>
          <w:spacing w:val="-6"/>
          <w:sz w:val="16"/>
          <w:szCs w:val="16"/>
          <w:lang w:val="es-ES_tradnl"/>
        </w:rPr>
        <w:t>á</w:t>
      </w:r>
      <w:r>
        <w:rPr>
          <w:spacing w:val="-6"/>
          <w:sz w:val="16"/>
          <w:szCs w:val="16"/>
          <w:lang w:val="es-ES_tradnl"/>
        </w:rPr>
        <w:t xml:space="preserve"> el proceso a la Corte Provincial de Justicia, sin orden </w:t>
      </w:r>
      <w:r>
        <w:rPr>
          <w:sz w:val="16"/>
          <w:szCs w:val="16"/>
          <w:lang w:val="es-ES_tradnl"/>
        </w:rPr>
        <w:t>de suspensi</w:t>
      </w:r>
      <w:r>
        <w:rPr>
          <w:rFonts w:cs="Times New Roman"/>
          <w:sz w:val="16"/>
          <w:szCs w:val="16"/>
          <w:lang w:val="es-ES_tradnl"/>
        </w:rPr>
        <w:t>ó</w:t>
      </w:r>
      <w:r>
        <w:rPr>
          <w:sz w:val="16"/>
          <w:szCs w:val="16"/>
          <w:lang w:val="es-ES_tradnl"/>
        </w:rPr>
        <w:t>n de laudo arbitral (</w:t>
      </w:r>
      <w:r>
        <w:rPr>
          <w:rFonts w:cs="Times New Roman"/>
          <w:sz w:val="16"/>
          <w:szCs w:val="16"/>
          <w:lang w:val="es-ES_tradnl"/>
        </w:rPr>
        <w:t>…</w:t>
      </w:r>
      <w:r>
        <w:rPr>
          <w:sz w:val="16"/>
          <w:szCs w:val="16"/>
          <w:lang w:val="es-ES_tradnl"/>
        </w:rPr>
        <w:t>)</w:t>
      </w:r>
    </w:p>
    <w:p w14:paraId="4F67B5D4" w14:textId="77777777" w:rsidR="00591D54" w:rsidRDefault="00591D54">
      <w:pPr>
        <w:shd w:val="clear" w:color="auto" w:fill="FFFFFF"/>
        <w:spacing w:before="226"/>
      </w:pPr>
      <w:r>
        <w:rPr>
          <w:b/>
          <w:bCs/>
          <w:spacing w:val="-10"/>
          <w:sz w:val="18"/>
          <w:szCs w:val="18"/>
          <w:lang w:val="es-ES_tradnl"/>
        </w:rPr>
        <w:t>De la solicitud y sus argumentos</w:t>
      </w:r>
    </w:p>
    <w:p w14:paraId="4F67B5D5" w14:textId="77777777" w:rsidR="00591D54" w:rsidRDefault="00591D54">
      <w:pPr>
        <w:shd w:val="clear" w:color="auto" w:fill="FFFFFF"/>
        <w:spacing w:before="192" w:line="216" w:lineRule="exact"/>
        <w:jc w:val="both"/>
      </w:pPr>
      <w:r>
        <w:rPr>
          <w:spacing w:val="-2"/>
          <w:sz w:val="18"/>
          <w:szCs w:val="18"/>
          <w:lang w:val="es-ES_tradnl"/>
        </w:rPr>
        <w:t>El demandante, abogado Christian Molina Rom</w:t>
      </w:r>
      <w:r>
        <w:rPr>
          <w:rFonts w:cs="Times New Roman"/>
          <w:spacing w:val="-2"/>
          <w:sz w:val="18"/>
          <w:szCs w:val="18"/>
          <w:lang w:val="es-ES_tradnl"/>
        </w:rPr>
        <w:t>á</w:t>
      </w:r>
      <w:r>
        <w:rPr>
          <w:spacing w:val="-2"/>
          <w:sz w:val="18"/>
          <w:szCs w:val="18"/>
          <w:lang w:val="es-ES_tradnl"/>
        </w:rPr>
        <w:t xml:space="preserve">n, </w:t>
      </w:r>
      <w:r>
        <w:rPr>
          <w:spacing w:val="-10"/>
          <w:sz w:val="18"/>
          <w:szCs w:val="18"/>
          <w:lang w:val="es-ES_tradnl"/>
        </w:rPr>
        <w:t>autorizado por el doctor Wladimir L</w:t>
      </w:r>
      <w:r>
        <w:rPr>
          <w:rFonts w:cs="Times New Roman"/>
          <w:spacing w:val="-10"/>
          <w:sz w:val="18"/>
          <w:szCs w:val="18"/>
          <w:lang w:val="es-ES_tradnl"/>
        </w:rPr>
        <w:t>ó</w:t>
      </w:r>
      <w:r>
        <w:rPr>
          <w:spacing w:val="-10"/>
          <w:sz w:val="18"/>
          <w:szCs w:val="18"/>
          <w:lang w:val="es-ES_tradnl"/>
        </w:rPr>
        <w:t>pez Erazo en su calidad</w:t>
      </w:r>
    </w:p>
    <w:p w14:paraId="4F67B5D6" w14:textId="77777777" w:rsidR="00591D54" w:rsidRDefault="00591D54">
      <w:pPr>
        <w:shd w:val="clear" w:color="auto" w:fill="FFFFFF"/>
        <w:spacing w:before="192" w:line="216" w:lineRule="exact"/>
        <w:jc w:val="both"/>
        <w:sectPr w:rsidR="00591D54">
          <w:type w:val="continuous"/>
          <w:pgSz w:w="11909" w:h="16834"/>
          <w:pgMar w:top="1354" w:right="1309" w:bottom="360" w:left="1308" w:header="720" w:footer="720" w:gutter="0"/>
          <w:cols w:num="2" w:space="720" w:equalWidth="0">
            <w:col w:w="4305" w:space="682"/>
            <w:col w:w="4305"/>
          </w:cols>
          <w:noEndnote/>
        </w:sectPr>
      </w:pPr>
    </w:p>
    <w:p w14:paraId="4F67B5D7"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- 225</w:t>
      </w:r>
    </w:p>
    <w:p w14:paraId="4F67B5D8" w14:textId="77777777" w:rsidR="00591D54" w:rsidRDefault="00591D54">
      <w:pPr>
        <w:shd w:val="clear" w:color="auto" w:fill="FFFFFF"/>
        <w:tabs>
          <w:tab w:val="left" w:pos="5842"/>
        </w:tabs>
        <w:spacing w:after="235"/>
        <w:ind w:left="5"/>
        <w:sectPr w:rsidR="00591D54">
          <w:pgSz w:w="11909" w:h="16834"/>
          <w:pgMar w:top="1366" w:right="1299" w:bottom="360" w:left="1308" w:header="720" w:footer="720" w:gutter="0"/>
          <w:cols w:space="60"/>
          <w:noEndnote/>
        </w:sectPr>
      </w:pPr>
    </w:p>
    <w:p w14:paraId="4F67B5D9" w14:textId="77777777" w:rsidR="00591D54" w:rsidRDefault="00591D54">
      <w:pPr>
        <w:shd w:val="clear" w:color="auto" w:fill="FFFFFF"/>
        <w:spacing w:line="216" w:lineRule="exact"/>
        <w:jc w:val="both"/>
      </w:pPr>
      <w:r>
        <w:rPr>
          <w:spacing w:val="-6"/>
          <w:sz w:val="18"/>
          <w:szCs w:val="18"/>
          <w:lang w:val="es-ES_tradnl"/>
        </w:rPr>
        <w:t>de abogado de patrocinio (e) de la empresa p</w:t>
      </w:r>
      <w:r>
        <w:rPr>
          <w:rFonts w:cs="Times New Roman"/>
          <w:spacing w:val="-6"/>
          <w:sz w:val="18"/>
          <w:szCs w:val="18"/>
          <w:lang w:val="es-ES_tradnl"/>
        </w:rPr>
        <w:t>ú</w:t>
      </w:r>
      <w:r>
        <w:rPr>
          <w:spacing w:val="-6"/>
          <w:sz w:val="18"/>
          <w:szCs w:val="18"/>
          <w:lang w:val="es-ES_tradnl"/>
        </w:rPr>
        <w:t xml:space="preserve">blica, EP </w:t>
      </w:r>
      <w:r>
        <w:rPr>
          <w:spacing w:val="-10"/>
          <w:sz w:val="18"/>
          <w:szCs w:val="18"/>
          <w:lang w:val="es-ES_tradnl"/>
        </w:rPr>
        <w:t xml:space="preserve">Petroecuador y apoderado del gerente general de la misma, </w:t>
      </w:r>
      <w:r>
        <w:rPr>
          <w:spacing w:val="-8"/>
          <w:sz w:val="18"/>
          <w:szCs w:val="18"/>
          <w:lang w:val="es-ES_tradnl"/>
        </w:rPr>
        <w:t>present</w:t>
      </w:r>
      <w:r>
        <w:rPr>
          <w:rFonts w:cs="Times New Roman"/>
          <w:spacing w:val="-8"/>
          <w:sz w:val="18"/>
          <w:szCs w:val="18"/>
          <w:lang w:val="es-ES_tradnl"/>
        </w:rPr>
        <w:t>ó</w:t>
      </w:r>
      <w:r>
        <w:rPr>
          <w:spacing w:val="-8"/>
          <w:sz w:val="18"/>
          <w:szCs w:val="18"/>
          <w:lang w:val="es-ES_tradnl"/>
        </w:rPr>
        <w:t xml:space="preserve"> el 6 de septiembre de 2011, acci</w:t>
      </w:r>
      <w:r>
        <w:rPr>
          <w:rFonts w:cs="Times New Roman"/>
          <w:spacing w:val="-8"/>
          <w:sz w:val="18"/>
          <w:szCs w:val="18"/>
          <w:lang w:val="es-ES_tradnl"/>
        </w:rPr>
        <w:t>ó</w:t>
      </w:r>
      <w:r>
        <w:rPr>
          <w:spacing w:val="-8"/>
          <w:sz w:val="18"/>
          <w:szCs w:val="18"/>
          <w:lang w:val="es-ES_tradnl"/>
        </w:rPr>
        <w:t xml:space="preserve">n extraordinaria </w:t>
      </w:r>
      <w:r>
        <w:rPr>
          <w:spacing w:val="-7"/>
          <w:sz w:val="18"/>
          <w:szCs w:val="18"/>
          <w:lang w:val="es-ES_tradnl"/>
        </w:rPr>
        <w:t>de protecci</w:t>
      </w:r>
      <w:r>
        <w:rPr>
          <w:rFonts w:cs="Times New Roman"/>
          <w:spacing w:val="-7"/>
          <w:sz w:val="18"/>
          <w:szCs w:val="18"/>
          <w:lang w:val="es-ES_tradnl"/>
        </w:rPr>
        <w:t>ó</w:t>
      </w:r>
      <w:r>
        <w:rPr>
          <w:spacing w:val="-7"/>
          <w:sz w:val="18"/>
          <w:szCs w:val="18"/>
          <w:lang w:val="es-ES_tradnl"/>
        </w:rPr>
        <w:t xml:space="preserve">n en contra del auto dictado el 5 de agosto de </w:t>
      </w:r>
      <w:r>
        <w:rPr>
          <w:spacing w:val="-5"/>
          <w:sz w:val="18"/>
          <w:szCs w:val="18"/>
          <w:lang w:val="es-ES_tradnl"/>
        </w:rPr>
        <w:t>2011, por el Tribunal Arbitral de la C</w:t>
      </w:r>
      <w:r>
        <w:rPr>
          <w:rFonts w:cs="Times New Roman"/>
          <w:spacing w:val="-5"/>
          <w:sz w:val="18"/>
          <w:szCs w:val="18"/>
          <w:lang w:val="es-ES_tradnl"/>
        </w:rPr>
        <w:t>á</w:t>
      </w:r>
      <w:r>
        <w:rPr>
          <w:spacing w:val="-5"/>
          <w:sz w:val="18"/>
          <w:szCs w:val="18"/>
          <w:lang w:val="es-ES_tradnl"/>
        </w:rPr>
        <w:t xml:space="preserve">mara de Comercio </w:t>
      </w:r>
      <w:r>
        <w:rPr>
          <w:spacing w:val="-6"/>
          <w:sz w:val="18"/>
          <w:szCs w:val="18"/>
          <w:lang w:val="es-ES_tradnl"/>
        </w:rPr>
        <w:t>de Quito, que resolvi</w:t>
      </w:r>
      <w:r>
        <w:rPr>
          <w:rFonts w:cs="Times New Roman"/>
          <w:spacing w:val="-6"/>
          <w:sz w:val="18"/>
          <w:szCs w:val="18"/>
          <w:lang w:val="es-ES_tradnl"/>
        </w:rPr>
        <w:t>ó</w:t>
      </w:r>
      <w:r>
        <w:rPr>
          <w:spacing w:val="-6"/>
          <w:sz w:val="18"/>
          <w:szCs w:val="18"/>
          <w:lang w:val="es-ES_tradnl"/>
        </w:rPr>
        <w:t xml:space="preserve"> negar la solicitud de revocatoria de </w:t>
      </w:r>
      <w:r>
        <w:rPr>
          <w:spacing w:val="-4"/>
          <w:sz w:val="18"/>
          <w:szCs w:val="18"/>
          <w:lang w:val="es-ES_tradnl"/>
        </w:rPr>
        <w:t xml:space="preserve">la providencia emitida el 26 de julio del 2011, en la cual </w:t>
      </w:r>
      <w:r>
        <w:rPr>
          <w:spacing w:val="-5"/>
          <w:sz w:val="18"/>
          <w:szCs w:val="18"/>
          <w:lang w:val="es-ES_tradnl"/>
        </w:rPr>
        <w:t>dispuso que en virtud de la acci</w:t>
      </w:r>
      <w:r>
        <w:rPr>
          <w:rFonts w:cs="Times New Roman"/>
          <w:spacing w:val="-5"/>
          <w:sz w:val="18"/>
          <w:szCs w:val="18"/>
          <w:lang w:val="es-ES_tradnl"/>
        </w:rPr>
        <w:t>ó</w:t>
      </w:r>
      <w:r>
        <w:rPr>
          <w:spacing w:val="-5"/>
          <w:sz w:val="18"/>
          <w:szCs w:val="18"/>
          <w:lang w:val="es-ES_tradnl"/>
        </w:rPr>
        <w:t xml:space="preserve">n de nulidad de laudo </w:t>
      </w:r>
      <w:r>
        <w:rPr>
          <w:spacing w:val="-6"/>
          <w:sz w:val="18"/>
          <w:szCs w:val="18"/>
          <w:lang w:val="es-ES_tradnl"/>
        </w:rPr>
        <w:t>arbitral interpuesta, se realice el pago de la cauci</w:t>
      </w:r>
      <w:r>
        <w:rPr>
          <w:rFonts w:cs="Times New Roman"/>
          <w:spacing w:val="-6"/>
          <w:sz w:val="18"/>
          <w:szCs w:val="18"/>
          <w:lang w:val="es-ES_tradnl"/>
        </w:rPr>
        <w:t>ó</w:t>
      </w:r>
      <w:r>
        <w:rPr>
          <w:spacing w:val="-6"/>
          <w:sz w:val="18"/>
          <w:szCs w:val="18"/>
          <w:lang w:val="es-ES_tradnl"/>
        </w:rPr>
        <w:t xml:space="preserve">n que </w:t>
      </w:r>
      <w:r>
        <w:rPr>
          <w:spacing w:val="-8"/>
          <w:sz w:val="18"/>
          <w:szCs w:val="18"/>
          <w:lang w:val="es-ES_tradnl"/>
        </w:rPr>
        <w:t>la fij</w:t>
      </w:r>
      <w:r>
        <w:rPr>
          <w:rFonts w:cs="Times New Roman"/>
          <w:spacing w:val="-8"/>
          <w:sz w:val="18"/>
          <w:szCs w:val="18"/>
          <w:lang w:val="es-ES_tradnl"/>
        </w:rPr>
        <w:t>ó</w:t>
      </w:r>
      <w:r>
        <w:rPr>
          <w:spacing w:val="-8"/>
          <w:sz w:val="18"/>
          <w:szCs w:val="18"/>
          <w:lang w:val="es-ES_tradnl"/>
        </w:rPr>
        <w:t xml:space="preserve"> en </w:t>
      </w:r>
      <w:r>
        <w:rPr>
          <w:b/>
          <w:bCs/>
          <w:spacing w:val="-8"/>
          <w:sz w:val="18"/>
          <w:szCs w:val="18"/>
          <w:lang w:val="es-ES_tradnl"/>
        </w:rPr>
        <w:t xml:space="preserve">doscientos cuarenta y cuatro mil setecientos </w:t>
      </w:r>
      <w:r>
        <w:rPr>
          <w:b/>
          <w:bCs/>
          <w:spacing w:val="-6"/>
          <w:sz w:val="18"/>
          <w:szCs w:val="18"/>
          <w:lang w:val="es-ES_tradnl"/>
        </w:rPr>
        <w:t xml:space="preserve">setenta y uno </w:t>
      </w:r>
      <w:r>
        <w:rPr>
          <w:spacing w:val="-6"/>
          <w:sz w:val="18"/>
          <w:szCs w:val="18"/>
          <w:lang w:val="es-ES_tradnl"/>
        </w:rPr>
        <w:t>80/100 D</w:t>
      </w:r>
      <w:r>
        <w:rPr>
          <w:rFonts w:cs="Times New Roman"/>
          <w:spacing w:val="-6"/>
          <w:sz w:val="18"/>
          <w:szCs w:val="18"/>
          <w:lang w:val="es-ES_tradnl"/>
        </w:rPr>
        <w:t>Ó</w:t>
      </w:r>
      <w:r>
        <w:rPr>
          <w:spacing w:val="-6"/>
          <w:sz w:val="18"/>
          <w:szCs w:val="18"/>
          <w:lang w:val="es-ES_tradnl"/>
        </w:rPr>
        <w:t xml:space="preserve">LARES de los Estados Unidos </w:t>
      </w:r>
      <w:r>
        <w:rPr>
          <w:spacing w:val="-8"/>
          <w:sz w:val="18"/>
          <w:szCs w:val="18"/>
          <w:lang w:val="es-ES_tradnl"/>
        </w:rPr>
        <w:t>de Norteam</w:t>
      </w:r>
      <w:r>
        <w:rPr>
          <w:rFonts w:cs="Times New Roman"/>
          <w:spacing w:val="-8"/>
          <w:sz w:val="18"/>
          <w:szCs w:val="18"/>
          <w:lang w:val="es-ES_tradnl"/>
        </w:rPr>
        <w:t>é</w:t>
      </w:r>
      <w:r>
        <w:rPr>
          <w:spacing w:val="-8"/>
          <w:sz w:val="18"/>
          <w:szCs w:val="18"/>
          <w:lang w:val="es-ES_tradnl"/>
        </w:rPr>
        <w:t xml:space="preserve">rica ( $ 244.771,80 USD), para suspender los </w:t>
      </w:r>
      <w:r>
        <w:rPr>
          <w:sz w:val="18"/>
          <w:szCs w:val="18"/>
          <w:lang w:val="es-ES_tradnl"/>
        </w:rPr>
        <w:t>efectos del laudo arbitral.</w:t>
      </w:r>
    </w:p>
    <w:p w14:paraId="4F67B5DA" w14:textId="77777777" w:rsidR="00591D54" w:rsidRDefault="00591D54">
      <w:pPr>
        <w:shd w:val="clear" w:color="auto" w:fill="FFFFFF"/>
        <w:spacing w:before="197"/>
      </w:pPr>
      <w:r>
        <w:rPr>
          <w:spacing w:val="-7"/>
          <w:sz w:val="18"/>
          <w:szCs w:val="18"/>
          <w:lang w:val="es-ES_tradnl"/>
        </w:rPr>
        <w:t>El accionante en lo principal, manifiesta que:</w:t>
      </w:r>
    </w:p>
    <w:p w14:paraId="4F67B5DB" w14:textId="77777777" w:rsidR="00591D54" w:rsidRDefault="00591D54">
      <w:pPr>
        <w:shd w:val="clear" w:color="auto" w:fill="FFFFFF"/>
        <w:spacing w:before="202" w:line="216" w:lineRule="exact"/>
        <w:ind w:left="283" w:right="5"/>
        <w:jc w:val="both"/>
      </w:pPr>
      <w:r>
        <w:rPr>
          <w:spacing w:val="-6"/>
          <w:sz w:val="16"/>
          <w:szCs w:val="16"/>
          <w:lang w:val="es-ES_tradnl"/>
        </w:rPr>
        <w:t>(</w:t>
      </w:r>
      <w:r>
        <w:rPr>
          <w:rFonts w:cs="Times New Roman"/>
          <w:spacing w:val="-6"/>
          <w:sz w:val="16"/>
          <w:szCs w:val="16"/>
          <w:lang w:val="es-ES_tradnl"/>
        </w:rPr>
        <w:t>…</w:t>
      </w:r>
      <w:r>
        <w:rPr>
          <w:spacing w:val="-6"/>
          <w:sz w:val="16"/>
          <w:szCs w:val="16"/>
          <w:lang w:val="es-ES_tradnl"/>
        </w:rPr>
        <w:t xml:space="preserve">) la providencia impugnada </w:t>
      </w:r>
      <w:r>
        <w:rPr>
          <w:rFonts w:cs="Times New Roman"/>
          <w:spacing w:val="-6"/>
          <w:sz w:val="16"/>
          <w:szCs w:val="16"/>
          <w:lang w:val="es-ES_tradnl"/>
        </w:rPr>
        <w:t>–</w:t>
      </w:r>
      <w:r>
        <w:rPr>
          <w:spacing w:val="-6"/>
          <w:sz w:val="16"/>
          <w:szCs w:val="16"/>
          <w:lang w:val="es-ES_tradnl"/>
        </w:rPr>
        <w:t xml:space="preserve">del 5 de agosto del 2011, las </w:t>
      </w:r>
      <w:r>
        <w:rPr>
          <w:spacing w:val="-5"/>
          <w:sz w:val="16"/>
          <w:szCs w:val="16"/>
          <w:lang w:val="es-ES_tradnl"/>
        </w:rPr>
        <w:t xml:space="preserve">8H30 y notificada el 11 de agosto de 2011- tiene fuerza de </w:t>
      </w:r>
      <w:r>
        <w:rPr>
          <w:spacing w:val="-6"/>
          <w:sz w:val="16"/>
          <w:szCs w:val="16"/>
          <w:lang w:val="es-ES_tradnl"/>
        </w:rPr>
        <w:t>auto y se encuentra ejecutoriada. La misma viola garant</w:t>
      </w:r>
      <w:r>
        <w:rPr>
          <w:rFonts w:cs="Times New Roman"/>
          <w:spacing w:val="-6"/>
          <w:sz w:val="16"/>
          <w:szCs w:val="16"/>
          <w:lang w:val="es-ES_tradnl"/>
        </w:rPr>
        <w:t>í</w:t>
      </w:r>
      <w:r>
        <w:rPr>
          <w:spacing w:val="-6"/>
          <w:sz w:val="16"/>
          <w:szCs w:val="16"/>
          <w:lang w:val="es-ES_tradnl"/>
        </w:rPr>
        <w:t xml:space="preserve">as </w:t>
      </w:r>
      <w:r>
        <w:rPr>
          <w:spacing w:val="-4"/>
          <w:sz w:val="16"/>
          <w:szCs w:val="16"/>
          <w:lang w:val="es-ES_tradnl"/>
        </w:rPr>
        <w:t>establecidas en la constituci</w:t>
      </w:r>
      <w:r>
        <w:rPr>
          <w:rFonts w:cs="Times New Roman"/>
          <w:spacing w:val="-4"/>
          <w:sz w:val="16"/>
          <w:szCs w:val="16"/>
          <w:lang w:val="es-ES_tradnl"/>
        </w:rPr>
        <w:t>ó</w:t>
      </w:r>
      <w:r>
        <w:rPr>
          <w:spacing w:val="-4"/>
          <w:sz w:val="16"/>
          <w:szCs w:val="16"/>
          <w:lang w:val="es-ES_tradnl"/>
        </w:rPr>
        <w:t>n y el debido proceso (</w:t>
      </w:r>
      <w:r>
        <w:rPr>
          <w:rFonts w:cs="Times New Roman"/>
          <w:spacing w:val="-4"/>
          <w:sz w:val="16"/>
          <w:szCs w:val="16"/>
          <w:lang w:val="es-ES_tradnl"/>
        </w:rPr>
        <w:t>…</w:t>
      </w:r>
      <w:r>
        <w:rPr>
          <w:spacing w:val="-4"/>
          <w:sz w:val="16"/>
          <w:szCs w:val="16"/>
          <w:lang w:val="es-ES_tradnl"/>
        </w:rPr>
        <w:t xml:space="preserve">) Ya </w:t>
      </w:r>
      <w:r>
        <w:rPr>
          <w:spacing w:val="-6"/>
          <w:sz w:val="16"/>
          <w:szCs w:val="16"/>
          <w:lang w:val="es-ES_tradnl"/>
        </w:rPr>
        <w:t>que como se demostr</w:t>
      </w:r>
      <w:r>
        <w:rPr>
          <w:rFonts w:cs="Times New Roman"/>
          <w:spacing w:val="-6"/>
          <w:sz w:val="16"/>
          <w:szCs w:val="16"/>
          <w:lang w:val="es-ES_tradnl"/>
        </w:rPr>
        <w:t>ó</w:t>
      </w:r>
      <w:r>
        <w:rPr>
          <w:spacing w:val="-6"/>
          <w:sz w:val="16"/>
          <w:szCs w:val="16"/>
          <w:lang w:val="es-ES_tradnl"/>
        </w:rPr>
        <w:t xml:space="preserve"> en solicitud de revocatoria en casos </w:t>
      </w:r>
      <w:r>
        <w:rPr>
          <w:spacing w:val="-3"/>
          <w:sz w:val="16"/>
          <w:szCs w:val="16"/>
          <w:lang w:val="es-ES_tradnl"/>
        </w:rPr>
        <w:t xml:space="preserve">similares Tribunales Arbitrales constituidos incluso con </w:t>
      </w:r>
      <w:r>
        <w:rPr>
          <w:spacing w:val="-4"/>
          <w:sz w:val="16"/>
          <w:szCs w:val="16"/>
          <w:lang w:val="es-ES_tradnl"/>
        </w:rPr>
        <w:t xml:space="preserve">miembros del Tribunal Arbitral de la referencia imponen </w:t>
      </w:r>
      <w:r>
        <w:rPr>
          <w:spacing w:val="-6"/>
          <w:sz w:val="16"/>
          <w:szCs w:val="16"/>
          <w:lang w:val="es-ES_tradnl"/>
        </w:rPr>
        <w:t>cauciones inferiores y sobre todo motivadas, m</w:t>
      </w:r>
      <w:r>
        <w:rPr>
          <w:rFonts w:cs="Times New Roman"/>
          <w:spacing w:val="-6"/>
          <w:sz w:val="16"/>
          <w:szCs w:val="16"/>
          <w:lang w:val="es-ES_tradnl"/>
        </w:rPr>
        <w:t>á</w:t>
      </w:r>
      <w:r>
        <w:rPr>
          <w:spacing w:val="-6"/>
          <w:sz w:val="16"/>
          <w:szCs w:val="16"/>
          <w:lang w:val="es-ES_tradnl"/>
        </w:rPr>
        <w:t xml:space="preserve">s para este </w:t>
      </w:r>
      <w:r>
        <w:rPr>
          <w:spacing w:val="-7"/>
          <w:sz w:val="16"/>
          <w:szCs w:val="16"/>
          <w:lang w:val="es-ES_tradnl"/>
        </w:rPr>
        <w:t>caso se establece una cauci</w:t>
      </w:r>
      <w:r>
        <w:rPr>
          <w:rFonts w:cs="Times New Roman"/>
          <w:spacing w:val="-7"/>
          <w:sz w:val="16"/>
          <w:szCs w:val="16"/>
          <w:lang w:val="es-ES_tradnl"/>
        </w:rPr>
        <w:t>ó</w:t>
      </w:r>
      <w:r>
        <w:rPr>
          <w:spacing w:val="-7"/>
          <w:sz w:val="16"/>
          <w:szCs w:val="16"/>
          <w:lang w:val="es-ES_tradnl"/>
        </w:rPr>
        <w:t>n sin motivaci</w:t>
      </w:r>
      <w:r>
        <w:rPr>
          <w:rFonts w:cs="Times New Roman"/>
          <w:spacing w:val="-7"/>
          <w:sz w:val="16"/>
          <w:szCs w:val="16"/>
          <w:lang w:val="es-ES_tradnl"/>
        </w:rPr>
        <w:t>ó</w:t>
      </w:r>
      <w:r>
        <w:rPr>
          <w:spacing w:val="-7"/>
          <w:sz w:val="16"/>
          <w:szCs w:val="16"/>
          <w:lang w:val="es-ES_tradnl"/>
        </w:rPr>
        <w:t xml:space="preserve">n alguna que en algunos casos duplica y en otros hasta triplica el criterio usado </w:t>
      </w:r>
      <w:r>
        <w:rPr>
          <w:spacing w:val="-9"/>
          <w:sz w:val="16"/>
          <w:szCs w:val="16"/>
          <w:lang w:val="es-ES_tradnl"/>
        </w:rPr>
        <w:t>para casos an</w:t>
      </w:r>
      <w:r>
        <w:rPr>
          <w:rFonts w:cs="Times New Roman"/>
          <w:spacing w:val="-9"/>
          <w:sz w:val="16"/>
          <w:szCs w:val="16"/>
          <w:lang w:val="es-ES_tradnl"/>
        </w:rPr>
        <w:t>á</w:t>
      </w:r>
      <w:r>
        <w:rPr>
          <w:spacing w:val="-9"/>
          <w:sz w:val="16"/>
          <w:szCs w:val="16"/>
          <w:lang w:val="es-ES_tradnl"/>
        </w:rPr>
        <w:t>logos (</w:t>
      </w:r>
      <w:r>
        <w:rPr>
          <w:rFonts w:cs="Times New Roman"/>
          <w:spacing w:val="-9"/>
          <w:sz w:val="16"/>
          <w:szCs w:val="16"/>
          <w:lang w:val="es-ES_tradnl"/>
        </w:rPr>
        <w:t>…</w:t>
      </w:r>
      <w:r>
        <w:rPr>
          <w:spacing w:val="-9"/>
          <w:sz w:val="16"/>
          <w:szCs w:val="16"/>
          <w:lang w:val="es-ES_tradnl"/>
        </w:rPr>
        <w:t>) Falta de motivaci</w:t>
      </w:r>
      <w:r>
        <w:rPr>
          <w:rFonts w:cs="Times New Roman"/>
          <w:spacing w:val="-9"/>
          <w:sz w:val="16"/>
          <w:szCs w:val="16"/>
          <w:lang w:val="es-ES_tradnl"/>
        </w:rPr>
        <w:t>ó</w:t>
      </w:r>
      <w:r>
        <w:rPr>
          <w:spacing w:val="-9"/>
          <w:sz w:val="16"/>
          <w:szCs w:val="16"/>
          <w:lang w:val="es-ES_tradnl"/>
        </w:rPr>
        <w:t>n, esta garant</w:t>
      </w:r>
      <w:r>
        <w:rPr>
          <w:rFonts w:cs="Times New Roman"/>
          <w:spacing w:val="-9"/>
          <w:sz w:val="16"/>
          <w:szCs w:val="16"/>
          <w:lang w:val="es-ES_tradnl"/>
        </w:rPr>
        <w:t>í</w:t>
      </w:r>
      <w:r>
        <w:rPr>
          <w:spacing w:val="-9"/>
          <w:sz w:val="16"/>
          <w:szCs w:val="16"/>
          <w:lang w:val="es-ES_tradnl"/>
        </w:rPr>
        <w:t xml:space="preserve">a del </w:t>
      </w:r>
      <w:r>
        <w:rPr>
          <w:spacing w:val="-7"/>
          <w:sz w:val="16"/>
          <w:szCs w:val="16"/>
          <w:lang w:val="es-ES_tradnl"/>
        </w:rPr>
        <w:t xml:space="preserve">debido proceso, la cual de ser inobservada anula lo actuado, esta constituye el derecho que todos los administrados tienen </w:t>
      </w:r>
      <w:r>
        <w:rPr>
          <w:spacing w:val="-9"/>
          <w:sz w:val="16"/>
          <w:szCs w:val="16"/>
          <w:lang w:val="es-ES_tradnl"/>
        </w:rPr>
        <w:t>de conocer las razones legales que ordenaros (sic) l</w:t>
      </w:r>
      <w:r>
        <w:rPr>
          <w:rFonts w:cs="Times New Roman"/>
          <w:spacing w:val="-9"/>
          <w:sz w:val="16"/>
          <w:szCs w:val="16"/>
          <w:lang w:val="es-ES_tradnl"/>
        </w:rPr>
        <w:t>ó</w:t>
      </w:r>
      <w:r>
        <w:rPr>
          <w:spacing w:val="-9"/>
          <w:sz w:val="16"/>
          <w:szCs w:val="16"/>
          <w:lang w:val="es-ES_tradnl"/>
        </w:rPr>
        <w:t xml:space="preserve">gicamente </w:t>
      </w:r>
      <w:r>
        <w:rPr>
          <w:spacing w:val="-11"/>
          <w:sz w:val="16"/>
          <w:szCs w:val="16"/>
          <w:lang w:val="es-ES_tradnl"/>
        </w:rPr>
        <w:t xml:space="preserve">los hechos con el derecho y este no debe ser </w:t>
      </w:r>
      <w:r>
        <w:rPr>
          <w:rFonts w:cs="Times New Roman"/>
          <w:spacing w:val="-11"/>
          <w:sz w:val="16"/>
          <w:szCs w:val="16"/>
          <w:lang w:val="es-ES_tradnl"/>
        </w:rPr>
        <w:t>ú</w:t>
      </w:r>
      <w:r>
        <w:rPr>
          <w:spacing w:val="-11"/>
          <w:sz w:val="16"/>
          <w:szCs w:val="16"/>
          <w:lang w:val="es-ES_tradnl"/>
        </w:rPr>
        <w:t xml:space="preserve">nicamente para el </w:t>
      </w:r>
      <w:r>
        <w:rPr>
          <w:spacing w:val="-6"/>
          <w:sz w:val="16"/>
          <w:szCs w:val="16"/>
          <w:lang w:val="es-ES_tradnl"/>
        </w:rPr>
        <w:t>fuero interno de quien decide. Muy por el contrario este debe ser expreso y publico al interesado y a la sociedad (</w:t>
      </w:r>
      <w:r>
        <w:rPr>
          <w:rFonts w:cs="Times New Roman"/>
          <w:spacing w:val="-6"/>
          <w:sz w:val="16"/>
          <w:szCs w:val="16"/>
          <w:lang w:val="es-ES_tradnl"/>
        </w:rPr>
        <w:t>…</w:t>
      </w:r>
      <w:r>
        <w:rPr>
          <w:spacing w:val="-6"/>
          <w:sz w:val="16"/>
          <w:szCs w:val="16"/>
          <w:lang w:val="es-ES_tradnl"/>
        </w:rPr>
        <w:t>).</w:t>
      </w:r>
    </w:p>
    <w:p w14:paraId="4F67B5DC" w14:textId="77777777" w:rsidR="00591D54" w:rsidRDefault="00591D54">
      <w:pPr>
        <w:shd w:val="clear" w:color="auto" w:fill="FFFFFF"/>
        <w:spacing w:before="197" w:line="216" w:lineRule="exact"/>
        <w:ind w:right="10"/>
        <w:jc w:val="both"/>
      </w:pPr>
      <w:r>
        <w:rPr>
          <w:spacing w:val="-6"/>
          <w:sz w:val="18"/>
          <w:szCs w:val="18"/>
          <w:lang w:val="es-ES_tradnl"/>
        </w:rPr>
        <w:t>As</w:t>
      </w:r>
      <w:r>
        <w:rPr>
          <w:rFonts w:cs="Times New Roman"/>
          <w:spacing w:val="-6"/>
          <w:sz w:val="18"/>
          <w:szCs w:val="18"/>
          <w:lang w:val="es-ES_tradnl"/>
        </w:rPr>
        <w:t>í</w:t>
      </w:r>
      <w:r>
        <w:rPr>
          <w:spacing w:val="-6"/>
          <w:sz w:val="18"/>
          <w:szCs w:val="18"/>
          <w:lang w:val="es-ES_tradnl"/>
        </w:rPr>
        <w:t xml:space="preserve"> tambi</w:t>
      </w:r>
      <w:r>
        <w:rPr>
          <w:rFonts w:cs="Times New Roman"/>
          <w:spacing w:val="-6"/>
          <w:sz w:val="18"/>
          <w:szCs w:val="18"/>
          <w:lang w:val="es-ES_tradnl"/>
        </w:rPr>
        <w:t>é</w:t>
      </w:r>
      <w:r>
        <w:rPr>
          <w:spacing w:val="-6"/>
          <w:sz w:val="18"/>
          <w:szCs w:val="18"/>
          <w:lang w:val="es-ES_tradnl"/>
        </w:rPr>
        <w:t xml:space="preserve">n, en su escrito del 18 de enero de 2012, que obra de fojas 13 a la 17 del expediente constitucional en </w:t>
      </w:r>
      <w:r>
        <w:rPr>
          <w:spacing w:val="-7"/>
          <w:sz w:val="18"/>
          <w:szCs w:val="18"/>
          <w:lang w:val="es-ES_tradnl"/>
        </w:rPr>
        <w:t>donde aclara y completa la demanda, se</w:t>
      </w:r>
      <w:r>
        <w:rPr>
          <w:rFonts w:cs="Times New Roman"/>
          <w:spacing w:val="-7"/>
          <w:sz w:val="18"/>
          <w:szCs w:val="18"/>
          <w:lang w:val="es-ES_tradnl"/>
        </w:rPr>
        <w:t>ñ</w:t>
      </w:r>
      <w:r>
        <w:rPr>
          <w:spacing w:val="-7"/>
          <w:sz w:val="18"/>
          <w:szCs w:val="18"/>
          <w:lang w:val="es-ES_tradnl"/>
        </w:rPr>
        <w:t xml:space="preserve">ala que: </w:t>
      </w:r>
      <w:r>
        <w:rPr>
          <w:rFonts w:cs="Times New Roman"/>
          <w:spacing w:val="-7"/>
          <w:sz w:val="18"/>
          <w:szCs w:val="18"/>
          <w:lang w:val="es-ES_tradnl"/>
        </w:rPr>
        <w:t>“</w:t>
      </w:r>
      <w:r>
        <w:rPr>
          <w:spacing w:val="-7"/>
          <w:sz w:val="18"/>
          <w:szCs w:val="18"/>
          <w:lang w:val="es-ES_tradnl"/>
        </w:rPr>
        <w:t>(</w:t>
      </w:r>
      <w:r>
        <w:rPr>
          <w:rFonts w:cs="Times New Roman"/>
          <w:spacing w:val="-7"/>
          <w:sz w:val="18"/>
          <w:szCs w:val="18"/>
          <w:lang w:val="es-ES_tradnl"/>
        </w:rPr>
        <w:t>…</w:t>
      </w:r>
      <w:r>
        <w:rPr>
          <w:spacing w:val="-7"/>
          <w:sz w:val="18"/>
          <w:szCs w:val="18"/>
          <w:lang w:val="es-ES_tradnl"/>
        </w:rPr>
        <w:t>) el actual marco constitucional del Ecuador, nos garantiza la aplicaci</w:t>
      </w:r>
      <w:r>
        <w:rPr>
          <w:rFonts w:cs="Times New Roman"/>
          <w:spacing w:val="-7"/>
          <w:sz w:val="18"/>
          <w:szCs w:val="18"/>
          <w:lang w:val="es-ES_tradnl"/>
        </w:rPr>
        <w:t>ó</w:t>
      </w:r>
      <w:r>
        <w:rPr>
          <w:spacing w:val="-7"/>
          <w:sz w:val="18"/>
          <w:szCs w:val="18"/>
          <w:lang w:val="es-ES_tradnl"/>
        </w:rPr>
        <w:t xml:space="preserve">n de las normas constitucionales y en especial el </w:t>
      </w:r>
      <w:r>
        <w:rPr>
          <w:spacing w:val="-10"/>
          <w:sz w:val="18"/>
          <w:szCs w:val="18"/>
          <w:lang w:val="es-ES_tradnl"/>
        </w:rPr>
        <w:t xml:space="preserve">respeto a los derechos fundamentales, para que estos sean </w:t>
      </w:r>
      <w:r>
        <w:rPr>
          <w:spacing w:val="-9"/>
          <w:sz w:val="18"/>
          <w:szCs w:val="18"/>
          <w:lang w:val="es-ES_tradnl"/>
        </w:rPr>
        <w:t>de aplicaci</w:t>
      </w:r>
      <w:r>
        <w:rPr>
          <w:rFonts w:cs="Times New Roman"/>
          <w:spacing w:val="-9"/>
          <w:sz w:val="18"/>
          <w:szCs w:val="18"/>
          <w:lang w:val="es-ES_tradnl"/>
        </w:rPr>
        <w:t>ó</w:t>
      </w:r>
      <w:r>
        <w:rPr>
          <w:spacing w:val="-9"/>
          <w:sz w:val="18"/>
          <w:szCs w:val="18"/>
          <w:lang w:val="es-ES_tradnl"/>
        </w:rPr>
        <w:t>n inmediata, con el car</w:t>
      </w:r>
      <w:r>
        <w:rPr>
          <w:rFonts w:cs="Times New Roman"/>
          <w:spacing w:val="-9"/>
          <w:sz w:val="18"/>
          <w:szCs w:val="18"/>
          <w:lang w:val="es-ES_tradnl"/>
        </w:rPr>
        <w:t>á</w:t>
      </w:r>
      <w:r>
        <w:rPr>
          <w:spacing w:val="-9"/>
          <w:sz w:val="18"/>
          <w:szCs w:val="18"/>
          <w:lang w:val="es-ES_tradnl"/>
        </w:rPr>
        <w:t xml:space="preserve">cter de global y general, </w:t>
      </w:r>
      <w:r>
        <w:rPr>
          <w:spacing w:val="-7"/>
          <w:sz w:val="18"/>
          <w:szCs w:val="18"/>
          <w:lang w:val="es-ES_tradnl"/>
        </w:rPr>
        <w:t>especialmente con relaci</w:t>
      </w:r>
      <w:r>
        <w:rPr>
          <w:rFonts w:cs="Times New Roman"/>
          <w:spacing w:val="-7"/>
          <w:sz w:val="18"/>
          <w:szCs w:val="18"/>
          <w:lang w:val="es-ES_tradnl"/>
        </w:rPr>
        <w:t>ó</w:t>
      </w:r>
      <w:r>
        <w:rPr>
          <w:spacing w:val="-7"/>
          <w:sz w:val="18"/>
          <w:szCs w:val="18"/>
          <w:lang w:val="es-ES_tradnl"/>
        </w:rPr>
        <w:t xml:space="preserve">n a sus efectos, y de ello todos, </w:t>
      </w:r>
      <w:r>
        <w:rPr>
          <w:spacing w:val="-11"/>
          <w:sz w:val="18"/>
          <w:szCs w:val="18"/>
          <w:lang w:val="es-ES_tradnl"/>
        </w:rPr>
        <w:t>incluido los Jueces; deben mantener una verdadera armon</w:t>
      </w:r>
      <w:r>
        <w:rPr>
          <w:rFonts w:cs="Times New Roman"/>
          <w:spacing w:val="-11"/>
          <w:sz w:val="18"/>
          <w:szCs w:val="18"/>
          <w:lang w:val="es-ES_tradnl"/>
        </w:rPr>
        <w:t>í</w:t>
      </w:r>
      <w:r>
        <w:rPr>
          <w:spacing w:val="-11"/>
          <w:sz w:val="18"/>
          <w:szCs w:val="18"/>
          <w:lang w:val="es-ES_tradnl"/>
        </w:rPr>
        <w:t xml:space="preserve">a </w:t>
      </w:r>
      <w:r>
        <w:rPr>
          <w:spacing w:val="-7"/>
          <w:sz w:val="18"/>
          <w:szCs w:val="18"/>
          <w:lang w:val="es-ES_tradnl"/>
        </w:rPr>
        <w:t xml:space="preserve">sin contradecir normas expresas, en beneficio obvio de la </w:t>
      </w:r>
      <w:r>
        <w:rPr>
          <w:spacing w:val="-6"/>
          <w:sz w:val="18"/>
          <w:szCs w:val="18"/>
          <w:lang w:val="es-ES_tradnl"/>
        </w:rPr>
        <w:t>seguridad jur</w:t>
      </w:r>
      <w:r>
        <w:rPr>
          <w:rFonts w:cs="Times New Roman"/>
          <w:spacing w:val="-6"/>
          <w:sz w:val="18"/>
          <w:szCs w:val="18"/>
          <w:lang w:val="es-ES_tradnl"/>
        </w:rPr>
        <w:t>í</w:t>
      </w:r>
      <w:r>
        <w:rPr>
          <w:spacing w:val="-6"/>
          <w:sz w:val="18"/>
          <w:szCs w:val="18"/>
          <w:lang w:val="es-ES_tradnl"/>
        </w:rPr>
        <w:t xml:space="preserve">dica que es propia o singular de la misma sociedad, y que no se puede contravenir los principios </w:t>
      </w:r>
      <w:r>
        <w:rPr>
          <w:sz w:val="18"/>
          <w:szCs w:val="18"/>
          <w:lang w:val="es-ES_tradnl"/>
        </w:rPr>
        <w:t>constitucionales (</w:t>
      </w:r>
      <w:r>
        <w:rPr>
          <w:rFonts w:cs="Times New Roman"/>
          <w:sz w:val="18"/>
          <w:szCs w:val="18"/>
          <w:lang w:val="es-ES_tradnl"/>
        </w:rPr>
        <w:t>…</w:t>
      </w:r>
      <w:r>
        <w:rPr>
          <w:sz w:val="18"/>
          <w:szCs w:val="18"/>
          <w:lang w:val="es-ES_tradnl"/>
        </w:rPr>
        <w:t>)</w:t>
      </w:r>
      <w:r>
        <w:rPr>
          <w:rFonts w:cs="Times New Roman"/>
          <w:sz w:val="18"/>
          <w:szCs w:val="18"/>
          <w:lang w:val="es-ES_tradnl"/>
        </w:rPr>
        <w:t>”</w:t>
      </w:r>
      <w:r>
        <w:rPr>
          <w:sz w:val="18"/>
          <w:szCs w:val="18"/>
          <w:lang w:val="es-ES_tradnl"/>
        </w:rPr>
        <w:t>.</w:t>
      </w:r>
    </w:p>
    <w:p w14:paraId="4F67B5DD" w14:textId="77777777" w:rsidR="00591D54" w:rsidRDefault="00591D54">
      <w:pPr>
        <w:shd w:val="clear" w:color="auto" w:fill="FFFFFF"/>
        <w:spacing w:before="192" w:line="216" w:lineRule="exact"/>
        <w:ind w:right="5"/>
        <w:jc w:val="both"/>
      </w:pPr>
      <w:r>
        <w:rPr>
          <w:spacing w:val="-5"/>
          <w:sz w:val="18"/>
          <w:szCs w:val="18"/>
          <w:lang w:val="es-ES_tradnl"/>
        </w:rPr>
        <w:t xml:space="preserve">El legitimado activo establece que el auto impugnado, </w:t>
      </w:r>
      <w:r>
        <w:rPr>
          <w:spacing w:val="-8"/>
          <w:sz w:val="18"/>
          <w:szCs w:val="18"/>
          <w:lang w:val="es-ES_tradnl"/>
        </w:rPr>
        <w:t>vulner</w:t>
      </w:r>
      <w:r>
        <w:rPr>
          <w:rFonts w:cs="Times New Roman"/>
          <w:spacing w:val="-8"/>
          <w:sz w:val="18"/>
          <w:szCs w:val="18"/>
          <w:lang w:val="es-ES_tradnl"/>
        </w:rPr>
        <w:t>ó</w:t>
      </w:r>
      <w:r>
        <w:rPr>
          <w:spacing w:val="-8"/>
          <w:sz w:val="18"/>
          <w:szCs w:val="18"/>
          <w:lang w:val="es-ES_tradnl"/>
        </w:rPr>
        <w:t xml:space="preserve"> su derecho al debido proceso al considerar que el </w:t>
      </w:r>
      <w:r>
        <w:rPr>
          <w:spacing w:val="-6"/>
          <w:sz w:val="18"/>
          <w:szCs w:val="18"/>
          <w:lang w:val="es-ES_tradnl"/>
        </w:rPr>
        <w:t>Tribunal de Arbitraje de la C</w:t>
      </w:r>
      <w:r>
        <w:rPr>
          <w:rFonts w:cs="Times New Roman"/>
          <w:spacing w:val="-6"/>
          <w:sz w:val="18"/>
          <w:szCs w:val="18"/>
          <w:lang w:val="es-ES_tradnl"/>
        </w:rPr>
        <w:t>á</w:t>
      </w:r>
      <w:r>
        <w:rPr>
          <w:spacing w:val="-6"/>
          <w:sz w:val="18"/>
          <w:szCs w:val="18"/>
          <w:lang w:val="es-ES_tradnl"/>
        </w:rPr>
        <w:t>mara de Comercio de Quito no motiv</w:t>
      </w:r>
      <w:r>
        <w:rPr>
          <w:rFonts w:cs="Times New Roman"/>
          <w:spacing w:val="-6"/>
          <w:sz w:val="18"/>
          <w:szCs w:val="18"/>
          <w:lang w:val="es-ES_tradnl"/>
        </w:rPr>
        <w:t>ó</w:t>
      </w:r>
      <w:r>
        <w:rPr>
          <w:spacing w:val="-6"/>
          <w:sz w:val="18"/>
          <w:szCs w:val="18"/>
          <w:lang w:val="es-ES_tradnl"/>
        </w:rPr>
        <w:t xml:space="preserve"> suficientemente al momento de determinar el </w:t>
      </w:r>
      <w:r>
        <w:rPr>
          <w:spacing w:val="-9"/>
          <w:sz w:val="18"/>
          <w:szCs w:val="18"/>
          <w:lang w:val="es-ES_tradnl"/>
        </w:rPr>
        <w:t>monto de la cauci</w:t>
      </w:r>
      <w:r>
        <w:rPr>
          <w:rFonts w:cs="Times New Roman"/>
          <w:spacing w:val="-9"/>
          <w:sz w:val="18"/>
          <w:szCs w:val="18"/>
          <w:lang w:val="es-ES_tradnl"/>
        </w:rPr>
        <w:t>ó</w:t>
      </w:r>
      <w:r>
        <w:rPr>
          <w:spacing w:val="-9"/>
          <w:sz w:val="18"/>
          <w:szCs w:val="18"/>
          <w:lang w:val="es-ES_tradnl"/>
        </w:rPr>
        <w:t xml:space="preserve">n ordenada, considerando a su vez que </w:t>
      </w:r>
      <w:r>
        <w:rPr>
          <w:spacing w:val="-7"/>
          <w:sz w:val="18"/>
          <w:szCs w:val="18"/>
          <w:lang w:val="es-ES_tradnl"/>
        </w:rPr>
        <w:t>dicha decisi</w:t>
      </w:r>
      <w:r>
        <w:rPr>
          <w:rFonts w:cs="Times New Roman"/>
          <w:spacing w:val="-7"/>
          <w:sz w:val="18"/>
          <w:szCs w:val="18"/>
          <w:lang w:val="es-ES_tradnl"/>
        </w:rPr>
        <w:t>ó</w:t>
      </w:r>
      <w:r>
        <w:rPr>
          <w:spacing w:val="-7"/>
          <w:sz w:val="18"/>
          <w:szCs w:val="18"/>
          <w:lang w:val="es-ES_tradnl"/>
        </w:rPr>
        <w:t>n vulnera su derecho a la seguridad jur</w:t>
      </w:r>
      <w:r>
        <w:rPr>
          <w:rFonts w:cs="Times New Roman"/>
          <w:spacing w:val="-7"/>
          <w:sz w:val="18"/>
          <w:szCs w:val="18"/>
          <w:lang w:val="es-ES_tradnl"/>
        </w:rPr>
        <w:t>í</w:t>
      </w:r>
      <w:r>
        <w:rPr>
          <w:spacing w:val="-7"/>
          <w:sz w:val="18"/>
          <w:szCs w:val="18"/>
          <w:lang w:val="es-ES_tradnl"/>
        </w:rPr>
        <w:t xml:space="preserve">dica, </w:t>
      </w:r>
      <w:r>
        <w:rPr>
          <w:spacing w:val="-8"/>
          <w:sz w:val="18"/>
          <w:szCs w:val="18"/>
          <w:lang w:val="es-ES_tradnl"/>
        </w:rPr>
        <w:t>derechos constantes en los art</w:t>
      </w:r>
      <w:r>
        <w:rPr>
          <w:rFonts w:cs="Times New Roman"/>
          <w:spacing w:val="-8"/>
          <w:sz w:val="18"/>
          <w:szCs w:val="18"/>
          <w:lang w:val="es-ES_tradnl"/>
        </w:rPr>
        <w:t>í</w:t>
      </w:r>
      <w:r>
        <w:rPr>
          <w:spacing w:val="-8"/>
          <w:sz w:val="18"/>
          <w:szCs w:val="18"/>
          <w:lang w:val="es-ES_tradnl"/>
        </w:rPr>
        <w:t xml:space="preserve">culos 76 numeral 7 literal </w:t>
      </w:r>
      <w:r>
        <w:rPr>
          <w:b/>
          <w:bCs/>
          <w:spacing w:val="-8"/>
          <w:sz w:val="18"/>
          <w:szCs w:val="18"/>
          <w:lang w:val="es-ES_tradnl"/>
        </w:rPr>
        <w:t xml:space="preserve">l </w:t>
      </w:r>
      <w:r>
        <w:rPr>
          <w:spacing w:val="-8"/>
          <w:sz w:val="18"/>
          <w:szCs w:val="18"/>
          <w:lang w:val="es-ES_tradnl"/>
        </w:rPr>
        <w:t xml:space="preserve">y </w:t>
      </w:r>
      <w:r>
        <w:rPr>
          <w:sz w:val="18"/>
          <w:szCs w:val="18"/>
          <w:lang w:val="es-ES_tradnl"/>
        </w:rPr>
        <w:t>82 de 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B5DE" w14:textId="77777777" w:rsidR="00591D54" w:rsidRDefault="00591D54">
      <w:pPr>
        <w:shd w:val="clear" w:color="auto" w:fill="FFFFFF"/>
        <w:spacing w:before="192"/>
      </w:pPr>
      <w:r>
        <w:rPr>
          <w:b/>
          <w:bCs/>
          <w:spacing w:val="-10"/>
          <w:sz w:val="18"/>
          <w:szCs w:val="18"/>
          <w:lang w:val="es-ES_tradnl"/>
        </w:rPr>
        <w:t>Pretensi</w:t>
      </w:r>
      <w:r>
        <w:rPr>
          <w:rFonts w:cs="Times New Roman"/>
          <w:b/>
          <w:bCs/>
          <w:spacing w:val="-10"/>
          <w:sz w:val="18"/>
          <w:szCs w:val="18"/>
          <w:lang w:val="es-ES_tradnl"/>
        </w:rPr>
        <w:t>ó</w:t>
      </w:r>
      <w:r>
        <w:rPr>
          <w:b/>
          <w:bCs/>
          <w:spacing w:val="-10"/>
          <w:sz w:val="18"/>
          <w:szCs w:val="18"/>
          <w:lang w:val="es-ES_tradnl"/>
        </w:rPr>
        <w:t>n concreta</w:t>
      </w:r>
    </w:p>
    <w:p w14:paraId="4F67B5DF" w14:textId="77777777" w:rsidR="00591D54" w:rsidRDefault="00591D54">
      <w:pPr>
        <w:shd w:val="clear" w:color="auto" w:fill="FFFFFF"/>
        <w:spacing w:before="192" w:line="216" w:lineRule="exact"/>
        <w:ind w:right="5"/>
        <w:jc w:val="both"/>
      </w:pPr>
      <w:r>
        <w:rPr>
          <w:sz w:val="18"/>
          <w:szCs w:val="18"/>
          <w:lang w:val="es-ES_tradnl"/>
        </w:rPr>
        <w:t xml:space="preserve">En virtud de lo expuesto, el legitimado activo solicita </w:t>
      </w:r>
      <w:r>
        <w:rPr>
          <w:spacing w:val="-5"/>
          <w:sz w:val="18"/>
          <w:szCs w:val="18"/>
          <w:lang w:val="es-ES_tradnl"/>
        </w:rPr>
        <w:t xml:space="preserve">que: </w:t>
      </w:r>
      <w:r>
        <w:rPr>
          <w:rFonts w:cs="Times New Roman"/>
          <w:spacing w:val="-5"/>
          <w:sz w:val="18"/>
          <w:szCs w:val="18"/>
          <w:lang w:val="es-ES_tradnl"/>
        </w:rPr>
        <w:t>“</w:t>
      </w:r>
      <w:r>
        <w:rPr>
          <w:spacing w:val="-5"/>
          <w:sz w:val="18"/>
          <w:szCs w:val="18"/>
          <w:lang w:val="es-ES_tradnl"/>
        </w:rPr>
        <w:t>(</w:t>
      </w:r>
      <w:r>
        <w:rPr>
          <w:rFonts w:cs="Times New Roman"/>
          <w:spacing w:val="-5"/>
          <w:sz w:val="18"/>
          <w:szCs w:val="18"/>
          <w:lang w:val="es-ES_tradnl"/>
        </w:rPr>
        <w:t>…</w:t>
      </w:r>
      <w:r>
        <w:rPr>
          <w:spacing w:val="-5"/>
          <w:sz w:val="18"/>
          <w:szCs w:val="18"/>
          <w:lang w:val="es-ES_tradnl"/>
        </w:rPr>
        <w:t>) se declare la existencia de vulneraci</w:t>
      </w:r>
      <w:r>
        <w:rPr>
          <w:rFonts w:cs="Times New Roman"/>
          <w:spacing w:val="-5"/>
          <w:sz w:val="18"/>
          <w:szCs w:val="18"/>
          <w:lang w:val="es-ES_tradnl"/>
        </w:rPr>
        <w:t>ó</w:t>
      </w:r>
      <w:r>
        <w:rPr>
          <w:spacing w:val="-5"/>
          <w:sz w:val="18"/>
          <w:szCs w:val="18"/>
          <w:lang w:val="es-ES_tradnl"/>
        </w:rPr>
        <w:t xml:space="preserve">n de los </w:t>
      </w:r>
      <w:r>
        <w:rPr>
          <w:spacing w:val="-6"/>
          <w:sz w:val="18"/>
          <w:szCs w:val="18"/>
          <w:lang w:val="es-ES_tradnl"/>
        </w:rPr>
        <w:t>derechos fundamentales anteriormente referidos (</w:t>
      </w:r>
      <w:r>
        <w:rPr>
          <w:rFonts w:cs="Times New Roman"/>
          <w:spacing w:val="-6"/>
          <w:sz w:val="18"/>
          <w:szCs w:val="18"/>
          <w:lang w:val="es-ES_tradnl"/>
        </w:rPr>
        <w:t>…</w:t>
      </w:r>
      <w:r>
        <w:rPr>
          <w:spacing w:val="-6"/>
          <w:sz w:val="18"/>
          <w:szCs w:val="18"/>
          <w:lang w:val="es-ES_tradnl"/>
        </w:rPr>
        <w:t xml:space="preserve">) que </w:t>
      </w:r>
      <w:r>
        <w:rPr>
          <w:spacing w:val="-3"/>
          <w:sz w:val="18"/>
          <w:szCs w:val="18"/>
          <w:lang w:val="es-ES_tradnl"/>
        </w:rPr>
        <w:t>se declare la falta de competencia del Tribunal Arbitral,</w:t>
      </w:r>
    </w:p>
    <w:p w14:paraId="4F67B5E0" w14:textId="77777777" w:rsidR="00591D54" w:rsidRDefault="00591D54">
      <w:pPr>
        <w:shd w:val="clear" w:color="auto" w:fill="FFFFFF"/>
        <w:spacing w:line="211" w:lineRule="exact"/>
        <w:ind w:right="10"/>
        <w:jc w:val="both"/>
      </w:pPr>
      <w:r>
        <w:br w:type="column"/>
      </w:r>
      <w:r>
        <w:rPr>
          <w:spacing w:val="-7"/>
          <w:sz w:val="18"/>
          <w:szCs w:val="18"/>
          <w:lang w:val="es-ES_tradnl"/>
        </w:rPr>
        <w:t xml:space="preserve">por lo siguiente: a) No existe el pronunciamiento favorable </w:t>
      </w:r>
      <w:r>
        <w:rPr>
          <w:spacing w:val="-8"/>
          <w:sz w:val="18"/>
          <w:szCs w:val="18"/>
          <w:lang w:val="es-ES_tradnl"/>
        </w:rPr>
        <w:t>previo de la Procuradur</w:t>
      </w:r>
      <w:r>
        <w:rPr>
          <w:rFonts w:cs="Times New Roman"/>
          <w:spacing w:val="-8"/>
          <w:sz w:val="18"/>
          <w:szCs w:val="18"/>
          <w:lang w:val="es-ES_tradnl"/>
        </w:rPr>
        <w:t>í</w:t>
      </w:r>
      <w:r>
        <w:rPr>
          <w:spacing w:val="-8"/>
          <w:sz w:val="18"/>
          <w:szCs w:val="18"/>
          <w:lang w:val="es-ES_tradnl"/>
        </w:rPr>
        <w:t xml:space="preserve">a General del Estado para someter </w:t>
      </w:r>
      <w:r>
        <w:rPr>
          <w:spacing w:val="-5"/>
          <w:sz w:val="18"/>
          <w:szCs w:val="18"/>
          <w:lang w:val="es-ES_tradnl"/>
        </w:rPr>
        <w:t>a arbitraje la controversia de acuerdo al Art. 190 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blica del Ecuador (</w:t>
      </w:r>
      <w:r>
        <w:rPr>
          <w:rFonts w:cs="Times New Roman"/>
          <w:spacing w:val="-5"/>
          <w:sz w:val="18"/>
          <w:szCs w:val="18"/>
          <w:lang w:val="es-ES_tradnl"/>
        </w:rPr>
        <w:t>…</w:t>
      </w:r>
      <w:r>
        <w:rPr>
          <w:spacing w:val="-5"/>
          <w:sz w:val="18"/>
          <w:szCs w:val="18"/>
          <w:lang w:val="es-ES_tradnl"/>
        </w:rPr>
        <w:t>)</w:t>
      </w:r>
      <w:r>
        <w:rPr>
          <w:rFonts w:cs="Times New Roman"/>
          <w:spacing w:val="-5"/>
          <w:sz w:val="18"/>
          <w:szCs w:val="18"/>
          <w:lang w:val="es-ES_tradnl"/>
        </w:rPr>
        <w:t>”</w:t>
      </w:r>
      <w:r>
        <w:rPr>
          <w:spacing w:val="-5"/>
          <w:sz w:val="18"/>
          <w:szCs w:val="18"/>
          <w:lang w:val="es-ES_tradnl"/>
        </w:rPr>
        <w:t>.</w:t>
      </w:r>
    </w:p>
    <w:p w14:paraId="4F67B5E1" w14:textId="77777777" w:rsidR="00591D54" w:rsidRDefault="00591D54">
      <w:pPr>
        <w:shd w:val="clear" w:color="auto" w:fill="FFFFFF"/>
        <w:spacing w:before="187"/>
      </w:pPr>
      <w:r>
        <w:rPr>
          <w:b/>
          <w:bCs/>
          <w:spacing w:val="-10"/>
          <w:sz w:val="18"/>
          <w:szCs w:val="18"/>
          <w:lang w:val="es-ES_tradnl"/>
        </w:rPr>
        <w:t>Contestaci</w:t>
      </w:r>
      <w:r>
        <w:rPr>
          <w:rFonts w:cs="Times New Roman"/>
          <w:b/>
          <w:bCs/>
          <w:spacing w:val="-10"/>
          <w:sz w:val="18"/>
          <w:szCs w:val="18"/>
          <w:lang w:val="es-ES_tradnl"/>
        </w:rPr>
        <w:t>ó</w:t>
      </w:r>
      <w:r>
        <w:rPr>
          <w:b/>
          <w:bCs/>
          <w:spacing w:val="-10"/>
          <w:sz w:val="18"/>
          <w:szCs w:val="18"/>
          <w:lang w:val="es-ES_tradnl"/>
        </w:rPr>
        <w:t>n a la demanda</w:t>
      </w:r>
    </w:p>
    <w:p w14:paraId="4F67B5E2" w14:textId="77777777" w:rsidR="00591D54" w:rsidRDefault="00591D54">
      <w:pPr>
        <w:shd w:val="clear" w:color="auto" w:fill="FFFFFF"/>
        <w:spacing w:before="187" w:line="211" w:lineRule="exact"/>
        <w:ind w:right="10"/>
        <w:jc w:val="both"/>
      </w:pPr>
      <w:r>
        <w:rPr>
          <w:b/>
          <w:bCs/>
          <w:spacing w:val="-2"/>
          <w:sz w:val="18"/>
          <w:szCs w:val="18"/>
          <w:lang w:val="es-ES_tradnl"/>
        </w:rPr>
        <w:t>Miembros del Tribunal Arbitral de la C</w:t>
      </w:r>
      <w:r>
        <w:rPr>
          <w:rFonts w:cs="Times New Roman"/>
          <w:b/>
          <w:bCs/>
          <w:spacing w:val="-2"/>
          <w:sz w:val="18"/>
          <w:szCs w:val="18"/>
          <w:lang w:val="es-ES_tradnl"/>
        </w:rPr>
        <w:t>á</w:t>
      </w:r>
      <w:r>
        <w:rPr>
          <w:b/>
          <w:bCs/>
          <w:spacing w:val="-2"/>
          <w:sz w:val="18"/>
          <w:szCs w:val="18"/>
          <w:lang w:val="es-ES_tradnl"/>
        </w:rPr>
        <w:t xml:space="preserve">mara de </w:t>
      </w:r>
      <w:r>
        <w:rPr>
          <w:b/>
          <w:bCs/>
          <w:sz w:val="18"/>
          <w:szCs w:val="18"/>
          <w:lang w:val="es-ES_tradnl"/>
        </w:rPr>
        <w:t>Comercio de Quito</w:t>
      </w:r>
    </w:p>
    <w:p w14:paraId="4F67B5E3" w14:textId="77777777" w:rsidR="00591D54" w:rsidRDefault="00591D54">
      <w:pPr>
        <w:shd w:val="clear" w:color="auto" w:fill="FFFFFF"/>
        <w:spacing w:before="192" w:line="211" w:lineRule="exact"/>
        <w:ind w:right="10"/>
        <w:jc w:val="both"/>
      </w:pPr>
      <w:r>
        <w:rPr>
          <w:spacing w:val="-3"/>
          <w:sz w:val="18"/>
          <w:szCs w:val="18"/>
          <w:lang w:val="es-ES_tradnl"/>
        </w:rPr>
        <w:t>Los miembros del Tribunal Arbitral de la C</w:t>
      </w:r>
      <w:r>
        <w:rPr>
          <w:rFonts w:cs="Times New Roman"/>
          <w:spacing w:val="-3"/>
          <w:sz w:val="18"/>
          <w:szCs w:val="18"/>
          <w:lang w:val="es-ES_tradnl"/>
        </w:rPr>
        <w:t>á</w:t>
      </w:r>
      <w:r>
        <w:rPr>
          <w:spacing w:val="-3"/>
          <w:sz w:val="18"/>
          <w:szCs w:val="18"/>
          <w:lang w:val="es-ES_tradnl"/>
        </w:rPr>
        <w:t xml:space="preserve">mara de </w:t>
      </w:r>
      <w:r>
        <w:rPr>
          <w:spacing w:val="-6"/>
          <w:sz w:val="18"/>
          <w:szCs w:val="18"/>
          <w:lang w:val="es-ES_tradnl"/>
        </w:rPr>
        <w:t xml:space="preserve">Comercio de Quito en calidad de legitimados pasivos, no </w:t>
      </w:r>
      <w:r>
        <w:rPr>
          <w:spacing w:val="-3"/>
          <w:sz w:val="18"/>
          <w:szCs w:val="18"/>
          <w:lang w:val="es-ES_tradnl"/>
        </w:rPr>
        <w:t xml:space="preserve">han remitido el informe requerido en providencia del 29 </w:t>
      </w:r>
      <w:r>
        <w:rPr>
          <w:spacing w:val="-7"/>
          <w:sz w:val="18"/>
          <w:szCs w:val="18"/>
          <w:lang w:val="es-ES_tradnl"/>
        </w:rPr>
        <w:t xml:space="preserve">de octubre de 2014, pese a haber sido notificados legal y </w:t>
      </w:r>
      <w:r>
        <w:rPr>
          <w:sz w:val="18"/>
          <w:szCs w:val="18"/>
          <w:lang w:val="es-ES_tradnl"/>
        </w:rPr>
        <w:t>oportunamente.</w:t>
      </w:r>
    </w:p>
    <w:p w14:paraId="4F67B5E4" w14:textId="77777777" w:rsidR="00591D54" w:rsidRDefault="00591D54">
      <w:pPr>
        <w:shd w:val="clear" w:color="auto" w:fill="FFFFFF"/>
        <w:spacing w:before="187"/>
      </w:pPr>
      <w:r>
        <w:rPr>
          <w:b/>
          <w:bCs/>
          <w:spacing w:val="-11"/>
          <w:sz w:val="18"/>
          <w:szCs w:val="18"/>
          <w:lang w:val="es-ES_tradnl"/>
        </w:rPr>
        <w:t>De los terceros interesados</w:t>
      </w:r>
    </w:p>
    <w:p w14:paraId="4F67B5E5" w14:textId="77777777" w:rsidR="00591D54" w:rsidRDefault="00591D54">
      <w:pPr>
        <w:shd w:val="clear" w:color="auto" w:fill="FFFFFF"/>
        <w:spacing w:before="192" w:line="211" w:lineRule="exact"/>
        <w:ind w:right="10"/>
        <w:jc w:val="both"/>
      </w:pPr>
      <w:r>
        <w:rPr>
          <w:spacing w:val="-2"/>
          <w:sz w:val="18"/>
          <w:szCs w:val="18"/>
          <w:lang w:val="es-ES_tradnl"/>
        </w:rPr>
        <w:t xml:space="preserve">Comparece al proceso, mediante escrito presentado el </w:t>
      </w:r>
      <w:r>
        <w:rPr>
          <w:spacing w:val="-6"/>
          <w:sz w:val="18"/>
          <w:szCs w:val="18"/>
          <w:lang w:val="es-ES_tradnl"/>
        </w:rPr>
        <w:t xml:space="preserve">8 de noviembre de 2011, que obra de fojas 5 a la 7 del </w:t>
      </w:r>
      <w:r>
        <w:rPr>
          <w:spacing w:val="-5"/>
          <w:sz w:val="18"/>
          <w:szCs w:val="18"/>
          <w:lang w:val="es-ES_tradnl"/>
        </w:rPr>
        <w:t xml:space="preserve">expediente constitucional, el general en servicio pasivo </w:t>
      </w:r>
      <w:r>
        <w:rPr>
          <w:rFonts w:cs="Times New Roman"/>
          <w:spacing w:val="-8"/>
          <w:sz w:val="18"/>
          <w:szCs w:val="18"/>
          <w:lang w:val="es-ES_tradnl"/>
        </w:rPr>
        <w:t>Á</w:t>
      </w:r>
      <w:r>
        <w:rPr>
          <w:spacing w:val="-8"/>
          <w:sz w:val="18"/>
          <w:szCs w:val="18"/>
          <w:lang w:val="es-ES_tradnl"/>
        </w:rPr>
        <w:t>ngel C</w:t>
      </w:r>
      <w:r>
        <w:rPr>
          <w:rFonts w:cs="Times New Roman"/>
          <w:spacing w:val="-8"/>
          <w:sz w:val="18"/>
          <w:szCs w:val="18"/>
          <w:lang w:val="es-ES_tradnl"/>
        </w:rPr>
        <w:t>ó</w:t>
      </w:r>
      <w:r>
        <w:rPr>
          <w:spacing w:val="-8"/>
          <w:sz w:val="18"/>
          <w:szCs w:val="18"/>
          <w:lang w:val="es-ES_tradnl"/>
        </w:rPr>
        <w:t xml:space="preserve">rdova Carrera en calidad de gerente general de la </w:t>
      </w:r>
      <w:r>
        <w:rPr>
          <w:spacing w:val="-6"/>
          <w:sz w:val="18"/>
          <w:szCs w:val="18"/>
          <w:lang w:val="es-ES_tradnl"/>
        </w:rPr>
        <w:t>compa</w:t>
      </w:r>
      <w:r>
        <w:rPr>
          <w:rFonts w:cs="Times New Roman"/>
          <w:spacing w:val="-6"/>
          <w:sz w:val="18"/>
          <w:szCs w:val="18"/>
          <w:lang w:val="es-ES_tradnl"/>
        </w:rPr>
        <w:t>ñí</w:t>
      </w:r>
      <w:r>
        <w:rPr>
          <w:spacing w:val="-6"/>
          <w:sz w:val="18"/>
          <w:szCs w:val="18"/>
          <w:lang w:val="es-ES_tradnl"/>
        </w:rPr>
        <w:t xml:space="preserve">a Terminal Aeroportuaria de Guayaquil S. A. (en </w:t>
      </w:r>
      <w:r>
        <w:rPr>
          <w:spacing w:val="-7"/>
          <w:sz w:val="18"/>
          <w:szCs w:val="18"/>
          <w:lang w:val="es-ES_tradnl"/>
        </w:rPr>
        <w:t>adelante TAGSA), en el cual manifiesta que la cauci</w:t>
      </w:r>
      <w:r>
        <w:rPr>
          <w:rFonts w:cs="Times New Roman"/>
          <w:spacing w:val="-7"/>
          <w:sz w:val="18"/>
          <w:szCs w:val="18"/>
          <w:lang w:val="es-ES_tradnl"/>
        </w:rPr>
        <w:t>ó</w:t>
      </w:r>
      <w:r>
        <w:rPr>
          <w:spacing w:val="-7"/>
          <w:sz w:val="18"/>
          <w:szCs w:val="18"/>
          <w:lang w:val="es-ES_tradnl"/>
        </w:rPr>
        <w:t xml:space="preserve">n es </w:t>
      </w:r>
      <w:r>
        <w:rPr>
          <w:spacing w:val="-8"/>
          <w:sz w:val="18"/>
          <w:szCs w:val="18"/>
          <w:lang w:val="es-ES_tradnl"/>
        </w:rPr>
        <w:t xml:space="preserve">fijada para proteger los derechos de la parte que sufre las </w:t>
      </w:r>
      <w:r>
        <w:rPr>
          <w:spacing w:val="-10"/>
          <w:sz w:val="18"/>
          <w:szCs w:val="18"/>
          <w:lang w:val="es-ES_tradnl"/>
        </w:rPr>
        <w:t>consecuencias de la acci</w:t>
      </w:r>
      <w:r>
        <w:rPr>
          <w:rFonts w:cs="Times New Roman"/>
          <w:spacing w:val="-10"/>
          <w:sz w:val="18"/>
          <w:szCs w:val="18"/>
          <w:lang w:val="es-ES_tradnl"/>
        </w:rPr>
        <w:t>ó</w:t>
      </w:r>
      <w:r>
        <w:rPr>
          <w:spacing w:val="-10"/>
          <w:sz w:val="18"/>
          <w:szCs w:val="18"/>
          <w:lang w:val="es-ES_tradnl"/>
        </w:rPr>
        <w:t>n de nulidad, porque se demorar</w:t>
      </w:r>
      <w:r>
        <w:rPr>
          <w:rFonts w:cs="Times New Roman"/>
          <w:spacing w:val="-10"/>
          <w:sz w:val="18"/>
          <w:szCs w:val="18"/>
          <w:lang w:val="es-ES_tradnl"/>
        </w:rPr>
        <w:t>í</w:t>
      </w:r>
      <w:r>
        <w:rPr>
          <w:spacing w:val="-10"/>
          <w:sz w:val="18"/>
          <w:szCs w:val="18"/>
          <w:lang w:val="es-ES_tradnl"/>
        </w:rPr>
        <w:t xml:space="preserve">a </w:t>
      </w:r>
      <w:r>
        <w:rPr>
          <w:sz w:val="18"/>
          <w:szCs w:val="18"/>
          <w:lang w:val="es-ES_tradnl"/>
        </w:rPr>
        <w:t>la ejecuci</w:t>
      </w:r>
      <w:r>
        <w:rPr>
          <w:rFonts w:cs="Times New Roman"/>
          <w:sz w:val="18"/>
          <w:szCs w:val="18"/>
          <w:lang w:val="es-ES_tradnl"/>
        </w:rPr>
        <w:t>ó</w:t>
      </w:r>
      <w:r>
        <w:rPr>
          <w:sz w:val="18"/>
          <w:szCs w:val="18"/>
          <w:lang w:val="es-ES_tradnl"/>
        </w:rPr>
        <w:t>n del laudo.</w:t>
      </w:r>
    </w:p>
    <w:p w14:paraId="4F67B5E6" w14:textId="77777777" w:rsidR="00591D54" w:rsidRDefault="00591D54">
      <w:pPr>
        <w:shd w:val="clear" w:color="auto" w:fill="FFFFFF"/>
        <w:spacing w:before="192" w:line="211" w:lineRule="exact"/>
        <w:ind w:right="10"/>
        <w:jc w:val="both"/>
      </w:pPr>
      <w:r>
        <w:rPr>
          <w:spacing w:val="-10"/>
          <w:sz w:val="18"/>
          <w:szCs w:val="18"/>
          <w:lang w:val="es-ES_tradnl"/>
        </w:rPr>
        <w:t>Considera que el deseo de la empresa p</w:t>
      </w:r>
      <w:r>
        <w:rPr>
          <w:rFonts w:cs="Times New Roman"/>
          <w:spacing w:val="-10"/>
          <w:sz w:val="18"/>
          <w:szCs w:val="18"/>
          <w:lang w:val="es-ES_tradnl"/>
        </w:rPr>
        <w:t>ú</w:t>
      </w:r>
      <w:r>
        <w:rPr>
          <w:spacing w:val="-10"/>
          <w:sz w:val="18"/>
          <w:szCs w:val="18"/>
          <w:lang w:val="es-ES_tradnl"/>
        </w:rPr>
        <w:t xml:space="preserve">blica Petroecuador </w:t>
      </w:r>
      <w:r>
        <w:rPr>
          <w:spacing w:val="-2"/>
          <w:sz w:val="18"/>
          <w:szCs w:val="18"/>
          <w:lang w:val="es-ES_tradnl"/>
        </w:rPr>
        <w:t>(en adelante Petroecuador) es dilatar, retrasar, impedir y retardar el tr</w:t>
      </w:r>
      <w:r>
        <w:rPr>
          <w:rFonts w:cs="Times New Roman"/>
          <w:spacing w:val="-2"/>
          <w:sz w:val="18"/>
          <w:szCs w:val="18"/>
          <w:lang w:val="es-ES_tradnl"/>
        </w:rPr>
        <w:t>á</w:t>
      </w:r>
      <w:r>
        <w:rPr>
          <w:spacing w:val="-2"/>
          <w:sz w:val="18"/>
          <w:szCs w:val="18"/>
          <w:lang w:val="es-ES_tradnl"/>
        </w:rPr>
        <w:t>mite de la acci</w:t>
      </w:r>
      <w:r>
        <w:rPr>
          <w:rFonts w:cs="Times New Roman"/>
          <w:spacing w:val="-2"/>
          <w:sz w:val="18"/>
          <w:szCs w:val="18"/>
          <w:lang w:val="es-ES_tradnl"/>
        </w:rPr>
        <w:t>ó</w:t>
      </w:r>
      <w:r>
        <w:rPr>
          <w:spacing w:val="-2"/>
          <w:sz w:val="18"/>
          <w:szCs w:val="18"/>
          <w:lang w:val="es-ES_tradnl"/>
        </w:rPr>
        <w:t xml:space="preserve">n de nulidad en un acto </w:t>
      </w:r>
      <w:r>
        <w:rPr>
          <w:spacing w:val="-4"/>
          <w:sz w:val="18"/>
          <w:szCs w:val="18"/>
          <w:lang w:val="es-ES_tradnl"/>
        </w:rPr>
        <w:t>sin sentido com</w:t>
      </w:r>
      <w:r>
        <w:rPr>
          <w:rFonts w:cs="Times New Roman"/>
          <w:spacing w:val="-4"/>
          <w:sz w:val="18"/>
          <w:szCs w:val="18"/>
          <w:lang w:val="es-ES_tradnl"/>
        </w:rPr>
        <w:t>ú</w:t>
      </w:r>
      <w:r>
        <w:rPr>
          <w:spacing w:val="-4"/>
          <w:sz w:val="18"/>
          <w:szCs w:val="18"/>
          <w:lang w:val="es-ES_tradnl"/>
        </w:rPr>
        <w:t xml:space="preserve">n que ofende el derecho y que a pesar </w:t>
      </w:r>
      <w:r>
        <w:rPr>
          <w:spacing w:val="-6"/>
          <w:sz w:val="18"/>
          <w:szCs w:val="18"/>
          <w:lang w:val="es-ES_tradnl"/>
        </w:rPr>
        <w:t>de haber deducido acci</w:t>
      </w:r>
      <w:r>
        <w:rPr>
          <w:rFonts w:cs="Times New Roman"/>
          <w:spacing w:val="-6"/>
          <w:sz w:val="18"/>
          <w:szCs w:val="18"/>
          <w:lang w:val="es-ES_tradnl"/>
        </w:rPr>
        <w:t>ó</w:t>
      </w:r>
      <w:r>
        <w:rPr>
          <w:spacing w:val="-6"/>
          <w:sz w:val="18"/>
          <w:szCs w:val="18"/>
          <w:lang w:val="es-ES_tradnl"/>
        </w:rPr>
        <w:t>n de nulidad, interpone acci</w:t>
      </w:r>
      <w:r>
        <w:rPr>
          <w:rFonts w:cs="Times New Roman"/>
          <w:spacing w:val="-6"/>
          <w:sz w:val="18"/>
          <w:szCs w:val="18"/>
          <w:lang w:val="es-ES_tradnl"/>
        </w:rPr>
        <w:t>ó</w:t>
      </w:r>
      <w:r>
        <w:rPr>
          <w:spacing w:val="-6"/>
          <w:sz w:val="18"/>
          <w:szCs w:val="18"/>
          <w:lang w:val="es-ES_tradnl"/>
        </w:rPr>
        <w:t xml:space="preserve">n </w:t>
      </w:r>
      <w:r>
        <w:rPr>
          <w:spacing w:val="-7"/>
          <w:sz w:val="18"/>
          <w:szCs w:val="18"/>
          <w:lang w:val="es-ES_tradnl"/>
        </w:rPr>
        <w:t>extraordinaria de protecci</w:t>
      </w:r>
      <w:r>
        <w:rPr>
          <w:rFonts w:cs="Times New Roman"/>
          <w:spacing w:val="-7"/>
          <w:sz w:val="18"/>
          <w:szCs w:val="18"/>
          <w:lang w:val="es-ES_tradnl"/>
        </w:rPr>
        <w:t>ó</w:t>
      </w:r>
      <w:r>
        <w:rPr>
          <w:spacing w:val="-7"/>
          <w:sz w:val="18"/>
          <w:szCs w:val="18"/>
          <w:lang w:val="es-ES_tradnl"/>
        </w:rPr>
        <w:t xml:space="preserve">n, por lo cual manifiesta que de </w:t>
      </w:r>
      <w:r>
        <w:rPr>
          <w:spacing w:val="-4"/>
          <w:sz w:val="18"/>
          <w:szCs w:val="18"/>
          <w:lang w:val="es-ES_tradnl"/>
        </w:rPr>
        <w:t>conformidad con el art</w:t>
      </w:r>
      <w:r>
        <w:rPr>
          <w:rFonts w:cs="Times New Roman"/>
          <w:spacing w:val="-4"/>
          <w:sz w:val="18"/>
          <w:szCs w:val="18"/>
          <w:lang w:val="es-ES_tradnl"/>
        </w:rPr>
        <w:t>í</w:t>
      </w:r>
      <w:r>
        <w:rPr>
          <w:spacing w:val="-4"/>
          <w:sz w:val="18"/>
          <w:szCs w:val="18"/>
          <w:lang w:val="es-ES_tradnl"/>
        </w:rPr>
        <w:t>culo 11 del C</w:t>
      </w:r>
      <w:r>
        <w:rPr>
          <w:rFonts w:cs="Times New Roman"/>
          <w:spacing w:val="-4"/>
          <w:sz w:val="18"/>
          <w:szCs w:val="18"/>
          <w:lang w:val="es-ES_tradnl"/>
        </w:rPr>
        <w:t>ó</w:t>
      </w:r>
      <w:r>
        <w:rPr>
          <w:spacing w:val="-4"/>
          <w:sz w:val="18"/>
          <w:szCs w:val="18"/>
          <w:lang w:val="es-ES_tradnl"/>
        </w:rPr>
        <w:t>digo Civil renuncia al derecho de recibir la cauci</w:t>
      </w:r>
      <w:r>
        <w:rPr>
          <w:rFonts w:cs="Times New Roman"/>
          <w:spacing w:val="-4"/>
          <w:sz w:val="18"/>
          <w:szCs w:val="18"/>
          <w:lang w:val="es-ES_tradnl"/>
        </w:rPr>
        <w:t>ó</w:t>
      </w:r>
      <w:r>
        <w:rPr>
          <w:spacing w:val="-4"/>
          <w:sz w:val="18"/>
          <w:szCs w:val="18"/>
          <w:lang w:val="es-ES_tradnl"/>
        </w:rPr>
        <w:t>n del art</w:t>
      </w:r>
      <w:r>
        <w:rPr>
          <w:rFonts w:cs="Times New Roman"/>
          <w:spacing w:val="-4"/>
          <w:sz w:val="18"/>
          <w:szCs w:val="18"/>
          <w:lang w:val="es-ES_tradnl"/>
        </w:rPr>
        <w:t>í</w:t>
      </w:r>
      <w:r>
        <w:rPr>
          <w:spacing w:val="-4"/>
          <w:sz w:val="18"/>
          <w:szCs w:val="18"/>
          <w:lang w:val="es-ES_tradnl"/>
        </w:rPr>
        <w:t xml:space="preserve">culo 31 de la Ley </w:t>
      </w:r>
      <w:r>
        <w:rPr>
          <w:sz w:val="18"/>
          <w:szCs w:val="18"/>
          <w:lang w:val="es-ES_tradnl"/>
        </w:rPr>
        <w:t>de Arbitraje y Mediaci</w:t>
      </w:r>
      <w:r>
        <w:rPr>
          <w:rFonts w:cs="Times New Roman"/>
          <w:sz w:val="18"/>
          <w:szCs w:val="18"/>
          <w:lang w:val="es-ES_tradnl"/>
        </w:rPr>
        <w:t>ó</w:t>
      </w:r>
      <w:r>
        <w:rPr>
          <w:sz w:val="18"/>
          <w:szCs w:val="18"/>
          <w:lang w:val="es-ES_tradnl"/>
        </w:rPr>
        <w:t>n, por lo cual solicit</w:t>
      </w:r>
      <w:r>
        <w:rPr>
          <w:rFonts w:cs="Times New Roman"/>
          <w:sz w:val="18"/>
          <w:szCs w:val="18"/>
          <w:lang w:val="es-ES_tradnl"/>
        </w:rPr>
        <w:t>ó</w:t>
      </w:r>
      <w:r>
        <w:rPr>
          <w:sz w:val="18"/>
          <w:szCs w:val="18"/>
          <w:lang w:val="es-ES_tradnl"/>
        </w:rPr>
        <w:t xml:space="preserve"> disponer </w:t>
      </w:r>
      <w:r>
        <w:rPr>
          <w:spacing w:val="-8"/>
          <w:sz w:val="18"/>
          <w:szCs w:val="18"/>
          <w:lang w:val="es-ES_tradnl"/>
        </w:rPr>
        <w:t>que inmediatamente se rechace la acci</w:t>
      </w:r>
      <w:r>
        <w:rPr>
          <w:rFonts w:cs="Times New Roman"/>
          <w:spacing w:val="-8"/>
          <w:sz w:val="18"/>
          <w:szCs w:val="18"/>
          <w:lang w:val="es-ES_tradnl"/>
        </w:rPr>
        <w:t>ó</w:t>
      </w:r>
      <w:r>
        <w:rPr>
          <w:spacing w:val="-8"/>
          <w:sz w:val="18"/>
          <w:szCs w:val="18"/>
          <w:lang w:val="es-ES_tradnl"/>
        </w:rPr>
        <w:t xml:space="preserve">n extraordinaria de </w:t>
      </w:r>
      <w:r>
        <w:rPr>
          <w:sz w:val="18"/>
          <w:szCs w:val="18"/>
          <w:lang w:val="es-ES_tradnl"/>
        </w:rPr>
        <w:t>protecci</w:t>
      </w:r>
      <w:r>
        <w:rPr>
          <w:rFonts w:cs="Times New Roman"/>
          <w:sz w:val="18"/>
          <w:szCs w:val="18"/>
          <w:lang w:val="es-ES_tradnl"/>
        </w:rPr>
        <w:t>ó</w:t>
      </w:r>
      <w:r>
        <w:rPr>
          <w:sz w:val="18"/>
          <w:szCs w:val="18"/>
          <w:lang w:val="es-ES_tradnl"/>
        </w:rPr>
        <w:t>n.</w:t>
      </w:r>
    </w:p>
    <w:p w14:paraId="4F67B5E7" w14:textId="77777777" w:rsidR="00591D54" w:rsidRDefault="00591D54">
      <w:pPr>
        <w:shd w:val="clear" w:color="auto" w:fill="FFFFFF"/>
        <w:spacing w:before="192" w:line="211" w:lineRule="exact"/>
        <w:jc w:val="both"/>
      </w:pPr>
      <w:r>
        <w:rPr>
          <w:sz w:val="18"/>
          <w:szCs w:val="18"/>
          <w:lang w:val="es-ES_tradnl"/>
        </w:rPr>
        <w:t xml:space="preserve">Sin embargo, de acuerdo al contenido del escrito del </w:t>
      </w:r>
      <w:r>
        <w:rPr>
          <w:spacing w:val="-4"/>
          <w:sz w:val="18"/>
          <w:szCs w:val="18"/>
          <w:lang w:val="es-ES_tradnl"/>
        </w:rPr>
        <w:t xml:space="preserve">18 de enero de 2012, mediante el cual el representante </w:t>
      </w:r>
      <w:r>
        <w:rPr>
          <w:spacing w:val="-5"/>
          <w:sz w:val="18"/>
          <w:szCs w:val="18"/>
          <w:lang w:val="es-ES_tradnl"/>
        </w:rPr>
        <w:t>de EP Petroecuador complet</w:t>
      </w:r>
      <w:r>
        <w:rPr>
          <w:rFonts w:cs="Times New Roman"/>
          <w:spacing w:val="-5"/>
          <w:sz w:val="18"/>
          <w:szCs w:val="18"/>
          <w:lang w:val="es-ES_tradnl"/>
        </w:rPr>
        <w:t>ó</w:t>
      </w:r>
      <w:r>
        <w:rPr>
          <w:spacing w:val="-5"/>
          <w:sz w:val="18"/>
          <w:szCs w:val="18"/>
          <w:lang w:val="es-ES_tradnl"/>
        </w:rPr>
        <w:t xml:space="preserve"> y aclar</w:t>
      </w:r>
      <w:r>
        <w:rPr>
          <w:rFonts w:cs="Times New Roman"/>
          <w:spacing w:val="-5"/>
          <w:sz w:val="18"/>
          <w:szCs w:val="18"/>
          <w:lang w:val="es-ES_tradnl"/>
        </w:rPr>
        <w:t>ó</w:t>
      </w:r>
      <w:r>
        <w:rPr>
          <w:spacing w:val="-5"/>
          <w:sz w:val="18"/>
          <w:szCs w:val="18"/>
          <w:lang w:val="es-ES_tradnl"/>
        </w:rPr>
        <w:t xml:space="preserve"> la demanda de </w:t>
      </w:r>
      <w:r>
        <w:rPr>
          <w:spacing w:val="-7"/>
          <w:sz w:val="18"/>
          <w:szCs w:val="18"/>
          <w:lang w:val="es-ES_tradnl"/>
        </w:rPr>
        <w:t>acci</w:t>
      </w:r>
      <w:r>
        <w:rPr>
          <w:rFonts w:cs="Times New Roman"/>
          <w:spacing w:val="-7"/>
          <w:sz w:val="18"/>
          <w:szCs w:val="18"/>
          <w:lang w:val="es-ES_tradnl"/>
        </w:rPr>
        <w:t>ó</w:t>
      </w:r>
      <w:r>
        <w:rPr>
          <w:spacing w:val="-7"/>
          <w:sz w:val="18"/>
          <w:szCs w:val="18"/>
          <w:lang w:val="es-ES_tradnl"/>
        </w:rPr>
        <w:t>n extraordinaria de protecci</w:t>
      </w:r>
      <w:r>
        <w:rPr>
          <w:rFonts w:cs="Times New Roman"/>
          <w:spacing w:val="-7"/>
          <w:sz w:val="18"/>
          <w:szCs w:val="18"/>
          <w:lang w:val="es-ES_tradnl"/>
        </w:rPr>
        <w:t>ó</w:t>
      </w:r>
      <w:r>
        <w:rPr>
          <w:spacing w:val="-7"/>
          <w:sz w:val="18"/>
          <w:szCs w:val="18"/>
          <w:lang w:val="es-ES_tradnl"/>
        </w:rPr>
        <w:t>n, se se</w:t>
      </w:r>
      <w:r>
        <w:rPr>
          <w:rFonts w:cs="Times New Roman"/>
          <w:spacing w:val="-7"/>
          <w:sz w:val="18"/>
          <w:szCs w:val="18"/>
          <w:lang w:val="es-ES_tradnl"/>
        </w:rPr>
        <w:t>ñ</w:t>
      </w:r>
      <w:r>
        <w:rPr>
          <w:spacing w:val="-7"/>
          <w:sz w:val="18"/>
          <w:szCs w:val="18"/>
          <w:lang w:val="es-ES_tradnl"/>
        </w:rPr>
        <w:t>al</w:t>
      </w:r>
      <w:r>
        <w:rPr>
          <w:rFonts w:cs="Times New Roman"/>
          <w:spacing w:val="-7"/>
          <w:sz w:val="18"/>
          <w:szCs w:val="18"/>
          <w:lang w:val="es-ES_tradnl"/>
        </w:rPr>
        <w:t>ó</w:t>
      </w:r>
      <w:r>
        <w:rPr>
          <w:spacing w:val="-7"/>
          <w:sz w:val="18"/>
          <w:szCs w:val="18"/>
          <w:lang w:val="es-ES_tradnl"/>
        </w:rPr>
        <w:t xml:space="preserve"> de manera </w:t>
      </w:r>
      <w:r>
        <w:rPr>
          <w:spacing w:val="-2"/>
          <w:sz w:val="18"/>
          <w:szCs w:val="18"/>
          <w:lang w:val="es-ES_tradnl"/>
        </w:rPr>
        <w:t>adicional, la vulneraci</w:t>
      </w:r>
      <w:r>
        <w:rPr>
          <w:rFonts w:cs="Times New Roman"/>
          <w:spacing w:val="-2"/>
          <w:sz w:val="18"/>
          <w:szCs w:val="18"/>
          <w:lang w:val="es-ES_tradnl"/>
        </w:rPr>
        <w:t>ó</w:t>
      </w:r>
      <w:r>
        <w:rPr>
          <w:spacing w:val="-2"/>
          <w:sz w:val="18"/>
          <w:szCs w:val="18"/>
          <w:lang w:val="es-ES_tradnl"/>
        </w:rPr>
        <w:t xml:space="preserve">n del derecho a la seguridad </w:t>
      </w:r>
      <w:r>
        <w:rPr>
          <w:spacing w:val="-5"/>
          <w:sz w:val="18"/>
          <w:szCs w:val="18"/>
          <w:lang w:val="es-ES_tradnl"/>
        </w:rPr>
        <w:t>jur</w:t>
      </w:r>
      <w:r>
        <w:rPr>
          <w:rFonts w:cs="Times New Roman"/>
          <w:spacing w:val="-5"/>
          <w:sz w:val="18"/>
          <w:szCs w:val="18"/>
          <w:lang w:val="es-ES_tradnl"/>
        </w:rPr>
        <w:t>í</w:t>
      </w:r>
      <w:r>
        <w:rPr>
          <w:spacing w:val="-5"/>
          <w:sz w:val="18"/>
          <w:szCs w:val="18"/>
          <w:lang w:val="es-ES_tradnl"/>
        </w:rPr>
        <w:t>dica, contemplado en el art</w:t>
      </w:r>
      <w:r>
        <w:rPr>
          <w:rFonts w:cs="Times New Roman"/>
          <w:spacing w:val="-5"/>
          <w:sz w:val="18"/>
          <w:szCs w:val="18"/>
          <w:lang w:val="es-ES_tradnl"/>
        </w:rPr>
        <w:t>í</w:t>
      </w:r>
      <w:r>
        <w:rPr>
          <w:spacing w:val="-5"/>
          <w:sz w:val="18"/>
          <w:szCs w:val="18"/>
          <w:lang w:val="es-ES_tradnl"/>
        </w:rPr>
        <w:t>culo 82 de la Constituci</w:t>
      </w:r>
      <w:r>
        <w:rPr>
          <w:rFonts w:cs="Times New Roman"/>
          <w:spacing w:val="-5"/>
          <w:sz w:val="18"/>
          <w:szCs w:val="18"/>
          <w:lang w:val="es-ES_tradnl"/>
        </w:rPr>
        <w:t>ó</w:t>
      </w:r>
      <w:r>
        <w:rPr>
          <w:spacing w:val="-5"/>
          <w:sz w:val="18"/>
          <w:szCs w:val="18"/>
          <w:lang w:val="es-ES_tradnl"/>
        </w:rPr>
        <w:t xml:space="preserve">n </w:t>
      </w:r>
      <w:r>
        <w:rPr>
          <w:spacing w:val="-1"/>
          <w:sz w:val="18"/>
          <w:szCs w:val="18"/>
          <w:lang w:val="es-ES_tradnl"/>
        </w:rPr>
        <w:t>de la Rep</w:t>
      </w:r>
      <w:r>
        <w:rPr>
          <w:rFonts w:cs="Times New Roman"/>
          <w:spacing w:val="-1"/>
          <w:sz w:val="18"/>
          <w:szCs w:val="18"/>
          <w:lang w:val="es-ES_tradnl"/>
        </w:rPr>
        <w:t>ú</w:t>
      </w:r>
      <w:r>
        <w:rPr>
          <w:spacing w:val="-1"/>
          <w:sz w:val="18"/>
          <w:szCs w:val="18"/>
          <w:lang w:val="es-ES_tradnl"/>
        </w:rPr>
        <w:t>blica en relaci</w:t>
      </w:r>
      <w:r>
        <w:rPr>
          <w:rFonts w:cs="Times New Roman"/>
          <w:spacing w:val="-1"/>
          <w:sz w:val="18"/>
          <w:szCs w:val="18"/>
          <w:lang w:val="es-ES_tradnl"/>
        </w:rPr>
        <w:t>ó</w:t>
      </w:r>
      <w:r>
        <w:rPr>
          <w:spacing w:val="-1"/>
          <w:sz w:val="18"/>
          <w:szCs w:val="18"/>
          <w:lang w:val="es-ES_tradnl"/>
        </w:rPr>
        <w:t>n con el art</w:t>
      </w:r>
      <w:r>
        <w:rPr>
          <w:rFonts w:cs="Times New Roman"/>
          <w:spacing w:val="-1"/>
          <w:sz w:val="18"/>
          <w:szCs w:val="18"/>
          <w:lang w:val="es-ES_tradnl"/>
        </w:rPr>
        <w:t>í</w:t>
      </w:r>
      <w:r>
        <w:rPr>
          <w:spacing w:val="-1"/>
          <w:sz w:val="18"/>
          <w:szCs w:val="18"/>
          <w:lang w:val="es-ES_tradnl"/>
        </w:rPr>
        <w:t xml:space="preserve">culo 190 de la </w:t>
      </w:r>
      <w:r>
        <w:rPr>
          <w:spacing w:val="-8"/>
          <w:sz w:val="18"/>
          <w:szCs w:val="18"/>
          <w:lang w:val="es-ES_tradnl"/>
        </w:rPr>
        <w:t>misma Norma Suprema; as</w:t>
      </w:r>
      <w:r>
        <w:rPr>
          <w:rFonts w:cs="Times New Roman"/>
          <w:spacing w:val="-8"/>
          <w:sz w:val="18"/>
          <w:szCs w:val="18"/>
          <w:lang w:val="es-ES_tradnl"/>
        </w:rPr>
        <w:t>í</w:t>
      </w:r>
      <w:r>
        <w:rPr>
          <w:spacing w:val="-8"/>
          <w:sz w:val="18"/>
          <w:szCs w:val="18"/>
          <w:lang w:val="es-ES_tradnl"/>
        </w:rPr>
        <w:t xml:space="preserve">, el gerente general de TAGSA </w:t>
      </w:r>
      <w:r>
        <w:rPr>
          <w:spacing w:val="-6"/>
          <w:sz w:val="18"/>
          <w:szCs w:val="18"/>
          <w:lang w:val="es-ES_tradnl"/>
        </w:rPr>
        <w:t xml:space="preserve">en escrito del 7 de mayo de 2012, que obra de fojas 26 a </w:t>
      </w:r>
      <w:r>
        <w:rPr>
          <w:spacing w:val="-4"/>
          <w:sz w:val="18"/>
          <w:szCs w:val="18"/>
          <w:lang w:val="es-ES_tradnl"/>
        </w:rPr>
        <w:t>la 28 del expediente constitucional, se</w:t>
      </w:r>
      <w:r>
        <w:rPr>
          <w:rFonts w:cs="Times New Roman"/>
          <w:spacing w:val="-4"/>
          <w:sz w:val="18"/>
          <w:szCs w:val="18"/>
          <w:lang w:val="es-ES_tradnl"/>
        </w:rPr>
        <w:t>ñ</w:t>
      </w:r>
      <w:r>
        <w:rPr>
          <w:spacing w:val="-4"/>
          <w:sz w:val="18"/>
          <w:szCs w:val="18"/>
          <w:lang w:val="es-ES_tradnl"/>
        </w:rPr>
        <w:t>al</w:t>
      </w:r>
      <w:r>
        <w:rPr>
          <w:rFonts w:cs="Times New Roman"/>
          <w:spacing w:val="-4"/>
          <w:sz w:val="18"/>
          <w:szCs w:val="18"/>
          <w:lang w:val="es-ES_tradnl"/>
        </w:rPr>
        <w:t>ó</w:t>
      </w:r>
      <w:r>
        <w:rPr>
          <w:spacing w:val="-4"/>
          <w:sz w:val="18"/>
          <w:szCs w:val="18"/>
          <w:lang w:val="es-ES_tradnl"/>
        </w:rPr>
        <w:t xml:space="preserve"> que en virtud </w:t>
      </w:r>
      <w:r>
        <w:rPr>
          <w:spacing w:val="-1"/>
          <w:sz w:val="18"/>
          <w:szCs w:val="18"/>
          <w:lang w:val="es-ES_tradnl"/>
        </w:rPr>
        <w:t>de la modificaci</w:t>
      </w:r>
      <w:r>
        <w:rPr>
          <w:rFonts w:cs="Times New Roman"/>
          <w:spacing w:val="-1"/>
          <w:sz w:val="18"/>
          <w:szCs w:val="18"/>
          <w:lang w:val="es-ES_tradnl"/>
        </w:rPr>
        <w:t>ó</w:t>
      </w:r>
      <w:r>
        <w:rPr>
          <w:spacing w:val="-1"/>
          <w:sz w:val="18"/>
          <w:szCs w:val="18"/>
          <w:lang w:val="es-ES_tradnl"/>
        </w:rPr>
        <w:t xml:space="preserve">n de los fundamentos utilizados al </w:t>
      </w:r>
      <w:r>
        <w:rPr>
          <w:spacing w:val="-2"/>
          <w:sz w:val="18"/>
          <w:szCs w:val="18"/>
          <w:lang w:val="es-ES_tradnl"/>
        </w:rPr>
        <w:t>deducir la acci</w:t>
      </w:r>
      <w:r>
        <w:rPr>
          <w:rFonts w:cs="Times New Roman"/>
          <w:spacing w:val="-2"/>
          <w:sz w:val="18"/>
          <w:szCs w:val="18"/>
          <w:lang w:val="es-ES_tradnl"/>
        </w:rPr>
        <w:t>ó</w:t>
      </w:r>
      <w:r>
        <w:rPr>
          <w:spacing w:val="-2"/>
          <w:sz w:val="18"/>
          <w:szCs w:val="18"/>
          <w:lang w:val="es-ES_tradnl"/>
        </w:rPr>
        <w:t>n extraordinaria de protecci</w:t>
      </w:r>
      <w:r>
        <w:rPr>
          <w:rFonts w:cs="Times New Roman"/>
          <w:spacing w:val="-2"/>
          <w:sz w:val="18"/>
          <w:szCs w:val="18"/>
          <w:lang w:val="es-ES_tradnl"/>
        </w:rPr>
        <w:t>ó</w:t>
      </w:r>
      <w:r>
        <w:rPr>
          <w:spacing w:val="-2"/>
          <w:sz w:val="18"/>
          <w:szCs w:val="18"/>
          <w:lang w:val="es-ES_tradnl"/>
        </w:rPr>
        <w:t xml:space="preserve">n, dicha </w:t>
      </w:r>
      <w:r>
        <w:rPr>
          <w:spacing w:val="-7"/>
          <w:sz w:val="18"/>
          <w:szCs w:val="18"/>
          <w:lang w:val="es-ES_tradnl"/>
        </w:rPr>
        <w:t>acci</w:t>
      </w:r>
      <w:r>
        <w:rPr>
          <w:rFonts w:cs="Times New Roman"/>
          <w:spacing w:val="-7"/>
          <w:sz w:val="18"/>
          <w:szCs w:val="18"/>
          <w:lang w:val="es-ES_tradnl"/>
        </w:rPr>
        <w:t>ó</w:t>
      </w:r>
      <w:r>
        <w:rPr>
          <w:spacing w:val="-7"/>
          <w:sz w:val="18"/>
          <w:szCs w:val="18"/>
          <w:lang w:val="es-ES_tradnl"/>
        </w:rPr>
        <w:t xml:space="preserve">n sigue siendo inviable en tanto no ha sustentado de </w:t>
      </w:r>
      <w:r>
        <w:rPr>
          <w:spacing w:val="-8"/>
          <w:sz w:val="18"/>
          <w:szCs w:val="18"/>
          <w:lang w:val="es-ES_tradnl"/>
        </w:rPr>
        <w:t>forma apropiada cu</w:t>
      </w:r>
      <w:r>
        <w:rPr>
          <w:rFonts w:cs="Times New Roman"/>
          <w:spacing w:val="-8"/>
          <w:sz w:val="18"/>
          <w:szCs w:val="18"/>
          <w:lang w:val="es-ES_tradnl"/>
        </w:rPr>
        <w:t>á</w:t>
      </w:r>
      <w:r>
        <w:rPr>
          <w:spacing w:val="-8"/>
          <w:sz w:val="18"/>
          <w:szCs w:val="18"/>
          <w:lang w:val="es-ES_tradnl"/>
        </w:rPr>
        <w:t xml:space="preserve">les derechos constitucionales son los </w:t>
      </w:r>
      <w:r>
        <w:rPr>
          <w:spacing w:val="-6"/>
          <w:sz w:val="18"/>
          <w:szCs w:val="18"/>
          <w:lang w:val="es-ES_tradnl"/>
        </w:rPr>
        <w:t>vulnerados, y adem</w:t>
      </w:r>
      <w:r>
        <w:rPr>
          <w:rFonts w:cs="Times New Roman"/>
          <w:spacing w:val="-6"/>
          <w:sz w:val="18"/>
          <w:szCs w:val="18"/>
          <w:lang w:val="es-ES_tradnl"/>
        </w:rPr>
        <w:t>á</w:t>
      </w:r>
      <w:r>
        <w:rPr>
          <w:spacing w:val="-6"/>
          <w:sz w:val="18"/>
          <w:szCs w:val="18"/>
          <w:lang w:val="es-ES_tradnl"/>
        </w:rPr>
        <w:t>s porque consider</w:t>
      </w:r>
      <w:r>
        <w:rPr>
          <w:rFonts w:cs="Times New Roman"/>
          <w:spacing w:val="-6"/>
          <w:sz w:val="18"/>
          <w:szCs w:val="18"/>
          <w:lang w:val="es-ES_tradnl"/>
        </w:rPr>
        <w:t>ó</w:t>
      </w:r>
      <w:r>
        <w:rPr>
          <w:spacing w:val="-6"/>
          <w:sz w:val="18"/>
          <w:szCs w:val="18"/>
          <w:lang w:val="es-ES_tradnl"/>
        </w:rPr>
        <w:t xml:space="preserve"> que no se agot</w:t>
      </w:r>
      <w:r>
        <w:rPr>
          <w:rFonts w:cs="Times New Roman"/>
          <w:spacing w:val="-6"/>
          <w:sz w:val="18"/>
          <w:szCs w:val="18"/>
          <w:lang w:val="es-ES_tradnl"/>
        </w:rPr>
        <w:t xml:space="preserve">ó </w:t>
      </w:r>
      <w:r>
        <w:rPr>
          <w:spacing w:val="-3"/>
          <w:sz w:val="18"/>
          <w:szCs w:val="18"/>
          <w:lang w:val="es-ES_tradnl"/>
        </w:rPr>
        <w:t>la acci</w:t>
      </w:r>
      <w:r>
        <w:rPr>
          <w:rFonts w:cs="Times New Roman"/>
          <w:spacing w:val="-3"/>
          <w:sz w:val="18"/>
          <w:szCs w:val="18"/>
          <w:lang w:val="es-ES_tradnl"/>
        </w:rPr>
        <w:t>ó</w:t>
      </w:r>
      <w:r>
        <w:rPr>
          <w:spacing w:val="-3"/>
          <w:sz w:val="18"/>
          <w:szCs w:val="18"/>
          <w:lang w:val="es-ES_tradnl"/>
        </w:rPr>
        <w:t>n de nulidad porque sigue pendiente su tr</w:t>
      </w:r>
      <w:r>
        <w:rPr>
          <w:rFonts w:cs="Times New Roman"/>
          <w:spacing w:val="-3"/>
          <w:sz w:val="18"/>
          <w:szCs w:val="18"/>
          <w:lang w:val="es-ES_tradnl"/>
        </w:rPr>
        <w:t>á</w:t>
      </w:r>
      <w:r>
        <w:rPr>
          <w:spacing w:val="-3"/>
          <w:sz w:val="18"/>
          <w:szCs w:val="18"/>
          <w:lang w:val="es-ES_tradnl"/>
        </w:rPr>
        <w:t xml:space="preserve">mite; </w:t>
      </w:r>
      <w:r>
        <w:rPr>
          <w:spacing w:val="-6"/>
          <w:sz w:val="18"/>
          <w:szCs w:val="18"/>
          <w:lang w:val="es-ES_tradnl"/>
        </w:rPr>
        <w:t>y, adicionalmente se</w:t>
      </w:r>
      <w:r>
        <w:rPr>
          <w:rFonts w:cs="Times New Roman"/>
          <w:spacing w:val="-6"/>
          <w:sz w:val="18"/>
          <w:szCs w:val="18"/>
          <w:lang w:val="es-ES_tradnl"/>
        </w:rPr>
        <w:t>ñ</w:t>
      </w:r>
      <w:r>
        <w:rPr>
          <w:spacing w:val="-6"/>
          <w:sz w:val="18"/>
          <w:szCs w:val="18"/>
          <w:lang w:val="es-ES_tradnl"/>
        </w:rPr>
        <w:t>al</w:t>
      </w:r>
      <w:r>
        <w:rPr>
          <w:rFonts w:cs="Times New Roman"/>
          <w:spacing w:val="-6"/>
          <w:sz w:val="18"/>
          <w:szCs w:val="18"/>
          <w:lang w:val="es-ES_tradnl"/>
        </w:rPr>
        <w:t>ó</w:t>
      </w:r>
      <w:r>
        <w:rPr>
          <w:spacing w:val="-6"/>
          <w:sz w:val="18"/>
          <w:szCs w:val="18"/>
          <w:lang w:val="es-ES_tradnl"/>
        </w:rPr>
        <w:t xml:space="preserve"> que la acci</w:t>
      </w:r>
      <w:r>
        <w:rPr>
          <w:rFonts w:cs="Times New Roman"/>
          <w:spacing w:val="-6"/>
          <w:sz w:val="18"/>
          <w:szCs w:val="18"/>
          <w:lang w:val="es-ES_tradnl"/>
        </w:rPr>
        <w:t>ó</w:t>
      </w:r>
      <w:r>
        <w:rPr>
          <w:spacing w:val="-6"/>
          <w:sz w:val="18"/>
          <w:szCs w:val="18"/>
          <w:lang w:val="es-ES_tradnl"/>
        </w:rPr>
        <w:t xml:space="preserve">n extraordinaria de </w:t>
      </w:r>
      <w:r>
        <w:rPr>
          <w:spacing w:val="-5"/>
          <w:sz w:val="18"/>
          <w:szCs w:val="18"/>
          <w:lang w:val="es-ES_tradnl"/>
        </w:rPr>
        <w:t>protecci</w:t>
      </w:r>
      <w:r>
        <w:rPr>
          <w:rFonts w:cs="Times New Roman"/>
          <w:spacing w:val="-5"/>
          <w:sz w:val="18"/>
          <w:szCs w:val="18"/>
          <w:lang w:val="es-ES_tradnl"/>
        </w:rPr>
        <w:t>ó</w:t>
      </w:r>
      <w:r>
        <w:rPr>
          <w:spacing w:val="-5"/>
          <w:sz w:val="18"/>
          <w:szCs w:val="18"/>
          <w:lang w:val="es-ES_tradnl"/>
        </w:rPr>
        <w:t>n fue interpuesta en forma extempor</w:t>
      </w:r>
      <w:r>
        <w:rPr>
          <w:rFonts w:cs="Times New Roman"/>
          <w:spacing w:val="-5"/>
          <w:sz w:val="18"/>
          <w:szCs w:val="18"/>
          <w:lang w:val="es-ES_tradnl"/>
        </w:rPr>
        <w:t>á</w:t>
      </w:r>
      <w:r>
        <w:rPr>
          <w:spacing w:val="-5"/>
          <w:sz w:val="18"/>
          <w:szCs w:val="18"/>
          <w:lang w:val="es-ES_tradnl"/>
        </w:rPr>
        <w:t xml:space="preserve">nea. En </w:t>
      </w:r>
      <w:r>
        <w:rPr>
          <w:spacing w:val="-7"/>
          <w:sz w:val="18"/>
          <w:szCs w:val="18"/>
          <w:lang w:val="es-ES_tradnl"/>
        </w:rPr>
        <w:t>virtud de aquello solicit</w:t>
      </w:r>
      <w:r>
        <w:rPr>
          <w:rFonts w:cs="Times New Roman"/>
          <w:spacing w:val="-7"/>
          <w:sz w:val="18"/>
          <w:szCs w:val="18"/>
          <w:lang w:val="es-ES_tradnl"/>
        </w:rPr>
        <w:t>ó</w:t>
      </w:r>
      <w:r>
        <w:rPr>
          <w:spacing w:val="-7"/>
          <w:sz w:val="18"/>
          <w:szCs w:val="18"/>
          <w:lang w:val="es-ES_tradnl"/>
        </w:rPr>
        <w:t xml:space="preserve"> se deseche la acci</w:t>
      </w:r>
      <w:r>
        <w:rPr>
          <w:rFonts w:cs="Times New Roman"/>
          <w:spacing w:val="-7"/>
          <w:sz w:val="18"/>
          <w:szCs w:val="18"/>
          <w:lang w:val="es-ES_tradnl"/>
        </w:rPr>
        <w:t>ó</w:t>
      </w:r>
      <w:r>
        <w:rPr>
          <w:spacing w:val="-7"/>
          <w:sz w:val="18"/>
          <w:szCs w:val="18"/>
          <w:lang w:val="es-ES_tradnl"/>
        </w:rPr>
        <w:t>n deducida.</w:t>
      </w:r>
    </w:p>
    <w:p w14:paraId="4F67B5E8" w14:textId="77777777" w:rsidR="00591D54" w:rsidRDefault="00591D54">
      <w:pPr>
        <w:shd w:val="clear" w:color="auto" w:fill="FFFFFF"/>
        <w:spacing w:before="187"/>
      </w:pPr>
      <w:r>
        <w:rPr>
          <w:b/>
          <w:bCs/>
          <w:spacing w:val="-7"/>
          <w:sz w:val="18"/>
          <w:szCs w:val="18"/>
          <w:lang w:val="es-ES_tradnl"/>
        </w:rPr>
        <w:t>Procuradur</w:t>
      </w:r>
      <w:r>
        <w:rPr>
          <w:rFonts w:cs="Times New Roman"/>
          <w:b/>
          <w:bCs/>
          <w:spacing w:val="-7"/>
          <w:sz w:val="18"/>
          <w:szCs w:val="18"/>
          <w:lang w:val="es-ES_tradnl"/>
        </w:rPr>
        <w:t>í</w:t>
      </w:r>
      <w:r>
        <w:rPr>
          <w:b/>
          <w:bCs/>
          <w:spacing w:val="-7"/>
          <w:sz w:val="18"/>
          <w:szCs w:val="18"/>
          <w:lang w:val="es-ES_tradnl"/>
        </w:rPr>
        <w:t>a General del Estado</w:t>
      </w:r>
    </w:p>
    <w:p w14:paraId="4F67B5E9" w14:textId="77777777" w:rsidR="00591D54" w:rsidRDefault="00591D54">
      <w:pPr>
        <w:shd w:val="clear" w:color="auto" w:fill="FFFFFF"/>
        <w:spacing w:before="192" w:line="211" w:lineRule="exact"/>
        <w:ind w:right="10"/>
        <w:jc w:val="both"/>
      </w:pPr>
      <w:r>
        <w:rPr>
          <w:spacing w:val="-6"/>
          <w:sz w:val="18"/>
          <w:szCs w:val="18"/>
          <w:lang w:val="es-ES_tradnl"/>
        </w:rPr>
        <w:t>El 7 de noviembre de 2014, el se</w:t>
      </w:r>
      <w:r>
        <w:rPr>
          <w:rFonts w:cs="Times New Roman"/>
          <w:spacing w:val="-6"/>
          <w:sz w:val="18"/>
          <w:szCs w:val="18"/>
          <w:lang w:val="es-ES_tradnl"/>
        </w:rPr>
        <w:t>ñ</w:t>
      </w:r>
      <w:r>
        <w:rPr>
          <w:spacing w:val="-6"/>
          <w:sz w:val="18"/>
          <w:szCs w:val="18"/>
          <w:lang w:val="es-ES_tradnl"/>
        </w:rPr>
        <w:t xml:space="preserve">or Marcos Arteaga </w:t>
      </w:r>
      <w:r>
        <w:rPr>
          <w:spacing w:val="-5"/>
          <w:sz w:val="18"/>
          <w:szCs w:val="18"/>
          <w:lang w:val="es-ES_tradnl"/>
        </w:rPr>
        <w:t>Valenzuela, director nacional de Patrocinio, delegado del</w:t>
      </w:r>
    </w:p>
    <w:p w14:paraId="4F67B5EA" w14:textId="77777777" w:rsidR="00591D54" w:rsidRDefault="00591D54">
      <w:pPr>
        <w:shd w:val="clear" w:color="auto" w:fill="FFFFFF"/>
        <w:spacing w:before="192" w:line="211" w:lineRule="exact"/>
        <w:ind w:right="10"/>
        <w:jc w:val="both"/>
        <w:sectPr w:rsidR="00591D54">
          <w:type w:val="continuous"/>
          <w:pgSz w:w="11909" w:h="16834"/>
          <w:pgMar w:top="1366" w:right="1299" w:bottom="360" w:left="1308" w:header="720" w:footer="720" w:gutter="0"/>
          <w:cols w:num="2" w:space="720" w:equalWidth="0">
            <w:col w:w="4310" w:space="677"/>
            <w:col w:w="4315"/>
          </w:cols>
          <w:noEndnote/>
        </w:sectPr>
      </w:pPr>
    </w:p>
    <w:p w14:paraId="4F67B5EB" w14:textId="77777777" w:rsidR="00591D54" w:rsidRDefault="00591D54">
      <w:pPr>
        <w:shd w:val="clear" w:color="auto" w:fill="FFFFFF"/>
        <w:tabs>
          <w:tab w:val="left" w:pos="4814"/>
        </w:tabs>
        <w:spacing w:after="235"/>
        <w:ind w:left="5"/>
      </w:pPr>
      <w:r>
        <w:rPr>
          <w:b/>
          <w:bCs/>
          <w:sz w:val="18"/>
          <w:szCs w:val="18"/>
          <w:lang w:val="es-ES_tradnl"/>
        </w:rPr>
        <w:t xml:space="preserve">226 -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5EC" w14:textId="77777777" w:rsidR="00591D54" w:rsidRDefault="00591D54">
      <w:pPr>
        <w:shd w:val="clear" w:color="auto" w:fill="FFFFFF"/>
        <w:tabs>
          <w:tab w:val="left" w:pos="4814"/>
        </w:tabs>
        <w:spacing w:after="235"/>
        <w:ind w:left="5"/>
        <w:sectPr w:rsidR="00591D54">
          <w:pgSz w:w="11909" w:h="16834"/>
          <w:pgMar w:top="1356" w:right="1309" w:bottom="360" w:left="1308" w:header="720" w:footer="720" w:gutter="0"/>
          <w:cols w:space="60"/>
          <w:noEndnote/>
        </w:sectPr>
      </w:pPr>
    </w:p>
    <w:p w14:paraId="4F67B5ED" w14:textId="77777777" w:rsidR="00591D54" w:rsidRDefault="00591D54">
      <w:pPr>
        <w:shd w:val="clear" w:color="auto" w:fill="FFFFFF"/>
        <w:spacing w:line="206" w:lineRule="exact"/>
        <w:jc w:val="both"/>
      </w:pPr>
      <w:r>
        <w:rPr>
          <w:spacing w:val="-8"/>
          <w:sz w:val="18"/>
          <w:szCs w:val="18"/>
          <w:lang w:val="es-ES_tradnl"/>
        </w:rPr>
        <w:t>procurador general del Estado, se</w:t>
      </w:r>
      <w:r>
        <w:rPr>
          <w:rFonts w:cs="Times New Roman"/>
          <w:spacing w:val="-8"/>
          <w:sz w:val="18"/>
          <w:szCs w:val="18"/>
          <w:lang w:val="es-ES_tradnl"/>
        </w:rPr>
        <w:t>ñ</w:t>
      </w:r>
      <w:r>
        <w:rPr>
          <w:spacing w:val="-8"/>
          <w:sz w:val="18"/>
          <w:szCs w:val="18"/>
          <w:lang w:val="es-ES_tradnl"/>
        </w:rPr>
        <w:t>al</w:t>
      </w:r>
      <w:r>
        <w:rPr>
          <w:rFonts w:cs="Times New Roman"/>
          <w:spacing w:val="-8"/>
          <w:sz w:val="18"/>
          <w:szCs w:val="18"/>
          <w:lang w:val="es-ES_tradnl"/>
        </w:rPr>
        <w:t>ó</w:t>
      </w:r>
      <w:r>
        <w:rPr>
          <w:spacing w:val="-8"/>
          <w:sz w:val="18"/>
          <w:szCs w:val="18"/>
          <w:lang w:val="es-ES_tradnl"/>
        </w:rPr>
        <w:t xml:space="preserve">, mediante escrito, el </w:t>
      </w:r>
      <w:r>
        <w:rPr>
          <w:spacing w:val="-5"/>
          <w:sz w:val="18"/>
          <w:szCs w:val="18"/>
          <w:lang w:val="es-ES_tradnl"/>
        </w:rPr>
        <w:t>casillero constitucional N.</w:t>
      </w:r>
      <w:r>
        <w:rPr>
          <w:rFonts w:cs="Times New Roman"/>
          <w:spacing w:val="-5"/>
          <w:sz w:val="18"/>
          <w:szCs w:val="18"/>
          <w:lang w:val="es-ES_tradnl"/>
        </w:rPr>
        <w:t>º</w:t>
      </w:r>
      <w:r>
        <w:rPr>
          <w:spacing w:val="-5"/>
          <w:sz w:val="18"/>
          <w:szCs w:val="18"/>
          <w:lang w:val="es-ES_tradnl"/>
        </w:rPr>
        <w:t xml:space="preserve"> 18 para futuras notificaciones </w:t>
      </w:r>
      <w:r>
        <w:rPr>
          <w:sz w:val="18"/>
          <w:szCs w:val="18"/>
          <w:lang w:val="es-ES_tradnl"/>
        </w:rPr>
        <w:t>en la presente causa.</w:t>
      </w:r>
    </w:p>
    <w:p w14:paraId="4F67B5EE" w14:textId="77777777" w:rsidR="00591D54" w:rsidRDefault="00591D54">
      <w:pPr>
        <w:shd w:val="clear" w:color="auto" w:fill="FFFFFF"/>
        <w:spacing w:before="173" w:line="206" w:lineRule="exact"/>
        <w:ind w:left="686" w:right="326" w:hanging="355"/>
      </w:pPr>
      <w:r>
        <w:rPr>
          <w:b/>
          <w:bCs/>
          <w:spacing w:val="-1"/>
          <w:sz w:val="18"/>
          <w:szCs w:val="18"/>
          <w:lang w:val="es-ES_tradnl"/>
        </w:rPr>
        <w:t xml:space="preserve">II. CONSIDERACIONES Y FUNDAMENTOS </w:t>
      </w:r>
      <w:r>
        <w:rPr>
          <w:b/>
          <w:bCs/>
          <w:sz w:val="18"/>
          <w:szCs w:val="18"/>
          <w:lang w:val="es-ES_tradnl"/>
        </w:rPr>
        <w:t>DE LA CORTE CONSTITUCIONAL</w:t>
      </w:r>
    </w:p>
    <w:p w14:paraId="4F67B5EF" w14:textId="77777777" w:rsidR="00591D54" w:rsidRDefault="00591D54">
      <w:pPr>
        <w:shd w:val="clear" w:color="auto" w:fill="FFFFFF"/>
        <w:spacing w:before="173"/>
      </w:pPr>
      <w:r>
        <w:rPr>
          <w:b/>
          <w:bCs/>
          <w:spacing w:val="-11"/>
          <w:sz w:val="18"/>
          <w:szCs w:val="18"/>
          <w:lang w:val="es-ES_tradnl"/>
        </w:rPr>
        <w:t>Competencia</w:t>
      </w:r>
    </w:p>
    <w:p w14:paraId="4F67B5F0" w14:textId="77777777" w:rsidR="00591D54" w:rsidRDefault="00591D54">
      <w:pPr>
        <w:shd w:val="clear" w:color="auto" w:fill="FFFFFF"/>
        <w:spacing w:before="173" w:line="206" w:lineRule="exact"/>
        <w:ind w:right="5"/>
        <w:jc w:val="both"/>
      </w:pPr>
      <w:r>
        <w:rPr>
          <w:sz w:val="18"/>
          <w:szCs w:val="18"/>
          <w:lang w:val="es-ES_tradnl"/>
        </w:rPr>
        <w:t xml:space="preserve">La Corte Constitucional es competente para conocer y pronunciarse sobre las acciones extraordinarias </w:t>
      </w:r>
      <w:r>
        <w:rPr>
          <w:spacing w:val="-5"/>
          <w:sz w:val="18"/>
          <w:szCs w:val="18"/>
          <w:lang w:val="es-ES_tradnl"/>
        </w:rPr>
        <w:t>de protecci</w:t>
      </w:r>
      <w:r>
        <w:rPr>
          <w:rFonts w:cs="Times New Roman"/>
          <w:spacing w:val="-5"/>
          <w:sz w:val="18"/>
          <w:szCs w:val="18"/>
          <w:lang w:val="es-ES_tradnl"/>
        </w:rPr>
        <w:t>ó</w:t>
      </w:r>
      <w:r>
        <w:rPr>
          <w:spacing w:val="-5"/>
          <w:sz w:val="18"/>
          <w:szCs w:val="18"/>
          <w:lang w:val="es-ES_tradnl"/>
        </w:rPr>
        <w:t xml:space="preserve">n contra sentencias, autos definitivos y </w:t>
      </w:r>
      <w:r>
        <w:rPr>
          <w:spacing w:val="-8"/>
          <w:sz w:val="18"/>
          <w:szCs w:val="18"/>
          <w:lang w:val="es-ES_tradnl"/>
        </w:rPr>
        <w:t xml:space="preserve">resoluciones con fuerza de sentencia en concordancia con </w:t>
      </w:r>
      <w:r>
        <w:rPr>
          <w:spacing w:val="-5"/>
          <w:sz w:val="18"/>
          <w:szCs w:val="18"/>
          <w:lang w:val="es-ES_tradnl"/>
        </w:rPr>
        <w:t>lo previsto en los art</w:t>
      </w:r>
      <w:r>
        <w:rPr>
          <w:rFonts w:cs="Times New Roman"/>
          <w:spacing w:val="-5"/>
          <w:sz w:val="18"/>
          <w:szCs w:val="18"/>
          <w:lang w:val="es-ES_tradnl"/>
        </w:rPr>
        <w:t>í</w:t>
      </w:r>
      <w:r>
        <w:rPr>
          <w:spacing w:val="-5"/>
          <w:sz w:val="18"/>
          <w:szCs w:val="18"/>
          <w:lang w:val="es-ES_tradnl"/>
        </w:rPr>
        <w:t>culos 94 y 437 de la Constituci</w:t>
      </w:r>
      <w:r>
        <w:rPr>
          <w:rFonts w:cs="Times New Roman"/>
          <w:spacing w:val="-5"/>
          <w:sz w:val="18"/>
          <w:szCs w:val="18"/>
          <w:lang w:val="es-ES_tradnl"/>
        </w:rPr>
        <w:t>ó</w:t>
      </w:r>
      <w:r>
        <w:rPr>
          <w:spacing w:val="-5"/>
          <w:sz w:val="18"/>
          <w:szCs w:val="18"/>
          <w:lang w:val="es-ES_tradnl"/>
        </w:rPr>
        <w:t xml:space="preserve">n de </w:t>
      </w:r>
      <w:r>
        <w:rPr>
          <w:spacing w:val="-7"/>
          <w:sz w:val="18"/>
          <w:szCs w:val="18"/>
          <w:lang w:val="es-ES_tradnl"/>
        </w:rPr>
        <w:t>la Rep</w:t>
      </w:r>
      <w:r>
        <w:rPr>
          <w:rFonts w:cs="Times New Roman"/>
          <w:spacing w:val="-7"/>
          <w:sz w:val="18"/>
          <w:szCs w:val="18"/>
          <w:lang w:val="es-ES_tradnl"/>
        </w:rPr>
        <w:t>ú</w:t>
      </w:r>
      <w:r>
        <w:rPr>
          <w:spacing w:val="-7"/>
          <w:sz w:val="18"/>
          <w:szCs w:val="18"/>
          <w:lang w:val="es-ES_tradnl"/>
        </w:rPr>
        <w:t>blica, el art</w:t>
      </w:r>
      <w:r>
        <w:rPr>
          <w:rFonts w:cs="Times New Roman"/>
          <w:spacing w:val="-7"/>
          <w:sz w:val="18"/>
          <w:szCs w:val="18"/>
          <w:lang w:val="es-ES_tradnl"/>
        </w:rPr>
        <w:t>í</w:t>
      </w:r>
      <w:r>
        <w:rPr>
          <w:spacing w:val="-7"/>
          <w:sz w:val="18"/>
          <w:szCs w:val="18"/>
          <w:lang w:val="es-ES_tradnl"/>
        </w:rPr>
        <w:t>culo 58 y siguientes de la Ley Org</w:t>
      </w:r>
      <w:r>
        <w:rPr>
          <w:rFonts w:cs="Times New Roman"/>
          <w:spacing w:val="-7"/>
          <w:sz w:val="18"/>
          <w:szCs w:val="18"/>
          <w:lang w:val="es-ES_tradnl"/>
        </w:rPr>
        <w:t>á</w:t>
      </w:r>
      <w:r>
        <w:rPr>
          <w:spacing w:val="-7"/>
          <w:sz w:val="18"/>
          <w:szCs w:val="18"/>
          <w:lang w:val="es-ES_tradnl"/>
        </w:rPr>
        <w:t>nica de Garant</w:t>
      </w:r>
      <w:r>
        <w:rPr>
          <w:rFonts w:cs="Times New Roman"/>
          <w:spacing w:val="-7"/>
          <w:sz w:val="18"/>
          <w:szCs w:val="18"/>
          <w:lang w:val="es-ES_tradnl"/>
        </w:rPr>
        <w:t>í</w:t>
      </w:r>
      <w:r>
        <w:rPr>
          <w:spacing w:val="-7"/>
          <w:sz w:val="18"/>
          <w:szCs w:val="18"/>
          <w:lang w:val="es-ES_tradnl"/>
        </w:rPr>
        <w:t xml:space="preserve">as Jurisdiccionales y Control Constitucional y el </w:t>
      </w:r>
      <w:r>
        <w:rPr>
          <w:spacing w:val="-11"/>
          <w:sz w:val="18"/>
          <w:szCs w:val="18"/>
          <w:lang w:val="es-ES_tradnl"/>
        </w:rPr>
        <w:t>art</w:t>
      </w:r>
      <w:r>
        <w:rPr>
          <w:rFonts w:cs="Times New Roman"/>
          <w:spacing w:val="-11"/>
          <w:sz w:val="18"/>
          <w:szCs w:val="18"/>
          <w:lang w:val="es-ES_tradnl"/>
        </w:rPr>
        <w:t>í</w:t>
      </w:r>
      <w:r>
        <w:rPr>
          <w:spacing w:val="-11"/>
          <w:sz w:val="18"/>
          <w:szCs w:val="18"/>
          <w:lang w:val="es-ES_tradnl"/>
        </w:rPr>
        <w:t>culo 35 del Reglamento de Sustanciaci</w:t>
      </w:r>
      <w:r>
        <w:rPr>
          <w:rFonts w:cs="Times New Roman"/>
          <w:spacing w:val="-11"/>
          <w:sz w:val="18"/>
          <w:szCs w:val="18"/>
          <w:lang w:val="es-ES_tradnl"/>
        </w:rPr>
        <w:t>ó</w:t>
      </w:r>
      <w:r>
        <w:rPr>
          <w:spacing w:val="-11"/>
          <w:sz w:val="18"/>
          <w:szCs w:val="18"/>
          <w:lang w:val="es-ES_tradnl"/>
        </w:rPr>
        <w:t xml:space="preserve">n de Procesos de </w:t>
      </w:r>
      <w:r>
        <w:rPr>
          <w:sz w:val="18"/>
          <w:szCs w:val="18"/>
          <w:lang w:val="es-ES_tradnl"/>
        </w:rPr>
        <w:t>Competencia de la Corte Constitucional.</w:t>
      </w:r>
    </w:p>
    <w:p w14:paraId="4F67B5F1" w14:textId="77777777" w:rsidR="00591D54" w:rsidRDefault="00591D54">
      <w:pPr>
        <w:shd w:val="clear" w:color="auto" w:fill="FFFFFF"/>
        <w:spacing w:before="173"/>
      </w:pPr>
      <w:r>
        <w:rPr>
          <w:b/>
          <w:bCs/>
          <w:spacing w:val="-8"/>
          <w:sz w:val="18"/>
          <w:szCs w:val="18"/>
          <w:lang w:val="es-ES_tradnl"/>
        </w:rPr>
        <w:t>Legitimaci</w:t>
      </w:r>
      <w:r>
        <w:rPr>
          <w:rFonts w:cs="Times New Roman"/>
          <w:b/>
          <w:bCs/>
          <w:spacing w:val="-8"/>
          <w:sz w:val="18"/>
          <w:szCs w:val="18"/>
          <w:lang w:val="es-ES_tradnl"/>
        </w:rPr>
        <w:t>ó</w:t>
      </w:r>
      <w:r>
        <w:rPr>
          <w:b/>
          <w:bCs/>
          <w:spacing w:val="-8"/>
          <w:sz w:val="18"/>
          <w:szCs w:val="18"/>
          <w:lang w:val="es-ES_tradnl"/>
        </w:rPr>
        <w:t>n activa</w:t>
      </w:r>
    </w:p>
    <w:p w14:paraId="4F67B5F2" w14:textId="77777777" w:rsidR="00591D54" w:rsidRDefault="00591D54">
      <w:pPr>
        <w:shd w:val="clear" w:color="auto" w:fill="FFFFFF"/>
        <w:spacing w:before="178" w:line="206" w:lineRule="exact"/>
        <w:ind w:right="5"/>
        <w:jc w:val="both"/>
      </w:pPr>
      <w:r>
        <w:rPr>
          <w:spacing w:val="-7"/>
          <w:sz w:val="18"/>
          <w:szCs w:val="18"/>
          <w:lang w:val="es-ES_tradnl"/>
        </w:rPr>
        <w:t xml:space="preserve">El accionante se encuentra legitimado para interponer la </w:t>
      </w:r>
      <w:r>
        <w:rPr>
          <w:spacing w:val="-6"/>
          <w:sz w:val="18"/>
          <w:szCs w:val="18"/>
          <w:lang w:val="es-ES_tradnl"/>
        </w:rPr>
        <w:t>presente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en virtud de </w:t>
      </w:r>
      <w:r>
        <w:rPr>
          <w:spacing w:val="-7"/>
          <w:sz w:val="18"/>
          <w:szCs w:val="18"/>
          <w:lang w:val="es-ES_tradnl"/>
        </w:rPr>
        <w:t>cumplir con los requerimientos establecidos en el art</w:t>
      </w:r>
      <w:r>
        <w:rPr>
          <w:rFonts w:cs="Times New Roman"/>
          <w:spacing w:val="-7"/>
          <w:sz w:val="18"/>
          <w:szCs w:val="18"/>
          <w:lang w:val="es-ES_tradnl"/>
        </w:rPr>
        <w:t>í</w:t>
      </w:r>
      <w:r>
        <w:rPr>
          <w:spacing w:val="-7"/>
          <w:sz w:val="18"/>
          <w:szCs w:val="18"/>
          <w:lang w:val="es-ES_tradnl"/>
        </w:rPr>
        <w:t xml:space="preserve">culo </w:t>
      </w:r>
      <w:r>
        <w:rPr>
          <w:spacing w:val="-6"/>
          <w:sz w:val="18"/>
          <w:szCs w:val="18"/>
          <w:lang w:val="es-ES_tradnl"/>
        </w:rPr>
        <w:t>437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en concordancia </w:t>
      </w:r>
      <w:r>
        <w:rPr>
          <w:spacing w:val="-8"/>
          <w:sz w:val="18"/>
          <w:szCs w:val="18"/>
          <w:lang w:val="es-ES_tradnl"/>
        </w:rPr>
        <w:t>con el art</w:t>
      </w:r>
      <w:r>
        <w:rPr>
          <w:rFonts w:cs="Times New Roman"/>
          <w:spacing w:val="-8"/>
          <w:sz w:val="18"/>
          <w:szCs w:val="18"/>
          <w:lang w:val="es-ES_tradnl"/>
        </w:rPr>
        <w:t>í</w:t>
      </w:r>
      <w:r>
        <w:rPr>
          <w:spacing w:val="-8"/>
          <w:sz w:val="18"/>
          <w:szCs w:val="18"/>
          <w:lang w:val="es-ES_tradnl"/>
        </w:rPr>
        <w:t>culo 439 ib</w:t>
      </w:r>
      <w:r>
        <w:rPr>
          <w:rFonts w:cs="Times New Roman"/>
          <w:spacing w:val="-8"/>
          <w:sz w:val="18"/>
          <w:szCs w:val="18"/>
          <w:lang w:val="es-ES_tradnl"/>
        </w:rPr>
        <w:t>í</w:t>
      </w:r>
      <w:r>
        <w:rPr>
          <w:spacing w:val="-8"/>
          <w:sz w:val="18"/>
          <w:szCs w:val="18"/>
          <w:lang w:val="es-ES_tradnl"/>
        </w:rPr>
        <w:t xml:space="preserve">dem, que establece que las acciones </w:t>
      </w:r>
      <w:r>
        <w:rPr>
          <w:spacing w:val="-7"/>
          <w:sz w:val="18"/>
          <w:szCs w:val="18"/>
          <w:lang w:val="es-ES_tradnl"/>
        </w:rPr>
        <w:t>constitucionales podr</w:t>
      </w:r>
      <w:r>
        <w:rPr>
          <w:rFonts w:cs="Times New Roman"/>
          <w:spacing w:val="-7"/>
          <w:sz w:val="18"/>
          <w:szCs w:val="18"/>
          <w:lang w:val="es-ES_tradnl"/>
        </w:rPr>
        <w:t>á</w:t>
      </w:r>
      <w:r>
        <w:rPr>
          <w:spacing w:val="-7"/>
          <w:sz w:val="18"/>
          <w:szCs w:val="18"/>
          <w:lang w:val="es-ES_tradnl"/>
        </w:rPr>
        <w:t xml:space="preserve">n ser presentadas por cualquier </w:t>
      </w:r>
      <w:r>
        <w:rPr>
          <w:spacing w:val="-6"/>
          <w:sz w:val="18"/>
          <w:szCs w:val="18"/>
          <w:lang w:val="es-ES_tradnl"/>
        </w:rPr>
        <w:t xml:space="preserve">ciudadana o ciudadano individual o colectivamente, y el </w:t>
      </w:r>
      <w:r>
        <w:rPr>
          <w:spacing w:val="-9"/>
          <w:sz w:val="18"/>
          <w:szCs w:val="18"/>
          <w:lang w:val="es-ES_tradnl"/>
        </w:rPr>
        <w:t>art</w:t>
      </w:r>
      <w:r>
        <w:rPr>
          <w:rFonts w:cs="Times New Roman"/>
          <w:spacing w:val="-9"/>
          <w:sz w:val="18"/>
          <w:szCs w:val="18"/>
          <w:lang w:val="es-ES_tradnl"/>
        </w:rPr>
        <w:t>í</w:t>
      </w:r>
      <w:r>
        <w:rPr>
          <w:spacing w:val="-9"/>
          <w:sz w:val="18"/>
          <w:szCs w:val="18"/>
          <w:lang w:val="es-ES_tradnl"/>
        </w:rPr>
        <w:t>culo 59 de la Ley Org</w:t>
      </w:r>
      <w:r>
        <w:rPr>
          <w:rFonts w:cs="Times New Roman"/>
          <w:spacing w:val="-9"/>
          <w:sz w:val="18"/>
          <w:szCs w:val="18"/>
          <w:lang w:val="es-ES_tradnl"/>
        </w:rPr>
        <w:t>á</w:t>
      </w:r>
      <w:r>
        <w:rPr>
          <w:spacing w:val="-9"/>
          <w:sz w:val="18"/>
          <w:szCs w:val="18"/>
          <w:lang w:val="es-ES_tradnl"/>
        </w:rPr>
        <w:t>nica de Garant</w:t>
      </w:r>
      <w:r>
        <w:rPr>
          <w:rFonts w:cs="Times New Roman"/>
          <w:spacing w:val="-9"/>
          <w:sz w:val="18"/>
          <w:szCs w:val="18"/>
          <w:lang w:val="es-ES_tradnl"/>
        </w:rPr>
        <w:t>í</w:t>
      </w:r>
      <w:r>
        <w:rPr>
          <w:spacing w:val="-9"/>
          <w:sz w:val="18"/>
          <w:szCs w:val="18"/>
          <w:lang w:val="es-ES_tradnl"/>
        </w:rPr>
        <w:t xml:space="preserve">as Jurisdiccionales </w:t>
      </w:r>
      <w:r>
        <w:rPr>
          <w:sz w:val="18"/>
          <w:szCs w:val="18"/>
          <w:lang w:val="es-ES_tradnl"/>
        </w:rPr>
        <w:t>y Control Constitucional.</w:t>
      </w:r>
    </w:p>
    <w:p w14:paraId="4F67B5F3" w14:textId="77777777" w:rsidR="00591D54" w:rsidRDefault="00591D54">
      <w:pPr>
        <w:shd w:val="clear" w:color="auto" w:fill="FFFFFF"/>
        <w:spacing w:before="173"/>
      </w:pPr>
      <w:r>
        <w:rPr>
          <w:b/>
          <w:bCs/>
          <w:spacing w:val="-10"/>
          <w:sz w:val="18"/>
          <w:szCs w:val="18"/>
          <w:lang w:val="es-ES_tradnl"/>
        </w:rPr>
        <w:t>An</w:t>
      </w:r>
      <w:r>
        <w:rPr>
          <w:rFonts w:cs="Times New Roman"/>
          <w:b/>
          <w:bCs/>
          <w:spacing w:val="-10"/>
          <w:sz w:val="18"/>
          <w:szCs w:val="18"/>
          <w:lang w:val="es-ES_tradnl"/>
        </w:rPr>
        <w:t>á</w:t>
      </w:r>
      <w:r>
        <w:rPr>
          <w:b/>
          <w:bCs/>
          <w:spacing w:val="-10"/>
          <w:sz w:val="18"/>
          <w:szCs w:val="18"/>
          <w:lang w:val="es-ES_tradnl"/>
        </w:rPr>
        <w:t>lisis constitucional</w:t>
      </w:r>
    </w:p>
    <w:p w14:paraId="4F67B5F4" w14:textId="77777777" w:rsidR="00591D54" w:rsidRDefault="00591D54">
      <w:pPr>
        <w:shd w:val="clear" w:color="auto" w:fill="FFFFFF"/>
        <w:spacing w:before="173"/>
      </w:pPr>
      <w:r>
        <w:rPr>
          <w:b/>
          <w:bCs/>
          <w:spacing w:val="-7"/>
          <w:sz w:val="18"/>
          <w:szCs w:val="18"/>
          <w:lang w:val="es-ES_tradnl"/>
        </w:rPr>
        <w:t>Naturaleza de la acci</w:t>
      </w:r>
      <w:r>
        <w:rPr>
          <w:rFonts w:cs="Times New Roman"/>
          <w:b/>
          <w:bCs/>
          <w:spacing w:val="-7"/>
          <w:sz w:val="18"/>
          <w:szCs w:val="18"/>
          <w:lang w:val="es-ES_tradnl"/>
        </w:rPr>
        <w:t>ó</w:t>
      </w:r>
      <w:r>
        <w:rPr>
          <w:b/>
          <w:bCs/>
          <w:spacing w:val="-7"/>
          <w:sz w:val="18"/>
          <w:szCs w:val="18"/>
          <w:lang w:val="es-ES_tradnl"/>
        </w:rPr>
        <w:t>n extraordinaria de protecci</w:t>
      </w:r>
      <w:r>
        <w:rPr>
          <w:rFonts w:cs="Times New Roman"/>
          <w:b/>
          <w:bCs/>
          <w:spacing w:val="-7"/>
          <w:sz w:val="18"/>
          <w:szCs w:val="18"/>
          <w:lang w:val="es-ES_tradnl"/>
        </w:rPr>
        <w:t>ó</w:t>
      </w:r>
      <w:r>
        <w:rPr>
          <w:b/>
          <w:bCs/>
          <w:spacing w:val="-7"/>
          <w:sz w:val="18"/>
          <w:szCs w:val="18"/>
          <w:lang w:val="es-ES_tradnl"/>
        </w:rPr>
        <w:t>n</w:t>
      </w:r>
    </w:p>
    <w:p w14:paraId="4F67B5F5" w14:textId="77777777" w:rsidR="00591D54" w:rsidRDefault="00591D54">
      <w:pPr>
        <w:shd w:val="clear" w:color="auto" w:fill="FFFFFF"/>
        <w:spacing w:before="173" w:line="206" w:lineRule="exact"/>
        <w:ind w:right="5"/>
        <w:jc w:val="both"/>
      </w:pPr>
      <w:r>
        <w:rPr>
          <w:spacing w:val="-6"/>
          <w:sz w:val="18"/>
          <w:szCs w:val="18"/>
          <w:lang w:val="es-ES_tradnl"/>
        </w:rPr>
        <w:t>La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procede en contra </w:t>
      </w:r>
      <w:r>
        <w:rPr>
          <w:spacing w:val="-10"/>
          <w:sz w:val="18"/>
          <w:szCs w:val="18"/>
          <w:lang w:val="es-ES_tradnl"/>
        </w:rPr>
        <w:t xml:space="preserve">de sentencias, autos en firme o ejecutoriados y resoluciones </w:t>
      </w:r>
      <w:r>
        <w:rPr>
          <w:spacing w:val="-6"/>
          <w:sz w:val="18"/>
          <w:szCs w:val="18"/>
          <w:lang w:val="es-ES_tradnl"/>
        </w:rPr>
        <w:t xml:space="preserve">judiciales que pongan fin al proceso; en esencia, este </w:t>
      </w:r>
      <w:r>
        <w:rPr>
          <w:spacing w:val="-5"/>
          <w:sz w:val="18"/>
          <w:szCs w:val="18"/>
          <w:lang w:val="es-ES_tradnl"/>
        </w:rPr>
        <w:t>m</w:t>
      </w:r>
      <w:r>
        <w:rPr>
          <w:rFonts w:cs="Times New Roman"/>
          <w:spacing w:val="-5"/>
          <w:sz w:val="18"/>
          <w:szCs w:val="18"/>
          <w:lang w:val="es-ES_tradnl"/>
        </w:rPr>
        <w:t>á</w:t>
      </w:r>
      <w:r>
        <w:rPr>
          <w:spacing w:val="-5"/>
          <w:sz w:val="18"/>
          <w:szCs w:val="18"/>
          <w:lang w:val="es-ES_tradnl"/>
        </w:rPr>
        <w:t>ximo organismo de justicia, interpretaci</w:t>
      </w:r>
      <w:r>
        <w:rPr>
          <w:rFonts w:cs="Times New Roman"/>
          <w:spacing w:val="-5"/>
          <w:sz w:val="18"/>
          <w:szCs w:val="18"/>
          <w:lang w:val="es-ES_tradnl"/>
        </w:rPr>
        <w:t>ó</w:t>
      </w:r>
      <w:r>
        <w:rPr>
          <w:spacing w:val="-5"/>
          <w:sz w:val="18"/>
          <w:szCs w:val="18"/>
          <w:lang w:val="es-ES_tradnl"/>
        </w:rPr>
        <w:t xml:space="preserve">n y control </w:t>
      </w:r>
      <w:r>
        <w:rPr>
          <w:sz w:val="18"/>
          <w:szCs w:val="18"/>
          <w:lang w:val="es-ES_tradnl"/>
        </w:rPr>
        <w:t>constitucional, por medio de esta acci</w:t>
      </w:r>
      <w:r>
        <w:rPr>
          <w:rFonts w:cs="Times New Roman"/>
          <w:sz w:val="18"/>
          <w:szCs w:val="18"/>
          <w:lang w:val="es-ES_tradnl"/>
        </w:rPr>
        <w:t>ó</w:t>
      </w:r>
      <w:r>
        <w:rPr>
          <w:sz w:val="18"/>
          <w:szCs w:val="18"/>
          <w:lang w:val="es-ES_tradnl"/>
        </w:rPr>
        <w:t xml:space="preserve">n excepcional </w:t>
      </w:r>
      <w:r>
        <w:rPr>
          <w:spacing w:val="-7"/>
          <w:sz w:val="18"/>
          <w:szCs w:val="18"/>
          <w:lang w:val="es-ES_tradnl"/>
        </w:rPr>
        <w:t>se pronunciar</w:t>
      </w:r>
      <w:r>
        <w:rPr>
          <w:rFonts w:cs="Times New Roman"/>
          <w:spacing w:val="-7"/>
          <w:sz w:val="18"/>
          <w:szCs w:val="18"/>
          <w:lang w:val="es-ES_tradnl"/>
        </w:rPr>
        <w:t>á</w:t>
      </w:r>
      <w:r>
        <w:rPr>
          <w:spacing w:val="-7"/>
          <w:sz w:val="18"/>
          <w:szCs w:val="18"/>
          <w:lang w:val="es-ES_tradnl"/>
        </w:rPr>
        <w:t xml:space="preserve"> respecto a dos cuestiones principales: la </w:t>
      </w:r>
      <w:r>
        <w:rPr>
          <w:spacing w:val="-8"/>
          <w:sz w:val="18"/>
          <w:szCs w:val="18"/>
          <w:lang w:val="es-ES_tradnl"/>
        </w:rPr>
        <w:t>vulneraci</w:t>
      </w:r>
      <w:r>
        <w:rPr>
          <w:rFonts w:cs="Times New Roman"/>
          <w:spacing w:val="-8"/>
          <w:sz w:val="18"/>
          <w:szCs w:val="18"/>
          <w:lang w:val="es-ES_tradnl"/>
        </w:rPr>
        <w:t>ó</w:t>
      </w:r>
      <w:r>
        <w:rPr>
          <w:spacing w:val="-8"/>
          <w:sz w:val="18"/>
          <w:szCs w:val="18"/>
          <w:lang w:val="es-ES_tradnl"/>
        </w:rPr>
        <w:t>n de derechos constitucionales o la transgresi</w:t>
      </w:r>
      <w:r>
        <w:rPr>
          <w:rFonts w:cs="Times New Roman"/>
          <w:spacing w:val="-8"/>
          <w:sz w:val="18"/>
          <w:szCs w:val="18"/>
          <w:lang w:val="es-ES_tradnl"/>
        </w:rPr>
        <w:t>ó</w:t>
      </w:r>
      <w:r>
        <w:rPr>
          <w:spacing w:val="-8"/>
          <w:sz w:val="18"/>
          <w:szCs w:val="18"/>
          <w:lang w:val="es-ES_tradnl"/>
        </w:rPr>
        <w:t xml:space="preserve">n </w:t>
      </w:r>
      <w:r>
        <w:rPr>
          <w:sz w:val="18"/>
          <w:szCs w:val="18"/>
          <w:lang w:val="es-ES_tradnl"/>
        </w:rPr>
        <w:t>de normas del debido proceso.</w:t>
      </w:r>
    </w:p>
    <w:p w14:paraId="4F67B5F6" w14:textId="77777777" w:rsidR="00591D54" w:rsidRDefault="00591D54">
      <w:pPr>
        <w:shd w:val="clear" w:color="auto" w:fill="FFFFFF"/>
        <w:spacing w:before="173" w:line="206" w:lineRule="exact"/>
        <w:ind w:right="5"/>
        <w:jc w:val="both"/>
      </w:pPr>
      <w:r>
        <w:rPr>
          <w:spacing w:val="-5"/>
          <w:sz w:val="18"/>
          <w:szCs w:val="18"/>
          <w:lang w:val="es-ES_tradnl"/>
        </w:rPr>
        <w:t>La Corte Constitucional, para el per</w:t>
      </w:r>
      <w:r>
        <w:rPr>
          <w:rFonts w:cs="Times New Roman"/>
          <w:spacing w:val="-5"/>
          <w:sz w:val="18"/>
          <w:szCs w:val="18"/>
          <w:lang w:val="es-ES_tradnl"/>
        </w:rPr>
        <w:t>í</w:t>
      </w:r>
      <w:r>
        <w:rPr>
          <w:spacing w:val="-5"/>
          <w:sz w:val="18"/>
          <w:szCs w:val="18"/>
          <w:lang w:val="es-ES_tradnl"/>
        </w:rPr>
        <w:t>odo de transici</w:t>
      </w:r>
      <w:r>
        <w:rPr>
          <w:rFonts w:cs="Times New Roman"/>
          <w:spacing w:val="-5"/>
          <w:sz w:val="18"/>
          <w:szCs w:val="18"/>
          <w:lang w:val="es-ES_tradnl"/>
        </w:rPr>
        <w:t>ó</w:t>
      </w:r>
      <w:r>
        <w:rPr>
          <w:spacing w:val="-5"/>
          <w:sz w:val="18"/>
          <w:szCs w:val="18"/>
          <w:lang w:val="es-ES_tradnl"/>
        </w:rPr>
        <w:t xml:space="preserve">n, </w:t>
      </w:r>
      <w:r>
        <w:rPr>
          <w:spacing w:val="-1"/>
          <w:sz w:val="18"/>
          <w:szCs w:val="18"/>
          <w:lang w:val="es-ES_tradnl"/>
        </w:rPr>
        <w:t>respecto a esta garant</w:t>
      </w:r>
      <w:r>
        <w:rPr>
          <w:rFonts w:cs="Times New Roman"/>
          <w:spacing w:val="-1"/>
          <w:sz w:val="18"/>
          <w:szCs w:val="18"/>
          <w:lang w:val="es-ES_tradnl"/>
        </w:rPr>
        <w:t>í</w:t>
      </w:r>
      <w:r>
        <w:rPr>
          <w:spacing w:val="-1"/>
          <w:sz w:val="18"/>
          <w:szCs w:val="18"/>
          <w:lang w:val="es-ES_tradnl"/>
        </w:rPr>
        <w:t>a jurisdiccional estableci</w:t>
      </w:r>
      <w:r>
        <w:rPr>
          <w:rFonts w:cs="Times New Roman"/>
          <w:spacing w:val="-1"/>
          <w:sz w:val="18"/>
          <w:szCs w:val="18"/>
          <w:lang w:val="es-ES_tradnl"/>
        </w:rPr>
        <w:t xml:space="preserve">ó </w:t>
      </w:r>
      <w:r>
        <w:rPr>
          <w:sz w:val="18"/>
          <w:szCs w:val="18"/>
          <w:lang w:val="es-ES_tradnl"/>
        </w:rPr>
        <w:t>previamente que:</w:t>
      </w:r>
    </w:p>
    <w:p w14:paraId="4F67B5F7" w14:textId="77777777" w:rsidR="00591D54" w:rsidRDefault="00591D54">
      <w:pPr>
        <w:shd w:val="clear" w:color="auto" w:fill="FFFFFF"/>
        <w:spacing w:before="187" w:line="206" w:lineRule="exact"/>
        <w:ind w:left="283" w:right="5"/>
        <w:jc w:val="both"/>
      </w:pPr>
      <w:r>
        <w:rPr>
          <w:sz w:val="14"/>
          <w:szCs w:val="14"/>
          <w:lang w:val="es-ES_tradnl"/>
        </w:rPr>
        <w:t>(</w:t>
      </w:r>
      <w:r>
        <w:rPr>
          <w:rFonts w:cs="Times New Roman"/>
          <w:sz w:val="14"/>
          <w:szCs w:val="14"/>
          <w:lang w:val="es-ES_tradnl"/>
        </w:rPr>
        <w:t>…</w:t>
      </w:r>
      <w:r>
        <w:rPr>
          <w:sz w:val="14"/>
          <w:szCs w:val="14"/>
          <w:lang w:val="es-ES_tradnl"/>
        </w:rPr>
        <w:t>) La acci</w:t>
      </w:r>
      <w:r>
        <w:rPr>
          <w:rFonts w:cs="Times New Roman"/>
          <w:sz w:val="14"/>
          <w:szCs w:val="14"/>
          <w:lang w:val="es-ES_tradnl"/>
        </w:rPr>
        <w:t>ó</w:t>
      </w:r>
      <w:r>
        <w:rPr>
          <w:sz w:val="14"/>
          <w:szCs w:val="14"/>
          <w:lang w:val="es-ES_tradnl"/>
        </w:rPr>
        <w:t>n extraordinaria de protecci</w:t>
      </w:r>
      <w:r>
        <w:rPr>
          <w:rFonts w:cs="Times New Roman"/>
          <w:sz w:val="14"/>
          <w:szCs w:val="14"/>
          <w:lang w:val="es-ES_tradnl"/>
        </w:rPr>
        <w:t>ó</w:t>
      </w:r>
      <w:r>
        <w:rPr>
          <w:sz w:val="14"/>
          <w:szCs w:val="14"/>
          <w:lang w:val="es-ES_tradnl"/>
        </w:rPr>
        <w:t>n se incorpor</w:t>
      </w:r>
      <w:r>
        <w:rPr>
          <w:rFonts w:cs="Times New Roman"/>
          <w:sz w:val="14"/>
          <w:szCs w:val="14"/>
          <w:lang w:val="es-ES_tradnl"/>
        </w:rPr>
        <w:t>ó</w:t>
      </w:r>
      <w:r>
        <w:rPr>
          <w:sz w:val="14"/>
          <w:szCs w:val="14"/>
          <w:lang w:val="es-ES_tradnl"/>
        </w:rPr>
        <w:t xml:space="preserve"> para tutelar, proteger y remediar las situaciones que devengan de los errores de los jueces, (</w:t>
      </w:r>
      <w:r>
        <w:rPr>
          <w:rFonts w:cs="Times New Roman"/>
          <w:sz w:val="14"/>
          <w:szCs w:val="14"/>
          <w:lang w:val="es-ES_tradnl"/>
        </w:rPr>
        <w:t>…</w:t>
      </w:r>
      <w:r>
        <w:rPr>
          <w:sz w:val="14"/>
          <w:szCs w:val="14"/>
          <w:lang w:val="es-ES_tradnl"/>
        </w:rPr>
        <w:t>) que resulta nueva en la legislaci</w:t>
      </w:r>
      <w:r>
        <w:rPr>
          <w:rFonts w:cs="Times New Roman"/>
          <w:sz w:val="14"/>
          <w:szCs w:val="14"/>
          <w:lang w:val="es-ES_tradnl"/>
        </w:rPr>
        <w:t>ó</w:t>
      </w:r>
      <w:r>
        <w:rPr>
          <w:sz w:val="14"/>
          <w:szCs w:val="14"/>
          <w:lang w:val="es-ES_tradnl"/>
        </w:rPr>
        <w:t>n constitucional del pa</w:t>
      </w:r>
      <w:r>
        <w:rPr>
          <w:rFonts w:cs="Times New Roman"/>
          <w:sz w:val="14"/>
          <w:szCs w:val="14"/>
          <w:lang w:val="es-ES_tradnl"/>
        </w:rPr>
        <w:t>í</w:t>
      </w:r>
      <w:r>
        <w:rPr>
          <w:sz w:val="14"/>
          <w:szCs w:val="14"/>
          <w:lang w:val="es-ES_tradnl"/>
        </w:rPr>
        <w:t>s y que responde, sin duda alguna, al anhelo de la sociedad que busca protecci</w:t>
      </w:r>
      <w:r>
        <w:rPr>
          <w:rFonts w:cs="Times New Roman"/>
          <w:sz w:val="14"/>
          <w:szCs w:val="14"/>
          <w:lang w:val="es-ES_tradnl"/>
        </w:rPr>
        <w:t>ó</w:t>
      </w:r>
      <w:r>
        <w:rPr>
          <w:sz w:val="14"/>
          <w:szCs w:val="14"/>
          <w:lang w:val="es-ES_tradnl"/>
        </w:rPr>
        <w:t xml:space="preserve">n efectiva, </w:t>
      </w:r>
      <w:r>
        <w:rPr>
          <w:spacing w:val="-1"/>
          <w:sz w:val="14"/>
          <w:szCs w:val="14"/>
          <w:lang w:val="es-ES_tradnl"/>
        </w:rPr>
        <w:t>imparcial y expedita de sus derechos e intereses, puesto que as</w:t>
      </w:r>
      <w:r>
        <w:rPr>
          <w:rFonts w:cs="Times New Roman"/>
          <w:spacing w:val="-1"/>
          <w:sz w:val="14"/>
          <w:szCs w:val="14"/>
          <w:lang w:val="es-ES_tradnl"/>
        </w:rPr>
        <w:t xml:space="preserve">í </w:t>
      </w:r>
      <w:r>
        <w:rPr>
          <w:sz w:val="14"/>
          <w:szCs w:val="14"/>
          <w:lang w:val="es-ES_tradnl"/>
        </w:rPr>
        <w:t>los jueces ordinarios, cuya labor de manera general radica en la aplicaci</w:t>
      </w:r>
      <w:r>
        <w:rPr>
          <w:rFonts w:cs="Times New Roman"/>
          <w:sz w:val="14"/>
          <w:szCs w:val="14"/>
          <w:lang w:val="es-ES_tradnl"/>
        </w:rPr>
        <w:t>ó</w:t>
      </w:r>
      <w:r>
        <w:rPr>
          <w:sz w:val="14"/>
          <w:szCs w:val="14"/>
          <w:lang w:val="es-ES_tradnl"/>
        </w:rPr>
        <w:t>n del derecho com</w:t>
      </w:r>
      <w:r>
        <w:rPr>
          <w:rFonts w:cs="Times New Roman"/>
          <w:sz w:val="14"/>
          <w:szCs w:val="14"/>
          <w:lang w:val="es-ES_tradnl"/>
        </w:rPr>
        <w:t>ú</w:t>
      </w:r>
      <w:r>
        <w:rPr>
          <w:sz w:val="14"/>
          <w:szCs w:val="14"/>
          <w:lang w:val="es-ES_tradnl"/>
        </w:rPr>
        <w:t>n, tendr</w:t>
      </w:r>
      <w:r>
        <w:rPr>
          <w:rFonts w:cs="Times New Roman"/>
          <w:sz w:val="14"/>
          <w:szCs w:val="14"/>
          <w:lang w:val="es-ES_tradnl"/>
        </w:rPr>
        <w:t>í</w:t>
      </w:r>
      <w:r>
        <w:rPr>
          <w:sz w:val="14"/>
          <w:szCs w:val="14"/>
          <w:lang w:val="es-ES_tradnl"/>
        </w:rPr>
        <w:t>an un control que deviene de jueces constitucionales en el m</w:t>
      </w:r>
      <w:r>
        <w:rPr>
          <w:rFonts w:cs="Times New Roman"/>
          <w:sz w:val="14"/>
          <w:szCs w:val="14"/>
          <w:lang w:val="es-ES_tradnl"/>
        </w:rPr>
        <w:t>á</w:t>
      </w:r>
      <w:r>
        <w:rPr>
          <w:sz w:val="14"/>
          <w:szCs w:val="14"/>
          <w:lang w:val="es-ES_tradnl"/>
        </w:rPr>
        <w:t>s alto nivel, cuya labor se centrar</w:t>
      </w:r>
      <w:r>
        <w:rPr>
          <w:rFonts w:cs="Times New Roman"/>
          <w:sz w:val="14"/>
          <w:szCs w:val="14"/>
          <w:lang w:val="es-ES_tradnl"/>
        </w:rPr>
        <w:t>í</w:t>
      </w:r>
      <w:r>
        <w:rPr>
          <w:sz w:val="14"/>
          <w:szCs w:val="14"/>
          <w:lang w:val="es-ES_tradnl"/>
        </w:rPr>
        <w:t>a a verificar que dichos jueces, en la tramitaci</w:t>
      </w:r>
      <w:r>
        <w:rPr>
          <w:rFonts w:cs="Times New Roman"/>
          <w:sz w:val="14"/>
          <w:szCs w:val="14"/>
          <w:lang w:val="es-ES_tradnl"/>
        </w:rPr>
        <w:t>ó</w:t>
      </w:r>
      <w:r>
        <w:rPr>
          <w:sz w:val="14"/>
          <w:szCs w:val="14"/>
          <w:lang w:val="es-ES_tradnl"/>
        </w:rPr>
        <w:t>n de las causas, hayan observado las normas del debido proceso, la seguridad jur</w:t>
      </w:r>
      <w:r>
        <w:rPr>
          <w:rFonts w:cs="Times New Roman"/>
          <w:sz w:val="14"/>
          <w:szCs w:val="14"/>
          <w:lang w:val="es-ES_tradnl"/>
        </w:rPr>
        <w:t>í</w:t>
      </w:r>
      <w:r>
        <w:rPr>
          <w:sz w:val="14"/>
          <w:szCs w:val="14"/>
          <w:lang w:val="es-ES_tradnl"/>
        </w:rPr>
        <w:t>dica y otros derechos constitucionales, en uso del principio de la supremac</w:t>
      </w:r>
      <w:r>
        <w:rPr>
          <w:rFonts w:cs="Times New Roman"/>
          <w:sz w:val="14"/>
          <w:szCs w:val="14"/>
          <w:lang w:val="es-ES_tradnl"/>
        </w:rPr>
        <w:t>í</w:t>
      </w:r>
      <w:r>
        <w:rPr>
          <w:sz w:val="14"/>
          <w:szCs w:val="14"/>
          <w:lang w:val="es-ES_tradnl"/>
        </w:rPr>
        <w:t>a constitucional (</w:t>
      </w:r>
      <w:r>
        <w:rPr>
          <w:rFonts w:cs="Times New Roman"/>
          <w:sz w:val="14"/>
          <w:szCs w:val="14"/>
          <w:lang w:val="es-ES_tradnl"/>
        </w:rPr>
        <w:t>…</w:t>
      </w:r>
      <w:r>
        <w:rPr>
          <w:sz w:val="14"/>
          <w:szCs w:val="14"/>
          <w:lang w:val="es-ES_tradnl"/>
        </w:rPr>
        <w:t>)</w:t>
      </w:r>
      <w:r>
        <w:rPr>
          <w:sz w:val="14"/>
          <w:szCs w:val="14"/>
          <w:vertAlign w:val="superscript"/>
          <w:lang w:val="es-ES_tradnl"/>
        </w:rPr>
        <w:t>1</w:t>
      </w:r>
      <w:r>
        <w:rPr>
          <w:sz w:val="14"/>
          <w:szCs w:val="14"/>
          <w:lang w:val="es-ES_tradnl"/>
        </w:rPr>
        <w:t>.</w:t>
      </w:r>
    </w:p>
    <w:p w14:paraId="4F67B5F8" w14:textId="77777777" w:rsidR="00591D54" w:rsidRDefault="00591D54">
      <w:pPr>
        <w:shd w:val="clear" w:color="auto" w:fill="FFFFFF"/>
        <w:spacing w:before="422" w:line="178" w:lineRule="exact"/>
        <w:ind w:left="139" w:right="5" w:hanging="139"/>
        <w:jc w:val="both"/>
      </w:pPr>
      <w:r>
        <w:rPr>
          <w:sz w:val="14"/>
          <w:szCs w:val="14"/>
          <w:vertAlign w:val="superscript"/>
          <w:lang w:val="es-ES_tradnl"/>
        </w:rPr>
        <w:t>1</w:t>
      </w:r>
      <w:r>
        <w:rPr>
          <w:sz w:val="14"/>
          <w:szCs w:val="14"/>
          <w:lang w:val="es-ES_tradnl"/>
        </w:rPr>
        <w:t xml:space="preserve"> </w:t>
      </w:r>
      <w:r>
        <w:rPr>
          <w:spacing w:val="-1"/>
          <w:sz w:val="14"/>
          <w:szCs w:val="14"/>
          <w:lang w:val="es-ES_tradnl"/>
        </w:rPr>
        <w:t xml:space="preserve">Sentencia de la Corte Constitucional del Ecuador, para el periodo de </w:t>
      </w:r>
      <w:r>
        <w:rPr>
          <w:spacing w:val="-3"/>
          <w:sz w:val="14"/>
          <w:szCs w:val="14"/>
          <w:lang w:val="es-ES_tradnl"/>
        </w:rPr>
        <w:t>transici</w:t>
      </w:r>
      <w:r>
        <w:rPr>
          <w:rFonts w:cs="Times New Roman"/>
          <w:spacing w:val="-3"/>
          <w:sz w:val="14"/>
          <w:szCs w:val="14"/>
          <w:lang w:val="es-ES_tradnl"/>
        </w:rPr>
        <w:t>ó</w:t>
      </w:r>
      <w:r>
        <w:rPr>
          <w:spacing w:val="-3"/>
          <w:sz w:val="14"/>
          <w:szCs w:val="14"/>
          <w:lang w:val="es-ES_tradnl"/>
        </w:rPr>
        <w:t>n, N.ᵒ 067-10-SEP-CC, caso N.ᵒ 0945-09-EP, publicado en el Registro Oficial Suplemento N.ᵒ 364 de 17 de enero de 2011.</w:t>
      </w:r>
    </w:p>
    <w:p w14:paraId="4F67B5F9" w14:textId="77777777" w:rsidR="00591D54" w:rsidRDefault="00591D54">
      <w:pPr>
        <w:shd w:val="clear" w:color="auto" w:fill="FFFFFF"/>
        <w:spacing w:line="221" w:lineRule="exact"/>
        <w:jc w:val="both"/>
      </w:pPr>
      <w:r>
        <w:br w:type="column"/>
      </w:r>
      <w:r>
        <w:rPr>
          <w:spacing w:val="-4"/>
          <w:sz w:val="18"/>
          <w:szCs w:val="18"/>
          <w:lang w:val="es-ES_tradnl"/>
        </w:rPr>
        <w:t>En este contexto, la acci</w:t>
      </w:r>
      <w:r>
        <w:rPr>
          <w:rFonts w:cs="Times New Roman"/>
          <w:spacing w:val="-4"/>
          <w:sz w:val="18"/>
          <w:szCs w:val="18"/>
          <w:lang w:val="es-ES_tradnl"/>
        </w:rPr>
        <w:t>ó</w:t>
      </w:r>
      <w:r>
        <w:rPr>
          <w:spacing w:val="-4"/>
          <w:sz w:val="18"/>
          <w:szCs w:val="18"/>
          <w:lang w:val="es-ES_tradnl"/>
        </w:rPr>
        <w:t>n extraordinaria de protecci</w:t>
      </w:r>
      <w:r>
        <w:rPr>
          <w:rFonts w:cs="Times New Roman"/>
          <w:spacing w:val="-4"/>
          <w:sz w:val="18"/>
          <w:szCs w:val="18"/>
          <w:lang w:val="es-ES_tradnl"/>
        </w:rPr>
        <w:t>ó</w:t>
      </w:r>
      <w:r>
        <w:rPr>
          <w:spacing w:val="-4"/>
          <w:sz w:val="18"/>
          <w:szCs w:val="18"/>
          <w:lang w:val="es-ES_tradnl"/>
        </w:rPr>
        <w:t xml:space="preserve">n </w:t>
      </w:r>
      <w:r>
        <w:rPr>
          <w:sz w:val="18"/>
          <w:szCs w:val="18"/>
          <w:lang w:val="es-ES_tradnl"/>
        </w:rPr>
        <w:t xml:space="preserve">se origina como un mecanismo de control respecto a </w:t>
      </w:r>
      <w:r>
        <w:rPr>
          <w:spacing w:val="-7"/>
          <w:sz w:val="18"/>
          <w:szCs w:val="18"/>
          <w:lang w:val="es-ES_tradnl"/>
        </w:rPr>
        <w:t xml:space="preserve">la constitucionalidad de las actuaciones de los </w:t>
      </w:r>
      <w:r>
        <w:rPr>
          <w:rFonts w:cs="Times New Roman"/>
          <w:spacing w:val="-7"/>
          <w:sz w:val="18"/>
          <w:szCs w:val="18"/>
          <w:lang w:val="es-ES_tradnl"/>
        </w:rPr>
        <w:t>ó</w:t>
      </w:r>
      <w:r>
        <w:rPr>
          <w:spacing w:val="-7"/>
          <w:sz w:val="18"/>
          <w:szCs w:val="18"/>
          <w:lang w:val="es-ES_tradnl"/>
        </w:rPr>
        <w:t xml:space="preserve">rganos </w:t>
      </w:r>
      <w:r>
        <w:rPr>
          <w:spacing w:val="-2"/>
          <w:sz w:val="18"/>
          <w:szCs w:val="18"/>
          <w:lang w:val="es-ES_tradnl"/>
        </w:rPr>
        <w:t xml:space="preserve">judiciales; en lo que compete al presente caso, a la </w:t>
      </w:r>
      <w:r>
        <w:rPr>
          <w:spacing w:val="-3"/>
          <w:sz w:val="18"/>
          <w:szCs w:val="18"/>
          <w:lang w:val="es-ES_tradnl"/>
        </w:rPr>
        <w:t>actuaci</w:t>
      </w:r>
      <w:r>
        <w:rPr>
          <w:rFonts w:cs="Times New Roman"/>
          <w:spacing w:val="-3"/>
          <w:sz w:val="18"/>
          <w:szCs w:val="18"/>
          <w:lang w:val="es-ES_tradnl"/>
        </w:rPr>
        <w:t>ó</w:t>
      </w:r>
      <w:r>
        <w:rPr>
          <w:spacing w:val="-3"/>
          <w:sz w:val="18"/>
          <w:szCs w:val="18"/>
          <w:lang w:val="es-ES_tradnl"/>
        </w:rPr>
        <w:t xml:space="preserve">n de los miembros del Tribunal Arbitral de la </w:t>
      </w:r>
      <w:r>
        <w:rPr>
          <w:spacing w:val="-6"/>
          <w:sz w:val="18"/>
          <w:szCs w:val="18"/>
          <w:lang w:val="es-ES_tradnl"/>
        </w:rPr>
        <w:t>C</w:t>
      </w:r>
      <w:r>
        <w:rPr>
          <w:rFonts w:cs="Times New Roman"/>
          <w:spacing w:val="-6"/>
          <w:sz w:val="18"/>
          <w:szCs w:val="18"/>
          <w:lang w:val="es-ES_tradnl"/>
        </w:rPr>
        <w:t>á</w:t>
      </w:r>
      <w:r>
        <w:rPr>
          <w:spacing w:val="-6"/>
          <w:sz w:val="18"/>
          <w:szCs w:val="18"/>
          <w:lang w:val="es-ES_tradnl"/>
        </w:rPr>
        <w:t>mara de Comercio de Quito, cuya decisi</w:t>
      </w:r>
      <w:r>
        <w:rPr>
          <w:rFonts w:cs="Times New Roman"/>
          <w:spacing w:val="-6"/>
          <w:sz w:val="18"/>
          <w:szCs w:val="18"/>
          <w:lang w:val="es-ES_tradnl"/>
        </w:rPr>
        <w:t>ó</w:t>
      </w:r>
      <w:r>
        <w:rPr>
          <w:spacing w:val="-6"/>
          <w:sz w:val="18"/>
          <w:szCs w:val="18"/>
          <w:lang w:val="es-ES_tradnl"/>
        </w:rPr>
        <w:t xml:space="preserve">n judicial se </w:t>
      </w:r>
      <w:r>
        <w:rPr>
          <w:spacing w:val="-7"/>
          <w:sz w:val="18"/>
          <w:szCs w:val="18"/>
          <w:lang w:val="es-ES_tradnl"/>
        </w:rPr>
        <w:t xml:space="preserve">impugna, quienes en ejercicio de la potestad jurisdiccional, </w:t>
      </w:r>
      <w:r>
        <w:rPr>
          <w:spacing w:val="-5"/>
          <w:sz w:val="18"/>
          <w:szCs w:val="18"/>
          <w:lang w:val="es-ES_tradnl"/>
        </w:rPr>
        <w:t xml:space="preserve">conferida constitucional y legalmente, administran justicia </w:t>
      </w:r>
      <w:r>
        <w:rPr>
          <w:spacing w:val="-12"/>
          <w:sz w:val="18"/>
          <w:szCs w:val="18"/>
          <w:lang w:val="es-ES_tradnl"/>
        </w:rPr>
        <w:t xml:space="preserve">y por ende, se encuentran llamados a asegurar que el sistema </w:t>
      </w:r>
      <w:r>
        <w:rPr>
          <w:spacing w:val="-6"/>
          <w:sz w:val="18"/>
          <w:szCs w:val="18"/>
          <w:lang w:val="es-ES_tradnl"/>
        </w:rPr>
        <w:t>procesal sea un medio para la realizaci</w:t>
      </w:r>
      <w:r>
        <w:rPr>
          <w:rFonts w:cs="Times New Roman"/>
          <w:spacing w:val="-6"/>
          <w:sz w:val="18"/>
          <w:szCs w:val="18"/>
          <w:lang w:val="es-ES_tradnl"/>
        </w:rPr>
        <w:t>ó</w:t>
      </w:r>
      <w:r>
        <w:rPr>
          <w:spacing w:val="-6"/>
          <w:sz w:val="18"/>
          <w:szCs w:val="18"/>
          <w:lang w:val="es-ES_tradnl"/>
        </w:rPr>
        <w:t xml:space="preserve">n de la justicia y </w:t>
      </w:r>
      <w:r>
        <w:rPr>
          <w:spacing w:val="-8"/>
          <w:sz w:val="18"/>
          <w:szCs w:val="18"/>
          <w:lang w:val="es-ES_tradnl"/>
        </w:rPr>
        <w:t>hacer efectivas las garant</w:t>
      </w:r>
      <w:r>
        <w:rPr>
          <w:rFonts w:cs="Times New Roman"/>
          <w:spacing w:val="-8"/>
          <w:sz w:val="18"/>
          <w:szCs w:val="18"/>
          <w:lang w:val="es-ES_tradnl"/>
        </w:rPr>
        <w:t>í</w:t>
      </w:r>
      <w:r>
        <w:rPr>
          <w:spacing w:val="-8"/>
          <w:sz w:val="18"/>
          <w:szCs w:val="18"/>
          <w:lang w:val="es-ES_tradnl"/>
        </w:rPr>
        <w:t>as del debido proceso.</w:t>
      </w:r>
    </w:p>
    <w:p w14:paraId="4F67B5FA" w14:textId="77777777" w:rsidR="00591D54" w:rsidRDefault="00591D54">
      <w:pPr>
        <w:shd w:val="clear" w:color="auto" w:fill="FFFFFF"/>
        <w:spacing w:before="202" w:line="221" w:lineRule="exact"/>
        <w:jc w:val="both"/>
      </w:pPr>
      <w:r>
        <w:rPr>
          <w:spacing w:val="-7"/>
          <w:sz w:val="18"/>
          <w:szCs w:val="18"/>
          <w:lang w:val="es-ES_tradnl"/>
        </w:rPr>
        <w:t>En tal virtud, la Corte Constitucional como m</w:t>
      </w:r>
      <w:r>
        <w:rPr>
          <w:rFonts w:cs="Times New Roman"/>
          <w:spacing w:val="-7"/>
          <w:sz w:val="18"/>
          <w:szCs w:val="18"/>
          <w:lang w:val="es-ES_tradnl"/>
        </w:rPr>
        <w:t>á</w:t>
      </w:r>
      <w:r>
        <w:rPr>
          <w:spacing w:val="-7"/>
          <w:sz w:val="18"/>
          <w:szCs w:val="18"/>
          <w:lang w:val="es-ES_tradnl"/>
        </w:rPr>
        <w:t xml:space="preserve">ximo </w:t>
      </w:r>
      <w:r>
        <w:rPr>
          <w:rFonts w:cs="Times New Roman"/>
          <w:spacing w:val="-7"/>
          <w:sz w:val="18"/>
          <w:szCs w:val="18"/>
          <w:lang w:val="es-ES_tradnl"/>
        </w:rPr>
        <w:t>ó</w:t>
      </w:r>
      <w:r>
        <w:rPr>
          <w:spacing w:val="-7"/>
          <w:sz w:val="18"/>
          <w:szCs w:val="18"/>
          <w:lang w:val="es-ES_tradnl"/>
        </w:rPr>
        <w:t xml:space="preserve">rgano </w:t>
      </w:r>
      <w:r>
        <w:rPr>
          <w:spacing w:val="-4"/>
          <w:sz w:val="18"/>
          <w:szCs w:val="18"/>
          <w:lang w:val="es-ES_tradnl"/>
        </w:rPr>
        <w:t>de control, interpretaci</w:t>
      </w:r>
      <w:r>
        <w:rPr>
          <w:rFonts w:cs="Times New Roman"/>
          <w:spacing w:val="-4"/>
          <w:sz w:val="18"/>
          <w:szCs w:val="18"/>
          <w:lang w:val="es-ES_tradnl"/>
        </w:rPr>
        <w:t>ó</w:t>
      </w:r>
      <w:r>
        <w:rPr>
          <w:spacing w:val="-4"/>
          <w:sz w:val="18"/>
          <w:szCs w:val="18"/>
          <w:lang w:val="es-ES_tradnl"/>
        </w:rPr>
        <w:t>n y administraci</w:t>
      </w:r>
      <w:r>
        <w:rPr>
          <w:rFonts w:cs="Times New Roman"/>
          <w:spacing w:val="-4"/>
          <w:sz w:val="18"/>
          <w:szCs w:val="18"/>
          <w:lang w:val="es-ES_tradnl"/>
        </w:rPr>
        <w:t>ó</w:t>
      </w:r>
      <w:r>
        <w:rPr>
          <w:spacing w:val="-4"/>
          <w:sz w:val="18"/>
          <w:szCs w:val="18"/>
          <w:lang w:val="es-ES_tradnl"/>
        </w:rPr>
        <w:t xml:space="preserve">n de justicia en </w:t>
      </w:r>
      <w:r>
        <w:rPr>
          <w:spacing w:val="-9"/>
          <w:sz w:val="18"/>
          <w:szCs w:val="18"/>
          <w:lang w:val="es-ES_tradnl"/>
        </w:rPr>
        <w:t>materia constitucional, en raz</w:t>
      </w:r>
      <w:r>
        <w:rPr>
          <w:rFonts w:cs="Times New Roman"/>
          <w:spacing w:val="-9"/>
          <w:sz w:val="18"/>
          <w:szCs w:val="18"/>
          <w:lang w:val="es-ES_tradnl"/>
        </w:rPr>
        <w:t>ó</w:t>
      </w:r>
      <w:r>
        <w:rPr>
          <w:spacing w:val="-9"/>
          <w:sz w:val="18"/>
          <w:szCs w:val="18"/>
          <w:lang w:val="es-ES_tradnl"/>
        </w:rPr>
        <w:t>n de lo prescrito en el art</w:t>
      </w:r>
      <w:r>
        <w:rPr>
          <w:rFonts w:cs="Times New Roman"/>
          <w:spacing w:val="-9"/>
          <w:sz w:val="18"/>
          <w:szCs w:val="18"/>
          <w:lang w:val="es-ES_tradnl"/>
        </w:rPr>
        <w:t>í</w:t>
      </w:r>
      <w:r>
        <w:rPr>
          <w:spacing w:val="-9"/>
          <w:sz w:val="18"/>
          <w:szCs w:val="18"/>
          <w:lang w:val="es-ES_tradnl"/>
        </w:rPr>
        <w:t xml:space="preserve">culo </w:t>
      </w:r>
      <w:r>
        <w:rPr>
          <w:spacing w:val="-4"/>
          <w:sz w:val="18"/>
          <w:szCs w:val="18"/>
          <w:lang w:val="es-ES_tradnl"/>
        </w:rPr>
        <w:t>429 de la Constituci</w:t>
      </w:r>
      <w:r>
        <w:rPr>
          <w:rFonts w:cs="Times New Roman"/>
          <w:spacing w:val="-4"/>
          <w:sz w:val="18"/>
          <w:szCs w:val="18"/>
          <w:lang w:val="es-ES_tradnl"/>
        </w:rPr>
        <w:t>ó</w:t>
      </w:r>
      <w:r>
        <w:rPr>
          <w:spacing w:val="-4"/>
          <w:sz w:val="18"/>
          <w:szCs w:val="18"/>
          <w:lang w:val="es-ES_tradnl"/>
        </w:rPr>
        <w:t>n de la Rep</w:t>
      </w:r>
      <w:r>
        <w:rPr>
          <w:rFonts w:cs="Times New Roman"/>
          <w:spacing w:val="-4"/>
          <w:sz w:val="18"/>
          <w:szCs w:val="18"/>
          <w:lang w:val="es-ES_tradnl"/>
        </w:rPr>
        <w:t>ú</w:t>
      </w:r>
      <w:r>
        <w:rPr>
          <w:spacing w:val="-4"/>
          <w:sz w:val="18"/>
          <w:szCs w:val="18"/>
          <w:lang w:val="es-ES_tradnl"/>
        </w:rPr>
        <w:t>blica, en el tr</w:t>
      </w:r>
      <w:r>
        <w:rPr>
          <w:rFonts w:cs="Times New Roman"/>
          <w:spacing w:val="-4"/>
          <w:sz w:val="18"/>
          <w:szCs w:val="18"/>
          <w:lang w:val="es-ES_tradnl"/>
        </w:rPr>
        <w:t>á</w:t>
      </w:r>
      <w:r>
        <w:rPr>
          <w:spacing w:val="-4"/>
          <w:sz w:val="18"/>
          <w:szCs w:val="18"/>
          <w:lang w:val="es-ES_tradnl"/>
        </w:rPr>
        <w:t xml:space="preserve">mite de </w:t>
      </w:r>
      <w:r>
        <w:rPr>
          <w:spacing w:val="-5"/>
          <w:sz w:val="18"/>
          <w:szCs w:val="18"/>
          <w:lang w:val="es-ES_tradnl"/>
        </w:rPr>
        <w:t>una acci</w:t>
      </w:r>
      <w:r>
        <w:rPr>
          <w:rFonts w:cs="Times New Roman"/>
          <w:spacing w:val="-5"/>
          <w:sz w:val="18"/>
          <w:szCs w:val="18"/>
          <w:lang w:val="es-ES_tradnl"/>
        </w:rPr>
        <w:t>ó</w:t>
      </w:r>
      <w:r>
        <w:rPr>
          <w:spacing w:val="-5"/>
          <w:sz w:val="18"/>
          <w:szCs w:val="18"/>
          <w:lang w:val="es-ES_tradnl"/>
        </w:rPr>
        <w:t>n extraordinaria de protecci</w:t>
      </w:r>
      <w:r>
        <w:rPr>
          <w:rFonts w:cs="Times New Roman"/>
          <w:spacing w:val="-5"/>
          <w:sz w:val="18"/>
          <w:szCs w:val="18"/>
          <w:lang w:val="es-ES_tradnl"/>
        </w:rPr>
        <w:t>ó</w:t>
      </w:r>
      <w:r>
        <w:rPr>
          <w:spacing w:val="-5"/>
          <w:sz w:val="18"/>
          <w:szCs w:val="18"/>
          <w:lang w:val="es-ES_tradnl"/>
        </w:rPr>
        <w:t xml:space="preserve">n, debe constatar </w:t>
      </w:r>
      <w:r>
        <w:rPr>
          <w:spacing w:val="-9"/>
          <w:sz w:val="18"/>
          <w:szCs w:val="18"/>
          <w:lang w:val="es-ES_tradnl"/>
        </w:rPr>
        <w:t xml:space="preserve">que efectivamente, las sentencias, autos y resoluciones con fuerza de sentencia se encuentren firmes o ejecutoriados y </w:t>
      </w:r>
      <w:r>
        <w:rPr>
          <w:spacing w:val="-10"/>
          <w:sz w:val="18"/>
          <w:szCs w:val="18"/>
          <w:lang w:val="es-ES_tradnl"/>
        </w:rPr>
        <w:t>que durante el juzgamiento, no se haya vulnerado por acci</w:t>
      </w:r>
      <w:r>
        <w:rPr>
          <w:rFonts w:cs="Times New Roman"/>
          <w:spacing w:val="-10"/>
          <w:sz w:val="18"/>
          <w:szCs w:val="18"/>
          <w:lang w:val="es-ES_tradnl"/>
        </w:rPr>
        <w:t>ó</w:t>
      </w:r>
      <w:r>
        <w:rPr>
          <w:spacing w:val="-10"/>
          <w:sz w:val="18"/>
          <w:szCs w:val="18"/>
          <w:lang w:val="es-ES_tradnl"/>
        </w:rPr>
        <w:t xml:space="preserve">n </w:t>
      </w:r>
      <w:r>
        <w:rPr>
          <w:spacing w:val="-5"/>
          <w:sz w:val="18"/>
          <w:szCs w:val="18"/>
          <w:lang w:val="es-ES_tradnl"/>
        </w:rPr>
        <w:t>u omisi</w:t>
      </w:r>
      <w:r>
        <w:rPr>
          <w:rFonts w:cs="Times New Roman"/>
          <w:spacing w:val="-5"/>
          <w:sz w:val="18"/>
          <w:szCs w:val="18"/>
          <w:lang w:val="es-ES_tradnl"/>
        </w:rPr>
        <w:t>ó</w:t>
      </w:r>
      <w:r>
        <w:rPr>
          <w:spacing w:val="-5"/>
          <w:sz w:val="18"/>
          <w:szCs w:val="18"/>
          <w:lang w:val="es-ES_tradnl"/>
        </w:rPr>
        <w:t xml:space="preserve">n, el derecho constitucional al debido proceso u </w:t>
      </w:r>
      <w:r>
        <w:rPr>
          <w:spacing w:val="-9"/>
          <w:sz w:val="18"/>
          <w:szCs w:val="18"/>
          <w:lang w:val="es-ES_tradnl"/>
        </w:rPr>
        <w:t>otro derecho consagrado en la Carta Magna.</w:t>
      </w:r>
    </w:p>
    <w:p w14:paraId="4F67B5FB" w14:textId="77777777" w:rsidR="00591D54" w:rsidRDefault="00591D54">
      <w:pPr>
        <w:shd w:val="clear" w:color="auto" w:fill="FFFFFF"/>
        <w:spacing w:before="202" w:line="221" w:lineRule="exact"/>
        <w:jc w:val="both"/>
      </w:pPr>
      <w:r>
        <w:rPr>
          <w:sz w:val="18"/>
          <w:szCs w:val="18"/>
          <w:lang w:val="es-ES_tradnl"/>
        </w:rPr>
        <w:t xml:space="preserve">Finalmente, esta Corte considera oportuno recordar </w:t>
      </w:r>
      <w:r>
        <w:rPr>
          <w:spacing w:val="-5"/>
          <w:sz w:val="18"/>
          <w:szCs w:val="18"/>
          <w:lang w:val="es-ES_tradnl"/>
        </w:rPr>
        <w:t>que la acci</w:t>
      </w:r>
      <w:r>
        <w:rPr>
          <w:rFonts w:cs="Times New Roman"/>
          <w:spacing w:val="-5"/>
          <w:sz w:val="18"/>
          <w:szCs w:val="18"/>
          <w:lang w:val="es-ES_tradnl"/>
        </w:rPr>
        <w:t>ó</w:t>
      </w:r>
      <w:r>
        <w:rPr>
          <w:spacing w:val="-5"/>
          <w:sz w:val="18"/>
          <w:szCs w:val="18"/>
          <w:lang w:val="es-ES_tradnl"/>
        </w:rPr>
        <w:t>n extraordinaria de protecci</w:t>
      </w:r>
      <w:r>
        <w:rPr>
          <w:rFonts w:cs="Times New Roman"/>
          <w:spacing w:val="-5"/>
          <w:sz w:val="18"/>
          <w:szCs w:val="18"/>
          <w:lang w:val="es-ES_tradnl"/>
        </w:rPr>
        <w:t>ó</w:t>
      </w:r>
      <w:r>
        <w:rPr>
          <w:spacing w:val="-5"/>
          <w:sz w:val="18"/>
          <w:szCs w:val="18"/>
          <w:lang w:val="es-ES_tradnl"/>
        </w:rPr>
        <w:t xml:space="preserve">n no es una </w:t>
      </w:r>
      <w:r>
        <w:rPr>
          <w:rFonts w:cs="Times New Roman"/>
          <w:spacing w:val="-6"/>
          <w:sz w:val="18"/>
          <w:szCs w:val="18"/>
          <w:lang w:val="es-ES_tradnl"/>
        </w:rPr>
        <w:t>“</w:t>
      </w:r>
      <w:r>
        <w:rPr>
          <w:spacing w:val="-6"/>
          <w:sz w:val="18"/>
          <w:szCs w:val="18"/>
          <w:lang w:val="es-ES_tradnl"/>
        </w:rPr>
        <w:t>instancia adicional</w:t>
      </w:r>
      <w:r>
        <w:rPr>
          <w:rFonts w:cs="Times New Roman"/>
          <w:spacing w:val="-6"/>
          <w:sz w:val="18"/>
          <w:szCs w:val="18"/>
          <w:lang w:val="es-ES_tradnl"/>
        </w:rPr>
        <w:t>”</w:t>
      </w:r>
      <w:r>
        <w:rPr>
          <w:spacing w:val="-6"/>
          <w:sz w:val="18"/>
          <w:szCs w:val="18"/>
          <w:lang w:val="es-ES_tradnl"/>
        </w:rPr>
        <w:t xml:space="preserve">, es decir, a partir de ella no se puede </w:t>
      </w:r>
      <w:r>
        <w:rPr>
          <w:spacing w:val="-7"/>
          <w:sz w:val="18"/>
          <w:szCs w:val="18"/>
          <w:lang w:val="es-ES_tradnl"/>
        </w:rPr>
        <w:t>pretender el an</w:t>
      </w:r>
      <w:r>
        <w:rPr>
          <w:rFonts w:cs="Times New Roman"/>
          <w:spacing w:val="-7"/>
          <w:sz w:val="18"/>
          <w:szCs w:val="18"/>
          <w:lang w:val="es-ES_tradnl"/>
        </w:rPr>
        <w:t>á</w:t>
      </w:r>
      <w:r>
        <w:rPr>
          <w:spacing w:val="-7"/>
          <w:sz w:val="18"/>
          <w:szCs w:val="18"/>
          <w:lang w:val="es-ES_tradnl"/>
        </w:rPr>
        <w:t xml:space="preserve">lisis de asuntos de mera legalidad propios </w:t>
      </w:r>
      <w:r>
        <w:rPr>
          <w:spacing w:val="-4"/>
          <w:sz w:val="18"/>
          <w:szCs w:val="18"/>
          <w:lang w:val="es-ES_tradnl"/>
        </w:rPr>
        <w:t xml:space="preserve">e inherentes de la justicia ordinaria. En virtud de ello, no </w:t>
      </w:r>
      <w:r>
        <w:rPr>
          <w:spacing w:val="-9"/>
          <w:sz w:val="18"/>
          <w:szCs w:val="18"/>
          <w:lang w:val="es-ES_tradnl"/>
        </w:rPr>
        <w:t>se puede entrar a analizar, menos a</w:t>
      </w:r>
      <w:r>
        <w:rPr>
          <w:rFonts w:cs="Times New Roman"/>
          <w:spacing w:val="-9"/>
          <w:sz w:val="18"/>
          <w:szCs w:val="18"/>
          <w:lang w:val="es-ES_tradnl"/>
        </w:rPr>
        <w:t>ú</w:t>
      </w:r>
      <w:r>
        <w:rPr>
          <w:spacing w:val="-9"/>
          <w:sz w:val="18"/>
          <w:szCs w:val="18"/>
          <w:lang w:val="es-ES_tradnl"/>
        </w:rPr>
        <w:t>n resolver, cuestiones eminentemente legales. El objeto de su an</w:t>
      </w:r>
      <w:r>
        <w:rPr>
          <w:rFonts w:cs="Times New Roman"/>
          <w:spacing w:val="-9"/>
          <w:sz w:val="18"/>
          <w:szCs w:val="18"/>
          <w:lang w:val="es-ES_tradnl"/>
        </w:rPr>
        <w:t>á</w:t>
      </w:r>
      <w:r>
        <w:rPr>
          <w:spacing w:val="-9"/>
          <w:sz w:val="18"/>
          <w:szCs w:val="18"/>
          <w:lang w:val="es-ES_tradnl"/>
        </w:rPr>
        <w:t xml:space="preserve">lisis debe estar </w:t>
      </w:r>
      <w:r>
        <w:rPr>
          <w:spacing w:val="-10"/>
          <w:sz w:val="18"/>
          <w:szCs w:val="18"/>
          <w:lang w:val="es-ES_tradnl"/>
        </w:rPr>
        <w:t>dirigido directamente a la presunta transgresi</w:t>
      </w:r>
      <w:r>
        <w:rPr>
          <w:rFonts w:cs="Times New Roman"/>
          <w:spacing w:val="-10"/>
          <w:sz w:val="18"/>
          <w:szCs w:val="18"/>
          <w:lang w:val="es-ES_tradnl"/>
        </w:rPr>
        <w:t>ó</w:t>
      </w:r>
      <w:r>
        <w:rPr>
          <w:spacing w:val="-10"/>
          <w:sz w:val="18"/>
          <w:szCs w:val="18"/>
          <w:lang w:val="es-ES_tradnl"/>
        </w:rPr>
        <w:t xml:space="preserve">n de derechos constitucionales y normas del debido proceso en el curso de </w:t>
      </w:r>
      <w:r>
        <w:rPr>
          <w:sz w:val="18"/>
          <w:szCs w:val="18"/>
          <w:lang w:val="es-ES_tradnl"/>
        </w:rPr>
        <w:t>la decisi</w:t>
      </w:r>
      <w:r>
        <w:rPr>
          <w:rFonts w:cs="Times New Roman"/>
          <w:sz w:val="18"/>
          <w:szCs w:val="18"/>
          <w:lang w:val="es-ES_tradnl"/>
        </w:rPr>
        <w:t>ó</w:t>
      </w:r>
      <w:r>
        <w:rPr>
          <w:sz w:val="18"/>
          <w:szCs w:val="18"/>
          <w:lang w:val="es-ES_tradnl"/>
        </w:rPr>
        <w:t>n impugnada.</w:t>
      </w:r>
    </w:p>
    <w:p w14:paraId="4F67B5FC" w14:textId="77777777" w:rsidR="00591D54" w:rsidRDefault="00591D54">
      <w:pPr>
        <w:shd w:val="clear" w:color="auto" w:fill="FFFFFF"/>
        <w:spacing w:before="202" w:line="226" w:lineRule="exact"/>
        <w:jc w:val="both"/>
      </w:pPr>
      <w:r>
        <w:rPr>
          <w:b/>
          <w:bCs/>
          <w:spacing w:val="-6"/>
          <w:sz w:val="18"/>
          <w:szCs w:val="18"/>
          <w:lang w:val="es-ES_tradnl"/>
        </w:rPr>
        <w:t>Determinaci</w:t>
      </w:r>
      <w:r>
        <w:rPr>
          <w:rFonts w:cs="Times New Roman"/>
          <w:b/>
          <w:bCs/>
          <w:spacing w:val="-6"/>
          <w:sz w:val="18"/>
          <w:szCs w:val="18"/>
          <w:lang w:val="es-ES_tradnl"/>
        </w:rPr>
        <w:t>ó</w:t>
      </w:r>
      <w:r>
        <w:rPr>
          <w:b/>
          <w:bCs/>
          <w:spacing w:val="-6"/>
          <w:sz w:val="18"/>
          <w:szCs w:val="18"/>
          <w:lang w:val="es-ES_tradnl"/>
        </w:rPr>
        <w:t>n de los problemas jur</w:t>
      </w:r>
      <w:r>
        <w:rPr>
          <w:rFonts w:cs="Times New Roman"/>
          <w:b/>
          <w:bCs/>
          <w:spacing w:val="-6"/>
          <w:sz w:val="18"/>
          <w:szCs w:val="18"/>
          <w:lang w:val="es-ES_tradnl"/>
        </w:rPr>
        <w:t>í</w:t>
      </w:r>
      <w:r>
        <w:rPr>
          <w:b/>
          <w:bCs/>
          <w:spacing w:val="-6"/>
          <w:sz w:val="18"/>
          <w:szCs w:val="18"/>
          <w:lang w:val="es-ES_tradnl"/>
        </w:rPr>
        <w:t xml:space="preserve">dicos para la </w:t>
      </w:r>
      <w:r>
        <w:rPr>
          <w:b/>
          <w:bCs/>
          <w:sz w:val="18"/>
          <w:szCs w:val="18"/>
          <w:lang w:val="es-ES_tradnl"/>
        </w:rPr>
        <w:t>resoluci</w:t>
      </w:r>
      <w:r>
        <w:rPr>
          <w:rFonts w:cs="Times New Roman"/>
          <w:b/>
          <w:bCs/>
          <w:sz w:val="18"/>
          <w:szCs w:val="18"/>
          <w:lang w:val="es-ES_tradnl"/>
        </w:rPr>
        <w:t>ó</w:t>
      </w:r>
      <w:r>
        <w:rPr>
          <w:b/>
          <w:bCs/>
          <w:sz w:val="18"/>
          <w:szCs w:val="18"/>
          <w:lang w:val="es-ES_tradnl"/>
        </w:rPr>
        <w:t>n del caso</w:t>
      </w:r>
    </w:p>
    <w:p w14:paraId="4F67B5FD" w14:textId="77777777" w:rsidR="00591D54" w:rsidRDefault="00591D54">
      <w:pPr>
        <w:shd w:val="clear" w:color="auto" w:fill="FFFFFF"/>
        <w:spacing w:before="202" w:line="221" w:lineRule="exact"/>
        <w:jc w:val="both"/>
      </w:pPr>
      <w:r>
        <w:rPr>
          <w:spacing w:val="-9"/>
          <w:sz w:val="18"/>
          <w:szCs w:val="18"/>
          <w:lang w:val="es-ES_tradnl"/>
        </w:rPr>
        <w:t>Con las consideraciones anotadas y los elementos f</w:t>
      </w:r>
      <w:r>
        <w:rPr>
          <w:rFonts w:cs="Times New Roman"/>
          <w:spacing w:val="-9"/>
          <w:sz w:val="18"/>
          <w:szCs w:val="18"/>
          <w:lang w:val="es-ES_tradnl"/>
        </w:rPr>
        <w:t>á</w:t>
      </w:r>
      <w:r>
        <w:rPr>
          <w:spacing w:val="-9"/>
          <w:sz w:val="18"/>
          <w:szCs w:val="18"/>
          <w:lang w:val="es-ES_tradnl"/>
        </w:rPr>
        <w:t>cticos que se desprenden de la demanda de acci</w:t>
      </w:r>
      <w:r>
        <w:rPr>
          <w:rFonts w:cs="Times New Roman"/>
          <w:spacing w:val="-9"/>
          <w:sz w:val="18"/>
          <w:szCs w:val="18"/>
          <w:lang w:val="es-ES_tradnl"/>
        </w:rPr>
        <w:t>ó</w:t>
      </w:r>
      <w:r>
        <w:rPr>
          <w:spacing w:val="-9"/>
          <w:sz w:val="18"/>
          <w:szCs w:val="18"/>
          <w:lang w:val="es-ES_tradnl"/>
        </w:rPr>
        <w:t xml:space="preserve">n extraordinaria </w:t>
      </w:r>
      <w:r>
        <w:rPr>
          <w:spacing w:val="-5"/>
          <w:sz w:val="18"/>
          <w:szCs w:val="18"/>
          <w:lang w:val="es-ES_tradnl"/>
        </w:rPr>
        <w:t>de protecci</w:t>
      </w:r>
      <w:r>
        <w:rPr>
          <w:rFonts w:cs="Times New Roman"/>
          <w:spacing w:val="-5"/>
          <w:sz w:val="18"/>
          <w:szCs w:val="18"/>
          <w:lang w:val="es-ES_tradnl"/>
        </w:rPr>
        <w:t>ó</w:t>
      </w:r>
      <w:r>
        <w:rPr>
          <w:spacing w:val="-5"/>
          <w:sz w:val="18"/>
          <w:szCs w:val="18"/>
          <w:lang w:val="es-ES_tradnl"/>
        </w:rPr>
        <w:t>n, la Corte Constitucional sistematizar</w:t>
      </w:r>
      <w:r>
        <w:rPr>
          <w:rFonts w:cs="Times New Roman"/>
          <w:spacing w:val="-5"/>
          <w:sz w:val="18"/>
          <w:szCs w:val="18"/>
          <w:lang w:val="es-ES_tradnl"/>
        </w:rPr>
        <w:t>á</w:t>
      </w:r>
      <w:r>
        <w:rPr>
          <w:spacing w:val="-5"/>
          <w:sz w:val="18"/>
          <w:szCs w:val="18"/>
          <w:lang w:val="es-ES_tradnl"/>
        </w:rPr>
        <w:t xml:space="preserve"> el </w:t>
      </w:r>
      <w:r>
        <w:rPr>
          <w:spacing w:val="-4"/>
          <w:sz w:val="18"/>
          <w:szCs w:val="18"/>
          <w:lang w:val="es-ES_tradnl"/>
        </w:rPr>
        <w:t>an</w:t>
      </w:r>
      <w:r>
        <w:rPr>
          <w:rFonts w:cs="Times New Roman"/>
          <w:spacing w:val="-4"/>
          <w:sz w:val="18"/>
          <w:szCs w:val="18"/>
          <w:lang w:val="es-ES_tradnl"/>
        </w:rPr>
        <w:t>á</w:t>
      </w:r>
      <w:r>
        <w:rPr>
          <w:spacing w:val="-4"/>
          <w:sz w:val="18"/>
          <w:szCs w:val="18"/>
          <w:lang w:val="es-ES_tradnl"/>
        </w:rPr>
        <w:t>lisis del caso concreto a partir de la formulaci</w:t>
      </w:r>
      <w:r>
        <w:rPr>
          <w:rFonts w:cs="Times New Roman"/>
          <w:spacing w:val="-4"/>
          <w:sz w:val="18"/>
          <w:szCs w:val="18"/>
          <w:lang w:val="es-ES_tradnl"/>
        </w:rPr>
        <w:t>ó</w:t>
      </w:r>
      <w:r>
        <w:rPr>
          <w:spacing w:val="-4"/>
          <w:sz w:val="18"/>
          <w:szCs w:val="18"/>
          <w:lang w:val="es-ES_tradnl"/>
        </w:rPr>
        <w:t xml:space="preserve">n y </w:t>
      </w:r>
      <w:r>
        <w:rPr>
          <w:spacing w:val="-7"/>
          <w:sz w:val="18"/>
          <w:szCs w:val="18"/>
          <w:lang w:val="es-ES_tradnl"/>
        </w:rPr>
        <w:t>soluci</w:t>
      </w:r>
      <w:r>
        <w:rPr>
          <w:rFonts w:cs="Times New Roman"/>
          <w:spacing w:val="-7"/>
          <w:sz w:val="18"/>
          <w:szCs w:val="18"/>
          <w:lang w:val="es-ES_tradnl"/>
        </w:rPr>
        <w:t>ó</w:t>
      </w:r>
      <w:r>
        <w:rPr>
          <w:spacing w:val="-7"/>
          <w:sz w:val="18"/>
          <w:szCs w:val="18"/>
          <w:lang w:val="es-ES_tradnl"/>
        </w:rPr>
        <w:t>n de los siguientes problemas jur</w:t>
      </w:r>
      <w:r>
        <w:rPr>
          <w:rFonts w:cs="Times New Roman"/>
          <w:spacing w:val="-7"/>
          <w:sz w:val="18"/>
          <w:szCs w:val="18"/>
          <w:lang w:val="es-ES_tradnl"/>
        </w:rPr>
        <w:t>í</w:t>
      </w:r>
      <w:r>
        <w:rPr>
          <w:spacing w:val="-7"/>
          <w:sz w:val="18"/>
          <w:szCs w:val="18"/>
          <w:lang w:val="es-ES_tradnl"/>
        </w:rPr>
        <w:t>dicos:</w:t>
      </w:r>
    </w:p>
    <w:p w14:paraId="4F67B5FE" w14:textId="77777777" w:rsidR="00591D54" w:rsidRDefault="00591D54" w:rsidP="00251195">
      <w:pPr>
        <w:numPr>
          <w:ilvl w:val="0"/>
          <w:numId w:val="104"/>
        </w:numPr>
        <w:shd w:val="clear" w:color="auto" w:fill="FFFFFF"/>
        <w:tabs>
          <w:tab w:val="left" w:pos="566"/>
        </w:tabs>
        <w:spacing w:before="202" w:line="221" w:lineRule="exact"/>
        <w:ind w:left="566" w:hanging="283"/>
        <w:jc w:val="both"/>
        <w:rPr>
          <w:spacing w:val="-9"/>
          <w:sz w:val="18"/>
          <w:szCs w:val="18"/>
          <w:lang w:val="es-ES_tradnl"/>
        </w:rPr>
      </w:pPr>
      <w:r>
        <w:rPr>
          <w:spacing w:val="-5"/>
          <w:sz w:val="18"/>
          <w:szCs w:val="18"/>
          <w:lang w:val="es-ES_tradnl"/>
        </w:rPr>
        <w:t xml:space="preserve">El auto dictado el 5 de agosto de 2011, por los </w:t>
      </w:r>
      <w:r>
        <w:rPr>
          <w:sz w:val="18"/>
          <w:szCs w:val="18"/>
          <w:lang w:val="es-ES_tradnl"/>
        </w:rPr>
        <w:t>miembros del Tribunal Arbitral de la C</w:t>
      </w:r>
      <w:r>
        <w:rPr>
          <w:rFonts w:cs="Times New Roman"/>
          <w:sz w:val="18"/>
          <w:szCs w:val="18"/>
          <w:lang w:val="es-ES_tradnl"/>
        </w:rPr>
        <w:t>á</w:t>
      </w:r>
      <w:r>
        <w:rPr>
          <w:sz w:val="18"/>
          <w:szCs w:val="18"/>
          <w:lang w:val="es-ES_tradnl"/>
        </w:rPr>
        <w:t xml:space="preserve">mara </w:t>
      </w:r>
      <w:r>
        <w:rPr>
          <w:spacing w:val="-5"/>
          <w:sz w:val="18"/>
          <w:szCs w:val="18"/>
          <w:lang w:val="es-ES_tradnl"/>
        </w:rPr>
        <w:t xml:space="preserve">de Comercio de Quito, </w:t>
      </w:r>
      <w:r>
        <w:rPr>
          <w:rFonts w:cs="Times New Roman"/>
          <w:spacing w:val="-5"/>
          <w:sz w:val="18"/>
          <w:szCs w:val="18"/>
          <w:lang w:val="es-ES_tradnl"/>
        </w:rPr>
        <w:t>¿</w:t>
      </w:r>
      <w:r>
        <w:rPr>
          <w:spacing w:val="-5"/>
          <w:sz w:val="18"/>
          <w:szCs w:val="18"/>
          <w:lang w:val="es-ES_tradnl"/>
        </w:rPr>
        <w:t xml:space="preserve">vulnera el derecho </w:t>
      </w:r>
      <w:r>
        <w:rPr>
          <w:spacing w:val="-9"/>
          <w:sz w:val="18"/>
          <w:szCs w:val="18"/>
          <w:lang w:val="es-ES_tradnl"/>
        </w:rPr>
        <w:t>constitucional al debido proceso en la garant</w:t>
      </w:r>
      <w:r>
        <w:rPr>
          <w:rFonts w:cs="Times New Roman"/>
          <w:spacing w:val="-9"/>
          <w:sz w:val="18"/>
          <w:szCs w:val="18"/>
          <w:lang w:val="es-ES_tradnl"/>
        </w:rPr>
        <w:t>í</w:t>
      </w:r>
      <w:r>
        <w:rPr>
          <w:spacing w:val="-9"/>
          <w:sz w:val="18"/>
          <w:szCs w:val="18"/>
          <w:lang w:val="es-ES_tradnl"/>
        </w:rPr>
        <w:t xml:space="preserve">a de la </w:t>
      </w:r>
      <w:r>
        <w:rPr>
          <w:spacing w:val="-6"/>
          <w:sz w:val="18"/>
          <w:szCs w:val="18"/>
          <w:lang w:val="es-ES_tradnl"/>
        </w:rPr>
        <w:t>motivaci</w:t>
      </w:r>
      <w:r>
        <w:rPr>
          <w:rFonts w:cs="Times New Roman"/>
          <w:spacing w:val="-6"/>
          <w:sz w:val="18"/>
          <w:szCs w:val="18"/>
          <w:lang w:val="es-ES_tradnl"/>
        </w:rPr>
        <w:t>ó</w:t>
      </w:r>
      <w:r>
        <w:rPr>
          <w:spacing w:val="-6"/>
          <w:sz w:val="18"/>
          <w:szCs w:val="18"/>
          <w:lang w:val="es-ES_tradnl"/>
        </w:rPr>
        <w:t>n establecido en el art</w:t>
      </w:r>
      <w:r>
        <w:rPr>
          <w:rFonts w:cs="Times New Roman"/>
          <w:spacing w:val="-6"/>
          <w:sz w:val="18"/>
          <w:szCs w:val="18"/>
          <w:lang w:val="es-ES_tradnl"/>
        </w:rPr>
        <w:t>í</w:t>
      </w:r>
      <w:r>
        <w:rPr>
          <w:spacing w:val="-6"/>
          <w:sz w:val="18"/>
          <w:szCs w:val="18"/>
          <w:lang w:val="es-ES_tradnl"/>
        </w:rPr>
        <w:t xml:space="preserve">culo 76 numeral 7 literal </w:t>
      </w:r>
      <w:r>
        <w:rPr>
          <w:b/>
          <w:bCs/>
          <w:spacing w:val="-6"/>
          <w:sz w:val="18"/>
          <w:szCs w:val="18"/>
          <w:lang w:val="es-ES_tradnl"/>
        </w:rPr>
        <w:t xml:space="preserve">l </w:t>
      </w:r>
      <w:r>
        <w:rPr>
          <w:spacing w:val="-6"/>
          <w:sz w:val="18"/>
          <w:szCs w:val="18"/>
          <w:lang w:val="es-ES_tradnl"/>
        </w:rPr>
        <w:t>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w:t>
      </w:r>
    </w:p>
    <w:p w14:paraId="4F67B5FF" w14:textId="77777777" w:rsidR="00591D54" w:rsidRDefault="00591D54" w:rsidP="00251195">
      <w:pPr>
        <w:numPr>
          <w:ilvl w:val="0"/>
          <w:numId w:val="104"/>
        </w:numPr>
        <w:shd w:val="clear" w:color="auto" w:fill="FFFFFF"/>
        <w:tabs>
          <w:tab w:val="left" w:pos="566"/>
        </w:tabs>
        <w:spacing w:before="206" w:line="221" w:lineRule="exact"/>
        <w:ind w:left="566" w:hanging="283"/>
        <w:jc w:val="both"/>
        <w:rPr>
          <w:spacing w:val="-9"/>
          <w:sz w:val="18"/>
          <w:szCs w:val="18"/>
          <w:lang w:val="es-ES_tradnl"/>
        </w:rPr>
      </w:pPr>
      <w:r>
        <w:rPr>
          <w:spacing w:val="-5"/>
          <w:sz w:val="18"/>
          <w:szCs w:val="18"/>
          <w:lang w:val="es-ES_tradnl"/>
        </w:rPr>
        <w:t xml:space="preserve">El auto dictado el 5 de agosto de 2011, por los </w:t>
      </w:r>
      <w:r>
        <w:rPr>
          <w:sz w:val="18"/>
          <w:szCs w:val="18"/>
          <w:lang w:val="es-ES_tradnl"/>
        </w:rPr>
        <w:t>miembros del Tribunal Arbitral de la C</w:t>
      </w:r>
      <w:r>
        <w:rPr>
          <w:rFonts w:cs="Times New Roman"/>
          <w:sz w:val="18"/>
          <w:szCs w:val="18"/>
          <w:lang w:val="es-ES_tradnl"/>
        </w:rPr>
        <w:t>á</w:t>
      </w:r>
      <w:r>
        <w:rPr>
          <w:sz w:val="18"/>
          <w:szCs w:val="18"/>
          <w:lang w:val="es-ES_tradnl"/>
        </w:rPr>
        <w:t xml:space="preserve">mara </w:t>
      </w:r>
      <w:r>
        <w:rPr>
          <w:spacing w:val="-5"/>
          <w:sz w:val="18"/>
          <w:szCs w:val="18"/>
          <w:lang w:val="es-ES_tradnl"/>
        </w:rPr>
        <w:t xml:space="preserve">de Comercio de Quito, </w:t>
      </w:r>
      <w:r>
        <w:rPr>
          <w:rFonts w:cs="Times New Roman"/>
          <w:spacing w:val="-5"/>
          <w:sz w:val="18"/>
          <w:szCs w:val="18"/>
          <w:lang w:val="es-ES_tradnl"/>
        </w:rPr>
        <w:t>¿</w:t>
      </w:r>
      <w:r>
        <w:rPr>
          <w:spacing w:val="-5"/>
          <w:sz w:val="18"/>
          <w:szCs w:val="18"/>
          <w:lang w:val="es-ES_tradnl"/>
        </w:rPr>
        <w:t xml:space="preserve">vulnera el derecho </w:t>
      </w:r>
      <w:r>
        <w:rPr>
          <w:spacing w:val="-8"/>
          <w:sz w:val="18"/>
          <w:szCs w:val="18"/>
          <w:lang w:val="es-ES_tradnl"/>
        </w:rPr>
        <w:t>constitucional a la seguridad jur</w:t>
      </w:r>
      <w:r>
        <w:rPr>
          <w:rFonts w:cs="Times New Roman"/>
          <w:spacing w:val="-8"/>
          <w:sz w:val="18"/>
          <w:szCs w:val="18"/>
          <w:lang w:val="es-ES_tradnl"/>
        </w:rPr>
        <w:t>í</w:t>
      </w:r>
      <w:r>
        <w:rPr>
          <w:spacing w:val="-8"/>
          <w:sz w:val="18"/>
          <w:szCs w:val="18"/>
          <w:lang w:val="es-ES_tradnl"/>
        </w:rPr>
        <w:t xml:space="preserve">dica establecido en </w:t>
      </w:r>
      <w:r>
        <w:rPr>
          <w:spacing w:val="-6"/>
          <w:sz w:val="18"/>
          <w:szCs w:val="18"/>
          <w:lang w:val="es-ES_tradnl"/>
        </w:rPr>
        <w:t>el art</w:t>
      </w:r>
      <w:r>
        <w:rPr>
          <w:rFonts w:cs="Times New Roman"/>
          <w:spacing w:val="-6"/>
          <w:sz w:val="18"/>
          <w:szCs w:val="18"/>
          <w:lang w:val="es-ES_tradnl"/>
        </w:rPr>
        <w:t>í</w:t>
      </w:r>
      <w:r>
        <w:rPr>
          <w:spacing w:val="-6"/>
          <w:sz w:val="18"/>
          <w:szCs w:val="18"/>
          <w:lang w:val="es-ES_tradnl"/>
        </w:rPr>
        <w:t>culo 82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w:t>
      </w:r>
    </w:p>
    <w:p w14:paraId="4F67B600" w14:textId="77777777" w:rsidR="00591D54" w:rsidRDefault="00591D54">
      <w:pPr>
        <w:shd w:val="clear" w:color="auto" w:fill="FFFFFF"/>
        <w:spacing w:before="197" w:line="221" w:lineRule="exact"/>
        <w:jc w:val="both"/>
      </w:pPr>
      <w:r>
        <w:rPr>
          <w:b/>
          <w:bCs/>
          <w:spacing w:val="-7"/>
          <w:sz w:val="18"/>
          <w:szCs w:val="18"/>
          <w:lang w:val="es-ES_tradnl"/>
        </w:rPr>
        <w:t xml:space="preserve">Argumentos de la Corte Constitucional en torno a los </w:t>
      </w:r>
      <w:r>
        <w:rPr>
          <w:b/>
          <w:bCs/>
          <w:sz w:val="18"/>
          <w:szCs w:val="18"/>
          <w:lang w:val="es-ES_tradnl"/>
        </w:rPr>
        <w:t>problemas jur</w:t>
      </w:r>
      <w:r>
        <w:rPr>
          <w:rFonts w:cs="Times New Roman"/>
          <w:b/>
          <w:bCs/>
          <w:sz w:val="18"/>
          <w:szCs w:val="18"/>
          <w:lang w:val="es-ES_tradnl"/>
        </w:rPr>
        <w:t>í</w:t>
      </w:r>
      <w:r>
        <w:rPr>
          <w:b/>
          <w:bCs/>
          <w:sz w:val="18"/>
          <w:szCs w:val="18"/>
          <w:lang w:val="es-ES_tradnl"/>
        </w:rPr>
        <w:t>dicos</w:t>
      </w:r>
    </w:p>
    <w:p w14:paraId="4F67B601" w14:textId="77777777" w:rsidR="00591D54" w:rsidRDefault="00591D54">
      <w:pPr>
        <w:shd w:val="clear" w:color="auto" w:fill="FFFFFF"/>
        <w:spacing w:before="197" w:line="221" w:lineRule="exact"/>
        <w:ind w:left="283" w:hanging="283"/>
      </w:pPr>
      <w:r>
        <w:rPr>
          <w:b/>
          <w:bCs/>
          <w:sz w:val="18"/>
          <w:szCs w:val="18"/>
          <w:lang w:val="es-ES_tradnl"/>
        </w:rPr>
        <w:t xml:space="preserve">1.   El auto dictado el 5 de agosto de 2011, por los </w:t>
      </w:r>
      <w:r>
        <w:rPr>
          <w:b/>
          <w:bCs/>
          <w:spacing w:val="-6"/>
          <w:sz w:val="18"/>
          <w:szCs w:val="18"/>
          <w:lang w:val="es-ES_tradnl"/>
        </w:rPr>
        <w:t>miembros   del  Tribunal  Arbitral   de   la   C</w:t>
      </w:r>
      <w:r>
        <w:rPr>
          <w:rFonts w:cs="Times New Roman"/>
          <w:b/>
          <w:bCs/>
          <w:spacing w:val="-6"/>
          <w:sz w:val="18"/>
          <w:szCs w:val="18"/>
          <w:lang w:val="es-ES_tradnl"/>
        </w:rPr>
        <w:t>á</w:t>
      </w:r>
      <w:r>
        <w:rPr>
          <w:b/>
          <w:bCs/>
          <w:spacing w:val="-6"/>
          <w:sz w:val="18"/>
          <w:szCs w:val="18"/>
          <w:lang w:val="es-ES_tradnl"/>
        </w:rPr>
        <w:t>mara</w:t>
      </w:r>
    </w:p>
    <w:p w14:paraId="4F67B602" w14:textId="77777777" w:rsidR="00591D54" w:rsidRDefault="00591D54">
      <w:pPr>
        <w:shd w:val="clear" w:color="auto" w:fill="FFFFFF"/>
        <w:spacing w:before="197" w:line="221" w:lineRule="exact"/>
        <w:ind w:left="283" w:hanging="283"/>
        <w:sectPr w:rsidR="00591D54">
          <w:type w:val="continuous"/>
          <w:pgSz w:w="11909" w:h="16834"/>
          <w:pgMar w:top="1356" w:right="1309" w:bottom="360" w:left="1308" w:header="720" w:footer="720" w:gutter="0"/>
          <w:cols w:num="2" w:space="720" w:equalWidth="0">
            <w:col w:w="4305" w:space="682"/>
            <w:col w:w="4305"/>
          </w:cols>
          <w:noEndnote/>
        </w:sectPr>
      </w:pPr>
    </w:p>
    <w:p w14:paraId="4F67B603" w14:textId="77777777" w:rsidR="00591D54" w:rsidRDefault="00591D54">
      <w:pPr>
        <w:shd w:val="clear" w:color="auto" w:fill="FFFFFF"/>
        <w:tabs>
          <w:tab w:val="left" w:pos="5842"/>
        </w:tabs>
        <w:spacing w:after="221"/>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- 227</w:t>
      </w:r>
    </w:p>
    <w:p w14:paraId="4F67B604" w14:textId="77777777" w:rsidR="00591D54" w:rsidRDefault="00591D54">
      <w:pPr>
        <w:shd w:val="clear" w:color="auto" w:fill="FFFFFF"/>
        <w:tabs>
          <w:tab w:val="left" w:pos="5842"/>
        </w:tabs>
        <w:spacing w:after="221"/>
        <w:ind w:left="5"/>
        <w:sectPr w:rsidR="00591D54">
          <w:pgSz w:w="11909" w:h="16834"/>
          <w:pgMar w:top="1356" w:right="1309" w:bottom="360" w:left="1308" w:header="720" w:footer="720" w:gutter="0"/>
          <w:cols w:space="60"/>
          <w:noEndnote/>
        </w:sectPr>
      </w:pPr>
    </w:p>
    <w:p w14:paraId="4F67B605" w14:textId="77777777" w:rsidR="00591D54" w:rsidRDefault="00591D54">
      <w:pPr>
        <w:shd w:val="clear" w:color="auto" w:fill="FFFFFF"/>
        <w:spacing w:line="235" w:lineRule="exact"/>
        <w:ind w:left="283"/>
        <w:jc w:val="both"/>
      </w:pPr>
      <w:r>
        <w:rPr>
          <w:b/>
          <w:bCs/>
          <w:spacing w:val="-5"/>
          <w:sz w:val="18"/>
          <w:szCs w:val="18"/>
          <w:lang w:val="es-ES_tradnl"/>
        </w:rPr>
        <w:t xml:space="preserve">de Comercio de Quito, </w:t>
      </w:r>
      <w:r>
        <w:rPr>
          <w:rFonts w:cs="Times New Roman"/>
          <w:b/>
          <w:bCs/>
          <w:spacing w:val="-5"/>
          <w:sz w:val="18"/>
          <w:szCs w:val="18"/>
          <w:lang w:val="es-ES_tradnl"/>
        </w:rPr>
        <w:t>¿</w:t>
      </w:r>
      <w:r>
        <w:rPr>
          <w:b/>
          <w:bCs/>
          <w:spacing w:val="-5"/>
          <w:sz w:val="18"/>
          <w:szCs w:val="18"/>
          <w:lang w:val="es-ES_tradnl"/>
        </w:rPr>
        <w:t xml:space="preserve">vulnera el derecho </w:t>
      </w:r>
      <w:r>
        <w:rPr>
          <w:b/>
          <w:bCs/>
          <w:spacing w:val="-10"/>
          <w:sz w:val="18"/>
          <w:szCs w:val="18"/>
          <w:lang w:val="es-ES_tradnl"/>
        </w:rPr>
        <w:t>constitucional al debido proceso en la garant</w:t>
      </w:r>
      <w:r>
        <w:rPr>
          <w:rFonts w:cs="Times New Roman"/>
          <w:b/>
          <w:bCs/>
          <w:spacing w:val="-10"/>
          <w:sz w:val="18"/>
          <w:szCs w:val="18"/>
          <w:lang w:val="es-ES_tradnl"/>
        </w:rPr>
        <w:t>í</w:t>
      </w:r>
      <w:r>
        <w:rPr>
          <w:b/>
          <w:bCs/>
          <w:spacing w:val="-10"/>
          <w:sz w:val="18"/>
          <w:szCs w:val="18"/>
          <w:lang w:val="es-ES_tradnl"/>
        </w:rPr>
        <w:t xml:space="preserve">a de la </w:t>
      </w:r>
      <w:r>
        <w:rPr>
          <w:b/>
          <w:bCs/>
          <w:spacing w:val="-8"/>
          <w:sz w:val="18"/>
          <w:szCs w:val="18"/>
          <w:lang w:val="es-ES_tradnl"/>
        </w:rPr>
        <w:t>motivaci</w:t>
      </w:r>
      <w:r>
        <w:rPr>
          <w:rFonts w:cs="Times New Roman"/>
          <w:b/>
          <w:bCs/>
          <w:spacing w:val="-8"/>
          <w:sz w:val="18"/>
          <w:szCs w:val="18"/>
          <w:lang w:val="es-ES_tradnl"/>
        </w:rPr>
        <w:t>ó</w:t>
      </w:r>
      <w:r>
        <w:rPr>
          <w:b/>
          <w:bCs/>
          <w:spacing w:val="-8"/>
          <w:sz w:val="18"/>
          <w:szCs w:val="18"/>
          <w:lang w:val="es-ES_tradnl"/>
        </w:rPr>
        <w:t>n establecido en el art</w:t>
      </w:r>
      <w:r>
        <w:rPr>
          <w:rFonts w:cs="Times New Roman"/>
          <w:b/>
          <w:bCs/>
          <w:spacing w:val="-8"/>
          <w:sz w:val="18"/>
          <w:szCs w:val="18"/>
          <w:lang w:val="es-ES_tradnl"/>
        </w:rPr>
        <w:t>í</w:t>
      </w:r>
      <w:r>
        <w:rPr>
          <w:b/>
          <w:bCs/>
          <w:spacing w:val="-8"/>
          <w:sz w:val="18"/>
          <w:szCs w:val="18"/>
          <w:lang w:val="es-ES_tradnl"/>
        </w:rPr>
        <w:t xml:space="preserve">culo 76 numeral 7 </w:t>
      </w:r>
      <w:r>
        <w:rPr>
          <w:b/>
          <w:bCs/>
          <w:spacing w:val="-7"/>
          <w:sz w:val="18"/>
          <w:szCs w:val="18"/>
          <w:lang w:val="es-ES_tradnl"/>
        </w:rPr>
        <w:t>literal l de la Constituci</w:t>
      </w:r>
      <w:r>
        <w:rPr>
          <w:rFonts w:cs="Times New Roman"/>
          <w:b/>
          <w:bCs/>
          <w:spacing w:val="-7"/>
          <w:sz w:val="18"/>
          <w:szCs w:val="18"/>
          <w:lang w:val="es-ES_tradnl"/>
        </w:rPr>
        <w:t>ó</w:t>
      </w:r>
      <w:r>
        <w:rPr>
          <w:b/>
          <w:bCs/>
          <w:spacing w:val="-7"/>
          <w:sz w:val="18"/>
          <w:szCs w:val="18"/>
          <w:lang w:val="es-ES_tradnl"/>
        </w:rPr>
        <w:t>n de la Rep</w:t>
      </w:r>
      <w:r>
        <w:rPr>
          <w:rFonts w:cs="Times New Roman"/>
          <w:b/>
          <w:bCs/>
          <w:spacing w:val="-7"/>
          <w:sz w:val="18"/>
          <w:szCs w:val="18"/>
          <w:lang w:val="es-ES_tradnl"/>
        </w:rPr>
        <w:t>ú</w:t>
      </w:r>
      <w:r>
        <w:rPr>
          <w:b/>
          <w:bCs/>
          <w:spacing w:val="-7"/>
          <w:sz w:val="18"/>
          <w:szCs w:val="18"/>
          <w:lang w:val="es-ES_tradnl"/>
        </w:rPr>
        <w:t>blica?</w:t>
      </w:r>
    </w:p>
    <w:p w14:paraId="4F67B606" w14:textId="77777777" w:rsidR="00591D54" w:rsidRDefault="00591D54">
      <w:pPr>
        <w:shd w:val="clear" w:color="auto" w:fill="FFFFFF"/>
        <w:spacing w:before="206" w:line="235" w:lineRule="exact"/>
        <w:jc w:val="both"/>
      </w:pPr>
      <w:r>
        <w:rPr>
          <w:spacing w:val="-2"/>
          <w:sz w:val="18"/>
          <w:szCs w:val="18"/>
          <w:lang w:val="es-ES_tradnl"/>
        </w:rPr>
        <w:t>Antes de entrar al an</w:t>
      </w:r>
      <w:r>
        <w:rPr>
          <w:rFonts w:cs="Times New Roman"/>
          <w:spacing w:val="-2"/>
          <w:sz w:val="18"/>
          <w:szCs w:val="18"/>
          <w:lang w:val="es-ES_tradnl"/>
        </w:rPr>
        <w:t>á</w:t>
      </w:r>
      <w:r>
        <w:rPr>
          <w:spacing w:val="-2"/>
          <w:sz w:val="18"/>
          <w:szCs w:val="18"/>
          <w:lang w:val="es-ES_tradnl"/>
        </w:rPr>
        <w:t>lisis del problema jur</w:t>
      </w:r>
      <w:r>
        <w:rPr>
          <w:rFonts w:cs="Times New Roman"/>
          <w:spacing w:val="-2"/>
          <w:sz w:val="18"/>
          <w:szCs w:val="18"/>
          <w:lang w:val="es-ES_tradnl"/>
        </w:rPr>
        <w:t>í</w:t>
      </w:r>
      <w:r>
        <w:rPr>
          <w:spacing w:val="-2"/>
          <w:sz w:val="18"/>
          <w:szCs w:val="18"/>
          <w:lang w:val="es-ES_tradnl"/>
        </w:rPr>
        <w:t xml:space="preserve">dico, es </w:t>
      </w:r>
      <w:r>
        <w:rPr>
          <w:spacing w:val="-8"/>
          <w:sz w:val="18"/>
          <w:szCs w:val="18"/>
          <w:lang w:val="es-ES_tradnl"/>
        </w:rPr>
        <w:t xml:space="preserve">necesario estimar algunas consideraciones en cuanto al </w:t>
      </w:r>
      <w:r>
        <w:rPr>
          <w:spacing w:val="-4"/>
          <w:sz w:val="18"/>
          <w:szCs w:val="18"/>
          <w:lang w:val="es-ES_tradnl"/>
        </w:rPr>
        <w:t xml:space="preserve">derecho al debido proceso, tomando en cuenta que la </w:t>
      </w:r>
      <w:r>
        <w:rPr>
          <w:spacing w:val="-8"/>
          <w:sz w:val="18"/>
          <w:szCs w:val="18"/>
          <w:lang w:val="es-ES_tradnl"/>
        </w:rPr>
        <w:t>Corte Constitucional ha establecido que el art</w:t>
      </w:r>
      <w:r>
        <w:rPr>
          <w:rFonts w:cs="Times New Roman"/>
          <w:spacing w:val="-8"/>
          <w:sz w:val="18"/>
          <w:szCs w:val="18"/>
          <w:lang w:val="es-ES_tradnl"/>
        </w:rPr>
        <w:t>í</w:t>
      </w:r>
      <w:r>
        <w:rPr>
          <w:spacing w:val="-8"/>
          <w:sz w:val="18"/>
          <w:szCs w:val="18"/>
          <w:lang w:val="es-ES_tradnl"/>
        </w:rPr>
        <w:t>culo 76 de la Constituci</w:t>
      </w:r>
      <w:r>
        <w:rPr>
          <w:rFonts w:cs="Times New Roman"/>
          <w:spacing w:val="-8"/>
          <w:sz w:val="18"/>
          <w:szCs w:val="18"/>
          <w:lang w:val="es-ES_tradnl"/>
        </w:rPr>
        <w:t>ó</w:t>
      </w:r>
      <w:r>
        <w:rPr>
          <w:spacing w:val="-8"/>
          <w:sz w:val="18"/>
          <w:szCs w:val="18"/>
          <w:lang w:val="es-ES_tradnl"/>
        </w:rPr>
        <w:t>n de la Rep</w:t>
      </w:r>
      <w:r>
        <w:rPr>
          <w:rFonts w:cs="Times New Roman"/>
          <w:spacing w:val="-8"/>
          <w:sz w:val="18"/>
          <w:szCs w:val="18"/>
          <w:lang w:val="es-ES_tradnl"/>
        </w:rPr>
        <w:t>ú</w:t>
      </w:r>
      <w:r>
        <w:rPr>
          <w:spacing w:val="-8"/>
          <w:sz w:val="18"/>
          <w:szCs w:val="18"/>
          <w:lang w:val="es-ES_tradnl"/>
        </w:rPr>
        <w:t>blica, consagra un amplio cat</w:t>
      </w:r>
      <w:r>
        <w:rPr>
          <w:rFonts w:cs="Times New Roman"/>
          <w:spacing w:val="-8"/>
          <w:sz w:val="18"/>
          <w:szCs w:val="18"/>
          <w:lang w:val="es-ES_tradnl"/>
        </w:rPr>
        <w:t>á</w:t>
      </w:r>
      <w:r>
        <w:rPr>
          <w:spacing w:val="-8"/>
          <w:sz w:val="18"/>
          <w:szCs w:val="18"/>
          <w:lang w:val="es-ES_tradnl"/>
        </w:rPr>
        <w:t xml:space="preserve">logo </w:t>
      </w:r>
      <w:r>
        <w:rPr>
          <w:spacing w:val="-4"/>
          <w:sz w:val="18"/>
          <w:szCs w:val="18"/>
          <w:lang w:val="es-ES_tradnl"/>
        </w:rPr>
        <w:t>de garant</w:t>
      </w:r>
      <w:r>
        <w:rPr>
          <w:rFonts w:cs="Times New Roman"/>
          <w:spacing w:val="-4"/>
          <w:sz w:val="18"/>
          <w:szCs w:val="18"/>
          <w:lang w:val="es-ES_tradnl"/>
        </w:rPr>
        <w:t>í</w:t>
      </w:r>
      <w:r>
        <w:rPr>
          <w:spacing w:val="-4"/>
          <w:sz w:val="18"/>
          <w:szCs w:val="18"/>
          <w:lang w:val="es-ES_tradnl"/>
        </w:rPr>
        <w:t xml:space="preserve">as que configuran el mismo, el cual consiste </w:t>
      </w:r>
      <w:r>
        <w:rPr>
          <w:spacing w:val="-5"/>
          <w:sz w:val="18"/>
          <w:szCs w:val="18"/>
          <w:lang w:val="es-ES_tradnl"/>
        </w:rPr>
        <w:t xml:space="preserve">en: </w:t>
      </w:r>
      <w:r>
        <w:rPr>
          <w:rFonts w:cs="Times New Roman"/>
          <w:spacing w:val="-5"/>
          <w:sz w:val="18"/>
          <w:szCs w:val="18"/>
          <w:lang w:val="es-ES_tradnl"/>
        </w:rPr>
        <w:t>“</w:t>
      </w:r>
      <w:r>
        <w:rPr>
          <w:spacing w:val="-5"/>
          <w:sz w:val="18"/>
          <w:szCs w:val="18"/>
          <w:lang w:val="es-ES_tradnl"/>
        </w:rPr>
        <w:t>(</w:t>
      </w:r>
      <w:r>
        <w:rPr>
          <w:rFonts w:cs="Times New Roman"/>
          <w:spacing w:val="-5"/>
          <w:sz w:val="18"/>
          <w:szCs w:val="18"/>
          <w:lang w:val="es-ES_tradnl"/>
        </w:rPr>
        <w:t>…</w:t>
      </w:r>
      <w:r>
        <w:rPr>
          <w:spacing w:val="-5"/>
          <w:sz w:val="18"/>
          <w:szCs w:val="18"/>
          <w:lang w:val="es-ES_tradnl"/>
        </w:rPr>
        <w:t>) un m</w:t>
      </w:r>
      <w:r>
        <w:rPr>
          <w:rFonts w:cs="Times New Roman"/>
          <w:spacing w:val="-5"/>
          <w:sz w:val="18"/>
          <w:szCs w:val="18"/>
          <w:lang w:val="es-ES_tradnl"/>
        </w:rPr>
        <w:t>í</w:t>
      </w:r>
      <w:r>
        <w:rPr>
          <w:spacing w:val="-5"/>
          <w:sz w:val="18"/>
          <w:szCs w:val="18"/>
          <w:lang w:val="es-ES_tradnl"/>
        </w:rPr>
        <w:t xml:space="preserve">nimo de presupuestos y condiciones para </w:t>
      </w:r>
      <w:r>
        <w:rPr>
          <w:spacing w:val="-8"/>
          <w:sz w:val="18"/>
          <w:szCs w:val="18"/>
          <w:lang w:val="es-ES_tradnl"/>
        </w:rPr>
        <w:t xml:space="preserve">tramitar adecuadamente un procedimiento y asegurar </w:t>
      </w:r>
      <w:r>
        <w:rPr>
          <w:spacing w:val="-11"/>
          <w:sz w:val="18"/>
          <w:szCs w:val="18"/>
          <w:lang w:val="es-ES_tradnl"/>
        </w:rPr>
        <w:t>condiciones m</w:t>
      </w:r>
      <w:r>
        <w:rPr>
          <w:rFonts w:cs="Times New Roman"/>
          <w:spacing w:val="-11"/>
          <w:sz w:val="18"/>
          <w:szCs w:val="18"/>
          <w:lang w:val="es-ES_tradnl"/>
        </w:rPr>
        <w:t>í</w:t>
      </w:r>
      <w:r>
        <w:rPr>
          <w:spacing w:val="-11"/>
          <w:sz w:val="18"/>
          <w:szCs w:val="18"/>
          <w:lang w:val="es-ES_tradnl"/>
        </w:rPr>
        <w:t>nimas para la defensa, constituyendo adem</w:t>
      </w:r>
      <w:r>
        <w:rPr>
          <w:rFonts w:cs="Times New Roman"/>
          <w:spacing w:val="-11"/>
          <w:sz w:val="18"/>
          <w:szCs w:val="18"/>
          <w:lang w:val="es-ES_tradnl"/>
        </w:rPr>
        <w:t>á</w:t>
      </w:r>
      <w:r>
        <w:rPr>
          <w:spacing w:val="-11"/>
          <w:sz w:val="18"/>
          <w:szCs w:val="18"/>
          <w:lang w:val="es-ES_tradnl"/>
        </w:rPr>
        <w:t xml:space="preserve">s </w:t>
      </w:r>
      <w:r>
        <w:rPr>
          <w:spacing w:val="-6"/>
          <w:sz w:val="18"/>
          <w:szCs w:val="18"/>
          <w:lang w:val="es-ES_tradnl"/>
        </w:rPr>
        <w:t>una concreta disposici</w:t>
      </w:r>
      <w:r>
        <w:rPr>
          <w:rFonts w:cs="Times New Roman"/>
          <w:spacing w:val="-6"/>
          <w:sz w:val="18"/>
          <w:szCs w:val="18"/>
          <w:lang w:val="es-ES_tradnl"/>
        </w:rPr>
        <w:t>ó</w:t>
      </w:r>
      <w:r>
        <w:rPr>
          <w:spacing w:val="-6"/>
          <w:sz w:val="18"/>
          <w:szCs w:val="18"/>
          <w:lang w:val="es-ES_tradnl"/>
        </w:rPr>
        <w:t xml:space="preserve">n desde el ingreso al proceso y </w:t>
      </w:r>
      <w:r>
        <w:rPr>
          <w:spacing w:val="-4"/>
          <w:sz w:val="18"/>
          <w:szCs w:val="18"/>
          <w:lang w:val="es-ES_tradnl"/>
        </w:rPr>
        <w:t xml:space="preserve">durante el transcurso de toda la instancia, para concluir </w:t>
      </w:r>
      <w:r>
        <w:rPr>
          <w:spacing w:val="-9"/>
          <w:sz w:val="18"/>
          <w:szCs w:val="18"/>
          <w:lang w:val="es-ES_tradnl"/>
        </w:rPr>
        <w:t>con una decisi</w:t>
      </w:r>
      <w:r>
        <w:rPr>
          <w:rFonts w:cs="Times New Roman"/>
          <w:spacing w:val="-9"/>
          <w:sz w:val="18"/>
          <w:szCs w:val="18"/>
          <w:lang w:val="es-ES_tradnl"/>
        </w:rPr>
        <w:t>ó</w:t>
      </w:r>
      <w:r>
        <w:rPr>
          <w:spacing w:val="-9"/>
          <w:sz w:val="18"/>
          <w:szCs w:val="18"/>
          <w:lang w:val="es-ES_tradnl"/>
        </w:rPr>
        <w:t xml:space="preserve">n adecuadamente motivada que encuentre </w:t>
      </w:r>
      <w:r>
        <w:rPr>
          <w:spacing w:val="-5"/>
          <w:sz w:val="18"/>
          <w:szCs w:val="18"/>
          <w:lang w:val="es-ES_tradnl"/>
        </w:rPr>
        <w:t>concreci</w:t>
      </w:r>
      <w:r>
        <w:rPr>
          <w:rFonts w:cs="Times New Roman"/>
          <w:spacing w:val="-5"/>
          <w:sz w:val="18"/>
          <w:szCs w:val="18"/>
          <w:lang w:val="es-ES_tradnl"/>
        </w:rPr>
        <w:t>ó</w:t>
      </w:r>
      <w:r>
        <w:rPr>
          <w:spacing w:val="-5"/>
          <w:sz w:val="18"/>
          <w:szCs w:val="18"/>
          <w:lang w:val="es-ES_tradnl"/>
        </w:rPr>
        <w:t>n en la ejecuci</w:t>
      </w:r>
      <w:r>
        <w:rPr>
          <w:rFonts w:cs="Times New Roman"/>
          <w:spacing w:val="-5"/>
          <w:sz w:val="18"/>
          <w:szCs w:val="18"/>
          <w:lang w:val="es-ES_tradnl"/>
        </w:rPr>
        <w:t>ó</w:t>
      </w:r>
      <w:r>
        <w:rPr>
          <w:spacing w:val="-5"/>
          <w:sz w:val="18"/>
          <w:szCs w:val="18"/>
          <w:lang w:val="es-ES_tradnl"/>
        </w:rPr>
        <w:t>n de lo dispuesto por los jueces</w:t>
      </w:r>
    </w:p>
    <w:p w14:paraId="4F67B607" w14:textId="77777777" w:rsidR="00591D54" w:rsidRDefault="00591D54">
      <w:pPr>
        <w:shd w:val="clear" w:color="auto" w:fill="FFFFFF"/>
      </w:pPr>
      <w:r>
        <w:rPr>
          <w:spacing w:val="-5"/>
          <w:sz w:val="18"/>
          <w:szCs w:val="18"/>
          <w:lang w:val="es-ES_tradnl"/>
        </w:rPr>
        <w:t>(</w:t>
      </w:r>
      <w:r>
        <w:rPr>
          <w:rFonts w:cs="Times New Roman"/>
          <w:spacing w:val="-5"/>
          <w:sz w:val="18"/>
          <w:szCs w:val="18"/>
          <w:lang w:val="es-ES_tradnl"/>
        </w:rPr>
        <w:t>…</w:t>
      </w:r>
      <w:r>
        <w:rPr>
          <w:spacing w:val="-5"/>
          <w:sz w:val="18"/>
          <w:szCs w:val="18"/>
          <w:lang w:val="es-ES_tradnl"/>
        </w:rPr>
        <w:t>)</w:t>
      </w:r>
      <w:r>
        <w:rPr>
          <w:rFonts w:cs="Times New Roman"/>
          <w:spacing w:val="-5"/>
          <w:sz w:val="18"/>
          <w:szCs w:val="18"/>
          <w:lang w:val="es-ES_tradnl"/>
        </w:rPr>
        <w:t>”</w:t>
      </w:r>
      <w:r>
        <w:rPr>
          <w:spacing w:val="-5"/>
          <w:sz w:val="18"/>
          <w:szCs w:val="18"/>
          <w:vertAlign w:val="superscript"/>
          <w:lang w:val="es-ES_tradnl"/>
        </w:rPr>
        <w:t>2</w:t>
      </w:r>
      <w:r>
        <w:rPr>
          <w:spacing w:val="-5"/>
          <w:sz w:val="18"/>
          <w:szCs w:val="18"/>
          <w:lang w:val="es-ES_tradnl"/>
        </w:rPr>
        <w:t xml:space="preserve"> .</w:t>
      </w:r>
    </w:p>
    <w:p w14:paraId="4F67B608" w14:textId="77777777" w:rsidR="00591D54" w:rsidRDefault="00591D54">
      <w:pPr>
        <w:shd w:val="clear" w:color="auto" w:fill="FFFFFF"/>
        <w:spacing w:before="206" w:line="235" w:lineRule="exact"/>
        <w:ind w:right="5"/>
        <w:jc w:val="both"/>
      </w:pPr>
      <w:r>
        <w:rPr>
          <w:spacing w:val="-6"/>
          <w:sz w:val="18"/>
          <w:szCs w:val="18"/>
          <w:lang w:val="es-ES_tradnl"/>
        </w:rPr>
        <w:t>As</w:t>
      </w:r>
      <w:r>
        <w:rPr>
          <w:rFonts w:cs="Times New Roman"/>
          <w:spacing w:val="-6"/>
          <w:sz w:val="18"/>
          <w:szCs w:val="18"/>
          <w:lang w:val="es-ES_tradnl"/>
        </w:rPr>
        <w:t>í</w:t>
      </w:r>
      <w:r>
        <w:rPr>
          <w:spacing w:val="-6"/>
          <w:sz w:val="18"/>
          <w:szCs w:val="18"/>
          <w:lang w:val="es-ES_tradnl"/>
        </w:rPr>
        <w:t xml:space="preserve"> tambi</w:t>
      </w:r>
      <w:r>
        <w:rPr>
          <w:rFonts w:cs="Times New Roman"/>
          <w:spacing w:val="-6"/>
          <w:sz w:val="18"/>
          <w:szCs w:val="18"/>
          <w:lang w:val="es-ES_tradnl"/>
        </w:rPr>
        <w:t>é</w:t>
      </w:r>
      <w:r>
        <w:rPr>
          <w:spacing w:val="-6"/>
          <w:sz w:val="18"/>
          <w:szCs w:val="18"/>
          <w:lang w:val="es-ES_tradnl"/>
        </w:rPr>
        <w:t xml:space="preserve">n, esta Corte ha establecido sobre el referido </w:t>
      </w:r>
      <w:r>
        <w:rPr>
          <w:sz w:val="18"/>
          <w:szCs w:val="18"/>
          <w:lang w:val="es-ES_tradnl"/>
        </w:rPr>
        <w:t>derecho lo siguiente:</w:t>
      </w:r>
    </w:p>
    <w:p w14:paraId="4F67B609" w14:textId="77777777" w:rsidR="00591D54" w:rsidRDefault="00591D54">
      <w:pPr>
        <w:shd w:val="clear" w:color="auto" w:fill="FFFFFF"/>
        <w:spacing w:before="206" w:line="235" w:lineRule="exact"/>
        <w:ind w:left="283" w:right="5"/>
        <w:jc w:val="both"/>
      </w:pPr>
      <w:r>
        <w:rPr>
          <w:sz w:val="14"/>
          <w:szCs w:val="14"/>
          <w:lang w:val="es-ES_tradnl"/>
        </w:rPr>
        <w:t>(</w:t>
      </w:r>
      <w:r>
        <w:rPr>
          <w:rFonts w:cs="Times New Roman"/>
          <w:sz w:val="14"/>
          <w:szCs w:val="14"/>
          <w:lang w:val="es-ES_tradnl"/>
        </w:rPr>
        <w:t>…</w:t>
      </w:r>
      <w:r>
        <w:rPr>
          <w:sz w:val="14"/>
          <w:szCs w:val="14"/>
          <w:lang w:val="es-ES_tradnl"/>
        </w:rPr>
        <w:t>) se convierte en un pilar fundamental para la defensa de los derechos de las personas que intervienen dentro de un juicio; alrededor de este se articulan una serie de principios y garant</w:t>
      </w:r>
      <w:r>
        <w:rPr>
          <w:rFonts w:cs="Times New Roman"/>
          <w:sz w:val="14"/>
          <w:szCs w:val="14"/>
          <w:lang w:val="es-ES_tradnl"/>
        </w:rPr>
        <w:t>í</w:t>
      </w:r>
      <w:r>
        <w:rPr>
          <w:sz w:val="14"/>
          <w:szCs w:val="14"/>
          <w:lang w:val="es-ES_tradnl"/>
        </w:rPr>
        <w:t>as b</w:t>
      </w:r>
      <w:r>
        <w:rPr>
          <w:rFonts w:cs="Times New Roman"/>
          <w:sz w:val="14"/>
          <w:szCs w:val="14"/>
          <w:lang w:val="es-ES_tradnl"/>
        </w:rPr>
        <w:t>á</w:t>
      </w:r>
      <w:r>
        <w:rPr>
          <w:sz w:val="14"/>
          <w:szCs w:val="14"/>
          <w:lang w:val="es-ES_tradnl"/>
        </w:rPr>
        <w:t>sicas que conllevan a una correcta administraci</w:t>
      </w:r>
      <w:r>
        <w:rPr>
          <w:rFonts w:cs="Times New Roman"/>
          <w:sz w:val="14"/>
          <w:szCs w:val="14"/>
          <w:lang w:val="es-ES_tradnl"/>
        </w:rPr>
        <w:t>ó</w:t>
      </w:r>
      <w:r>
        <w:rPr>
          <w:sz w:val="14"/>
          <w:szCs w:val="14"/>
          <w:lang w:val="es-ES_tradnl"/>
        </w:rPr>
        <w:t>n de justicia, conforme se encuentra determinado en el art</w:t>
      </w:r>
      <w:r>
        <w:rPr>
          <w:rFonts w:cs="Times New Roman"/>
          <w:sz w:val="14"/>
          <w:szCs w:val="14"/>
          <w:lang w:val="es-ES_tradnl"/>
        </w:rPr>
        <w:t>í</w:t>
      </w:r>
      <w:r>
        <w:rPr>
          <w:sz w:val="14"/>
          <w:szCs w:val="14"/>
          <w:lang w:val="es-ES_tradnl"/>
        </w:rPr>
        <w:t>culo 76 de la Constituci</w:t>
      </w:r>
      <w:r>
        <w:rPr>
          <w:rFonts w:cs="Times New Roman"/>
          <w:sz w:val="14"/>
          <w:szCs w:val="14"/>
          <w:lang w:val="es-ES_tradnl"/>
        </w:rPr>
        <w:t>ó</w:t>
      </w:r>
      <w:r>
        <w:rPr>
          <w:sz w:val="14"/>
          <w:szCs w:val="14"/>
          <w:lang w:val="es-ES_tradnl"/>
        </w:rPr>
        <w:t>n de la Rep</w:t>
      </w:r>
      <w:r>
        <w:rPr>
          <w:rFonts w:cs="Times New Roman"/>
          <w:sz w:val="14"/>
          <w:szCs w:val="14"/>
          <w:lang w:val="es-ES_tradnl"/>
        </w:rPr>
        <w:t>ú</w:t>
      </w:r>
      <w:r>
        <w:rPr>
          <w:sz w:val="14"/>
          <w:szCs w:val="14"/>
          <w:lang w:val="es-ES_tradnl"/>
        </w:rPr>
        <w:t>blica, que a lo largo de 7 numerales consagra la importancia de este proceso constitucional aplicado a todo proceso judicial (</w:t>
      </w:r>
      <w:r>
        <w:rPr>
          <w:rFonts w:cs="Times New Roman"/>
          <w:sz w:val="14"/>
          <w:szCs w:val="14"/>
          <w:lang w:val="es-ES_tradnl"/>
        </w:rPr>
        <w:t>…</w:t>
      </w:r>
      <w:r>
        <w:rPr>
          <w:sz w:val="14"/>
          <w:szCs w:val="14"/>
          <w:lang w:val="es-ES_tradnl"/>
        </w:rPr>
        <w:t>)</w:t>
      </w:r>
      <w:r>
        <w:rPr>
          <w:sz w:val="14"/>
          <w:szCs w:val="14"/>
          <w:vertAlign w:val="superscript"/>
          <w:lang w:val="es-ES_tradnl"/>
        </w:rPr>
        <w:t>3</w:t>
      </w:r>
      <w:r>
        <w:rPr>
          <w:sz w:val="14"/>
          <w:szCs w:val="14"/>
          <w:lang w:val="es-ES_tradnl"/>
        </w:rPr>
        <w:t>.</w:t>
      </w:r>
    </w:p>
    <w:p w14:paraId="4F67B60A" w14:textId="77777777" w:rsidR="00591D54" w:rsidRDefault="00591D54">
      <w:pPr>
        <w:shd w:val="clear" w:color="auto" w:fill="FFFFFF"/>
        <w:spacing w:before="211" w:line="235" w:lineRule="exact"/>
        <w:jc w:val="both"/>
      </w:pPr>
      <w:r>
        <w:rPr>
          <w:spacing w:val="-8"/>
          <w:sz w:val="18"/>
          <w:szCs w:val="18"/>
          <w:lang w:val="es-ES_tradnl"/>
        </w:rPr>
        <w:t xml:space="preserve">En ese sentido, el debido proceso se muestra como un </w:t>
      </w:r>
      <w:r>
        <w:rPr>
          <w:spacing w:val="-1"/>
          <w:sz w:val="18"/>
          <w:szCs w:val="18"/>
          <w:lang w:val="es-ES_tradnl"/>
        </w:rPr>
        <w:t>conjunto de garant</w:t>
      </w:r>
      <w:r>
        <w:rPr>
          <w:rFonts w:cs="Times New Roman"/>
          <w:spacing w:val="-1"/>
          <w:sz w:val="18"/>
          <w:szCs w:val="18"/>
          <w:lang w:val="es-ES_tradnl"/>
        </w:rPr>
        <w:t>í</w:t>
      </w:r>
      <w:r>
        <w:rPr>
          <w:spacing w:val="-1"/>
          <w:sz w:val="18"/>
          <w:szCs w:val="18"/>
          <w:lang w:val="es-ES_tradnl"/>
        </w:rPr>
        <w:t xml:space="preserve">as con las cuales se pretende que </w:t>
      </w:r>
      <w:r>
        <w:rPr>
          <w:spacing w:val="-6"/>
          <w:sz w:val="18"/>
          <w:szCs w:val="18"/>
          <w:lang w:val="es-ES_tradnl"/>
        </w:rPr>
        <w:t xml:space="preserve">el desarrollo de las actividades en el </w:t>
      </w:r>
      <w:r>
        <w:rPr>
          <w:rFonts w:cs="Times New Roman"/>
          <w:spacing w:val="-6"/>
          <w:sz w:val="18"/>
          <w:szCs w:val="18"/>
          <w:lang w:val="es-ES_tradnl"/>
        </w:rPr>
        <w:t>á</w:t>
      </w:r>
      <w:r>
        <w:rPr>
          <w:spacing w:val="-6"/>
          <w:sz w:val="18"/>
          <w:szCs w:val="18"/>
          <w:lang w:val="es-ES_tradnl"/>
        </w:rPr>
        <w:t xml:space="preserve">mbito judicial o </w:t>
      </w:r>
      <w:r>
        <w:rPr>
          <w:spacing w:val="-2"/>
          <w:sz w:val="18"/>
          <w:szCs w:val="18"/>
          <w:lang w:val="es-ES_tradnl"/>
        </w:rPr>
        <w:t>administrativo, est</w:t>
      </w:r>
      <w:r>
        <w:rPr>
          <w:rFonts w:cs="Times New Roman"/>
          <w:spacing w:val="-2"/>
          <w:sz w:val="18"/>
          <w:szCs w:val="18"/>
          <w:lang w:val="es-ES_tradnl"/>
        </w:rPr>
        <w:t>é</w:t>
      </w:r>
      <w:r>
        <w:rPr>
          <w:spacing w:val="-2"/>
          <w:sz w:val="18"/>
          <w:szCs w:val="18"/>
          <w:lang w:val="es-ES_tradnl"/>
        </w:rPr>
        <w:t xml:space="preserve"> sujeto a reglas m</w:t>
      </w:r>
      <w:r>
        <w:rPr>
          <w:rFonts w:cs="Times New Roman"/>
          <w:spacing w:val="-2"/>
          <w:sz w:val="18"/>
          <w:szCs w:val="18"/>
          <w:lang w:val="es-ES_tradnl"/>
        </w:rPr>
        <w:t>í</w:t>
      </w:r>
      <w:r>
        <w:rPr>
          <w:spacing w:val="-2"/>
          <w:sz w:val="18"/>
          <w:szCs w:val="18"/>
          <w:lang w:val="es-ES_tradnl"/>
        </w:rPr>
        <w:t xml:space="preserve">nimas con el fin </w:t>
      </w:r>
      <w:r>
        <w:rPr>
          <w:spacing w:val="-8"/>
          <w:sz w:val="18"/>
          <w:szCs w:val="18"/>
          <w:lang w:val="es-ES_tradnl"/>
        </w:rPr>
        <w:t xml:space="preserve">de proteger los derechos garantizados por la Norma </w:t>
      </w:r>
      <w:r>
        <w:rPr>
          <w:spacing w:val="-5"/>
          <w:sz w:val="18"/>
          <w:szCs w:val="18"/>
          <w:lang w:val="es-ES_tradnl"/>
        </w:rPr>
        <w:t>Constitucional, constituy</w:t>
      </w:r>
      <w:r>
        <w:rPr>
          <w:rFonts w:cs="Times New Roman"/>
          <w:spacing w:val="-5"/>
          <w:sz w:val="18"/>
          <w:szCs w:val="18"/>
          <w:lang w:val="es-ES_tradnl"/>
        </w:rPr>
        <w:t>é</w:t>
      </w:r>
      <w:r>
        <w:rPr>
          <w:spacing w:val="-5"/>
          <w:sz w:val="18"/>
          <w:szCs w:val="18"/>
          <w:lang w:val="es-ES_tradnl"/>
        </w:rPr>
        <w:t>ndose este en un l</w:t>
      </w:r>
      <w:r>
        <w:rPr>
          <w:rFonts w:cs="Times New Roman"/>
          <w:spacing w:val="-5"/>
          <w:sz w:val="18"/>
          <w:szCs w:val="18"/>
          <w:lang w:val="es-ES_tradnl"/>
        </w:rPr>
        <w:t>í</w:t>
      </w:r>
      <w:r>
        <w:rPr>
          <w:spacing w:val="-5"/>
          <w:sz w:val="18"/>
          <w:szCs w:val="18"/>
          <w:lang w:val="es-ES_tradnl"/>
        </w:rPr>
        <w:t xml:space="preserve">mite a la </w:t>
      </w:r>
      <w:r>
        <w:rPr>
          <w:sz w:val="18"/>
          <w:szCs w:val="18"/>
          <w:lang w:val="es-ES_tradnl"/>
        </w:rPr>
        <w:t>actuaci</w:t>
      </w:r>
      <w:r>
        <w:rPr>
          <w:rFonts w:cs="Times New Roman"/>
          <w:sz w:val="18"/>
          <w:szCs w:val="18"/>
          <w:lang w:val="es-ES_tradnl"/>
        </w:rPr>
        <w:t>ó</w:t>
      </w:r>
      <w:r>
        <w:rPr>
          <w:sz w:val="18"/>
          <w:szCs w:val="18"/>
          <w:lang w:val="es-ES_tradnl"/>
        </w:rPr>
        <w:t>n discrecional de los jueces.</w:t>
      </w:r>
    </w:p>
    <w:p w14:paraId="4F67B60B" w14:textId="77777777" w:rsidR="00591D54" w:rsidRDefault="00591D54">
      <w:pPr>
        <w:shd w:val="clear" w:color="auto" w:fill="FFFFFF"/>
        <w:spacing w:before="206" w:line="230" w:lineRule="exact"/>
        <w:ind w:right="5"/>
        <w:jc w:val="both"/>
      </w:pPr>
      <w:r>
        <w:rPr>
          <w:spacing w:val="-10"/>
          <w:sz w:val="18"/>
          <w:szCs w:val="18"/>
          <w:lang w:val="es-ES_tradnl"/>
        </w:rPr>
        <w:t xml:space="preserve">De esta forma, no es sino aquel proceso que cumple con las </w:t>
      </w:r>
      <w:r>
        <w:rPr>
          <w:spacing w:val="-9"/>
          <w:sz w:val="18"/>
          <w:szCs w:val="18"/>
          <w:lang w:val="es-ES_tradnl"/>
        </w:rPr>
        <w:t>garant</w:t>
      </w:r>
      <w:r>
        <w:rPr>
          <w:rFonts w:cs="Times New Roman"/>
          <w:spacing w:val="-9"/>
          <w:sz w:val="18"/>
          <w:szCs w:val="18"/>
          <w:lang w:val="es-ES_tradnl"/>
        </w:rPr>
        <w:t>í</w:t>
      </w:r>
      <w:r>
        <w:rPr>
          <w:spacing w:val="-9"/>
          <w:sz w:val="18"/>
          <w:szCs w:val="18"/>
          <w:lang w:val="es-ES_tradnl"/>
        </w:rPr>
        <w:t>as b</w:t>
      </w:r>
      <w:r>
        <w:rPr>
          <w:rFonts w:cs="Times New Roman"/>
          <w:spacing w:val="-9"/>
          <w:sz w:val="18"/>
          <w:szCs w:val="18"/>
          <w:lang w:val="es-ES_tradnl"/>
        </w:rPr>
        <w:t>á</w:t>
      </w:r>
      <w:r>
        <w:rPr>
          <w:spacing w:val="-9"/>
          <w:sz w:val="18"/>
          <w:szCs w:val="18"/>
          <w:lang w:val="es-ES_tradnl"/>
        </w:rPr>
        <w:t>sicas establecidas en la Constituci</w:t>
      </w:r>
      <w:r>
        <w:rPr>
          <w:rFonts w:cs="Times New Roman"/>
          <w:spacing w:val="-9"/>
          <w:sz w:val="18"/>
          <w:szCs w:val="18"/>
          <w:lang w:val="es-ES_tradnl"/>
        </w:rPr>
        <w:t>ó</w:t>
      </w:r>
      <w:r>
        <w:rPr>
          <w:spacing w:val="-9"/>
          <w:sz w:val="18"/>
          <w:szCs w:val="18"/>
          <w:lang w:val="es-ES_tradnl"/>
        </w:rPr>
        <w:t xml:space="preserve">n en el cual, </w:t>
      </w:r>
      <w:r>
        <w:rPr>
          <w:spacing w:val="-7"/>
          <w:sz w:val="18"/>
          <w:szCs w:val="18"/>
          <w:lang w:val="es-ES_tradnl"/>
        </w:rPr>
        <w:t xml:space="preserve">las partes procesales ejerzan de forma efectiva el derecho </w:t>
      </w:r>
      <w:r>
        <w:rPr>
          <w:spacing w:val="-5"/>
          <w:sz w:val="18"/>
          <w:szCs w:val="18"/>
          <w:lang w:val="es-ES_tradnl"/>
        </w:rPr>
        <w:t xml:space="preserve">a la defensa dentro de un proceso justo, el que confl uya </w:t>
      </w:r>
      <w:r>
        <w:rPr>
          <w:spacing w:val="-8"/>
          <w:sz w:val="18"/>
          <w:szCs w:val="18"/>
          <w:lang w:val="es-ES_tradnl"/>
        </w:rPr>
        <w:t xml:space="preserve">finalmente en el derecho de las personas a obtener una </w:t>
      </w:r>
      <w:r>
        <w:rPr>
          <w:sz w:val="18"/>
          <w:szCs w:val="18"/>
          <w:lang w:val="es-ES_tradnl"/>
        </w:rPr>
        <w:t>resoluci</w:t>
      </w:r>
      <w:r>
        <w:rPr>
          <w:rFonts w:cs="Times New Roman"/>
          <w:sz w:val="18"/>
          <w:szCs w:val="18"/>
          <w:lang w:val="es-ES_tradnl"/>
        </w:rPr>
        <w:t>ó</w:t>
      </w:r>
      <w:r>
        <w:rPr>
          <w:sz w:val="18"/>
          <w:szCs w:val="18"/>
          <w:lang w:val="es-ES_tradnl"/>
        </w:rPr>
        <w:t>n de fondo, basada en derecho</w:t>
      </w:r>
      <w:r>
        <w:rPr>
          <w:sz w:val="18"/>
          <w:szCs w:val="18"/>
          <w:vertAlign w:val="superscript"/>
          <w:lang w:val="es-ES_tradnl"/>
        </w:rPr>
        <w:t>4</w:t>
      </w:r>
      <w:r>
        <w:rPr>
          <w:sz w:val="18"/>
          <w:szCs w:val="18"/>
          <w:lang w:val="es-ES_tradnl"/>
        </w:rPr>
        <w:t>.</w:t>
      </w:r>
    </w:p>
    <w:p w14:paraId="4F67B60C" w14:textId="77777777" w:rsidR="00591D54" w:rsidRDefault="00591D54">
      <w:pPr>
        <w:shd w:val="clear" w:color="auto" w:fill="FFFFFF"/>
        <w:spacing w:before="202" w:line="235" w:lineRule="exact"/>
        <w:ind w:right="5"/>
        <w:jc w:val="both"/>
      </w:pPr>
      <w:r>
        <w:rPr>
          <w:spacing w:val="-10"/>
          <w:sz w:val="18"/>
          <w:szCs w:val="18"/>
          <w:lang w:val="es-ES_tradnl"/>
        </w:rPr>
        <w:t>Dentro de esta serie de garant</w:t>
      </w:r>
      <w:r>
        <w:rPr>
          <w:rFonts w:cs="Times New Roman"/>
          <w:spacing w:val="-10"/>
          <w:sz w:val="18"/>
          <w:szCs w:val="18"/>
          <w:lang w:val="es-ES_tradnl"/>
        </w:rPr>
        <w:t>í</w:t>
      </w:r>
      <w:r>
        <w:rPr>
          <w:spacing w:val="-10"/>
          <w:sz w:val="18"/>
          <w:szCs w:val="18"/>
          <w:lang w:val="es-ES_tradnl"/>
        </w:rPr>
        <w:t>as, establecidas en el art</w:t>
      </w:r>
      <w:r>
        <w:rPr>
          <w:rFonts w:cs="Times New Roman"/>
          <w:spacing w:val="-10"/>
          <w:sz w:val="18"/>
          <w:szCs w:val="18"/>
          <w:lang w:val="es-ES_tradnl"/>
        </w:rPr>
        <w:t>í</w:t>
      </w:r>
      <w:r>
        <w:rPr>
          <w:spacing w:val="-10"/>
          <w:sz w:val="18"/>
          <w:szCs w:val="18"/>
          <w:lang w:val="es-ES_tradnl"/>
        </w:rPr>
        <w:t xml:space="preserve">culo </w:t>
      </w:r>
      <w:r>
        <w:rPr>
          <w:spacing w:val="-5"/>
          <w:sz w:val="18"/>
          <w:szCs w:val="18"/>
          <w:lang w:val="es-ES_tradnl"/>
        </w:rPr>
        <w:t>76 de la Constituci</w:t>
      </w:r>
      <w:r>
        <w:rPr>
          <w:rFonts w:cs="Times New Roman"/>
          <w:spacing w:val="-5"/>
          <w:sz w:val="18"/>
          <w:szCs w:val="18"/>
          <w:lang w:val="es-ES_tradnl"/>
        </w:rPr>
        <w:t>ó</w:t>
      </w:r>
      <w:r>
        <w:rPr>
          <w:spacing w:val="-5"/>
          <w:sz w:val="18"/>
          <w:szCs w:val="18"/>
          <w:lang w:val="es-ES_tradnl"/>
        </w:rPr>
        <w:t xml:space="preserve">n, las cuales conforman el debido </w:t>
      </w:r>
      <w:r>
        <w:rPr>
          <w:spacing w:val="-6"/>
          <w:sz w:val="18"/>
          <w:szCs w:val="18"/>
          <w:lang w:val="es-ES_tradnl"/>
        </w:rPr>
        <w:t xml:space="preserve">proceso, encontramos en el numeral 7 literal </w:t>
      </w:r>
      <w:r>
        <w:rPr>
          <w:b/>
          <w:bCs/>
          <w:spacing w:val="-6"/>
          <w:sz w:val="18"/>
          <w:szCs w:val="18"/>
          <w:lang w:val="es-ES_tradnl"/>
        </w:rPr>
        <w:t xml:space="preserve">l </w:t>
      </w:r>
      <w:r>
        <w:rPr>
          <w:spacing w:val="-6"/>
          <w:sz w:val="18"/>
          <w:szCs w:val="18"/>
          <w:lang w:val="es-ES_tradnl"/>
        </w:rPr>
        <w:t>el deber de</w:t>
      </w:r>
    </w:p>
    <w:p w14:paraId="4F67B60D" w14:textId="77777777" w:rsidR="00591D54" w:rsidRDefault="00591D54">
      <w:pPr>
        <w:shd w:val="clear" w:color="auto" w:fill="FFFFFF"/>
        <w:tabs>
          <w:tab w:val="left" w:pos="139"/>
        </w:tabs>
        <w:spacing w:before="542" w:line="182" w:lineRule="exact"/>
        <w:ind w:left="139" w:hanging="139"/>
      </w:pPr>
      <w:r>
        <w:rPr>
          <w:sz w:val="10"/>
          <w:szCs w:val="10"/>
          <w:vertAlign w:val="superscript"/>
          <w:lang w:val="es-ES_tradnl"/>
        </w:rPr>
        <w:t>2</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w:t>
      </w:r>
      <w:r>
        <w:rPr>
          <w:sz w:val="18"/>
          <w:szCs w:val="18"/>
          <w:lang w:val="es-ES_tradnl"/>
        </w:rPr>
        <w:t xml:space="preserve"> </w:t>
      </w:r>
      <w:r>
        <w:rPr>
          <w:sz w:val="14"/>
          <w:szCs w:val="14"/>
          <w:lang w:val="es-ES_tradnl"/>
        </w:rPr>
        <w:t>200-12-SEP-CC, caso N.</w:t>
      </w:r>
      <w:r>
        <w:rPr>
          <w:rFonts w:cs="Times New Roman"/>
          <w:sz w:val="14"/>
          <w:szCs w:val="14"/>
          <w:lang w:val="es-ES_tradnl"/>
        </w:rPr>
        <w:t>°</w:t>
      </w:r>
      <w:r>
        <w:rPr>
          <w:sz w:val="14"/>
          <w:szCs w:val="14"/>
          <w:lang w:val="es-ES_tradnl"/>
        </w:rPr>
        <w:t xml:space="preserve"> 0329-12-EP.</w:t>
      </w:r>
    </w:p>
    <w:p w14:paraId="4F67B60E" w14:textId="77777777" w:rsidR="00591D54" w:rsidRDefault="00591D54">
      <w:pPr>
        <w:shd w:val="clear" w:color="auto" w:fill="FFFFFF"/>
        <w:tabs>
          <w:tab w:val="left" w:pos="139"/>
        </w:tabs>
        <w:spacing w:before="154" w:line="182" w:lineRule="exact"/>
        <w:ind w:left="139" w:hanging="139"/>
      </w:pPr>
      <w:r>
        <w:rPr>
          <w:sz w:val="10"/>
          <w:szCs w:val="10"/>
          <w:vertAlign w:val="superscript"/>
          <w:lang w:val="es-ES_tradnl"/>
        </w:rPr>
        <w:t>3</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w:t>
      </w:r>
      <w:r>
        <w:rPr>
          <w:sz w:val="18"/>
          <w:szCs w:val="18"/>
          <w:lang w:val="es-ES_tradnl"/>
        </w:rPr>
        <w:t xml:space="preserve"> </w:t>
      </w:r>
      <w:r>
        <w:rPr>
          <w:sz w:val="14"/>
          <w:szCs w:val="14"/>
          <w:lang w:val="es-ES_tradnl"/>
        </w:rPr>
        <w:t>180-14-SEP-CC, caso N.</w:t>
      </w:r>
      <w:r>
        <w:rPr>
          <w:rFonts w:cs="Times New Roman"/>
          <w:sz w:val="14"/>
          <w:szCs w:val="14"/>
          <w:lang w:val="es-ES_tradnl"/>
        </w:rPr>
        <w:t>°</w:t>
      </w:r>
      <w:r>
        <w:rPr>
          <w:sz w:val="14"/>
          <w:szCs w:val="14"/>
          <w:lang w:val="es-ES_tradnl"/>
        </w:rPr>
        <w:t xml:space="preserve"> 1585-13-EP.</w:t>
      </w:r>
    </w:p>
    <w:p w14:paraId="4F67B60F" w14:textId="77777777" w:rsidR="00591D54" w:rsidRDefault="00591D54">
      <w:pPr>
        <w:shd w:val="clear" w:color="auto" w:fill="FFFFFF"/>
        <w:tabs>
          <w:tab w:val="left" w:pos="139"/>
        </w:tabs>
        <w:spacing w:before="149" w:line="178" w:lineRule="exact"/>
        <w:ind w:left="139" w:hanging="139"/>
      </w:pPr>
      <w:r>
        <w:rPr>
          <w:sz w:val="10"/>
          <w:szCs w:val="10"/>
          <w:vertAlign w:val="superscript"/>
          <w:lang w:val="es-ES_tradnl"/>
        </w:rPr>
        <w:t>4</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para</w:t>
      </w:r>
      <w:r>
        <w:rPr>
          <w:sz w:val="18"/>
          <w:szCs w:val="18"/>
          <w:lang w:val="es-ES_tradnl"/>
        </w:rPr>
        <w:t xml:space="preserve"> </w:t>
      </w:r>
      <w:r>
        <w:rPr>
          <w:sz w:val="14"/>
          <w:szCs w:val="14"/>
          <w:lang w:val="es-ES_tradnl"/>
        </w:rPr>
        <w:t>el</w:t>
      </w:r>
      <w:r>
        <w:rPr>
          <w:sz w:val="18"/>
          <w:szCs w:val="18"/>
          <w:lang w:val="es-ES_tradnl"/>
        </w:rPr>
        <w:t xml:space="preserve"> </w:t>
      </w:r>
      <w:r>
        <w:rPr>
          <w:sz w:val="14"/>
          <w:szCs w:val="14"/>
          <w:lang w:val="es-ES_tradnl"/>
        </w:rPr>
        <w:t>per</w:t>
      </w:r>
      <w:r>
        <w:rPr>
          <w:rFonts w:cs="Times New Roman"/>
          <w:sz w:val="14"/>
          <w:szCs w:val="14"/>
          <w:lang w:val="es-ES_tradnl"/>
        </w:rPr>
        <w:t>í</w:t>
      </w:r>
      <w:r>
        <w:rPr>
          <w:sz w:val="14"/>
          <w:szCs w:val="14"/>
          <w:lang w:val="es-ES_tradnl"/>
        </w:rPr>
        <w:t>odo</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transici</w:t>
      </w:r>
      <w:r>
        <w:rPr>
          <w:rFonts w:cs="Times New Roman"/>
          <w:sz w:val="14"/>
          <w:szCs w:val="14"/>
          <w:lang w:val="es-ES_tradnl"/>
        </w:rPr>
        <w:t>ó</w:t>
      </w:r>
      <w:r>
        <w:rPr>
          <w:sz w:val="14"/>
          <w:szCs w:val="14"/>
          <w:lang w:val="es-ES_tradnl"/>
        </w:rPr>
        <w:t>n, </w:t>
      </w:r>
      <w:r>
        <w:rPr>
          <w:spacing w:val="-2"/>
          <w:sz w:val="14"/>
          <w:szCs w:val="14"/>
          <w:lang w:val="es-ES_tradnl"/>
        </w:rPr>
        <w:t>sentencia N.</w:t>
      </w:r>
      <w:r>
        <w:rPr>
          <w:rFonts w:cs="Times New Roman"/>
          <w:spacing w:val="-2"/>
          <w:sz w:val="14"/>
          <w:szCs w:val="14"/>
          <w:lang w:val="es-ES_tradnl"/>
        </w:rPr>
        <w:t>º</w:t>
      </w:r>
      <w:r>
        <w:rPr>
          <w:spacing w:val="-2"/>
          <w:sz w:val="14"/>
          <w:szCs w:val="14"/>
          <w:lang w:val="es-ES_tradnl"/>
        </w:rPr>
        <w:t xml:space="preserve"> 0034-09-SEP-CC, caso N. </w:t>
      </w:r>
      <w:r>
        <w:rPr>
          <w:rFonts w:cs="Times New Roman"/>
          <w:spacing w:val="-2"/>
          <w:sz w:val="14"/>
          <w:szCs w:val="14"/>
          <w:lang w:val="es-ES_tradnl"/>
        </w:rPr>
        <w:t>º</w:t>
      </w:r>
      <w:r>
        <w:rPr>
          <w:spacing w:val="-2"/>
          <w:sz w:val="14"/>
          <w:szCs w:val="14"/>
          <w:lang w:val="es-ES_tradnl"/>
        </w:rPr>
        <w:t xml:space="preserve"> 0422-09-EP.</w:t>
      </w:r>
    </w:p>
    <w:p w14:paraId="4F67B610" w14:textId="77777777" w:rsidR="00591D54" w:rsidRDefault="00591D54">
      <w:pPr>
        <w:shd w:val="clear" w:color="auto" w:fill="FFFFFF"/>
        <w:spacing w:before="14" w:line="211" w:lineRule="exact"/>
        <w:jc w:val="both"/>
      </w:pPr>
      <w:r>
        <w:br w:type="column"/>
      </w:r>
      <w:r>
        <w:rPr>
          <w:spacing w:val="-9"/>
          <w:sz w:val="18"/>
          <w:szCs w:val="18"/>
          <w:lang w:val="es-ES_tradnl"/>
        </w:rPr>
        <w:t>motivar toda resoluci</w:t>
      </w:r>
      <w:r>
        <w:rPr>
          <w:rFonts w:cs="Times New Roman"/>
          <w:spacing w:val="-9"/>
          <w:sz w:val="18"/>
          <w:szCs w:val="18"/>
          <w:lang w:val="es-ES_tradnl"/>
        </w:rPr>
        <w:t>ó</w:t>
      </w:r>
      <w:r>
        <w:rPr>
          <w:spacing w:val="-9"/>
          <w:sz w:val="18"/>
          <w:szCs w:val="18"/>
          <w:lang w:val="es-ES_tradnl"/>
        </w:rPr>
        <w:t>n que emane de los poderes p</w:t>
      </w:r>
      <w:r>
        <w:rPr>
          <w:rFonts w:cs="Times New Roman"/>
          <w:spacing w:val="-9"/>
          <w:sz w:val="18"/>
          <w:szCs w:val="18"/>
          <w:lang w:val="es-ES_tradnl"/>
        </w:rPr>
        <w:t>ú</w:t>
      </w:r>
      <w:r>
        <w:rPr>
          <w:spacing w:val="-9"/>
          <w:sz w:val="18"/>
          <w:szCs w:val="18"/>
          <w:lang w:val="es-ES_tradnl"/>
        </w:rPr>
        <w:t xml:space="preserve">blicos </w:t>
      </w:r>
      <w:r>
        <w:rPr>
          <w:spacing w:val="-8"/>
          <w:sz w:val="18"/>
          <w:szCs w:val="18"/>
          <w:lang w:val="es-ES_tradnl"/>
        </w:rPr>
        <w:t xml:space="preserve">y en caso de no estar debidamente motivadas dichas </w:t>
      </w:r>
      <w:r>
        <w:rPr>
          <w:sz w:val="18"/>
          <w:szCs w:val="18"/>
          <w:lang w:val="es-ES_tradnl"/>
        </w:rPr>
        <w:t>resoluciones, ser</w:t>
      </w:r>
      <w:r>
        <w:rPr>
          <w:rFonts w:cs="Times New Roman"/>
          <w:sz w:val="18"/>
          <w:szCs w:val="18"/>
          <w:lang w:val="es-ES_tradnl"/>
        </w:rPr>
        <w:t>á</w:t>
      </w:r>
      <w:r>
        <w:rPr>
          <w:sz w:val="18"/>
          <w:szCs w:val="18"/>
          <w:lang w:val="es-ES_tradnl"/>
        </w:rPr>
        <w:t>n consideradas nulas</w:t>
      </w:r>
      <w:r>
        <w:rPr>
          <w:sz w:val="18"/>
          <w:szCs w:val="18"/>
          <w:vertAlign w:val="superscript"/>
          <w:lang w:val="es-ES_tradnl"/>
        </w:rPr>
        <w:t>5</w:t>
      </w:r>
      <w:r>
        <w:rPr>
          <w:sz w:val="18"/>
          <w:szCs w:val="18"/>
          <w:lang w:val="es-ES_tradnl"/>
        </w:rPr>
        <w:t>.</w:t>
      </w:r>
    </w:p>
    <w:p w14:paraId="4F67B611" w14:textId="77777777" w:rsidR="00591D54" w:rsidRDefault="00591D54">
      <w:pPr>
        <w:shd w:val="clear" w:color="auto" w:fill="FFFFFF"/>
        <w:spacing w:before="192" w:line="216" w:lineRule="exact"/>
        <w:jc w:val="both"/>
      </w:pPr>
      <w:r>
        <w:rPr>
          <w:spacing w:val="-3"/>
          <w:sz w:val="18"/>
          <w:szCs w:val="18"/>
          <w:lang w:val="es-ES_tradnl"/>
        </w:rPr>
        <w:t>En armon</w:t>
      </w:r>
      <w:r>
        <w:rPr>
          <w:rFonts w:cs="Times New Roman"/>
          <w:spacing w:val="-3"/>
          <w:sz w:val="18"/>
          <w:szCs w:val="18"/>
          <w:lang w:val="es-ES_tradnl"/>
        </w:rPr>
        <w:t>í</w:t>
      </w:r>
      <w:r>
        <w:rPr>
          <w:spacing w:val="-3"/>
          <w:sz w:val="18"/>
          <w:szCs w:val="18"/>
          <w:lang w:val="es-ES_tradnl"/>
        </w:rPr>
        <w:t xml:space="preserve">a con la Norma Constitucional </w:t>
      </w:r>
      <w:r>
        <w:rPr>
          <w:i/>
          <w:iCs/>
          <w:spacing w:val="-3"/>
          <w:sz w:val="18"/>
          <w:szCs w:val="18"/>
          <w:lang w:val="es-ES_tradnl"/>
        </w:rPr>
        <w:t>ut supra</w:t>
      </w:r>
      <w:r>
        <w:rPr>
          <w:spacing w:val="-3"/>
          <w:sz w:val="18"/>
          <w:szCs w:val="18"/>
          <w:lang w:val="es-ES_tradnl"/>
        </w:rPr>
        <w:t xml:space="preserve">, el </w:t>
      </w:r>
      <w:r>
        <w:rPr>
          <w:spacing w:val="-10"/>
          <w:sz w:val="18"/>
          <w:szCs w:val="18"/>
          <w:lang w:val="es-ES_tradnl"/>
        </w:rPr>
        <w:t>art</w:t>
      </w:r>
      <w:r>
        <w:rPr>
          <w:rFonts w:cs="Times New Roman"/>
          <w:spacing w:val="-10"/>
          <w:sz w:val="18"/>
          <w:szCs w:val="18"/>
          <w:lang w:val="es-ES_tradnl"/>
        </w:rPr>
        <w:t>í</w:t>
      </w:r>
      <w:r>
        <w:rPr>
          <w:spacing w:val="-10"/>
          <w:sz w:val="18"/>
          <w:szCs w:val="18"/>
          <w:lang w:val="es-ES_tradnl"/>
        </w:rPr>
        <w:t>culo 4 numerales 9 y 10 de la Ley Org</w:t>
      </w:r>
      <w:r>
        <w:rPr>
          <w:rFonts w:cs="Times New Roman"/>
          <w:spacing w:val="-10"/>
          <w:sz w:val="18"/>
          <w:szCs w:val="18"/>
          <w:lang w:val="es-ES_tradnl"/>
        </w:rPr>
        <w:t>á</w:t>
      </w:r>
      <w:r>
        <w:rPr>
          <w:spacing w:val="-10"/>
          <w:sz w:val="18"/>
          <w:szCs w:val="18"/>
          <w:lang w:val="es-ES_tradnl"/>
        </w:rPr>
        <w:t>nica de Garant</w:t>
      </w:r>
      <w:r>
        <w:rPr>
          <w:rFonts w:cs="Times New Roman"/>
          <w:spacing w:val="-10"/>
          <w:sz w:val="18"/>
          <w:szCs w:val="18"/>
          <w:lang w:val="es-ES_tradnl"/>
        </w:rPr>
        <w:t>í</w:t>
      </w:r>
      <w:r>
        <w:rPr>
          <w:spacing w:val="-10"/>
          <w:sz w:val="18"/>
          <w:szCs w:val="18"/>
          <w:lang w:val="es-ES_tradnl"/>
        </w:rPr>
        <w:t xml:space="preserve">as </w:t>
      </w:r>
      <w:r>
        <w:rPr>
          <w:spacing w:val="-3"/>
          <w:sz w:val="18"/>
          <w:szCs w:val="18"/>
          <w:lang w:val="es-ES_tradnl"/>
        </w:rPr>
        <w:t xml:space="preserve">Jurisdiccionales y Control Constitucional determina que </w:t>
      </w:r>
      <w:r>
        <w:rPr>
          <w:spacing w:val="-6"/>
          <w:sz w:val="18"/>
          <w:szCs w:val="18"/>
          <w:lang w:val="es-ES_tradnl"/>
        </w:rPr>
        <w:t xml:space="preserve">la justicia constitucional se fundamenta en los siguientes </w:t>
      </w:r>
      <w:r>
        <w:rPr>
          <w:sz w:val="18"/>
          <w:szCs w:val="18"/>
          <w:lang w:val="es-ES_tradnl"/>
        </w:rPr>
        <w:t>principios:</w:t>
      </w:r>
    </w:p>
    <w:p w14:paraId="4F67B612" w14:textId="77777777" w:rsidR="00591D54" w:rsidRDefault="00591D54">
      <w:pPr>
        <w:shd w:val="clear" w:color="auto" w:fill="FFFFFF"/>
        <w:spacing w:before="202" w:line="216" w:lineRule="exact"/>
        <w:ind w:left="283"/>
        <w:jc w:val="both"/>
      </w:pPr>
      <w:r>
        <w:rPr>
          <w:sz w:val="14"/>
          <w:szCs w:val="14"/>
          <w:lang w:val="es-ES_tradnl"/>
        </w:rPr>
        <w:t>Art. 4.- (</w:t>
      </w:r>
      <w:r>
        <w:rPr>
          <w:rFonts w:cs="Times New Roman"/>
          <w:sz w:val="14"/>
          <w:szCs w:val="14"/>
          <w:lang w:val="es-ES_tradnl"/>
        </w:rPr>
        <w:t>…</w:t>
      </w:r>
      <w:r>
        <w:rPr>
          <w:sz w:val="14"/>
          <w:szCs w:val="14"/>
          <w:lang w:val="es-ES_tradnl"/>
        </w:rPr>
        <w:t>) 9. Motivaci</w:t>
      </w:r>
      <w:r>
        <w:rPr>
          <w:rFonts w:cs="Times New Roman"/>
          <w:sz w:val="14"/>
          <w:szCs w:val="14"/>
          <w:lang w:val="es-ES_tradnl"/>
        </w:rPr>
        <w:t>ó</w:t>
      </w:r>
      <w:r>
        <w:rPr>
          <w:sz w:val="14"/>
          <w:szCs w:val="14"/>
          <w:lang w:val="es-ES_tradnl"/>
        </w:rPr>
        <w:t>n.- La jueza o juez tiene la obligaci</w:t>
      </w:r>
      <w:r>
        <w:rPr>
          <w:rFonts w:cs="Times New Roman"/>
          <w:sz w:val="14"/>
          <w:szCs w:val="14"/>
          <w:lang w:val="es-ES_tradnl"/>
        </w:rPr>
        <w:t>ó</w:t>
      </w:r>
      <w:r>
        <w:rPr>
          <w:sz w:val="14"/>
          <w:szCs w:val="14"/>
          <w:lang w:val="es-ES_tradnl"/>
        </w:rPr>
        <w:t>n de fundamentar adecuadamente sus decisiones a partir de las reglas y principios que rigen la argumentaci</w:t>
      </w:r>
      <w:r>
        <w:rPr>
          <w:rFonts w:cs="Times New Roman"/>
          <w:sz w:val="14"/>
          <w:szCs w:val="14"/>
          <w:lang w:val="es-ES_tradnl"/>
        </w:rPr>
        <w:t>ó</w:t>
      </w:r>
      <w:r>
        <w:rPr>
          <w:sz w:val="14"/>
          <w:szCs w:val="14"/>
          <w:lang w:val="es-ES_tradnl"/>
        </w:rPr>
        <w:t>n jur</w:t>
      </w:r>
      <w:r>
        <w:rPr>
          <w:rFonts w:cs="Times New Roman"/>
          <w:sz w:val="14"/>
          <w:szCs w:val="14"/>
          <w:lang w:val="es-ES_tradnl"/>
        </w:rPr>
        <w:t>í</w:t>
      </w:r>
      <w:r>
        <w:rPr>
          <w:sz w:val="14"/>
          <w:szCs w:val="14"/>
          <w:lang w:val="es-ES_tradnl"/>
        </w:rPr>
        <w:t>dica. En particular, tiene la obligaci</w:t>
      </w:r>
      <w:r>
        <w:rPr>
          <w:rFonts w:cs="Times New Roman"/>
          <w:sz w:val="14"/>
          <w:szCs w:val="14"/>
          <w:lang w:val="es-ES_tradnl"/>
        </w:rPr>
        <w:t>ó</w:t>
      </w:r>
      <w:r>
        <w:rPr>
          <w:sz w:val="14"/>
          <w:szCs w:val="14"/>
          <w:lang w:val="es-ES_tradnl"/>
        </w:rPr>
        <w:t>n de pronunciarse sobre los argumentos y razones relevantes expuestas durante el proceso por las partes y los dem</w:t>
      </w:r>
      <w:r>
        <w:rPr>
          <w:rFonts w:cs="Times New Roman"/>
          <w:sz w:val="14"/>
          <w:szCs w:val="14"/>
          <w:lang w:val="es-ES_tradnl"/>
        </w:rPr>
        <w:t>á</w:t>
      </w:r>
      <w:r>
        <w:rPr>
          <w:sz w:val="14"/>
          <w:szCs w:val="14"/>
          <w:lang w:val="es-ES_tradnl"/>
        </w:rPr>
        <w:t>s intervinientes en el proceso. 10. Comprensi</w:t>
      </w:r>
      <w:r>
        <w:rPr>
          <w:rFonts w:cs="Times New Roman"/>
          <w:sz w:val="14"/>
          <w:szCs w:val="14"/>
          <w:lang w:val="es-ES_tradnl"/>
        </w:rPr>
        <w:t>ó</w:t>
      </w:r>
      <w:r>
        <w:rPr>
          <w:sz w:val="14"/>
          <w:szCs w:val="14"/>
          <w:lang w:val="es-ES_tradnl"/>
        </w:rPr>
        <w:t>n efectiva.- Con la finalidad de acercar la comprensi</w:t>
      </w:r>
      <w:r>
        <w:rPr>
          <w:rFonts w:cs="Times New Roman"/>
          <w:sz w:val="14"/>
          <w:szCs w:val="14"/>
          <w:lang w:val="es-ES_tradnl"/>
        </w:rPr>
        <w:t>ó</w:t>
      </w:r>
      <w:r>
        <w:rPr>
          <w:sz w:val="14"/>
          <w:szCs w:val="14"/>
          <w:lang w:val="es-ES_tradnl"/>
        </w:rPr>
        <w:t>n efectiva de sus resoluciones a la ciudadan</w:t>
      </w:r>
      <w:r>
        <w:rPr>
          <w:rFonts w:cs="Times New Roman"/>
          <w:sz w:val="14"/>
          <w:szCs w:val="14"/>
          <w:lang w:val="es-ES_tradnl"/>
        </w:rPr>
        <w:t>í</w:t>
      </w:r>
      <w:r>
        <w:rPr>
          <w:sz w:val="14"/>
          <w:szCs w:val="14"/>
          <w:lang w:val="es-ES_tradnl"/>
        </w:rPr>
        <w:t>a, la jueza o juez deber</w:t>
      </w:r>
      <w:r>
        <w:rPr>
          <w:rFonts w:cs="Times New Roman"/>
          <w:sz w:val="14"/>
          <w:szCs w:val="14"/>
          <w:lang w:val="es-ES_tradnl"/>
        </w:rPr>
        <w:t>á</w:t>
      </w:r>
      <w:r>
        <w:rPr>
          <w:sz w:val="14"/>
          <w:szCs w:val="14"/>
          <w:lang w:val="es-ES_tradnl"/>
        </w:rPr>
        <w:t xml:space="preserve"> redactar sus sentencias de forma clara, concreta, inteligible, asequible y sint</w:t>
      </w:r>
      <w:r>
        <w:rPr>
          <w:rFonts w:cs="Times New Roman"/>
          <w:sz w:val="14"/>
          <w:szCs w:val="14"/>
          <w:lang w:val="es-ES_tradnl"/>
        </w:rPr>
        <w:t>é</w:t>
      </w:r>
      <w:r>
        <w:rPr>
          <w:sz w:val="14"/>
          <w:szCs w:val="14"/>
          <w:lang w:val="es-ES_tradnl"/>
        </w:rPr>
        <w:t>tica, incluyendo las cuestiones de hecho y derecho planteadas y el razonamiento seguido para tomar la decisi</w:t>
      </w:r>
      <w:r>
        <w:rPr>
          <w:rFonts w:cs="Times New Roman"/>
          <w:sz w:val="14"/>
          <w:szCs w:val="14"/>
          <w:lang w:val="es-ES_tradnl"/>
        </w:rPr>
        <w:t>ó</w:t>
      </w:r>
      <w:r>
        <w:rPr>
          <w:sz w:val="14"/>
          <w:szCs w:val="14"/>
          <w:lang w:val="es-ES_tradnl"/>
        </w:rPr>
        <w:t>n que adopte (</w:t>
      </w:r>
      <w:r>
        <w:rPr>
          <w:rFonts w:cs="Times New Roman"/>
          <w:sz w:val="14"/>
          <w:szCs w:val="14"/>
          <w:lang w:val="es-ES_tradnl"/>
        </w:rPr>
        <w:t>…</w:t>
      </w:r>
      <w:r>
        <w:rPr>
          <w:sz w:val="14"/>
          <w:szCs w:val="14"/>
          <w:lang w:val="es-ES_tradnl"/>
        </w:rPr>
        <w:t>).</w:t>
      </w:r>
    </w:p>
    <w:p w14:paraId="4F67B613" w14:textId="77777777" w:rsidR="00591D54" w:rsidRDefault="00591D54">
      <w:pPr>
        <w:shd w:val="clear" w:color="auto" w:fill="FFFFFF"/>
        <w:spacing w:before="197" w:line="216" w:lineRule="exact"/>
        <w:jc w:val="both"/>
      </w:pPr>
      <w:r>
        <w:rPr>
          <w:sz w:val="18"/>
          <w:szCs w:val="18"/>
          <w:lang w:val="es-ES_tradnl"/>
        </w:rPr>
        <w:t>En aquel sentido, se colige que la motivaci</w:t>
      </w:r>
      <w:r>
        <w:rPr>
          <w:rFonts w:cs="Times New Roman"/>
          <w:sz w:val="18"/>
          <w:szCs w:val="18"/>
          <w:lang w:val="es-ES_tradnl"/>
        </w:rPr>
        <w:t>ó</w:t>
      </w:r>
      <w:r>
        <w:rPr>
          <w:sz w:val="18"/>
          <w:szCs w:val="18"/>
          <w:lang w:val="es-ES_tradnl"/>
        </w:rPr>
        <w:t xml:space="preserve">n implica </w:t>
      </w:r>
      <w:r>
        <w:rPr>
          <w:spacing w:val="-7"/>
          <w:sz w:val="18"/>
          <w:szCs w:val="18"/>
          <w:lang w:val="es-ES_tradnl"/>
        </w:rPr>
        <w:t>la explicaci</w:t>
      </w:r>
      <w:r>
        <w:rPr>
          <w:rFonts w:cs="Times New Roman"/>
          <w:spacing w:val="-7"/>
          <w:sz w:val="18"/>
          <w:szCs w:val="18"/>
          <w:lang w:val="es-ES_tradnl"/>
        </w:rPr>
        <w:t>ó</w:t>
      </w:r>
      <w:r>
        <w:rPr>
          <w:spacing w:val="-7"/>
          <w:sz w:val="18"/>
          <w:szCs w:val="18"/>
          <w:lang w:val="es-ES_tradnl"/>
        </w:rPr>
        <w:t xml:space="preserve">n ordenada de las razones que llevan a la </w:t>
      </w:r>
      <w:r>
        <w:rPr>
          <w:sz w:val="18"/>
          <w:szCs w:val="18"/>
          <w:lang w:val="es-ES_tradnl"/>
        </w:rPr>
        <w:t>autoridad judicial a emitir una decisi</w:t>
      </w:r>
      <w:r>
        <w:rPr>
          <w:rFonts w:cs="Times New Roman"/>
          <w:sz w:val="18"/>
          <w:szCs w:val="18"/>
          <w:lang w:val="es-ES_tradnl"/>
        </w:rPr>
        <w:t>ó</w:t>
      </w:r>
      <w:r>
        <w:rPr>
          <w:sz w:val="18"/>
          <w:szCs w:val="18"/>
          <w:lang w:val="es-ES_tradnl"/>
        </w:rPr>
        <w:t>n. Por tal raz</w:t>
      </w:r>
      <w:r>
        <w:rPr>
          <w:rFonts w:cs="Times New Roman"/>
          <w:sz w:val="18"/>
          <w:szCs w:val="18"/>
          <w:lang w:val="es-ES_tradnl"/>
        </w:rPr>
        <w:t>ó</w:t>
      </w:r>
      <w:r>
        <w:rPr>
          <w:sz w:val="18"/>
          <w:szCs w:val="18"/>
          <w:lang w:val="es-ES_tradnl"/>
        </w:rPr>
        <w:t xml:space="preserve">n, </w:t>
      </w:r>
      <w:r>
        <w:rPr>
          <w:spacing w:val="-2"/>
          <w:sz w:val="18"/>
          <w:szCs w:val="18"/>
          <w:lang w:val="es-ES_tradnl"/>
        </w:rPr>
        <w:t>la motivaci</w:t>
      </w:r>
      <w:r>
        <w:rPr>
          <w:rFonts w:cs="Times New Roman"/>
          <w:spacing w:val="-2"/>
          <w:sz w:val="18"/>
          <w:szCs w:val="18"/>
          <w:lang w:val="es-ES_tradnl"/>
        </w:rPr>
        <w:t>ó</w:t>
      </w:r>
      <w:r>
        <w:rPr>
          <w:spacing w:val="-2"/>
          <w:sz w:val="18"/>
          <w:szCs w:val="18"/>
          <w:lang w:val="es-ES_tradnl"/>
        </w:rPr>
        <w:t>n constituye la mayor garant</w:t>
      </w:r>
      <w:r>
        <w:rPr>
          <w:rFonts w:cs="Times New Roman"/>
          <w:spacing w:val="-2"/>
          <w:sz w:val="18"/>
          <w:szCs w:val="18"/>
          <w:lang w:val="es-ES_tradnl"/>
        </w:rPr>
        <w:t>í</w:t>
      </w:r>
      <w:r>
        <w:rPr>
          <w:spacing w:val="-2"/>
          <w:sz w:val="18"/>
          <w:szCs w:val="18"/>
          <w:lang w:val="es-ES_tradnl"/>
        </w:rPr>
        <w:t xml:space="preserve">a para una </w:t>
      </w:r>
      <w:r>
        <w:rPr>
          <w:spacing w:val="-6"/>
          <w:sz w:val="18"/>
          <w:szCs w:val="18"/>
          <w:lang w:val="es-ES_tradnl"/>
        </w:rPr>
        <w:t>correcta administraci</w:t>
      </w:r>
      <w:r>
        <w:rPr>
          <w:rFonts w:cs="Times New Roman"/>
          <w:spacing w:val="-6"/>
          <w:sz w:val="18"/>
          <w:szCs w:val="18"/>
          <w:lang w:val="es-ES_tradnl"/>
        </w:rPr>
        <w:t>ó</w:t>
      </w:r>
      <w:r>
        <w:rPr>
          <w:spacing w:val="-6"/>
          <w:sz w:val="18"/>
          <w:szCs w:val="18"/>
          <w:lang w:val="es-ES_tradnl"/>
        </w:rPr>
        <w:t xml:space="preserve">n de justicia dentro de un Estado </w:t>
      </w:r>
      <w:r>
        <w:rPr>
          <w:spacing w:val="-8"/>
          <w:sz w:val="18"/>
          <w:szCs w:val="18"/>
          <w:lang w:val="es-ES_tradnl"/>
        </w:rPr>
        <w:t>constitucional de derechos como es el nuestro.</w:t>
      </w:r>
    </w:p>
    <w:p w14:paraId="4F67B614" w14:textId="77777777" w:rsidR="00591D54" w:rsidRDefault="00591D54">
      <w:pPr>
        <w:shd w:val="clear" w:color="auto" w:fill="FFFFFF"/>
        <w:spacing w:before="192"/>
      </w:pPr>
      <w:r>
        <w:rPr>
          <w:spacing w:val="-9"/>
          <w:sz w:val="18"/>
          <w:szCs w:val="18"/>
          <w:lang w:val="es-ES_tradnl"/>
        </w:rPr>
        <w:t>En cuanto a esta garant</w:t>
      </w:r>
      <w:r>
        <w:rPr>
          <w:rFonts w:cs="Times New Roman"/>
          <w:spacing w:val="-9"/>
          <w:sz w:val="18"/>
          <w:szCs w:val="18"/>
          <w:lang w:val="es-ES_tradnl"/>
        </w:rPr>
        <w:t>í</w:t>
      </w:r>
      <w:r>
        <w:rPr>
          <w:spacing w:val="-9"/>
          <w:sz w:val="18"/>
          <w:szCs w:val="18"/>
          <w:lang w:val="es-ES_tradnl"/>
        </w:rPr>
        <w:t>a, la Corte ha sostenido que:</w:t>
      </w:r>
    </w:p>
    <w:p w14:paraId="4F67B615" w14:textId="77777777" w:rsidR="00591D54" w:rsidRDefault="00591D54">
      <w:pPr>
        <w:shd w:val="clear" w:color="auto" w:fill="FFFFFF"/>
        <w:spacing w:before="202" w:line="211" w:lineRule="exact"/>
        <w:ind w:left="283"/>
        <w:jc w:val="both"/>
      </w:pPr>
      <w:r>
        <w:rPr>
          <w:sz w:val="14"/>
          <w:szCs w:val="14"/>
          <w:lang w:val="es-ES_tradnl"/>
        </w:rPr>
        <w:t>(</w:t>
      </w:r>
      <w:r>
        <w:rPr>
          <w:rFonts w:cs="Times New Roman"/>
          <w:sz w:val="14"/>
          <w:szCs w:val="14"/>
          <w:lang w:val="es-ES_tradnl"/>
        </w:rPr>
        <w:t>…</w:t>
      </w:r>
      <w:r>
        <w:rPr>
          <w:sz w:val="14"/>
          <w:szCs w:val="14"/>
          <w:lang w:val="es-ES_tradnl"/>
        </w:rPr>
        <w:t>) la motivaci</w:t>
      </w:r>
      <w:r>
        <w:rPr>
          <w:rFonts w:cs="Times New Roman"/>
          <w:sz w:val="14"/>
          <w:szCs w:val="14"/>
          <w:lang w:val="es-ES_tradnl"/>
        </w:rPr>
        <w:t>ó</w:t>
      </w:r>
      <w:r>
        <w:rPr>
          <w:sz w:val="14"/>
          <w:szCs w:val="14"/>
          <w:lang w:val="es-ES_tradnl"/>
        </w:rPr>
        <w:t xml:space="preserve">n impone al juez el deber de expresar en la </w:t>
      </w:r>
      <w:r>
        <w:rPr>
          <w:spacing w:val="-1"/>
          <w:sz w:val="14"/>
          <w:szCs w:val="14"/>
          <w:lang w:val="es-ES_tradnl"/>
        </w:rPr>
        <w:t xml:space="preserve">sentencia los fundamentos de hecho y de derecho que sustentan </w:t>
      </w:r>
      <w:r>
        <w:rPr>
          <w:sz w:val="14"/>
          <w:szCs w:val="14"/>
          <w:lang w:val="es-ES_tradnl"/>
        </w:rPr>
        <w:t>lo decidido. Esta exigencia persigue una doble finalidad por una parte, controlar la arbitrariedad del sentenciador, pues le impone justificar el razonamiento l</w:t>
      </w:r>
      <w:r>
        <w:rPr>
          <w:rFonts w:cs="Times New Roman"/>
          <w:sz w:val="14"/>
          <w:szCs w:val="14"/>
          <w:lang w:val="es-ES_tradnl"/>
        </w:rPr>
        <w:t>ó</w:t>
      </w:r>
      <w:r>
        <w:rPr>
          <w:sz w:val="14"/>
          <w:szCs w:val="14"/>
          <w:lang w:val="es-ES_tradnl"/>
        </w:rPr>
        <w:t>gico que sigui</w:t>
      </w:r>
      <w:r>
        <w:rPr>
          <w:rFonts w:cs="Times New Roman"/>
          <w:sz w:val="14"/>
          <w:szCs w:val="14"/>
          <w:lang w:val="es-ES_tradnl"/>
        </w:rPr>
        <w:t>ó</w:t>
      </w:r>
      <w:r>
        <w:rPr>
          <w:sz w:val="14"/>
          <w:szCs w:val="14"/>
          <w:lang w:val="es-ES_tradnl"/>
        </w:rPr>
        <w:t xml:space="preserve"> para establecer una conclusi</w:t>
      </w:r>
      <w:r>
        <w:rPr>
          <w:rFonts w:cs="Times New Roman"/>
          <w:sz w:val="14"/>
          <w:szCs w:val="14"/>
          <w:lang w:val="es-ES_tradnl"/>
        </w:rPr>
        <w:t>ó</w:t>
      </w:r>
      <w:r>
        <w:rPr>
          <w:sz w:val="14"/>
          <w:szCs w:val="14"/>
          <w:lang w:val="es-ES_tradnl"/>
        </w:rPr>
        <w:t>n y adem</w:t>
      </w:r>
      <w:r>
        <w:rPr>
          <w:rFonts w:cs="Times New Roman"/>
          <w:sz w:val="14"/>
          <w:szCs w:val="14"/>
          <w:lang w:val="es-ES_tradnl"/>
        </w:rPr>
        <w:t>á</w:t>
      </w:r>
      <w:r>
        <w:rPr>
          <w:sz w:val="14"/>
          <w:szCs w:val="14"/>
          <w:lang w:val="es-ES_tradnl"/>
        </w:rPr>
        <w:t>s, garantizar el leg</w:t>
      </w:r>
      <w:r>
        <w:rPr>
          <w:rFonts w:cs="Times New Roman"/>
          <w:sz w:val="14"/>
          <w:szCs w:val="14"/>
          <w:lang w:val="es-ES_tradnl"/>
        </w:rPr>
        <w:t>í</w:t>
      </w:r>
      <w:r>
        <w:rPr>
          <w:sz w:val="14"/>
          <w:szCs w:val="14"/>
          <w:lang w:val="es-ES_tradnl"/>
        </w:rPr>
        <w:t>timo derecho de defensa de las partes, considerando que estas requieren conocer los motivos de la decisi</w:t>
      </w:r>
      <w:r>
        <w:rPr>
          <w:rFonts w:cs="Times New Roman"/>
          <w:sz w:val="14"/>
          <w:szCs w:val="14"/>
          <w:lang w:val="es-ES_tradnl"/>
        </w:rPr>
        <w:t>ó</w:t>
      </w:r>
      <w:r>
        <w:rPr>
          <w:sz w:val="14"/>
          <w:szCs w:val="14"/>
          <w:lang w:val="es-ES_tradnl"/>
        </w:rPr>
        <w:t>n para determinar si est</w:t>
      </w:r>
      <w:r>
        <w:rPr>
          <w:rFonts w:cs="Times New Roman"/>
          <w:sz w:val="14"/>
          <w:szCs w:val="14"/>
          <w:lang w:val="es-ES_tradnl"/>
        </w:rPr>
        <w:t>á</w:t>
      </w:r>
      <w:r>
        <w:rPr>
          <w:sz w:val="14"/>
          <w:szCs w:val="14"/>
          <w:lang w:val="es-ES_tradnl"/>
        </w:rPr>
        <w:t>n conformes con ella (</w:t>
      </w:r>
      <w:r>
        <w:rPr>
          <w:rFonts w:cs="Times New Roman"/>
          <w:sz w:val="14"/>
          <w:szCs w:val="14"/>
          <w:lang w:val="es-ES_tradnl"/>
        </w:rPr>
        <w:t>…</w:t>
      </w:r>
      <w:r>
        <w:rPr>
          <w:sz w:val="14"/>
          <w:szCs w:val="14"/>
          <w:lang w:val="es-ES_tradnl"/>
        </w:rPr>
        <w:t>)</w:t>
      </w:r>
      <w:r>
        <w:rPr>
          <w:sz w:val="14"/>
          <w:szCs w:val="14"/>
          <w:vertAlign w:val="superscript"/>
          <w:lang w:val="es-ES_tradnl"/>
        </w:rPr>
        <w:t>6</w:t>
      </w:r>
      <w:r>
        <w:rPr>
          <w:sz w:val="14"/>
          <w:szCs w:val="14"/>
          <w:lang w:val="es-ES_tradnl"/>
        </w:rPr>
        <w:t>.</w:t>
      </w:r>
    </w:p>
    <w:p w14:paraId="4F67B616" w14:textId="77777777" w:rsidR="00591D54" w:rsidRDefault="00591D54">
      <w:pPr>
        <w:shd w:val="clear" w:color="auto" w:fill="FFFFFF"/>
        <w:spacing w:before="202" w:line="216" w:lineRule="exact"/>
        <w:jc w:val="both"/>
      </w:pPr>
      <w:r>
        <w:rPr>
          <w:spacing w:val="-7"/>
          <w:sz w:val="18"/>
          <w:szCs w:val="18"/>
          <w:lang w:val="es-ES_tradnl"/>
        </w:rPr>
        <w:t>En ese sentido, la motivaci</w:t>
      </w:r>
      <w:r>
        <w:rPr>
          <w:rFonts w:cs="Times New Roman"/>
          <w:spacing w:val="-7"/>
          <w:sz w:val="18"/>
          <w:szCs w:val="18"/>
          <w:lang w:val="es-ES_tradnl"/>
        </w:rPr>
        <w:t>ó</w:t>
      </w:r>
      <w:r>
        <w:rPr>
          <w:spacing w:val="-7"/>
          <w:sz w:val="18"/>
          <w:szCs w:val="18"/>
          <w:lang w:val="es-ES_tradnl"/>
        </w:rPr>
        <w:t xml:space="preserve">n se configura como la piedra </w:t>
      </w:r>
      <w:r>
        <w:rPr>
          <w:spacing w:val="-6"/>
          <w:sz w:val="18"/>
          <w:szCs w:val="18"/>
          <w:lang w:val="es-ES_tradnl"/>
        </w:rPr>
        <w:t>angular de las decisiones judiciales, ya que gracias a la justificaci</w:t>
      </w:r>
      <w:r>
        <w:rPr>
          <w:rFonts w:cs="Times New Roman"/>
          <w:spacing w:val="-6"/>
          <w:sz w:val="18"/>
          <w:szCs w:val="18"/>
          <w:lang w:val="es-ES_tradnl"/>
        </w:rPr>
        <w:t>ó</w:t>
      </w:r>
      <w:r>
        <w:rPr>
          <w:spacing w:val="-6"/>
          <w:sz w:val="18"/>
          <w:szCs w:val="18"/>
          <w:lang w:val="es-ES_tradnl"/>
        </w:rPr>
        <w:t>n racional y l</w:t>
      </w:r>
      <w:r>
        <w:rPr>
          <w:rFonts w:cs="Times New Roman"/>
          <w:spacing w:val="-6"/>
          <w:sz w:val="18"/>
          <w:szCs w:val="18"/>
          <w:lang w:val="es-ES_tradnl"/>
        </w:rPr>
        <w:t>ó</w:t>
      </w:r>
      <w:r>
        <w:rPr>
          <w:spacing w:val="-6"/>
          <w:sz w:val="18"/>
          <w:szCs w:val="18"/>
          <w:lang w:val="es-ES_tradnl"/>
        </w:rPr>
        <w:t xml:space="preserve">gica que realiza el juzgador en la </w:t>
      </w:r>
      <w:r>
        <w:rPr>
          <w:spacing w:val="-10"/>
          <w:sz w:val="18"/>
          <w:szCs w:val="18"/>
          <w:lang w:val="es-ES_tradnl"/>
        </w:rPr>
        <w:t>fundamentaci</w:t>
      </w:r>
      <w:r>
        <w:rPr>
          <w:rFonts w:cs="Times New Roman"/>
          <w:spacing w:val="-10"/>
          <w:sz w:val="18"/>
          <w:szCs w:val="18"/>
          <w:lang w:val="es-ES_tradnl"/>
        </w:rPr>
        <w:t>ó</w:t>
      </w:r>
      <w:r>
        <w:rPr>
          <w:spacing w:val="-10"/>
          <w:sz w:val="18"/>
          <w:szCs w:val="18"/>
          <w:lang w:val="es-ES_tradnl"/>
        </w:rPr>
        <w:t xml:space="preserve">n de sus fallos, esta se transforma en un filtro </w:t>
      </w:r>
      <w:r>
        <w:rPr>
          <w:spacing w:val="-7"/>
          <w:sz w:val="18"/>
          <w:szCs w:val="18"/>
          <w:lang w:val="es-ES_tradnl"/>
        </w:rPr>
        <w:t xml:space="preserve">contra la arbitrariedad, garantizando a su vez el derecho a </w:t>
      </w:r>
      <w:r>
        <w:rPr>
          <w:spacing w:val="-10"/>
          <w:sz w:val="18"/>
          <w:szCs w:val="18"/>
          <w:lang w:val="es-ES_tradnl"/>
        </w:rPr>
        <w:t>la defensa de las partes, al permitirles conocer certeramente los motivos por los cuales se toma la resoluci</w:t>
      </w:r>
      <w:r>
        <w:rPr>
          <w:rFonts w:cs="Times New Roman"/>
          <w:spacing w:val="-10"/>
          <w:sz w:val="18"/>
          <w:szCs w:val="18"/>
          <w:lang w:val="es-ES_tradnl"/>
        </w:rPr>
        <w:t>ó</w:t>
      </w:r>
      <w:r>
        <w:rPr>
          <w:spacing w:val="-10"/>
          <w:sz w:val="18"/>
          <w:szCs w:val="18"/>
          <w:lang w:val="es-ES_tradnl"/>
        </w:rPr>
        <w:t>n en cuesti</w:t>
      </w:r>
      <w:r>
        <w:rPr>
          <w:rFonts w:cs="Times New Roman"/>
          <w:spacing w:val="-10"/>
          <w:sz w:val="18"/>
          <w:szCs w:val="18"/>
          <w:lang w:val="es-ES_tradnl"/>
        </w:rPr>
        <w:t>ó</w:t>
      </w:r>
      <w:r>
        <w:rPr>
          <w:spacing w:val="-10"/>
          <w:sz w:val="18"/>
          <w:szCs w:val="18"/>
          <w:lang w:val="es-ES_tradnl"/>
        </w:rPr>
        <w:t>n.</w:t>
      </w:r>
    </w:p>
    <w:p w14:paraId="4F67B617" w14:textId="77777777" w:rsidR="00591D54" w:rsidRDefault="00591D54">
      <w:pPr>
        <w:shd w:val="clear" w:color="auto" w:fill="FFFFFF"/>
        <w:spacing w:before="197" w:line="216" w:lineRule="exact"/>
        <w:jc w:val="both"/>
      </w:pPr>
      <w:r>
        <w:rPr>
          <w:spacing w:val="-5"/>
          <w:sz w:val="18"/>
          <w:szCs w:val="18"/>
          <w:lang w:val="es-ES_tradnl"/>
        </w:rPr>
        <w:t>Por lo tanto, la motivaci</w:t>
      </w:r>
      <w:r>
        <w:rPr>
          <w:rFonts w:cs="Times New Roman"/>
          <w:spacing w:val="-5"/>
          <w:sz w:val="18"/>
          <w:szCs w:val="18"/>
          <w:lang w:val="es-ES_tradnl"/>
        </w:rPr>
        <w:t>ó</w:t>
      </w:r>
      <w:r>
        <w:rPr>
          <w:spacing w:val="-5"/>
          <w:sz w:val="18"/>
          <w:szCs w:val="18"/>
          <w:lang w:val="es-ES_tradnl"/>
        </w:rPr>
        <w:t xml:space="preserve">n no consiste </w:t>
      </w:r>
      <w:r>
        <w:rPr>
          <w:rFonts w:cs="Times New Roman"/>
          <w:spacing w:val="-5"/>
          <w:sz w:val="18"/>
          <w:szCs w:val="18"/>
          <w:lang w:val="es-ES_tradnl"/>
        </w:rPr>
        <w:t>ú</w:t>
      </w:r>
      <w:r>
        <w:rPr>
          <w:spacing w:val="-5"/>
          <w:sz w:val="18"/>
          <w:szCs w:val="18"/>
          <w:lang w:val="es-ES_tradnl"/>
        </w:rPr>
        <w:t xml:space="preserve">nicamente en el </w:t>
      </w:r>
      <w:r>
        <w:rPr>
          <w:spacing w:val="-4"/>
          <w:sz w:val="18"/>
          <w:szCs w:val="18"/>
          <w:lang w:val="es-ES_tradnl"/>
        </w:rPr>
        <w:t>anuncio de hechos, normas y su confrontaci</w:t>
      </w:r>
      <w:r>
        <w:rPr>
          <w:rFonts w:cs="Times New Roman"/>
          <w:spacing w:val="-4"/>
          <w:sz w:val="18"/>
          <w:szCs w:val="18"/>
          <w:lang w:val="es-ES_tradnl"/>
        </w:rPr>
        <w:t>ó</w:t>
      </w:r>
      <w:r>
        <w:rPr>
          <w:spacing w:val="-4"/>
          <w:sz w:val="18"/>
          <w:szCs w:val="18"/>
          <w:lang w:val="es-ES_tradnl"/>
        </w:rPr>
        <w:t>n sino que</w:t>
      </w:r>
    </w:p>
    <w:p w14:paraId="4F67B618" w14:textId="77777777" w:rsidR="00591D54" w:rsidRDefault="00591D54">
      <w:pPr>
        <w:shd w:val="clear" w:color="auto" w:fill="FFFFFF"/>
        <w:tabs>
          <w:tab w:val="left" w:pos="144"/>
        </w:tabs>
        <w:spacing w:before="418" w:line="178" w:lineRule="exact"/>
        <w:ind w:left="144" w:hanging="144"/>
        <w:jc w:val="both"/>
      </w:pPr>
      <w:r>
        <w:rPr>
          <w:sz w:val="10"/>
          <w:szCs w:val="10"/>
          <w:vertAlign w:val="superscript"/>
          <w:lang w:val="es-ES_tradnl"/>
        </w:rPr>
        <w:t>5</w:t>
      </w:r>
      <w:r>
        <w:rPr>
          <w:sz w:val="18"/>
          <w:szCs w:val="18"/>
          <w:lang w:val="es-ES_tradnl"/>
        </w:rPr>
        <w:tab/>
      </w:r>
      <w:r>
        <w:rPr>
          <w:sz w:val="14"/>
          <w:szCs w:val="14"/>
          <w:lang w:val="es-ES_tradnl"/>
        </w:rPr>
        <w:t>Constituci</w:t>
      </w:r>
      <w:r>
        <w:rPr>
          <w:rFonts w:cs="Times New Roman"/>
          <w:sz w:val="14"/>
          <w:szCs w:val="14"/>
          <w:lang w:val="es-ES_tradnl"/>
        </w:rPr>
        <w:t>ó</w:t>
      </w:r>
      <w:r>
        <w:rPr>
          <w:sz w:val="14"/>
          <w:szCs w:val="14"/>
          <w:lang w:val="es-ES_tradnl"/>
        </w:rPr>
        <w:t>n</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la</w:t>
      </w:r>
      <w:r>
        <w:rPr>
          <w:sz w:val="18"/>
          <w:szCs w:val="18"/>
          <w:lang w:val="es-ES_tradnl"/>
        </w:rPr>
        <w:t xml:space="preserve"> </w:t>
      </w:r>
      <w:r>
        <w:rPr>
          <w:sz w:val="14"/>
          <w:szCs w:val="14"/>
          <w:lang w:val="es-ES_tradnl"/>
        </w:rPr>
        <w:t>Rep</w:t>
      </w:r>
      <w:r>
        <w:rPr>
          <w:rFonts w:cs="Times New Roman"/>
          <w:sz w:val="14"/>
          <w:szCs w:val="14"/>
          <w:lang w:val="es-ES_tradnl"/>
        </w:rPr>
        <w:t>ú</w:t>
      </w:r>
      <w:r>
        <w:rPr>
          <w:sz w:val="14"/>
          <w:szCs w:val="14"/>
          <w:lang w:val="es-ES_tradnl"/>
        </w:rPr>
        <w:t>blica</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Art</w:t>
      </w:r>
      <w:r>
        <w:rPr>
          <w:rFonts w:cs="Times New Roman"/>
          <w:sz w:val="14"/>
          <w:szCs w:val="14"/>
          <w:lang w:val="es-ES_tradnl"/>
        </w:rPr>
        <w:t>í</w:t>
      </w:r>
      <w:r>
        <w:rPr>
          <w:sz w:val="14"/>
          <w:szCs w:val="14"/>
          <w:lang w:val="es-ES_tradnl"/>
        </w:rPr>
        <w:t>culo</w:t>
      </w:r>
      <w:r>
        <w:rPr>
          <w:sz w:val="18"/>
          <w:szCs w:val="18"/>
          <w:lang w:val="es-ES_tradnl"/>
        </w:rPr>
        <w:t xml:space="preserve"> </w:t>
      </w:r>
      <w:r>
        <w:rPr>
          <w:sz w:val="14"/>
          <w:szCs w:val="14"/>
          <w:lang w:val="es-ES_tradnl"/>
        </w:rPr>
        <w:t>76,</w:t>
      </w:r>
      <w:r>
        <w:rPr>
          <w:sz w:val="18"/>
          <w:szCs w:val="18"/>
          <w:lang w:val="es-ES_tradnl"/>
        </w:rPr>
        <w:t xml:space="preserve"> </w:t>
      </w:r>
      <w:r>
        <w:rPr>
          <w:sz w:val="14"/>
          <w:szCs w:val="14"/>
          <w:lang w:val="es-ES_tradnl"/>
        </w:rPr>
        <w:t>numeral </w:t>
      </w:r>
      <w:r>
        <w:rPr>
          <w:spacing w:val="-1"/>
          <w:sz w:val="14"/>
          <w:szCs w:val="14"/>
          <w:lang w:val="es-ES_tradnl"/>
        </w:rPr>
        <w:t>7, literal l): Las resoluciones de los poderes p</w:t>
      </w:r>
      <w:r>
        <w:rPr>
          <w:rFonts w:cs="Times New Roman"/>
          <w:spacing w:val="-1"/>
          <w:sz w:val="14"/>
          <w:szCs w:val="14"/>
          <w:lang w:val="es-ES_tradnl"/>
        </w:rPr>
        <w:t>ú</w:t>
      </w:r>
      <w:r>
        <w:rPr>
          <w:spacing w:val="-1"/>
          <w:sz w:val="14"/>
          <w:szCs w:val="14"/>
          <w:lang w:val="es-ES_tradnl"/>
        </w:rPr>
        <w:t>blicos deber</w:t>
      </w:r>
      <w:r>
        <w:rPr>
          <w:rFonts w:cs="Times New Roman"/>
          <w:spacing w:val="-1"/>
          <w:sz w:val="14"/>
          <w:szCs w:val="14"/>
          <w:lang w:val="es-ES_tradnl"/>
        </w:rPr>
        <w:t>á</w:t>
      </w:r>
      <w:r>
        <w:rPr>
          <w:spacing w:val="-1"/>
          <w:sz w:val="14"/>
          <w:szCs w:val="14"/>
          <w:lang w:val="es-ES_tradnl"/>
        </w:rPr>
        <w:t>n ser motivadas. No habr</w:t>
      </w:r>
      <w:r>
        <w:rPr>
          <w:rFonts w:cs="Times New Roman"/>
          <w:spacing w:val="-1"/>
          <w:sz w:val="14"/>
          <w:szCs w:val="14"/>
          <w:lang w:val="es-ES_tradnl"/>
        </w:rPr>
        <w:t>á</w:t>
      </w:r>
      <w:r>
        <w:rPr>
          <w:spacing w:val="-1"/>
          <w:sz w:val="14"/>
          <w:szCs w:val="14"/>
          <w:lang w:val="es-ES_tradnl"/>
        </w:rPr>
        <w:t xml:space="preserve"> motivaci</w:t>
      </w:r>
      <w:r>
        <w:rPr>
          <w:rFonts w:cs="Times New Roman"/>
          <w:spacing w:val="-1"/>
          <w:sz w:val="14"/>
          <w:szCs w:val="14"/>
          <w:lang w:val="es-ES_tradnl"/>
        </w:rPr>
        <w:t>ó</w:t>
      </w:r>
      <w:r>
        <w:rPr>
          <w:spacing w:val="-1"/>
          <w:sz w:val="14"/>
          <w:szCs w:val="14"/>
          <w:lang w:val="es-ES_tradnl"/>
        </w:rPr>
        <w:t>n si en la resoluci</w:t>
      </w:r>
      <w:r>
        <w:rPr>
          <w:rFonts w:cs="Times New Roman"/>
          <w:spacing w:val="-1"/>
          <w:sz w:val="14"/>
          <w:szCs w:val="14"/>
          <w:lang w:val="es-ES_tradnl"/>
        </w:rPr>
        <w:t>ó</w:t>
      </w:r>
      <w:r>
        <w:rPr>
          <w:spacing w:val="-1"/>
          <w:sz w:val="14"/>
          <w:szCs w:val="14"/>
          <w:lang w:val="es-ES_tradnl"/>
        </w:rPr>
        <w:t>n no se enuncian </w:t>
      </w:r>
      <w:r>
        <w:rPr>
          <w:sz w:val="14"/>
          <w:szCs w:val="14"/>
          <w:lang w:val="es-ES_tradnl"/>
        </w:rPr>
        <w:t>las normas o principios jur</w:t>
      </w:r>
      <w:r>
        <w:rPr>
          <w:rFonts w:cs="Times New Roman"/>
          <w:sz w:val="14"/>
          <w:szCs w:val="14"/>
          <w:lang w:val="es-ES_tradnl"/>
        </w:rPr>
        <w:t>í</w:t>
      </w:r>
      <w:r>
        <w:rPr>
          <w:sz w:val="14"/>
          <w:szCs w:val="14"/>
          <w:lang w:val="es-ES_tradnl"/>
        </w:rPr>
        <w:t>dicos en que se funda y no se explica la pertinencia de su aplicaci</w:t>
      </w:r>
      <w:r>
        <w:rPr>
          <w:rFonts w:cs="Times New Roman"/>
          <w:sz w:val="14"/>
          <w:szCs w:val="14"/>
          <w:lang w:val="es-ES_tradnl"/>
        </w:rPr>
        <w:t>ó</w:t>
      </w:r>
      <w:r>
        <w:rPr>
          <w:sz w:val="14"/>
          <w:szCs w:val="14"/>
          <w:lang w:val="es-ES_tradnl"/>
        </w:rPr>
        <w:t>n a los antecedentes de hecho. Los </w:t>
      </w:r>
      <w:r>
        <w:rPr>
          <w:spacing w:val="-1"/>
          <w:sz w:val="14"/>
          <w:szCs w:val="14"/>
          <w:lang w:val="es-ES_tradnl"/>
        </w:rPr>
        <w:t>actos administrativos, resoluciones o fallos que no se encuentren debidamente motivados se considerar</w:t>
      </w:r>
      <w:r>
        <w:rPr>
          <w:rFonts w:cs="Times New Roman"/>
          <w:spacing w:val="-1"/>
          <w:sz w:val="14"/>
          <w:szCs w:val="14"/>
          <w:lang w:val="es-ES_tradnl"/>
        </w:rPr>
        <w:t>á</w:t>
      </w:r>
      <w:r>
        <w:rPr>
          <w:spacing w:val="-1"/>
          <w:sz w:val="14"/>
          <w:szCs w:val="14"/>
          <w:lang w:val="es-ES_tradnl"/>
        </w:rPr>
        <w:t>n nulos. Las servidoras o </w:t>
      </w:r>
      <w:r>
        <w:rPr>
          <w:sz w:val="14"/>
          <w:szCs w:val="14"/>
          <w:lang w:val="es-ES_tradnl"/>
        </w:rPr>
        <w:t>servidores responsables ser</w:t>
      </w:r>
      <w:r>
        <w:rPr>
          <w:rFonts w:cs="Times New Roman"/>
          <w:sz w:val="14"/>
          <w:szCs w:val="14"/>
          <w:lang w:val="es-ES_tradnl"/>
        </w:rPr>
        <w:t>á</w:t>
      </w:r>
      <w:r>
        <w:rPr>
          <w:sz w:val="14"/>
          <w:szCs w:val="14"/>
          <w:lang w:val="es-ES_tradnl"/>
        </w:rPr>
        <w:t>n sancionados.</w:t>
      </w:r>
    </w:p>
    <w:p w14:paraId="4F67B619" w14:textId="77777777" w:rsidR="00591D54" w:rsidRDefault="00591D54">
      <w:pPr>
        <w:shd w:val="clear" w:color="auto" w:fill="FFFFFF"/>
        <w:tabs>
          <w:tab w:val="left" w:pos="144"/>
        </w:tabs>
        <w:spacing w:before="149" w:line="178" w:lineRule="exact"/>
        <w:ind w:left="144" w:hanging="144"/>
        <w:jc w:val="both"/>
      </w:pPr>
      <w:r>
        <w:rPr>
          <w:sz w:val="10"/>
          <w:szCs w:val="10"/>
          <w:vertAlign w:val="superscript"/>
          <w:lang w:val="es-ES_tradnl"/>
        </w:rPr>
        <w:t>6</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w:t>
      </w:r>
      <w:r>
        <w:rPr>
          <w:sz w:val="18"/>
          <w:szCs w:val="18"/>
          <w:lang w:val="es-ES_tradnl"/>
        </w:rPr>
        <w:t xml:space="preserve"> </w:t>
      </w:r>
      <w:r>
        <w:rPr>
          <w:sz w:val="14"/>
          <w:szCs w:val="14"/>
          <w:lang w:val="es-ES_tradnl"/>
        </w:rPr>
        <w:t>203-14-SEP-CC, caso N.</w:t>
      </w:r>
      <w:r>
        <w:rPr>
          <w:rFonts w:cs="Times New Roman"/>
          <w:sz w:val="14"/>
          <w:szCs w:val="14"/>
          <w:lang w:val="es-ES_tradnl"/>
        </w:rPr>
        <w:t>°</w:t>
      </w:r>
      <w:r>
        <w:rPr>
          <w:sz w:val="14"/>
          <w:szCs w:val="14"/>
          <w:lang w:val="es-ES_tradnl"/>
        </w:rPr>
        <w:t xml:space="preserve"> 0498-12-EP.</w:t>
      </w:r>
    </w:p>
    <w:p w14:paraId="4F67B61A" w14:textId="77777777" w:rsidR="00591D54" w:rsidRDefault="00591D54">
      <w:pPr>
        <w:shd w:val="clear" w:color="auto" w:fill="FFFFFF"/>
        <w:tabs>
          <w:tab w:val="left" w:pos="144"/>
        </w:tabs>
        <w:spacing w:before="149" w:line="178" w:lineRule="exact"/>
        <w:ind w:left="144" w:hanging="144"/>
        <w:jc w:val="both"/>
        <w:sectPr w:rsidR="00591D54">
          <w:type w:val="continuous"/>
          <w:pgSz w:w="11909" w:h="16834"/>
          <w:pgMar w:top="1356" w:right="1309" w:bottom="360" w:left="1308" w:header="720" w:footer="720" w:gutter="0"/>
          <w:cols w:num="2" w:space="720" w:equalWidth="0">
            <w:col w:w="4305" w:space="682"/>
            <w:col w:w="4305"/>
          </w:cols>
          <w:noEndnote/>
        </w:sectPr>
      </w:pPr>
    </w:p>
    <w:p w14:paraId="4F67B61B" w14:textId="77777777" w:rsidR="00591D54" w:rsidRDefault="00591D54">
      <w:pPr>
        <w:shd w:val="clear" w:color="auto" w:fill="FFFFFF"/>
        <w:tabs>
          <w:tab w:val="left" w:pos="4814"/>
        </w:tabs>
        <w:spacing w:after="235"/>
        <w:ind w:left="5"/>
      </w:pPr>
      <w:r>
        <w:rPr>
          <w:b/>
          <w:bCs/>
          <w:sz w:val="18"/>
          <w:szCs w:val="18"/>
          <w:lang w:val="es-ES_tradnl"/>
        </w:rPr>
        <w:t xml:space="preserve">228 -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61C" w14:textId="77777777" w:rsidR="00591D54" w:rsidRDefault="00591D54">
      <w:pPr>
        <w:shd w:val="clear" w:color="auto" w:fill="FFFFFF"/>
        <w:tabs>
          <w:tab w:val="left" w:pos="4814"/>
        </w:tabs>
        <w:spacing w:after="235"/>
        <w:ind w:left="5"/>
        <w:sectPr w:rsidR="00591D54">
          <w:pgSz w:w="11909" w:h="16834"/>
          <w:pgMar w:top="1174" w:right="1309" w:bottom="360" w:left="1308" w:header="720" w:footer="720" w:gutter="0"/>
          <w:cols w:space="60"/>
          <w:noEndnote/>
        </w:sectPr>
      </w:pPr>
    </w:p>
    <w:p w14:paraId="4F67B61D" w14:textId="77777777" w:rsidR="00591D54" w:rsidRDefault="00591D54">
      <w:pPr>
        <w:shd w:val="clear" w:color="auto" w:fill="FFFFFF"/>
        <w:spacing w:line="211" w:lineRule="exact"/>
        <w:jc w:val="both"/>
      </w:pPr>
      <w:r>
        <w:rPr>
          <w:spacing w:val="-9"/>
          <w:sz w:val="18"/>
          <w:szCs w:val="18"/>
          <w:lang w:val="es-ES_tradnl"/>
        </w:rPr>
        <w:t>debe sustentarse, bajo par</w:t>
      </w:r>
      <w:r>
        <w:rPr>
          <w:rFonts w:cs="Times New Roman"/>
          <w:spacing w:val="-9"/>
          <w:sz w:val="18"/>
          <w:szCs w:val="18"/>
          <w:lang w:val="es-ES_tradnl"/>
        </w:rPr>
        <w:t>á</w:t>
      </w:r>
      <w:r>
        <w:rPr>
          <w:spacing w:val="-9"/>
          <w:sz w:val="18"/>
          <w:szCs w:val="18"/>
          <w:lang w:val="es-ES_tradnl"/>
        </w:rPr>
        <w:t xml:space="preserve">metros que permitan evidenciar </w:t>
      </w:r>
      <w:r>
        <w:rPr>
          <w:spacing w:val="-6"/>
          <w:sz w:val="18"/>
          <w:szCs w:val="18"/>
          <w:lang w:val="es-ES_tradnl"/>
        </w:rPr>
        <w:t>la utilizaci</w:t>
      </w:r>
      <w:r>
        <w:rPr>
          <w:rFonts w:cs="Times New Roman"/>
          <w:spacing w:val="-6"/>
          <w:sz w:val="18"/>
          <w:szCs w:val="18"/>
          <w:lang w:val="es-ES_tradnl"/>
        </w:rPr>
        <w:t>ó</w:t>
      </w:r>
      <w:r>
        <w:rPr>
          <w:spacing w:val="-6"/>
          <w:sz w:val="18"/>
          <w:szCs w:val="18"/>
          <w:lang w:val="es-ES_tradnl"/>
        </w:rPr>
        <w:t>n de la l</w:t>
      </w:r>
      <w:r>
        <w:rPr>
          <w:rFonts w:cs="Times New Roman"/>
          <w:spacing w:val="-6"/>
          <w:sz w:val="18"/>
          <w:szCs w:val="18"/>
          <w:lang w:val="es-ES_tradnl"/>
        </w:rPr>
        <w:t>ó</w:t>
      </w:r>
      <w:r>
        <w:rPr>
          <w:spacing w:val="-6"/>
          <w:sz w:val="18"/>
          <w:szCs w:val="18"/>
          <w:lang w:val="es-ES_tradnl"/>
        </w:rPr>
        <w:t>gica y la argumentaci</w:t>
      </w:r>
      <w:r>
        <w:rPr>
          <w:rFonts w:cs="Times New Roman"/>
          <w:spacing w:val="-6"/>
          <w:sz w:val="18"/>
          <w:szCs w:val="18"/>
          <w:lang w:val="es-ES_tradnl"/>
        </w:rPr>
        <w:t>ó</w:t>
      </w:r>
      <w:r>
        <w:rPr>
          <w:spacing w:val="-6"/>
          <w:sz w:val="18"/>
          <w:szCs w:val="18"/>
          <w:lang w:val="es-ES_tradnl"/>
        </w:rPr>
        <w:t>n jur</w:t>
      </w:r>
      <w:r>
        <w:rPr>
          <w:rFonts w:cs="Times New Roman"/>
          <w:spacing w:val="-6"/>
          <w:sz w:val="18"/>
          <w:szCs w:val="18"/>
          <w:lang w:val="es-ES_tradnl"/>
        </w:rPr>
        <w:t>í</w:t>
      </w:r>
      <w:r>
        <w:rPr>
          <w:spacing w:val="-6"/>
          <w:sz w:val="18"/>
          <w:szCs w:val="18"/>
          <w:lang w:val="es-ES_tradnl"/>
        </w:rPr>
        <w:t xml:space="preserve">dica y que </w:t>
      </w:r>
      <w:r>
        <w:rPr>
          <w:spacing w:val="-7"/>
          <w:sz w:val="18"/>
          <w:szCs w:val="18"/>
          <w:lang w:val="es-ES_tradnl"/>
        </w:rPr>
        <w:t>las partes, y el auditorio social en general, adviertan que la decisi</w:t>
      </w:r>
      <w:r>
        <w:rPr>
          <w:rFonts w:cs="Times New Roman"/>
          <w:spacing w:val="-7"/>
          <w:sz w:val="18"/>
          <w:szCs w:val="18"/>
          <w:lang w:val="es-ES_tradnl"/>
        </w:rPr>
        <w:t>ó</w:t>
      </w:r>
      <w:r>
        <w:rPr>
          <w:spacing w:val="-7"/>
          <w:sz w:val="18"/>
          <w:szCs w:val="18"/>
          <w:lang w:val="es-ES_tradnl"/>
        </w:rPr>
        <w:t xml:space="preserve">n adoptada ha sido fruto de un verdadero ejercicio </w:t>
      </w:r>
      <w:r>
        <w:rPr>
          <w:sz w:val="18"/>
          <w:szCs w:val="18"/>
          <w:lang w:val="es-ES_tradnl"/>
        </w:rPr>
        <w:t>intelectivo</w:t>
      </w:r>
      <w:r>
        <w:rPr>
          <w:sz w:val="18"/>
          <w:szCs w:val="18"/>
          <w:vertAlign w:val="superscript"/>
          <w:lang w:val="es-ES_tradnl"/>
        </w:rPr>
        <w:t>7</w:t>
      </w:r>
      <w:r>
        <w:rPr>
          <w:sz w:val="18"/>
          <w:szCs w:val="18"/>
          <w:lang w:val="es-ES_tradnl"/>
        </w:rPr>
        <w:t>.</w:t>
      </w:r>
    </w:p>
    <w:p w14:paraId="4F67B61E" w14:textId="77777777" w:rsidR="00591D54" w:rsidRDefault="00591D54">
      <w:pPr>
        <w:shd w:val="clear" w:color="auto" w:fill="FFFFFF"/>
        <w:spacing w:before="202" w:line="216" w:lineRule="exact"/>
        <w:ind w:right="5"/>
        <w:jc w:val="both"/>
      </w:pPr>
      <w:r>
        <w:rPr>
          <w:spacing w:val="-4"/>
          <w:sz w:val="18"/>
          <w:szCs w:val="18"/>
          <w:lang w:val="es-ES_tradnl"/>
        </w:rPr>
        <w:t xml:space="preserve">Ahora bien, el accionante manifiesta que los miembros </w:t>
      </w:r>
      <w:r>
        <w:rPr>
          <w:spacing w:val="-6"/>
          <w:sz w:val="18"/>
          <w:szCs w:val="18"/>
          <w:lang w:val="es-ES_tradnl"/>
        </w:rPr>
        <w:t>del Tribunal Arbitral de la C</w:t>
      </w:r>
      <w:r>
        <w:rPr>
          <w:rFonts w:cs="Times New Roman"/>
          <w:spacing w:val="-6"/>
          <w:sz w:val="18"/>
          <w:szCs w:val="18"/>
          <w:lang w:val="es-ES_tradnl"/>
        </w:rPr>
        <w:t>á</w:t>
      </w:r>
      <w:r>
        <w:rPr>
          <w:spacing w:val="-6"/>
          <w:sz w:val="18"/>
          <w:szCs w:val="18"/>
          <w:lang w:val="es-ES_tradnl"/>
        </w:rPr>
        <w:t xml:space="preserve">mara de Comercio de Quito dictaron el auto del 5 de agosto de 2011, vulnerando el </w:t>
      </w:r>
      <w:r>
        <w:rPr>
          <w:spacing w:val="-9"/>
          <w:sz w:val="18"/>
          <w:szCs w:val="18"/>
          <w:lang w:val="es-ES_tradnl"/>
        </w:rPr>
        <w:t>derecho constitucional a la motivaci</w:t>
      </w:r>
      <w:r>
        <w:rPr>
          <w:rFonts w:cs="Times New Roman"/>
          <w:spacing w:val="-9"/>
          <w:sz w:val="18"/>
          <w:szCs w:val="18"/>
          <w:lang w:val="es-ES_tradnl"/>
        </w:rPr>
        <w:t>ó</w:t>
      </w:r>
      <w:r>
        <w:rPr>
          <w:spacing w:val="-9"/>
          <w:sz w:val="18"/>
          <w:szCs w:val="18"/>
          <w:lang w:val="es-ES_tradnl"/>
        </w:rPr>
        <w:t>n en tanto, el se</w:t>
      </w:r>
      <w:r>
        <w:rPr>
          <w:rFonts w:cs="Times New Roman"/>
          <w:spacing w:val="-9"/>
          <w:sz w:val="18"/>
          <w:szCs w:val="18"/>
          <w:lang w:val="es-ES_tradnl"/>
        </w:rPr>
        <w:t>ñ</w:t>
      </w:r>
      <w:r>
        <w:rPr>
          <w:spacing w:val="-9"/>
          <w:sz w:val="18"/>
          <w:szCs w:val="18"/>
          <w:lang w:val="es-ES_tradnl"/>
        </w:rPr>
        <w:t xml:space="preserve">alado </w:t>
      </w:r>
      <w:r>
        <w:rPr>
          <w:spacing w:val="-6"/>
          <w:sz w:val="18"/>
          <w:szCs w:val="18"/>
          <w:lang w:val="es-ES_tradnl"/>
        </w:rPr>
        <w:t>auto ratific</w:t>
      </w:r>
      <w:r>
        <w:rPr>
          <w:rFonts w:cs="Times New Roman"/>
          <w:spacing w:val="-6"/>
          <w:sz w:val="18"/>
          <w:szCs w:val="18"/>
          <w:lang w:val="es-ES_tradnl"/>
        </w:rPr>
        <w:t>ó</w:t>
      </w:r>
      <w:r>
        <w:rPr>
          <w:spacing w:val="-6"/>
          <w:sz w:val="18"/>
          <w:szCs w:val="18"/>
          <w:lang w:val="es-ES_tradnl"/>
        </w:rPr>
        <w:t xml:space="preserve"> la cauci</w:t>
      </w:r>
      <w:r>
        <w:rPr>
          <w:rFonts w:cs="Times New Roman"/>
          <w:spacing w:val="-6"/>
          <w:sz w:val="18"/>
          <w:szCs w:val="18"/>
          <w:lang w:val="es-ES_tradnl"/>
        </w:rPr>
        <w:t>ó</w:t>
      </w:r>
      <w:r>
        <w:rPr>
          <w:spacing w:val="-6"/>
          <w:sz w:val="18"/>
          <w:szCs w:val="18"/>
          <w:lang w:val="es-ES_tradnl"/>
        </w:rPr>
        <w:t xml:space="preserve">n fijada en el auto del 26 de julio de </w:t>
      </w:r>
      <w:r>
        <w:rPr>
          <w:spacing w:val="-7"/>
          <w:sz w:val="18"/>
          <w:szCs w:val="18"/>
          <w:lang w:val="es-ES_tradnl"/>
        </w:rPr>
        <w:t xml:space="preserve">2011, cuya finalidad es suspender los efectos del laudo </w:t>
      </w:r>
      <w:r>
        <w:rPr>
          <w:spacing w:val="-5"/>
          <w:sz w:val="18"/>
          <w:szCs w:val="18"/>
          <w:lang w:val="es-ES_tradnl"/>
        </w:rPr>
        <w:t>arbitral por la interposici</w:t>
      </w:r>
      <w:r>
        <w:rPr>
          <w:rFonts w:cs="Times New Roman"/>
          <w:spacing w:val="-5"/>
          <w:sz w:val="18"/>
          <w:szCs w:val="18"/>
          <w:lang w:val="es-ES_tradnl"/>
        </w:rPr>
        <w:t>ó</w:t>
      </w:r>
      <w:r>
        <w:rPr>
          <w:spacing w:val="-5"/>
          <w:sz w:val="18"/>
          <w:szCs w:val="18"/>
          <w:lang w:val="es-ES_tradnl"/>
        </w:rPr>
        <w:t>n de la acci</w:t>
      </w:r>
      <w:r>
        <w:rPr>
          <w:rFonts w:cs="Times New Roman"/>
          <w:spacing w:val="-5"/>
          <w:sz w:val="18"/>
          <w:szCs w:val="18"/>
          <w:lang w:val="es-ES_tradnl"/>
        </w:rPr>
        <w:t>ó</w:t>
      </w:r>
      <w:r>
        <w:rPr>
          <w:spacing w:val="-5"/>
          <w:sz w:val="18"/>
          <w:szCs w:val="18"/>
          <w:lang w:val="es-ES_tradnl"/>
        </w:rPr>
        <w:t xml:space="preserve">n de nulidad en los </w:t>
      </w:r>
      <w:r>
        <w:rPr>
          <w:spacing w:val="-3"/>
          <w:sz w:val="18"/>
          <w:szCs w:val="18"/>
          <w:lang w:val="es-ES_tradnl"/>
        </w:rPr>
        <w:t>t</w:t>
      </w:r>
      <w:r>
        <w:rPr>
          <w:rFonts w:cs="Times New Roman"/>
          <w:spacing w:val="-3"/>
          <w:sz w:val="18"/>
          <w:szCs w:val="18"/>
          <w:lang w:val="es-ES_tradnl"/>
        </w:rPr>
        <w:t>é</w:t>
      </w:r>
      <w:r>
        <w:rPr>
          <w:spacing w:val="-3"/>
          <w:sz w:val="18"/>
          <w:szCs w:val="18"/>
          <w:lang w:val="es-ES_tradnl"/>
        </w:rPr>
        <w:t>rminos de la Ley de Arbitraje y Mediaci</w:t>
      </w:r>
      <w:r>
        <w:rPr>
          <w:rFonts w:cs="Times New Roman"/>
          <w:spacing w:val="-3"/>
          <w:sz w:val="18"/>
          <w:szCs w:val="18"/>
          <w:lang w:val="es-ES_tradnl"/>
        </w:rPr>
        <w:t>ó</w:t>
      </w:r>
      <w:r>
        <w:rPr>
          <w:spacing w:val="-3"/>
          <w:sz w:val="18"/>
          <w:szCs w:val="18"/>
          <w:lang w:val="es-ES_tradnl"/>
        </w:rPr>
        <w:t xml:space="preserve">n. Por lo cual </w:t>
      </w:r>
      <w:r>
        <w:rPr>
          <w:spacing w:val="-2"/>
          <w:sz w:val="18"/>
          <w:szCs w:val="18"/>
          <w:lang w:val="es-ES_tradnl"/>
        </w:rPr>
        <w:t>se proceder</w:t>
      </w:r>
      <w:r>
        <w:rPr>
          <w:rFonts w:cs="Times New Roman"/>
          <w:spacing w:val="-2"/>
          <w:sz w:val="18"/>
          <w:szCs w:val="18"/>
          <w:lang w:val="es-ES_tradnl"/>
        </w:rPr>
        <w:t>á</w:t>
      </w:r>
      <w:r>
        <w:rPr>
          <w:spacing w:val="-2"/>
          <w:sz w:val="18"/>
          <w:szCs w:val="18"/>
          <w:lang w:val="es-ES_tradnl"/>
        </w:rPr>
        <w:t xml:space="preserve"> a analizar los criterios que debe cumplir </w:t>
      </w:r>
      <w:r>
        <w:rPr>
          <w:spacing w:val="-7"/>
          <w:sz w:val="18"/>
          <w:szCs w:val="18"/>
          <w:lang w:val="es-ES_tradnl"/>
        </w:rPr>
        <w:t>una decisi</w:t>
      </w:r>
      <w:r>
        <w:rPr>
          <w:rFonts w:cs="Times New Roman"/>
          <w:spacing w:val="-7"/>
          <w:sz w:val="18"/>
          <w:szCs w:val="18"/>
          <w:lang w:val="es-ES_tradnl"/>
        </w:rPr>
        <w:t>ó</w:t>
      </w:r>
      <w:r>
        <w:rPr>
          <w:spacing w:val="-7"/>
          <w:sz w:val="18"/>
          <w:szCs w:val="18"/>
          <w:lang w:val="es-ES_tradnl"/>
        </w:rPr>
        <w:t xml:space="preserve">n judicial, para que se considere debidamente </w:t>
      </w:r>
      <w:r>
        <w:rPr>
          <w:sz w:val="18"/>
          <w:szCs w:val="18"/>
          <w:lang w:val="es-ES_tradnl"/>
        </w:rPr>
        <w:t>motivada.</w:t>
      </w:r>
    </w:p>
    <w:p w14:paraId="4F67B61F" w14:textId="77777777" w:rsidR="00591D54" w:rsidRDefault="00591D54">
      <w:pPr>
        <w:shd w:val="clear" w:color="auto" w:fill="FFFFFF"/>
        <w:spacing w:before="202" w:line="216" w:lineRule="exact"/>
        <w:ind w:right="5"/>
        <w:jc w:val="both"/>
      </w:pPr>
      <w:r>
        <w:rPr>
          <w:spacing w:val="-2"/>
          <w:sz w:val="18"/>
          <w:szCs w:val="18"/>
          <w:lang w:val="es-ES_tradnl"/>
        </w:rPr>
        <w:t>Es as</w:t>
      </w:r>
      <w:r>
        <w:rPr>
          <w:rFonts w:cs="Times New Roman"/>
          <w:spacing w:val="-2"/>
          <w:sz w:val="18"/>
          <w:szCs w:val="18"/>
          <w:lang w:val="es-ES_tradnl"/>
        </w:rPr>
        <w:t>í</w:t>
      </w:r>
      <w:r>
        <w:rPr>
          <w:spacing w:val="-2"/>
          <w:sz w:val="18"/>
          <w:szCs w:val="18"/>
          <w:lang w:val="es-ES_tradnl"/>
        </w:rPr>
        <w:t xml:space="preserve"> que la motivaci</w:t>
      </w:r>
      <w:r>
        <w:rPr>
          <w:rFonts w:cs="Times New Roman"/>
          <w:spacing w:val="-2"/>
          <w:sz w:val="18"/>
          <w:szCs w:val="18"/>
          <w:lang w:val="es-ES_tradnl"/>
        </w:rPr>
        <w:t>ó</w:t>
      </w:r>
      <w:r>
        <w:rPr>
          <w:spacing w:val="-2"/>
          <w:sz w:val="18"/>
          <w:szCs w:val="18"/>
          <w:lang w:val="es-ES_tradnl"/>
        </w:rPr>
        <w:t>n, como garant</w:t>
      </w:r>
      <w:r>
        <w:rPr>
          <w:rFonts w:cs="Times New Roman"/>
          <w:spacing w:val="-2"/>
          <w:sz w:val="18"/>
          <w:szCs w:val="18"/>
          <w:lang w:val="es-ES_tradnl"/>
        </w:rPr>
        <w:t>í</w:t>
      </w:r>
      <w:r>
        <w:rPr>
          <w:spacing w:val="-2"/>
          <w:sz w:val="18"/>
          <w:szCs w:val="18"/>
          <w:lang w:val="es-ES_tradnl"/>
        </w:rPr>
        <w:t xml:space="preserve">a del debido </w:t>
      </w:r>
      <w:r>
        <w:rPr>
          <w:spacing w:val="-4"/>
          <w:sz w:val="18"/>
          <w:szCs w:val="18"/>
          <w:lang w:val="es-ES_tradnl"/>
        </w:rPr>
        <w:t xml:space="preserve">proceso, contiene tres criterios para su cumplimiento </w:t>
      </w:r>
      <w:r>
        <w:rPr>
          <w:spacing w:val="-8"/>
          <w:sz w:val="18"/>
          <w:szCs w:val="18"/>
          <w:lang w:val="es-ES_tradnl"/>
        </w:rPr>
        <w:t>efectivo que deben verificarse: 1) Razonabilidad; 2) L</w:t>
      </w:r>
      <w:r>
        <w:rPr>
          <w:rFonts w:cs="Times New Roman"/>
          <w:spacing w:val="-8"/>
          <w:sz w:val="18"/>
          <w:szCs w:val="18"/>
          <w:lang w:val="es-ES_tradnl"/>
        </w:rPr>
        <w:t>ó</w:t>
      </w:r>
      <w:r>
        <w:rPr>
          <w:spacing w:val="-8"/>
          <w:sz w:val="18"/>
          <w:szCs w:val="18"/>
          <w:lang w:val="es-ES_tradnl"/>
        </w:rPr>
        <w:t xml:space="preserve">gica </w:t>
      </w:r>
      <w:r>
        <w:rPr>
          <w:spacing w:val="-5"/>
          <w:sz w:val="18"/>
          <w:szCs w:val="18"/>
          <w:lang w:val="es-ES_tradnl"/>
        </w:rPr>
        <w:t>y, 3) Comprensibilidad. En relaci</w:t>
      </w:r>
      <w:r>
        <w:rPr>
          <w:rFonts w:cs="Times New Roman"/>
          <w:spacing w:val="-5"/>
          <w:sz w:val="18"/>
          <w:szCs w:val="18"/>
          <w:lang w:val="es-ES_tradnl"/>
        </w:rPr>
        <w:t>ó</w:t>
      </w:r>
      <w:r>
        <w:rPr>
          <w:spacing w:val="-5"/>
          <w:sz w:val="18"/>
          <w:szCs w:val="18"/>
          <w:lang w:val="es-ES_tradnl"/>
        </w:rPr>
        <w:t xml:space="preserve">n a estos, esta Corte </w:t>
      </w:r>
      <w:r>
        <w:rPr>
          <w:spacing w:val="-7"/>
          <w:sz w:val="18"/>
          <w:szCs w:val="18"/>
          <w:lang w:val="es-ES_tradnl"/>
        </w:rPr>
        <w:t>Constitucional ha se</w:t>
      </w:r>
      <w:r>
        <w:rPr>
          <w:rFonts w:cs="Times New Roman"/>
          <w:spacing w:val="-7"/>
          <w:sz w:val="18"/>
          <w:szCs w:val="18"/>
          <w:lang w:val="es-ES_tradnl"/>
        </w:rPr>
        <w:t>ñ</w:t>
      </w:r>
      <w:r>
        <w:rPr>
          <w:spacing w:val="-7"/>
          <w:sz w:val="18"/>
          <w:szCs w:val="18"/>
          <w:lang w:val="es-ES_tradnl"/>
        </w:rPr>
        <w:t>alado previamente lo siguiente:</w:t>
      </w:r>
    </w:p>
    <w:p w14:paraId="4F67B620" w14:textId="77777777" w:rsidR="00591D54" w:rsidRDefault="00591D54">
      <w:pPr>
        <w:shd w:val="clear" w:color="auto" w:fill="FFFFFF"/>
        <w:spacing w:before="211" w:line="216" w:lineRule="exact"/>
        <w:ind w:left="283" w:right="5"/>
        <w:jc w:val="both"/>
      </w:pPr>
      <w:r>
        <w:rPr>
          <w:sz w:val="14"/>
          <w:szCs w:val="14"/>
          <w:lang w:val="es-ES_tradnl"/>
        </w:rPr>
        <w:t>(</w:t>
      </w:r>
      <w:r>
        <w:rPr>
          <w:rFonts w:cs="Times New Roman"/>
          <w:sz w:val="14"/>
          <w:szCs w:val="14"/>
          <w:lang w:val="es-ES_tradnl"/>
        </w:rPr>
        <w:t>…</w:t>
      </w:r>
      <w:r>
        <w:rPr>
          <w:sz w:val="14"/>
          <w:szCs w:val="14"/>
          <w:lang w:val="es-ES_tradnl"/>
        </w:rPr>
        <w:t xml:space="preserve">) la </w:t>
      </w:r>
      <w:r>
        <w:rPr>
          <w:b/>
          <w:bCs/>
          <w:sz w:val="14"/>
          <w:szCs w:val="14"/>
          <w:lang w:val="es-ES_tradnl"/>
        </w:rPr>
        <w:t xml:space="preserve">razonabilidad </w:t>
      </w:r>
      <w:r>
        <w:rPr>
          <w:sz w:val="14"/>
          <w:szCs w:val="14"/>
          <w:lang w:val="es-ES_tradnl"/>
        </w:rPr>
        <w:t>implica que la decisi</w:t>
      </w:r>
      <w:r>
        <w:rPr>
          <w:rFonts w:cs="Times New Roman"/>
          <w:sz w:val="14"/>
          <w:szCs w:val="14"/>
          <w:lang w:val="es-ES_tradnl"/>
        </w:rPr>
        <w:t>ó</w:t>
      </w:r>
      <w:r>
        <w:rPr>
          <w:sz w:val="14"/>
          <w:szCs w:val="14"/>
          <w:lang w:val="es-ES_tradnl"/>
        </w:rPr>
        <w:t xml:space="preserve">n se encuentre fundada en normas constitucionales y en normas legales que sean pertinentes al caso concreto, y que en tal virtud los argumentos del </w:t>
      </w:r>
      <w:r>
        <w:rPr>
          <w:rFonts w:cs="Times New Roman"/>
          <w:sz w:val="14"/>
          <w:szCs w:val="14"/>
          <w:lang w:val="es-ES_tradnl"/>
        </w:rPr>
        <w:t>ó</w:t>
      </w:r>
      <w:r>
        <w:rPr>
          <w:sz w:val="14"/>
          <w:szCs w:val="14"/>
          <w:lang w:val="es-ES_tradnl"/>
        </w:rPr>
        <w:t xml:space="preserve">rgano judicial no contradigan estas. Por su </w:t>
      </w:r>
      <w:r>
        <w:rPr>
          <w:spacing w:val="-2"/>
          <w:sz w:val="14"/>
          <w:szCs w:val="14"/>
          <w:lang w:val="es-ES_tradnl"/>
        </w:rPr>
        <w:t xml:space="preserve">parte, la </w:t>
      </w:r>
      <w:r>
        <w:rPr>
          <w:b/>
          <w:bCs/>
          <w:spacing w:val="-2"/>
          <w:sz w:val="14"/>
          <w:szCs w:val="14"/>
          <w:lang w:val="es-ES_tradnl"/>
        </w:rPr>
        <w:t>l</w:t>
      </w:r>
      <w:r>
        <w:rPr>
          <w:rFonts w:cs="Times New Roman"/>
          <w:b/>
          <w:bCs/>
          <w:spacing w:val="-2"/>
          <w:sz w:val="14"/>
          <w:szCs w:val="14"/>
          <w:lang w:val="es-ES_tradnl"/>
        </w:rPr>
        <w:t>ó</w:t>
      </w:r>
      <w:r>
        <w:rPr>
          <w:b/>
          <w:bCs/>
          <w:spacing w:val="-2"/>
          <w:sz w:val="14"/>
          <w:szCs w:val="14"/>
          <w:lang w:val="es-ES_tradnl"/>
        </w:rPr>
        <w:t xml:space="preserve">gica </w:t>
      </w:r>
      <w:r>
        <w:rPr>
          <w:spacing w:val="-2"/>
          <w:sz w:val="14"/>
          <w:szCs w:val="14"/>
          <w:lang w:val="es-ES_tradnl"/>
        </w:rPr>
        <w:t>exige que las decisiones judiciales se encuentren estructuradas en un orden l</w:t>
      </w:r>
      <w:r>
        <w:rPr>
          <w:rFonts w:cs="Times New Roman"/>
          <w:spacing w:val="-2"/>
          <w:sz w:val="14"/>
          <w:szCs w:val="14"/>
          <w:lang w:val="es-ES_tradnl"/>
        </w:rPr>
        <w:t>ó</w:t>
      </w:r>
      <w:r>
        <w:rPr>
          <w:spacing w:val="-2"/>
          <w:sz w:val="14"/>
          <w:szCs w:val="14"/>
          <w:lang w:val="es-ES_tradnl"/>
        </w:rPr>
        <w:t xml:space="preserve">gico, es decir, que exista una debida </w:t>
      </w:r>
      <w:r>
        <w:rPr>
          <w:sz w:val="14"/>
          <w:szCs w:val="14"/>
          <w:lang w:val="es-ES_tradnl"/>
        </w:rPr>
        <w:t>coherencia entre las premisas que conforman una decisi</w:t>
      </w:r>
      <w:r>
        <w:rPr>
          <w:rFonts w:cs="Times New Roman"/>
          <w:sz w:val="14"/>
          <w:szCs w:val="14"/>
          <w:lang w:val="es-ES_tradnl"/>
        </w:rPr>
        <w:t>ó</w:t>
      </w:r>
      <w:r>
        <w:rPr>
          <w:sz w:val="14"/>
          <w:szCs w:val="14"/>
          <w:lang w:val="es-ES_tradnl"/>
        </w:rPr>
        <w:t>n, las cuales deber</w:t>
      </w:r>
      <w:r>
        <w:rPr>
          <w:rFonts w:cs="Times New Roman"/>
          <w:sz w:val="14"/>
          <w:szCs w:val="14"/>
          <w:lang w:val="es-ES_tradnl"/>
        </w:rPr>
        <w:t>á</w:t>
      </w:r>
      <w:r>
        <w:rPr>
          <w:sz w:val="14"/>
          <w:szCs w:val="14"/>
          <w:lang w:val="es-ES_tradnl"/>
        </w:rPr>
        <w:t>n guardar relaci</w:t>
      </w:r>
      <w:r>
        <w:rPr>
          <w:rFonts w:cs="Times New Roman"/>
          <w:sz w:val="14"/>
          <w:szCs w:val="14"/>
          <w:lang w:val="es-ES_tradnl"/>
        </w:rPr>
        <w:t>ó</w:t>
      </w:r>
      <w:r>
        <w:rPr>
          <w:sz w:val="14"/>
          <w:szCs w:val="14"/>
          <w:lang w:val="es-ES_tradnl"/>
        </w:rPr>
        <w:t>n con la decisi</w:t>
      </w:r>
      <w:r>
        <w:rPr>
          <w:rFonts w:cs="Times New Roman"/>
          <w:sz w:val="14"/>
          <w:szCs w:val="14"/>
          <w:lang w:val="es-ES_tradnl"/>
        </w:rPr>
        <w:t>ó</w:t>
      </w:r>
      <w:r>
        <w:rPr>
          <w:sz w:val="14"/>
          <w:szCs w:val="14"/>
          <w:lang w:val="es-ES_tradnl"/>
        </w:rPr>
        <w:t xml:space="preserve">n final del caso. Finalmente, la </w:t>
      </w:r>
      <w:r>
        <w:rPr>
          <w:b/>
          <w:bCs/>
          <w:sz w:val="14"/>
          <w:szCs w:val="14"/>
          <w:lang w:val="es-ES_tradnl"/>
        </w:rPr>
        <w:t xml:space="preserve">comprensibilidad </w:t>
      </w:r>
      <w:r>
        <w:rPr>
          <w:sz w:val="14"/>
          <w:szCs w:val="14"/>
          <w:lang w:val="es-ES_tradnl"/>
        </w:rPr>
        <w:t>establece que las decisiones judiciales tienen que ser elaboradas en un lenguaje claro y legible, que pueda ser asimilado efectivamente, no solo por las partes procesales, sino tambi</w:t>
      </w:r>
      <w:r>
        <w:rPr>
          <w:rFonts w:cs="Times New Roman"/>
          <w:sz w:val="14"/>
          <w:szCs w:val="14"/>
          <w:lang w:val="es-ES_tradnl"/>
        </w:rPr>
        <w:t>é</w:t>
      </w:r>
      <w:r>
        <w:rPr>
          <w:sz w:val="14"/>
          <w:szCs w:val="14"/>
          <w:lang w:val="es-ES_tradnl"/>
        </w:rPr>
        <w:t>n por toda la sociedad en general</w:t>
      </w:r>
    </w:p>
    <w:p w14:paraId="4F67B621" w14:textId="77777777" w:rsidR="00591D54" w:rsidRDefault="00591D54">
      <w:pPr>
        <w:shd w:val="clear" w:color="auto" w:fill="FFFFFF"/>
        <w:spacing w:before="10"/>
        <w:ind w:left="283"/>
      </w:pPr>
      <w:r>
        <w:rPr>
          <w:sz w:val="14"/>
          <w:szCs w:val="14"/>
          <w:lang w:val="es-ES_tradnl"/>
        </w:rPr>
        <w:t>(</w:t>
      </w:r>
      <w:r>
        <w:rPr>
          <w:rFonts w:cs="Times New Roman"/>
          <w:sz w:val="14"/>
          <w:szCs w:val="14"/>
          <w:lang w:val="es-ES_tradnl"/>
        </w:rPr>
        <w:t>…</w:t>
      </w:r>
      <w:r>
        <w:rPr>
          <w:sz w:val="14"/>
          <w:szCs w:val="14"/>
          <w:lang w:val="es-ES_tradnl"/>
        </w:rPr>
        <w:t>).</w:t>
      </w:r>
      <w:r>
        <w:rPr>
          <w:sz w:val="14"/>
          <w:szCs w:val="14"/>
          <w:vertAlign w:val="superscript"/>
          <w:lang w:val="es-ES_tradnl"/>
        </w:rPr>
        <w:t>8</w:t>
      </w:r>
    </w:p>
    <w:p w14:paraId="4F67B622" w14:textId="77777777" w:rsidR="00591D54" w:rsidRDefault="00591D54">
      <w:pPr>
        <w:shd w:val="clear" w:color="auto" w:fill="FFFFFF"/>
        <w:spacing w:before="206" w:line="221" w:lineRule="exact"/>
        <w:ind w:right="5"/>
        <w:jc w:val="both"/>
      </w:pPr>
      <w:r>
        <w:rPr>
          <w:spacing w:val="-10"/>
          <w:sz w:val="18"/>
          <w:szCs w:val="18"/>
          <w:lang w:val="es-ES_tradnl"/>
        </w:rPr>
        <w:t xml:space="preserve">Por tal motivo, debemos tomar en cuenta que toda sentencia </w:t>
      </w:r>
      <w:r>
        <w:rPr>
          <w:spacing w:val="-6"/>
          <w:sz w:val="18"/>
          <w:szCs w:val="18"/>
          <w:lang w:val="es-ES_tradnl"/>
        </w:rPr>
        <w:t>o auto se considerar</w:t>
      </w:r>
      <w:r>
        <w:rPr>
          <w:rFonts w:cs="Times New Roman"/>
          <w:spacing w:val="-6"/>
          <w:sz w:val="18"/>
          <w:szCs w:val="18"/>
          <w:lang w:val="es-ES_tradnl"/>
        </w:rPr>
        <w:t>á</w:t>
      </w:r>
      <w:r>
        <w:rPr>
          <w:spacing w:val="-6"/>
          <w:sz w:val="18"/>
          <w:szCs w:val="18"/>
          <w:lang w:val="es-ES_tradnl"/>
        </w:rPr>
        <w:t xml:space="preserve"> debidamente motivado mientras cumpla con los tres criterios que se deben verificar en </w:t>
      </w:r>
      <w:r>
        <w:rPr>
          <w:spacing w:val="-7"/>
          <w:sz w:val="18"/>
          <w:szCs w:val="18"/>
          <w:lang w:val="es-ES_tradnl"/>
        </w:rPr>
        <w:t>relaci</w:t>
      </w:r>
      <w:r>
        <w:rPr>
          <w:rFonts w:cs="Times New Roman"/>
          <w:spacing w:val="-7"/>
          <w:sz w:val="18"/>
          <w:szCs w:val="18"/>
          <w:lang w:val="es-ES_tradnl"/>
        </w:rPr>
        <w:t>ó</w:t>
      </w:r>
      <w:r>
        <w:rPr>
          <w:spacing w:val="-7"/>
          <w:sz w:val="18"/>
          <w:szCs w:val="18"/>
          <w:lang w:val="es-ES_tradnl"/>
        </w:rPr>
        <w:t>n a la garant</w:t>
      </w:r>
      <w:r>
        <w:rPr>
          <w:rFonts w:cs="Times New Roman"/>
          <w:spacing w:val="-7"/>
          <w:sz w:val="18"/>
          <w:szCs w:val="18"/>
          <w:lang w:val="es-ES_tradnl"/>
        </w:rPr>
        <w:t>í</w:t>
      </w:r>
      <w:r>
        <w:rPr>
          <w:spacing w:val="-7"/>
          <w:sz w:val="18"/>
          <w:szCs w:val="18"/>
          <w:lang w:val="es-ES_tradnl"/>
        </w:rPr>
        <w:t>a de la motivaci</w:t>
      </w:r>
      <w:r>
        <w:rPr>
          <w:rFonts w:cs="Times New Roman"/>
          <w:spacing w:val="-7"/>
          <w:sz w:val="18"/>
          <w:szCs w:val="18"/>
          <w:lang w:val="es-ES_tradnl"/>
        </w:rPr>
        <w:t>ó</w:t>
      </w:r>
      <w:r>
        <w:rPr>
          <w:spacing w:val="-7"/>
          <w:sz w:val="18"/>
          <w:szCs w:val="18"/>
          <w:lang w:val="es-ES_tradnl"/>
        </w:rPr>
        <w:t>n, teniendo presente que la falta de uno de ellos, acarrear</w:t>
      </w:r>
      <w:r>
        <w:rPr>
          <w:rFonts w:cs="Times New Roman"/>
          <w:spacing w:val="-7"/>
          <w:sz w:val="18"/>
          <w:szCs w:val="18"/>
          <w:lang w:val="es-ES_tradnl"/>
        </w:rPr>
        <w:t>á</w:t>
      </w:r>
      <w:r>
        <w:rPr>
          <w:spacing w:val="-7"/>
          <w:sz w:val="18"/>
          <w:szCs w:val="18"/>
          <w:lang w:val="es-ES_tradnl"/>
        </w:rPr>
        <w:t xml:space="preserve"> la vulneraci</w:t>
      </w:r>
      <w:r>
        <w:rPr>
          <w:rFonts w:cs="Times New Roman"/>
          <w:spacing w:val="-7"/>
          <w:sz w:val="18"/>
          <w:szCs w:val="18"/>
          <w:lang w:val="es-ES_tradnl"/>
        </w:rPr>
        <w:t>ó</w:t>
      </w:r>
      <w:r>
        <w:rPr>
          <w:spacing w:val="-7"/>
          <w:sz w:val="18"/>
          <w:szCs w:val="18"/>
          <w:lang w:val="es-ES_tradnl"/>
        </w:rPr>
        <w:t xml:space="preserve">n de la </w:t>
      </w:r>
      <w:r>
        <w:rPr>
          <w:spacing w:val="-10"/>
          <w:sz w:val="18"/>
          <w:szCs w:val="18"/>
          <w:lang w:val="es-ES_tradnl"/>
        </w:rPr>
        <w:t>misma y consecuentemente, del derecho al debido proceso.</w:t>
      </w:r>
    </w:p>
    <w:p w14:paraId="4F67B623" w14:textId="77777777" w:rsidR="00591D54" w:rsidRDefault="00591D54">
      <w:pPr>
        <w:shd w:val="clear" w:color="auto" w:fill="FFFFFF"/>
        <w:spacing w:before="202" w:line="216" w:lineRule="exact"/>
        <w:ind w:right="5"/>
        <w:jc w:val="both"/>
      </w:pPr>
      <w:r>
        <w:rPr>
          <w:spacing w:val="-9"/>
          <w:sz w:val="18"/>
          <w:szCs w:val="18"/>
          <w:lang w:val="es-ES_tradnl"/>
        </w:rPr>
        <w:t>Pues, la existencia de una motivaci</w:t>
      </w:r>
      <w:r>
        <w:rPr>
          <w:rFonts w:cs="Times New Roman"/>
          <w:spacing w:val="-9"/>
          <w:sz w:val="18"/>
          <w:szCs w:val="18"/>
          <w:lang w:val="es-ES_tradnl"/>
        </w:rPr>
        <w:t>ó</w:t>
      </w:r>
      <w:r>
        <w:rPr>
          <w:spacing w:val="-9"/>
          <w:sz w:val="18"/>
          <w:szCs w:val="18"/>
          <w:lang w:val="es-ES_tradnl"/>
        </w:rPr>
        <w:t>n suficiente, en funci</w:t>
      </w:r>
      <w:r>
        <w:rPr>
          <w:rFonts w:cs="Times New Roman"/>
          <w:spacing w:val="-9"/>
          <w:sz w:val="18"/>
          <w:szCs w:val="18"/>
          <w:lang w:val="es-ES_tradnl"/>
        </w:rPr>
        <w:t>ó</w:t>
      </w:r>
      <w:r>
        <w:rPr>
          <w:spacing w:val="-9"/>
          <w:sz w:val="18"/>
          <w:szCs w:val="18"/>
          <w:lang w:val="es-ES_tradnl"/>
        </w:rPr>
        <w:t xml:space="preserve">n </w:t>
      </w:r>
      <w:r>
        <w:rPr>
          <w:spacing w:val="-3"/>
          <w:sz w:val="18"/>
          <w:szCs w:val="18"/>
          <w:lang w:val="es-ES_tradnl"/>
        </w:rPr>
        <w:t>de los aspectos jur</w:t>
      </w:r>
      <w:r>
        <w:rPr>
          <w:rFonts w:cs="Times New Roman"/>
          <w:spacing w:val="-3"/>
          <w:sz w:val="18"/>
          <w:szCs w:val="18"/>
          <w:lang w:val="es-ES_tradnl"/>
        </w:rPr>
        <w:t>í</w:t>
      </w:r>
      <w:r>
        <w:rPr>
          <w:spacing w:val="-3"/>
          <w:sz w:val="18"/>
          <w:szCs w:val="18"/>
          <w:lang w:val="es-ES_tradnl"/>
        </w:rPr>
        <w:t xml:space="preserve">dicos que se susciten de acuerdo a </w:t>
      </w:r>
      <w:r>
        <w:rPr>
          <w:spacing w:val="-9"/>
          <w:sz w:val="18"/>
          <w:szCs w:val="18"/>
          <w:lang w:val="es-ES_tradnl"/>
        </w:rPr>
        <w:t xml:space="preserve">las circunstancias de cada caso concreto, representa una </w:t>
      </w:r>
      <w:r>
        <w:rPr>
          <w:spacing w:val="-6"/>
          <w:sz w:val="18"/>
          <w:szCs w:val="18"/>
          <w:lang w:val="es-ES_tradnl"/>
        </w:rPr>
        <w:t>garant</w:t>
      </w:r>
      <w:r>
        <w:rPr>
          <w:rFonts w:cs="Times New Roman"/>
          <w:spacing w:val="-6"/>
          <w:sz w:val="18"/>
          <w:szCs w:val="18"/>
          <w:lang w:val="es-ES_tradnl"/>
        </w:rPr>
        <w:t>í</w:t>
      </w:r>
      <w:r>
        <w:rPr>
          <w:spacing w:val="-6"/>
          <w:sz w:val="18"/>
          <w:szCs w:val="18"/>
          <w:lang w:val="es-ES_tradnl"/>
        </w:rPr>
        <w:t xml:space="preserve">a sustancial para los derechos de los justiciables, </w:t>
      </w:r>
      <w:r>
        <w:rPr>
          <w:spacing w:val="-10"/>
          <w:sz w:val="18"/>
          <w:szCs w:val="18"/>
          <w:lang w:val="es-ES_tradnl"/>
        </w:rPr>
        <w:t>toda vez que la exteriorizaci</w:t>
      </w:r>
      <w:r>
        <w:rPr>
          <w:rFonts w:cs="Times New Roman"/>
          <w:spacing w:val="-10"/>
          <w:sz w:val="18"/>
          <w:szCs w:val="18"/>
          <w:lang w:val="es-ES_tradnl"/>
        </w:rPr>
        <w:t>ó</w:t>
      </w:r>
      <w:r>
        <w:rPr>
          <w:spacing w:val="-10"/>
          <w:sz w:val="18"/>
          <w:szCs w:val="18"/>
          <w:lang w:val="es-ES_tradnl"/>
        </w:rPr>
        <w:t>n de los rasgos m</w:t>
      </w:r>
      <w:r>
        <w:rPr>
          <w:rFonts w:cs="Times New Roman"/>
          <w:spacing w:val="-10"/>
          <w:sz w:val="18"/>
          <w:szCs w:val="18"/>
          <w:lang w:val="es-ES_tradnl"/>
        </w:rPr>
        <w:t>á</w:t>
      </w:r>
      <w:r>
        <w:rPr>
          <w:spacing w:val="-10"/>
          <w:sz w:val="18"/>
          <w:szCs w:val="18"/>
          <w:lang w:val="es-ES_tradnl"/>
        </w:rPr>
        <w:t xml:space="preserve">s esenciales </w:t>
      </w:r>
      <w:r>
        <w:rPr>
          <w:spacing w:val="-1"/>
          <w:sz w:val="18"/>
          <w:szCs w:val="18"/>
          <w:lang w:val="es-ES_tradnl"/>
        </w:rPr>
        <w:t xml:space="preserve">del razonamiento que llevaron a los </w:t>
      </w:r>
      <w:r>
        <w:rPr>
          <w:rFonts w:cs="Times New Roman"/>
          <w:spacing w:val="-1"/>
          <w:sz w:val="18"/>
          <w:szCs w:val="18"/>
          <w:lang w:val="es-ES_tradnl"/>
        </w:rPr>
        <w:t>ó</w:t>
      </w:r>
      <w:r>
        <w:rPr>
          <w:spacing w:val="-1"/>
          <w:sz w:val="18"/>
          <w:szCs w:val="18"/>
          <w:lang w:val="es-ES_tradnl"/>
        </w:rPr>
        <w:t xml:space="preserve">rganos judiciales </w:t>
      </w:r>
      <w:r>
        <w:rPr>
          <w:spacing w:val="-7"/>
          <w:sz w:val="18"/>
          <w:szCs w:val="18"/>
          <w:lang w:val="es-ES_tradnl"/>
        </w:rPr>
        <w:t>a adoptar su decisi</w:t>
      </w:r>
      <w:r>
        <w:rPr>
          <w:rFonts w:cs="Times New Roman"/>
          <w:spacing w:val="-7"/>
          <w:sz w:val="18"/>
          <w:szCs w:val="18"/>
          <w:lang w:val="es-ES_tradnl"/>
        </w:rPr>
        <w:t>ó</w:t>
      </w:r>
      <w:r>
        <w:rPr>
          <w:spacing w:val="-7"/>
          <w:sz w:val="18"/>
          <w:szCs w:val="18"/>
          <w:lang w:val="es-ES_tradnl"/>
        </w:rPr>
        <w:t>n, permite apreciar el examen de las razones contenidas en la resoluci</w:t>
      </w:r>
      <w:r>
        <w:rPr>
          <w:rFonts w:cs="Times New Roman"/>
          <w:spacing w:val="-7"/>
          <w:sz w:val="18"/>
          <w:szCs w:val="18"/>
          <w:lang w:val="es-ES_tradnl"/>
        </w:rPr>
        <w:t>ó</w:t>
      </w:r>
      <w:r>
        <w:rPr>
          <w:spacing w:val="-7"/>
          <w:sz w:val="18"/>
          <w:szCs w:val="18"/>
          <w:lang w:val="es-ES_tradnl"/>
        </w:rPr>
        <w:t>n judicial.</w:t>
      </w:r>
    </w:p>
    <w:p w14:paraId="4F67B624" w14:textId="77777777" w:rsidR="00591D54" w:rsidRDefault="00591D54">
      <w:pPr>
        <w:shd w:val="clear" w:color="auto" w:fill="FFFFFF"/>
        <w:spacing w:before="197" w:line="221" w:lineRule="exact"/>
        <w:jc w:val="both"/>
      </w:pPr>
      <w:r>
        <w:rPr>
          <w:spacing w:val="-9"/>
          <w:sz w:val="18"/>
          <w:szCs w:val="18"/>
          <w:lang w:val="es-ES_tradnl"/>
        </w:rPr>
        <w:t>Una vez se</w:t>
      </w:r>
      <w:r>
        <w:rPr>
          <w:rFonts w:cs="Times New Roman"/>
          <w:spacing w:val="-9"/>
          <w:sz w:val="18"/>
          <w:szCs w:val="18"/>
          <w:lang w:val="es-ES_tradnl"/>
        </w:rPr>
        <w:t>ñ</w:t>
      </w:r>
      <w:r>
        <w:rPr>
          <w:spacing w:val="-9"/>
          <w:sz w:val="18"/>
          <w:szCs w:val="18"/>
          <w:lang w:val="es-ES_tradnl"/>
        </w:rPr>
        <w:t xml:space="preserve">aladas las consideraciones anteriores, la Corte </w:t>
      </w:r>
      <w:r>
        <w:rPr>
          <w:spacing w:val="-4"/>
          <w:sz w:val="18"/>
          <w:szCs w:val="18"/>
          <w:lang w:val="es-ES_tradnl"/>
        </w:rPr>
        <w:t>Constitucional proceder</w:t>
      </w:r>
      <w:r>
        <w:rPr>
          <w:rFonts w:cs="Times New Roman"/>
          <w:spacing w:val="-4"/>
          <w:sz w:val="18"/>
          <w:szCs w:val="18"/>
          <w:lang w:val="es-ES_tradnl"/>
        </w:rPr>
        <w:t>á</w:t>
      </w:r>
      <w:r>
        <w:rPr>
          <w:spacing w:val="-4"/>
          <w:sz w:val="18"/>
          <w:szCs w:val="18"/>
          <w:lang w:val="es-ES_tradnl"/>
        </w:rPr>
        <w:t xml:space="preserve"> al an</w:t>
      </w:r>
      <w:r>
        <w:rPr>
          <w:rFonts w:cs="Times New Roman"/>
          <w:spacing w:val="-4"/>
          <w:sz w:val="18"/>
          <w:szCs w:val="18"/>
          <w:lang w:val="es-ES_tradnl"/>
        </w:rPr>
        <w:t>á</w:t>
      </w:r>
      <w:r>
        <w:rPr>
          <w:spacing w:val="-4"/>
          <w:sz w:val="18"/>
          <w:szCs w:val="18"/>
          <w:lang w:val="es-ES_tradnl"/>
        </w:rPr>
        <w:t xml:space="preserve">lisis del caso </w:t>
      </w:r>
      <w:r>
        <w:rPr>
          <w:i/>
          <w:iCs/>
          <w:spacing w:val="-4"/>
          <w:sz w:val="18"/>
          <w:szCs w:val="18"/>
          <w:lang w:val="es-ES_tradnl"/>
        </w:rPr>
        <w:t>sub judice</w:t>
      </w:r>
      <w:r>
        <w:rPr>
          <w:spacing w:val="-4"/>
          <w:sz w:val="18"/>
          <w:szCs w:val="18"/>
          <w:lang w:val="es-ES_tradnl"/>
        </w:rPr>
        <w:t>,</w:t>
      </w:r>
    </w:p>
    <w:p w14:paraId="4F67B625" w14:textId="77777777" w:rsidR="00591D54" w:rsidRDefault="00591D54">
      <w:pPr>
        <w:shd w:val="clear" w:color="auto" w:fill="FFFFFF"/>
        <w:tabs>
          <w:tab w:val="left" w:pos="139"/>
        </w:tabs>
        <w:spacing w:before="437" w:line="182" w:lineRule="exact"/>
        <w:ind w:left="139" w:hanging="139"/>
      </w:pPr>
      <w:r>
        <w:rPr>
          <w:sz w:val="10"/>
          <w:szCs w:val="10"/>
          <w:vertAlign w:val="superscript"/>
          <w:lang w:val="es-ES_tradnl"/>
        </w:rPr>
        <w:t>7</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w:t>
      </w:r>
      <w:r>
        <w:rPr>
          <w:sz w:val="18"/>
          <w:szCs w:val="18"/>
          <w:lang w:val="es-ES_tradnl"/>
        </w:rPr>
        <w:t xml:space="preserve"> </w:t>
      </w:r>
      <w:r>
        <w:rPr>
          <w:sz w:val="14"/>
          <w:szCs w:val="14"/>
          <w:lang w:val="es-ES_tradnl"/>
        </w:rPr>
        <w:t>076-13-SEP-CC, caso N.</w:t>
      </w:r>
      <w:r>
        <w:rPr>
          <w:rFonts w:cs="Times New Roman"/>
          <w:sz w:val="14"/>
          <w:szCs w:val="14"/>
          <w:lang w:val="es-ES_tradnl"/>
        </w:rPr>
        <w:t>°</w:t>
      </w:r>
      <w:r>
        <w:rPr>
          <w:sz w:val="14"/>
          <w:szCs w:val="14"/>
          <w:lang w:val="es-ES_tradnl"/>
        </w:rPr>
        <w:t xml:space="preserve"> 1242-10-EP.</w:t>
      </w:r>
    </w:p>
    <w:p w14:paraId="4F67B626" w14:textId="77777777" w:rsidR="00591D54" w:rsidRDefault="00591D54">
      <w:pPr>
        <w:shd w:val="clear" w:color="auto" w:fill="FFFFFF"/>
        <w:tabs>
          <w:tab w:val="left" w:pos="139"/>
        </w:tabs>
        <w:spacing w:before="149" w:line="178" w:lineRule="exact"/>
        <w:ind w:left="139" w:hanging="139"/>
      </w:pPr>
      <w:r>
        <w:rPr>
          <w:sz w:val="10"/>
          <w:szCs w:val="10"/>
          <w:vertAlign w:val="superscript"/>
          <w:lang w:val="es-ES_tradnl"/>
        </w:rPr>
        <w:t>8</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w:t>
      </w:r>
      <w:r>
        <w:rPr>
          <w:sz w:val="18"/>
          <w:szCs w:val="18"/>
          <w:lang w:val="es-ES_tradnl"/>
        </w:rPr>
        <w:t xml:space="preserve"> </w:t>
      </w:r>
      <w:r>
        <w:rPr>
          <w:sz w:val="14"/>
          <w:szCs w:val="14"/>
          <w:lang w:val="es-ES_tradnl"/>
        </w:rPr>
        <w:t>167-14-SEP-CC, caso N.</w:t>
      </w:r>
      <w:r>
        <w:rPr>
          <w:rFonts w:cs="Times New Roman"/>
          <w:sz w:val="14"/>
          <w:szCs w:val="14"/>
          <w:lang w:val="es-ES_tradnl"/>
        </w:rPr>
        <w:t>°</w:t>
      </w:r>
      <w:r>
        <w:rPr>
          <w:sz w:val="14"/>
          <w:szCs w:val="14"/>
          <w:lang w:val="es-ES_tradnl"/>
        </w:rPr>
        <w:t xml:space="preserve"> 1644-11-EP.</w:t>
      </w:r>
    </w:p>
    <w:p w14:paraId="4F67B627" w14:textId="77777777" w:rsidR="00591D54" w:rsidRDefault="00591D54">
      <w:pPr>
        <w:shd w:val="clear" w:color="auto" w:fill="FFFFFF"/>
        <w:spacing w:line="216" w:lineRule="exact"/>
        <w:jc w:val="both"/>
      </w:pPr>
      <w:r>
        <w:br w:type="column"/>
      </w:r>
      <w:r>
        <w:rPr>
          <w:spacing w:val="-9"/>
          <w:sz w:val="18"/>
          <w:szCs w:val="18"/>
          <w:lang w:val="es-ES_tradnl"/>
        </w:rPr>
        <w:t xml:space="preserve">determinando si el auto impugnado cumple con los criterios </w:t>
      </w:r>
      <w:r>
        <w:rPr>
          <w:sz w:val="18"/>
          <w:szCs w:val="18"/>
          <w:lang w:val="es-ES_tradnl"/>
        </w:rPr>
        <w:t>de motivaci</w:t>
      </w:r>
      <w:r>
        <w:rPr>
          <w:rFonts w:cs="Times New Roman"/>
          <w:sz w:val="18"/>
          <w:szCs w:val="18"/>
          <w:lang w:val="es-ES_tradnl"/>
        </w:rPr>
        <w:t>ó</w:t>
      </w:r>
      <w:r>
        <w:rPr>
          <w:sz w:val="18"/>
          <w:szCs w:val="18"/>
          <w:lang w:val="es-ES_tradnl"/>
        </w:rPr>
        <w:t>n antes indicados.</w:t>
      </w:r>
    </w:p>
    <w:p w14:paraId="4F67B628" w14:textId="77777777" w:rsidR="00591D54" w:rsidRDefault="00591D54">
      <w:pPr>
        <w:shd w:val="clear" w:color="auto" w:fill="FFFFFF"/>
        <w:spacing w:before="192"/>
      </w:pPr>
      <w:r>
        <w:rPr>
          <w:b/>
          <w:bCs/>
          <w:spacing w:val="-7"/>
          <w:sz w:val="18"/>
          <w:szCs w:val="18"/>
          <w:lang w:val="es-ES_tradnl"/>
        </w:rPr>
        <w:t>Sobre la razonabilidad</w:t>
      </w:r>
    </w:p>
    <w:p w14:paraId="4F67B629" w14:textId="77777777" w:rsidR="00591D54" w:rsidRDefault="00591D54">
      <w:pPr>
        <w:shd w:val="clear" w:color="auto" w:fill="FFFFFF"/>
        <w:spacing w:before="197" w:line="216" w:lineRule="exact"/>
        <w:jc w:val="both"/>
      </w:pPr>
      <w:r>
        <w:rPr>
          <w:spacing w:val="-7"/>
          <w:sz w:val="18"/>
          <w:szCs w:val="18"/>
          <w:lang w:val="es-ES_tradnl"/>
        </w:rPr>
        <w:t>Como se estableci</w:t>
      </w:r>
      <w:r>
        <w:rPr>
          <w:rFonts w:cs="Times New Roman"/>
          <w:spacing w:val="-7"/>
          <w:sz w:val="18"/>
          <w:szCs w:val="18"/>
          <w:lang w:val="es-ES_tradnl"/>
        </w:rPr>
        <w:t>ó</w:t>
      </w:r>
      <w:r>
        <w:rPr>
          <w:spacing w:val="-7"/>
          <w:sz w:val="18"/>
          <w:szCs w:val="18"/>
          <w:lang w:val="es-ES_tradnl"/>
        </w:rPr>
        <w:t xml:space="preserve"> anteriormente, uno de los elementos </w:t>
      </w:r>
      <w:r>
        <w:rPr>
          <w:spacing w:val="-8"/>
          <w:sz w:val="18"/>
          <w:szCs w:val="18"/>
          <w:lang w:val="es-ES_tradnl"/>
        </w:rPr>
        <w:t>que debe contener una decisi</w:t>
      </w:r>
      <w:r>
        <w:rPr>
          <w:rFonts w:cs="Times New Roman"/>
          <w:spacing w:val="-8"/>
          <w:sz w:val="18"/>
          <w:szCs w:val="18"/>
          <w:lang w:val="es-ES_tradnl"/>
        </w:rPr>
        <w:t>ó</w:t>
      </w:r>
      <w:r>
        <w:rPr>
          <w:spacing w:val="-8"/>
          <w:sz w:val="18"/>
          <w:szCs w:val="18"/>
          <w:lang w:val="es-ES_tradnl"/>
        </w:rPr>
        <w:t>n judicial para considerarse motivada, es el de la razonabilidad, el cual consiste en que la resoluci</w:t>
      </w:r>
      <w:r>
        <w:rPr>
          <w:rFonts w:cs="Times New Roman"/>
          <w:spacing w:val="-8"/>
          <w:sz w:val="18"/>
          <w:szCs w:val="18"/>
          <w:lang w:val="es-ES_tradnl"/>
        </w:rPr>
        <w:t>ó</w:t>
      </w:r>
      <w:r>
        <w:rPr>
          <w:spacing w:val="-8"/>
          <w:sz w:val="18"/>
          <w:szCs w:val="18"/>
          <w:lang w:val="es-ES_tradnl"/>
        </w:rPr>
        <w:t>n debe ser dictada en armon</w:t>
      </w:r>
      <w:r>
        <w:rPr>
          <w:rFonts w:cs="Times New Roman"/>
          <w:spacing w:val="-8"/>
          <w:sz w:val="18"/>
          <w:szCs w:val="18"/>
          <w:lang w:val="es-ES_tradnl"/>
        </w:rPr>
        <w:t>í</w:t>
      </w:r>
      <w:r>
        <w:rPr>
          <w:spacing w:val="-8"/>
          <w:sz w:val="18"/>
          <w:szCs w:val="18"/>
          <w:lang w:val="es-ES_tradnl"/>
        </w:rPr>
        <w:t xml:space="preserve">a a los preceptos </w:t>
      </w:r>
      <w:r>
        <w:rPr>
          <w:spacing w:val="-11"/>
          <w:sz w:val="18"/>
          <w:szCs w:val="18"/>
          <w:lang w:val="es-ES_tradnl"/>
        </w:rPr>
        <w:t xml:space="preserve">constitucionales y legales que integran nuestro ordenamiento </w:t>
      </w:r>
      <w:r>
        <w:rPr>
          <w:spacing w:val="-8"/>
          <w:sz w:val="18"/>
          <w:szCs w:val="18"/>
          <w:lang w:val="es-ES_tradnl"/>
        </w:rPr>
        <w:t>jur</w:t>
      </w:r>
      <w:r>
        <w:rPr>
          <w:rFonts w:cs="Times New Roman"/>
          <w:spacing w:val="-8"/>
          <w:sz w:val="18"/>
          <w:szCs w:val="18"/>
          <w:lang w:val="es-ES_tradnl"/>
        </w:rPr>
        <w:t>í</w:t>
      </w:r>
      <w:r>
        <w:rPr>
          <w:spacing w:val="-8"/>
          <w:sz w:val="18"/>
          <w:szCs w:val="18"/>
          <w:lang w:val="es-ES_tradnl"/>
        </w:rPr>
        <w:t>dico y que sean pertinentes al caso concreto.</w:t>
      </w:r>
    </w:p>
    <w:p w14:paraId="4F67B62A" w14:textId="77777777" w:rsidR="00591D54" w:rsidRDefault="00591D54">
      <w:pPr>
        <w:shd w:val="clear" w:color="auto" w:fill="FFFFFF"/>
        <w:spacing w:before="192" w:line="216" w:lineRule="exact"/>
        <w:jc w:val="both"/>
      </w:pPr>
      <w:r>
        <w:rPr>
          <w:spacing w:val="-3"/>
          <w:sz w:val="18"/>
          <w:szCs w:val="18"/>
          <w:lang w:val="es-ES_tradnl"/>
        </w:rPr>
        <w:t>La Corte Constitucional observa que en el caso bajo examen, el accionante argument</w:t>
      </w:r>
      <w:r>
        <w:rPr>
          <w:rFonts w:cs="Times New Roman"/>
          <w:spacing w:val="-3"/>
          <w:sz w:val="18"/>
          <w:szCs w:val="18"/>
          <w:lang w:val="es-ES_tradnl"/>
        </w:rPr>
        <w:t>ó</w:t>
      </w:r>
      <w:r>
        <w:rPr>
          <w:spacing w:val="-3"/>
          <w:sz w:val="18"/>
          <w:szCs w:val="18"/>
          <w:lang w:val="es-ES_tradnl"/>
        </w:rPr>
        <w:t xml:space="preserve"> vulneraci</w:t>
      </w:r>
      <w:r>
        <w:rPr>
          <w:rFonts w:cs="Times New Roman"/>
          <w:spacing w:val="-3"/>
          <w:sz w:val="18"/>
          <w:szCs w:val="18"/>
          <w:lang w:val="es-ES_tradnl"/>
        </w:rPr>
        <w:t>ó</w:t>
      </w:r>
      <w:r>
        <w:rPr>
          <w:spacing w:val="-3"/>
          <w:sz w:val="18"/>
          <w:szCs w:val="18"/>
          <w:lang w:val="es-ES_tradnl"/>
        </w:rPr>
        <w:t xml:space="preserve">n a la </w:t>
      </w:r>
      <w:r>
        <w:rPr>
          <w:spacing w:val="-6"/>
          <w:sz w:val="18"/>
          <w:szCs w:val="18"/>
          <w:lang w:val="es-ES_tradnl"/>
        </w:rPr>
        <w:t>motivaci</w:t>
      </w:r>
      <w:r>
        <w:rPr>
          <w:rFonts w:cs="Times New Roman"/>
          <w:spacing w:val="-6"/>
          <w:sz w:val="18"/>
          <w:szCs w:val="18"/>
          <w:lang w:val="es-ES_tradnl"/>
        </w:rPr>
        <w:t>ó</w:t>
      </w:r>
      <w:r>
        <w:rPr>
          <w:spacing w:val="-6"/>
          <w:sz w:val="18"/>
          <w:szCs w:val="18"/>
          <w:lang w:val="es-ES_tradnl"/>
        </w:rPr>
        <w:t>n porque no existi</w:t>
      </w:r>
      <w:r>
        <w:rPr>
          <w:rFonts w:cs="Times New Roman"/>
          <w:spacing w:val="-6"/>
          <w:sz w:val="18"/>
          <w:szCs w:val="18"/>
          <w:lang w:val="es-ES_tradnl"/>
        </w:rPr>
        <w:t>ó</w:t>
      </w:r>
      <w:r>
        <w:rPr>
          <w:spacing w:val="-6"/>
          <w:sz w:val="18"/>
          <w:szCs w:val="18"/>
          <w:lang w:val="es-ES_tradnl"/>
        </w:rPr>
        <w:t xml:space="preserve"> fundamento para emitir una cauci</w:t>
      </w:r>
      <w:r>
        <w:rPr>
          <w:rFonts w:cs="Times New Roman"/>
          <w:spacing w:val="-6"/>
          <w:sz w:val="18"/>
          <w:szCs w:val="18"/>
          <w:lang w:val="es-ES_tradnl"/>
        </w:rPr>
        <w:t>ó</w:t>
      </w:r>
      <w:r>
        <w:rPr>
          <w:spacing w:val="-6"/>
          <w:sz w:val="18"/>
          <w:szCs w:val="18"/>
          <w:lang w:val="es-ES_tradnl"/>
        </w:rPr>
        <w:t>n elevada al interponer la acci</w:t>
      </w:r>
      <w:r>
        <w:rPr>
          <w:rFonts w:cs="Times New Roman"/>
          <w:spacing w:val="-6"/>
          <w:sz w:val="18"/>
          <w:szCs w:val="18"/>
          <w:lang w:val="es-ES_tradnl"/>
        </w:rPr>
        <w:t>ó</w:t>
      </w:r>
      <w:r>
        <w:rPr>
          <w:spacing w:val="-6"/>
          <w:sz w:val="18"/>
          <w:szCs w:val="18"/>
          <w:lang w:val="es-ES_tradnl"/>
        </w:rPr>
        <w:t xml:space="preserve">n de nulidad de un </w:t>
      </w:r>
      <w:r>
        <w:rPr>
          <w:spacing w:val="-9"/>
          <w:sz w:val="18"/>
          <w:szCs w:val="18"/>
          <w:lang w:val="es-ES_tradnl"/>
        </w:rPr>
        <w:t>laudo para que se suspendan los efectos del mismo.</w:t>
      </w:r>
    </w:p>
    <w:p w14:paraId="4F67B62B" w14:textId="77777777" w:rsidR="00591D54" w:rsidRDefault="00591D54">
      <w:pPr>
        <w:shd w:val="clear" w:color="auto" w:fill="FFFFFF"/>
        <w:spacing w:before="192" w:line="216" w:lineRule="exact"/>
        <w:jc w:val="both"/>
      </w:pPr>
      <w:r>
        <w:rPr>
          <w:spacing w:val="-4"/>
          <w:sz w:val="18"/>
          <w:szCs w:val="18"/>
          <w:lang w:val="es-ES_tradnl"/>
        </w:rPr>
        <w:t xml:space="preserve">Al respecto, se constata que el Tribunal Arbitral de la </w:t>
      </w:r>
      <w:r>
        <w:rPr>
          <w:spacing w:val="-10"/>
          <w:sz w:val="18"/>
          <w:szCs w:val="18"/>
          <w:lang w:val="es-ES_tradnl"/>
        </w:rPr>
        <w:t>C</w:t>
      </w:r>
      <w:r>
        <w:rPr>
          <w:rFonts w:cs="Times New Roman"/>
          <w:spacing w:val="-10"/>
          <w:sz w:val="18"/>
          <w:szCs w:val="18"/>
          <w:lang w:val="es-ES_tradnl"/>
        </w:rPr>
        <w:t>á</w:t>
      </w:r>
      <w:r>
        <w:rPr>
          <w:spacing w:val="-10"/>
          <w:sz w:val="18"/>
          <w:szCs w:val="18"/>
          <w:lang w:val="es-ES_tradnl"/>
        </w:rPr>
        <w:t>mara de Comercio de Quito se</w:t>
      </w:r>
      <w:r>
        <w:rPr>
          <w:rFonts w:cs="Times New Roman"/>
          <w:spacing w:val="-10"/>
          <w:sz w:val="18"/>
          <w:szCs w:val="18"/>
          <w:lang w:val="es-ES_tradnl"/>
        </w:rPr>
        <w:t>ñ</w:t>
      </w:r>
      <w:r>
        <w:rPr>
          <w:spacing w:val="-10"/>
          <w:sz w:val="18"/>
          <w:szCs w:val="18"/>
          <w:lang w:val="es-ES_tradnl"/>
        </w:rPr>
        <w:t>al</w:t>
      </w:r>
      <w:r>
        <w:rPr>
          <w:rFonts w:cs="Times New Roman"/>
          <w:spacing w:val="-10"/>
          <w:sz w:val="18"/>
          <w:szCs w:val="18"/>
          <w:lang w:val="es-ES_tradnl"/>
        </w:rPr>
        <w:t>ó</w:t>
      </w:r>
      <w:r>
        <w:rPr>
          <w:spacing w:val="-10"/>
          <w:sz w:val="18"/>
          <w:szCs w:val="18"/>
          <w:lang w:val="es-ES_tradnl"/>
        </w:rPr>
        <w:t xml:space="preserve"> como fundamento en </w:t>
      </w:r>
      <w:r>
        <w:rPr>
          <w:spacing w:val="-5"/>
          <w:sz w:val="18"/>
          <w:szCs w:val="18"/>
          <w:lang w:val="es-ES_tradnl"/>
        </w:rPr>
        <w:t>el auto impugnado el art</w:t>
      </w:r>
      <w:r>
        <w:rPr>
          <w:rFonts w:cs="Times New Roman"/>
          <w:spacing w:val="-5"/>
          <w:sz w:val="18"/>
          <w:szCs w:val="18"/>
          <w:lang w:val="es-ES_tradnl"/>
        </w:rPr>
        <w:t>í</w:t>
      </w:r>
      <w:r>
        <w:rPr>
          <w:spacing w:val="-5"/>
          <w:sz w:val="18"/>
          <w:szCs w:val="18"/>
          <w:lang w:val="es-ES_tradnl"/>
        </w:rPr>
        <w:t>culo 31 de la Ley de Arbitraje y Mediaci</w:t>
      </w:r>
      <w:r>
        <w:rPr>
          <w:rFonts w:cs="Times New Roman"/>
          <w:spacing w:val="-5"/>
          <w:sz w:val="18"/>
          <w:szCs w:val="18"/>
          <w:lang w:val="es-ES_tradnl"/>
        </w:rPr>
        <w:t>ó</w:t>
      </w:r>
      <w:r>
        <w:rPr>
          <w:spacing w:val="-5"/>
          <w:sz w:val="18"/>
          <w:szCs w:val="18"/>
          <w:lang w:val="es-ES_tradnl"/>
        </w:rPr>
        <w:t>n</w:t>
      </w:r>
      <w:r>
        <w:rPr>
          <w:spacing w:val="-5"/>
          <w:sz w:val="18"/>
          <w:szCs w:val="18"/>
          <w:vertAlign w:val="superscript"/>
          <w:lang w:val="es-ES_tradnl"/>
        </w:rPr>
        <w:t>9</w:t>
      </w:r>
      <w:r>
        <w:rPr>
          <w:spacing w:val="-5"/>
          <w:sz w:val="18"/>
          <w:szCs w:val="18"/>
          <w:lang w:val="es-ES_tradnl"/>
        </w:rPr>
        <w:t>, norma infraconstitucional que tiene relaci</w:t>
      </w:r>
      <w:r>
        <w:rPr>
          <w:rFonts w:cs="Times New Roman"/>
          <w:spacing w:val="-5"/>
          <w:sz w:val="18"/>
          <w:szCs w:val="18"/>
          <w:lang w:val="es-ES_tradnl"/>
        </w:rPr>
        <w:t>ó</w:t>
      </w:r>
      <w:r>
        <w:rPr>
          <w:spacing w:val="-5"/>
          <w:sz w:val="18"/>
          <w:szCs w:val="18"/>
          <w:lang w:val="es-ES_tradnl"/>
        </w:rPr>
        <w:t xml:space="preserve">n </w:t>
      </w:r>
      <w:r>
        <w:rPr>
          <w:spacing w:val="-10"/>
          <w:sz w:val="18"/>
          <w:szCs w:val="18"/>
          <w:lang w:val="es-ES_tradnl"/>
        </w:rPr>
        <w:t>con la cauci</w:t>
      </w:r>
      <w:r>
        <w:rPr>
          <w:rFonts w:cs="Times New Roman"/>
          <w:spacing w:val="-10"/>
          <w:sz w:val="18"/>
          <w:szCs w:val="18"/>
          <w:lang w:val="es-ES_tradnl"/>
        </w:rPr>
        <w:t>ó</w:t>
      </w:r>
      <w:r>
        <w:rPr>
          <w:spacing w:val="-10"/>
          <w:sz w:val="18"/>
          <w:szCs w:val="18"/>
          <w:lang w:val="es-ES_tradnl"/>
        </w:rPr>
        <w:t>n que deben rendir quienes interpongan acci</w:t>
      </w:r>
      <w:r>
        <w:rPr>
          <w:rFonts w:cs="Times New Roman"/>
          <w:spacing w:val="-10"/>
          <w:sz w:val="18"/>
          <w:szCs w:val="18"/>
          <w:lang w:val="es-ES_tradnl"/>
        </w:rPr>
        <w:t>ó</w:t>
      </w:r>
      <w:r>
        <w:rPr>
          <w:spacing w:val="-10"/>
          <w:sz w:val="18"/>
          <w:szCs w:val="18"/>
          <w:lang w:val="es-ES_tradnl"/>
        </w:rPr>
        <w:t xml:space="preserve">n </w:t>
      </w:r>
      <w:r>
        <w:rPr>
          <w:spacing w:val="-8"/>
          <w:sz w:val="18"/>
          <w:szCs w:val="18"/>
          <w:lang w:val="es-ES_tradnl"/>
        </w:rPr>
        <w:t xml:space="preserve">de nulidad de un laudo arbitral, con el fin de suspender sus </w:t>
      </w:r>
      <w:r>
        <w:rPr>
          <w:spacing w:val="-10"/>
          <w:sz w:val="18"/>
          <w:szCs w:val="18"/>
          <w:lang w:val="es-ES_tradnl"/>
        </w:rPr>
        <w:t>efectos, norma que guarda concordancia con la Constituci</w:t>
      </w:r>
      <w:r>
        <w:rPr>
          <w:rFonts w:cs="Times New Roman"/>
          <w:spacing w:val="-10"/>
          <w:sz w:val="18"/>
          <w:szCs w:val="18"/>
          <w:lang w:val="es-ES_tradnl"/>
        </w:rPr>
        <w:t>ó</w:t>
      </w:r>
      <w:r>
        <w:rPr>
          <w:spacing w:val="-10"/>
          <w:sz w:val="18"/>
          <w:szCs w:val="18"/>
          <w:lang w:val="es-ES_tradnl"/>
        </w:rPr>
        <w:t>n de la Rep</w:t>
      </w:r>
      <w:r>
        <w:rPr>
          <w:rFonts w:cs="Times New Roman"/>
          <w:spacing w:val="-10"/>
          <w:sz w:val="18"/>
          <w:szCs w:val="18"/>
          <w:lang w:val="es-ES_tradnl"/>
        </w:rPr>
        <w:t>ú</w:t>
      </w:r>
      <w:r>
        <w:rPr>
          <w:spacing w:val="-10"/>
          <w:sz w:val="18"/>
          <w:szCs w:val="18"/>
          <w:lang w:val="es-ES_tradnl"/>
        </w:rPr>
        <w:t>blica del Ecuador en relaci</w:t>
      </w:r>
      <w:r>
        <w:rPr>
          <w:rFonts w:cs="Times New Roman"/>
          <w:spacing w:val="-10"/>
          <w:sz w:val="18"/>
          <w:szCs w:val="18"/>
          <w:lang w:val="es-ES_tradnl"/>
        </w:rPr>
        <w:t>ó</w:t>
      </w:r>
      <w:r>
        <w:rPr>
          <w:spacing w:val="-10"/>
          <w:sz w:val="18"/>
          <w:szCs w:val="18"/>
          <w:lang w:val="es-ES_tradnl"/>
        </w:rPr>
        <w:t xml:space="preserve">n al derecho de poder </w:t>
      </w:r>
      <w:r>
        <w:rPr>
          <w:spacing w:val="-6"/>
          <w:sz w:val="18"/>
          <w:szCs w:val="18"/>
          <w:lang w:val="es-ES_tradnl"/>
        </w:rPr>
        <w:t>recurrir de los fallos como garant</w:t>
      </w:r>
      <w:r>
        <w:rPr>
          <w:rFonts w:cs="Times New Roman"/>
          <w:spacing w:val="-6"/>
          <w:sz w:val="18"/>
          <w:szCs w:val="18"/>
          <w:lang w:val="es-ES_tradnl"/>
        </w:rPr>
        <w:t>í</w:t>
      </w:r>
      <w:r>
        <w:rPr>
          <w:spacing w:val="-6"/>
          <w:sz w:val="18"/>
          <w:szCs w:val="18"/>
          <w:lang w:val="es-ES_tradnl"/>
        </w:rPr>
        <w:t>a del debido proceso establecida en el art</w:t>
      </w:r>
      <w:r>
        <w:rPr>
          <w:rFonts w:cs="Times New Roman"/>
          <w:spacing w:val="-6"/>
          <w:sz w:val="18"/>
          <w:szCs w:val="18"/>
          <w:lang w:val="es-ES_tradnl"/>
        </w:rPr>
        <w:t>í</w:t>
      </w:r>
      <w:r>
        <w:rPr>
          <w:spacing w:val="-6"/>
          <w:sz w:val="18"/>
          <w:szCs w:val="18"/>
          <w:lang w:val="es-ES_tradnl"/>
        </w:rPr>
        <w:t xml:space="preserve">culo 76 numeral 7 literal </w:t>
      </w:r>
      <w:r>
        <w:rPr>
          <w:b/>
          <w:bCs/>
          <w:spacing w:val="-6"/>
          <w:sz w:val="18"/>
          <w:szCs w:val="18"/>
          <w:lang w:val="es-ES_tradnl"/>
        </w:rPr>
        <w:t xml:space="preserve">m </w:t>
      </w:r>
      <w:r>
        <w:rPr>
          <w:spacing w:val="-6"/>
          <w:sz w:val="18"/>
          <w:szCs w:val="18"/>
          <w:lang w:val="es-ES_tradnl"/>
        </w:rPr>
        <w:t xml:space="preserve">de dicho </w:t>
      </w:r>
      <w:r>
        <w:rPr>
          <w:sz w:val="18"/>
          <w:szCs w:val="18"/>
          <w:lang w:val="es-ES_tradnl"/>
        </w:rPr>
        <w:t>cuerpo normativo.</w:t>
      </w:r>
    </w:p>
    <w:p w14:paraId="4F67B62C" w14:textId="77777777" w:rsidR="00591D54" w:rsidRDefault="00591D54">
      <w:pPr>
        <w:shd w:val="clear" w:color="auto" w:fill="FFFFFF"/>
        <w:spacing w:before="691" w:line="178" w:lineRule="exact"/>
        <w:ind w:left="144" w:hanging="144"/>
      </w:pPr>
      <w:r>
        <w:rPr>
          <w:sz w:val="14"/>
          <w:szCs w:val="14"/>
          <w:vertAlign w:val="superscript"/>
          <w:lang w:val="es-ES_tradnl"/>
        </w:rPr>
        <w:t>9</w:t>
      </w:r>
      <w:r>
        <w:rPr>
          <w:sz w:val="14"/>
          <w:szCs w:val="14"/>
          <w:lang w:val="es-ES_tradnl"/>
        </w:rPr>
        <w:t xml:space="preserve">  Ley de Arbitraje y Mediaci</w:t>
      </w:r>
      <w:r>
        <w:rPr>
          <w:rFonts w:cs="Times New Roman"/>
          <w:sz w:val="14"/>
          <w:szCs w:val="14"/>
          <w:lang w:val="es-ES_tradnl"/>
        </w:rPr>
        <w:t>ó</w:t>
      </w:r>
      <w:r>
        <w:rPr>
          <w:sz w:val="14"/>
          <w:szCs w:val="14"/>
          <w:lang w:val="es-ES_tradnl"/>
        </w:rPr>
        <w:t xml:space="preserve">n, articulo 31.- Cualquiera de las partes </w:t>
      </w:r>
      <w:r>
        <w:rPr>
          <w:spacing w:val="-1"/>
          <w:sz w:val="14"/>
          <w:szCs w:val="14"/>
          <w:lang w:val="es-ES_tradnl"/>
        </w:rPr>
        <w:t>podr</w:t>
      </w:r>
      <w:r>
        <w:rPr>
          <w:rFonts w:cs="Times New Roman"/>
          <w:spacing w:val="-1"/>
          <w:sz w:val="14"/>
          <w:szCs w:val="14"/>
          <w:lang w:val="es-ES_tradnl"/>
        </w:rPr>
        <w:t>á</w:t>
      </w:r>
      <w:r>
        <w:rPr>
          <w:spacing w:val="-1"/>
          <w:sz w:val="14"/>
          <w:szCs w:val="14"/>
          <w:lang w:val="es-ES_tradnl"/>
        </w:rPr>
        <w:t xml:space="preserve"> intentar la acci</w:t>
      </w:r>
      <w:r>
        <w:rPr>
          <w:rFonts w:cs="Times New Roman"/>
          <w:spacing w:val="-1"/>
          <w:sz w:val="14"/>
          <w:szCs w:val="14"/>
          <w:lang w:val="es-ES_tradnl"/>
        </w:rPr>
        <w:t>ó</w:t>
      </w:r>
      <w:r>
        <w:rPr>
          <w:spacing w:val="-1"/>
          <w:sz w:val="14"/>
          <w:szCs w:val="14"/>
          <w:lang w:val="es-ES_tradnl"/>
        </w:rPr>
        <w:t>n de nulidad de un laudo arbitral, cuando:</w:t>
      </w:r>
    </w:p>
    <w:p w14:paraId="4F67B62D" w14:textId="77777777" w:rsidR="00591D54" w:rsidRDefault="00591D54" w:rsidP="00251195">
      <w:pPr>
        <w:numPr>
          <w:ilvl w:val="0"/>
          <w:numId w:val="105"/>
        </w:numPr>
        <w:shd w:val="clear" w:color="auto" w:fill="FFFFFF"/>
        <w:tabs>
          <w:tab w:val="left" w:pos="302"/>
        </w:tabs>
        <w:spacing w:line="178" w:lineRule="exact"/>
        <w:ind w:left="144"/>
        <w:jc w:val="both"/>
        <w:rPr>
          <w:spacing w:val="-8"/>
          <w:sz w:val="14"/>
          <w:szCs w:val="14"/>
          <w:lang w:val="es-ES_tradnl"/>
        </w:rPr>
      </w:pPr>
      <w:r>
        <w:rPr>
          <w:spacing w:val="-1"/>
          <w:sz w:val="14"/>
          <w:szCs w:val="14"/>
          <w:lang w:val="es-ES_tradnl"/>
        </w:rPr>
        <w:t>No</w:t>
      </w:r>
      <w:r>
        <w:rPr>
          <w:spacing w:val="-1"/>
          <w:sz w:val="18"/>
          <w:szCs w:val="18"/>
          <w:lang w:val="es-ES_tradnl"/>
        </w:rPr>
        <w:t xml:space="preserve"> </w:t>
      </w:r>
      <w:r>
        <w:rPr>
          <w:spacing w:val="-1"/>
          <w:sz w:val="14"/>
          <w:szCs w:val="14"/>
          <w:lang w:val="es-ES_tradnl"/>
        </w:rPr>
        <w:t>se</w:t>
      </w:r>
      <w:r>
        <w:rPr>
          <w:spacing w:val="-1"/>
          <w:sz w:val="18"/>
          <w:szCs w:val="18"/>
          <w:lang w:val="es-ES_tradnl"/>
        </w:rPr>
        <w:t xml:space="preserve"> </w:t>
      </w:r>
      <w:r>
        <w:rPr>
          <w:spacing w:val="-1"/>
          <w:sz w:val="14"/>
          <w:szCs w:val="14"/>
          <w:lang w:val="es-ES_tradnl"/>
        </w:rPr>
        <w:t>haya</w:t>
      </w:r>
      <w:r>
        <w:rPr>
          <w:spacing w:val="-1"/>
          <w:sz w:val="18"/>
          <w:szCs w:val="18"/>
          <w:lang w:val="es-ES_tradnl"/>
        </w:rPr>
        <w:t xml:space="preserve"> </w:t>
      </w:r>
      <w:r>
        <w:rPr>
          <w:spacing w:val="-1"/>
          <w:sz w:val="14"/>
          <w:szCs w:val="14"/>
          <w:lang w:val="es-ES_tradnl"/>
        </w:rPr>
        <w:t>citado</w:t>
      </w:r>
      <w:r>
        <w:rPr>
          <w:spacing w:val="-1"/>
          <w:sz w:val="18"/>
          <w:szCs w:val="18"/>
          <w:lang w:val="es-ES_tradnl"/>
        </w:rPr>
        <w:t xml:space="preserve"> </w:t>
      </w:r>
      <w:r>
        <w:rPr>
          <w:spacing w:val="-1"/>
          <w:sz w:val="14"/>
          <w:szCs w:val="14"/>
          <w:lang w:val="es-ES_tradnl"/>
        </w:rPr>
        <w:t>legalmente</w:t>
      </w:r>
      <w:r>
        <w:rPr>
          <w:spacing w:val="-1"/>
          <w:sz w:val="18"/>
          <w:szCs w:val="18"/>
          <w:lang w:val="es-ES_tradnl"/>
        </w:rPr>
        <w:t xml:space="preserve"> </w:t>
      </w:r>
      <w:r>
        <w:rPr>
          <w:spacing w:val="-1"/>
          <w:sz w:val="14"/>
          <w:szCs w:val="14"/>
          <w:lang w:val="es-ES_tradnl"/>
        </w:rPr>
        <w:t>con</w:t>
      </w:r>
      <w:r>
        <w:rPr>
          <w:spacing w:val="-1"/>
          <w:sz w:val="18"/>
          <w:szCs w:val="18"/>
          <w:lang w:val="es-ES_tradnl"/>
        </w:rPr>
        <w:t xml:space="preserve"> </w:t>
      </w:r>
      <w:r>
        <w:rPr>
          <w:spacing w:val="-1"/>
          <w:sz w:val="14"/>
          <w:szCs w:val="14"/>
          <w:lang w:val="es-ES_tradnl"/>
        </w:rPr>
        <w:t>la</w:t>
      </w:r>
      <w:r>
        <w:rPr>
          <w:spacing w:val="-1"/>
          <w:sz w:val="18"/>
          <w:szCs w:val="18"/>
          <w:lang w:val="es-ES_tradnl"/>
        </w:rPr>
        <w:t xml:space="preserve"> </w:t>
      </w:r>
      <w:r>
        <w:rPr>
          <w:spacing w:val="-1"/>
          <w:sz w:val="14"/>
          <w:szCs w:val="14"/>
          <w:lang w:val="es-ES_tradnl"/>
        </w:rPr>
        <w:t>demanda</w:t>
      </w:r>
      <w:r>
        <w:rPr>
          <w:spacing w:val="-1"/>
          <w:sz w:val="18"/>
          <w:szCs w:val="18"/>
          <w:lang w:val="es-ES_tradnl"/>
        </w:rPr>
        <w:t xml:space="preserve"> </w:t>
      </w:r>
      <w:r>
        <w:rPr>
          <w:spacing w:val="-1"/>
          <w:sz w:val="14"/>
          <w:szCs w:val="14"/>
          <w:lang w:val="es-ES_tradnl"/>
        </w:rPr>
        <w:t>y</w:t>
      </w:r>
      <w:r>
        <w:rPr>
          <w:spacing w:val="-1"/>
          <w:sz w:val="18"/>
          <w:szCs w:val="18"/>
          <w:lang w:val="es-ES_tradnl"/>
        </w:rPr>
        <w:t xml:space="preserve"> </w:t>
      </w:r>
      <w:r>
        <w:rPr>
          <w:spacing w:val="-1"/>
          <w:sz w:val="14"/>
          <w:szCs w:val="14"/>
          <w:lang w:val="es-ES_tradnl"/>
        </w:rPr>
        <w:t>el</w:t>
      </w:r>
      <w:r>
        <w:rPr>
          <w:spacing w:val="-1"/>
          <w:sz w:val="18"/>
          <w:szCs w:val="18"/>
          <w:lang w:val="es-ES_tradnl"/>
        </w:rPr>
        <w:t xml:space="preserve"> </w:t>
      </w:r>
      <w:r>
        <w:rPr>
          <w:spacing w:val="-1"/>
          <w:sz w:val="14"/>
          <w:szCs w:val="14"/>
          <w:lang w:val="es-ES_tradnl"/>
        </w:rPr>
        <w:t>juicio</w:t>
      </w:r>
      <w:r>
        <w:rPr>
          <w:spacing w:val="-1"/>
          <w:sz w:val="18"/>
          <w:szCs w:val="18"/>
          <w:lang w:val="es-ES_tradnl"/>
        </w:rPr>
        <w:t xml:space="preserve"> </w:t>
      </w:r>
      <w:r>
        <w:rPr>
          <w:spacing w:val="-1"/>
          <w:sz w:val="14"/>
          <w:szCs w:val="14"/>
          <w:lang w:val="es-ES_tradnl"/>
        </w:rPr>
        <w:t>se</w:t>
      </w:r>
      <w:r>
        <w:rPr>
          <w:spacing w:val="-1"/>
          <w:sz w:val="18"/>
          <w:szCs w:val="18"/>
          <w:lang w:val="es-ES_tradnl"/>
        </w:rPr>
        <w:t xml:space="preserve"> </w:t>
      </w:r>
      <w:r>
        <w:rPr>
          <w:spacing w:val="-1"/>
          <w:sz w:val="14"/>
          <w:szCs w:val="14"/>
          <w:lang w:val="es-ES_tradnl"/>
        </w:rPr>
        <w:t xml:space="preserve">ha </w:t>
      </w:r>
      <w:r>
        <w:rPr>
          <w:spacing w:val="-3"/>
          <w:sz w:val="14"/>
          <w:szCs w:val="14"/>
          <w:lang w:val="es-ES_tradnl"/>
        </w:rPr>
        <w:t>seguido y terminado en rebeld</w:t>
      </w:r>
      <w:r>
        <w:rPr>
          <w:rFonts w:cs="Times New Roman"/>
          <w:spacing w:val="-3"/>
          <w:sz w:val="14"/>
          <w:szCs w:val="14"/>
          <w:lang w:val="es-ES_tradnl"/>
        </w:rPr>
        <w:t>í</w:t>
      </w:r>
      <w:r>
        <w:rPr>
          <w:spacing w:val="-3"/>
          <w:sz w:val="14"/>
          <w:szCs w:val="14"/>
          <w:lang w:val="es-ES_tradnl"/>
        </w:rPr>
        <w:t>a. Ser</w:t>
      </w:r>
      <w:r>
        <w:rPr>
          <w:rFonts w:cs="Times New Roman"/>
          <w:spacing w:val="-3"/>
          <w:sz w:val="14"/>
          <w:szCs w:val="14"/>
          <w:lang w:val="es-ES_tradnl"/>
        </w:rPr>
        <w:t>á</w:t>
      </w:r>
      <w:r>
        <w:rPr>
          <w:spacing w:val="-3"/>
          <w:sz w:val="14"/>
          <w:szCs w:val="14"/>
          <w:lang w:val="es-ES_tradnl"/>
        </w:rPr>
        <w:t xml:space="preserve"> preciso que la falta de citaci</w:t>
      </w:r>
      <w:r>
        <w:rPr>
          <w:rFonts w:cs="Times New Roman"/>
          <w:spacing w:val="-3"/>
          <w:sz w:val="14"/>
          <w:szCs w:val="14"/>
          <w:lang w:val="es-ES_tradnl"/>
        </w:rPr>
        <w:t>ó</w:t>
      </w:r>
      <w:r>
        <w:rPr>
          <w:spacing w:val="-3"/>
          <w:sz w:val="14"/>
          <w:szCs w:val="14"/>
          <w:lang w:val="es-ES_tradnl"/>
        </w:rPr>
        <w:t xml:space="preserve">n haya impedido que el demandado deduzca sus excepciones o haga </w:t>
      </w:r>
      <w:r>
        <w:rPr>
          <w:spacing w:val="-2"/>
          <w:sz w:val="14"/>
          <w:szCs w:val="14"/>
          <w:lang w:val="es-ES_tradnl"/>
        </w:rPr>
        <w:t>valer sus derechos y, adem</w:t>
      </w:r>
      <w:r>
        <w:rPr>
          <w:rFonts w:cs="Times New Roman"/>
          <w:spacing w:val="-2"/>
          <w:sz w:val="14"/>
          <w:szCs w:val="14"/>
          <w:lang w:val="es-ES_tradnl"/>
        </w:rPr>
        <w:t>á</w:t>
      </w:r>
      <w:r>
        <w:rPr>
          <w:spacing w:val="-2"/>
          <w:sz w:val="14"/>
          <w:szCs w:val="14"/>
          <w:lang w:val="es-ES_tradnl"/>
        </w:rPr>
        <w:t xml:space="preserve">s, que el demandado reclame por tal </w:t>
      </w:r>
      <w:r>
        <w:rPr>
          <w:sz w:val="14"/>
          <w:szCs w:val="14"/>
          <w:lang w:val="es-ES_tradnl"/>
        </w:rPr>
        <w:t>omisi</w:t>
      </w:r>
      <w:r>
        <w:rPr>
          <w:rFonts w:cs="Times New Roman"/>
          <w:sz w:val="14"/>
          <w:szCs w:val="14"/>
          <w:lang w:val="es-ES_tradnl"/>
        </w:rPr>
        <w:t>ó</w:t>
      </w:r>
      <w:r>
        <w:rPr>
          <w:sz w:val="14"/>
          <w:szCs w:val="14"/>
          <w:lang w:val="es-ES_tradnl"/>
        </w:rPr>
        <w:t>n al tiempo de intervenir en la controversia;</w:t>
      </w:r>
    </w:p>
    <w:p w14:paraId="4F67B62E" w14:textId="77777777" w:rsidR="00591D54" w:rsidRDefault="00591D54" w:rsidP="00251195">
      <w:pPr>
        <w:numPr>
          <w:ilvl w:val="0"/>
          <w:numId w:val="105"/>
        </w:numPr>
        <w:shd w:val="clear" w:color="auto" w:fill="FFFFFF"/>
        <w:tabs>
          <w:tab w:val="left" w:pos="302"/>
        </w:tabs>
        <w:spacing w:line="178" w:lineRule="exact"/>
        <w:ind w:left="144"/>
        <w:jc w:val="both"/>
        <w:rPr>
          <w:spacing w:val="-3"/>
          <w:sz w:val="14"/>
          <w:szCs w:val="14"/>
          <w:lang w:val="es-ES_tradnl"/>
        </w:rPr>
      </w:pPr>
      <w:r>
        <w:rPr>
          <w:spacing w:val="-1"/>
          <w:sz w:val="14"/>
          <w:szCs w:val="14"/>
          <w:lang w:val="es-ES_tradnl"/>
        </w:rPr>
        <w:t>No</w:t>
      </w:r>
      <w:r>
        <w:rPr>
          <w:spacing w:val="-1"/>
          <w:sz w:val="18"/>
          <w:szCs w:val="18"/>
          <w:lang w:val="es-ES_tradnl"/>
        </w:rPr>
        <w:t xml:space="preserve"> </w:t>
      </w:r>
      <w:r>
        <w:rPr>
          <w:spacing w:val="-1"/>
          <w:sz w:val="14"/>
          <w:szCs w:val="14"/>
          <w:lang w:val="es-ES_tradnl"/>
        </w:rPr>
        <w:t>se</w:t>
      </w:r>
      <w:r>
        <w:rPr>
          <w:spacing w:val="-1"/>
          <w:sz w:val="18"/>
          <w:szCs w:val="18"/>
          <w:lang w:val="es-ES_tradnl"/>
        </w:rPr>
        <w:t xml:space="preserve"> </w:t>
      </w:r>
      <w:r>
        <w:rPr>
          <w:spacing w:val="-1"/>
          <w:sz w:val="14"/>
          <w:szCs w:val="14"/>
          <w:lang w:val="es-ES_tradnl"/>
        </w:rPr>
        <w:t>haya</w:t>
      </w:r>
      <w:r>
        <w:rPr>
          <w:spacing w:val="-1"/>
          <w:sz w:val="18"/>
          <w:szCs w:val="18"/>
          <w:lang w:val="es-ES_tradnl"/>
        </w:rPr>
        <w:t xml:space="preserve"> </w:t>
      </w:r>
      <w:r>
        <w:rPr>
          <w:spacing w:val="-1"/>
          <w:sz w:val="14"/>
          <w:szCs w:val="14"/>
          <w:lang w:val="es-ES_tradnl"/>
        </w:rPr>
        <w:t>notificado</w:t>
      </w:r>
      <w:r>
        <w:rPr>
          <w:spacing w:val="-1"/>
          <w:sz w:val="18"/>
          <w:szCs w:val="18"/>
          <w:lang w:val="es-ES_tradnl"/>
        </w:rPr>
        <w:t xml:space="preserve"> </w:t>
      </w:r>
      <w:r>
        <w:rPr>
          <w:spacing w:val="-1"/>
          <w:sz w:val="14"/>
          <w:szCs w:val="14"/>
          <w:lang w:val="es-ES_tradnl"/>
        </w:rPr>
        <w:t>a</w:t>
      </w:r>
      <w:r>
        <w:rPr>
          <w:spacing w:val="-1"/>
          <w:sz w:val="18"/>
          <w:szCs w:val="18"/>
          <w:lang w:val="es-ES_tradnl"/>
        </w:rPr>
        <w:t xml:space="preserve"> </w:t>
      </w:r>
      <w:r>
        <w:rPr>
          <w:spacing w:val="-1"/>
          <w:sz w:val="14"/>
          <w:szCs w:val="14"/>
          <w:lang w:val="es-ES_tradnl"/>
        </w:rPr>
        <w:t>una</w:t>
      </w:r>
      <w:r>
        <w:rPr>
          <w:spacing w:val="-1"/>
          <w:sz w:val="18"/>
          <w:szCs w:val="18"/>
          <w:lang w:val="es-ES_tradnl"/>
        </w:rPr>
        <w:t xml:space="preserve"> </w:t>
      </w:r>
      <w:r>
        <w:rPr>
          <w:spacing w:val="-1"/>
          <w:sz w:val="14"/>
          <w:szCs w:val="14"/>
          <w:lang w:val="es-ES_tradnl"/>
        </w:rPr>
        <w:t>de</w:t>
      </w:r>
      <w:r>
        <w:rPr>
          <w:spacing w:val="-1"/>
          <w:sz w:val="18"/>
          <w:szCs w:val="18"/>
          <w:lang w:val="es-ES_tradnl"/>
        </w:rPr>
        <w:t xml:space="preserve"> </w:t>
      </w:r>
      <w:r>
        <w:rPr>
          <w:spacing w:val="-1"/>
          <w:sz w:val="14"/>
          <w:szCs w:val="14"/>
          <w:lang w:val="es-ES_tradnl"/>
        </w:rPr>
        <w:t>las</w:t>
      </w:r>
      <w:r>
        <w:rPr>
          <w:spacing w:val="-1"/>
          <w:sz w:val="18"/>
          <w:szCs w:val="18"/>
          <w:lang w:val="es-ES_tradnl"/>
        </w:rPr>
        <w:t xml:space="preserve"> </w:t>
      </w:r>
      <w:r>
        <w:rPr>
          <w:spacing w:val="-1"/>
          <w:sz w:val="14"/>
          <w:szCs w:val="14"/>
          <w:lang w:val="es-ES_tradnl"/>
        </w:rPr>
        <w:t>partes</w:t>
      </w:r>
      <w:r>
        <w:rPr>
          <w:spacing w:val="-1"/>
          <w:sz w:val="18"/>
          <w:szCs w:val="18"/>
          <w:lang w:val="es-ES_tradnl"/>
        </w:rPr>
        <w:t xml:space="preserve"> </w:t>
      </w:r>
      <w:r>
        <w:rPr>
          <w:spacing w:val="-1"/>
          <w:sz w:val="14"/>
          <w:szCs w:val="14"/>
          <w:lang w:val="es-ES_tradnl"/>
        </w:rPr>
        <w:t>con</w:t>
      </w:r>
      <w:r>
        <w:rPr>
          <w:spacing w:val="-1"/>
          <w:sz w:val="18"/>
          <w:szCs w:val="18"/>
          <w:lang w:val="es-ES_tradnl"/>
        </w:rPr>
        <w:t xml:space="preserve"> </w:t>
      </w:r>
      <w:r>
        <w:rPr>
          <w:spacing w:val="-1"/>
          <w:sz w:val="14"/>
          <w:szCs w:val="14"/>
          <w:lang w:val="es-ES_tradnl"/>
        </w:rPr>
        <w:t>las</w:t>
      </w:r>
      <w:r>
        <w:rPr>
          <w:spacing w:val="-1"/>
          <w:sz w:val="18"/>
          <w:szCs w:val="18"/>
          <w:lang w:val="es-ES_tradnl"/>
        </w:rPr>
        <w:t xml:space="preserve"> </w:t>
      </w:r>
      <w:r>
        <w:rPr>
          <w:spacing w:val="-1"/>
          <w:sz w:val="14"/>
          <w:szCs w:val="14"/>
          <w:lang w:val="es-ES_tradnl"/>
        </w:rPr>
        <w:t xml:space="preserve">providencias </w:t>
      </w:r>
      <w:r>
        <w:rPr>
          <w:spacing w:val="-2"/>
          <w:sz w:val="14"/>
          <w:szCs w:val="14"/>
          <w:lang w:val="es-ES_tradnl"/>
        </w:rPr>
        <w:t xml:space="preserve">del tribunal y este hecho impida o limite el derecho de defensa de la </w:t>
      </w:r>
      <w:r>
        <w:rPr>
          <w:sz w:val="14"/>
          <w:szCs w:val="14"/>
          <w:lang w:val="es-ES_tradnl"/>
        </w:rPr>
        <w:t>parte;</w:t>
      </w:r>
    </w:p>
    <w:p w14:paraId="4F67B62F" w14:textId="77777777" w:rsidR="00591D54" w:rsidRDefault="00591D54" w:rsidP="00251195">
      <w:pPr>
        <w:numPr>
          <w:ilvl w:val="0"/>
          <w:numId w:val="105"/>
        </w:numPr>
        <w:shd w:val="clear" w:color="auto" w:fill="FFFFFF"/>
        <w:tabs>
          <w:tab w:val="left" w:pos="302"/>
        </w:tabs>
        <w:spacing w:line="178" w:lineRule="exact"/>
        <w:ind w:left="144"/>
        <w:jc w:val="both"/>
        <w:rPr>
          <w:spacing w:val="-4"/>
          <w:sz w:val="14"/>
          <w:szCs w:val="14"/>
          <w:lang w:val="es-ES_tradnl"/>
        </w:rPr>
      </w:pPr>
      <w:r>
        <w:rPr>
          <w:sz w:val="14"/>
          <w:szCs w:val="14"/>
          <w:lang w:val="es-ES_tradnl"/>
        </w:rPr>
        <w:t>Cuando</w:t>
      </w:r>
      <w:r>
        <w:rPr>
          <w:sz w:val="18"/>
          <w:szCs w:val="18"/>
          <w:lang w:val="es-ES_tradnl"/>
        </w:rPr>
        <w:t xml:space="preserve"> </w:t>
      </w:r>
      <w:r>
        <w:rPr>
          <w:sz w:val="14"/>
          <w:szCs w:val="14"/>
          <w:lang w:val="es-ES_tradnl"/>
        </w:rPr>
        <w:t>no</w:t>
      </w:r>
      <w:r>
        <w:rPr>
          <w:sz w:val="18"/>
          <w:szCs w:val="18"/>
          <w:lang w:val="es-ES_tradnl"/>
        </w:rPr>
        <w:t xml:space="preserve"> </w:t>
      </w:r>
      <w:r>
        <w:rPr>
          <w:sz w:val="14"/>
          <w:szCs w:val="14"/>
          <w:lang w:val="es-ES_tradnl"/>
        </w:rPr>
        <w:t>se</w:t>
      </w:r>
      <w:r>
        <w:rPr>
          <w:sz w:val="18"/>
          <w:szCs w:val="18"/>
          <w:lang w:val="es-ES_tradnl"/>
        </w:rPr>
        <w:t xml:space="preserve"> </w:t>
      </w:r>
      <w:r>
        <w:rPr>
          <w:sz w:val="14"/>
          <w:szCs w:val="14"/>
          <w:lang w:val="es-ES_tradnl"/>
        </w:rPr>
        <w:t>hubiere</w:t>
      </w:r>
      <w:r>
        <w:rPr>
          <w:sz w:val="18"/>
          <w:szCs w:val="18"/>
          <w:lang w:val="es-ES_tradnl"/>
        </w:rPr>
        <w:t xml:space="preserve"> </w:t>
      </w:r>
      <w:r>
        <w:rPr>
          <w:sz w:val="14"/>
          <w:szCs w:val="14"/>
          <w:lang w:val="es-ES_tradnl"/>
        </w:rPr>
        <w:t>convocado,</w:t>
      </w:r>
      <w:r>
        <w:rPr>
          <w:sz w:val="18"/>
          <w:szCs w:val="18"/>
          <w:lang w:val="es-ES_tradnl"/>
        </w:rPr>
        <w:t xml:space="preserve"> </w:t>
      </w:r>
      <w:r>
        <w:rPr>
          <w:sz w:val="14"/>
          <w:szCs w:val="14"/>
          <w:lang w:val="es-ES_tradnl"/>
        </w:rPr>
        <w:t>no</w:t>
      </w:r>
      <w:r>
        <w:rPr>
          <w:sz w:val="18"/>
          <w:szCs w:val="18"/>
          <w:lang w:val="es-ES_tradnl"/>
        </w:rPr>
        <w:t xml:space="preserve"> </w:t>
      </w:r>
      <w:r>
        <w:rPr>
          <w:sz w:val="14"/>
          <w:szCs w:val="14"/>
          <w:lang w:val="es-ES_tradnl"/>
        </w:rPr>
        <w:t>se</w:t>
      </w:r>
      <w:r>
        <w:rPr>
          <w:sz w:val="18"/>
          <w:szCs w:val="18"/>
          <w:lang w:val="es-ES_tradnl"/>
        </w:rPr>
        <w:t xml:space="preserve"> </w:t>
      </w:r>
      <w:r>
        <w:rPr>
          <w:sz w:val="14"/>
          <w:szCs w:val="14"/>
          <w:lang w:val="es-ES_tradnl"/>
        </w:rPr>
        <w:t>hubiere</w:t>
      </w:r>
      <w:r>
        <w:rPr>
          <w:sz w:val="18"/>
          <w:szCs w:val="18"/>
          <w:lang w:val="es-ES_tradnl"/>
        </w:rPr>
        <w:t xml:space="preserve"> </w:t>
      </w:r>
      <w:r>
        <w:rPr>
          <w:sz w:val="14"/>
          <w:szCs w:val="14"/>
          <w:lang w:val="es-ES_tradnl"/>
        </w:rPr>
        <w:t>notificado</w:t>
      </w:r>
      <w:r>
        <w:rPr>
          <w:sz w:val="18"/>
          <w:szCs w:val="18"/>
          <w:lang w:val="es-ES_tradnl"/>
        </w:rPr>
        <w:t xml:space="preserve"> </w:t>
      </w:r>
      <w:r>
        <w:rPr>
          <w:sz w:val="14"/>
          <w:szCs w:val="14"/>
          <w:lang w:val="es-ES_tradnl"/>
        </w:rPr>
        <w:t xml:space="preserve">la </w:t>
      </w:r>
      <w:r>
        <w:rPr>
          <w:spacing w:val="-1"/>
          <w:sz w:val="14"/>
          <w:szCs w:val="14"/>
          <w:lang w:val="es-ES_tradnl"/>
        </w:rPr>
        <w:t xml:space="preserve">convocatoria, o luego de convocada no se hubiere practicado las </w:t>
      </w:r>
      <w:r>
        <w:rPr>
          <w:spacing w:val="-4"/>
          <w:sz w:val="14"/>
          <w:szCs w:val="14"/>
          <w:lang w:val="es-ES_tradnl"/>
        </w:rPr>
        <w:t>pruebas, a pesar de la existencia de hechos que deban justificarse;</w:t>
      </w:r>
    </w:p>
    <w:p w14:paraId="4F67B630" w14:textId="77777777" w:rsidR="00591D54" w:rsidRDefault="00591D54" w:rsidP="00251195">
      <w:pPr>
        <w:numPr>
          <w:ilvl w:val="0"/>
          <w:numId w:val="105"/>
        </w:numPr>
        <w:shd w:val="clear" w:color="auto" w:fill="FFFFFF"/>
        <w:tabs>
          <w:tab w:val="left" w:pos="302"/>
        </w:tabs>
        <w:spacing w:line="178" w:lineRule="exact"/>
        <w:ind w:left="144"/>
        <w:jc w:val="both"/>
        <w:rPr>
          <w:spacing w:val="-3"/>
          <w:sz w:val="14"/>
          <w:szCs w:val="14"/>
          <w:lang w:val="es-ES_tradnl"/>
        </w:rPr>
      </w:pPr>
      <w:r>
        <w:rPr>
          <w:spacing w:val="-4"/>
          <w:sz w:val="14"/>
          <w:szCs w:val="14"/>
          <w:lang w:val="es-ES_tradnl"/>
        </w:rPr>
        <w:t>El</w:t>
      </w:r>
      <w:r>
        <w:rPr>
          <w:spacing w:val="-4"/>
          <w:sz w:val="18"/>
          <w:szCs w:val="18"/>
          <w:lang w:val="es-ES_tradnl"/>
        </w:rPr>
        <w:t xml:space="preserve"> </w:t>
      </w:r>
      <w:r>
        <w:rPr>
          <w:spacing w:val="-4"/>
          <w:sz w:val="14"/>
          <w:szCs w:val="14"/>
          <w:lang w:val="es-ES_tradnl"/>
        </w:rPr>
        <w:t>laudo</w:t>
      </w:r>
      <w:r>
        <w:rPr>
          <w:spacing w:val="-4"/>
          <w:sz w:val="18"/>
          <w:szCs w:val="18"/>
          <w:lang w:val="es-ES_tradnl"/>
        </w:rPr>
        <w:t xml:space="preserve"> </w:t>
      </w:r>
      <w:r>
        <w:rPr>
          <w:spacing w:val="-4"/>
          <w:sz w:val="14"/>
          <w:szCs w:val="14"/>
          <w:lang w:val="es-ES_tradnl"/>
        </w:rPr>
        <w:t>se</w:t>
      </w:r>
      <w:r>
        <w:rPr>
          <w:spacing w:val="-4"/>
          <w:sz w:val="18"/>
          <w:szCs w:val="18"/>
          <w:lang w:val="es-ES_tradnl"/>
        </w:rPr>
        <w:t xml:space="preserve"> </w:t>
      </w:r>
      <w:r>
        <w:rPr>
          <w:spacing w:val="-4"/>
          <w:sz w:val="14"/>
          <w:szCs w:val="14"/>
          <w:lang w:val="es-ES_tradnl"/>
        </w:rPr>
        <w:t>refiera</w:t>
      </w:r>
      <w:r>
        <w:rPr>
          <w:spacing w:val="-4"/>
          <w:sz w:val="18"/>
          <w:szCs w:val="18"/>
          <w:lang w:val="es-ES_tradnl"/>
        </w:rPr>
        <w:t xml:space="preserve"> </w:t>
      </w:r>
      <w:r>
        <w:rPr>
          <w:spacing w:val="-4"/>
          <w:sz w:val="14"/>
          <w:szCs w:val="14"/>
          <w:lang w:val="es-ES_tradnl"/>
        </w:rPr>
        <w:t>a</w:t>
      </w:r>
      <w:r>
        <w:rPr>
          <w:spacing w:val="-4"/>
          <w:sz w:val="18"/>
          <w:szCs w:val="18"/>
          <w:lang w:val="es-ES_tradnl"/>
        </w:rPr>
        <w:t xml:space="preserve"> </w:t>
      </w:r>
      <w:r>
        <w:rPr>
          <w:spacing w:val="-4"/>
          <w:sz w:val="14"/>
          <w:szCs w:val="14"/>
          <w:lang w:val="es-ES_tradnl"/>
        </w:rPr>
        <w:t>cuestiones</w:t>
      </w:r>
      <w:r>
        <w:rPr>
          <w:spacing w:val="-4"/>
          <w:sz w:val="18"/>
          <w:szCs w:val="18"/>
          <w:lang w:val="es-ES_tradnl"/>
        </w:rPr>
        <w:t xml:space="preserve"> </w:t>
      </w:r>
      <w:r>
        <w:rPr>
          <w:spacing w:val="-4"/>
          <w:sz w:val="14"/>
          <w:szCs w:val="14"/>
          <w:lang w:val="es-ES_tradnl"/>
        </w:rPr>
        <w:t>no</w:t>
      </w:r>
      <w:r>
        <w:rPr>
          <w:spacing w:val="-4"/>
          <w:sz w:val="18"/>
          <w:szCs w:val="18"/>
          <w:lang w:val="es-ES_tradnl"/>
        </w:rPr>
        <w:t xml:space="preserve"> </w:t>
      </w:r>
      <w:r>
        <w:rPr>
          <w:spacing w:val="-4"/>
          <w:sz w:val="14"/>
          <w:szCs w:val="14"/>
          <w:lang w:val="es-ES_tradnl"/>
        </w:rPr>
        <w:t>sometidas</w:t>
      </w:r>
      <w:r>
        <w:rPr>
          <w:spacing w:val="-4"/>
          <w:sz w:val="18"/>
          <w:szCs w:val="18"/>
          <w:lang w:val="es-ES_tradnl"/>
        </w:rPr>
        <w:t xml:space="preserve"> </w:t>
      </w:r>
      <w:r>
        <w:rPr>
          <w:spacing w:val="-4"/>
          <w:sz w:val="14"/>
          <w:szCs w:val="14"/>
          <w:lang w:val="es-ES_tradnl"/>
        </w:rPr>
        <w:t>al</w:t>
      </w:r>
      <w:r>
        <w:rPr>
          <w:spacing w:val="-4"/>
          <w:sz w:val="18"/>
          <w:szCs w:val="18"/>
          <w:lang w:val="es-ES_tradnl"/>
        </w:rPr>
        <w:t xml:space="preserve"> </w:t>
      </w:r>
      <w:r>
        <w:rPr>
          <w:spacing w:val="-4"/>
          <w:sz w:val="14"/>
          <w:szCs w:val="14"/>
          <w:lang w:val="es-ES_tradnl"/>
        </w:rPr>
        <w:t>arbitraje</w:t>
      </w:r>
      <w:r>
        <w:rPr>
          <w:spacing w:val="-4"/>
          <w:sz w:val="18"/>
          <w:szCs w:val="18"/>
          <w:lang w:val="es-ES_tradnl"/>
        </w:rPr>
        <w:t xml:space="preserve"> </w:t>
      </w:r>
      <w:r>
        <w:rPr>
          <w:spacing w:val="-4"/>
          <w:sz w:val="14"/>
          <w:szCs w:val="14"/>
          <w:lang w:val="es-ES_tradnl"/>
        </w:rPr>
        <w:t>o</w:t>
      </w:r>
      <w:r>
        <w:rPr>
          <w:spacing w:val="-4"/>
          <w:sz w:val="18"/>
          <w:szCs w:val="18"/>
          <w:lang w:val="es-ES_tradnl"/>
        </w:rPr>
        <w:t xml:space="preserve"> </w:t>
      </w:r>
      <w:r>
        <w:rPr>
          <w:spacing w:val="-4"/>
          <w:sz w:val="14"/>
          <w:szCs w:val="14"/>
          <w:lang w:val="es-ES_tradnl"/>
        </w:rPr>
        <w:t xml:space="preserve">conceda </w:t>
      </w:r>
      <w:r>
        <w:rPr>
          <w:sz w:val="14"/>
          <w:szCs w:val="14"/>
          <w:lang w:val="es-ES_tradnl"/>
        </w:rPr>
        <w:t>m</w:t>
      </w:r>
      <w:r>
        <w:rPr>
          <w:rFonts w:cs="Times New Roman"/>
          <w:sz w:val="14"/>
          <w:szCs w:val="14"/>
          <w:lang w:val="es-ES_tradnl"/>
        </w:rPr>
        <w:t>á</w:t>
      </w:r>
      <w:r>
        <w:rPr>
          <w:sz w:val="14"/>
          <w:szCs w:val="14"/>
          <w:lang w:val="es-ES_tradnl"/>
        </w:rPr>
        <w:t>s all</w:t>
      </w:r>
      <w:r>
        <w:rPr>
          <w:rFonts w:cs="Times New Roman"/>
          <w:sz w:val="14"/>
          <w:szCs w:val="14"/>
          <w:lang w:val="es-ES_tradnl"/>
        </w:rPr>
        <w:t>á</w:t>
      </w:r>
      <w:r>
        <w:rPr>
          <w:sz w:val="14"/>
          <w:szCs w:val="14"/>
          <w:lang w:val="es-ES_tradnl"/>
        </w:rPr>
        <w:t xml:space="preserve"> de lo reclamado; o,</w:t>
      </w:r>
    </w:p>
    <w:p w14:paraId="4F67B631" w14:textId="77777777" w:rsidR="00591D54" w:rsidRDefault="00591D54" w:rsidP="00251195">
      <w:pPr>
        <w:numPr>
          <w:ilvl w:val="0"/>
          <w:numId w:val="105"/>
        </w:numPr>
        <w:shd w:val="clear" w:color="auto" w:fill="FFFFFF"/>
        <w:tabs>
          <w:tab w:val="left" w:pos="302"/>
        </w:tabs>
        <w:spacing w:line="178" w:lineRule="exact"/>
        <w:ind w:left="144"/>
        <w:jc w:val="both"/>
        <w:rPr>
          <w:spacing w:val="-8"/>
          <w:sz w:val="14"/>
          <w:szCs w:val="14"/>
          <w:lang w:val="es-ES_tradnl"/>
        </w:rPr>
      </w:pPr>
      <w:r>
        <w:rPr>
          <w:spacing w:val="-1"/>
          <w:sz w:val="14"/>
          <w:szCs w:val="14"/>
          <w:lang w:val="es-ES_tradnl"/>
        </w:rPr>
        <w:t>Cuando</w:t>
      </w:r>
      <w:r>
        <w:rPr>
          <w:spacing w:val="-1"/>
          <w:sz w:val="18"/>
          <w:szCs w:val="18"/>
          <w:lang w:val="es-ES_tradnl"/>
        </w:rPr>
        <w:t xml:space="preserve"> </w:t>
      </w:r>
      <w:r>
        <w:rPr>
          <w:spacing w:val="-1"/>
          <w:sz w:val="14"/>
          <w:szCs w:val="14"/>
          <w:lang w:val="es-ES_tradnl"/>
        </w:rPr>
        <w:t>se</w:t>
      </w:r>
      <w:r>
        <w:rPr>
          <w:spacing w:val="-1"/>
          <w:sz w:val="18"/>
          <w:szCs w:val="18"/>
          <w:lang w:val="es-ES_tradnl"/>
        </w:rPr>
        <w:t xml:space="preserve"> </w:t>
      </w:r>
      <w:r>
        <w:rPr>
          <w:spacing w:val="-1"/>
          <w:sz w:val="14"/>
          <w:szCs w:val="14"/>
          <w:lang w:val="es-ES_tradnl"/>
        </w:rPr>
        <w:t>hayan</w:t>
      </w:r>
      <w:r>
        <w:rPr>
          <w:spacing w:val="-1"/>
          <w:sz w:val="18"/>
          <w:szCs w:val="18"/>
          <w:lang w:val="es-ES_tradnl"/>
        </w:rPr>
        <w:t xml:space="preserve"> </w:t>
      </w:r>
      <w:r>
        <w:rPr>
          <w:spacing w:val="-1"/>
          <w:sz w:val="14"/>
          <w:szCs w:val="14"/>
          <w:lang w:val="es-ES_tradnl"/>
        </w:rPr>
        <w:t>violado</w:t>
      </w:r>
      <w:r>
        <w:rPr>
          <w:spacing w:val="-1"/>
          <w:sz w:val="18"/>
          <w:szCs w:val="18"/>
          <w:lang w:val="es-ES_tradnl"/>
        </w:rPr>
        <w:t xml:space="preserve"> </w:t>
      </w:r>
      <w:r>
        <w:rPr>
          <w:spacing w:val="-1"/>
          <w:sz w:val="14"/>
          <w:szCs w:val="14"/>
          <w:lang w:val="es-ES_tradnl"/>
        </w:rPr>
        <w:t>los</w:t>
      </w:r>
      <w:r>
        <w:rPr>
          <w:spacing w:val="-1"/>
          <w:sz w:val="18"/>
          <w:szCs w:val="18"/>
          <w:lang w:val="es-ES_tradnl"/>
        </w:rPr>
        <w:t xml:space="preserve"> </w:t>
      </w:r>
      <w:r>
        <w:rPr>
          <w:spacing w:val="-1"/>
          <w:sz w:val="14"/>
          <w:szCs w:val="14"/>
          <w:lang w:val="es-ES_tradnl"/>
        </w:rPr>
        <w:t>procedimientos</w:t>
      </w:r>
      <w:r>
        <w:rPr>
          <w:spacing w:val="-1"/>
          <w:sz w:val="18"/>
          <w:szCs w:val="18"/>
          <w:lang w:val="es-ES_tradnl"/>
        </w:rPr>
        <w:t xml:space="preserve"> </w:t>
      </w:r>
      <w:r>
        <w:rPr>
          <w:spacing w:val="-1"/>
          <w:sz w:val="14"/>
          <w:szCs w:val="14"/>
          <w:lang w:val="es-ES_tradnl"/>
        </w:rPr>
        <w:t>previstos</w:t>
      </w:r>
      <w:r>
        <w:rPr>
          <w:spacing w:val="-1"/>
          <w:sz w:val="18"/>
          <w:szCs w:val="18"/>
          <w:lang w:val="es-ES_tradnl"/>
        </w:rPr>
        <w:t xml:space="preserve"> </w:t>
      </w:r>
      <w:r>
        <w:rPr>
          <w:spacing w:val="-1"/>
          <w:sz w:val="14"/>
          <w:szCs w:val="14"/>
          <w:lang w:val="es-ES_tradnl"/>
        </w:rPr>
        <w:t>por</w:t>
      </w:r>
      <w:r>
        <w:rPr>
          <w:spacing w:val="-1"/>
          <w:sz w:val="18"/>
          <w:szCs w:val="18"/>
          <w:lang w:val="es-ES_tradnl"/>
        </w:rPr>
        <w:t xml:space="preserve"> </w:t>
      </w:r>
      <w:r>
        <w:rPr>
          <w:spacing w:val="-1"/>
          <w:sz w:val="14"/>
          <w:szCs w:val="14"/>
          <w:lang w:val="es-ES_tradnl"/>
        </w:rPr>
        <w:t xml:space="preserve">esta </w:t>
      </w:r>
      <w:r>
        <w:rPr>
          <w:sz w:val="14"/>
          <w:szCs w:val="14"/>
          <w:lang w:val="es-ES_tradnl"/>
        </w:rPr>
        <w:t xml:space="preserve">Ley o por las partes para designar </w:t>
      </w:r>
      <w:r>
        <w:rPr>
          <w:rFonts w:cs="Times New Roman"/>
          <w:sz w:val="14"/>
          <w:szCs w:val="14"/>
          <w:lang w:val="es-ES_tradnl"/>
        </w:rPr>
        <w:t>á</w:t>
      </w:r>
      <w:r>
        <w:rPr>
          <w:sz w:val="14"/>
          <w:szCs w:val="14"/>
          <w:lang w:val="es-ES_tradnl"/>
        </w:rPr>
        <w:t>rbitros o constituir el tribunal arbitral.</w:t>
      </w:r>
    </w:p>
    <w:p w14:paraId="4F67B632" w14:textId="77777777" w:rsidR="00591D54" w:rsidRDefault="00591D54">
      <w:pPr>
        <w:shd w:val="clear" w:color="auto" w:fill="FFFFFF"/>
        <w:spacing w:line="178" w:lineRule="exact"/>
        <w:ind w:left="144"/>
      </w:pPr>
      <w:r>
        <w:rPr>
          <w:sz w:val="14"/>
          <w:szCs w:val="14"/>
          <w:lang w:val="es-ES_tradnl"/>
        </w:rPr>
        <w:t>Del laudo arbitral podr</w:t>
      </w:r>
      <w:r>
        <w:rPr>
          <w:rFonts w:cs="Times New Roman"/>
          <w:sz w:val="14"/>
          <w:szCs w:val="14"/>
          <w:lang w:val="es-ES_tradnl"/>
        </w:rPr>
        <w:t>á</w:t>
      </w:r>
      <w:r>
        <w:rPr>
          <w:sz w:val="14"/>
          <w:szCs w:val="14"/>
          <w:lang w:val="es-ES_tradnl"/>
        </w:rPr>
        <w:t xml:space="preserve"> interponerse ante el </w:t>
      </w:r>
      <w:r>
        <w:rPr>
          <w:rFonts w:cs="Times New Roman"/>
          <w:sz w:val="14"/>
          <w:szCs w:val="14"/>
          <w:lang w:val="es-ES_tradnl"/>
        </w:rPr>
        <w:t>á</w:t>
      </w:r>
      <w:r>
        <w:rPr>
          <w:sz w:val="14"/>
          <w:szCs w:val="14"/>
          <w:lang w:val="es-ES_tradnl"/>
        </w:rPr>
        <w:t>rbitro o tribunal</w:t>
      </w:r>
    </w:p>
    <w:p w14:paraId="4F67B633" w14:textId="77777777" w:rsidR="00591D54" w:rsidRDefault="00591D54">
      <w:pPr>
        <w:shd w:val="clear" w:color="auto" w:fill="FFFFFF"/>
        <w:spacing w:line="178" w:lineRule="exact"/>
        <w:ind w:left="144"/>
      </w:pPr>
      <w:r>
        <w:rPr>
          <w:sz w:val="14"/>
          <w:szCs w:val="14"/>
          <w:lang w:val="es-ES_tradnl"/>
        </w:rPr>
        <w:t>arbitral, acci</w:t>
      </w:r>
      <w:r>
        <w:rPr>
          <w:rFonts w:cs="Times New Roman"/>
          <w:sz w:val="14"/>
          <w:szCs w:val="14"/>
          <w:lang w:val="es-ES_tradnl"/>
        </w:rPr>
        <w:t>ó</w:t>
      </w:r>
      <w:r>
        <w:rPr>
          <w:sz w:val="14"/>
          <w:szCs w:val="14"/>
          <w:lang w:val="es-ES_tradnl"/>
        </w:rPr>
        <w:t>n de nulidad para ante el respectivo presidente de la</w:t>
      </w:r>
    </w:p>
    <w:p w14:paraId="4F67B634" w14:textId="77777777" w:rsidR="00591D54" w:rsidRDefault="00591D54">
      <w:pPr>
        <w:shd w:val="clear" w:color="auto" w:fill="FFFFFF"/>
        <w:spacing w:line="178" w:lineRule="exact"/>
        <w:ind w:left="144"/>
      </w:pPr>
      <w:r>
        <w:rPr>
          <w:spacing w:val="-1"/>
          <w:sz w:val="14"/>
          <w:szCs w:val="14"/>
          <w:lang w:val="es-ES_tradnl"/>
        </w:rPr>
        <w:t>corte superior de justicia, en el t</w:t>
      </w:r>
      <w:r>
        <w:rPr>
          <w:rFonts w:cs="Times New Roman"/>
          <w:spacing w:val="-1"/>
          <w:sz w:val="14"/>
          <w:szCs w:val="14"/>
          <w:lang w:val="es-ES_tradnl"/>
        </w:rPr>
        <w:t>é</w:t>
      </w:r>
      <w:r>
        <w:rPr>
          <w:spacing w:val="-1"/>
          <w:sz w:val="14"/>
          <w:szCs w:val="14"/>
          <w:lang w:val="es-ES_tradnl"/>
        </w:rPr>
        <w:t>rmino de diez d</w:t>
      </w:r>
      <w:r>
        <w:rPr>
          <w:rFonts w:cs="Times New Roman"/>
          <w:spacing w:val="-1"/>
          <w:sz w:val="14"/>
          <w:szCs w:val="14"/>
          <w:lang w:val="es-ES_tradnl"/>
        </w:rPr>
        <w:t>í</w:t>
      </w:r>
      <w:r>
        <w:rPr>
          <w:spacing w:val="-1"/>
          <w:sz w:val="14"/>
          <w:szCs w:val="14"/>
          <w:lang w:val="es-ES_tradnl"/>
        </w:rPr>
        <w:t>as contado desde</w:t>
      </w:r>
    </w:p>
    <w:p w14:paraId="4F67B635" w14:textId="77777777" w:rsidR="00591D54" w:rsidRDefault="00591D54">
      <w:pPr>
        <w:shd w:val="clear" w:color="auto" w:fill="FFFFFF"/>
        <w:spacing w:line="178" w:lineRule="exact"/>
        <w:ind w:left="144"/>
      </w:pPr>
      <w:r>
        <w:rPr>
          <w:spacing w:val="-1"/>
          <w:sz w:val="14"/>
          <w:szCs w:val="14"/>
          <w:lang w:val="es-ES_tradnl"/>
        </w:rPr>
        <w:t xml:space="preserve">la fecha que </w:t>
      </w:r>
      <w:r>
        <w:rPr>
          <w:rFonts w:cs="Times New Roman"/>
          <w:spacing w:val="-1"/>
          <w:sz w:val="14"/>
          <w:szCs w:val="14"/>
          <w:lang w:val="es-ES_tradnl"/>
        </w:rPr>
        <w:t>é</w:t>
      </w:r>
      <w:r>
        <w:rPr>
          <w:spacing w:val="-1"/>
          <w:sz w:val="14"/>
          <w:szCs w:val="14"/>
          <w:lang w:val="es-ES_tradnl"/>
        </w:rPr>
        <w:t>ste se ejecutori</w:t>
      </w:r>
      <w:r>
        <w:rPr>
          <w:rFonts w:cs="Times New Roman"/>
          <w:spacing w:val="-1"/>
          <w:sz w:val="14"/>
          <w:szCs w:val="14"/>
          <w:lang w:val="es-ES_tradnl"/>
        </w:rPr>
        <w:t>ó</w:t>
      </w:r>
      <w:r>
        <w:rPr>
          <w:spacing w:val="-1"/>
          <w:sz w:val="14"/>
          <w:szCs w:val="14"/>
          <w:lang w:val="es-ES_tradnl"/>
        </w:rPr>
        <w:t>. Presentada la acci</w:t>
      </w:r>
      <w:r>
        <w:rPr>
          <w:rFonts w:cs="Times New Roman"/>
          <w:spacing w:val="-1"/>
          <w:sz w:val="14"/>
          <w:szCs w:val="14"/>
          <w:lang w:val="es-ES_tradnl"/>
        </w:rPr>
        <w:t>ó</w:t>
      </w:r>
      <w:r>
        <w:rPr>
          <w:spacing w:val="-1"/>
          <w:sz w:val="14"/>
          <w:szCs w:val="14"/>
          <w:lang w:val="es-ES_tradnl"/>
        </w:rPr>
        <w:t>n de nulidad, el</w:t>
      </w:r>
    </w:p>
    <w:p w14:paraId="4F67B636" w14:textId="77777777" w:rsidR="00591D54" w:rsidRDefault="00591D54">
      <w:pPr>
        <w:shd w:val="clear" w:color="auto" w:fill="FFFFFF"/>
        <w:spacing w:line="178" w:lineRule="exact"/>
        <w:ind w:left="144"/>
      </w:pPr>
      <w:r>
        <w:rPr>
          <w:rFonts w:cs="Times New Roman"/>
          <w:spacing w:val="-1"/>
          <w:sz w:val="14"/>
          <w:szCs w:val="14"/>
          <w:lang w:val="es-ES_tradnl"/>
        </w:rPr>
        <w:t>á</w:t>
      </w:r>
      <w:r>
        <w:rPr>
          <w:spacing w:val="-1"/>
          <w:sz w:val="14"/>
          <w:szCs w:val="14"/>
          <w:lang w:val="es-ES_tradnl"/>
        </w:rPr>
        <w:t>rbitro o tribunal arbitral dentro del t</w:t>
      </w:r>
      <w:r>
        <w:rPr>
          <w:rFonts w:cs="Times New Roman"/>
          <w:spacing w:val="-1"/>
          <w:sz w:val="14"/>
          <w:szCs w:val="14"/>
          <w:lang w:val="es-ES_tradnl"/>
        </w:rPr>
        <w:t>é</w:t>
      </w:r>
      <w:r>
        <w:rPr>
          <w:spacing w:val="-1"/>
          <w:sz w:val="14"/>
          <w:szCs w:val="14"/>
          <w:lang w:val="es-ES_tradnl"/>
        </w:rPr>
        <w:t>rmino de tres d</w:t>
      </w:r>
      <w:r>
        <w:rPr>
          <w:rFonts w:cs="Times New Roman"/>
          <w:spacing w:val="-1"/>
          <w:sz w:val="14"/>
          <w:szCs w:val="14"/>
          <w:lang w:val="es-ES_tradnl"/>
        </w:rPr>
        <w:t>í</w:t>
      </w:r>
      <w:r>
        <w:rPr>
          <w:spacing w:val="-1"/>
          <w:sz w:val="14"/>
          <w:szCs w:val="14"/>
          <w:lang w:val="es-ES_tradnl"/>
        </w:rPr>
        <w:t>as, remitir</w:t>
      </w:r>
      <w:r>
        <w:rPr>
          <w:rFonts w:cs="Times New Roman"/>
          <w:spacing w:val="-1"/>
          <w:sz w:val="14"/>
          <w:szCs w:val="14"/>
          <w:lang w:val="es-ES_tradnl"/>
        </w:rPr>
        <w:t>á</w:t>
      </w:r>
      <w:r>
        <w:rPr>
          <w:spacing w:val="-1"/>
          <w:sz w:val="14"/>
          <w:szCs w:val="14"/>
          <w:lang w:val="es-ES_tradnl"/>
        </w:rPr>
        <w:t>n el</w:t>
      </w:r>
    </w:p>
    <w:p w14:paraId="4F67B637" w14:textId="77777777" w:rsidR="00591D54" w:rsidRDefault="00591D54">
      <w:pPr>
        <w:shd w:val="clear" w:color="auto" w:fill="FFFFFF"/>
        <w:spacing w:line="178" w:lineRule="exact"/>
        <w:ind w:left="144"/>
      </w:pPr>
      <w:r>
        <w:rPr>
          <w:spacing w:val="-2"/>
          <w:sz w:val="14"/>
          <w:szCs w:val="14"/>
          <w:lang w:val="es-ES_tradnl"/>
        </w:rPr>
        <w:t>proceso al presidente de la corte superior de justicia, quien resolver</w:t>
      </w:r>
      <w:r>
        <w:rPr>
          <w:rFonts w:cs="Times New Roman"/>
          <w:spacing w:val="-2"/>
          <w:sz w:val="14"/>
          <w:szCs w:val="14"/>
          <w:lang w:val="es-ES_tradnl"/>
        </w:rPr>
        <w:t>á</w:t>
      </w:r>
    </w:p>
    <w:p w14:paraId="4F67B638" w14:textId="77777777" w:rsidR="00591D54" w:rsidRDefault="00591D54">
      <w:pPr>
        <w:shd w:val="clear" w:color="auto" w:fill="FFFFFF"/>
        <w:spacing w:line="178" w:lineRule="exact"/>
        <w:ind w:left="144"/>
      </w:pPr>
      <w:r>
        <w:rPr>
          <w:spacing w:val="-4"/>
          <w:sz w:val="14"/>
          <w:szCs w:val="14"/>
          <w:lang w:val="es-ES_tradnl"/>
        </w:rPr>
        <w:t>la acci</w:t>
      </w:r>
      <w:r>
        <w:rPr>
          <w:rFonts w:cs="Times New Roman"/>
          <w:spacing w:val="-4"/>
          <w:sz w:val="14"/>
          <w:szCs w:val="14"/>
          <w:lang w:val="es-ES_tradnl"/>
        </w:rPr>
        <w:t>ó</w:t>
      </w:r>
      <w:r>
        <w:rPr>
          <w:spacing w:val="-4"/>
          <w:sz w:val="14"/>
          <w:szCs w:val="14"/>
          <w:lang w:val="es-ES_tradnl"/>
        </w:rPr>
        <w:t>n de nulidad dentro del t</w:t>
      </w:r>
      <w:r>
        <w:rPr>
          <w:rFonts w:cs="Times New Roman"/>
          <w:spacing w:val="-4"/>
          <w:sz w:val="14"/>
          <w:szCs w:val="14"/>
          <w:lang w:val="es-ES_tradnl"/>
        </w:rPr>
        <w:t>é</w:t>
      </w:r>
      <w:r>
        <w:rPr>
          <w:spacing w:val="-4"/>
          <w:sz w:val="14"/>
          <w:szCs w:val="14"/>
          <w:lang w:val="es-ES_tradnl"/>
        </w:rPr>
        <w:t>rmino de treinta d</w:t>
      </w:r>
      <w:r>
        <w:rPr>
          <w:rFonts w:cs="Times New Roman"/>
          <w:spacing w:val="-4"/>
          <w:sz w:val="14"/>
          <w:szCs w:val="14"/>
          <w:lang w:val="es-ES_tradnl"/>
        </w:rPr>
        <w:t>í</w:t>
      </w:r>
      <w:r>
        <w:rPr>
          <w:spacing w:val="-4"/>
          <w:sz w:val="14"/>
          <w:szCs w:val="14"/>
          <w:lang w:val="es-ES_tradnl"/>
        </w:rPr>
        <w:t>as contados desde</w:t>
      </w:r>
    </w:p>
    <w:p w14:paraId="4F67B639" w14:textId="77777777" w:rsidR="00591D54" w:rsidRDefault="00591D54">
      <w:pPr>
        <w:shd w:val="clear" w:color="auto" w:fill="FFFFFF"/>
        <w:spacing w:line="178" w:lineRule="exact"/>
        <w:ind w:left="144"/>
      </w:pPr>
      <w:r>
        <w:rPr>
          <w:spacing w:val="-1"/>
          <w:sz w:val="14"/>
          <w:szCs w:val="14"/>
          <w:lang w:val="es-ES_tradnl"/>
        </w:rPr>
        <w:t>la fecha que avoc</w:t>
      </w:r>
      <w:r>
        <w:rPr>
          <w:rFonts w:cs="Times New Roman"/>
          <w:spacing w:val="-1"/>
          <w:sz w:val="14"/>
          <w:szCs w:val="14"/>
          <w:lang w:val="es-ES_tradnl"/>
        </w:rPr>
        <w:t>ó</w:t>
      </w:r>
      <w:r>
        <w:rPr>
          <w:spacing w:val="-1"/>
          <w:sz w:val="14"/>
          <w:szCs w:val="14"/>
          <w:lang w:val="es-ES_tradnl"/>
        </w:rPr>
        <w:t xml:space="preserve"> conocimiento de la causa. La acci</w:t>
      </w:r>
      <w:r>
        <w:rPr>
          <w:rFonts w:cs="Times New Roman"/>
          <w:spacing w:val="-1"/>
          <w:sz w:val="14"/>
          <w:szCs w:val="14"/>
          <w:lang w:val="es-ES_tradnl"/>
        </w:rPr>
        <w:t>ó</w:t>
      </w:r>
      <w:r>
        <w:rPr>
          <w:spacing w:val="-1"/>
          <w:sz w:val="14"/>
          <w:szCs w:val="14"/>
          <w:lang w:val="es-ES_tradnl"/>
        </w:rPr>
        <w:t>n de nulidad</w:t>
      </w:r>
    </w:p>
    <w:p w14:paraId="4F67B63A" w14:textId="77777777" w:rsidR="00591D54" w:rsidRDefault="00591D54">
      <w:pPr>
        <w:shd w:val="clear" w:color="auto" w:fill="FFFFFF"/>
        <w:spacing w:line="178" w:lineRule="exact"/>
        <w:ind w:left="144"/>
      </w:pPr>
      <w:r>
        <w:rPr>
          <w:spacing w:val="-4"/>
          <w:sz w:val="14"/>
          <w:szCs w:val="14"/>
          <w:lang w:val="es-ES_tradnl"/>
        </w:rPr>
        <w:t>presentada fuera del t</w:t>
      </w:r>
      <w:r>
        <w:rPr>
          <w:rFonts w:cs="Times New Roman"/>
          <w:spacing w:val="-4"/>
          <w:sz w:val="14"/>
          <w:szCs w:val="14"/>
          <w:lang w:val="es-ES_tradnl"/>
        </w:rPr>
        <w:t>é</w:t>
      </w:r>
      <w:r>
        <w:rPr>
          <w:spacing w:val="-4"/>
          <w:sz w:val="14"/>
          <w:szCs w:val="14"/>
          <w:lang w:val="es-ES_tradnl"/>
        </w:rPr>
        <w:t>rmino se</w:t>
      </w:r>
      <w:r>
        <w:rPr>
          <w:rFonts w:cs="Times New Roman"/>
          <w:spacing w:val="-4"/>
          <w:sz w:val="14"/>
          <w:szCs w:val="14"/>
          <w:lang w:val="es-ES_tradnl"/>
        </w:rPr>
        <w:t>ñ</w:t>
      </w:r>
      <w:r>
        <w:rPr>
          <w:spacing w:val="-4"/>
          <w:sz w:val="14"/>
          <w:szCs w:val="14"/>
          <w:lang w:val="es-ES_tradnl"/>
        </w:rPr>
        <w:t>alado, se tendr</w:t>
      </w:r>
      <w:r>
        <w:rPr>
          <w:rFonts w:cs="Times New Roman"/>
          <w:spacing w:val="-4"/>
          <w:sz w:val="14"/>
          <w:szCs w:val="14"/>
          <w:lang w:val="es-ES_tradnl"/>
        </w:rPr>
        <w:t>á</w:t>
      </w:r>
      <w:r>
        <w:rPr>
          <w:spacing w:val="-4"/>
          <w:sz w:val="14"/>
          <w:szCs w:val="14"/>
          <w:lang w:val="es-ES_tradnl"/>
        </w:rPr>
        <w:t xml:space="preserve"> por no interpuesta y</w:t>
      </w:r>
    </w:p>
    <w:p w14:paraId="4F67B63B" w14:textId="77777777" w:rsidR="00591D54" w:rsidRDefault="00591D54">
      <w:pPr>
        <w:shd w:val="clear" w:color="auto" w:fill="FFFFFF"/>
        <w:spacing w:line="178" w:lineRule="exact"/>
        <w:ind w:left="144"/>
      </w:pPr>
      <w:r>
        <w:rPr>
          <w:spacing w:val="-3"/>
          <w:sz w:val="14"/>
          <w:szCs w:val="14"/>
          <w:lang w:val="es-ES_tradnl"/>
        </w:rPr>
        <w:t>no se la aceptar</w:t>
      </w:r>
      <w:r>
        <w:rPr>
          <w:rFonts w:cs="Times New Roman"/>
          <w:spacing w:val="-3"/>
          <w:sz w:val="14"/>
          <w:szCs w:val="14"/>
          <w:lang w:val="es-ES_tradnl"/>
        </w:rPr>
        <w:t>á</w:t>
      </w:r>
      <w:r>
        <w:rPr>
          <w:spacing w:val="-3"/>
          <w:sz w:val="14"/>
          <w:szCs w:val="14"/>
          <w:lang w:val="es-ES_tradnl"/>
        </w:rPr>
        <w:t xml:space="preserve"> a tr</w:t>
      </w:r>
      <w:r>
        <w:rPr>
          <w:rFonts w:cs="Times New Roman"/>
          <w:spacing w:val="-3"/>
          <w:sz w:val="14"/>
          <w:szCs w:val="14"/>
          <w:lang w:val="es-ES_tradnl"/>
        </w:rPr>
        <w:t>á</w:t>
      </w:r>
      <w:r>
        <w:rPr>
          <w:spacing w:val="-3"/>
          <w:sz w:val="14"/>
          <w:szCs w:val="14"/>
          <w:lang w:val="es-ES_tradnl"/>
        </w:rPr>
        <w:t>mite.</w:t>
      </w:r>
    </w:p>
    <w:p w14:paraId="4F67B63C" w14:textId="77777777" w:rsidR="00591D54" w:rsidRDefault="00591D54">
      <w:pPr>
        <w:shd w:val="clear" w:color="auto" w:fill="FFFFFF"/>
        <w:spacing w:line="178" w:lineRule="exact"/>
        <w:ind w:left="144"/>
      </w:pPr>
      <w:r>
        <w:rPr>
          <w:sz w:val="14"/>
          <w:szCs w:val="14"/>
          <w:lang w:val="es-ES_tradnl"/>
        </w:rPr>
        <w:t>Quien interponga la acci</w:t>
      </w:r>
      <w:r>
        <w:rPr>
          <w:rFonts w:cs="Times New Roman"/>
          <w:sz w:val="14"/>
          <w:szCs w:val="14"/>
          <w:lang w:val="es-ES_tradnl"/>
        </w:rPr>
        <w:t>ó</w:t>
      </w:r>
      <w:r>
        <w:rPr>
          <w:sz w:val="14"/>
          <w:szCs w:val="14"/>
          <w:lang w:val="es-ES_tradnl"/>
        </w:rPr>
        <w:t>n de nulidad, podr</w:t>
      </w:r>
      <w:r>
        <w:rPr>
          <w:rFonts w:cs="Times New Roman"/>
          <w:sz w:val="14"/>
          <w:szCs w:val="14"/>
          <w:lang w:val="es-ES_tradnl"/>
        </w:rPr>
        <w:t>á</w:t>
      </w:r>
      <w:r>
        <w:rPr>
          <w:sz w:val="14"/>
          <w:szCs w:val="14"/>
          <w:lang w:val="es-ES_tradnl"/>
        </w:rPr>
        <w:t xml:space="preserve"> solicitar al </w:t>
      </w:r>
      <w:r>
        <w:rPr>
          <w:rFonts w:cs="Times New Roman"/>
          <w:sz w:val="14"/>
          <w:szCs w:val="14"/>
          <w:lang w:val="es-ES_tradnl"/>
        </w:rPr>
        <w:t>á</w:t>
      </w:r>
      <w:r>
        <w:rPr>
          <w:sz w:val="14"/>
          <w:szCs w:val="14"/>
          <w:lang w:val="es-ES_tradnl"/>
        </w:rPr>
        <w:t>rbitro o</w:t>
      </w:r>
    </w:p>
    <w:p w14:paraId="4F67B63D" w14:textId="77777777" w:rsidR="00591D54" w:rsidRDefault="00591D54">
      <w:pPr>
        <w:shd w:val="clear" w:color="auto" w:fill="FFFFFF"/>
        <w:spacing w:line="178" w:lineRule="exact"/>
        <w:ind w:left="144"/>
      </w:pPr>
      <w:r>
        <w:rPr>
          <w:sz w:val="14"/>
          <w:szCs w:val="14"/>
          <w:lang w:val="es-ES_tradnl"/>
        </w:rPr>
        <w:t>tribunal arbitral que se suspenda la ejecuci</w:t>
      </w:r>
      <w:r>
        <w:rPr>
          <w:rFonts w:cs="Times New Roman"/>
          <w:sz w:val="14"/>
          <w:szCs w:val="14"/>
          <w:lang w:val="es-ES_tradnl"/>
        </w:rPr>
        <w:t>ó</w:t>
      </w:r>
      <w:r>
        <w:rPr>
          <w:sz w:val="14"/>
          <w:szCs w:val="14"/>
          <w:lang w:val="es-ES_tradnl"/>
        </w:rPr>
        <w:t>n del laudo, rindiendo</w:t>
      </w:r>
    </w:p>
    <w:p w14:paraId="4F67B63E" w14:textId="77777777" w:rsidR="00591D54" w:rsidRDefault="00591D54">
      <w:pPr>
        <w:shd w:val="clear" w:color="auto" w:fill="FFFFFF"/>
        <w:spacing w:line="178" w:lineRule="exact"/>
        <w:ind w:left="144"/>
      </w:pPr>
      <w:r>
        <w:rPr>
          <w:spacing w:val="-4"/>
          <w:sz w:val="14"/>
          <w:szCs w:val="14"/>
          <w:lang w:val="es-ES_tradnl"/>
        </w:rPr>
        <w:t>cauci</w:t>
      </w:r>
      <w:r>
        <w:rPr>
          <w:rFonts w:cs="Times New Roman"/>
          <w:spacing w:val="-4"/>
          <w:sz w:val="14"/>
          <w:szCs w:val="14"/>
          <w:lang w:val="es-ES_tradnl"/>
        </w:rPr>
        <w:t>ó</w:t>
      </w:r>
      <w:r>
        <w:rPr>
          <w:spacing w:val="-4"/>
          <w:sz w:val="14"/>
          <w:szCs w:val="14"/>
          <w:lang w:val="es-ES_tradnl"/>
        </w:rPr>
        <w:t>n suficiente sobre los perjuicios estimados que la demora en la</w:t>
      </w:r>
    </w:p>
    <w:p w14:paraId="4F67B63F" w14:textId="77777777" w:rsidR="00591D54" w:rsidRDefault="00591D54">
      <w:pPr>
        <w:shd w:val="clear" w:color="auto" w:fill="FFFFFF"/>
        <w:spacing w:line="178" w:lineRule="exact"/>
        <w:ind w:left="144"/>
      </w:pPr>
      <w:r>
        <w:rPr>
          <w:spacing w:val="-2"/>
          <w:sz w:val="14"/>
          <w:szCs w:val="14"/>
          <w:lang w:val="es-ES_tradnl"/>
        </w:rPr>
        <w:t>ejecuci</w:t>
      </w:r>
      <w:r>
        <w:rPr>
          <w:rFonts w:cs="Times New Roman"/>
          <w:spacing w:val="-2"/>
          <w:sz w:val="14"/>
          <w:szCs w:val="14"/>
          <w:lang w:val="es-ES_tradnl"/>
        </w:rPr>
        <w:t>ó</w:t>
      </w:r>
      <w:r>
        <w:rPr>
          <w:spacing w:val="-2"/>
          <w:sz w:val="14"/>
          <w:szCs w:val="14"/>
          <w:lang w:val="es-ES_tradnl"/>
        </w:rPr>
        <w:t>n del laudo pueda causar a la otra parte.</w:t>
      </w:r>
    </w:p>
    <w:p w14:paraId="4F67B640" w14:textId="77777777" w:rsidR="00591D54" w:rsidRDefault="00591D54">
      <w:pPr>
        <w:shd w:val="clear" w:color="auto" w:fill="FFFFFF"/>
        <w:spacing w:line="178" w:lineRule="exact"/>
        <w:ind w:left="144"/>
      </w:pPr>
      <w:r>
        <w:rPr>
          <w:spacing w:val="-1"/>
          <w:sz w:val="14"/>
          <w:szCs w:val="14"/>
          <w:lang w:val="es-ES_tradnl"/>
        </w:rPr>
        <w:t xml:space="preserve">El </w:t>
      </w:r>
      <w:r>
        <w:rPr>
          <w:rFonts w:cs="Times New Roman"/>
          <w:spacing w:val="-1"/>
          <w:sz w:val="14"/>
          <w:szCs w:val="14"/>
          <w:lang w:val="es-ES_tradnl"/>
        </w:rPr>
        <w:t>á</w:t>
      </w:r>
      <w:r>
        <w:rPr>
          <w:spacing w:val="-1"/>
          <w:sz w:val="14"/>
          <w:szCs w:val="14"/>
          <w:lang w:val="es-ES_tradnl"/>
        </w:rPr>
        <w:t>rbitro o tribunal arbitral, en el t</w:t>
      </w:r>
      <w:r>
        <w:rPr>
          <w:rFonts w:cs="Times New Roman"/>
          <w:spacing w:val="-1"/>
          <w:sz w:val="14"/>
          <w:szCs w:val="14"/>
          <w:lang w:val="es-ES_tradnl"/>
        </w:rPr>
        <w:t>é</w:t>
      </w:r>
      <w:r>
        <w:rPr>
          <w:spacing w:val="-1"/>
          <w:sz w:val="14"/>
          <w:szCs w:val="14"/>
          <w:lang w:val="es-ES_tradnl"/>
        </w:rPr>
        <w:t>rmino de tres d</w:t>
      </w:r>
      <w:r>
        <w:rPr>
          <w:rFonts w:cs="Times New Roman"/>
          <w:spacing w:val="-1"/>
          <w:sz w:val="14"/>
          <w:szCs w:val="14"/>
          <w:lang w:val="es-ES_tradnl"/>
        </w:rPr>
        <w:t>í</w:t>
      </w:r>
      <w:r>
        <w:rPr>
          <w:spacing w:val="-1"/>
          <w:sz w:val="14"/>
          <w:szCs w:val="14"/>
          <w:lang w:val="es-ES_tradnl"/>
        </w:rPr>
        <w:t>as, deber</w:t>
      </w:r>
      <w:r>
        <w:rPr>
          <w:rFonts w:cs="Times New Roman"/>
          <w:spacing w:val="-1"/>
          <w:sz w:val="14"/>
          <w:szCs w:val="14"/>
          <w:lang w:val="es-ES_tradnl"/>
        </w:rPr>
        <w:t>á</w:t>
      </w:r>
      <w:r>
        <w:rPr>
          <w:spacing w:val="-1"/>
          <w:sz w:val="14"/>
          <w:szCs w:val="14"/>
          <w:lang w:val="es-ES_tradnl"/>
        </w:rPr>
        <w:t>n fijar</w:t>
      </w:r>
    </w:p>
    <w:p w14:paraId="4F67B641" w14:textId="77777777" w:rsidR="00591D54" w:rsidRDefault="00591D54">
      <w:pPr>
        <w:shd w:val="clear" w:color="auto" w:fill="FFFFFF"/>
        <w:spacing w:line="178" w:lineRule="exact"/>
        <w:ind w:left="144"/>
      </w:pPr>
      <w:r>
        <w:rPr>
          <w:spacing w:val="-3"/>
          <w:sz w:val="14"/>
          <w:szCs w:val="14"/>
          <w:lang w:val="es-ES_tradnl"/>
        </w:rPr>
        <w:t>el monto de la cauci</w:t>
      </w:r>
      <w:r>
        <w:rPr>
          <w:rFonts w:cs="Times New Roman"/>
          <w:spacing w:val="-3"/>
          <w:sz w:val="14"/>
          <w:szCs w:val="14"/>
          <w:lang w:val="es-ES_tradnl"/>
        </w:rPr>
        <w:t>ó</w:t>
      </w:r>
      <w:r>
        <w:rPr>
          <w:spacing w:val="-3"/>
          <w:sz w:val="14"/>
          <w:szCs w:val="14"/>
          <w:lang w:val="es-ES_tradnl"/>
        </w:rPr>
        <w:t>n, disponiendo la suspensi</w:t>
      </w:r>
      <w:r>
        <w:rPr>
          <w:rFonts w:cs="Times New Roman"/>
          <w:spacing w:val="-3"/>
          <w:sz w:val="14"/>
          <w:szCs w:val="14"/>
          <w:lang w:val="es-ES_tradnl"/>
        </w:rPr>
        <w:t>ó</w:t>
      </w:r>
      <w:r>
        <w:rPr>
          <w:spacing w:val="-3"/>
          <w:sz w:val="14"/>
          <w:szCs w:val="14"/>
          <w:lang w:val="es-ES_tradnl"/>
        </w:rPr>
        <w:t>n de la ejecuci</w:t>
      </w:r>
      <w:r>
        <w:rPr>
          <w:rFonts w:cs="Times New Roman"/>
          <w:spacing w:val="-3"/>
          <w:sz w:val="14"/>
          <w:szCs w:val="14"/>
          <w:lang w:val="es-ES_tradnl"/>
        </w:rPr>
        <w:t>ó</w:t>
      </w:r>
      <w:r>
        <w:rPr>
          <w:spacing w:val="-3"/>
          <w:sz w:val="14"/>
          <w:szCs w:val="14"/>
          <w:lang w:val="es-ES_tradnl"/>
        </w:rPr>
        <w:t>n del</w:t>
      </w:r>
    </w:p>
    <w:p w14:paraId="4F67B642" w14:textId="77777777" w:rsidR="00591D54" w:rsidRDefault="00591D54">
      <w:pPr>
        <w:shd w:val="clear" w:color="auto" w:fill="FFFFFF"/>
        <w:spacing w:line="178" w:lineRule="exact"/>
        <w:ind w:left="144"/>
      </w:pPr>
      <w:r>
        <w:rPr>
          <w:spacing w:val="-2"/>
          <w:sz w:val="14"/>
          <w:szCs w:val="14"/>
          <w:lang w:val="es-ES_tradnl"/>
        </w:rPr>
        <w:t>laudo.</w:t>
      </w:r>
    </w:p>
    <w:p w14:paraId="4F67B643" w14:textId="77777777" w:rsidR="00591D54" w:rsidRDefault="00591D54">
      <w:pPr>
        <w:shd w:val="clear" w:color="auto" w:fill="FFFFFF"/>
        <w:spacing w:line="178" w:lineRule="exact"/>
        <w:ind w:left="144"/>
      </w:pPr>
      <w:r>
        <w:rPr>
          <w:sz w:val="14"/>
          <w:szCs w:val="14"/>
          <w:lang w:val="es-ES_tradnl"/>
        </w:rPr>
        <w:t>La cauci</w:t>
      </w:r>
      <w:r>
        <w:rPr>
          <w:rFonts w:cs="Times New Roman"/>
          <w:sz w:val="14"/>
          <w:szCs w:val="14"/>
          <w:lang w:val="es-ES_tradnl"/>
        </w:rPr>
        <w:t>ó</w:t>
      </w:r>
      <w:r>
        <w:rPr>
          <w:sz w:val="14"/>
          <w:szCs w:val="14"/>
          <w:lang w:val="es-ES_tradnl"/>
        </w:rPr>
        <w:t>n deber</w:t>
      </w:r>
      <w:r>
        <w:rPr>
          <w:rFonts w:cs="Times New Roman"/>
          <w:sz w:val="14"/>
          <w:szCs w:val="14"/>
          <w:lang w:val="es-ES_tradnl"/>
        </w:rPr>
        <w:t>á</w:t>
      </w:r>
      <w:r>
        <w:rPr>
          <w:sz w:val="14"/>
          <w:szCs w:val="14"/>
          <w:lang w:val="es-ES_tradnl"/>
        </w:rPr>
        <w:t xml:space="preserve"> constituirse dentro del t</w:t>
      </w:r>
      <w:r>
        <w:rPr>
          <w:rFonts w:cs="Times New Roman"/>
          <w:sz w:val="14"/>
          <w:szCs w:val="14"/>
          <w:lang w:val="es-ES_tradnl"/>
        </w:rPr>
        <w:t>é</w:t>
      </w:r>
      <w:r>
        <w:rPr>
          <w:sz w:val="14"/>
          <w:szCs w:val="14"/>
          <w:lang w:val="es-ES_tradnl"/>
        </w:rPr>
        <w:t>rmino de tres d</w:t>
      </w:r>
      <w:r>
        <w:rPr>
          <w:rFonts w:cs="Times New Roman"/>
          <w:sz w:val="14"/>
          <w:szCs w:val="14"/>
          <w:lang w:val="es-ES_tradnl"/>
        </w:rPr>
        <w:t>í</w:t>
      </w:r>
      <w:r>
        <w:rPr>
          <w:sz w:val="14"/>
          <w:szCs w:val="14"/>
          <w:lang w:val="es-ES_tradnl"/>
        </w:rPr>
        <w:t>as,</w:t>
      </w:r>
    </w:p>
    <w:p w14:paraId="4F67B644" w14:textId="77777777" w:rsidR="00591D54" w:rsidRDefault="00591D54">
      <w:pPr>
        <w:shd w:val="clear" w:color="auto" w:fill="FFFFFF"/>
        <w:spacing w:line="178" w:lineRule="exact"/>
        <w:ind w:left="144"/>
      </w:pPr>
      <w:r>
        <w:rPr>
          <w:spacing w:val="-3"/>
          <w:sz w:val="14"/>
          <w:szCs w:val="14"/>
          <w:lang w:val="es-ES_tradnl"/>
        </w:rPr>
        <w:t>contados a partir de esta notificaci</w:t>
      </w:r>
      <w:r>
        <w:rPr>
          <w:rFonts w:cs="Times New Roman"/>
          <w:spacing w:val="-3"/>
          <w:sz w:val="14"/>
          <w:szCs w:val="14"/>
          <w:lang w:val="es-ES_tradnl"/>
        </w:rPr>
        <w:t>ó</w:t>
      </w:r>
      <w:r>
        <w:rPr>
          <w:spacing w:val="-3"/>
          <w:sz w:val="14"/>
          <w:szCs w:val="14"/>
          <w:lang w:val="es-ES_tradnl"/>
        </w:rPr>
        <w:t>n.</w:t>
      </w:r>
    </w:p>
    <w:p w14:paraId="4F67B645" w14:textId="77777777" w:rsidR="00591D54" w:rsidRDefault="00591D54">
      <w:pPr>
        <w:shd w:val="clear" w:color="auto" w:fill="FFFFFF"/>
        <w:spacing w:line="178" w:lineRule="exact"/>
        <w:ind w:left="144"/>
        <w:sectPr w:rsidR="00591D54">
          <w:type w:val="continuous"/>
          <w:pgSz w:w="11909" w:h="16834"/>
          <w:pgMar w:top="1174" w:right="1309" w:bottom="360" w:left="1308" w:header="720" w:footer="720" w:gutter="0"/>
          <w:cols w:num="2" w:space="720" w:equalWidth="0">
            <w:col w:w="4305" w:space="682"/>
            <w:col w:w="4305"/>
          </w:cols>
          <w:noEndnote/>
        </w:sectPr>
      </w:pPr>
    </w:p>
    <w:p w14:paraId="4F67B646"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- 229</w:t>
      </w:r>
    </w:p>
    <w:p w14:paraId="4F67B647" w14:textId="77777777" w:rsidR="00591D54" w:rsidRDefault="00591D54">
      <w:pPr>
        <w:shd w:val="clear" w:color="auto" w:fill="FFFFFF"/>
        <w:tabs>
          <w:tab w:val="left" w:pos="5842"/>
        </w:tabs>
        <w:spacing w:after="235"/>
        <w:ind w:left="5"/>
        <w:sectPr w:rsidR="00591D54">
          <w:pgSz w:w="11909" w:h="16834"/>
          <w:pgMar w:top="1356" w:right="1309" w:bottom="360" w:left="1308" w:header="720" w:footer="720" w:gutter="0"/>
          <w:cols w:space="60"/>
          <w:noEndnote/>
        </w:sectPr>
      </w:pPr>
    </w:p>
    <w:p w14:paraId="4F67B648" w14:textId="77777777" w:rsidR="00591D54" w:rsidRDefault="00591D54">
      <w:pPr>
        <w:shd w:val="clear" w:color="auto" w:fill="FFFFFF"/>
        <w:spacing w:line="216" w:lineRule="exact"/>
        <w:ind w:right="5"/>
        <w:jc w:val="both"/>
      </w:pPr>
      <w:r>
        <w:rPr>
          <w:spacing w:val="-8"/>
          <w:sz w:val="18"/>
          <w:szCs w:val="18"/>
          <w:lang w:val="es-ES_tradnl"/>
        </w:rPr>
        <w:t>Adicionalmente, el Tribunal mencion</w:t>
      </w:r>
      <w:r>
        <w:rPr>
          <w:rFonts w:cs="Times New Roman"/>
          <w:spacing w:val="-8"/>
          <w:sz w:val="18"/>
          <w:szCs w:val="18"/>
          <w:lang w:val="es-ES_tradnl"/>
        </w:rPr>
        <w:t>ó</w:t>
      </w:r>
      <w:r>
        <w:rPr>
          <w:spacing w:val="-8"/>
          <w:sz w:val="18"/>
          <w:szCs w:val="18"/>
          <w:lang w:val="es-ES_tradnl"/>
        </w:rPr>
        <w:t xml:space="preserve"> que la determinaci</w:t>
      </w:r>
      <w:r>
        <w:rPr>
          <w:rFonts w:cs="Times New Roman"/>
          <w:spacing w:val="-8"/>
          <w:sz w:val="18"/>
          <w:szCs w:val="18"/>
          <w:lang w:val="es-ES_tradnl"/>
        </w:rPr>
        <w:t>ó</w:t>
      </w:r>
      <w:r>
        <w:rPr>
          <w:spacing w:val="-8"/>
          <w:sz w:val="18"/>
          <w:szCs w:val="18"/>
          <w:lang w:val="es-ES_tradnl"/>
        </w:rPr>
        <w:t xml:space="preserve">n </w:t>
      </w:r>
      <w:r>
        <w:rPr>
          <w:spacing w:val="-3"/>
          <w:sz w:val="18"/>
          <w:szCs w:val="18"/>
          <w:lang w:val="es-ES_tradnl"/>
        </w:rPr>
        <w:t>del valor de dicha cauci</w:t>
      </w:r>
      <w:r>
        <w:rPr>
          <w:rFonts w:cs="Times New Roman"/>
          <w:spacing w:val="-3"/>
          <w:sz w:val="18"/>
          <w:szCs w:val="18"/>
          <w:lang w:val="es-ES_tradnl"/>
        </w:rPr>
        <w:t>ó</w:t>
      </w:r>
      <w:r>
        <w:rPr>
          <w:spacing w:val="-3"/>
          <w:sz w:val="18"/>
          <w:szCs w:val="18"/>
          <w:lang w:val="es-ES_tradnl"/>
        </w:rPr>
        <w:t xml:space="preserve">n se encuentra justificada por </w:t>
      </w:r>
      <w:r>
        <w:rPr>
          <w:spacing w:val="-6"/>
          <w:sz w:val="18"/>
          <w:szCs w:val="18"/>
          <w:lang w:val="es-ES_tradnl"/>
        </w:rPr>
        <w:t>los perjuicios que tal acci</w:t>
      </w:r>
      <w:r>
        <w:rPr>
          <w:rFonts w:cs="Times New Roman"/>
          <w:spacing w:val="-6"/>
          <w:sz w:val="18"/>
          <w:szCs w:val="18"/>
          <w:lang w:val="es-ES_tradnl"/>
        </w:rPr>
        <w:t>ó</w:t>
      </w:r>
      <w:r>
        <w:rPr>
          <w:spacing w:val="-6"/>
          <w:sz w:val="18"/>
          <w:szCs w:val="18"/>
          <w:lang w:val="es-ES_tradnl"/>
        </w:rPr>
        <w:t>n de nulidad ocasionar</w:t>
      </w:r>
      <w:r>
        <w:rPr>
          <w:rFonts w:cs="Times New Roman"/>
          <w:spacing w:val="-6"/>
          <w:sz w:val="18"/>
          <w:szCs w:val="18"/>
          <w:lang w:val="es-ES_tradnl"/>
        </w:rPr>
        <w:t>í</w:t>
      </w:r>
      <w:r>
        <w:rPr>
          <w:spacing w:val="-6"/>
          <w:sz w:val="18"/>
          <w:szCs w:val="18"/>
          <w:lang w:val="es-ES_tradnl"/>
        </w:rPr>
        <w:t xml:space="preserve">a en </w:t>
      </w:r>
      <w:r>
        <w:rPr>
          <w:spacing w:val="-5"/>
          <w:sz w:val="18"/>
          <w:szCs w:val="18"/>
          <w:lang w:val="es-ES_tradnl"/>
        </w:rPr>
        <w:t>perjuicio de TAGSA S. A., dada la falta de ejecuci</w:t>
      </w:r>
      <w:r>
        <w:rPr>
          <w:rFonts w:cs="Times New Roman"/>
          <w:spacing w:val="-5"/>
          <w:sz w:val="18"/>
          <w:szCs w:val="18"/>
          <w:lang w:val="es-ES_tradnl"/>
        </w:rPr>
        <w:t>ó</w:t>
      </w:r>
      <w:r>
        <w:rPr>
          <w:spacing w:val="-5"/>
          <w:sz w:val="18"/>
          <w:szCs w:val="18"/>
          <w:lang w:val="es-ES_tradnl"/>
        </w:rPr>
        <w:t xml:space="preserve">n del </w:t>
      </w:r>
      <w:r>
        <w:rPr>
          <w:spacing w:val="-8"/>
          <w:sz w:val="18"/>
          <w:szCs w:val="18"/>
          <w:lang w:val="es-ES_tradnl"/>
        </w:rPr>
        <w:t>laudo arbitral y que adem</w:t>
      </w:r>
      <w:r>
        <w:rPr>
          <w:rFonts w:cs="Times New Roman"/>
          <w:spacing w:val="-8"/>
          <w:sz w:val="18"/>
          <w:szCs w:val="18"/>
          <w:lang w:val="es-ES_tradnl"/>
        </w:rPr>
        <w:t>á</w:t>
      </w:r>
      <w:r>
        <w:rPr>
          <w:spacing w:val="-8"/>
          <w:sz w:val="18"/>
          <w:szCs w:val="18"/>
          <w:lang w:val="es-ES_tradnl"/>
        </w:rPr>
        <w:t>s, se fij</w:t>
      </w:r>
      <w:r>
        <w:rPr>
          <w:rFonts w:cs="Times New Roman"/>
          <w:spacing w:val="-8"/>
          <w:sz w:val="18"/>
          <w:szCs w:val="18"/>
          <w:lang w:val="es-ES_tradnl"/>
        </w:rPr>
        <w:t>ó</w:t>
      </w:r>
      <w:r>
        <w:rPr>
          <w:spacing w:val="-8"/>
          <w:sz w:val="18"/>
          <w:szCs w:val="18"/>
          <w:lang w:val="es-ES_tradnl"/>
        </w:rPr>
        <w:t xml:space="preserve"> tal valor sobre la base </w:t>
      </w:r>
      <w:r>
        <w:rPr>
          <w:spacing w:val="-7"/>
          <w:sz w:val="18"/>
          <w:szCs w:val="18"/>
          <w:lang w:val="es-ES_tradnl"/>
        </w:rPr>
        <w:t>del an</w:t>
      </w:r>
      <w:r>
        <w:rPr>
          <w:rFonts w:cs="Times New Roman"/>
          <w:spacing w:val="-7"/>
          <w:sz w:val="18"/>
          <w:szCs w:val="18"/>
          <w:lang w:val="es-ES_tradnl"/>
        </w:rPr>
        <w:t>á</w:t>
      </w:r>
      <w:r>
        <w:rPr>
          <w:spacing w:val="-7"/>
          <w:sz w:val="18"/>
          <w:szCs w:val="18"/>
          <w:lang w:val="es-ES_tradnl"/>
        </w:rPr>
        <w:t>lisis del tiempo que tardar</w:t>
      </w:r>
      <w:r>
        <w:rPr>
          <w:rFonts w:cs="Times New Roman"/>
          <w:spacing w:val="-7"/>
          <w:sz w:val="18"/>
          <w:szCs w:val="18"/>
          <w:lang w:val="es-ES_tradnl"/>
        </w:rPr>
        <w:t>í</w:t>
      </w:r>
      <w:r>
        <w:rPr>
          <w:spacing w:val="-7"/>
          <w:sz w:val="18"/>
          <w:szCs w:val="18"/>
          <w:lang w:val="es-ES_tradnl"/>
        </w:rPr>
        <w:t>a la resoluci</w:t>
      </w:r>
      <w:r>
        <w:rPr>
          <w:rFonts w:cs="Times New Roman"/>
          <w:spacing w:val="-7"/>
          <w:sz w:val="18"/>
          <w:szCs w:val="18"/>
          <w:lang w:val="es-ES_tradnl"/>
        </w:rPr>
        <w:t>ó</w:t>
      </w:r>
      <w:r>
        <w:rPr>
          <w:spacing w:val="-7"/>
          <w:sz w:val="18"/>
          <w:szCs w:val="18"/>
          <w:lang w:val="es-ES_tradnl"/>
        </w:rPr>
        <w:t xml:space="preserve">n de dicha </w:t>
      </w:r>
      <w:r>
        <w:rPr>
          <w:spacing w:val="-8"/>
          <w:sz w:val="18"/>
          <w:szCs w:val="18"/>
          <w:lang w:val="es-ES_tradnl"/>
        </w:rPr>
        <w:t>acci</w:t>
      </w:r>
      <w:r>
        <w:rPr>
          <w:rFonts w:cs="Times New Roman"/>
          <w:spacing w:val="-8"/>
          <w:sz w:val="18"/>
          <w:szCs w:val="18"/>
          <w:lang w:val="es-ES_tradnl"/>
        </w:rPr>
        <w:t>ó</w:t>
      </w:r>
      <w:r>
        <w:rPr>
          <w:spacing w:val="-8"/>
          <w:sz w:val="18"/>
          <w:szCs w:val="18"/>
          <w:lang w:val="es-ES_tradnl"/>
        </w:rPr>
        <w:t xml:space="preserve">n de nulidad. De esta manera, la Corte Constitucional </w:t>
      </w:r>
      <w:r>
        <w:rPr>
          <w:spacing w:val="-7"/>
          <w:sz w:val="18"/>
          <w:szCs w:val="18"/>
          <w:lang w:val="es-ES_tradnl"/>
        </w:rPr>
        <w:t>advierte que el Tribunal Arbitral identific</w:t>
      </w:r>
      <w:r>
        <w:rPr>
          <w:rFonts w:cs="Times New Roman"/>
          <w:spacing w:val="-7"/>
          <w:sz w:val="18"/>
          <w:szCs w:val="18"/>
          <w:lang w:val="es-ES_tradnl"/>
        </w:rPr>
        <w:t>ó</w:t>
      </w:r>
      <w:r>
        <w:rPr>
          <w:spacing w:val="-7"/>
          <w:sz w:val="18"/>
          <w:szCs w:val="18"/>
          <w:lang w:val="es-ES_tradnl"/>
        </w:rPr>
        <w:t xml:space="preserve"> la norma jur</w:t>
      </w:r>
      <w:r>
        <w:rPr>
          <w:rFonts w:cs="Times New Roman"/>
          <w:spacing w:val="-7"/>
          <w:sz w:val="18"/>
          <w:szCs w:val="18"/>
          <w:lang w:val="es-ES_tradnl"/>
        </w:rPr>
        <w:t>í</w:t>
      </w:r>
      <w:r>
        <w:rPr>
          <w:spacing w:val="-7"/>
          <w:sz w:val="18"/>
          <w:szCs w:val="18"/>
          <w:lang w:val="es-ES_tradnl"/>
        </w:rPr>
        <w:t xml:space="preserve">dica </w:t>
      </w:r>
      <w:r>
        <w:rPr>
          <w:spacing w:val="-9"/>
          <w:sz w:val="18"/>
          <w:szCs w:val="18"/>
          <w:lang w:val="es-ES_tradnl"/>
        </w:rPr>
        <w:t>para fundamentar la necesidad de rendir cauci</w:t>
      </w:r>
      <w:r>
        <w:rPr>
          <w:rFonts w:cs="Times New Roman"/>
          <w:spacing w:val="-9"/>
          <w:sz w:val="18"/>
          <w:szCs w:val="18"/>
          <w:lang w:val="es-ES_tradnl"/>
        </w:rPr>
        <w:t>ó</w:t>
      </w:r>
      <w:r>
        <w:rPr>
          <w:spacing w:val="-9"/>
          <w:sz w:val="18"/>
          <w:szCs w:val="18"/>
          <w:lang w:val="es-ES_tradnl"/>
        </w:rPr>
        <w:t xml:space="preserve">n para que </w:t>
      </w:r>
      <w:r>
        <w:rPr>
          <w:spacing w:val="-7"/>
          <w:sz w:val="18"/>
          <w:szCs w:val="18"/>
          <w:lang w:val="es-ES_tradnl"/>
        </w:rPr>
        <w:t>proceda la acci</w:t>
      </w:r>
      <w:r>
        <w:rPr>
          <w:rFonts w:cs="Times New Roman"/>
          <w:spacing w:val="-7"/>
          <w:sz w:val="18"/>
          <w:szCs w:val="18"/>
          <w:lang w:val="es-ES_tradnl"/>
        </w:rPr>
        <w:t>ó</w:t>
      </w:r>
      <w:r>
        <w:rPr>
          <w:spacing w:val="-7"/>
          <w:sz w:val="18"/>
          <w:szCs w:val="18"/>
          <w:lang w:val="es-ES_tradnl"/>
        </w:rPr>
        <w:t>n de nulidad es el art</w:t>
      </w:r>
      <w:r>
        <w:rPr>
          <w:rFonts w:cs="Times New Roman"/>
          <w:spacing w:val="-7"/>
          <w:sz w:val="18"/>
          <w:szCs w:val="18"/>
          <w:lang w:val="es-ES_tradnl"/>
        </w:rPr>
        <w:t>í</w:t>
      </w:r>
      <w:r>
        <w:rPr>
          <w:spacing w:val="-7"/>
          <w:sz w:val="18"/>
          <w:szCs w:val="18"/>
          <w:lang w:val="es-ES_tradnl"/>
        </w:rPr>
        <w:t xml:space="preserve">culo 31 de la Ley de </w:t>
      </w:r>
      <w:r>
        <w:rPr>
          <w:sz w:val="18"/>
          <w:szCs w:val="18"/>
          <w:lang w:val="es-ES_tradnl"/>
        </w:rPr>
        <w:t>Mediaci</w:t>
      </w:r>
      <w:r>
        <w:rPr>
          <w:rFonts w:cs="Times New Roman"/>
          <w:sz w:val="18"/>
          <w:szCs w:val="18"/>
          <w:lang w:val="es-ES_tradnl"/>
        </w:rPr>
        <w:t>ó</w:t>
      </w:r>
      <w:r>
        <w:rPr>
          <w:sz w:val="18"/>
          <w:szCs w:val="18"/>
          <w:lang w:val="es-ES_tradnl"/>
        </w:rPr>
        <w:t>n y Arbitraje.</w:t>
      </w:r>
    </w:p>
    <w:p w14:paraId="4F67B649" w14:textId="77777777" w:rsidR="00591D54" w:rsidRDefault="00591D54">
      <w:pPr>
        <w:shd w:val="clear" w:color="auto" w:fill="FFFFFF"/>
        <w:spacing w:before="197" w:line="216" w:lineRule="exact"/>
        <w:ind w:right="10"/>
        <w:jc w:val="both"/>
      </w:pPr>
      <w:r>
        <w:rPr>
          <w:spacing w:val="-10"/>
          <w:sz w:val="18"/>
          <w:szCs w:val="18"/>
          <w:lang w:val="es-ES_tradnl"/>
        </w:rPr>
        <w:t>Por lo cual, sin otra apreciaci</w:t>
      </w:r>
      <w:r>
        <w:rPr>
          <w:rFonts w:cs="Times New Roman"/>
          <w:spacing w:val="-10"/>
          <w:sz w:val="18"/>
          <w:szCs w:val="18"/>
          <w:lang w:val="es-ES_tradnl"/>
        </w:rPr>
        <w:t>ó</w:t>
      </w:r>
      <w:r>
        <w:rPr>
          <w:spacing w:val="-10"/>
          <w:sz w:val="18"/>
          <w:szCs w:val="18"/>
          <w:lang w:val="es-ES_tradnl"/>
        </w:rPr>
        <w:t xml:space="preserve">n que requiera ser establecida, </w:t>
      </w:r>
      <w:r>
        <w:rPr>
          <w:spacing w:val="-7"/>
          <w:sz w:val="18"/>
          <w:szCs w:val="18"/>
          <w:lang w:val="es-ES_tradnl"/>
        </w:rPr>
        <w:t xml:space="preserve">se puede evidenciar que dicho auto guarda concordancia </w:t>
      </w:r>
      <w:r>
        <w:rPr>
          <w:spacing w:val="-6"/>
          <w:sz w:val="18"/>
          <w:szCs w:val="18"/>
          <w:lang w:val="es-ES_tradnl"/>
        </w:rPr>
        <w:t>con el requisito de la razonabilidad ya que, como qued</w:t>
      </w:r>
      <w:r>
        <w:rPr>
          <w:rFonts w:cs="Times New Roman"/>
          <w:spacing w:val="-6"/>
          <w:sz w:val="18"/>
          <w:szCs w:val="18"/>
          <w:lang w:val="es-ES_tradnl"/>
        </w:rPr>
        <w:t xml:space="preserve">ó </w:t>
      </w:r>
      <w:r>
        <w:rPr>
          <w:spacing w:val="-9"/>
          <w:sz w:val="18"/>
          <w:szCs w:val="18"/>
          <w:lang w:val="es-ES_tradnl"/>
        </w:rPr>
        <w:t xml:space="preserve">indicado, el Tribunal ha actuado en base a la normativa que </w:t>
      </w:r>
      <w:r>
        <w:rPr>
          <w:spacing w:val="-10"/>
          <w:sz w:val="18"/>
          <w:szCs w:val="18"/>
          <w:lang w:val="es-ES_tradnl"/>
        </w:rPr>
        <w:t>les otorga esta facultad respecto a la acci</w:t>
      </w:r>
      <w:r>
        <w:rPr>
          <w:rFonts w:cs="Times New Roman"/>
          <w:spacing w:val="-10"/>
          <w:sz w:val="18"/>
          <w:szCs w:val="18"/>
          <w:lang w:val="es-ES_tradnl"/>
        </w:rPr>
        <w:t>ó</w:t>
      </w:r>
      <w:r>
        <w:rPr>
          <w:spacing w:val="-10"/>
          <w:sz w:val="18"/>
          <w:szCs w:val="18"/>
          <w:lang w:val="es-ES_tradnl"/>
        </w:rPr>
        <w:t xml:space="preserve">n de nulidad, pues </w:t>
      </w:r>
      <w:r>
        <w:rPr>
          <w:spacing w:val="-8"/>
          <w:sz w:val="18"/>
          <w:szCs w:val="18"/>
          <w:lang w:val="es-ES_tradnl"/>
        </w:rPr>
        <w:t>lo que se observa es que la impugnaci</w:t>
      </w:r>
      <w:r>
        <w:rPr>
          <w:rFonts w:cs="Times New Roman"/>
          <w:spacing w:val="-8"/>
          <w:sz w:val="18"/>
          <w:szCs w:val="18"/>
          <w:lang w:val="es-ES_tradnl"/>
        </w:rPr>
        <w:t>ó</w:t>
      </w:r>
      <w:r>
        <w:rPr>
          <w:spacing w:val="-8"/>
          <w:sz w:val="18"/>
          <w:szCs w:val="18"/>
          <w:lang w:val="es-ES_tradnl"/>
        </w:rPr>
        <w:t xml:space="preserve">n constitucional es </w:t>
      </w:r>
      <w:r>
        <w:rPr>
          <w:spacing w:val="-6"/>
          <w:sz w:val="18"/>
          <w:szCs w:val="18"/>
          <w:lang w:val="es-ES_tradnl"/>
        </w:rPr>
        <w:t xml:space="preserve">realizada por EP Petroecuador, en cuanto al valor fijado </w:t>
      </w:r>
      <w:r>
        <w:rPr>
          <w:spacing w:val="-8"/>
          <w:sz w:val="18"/>
          <w:szCs w:val="18"/>
          <w:lang w:val="es-ES_tradnl"/>
        </w:rPr>
        <w:t>como cauci</w:t>
      </w:r>
      <w:r>
        <w:rPr>
          <w:rFonts w:cs="Times New Roman"/>
          <w:spacing w:val="-8"/>
          <w:sz w:val="18"/>
          <w:szCs w:val="18"/>
          <w:lang w:val="es-ES_tradnl"/>
        </w:rPr>
        <w:t>ó</w:t>
      </w:r>
      <w:r>
        <w:rPr>
          <w:spacing w:val="-8"/>
          <w:sz w:val="18"/>
          <w:szCs w:val="18"/>
          <w:lang w:val="es-ES_tradnl"/>
        </w:rPr>
        <w:t>n por el Tribunal Arbitral, situaci</w:t>
      </w:r>
      <w:r>
        <w:rPr>
          <w:rFonts w:cs="Times New Roman"/>
          <w:spacing w:val="-8"/>
          <w:sz w:val="18"/>
          <w:szCs w:val="18"/>
          <w:lang w:val="es-ES_tradnl"/>
        </w:rPr>
        <w:t>ó</w:t>
      </w:r>
      <w:r>
        <w:rPr>
          <w:spacing w:val="-8"/>
          <w:sz w:val="18"/>
          <w:szCs w:val="18"/>
          <w:lang w:val="es-ES_tradnl"/>
        </w:rPr>
        <w:t xml:space="preserve">n que excede </w:t>
      </w:r>
      <w:r>
        <w:rPr>
          <w:spacing w:val="-6"/>
          <w:sz w:val="18"/>
          <w:szCs w:val="18"/>
          <w:lang w:val="es-ES_tradnl"/>
        </w:rPr>
        <w:t>la competencia de la jurisdicci</w:t>
      </w:r>
      <w:r>
        <w:rPr>
          <w:rFonts w:cs="Times New Roman"/>
          <w:spacing w:val="-6"/>
          <w:sz w:val="18"/>
          <w:szCs w:val="18"/>
          <w:lang w:val="es-ES_tradnl"/>
        </w:rPr>
        <w:t>ó</w:t>
      </w:r>
      <w:r>
        <w:rPr>
          <w:spacing w:val="-6"/>
          <w:sz w:val="18"/>
          <w:szCs w:val="18"/>
          <w:lang w:val="es-ES_tradnl"/>
        </w:rPr>
        <w:t xml:space="preserve">n constitucional y sobre lo </w:t>
      </w:r>
      <w:r>
        <w:rPr>
          <w:spacing w:val="-7"/>
          <w:sz w:val="18"/>
          <w:szCs w:val="18"/>
          <w:lang w:val="es-ES_tradnl"/>
        </w:rPr>
        <w:t xml:space="preserve">cual, la Corte Constitucional no considera pertinente emitir </w:t>
      </w:r>
      <w:r>
        <w:rPr>
          <w:sz w:val="18"/>
          <w:szCs w:val="18"/>
          <w:lang w:val="es-ES_tradnl"/>
        </w:rPr>
        <w:t>alg</w:t>
      </w:r>
      <w:r>
        <w:rPr>
          <w:rFonts w:cs="Times New Roman"/>
          <w:sz w:val="18"/>
          <w:szCs w:val="18"/>
          <w:lang w:val="es-ES_tradnl"/>
        </w:rPr>
        <w:t>ú</w:t>
      </w:r>
      <w:r>
        <w:rPr>
          <w:sz w:val="18"/>
          <w:szCs w:val="18"/>
          <w:lang w:val="es-ES_tradnl"/>
        </w:rPr>
        <w:t>n pronunciamiento.</w:t>
      </w:r>
    </w:p>
    <w:p w14:paraId="4F67B64A" w14:textId="77777777" w:rsidR="00591D54" w:rsidRDefault="00591D54">
      <w:pPr>
        <w:shd w:val="clear" w:color="auto" w:fill="FFFFFF"/>
        <w:spacing w:before="197" w:line="216" w:lineRule="exact"/>
        <w:ind w:right="10"/>
        <w:jc w:val="both"/>
      </w:pPr>
      <w:r>
        <w:rPr>
          <w:spacing w:val="-7"/>
          <w:sz w:val="18"/>
          <w:szCs w:val="18"/>
          <w:lang w:val="es-ES_tradnl"/>
        </w:rPr>
        <w:t>En virtud de lo se</w:t>
      </w:r>
      <w:r>
        <w:rPr>
          <w:rFonts w:cs="Times New Roman"/>
          <w:spacing w:val="-7"/>
          <w:sz w:val="18"/>
          <w:szCs w:val="18"/>
          <w:lang w:val="es-ES_tradnl"/>
        </w:rPr>
        <w:t>ñ</w:t>
      </w:r>
      <w:r>
        <w:rPr>
          <w:spacing w:val="-7"/>
          <w:sz w:val="18"/>
          <w:szCs w:val="18"/>
          <w:lang w:val="es-ES_tradnl"/>
        </w:rPr>
        <w:t xml:space="preserve">alado, la Corte Constitucional considera </w:t>
      </w:r>
      <w:r>
        <w:rPr>
          <w:sz w:val="18"/>
          <w:szCs w:val="18"/>
          <w:lang w:val="es-ES_tradnl"/>
        </w:rPr>
        <w:t>que los miembros del Tribunal Arbitral de la C</w:t>
      </w:r>
      <w:r>
        <w:rPr>
          <w:rFonts w:cs="Times New Roman"/>
          <w:sz w:val="18"/>
          <w:szCs w:val="18"/>
          <w:lang w:val="es-ES_tradnl"/>
        </w:rPr>
        <w:t>á</w:t>
      </w:r>
      <w:r>
        <w:rPr>
          <w:sz w:val="18"/>
          <w:szCs w:val="18"/>
          <w:lang w:val="es-ES_tradnl"/>
        </w:rPr>
        <w:t xml:space="preserve">mara </w:t>
      </w:r>
      <w:r>
        <w:rPr>
          <w:spacing w:val="-5"/>
          <w:sz w:val="18"/>
          <w:szCs w:val="18"/>
          <w:lang w:val="es-ES_tradnl"/>
        </w:rPr>
        <w:t xml:space="preserve">de Comercio de Quito al emitir su auto, han cumplido </w:t>
      </w:r>
      <w:r>
        <w:rPr>
          <w:spacing w:val="-6"/>
          <w:sz w:val="18"/>
          <w:szCs w:val="18"/>
          <w:lang w:val="es-ES_tradnl"/>
        </w:rPr>
        <w:t>satisfactoriamente con el requisito de la razonabilidad.</w:t>
      </w:r>
    </w:p>
    <w:p w14:paraId="4F67B64B" w14:textId="77777777" w:rsidR="00591D54" w:rsidRDefault="00591D54">
      <w:pPr>
        <w:shd w:val="clear" w:color="auto" w:fill="FFFFFF"/>
        <w:spacing w:before="192"/>
      </w:pPr>
      <w:r>
        <w:rPr>
          <w:b/>
          <w:bCs/>
          <w:spacing w:val="-10"/>
          <w:sz w:val="18"/>
          <w:szCs w:val="18"/>
          <w:lang w:val="es-ES_tradnl"/>
        </w:rPr>
        <w:t>Sobre la l</w:t>
      </w:r>
      <w:r>
        <w:rPr>
          <w:rFonts w:cs="Times New Roman"/>
          <w:b/>
          <w:bCs/>
          <w:spacing w:val="-10"/>
          <w:sz w:val="18"/>
          <w:szCs w:val="18"/>
          <w:lang w:val="es-ES_tradnl"/>
        </w:rPr>
        <w:t>ó</w:t>
      </w:r>
      <w:r>
        <w:rPr>
          <w:b/>
          <w:bCs/>
          <w:spacing w:val="-10"/>
          <w:sz w:val="18"/>
          <w:szCs w:val="18"/>
          <w:lang w:val="es-ES_tradnl"/>
        </w:rPr>
        <w:t>gica</w:t>
      </w:r>
    </w:p>
    <w:p w14:paraId="4F67B64C" w14:textId="77777777" w:rsidR="00591D54" w:rsidRDefault="00591D54">
      <w:pPr>
        <w:shd w:val="clear" w:color="auto" w:fill="FFFFFF"/>
        <w:spacing w:before="192" w:line="216" w:lineRule="exact"/>
        <w:ind w:right="10"/>
        <w:jc w:val="both"/>
      </w:pPr>
      <w:r>
        <w:rPr>
          <w:spacing w:val="-6"/>
          <w:sz w:val="18"/>
          <w:szCs w:val="18"/>
          <w:lang w:val="es-ES_tradnl"/>
        </w:rPr>
        <w:t>En cuanto al criterio de la l</w:t>
      </w:r>
      <w:r>
        <w:rPr>
          <w:rFonts w:cs="Times New Roman"/>
          <w:spacing w:val="-6"/>
          <w:sz w:val="18"/>
          <w:szCs w:val="18"/>
          <w:lang w:val="es-ES_tradnl"/>
        </w:rPr>
        <w:t>ó</w:t>
      </w:r>
      <w:r>
        <w:rPr>
          <w:spacing w:val="-6"/>
          <w:sz w:val="18"/>
          <w:szCs w:val="18"/>
          <w:lang w:val="es-ES_tradnl"/>
        </w:rPr>
        <w:t xml:space="preserve">gica, esta Corte ha sostenido </w:t>
      </w:r>
      <w:r>
        <w:rPr>
          <w:spacing w:val="-9"/>
          <w:sz w:val="18"/>
          <w:szCs w:val="18"/>
          <w:lang w:val="es-ES_tradnl"/>
        </w:rPr>
        <w:t>que este consiste en la coherencia e interrelaci</w:t>
      </w:r>
      <w:r>
        <w:rPr>
          <w:rFonts w:cs="Times New Roman"/>
          <w:spacing w:val="-9"/>
          <w:sz w:val="18"/>
          <w:szCs w:val="18"/>
          <w:lang w:val="es-ES_tradnl"/>
        </w:rPr>
        <w:t>ó</w:t>
      </w:r>
      <w:r>
        <w:rPr>
          <w:spacing w:val="-9"/>
          <w:sz w:val="18"/>
          <w:szCs w:val="18"/>
          <w:lang w:val="es-ES_tradnl"/>
        </w:rPr>
        <w:t xml:space="preserve">n que debe </w:t>
      </w:r>
      <w:r>
        <w:rPr>
          <w:spacing w:val="-6"/>
          <w:sz w:val="18"/>
          <w:szCs w:val="18"/>
          <w:lang w:val="es-ES_tradnl"/>
        </w:rPr>
        <w:t>existir entre las premisas f</w:t>
      </w:r>
      <w:r>
        <w:rPr>
          <w:rFonts w:cs="Times New Roman"/>
          <w:spacing w:val="-6"/>
          <w:sz w:val="18"/>
          <w:szCs w:val="18"/>
          <w:lang w:val="es-ES_tradnl"/>
        </w:rPr>
        <w:t>á</w:t>
      </w:r>
      <w:r>
        <w:rPr>
          <w:spacing w:val="-6"/>
          <w:sz w:val="18"/>
          <w:szCs w:val="18"/>
          <w:lang w:val="es-ES_tradnl"/>
        </w:rPr>
        <w:t xml:space="preserve">cticas del caso concreto, las </w:t>
      </w:r>
      <w:r>
        <w:rPr>
          <w:spacing w:val="-8"/>
          <w:sz w:val="18"/>
          <w:szCs w:val="18"/>
          <w:lang w:val="es-ES_tradnl"/>
        </w:rPr>
        <w:t xml:space="preserve">cuales deben estar estrictamente ligadas a las normas que </w:t>
      </w:r>
      <w:r>
        <w:rPr>
          <w:spacing w:val="-9"/>
          <w:sz w:val="18"/>
          <w:szCs w:val="18"/>
          <w:lang w:val="es-ES_tradnl"/>
        </w:rPr>
        <w:t>se aplican, con la conclusi</w:t>
      </w:r>
      <w:r>
        <w:rPr>
          <w:rFonts w:cs="Times New Roman"/>
          <w:spacing w:val="-9"/>
          <w:sz w:val="18"/>
          <w:szCs w:val="18"/>
          <w:lang w:val="es-ES_tradnl"/>
        </w:rPr>
        <w:t>ó</w:t>
      </w:r>
      <w:r>
        <w:rPr>
          <w:spacing w:val="-9"/>
          <w:sz w:val="18"/>
          <w:szCs w:val="18"/>
          <w:lang w:val="es-ES_tradnl"/>
        </w:rPr>
        <w:t xml:space="preserve">n final, que forja como resultado </w:t>
      </w:r>
      <w:r>
        <w:rPr>
          <w:sz w:val="18"/>
          <w:szCs w:val="18"/>
          <w:lang w:val="es-ES_tradnl"/>
        </w:rPr>
        <w:t>la decisi</w:t>
      </w:r>
      <w:r>
        <w:rPr>
          <w:rFonts w:cs="Times New Roman"/>
          <w:sz w:val="18"/>
          <w:szCs w:val="18"/>
          <w:lang w:val="es-ES_tradnl"/>
        </w:rPr>
        <w:t>ó</w:t>
      </w:r>
      <w:r>
        <w:rPr>
          <w:sz w:val="18"/>
          <w:szCs w:val="18"/>
          <w:lang w:val="es-ES_tradnl"/>
        </w:rPr>
        <w:t>n judicial.</w:t>
      </w:r>
    </w:p>
    <w:p w14:paraId="4F67B64D" w14:textId="77777777" w:rsidR="00591D54" w:rsidRDefault="00591D54">
      <w:pPr>
        <w:shd w:val="clear" w:color="auto" w:fill="FFFFFF"/>
        <w:spacing w:before="192" w:line="216" w:lineRule="exact"/>
        <w:ind w:right="5"/>
        <w:jc w:val="both"/>
      </w:pPr>
      <w:r>
        <w:rPr>
          <w:spacing w:val="-7"/>
          <w:sz w:val="18"/>
          <w:szCs w:val="18"/>
          <w:lang w:val="es-ES_tradnl"/>
        </w:rPr>
        <w:t>En raz</w:t>
      </w:r>
      <w:r>
        <w:rPr>
          <w:rFonts w:cs="Times New Roman"/>
          <w:spacing w:val="-7"/>
          <w:sz w:val="18"/>
          <w:szCs w:val="18"/>
          <w:lang w:val="es-ES_tradnl"/>
        </w:rPr>
        <w:t>ó</w:t>
      </w:r>
      <w:r>
        <w:rPr>
          <w:spacing w:val="-7"/>
          <w:sz w:val="18"/>
          <w:szCs w:val="18"/>
          <w:lang w:val="es-ES_tradnl"/>
        </w:rPr>
        <w:t xml:space="preserve">n de este segundo requisito, conviene observar </w:t>
      </w:r>
      <w:r>
        <w:rPr>
          <w:spacing w:val="-8"/>
          <w:sz w:val="18"/>
          <w:szCs w:val="18"/>
          <w:lang w:val="es-ES_tradnl"/>
        </w:rPr>
        <w:t xml:space="preserve">aquella premisa que a criterio de esta Corte Constitucional, </w:t>
      </w:r>
      <w:r>
        <w:rPr>
          <w:spacing w:val="-6"/>
          <w:sz w:val="18"/>
          <w:szCs w:val="18"/>
          <w:lang w:val="es-ES_tradnl"/>
        </w:rPr>
        <w:t xml:space="preserve">contiene el argumento principal del Tribunal Arbitral para </w:t>
      </w:r>
      <w:r>
        <w:rPr>
          <w:spacing w:val="-8"/>
          <w:sz w:val="18"/>
          <w:szCs w:val="18"/>
          <w:lang w:val="es-ES_tradnl"/>
        </w:rPr>
        <w:t>establecer la cauci</w:t>
      </w:r>
      <w:r>
        <w:rPr>
          <w:rFonts w:cs="Times New Roman"/>
          <w:spacing w:val="-8"/>
          <w:sz w:val="18"/>
          <w:szCs w:val="18"/>
          <w:lang w:val="es-ES_tradnl"/>
        </w:rPr>
        <w:t>ó</w:t>
      </w:r>
      <w:r>
        <w:rPr>
          <w:spacing w:val="-8"/>
          <w:sz w:val="18"/>
          <w:szCs w:val="18"/>
          <w:lang w:val="es-ES_tradnl"/>
        </w:rPr>
        <w:t>n, en los siguientes t</w:t>
      </w:r>
      <w:r>
        <w:rPr>
          <w:rFonts w:cs="Times New Roman"/>
          <w:spacing w:val="-8"/>
          <w:sz w:val="18"/>
          <w:szCs w:val="18"/>
          <w:lang w:val="es-ES_tradnl"/>
        </w:rPr>
        <w:t>é</w:t>
      </w:r>
      <w:r>
        <w:rPr>
          <w:spacing w:val="-8"/>
          <w:sz w:val="18"/>
          <w:szCs w:val="18"/>
          <w:lang w:val="es-ES_tradnl"/>
        </w:rPr>
        <w:t>rminos:</w:t>
      </w:r>
    </w:p>
    <w:p w14:paraId="4F67B64E" w14:textId="77777777" w:rsidR="00591D54" w:rsidRDefault="00591D54">
      <w:pPr>
        <w:shd w:val="clear" w:color="auto" w:fill="FFFFFF"/>
        <w:spacing w:before="202" w:line="216" w:lineRule="exact"/>
        <w:ind w:left="283"/>
        <w:jc w:val="both"/>
      </w:pPr>
      <w:r>
        <w:rPr>
          <w:sz w:val="16"/>
          <w:szCs w:val="16"/>
          <w:lang w:val="es-ES_tradnl"/>
        </w:rPr>
        <w:t>(</w:t>
      </w:r>
      <w:r>
        <w:rPr>
          <w:rFonts w:cs="Times New Roman"/>
          <w:sz w:val="16"/>
          <w:szCs w:val="16"/>
          <w:lang w:val="es-ES_tradnl"/>
        </w:rPr>
        <w:t>…</w:t>
      </w:r>
      <w:r>
        <w:rPr>
          <w:sz w:val="16"/>
          <w:szCs w:val="16"/>
          <w:lang w:val="es-ES_tradnl"/>
        </w:rPr>
        <w:t>) del valor total del adeudo a la compa</w:t>
      </w:r>
      <w:r>
        <w:rPr>
          <w:rFonts w:cs="Times New Roman"/>
          <w:sz w:val="16"/>
          <w:szCs w:val="16"/>
          <w:lang w:val="es-ES_tradnl"/>
        </w:rPr>
        <w:t>ñí</w:t>
      </w:r>
      <w:r>
        <w:rPr>
          <w:sz w:val="16"/>
          <w:szCs w:val="16"/>
          <w:lang w:val="es-ES_tradnl"/>
        </w:rPr>
        <w:t xml:space="preserve">a TAGSA </w:t>
      </w:r>
      <w:r>
        <w:rPr>
          <w:spacing w:val="-7"/>
          <w:sz w:val="16"/>
          <w:szCs w:val="16"/>
          <w:lang w:val="es-ES_tradnl"/>
        </w:rPr>
        <w:t xml:space="preserve">S.A que es US$ 974,798.14-Por ello, y sobre la base de su </w:t>
      </w:r>
      <w:r>
        <w:rPr>
          <w:spacing w:val="-4"/>
          <w:sz w:val="16"/>
          <w:szCs w:val="16"/>
          <w:lang w:val="es-ES_tradnl"/>
        </w:rPr>
        <w:t>atribuci</w:t>
      </w:r>
      <w:r>
        <w:rPr>
          <w:rFonts w:cs="Times New Roman"/>
          <w:spacing w:val="-4"/>
          <w:sz w:val="16"/>
          <w:szCs w:val="16"/>
          <w:lang w:val="es-ES_tradnl"/>
        </w:rPr>
        <w:t>ó</w:t>
      </w:r>
      <w:r>
        <w:rPr>
          <w:spacing w:val="-4"/>
          <w:sz w:val="16"/>
          <w:szCs w:val="16"/>
          <w:lang w:val="es-ES_tradnl"/>
        </w:rPr>
        <w:t xml:space="preserve">n establecida en el Art. 31 de la Ley de Arbitraje y </w:t>
      </w:r>
      <w:r>
        <w:rPr>
          <w:spacing w:val="-6"/>
          <w:sz w:val="16"/>
          <w:szCs w:val="16"/>
          <w:lang w:val="es-ES_tradnl"/>
        </w:rPr>
        <w:t>Mediaci</w:t>
      </w:r>
      <w:r>
        <w:rPr>
          <w:rFonts w:cs="Times New Roman"/>
          <w:spacing w:val="-6"/>
          <w:sz w:val="16"/>
          <w:szCs w:val="16"/>
          <w:lang w:val="es-ES_tradnl"/>
        </w:rPr>
        <w:t>ó</w:t>
      </w:r>
      <w:r>
        <w:rPr>
          <w:spacing w:val="-6"/>
          <w:sz w:val="16"/>
          <w:szCs w:val="16"/>
          <w:lang w:val="es-ES_tradnl"/>
        </w:rPr>
        <w:t xml:space="preserve">n, este Tribunal ha estimado que los perjuicios que </w:t>
      </w:r>
      <w:r>
        <w:rPr>
          <w:spacing w:val="-5"/>
          <w:sz w:val="16"/>
          <w:szCs w:val="16"/>
          <w:lang w:val="es-ES_tradnl"/>
        </w:rPr>
        <w:t>soportar</w:t>
      </w:r>
      <w:r>
        <w:rPr>
          <w:rFonts w:cs="Times New Roman"/>
          <w:spacing w:val="-5"/>
          <w:sz w:val="16"/>
          <w:szCs w:val="16"/>
          <w:lang w:val="es-ES_tradnl"/>
        </w:rPr>
        <w:t>í</w:t>
      </w:r>
      <w:r>
        <w:rPr>
          <w:spacing w:val="-5"/>
          <w:sz w:val="16"/>
          <w:szCs w:val="16"/>
          <w:lang w:val="es-ES_tradnl"/>
        </w:rPr>
        <w:t>a la compa</w:t>
      </w:r>
      <w:r>
        <w:rPr>
          <w:rFonts w:cs="Times New Roman"/>
          <w:spacing w:val="-5"/>
          <w:sz w:val="16"/>
          <w:szCs w:val="16"/>
          <w:lang w:val="es-ES_tradnl"/>
        </w:rPr>
        <w:t>ñí</w:t>
      </w:r>
      <w:r>
        <w:rPr>
          <w:spacing w:val="-5"/>
          <w:sz w:val="16"/>
          <w:szCs w:val="16"/>
          <w:lang w:val="es-ES_tradnl"/>
        </w:rPr>
        <w:t xml:space="preserve">a TERMINAL AEROPORTUARIA DE </w:t>
      </w:r>
      <w:r>
        <w:rPr>
          <w:sz w:val="16"/>
          <w:szCs w:val="16"/>
          <w:lang w:val="es-ES_tradnl"/>
        </w:rPr>
        <w:t xml:space="preserve">GUAYAQUIL TAGSA S.A. por la demora en el reintegro </w:t>
      </w:r>
      <w:r>
        <w:rPr>
          <w:spacing w:val="-8"/>
          <w:sz w:val="16"/>
          <w:szCs w:val="16"/>
          <w:lang w:val="es-ES_tradnl"/>
        </w:rPr>
        <w:t>de valores adeudados corresponder</w:t>
      </w:r>
      <w:r>
        <w:rPr>
          <w:rFonts w:cs="Times New Roman"/>
          <w:spacing w:val="-8"/>
          <w:sz w:val="16"/>
          <w:szCs w:val="16"/>
          <w:lang w:val="es-ES_tradnl"/>
        </w:rPr>
        <w:t>í</w:t>
      </w:r>
      <w:r>
        <w:rPr>
          <w:spacing w:val="-8"/>
          <w:sz w:val="16"/>
          <w:szCs w:val="16"/>
          <w:lang w:val="es-ES_tradnl"/>
        </w:rPr>
        <w:t xml:space="preserve">an al costo financiero de </w:t>
      </w:r>
      <w:r>
        <w:rPr>
          <w:spacing w:val="-4"/>
          <w:sz w:val="16"/>
          <w:szCs w:val="16"/>
          <w:lang w:val="es-ES_tradnl"/>
        </w:rPr>
        <w:t>dicho valor (</w:t>
      </w:r>
      <w:r>
        <w:rPr>
          <w:rFonts w:cs="Times New Roman"/>
          <w:spacing w:val="-4"/>
          <w:sz w:val="16"/>
          <w:szCs w:val="16"/>
          <w:lang w:val="es-ES_tradnl"/>
        </w:rPr>
        <w:t>…</w:t>
      </w:r>
      <w:r>
        <w:rPr>
          <w:spacing w:val="-4"/>
          <w:sz w:val="16"/>
          <w:szCs w:val="16"/>
          <w:lang w:val="es-ES_tradnl"/>
        </w:rPr>
        <w:t>) tomado la tasa de inter</w:t>
      </w:r>
      <w:r>
        <w:rPr>
          <w:rFonts w:cs="Times New Roman"/>
          <w:spacing w:val="-4"/>
          <w:sz w:val="16"/>
          <w:szCs w:val="16"/>
          <w:lang w:val="es-ES_tradnl"/>
        </w:rPr>
        <w:t>é</w:t>
      </w:r>
      <w:r>
        <w:rPr>
          <w:spacing w:val="-4"/>
          <w:sz w:val="16"/>
          <w:szCs w:val="16"/>
          <w:lang w:val="es-ES_tradnl"/>
        </w:rPr>
        <w:t xml:space="preserve">s legal establecida </w:t>
      </w:r>
      <w:r>
        <w:rPr>
          <w:spacing w:val="-3"/>
          <w:sz w:val="16"/>
          <w:szCs w:val="16"/>
          <w:lang w:val="es-ES_tradnl"/>
        </w:rPr>
        <w:t>por el Banco Central del Ecuador (</w:t>
      </w:r>
      <w:r>
        <w:rPr>
          <w:rFonts w:cs="Times New Roman"/>
          <w:spacing w:val="-3"/>
          <w:sz w:val="16"/>
          <w:szCs w:val="16"/>
          <w:lang w:val="es-ES_tradnl"/>
        </w:rPr>
        <w:t>…</w:t>
      </w:r>
      <w:r>
        <w:rPr>
          <w:spacing w:val="-3"/>
          <w:sz w:val="16"/>
          <w:szCs w:val="16"/>
          <w:lang w:val="es-ES_tradnl"/>
        </w:rPr>
        <w:t xml:space="preserve">) calculado sobre el </w:t>
      </w:r>
      <w:r>
        <w:rPr>
          <w:spacing w:val="-2"/>
          <w:sz w:val="16"/>
          <w:szCs w:val="16"/>
          <w:lang w:val="es-ES_tradnl"/>
        </w:rPr>
        <w:t>valor de $974,798.14 sobre un per</w:t>
      </w:r>
      <w:r>
        <w:rPr>
          <w:rFonts w:cs="Times New Roman"/>
          <w:spacing w:val="-2"/>
          <w:sz w:val="16"/>
          <w:szCs w:val="16"/>
          <w:lang w:val="es-ES_tradnl"/>
        </w:rPr>
        <w:t>í</w:t>
      </w:r>
      <w:r>
        <w:rPr>
          <w:spacing w:val="-2"/>
          <w:sz w:val="16"/>
          <w:szCs w:val="16"/>
          <w:lang w:val="es-ES_tradnl"/>
        </w:rPr>
        <w:t xml:space="preserve">odo de 36 meses y no </w:t>
      </w:r>
      <w:r>
        <w:rPr>
          <w:spacing w:val="-6"/>
          <w:sz w:val="16"/>
          <w:szCs w:val="16"/>
          <w:lang w:val="es-ES_tradnl"/>
        </w:rPr>
        <w:t>de 18 solamente. El per</w:t>
      </w:r>
      <w:r>
        <w:rPr>
          <w:rFonts w:cs="Times New Roman"/>
          <w:spacing w:val="-6"/>
          <w:sz w:val="16"/>
          <w:szCs w:val="16"/>
          <w:lang w:val="es-ES_tradnl"/>
        </w:rPr>
        <w:t>í</w:t>
      </w:r>
      <w:r>
        <w:rPr>
          <w:spacing w:val="-6"/>
          <w:sz w:val="16"/>
          <w:szCs w:val="16"/>
          <w:lang w:val="es-ES_tradnl"/>
        </w:rPr>
        <w:t>odo m</w:t>
      </w:r>
      <w:r>
        <w:rPr>
          <w:rFonts w:cs="Times New Roman"/>
          <w:spacing w:val="-6"/>
          <w:sz w:val="16"/>
          <w:szCs w:val="16"/>
          <w:lang w:val="es-ES_tradnl"/>
        </w:rPr>
        <w:t>á</w:t>
      </w:r>
      <w:r>
        <w:rPr>
          <w:spacing w:val="-6"/>
          <w:sz w:val="16"/>
          <w:szCs w:val="16"/>
          <w:lang w:val="es-ES_tradnl"/>
        </w:rPr>
        <w:t>s amplio comprender</w:t>
      </w:r>
      <w:r>
        <w:rPr>
          <w:rFonts w:cs="Times New Roman"/>
          <w:spacing w:val="-6"/>
          <w:sz w:val="16"/>
          <w:szCs w:val="16"/>
          <w:lang w:val="es-ES_tradnl"/>
        </w:rPr>
        <w:t>í</w:t>
      </w:r>
      <w:r>
        <w:rPr>
          <w:spacing w:val="-6"/>
          <w:sz w:val="16"/>
          <w:szCs w:val="16"/>
          <w:lang w:val="es-ES_tradnl"/>
        </w:rPr>
        <w:t xml:space="preserve">a el </w:t>
      </w:r>
      <w:r>
        <w:rPr>
          <w:spacing w:val="-7"/>
          <w:sz w:val="16"/>
          <w:szCs w:val="16"/>
          <w:lang w:val="es-ES_tradnl"/>
        </w:rPr>
        <w:t>estimado para resolver la acci</w:t>
      </w:r>
      <w:r>
        <w:rPr>
          <w:rFonts w:cs="Times New Roman"/>
          <w:spacing w:val="-7"/>
          <w:sz w:val="16"/>
          <w:szCs w:val="16"/>
          <w:lang w:val="es-ES_tradnl"/>
        </w:rPr>
        <w:t>ó</w:t>
      </w:r>
      <w:r>
        <w:rPr>
          <w:spacing w:val="-7"/>
          <w:sz w:val="16"/>
          <w:szCs w:val="16"/>
          <w:lang w:val="es-ES_tradnl"/>
        </w:rPr>
        <w:t xml:space="preserve">n de nulidad (...) por cuanto se </w:t>
      </w:r>
      <w:r>
        <w:rPr>
          <w:spacing w:val="-6"/>
          <w:sz w:val="16"/>
          <w:szCs w:val="16"/>
          <w:lang w:val="es-ES_tradnl"/>
        </w:rPr>
        <w:t>ha reiterado una pr</w:t>
      </w:r>
      <w:r>
        <w:rPr>
          <w:rFonts w:cs="Times New Roman"/>
          <w:spacing w:val="-6"/>
          <w:sz w:val="16"/>
          <w:szCs w:val="16"/>
          <w:lang w:val="es-ES_tradnl"/>
        </w:rPr>
        <w:t>á</w:t>
      </w:r>
      <w:r>
        <w:rPr>
          <w:spacing w:val="-6"/>
          <w:sz w:val="16"/>
          <w:szCs w:val="16"/>
          <w:lang w:val="es-ES_tradnl"/>
        </w:rPr>
        <w:t xml:space="preserve">ctica de interpone, contra las sentencias </w:t>
      </w:r>
      <w:r>
        <w:rPr>
          <w:spacing w:val="-7"/>
          <w:sz w:val="16"/>
          <w:szCs w:val="16"/>
          <w:lang w:val="es-ES_tradnl"/>
        </w:rPr>
        <w:t>de la Corte Superior, recursos de casaci</w:t>
      </w:r>
      <w:r>
        <w:rPr>
          <w:rFonts w:cs="Times New Roman"/>
          <w:spacing w:val="-7"/>
          <w:sz w:val="16"/>
          <w:szCs w:val="16"/>
          <w:lang w:val="es-ES_tradnl"/>
        </w:rPr>
        <w:t>ó</w:t>
      </w:r>
      <w:r>
        <w:rPr>
          <w:spacing w:val="-7"/>
          <w:sz w:val="16"/>
          <w:szCs w:val="16"/>
          <w:lang w:val="es-ES_tradnl"/>
        </w:rPr>
        <w:t xml:space="preserve">n y, posteriormente, </w:t>
      </w:r>
      <w:r>
        <w:rPr>
          <w:spacing w:val="-5"/>
          <w:sz w:val="16"/>
          <w:szCs w:val="16"/>
          <w:lang w:val="es-ES_tradnl"/>
        </w:rPr>
        <w:t>acciones de protecci</w:t>
      </w:r>
      <w:r>
        <w:rPr>
          <w:rFonts w:cs="Times New Roman"/>
          <w:spacing w:val="-5"/>
          <w:sz w:val="16"/>
          <w:szCs w:val="16"/>
          <w:lang w:val="es-ES_tradnl"/>
        </w:rPr>
        <w:t>ó</w:t>
      </w:r>
      <w:r>
        <w:rPr>
          <w:spacing w:val="-5"/>
          <w:sz w:val="16"/>
          <w:szCs w:val="16"/>
          <w:lang w:val="es-ES_tradnl"/>
        </w:rPr>
        <w:t>n ante el Tribunal Constitucional (</w:t>
      </w:r>
      <w:r>
        <w:rPr>
          <w:rFonts w:cs="Times New Roman"/>
          <w:spacing w:val="-5"/>
          <w:sz w:val="16"/>
          <w:szCs w:val="16"/>
          <w:lang w:val="es-ES_tradnl"/>
        </w:rPr>
        <w:t>…</w:t>
      </w:r>
      <w:r>
        <w:rPr>
          <w:spacing w:val="-5"/>
          <w:sz w:val="16"/>
          <w:szCs w:val="16"/>
          <w:lang w:val="es-ES_tradnl"/>
        </w:rPr>
        <w:t>).</w:t>
      </w:r>
    </w:p>
    <w:p w14:paraId="4F67B64F" w14:textId="77777777" w:rsidR="00591D54" w:rsidRDefault="00591D54">
      <w:pPr>
        <w:shd w:val="clear" w:color="auto" w:fill="FFFFFF"/>
        <w:spacing w:before="202" w:line="216" w:lineRule="exact"/>
        <w:ind w:right="10"/>
        <w:jc w:val="both"/>
      </w:pPr>
      <w:r>
        <w:rPr>
          <w:spacing w:val="-8"/>
          <w:sz w:val="18"/>
          <w:szCs w:val="18"/>
          <w:lang w:val="es-ES_tradnl"/>
        </w:rPr>
        <w:t xml:space="preserve">Revisada tal premisa, se puede establecer que el Tribunal </w:t>
      </w:r>
      <w:r>
        <w:rPr>
          <w:sz w:val="18"/>
          <w:szCs w:val="18"/>
          <w:lang w:val="es-ES_tradnl"/>
        </w:rPr>
        <w:t>enunci</w:t>
      </w:r>
      <w:r>
        <w:rPr>
          <w:rFonts w:cs="Times New Roman"/>
          <w:sz w:val="18"/>
          <w:szCs w:val="18"/>
          <w:lang w:val="es-ES_tradnl"/>
        </w:rPr>
        <w:t>ó</w:t>
      </w:r>
      <w:r>
        <w:rPr>
          <w:sz w:val="18"/>
          <w:szCs w:val="18"/>
          <w:lang w:val="es-ES_tradnl"/>
        </w:rPr>
        <w:t xml:space="preserve"> como antecedente la solicitud interpuesta </w:t>
      </w:r>
      <w:r>
        <w:rPr>
          <w:spacing w:val="-7"/>
          <w:sz w:val="18"/>
          <w:szCs w:val="18"/>
          <w:lang w:val="es-ES_tradnl"/>
        </w:rPr>
        <w:t>por Petroecuador, de revocatoria de su auto en el que estableci</w:t>
      </w:r>
      <w:r>
        <w:rPr>
          <w:rFonts w:cs="Times New Roman"/>
          <w:spacing w:val="-7"/>
          <w:sz w:val="18"/>
          <w:szCs w:val="18"/>
          <w:lang w:val="es-ES_tradnl"/>
        </w:rPr>
        <w:t>ó</w:t>
      </w:r>
      <w:r>
        <w:rPr>
          <w:spacing w:val="-7"/>
          <w:sz w:val="18"/>
          <w:szCs w:val="18"/>
          <w:lang w:val="es-ES_tradnl"/>
        </w:rPr>
        <w:t xml:space="preserve"> la cantidad de la cauci</w:t>
      </w:r>
      <w:r>
        <w:rPr>
          <w:rFonts w:cs="Times New Roman"/>
          <w:spacing w:val="-7"/>
          <w:sz w:val="18"/>
          <w:szCs w:val="18"/>
          <w:lang w:val="es-ES_tradnl"/>
        </w:rPr>
        <w:t>ó</w:t>
      </w:r>
      <w:r>
        <w:rPr>
          <w:spacing w:val="-7"/>
          <w:sz w:val="18"/>
          <w:szCs w:val="18"/>
          <w:lang w:val="es-ES_tradnl"/>
        </w:rPr>
        <w:t>n, al respecto de lo cual</w:t>
      </w:r>
    </w:p>
    <w:p w14:paraId="4F67B650" w14:textId="77777777" w:rsidR="00591D54" w:rsidRDefault="00591D54">
      <w:pPr>
        <w:shd w:val="clear" w:color="auto" w:fill="FFFFFF"/>
        <w:spacing w:line="216" w:lineRule="exact"/>
        <w:jc w:val="both"/>
      </w:pPr>
      <w:r>
        <w:br w:type="column"/>
      </w:r>
      <w:r>
        <w:rPr>
          <w:spacing w:val="-6"/>
          <w:sz w:val="18"/>
          <w:szCs w:val="18"/>
          <w:lang w:val="es-ES_tradnl"/>
        </w:rPr>
        <w:t>se</w:t>
      </w:r>
      <w:r>
        <w:rPr>
          <w:rFonts w:cs="Times New Roman"/>
          <w:spacing w:val="-6"/>
          <w:sz w:val="18"/>
          <w:szCs w:val="18"/>
          <w:lang w:val="es-ES_tradnl"/>
        </w:rPr>
        <w:t>ñ</w:t>
      </w:r>
      <w:r>
        <w:rPr>
          <w:spacing w:val="-6"/>
          <w:sz w:val="18"/>
          <w:szCs w:val="18"/>
          <w:lang w:val="es-ES_tradnl"/>
        </w:rPr>
        <w:t>al</w:t>
      </w:r>
      <w:r>
        <w:rPr>
          <w:rFonts w:cs="Times New Roman"/>
          <w:spacing w:val="-6"/>
          <w:sz w:val="18"/>
          <w:szCs w:val="18"/>
          <w:lang w:val="es-ES_tradnl"/>
        </w:rPr>
        <w:t>ó</w:t>
      </w:r>
      <w:r>
        <w:rPr>
          <w:spacing w:val="-6"/>
          <w:sz w:val="18"/>
          <w:szCs w:val="18"/>
          <w:lang w:val="es-ES_tradnl"/>
        </w:rPr>
        <w:t xml:space="preserve"> que se fundament</w:t>
      </w:r>
      <w:r>
        <w:rPr>
          <w:rFonts w:cs="Times New Roman"/>
          <w:spacing w:val="-6"/>
          <w:sz w:val="18"/>
          <w:szCs w:val="18"/>
          <w:lang w:val="es-ES_tradnl"/>
        </w:rPr>
        <w:t>ó</w:t>
      </w:r>
      <w:r>
        <w:rPr>
          <w:spacing w:val="-6"/>
          <w:sz w:val="18"/>
          <w:szCs w:val="18"/>
          <w:lang w:val="es-ES_tradnl"/>
        </w:rPr>
        <w:t xml:space="preserve"> en el art</w:t>
      </w:r>
      <w:r>
        <w:rPr>
          <w:rFonts w:cs="Times New Roman"/>
          <w:spacing w:val="-6"/>
          <w:sz w:val="18"/>
          <w:szCs w:val="18"/>
          <w:lang w:val="es-ES_tradnl"/>
        </w:rPr>
        <w:t>í</w:t>
      </w:r>
      <w:r>
        <w:rPr>
          <w:spacing w:val="-6"/>
          <w:sz w:val="18"/>
          <w:szCs w:val="18"/>
          <w:lang w:val="es-ES_tradnl"/>
        </w:rPr>
        <w:t>culo 31 de la Ley de Arbitraje y Mediaci</w:t>
      </w:r>
      <w:r>
        <w:rPr>
          <w:rFonts w:cs="Times New Roman"/>
          <w:spacing w:val="-6"/>
          <w:sz w:val="18"/>
          <w:szCs w:val="18"/>
          <w:lang w:val="es-ES_tradnl"/>
        </w:rPr>
        <w:t>ó</w:t>
      </w:r>
      <w:r>
        <w:rPr>
          <w:spacing w:val="-6"/>
          <w:sz w:val="18"/>
          <w:szCs w:val="18"/>
          <w:lang w:val="es-ES_tradnl"/>
        </w:rPr>
        <w:t>n, seg</w:t>
      </w:r>
      <w:r>
        <w:rPr>
          <w:rFonts w:cs="Times New Roman"/>
          <w:spacing w:val="-6"/>
          <w:sz w:val="18"/>
          <w:szCs w:val="18"/>
          <w:lang w:val="es-ES_tradnl"/>
        </w:rPr>
        <w:t>ú</w:t>
      </w:r>
      <w:r>
        <w:rPr>
          <w:spacing w:val="-6"/>
          <w:sz w:val="18"/>
          <w:szCs w:val="18"/>
          <w:lang w:val="es-ES_tradnl"/>
        </w:rPr>
        <w:t xml:space="preserve">n el cual se debe determinar </w:t>
      </w:r>
      <w:r>
        <w:rPr>
          <w:spacing w:val="-5"/>
          <w:sz w:val="18"/>
          <w:szCs w:val="18"/>
          <w:lang w:val="es-ES_tradnl"/>
        </w:rPr>
        <w:t>econ</w:t>
      </w:r>
      <w:r>
        <w:rPr>
          <w:rFonts w:cs="Times New Roman"/>
          <w:spacing w:val="-5"/>
          <w:sz w:val="18"/>
          <w:szCs w:val="18"/>
          <w:lang w:val="es-ES_tradnl"/>
        </w:rPr>
        <w:t>ó</w:t>
      </w:r>
      <w:r>
        <w:rPr>
          <w:spacing w:val="-5"/>
          <w:sz w:val="18"/>
          <w:szCs w:val="18"/>
          <w:lang w:val="es-ES_tradnl"/>
        </w:rPr>
        <w:t>micamente el perjuicio que afrontar</w:t>
      </w:r>
      <w:r>
        <w:rPr>
          <w:rFonts w:cs="Times New Roman"/>
          <w:spacing w:val="-5"/>
          <w:sz w:val="18"/>
          <w:szCs w:val="18"/>
          <w:lang w:val="es-ES_tradnl"/>
        </w:rPr>
        <w:t>í</w:t>
      </w:r>
      <w:r>
        <w:rPr>
          <w:spacing w:val="-5"/>
          <w:sz w:val="18"/>
          <w:szCs w:val="18"/>
          <w:lang w:val="es-ES_tradnl"/>
        </w:rPr>
        <w:t xml:space="preserve">a la persona </w:t>
      </w:r>
      <w:r>
        <w:rPr>
          <w:spacing w:val="-3"/>
          <w:sz w:val="18"/>
          <w:szCs w:val="18"/>
          <w:lang w:val="es-ES_tradnl"/>
        </w:rPr>
        <w:t>beneficiaria del laudo arbitral, por la no ejecuci</w:t>
      </w:r>
      <w:r>
        <w:rPr>
          <w:rFonts w:cs="Times New Roman"/>
          <w:spacing w:val="-3"/>
          <w:sz w:val="18"/>
          <w:szCs w:val="18"/>
          <w:lang w:val="es-ES_tradnl"/>
        </w:rPr>
        <w:t>ó</w:t>
      </w:r>
      <w:r>
        <w:rPr>
          <w:spacing w:val="-3"/>
          <w:sz w:val="18"/>
          <w:szCs w:val="18"/>
          <w:lang w:val="es-ES_tradnl"/>
        </w:rPr>
        <w:t xml:space="preserve">n del </w:t>
      </w:r>
      <w:r>
        <w:rPr>
          <w:spacing w:val="-5"/>
          <w:sz w:val="18"/>
          <w:szCs w:val="18"/>
          <w:lang w:val="es-ES_tradnl"/>
        </w:rPr>
        <w:t>mismo y resolvi</w:t>
      </w:r>
      <w:r>
        <w:rPr>
          <w:rFonts w:cs="Times New Roman"/>
          <w:spacing w:val="-5"/>
          <w:sz w:val="18"/>
          <w:szCs w:val="18"/>
          <w:lang w:val="es-ES_tradnl"/>
        </w:rPr>
        <w:t>ó</w:t>
      </w:r>
      <w:r>
        <w:rPr>
          <w:spacing w:val="-5"/>
          <w:sz w:val="18"/>
          <w:szCs w:val="18"/>
          <w:lang w:val="es-ES_tradnl"/>
        </w:rPr>
        <w:t xml:space="preserve"> ratificar dicho auto, se</w:t>
      </w:r>
      <w:r>
        <w:rPr>
          <w:rFonts w:cs="Times New Roman"/>
          <w:spacing w:val="-5"/>
          <w:sz w:val="18"/>
          <w:szCs w:val="18"/>
          <w:lang w:val="es-ES_tradnl"/>
        </w:rPr>
        <w:t>ñ</w:t>
      </w:r>
      <w:r>
        <w:rPr>
          <w:spacing w:val="-5"/>
          <w:sz w:val="18"/>
          <w:szCs w:val="18"/>
          <w:lang w:val="es-ES_tradnl"/>
        </w:rPr>
        <w:t xml:space="preserve">alando que la </w:t>
      </w:r>
      <w:r>
        <w:rPr>
          <w:spacing w:val="-3"/>
          <w:sz w:val="18"/>
          <w:szCs w:val="18"/>
          <w:lang w:val="es-ES_tradnl"/>
        </w:rPr>
        <w:t>determinaci</w:t>
      </w:r>
      <w:r>
        <w:rPr>
          <w:rFonts w:cs="Times New Roman"/>
          <w:spacing w:val="-3"/>
          <w:sz w:val="18"/>
          <w:szCs w:val="18"/>
          <w:lang w:val="es-ES_tradnl"/>
        </w:rPr>
        <w:t>ó</w:t>
      </w:r>
      <w:r>
        <w:rPr>
          <w:spacing w:val="-3"/>
          <w:sz w:val="18"/>
          <w:szCs w:val="18"/>
          <w:lang w:val="es-ES_tradnl"/>
        </w:rPr>
        <w:t>n de la cauci</w:t>
      </w:r>
      <w:r>
        <w:rPr>
          <w:rFonts w:cs="Times New Roman"/>
          <w:spacing w:val="-3"/>
          <w:sz w:val="18"/>
          <w:szCs w:val="18"/>
          <w:lang w:val="es-ES_tradnl"/>
        </w:rPr>
        <w:t>ó</w:t>
      </w:r>
      <w:r>
        <w:rPr>
          <w:spacing w:val="-3"/>
          <w:sz w:val="18"/>
          <w:szCs w:val="18"/>
          <w:lang w:val="es-ES_tradnl"/>
        </w:rPr>
        <w:t>n se realiz</w:t>
      </w:r>
      <w:r>
        <w:rPr>
          <w:rFonts w:cs="Times New Roman"/>
          <w:spacing w:val="-3"/>
          <w:sz w:val="18"/>
          <w:szCs w:val="18"/>
          <w:lang w:val="es-ES_tradnl"/>
        </w:rPr>
        <w:t>ó</w:t>
      </w:r>
      <w:r>
        <w:rPr>
          <w:spacing w:val="-3"/>
          <w:sz w:val="18"/>
          <w:szCs w:val="18"/>
          <w:lang w:val="es-ES_tradnl"/>
        </w:rPr>
        <w:t xml:space="preserve"> con fundamento </w:t>
      </w:r>
      <w:r>
        <w:rPr>
          <w:spacing w:val="-7"/>
          <w:sz w:val="18"/>
          <w:szCs w:val="18"/>
          <w:lang w:val="es-ES_tradnl"/>
        </w:rPr>
        <w:t>en lo adeudado a TAGSA S. A., y en base al inter</w:t>
      </w:r>
      <w:r>
        <w:rPr>
          <w:rFonts w:cs="Times New Roman"/>
          <w:spacing w:val="-7"/>
          <w:sz w:val="18"/>
          <w:szCs w:val="18"/>
          <w:lang w:val="es-ES_tradnl"/>
        </w:rPr>
        <w:t>é</w:t>
      </w:r>
      <w:r>
        <w:rPr>
          <w:spacing w:val="-7"/>
          <w:sz w:val="18"/>
          <w:szCs w:val="18"/>
          <w:lang w:val="es-ES_tradnl"/>
        </w:rPr>
        <w:t xml:space="preserve">s de </w:t>
      </w:r>
      <w:r>
        <w:rPr>
          <w:spacing w:val="-6"/>
          <w:sz w:val="18"/>
          <w:szCs w:val="18"/>
          <w:lang w:val="es-ES_tradnl"/>
        </w:rPr>
        <w:t>dieciocho meses que presumiblemente se demora la resoluci</w:t>
      </w:r>
      <w:r>
        <w:rPr>
          <w:rFonts w:cs="Times New Roman"/>
          <w:spacing w:val="-6"/>
          <w:sz w:val="18"/>
          <w:szCs w:val="18"/>
          <w:lang w:val="es-ES_tradnl"/>
        </w:rPr>
        <w:t>ó</w:t>
      </w:r>
      <w:r>
        <w:rPr>
          <w:spacing w:val="-6"/>
          <w:sz w:val="18"/>
          <w:szCs w:val="18"/>
          <w:lang w:val="es-ES_tradnl"/>
        </w:rPr>
        <w:t>n de una acci</w:t>
      </w:r>
      <w:r>
        <w:rPr>
          <w:rFonts w:cs="Times New Roman"/>
          <w:spacing w:val="-6"/>
          <w:sz w:val="18"/>
          <w:szCs w:val="18"/>
          <w:lang w:val="es-ES_tradnl"/>
        </w:rPr>
        <w:t>ó</w:t>
      </w:r>
      <w:r>
        <w:rPr>
          <w:spacing w:val="-6"/>
          <w:sz w:val="18"/>
          <w:szCs w:val="18"/>
          <w:lang w:val="es-ES_tradnl"/>
        </w:rPr>
        <w:t xml:space="preserve">n de nulidad, conjuntamente con </w:t>
      </w:r>
      <w:r>
        <w:rPr>
          <w:spacing w:val="-7"/>
          <w:sz w:val="18"/>
          <w:szCs w:val="18"/>
          <w:lang w:val="es-ES_tradnl"/>
        </w:rPr>
        <w:t>dieciocho meses adicionales la presunta interposici</w:t>
      </w:r>
      <w:r>
        <w:rPr>
          <w:rFonts w:cs="Times New Roman"/>
          <w:spacing w:val="-7"/>
          <w:sz w:val="18"/>
          <w:szCs w:val="18"/>
          <w:lang w:val="es-ES_tradnl"/>
        </w:rPr>
        <w:t>ó</w:t>
      </w:r>
      <w:r>
        <w:rPr>
          <w:spacing w:val="-7"/>
          <w:sz w:val="18"/>
          <w:szCs w:val="18"/>
          <w:lang w:val="es-ES_tradnl"/>
        </w:rPr>
        <w:t xml:space="preserve">n del </w:t>
      </w:r>
      <w:r>
        <w:rPr>
          <w:sz w:val="18"/>
          <w:szCs w:val="18"/>
          <w:lang w:val="es-ES_tradnl"/>
        </w:rPr>
        <w:t>recurso de casaci</w:t>
      </w:r>
      <w:r>
        <w:rPr>
          <w:rFonts w:cs="Times New Roman"/>
          <w:sz w:val="18"/>
          <w:szCs w:val="18"/>
          <w:lang w:val="es-ES_tradnl"/>
        </w:rPr>
        <w:t>ó</w:t>
      </w:r>
      <w:r>
        <w:rPr>
          <w:sz w:val="18"/>
          <w:szCs w:val="18"/>
          <w:lang w:val="es-ES_tradnl"/>
        </w:rPr>
        <w:t>n.</w:t>
      </w:r>
    </w:p>
    <w:p w14:paraId="4F67B651" w14:textId="77777777" w:rsidR="00591D54" w:rsidRDefault="00591D54">
      <w:pPr>
        <w:shd w:val="clear" w:color="auto" w:fill="FFFFFF"/>
        <w:spacing w:before="202" w:line="216" w:lineRule="exact"/>
        <w:jc w:val="both"/>
      </w:pPr>
      <w:r>
        <w:rPr>
          <w:spacing w:val="-7"/>
          <w:sz w:val="18"/>
          <w:szCs w:val="18"/>
          <w:lang w:val="es-ES_tradnl"/>
        </w:rPr>
        <w:t xml:space="preserve">Por consiguiente, esta Corte Constitucional observa la </w:t>
      </w:r>
      <w:r>
        <w:rPr>
          <w:spacing w:val="-3"/>
          <w:sz w:val="18"/>
          <w:szCs w:val="18"/>
          <w:lang w:val="es-ES_tradnl"/>
        </w:rPr>
        <w:t xml:space="preserve">existencia del nexo argumentativo para determinar el </w:t>
      </w:r>
      <w:r>
        <w:rPr>
          <w:spacing w:val="-6"/>
          <w:sz w:val="18"/>
          <w:szCs w:val="18"/>
          <w:lang w:val="es-ES_tradnl"/>
        </w:rPr>
        <w:t>monto de la cuant</w:t>
      </w:r>
      <w:r>
        <w:rPr>
          <w:rFonts w:cs="Times New Roman"/>
          <w:spacing w:val="-6"/>
          <w:sz w:val="18"/>
          <w:szCs w:val="18"/>
          <w:lang w:val="es-ES_tradnl"/>
        </w:rPr>
        <w:t>í</w:t>
      </w:r>
      <w:r>
        <w:rPr>
          <w:spacing w:val="-6"/>
          <w:sz w:val="18"/>
          <w:szCs w:val="18"/>
          <w:lang w:val="es-ES_tradnl"/>
        </w:rPr>
        <w:t>a en relaci</w:t>
      </w:r>
      <w:r>
        <w:rPr>
          <w:rFonts w:cs="Times New Roman"/>
          <w:spacing w:val="-6"/>
          <w:sz w:val="18"/>
          <w:szCs w:val="18"/>
          <w:lang w:val="es-ES_tradnl"/>
        </w:rPr>
        <w:t>ó</w:t>
      </w:r>
      <w:r>
        <w:rPr>
          <w:spacing w:val="-6"/>
          <w:sz w:val="18"/>
          <w:szCs w:val="18"/>
          <w:lang w:val="es-ES_tradnl"/>
        </w:rPr>
        <w:t>n a la acci</w:t>
      </w:r>
      <w:r>
        <w:rPr>
          <w:rFonts w:cs="Times New Roman"/>
          <w:spacing w:val="-6"/>
          <w:sz w:val="18"/>
          <w:szCs w:val="18"/>
          <w:lang w:val="es-ES_tradnl"/>
        </w:rPr>
        <w:t>ó</w:t>
      </w:r>
      <w:r>
        <w:rPr>
          <w:spacing w:val="-6"/>
          <w:sz w:val="18"/>
          <w:szCs w:val="18"/>
          <w:lang w:val="es-ES_tradnl"/>
        </w:rPr>
        <w:t xml:space="preserve">n de nulidad en </w:t>
      </w:r>
      <w:r>
        <w:rPr>
          <w:spacing w:val="-10"/>
          <w:sz w:val="18"/>
          <w:szCs w:val="18"/>
          <w:lang w:val="es-ES_tradnl"/>
        </w:rPr>
        <w:t>tanto, la misma se enunci</w:t>
      </w:r>
      <w:r>
        <w:rPr>
          <w:rFonts w:cs="Times New Roman"/>
          <w:spacing w:val="-10"/>
          <w:sz w:val="18"/>
          <w:szCs w:val="18"/>
          <w:lang w:val="es-ES_tradnl"/>
        </w:rPr>
        <w:t>ó</w:t>
      </w:r>
      <w:r>
        <w:rPr>
          <w:spacing w:val="-10"/>
          <w:sz w:val="18"/>
          <w:szCs w:val="18"/>
          <w:lang w:val="es-ES_tradnl"/>
        </w:rPr>
        <w:t xml:space="preserve"> en los antecedentes y finalmente </w:t>
      </w:r>
      <w:r>
        <w:rPr>
          <w:spacing w:val="-8"/>
          <w:sz w:val="18"/>
          <w:szCs w:val="18"/>
          <w:lang w:val="es-ES_tradnl"/>
        </w:rPr>
        <w:t>concluy</w:t>
      </w:r>
      <w:r>
        <w:rPr>
          <w:rFonts w:cs="Times New Roman"/>
          <w:spacing w:val="-8"/>
          <w:sz w:val="18"/>
          <w:szCs w:val="18"/>
          <w:lang w:val="es-ES_tradnl"/>
        </w:rPr>
        <w:t>ó</w:t>
      </w:r>
      <w:r>
        <w:rPr>
          <w:spacing w:val="-8"/>
          <w:sz w:val="18"/>
          <w:szCs w:val="18"/>
          <w:lang w:val="es-ES_tradnl"/>
        </w:rPr>
        <w:t xml:space="preserve"> que tal justificaci</w:t>
      </w:r>
      <w:r>
        <w:rPr>
          <w:rFonts w:cs="Times New Roman"/>
          <w:spacing w:val="-8"/>
          <w:sz w:val="18"/>
          <w:szCs w:val="18"/>
          <w:lang w:val="es-ES_tradnl"/>
        </w:rPr>
        <w:t>ó</w:t>
      </w:r>
      <w:r>
        <w:rPr>
          <w:spacing w:val="-8"/>
          <w:sz w:val="18"/>
          <w:szCs w:val="18"/>
          <w:lang w:val="es-ES_tradnl"/>
        </w:rPr>
        <w:t xml:space="preserve">n se encuentra determinada en </w:t>
      </w:r>
      <w:r>
        <w:rPr>
          <w:spacing w:val="-3"/>
          <w:sz w:val="18"/>
          <w:szCs w:val="18"/>
          <w:lang w:val="es-ES_tradnl"/>
        </w:rPr>
        <w:t>el art</w:t>
      </w:r>
      <w:r>
        <w:rPr>
          <w:rFonts w:cs="Times New Roman"/>
          <w:spacing w:val="-3"/>
          <w:sz w:val="18"/>
          <w:szCs w:val="18"/>
          <w:lang w:val="es-ES_tradnl"/>
        </w:rPr>
        <w:t>í</w:t>
      </w:r>
      <w:r>
        <w:rPr>
          <w:spacing w:val="-3"/>
          <w:sz w:val="18"/>
          <w:szCs w:val="18"/>
          <w:lang w:val="es-ES_tradnl"/>
        </w:rPr>
        <w:t>culo 31 de la Ley de Mediaci</w:t>
      </w:r>
      <w:r>
        <w:rPr>
          <w:rFonts w:cs="Times New Roman"/>
          <w:spacing w:val="-3"/>
          <w:sz w:val="18"/>
          <w:szCs w:val="18"/>
          <w:lang w:val="es-ES_tradnl"/>
        </w:rPr>
        <w:t>ó</w:t>
      </w:r>
      <w:r>
        <w:rPr>
          <w:spacing w:val="-3"/>
          <w:sz w:val="18"/>
          <w:szCs w:val="18"/>
          <w:lang w:val="es-ES_tradnl"/>
        </w:rPr>
        <w:t xml:space="preserve">n y Arbitraje, hecho </w:t>
      </w:r>
      <w:r>
        <w:rPr>
          <w:spacing w:val="-10"/>
          <w:sz w:val="18"/>
          <w:szCs w:val="18"/>
          <w:lang w:val="es-ES_tradnl"/>
        </w:rPr>
        <w:t>que demuestra la construcci</w:t>
      </w:r>
      <w:r>
        <w:rPr>
          <w:rFonts w:cs="Times New Roman"/>
          <w:spacing w:val="-10"/>
          <w:sz w:val="18"/>
          <w:szCs w:val="18"/>
          <w:lang w:val="es-ES_tradnl"/>
        </w:rPr>
        <w:t>ó</w:t>
      </w:r>
      <w:r>
        <w:rPr>
          <w:spacing w:val="-10"/>
          <w:sz w:val="18"/>
          <w:szCs w:val="18"/>
          <w:lang w:val="es-ES_tradnl"/>
        </w:rPr>
        <w:t xml:space="preserve">n adecuada de los argumentos </w:t>
      </w:r>
      <w:r>
        <w:rPr>
          <w:spacing w:val="-5"/>
          <w:sz w:val="18"/>
          <w:szCs w:val="18"/>
          <w:lang w:val="es-ES_tradnl"/>
        </w:rPr>
        <w:t>con la conclusi</w:t>
      </w:r>
      <w:r>
        <w:rPr>
          <w:rFonts w:cs="Times New Roman"/>
          <w:spacing w:val="-5"/>
          <w:sz w:val="18"/>
          <w:szCs w:val="18"/>
          <w:lang w:val="es-ES_tradnl"/>
        </w:rPr>
        <w:t>ó</w:t>
      </w:r>
      <w:r>
        <w:rPr>
          <w:spacing w:val="-5"/>
          <w:sz w:val="18"/>
          <w:szCs w:val="18"/>
          <w:lang w:val="es-ES_tradnl"/>
        </w:rPr>
        <w:t xml:space="preserve">n del fallo y evidenciando, finalmente, el </w:t>
      </w:r>
      <w:r>
        <w:rPr>
          <w:spacing w:val="-7"/>
          <w:sz w:val="18"/>
          <w:szCs w:val="18"/>
          <w:lang w:val="es-ES_tradnl"/>
        </w:rPr>
        <w:t>cumplimiento del requisito de l</w:t>
      </w:r>
      <w:r>
        <w:rPr>
          <w:rFonts w:cs="Times New Roman"/>
          <w:spacing w:val="-7"/>
          <w:sz w:val="18"/>
          <w:szCs w:val="18"/>
          <w:lang w:val="es-ES_tradnl"/>
        </w:rPr>
        <w:t>ó</w:t>
      </w:r>
      <w:r>
        <w:rPr>
          <w:spacing w:val="-7"/>
          <w:sz w:val="18"/>
          <w:szCs w:val="18"/>
          <w:lang w:val="es-ES_tradnl"/>
        </w:rPr>
        <w:t xml:space="preserve">gica en el presente test de </w:t>
      </w:r>
      <w:r>
        <w:rPr>
          <w:sz w:val="18"/>
          <w:szCs w:val="18"/>
          <w:lang w:val="es-ES_tradnl"/>
        </w:rPr>
        <w:t>motivaci</w:t>
      </w:r>
      <w:r>
        <w:rPr>
          <w:rFonts w:cs="Times New Roman"/>
          <w:sz w:val="18"/>
          <w:szCs w:val="18"/>
          <w:lang w:val="es-ES_tradnl"/>
        </w:rPr>
        <w:t>ó</w:t>
      </w:r>
      <w:r>
        <w:rPr>
          <w:sz w:val="18"/>
          <w:szCs w:val="18"/>
          <w:lang w:val="es-ES_tradnl"/>
        </w:rPr>
        <w:t>n.</w:t>
      </w:r>
    </w:p>
    <w:p w14:paraId="4F67B652" w14:textId="77777777" w:rsidR="00591D54" w:rsidRDefault="00591D54">
      <w:pPr>
        <w:shd w:val="clear" w:color="auto" w:fill="FFFFFF"/>
        <w:spacing w:before="197"/>
      </w:pPr>
      <w:r>
        <w:rPr>
          <w:b/>
          <w:bCs/>
          <w:spacing w:val="-9"/>
          <w:sz w:val="18"/>
          <w:szCs w:val="18"/>
          <w:lang w:val="es-ES_tradnl"/>
        </w:rPr>
        <w:t>Sobre la comprensibilidad</w:t>
      </w:r>
    </w:p>
    <w:p w14:paraId="4F67B653" w14:textId="77777777" w:rsidR="00591D54" w:rsidRDefault="00591D54">
      <w:pPr>
        <w:shd w:val="clear" w:color="auto" w:fill="FFFFFF"/>
        <w:spacing w:before="202" w:line="221" w:lineRule="exact"/>
        <w:jc w:val="both"/>
      </w:pPr>
      <w:r>
        <w:rPr>
          <w:spacing w:val="-9"/>
          <w:sz w:val="18"/>
          <w:szCs w:val="18"/>
          <w:lang w:val="es-ES_tradnl"/>
        </w:rPr>
        <w:t xml:space="preserve">Este requisito consiste en el empleo, por parte del juzgador, </w:t>
      </w:r>
      <w:r>
        <w:rPr>
          <w:spacing w:val="-7"/>
          <w:sz w:val="18"/>
          <w:szCs w:val="18"/>
          <w:lang w:val="es-ES_tradnl"/>
        </w:rPr>
        <w:t xml:space="preserve">de un lenguaje claro y pertinente que permita una correcta </w:t>
      </w:r>
      <w:r>
        <w:rPr>
          <w:spacing w:val="-8"/>
          <w:sz w:val="18"/>
          <w:szCs w:val="18"/>
          <w:lang w:val="es-ES_tradnl"/>
        </w:rPr>
        <w:t>y completa comprensi</w:t>
      </w:r>
      <w:r>
        <w:rPr>
          <w:rFonts w:cs="Times New Roman"/>
          <w:spacing w:val="-8"/>
          <w:sz w:val="18"/>
          <w:szCs w:val="18"/>
          <w:lang w:val="es-ES_tradnl"/>
        </w:rPr>
        <w:t>ó</w:t>
      </w:r>
      <w:r>
        <w:rPr>
          <w:spacing w:val="-8"/>
          <w:sz w:val="18"/>
          <w:szCs w:val="18"/>
          <w:lang w:val="es-ES_tradnl"/>
        </w:rPr>
        <w:t xml:space="preserve">n de las ideas contenidas en una </w:t>
      </w:r>
      <w:r>
        <w:rPr>
          <w:sz w:val="18"/>
          <w:szCs w:val="18"/>
          <w:lang w:val="es-ES_tradnl"/>
        </w:rPr>
        <w:t>determinada resoluci</w:t>
      </w:r>
      <w:r>
        <w:rPr>
          <w:rFonts w:cs="Times New Roman"/>
          <w:sz w:val="18"/>
          <w:szCs w:val="18"/>
          <w:lang w:val="es-ES_tradnl"/>
        </w:rPr>
        <w:t>ó</w:t>
      </w:r>
      <w:r>
        <w:rPr>
          <w:sz w:val="18"/>
          <w:szCs w:val="18"/>
          <w:lang w:val="es-ES_tradnl"/>
        </w:rPr>
        <w:t>n judicial.</w:t>
      </w:r>
    </w:p>
    <w:p w14:paraId="4F67B654" w14:textId="77777777" w:rsidR="00591D54" w:rsidRDefault="00591D54">
      <w:pPr>
        <w:shd w:val="clear" w:color="auto" w:fill="FFFFFF"/>
        <w:spacing w:before="202" w:line="216" w:lineRule="exact"/>
        <w:jc w:val="both"/>
      </w:pPr>
      <w:r>
        <w:rPr>
          <w:spacing w:val="-7"/>
          <w:sz w:val="18"/>
          <w:szCs w:val="18"/>
          <w:lang w:val="es-ES_tradnl"/>
        </w:rPr>
        <w:t>Con respecto al par</w:t>
      </w:r>
      <w:r>
        <w:rPr>
          <w:rFonts w:cs="Times New Roman"/>
          <w:spacing w:val="-7"/>
          <w:sz w:val="18"/>
          <w:szCs w:val="18"/>
          <w:lang w:val="es-ES_tradnl"/>
        </w:rPr>
        <w:t>á</w:t>
      </w:r>
      <w:r>
        <w:rPr>
          <w:spacing w:val="-7"/>
          <w:sz w:val="18"/>
          <w:szCs w:val="18"/>
          <w:lang w:val="es-ES_tradnl"/>
        </w:rPr>
        <w:t>metro de la garant</w:t>
      </w:r>
      <w:r>
        <w:rPr>
          <w:rFonts w:cs="Times New Roman"/>
          <w:spacing w:val="-7"/>
          <w:sz w:val="18"/>
          <w:szCs w:val="18"/>
          <w:lang w:val="es-ES_tradnl"/>
        </w:rPr>
        <w:t>í</w:t>
      </w:r>
      <w:r>
        <w:rPr>
          <w:spacing w:val="-7"/>
          <w:sz w:val="18"/>
          <w:szCs w:val="18"/>
          <w:lang w:val="es-ES_tradnl"/>
        </w:rPr>
        <w:t xml:space="preserve">a de motivar las </w:t>
      </w:r>
      <w:r>
        <w:rPr>
          <w:spacing w:val="-8"/>
          <w:sz w:val="18"/>
          <w:szCs w:val="18"/>
          <w:lang w:val="es-ES_tradnl"/>
        </w:rPr>
        <w:t>sentencias judiciales, esta Corte ha se</w:t>
      </w:r>
      <w:r>
        <w:rPr>
          <w:rFonts w:cs="Times New Roman"/>
          <w:spacing w:val="-8"/>
          <w:sz w:val="18"/>
          <w:szCs w:val="18"/>
          <w:lang w:val="es-ES_tradnl"/>
        </w:rPr>
        <w:t>ñ</w:t>
      </w:r>
      <w:r>
        <w:rPr>
          <w:spacing w:val="-8"/>
          <w:sz w:val="18"/>
          <w:szCs w:val="18"/>
          <w:lang w:val="es-ES_tradnl"/>
        </w:rPr>
        <w:t>alado lo siguiente:</w:t>
      </w:r>
    </w:p>
    <w:p w14:paraId="4F67B655" w14:textId="77777777" w:rsidR="00591D54" w:rsidRDefault="00591D54">
      <w:pPr>
        <w:shd w:val="clear" w:color="auto" w:fill="FFFFFF"/>
        <w:spacing w:before="206" w:line="216" w:lineRule="exact"/>
        <w:ind w:left="283"/>
        <w:jc w:val="both"/>
      </w:pPr>
      <w:r>
        <w:rPr>
          <w:spacing w:val="-5"/>
          <w:sz w:val="16"/>
          <w:szCs w:val="16"/>
          <w:lang w:val="es-ES_tradnl"/>
        </w:rPr>
        <w:t>(</w:t>
      </w:r>
      <w:r>
        <w:rPr>
          <w:rFonts w:cs="Times New Roman"/>
          <w:spacing w:val="-5"/>
          <w:sz w:val="16"/>
          <w:szCs w:val="16"/>
          <w:lang w:val="es-ES_tradnl"/>
        </w:rPr>
        <w:t>…</w:t>
      </w:r>
      <w:r>
        <w:rPr>
          <w:spacing w:val="-5"/>
          <w:sz w:val="16"/>
          <w:szCs w:val="16"/>
          <w:lang w:val="es-ES_tradnl"/>
        </w:rPr>
        <w:t>) El tercer requisito de la motivaci</w:t>
      </w:r>
      <w:r>
        <w:rPr>
          <w:rFonts w:cs="Times New Roman"/>
          <w:spacing w:val="-5"/>
          <w:sz w:val="16"/>
          <w:szCs w:val="16"/>
          <w:lang w:val="es-ES_tradnl"/>
        </w:rPr>
        <w:t>ó</w:t>
      </w:r>
      <w:r>
        <w:rPr>
          <w:spacing w:val="-5"/>
          <w:sz w:val="16"/>
          <w:szCs w:val="16"/>
          <w:lang w:val="es-ES_tradnl"/>
        </w:rPr>
        <w:t xml:space="preserve">n, la comprensibilidad, </w:t>
      </w:r>
      <w:r>
        <w:rPr>
          <w:spacing w:val="-4"/>
          <w:sz w:val="16"/>
          <w:szCs w:val="16"/>
          <w:lang w:val="es-ES_tradnl"/>
        </w:rPr>
        <w:t>desarrollado en el art</w:t>
      </w:r>
      <w:r>
        <w:rPr>
          <w:rFonts w:cs="Times New Roman"/>
          <w:spacing w:val="-4"/>
          <w:sz w:val="16"/>
          <w:szCs w:val="16"/>
          <w:lang w:val="es-ES_tradnl"/>
        </w:rPr>
        <w:t>í</w:t>
      </w:r>
      <w:r>
        <w:rPr>
          <w:spacing w:val="-4"/>
          <w:sz w:val="16"/>
          <w:szCs w:val="16"/>
          <w:lang w:val="es-ES_tradnl"/>
        </w:rPr>
        <w:t>culo 4 numeral 10 de la Ley Org</w:t>
      </w:r>
      <w:r>
        <w:rPr>
          <w:rFonts w:cs="Times New Roman"/>
          <w:spacing w:val="-4"/>
          <w:sz w:val="16"/>
          <w:szCs w:val="16"/>
          <w:lang w:val="es-ES_tradnl"/>
        </w:rPr>
        <w:t>á</w:t>
      </w:r>
      <w:r>
        <w:rPr>
          <w:spacing w:val="-4"/>
          <w:sz w:val="16"/>
          <w:szCs w:val="16"/>
          <w:lang w:val="es-ES_tradnl"/>
        </w:rPr>
        <w:t>nica de Garant</w:t>
      </w:r>
      <w:r>
        <w:rPr>
          <w:rFonts w:cs="Times New Roman"/>
          <w:spacing w:val="-4"/>
          <w:sz w:val="16"/>
          <w:szCs w:val="16"/>
          <w:lang w:val="es-ES_tradnl"/>
        </w:rPr>
        <w:t>í</w:t>
      </w:r>
      <w:r>
        <w:rPr>
          <w:spacing w:val="-4"/>
          <w:sz w:val="16"/>
          <w:szCs w:val="16"/>
          <w:lang w:val="es-ES_tradnl"/>
        </w:rPr>
        <w:t xml:space="preserve">as Jurisdiccionales y Control Constitucional, bajo el nombre de </w:t>
      </w:r>
      <w:r>
        <w:rPr>
          <w:rFonts w:cs="Times New Roman"/>
          <w:spacing w:val="-4"/>
          <w:sz w:val="16"/>
          <w:szCs w:val="16"/>
          <w:lang w:val="es-ES_tradnl"/>
        </w:rPr>
        <w:t>‘</w:t>
      </w:r>
      <w:r>
        <w:rPr>
          <w:spacing w:val="-4"/>
          <w:sz w:val="16"/>
          <w:szCs w:val="16"/>
          <w:lang w:val="es-ES_tradnl"/>
        </w:rPr>
        <w:t>comprensi</w:t>
      </w:r>
      <w:r>
        <w:rPr>
          <w:rFonts w:cs="Times New Roman"/>
          <w:spacing w:val="-4"/>
          <w:sz w:val="16"/>
          <w:szCs w:val="16"/>
          <w:lang w:val="es-ES_tradnl"/>
        </w:rPr>
        <w:t>ó</w:t>
      </w:r>
      <w:r>
        <w:rPr>
          <w:spacing w:val="-4"/>
          <w:sz w:val="16"/>
          <w:szCs w:val="16"/>
          <w:lang w:val="es-ES_tradnl"/>
        </w:rPr>
        <w:t>n efectiva</w:t>
      </w:r>
      <w:r>
        <w:rPr>
          <w:rFonts w:cs="Times New Roman"/>
          <w:spacing w:val="-4"/>
          <w:sz w:val="16"/>
          <w:szCs w:val="16"/>
          <w:lang w:val="es-ES_tradnl"/>
        </w:rPr>
        <w:t>’</w:t>
      </w:r>
      <w:r>
        <w:rPr>
          <w:spacing w:val="-4"/>
          <w:sz w:val="16"/>
          <w:szCs w:val="16"/>
          <w:lang w:val="es-ES_tradnl"/>
        </w:rPr>
        <w:t xml:space="preserve"> entendida como la </w:t>
      </w:r>
      <w:r>
        <w:rPr>
          <w:spacing w:val="-7"/>
          <w:sz w:val="16"/>
          <w:szCs w:val="16"/>
          <w:lang w:val="es-ES_tradnl"/>
        </w:rPr>
        <w:t>obligaci</w:t>
      </w:r>
      <w:r>
        <w:rPr>
          <w:rFonts w:cs="Times New Roman"/>
          <w:spacing w:val="-7"/>
          <w:sz w:val="16"/>
          <w:szCs w:val="16"/>
          <w:lang w:val="es-ES_tradnl"/>
        </w:rPr>
        <w:t>ó</w:t>
      </w:r>
      <w:r>
        <w:rPr>
          <w:spacing w:val="-7"/>
          <w:sz w:val="16"/>
          <w:szCs w:val="16"/>
          <w:lang w:val="es-ES_tradnl"/>
        </w:rPr>
        <w:t xml:space="preserve">n de un juez para redactar sus sentencias de forma </w:t>
      </w:r>
      <w:r>
        <w:rPr>
          <w:spacing w:val="-4"/>
          <w:sz w:val="16"/>
          <w:szCs w:val="16"/>
          <w:lang w:val="es-ES_tradnl"/>
        </w:rPr>
        <w:t>clara, concreta, inteligible, asequible y sint</w:t>
      </w:r>
      <w:r>
        <w:rPr>
          <w:rFonts w:cs="Times New Roman"/>
          <w:spacing w:val="-4"/>
          <w:sz w:val="16"/>
          <w:szCs w:val="16"/>
          <w:lang w:val="es-ES_tradnl"/>
        </w:rPr>
        <w:t>é</w:t>
      </w:r>
      <w:r>
        <w:rPr>
          <w:spacing w:val="-4"/>
          <w:sz w:val="16"/>
          <w:szCs w:val="16"/>
          <w:lang w:val="es-ES_tradnl"/>
        </w:rPr>
        <w:t xml:space="preserve">tica, incluyendo </w:t>
      </w:r>
      <w:r>
        <w:rPr>
          <w:spacing w:val="-10"/>
          <w:sz w:val="16"/>
          <w:szCs w:val="16"/>
          <w:lang w:val="es-ES_tradnl"/>
        </w:rPr>
        <w:t xml:space="preserve">las cuestiones de hecho y derecho planteadas y el razonamiento </w:t>
      </w:r>
      <w:r>
        <w:rPr>
          <w:spacing w:val="-8"/>
          <w:sz w:val="16"/>
          <w:szCs w:val="16"/>
          <w:lang w:val="es-ES_tradnl"/>
        </w:rPr>
        <w:t>seguido para tomar la decisi</w:t>
      </w:r>
      <w:r>
        <w:rPr>
          <w:rFonts w:cs="Times New Roman"/>
          <w:spacing w:val="-8"/>
          <w:sz w:val="16"/>
          <w:szCs w:val="16"/>
          <w:lang w:val="es-ES_tradnl"/>
        </w:rPr>
        <w:t>ó</w:t>
      </w:r>
      <w:r>
        <w:rPr>
          <w:spacing w:val="-8"/>
          <w:sz w:val="16"/>
          <w:szCs w:val="16"/>
          <w:lang w:val="es-ES_tradnl"/>
        </w:rPr>
        <w:t>n que adopte (</w:t>
      </w:r>
      <w:r>
        <w:rPr>
          <w:rFonts w:cs="Times New Roman"/>
          <w:spacing w:val="-8"/>
          <w:sz w:val="16"/>
          <w:szCs w:val="16"/>
          <w:lang w:val="es-ES_tradnl"/>
        </w:rPr>
        <w:t>…</w:t>
      </w:r>
      <w:r>
        <w:rPr>
          <w:spacing w:val="-8"/>
          <w:sz w:val="16"/>
          <w:szCs w:val="16"/>
          <w:lang w:val="es-ES_tradnl"/>
        </w:rPr>
        <w:t>)</w:t>
      </w:r>
      <w:r>
        <w:rPr>
          <w:spacing w:val="-8"/>
          <w:sz w:val="16"/>
          <w:szCs w:val="16"/>
          <w:vertAlign w:val="superscript"/>
          <w:lang w:val="es-ES_tradnl"/>
        </w:rPr>
        <w:t>10</w:t>
      </w:r>
      <w:r>
        <w:rPr>
          <w:spacing w:val="-8"/>
          <w:sz w:val="16"/>
          <w:szCs w:val="16"/>
          <w:lang w:val="es-ES_tradnl"/>
        </w:rPr>
        <w:t>.</w:t>
      </w:r>
    </w:p>
    <w:p w14:paraId="4F67B656" w14:textId="77777777" w:rsidR="00591D54" w:rsidRDefault="00591D54">
      <w:pPr>
        <w:shd w:val="clear" w:color="auto" w:fill="FFFFFF"/>
        <w:spacing w:before="206" w:line="216" w:lineRule="exact"/>
        <w:jc w:val="both"/>
      </w:pPr>
      <w:r>
        <w:rPr>
          <w:spacing w:val="-8"/>
          <w:sz w:val="18"/>
          <w:szCs w:val="18"/>
          <w:lang w:val="es-ES_tradnl"/>
        </w:rPr>
        <w:t>De este modo, se puede establecer que el auto en an</w:t>
      </w:r>
      <w:r>
        <w:rPr>
          <w:rFonts w:cs="Times New Roman"/>
          <w:spacing w:val="-8"/>
          <w:sz w:val="18"/>
          <w:szCs w:val="18"/>
          <w:lang w:val="es-ES_tradnl"/>
        </w:rPr>
        <w:t>á</w:t>
      </w:r>
      <w:r>
        <w:rPr>
          <w:spacing w:val="-8"/>
          <w:sz w:val="18"/>
          <w:szCs w:val="18"/>
          <w:lang w:val="es-ES_tradnl"/>
        </w:rPr>
        <w:t xml:space="preserve">lisis </w:t>
      </w:r>
      <w:r>
        <w:rPr>
          <w:spacing w:val="-7"/>
          <w:sz w:val="18"/>
          <w:szCs w:val="18"/>
          <w:lang w:val="es-ES_tradnl"/>
        </w:rPr>
        <w:t>se encuentra redactado en un lenguaje di</w:t>
      </w:r>
      <w:r>
        <w:rPr>
          <w:rFonts w:cs="Times New Roman"/>
          <w:spacing w:val="-7"/>
          <w:sz w:val="18"/>
          <w:szCs w:val="18"/>
          <w:lang w:val="es-ES_tradnl"/>
        </w:rPr>
        <w:t>á</w:t>
      </w:r>
      <w:r>
        <w:rPr>
          <w:spacing w:val="-7"/>
          <w:sz w:val="18"/>
          <w:szCs w:val="18"/>
          <w:lang w:val="es-ES_tradnl"/>
        </w:rPr>
        <w:t xml:space="preserve">fano y claro, al </w:t>
      </w:r>
      <w:r>
        <w:rPr>
          <w:spacing w:val="-6"/>
          <w:sz w:val="18"/>
          <w:szCs w:val="18"/>
          <w:lang w:val="es-ES_tradnl"/>
        </w:rPr>
        <w:t>establecer las razones claras que sustentan el c</w:t>
      </w:r>
      <w:r>
        <w:rPr>
          <w:rFonts w:cs="Times New Roman"/>
          <w:spacing w:val="-6"/>
          <w:sz w:val="18"/>
          <w:szCs w:val="18"/>
          <w:lang w:val="es-ES_tradnl"/>
        </w:rPr>
        <w:t>ó</w:t>
      </w:r>
      <w:r>
        <w:rPr>
          <w:spacing w:val="-6"/>
          <w:sz w:val="18"/>
          <w:szCs w:val="18"/>
          <w:lang w:val="es-ES_tradnl"/>
        </w:rPr>
        <w:t xml:space="preserve">mputo y </w:t>
      </w:r>
      <w:r>
        <w:rPr>
          <w:spacing w:val="-8"/>
          <w:sz w:val="18"/>
          <w:szCs w:val="18"/>
          <w:lang w:val="es-ES_tradnl"/>
        </w:rPr>
        <w:t>fijaci</w:t>
      </w:r>
      <w:r>
        <w:rPr>
          <w:rFonts w:cs="Times New Roman"/>
          <w:spacing w:val="-8"/>
          <w:sz w:val="18"/>
          <w:szCs w:val="18"/>
          <w:lang w:val="es-ES_tradnl"/>
        </w:rPr>
        <w:t>ó</w:t>
      </w:r>
      <w:r>
        <w:rPr>
          <w:spacing w:val="-8"/>
          <w:sz w:val="18"/>
          <w:szCs w:val="18"/>
          <w:lang w:val="es-ES_tradnl"/>
        </w:rPr>
        <w:t>n del valor de la cauci</w:t>
      </w:r>
      <w:r>
        <w:rPr>
          <w:rFonts w:cs="Times New Roman"/>
          <w:spacing w:val="-8"/>
          <w:sz w:val="18"/>
          <w:szCs w:val="18"/>
          <w:lang w:val="es-ES_tradnl"/>
        </w:rPr>
        <w:t>ó</w:t>
      </w:r>
      <w:r>
        <w:rPr>
          <w:spacing w:val="-8"/>
          <w:sz w:val="18"/>
          <w:szCs w:val="18"/>
          <w:lang w:val="es-ES_tradnl"/>
        </w:rPr>
        <w:t>n, acompa</w:t>
      </w:r>
      <w:r>
        <w:rPr>
          <w:rFonts w:cs="Times New Roman"/>
          <w:spacing w:val="-8"/>
          <w:sz w:val="18"/>
          <w:szCs w:val="18"/>
          <w:lang w:val="es-ES_tradnl"/>
        </w:rPr>
        <w:t>ñ</w:t>
      </w:r>
      <w:r>
        <w:rPr>
          <w:spacing w:val="-8"/>
          <w:sz w:val="18"/>
          <w:szCs w:val="18"/>
          <w:lang w:val="es-ES_tradnl"/>
        </w:rPr>
        <w:t>adas adem</w:t>
      </w:r>
      <w:r>
        <w:rPr>
          <w:rFonts w:cs="Times New Roman"/>
          <w:spacing w:val="-8"/>
          <w:sz w:val="18"/>
          <w:szCs w:val="18"/>
          <w:lang w:val="es-ES_tradnl"/>
        </w:rPr>
        <w:t>á</w:t>
      </w:r>
      <w:r>
        <w:rPr>
          <w:spacing w:val="-8"/>
          <w:sz w:val="18"/>
          <w:szCs w:val="18"/>
          <w:lang w:val="es-ES_tradnl"/>
        </w:rPr>
        <w:t xml:space="preserve">s del </w:t>
      </w:r>
      <w:r>
        <w:rPr>
          <w:sz w:val="18"/>
          <w:szCs w:val="18"/>
          <w:lang w:val="es-ES_tradnl"/>
        </w:rPr>
        <w:t>correspondiente fundamento normativo.</w:t>
      </w:r>
    </w:p>
    <w:p w14:paraId="4F67B657" w14:textId="77777777" w:rsidR="00591D54" w:rsidRDefault="00591D54">
      <w:pPr>
        <w:shd w:val="clear" w:color="auto" w:fill="FFFFFF"/>
        <w:spacing w:before="197" w:line="216" w:lineRule="exact"/>
        <w:jc w:val="both"/>
      </w:pPr>
      <w:r>
        <w:rPr>
          <w:spacing w:val="-7"/>
          <w:sz w:val="18"/>
          <w:szCs w:val="18"/>
          <w:lang w:val="es-ES_tradnl"/>
        </w:rPr>
        <w:t xml:space="preserve">Por lo expuesto, se concluye que el auto dictado el 5 de </w:t>
      </w:r>
      <w:r>
        <w:rPr>
          <w:sz w:val="18"/>
          <w:szCs w:val="18"/>
          <w:lang w:val="es-ES_tradnl"/>
        </w:rPr>
        <w:t>agosto de 2011, por el Tribunal Arbitral de la C</w:t>
      </w:r>
      <w:r>
        <w:rPr>
          <w:rFonts w:cs="Times New Roman"/>
          <w:sz w:val="18"/>
          <w:szCs w:val="18"/>
          <w:lang w:val="es-ES_tradnl"/>
        </w:rPr>
        <w:t>á</w:t>
      </w:r>
      <w:r>
        <w:rPr>
          <w:sz w:val="18"/>
          <w:szCs w:val="18"/>
          <w:lang w:val="es-ES_tradnl"/>
        </w:rPr>
        <w:t xml:space="preserve">mara </w:t>
      </w:r>
      <w:r>
        <w:rPr>
          <w:spacing w:val="-5"/>
          <w:sz w:val="18"/>
          <w:szCs w:val="18"/>
          <w:lang w:val="es-ES_tradnl"/>
        </w:rPr>
        <w:t>de Comercio de Quito cumpli</w:t>
      </w:r>
      <w:r>
        <w:rPr>
          <w:rFonts w:cs="Times New Roman"/>
          <w:spacing w:val="-5"/>
          <w:sz w:val="18"/>
          <w:szCs w:val="18"/>
          <w:lang w:val="es-ES_tradnl"/>
        </w:rPr>
        <w:t>ó</w:t>
      </w:r>
      <w:r>
        <w:rPr>
          <w:spacing w:val="-5"/>
          <w:sz w:val="18"/>
          <w:szCs w:val="18"/>
          <w:lang w:val="es-ES_tradnl"/>
        </w:rPr>
        <w:t xml:space="preserve"> con el requisito de la </w:t>
      </w:r>
      <w:r>
        <w:rPr>
          <w:sz w:val="18"/>
          <w:szCs w:val="18"/>
          <w:lang w:val="es-ES_tradnl"/>
        </w:rPr>
        <w:t>comprensibilidad.</w:t>
      </w:r>
    </w:p>
    <w:p w14:paraId="4F67B658" w14:textId="77777777" w:rsidR="00591D54" w:rsidRDefault="00591D54">
      <w:pPr>
        <w:shd w:val="clear" w:color="auto" w:fill="FFFFFF"/>
        <w:spacing w:before="197" w:line="216" w:lineRule="exact"/>
        <w:jc w:val="both"/>
      </w:pPr>
      <w:r>
        <w:rPr>
          <w:spacing w:val="-6"/>
          <w:sz w:val="18"/>
          <w:szCs w:val="18"/>
          <w:lang w:val="es-ES_tradnl"/>
        </w:rPr>
        <w:t>Con todas las consideraciones hasta aqu</w:t>
      </w:r>
      <w:r>
        <w:rPr>
          <w:rFonts w:cs="Times New Roman"/>
          <w:spacing w:val="-6"/>
          <w:sz w:val="18"/>
          <w:szCs w:val="18"/>
          <w:lang w:val="es-ES_tradnl"/>
        </w:rPr>
        <w:t>í</w:t>
      </w:r>
      <w:r>
        <w:rPr>
          <w:spacing w:val="-6"/>
          <w:sz w:val="18"/>
          <w:szCs w:val="18"/>
          <w:lang w:val="es-ES_tradnl"/>
        </w:rPr>
        <w:t xml:space="preserve"> se</w:t>
      </w:r>
      <w:r>
        <w:rPr>
          <w:rFonts w:cs="Times New Roman"/>
          <w:spacing w:val="-6"/>
          <w:sz w:val="18"/>
          <w:szCs w:val="18"/>
          <w:lang w:val="es-ES_tradnl"/>
        </w:rPr>
        <w:t>ñ</w:t>
      </w:r>
      <w:r>
        <w:rPr>
          <w:spacing w:val="-6"/>
          <w:sz w:val="18"/>
          <w:szCs w:val="18"/>
          <w:lang w:val="es-ES_tradnl"/>
        </w:rPr>
        <w:t>aladas, la Corte Constitucional concluye que el auto dictado el 5 de agosto de 2011, por el Tribunal Arbitral de la C</w:t>
      </w:r>
      <w:r>
        <w:rPr>
          <w:rFonts w:cs="Times New Roman"/>
          <w:spacing w:val="-6"/>
          <w:sz w:val="18"/>
          <w:szCs w:val="18"/>
          <w:lang w:val="es-ES_tradnl"/>
        </w:rPr>
        <w:t>á</w:t>
      </w:r>
      <w:r>
        <w:rPr>
          <w:spacing w:val="-6"/>
          <w:sz w:val="18"/>
          <w:szCs w:val="18"/>
          <w:lang w:val="es-ES_tradnl"/>
        </w:rPr>
        <w:t xml:space="preserve">mara de </w:t>
      </w:r>
      <w:r>
        <w:rPr>
          <w:spacing w:val="-7"/>
          <w:sz w:val="18"/>
          <w:szCs w:val="18"/>
          <w:lang w:val="es-ES_tradnl"/>
        </w:rPr>
        <w:t xml:space="preserve">Comercio de Quito ha superado satisfactoriamente el test </w:t>
      </w:r>
      <w:r>
        <w:rPr>
          <w:spacing w:val="-3"/>
          <w:sz w:val="18"/>
          <w:szCs w:val="18"/>
          <w:lang w:val="es-ES_tradnl"/>
        </w:rPr>
        <w:t>de motivaci</w:t>
      </w:r>
      <w:r>
        <w:rPr>
          <w:rFonts w:cs="Times New Roman"/>
          <w:spacing w:val="-3"/>
          <w:sz w:val="18"/>
          <w:szCs w:val="18"/>
          <w:lang w:val="es-ES_tradnl"/>
        </w:rPr>
        <w:t>ó</w:t>
      </w:r>
      <w:r>
        <w:rPr>
          <w:spacing w:val="-3"/>
          <w:sz w:val="18"/>
          <w:szCs w:val="18"/>
          <w:lang w:val="es-ES_tradnl"/>
        </w:rPr>
        <w:t>n y por lo tanto, establece que el mismo no</w:t>
      </w:r>
    </w:p>
    <w:p w14:paraId="4F67B659" w14:textId="77777777" w:rsidR="00591D54" w:rsidRDefault="00591D54">
      <w:pPr>
        <w:shd w:val="clear" w:color="auto" w:fill="FFFFFF"/>
        <w:spacing w:before="533" w:line="178" w:lineRule="exact"/>
        <w:ind w:left="144" w:hanging="144"/>
      </w:pPr>
      <w:r>
        <w:rPr>
          <w:spacing w:val="-4"/>
          <w:sz w:val="16"/>
          <w:szCs w:val="16"/>
          <w:vertAlign w:val="superscript"/>
          <w:lang w:val="es-ES_tradnl"/>
        </w:rPr>
        <w:t>10</w:t>
      </w:r>
      <w:r>
        <w:rPr>
          <w:spacing w:val="-4"/>
          <w:sz w:val="16"/>
          <w:szCs w:val="16"/>
          <w:lang w:val="es-ES_tradnl"/>
        </w:rPr>
        <w:t xml:space="preserve"> </w:t>
      </w:r>
      <w:r>
        <w:rPr>
          <w:spacing w:val="-8"/>
          <w:sz w:val="16"/>
          <w:szCs w:val="16"/>
          <w:lang w:val="es-ES_tradnl"/>
        </w:rPr>
        <w:t>Corte Constitucional del Ecuador, sentencia N.</w:t>
      </w:r>
      <w:r>
        <w:rPr>
          <w:rFonts w:cs="Times New Roman"/>
          <w:spacing w:val="-8"/>
          <w:sz w:val="16"/>
          <w:szCs w:val="16"/>
          <w:lang w:val="es-ES_tradnl"/>
        </w:rPr>
        <w:t>°</w:t>
      </w:r>
      <w:r>
        <w:rPr>
          <w:spacing w:val="-8"/>
          <w:sz w:val="16"/>
          <w:szCs w:val="16"/>
          <w:lang w:val="es-ES_tradnl"/>
        </w:rPr>
        <w:t xml:space="preserve"> 017-14-SEP-CC, </w:t>
      </w:r>
      <w:r>
        <w:rPr>
          <w:sz w:val="16"/>
          <w:szCs w:val="16"/>
          <w:lang w:val="es-ES_tradnl"/>
        </w:rPr>
        <w:t>caso N.</w:t>
      </w:r>
      <w:r>
        <w:rPr>
          <w:rFonts w:cs="Times New Roman"/>
          <w:sz w:val="16"/>
          <w:szCs w:val="16"/>
          <w:lang w:val="es-ES_tradnl"/>
        </w:rPr>
        <w:t>°</w:t>
      </w:r>
      <w:r>
        <w:rPr>
          <w:sz w:val="16"/>
          <w:szCs w:val="16"/>
          <w:lang w:val="es-ES_tradnl"/>
        </w:rPr>
        <w:t xml:space="preserve"> 0401-13-EP</w:t>
      </w:r>
    </w:p>
    <w:p w14:paraId="4F67B65A" w14:textId="77777777" w:rsidR="00591D54" w:rsidRDefault="00591D54">
      <w:pPr>
        <w:shd w:val="clear" w:color="auto" w:fill="FFFFFF"/>
        <w:spacing w:before="533" w:line="178" w:lineRule="exact"/>
        <w:ind w:left="144" w:hanging="144"/>
        <w:sectPr w:rsidR="00591D54">
          <w:type w:val="continuous"/>
          <w:pgSz w:w="11909" w:h="16834"/>
          <w:pgMar w:top="1356" w:right="1309" w:bottom="360" w:left="1308" w:header="720" w:footer="720" w:gutter="0"/>
          <w:cols w:num="2" w:space="720" w:equalWidth="0">
            <w:col w:w="4310" w:space="677"/>
            <w:col w:w="4305"/>
          </w:cols>
          <w:noEndnote/>
        </w:sectPr>
      </w:pPr>
    </w:p>
    <w:p w14:paraId="4F67B65B" w14:textId="77777777" w:rsidR="00591D54" w:rsidRDefault="00591D54">
      <w:pPr>
        <w:shd w:val="clear" w:color="auto" w:fill="FFFFFF"/>
        <w:tabs>
          <w:tab w:val="left" w:pos="4814"/>
        </w:tabs>
        <w:spacing w:after="235"/>
        <w:ind w:left="5"/>
      </w:pPr>
      <w:r>
        <w:rPr>
          <w:b/>
          <w:bCs/>
          <w:sz w:val="18"/>
          <w:szCs w:val="18"/>
          <w:lang w:val="es-ES_tradnl"/>
        </w:rPr>
        <w:t xml:space="preserve">230 -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65C" w14:textId="77777777" w:rsidR="00591D54" w:rsidRDefault="00591D54">
      <w:pPr>
        <w:shd w:val="clear" w:color="auto" w:fill="FFFFFF"/>
        <w:tabs>
          <w:tab w:val="left" w:pos="4814"/>
        </w:tabs>
        <w:spacing w:after="235"/>
        <w:ind w:left="5"/>
        <w:sectPr w:rsidR="00591D54">
          <w:pgSz w:w="11909" w:h="16834"/>
          <w:pgMar w:top="1318" w:right="1309" w:bottom="360" w:left="1308" w:header="720" w:footer="720" w:gutter="0"/>
          <w:cols w:space="60"/>
          <w:noEndnote/>
        </w:sectPr>
      </w:pPr>
    </w:p>
    <w:p w14:paraId="4F67B65D" w14:textId="77777777" w:rsidR="00591D54" w:rsidRDefault="00591D54">
      <w:pPr>
        <w:shd w:val="clear" w:color="auto" w:fill="FFFFFF"/>
        <w:spacing w:line="216" w:lineRule="exact"/>
        <w:jc w:val="both"/>
      </w:pPr>
      <w:r>
        <w:rPr>
          <w:spacing w:val="-7"/>
          <w:sz w:val="18"/>
          <w:szCs w:val="18"/>
          <w:lang w:val="es-ES_tradnl"/>
        </w:rPr>
        <w:t>vulner</w:t>
      </w:r>
      <w:r>
        <w:rPr>
          <w:rFonts w:cs="Times New Roman"/>
          <w:spacing w:val="-7"/>
          <w:sz w:val="18"/>
          <w:szCs w:val="18"/>
          <w:lang w:val="es-ES_tradnl"/>
        </w:rPr>
        <w:t>ó</w:t>
      </w:r>
      <w:r>
        <w:rPr>
          <w:spacing w:val="-7"/>
          <w:sz w:val="18"/>
          <w:szCs w:val="18"/>
          <w:lang w:val="es-ES_tradnl"/>
        </w:rPr>
        <w:t xml:space="preserve"> el derecho al debido proceso en la garant</w:t>
      </w:r>
      <w:r>
        <w:rPr>
          <w:rFonts w:cs="Times New Roman"/>
          <w:spacing w:val="-7"/>
          <w:sz w:val="18"/>
          <w:szCs w:val="18"/>
          <w:lang w:val="es-ES_tradnl"/>
        </w:rPr>
        <w:t>í</w:t>
      </w:r>
      <w:r>
        <w:rPr>
          <w:spacing w:val="-7"/>
          <w:sz w:val="18"/>
          <w:szCs w:val="18"/>
          <w:lang w:val="es-ES_tradnl"/>
        </w:rPr>
        <w:t xml:space="preserve">a de la </w:t>
      </w:r>
      <w:r>
        <w:rPr>
          <w:spacing w:val="-8"/>
          <w:sz w:val="18"/>
          <w:szCs w:val="18"/>
          <w:lang w:val="es-ES_tradnl"/>
        </w:rPr>
        <w:t>motivaci</w:t>
      </w:r>
      <w:r>
        <w:rPr>
          <w:rFonts w:cs="Times New Roman"/>
          <w:spacing w:val="-8"/>
          <w:sz w:val="18"/>
          <w:szCs w:val="18"/>
          <w:lang w:val="es-ES_tradnl"/>
        </w:rPr>
        <w:t>ó</w:t>
      </w:r>
      <w:r>
        <w:rPr>
          <w:spacing w:val="-8"/>
          <w:sz w:val="18"/>
          <w:szCs w:val="18"/>
          <w:lang w:val="es-ES_tradnl"/>
        </w:rPr>
        <w:t>n contenido en el art</w:t>
      </w:r>
      <w:r>
        <w:rPr>
          <w:rFonts w:cs="Times New Roman"/>
          <w:spacing w:val="-8"/>
          <w:sz w:val="18"/>
          <w:szCs w:val="18"/>
          <w:lang w:val="es-ES_tradnl"/>
        </w:rPr>
        <w:t>í</w:t>
      </w:r>
      <w:r>
        <w:rPr>
          <w:spacing w:val="-8"/>
          <w:sz w:val="18"/>
          <w:szCs w:val="18"/>
          <w:lang w:val="es-ES_tradnl"/>
        </w:rPr>
        <w:t xml:space="preserve">culo 76 numeral 7 literal </w:t>
      </w:r>
      <w:r>
        <w:rPr>
          <w:b/>
          <w:bCs/>
          <w:spacing w:val="-8"/>
          <w:sz w:val="18"/>
          <w:szCs w:val="18"/>
          <w:lang w:val="es-ES_tradnl"/>
        </w:rPr>
        <w:t xml:space="preserve">l </w:t>
      </w:r>
      <w:r>
        <w:rPr>
          <w:spacing w:val="-8"/>
          <w:sz w:val="18"/>
          <w:szCs w:val="18"/>
          <w:lang w:val="es-ES_tradnl"/>
        </w:rPr>
        <w:t xml:space="preserve">de </w:t>
      </w:r>
      <w:r>
        <w:rPr>
          <w:sz w:val="18"/>
          <w:szCs w:val="18"/>
          <w:lang w:val="es-ES_tradnl"/>
        </w:rPr>
        <w:t>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B65E" w14:textId="77777777" w:rsidR="00591D54" w:rsidRDefault="00591D54">
      <w:pPr>
        <w:shd w:val="clear" w:color="auto" w:fill="FFFFFF"/>
        <w:spacing w:before="192" w:line="216" w:lineRule="exact"/>
        <w:ind w:left="283" w:right="5" w:hanging="283"/>
        <w:jc w:val="both"/>
      </w:pPr>
      <w:r>
        <w:rPr>
          <w:b/>
          <w:bCs/>
          <w:spacing w:val="-5"/>
          <w:sz w:val="18"/>
          <w:szCs w:val="18"/>
          <w:lang w:val="es-ES_tradnl"/>
        </w:rPr>
        <w:t xml:space="preserve">2. El auto dictado el 5 de agosto de 2011, por los </w:t>
      </w:r>
      <w:r>
        <w:rPr>
          <w:b/>
          <w:bCs/>
          <w:sz w:val="18"/>
          <w:szCs w:val="18"/>
          <w:lang w:val="es-ES_tradnl"/>
        </w:rPr>
        <w:t>miembros del Tribunal Arbitral de la C</w:t>
      </w:r>
      <w:r>
        <w:rPr>
          <w:rFonts w:cs="Times New Roman"/>
          <w:b/>
          <w:bCs/>
          <w:sz w:val="18"/>
          <w:szCs w:val="18"/>
          <w:lang w:val="es-ES_tradnl"/>
        </w:rPr>
        <w:t>á</w:t>
      </w:r>
      <w:r>
        <w:rPr>
          <w:b/>
          <w:bCs/>
          <w:sz w:val="18"/>
          <w:szCs w:val="18"/>
          <w:lang w:val="es-ES_tradnl"/>
        </w:rPr>
        <w:t xml:space="preserve">mara </w:t>
      </w:r>
      <w:r>
        <w:rPr>
          <w:b/>
          <w:bCs/>
          <w:spacing w:val="-5"/>
          <w:sz w:val="18"/>
          <w:szCs w:val="18"/>
          <w:lang w:val="es-ES_tradnl"/>
        </w:rPr>
        <w:t xml:space="preserve">de Comercio de Quito, </w:t>
      </w:r>
      <w:r>
        <w:rPr>
          <w:rFonts w:cs="Times New Roman"/>
          <w:b/>
          <w:bCs/>
          <w:spacing w:val="-5"/>
          <w:sz w:val="18"/>
          <w:szCs w:val="18"/>
          <w:lang w:val="es-ES_tradnl"/>
        </w:rPr>
        <w:t>¿</w:t>
      </w:r>
      <w:r>
        <w:rPr>
          <w:b/>
          <w:bCs/>
          <w:spacing w:val="-5"/>
          <w:sz w:val="18"/>
          <w:szCs w:val="18"/>
          <w:lang w:val="es-ES_tradnl"/>
        </w:rPr>
        <w:t xml:space="preserve">vulnera el derecho </w:t>
      </w:r>
      <w:r>
        <w:rPr>
          <w:b/>
          <w:bCs/>
          <w:spacing w:val="-10"/>
          <w:sz w:val="18"/>
          <w:szCs w:val="18"/>
          <w:lang w:val="es-ES_tradnl"/>
        </w:rPr>
        <w:t>constitucional a la seguridad jur</w:t>
      </w:r>
      <w:r>
        <w:rPr>
          <w:rFonts w:cs="Times New Roman"/>
          <w:b/>
          <w:bCs/>
          <w:spacing w:val="-10"/>
          <w:sz w:val="18"/>
          <w:szCs w:val="18"/>
          <w:lang w:val="es-ES_tradnl"/>
        </w:rPr>
        <w:t>í</w:t>
      </w:r>
      <w:r>
        <w:rPr>
          <w:b/>
          <w:bCs/>
          <w:spacing w:val="-10"/>
          <w:sz w:val="18"/>
          <w:szCs w:val="18"/>
          <w:lang w:val="es-ES_tradnl"/>
        </w:rPr>
        <w:t xml:space="preserve">dica establecido en </w:t>
      </w:r>
      <w:r>
        <w:rPr>
          <w:b/>
          <w:bCs/>
          <w:spacing w:val="-8"/>
          <w:sz w:val="18"/>
          <w:szCs w:val="18"/>
          <w:lang w:val="es-ES_tradnl"/>
        </w:rPr>
        <w:t>el art</w:t>
      </w:r>
      <w:r>
        <w:rPr>
          <w:rFonts w:cs="Times New Roman"/>
          <w:b/>
          <w:bCs/>
          <w:spacing w:val="-8"/>
          <w:sz w:val="18"/>
          <w:szCs w:val="18"/>
          <w:lang w:val="es-ES_tradnl"/>
        </w:rPr>
        <w:t>í</w:t>
      </w:r>
      <w:r>
        <w:rPr>
          <w:b/>
          <w:bCs/>
          <w:spacing w:val="-8"/>
          <w:sz w:val="18"/>
          <w:szCs w:val="18"/>
          <w:lang w:val="es-ES_tradnl"/>
        </w:rPr>
        <w:t>culo 82 de la Constituci</w:t>
      </w:r>
      <w:r>
        <w:rPr>
          <w:rFonts w:cs="Times New Roman"/>
          <w:b/>
          <w:bCs/>
          <w:spacing w:val="-8"/>
          <w:sz w:val="18"/>
          <w:szCs w:val="18"/>
          <w:lang w:val="es-ES_tradnl"/>
        </w:rPr>
        <w:t>ó</w:t>
      </w:r>
      <w:r>
        <w:rPr>
          <w:b/>
          <w:bCs/>
          <w:spacing w:val="-8"/>
          <w:sz w:val="18"/>
          <w:szCs w:val="18"/>
          <w:lang w:val="es-ES_tradnl"/>
        </w:rPr>
        <w:t>n de la Rep</w:t>
      </w:r>
      <w:r>
        <w:rPr>
          <w:rFonts w:cs="Times New Roman"/>
          <w:b/>
          <w:bCs/>
          <w:spacing w:val="-8"/>
          <w:sz w:val="18"/>
          <w:szCs w:val="18"/>
          <w:lang w:val="es-ES_tradnl"/>
        </w:rPr>
        <w:t>ú</w:t>
      </w:r>
      <w:r>
        <w:rPr>
          <w:b/>
          <w:bCs/>
          <w:spacing w:val="-8"/>
          <w:sz w:val="18"/>
          <w:szCs w:val="18"/>
          <w:lang w:val="es-ES_tradnl"/>
        </w:rPr>
        <w:t>blica?</w:t>
      </w:r>
    </w:p>
    <w:p w14:paraId="4F67B65F" w14:textId="77777777" w:rsidR="00591D54" w:rsidRDefault="00591D54">
      <w:pPr>
        <w:shd w:val="clear" w:color="auto" w:fill="FFFFFF"/>
        <w:spacing w:before="197" w:line="216" w:lineRule="exact"/>
        <w:jc w:val="both"/>
      </w:pPr>
      <w:r>
        <w:rPr>
          <w:spacing w:val="-8"/>
          <w:sz w:val="18"/>
          <w:szCs w:val="18"/>
          <w:lang w:val="es-ES_tradnl"/>
        </w:rPr>
        <w:t>El derecho a la seguridad jur</w:t>
      </w:r>
      <w:r>
        <w:rPr>
          <w:rFonts w:cs="Times New Roman"/>
          <w:spacing w:val="-8"/>
          <w:sz w:val="18"/>
          <w:szCs w:val="18"/>
          <w:lang w:val="es-ES_tradnl"/>
        </w:rPr>
        <w:t>í</w:t>
      </w:r>
      <w:r>
        <w:rPr>
          <w:spacing w:val="-8"/>
          <w:sz w:val="18"/>
          <w:szCs w:val="18"/>
          <w:lang w:val="es-ES_tradnl"/>
        </w:rPr>
        <w:t xml:space="preserve">dica se encuentra establecido </w:t>
      </w:r>
      <w:r>
        <w:rPr>
          <w:spacing w:val="-5"/>
          <w:sz w:val="18"/>
          <w:szCs w:val="18"/>
          <w:lang w:val="es-ES_tradnl"/>
        </w:rPr>
        <w:t>en el art</w:t>
      </w:r>
      <w:r>
        <w:rPr>
          <w:rFonts w:cs="Times New Roman"/>
          <w:spacing w:val="-5"/>
          <w:sz w:val="18"/>
          <w:szCs w:val="18"/>
          <w:lang w:val="es-ES_tradnl"/>
        </w:rPr>
        <w:t>í</w:t>
      </w:r>
      <w:r>
        <w:rPr>
          <w:spacing w:val="-5"/>
          <w:sz w:val="18"/>
          <w:szCs w:val="18"/>
          <w:lang w:val="es-ES_tradnl"/>
        </w:rPr>
        <w:t>culo 82 de la Constituci</w:t>
      </w:r>
      <w:r>
        <w:rPr>
          <w:rFonts w:cs="Times New Roman"/>
          <w:spacing w:val="-5"/>
          <w:sz w:val="18"/>
          <w:szCs w:val="18"/>
          <w:lang w:val="es-ES_tradnl"/>
        </w:rPr>
        <w:t>ó</w:t>
      </w:r>
      <w:r>
        <w:rPr>
          <w:spacing w:val="-5"/>
          <w:sz w:val="18"/>
          <w:szCs w:val="18"/>
          <w:lang w:val="es-ES_tradnl"/>
        </w:rPr>
        <w:t xml:space="preserve">n de la Republica que </w:t>
      </w:r>
      <w:r>
        <w:rPr>
          <w:spacing w:val="-6"/>
          <w:sz w:val="18"/>
          <w:szCs w:val="18"/>
          <w:lang w:val="es-ES_tradnl"/>
        </w:rPr>
        <w:t>establece, en relaci</w:t>
      </w:r>
      <w:r>
        <w:rPr>
          <w:rFonts w:cs="Times New Roman"/>
          <w:spacing w:val="-6"/>
          <w:sz w:val="18"/>
          <w:szCs w:val="18"/>
          <w:lang w:val="es-ES_tradnl"/>
        </w:rPr>
        <w:t>ó</w:t>
      </w:r>
      <w:r>
        <w:rPr>
          <w:spacing w:val="-6"/>
          <w:sz w:val="18"/>
          <w:szCs w:val="18"/>
          <w:lang w:val="es-ES_tradnl"/>
        </w:rPr>
        <w:t xml:space="preserve">n al mismo que </w:t>
      </w:r>
      <w:r>
        <w:rPr>
          <w:rFonts w:cs="Times New Roman"/>
          <w:spacing w:val="-6"/>
          <w:sz w:val="18"/>
          <w:szCs w:val="18"/>
          <w:lang w:val="es-ES_tradnl"/>
        </w:rPr>
        <w:t>“</w:t>
      </w:r>
      <w:r>
        <w:rPr>
          <w:spacing w:val="-6"/>
          <w:sz w:val="18"/>
          <w:szCs w:val="18"/>
          <w:lang w:val="es-ES_tradnl"/>
        </w:rPr>
        <w:t>(</w:t>
      </w:r>
      <w:r>
        <w:rPr>
          <w:rFonts w:cs="Times New Roman"/>
          <w:spacing w:val="-6"/>
          <w:sz w:val="18"/>
          <w:szCs w:val="18"/>
          <w:lang w:val="es-ES_tradnl"/>
        </w:rPr>
        <w:t>…</w:t>
      </w:r>
      <w:r>
        <w:rPr>
          <w:spacing w:val="-6"/>
          <w:sz w:val="18"/>
          <w:szCs w:val="18"/>
          <w:lang w:val="es-ES_tradnl"/>
        </w:rPr>
        <w:t xml:space="preserve">) se fundamenta </w:t>
      </w:r>
      <w:r>
        <w:rPr>
          <w:spacing w:val="-8"/>
          <w:sz w:val="18"/>
          <w:szCs w:val="18"/>
          <w:lang w:val="es-ES_tradnl"/>
        </w:rPr>
        <w:t>en el respeto a la Constituci</w:t>
      </w:r>
      <w:r>
        <w:rPr>
          <w:rFonts w:cs="Times New Roman"/>
          <w:spacing w:val="-8"/>
          <w:sz w:val="18"/>
          <w:szCs w:val="18"/>
          <w:lang w:val="es-ES_tradnl"/>
        </w:rPr>
        <w:t>ó</w:t>
      </w:r>
      <w:r>
        <w:rPr>
          <w:spacing w:val="-8"/>
          <w:sz w:val="18"/>
          <w:szCs w:val="18"/>
          <w:lang w:val="es-ES_tradnl"/>
        </w:rPr>
        <w:t xml:space="preserve">n y en la existencia de normas </w:t>
      </w:r>
      <w:r>
        <w:rPr>
          <w:spacing w:val="-5"/>
          <w:sz w:val="18"/>
          <w:szCs w:val="18"/>
          <w:lang w:val="es-ES_tradnl"/>
        </w:rPr>
        <w:t>jur</w:t>
      </w:r>
      <w:r>
        <w:rPr>
          <w:rFonts w:cs="Times New Roman"/>
          <w:spacing w:val="-5"/>
          <w:sz w:val="18"/>
          <w:szCs w:val="18"/>
          <w:lang w:val="es-ES_tradnl"/>
        </w:rPr>
        <w:t>í</w:t>
      </w:r>
      <w:r>
        <w:rPr>
          <w:spacing w:val="-5"/>
          <w:sz w:val="18"/>
          <w:szCs w:val="18"/>
          <w:lang w:val="es-ES_tradnl"/>
        </w:rPr>
        <w:t>dicas previas, claras, p</w:t>
      </w:r>
      <w:r>
        <w:rPr>
          <w:rFonts w:cs="Times New Roman"/>
          <w:spacing w:val="-5"/>
          <w:sz w:val="18"/>
          <w:szCs w:val="18"/>
          <w:lang w:val="es-ES_tradnl"/>
        </w:rPr>
        <w:t>ú</w:t>
      </w:r>
      <w:r>
        <w:rPr>
          <w:spacing w:val="-5"/>
          <w:sz w:val="18"/>
          <w:szCs w:val="18"/>
          <w:lang w:val="es-ES_tradnl"/>
        </w:rPr>
        <w:t xml:space="preserve">blicas y aplicadas por las </w:t>
      </w:r>
      <w:r>
        <w:rPr>
          <w:spacing w:val="-10"/>
          <w:sz w:val="18"/>
          <w:szCs w:val="18"/>
          <w:lang w:val="es-ES_tradnl"/>
        </w:rPr>
        <w:t>autoridades competentes</w:t>
      </w:r>
      <w:r>
        <w:rPr>
          <w:rFonts w:cs="Times New Roman"/>
          <w:spacing w:val="-10"/>
          <w:sz w:val="18"/>
          <w:szCs w:val="18"/>
          <w:lang w:val="es-ES_tradnl"/>
        </w:rPr>
        <w:t>”</w:t>
      </w:r>
      <w:r>
        <w:rPr>
          <w:spacing w:val="-10"/>
          <w:sz w:val="18"/>
          <w:szCs w:val="18"/>
          <w:lang w:val="es-ES_tradnl"/>
        </w:rPr>
        <w:t>. Por lo tanto, destaca el papel que tiene la Constituci</w:t>
      </w:r>
      <w:r>
        <w:rPr>
          <w:rFonts w:cs="Times New Roman"/>
          <w:spacing w:val="-10"/>
          <w:sz w:val="18"/>
          <w:szCs w:val="18"/>
          <w:lang w:val="es-ES_tradnl"/>
        </w:rPr>
        <w:t>ó</w:t>
      </w:r>
      <w:r>
        <w:rPr>
          <w:spacing w:val="-10"/>
          <w:sz w:val="18"/>
          <w:szCs w:val="18"/>
          <w:lang w:val="es-ES_tradnl"/>
        </w:rPr>
        <w:t xml:space="preserve">n como norma suprema, asegurando a la </w:t>
      </w:r>
      <w:r>
        <w:rPr>
          <w:spacing w:val="-6"/>
          <w:sz w:val="18"/>
          <w:szCs w:val="18"/>
          <w:lang w:val="es-ES_tradnl"/>
        </w:rPr>
        <w:t>vez la aplicaci</w:t>
      </w:r>
      <w:r>
        <w:rPr>
          <w:rFonts w:cs="Times New Roman"/>
          <w:spacing w:val="-6"/>
          <w:sz w:val="18"/>
          <w:szCs w:val="18"/>
          <w:lang w:val="es-ES_tradnl"/>
        </w:rPr>
        <w:t>ó</w:t>
      </w:r>
      <w:r>
        <w:rPr>
          <w:spacing w:val="-6"/>
          <w:sz w:val="18"/>
          <w:szCs w:val="18"/>
          <w:lang w:val="es-ES_tradnl"/>
        </w:rPr>
        <w:t>n del ordenamiento jur</w:t>
      </w:r>
      <w:r>
        <w:rPr>
          <w:rFonts w:cs="Times New Roman"/>
          <w:spacing w:val="-6"/>
          <w:sz w:val="18"/>
          <w:szCs w:val="18"/>
          <w:lang w:val="es-ES_tradnl"/>
        </w:rPr>
        <w:t>í</w:t>
      </w:r>
      <w:r>
        <w:rPr>
          <w:spacing w:val="-6"/>
          <w:sz w:val="18"/>
          <w:szCs w:val="18"/>
          <w:lang w:val="es-ES_tradnl"/>
        </w:rPr>
        <w:t>dico vigente.</w:t>
      </w:r>
    </w:p>
    <w:p w14:paraId="4F67B660" w14:textId="77777777" w:rsidR="00591D54" w:rsidRDefault="00591D54">
      <w:pPr>
        <w:shd w:val="clear" w:color="auto" w:fill="FFFFFF"/>
        <w:spacing w:before="192" w:line="216" w:lineRule="exact"/>
        <w:ind w:right="5"/>
        <w:jc w:val="both"/>
      </w:pPr>
      <w:r>
        <w:rPr>
          <w:spacing w:val="-3"/>
          <w:sz w:val="18"/>
          <w:szCs w:val="18"/>
          <w:lang w:val="es-ES_tradnl"/>
        </w:rPr>
        <w:t>Esta Corte Constitucional en relaci</w:t>
      </w:r>
      <w:r>
        <w:rPr>
          <w:rFonts w:cs="Times New Roman"/>
          <w:spacing w:val="-3"/>
          <w:sz w:val="18"/>
          <w:szCs w:val="18"/>
          <w:lang w:val="es-ES_tradnl"/>
        </w:rPr>
        <w:t>ó</w:t>
      </w:r>
      <w:r>
        <w:rPr>
          <w:spacing w:val="-3"/>
          <w:sz w:val="18"/>
          <w:szCs w:val="18"/>
          <w:lang w:val="es-ES_tradnl"/>
        </w:rPr>
        <w:t xml:space="preserve">n a la seguridad </w:t>
      </w:r>
      <w:r>
        <w:rPr>
          <w:sz w:val="18"/>
          <w:szCs w:val="18"/>
          <w:lang w:val="es-ES_tradnl"/>
        </w:rPr>
        <w:t>jur</w:t>
      </w:r>
      <w:r>
        <w:rPr>
          <w:rFonts w:cs="Times New Roman"/>
          <w:sz w:val="18"/>
          <w:szCs w:val="18"/>
          <w:lang w:val="es-ES_tradnl"/>
        </w:rPr>
        <w:t>í</w:t>
      </w:r>
      <w:r>
        <w:rPr>
          <w:sz w:val="18"/>
          <w:szCs w:val="18"/>
          <w:lang w:val="es-ES_tradnl"/>
        </w:rPr>
        <w:t>dica, ha se</w:t>
      </w:r>
      <w:r>
        <w:rPr>
          <w:rFonts w:cs="Times New Roman"/>
          <w:sz w:val="18"/>
          <w:szCs w:val="18"/>
          <w:lang w:val="es-ES_tradnl"/>
        </w:rPr>
        <w:t>ñ</w:t>
      </w:r>
      <w:r>
        <w:rPr>
          <w:sz w:val="18"/>
          <w:szCs w:val="18"/>
          <w:lang w:val="es-ES_tradnl"/>
        </w:rPr>
        <w:t>alado lo siguiente:</w:t>
      </w:r>
    </w:p>
    <w:p w14:paraId="4F67B661" w14:textId="77777777" w:rsidR="00591D54" w:rsidRDefault="00591D54">
      <w:pPr>
        <w:shd w:val="clear" w:color="auto" w:fill="FFFFFF"/>
        <w:spacing w:before="202" w:line="211" w:lineRule="exact"/>
        <w:ind w:left="283" w:right="5"/>
        <w:jc w:val="both"/>
      </w:pPr>
      <w:r>
        <w:rPr>
          <w:sz w:val="14"/>
          <w:szCs w:val="14"/>
          <w:lang w:val="es-ES_tradnl"/>
        </w:rPr>
        <w:t>(</w:t>
      </w:r>
      <w:r>
        <w:rPr>
          <w:rFonts w:cs="Times New Roman"/>
          <w:sz w:val="14"/>
          <w:szCs w:val="14"/>
          <w:lang w:val="es-ES_tradnl"/>
        </w:rPr>
        <w:t>…</w:t>
      </w:r>
      <w:r>
        <w:rPr>
          <w:sz w:val="14"/>
          <w:szCs w:val="14"/>
          <w:lang w:val="es-ES_tradnl"/>
        </w:rPr>
        <w:t>) El art</w:t>
      </w:r>
      <w:r>
        <w:rPr>
          <w:rFonts w:cs="Times New Roman"/>
          <w:sz w:val="14"/>
          <w:szCs w:val="14"/>
          <w:lang w:val="es-ES_tradnl"/>
        </w:rPr>
        <w:t>í</w:t>
      </w:r>
      <w:r>
        <w:rPr>
          <w:sz w:val="14"/>
          <w:szCs w:val="14"/>
          <w:lang w:val="es-ES_tradnl"/>
        </w:rPr>
        <w:t>culo 82 de la Constituci</w:t>
      </w:r>
      <w:r>
        <w:rPr>
          <w:rFonts w:cs="Times New Roman"/>
          <w:sz w:val="14"/>
          <w:szCs w:val="14"/>
          <w:lang w:val="es-ES_tradnl"/>
        </w:rPr>
        <w:t>ó</w:t>
      </w:r>
      <w:r>
        <w:rPr>
          <w:sz w:val="14"/>
          <w:szCs w:val="14"/>
          <w:lang w:val="es-ES_tradnl"/>
        </w:rPr>
        <w:t>n de la Rep</w:t>
      </w:r>
      <w:r>
        <w:rPr>
          <w:rFonts w:cs="Times New Roman"/>
          <w:sz w:val="14"/>
          <w:szCs w:val="14"/>
          <w:lang w:val="es-ES_tradnl"/>
        </w:rPr>
        <w:t>ú</w:t>
      </w:r>
      <w:r>
        <w:rPr>
          <w:sz w:val="14"/>
          <w:szCs w:val="14"/>
          <w:lang w:val="es-ES_tradnl"/>
        </w:rPr>
        <w:t>blica del Ecuador determina el derecho a la seguridad jur</w:t>
      </w:r>
      <w:r>
        <w:rPr>
          <w:rFonts w:cs="Times New Roman"/>
          <w:sz w:val="14"/>
          <w:szCs w:val="14"/>
          <w:lang w:val="es-ES_tradnl"/>
        </w:rPr>
        <w:t>í</w:t>
      </w:r>
      <w:r>
        <w:rPr>
          <w:sz w:val="14"/>
          <w:szCs w:val="14"/>
          <w:lang w:val="es-ES_tradnl"/>
        </w:rPr>
        <w:t>dica el mismo que tiene relaci</w:t>
      </w:r>
      <w:r>
        <w:rPr>
          <w:rFonts w:cs="Times New Roman"/>
          <w:sz w:val="14"/>
          <w:szCs w:val="14"/>
          <w:lang w:val="es-ES_tradnl"/>
        </w:rPr>
        <w:t>ó</w:t>
      </w:r>
      <w:r>
        <w:rPr>
          <w:sz w:val="14"/>
          <w:szCs w:val="14"/>
          <w:lang w:val="es-ES_tradnl"/>
        </w:rPr>
        <w:t>n con el cumplimiento de los mandatos constitucionales, estableci</w:t>
      </w:r>
      <w:r>
        <w:rPr>
          <w:rFonts w:cs="Times New Roman"/>
          <w:sz w:val="14"/>
          <w:szCs w:val="14"/>
          <w:lang w:val="es-ES_tradnl"/>
        </w:rPr>
        <w:t>é</w:t>
      </w:r>
      <w:r>
        <w:rPr>
          <w:sz w:val="14"/>
          <w:szCs w:val="14"/>
          <w:lang w:val="es-ES_tradnl"/>
        </w:rPr>
        <w:t>ndose mediante aquel postulado una verdadera supremac</w:t>
      </w:r>
      <w:r>
        <w:rPr>
          <w:rFonts w:cs="Times New Roman"/>
          <w:sz w:val="14"/>
          <w:szCs w:val="14"/>
          <w:lang w:val="es-ES_tradnl"/>
        </w:rPr>
        <w:t>í</w:t>
      </w:r>
      <w:r>
        <w:rPr>
          <w:sz w:val="14"/>
          <w:szCs w:val="14"/>
          <w:lang w:val="es-ES_tradnl"/>
        </w:rPr>
        <w:t>a material del contenido de la Carta Fundamental del Estado ecuatoriano. Para tener certeza respecto a una aplicaci</w:t>
      </w:r>
      <w:r>
        <w:rPr>
          <w:rFonts w:cs="Times New Roman"/>
          <w:sz w:val="14"/>
          <w:szCs w:val="14"/>
          <w:lang w:val="es-ES_tradnl"/>
        </w:rPr>
        <w:t>ó</w:t>
      </w:r>
      <w:r>
        <w:rPr>
          <w:sz w:val="14"/>
          <w:szCs w:val="14"/>
          <w:lang w:val="es-ES_tradnl"/>
        </w:rPr>
        <w:t>n normativa, acorde a la Constituci</w:t>
      </w:r>
      <w:r>
        <w:rPr>
          <w:rFonts w:cs="Times New Roman"/>
          <w:sz w:val="14"/>
          <w:szCs w:val="14"/>
          <w:lang w:val="es-ES_tradnl"/>
        </w:rPr>
        <w:t>ó</w:t>
      </w:r>
      <w:r>
        <w:rPr>
          <w:sz w:val="14"/>
          <w:szCs w:val="14"/>
          <w:lang w:val="es-ES_tradnl"/>
        </w:rPr>
        <w:t>n, se prev</w:t>
      </w:r>
      <w:r>
        <w:rPr>
          <w:rFonts w:cs="Times New Roman"/>
          <w:sz w:val="14"/>
          <w:szCs w:val="14"/>
          <w:lang w:val="es-ES_tradnl"/>
        </w:rPr>
        <w:t>é</w:t>
      </w:r>
      <w:r>
        <w:rPr>
          <w:sz w:val="14"/>
          <w:szCs w:val="14"/>
          <w:lang w:val="es-ES_tradnl"/>
        </w:rPr>
        <w:t xml:space="preserve"> que las normas que formen parte del ordenamiento jur</w:t>
      </w:r>
      <w:r>
        <w:rPr>
          <w:rFonts w:cs="Times New Roman"/>
          <w:sz w:val="14"/>
          <w:szCs w:val="14"/>
          <w:lang w:val="es-ES_tradnl"/>
        </w:rPr>
        <w:t>í</w:t>
      </w:r>
      <w:r>
        <w:rPr>
          <w:sz w:val="14"/>
          <w:szCs w:val="14"/>
          <w:lang w:val="es-ES_tradnl"/>
        </w:rPr>
        <w:t>dico se encuentren determinadas previamente; adem</w:t>
      </w:r>
      <w:r>
        <w:rPr>
          <w:rFonts w:cs="Times New Roman"/>
          <w:sz w:val="14"/>
          <w:szCs w:val="14"/>
          <w:lang w:val="es-ES_tradnl"/>
        </w:rPr>
        <w:t>á</w:t>
      </w:r>
      <w:r>
        <w:rPr>
          <w:sz w:val="14"/>
          <w:szCs w:val="14"/>
          <w:lang w:val="es-ES_tradnl"/>
        </w:rPr>
        <w:t>s, deben ser claras y p</w:t>
      </w:r>
      <w:r>
        <w:rPr>
          <w:rFonts w:cs="Times New Roman"/>
          <w:sz w:val="14"/>
          <w:szCs w:val="14"/>
          <w:lang w:val="es-ES_tradnl"/>
        </w:rPr>
        <w:t>ú</w:t>
      </w:r>
      <w:r>
        <w:rPr>
          <w:sz w:val="14"/>
          <w:szCs w:val="14"/>
          <w:lang w:val="es-ES_tradnl"/>
        </w:rPr>
        <w:t>blicas; solo de esta manera se logra conformar una certeza de que la normativa existente en la legislaci</w:t>
      </w:r>
      <w:r>
        <w:rPr>
          <w:rFonts w:cs="Times New Roman"/>
          <w:sz w:val="14"/>
          <w:szCs w:val="14"/>
          <w:lang w:val="es-ES_tradnl"/>
        </w:rPr>
        <w:t>ó</w:t>
      </w:r>
      <w:r>
        <w:rPr>
          <w:sz w:val="14"/>
          <w:szCs w:val="14"/>
          <w:lang w:val="es-ES_tradnl"/>
        </w:rPr>
        <w:t>n ser</w:t>
      </w:r>
      <w:r>
        <w:rPr>
          <w:rFonts w:cs="Times New Roman"/>
          <w:sz w:val="14"/>
          <w:szCs w:val="14"/>
          <w:lang w:val="es-ES_tradnl"/>
        </w:rPr>
        <w:t>á</w:t>
      </w:r>
      <w:r>
        <w:rPr>
          <w:sz w:val="14"/>
          <w:szCs w:val="14"/>
          <w:lang w:val="es-ES_tradnl"/>
        </w:rPr>
        <w:t xml:space="preserve"> aplicada cumpliendo ciertos lineamientos que generan la confianza acerca del respeto de los derechos consagrados en el texto constitucional (</w:t>
      </w:r>
      <w:r>
        <w:rPr>
          <w:rFonts w:cs="Times New Roman"/>
          <w:sz w:val="14"/>
          <w:szCs w:val="14"/>
          <w:lang w:val="es-ES_tradnl"/>
        </w:rPr>
        <w:t>…</w:t>
      </w:r>
      <w:r>
        <w:rPr>
          <w:sz w:val="14"/>
          <w:szCs w:val="14"/>
          <w:lang w:val="es-ES_tradnl"/>
        </w:rPr>
        <w:t>)</w:t>
      </w:r>
      <w:r>
        <w:rPr>
          <w:sz w:val="14"/>
          <w:szCs w:val="14"/>
          <w:vertAlign w:val="superscript"/>
          <w:lang w:val="es-ES_tradnl"/>
        </w:rPr>
        <w:t>11</w:t>
      </w:r>
      <w:r>
        <w:rPr>
          <w:sz w:val="14"/>
          <w:szCs w:val="14"/>
          <w:lang w:val="es-ES_tradnl"/>
        </w:rPr>
        <w:t>.</w:t>
      </w:r>
    </w:p>
    <w:p w14:paraId="4F67B662" w14:textId="77777777" w:rsidR="00591D54" w:rsidRDefault="00591D54">
      <w:pPr>
        <w:shd w:val="clear" w:color="auto" w:fill="FFFFFF"/>
        <w:spacing w:before="202" w:line="216" w:lineRule="exact"/>
        <w:ind w:right="5"/>
        <w:jc w:val="both"/>
      </w:pPr>
      <w:r>
        <w:rPr>
          <w:spacing w:val="-5"/>
          <w:sz w:val="18"/>
          <w:szCs w:val="18"/>
          <w:lang w:val="es-ES_tradnl"/>
        </w:rPr>
        <w:t xml:space="preserve">De esta forma, el Estado como ente regulador de las </w:t>
      </w:r>
      <w:r>
        <w:rPr>
          <w:spacing w:val="-10"/>
          <w:sz w:val="18"/>
          <w:szCs w:val="18"/>
          <w:lang w:val="es-ES_tradnl"/>
        </w:rPr>
        <w:t xml:space="preserve">relaciones en la sociedad, no solo establece los lineamientos </w:t>
      </w:r>
      <w:r>
        <w:rPr>
          <w:spacing w:val="-4"/>
          <w:sz w:val="18"/>
          <w:szCs w:val="18"/>
          <w:lang w:val="es-ES_tradnl"/>
        </w:rPr>
        <w:t>y normas a seguir, sino que en un sentido m</w:t>
      </w:r>
      <w:r>
        <w:rPr>
          <w:rFonts w:cs="Times New Roman"/>
          <w:spacing w:val="-4"/>
          <w:sz w:val="18"/>
          <w:szCs w:val="18"/>
          <w:lang w:val="es-ES_tradnl"/>
        </w:rPr>
        <w:t>á</w:t>
      </w:r>
      <w:r>
        <w:rPr>
          <w:spacing w:val="-4"/>
          <w:sz w:val="18"/>
          <w:szCs w:val="18"/>
          <w:lang w:val="es-ES_tradnl"/>
        </w:rPr>
        <w:t xml:space="preserve">s amplio </w:t>
      </w:r>
      <w:r>
        <w:rPr>
          <w:sz w:val="18"/>
          <w:szCs w:val="18"/>
          <w:lang w:val="es-ES_tradnl"/>
        </w:rPr>
        <w:t>tiene la obligaci</w:t>
      </w:r>
      <w:r>
        <w:rPr>
          <w:rFonts w:cs="Times New Roman"/>
          <w:sz w:val="18"/>
          <w:szCs w:val="18"/>
          <w:lang w:val="es-ES_tradnl"/>
        </w:rPr>
        <w:t>ó</w:t>
      </w:r>
      <w:r>
        <w:rPr>
          <w:sz w:val="18"/>
          <w:szCs w:val="18"/>
          <w:lang w:val="es-ES_tradnl"/>
        </w:rPr>
        <w:t xml:space="preserve">n de brindar </w:t>
      </w:r>
      <w:r>
        <w:rPr>
          <w:rFonts w:cs="Times New Roman"/>
          <w:sz w:val="18"/>
          <w:szCs w:val="18"/>
          <w:lang w:val="es-ES_tradnl"/>
        </w:rPr>
        <w:t>“</w:t>
      </w:r>
      <w:r>
        <w:rPr>
          <w:sz w:val="18"/>
          <w:szCs w:val="18"/>
          <w:lang w:val="es-ES_tradnl"/>
        </w:rPr>
        <w:t>seguridad jur</w:t>
      </w:r>
      <w:r>
        <w:rPr>
          <w:rFonts w:cs="Times New Roman"/>
          <w:sz w:val="18"/>
          <w:szCs w:val="18"/>
          <w:lang w:val="es-ES_tradnl"/>
        </w:rPr>
        <w:t>í</w:t>
      </w:r>
      <w:r>
        <w:rPr>
          <w:sz w:val="18"/>
          <w:szCs w:val="18"/>
          <w:lang w:val="es-ES_tradnl"/>
        </w:rPr>
        <w:t>dica</w:t>
      </w:r>
      <w:r>
        <w:rPr>
          <w:rFonts w:cs="Times New Roman"/>
          <w:sz w:val="18"/>
          <w:szCs w:val="18"/>
          <w:lang w:val="es-ES_tradnl"/>
        </w:rPr>
        <w:t>”</w:t>
      </w:r>
      <w:r>
        <w:rPr>
          <w:sz w:val="18"/>
          <w:szCs w:val="18"/>
          <w:lang w:val="es-ES_tradnl"/>
        </w:rPr>
        <w:t xml:space="preserve"> al </w:t>
      </w:r>
      <w:r>
        <w:rPr>
          <w:spacing w:val="-8"/>
          <w:sz w:val="18"/>
          <w:szCs w:val="18"/>
          <w:lang w:val="es-ES_tradnl"/>
        </w:rPr>
        <w:t>ejercer su poder estatal. La citada garant</w:t>
      </w:r>
      <w:r>
        <w:rPr>
          <w:rFonts w:cs="Times New Roman"/>
          <w:spacing w:val="-8"/>
          <w:sz w:val="18"/>
          <w:szCs w:val="18"/>
          <w:lang w:val="es-ES_tradnl"/>
        </w:rPr>
        <w:t>í</w:t>
      </w:r>
      <w:r>
        <w:rPr>
          <w:spacing w:val="-8"/>
          <w:sz w:val="18"/>
          <w:szCs w:val="18"/>
          <w:lang w:val="es-ES_tradnl"/>
        </w:rPr>
        <w:t xml:space="preserve">a debe otorgarse </w:t>
      </w:r>
      <w:r>
        <w:rPr>
          <w:spacing w:val="-5"/>
          <w:sz w:val="18"/>
          <w:szCs w:val="18"/>
          <w:lang w:val="es-ES_tradnl"/>
        </w:rPr>
        <w:t xml:space="preserve">por el Estado al individuo, para que su integridad, bienes y derechos no sean transgredidos y si esto llegara a </w:t>
      </w:r>
      <w:r>
        <w:rPr>
          <w:spacing w:val="-7"/>
          <w:sz w:val="18"/>
          <w:szCs w:val="18"/>
          <w:lang w:val="es-ES_tradnl"/>
        </w:rPr>
        <w:t>producirse, le sean restaurados a trav</w:t>
      </w:r>
      <w:r>
        <w:rPr>
          <w:rFonts w:cs="Times New Roman"/>
          <w:spacing w:val="-7"/>
          <w:sz w:val="18"/>
          <w:szCs w:val="18"/>
          <w:lang w:val="es-ES_tradnl"/>
        </w:rPr>
        <w:t>é</w:t>
      </w:r>
      <w:r>
        <w:rPr>
          <w:spacing w:val="-7"/>
          <w:sz w:val="18"/>
          <w:szCs w:val="18"/>
          <w:lang w:val="es-ES_tradnl"/>
        </w:rPr>
        <w:t xml:space="preserve">s de la normativa </w:t>
      </w:r>
      <w:r>
        <w:rPr>
          <w:spacing w:val="-8"/>
          <w:sz w:val="18"/>
          <w:szCs w:val="18"/>
          <w:lang w:val="es-ES_tradnl"/>
        </w:rPr>
        <w:t xml:space="preserve">constitucional y legal existente aplicada por las autoridades </w:t>
      </w:r>
      <w:r>
        <w:rPr>
          <w:spacing w:val="-10"/>
          <w:sz w:val="18"/>
          <w:szCs w:val="18"/>
          <w:lang w:val="es-ES_tradnl"/>
        </w:rPr>
        <w:t>competentes; en resumen, la seguridad jur</w:t>
      </w:r>
      <w:r>
        <w:rPr>
          <w:rFonts w:cs="Times New Roman"/>
          <w:spacing w:val="-10"/>
          <w:sz w:val="18"/>
          <w:szCs w:val="18"/>
          <w:lang w:val="es-ES_tradnl"/>
        </w:rPr>
        <w:t>í</w:t>
      </w:r>
      <w:r>
        <w:rPr>
          <w:spacing w:val="-10"/>
          <w:sz w:val="18"/>
          <w:szCs w:val="18"/>
          <w:lang w:val="es-ES_tradnl"/>
        </w:rPr>
        <w:t xml:space="preserve">dica es la certeza </w:t>
      </w:r>
      <w:r>
        <w:rPr>
          <w:sz w:val="18"/>
          <w:szCs w:val="18"/>
          <w:lang w:val="es-ES_tradnl"/>
        </w:rPr>
        <w:t>que tiene el individuo de que su situaci</w:t>
      </w:r>
      <w:r>
        <w:rPr>
          <w:rFonts w:cs="Times New Roman"/>
          <w:sz w:val="18"/>
          <w:szCs w:val="18"/>
          <w:lang w:val="es-ES_tradnl"/>
        </w:rPr>
        <w:t>ó</w:t>
      </w:r>
      <w:r>
        <w:rPr>
          <w:sz w:val="18"/>
          <w:szCs w:val="18"/>
          <w:lang w:val="es-ES_tradnl"/>
        </w:rPr>
        <w:t>n jur</w:t>
      </w:r>
      <w:r>
        <w:rPr>
          <w:rFonts w:cs="Times New Roman"/>
          <w:sz w:val="18"/>
          <w:szCs w:val="18"/>
          <w:lang w:val="es-ES_tradnl"/>
        </w:rPr>
        <w:t>í</w:t>
      </w:r>
      <w:r>
        <w:rPr>
          <w:sz w:val="18"/>
          <w:szCs w:val="18"/>
          <w:lang w:val="es-ES_tradnl"/>
        </w:rPr>
        <w:t xml:space="preserve">dica no </w:t>
      </w:r>
      <w:r>
        <w:rPr>
          <w:spacing w:val="-7"/>
          <w:sz w:val="18"/>
          <w:szCs w:val="18"/>
          <w:lang w:val="es-ES_tradnl"/>
        </w:rPr>
        <w:t>ser</w:t>
      </w:r>
      <w:r>
        <w:rPr>
          <w:rFonts w:cs="Times New Roman"/>
          <w:spacing w:val="-7"/>
          <w:sz w:val="18"/>
          <w:szCs w:val="18"/>
          <w:lang w:val="es-ES_tradnl"/>
        </w:rPr>
        <w:t>á</w:t>
      </w:r>
      <w:r>
        <w:rPr>
          <w:spacing w:val="-7"/>
          <w:sz w:val="18"/>
          <w:szCs w:val="18"/>
          <w:lang w:val="es-ES_tradnl"/>
        </w:rPr>
        <w:t xml:space="preserve"> modificada m</w:t>
      </w:r>
      <w:r>
        <w:rPr>
          <w:rFonts w:cs="Times New Roman"/>
          <w:spacing w:val="-7"/>
          <w:sz w:val="18"/>
          <w:szCs w:val="18"/>
          <w:lang w:val="es-ES_tradnl"/>
        </w:rPr>
        <w:t>á</w:t>
      </w:r>
      <w:r>
        <w:rPr>
          <w:spacing w:val="-7"/>
          <w:sz w:val="18"/>
          <w:szCs w:val="18"/>
          <w:lang w:val="es-ES_tradnl"/>
        </w:rPr>
        <w:t xml:space="preserve">s que por procedimientos regulares y </w:t>
      </w:r>
      <w:r>
        <w:rPr>
          <w:spacing w:val="-9"/>
          <w:sz w:val="18"/>
          <w:szCs w:val="18"/>
          <w:lang w:val="es-ES_tradnl"/>
        </w:rPr>
        <w:t>conductos establecidos previamente, mediante el respeto a la Constituci</w:t>
      </w:r>
      <w:r>
        <w:rPr>
          <w:rFonts w:cs="Times New Roman"/>
          <w:spacing w:val="-9"/>
          <w:sz w:val="18"/>
          <w:szCs w:val="18"/>
          <w:lang w:val="es-ES_tradnl"/>
        </w:rPr>
        <w:t>ó</w:t>
      </w:r>
      <w:r>
        <w:rPr>
          <w:spacing w:val="-9"/>
          <w:sz w:val="18"/>
          <w:szCs w:val="18"/>
          <w:lang w:val="es-ES_tradnl"/>
        </w:rPr>
        <w:t xml:space="preserve">n y en la existencia de normas previas, claras, </w:t>
      </w:r>
      <w:r>
        <w:rPr>
          <w:spacing w:val="-8"/>
          <w:sz w:val="18"/>
          <w:szCs w:val="18"/>
          <w:lang w:val="es-ES_tradnl"/>
        </w:rPr>
        <w:t>p</w:t>
      </w:r>
      <w:r>
        <w:rPr>
          <w:rFonts w:cs="Times New Roman"/>
          <w:spacing w:val="-8"/>
          <w:sz w:val="18"/>
          <w:szCs w:val="18"/>
          <w:lang w:val="es-ES_tradnl"/>
        </w:rPr>
        <w:t>ú</w:t>
      </w:r>
      <w:r>
        <w:rPr>
          <w:spacing w:val="-8"/>
          <w:sz w:val="18"/>
          <w:szCs w:val="18"/>
          <w:lang w:val="es-ES_tradnl"/>
        </w:rPr>
        <w:t>blicas y aplicadas por autoridades competentes.</w:t>
      </w:r>
    </w:p>
    <w:p w14:paraId="4F67B663" w14:textId="77777777" w:rsidR="00591D54" w:rsidRDefault="00591D54">
      <w:pPr>
        <w:shd w:val="clear" w:color="auto" w:fill="FFFFFF"/>
        <w:spacing w:before="197" w:line="216" w:lineRule="exact"/>
        <w:ind w:right="5"/>
        <w:jc w:val="both"/>
      </w:pPr>
      <w:r>
        <w:rPr>
          <w:spacing w:val="-8"/>
          <w:sz w:val="18"/>
          <w:szCs w:val="18"/>
          <w:lang w:val="es-ES_tradnl"/>
        </w:rPr>
        <w:t>Al respecto, es preciso se</w:t>
      </w:r>
      <w:r>
        <w:rPr>
          <w:rFonts w:cs="Times New Roman"/>
          <w:spacing w:val="-8"/>
          <w:sz w:val="18"/>
          <w:szCs w:val="18"/>
          <w:lang w:val="es-ES_tradnl"/>
        </w:rPr>
        <w:t>ñ</w:t>
      </w:r>
      <w:r>
        <w:rPr>
          <w:spacing w:val="-8"/>
          <w:sz w:val="18"/>
          <w:szCs w:val="18"/>
          <w:lang w:val="es-ES_tradnl"/>
        </w:rPr>
        <w:t xml:space="preserve">alar que una de las formas de </w:t>
      </w:r>
      <w:r>
        <w:rPr>
          <w:spacing w:val="-7"/>
          <w:sz w:val="18"/>
          <w:szCs w:val="18"/>
          <w:lang w:val="es-ES_tradnl"/>
        </w:rPr>
        <w:t>garantizar el derecho a la seguridad jur</w:t>
      </w:r>
      <w:r>
        <w:rPr>
          <w:rFonts w:cs="Times New Roman"/>
          <w:spacing w:val="-7"/>
          <w:sz w:val="18"/>
          <w:szCs w:val="18"/>
          <w:lang w:val="es-ES_tradnl"/>
        </w:rPr>
        <w:t>í</w:t>
      </w:r>
      <w:r>
        <w:rPr>
          <w:spacing w:val="-7"/>
          <w:sz w:val="18"/>
          <w:szCs w:val="18"/>
          <w:lang w:val="es-ES_tradnl"/>
        </w:rPr>
        <w:t xml:space="preserve">dica y por ende, </w:t>
      </w:r>
      <w:r>
        <w:rPr>
          <w:spacing w:val="-5"/>
          <w:sz w:val="18"/>
          <w:szCs w:val="18"/>
          <w:lang w:val="es-ES_tradnl"/>
        </w:rPr>
        <w:t xml:space="preserve">garantizar el cumplimiento de las normas y los derechos </w:t>
      </w:r>
      <w:r>
        <w:rPr>
          <w:spacing w:val="-3"/>
          <w:sz w:val="18"/>
          <w:szCs w:val="18"/>
          <w:lang w:val="es-ES_tradnl"/>
        </w:rPr>
        <w:t>de las partes es el principio de legalidad, as</w:t>
      </w:r>
      <w:r>
        <w:rPr>
          <w:rFonts w:cs="Times New Roman"/>
          <w:spacing w:val="-3"/>
          <w:sz w:val="18"/>
          <w:szCs w:val="18"/>
          <w:lang w:val="es-ES_tradnl"/>
        </w:rPr>
        <w:t>í</w:t>
      </w:r>
      <w:r>
        <w:rPr>
          <w:spacing w:val="-3"/>
          <w:sz w:val="18"/>
          <w:szCs w:val="18"/>
          <w:lang w:val="es-ES_tradnl"/>
        </w:rPr>
        <w:t xml:space="preserve"> lo sostuvo </w:t>
      </w:r>
      <w:r>
        <w:rPr>
          <w:sz w:val="18"/>
          <w:szCs w:val="18"/>
          <w:lang w:val="es-ES_tradnl"/>
        </w:rPr>
        <w:t>la Corte Constitucional, para el per</w:t>
      </w:r>
      <w:r>
        <w:rPr>
          <w:rFonts w:cs="Times New Roman"/>
          <w:sz w:val="18"/>
          <w:szCs w:val="18"/>
          <w:lang w:val="es-ES_tradnl"/>
        </w:rPr>
        <w:t>í</w:t>
      </w:r>
      <w:r>
        <w:rPr>
          <w:sz w:val="18"/>
          <w:szCs w:val="18"/>
          <w:lang w:val="es-ES_tradnl"/>
        </w:rPr>
        <w:t>odo de transici</w:t>
      </w:r>
      <w:r>
        <w:rPr>
          <w:rFonts w:cs="Times New Roman"/>
          <w:sz w:val="18"/>
          <w:szCs w:val="18"/>
          <w:lang w:val="es-ES_tradnl"/>
        </w:rPr>
        <w:t>ó</w:t>
      </w:r>
      <w:r>
        <w:rPr>
          <w:sz w:val="18"/>
          <w:szCs w:val="18"/>
          <w:lang w:val="es-ES_tradnl"/>
        </w:rPr>
        <w:t xml:space="preserve">n, </w:t>
      </w:r>
      <w:r>
        <w:rPr>
          <w:spacing w:val="-2"/>
          <w:sz w:val="18"/>
          <w:szCs w:val="18"/>
          <w:lang w:val="es-ES_tradnl"/>
        </w:rPr>
        <w:t>en la sentencia N.</w:t>
      </w:r>
      <w:r>
        <w:rPr>
          <w:rFonts w:cs="Times New Roman"/>
          <w:spacing w:val="-2"/>
          <w:sz w:val="18"/>
          <w:szCs w:val="18"/>
          <w:lang w:val="es-ES_tradnl"/>
        </w:rPr>
        <w:t>º</w:t>
      </w:r>
      <w:r>
        <w:rPr>
          <w:spacing w:val="-2"/>
          <w:sz w:val="18"/>
          <w:szCs w:val="18"/>
          <w:lang w:val="es-ES_tradnl"/>
        </w:rPr>
        <w:t xml:space="preserve"> 015-10-SEP-CC al manifestar que:</w:t>
      </w:r>
    </w:p>
    <w:p w14:paraId="4F67B664" w14:textId="77777777" w:rsidR="00591D54" w:rsidRDefault="00591D54">
      <w:pPr>
        <w:shd w:val="clear" w:color="auto" w:fill="FFFFFF"/>
        <w:spacing w:before="514" w:line="178" w:lineRule="exact"/>
        <w:ind w:left="139" w:hanging="139"/>
      </w:pPr>
      <w:r>
        <w:rPr>
          <w:spacing w:val="-51"/>
          <w:sz w:val="14"/>
          <w:szCs w:val="14"/>
          <w:vertAlign w:val="superscript"/>
          <w:lang w:val="es-ES_tradnl"/>
        </w:rPr>
        <w:t>11</w:t>
      </w:r>
      <w:r>
        <w:rPr>
          <w:spacing w:val="-51"/>
          <w:sz w:val="14"/>
          <w:szCs w:val="14"/>
          <w:lang w:val="es-ES_tradnl"/>
        </w:rPr>
        <w:t xml:space="preserve"> </w:t>
      </w:r>
      <w:r>
        <w:rPr>
          <w:sz w:val="14"/>
          <w:szCs w:val="14"/>
          <w:lang w:val="es-ES_tradnl"/>
        </w:rPr>
        <w:t>Corte Constitucional del Ecuador, sentencia N.</w:t>
      </w:r>
      <w:r>
        <w:rPr>
          <w:rFonts w:cs="Times New Roman"/>
          <w:sz w:val="14"/>
          <w:szCs w:val="14"/>
          <w:lang w:val="es-ES_tradnl"/>
        </w:rPr>
        <w:t>°</w:t>
      </w:r>
      <w:r>
        <w:rPr>
          <w:sz w:val="14"/>
          <w:szCs w:val="14"/>
          <w:lang w:val="es-ES_tradnl"/>
        </w:rPr>
        <w:t xml:space="preserve"> 0016-13-SEP-CC, caso N.</w:t>
      </w:r>
      <w:r>
        <w:rPr>
          <w:rFonts w:cs="Times New Roman"/>
          <w:sz w:val="14"/>
          <w:szCs w:val="14"/>
          <w:lang w:val="es-ES_tradnl"/>
        </w:rPr>
        <w:t>°</w:t>
      </w:r>
      <w:r>
        <w:rPr>
          <w:sz w:val="14"/>
          <w:szCs w:val="14"/>
          <w:lang w:val="es-ES_tradnl"/>
        </w:rPr>
        <w:t xml:space="preserve"> 1000-12-EP</w:t>
      </w:r>
    </w:p>
    <w:p w14:paraId="4F67B665" w14:textId="77777777" w:rsidR="00591D54" w:rsidRDefault="00591D54">
      <w:pPr>
        <w:shd w:val="clear" w:color="auto" w:fill="FFFFFF"/>
        <w:spacing w:line="211" w:lineRule="exact"/>
        <w:jc w:val="both"/>
      </w:pPr>
      <w:r>
        <w:br w:type="column"/>
      </w:r>
      <w:r>
        <w:rPr>
          <w:rFonts w:cs="Times New Roman"/>
          <w:spacing w:val="-7"/>
          <w:sz w:val="18"/>
          <w:szCs w:val="18"/>
          <w:lang w:val="es-ES_tradnl"/>
        </w:rPr>
        <w:t>“</w:t>
      </w:r>
      <w:r>
        <w:rPr>
          <w:spacing w:val="-7"/>
          <w:sz w:val="18"/>
          <w:szCs w:val="18"/>
          <w:lang w:val="es-ES_tradnl"/>
        </w:rPr>
        <w:t>(</w:t>
      </w:r>
      <w:r>
        <w:rPr>
          <w:rFonts w:cs="Times New Roman"/>
          <w:spacing w:val="-7"/>
          <w:sz w:val="18"/>
          <w:szCs w:val="18"/>
          <w:lang w:val="es-ES_tradnl"/>
        </w:rPr>
        <w:t>…</w:t>
      </w:r>
      <w:r>
        <w:rPr>
          <w:spacing w:val="-7"/>
          <w:sz w:val="18"/>
          <w:szCs w:val="18"/>
          <w:lang w:val="es-ES_tradnl"/>
        </w:rPr>
        <w:t>) Las Constituciones de nuestros pa</w:t>
      </w:r>
      <w:r>
        <w:rPr>
          <w:rFonts w:cs="Times New Roman"/>
          <w:spacing w:val="-7"/>
          <w:sz w:val="18"/>
          <w:szCs w:val="18"/>
          <w:lang w:val="es-ES_tradnl"/>
        </w:rPr>
        <w:t>í</w:t>
      </w:r>
      <w:r>
        <w:rPr>
          <w:spacing w:val="-7"/>
          <w:sz w:val="18"/>
          <w:szCs w:val="18"/>
          <w:lang w:val="es-ES_tradnl"/>
        </w:rPr>
        <w:t xml:space="preserve">ses garantizan la </w:t>
      </w:r>
      <w:r>
        <w:rPr>
          <w:spacing w:val="-8"/>
          <w:sz w:val="18"/>
          <w:szCs w:val="18"/>
          <w:lang w:val="es-ES_tradnl"/>
        </w:rPr>
        <w:t>seguridad jur</w:t>
      </w:r>
      <w:r>
        <w:rPr>
          <w:rFonts w:cs="Times New Roman"/>
          <w:spacing w:val="-8"/>
          <w:sz w:val="18"/>
          <w:szCs w:val="18"/>
          <w:lang w:val="es-ES_tradnl"/>
        </w:rPr>
        <w:t>í</w:t>
      </w:r>
      <w:r>
        <w:rPr>
          <w:spacing w:val="-8"/>
          <w:sz w:val="18"/>
          <w:szCs w:val="18"/>
          <w:lang w:val="es-ES_tradnl"/>
        </w:rPr>
        <w:t>dica a trav</w:t>
      </w:r>
      <w:r>
        <w:rPr>
          <w:rFonts w:cs="Times New Roman"/>
          <w:spacing w:val="-8"/>
          <w:sz w:val="18"/>
          <w:szCs w:val="18"/>
          <w:lang w:val="es-ES_tradnl"/>
        </w:rPr>
        <w:t>é</w:t>
      </w:r>
      <w:r>
        <w:rPr>
          <w:spacing w:val="-8"/>
          <w:sz w:val="18"/>
          <w:szCs w:val="18"/>
          <w:lang w:val="es-ES_tradnl"/>
        </w:rPr>
        <w:t xml:space="preserve">s de algunas concreciones como: </w:t>
      </w:r>
      <w:r>
        <w:rPr>
          <w:spacing w:val="-3"/>
          <w:sz w:val="18"/>
          <w:szCs w:val="18"/>
          <w:lang w:val="es-ES_tradnl"/>
        </w:rPr>
        <w:t xml:space="preserve">el principio de la legalidad, la publicidad de las normas, </w:t>
      </w:r>
      <w:r>
        <w:rPr>
          <w:spacing w:val="-6"/>
          <w:sz w:val="18"/>
          <w:szCs w:val="18"/>
          <w:lang w:val="es-ES_tradnl"/>
        </w:rPr>
        <w:t xml:space="preserve">la irretroactividad de las disposiciones sancionadoras no </w:t>
      </w:r>
      <w:r>
        <w:rPr>
          <w:spacing w:val="-7"/>
          <w:sz w:val="18"/>
          <w:szCs w:val="18"/>
          <w:lang w:val="es-ES_tradnl"/>
        </w:rPr>
        <w:t>favorables o restrictivas de derechos individuales (</w:t>
      </w:r>
      <w:r>
        <w:rPr>
          <w:rFonts w:cs="Times New Roman"/>
          <w:spacing w:val="-7"/>
          <w:sz w:val="18"/>
          <w:szCs w:val="18"/>
          <w:lang w:val="es-ES_tradnl"/>
        </w:rPr>
        <w:t>…</w:t>
      </w:r>
      <w:r>
        <w:rPr>
          <w:spacing w:val="-7"/>
          <w:sz w:val="18"/>
          <w:szCs w:val="18"/>
          <w:lang w:val="es-ES_tradnl"/>
        </w:rPr>
        <w:t>)</w:t>
      </w:r>
      <w:r>
        <w:rPr>
          <w:rFonts w:cs="Times New Roman"/>
          <w:spacing w:val="-7"/>
          <w:sz w:val="18"/>
          <w:szCs w:val="18"/>
          <w:lang w:val="es-ES_tradnl"/>
        </w:rPr>
        <w:t>”</w:t>
      </w:r>
      <w:r>
        <w:rPr>
          <w:spacing w:val="-7"/>
          <w:sz w:val="18"/>
          <w:szCs w:val="18"/>
          <w:lang w:val="es-ES_tradnl"/>
        </w:rPr>
        <w:t>.</w:t>
      </w:r>
      <w:r>
        <w:rPr>
          <w:spacing w:val="-7"/>
          <w:sz w:val="18"/>
          <w:szCs w:val="18"/>
          <w:vertAlign w:val="superscript"/>
          <w:lang w:val="es-ES_tradnl"/>
        </w:rPr>
        <w:t>12</w:t>
      </w:r>
    </w:p>
    <w:p w14:paraId="4F67B666" w14:textId="77777777" w:rsidR="00591D54" w:rsidRDefault="00591D54">
      <w:pPr>
        <w:shd w:val="clear" w:color="auto" w:fill="FFFFFF"/>
        <w:spacing w:before="197" w:line="216" w:lineRule="exact"/>
        <w:jc w:val="both"/>
      </w:pPr>
      <w:r>
        <w:rPr>
          <w:spacing w:val="-6"/>
          <w:sz w:val="18"/>
          <w:szCs w:val="18"/>
          <w:lang w:val="es-ES_tradnl"/>
        </w:rPr>
        <w:t>El citado principio se encuentra establecido en el art</w:t>
      </w:r>
      <w:r>
        <w:rPr>
          <w:rFonts w:cs="Times New Roman"/>
          <w:spacing w:val="-6"/>
          <w:sz w:val="18"/>
          <w:szCs w:val="18"/>
          <w:lang w:val="es-ES_tradnl"/>
        </w:rPr>
        <w:t>í</w:t>
      </w:r>
      <w:r>
        <w:rPr>
          <w:spacing w:val="-6"/>
          <w:sz w:val="18"/>
          <w:szCs w:val="18"/>
          <w:lang w:val="es-ES_tradnl"/>
        </w:rPr>
        <w:t xml:space="preserve">culo </w:t>
      </w:r>
      <w:r>
        <w:rPr>
          <w:spacing w:val="-8"/>
          <w:sz w:val="18"/>
          <w:szCs w:val="18"/>
          <w:lang w:val="es-ES_tradnl"/>
        </w:rPr>
        <w:t>226 de la Constituci</w:t>
      </w:r>
      <w:r>
        <w:rPr>
          <w:rFonts w:cs="Times New Roman"/>
          <w:spacing w:val="-8"/>
          <w:sz w:val="18"/>
          <w:szCs w:val="18"/>
          <w:lang w:val="es-ES_tradnl"/>
        </w:rPr>
        <w:t>ó</w:t>
      </w:r>
      <w:r>
        <w:rPr>
          <w:spacing w:val="-8"/>
          <w:sz w:val="18"/>
          <w:szCs w:val="18"/>
          <w:lang w:val="es-ES_tradnl"/>
        </w:rPr>
        <w:t>n de la Rep</w:t>
      </w:r>
      <w:r>
        <w:rPr>
          <w:rFonts w:cs="Times New Roman"/>
          <w:spacing w:val="-8"/>
          <w:sz w:val="18"/>
          <w:szCs w:val="18"/>
          <w:lang w:val="es-ES_tradnl"/>
        </w:rPr>
        <w:t>ú</w:t>
      </w:r>
      <w:r>
        <w:rPr>
          <w:spacing w:val="-8"/>
          <w:sz w:val="18"/>
          <w:szCs w:val="18"/>
          <w:lang w:val="es-ES_tradnl"/>
        </w:rPr>
        <w:t xml:space="preserve">blica, que prescribe: </w:t>
      </w:r>
      <w:r>
        <w:rPr>
          <w:rFonts w:cs="Times New Roman"/>
          <w:spacing w:val="-8"/>
          <w:sz w:val="18"/>
          <w:szCs w:val="18"/>
          <w:lang w:val="es-ES_tradnl"/>
        </w:rPr>
        <w:t>“</w:t>
      </w:r>
      <w:r>
        <w:rPr>
          <w:spacing w:val="-8"/>
          <w:sz w:val="18"/>
          <w:szCs w:val="18"/>
          <w:lang w:val="es-ES_tradnl"/>
        </w:rPr>
        <w:t xml:space="preserve">Las </w:t>
      </w:r>
      <w:r>
        <w:rPr>
          <w:spacing w:val="-9"/>
          <w:sz w:val="18"/>
          <w:szCs w:val="18"/>
          <w:lang w:val="es-ES_tradnl"/>
        </w:rPr>
        <w:t>instituciones del Estado, sus organismos, dependencias, las servidoras o servidores p</w:t>
      </w:r>
      <w:r>
        <w:rPr>
          <w:rFonts w:cs="Times New Roman"/>
          <w:spacing w:val="-9"/>
          <w:sz w:val="18"/>
          <w:szCs w:val="18"/>
          <w:lang w:val="es-ES_tradnl"/>
        </w:rPr>
        <w:t>ú</w:t>
      </w:r>
      <w:r>
        <w:rPr>
          <w:spacing w:val="-9"/>
          <w:sz w:val="18"/>
          <w:szCs w:val="18"/>
          <w:lang w:val="es-ES_tradnl"/>
        </w:rPr>
        <w:t>blicos y las personas que act</w:t>
      </w:r>
      <w:r>
        <w:rPr>
          <w:rFonts w:cs="Times New Roman"/>
          <w:spacing w:val="-9"/>
          <w:sz w:val="18"/>
          <w:szCs w:val="18"/>
          <w:lang w:val="es-ES_tradnl"/>
        </w:rPr>
        <w:t>ú</w:t>
      </w:r>
      <w:r>
        <w:rPr>
          <w:spacing w:val="-9"/>
          <w:sz w:val="18"/>
          <w:szCs w:val="18"/>
          <w:lang w:val="es-ES_tradnl"/>
        </w:rPr>
        <w:t xml:space="preserve">en </w:t>
      </w:r>
      <w:r>
        <w:rPr>
          <w:spacing w:val="-7"/>
          <w:sz w:val="18"/>
          <w:szCs w:val="18"/>
          <w:lang w:val="es-ES_tradnl"/>
        </w:rPr>
        <w:t>en virtud de una potestad estatal ejercer</w:t>
      </w:r>
      <w:r>
        <w:rPr>
          <w:rFonts w:cs="Times New Roman"/>
          <w:spacing w:val="-7"/>
          <w:sz w:val="18"/>
          <w:szCs w:val="18"/>
          <w:lang w:val="es-ES_tradnl"/>
        </w:rPr>
        <w:t>á</w:t>
      </w:r>
      <w:r>
        <w:rPr>
          <w:spacing w:val="-7"/>
          <w:sz w:val="18"/>
          <w:szCs w:val="18"/>
          <w:lang w:val="es-ES_tradnl"/>
        </w:rPr>
        <w:t xml:space="preserve">n solamente las </w:t>
      </w:r>
      <w:r>
        <w:rPr>
          <w:spacing w:val="-8"/>
          <w:sz w:val="18"/>
          <w:szCs w:val="18"/>
          <w:lang w:val="es-ES_tradnl"/>
        </w:rPr>
        <w:t xml:space="preserve">competencias y facultades que les sean atribuidas en la </w:t>
      </w:r>
      <w:r>
        <w:rPr>
          <w:sz w:val="18"/>
          <w:szCs w:val="18"/>
          <w:lang w:val="es-ES_tradnl"/>
        </w:rPr>
        <w:t>Constituci</w:t>
      </w:r>
      <w:r>
        <w:rPr>
          <w:rFonts w:cs="Times New Roman"/>
          <w:sz w:val="18"/>
          <w:szCs w:val="18"/>
          <w:lang w:val="es-ES_tradnl"/>
        </w:rPr>
        <w:t>ó</w:t>
      </w:r>
      <w:r>
        <w:rPr>
          <w:sz w:val="18"/>
          <w:szCs w:val="18"/>
          <w:lang w:val="es-ES_tradnl"/>
        </w:rPr>
        <w:t>n y la ley (</w:t>
      </w:r>
      <w:r>
        <w:rPr>
          <w:rFonts w:cs="Times New Roman"/>
          <w:sz w:val="18"/>
          <w:szCs w:val="18"/>
          <w:lang w:val="es-ES_tradnl"/>
        </w:rPr>
        <w:t>…</w:t>
      </w:r>
      <w:r>
        <w:rPr>
          <w:sz w:val="18"/>
          <w:szCs w:val="18"/>
          <w:lang w:val="es-ES_tradnl"/>
        </w:rPr>
        <w:t>)</w:t>
      </w:r>
      <w:r>
        <w:rPr>
          <w:rFonts w:cs="Times New Roman"/>
          <w:sz w:val="18"/>
          <w:szCs w:val="18"/>
          <w:lang w:val="es-ES_tradnl"/>
        </w:rPr>
        <w:t>”</w:t>
      </w:r>
      <w:r>
        <w:rPr>
          <w:sz w:val="18"/>
          <w:szCs w:val="18"/>
          <w:lang w:val="es-ES_tradnl"/>
        </w:rPr>
        <w:t>.</w:t>
      </w:r>
    </w:p>
    <w:p w14:paraId="4F67B667" w14:textId="77777777" w:rsidR="00591D54" w:rsidRDefault="00591D54">
      <w:pPr>
        <w:shd w:val="clear" w:color="auto" w:fill="FFFFFF"/>
        <w:spacing w:before="197" w:line="216" w:lineRule="exact"/>
        <w:jc w:val="both"/>
      </w:pPr>
      <w:r>
        <w:rPr>
          <w:sz w:val="18"/>
          <w:szCs w:val="18"/>
          <w:lang w:val="es-ES_tradnl"/>
        </w:rPr>
        <w:t>En aplicaci</w:t>
      </w:r>
      <w:r>
        <w:rPr>
          <w:rFonts w:cs="Times New Roman"/>
          <w:sz w:val="18"/>
          <w:szCs w:val="18"/>
          <w:lang w:val="es-ES_tradnl"/>
        </w:rPr>
        <w:t>ó</w:t>
      </w:r>
      <w:r>
        <w:rPr>
          <w:sz w:val="18"/>
          <w:szCs w:val="18"/>
          <w:lang w:val="es-ES_tradnl"/>
        </w:rPr>
        <w:t xml:space="preserve">n del mismo, esta Corte debe identificar </w:t>
      </w:r>
      <w:r>
        <w:rPr>
          <w:spacing w:val="-7"/>
          <w:sz w:val="18"/>
          <w:szCs w:val="18"/>
          <w:lang w:val="es-ES_tradnl"/>
        </w:rPr>
        <w:t>en este punto, si el derecho a la seguridad jur</w:t>
      </w:r>
      <w:r>
        <w:rPr>
          <w:rFonts w:cs="Times New Roman"/>
          <w:spacing w:val="-7"/>
          <w:sz w:val="18"/>
          <w:szCs w:val="18"/>
          <w:lang w:val="es-ES_tradnl"/>
        </w:rPr>
        <w:t>í</w:t>
      </w:r>
      <w:r>
        <w:rPr>
          <w:spacing w:val="-7"/>
          <w:sz w:val="18"/>
          <w:szCs w:val="18"/>
          <w:lang w:val="es-ES_tradnl"/>
        </w:rPr>
        <w:t>dica se transgredi</w:t>
      </w:r>
      <w:r>
        <w:rPr>
          <w:rFonts w:cs="Times New Roman"/>
          <w:spacing w:val="-7"/>
          <w:sz w:val="18"/>
          <w:szCs w:val="18"/>
          <w:lang w:val="es-ES_tradnl"/>
        </w:rPr>
        <w:t>ó</w:t>
      </w:r>
      <w:r>
        <w:rPr>
          <w:spacing w:val="-7"/>
          <w:sz w:val="18"/>
          <w:szCs w:val="18"/>
          <w:lang w:val="es-ES_tradnl"/>
        </w:rPr>
        <w:t xml:space="preserve"> por las autoridades jurisdiccionales, al resolver las controversias sometidas a su conocimiento, siendo su </w:t>
      </w:r>
      <w:r>
        <w:rPr>
          <w:spacing w:val="-6"/>
          <w:sz w:val="18"/>
          <w:szCs w:val="18"/>
          <w:lang w:val="es-ES_tradnl"/>
        </w:rPr>
        <w:t>obligaci</w:t>
      </w:r>
      <w:r>
        <w:rPr>
          <w:rFonts w:cs="Times New Roman"/>
          <w:spacing w:val="-6"/>
          <w:sz w:val="18"/>
          <w:szCs w:val="18"/>
          <w:lang w:val="es-ES_tradnl"/>
        </w:rPr>
        <w:t>ó</w:t>
      </w:r>
      <w:r>
        <w:rPr>
          <w:spacing w:val="-6"/>
          <w:sz w:val="18"/>
          <w:szCs w:val="18"/>
          <w:lang w:val="es-ES_tradnl"/>
        </w:rPr>
        <w:t xml:space="preserve">n la de observar la normativa vigente aplicable al </w:t>
      </w:r>
      <w:r>
        <w:rPr>
          <w:sz w:val="18"/>
          <w:szCs w:val="18"/>
          <w:lang w:val="es-ES_tradnl"/>
        </w:rPr>
        <w:t>caso concreto.</w:t>
      </w:r>
    </w:p>
    <w:p w14:paraId="4F67B668" w14:textId="77777777" w:rsidR="00591D54" w:rsidRDefault="00591D54">
      <w:pPr>
        <w:shd w:val="clear" w:color="auto" w:fill="FFFFFF"/>
        <w:spacing w:before="192" w:line="216" w:lineRule="exact"/>
        <w:jc w:val="both"/>
      </w:pPr>
      <w:r>
        <w:rPr>
          <w:spacing w:val="-7"/>
          <w:sz w:val="18"/>
          <w:szCs w:val="18"/>
          <w:lang w:val="es-ES_tradnl"/>
        </w:rPr>
        <w:t>En este sentido, el accionante se</w:t>
      </w:r>
      <w:r>
        <w:rPr>
          <w:rFonts w:cs="Times New Roman"/>
          <w:spacing w:val="-7"/>
          <w:sz w:val="18"/>
          <w:szCs w:val="18"/>
          <w:lang w:val="es-ES_tradnl"/>
        </w:rPr>
        <w:t>ñ</w:t>
      </w:r>
      <w:r>
        <w:rPr>
          <w:spacing w:val="-7"/>
          <w:sz w:val="18"/>
          <w:szCs w:val="18"/>
          <w:lang w:val="es-ES_tradnl"/>
        </w:rPr>
        <w:t>al</w:t>
      </w:r>
      <w:r>
        <w:rPr>
          <w:rFonts w:cs="Times New Roman"/>
          <w:spacing w:val="-7"/>
          <w:sz w:val="18"/>
          <w:szCs w:val="18"/>
          <w:lang w:val="es-ES_tradnl"/>
        </w:rPr>
        <w:t>ó</w:t>
      </w:r>
      <w:r>
        <w:rPr>
          <w:spacing w:val="-7"/>
          <w:sz w:val="18"/>
          <w:szCs w:val="18"/>
          <w:lang w:val="es-ES_tradnl"/>
        </w:rPr>
        <w:t xml:space="preserve"> que el auto del 5 de </w:t>
      </w:r>
      <w:r>
        <w:rPr>
          <w:spacing w:val="-9"/>
          <w:sz w:val="18"/>
          <w:szCs w:val="18"/>
          <w:lang w:val="es-ES_tradnl"/>
        </w:rPr>
        <w:t>agosto de 2011, en el cual, el Tribunal Arbitral de la C</w:t>
      </w:r>
      <w:r>
        <w:rPr>
          <w:rFonts w:cs="Times New Roman"/>
          <w:spacing w:val="-9"/>
          <w:sz w:val="18"/>
          <w:szCs w:val="18"/>
          <w:lang w:val="es-ES_tradnl"/>
        </w:rPr>
        <w:t>á</w:t>
      </w:r>
      <w:r>
        <w:rPr>
          <w:spacing w:val="-9"/>
          <w:sz w:val="18"/>
          <w:szCs w:val="18"/>
          <w:lang w:val="es-ES_tradnl"/>
        </w:rPr>
        <w:t xml:space="preserve">mara </w:t>
      </w:r>
      <w:r>
        <w:rPr>
          <w:spacing w:val="-10"/>
          <w:sz w:val="18"/>
          <w:szCs w:val="18"/>
          <w:lang w:val="es-ES_tradnl"/>
        </w:rPr>
        <w:t>de Comercio de Quito ratific</w:t>
      </w:r>
      <w:r>
        <w:rPr>
          <w:rFonts w:cs="Times New Roman"/>
          <w:spacing w:val="-10"/>
          <w:sz w:val="18"/>
          <w:szCs w:val="18"/>
          <w:lang w:val="es-ES_tradnl"/>
        </w:rPr>
        <w:t>ó</w:t>
      </w:r>
      <w:r>
        <w:rPr>
          <w:spacing w:val="-10"/>
          <w:sz w:val="18"/>
          <w:szCs w:val="18"/>
          <w:lang w:val="es-ES_tradnl"/>
        </w:rPr>
        <w:t xml:space="preserve"> y ampli</w:t>
      </w:r>
      <w:r>
        <w:rPr>
          <w:rFonts w:cs="Times New Roman"/>
          <w:spacing w:val="-10"/>
          <w:sz w:val="18"/>
          <w:szCs w:val="18"/>
          <w:lang w:val="es-ES_tradnl"/>
        </w:rPr>
        <w:t>ó</w:t>
      </w:r>
      <w:r>
        <w:rPr>
          <w:spacing w:val="-10"/>
          <w:sz w:val="18"/>
          <w:szCs w:val="18"/>
          <w:lang w:val="es-ES_tradnl"/>
        </w:rPr>
        <w:t xml:space="preserve"> su fundamento sobre </w:t>
      </w:r>
      <w:r>
        <w:rPr>
          <w:spacing w:val="-8"/>
          <w:sz w:val="18"/>
          <w:szCs w:val="18"/>
          <w:lang w:val="es-ES_tradnl"/>
        </w:rPr>
        <w:t>el monto de la cauci</w:t>
      </w:r>
      <w:r>
        <w:rPr>
          <w:rFonts w:cs="Times New Roman"/>
          <w:spacing w:val="-8"/>
          <w:sz w:val="18"/>
          <w:szCs w:val="18"/>
          <w:lang w:val="es-ES_tradnl"/>
        </w:rPr>
        <w:t>ó</w:t>
      </w:r>
      <w:r>
        <w:rPr>
          <w:spacing w:val="-8"/>
          <w:sz w:val="18"/>
          <w:szCs w:val="18"/>
          <w:lang w:val="es-ES_tradnl"/>
        </w:rPr>
        <w:t xml:space="preserve">n establecida en el auto del 26 de julio </w:t>
      </w:r>
      <w:r>
        <w:rPr>
          <w:spacing w:val="-9"/>
          <w:sz w:val="18"/>
          <w:szCs w:val="18"/>
          <w:lang w:val="es-ES_tradnl"/>
        </w:rPr>
        <w:t xml:space="preserve">de 2011, para poder suspender los efectos del laudo arbitral </w:t>
      </w:r>
      <w:r>
        <w:rPr>
          <w:spacing w:val="-8"/>
          <w:sz w:val="18"/>
          <w:szCs w:val="18"/>
          <w:lang w:val="es-ES_tradnl"/>
        </w:rPr>
        <w:t>al interponerse la acci</w:t>
      </w:r>
      <w:r>
        <w:rPr>
          <w:rFonts w:cs="Times New Roman"/>
          <w:spacing w:val="-8"/>
          <w:sz w:val="18"/>
          <w:szCs w:val="18"/>
          <w:lang w:val="es-ES_tradnl"/>
        </w:rPr>
        <w:t>ó</w:t>
      </w:r>
      <w:r>
        <w:rPr>
          <w:spacing w:val="-8"/>
          <w:sz w:val="18"/>
          <w:szCs w:val="18"/>
          <w:lang w:val="es-ES_tradnl"/>
        </w:rPr>
        <w:t>n de nulidad, vulner</w:t>
      </w:r>
      <w:r>
        <w:rPr>
          <w:rFonts w:cs="Times New Roman"/>
          <w:spacing w:val="-8"/>
          <w:sz w:val="18"/>
          <w:szCs w:val="18"/>
          <w:lang w:val="es-ES_tradnl"/>
        </w:rPr>
        <w:t>ó</w:t>
      </w:r>
      <w:r>
        <w:rPr>
          <w:spacing w:val="-8"/>
          <w:sz w:val="18"/>
          <w:szCs w:val="18"/>
          <w:lang w:val="es-ES_tradnl"/>
        </w:rPr>
        <w:t xml:space="preserve"> el derecho a la </w:t>
      </w:r>
      <w:r>
        <w:rPr>
          <w:spacing w:val="-5"/>
          <w:sz w:val="18"/>
          <w:szCs w:val="18"/>
          <w:lang w:val="es-ES_tradnl"/>
        </w:rPr>
        <w:t>seguridad jur</w:t>
      </w:r>
      <w:r>
        <w:rPr>
          <w:rFonts w:cs="Times New Roman"/>
          <w:spacing w:val="-5"/>
          <w:sz w:val="18"/>
          <w:szCs w:val="18"/>
          <w:lang w:val="es-ES_tradnl"/>
        </w:rPr>
        <w:t>í</w:t>
      </w:r>
      <w:r>
        <w:rPr>
          <w:spacing w:val="-5"/>
          <w:sz w:val="18"/>
          <w:szCs w:val="18"/>
          <w:lang w:val="es-ES_tradnl"/>
        </w:rPr>
        <w:t>dica, porque dicho Tribunal Arbitral carec</w:t>
      </w:r>
      <w:r>
        <w:rPr>
          <w:rFonts w:cs="Times New Roman"/>
          <w:spacing w:val="-5"/>
          <w:sz w:val="18"/>
          <w:szCs w:val="18"/>
          <w:lang w:val="es-ES_tradnl"/>
        </w:rPr>
        <w:t>í</w:t>
      </w:r>
      <w:r>
        <w:rPr>
          <w:spacing w:val="-5"/>
          <w:sz w:val="18"/>
          <w:szCs w:val="18"/>
          <w:lang w:val="es-ES_tradnl"/>
        </w:rPr>
        <w:t xml:space="preserve">a </w:t>
      </w:r>
      <w:r>
        <w:rPr>
          <w:spacing w:val="-8"/>
          <w:sz w:val="18"/>
          <w:szCs w:val="18"/>
          <w:lang w:val="es-ES_tradnl"/>
        </w:rPr>
        <w:t>de competencia en virtud de lo dispuesto en el art</w:t>
      </w:r>
      <w:r>
        <w:rPr>
          <w:rFonts w:cs="Times New Roman"/>
          <w:spacing w:val="-8"/>
          <w:sz w:val="18"/>
          <w:szCs w:val="18"/>
          <w:lang w:val="es-ES_tradnl"/>
        </w:rPr>
        <w:t>í</w:t>
      </w:r>
      <w:r>
        <w:rPr>
          <w:spacing w:val="-8"/>
          <w:sz w:val="18"/>
          <w:szCs w:val="18"/>
          <w:lang w:val="es-ES_tradnl"/>
        </w:rPr>
        <w:t xml:space="preserve">culo 190 </w:t>
      </w:r>
      <w:r>
        <w:rPr>
          <w:spacing w:val="-7"/>
          <w:sz w:val="18"/>
          <w:szCs w:val="18"/>
          <w:lang w:val="es-ES_tradnl"/>
        </w:rPr>
        <w:t>de 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blica</w:t>
      </w:r>
      <w:r>
        <w:rPr>
          <w:spacing w:val="-7"/>
          <w:sz w:val="18"/>
          <w:szCs w:val="18"/>
          <w:vertAlign w:val="superscript"/>
          <w:lang w:val="es-ES_tradnl"/>
        </w:rPr>
        <w:t>13</w:t>
      </w:r>
      <w:r>
        <w:rPr>
          <w:spacing w:val="-7"/>
          <w:sz w:val="18"/>
          <w:szCs w:val="18"/>
          <w:lang w:val="es-ES_tradnl"/>
        </w:rPr>
        <w:t xml:space="preserve">, ya que el convenio </w:t>
      </w:r>
      <w:r>
        <w:rPr>
          <w:spacing w:val="-8"/>
          <w:sz w:val="18"/>
          <w:szCs w:val="18"/>
          <w:lang w:val="es-ES_tradnl"/>
        </w:rPr>
        <w:t xml:space="preserve">arbitral no contaba con un pronunciamiento favorable de la </w:t>
      </w:r>
      <w:r>
        <w:rPr>
          <w:spacing w:val="-11"/>
          <w:sz w:val="18"/>
          <w:szCs w:val="18"/>
          <w:lang w:val="es-ES_tradnl"/>
        </w:rPr>
        <w:t>Procuradur</w:t>
      </w:r>
      <w:r>
        <w:rPr>
          <w:rFonts w:cs="Times New Roman"/>
          <w:spacing w:val="-11"/>
          <w:sz w:val="18"/>
          <w:szCs w:val="18"/>
          <w:lang w:val="es-ES_tradnl"/>
        </w:rPr>
        <w:t>í</w:t>
      </w:r>
      <w:r>
        <w:rPr>
          <w:spacing w:val="-11"/>
          <w:sz w:val="18"/>
          <w:szCs w:val="18"/>
          <w:lang w:val="es-ES_tradnl"/>
        </w:rPr>
        <w:t xml:space="preserve">a General del Estado para que puedan las partes </w:t>
      </w:r>
      <w:r>
        <w:rPr>
          <w:sz w:val="18"/>
          <w:szCs w:val="18"/>
          <w:lang w:val="es-ES_tradnl"/>
        </w:rPr>
        <w:t>someterse a un arbitraje en derecho.</w:t>
      </w:r>
    </w:p>
    <w:p w14:paraId="4F67B669" w14:textId="77777777" w:rsidR="00591D54" w:rsidRDefault="00591D54">
      <w:pPr>
        <w:shd w:val="clear" w:color="auto" w:fill="FFFFFF"/>
        <w:spacing w:before="192" w:line="216" w:lineRule="exact"/>
        <w:jc w:val="both"/>
      </w:pPr>
      <w:r>
        <w:rPr>
          <w:spacing w:val="-10"/>
          <w:sz w:val="18"/>
          <w:szCs w:val="18"/>
          <w:lang w:val="es-ES_tradnl"/>
        </w:rPr>
        <w:t>Con los antecedentes se</w:t>
      </w:r>
      <w:r>
        <w:rPr>
          <w:rFonts w:cs="Times New Roman"/>
          <w:spacing w:val="-10"/>
          <w:sz w:val="18"/>
          <w:szCs w:val="18"/>
          <w:lang w:val="es-ES_tradnl"/>
        </w:rPr>
        <w:t>ñ</w:t>
      </w:r>
      <w:r>
        <w:rPr>
          <w:spacing w:val="-10"/>
          <w:sz w:val="18"/>
          <w:szCs w:val="18"/>
          <w:lang w:val="es-ES_tradnl"/>
        </w:rPr>
        <w:t xml:space="preserve">alados, corresponde a esta Corte </w:t>
      </w:r>
      <w:r>
        <w:rPr>
          <w:spacing w:val="-4"/>
          <w:sz w:val="18"/>
          <w:szCs w:val="18"/>
          <w:lang w:val="es-ES_tradnl"/>
        </w:rPr>
        <w:t>analizar si el Tribunal Arbitral observ</w:t>
      </w:r>
      <w:r>
        <w:rPr>
          <w:rFonts w:cs="Times New Roman"/>
          <w:spacing w:val="-4"/>
          <w:sz w:val="18"/>
          <w:szCs w:val="18"/>
          <w:lang w:val="es-ES_tradnl"/>
        </w:rPr>
        <w:t>ó</w:t>
      </w:r>
      <w:r>
        <w:rPr>
          <w:spacing w:val="-4"/>
          <w:sz w:val="18"/>
          <w:szCs w:val="18"/>
          <w:lang w:val="es-ES_tradnl"/>
        </w:rPr>
        <w:t xml:space="preserve"> la normativa </w:t>
      </w:r>
      <w:r>
        <w:rPr>
          <w:spacing w:val="-2"/>
          <w:sz w:val="18"/>
          <w:szCs w:val="18"/>
          <w:lang w:val="es-ES_tradnl"/>
        </w:rPr>
        <w:t xml:space="preserve">constitucional y en virtud de aquello, si gozaba de </w:t>
      </w:r>
      <w:r>
        <w:rPr>
          <w:spacing w:val="-6"/>
          <w:sz w:val="18"/>
          <w:szCs w:val="18"/>
          <w:lang w:val="es-ES_tradnl"/>
        </w:rPr>
        <w:t xml:space="preserve">competencia para dictar el auto del 5 de agosto de 2011, </w:t>
      </w:r>
      <w:r>
        <w:rPr>
          <w:spacing w:val="-4"/>
          <w:sz w:val="18"/>
          <w:szCs w:val="18"/>
          <w:lang w:val="es-ES_tradnl"/>
        </w:rPr>
        <w:t>en el cual ratific</w:t>
      </w:r>
      <w:r>
        <w:rPr>
          <w:rFonts w:cs="Times New Roman"/>
          <w:spacing w:val="-4"/>
          <w:sz w:val="18"/>
          <w:szCs w:val="18"/>
          <w:lang w:val="es-ES_tradnl"/>
        </w:rPr>
        <w:t>ó</w:t>
      </w:r>
      <w:r>
        <w:rPr>
          <w:spacing w:val="-4"/>
          <w:sz w:val="18"/>
          <w:szCs w:val="18"/>
          <w:lang w:val="es-ES_tradnl"/>
        </w:rPr>
        <w:t xml:space="preserve"> la decisi</w:t>
      </w:r>
      <w:r>
        <w:rPr>
          <w:rFonts w:cs="Times New Roman"/>
          <w:spacing w:val="-4"/>
          <w:sz w:val="18"/>
          <w:szCs w:val="18"/>
          <w:lang w:val="es-ES_tradnl"/>
        </w:rPr>
        <w:t>ó</w:t>
      </w:r>
      <w:r>
        <w:rPr>
          <w:spacing w:val="-4"/>
          <w:sz w:val="18"/>
          <w:szCs w:val="18"/>
          <w:lang w:val="es-ES_tradnl"/>
        </w:rPr>
        <w:t>n que estableci</w:t>
      </w:r>
      <w:r>
        <w:rPr>
          <w:rFonts w:cs="Times New Roman"/>
          <w:spacing w:val="-4"/>
          <w:sz w:val="18"/>
          <w:szCs w:val="18"/>
          <w:lang w:val="es-ES_tradnl"/>
        </w:rPr>
        <w:t>ó</w:t>
      </w:r>
      <w:r>
        <w:rPr>
          <w:spacing w:val="-4"/>
          <w:sz w:val="18"/>
          <w:szCs w:val="18"/>
          <w:lang w:val="es-ES_tradnl"/>
        </w:rPr>
        <w:t xml:space="preserve"> el monto de </w:t>
      </w:r>
      <w:r>
        <w:rPr>
          <w:spacing w:val="-8"/>
          <w:sz w:val="18"/>
          <w:szCs w:val="18"/>
          <w:lang w:val="es-ES_tradnl"/>
        </w:rPr>
        <w:t>la cuant</w:t>
      </w:r>
      <w:r>
        <w:rPr>
          <w:rFonts w:cs="Times New Roman"/>
          <w:spacing w:val="-8"/>
          <w:sz w:val="18"/>
          <w:szCs w:val="18"/>
          <w:lang w:val="es-ES_tradnl"/>
        </w:rPr>
        <w:t>í</w:t>
      </w:r>
      <w:r>
        <w:rPr>
          <w:spacing w:val="-8"/>
          <w:sz w:val="18"/>
          <w:szCs w:val="18"/>
          <w:lang w:val="es-ES_tradnl"/>
        </w:rPr>
        <w:t xml:space="preserve">a para suspender los efectos del laudo arbitral, al </w:t>
      </w:r>
      <w:r>
        <w:rPr>
          <w:spacing w:val="-7"/>
          <w:sz w:val="18"/>
          <w:szCs w:val="18"/>
          <w:lang w:val="es-ES_tradnl"/>
        </w:rPr>
        <w:t>interponerse acci</w:t>
      </w:r>
      <w:r>
        <w:rPr>
          <w:rFonts w:cs="Times New Roman"/>
          <w:spacing w:val="-7"/>
          <w:sz w:val="18"/>
          <w:szCs w:val="18"/>
          <w:lang w:val="es-ES_tradnl"/>
        </w:rPr>
        <w:t>ó</w:t>
      </w:r>
      <w:r>
        <w:rPr>
          <w:spacing w:val="-7"/>
          <w:sz w:val="18"/>
          <w:szCs w:val="18"/>
          <w:lang w:val="es-ES_tradnl"/>
        </w:rPr>
        <w:t>n de nulidad contra dicha decisi</w:t>
      </w:r>
      <w:r>
        <w:rPr>
          <w:rFonts w:cs="Times New Roman"/>
          <w:spacing w:val="-7"/>
          <w:sz w:val="18"/>
          <w:szCs w:val="18"/>
          <w:lang w:val="es-ES_tradnl"/>
        </w:rPr>
        <w:t>ó</w:t>
      </w:r>
      <w:r>
        <w:rPr>
          <w:spacing w:val="-7"/>
          <w:sz w:val="18"/>
          <w:szCs w:val="18"/>
          <w:lang w:val="es-ES_tradnl"/>
        </w:rPr>
        <w:t>n.</w:t>
      </w:r>
    </w:p>
    <w:p w14:paraId="4F67B66A" w14:textId="77777777" w:rsidR="00591D54" w:rsidRDefault="00591D54">
      <w:pPr>
        <w:shd w:val="clear" w:color="auto" w:fill="FFFFFF"/>
        <w:spacing w:before="192" w:line="216" w:lineRule="exact"/>
        <w:jc w:val="both"/>
      </w:pPr>
      <w:r>
        <w:rPr>
          <w:spacing w:val="-12"/>
          <w:sz w:val="18"/>
          <w:szCs w:val="18"/>
          <w:lang w:val="es-ES_tradnl"/>
        </w:rPr>
        <w:t xml:space="preserve">En primer lugar, es necesario manifestar que conforme consta </w:t>
      </w:r>
      <w:r>
        <w:rPr>
          <w:spacing w:val="-9"/>
          <w:sz w:val="18"/>
          <w:szCs w:val="18"/>
          <w:lang w:val="es-ES_tradnl"/>
        </w:rPr>
        <w:t>de la documentaci</w:t>
      </w:r>
      <w:r>
        <w:rPr>
          <w:rFonts w:cs="Times New Roman"/>
          <w:spacing w:val="-9"/>
          <w:sz w:val="18"/>
          <w:szCs w:val="18"/>
          <w:lang w:val="es-ES_tradnl"/>
        </w:rPr>
        <w:t>ó</w:t>
      </w:r>
      <w:r>
        <w:rPr>
          <w:spacing w:val="-9"/>
          <w:sz w:val="18"/>
          <w:szCs w:val="18"/>
          <w:lang w:val="es-ES_tradnl"/>
        </w:rPr>
        <w:t xml:space="preserve">n anexa al expediente constitucional, las </w:t>
      </w:r>
      <w:r>
        <w:rPr>
          <w:spacing w:val="-7"/>
          <w:sz w:val="18"/>
          <w:szCs w:val="18"/>
          <w:lang w:val="es-ES_tradnl"/>
        </w:rPr>
        <w:t xml:space="preserve">partes contratantes (TAGSA y Petroecuador) suscribieron los contratos el 28 de noviembre de 2005; para el efecto, a </w:t>
      </w:r>
      <w:r>
        <w:rPr>
          <w:spacing w:val="-6"/>
          <w:sz w:val="18"/>
          <w:szCs w:val="18"/>
          <w:lang w:val="es-ES_tradnl"/>
        </w:rPr>
        <w:t>fin de garantizar el cumplimiento de la seguridad jur</w:t>
      </w:r>
      <w:r>
        <w:rPr>
          <w:rFonts w:cs="Times New Roman"/>
          <w:spacing w:val="-6"/>
          <w:sz w:val="18"/>
          <w:szCs w:val="18"/>
          <w:lang w:val="es-ES_tradnl"/>
        </w:rPr>
        <w:t>í</w:t>
      </w:r>
      <w:r>
        <w:rPr>
          <w:spacing w:val="-6"/>
          <w:sz w:val="18"/>
          <w:szCs w:val="18"/>
          <w:lang w:val="es-ES_tradnl"/>
        </w:rPr>
        <w:t xml:space="preserve">dica, </w:t>
      </w:r>
      <w:r>
        <w:rPr>
          <w:spacing w:val="-7"/>
          <w:sz w:val="18"/>
          <w:szCs w:val="18"/>
          <w:lang w:val="es-ES_tradnl"/>
        </w:rPr>
        <w:t xml:space="preserve">debieron observar las formas contractuales y normativa </w:t>
      </w:r>
      <w:r>
        <w:rPr>
          <w:spacing w:val="-4"/>
          <w:sz w:val="18"/>
          <w:szCs w:val="18"/>
          <w:lang w:val="es-ES_tradnl"/>
        </w:rPr>
        <w:t>vigente a la fecha de su suscripci</w:t>
      </w:r>
      <w:r>
        <w:rPr>
          <w:rFonts w:cs="Times New Roman"/>
          <w:spacing w:val="-4"/>
          <w:sz w:val="18"/>
          <w:szCs w:val="18"/>
          <w:lang w:val="es-ES_tradnl"/>
        </w:rPr>
        <w:t>ó</w:t>
      </w:r>
      <w:r>
        <w:rPr>
          <w:spacing w:val="-4"/>
          <w:sz w:val="18"/>
          <w:szCs w:val="18"/>
          <w:lang w:val="es-ES_tradnl"/>
        </w:rPr>
        <w:t xml:space="preserve">n. Asimismo, ha de </w:t>
      </w:r>
      <w:r>
        <w:rPr>
          <w:spacing w:val="-7"/>
          <w:sz w:val="18"/>
          <w:szCs w:val="18"/>
          <w:lang w:val="es-ES_tradnl"/>
        </w:rPr>
        <w:t>tenerse en cuenta que 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 xml:space="preserve">blica del </w:t>
      </w:r>
      <w:r>
        <w:rPr>
          <w:spacing w:val="-3"/>
          <w:sz w:val="18"/>
          <w:szCs w:val="18"/>
          <w:lang w:val="es-ES_tradnl"/>
        </w:rPr>
        <w:t>Ecuador publicada en el Registro Oficial N.</w:t>
      </w:r>
      <w:r>
        <w:rPr>
          <w:rFonts w:cs="Times New Roman"/>
          <w:spacing w:val="-3"/>
          <w:sz w:val="18"/>
          <w:szCs w:val="18"/>
          <w:lang w:val="es-ES_tradnl"/>
        </w:rPr>
        <w:t>º</w:t>
      </w:r>
      <w:r>
        <w:rPr>
          <w:spacing w:val="-3"/>
          <w:sz w:val="18"/>
          <w:szCs w:val="18"/>
          <w:lang w:val="es-ES_tradnl"/>
        </w:rPr>
        <w:t xml:space="preserve"> 449 del 20</w:t>
      </w:r>
    </w:p>
    <w:p w14:paraId="4F67B66B" w14:textId="77777777" w:rsidR="00591D54" w:rsidRDefault="00591D54">
      <w:pPr>
        <w:shd w:val="clear" w:color="auto" w:fill="FFFFFF"/>
        <w:tabs>
          <w:tab w:val="left" w:pos="144"/>
        </w:tabs>
        <w:spacing w:before="451" w:line="178" w:lineRule="exact"/>
        <w:ind w:left="144" w:hanging="144"/>
        <w:jc w:val="both"/>
      </w:pPr>
      <w:r>
        <w:rPr>
          <w:spacing w:val="-5"/>
          <w:sz w:val="8"/>
          <w:szCs w:val="8"/>
          <w:vertAlign w:val="superscript"/>
          <w:lang w:val="es-ES_tradnl"/>
        </w:rPr>
        <w:t>12</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º</w:t>
      </w:r>
      <w:r>
        <w:rPr>
          <w:sz w:val="18"/>
          <w:szCs w:val="18"/>
          <w:lang w:val="es-ES_tradnl"/>
        </w:rPr>
        <w:t xml:space="preserve"> </w:t>
      </w:r>
      <w:r>
        <w:rPr>
          <w:sz w:val="14"/>
          <w:szCs w:val="14"/>
          <w:lang w:val="es-ES_tradnl"/>
        </w:rPr>
        <w:t>015-10-SEP-CC, caso N.</w:t>
      </w:r>
      <w:r>
        <w:rPr>
          <w:rFonts w:cs="Times New Roman"/>
          <w:sz w:val="14"/>
          <w:szCs w:val="14"/>
          <w:lang w:val="es-ES_tradnl"/>
        </w:rPr>
        <w:t>º</w:t>
      </w:r>
      <w:r>
        <w:rPr>
          <w:sz w:val="14"/>
          <w:szCs w:val="14"/>
          <w:lang w:val="es-ES_tradnl"/>
        </w:rPr>
        <w:t xml:space="preserve"> 0135-09-EP.</w:t>
      </w:r>
    </w:p>
    <w:p w14:paraId="4F67B66C" w14:textId="77777777" w:rsidR="00591D54" w:rsidRDefault="00591D54">
      <w:pPr>
        <w:shd w:val="clear" w:color="auto" w:fill="FFFFFF"/>
        <w:tabs>
          <w:tab w:val="left" w:pos="144"/>
        </w:tabs>
        <w:spacing w:before="154" w:line="178" w:lineRule="exact"/>
        <w:ind w:left="144" w:hanging="144"/>
        <w:jc w:val="both"/>
      </w:pPr>
      <w:r>
        <w:rPr>
          <w:spacing w:val="-5"/>
          <w:sz w:val="8"/>
          <w:szCs w:val="8"/>
          <w:vertAlign w:val="superscript"/>
          <w:lang w:val="es-ES_tradnl"/>
        </w:rPr>
        <w:t>13</w:t>
      </w:r>
      <w:r>
        <w:rPr>
          <w:sz w:val="18"/>
          <w:szCs w:val="18"/>
          <w:lang w:val="es-ES_tradnl"/>
        </w:rPr>
        <w:tab/>
      </w:r>
      <w:r>
        <w:rPr>
          <w:spacing w:val="-2"/>
          <w:sz w:val="14"/>
          <w:szCs w:val="14"/>
          <w:lang w:val="es-ES_tradnl"/>
        </w:rPr>
        <w:t>Constituci</w:t>
      </w:r>
      <w:r>
        <w:rPr>
          <w:rFonts w:cs="Times New Roman"/>
          <w:spacing w:val="-2"/>
          <w:sz w:val="14"/>
          <w:szCs w:val="14"/>
          <w:lang w:val="es-ES_tradnl"/>
        </w:rPr>
        <w:t>ó</w:t>
      </w:r>
      <w:r>
        <w:rPr>
          <w:spacing w:val="-2"/>
          <w:sz w:val="14"/>
          <w:szCs w:val="14"/>
          <w:lang w:val="es-ES_tradnl"/>
        </w:rPr>
        <w:t>n</w:t>
      </w:r>
      <w:r>
        <w:rPr>
          <w:spacing w:val="-2"/>
          <w:sz w:val="18"/>
          <w:szCs w:val="18"/>
          <w:lang w:val="es-ES_tradnl"/>
        </w:rPr>
        <w:t xml:space="preserve"> </w:t>
      </w:r>
      <w:r>
        <w:rPr>
          <w:spacing w:val="-2"/>
          <w:sz w:val="14"/>
          <w:szCs w:val="14"/>
          <w:lang w:val="es-ES_tradnl"/>
        </w:rPr>
        <w:t>de</w:t>
      </w:r>
      <w:r>
        <w:rPr>
          <w:spacing w:val="-2"/>
          <w:sz w:val="18"/>
          <w:szCs w:val="18"/>
          <w:lang w:val="es-ES_tradnl"/>
        </w:rPr>
        <w:t xml:space="preserve"> </w:t>
      </w:r>
      <w:r>
        <w:rPr>
          <w:spacing w:val="-2"/>
          <w:sz w:val="14"/>
          <w:szCs w:val="14"/>
          <w:lang w:val="es-ES_tradnl"/>
        </w:rPr>
        <w:t>la</w:t>
      </w:r>
      <w:r>
        <w:rPr>
          <w:spacing w:val="-2"/>
          <w:sz w:val="18"/>
          <w:szCs w:val="18"/>
          <w:lang w:val="es-ES_tradnl"/>
        </w:rPr>
        <w:t xml:space="preserve"> </w:t>
      </w:r>
      <w:r>
        <w:rPr>
          <w:spacing w:val="-2"/>
          <w:sz w:val="14"/>
          <w:szCs w:val="14"/>
          <w:lang w:val="es-ES_tradnl"/>
        </w:rPr>
        <w:t>Rep</w:t>
      </w:r>
      <w:r>
        <w:rPr>
          <w:rFonts w:cs="Times New Roman"/>
          <w:spacing w:val="-2"/>
          <w:sz w:val="14"/>
          <w:szCs w:val="14"/>
          <w:lang w:val="es-ES_tradnl"/>
        </w:rPr>
        <w:t>ú</w:t>
      </w:r>
      <w:r>
        <w:rPr>
          <w:spacing w:val="-2"/>
          <w:sz w:val="14"/>
          <w:szCs w:val="14"/>
          <w:lang w:val="es-ES_tradnl"/>
        </w:rPr>
        <w:t>blica</w:t>
      </w:r>
      <w:r>
        <w:rPr>
          <w:spacing w:val="-2"/>
          <w:sz w:val="18"/>
          <w:szCs w:val="18"/>
          <w:lang w:val="es-ES_tradnl"/>
        </w:rPr>
        <w:t xml:space="preserve"> </w:t>
      </w:r>
      <w:r>
        <w:rPr>
          <w:spacing w:val="-2"/>
          <w:sz w:val="14"/>
          <w:szCs w:val="14"/>
          <w:lang w:val="es-ES_tradnl"/>
        </w:rPr>
        <w:t>del</w:t>
      </w:r>
      <w:r>
        <w:rPr>
          <w:spacing w:val="-2"/>
          <w:sz w:val="18"/>
          <w:szCs w:val="18"/>
          <w:lang w:val="es-ES_tradnl"/>
        </w:rPr>
        <w:t xml:space="preserve"> </w:t>
      </w:r>
      <w:r>
        <w:rPr>
          <w:spacing w:val="-2"/>
          <w:sz w:val="14"/>
          <w:szCs w:val="14"/>
          <w:lang w:val="es-ES_tradnl"/>
        </w:rPr>
        <w:t>Ecuador,</w:t>
      </w:r>
      <w:r>
        <w:rPr>
          <w:spacing w:val="-2"/>
          <w:sz w:val="18"/>
          <w:szCs w:val="18"/>
          <w:lang w:val="es-ES_tradnl"/>
        </w:rPr>
        <w:t xml:space="preserve"> </w:t>
      </w:r>
      <w:r>
        <w:rPr>
          <w:spacing w:val="-2"/>
          <w:sz w:val="14"/>
          <w:szCs w:val="14"/>
          <w:lang w:val="es-ES_tradnl"/>
        </w:rPr>
        <w:t>articulo</w:t>
      </w:r>
      <w:r>
        <w:rPr>
          <w:spacing w:val="-2"/>
          <w:sz w:val="18"/>
          <w:szCs w:val="18"/>
          <w:lang w:val="es-ES_tradnl"/>
        </w:rPr>
        <w:t xml:space="preserve"> </w:t>
      </w:r>
      <w:r>
        <w:rPr>
          <w:spacing w:val="-2"/>
          <w:sz w:val="14"/>
          <w:szCs w:val="14"/>
          <w:lang w:val="es-ES_tradnl"/>
        </w:rPr>
        <w:t>190.-</w:t>
      </w:r>
      <w:r>
        <w:rPr>
          <w:spacing w:val="-2"/>
          <w:sz w:val="18"/>
          <w:szCs w:val="18"/>
          <w:lang w:val="es-ES_tradnl"/>
        </w:rPr>
        <w:t xml:space="preserve"> </w:t>
      </w:r>
      <w:r>
        <w:rPr>
          <w:spacing w:val="-2"/>
          <w:sz w:val="14"/>
          <w:szCs w:val="14"/>
          <w:lang w:val="es-ES_tradnl"/>
        </w:rPr>
        <w:t>Se</w:t>
      </w:r>
      <w:r>
        <w:rPr>
          <w:spacing w:val="-2"/>
          <w:sz w:val="18"/>
          <w:szCs w:val="18"/>
          <w:lang w:val="es-ES_tradnl"/>
        </w:rPr>
        <w:t xml:space="preserve"> </w:t>
      </w:r>
      <w:r>
        <w:rPr>
          <w:spacing w:val="-2"/>
          <w:sz w:val="14"/>
          <w:szCs w:val="14"/>
          <w:lang w:val="es-ES_tradnl"/>
        </w:rPr>
        <w:t>reconoce </w:t>
      </w:r>
      <w:r>
        <w:rPr>
          <w:sz w:val="14"/>
          <w:szCs w:val="14"/>
          <w:lang w:val="es-ES_tradnl"/>
        </w:rPr>
        <w:t>el arbitraje, la mediaci</w:t>
      </w:r>
      <w:r>
        <w:rPr>
          <w:rFonts w:cs="Times New Roman"/>
          <w:sz w:val="14"/>
          <w:szCs w:val="14"/>
          <w:lang w:val="es-ES_tradnl"/>
        </w:rPr>
        <w:t>ó</w:t>
      </w:r>
      <w:r>
        <w:rPr>
          <w:sz w:val="14"/>
          <w:szCs w:val="14"/>
          <w:lang w:val="es-ES_tradnl"/>
        </w:rPr>
        <w:t>n y otros procedimientos alternativos para la soluci</w:t>
      </w:r>
      <w:r>
        <w:rPr>
          <w:rFonts w:cs="Times New Roman"/>
          <w:sz w:val="14"/>
          <w:szCs w:val="14"/>
          <w:lang w:val="es-ES_tradnl"/>
        </w:rPr>
        <w:t>ó</w:t>
      </w:r>
      <w:r>
        <w:rPr>
          <w:sz w:val="14"/>
          <w:szCs w:val="14"/>
          <w:lang w:val="es-ES_tradnl"/>
        </w:rPr>
        <w:t>n de confl ictos. Estos procedimientos se aplicar</w:t>
      </w:r>
      <w:r>
        <w:rPr>
          <w:rFonts w:cs="Times New Roman"/>
          <w:sz w:val="14"/>
          <w:szCs w:val="14"/>
          <w:lang w:val="es-ES_tradnl"/>
        </w:rPr>
        <w:t>á</w:t>
      </w:r>
      <w:r>
        <w:rPr>
          <w:sz w:val="14"/>
          <w:szCs w:val="14"/>
          <w:lang w:val="es-ES_tradnl"/>
        </w:rPr>
        <w:t>n con </w:t>
      </w:r>
      <w:r>
        <w:rPr>
          <w:spacing w:val="-2"/>
          <w:sz w:val="14"/>
          <w:szCs w:val="14"/>
          <w:lang w:val="es-ES_tradnl"/>
        </w:rPr>
        <w:t>sujeci</w:t>
      </w:r>
      <w:r>
        <w:rPr>
          <w:rFonts w:cs="Times New Roman"/>
          <w:spacing w:val="-2"/>
          <w:sz w:val="14"/>
          <w:szCs w:val="14"/>
          <w:lang w:val="es-ES_tradnl"/>
        </w:rPr>
        <w:t>ó</w:t>
      </w:r>
      <w:r>
        <w:rPr>
          <w:spacing w:val="-2"/>
          <w:sz w:val="14"/>
          <w:szCs w:val="14"/>
          <w:lang w:val="es-ES_tradnl"/>
        </w:rPr>
        <w:t>n a la ley, en materias en las que por su naturaleza se pueda </w:t>
      </w:r>
      <w:r>
        <w:rPr>
          <w:sz w:val="14"/>
          <w:szCs w:val="14"/>
          <w:lang w:val="es-ES_tradnl"/>
        </w:rPr>
        <w:t>transigir.</w:t>
      </w:r>
    </w:p>
    <w:p w14:paraId="4F67B66D" w14:textId="77777777" w:rsidR="00591D54" w:rsidRDefault="00591D54">
      <w:pPr>
        <w:shd w:val="clear" w:color="auto" w:fill="FFFFFF"/>
        <w:spacing w:line="178" w:lineRule="exact"/>
        <w:ind w:left="144"/>
      </w:pPr>
      <w:r>
        <w:rPr>
          <w:spacing w:val="-1"/>
          <w:sz w:val="14"/>
          <w:szCs w:val="14"/>
          <w:lang w:val="es-ES_tradnl"/>
        </w:rPr>
        <w:t>En la contrataci</w:t>
      </w:r>
      <w:r>
        <w:rPr>
          <w:rFonts w:cs="Times New Roman"/>
          <w:spacing w:val="-1"/>
          <w:sz w:val="14"/>
          <w:szCs w:val="14"/>
          <w:lang w:val="es-ES_tradnl"/>
        </w:rPr>
        <w:t>ó</w:t>
      </w:r>
      <w:r>
        <w:rPr>
          <w:spacing w:val="-1"/>
          <w:sz w:val="14"/>
          <w:szCs w:val="14"/>
          <w:lang w:val="es-ES_tradnl"/>
        </w:rPr>
        <w:t>n p</w:t>
      </w:r>
      <w:r>
        <w:rPr>
          <w:rFonts w:cs="Times New Roman"/>
          <w:spacing w:val="-1"/>
          <w:sz w:val="14"/>
          <w:szCs w:val="14"/>
          <w:lang w:val="es-ES_tradnl"/>
        </w:rPr>
        <w:t>ú</w:t>
      </w:r>
      <w:r>
        <w:rPr>
          <w:spacing w:val="-1"/>
          <w:sz w:val="14"/>
          <w:szCs w:val="14"/>
          <w:lang w:val="es-ES_tradnl"/>
        </w:rPr>
        <w:t>blica proceder</w:t>
      </w:r>
      <w:r>
        <w:rPr>
          <w:rFonts w:cs="Times New Roman"/>
          <w:spacing w:val="-1"/>
          <w:sz w:val="14"/>
          <w:szCs w:val="14"/>
          <w:lang w:val="es-ES_tradnl"/>
        </w:rPr>
        <w:t>á</w:t>
      </w:r>
      <w:r>
        <w:rPr>
          <w:spacing w:val="-1"/>
          <w:sz w:val="14"/>
          <w:szCs w:val="14"/>
          <w:lang w:val="es-ES_tradnl"/>
        </w:rPr>
        <w:t xml:space="preserve"> el arbitraje en derecho, previo </w:t>
      </w:r>
      <w:r>
        <w:rPr>
          <w:sz w:val="14"/>
          <w:szCs w:val="14"/>
          <w:lang w:val="es-ES_tradnl"/>
        </w:rPr>
        <w:t>pronunciamiento favorable de la</w:t>
      </w:r>
    </w:p>
    <w:p w14:paraId="4F67B66E" w14:textId="77777777" w:rsidR="00591D54" w:rsidRDefault="00591D54">
      <w:pPr>
        <w:shd w:val="clear" w:color="auto" w:fill="FFFFFF"/>
        <w:spacing w:line="178" w:lineRule="exact"/>
        <w:ind w:left="144"/>
      </w:pPr>
      <w:r>
        <w:rPr>
          <w:spacing w:val="-2"/>
          <w:sz w:val="14"/>
          <w:szCs w:val="14"/>
          <w:lang w:val="es-ES_tradnl"/>
        </w:rPr>
        <w:t>Procuradur</w:t>
      </w:r>
      <w:r>
        <w:rPr>
          <w:rFonts w:cs="Times New Roman"/>
          <w:spacing w:val="-2"/>
          <w:sz w:val="14"/>
          <w:szCs w:val="14"/>
          <w:lang w:val="es-ES_tradnl"/>
        </w:rPr>
        <w:t>í</w:t>
      </w:r>
      <w:r>
        <w:rPr>
          <w:spacing w:val="-2"/>
          <w:sz w:val="14"/>
          <w:szCs w:val="14"/>
          <w:lang w:val="es-ES_tradnl"/>
        </w:rPr>
        <w:t xml:space="preserve">a  General   del  Estado,   conforme  a   las   condiciones </w:t>
      </w:r>
      <w:r>
        <w:rPr>
          <w:sz w:val="14"/>
          <w:szCs w:val="14"/>
          <w:lang w:val="es-ES_tradnl"/>
        </w:rPr>
        <w:t>establecidas en la ley.</w:t>
      </w:r>
    </w:p>
    <w:p w14:paraId="4F67B66F" w14:textId="77777777" w:rsidR="00591D54" w:rsidRDefault="00591D54">
      <w:pPr>
        <w:shd w:val="clear" w:color="auto" w:fill="FFFFFF"/>
        <w:spacing w:line="178" w:lineRule="exact"/>
        <w:ind w:left="144"/>
        <w:sectPr w:rsidR="00591D54">
          <w:type w:val="continuous"/>
          <w:pgSz w:w="11909" w:h="16834"/>
          <w:pgMar w:top="1318" w:right="1309" w:bottom="360" w:left="1308" w:header="720" w:footer="720" w:gutter="0"/>
          <w:cols w:num="2" w:space="720" w:equalWidth="0">
            <w:col w:w="4305" w:space="682"/>
            <w:col w:w="4305"/>
          </w:cols>
          <w:noEndnote/>
        </w:sectPr>
      </w:pPr>
    </w:p>
    <w:p w14:paraId="4F67B670" w14:textId="77777777" w:rsidR="00591D54" w:rsidRDefault="00591D54">
      <w:pPr>
        <w:shd w:val="clear" w:color="auto" w:fill="FFFFFF"/>
        <w:tabs>
          <w:tab w:val="left" w:pos="584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- 231</w:t>
      </w:r>
    </w:p>
    <w:p w14:paraId="4F67B671" w14:textId="77777777" w:rsidR="00591D54" w:rsidRDefault="00591D54">
      <w:pPr>
        <w:shd w:val="clear" w:color="auto" w:fill="FFFFFF"/>
        <w:tabs>
          <w:tab w:val="left" w:pos="5842"/>
        </w:tabs>
        <w:spacing w:after="230"/>
        <w:ind w:left="5"/>
        <w:sectPr w:rsidR="00591D54">
          <w:pgSz w:w="11909" w:h="16834"/>
          <w:pgMar w:top="1356" w:right="1309" w:bottom="360" w:left="1308" w:header="720" w:footer="720" w:gutter="0"/>
          <w:cols w:space="60"/>
          <w:noEndnote/>
        </w:sectPr>
      </w:pPr>
    </w:p>
    <w:p w14:paraId="4F67B672" w14:textId="77777777" w:rsidR="00591D54" w:rsidRDefault="00591D54">
      <w:pPr>
        <w:shd w:val="clear" w:color="auto" w:fill="FFFFFF"/>
        <w:spacing w:before="5" w:line="216" w:lineRule="exact"/>
        <w:jc w:val="both"/>
      </w:pPr>
      <w:r>
        <w:rPr>
          <w:spacing w:val="-7"/>
          <w:sz w:val="18"/>
          <w:szCs w:val="18"/>
          <w:lang w:val="es-ES_tradnl"/>
        </w:rPr>
        <w:t>de octubre de 2008, derog</w:t>
      </w:r>
      <w:r>
        <w:rPr>
          <w:rFonts w:cs="Times New Roman"/>
          <w:spacing w:val="-7"/>
          <w:sz w:val="18"/>
          <w:szCs w:val="18"/>
          <w:lang w:val="es-ES_tradnl"/>
        </w:rPr>
        <w:t>ó</w:t>
      </w:r>
      <w:r>
        <w:rPr>
          <w:spacing w:val="-7"/>
          <w:sz w:val="18"/>
          <w:szCs w:val="18"/>
          <w:lang w:val="es-ES_tradnl"/>
        </w:rPr>
        <w:t xml:space="preserve"> a la Constituci</w:t>
      </w:r>
      <w:r>
        <w:rPr>
          <w:rFonts w:cs="Times New Roman"/>
          <w:spacing w:val="-7"/>
          <w:sz w:val="18"/>
          <w:szCs w:val="18"/>
          <w:lang w:val="es-ES_tradnl"/>
        </w:rPr>
        <w:t>ó</w:t>
      </w:r>
      <w:r>
        <w:rPr>
          <w:spacing w:val="-7"/>
          <w:sz w:val="18"/>
          <w:szCs w:val="18"/>
          <w:lang w:val="es-ES_tradnl"/>
        </w:rPr>
        <w:t>n Pol</w:t>
      </w:r>
      <w:r>
        <w:rPr>
          <w:rFonts w:cs="Times New Roman"/>
          <w:spacing w:val="-7"/>
          <w:sz w:val="18"/>
          <w:szCs w:val="18"/>
          <w:lang w:val="es-ES_tradnl"/>
        </w:rPr>
        <w:t>í</w:t>
      </w:r>
      <w:r>
        <w:rPr>
          <w:spacing w:val="-7"/>
          <w:sz w:val="18"/>
          <w:szCs w:val="18"/>
          <w:lang w:val="es-ES_tradnl"/>
        </w:rPr>
        <w:t xml:space="preserve">tica de la </w:t>
      </w:r>
      <w:r>
        <w:rPr>
          <w:spacing w:val="-9"/>
          <w:sz w:val="18"/>
          <w:szCs w:val="18"/>
          <w:lang w:val="es-ES_tradnl"/>
        </w:rPr>
        <w:t>Rep</w:t>
      </w:r>
      <w:r>
        <w:rPr>
          <w:rFonts w:cs="Times New Roman"/>
          <w:spacing w:val="-9"/>
          <w:sz w:val="18"/>
          <w:szCs w:val="18"/>
          <w:lang w:val="es-ES_tradnl"/>
        </w:rPr>
        <w:t>ú</w:t>
      </w:r>
      <w:r>
        <w:rPr>
          <w:spacing w:val="-9"/>
          <w:sz w:val="18"/>
          <w:szCs w:val="18"/>
          <w:lang w:val="es-ES_tradnl"/>
        </w:rPr>
        <w:t>blica del Ecuador que se public</w:t>
      </w:r>
      <w:r>
        <w:rPr>
          <w:rFonts w:cs="Times New Roman"/>
          <w:spacing w:val="-9"/>
          <w:sz w:val="18"/>
          <w:szCs w:val="18"/>
          <w:lang w:val="es-ES_tradnl"/>
        </w:rPr>
        <w:t>ó</w:t>
      </w:r>
      <w:r>
        <w:rPr>
          <w:spacing w:val="-9"/>
          <w:sz w:val="18"/>
          <w:szCs w:val="18"/>
          <w:lang w:val="es-ES_tradnl"/>
        </w:rPr>
        <w:t xml:space="preserve"> en el Registro Oficial </w:t>
      </w:r>
      <w:r>
        <w:rPr>
          <w:spacing w:val="-5"/>
          <w:sz w:val="18"/>
          <w:szCs w:val="18"/>
          <w:lang w:val="es-ES_tradnl"/>
        </w:rPr>
        <w:t>N.</w:t>
      </w:r>
      <w:r>
        <w:rPr>
          <w:rFonts w:cs="Times New Roman"/>
          <w:spacing w:val="-5"/>
          <w:sz w:val="18"/>
          <w:szCs w:val="18"/>
          <w:lang w:val="es-ES_tradnl"/>
        </w:rPr>
        <w:t>º</w:t>
      </w:r>
      <w:r>
        <w:rPr>
          <w:spacing w:val="-5"/>
          <w:sz w:val="18"/>
          <w:szCs w:val="18"/>
          <w:lang w:val="es-ES_tradnl"/>
        </w:rPr>
        <w:t xml:space="preserve"> 01 del 11 de agosto de 1998. </w:t>
      </w:r>
      <w:r>
        <w:rPr>
          <w:rFonts w:cs="Times New Roman"/>
          <w:spacing w:val="-5"/>
          <w:sz w:val="18"/>
          <w:szCs w:val="18"/>
          <w:lang w:val="es-ES_tradnl"/>
        </w:rPr>
        <w:t>É</w:t>
      </w:r>
      <w:r>
        <w:rPr>
          <w:spacing w:val="-5"/>
          <w:sz w:val="18"/>
          <w:szCs w:val="18"/>
          <w:lang w:val="es-ES_tradnl"/>
        </w:rPr>
        <w:t xml:space="preserve">sta </w:t>
      </w:r>
      <w:r>
        <w:rPr>
          <w:rFonts w:cs="Times New Roman"/>
          <w:spacing w:val="-5"/>
          <w:sz w:val="18"/>
          <w:szCs w:val="18"/>
          <w:lang w:val="es-ES_tradnl"/>
        </w:rPr>
        <w:t>ú</w:t>
      </w:r>
      <w:r>
        <w:rPr>
          <w:spacing w:val="-5"/>
          <w:sz w:val="18"/>
          <w:szCs w:val="18"/>
          <w:lang w:val="es-ES_tradnl"/>
        </w:rPr>
        <w:t xml:space="preserve">ltima normativa </w:t>
      </w:r>
      <w:r>
        <w:rPr>
          <w:spacing w:val="-7"/>
          <w:sz w:val="18"/>
          <w:szCs w:val="18"/>
          <w:lang w:val="es-ES_tradnl"/>
        </w:rPr>
        <w:t>constitucional estuvo vigente diez a</w:t>
      </w:r>
      <w:r>
        <w:rPr>
          <w:rFonts w:cs="Times New Roman"/>
          <w:spacing w:val="-7"/>
          <w:sz w:val="18"/>
          <w:szCs w:val="18"/>
          <w:lang w:val="es-ES_tradnl"/>
        </w:rPr>
        <w:t>ñ</w:t>
      </w:r>
      <w:r>
        <w:rPr>
          <w:spacing w:val="-7"/>
          <w:sz w:val="18"/>
          <w:szCs w:val="18"/>
          <w:lang w:val="es-ES_tradnl"/>
        </w:rPr>
        <w:t xml:space="preserve">os, en general desde </w:t>
      </w:r>
      <w:r>
        <w:rPr>
          <w:spacing w:val="-8"/>
          <w:sz w:val="18"/>
          <w:szCs w:val="18"/>
          <w:lang w:val="es-ES_tradnl"/>
        </w:rPr>
        <w:t>el a</w:t>
      </w:r>
      <w:r>
        <w:rPr>
          <w:rFonts w:cs="Times New Roman"/>
          <w:spacing w:val="-8"/>
          <w:sz w:val="18"/>
          <w:szCs w:val="18"/>
          <w:lang w:val="es-ES_tradnl"/>
        </w:rPr>
        <w:t>ñ</w:t>
      </w:r>
      <w:r>
        <w:rPr>
          <w:spacing w:val="-8"/>
          <w:sz w:val="18"/>
          <w:szCs w:val="18"/>
          <w:lang w:val="es-ES_tradnl"/>
        </w:rPr>
        <w:t>o 1998 hasta el 2008, per</w:t>
      </w:r>
      <w:r>
        <w:rPr>
          <w:rFonts w:cs="Times New Roman"/>
          <w:spacing w:val="-8"/>
          <w:sz w:val="18"/>
          <w:szCs w:val="18"/>
          <w:lang w:val="es-ES_tradnl"/>
        </w:rPr>
        <w:t>í</w:t>
      </w:r>
      <w:r>
        <w:rPr>
          <w:spacing w:val="-8"/>
          <w:sz w:val="18"/>
          <w:szCs w:val="18"/>
          <w:lang w:val="es-ES_tradnl"/>
        </w:rPr>
        <w:t>odo en el cual, su aplicaci</w:t>
      </w:r>
      <w:r>
        <w:rPr>
          <w:rFonts w:cs="Times New Roman"/>
          <w:spacing w:val="-8"/>
          <w:sz w:val="18"/>
          <w:szCs w:val="18"/>
          <w:lang w:val="es-ES_tradnl"/>
        </w:rPr>
        <w:t>ó</w:t>
      </w:r>
      <w:r>
        <w:rPr>
          <w:spacing w:val="-8"/>
          <w:sz w:val="18"/>
          <w:szCs w:val="18"/>
          <w:lang w:val="es-ES_tradnl"/>
        </w:rPr>
        <w:t xml:space="preserve">n y debida observancia se manifestaba como el respeto a la </w:t>
      </w:r>
      <w:r>
        <w:rPr>
          <w:sz w:val="18"/>
          <w:szCs w:val="18"/>
          <w:lang w:val="es-ES_tradnl"/>
        </w:rPr>
        <w:t>seguridad jur</w:t>
      </w:r>
      <w:r>
        <w:rPr>
          <w:rFonts w:cs="Times New Roman"/>
          <w:sz w:val="18"/>
          <w:szCs w:val="18"/>
          <w:lang w:val="es-ES_tradnl"/>
        </w:rPr>
        <w:t>í</w:t>
      </w:r>
      <w:r>
        <w:rPr>
          <w:sz w:val="18"/>
          <w:szCs w:val="18"/>
          <w:lang w:val="es-ES_tradnl"/>
        </w:rPr>
        <w:t>dica.</w:t>
      </w:r>
    </w:p>
    <w:p w14:paraId="4F67B673" w14:textId="77777777" w:rsidR="00591D54" w:rsidRDefault="00591D54">
      <w:pPr>
        <w:shd w:val="clear" w:color="auto" w:fill="FFFFFF"/>
        <w:spacing w:before="197" w:line="216" w:lineRule="exact"/>
        <w:ind w:right="5"/>
        <w:jc w:val="both"/>
      </w:pPr>
      <w:r>
        <w:rPr>
          <w:spacing w:val="-13"/>
          <w:sz w:val="18"/>
          <w:szCs w:val="18"/>
          <w:lang w:val="es-ES_tradnl"/>
        </w:rPr>
        <w:t>En virtud de aquello, es necesario se</w:t>
      </w:r>
      <w:r>
        <w:rPr>
          <w:rFonts w:cs="Times New Roman"/>
          <w:spacing w:val="-13"/>
          <w:sz w:val="18"/>
          <w:szCs w:val="18"/>
          <w:lang w:val="es-ES_tradnl"/>
        </w:rPr>
        <w:t>ñ</w:t>
      </w:r>
      <w:r>
        <w:rPr>
          <w:spacing w:val="-13"/>
          <w:sz w:val="18"/>
          <w:szCs w:val="18"/>
          <w:lang w:val="es-ES_tradnl"/>
        </w:rPr>
        <w:t>alar que el art</w:t>
      </w:r>
      <w:r>
        <w:rPr>
          <w:rFonts w:cs="Times New Roman"/>
          <w:spacing w:val="-13"/>
          <w:sz w:val="18"/>
          <w:szCs w:val="18"/>
          <w:lang w:val="es-ES_tradnl"/>
        </w:rPr>
        <w:t>í</w:t>
      </w:r>
      <w:r>
        <w:rPr>
          <w:spacing w:val="-13"/>
          <w:sz w:val="18"/>
          <w:szCs w:val="18"/>
          <w:lang w:val="es-ES_tradnl"/>
        </w:rPr>
        <w:t>culo 191</w:t>
      </w:r>
      <w:r>
        <w:rPr>
          <w:spacing w:val="-13"/>
          <w:sz w:val="18"/>
          <w:szCs w:val="18"/>
          <w:vertAlign w:val="superscript"/>
          <w:lang w:val="es-ES_tradnl"/>
        </w:rPr>
        <w:t xml:space="preserve">14 </w:t>
      </w:r>
      <w:r>
        <w:rPr>
          <w:spacing w:val="-6"/>
          <w:sz w:val="18"/>
          <w:szCs w:val="18"/>
          <w:lang w:val="es-ES_tradnl"/>
        </w:rPr>
        <w:t>de dicha Constituci</w:t>
      </w:r>
      <w:r>
        <w:rPr>
          <w:rFonts w:cs="Times New Roman"/>
          <w:spacing w:val="-6"/>
          <w:sz w:val="18"/>
          <w:szCs w:val="18"/>
          <w:lang w:val="es-ES_tradnl"/>
        </w:rPr>
        <w:t>ó</w:t>
      </w:r>
      <w:r>
        <w:rPr>
          <w:spacing w:val="-6"/>
          <w:sz w:val="18"/>
          <w:szCs w:val="18"/>
          <w:lang w:val="es-ES_tradnl"/>
        </w:rPr>
        <w:t>n Pol</w:t>
      </w:r>
      <w:r>
        <w:rPr>
          <w:rFonts w:cs="Times New Roman"/>
          <w:spacing w:val="-6"/>
          <w:sz w:val="18"/>
          <w:szCs w:val="18"/>
          <w:lang w:val="es-ES_tradnl"/>
        </w:rPr>
        <w:t>í</w:t>
      </w:r>
      <w:r>
        <w:rPr>
          <w:spacing w:val="-6"/>
          <w:sz w:val="18"/>
          <w:szCs w:val="18"/>
          <w:lang w:val="es-ES_tradnl"/>
        </w:rPr>
        <w:t>tica conten</w:t>
      </w:r>
      <w:r>
        <w:rPr>
          <w:rFonts w:cs="Times New Roman"/>
          <w:spacing w:val="-6"/>
          <w:sz w:val="18"/>
          <w:szCs w:val="18"/>
          <w:lang w:val="es-ES_tradnl"/>
        </w:rPr>
        <w:t>í</w:t>
      </w:r>
      <w:r>
        <w:rPr>
          <w:spacing w:val="-6"/>
          <w:sz w:val="18"/>
          <w:szCs w:val="18"/>
          <w:lang w:val="es-ES_tradnl"/>
        </w:rPr>
        <w:t>a el reconocimiento del arbitraje como m</w:t>
      </w:r>
      <w:r>
        <w:rPr>
          <w:rFonts w:cs="Times New Roman"/>
          <w:spacing w:val="-6"/>
          <w:sz w:val="18"/>
          <w:szCs w:val="18"/>
          <w:lang w:val="es-ES_tradnl"/>
        </w:rPr>
        <w:t>é</w:t>
      </w:r>
      <w:r>
        <w:rPr>
          <w:spacing w:val="-6"/>
          <w:sz w:val="18"/>
          <w:szCs w:val="18"/>
          <w:lang w:val="es-ES_tradnl"/>
        </w:rPr>
        <w:t>todo de soluci</w:t>
      </w:r>
      <w:r>
        <w:rPr>
          <w:rFonts w:cs="Times New Roman"/>
          <w:spacing w:val="-6"/>
          <w:sz w:val="18"/>
          <w:szCs w:val="18"/>
          <w:lang w:val="es-ES_tradnl"/>
        </w:rPr>
        <w:t>ó</w:t>
      </w:r>
      <w:r>
        <w:rPr>
          <w:spacing w:val="-6"/>
          <w:sz w:val="18"/>
          <w:szCs w:val="18"/>
          <w:lang w:val="es-ES_tradnl"/>
        </w:rPr>
        <w:t xml:space="preserve">n de controversias, </w:t>
      </w:r>
      <w:r>
        <w:rPr>
          <w:spacing w:val="-8"/>
          <w:sz w:val="18"/>
          <w:szCs w:val="18"/>
          <w:lang w:val="es-ES_tradnl"/>
        </w:rPr>
        <w:t>pero a diferencia de lo que prescribe la actual Constituci</w:t>
      </w:r>
      <w:r>
        <w:rPr>
          <w:rFonts w:cs="Times New Roman"/>
          <w:spacing w:val="-8"/>
          <w:sz w:val="18"/>
          <w:szCs w:val="18"/>
          <w:lang w:val="es-ES_tradnl"/>
        </w:rPr>
        <w:t>ó</w:t>
      </w:r>
      <w:r>
        <w:rPr>
          <w:spacing w:val="-8"/>
          <w:sz w:val="18"/>
          <w:szCs w:val="18"/>
          <w:lang w:val="es-ES_tradnl"/>
        </w:rPr>
        <w:t xml:space="preserve">n, </w:t>
      </w:r>
      <w:r>
        <w:rPr>
          <w:spacing w:val="-9"/>
          <w:sz w:val="18"/>
          <w:szCs w:val="18"/>
          <w:lang w:val="es-ES_tradnl"/>
        </w:rPr>
        <w:t>no establec</w:t>
      </w:r>
      <w:r>
        <w:rPr>
          <w:rFonts w:cs="Times New Roman"/>
          <w:spacing w:val="-9"/>
          <w:sz w:val="18"/>
          <w:szCs w:val="18"/>
          <w:lang w:val="es-ES_tradnl"/>
        </w:rPr>
        <w:t>í</w:t>
      </w:r>
      <w:r>
        <w:rPr>
          <w:spacing w:val="-9"/>
          <w:sz w:val="18"/>
          <w:szCs w:val="18"/>
          <w:lang w:val="es-ES_tradnl"/>
        </w:rPr>
        <w:t xml:space="preserve">a como regla constitucional que para solucionar </w:t>
      </w:r>
      <w:r>
        <w:rPr>
          <w:spacing w:val="-7"/>
          <w:sz w:val="18"/>
          <w:szCs w:val="18"/>
          <w:lang w:val="es-ES_tradnl"/>
        </w:rPr>
        <w:t>casos de arbitraje en los que participaban organismos del sector p</w:t>
      </w:r>
      <w:r>
        <w:rPr>
          <w:rFonts w:cs="Times New Roman"/>
          <w:spacing w:val="-7"/>
          <w:sz w:val="18"/>
          <w:szCs w:val="18"/>
          <w:lang w:val="es-ES_tradnl"/>
        </w:rPr>
        <w:t>ú</w:t>
      </w:r>
      <w:r>
        <w:rPr>
          <w:spacing w:val="-7"/>
          <w:sz w:val="18"/>
          <w:szCs w:val="18"/>
          <w:lang w:val="es-ES_tradnl"/>
        </w:rPr>
        <w:t>blico, se deb</w:t>
      </w:r>
      <w:r>
        <w:rPr>
          <w:rFonts w:cs="Times New Roman"/>
          <w:spacing w:val="-7"/>
          <w:sz w:val="18"/>
          <w:szCs w:val="18"/>
          <w:lang w:val="es-ES_tradnl"/>
        </w:rPr>
        <w:t>í</w:t>
      </w:r>
      <w:r>
        <w:rPr>
          <w:spacing w:val="-7"/>
          <w:sz w:val="18"/>
          <w:szCs w:val="18"/>
          <w:lang w:val="es-ES_tradnl"/>
        </w:rPr>
        <w:t xml:space="preserve">a contar con el pronunciamiento </w:t>
      </w:r>
      <w:r>
        <w:rPr>
          <w:sz w:val="18"/>
          <w:szCs w:val="18"/>
          <w:lang w:val="es-ES_tradnl"/>
        </w:rPr>
        <w:t xml:space="preserve">favorable del procurador general del Estado. Por ello, </w:t>
      </w:r>
      <w:r>
        <w:rPr>
          <w:spacing w:val="-6"/>
          <w:sz w:val="18"/>
          <w:szCs w:val="18"/>
          <w:lang w:val="es-ES_tradnl"/>
        </w:rPr>
        <w:t>la realidad jur</w:t>
      </w:r>
      <w:r>
        <w:rPr>
          <w:rFonts w:cs="Times New Roman"/>
          <w:spacing w:val="-6"/>
          <w:sz w:val="18"/>
          <w:szCs w:val="18"/>
          <w:lang w:val="es-ES_tradnl"/>
        </w:rPr>
        <w:t>í</w:t>
      </w:r>
      <w:r>
        <w:rPr>
          <w:spacing w:val="-6"/>
          <w:sz w:val="18"/>
          <w:szCs w:val="18"/>
          <w:lang w:val="es-ES_tradnl"/>
        </w:rPr>
        <w:t>dica vigente a la fecha de suscripci</w:t>
      </w:r>
      <w:r>
        <w:rPr>
          <w:rFonts w:cs="Times New Roman"/>
          <w:spacing w:val="-6"/>
          <w:sz w:val="18"/>
          <w:szCs w:val="18"/>
          <w:lang w:val="es-ES_tradnl"/>
        </w:rPr>
        <w:t>ó</w:t>
      </w:r>
      <w:r>
        <w:rPr>
          <w:spacing w:val="-6"/>
          <w:sz w:val="18"/>
          <w:szCs w:val="18"/>
          <w:lang w:val="es-ES_tradnl"/>
        </w:rPr>
        <w:t xml:space="preserve">n del </w:t>
      </w:r>
      <w:r>
        <w:rPr>
          <w:spacing w:val="-7"/>
          <w:sz w:val="18"/>
          <w:szCs w:val="18"/>
          <w:lang w:val="es-ES_tradnl"/>
        </w:rPr>
        <w:t xml:space="preserve">contrato referido, es decir, el 28 de noviembre de 2005, se </w:t>
      </w:r>
      <w:r>
        <w:rPr>
          <w:spacing w:val="-8"/>
          <w:sz w:val="18"/>
          <w:szCs w:val="18"/>
          <w:lang w:val="es-ES_tradnl"/>
        </w:rPr>
        <w:t xml:space="preserve">deduce entonces que la normativa constitucional aplicable </w:t>
      </w:r>
      <w:r>
        <w:rPr>
          <w:spacing w:val="-7"/>
          <w:sz w:val="18"/>
          <w:szCs w:val="18"/>
          <w:lang w:val="es-ES_tradnl"/>
        </w:rPr>
        <w:t>era la Constituci</w:t>
      </w:r>
      <w:r>
        <w:rPr>
          <w:rFonts w:cs="Times New Roman"/>
          <w:spacing w:val="-7"/>
          <w:sz w:val="18"/>
          <w:szCs w:val="18"/>
          <w:lang w:val="es-ES_tradnl"/>
        </w:rPr>
        <w:t>ó</w:t>
      </w:r>
      <w:r>
        <w:rPr>
          <w:spacing w:val="-7"/>
          <w:sz w:val="18"/>
          <w:szCs w:val="18"/>
          <w:lang w:val="es-ES_tradnl"/>
        </w:rPr>
        <w:t>n Pol</w:t>
      </w:r>
      <w:r>
        <w:rPr>
          <w:rFonts w:cs="Times New Roman"/>
          <w:spacing w:val="-7"/>
          <w:sz w:val="18"/>
          <w:szCs w:val="18"/>
          <w:lang w:val="es-ES_tradnl"/>
        </w:rPr>
        <w:t>í</w:t>
      </w:r>
      <w:r>
        <w:rPr>
          <w:spacing w:val="-7"/>
          <w:sz w:val="18"/>
          <w:szCs w:val="18"/>
          <w:lang w:val="es-ES_tradnl"/>
        </w:rPr>
        <w:t>tica de la Rep</w:t>
      </w:r>
      <w:r>
        <w:rPr>
          <w:rFonts w:cs="Times New Roman"/>
          <w:spacing w:val="-7"/>
          <w:sz w:val="18"/>
          <w:szCs w:val="18"/>
          <w:lang w:val="es-ES_tradnl"/>
        </w:rPr>
        <w:t>ú</w:t>
      </w:r>
      <w:r>
        <w:rPr>
          <w:spacing w:val="-7"/>
          <w:sz w:val="18"/>
          <w:szCs w:val="18"/>
          <w:lang w:val="es-ES_tradnl"/>
        </w:rPr>
        <w:t xml:space="preserve">blica del Ecuador de </w:t>
      </w:r>
      <w:r>
        <w:rPr>
          <w:sz w:val="18"/>
          <w:szCs w:val="18"/>
          <w:lang w:val="es-ES_tradnl"/>
        </w:rPr>
        <w:t>1998.</w:t>
      </w:r>
    </w:p>
    <w:p w14:paraId="4F67B674" w14:textId="77777777" w:rsidR="00591D54" w:rsidRDefault="00591D54">
      <w:pPr>
        <w:shd w:val="clear" w:color="auto" w:fill="FFFFFF"/>
        <w:spacing w:before="197" w:line="216" w:lineRule="exact"/>
        <w:ind w:right="5"/>
        <w:jc w:val="both"/>
      </w:pPr>
      <w:r>
        <w:rPr>
          <w:spacing w:val="-9"/>
          <w:sz w:val="18"/>
          <w:szCs w:val="18"/>
          <w:lang w:val="es-ES_tradnl"/>
        </w:rPr>
        <w:t xml:space="preserve">Por tanto, se puede establecer que al observar la normativa </w:t>
      </w:r>
      <w:r>
        <w:rPr>
          <w:spacing w:val="-7"/>
          <w:sz w:val="18"/>
          <w:szCs w:val="18"/>
          <w:lang w:val="es-ES_tradnl"/>
        </w:rPr>
        <w:t>constitucional de la fecha en la cual se celebr</w:t>
      </w:r>
      <w:r>
        <w:rPr>
          <w:rFonts w:cs="Times New Roman"/>
          <w:spacing w:val="-7"/>
          <w:sz w:val="18"/>
          <w:szCs w:val="18"/>
          <w:lang w:val="es-ES_tradnl"/>
        </w:rPr>
        <w:t>ó</w:t>
      </w:r>
      <w:r>
        <w:rPr>
          <w:spacing w:val="-7"/>
          <w:sz w:val="18"/>
          <w:szCs w:val="18"/>
          <w:lang w:val="es-ES_tradnl"/>
        </w:rPr>
        <w:t xml:space="preserve"> el contrato, </w:t>
      </w:r>
      <w:r>
        <w:rPr>
          <w:spacing w:val="-8"/>
          <w:sz w:val="18"/>
          <w:szCs w:val="18"/>
          <w:lang w:val="es-ES_tradnl"/>
        </w:rPr>
        <w:t>se garantiz</w:t>
      </w:r>
      <w:r>
        <w:rPr>
          <w:rFonts w:cs="Times New Roman"/>
          <w:spacing w:val="-8"/>
          <w:sz w:val="18"/>
          <w:szCs w:val="18"/>
          <w:lang w:val="es-ES_tradnl"/>
        </w:rPr>
        <w:t>ó</w:t>
      </w:r>
      <w:r>
        <w:rPr>
          <w:spacing w:val="-8"/>
          <w:sz w:val="18"/>
          <w:szCs w:val="18"/>
          <w:lang w:val="es-ES_tradnl"/>
        </w:rPr>
        <w:t xml:space="preserve"> el derecho de las partes a tener certidumbre </w:t>
      </w:r>
      <w:r>
        <w:rPr>
          <w:spacing w:val="-3"/>
          <w:sz w:val="18"/>
          <w:szCs w:val="18"/>
          <w:lang w:val="es-ES_tradnl"/>
        </w:rPr>
        <w:t xml:space="preserve">respecto de las reglas bajo las cuales adquirieron y </w:t>
      </w:r>
      <w:r>
        <w:rPr>
          <w:spacing w:val="-8"/>
          <w:sz w:val="18"/>
          <w:szCs w:val="18"/>
          <w:lang w:val="es-ES_tradnl"/>
        </w:rPr>
        <w:t xml:space="preserve">adquieren actualmente derechos y obligaciones, que en el caso en concreto, se derivan de los contratos celebrados </w:t>
      </w:r>
      <w:r>
        <w:rPr>
          <w:spacing w:val="-9"/>
          <w:sz w:val="18"/>
          <w:szCs w:val="18"/>
          <w:lang w:val="es-ES_tradnl"/>
        </w:rPr>
        <w:t>entre la compa</w:t>
      </w:r>
      <w:r>
        <w:rPr>
          <w:rFonts w:cs="Times New Roman"/>
          <w:spacing w:val="-9"/>
          <w:sz w:val="18"/>
          <w:szCs w:val="18"/>
          <w:lang w:val="es-ES_tradnl"/>
        </w:rPr>
        <w:t>ñí</w:t>
      </w:r>
      <w:r>
        <w:rPr>
          <w:spacing w:val="-9"/>
          <w:sz w:val="18"/>
          <w:szCs w:val="18"/>
          <w:lang w:val="es-ES_tradnl"/>
        </w:rPr>
        <w:t>a TAGSA y Petroecuador.</w:t>
      </w:r>
    </w:p>
    <w:p w14:paraId="4F67B675" w14:textId="77777777" w:rsidR="00591D54" w:rsidRDefault="00591D54">
      <w:pPr>
        <w:shd w:val="clear" w:color="auto" w:fill="FFFFFF"/>
        <w:spacing w:before="202" w:line="216" w:lineRule="exact"/>
        <w:ind w:right="5"/>
        <w:jc w:val="both"/>
      </w:pPr>
      <w:r>
        <w:rPr>
          <w:spacing w:val="-7"/>
          <w:sz w:val="18"/>
          <w:szCs w:val="18"/>
          <w:lang w:val="es-ES_tradnl"/>
        </w:rPr>
        <w:t xml:space="preserve">Dicho en otras palabras, si los contratos celebrados con la </w:t>
      </w:r>
      <w:r>
        <w:rPr>
          <w:spacing w:val="-8"/>
          <w:sz w:val="18"/>
          <w:szCs w:val="18"/>
          <w:lang w:val="es-ES_tradnl"/>
        </w:rPr>
        <w:t>normativa constitucional expedida en el a</w:t>
      </w:r>
      <w:r>
        <w:rPr>
          <w:rFonts w:cs="Times New Roman"/>
          <w:spacing w:val="-8"/>
          <w:sz w:val="18"/>
          <w:szCs w:val="18"/>
          <w:lang w:val="es-ES_tradnl"/>
        </w:rPr>
        <w:t>ñ</w:t>
      </w:r>
      <w:r>
        <w:rPr>
          <w:spacing w:val="-8"/>
          <w:sz w:val="18"/>
          <w:szCs w:val="18"/>
          <w:lang w:val="es-ES_tradnl"/>
        </w:rPr>
        <w:t xml:space="preserve">o 1998, dejasen </w:t>
      </w:r>
      <w:r>
        <w:rPr>
          <w:spacing w:val="-5"/>
          <w:sz w:val="18"/>
          <w:szCs w:val="18"/>
          <w:lang w:val="es-ES_tradnl"/>
        </w:rPr>
        <w:t xml:space="preserve">de respetar la vigencia de la norma constitucional vigente </w:t>
      </w:r>
      <w:r>
        <w:rPr>
          <w:spacing w:val="-8"/>
          <w:sz w:val="18"/>
          <w:szCs w:val="18"/>
          <w:lang w:val="es-ES_tradnl"/>
        </w:rPr>
        <w:t>a la fecha de su celebraci</w:t>
      </w:r>
      <w:r>
        <w:rPr>
          <w:rFonts w:cs="Times New Roman"/>
          <w:spacing w:val="-8"/>
          <w:sz w:val="18"/>
          <w:szCs w:val="18"/>
          <w:lang w:val="es-ES_tradnl"/>
        </w:rPr>
        <w:t>ó</w:t>
      </w:r>
      <w:r>
        <w:rPr>
          <w:spacing w:val="-8"/>
          <w:sz w:val="18"/>
          <w:szCs w:val="18"/>
          <w:lang w:val="es-ES_tradnl"/>
        </w:rPr>
        <w:t xml:space="preserve">n y por decisiones inmotivadas, </w:t>
      </w:r>
      <w:r>
        <w:rPr>
          <w:spacing w:val="-7"/>
          <w:sz w:val="18"/>
          <w:szCs w:val="18"/>
          <w:lang w:val="es-ES_tradnl"/>
        </w:rPr>
        <w:t xml:space="preserve">empiezan a regirse por la normativa constitucional actual, </w:t>
      </w:r>
      <w:r>
        <w:rPr>
          <w:spacing w:val="-9"/>
          <w:sz w:val="18"/>
          <w:szCs w:val="18"/>
          <w:lang w:val="es-ES_tradnl"/>
        </w:rPr>
        <w:t>que al momento de su celebraci</w:t>
      </w:r>
      <w:r>
        <w:rPr>
          <w:rFonts w:cs="Times New Roman"/>
          <w:spacing w:val="-9"/>
          <w:sz w:val="18"/>
          <w:szCs w:val="18"/>
          <w:lang w:val="es-ES_tradnl"/>
        </w:rPr>
        <w:t>ó</w:t>
      </w:r>
      <w:r>
        <w:rPr>
          <w:spacing w:val="-9"/>
          <w:sz w:val="18"/>
          <w:szCs w:val="18"/>
          <w:lang w:val="es-ES_tradnl"/>
        </w:rPr>
        <w:t>n a</w:t>
      </w:r>
      <w:r>
        <w:rPr>
          <w:rFonts w:cs="Times New Roman"/>
          <w:spacing w:val="-9"/>
          <w:sz w:val="18"/>
          <w:szCs w:val="18"/>
          <w:lang w:val="es-ES_tradnl"/>
        </w:rPr>
        <w:t>ú</w:t>
      </w:r>
      <w:r>
        <w:rPr>
          <w:spacing w:val="-9"/>
          <w:sz w:val="18"/>
          <w:szCs w:val="18"/>
          <w:lang w:val="es-ES_tradnl"/>
        </w:rPr>
        <w:t xml:space="preserve">n ni se encontraba en </w:t>
      </w:r>
      <w:r>
        <w:rPr>
          <w:spacing w:val="-11"/>
          <w:sz w:val="18"/>
          <w:szCs w:val="18"/>
          <w:lang w:val="es-ES_tradnl"/>
        </w:rPr>
        <w:t>proceso de formaci</w:t>
      </w:r>
      <w:r>
        <w:rPr>
          <w:rFonts w:cs="Times New Roman"/>
          <w:spacing w:val="-11"/>
          <w:sz w:val="18"/>
          <w:szCs w:val="18"/>
          <w:lang w:val="es-ES_tradnl"/>
        </w:rPr>
        <w:t>ó</w:t>
      </w:r>
      <w:r>
        <w:rPr>
          <w:spacing w:val="-11"/>
          <w:sz w:val="18"/>
          <w:szCs w:val="18"/>
          <w:lang w:val="es-ES_tradnl"/>
        </w:rPr>
        <w:t>n es decir, eran inexistentes; entonces s</w:t>
      </w:r>
      <w:r>
        <w:rPr>
          <w:rFonts w:cs="Times New Roman"/>
          <w:spacing w:val="-11"/>
          <w:sz w:val="18"/>
          <w:szCs w:val="18"/>
          <w:lang w:val="es-ES_tradnl"/>
        </w:rPr>
        <w:t xml:space="preserve">í </w:t>
      </w:r>
      <w:r>
        <w:rPr>
          <w:spacing w:val="-9"/>
          <w:sz w:val="18"/>
          <w:szCs w:val="18"/>
          <w:lang w:val="es-ES_tradnl"/>
        </w:rPr>
        <w:t>se vulnerar</w:t>
      </w:r>
      <w:r>
        <w:rPr>
          <w:rFonts w:cs="Times New Roman"/>
          <w:spacing w:val="-9"/>
          <w:sz w:val="18"/>
          <w:szCs w:val="18"/>
          <w:lang w:val="es-ES_tradnl"/>
        </w:rPr>
        <w:t>í</w:t>
      </w:r>
      <w:r>
        <w:rPr>
          <w:spacing w:val="-9"/>
          <w:sz w:val="18"/>
          <w:szCs w:val="18"/>
          <w:lang w:val="es-ES_tradnl"/>
        </w:rPr>
        <w:t>a de manera evidente el derecho a la seguridad jur</w:t>
      </w:r>
      <w:r>
        <w:rPr>
          <w:rFonts w:cs="Times New Roman"/>
          <w:spacing w:val="-9"/>
          <w:sz w:val="18"/>
          <w:szCs w:val="18"/>
          <w:lang w:val="es-ES_tradnl"/>
        </w:rPr>
        <w:t>í</w:t>
      </w:r>
      <w:r>
        <w:rPr>
          <w:spacing w:val="-9"/>
          <w:sz w:val="18"/>
          <w:szCs w:val="18"/>
          <w:lang w:val="es-ES_tradnl"/>
        </w:rPr>
        <w:t>dica, ya que las partes estar</w:t>
      </w:r>
      <w:r>
        <w:rPr>
          <w:rFonts w:cs="Times New Roman"/>
          <w:spacing w:val="-9"/>
          <w:sz w:val="18"/>
          <w:szCs w:val="18"/>
          <w:lang w:val="es-ES_tradnl"/>
        </w:rPr>
        <w:t>í</w:t>
      </w:r>
      <w:r>
        <w:rPr>
          <w:spacing w:val="-9"/>
          <w:sz w:val="18"/>
          <w:szCs w:val="18"/>
          <w:lang w:val="es-ES_tradnl"/>
        </w:rPr>
        <w:t>an en incertidumbre jur</w:t>
      </w:r>
      <w:r>
        <w:rPr>
          <w:rFonts w:cs="Times New Roman"/>
          <w:spacing w:val="-9"/>
          <w:sz w:val="18"/>
          <w:szCs w:val="18"/>
          <w:lang w:val="es-ES_tradnl"/>
        </w:rPr>
        <w:t>í</w:t>
      </w:r>
      <w:r>
        <w:rPr>
          <w:spacing w:val="-9"/>
          <w:sz w:val="18"/>
          <w:szCs w:val="18"/>
          <w:lang w:val="es-ES_tradnl"/>
        </w:rPr>
        <w:t xml:space="preserve">dica respecto de las verdaderas obligaciones y derechos que </w:t>
      </w:r>
      <w:r>
        <w:rPr>
          <w:sz w:val="18"/>
          <w:szCs w:val="18"/>
          <w:lang w:val="es-ES_tradnl"/>
        </w:rPr>
        <w:t>adquieren al celebrar cualquier contrato.</w:t>
      </w:r>
    </w:p>
    <w:p w14:paraId="4F67B676" w14:textId="77777777" w:rsidR="00591D54" w:rsidRDefault="00591D54">
      <w:pPr>
        <w:shd w:val="clear" w:color="auto" w:fill="FFFFFF"/>
        <w:spacing w:before="202" w:line="216" w:lineRule="exact"/>
        <w:ind w:right="5"/>
        <w:jc w:val="both"/>
      </w:pPr>
      <w:r>
        <w:rPr>
          <w:spacing w:val="-8"/>
          <w:sz w:val="18"/>
          <w:szCs w:val="18"/>
          <w:lang w:val="es-ES_tradnl"/>
        </w:rPr>
        <w:t xml:space="preserve">En consecuencia, por las consideraciones expuestas, en </w:t>
      </w:r>
      <w:r>
        <w:rPr>
          <w:spacing w:val="-4"/>
          <w:sz w:val="18"/>
          <w:szCs w:val="18"/>
          <w:lang w:val="es-ES_tradnl"/>
        </w:rPr>
        <w:t>raz</w:t>
      </w:r>
      <w:r>
        <w:rPr>
          <w:rFonts w:cs="Times New Roman"/>
          <w:spacing w:val="-4"/>
          <w:sz w:val="18"/>
          <w:szCs w:val="18"/>
          <w:lang w:val="es-ES_tradnl"/>
        </w:rPr>
        <w:t>ó</w:t>
      </w:r>
      <w:r>
        <w:rPr>
          <w:spacing w:val="-4"/>
          <w:sz w:val="18"/>
          <w:szCs w:val="18"/>
          <w:lang w:val="es-ES_tradnl"/>
        </w:rPr>
        <w:t>n de que el contrato se efectu</w:t>
      </w:r>
      <w:r>
        <w:rPr>
          <w:rFonts w:cs="Times New Roman"/>
          <w:spacing w:val="-4"/>
          <w:sz w:val="18"/>
          <w:szCs w:val="18"/>
          <w:lang w:val="es-ES_tradnl"/>
        </w:rPr>
        <w:t>ó</w:t>
      </w:r>
      <w:r>
        <w:rPr>
          <w:spacing w:val="-4"/>
          <w:sz w:val="18"/>
          <w:szCs w:val="18"/>
          <w:lang w:val="es-ES_tradnl"/>
        </w:rPr>
        <w:t xml:space="preserve"> con observancia de </w:t>
      </w:r>
      <w:r>
        <w:rPr>
          <w:spacing w:val="-6"/>
          <w:sz w:val="18"/>
          <w:szCs w:val="18"/>
          <w:lang w:val="es-ES_tradnl"/>
        </w:rPr>
        <w:t xml:space="preserve">la normativa constitucional vigente en el momento de su </w:t>
      </w:r>
      <w:r>
        <w:rPr>
          <w:spacing w:val="-8"/>
          <w:sz w:val="18"/>
          <w:szCs w:val="18"/>
          <w:lang w:val="es-ES_tradnl"/>
        </w:rPr>
        <w:t>celebraci</w:t>
      </w:r>
      <w:r>
        <w:rPr>
          <w:rFonts w:cs="Times New Roman"/>
          <w:spacing w:val="-8"/>
          <w:sz w:val="18"/>
          <w:szCs w:val="18"/>
          <w:lang w:val="es-ES_tradnl"/>
        </w:rPr>
        <w:t>ó</w:t>
      </w:r>
      <w:r>
        <w:rPr>
          <w:spacing w:val="-8"/>
          <w:sz w:val="18"/>
          <w:szCs w:val="18"/>
          <w:lang w:val="es-ES_tradnl"/>
        </w:rPr>
        <w:t>n, esta Corte concluye que no existe vulneraci</w:t>
      </w:r>
      <w:r>
        <w:rPr>
          <w:rFonts w:cs="Times New Roman"/>
          <w:spacing w:val="-8"/>
          <w:sz w:val="18"/>
          <w:szCs w:val="18"/>
          <w:lang w:val="es-ES_tradnl"/>
        </w:rPr>
        <w:t>ó</w:t>
      </w:r>
      <w:r>
        <w:rPr>
          <w:spacing w:val="-8"/>
          <w:sz w:val="18"/>
          <w:szCs w:val="18"/>
          <w:lang w:val="es-ES_tradnl"/>
        </w:rPr>
        <w:t>n del derecho constitucional a la seguridad jur</w:t>
      </w:r>
      <w:r>
        <w:rPr>
          <w:rFonts w:cs="Times New Roman"/>
          <w:spacing w:val="-8"/>
          <w:sz w:val="18"/>
          <w:szCs w:val="18"/>
          <w:lang w:val="es-ES_tradnl"/>
        </w:rPr>
        <w:t>í</w:t>
      </w:r>
      <w:r>
        <w:rPr>
          <w:spacing w:val="-8"/>
          <w:sz w:val="18"/>
          <w:szCs w:val="18"/>
          <w:lang w:val="es-ES_tradnl"/>
        </w:rPr>
        <w:t xml:space="preserve">dica, por parte </w:t>
      </w:r>
      <w:r>
        <w:rPr>
          <w:spacing w:val="-5"/>
          <w:sz w:val="18"/>
          <w:szCs w:val="18"/>
          <w:lang w:val="es-ES_tradnl"/>
        </w:rPr>
        <w:t>del Tribunal Arbitral de la C</w:t>
      </w:r>
      <w:r>
        <w:rPr>
          <w:rFonts w:cs="Times New Roman"/>
          <w:spacing w:val="-5"/>
          <w:sz w:val="18"/>
          <w:szCs w:val="18"/>
          <w:lang w:val="es-ES_tradnl"/>
        </w:rPr>
        <w:t>á</w:t>
      </w:r>
      <w:r>
        <w:rPr>
          <w:spacing w:val="-5"/>
          <w:sz w:val="18"/>
          <w:szCs w:val="18"/>
          <w:lang w:val="es-ES_tradnl"/>
        </w:rPr>
        <w:t>mara de Comercio de Quito,</w:t>
      </w:r>
    </w:p>
    <w:p w14:paraId="4F67B677" w14:textId="77777777" w:rsidR="00591D54" w:rsidRDefault="00591D54">
      <w:pPr>
        <w:shd w:val="clear" w:color="auto" w:fill="FFFFFF"/>
        <w:spacing w:before="557" w:line="178" w:lineRule="exact"/>
        <w:ind w:left="139" w:hanging="139"/>
        <w:jc w:val="both"/>
      </w:pPr>
      <w:r>
        <w:rPr>
          <w:spacing w:val="-4"/>
          <w:sz w:val="14"/>
          <w:szCs w:val="14"/>
          <w:vertAlign w:val="superscript"/>
          <w:lang w:val="es-ES_tradnl"/>
        </w:rPr>
        <w:t>14</w:t>
      </w:r>
      <w:r>
        <w:rPr>
          <w:spacing w:val="-4"/>
          <w:sz w:val="14"/>
          <w:szCs w:val="14"/>
          <w:lang w:val="es-ES_tradnl"/>
        </w:rPr>
        <w:t xml:space="preserve"> </w:t>
      </w:r>
      <w:r>
        <w:rPr>
          <w:sz w:val="14"/>
          <w:szCs w:val="14"/>
          <w:lang w:val="es-ES_tradnl"/>
        </w:rPr>
        <w:t>Constituci</w:t>
      </w:r>
      <w:r>
        <w:rPr>
          <w:rFonts w:cs="Times New Roman"/>
          <w:sz w:val="14"/>
          <w:szCs w:val="14"/>
          <w:lang w:val="es-ES_tradnl"/>
        </w:rPr>
        <w:t>ó</w:t>
      </w:r>
      <w:r>
        <w:rPr>
          <w:sz w:val="14"/>
          <w:szCs w:val="14"/>
          <w:lang w:val="es-ES_tradnl"/>
        </w:rPr>
        <w:t>n Pol</w:t>
      </w:r>
      <w:r>
        <w:rPr>
          <w:rFonts w:cs="Times New Roman"/>
          <w:sz w:val="14"/>
          <w:szCs w:val="14"/>
          <w:lang w:val="es-ES_tradnl"/>
        </w:rPr>
        <w:t>í</w:t>
      </w:r>
      <w:r>
        <w:rPr>
          <w:sz w:val="14"/>
          <w:szCs w:val="14"/>
          <w:lang w:val="es-ES_tradnl"/>
        </w:rPr>
        <w:t>tica de la Rep</w:t>
      </w:r>
      <w:r>
        <w:rPr>
          <w:rFonts w:cs="Times New Roman"/>
          <w:sz w:val="14"/>
          <w:szCs w:val="14"/>
          <w:lang w:val="es-ES_tradnl"/>
        </w:rPr>
        <w:t>ú</w:t>
      </w:r>
      <w:r>
        <w:rPr>
          <w:sz w:val="14"/>
          <w:szCs w:val="14"/>
          <w:lang w:val="es-ES_tradnl"/>
        </w:rPr>
        <w:t>blica del Ecuador. Publicada en registro oficial N.</w:t>
      </w:r>
      <w:r>
        <w:rPr>
          <w:rFonts w:cs="Times New Roman"/>
          <w:sz w:val="14"/>
          <w:szCs w:val="14"/>
          <w:lang w:val="es-ES_tradnl"/>
        </w:rPr>
        <w:t>°</w:t>
      </w:r>
      <w:r>
        <w:rPr>
          <w:sz w:val="14"/>
          <w:szCs w:val="14"/>
          <w:lang w:val="es-ES_tradnl"/>
        </w:rPr>
        <w:t xml:space="preserve"> 1 del 11 de agosto de 1998. Derogada. Art</w:t>
      </w:r>
      <w:r>
        <w:rPr>
          <w:rFonts w:cs="Times New Roman"/>
          <w:sz w:val="14"/>
          <w:szCs w:val="14"/>
          <w:lang w:val="es-ES_tradnl"/>
        </w:rPr>
        <w:t>í</w:t>
      </w:r>
      <w:r>
        <w:rPr>
          <w:sz w:val="14"/>
          <w:szCs w:val="14"/>
          <w:lang w:val="es-ES_tradnl"/>
        </w:rPr>
        <w:t xml:space="preserve">culo </w:t>
      </w:r>
      <w:r>
        <w:rPr>
          <w:spacing w:val="-2"/>
          <w:sz w:val="14"/>
          <w:szCs w:val="14"/>
          <w:lang w:val="es-ES_tradnl"/>
        </w:rPr>
        <w:t>191.- El ejercicio de la potestad judicial corresponder</w:t>
      </w:r>
      <w:r>
        <w:rPr>
          <w:rFonts w:cs="Times New Roman"/>
          <w:spacing w:val="-2"/>
          <w:sz w:val="14"/>
          <w:szCs w:val="14"/>
          <w:lang w:val="es-ES_tradnl"/>
        </w:rPr>
        <w:t>á</w:t>
      </w:r>
      <w:r>
        <w:rPr>
          <w:spacing w:val="-2"/>
          <w:sz w:val="14"/>
          <w:szCs w:val="14"/>
          <w:lang w:val="es-ES_tradnl"/>
        </w:rPr>
        <w:t xml:space="preserve"> a los </w:t>
      </w:r>
      <w:r>
        <w:rPr>
          <w:rFonts w:cs="Times New Roman"/>
          <w:spacing w:val="-2"/>
          <w:sz w:val="14"/>
          <w:szCs w:val="14"/>
          <w:lang w:val="es-ES_tradnl"/>
        </w:rPr>
        <w:t>ó</w:t>
      </w:r>
      <w:r>
        <w:rPr>
          <w:spacing w:val="-2"/>
          <w:sz w:val="14"/>
          <w:szCs w:val="14"/>
          <w:lang w:val="es-ES_tradnl"/>
        </w:rPr>
        <w:t xml:space="preserve">rganos </w:t>
      </w:r>
      <w:r>
        <w:rPr>
          <w:sz w:val="14"/>
          <w:szCs w:val="14"/>
          <w:lang w:val="es-ES_tradnl"/>
        </w:rPr>
        <w:t>de la Funci</w:t>
      </w:r>
      <w:r>
        <w:rPr>
          <w:rFonts w:cs="Times New Roman"/>
          <w:sz w:val="14"/>
          <w:szCs w:val="14"/>
          <w:lang w:val="es-ES_tradnl"/>
        </w:rPr>
        <w:t>ó</w:t>
      </w:r>
      <w:r>
        <w:rPr>
          <w:sz w:val="14"/>
          <w:szCs w:val="14"/>
          <w:lang w:val="es-ES_tradnl"/>
        </w:rPr>
        <w:t>n Judicial. Se establecer</w:t>
      </w:r>
      <w:r>
        <w:rPr>
          <w:rFonts w:cs="Times New Roman"/>
          <w:sz w:val="14"/>
          <w:szCs w:val="14"/>
          <w:lang w:val="es-ES_tradnl"/>
        </w:rPr>
        <w:t>á</w:t>
      </w:r>
      <w:r>
        <w:rPr>
          <w:sz w:val="14"/>
          <w:szCs w:val="14"/>
          <w:lang w:val="es-ES_tradnl"/>
        </w:rPr>
        <w:t xml:space="preserve"> la unidad jurisdiccional. De </w:t>
      </w:r>
      <w:r>
        <w:rPr>
          <w:spacing w:val="-3"/>
          <w:sz w:val="14"/>
          <w:szCs w:val="14"/>
          <w:lang w:val="es-ES_tradnl"/>
        </w:rPr>
        <w:t>acuerdo con la ley habr</w:t>
      </w:r>
      <w:r>
        <w:rPr>
          <w:rFonts w:cs="Times New Roman"/>
          <w:spacing w:val="-3"/>
          <w:sz w:val="14"/>
          <w:szCs w:val="14"/>
          <w:lang w:val="es-ES_tradnl"/>
        </w:rPr>
        <w:t>á</w:t>
      </w:r>
      <w:r>
        <w:rPr>
          <w:spacing w:val="-3"/>
          <w:sz w:val="14"/>
          <w:szCs w:val="14"/>
          <w:lang w:val="es-ES_tradnl"/>
        </w:rPr>
        <w:t xml:space="preserve"> jueces de paz, encargados de resolver en </w:t>
      </w:r>
      <w:r>
        <w:rPr>
          <w:spacing w:val="-1"/>
          <w:sz w:val="14"/>
          <w:szCs w:val="14"/>
          <w:lang w:val="es-ES_tradnl"/>
        </w:rPr>
        <w:t xml:space="preserve">equidad confl ictos individuales, comunitarios o vecinales. </w:t>
      </w:r>
      <w:r>
        <w:rPr>
          <w:sz w:val="14"/>
          <w:szCs w:val="14"/>
          <w:lang w:val="es-ES_tradnl"/>
        </w:rPr>
        <w:t>Se reconocer</w:t>
      </w:r>
      <w:r>
        <w:rPr>
          <w:rFonts w:cs="Times New Roman"/>
          <w:sz w:val="14"/>
          <w:szCs w:val="14"/>
          <w:lang w:val="es-ES_tradnl"/>
        </w:rPr>
        <w:t>á</w:t>
      </w:r>
      <w:r>
        <w:rPr>
          <w:sz w:val="14"/>
          <w:szCs w:val="14"/>
          <w:lang w:val="es-ES_tradnl"/>
        </w:rPr>
        <w:t>n el arbitraje, la mediaci</w:t>
      </w:r>
      <w:r>
        <w:rPr>
          <w:rFonts w:cs="Times New Roman"/>
          <w:sz w:val="14"/>
          <w:szCs w:val="14"/>
          <w:lang w:val="es-ES_tradnl"/>
        </w:rPr>
        <w:t>ó</w:t>
      </w:r>
      <w:r>
        <w:rPr>
          <w:sz w:val="14"/>
          <w:szCs w:val="14"/>
          <w:lang w:val="es-ES_tradnl"/>
        </w:rPr>
        <w:t xml:space="preserve">n y otros procedimientos </w:t>
      </w:r>
      <w:r>
        <w:rPr>
          <w:spacing w:val="-2"/>
          <w:sz w:val="14"/>
          <w:szCs w:val="14"/>
          <w:lang w:val="es-ES_tradnl"/>
        </w:rPr>
        <w:t>alternativos para la resoluci</w:t>
      </w:r>
      <w:r>
        <w:rPr>
          <w:rFonts w:cs="Times New Roman"/>
          <w:spacing w:val="-2"/>
          <w:sz w:val="14"/>
          <w:szCs w:val="14"/>
          <w:lang w:val="es-ES_tradnl"/>
        </w:rPr>
        <w:t>ó</w:t>
      </w:r>
      <w:r>
        <w:rPr>
          <w:spacing w:val="-2"/>
          <w:sz w:val="14"/>
          <w:szCs w:val="14"/>
          <w:lang w:val="es-ES_tradnl"/>
        </w:rPr>
        <w:t>n de confl ictos, con sujeci</w:t>
      </w:r>
      <w:r>
        <w:rPr>
          <w:rFonts w:cs="Times New Roman"/>
          <w:spacing w:val="-2"/>
          <w:sz w:val="14"/>
          <w:szCs w:val="14"/>
          <w:lang w:val="es-ES_tradnl"/>
        </w:rPr>
        <w:t>ó</w:t>
      </w:r>
      <w:r>
        <w:rPr>
          <w:spacing w:val="-2"/>
          <w:sz w:val="14"/>
          <w:szCs w:val="14"/>
          <w:lang w:val="es-ES_tradnl"/>
        </w:rPr>
        <w:t>n a la ley. Las autoridades de los pueblos ind</w:t>
      </w:r>
      <w:r>
        <w:rPr>
          <w:rFonts w:cs="Times New Roman"/>
          <w:spacing w:val="-2"/>
          <w:sz w:val="14"/>
          <w:szCs w:val="14"/>
          <w:lang w:val="es-ES_tradnl"/>
        </w:rPr>
        <w:t>í</w:t>
      </w:r>
      <w:r>
        <w:rPr>
          <w:spacing w:val="-2"/>
          <w:sz w:val="14"/>
          <w:szCs w:val="14"/>
          <w:lang w:val="es-ES_tradnl"/>
        </w:rPr>
        <w:t>genas ejercer</w:t>
      </w:r>
      <w:r>
        <w:rPr>
          <w:rFonts w:cs="Times New Roman"/>
          <w:spacing w:val="-2"/>
          <w:sz w:val="14"/>
          <w:szCs w:val="14"/>
          <w:lang w:val="es-ES_tradnl"/>
        </w:rPr>
        <w:t>á</w:t>
      </w:r>
      <w:r>
        <w:rPr>
          <w:spacing w:val="-2"/>
          <w:sz w:val="14"/>
          <w:szCs w:val="14"/>
          <w:lang w:val="es-ES_tradnl"/>
        </w:rPr>
        <w:t>n funciones de justicia, aplicando normas y procedimientos propios para la soluci</w:t>
      </w:r>
      <w:r>
        <w:rPr>
          <w:rFonts w:cs="Times New Roman"/>
          <w:spacing w:val="-2"/>
          <w:sz w:val="14"/>
          <w:szCs w:val="14"/>
          <w:lang w:val="es-ES_tradnl"/>
        </w:rPr>
        <w:t>ó</w:t>
      </w:r>
      <w:r>
        <w:rPr>
          <w:spacing w:val="-2"/>
          <w:sz w:val="14"/>
          <w:szCs w:val="14"/>
          <w:lang w:val="es-ES_tradnl"/>
        </w:rPr>
        <w:t xml:space="preserve">n </w:t>
      </w:r>
      <w:r>
        <w:rPr>
          <w:spacing w:val="-3"/>
          <w:sz w:val="14"/>
          <w:szCs w:val="14"/>
          <w:lang w:val="es-ES_tradnl"/>
        </w:rPr>
        <w:t xml:space="preserve">de confl ictos internos de conformidad con sus costumbres o derecho </w:t>
      </w:r>
      <w:r>
        <w:rPr>
          <w:sz w:val="14"/>
          <w:szCs w:val="14"/>
          <w:lang w:val="es-ES_tradnl"/>
        </w:rPr>
        <w:t>consuetudinario, siempre que no sean contrarios a la Constituci</w:t>
      </w:r>
      <w:r>
        <w:rPr>
          <w:rFonts w:cs="Times New Roman"/>
          <w:sz w:val="14"/>
          <w:szCs w:val="14"/>
          <w:lang w:val="es-ES_tradnl"/>
        </w:rPr>
        <w:t>ó</w:t>
      </w:r>
      <w:r>
        <w:rPr>
          <w:sz w:val="14"/>
          <w:szCs w:val="14"/>
          <w:lang w:val="es-ES_tradnl"/>
        </w:rPr>
        <w:t xml:space="preserve">n </w:t>
      </w:r>
      <w:r>
        <w:rPr>
          <w:spacing w:val="-2"/>
          <w:sz w:val="14"/>
          <w:szCs w:val="14"/>
          <w:lang w:val="es-ES_tradnl"/>
        </w:rPr>
        <w:t>y las leyes. La ley har</w:t>
      </w:r>
      <w:r>
        <w:rPr>
          <w:rFonts w:cs="Times New Roman"/>
          <w:spacing w:val="-2"/>
          <w:sz w:val="14"/>
          <w:szCs w:val="14"/>
          <w:lang w:val="es-ES_tradnl"/>
        </w:rPr>
        <w:t>á</w:t>
      </w:r>
      <w:r>
        <w:rPr>
          <w:spacing w:val="-2"/>
          <w:sz w:val="14"/>
          <w:szCs w:val="14"/>
          <w:lang w:val="es-ES_tradnl"/>
        </w:rPr>
        <w:t xml:space="preserve"> compatibles aquellas funciones con las del </w:t>
      </w:r>
      <w:r>
        <w:rPr>
          <w:sz w:val="14"/>
          <w:szCs w:val="14"/>
          <w:lang w:val="es-ES_tradnl"/>
        </w:rPr>
        <w:t>sistema judicial nacional.</w:t>
      </w:r>
    </w:p>
    <w:p w14:paraId="4F67B678" w14:textId="77777777" w:rsidR="00591D54" w:rsidRDefault="00591D54">
      <w:pPr>
        <w:shd w:val="clear" w:color="auto" w:fill="FFFFFF"/>
        <w:spacing w:line="230" w:lineRule="exact"/>
        <w:jc w:val="both"/>
      </w:pPr>
      <w:r>
        <w:br w:type="column"/>
      </w:r>
      <w:r>
        <w:rPr>
          <w:spacing w:val="-8"/>
          <w:sz w:val="18"/>
          <w:szCs w:val="18"/>
          <w:lang w:val="es-ES_tradnl"/>
        </w:rPr>
        <w:t>al expedir el auto del 05 de agosto de 2011, pues actu</w:t>
      </w:r>
      <w:r>
        <w:rPr>
          <w:rFonts w:cs="Times New Roman"/>
          <w:spacing w:val="-8"/>
          <w:sz w:val="18"/>
          <w:szCs w:val="18"/>
          <w:lang w:val="es-ES_tradnl"/>
        </w:rPr>
        <w:t>ó</w:t>
      </w:r>
      <w:r>
        <w:rPr>
          <w:spacing w:val="-8"/>
          <w:sz w:val="18"/>
          <w:szCs w:val="18"/>
          <w:lang w:val="es-ES_tradnl"/>
        </w:rPr>
        <w:t xml:space="preserve"> en </w:t>
      </w:r>
      <w:r>
        <w:rPr>
          <w:spacing w:val="-7"/>
          <w:sz w:val="18"/>
          <w:szCs w:val="18"/>
          <w:lang w:val="es-ES_tradnl"/>
        </w:rPr>
        <w:t xml:space="preserve">virtud de la competencia otorgada por el convenio bajo la </w:t>
      </w:r>
      <w:r>
        <w:rPr>
          <w:sz w:val="18"/>
          <w:szCs w:val="18"/>
          <w:lang w:val="es-ES_tradnl"/>
        </w:rPr>
        <w:t>normativa constitucional de 1998.</w:t>
      </w:r>
    </w:p>
    <w:p w14:paraId="4F67B679" w14:textId="77777777" w:rsidR="00591D54" w:rsidRDefault="00591D54">
      <w:pPr>
        <w:shd w:val="clear" w:color="auto" w:fill="FFFFFF"/>
        <w:spacing w:before="206"/>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B67A" w14:textId="77777777" w:rsidR="00591D54" w:rsidRDefault="00591D54">
      <w:pPr>
        <w:shd w:val="clear" w:color="auto" w:fill="FFFFFF"/>
        <w:spacing w:before="206" w:line="230" w:lineRule="exact"/>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5"/>
          <w:sz w:val="18"/>
          <w:szCs w:val="18"/>
          <w:lang w:val="es-ES_tradnl"/>
        </w:rPr>
        <w:t>constitucional y por mandato de la Constituci</w:t>
      </w:r>
      <w:r>
        <w:rPr>
          <w:rFonts w:cs="Times New Roman"/>
          <w:spacing w:val="-5"/>
          <w:sz w:val="18"/>
          <w:szCs w:val="18"/>
          <w:lang w:val="es-ES_tradnl"/>
        </w:rPr>
        <w:t>ó</w:t>
      </w:r>
      <w:r>
        <w:rPr>
          <w:spacing w:val="-5"/>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 xml:space="preserve">blica del Ecuador, el Pleno de la Corte Constitucional </w:t>
      </w:r>
      <w:r>
        <w:rPr>
          <w:sz w:val="18"/>
          <w:szCs w:val="18"/>
          <w:lang w:val="es-ES_tradnl"/>
        </w:rPr>
        <w:t>expide la siguiente:</w:t>
      </w:r>
    </w:p>
    <w:p w14:paraId="4F67B67B" w14:textId="77777777" w:rsidR="00591D54" w:rsidRDefault="00591D54">
      <w:pPr>
        <w:shd w:val="clear" w:color="auto" w:fill="FFFFFF"/>
        <w:spacing w:before="206"/>
        <w:ind w:left="10"/>
        <w:jc w:val="center"/>
      </w:pPr>
      <w:r>
        <w:rPr>
          <w:b/>
          <w:bCs/>
          <w:sz w:val="18"/>
          <w:szCs w:val="18"/>
          <w:lang w:val="es-ES_tradnl"/>
        </w:rPr>
        <w:t>SENTENCIA</w:t>
      </w:r>
    </w:p>
    <w:p w14:paraId="4F67B67C" w14:textId="77777777" w:rsidR="00591D54" w:rsidRDefault="00591D54" w:rsidP="00251195">
      <w:pPr>
        <w:numPr>
          <w:ilvl w:val="0"/>
          <w:numId w:val="106"/>
        </w:numPr>
        <w:shd w:val="clear" w:color="auto" w:fill="FFFFFF"/>
        <w:tabs>
          <w:tab w:val="left" w:pos="566"/>
        </w:tabs>
        <w:spacing w:before="206" w:line="230" w:lineRule="exact"/>
        <w:ind w:left="566" w:hanging="283"/>
        <w:rPr>
          <w:spacing w:val="-9"/>
          <w:sz w:val="18"/>
          <w:szCs w:val="18"/>
          <w:lang w:val="es-ES_tradnl"/>
        </w:rPr>
      </w:pPr>
      <w:r>
        <w:rPr>
          <w:spacing w:val="-10"/>
          <w:sz w:val="18"/>
          <w:szCs w:val="18"/>
          <w:lang w:val="es-ES_tradnl"/>
        </w:rPr>
        <w:t>Declarar que no ha existido vulneraci</w:t>
      </w:r>
      <w:r>
        <w:rPr>
          <w:rFonts w:cs="Times New Roman"/>
          <w:spacing w:val="-10"/>
          <w:sz w:val="18"/>
          <w:szCs w:val="18"/>
          <w:lang w:val="es-ES_tradnl"/>
        </w:rPr>
        <w:t>ó</w:t>
      </w:r>
      <w:r>
        <w:rPr>
          <w:spacing w:val="-10"/>
          <w:sz w:val="18"/>
          <w:szCs w:val="18"/>
          <w:lang w:val="es-ES_tradnl"/>
        </w:rPr>
        <w:t xml:space="preserve">n de derechos </w:t>
      </w:r>
      <w:r>
        <w:rPr>
          <w:sz w:val="18"/>
          <w:szCs w:val="18"/>
          <w:lang w:val="es-ES_tradnl"/>
        </w:rPr>
        <w:t>constitucionales.</w:t>
      </w:r>
    </w:p>
    <w:p w14:paraId="4F67B67D" w14:textId="77777777" w:rsidR="00591D54" w:rsidRDefault="00591D54" w:rsidP="00251195">
      <w:pPr>
        <w:numPr>
          <w:ilvl w:val="0"/>
          <w:numId w:val="106"/>
        </w:numPr>
        <w:shd w:val="clear" w:color="auto" w:fill="FFFFFF"/>
        <w:tabs>
          <w:tab w:val="left" w:pos="566"/>
        </w:tabs>
        <w:spacing w:before="206" w:line="230" w:lineRule="exact"/>
        <w:ind w:left="566" w:hanging="283"/>
        <w:rPr>
          <w:spacing w:val="-9"/>
          <w:sz w:val="18"/>
          <w:szCs w:val="18"/>
          <w:lang w:val="es-ES_tradnl"/>
        </w:rPr>
      </w:pPr>
      <w:r>
        <w:rPr>
          <w:spacing w:val="-6"/>
          <w:sz w:val="18"/>
          <w:szCs w:val="18"/>
          <w:lang w:val="es-ES_tradnl"/>
        </w:rPr>
        <w:t>Negar   la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w:t>
      </w:r>
      <w:r>
        <w:rPr>
          <w:sz w:val="18"/>
          <w:szCs w:val="18"/>
          <w:lang w:val="es-ES_tradnl"/>
        </w:rPr>
        <w:t>planteada.</w:t>
      </w:r>
    </w:p>
    <w:p w14:paraId="4F67B67E" w14:textId="77777777" w:rsidR="00591D54" w:rsidRDefault="00591D54" w:rsidP="00251195">
      <w:pPr>
        <w:numPr>
          <w:ilvl w:val="0"/>
          <w:numId w:val="106"/>
        </w:numPr>
        <w:shd w:val="clear" w:color="auto" w:fill="FFFFFF"/>
        <w:tabs>
          <w:tab w:val="left" w:pos="566"/>
        </w:tabs>
        <w:spacing w:before="211"/>
        <w:ind w:left="283"/>
        <w:rPr>
          <w:spacing w:val="-9"/>
          <w:sz w:val="18"/>
          <w:szCs w:val="18"/>
          <w:lang w:val="es-ES_tradnl"/>
        </w:rPr>
      </w:pPr>
      <w:r>
        <w:rPr>
          <w:spacing w:val="-7"/>
          <w:sz w:val="18"/>
          <w:szCs w:val="18"/>
          <w:lang w:val="es-ES_tradnl"/>
        </w:rPr>
        <w:t>Notif</w:t>
      </w:r>
      <w:r>
        <w:rPr>
          <w:rFonts w:cs="Times New Roman"/>
          <w:spacing w:val="-7"/>
          <w:sz w:val="18"/>
          <w:szCs w:val="18"/>
          <w:lang w:val="es-ES_tradnl"/>
        </w:rPr>
        <w:t>í</w:t>
      </w:r>
      <w:r>
        <w:rPr>
          <w:spacing w:val="-7"/>
          <w:sz w:val="18"/>
          <w:szCs w:val="18"/>
          <w:lang w:val="es-ES_tradnl"/>
        </w:rPr>
        <w:t>quese, publ</w:t>
      </w:r>
      <w:r>
        <w:rPr>
          <w:rFonts w:cs="Times New Roman"/>
          <w:spacing w:val="-7"/>
          <w:sz w:val="18"/>
          <w:szCs w:val="18"/>
          <w:lang w:val="es-ES_tradnl"/>
        </w:rPr>
        <w:t>í</w:t>
      </w:r>
      <w:r>
        <w:rPr>
          <w:spacing w:val="-7"/>
          <w:sz w:val="18"/>
          <w:szCs w:val="18"/>
          <w:lang w:val="es-ES_tradnl"/>
        </w:rPr>
        <w:t>quese y c</w:t>
      </w:r>
      <w:r>
        <w:rPr>
          <w:rFonts w:cs="Times New Roman"/>
          <w:spacing w:val="-7"/>
          <w:sz w:val="18"/>
          <w:szCs w:val="18"/>
          <w:lang w:val="es-ES_tradnl"/>
        </w:rPr>
        <w:t>ú</w:t>
      </w:r>
      <w:r>
        <w:rPr>
          <w:spacing w:val="-7"/>
          <w:sz w:val="18"/>
          <w:szCs w:val="18"/>
          <w:lang w:val="es-ES_tradnl"/>
        </w:rPr>
        <w:t>mplase.</w:t>
      </w:r>
    </w:p>
    <w:p w14:paraId="4F67B67F" w14:textId="77777777" w:rsidR="00591D54" w:rsidRDefault="00591D54">
      <w:pPr>
        <w:shd w:val="clear" w:color="auto" w:fill="FFFFFF"/>
        <w:spacing w:before="206"/>
      </w:pPr>
      <w:r>
        <w:rPr>
          <w:spacing w:val="-4"/>
          <w:sz w:val="18"/>
          <w:szCs w:val="18"/>
          <w:lang w:val="es-ES_tradnl"/>
        </w:rPr>
        <w:t>f.) Patricio Pazmi</w:t>
      </w:r>
      <w:r>
        <w:rPr>
          <w:rFonts w:cs="Times New Roman"/>
          <w:spacing w:val="-4"/>
          <w:sz w:val="18"/>
          <w:szCs w:val="18"/>
          <w:lang w:val="es-ES_tradnl"/>
        </w:rPr>
        <w:t>ñ</w:t>
      </w:r>
      <w:r>
        <w:rPr>
          <w:spacing w:val="-4"/>
          <w:sz w:val="18"/>
          <w:szCs w:val="18"/>
          <w:lang w:val="es-ES_tradnl"/>
        </w:rPr>
        <w:t xml:space="preserve">o Freire, </w:t>
      </w:r>
      <w:r>
        <w:rPr>
          <w:b/>
          <w:bCs/>
          <w:spacing w:val="-4"/>
          <w:sz w:val="18"/>
          <w:szCs w:val="18"/>
          <w:lang w:val="es-ES_tradnl"/>
        </w:rPr>
        <w:t>PRESIDENTE.</w:t>
      </w:r>
    </w:p>
    <w:p w14:paraId="4F67B680" w14:textId="77777777" w:rsidR="00591D54" w:rsidRDefault="00591D54">
      <w:pPr>
        <w:shd w:val="clear" w:color="auto" w:fill="FFFFFF"/>
        <w:spacing w:before="206" w:line="230" w:lineRule="exact"/>
        <w:jc w:val="both"/>
      </w:pPr>
      <w:r>
        <w:rPr>
          <w:spacing w:val="-1"/>
          <w:sz w:val="18"/>
          <w:szCs w:val="18"/>
          <w:lang w:val="es-ES_tradnl"/>
        </w:rPr>
        <w:t>f.) Pa</w:t>
      </w:r>
      <w:r>
        <w:rPr>
          <w:rFonts w:cs="Times New Roman"/>
          <w:spacing w:val="-1"/>
          <w:sz w:val="18"/>
          <w:szCs w:val="18"/>
          <w:lang w:val="es-ES_tradnl"/>
        </w:rPr>
        <w:t>ú</w:t>
      </w:r>
      <w:r>
        <w:rPr>
          <w:spacing w:val="-1"/>
          <w:sz w:val="18"/>
          <w:szCs w:val="18"/>
          <w:lang w:val="es-ES_tradnl"/>
        </w:rPr>
        <w:t xml:space="preserve">l Emilio Prado Chiriboga, </w:t>
      </w:r>
      <w:r>
        <w:rPr>
          <w:b/>
          <w:bCs/>
          <w:spacing w:val="-1"/>
          <w:sz w:val="18"/>
          <w:szCs w:val="18"/>
          <w:lang w:val="es-ES_tradnl"/>
        </w:rPr>
        <w:t xml:space="preserve">SECRETARIO </w:t>
      </w:r>
      <w:r>
        <w:rPr>
          <w:b/>
          <w:bCs/>
          <w:sz w:val="18"/>
          <w:szCs w:val="18"/>
          <w:lang w:val="es-ES_tradnl"/>
        </w:rPr>
        <w:t>GENERAL (E).</w:t>
      </w:r>
    </w:p>
    <w:p w14:paraId="4F67B681" w14:textId="77777777" w:rsidR="00591D54" w:rsidRDefault="00591D54">
      <w:pPr>
        <w:shd w:val="clear" w:color="auto" w:fill="FFFFFF"/>
        <w:spacing w:before="206" w:line="230" w:lineRule="exact"/>
        <w:jc w:val="both"/>
      </w:pPr>
      <w:r>
        <w:rPr>
          <w:b/>
          <w:bCs/>
          <w:spacing w:val="-7"/>
          <w:sz w:val="18"/>
          <w:szCs w:val="18"/>
          <w:lang w:val="es-ES_tradnl"/>
        </w:rPr>
        <w:t>Raz</w:t>
      </w:r>
      <w:r>
        <w:rPr>
          <w:rFonts w:cs="Times New Roman"/>
          <w:b/>
          <w:bCs/>
          <w:spacing w:val="-7"/>
          <w:sz w:val="18"/>
          <w:szCs w:val="18"/>
          <w:lang w:val="es-ES_tradnl"/>
        </w:rPr>
        <w:t>ó</w:t>
      </w:r>
      <w:r>
        <w:rPr>
          <w:b/>
          <w:bCs/>
          <w:spacing w:val="-7"/>
          <w:sz w:val="18"/>
          <w:szCs w:val="18"/>
          <w:lang w:val="es-ES_tradnl"/>
        </w:rPr>
        <w:t xml:space="preserve">n: </w:t>
      </w:r>
      <w:r>
        <w:rPr>
          <w:spacing w:val="-7"/>
          <w:sz w:val="18"/>
          <w:szCs w:val="18"/>
          <w:lang w:val="es-ES_tradnl"/>
        </w:rPr>
        <w:t xml:space="preserve">Siento por tal, que la sentencia que antecede fue </w:t>
      </w:r>
      <w:r>
        <w:rPr>
          <w:spacing w:val="-2"/>
          <w:sz w:val="18"/>
          <w:szCs w:val="18"/>
          <w:lang w:val="es-ES_tradnl"/>
        </w:rPr>
        <w:t xml:space="preserve">aprobada por el Pleno de la Corte Constitucional, con </w:t>
      </w:r>
      <w:r>
        <w:rPr>
          <w:spacing w:val="-10"/>
          <w:sz w:val="18"/>
          <w:szCs w:val="18"/>
          <w:lang w:val="es-ES_tradnl"/>
        </w:rPr>
        <w:t>siete votos de las se</w:t>
      </w:r>
      <w:r>
        <w:rPr>
          <w:rFonts w:cs="Times New Roman"/>
          <w:spacing w:val="-10"/>
          <w:sz w:val="18"/>
          <w:szCs w:val="18"/>
          <w:lang w:val="es-ES_tradnl"/>
        </w:rPr>
        <w:t>ñ</w:t>
      </w:r>
      <w:r>
        <w:rPr>
          <w:spacing w:val="-10"/>
          <w:sz w:val="18"/>
          <w:szCs w:val="18"/>
          <w:lang w:val="es-ES_tradnl"/>
        </w:rPr>
        <w:t>oras juezas y se</w:t>
      </w:r>
      <w:r>
        <w:rPr>
          <w:rFonts w:cs="Times New Roman"/>
          <w:spacing w:val="-10"/>
          <w:sz w:val="18"/>
          <w:szCs w:val="18"/>
          <w:lang w:val="es-ES_tradnl"/>
        </w:rPr>
        <w:t>ñ</w:t>
      </w:r>
      <w:r>
        <w:rPr>
          <w:spacing w:val="-10"/>
          <w:sz w:val="18"/>
          <w:szCs w:val="18"/>
          <w:lang w:val="es-ES_tradnl"/>
        </w:rPr>
        <w:t xml:space="preserve">ores jueces: Antonio </w:t>
      </w:r>
      <w:r>
        <w:rPr>
          <w:spacing w:val="-7"/>
          <w:sz w:val="18"/>
          <w:szCs w:val="18"/>
          <w:lang w:val="es-ES_tradnl"/>
        </w:rPr>
        <w:t>Gagliardo Loor, Marcelo Jaramillo Villa, Mar</w:t>
      </w:r>
      <w:r>
        <w:rPr>
          <w:rFonts w:cs="Times New Roman"/>
          <w:spacing w:val="-7"/>
          <w:sz w:val="18"/>
          <w:szCs w:val="18"/>
          <w:lang w:val="es-ES_tradnl"/>
        </w:rPr>
        <w:t>í</w:t>
      </w:r>
      <w:r>
        <w:rPr>
          <w:spacing w:val="-7"/>
          <w:sz w:val="18"/>
          <w:szCs w:val="18"/>
          <w:lang w:val="es-ES_tradnl"/>
        </w:rPr>
        <w:t xml:space="preserve">a del Carmen </w:t>
      </w:r>
      <w:r>
        <w:rPr>
          <w:spacing w:val="-5"/>
          <w:sz w:val="18"/>
          <w:szCs w:val="18"/>
          <w:lang w:val="es-ES_tradnl"/>
        </w:rPr>
        <w:t>Maldonado S</w:t>
      </w:r>
      <w:r>
        <w:rPr>
          <w:rFonts w:cs="Times New Roman"/>
          <w:spacing w:val="-5"/>
          <w:sz w:val="18"/>
          <w:szCs w:val="18"/>
          <w:lang w:val="es-ES_tradnl"/>
        </w:rPr>
        <w:t>á</w:t>
      </w:r>
      <w:r>
        <w:rPr>
          <w:spacing w:val="-5"/>
          <w:sz w:val="18"/>
          <w:szCs w:val="18"/>
          <w:lang w:val="es-ES_tradnl"/>
        </w:rPr>
        <w:t>nchez, Tatiana Orde</w:t>
      </w:r>
      <w:r>
        <w:rPr>
          <w:rFonts w:cs="Times New Roman"/>
          <w:spacing w:val="-5"/>
          <w:sz w:val="18"/>
          <w:szCs w:val="18"/>
          <w:lang w:val="es-ES_tradnl"/>
        </w:rPr>
        <w:t>ñ</w:t>
      </w:r>
      <w:r>
        <w:rPr>
          <w:spacing w:val="-5"/>
          <w:sz w:val="18"/>
          <w:szCs w:val="18"/>
          <w:lang w:val="es-ES_tradnl"/>
        </w:rPr>
        <w:t xml:space="preserve">ana Sierra, Alfredo </w:t>
      </w:r>
      <w:r>
        <w:rPr>
          <w:spacing w:val="-3"/>
          <w:sz w:val="18"/>
          <w:szCs w:val="18"/>
          <w:lang w:val="es-ES_tradnl"/>
        </w:rPr>
        <w:t>Ruiz Guzm</w:t>
      </w:r>
      <w:r>
        <w:rPr>
          <w:rFonts w:cs="Times New Roman"/>
          <w:spacing w:val="-3"/>
          <w:sz w:val="18"/>
          <w:szCs w:val="18"/>
          <w:lang w:val="es-ES_tradnl"/>
        </w:rPr>
        <w:t>á</w:t>
      </w:r>
      <w:r>
        <w:rPr>
          <w:spacing w:val="-3"/>
          <w:sz w:val="18"/>
          <w:szCs w:val="18"/>
          <w:lang w:val="es-ES_tradnl"/>
        </w:rPr>
        <w:t>n, Manuel Viteri Olvera y Patricio Pazmi</w:t>
      </w:r>
      <w:r>
        <w:rPr>
          <w:rFonts w:cs="Times New Roman"/>
          <w:spacing w:val="-3"/>
          <w:sz w:val="18"/>
          <w:szCs w:val="18"/>
          <w:lang w:val="es-ES_tradnl"/>
        </w:rPr>
        <w:t>ñ</w:t>
      </w:r>
      <w:r>
        <w:rPr>
          <w:spacing w:val="-3"/>
          <w:sz w:val="18"/>
          <w:szCs w:val="18"/>
          <w:lang w:val="es-ES_tradnl"/>
        </w:rPr>
        <w:t xml:space="preserve">o </w:t>
      </w:r>
      <w:r>
        <w:rPr>
          <w:spacing w:val="-7"/>
          <w:sz w:val="18"/>
          <w:szCs w:val="18"/>
          <w:lang w:val="es-ES_tradnl"/>
        </w:rPr>
        <w:t xml:space="preserve">Freire, sin contar con la presencia de las juezas Wendy </w:t>
      </w:r>
      <w:r>
        <w:rPr>
          <w:spacing w:val="-6"/>
          <w:sz w:val="18"/>
          <w:szCs w:val="18"/>
          <w:lang w:val="es-ES_tradnl"/>
        </w:rPr>
        <w:t>Molina Andrade y Ruth Seni Pinoargote, en sesi</w:t>
      </w:r>
      <w:r>
        <w:rPr>
          <w:rFonts w:cs="Times New Roman"/>
          <w:spacing w:val="-6"/>
          <w:sz w:val="18"/>
          <w:szCs w:val="18"/>
          <w:lang w:val="es-ES_tradnl"/>
        </w:rPr>
        <w:t>ó</w:t>
      </w:r>
      <w:r>
        <w:rPr>
          <w:spacing w:val="-6"/>
          <w:sz w:val="18"/>
          <w:szCs w:val="18"/>
          <w:lang w:val="es-ES_tradnl"/>
        </w:rPr>
        <w:t xml:space="preserve">n del 19 </w:t>
      </w:r>
      <w:r>
        <w:rPr>
          <w:sz w:val="18"/>
          <w:szCs w:val="18"/>
          <w:lang w:val="es-ES_tradnl"/>
        </w:rPr>
        <w:t>de agosto del 2015. Lo certifico.</w:t>
      </w:r>
    </w:p>
    <w:p w14:paraId="4F67B682" w14:textId="77777777" w:rsidR="00591D54" w:rsidRDefault="00591D54">
      <w:pPr>
        <w:shd w:val="clear" w:color="auto" w:fill="FFFFFF"/>
        <w:spacing w:before="202" w:line="230" w:lineRule="exact"/>
        <w:jc w:val="both"/>
      </w:pPr>
      <w:r>
        <w:rPr>
          <w:spacing w:val="-1"/>
          <w:sz w:val="18"/>
          <w:szCs w:val="18"/>
          <w:lang w:val="es-ES_tradnl"/>
        </w:rPr>
        <w:t>f.) Pa</w:t>
      </w:r>
      <w:r>
        <w:rPr>
          <w:rFonts w:cs="Times New Roman"/>
          <w:spacing w:val="-1"/>
          <w:sz w:val="18"/>
          <w:szCs w:val="18"/>
          <w:lang w:val="es-ES_tradnl"/>
        </w:rPr>
        <w:t>ú</w:t>
      </w:r>
      <w:r>
        <w:rPr>
          <w:spacing w:val="-1"/>
          <w:sz w:val="18"/>
          <w:szCs w:val="18"/>
          <w:lang w:val="es-ES_tradnl"/>
        </w:rPr>
        <w:t xml:space="preserve">l Emilio Prado Chiriboga, </w:t>
      </w:r>
      <w:r>
        <w:rPr>
          <w:b/>
          <w:bCs/>
          <w:spacing w:val="-1"/>
          <w:sz w:val="18"/>
          <w:szCs w:val="18"/>
          <w:lang w:val="es-ES_tradnl"/>
        </w:rPr>
        <w:t xml:space="preserve">SECRETARIO </w:t>
      </w:r>
      <w:r>
        <w:rPr>
          <w:b/>
          <w:bCs/>
          <w:sz w:val="18"/>
          <w:szCs w:val="18"/>
          <w:lang w:val="es-ES_tradnl"/>
        </w:rPr>
        <w:t>GENERAL (E).</w:t>
      </w:r>
    </w:p>
    <w:p w14:paraId="4F67B683" w14:textId="77777777" w:rsidR="00591D54" w:rsidRDefault="00591D54">
      <w:pPr>
        <w:shd w:val="clear" w:color="auto" w:fill="FFFFFF"/>
        <w:spacing w:before="202" w:line="230"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684" w14:textId="77777777" w:rsidR="00591D54" w:rsidRDefault="00591D54">
      <w:pPr>
        <w:shd w:val="clear" w:color="auto" w:fill="FFFFFF"/>
        <w:spacing w:before="206"/>
      </w:pPr>
      <w:r>
        <w:rPr>
          <w:b/>
          <w:bCs/>
          <w:spacing w:val="-6"/>
          <w:sz w:val="18"/>
          <w:szCs w:val="18"/>
          <w:u w:val="single"/>
          <w:lang w:val="es-ES_tradnl"/>
        </w:rPr>
        <w:t>CASO Nro. 1945-11-EP</w:t>
      </w:r>
    </w:p>
    <w:p w14:paraId="4F67B685" w14:textId="77777777" w:rsidR="00591D54" w:rsidRDefault="00591D54">
      <w:pPr>
        <w:shd w:val="clear" w:color="auto" w:fill="FFFFFF"/>
        <w:spacing w:before="206" w:line="230" w:lineRule="exact"/>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w:t>
      </w:r>
      <w:r>
        <w:rPr>
          <w:spacing w:val="-7"/>
          <w:sz w:val="18"/>
          <w:szCs w:val="18"/>
          <w:lang w:val="es-ES_tradnl"/>
        </w:rPr>
        <w:t>suscrita por el Juez Patricio Pazmi</w:t>
      </w:r>
      <w:r>
        <w:rPr>
          <w:rFonts w:cs="Times New Roman"/>
          <w:spacing w:val="-7"/>
          <w:sz w:val="18"/>
          <w:szCs w:val="18"/>
          <w:lang w:val="es-ES_tradnl"/>
        </w:rPr>
        <w:t>ñ</w:t>
      </w:r>
      <w:r>
        <w:rPr>
          <w:spacing w:val="-7"/>
          <w:sz w:val="18"/>
          <w:szCs w:val="18"/>
          <w:lang w:val="es-ES_tradnl"/>
        </w:rPr>
        <w:t xml:space="preserve">o Freire, Presidente de </w:t>
      </w:r>
      <w:r>
        <w:rPr>
          <w:spacing w:val="-8"/>
          <w:sz w:val="18"/>
          <w:szCs w:val="18"/>
          <w:lang w:val="es-ES_tradnl"/>
        </w:rPr>
        <w:t>la Corte Constitucional, el d</w:t>
      </w:r>
      <w:r>
        <w:rPr>
          <w:rFonts w:cs="Times New Roman"/>
          <w:spacing w:val="-8"/>
          <w:sz w:val="18"/>
          <w:szCs w:val="18"/>
          <w:lang w:val="es-ES_tradnl"/>
        </w:rPr>
        <w:t>í</w:t>
      </w:r>
      <w:r>
        <w:rPr>
          <w:spacing w:val="-8"/>
          <w:sz w:val="18"/>
          <w:szCs w:val="18"/>
          <w:lang w:val="es-ES_tradnl"/>
        </w:rPr>
        <w:t xml:space="preserve">a viernes 04 de septiembre del </w:t>
      </w:r>
      <w:r>
        <w:rPr>
          <w:sz w:val="18"/>
          <w:szCs w:val="18"/>
          <w:lang w:val="es-ES_tradnl"/>
        </w:rPr>
        <w:t>dos mil quince.- Lo certifico.</w:t>
      </w:r>
    </w:p>
    <w:p w14:paraId="4F67B686" w14:textId="77777777" w:rsidR="00591D54" w:rsidRDefault="00591D54">
      <w:pPr>
        <w:shd w:val="clear" w:color="auto" w:fill="FFFFFF"/>
        <w:spacing w:before="206"/>
      </w:pPr>
      <w:r>
        <w:rPr>
          <w:spacing w:val="-4"/>
          <w:sz w:val="18"/>
          <w:szCs w:val="18"/>
          <w:lang w:val="es-ES_tradnl"/>
        </w:rPr>
        <w:t xml:space="preserve">f.) Jaime Pozo Chamorro, </w:t>
      </w:r>
      <w:r>
        <w:rPr>
          <w:b/>
          <w:bCs/>
          <w:spacing w:val="-4"/>
          <w:sz w:val="18"/>
          <w:szCs w:val="18"/>
          <w:lang w:val="es-ES_tradnl"/>
        </w:rPr>
        <w:t>SECRETARIO GENERAL.</w:t>
      </w:r>
    </w:p>
    <w:p w14:paraId="4F67B687" w14:textId="77777777" w:rsidR="00591D54" w:rsidRDefault="00591D54">
      <w:pPr>
        <w:shd w:val="clear" w:color="auto" w:fill="FFFFFF"/>
        <w:spacing w:before="206" w:line="230"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688" w14:textId="77777777" w:rsidR="00591D54" w:rsidRDefault="00591D54">
      <w:pPr>
        <w:shd w:val="clear" w:color="auto" w:fill="FFFFFF"/>
        <w:spacing w:before="206" w:line="230" w:lineRule="exact"/>
        <w:jc w:val="both"/>
        <w:sectPr w:rsidR="00591D54">
          <w:type w:val="continuous"/>
          <w:pgSz w:w="11909" w:h="16834"/>
          <w:pgMar w:top="1356" w:right="1309" w:bottom="360" w:left="1308" w:header="720" w:footer="720" w:gutter="0"/>
          <w:cols w:num="2" w:space="720" w:equalWidth="0">
            <w:col w:w="4305" w:space="682"/>
            <w:col w:w="4305"/>
          </w:cols>
          <w:noEndnote/>
        </w:sectPr>
      </w:pPr>
    </w:p>
    <w:p w14:paraId="4F67B689" w14:textId="77777777" w:rsidR="00591D54" w:rsidRDefault="00591D54">
      <w:pPr>
        <w:shd w:val="clear" w:color="auto" w:fill="FFFFFF"/>
        <w:tabs>
          <w:tab w:val="left" w:pos="4814"/>
        </w:tabs>
        <w:spacing w:after="72"/>
        <w:ind w:left="5"/>
      </w:pPr>
      <w:r>
        <w:rPr>
          <w:b/>
          <w:bCs/>
          <w:sz w:val="18"/>
          <w:szCs w:val="18"/>
          <w:lang w:val="es-ES_tradnl"/>
        </w:rPr>
        <w:t xml:space="preserve">232 -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68A" w14:textId="77777777" w:rsidR="00591D54" w:rsidRDefault="00591D54">
      <w:pPr>
        <w:shd w:val="clear" w:color="auto" w:fill="FFFFFF"/>
        <w:tabs>
          <w:tab w:val="left" w:pos="4814"/>
        </w:tabs>
        <w:spacing w:after="72"/>
        <w:ind w:left="5"/>
        <w:sectPr w:rsidR="00591D54">
          <w:pgSz w:w="11909" w:h="16834"/>
          <w:pgMar w:top="1354" w:right="1299" w:bottom="360" w:left="1308" w:header="720" w:footer="720" w:gutter="0"/>
          <w:cols w:space="60"/>
          <w:noEndnote/>
        </w:sectPr>
      </w:pPr>
    </w:p>
    <w:p w14:paraId="4F67B68B" w14:textId="77777777" w:rsidR="00591D54" w:rsidRDefault="00591D54">
      <w:pPr>
        <w:shd w:val="clear" w:color="auto" w:fill="FFFFFF"/>
        <w:spacing w:line="427" w:lineRule="exact"/>
      </w:pPr>
      <w:r>
        <w:rPr>
          <w:spacing w:val="-6"/>
          <w:sz w:val="18"/>
          <w:szCs w:val="18"/>
          <w:lang w:val="es-ES_tradnl"/>
        </w:rPr>
        <w:t>Quito, D. M., 19 de agosto del 2015</w:t>
      </w:r>
    </w:p>
    <w:p w14:paraId="4F67B68C" w14:textId="77777777" w:rsidR="00591D54" w:rsidRDefault="00591D54">
      <w:pPr>
        <w:shd w:val="clear" w:color="auto" w:fill="FFFFFF"/>
        <w:spacing w:line="427" w:lineRule="exact"/>
        <w:ind w:left="850"/>
      </w:pPr>
      <w:r>
        <w:rPr>
          <w:b/>
          <w:bCs/>
          <w:spacing w:val="-3"/>
          <w:sz w:val="18"/>
          <w:szCs w:val="18"/>
          <w:u w:val="single"/>
          <w:lang w:val="es-ES_tradnl"/>
        </w:rPr>
        <w:t>SENTENCIA N.</w:t>
      </w:r>
      <w:r>
        <w:rPr>
          <w:rFonts w:cs="Times New Roman"/>
          <w:b/>
          <w:bCs/>
          <w:spacing w:val="-3"/>
          <w:sz w:val="18"/>
          <w:szCs w:val="18"/>
          <w:u w:val="single"/>
          <w:lang w:val="es-ES_tradnl"/>
        </w:rPr>
        <w:t>º</w:t>
      </w:r>
      <w:r>
        <w:rPr>
          <w:b/>
          <w:bCs/>
          <w:spacing w:val="-3"/>
          <w:sz w:val="18"/>
          <w:szCs w:val="18"/>
          <w:u w:val="single"/>
          <w:lang w:val="es-ES_tradnl"/>
        </w:rPr>
        <w:t xml:space="preserve"> 271-15-SEP-CC</w:t>
      </w:r>
    </w:p>
    <w:p w14:paraId="4F67B68D" w14:textId="77777777" w:rsidR="00591D54" w:rsidRDefault="00591D54">
      <w:pPr>
        <w:shd w:val="clear" w:color="auto" w:fill="FFFFFF"/>
        <w:spacing w:line="427" w:lineRule="exact"/>
        <w:ind w:left="1291"/>
      </w:pPr>
      <w:r>
        <w:rPr>
          <w:b/>
          <w:bCs/>
          <w:spacing w:val="-5"/>
          <w:sz w:val="18"/>
          <w:szCs w:val="18"/>
          <w:u w:val="single"/>
          <w:lang w:val="es-ES_tradnl"/>
        </w:rPr>
        <w:t>CASO N.</w:t>
      </w:r>
      <w:r>
        <w:rPr>
          <w:rFonts w:cs="Times New Roman"/>
          <w:b/>
          <w:bCs/>
          <w:spacing w:val="-5"/>
          <w:sz w:val="18"/>
          <w:szCs w:val="18"/>
          <w:u w:val="single"/>
          <w:lang w:val="es-ES_tradnl"/>
        </w:rPr>
        <w:t>º</w:t>
      </w:r>
      <w:r>
        <w:rPr>
          <w:b/>
          <w:bCs/>
          <w:spacing w:val="-5"/>
          <w:sz w:val="18"/>
          <w:szCs w:val="18"/>
          <w:u w:val="single"/>
          <w:lang w:val="es-ES_tradnl"/>
        </w:rPr>
        <w:t xml:space="preserve"> 1888-12-EP</w:t>
      </w:r>
    </w:p>
    <w:p w14:paraId="4F67B68E" w14:textId="77777777" w:rsidR="00591D54" w:rsidRDefault="00591D54">
      <w:pPr>
        <w:shd w:val="clear" w:color="auto" w:fill="FFFFFF"/>
        <w:spacing w:line="427" w:lineRule="exact"/>
        <w:ind w:left="293"/>
      </w:pPr>
      <w:r>
        <w:rPr>
          <w:b/>
          <w:bCs/>
          <w:sz w:val="18"/>
          <w:szCs w:val="18"/>
          <w:lang w:val="es-ES_tradnl"/>
        </w:rPr>
        <w:t>CORTE CONSTITUCIONAL DEL ECUADOR</w:t>
      </w:r>
    </w:p>
    <w:p w14:paraId="4F67B68F" w14:textId="77777777" w:rsidR="00591D54" w:rsidRDefault="00591D54">
      <w:pPr>
        <w:shd w:val="clear" w:color="auto" w:fill="FFFFFF"/>
        <w:spacing w:line="427" w:lineRule="exact"/>
        <w:ind w:left="1334"/>
      </w:pPr>
      <w:r>
        <w:rPr>
          <w:sz w:val="18"/>
          <w:szCs w:val="18"/>
          <w:lang w:val="es-ES_tradnl"/>
        </w:rPr>
        <w:t xml:space="preserve">I. </w:t>
      </w:r>
      <w:r>
        <w:rPr>
          <w:b/>
          <w:bCs/>
          <w:sz w:val="18"/>
          <w:szCs w:val="18"/>
          <w:lang w:val="es-ES_tradnl"/>
        </w:rPr>
        <w:t>ANTECEDENTES</w:t>
      </w:r>
    </w:p>
    <w:p w14:paraId="4F67B690" w14:textId="77777777" w:rsidR="00591D54" w:rsidRDefault="00591D54">
      <w:pPr>
        <w:shd w:val="clear" w:color="auto" w:fill="FFFFFF"/>
        <w:spacing w:line="427" w:lineRule="exact"/>
      </w:pPr>
      <w:r>
        <w:rPr>
          <w:b/>
          <w:bCs/>
          <w:spacing w:val="-9"/>
          <w:sz w:val="18"/>
          <w:szCs w:val="18"/>
          <w:lang w:val="es-ES_tradnl"/>
        </w:rPr>
        <w:t>Resumen de admisibilidad</w:t>
      </w:r>
    </w:p>
    <w:p w14:paraId="4F67B691" w14:textId="77777777" w:rsidR="00591D54" w:rsidRDefault="00591D54">
      <w:pPr>
        <w:shd w:val="clear" w:color="auto" w:fill="FFFFFF"/>
        <w:spacing w:before="163" w:line="216" w:lineRule="exact"/>
        <w:jc w:val="both"/>
      </w:pPr>
      <w:r>
        <w:rPr>
          <w:spacing w:val="-4"/>
          <w:sz w:val="18"/>
          <w:szCs w:val="18"/>
          <w:lang w:val="es-ES_tradnl"/>
        </w:rPr>
        <w:t>El 09 de noviembre de 2012, el se</w:t>
      </w:r>
      <w:r>
        <w:rPr>
          <w:rFonts w:cs="Times New Roman"/>
          <w:spacing w:val="-4"/>
          <w:sz w:val="18"/>
          <w:szCs w:val="18"/>
          <w:lang w:val="es-ES_tradnl"/>
        </w:rPr>
        <w:t>ñ</w:t>
      </w:r>
      <w:r>
        <w:rPr>
          <w:spacing w:val="-4"/>
          <w:sz w:val="18"/>
          <w:szCs w:val="18"/>
          <w:lang w:val="es-ES_tradnl"/>
        </w:rPr>
        <w:t xml:space="preserve">or Jaime Patricio </w:t>
      </w:r>
      <w:r>
        <w:rPr>
          <w:spacing w:val="-7"/>
          <w:sz w:val="18"/>
          <w:szCs w:val="18"/>
          <w:lang w:val="es-ES_tradnl"/>
        </w:rPr>
        <w:t>Chiriboga Guerrero present</w:t>
      </w:r>
      <w:r>
        <w:rPr>
          <w:rFonts w:cs="Times New Roman"/>
          <w:spacing w:val="-7"/>
          <w:sz w:val="18"/>
          <w:szCs w:val="18"/>
          <w:lang w:val="es-ES_tradnl"/>
        </w:rPr>
        <w:t>ó</w:t>
      </w:r>
      <w:r>
        <w:rPr>
          <w:spacing w:val="-7"/>
          <w:sz w:val="18"/>
          <w:szCs w:val="18"/>
          <w:lang w:val="es-ES_tradnl"/>
        </w:rPr>
        <w:t xml:space="preserve"> una acci</w:t>
      </w:r>
      <w:r>
        <w:rPr>
          <w:rFonts w:cs="Times New Roman"/>
          <w:spacing w:val="-7"/>
          <w:sz w:val="18"/>
          <w:szCs w:val="18"/>
          <w:lang w:val="es-ES_tradnl"/>
        </w:rPr>
        <w:t>ó</w:t>
      </w:r>
      <w:r>
        <w:rPr>
          <w:spacing w:val="-7"/>
          <w:sz w:val="18"/>
          <w:szCs w:val="18"/>
          <w:lang w:val="es-ES_tradnl"/>
        </w:rPr>
        <w:t xml:space="preserve">n extraordinaria de </w:t>
      </w:r>
      <w:r>
        <w:rPr>
          <w:spacing w:val="-4"/>
          <w:sz w:val="18"/>
          <w:szCs w:val="18"/>
          <w:lang w:val="es-ES_tradnl"/>
        </w:rPr>
        <w:t>protecci</w:t>
      </w:r>
      <w:r>
        <w:rPr>
          <w:rFonts w:cs="Times New Roman"/>
          <w:spacing w:val="-4"/>
          <w:sz w:val="18"/>
          <w:szCs w:val="18"/>
          <w:lang w:val="es-ES_tradnl"/>
        </w:rPr>
        <w:t>ó</w:t>
      </w:r>
      <w:r>
        <w:rPr>
          <w:spacing w:val="-4"/>
          <w:sz w:val="18"/>
          <w:szCs w:val="18"/>
          <w:lang w:val="es-ES_tradnl"/>
        </w:rPr>
        <w:t xml:space="preserve">n en contra de la sentencia dictada por el juez </w:t>
      </w:r>
      <w:r>
        <w:rPr>
          <w:spacing w:val="-6"/>
          <w:sz w:val="18"/>
          <w:szCs w:val="18"/>
          <w:lang w:val="es-ES_tradnl"/>
        </w:rPr>
        <w:t xml:space="preserve">del Trabajo de Cotopaxi, el 31 de julio de 2012, dentro del </w:t>
      </w:r>
      <w:r>
        <w:rPr>
          <w:sz w:val="18"/>
          <w:szCs w:val="18"/>
          <w:lang w:val="es-ES_tradnl"/>
        </w:rPr>
        <w:t>juicio de trabajo N.</w:t>
      </w:r>
      <w:r>
        <w:rPr>
          <w:rFonts w:cs="Times New Roman"/>
          <w:sz w:val="18"/>
          <w:szCs w:val="18"/>
          <w:lang w:val="es-ES_tradnl"/>
        </w:rPr>
        <w:t>º</w:t>
      </w:r>
      <w:r>
        <w:rPr>
          <w:sz w:val="18"/>
          <w:szCs w:val="18"/>
          <w:lang w:val="es-ES_tradnl"/>
        </w:rPr>
        <w:t xml:space="preserve"> 2011-0198.</w:t>
      </w:r>
    </w:p>
    <w:p w14:paraId="4F67B692" w14:textId="77777777" w:rsidR="00591D54" w:rsidRDefault="00591D54">
      <w:pPr>
        <w:shd w:val="clear" w:color="auto" w:fill="FFFFFF"/>
        <w:spacing w:before="192" w:line="216" w:lineRule="exact"/>
        <w:ind w:right="5"/>
        <w:jc w:val="both"/>
      </w:pPr>
      <w:r>
        <w:rPr>
          <w:spacing w:val="-6"/>
          <w:sz w:val="18"/>
          <w:szCs w:val="18"/>
          <w:lang w:val="es-ES_tradnl"/>
        </w:rPr>
        <w:t xml:space="preserve">El 26 de noviembre de 2012, el secretario general de la </w:t>
      </w:r>
      <w:r>
        <w:rPr>
          <w:spacing w:val="-8"/>
          <w:sz w:val="18"/>
          <w:szCs w:val="18"/>
          <w:lang w:val="es-ES_tradnl"/>
        </w:rPr>
        <w:t>Corte Constitucional certific</w:t>
      </w:r>
      <w:r>
        <w:rPr>
          <w:rFonts w:cs="Times New Roman"/>
          <w:spacing w:val="-8"/>
          <w:sz w:val="18"/>
          <w:szCs w:val="18"/>
          <w:lang w:val="es-ES_tradnl"/>
        </w:rPr>
        <w:t>ó</w:t>
      </w:r>
      <w:r>
        <w:rPr>
          <w:spacing w:val="-8"/>
          <w:sz w:val="18"/>
          <w:szCs w:val="18"/>
          <w:lang w:val="es-ES_tradnl"/>
        </w:rPr>
        <w:t xml:space="preserve"> que no se ha presentado otra demanda con identidad de objeto y acci</w:t>
      </w:r>
      <w:r>
        <w:rPr>
          <w:rFonts w:cs="Times New Roman"/>
          <w:spacing w:val="-8"/>
          <w:sz w:val="18"/>
          <w:szCs w:val="18"/>
          <w:lang w:val="es-ES_tradnl"/>
        </w:rPr>
        <w:t>ó</w:t>
      </w:r>
      <w:r>
        <w:rPr>
          <w:spacing w:val="-8"/>
          <w:sz w:val="18"/>
          <w:szCs w:val="18"/>
          <w:lang w:val="es-ES_tradnl"/>
        </w:rPr>
        <w:t>n.</w:t>
      </w:r>
    </w:p>
    <w:p w14:paraId="4F67B693" w14:textId="77777777" w:rsidR="00591D54" w:rsidRDefault="00591D54">
      <w:pPr>
        <w:shd w:val="clear" w:color="auto" w:fill="FFFFFF"/>
        <w:spacing w:before="197" w:line="216" w:lineRule="exact"/>
        <w:jc w:val="both"/>
      </w:pPr>
      <w:r>
        <w:rPr>
          <w:spacing w:val="-5"/>
          <w:sz w:val="18"/>
          <w:szCs w:val="18"/>
          <w:lang w:val="es-ES_tradnl"/>
        </w:rPr>
        <w:t>El 16 de enero de 2013, la Sala de Admisi</w:t>
      </w:r>
      <w:r>
        <w:rPr>
          <w:rFonts w:cs="Times New Roman"/>
          <w:spacing w:val="-5"/>
          <w:sz w:val="18"/>
          <w:szCs w:val="18"/>
          <w:lang w:val="es-ES_tradnl"/>
        </w:rPr>
        <w:t>ó</w:t>
      </w:r>
      <w:r>
        <w:rPr>
          <w:spacing w:val="-5"/>
          <w:sz w:val="18"/>
          <w:szCs w:val="18"/>
          <w:lang w:val="es-ES_tradnl"/>
        </w:rPr>
        <w:t xml:space="preserve">n de la Corte </w:t>
      </w:r>
      <w:r>
        <w:rPr>
          <w:spacing w:val="-7"/>
          <w:sz w:val="18"/>
          <w:szCs w:val="18"/>
          <w:lang w:val="es-ES_tradnl"/>
        </w:rPr>
        <w:t xml:space="preserve">Constitucional, conformada por los jueces constitucionales </w:t>
      </w:r>
      <w:r>
        <w:rPr>
          <w:spacing w:val="-4"/>
          <w:sz w:val="18"/>
          <w:szCs w:val="18"/>
          <w:lang w:val="es-ES_tradnl"/>
        </w:rPr>
        <w:t xml:space="preserve">Ruth Seni Pinoargote, Antonio Gagliardo y Alfredo Ruiz </w:t>
      </w:r>
      <w:r>
        <w:rPr>
          <w:spacing w:val="-5"/>
          <w:sz w:val="18"/>
          <w:szCs w:val="18"/>
          <w:lang w:val="es-ES_tradnl"/>
        </w:rPr>
        <w:t>Guzm</w:t>
      </w:r>
      <w:r>
        <w:rPr>
          <w:rFonts w:cs="Times New Roman"/>
          <w:spacing w:val="-5"/>
          <w:sz w:val="18"/>
          <w:szCs w:val="18"/>
          <w:lang w:val="es-ES_tradnl"/>
        </w:rPr>
        <w:t>á</w:t>
      </w:r>
      <w:r>
        <w:rPr>
          <w:spacing w:val="-5"/>
          <w:sz w:val="18"/>
          <w:szCs w:val="18"/>
          <w:lang w:val="es-ES_tradnl"/>
        </w:rPr>
        <w:t>n, admiti</w:t>
      </w:r>
      <w:r>
        <w:rPr>
          <w:rFonts w:cs="Times New Roman"/>
          <w:spacing w:val="-5"/>
          <w:sz w:val="18"/>
          <w:szCs w:val="18"/>
          <w:lang w:val="es-ES_tradnl"/>
        </w:rPr>
        <w:t>ó</w:t>
      </w:r>
      <w:r>
        <w:rPr>
          <w:spacing w:val="-5"/>
          <w:sz w:val="18"/>
          <w:szCs w:val="18"/>
          <w:lang w:val="es-ES_tradnl"/>
        </w:rPr>
        <w:t xml:space="preserve"> a tr</w:t>
      </w:r>
      <w:r>
        <w:rPr>
          <w:rFonts w:cs="Times New Roman"/>
          <w:spacing w:val="-5"/>
          <w:sz w:val="18"/>
          <w:szCs w:val="18"/>
          <w:lang w:val="es-ES_tradnl"/>
        </w:rPr>
        <w:t>á</w:t>
      </w:r>
      <w:r>
        <w:rPr>
          <w:spacing w:val="-5"/>
          <w:sz w:val="18"/>
          <w:szCs w:val="18"/>
          <w:lang w:val="es-ES_tradnl"/>
        </w:rPr>
        <w:t>mite la acci</w:t>
      </w:r>
      <w:r>
        <w:rPr>
          <w:rFonts w:cs="Times New Roman"/>
          <w:spacing w:val="-5"/>
          <w:sz w:val="18"/>
          <w:szCs w:val="18"/>
          <w:lang w:val="es-ES_tradnl"/>
        </w:rPr>
        <w:t>ó</w:t>
      </w:r>
      <w:r>
        <w:rPr>
          <w:spacing w:val="-5"/>
          <w:sz w:val="18"/>
          <w:szCs w:val="18"/>
          <w:lang w:val="es-ES_tradnl"/>
        </w:rPr>
        <w:t xml:space="preserve">n extraordinaria de </w:t>
      </w:r>
      <w:r>
        <w:rPr>
          <w:sz w:val="18"/>
          <w:szCs w:val="18"/>
          <w:lang w:val="es-ES_tradnl"/>
        </w:rPr>
        <w:t>protecci</w:t>
      </w:r>
      <w:r>
        <w:rPr>
          <w:rFonts w:cs="Times New Roman"/>
          <w:sz w:val="18"/>
          <w:szCs w:val="18"/>
          <w:lang w:val="es-ES_tradnl"/>
        </w:rPr>
        <w:t>ó</w:t>
      </w:r>
      <w:r>
        <w:rPr>
          <w:sz w:val="18"/>
          <w:szCs w:val="18"/>
          <w:lang w:val="es-ES_tradnl"/>
        </w:rPr>
        <w:t>n N.</w:t>
      </w:r>
      <w:r>
        <w:rPr>
          <w:rFonts w:cs="Times New Roman"/>
          <w:sz w:val="18"/>
          <w:szCs w:val="18"/>
          <w:lang w:val="es-ES_tradnl"/>
        </w:rPr>
        <w:t>º</w:t>
      </w:r>
      <w:r>
        <w:rPr>
          <w:sz w:val="18"/>
          <w:szCs w:val="18"/>
          <w:lang w:val="es-ES_tradnl"/>
        </w:rPr>
        <w:t xml:space="preserve"> 1888-12-EP.</w:t>
      </w:r>
    </w:p>
    <w:p w14:paraId="4F67B694" w14:textId="77777777" w:rsidR="00591D54" w:rsidRDefault="00591D54">
      <w:pPr>
        <w:shd w:val="clear" w:color="auto" w:fill="FFFFFF"/>
        <w:spacing w:before="197" w:line="216" w:lineRule="exact"/>
        <w:jc w:val="both"/>
      </w:pPr>
      <w:r>
        <w:rPr>
          <w:spacing w:val="-10"/>
          <w:sz w:val="18"/>
          <w:szCs w:val="18"/>
          <w:lang w:val="es-ES_tradnl"/>
        </w:rPr>
        <w:t xml:space="preserve">El Pleno de la Corte Constitucional, el 06 de febrero de 2013, </w:t>
      </w:r>
      <w:r>
        <w:rPr>
          <w:spacing w:val="-8"/>
          <w:sz w:val="18"/>
          <w:szCs w:val="18"/>
          <w:lang w:val="es-ES_tradnl"/>
        </w:rPr>
        <w:t>procedi</w:t>
      </w:r>
      <w:r>
        <w:rPr>
          <w:rFonts w:cs="Times New Roman"/>
          <w:spacing w:val="-8"/>
          <w:sz w:val="18"/>
          <w:szCs w:val="18"/>
          <w:lang w:val="es-ES_tradnl"/>
        </w:rPr>
        <w:t>ó</w:t>
      </w:r>
      <w:r>
        <w:rPr>
          <w:spacing w:val="-8"/>
          <w:sz w:val="18"/>
          <w:szCs w:val="18"/>
          <w:lang w:val="es-ES_tradnl"/>
        </w:rPr>
        <w:t xml:space="preserve"> al sorteo de las causas, correspondiendo al juez </w:t>
      </w:r>
      <w:r>
        <w:rPr>
          <w:spacing w:val="-5"/>
          <w:sz w:val="18"/>
          <w:szCs w:val="18"/>
          <w:lang w:val="es-ES_tradnl"/>
        </w:rPr>
        <w:t>constitucional, Fabi</w:t>
      </w:r>
      <w:r>
        <w:rPr>
          <w:rFonts w:cs="Times New Roman"/>
          <w:spacing w:val="-5"/>
          <w:sz w:val="18"/>
          <w:szCs w:val="18"/>
          <w:lang w:val="es-ES_tradnl"/>
        </w:rPr>
        <w:t>á</w:t>
      </w:r>
      <w:r>
        <w:rPr>
          <w:spacing w:val="-5"/>
          <w:sz w:val="18"/>
          <w:szCs w:val="18"/>
          <w:lang w:val="es-ES_tradnl"/>
        </w:rPr>
        <w:t xml:space="preserve">n Marcelo Jaramillo Villa, sustanciar </w:t>
      </w:r>
      <w:r>
        <w:rPr>
          <w:spacing w:val="-8"/>
          <w:sz w:val="18"/>
          <w:szCs w:val="18"/>
          <w:lang w:val="es-ES_tradnl"/>
        </w:rPr>
        <w:t xml:space="preserve">la presente causa, conforme consta en el memorando de </w:t>
      </w:r>
      <w:r>
        <w:rPr>
          <w:spacing w:val="-9"/>
          <w:sz w:val="18"/>
          <w:szCs w:val="18"/>
          <w:lang w:val="es-ES_tradnl"/>
        </w:rPr>
        <w:t>Secretar</w:t>
      </w:r>
      <w:r>
        <w:rPr>
          <w:rFonts w:cs="Times New Roman"/>
          <w:spacing w:val="-9"/>
          <w:sz w:val="18"/>
          <w:szCs w:val="18"/>
          <w:lang w:val="es-ES_tradnl"/>
        </w:rPr>
        <w:t>í</w:t>
      </w:r>
      <w:r>
        <w:rPr>
          <w:spacing w:val="-9"/>
          <w:sz w:val="18"/>
          <w:szCs w:val="18"/>
          <w:lang w:val="es-ES_tradnl"/>
        </w:rPr>
        <w:t>a General de la Corte Constitucional N.</w:t>
      </w:r>
      <w:r>
        <w:rPr>
          <w:rFonts w:cs="Times New Roman"/>
          <w:spacing w:val="-9"/>
          <w:sz w:val="18"/>
          <w:szCs w:val="18"/>
          <w:lang w:val="es-ES_tradnl"/>
        </w:rPr>
        <w:t>º</w:t>
      </w:r>
      <w:r>
        <w:rPr>
          <w:spacing w:val="-9"/>
          <w:sz w:val="18"/>
          <w:szCs w:val="18"/>
          <w:lang w:val="es-ES_tradnl"/>
        </w:rPr>
        <w:t xml:space="preserve"> 086-CCE-</w:t>
      </w:r>
      <w:r>
        <w:rPr>
          <w:spacing w:val="-7"/>
          <w:sz w:val="18"/>
          <w:szCs w:val="18"/>
          <w:lang w:val="es-ES_tradnl"/>
        </w:rPr>
        <w:t xml:space="preserve">SG-SUS-2013 del 14 de febrero de 2013, por el cual se </w:t>
      </w:r>
      <w:r>
        <w:rPr>
          <w:spacing w:val="-8"/>
          <w:sz w:val="18"/>
          <w:szCs w:val="18"/>
          <w:lang w:val="es-ES_tradnl"/>
        </w:rPr>
        <w:t>remite el expediente del caso N.</w:t>
      </w:r>
      <w:r>
        <w:rPr>
          <w:rFonts w:cs="Times New Roman"/>
          <w:spacing w:val="-8"/>
          <w:sz w:val="18"/>
          <w:szCs w:val="18"/>
          <w:lang w:val="es-ES_tradnl"/>
        </w:rPr>
        <w:t>º</w:t>
      </w:r>
      <w:r>
        <w:rPr>
          <w:spacing w:val="-8"/>
          <w:sz w:val="18"/>
          <w:szCs w:val="18"/>
          <w:lang w:val="es-ES_tradnl"/>
        </w:rPr>
        <w:t xml:space="preserve"> 1888-12-EP.</w:t>
      </w:r>
    </w:p>
    <w:p w14:paraId="4F67B695" w14:textId="77777777" w:rsidR="00591D54" w:rsidRDefault="00591D54">
      <w:pPr>
        <w:shd w:val="clear" w:color="auto" w:fill="FFFFFF"/>
        <w:spacing w:before="197" w:line="216" w:lineRule="exact"/>
        <w:jc w:val="both"/>
      </w:pPr>
      <w:r>
        <w:rPr>
          <w:spacing w:val="-5"/>
          <w:sz w:val="18"/>
          <w:szCs w:val="18"/>
          <w:lang w:val="es-ES_tradnl"/>
        </w:rPr>
        <w:t xml:space="preserve">Mediante providencia de 13 enero de 2015, el juez </w:t>
      </w:r>
      <w:r>
        <w:rPr>
          <w:spacing w:val="-4"/>
          <w:sz w:val="18"/>
          <w:szCs w:val="18"/>
          <w:lang w:val="es-ES_tradnl"/>
        </w:rPr>
        <w:t>constitucional Fabi</w:t>
      </w:r>
      <w:r>
        <w:rPr>
          <w:rFonts w:cs="Times New Roman"/>
          <w:spacing w:val="-4"/>
          <w:sz w:val="18"/>
          <w:szCs w:val="18"/>
          <w:lang w:val="es-ES_tradnl"/>
        </w:rPr>
        <w:t>á</w:t>
      </w:r>
      <w:r>
        <w:rPr>
          <w:spacing w:val="-4"/>
          <w:sz w:val="18"/>
          <w:szCs w:val="18"/>
          <w:lang w:val="es-ES_tradnl"/>
        </w:rPr>
        <w:t>n Marcelo Jaramillo Villa, avoc</w:t>
      </w:r>
      <w:r>
        <w:rPr>
          <w:rFonts w:cs="Times New Roman"/>
          <w:spacing w:val="-4"/>
          <w:sz w:val="18"/>
          <w:szCs w:val="18"/>
          <w:lang w:val="es-ES_tradnl"/>
        </w:rPr>
        <w:t xml:space="preserve">ó </w:t>
      </w:r>
      <w:r>
        <w:rPr>
          <w:sz w:val="18"/>
          <w:szCs w:val="18"/>
          <w:lang w:val="es-ES_tradnl"/>
        </w:rPr>
        <w:t>conocimiento de la presente causa y determin</w:t>
      </w:r>
      <w:r>
        <w:rPr>
          <w:rFonts w:cs="Times New Roman"/>
          <w:sz w:val="18"/>
          <w:szCs w:val="18"/>
          <w:lang w:val="es-ES_tradnl"/>
        </w:rPr>
        <w:t xml:space="preserve">ó </w:t>
      </w:r>
      <w:r>
        <w:rPr>
          <w:spacing w:val="-4"/>
          <w:sz w:val="18"/>
          <w:szCs w:val="18"/>
          <w:lang w:val="es-ES_tradnl"/>
        </w:rPr>
        <w:t xml:space="preserve">su competencia para conocer y resolver acciones </w:t>
      </w:r>
      <w:r>
        <w:rPr>
          <w:sz w:val="18"/>
          <w:szCs w:val="18"/>
          <w:lang w:val="es-ES_tradnl"/>
        </w:rPr>
        <w:t>extraordinarias de protecci</w:t>
      </w:r>
      <w:r>
        <w:rPr>
          <w:rFonts w:cs="Times New Roman"/>
          <w:sz w:val="18"/>
          <w:szCs w:val="18"/>
          <w:lang w:val="es-ES_tradnl"/>
        </w:rPr>
        <w:t>ó</w:t>
      </w:r>
      <w:r>
        <w:rPr>
          <w:sz w:val="18"/>
          <w:szCs w:val="18"/>
          <w:lang w:val="es-ES_tradnl"/>
        </w:rPr>
        <w:t>n.</w:t>
      </w:r>
    </w:p>
    <w:p w14:paraId="4F67B696" w14:textId="77777777" w:rsidR="00591D54" w:rsidRDefault="00591D54">
      <w:pPr>
        <w:shd w:val="clear" w:color="auto" w:fill="FFFFFF"/>
        <w:spacing w:before="192"/>
      </w:pPr>
      <w:r>
        <w:rPr>
          <w:b/>
          <w:bCs/>
          <w:spacing w:val="-9"/>
          <w:sz w:val="18"/>
          <w:szCs w:val="18"/>
          <w:lang w:val="es-ES_tradnl"/>
        </w:rPr>
        <w:t>Decisi</w:t>
      </w:r>
      <w:r>
        <w:rPr>
          <w:rFonts w:cs="Times New Roman"/>
          <w:b/>
          <w:bCs/>
          <w:spacing w:val="-9"/>
          <w:sz w:val="18"/>
          <w:szCs w:val="18"/>
          <w:lang w:val="es-ES_tradnl"/>
        </w:rPr>
        <w:t>ó</w:t>
      </w:r>
      <w:r>
        <w:rPr>
          <w:b/>
          <w:bCs/>
          <w:spacing w:val="-9"/>
          <w:sz w:val="18"/>
          <w:szCs w:val="18"/>
          <w:lang w:val="es-ES_tradnl"/>
        </w:rPr>
        <w:t>n judicial que se impugna</w:t>
      </w:r>
    </w:p>
    <w:p w14:paraId="4F67B697" w14:textId="77777777" w:rsidR="00591D54" w:rsidRDefault="00591D54">
      <w:pPr>
        <w:shd w:val="clear" w:color="auto" w:fill="FFFFFF"/>
        <w:spacing w:before="197" w:line="216" w:lineRule="exact"/>
        <w:jc w:val="both"/>
      </w:pPr>
      <w:r>
        <w:rPr>
          <w:spacing w:val="-7"/>
          <w:sz w:val="18"/>
          <w:szCs w:val="18"/>
          <w:lang w:val="es-ES_tradnl"/>
        </w:rPr>
        <w:t>La decisi</w:t>
      </w:r>
      <w:r>
        <w:rPr>
          <w:rFonts w:cs="Times New Roman"/>
          <w:spacing w:val="-7"/>
          <w:sz w:val="18"/>
          <w:szCs w:val="18"/>
          <w:lang w:val="es-ES_tradnl"/>
        </w:rPr>
        <w:t>ó</w:t>
      </w:r>
      <w:r>
        <w:rPr>
          <w:spacing w:val="-7"/>
          <w:sz w:val="18"/>
          <w:szCs w:val="18"/>
          <w:lang w:val="es-ES_tradnl"/>
        </w:rPr>
        <w:t xml:space="preserve">n judicial impugnada es la sentencia dictada por </w:t>
      </w:r>
      <w:r>
        <w:rPr>
          <w:spacing w:val="-5"/>
          <w:sz w:val="18"/>
          <w:szCs w:val="18"/>
          <w:lang w:val="es-ES_tradnl"/>
        </w:rPr>
        <w:t xml:space="preserve">el juez del Trabajo de Cotopaxi el 31 de julio de 2012, la </w:t>
      </w:r>
      <w:r>
        <w:rPr>
          <w:spacing w:val="-8"/>
          <w:sz w:val="18"/>
          <w:szCs w:val="18"/>
          <w:lang w:val="es-ES_tradnl"/>
        </w:rPr>
        <w:t>cual en su parte pertinente establece lo siguiente:</w:t>
      </w:r>
    </w:p>
    <w:p w14:paraId="4F67B698" w14:textId="77777777" w:rsidR="00591D54" w:rsidRDefault="00591D54">
      <w:pPr>
        <w:shd w:val="clear" w:color="auto" w:fill="FFFFFF"/>
        <w:spacing w:before="202" w:line="216" w:lineRule="exact"/>
        <w:ind w:left="283"/>
        <w:jc w:val="both"/>
      </w:pPr>
      <w:r>
        <w:rPr>
          <w:sz w:val="16"/>
          <w:szCs w:val="16"/>
          <w:lang w:val="es-ES_tradnl"/>
        </w:rPr>
        <w:t>(</w:t>
      </w:r>
      <w:r>
        <w:rPr>
          <w:rFonts w:cs="Times New Roman"/>
          <w:sz w:val="16"/>
          <w:szCs w:val="16"/>
          <w:lang w:val="es-ES_tradnl"/>
        </w:rPr>
        <w:t>…</w:t>
      </w:r>
      <w:r>
        <w:rPr>
          <w:sz w:val="16"/>
          <w:szCs w:val="16"/>
          <w:lang w:val="es-ES_tradnl"/>
        </w:rPr>
        <w:t xml:space="preserve">) </w:t>
      </w:r>
      <w:r>
        <w:rPr>
          <w:b/>
          <w:bCs/>
          <w:sz w:val="16"/>
          <w:szCs w:val="16"/>
          <w:lang w:val="es-ES_tradnl"/>
        </w:rPr>
        <w:t>QUINTO.- RUBROS QUE PROCEDEN SU PAGO.-</w:t>
      </w:r>
      <w:r>
        <w:rPr>
          <w:spacing w:val="-6"/>
          <w:sz w:val="16"/>
          <w:szCs w:val="16"/>
          <w:lang w:val="es-ES_tradnl"/>
        </w:rPr>
        <w:t>Establecido el v</w:t>
      </w:r>
      <w:r>
        <w:rPr>
          <w:rFonts w:cs="Times New Roman"/>
          <w:spacing w:val="-6"/>
          <w:sz w:val="16"/>
          <w:szCs w:val="16"/>
          <w:lang w:val="es-ES_tradnl"/>
        </w:rPr>
        <w:t>í</w:t>
      </w:r>
      <w:r>
        <w:rPr>
          <w:spacing w:val="-6"/>
          <w:sz w:val="16"/>
          <w:szCs w:val="16"/>
          <w:lang w:val="es-ES_tradnl"/>
        </w:rPr>
        <w:t>nculo laboral, correspond</w:t>
      </w:r>
      <w:r>
        <w:rPr>
          <w:rFonts w:cs="Times New Roman"/>
          <w:spacing w:val="-6"/>
          <w:sz w:val="16"/>
          <w:szCs w:val="16"/>
          <w:lang w:val="es-ES_tradnl"/>
        </w:rPr>
        <w:t>í</w:t>
      </w:r>
      <w:r>
        <w:rPr>
          <w:spacing w:val="-6"/>
          <w:sz w:val="16"/>
          <w:szCs w:val="16"/>
          <w:lang w:val="es-ES_tradnl"/>
        </w:rPr>
        <w:t xml:space="preserve">a al demandado justificar que ha cumplido con las obligaciones que dimanan </w:t>
      </w:r>
      <w:r>
        <w:rPr>
          <w:sz w:val="16"/>
          <w:szCs w:val="16"/>
          <w:lang w:val="es-ES_tradnl"/>
        </w:rPr>
        <w:t xml:space="preserve">del contrato individual de trabajo, de conformidad con </w:t>
      </w:r>
      <w:r>
        <w:rPr>
          <w:spacing w:val="-4"/>
          <w:sz w:val="16"/>
          <w:szCs w:val="16"/>
          <w:lang w:val="es-ES_tradnl"/>
        </w:rPr>
        <w:t>el art</w:t>
      </w:r>
      <w:r>
        <w:rPr>
          <w:rFonts w:cs="Times New Roman"/>
          <w:spacing w:val="-4"/>
          <w:sz w:val="16"/>
          <w:szCs w:val="16"/>
          <w:lang w:val="es-ES_tradnl"/>
        </w:rPr>
        <w:t>í</w:t>
      </w:r>
      <w:r>
        <w:rPr>
          <w:spacing w:val="-4"/>
          <w:sz w:val="16"/>
          <w:szCs w:val="16"/>
          <w:lang w:val="es-ES_tradnl"/>
        </w:rPr>
        <w:t>culo 42 numeral 1 del c</w:t>
      </w:r>
      <w:r>
        <w:rPr>
          <w:rFonts w:cs="Times New Roman"/>
          <w:spacing w:val="-4"/>
          <w:sz w:val="16"/>
          <w:szCs w:val="16"/>
          <w:lang w:val="es-ES_tradnl"/>
        </w:rPr>
        <w:t>ó</w:t>
      </w:r>
      <w:r>
        <w:rPr>
          <w:spacing w:val="-4"/>
          <w:sz w:val="16"/>
          <w:szCs w:val="16"/>
          <w:lang w:val="es-ES_tradnl"/>
        </w:rPr>
        <w:t xml:space="preserve">digo del trabajo en cuanto a </w:t>
      </w:r>
      <w:r>
        <w:rPr>
          <w:spacing w:val="-6"/>
          <w:sz w:val="16"/>
          <w:szCs w:val="16"/>
          <w:lang w:val="es-ES_tradnl"/>
        </w:rPr>
        <w:t xml:space="preserve">que en materia laboral la carga de la prueba se revierte, en </w:t>
      </w:r>
      <w:r>
        <w:rPr>
          <w:spacing w:val="-3"/>
          <w:sz w:val="16"/>
          <w:szCs w:val="16"/>
          <w:lang w:val="es-ES_tradnl"/>
        </w:rPr>
        <w:t xml:space="preserve">consecuencia cabe el pago de lo siguiente: a) Procede el </w:t>
      </w:r>
      <w:r>
        <w:rPr>
          <w:spacing w:val="-6"/>
          <w:sz w:val="16"/>
          <w:szCs w:val="16"/>
          <w:lang w:val="es-ES_tradnl"/>
        </w:rPr>
        <w:t xml:space="preserve">pago de las diferencias salariales por el tiempo laborado, </w:t>
      </w:r>
      <w:r>
        <w:rPr>
          <w:spacing w:val="-5"/>
          <w:sz w:val="16"/>
          <w:szCs w:val="16"/>
          <w:lang w:val="es-ES_tradnl"/>
        </w:rPr>
        <w:t>considerando las remuneraciones m</w:t>
      </w:r>
      <w:r>
        <w:rPr>
          <w:rFonts w:cs="Times New Roman"/>
          <w:spacing w:val="-5"/>
          <w:sz w:val="16"/>
          <w:szCs w:val="16"/>
          <w:lang w:val="es-ES_tradnl"/>
        </w:rPr>
        <w:t>í</w:t>
      </w:r>
      <w:r>
        <w:rPr>
          <w:spacing w:val="-5"/>
          <w:sz w:val="16"/>
          <w:szCs w:val="16"/>
          <w:lang w:val="es-ES_tradnl"/>
        </w:rPr>
        <w:t>nimas para esos a</w:t>
      </w:r>
      <w:r>
        <w:rPr>
          <w:rFonts w:cs="Times New Roman"/>
          <w:spacing w:val="-5"/>
          <w:sz w:val="16"/>
          <w:szCs w:val="16"/>
          <w:lang w:val="es-ES_tradnl"/>
        </w:rPr>
        <w:t>ñ</w:t>
      </w:r>
      <w:r>
        <w:rPr>
          <w:spacing w:val="-5"/>
          <w:sz w:val="16"/>
          <w:szCs w:val="16"/>
          <w:lang w:val="es-ES_tradnl"/>
        </w:rPr>
        <w:t>os;</w:t>
      </w:r>
    </w:p>
    <w:p w14:paraId="4F67B699" w14:textId="77777777" w:rsidR="00591D54" w:rsidRDefault="00591D54" w:rsidP="00251195">
      <w:pPr>
        <w:numPr>
          <w:ilvl w:val="0"/>
          <w:numId w:val="107"/>
        </w:numPr>
        <w:shd w:val="clear" w:color="auto" w:fill="FFFFFF"/>
        <w:tabs>
          <w:tab w:val="left" w:pos="466"/>
        </w:tabs>
        <w:spacing w:line="216" w:lineRule="exact"/>
        <w:ind w:left="283" w:right="5"/>
        <w:jc w:val="both"/>
        <w:rPr>
          <w:spacing w:val="-7"/>
          <w:sz w:val="16"/>
          <w:szCs w:val="16"/>
          <w:lang w:val="es-ES_tradnl"/>
        </w:rPr>
      </w:pPr>
      <w:r>
        <w:rPr>
          <w:spacing w:val="-4"/>
          <w:sz w:val="16"/>
          <w:szCs w:val="16"/>
          <w:lang w:val="es-ES_tradnl"/>
        </w:rPr>
        <w:t>Procede</w:t>
      </w:r>
      <w:r>
        <w:rPr>
          <w:spacing w:val="-4"/>
          <w:sz w:val="18"/>
          <w:szCs w:val="18"/>
          <w:lang w:val="es-ES_tradnl"/>
        </w:rPr>
        <w:t xml:space="preserve"> </w:t>
      </w:r>
      <w:r>
        <w:rPr>
          <w:spacing w:val="-4"/>
          <w:sz w:val="16"/>
          <w:szCs w:val="16"/>
          <w:lang w:val="es-ES_tradnl"/>
        </w:rPr>
        <w:t>el</w:t>
      </w:r>
      <w:r>
        <w:rPr>
          <w:spacing w:val="-4"/>
          <w:sz w:val="18"/>
          <w:szCs w:val="18"/>
          <w:lang w:val="es-ES_tradnl"/>
        </w:rPr>
        <w:t xml:space="preserve"> </w:t>
      </w:r>
      <w:r>
        <w:rPr>
          <w:spacing w:val="-4"/>
          <w:sz w:val="16"/>
          <w:szCs w:val="16"/>
          <w:lang w:val="es-ES_tradnl"/>
        </w:rPr>
        <w:t>pago</w:t>
      </w:r>
      <w:r>
        <w:rPr>
          <w:spacing w:val="-4"/>
          <w:sz w:val="18"/>
          <w:szCs w:val="18"/>
          <w:lang w:val="es-ES_tradnl"/>
        </w:rPr>
        <w:t xml:space="preserve"> </w:t>
      </w:r>
      <w:r>
        <w:rPr>
          <w:spacing w:val="-4"/>
          <w:sz w:val="16"/>
          <w:szCs w:val="16"/>
          <w:lang w:val="es-ES_tradnl"/>
        </w:rPr>
        <w:t>de</w:t>
      </w:r>
      <w:r>
        <w:rPr>
          <w:spacing w:val="-4"/>
          <w:sz w:val="18"/>
          <w:szCs w:val="18"/>
          <w:lang w:val="es-ES_tradnl"/>
        </w:rPr>
        <w:t xml:space="preserve"> </w:t>
      </w:r>
      <w:r>
        <w:rPr>
          <w:spacing w:val="-4"/>
          <w:sz w:val="16"/>
          <w:szCs w:val="16"/>
          <w:lang w:val="es-ES_tradnl"/>
        </w:rPr>
        <w:t>la</w:t>
      </w:r>
      <w:r>
        <w:rPr>
          <w:spacing w:val="-4"/>
          <w:sz w:val="18"/>
          <w:szCs w:val="18"/>
          <w:lang w:val="es-ES_tradnl"/>
        </w:rPr>
        <w:t xml:space="preserve"> </w:t>
      </w:r>
      <w:r>
        <w:rPr>
          <w:spacing w:val="-4"/>
          <w:sz w:val="16"/>
          <w:szCs w:val="16"/>
          <w:lang w:val="es-ES_tradnl"/>
        </w:rPr>
        <w:t>d</w:t>
      </w:r>
      <w:r>
        <w:rPr>
          <w:rFonts w:cs="Times New Roman"/>
          <w:spacing w:val="-4"/>
          <w:sz w:val="16"/>
          <w:szCs w:val="16"/>
          <w:lang w:val="es-ES_tradnl"/>
        </w:rPr>
        <w:t>é</w:t>
      </w:r>
      <w:r>
        <w:rPr>
          <w:spacing w:val="-4"/>
          <w:sz w:val="16"/>
          <w:szCs w:val="16"/>
          <w:lang w:val="es-ES_tradnl"/>
        </w:rPr>
        <w:t>cima</w:t>
      </w:r>
      <w:r>
        <w:rPr>
          <w:spacing w:val="-4"/>
          <w:sz w:val="18"/>
          <w:szCs w:val="18"/>
          <w:lang w:val="es-ES_tradnl"/>
        </w:rPr>
        <w:t xml:space="preserve"> </w:t>
      </w:r>
      <w:r>
        <w:rPr>
          <w:spacing w:val="-4"/>
          <w:sz w:val="16"/>
          <w:szCs w:val="16"/>
          <w:lang w:val="es-ES_tradnl"/>
        </w:rPr>
        <w:t>tercera</w:t>
      </w:r>
      <w:r>
        <w:rPr>
          <w:spacing w:val="-4"/>
          <w:sz w:val="18"/>
          <w:szCs w:val="18"/>
          <w:lang w:val="es-ES_tradnl"/>
        </w:rPr>
        <w:t xml:space="preserve"> </w:t>
      </w:r>
      <w:r>
        <w:rPr>
          <w:spacing w:val="-4"/>
          <w:sz w:val="16"/>
          <w:szCs w:val="16"/>
          <w:lang w:val="es-ES_tradnl"/>
        </w:rPr>
        <w:t>remuneraci</w:t>
      </w:r>
      <w:r>
        <w:rPr>
          <w:rFonts w:cs="Times New Roman"/>
          <w:spacing w:val="-4"/>
          <w:sz w:val="16"/>
          <w:szCs w:val="16"/>
          <w:lang w:val="es-ES_tradnl"/>
        </w:rPr>
        <w:t>ó</w:t>
      </w:r>
      <w:r>
        <w:rPr>
          <w:spacing w:val="-4"/>
          <w:sz w:val="16"/>
          <w:szCs w:val="16"/>
          <w:lang w:val="es-ES_tradnl"/>
        </w:rPr>
        <w:t>n</w:t>
      </w:r>
      <w:r>
        <w:rPr>
          <w:spacing w:val="-4"/>
          <w:sz w:val="18"/>
          <w:szCs w:val="18"/>
          <w:lang w:val="es-ES_tradnl"/>
        </w:rPr>
        <w:t xml:space="preserve"> </w:t>
      </w:r>
      <w:r>
        <w:rPr>
          <w:spacing w:val="-4"/>
          <w:sz w:val="16"/>
          <w:szCs w:val="16"/>
          <w:lang w:val="es-ES_tradnl"/>
        </w:rPr>
        <w:t>por el tiempo laborado, de conformidad con el art</w:t>
      </w:r>
      <w:r>
        <w:rPr>
          <w:rFonts w:cs="Times New Roman"/>
          <w:spacing w:val="-4"/>
          <w:sz w:val="16"/>
          <w:szCs w:val="16"/>
          <w:lang w:val="es-ES_tradnl"/>
        </w:rPr>
        <w:t>í</w:t>
      </w:r>
      <w:r>
        <w:rPr>
          <w:spacing w:val="-4"/>
          <w:sz w:val="16"/>
          <w:szCs w:val="16"/>
          <w:lang w:val="es-ES_tradnl"/>
        </w:rPr>
        <w:t xml:space="preserve">culo 111 del </w:t>
      </w:r>
      <w:r>
        <w:rPr>
          <w:spacing w:val="-9"/>
          <w:sz w:val="16"/>
          <w:szCs w:val="16"/>
          <w:lang w:val="es-ES_tradnl"/>
        </w:rPr>
        <w:t>c</w:t>
      </w:r>
      <w:r>
        <w:rPr>
          <w:rFonts w:cs="Times New Roman"/>
          <w:spacing w:val="-9"/>
          <w:sz w:val="16"/>
          <w:szCs w:val="16"/>
          <w:lang w:val="es-ES_tradnl"/>
        </w:rPr>
        <w:t>ó</w:t>
      </w:r>
      <w:r>
        <w:rPr>
          <w:spacing w:val="-9"/>
          <w:sz w:val="16"/>
          <w:szCs w:val="16"/>
          <w:lang w:val="es-ES_tradnl"/>
        </w:rPr>
        <w:t xml:space="preserve">digo del trabajo, porque del proceso no consta prueba alguna </w:t>
      </w:r>
      <w:r>
        <w:rPr>
          <w:spacing w:val="-10"/>
          <w:sz w:val="16"/>
          <w:szCs w:val="16"/>
          <w:lang w:val="es-ES_tradnl"/>
        </w:rPr>
        <w:t>que demuestre que la trabajadora haya gozado de tal beneficio;</w:t>
      </w:r>
    </w:p>
    <w:p w14:paraId="4F67B69A" w14:textId="77777777" w:rsidR="00591D54" w:rsidRDefault="00591D54" w:rsidP="00251195">
      <w:pPr>
        <w:numPr>
          <w:ilvl w:val="0"/>
          <w:numId w:val="107"/>
        </w:numPr>
        <w:shd w:val="clear" w:color="auto" w:fill="FFFFFF"/>
        <w:tabs>
          <w:tab w:val="left" w:pos="466"/>
        </w:tabs>
        <w:spacing w:line="216" w:lineRule="exact"/>
        <w:ind w:left="283" w:right="5"/>
        <w:jc w:val="both"/>
        <w:rPr>
          <w:spacing w:val="-8"/>
          <w:sz w:val="16"/>
          <w:szCs w:val="16"/>
          <w:lang w:val="es-ES_tradnl"/>
        </w:rPr>
      </w:pPr>
      <w:r>
        <w:rPr>
          <w:spacing w:val="-7"/>
          <w:sz w:val="16"/>
          <w:szCs w:val="16"/>
          <w:lang w:val="es-ES_tradnl"/>
        </w:rPr>
        <w:t>Procede</w:t>
      </w:r>
      <w:r>
        <w:rPr>
          <w:spacing w:val="-7"/>
          <w:sz w:val="18"/>
          <w:szCs w:val="18"/>
          <w:lang w:val="es-ES_tradnl"/>
        </w:rPr>
        <w:t xml:space="preserve"> </w:t>
      </w:r>
      <w:r>
        <w:rPr>
          <w:spacing w:val="-7"/>
          <w:sz w:val="16"/>
          <w:szCs w:val="16"/>
          <w:lang w:val="es-ES_tradnl"/>
        </w:rPr>
        <w:t>el</w:t>
      </w:r>
      <w:r>
        <w:rPr>
          <w:spacing w:val="-7"/>
          <w:sz w:val="18"/>
          <w:szCs w:val="18"/>
          <w:lang w:val="es-ES_tradnl"/>
        </w:rPr>
        <w:t xml:space="preserve"> </w:t>
      </w:r>
      <w:r>
        <w:rPr>
          <w:spacing w:val="-7"/>
          <w:sz w:val="16"/>
          <w:szCs w:val="16"/>
          <w:lang w:val="es-ES_tradnl"/>
        </w:rPr>
        <w:t>pago</w:t>
      </w:r>
      <w:r>
        <w:rPr>
          <w:spacing w:val="-7"/>
          <w:sz w:val="18"/>
          <w:szCs w:val="18"/>
          <w:lang w:val="es-ES_tradnl"/>
        </w:rPr>
        <w:t xml:space="preserve"> </w:t>
      </w:r>
      <w:r>
        <w:rPr>
          <w:spacing w:val="-7"/>
          <w:sz w:val="16"/>
          <w:szCs w:val="16"/>
          <w:lang w:val="es-ES_tradnl"/>
        </w:rPr>
        <w:t>de</w:t>
      </w:r>
      <w:r>
        <w:rPr>
          <w:spacing w:val="-7"/>
          <w:sz w:val="18"/>
          <w:szCs w:val="18"/>
          <w:lang w:val="es-ES_tradnl"/>
        </w:rPr>
        <w:t xml:space="preserve"> </w:t>
      </w:r>
      <w:r>
        <w:rPr>
          <w:spacing w:val="-7"/>
          <w:sz w:val="16"/>
          <w:szCs w:val="16"/>
          <w:lang w:val="es-ES_tradnl"/>
        </w:rPr>
        <w:t>la</w:t>
      </w:r>
      <w:r>
        <w:rPr>
          <w:spacing w:val="-7"/>
          <w:sz w:val="18"/>
          <w:szCs w:val="18"/>
          <w:lang w:val="es-ES_tradnl"/>
        </w:rPr>
        <w:t xml:space="preserve"> </w:t>
      </w:r>
      <w:r>
        <w:rPr>
          <w:spacing w:val="-7"/>
          <w:sz w:val="16"/>
          <w:szCs w:val="16"/>
          <w:lang w:val="es-ES_tradnl"/>
        </w:rPr>
        <w:t>d</w:t>
      </w:r>
      <w:r>
        <w:rPr>
          <w:rFonts w:cs="Times New Roman"/>
          <w:spacing w:val="-7"/>
          <w:sz w:val="16"/>
          <w:szCs w:val="16"/>
          <w:lang w:val="es-ES_tradnl"/>
        </w:rPr>
        <w:t>é</w:t>
      </w:r>
      <w:r>
        <w:rPr>
          <w:spacing w:val="-7"/>
          <w:sz w:val="16"/>
          <w:szCs w:val="16"/>
          <w:lang w:val="es-ES_tradnl"/>
        </w:rPr>
        <w:t>cima</w:t>
      </w:r>
      <w:r>
        <w:rPr>
          <w:spacing w:val="-7"/>
          <w:sz w:val="18"/>
          <w:szCs w:val="18"/>
          <w:lang w:val="es-ES_tradnl"/>
        </w:rPr>
        <w:t xml:space="preserve"> </w:t>
      </w:r>
      <w:r>
        <w:rPr>
          <w:spacing w:val="-7"/>
          <w:sz w:val="16"/>
          <w:szCs w:val="16"/>
          <w:lang w:val="es-ES_tradnl"/>
        </w:rPr>
        <w:t>cuarta</w:t>
      </w:r>
      <w:r>
        <w:rPr>
          <w:spacing w:val="-7"/>
          <w:sz w:val="18"/>
          <w:szCs w:val="18"/>
          <w:lang w:val="es-ES_tradnl"/>
        </w:rPr>
        <w:t xml:space="preserve"> </w:t>
      </w:r>
      <w:r>
        <w:rPr>
          <w:spacing w:val="-7"/>
          <w:sz w:val="16"/>
          <w:szCs w:val="16"/>
          <w:lang w:val="es-ES_tradnl"/>
        </w:rPr>
        <w:t>remuneraci</w:t>
      </w:r>
      <w:r>
        <w:rPr>
          <w:rFonts w:cs="Times New Roman"/>
          <w:spacing w:val="-7"/>
          <w:sz w:val="16"/>
          <w:szCs w:val="16"/>
          <w:lang w:val="es-ES_tradnl"/>
        </w:rPr>
        <w:t>ó</w:t>
      </w:r>
      <w:r>
        <w:rPr>
          <w:spacing w:val="-7"/>
          <w:sz w:val="16"/>
          <w:szCs w:val="16"/>
          <w:lang w:val="es-ES_tradnl"/>
        </w:rPr>
        <w:t>n</w:t>
      </w:r>
      <w:r>
        <w:rPr>
          <w:spacing w:val="-7"/>
          <w:sz w:val="18"/>
          <w:szCs w:val="18"/>
          <w:lang w:val="es-ES_tradnl"/>
        </w:rPr>
        <w:t xml:space="preserve"> </w:t>
      </w:r>
      <w:r>
        <w:rPr>
          <w:spacing w:val="-7"/>
          <w:sz w:val="16"/>
          <w:szCs w:val="16"/>
          <w:lang w:val="es-ES_tradnl"/>
        </w:rPr>
        <w:t>por</w:t>
      </w:r>
      <w:r>
        <w:rPr>
          <w:spacing w:val="-7"/>
          <w:sz w:val="18"/>
          <w:szCs w:val="18"/>
          <w:lang w:val="es-ES_tradnl"/>
        </w:rPr>
        <w:t xml:space="preserve"> </w:t>
      </w:r>
      <w:r>
        <w:rPr>
          <w:spacing w:val="-7"/>
          <w:sz w:val="16"/>
          <w:szCs w:val="16"/>
          <w:lang w:val="es-ES_tradnl"/>
        </w:rPr>
        <w:t xml:space="preserve">el </w:t>
      </w:r>
      <w:r>
        <w:rPr>
          <w:sz w:val="16"/>
          <w:szCs w:val="16"/>
          <w:lang w:val="es-ES_tradnl"/>
        </w:rPr>
        <w:t>tiempo laborado, de conformidad con el art</w:t>
      </w:r>
      <w:r>
        <w:rPr>
          <w:rFonts w:cs="Times New Roman"/>
          <w:sz w:val="16"/>
          <w:szCs w:val="16"/>
          <w:lang w:val="es-ES_tradnl"/>
        </w:rPr>
        <w:t>í</w:t>
      </w:r>
      <w:r>
        <w:rPr>
          <w:sz w:val="16"/>
          <w:szCs w:val="16"/>
          <w:lang w:val="es-ES_tradnl"/>
        </w:rPr>
        <w:t>culo 113 del</w:t>
      </w:r>
    </w:p>
    <w:p w14:paraId="4F67B69B" w14:textId="77777777" w:rsidR="00591D54" w:rsidRDefault="00591D54">
      <w:pPr>
        <w:shd w:val="clear" w:color="auto" w:fill="FFFFFF"/>
        <w:spacing w:before="158" w:line="216" w:lineRule="exact"/>
        <w:ind w:left="283"/>
        <w:jc w:val="both"/>
      </w:pPr>
      <w:r>
        <w:rPr>
          <w:spacing w:val="-8"/>
          <w:sz w:val="16"/>
          <w:szCs w:val="16"/>
          <w:lang w:val="es-ES_tradnl"/>
        </w:rPr>
        <w:br w:type="column"/>
      </w:r>
      <w:r>
        <w:rPr>
          <w:spacing w:val="-4"/>
          <w:sz w:val="16"/>
          <w:szCs w:val="16"/>
          <w:lang w:val="es-ES_tradnl"/>
        </w:rPr>
        <w:t>c</w:t>
      </w:r>
      <w:r>
        <w:rPr>
          <w:rFonts w:cs="Times New Roman"/>
          <w:spacing w:val="-4"/>
          <w:sz w:val="16"/>
          <w:szCs w:val="16"/>
          <w:lang w:val="es-ES_tradnl"/>
        </w:rPr>
        <w:t>ó</w:t>
      </w:r>
      <w:r>
        <w:rPr>
          <w:spacing w:val="-4"/>
          <w:sz w:val="16"/>
          <w:szCs w:val="16"/>
          <w:lang w:val="es-ES_tradnl"/>
        </w:rPr>
        <w:t xml:space="preserve">digo del trabajo, porque del proceso no consta prueba </w:t>
      </w:r>
      <w:r>
        <w:rPr>
          <w:spacing w:val="-3"/>
          <w:sz w:val="16"/>
          <w:szCs w:val="16"/>
          <w:lang w:val="es-ES_tradnl"/>
        </w:rPr>
        <w:t xml:space="preserve">alguna que demuestre que la trabajadora haya gozado de </w:t>
      </w:r>
      <w:r>
        <w:rPr>
          <w:spacing w:val="-4"/>
          <w:sz w:val="16"/>
          <w:szCs w:val="16"/>
          <w:lang w:val="es-ES_tradnl"/>
        </w:rPr>
        <w:t xml:space="preserve">tal beneficio; d) Procede el pago de los fondos de reserva </w:t>
      </w:r>
      <w:r>
        <w:rPr>
          <w:spacing w:val="-3"/>
          <w:sz w:val="16"/>
          <w:szCs w:val="16"/>
          <w:lang w:val="es-ES_tradnl"/>
        </w:rPr>
        <w:t>por todo el tiempo laborado, de conformidad al art</w:t>
      </w:r>
      <w:r>
        <w:rPr>
          <w:rFonts w:cs="Times New Roman"/>
          <w:spacing w:val="-3"/>
          <w:sz w:val="16"/>
          <w:szCs w:val="16"/>
          <w:lang w:val="es-ES_tradnl"/>
        </w:rPr>
        <w:t>í</w:t>
      </w:r>
      <w:r>
        <w:rPr>
          <w:spacing w:val="-3"/>
          <w:sz w:val="16"/>
          <w:szCs w:val="16"/>
          <w:lang w:val="es-ES_tradnl"/>
        </w:rPr>
        <w:t xml:space="preserve">culo 196 </w:t>
      </w:r>
      <w:r>
        <w:rPr>
          <w:spacing w:val="-2"/>
          <w:sz w:val="16"/>
          <w:szCs w:val="16"/>
          <w:lang w:val="es-ES_tradnl"/>
        </w:rPr>
        <w:t>y siguientes del c</w:t>
      </w:r>
      <w:r>
        <w:rPr>
          <w:rFonts w:cs="Times New Roman"/>
          <w:spacing w:val="-2"/>
          <w:sz w:val="16"/>
          <w:szCs w:val="16"/>
          <w:lang w:val="es-ES_tradnl"/>
        </w:rPr>
        <w:t>ó</w:t>
      </w:r>
      <w:r>
        <w:rPr>
          <w:spacing w:val="-2"/>
          <w:sz w:val="16"/>
          <w:szCs w:val="16"/>
          <w:lang w:val="es-ES_tradnl"/>
        </w:rPr>
        <w:t xml:space="preserve">digo del trabajo y del Reglamento para </w:t>
      </w:r>
      <w:r>
        <w:rPr>
          <w:spacing w:val="-3"/>
          <w:sz w:val="16"/>
          <w:szCs w:val="16"/>
          <w:lang w:val="es-ES_tradnl"/>
        </w:rPr>
        <w:t>el pago o devoluci</w:t>
      </w:r>
      <w:r>
        <w:rPr>
          <w:rFonts w:cs="Times New Roman"/>
          <w:spacing w:val="-3"/>
          <w:sz w:val="16"/>
          <w:szCs w:val="16"/>
          <w:lang w:val="es-ES_tradnl"/>
        </w:rPr>
        <w:t>ó</w:t>
      </w:r>
      <w:r>
        <w:rPr>
          <w:spacing w:val="-3"/>
          <w:sz w:val="16"/>
          <w:szCs w:val="16"/>
          <w:lang w:val="es-ES_tradnl"/>
        </w:rPr>
        <w:t xml:space="preserve">n del fondo de reserva por parte del Instituto Ecuatoriano de Seguridad Social, publicado en el </w:t>
      </w:r>
      <w:r>
        <w:rPr>
          <w:spacing w:val="-5"/>
          <w:sz w:val="16"/>
          <w:szCs w:val="16"/>
          <w:lang w:val="es-ES_tradnl"/>
        </w:rPr>
        <w:t xml:space="preserve">Registro Oficial No. 201 de jueves 27 de mayo del 2010; e) </w:t>
      </w:r>
      <w:r>
        <w:rPr>
          <w:spacing w:val="-4"/>
          <w:sz w:val="16"/>
          <w:szCs w:val="16"/>
          <w:lang w:val="es-ES_tradnl"/>
        </w:rPr>
        <w:t xml:space="preserve">Procede el pago de las vacaciones por el tiempo laborado, </w:t>
      </w:r>
      <w:r>
        <w:rPr>
          <w:spacing w:val="-2"/>
          <w:sz w:val="16"/>
          <w:szCs w:val="16"/>
          <w:lang w:val="es-ES_tradnl"/>
        </w:rPr>
        <w:t>de conformidad con el art</w:t>
      </w:r>
      <w:r>
        <w:rPr>
          <w:rFonts w:cs="Times New Roman"/>
          <w:spacing w:val="-2"/>
          <w:sz w:val="16"/>
          <w:szCs w:val="16"/>
          <w:lang w:val="es-ES_tradnl"/>
        </w:rPr>
        <w:t>í</w:t>
      </w:r>
      <w:r>
        <w:rPr>
          <w:spacing w:val="-2"/>
          <w:sz w:val="16"/>
          <w:szCs w:val="16"/>
          <w:lang w:val="es-ES_tradnl"/>
        </w:rPr>
        <w:t>culo 69 y siguientes del c</w:t>
      </w:r>
      <w:r>
        <w:rPr>
          <w:rFonts w:cs="Times New Roman"/>
          <w:spacing w:val="-2"/>
          <w:sz w:val="16"/>
          <w:szCs w:val="16"/>
          <w:lang w:val="es-ES_tradnl"/>
        </w:rPr>
        <w:t>ó</w:t>
      </w:r>
      <w:r>
        <w:rPr>
          <w:spacing w:val="-2"/>
          <w:sz w:val="16"/>
          <w:szCs w:val="16"/>
          <w:lang w:val="es-ES_tradnl"/>
        </w:rPr>
        <w:t xml:space="preserve">digo </w:t>
      </w:r>
      <w:r>
        <w:rPr>
          <w:spacing w:val="-6"/>
          <w:sz w:val="16"/>
          <w:szCs w:val="16"/>
          <w:lang w:val="es-ES_tradnl"/>
        </w:rPr>
        <w:t xml:space="preserve">del trabajo, porque del proceso no consta prueba alguna que </w:t>
      </w:r>
      <w:r>
        <w:rPr>
          <w:spacing w:val="-5"/>
          <w:sz w:val="16"/>
          <w:szCs w:val="16"/>
          <w:lang w:val="es-ES_tradnl"/>
        </w:rPr>
        <w:t xml:space="preserve">demuestre que la trabajadora haya gozado de tal beneficio; </w:t>
      </w:r>
      <w:r>
        <w:rPr>
          <w:spacing w:val="-4"/>
          <w:sz w:val="16"/>
          <w:szCs w:val="16"/>
          <w:lang w:val="es-ES_tradnl"/>
        </w:rPr>
        <w:t>g) El inter</w:t>
      </w:r>
      <w:r>
        <w:rPr>
          <w:rFonts w:cs="Times New Roman"/>
          <w:spacing w:val="-4"/>
          <w:sz w:val="16"/>
          <w:szCs w:val="16"/>
          <w:lang w:val="es-ES_tradnl"/>
        </w:rPr>
        <w:t>é</w:t>
      </w:r>
      <w:r>
        <w:rPr>
          <w:spacing w:val="-4"/>
          <w:sz w:val="16"/>
          <w:szCs w:val="16"/>
          <w:lang w:val="es-ES_tradnl"/>
        </w:rPr>
        <w:t>s legal que se</w:t>
      </w:r>
      <w:r>
        <w:rPr>
          <w:rFonts w:cs="Times New Roman"/>
          <w:spacing w:val="-4"/>
          <w:sz w:val="16"/>
          <w:szCs w:val="16"/>
          <w:lang w:val="es-ES_tradnl"/>
        </w:rPr>
        <w:t>ñ</w:t>
      </w:r>
      <w:r>
        <w:rPr>
          <w:spacing w:val="-4"/>
          <w:sz w:val="16"/>
          <w:szCs w:val="16"/>
          <w:lang w:val="es-ES_tradnl"/>
        </w:rPr>
        <w:t>ala el art</w:t>
      </w:r>
      <w:r>
        <w:rPr>
          <w:rFonts w:cs="Times New Roman"/>
          <w:spacing w:val="-4"/>
          <w:sz w:val="16"/>
          <w:szCs w:val="16"/>
          <w:lang w:val="es-ES_tradnl"/>
        </w:rPr>
        <w:t>í</w:t>
      </w:r>
      <w:r>
        <w:rPr>
          <w:spacing w:val="-4"/>
          <w:sz w:val="16"/>
          <w:szCs w:val="16"/>
          <w:lang w:val="es-ES_tradnl"/>
        </w:rPr>
        <w:t>culo 614 del c</w:t>
      </w:r>
      <w:r>
        <w:rPr>
          <w:rFonts w:cs="Times New Roman"/>
          <w:spacing w:val="-4"/>
          <w:sz w:val="16"/>
          <w:szCs w:val="16"/>
          <w:lang w:val="es-ES_tradnl"/>
        </w:rPr>
        <w:t>ó</w:t>
      </w:r>
      <w:r>
        <w:rPr>
          <w:spacing w:val="-4"/>
          <w:sz w:val="16"/>
          <w:szCs w:val="16"/>
          <w:lang w:val="es-ES_tradnl"/>
        </w:rPr>
        <w:t xml:space="preserve">digo del </w:t>
      </w:r>
      <w:r>
        <w:rPr>
          <w:spacing w:val="-5"/>
          <w:sz w:val="16"/>
          <w:szCs w:val="16"/>
          <w:lang w:val="es-ES_tradnl"/>
        </w:rPr>
        <w:t>trabajo, que se calcular</w:t>
      </w:r>
      <w:r>
        <w:rPr>
          <w:rFonts w:cs="Times New Roman"/>
          <w:spacing w:val="-5"/>
          <w:sz w:val="16"/>
          <w:szCs w:val="16"/>
          <w:lang w:val="es-ES_tradnl"/>
        </w:rPr>
        <w:t>á</w:t>
      </w:r>
      <w:r>
        <w:rPr>
          <w:spacing w:val="-5"/>
          <w:sz w:val="16"/>
          <w:szCs w:val="16"/>
          <w:lang w:val="es-ES_tradnl"/>
        </w:rPr>
        <w:t xml:space="preserve"> desde que debieron cumplirse las </w:t>
      </w:r>
      <w:r>
        <w:rPr>
          <w:spacing w:val="-7"/>
          <w:sz w:val="16"/>
          <w:szCs w:val="16"/>
          <w:lang w:val="es-ES_tradnl"/>
        </w:rPr>
        <w:t>obligaciones se</w:t>
      </w:r>
      <w:r>
        <w:rPr>
          <w:rFonts w:cs="Times New Roman"/>
          <w:spacing w:val="-7"/>
          <w:sz w:val="16"/>
          <w:szCs w:val="16"/>
          <w:lang w:val="es-ES_tradnl"/>
        </w:rPr>
        <w:t>ñ</w:t>
      </w:r>
      <w:r>
        <w:rPr>
          <w:spacing w:val="-7"/>
          <w:sz w:val="16"/>
          <w:szCs w:val="16"/>
          <w:lang w:val="es-ES_tradnl"/>
        </w:rPr>
        <w:t>aladas hasta la fecha de su efectiva soluci</w:t>
      </w:r>
      <w:r>
        <w:rPr>
          <w:rFonts w:cs="Times New Roman"/>
          <w:spacing w:val="-7"/>
          <w:sz w:val="16"/>
          <w:szCs w:val="16"/>
          <w:lang w:val="es-ES_tradnl"/>
        </w:rPr>
        <w:t>ó</w:t>
      </w:r>
      <w:r>
        <w:rPr>
          <w:spacing w:val="-7"/>
          <w:sz w:val="16"/>
          <w:szCs w:val="16"/>
          <w:lang w:val="es-ES_tradnl"/>
        </w:rPr>
        <w:t xml:space="preserve">n; </w:t>
      </w:r>
      <w:r>
        <w:rPr>
          <w:spacing w:val="-3"/>
          <w:sz w:val="16"/>
          <w:szCs w:val="16"/>
          <w:lang w:val="es-ES_tradnl"/>
        </w:rPr>
        <w:t>h) De conformidad a lo dispuesto en el inciso segundo del art</w:t>
      </w:r>
      <w:r>
        <w:rPr>
          <w:rFonts w:cs="Times New Roman"/>
          <w:spacing w:val="-3"/>
          <w:sz w:val="16"/>
          <w:szCs w:val="16"/>
          <w:lang w:val="es-ES_tradnl"/>
        </w:rPr>
        <w:t>í</w:t>
      </w:r>
      <w:r>
        <w:rPr>
          <w:spacing w:val="-3"/>
          <w:sz w:val="16"/>
          <w:szCs w:val="16"/>
          <w:lang w:val="es-ES_tradnl"/>
        </w:rPr>
        <w:t>culo 588 del c</w:t>
      </w:r>
      <w:r>
        <w:rPr>
          <w:rFonts w:cs="Times New Roman"/>
          <w:spacing w:val="-3"/>
          <w:sz w:val="16"/>
          <w:szCs w:val="16"/>
          <w:lang w:val="es-ES_tradnl"/>
        </w:rPr>
        <w:t>ó</w:t>
      </w:r>
      <w:r>
        <w:rPr>
          <w:spacing w:val="-3"/>
          <w:sz w:val="16"/>
          <w:szCs w:val="16"/>
          <w:lang w:val="es-ES_tradnl"/>
        </w:rPr>
        <w:t xml:space="preserve">digo del trabajo que dice </w:t>
      </w:r>
      <w:r>
        <w:rPr>
          <w:rFonts w:cs="Times New Roman"/>
          <w:spacing w:val="-3"/>
          <w:sz w:val="16"/>
          <w:szCs w:val="16"/>
          <w:lang w:val="es-ES_tradnl"/>
        </w:rPr>
        <w:t>‘</w:t>
      </w:r>
      <w:r>
        <w:rPr>
          <w:spacing w:val="-3"/>
          <w:sz w:val="16"/>
          <w:szCs w:val="16"/>
          <w:lang w:val="es-ES_tradnl"/>
        </w:rPr>
        <w:t>Las costas judiciales y honorarios de la defensa del trabajador, ser</w:t>
      </w:r>
      <w:r>
        <w:rPr>
          <w:rFonts w:cs="Times New Roman"/>
          <w:spacing w:val="-3"/>
          <w:sz w:val="16"/>
          <w:szCs w:val="16"/>
          <w:lang w:val="es-ES_tradnl"/>
        </w:rPr>
        <w:t>á</w:t>
      </w:r>
      <w:r>
        <w:rPr>
          <w:spacing w:val="-3"/>
          <w:sz w:val="16"/>
          <w:szCs w:val="16"/>
          <w:lang w:val="es-ES_tradnl"/>
        </w:rPr>
        <w:t xml:space="preserve">n </w:t>
      </w:r>
      <w:r>
        <w:rPr>
          <w:spacing w:val="-7"/>
          <w:sz w:val="16"/>
          <w:szCs w:val="16"/>
          <w:lang w:val="es-ES_tradnl"/>
        </w:rPr>
        <w:t xml:space="preserve">de cuenta del empleador demandado, siempre y cuando la </w:t>
      </w:r>
      <w:r>
        <w:rPr>
          <w:spacing w:val="-4"/>
          <w:sz w:val="16"/>
          <w:szCs w:val="16"/>
          <w:lang w:val="es-ES_tradnl"/>
        </w:rPr>
        <w:t>sentencia favorezca total o parcialmente al trabajador</w:t>
      </w:r>
      <w:r>
        <w:rPr>
          <w:rFonts w:cs="Times New Roman"/>
          <w:spacing w:val="-4"/>
          <w:sz w:val="16"/>
          <w:szCs w:val="16"/>
          <w:lang w:val="es-ES_tradnl"/>
        </w:rPr>
        <w:t>’</w:t>
      </w:r>
      <w:r>
        <w:rPr>
          <w:spacing w:val="-4"/>
          <w:sz w:val="16"/>
          <w:szCs w:val="16"/>
          <w:lang w:val="es-ES_tradnl"/>
        </w:rPr>
        <w:t xml:space="preserve">, en </w:t>
      </w:r>
      <w:r>
        <w:rPr>
          <w:spacing w:val="-8"/>
          <w:sz w:val="16"/>
          <w:szCs w:val="16"/>
          <w:lang w:val="es-ES_tradnl"/>
        </w:rPr>
        <w:t xml:space="preserve">consecuencia es procedente el reclamo de costas procesales, </w:t>
      </w:r>
      <w:r>
        <w:rPr>
          <w:spacing w:val="-5"/>
          <w:sz w:val="16"/>
          <w:szCs w:val="16"/>
          <w:lang w:val="es-ES_tradnl"/>
        </w:rPr>
        <w:t xml:space="preserve">incluyendo en ellas los honorarios del defensor de la actora. </w:t>
      </w:r>
      <w:r>
        <w:rPr>
          <w:sz w:val="16"/>
          <w:szCs w:val="16"/>
          <w:lang w:val="es-ES_tradnl"/>
        </w:rPr>
        <w:t>(</w:t>
      </w:r>
      <w:r>
        <w:rPr>
          <w:rFonts w:cs="Times New Roman"/>
          <w:sz w:val="16"/>
          <w:szCs w:val="16"/>
          <w:lang w:val="es-ES_tradnl"/>
        </w:rPr>
        <w:t>…</w:t>
      </w:r>
      <w:r>
        <w:rPr>
          <w:sz w:val="16"/>
          <w:szCs w:val="16"/>
          <w:lang w:val="es-ES_tradnl"/>
        </w:rPr>
        <w:t xml:space="preserve">) Por lo expuesto, </w:t>
      </w:r>
      <w:r>
        <w:rPr>
          <w:rFonts w:cs="Times New Roman"/>
          <w:sz w:val="16"/>
          <w:szCs w:val="16"/>
          <w:lang w:val="es-ES_tradnl"/>
        </w:rPr>
        <w:t>‘</w:t>
      </w:r>
      <w:r>
        <w:rPr>
          <w:b/>
          <w:bCs/>
          <w:sz w:val="16"/>
          <w:szCs w:val="16"/>
          <w:lang w:val="es-ES_tradnl"/>
        </w:rPr>
        <w:t xml:space="preserve">ADMINISTRANDO JUSTICIA, EN </w:t>
      </w:r>
      <w:r>
        <w:rPr>
          <w:b/>
          <w:bCs/>
          <w:spacing w:val="-1"/>
          <w:sz w:val="16"/>
          <w:szCs w:val="16"/>
          <w:lang w:val="es-ES_tradnl"/>
        </w:rPr>
        <w:t xml:space="preserve">NOMBRE DEL PUEBLO SOBERANO DEL ECUADOR, </w:t>
      </w:r>
      <w:r>
        <w:rPr>
          <w:b/>
          <w:bCs/>
          <w:sz w:val="16"/>
          <w:szCs w:val="16"/>
          <w:lang w:val="es-ES_tradnl"/>
        </w:rPr>
        <w:t>Y POR AUTORIDAD DE LA CONSTITUCI</w:t>
      </w:r>
      <w:r>
        <w:rPr>
          <w:rFonts w:cs="Times New Roman"/>
          <w:b/>
          <w:bCs/>
          <w:sz w:val="16"/>
          <w:szCs w:val="16"/>
          <w:lang w:val="es-ES_tradnl"/>
        </w:rPr>
        <w:t>Ó</w:t>
      </w:r>
      <w:r>
        <w:rPr>
          <w:b/>
          <w:bCs/>
          <w:sz w:val="16"/>
          <w:szCs w:val="16"/>
          <w:lang w:val="es-ES_tradnl"/>
        </w:rPr>
        <w:t>N Y LAS LEYES DE LA REP</w:t>
      </w:r>
      <w:r>
        <w:rPr>
          <w:rFonts w:cs="Times New Roman"/>
          <w:b/>
          <w:bCs/>
          <w:sz w:val="16"/>
          <w:szCs w:val="16"/>
          <w:lang w:val="es-ES_tradnl"/>
        </w:rPr>
        <w:t>Ú</w:t>
      </w:r>
      <w:r>
        <w:rPr>
          <w:b/>
          <w:bCs/>
          <w:sz w:val="16"/>
          <w:szCs w:val="16"/>
          <w:lang w:val="es-ES_tradnl"/>
        </w:rPr>
        <w:t>BLICA</w:t>
      </w:r>
      <w:r>
        <w:rPr>
          <w:rFonts w:cs="Times New Roman"/>
          <w:b/>
          <w:bCs/>
          <w:sz w:val="16"/>
          <w:szCs w:val="16"/>
          <w:lang w:val="es-ES_tradnl"/>
        </w:rPr>
        <w:t>’</w:t>
      </w:r>
      <w:r>
        <w:rPr>
          <w:sz w:val="16"/>
          <w:szCs w:val="16"/>
          <w:lang w:val="es-ES_tradnl"/>
        </w:rPr>
        <w:t xml:space="preserve">, se acepta parcialmente </w:t>
      </w:r>
      <w:r>
        <w:rPr>
          <w:spacing w:val="-5"/>
          <w:sz w:val="16"/>
          <w:szCs w:val="16"/>
          <w:lang w:val="es-ES_tradnl"/>
        </w:rPr>
        <w:t>la demanda y se dispone que el se</w:t>
      </w:r>
      <w:r>
        <w:rPr>
          <w:rFonts w:cs="Times New Roman"/>
          <w:spacing w:val="-5"/>
          <w:sz w:val="16"/>
          <w:szCs w:val="16"/>
          <w:lang w:val="es-ES_tradnl"/>
        </w:rPr>
        <w:t>ñ</w:t>
      </w:r>
      <w:r>
        <w:rPr>
          <w:spacing w:val="-5"/>
          <w:sz w:val="16"/>
          <w:szCs w:val="16"/>
          <w:lang w:val="es-ES_tradnl"/>
        </w:rPr>
        <w:t>or JAIME PATRICIO CHIRIBOGA GUERRERO en su calidad de Representante Legal de la exportadora P. CH. G., as</w:t>
      </w:r>
      <w:r>
        <w:rPr>
          <w:rFonts w:cs="Times New Roman"/>
          <w:spacing w:val="-5"/>
          <w:sz w:val="16"/>
          <w:szCs w:val="16"/>
          <w:lang w:val="es-ES_tradnl"/>
        </w:rPr>
        <w:t>í</w:t>
      </w:r>
      <w:r>
        <w:rPr>
          <w:spacing w:val="-5"/>
          <w:sz w:val="16"/>
          <w:szCs w:val="16"/>
          <w:lang w:val="es-ES_tradnl"/>
        </w:rPr>
        <w:t xml:space="preserve"> como por sus propios </w:t>
      </w:r>
      <w:r>
        <w:rPr>
          <w:spacing w:val="-4"/>
          <w:sz w:val="16"/>
          <w:szCs w:val="16"/>
          <w:lang w:val="es-ES_tradnl"/>
        </w:rPr>
        <w:t>y personales derechos, pague a la se</w:t>
      </w:r>
      <w:r>
        <w:rPr>
          <w:rFonts w:cs="Times New Roman"/>
          <w:spacing w:val="-4"/>
          <w:sz w:val="16"/>
          <w:szCs w:val="16"/>
          <w:lang w:val="es-ES_tradnl"/>
        </w:rPr>
        <w:t>ñ</w:t>
      </w:r>
      <w:r>
        <w:rPr>
          <w:spacing w:val="-4"/>
          <w:sz w:val="16"/>
          <w:szCs w:val="16"/>
          <w:lang w:val="es-ES_tradnl"/>
        </w:rPr>
        <w:t xml:space="preserve">orita CLEMENCIA </w:t>
      </w:r>
      <w:r>
        <w:rPr>
          <w:sz w:val="16"/>
          <w:szCs w:val="16"/>
          <w:lang w:val="es-ES_tradnl"/>
        </w:rPr>
        <w:t>BOL</w:t>
      </w:r>
      <w:r>
        <w:rPr>
          <w:rFonts w:cs="Times New Roman"/>
          <w:sz w:val="16"/>
          <w:szCs w:val="16"/>
          <w:lang w:val="es-ES_tradnl"/>
        </w:rPr>
        <w:t>Í</w:t>
      </w:r>
      <w:r>
        <w:rPr>
          <w:sz w:val="16"/>
          <w:szCs w:val="16"/>
          <w:lang w:val="es-ES_tradnl"/>
        </w:rPr>
        <w:t>VAR AYOV</w:t>
      </w:r>
      <w:r>
        <w:rPr>
          <w:rFonts w:cs="Times New Roman"/>
          <w:sz w:val="16"/>
          <w:szCs w:val="16"/>
          <w:lang w:val="es-ES_tradnl"/>
        </w:rPr>
        <w:t>Í</w:t>
      </w:r>
      <w:r>
        <w:rPr>
          <w:sz w:val="16"/>
          <w:szCs w:val="16"/>
          <w:lang w:val="es-ES_tradnl"/>
        </w:rPr>
        <w:t xml:space="preserve"> CABEZA, </w:t>
      </w:r>
      <w:r>
        <w:rPr>
          <w:b/>
          <w:bCs/>
          <w:sz w:val="16"/>
          <w:szCs w:val="16"/>
          <w:lang w:val="es-ES_tradnl"/>
        </w:rPr>
        <w:t>la cantidad de DOCE MIL OCHOCIENTOS CUATRO D</w:t>
      </w:r>
      <w:r>
        <w:rPr>
          <w:rFonts w:cs="Times New Roman"/>
          <w:b/>
          <w:bCs/>
          <w:sz w:val="16"/>
          <w:szCs w:val="16"/>
          <w:lang w:val="es-ES_tradnl"/>
        </w:rPr>
        <w:t>Ó</w:t>
      </w:r>
      <w:r>
        <w:rPr>
          <w:b/>
          <w:bCs/>
          <w:sz w:val="16"/>
          <w:szCs w:val="16"/>
          <w:lang w:val="es-ES_tradnl"/>
        </w:rPr>
        <w:t>LARES DE LOS ESTADOS UNIDOS DE NORTEAM</w:t>
      </w:r>
      <w:r>
        <w:rPr>
          <w:rFonts w:cs="Times New Roman"/>
          <w:b/>
          <w:bCs/>
          <w:sz w:val="16"/>
          <w:szCs w:val="16"/>
          <w:lang w:val="es-ES_tradnl"/>
        </w:rPr>
        <w:t>É</w:t>
      </w:r>
      <w:r>
        <w:rPr>
          <w:b/>
          <w:bCs/>
          <w:sz w:val="16"/>
          <w:szCs w:val="16"/>
          <w:lang w:val="es-ES_tradnl"/>
        </w:rPr>
        <w:t>RICA, CON SESENTA CENTAVOS DE D</w:t>
      </w:r>
      <w:r>
        <w:rPr>
          <w:rFonts w:cs="Times New Roman"/>
          <w:b/>
          <w:bCs/>
          <w:sz w:val="16"/>
          <w:szCs w:val="16"/>
          <w:lang w:val="es-ES_tradnl"/>
        </w:rPr>
        <w:t>Ó</w:t>
      </w:r>
      <w:r>
        <w:rPr>
          <w:b/>
          <w:bCs/>
          <w:sz w:val="16"/>
          <w:szCs w:val="16"/>
          <w:lang w:val="es-ES_tradnl"/>
        </w:rPr>
        <w:t>LAR (USD. 12.804.70),</w:t>
      </w:r>
    </w:p>
    <w:p w14:paraId="4F67B69C" w14:textId="77777777" w:rsidR="00591D54" w:rsidRDefault="00591D54">
      <w:pPr>
        <w:shd w:val="clear" w:color="auto" w:fill="FFFFFF"/>
        <w:spacing w:line="216" w:lineRule="exact"/>
        <w:ind w:left="283" w:right="10"/>
        <w:jc w:val="both"/>
      </w:pPr>
      <w:r>
        <w:rPr>
          <w:spacing w:val="-4"/>
          <w:sz w:val="16"/>
          <w:szCs w:val="16"/>
          <w:lang w:val="es-ES_tradnl"/>
        </w:rPr>
        <w:t>m</w:t>
      </w:r>
      <w:r>
        <w:rPr>
          <w:rFonts w:cs="Times New Roman"/>
          <w:spacing w:val="-4"/>
          <w:sz w:val="16"/>
          <w:szCs w:val="16"/>
          <w:lang w:val="es-ES_tradnl"/>
        </w:rPr>
        <w:t>á</w:t>
      </w:r>
      <w:r>
        <w:rPr>
          <w:spacing w:val="-4"/>
          <w:sz w:val="16"/>
          <w:szCs w:val="16"/>
          <w:lang w:val="es-ES_tradnl"/>
        </w:rPr>
        <w:t>s los intereses que ser</w:t>
      </w:r>
      <w:r>
        <w:rPr>
          <w:rFonts w:cs="Times New Roman"/>
          <w:spacing w:val="-4"/>
          <w:sz w:val="16"/>
          <w:szCs w:val="16"/>
          <w:lang w:val="es-ES_tradnl"/>
        </w:rPr>
        <w:t>á</w:t>
      </w:r>
      <w:r>
        <w:rPr>
          <w:spacing w:val="-4"/>
          <w:sz w:val="16"/>
          <w:szCs w:val="16"/>
          <w:lang w:val="es-ES_tradnl"/>
        </w:rPr>
        <w:t xml:space="preserve">n calculados una vez que se </w:t>
      </w:r>
      <w:r>
        <w:rPr>
          <w:sz w:val="16"/>
          <w:szCs w:val="16"/>
          <w:lang w:val="es-ES_tradnl"/>
        </w:rPr>
        <w:t>ejecutor</w:t>
      </w:r>
      <w:r>
        <w:rPr>
          <w:rFonts w:cs="Times New Roman"/>
          <w:sz w:val="16"/>
          <w:szCs w:val="16"/>
          <w:lang w:val="es-ES_tradnl"/>
        </w:rPr>
        <w:t>í</w:t>
      </w:r>
      <w:r>
        <w:rPr>
          <w:sz w:val="16"/>
          <w:szCs w:val="16"/>
          <w:lang w:val="es-ES_tradnl"/>
        </w:rPr>
        <w:t>e la sentencia. (</w:t>
      </w:r>
      <w:r>
        <w:rPr>
          <w:rFonts w:cs="Times New Roman"/>
          <w:sz w:val="16"/>
          <w:szCs w:val="16"/>
          <w:lang w:val="es-ES_tradnl"/>
        </w:rPr>
        <w:t>…</w:t>
      </w:r>
      <w:r>
        <w:rPr>
          <w:sz w:val="16"/>
          <w:szCs w:val="16"/>
          <w:lang w:val="es-ES_tradnl"/>
        </w:rPr>
        <w:t>).</w:t>
      </w:r>
    </w:p>
    <w:p w14:paraId="4F67B69D" w14:textId="77777777" w:rsidR="00591D54" w:rsidRDefault="00591D54">
      <w:pPr>
        <w:shd w:val="clear" w:color="auto" w:fill="FFFFFF"/>
        <w:spacing w:before="187"/>
      </w:pPr>
      <w:r>
        <w:rPr>
          <w:b/>
          <w:bCs/>
          <w:spacing w:val="-8"/>
          <w:sz w:val="18"/>
          <w:szCs w:val="18"/>
          <w:lang w:val="es-ES_tradnl"/>
        </w:rPr>
        <w:t>Fundamentos y pretensi</w:t>
      </w:r>
      <w:r>
        <w:rPr>
          <w:rFonts w:cs="Times New Roman"/>
          <w:b/>
          <w:bCs/>
          <w:spacing w:val="-8"/>
          <w:sz w:val="18"/>
          <w:szCs w:val="18"/>
          <w:lang w:val="es-ES_tradnl"/>
        </w:rPr>
        <w:t>ó</w:t>
      </w:r>
      <w:r>
        <w:rPr>
          <w:b/>
          <w:bCs/>
          <w:spacing w:val="-8"/>
          <w:sz w:val="18"/>
          <w:szCs w:val="18"/>
          <w:lang w:val="es-ES_tradnl"/>
        </w:rPr>
        <w:t>n de la demanda</w:t>
      </w:r>
    </w:p>
    <w:p w14:paraId="4F67B69E" w14:textId="77777777" w:rsidR="00591D54" w:rsidRDefault="00591D54">
      <w:pPr>
        <w:shd w:val="clear" w:color="auto" w:fill="FFFFFF"/>
        <w:spacing w:before="182"/>
      </w:pPr>
      <w:r>
        <w:rPr>
          <w:b/>
          <w:bCs/>
          <w:spacing w:val="-11"/>
          <w:sz w:val="18"/>
          <w:szCs w:val="18"/>
          <w:lang w:val="es-ES_tradnl"/>
        </w:rPr>
        <w:t>Antecedentes</w:t>
      </w:r>
    </w:p>
    <w:p w14:paraId="4F67B69F" w14:textId="77777777" w:rsidR="00591D54" w:rsidRDefault="00591D54">
      <w:pPr>
        <w:shd w:val="clear" w:color="auto" w:fill="FFFFFF"/>
        <w:spacing w:before="197" w:line="216" w:lineRule="exact"/>
        <w:ind w:right="10"/>
        <w:jc w:val="both"/>
      </w:pPr>
      <w:r>
        <w:rPr>
          <w:spacing w:val="-3"/>
          <w:sz w:val="18"/>
          <w:szCs w:val="18"/>
          <w:lang w:val="es-ES_tradnl"/>
        </w:rPr>
        <w:t>La presente acci</w:t>
      </w:r>
      <w:r>
        <w:rPr>
          <w:rFonts w:cs="Times New Roman"/>
          <w:spacing w:val="-3"/>
          <w:sz w:val="18"/>
          <w:szCs w:val="18"/>
          <w:lang w:val="es-ES_tradnl"/>
        </w:rPr>
        <w:t>ó</w:t>
      </w:r>
      <w:r>
        <w:rPr>
          <w:spacing w:val="-3"/>
          <w:sz w:val="18"/>
          <w:szCs w:val="18"/>
          <w:lang w:val="es-ES_tradnl"/>
        </w:rPr>
        <w:t>n extraordinaria de protecci</w:t>
      </w:r>
      <w:r>
        <w:rPr>
          <w:rFonts w:cs="Times New Roman"/>
          <w:spacing w:val="-3"/>
          <w:sz w:val="18"/>
          <w:szCs w:val="18"/>
          <w:lang w:val="es-ES_tradnl"/>
        </w:rPr>
        <w:t>ó</w:t>
      </w:r>
      <w:r>
        <w:rPr>
          <w:spacing w:val="-3"/>
          <w:sz w:val="18"/>
          <w:szCs w:val="18"/>
          <w:lang w:val="es-ES_tradnl"/>
        </w:rPr>
        <w:t xml:space="preserve">n tiene </w:t>
      </w:r>
      <w:r>
        <w:rPr>
          <w:sz w:val="18"/>
          <w:szCs w:val="18"/>
          <w:lang w:val="es-ES_tradnl"/>
        </w:rPr>
        <w:t>como antecedentes los siguientes:</w:t>
      </w:r>
    </w:p>
    <w:p w14:paraId="4F67B6A0" w14:textId="77777777" w:rsidR="00591D54" w:rsidRDefault="00591D54">
      <w:pPr>
        <w:shd w:val="clear" w:color="auto" w:fill="FFFFFF"/>
        <w:spacing w:before="187" w:line="206" w:lineRule="exact"/>
        <w:ind w:right="10"/>
        <w:jc w:val="both"/>
      </w:pPr>
      <w:r>
        <w:rPr>
          <w:spacing w:val="-3"/>
          <w:sz w:val="18"/>
          <w:szCs w:val="18"/>
          <w:lang w:val="es-ES_tradnl"/>
        </w:rPr>
        <w:t>La se</w:t>
      </w:r>
      <w:r>
        <w:rPr>
          <w:rFonts w:cs="Times New Roman"/>
          <w:spacing w:val="-3"/>
          <w:sz w:val="18"/>
          <w:szCs w:val="18"/>
          <w:lang w:val="es-ES_tradnl"/>
        </w:rPr>
        <w:t>ñ</w:t>
      </w:r>
      <w:r>
        <w:rPr>
          <w:spacing w:val="-3"/>
          <w:sz w:val="18"/>
          <w:szCs w:val="18"/>
          <w:lang w:val="es-ES_tradnl"/>
        </w:rPr>
        <w:t>orita Clemencia Bol</w:t>
      </w:r>
      <w:r>
        <w:rPr>
          <w:rFonts w:cs="Times New Roman"/>
          <w:spacing w:val="-3"/>
          <w:sz w:val="18"/>
          <w:szCs w:val="18"/>
          <w:lang w:val="es-ES_tradnl"/>
        </w:rPr>
        <w:t>í</w:t>
      </w:r>
      <w:r>
        <w:rPr>
          <w:spacing w:val="-3"/>
          <w:sz w:val="18"/>
          <w:szCs w:val="18"/>
          <w:lang w:val="es-ES_tradnl"/>
        </w:rPr>
        <w:t>var Ayov</w:t>
      </w:r>
      <w:r>
        <w:rPr>
          <w:rFonts w:cs="Times New Roman"/>
          <w:spacing w:val="-3"/>
          <w:sz w:val="18"/>
          <w:szCs w:val="18"/>
          <w:lang w:val="es-ES_tradnl"/>
        </w:rPr>
        <w:t>í</w:t>
      </w:r>
      <w:r>
        <w:rPr>
          <w:spacing w:val="-3"/>
          <w:sz w:val="18"/>
          <w:szCs w:val="18"/>
          <w:lang w:val="es-ES_tradnl"/>
        </w:rPr>
        <w:t xml:space="preserve"> Cabeza, el 20 de </w:t>
      </w:r>
      <w:r>
        <w:rPr>
          <w:spacing w:val="-7"/>
          <w:sz w:val="18"/>
          <w:szCs w:val="18"/>
          <w:lang w:val="es-ES_tradnl"/>
        </w:rPr>
        <w:t>julio de 2011, presenta una demanda laboral en contra de Jaime Patricio Chiriboga Guerrero, por cuanto afirma que fue despedida intempestivamente de su trabajo.</w:t>
      </w:r>
    </w:p>
    <w:p w14:paraId="4F67B6A1" w14:textId="77777777" w:rsidR="00591D54" w:rsidRDefault="00591D54">
      <w:pPr>
        <w:shd w:val="clear" w:color="auto" w:fill="FFFFFF"/>
        <w:spacing w:before="187" w:line="206" w:lineRule="exact"/>
        <w:ind w:right="10"/>
        <w:jc w:val="both"/>
      </w:pPr>
      <w:r>
        <w:rPr>
          <w:spacing w:val="-3"/>
          <w:sz w:val="18"/>
          <w:szCs w:val="18"/>
          <w:lang w:val="es-ES_tradnl"/>
        </w:rPr>
        <w:t xml:space="preserve">El 31 de julio de 2012, el juez del Trabajo de Cotopaxi </w:t>
      </w:r>
      <w:r>
        <w:rPr>
          <w:spacing w:val="-7"/>
          <w:sz w:val="18"/>
          <w:szCs w:val="18"/>
          <w:lang w:val="es-ES_tradnl"/>
        </w:rPr>
        <w:t>acept</w:t>
      </w:r>
      <w:r>
        <w:rPr>
          <w:rFonts w:cs="Times New Roman"/>
          <w:spacing w:val="-7"/>
          <w:sz w:val="18"/>
          <w:szCs w:val="18"/>
          <w:lang w:val="es-ES_tradnl"/>
        </w:rPr>
        <w:t>ó</w:t>
      </w:r>
      <w:r>
        <w:rPr>
          <w:spacing w:val="-7"/>
          <w:sz w:val="18"/>
          <w:szCs w:val="18"/>
          <w:lang w:val="es-ES_tradnl"/>
        </w:rPr>
        <w:t xml:space="preserve"> parcialmente la demanda y dispuso que el se</w:t>
      </w:r>
      <w:r>
        <w:rPr>
          <w:rFonts w:cs="Times New Roman"/>
          <w:spacing w:val="-7"/>
          <w:sz w:val="18"/>
          <w:szCs w:val="18"/>
          <w:lang w:val="es-ES_tradnl"/>
        </w:rPr>
        <w:t>ñ</w:t>
      </w:r>
      <w:r>
        <w:rPr>
          <w:spacing w:val="-7"/>
          <w:sz w:val="18"/>
          <w:szCs w:val="18"/>
          <w:lang w:val="es-ES_tradnl"/>
        </w:rPr>
        <w:t xml:space="preserve">or </w:t>
      </w:r>
      <w:r>
        <w:rPr>
          <w:spacing w:val="-6"/>
          <w:sz w:val="18"/>
          <w:szCs w:val="18"/>
          <w:lang w:val="es-ES_tradnl"/>
        </w:rPr>
        <w:t xml:space="preserve">Jaime Patricio Chiriboga Guerrero, representante legal de </w:t>
      </w:r>
      <w:r>
        <w:rPr>
          <w:spacing w:val="-5"/>
          <w:sz w:val="18"/>
          <w:szCs w:val="18"/>
          <w:lang w:val="es-ES_tradnl"/>
        </w:rPr>
        <w:t>la exportadora P. CH. G., pague a la se</w:t>
      </w:r>
      <w:r>
        <w:rPr>
          <w:rFonts w:cs="Times New Roman"/>
          <w:spacing w:val="-5"/>
          <w:sz w:val="18"/>
          <w:szCs w:val="18"/>
          <w:lang w:val="es-ES_tradnl"/>
        </w:rPr>
        <w:t>ñ</w:t>
      </w:r>
      <w:r>
        <w:rPr>
          <w:spacing w:val="-5"/>
          <w:sz w:val="18"/>
          <w:szCs w:val="18"/>
          <w:lang w:val="es-ES_tradnl"/>
        </w:rPr>
        <w:t xml:space="preserve">orita Clemencia </w:t>
      </w:r>
      <w:r>
        <w:rPr>
          <w:spacing w:val="-7"/>
          <w:sz w:val="18"/>
          <w:szCs w:val="18"/>
          <w:lang w:val="es-ES_tradnl"/>
        </w:rPr>
        <w:t>Bol</w:t>
      </w:r>
      <w:r>
        <w:rPr>
          <w:rFonts w:cs="Times New Roman"/>
          <w:spacing w:val="-7"/>
          <w:sz w:val="18"/>
          <w:szCs w:val="18"/>
          <w:lang w:val="es-ES_tradnl"/>
        </w:rPr>
        <w:t>í</w:t>
      </w:r>
      <w:r>
        <w:rPr>
          <w:spacing w:val="-7"/>
          <w:sz w:val="18"/>
          <w:szCs w:val="18"/>
          <w:lang w:val="es-ES_tradnl"/>
        </w:rPr>
        <w:t>var Ayov</w:t>
      </w:r>
      <w:r>
        <w:rPr>
          <w:rFonts w:cs="Times New Roman"/>
          <w:spacing w:val="-7"/>
          <w:sz w:val="18"/>
          <w:szCs w:val="18"/>
          <w:lang w:val="es-ES_tradnl"/>
        </w:rPr>
        <w:t>í</w:t>
      </w:r>
      <w:r>
        <w:rPr>
          <w:spacing w:val="-7"/>
          <w:sz w:val="18"/>
          <w:szCs w:val="18"/>
          <w:lang w:val="es-ES_tradnl"/>
        </w:rPr>
        <w:t xml:space="preserve"> Cabeza la cantidad de doce mil ochocientos </w:t>
      </w:r>
      <w:r>
        <w:rPr>
          <w:spacing w:val="-5"/>
          <w:sz w:val="18"/>
          <w:szCs w:val="18"/>
          <w:lang w:val="es-ES_tradnl"/>
        </w:rPr>
        <w:t>cuatro d</w:t>
      </w:r>
      <w:r>
        <w:rPr>
          <w:rFonts w:cs="Times New Roman"/>
          <w:spacing w:val="-5"/>
          <w:sz w:val="18"/>
          <w:szCs w:val="18"/>
          <w:lang w:val="es-ES_tradnl"/>
        </w:rPr>
        <w:t>ó</w:t>
      </w:r>
      <w:r>
        <w:rPr>
          <w:spacing w:val="-5"/>
          <w:sz w:val="18"/>
          <w:szCs w:val="18"/>
          <w:lang w:val="es-ES_tradnl"/>
        </w:rPr>
        <w:t>lares de los Estados Unidos de Norteam</w:t>
      </w:r>
      <w:r>
        <w:rPr>
          <w:rFonts w:cs="Times New Roman"/>
          <w:spacing w:val="-5"/>
          <w:sz w:val="18"/>
          <w:szCs w:val="18"/>
          <w:lang w:val="es-ES_tradnl"/>
        </w:rPr>
        <w:t>é</w:t>
      </w:r>
      <w:r>
        <w:rPr>
          <w:spacing w:val="-5"/>
          <w:sz w:val="18"/>
          <w:szCs w:val="18"/>
          <w:lang w:val="es-ES_tradnl"/>
        </w:rPr>
        <w:t xml:space="preserve">rica </w:t>
      </w:r>
      <w:r>
        <w:rPr>
          <w:sz w:val="18"/>
          <w:szCs w:val="18"/>
          <w:lang w:val="es-ES_tradnl"/>
        </w:rPr>
        <w:t>($12.804,70).</w:t>
      </w:r>
    </w:p>
    <w:p w14:paraId="4F67B6A2" w14:textId="77777777" w:rsidR="00591D54" w:rsidRDefault="00591D54">
      <w:pPr>
        <w:shd w:val="clear" w:color="auto" w:fill="FFFFFF"/>
        <w:spacing w:before="187" w:line="206" w:lineRule="exact"/>
        <w:ind w:right="10"/>
        <w:jc w:val="both"/>
      </w:pPr>
      <w:r>
        <w:rPr>
          <w:spacing w:val="-1"/>
          <w:sz w:val="18"/>
          <w:szCs w:val="18"/>
          <w:lang w:val="es-ES_tradnl"/>
        </w:rPr>
        <w:t xml:space="preserve">El 07 de septiembre de 2012, la licenciada Alejandra </w:t>
      </w:r>
      <w:r>
        <w:rPr>
          <w:spacing w:val="-6"/>
          <w:sz w:val="18"/>
          <w:szCs w:val="18"/>
          <w:lang w:val="es-ES_tradnl"/>
        </w:rPr>
        <w:t>Vaca (CPA), en su calidad de perito contable, present</w:t>
      </w:r>
      <w:r>
        <w:rPr>
          <w:rFonts w:cs="Times New Roman"/>
          <w:spacing w:val="-6"/>
          <w:sz w:val="18"/>
          <w:szCs w:val="18"/>
          <w:lang w:val="es-ES_tradnl"/>
        </w:rPr>
        <w:t>ó</w:t>
      </w:r>
      <w:r>
        <w:rPr>
          <w:spacing w:val="-6"/>
          <w:sz w:val="18"/>
          <w:szCs w:val="18"/>
          <w:lang w:val="es-ES_tradnl"/>
        </w:rPr>
        <w:t xml:space="preserve"> la </w:t>
      </w:r>
      <w:r>
        <w:rPr>
          <w:spacing w:val="-4"/>
          <w:sz w:val="18"/>
          <w:szCs w:val="18"/>
          <w:lang w:val="es-ES_tradnl"/>
        </w:rPr>
        <w:t>rectificaci</w:t>
      </w:r>
      <w:r>
        <w:rPr>
          <w:rFonts w:cs="Times New Roman"/>
          <w:spacing w:val="-4"/>
          <w:sz w:val="18"/>
          <w:szCs w:val="18"/>
          <w:lang w:val="es-ES_tradnl"/>
        </w:rPr>
        <w:t>ó</w:t>
      </w:r>
      <w:r>
        <w:rPr>
          <w:spacing w:val="-4"/>
          <w:sz w:val="18"/>
          <w:szCs w:val="18"/>
          <w:lang w:val="es-ES_tradnl"/>
        </w:rPr>
        <w:t>n del informe pericial de la liquidaci</w:t>
      </w:r>
      <w:r>
        <w:rPr>
          <w:rFonts w:cs="Times New Roman"/>
          <w:spacing w:val="-4"/>
          <w:sz w:val="18"/>
          <w:szCs w:val="18"/>
          <w:lang w:val="es-ES_tradnl"/>
        </w:rPr>
        <w:t>ó</w:t>
      </w:r>
      <w:r>
        <w:rPr>
          <w:spacing w:val="-4"/>
          <w:sz w:val="18"/>
          <w:szCs w:val="18"/>
          <w:lang w:val="es-ES_tradnl"/>
        </w:rPr>
        <w:t xml:space="preserve">n laboral </w:t>
      </w:r>
      <w:r>
        <w:rPr>
          <w:spacing w:val="-6"/>
          <w:sz w:val="18"/>
          <w:szCs w:val="18"/>
          <w:lang w:val="es-ES_tradnl"/>
        </w:rPr>
        <w:t>de la se</w:t>
      </w:r>
      <w:r>
        <w:rPr>
          <w:rFonts w:cs="Times New Roman"/>
          <w:spacing w:val="-6"/>
          <w:sz w:val="18"/>
          <w:szCs w:val="18"/>
          <w:lang w:val="es-ES_tradnl"/>
        </w:rPr>
        <w:t>ñ</w:t>
      </w:r>
      <w:r>
        <w:rPr>
          <w:spacing w:val="-6"/>
          <w:sz w:val="18"/>
          <w:szCs w:val="18"/>
          <w:lang w:val="es-ES_tradnl"/>
        </w:rPr>
        <w:t>ora Clemencia Bol</w:t>
      </w:r>
      <w:r>
        <w:rPr>
          <w:rFonts w:cs="Times New Roman"/>
          <w:spacing w:val="-6"/>
          <w:sz w:val="18"/>
          <w:szCs w:val="18"/>
          <w:lang w:val="es-ES_tradnl"/>
        </w:rPr>
        <w:t>í</w:t>
      </w:r>
      <w:r>
        <w:rPr>
          <w:spacing w:val="-6"/>
          <w:sz w:val="18"/>
          <w:szCs w:val="18"/>
          <w:lang w:val="es-ES_tradnl"/>
        </w:rPr>
        <w:t>var Ayov</w:t>
      </w:r>
      <w:r>
        <w:rPr>
          <w:rFonts w:cs="Times New Roman"/>
          <w:spacing w:val="-6"/>
          <w:sz w:val="18"/>
          <w:szCs w:val="18"/>
          <w:lang w:val="es-ES_tradnl"/>
        </w:rPr>
        <w:t>í</w:t>
      </w:r>
      <w:r>
        <w:rPr>
          <w:spacing w:val="-6"/>
          <w:sz w:val="18"/>
          <w:szCs w:val="18"/>
          <w:lang w:val="es-ES_tradnl"/>
        </w:rPr>
        <w:t xml:space="preserve"> Cabeza, la misma </w:t>
      </w:r>
      <w:r>
        <w:rPr>
          <w:spacing w:val="-5"/>
          <w:sz w:val="18"/>
          <w:szCs w:val="18"/>
          <w:lang w:val="es-ES_tradnl"/>
        </w:rPr>
        <w:t>que asciende a la cantidad de diecis</w:t>
      </w:r>
      <w:r>
        <w:rPr>
          <w:rFonts w:cs="Times New Roman"/>
          <w:spacing w:val="-5"/>
          <w:sz w:val="18"/>
          <w:szCs w:val="18"/>
          <w:lang w:val="es-ES_tradnl"/>
        </w:rPr>
        <w:t>é</w:t>
      </w:r>
      <w:r>
        <w:rPr>
          <w:spacing w:val="-5"/>
          <w:sz w:val="18"/>
          <w:szCs w:val="18"/>
          <w:lang w:val="es-ES_tradnl"/>
        </w:rPr>
        <w:t xml:space="preserve">is mil ochocientos </w:t>
      </w:r>
      <w:r>
        <w:rPr>
          <w:spacing w:val="-4"/>
          <w:sz w:val="18"/>
          <w:szCs w:val="18"/>
          <w:lang w:val="es-ES_tradnl"/>
        </w:rPr>
        <w:t>ochenta y tres d</w:t>
      </w:r>
      <w:r>
        <w:rPr>
          <w:rFonts w:cs="Times New Roman"/>
          <w:spacing w:val="-4"/>
          <w:sz w:val="18"/>
          <w:szCs w:val="18"/>
          <w:lang w:val="es-ES_tradnl"/>
        </w:rPr>
        <w:t>ó</w:t>
      </w:r>
      <w:r>
        <w:rPr>
          <w:spacing w:val="-4"/>
          <w:sz w:val="18"/>
          <w:szCs w:val="18"/>
          <w:lang w:val="es-ES_tradnl"/>
        </w:rPr>
        <w:t xml:space="preserve">lares americanos y noventa y cinco </w:t>
      </w:r>
      <w:r>
        <w:rPr>
          <w:sz w:val="18"/>
          <w:szCs w:val="18"/>
          <w:lang w:val="es-ES_tradnl"/>
        </w:rPr>
        <w:t>centavos ($16.883,95).</w:t>
      </w:r>
    </w:p>
    <w:p w14:paraId="4F67B6A3" w14:textId="77777777" w:rsidR="00591D54" w:rsidRDefault="00591D54">
      <w:pPr>
        <w:shd w:val="clear" w:color="auto" w:fill="FFFFFF"/>
        <w:spacing w:before="187" w:line="206" w:lineRule="exact"/>
        <w:ind w:right="10"/>
        <w:jc w:val="both"/>
        <w:sectPr w:rsidR="00591D54">
          <w:type w:val="continuous"/>
          <w:pgSz w:w="11909" w:h="16834"/>
          <w:pgMar w:top="1354" w:right="1299" w:bottom="360" w:left="1308" w:header="720" w:footer="720" w:gutter="0"/>
          <w:cols w:num="2" w:space="720" w:equalWidth="0">
            <w:col w:w="4305" w:space="682"/>
            <w:col w:w="4315"/>
          </w:cols>
          <w:noEndnote/>
        </w:sectPr>
      </w:pPr>
    </w:p>
    <w:p w14:paraId="4F67B6A4"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- 233</w:t>
      </w:r>
    </w:p>
    <w:p w14:paraId="4F67B6A5" w14:textId="77777777" w:rsidR="00591D54" w:rsidRDefault="00591D54">
      <w:pPr>
        <w:shd w:val="clear" w:color="auto" w:fill="FFFFFF"/>
        <w:tabs>
          <w:tab w:val="left" w:pos="5842"/>
        </w:tabs>
        <w:spacing w:after="235"/>
        <w:ind w:left="5"/>
        <w:sectPr w:rsidR="00591D54">
          <w:pgSz w:w="11909" w:h="16834"/>
          <w:pgMar w:top="1397" w:right="1309" w:bottom="360" w:left="1308" w:header="720" w:footer="720" w:gutter="0"/>
          <w:cols w:space="60"/>
          <w:noEndnote/>
        </w:sectPr>
      </w:pPr>
    </w:p>
    <w:p w14:paraId="4F67B6A6" w14:textId="77777777" w:rsidR="00591D54" w:rsidRDefault="00591D54">
      <w:pPr>
        <w:shd w:val="clear" w:color="auto" w:fill="FFFFFF"/>
        <w:spacing w:line="206" w:lineRule="exact"/>
        <w:jc w:val="both"/>
      </w:pPr>
      <w:r>
        <w:rPr>
          <w:spacing w:val="-9"/>
          <w:sz w:val="18"/>
          <w:szCs w:val="18"/>
          <w:lang w:val="es-ES_tradnl"/>
        </w:rPr>
        <w:t>El 10 de octubre de 2012, el se</w:t>
      </w:r>
      <w:r>
        <w:rPr>
          <w:rFonts w:cs="Times New Roman"/>
          <w:spacing w:val="-9"/>
          <w:sz w:val="18"/>
          <w:szCs w:val="18"/>
          <w:lang w:val="es-ES_tradnl"/>
        </w:rPr>
        <w:t>ñ</w:t>
      </w:r>
      <w:r>
        <w:rPr>
          <w:spacing w:val="-9"/>
          <w:sz w:val="18"/>
          <w:szCs w:val="18"/>
          <w:lang w:val="es-ES_tradnl"/>
        </w:rPr>
        <w:t xml:space="preserve">or Jaime Patricio Chiriboga </w:t>
      </w:r>
      <w:r>
        <w:rPr>
          <w:spacing w:val="-4"/>
          <w:sz w:val="18"/>
          <w:szCs w:val="18"/>
          <w:lang w:val="es-ES_tradnl"/>
        </w:rPr>
        <w:t xml:space="preserve">Guerrero, representante legal de la exportadora P. CH. </w:t>
      </w:r>
      <w:r>
        <w:rPr>
          <w:spacing w:val="-7"/>
          <w:sz w:val="18"/>
          <w:szCs w:val="18"/>
          <w:lang w:val="es-ES_tradnl"/>
        </w:rPr>
        <w:t>G., present</w:t>
      </w:r>
      <w:r>
        <w:rPr>
          <w:rFonts w:cs="Times New Roman"/>
          <w:spacing w:val="-7"/>
          <w:sz w:val="18"/>
          <w:szCs w:val="18"/>
          <w:lang w:val="es-ES_tradnl"/>
        </w:rPr>
        <w:t>ó</w:t>
      </w:r>
      <w:r>
        <w:rPr>
          <w:spacing w:val="-7"/>
          <w:sz w:val="18"/>
          <w:szCs w:val="18"/>
          <w:lang w:val="es-ES_tradnl"/>
        </w:rPr>
        <w:t xml:space="preserve"> dentro del proceso N.</w:t>
      </w:r>
      <w:r>
        <w:rPr>
          <w:rFonts w:cs="Times New Roman"/>
          <w:spacing w:val="-7"/>
          <w:sz w:val="18"/>
          <w:szCs w:val="18"/>
          <w:lang w:val="es-ES_tradnl"/>
        </w:rPr>
        <w:t>º</w:t>
      </w:r>
      <w:r>
        <w:rPr>
          <w:spacing w:val="-7"/>
          <w:sz w:val="18"/>
          <w:szCs w:val="18"/>
          <w:lang w:val="es-ES_tradnl"/>
        </w:rPr>
        <w:t xml:space="preserve"> 2011-0198, un escrito solicitando la suspensi</w:t>
      </w:r>
      <w:r>
        <w:rPr>
          <w:rFonts w:cs="Times New Roman"/>
          <w:spacing w:val="-7"/>
          <w:sz w:val="18"/>
          <w:szCs w:val="18"/>
          <w:lang w:val="es-ES_tradnl"/>
        </w:rPr>
        <w:t>ó</w:t>
      </w:r>
      <w:r>
        <w:rPr>
          <w:spacing w:val="-7"/>
          <w:sz w:val="18"/>
          <w:szCs w:val="18"/>
          <w:lang w:val="es-ES_tradnl"/>
        </w:rPr>
        <w:t>n de la ejecuci</w:t>
      </w:r>
      <w:r>
        <w:rPr>
          <w:rFonts w:cs="Times New Roman"/>
          <w:spacing w:val="-7"/>
          <w:sz w:val="18"/>
          <w:szCs w:val="18"/>
          <w:lang w:val="es-ES_tradnl"/>
        </w:rPr>
        <w:t>ó</w:t>
      </w:r>
      <w:r>
        <w:rPr>
          <w:spacing w:val="-7"/>
          <w:sz w:val="18"/>
          <w:szCs w:val="18"/>
          <w:lang w:val="es-ES_tradnl"/>
        </w:rPr>
        <w:t xml:space="preserve">n de la sentencia </w:t>
      </w:r>
      <w:r>
        <w:rPr>
          <w:sz w:val="18"/>
          <w:szCs w:val="18"/>
          <w:lang w:val="es-ES_tradnl"/>
        </w:rPr>
        <w:t>dictada.</w:t>
      </w:r>
    </w:p>
    <w:p w14:paraId="4F67B6A7" w14:textId="77777777" w:rsidR="00591D54" w:rsidRDefault="00591D54">
      <w:pPr>
        <w:shd w:val="clear" w:color="auto" w:fill="FFFFFF"/>
        <w:spacing w:before="182" w:line="206" w:lineRule="exact"/>
        <w:jc w:val="both"/>
      </w:pPr>
      <w:r>
        <w:rPr>
          <w:spacing w:val="-4"/>
          <w:sz w:val="18"/>
          <w:szCs w:val="18"/>
          <w:lang w:val="es-ES_tradnl"/>
        </w:rPr>
        <w:t>El 09 de noviembre de 2012, el se</w:t>
      </w:r>
      <w:r>
        <w:rPr>
          <w:rFonts w:cs="Times New Roman"/>
          <w:spacing w:val="-4"/>
          <w:sz w:val="18"/>
          <w:szCs w:val="18"/>
          <w:lang w:val="es-ES_tradnl"/>
        </w:rPr>
        <w:t>ñ</w:t>
      </w:r>
      <w:r>
        <w:rPr>
          <w:spacing w:val="-4"/>
          <w:sz w:val="18"/>
          <w:szCs w:val="18"/>
          <w:lang w:val="es-ES_tradnl"/>
        </w:rPr>
        <w:t xml:space="preserve">or Jaime Patricio </w:t>
      </w:r>
      <w:r>
        <w:rPr>
          <w:spacing w:val="-6"/>
          <w:sz w:val="18"/>
          <w:szCs w:val="18"/>
          <w:lang w:val="es-ES_tradnl"/>
        </w:rPr>
        <w:t>Chiriboga Guerrero present</w:t>
      </w:r>
      <w:r>
        <w:rPr>
          <w:rFonts w:cs="Times New Roman"/>
          <w:spacing w:val="-6"/>
          <w:sz w:val="18"/>
          <w:szCs w:val="18"/>
          <w:lang w:val="es-ES_tradnl"/>
        </w:rPr>
        <w:t>ó</w:t>
      </w:r>
      <w:r>
        <w:rPr>
          <w:spacing w:val="-6"/>
          <w:sz w:val="18"/>
          <w:szCs w:val="18"/>
          <w:lang w:val="es-ES_tradnl"/>
        </w:rPr>
        <w:t xml:space="preserve">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en contra de la sentencia dictada el 31 de julio </w:t>
      </w:r>
      <w:r>
        <w:rPr>
          <w:spacing w:val="-7"/>
          <w:sz w:val="18"/>
          <w:szCs w:val="18"/>
          <w:lang w:val="es-ES_tradnl"/>
        </w:rPr>
        <w:t>de 2012 por el juez del Trabajo de Cotopaxi.</w:t>
      </w:r>
    </w:p>
    <w:p w14:paraId="4F67B6A8" w14:textId="77777777" w:rsidR="00591D54" w:rsidRDefault="00591D54">
      <w:pPr>
        <w:shd w:val="clear" w:color="auto" w:fill="FFFFFF"/>
        <w:spacing w:before="192"/>
      </w:pPr>
      <w:r>
        <w:rPr>
          <w:b/>
          <w:bCs/>
          <w:spacing w:val="-8"/>
          <w:sz w:val="18"/>
          <w:szCs w:val="18"/>
          <w:lang w:val="es-ES_tradnl"/>
        </w:rPr>
        <w:t>Detalle y fundamento de la demanda</w:t>
      </w:r>
    </w:p>
    <w:p w14:paraId="4F67B6A9" w14:textId="77777777" w:rsidR="00591D54" w:rsidRDefault="00591D54">
      <w:pPr>
        <w:shd w:val="clear" w:color="auto" w:fill="FFFFFF"/>
        <w:spacing w:before="187" w:line="206" w:lineRule="exact"/>
        <w:jc w:val="both"/>
      </w:pPr>
      <w:r>
        <w:rPr>
          <w:spacing w:val="-5"/>
          <w:sz w:val="18"/>
          <w:szCs w:val="18"/>
          <w:lang w:val="es-ES_tradnl"/>
        </w:rPr>
        <w:t xml:space="preserve">El accionante, Jaime Patricio Chiriboga Guerrero, en lo </w:t>
      </w:r>
      <w:r>
        <w:rPr>
          <w:spacing w:val="-7"/>
          <w:sz w:val="18"/>
          <w:szCs w:val="18"/>
          <w:lang w:val="es-ES_tradnl"/>
        </w:rPr>
        <w:t xml:space="preserve">principal manifiesta que se ha planteado una demanda </w:t>
      </w:r>
      <w:r>
        <w:rPr>
          <w:spacing w:val="-6"/>
          <w:sz w:val="18"/>
          <w:szCs w:val="18"/>
          <w:lang w:val="es-ES_tradnl"/>
        </w:rPr>
        <w:t>laboral en su contra por parte de la se</w:t>
      </w:r>
      <w:r>
        <w:rPr>
          <w:rFonts w:cs="Times New Roman"/>
          <w:spacing w:val="-6"/>
          <w:sz w:val="18"/>
          <w:szCs w:val="18"/>
          <w:lang w:val="es-ES_tradnl"/>
        </w:rPr>
        <w:t>ñ</w:t>
      </w:r>
      <w:r>
        <w:rPr>
          <w:spacing w:val="-6"/>
          <w:sz w:val="18"/>
          <w:szCs w:val="18"/>
          <w:lang w:val="es-ES_tradnl"/>
        </w:rPr>
        <w:t xml:space="preserve">orita Clemencia </w:t>
      </w:r>
      <w:r>
        <w:rPr>
          <w:spacing w:val="-2"/>
          <w:sz w:val="18"/>
          <w:szCs w:val="18"/>
          <w:lang w:val="es-ES_tradnl"/>
        </w:rPr>
        <w:t>Bol</w:t>
      </w:r>
      <w:r>
        <w:rPr>
          <w:rFonts w:cs="Times New Roman"/>
          <w:spacing w:val="-2"/>
          <w:sz w:val="18"/>
          <w:szCs w:val="18"/>
          <w:lang w:val="es-ES_tradnl"/>
        </w:rPr>
        <w:t>í</w:t>
      </w:r>
      <w:r>
        <w:rPr>
          <w:spacing w:val="-2"/>
          <w:sz w:val="18"/>
          <w:szCs w:val="18"/>
          <w:lang w:val="es-ES_tradnl"/>
        </w:rPr>
        <w:t>var Ayov</w:t>
      </w:r>
      <w:r>
        <w:rPr>
          <w:rFonts w:cs="Times New Roman"/>
          <w:spacing w:val="-2"/>
          <w:sz w:val="18"/>
          <w:szCs w:val="18"/>
          <w:lang w:val="es-ES_tradnl"/>
        </w:rPr>
        <w:t>í</w:t>
      </w:r>
      <w:r>
        <w:rPr>
          <w:spacing w:val="-2"/>
          <w:sz w:val="18"/>
          <w:szCs w:val="18"/>
          <w:lang w:val="es-ES_tradnl"/>
        </w:rPr>
        <w:t xml:space="preserve"> Cabezas, quien aleg</w:t>
      </w:r>
      <w:r>
        <w:rPr>
          <w:rFonts w:cs="Times New Roman"/>
          <w:spacing w:val="-2"/>
          <w:sz w:val="18"/>
          <w:szCs w:val="18"/>
          <w:lang w:val="es-ES_tradnl"/>
        </w:rPr>
        <w:t>ó</w:t>
      </w:r>
      <w:r>
        <w:rPr>
          <w:spacing w:val="-2"/>
          <w:sz w:val="18"/>
          <w:szCs w:val="18"/>
          <w:lang w:val="es-ES_tradnl"/>
        </w:rPr>
        <w:t xml:space="preserve"> que fue objeto de </w:t>
      </w:r>
      <w:r>
        <w:rPr>
          <w:spacing w:val="-6"/>
          <w:sz w:val="18"/>
          <w:szCs w:val="18"/>
          <w:lang w:val="es-ES_tradnl"/>
        </w:rPr>
        <w:t xml:space="preserve">un despido intempestivo y exigiendo el pago de una </w:t>
      </w:r>
      <w:r>
        <w:rPr>
          <w:spacing w:val="-9"/>
          <w:sz w:val="18"/>
          <w:szCs w:val="18"/>
          <w:lang w:val="es-ES_tradnl"/>
        </w:rPr>
        <w:t>indemnizaci</w:t>
      </w:r>
      <w:r>
        <w:rPr>
          <w:rFonts w:cs="Times New Roman"/>
          <w:spacing w:val="-9"/>
          <w:sz w:val="18"/>
          <w:szCs w:val="18"/>
          <w:lang w:val="es-ES_tradnl"/>
        </w:rPr>
        <w:t>ó</w:t>
      </w:r>
      <w:r>
        <w:rPr>
          <w:spacing w:val="-9"/>
          <w:sz w:val="18"/>
          <w:szCs w:val="18"/>
          <w:lang w:val="es-ES_tradnl"/>
        </w:rPr>
        <w:t>n que ascend</w:t>
      </w:r>
      <w:r>
        <w:rPr>
          <w:rFonts w:cs="Times New Roman"/>
          <w:spacing w:val="-9"/>
          <w:sz w:val="18"/>
          <w:szCs w:val="18"/>
          <w:lang w:val="es-ES_tradnl"/>
        </w:rPr>
        <w:t>í</w:t>
      </w:r>
      <w:r>
        <w:rPr>
          <w:spacing w:val="-9"/>
          <w:sz w:val="18"/>
          <w:szCs w:val="18"/>
          <w:lang w:val="es-ES_tradnl"/>
        </w:rPr>
        <w:t>a a diez mil d</w:t>
      </w:r>
      <w:r>
        <w:rPr>
          <w:rFonts w:cs="Times New Roman"/>
          <w:spacing w:val="-9"/>
          <w:sz w:val="18"/>
          <w:szCs w:val="18"/>
          <w:lang w:val="es-ES_tradnl"/>
        </w:rPr>
        <w:t>ó</w:t>
      </w:r>
      <w:r>
        <w:rPr>
          <w:spacing w:val="-9"/>
          <w:sz w:val="18"/>
          <w:szCs w:val="18"/>
          <w:lang w:val="es-ES_tradnl"/>
        </w:rPr>
        <w:t xml:space="preserve">lares americanos. </w:t>
      </w:r>
      <w:r>
        <w:rPr>
          <w:spacing w:val="-10"/>
          <w:sz w:val="18"/>
          <w:szCs w:val="18"/>
          <w:lang w:val="es-ES_tradnl"/>
        </w:rPr>
        <w:t>En su demanda, la trabajadora se</w:t>
      </w:r>
      <w:r>
        <w:rPr>
          <w:rFonts w:cs="Times New Roman"/>
          <w:spacing w:val="-10"/>
          <w:sz w:val="18"/>
          <w:szCs w:val="18"/>
          <w:lang w:val="es-ES_tradnl"/>
        </w:rPr>
        <w:t>ñ</w:t>
      </w:r>
      <w:r>
        <w:rPr>
          <w:spacing w:val="-10"/>
          <w:sz w:val="18"/>
          <w:szCs w:val="18"/>
          <w:lang w:val="es-ES_tradnl"/>
        </w:rPr>
        <w:t>al</w:t>
      </w:r>
      <w:r>
        <w:rPr>
          <w:rFonts w:cs="Times New Roman"/>
          <w:spacing w:val="-10"/>
          <w:sz w:val="18"/>
          <w:szCs w:val="18"/>
          <w:lang w:val="es-ES_tradnl"/>
        </w:rPr>
        <w:t>ó</w:t>
      </w:r>
      <w:r>
        <w:rPr>
          <w:spacing w:val="-10"/>
          <w:sz w:val="18"/>
          <w:szCs w:val="18"/>
          <w:lang w:val="es-ES_tradnl"/>
        </w:rPr>
        <w:t xml:space="preserve"> que al demandado se </w:t>
      </w:r>
      <w:r>
        <w:rPr>
          <w:spacing w:val="-7"/>
          <w:sz w:val="18"/>
          <w:szCs w:val="18"/>
          <w:lang w:val="es-ES_tradnl"/>
        </w:rPr>
        <w:t>lo deb</w:t>
      </w:r>
      <w:r>
        <w:rPr>
          <w:rFonts w:cs="Times New Roman"/>
          <w:spacing w:val="-7"/>
          <w:sz w:val="18"/>
          <w:szCs w:val="18"/>
          <w:lang w:val="es-ES_tradnl"/>
        </w:rPr>
        <w:t>í</w:t>
      </w:r>
      <w:r>
        <w:rPr>
          <w:spacing w:val="-7"/>
          <w:sz w:val="18"/>
          <w:szCs w:val="18"/>
          <w:lang w:val="es-ES_tradnl"/>
        </w:rPr>
        <w:t xml:space="preserve">a citar en el lugar de trabajo; sin embargo, a criterio </w:t>
      </w:r>
      <w:r>
        <w:rPr>
          <w:spacing w:val="-11"/>
          <w:sz w:val="18"/>
          <w:szCs w:val="18"/>
          <w:lang w:val="es-ES_tradnl"/>
        </w:rPr>
        <w:t>del accionante esta situaci</w:t>
      </w:r>
      <w:r>
        <w:rPr>
          <w:rFonts w:cs="Times New Roman"/>
          <w:spacing w:val="-11"/>
          <w:sz w:val="18"/>
          <w:szCs w:val="18"/>
          <w:lang w:val="es-ES_tradnl"/>
        </w:rPr>
        <w:t>ó</w:t>
      </w:r>
      <w:r>
        <w:rPr>
          <w:spacing w:val="-11"/>
          <w:sz w:val="18"/>
          <w:szCs w:val="18"/>
          <w:lang w:val="es-ES_tradnl"/>
        </w:rPr>
        <w:t>n no ocurri</w:t>
      </w:r>
      <w:r>
        <w:rPr>
          <w:rFonts w:cs="Times New Roman"/>
          <w:spacing w:val="-11"/>
          <w:sz w:val="18"/>
          <w:szCs w:val="18"/>
          <w:lang w:val="es-ES_tradnl"/>
        </w:rPr>
        <w:t>ó</w:t>
      </w:r>
      <w:r>
        <w:rPr>
          <w:spacing w:val="-11"/>
          <w:sz w:val="18"/>
          <w:szCs w:val="18"/>
          <w:lang w:val="es-ES_tradnl"/>
        </w:rPr>
        <w:t xml:space="preserve">, pues la demanda se </w:t>
      </w:r>
      <w:r>
        <w:rPr>
          <w:spacing w:val="-8"/>
          <w:sz w:val="18"/>
          <w:szCs w:val="18"/>
          <w:lang w:val="es-ES_tradnl"/>
        </w:rPr>
        <w:t>cit</w:t>
      </w:r>
      <w:r>
        <w:rPr>
          <w:rFonts w:cs="Times New Roman"/>
          <w:spacing w:val="-8"/>
          <w:sz w:val="18"/>
          <w:szCs w:val="18"/>
          <w:lang w:val="es-ES_tradnl"/>
        </w:rPr>
        <w:t>ó</w:t>
      </w:r>
      <w:r>
        <w:rPr>
          <w:spacing w:val="-8"/>
          <w:sz w:val="18"/>
          <w:szCs w:val="18"/>
          <w:lang w:val="es-ES_tradnl"/>
        </w:rPr>
        <w:t xml:space="preserve"> en la casa de habitaci</w:t>
      </w:r>
      <w:r>
        <w:rPr>
          <w:rFonts w:cs="Times New Roman"/>
          <w:spacing w:val="-8"/>
          <w:sz w:val="18"/>
          <w:szCs w:val="18"/>
          <w:lang w:val="es-ES_tradnl"/>
        </w:rPr>
        <w:t>ó</w:t>
      </w:r>
      <w:r>
        <w:rPr>
          <w:spacing w:val="-8"/>
          <w:sz w:val="18"/>
          <w:szCs w:val="18"/>
          <w:lang w:val="es-ES_tradnl"/>
        </w:rPr>
        <w:t xml:space="preserve">n de uno de sus extrabajadores, </w:t>
      </w:r>
      <w:r>
        <w:rPr>
          <w:spacing w:val="-10"/>
          <w:sz w:val="18"/>
          <w:szCs w:val="18"/>
          <w:lang w:val="es-ES_tradnl"/>
        </w:rPr>
        <w:t>lo cual le produjo un estado de indefensi</w:t>
      </w:r>
      <w:r>
        <w:rPr>
          <w:rFonts w:cs="Times New Roman"/>
          <w:spacing w:val="-10"/>
          <w:sz w:val="18"/>
          <w:szCs w:val="18"/>
          <w:lang w:val="es-ES_tradnl"/>
        </w:rPr>
        <w:t>ó</w:t>
      </w:r>
      <w:r>
        <w:rPr>
          <w:spacing w:val="-10"/>
          <w:sz w:val="18"/>
          <w:szCs w:val="18"/>
          <w:lang w:val="es-ES_tradnl"/>
        </w:rPr>
        <w:t>n y afectaci</w:t>
      </w:r>
      <w:r>
        <w:rPr>
          <w:rFonts w:cs="Times New Roman"/>
          <w:spacing w:val="-10"/>
          <w:sz w:val="18"/>
          <w:szCs w:val="18"/>
          <w:lang w:val="es-ES_tradnl"/>
        </w:rPr>
        <w:t>ó</w:t>
      </w:r>
      <w:r>
        <w:rPr>
          <w:spacing w:val="-10"/>
          <w:sz w:val="18"/>
          <w:szCs w:val="18"/>
          <w:lang w:val="es-ES_tradnl"/>
        </w:rPr>
        <w:t xml:space="preserve">n a su derecho constitucional a la defensa, pues afirma que nunca </w:t>
      </w:r>
      <w:r>
        <w:rPr>
          <w:spacing w:val="-8"/>
          <w:sz w:val="18"/>
          <w:szCs w:val="18"/>
          <w:lang w:val="es-ES_tradnl"/>
        </w:rPr>
        <w:t>tuvo conocimiento de la demanda planteada en su contra.</w:t>
      </w:r>
    </w:p>
    <w:p w14:paraId="4F67B6AA" w14:textId="77777777" w:rsidR="00591D54" w:rsidRDefault="00591D54">
      <w:pPr>
        <w:shd w:val="clear" w:color="auto" w:fill="FFFFFF"/>
        <w:spacing w:before="187" w:line="206" w:lineRule="exact"/>
        <w:jc w:val="both"/>
      </w:pPr>
      <w:r>
        <w:rPr>
          <w:spacing w:val="-6"/>
          <w:sz w:val="18"/>
          <w:szCs w:val="18"/>
          <w:lang w:val="es-ES_tradnl"/>
        </w:rPr>
        <w:t>Agrega tambi</w:t>
      </w:r>
      <w:r>
        <w:rPr>
          <w:rFonts w:cs="Times New Roman"/>
          <w:spacing w:val="-6"/>
          <w:sz w:val="18"/>
          <w:szCs w:val="18"/>
          <w:lang w:val="es-ES_tradnl"/>
        </w:rPr>
        <w:t>é</w:t>
      </w:r>
      <w:r>
        <w:rPr>
          <w:spacing w:val="-6"/>
          <w:sz w:val="18"/>
          <w:szCs w:val="18"/>
          <w:lang w:val="es-ES_tradnl"/>
        </w:rPr>
        <w:t>n que existi</w:t>
      </w:r>
      <w:r>
        <w:rPr>
          <w:rFonts w:cs="Times New Roman"/>
          <w:spacing w:val="-6"/>
          <w:sz w:val="18"/>
          <w:szCs w:val="18"/>
          <w:lang w:val="es-ES_tradnl"/>
        </w:rPr>
        <w:t>ó</w:t>
      </w:r>
      <w:r>
        <w:rPr>
          <w:spacing w:val="-6"/>
          <w:sz w:val="18"/>
          <w:szCs w:val="18"/>
          <w:lang w:val="es-ES_tradnl"/>
        </w:rPr>
        <w:t xml:space="preserve"> mala fe de la trabajadora al </w:t>
      </w:r>
      <w:r>
        <w:rPr>
          <w:spacing w:val="-5"/>
          <w:sz w:val="18"/>
          <w:szCs w:val="18"/>
          <w:lang w:val="es-ES_tradnl"/>
        </w:rPr>
        <w:t>plantear un juicio laboral en la ciudad de Latacunga y al mismo tiempo presentar una acci</w:t>
      </w:r>
      <w:r>
        <w:rPr>
          <w:rFonts w:cs="Times New Roman"/>
          <w:spacing w:val="-5"/>
          <w:sz w:val="18"/>
          <w:szCs w:val="18"/>
          <w:lang w:val="es-ES_tradnl"/>
        </w:rPr>
        <w:t>ó</w:t>
      </w:r>
      <w:r>
        <w:rPr>
          <w:spacing w:val="-5"/>
          <w:sz w:val="18"/>
          <w:szCs w:val="18"/>
          <w:lang w:val="es-ES_tradnl"/>
        </w:rPr>
        <w:t>n colectiva en calidad de demandante del Comit</w:t>
      </w:r>
      <w:r>
        <w:rPr>
          <w:rFonts w:cs="Times New Roman"/>
          <w:spacing w:val="-5"/>
          <w:sz w:val="18"/>
          <w:szCs w:val="18"/>
          <w:lang w:val="es-ES_tradnl"/>
        </w:rPr>
        <w:t>é</w:t>
      </w:r>
      <w:r>
        <w:rPr>
          <w:spacing w:val="-5"/>
          <w:sz w:val="18"/>
          <w:szCs w:val="18"/>
          <w:lang w:val="es-ES_tradnl"/>
        </w:rPr>
        <w:t xml:space="preserve"> Especial de Trabajadores de </w:t>
      </w:r>
      <w:r>
        <w:rPr>
          <w:spacing w:val="-7"/>
          <w:sz w:val="18"/>
          <w:szCs w:val="18"/>
          <w:lang w:val="es-ES_tradnl"/>
        </w:rPr>
        <w:t>la exportadora P.CH.G., ante la Inspector</w:t>
      </w:r>
      <w:r>
        <w:rPr>
          <w:rFonts w:cs="Times New Roman"/>
          <w:spacing w:val="-7"/>
          <w:sz w:val="18"/>
          <w:szCs w:val="18"/>
          <w:lang w:val="es-ES_tradnl"/>
        </w:rPr>
        <w:t>í</w:t>
      </w:r>
      <w:r>
        <w:rPr>
          <w:spacing w:val="-7"/>
          <w:sz w:val="18"/>
          <w:szCs w:val="18"/>
          <w:lang w:val="es-ES_tradnl"/>
        </w:rPr>
        <w:t xml:space="preserve">a de Trabajo de </w:t>
      </w:r>
      <w:r>
        <w:rPr>
          <w:spacing w:val="-8"/>
          <w:sz w:val="18"/>
          <w:szCs w:val="18"/>
          <w:lang w:val="es-ES_tradnl"/>
        </w:rPr>
        <w:t>Quevedo, acci</w:t>
      </w:r>
      <w:r>
        <w:rPr>
          <w:rFonts w:cs="Times New Roman"/>
          <w:spacing w:val="-8"/>
          <w:sz w:val="18"/>
          <w:szCs w:val="18"/>
          <w:lang w:val="es-ES_tradnl"/>
        </w:rPr>
        <w:t>ó</w:t>
      </w:r>
      <w:r>
        <w:rPr>
          <w:spacing w:val="-8"/>
          <w:sz w:val="18"/>
          <w:szCs w:val="18"/>
          <w:lang w:val="es-ES_tradnl"/>
        </w:rPr>
        <w:t>n que se resolvi</w:t>
      </w:r>
      <w:r>
        <w:rPr>
          <w:rFonts w:cs="Times New Roman"/>
          <w:spacing w:val="-8"/>
          <w:sz w:val="18"/>
          <w:szCs w:val="18"/>
          <w:lang w:val="es-ES_tradnl"/>
        </w:rPr>
        <w:t>ó</w:t>
      </w:r>
      <w:r>
        <w:rPr>
          <w:spacing w:val="-8"/>
          <w:sz w:val="18"/>
          <w:szCs w:val="18"/>
          <w:lang w:val="es-ES_tradnl"/>
        </w:rPr>
        <w:t xml:space="preserve"> a su favor luego de haber </w:t>
      </w:r>
      <w:r>
        <w:rPr>
          <w:spacing w:val="-11"/>
          <w:sz w:val="18"/>
          <w:szCs w:val="18"/>
          <w:lang w:val="es-ES_tradnl"/>
        </w:rPr>
        <w:t xml:space="preserve">presentado todas las pruebas de descargo a las pretensiones </w:t>
      </w:r>
      <w:r>
        <w:rPr>
          <w:spacing w:val="-7"/>
          <w:sz w:val="18"/>
          <w:szCs w:val="18"/>
          <w:lang w:val="es-ES_tradnl"/>
        </w:rPr>
        <w:t>deducidas. Manifiesta adem</w:t>
      </w:r>
      <w:r>
        <w:rPr>
          <w:rFonts w:cs="Times New Roman"/>
          <w:spacing w:val="-7"/>
          <w:sz w:val="18"/>
          <w:szCs w:val="18"/>
          <w:lang w:val="es-ES_tradnl"/>
        </w:rPr>
        <w:t>á</w:t>
      </w:r>
      <w:r>
        <w:rPr>
          <w:spacing w:val="-7"/>
          <w:sz w:val="18"/>
          <w:szCs w:val="18"/>
          <w:lang w:val="es-ES_tradnl"/>
        </w:rPr>
        <w:t>s, que existi</w:t>
      </w:r>
      <w:r>
        <w:rPr>
          <w:rFonts w:cs="Times New Roman"/>
          <w:spacing w:val="-7"/>
          <w:sz w:val="18"/>
          <w:szCs w:val="18"/>
          <w:lang w:val="es-ES_tradnl"/>
        </w:rPr>
        <w:t>ó</w:t>
      </w:r>
      <w:r>
        <w:rPr>
          <w:spacing w:val="-7"/>
          <w:sz w:val="18"/>
          <w:szCs w:val="18"/>
          <w:lang w:val="es-ES_tradnl"/>
        </w:rPr>
        <w:t xml:space="preserve"> una maliciosa </w:t>
      </w:r>
      <w:r>
        <w:rPr>
          <w:spacing w:val="-1"/>
          <w:sz w:val="18"/>
          <w:szCs w:val="18"/>
          <w:lang w:val="es-ES_tradnl"/>
        </w:rPr>
        <w:t>intenci</w:t>
      </w:r>
      <w:r>
        <w:rPr>
          <w:rFonts w:cs="Times New Roman"/>
          <w:spacing w:val="-1"/>
          <w:sz w:val="18"/>
          <w:szCs w:val="18"/>
          <w:lang w:val="es-ES_tradnl"/>
        </w:rPr>
        <w:t>ó</w:t>
      </w:r>
      <w:r>
        <w:rPr>
          <w:spacing w:val="-1"/>
          <w:sz w:val="18"/>
          <w:szCs w:val="18"/>
          <w:lang w:val="es-ES_tradnl"/>
        </w:rPr>
        <w:t xml:space="preserve">n de inducir a error a las autoridades judiciales </w:t>
      </w:r>
      <w:r>
        <w:rPr>
          <w:spacing w:val="-7"/>
          <w:sz w:val="18"/>
          <w:szCs w:val="18"/>
          <w:lang w:val="es-ES_tradnl"/>
        </w:rPr>
        <w:t xml:space="preserve">y administrativas al presentar demandas y acciones en </w:t>
      </w:r>
      <w:r>
        <w:rPr>
          <w:spacing w:val="-8"/>
          <w:sz w:val="18"/>
          <w:szCs w:val="18"/>
          <w:lang w:val="es-ES_tradnl"/>
        </w:rPr>
        <w:t xml:space="preserve">distintos lugares y fijando otros domicilios del demandado, </w:t>
      </w:r>
      <w:r>
        <w:rPr>
          <w:spacing w:val="-7"/>
          <w:sz w:val="18"/>
          <w:szCs w:val="18"/>
          <w:lang w:val="es-ES_tradnl"/>
        </w:rPr>
        <w:t>con el objeto de dejarle en absoluta indefensi</w:t>
      </w:r>
      <w:r>
        <w:rPr>
          <w:rFonts w:cs="Times New Roman"/>
          <w:spacing w:val="-7"/>
          <w:sz w:val="18"/>
          <w:szCs w:val="18"/>
          <w:lang w:val="es-ES_tradnl"/>
        </w:rPr>
        <w:t>ó</w:t>
      </w:r>
      <w:r>
        <w:rPr>
          <w:spacing w:val="-7"/>
          <w:sz w:val="18"/>
          <w:szCs w:val="18"/>
          <w:lang w:val="es-ES_tradnl"/>
        </w:rPr>
        <w:t>n.</w:t>
      </w:r>
    </w:p>
    <w:p w14:paraId="4F67B6AB" w14:textId="77777777" w:rsidR="00591D54" w:rsidRDefault="00591D54">
      <w:pPr>
        <w:shd w:val="clear" w:color="auto" w:fill="FFFFFF"/>
        <w:spacing w:before="187" w:line="206" w:lineRule="exact"/>
        <w:ind w:right="5"/>
        <w:jc w:val="both"/>
      </w:pPr>
      <w:r>
        <w:rPr>
          <w:spacing w:val="-12"/>
          <w:sz w:val="18"/>
          <w:szCs w:val="18"/>
          <w:lang w:val="es-ES_tradnl"/>
        </w:rPr>
        <w:t xml:space="preserve">En su demanda, el accionante expone que el juez del Trabajo </w:t>
      </w:r>
      <w:r>
        <w:rPr>
          <w:spacing w:val="-6"/>
          <w:sz w:val="18"/>
          <w:szCs w:val="18"/>
          <w:lang w:val="es-ES_tradnl"/>
        </w:rPr>
        <w:t>de Cotopaxi omiti</w:t>
      </w:r>
      <w:r>
        <w:rPr>
          <w:rFonts w:cs="Times New Roman"/>
          <w:spacing w:val="-6"/>
          <w:sz w:val="18"/>
          <w:szCs w:val="18"/>
          <w:lang w:val="es-ES_tradnl"/>
        </w:rPr>
        <w:t>ó</w:t>
      </w:r>
      <w:r>
        <w:rPr>
          <w:spacing w:val="-6"/>
          <w:sz w:val="18"/>
          <w:szCs w:val="18"/>
          <w:lang w:val="es-ES_tradnl"/>
        </w:rPr>
        <w:t xml:space="preserve"> referirse sobre la ilegal citaci</w:t>
      </w:r>
      <w:r>
        <w:rPr>
          <w:rFonts w:cs="Times New Roman"/>
          <w:spacing w:val="-6"/>
          <w:sz w:val="18"/>
          <w:szCs w:val="18"/>
          <w:lang w:val="es-ES_tradnl"/>
        </w:rPr>
        <w:t>ó</w:t>
      </w:r>
      <w:r>
        <w:rPr>
          <w:spacing w:val="-6"/>
          <w:sz w:val="18"/>
          <w:szCs w:val="18"/>
          <w:lang w:val="es-ES_tradnl"/>
        </w:rPr>
        <w:t xml:space="preserve">n que se </w:t>
      </w:r>
      <w:r>
        <w:rPr>
          <w:spacing w:val="-7"/>
          <w:sz w:val="18"/>
          <w:szCs w:val="18"/>
          <w:lang w:val="es-ES_tradnl"/>
        </w:rPr>
        <w:t>practic</w:t>
      </w:r>
      <w:r>
        <w:rPr>
          <w:rFonts w:cs="Times New Roman"/>
          <w:spacing w:val="-7"/>
          <w:sz w:val="18"/>
          <w:szCs w:val="18"/>
          <w:lang w:val="es-ES_tradnl"/>
        </w:rPr>
        <w:t>ó</w:t>
      </w:r>
      <w:r>
        <w:rPr>
          <w:spacing w:val="-7"/>
          <w:sz w:val="18"/>
          <w:szCs w:val="18"/>
          <w:lang w:val="es-ES_tradnl"/>
        </w:rPr>
        <w:t xml:space="preserve"> en un lugar distinto al de su domicilio o habitaci</w:t>
      </w:r>
      <w:r>
        <w:rPr>
          <w:rFonts w:cs="Times New Roman"/>
          <w:spacing w:val="-7"/>
          <w:sz w:val="18"/>
          <w:szCs w:val="18"/>
          <w:lang w:val="es-ES_tradnl"/>
        </w:rPr>
        <w:t>ó</w:t>
      </w:r>
      <w:r>
        <w:rPr>
          <w:spacing w:val="-7"/>
          <w:sz w:val="18"/>
          <w:szCs w:val="18"/>
          <w:lang w:val="es-ES_tradnl"/>
        </w:rPr>
        <w:t xml:space="preserve">n, siendo lo coherente y legal haber declarado la nulidad del </w:t>
      </w:r>
      <w:r>
        <w:rPr>
          <w:sz w:val="18"/>
          <w:szCs w:val="18"/>
          <w:lang w:val="es-ES_tradnl"/>
        </w:rPr>
        <w:t>proceso desde el momento de la citaci</w:t>
      </w:r>
      <w:r>
        <w:rPr>
          <w:rFonts w:cs="Times New Roman"/>
          <w:sz w:val="18"/>
          <w:szCs w:val="18"/>
          <w:lang w:val="es-ES_tradnl"/>
        </w:rPr>
        <w:t>ó</w:t>
      </w:r>
      <w:r>
        <w:rPr>
          <w:sz w:val="18"/>
          <w:szCs w:val="18"/>
          <w:lang w:val="es-ES_tradnl"/>
        </w:rPr>
        <w:t>n.</w:t>
      </w:r>
    </w:p>
    <w:p w14:paraId="4F67B6AC" w14:textId="77777777" w:rsidR="00591D54" w:rsidRDefault="00591D54">
      <w:pPr>
        <w:shd w:val="clear" w:color="auto" w:fill="FFFFFF"/>
        <w:spacing w:before="187" w:line="206" w:lineRule="exact"/>
        <w:ind w:right="5"/>
        <w:jc w:val="both"/>
      </w:pPr>
      <w:r>
        <w:rPr>
          <w:spacing w:val="-10"/>
          <w:sz w:val="18"/>
          <w:szCs w:val="18"/>
          <w:lang w:val="es-ES_tradnl"/>
        </w:rPr>
        <w:t>Afirma tambi</w:t>
      </w:r>
      <w:r>
        <w:rPr>
          <w:rFonts w:cs="Times New Roman"/>
          <w:spacing w:val="-10"/>
          <w:sz w:val="18"/>
          <w:szCs w:val="18"/>
          <w:lang w:val="es-ES_tradnl"/>
        </w:rPr>
        <w:t>é</w:t>
      </w:r>
      <w:r>
        <w:rPr>
          <w:spacing w:val="-10"/>
          <w:sz w:val="18"/>
          <w:szCs w:val="18"/>
          <w:lang w:val="es-ES_tradnl"/>
        </w:rPr>
        <w:t xml:space="preserve">n que la sentencia impugnada, pese a que en </w:t>
      </w:r>
      <w:r>
        <w:rPr>
          <w:spacing w:val="-8"/>
          <w:sz w:val="18"/>
          <w:szCs w:val="18"/>
          <w:lang w:val="es-ES_tradnl"/>
        </w:rPr>
        <w:t xml:space="preserve">su considerando cuarto desecha el despido intempestivo, acoge parcialmente la demanda, declarando de este modo </w:t>
      </w:r>
      <w:r>
        <w:rPr>
          <w:spacing w:val="-6"/>
          <w:sz w:val="18"/>
          <w:szCs w:val="18"/>
          <w:lang w:val="es-ES_tradnl"/>
        </w:rPr>
        <w:t>la existencia del v</w:t>
      </w:r>
      <w:r>
        <w:rPr>
          <w:rFonts w:cs="Times New Roman"/>
          <w:spacing w:val="-6"/>
          <w:sz w:val="18"/>
          <w:szCs w:val="18"/>
          <w:lang w:val="es-ES_tradnl"/>
        </w:rPr>
        <w:t>í</w:t>
      </w:r>
      <w:r>
        <w:rPr>
          <w:spacing w:val="-6"/>
          <w:sz w:val="18"/>
          <w:szCs w:val="18"/>
          <w:lang w:val="es-ES_tradnl"/>
        </w:rPr>
        <w:t xml:space="preserve">nculo laboral desde el tiempo expuesto </w:t>
      </w:r>
      <w:r>
        <w:rPr>
          <w:spacing w:val="-9"/>
          <w:sz w:val="18"/>
          <w:szCs w:val="18"/>
          <w:lang w:val="es-ES_tradnl"/>
        </w:rPr>
        <w:t>en la demanda y ordenando el pago de una indemnizaci</w:t>
      </w:r>
      <w:r>
        <w:rPr>
          <w:rFonts w:cs="Times New Roman"/>
          <w:spacing w:val="-9"/>
          <w:sz w:val="18"/>
          <w:szCs w:val="18"/>
          <w:lang w:val="es-ES_tradnl"/>
        </w:rPr>
        <w:t>ó</w:t>
      </w:r>
      <w:r>
        <w:rPr>
          <w:spacing w:val="-9"/>
          <w:sz w:val="18"/>
          <w:szCs w:val="18"/>
          <w:lang w:val="es-ES_tradnl"/>
        </w:rPr>
        <w:t xml:space="preserve">n </w:t>
      </w:r>
      <w:r>
        <w:rPr>
          <w:sz w:val="18"/>
          <w:szCs w:val="18"/>
          <w:lang w:val="es-ES_tradnl"/>
        </w:rPr>
        <w:t>laboral.</w:t>
      </w:r>
    </w:p>
    <w:p w14:paraId="4F67B6AD" w14:textId="77777777" w:rsidR="00591D54" w:rsidRDefault="00591D54">
      <w:pPr>
        <w:shd w:val="clear" w:color="auto" w:fill="FFFFFF"/>
        <w:spacing w:before="187" w:line="206" w:lineRule="exact"/>
        <w:ind w:right="5"/>
        <w:jc w:val="both"/>
      </w:pPr>
      <w:r>
        <w:rPr>
          <w:spacing w:val="-6"/>
          <w:sz w:val="18"/>
          <w:szCs w:val="18"/>
          <w:lang w:val="es-ES_tradnl"/>
        </w:rPr>
        <w:t>Por otra parte, el accionante manifiesta que el juez del Trabajo de Cotopaxi tramit</w:t>
      </w:r>
      <w:r>
        <w:rPr>
          <w:rFonts w:cs="Times New Roman"/>
          <w:spacing w:val="-6"/>
          <w:sz w:val="18"/>
          <w:szCs w:val="18"/>
          <w:lang w:val="es-ES_tradnl"/>
        </w:rPr>
        <w:t>ó</w:t>
      </w:r>
      <w:r>
        <w:rPr>
          <w:spacing w:val="-6"/>
          <w:sz w:val="18"/>
          <w:szCs w:val="18"/>
          <w:lang w:val="es-ES_tradnl"/>
        </w:rPr>
        <w:t xml:space="preserve"> un proceso de manera ilegal, </w:t>
      </w:r>
      <w:r>
        <w:rPr>
          <w:spacing w:val="-8"/>
          <w:sz w:val="18"/>
          <w:szCs w:val="18"/>
          <w:lang w:val="es-ES_tradnl"/>
        </w:rPr>
        <w:t>pues, al haber ordenado la ejecuci</w:t>
      </w:r>
      <w:r>
        <w:rPr>
          <w:rFonts w:cs="Times New Roman"/>
          <w:spacing w:val="-8"/>
          <w:sz w:val="18"/>
          <w:szCs w:val="18"/>
          <w:lang w:val="es-ES_tradnl"/>
        </w:rPr>
        <w:t>ó</w:t>
      </w:r>
      <w:r>
        <w:rPr>
          <w:spacing w:val="-8"/>
          <w:sz w:val="18"/>
          <w:szCs w:val="18"/>
          <w:lang w:val="es-ES_tradnl"/>
        </w:rPr>
        <w:t xml:space="preserve">n de la inconstitucional </w:t>
      </w:r>
      <w:r>
        <w:rPr>
          <w:spacing w:val="-6"/>
          <w:sz w:val="18"/>
          <w:szCs w:val="18"/>
          <w:lang w:val="es-ES_tradnl"/>
        </w:rPr>
        <w:t>sentencia, se</w:t>
      </w:r>
      <w:r>
        <w:rPr>
          <w:rFonts w:cs="Times New Roman"/>
          <w:spacing w:val="-6"/>
          <w:sz w:val="18"/>
          <w:szCs w:val="18"/>
          <w:lang w:val="es-ES_tradnl"/>
        </w:rPr>
        <w:t>ñ</w:t>
      </w:r>
      <w:r>
        <w:rPr>
          <w:spacing w:val="-6"/>
          <w:sz w:val="18"/>
          <w:szCs w:val="18"/>
          <w:lang w:val="es-ES_tradnl"/>
        </w:rPr>
        <w:t>ala que dicha autoridad tampoco tendr</w:t>
      </w:r>
      <w:r>
        <w:rPr>
          <w:rFonts w:cs="Times New Roman"/>
          <w:spacing w:val="-6"/>
          <w:sz w:val="18"/>
          <w:szCs w:val="18"/>
          <w:lang w:val="es-ES_tradnl"/>
        </w:rPr>
        <w:t>í</w:t>
      </w:r>
      <w:r>
        <w:rPr>
          <w:spacing w:val="-6"/>
          <w:sz w:val="18"/>
          <w:szCs w:val="18"/>
          <w:lang w:val="es-ES_tradnl"/>
        </w:rPr>
        <w:t xml:space="preserve">a </w:t>
      </w:r>
      <w:r>
        <w:rPr>
          <w:spacing w:val="-8"/>
          <w:sz w:val="18"/>
          <w:szCs w:val="18"/>
          <w:lang w:val="es-ES_tradnl"/>
        </w:rPr>
        <w:t>reparo en la adopci</w:t>
      </w:r>
      <w:r>
        <w:rPr>
          <w:rFonts w:cs="Times New Roman"/>
          <w:spacing w:val="-8"/>
          <w:sz w:val="18"/>
          <w:szCs w:val="18"/>
          <w:lang w:val="es-ES_tradnl"/>
        </w:rPr>
        <w:t>ó</w:t>
      </w:r>
      <w:r>
        <w:rPr>
          <w:spacing w:val="-8"/>
          <w:sz w:val="18"/>
          <w:szCs w:val="18"/>
          <w:lang w:val="es-ES_tradnl"/>
        </w:rPr>
        <w:t xml:space="preserve">n de medidas cautelares que puedan </w:t>
      </w:r>
      <w:r>
        <w:rPr>
          <w:spacing w:val="-9"/>
          <w:sz w:val="18"/>
          <w:szCs w:val="18"/>
          <w:lang w:val="es-ES_tradnl"/>
        </w:rPr>
        <w:t>afectar no solo su derecho al debido proceso, sino adem</w:t>
      </w:r>
      <w:r>
        <w:rPr>
          <w:rFonts w:cs="Times New Roman"/>
          <w:spacing w:val="-9"/>
          <w:sz w:val="18"/>
          <w:szCs w:val="18"/>
          <w:lang w:val="es-ES_tradnl"/>
        </w:rPr>
        <w:t>á</w:t>
      </w:r>
      <w:r>
        <w:rPr>
          <w:spacing w:val="-9"/>
          <w:sz w:val="18"/>
          <w:szCs w:val="18"/>
          <w:lang w:val="es-ES_tradnl"/>
        </w:rPr>
        <w:t xml:space="preserve">s </w:t>
      </w:r>
      <w:r>
        <w:rPr>
          <w:sz w:val="18"/>
          <w:szCs w:val="18"/>
          <w:lang w:val="es-ES_tradnl"/>
        </w:rPr>
        <w:t>de su derecho a la propiedad.</w:t>
      </w:r>
    </w:p>
    <w:p w14:paraId="4F67B6AE" w14:textId="77777777" w:rsidR="00591D54" w:rsidRDefault="00591D54">
      <w:pPr>
        <w:shd w:val="clear" w:color="auto" w:fill="FFFFFF"/>
        <w:spacing w:before="182" w:line="206" w:lineRule="exact"/>
        <w:jc w:val="both"/>
      </w:pPr>
      <w:r>
        <w:rPr>
          <w:sz w:val="18"/>
          <w:szCs w:val="18"/>
          <w:lang w:val="es-ES_tradnl"/>
        </w:rPr>
        <w:t xml:space="preserve">Indica que la sentencia impugnada ha violentado la </w:t>
      </w:r>
      <w:r>
        <w:rPr>
          <w:spacing w:val="-3"/>
          <w:sz w:val="18"/>
          <w:szCs w:val="18"/>
          <w:lang w:val="es-ES_tradnl"/>
        </w:rPr>
        <w:t xml:space="preserve">tutela judicial efectiva y el debido proceso, pues el juez </w:t>
      </w:r>
      <w:r>
        <w:rPr>
          <w:spacing w:val="-4"/>
          <w:sz w:val="18"/>
          <w:szCs w:val="18"/>
          <w:lang w:val="es-ES_tradnl"/>
        </w:rPr>
        <w:t>del Trabajo de Cotopaxi no garantiz</w:t>
      </w:r>
      <w:r>
        <w:rPr>
          <w:rFonts w:cs="Times New Roman"/>
          <w:spacing w:val="-4"/>
          <w:sz w:val="18"/>
          <w:szCs w:val="18"/>
          <w:lang w:val="es-ES_tradnl"/>
        </w:rPr>
        <w:t>ó</w:t>
      </w:r>
      <w:r>
        <w:rPr>
          <w:spacing w:val="-4"/>
          <w:sz w:val="18"/>
          <w:szCs w:val="18"/>
          <w:lang w:val="es-ES_tradnl"/>
        </w:rPr>
        <w:t xml:space="preserve"> la observancia de </w:t>
      </w:r>
      <w:r>
        <w:rPr>
          <w:spacing w:val="-3"/>
          <w:sz w:val="18"/>
          <w:szCs w:val="18"/>
          <w:lang w:val="es-ES_tradnl"/>
        </w:rPr>
        <w:t>las solemnidades que deben guiar la conducci</w:t>
      </w:r>
      <w:r>
        <w:rPr>
          <w:rFonts w:cs="Times New Roman"/>
          <w:spacing w:val="-3"/>
          <w:sz w:val="18"/>
          <w:szCs w:val="18"/>
          <w:lang w:val="es-ES_tradnl"/>
        </w:rPr>
        <w:t>ó</w:t>
      </w:r>
      <w:r>
        <w:rPr>
          <w:spacing w:val="-3"/>
          <w:sz w:val="18"/>
          <w:szCs w:val="18"/>
          <w:lang w:val="es-ES_tradnl"/>
        </w:rPr>
        <w:t>n de un</w:t>
      </w:r>
    </w:p>
    <w:p w14:paraId="4F67B6AF" w14:textId="77777777" w:rsidR="00591D54" w:rsidRDefault="00591D54">
      <w:pPr>
        <w:shd w:val="clear" w:color="auto" w:fill="FFFFFF"/>
        <w:spacing w:line="206" w:lineRule="exact"/>
        <w:jc w:val="both"/>
      </w:pPr>
      <w:r>
        <w:br w:type="column"/>
      </w:r>
      <w:r>
        <w:rPr>
          <w:spacing w:val="-6"/>
          <w:sz w:val="18"/>
          <w:szCs w:val="18"/>
          <w:lang w:val="es-ES_tradnl"/>
        </w:rPr>
        <w:t xml:space="preserve">proceso, y en lugar de declarar la nulidad procesal de lo </w:t>
      </w:r>
      <w:r>
        <w:rPr>
          <w:spacing w:val="-7"/>
          <w:sz w:val="18"/>
          <w:szCs w:val="18"/>
          <w:lang w:val="es-ES_tradnl"/>
        </w:rPr>
        <w:t>actuado, procedi</w:t>
      </w:r>
      <w:r>
        <w:rPr>
          <w:rFonts w:cs="Times New Roman"/>
          <w:spacing w:val="-7"/>
          <w:sz w:val="18"/>
          <w:szCs w:val="18"/>
          <w:lang w:val="es-ES_tradnl"/>
        </w:rPr>
        <w:t>ó</w:t>
      </w:r>
      <w:r>
        <w:rPr>
          <w:spacing w:val="-7"/>
          <w:sz w:val="18"/>
          <w:szCs w:val="18"/>
          <w:lang w:val="es-ES_tradnl"/>
        </w:rPr>
        <w:t xml:space="preserve"> a dictar una sentencia en contra de las </w:t>
      </w:r>
      <w:r>
        <w:rPr>
          <w:spacing w:val="-9"/>
          <w:sz w:val="18"/>
          <w:szCs w:val="18"/>
          <w:lang w:val="es-ES_tradnl"/>
        </w:rPr>
        <w:t>solemnidades procesales e iniciando una fase de ejecuci</w:t>
      </w:r>
      <w:r>
        <w:rPr>
          <w:rFonts w:cs="Times New Roman"/>
          <w:spacing w:val="-9"/>
          <w:sz w:val="18"/>
          <w:szCs w:val="18"/>
          <w:lang w:val="es-ES_tradnl"/>
        </w:rPr>
        <w:t>ó</w:t>
      </w:r>
      <w:r>
        <w:rPr>
          <w:spacing w:val="-9"/>
          <w:sz w:val="18"/>
          <w:szCs w:val="18"/>
          <w:lang w:val="es-ES_tradnl"/>
        </w:rPr>
        <w:t xml:space="preserve">n </w:t>
      </w:r>
      <w:r>
        <w:rPr>
          <w:sz w:val="18"/>
          <w:szCs w:val="18"/>
          <w:lang w:val="es-ES_tradnl"/>
        </w:rPr>
        <w:t>que empeorar</w:t>
      </w:r>
      <w:r>
        <w:rPr>
          <w:rFonts w:cs="Times New Roman"/>
          <w:sz w:val="18"/>
          <w:szCs w:val="18"/>
          <w:lang w:val="es-ES_tradnl"/>
        </w:rPr>
        <w:t>í</w:t>
      </w:r>
      <w:r>
        <w:rPr>
          <w:sz w:val="18"/>
          <w:szCs w:val="18"/>
          <w:lang w:val="es-ES_tradnl"/>
        </w:rPr>
        <w:t>a su situaci</w:t>
      </w:r>
      <w:r>
        <w:rPr>
          <w:rFonts w:cs="Times New Roman"/>
          <w:sz w:val="18"/>
          <w:szCs w:val="18"/>
          <w:lang w:val="es-ES_tradnl"/>
        </w:rPr>
        <w:t>ó</w:t>
      </w:r>
      <w:r>
        <w:rPr>
          <w:sz w:val="18"/>
          <w:szCs w:val="18"/>
          <w:lang w:val="es-ES_tradnl"/>
        </w:rPr>
        <w:t>n.</w:t>
      </w:r>
    </w:p>
    <w:p w14:paraId="4F67B6B0" w14:textId="77777777" w:rsidR="00591D54" w:rsidRDefault="00591D54">
      <w:pPr>
        <w:shd w:val="clear" w:color="auto" w:fill="FFFFFF"/>
        <w:spacing w:before="182" w:line="206" w:lineRule="exact"/>
        <w:jc w:val="both"/>
      </w:pPr>
      <w:r>
        <w:rPr>
          <w:spacing w:val="-8"/>
          <w:sz w:val="18"/>
          <w:szCs w:val="18"/>
          <w:lang w:val="es-ES_tradnl"/>
        </w:rPr>
        <w:t>Finalmente, concluye que la ilegal citaci</w:t>
      </w:r>
      <w:r>
        <w:rPr>
          <w:rFonts w:cs="Times New Roman"/>
          <w:spacing w:val="-8"/>
          <w:sz w:val="18"/>
          <w:szCs w:val="18"/>
          <w:lang w:val="es-ES_tradnl"/>
        </w:rPr>
        <w:t>ó</w:t>
      </w:r>
      <w:r>
        <w:rPr>
          <w:spacing w:val="-8"/>
          <w:sz w:val="18"/>
          <w:szCs w:val="18"/>
          <w:lang w:val="es-ES_tradnl"/>
        </w:rPr>
        <w:t xml:space="preserve">n con la demanda </w:t>
      </w:r>
      <w:r>
        <w:rPr>
          <w:spacing w:val="-9"/>
          <w:sz w:val="18"/>
          <w:szCs w:val="18"/>
          <w:lang w:val="es-ES_tradnl"/>
        </w:rPr>
        <w:t>provoc</w:t>
      </w:r>
      <w:r>
        <w:rPr>
          <w:rFonts w:cs="Times New Roman"/>
          <w:spacing w:val="-9"/>
          <w:sz w:val="18"/>
          <w:szCs w:val="18"/>
          <w:lang w:val="es-ES_tradnl"/>
        </w:rPr>
        <w:t>ó</w:t>
      </w:r>
      <w:r>
        <w:rPr>
          <w:spacing w:val="-9"/>
          <w:sz w:val="18"/>
          <w:szCs w:val="18"/>
          <w:lang w:val="es-ES_tradnl"/>
        </w:rPr>
        <w:t xml:space="preserve"> que sucedieran una serie de actos que vulneraron sus derechos constitucionales, principalmente las garant</w:t>
      </w:r>
      <w:r>
        <w:rPr>
          <w:rFonts w:cs="Times New Roman"/>
          <w:spacing w:val="-9"/>
          <w:sz w:val="18"/>
          <w:szCs w:val="18"/>
          <w:lang w:val="es-ES_tradnl"/>
        </w:rPr>
        <w:t>í</w:t>
      </w:r>
      <w:r>
        <w:rPr>
          <w:spacing w:val="-9"/>
          <w:sz w:val="18"/>
          <w:szCs w:val="18"/>
          <w:lang w:val="es-ES_tradnl"/>
        </w:rPr>
        <w:t xml:space="preserve">as </w:t>
      </w:r>
      <w:r>
        <w:rPr>
          <w:spacing w:val="-3"/>
          <w:sz w:val="18"/>
          <w:szCs w:val="18"/>
          <w:lang w:val="es-ES_tradnl"/>
        </w:rPr>
        <w:t xml:space="preserve">del debido proceso, pues fue impedido de solicitar y </w:t>
      </w:r>
      <w:r>
        <w:rPr>
          <w:spacing w:val="-6"/>
          <w:sz w:val="18"/>
          <w:szCs w:val="18"/>
          <w:lang w:val="es-ES_tradnl"/>
        </w:rPr>
        <w:t>practicar pruebas, as</w:t>
      </w:r>
      <w:r>
        <w:rPr>
          <w:rFonts w:cs="Times New Roman"/>
          <w:spacing w:val="-6"/>
          <w:sz w:val="18"/>
          <w:szCs w:val="18"/>
          <w:lang w:val="es-ES_tradnl"/>
        </w:rPr>
        <w:t>í</w:t>
      </w:r>
      <w:r>
        <w:rPr>
          <w:spacing w:val="-6"/>
          <w:sz w:val="18"/>
          <w:szCs w:val="18"/>
          <w:lang w:val="es-ES_tradnl"/>
        </w:rPr>
        <w:t xml:space="preserve"> como a recurrir el fallo.</w:t>
      </w:r>
    </w:p>
    <w:p w14:paraId="4F67B6B1" w14:textId="77777777" w:rsidR="00591D54" w:rsidRDefault="00591D54">
      <w:pPr>
        <w:shd w:val="clear" w:color="auto" w:fill="FFFFFF"/>
        <w:spacing w:before="192"/>
      </w:pPr>
      <w:r>
        <w:rPr>
          <w:b/>
          <w:bCs/>
          <w:spacing w:val="-10"/>
          <w:sz w:val="18"/>
          <w:szCs w:val="18"/>
          <w:lang w:val="es-ES_tradnl"/>
        </w:rPr>
        <w:t>Pretensi</w:t>
      </w:r>
      <w:r>
        <w:rPr>
          <w:rFonts w:cs="Times New Roman"/>
          <w:b/>
          <w:bCs/>
          <w:spacing w:val="-10"/>
          <w:sz w:val="18"/>
          <w:szCs w:val="18"/>
          <w:lang w:val="es-ES_tradnl"/>
        </w:rPr>
        <w:t>ó</w:t>
      </w:r>
      <w:r>
        <w:rPr>
          <w:b/>
          <w:bCs/>
          <w:spacing w:val="-10"/>
          <w:sz w:val="18"/>
          <w:szCs w:val="18"/>
          <w:lang w:val="es-ES_tradnl"/>
        </w:rPr>
        <w:t>n Concreta</w:t>
      </w:r>
    </w:p>
    <w:p w14:paraId="4F67B6B2" w14:textId="77777777" w:rsidR="00591D54" w:rsidRDefault="00591D54">
      <w:pPr>
        <w:shd w:val="clear" w:color="auto" w:fill="FFFFFF"/>
        <w:spacing w:before="197"/>
      </w:pPr>
      <w:r>
        <w:rPr>
          <w:spacing w:val="-5"/>
          <w:sz w:val="18"/>
          <w:szCs w:val="18"/>
          <w:lang w:val="es-ES_tradnl"/>
        </w:rPr>
        <w:t>El accionante solicita lo siguiente:</w:t>
      </w:r>
    </w:p>
    <w:p w14:paraId="4F67B6B3" w14:textId="77777777" w:rsidR="00591D54" w:rsidRDefault="00591D54">
      <w:pPr>
        <w:shd w:val="clear" w:color="auto" w:fill="FFFFFF"/>
        <w:tabs>
          <w:tab w:val="left" w:pos="614"/>
        </w:tabs>
        <w:spacing w:before="202" w:line="216" w:lineRule="exact"/>
        <w:ind w:left="283"/>
        <w:jc w:val="both"/>
      </w:pPr>
      <w:r>
        <w:rPr>
          <w:b/>
          <w:bCs/>
          <w:spacing w:val="-8"/>
          <w:sz w:val="16"/>
          <w:szCs w:val="16"/>
          <w:lang w:val="es-ES_tradnl"/>
        </w:rPr>
        <w:t>6.1.</w:t>
      </w:r>
      <w:r>
        <w:rPr>
          <w:b/>
          <w:bCs/>
          <w:sz w:val="18"/>
          <w:szCs w:val="18"/>
          <w:lang w:val="es-ES_tradnl"/>
        </w:rPr>
        <w:tab/>
      </w:r>
      <w:r>
        <w:rPr>
          <w:sz w:val="16"/>
          <w:szCs w:val="16"/>
          <w:lang w:val="es-ES_tradnl"/>
        </w:rPr>
        <w:t>De</w:t>
      </w:r>
      <w:r>
        <w:rPr>
          <w:sz w:val="18"/>
          <w:szCs w:val="18"/>
          <w:lang w:val="es-ES_tradnl"/>
        </w:rPr>
        <w:t xml:space="preserve"> </w:t>
      </w:r>
      <w:r>
        <w:rPr>
          <w:sz w:val="16"/>
          <w:szCs w:val="16"/>
          <w:lang w:val="es-ES_tradnl"/>
        </w:rPr>
        <w:t>conformidad</w:t>
      </w:r>
      <w:r>
        <w:rPr>
          <w:sz w:val="18"/>
          <w:szCs w:val="18"/>
          <w:lang w:val="es-ES_tradnl"/>
        </w:rPr>
        <w:t xml:space="preserve"> </w:t>
      </w:r>
      <w:r>
        <w:rPr>
          <w:sz w:val="16"/>
          <w:szCs w:val="16"/>
          <w:lang w:val="es-ES_tradnl"/>
        </w:rPr>
        <w:t>con</w:t>
      </w:r>
      <w:r>
        <w:rPr>
          <w:sz w:val="18"/>
          <w:szCs w:val="18"/>
          <w:lang w:val="es-ES_tradnl"/>
        </w:rPr>
        <w:t xml:space="preserve"> </w:t>
      </w:r>
      <w:r>
        <w:rPr>
          <w:sz w:val="16"/>
          <w:szCs w:val="16"/>
          <w:lang w:val="es-ES_tradnl"/>
        </w:rPr>
        <w:t>lo</w:t>
      </w:r>
      <w:r>
        <w:rPr>
          <w:sz w:val="18"/>
          <w:szCs w:val="18"/>
          <w:lang w:val="es-ES_tradnl"/>
        </w:rPr>
        <w:t xml:space="preserve"> </w:t>
      </w:r>
      <w:r>
        <w:rPr>
          <w:sz w:val="16"/>
          <w:szCs w:val="16"/>
          <w:lang w:val="es-ES_tradnl"/>
        </w:rPr>
        <w:t>previsto</w:t>
      </w:r>
      <w:r>
        <w:rPr>
          <w:sz w:val="18"/>
          <w:szCs w:val="18"/>
          <w:lang w:val="es-ES_tradnl"/>
        </w:rPr>
        <w:t xml:space="preserve"> </w:t>
      </w:r>
      <w:r>
        <w:rPr>
          <w:sz w:val="16"/>
          <w:szCs w:val="16"/>
          <w:lang w:val="es-ES_tradnl"/>
        </w:rPr>
        <w:t>en</w:t>
      </w:r>
      <w:r>
        <w:rPr>
          <w:sz w:val="18"/>
          <w:szCs w:val="18"/>
          <w:lang w:val="es-ES_tradnl"/>
        </w:rPr>
        <w:t xml:space="preserve"> </w:t>
      </w:r>
      <w:r>
        <w:rPr>
          <w:sz w:val="16"/>
          <w:szCs w:val="16"/>
          <w:lang w:val="es-ES_tradnl"/>
        </w:rPr>
        <w:t>el</w:t>
      </w:r>
      <w:r>
        <w:rPr>
          <w:sz w:val="18"/>
          <w:szCs w:val="18"/>
          <w:lang w:val="es-ES_tradnl"/>
        </w:rPr>
        <w:t xml:space="preserve"> </w:t>
      </w:r>
      <w:r>
        <w:rPr>
          <w:sz w:val="16"/>
          <w:szCs w:val="16"/>
          <w:lang w:val="es-ES_tradnl"/>
        </w:rPr>
        <w:t>art.</w:t>
      </w:r>
      <w:r>
        <w:rPr>
          <w:sz w:val="18"/>
          <w:szCs w:val="18"/>
          <w:lang w:val="es-ES_tradnl"/>
        </w:rPr>
        <w:t xml:space="preserve"> </w:t>
      </w:r>
      <w:r>
        <w:rPr>
          <w:sz w:val="16"/>
          <w:szCs w:val="16"/>
          <w:lang w:val="es-ES_tradnl"/>
        </w:rPr>
        <w:t>62</w:t>
      </w:r>
      <w:r>
        <w:rPr>
          <w:sz w:val="18"/>
          <w:szCs w:val="18"/>
          <w:lang w:val="es-ES_tradnl"/>
        </w:rPr>
        <w:t xml:space="preserve"> </w:t>
      </w:r>
      <w:r>
        <w:rPr>
          <w:sz w:val="16"/>
          <w:szCs w:val="16"/>
          <w:lang w:val="es-ES_tradnl"/>
        </w:rPr>
        <w:t>de</w:t>
      </w:r>
      <w:r>
        <w:rPr>
          <w:sz w:val="18"/>
          <w:szCs w:val="18"/>
          <w:lang w:val="es-ES_tradnl"/>
        </w:rPr>
        <w:t xml:space="preserve"> </w:t>
      </w:r>
      <w:r>
        <w:rPr>
          <w:sz w:val="16"/>
          <w:szCs w:val="16"/>
          <w:lang w:val="es-ES_tradnl"/>
        </w:rPr>
        <w:t>la </w:t>
      </w:r>
      <w:r>
        <w:rPr>
          <w:spacing w:val="-4"/>
          <w:sz w:val="16"/>
          <w:szCs w:val="16"/>
          <w:lang w:val="es-ES_tradnl"/>
        </w:rPr>
        <w:t>Ley Org</w:t>
      </w:r>
      <w:r>
        <w:rPr>
          <w:rFonts w:cs="Times New Roman"/>
          <w:spacing w:val="-4"/>
          <w:sz w:val="16"/>
          <w:szCs w:val="16"/>
          <w:lang w:val="es-ES_tradnl"/>
        </w:rPr>
        <w:t>á</w:t>
      </w:r>
      <w:r>
        <w:rPr>
          <w:spacing w:val="-4"/>
          <w:sz w:val="16"/>
          <w:szCs w:val="16"/>
          <w:lang w:val="es-ES_tradnl"/>
        </w:rPr>
        <w:t>nica de Garant</w:t>
      </w:r>
      <w:r>
        <w:rPr>
          <w:rFonts w:cs="Times New Roman"/>
          <w:spacing w:val="-4"/>
          <w:sz w:val="16"/>
          <w:szCs w:val="16"/>
          <w:lang w:val="es-ES_tradnl"/>
        </w:rPr>
        <w:t>í</w:t>
      </w:r>
      <w:r>
        <w:rPr>
          <w:spacing w:val="-4"/>
          <w:sz w:val="16"/>
          <w:szCs w:val="16"/>
          <w:lang w:val="es-ES_tradnl"/>
        </w:rPr>
        <w:t>as Jurisdiccionales y Control </w:t>
      </w:r>
      <w:r>
        <w:rPr>
          <w:spacing w:val="-7"/>
          <w:sz w:val="16"/>
          <w:szCs w:val="16"/>
          <w:lang w:val="es-ES_tradnl"/>
        </w:rPr>
        <w:t>Constitucional existe, en el presente caso, argumentos claves </w:t>
      </w:r>
      <w:r>
        <w:rPr>
          <w:spacing w:val="-8"/>
          <w:sz w:val="16"/>
          <w:szCs w:val="16"/>
          <w:lang w:val="es-ES_tradnl"/>
        </w:rPr>
        <w:t>y m</w:t>
      </w:r>
      <w:r>
        <w:rPr>
          <w:rFonts w:cs="Times New Roman"/>
          <w:spacing w:val="-8"/>
          <w:sz w:val="16"/>
          <w:szCs w:val="16"/>
          <w:lang w:val="es-ES_tradnl"/>
        </w:rPr>
        <w:t>á</w:t>
      </w:r>
      <w:r>
        <w:rPr>
          <w:spacing w:val="-8"/>
          <w:sz w:val="16"/>
          <w:szCs w:val="16"/>
          <w:lang w:val="es-ES_tradnl"/>
        </w:rPr>
        <w:t>s que contundentes y de sobra, respecto de los derechos </w:t>
      </w:r>
      <w:r>
        <w:rPr>
          <w:spacing w:val="-3"/>
          <w:sz w:val="16"/>
          <w:szCs w:val="16"/>
          <w:lang w:val="es-ES_tradnl"/>
        </w:rPr>
        <w:t>constitucionales violentados. A lo largo de este manifiesto </w:t>
      </w:r>
      <w:r>
        <w:rPr>
          <w:spacing w:val="-6"/>
          <w:sz w:val="16"/>
          <w:szCs w:val="16"/>
          <w:lang w:val="es-ES_tradnl"/>
        </w:rPr>
        <w:t>ha quedado suficientemente demostrada la relevancia </w:t>
      </w:r>
      <w:r>
        <w:rPr>
          <w:sz w:val="16"/>
          <w:szCs w:val="16"/>
          <w:lang w:val="es-ES_tradnl"/>
        </w:rPr>
        <w:t>constitucional del problema jur</w:t>
      </w:r>
      <w:r>
        <w:rPr>
          <w:rFonts w:cs="Times New Roman"/>
          <w:sz w:val="16"/>
          <w:szCs w:val="16"/>
          <w:lang w:val="es-ES_tradnl"/>
        </w:rPr>
        <w:t>í</w:t>
      </w:r>
      <w:r>
        <w:rPr>
          <w:sz w:val="16"/>
          <w:szCs w:val="16"/>
          <w:lang w:val="es-ES_tradnl"/>
        </w:rPr>
        <w:t>dico y de la pretensi</w:t>
      </w:r>
      <w:r>
        <w:rPr>
          <w:rFonts w:cs="Times New Roman"/>
          <w:sz w:val="16"/>
          <w:szCs w:val="16"/>
          <w:lang w:val="es-ES_tradnl"/>
        </w:rPr>
        <w:t>ó</w:t>
      </w:r>
      <w:r>
        <w:rPr>
          <w:sz w:val="16"/>
          <w:szCs w:val="16"/>
          <w:lang w:val="es-ES_tradnl"/>
        </w:rPr>
        <w:t>n, </w:t>
      </w:r>
      <w:r>
        <w:rPr>
          <w:spacing w:val="-6"/>
          <w:sz w:val="16"/>
          <w:szCs w:val="16"/>
          <w:lang w:val="es-ES_tradnl"/>
        </w:rPr>
        <w:t>pues, desde el punto de vista constitucional, es trascendental </w:t>
      </w:r>
      <w:r>
        <w:rPr>
          <w:spacing w:val="-7"/>
          <w:sz w:val="16"/>
          <w:szCs w:val="16"/>
          <w:lang w:val="es-ES_tradnl"/>
        </w:rPr>
        <w:t>el respeto y la observancia a los preceptos constitucionales, ignorados por el se</w:t>
      </w:r>
      <w:r>
        <w:rPr>
          <w:rFonts w:cs="Times New Roman"/>
          <w:spacing w:val="-7"/>
          <w:sz w:val="16"/>
          <w:szCs w:val="16"/>
          <w:lang w:val="es-ES_tradnl"/>
        </w:rPr>
        <w:t>ñ</w:t>
      </w:r>
      <w:r>
        <w:rPr>
          <w:spacing w:val="-7"/>
          <w:sz w:val="16"/>
          <w:szCs w:val="16"/>
          <w:lang w:val="es-ES_tradnl"/>
        </w:rPr>
        <w:t>or Juez del Trabajo de Cotopaxi</w:t>
      </w:r>
      <w:r>
        <w:rPr>
          <w:b/>
          <w:bCs/>
          <w:spacing w:val="-7"/>
          <w:sz w:val="16"/>
          <w:szCs w:val="16"/>
          <w:lang w:val="es-ES_tradnl"/>
        </w:rPr>
        <w:t>.</w:t>
      </w:r>
    </w:p>
    <w:p w14:paraId="4F67B6B4" w14:textId="77777777" w:rsidR="00591D54" w:rsidRDefault="00591D54">
      <w:pPr>
        <w:shd w:val="clear" w:color="auto" w:fill="FFFFFF"/>
        <w:tabs>
          <w:tab w:val="left" w:pos="566"/>
        </w:tabs>
        <w:spacing w:before="211" w:line="216" w:lineRule="exact"/>
        <w:ind w:left="283"/>
        <w:jc w:val="both"/>
      </w:pPr>
      <w:r>
        <w:rPr>
          <w:b/>
          <w:bCs/>
          <w:spacing w:val="-8"/>
          <w:sz w:val="16"/>
          <w:szCs w:val="16"/>
          <w:lang w:val="es-ES_tradnl"/>
        </w:rPr>
        <w:t>6.2.</w:t>
      </w:r>
      <w:r>
        <w:rPr>
          <w:b/>
          <w:bCs/>
          <w:sz w:val="18"/>
          <w:szCs w:val="18"/>
          <w:lang w:val="es-ES_tradnl"/>
        </w:rPr>
        <w:tab/>
      </w:r>
      <w:r>
        <w:rPr>
          <w:spacing w:val="-9"/>
          <w:sz w:val="16"/>
          <w:szCs w:val="16"/>
          <w:lang w:val="es-ES_tradnl"/>
        </w:rPr>
        <w:t>Por</w:t>
      </w:r>
      <w:r>
        <w:rPr>
          <w:spacing w:val="-9"/>
          <w:sz w:val="18"/>
          <w:szCs w:val="18"/>
          <w:lang w:val="es-ES_tradnl"/>
        </w:rPr>
        <w:t xml:space="preserve"> </w:t>
      </w:r>
      <w:r>
        <w:rPr>
          <w:spacing w:val="-9"/>
          <w:sz w:val="16"/>
          <w:szCs w:val="16"/>
          <w:lang w:val="es-ES_tradnl"/>
        </w:rPr>
        <w:t>consiguiente,</w:t>
      </w:r>
      <w:r>
        <w:rPr>
          <w:spacing w:val="-9"/>
          <w:sz w:val="18"/>
          <w:szCs w:val="18"/>
          <w:lang w:val="es-ES_tradnl"/>
        </w:rPr>
        <w:t xml:space="preserve"> </w:t>
      </w:r>
      <w:r>
        <w:rPr>
          <w:spacing w:val="-9"/>
          <w:sz w:val="16"/>
          <w:szCs w:val="16"/>
          <w:lang w:val="es-ES_tradnl"/>
        </w:rPr>
        <w:t>en</w:t>
      </w:r>
      <w:r>
        <w:rPr>
          <w:spacing w:val="-9"/>
          <w:sz w:val="18"/>
          <w:szCs w:val="18"/>
          <w:lang w:val="es-ES_tradnl"/>
        </w:rPr>
        <w:t xml:space="preserve"> </w:t>
      </w:r>
      <w:r>
        <w:rPr>
          <w:spacing w:val="-9"/>
          <w:sz w:val="16"/>
          <w:szCs w:val="16"/>
          <w:lang w:val="es-ES_tradnl"/>
        </w:rPr>
        <w:t>m</w:t>
      </w:r>
      <w:r>
        <w:rPr>
          <w:rFonts w:cs="Times New Roman"/>
          <w:spacing w:val="-9"/>
          <w:sz w:val="16"/>
          <w:szCs w:val="16"/>
          <w:lang w:val="es-ES_tradnl"/>
        </w:rPr>
        <w:t>é</w:t>
      </w:r>
      <w:r>
        <w:rPr>
          <w:spacing w:val="-9"/>
          <w:sz w:val="16"/>
          <w:szCs w:val="16"/>
          <w:lang w:val="es-ES_tradnl"/>
        </w:rPr>
        <w:t>rito</w:t>
      </w:r>
      <w:r>
        <w:rPr>
          <w:spacing w:val="-9"/>
          <w:sz w:val="18"/>
          <w:szCs w:val="18"/>
          <w:lang w:val="es-ES_tradnl"/>
        </w:rPr>
        <w:t xml:space="preserve"> </w:t>
      </w:r>
      <w:r>
        <w:rPr>
          <w:spacing w:val="-9"/>
          <w:sz w:val="16"/>
          <w:szCs w:val="16"/>
          <w:lang w:val="es-ES_tradnl"/>
        </w:rPr>
        <w:t>de</w:t>
      </w:r>
      <w:r>
        <w:rPr>
          <w:spacing w:val="-9"/>
          <w:sz w:val="18"/>
          <w:szCs w:val="18"/>
          <w:lang w:val="es-ES_tradnl"/>
        </w:rPr>
        <w:t xml:space="preserve"> </w:t>
      </w:r>
      <w:r>
        <w:rPr>
          <w:spacing w:val="-9"/>
          <w:sz w:val="16"/>
          <w:szCs w:val="16"/>
          <w:lang w:val="es-ES_tradnl"/>
        </w:rPr>
        <w:t>los</w:t>
      </w:r>
      <w:r>
        <w:rPr>
          <w:spacing w:val="-9"/>
          <w:sz w:val="18"/>
          <w:szCs w:val="18"/>
          <w:lang w:val="es-ES_tradnl"/>
        </w:rPr>
        <w:t xml:space="preserve"> </w:t>
      </w:r>
      <w:r>
        <w:rPr>
          <w:spacing w:val="-9"/>
          <w:sz w:val="16"/>
          <w:szCs w:val="16"/>
          <w:lang w:val="es-ES_tradnl"/>
        </w:rPr>
        <w:t>antecedentes</w:t>
      </w:r>
      <w:r>
        <w:rPr>
          <w:spacing w:val="-9"/>
          <w:sz w:val="18"/>
          <w:szCs w:val="18"/>
          <w:lang w:val="es-ES_tradnl"/>
        </w:rPr>
        <w:t xml:space="preserve"> </w:t>
      </w:r>
      <w:r>
        <w:rPr>
          <w:spacing w:val="-9"/>
          <w:sz w:val="16"/>
          <w:szCs w:val="16"/>
          <w:lang w:val="es-ES_tradnl"/>
        </w:rPr>
        <w:t>expuestos </w:t>
      </w:r>
      <w:r>
        <w:rPr>
          <w:spacing w:val="-7"/>
          <w:sz w:val="16"/>
          <w:szCs w:val="16"/>
          <w:lang w:val="es-ES_tradnl"/>
        </w:rPr>
        <w:t>y en virtud de que ha quedado demostrado que la sentencia </w:t>
      </w:r>
      <w:r>
        <w:rPr>
          <w:spacing w:val="-6"/>
          <w:sz w:val="16"/>
          <w:szCs w:val="16"/>
          <w:lang w:val="es-ES_tradnl"/>
        </w:rPr>
        <w:t>dictada el martes 31 de julio del a</w:t>
      </w:r>
      <w:r>
        <w:rPr>
          <w:rFonts w:cs="Times New Roman"/>
          <w:spacing w:val="-6"/>
          <w:sz w:val="16"/>
          <w:szCs w:val="16"/>
          <w:lang w:val="es-ES_tradnl"/>
        </w:rPr>
        <w:t>ñ</w:t>
      </w:r>
      <w:r>
        <w:rPr>
          <w:spacing w:val="-6"/>
          <w:sz w:val="16"/>
          <w:szCs w:val="16"/>
          <w:lang w:val="es-ES_tradnl"/>
        </w:rPr>
        <w:t>o 2012, en el juicio laboral </w:t>
      </w:r>
      <w:r>
        <w:rPr>
          <w:spacing w:val="-9"/>
          <w:sz w:val="16"/>
          <w:szCs w:val="16"/>
          <w:lang w:val="es-ES_tradnl"/>
        </w:rPr>
        <w:t>oral que se tramit</w:t>
      </w:r>
      <w:r>
        <w:rPr>
          <w:rFonts w:cs="Times New Roman"/>
          <w:spacing w:val="-9"/>
          <w:sz w:val="16"/>
          <w:szCs w:val="16"/>
          <w:lang w:val="es-ES_tradnl"/>
        </w:rPr>
        <w:t>ó</w:t>
      </w:r>
      <w:r>
        <w:rPr>
          <w:spacing w:val="-9"/>
          <w:sz w:val="16"/>
          <w:szCs w:val="16"/>
          <w:lang w:val="es-ES_tradnl"/>
        </w:rPr>
        <w:t xml:space="preserve"> bajo el n</w:t>
      </w:r>
      <w:r>
        <w:rPr>
          <w:rFonts w:cs="Times New Roman"/>
          <w:spacing w:val="-9"/>
          <w:sz w:val="16"/>
          <w:szCs w:val="16"/>
          <w:lang w:val="es-ES_tradnl"/>
        </w:rPr>
        <w:t>ú</w:t>
      </w:r>
      <w:r>
        <w:rPr>
          <w:spacing w:val="-9"/>
          <w:sz w:val="16"/>
          <w:szCs w:val="16"/>
          <w:lang w:val="es-ES_tradnl"/>
        </w:rPr>
        <w:t>mero 2011-0198, por el se</w:t>
      </w:r>
      <w:r>
        <w:rPr>
          <w:rFonts w:cs="Times New Roman"/>
          <w:spacing w:val="-9"/>
          <w:sz w:val="16"/>
          <w:szCs w:val="16"/>
          <w:lang w:val="es-ES_tradnl"/>
        </w:rPr>
        <w:t>ñ</w:t>
      </w:r>
      <w:r>
        <w:rPr>
          <w:spacing w:val="-9"/>
          <w:sz w:val="16"/>
          <w:szCs w:val="16"/>
          <w:lang w:val="es-ES_tradnl"/>
        </w:rPr>
        <w:t>or Juez </w:t>
      </w:r>
      <w:r>
        <w:rPr>
          <w:spacing w:val="-6"/>
          <w:sz w:val="16"/>
          <w:szCs w:val="16"/>
          <w:lang w:val="es-ES_tradnl"/>
        </w:rPr>
        <w:t>del Trabajo de Cotopaxi, ha violado y quebrantado derechos </w:t>
      </w:r>
      <w:r>
        <w:rPr>
          <w:spacing w:val="-8"/>
          <w:sz w:val="16"/>
          <w:szCs w:val="16"/>
          <w:lang w:val="es-ES_tradnl"/>
        </w:rPr>
        <w:t>constitucionales que me asisten, respetuosamente solicito que </w:t>
      </w:r>
      <w:r>
        <w:rPr>
          <w:spacing w:val="-6"/>
          <w:sz w:val="16"/>
          <w:szCs w:val="16"/>
          <w:lang w:val="es-ES_tradnl"/>
        </w:rPr>
        <w:t>la Corte Constitucional, aceptando esta acci</w:t>
      </w:r>
      <w:r>
        <w:rPr>
          <w:rFonts w:cs="Times New Roman"/>
          <w:spacing w:val="-6"/>
          <w:sz w:val="16"/>
          <w:szCs w:val="16"/>
          <w:lang w:val="es-ES_tradnl"/>
        </w:rPr>
        <w:t>ó</w:t>
      </w:r>
      <w:r>
        <w:rPr>
          <w:spacing w:val="-6"/>
          <w:sz w:val="16"/>
          <w:szCs w:val="16"/>
          <w:lang w:val="es-ES_tradnl"/>
        </w:rPr>
        <w:t>n extraordinaria de protecci</w:t>
      </w:r>
      <w:r>
        <w:rPr>
          <w:rFonts w:cs="Times New Roman"/>
          <w:spacing w:val="-6"/>
          <w:sz w:val="16"/>
          <w:szCs w:val="16"/>
          <w:lang w:val="es-ES_tradnl"/>
        </w:rPr>
        <w:t>ó</w:t>
      </w:r>
      <w:r>
        <w:rPr>
          <w:spacing w:val="-6"/>
          <w:sz w:val="16"/>
          <w:szCs w:val="16"/>
          <w:lang w:val="es-ES_tradnl"/>
        </w:rPr>
        <w:t>n, declare que se han vulnerado y violentado mis </w:t>
      </w:r>
      <w:r>
        <w:rPr>
          <w:spacing w:val="-9"/>
          <w:sz w:val="16"/>
          <w:szCs w:val="16"/>
          <w:lang w:val="es-ES_tradnl"/>
        </w:rPr>
        <w:t>derechos fundamentales y constitucionales y ordene, por tanto, </w:t>
      </w:r>
      <w:r>
        <w:rPr>
          <w:sz w:val="16"/>
          <w:szCs w:val="16"/>
          <w:lang w:val="es-ES_tradnl"/>
        </w:rPr>
        <w:t>su reparaci</w:t>
      </w:r>
      <w:r>
        <w:rPr>
          <w:rFonts w:cs="Times New Roman"/>
          <w:sz w:val="16"/>
          <w:szCs w:val="16"/>
          <w:lang w:val="es-ES_tradnl"/>
        </w:rPr>
        <w:t>ó</w:t>
      </w:r>
      <w:r>
        <w:rPr>
          <w:sz w:val="16"/>
          <w:szCs w:val="16"/>
          <w:lang w:val="es-ES_tradnl"/>
        </w:rPr>
        <w:t>n integral.</w:t>
      </w:r>
    </w:p>
    <w:p w14:paraId="4F67B6B5" w14:textId="77777777" w:rsidR="00591D54" w:rsidRDefault="00591D54">
      <w:pPr>
        <w:shd w:val="clear" w:color="auto" w:fill="FFFFFF"/>
        <w:tabs>
          <w:tab w:val="left" w:pos="610"/>
        </w:tabs>
        <w:spacing w:before="211" w:line="216" w:lineRule="exact"/>
        <w:ind w:left="283"/>
        <w:jc w:val="both"/>
      </w:pPr>
      <w:r>
        <w:rPr>
          <w:b/>
          <w:bCs/>
          <w:spacing w:val="-8"/>
          <w:sz w:val="16"/>
          <w:szCs w:val="16"/>
          <w:lang w:val="es-ES_tradnl"/>
        </w:rPr>
        <w:t>6.3.</w:t>
      </w:r>
      <w:r>
        <w:rPr>
          <w:b/>
          <w:bCs/>
          <w:sz w:val="18"/>
          <w:szCs w:val="18"/>
          <w:lang w:val="es-ES_tradnl"/>
        </w:rPr>
        <w:tab/>
      </w:r>
      <w:r>
        <w:rPr>
          <w:spacing w:val="-5"/>
          <w:sz w:val="16"/>
          <w:szCs w:val="16"/>
          <w:lang w:val="es-ES_tradnl"/>
        </w:rPr>
        <w:t>Para</w:t>
      </w:r>
      <w:r>
        <w:rPr>
          <w:spacing w:val="-5"/>
          <w:sz w:val="18"/>
          <w:szCs w:val="18"/>
          <w:lang w:val="es-ES_tradnl"/>
        </w:rPr>
        <w:t xml:space="preserve"> </w:t>
      </w:r>
      <w:r>
        <w:rPr>
          <w:spacing w:val="-5"/>
          <w:sz w:val="16"/>
          <w:szCs w:val="16"/>
          <w:lang w:val="es-ES_tradnl"/>
        </w:rPr>
        <w:t>tal</w:t>
      </w:r>
      <w:r>
        <w:rPr>
          <w:spacing w:val="-5"/>
          <w:sz w:val="18"/>
          <w:szCs w:val="18"/>
          <w:lang w:val="es-ES_tradnl"/>
        </w:rPr>
        <w:t xml:space="preserve"> </w:t>
      </w:r>
      <w:r>
        <w:rPr>
          <w:spacing w:val="-5"/>
          <w:sz w:val="16"/>
          <w:szCs w:val="16"/>
          <w:lang w:val="es-ES_tradnl"/>
        </w:rPr>
        <w:t>prop</w:t>
      </w:r>
      <w:r>
        <w:rPr>
          <w:rFonts w:cs="Times New Roman"/>
          <w:spacing w:val="-5"/>
          <w:sz w:val="16"/>
          <w:szCs w:val="16"/>
          <w:lang w:val="es-ES_tradnl"/>
        </w:rPr>
        <w:t>ó</w:t>
      </w:r>
      <w:r>
        <w:rPr>
          <w:spacing w:val="-5"/>
          <w:sz w:val="16"/>
          <w:szCs w:val="16"/>
          <w:lang w:val="es-ES_tradnl"/>
        </w:rPr>
        <w:t>sito,</w:t>
      </w:r>
      <w:r>
        <w:rPr>
          <w:spacing w:val="-5"/>
          <w:sz w:val="18"/>
          <w:szCs w:val="18"/>
          <w:lang w:val="es-ES_tradnl"/>
        </w:rPr>
        <w:t xml:space="preserve"> </w:t>
      </w:r>
      <w:r>
        <w:rPr>
          <w:spacing w:val="-5"/>
          <w:sz w:val="16"/>
          <w:szCs w:val="16"/>
          <w:lang w:val="es-ES_tradnl"/>
        </w:rPr>
        <w:t>la</w:t>
      </w:r>
      <w:r>
        <w:rPr>
          <w:spacing w:val="-5"/>
          <w:sz w:val="18"/>
          <w:szCs w:val="18"/>
          <w:lang w:val="es-ES_tradnl"/>
        </w:rPr>
        <w:t xml:space="preserve"> </w:t>
      </w:r>
      <w:r>
        <w:rPr>
          <w:spacing w:val="-5"/>
          <w:sz w:val="16"/>
          <w:szCs w:val="16"/>
          <w:lang w:val="es-ES_tradnl"/>
        </w:rPr>
        <w:t>Corte</w:t>
      </w:r>
      <w:r>
        <w:rPr>
          <w:spacing w:val="-5"/>
          <w:sz w:val="18"/>
          <w:szCs w:val="18"/>
          <w:lang w:val="es-ES_tradnl"/>
        </w:rPr>
        <w:t xml:space="preserve"> </w:t>
      </w:r>
      <w:r>
        <w:rPr>
          <w:spacing w:val="-5"/>
          <w:sz w:val="16"/>
          <w:szCs w:val="16"/>
          <w:lang w:val="es-ES_tradnl"/>
        </w:rPr>
        <w:t>Constitucional</w:t>
      </w:r>
      <w:r>
        <w:rPr>
          <w:spacing w:val="-5"/>
          <w:sz w:val="18"/>
          <w:szCs w:val="18"/>
          <w:lang w:val="es-ES_tradnl"/>
        </w:rPr>
        <w:t xml:space="preserve"> </w:t>
      </w:r>
      <w:r>
        <w:rPr>
          <w:rFonts w:cs="Times New Roman"/>
          <w:spacing w:val="-5"/>
          <w:sz w:val="16"/>
          <w:szCs w:val="16"/>
          <w:lang w:val="es-ES_tradnl"/>
        </w:rPr>
        <w:t>–</w:t>
      </w:r>
      <w:r>
        <w:rPr>
          <w:spacing w:val="-5"/>
          <w:sz w:val="16"/>
          <w:szCs w:val="16"/>
          <w:lang w:val="es-ES_tradnl"/>
        </w:rPr>
        <w:t>mediante </w:t>
      </w:r>
      <w:r>
        <w:rPr>
          <w:spacing w:val="-7"/>
          <w:sz w:val="16"/>
          <w:szCs w:val="16"/>
          <w:lang w:val="es-ES_tradnl"/>
        </w:rPr>
        <w:t>sentencia debidamente motivada- anular</w:t>
      </w:r>
      <w:r>
        <w:rPr>
          <w:rFonts w:cs="Times New Roman"/>
          <w:spacing w:val="-7"/>
          <w:sz w:val="16"/>
          <w:szCs w:val="16"/>
          <w:lang w:val="es-ES_tradnl"/>
        </w:rPr>
        <w:t>á</w:t>
      </w:r>
      <w:r>
        <w:rPr>
          <w:spacing w:val="-7"/>
          <w:sz w:val="16"/>
          <w:szCs w:val="16"/>
          <w:lang w:val="es-ES_tradnl"/>
        </w:rPr>
        <w:t xml:space="preserve"> y dejar</w:t>
      </w:r>
      <w:r>
        <w:rPr>
          <w:rFonts w:cs="Times New Roman"/>
          <w:spacing w:val="-7"/>
          <w:sz w:val="16"/>
          <w:szCs w:val="16"/>
          <w:lang w:val="es-ES_tradnl"/>
        </w:rPr>
        <w:t>á</w:t>
      </w:r>
      <w:r>
        <w:rPr>
          <w:spacing w:val="-7"/>
          <w:sz w:val="16"/>
          <w:szCs w:val="16"/>
          <w:lang w:val="es-ES_tradnl"/>
        </w:rPr>
        <w:t xml:space="preserve"> sin efecto </w:t>
      </w:r>
      <w:r>
        <w:rPr>
          <w:spacing w:val="-6"/>
          <w:sz w:val="16"/>
          <w:szCs w:val="16"/>
          <w:lang w:val="es-ES_tradnl"/>
        </w:rPr>
        <w:t>legal alguno la sentencia dictada el d</w:t>
      </w:r>
      <w:r>
        <w:rPr>
          <w:rFonts w:cs="Times New Roman"/>
          <w:spacing w:val="-6"/>
          <w:sz w:val="16"/>
          <w:szCs w:val="16"/>
          <w:lang w:val="es-ES_tradnl"/>
        </w:rPr>
        <w:t>í</w:t>
      </w:r>
      <w:r>
        <w:rPr>
          <w:spacing w:val="-6"/>
          <w:sz w:val="16"/>
          <w:szCs w:val="16"/>
          <w:lang w:val="es-ES_tradnl"/>
        </w:rPr>
        <w:t>a martes 31 de julio del a</w:t>
      </w:r>
      <w:r>
        <w:rPr>
          <w:rFonts w:cs="Times New Roman"/>
          <w:spacing w:val="-6"/>
          <w:sz w:val="16"/>
          <w:szCs w:val="16"/>
          <w:lang w:val="es-ES_tradnl"/>
        </w:rPr>
        <w:t>ñ</w:t>
      </w:r>
      <w:r>
        <w:rPr>
          <w:spacing w:val="-6"/>
          <w:sz w:val="16"/>
          <w:szCs w:val="16"/>
          <w:lang w:val="es-ES_tradnl"/>
        </w:rPr>
        <w:t>o 2012, por el Juez del Trabajo de Cotopaxi, dentro de la </w:t>
      </w:r>
      <w:r>
        <w:rPr>
          <w:spacing w:val="-8"/>
          <w:sz w:val="16"/>
          <w:szCs w:val="16"/>
          <w:lang w:val="es-ES_tradnl"/>
        </w:rPr>
        <w:t>causa 2011-0198, y dispondr</w:t>
      </w:r>
      <w:r>
        <w:rPr>
          <w:rFonts w:cs="Times New Roman"/>
          <w:spacing w:val="-8"/>
          <w:sz w:val="16"/>
          <w:szCs w:val="16"/>
          <w:lang w:val="es-ES_tradnl"/>
        </w:rPr>
        <w:t>á</w:t>
      </w:r>
      <w:r>
        <w:rPr>
          <w:spacing w:val="-8"/>
          <w:sz w:val="16"/>
          <w:szCs w:val="16"/>
          <w:lang w:val="es-ES_tradnl"/>
        </w:rPr>
        <w:t xml:space="preserve"> la nulidad de tal proceso judicial hasta antes de practicada la citaci</w:t>
      </w:r>
      <w:r>
        <w:rPr>
          <w:rFonts w:cs="Times New Roman"/>
          <w:spacing w:val="-8"/>
          <w:sz w:val="16"/>
          <w:szCs w:val="16"/>
          <w:lang w:val="es-ES_tradnl"/>
        </w:rPr>
        <w:t>ó</w:t>
      </w:r>
      <w:r>
        <w:rPr>
          <w:spacing w:val="-8"/>
          <w:sz w:val="16"/>
          <w:szCs w:val="16"/>
          <w:lang w:val="es-ES_tradnl"/>
        </w:rPr>
        <w:t>n de la demanda.</w:t>
      </w:r>
    </w:p>
    <w:p w14:paraId="4F67B6B6" w14:textId="77777777" w:rsidR="00591D54" w:rsidRDefault="00591D54">
      <w:pPr>
        <w:shd w:val="clear" w:color="auto" w:fill="FFFFFF"/>
        <w:spacing w:before="197"/>
      </w:pPr>
      <w:r>
        <w:rPr>
          <w:b/>
          <w:bCs/>
          <w:spacing w:val="-10"/>
          <w:sz w:val="18"/>
          <w:szCs w:val="18"/>
          <w:lang w:val="es-ES_tradnl"/>
        </w:rPr>
        <w:t>Contestaci</w:t>
      </w:r>
      <w:r>
        <w:rPr>
          <w:rFonts w:cs="Times New Roman"/>
          <w:b/>
          <w:bCs/>
          <w:spacing w:val="-10"/>
          <w:sz w:val="18"/>
          <w:szCs w:val="18"/>
          <w:lang w:val="es-ES_tradnl"/>
        </w:rPr>
        <w:t>ó</w:t>
      </w:r>
      <w:r>
        <w:rPr>
          <w:b/>
          <w:bCs/>
          <w:spacing w:val="-10"/>
          <w:sz w:val="18"/>
          <w:szCs w:val="18"/>
          <w:lang w:val="es-ES_tradnl"/>
        </w:rPr>
        <w:t>n de la demanda</w:t>
      </w:r>
    </w:p>
    <w:p w14:paraId="4F67B6B7" w14:textId="77777777" w:rsidR="00591D54" w:rsidRDefault="00591D54">
      <w:pPr>
        <w:shd w:val="clear" w:color="auto" w:fill="FFFFFF"/>
        <w:spacing w:before="197" w:line="216" w:lineRule="exact"/>
        <w:jc w:val="both"/>
      </w:pPr>
      <w:r>
        <w:rPr>
          <w:spacing w:val="-7"/>
          <w:sz w:val="18"/>
          <w:szCs w:val="18"/>
          <w:lang w:val="es-ES_tradnl"/>
        </w:rPr>
        <w:t>El doctor Edison Marcelo J</w:t>
      </w:r>
      <w:r>
        <w:rPr>
          <w:rFonts w:cs="Times New Roman"/>
          <w:spacing w:val="-7"/>
          <w:sz w:val="18"/>
          <w:szCs w:val="18"/>
          <w:lang w:val="es-ES_tradnl"/>
        </w:rPr>
        <w:t>á</w:t>
      </w:r>
      <w:r>
        <w:rPr>
          <w:spacing w:val="-7"/>
          <w:sz w:val="18"/>
          <w:szCs w:val="18"/>
          <w:lang w:val="es-ES_tradnl"/>
        </w:rPr>
        <w:t xml:space="preserve">come Freire, actual juez de la </w:t>
      </w:r>
      <w:r>
        <w:rPr>
          <w:spacing w:val="-8"/>
          <w:sz w:val="18"/>
          <w:szCs w:val="18"/>
          <w:lang w:val="es-ES_tradnl"/>
        </w:rPr>
        <w:t xml:space="preserve">Unidad Judicial del Trabajo con sede en Latacunga (antes Juzgado del Trabajo de Cotopaxi), presenta su informe de </w:t>
      </w:r>
      <w:r>
        <w:rPr>
          <w:sz w:val="18"/>
          <w:szCs w:val="18"/>
          <w:lang w:val="es-ES_tradnl"/>
        </w:rPr>
        <w:t>descargo en los siguientes t</w:t>
      </w:r>
      <w:r>
        <w:rPr>
          <w:rFonts w:cs="Times New Roman"/>
          <w:sz w:val="18"/>
          <w:szCs w:val="18"/>
          <w:lang w:val="es-ES_tradnl"/>
        </w:rPr>
        <w:t>é</w:t>
      </w:r>
      <w:r>
        <w:rPr>
          <w:sz w:val="18"/>
          <w:szCs w:val="18"/>
          <w:lang w:val="es-ES_tradnl"/>
        </w:rPr>
        <w:t>rminos:</w:t>
      </w:r>
    </w:p>
    <w:p w14:paraId="4F67B6B8" w14:textId="77777777" w:rsidR="00591D54" w:rsidRDefault="00591D54">
      <w:pPr>
        <w:shd w:val="clear" w:color="auto" w:fill="FFFFFF"/>
        <w:spacing w:before="197" w:line="216" w:lineRule="exact"/>
        <w:jc w:val="both"/>
      </w:pPr>
      <w:r>
        <w:rPr>
          <w:spacing w:val="-5"/>
          <w:sz w:val="18"/>
          <w:szCs w:val="18"/>
          <w:lang w:val="es-ES_tradnl"/>
        </w:rPr>
        <w:t xml:space="preserve">Que el Juzgado del Trabajo de la ciudad de Latacunga, </w:t>
      </w:r>
      <w:r>
        <w:rPr>
          <w:spacing w:val="-6"/>
          <w:sz w:val="18"/>
          <w:szCs w:val="18"/>
          <w:lang w:val="es-ES_tradnl"/>
        </w:rPr>
        <w:t xml:space="preserve">hoy Unidad Judicial del Trabajo con sede en Latacunga, </w:t>
      </w:r>
      <w:r>
        <w:rPr>
          <w:spacing w:val="-4"/>
          <w:sz w:val="18"/>
          <w:szCs w:val="18"/>
          <w:lang w:val="es-ES_tradnl"/>
        </w:rPr>
        <w:t>tiene jurisdicci</w:t>
      </w:r>
      <w:r>
        <w:rPr>
          <w:rFonts w:cs="Times New Roman"/>
          <w:spacing w:val="-4"/>
          <w:sz w:val="18"/>
          <w:szCs w:val="18"/>
          <w:lang w:val="es-ES_tradnl"/>
        </w:rPr>
        <w:t>ó</w:t>
      </w:r>
      <w:r>
        <w:rPr>
          <w:spacing w:val="-4"/>
          <w:sz w:val="18"/>
          <w:szCs w:val="18"/>
          <w:lang w:val="es-ES_tradnl"/>
        </w:rPr>
        <w:t xml:space="preserve">n distrital, esto es, dentro de la provincia </w:t>
      </w:r>
      <w:r>
        <w:rPr>
          <w:spacing w:val="-6"/>
          <w:sz w:val="18"/>
          <w:szCs w:val="18"/>
          <w:lang w:val="es-ES_tradnl"/>
        </w:rPr>
        <w:t>de Cotopaxi, seg</w:t>
      </w:r>
      <w:r>
        <w:rPr>
          <w:rFonts w:cs="Times New Roman"/>
          <w:spacing w:val="-6"/>
          <w:sz w:val="18"/>
          <w:szCs w:val="18"/>
          <w:lang w:val="es-ES_tradnl"/>
        </w:rPr>
        <w:t>ú</w:t>
      </w:r>
      <w:r>
        <w:rPr>
          <w:spacing w:val="-6"/>
          <w:sz w:val="18"/>
          <w:szCs w:val="18"/>
          <w:lang w:val="es-ES_tradnl"/>
        </w:rPr>
        <w:t>n lo dispone el art</w:t>
      </w:r>
      <w:r>
        <w:rPr>
          <w:rFonts w:cs="Times New Roman"/>
          <w:spacing w:val="-6"/>
          <w:sz w:val="18"/>
          <w:szCs w:val="18"/>
          <w:lang w:val="es-ES_tradnl"/>
        </w:rPr>
        <w:t>í</w:t>
      </w:r>
      <w:r>
        <w:rPr>
          <w:spacing w:val="-6"/>
          <w:sz w:val="18"/>
          <w:szCs w:val="18"/>
          <w:lang w:val="es-ES_tradnl"/>
        </w:rPr>
        <w:t>culo 568 del C</w:t>
      </w:r>
      <w:r>
        <w:rPr>
          <w:rFonts w:cs="Times New Roman"/>
          <w:spacing w:val="-6"/>
          <w:sz w:val="18"/>
          <w:szCs w:val="18"/>
          <w:lang w:val="es-ES_tradnl"/>
        </w:rPr>
        <w:t>ó</w:t>
      </w:r>
      <w:r>
        <w:rPr>
          <w:spacing w:val="-6"/>
          <w:sz w:val="18"/>
          <w:szCs w:val="18"/>
          <w:lang w:val="es-ES_tradnl"/>
        </w:rPr>
        <w:t xml:space="preserve">digo </w:t>
      </w:r>
      <w:r>
        <w:rPr>
          <w:spacing w:val="-5"/>
          <w:sz w:val="18"/>
          <w:szCs w:val="18"/>
          <w:lang w:val="es-ES_tradnl"/>
        </w:rPr>
        <w:t>del Trabajo y el art</w:t>
      </w:r>
      <w:r>
        <w:rPr>
          <w:rFonts w:cs="Times New Roman"/>
          <w:spacing w:val="-5"/>
          <w:sz w:val="18"/>
          <w:szCs w:val="18"/>
          <w:lang w:val="es-ES_tradnl"/>
        </w:rPr>
        <w:t>í</w:t>
      </w:r>
      <w:r>
        <w:rPr>
          <w:spacing w:val="-5"/>
          <w:sz w:val="18"/>
          <w:szCs w:val="18"/>
          <w:lang w:val="es-ES_tradnl"/>
        </w:rPr>
        <w:t>culo 237 del C</w:t>
      </w:r>
      <w:r>
        <w:rPr>
          <w:rFonts w:cs="Times New Roman"/>
          <w:spacing w:val="-5"/>
          <w:sz w:val="18"/>
          <w:szCs w:val="18"/>
          <w:lang w:val="es-ES_tradnl"/>
        </w:rPr>
        <w:t>ó</w:t>
      </w:r>
      <w:r>
        <w:rPr>
          <w:spacing w:val="-5"/>
          <w:sz w:val="18"/>
          <w:szCs w:val="18"/>
          <w:lang w:val="es-ES_tradnl"/>
        </w:rPr>
        <w:t>digo Org</w:t>
      </w:r>
      <w:r>
        <w:rPr>
          <w:rFonts w:cs="Times New Roman"/>
          <w:spacing w:val="-5"/>
          <w:sz w:val="18"/>
          <w:szCs w:val="18"/>
          <w:lang w:val="es-ES_tradnl"/>
        </w:rPr>
        <w:t>á</w:t>
      </w:r>
      <w:r>
        <w:rPr>
          <w:spacing w:val="-5"/>
          <w:sz w:val="18"/>
          <w:szCs w:val="18"/>
          <w:lang w:val="es-ES_tradnl"/>
        </w:rPr>
        <w:t xml:space="preserve">nico de la </w:t>
      </w:r>
      <w:r>
        <w:rPr>
          <w:spacing w:val="-8"/>
          <w:sz w:val="18"/>
          <w:szCs w:val="18"/>
          <w:lang w:val="es-ES_tradnl"/>
        </w:rPr>
        <w:t>Funci</w:t>
      </w:r>
      <w:r>
        <w:rPr>
          <w:rFonts w:cs="Times New Roman"/>
          <w:spacing w:val="-8"/>
          <w:sz w:val="18"/>
          <w:szCs w:val="18"/>
          <w:lang w:val="es-ES_tradnl"/>
        </w:rPr>
        <w:t>ó</w:t>
      </w:r>
      <w:r>
        <w:rPr>
          <w:spacing w:val="-8"/>
          <w:sz w:val="18"/>
          <w:szCs w:val="18"/>
          <w:lang w:val="es-ES_tradnl"/>
        </w:rPr>
        <w:t xml:space="preserve">n Judicial; es decir que los jueces del trabajo ejercen </w:t>
      </w:r>
      <w:r>
        <w:rPr>
          <w:spacing w:val="-3"/>
          <w:sz w:val="18"/>
          <w:szCs w:val="18"/>
          <w:lang w:val="es-ES_tradnl"/>
        </w:rPr>
        <w:t>jurisdicci</w:t>
      </w:r>
      <w:r>
        <w:rPr>
          <w:rFonts w:cs="Times New Roman"/>
          <w:spacing w:val="-3"/>
          <w:sz w:val="18"/>
          <w:szCs w:val="18"/>
          <w:lang w:val="es-ES_tradnl"/>
        </w:rPr>
        <w:t>ó</w:t>
      </w:r>
      <w:r>
        <w:rPr>
          <w:spacing w:val="-3"/>
          <w:sz w:val="18"/>
          <w:szCs w:val="18"/>
          <w:lang w:val="es-ES_tradnl"/>
        </w:rPr>
        <w:t>n provincial, como tambi</w:t>
      </w:r>
      <w:r>
        <w:rPr>
          <w:rFonts w:cs="Times New Roman"/>
          <w:spacing w:val="-3"/>
          <w:sz w:val="18"/>
          <w:szCs w:val="18"/>
          <w:lang w:val="es-ES_tradnl"/>
        </w:rPr>
        <w:t>é</w:t>
      </w:r>
      <w:r>
        <w:rPr>
          <w:spacing w:val="-3"/>
          <w:sz w:val="18"/>
          <w:szCs w:val="18"/>
          <w:lang w:val="es-ES_tradnl"/>
        </w:rPr>
        <w:t xml:space="preserve">n lo ha manifestado </w:t>
      </w:r>
      <w:r>
        <w:rPr>
          <w:spacing w:val="-5"/>
          <w:sz w:val="18"/>
          <w:szCs w:val="18"/>
          <w:lang w:val="es-ES_tradnl"/>
        </w:rPr>
        <w:t xml:space="preserve">la Sala de lo Civil de la Corte Provincial de Justicia de </w:t>
      </w:r>
      <w:r>
        <w:rPr>
          <w:sz w:val="18"/>
          <w:szCs w:val="18"/>
          <w:lang w:val="es-ES_tradnl"/>
        </w:rPr>
        <w:t>Cotopaxi.</w:t>
      </w:r>
    </w:p>
    <w:p w14:paraId="4F67B6B9" w14:textId="77777777" w:rsidR="00591D54" w:rsidRDefault="00591D54">
      <w:pPr>
        <w:shd w:val="clear" w:color="auto" w:fill="FFFFFF"/>
        <w:spacing w:before="197" w:line="216" w:lineRule="exact"/>
        <w:jc w:val="both"/>
      </w:pPr>
      <w:r>
        <w:rPr>
          <w:spacing w:val="-7"/>
          <w:sz w:val="18"/>
          <w:szCs w:val="18"/>
          <w:lang w:val="es-ES_tradnl"/>
        </w:rPr>
        <w:t>Que el accionante de la presente acci</w:t>
      </w:r>
      <w:r>
        <w:rPr>
          <w:rFonts w:cs="Times New Roman"/>
          <w:spacing w:val="-7"/>
          <w:sz w:val="18"/>
          <w:szCs w:val="18"/>
          <w:lang w:val="es-ES_tradnl"/>
        </w:rPr>
        <w:t>ó</w:t>
      </w:r>
      <w:r>
        <w:rPr>
          <w:spacing w:val="-7"/>
          <w:sz w:val="18"/>
          <w:szCs w:val="18"/>
          <w:lang w:val="es-ES_tradnl"/>
        </w:rPr>
        <w:t xml:space="preserve">n extraordinaria de </w:t>
      </w:r>
      <w:r>
        <w:rPr>
          <w:spacing w:val="-6"/>
          <w:sz w:val="18"/>
          <w:szCs w:val="18"/>
          <w:lang w:val="es-ES_tradnl"/>
        </w:rPr>
        <w:t>protecci</w:t>
      </w:r>
      <w:r>
        <w:rPr>
          <w:rFonts w:cs="Times New Roman"/>
          <w:spacing w:val="-6"/>
          <w:sz w:val="18"/>
          <w:szCs w:val="18"/>
          <w:lang w:val="es-ES_tradnl"/>
        </w:rPr>
        <w:t>ó</w:t>
      </w:r>
      <w:r>
        <w:rPr>
          <w:spacing w:val="-6"/>
          <w:sz w:val="18"/>
          <w:szCs w:val="18"/>
          <w:lang w:val="es-ES_tradnl"/>
        </w:rPr>
        <w:t>n fue demandado en veintitr</w:t>
      </w:r>
      <w:r>
        <w:rPr>
          <w:rFonts w:cs="Times New Roman"/>
          <w:spacing w:val="-6"/>
          <w:sz w:val="18"/>
          <w:szCs w:val="18"/>
          <w:lang w:val="es-ES_tradnl"/>
        </w:rPr>
        <w:t>é</w:t>
      </w:r>
      <w:r>
        <w:rPr>
          <w:spacing w:val="-6"/>
          <w:sz w:val="18"/>
          <w:szCs w:val="18"/>
          <w:lang w:val="es-ES_tradnl"/>
        </w:rPr>
        <w:t>s causas laborales;</w:t>
      </w:r>
    </w:p>
    <w:p w14:paraId="4F67B6BA" w14:textId="77777777" w:rsidR="00591D54" w:rsidRDefault="00591D54">
      <w:pPr>
        <w:shd w:val="clear" w:color="auto" w:fill="FFFFFF"/>
        <w:spacing w:before="197" w:line="216" w:lineRule="exact"/>
        <w:jc w:val="both"/>
        <w:sectPr w:rsidR="00591D54" w:rsidSect="00171846">
          <w:type w:val="continuous"/>
          <w:pgSz w:w="11909" w:h="16834"/>
          <w:pgMar w:top="1397" w:right="852" w:bottom="360" w:left="1134" w:header="720" w:footer="720" w:gutter="0"/>
          <w:cols w:num="2" w:space="720" w:equalWidth="0">
            <w:col w:w="4479" w:space="682"/>
            <w:col w:w="4762"/>
          </w:cols>
          <w:noEndnote/>
        </w:sectPr>
      </w:pPr>
    </w:p>
    <w:p w14:paraId="4F67B6BB" w14:textId="77777777" w:rsidR="00591D54" w:rsidRDefault="00591D54">
      <w:pPr>
        <w:shd w:val="clear" w:color="auto" w:fill="FFFFFF"/>
        <w:tabs>
          <w:tab w:val="left" w:pos="4814"/>
        </w:tabs>
        <w:spacing w:after="235"/>
        <w:ind w:left="5"/>
      </w:pPr>
      <w:r>
        <w:rPr>
          <w:b/>
          <w:bCs/>
          <w:sz w:val="18"/>
          <w:szCs w:val="18"/>
          <w:lang w:val="es-ES_tradnl"/>
        </w:rPr>
        <w:t xml:space="preserve">234 -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6BC" w14:textId="77777777" w:rsidR="00591D54" w:rsidRDefault="00591D54">
      <w:pPr>
        <w:shd w:val="clear" w:color="auto" w:fill="FFFFFF"/>
        <w:tabs>
          <w:tab w:val="left" w:pos="4814"/>
        </w:tabs>
        <w:spacing w:after="235"/>
        <w:ind w:left="5"/>
        <w:sectPr w:rsidR="00591D54">
          <w:pgSz w:w="11909" w:h="16834"/>
          <w:pgMar w:top="1380" w:right="1304" w:bottom="360" w:left="1308" w:header="720" w:footer="720" w:gutter="0"/>
          <w:cols w:space="60"/>
          <w:noEndnote/>
        </w:sectPr>
      </w:pPr>
    </w:p>
    <w:p w14:paraId="4F67B6BD" w14:textId="77777777" w:rsidR="00591D54" w:rsidRDefault="00591D54">
      <w:pPr>
        <w:shd w:val="clear" w:color="auto" w:fill="FFFFFF"/>
        <w:spacing w:line="216" w:lineRule="exact"/>
        <w:jc w:val="both"/>
      </w:pPr>
      <w:r>
        <w:rPr>
          <w:spacing w:val="-8"/>
          <w:sz w:val="18"/>
          <w:szCs w:val="18"/>
          <w:lang w:val="es-ES_tradnl"/>
        </w:rPr>
        <w:t>en la presente causa signada anteriormente con el N.</w:t>
      </w:r>
      <w:r>
        <w:rPr>
          <w:rFonts w:cs="Times New Roman"/>
          <w:spacing w:val="-8"/>
          <w:sz w:val="18"/>
          <w:szCs w:val="18"/>
          <w:lang w:val="es-ES_tradnl"/>
        </w:rPr>
        <w:t xml:space="preserve">º </w:t>
      </w:r>
      <w:r>
        <w:rPr>
          <w:spacing w:val="-7"/>
          <w:sz w:val="18"/>
          <w:szCs w:val="18"/>
          <w:lang w:val="es-ES_tradnl"/>
        </w:rPr>
        <w:t>0198/2011, causa resorteada actual N.</w:t>
      </w:r>
      <w:r>
        <w:rPr>
          <w:rFonts w:cs="Times New Roman"/>
          <w:spacing w:val="-7"/>
          <w:sz w:val="18"/>
          <w:szCs w:val="18"/>
          <w:lang w:val="es-ES_tradnl"/>
        </w:rPr>
        <w:t>º</w:t>
      </w:r>
      <w:r>
        <w:rPr>
          <w:spacing w:val="-7"/>
          <w:sz w:val="18"/>
          <w:szCs w:val="18"/>
          <w:lang w:val="es-ES_tradnl"/>
        </w:rPr>
        <w:t xml:space="preserve"> 0380/2013, no </w:t>
      </w:r>
      <w:r>
        <w:rPr>
          <w:spacing w:val="-9"/>
          <w:sz w:val="18"/>
          <w:szCs w:val="18"/>
          <w:lang w:val="es-ES_tradnl"/>
        </w:rPr>
        <w:t>compareci</w:t>
      </w:r>
      <w:r>
        <w:rPr>
          <w:rFonts w:cs="Times New Roman"/>
          <w:spacing w:val="-9"/>
          <w:sz w:val="18"/>
          <w:szCs w:val="18"/>
          <w:lang w:val="es-ES_tradnl"/>
        </w:rPr>
        <w:t>ó</w:t>
      </w:r>
      <w:r>
        <w:rPr>
          <w:spacing w:val="-9"/>
          <w:sz w:val="18"/>
          <w:szCs w:val="18"/>
          <w:lang w:val="es-ES_tradnl"/>
        </w:rPr>
        <w:t xml:space="preserve"> el demandado, tramit</w:t>
      </w:r>
      <w:r>
        <w:rPr>
          <w:rFonts w:cs="Times New Roman"/>
          <w:spacing w:val="-9"/>
          <w:sz w:val="18"/>
          <w:szCs w:val="18"/>
          <w:lang w:val="es-ES_tradnl"/>
        </w:rPr>
        <w:t>á</w:t>
      </w:r>
      <w:r>
        <w:rPr>
          <w:spacing w:val="-9"/>
          <w:sz w:val="18"/>
          <w:szCs w:val="18"/>
          <w:lang w:val="es-ES_tradnl"/>
        </w:rPr>
        <w:t xml:space="preserve">ndose dicho proceso en </w:t>
      </w:r>
      <w:r>
        <w:rPr>
          <w:spacing w:val="-10"/>
          <w:sz w:val="18"/>
          <w:szCs w:val="18"/>
          <w:lang w:val="es-ES_tradnl"/>
        </w:rPr>
        <w:t>rebeld</w:t>
      </w:r>
      <w:r>
        <w:rPr>
          <w:rFonts w:cs="Times New Roman"/>
          <w:spacing w:val="-10"/>
          <w:sz w:val="18"/>
          <w:szCs w:val="18"/>
          <w:lang w:val="es-ES_tradnl"/>
        </w:rPr>
        <w:t>í</w:t>
      </w:r>
      <w:r>
        <w:rPr>
          <w:spacing w:val="-10"/>
          <w:sz w:val="18"/>
          <w:szCs w:val="18"/>
          <w:lang w:val="es-ES_tradnl"/>
        </w:rPr>
        <w:t>a y terminando en sentencia que acepta parcialmente la demanda. Adem</w:t>
      </w:r>
      <w:r>
        <w:rPr>
          <w:rFonts w:cs="Times New Roman"/>
          <w:spacing w:val="-10"/>
          <w:sz w:val="18"/>
          <w:szCs w:val="18"/>
          <w:lang w:val="es-ES_tradnl"/>
        </w:rPr>
        <w:t>á</w:t>
      </w:r>
      <w:r>
        <w:rPr>
          <w:spacing w:val="-10"/>
          <w:sz w:val="18"/>
          <w:szCs w:val="18"/>
          <w:lang w:val="es-ES_tradnl"/>
        </w:rPr>
        <w:t>s, agrega que de los veintitr</w:t>
      </w:r>
      <w:r>
        <w:rPr>
          <w:rFonts w:cs="Times New Roman"/>
          <w:spacing w:val="-10"/>
          <w:sz w:val="18"/>
          <w:szCs w:val="18"/>
          <w:lang w:val="es-ES_tradnl"/>
        </w:rPr>
        <w:t>é</w:t>
      </w:r>
      <w:r>
        <w:rPr>
          <w:spacing w:val="-10"/>
          <w:sz w:val="18"/>
          <w:szCs w:val="18"/>
          <w:lang w:val="es-ES_tradnl"/>
        </w:rPr>
        <w:t xml:space="preserve">s procesos </w:t>
      </w:r>
      <w:r>
        <w:rPr>
          <w:spacing w:val="-11"/>
          <w:sz w:val="18"/>
          <w:szCs w:val="18"/>
          <w:lang w:val="es-ES_tradnl"/>
        </w:rPr>
        <w:t xml:space="preserve">laborales que se han presentado en esa judicatura, en cuatro </w:t>
      </w:r>
      <w:r>
        <w:rPr>
          <w:spacing w:val="-7"/>
          <w:sz w:val="18"/>
          <w:szCs w:val="18"/>
          <w:lang w:val="es-ES_tradnl"/>
        </w:rPr>
        <w:t>de ellos se dict</w:t>
      </w:r>
      <w:r>
        <w:rPr>
          <w:rFonts w:cs="Times New Roman"/>
          <w:spacing w:val="-7"/>
          <w:sz w:val="18"/>
          <w:szCs w:val="18"/>
          <w:lang w:val="es-ES_tradnl"/>
        </w:rPr>
        <w:t>ó</w:t>
      </w:r>
      <w:r>
        <w:rPr>
          <w:spacing w:val="-7"/>
          <w:sz w:val="18"/>
          <w:szCs w:val="18"/>
          <w:lang w:val="es-ES_tradnl"/>
        </w:rPr>
        <w:t xml:space="preserve"> auto de nulidad, siendo tres los que se </w:t>
      </w:r>
      <w:r>
        <w:rPr>
          <w:spacing w:val="-6"/>
          <w:sz w:val="18"/>
          <w:szCs w:val="18"/>
          <w:lang w:val="es-ES_tradnl"/>
        </w:rPr>
        <w:t>ejecutoriaron, por cuanto la parte actora apel</w:t>
      </w:r>
      <w:r>
        <w:rPr>
          <w:rFonts w:cs="Times New Roman"/>
          <w:spacing w:val="-6"/>
          <w:sz w:val="18"/>
          <w:szCs w:val="18"/>
          <w:lang w:val="es-ES_tradnl"/>
        </w:rPr>
        <w:t>ó</w:t>
      </w:r>
      <w:r>
        <w:rPr>
          <w:spacing w:val="-6"/>
          <w:sz w:val="18"/>
          <w:szCs w:val="18"/>
          <w:lang w:val="es-ES_tradnl"/>
        </w:rPr>
        <w:t xml:space="preserve"> fuera del </w:t>
      </w:r>
      <w:r>
        <w:rPr>
          <w:sz w:val="18"/>
          <w:szCs w:val="18"/>
          <w:lang w:val="es-ES_tradnl"/>
        </w:rPr>
        <w:t>t</w:t>
      </w:r>
      <w:r>
        <w:rPr>
          <w:rFonts w:cs="Times New Roman"/>
          <w:sz w:val="18"/>
          <w:szCs w:val="18"/>
          <w:lang w:val="es-ES_tradnl"/>
        </w:rPr>
        <w:t>é</w:t>
      </w:r>
      <w:r>
        <w:rPr>
          <w:sz w:val="18"/>
          <w:szCs w:val="18"/>
          <w:lang w:val="es-ES_tradnl"/>
        </w:rPr>
        <w:t>rmino legal.</w:t>
      </w:r>
    </w:p>
    <w:p w14:paraId="4F67B6BE" w14:textId="77777777" w:rsidR="00591D54" w:rsidRDefault="00591D54">
      <w:pPr>
        <w:shd w:val="clear" w:color="auto" w:fill="FFFFFF"/>
        <w:spacing w:before="197" w:line="216" w:lineRule="exact"/>
        <w:jc w:val="both"/>
      </w:pPr>
      <w:r>
        <w:rPr>
          <w:spacing w:val="-7"/>
          <w:sz w:val="18"/>
          <w:szCs w:val="18"/>
          <w:lang w:val="es-ES_tradnl"/>
        </w:rPr>
        <w:t>Adem</w:t>
      </w:r>
      <w:r>
        <w:rPr>
          <w:rFonts w:cs="Times New Roman"/>
          <w:spacing w:val="-7"/>
          <w:sz w:val="18"/>
          <w:szCs w:val="18"/>
          <w:lang w:val="es-ES_tradnl"/>
        </w:rPr>
        <w:t>á</w:t>
      </w:r>
      <w:r>
        <w:rPr>
          <w:spacing w:val="-7"/>
          <w:sz w:val="18"/>
          <w:szCs w:val="18"/>
          <w:lang w:val="es-ES_tradnl"/>
        </w:rPr>
        <w:t xml:space="preserve">s, indica que el accionante, de manera deliberada, </w:t>
      </w:r>
      <w:r>
        <w:rPr>
          <w:spacing w:val="-8"/>
          <w:sz w:val="18"/>
          <w:szCs w:val="18"/>
          <w:lang w:val="es-ES_tradnl"/>
        </w:rPr>
        <w:t>omiti</w:t>
      </w:r>
      <w:r>
        <w:rPr>
          <w:rFonts w:cs="Times New Roman"/>
          <w:spacing w:val="-8"/>
          <w:sz w:val="18"/>
          <w:szCs w:val="18"/>
          <w:lang w:val="es-ES_tradnl"/>
        </w:rPr>
        <w:t>ó</w:t>
      </w:r>
      <w:r>
        <w:rPr>
          <w:spacing w:val="-8"/>
          <w:sz w:val="18"/>
          <w:szCs w:val="18"/>
          <w:lang w:val="es-ES_tradnl"/>
        </w:rPr>
        <w:t xml:space="preserve"> se</w:t>
      </w:r>
      <w:r>
        <w:rPr>
          <w:rFonts w:cs="Times New Roman"/>
          <w:spacing w:val="-8"/>
          <w:sz w:val="18"/>
          <w:szCs w:val="18"/>
          <w:lang w:val="es-ES_tradnl"/>
        </w:rPr>
        <w:t>ñ</w:t>
      </w:r>
      <w:r>
        <w:rPr>
          <w:spacing w:val="-8"/>
          <w:sz w:val="18"/>
          <w:szCs w:val="18"/>
          <w:lang w:val="es-ES_tradnl"/>
        </w:rPr>
        <w:t>alar en su demanda de acci</w:t>
      </w:r>
      <w:r>
        <w:rPr>
          <w:rFonts w:cs="Times New Roman"/>
          <w:spacing w:val="-8"/>
          <w:sz w:val="18"/>
          <w:szCs w:val="18"/>
          <w:lang w:val="es-ES_tradnl"/>
        </w:rPr>
        <w:t>ó</w:t>
      </w:r>
      <w:r>
        <w:rPr>
          <w:spacing w:val="-8"/>
          <w:sz w:val="18"/>
          <w:szCs w:val="18"/>
          <w:lang w:val="es-ES_tradnl"/>
        </w:rPr>
        <w:t xml:space="preserve">n extraordinaria de </w:t>
      </w:r>
      <w:r>
        <w:rPr>
          <w:spacing w:val="-9"/>
          <w:sz w:val="18"/>
          <w:szCs w:val="18"/>
          <w:lang w:val="es-ES_tradnl"/>
        </w:rPr>
        <w:t>protecci</w:t>
      </w:r>
      <w:r>
        <w:rPr>
          <w:rFonts w:cs="Times New Roman"/>
          <w:spacing w:val="-9"/>
          <w:sz w:val="18"/>
          <w:szCs w:val="18"/>
          <w:lang w:val="es-ES_tradnl"/>
        </w:rPr>
        <w:t>ó</w:t>
      </w:r>
      <w:r>
        <w:rPr>
          <w:spacing w:val="-9"/>
          <w:sz w:val="18"/>
          <w:szCs w:val="18"/>
          <w:lang w:val="es-ES_tradnl"/>
        </w:rPr>
        <w:t xml:space="preserve">n que el proceso donde hay pronunciamiento de la </w:t>
      </w:r>
      <w:r>
        <w:rPr>
          <w:spacing w:val="-7"/>
          <w:sz w:val="18"/>
          <w:szCs w:val="18"/>
          <w:lang w:val="es-ES_tradnl"/>
        </w:rPr>
        <w:t xml:space="preserve">Corte Provincial de Justicia de Cotopaxi se revoca el auto </w:t>
      </w:r>
      <w:r>
        <w:rPr>
          <w:spacing w:val="-6"/>
          <w:sz w:val="18"/>
          <w:szCs w:val="18"/>
          <w:lang w:val="es-ES_tradnl"/>
        </w:rPr>
        <w:t>de nulidad dictado en la instancia inferior.</w:t>
      </w:r>
    </w:p>
    <w:p w14:paraId="4F67B6BF" w14:textId="77777777" w:rsidR="00591D54" w:rsidRDefault="00591D54">
      <w:pPr>
        <w:shd w:val="clear" w:color="auto" w:fill="FFFFFF"/>
        <w:spacing w:before="197" w:line="216" w:lineRule="exact"/>
        <w:ind w:right="5"/>
        <w:jc w:val="both"/>
      </w:pPr>
      <w:r>
        <w:rPr>
          <w:spacing w:val="-6"/>
          <w:sz w:val="18"/>
          <w:szCs w:val="18"/>
          <w:lang w:val="es-ES_tradnl"/>
        </w:rPr>
        <w:t>Agrega tambi</w:t>
      </w:r>
      <w:r>
        <w:rPr>
          <w:rFonts w:cs="Times New Roman"/>
          <w:spacing w:val="-6"/>
          <w:sz w:val="18"/>
          <w:szCs w:val="18"/>
          <w:lang w:val="es-ES_tradnl"/>
        </w:rPr>
        <w:t>é</w:t>
      </w:r>
      <w:r>
        <w:rPr>
          <w:spacing w:val="-6"/>
          <w:sz w:val="18"/>
          <w:szCs w:val="18"/>
          <w:lang w:val="es-ES_tradnl"/>
        </w:rPr>
        <w:t>n que el accionante ha pretendido se</w:t>
      </w:r>
      <w:r>
        <w:rPr>
          <w:rFonts w:cs="Times New Roman"/>
          <w:spacing w:val="-6"/>
          <w:sz w:val="18"/>
          <w:szCs w:val="18"/>
          <w:lang w:val="es-ES_tradnl"/>
        </w:rPr>
        <w:t>ñ</w:t>
      </w:r>
      <w:r>
        <w:rPr>
          <w:spacing w:val="-6"/>
          <w:sz w:val="18"/>
          <w:szCs w:val="18"/>
          <w:lang w:val="es-ES_tradnl"/>
        </w:rPr>
        <w:t xml:space="preserve">alar </w:t>
      </w:r>
      <w:r>
        <w:rPr>
          <w:spacing w:val="-2"/>
          <w:sz w:val="18"/>
          <w:szCs w:val="18"/>
          <w:lang w:val="es-ES_tradnl"/>
        </w:rPr>
        <w:t xml:space="preserve">que el juzgador, en sus fallos dictados, ha tenido un </w:t>
      </w:r>
      <w:r>
        <w:rPr>
          <w:spacing w:val="-6"/>
          <w:sz w:val="18"/>
          <w:szCs w:val="18"/>
          <w:lang w:val="es-ES_tradnl"/>
        </w:rPr>
        <w:t xml:space="preserve">criterio cambiante y contradictorio en uno y otro caso; en </w:t>
      </w:r>
      <w:r>
        <w:rPr>
          <w:spacing w:val="-7"/>
          <w:sz w:val="18"/>
          <w:szCs w:val="18"/>
          <w:lang w:val="es-ES_tradnl"/>
        </w:rPr>
        <w:t>este sentido, manifiesta que no hay nada m</w:t>
      </w:r>
      <w:r>
        <w:rPr>
          <w:rFonts w:cs="Times New Roman"/>
          <w:spacing w:val="-7"/>
          <w:sz w:val="18"/>
          <w:szCs w:val="18"/>
          <w:lang w:val="es-ES_tradnl"/>
        </w:rPr>
        <w:t>á</w:t>
      </w:r>
      <w:r>
        <w:rPr>
          <w:spacing w:val="-7"/>
          <w:sz w:val="18"/>
          <w:szCs w:val="18"/>
          <w:lang w:val="es-ES_tradnl"/>
        </w:rPr>
        <w:t xml:space="preserve">s alejado de </w:t>
      </w:r>
      <w:r>
        <w:rPr>
          <w:spacing w:val="-5"/>
          <w:sz w:val="18"/>
          <w:szCs w:val="18"/>
          <w:lang w:val="es-ES_tradnl"/>
        </w:rPr>
        <w:t xml:space="preserve">la verdad y que </w:t>
      </w:r>
      <w:r>
        <w:rPr>
          <w:rFonts w:cs="Times New Roman"/>
          <w:spacing w:val="-5"/>
          <w:sz w:val="18"/>
          <w:szCs w:val="18"/>
          <w:lang w:val="es-ES_tradnl"/>
        </w:rPr>
        <w:t>ú</w:t>
      </w:r>
      <w:r>
        <w:rPr>
          <w:spacing w:val="-5"/>
          <w:sz w:val="18"/>
          <w:szCs w:val="18"/>
          <w:lang w:val="es-ES_tradnl"/>
        </w:rPr>
        <w:t xml:space="preserve">nicamente acoge el criterio emitido por </w:t>
      </w:r>
      <w:r>
        <w:rPr>
          <w:spacing w:val="-7"/>
          <w:sz w:val="18"/>
          <w:szCs w:val="18"/>
          <w:lang w:val="es-ES_tradnl"/>
        </w:rPr>
        <w:t xml:space="preserve">los jueces superiores, tal como corresponde constitucional </w:t>
      </w:r>
      <w:r>
        <w:rPr>
          <w:spacing w:val="-4"/>
          <w:sz w:val="18"/>
          <w:szCs w:val="18"/>
          <w:lang w:val="es-ES_tradnl"/>
        </w:rPr>
        <w:t xml:space="preserve">y legalmente hacerlo. Adicionalmente, indica que el </w:t>
      </w:r>
      <w:r>
        <w:rPr>
          <w:spacing w:val="-9"/>
          <w:sz w:val="18"/>
          <w:szCs w:val="18"/>
          <w:lang w:val="es-ES_tradnl"/>
        </w:rPr>
        <w:t>accionante mencion</w:t>
      </w:r>
      <w:r>
        <w:rPr>
          <w:rFonts w:cs="Times New Roman"/>
          <w:spacing w:val="-9"/>
          <w:sz w:val="18"/>
          <w:szCs w:val="18"/>
          <w:lang w:val="es-ES_tradnl"/>
        </w:rPr>
        <w:t>ó</w:t>
      </w:r>
      <w:r>
        <w:rPr>
          <w:spacing w:val="-9"/>
          <w:sz w:val="18"/>
          <w:szCs w:val="18"/>
          <w:lang w:val="es-ES_tradnl"/>
        </w:rPr>
        <w:t xml:space="preserve"> que los procesos presentados son </w:t>
      </w:r>
      <w:r>
        <w:rPr>
          <w:spacing w:val="-2"/>
          <w:sz w:val="18"/>
          <w:szCs w:val="18"/>
          <w:lang w:val="es-ES_tradnl"/>
        </w:rPr>
        <w:t xml:space="preserve">similares en cuanto al reclamo de indemnizaciones </w:t>
      </w:r>
      <w:r>
        <w:rPr>
          <w:spacing w:val="-7"/>
          <w:sz w:val="18"/>
          <w:szCs w:val="18"/>
          <w:lang w:val="es-ES_tradnl"/>
        </w:rPr>
        <w:t>laborales, al mismo demandado y a la pr</w:t>
      </w:r>
      <w:r>
        <w:rPr>
          <w:rFonts w:cs="Times New Roman"/>
          <w:spacing w:val="-7"/>
          <w:sz w:val="18"/>
          <w:szCs w:val="18"/>
          <w:lang w:val="es-ES_tradnl"/>
        </w:rPr>
        <w:t>á</w:t>
      </w:r>
      <w:r>
        <w:rPr>
          <w:spacing w:val="-7"/>
          <w:sz w:val="18"/>
          <w:szCs w:val="18"/>
          <w:lang w:val="es-ES_tradnl"/>
        </w:rPr>
        <w:t>ctica de citaci</w:t>
      </w:r>
      <w:r>
        <w:rPr>
          <w:rFonts w:cs="Times New Roman"/>
          <w:spacing w:val="-7"/>
          <w:sz w:val="18"/>
          <w:szCs w:val="18"/>
          <w:lang w:val="es-ES_tradnl"/>
        </w:rPr>
        <w:t>ó</w:t>
      </w:r>
      <w:r>
        <w:rPr>
          <w:spacing w:val="-7"/>
          <w:sz w:val="18"/>
          <w:szCs w:val="18"/>
          <w:lang w:val="es-ES_tradnl"/>
        </w:rPr>
        <w:t xml:space="preserve">n </w:t>
      </w:r>
      <w:r>
        <w:rPr>
          <w:spacing w:val="-4"/>
          <w:sz w:val="18"/>
          <w:szCs w:val="18"/>
          <w:lang w:val="es-ES_tradnl"/>
        </w:rPr>
        <w:t xml:space="preserve">en el mismo lugar; sin embargo, el cambio de criterio </w:t>
      </w:r>
      <w:r>
        <w:rPr>
          <w:spacing w:val="-8"/>
          <w:sz w:val="18"/>
          <w:szCs w:val="18"/>
          <w:lang w:val="es-ES_tradnl"/>
        </w:rPr>
        <w:t xml:space="preserve">obedece a lo resuelto por la Corte Provincial de Justicia de </w:t>
      </w:r>
      <w:r>
        <w:rPr>
          <w:sz w:val="18"/>
          <w:szCs w:val="18"/>
          <w:lang w:val="es-ES_tradnl"/>
        </w:rPr>
        <w:t>Cotopaxi en un caso similar.</w:t>
      </w:r>
    </w:p>
    <w:p w14:paraId="4F67B6C0" w14:textId="77777777" w:rsidR="00591D54" w:rsidRDefault="00591D54">
      <w:pPr>
        <w:shd w:val="clear" w:color="auto" w:fill="FFFFFF"/>
        <w:spacing w:before="192" w:line="216" w:lineRule="exact"/>
        <w:ind w:right="5"/>
        <w:jc w:val="both"/>
      </w:pPr>
      <w:r>
        <w:rPr>
          <w:spacing w:val="-6"/>
          <w:sz w:val="18"/>
          <w:szCs w:val="18"/>
          <w:lang w:val="es-ES_tradnl"/>
        </w:rPr>
        <w:t>Finalmente, sostiene que seg</w:t>
      </w:r>
      <w:r>
        <w:rPr>
          <w:rFonts w:cs="Times New Roman"/>
          <w:spacing w:val="-6"/>
          <w:sz w:val="18"/>
          <w:szCs w:val="18"/>
          <w:lang w:val="es-ES_tradnl"/>
        </w:rPr>
        <w:t>ú</w:t>
      </w:r>
      <w:r>
        <w:rPr>
          <w:spacing w:val="-6"/>
          <w:sz w:val="18"/>
          <w:szCs w:val="18"/>
          <w:lang w:val="es-ES_tradnl"/>
        </w:rPr>
        <w:t>n el art</w:t>
      </w:r>
      <w:r>
        <w:rPr>
          <w:rFonts w:cs="Times New Roman"/>
          <w:spacing w:val="-6"/>
          <w:sz w:val="18"/>
          <w:szCs w:val="18"/>
          <w:lang w:val="es-ES_tradnl"/>
        </w:rPr>
        <w:t>í</w:t>
      </w:r>
      <w:r>
        <w:rPr>
          <w:spacing w:val="-6"/>
          <w:sz w:val="18"/>
          <w:szCs w:val="18"/>
          <w:lang w:val="es-ES_tradnl"/>
        </w:rPr>
        <w:t>culo 26 del C</w:t>
      </w:r>
      <w:r>
        <w:rPr>
          <w:rFonts w:cs="Times New Roman"/>
          <w:spacing w:val="-6"/>
          <w:sz w:val="18"/>
          <w:szCs w:val="18"/>
          <w:lang w:val="es-ES_tradnl"/>
        </w:rPr>
        <w:t>ó</w:t>
      </w:r>
      <w:r>
        <w:rPr>
          <w:spacing w:val="-6"/>
          <w:sz w:val="18"/>
          <w:szCs w:val="18"/>
          <w:lang w:val="es-ES_tradnl"/>
        </w:rPr>
        <w:t xml:space="preserve">digo </w:t>
      </w:r>
      <w:r>
        <w:rPr>
          <w:spacing w:val="-10"/>
          <w:sz w:val="18"/>
          <w:szCs w:val="18"/>
          <w:lang w:val="es-ES_tradnl"/>
        </w:rPr>
        <w:t>Org</w:t>
      </w:r>
      <w:r>
        <w:rPr>
          <w:rFonts w:cs="Times New Roman"/>
          <w:spacing w:val="-10"/>
          <w:sz w:val="18"/>
          <w:szCs w:val="18"/>
          <w:lang w:val="es-ES_tradnl"/>
        </w:rPr>
        <w:t>á</w:t>
      </w:r>
      <w:r>
        <w:rPr>
          <w:spacing w:val="-10"/>
          <w:sz w:val="18"/>
          <w:szCs w:val="18"/>
          <w:lang w:val="es-ES_tradnl"/>
        </w:rPr>
        <w:t>nico de la Funci</w:t>
      </w:r>
      <w:r>
        <w:rPr>
          <w:rFonts w:cs="Times New Roman"/>
          <w:spacing w:val="-10"/>
          <w:sz w:val="18"/>
          <w:szCs w:val="18"/>
          <w:lang w:val="es-ES_tradnl"/>
        </w:rPr>
        <w:t>ó</w:t>
      </w:r>
      <w:r>
        <w:rPr>
          <w:spacing w:val="-10"/>
          <w:sz w:val="18"/>
          <w:szCs w:val="18"/>
          <w:lang w:val="es-ES_tradnl"/>
        </w:rPr>
        <w:t xml:space="preserve">n Judicial, las partes procesales deben actuar dentro de la buena fe y lealtad procesal; sin embargo, </w:t>
      </w:r>
      <w:r>
        <w:rPr>
          <w:spacing w:val="-6"/>
          <w:sz w:val="18"/>
          <w:szCs w:val="18"/>
          <w:lang w:val="es-ES_tradnl"/>
        </w:rPr>
        <w:t>se</w:t>
      </w:r>
      <w:r>
        <w:rPr>
          <w:rFonts w:cs="Times New Roman"/>
          <w:spacing w:val="-6"/>
          <w:sz w:val="18"/>
          <w:szCs w:val="18"/>
          <w:lang w:val="es-ES_tradnl"/>
        </w:rPr>
        <w:t>ñ</w:t>
      </w:r>
      <w:r>
        <w:rPr>
          <w:spacing w:val="-6"/>
          <w:sz w:val="18"/>
          <w:szCs w:val="18"/>
          <w:lang w:val="es-ES_tradnl"/>
        </w:rPr>
        <w:t xml:space="preserve">ala que el accionante, en forma indiscriminada y sin </w:t>
      </w:r>
      <w:r>
        <w:rPr>
          <w:spacing w:val="-9"/>
          <w:sz w:val="18"/>
          <w:szCs w:val="18"/>
          <w:lang w:val="es-ES_tradnl"/>
        </w:rPr>
        <w:t>revisi</w:t>
      </w:r>
      <w:r>
        <w:rPr>
          <w:rFonts w:cs="Times New Roman"/>
          <w:spacing w:val="-9"/>
          <w:sz w:val="18"/>
          <w:szCs w:val="18"/>
          <w:lang w:val="es-ES_tradnl"/>
        </w:rPr>
        <w:t>ó</w:t>
      </w:r>
      <w:r>
        <w:rPr>
          <w:spacing w:val="-9"/>
          <w:sz w:val="18"/>
          <w:szCs w:val="18"/>
          <w:lang w:val="es-ES_tradnl"/>
        </w:rPr>
        <w:t>n m</w:t>
      </w:r>
      <w:r>
        <w:rPr>
          <w:rFonts w:cs="Times New Roman"/>
          <w:spacing w:val="-9"/>
          <w:sz w:val="18"/>
          <w:szCs w:val="18"/>
          <w:lang w:val="es-ES_tradnl"/>
        </w:rPr>
        <w:t>í</w:t>
      </w:r>
      <w:r>
        <w:rPr>
          <w:spacing w:val="-9"/>
          <w:sz w:val="18"/>
          <w:szCs w:val="18"/>
          <w:lang w:val="es-ES_tradnl"/>
        </w:rPr>
        <w:t xml:space="preserve">nima de todas las causas laborales presentadas, </w:t>
      </w:r>
      <w:r>
        <w:rPr>
          <w:spacing w:val="-7"/>
          <w:sz w:val="18"/>
          <w:szCs w:val="18"/>
          <w:lang w:val="es-ES_tradnl"/>
        </w:rPr>
        <w:t>solicit</w:t>
      </w:r>
      <w:r>
        <w:rPr>
          <w:rFonts w:cs="Times New Roman"/>
          <w:spacing w:val="-7"/>
          <w:sz w:val="18"/>
          <w:szCs w:val="18"/>
          <w:lang w:val="es-ES_tradnl"/>
        </w:rPr>
        <w:t>ó</w:t>
      </w:r>
      <w:r>
        <w:rPr>
          <w:spacing w:val="-7"/>
          <w:sz w:val="18"/>
          <w:szCs w:val="18"/>
          <w:lang w:val="es-ES_tradnl"/>
        </w:rPr>
        <w:t xml:space="preserve"> la recusaci</w:t>
      </w:r>
      <w:r>
        <w:rPr>
          <w:rFonts w:cs="Times New Roman"/>
          <w:spacing w:val="-7"/>
          <w:sz w:val="18"/>
          <w:szCs w:val="18"/>
          <w:lang w:val="es-ES_tradnl"/>
        </w:rPr>
        <w:t>ó</w:t>
      </w:r>
      <w:r>
        <w:rPr>
          <w:spacing w:val="-7"/>
          <w:sz w:val="18"/>
          <w:szCs w:val="18"/>
          <w:lang w:val="es-ES_tradnl"/>
        </w:rPr>
        <w:t xml:space="preserve">n en su contra, las mismas que fueron </w:t>
      </w:r>
      <w:r>
        <w:rPr>
          <w:sz w:val="18"/>
          <w:szCs w:val="18"/>
          <w:lang w:val="es-ES_tradnl"/>
        </w:rPr>
        <w:t>rechazadas de manera reiterada.</w:t>
      </w:r>
    </w:p>
    <w:p w14:paraId="4F67B6C1" w14:textId="77777777" w:rsidR="00591D54" w:rsidRDefault="00591D54">
      <w:pPr>
        <w:shd w:val="clear" w:color="auto" w:fill="FFFFFF"/>
        <w:spacing w:before="192" w:line="216" w:lineRule="exact"/>
        <w:ind w:left="686" w:right="326" w:hanging="355"/>
      </w:pPr>
      <w:r>
        <w:rPr>
          <w:b/>
          <w:bCs/>
          <w:spacing w:val="-1"/>
          <w:sz w:val="18"/>
          <w:szCs w:val="18"/>
          <w:lang w:val="es-ES_tradnl"/>
        </w:rPr>
        <w:t xml:space="preserve">II. CONSIDERACIONES Y FUNDAMENTOS </w:t>
      </w:r>
      <w:r>
        <w:rPr>
          <w:b/>
          <w:bCs/>
          <w:sz w:val="18"/>
          <w:szCs w:val="18"/>
          <w:lang w:val="es-ES_tradnl"/>
        </w:rPr>
        <w:t>DE LA CORTE CONSTITUCIONAL</w:t>
      </w:r>
    </w:p>
    <w:p w14:paraId="4F67B6C2" w14:textId="77777777" w:rsidR="00591D54" w:rsidRDefault="00591D54">
      <w:pPr>
        <w:shd w:val="clear" w:color="auto" w:fill="FFFFFF"/>
        <w:spacing w:before="182"/>
      </w:pPr>
      <w:r>
        <w:rPr>
          <w:b/>
          <w:bCs/>
          <w:spacing w:val="-8"/>
          <w:sz w:val="18"/>
          <w:szCs w:val="18"/>
          <w:lang w:val="es-ES_tradnl"/>
        </w:rPr>
        <w:t>Competencia de la Corte</w:t>
      </w:r>
    </w:p>
    <w:p w14:paraId="4F67B6C3" w14:textId="77777777" w:rsidR="00591D54" w:rsidRDefault="00591D54">
      <w:pPr>
        <w:shd w:val="clear" w:color="auto" w:fill="FFFFFF"/>
        <w:spacing w:before="192" w:line="216" w:lineRule="exact"/>
        <w:ind w:right="5"/>
        <w:jc w:val="both"/>
      </w:pPr>
      <w:r>
        <w:rPr>
          <w:spacing w:val="-7"/>
          <w:sz w:val="18"/>
          <w:szCs w:val="18"/>
          <w:lang w:val="es-ES_tradnl"/>
        </w:rPr>
        <w:t>El Pleno de la Corte Constitucional, seg</w:t>
      </w:r>
      <w:r>
        <w:rPr>
          <w:rFonts w:cs="Times New Roman"/>
          <w:spacing w:val="-7"/>
          <w:sz w:val="18"/>
          <w:szCs w:val="18"/>
          <w:lang w:val="es-ES_tradnl"/>
        </w:rPr>
        <w:t>ú</w:t>
      </w:r>
      <w:r>
        <w:rPr>
          <w:spacing w:val="-7"/>
          <w:sz w:val="18"/>
          <w:szCs w:val="18"/>
          <w:lang w:val="es-ES_tradnl"/>
        </w:rPr>
        <w:t xml:space="preserve">n las atribuciones </w:t>
      </w:r>
      <w:r>
        <w:rPr>
          <w:spacing w:val="-8"/>
          <w:sz w:val="18"/>
          <w:szCs w:val="18"/>
          <w:lang w:val="es-ES_tradnl"/>
        </w:rPr>
        <w:t>establecidas en los art</w:t>
      </w:r>
      <w:r>
        <w:rPr>
          <w:rFonts w:cs="Times New Roman"/>
          <w:spacing w:val="-8"/>
          <w:sz w:val="18"/>
          <w:szCs w:val="18"/>
          <w:lang w:val="es-ES_tradnl"/>
        </w:rPr>
        <w:t>í</w:t>
      </w:r>
      <w:r>
        <w:rPr>
          <w:spacing w:val="-8"/>
          <w:sz w:val="18"/>
          <w:szCs w:val="18"/>
          <w:lang w:val="es-ES_tradnl"/>
        </w:rPr>
        <w:t>culos 94 y 437 de la Constituci</w:t>
      </w:r>
      <w:r>
        <w:rPr>
          <w:rFonts w:cs="Times New Roman"/>
          <w:spacing w:val="-8"/>
          <w:sz w:val="18"/>
          <w:szCs w:val="18"/>
          <w:lang w:val="es-ES_tradnl"/>
        </w:rPr>
        <w:t>ó</w:t>
      </w:r>
      <w:r>
        <w:rPr>
          <w:spacing w:val="-8"/>
          <w:sz w:val="18"/>
          <w:szCs w:val="18"/>
          <w:lang w:val="es-ES_tradnl"/>
        </w:rPr>
        <w:t xml:space="preserve">n de </w:t>
      </w:r>
      <w:r>
        <w:rPr>
          <w:spacing w:val="-5"/>
          <w:sz w:val="18"/>
          <w:szCs w:val="18"/>
          <w:lang w:val="es-ES_tradnl"/>
        </w:rPr>
        <w:t>la Rep</w:t>
      </w:r>
      <w:r>
        <w:rPr>
          <w:rFonts w:cs="Times New Roman"/>
          <w:spacing w:val="-5"/>
          <w:sz w:val="18"/>
          <w:szCs w:val="18"/>
          <w:lang w:val="es-ES_tradnl"/>
        </w:rPr>
        <w:t>ú</w:t>
      </w:r>
      <w:r>
        <w:rPr>
          <w:spacing w:val="-5"/>
          <w:sz w:val="18"/>
          <w:szCs w:val="18"/>
          <w:lang w:val="es-ES_tradnl"/>
        </w:rPr>
        <w:t>blica, art</w:t>
      </w:r>
      <w:r>
        <w:rPr>
          <w:rFonts w:cs="Times New Roman"/>
          <w:spacing w:val="-5"/>
          <w:sz w:val="18"/>
          <w:szCs w:val="18"/>
          <w:lang w:val="es-ES_tradnl"/>
        </w:rPr>
        <w:t>í</w:t>
      </w:r>
      <w:r>
        <w:rPr>
          <w:spacing w:val="-5"/>
          <w:sz w:val="18"/>
          <w:szCs w:val="18"/>
          <w:lang w:val="es-ES_tradnl"/>
        </w:rPr>
        <w:t>culo 58 y siguientes de la Ley Org</w:t>
      </w:r>
      <w:r>
        <w:rPr>
          <w:rFonts w:cs="Times New Roman"/>
          <w:spacing w:val="-5"/>
          <w:sz w:val="18"/>
          <w:szCs w:val="18"/>
          <w:lang w:val="es-ES_tradnl"/>
        </w:rPr>
        <w:t>á</w:t>
      </w:r>
      <w:r>
        <w:rPr>
          <w:spacing w:val="-5"/>
          <w:sz w:val="18"/>
          <w:szCs w:val="18"/>
          <w:lang w:val="es-ES_tradnl"/>
        </w:rPr>
        <w:t xml:space="preserve">nica </w:t>
      </w:r>
      <w:r>
        <w:rPr>
          <w:spacing w:val="-6"/>
          <w:sz w:val="18"/>
          <w:szCs w:val="18"/>
          <w:lang w:val="es-ES_tradnl"/>
        </w:rPr>
        <w:t>de Garant</w:t>
      </w:r>
      <w:r>
        <w:rPr>
          <w:rFonts w:cs="Times New Roman"/>
          <w:spacing w:val="-6"/>
          <w:sz w:val="18"/>
          <w:szCs w:val="18"/>
          <w:lang w:val="es-ES_tradnl"/>
        </w:rPr>
        <w:t>í</w:t>
      </w:r>
      <w:r>
        <w:rPr>
          <w:spacing w:val="-6"/>
          <w:sz w:val="18"/>
          <w:szCs w:val="18"/>
          <w:lang w:val="es-ES_tradnl"/>
        </w:rPr>
        <w:t xml:space="preserve">as Jurisdiccionales y Control Constitucional y </w:t>
      </w:r>
      <w:r>
        <w:rPr>
          <w:spacing w:val="-7"/>
          <w:sz w:val="18"/>
          <w:szCs w:val="18"/>
          <w:lang w:val="es-ES_tradnl"/>
        </w:rPr>
        <w:t>art</w:t>
      </w:r>
      <w:r>
        <w:rPr>
          <w:rFonts w:cs="Times New Roman"/>
          <w:spacing w:val="-7"/>
          <w:sz w:val="18"/>
          <w:szCs w:val="18"/>
          <w:lang w:val="es-ES_tradnl"/>
        </w:rPr>
        <w:t>í</w:t>
      </w:r>
      <w:r>
        <w:rPr>
          <w:spacing w:val="-7"/>
          <w:sz w:val="18"/>
          <w:szCs w:val="18"/>
          <w:lang w:val="es-ES_tradnl"/>
        </w:rPr>
        <w:t>culo 35 del Reglamento de Sustanciaci</w:t>
      </w:r>
      <w:r>
        <w:rPr>
          <w:rFonts w:cs="Times New Roman"/>
          <w:spacing w:val="-7"/>
          <w:sz w:val="18"/>
          <w:szCs w:val="18"/>
          <w:lang w:val="es-ES_tradnl"/>
        </w:rPr>
        <w:t>ó</w:t>
      </w:r>
      <w:r>
        <w:rPr>
          <w:spacing w:val="-7"/>
          <w:sz w:val="18"/>
          <w:szCs w:val="18"/>
          <w:lang w:val="es-ES_tradnl"/>
        </w:rPr>
        <w:t xml:space="preserve">n de Procesos </w:t>
      </w:r>
      <w:r>
        <w:rPr>
          <w:spacing w:val="-8"/>
          <w:sz w:val="18"/>
          <w:szCs w:val="18"/>
          <w:lang w:val="es-ES_tradnl"/>
        </w:rPr>
        <w:t>de Competencia de la Corte Constitucional, es competente para conocer y pronunciarse sobre la acci</w:t>
      </w:r>
      <w:r>
        <w:rPr>
          <w:rFonts w:cs="Times New Roman"/>
          <w:spacing w:val="-8"/>
          <w:sz w:val="18"/>
          <w:szCs w:val="18"/>
          <w:lang w:val="es-ES_tradnl"/>
        </w:rPr>
        <w:t>ó</w:t>
      </w:r>
      <w:r>
        <w:rPr>
          <w:spacing w:val="-8"/>
          <w:sz w:val="18"/>
          <w:szCs w:val="18"/>
          <w:lang w:val="es-ES_tradnl"/>
        </w:rPr>
        <w:t xml:space="preserve">n extraordinaria </w:t>
      </w:r>
      <w:r>
        <w:rPr>
          <w:spacing w:val="-7"/>
          <w:sz w:val="18"/>
          <w:szCs w:val="18"/>
          <w:lang w:val="es-ES_tradnl"/>
        </w:rPr>
        <w:t>de protecci</w:t>
      </w:r>
      <w:r>
        <w:rPr>
          <w:rFonts w:cs="Times New Roman"/>
          <w:spacing w:val="-7"/>
          <w:sz w:val="18"/>
          <w:szCs w:val="18"/>
          <w:lang w:val="es-ES_tradnl"/>
        </w:rPr>
        <w:t>ó</w:t>
      </w:r>
      <w:r>
        <w:rPr>
          <w:spacing w:val="-7"/>
          <w:sz w:val="18"/>
          <w:szCs w:val="18"/>
          <w:lang w:val="es-ES_tradnl"/>
        </w:rPr>
        <w:t>n, contenida en la causa N.</w:t>
      </w:r>
      <w:r>
        <w:rPr>
          <w:rFonts w:cs="Times New Roman"/>
          <w:spacing w:val="-7"/>
          <w:sz w:val="18"/>
          <w:szCs w:val="18"/>
          <w:lang w:val="es-ES_tradnl"/>
        </w:rPr>
        <w:t>º</w:t>
      </w:r>
      <w:r>
        <w:rPr>
          <w:spacing w:val="-7"/>
          <w:sz w:val="18"/>
          <w:szCs w:val="18"/>
          <w:lang w:val="es-ES_tradnl"/>
        </w:rPr>
        <w:t xml:space="preserve"> 1888-12-EP, con </w:t>
      </w:r>
      <w:r>
        <w:rPr>
          <w:spacing w:val="-6"/>
          <w:sz w:val="18"/>
          <w:szCs w:val="18"/>
          <w:lang w:val="es-ES_tradnl"/>
        </w:rPr>
        <w:t xml:space="preserve">el fin de establecer si la sentencia dictada por el juez del </w:t>
      </w:r>
      <w:r>
        <w:rPr>
          <w:spacing w:val="-8"/>
          <w:sz w:val="18"/>
          <w:szCs w:val="18"/>
          <w:lang w:val="es-ES_tradnl"/>
        </w:rPr>
        <w:t xml:space="preserve">trabajo de Cotopaxi, el 31 de julio de 2012, dentro del juicio </w:t>
      </w:r>
      <w:r>
        <w:rPr>
          <w:spacing w:val="-11"/>
          <w:sz w:val="18"/>
          <w:szCs w:val="18"/>
          <w:lang w:val="es-ES_tradnl"/>
        </w:rPr>
        <w:t>N.</w:t>
      </w:r>
      <w:r>
        <w:rPr>
          <w:rFonts w:cs="Times New Roman"/>
          <w:spacing w:val="-11"/>
          <w:sz w:val="18"/>
          <w:szCs w:val="18"/>
          <w:lang w:val="es-ES_tradnl"/>
        </w:rPr>
        <w:t>º</w:t>
      </w:r>
      <w:r>
        <w:rPr>
          <w:spacing w:val="-11"/>
          <w:sz w:val="18"/>
          <w:szCs w:val="18"/>
          <w:lang w:val="es-ES_tradnl"/>
        </w:rPr>
        <w:t xml:space="preserve"> 2011-0198, ha vulnerado o no los derechos alegados por </w:t>
      </w:r>
      <w:r>
        <w:rPr>
          <w:sz w:val="18"/>
          <w:szCs w:val="18"/>
          <w:lang w:val="es-ES_tradnl"/>
        </w:rPr>
        <w:t>el accionante.</w:t>
      </w:r>
    </w:p>
    <w:p w14:paraId="4F67B6C4" w14:textId="77777777" w:rsidR="00591D54" w:rsidRDefault="00591D54">
      <w:pPr>
        <w:shd w:val="clear" w:color="auto" w:fill="FFFFFF"/>
        <w:spacing w:before="182"/>
      </w:pPr>
      <w:r>
        <w:rPr>
          <w:b/>
          <w:bCs/>
          <w:spacing w:val="-8"/>
          <w:sz w:val="18"/>
          <w:szCs w:val="18"/>
          <w:lang w:val="es-ES_tradnl"/>
        </w:rPr>
        <w:t>Legitimaci</w:t>
      </w:r>
      <w:r>
        <w:rPr>
          <w:rFonts w:cs="Times New Roman"/>
          <w:b/>
          <w:bCs/>
          <w:spacing w:val="-8"/>
          <w:sz w:val="18"/>
          <w:szCs w:val="18"/>
          <w:lang w:val="es-ES_tradnl"/>
        </w:rPr>
        <w:t>ó</w:t>
      </w:r>
      <w:r>
        <w:rPr>
          <w:b/>
          <w:bCs/>
          <w:spacing w:val="-8"/>
          <w:sz w:val="18"/>
          <w:szCs w:val="18"/>
          <w:lang w:val="es-ES_tradnl"/>
        </w:rPr>
        <w:t>n activa</w:t>
      </w:r>
    </w:p>
    <w:p w14:paraId="4F67B6C5" w14:textId="77777777" w:rsidR="00591D54" w:rsidRDefault="00591D54">
      <w:pPr>
        <w:shd w:val="clear" w:color="auto" w:fill="FFFFFF"/>
        <w:spacing w:before="192" w:line="216" w:lineRule="exact"/>
        <w:ind w:right="5"/>
        <w:jc w:val="both"/>
      </w:pPr>
      <w:r>
        <w:rPr>
          <w:spacing w:val="-8"/>
          <w:sz w:val="18"/>
          <w:szCs w:val="18"/>
          <w:lang w:val="es-ES_tradnl"/>
        </w:rPr>
        <w:t xml:space="preserve">El peticionario se encuentra legitimado para presentar esta </w:t>
      </w:r>
      <w:r>
        <w:rPr>
          <w:spacing w:val="-5"/>
          <w:sz w:val="18"/>
          <w:szCs w:val="18"/>
          <w:lang w:val="es-ES_tradnl"/>
        </w:rPr>
        <w:t>acci</w:t>
      </w:r>
      <w:r>
        <w:rPr>
          <w:rFonts w:cs="Times New Roman"/>
          <w:spacing w:val="-5"/>
          <w:sz w:val="18"/>
          <w:szCs w:val="18"/>
          <w:lang w:val="es-ES_tradnl"/>
        </w:rPr>
        <w:t>ó</w:t>
      </w:r>
      <w:r>
        <w:rPr>
          <w:spacing w:val="-5"/>
          <w:sz w:val="18"/>
          <w:szCs w:val="18"/>
          <w:lang w:val="es-ES_tradnl"/>
        </w:rPr>
        <w:t>n extraordinaria de protecci</w:t>
      </w:r>
      <w:r>
        <w:rPr>
          <w:rFonts w:cs="Times New Roman"/>
          <w:spacing w:val="-5"/>
          <w:sz w:val="18"/>
          <w:szCs w:val="18"/>
          <w:lang w:val="es-ES_tradnl"/>
        </w:rPr>
        <w:t>ó</w:t>
      </w:r>
      <w:r>
        <w:rPr>
          <w:spacing w:val="-5"/>
          <w:sz w:val="18"/>
          <w:szCs w:val="18"/>
          <w:lang w:val="es-ES_tradnl"/>
        </w:rPr>
        <w:t>n, en virtud de cumplir con los requerimientos establecidos en el art</w:t>
      </w:r>
      <w:r>
        <w:rPr>
          <w:rFonts w:cs="Times New Roman"/>
          <w:spacing w:val="-5"/>
          <w:sz w:val="18"/>
          <w:szCs w:val="18"/>
          <w:lang w:val="es-ES_tradnl"/>
        </w:rPr>
        <w:t>í</w:t>
      </w:r>
      <w:r>
        <w:rPr>
          <w:spacing w:val="-5"/>
          <w:sz w:val="18"/>
          <w:szCs w:val="18"/>
          <w:lang w:val="es-ES_tradnl"/>
        </w:rPr>
        <w:t xml:space="preserve">culo 437 de </w:t>
      </w:r>
      <w:r>
        <w:rPr>
          <w:sz w:val="18"/>
          <w:szCs w:val="18"/>
          <w:lang w:val="es-ES_tradnl"/>
        </w:rPr>
        <w:t>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 xml:space="preserve">blica y de conformidad con </w:t>
      </w:r>
      <w:r>
        <w:rPr>
          <w:spacing w:val="-2"/>
          <w:sz w:val="18"/>
          <w:szCs w:val="18"/>
          <w:lang w:val="es-ES_tradnl"/>
        </w:rPr>
        <w:t>el art</w:t>
      </w:r>
      <w:r>
        <w:rPr>
          <w:rFonts w:cs="Times New Roman"/>
          <w:spacing w:val="-2"/>
          <w:sz w:val="18"/>
          <w:szCs w:val="18"/>
          <w:lang w:val="es-ES_tradnl"/>
        </w:rPr>
        <w:t>í</w:t>
      </w:r>
      <w:r>
        <w:rPr>
          <w:spacing w:val="-2"/>
          <w:sz w:val="18"/>
          <w:szCs w:val="18"/>
          <w:lang w:val="es-ES_tradnl"/>
        </w:rPr>
        <w:t xml:space="preserve">culo 439 </w:t>
      </w:r>
      <w:r>
        <w:rPr>
          <w:i/>
          <w:iCs/>
          <w:spacing w:val="-2"/>
          <w:sz w:val="18"/>
          <w:szCs w:val="18"/>
          <w:lang w:val="es-ES_tradnl"/>
        </w:rPr>
        <w:t>ib</w:t>
      </w:r>
      <w:r>
        <w:rPr>
          <w:rFonts w:cs="Times New Roman"/>
          <w:i/>
          <w:iCs/>
          <w:spacing w:val="-2"/>
          <w:sz w:val="18"/>
          <w:szCs w:val="18"/>
          <w:lang w:val="es-ES_tradnl"/>
        </w:rPr>
        <w:t>í</w:t>
      </w:r>
      <w:r>
        <w:rPr>
          <w:i/>
          <w:iCs/>
          <w:spacing w:val="-2"/>
          <w:sz w:val="18"/>
          <w:szCs w:val="18"/>
          <w:lang w:val="es-ES_tradnl"/>
        </w:rPr>
        <w:t>dem</w:t>
      </w:r>
      <w:r>
        <w:rPr>
          <w:spacing w:val="-2"/>
          <w:sz w:val="18"/>
          <w:szCs w:val="18"/>
          <w:lang w:val="es-ES_tradnl"/>
        </w:rPr>
        <w:t>, que establece que las acciones</w:t>
      </w:r>
    </w:p>
    <w:p w14:paraId="4F67B6C6" w14:textId="77777777" w:rsidR="00591D54" w:rsidRDefault="00591D54">
      <w:pPr>
        <w:shd w:val="clear" w:color="auto" w:fill="FFFFFF"/>
        <w:spacing w:line="216" w:lineRule="exact"/>
        <w:ind w:right="5"/>
        <w:jc w:val="both"/>
      </w:pPr>
      <w:r>
        <w:br w:type="column"/>
      </w:r>
      <w:r>
        <w:rPr>
          <w:spacing w:val="-7"/>
          <w:sz w:val="18"/>
          <w:szCs w:val="18"/>
          <w:lang w:val="es-ES_tradnl"/>
        </w:rPr>
        <w:t>constitucionales podr</w:t>
      </w:r>
      <w:r>
        <w:rPr>
          <w:rFonts w:cs="Times New Roman"/>
          <w:spacing w:val="-7"/>
          <w:sz w:val="18"/>
          <w:szCs w:val="18"/>
          <w:lang w:val="es-ES_tradnl"/>
        </w:rPr>
        <w:t>á</w:t>
      </w:r>
      <w:r>
        <w:rPr>
          <w:spacing w:val="-7"/>
          <w:sz w:val="18"/>
          <w:szCs w:val="18"/>
          <w:lang w:val="es-ES_tradnl"/>
        </w:rPr>
        <w:t xml:space="preserve">n ser presentadas por cualquier </w:t>
      </w:r>
      <w:r>
        <w:rPr>
          <w:spacing w:val="-6"/>
          <w:sz w:val="18"/>
          <w:szCs w:val="18"/>
          <w:lang w:val="es-ES_tradnl"/>
        </w:rPr>
        <w:t>ciudadana o ciudadano, individual o colectivamente, en concordancia con el art</w:t>
      </w:r>
      <w:r>
        <w:rPr>
          <w:rFonts w:cs="Times New Roman"/>
          <w:spacing w:val="-6"/>
          <w:sz w:val="18"/>
          <w:szCs w:val="18"/>
          <w:lang w:val="es-ES_tradnl"/>
        </w:rPr>
        <w:t>í</w:t>
      </w:r>
      <w:r>
        <w:rPr>
          <w:spacing w:val="-6"/>
          <w:sz w:val="18"/>
          <w:szCs w:val="18"/>
          <w:lang w:val="es-ES_tradnl"/>
        </w:rPr>
        <w:t>culo 59 de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as Jurisdiccionales y Control Constitucional.</w:t>
      </w:r>
    </w:p>
    <w:p w14:paraId="4F67B6C7" w14:textId="77777777" w:rsidR="00591D54" w:rsidRDefault="00591D54">
      <w:pPr>
        <w:shd w:val="clear" w:color="auto" w:fill="FFFFFF"/>
        <w:spacing w:before="182"/>
      </w:pPr>
      <w:r>
        <w:rPr>
          <w:b/>
          <w:bCs/>
          <w:spacing w:val="-9"/>
          <w:sz w:val="18"/>
          <w:szCs w:val="18"/>
          <w:lang w:val="es-ES_tradnl"/>
        </w:rPr>
        <w:t>An</w:t>
      </w:r>
      <w:r>
        <w:rPr>
          <w:rFonts w:cs="Times New Roman"/>
          <w:b/>
          <w:bCs/>
          <w:spacing w:val="-9"/>
          <w:sz w:val="18"/>
          <w:szCs w:val="18"/>
          <w:lang w:val="es-ES_tradnl"/>
        </w:rPr>
        <w:t>á</w:t>
      </w:r>
      <w:r>
        <w:rPr>
          <w:b/>
          <w:bCs/>
          <w:spacing w:val="-9"/>
          <w:sz w:val="18"/>
          <w:szCs w:val="18"/>
          <w:lang w:val="es-ES_tradnl"/>
        </w:rPr>
        <w:t>lisis constitucional</w:t>
      </w:r>
    </w:p>
    <w:p w14:paraId="4F67B6C8" w14:textId="77777777" w:rsidR="00591D54" w:rsidRDefault="00591D54">
      <w:pPr>
        <w:shd w:val="clear" w:color="auto" w:fill="FFFFFF"/>
        <w:spacing w:before="182"/>
      </w:pPr>
      <w:r>
        <w:rPr>
          <w:b/>
          <w:bCs/>
          <w:spacing w:val="-7"/>
          <w:sz w:val="18"/>
          <w:szCs w:val="18"/>
          <w:lang w:val="es-ES_tradnl"/>
        </w:rPr>
        <w:t>Naturaleza de la acci</w:t>
      </w:r>
      <w:r>
        <w:rPr>
          <w:rFonts w:cs="Times New Roman"/>
          <w:b/>
          <w:bCs/>
          <w:spacing w:val="-7"/>
          <w:sz w:val="18"/>
          <w:szCs w:val="18"/>
          <w:lang w:val="es-ES_tradnl"/>
        </w:rPr>
        <w:t>ó</w:t>
      </w:r>
      <w:r>
        <w:rPr>
          <w:b/>
          <w:bCs/>
          <w:spacing w:val="-7"/>
          <w:sz w:val="18"/>
          <w:szCs w:val="18"/>
          <w:lang w:val="es-ES_tradnl"/>
        </w:rPr>
        <w:t>n extraordinaria de protecci</w:t>
      </w:r>
      <w:r>
        <w:rPr>
          <w:rFonts w:cs="Times New Roman"/>
          <w:b/>
          <w:bCs/>
          <w:spacing w:val="-7"/>
          <w:sz w:val="18"/>
          <w:szCs w:val="18"/>
          <w:lang w:val="es-ES_tradnl"/>
        </w:rPr>
        <w:t>ó</w:t>
      </w:r>
      <w:r>
        <w:rPr>
          <w:b/>
          <w:bCs/>
          <w:spacing w:val="-7"/>
          <w:sz w:val="18"/>
          <w:szCs w:val="18"/>
          <w:lang w:val="es-ES_tradnl"/>
        </w:rPr>
        <w:t>n</w:t>
      </w:r>
    </w:p>
    <w:p w14:paraId="4F67B6C9" w14:textId="77777777" w:rsidR="00591D54" w:rsidRDefault="00591D54">
      <w:pPr>
        <w:shd w:val="clear" w:color="auto" w:fill="FFFFFF"/>
        <w:spacing w:before="197" w:line="216" w:lineRule="exact"/>
        <w:ind w:right="5"/>
        <w:jc w:val="both"/>
      </w:pPr>
      <w:r>
        <w:rPr>
          <w:spacing w:val="-5"/>
          <w:sz w:val="18"/>
          <w:szCs w:val="18"/>
          <w:lang w:val="es-ES_tradnl"/>
        </w:rPr>
        <w:t>La acci</w:t>
      </w:r>
      <w:r>
        <w:rPr>
          <w:rFonts w:cs="Times New Roman"/>
          <w:spacing w:val="-5"/>
          <w:sz w:val="18"/>
          <w:szCs w:val="18"/>
          <w:lang w:val="es-ES_tradnl"/>
        </w:rPr>
        <w:t>ó</w:t>
      </w:r>
      <w:r>
        <w:rPr>
          <w:spacing w:val="-5"/>
          <w:sz w:val="18"/>
          <w:szCs w:val="18"/>
          <w:lang w:val="es-ES_tradnl"/>
        </w:rPr>
        <w:t>n extraordinaria de protecci</w:t>
      </w:r>
      <w:r>
        <w:rPr>
          <w:rFonts w:cs="Times New Roman"/>
          <w:spacing w:val="-5"/>
          <w:sz w:val="18"/>
          <w:szCs w:val="18"/>
          <w:lang w:val="es-ES_tradnl"/>
        </w:rPr>
        <w:t>ó</w:t>
      </w:r>
      <w:r>
        <w:rPr>
          <w:spacing w:val="-5"/>
          <w:sz w:val="18"/>
          <w:szCs w:val="18"/>
          <w:lang w:val="es-ES_tradnl"/>
        </w:rPr>
        <w:t xml:space="preserve">n, establecida en el </w:t>
      </w:r>
      <w:r>
        <w:rPr>
          <w:spacing w:val="-7"/>
          <w:sz w:val="18"/>
          <w:szCs w:val="18"/>
          <w:lang w:val="es-ES_tradnl"/>
        </w:rPr>
        <w:t>art</w:t>
      </w:r>
      <w:r>
        <w:rPr>
          <w:rFonts w:cs="Times New Roman"/>
          <w:spacing w:val="-7"/>
          <w:sz w:val="18"/>
          <w:szCs w:val="18"/>
          <w:lang w:val="es-ES_tradnl"/>
        </w:rPr>
        <w:t>í</w:t>
      </w:r>
      <w:r>
        <w:rPr>
          <w:spacing w:val="-7"/>
          <w:sz w:val="18"/>
          <w:szCs w:val="18"/>
          <w:lang w:val="es-ES_tradnl"/>
        </w:rPr>
        <w:t>culo 94 de la Norma Suprema, constituye una garant</w:t>
      </w:r>
      <w:r>
        <w:rPr>
          <w:rFonts w:cs="Times New Roman"/>
          <w:spacing w:val="-7"/>
          <w:sz w:val="18"/>
          <w:szCs w:val="18"/>
          <w:lang w:val="es-ES_tradnl"/>
        </w:rPr>
        <w:t>í</w:t>
      </w:r>
      <w:r>
        <w:rPr>
          <w:spacing w:val="-7"/>
          <w:sz w:val="18"/>
          <w:szCs w:val="18"/>
          <w:lang w:val="es-ES_tradnl"/>
        </w:rPr>
        <w:t xml:space="preserve">a </w:t>
      </w:r>
      <w:r>
        <w:rPr>
          <w:spacing w:val="-3"/>
          <w:sz w:val="18"/>
          <w:szCs w:val="18"/>
          <w:lang w:val="es-ES_tradnl"/>
        </w:rPr>
        <w:t xml:space="preserve">jurisdiccional creada por el constituyente para proteger </w:t>
      </w:r>
      <w:r>
        <w:rPr>
          <w:spacing w:val="-5"/>
          <w:sz w:val="18"/>
          <w:szCs w:val="18"/>
          <w:lang w:val="es-ES_tradnl"/>
        </w:rPr>
        <w:t xml:space="preserve">los derechos constitucionales de las personas en contra </w:t>
      </w:r>
      <w:r>
        <w:rPr>
          <w:spacing w:val="-8"/>
          <w:sz w:val="18"/>
          <w:szCs w:val="18"/>
          <w:lang w:val="es-ES_tradnl"/>
        </w:rPr>
        <w:t>de cualquier vulneraci</w:t>
      </w:r>
      <w:r>
        <w:rPr>
          <w:rFonts w:cs="Times New Roman"/>
          <w:spacing w:val="-8"/>
          <w:sz w:val="18"/>
          <w:szCs w:val="18"/>
          <w:lang w:val="es-ES_tradnl"/>
        </w:rPr>
        <w:t>ó</w:t>
      </w:r>
      <w:r>
        <w:rPr>
          <w:spacing w:val="-8"/>
          <w:sz w:val="18"/>
          <w:szCs w:val="18"/>
          <w:lang w:val="es-ES_tradnl"/>
        </w:rPr>
        <w:t xml:space="preserve">n que se produzca mediante actos </w:t>
      </w:r>
      <w:r>
        <w:rPr>
          <w:spacing w:val="-11"/>
          <w:sz w:val="18"/>
          <w:szCs w:val="18"/>
          <w:lang w:val="es-ES_tradnl"/>
        </w:rPr>
        <w:t>jurisdiccionales. As</w:t>
      </w:r>
      <w:r>
        <w:rPr>
          <w:rFonts w:cs="Times New Roman"/>
          <w:spacing w:val="-11"/>
          <w:sz w:val="18"/>
          <w:szCs w:val="18"/>
          <w:lang w:val="es-ES_tradnl"/>
        </w:rPr>
        <w:t>í</w:t>
      </w:r>
      <w:r>
        <w:rPr>
          <w:spacing w:val="-11"/>
          <w:sz w:val="18"/>
          <w:szCs w:val="18"/>
          <w:lang w:val="es-ES_tradnl"/>
        </w:rPr>
        <w:t>, esta acci</w:t>
      </w:r>
      <w:r>
        <w:rPr>
          <w:rFonts w:cs="Times New Roman"/>
          <w:spacing w:val="-11"/>
          <w:sz w:val="18"/>
          <w:szCs w:val="18"/>
          <w:lang w:val="es-ES_tradnl"/>
        </w:rPr>
        <w:t>ó</w:t>
      </w:r>
      <w:r>
        <w:rPr>
          <w:spacing w:val="-11"/>
          <w:sz w:val="18"/>
          <w:szCs w:val="18"/>
          <w:lang w:val="es-ES_tradnl"/>
        </w:rPr>
        <w:t xml:space="preserve">n nace y existe para garantizar </w:t>
      </w:r>
      <w:r>
        <w:rPr>
          <w:spacing w:val="-8"/>
          <w:sz w:val="18"/>
          <w:szCs w:val="18"/>
          <w:lang w:val="es-ES_tradnl"/>
        </w:rPr>
        <w:t xml:space="preserve">y defender el respeto de los derechos constitucionales y el debido proceso. Por consiguiente, tiene como fin proteger, </w:t>
      </w:r>
      <w:r>
        <w:rPr>
          <w:spacing w:val="-10"/>
          <w:sz w:val="18"/>
          <w:szCs w:val="18"/>
          <w:lang w:val="es-ES_tradnl"/>
        </w:rPr>
        <w:t xml:space="preserve">precautelar, tutelar y amparar los derechos de las personas </w:t>
      </w:r>
      <w:r>
        <w:rPr>
          <w:spacing w:val="-9"/>
          <w:sz w:val="18"/>
          <w:szCs w:val="18"/>
          <w:lang w:val="es-ES_tradnl"/>
        </w:rPr>
        <w:t>que, por acci</w:t>
      </w:r>
      <w:r>
        <w:rPr>
          <w:rFonts w:cs="Times New Roman"/>
          <w:spacing w:val="-9"/>
          <w:sz w:val="18"/>
          <w:szCs w:val="18"/>
          <w:lang w:val="es-ES_tradnl"/>
        </w:rPr>
        <w:t>ó</w:t>
      </w:r>
      <w:r>
        <w:rPr>
          <w:spacing w:val="-9"/>
          <w:sz w:val="18"/>
          <w:szCs w:val="18"/>
          <w:lang w:val="es-ES_tradnl"/>
        </w:rPr>
        <w:t>n u omisi</w:t>
      </w:r>
      <w:r>
        <w:rPr>
          <w:rFonts w:cs="Times New Roman"/>
          <w:spacing w:val="-9"/>
          <w:sz w:val="18"/>
          <w:szCs w:val="18"/>
          <w:lang w:val="es-ES_tradnl"/>
        </w:rPr>
        <w:t>ó</w:t>
      </w:r>
      <w:r>
        <w:rPr>
          <w:spacing w:val="-9"/>
          <w:sz w:val="18"/>
          <w:szCs w:val="18"/>
          <w:lang w:val="es-ES_tradnl"/>
        </w:rPr>
        <w:t xml:space="preserve">n, sean violados o afectados en las </w:t>
      </w:r>
      <w:r>
        <w:rPr>
          <w:sz w:val="18"/>
          <w:szCs w:val="18"/>
          <w:lang w:val="es-ES_tradnl"/>
        </w:rPr>
        <w:t>decisiones judiciales.</w:t>
      </w:r>
    </w:p>
    <w:p w14:paraId="4F67B6CA" w14:textId="77777777" w:rsidR="00591D54" w:rsidRDefault="00591D54">
      <w:pPr>
        <w:shd w:val="clear" w:color="auto" w:fill="FFFFFF"/>
        <w:spacing w:before="197" w:line="216" w:lineRule="exact"/>
        <w:ind w:right="5"/>
        <w:jc w:val="both"/>
      </w:pPr>
      <w:r>
        <w:rPr>
          <w:spacing w:val="-6"/>
          <w:sz w:val="18"/>
          <w:szCs w:val="18"/>
          <w:lang w:val="es-ES_tradnl"/>
        </w:rPr>
        <w:t>En este sentido, de acuerdo con el art</w:t>
      </w:r>
      <w:r>
        <w:rPr>
          <w:rFonts w:cs="Times New Roman"/>
          <w:spacing w:val="-6"/>
          <w:sz w:val="18"/>
          <w:szCs w:val="18"/>
          <w:lang w:val="es-ES_tradnl"/>
        </w:rPr>
        <w:t>í</w:t>
      </w:r>
      <w:r>
        <w:rPr>
          <w:spacing w:val="-6"/>
          <w:sz w:val="18"/>
          <w:szCs w:val="18"/>
          <w:lang w:val="es-ES_tradnl"/>
        </w:rPr>
        <w:t xml:space="preserve">culo 437 de la </w:t>
      </w:r>
      <w:r>
        <w:rPr>
          <w:sz w:val="18"/>
          <w:szCs w:val="18"/>
          <w:lang w:val="es-ES_tradnl"/>
        </w:rPr>
        <w:t>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 la acci</w:t>
      </w:r>
      <w:r>
        <w:rPr>
          <w:rFonts w:cs="Times New Roman"/>
          <w:sz w:val="18"/>
          <w:szCs w:val="18"/>
          <w:lang w:val="es-ES_tradnl"/>
        </w:rPr>
        <w:t>ó</w:t>
      </w:r>
      <w:r>
        <w:rPr>
          <w:sz w:val="18"/>
          <w:szCs w:val="18"/>
          <w:lang w:val="es-ES_tradnl"/>
        </w:rPr>
        <w:t xml:space="preserve">n extraordinaria </w:t>
      </w:r>
      <w:r>
        <w:rPr>
          <w:spacing w:val="-8"/>
          <w:sz w:val="18"/>
          <w:szCs w:val="18"/>
          <w:lang w:val="es-ES_tradnl"/>
        </w:rPr>
        <w:t>de protecci</w:t>
      </w:r>
      <w:r>
        <w:rPr>
          <w:rFonts w:cs="Times New Roman"/>
          <w:spacing w:val="-8"/>
          <w:sz w:val="18"/>
          <w:szCs w:val="18"/>
          <w:lang w:val="es-ES_tradnl"/>
        </w:rPr>
        <w:t>ó</w:t>
      </w:r>
      <w:r>
        <w:rPr>
          <w:spacing w:val="-8"/>
          <w:sz w:val="18"/>
          <w:szCs w:val="18"/>
          <w:lang w:val="es-ES_tradnl"/>
        </w:rPr>
        <w:t xml:space="preserve">n procede </w:t>
      </w:r>
      <w:r>
        <w:rPr>
          <w:rFonts w:cs="Times New Roman"/>
          <w:spacing w:val="-8"/>
          <w:sz w:val="18"/>
          <w:szCs w:val="18"/>
          <w:lang w:val="es-ES_tradnl"/>
        </w:rPr>
        <w:t>ú</w:t>
      </w:r>
      <w:r>
        <w:rPr>
          <w:spacing w:val="-8"/>
          <w:sz w:val="18"/>
          <w:szCs w:val="18"/>
          <w:lang w:val="es-ES_tradnl"/>
        </w:rPr>
        <w:t xml:space="preserve">nicamente cuando se trate de </w:t>
      </w:r>
      <w:r>
        <w:rPr>
          <w:spacing w:val="-9"/>
          <w:sz w:val="18"/>
          <w:szCs w:val="18"/>
          <w:lang w:val="es-ES_tradnl"/>
        </w:rPr>
        <w:t xml:space="preserve">sentencias, autos y resoluciones firmes o ejecutoriados, en </w:t>
      </w:r>
      <w:r>
        <w:rPr>
          <w:spacing w:val="-8"/>
          <w:sz w:val="18"/>
          <w:szCs w:val="18"/>
          <w:lang w:val="es-ES_tradnl"/>
        </w:rPr>
        <w:t>los que el accionante demuestre que en el juzgamiento se ha violado, por acci</w:t>
      </w:r>
      <w:r>
        <w:rPr>
          <w:rFonts w:cs="Times New Roman"/>
          <w:spacing w:val="-8"/>
          <w:sz w:val="18"/>
          <w:szCs w:val="18"/>
          <w:lang w:val="es-ES_tradnl"/>
        </w:rPr>
        <w:t>ó</w:t>
      </w:r>
      <w:r>
        <w:rPr>
          <w:spacing w:val="-8"/>
          <w:sz w:val="18"/>
          <w:szCs w:val="18"/>
          <w:lang w:val="es-ES_tradnl"/>
        </w:rPr>
        <w:t>n u omisi</w:t>
      </w:r>
      <w:r>
        <w:rPr>
          <w:rFonts w:cs="Times New Roman"/>
          <w:spacing w:val="-8"/>
          <w:sz w:val="18"/>
          <w:szCs w:val="18"/>
          <w:lang w:val="es-ES_tradnl"/>
        </w:rPr>
        <w:t>ó</w:t>
      </w:r>
      <w:r>
        <w:rPr>
          <w:spacing w:val="-8"/>
          <w:sz w:val="18"/>
          <w:szCs w:val="18"/>
          <w:lang w:val="es-ES_tradnl"/>
        </w:rPr>
        <w:t xml:space="preserve">n, el debido proceso u otros </w:t>
      </w:r>
      <w:r>
        <w:rPr>
          <w:sz w:val="18"/>
          <w:szCs w:val="18"/>
          <w:lang w:val="es-ES_tradnl"/>
        </w:rPr>
        <w:t>derechos reconocidos en la Constituci</w:t>
      </w:r>
      <w:r>
        <w:rPr>
          <w:rFonts w:cs="Times New Roman"/>
          <w:sz w:val="18"/>
          <w:szCs w:val="18"/>
          <w:lang w:val="es-ES_tradnl"/>
        </w:rPr>
        <w:t>ó</w:t>
      </w:r>
      <w:r>
        <w:rPr>
          <w:sz w:val="18"/>
          <w:szCs w:val="18"/>
          <w:lang w:val="es-ES_tradnl"/>
        </w:rPr>
        <w:t>n.</w:t>
      </w:r>
    </w:p>
    <w:p w14:paraId="4F67B6CB" w14:textId="77777777" w:rsidR="00591D54" w:rsidRDefault="00591D54">
      <w:pPr>
        <w:shd w:val="clear" w:color="auto" w:fill="FFFFFF"/>
        <w:spacing w:before="197" w:line="216" w:lineRule="exact"/>
        <w:ind w:right="5"/>
        <w:jc w:val="both"/>
      </w:pPr>
      <w:r>
        <w:rPr>
          <w:spacing w:val="-7"/>
          <w:sz w:val="18"/>
          <w:szCs w:val="18"/>
          <w:lang w:val="es-ES_tradnl"/>
        </w:rPr>
        <w:t>Cabe se</w:t>
      </w:r>
      <w:r>
        <w:rPr>
          <w:rFonts w:cs="Times New Roman"/>
          <w:spacing w:val="-7"/>
          <w:sz w:val="18"/>
          <w:szCs w:val="18"/>
          <w:lang w:val="es-ES_tradnl"/>
        </w:rPr>
        <w:t>ñ</w:t>
      </w:r>
      <w:r>
        <w:rPr>
          <w:spacing w:val="-7"/>
          <w:sz w:val="18"/>
          <w:szCs w:val="18"/>
          <w:lang w:val="es-ES_tradnl"/>
        </w:rPr>
        <w:t>alar tambi</w:t>
      </w:r>
      <w:r>
        <w:rPr>
          <w:rFonts w:cs="Times New Roman"/>
          <w:spacing w:val="-7"/>
          <w:sz w:val="18"/>
          <w:szCs w:val="18"/>
          <w:lang w:val="es-ES_tradnl"/>
        </w:rPr>
        <w:t>é</w:t>
      </w:r>
      <w:r>
        <w:rPr>
          <w:spacing w:val="-7"/>
          <w:sz w:val="18"/>
          <w:szCs w:val="18"/>
          <w:lang w:val="es-ES_tradnl"/>
        </w:rPr>
        <w:t>n que la acci</w:t>
      </w:r>
      <w:r>
        <w:rPr>
          <w:rFonts w:cs="Times New Roman"/>
          <w:spacing w:val="-7"/>
          <w:sz w:val="18"/>
          <w:szCs w:val="18"/>
          <w:lang w:val="es-ES_tradnl"/>
        </w:rPr>
        <w:t>ó</w:t>
      </w:r>
      <w:r>
        <w:rPr>
          <w:spacing w:val="-7"/>
          <w:sz w:val="18"/>
          <w:szCs w:val="18"/>
          <w:lang w:val="es-ES_tradnl"/>
        </w:rPr>
        <w:t xml:space="preserve">n extraordinaria de </w:t>
      </w:r>
      <w:r>
        <w:rPr>
          <w:spacing w:val="-5"/>
          <w:sz w:val="18"/>
          <w:szCs w:val="18"/>
          <w:lang w:val="es-ES_tradnl"/>
        </w:rPr>
        <w:t>protecci</w:t>
      </w:r>
      <w:r>
        <w:rPr>
          <w:rFonts w:cs="Times New Roman"/>
          <w:spacing w:val="-5"/>
          <w:sz w:val="18"/>
          <w:szCs w:val="18"/>
          <w:lang w:val="es-ES_tradnl"/>
        </w:rPr>
        <w:t>ó</w:t>
      </w:r>
      <w:r>
        <w:rPr>
          <w:spacing w:val="-5"/>
          <w:sz w:val="18"/>
          <w:szCs w:val="18"/>
          <w:lang w:val="es-ES_tradnl"/>
        </w:rPr>
        <w:t xml:space="preserve">n es un mecanismo excepcional que busca </w:t>
      </w:r>
      <w:r>
        <w:rPr>
          <w:spacing w:val="-2"/>
          <w:sz w:val="18"/>
          <w:szCs w:val="18"/>
          <w:lang w:val="es-ES_tradnl"/>
        </w:rPr>
        <w:t>garantizar la supremac</w:t>
      </w:r>
      <w:r>
        <w:rPr>
          <w:rFonts w:cs="Times New Roman"/>
          <w:spacing w:val="-2"/>
          <w:sz w:val="18"/>
          <w:szCs w:val="18"/>
          <w:lang w:val="es-ES_tradnl"/>
        </w:rPr>
        <w:t>í</w:t>
      </w:r>
      <w:r>
        <w:rPr>
          <w:spacing w:val="-2"/>
          <w:sz w:val="18"/>
          <w:szCs w:val="18"/>
          <w:lang w:val="es-ES_tradnl"/>
        </w:rPr>
        <w:t>a de la Constituci</w:t>
      </w:r>
      <w:r>
        <w:rPr>
          <w:rFonts w:cs="Times New Roman"/>
          <w:spacing w:val="-2"/>
          <w:sz w:val="18"/>
          <w:szCs w:val="18"/>
          <w:lang w:val="es-ES_tradnl"/>
        </w:rPr>
        <w:t>ó</w:t>
      </w:r>
      <w:r>
        <w:rPr>
          <w:spacing w:val="-2"/>
          <w:sz w:val="18"/>
          <w:szCs w:val="18"/>
          <w:lang w:val="es-ES_tradnl"/>
        </w:rPr>
        <w:t xml:space="preserve">n frente a </w:t>
      </w:r>
      <w:r>
        <w:rPr>
          <w:spacing w:val="-8"/>
          <w:sz w:val="18"/>
          <w:szCs w:val="18"/>
          <w:lang w:val="es-ES_tradnl"/>
        </w:rPr>
        <w:t>acciones y omisiones, en este caso, de los jueces. As</w:t>
      </w:r>
      <w:r>
        <w:rPr>
          <w:rFonts w:cs="Times New Roman"/>
          <w:spacing w:val="-8"/>
          <w:sz w:val="18"/>
          <w:szCs w:val="18"/>
          <w:lang w:val="es-ES_tradnl"/>
        </w:rPr>
        <w:t>í</w:t>
      </w:r>
      <w:r>
        <w:rPr>
          <w:spacing w:val="-8"/>
          <w:sz w:val="18"/>
          <w:szCs w:val="18"/>
          <w:lang w:val="es-ES_tradnl"/>
        </w:rPr>
        <w:t xml:space="preserve">, la </w:t>
      </w:r>
      <w:r>
        <w:rPr>
          <w:spacing w:val="-7"/>
          <w:sz w:val="18"/>
          <w:szCs w:val="18"/>
          <w:lang w:val="es-ES_tradnl"/>
        </w:rPr>
        <w:t>incorporaci</w:t>
      </w:r>
      <w:r>
        <w:rPr>
          <w:rFonts w:cs="Times New Roman"/>
          <w:spacing w:val="-7"/>
          <w:sz w:val="18"/>
          <w:szCs w:val="18"/>
          <w:lang w:val="es-ES_tradnl"/>
        </w:rPr>
        <w:t>ó</w:t>
      </w:r>
      <w:r>
        <w:rPr>
          <w:spacing w:val="-7"/>
          <w:sz w:val="18"/>
          <w:szCs w:val="18"/>
          <w:lang w:val="es-ES_tradnl"/>
        </w:rPr>
        <w:t>n del control de constitucionalidad tambi</w:t>
      </w:r>
      <w:r>
        <w:rPr>
          <w:rFonts w:cs="Times New Roman"/>
          <w:spacing w:val="-7"/>
          <w:sz w:val="18"/>
          <w:szCs w:val="18"/>
          <w:lang w:val="es-ES_tradnl"/>
        </w:rPr>
        <w:t>é</w:t>
      </w:r>
      <w:r>
        <w:rPr>
          <w:spacing w:val="-7"/>
          <w:sz w:val="18"/>
          <w:szCs w:val="18"/>
          <w:lang w:val="es-ES_tradnl"/>
        </w:rPr>
        <w:t xml:space="preserve">n de </w:t>
      </w:r>
      <w:r>
        <w:rPr>
          <w:spacing w:val="-8"/>
          <w:sz w:val="18"/>
          <w:szCs w:val="18"/>
          <w:lang w:val="es-ES_tradnl"/>
        </w:rPr>
        <w:t xml:space="preserve">las decisiones judiciales permite garantizar que al igual que </w:t>
      </w:r>
      <w:r>
        <w:rPr>
          <w:spacing w:val="-10"/>
          <w:sz w:val="18"/>
          <w:szCs w:val="18"/>
          <w:lang w:val="es-ES_tradnl"/>
        </w:rPr>
        <w:t>cualquier decisi</w:t>
      </w:r>
      <w:r>
        <w:rPr>
          <w:rFonts w:cs="Times New Roman"/>
          <w:spacing w:val="-10"/>
          <w:sz w:val="18"/>
          <w:szCs w:val="18"/>
          <w:lang w:val="es-ES_tradnl"/>
        </w:rPr>
        <w:t>ó</w:t>
      </w:r>
      <w:r>
        <w:rPr>
          <w:spacing w:val="-10"/>
          <w:sz w:val="18"/>
          <w:szCs w:val="18"/>
          <w:lang w:val="es-ES_tradnl"/>
        </w:rPr>
        <w:t>n de autoridad p</w:t>
      </w:r>
      <w:r>
        <w:rPr>
          <w:rFonts w:cs="Times New Roman"/>
          <w:spacing w:val="-10"/>
          <w:sz w:val="18"/>
          <w:szCs w:val="18"/>
          <w:lang w:val="es-ES_tradnl"/>
        </w:rPr>
        <w:t>ú</w:t>
      </w:r>
      <w:r>
        <w:rPr>
          <w:spacing w:val="-10"/>
          <w:sz w:val="18"/>
          <w:szCs w:val="18"/>
          <w:lang w:val="es-ES_tradnl"/>
        </w:rPr>
        <w:t xml:space="preserve">blica, estas se encuentren </w:t>
      </w:r>
      <w:r>
        <w:rPr>
          <w:spacing w:val="-7"/>
          <w:sz w:val="18"/>
          <w:szCs w:val="18"/>
          <w:lang w:val="es-ES_tradnl"/>
        </w:rPr>
        <w:t>conformes al texto de la Constituci</w:t>
      </w:r>
      <w:r>
        <w:rPr>
          <w:rFonts w:cs="Times New Roman"/>
          <w:spacing w:val="-7"/>
          <w:sz w:val="18"/>
          <w:szCs w:val="18"/>
          <w:lang w:val="es-ES_tradnl"/>
        </w:rPr>
        <w:t>ó</w:t>
      </w:r>
      <w:r>
        <w:rPr>
          <w:spacing w:val="-7"/>
          <w:sz w:val="18"/>
          <w:szCs w:val="18"/>
          <w:lang w:val="es-ES_tradnl"/>
        </w:rPr>
        <w:t xml:space="preserve">n y ante todo respeten </w:t>
      </w:r>
      <w:r>
        <w:rPr>
          <w:sz w:val="18"/>
          <w:szCs w:val="18"/>
          <w:lang w:val="es-ES_tradnl"/>
        </w:rPr>
        <w:t>los derechos de las partes procesales.</w:t>
      </w:r>
    </w:p>
    <w:p w14:paraId="4F67B6CC" w14:textId="77777777" w:rsidR="00591D54" w:rsidRDefault="00591D54">
      <w:pPr>
        <w:shd w:val="clear" w:color="auto" w:fill="FFFFFF"/>
        <w:spacing w:before="192"/>
      </w:pPr>
      <w:r>
        <w:rPr>
          <w:b/>
          <w:bCs/>
          <w:spacing w:val="-7"/>
          <w:sz w:val="18"/>
          <w:szCs w:val="18"/>
          <w:lang w:val="es-ES_tradnl"/>
        </w:rPr>
        <w:t>Determinaci</w:t>
      </w:r>
      <w:r>
        <w:rPr>
          <w:rFonts w:cs="Times New Roman"/>
          <w:b/>
          <w:bCs/>
          <w:spacing w:val="-7"/>
          <w:sz w:val="18"/>
          <w:szCs w:val="18"/>
          <w:lang w:val="es-ES_tradnl"/>
        </w:rPr>
        <w:t>ó</w:t>
      </w:r>
      <w:r>
        <w:rPr>
          <w:b/>
          <w:bCs/>
          <w:spacing w:val="-7"/>
          <w:sz w:val="18"/>
          <w:szCs w:val="18"/>
          <w:lang w:val="es-ES_tradnl"/>
        </w:rPr>
        <w:t>n del problema jur</w:t>
      </w:r>
      <w:r>
        <w:rPr>
          <w:rFonts w:cs="Times New Roman"/>
          <w:b/>
          <w:bCs/>
          <w:spacing w:val="-7"/>
          <w:sz w:val="18"/>
          <w:szCs w:val="18"/>
          <w:lang w:val="es-ES_tradnl"/>
        </w:rPr>
        <w:t>í</w:t>
      </w:r>
      <w:r>
        <w:rPr>
          <w:b/>
          <w:bCs/>
          <w:spacing w:val="-7"/>
          <w:sz w:val="18"/>
          <w:szCs w:val="18"/>
          <w:lang w:val="es-ES_tradnl"/>
        </w:rPr>
        <w:t>dico</w:t>
      </w:r>
    </w:p>
    <w:p w14:paraId="4F67B6CD" w14:textId="77777777" w:rsidR="00591D54" w:rsidRDefault="00591D54">
      <w:pPr>
        <w:shd w:val="clear" w:color="auto" w:fill="FFFFFF"/>
        <w:spacing w:before="192" w:line="216" w:lineRule="exact"/>
        <w:ind w:right="5"/>
        <w:jc w:val="both"/>
      </w:pPr>
      <w:r>
        <w:rPr>
          <w:spacing w:val="-11"/>
          <w:sz w:val="18"/>
          <w:szCs w:val="18"/>
          <w:lang w:val="es-ES_tradnl"/>
        </w:rPr>
        <w:t>De la revisi</w:t>
      </w:r>
      <w:r>
        <w:rPr>
          <w:rFonts w:cs="Times New Roman"/>
          <w:spacing w:val="-11"/>
          <w:sz w:val="18"/>
          <w:szCs w:val="18"/>
          <w:lang w:val="es-ES_tradnl"/>
        </w:rPr>
        <w:t>ó</w:t>
      </w:r>
      <w:r>
        <w:rPr>
          <w:spacing w:val="-11"/>
          <w:sz w:val="18"/>
          <w:szCs w:val="18"/>
          <w:lang w:val="es-ES_tradnl"/>
        </w:rPr>
        <w:t xml:space="preserve">n del expediente, esta Corte considera necesario </w:t>
      </w:r>
      <w:r>
        <w:rPr>
          <w:spacing w:val="-6"/>
          <w:sz w:val="18"/>
          <w:szCs w:val="18"/>
          <w:lang w:val="es-ES_tradnl"/>
        </w:rPr>
        <w:t>desarrollar el an</w:t>
      </w:r>
      <w:r>
        <w:rPr>
          <w:rFonts w:cs="Times New Roman"/>
          <w:spacing w:val="-6"/>
          <w:sz w:val="18"/>
          <w:szCs w:val="18"/>
          <w:lang w:val="es-ES_tradnl"/>
        </w:rPr>
        <w:t>á</w:t>
      </w:r>
      <w:r>
        <w:rPr>
          <w:spacing w:val="-6"/>
          <w:sz w:val="18"/>
          <w:szCs w:val="18"/>
          <w:lang w:val="es-ES_tradnl"/>
        </w:rPr>
        <w:t>lisis a partir del planteamiento y soluci</w:t>
      </w:r>
      <w:r>
        <w:rPr>
          <w:rFonts w:cs="Times New Roman"/>
          <w:spacing w:val="-6"/>
          <w:sz w:val="18"/>
          <w:szCs w:val="18"/>
          <w:lang w:val="es-ES_tradnl"/>
        </w:rPr>
        <w:t>ó</w:t>
      </w:r>
      <w:r>
        <w:rPr>
          <w:spacing w:val="-6"/>
          <w:sz w:val="18"/>
          <w:szCs w:val="18"/>
          <w:lang w:val="es-ES_tradnl"/>
        </w:rPr>
        <w:t xml:space="preserve">n </w:t>
      </w:r>
      <w:r>
        <w:rPr>
          <w:sz w:val="18"/>
          <w:szCs w:val="18"/>
          <w:lang w:val="es-ES_tradnl"/>
        </w:rPr>
        <w:t>del siguiente problema jur</w:t>
      </w:r>
      <w:r>
        <w:rPr>
          <w:rFonts w:cs="Times New Roman"/>
          <w:sz w:val="18"/>
          <w:szCs w:val="18"/>
          <w:lang w:val="es-ES_tradnl"/>
        </w:rPr>
        <w:t>í</w:t>
      </w:r>
      <w:r>
        <w:rPr>
          <w:sz w:val="18"/>
          <w:szCs w:val="18"/>
          <w:lang w:val="es-ES_tradnl"/>
        </w:rPr>
        <w:t>dico:</w:t>
      </w:r>
    </w:p>
    <w:p w14:paraId="4F67B6CE" w14:textId="77777777" w:rsidR="00591D54" w:rsidRDefault="00591D54">
      <w:pPr>
        <w:shd w:val="clear" w:color="auto" w:fill="FFFFFF"/>
        <w:spacing w:before="192" w:line="216" w:lineRule="exact"/>
        <w:ind w:right="5"/>
        <w:jc w:val="both"/>
      </w:pPr>
      <w:r>
        <w:rPr>
          <w:spacing w:val="-6"/>
          <w:sz w:val="18"/>
          <w:szCs w:val="18"/>
          <w:lang w:val="es-ES_tradnl"/>
        </w:rPr>
        <w:t xml:space="preserve">La sentencia del 31 de julio de 2012, dictada por el juez </w:t>
      </w:r>
      <w:r>
        <w:rPr>
          <w:spacing w:val="-7"/>
          <w:sz w:val="18"/>
          <w:szCs w:val="18"/>
          <w:lang w:val="es-ES_tradnl"/>
        </w:rPr>
        <w:t xml:space="preserve">provincial de Trabajo de Cotopaxi </w:t>
      </w:r>
      <w:r>
        <w:rPr>
          <w:rFonts w:cs="Times New Roman"/>
          <w:spacing w:val="-7"/>
          <w:sz w:val="18"/>
          <w:szCs w:val="18"/>
          <w:lang w:val="es-ES_tradnl"/>
        </w:rPr>
        <w:t>¿</w:t>
      </w:r>
      <w:r>
        <w:rPr>
          <w:spacing w:val="-7"/>
          <w:sz w:val="18"/>
          <w:szCs w:val="18"/>
          <w:lang w:val="es-ES_tradnl"/>
        </w:rPr>
        <w:t>vulner</w:t>
      </w:r>
      <w:r>
        <w:rPr>
          <w:rFonts w:cs="Times New Roman"/>
          <w:spacing w:val="-7"/>
          <w:sz w:val="18"/>
          <w:szCs w:val="18"/>
          <w:lang w:val="es-ES_tradnl"/>
        </w:rPr>
        <w:t>ó</w:t>
      </w:r>
      <w:r>
        <w:rPr>
          <w:spacing w:val="-7"/>
          <w:sz w:val="18"/>
          <w:szCs w:val="18"/>
          <w:lang w:val="es-ES_tradnl"/>
        </w:rPr>
        <w:t xml:space="preserve"> el derecho a la </w:t>
      </w:r>
      <w:r>
        <w:rPr>
          <w:spacing w:val="-9"/>
          <w:sz w:val="18"/>
          <w:szCs w:val="18"/>
          <w:lang w:val="es-ES_tradnl"/>
        </w:rPr>
        <w:t>defensa, contenido en el art</w:t>
      </w:r>
      <w:r>
        <w:rPr>
          <w:rFonts w:cs="Times New Roman"/>
          <w:spacing w:val="-9"/>
          <w:sz w:val="18"/>
          <w:szCs w:val="18"/>
          <w:lang w:val="es-ES_tradnl"/>
        </w:rPr>
        <w:t>í</w:t>
      </w:r>
      <w:r>
        <w:rPr>
          <w:spacing w:val="-9"/>
          <w:sz w:val="18"/>
          <w:szCs w:val="18"/>
          <w:lang w:val="es-ES_tradnl"/>
        </w:rPr>
        <w:t xml:space="preserve">culo 76 numeral 7 literal </w:t>
      </w:r>
      <w:r>
        <w:rPr>
          <w:i/>
          <w:iCs/>
          <w:spacing w:val="-9"/>
          <w:sz w:val="18"/>
          <w:szCs w:val="18"/>
          <w:lang w:val="es-ES_tradnl"/>
        </w:rPr>
        <w:t xml:space="preserve">a </w:t>
      </w:r>
      <w:r>
        <w:rPr>
          <w:spacing w:val="-9"/>
          <w:sz w:val="18"/>
          <w:szCs w:val="18"/>
          <w:lang w:val="es-ES_tradnl"/>
        </w:rPr>
        <w:t xml:space="preserve">de la </w:t>
      </w:r>
      <w:r>
        <w:rPr>
          <w:sz w:val="18"/>
          <w:szCs w:val="18"/>
          <w:lang w:val="es-ES_tradnl"/>
        </w:rPr>
        <w:t>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B6CF" w14:textId="77777777" w:rsidR="00591D54" w:rsidRDefault="00591D54">
      <w:pPr>
        <w:shd w:val="clear" w:color="auto" w:fill="FFFFFF"/>
        <w:spacing w:before="187"/>
      </w:pPr>
      <w:r>
        <w:rPr>
          <w:b/>
          <w:bCs/>
          <w:spacing w:val="-8"/>
          <w:sz w:val="18"/>
          <w:szCs w:val="18"/>
          <w:lang w:val="es-ES_tradnl"/>
        </w:rPr>
        <w:t>Resoluci</w:t>
      </w:r>
      <w:r>
        <w:rPr>
          <w:rFonts w:cs="Times New Roman"/>
          <w:b/>
          <w:bCs/>
          <w:spacing w:val="-8"/>
          <w:sz w:val="18"/>
          <w:szCs w:val="18"/>
          <w:lang w:val="es-ES_tradnl"/>
        </w:rPr>
        <w:t>ó</w:t>
      </w:r>
      <w:r>
        <w:rPr>
          <w:b/>
          <w:bCs/>
          <w:spacing w:val="-8"/>
          <w:sz w:val="18"/>
          <w:szCs w:val="18"/>
          <w:lang w:val="es-ES_tradnl"/>
        </w:rPr>
        <w:t>n del problema jur</w:t>
      </w:r>
      <w:r>
        <w:rPr>
          <w:rFonts w:cs="Times New Roman"/>
          <w:b/>
          <w:bCs/>
          <w:spacing w:val="-8"/>
          <w:sz w:val="18"/>
          <w:szCs w:val="18"/>
          <w:lang w:val="es-ES_tradnl"/>
        </w:rPr>
        <w:t>í</w:t>
      </w:r>
      <w:r>
        <w:rPr>
          <w:b/>
          <w:bCs/>
          <w:spacing w:val="-8"/>
          <w:sz w:val="18"/>
          <w:szCs w:val="18"/>
          <w:lang w:val="es-ES_tradnl"/>
        </w:rPr>
        <w:t>dico</w:t>
      </w:r>
    </w:p>
    <w:p w14:paraId="4F67B6D0" w14:textId="77777777" w:rsidR="00591D54" w:rsidRDefault="00591D54">
      <w:pPr>
        <w:shd w:val="clear" w:color="auto" w:fill="FFFFFF"/>
        <w:spacing w:before="192" w:line="216" w:lineRule="exact"/>
        <w:jc w:val="both"/>
      </w:pPr>
      <w:r>
        <w:rPr>
          <w:b/>
          <w:bCs/>
          <w:spacing w:val="-8"/>
          <w:sz w:val="18"/>
          <w:szCs w:val="18"/>
          <w:lang w:val="es-ES_tradnl"/>
        </w:rPr>
        <w:t xml:space="preserve">La sentencia del 31 de julio de 2012, dictada por el juez </w:t>
      </w:r>
      <w:r>
        <w:rPr>
          <w:b/>
          <w:bCs/>
          <w:spacing w:val="-10"/>
          <w:sz w:val="18"/>
          <w:szCs w:val="18"/>
          <w:lang w:val="es-ES_tradnl"/>
        </w:rPr>
        <w:t xml:space="preserve">provincial de Trabajo de Cotopaxi </w:t>
      </w:r>
      <w:r>
        <w:rPr>
          <w:rFonts w:cs="Times New Roman"/>
          <w:b/>
          <w:bCs/>
          <w:spacing w:val="-10"/>
          <w:sz w:val="18"/>
          <w:szCs w:val="18"/>
          <w:lang w:val="es-ES_tradnl"/>
        </w:rPr>
        <w:t>¿</w:t>
      </w:r>
      <w:r>
        <w:rPr>
          <w:b/>
          <w:bCs/>
          <w:spacing w:val="-10"/>
          <w:sz w:val="18"/>
          <w:szCs w:val="18"/>
          <w:lang w:val="es-ES_tradnl"/>
        </w:rPr>
        <w:t>vulner</w:t>
      </w:r>
      <w:r>
        <w:rPr>
          <w:rFonts w:cs="Times New Roman"/>
          <w:b/>
          <w:bCs/>
          <w:spacing w:val="-10"/>
          <w:sz w:val="18"/>
          <w:szCs w:val="18"/>
          <w:lang w:val="es-ES_tradnl"/>
        </w:rPr>
        <w:t>ó</w:t>
      </w:r>
      <w:r>
        <w:rPr>
          <w:b/>
          <w:bCs/>
          <w:spacing w:val="-10"/>
          <w:sz w:val="18"/>
          <w:szCs w:val="18"/>
          <w:lang w:val="es-ES_tradnl"/>
        </w:rPr>
        <w:t xml:space="preserve"> el derecho a la defensa, contenido en el art</w:t>
      </w:r>
      <w:r>
        <w:rPr>
          <w:rFonts w:cs="Times New Roman"/>
          <w:b/>
          <w:bCs/>
          <w:spacing w:val="-10"/>
          <w:sz w:val="18"/>
          <w:szCs w:val="18"/>
          <w:lang w:val="es-ES_tradnl"/>
        </w:rPr>
        <w:t>í</w:t>
      </w:r>
      <w:r>
        <w:rPr>
          <w:b/>
          <w:bCs/>
          <w:spacing w:val="-10"/>
          <w:sz w:val="18"/>
          <w:szCs w:val="18"/>
          <w:lang w:val="es-ES_tradnl"/>
        </w:rPr>
        <w:t xml:space="preserve">culo 76 numeral 7 literal </w:t>
      </w:r>
      <w:r>
        <w:rPr>
          <w:b/>
          <w:bCs/>
          <w:i/>
          <w:iCs/>
          <w:spacing w:val="-10"/>
          <w:sz w:val="18"/>
          <w:szCs w:val="18"/>
          <w:lang w:val="es-ES_tradnl"/>
        </w:rPr>
        <w:t xml:space="preserve">a </w:t>
      </w:r>
      <w:r>
        <w:rPr>
          <w:b/>
          <w:bCs/>
          <w:sz w:val="18"/>
          <w:szCs w:val="18"/>
          <w:lang w:val="es-ES_tradnl"/>
        </w:rPr>
        <w:t>de la Constituci</w:t>
      </w:r>
      <w:r>
        <w:rPr>
          <w:rFonts w:cs="Times New Roman"/>
          <w:b/>
          <w:bCs/>
          <w:sz w:val="18"/>
          <w:szCs w:val="18"/>
          <w:lang w:val="es-ES_tradnl"/>
        </w:rPr>
        <w:t>ó</w:t>
      </w:r>
      <w:r>
        <w:rPr>
          <w:b/>
          <w:bCs/>
          <w:sz w:val="18"/>
          <w:szCs w:val="18"/>
          <w:lang w:val="es-ES_tradnl"/>
        </w:rPr>
        <w:t>n de la Rep</w:t>
      </w:r>
      <w:r>
        <w:rPr>
          <w:rFonts w:cs="Times New Roman"/>
          <w:b/>
          <w:bCs/>
          <w:sz w:val="18"/>
          <w:szCs w:val="18"/>
          <w:lang w:val="es-ES_tradnl"/>
        </w:rPr>
        <w:t>ú</w:t>
      </w:r>
      <w:r>
        <w:rPr>
          <w:b/>
          <w:bCs/>
          <w:sz w:val="18"/>
          <w:szCs w:val="18"/>
          <w:lang w:val="es-ES_tradnl"/>
        </w:rPr>
        <w:t>blica?</w:t>
      </w:r>
    </w:p>
    <w:p w14:paraId="4F67B6D1" w14:textId="77777777" w:rsidR="00591D54" w:rsidRDefault="00591D54">
      <w:pPr>
        <w:shd w:val="clear" w:color="auto" w:fill="FFFFFF"/>
        <w:spacing w:before="197" w:line="216" w:lineRule="exact"/>
        <w:ind w:right="5"/>
        <w:jc w:val="both"/>
      </w:pPr>
      <w:r>
        <w:rPr>
          <w:spacing w:val="-9"/>
          <w:sz w:val="18"/>
          <w:szCs w:val="18"/>
          <w:lang w:val="es-ES_tradnl"/>
        </w:rPr>
        <w:t xml:space="preserve">El accionante en su demanda sostiene que se ha vulnerado </w:t>
      </w:r>
      <w:r>
        <w:rPr>
          <w:spacing w:val="-8"/>
          <w:sz w:val="18"/>
          <w:szCs w:val="18"/>
          <w:lang w:val="es-ES_tradnl"/>
        </w:rPr>
        <w:t xml:space="preserve">su derecho a la defensa, pues refiere que en el proceso </w:t>
      </w:r>
      <w:r>
        <w:rPr>
          <w:spacing w:val="-7"/>
          <w:sz w:val="18"/>
          <w:szCs w:val="18"/>
          <w:lang w:val="es-ES_tradnl"/>
        </w:rPr>
        <w:t xml:space="preserve">laboral incoado en su contra no fue citado con la demanda </w:t>
      </w:r>
      <w:r>
        <w:rPr>
          <w:spacing w:val="-6"/>
          <w:sz w:val="18"/>
          <w:szCs w:val="18"/>
          <w:lang w:val="es-ES_tradnl"/>
        </w:rPr>
        <w:t xml:space="preserve">dentro del juicio, por lo cual concluye que se le ha dejado </w:t>
      </w:r>
      <w:r>
        <w:rPr>
          <w:spacing w:val="-9"/>
          <w:sz w:val="18"/>
          <w:szCs w:val="18"/>
          <w:lang w:val="es-ES_tradnl"/>
        </w:rPr>
        <w:t>en un estado de indefensi</w:t>
      </w:r>
      <w:r>
        <w:rPr>
          <w:rFonts w:cs="Times New Roman"/>
          <w:spacing w:val="-9"/>
          <w:sz w:val="18"/>
          <w:szCs w:val="18"/>
          <w:lang w:val="es-ES_tradnl"/>
        </w:rPr>
        <w:t>ó</w:t>
      </w:r>
      <w:r>
        <w:rPr>
          <w:spacing w:val="-9"/>
          <w:sz w:val="18"/>
          <w:szCs w:val="18"/>
          <w:lang w:val="es-ES_tradnl"/>
        </w:rPr>
        <w:t xml:space="preserve">n al haberse impedido ejercer su </w:t>
      </w:r>
      <w:r>
        <w:rPr>
          <w:sz w:val="18"/>
          <w:szCs w:val="18"/>
          <w:lang w:val="es-ES_tradnl"/>
        </w:rPr>
        <w:t>derecho constitucional a la defensa.</w:t>
      </w:r>
    </w:p>
    <w:p w14:paraId="4F67B6D2" w14:textId="77777777" w:rsidR="00591D54" w:rsidRDefault="00591D54">
      <w:pPr>
        <w:shd w:val="clear" w:color="auto" w:fill="FFFFFF"/>
        <w:spacing w:before="197" w:line="216" w:lineRule="exact"/>
        <w:ind w:right="5"/>
        <w:jc w:val="both"/>
        <w:sectPr w:rsidR="00591D54">
          <w:type w:val="continuous"/>
          <w:pgSz w:w="11909" w:h="16834"/>
          <w:pgMar w:top="1380" w:right="1304" w:bottom="360" w:left="1308" w:header="720" w:footer="720" w:gutter="0"/>
          <w:cols w:num="2" w:space="720" w:equalWidth="0">
            <w:col w:w="4305" w:space="682"/>
            <w:col w:w="4310"/>
          </w:cols>
          <w:noEndnote/>
        </w:sectPr>
      </w:pPr>
    </w:p>
    <w:p w14:paraId="4F67B6D3" w14:textId="77777777" w:rsidR="00591D54" w:rsidRDefault="00591D54">
      <w:pPr>
        <w:shd w:val="clear" w:color="auto" w:fill="FFFFFF"/>
        <w:tabs>
          <w:tab w:val="left" w:pos="5842"/>
        </w:tabs>
        <w:spacing w:after="226"/>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- 235</w:t>
      </w:r>
    </w:p>
    <w:p w14:paraId="4F67B6D4" w14:textId="77777777" w:rsidR="00591D54" w:rsidRDefault="00591D54">
      <w:pPr>
        <w:shd w:val="clear" w:color="auto" w:fill="FFFFFF"/>
        <w:tabs>
          <w:tab w:val="left" w:pos="5842"/>
        </w:tabs>
        <w:spacing w:after="226"/>
        <w:ind w:left="5"/>
        <w:sectPr w:rsidR="00591D54">
          <w:pgSz w:w="11909" w:h="16834"/>
          <w:pgMar w:top="1356" w:right="1304" w:bottom="360" w:left="1308" w:header="720" w:footer="720" w:gutter="0"/>
          <w:cols w:space="60"/>
          <w:noEndnote/>
        </w:sectPr>
      </w:pPr>
    </w:p>
    <w:p w14:paraId="4F67B6D5" w14:textId="77777777" w:rsidR="00591D54" w:rsidRDefault="00591D54">
      <w:pPr>
        <w:shd w:val="clear" w:color="auto" w:fill="FFFFFF"/>
        <w:spacing w:before="10" w:line="216" w:lineRule="exact"/>
        <w:jc w:val="both"/>
      </w:pPr>
      <w:r>
        <w:rPr>
          <w:spacing w:val="-1"/>
          <w:sz w:val="18"/>
          <w:szCs w:val="18"/>
          <w:lang w:val="es-ES_tradnl"/>
        </w:rPr>
        <w:t>La Constituci</w:t>
      </w:r>
      <w:r>
        <w:rPr>
          <w:rFonts w:cs="Times New Roman"/>
          <w:spacing w:val="-1"/>
          <w:sz w:val="18"/>
          <w:szCs w:val="18"/>
          <w:lang w:val="es-ES_tradnl"/>
        </w:rPr>
        <w:t>ó</w:t>
      </w:r>
      <w:r>
        <w:rPr>
          <w:spacing w:val="-1"/>
          <w:sz w:val="18"/>
          <w:szCs w:val="18"/>
          <w:lang w:val="es-ES_tradnl"/>
        </w:rPr>
        <w:t>n de la Rep</w:t>
      </w:r>
      <w:r>
        <w:rPr>
          <w:rFonts w:cs="Times New Roman"/>
          <w:spacing w:val="-1"/>
          <w:sz w:val="18"/>
          <w:szCs w:val="18"/>
          <w:lang w:val="es-ES_tradnl"/>
        </w:rPr>
        <w:t>ú</w:t>
      </w:r>
      <w:r>
        <w:rPr>
          <w:spacing w:val="-1"/>
          <w:sz w:val="18"/>
          <w:szCs w:val="18"/>
          <w:lang w:val="es-ES_tradnl"/>
        </w:rPr>
        <w:t>blica, en su art</w:t>
      </w:r>
      <w:r>
        <w:rPr>
          <w:rFonts w:cs="Times New Roman"/>
          <w:spacing w:val="-1"/>
          <w:sz w:val="18"/>
          <w:szCs w:val="18"/>
          <w:lang w:val="es-ES_tradnl"/>
        </w:rPr>
        <w:t>í</w:t>
      </w:r>
      <w:r>
        <w:rPr>
          <w:spacing w:val="-1"/>
          <w:sz w:val="18"/>
          <w:szCs w:val="18"/>
          <w:lang w:val="es-ES_tradnl"/>
        </w:rPr>
        <w:t xml:space="preserve">culo 76, </w:t>
      </w:r>
      <w:r>
        <w:rPr>
          <w:spacing w:val="-6"/>
          <w:sz w:val="18"/>
          <w:szCs w:val="18"/>
          <w:lang w:val="es-ES_tradnl"/>
        </w:rPr>
        <w:t xml:space="preserve">consagra el derecho al debido proceso como un conjunto </w:t>
      </w:r>
      <w:r>
        <w:rPr>
          <w:spacing w:val="-9"/>
          <w:sz w:val="18"/>
          <w:szCs w:val="18"/>
          <w:lang w:val="es-ES_tradnl"/>
        </w:rPr>
        <w:t>de garant</w:t>
      </w:r>
      <w:r>
        <w:rPr>
          <w:rFonts w:cs="Times New Roman"/>
          <w:spacing w:val="-9"/>
          <w:sz w:val="18"/>
          <w:szCs w:val="18"/>
          <w:lang w:val="es-ES_tradnl"/>
        </w:rPr>
        <w:t>í</w:t>
      </w:r>
      <w:r>
        <w:rPr>
          <w:spacing w:val="-9"/>
          <w:sz w:val="18"/>
          <w:szCs w:val="18"/>
          <w:lang w:val="es-ES_tradnl"/>
        </w:rPr>
        <w:t>as b</w:t>
      </w:r>
      <w:r>
        <w:rPr>
          <w:rFonts w:cs="Times New Roman"/>
          <w:spacing w:val="-9"/>
          <w:sz w:val="18"/>
          <w:szCs w:val="18"/>
          <w:lang w:val="es-ES_tradnl"/>
        </w:rPr>
        <w:t>á</w:t>
      </w:r>
      <w:r>
        <w:rPr>
          <w:spacing w:val="-9"/>
          <w:sz w:val="18"/>
          <w:szCs w:val="18"/>
          <w:lang w:val="es-ES_tradnl"/>
        </w:rPr>
        <w:t xml:space="preserve">sicas que deben ser observadas en todo </w:t>
      </w:r>
      <w:r>
        <w:rPr>
          <w:spacing w:val="-7"/>
          <w:sz w:val="18"/>
          <w:szCs w:val="18"/>
          <w:lang w:val="es-ES_tradnl"/>
        </w:rPr>
        <w:t xml:space="preserve">proceso en el que se determinen derechos y obligaciones de cualquier orden. En este sentido, corresponde a las </w:t>
      </w:r>
      <w:r>
        <w:rPr>
          <w:sz w:val="18"/>
          <w:szCs w:val="18"/>
          <w:lang w:val="es-ES_tradnl"/>
        </w:rPr>
        <w:t xml:space="preserve">autoridades, tanto administrativas como judiciales, </w:t>
      </w:r>
      <w:r>
        <w:rPr>
          <w:spacing w:val="-4"/>
          <w:sz w:val="18"/>
          <w:szCs w:val="18"/>
          <w:lang w:val="es-ES_tradnl"/>
        </w:rPr>
        <w:t>asegurar que los presupuestos b</w:t>
      </w:r>
      <w:r>
        <w:rPr>
          <w:rFonts w:cs="Times New Roman"/>
          <w:spacing w:val="-4"/>
          <w:sz w:val="18"/>
          <w:szCs w:val="18"/>
          <w:lang w:val="es-ES_tradnl"/>
        </w:rPr>
        <w:t>á</w:t>
      </w:r>
      <w:r>
        <w:rPr>
          <w:spacing w:val="-4"/>
          <w:sz w:val="18"/>
          <w:szCs w:val="18"/>
          <w:lang w:val="es-ES_tradnl"/>
        </w:rPr>
        <w:t xml:space="preserve">sicos establecidos en </w:t>
      </w:r>
      <w:r>
        <w:rPr>
          <w:spacing w:val="-7"/>
          <w:sz w:val="18"/>
          <w:szCs w:val="18"/>
          <w:lang w:val="es-ES_tradnl"/>
        </w:rPr>
        <w:t xml:space="preserve">las normas constitucionales y legales sean de obligatorio </w:t>
      </w:r>
      <w:r>
        <w:rPr>
          <w:spacing w:val="-8"/>
          <w:sz w:val="18"/>
          <w:szCs w:val="18"/>
          <w:lang w:val="es-ES_tradnl"/>
        </w:rPr>
        <w:t xml:space="preserve">cumplimiento, a fin de precautelar los derechos e igualdad </w:t>
      </w:r>
      <w:r>
        <w:rPr>
          <w:sz w:val="18"/>
          <w:szCs w:val="18"/>
          <w:lang w:val="es-ES_tradnl"/>
        </w:rPr>
        <w:t>de las partes procesales.</w:t>
      </w:r>
    </w:p>
    <w:p w14:paraId="4F67B6D6" w14:textId="77777777" w:rsidR="00591D54" w:rsidRDefault="00591D54">
      <w:pPr>
        <w:shd w:val="clear" w:color="auto" w:fill="FFFFFF"/>
        <w:spacing w:before="197" w:line="216" w:lineRule="exact"/>
        <w:ind w:right="5"/>
        <w:jc w:val="both"/>
      </w:pPr>
      <w:r>
        <w:rPr>
          <w:spacing w:val="-7"/>
          <w:sz w:val="18"/>
          <w:szCs w:val="18"/>
          <w:lang w:val="es-ES_tradnl"/>
        </w:rPr>
        <w:t>La Corte Constitucional, en sentencia N.</w:t>
      </w:r>
      <w:r>
        <w:rPr>
          <w:rFonts w:cs="Times New Roman"/>
          <w:spacing w:val="-7"/>
          <w:sz w:val="18"/>
          <w:szCs w:val="18"/>
          <w:lang w:val="es-ES_tradnl"/>
        </w:rPr>
        <w:t>º</w:t>
      </w:r>
      <w:r>
        <w:rPr>
          <w:spacing w:val="-7"/>
          <w:sz w:val="18"/>
          <w:szCs w:val="18"/>
          <w:lang w:val="es-ES_tradnl"/>
        </w:rPr>
        <w:t xml:space="preserve"> 195-14-SEP-CC </w:t>
      </w:r>
      <w:r>
        <w:rPr>
          <w:spacing w:val="-9"/>
          <w:sz w:val="18"/>
          <w:szCs w:val="18"/>
          <w:lang w:val="es-ES_tradnl"/>
        </w:rPr>
        <w:t>del 06 de noviembre de 2014, ha se</w:t>
      </w:r>
      <w:r>
        <w:rPr>
          <w:rFonts w:cs="Times New Roman"/>
          <w:spacing w:val="-9"/>
          <w:sz w:val="18"/>
          <w:szCs w:val="18"/>
          <w:lang w:val="es-ES_tradnl"/>
        </w:rPr>
        <w:t>ñ</w:t>
      </w:r>
      <w:r>
        <w:rPr>
          <w:spacing w:val="-9"/>
          <w:sz w:val="18"/>
          <w:szCs w:val="18"/>
          <w:lang w:val="es-ES_tradnl"/>
        </w:rPr>
        <w:t>alado que:</w:t>
      </w:r>
    </w:p>
    <w:p w14:paraId="4F67B6D7" w14:textId="77777777" w:rsidR="00591D54" w:rsidRDefault="00591D54">
      <w:pPr>
        <w:shd w:val="clear" w:color="auto" w:fill="FFFFFF"/>
        <w:spacing w:before="202" w:line="211" w:lineRule="exact"/>
        <w:ind w:left="283" w:right="5"/>
        <w:jc w:val="both"/>
      </w:pPr>
      <w:r>
        <w:rPr>
          <w:sz w:val="14"/>
          <w:szCs w:val="14"/>
          <w:lang w:val="es-ES_tradnl"/>
        </w:rPr>
        <w:t xml:space="preserve">Esencialmente, el debido proceso representa el conjunto de </w:t>
      </w:r>
      <w:r>
        <w:rPr>
          <w:spacing w:val="-2"/>
          <w:sz w:val="14"/>
          <w:szCs w:val="14"/>
          <w:lang w:val="es-ES_tradnl"/>
        </w:rPr>
        <w:t>garant</w:t>
      </w:r>
      <w:r>
        <w:rPr>
          <w:rFonts w:cs="Times New Roman"/>
          <w:spacing w:val="-2"/>
          <w:sz w:val="14"/>
          <w:szCs w:val="14"/>
          <w:lang w:val="es-ES_tradnl"/>
        </w:rPr>
        <w:t>í</w:t>
      </w:r>
      <w:r>
        <w:rPr>
          <w:spacing w:val="-2"/>
          <w:sz w:val="14"/>
          <w:szCs w:val="14"/>
          <w:lang w:val="es-ES_tradnl"/>
        </w:rPr>
        <w:t>as a trav</w:t>
      </w:r>
      <w:r>
        <w:rPr>
          <w:rFonts w:cs="Times New Roman"/>
          <w:spacing w:val="-2"/>
          <w:sz w:val="14"/>
          <w:szCs w:val="14"/>
          <w:lang w:val="es-ES_tradnl"/>
        </w:rPr>
        <w:t>é</w:t>
      </w:r>
      <w:r>
        <w:rPr>
          <w:spacing w:val="-2"/>
          <w:sz w:val="14"/>
          <w:szCs w:val="14"/>
          <w:lang w:val="es-ES_tradnl"/>
        </w:rPr>
        <w:t>s de las cuales se busca que los jueces y dem</w:t>
      </w:r>
      <w:r>
        <w:rPr>
          <w:rFonts w:cs="Times New Roman"/>
          <w:spacing w:val="-2"/>
          <w:sz w:val="14"/>
          <w:szCs w:val="14"/>
          <w:lang w:val="es-ES_tradnl"/>
        </w:rPr>
        <w:t>á</w:t>
      </w:r>
      <w:r>
        <w:rPr>
          <w:spacing w:val="-2"/>
          <w:sz w:val="14"/>
          <w:szCs w:val="14"/>
          <w:lang w:val="es-ES_tradnl"/>
        </w:rPr>
        <w:t xml:space="preserve">s </w:t>
      </w:r>
      <w:r>
        <w:rPr>
          <w:sz w:val="14"/>
          <w:szCs w:val="14"/>
          <w:lang w:val="es-ES_tradnl"/>
        </w:rPr>
        <w:t>autoridades administrativas, en el conocimiento y resoluci</w:t>
      </w:r>
      <w:r>
        <w:rPr>
          <w:rFonts w:cs="Times New Roman"/>
          <w:sz w:val="14"/>
          <w:szCs w:val="14"/>
          <w:lang w:val="es-ES_tradnl"/>
        </w:rPr>
        <w:t>ó</w:t>
      </w:r>
      <w:r>
        <w:rPr>
          <w:sz w:val="14"/>
          <w:szCs w:val="14"/>
          <w:lang w:val="es-ES_tradnl"/>
        </w:rPr>
        <w:t>n de un determinado proceso, respeten y garanticen las m</w:t>
      </w:r>
      <w:r>
        <w:rPr>
          <w:rFonts w:cs="Times New Roman"/>
          <w:sz w:val="14"/>
          <w:szCs w:val="14"/>
          <w:lang w:val="es-ES_tradnl"/>
        </w:rPr>
        <w:t>í</w:t>
      </w:r>
      <w:r>
        <w:rPr>
          <w:sz w:val="14"/>
          <w:szCs w:val="14"/>
          <w:lang w:val="es-ES_tradnl"/>
        </w:rPr>
        <w:t>nimas reglas de orden sustantivo y adjetivo, a efectos de proteger los derechos e intereses de las partes involucradas. En este contexto, el debido proceso tiene una extensi</w:t>
      </w:r>
      <w:r>
        <w:rPr>
          <w:rFonts w:cs="Times New Roman"/>
          <w:sz w:val="14"/>
          <w:szCs w:val="14"/>
          <w:lang w:val="es-ES_tradnl"/>
        </w:rPr>
        <w:t>ó</w:t>
      </w:r>
      <w:r>
        <w:rPr>
          <w:sz w:val="14"/>
          <w:szCs w:val="14"/>
          <w:lang w:val="es-ES_tradnl"/>
        </w:rPr>
        <w:t>n de derecho de defensa, en tanto est</w:t>
      </w:r>
      <w:r>
        <w:rPr>
          <w:rFonts w:cs="Times New Roman"/>
          <w:sz w:val="14"/>
          <w:szCs w:val="14"/>
          <w:lang w:val="es-ES_tradnl"/>
        </w:rPr>
        <w:t>á</w:t>
      </w:r>
      <w:r>
        <w:rPr>
          <w:sz w:val="14"/>
          <w:szCs w:val="14"/>
          <w:lang w:val="es-ES_tradnl"/>
        </w:rPr>
        <w:t xml:space="preserve"> destinado a otorgar protecci</w:t>
      </w:r>
      <w:r>
        <w:rPr>
          <w:rFonts w:cs="Times New Roman"/>
          <w:sz w:val="14"/>
          <w:szCs w:val="14"/>
          <w:lang w:val="es-ES_tradnl"/>
        </w:rPr>
        <w:t>ó</w:t>
      </w:r>
      <w:r>
        <w:rPr>
          <w:sz w:val="14"/>
          <w:szCs w:val="14"/>
          <w:lang w:val="es-ES_tradnl"/>
        </w:rPr>
        <w:t>n a las personas contra las arbitrariedades, abusos y extrav</w:t>
      </w:r>
      <w:r>
        <w:rPr>
          <w:rFonts w:cs="Times New Roman"/>
          <w:sz w:val="14"/>
          <w:szCs w:val="14"/>
          <w:lang w:val="es-ES_tradnl"/>
        </w:rPr>
        <w:t>í</w:t>
      </w:r>
      <w:r>
        <w:rPr>
          <w:sz w:val="14"/>
          <w:szCs w:val="14"/>
          <w:lang w:val="es-ES_tradnl"/>
        </w:rPr>
        <w:t>os de los jueces y autoridades administrativas que vulneren los derechos e intereses leg</w:t>
      </w:r>
      <w:r>
        <w:rPr>
          <w:rFonts w:cs="Times New Roman"/>
          <w:sz w:val="14"/>
          <w:szCs w:val="14"/>
          <w:lang w:val="es-ES_tradnl"/>
        </w:rPr>
        <w:t>í</w:t>
      </w:r>
      <w:r>
        <w:rPr>
          <w:sz w:val="14"/>
          <w:szCs w:val="14"/>
          <w:lang w:val="es-ES_tradnl"/>
        </w:rPr>
        <w:t>timos de aquellas. En s</w:t>
      </w:r>
      <w:r>
        <w:rPr>
          <w:rFonts w:cs="Times New Roman"/>
          <w:sz w:val="14"/>
          <w:szCs w:val="14"/>
          <w:lang w:val="es-ES_tradnl"/>
        </w:rPr>
        <w:t>í</w:t>
      </w:r>
      <w:r>
        <w:rPr>
          <w:sz w:val="14"/>
          <w:szCs w:val="14"/>
          <w:lang w:val="es-ES_tradnl"/>
        </w:rPr>
        <w:t>ntesis, el debido proceso es el l</w:t>
      </w:r>
      <w:r>
        <w:rPr>
          <w:rFonts w:cs="Times New Roman"/>
          <w:sz w:val="14"/>
          <w:szCs w:val="14"/>
          <w:lang w:val="es-ES_tradnl"/>
        </w:rPr>
        <w:t>í</w:t>
      </w:r>
      <w:r>
        <w:rPr>
          <w:sz w:val="14"/>
          <w:szCs w:val="14"/>
          <w:lang w:val="es-ES_tradnl"/>
        </w:rPr>
        <w:t>mite material al posible ejercicio arbitrario, ilegal e inconstitucional de las autoridades estatales, raz</w:t>
      </w:r>
      <w:r>
        <w:rPr>
          <w:rFonts w:cs="Times New Roman"/>
          <w:sz w:val="14"/>
          <w:szCs w:val="14"/>
          <w:lang w:val="es-ES_tradnl"/>
        </w:rPr>
        <w:t>ó</w:t>
      </w:r>
      <w:r>
        <w:rPr>
          <w:sz w:val="14"/>
          <w:szCs w:val="14"/>
          <w:lang w:val="es-ES_tradnl"/>
        </w:rPr>
        <w:t>n por la que se constituye en el mecanismo que garantiza el acatamiento de los jueces y autoridades al sistema de reglas se</w:t>
      </w:r>
      <w:r>
        <w:rPr>
          <w:rFonts w:cs="Times New Roman"/>
          <w:sz w:val="14"/>
          <w:szCs w:val="14"/>
          <w:lang w:val="es-ES_tradnl"/>
        </w:rPr>
        <w:t>ñ</w:t>
      </w:r>
      <w:r>
        <w:rPr>
          <w:sz w:val="14"/>
          <w:szCs w:val="14"/>
          <w:lang w:val="es-ES_tradnl"/>
        </w:rPr>
        <w:t>alado por el Estado constitucional</w:t>
      </w:r>
      <w:r>
        <w:rPr>
          <w:sz w:val="14"/>
          <w:szCs w:val="14"/>
          <w:vertAlign w:val="superscript"/>
          <w:lang w:val="es-ES_tradnl"/>
        </w:rPr>
        <w:t>1</w:t>
      </w:r>
      <w:r>
        <w:rPr>
          <w:sz w:val="14"/>
          <w:szCs w:val="14"/>
          <w:lang w:val="es-ES_tradnl"/>
        </w:rPr>
        <w:t>.</w:t>
      </w:r>
    </w:p>
    <w:p w14:paraId="4F67B6D8" w14:textId="77777777" w:rsidR="00591D54" w:rsidRDefault="00591D54">
      <w:pPr>
        <w:shd w:val="clear" w:color="auto" w:fill="FFFFFF"/>
        <w:spacing w:before="197" w:line="216" w:lineRule="exact"/>
        <w:ind w:right="5"/>
        <w:jc w:val="both"/>
      </w:pPr>
      <w:r>
        <w:rPr>
          <w:spacing w:val="-7"/>
          <w:sz w:val="18"/>
          <w:szCs w:val="18"/>
          <w:lang w:val="es-ES_tradnl"/>
        </w:rPr>
        <w:t>Seg</w:t>
      </w:r>
      <w:r>
        <w:rPr>
          <w:rFonts w:cs="Times New Roman"/>
          <w:spacing w:val="-7"/>
          <w:sz w:val="18"/>
          <w:szCs w:val="18"/>
          <w:lang w:val="es-ES_tradnl"/>
        </w:rPr>
        <w:t>ú</w:t>
      </w:r>
      <w:r>
        <w:rPr>
          <w:spacing w:val="-7"/>
          <w:sz w:val="18"/>
          <w:szCs w:val="18"/>
          <w:lang w:val="es-ES_tradnl"/>
        </w:rPr>
        <w:t>n lo indicado, el debido proceso encierra un car</w:t>
      </w:r>
      <w:r>
        <w:rPr>
          <w:rFonts w:cs="Times New Roman"/>
          <w:spacing w:val="-7"/>
          <w:sz w:val="18"/>
          <w:szCs w:val="18"/>
          <w:lang w:val="es-ES_tradnl"/>
        </w:rPr>
        <w:t>á</w:t>
      </w:r>
      <w:r>
        <w:rPr>
          <w:spacing w:val="-7"/>
          <w:sz w:val="18"/>
          <w:szCs w:val="18"/>
          <w:lang w:val="es-ES_tradnl"/>
        </w:rPr>
        <w:t xml:space="preserve">cter </w:t>
      </w:r>
      <w:r>
        <w:rPr>
          <w:spacing w:val="-9"/>
          <w:sz w:val="18"/>
          <w:szCs w:val="18"/>
          <w:lang w:val="es-ES_tradnl"/>
        </w:rPr>
        <w:t>garantista y cumple un papel de protecci</w:t>
      </w:r>
      <w:r>
        <w:rPr>
          <w:rFonts w:cs="Times New Roman"/>
          <w:spacing w:val="-9"/>
          <w:sz w:val="18"/>
          <w:szCs w:val="18"/>
          <w:lang w:val="es-ES_tradnl"/>
        </w:rPr>
        <w:t>ó</w:t>
      </w:r>
      <w:r>
        <w:rPr>
          <w:spacing w:val="-9"/>
          <w:sz w:val="18"/>
          <w:szCs w:val="18"/>
          <w:lang w:val="es-ES_tradnl"/>
        </w:rPr>
        <w:t>n de los derechos de las personas, adem</w:t>
      </w:r>
      <w:r>
        <w:rPr>
          <w:rFonts w:cs="Times New Roman"/>
          <w:spacing w:val="-9"/>
          <w:sz w:val="18"/>
          <w:szCs w:val="18"/>
          <w:lang w:val="es-ES_tradnl"/>
        </w:rPr>
        <w:t>á</w:t>
      </w:r>
      <w:r>
        <w:rPr>
          <w:spacing w:val="-9"/>
          <w:sz w:val="18"/>
          <w:szCs w:val="18"/>
          <w:lang w:val="es-ES_tradnl"/>
        </w:rPr>
        <w:t xml:space="preserve">s se convierte en una medida de </w:t>
      </w:r>
      <w:r>
        <w:rPr>
          <w:spacing w:val="-10"/>
          <w:sz w:val="18"/>
          <w:szCs w:val="18"/>
          <w:lang w:val="es-ES_tradnl"/>
        </w:rPr>
        <w:t>contenci</w:t>
      </w:r>
      <w:r>
        <w:rPr>
          <w:rFonts w:cs="Times New Roman"/>
          <w:spacing w:val="-10"/>
          <w:sz w:val="18"/>
          <w:szCs w:val="18"/>
          <w:lang w:val="es-ES_tradnl"/>
        </w:rPr>
        <w:t>ó</w:t>
      </w:r>
      <w:r>
        <w:rPr>
          <w:spacing w:val="-10"/>
          <w:sz w:val="18"/>
          <w:szCs w:val="18"/>
          <w:lang w:val="es-ES_tradnl"/>
        </w:rPr>
        <w:t xml:space="preserve">n frente a la arbitrariedad que pueda generarse por </w:t>
      </w:r>
      <w:r>
        <w:rPr>
          <w:spacing w:val="-7"/>
          <w:sz w:val="18"/>
          <w:szCs w:val="18"/>
          <w:lang w:val="es-ES_tradnl"/>
        </w:rPr>
        <w:t>parte de los jueces en la administraci</w:t>
      </w:r>
      <w:r>
        <w:rPr>
          <w:rFonts w:cs="Times New Roman"/>
          <w:spacing w:val="-7"/>
          <w:sz w:val="18"/>
          <w:szCs w:val="18"/>
          <w:lang w:val="es-ES_tradnl"/>
        </w:rPr>
        <w:t>ó</w:t>
      </w:r>
      <w:r>
        <w:rPr>
          <w:spacing w:val="-7"/>
          <w:sz w:val="18"/>
          <w:szCs w:val="18"/>
          <w:lang w:val="es-ES_tradnl"/>
        </w:rPr>
        <w:t>n de justicia.</w:t>
      </w:r>
    </w:p>
    <w:p w14:paraId="4F67B6D9" w14:textId="77777777" w:rsidR="00591D54" w:rsidRDefault="00591D54">
      <w:pPr>
        <w:shd w:val="clear" w:color="auto" w:fill="FFFFFF"/>
        <w:spacing w:before="192" w:line="216" w:lineRule="exact"/>
        <w:ind w:right="5"/>
        <w:jc w:val="both"/>
      </w:pPr>
      <w:r>
        <w:rPr>
          <w:spacing w:val="-6"/>
          <w:sz w:val="18"/>
          <w:szCs w:val="18"/>
          <w:lang w:val="es-ES_tradnl"/>
        </w:rPr>
        <w:t>A criterio de Osvaldo Goza</w:t>
      </w:r>
      <w:r>
        <w:rPr>
          <w:rFonts w:cs="Times New Roman"/>
          <w:spacing w:val="-6"/>
          <w:sz w:val="18"/>
          <w:szCs w:val="18"/>
          <w:lang w:val="es-ES_tradnl"/>
        </w:rPr>
        <w:t>í</w:t>
      </w:r>
      <w:r>
        <w:rPr>
          <w:spacing w:val="-6"/>
          <w:sz w:val="18"/>
          <w:szCs w:val="18"/>
          <w:lang w:val="es-ES_tradnl"/>
        </w:rPr>
        <w:t>ni</w:t>
      </w:r>
      <w:r>
        <w:rPr>
          <w:spacing w:val="-6"/>
          <w:sz w:val="18"/>
          <w:szCs w:val="18"/>
          <w:vertAlign w:val="superscript"/>
          <w:lang w:val="es-ES_tradnl"/>
        </w:rPr>
        <w:t>2</w:t>
      </w:r>
      <w:r>
        <w:rPr>
          <w:spacing w:val="-6"/>
          <w:sz w:val="18"/>
          <w:szCs w:val="18"/>
          <w:lang w:val="es-ES_tradnl"/>
        </w:rPr>
        <w:t xml:space="preserve">, </w:t>
      </w:r>
      <w:r>
        <w:rPr>
          <w:rFonts w:cs="Times New Roman"/>
          <w:spacing w:val="-6"/>
          <w:sz w:val="18"/>
          <w:szCs w:val="18"/>
          <w:lang w:val="es-ES_tradnl"/>
        </w:rPr>
        <w:t>“</w:t>
      </w:r>
      <w:r>
        <w:rPr>
          <w:spacing w:val="-6"/>
          <w:sz w:val="18"/>
          <w:szCs w:val="18"/>
          <w:lang w:val="es-ES_tradnl"/>
        </w:rPr>
        <w:t>[</w:t>
      </w:r>
      <w:r>
        <w:rPr>
          <w:rFonts w:cs="Times New Roman"/>
          <w:spacing w:val="-6"/>
          <w:sz w:val="18"/>
          <w:szCs w:val="18"/>
          <w:lang w:val="es-ES_tradnl"/>
        </w:rPr>
        <w:t>…</w:t>
      </w:r>
      <w:r>
        <w:rPr>
          <w:spacing w:val="-6"/>
          <w:sz w:val="18"/>
          <w:szCs w:val="18"/>
          <w:lang w:val="es-ES_tradnl"/>
        </w:rPr>
        <w:t xml:space="preserve">] el debido proceso es el derecho a la justicia lograda en un procedimiento que </w:t>
      </w:r>
      <w:r>
        <w:rPr>
          <w:spacing w:val="-7"/>
          <w:sz w:val="18"/>
          <w:szCs w:val="18"/>
          <w:lang w:val="es-ES_tradnl"/>
        </w:rPr>
        <w:t xml:space="preserve">supere las grietas que otrora lo postergaron a una simple </w:t>
      </w:r>
      <w:r>
        <w:rPr>
          <w:spacing w:val="-6"/>
          <w:sz w:val="18"/>
          <w:szCs w:val="18"/>
          <w:lang w:val="es-ES_tradnl"/>
        </w:rPr>
        <w:t>cobertura del derecho de defensa en juicio</w:t>
      </w:r>
      <w:r>
        <w:rPr>
          <w:rFonts w:cs="Times New Roman"/>
          <w:spacing w:val="-6"/>
          <w:sz w:val="18"/>
          <w:szCs w:val="18"/>
          <w:lang w:val="es-ES_tradnl"/>
        </w:rPr>
        <w:t>”</w:t>
      </w:r>
      <w:r>
        <w:rPr>
          <w:spacing w:val="-6"/>
          <w:sz w:val="18"/>
          <w:szCs w:val="18"/>
          <w:lang w:val="es-ES_tradnl"/>
        </w:rPr>
        <w:t>; es as</w:t>
      </w:r>
      <w:r>
        <w:rPr>
          <w:rFonts w:cs="Times New Roman"/>
          <w:spacing w:val="-6"/>
          <w:sz w:val="18"/>
          <w:szCs w:val="18"/>
          <w:lang w:val="es-ES_tradnl"/>
        </w:rPr>
        <w:t>í</w:t>
      </w:r>
      <w:r>
        <w:rPr>
          <w:spacing w:val="-6"/>
          <w:sz w:val="18"/>
          <w:szCs w:val="18"/>
          <w:lang w:val="es-ES_tradnl"/>
        </w:rPr>
        <w:t xml:space="preserve"> que </w:t>
      </w:r>
      <w:r>
        <w:rPr>
          <w:spacing w:val="-3"/>
          <w:sz w:val="18"/>
          <w:szCs w:val="18"/>
          <w:lang w:val="es-ES_tradnl"/>
        </w:rPr>
        <w:t xml:space="preserve">dentro de las actuaciones de los jueces, en ejercicio de </w:t>
      </w:r>
      <w:r>
        <w:rPr>
          <w:spacing w:val="-7"/>
          <w:sz w:val="18"/>
          <w:szCs w:val="18"/>
          <w:lang w:val="es-ES_tradnl"/>
        </w:rPr>
        <w:t>su tarea de impartir justicia, deber</w:t>
      </w:r>
      <w:r>
        <w:rPr>
          <w:rFonts w:cs="Times New Roman"/>
          <w:spacing w:val="-7"/>
          <w:sz w:val="18"/>
          <w:szCs w:val="18"/>
          <w:lang w:val="es-ES_tradnl"/>
        </w:rPr>
        <w:t>á</w:t>
      </w:r>
      <w:r>
        <w:rPr>
          <w:spacing w:val="-7"/>
          <w:sz w:val="18"/>
          <w:szCs w:val="18"/>
          <w:lang w:val="es-ES_tradnl"/>
        </w:rPr>
        <w:t xml:space="preserve">n guardar la suficiente </w:t>
      </w:r>
      <w:r>
        <w:rPr>
          <w:spacing w:val="-4"/>
          <w:sz w:val="18"/>
          <w:szCs w:val="18"/>
          <w:lang w:val="es-ES_tradnl"/>
        </w:rPr>
        <w:t>previsi</w:t>
      </w:r>
      <w:r>
        <w:rPr>
          <w:rFonts w:cs="Times New Roman"/>
          <w:spacing w:val="-4"/>
          <w:sz w:val="18"/>
          <w:szCs w:val="18"/>
          <w:lang w:val="es-ES_tradnl"/>
        </w:rPr>
        <w:t>ó</w:t>
      </w:r>
      <w:r>
        <w:rPr>
          <w:spacing w:val="-4"/>
          <w:sz w:val="18"/>
          <w:szCs w:val="18"/>
          <w:lang w:val="es-ES_tradnl"/>
        </w:rPr>
        <w:t xml:space="preserve">n del cumplimiento de las solemnidades y de </w:t>
      </w:r>
      <w:r>
        <w:rPr>
          <w:spacing w:val="-9"/>
          <w:sz w:val="18"/>
          <w:szCs w:val="18"/>
          <w:lang w:val="es-ES_tradnl"/>
        </w:rPr>
        <w:t>asegurar que la actuaci</w:t>
      </w:r>
      <w:r>
        <w:rPr>
          <w:rFonts w:cs="Times New Roman"/>
          <w:spacing w:val="-9"/>
          <w:sz w:val="18"/>
          <w:szCs w:val="18"/>
          <w:lang w:val="es-ES_tradnl"/>
        </w:rPr>
        <w:t>ó</w:t>
      </w:r>
      <w:r>
        <w:rPr>
          <w:spacing w:val="-9"/>
          <w:sz w:val="18"/>
          <w:szCs w:val="18"/>
          <w:lang w:val="es-ES_tradnl"/>
        </w:rPr>
        <w:t xml:space="preserve">n de las partes sea en igualdad de </w:t>
      </w:r>
      <w:r>
        <w:rPr>
          <w:spacing w:val="-8"/>
          <w:sz w:val="18"/>
          <w:szCs w:val="18"/>
          <w:lang w:val="es-ES_tradnl"/>
        </w:rPr>
        <w:t xml:space="preserve">condiciones dentro de un litigio, pues omitir una o varias de </w:t>
      </w:r>
      <w:r>
        <w:rPr>
          <w:spacing w:val="-9"/>
          <w:sz w:val="18"/>
          <w:szCs w:val="18"/>
          <w:lang w:val="es-ES_tradnl"/>
        </w:rPr>
        <w:t>las garant</w:t>
      </w:r>
      <w:r>
        <w:rPr>
          <w:rFonts w:cs="Times New Roman"/>
          <w:spacing w:val="-9"/>
          <w:sz w:val="18"/>
          <w:szCs w:val="18"/>
          <w:lang w:val="es-ES_tradnl"/>
        </w:rPr>
        <w:t>í</w:t>
      </w:r>
      <w:r>
        <w:rPr>
          <w:spacing w:val="-9"/>
          <w:sz w:val="18"/>
          <w:szCs w:val="18"/>
          <w:lang w:val="es-ES_tradnl"/>
        </w:rPr>
        <w:t>as procesales supone la afectaci</w:t>
      </w:r>
      <w:r>
        <w:rPr>
          <w:rFonts w:cs="Times New Roman"/>
          <w:spacing w:val="-9"/>
          <w:sz w:val="18"/>
          <w:szCs w:val="18"/>
          <w:lang w:val="es-ES_tradnl"/>
        </w:rPr>
        <w:t>ó</w:t>
      </w:r>
      <w:r>
        <w:rPr>
          <w:spacing w:val="-9"/>
          <w:sz w:val="18"/>
          <w:szCs w:val="18"/>
          <w:lang w:val="es-ES_tradnl"/>
        </w:rPr>
        <w:t xml:space="preserve">n de derechos </w:t>
      </w:r>
      <w:r>
        <w:rPr>
          <w:spacing w:val="-8"/>
          <w:sz w:val="18"/>
          <w:szCs w:val="18"/>
          <w:lang w:val="es-ES_tradnl"/>
        </w:rPr>
        <w:t>que se encuentran estipulados en la norma constitucional.</w:t>
      </w:r>
    </w:p>
    <w:p w14:paraId="4F67B6DA" w14:textId="77777777" w:rsidR="00591D54" w:rsidRDefault="00591D54">
      <w:pPr>
        <w:shd w:val="clear" w:color="auto" w:fill="FFFFFF"/>
        <w:spacing w:before="192" w:line="216" w:lineRule="exact"/>
        <w:ind w:right="5"/>
        <w:jc w:val="both"/>
      </w:pPr>
      <w:r>
        <w:rPr>
          <w:spacing w:val="-9"/>
          <w:sz w:val="18"/>
          <w:szCs w:val="18"/>
          <w:lang w:val="es-ES_tradnl"/>
        </w:rPr>
        <w:t>Desde esta perspectiva, el debido proceso, seg</w:t>
      </w:r>
      <w:r>
        <w:rPr>
          <w:rFonts w:cs="Times New Roman"/>
          <w:spacing w:val="-9"/>
          <w:sz w:val="18"/>
          <w:szCs w:val="18"/>
          <w:lang w:val="es-ES_tradnl"/>
        </w:rPr>
        <w:t>ú</w:t>
      </w:r>
      <w:r>
        <w:rPr>
          <w:spacing w:val="-9"/>
          <w:sz w:val="18"/>
          <w:szCs w:val="18"/>
          <w:lang w:val="es-ES_tradnl"/>
        </w:rPr>
        <w:t xml:space="preserve">n la Corte </w:t>
      </w:r>
      <w:r>
        <w:rPr>
          <w:spacing w:val="-6"/>
          <w:sz w:val="18"/>
          <w:szCs w:val="18"/>
          <w:lang w:val="es-ES_tradnl"/>
        </w:rPr>
        <w:t>Constitucional, para el per</w:t>
      </w:r>
      <w:r>
        <w:rPr>
          <w:rFonts w:cs="Times New Roman"/>
          <w:spacing w:val="-6"/>
          <w:sz w:val="18"/>
          <w:szCs w:val="18"/>
          <w:lang w:val="es-ES_tradnl"/>
        </w:rPr>
        <w:t>í</w:t>
      </w:r>
      <w:r>
        <w:rPr>
          <w:spacing w:val="-6"/>
          <w:sz w:val="18"/>
          <w:szCs w:val="18"/>
          <w:lang w:val="es-ES_tradnl"/>
        </w:rPr>
        <w:t>odo de transici</w:t>
      </w:r>
      <w:r>
        <w:rPr>
          <w:rFonts w:cs="Times New Roman"/>
          <w:spacing w:val="-6"/>
          <w:sz w:val="18"/>
          <w:szCs w:val="18"/>
          <w:lang w:val="es-ES_tradnl"/>
        </w:rPr>
        <w:t>ó</w:t>
      </w:r>
      <w:r>
        <w:rPr>
          <w:spacing w:val="-6"/>
          <w:sz w:val="18"/>
          <w:szCs w:val="18"/>
          <w:lang w:val="es-ES_tradnl"/>
        </w:rPr>
        <w:t>n:</w:t>
      </w:r>
    </w:p>
    <w:p w14:paraId="4F67B6DB" w14:textId="77777777" w:rsidR="00591D54" w:rsidRDefault="00591D54">
      <w:pPr>
        <w:shd w:val="clear" w:color="auto" w:fill="FFFFFF"/>
        <w:spacing w:before="202" w:line="216" w:lineRule="exact"/>
        <w:ind w:left="283"/>
        <w:jc w:val="both"/>
      </w:pPr>
      <w:r>
        <w:rPr>
          <w:sz w:val="14"/>
          <w:szCs w:val="14"/>
          <w:lang w:val="es-ES_tradnl"/>
        </w:rPr>
        <w:t>[</w:t>
      </w:r>
      <w:r>
        <w:rPr>
          <w:rFonts w:cs="Times New Roman"/>
          <w:sz w:val="14"/>
          <w:szCs w:val="14"/>
          <w:lang w:val="es-ES_tradnl"/>
        </w:rPr>
        <w:t>…</w:t>
      </w:r>
      <w:r>
        <w:rPr>
          <w:sz w:val="14"/>
          <w:szCs w:val="14"/>
          <w:lang w:val="es-ES_tradnl"/>
        </w:rPr>
        <w:t>] se muestra como un conjunto de garant</w:t>
      </w:r>
      <w:r>
        <w:rPr>
          <w:rFonts w:cs="Times New Roman"/>
          <w:sz w:val="14"/>
          <w:szCs w:val="14"/>
          <w:lang w:val="es-ES_tradnl"/>
        </w:rPr>
        <w:t>í</w:t>
      </w:r>
      <w:r>
        <w:rPr>
          <w:sz w:val="14"/>
          <w:szCs w:val="14"/>
          <w:lang w:val="es-ES_tradnl"/>
        </w:rPr>
        <w:t xml:space="preserve">as con las cuales se pretende que el desarrollo de las actividades en el </w:t>
      </w:r>
      <w:r>
        <w:rPr>
          <w:rFonts w:cs="Times New Roman"/>
          <w:sz w:val="14"/>
          <w:szCs w:val="14"/>
          <w:lang w:val="es-ES_tradnl"/>
        </w:rPr>
        <w:t>á</w:t>
      </w:r>
      <w:r>
        <w:rPr>
          <w:sz w:val="14"/>
          <w:szCs w:val="14"/>
          <w:lang w:val="es-ES_tradnl"/>
        </w:rPr>
        <w:t>mbito judicial o administrativo se sujeten a reglas m</w:t>
      </w:r>
      <w:r>
        <w:rPr>
          <w:rFonts w:cs="Times New Roman"/>
          <w:sz w:val="14"/>
          <w:szCs w:val="14"/>
          <w:lang w:val="es-ES_tradnl"/>
        </w:rPr>
        <w:t>í</w:t>
      </w:r>
      <w:r>
        <w:rPr>
          <w:sz w:val="14"/>
          <w:szCs w:val="14"/>
          <w:lang w:val="es-ES_tradnl"/>
        </w:rPr>
        <w:t>nimas, con el fin de proteger los derechos garantizados por la Carta Suprema,</w:t>
      </w:r>
    </w:p>
    <w:p w14:paraId="4F67B6DC" w14:textId="77777777" w:rsidR="00591D54" w:rsidRDefault="00591D54">
      <w:pPr>
        <w:shd w:val="clear" w:color="auto" w:fill="FFFFFF"/>
        <w:tabs>
          <w:tab w:val="left" w:pos="139"/>
        </w:tabs>
        <w:spacing w:before="461" w:line="178" w:lineRule="exact"/>
        <w:ind w:left="139" w:right="5" w:hanging="139"/>
        <w:jc w:val="both"/>
      </w:pPr>
      <w:r>
        <w:rPr>
          <w:sz w:val="14"/>
          <w:szCs w:val="14"/>
          <w:vertAlign w:val="superscript"/>
          <w:lang w:val="es-ES_tradnl"/>
        </w:rPr>
        <w:t>1</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º</w:t>
      </w:r>
      <w:r>
        <w:rPr>
          <w:sz w:val="18"/>
          <w:szCs w:val="18"/>
          <w:lang w:val="es-ES_tradnl"/>
        </w:rPr>
        <w:t xml:space="preserve"> </w:t>
      </w:r>
      <w:r>
        <w:rPr>
          <w:sz w:val="14"/>
          <w:szCs w:val="14"/>
          <w:lang w:val="es-ES_tradnl"/>
        </w:rPr>
        <w:t>195-14-SEP-CC, </w:t>
      </w:r>
      <w:r>
        <w:rPr>
          <w:spacing w:val="-2"/>
          <w:sz w:val="14"/>
          <w:szCs w:val="14"/>
          <w:lang w:val="es-ES_tradnl"/>
        </w:rPr>
        <w:t xml:space="preserve">caso N. </w:t>
      </w:r>
      <w:r>
        <w:rPr>
          <w:rFonts w:cs="Times New Roman"/>
          <w:spacing w:val="-2"/>
          <w:sz w:val="14"/>
          <w:szCs w:val="14"/>
          <w:lang w:val="es-ES_tradnl"/>
        </w:rPr>
        <w:t>º</w:t>
      </w:r>
      <w:r>
        <w:rPr>
          <w:spacing w:val="-2"/>
          <w:sz w:val="14"/>
          <w:szCs w:val="14"/>
          <w:lang w:val="es-ES_tradnl"/>
        </w:rPr>
        <w:t xml:space="preserve"> 1882-12-EP, de 06 de noviembre de 2014.</w:t>
      </w:r>
    </w:p>
    <w:p w14:paraId="4F67B6DD" w14:textId="77777777" w:rsidR="00591D54" w:rsidRDefault="00591D54">
      <w:pPr>
        <w:shd w:val="clear" w:color="auto" w:fill="FFFFFF"/>
        <w:tabs>
          <w:tab w:val="left" w:pos="139"/>
        </w:tabs>
        <w:spacing w:before="149" w:line="178" w:lineRule="exact"/>
        <w:ind w:left="139" w:hanging="139"/>
        <w:jc w:val="both"/>
      </w:pPr>
      <w:r>
        <w:rPr>
          <w:sz w:val="10"/>
          <w:szCs w:val="10"/>
          <w:vertAlign w:val="superscript"/>
          <w:lang w:val="es-ES_tradnl"/>
        </w:rPr>
        <w:t>2</w:t>
      </w:r>
      <w:r>
        <w:rPr>
          <w:sz w:val="18"/>
          <w:szCs w:val="18"/>
          <w:lang w:val="es-ES_tradnl"/>
        </w:rPr>
        <w:tab/>
      </w:r>
      <w:r>
        <w:rPr>
          <w:sz w:val="14"/>
          <w:szCs w:val="14"/>
          <w:lang w:val="es-ES_tradnl"/>
        </w:rPr>
        <w:t>GOZA</w:t>
      </w:r>
      <w:r>
        <w:rPr>
          <w:rFonts w:cs="Times New Roman"/>
          <w:sz w:val="14"/>
          <w:szCs w:val="14"/>
          <w:lang w:val="es-ES_tradnl"/>
        </w:rPr>
        <w:t>Í</w:t>
      </w:r>
      <w:r>
        <w:rPr>
          <w:sz w:val="14"/>
          <w:szCs w:val="14"/>
          <w:lang w:val="es-ES_tradnl"/>
        </w:rPr>
        <w:t>NI,</w:t>
      </w:r>
      <w:r>
        <w:rPr>
          <w:sz w:val="18"/>
          <w:szCs w:val="18"/>
          <w:lang w:val="es-ES_tradnl"/>
        </w:rPr>
        <w:t xml:space="preserve"> </w:t>
      </w:r>
      <w:r>
        <w:rPr>
          <w:sz w:val="14"/>
          <w:szCs w:val="14"/>
          <w:lang w:val="es-ES_tradnl"/>
        </w:rPr>
        <w:t>Osvaldo,</w:t>
      </w:r>
      <w:r>
        <w:rPr>
          <w:sz w:val="18"/>
          <w:szCs w:val="18"/>
          <w:lang w:val="es-ES_tradnl"/>
        </w:rPr>
        <w:t xml:space="preserve"> </w:t>
      </w:r>
      <w:r>
        <w:rPr>
          <w:rFonts w:cs="Times New Roman"/>
          <w:i/>
          <w:iCs/>
          <w:sz w:val="14"/>
          <w:szCs w:val="14"/>
          <w:lang w:val="es-ES_tradnl"/>
        </w:rPr>
        <w:t>“</w:t>
      </w:r>
      <w:r>
        <w:rPr>
          <w:i/>
          <w:iCs/>
          <w:sz w:val="14"/>
          <w:szCs w:val="14"/>
          <w:lang w:val="es-ES_tradnl"/>
        </w:rPr>
        <w:t>Derecho</w:t>
      </w:r>
      <w:r>
        <w:rPr>
          <w:i/>
          <w:iCs/>
          <w:sz w:val="18"/>
          <w:szCs w:val="18"/>
          <w:lang w:val="es-ES_tradnl"/>
        </w:rPr>
        <w:t xml:space="preserve"> </w:t>
      </w:r>
      <w:r>
        <w:rPr>
          <w:i/>
          <w:iCs/>
          <w:sz w:val="14"/>
          <w:szCs w:val="14"/>
          <w:lang w:val="es-ES_tradnl"/>
        </w:rPr>
        <w:t>Procesal</w:t>
      </w:r>
      <w:r>
        <w:rPr>
          <w:i/>
          <w:iCs/>
          <w:sz w:val="18"/>
          <w:szCs w:val="18"/>
          <w:lang w:val="es-ES_tradnl"/>
        </w:rPr>
        <w:t xml:space="preserve"> </w:t>
      </w:r>
      <w:r>
        <w:rPr>
          <w:i/>
          <w:iCs/>
          <w:sz w:val="14"/>
          <w:szCs w:val="14"/>
          <w:lang w:val="es-ES_tradnl"/>
        </w:rPr>
        <w:t>Constitucional,</w:t>
      </w:r>
      <w:r>
        <w:rPr>
          <w:i/>
          <w:iCs/>
          <w:sz w:val="18"/>
          <w:szCs w:val="18"/>
          <w:lang w:val="es-ES_tradnl"/>
        </w:rPr>
        <w:t xml:space="preserve"> </w:t>
      </w:r>
      <w:r>
        <w:rPr>
          <w:i/>
          <w:iCs/>
          <w:sz w:val="14"/>
          <w:szCs w:val="14"/>
          <w:lang w:val="es-ES_tradnl"/>
        </w:rPr>
        <w:t>El</w:t>
      </w:r>
      <w:r>
        <w:rPr>
          <w:i/>
          <w:iCs/>
          <w:sz w:val="18"/>
          <w:szCs w:val="18"/>
          <w:lang w:val="es-ES_tradnl"/>
        </w:rPr>
        <w:t xml:space="preserve"> </w:t>
      </w:r>
      <w:r>
        <w:rPr>
          <w:i/>
          <w:iCs/>
          <w:sz w:val="14"/>
          <w:szCs w:val="14"/>
          <w:lang w:val="es-ES_tradnl"/>
        </w:rPr>
        <w:t>debido Proceso</w:t>
      </w:r>
      <w:r>
        <w:rPr>
          <w:rFonts w:cs="Times New Roman"/>
          <w:i/>
          <w:iCs/>
          <w:sz w:val="14"/>
          <w:szCs w:val="14"/>
          <w:lang w:val="es-ES_tradnl"/>
        </w:rPr>
        <w:t>”</w:t>
      </w:r>
      <w:r>
        <w:rPr>
          <w:sz w:val="14"/>
          <w:szCs w:val="14"/>
          <w:lang w:val="es-ES_tradnl"/>
        </w:rPr>
        <w:t xml:space="preserve">, Rubinzal </w:t>
      </w:r>
      <w:r>
        <w:rPr>
          <w:rFonts w:cs="Times New Roman"/>
          <w:sz w:val="14"/>
          <w:szCs w:val="14"/>
          <w:lang w:val="es-ES_tradnl"/>
        </w:rPr>
        <w:t>–</w:t>
      </w:r>
      <w:r>
        <w:rPr>
          <w:sz w:val="14"/>
          <w:szCs w:val="14"/>
          <w:lang w:val="es-ES_tradnl"/>
        </w:rPr>
        <w:t xml:space="preserve"> Culzoni Editores, Buenos Aires, 2004, p</w:t>
      </w:r>
      <w:r>
        <w:rPr>
          <w:rFonts w:cs="Times New Roman"/>
          <w:sz w:val="14"/>
          <w:szCs w:val="14"/>
          <w:lang w:val="es-ES_tradnl"/>
        </w:rPr>
        <w:t>á</w:t>
      </w:r>
      <w:r>
        <w:rPr>
          <w:sz w:val="14"/>
          <w:szCs w:val="14"/>
          <w:lang w:val="es-ES_tradnl"/>
        </w:rPr>
        <w:t>gs. 28 y 29.</w:t>
      </w:r>
    </w:p>
    <w:p w14:paraId="4F67B6DE" w14:textId="77777777" w:rsidR="00591D54" w:rsidRDefault="00591D54">
      <w:pPr>
        <w:shd w:val="clear" w:color="auto" w:fill="FFFFFF"/>
        <w:spacing w:line="221" w:lineRule="exact"/>
        <w:ind w:left="283" w:right="5"/>
        <w:jc w:val="both"/>
      </w:pPr>
      <w:r>
        <w:br w:type="column"/>
      </w:r>
      <w:r>
        <w:rPr>
          <w:sz w:val="14"/>
          <w:szCs w:val="14"/>
          <w:lang w:val="es-ES_tradnl"/>
        </w:rPr>
        <w:t>constituy</w:t>
      </w:r>
      <w:r>
        <w:rPr>
          <w:rFonts w:cs="Times New Roman"/>
          <w:sz w:val="14"/>
          <w:szCs w:val="14"/>
          <w:lang w:val="es-ES_tradnl"/>
        </w:rPr>
        <w:t>é</w:t>
      </w:r>
      <w:r>
        <w:rPr>
          <w:sz w:val="14"/>
          <w:szCs w:val="14"/>
          <w:lang w:val="es-ES_tradnl"/>
        </w:rPr>
        <w:t>ndose el debido proceso en un l</w:t>
      </w:r>
      <w:r>
        <w:rPr>
          <w:rFonts w:cs="Times New Roman"/>
          <w:sz w:val="14"/>
          <w:szCs w:val="14"/>
          <w:lang w:val="es-ES_tradnl"/>
        </w:rPr>
        <w:t>í</w:t>
      </w:r>
      <w:r>
        <w:rPr>
          <w:sz w:val="14"/>
          <w:szCs w:val="14"/>
          <w:lang w:val="es-ES_tradnl"/>
        </w:rPr>
        <w:t>mite a la actuaci</w:t>
      </w:r>
      <w:r>
        <w:rPr>
          <w:rFonts w:cs="Times New Roman"/>
          <w:sz w:val="14"/>
          <w:szCs w:val="14"/>
          <w:lang w:val="es-ES_tradnl"/>
        </w:rPr>
        <w:t>ó</w:t>
      </w:r>
      <w:r>
        <w:rPr>
          <w:sz w:val="14"/>
          <w:szCs w:val="14"/>
          <w:lang w:val="es-ES_tradnl"/>
        </w:rPr>
        <w:t>n discrecional de los jueces. Por tanto, no es sino aquel proceso que cumple con las garant</w:t>
      </w:r>
      <w:r>
        <w:rPr>
          <w:rFonts w:cs="Times New Roman"/>
          <w:sz w:val="14"/>
          <w:szCs w:val="14"/>
          <w:lang w:val="es-ES_tradnl"/>
        </w:rPr>
        <w:t>í</w:t>
      </w:r>
      <w:r>
        <w:rPr>
          <w:sz w:val="14"/>
          <w:szCs w:val="14"/>
          <w:lang w:val="es-ES_tradnl"/>
        </w:rPr>
        <w:t>as b</w:t>
      </w:r>
      <w:r>
        <w:rPr>
          <w:rFonts w:cs="Times New Roman"/>
          <w:sz w:val="14"/>
          <w:szCs w:val="14"/>
          <w:lang w:val="es-ES_tradnl"/>
        </w:rPr>
        <w:t>á</w:t>
      </w:r>
      <w:r>
        <w:rPr>
          <w:sz w:val="14"/>
          <w:szCs w:val="14"/>
          <w:lang w:val="es-ES_tradnl"/>
        </w:rPr>
        <w:t>sicas establecidas en la Constituci</w:t>
      </w:r>
      <w:r>
        <w:rPr>
          <w:rFonts w:cs="Times New Roman"/>
          <w:sz w:val="14"/>
          <w:szCs w:val="14"/>
          <w:lang w:val="es-ES_tradnl"/>
        </w:rPr>
        <w:t>ó</w:t>
      </w:r>
      <w:r>
        <w:rPr>
          <w:sz w:val="14"/>
          <w:szCs w:val="14"/>
          <w:lang w:val="es-ES_tradnl"/>
        </w:rPr>
        <w:t>n, y que hace efectivo el derecho de las personas a obtener una resoluci</w:t>
      </w:r>
      <w:r>
        <w:rPr>
          <w:rFonts w:cs="Times New Roman"/>
          <w:sz w:val="14"/>
          <w:szCs w:val="14"/>
          <w:lang w:val="es-ES_tradnl"/>
        </w:rPr>
        <w:t>ó</w:t>
      </w:r>
      <w:r>
        <w:rPr>
          <w:sz w:val="14"/>
          <w:szCs w:val="14"/>
          <w:lang w:val="es-ES_tradnl"/>
        </w:rPr>
        <w:t>n de fondo, basada en derecho</w:t>
      </w:r>
      <w:r>
        <w:rPr>
          <w:sz w:val="14"/>
          <w:szCs w:val="14"/>
          <w:vertAlign w:val="superscript"/>
          <w:lang w:val="es-ES_tradnl"/>
        </w:rPr>
        <w:t>3</w:t>
      </w:r>
      <w:r>
        <w:rPr>
          <w:sz w:val="14"/>
          <w:szCs w:val="14"/>
          <w:lang w:val="es-ES_tradnl"/>
        </w:rPr>
        <w:t>.</w:t>
      </w:r>
    </w:p>
    <w:p w14:paraId="4F67B6DF" w14:textId="77777777" w:rsidR="00591D54" w:rsidRDefault="00591D54">
      <w:pPr>
        <w:shd w:val="clear" w:color="auto" w:fill="FFFFFF"/>
        <w:spacing w:before="206" w:line="221" w:lineRule="exact"/>
        <w:ind w:right="5"/>
        <w:jc w:val="both"/>
      </w:pPr>
      <w:r>
        <w:rPr>
          <w:spacing w:val="-6"/>
          <w:sz w:val="18"/>
          <w:szCs w:val="18"/>
          <w:lang w:val="es-ES_tradnl"/>
        </w:rPr>
        <w:t xml:space="preserve">Dentro del derecho al debido proceso, previsto en la </w:t>
      </w:r>
      <w:r>
        <w:rPr>
          <w:spacing w:val="-5"/>
          <w:sz w:val="18"/>
          <w:szCs w:val="18"/>
          <w:lang w:val="es-ES_tradnl"/>
        </w:rPr>
        <w:t>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blica en el art</w:t>
      </w:r>
      <w:r>
        <w:rPr>
          <w:rFonts w:cs="Times New Roman"/>
          <w:spacing w:val="-5"/>
          <w:sz w:val="18"/>
          <w:szCs w:val="18"/>
          <w:lang w:val="es-ES_tradnl"/>
        </w:rPr>
        <w:t>í</w:t>
      </w:r>
      <w:r>
        <w:rPr>
          <w:spacing w:val="-5"/>
          <w:sz w:val="18"/>
          <w:szCs w:val="18"/>
          <w:lang w:val="es-ES_tradnl"/>
        </w:rPr>
        <w:t xml:space="preserve">culo 76 numeral 7, </w:t>
      </w:r>
      <w:r>
        <w:rPr>
          <w:spacing w:val="-9"/>
          <w:sz w:val="18"/>
          <w:szCs w:val="18"/>
          <w:lang w:val="es-ES_tradnl"/>
        </w:rPr>
        <w:t>se incorpora como una de las garant</w:t>
      </w:r>
      <w:r>
        <w:rPr>
          <w:rFonts w:cs="Times New Roman"/>
          <w:spacing w:val="-9"/>
          <w:sz w:val="18"/>
          <w:szCs w:val="18"/>
          <w:lang w:val="es-ES_tradnl"/>
        </w:rPr>
        <w:t>í</w:t>
      </w:r>
      <w:r>
        <w:rPr>
          <w:spacing w:val="-9"/>
          <w:sz w:val="18"/>
          <w:szCs w:val="18"/>
          <w:lang w:val="es-ES_tradnl"/>
        </w:rPr>
        <w:t>as b</w:t>
      </w:r>
      <w:r>
        <w:rPr>
          <w:rFonts w:cs="Times New Roman"/>
          <w:spacing w:val="-9"/>
          <w:sz w:val="18"/>
          <w:szCs w:val="18"/>
          <w:lang w:val="es-ES_tradnl"/>
        </w:rPr>
        <w:t>á</w:t>
      </w:r>
      <w:r>
        <w:rPr>
          <w:spacing w:val="-9"/>
          <w:sz w:val="18"/>
          <w:szCs w:val="18"/>
          <w:lang w:val="es-ES_tradnl"/>
        </w:rPr>
        <w:t xml:space="preserve">sicas el derecho </w:t>
      </w:r>
      <w:r>
        <w:rPr>
          <w:spacing w:val="-10"/>
          <w:sz w:val="18"/>
          <w:szCs w:val="18"/>
          <w:lang w:val="es-ES_tradnl"/>
        </w:rPr>
        <w:t xml:space="preserve">de las personas a la defensa. En este contexto, el derecho a la defensa se erige como uno de los elementos sustanciales </w:t>
      </w:r>
      <w:r>
        <w:rPr>
          <w:spacing w:val="-8"/>
          <w:sz w:val="18"/>
          <w:szCs w:val="18"/>
          <w:lang w:val="es-ES_tradnl"/>
        </w:rPr>
        <w:t>que posibilitan la igualdad procesal, siendo las autoridades administrativas y judiciales las encargadas de asegurar el derecho de participaci</w:t>
      </w:r>
      <w:r>
        <w:rPr>
          <w:rFonts w:cs="Times New Roman"/>
          <w:spacing w:val="-8"/>
          <w:sz w:val="18"/>
          <w:szCs w:val="18"/>
          <w:lang w:val="es-ES_tradnl"/>
        </w:rPr>
        <w:t>ó</w:t>
      </w:r>
      <w:r>
        <w:rPr>
          <w:spacing w:val="-8"/>
          <w:sz w:val="18"/>
          <w:szCs w:val="18"/>
          <w:lang w:val="es-ES_tradnl"/>
        </w:rPr>
        <w:t>n y contradicci</w:t>
      </w:r>
      <w:r>
        <w:rPr>
          <w:rFonts w:cs="Times New Roman"/>
          <w:spacing w:val="-8"/>
          <w:sz w:val="18"/>
          <w:szCs w:val="18"/>
          <w:lang w:val="es-ES_tradnl"/>
        </w:rPr>
        <w:t>ó</w:t>
      </w:r>
      <w:r>
        <w:rPr>
          <w:spacing w:val="-8"/>
          <w:sz w:val="18"/>
          <w:szCs w:val="18"/>
          <w:lang w:val="es-ES_tradnl"/>
        </w:rPr>
        <w:t>n de quienes act</w:t>
      </w:r>
      <w:r>
        <w:rPr>
          <w:rFonts w:cs="Times New Roman"/>
          <w:spacing w:val="-8"/>
          <w:sz w:val="18"/>
          <w:szCs w:val="18"/>
          <w:lang w:val="es-ES_tradnl"/>
        </w:rPr>
        <w:t>ú</w:t>
      </w:r>
      <w:r>
        <w:rPr>
          <w:spacing w:val="-8"/>
          <w:sz w:val="18"/>
          <w:szCs w:val="18"/>
          <w:lang w:val="es-ES_tradnl"/>
        </w:rPr>
        <w:t xml:space="preserve">an </w:t>
      </w:r>
      <w:r>
        <w:rPr>
          <w:sz w:val="18"/>
          <w:szCs w:val="18"/>
          <w:lang w:val="es-ES_tradnl"/>
        </w:rPr>
        <w:t>en un proceso.</w:t>
      </w:r>
    </w:p>
    <w:p w14:paraId="4F67B6E0" w14:textId="77777777" w:rsidR="00591D54" w:rsidRDefault="00591D54">
      <w:pPr>
        <w:shd w:val="clear" w:color="auto" w:fill="FFFFFF"/>
        <w:spacing w:before="202" w:line="221" w:lineRule="exact"/>
        <w:ind w:right="5"/>
        <w:jc w:val="both"/>
      </w:pPr>
      <w:r>
        <w:rPr>
          <w:spacing w:val="-7"/>
          <w:sz w:val="18"/>
          <w:szCs w:val="18"/>
          <w:lang w:val="es-ES_tradnl"/>
        </w:rPr>
        <w:t xml:space="preserve">La Corte Constitucional del Ecuador, sobre el derecho a la </w:t>
      </w:r>
      <w:r>
        <w:rPr>
          <w:sz w:val="18"/>
          <w:szCs w:val="18"/>
          <w:lang w:val="es-ES_tradnl"/>
        </w:rPr>
        <w:t>defensa se ha pronunciado indicando que:</w:t>
      </w:r>
    </w:p>
    <w:p w14:paraId="4F67B6E1" w14:textId="77777777" w:rsidR="00591D54" w:rsidRDefault="00591D54">
      <w:pPr>
        <w:shd w:val="clear" w:color="auto" w:fill="FFFFFF"/>
        <w:spacing w:before="206" w:line="221" w:lineRule="exact"/>
        <w:ind w:left="283" w:right="5"/>
        <w:jc w:val="both"/>
      </w:pPr>
      <w:r>
        <w:rPr>
          <w:sz w:val="14"/>
          <w:szCs w:val="14"/>
          <w:lang w:val="es-ES_tradnl"/>
        </w:rPr>
        <w:t>Una de las garant</w:t>
      </w:r>
      <w:r>
        <w:rPr>
          <w:rFonts w:cs="Times New Roman"/>
          <w:sz w:val="14"/>
          <w:szCs w:val="14"/>
          <w:lang w:val="es-ES_tradnl"/>
        </w:rPr>
        <w:t>í</w:t>
      </w:r>
      <w:r>
        <w:rPr>
          <w:sz w:val="14"/>
          <w:szCs w:val="14"/>
          <w:lang w:val="es-ES_tradnl"/>
        </w:rPr>
        <w:t>as b</w:t>
      </w:r>
      <w:r>
        <w:rPr>
          <w:rFonts w:cs="Times New Roman"/>
          <w:sz w:val="14"/>
          <w:szCs w:val="14"/>
          <w:lang w:val="es-ES_tradnl"/>
        </w:rPr>
        <w:t>á</w:t>
      </w:r>
      <w:r>
        <w:rPr>
          <w:sz w:val="14"/>
          <w:szCs w:val="14"/>
          <w:lang w:val="es-ES_tradnl"/>
        </w:rPr>
        <w:t>sicas del debido proceso es precisamente el derecho a la defensa entendido como la oportunidad reconocida a las partes o sujetos procesales de participar en igualdad de condiciones en un proceso administrativo, judicial o constitucional; a ser escuchados en el momento oportuno, presentar argumentos y razones de cargo y descargo, contradecir y practicar pruebas, interponer recursos de impugnaci</w:t>
      </w:r>
      <w:r>
        <w:rPr>
          <w:rFonts w:cs="Times New Roman"/>
          <w:sz w:val="14"/>
          <w:szCs w:val="14"/>
          <w:lang w:val="es-ES_tradnl"/>
        </w:rPr>
        <w:t>ó</w:t>
      </w:r>
      <w:r>
        <w:rPr>
          <w:sz w:val="14"/>
          <w:szCs w:val="14"/>
          <w:lang w:val="es-ES_tradnl"/>
        </w:rPr>
        <w:t>n; entre otros</w:t>
      </w:r>
      <w:r>
        <w:rPr>
          <w:sz w:val="14"/>
          <w:szCs w:val="14"/>
          <w:vertAlign w:val="superscript"/>
          <w:lang w:val="es-ES_tradnl"/>
        </w:rPr>
        <w:t>4</w:t>
      </w:r>
      <w:r>
        <w:rPr>
          <w:sz w:val="14"/>
          <w:szCs w:val="14"/>
          <w:lang w:val="es-ES_tradnl"/>
        </w:rPr>
        <w:t>.</w:t>
      </w:r>
    </w:p>
    <w:p w14:paraId="4F67B6E2" w14:textId="77777777" w:rsidR="00591D54" w:rsidRDefault="00591D54">
      <w:pPr>
        <w:shd w:val="clear" w:color="auto" w:fill="FFFFFF"/>
        <w:spacing w:before="206" w:line="221" w:lineRule="exact"/>
        <w:ind w:right="5"/>
        <w:jc w:val="both"/>
      </w:pPr>
      <w:r>
        <w:rPr>
          <w:spacing w:val="-8"/>
          <w:sz w:val="18"/>
          <w:szCs w:val="18"/>
          <w:lang w:val="es-ES_tradnl"/>
        </w:rPr>
        <w:t>En la Constituci</w:t>
      </w:r>
      <w:r>
        <w:rPr>
          <w:rFonts w:cs="Times New Roman"/>
          <w:spacing w:val="-8"/>
          <w:sz w:val="18"/>
          <w:szCs w:val="18"/>
          <w:lang w:val="es-ES_tradnl"/>
        </w:rPr>
        <w:t>ó</w:t>
      </w:r>
      <w:r>
        <w:rPr>
          <w:spacing w:val="-8"/>
          <w:sz w:val="18"/>
          <w:szCs w:val="18"/>
          <w:lang w:val="es-ES_tradnl"/>
        </w:rPr>
        <w:t>n de la Rep</w:t>
      </w:r>
      <w:r>
        <w:rPr>
          <w:rFonts w:cs="Times New Roman"/>
          <w:spacing w:val="-8"/>
          <w:sz w:val="18"/>
          <w:szCs w:val="18"/>
          <w:lang w:val="es-ES_tradnl"/>
        </w:rPr>
        <w:t>ú</w:t>
      </w:r>
      <w:r>
        <w:rPr>
          <w:spacing w:val="-8"/>
          <w:sz w:val="18"/>
          <w:szCs w:val="18"/>
          <w:lang w:val="es-ES_tradnl"/>
        </w:rPr>
        <w:t xml:space="preserve">blica, el derecho a la defensa </w:t>
      </w:r>
      <w:r>
        <w:rPr>
          <w:spacing w:val="-6"/>
          <w:sz w:val="18"/>
          <w:szCs w:val="18"/>
          <w:lang w:val="es-ES_tradnl"/>
        </w:rPr>
        <w:t>incluye una serie de garant</w:t>
      </w:r>
      <w:r>
        <w:rPr>
          <w:rFonts w:cs="Times New Roman"/>
          <w:spacing w:val="-6"/>
          <w:sz w:val="18"/>
          <w:szCs w:val="18"/>
          <w:lang w:val="es-ES_tradnl"/>
        </w:rPr>
        <w:t>í</w:t>
      </w:r>
      <w:r>
        <w:rPr>
          <w:spacing w:val="-6"/>
          <w:sz w:val="18"/>
          <w:szCs w:val="18"/>
          <w:lang w:val="es-ES_tradnl"/>
        </w:rPr>
        <w:t xml:space="preserve">as como la de contar con el </w:t>
      </w:r>
      <w:r>
        <w:rPr>
          <w:spacing w:val="-2"/>
          <w:sz w:val="18"/>
          <w:szCs w:val="18"/>
          <w:lang w:val="es-ES_tradnl"/>
        </w:rPr>
        <w:t>tiempo y los medios adecuados para la preparaci</w:t>
      </w:r>
      <w:r>
        <w:rPr>
          <w:rFonts w:cs="Times New Roman"/>
          <w:spacing w:val="-2"/>
          <w:sz w:val="18"/>
          <w:szCs w:val="18"/>
          <w:lang w:val="es-ES_tradnl"/>
        </w:rPr>
        <w:t>ó</w:t>
      </w:r>
      <w:r>
        <w:rPr>
          <w:spacing w:val="-2"/>
          <w:sz w:val="18"/>
          <w:szCs w:val="18"/>
          <w:lang w:val="es-ES_tradnl"/>
        </w:rPr>
        <w:t xml:space="preserve">n de </w:t>
      </w:r>
      <w:r>
        <w:rPr>
          <w:spacing w:val="-8"/>
          <w:sz w:val="18"/>
          <w:szCs w:val="18"/>
          <w:lang w:val="es-ES_tradnl"/>
        </w:rPr>
        <w:t xml:space="preserve">la defensa; ser escuchado en el momento oportuno y en </w:t>
      </w:r>
      <w:r>
        <w:rPr>
          <w:spacing w:val="-5"/>
          <w:sz w:val="18"/>
          <w:szCs w:val="18"/>
          <w:lang w:val="es-ES_tradnl"/>
        </w:rPr>
        <w:t xml:space="preserve">igualdad de condiciones, y poder recurrir del fallo. Para </w:t>
      </w:r>
      <w:r>
        <w:rPr>
          <w:spacing w:val="-12"/>
          <w:sz w:val="18"/>
          <w:szCs w:val="18"/>
          <w:lang w:val="es-ES_tradnl"/>
        </w:rPr>
        <w:t>ejercitar adecuadamente estas garant</w:t>
      </w:r>
      <w:r>
        <w:rPr>
          <w:rFonts w:cs="Times New Roman"/>
          <w:spacing w:val="-12"/>
          <w:sz w:val="18"/>
          <w:szCs w:val="18"/>
          <w:lang w:val="es-ES_tradnl"/>
        </w:rPr>
        <w:t>í</w:t>
      </w:r>
      <w:r>
        <w:rPr>
          <w:spacing w:val="-12"/>
          <w:sz w:val="18"/>
          <w:szCs w:val="18"/>
          <w:lang w:val="es-ES_tradnl"/>
        </w:rPr>
        <w:t xml:space="preserve">as, es menester que las </w:t>
      </w:r>
      <w:r>
        <w:rPr>
          <w:spacing w:val="-9"/>
          <w:sz w:val="18"/>
          <w:szCs w:val="18"/>
          <w:lang w:val="es-ES_tradnl"/>
        </w:rPr>
        <w:t xml:space="preserve">autoridades den a conocer en debida forma a las personas </w:t>
      </w:r>
      <w:r>
        <w:rPr>
          <w:spacing w:val="-10"/>
          <w:sz w:val="18"/>
          <w:szCs w:val="18"/>
          <w:lang w:val="es-ES_tradnl"/>
        </w:rPr>
        <w:t>sobre un litigio instaurado en su contra, a trav</w:t>
      </w:r>
      <w:r>
        <w:rPr>
          <w:rFonts w:cs="Times New Roman"/>
          <w:spacing w:val="-10"/>
          <w:sz w:val="18"/>
          <w:szCs w:val="18"/>
          <w:lang w:val="es-ES_tradnl"/>
        </w:rPr>
        <w:t>é</w:t>
      </w:r>
      <w:r>
        <w:rPr>
          <w:spacing w:val="-10"/>
          <w:sz w:val="18"/>
          <w:szCs w:val="18"/>
          <w:lang w:val="es-ES_tradnl"/>
        </w:rPr>
        <w:t xml:space="preserve">s de la debida </w:t>
      </w:r>
      <w:r>
        <w:rPr>
          <w:spacing w:val="-8"/>
          <w:sz w:val="18"/>
          <w:szCs w:val="18"/>
          <w:lang w:val="es-ES_tradnl"/>
        </w:rPr>
        <w:t>citaci</w:t>
      </w:r>
      <w:r>
        <w:rPr>
          <w:rFonts w:cs="Times New Roman"/>
          <w:spacing w:val="-8"/>
          <w:sz w:val="18"/>
          <w:szCs w:val="18"/>
          <w:lang w:val="es-ES_tradnl"/>
        </w:rPr>
        <w:t>ó</w:t>
      </w:r>
      <w:r>
        <w:rPr>
          <w:spacing w:val="-8"/>
          <w:sz w:val="18"/>
          <w:szCs w:val="18"/>
          <w:lang w:val="es-ES_tradnl"/>
        </w:rPr>
        <w:t>n y notificaci</w:t>
      </w:r>
      <w:r>
        <w:rPr>
          <w:rFonts w:cs="Times New Roman"/>
          <w:spacing w:val="-8"/>
          <w:sz w:val="18"/>
          <w:szCs w:val="18"/>
          <w:lang w:val="es-ES_tradnl"/>
        </w:rPr>
        <w:t>ó</w:t>
      </w:r>
      <w:r>
        <w:rPr>
          <w:spacing w:val="-8"/>
          <w:sz w:val="18"/>
          <w:szCs w:val="18"/>
          <w:lang w:val="es-ES_tradnl"/>
        </w:rPr>
        <w:t>n a las partes procesales.</w:t>
      </w:r>
    </w:p>
    <w:p w14:paraId="4F67B6E3" w14:textId="77777777" w:rsidR="00591D54" w:rsidRDefault="00591D54">
      <w:pPr>
        <w:shd w:val="clear" w:color="auto" w:fill="FFFFFF"/>
        <w:spacing w:before="202" w:line="221" w:lineRule="exact"/>
        <w:jc w:val="both"/>
      </w:pPr>
      <w:r>
        <w:rPr>
          <w:spacing w:val="-4"/>
          <w:sz w:val="18"/>
          <w:szCs w:val="18"/>
          <w:lang w:val="es-ES_tradnl"/>
        </w:rPr>
        <w:t>Al respecto, la Convenci</w:t>
      </w:r>
      <w:r>
        <w:rPr>
          <w:rFonts w:cs="Times New Roman"/>
          <w:spacing w:val="-4"/>
          <w:sz w:val="18"/>
          <w:szCs w:val="18"/>
          <w:lang w:val="es-ES_tradnl"/>
        </w:rPr>
        <w:t>ó</w:t>
      </w:r>
      <w:r>
        <w:rPr>
          <w:spacing w:val="-4"/>
          <w:sz w:val="18"/>
          <w:szCs w:val="18"/>
          <w:lang w:val="es-ES_tradnl"/>
        </w:rPr>
        <w:t xml:space="preserve">n Americana de Derechos </w:t>
      </w:r>
      <w:r>
        <w:rPr>
          <w:spacing w:val="-1"/>
          <w:sz w:val="18"/>
          <w:szCs w:val="18"/>
          <w:lang w:val="es-ES_tradnl"/>
        </w:rPr>
        <w:t>Humanos, en el art</w:t>
      </w:r>
      <w:r>
        <w:rPr>
          <w:rFonts w:cs="Times New Roman"/>
          <w:spacing w:val="-1"/>
          <w:sz w:val="18"/>
          <w:szCs w:val="18"/>
          <w:lang w:val="es-ES_tradnl"/>
        </w:rPr>
        <w:t>í</w:t>
      </w:r>
      <w:r>
        <w:rPr>
          <w:spacing w:val="-1"/>
          <w:sz w:val="18"/>
          <w:szCs w:val="18"/>
          <w:lang w:val="es-ES_tradnl"/>
        </w:rPr>
        <w:t xml:space="preserve">culo 8 numeral 2 literales </w:t>
      </w:r>
      <w:r>
        <w:rPr>
          <w:b/>
          <w:bCs/>
          <w:spacing w:val="-1"/>
          <w:sz w:val="18"/>
          <w:szCs w:val="18"/>
          <w:lang w:val="es-ES_tradnl"/>
        </w:rPr>
        <w:t xml:space="preserve">b </w:t>
      </w:r>
      <w:r>
        <w:rPr>
          <w:spacing w:val="-1"/>
          <w:sz w:val="18"/>
          <w:szCs w:val="18"/>
          <w:lang w:val="es-ES_tradnl"/>
        </w:rPr>
        <w:t xml:space="preserve">y </w:t>
      </w:r>
      <w:r>
        <w:rPr>
          <w:b/>
          <w:bCs/>
          <w:spacing w:val="-1"/>
          <w:sz w:val="18"/>
          <w:szCs w:val="18"/>
          <w:lang w:val="es-ES_tradnl"/>
        </w:rPr>
        <w:t>c</w:t>
      </w:r>
      <w:r>
        <w:rPr>
          <w:spacing w:val="-1"/>
          <w:sz w:val="18"/>
          <w:szCs w:val="18"/>
          <w:lang w:val="es-ES_tradnl"/>
        </w:rPr>
        <w:t xml:space="preserve">, </w:t>
      </w:r>
      <w:r>
        <w:rPr>
          <w:spacing w:val="-7"/>
          <w:sz w:val="18"/>
          <w:szCs w:val="18"/>
          <w:lang w:val="es-ES_tradnl"/>
        </w:rPr>
        <w:t xml:space="preserve">dispone que toda persona tiene derecho, en igualdad de </w:t>
      </w:r>
      <w:r>
        <w:rPr>
          <w:spacing w:val="-9"/>
          <w:sz w:val="18"/>
          <w:szCs w:val="18"/>
          <w:lang w:val="es-ES_tradnl"/>
        </w:rPr>
        <w:t>condiciones, a una comunicaci</w:t>
      </w:r>
      <w:r>
        <w:rPr>
          <w:rFonts w:cs="Times New Roman"/>
          <w:spacing w:val="-9"/>
          <w:sz w:val="18"/>
          <w:szCs w:val="18"/>
          <w:lang w:val="es-ES_tradnl"/>
        </w:rPr>
        <w:t>ó</w:t>
      </w:r>
      <w:r>
        <w:rPr>
          <w:spacing w:val="-9"/>
          <w:sz w:val="18"/>
          <w:szCs w:val="18"/>
          <w:lang w:val="es-ES_tradnl"/>
        </w:rPr>
        <w:t xml:space="preserve">n previa y detallada cuando </w:t>
      </w:r>
      <w:r>
        <w:rPr>
          <w:spacing w:val="-8"/>
          <w:sz w:val="18"/>
          <w:szCs w:val="18"/>
          <w:lang w:val="es-ES_tradnl"/>
        </w:rPr>
        <w:t>es inculpada dentro de una acusaci</w:t>
      </w:r>
      <w:r>
        <w:rPr>
          <w:rFonts w:cs="Times New Roman"/>
          <w:spacing w:val="-8"/>
          <w:sz w:val="18"/>
          <w:szCs w:val="18"/>
          <w:lang w:val="es-ES_tradnl"/>
        </w:rPr>
        <w:t>ó</w:t>
      </w:r>
      <w:r>
        <w:rPr>
          <w:spacing w:val="-8"/>
          <w:sz w:val="18"/>
          <w:szCs w:val="18"/>
          <w:lang w:val="es-ES_tradnl"/>
        </w:rPr>
        <w:t>n, as</w:t>
      </w:r>
      <w:r>
        <w:rPr>
          <w:rFonts w:cs="Times New Roman"/>
          <w:spacing w:val="-8"/>
          <w:sz w:val="18"/>
          <w:szCs w:val="18"/>
          <w:lang w:val="es-ES_tradnl"/>
        </w:rPr>
        <w:t>í</w:t>
      </w:r>
      <w:r>
        <w:rPr>
          <w:spacing w:val="-8"/>
          <w:sz w:val="18"/>
          <w:szCs w:val="18"/>
          <w:lang w:val="es-ES_tradnl"/>
        </w:rPr>
        <w:t xml:space="preserve"> como tambi</w:t>
      </w:r>
      <w:r>
        <w:rPr>
          <w:rFonts w:cs="Times New Roman"/>
          <w:spacing w:val="-8"/>
          <w:sz w:val="18"/>
          <w:szCs w:val="18"/>
          <w:lang w:val="es-ES_tradnl"/>
        </w:rPr>
        <w:t>é</w:t>
      </w:r>
      <w:r>
        <w:rPr>
          <w:spacing w:val="-8"/>
          <w:sz w:val="18"/>
          <w:szCs w:val="18"/>
          <w:lang w:val="es-ES_tradnl"/>
        </w:rPr>
        <w:t xml:space="preserve">n a </w:t>
      </w:r>
      <w:r>
        <w:rPr>
          <w:spacing w:val="-10"/>
          <w:sz w:val="18"/>
          <w:szCs w:val="18"/>
          <w:lang w:val="es-ES_tradnl"/>
        </w:rPr>
        <w:t xml:space="preserve">que se le conceda el tiempo y los medios adecuados para la </w:t>
      </w:r>
      <w:r>
        <w:rPr>
          <w:sz w:val="18"/>
          <w:szCs w:val="18"/>
          <w:lang w:val="es-ES_tradnl"/>
        </w:rPr>
        <w:t>preparaci</w:t>
      </w:r>
      <w:r>
        <w:rPr>
          <w:rFonts w:cs="Times New Roman"/>
          <w:sz w:val="18"/>
          <w:szCs w:val="18"/>
          <w:lang w:val="es-ES_tradnl"/>
        </w:rPr>
        <w:t>ó</w:t>
      </w:r>
      <w:r>
        <w:rPr>
          <w:sz w:val="18"/>
          <w:szCs w:val="18"/>
          <w:lang w:val="es-ES_tradnl"/>
        </w:rPr>
        <w:t>n de su defensa</w:t>
      </w:r>
      <w:r>
        <w:rPr>
          <w:sz w:val="18"/>
          <w:szCs w:val="18"/>
          <w:vertAlign w:val="superscript"/>
          <w:lang w:val="es-ES_tradnl"/>
        </w:rPr>
        <w:t>5</w:t>
      </w:r>
      <w:r>
        <w:rPr>
          <w:sz w:val="18"/>
          <w:szCs w:val="18"/>
          <w:lang w:val="es-ES_tradnl"/>
        </w:rPr>
        <w:t>.</w:t>
      </w:r>
    </w:p>
    <w:p w14:paraId="4F67B6E4" w14:textId="77777777" w:rsidR="00591D54" w:rsidRDefault="00591D54">
      <w:pPr>
        <w:shd w:val="clear" w:color="auto" w:fill="FFFFFF"/>
        <w:spacing w:before="202" w:line="221" w:lineRule="exact"/>
        <w:ind w:right="5"/>
        <w:jc w:val="both"/>
      </w:pPr>
      <w:r>
        <w:rPr>
          <w:spacing w:val="-6"/>
          <w:sz w:val="18"/>
          <w:szCs w:val="18"/>
          <w:lang w:val="es-ES_tradnl"/>
        </w:rPr>
        <w:t>En referencia concretamente a la citaci</w:t>
      </w:r>
      <w:r>
        <w:rPr>
          <w:rFonts w:cs="Times New Roman"/>
          <w:spacing w:val="-6"/>
          <w:sz w:val="18"/>
          <w:szCs w:val="18"/>
          <w:lang w:val="es-ES_tradnl"/>
        </w:rPr>
        <w:t>ó</w:t>
      </w:r>
      <w:r>
        <w:rPr>
          <w:spacing w:val="-6"/>
          <w:sz w:val="18"/>
          <w:szCs w:val="18"/>
          <w:lang w:val="es-ES_tradnl"/>
        </w:rPr>
        <w:t>n, el C</w:t>
      </w:r>
      <w:r>
        <w:rPr>
          <w:rFonts w:cs="Times New Roman"/>
          <w:spacing w:val="-6"/>
          <w:sz w:val="18"/>
          <w:szCs w:val="18"/>
          <w:lang w:val="es-ES_tradnl"/>
        </w:rPr>
        <w:t>ó</w:t>
      </w:r>
      <w:r>
        <w:rPr>
          <w:spacing w:val="-6"/>
          <w:sz w:val="18"/>
          <w:szCs w:val="18"/>
          <w:lang w:val="es-ES_tradnl"/>
        </w:rPr>
        <w:t xml:space="preserve">digo de </w:t>
      </w:r>
      <w:r>
        <w:rPr>
          <w:spacing w:val="-5"/>
          <w:sz w:val="18"/>
          <w:szCs w:val="18"/>
          <w:lang w:val="es-ES_tradnl"/>
        </w:rPr>
        <w:t>Procedimiento Civil en su art</w:t>
      </w:r>
      <w:r>
        <w:rPr>
          <w:rFonts w:cs="Times New Roman"/>
          <w:spacing w:val="-5"/>
          <w:sz w:val="18"/>
          <w:szCs w:val="18"/>
          <w:lang w:val="es-ES_tradnl"/>
        </w:rPr>
        <w:t>í</w:t>
      </w:r>
      <w:r>
        <w:rPr>
          <w:spacing w:val="-5"/>
          <w:sz w:val="18"/>
          <w:szCs w:val="18"/>
          <w:lang w:val="es-ES_tradnl"/>
        </w:rPr>
        <w:t xml:space="preserve">culo 73, establece que la </w:t>
      </w:r>
      <w:r>
        <w:rPr>
          <w:spacing w:val="-8"/>
          <w:sz w:val="18"/>
          <w:szCs w:val="18"/>
          <w:lang w:val="es-ES_tradnl"/>
        </w:rPr>
        <w:t>citaci</w:t>
      </w:r>
      <w:r>
        <w:rPr>
          <w:rFonts w:cs="Times New Roman"/>
          <w:spacing w:val="-8"/>
          <w:sz w:val="18"/>
          <w:szCs w:val="18"/>
          <w:lang w:val="es-ES_tradnl"/>
        </w:rPr>
        <w:t>ó</w:t>
      </w:r>
      <w:r>
        <w:rPr>
          <w:spacing w:val="-8"/>
          <w:sz w:val="18"/>
          <w:szCs w:val="18"/>
          <w:lang w:val="es-ES_tradnl"/>
        </w:rPr>
        <w:t xml:space="preserve">n es el acto por el cual se hace saber al demandado </w:t>
      </w:r>
      <w:r>
        <w:rPr>
          <w:spacing w:val="-4"/>
          <w:sz w:val="18"/>
          <w:szCs w:val="18"/>
          <w:lang w:val="es-ES_tradnl"/>
        </w:rPr>
        <w:t xml:space="preserve">el contenido de la demanda o del acto preparatorio y de </w:t>
      </w:r>
      <w:r>
        <w:rPr>
          <w:spacing w:val="-8"/>
          <w:sz w:val="18"/>
          <w:szCs w:val="18"/>
          <w:lang w:val="es-ES_tradnl"/>
        </w:rPr>
        <w:t>las providencias reca</w:t>
      </w:r>
      <w:r>
        <w:rPr>
          <w:rFonts w:cs="Times New Roman"/>
          <w:spacing w:val="-8"/>
          <w:sz w:val="18"/>
          <w:szCs w:val="18"/>
          <w:lang w:val="es-ES_tradnl"/>
        </w:rPr>
        <w:t>í</w:t>
      </w:r>
      <w:r>
        <w:rPr>
          <w:spacing w:val="-8"/>
          <w:sz w:val="18"/>
          <w:szCs w:val="18"/>
          <w:lang w:val="es-ES_tradnl"/>
        </w:rPr>
        <w:t>das en esos escritos. As</w:t>
      </w:r>
      <w:r>
        <w:rPr>
          <w:rFonts w:cs="Times New Roman"/>
          <w:spacing w:val="-8"/>
          <w:sz w:val="18"/>
          <w:szCs w:val="18"/>
          <w:lang w:val="es-ES_tradnl"/>
        </w:rPr>
        <w:t>í</w:t>
      </w:r>
      <w:r>
        <w:rPr>
          <w:spacing w:val="-8"/>
          <w:sz w:val="18"/>
          <w:szCs w:val="18"/>
          <w:lang w:val="es-ES_tradnl"/>
        </w:rPr>
        <w:t xml:space="preserve"> tambi</w:t>
      </w:r>
      <w:r>
        <w:rPr>
          <w:rFonts w:cs="Times New Roman"/>
          <w:spacing w:val="-8"/>
          <w:sz w:val="18"/>
          <w:szCs w:val="18"/>
          <w:lang w:val="es-ES_tradnl"/>
        </w:rPr>
        <w:t>é</w:t>
      </w:r>
      <w:r>
        <w:rPr>
          <w:spacing w:val="-8"/>
          <w:sz w:val="18"/>
          <w:szCs w:val="18"/>
          <w:lang w:val="es-ES_tradnl"/>
        </w:rPr>
        <w:t xml:space="preserve">n, el </w:t>
      </w:r>
      <w:r>
        <w:rPr>
          <w:spacing w:val="-7"/>
          <w:sz w:val="18"/>
          <w:szCs w:val="18"/>
          <w:lang w:val="es-ES_tradnl"/>
        </w:rPr>
        <w:t>art</w:t>
      </w:r>
      <w:r>
        <w:rPr>
          <w:rFonts w:cs="Times New Roman"/>
          <w:spacing w:val="-7"/>
          <w:sz w:val="18"/>
          <w:szCs w:val="18"/>
          <w:lang w:val="es-ES_tradnl"/>
        </w:rPr>
        <w:t>í</w:t>
      </w:r>
      <w:r>
        <w:rPr>
          <w:spacing w:val="-7"/>
          <w:sz w:val="18"/>
          <w:szCs w:val="18"/>
          <w:lang w:val="es-ES_tradnl"/>
        </w:rPr>
        <w:t>culo 77 del mismo cuerpo legal se</w:t>
      </w:r>
      <w:r>
        <w:rPr>
          <w:rFonts w:cs="Times New Roman"/>
          <w:spacing w:val="-7"/>
          <w:sz w:val="18"/>
          <w:szCs w:val="18"/>
          <w:lang w:val="es-ES_tradnl"/>
        </w:rPr>
        <w:t>ñ</w:t>
      </w:r>
      <w:r>
        <w:rPr>
          <w:spacing w:val="-7"/>
          <w:sz w:val="18"/>
          <w:szCs w:val="18"/>
          <w:lang w:val="es-ES_tradnl"/>
        </w:rPr>
        <w:t>ala que:</w:t>
      </w:r>
    </w:p>
    <w:p w14:paraId="4F67B6E5" w14:textId="77777777" w:rsidR="00591D54" w:rsidRDefault="00591D54">
      <w:pPr>
        <w:shd w:val="clear" w:color="auto" w:fill="FFFFFF"/>
        <w:tabs>
          <w:tab w:val="left" w:pos="144"/>
        </w:tabs>
        <w:spacing w:before="624" w:line="182" w:lineRule="exact"/>
        <w:ind w:left="144" w:hanging="144"/>
      </w:pPr>
      <w:r>
        <w:rPr>
          <w:sz w:val="10"/>
          <w:szCs w:val="10"/>
          <w:vertAlign w:val="superscript"/>
          <w:lang w:val="es-ES_tradnl"/>
        </w:rPr>
        <w:t>3</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para</w:t>
      </w:r>
      <w:r>
        <w:rPr>
          <w:sz w:val="18"/>
          <w:szCs w:val="18"/>
          <w:lang w:val="es-ES_tradnl"/>
        </w:rPr>
        <w:t xml:space="preserve"> </w:t>
      </w:r>
      <w:r>
        <w:rPr>
          <w:sz w:val="14"/>
          <w:szCs w:val="14"/>
          <w:lang w:val="es-ES_tradnl"/>
        </w:rPr>
        <w:t>el</w:t>
      </w:r>
      <w:r>
        <w:rPr>
          <w:sz w:val="18"/>
          <w:szCs w:val="18"/>
          <w:lang w:val="es-ES_tradnl"/>
        </w:rPr>
        <w:t xml:space="preserve"> </w:t>
      </w:r>
      <w:r>
        <w:rPr>
          <w:sz w:val="14"/>
          <w:szCs w:val="14"/>
          <w:lang w:val="es-ES_tradnl"/>
        </w:rPr>
        <w:t>per</w:t>
      </w:r>
      <w:r>
        <w:rPr>
          <w:rFonts w:cs="Times New Roman"/>
          <w:sz w:val="14"/>
          <w:szCs w:val="14"/>
          <w:lang w:val="es-ES_tradnl"/>
        </w:rPr>
        <w:t>í</w:t>
      </w:r>
      <w:r>
        <w:rPr>
          <w:sz w:val="14"/>
          <w:szCs w:val="14"/>
          <w:lang w:val="es-ES_tradnl"/>
        </w:rPr>
        <w:t>odo</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transici</w:t>
      </w:r>
      <w:r>
        <w:rPr>
          <w:rFonts w:cs="Times New Roman"/>
          <w:sz w:val="14"/>
          <w:szCs w:val="14"/>
          <w:lang w:val="es-ES_tradnl"/>
        </w:rPr>
        <w:t>ó</w:t>
      </w:r>
      <w:r>
        <w:rPr>
          <w:sz w:val="14"/>
          <w:szCs w:val="14"/>
          <w:lang w:val="es-ES_tradnl"/>
        </w:rPr>
        <w:t>n, </w:t>
      </w:r>
      <w:r>
        <w:rPr>
          <w:spacing w:val="-2"/>
          <w:sz w:val="14"/>
          <w:szCs w:val="14"/>
          <w:lang w:val="es-ES_tradnl"/>
        </w:rPr>
        <w:t>sentencia N.</w:t>
      </w:r>
      <w:r>
        <w:rPr>
          <w:rFonts w:cs="Times New Roman"/>
          <w:spacing w:val="-2"/>
          <w:sz w:val="14"/>
          <w:szCs w:val="14"/>
          <w:lang w:val="es-ES_tradnl"/>
        </w:rPr>
        <w:t>º</w:t>
      </w:r>
      <w:r>
        <w:rPr>
          <w:spacing w:val="-2"/>
          <w:sz w:val="14"/>
          <w:szCs w:val="14"/>
          <w:lang w:val="es-ES_tradnl"/>
        </w:rPr>
        <w:t xml:space="preserve"> 034-09-SEP-CC, caso N. </w:t>
      </w:r>
      <w:r>
        <w:rPr>
          <w:rFonts w:cs="Times New Roman"/>
          <w:spacing w:val="-2"/>
          <w:sz w:val="14"/>
          <w:szCs w:val="14"/>
          <w:lang w:val="es-ES_tradnl"/>
        </w:rPr>
        <w:t>º</w:t>
      </w:r>
      <w:r>
        <w:rPr>
          <w:spacing w:val="-2"/>
          <w:sz w:val="14"/>
          <w:szCs w:val="14"/>
          <w:lang w:val="es-ES_tradnl"/>
        </w:rPr>
        <w:t xml:space="preserve"> 0422-09-EP.</w:t>
      </w:r>
    </w:p>
    <w:p w14:paraId="4F67B6E6" w14:textId="77777777" w:rsidR="00591D54" w:rsidRDefault="00591D54">
      <w:pPr>
        <w:shd w:val="clear" w:color="auto" w:fill="FFFFFF"/>
        <w:tabs>
          <w:tab w:val="left" w:pos="144"/>
        </w:tabs>
        <w:spacing w:before="154" w:line="182" w:lineRule="exact"/>
        <w:ind w:left="144" w:hanging="144"/>
      </w:pPr>
      <w:r>
        <w:rPr>
          <w:sz w:val="10"/>
          <w:szCs w:val="10"/>
          <w:vertAlign w:val="superscript"/>
          <w:lang w:val="es-ES_tradnl"/>
        </w:rPr>
        <w:t>4</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º</w:t>
      </w:r>
      <w:r>
        <w:rPr>
          <w:sz w:val="18"/>
          <w:szCs w:val="18"/>
          <w:lang w:val="es-ES_tradnl"/>
        </w:rPr>
        <w:t xml:space="preserve"> </w:t>
      </w:r>
      <w:r>
        <w:rPr>
          <w:sz w:val="14"/>
          <w:szCs w:val="14"/>
          <w:lang w:val="es-ES_tradnl"/>
        </w:rPr>
        <w:t>041-14-SEP-CC, caso N.</w:t>
      </w:r>
      <w:r>
        <w:rPr>
          <w:rFonts w:cs="Times New Roman"/>
          <w:sz w:val="14"/>
          <w:szCs w:val="14"/>
          <w:lang w:val="es-ES_tradnl"/>
        </w:rPr>
        <w:t>º</w:t>
      </w:r>
      <w:r>
        <w:rPr>
          <w:sz w:val="14"/>
          <w:szCs w:val="14"/>
          <w:lang w:val="es-ES_tradnl"/>
        </w:rPr>
        <w:t xml:space="preserve"> 0777-11-EP</w:t>
      </w:r>
      <w:r>
        <w:rPr>
          <w:b/>
          <w:bCs/>
          <w:sz w:val="14"/>
          <w:szCs w:val="14"/>
          <w:lang w:val="es-ES_tradnl"/>
        </w:rPr>
        <w:t>.</w:t>
      </w:r>
    </w:p>
    <w:p w14:paraId="4F67B6E7" w14:textId="77777777" w:rsidR="00591D54" w:rsidRDefault="00591D54">
      <w:pPr>
        <w:shd w:val="clear" w:color="auto" w:fill="FFFFFF"/>
        <w:tabs>
          <w:tab w:val="left" w:pos="144"/>
        </w:tabs>
        <w:spacing w:before="149" w:line="178" w:lineRule="exact"/>
        <w:ind w:left="144" w:hanging="144"/>
      </w:pPr>
      <w:r>
        <w:rPr>
          <w:sz w:val="10"/>
          <w:szCs w:val="10"/>
          <w:vertAlign w:val="superscript"/>
          <w:lang w:val="es-ES_tradnl"/>
        </w:rPr>
        <w:t>5</w:t>
      </w:r>
      <w:r>
        <w:rPr>
          <w:sz w:val="18"/>
          <w:szCs w:val="18"/>
          <w:lang w:val="es-ES_tradnl"/>
        </w:rPr>
        <w:tab/>
      </w:r>
      <w:r>
        <w:rPr>
          <w:spacing w:val="-1"/>
          <w:sz w:val="14"/>
          <w:szCs w:val="14"/>
          <w:lang w:val="es-ES_tradnl"/>
        </w:rPr>
        <w:t>Convenci</w:t>
      </w:r>
      <w:r>
        <w:rPr>
          <w:rFonts w:cs="Times New Roman"/>
          <w:spacing w:val="-1"/>
          <w:sz w:val="14"/>
          <w:szCs w:val="14"/>
          <w:lang w:val="es-ES_tradnl"/>
        </w:rPr>
        <w:t>ó</w:t>
      </w:r>
      <w:r>
        <w:rPr>
          <w:spacing w:val="-1"/>
          <w:sz w:val="14"/>
          <w:szCs w:val="14"/>
          <w:lang w:val="es-ES_tradnl"/>
        </w:rPr>
        <w:t>n</w:t>
      </w:r>
      <w:r>
        <w:rPr>
          <w:spacing w:val="-1"/>
          <w:sz w:val="18"/>
          <w:szCs w:val="18"/>
          <w:lang w:val="es-ES_tradnl"/>
        </w:rPr>
        <w:t xml:space="preserve"> </w:t>
      </w:r>
      <w:r>
        <w:rPr>
          <w:spacing w:val="-1"/>
          <w:sz w:val="14"/>
          <w:szCs w:val="14"/>
          <w:lang w:val="es-ES_tradnl"/>
        </w:rPr>
        <w:t>Americana</w:t>
      </w:r>
      <w:r>
        <w:rPr>
          <w:spacing w:val="-1"/>
          <w:sz w:val="18"/>
          <w:szCs w:val="18"/>
          <w:lang w:val="es-ES_tradnl"/>
        </w:rPr>
        <w:t xml:space="preserve"> </w:t>
      </w:r>
      <w:r>
        <w:rPr>
          <w:spacing w:val="-1"/>
          <w:sz w:val="14"/>
          <w:szCs w:val="14"/>
          <w:lang w:val="es-ES_tradnl"/>
        </w:rPr>
        <w:t>sobre</w:t>
      </w:r>
      <w:r>
        <w:rPr>
          <w:spacing w:val="-1"/>
          <w:sz w:val="18"/>
          <w:szCs w:val="18"/>
          <w:lang w:val="es-ES_tradnl"/>
        </w:rPr>
        <w:t xml:space="preserve"> </w:t>
      </w:r>
      <w:r>
        <w:rPr>
          <w:spacing w:val="-1"/>
          <w:sz w:val="14"/>
          <w:szCs w:val="14"/>
          <w:lang w:val="es-ES_tradnl"/>
        </w:rPr>
        <w:t>Derechos</w:t>
      </w:r>
      <w:r>
        <w:rPr>
          <w:spacing w:val="-1"/>
          <w:sz w:val="18"/>
          <w:szCs w:val="18"/>
          <w:lang w:val="es-ES_tradnl"/>
        </w:rPr>
        <w:t xml:space="preserve"> </w:t>
      </w:r>
      <w:r>
        <w:rPr>
          <w:spacing w:val="-1"/>
          <w:sz w:val="14"/>
          <w:szCs w:val="14"/>
          <w:lang w:val="es-ES_tradnl"/>
        </w:rPr>
        <w:t>Humanos</w:t>
      </w:r>
      <w:r>
        <w:rPr>
          <w:spacing w:val="-1"/>
          <w:sz w:val="18"/>
          <w:szCs w:val="18"/>
          <w:lang w:val="es-ES_tradnl"/>
        </w:rPr>
        <w:t xml:space="preserve"> </w:t>
      </w:r>
      <w:r>
        <w:rPr>
          <w:spacing w:val="-1"/>
          <w:sz w:val="14"/>
          <w:szCs w:val="14"/>
          <w:lang w:val="es-ES_tradnl"/>
        </w:rPr>
        <w:t>ratificada</w:t>
      </w:r>
      <w:r>
        <w:rPr>
          <w:spacing w:val="-1"/>
          <w:sz w:val="18"/>
          <w:szCs w:val="18"/>
          <w:lang w:val="es-ES_tradnl"/>
        </w:rPr>
        <w:t xml:space="preserve"> </w:t>
      </w:r>
      <w:r>
        <w:rPr>
          <w:spacing w:val="-1"/>
          <w:sz w:val="14"/>
          <w:szCs w:val="14"/>
          <w:lang w:val="es-ES_tradnl"/>
        </w:rPr>
        <w:t>por</w:t>
      </w:r>
      <w:r>
        <w:rPr>
          <w:spacing w:val="-1"/>
          <w:sz w:val="18"/>
          <w:szCs w:val="18"/>
          <w:lang w:val="es-ES_tradnl"/>
        </w:rPr>
        <w:t xml:space="preserve"> </w:t>
      </w:r>
      <w:r>
        <w:rPr>
          <w:spacing w:val="-1"/>
          <w:sz w:val="14"/>
          <w:szCs w:val="14"/>
          <w:lang w:val="es-ES_tradnl"/>
        </w:rPr>
        <w:t>el </w:t>
      </w:r>
      <w:r>
        <w:rPr>
          <w:sz w:val="14"/>
          <w:szCs w:val="14"/>
          <w:lang w:val="es-ES_tradnl"/>
        </w:rPr>
        <w:t>Ecuador el 27 de octubre de 1977.</w:t>
      </w:r>
    </w:p>
    <w:p w14:paraId="4F67B6E8" w14:textId="77777777" w:rsidR="00591D54" w:rsidRDefault="00591D54">
      <w:pPr>
        <w:shd w:val="clear" w:color="auto" w:fill="FFFFFF"/>
        <w:tabs>
          <w:tab w:val="left" w:pos="144"/>
        </w:tabs>
        <w:spacing w:before="149" w:line="178" w:lineRule="exact"/>
        <w:ind w:left="144" w:hanging="144"/>
        <w:sectPr w:rsidR="00591D54">
          <w:type w:val="continuous"/>
          <w:pgSz w:w="11909" w:h="16834"/>
          <w:pgMar w:top="1356" w:right="1304" w:bottom="360" w:left="1308" w:header="720" w:footer="720" w:gutter="0"/>
          <w:cols w:num="2" w:space="720" w:equalWidth="0">
            <w:col w:w="4305" w:space="682"/>
            <w:col w:w="4310"/>
          </w:cols>
          <w:noEndnote/>
        </w:sectPr>
      </w:pPr>
    </w:p>
    <w:p w14:paraId="4F67B6E9" w14:textId="77777777" w:rsidR="00591D54" w:rsidRDefault="00591D54">
      <w:pPr>
        <w:shd w:val="clear" w:color="auto" w:fill="FFFFFF"/>
        <w:tabs>
          <w:tab w:val="left" w:pos="4814"/>
        </w:tabs>
        <w:spacing w:after="230"/>
        <w:ind w:left="5"/>
      </w:pPr>
      <w:r>
        <w:rPr>
          <w:b/>
          <w:bCs/>
          <w:sz w:val="18"/>
          <w:szCs w:val="18"/>
          <w:lang w:val="es-ES_tradnl"/>
        </w:rPr>
        <w:t xml:space="preserve">236 -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6EA" w14:textId="77777777" w:rsidR="00591D54" w:rsidRDefault="00591D54">
      <w:pPr>
        <w:shd w:val="clear" w:color="auto" w:fill="FFFFFF"/>
        <w:tabs>
          <w:tab w:val="left" w:pos="4814"/>
        </w:tabs>
        <w:spacing w:after="230"/>
        <w:ind w:left="5"/>
        <w:sectPr w:rsidR="00591D54">
          <w:pgSz w:w="11909" w:h="16834"/>
          <w:pgMar w:top="1356" w:right="1309" w:bottom="360" w:left="1308" w:header="720" w:footer="720" w:gutter="0"/>
          <w:cols w:space="60"/>
          <w:noEndnote/>
        </w:sectPr>
      </w:pPr>
    </w:p>
    <w:p w14:paraId="4F67B6EB" w14:textId="77777777" w:rsidR="00591D54" w:rsidRDefault="00591D54">
      <w:pPr>
        <w:shd w:val="clear" w:color="auto" w:fill="FFFFFF"/>
        <w:spacing w:line="216" w:lineRule="exact"/>
        <w:ind w:left="283"/>
        <w:jc w:val="both"/>
      </w:pPr>
      <w:r>
        <w:rPr>
          <w:spacing w:val="-10"/>
          <w:sz w:val="16"/>
          <w:szCs w:val="16"/>
          <w:lang w:val="es-ES_tradnl"/>
        </w:rPr>
        <w:t>Si no se encontrare a la persona que debe ser citada, se la citar</w:t>
      </w:r>
      <w:r>
        <w:rPr>
          <w:rFonts w:cs="Times New Roman"/>
          <w:spacing w:val="-10"/>
          <w:sz w:val="16"/>
          <w:szCs w:val="16"/>
          <w:lang w:val="es-ES_tradnl"/>
        </w:rPr>
        <w:t xml:space="preserve">á </w:t>
      </w:r>
      <w:r>
        <w:rPr>
          <w:spacing w:val="-8"/>
          <w:sz w:val="16"/>
          <w:szCs w:val="16"/>
          <w:lang w:val="es-ES_tradnl"/>
        </w:rPr>
        <w:t>por boleta dejada en la correspondiente habitaci</w:t>
      </w:r>
      <w:r>
        <w:rPr>
          <w:rFonts w:cs="Times New Roman"/>
          <w:spacing w:val="-8"/>
          <w:sz w:val="16"/>
          <w:szCs w:val="16"/>
          <w:lang w:val="es-ES_tradnl"/>
        </w:rPr>
        <w:t>ó</w:t>
      </w:r>
      <w:r>
        <w:rPr>
          <w:spacing w:val="-8"/>
          <w:sz w:val="16"/>
          <w:szCs w:val="16"/>
          <w:lang w:val="es-ES_tradnl"/>
        </w:rPr>
        <w:t xml:space="preserve">n, a cualquier </w:t>
      </w:r>
      <w:r>
        <w:rPr>
          <w:spacing w:val="-1"/>
          <w:sz w:val="16"/>
          <w:szCs w:val="16"/>
          <w:lang w:val="es-ES_tradnl"/>
        </w:rPr>
        <w:t>individuo de su familia o de servicio. La boleta expresar</w:t>
      </w:r>
      <w:r>
        <w:rPr>
          <w:rFonts w:cs="Times New Roman"/>
          <w:spacing w:val="-1"/>
          <w:sz w:val="16"/>
          <w:szCs w:val="16"/>
          <w:lang w:val="es-ES_tradnl"/>
        </w:rPr>
        <w:t xml:space="preserve">á </w:t>
      </w:r>
      <w:r>
        <w:rPr>
          <w:spacing w:val="-3"/>
          <w:sz w:val="16"/>
          <w:szCs w:val="16"/>
          <w:lang w:val="es-ES_tradnl"/>
        </w:rPr>
        <w:t>el contenido del pedimento, la orden o prove</w:t>
      </w:r>
      <w:r>
        <w:rPr>
          <w:rFonts w:cs="Times New Roman"/>
          <w:spacing w:val="-3"/>
          <w:sz w:val="16"/>
          <w:szCs w:val="16"/>
          <w:lang w:val="es-ES_tradnl"/>
        </w:rPr>
        <w:t>í</w:t>
      </w:r>
      <w:r>
        <w:rPr>
          <w:spacing w:val="-3"/>
          <w:sz w:val="16"/>
          <w:szCs w:val="16"/>
          <w:lang w:val="es-ES_tradnl"/>
        </w:rPr>
        <w:t xml:space="preserve">do del juez, y </w:t>
      </w:r>
      <w:r>
        <w:rPr>
          <w:spacing w:val="-5"/>
          <w:sz w:val="16"/>
          <w:szCs w:val="16"/>
          <w:lang w:val="es-ES_tradnl"/>
        </w:rPr>
        <w:t>la fecha en que se hace la citaci</w:t>
      </w:r>
      <w:r>
        <w:rPr>
          <w:rFonts w:cs="Times New Roman"/>
          <w:spacing w:val="-5"/>
          <w:sz w:val="16"/>
          <w:szCs w:val="16"/>
          <w:lang w:val="es-ES_tradnl"/>
        </w:rPr>
        <w:t>ó</w:t>
      </w:r>
      <w:r>
        <w:rPr>
          <w:spacing w:val="-5"/>
          <w:sz w:val="16"/>
          <w:szCs w:val="16"/>
          <w:lang w:val="es-ES_tradnl"/>
        </w:rPr>
        <w:t xml:space="preserve">n; y si no hubiere a quien </w:t>
      </w:r>
      <w:r>
        <w:rPr>
          <w:spacing w:val="-7"/>
          <w:sz w:val="16"/>
          <w:szCs w:val="16"/>
          <w:lang w:val="es-ES_tradnl"/>
        </w:rPr>
        <w:t>entregarla, se la fijar</w:t>
      </w:r>
      <w:r>
        <w:rPr>
          <w:rFonts w:cs="Times New Roman"/>
          <w:spacing w:val="-7"/>
          <w:sz w:val="16"/>
          <w:szCs w:val="16"/>
          <w:lang w:val="es-ES_tradnl"/>
        </w:rPr>
        <w:t>á</w:t>
      </w:r>
      <w:r>
        <w:rPr>
          <w:spacing w:val="-7"/>
          <w:sz w:val="16"/>
          <w:szCs w:val="16"/>
          <w:lang w:val="es-ES_tradnl"/>
        </w:rPr>
        <w:t xml:space="preserve"> en las puertas de la referida habitaci</w:t>
      </w:r>
      <w:r>
        <w:rPr>
          <w:rFonts w:cs="Times New Roman"/>
          <w:spacing w:val="-7"/>
          <w:sz w:val="16"/>
          <w:szCs w:val="16"/>
          <w:lang w:val="es-ES_tradnl"/>
        </w:rPr>
        <w:t>ó</w:t>
      </w:r>
      <w:r>
        <w:rPr>
          <w:spacing w:val="-7"/>
          <w:sz w:val="16"/>
          <w:szCs w:val="16"/>
          <w:lang w:val="es-ES_tradnl"/>
        </w:rPr>
        <w:t>n, y el actuario o el citador, sentar</w:t>
      </w:r>
      <w:r>
        <w:rPr>
          <w:rFonts w:cs="Times New Roman"/>
          <w:spacing w:val="-7"/>
          <w:sz w:val="16"/>
          <w:szCs w:val="16"/>
          <w:lang w:val="es-ES_tradnl"/>
        </w:rPr>
        <w:t>á</w:t>
      </w:r>
      <w:r>
        <w:rPr>
          <w:spacing w:val="-7"/>
          <w:sz w:val="16"/>
          <w:szCs w:val="16"/>
          <w:lang w:val="es-ES_tradnl"/>
        </w:rPr>
        <w:t xml:space="preserve"> la diligencia correspondiente. </w:t>
      </w:r>
      <w:r>
        <w:rPr>
          <w:spacing w:val="-6"/>
          <w:sz w:val="16"/>
          <w:szCs w:val="16"/>
          <w:lang w:val="es-ES_tradnl"/>
        </w:rPr>
        <w:t>[</w:t>
      </w:r>
      <w:r>
        <w:rPr>
          <w:rFonts w:cs="Times New Roman"/>
          <w:spacing w:val="-6"/>
          <w:sz w:val="16"/>
          <w:szCs w:val="16"/>
          <w:lang w:val="es-ES_tradnl"/>
        </w:rPr>
        <w:t>…</w:t>
      </w:r>
      <w:r>
        <w:rPr>
          <w:spacing w:val="-6"/>
          <w:sz w:val="16"/>
          <w:szCs w:val="16"/>
          <w:lang w:val="es-ES_tradnl"/>
        </w:rPr>
        <w:t>] El actuario o el citador tendr</w:t>
      </w:r>
      <w:r>
        <w:rPr>
          <w:rFonts w:cs="Times New Roman"/>
          <w:spacing w:val="-6"/>
          <w:sz w:val="16"/>
          <w:szCs w:val="16"/>
          <w:lang w:val="es-ES_tradnl"/>
        </w:rPr>
        <w:t>á</w:t>
      </w:r>
      <w:r>
        <w:rPr>
          <w:spacing w:val="-6"/>
          <w:sz w:val="16"/>
          <w:szCs w:val="16"/>
          <w:lang w:val="es-ES_tradnl"/>
        </w:rPr>
        <w:t xml:space="preserve"> la obligaci</w:t>
      </w:r>
      <w:r>
        <w:rPr>
          <w:rFonts w:cs="Times New Roman"/>
          <w:spacing w:val="-6"/>
          <w:sz w:val="16"/>
          <w:szCs w:val="16"/>
          <w:lang w:val="es-ES_tradnl"/>
        </w:rPr>
        <w:t>ó</w:t>
      </w:r>
      <w:r>
        <w:rPr>
          <w:spacing w:val="-6"/>
          <w:sz w:val="16"/>
          <w:szCs w:val="16"/>
          <w:lang w:val="es-ES_tradnl"/>
        </w:rPr>
        <w:t xml:space="preserve">n de cerciorarse </w:t>
      </w:r>
      <w:r>
        <w:rPr>
          <w:spacing w:val="-7"/>
          <w:sz w:val="16"/>
          <w:szCs w:val="16"/>
          <w:lang w:val="es-ES_tradnl"/>
        </w:rPr>
        <w:t>de la verdad de que se trata de la respectiva habitaci</w:t>
      </w:r>
      <w:r>
        <w:rPr>
          <w:rFonts w:cs="Times New Roman"/>
          <w:spacing w:val="-7"/>
          <w:sz w:val="16"/>
          <w:szCs w:val="16"/>
          <w:lang w:val="es-ES_tradnl"/>
        </w:rPr>
        <w:t>ó</w:t>
      </w:r>
      <w:r>
        <w:rPr>
          <w:spacing w:val="-7"/>
          <w:sz w:val="16"/>
          <w:szCs w:val="16"/>
          <w:lang w:val="es-ES_tradnl"/>
        </w:rPr>
        <w:t xml:space="preserve">n o </w:t>
      </w:r>
      <w:r>
        <w:rPr>
          <w:spacing w:val="-4"/>
          <w:sz w:val="16"/>
          <w:szCs w:val="16"/>
          <w:lang w:val="es-ES_tradnl"/>
        </w:rPr>
        <w:t>establecimiento de comercio para hacer all</w:t>
      </w:r>
      <w:r>
        <w:rPr>
          <w:rFonts w:cs="Times New Roman"/>
          <w:spacing w:val="-4"/>
          <w:sz w:val="16"/>
          <w:szCs w:val="16"/>
          <w:lang w:val="es-ES_tradnl"/>
        </w:rPr>
        <w:t>í</w:t>
      </w:r>
      <w:r>
        <w:rPr>
          <w:spacing w:val="-4"/>
          <w:sz w:val="16"/>
          <w:szCs w:val="16"/>
          <w:lang w:val="es-ES_tradnl"/>
        </w:rPr>
        <w:t xml:space="preserve"> la citaci</w:t>
      </w:r>
      <w:r>
        <w:rPr>
          <w:rFonts w:cs="Times New Roman"/>
          <w:spacing w:val="-4"/>
          <w:sz w:val="16"/>
          <w:szCs w:val="16"/>
          <w:lang w:val="es-ES_tradnl"/>
        </w:rPr>
        <w:t>ó</w:t>
      </w:r>
      <w:r>
        <w:rPr>
          <w:spacing w:val="-4"/>
          <w:sz w:val="16"/>
          <w:szCs w:val="16"/>
          <w:lang w:val="es-ES_tradnl"/>
        </w:rPr>
        <w:t xml:space="preserve">n en </w:t>
      </w:r>
      <w:r>
        <w:rPr>
          <w:sz w:val="16"/>
          <w:szCs w:val="16"/>
          <w:lang w:val="es-ES_tradnl"/>
        </w:rPr>
        <w:t>forma legal.</w:t>
      </w:r>
    </w:p>
    <w:p w14:paraId="4F67B6EC" w14:textId="77777777" w:rsidR="00591D54" w:rsidRDefault="00591D54">
      <w:pPr>
        <w:shd w:val="clear" w:color="auto" w:fill="FFFFFF"/>
        <w:spacing w:before="202" w:line="216" w:lineRule="exact"/>
        <w:ind w:right="5"/>
        <w:jc w:val="both"/>
      </w:pPr>
      <w:r>
        <w:rPr>
          <w:spacing w:val="-11"/>
          <w:sz w:val="18"/>
          <w:szCs w:val="18"/>
          <w:lang w:val="es-ES_tradnl"/>
        </w:rPr>
        <w:t>Seg</w:t>
      </w:r>
      <w:r>
        <w:rPr>
          <w:rFonts w:cs="Times New Roman"/>
          <w:spacing w:val="-11"/>
          <w:sz w:val="18"/>
          <w:szCs w:val="18"/>
          <w:lang w:val="es-ES_tradnl"/>
        </w:rPr>
        <w:t>ú</w:t>
      </w:r>
      <w:r>
        <w:rPr>
          <w:spacing w:val="-11"/>
          <w:sz w:val="18"/>
          <w:szCs w:val="18"/>
          <w:lang w:val="es-ES_tradnl"/>
        </w:rPr>
        <w:t>n las disposiciones referidas, es evidente que la citaci</w:t>
      </w:r>
      <w:r>
        <w:rPr>
          <w:rFonts w:cs="Times New Roman"/>
          <w:spacing w:val="-11"/>
          <w:sz w:val="18"/>
          <w:szCs w:val="18"/>
          <w:lang w:val="es-ES_tradnl"/>
        </w:rPr>
        <w:t>ó</w:t>
      </w:r>
      <w:r>
        <w:rPr>
          <w:spacing w:val="-11"/>
          <w:sz w:val="18"/>
          <w:szCs w:val="18"/>
          <w:lang w:val="es-ES_tradnl"/>
        </w:rPr>
        <w:t xml:space="preserve">n </w:t>
      </w:r>
      <w:r>
        <w:rPr>
          <w:spacing w:val="-7"/>
          <w:sz w:val="18"/>
          <w:szCs w:val="18"/>
          <w:lang w:val="es-ES_tradnl"/>
        </w:rPr>
        <w:t xml:space="preserve">constituye un acto procesal de trascendental importancia </w:t>
      </w:r>
      <w:r>
        <w:rPr>
          <w:spacing w:val="-13"/>
          <w:sz w:val="18"/>
          <w:szCs w:val="18"/>
          <w:lang w:val="es-ES_tradnl"/>
        </w:rPr>
        <w:t xml:space="preserve">que garantiza la buena marcha de la causa y el derecho de las </w:t>
      </w:r>
      <w:r>
        <w:rPr>
          <w:spacing w:val="-9"/>
          <w:sz w:val="18"/>
          <w:szCs w:val="18"/>
          <w:lang w:val="es-ES_tradnl"/>
        </w:rPr>
        <w:t xml:space="preserve">partes a oponerse a las pretensiones presentadas en juicio. </w:t>
      </w:r>
      <w:r>
        <w:rPr>
          <w:spacing w:val="-5"/>
          <w:sz w:val="18"/>
          <w:szCs w:val="18"/>
          <w:lang w:val="es-ES_tradnl"/>
        </w:rPr>
        <w:t>La Corte Constitucional, para el per</w:t>
      </w:r>
      <w:r>
        <w:rPr>
          <w:rFonts w:cs="Times New Roman"/>
          <w:spacing w:val="-5"/>
          <w:sz w:val="18"/>
          <w:szCs w:val="18"/>
          <w:lang w:val="es-ES_tradnl"/>
        </w:rPr>
        <w:t>í</w:t>
      </w:r>
      <w:r>
        <w:rPr>
          <w:spacing w:val="-5"/>
          <w:sz w:val="18"/>
          <w:szCs w:val="18"/>
          <w:lang w:val="es-ES_tradnl"/>
        </w:rPr>
        <w:t>odo de transici</w:t>
      </w:r>
      <w:r>
        <w:rPr>
          <w:rFonts w:cs="Times New Roman"/>
          <w:spacing w:val="-5"/>
          <w:sz w:val="18"/>
          <w:szCs w:val="18"/>
          <w:lang w:val="es-ES_tradnl"/>
        </w:rPr>
        <w:t>ó</w:t>
      </w:r>
      <w:r>
        <w:rPr>
          <w:spacing w:val="-5"/>
          <w:sz w:val="18"/>
          <w:szCs w:val="18"/>
          <w:lang w:val="es-ES_tradnl"/>
        </w:rPr>
        <w:t xml:space="preserve">n, </w:t>
      </w:r>
      <w:r>
        <w:rPr>
          <w:spacing w:val="-8"/>
          <w:sz w:val="18"/>
          <w:szCs w:val="18"/>
          <w:lang w:val="es-ES_tradnl"/>
        </w:rPr>
        <w:t>respecto a la citaci</w:t>
      </w:r>
      <w:r>
        <w:rPr>
          <w:rFonts w:cs="Times New Roman"/>
          <w:spacing w:val="-8"/>
          <w:sz w:val="18"/>
          <w:szCs w:val="18"/>
          <w:lang w:val="es-ES_tradnl"/>
        </w:rPr>
        <w:t>ó</w:t>
      </w:r>
      <w:r>
        <w:rPr>
          <w:spacing w:val="-8"/>
          <w:sz w:val="18"/>
          <w:szCs w:val="18"/>
          <w:lang w:val="es-ES_tradnl"/>
        </w:rPr>
        <w:t>n, se ha pronunciado indicando que:</w:t>
      </w:r>
    </w:p>
    <w:p w14:paraId="4F67B6ED" w14:textId="77777777" w:rsidR="00591D54" w:rsidRDefault="00591D54">
      <w:pPr>
        <w:shd w:val="clear" w:color="auto" w:fill="FFFFFF"/>
        <w:spacing w:before="202" w:line="211" w:lineRule="exact"/>
        <w:ind w:left="283" w:right="5"/>
        <w:jc w:val="both"/>
      </w:pPr>
      <w:r>
        <w:rPr>
          <w:spacing w:val="-5"/>
          <w:sz w:val="16"/>
          <w:szCs w:val="16"/>
          <w:lang w:val="es-ES_tradnl"/>
        </w:rPr>
        <w:t>[</w:t>
      </w:r>
      <w:r>
        <w:rPr>
          <w:rFonts w:cs="Times New Roman"/>
          <w:spacing w:val="-5"/>
          <w:sz w:val="16"/>
          <w:szCs w:val="16"/>
          <w:lang w:val="es-ES_tradnl"/>
        </w:rPr>
        <w:t>…</w:t>
      </w:r>
      <w:r>
        <w:rPr>
          <w:spacing w:val="-5"/>
          <w:sz w:val="16"/>
          <w:szCs w:val="16"/>
          <w:lang w:val="es-ES_tradnl"/>
        </w:rPr>
        <w:t>] este es el acto m</w:t>
      </w:r>
      <w:r>
        <w:rPr>
          <w:rFonts w:cs="Times New Roman"/>
          <w:spacing w:val="-5"/>
          <w:sz w:val="16"/>
          <w:szCs w:val="16"/>
          <w:lang w:val="es-ES_tradnl"/>
        </w:rPr>
        <w:t>á</w:t>
      </w:r>
      <w:r>
        <w:rPr>
          <w:spacing w:val="-5"/>
          <w:sz w:val="16"/>
          <w:szCs w:val="16"/>
          <w:lang w:val="es-ES_tradnl"/>
        </w:rPr>
        <w:t xml:space="preserve">s importante en todo procedimiento </w:t>
      </w:r>
      <w:r>
        <w:rPr>
          <w:spacing w:val="-6"/>
          <w:sz w:val="16"/>
          <w:szCs w:val="16"/>
          <w:lang w:val="es-ES_tradnl"/>
        </w:rPr>
        <w:t xml:space="preserve">judicial. Mediante </w:t>
      </w:r>
      <w:r>
        <w:rPr>
          <w:rFonts w:cs="Times New Roman"/>
          <w:spacing w:val="-6"/>
          <w:sz w:val="16"/>
          <w:szCs w:val="16"/>
          <w:lang w:val="es-ES_tradnl"/>
        </w:rPr>
        <w:t>é</w:t>
      </w:r>
      <w:r>
        <w:rPr>
          <w:spacing w:val="-6"/>
          <w:sz w:val="16"/>
          <w:szCs w:val="16"/>
          <w:lang w:val="es-ES_tradnl"/>
        </w:rPr>
        <w:t xml:space="preserve">ste se emplaza a cualquier persona que </w:t>
      </w:r>
      <w:r>
        <w:rPr>
          <w:spacing w:val="-11"/>
          <w:sz w:val="16"/>
          <w:szCs w:val="16"/>
          <w:lang w:val="es-ES_tradnl"/>
        </w:rPr>
        <w:t>ser</w:t>
      </w:r>
      <w:r>
        <w:rPr>
          <w:rFonts w:cs="Times New Roman"/>
          <w:spacing w:val="-11"/>
          <w:sz w:val="16"/>
          <w:szCs w:val="16"/>
          <w:lang w:val="es-ES_tradnl"/>
        </w:rPr>
        <w:t>í</w:t>
      </w:r>
      <w:r>
        <w:rPr>
          <w:spacing w:val="-11"/>
          <w:sz w:val="16"/>
          <w:szCs w:val="16"/>
          <w:lang w:val="es-ES_tradnl"/>
        </w:rPr>
        <w:t xml:space="preserve">a la demandada, para que comparezca a oponer sus medios </w:t>
      </w:r>
      <w:r>
        <w:rPr>
          <w:spacing w:val="-5"/>
          <w:sz w:val="16"/>
          <w:szCs w:val="16"/>
          <w:lang w:val="es-ES_tradnl"/>
        </w:rPr>
        <w:t>de defensa contra la exigencia formulada en la acci</w:t>
      </w:r>
      <w:r>
        <w:rPr>
          <w:rFonts w:cs="Times New Roman"/>
          <w:spacing w:val="-5"/>
          <w:sz w:val="16"/>
          <w:szCs w:val="16"/>
          <w:lang w:val="es-ES_tradnl"/>
        </w:rPr>
        <w:t>ó</w:t>
      </w:r>
      <w:r>
        <w:rPr>
          <w:spacing w:val="-5"/>
          <w:sz w:val="16"/>
          <w:szCs w:val="16"/>
          <w:lang w:val="es-ES_tradnl"/>
        </w:rPr>
        <w:t xml:space="preserve">n. Es </w:t>
      </w:r>
      <w:r>
        <w:rPr>
          <w:spacing w:val="-6"/>
          <w:sz w:val="16"/>
          <w:szCs w:val="16"/>
          <w:lang w:val="es-ES_tradnl"/>
        </w:rPr>
        <w:t>posible ejercer procesalmente la garant</w:t>
      </w:r>
      <w:r>
        <w:rPr>
          <w:rFonts w:cs="Times New Roman"/>
          <w:spacing w:val="-6"/>
          <w:sz w:val="16"/>
          <w:szCs w:val="16"/>
          <w:lang w:val="es-ES_tradnl"/>
        </w:rPr>
        <w:t>í</w:t>
      </w:r>
      <w:r>
        <w:rPr>
          <w:spacing w:val="-6"/>
          <w:sz w:val="16"/>
          <w:szCs w:val="16"/>
          <w:lang w:val="es-ES_tradnl"/>
        </w:rPr>
        <w:t xml:space="preserve">a constitucional del </w:t>
      </w:r>
      <w:r>
        <w:rPr>
          <w:spacing w:val="-9"/>
          <w:sz w:val="16"/>
          <w:szCs w:val="16"/>
          <w:lang w:val="es-ES_tradnl"/>
        </w:rPr>
        <w:t>derecho a la defensa una vez que se conozca, por alg</w:t>
      </w:r>
      <w:r>
        <w:rPr>
          <w:rFonts w:cs="Times New Roman"/>
          <w:spacing w:val="-9"/>
          <w:sz w:val="16"/>
          <w:szCs w:val="16"/>
          <w:lang w:val="es-ES_tradnl"/>
        </w:rPr>
        <w:t>ú</w:t>
      </w:r>
      <w:r>
        <w:rPr>
          <w:spacing w:val="-9"/>
          <w:sz w:val="16"/>
          <w:szCs w:val="16"/>
          <w:lang w:val="es-ES_tradnl"/>
        </w:rPr>
        <w:t xml:space="preserve">n modo, </w:t>
      </w:r>
      <w:r>
        <w:rPr>
          <w:spacing w:val="-7"/>
          <w:sz w:val="16"/>
          <w:szCs w:val="16"/>
          <w:lang w:val="es-ES_tradnl"/>
        </w:rPr>
        <w:t>la existencia de la demanda. Esta es la forma, generalmente, por la que se llega a saber de dicho particular</w:t>
      </w:r>
      <w:r>
        <w:rPr>
          <w:spacing w:val="-7"/>
          <w:sz w:val="16"/>
          <w:szCs w:val="16"/>
          <w:vertAlign w:val="superscript"/>
          <w:lang w:val="es-ES_tradnl"/>
        </w:rPr>
        <w:t>6</w:t>
      </w:r>
      <w:r>
        <w:rPr>
          <w:spacing w:val="-7"/>
          <w:sz w:val="16"/>
          <w:szCs w:val="16"/>
          <w:lang w:val="es-ES_tradnl"/>
        </w:rPr>
        <w:t>.</w:t>
      </w:r>
    </w:p>
    <w:p w14:paraId="4F67B6EE" w14:textId="77777777" w:rsidR="00591D54" w:rsidRDefault="00591D54">
      <w:pPr>
        <w:shd w:val="clear" w:color="auto" w:fill="FFFFFF"/>
        <w:spacing w:before="197" w:line="216" w:lineRule="exact"/>
        <w:jc w:val="both"/>
      </w:pPr>
      <w:r>
        <w:rPr>
          <w:spacing w:val="-9"/>
          <w:sz w:val="18"/>
          <w:szCs w:val="18"/>
          <w:lang w:val="es-ES_tradnl"/>
        </w:rPr>
        <w:t xml:space="preserve">En el caso </w:t>
      </w:r>
      <w:r>
        <w:rPr>
          <w:i/>
          <w:iCs/>
          <w:spacing w:val="-9"/>
          <w:sz w:val="18"/>
          <w:szCs w:val="18"/>
          <w:lang w:val="es-ES_tradnl"/>
        </w:rPr>
        <w:t>sub j</w:t>
      </w:r>
      <w:r>
        <w:rPr>
          <w:rFonts w:cs="Times New Roman"/>
          <w:spacing w:val="-9"/>
          <w:sz w:val="18"/>
          <w:szCs w:val="18"/>
          <w:lang w:val="es-ES_tradnl"/>
        </w:rPr>
        <w:t>ú</w:t>
      </w:r>
      <w:r>
        <w:rPr>
          <w:i/>
          <w:iCs/>
          <w:spacing w:val="-9"/>
          <w:sz w:val="18"/>
          <w:szCs w:val="18"/>
          <w:lang w:val="es-ES_tradnl"/>
        </w:rPr>
        <w:t>dice</w:t>
      </w:r>
      <w:r>
        <w:rPr>
          <w:spacing w:val="-9"/>
          <w:sz w:val="18"/>
          <w:szCs w:val="18"/>
          <w:lang w:val="es-ES_tradnl"/>
        </w:rPr>
        <w:t xml:space="preserve">, a fojas 3 y vta., del expediente consta </w:t>
      </w:r>
      <w:r>
        <w:rPr>
          <w:spacing w:val="-8"/>
          <w:sz w:val="18"/>
          <w:szCs w:val="18"/>
          <w:lang w:val="es-ES_tradnl"/>
        </w:rPr>
        <w:t>la demanda laboral planteada por la se</w:t>
      </w:r>
      <w:r>
        <w:rPr>
          <w:rFonts w:cs="Times New Roman"/>
          <w:spacing w:val="-8"/>
          <w:sz w:val="18"/>
          <w:szCs w:val="18"/>
          <w:lang w:val="es-ES_tradnl"/>
        </w:rPr>
        <w:t>ñ</w:t>
      </w:r>
      <w:r>
        <w:rPr>
          <w:spacing w:val="-8"/>
          <w:sz w:val="18"/>
          <w:szCs w:val="18"/>
          <w:lang w:val="es-ES_tradnl"/>
        </w:rPr>
        <w:t xml:space="preserve">orita Clemencia </w:t>
      </w:r>
      <w:r>
        <w:rPr>
          <w:spacing w:val="-6"/>
          <w:sz w:val="18"/>
          <w:szCs w:val="18"/>
          <w:lang w:val="es-ES_tradnl"/>
        </w:rPr>
        <w:t>Bol</w:t>
      </w:r>
      <w:r>
        <w:rPr>
          <w:rFonts w:cs="Times New Roman"/>
          <w:spacing w:val="-6"/>
          <w:sz w:val="18"/>
          <w:szCs w:val="18"/>
          <w:lang w:val="es-ES_tradnl"/>
        </w:rPr>
        <w:t>í</w:t>
      </w:r>
      <w:r>
        <w:rPr>
          <w:spacing w:val="-6"/>
          <w:sz w:val="18"/>
          <w:szCs w:val="18"/>
          <w:lang w:val="es-ES_tradnl"/>
        </w:rPr>
        <w:t>var Ayov</w:t>
      </w:r>
      <w:r>
        <w:rPr>
          <w:rFonts w:cs="Times New Roman"/>
          <w:spacing w:val="-6"/>
          <w:sz w:val="18"/>
          <w:szCs w:val="18"/>
          <w:lang w:val="es-ES_tradnl"/>
        </w:rPr>
        <w:t>í</w:t>
      </w:r>
      <w:r>
        <w:rPr>
          <w:spacing w:val="-6"/>
          <w:sz w:val="18"/>
          <w:szCs w:val="18"/>
          <w:lang w:val="es-ES_tradnl"/>
        </w:rPr>
        <w:t xml:space="preserve"> Cabeza, en contra del se</w:t>
      </w:r>
      <w:r>
        <w:rPr>
          <w:rFonts w:cs="Times New Roman"/>
          <w:spacing w:val="-6"/>
          <w:sz w:val="18"/>
          <w:szCs w:val="18"/>
          <w:lang w:val="es-ES_tradnl"/>
        </w:rPr>
        <w:t>ñ</w:t>
      </w:r>
      <w:r>
        <w:rPr>
          <w:spacing w:val="-6"/>
          <w:sz w:val="18"/>
          <w:szCs w:val="18"/>
          <w:lang w:val="es-ES_tradnl"/>
        </w:rPr>
        <w:t xml:space="preserve">or Jaime Patricio </w:t>
      </w:r>
      <w:r>
        <w:rPr>
          <w:spacing w:val="-5"/>
          <w:sz w:val="18"/>
          <w:szCs w:val="18"/>
          <w:lang w:val="es-ES_tradnl"/>
        </w:rPr>
        <w:t>Chiriboga Guerrero, en la cual indica que la citaci</w:t>
      </w:r>
      <w:r>
        <w:rPr>
          <w:rFonts w:cs="Times New Roman"/>
          <w:spacing w:val="-5"/>
          <w:sz w:val="18"/>
          <w:szCs w:val="18"/>
          <w:lang w:val="es-ES_tradnl"/>
        </w:rPr>
        <w:t>ó</w:t>
      </w:r>
      <w:r>
        <w:rPr>
          <w:spacing w:val="-5"/>
          <w:sz w:val="18"/>
          <w:szCs w:val="18"/>
          <w:lang w:val="es-ES_tradnl"/>
        </w:rPr>
        <w:t xml:space="preserve">n al </w:t>
      </w:r>
      <w:r>
        <w:rPr>
          <w:spacing w:val="-8"/>
          <w:sz w:val="18"/>
          <w:szCs w:val="18"/>
          <w:lang w:val="es-ES_tradnl"/>
        </w:rPr>
        <w:t>empleador se la realizar</w:t>
      </w:r>
      <w:r>
        <w:rPr>
          <w:rFonts w:cs="Times New Roman"/>
          <w:spacing w:val="-8"/>
          <w:sz w:val="18"/>
          <w:szCs w:val="18"/>
          <w:lang w:val="es-ES_tradnl"/>
        </w:rPr>
        <w:t>á</w:t>
      </w:r>
      <w:r>
        <w:rPr>
          <w:spacing w:val="-8"/>
          <w:sz w:val="18"/>
          <w:szCs w:val="18"/>
          <w:lang w:val="es-ES_tradnl"/>
        </w:rPr>
        <w:t xml:space="preserve"> en su lugar de trabajo:</w:t>
      </w:r>
    </w:p>
    <w:p w14:paraId="4F67B6EF" w14:textId="77777777" w:rsidR="00591D54" w:rsidRDefault="00591D54">
      <w:pPr>
        <w:shd w:val="clear" w:color="auto" w:fill="FFFFFF"/>
        <w:spacing w:before="202" w:line="216" w:lineRule="exact"/>
        <w:ind w:left="283"/>
        <w:jc w:val="both"/>
      </w:pPr>
      <w:r>
        <w:rPr>
          <w:spacing w:val="-5"/>
          <w:sz w:val="16"/>
          <w:szCs w:val="16"/>
          <w:lang w:val="es-ES_tradnl"/>
        </w:rPr>
        <w:t>A mi empleador el demandado se</w:t>
      </w:r>
      <w:r>
        <w:rPr>
          <w:rFonts w:cs="Times New Roman"/>
          <w:spacing w:val="-5"/>
          <w:sz w:val="16"/>
          <w:szCs w:val="16"/>
          <w:lang w:val="es-ES_tradnl"/>
        </w:rPr>
        <w:t>ñ</w:t>
      </w:r>
      <w:r>
        <w:rPr>
          <w:spacing w:val="-5"/>
          <w:sz w:val="16"/>
          <w:szCs w:val="16"/>
          <w:lang w:val="es-ES_tradnl"/>
        </w:rPr>
        <w:t xml:space="preserve">or JAIME PATRICIO </w:t>
      </w:r>
      <w:r>
        <w:rPr>
          <w:sz w:val="16"/>
          <w:szCs w:val="16"/>
          <w:lang w:val="es-ES_tradnl"/>
        </w:rPr>
        <w:t xml:space="preserve">CHIRIBOGA GUERRERO, por sus propios Derechos y </w:t>
      </w:r>
      <w:r>
        <w:rPr>
          <w:spacing w:val="-6"/>
          <w:sz w:val="16"/>
          <w:szCs w:val="16"/>
          <w:lang w:val="es-ES_tradnl"/>
        </w:rPr>
        <w:t xml:space="preserve">por lo que representa, en su calidad de Gerente General, y </w:t>
      </w:r>
      <w:r>
        <w:rPr>
          <w:spacing w:val="-3"/>
          <w:sz w:val="16"/>
          <w:szCs w:val="16"/>
          <w:lang w:val="es-ES_tradnl"/>
        </w:rPr>
        <w:t>representante legal de la Exportadora P.CH. G se le citar</w:t>
      </w:r>
      <w:r>
        <w:rPr>
          <w:rFonts w:cs="Times New Roman"/>
          <w:spacing w:val="-3"/>
          <w:sz w:val="16"/>
          <w:szCs w:val="16"/>
          <w:lang w:val="es-ES_tradnl"/>
        </w:rPr>
        <w:t xml:space="preserve">á </w:t>
      </w:r>
      <w:r>
        <w:rPr>
          <w:spacing w:val="-6"/>
          <w:sz w:val="16"/>
          <w:szCs w:val="16"/>
          <w:lang w:val="es-ES_tradnl"/>
        </w:rPr>
        <w:t xml:space="preserve">en su lugar de trabajo que lo tiene ubicado en el sector rural </w:t>
      </w:r>
      <w:r>
        <w:rPr>
          <w:spacing w:val="-7"/>
          <w:sz w:val="16"/>
          <w:szCs w:val="16"/>
          <w:lang w:val="es-ES_tradnl"/>
        </w:rPr>
        <w:t>Zona Uno de la parroquia y Cant</w:t>
      </w:r>
      <w:r>
        <w:rPr>
          <w:rFonts w:cs="Times New Roman"/>
          <w:spacing w:val="-7"/>
          <w:sz w:val="16"/>
          <w:szCs w:val="16"/>
          <w:lang w:val="es-ES_tradnl"/>
        </w:rPr>
        <w:t>ó</w:t>
      </w:r>
      <w:r>
        <w:rPr>
          <w:spacing w:val="-7"/>
          <w:sz w:val="16"/>
          <w:szCs w:val="16"/>
          <w:lang w:val="es-ES_tradnl"/>
        </w:rPr>
        <w:t>n La Man</w:t>
      </w:r>
      <w:r>
        <w:rPr>
          <w:rFonts w:cs="Times New Roman"/>
          <w:spacing w:val="-7"/>
          <w:sz w:val="16"/>
          <w:szCs w:val="16"/>
          <w:lang w:val="es-ES_tradnl"/>
        </w:rPr>
        <w:t>á</w:t>
      </w:r>
      <w:r>
        <w:rPr>
          <w:spacing w:val="-7"/>
          <w:sz w:val="16"/>
          <w:szCs w:val="16"/>
          <w:lang w:val="es-ES_tradnl"/>
        </w:rPr>
        <w:t xml:space="preserve"> mediante atento deprecatorio al Juzgado de lo Civil del Cant</w:t>
      </w:r>
      <w:r>
        <w:rPr>
          <w:rFonts w:cs="Times New Roman"/>
          <w:spacing w:val="-7"/>
          <w:sz w:val="16"/>
          <w:szCs w:val="16"/>
          <w:lang w:val="es-ES_tradnl"/>
        </w:rPr>
        <w:t>ó</w:t>
      </w:r>
      <w:r>
        <w:rPr>
          <w:spacing w:val="-7"/>
          <w:sz w:val="16"/>
          <w:szCs w:val="16"/>
          <w:lang w:val="es-ES_tradnl"/>
        </w:rPr>
        <w:t>n La Man</w:t>
      </w:r>
      <w:r>
        <w:rPr>
          <w:rFonts w:cs="Times New Roman"/>
          <w:spacing w:val="-7"/>
          <w:sz w:val="16"/>
          <w:szCs w:val="16"/>
          <w:lang w:val="es-ES_tradnl"/>
        </w:rPr>
        <w:t>á</w:t>
      </w:r>
      <w:r>
        <w:rPr>
          <w:spacing w:val="-7"/>
          <w:sz w:val="16"/>
          <w:szCs w:val="16"/>
          <w:lang w:val="es-ES_tradnl"/>
        </w:rPr>
        <w:t xml:space="preserve">, lugar </w:t>
      </w:r>
      <w:r>
        <w:rPr>
          <w:spacing w:val="-3"/>
          <w:sz w:val="16"/>
          <w:szCs w:val="16"/>
          <w:lang w:val="es-ES_tradnl"/>
        </w:rPr>
        <w:t>que indicare al se</w:t>
      </w:r>
      <w:r>
        <w:rPr>
          <w:rFonts w:cs="Times New Roman"/>
          <w:spacing w:val="-3"/>
          <w:sz w:val="16"/>
          <w:szCs w:val="16"/>
          <w:lang w:val="es-ES_tradnl"/>
        </w:rPr>
        <w:t>ñ</w:t>
      </w:r>
      <w:r>
        <w:rPr>
          <w:spacing w:val="-3"/>
          <w:sz w:val="16"/>
          <w:szCs w:val="16"/>
          <w:lang w:val="es-ES_tradnl"/>
        </w:rPr>
        <w:t>or secretario del despacho en menci</w:t>
      </w:r>
      <w:r>
        <w:rPr>
          <w:rFonts w:cs="Times New Roman"/>
          <w:spacing w:val="-3"/>
          <w:sz w:val="16"/>
          <w:szCs w:val="16"/>
          <w:lang w:val="es-ES_tradnl"/>
        </w:rPr>
        <w:t>ó</w:t>
      </w:r>
      <w:r>
        <w:rPr>
          <w:spacing w:val="-3"/>
          <w:sz w:val="16"/>
          <w:szCs w:val="16"/>
          <w:lang w:val="es-ES_tradnl"/>
        </w:rPr>
        <w:t xml:space="preserve">n </w:t>
      </w:r>
      <w:r>
        <w:rPr>
          <w:spacing w:val="-5"/>
          <w:sz w:val="16"/>
          <w:szCs w:val="16"/>
          <w:lang w:val="es-ES_tradnl"/>
        </w:rPr>
        <w:t xml:space="preserve">sin perjuicio de citarlo en el lugar que fuere encontrado </w:t>
      </w:r>
      <w:r>
        <w:rPr>
          <w:sz w:val="16"/>
          <w:szCs w:val="16"/>
          <w:lang w:val="es-ES_tradnl"/>
        </w:rPr>
        <w:t>personalmente.</w:t>
      </w:r>
    </w:p>
    <w:p w14:paraId="4F67B6F0" w14:textId="77777777" w:rsidR="00591D54" w:rsidRDefault="00591D54">
      <w:pPr>
        <w:shd w:val="clear" w:color="auto" w:fill="FFFFFF"/>
        <w:spacing w:before="202" w:line="216" w:lineRule="exact"/>
        <w:jc w:val="both"/>
      </w:pPr>
      <w:r>
        <w:rPr>
          <w:spacing w:val="-12"/>
          <w:sz w:val="18"/>
          <w:szCs w:val="18"/>
          <w:lang w:val="es-ES_tradnl"/>
        </w:rPr>
        <w:t xml:space="preserve">De los recaudos procesales, de fojas 11 y vta., se encuentra la </w:t>
      </w:r>
      <w:r>
        <w:rPr>
          <w:spacing w:val="-7"/>
          <w:sz w:val="18"/>
          <w:szCs w:val="18"/>
          <w:lang w:val="es-ES_tradnl"/>
        </w:rPr>
        <w:t>certificaci</w:t>
      </w:r>
      <w:r>
        <w:rPr>
          <w:rFonts w:cs="Times New Roman"/>
          <w:spacing w:val="-7"/>
          <w:sz w:val="18"/>
          <w:szCs w:val="18"/>
          <w:lang w:val="es-ES_tradnl"/>
        </w:rPr>
        <w:t>ó</w:t>
      </w:r>
      <w:r>
        <w:rPr>
          <w:spacing w:val="-7"/>
          <w:sz w:val="18"/>
          <w:szCs w:val="18"/>
          <w:lang w:val="es-ES_tradnl"/>
        </w:rPr>
        <w:t xml:space="preserve">n de las citaciones realizadas por el funcionario </w:t>
      </w:r>
      <w:r>
        <w:rPr>
          <w:spacing w:val="-8"/>
          <w:sz w:val="18"/>
          <w:szCs w:val="18"/>
          <w:lang w:val="es-ES_tradnl"/>
        </w:rPr>
        <w:t>citador del cant</w:t>
      </w:r>
      <w:r>
        <w:rPr>
          <w:rFonts w:cs="Times New Roman"/>
          <w:spacing w:val="-8"/>
          <w:sz w:val="18"/>
          <w:szCs w:val="18"/>
          <w:lang w:val="es-ES_tradnl"/>
        </w:rPr>
        <w:t>ó</w:t>
      </w:r>
      <w:r>
        <w:rPr>
          <w:spacing w:val="-8"/>
          <w:sz w:val="18"/>
          <w:szCs w:val="18"/>
          <w:lang w:val="es-ES_tradnl"/>
        </w:rPr>
        <w:t>n La Man</w:t>
      </w:r>
      <w:r>
        <w:rPr>
          <w:rFonts w:cs="Times New Roman"/>
          <w:spacing w:val="-8"/>
          <w:sz w:val="18"/>
          <w:szCs w:val="18"/>
          <w:lang w:val="es-ES_tradnl"/>
        </w:rPr>
        <w:t>á</w:t>
      </w:r>
      <w:r>
        <w:rPr>
          <w:spacing w:val="-8"/>
          <w:sz w:val="18"/>
          <w:szCs w:val="18"/>
          <w:lang w:val="es-ES_tradnl"/>
        </w:rPr>
        <w:t xml:space="preserve">, provincia de Cotopaxi, mismas </w:t>
      </w:r>
      <w:r>
        <w:rPr>
          <w:spacing w:val="-9"/>
          <w:sz w:val="18"/>
          <w:szCs w:val="18"/>
          <w:lang w:val="es-ES_tradnl"/>
        </w:rPr>
        <w:t>que han sido efectuadas los d</w:t>
      </w:r>
      <w:r>
        <w:rPr>
          <w:rFonts w:cs="Times New Roman"/>
          <w:spacing w:val="-9"/>
          <w:sz w:val="18"/>
          <w:szCs w:val="18"/>
          <w:lang w:val="es-ES_tradnl"/>
        </w:rPr>
        <w:t>í</w:t>
      </w:r>
      <w:r>
        <w:rPr>
          <w:spacing w:val="-9"/>
          <w:sz w:val="18"/>
          <w:szCs w:val="18"/>
          <w:lang w:val="es-ES_tradnl"/>
        </w:rPr>
        <w:t xml:space="preserve">as 05, 07 y 08 de septiembre </w:t>
      </w:r>
      <w:r>
        <w:rPr>
          <w:sz w:val="18"/>
          <w:szCs w:val="18"/>
          <w:lang w:val="es-ES_tradnl"/>
        </w:rPr>
        <w:t>del 2011, en las cuales se se</w:t>
      </w:r>
      <w:r>
        <w:rPr>
          <w:rFonts w:cs="Times New Roman"/>
          <w:sz w:val="18"/>
          <w:szCs w:val="18"/>
          <w:lang w:val="es-ES_tradnl"/>
        </w:rPr>
        <w:t>ñ</w:t>
      </w:r>
      <w:r>
        <w:rPr>
          <w:sz w:val="18"/>
          <w:szCs w:val="18"/>
          <w:lang w:val="es-ES_tradnl"/>
        </w:rPr>
        <w:t>ala:</w:t>
      </w:r>
    </w:p>
    <w:p w14:paraId="4F67B6F1" w14:textId="77777777" w:rsidR="00591D54" w:rsidRDefault="00591D54">
      <w:pPr>
        <w:shd w:val="clear" w:color="auto" w:fill="FFFFFF"/>
        <w:spacing w:before="202" w:line="216" w:lineRule="exact"/>
        <w:ind w:left="283" w:right="5"/>
        <w:jc w:val="both"/>
      </w:pPr>
      <w:r>
        <w:rPr>
          <w:spacing w:val="-7"/>
          <w:sz w:val="16"/>
          <w:szCs w:val="16"/>
          <w:lang w:val="es-ES_tradnl"/>
        </w:rPr>
        <w:t>En el sector rural zona uno, perteneciente al Cant</w:t>
      </w:r>
      <w:r>
        <w:rPr>
          <w:rFonts w:cs="Times New Roman"/>
          <w:spacing w:val="-7"/>
          <w:sz w:val="16"/>
          <w:szCs w:val="16"/>
          <w:lang w:val="es-ES_tradnl"/>
        </w:rPr>
        <w:t>ó</w:t>
      </w:r>
      <w:r>
        <w:rPr>
          <w:spacing w:val="-7"/>
          <w:sz w:val="16"/>
          <w:szCs w:val="16"/>
          <w:lang w:val="es-ES_tradnl"/>
        </w:rPr>
        <w:t>n la Man</w:t>
      </w:r>
      <w:r>
        <w:rPr>
          <w:rFonts w:cs="Times New Roman"/>
          <w:spacing w:val="-7"/>
          <w:sz w:val="16"/>
          <w:szCs w:val="16"/>
          <w:lang w:val="es-ES_tradnl"/>
        </w:rPr>
        <w:t>á</w:t>
      </w:r>
      <w:r>
        <w:rPr>
          <w:spacing w:val="-7"/>
          <w:sz w:val="16"/>
          <w:szCs w:val="16"/>
          <w:lang w:val="es-ES_tradnl"/>
        </w:rPr>
        <w:t xml:space="preserve">, </w:t>
      </w:r>
      <w:r>
        <w:rPr>
          <w:spacing w:val="-5"/>
          <w:sz w:val="16"/>
          <w:szCs w:val="16"/>
          <w:lang w:val="es-ES_tradnl"/>
        </w:rPr>
        <w:t>[</w:t>
      </w:r>
      <w:r>
        <w:rPr>
          <w:rFonts w:cs="Times New Roman"/>
          <w:spacing w:val="-5"/>
          <w:sz w:val="16"/>
          <w:szCs w:val="16"/>
          <w:lang w:val="es-ES_tradnl"/>
        </w:rPr>
        <w:t>…</w:t>
      </w:r>
      <w:r>
        <w:rPr>
          <w:spacing w:val="-5"/>
          <w:sz w:val="16"/>
          <w:szCs w:val="16"/>
          <w:lang w:val="es-ES_tradnl"/>
        </w:rPr>
        <w:t>] CITO con la copia de la demanda y auto en ella reca</w:t>
      </w:r>
      <w:r>
        <w:rPr>
          <w:rFonts w:cs="Times New Roman"/>
          <w:spacing w:val="-5"/>
          <w:sz w:val="16"/>
          <w:szCs w:val="16"/>
          <w:lang w:val="es-ES_tradnl"/>
        </w:rPr>
        <w:t>í</w:t>
      </w:r>
      <w:r>
        <w:rPr>
          <w:spacing w:val="-5"/>
          <w:sz w:val="16"/>
          <w:szCs w:val="16"/>
          <w:lang w:val="es-ES_tradnl"/>
        </w:rPr>
        <w:t xml:space="preserve">da </w:t>
      </w:r>
      <w:r>
        <w:rPr>
          <w:sz w:val="16"/>
          <w:szCs w:val="16"/>
          <w:lang w:val="es-ES_tradnl"/>
        </w:rPr>
        <w:t>al se</w:t>
      </w:r>
      <w:r>
        <w:rPr>
          <w:rFonts w:cs="Times New Roman"/>
          <w:sz w:val="16"/>
          <w:szCs w:val="16"/>
          <w:lang w:val="es-ES_tradnl"/>
        </w:rPr>
        <w:t>ñ</w:t>
      </w:r>
      <w:r>
        <w:rPr>
          <w:sz w:val="16"/>
          <w:szCs w:val="16"/>
          <w:lang w:val="es-ES_tradnl"/>
        </w:rPr>
        <w:t xml:space="preserve">or JAIME PATRICIO CHIRIBOGA GUERRERO, </w:t>
      </w:r>
      <w:r>
        <w:rPr>
          <w:spacing w:val="-5"/>
          <w:sz w:val="16"/>
          <w:szCs w:val="16"/>
          <w:lang w:val="es-ES_tradnl"/>
        </w:rPr>
        <w:t>[</w:t>
      </w:r>
      <w:r>
        <w:rPr>
          <w:rFonts w:cs="Times New Roman"/>
          <w:spacing w:val="-5"/>
          <w:sz w:val="16"/>
          <w:szCs w:val="16"/>
          <w:lang w:val="es-ES_tradnl"/>
        </w:rPr>
        <w:t>…</w:t>
      </w:r>
      <w:r>
        <w:rPr>
          <w:spacing w:val="-5"/>
          <w:sz w:val="16"/>
          <w:szCs w:val="16"/>
          <w:lang w:val="es-ES_tradnl"/>
        </w:rPr>
        <w:t>] que por no estar presente le entrego al se</w:t>
      </w:r>
      <w:r>
        <w:rPr>
          <w:rFonts w:cs="Times New Roman"/>
          <w:spacing w:val="-5"/>
          <w:sz w:val="16"/>
          <w:szCs w:val="16"/>
          <w:lang w:val="es-ES_tradnl"/>
        </w:rPr>
        <w:t>ñ</w:t>
      </w:r>
      <w:r>
        <w:rPr>
          <w:spacing w:val="-5"/>
          <w:sz w:val="16"/>
          <w:szCs w:val="16"/>
          <w:lang w:val="es-ES_tradnl"/>
        </w:rPr>
        <w:t xml:space="preserve">or Freddy </w:t>
      </w:r>
      <w:r>
        <w:rPr>
          <w:spacing w:val="-7"/>
          <w:sz w:val="16"/>
          <w:szCs w:val="16"/>
          <w:lang w:val="es-ES_tradnl"/>
        </w:rPr>
        <w:t>Alc</w:t>
      </w:r>
      <w:r>
        <w:rPr>
          <w:rFonts w:cs="Times New Roman"/>
          <w:spacing w:val="-7"/>
          <w:sz w:val="16"/>
          <w:szCs w:val="16"/>
          <w:lang w:val="es-ES_tradnl"/>
        </w:rPr>
        <w:t>í</w:t>
      </w:r>
      <w:r>
        <w:rPr>
          <w:spacing w:val="-7"/>
          <w:sz w:val="16"/>
          <w:szCs w:val="16"/>
          <w:lang w:val="es-ES_tradnl"/>
        </w:rPr>
        <w:t>var, mec</w:t>
      </w:r>
      <w:r>
        <w:rPr>
          <w:rFonts w:cs="Times New Roman"/>
          <w:spacing w:val="-7"/>
          <w:sz w:val="16"/>
          <w:szCs w:val="16"/>
          <w:lang w:val="es-ES_tradnl"/>
        </w:rPr>
        <w:t>á</w:t>
      </w:r>
      <w:r>
        <w:rPr>
          <w:spacing w:val="-7"/>
          <w:sz w:val="16"/>
          <w:szCs w:val="16"/>
          <w:lang w:val="es-ES_tradnl"/>
        </w:rPr>
        <w:t xml:space="preserve">nico de la hacienda del demandado, en su casa </w:t>
      </w:r>
      <w:r>
        <w:rPr>
          <w:spacing w:val="-4"/>
          <w:sz w:val="16"/>
          <w:szCs w:val="16"/>
          <w:lang w:val="es-ES_tradnl"/>
        </w:rPr>
        <w:t>de habitaci</w:t>
      </w:r>
      <w:r>
        <w:rPr>
          <w:rFonts w:cs="Times New Roman"/>
          <w:spacing w:val="-4"/>
          <w:sz w:val="16"/>
          <w:szCs w:val="16"/>
          <w:lang w:val="es-ES_tradnl"/>
        </w:rPr>
        <w:t>ó</w:t>
      </w:r>
      <w:r>
        <w:rPr>
          <w:spacing w:val="-4"/>
          <w:sz w:val="16"/>
          <w:szCs w:val="16"/>
          <w:lang w:val="es-ES_tradnl"/>
        </w:rPr>
        <w:t xml:space="preserve">n ubicada en el sector antes referido, inmueble </w:t>
      </w:r>
      <w:r>
        <w:rPr>
          <w:spacing w:val="-6"/>
          <w:sz w:val="16"/>
          <w:szCs w:val="16"/>
          <w:lang w:val="es-ES_tradnl"/>
        </w:rPr>
        <w:t>sin n</w:t>
      </w:r>
      <w:r>
        <w:rPr>
          <w:rFonts w:cs="Times New Roman"/>
          <w:spacing w:val="-6"/>
          <w:sz w:val="16"/>
          <w:szCs w:val="16"/>
          <w:lang w:val="es-ES_tradnl"/>
        </w:rPr>
        <w:t>ú</w:t>
      </w:r>
      <w:r>
        <w:rPr>
          <w:spacing w:val="-6"/>
          <w:sz w:val="16"/>
          <w:szCs w:val="16"/>
          <w:lang w:val="es-ES_tradnl"/>
        </w:rPr>
        <w:t>mero, dej</w:t>
      </w:r>
      <w:r>
        <w:rPr>
          <w:rFonts w:cs="Times New Roman"/>
          <w:spacing w:val="-6"/>
          <w:sz w:val="16"/>
          <w:szCs w:val="16"/>
          <w:lang w:val="es-ES_tradnl"/>
        </w:rPr>
        <w:t>á</w:t>
      </w:r>
      <w:r>
        <w:rPr>
          <w:spacing w:val="-6"/>
          <w:sz w:val="16"/>
          <w:szCs w:val="16"/>
          <w:lang w:val="es-ES_tradnl"/>
        </w:rPr>
        <w:t xml:space="preserve">ndole las copias de ley, le prevengo de la </w:t>
      </w:r>
      <w:r>
        <w:rPr>
          <w:spacing w:val="-5"/>
          <w:sz w:val="16"/>
          <w:szCs w:val="16"/>
          <w:lang w:val="es-ES_tradnl"/>
        </w:rPr>
        <w:t>obligaci</w:t>
      </w:r>
      <w:r>
        <w:rPr>
          <w:rFonts w:cs="Times New Roman"/>
          <w:spacing w:val="-5"/>
          <w:sz w:val="16"/>
          <w:szCs w:val="16"/>
          <w:lang w:val="es-ES_tradnl"/>
        </w:rPr>
        <w:t>ó</w:t>
      </w:r>
      <w:r>
        <w:rPr>
          <w:spacing w:val="-5"/>
          <w:sz w:val="16"/>
          <w:szCs w:val="16"/>
          <w:lang w:val="es-ES_tradnl"/>
        </w:rPr>
        <w:t>n que tiene de se</w:t>
      </w:r>
      <w:r>
        <w:rPr>
          <w:rFonts w:cs="Times New Roman"/>
          <w:spacing w:val="-5"/>
          <w:sz w:val="16"/>
          <w:szCs w:val="16"/>
          <w:lang w:val="es-ES_tradnl"/>
        </w:rPr>
        <w:t>ñ</w:t>
      </w:r>
      <w:r>
        <w:rPr>
          <w:spacing w:val="-5"/>
          <w:sz w:val="16"/>
          <w:szCs w:val="16"/>
          <w:lang w:val="es-ES_tradnl"/>
        </w:rPr>
        <w:t>alar casillero judicial en la ciudad</w:t>
      </w:r>
    </w:p>
    <w:p w14:paraId="4F67B6F2" w14:textId="77777777" w:rsidR="00591D54" w:rsidRDefault="00591D54">
      <w:pPr>
        <w:shd w:val="clear" w:color="auto" w:fill="FFFFFF"/>
        <w:spacing w:before="533" w:line="178" w:lineRule="exact"/>
        <w:ind w:left="139" w:hanging="139"/>
      </w:pPr>
      <w:r>
        <w:rPr>
          <w:sz w:val="16"/>
          <w:szCs w:val="16"/>
          <w:vertAlign w:val="superscript"/>
          <w:lang w:val="es-ES_tradnl"/>
        </w:rPr>
        <w:t>6</w:t>
      </w:r>
      <w:r>
        <w:rPr>
          <w:sz w:val="16"/>
          <w:szCs w:val="16"/>
          <w:lang w:val="es-ES_tradnl"/>
        </w:rPr>
        <w:t xml:space="preserve">  </w:t>
      </w:r>
      <w:r>
        <w:rPr>
          <w:spacing w:val="-5"/>
          <w:sz w:val="16"/>
          <w:szCs w:val="16"/>
          <w:lang w:val="es-ES_tradnl"/>
        </w:rPr>
        <w:t>Corte Constitucional del Ecuador, para el per</w:t>
      </w:r>
      <w:r>
        <w:rPr>
          <w:rFonts w:cs="Times New Roman"/>
          <w:spacing w:val="-5"/>
          <w:sz w:val="16"/>
          <w:szCs w:val="16"/>
          <w:lang w:val="es-ES_tradnl"/>
        </w:rPr>
        <w:t>í</w:t>
      </w:r>
      <w:r>
        <w:rPr>
          <w:spacing w:val="-5"/>
          <w:sz w:val="16"/>
          <w:szCs w:val="16"/>
          <w:lang w:val="es-ES_tradnl"/>
        </w:rPr>
        <w:t>odo de transici</w:t>
      </w:r>
      <w:r>
        <w:rPr>
          <w:rFonts w:cs="Times New Roman"/>
          <w:spacing w:val="-5"/>
          <w:sz w:val="16"/>
          <w:szCs w:val="16"/>
          <w:lang w:val="es-ES_tradnl"/>
        </w:rPr>
        <w:t>ó</w:t>
      </w:r>
      <w:r>
        <w:rPr>
          <w:spacing w:val="-5"/>
          <w:sz w:val="16"/>
          <w:szCs w:val="16"/>
          <w:lang w:val="es-ES_tradnl"/>
        </w:rPr>
        <w:t xml:space="preserve">n, </w:t>
      </w:r>
      <w:r>
        <w:rPr>
          <w:spacing w:val="-11"/>
          <w:sz w:val="16"/>
          <w:szCs w:val="16"/>
          <w:lang w:val="es-ES_tradnl"/>
        </w:rPr>
        <w:t>Sentencia N.</w:t>
      </w:r>
      <w:r>
        <w:rPr>
          <w:rFonts w:cs="Times New Roman"/>
          <w:spacing w:val="-11"/>
          <w:sz w:val="16"/>
          <w:szCs w:val="16"/>
          <w:lang w:val="es-ES_tradnl"/>
        </w:rPr>
        <w:t>º</w:t>
      </w:r>
      <w:r>
        <w:rPr>
          <w:spacing w:val="-11"/>
          <w:sz w:val="16"/>
          <w:szCs w:val="16"/>
          <w:lang w:val="es-ES_tradnl"/>
        </w:rPr>
        <w:t xml:space="preserve"> 073-10-SEP-CC, caso N.</w:t>
      </w:r>
      <w:r>
        <w:rPr>
          <w:rFonts w:cs="Times New Roman"/>
          <w:spacing w:val="-11"/>
          <w:sz w:val="16"/>
          <w:szCs w:val="16"/>
          <w:lang w:val="es-ES_tradnl"/>
        </w:rPr>
        <w:t>º</w:t>
      </w:r>
      <w:r>
        <w:rPr>
          <w:spacing w:val="-11"/>
          <w:sz w:val="16"/>
          <w:szCs w:val="16"/>
          <w:lang w:val="es-ES_tradnl"/>
        </w:rPr>
        <w:t xml:space="preserve"> 0506-09-EP.</w:t>
      </w:r>
    </w:p>
    <w:p w14:paraId="4F67B6F3" w14:textId="77777777" w:rsidR="00591D54" w:rsidRDefault="00591D54">
      <w:pPr>
        <w:shd w:val="clear" w:color="auto" w:fill="FFFFFF"/>
        <w:spacing w:line="216" w:lineRule="exact"/>
        <w:ind w:left="283"/>
        <w:jc w:val="both"/>
      </w:pPr>
      <w:r>
        <w:br w:type="column"/>
      </w:r>
      <w:r>
        <w:rPr>
          <w:spacing w:val="-6"/>
          <w:sz w:val="16"/>
          <w:szCs w:val="16"/>
          <w:lang w:val="es-ES_tradnl"/>
        </w:rPr>
        <w:t xml:space="preserve">de Latacunga, para sus posteriores notificaciones, y asistir a </w:t>
      </w:r>
      <w:r>
        <w:rPr>
          <w:spacing w:val="-5"/>
          <w:sz w:val="16"/>
          <w:szCs w:val="16"/>
          <w:lang w:val="es-ES_tradnl"/>
        </w:rPr>
        <w:t>la audiencia preliminar de conciliaci</w:t>
      </w:r>
      <w:r>
        <w:rPr>
          <w:rFonts w:cs="Times New Roman"/>
          <w:spacing w:val="-5"/>
          <w:sz w:val="16"/>
          <w:szCs w:val="16"/>
          <w:lang w:val="es-ES_tradnl"/>
        </w:rPr>
        <w:t>ó</w:t>
      </w:r>
      <w:r>
        <w:rPr>
          <w:spacing w:val="-5"/>
          <w:sz w:val="16"/>
          <w:szCs w:val="16"/>
          <w:lang w:val="es-ES_tradnl"/>
        </w:rPr>
        <w:t>n y contestaci</w:t>
      </w:r>
      <w:r>
        <w:rPr>
          <w:rFonts w:cs="Times New Roman"/>
          <w:spacing w:val="-5"/>
          <w:sz w:val="16"/>
          <w:szCs w:val="16"/>
          <w:lang w:val="es-ES_tradnl"/>
        </w:rPr>
        <w:t>ó</w:t>
      </w:r>
      <w:r>
        <w:rPr>
          <w:spacing w:val="-5"/>
          <w:sz w:val="16"/>
          <w:szCs w:val="16"/>
          <w:lang w:val="es-ES_tradnl"/>
        </w:rPr>
        <w:t xml:space="preserve">n a la </w:t>
      </w:r>
      <w:r>
        <w:rPr>
          <w:sz w:val="16"/>
          <w:szCs w:val="16"/>
          <w:lang w:val="es-ES_tradnl"/>
        </w:rPr>
        <w:t>demanda y formulaci</w:t>
      </w:r>
      <w:r>
        <w:rPr>
          <w:rFonts w:cs="Times New Roman"/>
          <w:sz w:val="16"/>
          <w:szCs w:val="16"/>
          <w:lang w:val="es-ES_tradnl"/>
        </w:rPr>
        <w:t>ó</w:t>
      </w:r>
      <w:r>
        <w:rPr>
          <w:sz w:val="16"/>
          <w:szCs w:val="16"/>
          <w:lang w:val="es-ES_tradnl"/>
        </w:rPr>
        <w:t>n de prueba [</w:t>
      </w:r>
      <w:r>
        <w:rPr>
          <w:rFonts w:cs="Times New Roman"/>
          <w:sz w:val="16"/>
          <w:szCs w:val="16"/>
          <w:lang w:val="es-ES_tradnl"/>
        </w:rPr>
        <w:t>…</w:t>
      </w:r>
      <w:r>
        <w:rPr>
          <w:sz w:val="16"/>
          <w:szCs w:val="16"/>
          <w:lang w:val="es-ES_tradnl"/>
        </w:rPr>
        <w:t>].</w:t>
      </w:r>
    </w:p>
    <w:p w14:paraId="4F67B6F4" w14:textId="77777777" w:rsidR="00591D54" w:rsidRDefault="00591D54">
      <w:pPr>
        <w:shd w:val="clear" w:color="auto" w:fill="FFFFFF"/>
        <w:spacing w:before="202" w:line="216" w:lineRule="exact"/>
        <w:jc w:val="both"/>
      </w:pPr>
      <w:r>
        <w:rPr>
          <w:spacing w:val="-4"/>
          <w:sz w:val="18"/>
          <w:szCs w:val="18"/>
          <w:lang w:val="es-ES_tradnl"/>
        </w:rPr>
        <w:t>Los art</w:t>
      </w:r>
      <w:r>
        <w:rPr>
          <w:rFonts w:cs="Times New Roman"/>
          <w:spacing w:val="-4"/>
          <w:sz w:val="18"/>
          <w:szCs w:val="18"/>
          <w:lang w:val="es-ES_tradnl"/>
        </w:rPr>
        <w:t>í</w:t>
      </w:r>
      <w:r>
        <w:rPr>
          <w:spacing w:val="-4"/>
          <w:sz w:val="18"/>
          <w:szCs w:val="18"/>
          <w:lang w:val="es-ES_tradnl"/>
        </w:rPr>
        <w:t>culos 73 y 77 del C</w:t>
      </w:r>
      <w:r>
        <w:rPr>
          <w:rFonts w:cs="Times New Roman"/>
          <w:spacing w:val="-4"/>
          <w:sz w:val="18"/>
          <w:szCs w:val="18"/>
          <w:lang w:val="es-ES_tradnl"/>
        </w:rPr>
        <w:t>ó</w:t>
      </w:r>
      <w:r>
        <w:rPr>
          <w:spacing w:val="-4"/>
          <w:sz w:val="18"/>
          <w:szCs w:val="18"/>
          <w:lang w:val="es-ES_tradnl"/>
        </w:rPr>
        <w:t xml:space="preserve">digo de Procedimiento Civil </w:t>
      </w:r>
      <w:r>
        <w:rPr>
          <w:spacing w:val="-13"/>
          <w:sz w:val="18"/>
          <w:szCs w:val="18"/>
          <w:lang w:val="es-ES_tradnl"/>
        </w:rPr>
        <w:t>se</w:t>
      </w:r>
      <w:r>
        <w:rPr>
          <w:rFonts w:cs="Times New Roman"/>
          <w:spacing w:val="-13"/>
          <w:sz w:val="18"/>
          <w:szCs w:val="18"/>
          <w:lang w:val="es-ES_tradnl"/>
        </w:rPr>
        <w:t>ñ</w:t>
      </w:r>
      <w:r>
        <w:rPr>
          <w:spacing w:val="-13"/>
          <w:sz w:val="18"/>
          <w:szCs w:val="18"/>
          <w:lang w:val="es-ES_tradnl"/>
        </w:rPr>
        <w:t xml:space="preserve">alan que en caso de no encontrarse a la persona que debe </w:t>
      </w:r>
      <w:r>
        <w:rPr>
          <w:spacing w:val="-7"/>
          <w:sz w:val="18"/>
          <w:szCs w:val="18"/>
          <w:lang w:val="es-ES_tradnl"/>
        </w:rPr>
        <w:t>ser citada, se la citar</w:t>
      </w:r>
      <w:r>
        <w:rPr>
          <w:rFonts w:cs="Times New Roman"/>
          <w:spacing w:val="-7"/>
          <w:sz w:val="18"/>
          <w:szCs w:val="18"/>
          <w:lang w:val="es-ES_tradnl"/>
        </w:rPr>
        <w:t>á</w:t>
      </w:r>
      <w:r>
        <w:rPr>
          <w:spacing w:val="-7"/>
          <w:sz w:val="18"/>
          <w:szCs w:val="18"/>
          <w:lang w:val="es-ES_tradnl"/>
        </w:rPr>
        <w:t xml:space="preserve"> por boleta dejada en la habitaci</w:t>
      </w:r>
      <w:r>
        <w:rPr>
          <w:rFonts w:cs="Times New Roman"/>
          <w:spacing w:val="-7"/>
          <w:sz w:val="18"/>
          <w:szCs w:val="18"/>
          <w:lang w:val="es-ES_tradnl"/>
        </w:rPr>
        <w:t>ó</w:t>
      </w:r>
      <w:r>
        <w:rPr>
          <w:spacing w:val="-7"/>
          <w:sz w:val="18"/>
          <w:szCs w:val="18"/>
          <w:lang w:val="es-ES_tradnl"/>
        </w:rPr>
        <w:t xml:space="preserve">n a </w:t>
      </w:r>
      <w:r>
        <w:rPr>
          <w:spacing w:val="-4"/>
          <w:sz w:val="18"/>
          <w:szCs w:val="18"/>
          <w:lang w:val="es-ES_tradnl"/>
        </w:rPr>
        <w:t>cualquier individuo de su familia o de servicio; situaci</w:t>
      </w:r>
      <w:r>
        <w:rPr>
          <w:rFonts w:cs="Times New Roman"/>
          <w:spacing w:val="-4"/>
          <w:sz w:val="18"/>
          <w:szCs w:val="18"/>
          <w:lang w:val="es-ES_tradnl"/>
        </w:rPr>
        <w:t>ó</w:t>
      </w:r>
      <w:r>
        <w:rPr>
          <w:spacing w:val="-4"/>
          <w:sz w:val="18"/>
          <w:szCs w:val="18"/>
          <w:lang w:val="es-ES_tradnl"/>
        </w:rPr>
        <w:t xml:space="preserve">n </w:t>
      </w:r>
      <w:r>
        <w:rPr>
          <w:spacing w:val="-6"/>
          <w:sz w:val="18"/>
          <w:szCs w:val="18"/>
          <w:lang w:val="es-ES_tradnl"/>
        </w:rPr>
        <w:t>que en el caso sub judice no fue cumplida por el citador, pues seg</w:t>
      </w:r>
      <w:r>
        <w:rPr>
          <w:rFonts w:cs="Times New Roman"/>
          <w:spacing w:val="-6"/>
          <w:sz w:val="18"/>
          <w:szCs w:val="18"/>
          <w:lang w:val="es-ES_tradnl"/>
        </w:rPr>
        <w:t>ú</w:t>
      </w:r>
      <w:r>
        <w:rPr>
          <w:spacing w:val="-6"/>
          <w:sz w:val="18"/>
          <w:szCs w:val="18"/>
          <w:lang w:val="es-ES_tradnl"/>
        </w:rPr>
        <w:t xml:space="preserve">n consta en el expediente de instancia (fojas 11 </w:t>
      </w:r>
      <w:r>
        <w:rPr>
          <w:spacing w:val="-5"/>
          <w:sz w:val="18"/>
          <w:szCs w:val="18"/>
          <w:lang w:val="es-ES_tradnl"/>
        </w:rPr>
        <w:t>y vta.), la citaci</w:t>
      </w:r>
      <w:r>
        <w:rPr>
          <w:rFonts w:cs="Times New Roman"/>
          <w:spacing w:val="-5"/>
          <w:sz w:val="18"/>
          <w:szCs w:val="18"/>
          <w:lang w:val="es-ES_tradnl"/>
        </w:rPr>
        <w:t>ó</w:t>
      </w:r>
      <w:r>
        <w:rPr>
          <w:spacing w:val="-5"/>
          <w:sz w:val="18"/>
          <w:szCs w:val="18"/>
          <w:lang w:val="es-ES_tradnl"/>
        </w:rPr>
        <w:t>n al demandado se efectu</w:t>
      </w:r>
      <w:r>
        <w:rPr>
          <w:rFonts w:cs="Times New Roman"/>
          <w:spacing w:val="-5"/>
          <w:sz w:val="18"/>
          <w:szCs w:val="18"/>
          <w:lang w:val="es-ES_tradnl"/>
        </w:rPr>
        <w:t>ó</w:t>
      </w:r>
      <w:r>
        <w:rPr>
          <w:spacing w:val="-5"/>
          <w:sz w:val="18"/>
          <w:szCs w:val="18"/>
          <w:lang w:val="es-ES_tradnl"/>
        </w:rPr>
        <w:t xml:space="preserve"> en el sector </w:t>
      </w:r>
      <w:r>
        <w:rPr>
          <w:spacing w:val="-4"/>
          <w:sz w:val="18"/>
          <w:szCs w:val="18"/>
          <w:lang w:val="es-ES_tradnl"/>
        </w:rPr>
        <w:t>rural n</w:t>
      </w:r>
      <w:r>
        <w:rPr>
          <w:rFonts w:cs="Times New Roman"/>
          <w:spacing w:val="-4"/>
          <w:sz w:val="18"/>
          <w:szCs w:val="18"/>
          <w:lang w:val="es-ES_tradnl"/>
        </w:rPr>
        <w:t>ú</w:t>
      </w:r>
      <w:r>
        <w:rPr>
          <w:spacing w:val="-4"/>
          <w:sz w:val="18"/>
          <w:szCs w:val="18"/>
          <w:lang w:val="es-ES_tradnl"/>
        </w:rPr>
        <w:t>mero uno perteneciente al cant</w:t>
      </w:r>
      <w:r>
        <w:rPr>
          <w:rFonts w:cs="Times New Roman"/>
          <w:spacing w:val="-4"/>
          <w:sz w:val="18"/>
          <w:szCs w:val="18"/>
          <w:lang w:val="es-ES_tradnl"/>
        </w:rPr>
        <w:t>ó</w:t>
      </w:r>
      <w:r>
        <w:rPr>
          <w:spacing w:val="-4"/>
          <w:sz w:val="18"/>
          <w:szCs w:val="18"/>
          <w:lang w:val="es-ES_tradnl"/>
        </w:rPr>
        <w:t>n La Man</w:t>
      </w:r>
      <w:r>
        <w:rPr>
          <w:rFonts w:cs="Times New Roman"/>
          <w:spacing w:val="-4"/>
          <w:sz w:val="18"/>
          <w:szCs w:val="18"/>
          <w:lang w:val="es-ES_tradnl"/>
        </w:rPr>
        <w:t>á</w:t>
      </w:r>
      <w:r>
        <w:rPr>
          <w:spacing w:val="-4"/>
          <w:sz w:val="18"/>
          <w:szCs w:val="18"/>
          <w:lang w:val="es-ES_tradnl"/>
        </w:rPr>
        <w:t xml:space="preserve">, que </w:t>
      </w:r>
      <w:r>
        <w:rPr>
          <w:spacing w:val="-7"/>
          <w:sz w:val="18"/>
          <w:szCs w:val="18"/>
          <w:lang w:val="es-ES_tradnl"/>
        </w:rPr>
        <w:t>de acuerdo con lo se</w:t>
      </w:r>
      <w:r>
        <w:rPr>
          <w:rFonts w:cs="Times New Roman"/>
          <w:spacing w:val="-7"/>
          <w:sz w:val="18"/>
          <w:szCs w:val="18"/>
          <w:lang w:val="es-ES_tradnl"/>
        </w:rPr>
        <w:t>ñ</w:t>
      </w:r>
      <w:r>
        <w:rPr>
          <w:spacing w:val="-7"/>
          <w:sz w:val="18"/>
          <w:szCs w:val="18"/>
          <w:lang w:val="es-ES_tradnl"/>
        </w:rPr>
        <w:t xml:space="preserve">alado por el propio demandante era </w:t>
      </w:r>
      <w:r>
        <w:rPr>
          <w:spacing w:val="-6"/>
          <w:sz w:val="18"/>
          <w:szCs w:val="18"/>
          <w:lang w:val="es-ES_tradnl"/>
        </w:rPr>
        <w:t>la direcci</w:t>
      </w:r>
      <w:r>
        <w:rPr>
          <w:rFonts w:cs="Times New Roman"/>
          <w:spacing w:val="-6"/>
          <w:sz w:val="18"/>
          <w:szCs w:val="18"/>
          <w:lang w:val="es-ES_tradnl"/>
        </w:rPr>
        <w:t>ó</w:t>
      </w:r>
      <w:r>
        <w:rPr>
          <w:spacing w:val="-6"/>
          <w:sz w:val="18"/>
          <w:szCs w:val="18"/>
          <w:lang w:val="es-ES_tradnl"/>
        </w:rPr>
        <w:t>n del trabajo del se</w:t>
      </w:r>
      <w:r>
        <w:rPr>
          <w:rFonts w:cs="Times New Roman"/>
          <w:spacing w:val="-6"/>
          <w:sz w:val="18"/>
          <w:szCs w:val="18"/>
          <w:lang w:val="es-ES_tradnl"/>
        </w:rPr>
        <w:t>ñ</w:t>
      </w:r>
      <w:r>
        <w:rPr>
          <w:spacing w:val="-6"/>
          <w:sz w:val="18"/>
          <w:szCs w:val="18"/>
          <w:lang w:val="es-ES_tradnl"/>
        </w:rPr>
        <w:t xml:space="preserve">or Jaime Patricio Chiriboga </w:t>
      </w:r>
      <w:r>
        <w:rPr>
          <w:spacing w:val="-7"/>
          <w:sz w:val="18"/>
          <w:szCs w:val="18"/>
          <w:lang w:val="es-ES_tradnl"/>
        </w:rPr>
        <w:t xml:space="preserve">Guerrero. Por tanto, el funcionario judicial encargado de la </w:t>
      </w:r>
      <w:r>
        <w:rPr>
          <w:spacing w:val="-5"/>
          <w:sz w:val="18"/>
          <w:szCs w:val="18"/>
          <w:lang w:val="es-ES_tradnl"/>
        </w:rPr>
        <w:t>citaci</w:t>
      </w:r>
      <w:r>
        <w:rPr>
          <w:rFonts w:cs="Times New Roman"/>
          <w:spacing w:val="-5"/>
          <w:sz w:val="18"/>
          <w:szCs w:val="18"/>
          <w:lang w:val="es-ES_tradnl"/>
        </w:rPr>
        <w:t>ó</w:t>
      </w:r>
      <w:r>
        <w:rPr>
          <w:spacing w:val="-5"/>
          <w:sz w:val="18"/>
          <w:szCs w:val="18"/>
          <w:lang w:val="es-ES_tradnl"/>
        </w:rPr>
        <w:t>n debi</w:t>
      </w:r>
      <w:r>
        <w:rPr>
          <w:rFonts w:cs="Times New Roman"/>
          <w:spacing w:val="-5"/>
          <w:sz w:val="18"/>
          <w:szCs w:val="18"/>
          <w:lang w:val="es-ES_tradnl"/>
        </w:rPr>
        <w:t>ó</w:t>
      </w:r>
      <w:r>
        <w:rPr>
          <w:spacing w:val="-5"/>
          <w:sz w:val="18"/>
          <w:szCs w:val="18"/>
          <w:lang w:val="es-ES_tradnl"/>
        </w:rPr>
        <w:t xml:space="preserve"> comprobar si el lugar en el cual se produjo </w:t>
      </w:r>
      <w:r>
        <w:rPr>
          <w:spacing w:val="-7"/>
          <w:sz w:val="18"/>
          <w:szCs w:val="18"/>
          <w:lang w:val="es-ES_tradnl"/>
        </w:rPr>
        <w:t>la citaci</w:t>
      </w:r>
      <w:r>
        <w:rPr>
          <w:rFonts w:cs="Times New Roman"/>
          <w:spacing w:val="-7"/>
          <w:sz w:val="18"/>
          <w:szCs w:val="18"/>
          <w:lang w:val="es-ES_tradnl"/>
        </w:rPr>
        <w:t>ó</w:t>
      </w:r>
      <w:r>
        <w:rPr>
          <w:spacing w:val="-7"/>
          <w:sz w:val="18"/>
          <w:szCs w:val="18"/>
          <w:lang w:val="es-ES_tradnl"/>
        </w:rPr>
        <w:t>n era realmente la habitaci</w:t>
      </w:r>
      <w:r>
        <w:rPr>
          <w:rFonts w:cs="Times New Roman"/>
          <w:spacing w:val="-7"/>
          <w:sz w:val="18"/>
          <w:szCs w:val="18"/>
          <w:lang w:val="es-ES_tradnl"/>
        </w:rPr>
        <w:t>ó</w:t>
      </w:r>
      <w:r>
        <w:rPr>
          <w:spacing w:val="-7"/>
          <w:sz w:val="18"/>
          <w:szCs w:val="18"/>
          <w:lang w:val="es-ES_tradnl"/>
        </w:rPr>
        <w:t xml:space="preserve">n del demandado, de </w:t>
      </w:r>
      <w:r>
        <w:rPr>
          <w:spacing w:val="-6"/>
          <w:sz w:val="18"/>
          <w:szCs w:val="18"/>
          <w:lang w:val="es-ES_tradnl"/>
        </w:rPr>
        <w:t>acuerdo a lo establecido en el art</w:t>
      </w:r>
      <w:r>
        <w:rPr>
          <w:rFonts w:cs="Times New Roman"/>
          <w:spacing w:val="-6"/>
          <w:sz w:val="18"/>
          <w:szCs w:val="18"/>
          <w:lang w:val="es-ES_tradnl"/>
        </w:rPr>
        <w:t>í</w:t>
      </w:r>
      <w:r>
        <w:rPr>
          <w:spacing w:val="-6"/>
          <w:sz w:val="18"/>
          <w:szCs w:val="18"/>
          <w:lang w:val="es-ES_tradnl"/>
        </w:rPr>
        <w:t>culo 77 del C</w:t>
      </w:r>
      <w:r>
        <w:rPr>
          <w:rFonts w:cs="Times New Roman"/>
          <w:spacing w:val="-6"/>
          <w:sz w:val="18"/>
          <w:szCs w:val="18"/>
          <w:lang w:val="es-ES_tradnl"/>
        </w:rPr>
        <w:t>ó</w:t>
      </w:r>
      <w:r>
        <w:rPr>
          <w:spacing w:val="-6"/>
          <w:sz w:val="18"/>
          <w:szCs w:val="18"/>
          <w:lang w:val="es-ES_tradnl"/>
        </w:rPr>
        <w:t xml:space="preserve">digo de </w:t>
      </w:r>
      <w:r>
        <w:rPr>
          <w:spacing w:val="-7"/>
          <w:sz w:val="18"/>
          <w:szCs w:val="18"/>
          <w:lang w:val="es-ES_tradnl"/>
        </w:rPr>
        <w:t xml:space="preserve">Procedimiento Civil, pues contrariamente a lo indicado, las </w:t>
      </w:r>
      <w:r>
        <w:rPr>
          <w:spacing w:val="-9"/>
          <w:sz w:val="18"/>
          <w:szCs w:val="18"/>
          <w:lang w:val="es-ES_tradnl"/>
        </w:rPr>
        <w:t>citaciones fueron entregadas a un se</w:t>
      </w:r>
      <w:r>
        <w:rPr>
          <w:rFonts w:cs="Times New Roman"/>
          <w:spacing w:val="-9"/>
          <w:sz w:val="18"/>
          <w:szCs w:val="18"/>
          <w:lang w:val="es-ES_tradnl"/>
        </w:rPr>
        <w:t>ñ</w:t>
      </w:r>
      <w:r>
        <w:rPr>
          <w:spacing w:val="-9"/>
          <w:sz w:val="18"/>
          <w:szCs w:val="18"/>
          <w:lang w:val="es-ES_tradnl"/>
        </w:rPr>
        <w:t xml:space="preserve">or de nombre Freddy </w:t>
      </w:r>
      <w:r>
        <w:rPr>
          <w:spacing w:val="-5"/>
          <w:sz w:val="18"/>
          <w:szCs w:val="18"/>
          <w:lang w:val="es-ES_tradnl"/>
        </w:rPr>
        <w:t>Alc</w:t>
      </w:r>
      <w:r>
        <w:rPr>
          <w:rFonts w:cs="Times New Roman"/>
          <w:spacing w:val="-5"/>
          <w:sz w:val="18"/>
          <w:szCs w:val="18"/>
          <w:lang w:val="es-ES_tradnl"/>
        </w:rPr>
        <w:t>í</w:t>
      </w:r>
      <w:r>
        <w:rPr>
          <w:spacing w:val="-5"/>
          <w:sz w:val="18"/>
          <w:szCs w:val="18"/>
          <w:lang w:val="es-ES_tradnl"/>
        </w:rPr>
        <w:t xml:space="preserve">var, quien no era parte procesal en el juicio, en un </w:t>
      </w:r>
      <w:r>
        <w:rPr>
          <w:spacing w:val="-8"/>
          <w:sz w:val="18"/>
          <w:szCs w:val="18"/>
          <w:lang w:val="es-ES_tradnl"/>
        </w:rPr>
        <w:t>inmueble que no se comprob</w:t>
      </w:r>
      <w:r>
        <w:rPr>
          <w:rFonts w:cs="Times New Roman"/>
          <w:spacing w:val="-8"/>
          <w:sz w:val="18"/>
          <w:szCs w:val="18"/>
          <w:lang w:val="es-ES_tradnl"/>
        </w:rPr>
        <w:t>ó</w:t>
      </w:r>
      <w:r>
        <w:rPr>
          <w:spacing w:val="-8"/>
          <w:sz w:val="18"/>
          <w:szCs w:val="18"/>
          <w:lang w:val="es-ES_tradnl"/>
        </w:rPr>
        <w:t xml:space="preserve"> ser la habitaci</w:t>
      </w:r>
      <w:r>
        <w:rPr>
          <w:rFonts w:cs="Times New Roman"/>
          <w:spacing w:val="-8"/>
          <w:sz w:val="18"/>
          <w:szCs w:val="18"/>
          <w:lang w:val="es-ES_tradnl"/>
        </w:rPr>
        <w:t>ó</w:t>
      </w:r>
      <w:r>
        <w:rPr>
          <w:spacing w:val="-8"/>
          <w:sz w:val="18"/>
          <w:szCs w:val="18"/>
          <w:lang w:val="es-ES_tradnl"/>
        </w:rPr>
        <w:t xml:space="preserve">n o domicilio </w:t>
      </w:r>
      <w:r>
        <w:rPr>
          <w:sz w:val="18"/>
          <w:szCs w:val="18"/>
          <w:lang w:val="es-ES_tradnl"/>
        </w:rPr>
        <w:t>de la persona demandada.</w:t>
      </w:r>
    </w:p>
    <w:p w14:paraId="4F67B6F5" w14:textId="77777777" w:rsidR="00591D54" w:rsidRDefault="00591D54">
      <w:pPr>
        <w:shd w:val="clear" w:color="auto" w:fill="FFFFFF"/>
        <w:spacing w:before="197" w:line="216" w:lineRule="exact"/>
        <w:jc w:val="both"/>
      </w:pPr>
      <w:r>
        <w:rPr>
          <w:spacing w:val="-6"/>
          <w:sz w:val="18"/>
          <w:szCs w:val="18"/>
          <w:lang w:val="es-ES_tradnl"/>
        </w:rPr>
        <w:t>De lo expresado, esta Corte observa que al no haberse citado de manera legal al se</w:t>
      </w:r>
      <w:r>
        <w:rPr>
          <w:rFonts w:cs="Times New Roman"/>
          <w:spacing w:val="-6"/>
          <w:sz w:val="18"/>
          <w:szCs w:val="18"/>
          <w:lang w:val="es-ES_tradnl"/>
        </w:rPr>
        <w:t>ñ</w:t>
      </w:r>
      <w:r>
        <w:rPr>
          <w:spacing w:val="-6"/>
          <w:sz w:val="18"/>
          <w:szCs w:val="18"/>
          <w:lang w:val="es-ES_tradnl"/>
        </w:rPr>
        <w:t xml:space="preserve">or Jaime Patricio Chiriboga </w:t>
      </w:r>
      <w:r>
        <w:rPr>
          <w:spacing w:val="-9"/>
          <w:sz w:val="18"/>
          <w:szCs w:val="18"/>
          <w:lang w:val="es-ES_tradnl"/>
        </w:rPr>
        <w:t>Guerrero con la demanda y su calificaci</w:t>
      </w:r>
      <w:r>
        <w:rPr>
          <w:rFonts w:cs="Times New Roman"/>
          <w:spacing w:val="-9"/>
          <w:sz w:val="18"/>
          <w:szCs w:val="18"/>
          <w:lang w:val="es-ES_tradnl"/>
        </w:rPr>
        <w:t>ó</w:t>
      </w:r>
      <w:r>
        <w:rPr>
          <w:spacing w:val="-9"/>
          <w:sz w:val="18"/>
          <w:szCs w:val="18"/>
          <w:lang w:val="es-ES_tradnl"/>
        </w:rPr>
        <w:t xml:space="preserve">n, se ha vulnerado </w:t>
      </w:r>
      <w:r>
        <w:rPr>
          <w:spacing w:val="-8"/>
          <w:sz w:val="18"/>
          <w:szCs w:val="18"/>
          <w:lang w:val="es-ES_tradnl"/>
        </w:rPr>
        <w:t xml:space="preserve">el derecho constitucional a la defensa, concebido como un </w:t>
      </w:r>
      <w:r>
        <w:rPr>
          <w:spacing w:val="-10"/>
          <w:sz w:val="18"/>
          <w:szCs w:val="18"/>
          <w:lang w:val="es-ES_tradnl"/>
        </w:rPr>
        <w:t>par</w:t>
      </w:r>
      <w:r>
        <w:rPr>
          <w:rFonts w:cs="Times New Roman"/>
          <w:spacing w:val="-10"/>
          <w:sz w:val="18"/>
          <w:szCs w:val="18"/>
          <w:lang w:val="es-ES_tradnl"/>
        </w:rPr>
        <w:t>á</w:t>
      </w:r>
      <w:r>
        <w:rPr>
          <w:spacing w:val="-10"/>
          <w:sz w:val="18"/>
          <w:szCs w:val="18"/>
          <w:lang w:val="es-ES_tradnl"/>
        </w:rPr>
        <w:t xml:space="preserve">metro esencial en el cual se sustenta el debido proceso. </w:t>
      </w:r>
      <w:r>
        <w:rPr>
          <w:spacing w:val="-9"/>
          <w:sz w:val="18"/>
          <w:szCs w:val="18"/>
          <w:lang w:val="es-ES_tradnl"/>
        </w:rPr>
        <w:t xml:space="preserve">Toda persona tiene el derecho de acceder en igualdad de condiciones a un proceso judicial y a esperar que dentro del </w:t>
      </w:r>
      <w:r>
        <w:rPr>
          <w:spacing w:val="-8"/>
          <w:sz w:val="18"/>
          <w:szCs w:val="18"/>
          <w:lang w:val="es-ES_tradnl"/>
        </w:rPr>
        <w:t>mismo se respeten los procedimientos que tienen relaci</w:t>
      </w:r>
      <w:r>
        <w:rPr>
          <w:rFonts w:cs="Times New Roman"/>
          <w:spacing w:val="-8"/>
          <w:sz w:val="18"/>
          <w:szCs w:val="18"/>
          <w:lang w:val="es-ES_tradnl"/>
        </w:rPr>
        <w:t>ó</w:t>
      </w:r>
      <w:r>
        <w:rPr>
          <w:spacing w:val="-8"/>
          <w:sz w:val="18"/>
          <w:szCs w:val="18"/>
          <w:lang w:val="es-ES_tradnl"/>
        </w:rPr>
        <w:t xml:space="preserve">n </w:t>
      </w:r>
      <w:r>
        <w:rPr>
          <w:spacing w:val="-7"/>
          <w:sz w:val="18"/>
          <w:szCs w:val="18"/>
          <w:lang w:val="es-ES_tradnl"/>
        </w:rPr>
        <w:t>con la contradicci</w:t>
      </w:r>
      <w:r>
        <w:rPr>
          <w:rFonts w:cs="Times New Roman"/>
          <w:spacing w:val="-7"/>
          <w:sz w:val="18"/>
          <w:szCs w:val="18"/>
          <w:lang w:val="es-ES_tradnl"/>
        </w:rPr>
        <w:t>ó</w:t>
      </w:r>
      <w:r>
        <w:rPr>
          <w:spacing w:val="-7"/>
          <w:sz w:val="18"/>
          <w:szCs w:val="18"/>
          <w:lang w:val="es-ES_tradnl"/>
        </w:rPr>
        <w:t xml:space="preserve">n de pruebas de cargo, a contar con los </w:t>
      </w:r>
      <w:r>
        <w:rPr>
          <w:spacing w:val="-8"/>
          <w:sz w:val="18"/>
          <w:szCs w:val="18"/>
          <w:lang w:val="es-ES_tradnl"/>
        </w:rPr>
        <w:t xml:space="preserve">medios y el tiempo necesarios para preparar su defensa e </w:t>
      </w:r>
      <w:r>
        <w:rPr>
          <w:spacing w:val="-10"/>
          <w:sz w:val="18"/>
          <w:szCs w:val="18"/>
          <w:lang w:val="es-ES_tradnl"/>
        </w:rPr>
        <w:t xml:space="preserve">impugnar decisiones que le sean adversas para obtener un </w:t>
      </w:r>
      <w:r>
        <w:rPr>
          <w:spacing w:val="-8"/>
          <w:sz w:val="18"/>
          <w:szCs w:val="18"/>
          <w:lang w:val="es-ES_tradnl"/>
        </w:rPr>
        <w:t>juicio justo que respete su derecho a la defensa.</w:t>
      </w:r>
    </w:p>
    <w:p w14:paraId="4F67B6F6" w14:textId="77777777" w:rsidR="00591D54" w:rsidRDefault="00591D54">
      <w:pPr>
        <w:shd w:val="clear" w:color="auto" w:fill="FFFFFF"/>
        <w:spacing w:before="197" w:line="216" w:lineRule="exact"/>
        <w:jc w:val="both"/>
      </w:pPr>
      <w:r>
        <w:rPr>
          <w:spacing w:val="-6"/>
          <w:sz w:val="18"/>
          <w:szCs w:val="18"/>
          <w:lang w:val="es-ES_tradnl"/>
        </w:rPr>
        <w:t xml:space="preserve">Como se ha evidenciado, dentro del procedimiento de </w:t>
      </w:r>
      <w:r>
        <w:rPr>
          <w:spacing w:val="-5"/>
          <w:sz w:val="18"/>
          <w:szCs w:val="18"/>
          <w:lang w:val="es-ES_tradnl"/>
        </w:rPr>
        <w:t>citaci</w:t>
      </w:r>
      <w:r>
        <w:rPr>
          <w:rFonts w:cs="Times New Roman"/>
          <w:spacing w:val="-5"/>
          <w:sz w:val="18"/>
          <w:szCs w:val="18"/>
          <w:lang w:val="es-ES_tradnl"/>
        </w:rPr>
        <w:t>ó</w:t>
      </w:r>
      <w:r>
        <w:rPr>
          <w:spacing w:val="-5"/>
          <w:sz w:val="18"/>
          <w:szCs w:val="18"/>
          <w:lang w:val="es-ES_tradnl"/>
        </w:rPr>
        <w:t xml:space="preserve">n en el juicio laboral se omitieron formalidades </w:t>
      </w:r>
      <w:r>
        <w:rPr>
          <w:spacing w:val="-4"/>
          <w:sz w:val="18"/>
          <w:szCs w:val="18"/>
          <w:lang w:val="es-ES_tradnl"/>
        </w:rPr>
        <w:t xml:space="preserve">procesales y desconocieron normas legales como la </w:t>
      </w:r>
      <w:r>
        <w:rPr>
          <w:spacing w:val="-6"/>
          <w:sz w:val="18"/>
          <w:szCs w:val="18"/>
          <w:lang w:val="es-ES_tradnl"/>
        </w:rPr>
        <w:t>constante en el art</w:t>
      </w:r>
      <w:r>
        <w:rPr>
          <w:rFonts w:cs="Times New Roman"/>
          <w:spacing w:val="-6"/>
          <w:sz w:val="18"/>
          <w:szCs w:val="18"/>
          <w:lang w:val="es-ES_tradnl"/>
        </w:rPr>
        <w:t>í</w:t>
      </w:r>
      <w:r>
        <w:rPr>
          <w:spacing w:val="-6"/>
          <w:sz w:val="18"/>
          <w:szCs w:val="18"/>
          <w:lang w:val="es-ES_tradnl"/>
        </w:rPr>
        <w:t>culo 77 del C</w:t>
      </w:r>
      <w:r>
        <w:rPr>
          <w:rFonts w:cs="Times New Roman"/>
          <w:spacing w:val="-6"/>
          <w:sz w:val="18"/>
          <w:szCs w:val="18"/>
          <w:lang w:val="es-ES_tradnl"/>
        </w:rPr>
        <w:t>ó</w:t>
      </w:r>
      <w:r>
        <w:rPr>
          <w:spacing w:val="-6"/>
          <w:sz w:val="18"/>
          <w:szCs w:val="18"/>
          <w:lang w:val="es-ES_tradnl"/>
        </w:rPr>
        <w:t xml:space="preserve">digo de Procedimiento </w:t>
      </w:r>
      <w:r>
        <w:rPr>
          <w:spacing w:val="-7"/>
          <w:sz w:val="18"/>
          <w:szCs w:val="18"/>
          <w:lang w:val="es-ES_tradnl"/>
        </w:rPr>
        <w:t>Civil, adem</w:t>
      </w:r>
      <w:r>
        <w:rPr>
          <w:rFonts w:cs="Times New Roman"/>
          <w:spacing w:val="-7"/>
          <w:sz w:val="18"/>
          <w:szCs w:val="18"/>
          <w:lang w:val="es-ES_tradnl"/>
        </w:rPr>
        <w:t>á</w:t>
      </w:r>
      <w:r>
        <w:rPr>
          <w:spacing w:val="-7"/>
          <w:sz w:val="18"/>
          <w:szCs w:val="18"/>
          <w:lang w:val="es-ES_tradnl"/>
        </w:rPr>
        <w:t xml:space="preserve">s de haberse transgredido disposiciones </w:t>
      </w:r>
      <w:r>
        <w:rPr>
          <w:spacing w:val="-9"/>
          <w:sz w:val="18"/>
          <w:szCs w:val="18"/>
          <w:lang w:val="es-ES_tradnl"/>
        </w:rPr>
        <w:t xml:space="preserve">constitucionales y de instrumentos internacionales atinentes </w:t>
      </w:r>
      <w:r>
        <w:rPr>
          <w:sz w:val="18"/>
          <w:szCs w:val="18"/>
          <w:lang w:val="es-ES_tradnl"/>
        </w:rPr>
        <w:t>al derecho a la defensa.</w:t>
      </w:r>
    </w:p>
    <w:p w14:paraId="4F67B6F7" w14:textId="77777777" w:rsidR="00591D54" w:rsidRDefault="00591D54">
      <w:pPr>
        <w:shd w:val="clear" w:color="auto" w:fill="FFFFFF"/>
        <w:spacing w:before="192" w:line="216" w:lineRule="exact"/>
        <w:jc w:val="both"/>
      </w:pPr>
      <w:r>
        <w:rPr>
          <w:spacing w:val="-7"/>
          <w:sz w:val="18"/>
          <w:szCs w:val="18"/>
          <w:lang w:val="es-ES_tradnl"/>
        </w:rPr>
        <w:t>Es preciso se</w:t>
      </w:r>
      <w:r>
        <w:rPr>
          <w:rFonts w:cs="Times New Roman"/>
          <w:spacing w:val="-7"/>
          <w:sz w:val="18"/>
          <w:szCs w:val="18"/>
          <w:lang w:val="es-ES_tradnl"/>
        </w:rPr>
        <w:t>ñ</w:t>
      </w:r>
      <w:r>
        <w:rPr>
          <w:spacing w:val="-7"/>
          <w:sz w:val="18"/>
          <w:szCs w:val="18"/>
          <w:lang w:val="es-ES_tradnl"/>
        </w:rPr>
        <w:t xml:space="preserve">alar que las autoridades judiciales, de </w:t>
      </w:r>
      <w:r>
        <w:rPr>
          <w:spacing w:val="-8"/>
          <w:sz w:val="18"/>
          <w:szCs w:val="18"/>
          <w:lang w:val="es-ES_tradnl"/>
        </w:rPr>
        <w:t>conformidad con el art</w:t>
      </w:r>
      <w:r>
        <w:rPr>
          <w:rFonts w:cs="Times New Roman"/>
          <w:spacing w:val="-8"/>
          <w:sz w:val="18"/>
          <w:szCs w:val="18"/>
          <w:lang w:val="es-ES_tradnl"/>
        </w:rPr>
        <w:t>í</w:t>
      </w:r>
      <w:r>
        <w:rPr>
          <w:spacing w:val="-8"/>
          <w:sz w:val="18"/>
          <w:szCs w:val="18"/>
          <w:lang w:val="es-ES_tradnl"/>
        </w:rPr>
        <w:t xml:space="preserve">culo 172 de la norma constitucional, </w:t>
      </w:r>
      <w:r>
        <w:rPr>
          <w:spacing w:val="-7"/>
          <w:sz w:val="18"/>
          <w:szCs w:val="18"/>
          <w:lang w:val="es-ES_tradnl"/>
        </w:rPr>
        <w:t>deben administrar justicia con sujeci</w:t>
      </w:r>
      <w:r>
        <w:rPr>
          <w:rFonts w:cs="Times New Roman"/>
          <w:spacing w:val="-7"/>
          <w:sz w:val="18"/>
          <w:szCs w:val="18"/>
          <w:lang w:val="es-ES_tradnl"/>
        </w:rPr>
        <w:t>ó</w:t>
      </w:r>
      <w:r>
        <w:rPr>
          <w:spacing w:val="-7"/>
          <w:sz w:val="18"/>
          <w:szCs w:val="18"/>
          <w:lang w:val="es-ES_tradnl"/>
        </w:rPr>
        <w:t>n a las disposiciones emanadas de 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 xml:space="preserve">blica, de los </w:t>
      </w:r>
      <w:r>
        <w:rPr>
          <w:spacing w:val="-1"/>
          <w:sz w:val="18"/>
          <w:szCs w:val="18"/>
          <w:lang w:val="es-ES_tradnl"/>
        </w:rPr>
        <w:t xml:space="preserve">instrumentos internacionales de derechos humanos y </w:t>
      </w:r>
      <w:r>
        <w:rPr>
          <w:spacing w:val="-8"/>
          <w:sz w:val="18"/>
          <w:szCs w:val="18"/>
          <w:lang w:val="es-ES_tradnl"/>
        </w:rPr>
        <w:t xml:space="preserve">de las leyes vigentes, lo cual en el presente caso no se </w:t>
      </w:r>
      <w:r>
        <w:rPr>
          <w:spacing w:val="-6"/>
          <w:sz w:val="18"/>
          <w:szCs w:val="18"/>
          <w:lang w:val="es-ES_tradnl"/>
        </w:rPr>
        <w:t>evidencia, pues el juez laboral que conoci</w:t>
      </w:r>
      <w:r>
        <w:rPr>
          <w:rFonts w:cs="Times New Roman"/>
          <w:spacing w:val="-6"/>
          <w:sz w:val="18"/>
          <w:szCs w:val="18"/>
          <w:lang w:val="es-ES_tradnl"/>
        </w:rPr>
        <w:t>ó</w:t>
      </w:r>
      <w:r>
        <w:rPr>
          <w:spacing w:val="-6"/>
          <w:sz w:val="18"/>
          <w:szCs w:val="18"/>
          <w:lang w:val="es-ES_tradnl"/>
        </w:rPr>
        <w:t xml:space="preserve"> la causa no </w:t>
      </w:r>
      <w:r>
        <w:rPr>
          <w:spacing w:val="-9"/>
          <w:sz w:val="18"/>
          <w:szCs w:val="18"/>
          <w:lang w:val="es-ES_tradnl"/>
        </w:rPr>
        <w:t>aplic</w:t>
      </w:r>
      <w:r>
        <w:rPr>
          <w:rFonts w:cs="Times New Roman"/>
          <w:spacing w:val="-9"/>
          <w:sz w:val="18"/>
          <w:szCs w:val="18"/>
          <w:lang w:val="es-ES_tradnl"/>
        </w:rPr>
        <w:t>ó</w:t>
      </w:r>
      <w:r>
        <w:rPr>
          <w:spacing w:val="-9"/>
          <w:sz w:val="18"/>
          <w:szCs w:val="18"/>
          <w:lang w:val="es-ES_tradnl"/>
        </w:rPr>
        <w:t xml:space="preserve"> las normas referentes al procedimiento de citaciones, </w:t>
      </w:r>
      <w:r>
        <w:rPr>
          <w:spacing w:val="-7"/>
          <w:sz w:val="18"/>
          <w:szCs w:val="18"/>
          <w:lang w:val="es-ES_tradnl"/>
        </w:rPr>
        <w:t>ni tampoco garantiz</w:t>
      </w:r>
      <w:r>
        <w:rPr>
          <w:rFonts w:cs="Times New Roman"/>
          <w:spacing w:val="-7"/>
          <w:sz w:val="18"/>
          <w:szCs w:val="18"/>
          <w:lang w:val="es-ES_tradnl"/>
        </w:rPr>
        <w:t>ó</w:t>
      </w:r>
      <w:r>
        <w:rPr>
          <w:spacing w:val="-7"/>
          <w:sz w:val="18"/>
          <w:szCs w:val="18"/>
          <w:lang w:val="es-ES_tradnl"/>
        </w:rPr>
        <w:t xml:space="preserve"> los derechos constitucionales de las </w:t>
      </w:r>
      <w:r>
        <w:rPr>
          <w:sz w:val="18"/>
          <w:szCs w:val="18"/>
          <w:lang w:val="es-ES_tradnl"/>
        </w:rPr>
        <w:t>partes.</w:t>
      </w:r>
    </w:p>
    <w:p w14:paraId="4F67B6F8" w14:textId="77777777" w:rsidR="00591D54" w:rsidRDefault="00591D54">
      <w:pPr>
        <w:shd w:val="clear" w:color="auto" w:fill="FFFFFF"/>
        <w:spacing w:before="192" w:line="216" w:lineRule="exact"/>
        <w:jc w:val="both"/>
      </w:pPr>
      <w:r>
        <w:rPr>
          <w:spacing w:val="-10"/>
          <w:sz w:val="18"/>
          <w:szCs w:val="18"/>
          <w:lang w:val="es-ES_tradnl"/>
        </w:rPr>
        <w:t xml:space="preserve">En el caso </w:t>
      </w:r>
      <w:r>
        <w:rPr>
          <w:i/>
          <w:iCs/>
          <w:spacing w:val="-10"/>
          <w:sz w:val="18"/>
          <w:szCs w:val="18"/>
          <w:lang w:val="es-ES_tradnl"/>
        </w:rPr>
        <w:t>sub examine</w:t>
      </w:r>
      <w:r>
        <w:rPr>
          <w:spacing w:val="-10"/>
          <w:sz w:val="18"/>
          <w:szCs w:val="18"/>
          <w:lang w:val="es-ES_tradnl"/>
        </w:rPr>
        <w:t xml:space="preserve">, esta Corte Constitucional considera </w:t>
      </w:r>
      <w:r>
        <w:rPr>
          <w:spacing w:val="-9"/>
          <w:sz w:val="18"/>
          <w:szCs w:val="18"/>
          <w:lang w:val="es-ES_tradnl"/>
        </w:rPr>
        <w:t xml:space="preserve">que al no haberse citado con la demanda en el juicio laboral </w:t>
      </w:r>
      <w:r>
        <w:rPr>
          <w:spacing w:val="-6"/>
          <w:sz w:val="18"/>
          <w:szCs w:val="18"/>
          <w:lang w:val="es-ES_tradnl"/>
        </w:rPr>
        <w:t>al se</w:t>
      </w:r>
      <w:r>
        <w:rPr>
          <w:rFonts w:cs="Times New Roman"/>
          <w:spacing w:val="-6"/>
          <w:sz w:val="18"/>
          <w:szCs w:val="18"/>
          <w:lang w:val="es-ES_tradnl"/>
        </w:rPr>
        <w:t>ñ</w:t>
      </w:r>
      <w:r>
        <w:rPr>
          <w:spacing w:val="-6"/>
          <w:sz w:val="18"/>
          <w:szCs w:val="18"/>
          <w:lang w:val="es-ES_tradnl"/>
        </w:rPr>
        <w:t>or Jaime Patricio Chiriboga Guerrero, se le impidi</w:t>
      </w:r>
      <w:r>
        <w:rPr>
          <w:rFonts w:cs="Times New Roman"/>
          <w:spacing w:val="-6"/>
          <w:sz w:val="18"/>
          <w:szCs w:val="18"/>
          <w:lang w:val="es-ES_tradnl"/>
        </w:rPr>
        <w:t xml:space="preserve">ó </w:t>
      </w:r>
      <w:r>
        <w:rPr>
          <w:spacing w:val="-8"/>
          <w:sz w:val="18"/>
          <w:szCs w:val="18"/>
          <w:lang w:val="es-ES_tradnl"/>
        </w:rPr>
        <w:t>ejercer de manera plena su participaci</w:t>
      </w:r>
      <w:r>
        <w:rPr>
          <w:rFonts w:cs="Times New Roman"/>
          <w:spacing w:val="-8"/>
          <w:sz w:val="18"/>
          <w:szCs w:val="18"/>
          <w:lang w:val="es-ES_tradnl"/>
        </w:rPr>
        <w:t>ó</w:t>
      </w:r>
      <w:r>
        <w:rPr>
          <w:spacing w:val="-8"/>
          <w:sz w:val="18"/>
          <w:szCs w:val="18"/>
          <w:lang w:val="es-ES_tradnl"/>
        </w:rPr>
        <w:t xml:space="preserve">n en dicho proceso, </w:t>
      </w:r>
      <w:r>
        <w:rPr>
          <w:spacing w:val="-9"/>
          <w:sz w:val="18"/>
          <w:szCs w:val="18"/>
          <w:lang w:val="es-ES_tradnl"/>
        </w:rPr>
        <w:t>coartando la posibilidad de contradicci</w:t>
      </w:r>
      <w:r>
        <w:rPr>
          <w:rFonts w:cs="Times New Roman"/>
          <w:spacing w:val="-9"/>
          <w:sz w:val="18"/>
          <w:szCs w:val="18"/>
          <w:lang w:val="es-ES_tradnl"/>
        </w:rPr>
        <w:t>ó</w:t>
      </w:r>
      <w:r>
        <w:rPr>
          <w:spacing w:val="-9"/>
          <w:sz w:val="18"/>
          <w:szCs w:val="18"/>
          <w:lang w:val="es-ES_tradnl"/>
        </w:rPr>
        <w:t xml:space="preserve">n de las alegaciones </w:t>
      </w:r>
      <w:r>
        <w:rPr>
          <w:spacing w:val="-6"/>
          <w:sz w:val="18"/>
          <w:szCs w:val="18"/>
          <w:lang w:val="es-ES_tradnl"/>
        </w:rPr>
        <w:t>presentadas por la parte accionante o impidiendo la presentaci</w:t>
      </w:r>
      <w:r>
        <w:rPr>
          <w:rFonts w:cs="Times New Roman"/>
          <w:spacing w:val="-6"/>
          <w:sz w:val="18"/>
          <w:szCs w:val="18"/>
          <w:lang w:val="es-ES_tradnl"/>
        </w:rPr>
        <w:t>ó</w:t>
      </w:r>
      <w:r>
        <w:rPr>
          <w:spacing w:val="-6"/>
          <w:sz w:val="18"/>
          <w:szCs w:val="18"/>
          <w:lang w:val="es-ES_tradnl"/>
        </w:rPr>
        <w:t>n de fundamentos que le favorezcan en juicio.</w:t>
      </w:r>
    </w:p>
    <w:p w14:paraId="4F67B6F9" w14:textId="77777777" w:rsidR="00591D54" w:rsidRDefault="00591D54">
      <w:pPr>
        <w:shd w:val="clear" w:color="auto" w:fill="FFFFFF"/>
        <w:spacing w:before="192" w:line="216" w:lineRule="exact"/>
        <w:jc w:val="both"/>
        <w:sectPr w:rsidR="00591D54">
          <w:type w:val="continuous"/>
          <w:pgSz w:w="11909" w:h="16834"/>
          <w:pgMar w:top="1356" w:right="1309" w:bottom="360" w:left="1308" w:header="720" w:footer="720" w:gutter="0"/>
          <w:cols w:num="2" w:space="720" w:equalWidth="0">
            <w:col w:w="4305" w:space="682"/>
            <w:col w:w="4305"/>
          </w:cols>
          <w:noEndnote/>
        </w:sectPr>
      </w:pPr>
    </w:p>
    <w:p w14:paraId="4F67B6FA"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- 237</w:t>
      </w:r>
    </w:p>
    <w:p w14:paraId="4F67B6FB" w14:textId="77777777" w:rsidR="00591D54" w:rsidRDefault="00591D54">
      <w:pPr>
        <w:shd w:val="clear" w:color="auto" w:fill="FFFFFF"/>
        <w:tabs>
          <w:tab w:val="left" w:pos="5842"/>
        </w:tabs>
        <w:spacing w:after="235"/>
        <w:ind w:left="5"/>
        <w:sectPr w:rsidR="00591D54">
          <w:pgSz w:w="11909" w:h="16834"/>
          <w:pgMar w:top="1363" w:right="1309" w:bottom="360" w:left="1308" w:header="720" w:footer="720" w:gutter="0"/>
          <w:cols w:space="60"/>
          <w:noEndnote/>
        </w:sectPr>
      </w:pPr>
    </w:p>
    <w:p w14:paraId="4F67B6FC" w14:textId="77777777" w:rsidR="00591D54" w:rsidRDefault="00591D54">
      <w:pPr>
        <w:shd w:val="clear" w:color="auto" w:fill="FFFFFF"/>
        <w:spacing w:line="226" w:lineRule="exact"/>
        <w:ind w:right="10"/>
        <w:jc w:val="both"/>
      </w:pPr>
      <w:r>
        <w:rPr>
          <w:spacing w:val="-6"/>
          <w:sz w:val="18"/>
          <w:szCs w:val="18"/>
          <w:lang w:val="es-ES_tradnl"/>
        </w:rPr>
        <w:t>Adem</w:t>
      </w:r>
      <w:r>
        <w:rPr>
          <w:rFonts w:cs="Times New Roman"/>
          <w:spacing w:val="-6"/>
          <w:sz w:val="18"/>
          <w:szCs w:val="18"/>
          <w:lang w:val="es-ES_tradnl"/>
        </w:rPr>
        <w:t>á</w:t>
      </w:r>
      <w:r>
        <w:rPr>
          <w:spacing w:val="-6"/>
          <w:sz w:val="18"/>
          <w:szCs w:val="18"/>
          <w:lang w:val="es-ES_tradnl"/>
        </w:rPr>
        <w:t>s, en el proceso de instancia el hoy accionante fue afectado en su derecho a la defensa, pues no fue tratado en igualdad de condiciones frente a la parte acusadora al no contar con el tiempo y los medios necesarios para un juicio justo que garantice los derechos de las partes.</w:t>
      </w:r>
    </w:p>
    <w:p w14:paraId="4F67B6FD" w14:textId="77777777" w:rsidR="00591D54" w:rsidRDefault="00591D54">
      <w:pPr>
        <w:shd w:val="clear" w:color="auto" w:fill="FFFFFF"/>
        <w:spacing w:before="206" w:line="226" w:lineRule="exact"/>
        <w:ind w:right="10"/>
        <w:jc w:val="both"/>
      </w:pPr>
      <w:r>
        <w:rPr>
          <w:spacing w:val="-7"/>
          <w:sz w:val="18"/>
          <w:szCs w:val="18"/>
          <w:lang w:val="es-ES_tradnl"/>
        </w:rPr>
        <w:t xml:space="preserve">Por consiguiente, esta Corte Constitucional encuentra que </w:t>
      </w:r>
      <w:r>
        <w:rPr>
          <w:spacing w:val="-6"/>
          <w:sz w:val="18"/>
          <w:szCs w:val="18"/>
          <w:lang w:val="es-ES_tradnl"/>
        </w:rPr>
        <w:t>en la sentencia dictada por el juez de trabajo de Cotopaxi se vulner</w:t>
      </w:r>
      <w:r>
        <w:rPr>
          <w:rFonts w:cs="Times New Roman"/>
          <w:spacing w:val="-6"/>
          <w:sz w:val="18"/>
          <w:szCs w:val="18"/>
          <w:lang w:val="es-ES_tradnl"/>
        </w:rPr>
        <w:t>ó</w:t>
      </w:r>
      <w:r>
        <w:rPr>
          <w:spacing w:val="-6"/>
          <w:sz w:val="18"/>
          <w:szCs w:val="18"/>
          <w:lang w:val="es-ES_tradnl"/>
        </w:rPr>
        <w:t xml:space="preserve"> el debido proceso en la garant</w:t>
      </w:r>
      <w:r>
        <w:rPr>
          <w:rFonts w:cs="Times New Roman"/>
          <w:spacing w:val="-6"/>
          <w:sz w:val="18"/>
          <w:szCs w:val="18"/>
          <w:lang w:val="es-ES_tradnl"/>
        </w:rPr>
        <w:t>í</w:t>
      </w:r>
      <w:r>
        <w:rPr>
          <w:spacing w:val="-6"/>
          <w:sz w:val="18"/>
          <w:szCs w:val="18"/>
          <w:lang w:val="es-ES_tradnl"/>
        </w:rPr>
        <w:t xml:space="preserve">a del derecho a </w:t>
      </w:r>
      <w:r>
        <w:rPr>
          <w:spacing w:val="-4"/>
          <w:sz w:val="18"/>
          <w:szCs w:val="18"/>
          <w:lang w:val="es-ES_tradnl"/>
        </w:rPr>
        <w:t>la defensa, contemplado en el art</w:t>
      </w:r>
      <w:r>
        <w:rPr>
          <w:rFonts w:cs="Times New Roman"/>
          <w:spacing w:val="-4"/>
          <w:sz w:val="18"/>
          <w:szCs w:val="18"/>
          <w:lang w:val="es-ES_tradnl"/>
        </w:rPr>
        <w:t>í</w:t>
      </w:r>
      <w:r>
        <w:rPr>
          <w:spacing w:val="-4"/>
          <w:sz w:val="18"/>
          <w:szCs w:val="18"/>
          <w:lang w:val="es-ES_tradnl"/>
        </w:rPr>
        <w:t xml:space="preserve">culo 76 numeral 7 en </w:t>
      </w:r>
      <w:r>
        <w:rPr>
          <w:spacing w:val="-6"/>
          <w:sz w:val="18"/>
          <w:szCs w:val="18"/>
          <w:lang w:val="es-ES_tradnl"/>
        </w:rPr>
        <w:t xml:space="preserve">sus literales </w:t>
      </w:r>
      <w:r>
        <w:rPr>
          <w:b/>
          <w:bCs/>
          <w:spacing w:val="-6"/>
          <w:sz w:val="18"/>
          <w:szCs w:val="18"/>
          <w:lang w:val="es-ES_tradnl"/>
        </w:rPr>
        <w:t>a</w:t>
      </w:r>
      <w:r>
        <w:rPr>
          <w:spacing w:val="-6"/>
          <w:sz w:val="18"/>
          <w:szCs w:val="18"/>
          <w:lang w:val="es-ES_tradnl"/>
        </w:rPr>
        <w:t xml:space="preserve">, </w:t>
      </w:r>
      <w:r>
        <w:rPr>
          <w:b/>
          <w:bCs/>
          <w:spacing w:val="-6"/>
          <w:sz w:val="18"/>
          <w:szCs w:val="18"/>
          <w:lang w:val="es-ES_tradnl"/>
        </w:rPr>
        <w:t>b</w:t>
      </w:r>
      <w:r>
        <w:rPr>
          <w:spacing w:val="-6"/>
          <w:sz w:val="18"/>
          <w:szCs w:val="18"/>
          <w:lang w:val="es-ES_tradnl"/>
        </w:rPr>
        <w:t xml:space="preserve">, </w:t>
      </w:r>
      <w:r>
        <w:rPr>
          <w:b/>
          <w:bCs/>
          <w:spacing w:val="-6"/>
          <w:sz w:val="18"/>
          <w:szCs w:val="18"/>
          <w:lang w:val="es-ES_tradnl"/>
        </w:rPr>
        <w:t xml:space="preserve">c </w:t>
      </w:r>
      <w:r>
        <w:rPr>
          <w:spacing w:val="-6"/>
          <w:sz w:val="18"/>
          <w:szCs w:val="18"/>
          <w:lang w:val="es-ES_tradnl"/>
        </w:rPr>
        <w:t xml:space="preserve">y </w:t>
      </w:r>
      <w:r>
        <w:rPr>
          <w:b/>
          <w:bCs/>
          <w:spacing w:val="-6"/>
          <w:sz w:val="18"/>
          <w:szCs w:val="18"/>
          <w:lang w:val="es-ES_tradnl"/>
        </w:rPr>
        <w:t xml:space="preserve">h </w:t>
      </w:r>
      <w:r>
        <w:rPr>
          <w:spacing w:val="-6"/>
          <w:sz w:val="18"/>
          <w:szCs w:val="18"/>
          <w:lang w:val="es-ES_tradnl"/>
        </w:rPr>
        <w:t>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w:t>
      </w:r>
    </w:p>
    <w:p w14:paraId="4F67B6FE" w14:textId="77777777" w:rsidR="00591D54" w:rsidRDefault="00591D54">
      <w:pPr>
        <w:shd w:val="clear" w:color="auto" w:fill="FFFFFF"/>
        <w:spacing w:before="202"/>
        <w:ind w:right="14"/>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B6FF" w14:textId="77777777" w:rsidR="00591D54" w:rsidRDefault="00591D54">
      <w:pPr>
        <w:shd w:val="clear" w:color="auto" w:fill="FFFFFF"/>
        <w:spacing w:before="202" w:line="226" w:lineRule="exact"/>
        <w:ind w:right="10"/>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4"/>
          <w:sz w:val="18"/>
          <w:szCs w:val="18"/>
          <w:lang w:val="es-ES_tradnl"/>
        </w:rPr>
        <w:t>constitucional y por mandato de la Constituci</w:t>
      </w:r>
      <w:r>
        <w:rPr>
          <w:rFonts w:cs="Times New Roman"/>
          <w:spacing w:val="-4"/>
          <w:sz w:val="18"/>
          <w:szCs w:val="18"/>
          <w:lang w:val="es-ES_tradnl"/>
        </w:rPr>
        <w:t>ó</w:t>
      </w:r>
      <w:r>
        <w:rPr>
          <w:spacing w:val="-4"/>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 xml:space="preserve">blica del Ecuador, el Pleno de la Corte Constitucional </w:t>
      </w:r>
      <w:r>
        <w:rPr>
          <w:sz w:val="18"/>
          <w:szCs w:val="18"/>
          <w:lang w:val="es-ES_tradnl"/>
        </w:rPr>
        <w:t>expide la siguiente:</w:t>
      </w:r>
    </w:p>
    <w:p w14:paraId="4F67B700" w14:textId="77777777" w:rsidR="00591D54" w:rsidRDefault="00591D54">
      <w:pPr>
        <w:shd w:val="clear" w:color="auto" w:fill="FFFFFF"/>
        <w:spacing w:before="202"/>
        <w:jc w:val="center"/>
      </w:pPr>
      <w:r>
        <w:rPr>
          <w:b/>
          <w:bCs/>
          <w:sz w:val="18"/>
          <w:szCs w:val="18"/>
          <w:lang w:val="es-ES_tradnl"/>
        </w:rPr>
        <w:t>SENTENCIA</w:t>
      </w:r>
    </w:p>
    <w:p w14:paraId="4F67B701" w14:textId="77777777" w:rsidR="00591D54" w:rsidRDefault="00591D54" w:rsidP="00251195">
      <w:pPr>
        <w:numPr>
          <w:ilvl w:val="0"/>
          <w:numId w:val="108"/>
        </w:numPr>
        <w:shd w:val="clear" w:color="auto" w:fill="FFFFFF"/>
        <w:tabs>
          <w:tab w:val="left" w:pos="566"/>
        </w:tabs>
        <w:spacing w:before="202" w:line="226" w:lineRule="exact"/>
        <w:ind w:left="566" w:right="10" w:hanging="283"/>
        <w:jc w:val="both"/>
        <w:rPr>
          <w:spacing w:val="-9"/>
          <w:sz w:val="18"/>
          <w:szCs w:val="18"/>
          <w:lang w:val="es-ES_tradnl"/>
        </w:rPr>
      </w:pPr>
      <w:r>
        <w:rPr>
          <w:spacing w:val="-4"/>
          <w:sz w:val="18"/>
          <w:szCs w:val="18"/>
          <w:lang w:val="es-ES_tradnl"/>
        </w:rPr>
        <w:t>Declarar la vulneraci</w:t>
      </w:r>
      <w:r>
        <w:rPr>
          <w:rFonts w:cs="Times New Roman"/>
          <w:spacing w:val="-4"/>
          <w:sz w:val="18"/>
          <w:szCs w:val="18"/>
          <w:lang w:val="es-ES_tradnl"/>
        </w:rPr>
        <w:t>ó</w:t>
      </w:r>
      <w:r>
        <w:rPr>
          <w:spacing w:val="-4"/>
          <w:sz w:val="18"/>
          <w:szCs w:val="18"/>
          <w:lang w:val="es-ES_tradnl"/>
        </w:rPr>
        <w:t xml:space="preserve">n al debido proceso en la </w:t>
      </w:r>
      <w:r>
        <w:rPr>
          <w:spacing w:val="-7"/>
          <w:sz w:val="18"/>
          <w:szCs w:val="18"/>
          <w:lang w:val="es-ES_tradnl"/>
        </w:rPr>
        <w:t>garant</w:t>
      </w:r>
      <w:r>
        <w:rPr>
          <w:rFonts w:cs="Times New Roman"/>
          <w:spacing w:val="-7"/>
          <w:sz w:val="18"/>
          <w:szCs w:val="18"/>
          <w:lang w:val="es-ES_tradnl"/>
        </w:rPr>
        <w:t>í</w:t>
      </w:r>
      <w:r>
        <w:rPr>
          <w:spacing w:val="-7"/>
          <w:sz w:val="18"/>
          <w:szCs w:val="18"/>
          <w:lang w:val="es-ES_tradnl"/>
        </w:rPr>
        <w:t xml:space="preserve">a del derecho a la defensa, constante en el </w:t>
      </w:r>
      <w:r>
        <w:rPr>
          <w:spacing w:val="-2"/>
          <w:sz w:val="18"/>
          <w:szCs w:val="18"/>
          <w:lang w:val="es-ES_tradnl"/>
        </w:rPr>
        <w:t>art</w:t>
      </w:r>
      <w:r>
        <w:rPr>
          <w:rFonts w:cs="Times New Roman"/>
          <w:spacing w:val="-2"/>
          <w:sz w:val="18"/>
          <w:szCs w:val="18"/>
          <w:lang w:val="es-ES_tradnl"/>
        </w:rPr>
        <w:t>í</w:t>
      </w:r>
      <w:r>
        <w:rPr>
          <w:spacing w:val="-2"/>
          <w:sz w:val="18"/>
          <w:szCs w:val="18"/>
          <w:lang w:val="es-ES_tradnl"/>
        </w:rPr>
        <w:t xml:space="preserve">culo 76 numeral 7 literales </w:t>
      </w:r>
      <w:r>
        <w:rPr>
          <w:b/>
          <w:bCs/>
          <w:spacing w:val="-2"/>
          <w:sz w:val="18"/>
          <w:szCs w:val="18"/>
          <w:lang w:val="es-ES_tradnl"/>
        </w:rPr>
        <w:t>a</w:t>
      </w:r>
      <w:r>
        <w:rPr>
          <w:spacing w:val="-2"/>
          <w:sz w:val="18"/>
          <w:szCs w:val="18"/>
          <w:lang w:val="es-ES_tradnl"/>
        </w:rPr>
        <w:t xml:space="preserve">, </w:t>
      </w:r>
      <w:r>
        <w:rPr>
          <w:b/>
          <w:bCs/>
          <w:spacing w:val="-2"/>
          <w:sz w:val="18"/>
          <w:szCs w:val="18"/>
          <w:lang w:val="es-ES_tradnl"/>
        </w:rPr>
        <w:t>b</w:t>
      </w:r>
      <w:r>
        <w:rPr>
          <w:spacing w:val="-2"/>
          <w:sz w:val="18"/>
          <w:szCs w:val="18"/>
          <w:lang w:val="es-ES_tradnl"/>
        </w:rPr>
        <w:t xml:space="preserve">, </w:t>
      </w:r>
      <w:r>
        <w:rPr>
          <w:b/>
          <w:bCs/>
          <w:spacing w:val="-2"/>
          <w:sz w:val="18"/>
          <w:szCs w:val="18"/>
          <w:lang w:val="es-ES_tradnl"/>
        </w:rPr>
        <w:t xml:space="preserve">c </w:t>
      </w:r>
      <w:r>
        <w:rPr>
          <w:spacing w:val="-2"/>
          <w:sz w:val="18"/>
          <w:szCs w:val="18"/>
          <w:lang w:val="es-ES_tradnl"/>
        </w:rPr>
        <w:t xml:space="preserve">y </w:t>
      </w:r>
      <w:r>
        <w:rPr>
          <w:b/>
          <w:bCs/>
          <w:spacing w:val="-2"/>
          <w:sz w:val="18"/>
          <w:szCs w:val="18"/>
          <w:lang w:val="es-ES_tradnl"/>
        </w:rPr>
        <w:t xml:space="preserve">h </w:t>
      </w:r>
      <w:r>
        <w:rPr>
          <w:spacing w:val="-2"/>
          <w:sz w:val="18"/>
          <w:szCs w:val="18"/>
          <w:lang w:val="es-ES_tradnl"/>
        </w:rPr>
        <w:t xml:space="preserve">de la </w:t>
      </w:r>
      <w:r>
        <w:rPr>
          <w:sz w:val="18"/>
          <w:szCs w:val="18"/>
          <w:lang w:val="es-ES_tradnl"/>
        </w:rPr>
        <w:t>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B702" w14:textId="77777777" w:rsidR="00591D54" w:rsidRDefault="00591D54" w:rsidP="00251195">
      <w:pPr>
        <w:numPr>
          <w:ilvl w:val="0"/>
          <w:numId w:val="108"/>
        </w:numPr>
        <w:shd w:val="clear" w:color="auto" w:fill="FFFFFF"/>
        <w:tabs>
          <w:tab w:val="left" w:pos="566"/>
        </w:tabs>
        <w:spacing w:before="206" w:line="226" w:lineRule="exact"/>
        <w:ind w:left="566" w:right="10" w:hanging="283"/>
        <w:jc w:val="both"/>
        <w:rPr>
          <w:spacing w:val="-9"/>
          <w:sz w:val="18"/>
          <w:szCs w:val="18"/>
          <w:lang w:val="es-ES_tradnl"/>
        </w:rPr>
      </w:pPr>
      <w:r>
        <w:rPr>
          <w:spacing w:val="-4"/>
          <w:sz w:val="18"/>
          <w:szCs w:val="18"/>
          <w:lang w:val="es-ES_tradnl"/>
        </w:rPr>
        <w:t>Aceptar la acci</w:t>
      </w:r>
      <w:r>
        <w:rPr>
          <w:rFonts w:cs="Times New Roman"/>
          <w:spacing w:val="-4"/>
          <w:sz w:val="18"/>
          <w:szCs w:val="18"/>
          <w:lang w:val="es-ES_tradnl"/>
        </w:rPr>
        <w:t>ó</w:t>
      </w:r>
      <w:r>
        <w:rPr>
          <w:spacing w:val="-4"/>
          <w:sz w:val="18"/>
          <w:szCs w:val="18"/>
          <w:lang w:val="es-ES_tradnl"/>
        </w:rPr>
        <w:t>n extraordinaria de protecci</w:t>
      </w:r>
      <w:r>
        <w:rPr>
          <w:rFonts w:cs="Times New Roman"/>
          <w:spacing w:val="-4"/>
          <w:sz w:val="18"/>
          <w:szCs w:val="18"/>
          <w:lang w:val="es-ES_tradnl"/>
        </w:rPr>
        <w:t>ó</w:t>
      </w:r>
      <w:r>
        <w:rPr>
          <w:spacing w:val="-4"/>
          <w:sz w:val="18"/>
          <w:szCs w:val="18"/>
          <w:lang w:val="es-ES_tradnl"/>
        </w:rPr>
        <w:t xml:space="preserve">n </w:t>
      </w:r>
      <w:r>
        <w:rPr>
          <w:sz w:val="18"/>
          <w:szCs w:val="18"/>
          <w:lang w:val="es-ES_tradnl"/>
        </w:rPr>
        <w:t>propuesta.</w:t>
      </w:r>
    </w:p>
    <w:p w14:paraId="4F67B703" w14:textId="77777777" w:rsidR="00591D54" w:rsidRDefault="00591D54" w:rsidP="00251195">
      <w:pPr>
        <w:numPr>
          <w:ilvl w:val="0"/>
          <w:numId w:val="108"/>
        </w:numPr>
        <w:shd w:val="clear" w:color="auto" w:fill="FFFFFF"/>
        <w:tabs>
          <w:tab w:val="left" w:pos="566"/>
        </w:tabs>
        <w:spacing w:before="206" w:line="226" w:lineRule="exact"/>
        <w:ind w:left="566" w:right="10" w:hanging="283"/>
        <w:jc w:val="both"/>
        <w:rPr>
          <w:spacing w:val="-9"/>
          <w:sz w:val="18"/>
          <w:szCs w:val="18"/>
          <w:lang w:val="es-ES_tradnl"/>
        </w:rPr>
      </w:pPr>
      <w:r>
        <w:rPr>
          <w:spacing w:val="-5"/>
          <w:sz w:val="18"/>
          <w:szCs w:val="18"/>
          <w:lang w:val="es-ES_tradnl"/>
        </w:rPr>
        <w:t>Como medidas de reparaci</w:t>
      </w:r>
      <w:r>
        <w:rPr>
          <w:rFonts w:cs="Times New Roman"/>
          <w:spacing w:val="-5"/>
          <w:sz w:val="18"/>
          <w:szCs w:val="18"/>
          <w:lang w:val="es-ES_tradnl"/>
        </w:rPr>
        <w:t>ó</w:t>
      </w:r>
      <w:r>
        <w:rPr>
          <w:spacing w:val="-5"/>
          <w:sz w:val="18"/>
          <w:szCs w:val="18"/>
          <w:lang w:val="es-ES_tradnl"/>
        </w:rPr>
        <w:t xml:space="preserve">n integral se dispone </w:t>
      </w:r>
      <w:r>
        <w:rPr>
          <w:sz w:val="18"/>
          <w:szCs w:val="18"/>
          <w:lang w:val="es-ES_tradnl"/>
        </w:rPr>
        <w:t>lo siguiente:</w:t>
      </w:r>
    </w:p>
    <w:p w14:paraId="4F67B704" w14:textId="77777777" w:rsidR="00591D54" w:rsidRDefault="00591D54">
      <w:pPr>
        <w:rPr>
          <w:rFonts w:cs="Times New Roman"/>
          <w:sz w:val="2"/>
          <w:szCs w:val="2"/>
        </w:rPr>
      </w:pPr>
    </w:p>
    <w:p w14:paraId="4F67B705" w14:textId="77777777" w:rsidR="00591D54" w:rsidRDefault="00591D54" w:rsidP="00251195">
      <w:pPr>
        <w:numPr>
          <w:ilvl w:val="0"/>
          <w:numId w:val="109"/>
        </w:numPr>
        <w:shd w:val="clear" w:color="auto" w:fill="FFFFFF"/>
        <w:tabs>
          <w:tab w:val="left" w:pos="850"/>
        </w:tabs>
        <w:spacing w:before="206" w:line="226" w:lineRule="exact"/>
        <w:ind w:left="850" w:right="10" w:hanging="283"/>
        <w:jc w:val="both"/>
        <w:rPr>
          <w:spacing w:val="-8"/>
          <w:sz w:val="18"/>
          <w:szCs w:val="18"/>
          <w:lang w:val="es-ES_tradnl"/>
        </w:rPr>
      </w:pPr>
      <w:r>
        <w:rPr>
          <w:spacing w:val="-6"/>
          <w:sz w:val="18"/>
          <w:szCs w:val="18"/>
          <w:lang w:val="es-ES_tradnl"/>
        </w:rPr>
        <w:t>Dejar sin efecto jur</w:t>
      </w:r>
      <w:r>
        <w:rPr>
          <w:rFonts w:cs="Times New Roman"/>
          <w:spacing w:val="-6"/>
          <w:sz w:val="18"/>
          <w:szCs w:val="18"/>
          <w:lang w:val="es-ES_tradnl"/>
        </w:rPr>
        <w:t>í</w:t>
      </w:r>
      <w:r>
        <w:rPr>
          <w:spacing w:val="-6"/>
          <w:sz w:val="18"/>
          <w:szCs w:val="18"/>
          <w:lang w:val="es-ES_tradnl"/>
        </w:rPr>
        <w:t xml:space="preserve">dico la sentencia emitida el </w:t>
      </w:r>
      <w:r>
        <w:rPr>
          <w:spacing w:val="-5"/>
          <w:sz w:val="18"/>
          <w:szCs w:val="18"/>
          <w:lang w:val="es-ES_tradnl"/>
        </w:rPr>
        <w:t xml:space="preserve">31 de julio de 2012, por el juez del trabajo de </w:t>
      </w:r>
      <w:r>
        <w:rPr>
          <w:spacing w:val="-4"/>
          <w:sz w:val="18"/>
          <w:szCs w:val="18"/>
          <w:lang w:val="es-ES_tradnl"/>
        </w:rPr>
        <w:t>Cotopaxi, dentro del juicio N.</w:t>
      </w:r>
      <w:r>
        <w:rPr>
          <w:rFonts w:cs="Times New Roman"/>
          <w:spacing w:val="-4"/>
          <w:sz w:val="18"/>
          <w:szCs w:val="18"/>
          <w:lang w:val="es-ES_tradnl"/>
        </w:rPr>
        <w:t>º</w:t>
      </w:r>
      <w:r>
        <w:rPr>
          <w:spacing w:val="-4"/>
          <w:sz w:val="18"/>
          <w:szCs w:val="18"/>
          <w:lang w:val="es-ES_tradnl"/>
        </w:rPr>
        <w:t xml:space="preserve"> 2011-0198.</w:t>
      </w:r>
    </w:p>
    <w:p w14:paraId="4F67B706" w14:textId="77777777" w:rsidR="00591D54" w:rsidRDefault="00591D54" w:rsidP="00251195">
      <w:pPr>
        <w:numPr>
          <w:ilvl w:val="0"/>
          <w:numId w:val="109"/>
        </w:numPr>
        <w:shd w:val="clear" w:color="auto" w:fill="FFFFFF"/>
        <w:tabs>
          <w:tab w:val="left" w:pos="850"/>
        </w:tabs>
        <w:spacing w:before="206" w:line="226" w:lineRule="exact"/>
        <w:ind w:left="850" w:right="10" w:hanging="283"/>
        <w:jc w:val="both"/>
        <w:rPr>
          <w:spacing w:val="-8"/>
          <w:sz w:val="18"/>
          <w:szCs w:val="18"/>
          <w:lang w:val="es-ES_tradnl"/>
        </w:rPr>
      </w:pPr>
      <w:r>
        <w:rPr>
          <w:spacing w:val="-2"/>
          <w:sz w:val="18"/>
          <w:szCs w:val="18"/>
          <w:lang w:val="es-ES_tradnl"/>
        </w:rPr>
        <w:t xml:space="preserve">Retrotraer el proceso hasta el momento en </w:t>
      </w:r>
      <w:r>
        <w:rPr>
          <w:spacing w:val="-5"/>
          <w:sz w:val="18"/>
          <w:szCs w:val="18"/>
          <w:lang w:val="es-ES_tradnl"/>
        </w:rPr>
        <w:t>que se verifica la vulneraci</w:t>
      </w:r>
      <w:r>
        <w:rPr>
          <w:rFonts w:cs="Times New Roman"/>
          <w:spacing w:val="-5"/>
          <w:sz w:val="18"/>
          <w:szCs w:val="18"/>
          <w:lang w:val="es-ES_tradnl"/>
        </w:rPr>
        <w:t>ó</w:t>
      </w:r>
      <w:r>
        <w:rPr>
          <w:spacing w:val="-5"/>
          <w:sz w:val="18"/>
          <w:szCs w:val="18"/>
          <w:lang w:val="es-ES_tradnl"/>
        </w:rPr>
        <w:t xml:space="preserve">n a los derechos </w:t>
      </w:r>
      <w:r>
        <w:rPr>
          <w:spacing w:val="-6"/>
          <w:sz w:val="18"/>
          <w:szCs w:val="18"/>
          <w:lang w:val="es-ES_tradnl"/>
        </w:rPr>
        <w:t xml:space="preserve">constitucionales, es decir, hasta antes de la </w:t>
      </w:r>
      <w:r>
        <w:rPr>
          <w:sz w:val="18"/>
          <w:szCs w:val="18"/>
          <w:lang w:val="es-ES_tradnl"/>
        </w:rPr>
        <w:t>citaci</w:t>
      </w:r>
      <w:r>
        <w:rPr>
          <w:rFonts w:cs="Times New Roman"/>
          <w:sz w:val="18"/>
          <w:szCs w:val="18"/>
          <w:lang w:val="es-ES_tradnl"/>
        </w:rPr>
        <w:t>ó</w:t>
      </w:r>
      <w:r>
        <w:rPr>
          <w:sz w:val="18"/>
          <w:szCs w:val="18"/>
          <w:lang w:val="es-ES_tradnl"/>
        </w:rPr>
        <w:t>n de la demanda.</w:t>
      </w:r>
    </w:p>
    <w:p w14:paraId="4F67B707" w14:textId="77777777" w:rsidR="00591D54" w:rsidRDefault="00591D54" w:rsidP="00251195">
      <w:pPr>
        <w:numPr>
          <w:ilvl w:val="0"/>
          <w:numId w:val="109"/>
        </w:numPr>
        <w:shd w:val="clear" w:color="auto" w:fill="FFFFFF"/>
        <w:tabs>
          <w:tab w:val="left" w:pos="850"/>
        </w:tabs>
        <w:spacing w:before="202" w:line="226" w:lineRule="exact"/>
        <w:ind w:left="850" w:right="10" w:hanging="283"/>
        <w:jc w:val="both"/>
        <w:rPr>
          <w:spacing w:val="-8"/>
          <w:sz w:val="18"/>
          <w:szCs w:val="18"/>
          <w:lang w:val="es-ES_tradnl"/>
        </w:rPr>
      </w:pPr>
      <w:r>
        <w:rPr>
          <w:sz w:val="18"/>
          <w:szCs w:val="18"/>
          <w:lang w:val="es-ES_tradnl"/>
        </w:rPr>
        <w:t xml:space="preserve">Ordenar que el expediente sea devuelto a </w:t>
      </w:r>
      <w:r>
        <w:rPr>
          <w:spacing w:val="-2"/>
          <w:sz w:val="18"/>
          <w:szCs w:val="18"/>
          <w:lang w:val="es-ES_tradnl"/>
        </w:rPr>
        <w:t xml:space="preserve">la Corte Provincial de Justicia de Cotopaxi, </w:t>
      </w:r>
      <w:r>
        <w:rPr>
          <w:spacing w:val="-5"/>
          <w:sz w:val="18"/>
          <w:szCs w:val="18"/>
          <w:lang w:val="es-ES_tradnl"/>
        </w:rPr>
        <w:t xml:space="preserve">con el fin de que, previo sorteo, sea otro juez </w:t>
      </w:r>
      <w:r>
        <w:rPr>
          <w:spacing w:val="-6"/>
          <w:sz w:val="18"/>
          <w:szCs w:val="18"/>
          <w:lang w:val="es-ES_tradnl"/>
        </w:rPr>
        <w:t xml:space="preserve">del trabajo quien asuma la competencia para </w:t>
      </w:r>
      <w:r>
        <w:rPr>
          <w:spacing w:val="-7"/>
          <w:sz w:val="18"/>
          <w:szCs w:val="18"/>
          <w:lang w:val="es-ES_tradnl"/>
        </w:rPr>
        <w:t xml:space="preserve">conocer y resolver el presente caso a partir de </w:t>
      </w:r>
      <w:r>
        <w:rPr>
          <w:sz w:val="18"/>
          <w:szCs w:val="18"/>
          <w:lang w:val="es-ES_tradnl"/>
        </w:rPr>
        <w:t>la citaci</w:t>
      </w:r>
      <w:r>
        <w:rPr>
          <w:rFonts w:cs="Times New Roman"/>
          <w:sz w:val="18"/>
          <w:szCs w:val="18"/>
          <w:lang w:val="es-ES_tradnl"/>
        </w:rPr>
        <w:t>ó</w:t>
      </w:r>
      <w:r>
        <w:rPr>
          <w:sz w:val="18"/>
          <w:szCs w:val="18"/>
          <w:lang w:val="es-ES_tradnl"/>
        </w:rPr>
        <w:t>n.</w:t>
      </w:r>
    </w:p>
    <w:p w14:paraId="4F67B708" w14:textId="77777777" w:rsidR="00591D54" w:rsidRDefault="00591D54">
      <w:pPr>
        <w:shd w:val="clear" w:color="auto" w:fill="FFFFFF"/>
        <w:tabs>
          <w:tab w:val="left" w:pos="566"/>
        </w:tabs>
        <w:spacing w:before="206"/>
        <w:ind w:left="283"/>
      </w:pPr>
      <w:r>
        <w:rPr>
          <w:spacing w:val="-9"/>
          <w:sz w:val="18"/>
          <w:szCs w:val="18"/>
          <w:lang w:val="es-ES_tradnl"/>
        </w:rPr>
        <w:t>4.</w:t>
      </w:r>
      <w:r>
        <w:rPr>
          <w:sz w:val="18"/>
          <w:szCs w:val="18"/>
          <w:lang w:val="es-ES_tradnl"/>
        </w:rPr>
        <w:tab/>
      </w:r>
      <w:r>
        <w:rPr>
          <w:spacing w:val="-6"/>
          <w:sz w:val="18"/>
          <w:szCs w:val="18"/>
          <w:lang w:val="es-ES_tradnl"/>
        </w:rPr>
        <w:t>Notif</w:t>
      </w:r>
      <w:r>
        <w:rPr>
          <w:rFonts w:cs="Times New Roman"/>
          <w:spacing w:val="-6"/>
          <w:sz w:val="18"/>
          <w:szCs w:val="18"/>
          <w:lang w:val="es-ES_tradnl"/>
        </w:rPr>
        <w:t>í</w:t>
      </w:r>
      <w:r>
        <w:rPr>
          <w:spacing w:val="-6"/>
          <w:sz w:val="18"/>
          <w:szCs w:val="18"/>
          <w:lang w:val="es-ES_tradnl"/>
        </w:rPr>
        <w:t>quese, publ</w:t>
      </w:r>
      <w:r>
        <w:rPr>
          <w:rFonts w:cs="Times New Roman"/>
          <w:spacing w:val="-6"/>
          <w:sz w:val="18"/>
          <w:szCs w:val="18"/>
          <w:lang w:val="es-ES_tradnl"/>
        </w:rPr>
        <w:t>í</w:t>
      </w:r>
      <w:r>
        <w:rPr>
          <w:spacing w:val="-6"/>
          <w:sz w:val="18"/>
          <w:szCs w:val="18"/>
          <w:lang w:val="es-ES_tradnl"/>
        </w:rPr>
        <w:t>quese y c</w:t>
      </w:r>
      <w:r>
        <w:rPr>
          <w:rFonts w:cs="Times New Roman"/>
          <w:spacing w:val="-6"/>
          <w:sz w:val="18"/>
          <w:szCs w:val="18"/>
          <w:lang w:val="es-ES_tradnl"/>
        </w:rPr>
        <w:t>ú</w:t>
      </w:r>
      <w:r>
        <w:rPr>
          <w:spacing w:val="-6"/>
          <w:sz w:val="18"/>
          <w:szCs w:val="18"/>
          <w:lang w:val="es-ES_tradnl"/>
        </w:rPr>
        <w:t>mplase.</w:t>
      </w:r>
    </w:p>
    <w:p w14:paraId="4F67B709" w14:textId="77777777" w:rsidR="00591D54" w:rsidRDefault="00591D54">
      <w:pPr>
        <w:shd w:val="clear" w:color="auto" w:fill="FFFFFF"/>
        <w:spacing w:before="202"/>
      </w:pPr>
      <w:r>
        <w:rPr>
          <w:spacing w:val="-2"/>
          <w:sz w:val="18"/>
          <w:szCs w:val="18"/>
          <w:lang w:val="es-ES_tradnl"/>
        </w:rPr>
        <w:t>f.) Patricio Pazmi</w:t>
      </w:r>
      <w:r>
        <w:rPr>
          <w:rFonts w:cs="Times New Roman"/>
          <w:spacing w:val="-2"/>
          <w:sz w:val="18"/>
          <w:szCs w:val="18"/>
          <w:lang w:val="es-ES_tradnl"/>
        </w:rPr>
        <w:t>ñ</w:t>
      </w:r>
      <w:r>
        <w:rPr>
          <w:spacing w:val="-2"/>
          <w:sz w:val="18"/>
          <w:szCs w:val="18"/>
          <w:lang w:val="es-ES_tradnl"/>
        </w:rPr>
        <w:t xml:space="preserve">o Freire, </w:t>
      </w:r>
      <w:r>
        <w:rPr>
          <w:b/>
          <w:bCs/>
          <w:spacing w:val="-2"/>
          <w:sz w:val="18"/>
          <w:szCs w:val="18"/>
          <w:lang w:val="es-ES_tradnl"/>
        </w:rPr>
        <w:t>PRESIDENTE.</w:t>
      </w:r>
    </w:p>
    <w:p w14:paraId="4F67B70A" w14:textId="77777777" w:rsidR="00591D54" w:rsidRDefault="00591D54">
      <w:pPr>
        <w:shd w:val="clear" w:color="auto" w:fill="FFFFFF"/>
        <w:spacing w:before="202" w:line="226" w:lineRule="exact"/>
        <w:jc w:val="both"/>
      </w:pPr>
      <w:r>
        <w:rPr>
          <w:sz w:val="18"/>
          <w:szCs w:val="18"/>
          <w:lang w:val="es-ES_tradnl"/>
        </w:rPr>
        <w:t>f.) Pa</w:t>
      </w:r>
      <w:r>
        <w:rPr>
          <w:rFonts w:cs="Times New Roman"/>
          <w:sz w:val="18"/>
          <w:szCs w:val="18"/>
          <w:lang w:val="es-ES_tradnl"/>
        </w:rPr>
        <w:t>ú</w:t>
      </w:r>
      <w:r>
        <w:rPr>
          <w:sz w:val="18"/>
          <w:szCs w:val="18"/>
          <w:lang w:val="es-ES_tradnl"/>
        </w:rPr>
        <w:t xml:space="preserve">l Prado Chiriboga, </w:t>
      </w:r>
      <w:r>
        <w:rPr>
          <w:b/>
          <w:bCs/>
          <w:sz w:val="18"/>
          <w:szCs w:val="18"/>
          <w:lang w:val="es-ES_tradnl"/>
        </w:rPr>
        <w:t>SECRETARIO GENERAL (E).</w:t>
      </w:r>
    </w:p>
    <w:p w14:paraId="4F67B70B" w14:textId="77777777" w:rsidR="00591D54" w:rsidRDefault="00591D54">
      <w:pPr>
        <w:shd w:val="clear" w:color="auto" w:fill="FFFFFF"/>
        <w:spacing w:before="202" w:line="226" w:lineRule="exact"/>
        <w:ind w:right="10"/>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w:t>
      </w:r>
      <w:r>
        <w:rPr>
          <w:spacing w:val="-7"/>
          <w:sz w:val="18"/>
          <w:szCs w:val="18"/>
          <w:lang w:val="es-ES_tradnl"/>
        </w:rPr>
        <w:t xml:space="preserve">aprobada por el Pleno de la Corte Constitucional, con seis </w:t>
      </w:r>
      <w:r>
        <w:rPr>
          <w:spacing w:val="-5"/>
          <w:sz w:val="18"/>
          <w:szCs w:val="18"/>
          <w:lang w:val="es-ES_tradnl"/>
        </w:rPr>
        <w:t xml:space="preserve">votos a favor, de las juezas y jueces Antonio Gagliardo </w:t>
      </w:r>
      <w:r>
        <w:rPr>
          <w:sz w:val="18"/>
          <w:szCs w:val="18"/>
          <w:lang w:val="es-ES_tradnl"/>
        </w:rPr>
        <w:t>Loor, Marcelo Jaramillo Villa, Mar</w:t>
      </w:r>
      <w:r>
        <w:rPr>
          <w:rFonts w:cs="Times New Roman"/>
          <w:sz w:val="18"/>
          <w:szCs w:val="18"/>
          <w:lang w:val="es-ES_tradnl"/>
        </w:rPr>
        <w:t>í</w:t>
      </w:r>
      <w:r>
        <w:rPr>
          <w:sz w:val="18"/>
          <w:szCs w:val="18"/>
          <w:lang w:val="es-ES_tradnl"/>
        </w:rPr>
        <w:t xml:space="preserve">a del Carmen </w:t>
      </w:r>
      <w:r>
        <w:rPr>
          <w:spacing w:val="-5"/>
          <w:sz w:val="18"/>
          <w:szCs w:val="18"/>
          <w:lang w:val="es-ES_tradnl"/>
        </w:rPr>
        <w:t>Maldonado S</w:t>
      </w:r>
      <w:r>
        <w:rPr>
          <w:rFonts w:cs="Times New Roman"/>
          <w:spacing w:val="-5"/>
          <w:sz w:val="18"/>
          <w:szCs w:val="18"/>
          <w:lang w:val="es-ES_tradnl"/>
        </w:rPr>
        <w:t>á</w:t>
      </w:r>
      <w:r>
        <w:rPr>
          <w:spacing w:val="-5"/>
          <w:sz w:val="18"/>
          <w:szCs w:val="18"/>
          <w:lang w:val="es-ES_tradnl"/>
        </w:rPr>
        <w:t>nchez, Tatiana Orde</w:t>
      </w:r>
      <w:r>
        <w:rPr>
          <w:rFonts w:cs="Times New Roman"/>
          <w:spacing w:val="-5"/>
          <w:sz w:val="18"/>
          <w:szCs w:val="18"/>
          <w:lang w:val="es-ES_tradnl"/>
        </w:rPr>
        <w:t>ñ</w:t>
      </w:r>
      <w:r>
        <w:rPr>
          <w:spacing w:val="-5"/>
          <w:sz w:val="18"/>
          <w:szCs w:val="18"/>
          <w:lang w:val="es-ES_tradnl"/>
        </w:rPr>
        <w:t xml:space="preserve">ana Sierra, Alfredo </w:t>
      </w:r>
      <w:r>
        <w:rPr>
          <w:spacing w:val="-2"/>
          <w:sz w:val="18"/>
          <w:szCs w:val="18"/>
          <w:lang w:val="es-ES_tradnl"/>
        </w:rPr>
        <w:t>Ruiz Guzm</w:t>
      </w:r>
      <w:r>
        <w:rPr>
          <w:rFonts w:cs="Times New Roman"/>
          <w:spacing w:val="-2"/>
          <w:sz w:val="18"/>
          <w:szCs w:val="18"/>
          <w:lang w:val="es-ES_tradnl"/>
        </w:rPr>
        <w:t>á</w:t>
      </w:r>
      <w:r>
        <w:rPr>
          <w:spacing w:val="-2"/>
          <w:sz w:val="18"/>
          <w:szCs w:val="18"/>
          <w:lang w:val="es-ES_tradnl"/>
        </w:rPr>
        <w:t>n y Patricio Pazmi</w:t>
      </w:r>
      <w:r>
        <w:rPr>
          <w:rFonts w:cs="Times New Roman"/>
          <w:spacing w:val="-2"/>
          <w:sz w:val="18"/>
          <w:szCs w:val="18"/>
          <w:lang w:val="es-ES_tradnl"/>
        </w:rPr>
        <w:t>ñ</w:t>
      </w:r>
      <w:r>
        <w:rPr>
          <w:spacing w:val="-2"/>
          <w:sz w:val="18"/>
          <w:szCs w:val="18"/>
          <w:lang w:val="es-ES_tradnl"/>
        </w:rPr>
        <w:t>o Freire, sin contar con</w:t>
      </w:r>
    </w:p>
    <w:p w14:paraId="4F67B70C" w14:textId="77777777" w:rsidR="00591D54" w:rsidRDefault="00591D54">
      <w:pPr>
        <w:shd w:val="clear" w:color="auto" w:fill="FFFFFF"/>
        <w:spacing w:line="216" w:lineRule="exact"/>
        <w:jc w:val="both"/>
      </w:pPr>
      <w:r>
        <w:br w:type="column"/>
      </w:r>
      <w:r>
        <w:rPr>
          <w:spacing w:val="-6"/>
          <w:sz w:val="18"/>
          <w:szCs w:val="18"/>
          <w:lang w:val="es-ES_tradnl"/>
        </w:rPr>
        <w:t xml:space="preserve">la presencia de los jueces Wendy Molina Andrade, Ruth </w:t>
      </w:r>
      <w:r>
        <w:rPr>
          <w:spacing w:val="-8"/>
          <w:sz w:val="18"/>
          <w:szCs w:val="18"/>
          <w:lang w:val="es-ES_tradnl"/>
        </w:rPr>
        <w:t>Seni Pinoargote y Manuel Viteri Olvera, en sesi</w:t>
      </w:r>
      <w:r>
        <w:rPr>
          <w:rFonts w:cs="Times New Roman"/>
          <w:spacing w:val="-8"/>
          <w:sz w:val="18"/>
          <w:szCs w:val="18"/>
          <w:lang w:val="es-ES_tradnl"/>
        </w:rPr>
        <w:t>ó</w:t>
      </w:r>
      <w:r>
        <w:rPr>
          <w:spacing w:val="-8"/>
          <w:sz w:val="18"/>
          <w:szCs w:val="18"/>
          <w:lang w:val="es-ES_tradnl"/>
        </w:rPr>
        <w:t xml:space="preserve">n de 19 de </w:t>
      </w:r>
      <w:r>
        <w:rPr>
          <w:sz w:val="18"/>
          <w:szCs w:val="18"/>
          <w:lang w:val="es-ES_tradnl"/>
        </w:rPr>
        <w:t>agosto del 2015. Lo certifico.</w:t>
      </w:r>
    </w:p>
    <w:p w14:paraId="4F67B70D" w14:textId="77777777" w:rsidR="00591D54" w:rsidRDefault="00591D54">
      <w:pPr>
        <w:shd w:val="clear" w:color="auto" w:fill="FFFFFF"/>
        <w:spacing w:before="187"/>
      </w:pPr>
      <w:r>
        <w:rPr>
          <w:spacing w:val="-4"/>
          <w:sz w:val="18"/>
          <w:szCs w:val="18"/>
          <w:lang w:val="es-ES_tradnl"/>
        </w:rPr>
        <w:t>f.) Pa</w:t>
      </w:r>
      <w:r>
        <w:rPr>
          <w:rFonts w:cs="Times New Roman"/>
          <w:spacing w:val="-4"/>
          <w:sz w:val="18"/>
          <w:szCs w:val="18"/>
          <w:lang w:val="es-ES_tradnl"/>
        </w:rPr>
        <w:t>ú</w:t>
      </w:r>
      <w:r>
        <w:rPr>
          <w:spacing w:val="-4"/>
          <w:sz w:val="18"/>
          <w:szCs w:val="18"/>
          <w:lang w:val="es-ES_tradnl"/>
        </w:rPr>
        <w:t xml:space="preserve">l Prado Chiriboga, </w:t>
      </w:r>
      <w:r>
        <w:rPr>
          <w:b/>
          <w:bCs/>
          <w:spacing w:val="-4"/>
          <w:sz w:val="18"/>
          <w:szCs w:val="18"/>
          <w:lang w:val="es-ES_tradnl"/>
        </w:rPr>
        <w:t>SECRETARIO GENERAL (E).</w:t>
      </w:r>
    </w:p>
    <w:p w14:paraId="4F67B70E" w14:textId="77777777" w:rsidR="00591D54" w:rsidRDefault="00591D54">
      <w:pPr>
        <w:shd w:val="clear" w:color="auto" w:fill="FFFFFF"/>
        <w:spacing w:before="192"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70F" w14:textId="77777777" w:rsidR="00591D54" w:rsidRDefault="00591D54">
      <w:pPr>
        <w:shd w:val="clear" w:color="auto" w:fill="FFFFFF"/>
        <w:spacing w:before="192"/>
      </w:pPr>
      <w:r>
        <w:rPr>
          <w:b/>
          <w:bCs/>
          <w:spacing w:val="-5"/>
          <w:sz w:val="18"/>
          <w:szCs w:val="18"/>
          <w:u w:val="single"/>
          <w:lang w:val="es-ES_tradnl"/>
        </w:rPr>
        <w:t>CASO Nro. 1888-12-EP</w:t>
      </w:r>
    </w:p>
    <w:p w14:paraId="4F67B710" w14:textId="77777777" w:rsidR="00591D54" w:rsidRDefault="00591D54">
      <w:pPr>
        <w:shd w:val="clear" w:color="auto" w:fill="FFFFFF"/>
        <w:spacing w:before="192" w:line="216" w:lineRule="exact"/>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w:t>
      </w:r>
      <w:r>
        <w:rPr>
          <w:spacing w:val="-7"/>
          <w:sz w:val="18"/>
          <w:szCs w:val="18"/>
          <w:lang w:val="es-ES_tradnl"/>
        </w:rPr>
        <w:t>suscrita por el Juez Patricio Pazmi</w:t>
      </w:r>
      <w:r>
        <w:rPr>
          <w:rFonts w:cs="Times New Roman"/>
          <w:spacing w:val="-7"/>
          <w:sz w:val="18"/>
          <w:szCs w:val="18"/>
          <w:lang w:val="es-ES_tradnl"/>
        </w:rPr>
        <w:t>ñ</w:t>
      </w:r>
      <w:r>
        <w:rPr>
          <w:spacing w:val="-7"/>
          <w:sz w:val="18"/>
          <w:szCs w:val="18"/>
          <w:lang w:val="es-ES_tradnl"/>
        </w:rPr>
        <w:t xml:space="preserve">o Freire, Presidente de </w:t>
      </w:r>
      <w:r>
        <w:rPr>
          <w:spacing w:val="-9"/>
          <w:sz w:val="18"/>
          <w:szCs w:val="18"/>
          <w:lang w:val="es-ES_tradnl"/>
        </w:rPr>
        <w:t>la Corte Constitucional, el d</w:t>
      </w:r>
      <w:r>
        <w:rPr>
          <w:rFonts w:cs="Times New Roman"/>
          <w:spacing w:val="-9"/>
          <w:sz w:val="18"/>
          <w:szCs w:val="18"/>
          <w:lang w:val="es-ES_tradnl"/>
        </w:rPr>
        <w:t>í</w:t>
      </w:r>
      <w:r>
        <w:rPr>
          <w:spacing w:val="-9"/>
          <w:sz w:val="18"/>
          <w:szCs w:val="18"/>
          <w:lang w:val="es-ES_tradnl"/>
        </w:rPr>
        <w:t xml:space="preserve">a lunes 7 de septiembre del dos </w:t>
      </w:r>
      <w:r>
        <w:rPr>
          <w:sz w:val="18"/>
          <w:szCs w:val="18"/>
          <w:lang w:val="es-ES_tradnl"/>
        </w:rPr>
        <w:t>mil quince.- Lo certifico.</w:t>
      </w:r>
    </w:p>
    <w:p w14:paraId="4F67B711" w14:textId="77777777" w:rsidR="00591D54" w:rsidRDefault="00591D54">
      <w:pPr>
        <w:shd w:val="clear" w:color="auto" w:fill="FFFFFF"/>
        <w:spacing w:before="192"/>
      </w:pPr>
      <w:r>
        <w:rPr>
          <w:spacing w:val="-7"/>
          <w:sz w:val="18"/>
          <w:szCs w:val="18"/>
          <w:lang w:val="es-ES_tradnl"/>
        </w:rPr>
        <w:t xml:space="preserve">f.) Jaime Pozo Chamorro, </w:t>
      </w:r>
      <w:r>
        <w:rPr>
          <w:b/>
          <w:bCs/>
          <w:spacing w:val="-7"/>
          <w:sz w:val="18"/>
          <w:szCs w:val="18"/>
          <w:lang w:val="es-ES_tradnl"/>
        </w:rPr>
        <w:t>Secretario General.</w:t>
      </w:r>
    </w:p>
    <w:p w14:paraId="4F67B712" w14:textId="77777777" w:rsidR="00591D54" w:rsidRDefault="00591D54">
      <w:pPr>
        <w:shd w:val="clear" w:color="auto" w:fill="FFFFFF"/>
        <w:spacing w:before="192"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713" w14:textId="77777777" w:rsidR="00591D54" w:rsidRDefault="00591D54">
      <w:pPr>
        <w:shd w:val="clear" w:color="auto" w:fill="FFFFFF"/>
        <w:spacing w:before="1114" w:line="446" w:lineRule="exact"/>
      </w:pPr>
      <w:r>
        <w:rPr>
          <w:spacing w:val="-7"/>
          <w:sz w:val="18"/>
          <w:szCs w:val="18"/>
          <w:lang w:val="es-ES_tradnl"/>
        </w:rPr>
        <w:t>Quito, D. M., 19 de agosto de 2015</w:t>
      </w:r>
    </w:p>
    <w:p w14:paraId="4F67B714" w14:textId="77777777" w:rsidR="00591D54" w:rsidRDefault="00591D54">
      <w:pPr>
        <w:shd w:val="clear" w:color="auto" w:fill="FFFFFF"/>
        <w:spacing w:line="446" w:lineRule="exact"/>
        <w:ind w:left="850"/>
      </w:pPr>
      <w:r>
        <w:rPr>
          <w:b/>
          <w:bCs/>
          <w:spacing w:val="-3"/>
          <w:sz w:val="18"/>
          <w:szCs w:val="18"/>
          <w:u w:val="single"/>
          <w:lang w:val="es-ES_tradnl"/>
        </w:rPr>
        <w:t>SENTENCIA N.</w:t>
      </w:r>
      <w:r>
        <w:rPr>
          <w:rFonts w:cs="Times New Roman"/>
          <w:b/>
          <w:bCs/>
          <w:spacing w:val="-3"/>
          <w:sz w:val="18"/>
          <w:szCs w:val="18"/>
          <w:u w:val="single"/>
          <w:lang w:val="es-ES_tradnl"/>
        </w:rPr>
        <w:t>º</w:t>
      </w:r>
      <w:r>
        <w:rPr>
          <w:b/>
          <w:bCs/>
          <w:spacing w:val="-3"/>
          <w:sz w:val="18"/>
          <w:szCs w:val="18"/>
          <w:u w:val="single"/>
          <w:lang w:val="es-ES_tradnl"/>
        </w:rPr>
        <w:t xml:space="preserve"> 272-15-SEP-CC</w:t>
      </w:r>
    </w:p>
    <w:p w14:paraId="4F67B715" w14:textId="77777777" w:rsidR="00591D54" w:rsidRDefault="00591D54">
      <w:pPr>
        <w:shd w:val="clear" w:color="auto" w:fill="FFFFFF"/>
        <w:spacing w:line="446" w:lineRule="exact"/>
        <w:ind w:left="1296"/>
      </w:pPr>
      <w:r>
        <w:rPr>
          <w:b/>
          <w:bCs/>
          <w:spacing w:val="-5"/>
          <w:sz w:val="18"/>
          <w:szCs w:val="18"/>
          <w:u w:val="single"/>
          <w:lang w:val="es-ES_tradnl"/>
        </w:rPr>
        <w:t>CASO N.</w:t>
      </w:r>
      <w:r>
        <w:rPr>
          <w:rFonts w:cs="Times New Roman"/>
          <w:b/>
          <w:bCs/>
          <w:spacing w:val="-5"/>
          <w:sz w:val="18"/>
          <w:szCs w:val="18"/>
          <w:u w:val="single"/>
          <w:lang w:val="es-ES_tradnl"/>
        </w:rPr>
        <w:t>º</w:t>
      </w:r>
      <w:r>
        <w:rPr>
          <w:b/>
          <w:bCs/>
          <w:spacing w:val="-5"/>
          <w:sz w:val="18"/>
          <w:szCs w:val="18"/>
          <w:u w:val="single"/>
          <w:lang w:val="es-ES_tradnl"/>
        </w:rPr>
        <w:t xml:space="preserve"> 1228-12-EP</w:t>
      </w:r>
    </w:p>
    <w:p w14:paraId="4F67B716" w14:textId="77777777" w:rsidR="00591D54" w:rsidRDefault="00591D54">
      <w:pPr>
        <w:shd w:val="clear" w:color="auto" w:fill="FFFFFF"/>
        <w:spacing w:line="446" w:lineRule="exact"/>
        <w:ind w:left="317"/>
      </w:pPr>
      <w:r>
        <w:rPr>
          <w:b/>
          <w:bCs/>
          <w:sz w:val="18"/>
          <w:szCs w:val="18"/>
          <w:lang w:val="es-ES_tradnl"/>
        </w:rPr>
        <w:t>CORTE CONSTITUCIONAL DEL ECUADOR</w:t>
      </w:r>
    </w:p>
    <w:p w14:paraId="4F67B717" w14:textId="77777777" w:rsidR="00591D54" w:rsidRDefault="00591D54">
      <w:pPr>
        <w:shd w:val="clear" w:color="auto" w:fill="FFFFFF"/>
        <w:spacing w:line="446" w:lineRule="exact"/>
        <w:ind w:left="1339"/>
      </w:pPr>
      <w:r>
        <w:rPr>
          <w:b/>
          <w:bCs/>
          <w:sz w:val="18"/>
          <w:szCs w:val="18"/>
          <w:lang w:val="es-ES_tradnl"/>
        </w:rPr>
        <w:t>I. ANTECEDENTES</w:t>
      </w:r>
    </w:p>
    <w:p w14:paraId="4F67B718" w14:textId="77777777" w:rsidR="00591D54" w:rsidRDefault="00591D54">
      <w:pPr>
        <w:shd w:val="clear" w:color="auto" w:fill="FFFFFF"/>
        <w:spacing w:line="446" w:lineRule="exact"/>
      </w:pPr>
      <w:r>
        <w:rPr>
          <w:b/>
          <w:bCs/>
          <w:spacing w:val="-9"/>
          <w:sz w:val="18"/>
          <w:szCs w:val="18"/>
          <w:lang w:val="es-ES_tradnl"/>
        </w:rPr>
        <w:t>Resumen de admisibilidad</w:t>
      </w:r>
    </w:p>
    <w:p w14:paraId="4F67B719" w14:textId="77777777" w:rsidR="00591D54" w:rsidRDefault="00591D54">
      <w:pPr>
        <w:shd w:val="clear" w:color="auto" w:fill="FFFFFF"/>
        <w:spacing w:before="168" w:line="235" w:lineRule="exact"/>
        <w:jc w:val="both"/>
      </w:pPr>
      <w:r>
        <w:rPr>
          <w:spacing w:val="-7"/>
          <w:sz w:val="18"/>
          <w:szCs w:val="18"/>
          <w:lang w:val="es-ES_tradnl"/>
        </w:rPr>
        <w:t xml:space="preserve">El 9 de agosto de 2012, ante los jueces de la Sala de lo </w:t>
      </w:r>
      <w:r>
        <w:rPr>
          <w:spacing w:val="-4"/>
          <w:sz w:val="18"/>
          <w:szCs w:val="18"/>
          <w:lang w:val="es-ES_tradnl"/>
        </w:rPr>
        <w:t xml:space="preserve">Contencioso Tributario de la Corte Nacional de Justicia, </w:t>
      </w:r>
      <w:r>
        <w:rPr>
          <w:spacing w:val="-7"/>
          <w:sz w:val="18"/>
          <w:szCs w:val="18"/>
          <w:lang w:val="es-ES_tradnl"/>
        </w:rPr>
        <w:t>el se</w:t>
      </w:r>
      <w:r>
        <w:rPr>
          <w:rFonts w:cs="Times New Roman"/>
          <w:spacing w:val="-7"/>
          <w:sz w:val="18"/>
          <w:szCs w:val="18"/>
          <w:lang w:val="es-ES_tradnl"/>
        </w:rPr>
        <w:t>ñ</w:t>
      </w:r>
      <w:r>
        <w:rPr>
          <w:spacing w:val="-7"/>
          <w:sz w:val="18"/>
          <w:szCs w:val="18"/>
          <w:lang w:val="es-ES_tradnl"/>
        </w:rPr>
        <w:t xml:space="preserve">or </w:t>
      </w:r>
      <w:r>
        <w:rPr>
          <w:rFonts w:cs="Times New Roman"/>
          <w:spacing w:val="-7"/>
          <w:sz w:val="18"/>
          <w:szCs w:val="18"/>
          <w:lang w:val="es-ES_tradnl"/>
        </w:rPr>
        <w:t>Á</w:t>
      </w:r>
      <w:r>
        <w:rPr>
          <w:spacing w:val="-7"/>
          <w:sz w:val="18"/>
          <w:szCs w:val="18"/>
          <w:lang w:val="es-ES_tradnl"/>
        </w:rPr>
        <w:t>ngel Ra</w:t>
      </w:r>
      <w:r>
        <w:rPr>
          <w:rFonts w:cs="Times New Roman"/>
          <w:spacing w:val="-7"/>
          <w:sz w:val="18"/>
          <w:szCs w:val="18"/>
          <w:lang w:val="es-ES_tradnl"/>
        </w:rPr>
        <w:t>ú</w:t>
      </w:r>
      <w:r>
        <w:rPr>
          <w:spacing w:val="-7"/>
          <w:sz w:val="18"/>
          <w:szCs w:val="18"/>
          <w:lang w:val="es-ES_tradnl"/>
        </w:rPr>
        <w:t>l Salvador Garc</w:t>
      </w:r>
      <w:r>
        <w:rPr>
          <w:rFonts w:cs="Times New Roman"/>
          <w:spacing w:val="-7"/>
          <w:sz w:val="18"/>
          <w:szCs w:val="18"/>
          <w:lang w:val="es-ES_tradnl"/>
        </w:rPr>
        <w:t>í</w:t>
      </w:r>
      <w:r>
        <w:rPr>
          <w:spacing w:val="-7"/>
          <w:sz w:val="18"/>
          <w:szCs w:val="18"/>
          <w:lang w:val="es-ES_tradnl"/>
        </w:rPr>
        <w:t xml:space="preserve">a en su calidad de </w:t>
      </w:r>
      <w:r>
        <w:rPr>
          <w:spacing w:val="-8"/>
          <w:sz w:val="18"/>
          <w:szCs w:val="18"/>
          <w:lang w:val="es-ES_tradnl"/>
        </w:rPr>
        <w:t>representante legal de la compa</w:t>
      </w:r>
      <w:r>
        <w:rPr>
          <w:rFonts w:cs="Times New Roman"/>
          <w:spacing w:val="-8"/>
          <w:sz w:val="18"/>
          <w:szCs w:val="18"/>
          <w:lang w:val="es-ES_tradnl"/>
        </w:rPr>
        <w:t>ñí</w:t>
      </w:r>
      <w:r>
        <w:rPr>
          <w:spacing w:val="-8"/>
          <w:sz w:val="18"/>
          <w:szCs w:val="18"/>
          <w:lang w:val="es-ES_tradnl"/>
        </w:rPr>
        <w:t>a Licores de Exportaci</w:t>
      </w:r>
      <w:r>
        <w:rPr>
          <w:rFonts w:cs="Times New Roman"/>
          <w:spacing w:val="-8"/>
          <w:sz w:val="18"/>
          <w:szCs w:val="18"/>
          <w:lang w:val="es-ES_tradnl"/>
        </w:rPr>
        <w:t>ó</w:t>
      </w:r>
      <w:r>
        <w:rPr>
          <w:spacing w:val="-8"/>
          <w:sz w:val="18"/>
          <w:szCs w:val="18"/>
          <w:lang w:val="es-ES_tradnl"/>
        </w:rPr>
        <w:t xml:space="preserve">n </w:t>
      </w:r>
      <w:r>
        <w:rPr>
          <w:spacing w:val="-6"/>
          <w:sz w:val="18"/>
          <w:szCs w:val="18"/>
          <w:lang w:val="es-ES_tradnl"/>
        </w:rPr>
        <w:t>S. A. (LICORESA), present</w:t>
      </w:r>
      <w:r>
        <w:rPr>
          <w:rFonts w:cs="Times New Roman"/>
          <w:spacing w:val="-6"/>
          <w:sz w:val="18"/>
          <w:szCs w:val="18"/>
          <w:lang w:val="es-ES_tradnl"/>
        </w:rPr>
        <w:t>ó</w:t>
      </w:r>
      <w:r>
        <w:rPr>
          <w:spacing w:val="-6"/>
          <w:sz w:val="18"/>
          <w:szCs w:val="18"/>
          <w:lang w:val="es-ES_tradnl"/>
        </w:rPr>
        <w:t xml:space="preserve"> una demanda de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en contra de la sentencia </w:t>
      </w:r>
      <w:r>
        <w:rPr>
          <w:spacing w:val="-5"/>
          <w:sz w:val="18"/>
          <w:szCs w:val="18"/>
          <w:lang w:val="es-ES_tradnl"/>
        </w:rPr>
        <w:t xml:space="preserve">expedida el 11 de julio de 2012, por los jueces de dicha </w:t>
      </w:r>
      <w:r>
        <w:rPr>
          <w:spacing w:val="-3"/>
          <w:sz w:val="18"/>
          <w:szCs w:val="18"/>
          <w:lang w:val="es-ES_tradnl"/>
        </w:rPr>
        <w:t>Sala, dentro del juicio N.</w:t>
      </w:r>
      <w:r>
        <w:rPr>
          <w:rFonts w:cs="Times New Roman"/>
          <w:spacing w:val="-3"/>
          <w:sz w:val="18"/>
          <w:szCs w:val="18"/>
          <w:lang w:val="es-ES_tradnl"/>
        </w:rPr>
        <w:t>º</w:t>
      </w:r>
      <w:r>
        <w:rPr>
          <w:spacing w:val="-3"/>
          <w:sz w:val="18"/>
          <w:szCs w:val="18"/>
          <w:lang w:val="es-ES_tradnl"/>
        </w:rPr>
        <w:t xml:space="preserve"> 129-09 (recurso de casaci</w:t>
      </w:r>
      <w:r>
        <w:rPr>
          <w:rFonts w:cs="Times New Roman"/>
          <w:spacing w:val="-3"/>
          <w:sz w:val="18"/>
          <w:szCs w:val="18"/>
          <w:lang w:val="es-ES_tradnl"/>
        </w:rPr>
        <w:t>ó</w:t>
      </w:r>
      <w:r>
        <w:rPr>
          <w:spacing w:val="-3"/>
          <w:sz w:val="18"/>
          <w:szCs w:val="18"/>
          <w:lang w:val="es-ES_tradnl"/>
        </w:rPr>
        <w:t xml:space="preserve">n </w:t>
      </w:r>
      <w:r>
        <w:rPr>
          <w:spacing w:val="-6"/>
          <w:sz w:val="18"/>
          <w:szCs w:val="18"/>
          <w:lang w:val="es-ES_tradnl"/>
        </w:rPr>
        <w:t>N.</w:t>
      </w:r>
      <w:r>
        <w:rPr>
          <w:rFonts w:cs="Times New Roman"/>
          <w:spacing w:val="-6"/>
          <w:sz w:val="18"/>
          <w:szCs w:val="18"/>
          <w:lang w:val="es-ES_tradnl"/>
        </w:rPr>
        <w:t>º</w:t>
      </w:r>
      <w:r>
        <w:rPr>
          <w:spacing w:val="-6"/>
          <w:sz w:val="18"/>
          <w:szCs w:val="18"/>
          <w:lang w:val="es-ES_tradnl"/>
        </w:rPr>
        <w:t xml:space="preserve"> 164-2010), que sigui</w:t>
      </w:r>
      <w:r>
        <w:rPr>
          <w:rFonts w:cs="Times New Roman"/>
          <w:spacing w:val="-6"/>
          <w:sz w:val="18"/>
          <w:szCs w:val="18"/>
          <w:lang w:val="es-ES_tradnl"/>
        </w:rPr>
        <w:t>ó</w:t>
      </w:r>
      <w:r>
        <w:rPr>
          <w:spacing w:val="-6"/>
          <w:sz w:val="18"/>
          <w:szCs w:val="18"/>
          <w:lang w:val="es-ES_tradnl"/>
        </w:rPr>
        <w:t xml:space="preserve"> dicha compa</w:t>
      </w:r>
      <w:r>
        <w:rPr>
          <w:rFonts w:cs="Times New Roman"/>
          <w:spacing w:val="-6"/>
          <w:sz w:val="18"/>
          <w:szCs w:val="18"/>
          <w:lang w:val="es-ES_tradnl"/>
        </w:rPr>
        <w:t>ñí</w:t>
      </w:r>
      <w:r>
        <w:rPr>
          <w:spacing w:val="-6"/>
          <w:sz w:val="18"/>
          <w:szCs w:val="18"/>
          <w:lang w:val="es-ES_tradnl"/>
        </w:rPr>
        <w:t xml:space="preserve">a en contra del </w:t>
      </w:r>
      <w:r>
        <w:rPr>
          <w:spacing w:val="-7"/>
          <w:sz w:val="18"/>
          <w:szCs w:val="18"/>
          <w:lang w:val="es-ES_tradnl"/>
        </w:rPr>
        <w:t>director general del Servicio de Rentas Internas.</w:t>
      </w:r>
    </w:p>
    <w:p w14:paraId="4F67B71A" w14:textId="77777777" w:rsidR="00591D54" w:rsidRDefault="00591D54">
      <w:pPr>
        <w:shd w:val="clear" w:color="auto" w:fill="FFFFFF"/>
        <w:spacing w:before="202" w:line="235" w:lineRule="exact"/>
        <w:jc w:val="both"/>
      </w:pPr>
      <w:r>
        <w:rPr>
          <w:spacing w:val="-5"/>
          <w:sz w:val="18"/>
          <w:szCs w:val="18"/>
          <w:lang w:val="es-ES_tradnl"/>
        </w:rPr>
        <w:t>De conformidad con lo establecido en el segundo inciso del cuarto art</w:t>
      </w:r>
      <w:r>
        <w:rPr>
          <w:rFonts w:cs="Times New Roman"/>
          <w:spacing w:val="-5"/>
          <w:sz w:val="18"/>
          <w:szCs w:val="18"/>
          <w:lang w:val="es-ES_tradnl"/>
        </w:rPr>
        <w:t>í</w:t>
      </w:r>
      <w:r>
        <w:rPr>
          <w:spacing w:val="-5"/>
          <w:sz w:val="18"/>
          <w:szCs w:val="18"/>
          <w:lang w:val="es-ES_tradnl"/>
        </w:rPr>
        <w:t>culo innumerado agregado a continuaci</w:t>
      </w:r>
      <w:r>
        <w:rPr>
          <w:rFonts w:cs="Times New Roman"/>
          <w:spacing w:val="-5"/>
          <w:sz w:val="18"/>
          <w:szCs w:val="18"/>
          <w:lang w:val="es-ES_tradnl"/>
        </w:rPr>
        <w:t>ó</w:t>
      </w:r>
      <w:r>
        <w:rPr>
          <w:spacing w:val="-5"/>
          <w:sz w:val="18"/>
          <w:szCs w:val="18"/>
          <w:lang w:val="es-ES_tradnl"/>
        </w:rPr>
        <w:t xml:space="preserve">n </w:t>
      </w:r>
      <w:r>
        <w:rPr>
          <w:spacing w:val="-10"/>
          <w:sz w:val="18"/>
          <w:szCs w:val="18"/>
          <w:lang w:val="es-ES_tradnl"/>
        </w:rPr>
        <w:t>del art</w:t>
      </w:r>
      <w:r>
        <w:rPr>
          <w:rFonts w:cs="Times New Roman"/>
          <w:spacing w:val="-10"/>
          <w:sz w:val="18"/>
          <w:szCs w:val="18"/>
          <w:lang w:val="es-ES_tradnl"/>
        </w:rPr>
        <w:t>í</w:t>
      </w:r>
      <w:r>
        <w:rPr>
          <w:spacing w:val="-10"/>
          <w:sz w:val="18"/>
          <w:szCs w:val="18"/>
          <w:lang w:val="es-ES_tradnl"/>
        </w:rPr>
        <w:t>culo 8 del Reglamento de Sustanciaci</w:t>
      </w:r>
      <w:r>
        <w:rPr>
          <w:rFonts w:cs="Times New Roman"/>
          <w:spacing w:val="-10"/>
          <w:sz w:val="18"/>
          <w:szCs w:val="18"/>
          <w:lang w:val="es-ES_tradnl"/>
        </w:rPr>
        <w:t>ó</w:t>
      </w:r>
      <w:r>
        <w:rPr>
          <w:spacing w:val="-10"/>
          <w:sz w:val="18"/>
          <w:szCs w:val="18"/>
          <w:lang w:val="es-ES_tradnl"/>
        </w:rPr>
        <w:t xml:space="preserve">n de Procesos </w:t>
      </w:r>
      <w:r>
        <w:rPr>
          <w:spacing w:val="-7"/>
          <w:sz w:val="18"/>
          <w:szCs w:val="18"/>
          <w:lang w:val="es-ES_tradnl"/>
        </w:rPr>
        <w:t xml:space="preserve">de Competencia de la Corte Constitucional, el secretario </w:t>
      </w:r>
      <w:r>
        <w:rPr>
          <w:spacing w:val="-6"/>
          <w:sz w:val="18"/>
          <w:szCs w:val="18"/>
          <w:lang w:val="es-ES_tradnl"/>
        </w:rPr>
        <w:t>general de la Corte Constitucional, para el per</w:t>
      </w:r>
      <w:r>
        <w:rPr>
          <w:rFonts w:cs="Times New Roman"/>
          <w:spacing w:val="-6"/>
          <w:sz w:val="18"/>
          <w:szCs w:val="18"/>
          <w:lang w:val="es-ES_tradnl"/>
        </w:rPr>
        <w:t>í</w:t>
      </w:r>
      <w:r>
        <w:rPr>
          <w:spacing w:val="-6"/>
          <w:sz w:val="18"/>
          <w:szCs w:val="18"/>
          <w:lang w:val="es-ES_tradnl"/>
        </w:rPr>
        <w:t xml:space="preserve">odo de </w:t>
      </w:r>
      <w:r>
        <w:rPr>
          <w:spacing w:val="-7"/>
          <w:sz w:val="18"/>
          <w:szCs w:val="18"/>
          <w:lang w:val="es-ES_tradnl"/>
        </w:rPr>
        <w:t>transici</w:t>
      </w:r>
      <w:r>
        <w:rPr>
          <w:rFonts w:cs="Times New Roman"/>
          <w:spacing w:val="-7"/>
          <w:sz w:val="18"/>
          <w:szCs w:val="18"/>
          <w:lang w:val="es-ES_tradnl"/>
        </w:rPr>
        <w:t>ó</w:t>
      </w:r>
      <w:r>
        <w:rPr>
          <w:spacing w:val="-7"/>
          <w:sz w:val="18"/>
          <w:szCs w:val="18"/>
          <w:lang w:val="es-ES_tradnl"/>
        </w:rPr>
        <w:t>n, certific</w:t>
      </w:r>
      <w:r>
        <w:rPr>
          <w:rFonts w:cs="Times New Roman"/>
          <w:spacing w:val="-7"/>
          <w:sz w:val="18"/>
          <w:szCs w:val="18"/>
          <w:lang w:val="es-ES_tradnl"/>
        </w:rPr>
        <w:t>ó</w:t>
      </w:r>
      <w:r>
        <w:rPr>
          <w:spacing w:val="-7"/>
          <w:sz w:val="18"/>
          <w:szCs w:val="18"/>
          <w:lang w:val="es-ES_tradnl"/>
        </w:rPr>
        <w:t xml:space="preserve"> que en referencia a la acci</w:t>
      </w:r>
      <w:r>
        <w:rPr>
          <w:rFonts w:cs="Times New Roman"/>
          <w:spacing w:val="-7"/>
          <w:sz w:val="18"/>
          <w:szCs w:val="18"/>
          <w:lang w:val="es-ES_tradnl"/>
        </w:rPr>
        <w:t>ó</w:t>
      </w:r>
      <w:r>
        <w:rPr>
          <w:spacing w:val="-7"/>
          <w:sz w:val="18"/>
          <w:szCs w:val="18"/>
          <w:lang w:val="es-ES_tradnl"/>
        </w:rPr>
        <w:t>n N.</w:t>
      </w:r>
      <w:r>
        <w:rPr>
          <w:rFonts w:cs="Times New Roman"/>
          <w:spacing w:val="-7"/>
          <w:sz w:val="18"/>
          <w:szCs w:val="18"/>
          <w:lang w:val="es-ES_tradnl"/>
        </w:rPr>
        <w:t>º</w:t>
      </w:r>
      <w:r>
        <w:rPr>
          <w:spacing w:val="-7"/>
          <w:sz w:val="18"/>
          <w:szCs w:val="18"/>
          <w:lang w:val="es-ES_tradnl"/>
        </w:rPr>
        <w:t xml:space="preserve"> </w:t>
      </w:r>
      <w:r>
        <w:rPr>
          <w:b/>
          <w:bCs/>
          <w:spacing w:val="-7"/>
          <w:sz w:val="18"/>
          <w:szCs w:val="18"/>
          <w:lang w:val="es-ES_tradnl"/>
        </w:rPr>
        <w:t>1228-</w:t>
      </w:r>
      <w:r>
        <w:rPr>
          <w:b/>
          <w:bCs/>
          <w:spacing w:val="-9"/>
          <w:sz w:val="18"/>
          <w:szCs w:val="18"/>
          <w:lang w:val="es-ES_tradnl"/>
        </w:rPr>
        <w:t>12-EP</w:t>
      </w:r>
      <w:r>
        <w:rPr>
          <w:spacing w:val="-9"/>
          <w:sz w:val="18"/>
          <w:szCs w:val="18"/>
          <w:lang w:val="es-ES_tradnl"/>
        </w:rPr>
        <w:t xml:space="preserve">, no se ha presentado otra demanda con identidad de </w:t>
      </w:r>
      <w:r>
        <w:rPr>
          <w:sz w:val="18"/>
          <w:szCs w:val="18"/>
          <w:lang w:val="es-ES_tradnl"/>
        </w:rPr>
        <w:t>objeto y acci</w:t>
      </w:r>
      <w:r>
        <w:rPr>
          <w:rFonts w:cs="Times New Roman"/>
          <w:sz w:val="18"/>
          <w:szCs w:val="18"/>
          <w:lang w:val="es-ES_tradnl"/>
        </w:rPr>
        <w:t>ó</w:t>
      </w:r>
      <w:r>
        <w:rPr>
          <w:sz w:val="18"/>
          <w:szCs w:val="18"/>
          <w:lang w:val="es-ES_tradnl"/>
        </w:rPr>
        <w:t>n.</w:t>
      </w:r>
    </w:p>
    <w:p w14:paraId="4F67B71B" w14:textId="77777777" w:rsidR="00591D54" w:rsidRDefault="00591D54">
      <w:pPr>
        <w:shd w:val="clear" w:color="auto" w:fill="FFFFFF"/>
        <w:spacing w:before="202" w:line="235" w:lineRule="exact"/>
        <w:jc w:val="both"/>
        <w:sectPr w:rsidR="00591D54">
          <w:type w:val="continuous"/>
          <w:pgSz w:w="11909" w:h="16834"/>
          <w:pgMar w:top="1363" w:right="1309" w:bottom="360" w:left="1308" w:header="720" w:footer="720" w:gutter="0"/>
          <w:cols w:num="2" w:space="720" w:equalWidth="0">
            <w:col w:w="4315" w:space="672"/>
            <w:col w:w="4305"/>
          </w:cols>
          <w:noEndnote/>
        </w:sectPr>
      </w:pPr>
    </w:p>
    <w:p w14:paraId="4F67B71C" w14:textId="77777777" w:rsidR="00591D54" w:rsidRDefault="00591D54">
      <w:pPr>
        <w:shd w:val="clear" w:color="auto" w:fill="FFFFFF"/>
        <w:tabs>
          <w:tab w:val="left" w:pos="4814"/>
        </w:tabs>
        <w:spacing w:after="235"/>
        <w:ind w:left="5"/>
      </w:pPr>
      <w:r>
        <w:rPr>
          <w:b/>
          <w:bCs/>
          <w:sz w:val="18"/>
          <w:szCs w:val="18"/>
          <w:lang w:val="es-ES_tradnl"/>
        </w:rPr>
        <w:t xml:space="preserve">238 -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71D" w14:textId="77777777" w:rsidR="00591D54" w:rsidRDefault="00591D54">
      <w:pPr>
        <w:shd w:val="clear" w:color="auto" w:fill="FFFFFF"/>
        <w:tabs>
          <w:tab w:val="left" w:pos="4814"/>
        </w:tabs>
        <w:spacing w:after="235"/>
        <w:ind w:left="5"/>
        <w:sectPr w:rsidR="00591D54">
          <w:pgSz w:w="11909" w:h="16834"/>
          <w:pgMar w:top="1366" w:right="1299" w:bottom="360" w:left="1308" w:header="720" w:footer="720" w:gutter="0"/>
          <w:cols w:space="60"/>
          <w:noEndnote/>
        </w:sectPr>
      </w:pPr>
    </w:p>
    <w:p w14:paraId="4F67B71E" w14:textId="77777777" w:rsidR="00591D54" w:rsidRDefault="00591D54">
      <w:pPr>
        <w:shd w:val="clear" w:color="auto" w:fill="FFFFFF"/>
        <w:spacing w:line="216" w:lineRule="exact"/>
        <w:jc w:val="both"/>
      </w:pPr>
      <w:r>
        <w:rPr>
          <w:spacing w:val="-9"/>
          <w:sz w:val="18"/>
          <w:szCs w:val="18"/>
          <w:lang w:val="es-ES_tradnl"/>
        </w:rPr>
        <w:t xml:space="preserve">El 06 de noviembre de 2012, se posesionaron ante el Pleno </w:t>
      </w:r>
      <w:r>
        <w:rPr>
          <w:spacing w:val="-8"/>
          <w:sz w:val="18"/>
          <w:szCs w:val="18"/>
          <w:lang w:val="es-ES_tradnl"/>
        </w:rPr>
        <w:t xml:space="preserve">de la Asamblea Nacional los jueces y juezas de la Primera </w:t>
      </w:r>
      <w:r>
        <w:rPr>
          <w:spacing w:val="-6"/>
          <w:sz w:val="18"/>
          <w:szCs w:val="18"/>
          <w:lang w:val="es-ES_tradnl"/>
        </w:rPr>
        <w:t>Corte Constitucional, integrada conforme lo dispuesto en los art</w:t>
      </w:r>
      <w:r>
        <w:rPr>
          <w:rFonts w:cs="Times New Roman"/>
          <w:spacing w:val="-6"/>
          <w:sz w:val="18"/>
          <w:szCs w:val="18"/>
          <w:lang w:val="es-ES_tradnl"/>
        </w:rPr>
        <w:t>í</w:t>
      </w:r>
      <w:r>
        <w:rPr>
          <w:spacing w:val="-6"/>
          <w:sz w:val="18"/>
          <w:szCs w:val="18"/>
          <w:lang w:val="es-ES_tradnl"/>
        </w:rPr>
        <w:t>culos 432 y 434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w:t>
      </w:r>
    </w:p>
    <w:p w14:paraId="4F67B71F" w14:textId="77777777" w:rsidR="00591D54" w:rsidRDefault="00591D54">
      <w:pPr>
        <w:shd w:val="clear" w:color="auto" w:fill="FFFFFF"/>
        <w:spacing w:before="197" w:line="216" w:lineRule="exact"/>
        <w:jc w:val="both"/>
      </w:pPr>
      <w:r>
        <w:rPr>
          <w:spacing w:val="-9"/>
          <w:sz w:val="18"/>
          <w:szCs w:val="18"/>
          <w:lang w:val="es-ES_tradnl"/>
        </w:rPr>
        <w:t>La Sala de Admisi</w:t>
      </w:r>
      <w:r>
        <w:rPr>
          <w:rFonts w:cs="Times New Roman"/>
          <w:spacing w:val="-9"/>
          <w:sz w:val="18"/>
          <w:szCs w:val="18"/>
          <w:lang w:val="es-ES_tradnl"/>
        </w:rPr>
        <w:t>ó</w:t>
      </w:r>
      <w:r>
        <w:rPr>
          <w:spacing w:val="-9"/>
          <w:sz w:val="18"/>
          <w:szCs w:val="18"/>
          <w:lang w:val="es-ES_tradnl"/>
        </w:rPr>
        <w:t xml:space="preserve">n de la Corte Constitucional conformada </w:t>
      </w:r>
      <w:r>
        <w:rPr>
          <w:spacing w:val="-4"/>
          <w:sz w:val="18"/>
          <w:szCs w:val="18"/>
          <w:lang w:val="es-ES_tradnl"/>
        </w:rPr>
        <w:t xml:space="preserve">por los jueces constitucionales Ruth Seni Pinoargote, </w:t>
      </w:r>
      <w:r>
        <w:rPr>
          <w:spacing w:val="-6"/>
          <w:sz w:val="18"/>
          <w:szCs w:val="18"/>
          <w:lang w:val="es-ES_tradnl"/>
        </w:rPr>
        <w:t>Alfredo Ruiz Guzm</w:t>
      </w:r>
      <w:r>
        <w:rPr>
          <w:rFonts w:cs="Times New Roman"/>
          <w:spacing w:val="-6"/>
          <w:sz w:val="18"/>
          <w:szCs w:val="18"/>
          <w:lang w:val="es-ES_tradnl"/>
        </w:rPr>
        <w:t>á</w:t>
      </w:r>
      <w:r>
        <w:rPr>
          <w:spacing w:val="-6"/>
          <w:sz w:val="18"/>
          <w:szCs w:val="18"/>
          <w:lang w:val="es-ES_tradnl"/>
        </w:rPr>
        <w:t>n y Antonio Gagliardo Loor, mediante auto del 16 de enero de 2013, admiti</w:t>
      </w:r>
      <w:r>
        <w:rPr>
          <w:rFonts w:cs="Times New Roman"/>
          <w:spacing w:val="-6"/>
          <w:sz w:val="18"/>
          <w:szCs w:val="18"/>
          <w:lang w:val="es-ES_tradnl"/>
        </w:rPr>
        <w:t>ó</w:t>
      </w:r>
      <w:r>
        <w:rPr>
          <w:spacing w:val="-6"/>
          <w:sz w:val="18"/>
          <w:szCs w:val="18"/>
          <w:lang w:val="es-ES_tradnl"/>
        </w:rPr>
        <w:t xml:space="preserve"> a tr</w:t>
      </w:r>
      <w:r>
        <w:rPr>
          <w:rFonts w:cs="Times New Roman"/>
          <w:spacing w:val="-6"/>
          <w:sz w:val="18"/>
          <w:szCs w:val="18"/>
          <w:lang w:val="es-ES_tradnl"/>
        </w:rPr>
        <w:t>á</w:t>
      </w:r>
      <w:r>
        <w:rPr>
          <w:spacing w:val="-6"/>
          <w:sz w:val="18"/>
          <w:szCs w:val="18"/>
          <w:lang w:val="es-ES_tradnl"/>
        </w:rPr>
        <w:t>mite la causa N.</w:t>
      </w:r>
      <w:r>
        <w:rPr>
          <w:rFonts w:cs="Times New Roman"/>
          <w:spacing w:val="-6"/>
          <w:sz w:val="18"/>
          <w:szCs w:val="18"/>
          <w:lang w:val="es-ES_tradnl"/>
        </w:rPr>
        <w:t>º</w:t>
      </w:r>
      <w:r>
        <w:rPr>
          <w:spacing w:val="-6"/>
          <w:sz w:val="18"/>
          <w:szCs w:val="18"/>
          <w:lang w:val="es-ES_tradnl"/>
        </w:rPr>
        <w:t xml:space="preserve"> </w:t>
      </w:r>
      <w:r>
        <w:rPr>
          <w:b/>
          <w:bCs/>
          <w:spacing w:val="-6"/>
          <w:sz w:val="18"/>
          <w:szCs w:val="18"/>
          <w:lang w:val="es-ES_tradnl"/>
        </w:rPr>
        <w:t xml:space="preserve">1228-12-EP </w:t>
      </w:r>
      <w:r>
        <w:rPr>
          <w:spacing w:val="-6"/>
          <w:sz w:val="18"/>
          <w:szCs w:val="18"/>
          <w:lang w:val="es-ES_tradnl"/>
        </w:rPr>
        <w:t>y dispuso que se efectu</w:t>
      </w:r>
      <w:r>
        <w:rPr>
          <w:rFonts w:cs="Times New Roman"/>
          <w:spacing w:val="-6"/>
          <w:sz w:val="18"/>
          <w:szCs w:val="18"/>
          <w:lang w:val="es-ES_tradnl"/>
        </w:rPr>
        <w:t>é</w:t>
      </w:r>
      <w:r>
        <w:rPr>
          <w:spacing w:val="-6"/>
          <w:sz w:val="18"/>
          <w:szCs w:val="18"/>
          <w:lang w:val="es-ES_tradnl"/>
        </w:rPr>
        <w:t xml:space="preserve"> el sorteo </w:t>
      </w:r>
      <w:r>
        <w:rPr>
          <w:spacing w:val="-10"/>
          <w:sz w:val="18"/>
          <w:szCs w:val="18"/>
          <w:lang w:val="es-ES_tradnl"/>
        </w:rPr>
        <w:t>correspondiente para la sustanciaci</w:t>
      </w:r>
      <w:r>
        <w:rPr>
          <w:rFonts w:cs="Times New Roman"/>
          <w:spacing w:val="-10"/>
          <w:sz w:val="18"/>
          <w:szCs w:val="18"/>
          <w:lang w:val="es-ES_tradnl"/>
        </w:rPr>
        <w:t>ó</w:t>
      </w:r>
      <w:r>
        <w:rPr>
          <w:spacing w:val="-10"/>
          <w:sz w:val="18"/>
          <w:szCs w:val="18"/>
          <w:lang w:val="es-ES_tradnl"/>
        </w:rPr>
        <w:t>n de la presente acci</w:t>
      </w:r>
      <w:r>
        <w:rPr>
          <w:rFonts w:cs="Times New Roman"/>
          <w:spacing w:val="-10"/>
          <w:sz w:val="18"/>
          <w:szCs w:val="18"/>
          <w:lang w:val="es-ES_tradnl"/>
        </w:rPr>
        <w:t>ó</w:t>
      </w:r>
      <w:r>
        <w:rPr>
          <w:spacing w:val="-10"/>
          <w:sz w:val="18"/>
          <w:szCs w:val="18"/>
          <w:lang w:val="es-ES_tradnl"/>
        </w:rPr>
        <w:t>n.</w:t>
      </w:r>
    </w:p>
    <w:p w14:paraId="4F67B720" w14:textId="77777777" w:rsidR="00591D54" w:rsidRDefault="00591D54">
      <w:pPr>
        <w:shd w:val="clear" w:color="auto" w:fill="FFFFFF"/>
        <w:spacing w:before="197" w:line="216" w:lineRule="exact"/>
        <w:jc w:val="both"/>
      </w:pPr>
      <w:r>
        <w:rPr>
          <w:spacing w:val="-3"/>
          <w:sz w:val="18"/>
          <w:szCs w:val="18"/>
          <w:lang w:val="es-ES_tradnl"/>
        </w:rPr>
        <w:t>De conformidad con el sorteo realizado en sesi</w:t>
      </w:r>
      <w:r>
        <w:rPr>
          <w:rFonts w:cs="Times New Roman"/>
          <w:spacing w:val="-3"/>
          <w:sz w:val="18"/>
          <w:szCs w:val="18"/>
          <w:lang w:val="es-ES_tradnl"/>
        </w:rPr>
        <w:t>ó</w:t>
      </w:r>
      <w:r>
        <w:rPr>
          <w:spacing w:val="-3"/>
          <w:sz w:val="18"/>
          <w:szCs w:val="18"/>
          <w:lang w:val="es-ES_tradnl"/>
        </w:rPr>
        <w:t xml:space="preserve">n </w:t>
      </w:r>
      <w:r>
        <w:rPr>
          <w:spacing w:val="-5"/>
          <w:sz w:val="18"/>
          <w:szCs w:val="18"/>
          <w:lang w:val="es-ES_tradnl"/>
        </w:rPr>
        <w:t xml:space="preserve">extraordinaria del Pleno de la Corte Constitucional, el 06 </w:t>
      </w:r>
      <w:r>
        <w:rPr>
          <w:spacing w:val="-8"/>
          <w:sz w:val="18"/>
          <w:szCs w:val="18"/>
          <w:lang w:val="es-ES_tradnl"/>
        </w:rPr>
        <w:t>de febrero de 2013, correspondi</w:t>
      </w:r>
      <w:r>
        <w:rPr>
          <w:rFonts w:cs="Times New Roman"/>
          <w:spacing w:val="-8"/>
          <w:sz w:val="18"/>
          <w:szCs w:val="18"/>
          <w:lang w:val="es-ES_tradnl"/>
        </w:rPr>
        <w:t>ó</w:t>
      </w:r>
      <w:r>
        <w:rPr>
          <w:spacing w:val="-8"/>
          <w:sz w:val="18"/>
          <w:szCs w:val="18"/>
          <w:lang w:val="es-ES_tradnl"/>
        </w:rPr>
        <w:t xml:space="preserve"> la sustanciaci</w:t>
      </w:r>
      <w:r>
        <w:rPr>
          <w:rFonts w:cs="Times New Roman"/>
          <w:spacing w:val="-8"/>
          <w:sz w:val="18"/>
          <w:szCs w:val="18"/>
          <w:lang w:val="es-ES_tradnl"/>
        </w:rPr>
        <w:t>ó</w:t>
      </w:r>
      <w:r>
        <w:rPr>
          <w:spacing w:val="-8"/>
          <w:sz w:val="18"/>
          <w:szCs w:val="18"/>
          <w:lang w:val="es-ES_tradnl"/>
        </w:rPr>
        <w:t xml:space="preserve">n de dicha </w:t>
      </w:r>
      <w:r>
        <w:rPr>
          <w:spacing w:val="-7"/>
          <w:sz w:val="18"/>
          <w:szCs w:val="18"/>
          <w:lang w:val="es-ES_tradnl"/>
        </w:rPr>
        <w:t>causa al juez constitucional Patricio Pazmi</w:t>
      </w:r>
      <w:r>
        <w:rPr>
          <w:rFonts w:cs="Times New Roman"/>
          <w:spacing w:val="-7"/>
          <w:sz w:val="18"/>
          <w:szCs w:val="18"/>
          <w:lang w:val="es-ES_tradnl"/>
        </w:rPr>
        <w:t>ñ</w:t>
      </w:r>
      <w:r>
        <w:rPr>
          <w:spacing w:val="-7"/>
          <w:sz w:val="18"/>
          <w:szCs w:val="18"/>
          <w:lang w:val="es-ES_tradnl"/>
        </w:rPr>
        <w:t xml:space="preserve">o Freire, quien </w:t>
      </w:r>
      <w:r>
        <w:rPr>
          <w:spacing w:val="-6"/>
          <w:sz w:val="18"/>
          <w:szCs w:val="18"/>
          <w:lang w:val="es-ES_tradnl"/>
        </w:rPr>
        <w:t>mediante providencia del 27 de marzo de 2015, avoc</w:t>
      </w:r>
      <w:r>
        <w:rPr>
          <w:rFonts w:cs="Times New Roman"/>
          <w:spacing w:val="-6"/>
          <w:sz w:val="18"/>
          <w:szCs w:val="18"/>
          <w:lang w:val="es-ES_tradnl"/>
        </w:rPr>
        <w:t xml:space="preserve">ó </w:t>
      </w:r>
      <w:r>
        <w:rPr>
          <w:spacing w:val="-5"/>
          <w:sz w:val="18"/>
          <w:szCs w:val="18"/>
          <w:lang w:val="es-ES_tradnl"/>
        </w:rPr>
        <w:t>conocimiento de la acci</w:t>
      </w:r>
      <w:r>
        <w:rPr>
          <w:rFonts w:cs="Times New Roman"/>
          <w:spacing w:val="-5"/>
          <w:sz w:val="18"/>
          <w:szCs w:val="18"/>
          <w:lang w:val="es-ES_tradnl"/>
        </w:rPr>
        <w:t>ó</w:t>
      </w:r>
      <w:r>
        <w:rPr>
          <w:spacing w:val="-5"/>
          <w:sz w:val="18"/>
          <w:szCs w:val="18"/>
          <w:lang w:val="es-ES_tradnl"/>
        </w:rPr>
        <w:t>n extraordinaria de protecci</w:t>
      </w:r>
      <w:r>
        <w:rPr>
          <w:rFonts w:cs="Times New Roman"/>
          <w:spacing w:val="-5"/>
          <w:sz w:val="18"/>
          <w:szCs w:val="18"/>
          <w:lang w:val="es-ES_tradnl"/>
        </w:rPr>
        <w:t>ó</w:t>
      </w:r>
      <w:r>
        <w:rPr>
          <w:spacing w:val="-5"/>
          <w:sz w:val="18"/>
          <w:szCs w:val="18"/>
          <w:lang w:val="es-ES_tradnl"/>
        </w:rPr>
        <w:t xml:space="preserve">n </w:t>
      </w:r>
      <w:r>
        <w:rPr>
          <w:spacing w:val="-10"/>
          <w:sz w:val="18"/>
          <w:szCs w:val="18"/>
          <w:lang w:val="es-ES_tradnl"/>
        </w:rPr>
        <w:t>deducida por el se</w:t>
      </w:r>
      <w:r>
        <w:rPr>
          <w:rFonts w:cs="Times New Roman"/>
          <w:spacing w:val="-10"/>
          <w:sz w:val="18"/>
          <w:szCs w:val="18"/>
          <w:lang w:val="es-ES_tradnl"/>
        </w:rPr>
        <w:t>ñ</w:t>
      </w:r>
      <w:r>
        <w:rPr>
          <w:spacing w:val="-10"/>
          <w:sz w:val="18"/>
          <w:szCs w:val="18"/>
          <w:lang w:val="es-ES_tradnl"/>
        </w:rPr>
        <w:t xml:space="preserve">or </w:t>
      </w:r>
      <w:r>
        <w:rPr>
          <w:rFonts w:cs="Times New Roman"/>
          <w:spacing w:val="-10"/>
          <w:sz w:val="18"/>
          <w:szCs w:val="18"/>
          <w:lang w:val="es-ES_tradnl"/>
        </w:rPr>
        <w:t>Á</w:t>
      </w:r>
      <w:r>
        <w:rPr>
          <w:spacing w:val="-10"/>
          <w:sz w:val="18"/>
          <w:szCs w:val="18"/>
          <w:lang w:val="es-ES_tradnl"/>
        </w:rPr>
        <w:t>ngel Ra</w:t>
      </w:r>
      <w:r>
        <w:rPr>
          <w:rFonts w:cs="Times New Roman"/>
          <w:spacing w:val="-10"/>
          <w:sz w:val="18"/>
          <w:szCs w:val="18"/>
          <w:lang w:val="es-ES_tradnl"/>
        </w:rPr>
        <w:t>ú</w:t>
      </w:r>
      <w:r>
        <w:rPr>
          <w:spacing w:val="-10"/>
          <w:sz w:val="18"/>
          <w:szCs w:val="18"/>
          <w:lang w:val="es-ES_tradnl"/>
        </w:rPr>
        <w:t>l Salvador Garc</w:t>
      </w:r>
      <w:r>
        <w:rPr>
          <w:rFonts w:cs="Times New Roman"/>
          <w:spacing w:val="-10"/>
          <w:sz w:val="18"/>
          <w:szCs w:val="18"/>
          <w:lang w:val="es-ES_tradnl"/>
        </w:rPr>
        <w:t>í</w:t>
      </w:r>
      <w:r>
        <w:rPr>
          <w:spacing w:val="-10"/>
          <w:sz w:val="18"/>
          <w:szCs w:val="18"/>
          <w:lang w:val="es-ES_tradnl"/>
        </w:rPr>
        <w:t xml:space="preserve">a en contra </w:t>
      </w:r>
      <w:r>
        <w:rPr>
          <w:spacing w:val="-9"/>
          <w:sz w:val="18"/>
          <w:szCs w:val="18"/>
          <w:lang w:val="es-ES_tradnl"/>
        </w:rPr>
        <w:t xml:space="preserve">de la sentencia dictada el 11 de julio de 2012, por los jueces </w:t>
      </w:r>
      <w:r>
        <w:rPr>
          <w:spacing w:val="-8"/>
          <w:sz w:val="18"/>
          <w:szCs w:val="18"/>
          <w:lang w:val="es-ES_tradnl"/>
        </w:rPr>
        <w:t xml:space="preserve">de la Sala Especializada de lo Contencioso Tributario de la </w:t>
      </w:r>
      <w:r>
        <w:rPr>
          <w:spacing w:val="-6"/>
          <w:sz w:val="18"/>
          <w:szCs w:val="18"/>
          <w:lang w:val="es-ES_tradnl"/>
        </w:rPr>
        <w:t>Corte Nacional de Justicia, dentro del juicio N.</w:t>
      </w:r>
      <w:r>
        <w:rPr>
          <w:rFonts w:cs="Times New Roman"/>
          <w:spacing w:val="-6"/>
          <w:sz w:val="18"/>
          <w:szCs w:val="18"/>
          <w:lang w:val="es-ES_tradnl"/>
        </w:rPr>
        <w:t>º</w:t>
      </w:r>
      <w:r>
        <w:rPr>
          <w:spacing w:val="-6"/>
          <w:sz w:val="18"/>
          <w:szCs w:val="18"/>
          <w:lang w:val="es-ES_tradnl"/>
        </w:rPr>
        <w:t xml:space="preserve"> 164-2010. </w:t>
      </w:r>
      <w:r>
        <w:rPr>
          <w:spacing w:val="-8"/>
          <w:sz w:val="18"/>
          <w:szCs w:val="18"/>
          <w:lang w:val="es-ES_tradnl"/>
        </w:rPr>
        <w:t>A trav</w:t>
      </w:r>
      <w:r>
        <w:rPr>
          <w:rFonts w:cs="Times New Roman"/>
          <w:spacing w:val="-8"/>
          <w:sz w:val="18"/>
          <w:szCs w:val="18"/>
          <w:lang w:val="es-ES_tradnl"/>
        </w:rPr>
        <w:t>é</w:t>
      </w:r>
      <w:r>
        <w:rPr>
          <w:spacing w:val="-8"/>
          <w:sz w:val="18"/>
          <w:szCs w:val="18"/>
          <w:lang w:val="es-ES_tradnl"/>
        </w:rPr>
        <w:t xml:space="preserve">s de esta providencia, el juez constitucional dispuso </w:t>
      </w:r>
      <w:r>
        <w:rPr>
          <w:spacing w:val="-7"/>
          <w:sz w:val="18"/>
          <w:szCs w:val="18"/>
          <w:lang w:val="es-ES_tradnl"/>
        </w:rPr>
        <w:t>la notificaci</w:t>
      </w:r>
      <w:r>
        <w:rPr>
          <w:rFonts w:cs="Times New Roman"/>
          <w:spacing w:val="-7"/>
          <w:sz w:val="18"/>
          <w:szCs w:val="18"/>
          <w:lang w:val="es-ES_tradnl"/>
        </w:rPr>
        <w:t>ó</w:t>
      </w:r>
      <w:r>
        <w:rPr>
          <w:spacing w:val="-7"/>
          <w:sz w:val="18"/>
          <w:szCs w:val="18"/>
          <w:lang w:val="es-ES_tradnl"/>
        </w:rPr>
        <w:t xml:space="preserve">n con el contenido de dicho auto a los jueces </w:t>
      </w:r>
      <w:r>
        <w:rPr>
          <w:spacing w:val="-8"/>
          <w:sz w:val="18"/>
          <w:szCs w:val="18"/>
          <w:lang w:val="es-ES_tradnl"/>
        </w:rPr>
        <w:t xml:space="preserve">de la Sala Especializada de lo Contencioso Tributario de la </w:t>
      </w:r>
      <w:r>
        <w:rPr>
          <w:spacing w:val="-11"/>
          <w:sz w:val="18"/>
          <w:szCs w:val="18"/>
          <w:lang w:val="es-ES_tradnl"/>
        </w:rPr>
        <w:t>Corte Nacional de Justicia a fin de que en el t</w:t>
      </w:r>
      <w:r>
        <w:rPr>
          <w:rFonts w:cs="Times New Roman"/>
          <w:spacing w:val="-11"/>
          <w:sz w:val="18"/>
          <w:szCs w:val="18"/>
          <w:lang w:val="es-ES_tradnl"/>
        </w:rPr>
        <w:t>é</w:t>
      </w:r>
      <w:r>
        <w:rPr>
          <w:spacing w:val="-11"/>
          <w:sz w:val="18"/>
          <w:szCs w:val="18"/>
          <w:lang w:val="es-ES_tradnl"/>
        </w:rPr>
        <w:t xml:space="preserve">rmino de cinco </w:t>
      </w:r>
      <w:r>
        <w:rPr>
          <w:spacing w:val="-8"/>
          <w:sz w:val="18"/>
          <w:szCs w:val="18"/>
          <w:lang w:val="es-ES_tradnl"/>
        </w:rPr>
        <w:t>d</w:t>
      </w:r>
      <w:r>
        <w:rPr>
          <w:rFonts w:cs="Times New Roman"/>
          <w:spacing w:val="-8"/>
          <w:sz w:val="18"/>
          <w:szCs w:val="18"/>
          <w:lang w:val="es-ES_tradnl"/>
        </w:rPr>
        <w:t>í</w:t>
      </w:r>
      <w:r>
        <w:rPr>
          <w:spacing w:val="-8"/>
          <w:sz w:val="18"/>
          <w:szCs w:val="18"/>
          <w:lang w:val="es-ES_tradnl"/>
        </w:rPr>
        <w:t xml:space="preserve">as presenten un informe debidamente motivado respecto </w:t>
      </w:r>
      <w:r>
        <w:rPr>
          <w:spacing w:val="-10"/>
          <w:sz w:val="18"/>
          <w:szCs w:val="18"/>
          <w:lang w:val="es-ES_tradnl"/>
        </w:rPr>
        <w:t>de los hechos y argumentos expuestos en la demanda.</w:t>
      </w:r>
    </w:p>
    <w:p w14:paraId="4F67B721" w14:textId="77777777" w:rsidR="00591D54" w:rsidRDefault="00591D54">
      <w:pPr>
        <w:shd w:val="clear" w:color="auto" w:fill="FFFFFF"/>
        <w:spacing w:before="192" w:line="216" w:lineRule="exact"/>
        <w:ind w:right="5"/>
        <w:jc w:val="both"/>
      </w:pPr>
      <w:r>
        <w:rPr>
          <w:spacing w:val="-3"/>
          <w:sz w:val="18"/>
          <w:szCs w:val="18"/>
          <w:lang w:val="es-ES_tradnl"/>
        </w:rPr>
        <w:t xml:space="preserve">De igual manera, dispuso que se oficie al secretario de </w:t>
      </w:r>
      <w:r>
        <w:rPr>
          <w:spacing w:val="-4"/>
          <w:sz w:val="18"/>
          <w:szCs w:val="18"/>
          <w:lang w:val="es-ES_tradnl"/>
        </w:rPr>
        <w:t>la Cuarta Sala del Tribunal Distrital de lo Fiscal N.</w:t>
      </w:r>
      <w:r>
        <w:rPr>
          <w:rFonts w:cs="Times New Roman"/>
          <w:spacing w:val="-4"/>
          <w:sz w:val="18"/>
          <w:szCs w:val="18"/>
          <w:lang w:val="es-ES_tradnl"/>
        </w:rPr>
        <w:t>º</w:t>
      </w:r>
      <w:r>
        <w:rPr>
          <w:spacing w:val="-4"/>
          <w:sz w:val="18"/>
          <w:szCs w:val="18"/>
          <w:lang w:val="es-ES_tradnl"/>
        </w:rPr>
        <w:t xml:space="preserve"> 1 de </w:t>
      </w:r>
      <w:r>
        <w:rPr>
          <w:spacing w:val="-11"/>
          <w:sz w:val="18"/>
          <w:szCs w:val="18"/>
          <w:lang w:val="es-ES_tradnl"/>
        </w:rPr>
        <w:t>Pichincha para que env</w:t>
      </w:r>
      <w:r>
        <w:rPr>
          <w:rFonts w:cs="Times New Roman"/>
          <w:spacing w:val="-11"/>
          <w:sz w:val="18"/>
          <w:szCs w:val="18"/>
          <w:lang w:val="es-ES_tradnl"/>
        </w:rPr>
        <w:t>í</w:t>
      </w:r>
      <w:r>
        <w:rPr>
          <w:spacing w:val="-11"/>
          <w:sz w:val="18"/>
          <w:szCs w:val="18"/>
          <w:lang w:val="es-ES_tradnl"/>
        </w:rPr>
        <w:t xml:space="preserve">e de manera inmediata el expediente </w:t>
      </w:r>
      <w:r>
        <w:rPr>
          <w:spacing w:val="-5"/>
          <w:sz w:val="18"/>
          <w:szCs w:val="18"/>
          <w:lang w:val="es-ES_tradnl"/>
        </w:rPr>
        <w:t>completo correspondiente al juicio de impugnaci</w:t>
      </w:r>
      <w:r>
        <w:rPr>
          <w:rFonts w:cs="Times New Roman"/>
          <w:spacing w:val="-5"/>
          <w:sz w:val="18"/>
          <w:szCs w:val="18"/>
          <w:lang w:val="es-ES_tradnl"/>
        </w:rPr>
        <w:t>ó</w:t>
      </w:r>
      <w:r>
        <w:rPr>
          <w:spacing w:val="-5"/>
          <w:sz w:val="18"/>
          <w:szCs w:val="18"/>
          <w:lang w:val="es-ES_tradnl"/>
        </w:rPr>
        <w:t>n N.</w:t>
      </w:r>
      <w:r>
        <w:rPr>
          <w:rFonts w:cs="Times New Roman"/>
          <w:spacing w:val="-5"/>
          <w:sz w:val="18"/>
          <w:szCs w:val="18"/>
          <w:lang w:val="es-ES_tradnl"/>
        </w:rPr>
        <w:t xml:space="preserve">º </w:t>
      </w:r>
      <w:r>
        <w:rPr>
          <w:spacing w:val="-10"/>
          <w:sz w:val="18"/>
          <w:szCs w:val="18"/>
          <w:lang w:val="es-ES_tradnl"/>
        </w:rPr>
        <w:t xml:space="preserve">24273-129-09; que se ponga en conocimiento del contenido </w:t>
      </w:r>
      <w:r>
        <w:rPr>
          <w:spacing w:val="-8"/>
          <w:sz w:val="18"/>
          <w:szCs w:val="18"/>
          <w:lang w:val="es-ES_tradnl"/>
        </w:rPr>
        <w:t xml:space="preserve">de la demanda al director general del Servicio de Rentas </w:t>
      </w:r>
      <w:r>
        <w:rPr>
          <w:spacing w:val="-7"/>
          <w:sz w:val="18"/>
          <w:szCs w:val="18"/>
          <w:lang w:val="es-ES_tradnl"/>
        </w:rPr>
        <w:t>Internas y al procurador general del Estado.</w:t>
      </w:r>
    </w:p>
    <w:p w14:paraId="4F67B722" w14:textId="77777777" w:rsidR="00591D54" w:rsidRDefault="00591D54">
      <w:pPr>
        <w:shd w:val="clear" w:color="auto" w:fill="FFFFFF"/>
        <w:spacing w:before="192"/>
      </w:pPr>
      <w:r>
        <w:rPr>
          <w:b/>
          <w:bCs/>
          <w:spacing w:val="-8"/>
          <w:sz w:val="18"/>
          <w:szCs w:val="18"/>
          <w:lang w:val="es-ES_tradnl"/>
        </w:rPr>
        <w:t>Detalle de la demanda</w:t>
      </w:r>
    </w:p>
    <w:p w14:paraId="4F67B723" w14:textId="77777777" w:rsidR="00591D54" w:rsidRDefault="00591D54">
      <w:pPr>
        <w:shd w:val="clear" w:color="auto" w:fill="FFFFFF"/>
        <w:spacing w:before="192" w:line="216" w:lineRule="exact"/>
        <w:jc w:val="both"/>
      </w:pPr>
      <w:r>
        <w:rPr>
          <w:spacing w:val="-6"/>
          <w:sz w:val="18"/>
          <w:szCs w:val="18"/>
          <w:lang w:val="es-ES_tradnl"/>
        </w:rPr>
        <w:t>En su demanda, el se</w:t>
      </w:r>
      <w:r>
        <w:rPr>
          <w:rFonts w:cs="Times New Roman"/>
          <w:spacing w:val="-6"/>
          <w:sz w:val="18"/>
          <w:szCs w:val="18"/>
          <w:lang w:val="es-ES_tradnl"/>
        </w:rPr>
        <w:t>ñ</w:t>
      </w:r>
      <w:r>
        <w:rPr>
          <w:spacing w:val="-6"/>
          <w:sz w:val="18"/>
          <w:szCs w:val="18"/>
          <w:lang w:val="es-ES_tradnl"/>
        </w:rPr>
        <w:t xml:space="preserve">or </w:t>
      </w:r>
      <w:r>
        <w:rPr>
          <w:rFonts w:cs="Times New Roman"/>
          <w:spacing w:val="-6"/>
          <w:sz w:val="18"/>
          <w:szCs w:val="18"/>
          <w:lang w:val="es-ES_tradnl"/>
        </w:rPr>
        <w:t>Á</w:t>
      </w:r>
      <w:r>
        <w:rPr>
          <w:spacing w:val="-6"/>
          <w:sz w:val="18"/>
          <w:szCs w:val="18"/>
          <w:lang w:val="es-ES_tradnl"/>
        </w:rPr>
        <w:t>ngel Ra</w:t>
      </w:r>
      <w:r>
        <w:rPr>
          <w:rFonts w:cs="Times New Roman"/>
          <w:spacing w:val="-6"/>
          <w:sz w:val="18"/>
          <w:szCs w:val="18"/>
          <w:lang w:val="es-ES_tradnl"/>
        </w:rPr>
        <w:t>ú</w:t>
      </w:r>
      <w:r>
        <w:rPr>
          <w:spacing w:val="-6"/>
          <w:sz w:val="18"/>
          <w:szCs w:val="18"/>
          <w:lang w:val="es-ES_tradnl"/>
        </w:rPr>
        <w:t>l Salvador Garc</w:t>
      </w:r>
      <w:r>
        <w:rPr>
          <w:rFonts w:cs="Times New Roman"/>
          <w:spacing w:val="-6"/>
          <w:sz w:val="18"/>
          <w:szCs w:val="18"/>
          <w:lang w:val="es-ES_tradnl"/>
        </w:rPr>
        <w:t>í</w:t>
      </w:r>
      <w:r>
        <w:rPr>
          <w:spacing w:val="-6"/>
          <w:sz w:val="18"/>
          <w:szCs w:val="18"/>
          <w:lang w:val="es-ES_tradnl"/>
        </w:rPr>
        <w:t>a en su calidad de representante legal de la compa</w:t>
      </w:r>
      <w:r>
        <w:rPr>
          <w:rFonts w:cs="Times New Roman"/>
          <w:spacing w:val="-6"/>
          <w:sz w:val="18"/>
          <w:szCs w:val="18"/>
          <w:lang w:val="es-ES_tradnl"/>
        </w:rPr>
        <w:t>ñí</w:t>
      </w:r>
      <w:r>
        <w:rPr>
          <w:spacing w:val="-6"/>
          <w:sz w:val="18"/>
          <w:szCs w:val="18"/>
          <w:lang w:val="es-ES_tradnl"/>
        </w:rPr>
        <w:t xml:space="preserve">a Licores </w:t>
      </w:r>
      <w:r>
        <w:rPr>
          <w:spacing w:val="-5"/>
          <w:sz w:val="18"/>
          <w:szCs w:val="18"/>
          <w:lang w:val="es-ES_tradnl"/>
        </w:rPr>
        <w:t>de Exportaci</w:t>
      </w:r>
      <w:r>
        <w:rPr>
          <w:rFonts w:cs="Times New Roman"/>
          <w:spacing w:val="-5"/>
          <w:sz w:val="18"/>
          <w:szCs w:val="18"/>
          <w:lang w:val="es-ES_tradnl"/>
        </w:rPr>
        <w:t>ó</w:t>
      </w:r>
      <w:r>
        <w:rPr>
          <w:spacing w:val="-5"/>
          <w:sz w:val="18"/>
          <w:szCs w:val="18"/>
          <w:lang w:val="es-ES_tradnl"/>
        </w:rPr>
        <w:t>n S. A. (LICORESA), inicia se</w:t>
      </w:r>
      <w:r>
        <w:rPr>
          <w:rFonts w:cs="Times New Roman"/>
          <w:spacing w:val="-5"/>
          <w:sz w:val="18"/>
          <w:szCs w:val="18"/>
          <w:lang w:val="es-ES_tradnl"/>
        </w:rPr>
        <w:t>ñ</w:t>
      </w:r>
      <w:r>
        <w:rPr>
          <w:spacing w:val="-5"/>
          <w:sz w:val="18"/>
          <w:szCs w:val="18"/>
          <w:lang w:val="es-ES_tradnl"/>
        </w:rPr>
        <w:t xml:space="preserve">alando que </w:t>
      </w:r>
      <w:r>
        <w:rPr>
          <w:spacing w:val="-7"/>
          <w:sz w:val="18"/>
          <w:szCs w:val="18"/>
          <w:lang w:val="es-ES_tradnl"/>
        </w:rPr>
        <w:t>dicha compa</w:t>
      </w:r>
      <w:r>
        <w:rPr>
          <w:rFonts w:cs="Times New Roman"/>
          <w:spacing w:val="-7"/>
          <w:sz w:val="18"/>
          <w:szCs w:val="18"/>
          <w:lang w:val="es-ES_tradnl"/>
        </w:rPr>
        <w:t>ñí</w:t>
      </w:r>
      <w:r>
        <w:rPr>
          <w:spacing w:val="-7"/>
          <w:sz w:val="18"/>
          <w:szCs w:val="18"/>
          <w:lang w:val="es-ES_tradnl"/>
        </w:rPr>
        <w:t>a propuso una acci</w:t>
      </w:r>
      <w:r>
        <w:rPr>
          <w:rFonts w:cs="Times New Roman"/>
          <w:spacing w:val="-7"/>
          <w:sz w:val="18"/>
          <w:szCs w:val="18"/>
          <w:lang w:val="es-ES_tradnl"/>
        </w:rPr>
        <w:t>ó</w:t>
      </w:r>
      <w:r>
        <w:rPr>
          <w:spacing w:val="-7"/>
          <w:sz w:val="18"/>
          <w:szCs w:val="18"/>
          <w:lang w:val="es-ES_tradnl"/>
        </w:rPr>
        <w:t xml:space="preserve">n contencioso tributaria </w:t>
      </w:r>
      <w:r>
        <w:rPr>
          <w:spacing w:val="-6"/>
          <w:sz w:val="18"/>
          <w:szCs w:val="18"/>
          <w:lang w:val="es-ES_tradnl"/>
        </w:rPr>
        <w:t xml:space="preserve">en contra del director general y del director regional norte </w:t>
      </w:r>
      <w:r>
        <w:rPr>
          <w:spacing w:val="-8"/>
          <w:sz w:val="18"/>
          <w:szCs w:val="18"/>
          <w:lang w:val="es-ES_tradnl"/>
        </w:rPr>
        <w:t xml:space="preserve">del Servicio de Rentas Internas, solicitando que se deje sin </w:t>
      </w:r>
      <w:r>
        <w:rPr>
          <w:spacing w:val="-6"/>
          <w:sz w:val="18"/>
          <w:szCs w:val="18"/>
          <w:lang w:val="es-ES_tradnl"/>
        </w:rPr>
        <w:t>efecto la Resoluci</w:t>
      </w:r>
      <w:r>
        <w:rPr>
          <w:rFonts w:cs="Times New Roman"/>
          <w:spacing w:val="-6"/>
          <w:sz w:val="18"/>
          <w:szCs w:val="18"/>
          <w:lang w:val="es-ES_tradnl"/>
        </w:rPr>
        <w:t>ó</w:t>
      </w:r>
      <w:r>
        <w:rPr>
          <w:spacing w:val="-6"/>
          <w:sz w:val="18"/>
          <w:szCs w:val="18"/>
          <w:lang w:val="es-ES_tradnl"/>
        </w:rPr>
        <w:t>n N.</w:t>
      </w:r>
      <w:r>
        <w:rPr>
          <w:rFonts w:cs="Times New Roman"/>
          <w:spacing w:val="-6"/>
          <w:sz w:val="18"/>
          <w:szCs w:val="18"/>
          <w:lang w:val="es-ES_tradnl"/>
        </w:rPr>
        <w:t>º</w:t>
      </w:r>
      <w:r>
        <w:rPr>
          <w:spacing w:val="-6"/>
          <w:sz w:val="18"/>
          <w:szCs w:val="18"/>
          <w:lang w:val="es-ES_tradnl"/>
        </w:rPr>
        <w:t xml:space="preserve"> 117012006RECC017249 del 11 </w:t>
      </w:r>
      <w:r>
        <w:rPr>
          <w:spacing w:val="-7"/>
          <w:sz w:val="18"/>
          <w:szCs w:val="18"/>
          <w:lang w:val="es-ES_tradnl"/>
        </w:rPr>
        <w:t>de julio de 2006, mediante la cual se neg</w:t>
      </w:r>
      <w:r>
        <w:rPr>
          <w:rFonts w:cs="Times New Roman"/>
          <w:spacing w:val="-7"/>
          <w:sz w:val="18"/>
          <w:szCs w:val="18"/>
          <w:lang w:val="es-ES_tradnl"/>
        </w:rPr>
        <w:t>ó</w:t>
      </w:r>
      <w:r>
        <w:rPr>
          <w:spacing w:val="-7"/>
          <w:sz w:val="18"/>
          <w:szCs w:val="18"/>
          <w:lang w:val="es-ES_tradnl"/>
        </w:rPr>
        <w:t xml:space="preserve"> la impugnaci</w:t>
      </w:r>
      <w:r>
        <w:rPr>
          <w:rFonts w:cs="Times New Roman"/>
          <w:spacing w:val="-7"/>
          <w:sz w:val="18"/>
          <w:szCs w:val="18"/>
          <w:lang w:val="es-ES_tradnl"/>
        </w:rPr>
        <w:t>ó</w:t>
      </w:r>
      <w:r>
        <w:rPr>
          <w:spacing w:val="-7"/>
          <w:sz w:val="18"/>
          <w:szCs w:val="18"/>
          <w:lang w:val="es-ES_tradnl"/>
        </w:rPr>
        <w:t xml:space="preserve">n </w:t>
      </w:r>
      <w:r>
        <w:rPr>
          <w:spacing w:val="-10"/>
          <w:sz w:val="18"/>
          <w:szCs w:val="18"/>
          <w:lang w:val="es-ES_tradnl"/>
        </w:rPr>
        <w:t>efectuada al acta de determinaci</w:t>
      </w:r>
      <w:r>
        <w:rPr>
          <w:rFonts w:cs="Times New Roman"/>
          <w:spacing w:val="-10"/>
          <w:sz w:val="18"/>
          <w:szCs w:val="18"/>
          <w:lang w:val="es-ES_tradnl"/>
        </w:rPr>
        <w:t>ó</w:t>
      </w:r>
      <w:r>
        <w:rPr>
          <w:spacing w:val="-10"/>
          <w:sz w:val="18"/>
          <w:szCs w:val="18"/>
          <w:lang w:val="es-ES_tradnl"/>
        </w:rPr>
        <w:t>n N.</w:t>
      </w:r>
      <w:r>
        <w:rPr>
          <w:rFonts w:cs="Times New Roman"/>
          <w:spacing w:val="-10"/>
          <w:sz w:val="18"/>
          <w:szCs w:val="18"/>
          <w:lang w:val="es-ES_tradnl"/>
        </w:rPr>
        <w:t>º</w:t>
      </w:r>
      <w:r>
        <w:rPr>
          <w:spacing w:val="-10"/>
          <w:sz w:val="18"/>
          <w:szCs w:val="18"/>
          <w:lang w:val="es-ES_tradnl"/>
        </w:rPr>
        <w:t xml:space="preserve"> 1720050200212 que contiene diferencias del impuesto a los consumos especiales </w:t>
      </w:r>
      <w:r>
        <w:rPr>
          <w:spacing w:val="-9"/>
          <w:sz w:val="18"/>
          <w:szCs w:val="18"/>
          <w:lang w:val="es-ES_tradnl"/>
        </w:rPr>
        <w:t xml:space="preserve">y del impuesto al valor agregado, por los meses de enero a </w:t>
      </w:r>
      <w:r>
        <w:rPr>
          <w:sz w:val="18"/>
          <w:szCs w:val="18"/>
          <w:lang w:val="es-ES_tradnl"/>
        </w:rPr>
        <w:t>septiembre del a</w:t>
      </w:r>
      <w:r>
        <w:rPr>
          <w:rFonts w:cs="Times New Roman"/>
          <w:sz w:val="18"/>
          <w:szCs w:val="18"/>
          <w:lang w:val="es-ES_tradnl"/>
        </w:rPr>
        <w:t>ñ</w:t>
      </w:r>
      <w:r>
        <w:rPr>
          <w:sz w:val="18"/>
          <w:szCs w:val="18"/>
          <w:lang w:val="es-ES_tradnl"/>
        </w:rPr>
        <w:t>o 2003.</w:t>
      </w:r>
    </w:p>
    <w:p w14:paraId="4F67B724" w14:textId="77777777" w:rsidR="00591D54" w:rsidRDefault="00591D54">
      <w:pPr>
        <w:shd w:val="clear" w:color="auto" w:fill="FFFFFF"/>
        <w:spacing w:before="192" w:line="216" w:lineRule="exact"/>
        <w:jc w:val="both"/>
      </w:pPr>
      <w:r>
        <w:rPr>
          <w:spacing w:val="-2"/>
          <w:sz w:val="18"/>
          <w:szCs w:val="18"/>
          <w:lang w:val="es-ES_tradnl"/>
        </w:rPr>
        <w:t xml:space="preserve">Luego de enunciar la normativa que regula la base </w:t>
      </w:r>
      <w:r>
        <w:rPr>
          <w:spacing w:val="-4"/>
          <w:sz w:val="18"/>
          <w:szCs w:val="18"/>
          <w:lang w:val="es-ES_tradnl"/>
        </w:rPr>
        <w:t>imponible de productos al ICE de producci</w:t>
      </w:r>
      <w:r>
        <w:rPr>
          <w:rFonts w:cs="Times New Roman"/>
          <w:spacing w:val="-4"/>
          <w:sz w:val="18"/>
          <w:szCs w:val="18"/>
          <w:lang w:val="es-ES_tradnl"/>
        </w:rPr>
        <w:t>ó</w:t>
      </w:r>
      <w:r>
        <w:rPr>
          <w:spacing w:val="-4"/>
          <w:sz w:val="18"/>
          <w:szCs w:val="18"/>
          <w:lang w:val="es-ES_tradnl"/>
        </w:rPr>
        <w:t xml:space="preserve">n nacional, </w:t>
      </w:r>
      <w:r>
        <w:rPr>
          <w:spacing w:val="-6"/>
          <w:sz w:val="18"/>
          <w:szCs w:val="18"/>
          <w:lang w:val="es-ES_tradnl"/>
        </w:rPr>
        <w:t>explica que la administraci</w:t>
      </w:r>
      <w:r>
        <w:rPr>
          <w:rFonts w:cs="Times New Roman"/>
          <w:spacing w:val="-6"/>
          <w:sz w:val="18"/>
          <w:szCs w:val="18"/>
          <w:lang w:val="es-ES_tradnl"/>
        </w:rPr>
        <w:t>ó</w:t>
      </w:r>
      <w:r>
        <w:rPr>
          <w:spacing w:val="-6"/>
          <w:sz w:val="18"/>
          <w:szCs w:val="18"/>
          <w:lang w:val="es-ES_tradnl"/>
        </w:rPr>
        <w:t xml:space="preserve">n y no el fabricante, es quien </w:t>
      </w:r>
      <w:r>
        <w:rPr>
          <w:spacing w:val="-7"/>
          <w:sz w:val="18"/>
          <w:szCs w:val="18"/>
          <w:lang w:val="es-ES_tradnl"/>
        </w:rPr>
        <w:t>debe fijar los precios referenciales de acuerdo a cada a</w:t>
      </w:r>
      <w:r>
        <w:rPr>
          <w:rFonts w:cs="Times New Roman"/>
          <w:spacing w:val="-7"/>
          <w:sz w:val="18"/>
          <w:szCs w:val="18"/>
          <w:lang w:val="es-ES_tradnl"/>
        </w:rPr>
        <w:t>ñ</w:t>
      </w:r>
      <w:r>
        <w:rPr>
          <w:spacing w:val="-7"/>
          <w:sz w:val="18"/>
          <w:szCs w:val="18"/>
          <w:lang w:val="es-ES_tradnl"/>
        </w:rPr>
        <w:t xml:space="preserve">o </w:t>
      </w:r>
      <w:r>
        <w:rPr>
          <w:spacing w:val="-9"/>
          <w:sz w:val="18"/>
          <w:szCs w:val="18"/>
          <w:lang w:val="es-ES_tradnl"/>
        </w:rPr>
        <w:t>fiscal, public</w:t>
      </w:r>
      <w:r>
        <w:rPr>
          <w:rFonts w:cs="Times New Roman"/>
          <w:spacing w:val="-9"/>
          <w:sz w:val="18"/>
          <w:szCs w:val="18"/>
          <w:lang w:val="es-ES_tradnl"/>
        </w:rPr>
        <w:t>á</w:t>
      </w:r>
      <w:r>
        <w:rPr>
          <w:spacing w:val="-9"/>
          <w:sz w:val="18"/>
          <w:szCs w:val="18"/>
          <w:lang w:val="es-ES_tradnl"/>
        </w:rPr>
        <w:t xml:space="preserve">ndolos en el Registro Oficial en cumplimiento </w:t>
      </w:r>
      <w:r>
        <w:rPr>
          <w:spacing w:val="-4"/>
          <w:sz w:val="18"/>
          <w:szCs w:val="18"/>
          <w:lang w:val="es-ES_tradnl"/>
        </w:rPr>
        <w:t>del art</w:t>
      </w:r>
      <w:r>
        <w:rPr>
          <w:rFonts w:cs="Times New Roman"/>
          <w:spacing w:val="-4"/>
          <w:sz w:val="18"/>
          <w:szCs w:val="18"/>
          <w:lang w:val="es-ES_tradnl"/>
        </w:rPr>
        <w:t>í</w:t>
      </w:r>
      <w:r>
        <w:rPr>
          <w:spacing w:val="-4"/>
          <w:sz w:val="18"/>
          <w:szCs w:val="18"/>
          <w:lang w:val="es-ES_tradnl"/>
        </w:rPr>
        <w:t>culo N.</w:t>
      </w:r>
      <w:r>
        <w:rPr>
          <w:rFonts w:cs="Times New Roman"/>
          <w:spacing w:val="-4"/>
          <w:sz w:val="18"/>
          <w:szCs w:val="18"/>
          <w:lang w:val="es-ES_tradnl"/>
        </w:rPr>
        <w:t>º</w:t>
      </w:r>
      <w:r>
        <w:rPr>
          <w:spacing w:val="-4"/>
          <w:sz w:val="18"/>
          <w:szCs w:val="18"/>
          <w:lang w:val="es-ES_tradnl"/>
        </w:rPr>
        <w:t xml:space="preserve"> 8 de la Ley de Creaci</w:t>
      </w:r>
      <w:r>
        <w:rPr>
          <w:rFonts w:cs="Times New Roman"/>
          <w:spacing w:val="-4"/>
          <w:sz w:val="18"/>
          <w:szCs w:val="18"/>
          <w:lang w:val="es-ES_tradnl"/>
        </w:rPr>
        <w:t>ó</w:t>
      </w:r>
      <w:r>
        <w:rPr>
          <w:spacing w:val="-4"/>
          <w:sz w:val="18"/>
          <w:szCs w:val="18"/>
          <w:lang w:val="es-ES_tradnl"/>
        </w:rPr>
        <w:t xml:space="preserve">n del Servicio de </w:t>
      </w:r>
      <w:r>
        <w:rPr>
          <w:spacing w:val="-8"/>
          <w:sz w:val="18"/>
          <w:szCs w:val="18"/>
          <w:lang w:val="es-ES_tradnl"/>
        </w:rPr>
        <w:t>Rentas Internas; as</w:t>
      </w:r>
      <w:r>
        <w:rPr>
          <w:rFonts w:cs="Times New Roman"/>
          <w:spacing w:val="-8"/>
          <w:sz w:val="18"/>
          <w:szCs w:val="18"/>
          <w:lang w:val="es-ES_tradnl"/>
        </w:rPr>
        <w:t>í</w:t>
      </w:r>
      <w:r>
        <w:rPr>
          <w:spacing w:val="-8"/>
          <w:sz w:val="18"/>
          <w:szCs w:val="18"/>
          <w:lang w:val="es-ES_tradnl"/>
        </w:rPr>
        <w:t xml:space="preserve">, explica que </w:t>
      </w:r>
      <w:r>
        <w:rPr>
          <w:rFonts w:cs="Times New Roman"/>
          <w:spacing w:val="-8"/>
          <w:sz w:val="18"/>
          <w:szCs w:val="18"/>
          <w:lang w:val="es-ES_tradnl"/>
        </w:rPr>
        <w:t>“</w:t>
      </w:r>
      <w:r>
        <w:rPr>
          <w:spacing w:val="-8"/>
          <w:sz w:val="18"/>
          <w:szCs w:val="18"/>
          <w:lang w:val="es-ES_tradnl"/>
        </w:rPr>
        <w:t>al omitir la administraci</w:t>
      </w:r>
      <w:r>
        <w:rPr>
          <w:rFonts w:cs="Times New Roman"/>
          <w:spacing w:val="-8"/>
          <w:sz w:val="18"/>
          <w:szCs w:val="18"/>
          <w:lang w:val="es-ES_tradnl"/>
        </w:rPr>
        <w:t>ó</w:t>
      </w:r>
      <w:r>
        <w:rPr>
          <w:spacing w:val="-8"/>
          <w:sz w:val="18"/>
          <w:szCs w:val="18"/>
          <w:lang w:val="es-ES_tradnl"/>
        </w:rPr>
        <w:t xml:space="preserve">n </w:t>
      </w:r>
      <w:r>
        <w:rPr>
          <w:spacing w:val="-7"/>
          <w:sz w:val="18"/>
          <w:szCs w:val="18"/>
          <w:lang w:val="es-ES_tradnl"/>
        </w:rPr>
        <w:t>la fijaci</w:t>
      </w:r>
      <w:r>
        <w:rPr>
          <w:rFonts w:cs="Times New Roman"/>
          <w:spacing w:val="-7"/>
          <w:sz w:val="18"/>
          <w:szCs w:val="18"/>
          <w:lang w:val="es-ES_tradnl"/>
        </w:rPr>
        <w:t>ó</w:t>
      </w:r>
      <w:r>
        <w:rPr>
          <w:spacing w:val="-7"/>
          <w:sz w:val="18"/>
          <w:szCs w:val="18"/>
          <w:lang w:val="es-ES_tradnl"/>
        </w:rPr>
        <w:t>n de precios referenciales en los a</w:t>
      </w:r>
      <w:r>
        <w:rPr>
          <w:rFonts w:cs="Times New Roman"/>
          <w:spacing w:val="-7"/>
          <w:sz w:val="18"/>
          <w:szCs w:val="18"/>
          <w:lang w:val="es-ES_tradnl"/>
        </w:rPr>
        <w:t>ñ</w:t>
      </w:r>
      <w:r>
        <w:rPr>
          <w:spacing w:val="-7"/>
          <w:sz w:val="18"/>
          <w:szCs w:val="18"/>
          <w:lang w:val="es-ES_tradnl"/>
        </w:rPr>
        <w:t xml:space="preserve">os 2001, 2002 y 2003 y publicarlos en el </w:t>
      </w:r>
      <w:r>
        <w:rPr>
          <w:rFonts w:cs="Times New Roman"/>
          <w:spacing w:val="-7"/>
          <w:sz w:val="18"/>
          <w:szCs w:val="18"/>
          <w:lang w:val="es-ES_tradnl"/>
        </w:rPr>
        <w:t>ó</w:t>
      </w:r>
      <w:r>
        <w:rPr>
          <w:spacing w:val="-7"/>
          <w:sz w:val="18"/>
          <w:szCs w:val="18"/>
          <w:lang w:val="es-ES_tradnl"/>
        </w:rPr>
        <w:t xml:space="preserve">rgano competente que es el </w:t>
      </w:r>
      <w:r>
        <w:rPr>
          <w:spacing w:val="-5"/>
          <w:sz w:val="18"/>
          <w:szCs w:val="18"/>
          <w:lang w:val="es-ES_tradnl"/>
        </w:rPr>
        <w:t>Registro Oficial conforme al mandato del art</w:t>
      </w:r>
      <w:r>
        <w:rPr>
          <w:rFonts w:cs="Times New Roman"/>
          <w:spacing w:val="-5"/>
          <w:sz w:val="18"/>
          <w:szCs w:val="18"/>
          <w:lang w:val="es-ES_tradnl"/>
        </w:rPr>
        <w:t>í</w:t>
      </w:r>
      <w:r>
        <w:rPr>
          <w:spacing w:val="-5"/>
          <w:sz w:val="18"/>
          <w:szCs w:val="18"/>
          <w:lang w:val="es-ES_tradnl"/>
        </w:rPr>
        <w:t xml:space="preserve">culo 82 del </w:t>
      </w:r>
      <w:r>
        <w:rPr>
          <w:spacing w:val="-4"/>
          <w:sz w:val="18"/>
          <w:szCs w:val="18"/>
          <w:lang w:val="es-ES_tradnl"/>
        </w:rPr>
        <w:t>Estatuto Jur</w:t>
      </w:r>
      <w:r>
        <w:rPr>
          <w:rFonts w:cs="Times New Roman"/>
          <w:spacing w:val="-4"/>
          <w:sz w:val="18"/>
          <w:szCs w:val="18"/>
          <w:lang w:val="es-ES_tradnl"/>
        </w:rPr>
        <w:t>í</w:t>
      </w:r>
      <w:r>
        <w:rPr>
          <w:spacing w:val="-4"/>
          <w:sz w:val="18"/>
          <w:szCs w:val="18"/>
          <w:lang w:val="es-ES_tradnl"/>
        </w:rPr>
        <w:t>dico Administrativo de la Funci</w:t>
      </w:r>
      <w:r>
        <w:rPr>
          <w:rFonts w:cs="Times New Roman"/>
          <w:spacing w:val="-4"/>
          <w:sz w:val="18"/>
          <w:szCs w:val="18"/>
          <w:lang w:val="es-ES_tradnl"/>
        </w:rPr>
        <w:t>ó</w:t>
      </w:r>
      <w:r>
        <w:rPr>
          <w:spacing w:val="-4"/>
          <w:sz w:val="18"/>
          <w:szCs w:val="18"/>
          <w:lang w:val="es-ES_tradnl"/>
        </w:rPr>
        <w:t>n Ejecutiva,</w:t>
      </w:r>
    </w:p>
    <w:p w14:paraId="4F67B725" w14:textId="77777777" w:rsidR="00591D54" w:rsidRDefault="00591D54">
      <w:pPr>
        <w:shd w:val="clear" w:color="auto" w:fill="FFFFFF"/>
        <w:spacing w:line="216" w:lineRule="exact"/>
        <w:ind w:right="10"/>
        <w:jc w:val="both"/>
      </w:pPr>
      <w:r>
        <w:br w:type="column"/>
      </w:r>
      <w:r>
        <w:rPr>
          <w:spacing w:val="-7"/>
          <w:sz w:val="18"/>
          <w:szCs w:val="18"/>
          <w:lang w:val="es-ES_tradnl"/>
        </w:rPr>
        <w:t>en aras de garantizar la seguridad, la certeza jur</w:t>
      </w:r>
      <w:r>
        <w:rPr>
          <w:rFonts w:cs="Times New Roman"/>
          <w:spacing w:val="-7"/>
          <w:sz w:val="18"/>
          <w:szCs w:val="18"/>
          <w:lang w:val="es-ES_tradnl"/>
        </w:rPr>
        <w:t>í</w:t>
      </w:r>
      <w:r>
        <w:rPr>
          <w:spacing w:val="-7"/>
          <w:sz w:val="18"/>
          <w:szCs w:val="18"/>
          <w:lang w:val="es-ES_tradnl"/>
        </w:rPr>
        <w:t xml:space="preserve">dica y </w:t>
      </w:r>
      <w:r>
        <w:rPr>
          <w:spacing w:val="-8"/>
          <w:sz w:val="18"/>
          <w:szCs w:val="18"/>
          <w:lang w:val="es-ES_tradnl"/>
        </w:rPr>
        <w:t>otorgarle plena validez legal y obligatoriedad, crea un vac</w:t>
      </w:r>
      <w:r>
        <w:rPr>
          <w:rFonts w:cs="Times New Roman"/>
          <w:spacing w:val="-8"/>
          <w:sz w:val="18"/>
          <w:szCs w:val="18"/>
          <w:lang w:val="es-ES_tradnl"/>
        </w:rPr>
        <w:t>í</w:t>
      </w:r>
      <w:r>
        <w:rPr>
          <w:spacing w:val="-8"/>
          <w:sz w:val="18"/>
          <w:szCs w:val="18"/>
          <w:lang w:val="es-ES_tradnl"/>
        </w:rPr>
        <w:t xml:space="preserve">o </w:t>
      </w:r>
      <w:r>
        <w:rPr>
          <w:spacing w:val="-9"/>
          <w:sz w:val="18"/>
          <w:szCs w:val="18"/>
          <w:lang w:val="es-ES_tradnl"/>
        </w:rPr>
        <w:t>que hace evidente que la resoluci</w:t>
      </w:r>
      <w:r>
        <w:rPr>
          <w:rFonts w:cs="Times New Roman"/>
          <w:spacing w:val="-9"/>
          <w:sz w:val="18"/>
          <w:szCs w:val="18"/>
          <w:lang w:val="es-ES_tradnl"/>
        </w:rPr>
        <w:t>ó</w:t>
      </w:r>
      <w:r>
        <w:rPr>
          <w:spacing w:val="-9"/>
          <w:sz w:val="18"/>
          <w:szCs w:val="18"/>
          <w:lang w:val="es-ES_tradnl"/>
        </w:rPr>
        <w:t>n N.</w:t>
      </w:r>
      <w:r>
        <w:rPr>
          <w:rFonts w:cs="Times New Roman"/>
          <w:spacing w:val="-9"/>
          <w:sz w:val="18"/>
          <w:szCs w:val="18"/>
          <w:lang w:val="es-ES_tradnl"/>
        </w:rPr>
        <w:t>º</w:t>
      </w:r>
      <w:r>
        <w:rPr>
          <w:spacing w:val="-9"/>
          <w:sz w:val="18"/>
          <w:szCs w:val="18"/>
          <w:lang w:val="es-ES_tradnl"/>
        </w:rPr>
        <w:t xml:space="preserve"> 018 de 9 de febrero </w:t>
      </w:r>
      <w:r>
        <w:rPr>
          <w:spacing w:val="-8"/>
          <w:sz w:val="18"/>
          <w:szCs w:val="18"/>
          <w:lang w:val="es-ES_tradnl"/>
        </w:rPr>
        <w:t>del 2000, la misma que establec</w:t>
      </w:r>
      <w:r>
        <w:rPr>
          <w:rFonts w:cs="Times New Roman"/>
          <w:spacing w:val="-8"/>
          <w:sz w:val="18"/>
          <w:szCs w:val="18"/>
          <w:lang w:val="es-ES_tradnl"/>
        </w:rPr>
        <w:t>í</w:t>
      </w:r>
      <w:r>
        <w:rPr>
          <w:spacing w:val="-8"/>
          <w:sz w:val="18"/>
          <w:szCs w:val="18"/>
          <w:lang w:val="es-ES_tradnl"/>
        </w:rPr>
        <w:t xml:space="preserve">a los precios referenciales </w:t>
      </w:r>
      <w:r>
        <w:rPr>
          <w:spacing w:val="-4"/>
          <w:sz w:val="18"/>
          <w:szCs w:val="18"/>
          <w:lang w:val="es-ES_tradnl"/>
        </w:rPr>
        <w:t>para liquidar el ICE por el ejercicio econ</w:t>
      </w:r>
      <w:r>
        <w:rPr>
          <w:rFonts w:cs="Times New Roman"/>
          <w:spacing w:val="-4"/>
          <w:sz w:val="18"/>
          <w:szCs w:val="18"/>
          <w:lang w:val="es-ES_tradnl"/>
        </w:rPr>
        <w:t>ó</w:t>
      </w:r>
      <w:r>
        <w:rPr>
          <w:spacing w:val="-4"/>
          <w:sz w:val="18"/>
          <w:szCs w:val="18"/>
          <w:lang w:val="es-ES_tradnl"/>
        </w:rPr>
        <w:t>mico del a</w:t>
      </w:r>
      <w:r>
        <w:rPr>
          <w:rFonts w:cs="Times New Roman"/>
          <w:spacing w:val="-4"/>
          <w:sz w:val="18"/>
          <w:szCs w:val="18"/>
          <w:lang w:val="es-ES_tradnl"/>
        </w:rPr>
        <w:t>ñ</w:t>
      </w:r>
      <w:r>
        <w:rPr>
          <w:spacing w:val="-4"/>
          <w:sz w:val="18"/>
          <w:szCs w:val="18"/>
          <w:lang w:val="es-ES_tradnl"/>
        </w:rPr>
        <w:t xml:space="preserve">o </w:t>
      </w:r>
      <w:r>
        <w:rPr>
          <w:spacing w:val="-7"/>
          <w:sz w:val="18"/>
          <w:szCs w:val="18"/>
          <w:lang w:val="es-ES_tradnl"/>
        </w:rPr>
        <w:t>2000, debi</w:t>
      </w:r>
      <w:r>
        <w:rPr>
          <w:rFonts w:cs="Times New Roman"/>
          <w:spacing w:val="-7"/>
          <w:sz w:val="18"/>
          <w:szCs w:val="18"/>
          <w:lang w:val="es-ES_tradnl"/>
        </w:rPr>
        <w:t>ó</w:t>
      </w:r>
      <w:r>
        <w:rPr>
          <w:spacing w:val="-7"/>
          <w:sz w:val="18"/>
          <w:szCs w:val="18"/>
          <w:lang w:val="es-ES_tradnl"/>
        </w:rPr>
        <w:t xml:space="preserve"> tambi</w:t>
      </w:r>
      <w:r>
        <w:rPr>
          <w:rFonts w:cs="Times New Roman"/>
          <w:spacing w:val="-7"/>
          <w:sz w:val="18"/>
          <w:szCs w:val="18"/>
          <w:lang w:val="es-ES_tradnl"/>
        </w:rPr>
        <w:t>é</w:t>
      </w:r>
      <w:r>
        <w:rPr>
          <w:spacing w:val="-7"/>
          <w:sz w:val="18"/>
          <w:szCs w:val="18"/>
          <w:lang w:val="es-ES_tradnl"/>
        </w:rPr>
        <w:t>n aplicarse en los siguientes</w:t>
      </w:r>
      <w:r>
        <w:rPr>
          <w:rFonts w:cs="Times New Roman"/>
          <w:spacing w:val="-7"/>
          <w:sz w:val="18"/>
          <w:szCs w:val="18"/>
          <w:lang w:val="es-ES_tradnl"/>
        </w:rPr>
        <w:t>”</w:t>
      </w:r>
      <w:r>
        <w:rPr>
          <w:spacing w:val="-7"/>
          <w:sz w:val="18"/>
          <w:szCs w:val="18"/>
          <w:lang w:val="es-ES_tradnl"/>
        </w:rPr>
        <w:t>.</w:t>
      </w:r>
    </w:p>
    <w:p w14:paraId="4F67B726" w14:textId="77777777" w:rsidR="00591D54" w:rsidRDefault="00591D54">
      <w:pPr>
        <w:shd w:val="clear" w:color="auto" w:fill="FFFFFF"/>
        <w:spacing w:before="197" w:line="216" w:lineRule="exact"/>
        <w:jc w:val="both"/>
      </w:pPr>
      <w:r>
        <w:rPr>
          <w:spacing w:val="-1"/>
          <w:sz w:val="18"/>
          <w:szCs w:val="18"/>
          <w:lang w:val="es-ES_tradnl"/>
        </w:rPr>
        <w:t xml:space="preserve">Manifiesta que el Servicio de Rentas Internas, </w:t>
      </w:r>
      <w:r>
        <w:rPr>
          <w:rFonts w:cs="Times New Roman"/>
          <w:spacing w:val="-1"/>
          <w:sz w:val="18"/>
          <w:szCs w:val="18"/>
          <w:lang w:val="es-ES_tradnl"/>
        </w:rPr>
        <w:t>“</w:t>
      </w:r>
      <w:r>
        <w:rPr>
          <w:spacing w:val="-1"/>
          <w:sz w:val="18"/>
          <w:szCs w:val="18"/>
          <w:lang w:val="es-ES_tradnl"/>
        </w:rPr>
        <w:t xml:space="preserve">al </w:t>
      </w:r>
      <w:r>
        <w:rPr>
          <w:spacing w:val="-3"/>
          <w:sz w:val="18"/>
          <w:szCs w:val="18"/>
          <w:lang w:val="es-ES_tradnl"/>
        </w:rPr>
        <w:t>establecer diferencias, no acudi</w:t>
      </w:r>
      <w:r>
        <w:rPr>
          <w:rFonts w:cs="Times New Roman"/>
          <w:spacing w:val="-3"/>
          <w:sz w:val="18"/>
          <w:szCs w:val="18"/>
          <w:lang w:val="es-ES_tradnl"/>
        </w:rPr>
        <w:t>ó</w:t>
      </w:r>
      <w:r>
        <w:rPr>
          <w:spacing w:val="-3"/>
          <w:sz w:val="18"/>
          <w:szCs w:val="18"/>
          <w:lang w:val="es-ES_tradnl"/>
        </w:rPr>
        <w:t xml:space="preserve"> a los precios de venta </w:t>
      </w:r>
      <w:r>
        <w:rPr>
          <w:spacing w:val="-6"/>
          <w:sz w:val="18"/>
          <w:szCs w:val="18"/>
          <w:lang w:val="es-ES_tradnl"/>
        </w:rPr>
        <w:t xml:space="preserve">fijados por autoridad competente y entraron a determinar </w:t>
      </w:r>
      <w:r>
        <w:rPr>
          <w:spacing w:val="-9"/>
          <w:sz w:val="18"/>
          <w:szCs w:val="18"/>
          <w:lang w:val="es-ES_tradnl"/>
        </w:rPr>
        <w:t xml:space="preserve">la base imponible del Impuesto a los Consumos Especiales </w:t>
      </w:r>
      <w:r>
        <w:rPr>
          <w:spacing w:val="-7"/>
          <w:sz w:val="18"/>
          <w:szCs w:val="18"/>
          <w:lang w:val="es-ES_tradnl"/>
        </w:rPr>
        <w:t>considerando lo establecido en el art</w:t>
      </w:r>
      <w:r>
        <w:rPr>
          <w:rFonts w:cs="Times New Roman"/>
          <w:spacing w:val="-7"/>
          <w:sz w:val="18"/>
          <w:szCs w:val="18"/>
          <w:lang w:val="es-ES_tradnl"/>
        </w:rPr>
        <w:t>í</w:t>
      </w:r>
      <w:r>
        <w:rPr>
          <w:spacing w:val="-7"/>
          <w:sz w:val="18"/>
          <w:szCs w:val="18"/>
          <w:lang w:val="es-ES_tradnl"/>
        </w:rPr>
        <w:t>culo 72 de la Ley de R</w:t>
      </w:r>
      <w:r>
        <w:rPr>
          <w:rFonts w:cs="Times New Roman"/>
          <w:spacing w:val="-7"/>
          <w:sz w:val="18"/>
          <w:szCs w:val="18"/>
          <w:lang w:val="es-ES_tradnl"/>
        </w:rPr>
        <w:t>é</w:t>
      </w:r>
      <w:r>
        <w:rPr>
          <w:spacing w:val="-7"/>
          <w:sz w:val="18"/>
          <w:szCs w:val="18"/>
          <w:lang w:val="es-ES_tradnl"/>
        </w:rPr>
        <w:t xml:space="preserve">gimen Tributario Interno, esto es, sumando al precio </w:t>
      </w:r>
      <w:r>
        <w:rPr>
          <w:i/>
          <w:iCs/>
          <w:spacing w:val="-7"/>
          <w:sz w:val="18"/>
          <w:szCs w:val="18"/>
          <w:lang w:val="es-ES_tradnl"/>
        </w:rPr>
        <w:t>ex f</w:t>
      </w:r>
      <w:r>
        <w:rPr>
          <w:rFonts w:cs="Times New Roman"/>
          <w:i/>
          <w:iCs/>
          <w:spacing w:val="-7"/>
          <w:sz w:val="18"/>
          <w:szCs w:val="18"/>
          <w:lang w:val="es-ES_tradnl"/>
        </w:rPr>
        <w:t>á</w:t>
      </w:r>
      <w:r>
        <w:rPr>
          <w:i/>
          <w:iCs/>
          <w:spacing w:val="-7"/>
          <w:sz w:val="18"/>
          <w:szCs w:val="18"/>
          <w:lang w:val="es-ES_tradnl"/>
        </w:rPr>
        <w:t xml:space="preserve">brica </w:t>
      </w:r>
      <w:r>
        <w:rPr>
          <w:spacing w:val="-7"/>
          <w:sz w:val="18"/>
          <w:szCs w:val="18"/>
          <w:lang w:val="es-ES_tradnl"/>
        </w:rPr>
        <w:t>los costos o m</w:t>
      </w:r>
      <w:r>
        <w:rPr>
          <w:rFonts w:cs="Times New Roman"/>
          <w:spacing w:val="-7"/>
          <w:sz w:val="18"/>
          <w:szCs w:val="18"/>
          <w:lang w:val="es-ES_tradnl"/>
        </w:rPr>
        <w:t>á</w:t>
      </w:r>
      <w:r>
        <w:rPr>
          <w:spacing w:val="-7"/>
          <w:sz w:val="18"/>
          <w:szCs w:val="18"/>
          <w:lang w:val="es-ES_tradnl"/>
        </w:rPr>
        <w:t>rgenes de comercializaci</w:t>
      </w:r>
      <w:r>
        <w:rPr>
          <w:rFonts w:cs="Times New Roman"/>
          <w:spacing w:val="-7"/>
          <w:sz w:val="18"/>
          <w:szCs w:val="18"/>
          <w:lang w:val="es-ES_tradnl"/>
        </w:rPr>
        <w:t>ó</w:t>
      </w:r>
      <w:r>
        <w:rPr>
          <w:spacing w:val="-7"/>
          <w:sz w:val="18"/>
          <w:szCs w:val="18"/>
          <w:lang w:val="es-ES_tradnl"/>
        </w:rPr>
        <w:t>n, que no puede ser menor al precio de venta al p</w:t>
      </w:r>
      <w:r>
        <w:rPr>
          <w:rFonts w:cs="Times New Roman"/>
          <w:spacing w:val="-7"/>
          <w:sz w:val="18"/>
          <w:szCs w:val="18"/>
          <w:lang w:val="es-ES_tradnl"/>
        </w:rPr>
        <w:t>ú</w:t>
      </w:r>
      <w:r>
        <w:rPr>
          <w:spacing w:val="-7"/>
          <w:sz w:val="18"/>
          <w:szCs w:val="18"/>
          <w:lang w:val="es-ES_tradnl"/>
        </w:rPr>
        <w:t xml:space="preserve">blico fijado por el </w:t>
      </w:r>
      <w:r>
        <w:rPr>
          <w:spacing w:val="-9"/>
          <w:sz w:val="18"/>
          <w:szCs w:val="18"/>
          <w:lang w:val="es-ES_tradnl"/>
        </w:rPr>
        <w:t xml:space="preserve">fabricante o por las autoridades competentes menos el I VA </w:t>
      </w:r>
      <w:r>
        <w:rPr>
          <w:spacing w:val="-11"/>
          <w:sz w:val="18"/>
          <w:szCs w:val="18"/>
          <w:lang w:val="es-ES_tradnl"/>
        </w:rPr>
        <w:t xml:space="preserve">y el ICE, o en todo caso una base que resulte de incrementar </w:t>
      </w:r>
      <w:r>
        <w:rPr>
          <w:spacing w:val="-9"/>
          <w:sz w:val="18"/>
          <w:szCs w:val="18"/>
          <w:lang w:val="es-ES_tradnl"/>
        </w:rPr>
        <w:t>al valor ex f</w:t>
      </w:r>
      <w:r>
        <w:rPr>
          <w:rFonts w:cs="Times New Roman"/>
          <w:spacing w:val="-9"/>
          <w:sz w:val="18"/>
          <w:szCs w:val="18"/>
          <w:lang w:val="es-ES_tradnl"/>
        </w:rPr>
        <w:t>á</w:t>
      </w:r>
      <w:r>
        <w:rPr>
          <w:spacing w:val="-9"/>
          <w:sz w:val="18"/>
          <w:szCs w:val="18"/>
          <w:lang w:val="es-ES_tradnl"/>
        </w:rPr>
        <w:t>brica un 25% de margen m</w:t>
      </w:r>
      <w:r>
        <w:rPr>
          <w:rFonts w:cs="Times New Roman"/>
          <w:spacing w:val="-9"/>
          <w:sz w:val="18"/>
          <w:szCs w:val="18"/>
          <w:lang w:val="es-ES_tradnl"/>
        </w:rPr>
        <w:t>í</w:t>
      </w:r>
      <w:r>
        <w:rPr>
          <w:spacing w:val="-9"/>
          <w:sz w:val="18"/>
          <w:szCs w:val="18"/>
          <w:lang w:val="es-ES_tradnl"/>
        </w:rPr>
        <w:t xml:space="preserve">nimo presuntivo de </w:t>
      </w:r>
      <w:r>
        <w:rPr>
          <w:sz w:val="18"/>
          <w:szCs w:val="18"/>
          <w:lang w:val="es-ES_tradnl"/>
        </w:rPr>
        <w:t>comercializaci</w:t>
      </w:r>
      <w:r>
        <w:rPr>
          <w:rFonts w:cs="Times New Roman"/>
          <w:sz w:val="18"/>
          <w:szCs w:val="18"/>
          <w:lang w:val="es-ES_tradnl"/>
        </w:rPr>
        <w:t>ó</w:t>
      </w:r>
      <w:r>
        <w:rPr>
          <w:sz w:val="18"/>
          <w:szCs w:val="18"/>
          <w:lang w:val="es-ES_tradnl"/>
        </w:rPr>
        <w:t>n</w:t>
      </w:r>
      <w:r>
        <w:rPr>
          <w:rFonts w:cs="Times New Roman"/>
          <w:sz w:val="18"/>
          <w:szCs w:val="18"/>
          <w:lang w:val="es-ES_tradnl"/>
        </w:rPr>
        <w:t>”</w:t>
      </w:r>
      <w:r>
        <w:rPr>
          <w:sz w:val="18"/>
          <w:szCs w:val="18"/>
          <w:lang w:val="es-ES_tradnl"/>
        </w:rPr>
        <w:t>.</w:t>
      </w:r>
    </w:p>
    <w:p w14:paraId="4F67B727" w14:textId="77777777" w:rsidR="00591D54" w:rsidRDefault="00591D54">
      <w:pPr>
        <w:shd w:val="clear" w:color="auto" w:fill="FFFFFF"/>
        <w:spacing w:before="197" w:line="216" w:lineRule="exact"/>
        <w:ind w:right="10"/>
        <w:jc w:val="both"/>
      </w:pPr>
      <w:r>
        <w:rPr>
          <w:spacing w:val="-7"/>
          <w:sz w:val="18"/>
          <w:szCs w:val="18"/>
          <w:lang w:val="es-ES_tradnl"/>
        </w:rPr>
        <w:t xml:space="preserve">Como consecuencia de aquello, afirma que el 4 de marzo </w:t>
      </w:r>
      <w:r>
        <w:rPr>
          <w:spacing w:val="-5"/>
          <w:sz w:val="18"/>
          <w:szCs w:val="18"/>
          <w:lang w:val="es-ES_tradnl"/>
        </w:rPr>
        <w:t xml:space="preserve">de 2010, la Cuarta Sala del Tribunal Distrital de lo Fiscal </w:t>
      </w:r>
      <w:r>
        <w:rPr>
          <w:spacing w:val="-7"/>
          <w:sz w:val="18"/>
          <w:szCs w:val="18"/>
          <w:lang w:val="es-ES_tradnl"/>
        </w:rPr>
        <w:t>N.</w:t>
      </w:r>
      <w:r>
        <w:rPr>
          <w:rFonts w:cs="Times New Roman"/>
          <w:spacing w:val="-7"/>
          <w:sz w:val="18"/>
          <w:szCs w:val="18"/>
          <w:lang w:val="es-ES_tradnl"/>
        </w:rPr>
        <w:t>º</w:t>
      </w:r>
      <w:r>
        <w:rPr>
          <w:spacing w:val="-7"/>
          <w:sz w:val="18"/>
          <w:szCs w:val="18"/>
          <w:lang w:val="es-ES_tradnl"/>
        </w:rPr>
        <w:t xml:space="preserve"> 1 resolvi</w:t>
      </w:r>
      <w:r>
        <w:rPr>
          <w:rFonts w:cs="Times New Roman"/>
          <w:spacing w:val="-7"/>
          <w:sz w:val="18"/>
          <w:szCs w:val="18"/>
          <w:lang w:val="es-ES_tradnl"/>
        </w:rPr>
        <w:t>ó</w:t>
      </w:r>
      <w:r>
        <w:rPr>
          <w:spacing w:val="-7"/>
          <w:sz w:val="18"/>
          <w:szCs w:val="18"/>
          <w:lang w:val="es-ES_tradnl"/>
        </w:rPr>
        <w:t xml:space="preserve">, </w:t>
      </w:r>
      <w:r>
        <w:rPr>
          <w:rFonts w:cs="Times New Roman"/>
          <w:spacing w:val="-7"/>
          <w:sz w:val="18"/>
          <w:szCs w:val="18"/>
          <w:lang w:val="es-ES_tradnl"/>
        </w:rPr>
        <w:t>“</w:t>
      </w:r>
      <w:r>
        <w:rPr>
          <w:spacing w:val="-7"/>
          <w:sz w:val="18"/>
          <w:szCs w:val="18"/>
          <w:lang w:val="es-ES_tradnl"/>
        </w:rPr>
        <w:t xml:space="preserve">aceptar la demanda contencioso tributaria </w:t>
      </w:r>
      <w:r>
        <w:rPr>
          <w:spacing w:val="-2"/>
          <w:sz w:val="18"/>
          <w:szCs w:val="18"/>
          <w:lang w:val="es-ES_tradnl"/>
        </w:rPr>
        <w:t>formulada por Germ</w:t>
      </w:r>
      <w:r>
        <w:rPr>
          <w:rFonts w:cs="Times New Roman"/>
          <w:spacing w:val="-2"/>
          <w:sz w:val="18"/>
          <w:szCs w:val="18"/>
          <w:lang w:val="es-ES_tradnl"/>
        </w:rPr>
        <w:t>á</w:t>
      </w:r>
      <w:r>
        <w:rPr>
          <w:spacing w:val="-2"/>
          <w:sz w:val="18"/>
          <w:szCs w:val="18"/>
          <w:lang w:val="es-ES_tradnl"/>
        </w:rPr>
        <w:t xml:space="preserve">n Emilio Lara Yela, en su calidad </w:t>
      </w:r>
      <w:r>
        <w:rPr>
          <w:spacing w:val="-6"/>
          <w:sz w:val="18"/>
          <w:szCs w:val="18"/>
          <w:lang w:val="es-ES_tradnl"/>
        </w:rPr>
        <w:t xml:space="preserve">de Gerente Administrativo y como tal representante legal </w:t>
      </w:r>
      <w:r>
        <w:rPr>
          <w:spacing w:val="-4"/>
          <w:sz w:val="18"/>
          <w:szCs w:val="18"/>
          <w:lang w:val="es-ES_tradnl"/>
        </w:rPr>
        <w:t>de Licores de Exportaci</w:t>
      </w:r>
      <w:r>
        <w:rPr>
          <w:rFonts w:cs="Times New Roman"/>
          <w:spacing w:val="-4"/>
          <w:sz w:val="18"/>
          <w:szCs w:val="18"/>
          <w:lang w:val="es-ES_tradnl"/>
        </w:rPr>
        <w:t>ó</w:t>
      </w:r>
      <w:r>
        <w:rPr>
          <w:spacing w:val="-4"/>
          <w:sz w:val="18"/>
          <w:szCs w:val="18"/>
          <w:lang w:val="es-ES_tradnl"/>
        </w:rPr>
        <w:t xml:space="preserve">n S.A. (Licoresa) en contra del </w:t>
      </w:r>
      <w:r>
        <w:rPr>
          <w:spacing w:val="-5"/>
          <w:sz w:val="18"/>
          <w:szCs w:val="18"/>
          <w:lang w:val="es-ES_tradnl"/>
        </w:rPr>
        <w:t xml:space="preserve">Director General Norte del Servicio de Rentas Internas. </w:t>
      </w:r>
      <w:r>
        <w:rPr>
          <w:spacing w:val="-6"/>
          <w:sz w:val="18"/>
          <w:szCs w:val="18"/>
          <w:lang w:val="es-ES_tradnl"/>
        </w:rPr>
        <w:t xml:space="preserve">Dejar sin efecto el acto administrativo impugnado, esto es </w:t>
      </w:r>
      <w:r>
        <w:rPr>
          <w:spacing w:val="-7"/>
          <w:sz w:val="18"/>
          <w:szCs w:val="18"/>
          <w:lang w:val="es-ES_tradnl"/>
        </w:rPr>
        <w:t>la resoluci</w:t>
      </w:r>
      <w:r>
        <w:rPr>
          <w:rFonts w:cs="Times New Roman"/>
          <w:spacing w:val="-7"/>
          <w:sz w:val="18"/>
          <w:szCs w:val="18"/>
          <w:lang w:val="es-ES_tradnl"/>
        </w:rPr>
        <w:t>ó</w:t>
      </w:r>
      <w:r>
        <w:rPr>
          <w:spacing w:val="-7"/>
          <w:sz w:val="18"/>
          <w:szCs w:val="18"/>
          <w:lang w:val="es-ES_tradnl"/>
        </w:rPr>
        <w:t>n N.</w:t>
      </w:r>
      <w:r>
        <w:rPr>
          <w:rFonts w:cs="Times New Roman"/>
          <w:spacing w:val="-7"/>
          <w:sz w:val="18"/>
          <w:szCs w:val="18"/>
          <w:lang w:val="es-ES_tradnl"/>
        </w:rPr>
        <w:t>°</w:t>
      </w:r>
      <w:r>
        <w:rPr>
          <w:spacing w:val="-7"/>
          <w:sz w:val="18"/>
          <w:szCs w:val="18"/>
          <w:lang w:val="es-ES_tradnl"/>
        </w:rPr>
        <w:t xml:space="preserve"> 1170012006RREC017249, de 11 de julio </w:t>
      </w:r>
      <w:r>
        <w:rPr>
          <w:spacing w:val="-10"/>
          <w:sz w:val="18"/>
          <w:szCs w:val="18"/>
          <w:lang w:val="es-ES_tradnl"/>
        </w:rPr>
        <w:t>de 2006 y por ende la liquidaci</w:t>
      </w:r>
      <w:r>
        <w:rPr>
          <w:rFonts w:cs="Times New Roman"/>
          <w:spacing w:val="-10"/>
          <w:sz w:val="18"/>
          <w:szCs w:val="18"/>
          <w:lang w:val="es-ES_tradnl"/>
        </w:rPr>
        <w:t>ó</w:t>
      </w:r>
      <w:r>
        <w:rPr>
          <w:spacing w:val="-10"/>
          <w:sz w:val="18"/>
          <w:szCs w:val="18"/>
          <w:lang w:val="es-ES_tradnl"/>
        </w:rPr>
        <w:t xml:space="preserve">n de pago por diferencias en </w:t>
      </w:r>
      <w:r>
        <w:rPr>
          <w:spacing w:val="-7"/>
          <w:sz w:val="18"/>
          <w:szCs w:val="18"/>
          <w:lang w:val="es-ES_tradnl"/>
        </w:rPr>
        <w:t>la declaraci</w:t>
      </w:r>
      <w:r>
        <w:rPr>
          <w:rFonts w:cs="Times New Roman"/>
          <w:spacing w:val="-7"/>
          <w:sz w:val="18"/>
          <w:szCs w:val="18"/>
          <w:lang w:val="es-ES_tradnl"/>
        </w:rPr>
        <w:t>ó</w:t>
      </w:r>
      <w:r>
        <w:rPr>
          <w:spacing w:val="-7"/>
          <w:sz w:val="18"/>
          <w:szCs w:val="18"/>
          <w:lang w:val="es-ES_tradnl"/>
        </w:rPr>
        <w:t>n N.</w:t>
      </w:r>
      <w:r>
        <w:rPr>
          <w:rFonts w:cs="Times New Roman"/>
          <w:spacing w:val="-7"/>
          <w:sz w:val="18"/>
          <w:szCs w:val="18"/>
          <w:lang w:val="es-ES_tradnl"/>
        </w:rPr>
        <w:t>º</w:t>
      </w:r>
      <w:r>
        <w:rPr>
          <w:spacing w:val="-7"/>
          <w:sz w:val="18"/>
          <w:szCs w:val="18"/>
          <w:lang w:val="es-ES_tradnl"/>
        </w:rPr>
        <w:t xml:space="preserve"> 1720050200212 de 28 de diciembre del </w:t>
      </w:r>
      <w:r>
        <w:rPr>
          <w:spacing w:val="-11"/>
          <w:sz w:val="18"/>
          <w:szCs w:val="18"/>
          <w:lang w:val="es-ES_tradnl"/>
        </w:rPr>
        <w:t xml:space="preserve">2005, que establece diferencias del impuesto a los consumos </w:t>
      </w:r>
      <w:r>
        <w:rPr>
          <w:spacing w:val="-9"/>
          <w:sz w:val="18"/>
          <w:szCs w:val="18"/>
          <w:lang w:val="es-ES_tradnl"/>
        </w:rPr>
        <w:t xml:space="preserve">especiales ICE; y, dentro impuesto al valor agregado IVA, a </w:t>
      </w:r>
      <w:r>
        <w:rPr>
          <w:spacing w:val="-8"/>
          <w:sz w:val="18"/>
          <w:szCs w:val="18"/>
          <w:lang w:val="es-ES_tradnl"/>
        </w:rPr>
        <w:t>cargo de la empresa LICORESA por el per</w:t>
      </w:r>
      <w:r>
        <w:rPr>
          <w:rFonts w:cs="Times New Roman"/>
          <w:spacing w:val="-8"/>
          <w:sz w:val="18"/>
          <w:szCs w:val="18"/>
          <w:lang w:val="es-ES_tradnl"/>
        </w:rPr>
        <w:t>í</w:t>
      </w:r>
      <w:r>
        <w:rPr>
          <w:spacing w:val="-8"/>
          <w:sz w:val="18"/>
          <w:szCs w:val="18"/>
          <w:lang w:val="es-ES_tradnl"/>
        </w:rPr>
        <w:t xml:space="preserve">odo de Enero a </w:t>
      </w:r>
      <w:r>
        <w:rPr>
          <w:sz w:val="18"/>
          <w:szCs w:val="18"/>
          <w:lang w:val="es-ES_tradnl"/>
        </w:rPr>
        <w:t>Septiembre del a</w:t>
      </w:r>
      <w:r>
        <w:rPr>
          <w:rFonts w:cs="Times New Roman"/>
          <w:sz w:val="18"/>
          <w:szCs w:val="18"/>
          <w:lang w:val="es-ES_tradnl"/>
        </w:rPr>
        <w:t>ñ</w:t>
      </w:r>
      <w:r>
        <w:rPr>
          <w:sz w:val="18"/>
          <w:szCs w:val="18"/>
          <w:lang w:val="es-ES_tradnl"/>
        </w:rPr>
        <w:t>o 2003</w:t>
      </w:r>
      <w:r>
        <w:rPr>
          <w:rFonts w:cs="Times New Roman"/>
          <w:sz w:val="18"/>
          <w:szCs w:val="18"/>
          <w:lang w:val="es-ES_tradnl"/>
        </w:rPr>
        <w:t>”</w:t>
      </w:r>
      <w:r>
        <w:rPr>
          <w:sz w:val="18"/>
          <w:szCs w:val="18"/>
          <w:lang w:val="es-ES_tradnl"/>
        </w:rPr>
        <w:t>.</w:t>
      </w:r>
    </w:p>
    <w:p w14:paraId="4F67B728" w14:textId="77777777" w:rsidR="00591D54" w:rsidRDefault="00591D54">
      <w:pPr>
        <w:shd w:val="clear" w:color="auto" w:fill="FFFFFF"/>
        <w:spacing w:before="197" w:line="216" w:lineRule="exact"/>
        <w:ind w:right="10"/>
        <w:jc w:val="both"/>
      </w:pPr>
      <w:r>
        <w:rPr>
          <w:spacing w:val="-8"/>
          <w:sz w:val="18"/>
          <w:szCs w:val="18"/>
          <w:lang w:val="es-ES_tradnl"/>
        </w:rPr>
        <w:t>Luego, en virtud del recurso de casaci</w:t>
      </w:r>
      <w:r>
        <w:rPr>
          <w:rFonts w:cs="Times New Roman"/>
          <w:spacing w:val="-8"/>
          <w:sz w:val="18"/>
          <w:szCs w:val="18"/>
          <w:lang w:val="es-ES_tradnl"/>
        </w:rPr>
        <w:t>ó</w:t>
      </w:r>
      <w:r>
        <w:rPr>
          <w:spacing w:val="-8"/>
          <w:sz w:val="18"/>
          <w:szCs w:val="18"/>
          <w:lang w:val="es-ES_tradnl"/>
        </w:rPr>
        <w:t xml:space="preserve">n presentado por la </w:t>
      </w:r>
      <w:r>
        <w:rPr>
          <w:spacing w:val="-5"/>
          <w:sz w:val="18"/>
          <w:szCs w:val="18"/>
          <w:lang w:val="es-ES_tradnl"/>
        </w:rPr>
        <w:t>administraci</w:t>
      </w:r>
      <w:r>
        <w:rPr>
          <w:rFonts w:cs="Times New Roman"/>
          <w:spacing w:val="-5"/>
          <w:sz w:val="18"/>
          <w:szCs w:val="18"/>
          <w:lang w:val="es-ES_tradnl"/>
        </w:rPr>
        <w:t>ó</w:t>
      </w:r>
      <w:r>
        <w:rPr>
          <w:spacing w:val="-5"/>
          <w:sz w:val="18"/>
          <w:szCs w:val="18"/>
          <w:lang w:val="es-ES_tradnl"/>
        </w:rPr>
        <w:t xml:space="preserve">n tributaria en contra de dicha sentencia, la </w:t>
      </w:r>
      <w:r>
        <w:rPr>
          <w:spacing w:val="-7"/>
          <w:sz w:val="18"/>
          <w:szCs w:val="18"/>
          <w:lang w:val="es-ES_tradnl"/>
        </w:rPr>
        <w:t xml:space="preserve">Sala de lo Contencioso Tributario de la Corte Nacional de </w:t>
      </w:r>
      <w:r>
        <w:rPr>
          <w:spacing w:val="-4"/>
          <w:sz w:val="18"/>
          <w:szCs w:val="18"/>
          <w:lang w:val="es-ES_tradnl"/>
        </w:rPr>
        <w:t>Justicia (voto de mayor</w:t>
      </w:r>
      <w:r>
        <w:rPr>
          <w:rFonts w:cs="Times New Roman"/>
          <w:spacing w:val="-4"/>
          <w:sz w:val="18"/>
          <w:szCs w:val="18"/>
          <w:lang w:val="es-ES_tradnl"/>
        </w:rPr>
        <w:t>í</w:t>
      </w:r>
      <w:r>
        <w:rPr>
          <w:spacing w:val="-4"/>
          <w:sz w:val="18"/>
          <w:szCs w:val="18"/>
          <w:lang w:val="es-ES_tradnl"/>
        </w:rPr>
        <w:t>a) resolvi</w:t>
      </w:r>
      <w:r>
        <w:rPr>
          <w:rFonts w:cs="Times New Roman"/>
          <w:spacing w:val="-4"/>
          <w:sz w:val="18"/>
          <w:szCs w:val="18"/>
          <w:lang w:val="es-ES_tradnl"/>
        </w:rPr>
        <w:t>ó</w:t>
      </w:r>
      <w:r>
        <w:rPr>
          <w:spacing w:val="-4"/>
          <w:sz w:val="18"/>
          <w:szCs w:val="18"/>
          <w:lang w:val="es-ES_tradnl"/>
        </w:rPr>
        <w:t xml:space="preserve"> aceptar dicho recurso </w:t>
      </w:r>
      <w:r>
        <w:rPr>
          <w:spacing w:val="-5"/>
          <w:sz w:val="18"/>
          <w:szCs w:val="18"/>
          <w:lang w:val="es-ES_tradnl"/>
        </w:rPr>
        <w:t xml:space="preserve">y dispuso </w:t>
      </w:r>
      <w:r>
        <w:rPr>
          <w:rFonts w:cs="Times New Roman"/>
          <w:spacing w:val="-5"/>
          <w:sz w:val="18"/>
          <w:szCs w:val="18"/>
          <w:lang w:val="es-ES_tradnl"/>
        </w:rPr>
        <w:t>“</w:t>
      </w:r>
      <w:r>
        <w:rPr>
          <w:spacing w:val="-5"/>
          <w:sz w:val="18"/>
          <w:szCs w:val="18"/>
          <w:lang w:val="es-ES_tradnl"/>
        </w:rPr>
        <w:t>la reliquidaci</w:t>
      </w:r>
      <w:r>
        <w:rPr>
          <w:rFonts w:cs="Times New Roman"/>
          <w:spacing w:val="-5"/>
          <w:sz w:val="18"/>
          <w:szCs w:val="18"/>
          <w:lang w:val="es-ES_tradnl"/>
        </w:rPr>
        <w:t>ó</w:t>
      </w:r>
      <w:r>
        <w:rPr>
          <w:spacing w:val="-5"/>
          <w:sz w:val="18"/>
          <w:szCs w:val="18"/>
          <w:lang w:val="es-ES_tradnl"/>
        </w:rPr>
        <w:t xml:space="preserve">n de obligaciones tributarias en </w:t>
      </w:r>
      <w:r>
        <w:rPr>
          <w:spacing w:val="-6"/>
          <w:sz w:val="18"/>
          <w:szCs w:val="18"/>
          <w:lang w:val="es-ES_tradnl"/>
        </w:rPr>
        <w:t>base al precio de venta al p</w:t>
      </w:r>
      <w:r>
        <w:rPr>
          <w:rFonts w:cs="Times New Roman"/>
          <w:spacing w:val="-6"/>
          <w:sz w:val="18"/>
          <w:szCs w:val="18"/>
          <w:lang w:val="es-ES_tradnl"/>
        </w:rPr>
        <w:t>ú</w:t>
      </w:r>
      <w:r>
        <w:rPr>
          <w:spacing w:val="-6"/>
          <w:sz w:val="18"/>
          <w:szCs w:val="18"/>
          <w:lang w:val="es-ES_tradnl"/>
        </w:rPr>
        <w:t xml:space="preserve">blico fijado por el fabricante, </w:t>
      </w:r>
      <w:r>
        <w:rPr>
          <w:spacing w:val="-5"/>
          <w:sz w:val="18"/>
          <w:szCs w:val="18"/>
          <w:lang w:val="es-ES_tradnl"/>
        </w:rPr>
        <w:t>conforme lo prev</w:t>
      </w:r>
      <w:r>
        <w:rPr>
          <w:rFonts w:cs="Times New Roman"/>
          <w:spacing w:val="-5"/>
          <w:sz w:val="18"/>
          <w:szCs w:val="18"/>
          <w:lang w:val="es-ES_tradnl"/>
        </w:rPr>
        <w:t>é</w:t>
      </w:r>
      <w:r>
        <w:rPr>
          <w:spacing w:val="-5"/>
          <w:sz w:val="18"/>
          <w:szCs w:val="18"/>
          <w:lang w:val="es-ES_tradnl"/>
        </w:rPr>
        <w:t xml:space="preserve"> el art</w:t>
      </w:r>
      <w:r>
        <w:rPr>
          <w:rFonts w:cs="Times New Roman"/>
          <w:spacing w:val="-5"/>
          <w:sz w:val="18"/>
          <w:szCs w:val="18"/>
          <w:lang w:val="es-ES_tradnl"/>
        </w:rPr>
        <w:t>í</w:t>
      </w:r>
      <w:r>
        <w:rPr>
          <w:spacing w:val="-5"/>
          <w:sz w:val="18"/>
          <w:szCs w:val="18"/>
          <w:lang w:val="es-ES_tradnl"/>
        </w:rPr>
        <w:t>culo 72 de la Ley de R</w:t>
      </w:r>
      <w:r>
        <w:rPr>
          <w:rFonts w:cs="Times New Roman"/>
          <w:spacing w:val="-5"/>
          <w:sz w:val="18"/>
          <w:szCs w:val="18"/>
          <w:lang w:val="es-ES_tradnl"/>
        </w:rPr>
        <w:t>é</w:t>
      </w:r>
      <w:r>
        <w:rPr>
          <w:spacing w:val="-5"/>
          <w:sz w:val="18"/>
          <w:szCs w:val="18"/>
          <w:lang w:val="es-ES_tradnl"/>
        </w:rPr>
        <w:t xml:space="preserve">gimen </w:t>
      </w:r>
      <w:r>
        <w:rPr>
          <w:spacing w:val="-7"/>
          <w:sz w:val="18"/>
          <w:szCs w:val="18"/>
          <w:lang w:val="es-ES_tradnl"/>
        </w:rPr>
        <w:t>Tributario Interno aplicable al ejercicio fiscal en discusi</w:t>
      </w:r>
      <w:r>
        <w:rPr>
          <w:rFonts w:cs="Times New Roman"/>
          <w:spacing w:val="-7"/>
          <w:sz w:val="18"/>
          <w:szCs w:val="18"/>
          <w:lang w:val="es-ES_tradnl"/>
        </w:rPr>
        <w:t>ó</w:t>
      </w:r>
      <w:r>
        <w:rPr>
          <w:spacing w:val="-7"/>
          <w:sz w:val="18"/>
          <w:szCs w:val="18"/>
          <w:lang w:val="es-ES_tradnl"/>
        </w:rPr>
        <w:t>n</w:t>
      </w:r>
      <w:r>
        <w:rPr>
          <w:rFonts w:cs="Times New Roman"/>
          <w:spacing w:val="-7"/>
          <w:sz w:val="18"/>
          <w:szCs w:val="18"/>
          <w:lang w:val="es-ES_tradnl"/>
        </w:rPr>
        <w:t>”</w:t>
      </w:r>
      <w:r>
        <w:rPr>
          <w:spacing w:val="-7"/>
          <w:sz w:val="18"/>
          <w:szCs w:val="18"/>
          <w:lang w:val="es-ES_tradnl"/>
        </w:rPr>
        <w:t>. Entonces, a partir de esta decisi</w:t>
      </w:r>
      <w:r>
        <w:rPr>
          <w:rFonts w:cs="Times New Roman"/>
          <w:spacing w:val="-7"/>
          <w:sz w:val="18"/>
          <w:szCs w:val="18"/>
          <w:lang w:val="es-ES_tradnl"/>
        </w:rPr>
        <w:t>ó</w:t>
      </w:r>
      <w:r>
        <w:rPr>
          <w:spacing w:val="-7"/>
          <w:sz w:val="18"/>
          <w:szCs w:val="18"/>
          <w:lang w:val="es-ES_tradnl"/>
        </w:rPr>
        <w:t>n judicial, expresa el accionante que aquella vulner</w:t>
      </w:r>
      <w:r>
        <w:rPr>
          <w:rFonts w:cs="Times New Roman"/>
          <w:spacing w:val="-7"/>
          <w:sz w:val="18"/>
          <w:szCs w:val="18"/>
          <w:lang w:val="es-ES_tradnl"/>
        </w:rPr>
        <w:t>ó</w:t>
      </w:r>
      <w:r>
        <w:rPr>
          <w:spacing w:val="-7"/>
          <w:sz w:val="18"/>
          <w:szCs w:val="18"/>
          <w:lang w:val="es-ES_tradnl"/>
        </w:rPr>
        <w:t xml:space="preserve"> el derecho a la seguridad </w:t>
      </w:r>
      <w:r>
        <w:rPr>
          <w:spacing w:val="-4"/>
          <w:sz w:val="18"/>
          <w:szCs w:val="18"/>
          <w:lang w:val="es-ES_tradnl"/>
        </w:rPr>
        <w:t>jur</w:t>
      </w:r>
      <w:r>
        <w:rPr>
          <w:rFonts w:cs="Times New Roman"/>
          <w:spacing w:val="-4"/>
          <w:sz w:val="18"/>
          <w:szCs w:val="18"/>
          <w:lang w:val="es-ES_tradnl"/>
        </w:rPr>
        <w:t>í</w:t>
      </w:r>
      <w:r>
        <w:rPr>
          <w:spacing w:val="-4"/>
          <w:sz w:val="18"/>
          <w:szCs w:val="18"/>
          <w:lang w:val="es-ES_tradnl"/>
        </w:rPr>
        <w:t>dica por cuanto, el art</w:t>
      </w:r>
      <w:r>
        <w:rPr>
          <w:rFonts w:cs="Times New Roman"/>
          <w:spacing w:val="-4"/>
          <w:sz w:val="18"/>
          <w:szCs w:val="18"/>
          <w:lang w:val="es-ES_tradnl"/>
        </w:rPr>
        <w:t>í</w:t>
      </w:r>
      <w:r>
        <w:rPr>
          <w:spacing w:val="-4"/>
          <w:sz w:val="18"/>
          <w:szCs w:val="18"/>
          <w:lang w:val="es-ES_tradnl"/>
        </w:rPr>
        <w:t>culo 64 del C</w:t>
      </w:r>
      <w:r>
        <w:rPr>
          <w:rFonts w:cs="Times New Roman"/>
          <w:spacing w:val="-4"/>
          <w:sz w:val="18"/>
          <w:szCs w:val="18"/>
          <w:lang w:val="es-ES_tradnl"/>
        </w:rPr>
        <w:t>ó</w:t>
      </w:r>
      <w:r>
        <w:rPr>
          <w:spacing w:val="-4"/>
          <w:sz w:val="18"/>
          <w:szCs w:val="18"/>
          <w:lang w:val="es-ES_tradnl"/>
        </w:rPr>
        <w:t xml:space="preserve">digo Tributario </w:t>
      </w:r>
      <w:r>
        <w:rPr>
          <w:spacing w:val="-3"/>
          <w:sz w:val="18"/>
          <w:szCs w:val="18"/>
          <w:lang w:val="es-ES_tradnl"/>
        </w:rPr>
        <w:t>establece que la administraci</w:t>
      </w:r>
      <w:r>
        <w:rPr>
          <w:rFonts w:cs="Times New Roman"/>
          <w:spacing w:val="-3"/>
          <w:sz w:val="18"/>
          <w:szCs w:val="18"/>
          <w:lang w:val="es-ES_tradnl"/>
        </w:rPr>
        <w:t>ó</w:t>
      </w:r>
      <w:r>
        <w:rPr>
          <w:spacing w:val="-3"/>
          <w:sz w:val="18"/>
          <w:szCs w:val="18"/>
          <w:lang w:val="es-ES_tradnl"/>
        </w:rPr>
        <w:t xml:space="preserve">n tributaria en el nivel </w:t>
      </w:r>
      <w:r>
        <w:rPr>
          <w:spacing w:val="-9"/>
          <w:sz w:val="18"/>
          <w:szCs w:val="18"/>
          <w:lang w:val="es-ES_tradnl"/>
        </w:rPr>
        <w:t>nacional, corresponde al Presidente de la Rep</w:t>
      </w:r>
      <w:r>
        <w:rPr>
          <w:rFonts w:cs="Times New Roman"/>
          <w:spacing w:val="-9"/>
          <w:sz w:val="18"/>
          <w:szCs w:val="18"/>
          <w:lang w:val="es-ES_tradnl"/>
        </w:rPr>
        <w:t>ú</w:t>
      </w:r>
      <w:r>
        <w:rPr>
          <w:spacing w:val="-9"/>
          <w:sz w:val="18"/>
          <w:szCs w:val="18"/>
          <w:lang w:val="es-ES_tradnl"/>
        </w:rPr>
        <w:t xml:space="preserve">blica, </w:t>
      </w:r>
      <w:r>
        <w:rPr>
          <w:rFonts w:cs="Times New Roman"/>
          <w:spacing w:val="-9"/>
          <w:sz w:val="18"/>
          <w:szCs w:val="18"/>
          <w:lang w:val="es-ES_tradnl"/>
        </w:rPr>
        <w:t>“</w:t>
      </w:r>
      <w:r>
        <w:rPr>
          <w:spacing w:val="-9"/>
          <w:sz w:val="18"/>
          <w:szCs w:val="18"/>
          <w:lang w:val="es-ES_tradnl"/>
        </w:rPr>
        <w:t>quien conforme a lo previsto en el numeral 5 del art</w:t>
      </w:r>
      <w:r>
        <w:rPr>
          <w:rFonts w:cs="Times New Roman"/>
          <w:spacing w:val="-9"/>
          <w:sz w:val="18"/>
          <w:szCs w:val="18"/>
          <w:lang w:val="es-ES_tradnl"/>
        </w:rPr>
        <w:t>í</w:t>
      </w:r>
      <w:r>
        <w:rPr>
          <w:spacing w:val="-9"/>
          <w:sz w:val="18"/>
          <w:szCs w:val="18"/>
          <w:lang w:val="es-ES_tradnl"/>
        </w:rPr>
        <w:t xml:space="preserve">culo 171 de la </w:t>
      </w:r>
      <w:r>
        <w:rPr>
          <w:spacing w:val="-7"/>
          <w:sz w:val="18"/>
          <w:szCs w:val="18"/>
          <w:lang w:val="es-ES_tradnl"/>
        </w:rPr>
        <w:t>Constituci</w:t>
      </w:r>
      <w:r>
        <w:rPr>
          <w:rFonts w:cs="Times New Roman"/>
          <w:spacing w:val="-7"/>
          <w:sz w:val="18"/>
          <w:szCs w:val="18"/>
          <w:lang w:val="es-ES_tradnl"/>
        </w:rPr>
        <w:t>ó</w:t>
      </w:r>
      <w:r>
        <w:rPr>
          <w:spacing w:val="-7"/>
          <w:sz w:val="18"/>
          <w:szCs w:val="18"/>
          <w:lang w:val="es-ES_tradnl"/>
        </w:rPr>
        <w:t>n vigente a la fecha del acta de determinaci</w:t>
      </w:r>
      <w:r>
        <w:rPr>
          <w:rFonts w:cs="Times New Roman"/>
          <w:spacing w:val="-7"/>
          <w:sz w:val="18"/>
          <w:szCs w:val="18"/>
          <w:lang w:val="es-ES_tradnl"/>
        </w:rPr>
        <w:t>ó</w:t>
      </w:r>
      <w:r>
        <w:rPr>
          <w:spacing w:val="-7"/>
          <w:sz w:val="18"/>
          <w:szCs w:val="18"/>
          <w:lang w:val="es-ES_tradnl"/>
        </w:rPr>
        <w:t xml:space="preserve">n, </w:t>
      </w:r>
      <w:r>
        <w:rPr>
          <w:spacing w:val="-8"/>
          <w:sz w:val="18"/>
          <w:szCs w:val="18"/>
          <w:lang w:val="es-ES_tradnl"/>
        </w:rPr>
        <w:t xml:space="preserve">estaba facultado para expedir los reglamentos necesarios </w:t>
      </w:r>
      <w:r>
        <w:rPr>
          <w:spacing w:val="-3"/>
          <w:sz w:val="18"/>
          <w:szCs w:val="18"/>
          <w:lang w:val="es-ES_tradnl"/>
        </w:rPr>
        <w:t>para la aplicaci</w:t>
      </w:r>
      <w:r>
        <w:rPr>
          <w:rFonts w:cs="Times New Roman"/>
          <w:spacing w:val="-3"/>
          <w:sz w:val="18"/>
          <w:szCs w:val="18"/>
          <w:lang w:val="es-ES_tradnl"/>
        </w:rPr>
        <w:t>ó</w:t>
      </w:r>
      <w:r>
        <w:rPr>
          <w:spacing w:val="-3"/>
          <w:sz w:val="18"/>
          <w:szCs w:val="18"/>
          <w:lang w:val="es-ES_tradnl"/>
        </w:rPr>
        <w:t xml:space="preserve">n de las leyes, sin contravenirlas ni </w:t>
      </w:r>
      <w:r>
        <w:rPr>
          <w:sz w:val="18"/>
          <w:szCs w:val="18"/>
          <w:lang w:val="es-ES_tradnl"/>
        </w:rPr>
        <w:t>alterarlas</w:t>
      </w:r>
      <w:r>
        <w:rPr>
          <w:rFonts w:cs="Times New Roman"/>
          <w:sz w:val="18"/>
          <w:szCs w:val="18"/>
          <w:lang w:val="es-ES_tradnl"/>
        </w:rPr>
        <w:t>”</w:t>
      </w:r>
      <w:r>
        <w:rPr>
          <w:sz w:val="18"/>
          <w:szCs w:val="18"/>
          <w:lang w:val="es-ES_tradnl"/>
        </w:rPr>
        <w:t>.</w:t>
      </w:r>
    </w:p>
    <w:p w14:paraId="4F67B729" w14:textId="77777777" w:rsidR="00591D54" w:rsidRDefault="00591D54">
      <w:pPr>
        <w:shd w:val="clear" w:color="auto" w:fill="FFFFFF"/>
        <w:spacing w:before="192" w:line="216" w:lineRule="exact"/>
        <w:ind w:right="10"/>
        <w:jc w:val="both"/>
      </w:pPr>
      <w:r>
        <w:rPr>
          <w:sz w:val="18"/>
          <w:szCs w:val="18"/>
          <w:lang w:val="es-ES_tradnl"/>
        </w:rPr>
        <w:t>Explica que el Decreto Ejecutivo N.</w:t>
      </w:r>
      <w:r>
        <w:rPr>
          <w:rFonts w:cs="Times New Roman"/>
          <w:sz w:val="18"/>
          <w:szCs w:val="18"/>
          <w:lang w:val="es-ES_tradnl"/>
        </w:rPr>
        <w:t>º</w:t>
      </w:r>
      <w:r>
        <w:rPr>
          <w:sz w:val="18"/>
          <w:szCs w:val="18"/>
          <w:lang w:val="es-ES_tradnl"/>
        </w:rPr>
        <w:t xml:space="preserve"> 1258 expedido </w:t>
      </w:r>
      <w:r>
        <w:rPr>
          <w:spacing w:val="-6"/>
          <w:sz w:val="18"/>
          <w:szCs w:val="18"/>
          <w:lang w:val="es-ES_tradnl"/>
        </w:rPr>
        <w:t>por el presidente de la Rep</w:t>
      </w:r>
      <w:r>
        <w:rPr>
          <w:rFonts w:cs="Times New Roman"/>
          <w:spacing w:val="-6"/>
          <w:sz w:val="18"/>
          <w:szCs w:val="18"/>
          <w:lang w:val="es-ES_tradnl"/>
        </w:rPr>
        <w:t>ú</w:t>
      </w:r>
      <w:r>
        <w:rPr>
          <w:spacing w:val="-6"/>
          <w:sz w:val="18"/>
          <w:szCs w:val="18"/>
          <w:lang w:val="es-ES_tradnl"/>
        </w:rPr>
        <w:t xml:space="preserve">blica, el 13 de diciembre de </w:t>
      </w:r>
      <w:r>
        <w:rPr>
          <w:spacing w:val="-7"/>
          <w:sz w:val="18"/>
          <w:szCs w:val="18"/>
          <w:lang w:val="es-ES_tradnl"/>
        </w:rPr>
        <w:t>2003, estableci</w:t>
      </w:r>
      <w:r>
        <w:rPr>
          <w:rFonts w:cs="Times New Roman"/>
          <w:spacing w:val="-7"/>
          <w:sz w:val="18"/>
          <w:szCs w:val="18"/>
          <w:lang w:val="es-ES_tradnl"/>
        </w:rPr>
        <w:t>ó</w:t>
      </w:r>
      <w:r>
        <w:rPr>
          <w:spacing w:val="-7"/>
          <w:sz w:val="18"/>
          <w:szCs w:val="18"/>
          <w:lang w:val="es-ES_tradnl"/>
        </w:rPr>
        <w:t xml:space="preserve"> las normas reglamentarias de aplicaci</w:t>
      </w:r>
      <w:r>
        <w:rPr>
          <w:rFonts w:cs="Times New Roman"/>
          <w:spacing w:val="-7"/>
          <w:sz w:val="18"/>
          <w:szCs w:val="18"/>
          <w:lang w:val="es-ES_tradnl"/>
        </w:rPr>
        <w:t>ó</w:t>
      </w:r>
      <w:r>
        <w:rPr>
          <w:spacing w:val="-7"/>
          <w:sz w:val="18"/>
          <w:szCs w:val="18"/>
          <w:lang w:val="es-ES_tradnl"/>
        </w:rPr>
        <w:t xml:space="preserve">n </w:t>
      </w:r>
      <w:r>
        <w:rPr>
          <w:spacing w:val="-4"/>
          <w:sz w:val="18"/>
          <w:szCs w:val="18"/>
          <w:lang w:val="es-ES_tradnl"/>
        </w:rPr>
        <w:t>del primer inciso del art</w:t>
      </w:r>
      <w:r>
        <w:rPr>
          <w:rFonts w:cs="Times New Roman"/>
          <w:spacing w:val="-4"/>
          <w:sz w:val="18"/>
          <w:szCs w:val="18"/>
          <w:lang w:val="es-ES_tradnl"/>
        </w:rPr>
        <w:t>í</w:t>
      </w:r>
      <w:r>
        <w:rPr>
          <w:spacing w:val="-4"/>
          <w:sz w:val="18"/>
          <w:szCs w:val="18"/>
          <w:lang w:val="es-ES_tradnl"/>
        </w:rPr>
        <w:t xml:space="preserve">culo 72 (actual 76) de la Ley de </w:t>
      </w:r>
      <w:r>
        <w:rPr>
          <w:spacing w:val="-8"/>
          <w:sz w:val="18"/>
          <w:szCs w:val="18"/>
          <w:lang w:val="es-ES_tradnl"/>
        </w:rPr>
        <w:t>R</w:t>
      </w:r>
      <w:r>
        <w:rPr>
          <w:rFonts w:cs="Times New Roman"/>
          <w:spacing w:val="-8"/>
          <w:sz w:val="18"/>
          <w:szCs w:val="18"/>
          <w:lang w:val="es-ES_tradnl"/>
        </w:rPr>
        <w:t>é</w:t>
      </w:r>
      <w:r>
        <w:rPr>
          <w:spacing w:val="-8"/>
          <w:sz w:val="18"/>
          <w:szCs w:val="18"/>
          <w:lang w:val="es-ES_tradnl"/>
        </w:rPr>
        <w:t>gimen Tributario Interno para el c</w:t>
      </w:r>
      <w:r>
        <w:rPr>
          <w:rFonts w:cs="Times New Roman"/>
          <w:spacing w:val="-8"/>
          <w:sz w:val="18"/>
          <w:szCs w:val="18"/>
          <w:lang w:val="es-ES_tradnl"/>
        </w:rPr>
        <w:t>á</w:t>
      </w:r>
      <w:r>
        <w:rPr>
          <w:spacing w:val="-8"/>
          <w:sz w:val="18"/>
          <w:szCs w:val="18"/>
          <w:lang w:val="es-ES_tradnl"/>
        </w:rPr>
        <w:t xml:space="preserve">lculo del ICE, durante </w:t>
      </w:r>
      <w:r>
        <w:rPr>
          <w:spacing w:val="-6"/>
          <w:sz w:val="18"/>
          <w:szCs w:val="18"/>
          <w:lang w:val="es-ES_tradnl"/>
        </w:rPr>
        <w:t>el ejercicio del a</w:t>
      </w:r>
      <w:r>
        <w:rPr>
          <w:rFonts w:cs="Times New Roman"/>
          <w:spacing w:val="-6"/>
          <w:sz w:val="18"/>
          <w:szCs w:val="18"/>
          <w:lang w:val="es-ES_tradnl"/>
        </w:rPr>
        <w:t>ñ</w:t>
      </w:r>
      <w:r>
        <w:rPr>
          <w:spacing w:val="-6"/>
          <w:sz w:val="18"/>
          <w:szCs w:val="18"/>
          <w:lang w:val="es-ES_tradnl"/>
        </w:rPr>
        <w:t xml:space="preserve">o 2004 y que al haber sido expedido el </w:t>
      </w:r>
      <w:r>
        <w:rPr>
          <w:spacing w:val="-8"/>
          <w:sz w:val="18"/>
          <w:szCs w:val="18"/>
          <w:lang w:val="es-ES_tradnl"/>
        </w:rPr>
        <w:t>decreto ejecutivo con anterioridad a la fecha de la orden de determinaci</w:t>
      </w:r>
      <w:r>
        <w:rPr>
          <w:rFonts w:cs="Times New Roman"/>
          <w:spacing w:val="-8"/>
          <w:sz w:val="18"/>
          <w:szCs w:val="18"/>
          <w:lang w:val="es-ES_tradnl"/>
        </w:rPr>
        <w:t>ó</w:t>
      </w:r>
      <w:r>
        <w:rPr>
          <w:spacing w:val="-8"/>
          <w:sz w:val="18"/>
          <w:szCs w:val="18"/>
          <w:lang w:val="es-ES_tradnl"/>
        </w:rPr>
        <w:t>n, la administraci</w:t>
      </w:r>
      <w:r>
        <w:rPr>
          <w:rFonts w:cs="Times New Roman"/>
          <w:spacing w:val="-8"/>
          <w:sz w:val="18"/>
          <w:szCs w:val="18"/>
          <w:lang w:val="es-ES_tradnl"/>
        </w:rPr>
        <w:t>ó</w:t>
      </w:r>
      <w:r>
        <w:rPr>
          <w:spacing w:val="-8"/>
          <w:sz w:val="18"/>
          <w:szCs w:val="18"/>
          <w:lang w:val="es-ES_tradnl"/>
        </w:rPr>
        <w:t xml:space="preserve">n tributaria </w:t>
      </w:r>
      <w:r>
        <w:rPr>
          <w:rFonts w:cs="Times New Roman"/>
          <w:spacing w:val="-8"/>
          <w:sz w:val="18"/>
          <w:szCs w:val="18"/>
          <w:lang w:val="es-ES_tradnl"/>
        </w:rPr>
        <w:t>“</w:t>
      </w:r>
      <w:r>
        <w:rPr>
          <w:spacing w:val="-8"/>
          <w:sz w:val="18"/>
          <w:szCs w:val="18"/>
          <w:lang w:val="es-ES_tradnl"/>
        </w:rPr>
        <w:t>estaba obligada</w:t>
      </w:r>
    </w:p>
    <w:p w14:paraId="4F67B72A" w14:textId="77777777" w:rsidR="00591D54" w:rsidRDefault="00591D54">
      <w:pPr>
        <w:shd w:val="clear" w:color="auto" w:fill="FFFFFF"/>
        <w:spacing w:before="192" w:line="216" w:lineRule="exact"/>
        <w:ind w:right="10"/>
        <w:jc w:val="both"/>
        <w:sectPr w:rsidR="00591D54">
          <w:type w:val="continuous"/>
          <w:pgSz w:w="11909" w:h="16834"/>
          <w:pgMar w:top="1366" w:right="1299" w:bottom="360" w:left="1308" w:header="720" w:footer="720" w:gutter="0"/>
          <w:cols w:num="2" w:space="720" w:equalWidth="0">
            <w:col w:w="4305" w:space="682"/>
            <w:col w:w="4315"/>
          </w:cols>
          <w:noEndnote/>
        </w:sectPr>
      </w:pPr>
    </w:p>
    <w:p w14:paraId="4F67B72B" w14:textId="77777777" w:rsidR="00591D54" w:rsidRDefault="00591D54">
      <w:pPr>
        <w:shd w:val="clear" w:color="auto" w:fill="FFFFFF"/>
        <w:tabs>
          <w:tab w:val="left" w:pos="5842"/>
        </w:tabs>
        <w:spacing w:after="226"/>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- 239</w:t>
      </w:r>
    </w:p>
    <w:p w14:paraId="4F67B72C" w14:textId="77777777" w:rsidR="00591D54" w:rsidRDefault="00591D54">
      <w:pPr>
        <w:shd w:val="clear" w:color="auto" w:fill="FFFFFF"/>
        <w:tabs>
          <w:tab w:val="left" w:pos="5842"/>
        </w:tabs>
        <w:spacing w:after="226"/>
        <w:ind w:left="5"/>
        <w:sectPr w:rsidR="00591D54">
          <w:pgSz w:w="11909" w:h="16834"/>
          <w:pgMar w:top="1368" w:right="1309" w:bottom="360" w:left="1308" w:header="720" w:footer="720" w:gutter="0"/>
          <w:cols w:space="60"/>
          <w:noEndnote/>
        </w:sectPr>
      </w:pPr>
    </w:p>
    <w:p w14:paraId="4F67B72D" w14:textId="77777777" w:rsidR="00591D54" w:rsidRDefault="00591D54">
      <w:pPr>
        <w:shd w:val="clear" w:color="auto" w:fill="FFFFFF"/>
        <w:spacing w:before="10" w:line="221" w:lineRule="exact"/>
        <w:jc w:val="both"/>
      </w:pPr>
      <w:r>
        <w:rPr>
          <w:spacing w:val="-6"/>
          <w:sz w:val="18"/>
          <w:szCs w:val="18"/>
          <w:lang w:val="es-ES_tradnl"/>
        </w:rPr>
        <w:t xml:space="preserve">a determinar la base imponible tomando en cuenta los </w:t>
      </w:r>
      <w:r>
        <w:rPr>
          <w:spacing w:val="-2"/>
          <w:sz w:val="18"/>
          <w:szCs w:val="18"/>
          <w:lang w:val="es-ES_tradnl"/>
        </w:rPr>
        <w:t>valores referenciales de los productos alcoh</w:t>
      </w:r>
      <w:r>
        <w:rPr>
          <w:rFonts w:cs="Times New Roman"/>
          <w:spacing w:val="-2"/>
          <w:sz w:val="18"/>
          <w:szCs w:val="18"/>
          <w:lang w:val="es-ES_tradnl"/>
        </w:rPr>
        <w:t>ó</w:t>
      </w:r>
      <w:r>
        <w:rPr>
          <w:spacing w:val="-2"/>
          <w:sz w:val="18"/>
          <w:szCs w:val="18"/>
          <w:lang w:val="es-ES_tradnl"/>
        </w:rPr>
        <w:t xml:space="preserve">licos </w:t>
      </w:r>
      <w:r>
        <w:rPr>
          <w:spacing w:val="-5"/>
          <w:sz w:val="18"/>
          <w:szCs w:val="18"/>
          <w:lang w:val="es-ES_tradnl"/>
        </w:rPr>
        <w:t xml:space="preserve">establecidos en el reglamento contenido en el Decreto </w:t>
      </w:r>
      <w:r>
        <w:rPr>
          <w:spacing w:val="-4"/>
          <w:sz w:val="18"/>
          <w:szCs w:val="18"/>
          <w:lang w:val="es-ES_tradnl"/>
        </w:rPr>
        <w:t>Ejecutivo N.</w:t>
      </w:r>
      <w:r>
        <w:rPr>
          <w:rFonts w:cs="Times New Roman"/>
          <w:spacing w:val="-4"/>
          <w:sz w:val="18"/>
          <w:szCs w:val="18"/>
          <w:lang w:val="es-ES_tradnl"/>
        </w:rPr>
        <w:t>º</w:t>
      </w:r>
      <w:r>
        <w:rPr>
          <w:spacing w:val="-4"/>
          <w:sz w:val="18"/>
          <w:szCs w:val="18"/>
          <w:lang w:val="es-ES_tradnl"/>
        </w:rPr>
        <w:t xml:space="preserve"> 1258-A para garantizar de mejor forma los </w:t>
      </w:r>
      <w:r>
        <w:rPr>
          <w:spacing w:val="-5"/>
          <w:sz w:val="18"/>
          <w:szCs w:val="18"/>
          <w:lang w:val="es-ES_tradnl"/>
        </w:rPr>
        <w:t xml:space="preserve">enunciados de igualdad, generalidad y justicia impositiva </w:t>
      </w:r>
      <w:r>
        <w:rPr>
          <w:spacing w:val="-6"/>
          <w:sz w:val="18"/>
          <w:szCs w:val="18"/>
          <w:lang w:val="es-ES_tradnl"/>
        </w:rPr>
        <w:t>y generar ingresos ciertos y oportunos en la caja fiscal</w:t>
      </w:r>
      <w:r>
        <w:rPr>
          <w:rFonts w:cs="Times New Roman"/>
          <w:spacing w:val="-6"/>
          <w:sz w:val="18"/>
          <w:szCs w:val="18"/>
          <w:lang w:val="es-ES_tradnl"/>
        </w:rPr>
        <w:t>”</w:t>
      </w:r>
      <w:r>
        <w:rPr>
          <w:spacing w:val="-6"/>
          <w:sz w:val="18"/>
          <w:szCs w:val="18"/>
          <w:lang w:val="es-ES_tradnl"/>
        </w:rPr>
        <w:t>.</w:t>
      </w:r>
    </w:p>
    <w:p w14:paraId="4F67B72E" w14:textId="77777777" w:rsidR="00591D54" w:rsidRDefault="00591D54">
      <w:pPr>
        <w:shd w:val="clear" w:color="auto" w:fill="FFFFFF"/>
        <w:spacing w:before="206" w:line="221" w:lineRule="exact"/>
        <w:jc w:val="both"/>
      </w:pPr>
      <w:r>
        <w:rPr>
          <w:spacing w:val="-6"/>
          <w:sz w:val="18"/>
          <w:szCs w:val="18"/>
          <w:lang w:val="es-ES_tradnl"/>
        </w:rPr>
        <w:t>As</w:t>
      </w:r>
      <w:r>
        <w:rPr>
          <w:rFonts w:cs="Times New Roman"/>
          <w:spacing w:val="-6"/>
          <w:sz w:val="18"/>
          <w:szCs w:val="18"/>
          <w:lang w:val="es-ES_tradnl"/>
        </w:rPr>
        <w:t>í</w:t>
      </w:r>
      <w:r>
        <w:rPr>
          <w:spacing w:val="-6"/>
          <w:sz w:val="18"/>
          <w:szCs w:val="18"/>
          <w:lang w:val="es-ES_tradnl"/>
        </w:rPr>
        <w:t>, el accionante se</w:t>
      </w:r>
      <w:r>
        <w:rPr>
          <w:rFonts w:cs="Times New Roman"/>
          <w:spacing w:val="-6"/>
          <w:sz w:val="18"/>
          <w:szCs w:val="18"/>
          <w:lang w:val="es-ES_tradnl"/>
        </w:rPr>
        <w:t>ñ</w:t>
      </w:r>
      <w:r>
        <w:rPr>
          <w:spacing w:val="-6"/>
          <w:sz w:val="18"/>
          <w:szCs w:val="18"/>
          <w:lang w:val="es-ES_tradnl"/>
        </w:rPr>
        <w:t xml:space="preserve">ala lo siguiente: </w:t>
      </w:r>
      <w:r>
        <w:rPr>
          <w:rFonts w:cs="Times New Roman"/>
          <w:spacing w:val="-6"/>
          <w:sz w:val="18"/>
          <w:szCs w:val="18"/>
          <w:lang w:val="es-ES_tradnl"/>
        </w:rPr>
        <w:t>“</w:t>
      </w:r>
      <w:r>
        <w:rPr>
          <w:spacing w:val="-6"/>
          <w:sz w:val="18"/>
          <w:szCs w:val="18"/>
          <w:lang w:val="es-ES_tradnl"/>
        </w:rPr>
        <w:t>Si bien para el a</w:t>
      </w:r>
      <w:r>
        <w:rPr>
          <w:rFonts w:cs="Times New Roman"/>
          <w:spacing w:val="-6"/>
          <w:sz w:val="18"/>
          <w:szCs w:val="18"/>
          <w:lang w:val="es-ES_tradnl"/>
        </w:rPr>
        <w:t>ñ</w:t>
      </w:r>
      <w:r>
        <w:rPr>
          <w:spacing w:val="-6"/>
          <w:sz w:val="18"/>
          <w:szCs w:val="18"/>
          <w:lang w:val="es-ES_tradnl"/>
        </w:rPr>
        <w:t xml:space="preserve">o </w:t>
      </w:r>
      <w:r>
        <w:rPr>
          <w:spacing w:val="-4"/>
          <w:sz w:val="18"/>
          <w:szCs w:val="18"/>
          <w:lang w:val="es-ES_tradnl"/>
        </w:rPr>
        <w:t>2003 la administraci</w:t>
      </w:r>
      <w:r>
        <w:rPr>
          <w:rFonts w:cs="Times New Roman"/>
          <w:spacing w:val="-4"/>
          <w:sz w:val="18"/>
          <w:szCs w:val="18"/>
          <w:lang w:val="es-ES_tradnl"/>
        </w:rPr>
        <w:t>ó</w:t>
      </w:r>
      <w:r>
        <w:rPr>
          <w:spacing w:val="-4"/>
          <w:sz w:val="18"/>
          <w:szCs w:val="18"/>
          <w:lang w:val="es-ES_tradnl"/>
        </w:rPr>
        <w:t>n tributaria no expidi</w:t>
      </w:r>
      <w:r>
        <w:rPr>
          <w:rFonts w:cs="Times New Roman"/>
          <w:spacing w:val="-4"/>
          <w:sz w:val="18"/>
          <w:szCs w:val="18"/>
          <w:lang w:val="es-ES_tradnl"/>
        </w:rPr>
        <w:t>ó</w:t>
      </w:r>
      <w:r>
        <w:rPr>
          <w:spacing w:val="-4"/>
          <w:sz w:val="18"/>
          <w:szCs w:val="18"/>
          <w:lang w:val="es-ES_tradnl"/>
        </w:rPr>
        <w:t xml:space="preserve"> la resoluci</w:t>
      </w:r>
      <w:r>
        <w:rPr>
          <w:rFonts w:cs="Times New Roman"/>
          <w:spacing w:val="-4"/>
          <w:sz w:val="18"/>
          <w:szCs w:val="18"/>
          <w:lang w:val="es-ES_tradnl"/>
        </w:rPr>
        <w:t>ó</w:t>
      </w:r>
      <w:r>
        <w:rPr>
          <w:spacing w:val="-4"/>
          <w:sz w:val="18"/>
          <w:szCs w:val="18"/>
          <w:lang w:val="es-ES_tradnl"/>
        </w:rPr>
        <w:t xml:space="preserve">n </w:t>
      </w:r>
      <w:r>
        <w:rPr>
          <w:spacing w:val="-5"/>
          <w:sz w:val="18"/>
          <w:szCs w:val="18"/>
          <w:lang w:val="es-ES_tradnl"/>
        </w:rPr>
        <w:t>en la que se haya realizado el c</w:t>
      </w:r>
      <w:r>
        <w:rPr>
          <w:rFonts w:cs="Times New Roman"/>
          <w:spacing w:val="-5"/>
          <w:sz w:val="18"/>
          <w:szCs w:val="18"/>
          <w:lang w:val="es-ES_tradnl"/>
        </w:rPr>
        <w:t>á</w:t>
      </w:r>
      <w:r>
        <w:rPr>
          <w:spacing w:val="-5"/>
          <w:sz w:val="18"/>
          <w:szCs w:val="18"/>
          <w:lang w:val="es-ES_tradnl"/>
        </w:rPr>
        <w:t>lculo matem</w:t>
      </w:r>
      <w:r>
        <w:rPr>
          <w:rFonts w:cs="Times New Roman"/>
          <w:spacing w:val="-5"/>
          <w:sz w:val="18"/>
          <w:szCs w:val="18"/>
          <w:lang w:val="es-ES_tradnl"/>
        </w:rPr>
        <w:t>á</w:t>
      </w:r>
      <w:r>
        <w:rPr>
          <w:spacing w:val="-5"/>
          <w:sz w:val="18"/>
          <w:szCs w:val="18"/>
          <w:lang w:val="es-ES_tradnl"/>
        </w:rPr>
        <w:t xml:space="preserve">tico de la </w:t>
      </w:r>
      <w:r>
        <w:rPr>
          <w:spacing w:val="-6"/>
          <w:sz w:val="18"/>
          <w:szCs w:val="18"/>
          <w:lang w:val="es-ES_tradnl"/>
        </w:rPr>
        <w:t>base imponible para las bebidas alcoh</w:t>
      </w:r>
      <w:r>
        <w:rPr>
          <w:rFonts w:cs="Times New Roman"/>
          <w:spacing w:val="-6"/>
          <w:sz w:val="18"/>
          <w:szCs w:val="18"/>
          <w:lang w:val="es-ES_tradnl"/>
        </w:rPr>
        <w:t>ó</w:t>
      </w:r>
      <w:r>
        <w:rPr>
          <w:spacing w:val="-6"/>
          <w:sz w:val="18"/>
          <w:szCs w:val="18"/>
          <w:lang w:val="es-ES_tradnl"/>
        </w:rPr>
        <w:t xml:space="preserve">licas, para cumplir </w:t>
      </w:r>
      <w:r>
        <w:rPr>
          <w:spacing w:val="-5"/>
          <w:sz w:val="18"/>
          <w:szCs w:val="18"/>
          <w:lang w:val="es-ES_tradnl"/>
        </w:rPr>
        <w:t>con lo dispuesto por el Presidente de la Rep</w:t>
      </w:r>
      <w:r>
        <w:rPr>
          <w:rFonts w:cs="Times New Roman"/>
          <w:spacing w:val="-5"/>
          <w:sz w:val="18"/>
          <w:szCs w:val="18"/>
          <w:lang w:val="es-ES_tradnl"/>
        </w:rPr>
        <w:t>ú</w:t>
      </w:r>
      <w:r>
        <w:rPr>
          <w:spacing w:val="-5"/>
          <w:sz w:val="18"/>
          <w:szCs w:val="18"/>
          <w:lang w:val="es-ES_tradnl"/>
        </w:rPr>
        <w:t xml:space="preserve">blica en el </w:t>
      </w:r>
      <w:r>
        <w:rPr>
          <w:spacing w:val="-4"/>
          <w:sz w:val="18"/>
          <w:szCs w:val="18"/>
          <w:lang w:val="es-ES_tradnl"/>
        </w:rPr>
        <w:t>Decreto Ejecutivo 1258-A, se deb</w:t>
      </w:r>
      <w:r>
        <w:rPr>
          <w:rFonts w:cs="Times New Roman"/>
          <w:spacing w:val="-4"/>
          <w:sz w:val="18"/>
          <w:szCs w:val="18"/>
          <w:lang w:val="es-ES_tradnl"/>
        </w:rPr>
        <w:t>í</w:t>
      </w:r>
      <w:r>
        <w:rPr>
          <w:spacing w:val="-4"/>
          <w:sz w:val="18"/>
          <w:szCs w:val="18"/>
          <w:lang w:val="es-ES_tradnl"/>
        </w:rPr>
        <w:t xml:space="preserve">a incrementar a los </w:t>
      </w:r>
      <w:r>
        <w:rPr>
          <w:spacing w:val="-5"/>
          <w:sz w:val="18"/>
          <w:szCs w:val="18"/>
          <w:lang w:val="es-ES_tradnl"/>
        </w:rPr>
        <w:t xml:space="preserve">precios referenciales el </w:t>
      </w:r>
      <w:r>
        <w:rPr>
          <w:rFonts w:cs="Times New Roman"/>
          <w:spacing w:val="-5"/>
          <w:sz w:val="18"/>
          <w:szCs w:val="18"/>
          <w:lang w:val="es-ES_tradnl"/>
        </w:rPr>
        <w:t>í</w:t>
      </w:r>
      <w:r>
        <w:rPr>
          <w:spacing w:val="-5"/>
          <w:sz w:val="18"/>
          <w:szCs w:val="18"/>
          <w:lang w:val="es-ES_tradnl"/>
        </w:rPr>
        <w:t xml:space="preserve">ndice de precios al consumidor, </w:t>
      </w:r>
      <w:r>
        <w:rPr>
          <w:spacing w:val="-4"/>
          <w:sz w:val="18"/>
          <w:szCs w:val="18"/>
          <w:lang w:val="es-ES_tradnl"/>
        </w:rPr>
        <w:t>publicado por el INEC a finales del a</w:t>
      </w:r>
      <w:r>
        <w:rPr>
          <w:rFonts w:cs="Times New Roman"/>
          <w:spacing w:val="-4"/>
          <w:sz w:val="18"/>
          <w:szCs w:val="18"/>
          <w:lang w:val="es-ES_tradnl"/>
        </w:rPr>
        <w:t>ñ</w:t>
      </w:r>
      <w:r>
        <w:rPr>
          <w:spacing w:val="-4"/>
          <w:sz w:val="18"/>
          <w:szCs w:val="18"/>
          <w:lang w:val="es-ES_tradnl"/>
        </w:rPr>
        <w:t xml:space="preserve">o 2002, conforme </w:t>
      </w:r>
      <w:r>
        <w:rPr>
          <w:sz w:val="18"/>
          <w:szCs w:val="18"/>
          <w:lang w:val="es-ES_tradnl"/>
        </w:rPr>
        <w:t>lo dispone el acuerdo ministerial N.</w:t>
      </w:r>
      <w:r>
        <w:rPr>
          <w:rFonts w:cs="Times New Roman"/>
          <w:sz w:val="18"/>
          <w:szCs w:val="18"/>
          <w:lang w:val="es-ES_tradnl"/>
        </w:rPr>
        <w:t>º</w:t>
      </w:r>
      <w:r>
        <w:rPr>
          <w:sz w:val="18"/>
          <w:szCs w:val="18"/>
          <w:lang w:val="es-ES_tradnl"/>
        </w:rPr>
        <w:t xml:space="preserve"> 176, publicado </w:t>
      </w:r>
      <w:r>
        <w:rPr>
          <w:spacing w:val="-2"/>
          <w:sz w:val="18"/>
          <w:szCs w:val="18"/>
          <w:lang w:val="es-ES_tradnl"/>
        </w:rPr>
        <w:t>en el Registro Oficial N.</w:t>
      </w:r>
      <w:r>
        <w:rPr>
          <w:rFonts w:cs="Times New Roman"/>
          <w:spacing w:val="-2"/>
          <w:sz w:val="18"/>
          <w:szCs w:val="18"/>
          <w:lang w:val="es-ES_tradnl"/>
        </w:rPr>
        <w:t>º</w:t>
      </w:r>
      <w:r>
        <w:rPr>
          <w:spacing w:val="-2"/>
          <w:sz w:val="18"/>
          <w:szCs w:val="18"/>
          <w:lang w:val="es-ES_tradnl"/>
        </w:rPr>
        <w:t xml:space="preserve"> 957 de 31 de mayo de 1996, </w:t>
      </w:r>
      <w:r>
        <w:rPr>
          <w:sz w:val="18"/>
          <w:szCs w:val="18"/>
          <w:lang w:val="es-ES_tradnl"/>
        </w:rPr>
        <w:t xml:space="preserve">el cual se encuentra vigente y que establece: Los </w:t>
      </w:r>
      <w:r>
        <w:rPr>
          <w:spacing w:val="-6"/>
          <w:sz w:val="18"/>
          <w:szCs w:val="18"/>
          <w:lang w:val="es-ES_tradnl"/>
        </w:rPr>
        <w:t>precios referenciales del presente acuerdo se ajustar</w:t>
      </w:r>
      <w:r>
        <w:rPr>
          <w:rFonts w:cs="Times New Roman"/>
          <w:spacing w:val="-6"/>
          <w:sz w:val="18"/>
          <w:szCs w:val="18"/>
          <w:lang w:val="es-ES_tradnl"/>
        </w:rPr>
        <w:t>á</w:t>
      </w:r>
      <w:r>
        <w:rPr>
          <w:spacing w:val="-6"/>
          <w:sz w:val="18"/>
          <w:szCs w:val="18"/>
          <w:lang w:val="es-ES_tradnl"/>
        </w:rPr>
        <w:t xml:space="preserve">n </w:t>
      </w:r>
      <w:r>
        <w:rPr>
          <w:spacing w:val="-8"/>
          <w:sz w:val="18"/>
          <w:szCs w:val="18"/>
          <w:lang w:val="es-ES_tradnl"/>
        </w:rPr>
        <w:t>anualmente en funci</w:t>
      </w:r>
      <w:r>
        <w:rPr>
          <w:rFonts w:cs="Times New Roman"/>
          <w:spacing w:val="-8"/>
          <w:sz w:val="18"/>
          <w:szCs w:val="18"/>
          <w:lang w:val="es-ES_tradnl"/>
        </w:rPr>
        <w:t>ó</w:t>
      </w:r>
      <w:r>
        <w:rPr>
          <w:spacing w:val="-8"/>
          <w:sz w:val="18"/>
          <w:szCs w:val="18"/>
          <w:lang w:val="es-ES_tradnl"/>
        </w:rPr>
        <w:t xml:space="preserve">n del incremento del 100% del </w:t>
      </w:r>
      <w:r>
        <w:rPr>
          <w:rFonts w:cs="Times New Roman"/>
          <w:spacing w:val="-8"/>
          <w:sz w:val="18"/>
          <w:szCs w:val="18"/>
          <w:lang w:val="es-ES_tradnl"/>
        </w:rPr>
        <w:t>í</w:t>
      </w:r>
      <w:r>
        <w:rPr>
          <w:spacing w:val="-8"/>
          <w:sz w:val="18"/>
          <w:szCs w:val="18"/>
          <w:lang w:val="es-ES_tradnl"/>
        </w:rPr>
        <w:t xml:space="preserve">ndice </w:t>
      </w:r>
      <w:r>
        <w:rPr>
          <w:spacing w:val="-7"/>
          <w:sz w:val="18"/>
          <w:szCs w:val="18"/>
          <w:lang w:val="es-ES_tradnl"/>
        </w:rPr>
        <w:t>acumulativo de precios al consumidor para el subgrupo de bebidas alcoh</w:t>
      </w:r>
      <w:r>
        <w:rPr>
          <w:rFonts w:cs="Times New Roman"/>
          <w:spacing w:val="-7"/>
          <w:sz w:val="18"/>
          <w:szCs w:val="18"/>
          <w:lang w:val="es-ES_tradnl"/>
        </w:rPr>
        <w:t>ó</w:t>
      </w:r>
      <w:r>
        <w:rPr>
          <w:spacing w:val="-7"/>
          <w:sz w:val="18"/>
          <w:szCs w:val="18"/>
          <w:lang w:val="es-ES_tradnl"/>
        </w:rPr>
        <w:t xml:space="preserve">licas en el Hogar, elaborado por el Instituto </w:t>
      </w:r>
      <w:r>
        <w:rPr>
          <w:spacing w:val="-5"/>
          <w:sz w:val="18"/>
          <w:szCs w:val="18"/>
          <w:lang w:val="es-ES_tradnl"/>
        </w:rPr>
        <w:t>Nacional de Estad</w:t>
      </w:r>
      <w:r>
        <w:rPr>
          <w:rFonts w:cs="Times New Roman"/>
          <w:spacing w:val="-5"/>
          <w:sz w:val="18"/>
          <w:szCs w:val="18"/>
          <w:lang w:val="es-ES_tradnl"/>
        </w:rPr>
        <w:t>í</w:t>
      </w:r>
      <w:r>
        <w:rPr>
          <w:spacing w:val="-5"/>
          <w:sz w:val="18"/>
          <w:szCs w:val="18"/>
          <w:lang w:val="es-ES_tradnl"/>
        </w:rPr>
        <w:t>sticas y Censos INEC</w:t>
      </w:r>
      <w:r>
        <w:rPr>
          <w:rFonts w:cs="Times New Roman"/>
          <w:spacing w:val="-5"/>
          <w:sz w:val="18"/>
          <w:szCs w:val="18"/>
          <w:lang w:val="es-ES_tradnl"/>
        </w:rPr>
        <w:t>”</w:t>
      </w:r>
      <w:r>
        <w:rPr>
          <w:spacing w:val="-5"/>
          <w:sz w:val="18"/>
          <w:szCs w:val="18"/>
          <w:lang w:val="es-ES_tradnl"/>
        </w:rPr>
        <w:t>.</w:t>
      </w:r>
    </w:p>
    <w:p w14:paraId="4F67B72F" w14:textId="77777777" w:rsidR="00591D54" w:rsidRDefault="00591D54">
      <w:pPr>
        <w:shd w:val="clear" w:color="auto" w:fill="FFFFFF"/>
        <w:spacing w:before="202" w:line="221" w:lineRule="exact"/>
        <w:jc w:val="both"/>
      </w:pPr>
      <w:r>
        <w:rPr>
          <w:spacing w:val="-6"/>
          <w:sz w:val="18"/>
          <w:szCs w:val="18"/>
          <w:lang w:val="es-ES_tradnl"/>
        </w:rPr>
        <w:t xml:space="preserve">Entonces, el accionante expresa que habiendo sido </w:t>
      </w:r>
      <w:r>
        <w:rPr>
          <w:spacing w:val="-5"/>
          <w:sz w:val="18"/>
          <w:szCs w:val="18"/>
          <w:lang w:val="es-ES_tradnl"/>
        </w:rPr>
        <w:t>determinados los precios referenciales para el a</w:t>
      </w:r>
      <w:r>
        <w:rPr>
          <w:rFonts w:cs="Times New Roman"/>
          <w:spacing w:val="-5"/>
          <w:sz w:val="18"/>
          <w:szCs w:val="18"/>
          <w:lang w:val="es-ES_tradnl"/>
        </w:rPr>
        <w:t>ñ</w:t>
      </w:r>
      <w:r>
        <w:rPr>
          <w:spacing w:val="-5"/>
          <w:sz w:val="18"/>
          <w:szCs w:val="18"/>
          <w:lang w:val="es-ES_tradnl"/>
        </w:rPr>
        <w:t>o 2003, la administraci</w:t>
      </w:r>
      <w:r>
        <w:rPr>
          <w:rFonts w:cs="Times New Roman"/>
          <w:spacing w:val="-5"/>
          <w:sz w:val="18"/>
          <w:szCs w:val="18"/>
          <w:lang w:val="es-ES_tradnl"/>
        </w:rPr>
        <w:t>ó</w:t>
      </w:r>
      <w:r>
        <w:rPr>
          <w:spacing w:val="-5"/>
          <w:sz w:val="18"/>
          <w:szCs w:val="18"/>
          <w:lang w:val="es-ES_tradnl"/>
        </w:rPr>
        <w:t>n debi</w:t>
      </w:r>
      <w:r>
        <w:rPr>
          <w:rFonts w:cs="Times New Roman"/>
          <w:spacing w:val="-5"/>
          <w:sz w:val="18"/>
          <w:szCs w:val="18"/>
          <w:lang w:val="es-ES_tradnl"/>
        </w:rPr>
        <w:t>ó</w:t>
      </w:r>
      <w:r>
        <w:rPr>
          <w:spacing w:val="-5"/>
          <w:sz w:val="18"/>
          <w:szCs w:val="18"/>
          <w:lang w:val="es-ES_tradnl"/>
        </w:rPr>
        <w:t xml:space="preserve"> calcular el impuesto aplicando lo </w:t>
      </w:r>
      <w:r>
        <w:rPr>
          <w:spacing w:val="-6"/>
          <w:sz w:val="18"/>
          <w:szCs w:val="18"/>
          <w:lang w:val="es-ES_tradnl"/>
        </w:rPr>
        <w:t>dispuesto por el presidente de la Rep</w:t>
      </w:r>
      <w:r>
        <w:rPr>
          <w:rFonts w:cs="Times New Roman"/>
          <w:spacing w:val="-6"/>
          <w:sz w:val="18"/>
          <w:szCs w:val="18"/>
          <w:lang w:val="es-ES_tradnl"/>
        </w:rPr>
        <w:t>ú</w:t>
      </w:r>
      <w:r>
        <w:rPr>
          <w:spacing w:val="-6"/>
          <w:sz w:val="18"/>
          <w:szCs w:val="18"/>
          <w:lang w:val="es-ES_tradnl"/>
        </w:rPr>
        <w:t xml:space="preserve">blica en el Decreto </w:t>
      </w:r>
      <w:r>
        <w:rPr>
          <w:spacing w:val="-4"/>
          <w:sz w:val="18"/>
          <w:szCs w:val="18"/>
          <w:lang w:val="es-ES_tradnl"/>
        </w:rPr>
        <w:t>Ejecutivo 1258-A con lo cual, cumplir</w:t>
      </w:r>
      <w:r>
        <w:rPr>
          <w:rFonts w:cs="Times New Roman"/>
          <w:spacing w:val="-4"/>
          <w:sz w:val="18"/>
          <w:szCs w:val="18"/>
          <w:lang w:val="es-ES_tradnl"/>
        </w:rPr>
        <w:t>í</w:t>
      </w:r>
      <w:r>
        <w:rPr>
          <w:spacing w:val="-4"/>
          <w:sz w:val="18"/>
          <w:szCs w:val="18"/>
          <w:lang w:val="es-ES_tradnl"/>
        </w:rPr>
        <w:t>a con la normativa vigente y por lo tanto, en este caso, la administraci</w:t>
      </w:r>
      <w:r>
        <w:rPr>
          <w:rFonts w:cs="Times New Roman"/>
          <w:spacing w:val="-4"/>
          <w:sz w:val="18"/>
          <w:szCs w:val="18"/>
          <w:lang w:val="es-ES_tradnl"/>
        </w:rPr>
        <w:t>ó</w:t>
      </w:r>
      <w:r>
        <w:rPr>
          <w:spacing w:val="-4"/>
          <w:sz w:val="18"/>
          <w:szCs w:val="18"/>
          <w:lang w:val="es-ES_tradnl"/>
        </w:rPr>
        <w:t>n tributaria efectu</w:t>
      </w:r>
      <w:r>
        <w:rPr>
          <w:rFonts w:cs="Times New Roman"/>
          <w:spacing w:val="-4"/>
          <w:sz w:val="18"/>
          <w:szCs w:val="18"/>
          <w:lang w:val="es-ES_tradnl"/>
        </w:rPr>
        <w:t>ó</w:t>
      </w:r>
      <w:r>
        <w:rPr>
          <w:spacing w:val="-4"/>
          <w:sz w:val="18"/>
          <w:szCs w:val="18"/>
          <w:lang w:val="es-ES_tradnl"/>
        </w:rPr>
        <w:t xml:space="preserve"> en modo discriminatorio, un c</w:t>
      </w:r>
      <w:r>
        <w:rPr>
          <w:rFonts w:cs="Times New Roman"/>
          <w:spacing w:val="-4"/>
          <w:sz w:val="18"/>
          <w:szCs w:val="18"/>
          <w:lang w:val="es-ES_tradnl"/>
        </w:rPr>
        <w:t>á</w:t>
      </w:r>
      <w:r>
        <w:rPr>
          <w:spacing w:val="-4"/>
          <w:sz w:val="18"/>
          <w:szCs w:val="18"/>
          <w:lang w:val="es-ES_tradnl"/>
        </w:rPr>
        <w:t xml:space="preserve">lculo de </w:t>
      </w:r>
      <w:r>
        <w:rPr>
          <w:spacing w:val="-8"/>
          <w:sz w:val="18"/>
          <w:szCs w:val="18"/>
          <w:lang w:val="es-ES_tradnl"/>
        </w:rPr>
        <w:t>la base imponible del impuesto a los consumos especiales de manera diferente a la del resto del pa</w:t>
      </w:r>
      <w:r>
        <w:rPr>
          <w:rFonts w:cs="Times New Roman"/>
          <w:spacing w:val="-8"/>
          <w:sz w:val="18"/>
          <w:szCs w:val="18"/>
          <w:lang w:val="es-ES_tradnl"/>
        </w:rPr>
        <w:t>í</w:t>
      </w:r>
      <w:r>
        <w:rPr>
          <w:spacing w:val="-8"/>
          <w:sz w:val="18"/>
          <w:szCs w:val="18"/>
          <w:lang w:val="es-ES_tradnl"/>
        </w:rPr>
        <w:t>s. As</w:t>
      </w:r>
      <w:r>
        <w:rPr>
          <w:rFonts w:cs="Times New Roman"/>
          <w:spacing w:val="-8"/>
          <w:sz w:val="18"/>
          <w:szCs w:val="18"/>
          <w:lang w:val="es-ES_tradnl"/>
        </w:rPr>
        <w:t>í</w:t>
      </w:r>
      <w:r>
        <w:rPr>
          <w:spacing w:val="-8"/>
          <w:sz w:val="18"/>
          <w:szCs w:val="18"/>
          <w:lang w:val="es-ES_tradnl"/>
        </w:rPr>
        <w:t>, se</w:t>
      </w:r>
      <w:r>
        <w:rPr>
          <w:rFonts w:cs="Times New Roman"/>
          <w:spacing w:val="-8"/>
          <w:sz w:val="18"/>
          <w:szCs w:val="18"/>
          <w:lang w:val="es-ES_tradnl"/>
        </w:rPr>
        <w:t>ñ</w:t>
      </w:r>
      <w:r>
        <w:rPr>
          <w:spacing w:val="-8"/>
          <w:sz w:val="18"/>
          <w:szCs w:val="18"/>
          <w:lang w:val="es-ES_tradnl"/>
        </w:rPr>
        <w:t xml:space="preserve">ala que </w:t>
      </w:r>
      <w:r>
        <w:rPr>
          <w:spacing w:val="-6"/>
          <w:sz w:val="18"/>
          <w:szCs w:val="18"/>
          <w:lang w:val="es-ES_tradnl"/>
        </w:rPr>
        <w:t xml:space="preserve">la sentencia recurrida ha atentado contra la imparcialidad </w:t>
      </w:r>
      <w:r>
        <w:rPr>
          <w:spacing w:val="-3"/>
          <w:sz w:val="18"/>
          <w:szCs w:val="18"/>
          <w:lang w:val="es-ES_tradnl"/>
        </w:rPr>
        <w:t xml:space="preserve">que debe existir al administrar justicia y a la debida </w:t>
      </w:r>
      <w:r>
        <w:rPr>
          <w:spacing w:val="-6"/>
          <w:sz w:val="18"/>
          <w:szCs w:val="18"/>
          <w:lang w:val="es-ES_tradnl"/>
        </w:rPr>
        <w:t>motivaci</w:t>
      </w:r>
      <w:r>
        <w:rPr>
          <w:rFonts w:cs="Times New Roman"/>
          <w:spacing w:val="-6"/>
          <w:sz w:val="18"/>
          <w:szCs w:val="18"/>
          <w:lang w:val="es-ES_tradnl"/>
        </w:rPr>
        <w:t>ó</w:t>
      </w:r>
      <w:r>
        <w:rPr>
          <w:spacing w:val="-6"/>
          <w:sz w:val="18"/>
          <w:szCs w:val="18"/>
          <w:lang w:val="es-ES_tradnl"/>
        </w:rPr>
        <w:t xml:space="preserve">n que debe existir en las resoluciones judiciales, </w:t>
      </w:r>
      <w:r>
        <w:rPr>
          <w:rFonts w:cs="Times New Roman"/>
          <w:spacing w:val="-10"/>
          <w:sz w:val="18"/>
          <w:szCs w:val="18"/>
          <w:lang w:val="es-ES_tradnl"/>
        </w:rPr>
        <w:t>“</w:t>
      </w:r>
      <w:r>
        <w:rPr>
          <w:spacing w:val="-10"/>
          <w:sz w:val="18"/>
          <w:szCs w:val="18"/>
          <w:lang w:val="es-ES_tradnl"/>
        </w:rPr>
        <w:t>por cuanto a los se</w:t>
      </w:r>
      <w:r>
        <w:rPr>
          <w:rFonts w:cs="Times New Roman"/>
          <w:spacing w:val="-10"/>
          <w:sz w:val="18"/>
          <w:szCs w:val="18"/>
          <w:lang w:val="es-ES_tradnl"/>
        </w:rPr>
        <w:t>ñ</w:t>
      </w:r>
      <w:r>
        <w:rPr>
          <w:spacing w:val="-10"/>
          <w:sz w:val="18"/>
          <w:szCs w:val="18"/>
          <w:lang w:val="es-ES_tradnl"/>
        </w:rPr>
        <w:t xml:space="preserve">ores jueces de la Sala Especializada de </w:t>
      </w:r>
      <w:r>
        <w:rPr>
          <w:spacing w:val="-7"/>
          <w:sz w:val="18"/>
          <w:szCs w:val="18"/>
          <w:lang w:val="es-ES_tradnl"/>
        </w:rPr>
        <w:t xml:space="preserve">lo Contencioso Tributario de la Corte Nacional de Justicia, </w:t>
      </w:r>
      <w:r>
        <w:rPr>
          <w:spacing w:val="-6"/>
          <w:sz w:val="18"/>
          <w:szCs w:val="18"/>
          <w:lang w:val="es-ES_tradnl"/>
        </w:rPr>
        <w:t>se les ha demostrado a lo largo del proceso, la forma de c</w:t>
      </w:r>
      <w:r>
        <w:rPr>
          <w:rFonts w:cs="Times New Roman"/>
          <w:spacing w:val="-6"/>
          <w:sz w:val="18"/>
          <w:szCs w:val="18"/>
          <w:lang w:val="es-ES_tradnl"/>
        </w:rPr>
        <w:t>á</w:t>
      </w:r>
      <w:r>
        <w:rPr>
          <w:spacing w:val="-6"/>
          <w:sz w:val="18"/>
          <w:szCs w:val="18"/>
          <w:lang w:val="es-ES_tradnl"/>
        </w:rPr>
        <w:t xml:space="preserve">lculo que se debe efectuar a fin de determinar la base </w:t>
      </w:r>
      <w:r>
        <w:rPr>
          <w:spacing w:val="-5"/>
          <w:sz w:val="18"/>
          <w:szCs w:val="18"/>
          <w:lang w:val="es-ES_tradnl"/>
        </w:rPr>
        <w:t>imponible del impuesto a los Consumos Especiales, de conformidad con la normativa legal vigente y el hecho de que la administraci</w:t>
      </w:r>
      <w:r>
        <w:rPr>
          <w:rFonts w:cs="Times New Roman"/>
          <w:spacing w:val="-5"/>
          <w:sz w:val="18"/>
          <w:szCs w:val="18"/>
          <w:lang w:val="es-ES_tradnl"/>
        </w:rPr>
        <w:t>ó</w:t>
      </w:r>
      <w:r>
        <w:rPr>
          <w:spacing w:val="-5"/>
          <w:sz w:val="18"/>
          <w:szCs w:val="18"/>
          <w:lang w:val="es-ES_tradnl"/>
        </w:rPr>
        <w:t xml:space="preserve">n tributaria en forma discriminatoria y </w:t>
      </w:r>
      <w:r>
        <w:rPr>
          <w:spacing w:val="-6"/>
          <w:sz w:val="18"/>
          <w:szCs w:val="18"/>
          <w:lang w:val="es-ES_tradnl"/>
        </w:rPr>
        <w:t>arbitraria procedi</w:t>
      </w:r>
      <w:r>
        <w:rPr>
          <w:rFonts w:cs="Times New Roman"/>
          <w:spacing w:val="-6"/>
          <w:sz w:val="18"/>
          <w:szCs w:val="18"/>
          <w:lang w:val="es-ES_tradnl"/>
        </w:rPr>
        <w:t>ó</w:t>
      </w:r>
      <w:r>
        <w:rPr>
          <w:spacing w:val="-6"/>
          <w:sz w:val="18"/>
          <w:szCs w:val="18"/>
          <w:lang w:val="es-ES_tradnl"/>
        </w:rPr>
        <w:t xml:space="preserve"> a realizar una determinaci</w:t>
      </w:r>
      <w:r>
        <w:rPr>
          <w:rFonts w:cs="Times New Roman"/>
          <w:spacing w:val="-6"/>
          <w:sz w:val="18"/>
          <w:szCs w:val="18"/>
          <w:lang w:val="es-ES_tradnl"/>
        </w:rPr>
        <w:t>ó</w:t>
      </w:r>
      <w:r>
        <w:rPr>
          <w:spacing w:val="-6"/>
          <w:sz w:val="18"/>
          <w:szCs w:val="18"/>
          <w:lang w:val="es-ES_tradnl"/>
        </w:rPr>
        <w:t xml:space="preserve">n, sin tomar </w:t>
      </w:r>
      <w:r>
        <w:rPr>
          <w:spacing w:val="-7"/>
          <w:sz w:val="18"/>
          <w:szCs w:val="18"/>
          <w:lang w:val="es-ES_tradnl"/>
        </w:rPr>
        <w:t>en consideraci</w:t>
      </w:r>
      <w:r>
        <w:rPr>
          <w:rFonts w:cs="Times New Roman"/>
          <w:spacing w:val="-7"/>
          <w:sz w:val="18"/>
          <w:szCs w:val="18"/>
          <w:lang w:val="es-ES_tradnl"/>
        </w:rPr>
        <w:t>ó</w:t>
      </w:r>
      <w:r>
        <w:rPr>
          <w:spacing w:val="-7"/>
          <w:sz w:val="18"/>
          <w:szCs w:val="18"/>
          <w:lang w:val="es-ES_tradnl"/>
        </w:rPr>
        <w:t>n que el c</w:t>
      </w:r>
      <w:r>
        <w:rPr>
          <w:rFonts w:cs="Times New Roman"/>
          <w:spacing w:val="-7"/>
          <w:sz w:val="18"/>
          <w:szCs w:val="18"/>
          <w:lang w:val="es-ES_tradnl"/>
        </w:rPr>
        <w:t>á</w:t>
      </w:r>
      <w:r>
        <w:rPr>
          <w:spacing w:val="-7"/>
          <w:sz w:val="18"/>
          <w:szCs w:val="18"/>
          <w:lang w:val="es-ES_tradnl"/>
        </w:rPr>
        <w:t xml:space="preserve">lculo de la base imponible para </w:t>
      </w:r>
      <w:r>
        <w:rPr>
          <w:spacing w:val="-2"/>
          <w:sz w:val="18"/>
          <w:szCs w:val="18"/>
          <w:lang w:val="es-ES_tradnl"/>
        </w:rPr>
        <w:t xml:space="preserve">el cobro y pago del ICE es </w:t>
      </w:r>
      <w:r>
        <w:rPr>
          <w:b/>
          <w:bCs/>
          <w:spacing w:val="-2"/>
          <w:sz w:val="18"/>
          <w:szCs w:val="18"/>
          <w:lang w:val="es-ES_tradnl"/>
        </w:rPr>
        <w:t xml:space="preserve">EX </w:t>
      </w:r>
      <w:r>
        <w:rPr>
          <w:rFonts w:cs="Times New Roman"/>
          <w:b/>
          <w:bCs/>
          <w:spacing w:val="-2"/>
          <w:sz w:val="18"/>
          <w:szCs w:val="18"/>
          <w:lang w:val="es-ES_tradnl"/>
        </w:rPr>
        <w:t>–</w:t>
      </w:r>
      <w:r>
        <w:rPr>
          <w:b/>
          <w:bCs/>
          <w:spacing w:val="-2"/>
          <w:sz w:val="18"/>
          <w:szCs w:val="18"/>
          <w:lang w:val="es-ES_tradnl"/>
        </w:rPr>
        <w:t xml:space="preserve"> ANTE </w:t>
      </w:r>
      <w:r>
        <w:rPr>
          <w:spacing w:val="-2"/>
          <w:sz w:val="18"/>
          <w:szCs w:val="18"/>
          <w:lang w:val="es-ES_tradnl"/>
        </w:rPr>
        <w:t xml:space="preserve">y por el mismo </w:t>
      </w:r>
      <w:r>
        <w:rPr>
          <w:spacing w:val="-5"/>
          <w:sz w:val="18"/>
          <w:szCs w:val="18"/>
          <w:lang w:val="es-ES_tradnl"/>
        </w:rPr>
        <w:t xml:space="preserve">hecho no se puede reliquidar el impuesto a quien debe </w:t>
      </w:r>
      <w:r>
        <w:rPr>
          <w:sz w:val="18"/>
          <w:szCs w:val="18"/>
          <w:lang w:val="es-ES_tradnl"/>
        </w:rPr>
        <w:t>pagarlo que es el consumidor final</w:t>
      </w:r>
      <w:r>
        <w:rPr>
          <w:rFonts w:cs="Times New Roman"/>
          <w:sz w:val="18"/>
          <w:szCs w:val="18"/>
          <w:lang w:val="es-ES_tradnl"/>
        </w:rPr>
        <w:t>”</w:t>
      </w:r>
      <w:r>
        <w:rPr>
          <w:sz w:val="18"/>
          <w:szCs w:val="18"/>
          <w:lang w:val="es-ES_tradnl"/>
        </w:rPr>
        <w:t>.</w:t>
      </w:r>
    </w:p>
    <w:p w14:paraId="4F67B730" w14:textId="77777777" w:rsidR="00591D54" w:rsidRDefault="00591D54">
      <w:pPr>
        <w:shd w:val="clear" w:color="auto" w:fill="FFFFFF"/>
        <w:spacing w:before="202"/>
      </w:pPr>
      <w:r>
        <w:rPr>
          <w:b/>
          <w:bCs/>
          <w:spacing w:val="-8"/>
          <w:sz w:val="18"/>
          <w:szCs w:val="18"/>
          <w:lang w:val="es-ES_tradnl"/>
        </w:rPr>
        <w:t>Derecho constitucional cuya vulneraci</w:t>
      </w:r>
      <w:r>
        <w:rPr>
          <w:rFonts w:cs="Times New Roman"/>
          <w:b/>
          <w:bCs/>
          <w:spacing w:val="-8"/>
          <w:sz w:val="18"/>
          <w:szCs w:val="18"/>
          <w:lang w:val="es-ES_tradnl"/>
        </w:rPr>
        <w:t>ó</w:t>
      </w:r>
      <w:r>
        <w:rPr>
          <w:b/>
          <w:bCs/>
          <w:spacing w:val="-8"/>
          <w:sz w:val="18"/>
          <w:szCs w:val="18"/>
          <w:lang w:val="es-ES_tradnl"/>
        </w:rPr>
        <w:t>n se demanda</w:t>
      </w:r>
    </w:p>
    <w:p w14:paraId="4F67B731" w14:textId="77777777" w:rsidR="00591D54" w:rsidRDefault="00591D54">
      <w:pPr>
        <w:shd w:val="clear" w:color="auto" w:fill="FFFFFF"/>
        <w:spacing w:before="202" w:line="221" w:lineRule="exact"/>
        <w:jc w:val="both"/>
      </w:pPr>
      <w:r>
        <w:rPr>
          <w:spacing w:val="-5"/>
          <w:sz w:val="18"/>
          <w:szCs w:val="18"/>
          <w:lang w:val="es-ES_tradnl"/>
        </w:rPr>
        <w:t xml:space="preserve">El accionante en su demanda procede a identificar los </w:t>
      </w:r>
      <w:r>
        <w:rPr>
          <w:spacing w:val="-2"/>
          <w:sz w:val="18"/>
          <w:szCs w:val="18"/>
          <w:lang w:val="es-ES_tradnl"/>
        </w:rPr>
        <w:t>siguientes derechos constitucionales cuya vulneraci</w:t>
      </w:r>
      <w:r>
        <w:rPr>
          <w:rFonts w:cs="Times New Roman"/>
          <w:spacing w:val="-2"/>
          <w:sz w:val="18"/>
          <w:szCs w:val="18"/>
          <w:lang w:val="es-ES_tradnl"/>
        </w:rPr>
        <w:t>ó</w:t>
      </w:r>
      <w:r>
        <w:rPr>
          <w:spacing w:val="-2"/>
          <w:sz w:val="18"/>
          <w:szCs w:val="18"/>
          <w:lang w:val="es-ES_tradnl"/>
        </w:rPr>
        <w:t>n se demanda: Violaci</w:t>
      </w:r>
      <w:r>
        <w:rPr>
          <w:rFonts w:cs="Times New Roman"/>
          <w:spacing w:val="-2"/>
          <w:sz w:val="18"/>
          <w:szCs w:val="18"/>
          <w:lang w:val="es-ES_tradnl"/>
        </w:rPr>
        <w:t>ó</w:t>
      </w:r>
      <w:r>
        <w:rPr>
          <w:spacing w:val="-2"/>
          <w:sz w:val="18"/>
          <w:szCs w:val="18"/>
          <w:lang w:val="es-ES_tradnl"/>
        </w:rPr>
        <w:t>n al art</w:t>
      </w:r>
      <w:r>
        <w:rPr>
          <w:rFonts w:cs="Times New Roman"/>
          <w:spacing w:val="-2"/>
          <w:sz w:val="18"/>
          <w:szCs w:val="18"/>
          <w:lang w:val="es-ES_tradnl"/>
        </w:rPr>
        <w:t>í</w:t>
      </w:r>
      <w:r>
        <w:rPr>
          <w:spacing w:val="-2"/>
          <w:sz w:val="18"/>
          <w:szCs w:val="18"/>
          <w:lang w:val="es-ES_tradnl"/>
        </w:rPr>
        <w:t xml:space="preserve">culo 75 (tutela judicial </w:t>
      </w:r>
      <w:r>
        <w:rPr>
          <w:sz w:val="18"/>
          <w:szCs w:val="18"/>
          <w:lang w:val="es-ES_tradnl"/>
        </w:rPr>
        <w:t>efectiva); art</w:t>
      </w:r>
      <w:r>
        <w:rPr>
          <w:rFonts w:cs="Times New Roman"/>
          <w:sz w:val="18"/>
          <w:szCs w:val="18"/>
          <w:lang w:val="es-ES_tradnl"/>
        </w:rPr>
        <w:t>í</w:t>
      </w:r>
      <w:r>
        <w:rPr>
          <w:sz w:val="18"/>
          <w:szCs w:val="18"/>
          <w:lang w:val="es-ES_tradnl"/>
        </w:rPr>
        <w:t xml:space="preserve">culo 76 (debido proceso) numeral 1 </w:t>
      </w:r>
      <w:r>
        <w:rPr>
          <w:spacing w:val="-6"/>
          <w:sz w:val="18"/>
          <w:szCs w:val="18"/>
          <w:lang w:val="es-ES_tradnl"/>
        </w:rPr>
        <w:t xml:space="preserve">(garantizar cumplimiento de normas y derechos), numeral </w:t>
      </w:r>
      <w:r>
        <w:rPr>
          <w:spacing w:val="-5"/>
          <w:sz w:val="18"/>
          <w:szCs w:val="18"/>
          <w:lang w:val="es-ES_tradnl"/>
        </w:rPr>
        <w:t xml:space="preserve">7 (derecho de defensa) en los literales </w:t>
      </w:r>
      <w:r>
        <w:rPr>
          <w:b/>
          <w:bCs/>
          <w:spacing w:val="-5"/>
          <w:sz w:val="18"/>
          <w:szCs w:val="18"/>
          <w:lang w:val="es-ES_tradnl"/>
        </w:rPr>
        <w:t>c</w:t>
      </w:r>
      <w:r>
        <w:rPr>
          <w:spacing w:val="-5"/>
          <w:sz w:val="18"/>
          <w:szCs w:val="18"/>
          <w:lang w:val="es-ES_tradnl"/>
        </w:rPr>
        <w:t xml:space="preserve">, </w:t>
      </w:r>
      <w:r>
        <w:rPr>
          <w:b/>
          <w:bCs/>
          <w:spacing w:val="-5"/>
          <w:sz w:val="18"/>
          <w:szCs w:val="18"/>
          <w:lang w:val="es-ES_tradnl"/>
        </w:rPr>
        <w:t xml:space="preserve">k </w:t>
      </w:r>
      <w:r>
        <w:rPr>
          <w:spacing w:val="-5"/>
          <w:sz w:val="18"/>
          <w:szCs w:val="18"/>
          <w:lang w:val="es-ES_tradnl"/>
        </w:rPr>
        <w:t xml:space="preserve">(juzgamiento </w:t>
      </w:r>
      <w:r>
        <w:rPr>
          <w:spacing w:val="-2"/>
          <w:sz w:val="18"/>
          <w:szCs w:val="18"/>
          <w:lang w:val="es-ES_tradnl"/>
        </w:rPr>
        <w:t xml:space="preserve">por jueces independientes, imparciales y competentes) </w:t>
      </w:r>
      <w:r>
        <w:rPr>
          <w:spacing w:val="-1"/>
          <w:sz w:val="18"/>
          <w:szCs w:val="18"/>
          <w:lang w:val="es-ES_tradnl"/>
        </w:rPr>
        <w:t xml:space="preserve">y </w:t>
      </w:r>
      <w:r>
        <w:rPr>
          <w:b/>
          <w:bCs/>
          <w:spacing w:val="-1"/>
          <w:sz w:val="18"/>
          <w:szCs w:val="18"/>
          <w:lang w:val="es-ES_tradnl"/>
        </w:rPr>
        <w:t xml:space="preserve">l </w:t>
      </w:r>
      <w:r>
        <w:rPr>
          <w:spacing w:val="-1"/>
          <w:sz w:val="18"/>
          <w:szCs w:val="18"/>
          <w:lang w:val="es-ES_tradnl"/>
        </w:rPr>
        <w:t>(motivaci</w:t>
      </w:r>
      <w:r>
        <w:rPr>
          <w:rFonts w:cs="Times New Roman"/>
          <w:spacing w:val="-1"/>
          <w:sz w:val="18"/>
          <w:szCs w:val="18"/>
          <w:lang w:val="es-ES_tradnl"/>
        </w:rPr>
        <w:t>ó</w:t>
      </w:r>
      <w:r>
        <w:rPr>
          <w:spacing w:val="-1"/>
          <w:sz w:val="18"/>
          <w:szCs w:val="18"/>
          <w:lang w:val="es-ES_tradnl"/>
        </w:rPr>
        <w:t>n); art</w:t>
      </w:r>
      <w:r>
        <w:rPr>
          <w:rFonts w:cs="Times New Roman"/>
          <w:spacing w:val="-1"/>
          <w:sz w:val="18"/>
          <w:szCs w:val="18"/>
          <w:lang w:val="es-ES_tradnl"/>
        </w:rPr>
        <w:t>í</w:t>
      </w:r>
      <w:r>
        <w:rPr>
          <w:spacing w:val="-1"/>
          <w:sz w:val="18"/>
          <w:szCs w:val="18"/>
          <w:lang w:val="es-ES_tradnl"/>
        </w:rPr>
        <w:t>culo 300 (principios del r</w:t>
      </w:r>
      <w:r>
        <w:rPr>
          <w:rFonts w:cs="Times New Roman"/>
          <w:spacing w:val="-1"/>
          <w:sz w:val="18"/>
          <w:szCs w:val="18"/>
          <w:lang w:val="es-ES_tradnl"/>
        </w:rPr>
        <w:t>é</w:t>
      </w:r>
      <w:r>
        <w:rPr>
          <w:spacing w:val="-1"/>
          <w:sz w:val="18"/>
          <w:szCs w:val="18"/>
          <w:lang w:val="es-ES_tradnl"/>
        </w:rPr>
        <w:t xml:space="preserve">gimen </w:t>
      </w:r>
      <w:r>
        <w:rPr>
          <w:sz w:val="18"/>
          <w:szCs w:val="18"/>
          <w:lang w:val="es-ES_tradnl"/>
        </w:rPr>
        <w:t>tributario); art</w:t>
      </w:r>
      <w:r>
        <w:rPr>
          <w:rFonts w:cs="Times New Roman"/>
          <w:sz w:val="18"/>
          <w:szCs w:val="18"/>
          <w:lang w:val="es-ES_tradnl"/>
        </w:rPr>
        <w:t>í</w:t>
      </w:r>
      <w:r>
        <w:rPr>
          <w:sz w:val="18"/>
          <w:szCs w:val="18"/>
          <w:lang w:val="es-ES_tradnl"/>
        </w:rPr>
        <w:t>culo 82 (seguridad jur</w:t>
      </w:r>
      <w:r>
        <w:rPr>
          <w:rFonts w:cs="Times New Roman"/>
          <w:sz w:val="18"/>
          <w:szCs w:val="18"/>
          <w:lang w:val="es-ES_tradnl"/>
        </w:rPr>
        <w:t>í</w:t>
      </w:r>
      <w:r>
        <w:rPr>
          <w:sz w:val="18"/>
          <w:szCs w:val="18"/>
          <w:lang w:val="es-ES_tradnl"/>
        </w:rPr>
        <w:t>dica) de 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B732" w14:textId="77777777" w:rsidR="00591D54" w:rsidRDefault="00591D54">
      <w:pPr>
        <w:shd w:val="clear" w:color="auto" w:fill="FFFFFF"/>
      </w:pPr>
      <w:r>
        <w:br w:type="column"/>
      </w:r>
      <w:r>
        <w:rPr>
          <w:b/>
          <w:bCs/>
          <w:spacing w:val="-11"/>
          <w:sz w:val="18"/>
          <w:szCs w:val="18"/>
          <w:lang w:val="es-ES_tradnl"/>
        </w:rPr>
        <w:t>Sentencia o auto que se impugna</w:t>
      </w:r>
    </w:p>
    <w:p w14:paraId="4F67B733" w14:textId="77777777" w:rsidR="00591D54" w:rsidRDefault="00591D54">
      <w:pPr>
        <w:shd w:val="clear" w:color="auto" w:fill="FFFFFF"/>
        <w:spacing w:before="197" w:line="216" w:lineRule="exact"/>
        <w:jc w:val="both"/>
      </w:pPr>
      <w:r>
        <w:rPr>
          <w:spacing w:val="-7"/>
          <w:sz w:val="18"/>
          <w:szCs w:val="18"/>
          <w:lang w:val="es-ES_tradnl"/>
        </w:rPr>
        <w:t>La decisi</w:t>
      </w:r>
      <w:r>
        <w:rPr>
          <w:rFonts w:cs="Times New Roman"/>
          <w:spacing w:val="-7"/>
          <w:sz w:val="18"/>
          <w:szCs w:val="18"/>
          <w:lang w:val="es-ES_tradnl"/>
        </w:rPr>
        <w:t>ó</w:t>
      </w:r>
      <w:r>
        <w:rPr>
          <w:spacing w:val="-7"/>
          <w:sz w:val="18"/>
          <w:szCs w:val="18"/>
          <w:lang w:val="es-ES_tradnl"/>
        </w:rPr>
        <w:t>n judicial impugnada es la sentencia de mayor</w:t>
      </w:r>
      <w:r>
        <w:rPr>
          <w:rFonts w:cs="Times New Roman"/>
          <w:spacing w:val="-7"/>
          <w:sz w:val="18"/>
          <w:szCs w:val="18"/>
          <w:lang w:val="es-ES_tradnl"/>
        </w:rPr>
        <w:t>í</w:t>
      </w:r>
      <w:r>
        <w:rPr>
          <w:spacing w:val="-7"/>
          <w:sz w:val="18"/>
          <w:szCs w:val="18"/>
          <w:lang w:val="es-ES_tradnl"/>
        </w:rPr>
        <w:t xml:space="preserve">a </w:t>
      </w:r>
      <w:r>
        <w:rPr>
          <w:spacing w:val="-11"/>
          <w:sz w:val="18"/>
          <w:szCs w:val="18"/>
          <w:lang w:val="es-ES_tradnl"/>
        </w:rPr>
        <w:t xml:space="preserve">expedida el 11 de julio de 2012, por la Sala de lo Contencioso </w:t>
      </w:r>
      <w:r>
        <w:rPr>
          <w:spacing w:val="-8"/>
          <w:sz w:val="18"/>
          <w:szCs w:val="18"/>
          <w:lang w:val="es-ES_tradnl"/>
        </w:rPr>
        <w:t xml:space="preserve">Tributario de la Corte Nacional de Justicia, mediante el cual </w:t>
      </w:r>
      <w:r>
        <w:rPr>
          <w:spacing w:val="-9"/>
          <w:sz w:val="18"/>
          <w:szCs w:val="18"/>
          <w:lang w:val="es-ES_tradnl"/>
        </w:rPr>
        <w:t>cas</w:t>
      </w:r>
      <w:r>
        <w:rPr>
          <w:rFonts w:cs="Times New Roman"/>
          <w:spacing w:val="-9"/>
          <w:sz w:val="18"/>
          <w:szCs w:val="18"/>
          <w:lang w:val="es-ES_tradnl"/>
        </w:rPr>
        <w:t>ó</w:t>
      </w:r>
      <w:r>
        <w:rPr>
          <w:spacing w:val="-9"/>
          <w:sz w:val="18"/>
          <w:szCs w:val="18"/>
          <w:lang w:val="es-ES_tradnl"/>
        </w:rPr>
        <w:t xml:space="preserve"> la sentencia expedida por la Cuarta Sala temporal del </w:t>
      </w:r>
      <w:r>
        <w:rPr>
          <w:spacing w:val="-3"/>
          <w:sz w:val="18"/>
          <w:szCs w:val="18"/>
          <w:lang w:val="es-ES_tradnl"/>
        </w:rPr>
        <w:t>Tribunal Distrital de lo Fiscal N.</w:t>
      </w:r>
      <w:r>
        <w:rPr>
          <w:rFonts w:cs="Times New Roman"/>
          <w:spacing w:val="-3"/>
          <w:sz w:val="18"/>
          <w:szCs w:val="18"/>
          <w:lang w:val="es-ES_tradnl"/>
        </w:rPr>
        <w:t>º</w:t>
      </w:r>
      <w:r>
        <w:rPr>
          <w:spacing w:val="-3"/>
          <w:sz w:val="18"/>
          <w:szCs w:val="18"/>
          <w:lang w:val="es-ES_tradnl"/>
        </w:rPr>
        <w:t xml:space="preserve"> 1 con sede en Quito, </w:t>
      </w:r>
      <w:r>
        <w:rPr>
          <w:sz w:val="18"/>
          <w:szCs w:val="18"/>
          <w:lang w:val="es-ES_tradnl"/>
        </w:rPr>
        <w:t>dentro del juicio de impugnaci</w:t>
      </w:r>
      <w:r>
        <w:rPr>
          <w:rFonts w:cs="Times New Roman"/>
          <w:sz w:val="18"/>
          <w:szCs w:val="18"/>
          <w:lang w:val="es-ES_tradnl"/>
        </w:rPr>
        <w:t>ó</w:t>
      </w:r>
      <w:r>
        <w:rPr>
          <w:sz w:val="18"/>
          <w:szCs w:val="18"/>
          <w:lang w:val="es-ES_tradnl"/>
        </w:rPr>
        <w:t>n N.</w:t>
      </w:r>
      <w:r>
        <w:rPr>
          <w:rFonts w:cs="Times New Roman"/>
          <w:sz w:val="18"/>
          <w:szCs w:val="18"/>
          <w:lang w:val="es-ES_tradnl"/>
        </w:rPr>
        <w:t>º</w:t>
      </w:r>
      <w:r>
        <w:rPr>
          <w:sz w:val="18"/>
          <w:szCs w:val="18"/>
          <w:lang w:val="es-ES_tradnl"/>
        </w:rPr>
        <w:t xml:space="preserve"> 24273-129-09 </w:t>
      </w:r>
      <w:r>
        <w:rPr>
          <w:spacing w:val="-9"/>
          <w:sz w:val="18"/>
          <w:szCs w:val="18"/>
          <w:lang w:val="es-ES_tradnl"/>
        </w:rPr>
        <w:t>seguido por la compa</w:t>
      </w:r>
      <w:r>
        <w:rPr>
          <w:rFonts w:cs="Times New Roman"/>
          <w:spacing w:val="-9"/>
          <w:sz w:val="18"/>
          <w:szCs w:val="18"/>
          <w:lang w:val="es-ES_tradnl"/>
        </w:rPr>
        <w:t>ñí</w:t>
      </w:r>
      <w:r>
        <w:rPr>
          <w:spacing w:val="-9"/>
          <w:sz w:val="18"/>
          <w:szCs w:val="18"/>
          <w:lang w:val="es-ES_tradnl"/>
        </w:rPr>
        <w:t>a LICORES DE EXPORTACI</w:t>
      </w:r>
      <w:r>
        <w:rPr>
          <w:rFonts w:cs="Times New Roman"/>
          <w:spacing w:val="-9"/>
          <w:sz w:val="18"/>
          <w:szCs w:val="18"/>
          <w:lang w:val="es-ES_tradnl"/>
        </w:rPr>
        <w:t>Ó</w:t>
      </w:r>
      <w:r>
        <w:rPr>
          <w:spacing w:val="-9"/>
          <w:sz w:val="18"/>
          <w:szCs w:val="18"/>
          <w:lang w:val="es-ES_tradnl"/>
        </w:rPr>
        <w:t xml:space="preserve">N S. </w:t>
      </w:r>
      <w:r>
        <w:rPr>
          <w:spacing w:val="-6"/>
          <w:sz w:val="18"/>
          <w:szCs w:val="18"/>
          <w:lang w:val="es-ES_tradnl"/>
        </w:rPr>
        <w:t>A. (LICORESA) en contra de la administraci</w:t>
      </w:r>
      <w:r>
        <w:rPr>
          <w:rFonts w:cs="Times New Roman"/>
          <w:spacing w:val="-6"/>
          <w:sz w:val="18"/>
          <w:szCs w:val="18"/>
          <w:lang w:val="es-ES_tradnl"/>
        </w:rPr>
        <w:t>ó</w:t>
      </w:r>
      <w:r>
        <w:rPr>
          <w:spacing w:val="-6"/>
          <w:sz w:val="18"/>
          <w:szCs w:val="18"/>
          <w:lang w:val="es-ES_tradnl"/>
        </w:rPr>
        <w:t>n tributaria.</w:t>
      </w:r>
    </w:p>
    <w:p w14:paraId="4F67B734" w14:textId="77777777" w:rsidR="00591D54" w:rsidRDefault="00591D54">
      <w:pPr>
        <w:shd w:val="clear" w:color="auto" w:fill="FFFFFF"/>
        <w:spacing w:before="197"/>
      </w:pPr>
      <w:r>
        <w:rPr>
          <w:spacing w:val="-9"/>
          <w:sz w:val="18"/>
          <w:szCs w:val="18"/>
          <w:lang w:val="es-ES_tradnl"/>
        </w:rPr>
        <w:t>La sentencia impugnada se</w:t>
      </w:r>
      <w:r>
        <w:rPr>
          <w:rFonts w:cs="Times New Roman"/>
          <w:spacing w:val="-9"/>
          <w:sz w:val="18"/>
          <w:szCs w:val="18"/>
          <w:lang w:val="es-ES_tradnl"/>
        </w:rPr>
        <w:t>ñ</w:t>
      </w:r>
      <w:r>
        <w:rPr>
          <w:spacing w:val="-9"/>
          <w:sz w:val="18"/>
          <w:szCs w:val="18"/>
          <w:lang w:val="es-ES_tradnl"/>
        </w:rPr>
        <w:t>ala en lo principal, lo siguiente:</w:t>
      </w:r>
    </w:p>
    <w:p w14:paraId="4F67B735" w14:textId="77777777" w:rsidR="00591D54" w:rsidRDefault="00591D54">
      <w:pPr>
        <w:shd w:val="clear" w:color="auto" w:fill="FFFFFF"/>
        <w:spacing w:before="206" w:line="216" w:lineRule="exact"/>
        <w:ind w:left="283"/>
        <w:jc w:val="both"/>
      </w:pPr>
      <w:r>
        <w:rPr>
          <w:b/>
          <w:bCs/>
          <w:spacing w:val="-9"/>
          <w:sz w:val="16"/>
          <w:szCs w:val="16"/>
          <w:lang w:val="es-ES_tradnl"/>
        </w:rPr>
        <w:t>Quito, a 11 de julio de 2012.- (</w:t>
      </w:r>
      <w:r>
        <w:rPr>
          <w:rFonts w:cs="Times New Roman"/>
          <w:b/>
          <w:bCs/>
          <w:spacing w:val="-9"/>
          <w:sz w:val="16"/>
          <w:szCs w:val="16"/>
          <w:lang w:val="es-ES_tradnl"/>
        </w:rPr>
        <w:t>…</w:t>
      </w:r>
      <w:r>
        <w:rPr>
          <w:b/>
          <w:bCs/>
          <w:spacing w:val="-9"/>
          <w:sz w:val="16"/>
          <w:szCs w:val="16"/>
          <w:lang w:val="es-ES_tradnl"/>
        </w:rPr>
        <w:t xml:space="preserve">) CUARTO.- </w:t>
      </w:r>
      <w:r>
        <w:rPr>
          <w:spacing w:val="-9"/>
          <w:sz w:val="16"/>
          <w:szCs w:val="16"/>
          <w:lang w:val="es-ES_tradnl"/>
        </w:rPr>
        <w:t>La impugnaci</w:t>
      </w:r>
      <w:r>
        <w:rPr>
          <w:rFonts w:cs="Times New Roman"/>
          <w:spacing w:val="-9"/>
          <w:sz w:val="16"/>
          <w:szCs w:val="16"/>
          <w:lang w:val="es-ES_tradnl"/>
        </w:rPr>
        <w:t>ó</w:t>
      </w:r>
      <w:r>
        <w:rPr>
          <w:spacing w:val="-9"/>
          <w:sz w:val="16"/>
          <w:szCs w:val="16"/>
          <w:lang w:val="es-ES_tradnl"/>
        </w:rPr>
        <w:t xml:space="preserve">n </w:t>
      </w:r>
      <w:r>
        <w:rPr>
          <w:spacing w:val="-7"/>
          <w:sz w:val="16"/>
          <w:szCs w:val="16"/>
          <w:lang w:val="es-ES_tradnl"/>
        </w:rPr>
        <w:t>a la sentencia gira en torno a la interpretaci</w:t>
      </w:r>
      <w:r>
        <w:rPr>
          <w:rFonts w:cs="Times New Roman"/>
          <w:spacing w:val="-7"/>
          <w:sz w:val="16"/>
          <w:szCs w:val="16"/>
          <w:lang w:val="es-ES_tradnl"/>
        </w:rPr>
        <w:t>ó</w:t>
      </w:r>
      <w:r>
        <w:rPr>
          <w:spacing w:val="-7"/>
          <w:sz w:val="16"/>
          <w:szCs w:val="16"/>
          <w:lang w:val="es-ES_tradnl"/>
        </w:rPr>
        <w:t xml:space="preserve">n que las partes y </w:t>
      </w:r>
      <w:r>
        <w:rPr>
          <w:spacing w:val="-8"/>
          <w:sz w:val="16"/>
          <w:szCs w:val="16"/>
          <w:lang w:val="es-ES_tradnl"/>
        </w:rPr>
        <w:t>la Sala de instancia da al contenido del art</w:t>
      </w:r>
      <w:r>
        <w:rPr>
          <w:rFonts w:cs="Times New Roman"/>
          <w:spacing w:val="-8"/>
          <w:sz w:val="16"/>
          <w:szCs w:val="16"/>
          <w:lang w:val="es-ES_tradnl"/>
        </w:rPr>
        <w:t>í</w:t>
      </w:r>
      <w:r>
        <w:rPr>
          <w:spacing w:val="-8"/>
          <w:sz w:val="16"/>
          <w:szCs w:val="16"/>
          <w:lang w:val="es-ES_tradnl"/>
        </w:rPr>
        <w:t xml:space="preserve">culo 72 de la Ley de </w:t>
      </w:r>
      <w:r>
        <w:rPr>
          <w:spacing w:val="-9"/>
          <w:sz w:val="16"/>
          <w:szCs w:val="16"/>
          <w:lang w:val="es-ES_tradnl"/>
        </w:rPr>
        <w:t>R</w:t>
      </w:r>
      <w:r>
        <w:rPr>
          <w:rFonts w:cs="Times New Roman"/>
          <w:spacing w:val="-9"/>
          <w:sz w:val="16"/>
          <w:szCs w:val="16"/>
          <w:lang w:val="es-ES_tradnl"/>
        </w:rPr>
        <w:t>é</w:t>
      </w:r>
      <w:r>
        <w:rPr>
          <w:spacing w:val="-9"/>
          <w:sz w:val="16"/>
          <w:szCs w:val="16"/>
          <w:lang w:val="es-ES_tradnl"/>
        </w:rPr>
        <w:t>gimen Tributario Interno vigente en el a</w:t>
      </w:r>
      <w:r>
        <w:rPr>
          <w:rFonts w:cs="Times New Roman"/>
          <w:spacing w:val="-9"/>
          <w:sz w:val="16"/>
          <w:szCs w:val="16"/>
          <w:lang w:val="es-ES_tradnl"/>
        </w:rPr>
        <w:t>ñ</w:t>
      </w:r>
      <w:r>
        <w:rPr>
          <w:spacing w:val="-9"/>
          <w:sz w:val="16"/>
          <w:szCs w:val="16"/>
          <w:lang w:val="es-ES_tradnl"/>
        </w:rPr>
        <w:t xml:space="preserve">o de la controversia, </w:t>
      </w:r>
      <w:r>
        <w:rPr>
          <w:spacing w:val="-6"/>
          <w:sz w:val="16"/>
          <w:szCs w:val="16"/>
          <w:lang w:val="es-ES_tradnl"/>
        </w:rPr>
        <w:t>hoy art</w:t>
      </w:r>
      <w:r>
        <w:rPr>
          <w:rFonts w:cs="Times New Roman"/>
          <w:spacing w:val="-6"/>
          <w:sz w:val="16"/>
          <w:szCs w:val="16"/>
          <w:lang w:val="es-ES_tradnl"/>
        </w:rPr>
        <w:t>í</w:t>
      </w:r>
      <w:r>
        <w:rPr>
          <w:spacing w:val="-6"/>
          <w:sz w:val="16"/>
          <w:szCs w:val="16"/>
          <w:lang w:val="es-ES_tradnl"/>
        </w:rPr>
        <w:t xml:space="preserve">culo 76. Para resolver, la Sala formula las siguientes </w:t>
      </w:r>
      <w:r>
        <w:rPr>
          <w:spacing w:val="-5"/>
          <w:sz w:val="16"/>
          <w:szCs w:val="16"/>
          <w:lang w:val="es-ES_tradnl"/>
        </w:rPr>
        <w:t xml:space="preserve">consideraciones: </w:t>
      </w:r>
      <w:r>
        <w:rPr>
          <w:b/>
          <w:bCs/>
          <w:spacing w:val="-5"/>
          <w:sz w:val="16"/>
          <w:szCs w:val="16"/>
          <w:lang w:val="es-ES_tradnl"/>
        </w:rPr>
        <w:t xml:space="preserve">4.1. </w:t>
      </w:r>
      <w:r>
        <w:rPr>
          <w:spacing w:val="-5"/>
          <w:sz w:val="16"/>
          <w:szCs w:val="16"/>
          <w:lang w:val="es-ES_tradnl"/>
        </w:rPr>
        <w:t>El art</w:t>
      </w:r>
      <w:r>
        <w:rPr>
          <w:rFonts w:cs="Times New Roman"/>
          <w:spacing w:val="-5"/>
          <w:sz w:val="16"/>
          <w:szCs w:val="16"/>
          <w:lang w:val="es-ES_tradnl"/>
        </w:rPr>
        <w:t>í</w:t>
      </w:r>
      <w:r>
        <w:rPr>
          <w:spacing w:val="-5"/>
          <w:sz w:val="16"/>
          <w:szCs w:val="16"/>
          <w:lang w:val="es-ES_tradnl"/>
        </w:rPr>
        <w:t>culo 72 de la Ley de R</w:t>
      </w:r>
      <w:r>
        <w:rPr>
          <w:rFonts w:cs="Times New Roman"/>
          <w:spacing w:val="-5"/>
          <w:sz w:val="16"/>
          <w:szCs w:val="16"/>
          <w:lang w:val="es-ES_tradnl"/>
        </w:rPr>
        <w:t>é</w:t>
      </w:r>
      <w:r>
        <w:rPr>
          <w:spacing w:val="-5"/>
          <w:sz w:val="16"/>
          <w:szCs w:val="16"/>
          <w:lang w:val="es-ES_tradnl"/>
        </w:rPr>
        <w:t xml:space="preserve">gimen </w:t>
      </w:r>
      <w:r>
        <w:rPr>
          <w:spacing w:val="-6"/>
          <w:sz w:val="16"/>
          <w:szCs w:val="16"/>
          <w:lang w:val="es-ES_tradnl"/>
        </w:rPr>
        <w:t>Tributario Interno aplicable al per</w:t>
      </w:r>
      <w:r>
        <w:rPr>
          <w:rFonts w:cs="Times New Roman"/>
          <w:spacing w:val="-6"/>
          <w:sz w:val="16"/>
          <w:szCs w:val="16"/>
          <w:lang w:val="es-ES_tradnl"/>
        </w:rPr>
        <w:t>í</w:t>
      </w:r>
      <w:r>
        <w:rPr>
          <w:spacing w:val="-6"/>
          <w:sz w:val="16"/>
          <w:szCs w:val="16"/>
          <w:lang w:val="es-ES_tradnl"/>
        </w:rPr>
        <w:t>odo en discusi</w:t>
      </w:r>
      <w:r>
        <w:rPr>
          <w:rFonts w:cs="Times New Roman"/>
          <w:spacing w:val="-6"/>
          <w:sz w:val="16"/>
          <w:szCs w:val="16"/>
          <w:lang w:val="es-ES_tradnl"/>
        </w:rPr>
        <w:t>ó</w:t>
      </w:r>
      <w:r>
        <w:rPr>
          <w:spacing w:val="-6"/>
          <w:sz w:val="16"/>
          <w:szCs w:val="16"/>
          <w:lang w:val="es-ES_tradnl"/>
        </w:rPr>
        <w:t>n, a la letra, dispon</w:t>
      </w:r>
      <w:r>
        <w:rPr>
          <w:rFonts w:cs="Times New Roman"/>
          <w:spacing w:val="-6"/>
          <w:sz w:val="16"/>
          <w:szCs w:val="16"/>
          <w:lang w:val="es-ES_tradnl"/>
        </w:rPr>
        <w:t>í</w:t>
      </w:r>
      <w:r>
        <w:rPr>
          <w:spacing w:val="-6"/>
          <w:sz w:val="16"/>
          <w:szCs w:val="16"/>
          <w:lang w:val="es-ES_tradnl"/>
        </w:rPr>
        <w:t xml:space="preserve">a </w:t>
      </w:r>
      <w:r>
        <w:rPr>
          <w:rFonts w:cs="Times New Roman"/>
          <w:spacing w:val="-6"/>
          <w:sz w:val="16"/>
          <w:szCs w:val="16"/>
          <w:lang w:val="es-ES_tradnl"/>
        </w:rPr>
        <w:t>“</w:t>
      </w:r>
      <w:r>
        <w:rPr>
          <w:spacing w:val="-6"/>
          <w:sz w:val="16"/>
          <w:szCs w:val="16"/>
          <w:lang w:val="es-ES_tradnl"/>
        </w:rPr>
        <w:t>La base imponible de los productos sujetos al ICE, de producci</w:t>
      </w:r>
      <w:r>
        <w:rPr>
          <w:rFonts w:cs="Times New Roman"/>
          <w:spacing w:val="-6"/>
          <w:sz w:val="16"/>
          <w:szCs w:val="16"/>
          <w:lang w:val="es-ES_tradnl"/>
        </w:rPr>
        <w:t>ó</w:t>
      </w:r>
      <w:r>
        <w:rPr>
          <w:spacing w:val="-6"/>
          <w:sz w:val="16"/>
          <w:szCs w:val="16"/>
          <w:lang w:val="es-ES_tradnl"/>
        </w:rPr>
        <w:t>n nacional, se determinar</w:t>
      </w:r>
      <w:r>
        <w:rPr>
          <w:rFonts w:cs="Times New Roman"/>
          <w:spacing w:val="-6"/>
          <w:sz w:val="16"/>
          <w:szCs w:val="16"/>
          <w:lang w:val="es-ES_tradnl"/>
        </w:rPr>
        <w:t>á</w:t>
      </w:r>
      <w:r>
        <w:rPr>
          <w:spacing w:val="-6"/>
          <w:sz w:val="16"/>
          <w:szCs w:val="16"/>
          <w:lang w:val="es-ES_tradnl"/>
        </w:rPr>
        <w:t xml:space="preserve"> sumando el precio ex </w:t>
      </w:r>
      <w:r>
        <w:rPr>
          <w:spacing w:val="-8"/>
          <w:sz w:val="16"/>
          <w:szCs w:val="16"/>
          <w:lang w:val="es-ES_tradnl"/>
        </w:rPr>
        <w:t>- f</w:t>
      </w:r>
      <w:r>
        <w:rPr>
          <w:rFonts w:cs="Times New Roman"/>
          <w:spacing w:val="-8"/>
          <w:sz w:val="16"/>
          <w:szCs w:val="16"/>
          <w:lang w:val="es-ES_tradnl"/>
        </w:rPr>
        <w:t>á</w:t>
      </w:r>
      <w:r>
        <w:rPr>
          <w:spacing w:val="-8"/>
          <w:sz w:val="16"/>
          <w:szCs w:val="16"/>
          <w:lang w:val="es-ES_tradnl"/>
        </w:rPr>
        <w:t>brica los costos y m</w:t>
      </w:r>
      <w:r>
        <w:rPr>
          <w:rFonts w:cs="Times New Roman"/>
          <w:spacing w:val="-8"/>
          <w:sz w:val="16"/>
          <w:szCs w:val="16"/>
          <w:lang w:val="es-ES_tradnl"/>
        </w:rPr>
        <w:t>á</w:t>
      </w:r>
      <w:r>
        <w:rPr>
          <w:spacing w:val="-8"/>
          <w:sz w:val="16"/>
          <w:szCs w:val="16"/>
          <w:lang w:val="es-ES_tradnl"/>
        </w:rPr>
        <w:t>rgenes de comercializaci</w:t>
      </w:r>
      <w:r>
        <w:rPr>
          <w:rFonts w:cs="Times New Roman"/>
          <w:spacing w:val="-8"/>
          <w:sz w:val="16"/>
          <w:szCs w:val="16"/>
          <w:lang w:val="es-ES_tradnl"/>
        </w:rPr>
        <w:t>ó</w:t>
      </w:r>
      <w:r>
        <w:rPr>
          <w:spacing w:val="-8"/>
          <w:sz w:val="16"/>
          <w:szCs w:val="16"/>
          <w:lang w:val="es-ES_tradnl"/>
        </w:rPr>
        <w:t xml:space="preserve">n, suma que </w:t>
      </w:r>
      <w:r>
        <w:rPr>
          <w:spacing w:val="-6"/>
          <w:sz w:val="16"/>
          <w:szCs w:val="16"/>
          <w:lang w:val="es-ES_tradnl"/>
        </w:rPr>
        <w:t>no podr</w:t>
      </w:r>
      <w:r>
        <w:rPr>
          <w:rFonts w:cs="Times New Roman"/>
          <w:spacing w:val="-6"/>
          <w:sz w:val="16"/>
          <w:szCs w:val="16"/>
          <w:lang w:val="es-ES_tradnl"/>
        </w:rPr>
        <w:t>á</w:t>
      </w:r>
      <w:r>
        <w:rPr>
          <w:spacing w:val="-6"/>
          <w:sz w:val="16"/>
          <w:szCs w:val="16"/>
          <w:lang w:val="es-ES_tradnl"/>
        </w:rPr>
        <w:t xml:space="preserve"> ser inferior al </w:t>
      </w:r>
      <w:r>
        <w:rPr>
          <w:spacing w:val="-6"/>
          <w:sz w:val="16"/>
          <w:szCs w:val="16"/>
          <w:u w:val="single"/>
          <w:lang w:val="es-ES_tradnl"/>
        </w:rPr>
        <w:t>precio de venta al p</w:t>
      </w:r>
      <w:r>
        <w:rPr>
          <w:rFonts w:cs="Times New Roman"/>
          <w:spacing w:val="-6"/>
          <w:sz w:val="16"/>
          <w:szCs w:val="16"/>
          <w:u w:val="single"/>
          <w:lang w:val="es-ES_tradnl"/>
        </w:rPr>
        <w:t>ú</w:t>
      </w:r>
      <w:r>
        <w:rPr>
          <w:spacing w:val="-6"/>
          <w:sz w:val="16"/>
          <w:szCs w:val="16"/>
          <w:u w:val="single"/>
          <w:lang w:val="es-ES_tradnl"/>
        </w:rPr>
        <w:t xml:space="preserve">blico fijado por el </w:t>
      </w:r>
      <w:r>
        <w:rPr>
          <w:spacing w:val="-7"/>
          <w:sz w:val="16"/>
          <w:szCs w:val="16"/>
          <w:u w:val="single"/>
          <w:lang w:val="es-ES_tradnl"/>
        </w:rPr>
        <w:t xml:space="preserve">fabricante o por las autoridades competentes si fuere el caso </w:t>
      </w:r>
      <w:r>
        <w:rPr>
          <w:spacing w:val="-4"/>
          <w:sz w:val="16"/>
          <w:szCs w:val="16"/>
          <w:u w:val="single"/>
          <w:lang w:val="es-ES_tradnl"/>
        </w:rPr>
        <w:t>menos el I VA y el ICE.</w:t>
      </w:r>
      <w:r>
        <w:rPr>
          <w:spacing w:val="-4"/>
          <w:sz w:val="16"/>
          <w:szCs w:val="16"/>
          <w:lang w:val="es-ES_tradnl"/>
        </w:rPr>
        <w:t xml:space="preserve"> A esta base imponible se aplicar</w:t>
      </w:r>
      <w:r>
        <w:rPr>
          <w:rFonts w:cs="Times New Roman"/>
          <w:spacing w:val="-4"/>
          <w:sz w:val="16"/>
          <w:szCs w:val="16"/>
          <w:lang w:val="es-ES_tradnl"/>
        </w:rPr>
        <w:t>á</w:t>
      </w:r>
      <w:r>
        <w:rPr>
          <w:spacing w:val="-4"/>
          <w:sz w:val="16"/>
          <w:szCs w:val="16"/>
          <w:lang w:val="es-ES_tradnl"/>
        </w:rPr>
        <w:t xml:space="preserve">n </w:t>
      </w:r>
      <w:r>
        <w:rPr>
          <w:spacing w:val="-6"/>
          <w:sz w:val="16"/>
          <w:szCs w:val="16"/>
          <w:lang w:val="es-ES_tradnl"/>
        </w:rPr>
        <w:t xml:space="preserve">las tarifas </w:t>
      </w:r>
      <w:r>
        <w:rPr>
          <w:i/>
          <w:iCs/>
          <w:spacing w:val="-6"/>
          <w:sz w:val="16"/>
          <w:szCs w:val="16"/>
          <w:lang w:val="es-ES_tradnl"/>
        </w:rPr>
        <w:t xml:space="preserve">ad </w:t>
      </w:r>
      <w:r>
        <w:rPr>
          <w:rFonts w:cs="Times New Roman"/>
          <w:i/>
          <w:iCs/>
          <w:spacing w:val="-6"/>
          <w:sz w:val="16"/>
          <w:szCs w:val="16"/>
          <w:lang w:val="es-ES_tradnl"/>
        </w:rPr>
        <w:t>–</w:t>
      </w:r>
      <w:r>
        <w:rPr>
          <w:i/>
          <w:iCs/>
          <w:spacing w:val="-6"/>
          <w:sz w:val="16"/>
          <w:szCs w:val="16"/>
          <w:lang w:val="es-ES_tradnl"/>
        </w:rPr>
        <w:t xml:space="preserve"> valorem </w:t>
      </w:r>
      <w:r>
        <w:rPr>
          <w:spacing w:val="-6"/>
          <w:sz w:val="16"/>
          <w:szCs w:val="16"/>
          <w:lang w:val="es-ES_tradnl"/>
        </w:rPr>
        <w:t xml:space="preserve">que se establecen en esta Ley. Al 31 </w:t>
      </w:r>
      <w:r>
        <w:rPr>
          <w:spacing w:val="-7"/>
          <w:sz w:val="16"/>
          <w:szCs w:val="16"/>
          <w:lang w:val="es-ES_tradnl"/>
        </w:rPr>
        <w:t>de diciembre de cada a</w:t>
      </w:r>
      <w:r>
        <w:rPr>
          <w:rFonts w:cs="Times New Roman"/>
          <w:spacing w:val="-7"/>
          <w:sz w:val="16"/>
          <w:szCs w:val="16"/>
          <w:lang w:val="es-ES_tradnl"/>
        </w:rPr>
        <w:t>ñ</w:t>
      </w:r>
      <w:r>
        <w:rPr>
          <w:spacing w:val="-7"/>
          <w:sz w:val="16"/>
          <w:szCs w:val="16"/>
          <w:lang w:val="es-ES_tradnl"/>
        </w:rPr>
        <w:t xml:space="preserve">o o cada vez que se introduzca una </w:t>
      </w:r>
      <w:r>
        <w:rPr>
          <w:spacing w:val="-5"/>
          <w:sz w:val="16"/>
          <w:szCs w:val="16"/>
          <w:lang w:val="es-ES_tradnl"/>
        </w:rPr>
        <w:t>modificaci</w:t>
      </w:r>
      <w:r>
        <w:rPr>
          <w:rFonts w:cs="Times New Roman"/>
          <w:spacing w:val="-5"/>
          <w:sz w:val="16"/>
          <w:szCs w:val="16"/>
          <w:lang w:val="es-ES_tradnl"/>
        </w:rPr>
        <w:t>ó</w:t>
      </w:r>
      <w:r>
        <w:rPr>
          <w:spacing w:val="-5"/>
          <w:sz w:val="16"/>
          <w:szCs w:val="16"/>
          <w:lang w:val="es-ES_tradnl"/>
        </w:rPr>
        <w:t>n al precio, los fabricantes notificar</w:t>
      </w:r>
      <w:r>
        <w:rPr>
          <w:rFonts w:cs="Times New Roman"/>
          <w:spacing w:val="-5"/>
          <w:sz w:val="16"/>
          <w:szCs w:val="16"/>
          <w:lang w:val="es-ES_tradnl"/>
        </w:rPr>
        <w:t>á</w:t>
      </w:r>
      <w:r>
        <w:rPr>
          <w:spacing w:val="-5"/>
          <w:sz w:val="16"/>
          <w:szCs w:val="16"/>
          <w:lang w:val="es-ES_tradnl"/>
        </w:rPr>
        <w:t xml:space="preserve">n al Servicio </w:t>
      </w:r>
      <w:r>
        <w:rPr>
          <w:spacing w:val="-6"/>
          <w:sz w:val="16"/>
          <w:szCs w:val="16"/>
          <w:lang w:val="es-ES_tradnl"/>
        </w:rPr>
        <w:t xml:space="preserve">de Rentas Internas la nueva base imponible y los precios de </w:t>
      </w:r>
      <w:r>
        <w:rPr>
          <w:spacing w:val="-9"/>
          <w:sz w:val="16"/>
          <w:szCs w:val="16"/>
          <w:lang w:val="es-ES_tradnl"/>
        </w:rPr>
        <w:t>venta al p</w:t>
      </w:r>
      <w:r>
        <w:rPr>
          <w:rFonts w:cs="Times New Roman"/>
          <w:spacing w:val="-9"/>
          <w:sz w:val="16"/>
          <w:szCs w:val="16"/>
          <w:lang w:val="es-ES_tradnl"/>
        </w:rPr>
        <w:t>ú</w:t>
      </w:r>
      <w:r>
        <w:rPr>
          <w:spacing w:val="-9"/>
          <w:sz w:val="16"/>
          <w:szCs w:val="16"/>
          <w:lang w:val="es-ES_tradnl"/>
        </w:rPr>
        <w:t xml:space="preserve">blico fijados para los productos elaborados por ellos. </w:t>
      </w:r>
      <w:r>
        <w:rPr>
          <w:spacing w:val="-6"/>
          <w:sz w:val="16"/>
          <w:szCs w:val="16"/>
          <w:lang w:val="es-ES_tradnl"/>
        </w:rPr>
        <w:t xml:space="preserve">Para los productos importados sujetos al ICE, incluyendo los </w:t>
      </w:r>
      <w:r>
        <w:rPr>
          <w:spacing w:val="-5"/>
          <w:sz w:val="16"/>
          <w:szCs w:val="16"/>
          <w:lang w:val="es-ES_tradnl"/>
        </w:rPr>
        <w:t>casos especiales a que se refiere el art</w:t>
      </w:r>
      <w:r>
        <w:rPr>
          <w:rFonts w:cs="Times New Roman"/>
          <w:spacing w:val="-5"/>
          <w:sz w:val="16"/>
          <w:szCs w:val="16"/>
          <w:lang w:val="es-ES_tradnl"/>
        </w:rPr>
        <w:t>í</w:t>
      </w:r>
      <w:r>
        <w:rPr>
          <w:spacing w:val="-5"/>
          <w:sz w:val="16"/>
          <w:szCs w:val="16"/>
          <w:lang w:val="es-ES_tradnl"/>
        </w:rPr>
        <w:t xml:space="preserve">culo 60 de esta Ley, </w:t>
      </w:r>
      <w:r>
        <w:rPr>
          <w:spacing w:val="-7"/>
          <w:sz w:val="16"/>
          <w:szCs w:val="16"/>
          <w:lang w:val="es-ES_tradnl"/>
        </w:rPr>
        <w:t>la base imponible se determinar</w:t>
      </w:r>
      <w:r>
        <w:rPr>
          <w:rFonts w:cs="Times New Roman"/>
          <w:spacing w:val="-7"/>
          <w:sz w:val="16"/>
          <w:szCs w:val="16"/>
          <w:lang w:val="es-ES_tradnl"/>
        </w:rPr>
        <w:t>á</w:t>
      </w:r>
      <w:r>
        <w:rPr>
          <w:spacing w:val="-7"/>
          <w:sz w:val="16"/>
          <w:szCs w:val="16"/>
          <w:lang w:val="es-ES_tradnl"/>
        </w:rPr>
        <w:t xml:space="preserve"> incrementando al valor </w:t>
      </w:r>
      <w:r>
        <w:rPr>
          <w:i/>
          <w:iCs/>
          <w:spacing w:val="-7"/>
          <w:sz w:val="16"/>
          <w:szCs w:val="16"/>
          <w:lang w:val="es-ES_tradnl"/>
        </w:rPr>
        <w:t xml:space="preserve">ex </w:t>
      </w:r>
      <w:r>
        <w:rPr>
          <w:rFonts w:cs="Times New Roman"/>
          <w:i/>
          <w:iCs/>
          <w:spacing w:val="-7"/>
          <w:sz w:val="16"/>
          <w:szCs w:val="16"/>
          <w:lang w:val="es-ES_tradnl"/>
        </w:rPr>
        <w:t xml:space="preserve">– </w:t>
      </w:r>
      <w:r>
        <w:rPr>
          <w:i/>
          <w:iCs/>
          <w:spacing w:val="-10"/>
          <w:sz w:val="16"/>
          <w:szCs w:val="16"/>
          <w:lang w:val="es-ES_tradnl"/>
        </w:rPr>
        <w:t xml:space="preserve">aduana </w:t>
      </w:r>
      <w:r>
        <w:rPr>
          <w:spacing w:val="-10"/>
          <w:sz w:val="16"/>
          <w:szCs w:val="16"/>
          <w:lang w:val="es-ES_tradnl"/>
        </w:rPr>
        <w:t>un 25% por concepto de costos y m</w:t>
      </w:r>
      <w:r>
        <w:rPr>
          <w:rFonts w:cs="Times New Roman"/>
          <w:spacing w:val="-10"/>
          <w:sz w:val="16"/>
          <w:szCs w:val="16"/>
          <w:lang w:val="es-ES_tradnl"/>
        </w:rPr>
        <w:t>á</w:t>
      </w:r>
      <w:r>
        <w:rPr>
          <w:spacing w:val="-10"/>
          <w:sz w:val="16"/>
          <w:szCs w:val="16"/>
          <w:lang w:val="es-ES_tradnl"/>
        </w:rPr>
        <w:t xml:space="preserve">rgenes presuntivos </w:t>
      </w:r>
      <w:r>
        <w:rPr>
          <w:spacing w:val="-5"/>
          <w:sz w:val="16"/>
          <w:szCs w:val="16"/>
          <w:lang w:val="es-ES_tradnl"/>
        </w:rPr>
        <w:t>de comercializaci</w:t>
      </w:r>
      <w:r>
        <w:rPr>
          <w:rFonts w:cs="Times New Roman"/>
          <w:spacing w:val="-5"/>
          <w:sz w:val="16"/>
          <w:szCs w:val="16"/>
          <w:lang w:val="es-ES_tradnl"/>
        </w:rPr>
        <w:t>ó</w:t>
      </w:r>
      <w:r>
        <w:rPr>
          <w:spacing w:val="-5"/>
          <w:sz w:val="16"/>
          <w:szCs w:val="16"/>
          <w:lang w:val="es-ES_tradnl"/>
        </w:rPr>
        <w:t>n. No obstante lo se</w:t>
      </w:r>
      <w:r>
        <w:rPr>
          <w:rFonts w:cs="Times New Roman"/>
          <w:spacing w:val="-5"/>
          <w:sz w:val="16"/>
          <w:szCs w:val="16"/>
          <w:lang w:val="es-ES_tradnl"/>
        </w:rPr>
        <w:t>ñ</w:t>
      </w:r>
      <w:r>
        <w:rPr>
          <w:spacing w:val="-5"/>
          <w:sz w:val="16"/>
          <w:szCs w:val="16"/>
          <w:lang w:val="es-ES_tradnl"/>
        </w:rPr>
        <w:t xml:space="preserve">alado en los incisos </w:t>
      </w:r>
      <w:r>
        <w:rPr>
          <w:spacing w:val="-8"/>
          <w:sz w:val="16"/>
          <w:szCs w:val="16"/>
          <w:lang w:val="es-ES_tradnl"/>
        </w:rPr>
        <w:t xml:space="preserve">anteriores, para los productos nacionales o importados sujetos </w:t>
      </w:r>
      <w:r>
        <w:rPr>
          <w:sz w:val="16"/>
          <w:szCs w:val="16"/>
          <w:lang w:val="es-ES_tradnl"/>
        </w:rPr>
        <w:t>al ICE, la base imponible se determinar</w:t>
      </w:r>
      <w:r>
        <w:rPr>
          <w:rFonts w:cs="Times New Roman"/>
          <w:sz w:val="16"/>
          <w:szCs w:val="16"/>
          <w:lang w:val="es-ES_tradnl"/>
        </w:rPr>
        <w:t>á</w:t>
      </w:r>
      <w:r>
        <w:rPr>
          <w:sz w:val="16"/>
          <w:szCs w:val="16"/>
          <w:lang w:val="es-ES_tradnl"/>
        </w:rPr>
        <w:t xml:space="preserve"> incrementando </w:t>
      </w:r>
      <w:r>
        <w:rPr>
          <w:spacing w:val="-4"/>
          <w:sz w:val="16"/>
          <w:szCs w:val="16"/>
          <w:lang w:val="es-ES_tradnl"/>
        </w:rPr>
        <w:t xml:space="preserve">al valor ex </w:t>
      </w:r>
      <w:r>
        <w:rPr>
          <w:rFonts w:cs="Times New Roman"/>
          <w:spacing w:val="-4"/>
          <w:sz w:val="16"/>
          <w:szCs w:val="16"/>
          <w:lang w:val="es-ES_tradnl"/>
        </w:rPr>
        <w:t>–</w:t>
      </w:r>
      <w:r>
        <w:rPr>
          <w:spacing w:val="-4"/>
          <w:sz w:val="16"/>
          <w:szCs w:val="16"/>
          <w:lang w:val="es-ES_tradnl"/>
        </w:rPr>
        <w:t xml:space="preserve"> f</w:t>
      </w:r>
      <w:r>
        <w:rPr>
          <w:rFonts w:cs="Times New Roman"/>
          <w:spacing w:val="-4"/>
          <w:sz w:val="16"/>
          <w:szCs w:val="16"/>
          <w:lang w:val="es-ES_tradnl"/>
        </w:rPr>
        <w:t>á</w:t>
      </w:r>
      <w:r>
        <w:rPr>
          <w:spacing w:val="-4"/>
          <w:sz w:val="16"/>
          <w:szCs w:val="16"/>
          <w:lang w:val="es-ES_tradnl"/>
        </w:rPr>
        <w:t xml:space="preserve">brica o ex </w:t>
      </w:r>
      <w:r>
        <w:rPr>
          <w:rFonts w:cs="Times New Roman"/>
          <w:spacing w:val="-4"/>
          <w:sz w:val="16"/>
          <w:szCs w:val="16"/>
          <w:lang w:val="es-ES_tradnl"/>
        </w:rPr>
        <w:t>–</w:t>
      </w:r>
      <w:r>
        <w:rPr>
          <w:spacing w:val="-4"/>
          <w:sz w:val="16"/>
          <w:szCs w:val="16"/>
          <w:lang w:val="es-ES_tradnl"/>
        </w:rPr>
        <w:t xml:space="preserve"> aduana, seg</w:t>
      </w:r>
      <w:r>
        <w:rPr>
          <w:rFonts w:cs="Times New Roman"/>
          <w:spacing w:val="-4"/>
          <w:sz w:val="16"/>
          <w:szCs w:val="16"/>
          <w:lang w:val="es-ES_tradnl"/>
        </w:rPr>
        <w:t>ú</w:t>
      </w:r>
      <w:r>
        <w:rPr>
          <w:spacing w:val="-4"/>
          <w:sz w:val="16"/>
          <w:szCs w:val="16"/>
          <w:lang w:val="es-ES_tradnl"/>
        </w:rPr>
        <w:t xml:space="preserve">n corresponda un </w:t>
      </w:r>
      <w:r>
        <w:rPr>
          <w:sz w:val="16"/>
          <w:szCs w:val="16"/>
          <w:lang w:val="es-ES_tradnl"/>
        </w:rPr>
        <w:t>25% de margen m</w:t>
      </w:r>
      <w:r>
        <w:rPr>
          <w:rFonts w:cs="Times New Roman"/>
          <w:sz w:val="16"/>
          <w:szCs w:val="16"/>
          <w:lang w:val="es-ES_tradnl"/>
        </w:rPr>
        <w:t>í</w:t>
      </w:r>
      <w:r>
        <w:rPr>
          <w:sz w:val="16"/>
          <w:szCs w:val="16"/>
          <w:lang w:val="es-ES_tradnl"/>
        </w:rPr>
        <w:t>nimo presuntivo de comercializaci</w:t>
      </w:r>
      <w:r>
        <w:rPr>
          <w:rFonts w:cs="Times New Roman"/>
          <w:sz w:val="16"/>
          <w:szCs w:val="16"/>
          <w:lang w:val="es-ES_tradnl"/>
        </w:rPr>
        <w:t>ó</w:t>
      </w:r>
      <w:r>
        <w:rPr>
          <w:sz w:val="16"/>
          <w:szCs w:val="16"/>
          <w:lang w:val="es-ES_tradnl"/>
        </w:rPr>
        <w:t xml:space="preserve">n. </w:t>
      </w:r>
      <w:r>
        <w:rPr>
          <w:spacing w:val="-4"/>
          <w:sz w:val="16"/>
          <w:szCs w:val="16"/>
          <w:u w:val="single"/>
          <w:lang w:val="es-ES_tradnl"/>
        </w:rPr>
        <w:t>Si se comercializan los productos con m</w:t>
      </w:r>
      <w:r>
        <w:rPr>
          <w:rFonts w:cs="Times New Roman"/>
          <w:spacing w:val="-4"/>
          <w:sz w:val="16"/>
          <w:szCs w:val="16"/>
          <w:u w:val="single"/>
          <w:lang w:val="es-ES_tradnl"/>
        </w:rPr>
        <w:t>á</w:t>
      </w:r>
      <w:r>
        <w:rPr>
          <w:spacing w:val="-4"/>
          <w:sz w:val="16"/>
          <w:szCs w:val="16"/>
          <w:u w:val="single"/>
          <w:lang w:val="es-ES_tradnl"/>
        </w:rPr>
        <w:t xml:space="preserve">rgenes superiores </w:t>
      </w:r>
      <w:r>
        <w:rPr>
          <w:spacing w:val="-5"/>
          <w:sz w:val="16"/>
          <w:szCs w:val="16"/>
          <w:u w:val="single"/>
          <w:lang w:val="es-ES_tradnl"/>
        </w:rPr>
        <w:t>al m</w:t>
      </w:r>
      <w:r>
        <w:rPr>
          <w:rFonts w:cs="Times New Roman"/>
          <w:spacing w:val="-5"/>
          <w:sz w:val="16"/>
          <w:szCs w:val="16"/>
          <w:u w:val="single"/>
          <w:lang w:val="es-ES_tradnl"/>
        </w:rPr>
        <w:t>í</w:t>
      </w:r>
      <w:r>
        <w:rPr>
          <w:spacing w:val="-5"/>
          <w:sz w:val="16"/>
          <w:szCs w:val="16"/>
          <w:u w:val="single"/>
          <w:lang w:val="es-ES_tradnl"/>
        </w:rPr>
        <w:t>nimo presuntivo antes se</w:t>
      </w:r>
      <w:r>
        <w:rPr>
          <w:rFonts w:cs="Times New Roman"/>
          <w:spacing w:val="-5"/>
          <w:sz w:val="16"/>
          <w:szCs w:val="16"/>
          <w:u w:val="single"/>
          <w:lang w:val="es-ES_tradnl"/>
        </w:rPr>
        <w:t>ñ</w:t>
      </w:r>
      <w:r>
        <w:rPr>
          <w:spacing w:val="-5"/>
          <w:sz w:val="16"/>
          <w:szCs w:val="16"/>
          <w:u w:val="single"/>
          <w:lang w:val="es-ES_tradnl"/>
        </w:rPr>
        <w:t>alado, se deber</w:t>
      </w:r>
      <w:r>
        <w:rPr>
          <w:rFonts w:cs="Times New Roman"/>
          <w:spacing w:val="-5"/>
          <w:sz w:val="16"/>
          <w:szCs w:val="16"/>
          <w:u w:val="single"/>
          <w:lang w:val="es-ES_tradnl"/>
        </w:rPr>
        <w:t>á</w:t>
      </w:r>
      <w:r>
        <w:rPr>
          <w:spacing w:val="-5"/>
          <w:sz w:val="16"/>
          <w:szCs w:val="16"/>
          <w:u w:val="single"/>
          <w:lang w:val="es-ES_tradnl"/>
        </w:rPr>
        <w:t xml:space="preserve"> aplicar el </w:t>
      </w:r>
      <w:r>
        <w:rPr>
          <w:spacing w:val="-6"/>
          <w:sz w:val="16"/>
          <w:szCs w:val="16"/>
          <w:u w:val="single"/>
          <w:lang w:val="es-ES_tradnl"/>
        </w:rPr>
        <w:t>margen mayor para determinar la base imponible con el ICE</w:t>
      </w:r>
      <w:r>
        <w:rPr>
          <w:spacing w:val="-6"/>
          <w:sz w:val="16"/>
          <w:szCs w:val="16"/>
          <w:lang w:val="es-ES_tradnl"/>
        </w:rPr>
        <w:t xml:space="preserve">. </w:t>
      </w:r>
      <w:r>
        <w:rPr>
          <w:spacing w:val="-4"/>
          <w:sz w:val="16"/>
          <w:szCs w:val="16"/>
          <w:lang w:val="es-ES_tradnl"/>
        </w:rPr>
        <w:t>La liquidaci</w:t>
      </w:r>
      <w:r>
        <w:rPr>
          <w:rFonts w:cs="Times New Roman"/>
          <w:spacing w:val="-4"/>
          <w:sz w:val="16"/>
          <w:szCs w:val="16"/>
          <w:lang w:val="es-ES_tradnl"/>
        </w:rPr>
        <w:t>ó</w:t>
      </w:r>
      <w:r>
        <w:rPr>
          <w:spacing w:val="-4"/>
          <w:sz w:val="16"/>
          <w:szCs w:val="16"/>
          <w:lang w:val="es-ES_tradnl"/>
        </w:rPr>
        <w:t>n y pago del ICE aplicando el margen m</w:t>
      </w:r>
      <w:r>
        <w:rPr>
          <w:rFonts w:cs="Times New Roman"/>
          <w:spacing w:val="-4"/>
          <w:sz w:val="16"/>
          <w:szCs w:val="16"/>
          <w:lang w:val="es-ES_tradnl"/>
        </w:rPr>
        <w:t>í</w:t>
      </w:r>
      <w:r>
        <w:rPr>
          <w:spacing w:val="-4"/>
          <w:sz w:val="16"/>
          <w:szCs w:val="16"/>
          <w:lang w:val="es-ES_tradnl"/>
        </w:rPr>
        <w:t xml:space="preserve">nimo </w:t>
      </w:r>
      <w:r>
        <w:rPr>
          <w:spacing w:val="-7"/>
          <w:sz w:val="16"/>
          <w:szCs w:val="16"/>
          <w:lang w:val="es-ES_tradnl"/>
        </w:rPr>
        <w:t xml:space="preserve">presuntivo, cuando de hecho se comercialicen los respectivos </w:t>
      </w:r>
      <w:r>
        <w:rPr>
          <w:spacing w:val="-8"/>
          <w:sz w:val="16"/>
          <w:szCs w:val="16"/>
          <w:lang w:val="es-ES_tradnl"/>
        </w:rPr>
        <w:t>productos con m</w:t>
      </w:r>
      <w:r>
        <w:rPr>
          <w:rFonts w:cs="Times New Roman"/>
          <w:spacing w:val="-8"/>
          <w:sz w:val="16"/>
          <w:szCs w:val="16"/>
          <w:lang w:val="es-ES_tradnl"/>
        </w:rPr>
        <w:t>á</w:t>
      </w:r>
      <w:r>
        <w:rPr>
          <w:spacing w:val="-8"/>
          <w:sz w:val="16"/>
          <w:szCs w:val="16"/>
          <w:lang w:val="es-ES_tradnl"/>
        </w:rPr>
        <w:t>rgenes mayores, se considerar</w:t>
      </w:r>
      <w:r>
        <w:rPr>
          <w:rFonts w:cs="Times New Roman"/>
          <w:spacing w:val="-8"/>
          <w:sz w:val="16"/>
          <w:szCs w:val="16"/>
          <w:lang w:val="es-ES_tradnl"/>
        </w:rPr>
        <w:t>á</w:t>
      </w:r>
      <w:r>
        <w:rPr>
          <w:spacing w:val="-8"/>
          <w:sz w:val="16"/>
          <w:szCs w:val="16"/>
          <w:lang w:val="es-ES_tradnl"/>
        </w:rPr>
        <w:t xml:space="preserve"> un acto de </w:t>
      </w:r>
      <w:r>
        <w:rPr>
          <w:spacing w:val="-6"/>
          <w:sz w:val="16"/>
          <w:szCs w:val="16"/>
          <w:lang w:val="es-ES_tradnl"/>
        </w:rPr>
        <w:t>defraudaci</w:t>
      </w:r>
      <w:r>
        <w:rPr>
          <w:rFonts w:cs="Times New Roman"/>
          <w:spacing w:val="-6"/>
          <w:sz w:val="16"/>
          <w:szCs w:val="16"/>
          <w:lang w:val="es-ES_tradnl"/>
        </w:rPr>
        <w:t>ó</w:t>
      </w:r>
      <w:r>
        <w:rPr>
          <w:spacing w:val="-6"/>
          <w:sz w:val="16"/>
          <w:szCs w:val="16"/>
          <w:lang w:val="es-ES_tradnl"/>
        </w:rPr>
        <w:t>n tributaria</w:t>
      </w:r>
      <w:r>
        <w:rPr>
          <w:rFonts w:cs="Times New Roman"/>
          <w:spacing w:val="-6"/>
          <w:sz w:val="16"/>
          <w:szCs w:val="16"/>
          <w:lang w:val="es-ES_tradnl"/>
        </w:rPr>
        <w:t>”</w:t>
      </w:r>
      <w:r>
        <w:rPr>
          <w:spacing w:val="-6"/>
          <w:sz w:val="16"/>
          <w:szCs w:val="16"/>
          <w:lang w:val="es-ES_tradnl"/>
        </w:rPr>
        <w:t xml:space="preserve">. </w:t>
      </w:r>
      <w:r>
        <w:rPr>
          <w:b/>
          <w:bCs/>
          <w:spacing w:val="-6"/>
          <w:sz w:val="16"/>
          <w:szCs w:val="16"/>
          <w:lang w:val="es-ES_tradnl"/>
        </w:rPr>
        <w:t xml:space="preserve">4.2. </w:t>
      </w:r>
      <w:r>
        <w:rPr>
          <w:spacing w:val="-6"/>
          <w:sz w:val="16"/>
          <w:szCs w:val="16"/>
          <w:lang w:val="es-ES_tradnl"/>
        </w:rPr>
        <w:t>De la disposici</w:t>
      </w:r>
      <w:r>
        <w:rPr>
          <w:rFonts w:cs="Times New Roman"/>
          <w:spacing w:val="-6"/>
          <w:sz w:val="16"/>
          <w:szCs w:val="16"/>
          <w:lang w:val="es-ES_tradnl"/>
        </w:rPr>
        <w:t>ó</w:t>
      </w:r>
      <w:r>
        <w:rPr>
          <w:spacing w:val="-6"/>
          <w:sz w:val="16"/>
          <w:szCs w:val="16"/>
          <w:lang w:val="es-ES_tradnl"/>
        </w:rPr>
        <w:t xml:space="preserve">n legal transcrita </w:t>
      </w:r>
      <w:r>
        <w:rPr>
          <w:spacing w:val="-9"/>
          <w:sz w:val="16"/>
          <w:szCs w:val="16"/>
          <w:lang w:val="es-ES_tradnl"/>
        </w:rPr>
        <w:t xml:space="preserve">se desprende que la misma establece dos opciones de precios </w:t>
      </w:r>
      <w:r>
        <w:rPr>
          <w:spacing w:val="-6"/>
          <w:sz w:val="16"/>
          <w:szCs w:val="16"/>
          <w:lang w:val="es-ES_tradnl"/>
        </w:rPr>
        <w:t>para la determinaci</w:t>
      </w:r>
      <w:r>
        <w:rPr>
          <w:rFonts w:cs="Times New Roman"/>
          <w:spacing w:val="-6"/>
          <w:sz w:val="16"/>
          <w:szCs w:val="16"/>
          <w:lang w:val="es-ES_tradnl"/>
        </w:rPr>
        <w:t>ó</w:t>
      </w:r>
      <w:r>
        <w:rPr>
          <w:spacing w:val="-6"/>
          <w:sz w:val="16"/>
          <w:szCs w:val="16"/>
          <w:lang w:val="es-ES_tradnl"/>
        </w:rPr>
        <w:t xml:space="preserve">n de la base imponible para el pago del </w:t>
      </w:r>
      <w:r>
        <w:rPr>
          <w:spacing w:val="-5"/>
          <w:sz w:val="16"/>
          <w:szCs w:val="16"/>
          <w:lang w:val="es-ES_tradnl"/>
        </w:rPr>
        <w:t>ICE, el precio de venta al p</w:t>
      </w:r>
      <w:r>
        <w:rPr>
          <w:rFonts w:cs="Times New Roman"/>
          <w:spacing w:val="-5"/>
          <w:sz w:val="16"/>
          <w:szCs w:val="16"/>
          <w:lang w:val="es-ES_tradnl"/>
        </w:rPr>
        <w:t>ú</w:t>
      </w:r>
      <w:r>
        <w:rPr>
          <w:spacing w:val="-5"/>
          <w:sz w:val="16"/>
          <w:szCs w:val="16"/>
          <w:lang w:val="es-ES_tradnl"/>
        </w:rPr>
        <w:t xml:space="preserve">blico que fije el contribuyente o </w:t>
      </w:r>
      <w:r>
        <w:rPr>
          <w:spacing w:val="-6"/>
          <w:sz w:val="16"/>
          <w:szCs w:val="16"/>
          <w:lang w:val="es-ES_tradnl"/>
        </w:rPr>
        <w:t xml:space="preserve">el precio que fije la autoridad, sin dar prioridad ni prevalencia </w:t>
      </w:r>
      <w:r>
        <w:rPr>
          <w:spacing w:val="-7"/>
          <w:sz w:val="16"/>
          <w:szCs w:val="16"/>
          <w:lang w:val="es-ES_tradnl"/>
        </w:rPr>
        <w:t xml:space="preserve">a una u otra y menos que se tome el precio mayor, ya que la </w:t>
      </w:r>
      <w:r>
        <w:rPr>
          <w:spacing w:val="-6"/>
          <w:sz w:val="16"/>
          <w:szCs w:val="16"/>
          <w:lang w:val="es-ES_tradnl"/>
        </w:rPr>
        <w:t>conjunci</w:t>
      </w:r>
      <w:r>
        <w:rPr>
          <w:rFonts w:cs="Times New Roman"/>
          <w:spacing w:val="-6"/>
          <w:sz w:val="16"/>
          <w:szCs w:val="16"/>
          <w:lang w:val="es-ES_tradnl"/>
        </w:rPr>
        <w:t>ó</w:t>
      </w:r>
      <w:r>
        <w:rPr>
          <w:spacing w:val="-6"/>
          <w:sz w:val="16"/>
          <w:szCs w:val="16"/>
          <w:lang w:val="es-ES_tradnl"/>
        </w:rPr>
        <w:t xml:space="preserve">n disyuntiva </w:t>
      </w:r>
      <w:r>
        <w:rPr>
          <w:rFonts w:cs="Times New Roman"/>
          <w:spacing w:val="-6"/>
          <w:sz w:val="16"/>
          <w:szCs w:val="16"/>
          <w:lang w:val="es-ES_tradnl"/>
        </w:rPr>
        <w:t>“</w:t>
      </w:r>
      <w:r>
        <w:rPr>
          <w:spacing w:val="-6"/>
          <w:sz w:val="16"/>
          <w:szCs w:val="16"/>
          <w:lang w:val="es-ES_tradnl"/>
        </w:rPr>
        <w:t>o</w:t>
      </w:r>
      <w:r>
        <w:rPr>
          <w:rFonts w:cs="Times New Roman"/>
          <w:spacing w:val="-6"/>
          <w:sz w:val="16"/>
          <w:szCs w:val="16"/>
          <w:lang w:val="es-ES_tradnl"/>
        </w:rPr>
        <w:t>”</w:t>
      </w:r>
      <w:r>
        <w:rPr>
          <w:spacing w:val="-6"/>
          <w:sz w:val="16"/>
          <w:szCs w:val="16"/>
          <w:lang w:val="es-ES_tradnl"/>
        </w:rPr>
        <w:t xml:space="preserve"> no deja duda para entender que se tratan de dos opciones de precios sin preferencia o prelaci</w:t>
      </w:r>
      <w:r>
        <w:rPr>
          <w:rFonts w:cs="Times New Roman"/>
          <w:spacing w:val="-6"/>
          <w:sz w:val="16"/>
          <w:szCs w:val="16"/>
          <w:lang w:val="es-ES_tradnl"/>
        </w:rPr>
        <w:t>ó</w:t>
      </w:r>
      <w:r>
        <w:rPr>
          <w:spacing w:val="-6"/>
          <w:sz w:val="16"/>
          <w:szCs w:val="16"/>
          <w:lang w:val="es-ES_tradnl"/>
        </w:rPr>
        <w:t xml:space="preserve">n </w:t>
      </w:r>
      <w:r>
        <w:rPr>
          <w:spacing w:val="-9"/>
          <w:sz w:val="16"/>
          <w:szCs w:val="16"/>
          <w:lang w:val="es-ES_tradnl"/>
        </w:rPr>
        <w:t xml:space="preserve">una de otra. </w:t>
      </w:r>
      <w:r>
        <w:rPr>
          <w:b/>
          <w:bCs/>
          <w:spacing w:val="-9"/>
          <w:sz w:val="16"/>
          <w:szCs w:val="16"/>
          <w:lang w:val="es-ES_tradnl"/>
        </w:rPr>
        <w:t xml:space="preserve">4.3. </w:t>
      </w:r>
      <w:r>
        <w:rPr>
          <w:spacing w:val="-9"/>
          <w:sz w:val="16"/>
          <w:szCs w:val="16"/>
          <w:lang w:val="es-ES_tradnl"/>
        </w:rPr>
        <w:t xml:space="preserve">En la especie, la Empresa dice haber cumplido </w:t>
      </w:r>
      <w:r>
        <w:rPr>
          <w:spacing w:val="-7"/>
          <w:sz w:val="16"/>
          <w:szCs w:val="16"/>
          <w:lang w:val="es-ES_tradnl"/>
        </w:rPr>
        <w:t xml:space="preserve">con todas las obligaciones tributarias establecidas en la ley, al </w:t>
      </w:r>
      <w:r>
        <w:rPr>
          <w:spacing w:val="-10"/>
          <w:sz w:val="16"/>
          <w:szCs w:val="16"/>
          <w:lang w:val="es-ES_tradnl"/>
        </w:rPr>
        <w:t>amparo de los precios referenciales establecidos en la resoluci</w:t>
      </w:r>
      <w:r>
        <w:rPr>
          <w:rFonts w:cs="Times New Roman"/>
          <w:spacing w:val="-10"/>
          <w:sz w:val="16"/>
          <w:szCs w:val="16"/>
          <w:lang w:val="es-ES_tradnl"/>
        </w:rPr>
        <w:t>ó</w:t>
      </w:r>
      <w:r>
        <w:rPr>
          <w:spacing w:val="-10"/>
          <w:sz w:val="16"/>
          <w:szCs w:val="16"/>
          <w:lang w:val="es-ES_tradnl"/>
        </w:rPr>
        <w:t xml:space="preserve">n </w:t>
      </w:r>
      <w:r>
        <w:rPr>
          <w:spacing w:val="-5"/>
          <w:sz w:val="16"/>
          <w:szCs w:val="16"/>
          <w:lang w:val="es-ES_tradnl"/>
        </w:rPr>
        <w:t>n</w:t>
      </w:r>
      <w:r>
        <w:rPr>
          <w:rFonts w:cs="Times New Roman"/>
          <w:spacing w:val="-5"/>
          <w:sz w:val="16"/>
          <w:szCs w:val="16"/>
          <w:lang w:val="es-ES_tradnl"/>
        </w:rPr>
        <w:t>°</w:t>
      </w:r>
      <w:r>
        <w:rPr>
          <w:spacing w:val="-5"/>
          <w:sz w:val="16"/>
          <w:szCs w:val="16"/>
          <w:lang w:val="es-ES_tradnl"/>
        </w:rPr>
        <w:t>. 0018 del SRI del a</w:t>
      </w:r>
      <w:r>
        <w:rPr>
          <w:rFonts w:cs="Times New Roman"/>
          <w:spacing w:val="-5"/>
          <w:sz w:val="16"/>
          <w:szCs w:val="16"/>
          <w:lang w:val="es-ES_tradnl"/>
        </w:rPr>
        <w:t>ñ</w:t>
      </w:r>
      <w:r>
        <w:rPr>
          <w:spacing w:val="-5"/>
          <w:sz w:val="16"/>
          <w:szCs w:val="16"/>
          <w:lang w:val="es-ES_tradnl"/>
        </w:rPr>
        <w:t>o 2000, puesto que la Administraci</w:t>
      </w:r>
      <w:r>
        <w:rPr>
          <w:rFonts w:cs="Times New Roman"/>
          <w:spacing w:val="-5"/>
          <w:sz w:val="16"/>
          <w:szCs w:val="16"/>
          <w:lang w:val="es-ES_tradnl"/>
        </w:rPr>
        <w:t>ó</w:t>
      </w:r>
      <w:r>
        <w:rPr>
          <w:spacing w:val="-5"/>
          <w:sz w:val="16"/>
          <w:szCs w:val="16"/>
          <w:lang w:val="es-ES_tradnl"/>
        </w:rPr>
        <w:t xml:space="preserve">n </w:t>
      </w:r>
      <w:r>
        <w:rPr>
          <w:spacing w:val="-7"/>
          <w:sz w:val="16"/>
          <w:szCs w:val="16"/>
          <w:lang w:val="es-ES_tradnl"/>
        </w:rPr>
        <w:t>Tributaria no hab</w:t>
      </w:r>
      <w:r>
        <w:rPr>
          <w:rFonts w:cs="Times New Roman"/>
          <w:spacing w:val="-7"/>
          <w:sz w:val="16"/>
          <w:szCs w:val="16"/>
          <w:lang w:val="es-ES_tradnl"/>
        </w:rPr>
        <w:t>í</w:t>
      </w:r>
      <w:r>
        <w:rPr>
          <w:spacing w:val="-7"/>
          <w:sz w:val="16"/>
          <w:szCs w:val="16"/>
          <w:lang w:val="es-ES_tradnl"/>
        </w:rPr>
        <w:t>a cumplido con la obligaci</w:t>
      </w:r>
      <w:r>
        <w:rPr>
          <w:rFonts w:cs="Times New Roman"/>
          <w:spacing w:val="-7"/>
          <w:sz w:val="16"/>
          <w:szCs w:val="16"/>
          <w:lang w:val="es-ES_tradnl"/>
        </w:rPr>
        <w:t>ó</w:t>
      </w:r>
      <w:r>
        <w:rPr>
          <w:spacing w:val="-7"/>
          <w:sz w:val="16"/>
          <w:szCs w:val="16"/>
          <w:lang w:val="es-ES_tradnl"/>
        </w:rPr>
        <w:t xml:space="preserve">n de fijar precios </w:t>
      </w:r>
      <w:r>
        <w:rPr>
          <w:spacing w:val="-9"/>
          <w:sz w:val="16"/>
          <w:szCs w:val="16"/>
          <w:lang w:val="es-ES_tradnl"/>
        </w:rPr>
        <w:t>para el per</w:t>
      </w:r>
      <w:r>
        <w:rPr>
          <w:rFonts w:cs="Times New Roman"/>
          <w:spacing w:val="-9"/>
          <w:sz w:val="16"/>
          <w:szCs w:val="16"/>
          <w:lang w:val="es-ES_tradnl"/>
        </w:rPr>
        <w:t>í</w:t>
      </w:r>
      <w:r>
        <w:rPr>
          <w:spacing w:val="-9"/>
          <w:sz w:val="16"/>
          <w:szCs w:val="16"/>
          <w:lang w:val="es-ES_tradnl"/>
        </w:rPr>
        <w:t>odo en discusi</w:t>
      </w:r>
      <w:r>
        <w:rPr>
          <w:rFonts w:cs="Times New Roman"/>
          <w:spacing w:val="-9"/>
          <w:sz w:val="16"/>
          <w:szCs w:val="16"/>
          <w:lang w:val="es-ES_tradnl"/>
        </w:rPr>
        <w:t>ó</w:t>
      </w:r>
      <w:r>
        <w:rPr>
          <w:spacing w:val="-9"/>
          <w:sz w:val="16"/>
          <w:szCs w:val="16"/>
          <w:lang w:val="es-ES_tradnl"/>
        </w:rPr>
        <w:t xml:space="preserve">n. </w:t>
      </w:r>
      <w:r>
        <w:rPr>
          <w:b/>
          <w:bCs/>
          <w:spacing w:val="-9"/>
          <w:sz w:val="16"/>
          <w:szCs w:val="16"/>
          <w:lang w:val="es-ES_tradnl"/>
        </w:rPr>
        <w:t xml:space="preserve">4.4. </w:t>
      </w:r>
      <w:r>
        <w:rPr>
          <w:spacing w:val="-9"/>
          <w:sz w:val="16"/>
          <w:szCs w:val="16"/>
          <w:lang w:val="es-ES_tradnl"/>
        </w:rPr>
        <w:t xml:space="preserve">El razonamiento de la Sala de </w:t>
      </w:r>
      <w:r>
        <w:rPr>
          <w:spacing w:val="-6"/>
          <w:sz w:val="16"/>
          <w:szCs w:val="16"/>
          <w:lang w:val="es-ES_tradnl"/>
        </w:rPr>
        <w:t>instancia constante en el fallo de mayor</w:t>
      </w:r>
      <w:r>
        <w:rPr>
          <w:rFonts w:cs="Times New Roman"/>
          <w:spacing w:val="-6"/>
          <w:sz w:val="16"/>
          <w:szCs w:val="16"/>
          <w:lang w:val="es-ES_tradnl"/>
        </w:rPr>
        <w:t>í</w:t>
      </w:r>
      <w:r>
        <w:rPr>
          <w:spacing w:val="-6"/>
          <w:sz w:val="16"/>
          <w:szCs w:val="16"/>
          <w:lang w:val="es-ES_tradnl"/>
        </w:rPr>
        <w:t xml:space="preserve">a es errado, respecto </w:t>
      </w:r>
      <w:r>
        <w:rPr>
          <w:spacing w:val="-4"/>
          <w:sz w:val="16"/>
          <w:szCs w:val="16"/>
          <w:lang w:val="es-ES_tradnl"/>
        </w:rPr>
        <w:t>a la aplicaci</w:t>
      </w:r>
      <w:r>
        <w:rPr>
          <w:rFonts w:cs="Times New Roman"/>
          <w:spacing w:val="-4"/>
          <w:sz w:val="16"/>
          <w:szCs w:val="16"/>
          <w:lang w:val="es-ES_tradnl"/>
        </w:rPr>
        <w:t>ó</w:t>
      </w:r>
      <w:r>
        <w:rPr>
          <w:spacing w:val="-4"/>
          <w:sz w:val="16"/>
          <w:szCs w:val="16"/>
          <w:lang w:val="es-ES_tradnl"/>
        </w:rPr>
        <w:t>n que la Resoluci</w:t>
      </w:r>
      <w:r>
        <w:rPr>
          <w:rFonts w:cs="Times New Roman"/>
          <w:spacing w:val="-4"/>
          <w:sz w:val="16"/>
          <w:szCs w:val="16"/>
          <w:lang w:val="es-ES_tradnl"/>
        </w:rPr>
        <w:t>ó</w:t>
      </w:r>
      <w:r>
        <w:rPr>
          <w:spacing w:val="-4"/>
          <w:sz w:val="16"/>
          <w:szCs w:val="16"/>
          <w:lang w:val="es-ES_tradnl"/>
        </w:rPr>
        <w:t>n n</w:t>
      </w:r>
      <w:r>
        <w:rPr>
          <w:rFonts w:cs="Times New Roman"/>
          <w:spacing w:val="-4"/>
          <w:sz w:val="16"/>
          <w:szCs w:val="16"/>
          <w:lang w:val="es-ES_tradnl"/>
        </w:rPr>
        <w:t>°</w:t>
      </w:r>
      <w:r>
        <w:rPr>
          <w:spacing w:val="-4"/>
          <w:sz w:val="16"/>
          <w:szCs w:val="16"/>
          <w:lang w:val="es-ES_tradnl"/>
        </w:rPr>
        <w:t xml:space="preserve">. 0018 publicad en el </w:t>
      </w:r>
      <w:r>
        <w:rPr>
          <w:spacing w:val="-7"/>
          <w:sz w:val="16"/>
          <w:szCs w:val="16"/>
          <w:lang w:val="es-ES_tradnl"/>
        </w:rPr>
        <w:t>Registro Oficial n</w:t>
      </w:r>
      <w:r>
        <w:rPr>
          <w:rFonts w:cs="Times New Roman"/>
          <w:spacing w:val="-7"/>
          <w:sz w:val="16"/>
          <w:szCs w:val="16"/>
          <w:lang w:val="es-ES_tradnl"/>
        </w:rPr>
        <w:t>°</w:t>
      </w:r>
      <w:r>
        <w:rPr>
          <w:spacing w:val="-7"/>
          <w:sz w:val="16"/>
          <w:szCs w:val="16"/>
          <w:lang w:val="es-ES_tradnl"/>
        </w:rPr>
        <w:t>. 13 de 19 de febrero de 2000, sosteniendo</w:t>
      </w:r>
    </w:p>
    <w:p w14:paraId="4F67B736" w14:textId="77777777" w:rsidR="00591D54" w:rsidRDefault="00591D54">
      <w:pPr>
        <w:shd w:val="clear" w:color="auto" w:fill="FFFFFF"/>
        <w:spacing w:before="206" w:line="216" w:lineRule="exact"/>
        <w:ind w:left="283"/>
        <w:jc w:val="both"/>
        <w:sectPr w:rsidR="00591D54">
          <w:type w:val="continuous"/>
          <w:pgSz w:w="11909" w:h="16834"/>
          <w:pgMar w:top="1368" w:right="1309" w:bottom="360" w:left="1308" w:header="720" w:footer="720" w:gutter="0"/>
          <w:cols w:num="2" w:space="720" w:equalWidth="0">
            <w:col w:w="4305" w:space="682"/>
            <w:col w:w="4305"/>
          </w:cols>
          <w:noEndnote/>
        </w:sectPr>
      </w:pPr>
    </w:p>
    <w:p w14:paraId="4F67B737" w14:textId="77777777" w:rsidR="00591D54" w:rsidRDefault="00591D54">
      <w:pPr>
        <w:shd w:val="clear" w:color="auto" w:fill="FFFFFF"/>
        <w:tabs>
          <w:tab w:val="left" w:pos="4814"/>
        </w:tabs>
        <w:spacing w:after="230"/>
        <w:ind w:left="5"/>
      </w:pPr>
      <w:r>
        <w:rPr>
          <w:b/>
          <w:bCs/>
          <w:sz w:val="18"/>
          <w:szCs w:val="18"/>
          <w:lang w:val="es-ES_tradnl"/>
        </w:rPr>
        <w:t xml:space="preserve">240 -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738" w14:textId="77777777" w:rsidR="00591D54" w:rsidRDefault="00591D54">
      <w:pPr>
        <w:shd w:val="clear" w:color="auto" w:fill="FFFFFF"/>
        <w:tabs>
          <w:tab w:val="left" w:pos="4814"/>
        </w:tabs>
        <w:spacing w:after="230"/>
        <w:ind w:left="5"/>
        <w:sectPr w:rsidR="00591D54">
          <w:pgSz w:w="11909" w:h="16834"/>
          <w:pgMar w:top="1354" w:right="1309" w:bottom="360" w:left="1308" w:header="720" w:footer="720" w:gutter="0"/>
          <w:cols w:space="60"/>
          <w:noEndnote/>
        </w:sectPr>
      </w:pPr>
    </w:p>
    <w:p w14:paraId="4F67B739" w14:textId="77777777" w:rsidR="00591D54" w:rsidRDefault="00591D54">
      <w:pPr>
        <w:shd w:val="clear" w:color="auto" w:fill="FFFFFF"/>
        <w:spacing w:line="211" w:lineRule="exact"/>
        <w:ind w:left="283" w:right="5"/>
        <w:jc w:val="both"/>
      </w:pPr>
      <w:r>
        <w:rPr>
          <w:spacing w:val="-10"/>
          <w:sz w:val="16"/>
          <w:szCs w:val="16"/>
          <w:lang w:val="es-ES_tradnl"/>
        </w:rPr>
        <w:t>que est</w:t>
      </w:r>
      <w:r>
        <w:rPr>
          <w:rFonts w:cs="Times New Roman"/>
          <w:spacing w:val="-10"/>
          <w:sz w:val="16"/>
          <w:szCs w:val="16"/>
          <w:lang w:val="es-ES_tradnl"/>
        </w:rPr>
        <w:t>á</w:t>
      </w:r>
      <w:r>
        <w:rPr>
          <w:spacing w:val="-10"/>
          <w:sz w:val="16"/>
          <w:szCs w:val="16"/>
          <w:lang w:val="es-ES_tradnl"/>
        </w:rPr>
        <w:t xml:space="preserve"> vigente por el hecho de no haber modificaci</w:t>
      </w:r>
      <w:r>
        <w:rPr>
          <w:rFonts w:cs="Times New Roman"/>
          <w:spacing w:val="-10"/>
          <w:sz w:val="16"/>
          <w:szCs w:val="16"/>
          <w:lang w:val="es-ES_tradnl"/>
        </w:rPr>
        <w:t>ó</w:t>
      </w:r>
      <w:r>
        <w:rPr>
          <w:spacing w:val="-10"/>
          <w:sz w:val="16"/>
          <w:szCs w:val="16"/>
          <w:lang w:val="es-ES_tradnl"/>
        </w:rPr>
        <w:t xml:space="preserve">n, pues lo </w:t>
      </w:r>
      <w:r>
        <w:rPr>
          <w:spacing w:val="-7"/>
          <w:sz w:val="16"/>
          <w:szCs w:val="16"/>
          <w:lang w:val="es-ES_tradnl"/>
        </w:rPr>
        <w:t>que existe es una inacci</w:t>
      </w:r>
      <w:r>
        <w:rPr>
          <w:rFonts w:cs="Times New Roman"/>
          <w:spacing w:val="-7"/>
          <w:sz w:val="16"/>
          <w:szCs w:val="16"/>
          <w:lang w:val="es-ES_tradnl"/>
        </w:rPr>
        <w:t>ó</w:t>
      </w:r>
      <w:r>
        <w:rPr>
          <w:spacing w:val="-7"/>
          <w:sz w:val="16"/>
          <w:szCs w:val="16"/>
          <w:lang w:val="es-ES_tradnl"/>
        </w:rPr>
        <w:t>n de la autoridad administrativa, que no ha establecido dichos precios para el per</w:t>
      </w:r>
      <w:r>
        <w:rPr>
          <w:rFonts w:cs="Times New Roman"/>
          <w:spacing w:val="-7"/>
          <w:sz w:val="16"/>
          <w:szCs w:val="16"/>
          <w:lang w:val="es-ES_tradnl"/>
        </w:rPr>
        <w:t>í</w:t>
      </w:r>
      <w:r>
        <w:rPr>
          <w:spacing w:val="-7"/>
          <w:sz w:val="16"/>
          <w:szCs w:val="16"/>
          <w:lang w:val="es-ES_tradnl"/>
        </w:rPr>
        <w:t>odo en cuesti</w:t>
      </w:r>
      <w:r>
        <w:rPr>
          <w:rFonts w:cs="Times New Roman"/>
          <w:spacing w:val="-7"/>
          <w:sz w:val="16"/>
          <w:szCs w:val="16"/>
          <w:lang w:val="es-ES_tradnl"/>
        </w:rPr>
        <w:t>ó</w:t>
      </w:r>
      <w:r>
        <w:rPr>
          <w:spacing w:val="-7"/>
          <w:sz w:val="16"/>
          <w:szCs w:val="16"/>
          <w:lang w:val="es-ES_tradnl"/>
        </w:rPr>
        <w:t xml:space="preserve">n, </w:t>
      </w:r>
      <w:r>
        <w:rPr>
          <w:spacing w:val="-9"/>
          <w:sz w:val="16"/>
          <w:szCs w:val="16"/>
          <w:lang w:val="es-ES_tradnl"/>
        </w:rPr>
        <w:t xml:space="preserve">como lo reconoce de manera expresa la autoridad demandada, </w:t>
      </w:r>
      <w:r>
        <w:rPr>
          <w:spacing w:val="-6"/>
          <w:sz w:val="16"/>
          <w:szCs w:val="16"/>
          <w:lang w:val="es-ES_tradnl"/>
        </w:rPr>
        <w:t>hecho que deja expedida la opci</w:t>
      </w:r>
      <w:r>
        <w:rPr>
          <w:rFonts w:cs="Times New Roman"/>
          <w:spacing w:val="-6"/>
          <w:sz w:val="16"/>
          <w:szCs w:val="16"/>
          <w:lang w:val="es-ES_tradnl"/>
        </w:rPr>
        <w:t>ó</w:t>
      </w:r>
      <w:r>
        <w:rPr>
          <w:spacing w:val="-6"/>
          <w:sz w:val="16"/>
          <w:szCs w:val="16"/>
          <w:lang w:val="es-ES_tradnl"/>
        </w:rPr>
        <w:t xml:space="preserve">n de aplicar el precio fijado </w:t>
      </w:r>
      <w:r>
        <w:rPr>
          <w:spacing w:val="-9"/>
          <w:sz w:val="16"/>
          <w:szCs w:val="16"/>
          <w:lang w:val="es-ES_tradnl"/>
        </w:rPr>
        <w:t>por el fabricante para la determinaci</w:t>
      </w:r>
      <w:r>
        <w:rPr>
          <w:rFonts w:cs="Times New Roman"/>
          <w:spacing w:val="-9"/>
          <w:sz w:val="16"/>
          <w:szCs w:val="16"/>
          <w:lang w:val="es-ES_tradnl"/>
        </w:rPr>
        <w:t>ó</w:t>
      </w:r>
      <w:r>
        <w:rPr>
          <w:spacing w:val="-9"/>
          <w:sz w:val="16"/>
          <w:szCs w:val="16"/>
          <w:lang w:val="es-ES_tradnl"/>
        </w:rPr>
        <w:t xml:space="preserve">n de la base imponible del </w:t>
      </w:r>
      <w:r>
        <w:rPr>
          <w:spacing w:val="-7"/>
          <w:sz w:val="16"/>
          <w:szCs w:val="16"/>
          <w:lang w:val="es-ES_tradnl"/>
        </w:rPr>
        <w:t xml:space="preserve">impuesto, que en el presente caso no ha ocurrido, pese a que </w:t>
      </w:r>
      <w:r>
        <w:rPr>
          <w:spacing w:val="-4"/>
          <w:sz w:val="16"/>
          <w:szCs w:val="16"/>
          <w:lang w:val="es-ES_tradnl"/>
        </w:rPr>
        <w:t>el fallo lo reconoce de manera expresa como opci</w:t>
      </w:r>
      <w:r>
        <w:rPr>
          <w:rFonts w:cs="Times New Roman"/>
          <w:spacing w:val="-4"/>
          <w:sz w:val="16"/>
          <w:szCs w:val="16"/>
          <w:lang w:val="es-ES_tradnl"/>
        </w:rPr>
        <w:t>ó</w:t>
      </w:r>
      <w:r>
        <w:rPr>
          <w:spacing w:val="-4"/>
          <w:sz w:val="16"/>
          <w:szCs w:val="16"/>
          <w:lang w:val="es-ES_tradnl"/>
        </w:rPr>
        <w:t>n v</w:t>
      </w:r>
      <w:r>
        <w:rPr>
          <w:rFonts w:cs="Times New Roman"/>
          <w:spacing w:val="-4"/>
          <w:sz w:val="16"/>
          <w:szCs w:val="16"/>
          <w:lang w:val="es-ES_tradnl"/>
        </w:rPr>
        <w:t>á</w:t>
      </w:r>
      <w:r>
        <w:rPr>
          <w:spacing w:val="-4"/>
          <w:sz w:val="16"/>
          <w:szCs w:val="16"/>
          <w:lang w:val="es-ES_tradnl"/>
        </w:rPr>
        <w:t xml:space="preserve">lida </w:t>
      </w:r>
      <w:r>
        <w:rPr>
          <w:spacing w:val="-6"/>
          <w:sz w:val="16"/>
          <w:szCs w:val="16"/>
          <w:lang w:val="es-ES_tradnl"/>
        </w:rPr>
        <w:t xml:space="preserve">en la parte final del considerando Octavo; </w:t>
      </w:r>
      <w:r>
        <w:rPr>
          <w:b/>
          <w:bCs/>
          <w:spacing w:val="-6"/>
          <w:sz w:val="16"/>
          <w:szCs w:val="16"/>
          <w:lang w:val="es-ES_tradnl"/>
        </w:rPr>
        <w:t xml:space="preserve">4.5. </w:t>
      </w:r>
      <w:r>
        <w:rPr>
          <w:spacing w:val="-6"/>
          <w:sz w:val="16"/>
          <w:szCs w:val="16"/>
          <w:lang w:val="es-ES_tradnl"/>
        </w:rPr>
        <w:t xml:space="preserve">Es necesario aclarar que la posibilidad de aplicar el margen mayor previsto en la norma transcrita para determinar la base imponible es </w:t>
      </w:r>
      <w:r>
        <w:rPr>
          <w:spacing w:val="-5"/>
          <w:sz w:val="16"/>
          <w:szCs w:val="16"/>
          <w:lang w:val="es-ES_tradnl"/>
        </w:rPr>
        <w:t xml:space="preserve">dable </w:t>
      </w:r>
      <w:r>
        <w:rPr>
          <w:rFonts w:cs="Times New Roman"/>
          <w:spacing w:val="-5"/>
          <w:sz w:val="16"/>
          <w:szCs w:val="16"/>
          <w:lang w:val="es-ES_tradnl"/>
        </w:rPr>
        <w:t>ú</w:t>
      </w:r>
      <w:r>
        <w:rPr>
          <w:spacing w:val="-5"/>
          <w:sz w:val="16"/>
          <w:szCs w:val="16"/>
          <w:lang w:val="es-ES_tradnl"/>
        </w:rPr>
        <w:t xml:space="preserve">nicamente si se comercializan los productos con </w:t>
      </w:r>
      <w:r>
        <w:rPr>
          <w:spacing w:val="-8"/>
          <w:sz w:val="16"/>
          <w:szCs w:val="16"/>
          <w:lang w:val="es-ES_tradnl"/>
        </w:rPr>
        <w:t>m</w:t>
      </w:r>
      <w:r>
        <w:rPr>
          <w:rFonts w:cs="Times New Roman"/>
          <w:spacing w:val="-8"/>
          <w:sz w:val="16"/>
          <w:szCs w:val="16"/>
          <w:lang w:val="es-ES_tradnl"/>
        </w:rPr>
        <w:t>á</w:t>
      </w:r>
      <w:r>
        <w:rPr>
          <w:spacing w:val="-8"/>
          <w:sz w:val="16"/>
          <w:szCs w:val="16"/>
          <w:lang w:val="es-ES_tradnl"/>
        </w:rPr>
        <w:t>rgenes superiores al m</w:t>
      </w:r>
      <w:r>
        <w:rPr>
          <w:rFonts w:cs="Times New Roman"/>
          <w:spacing w:val="-8"/>
          <w:sz w:val="16"/>
          <w:szCs w:val="16"/>
          <w:lang w:val="es-ES_tradnl"/>
        </w:rPr>
        <w:t>í</w:t>
      </w:r>
      <w:r>
        <w:rPr>
          <w:spacing w:val="-8"/>
          <w:sz w:val="16"/>
          <w:szCs w:val="16"/>
          <w:lang w:val="es-ES_tradnl"/>
        </w:rPr>
        <w:t xml:space="preserve">nimo presuntivo, no como lo plantea </w:t>
      </w:r>
      <w:r>
        <w:rPr>
          <w:spacing w:val="-6"/>
          <w:sz w:val="16"/>
          <w:szCs w:val="16"/>
          <w:lang w:val="es-ES_tradnl"/>
        </w:rPr>
        <w:t>la administraci</w:t>
      </w:r>
      <w:r>
        <w:rPr>
          <w:rFonts w:cs="Times New Roman"/>
          <w:spacing w:val="-6"/>
          <w:sz w:val="16"/>
          <w:szCs w:val="16"/>
          <w:lang w:val="es-ES_tradnl"/>
        </w:rPr>
        <w:t>ó</w:t>
      </w:r>
      <w:r>
        <w:rPr>
          <w:spacing w:val="-6"/>
          <w:sz w:val="16"/>
          <w:szCs w:val="16"/>
          <w:lang w:val="es-ES_tradnl"/>
        </w:rPr>
        <w:t>n tributaria de aplicar la base que resulta m</w:t>
      </w:r>
      <w:r>
        <w:rPr>
          <w:rFonts w:cs="Times New Roman"/>
          <w:spacing w:val="-6"/>
          <w:sz w:val="16"/>
          <w:szCs w:val="16"/>
          <w:lang w:val="es-ES_tradnl"/>
        </w:rPr>
        <w:t>á</w:t>
      </w:r>
      <w:r>
        <w:rPr>
          <w:spacing w:val="-6"/>
          <w:sz w:val="16"/>
          <w:szCs w:val="16"/>
          <w:lang w:val="es-ES_tradnl"/>
        </w:rPr>
        <w:t xml:space="preserve">s </w:t>
      </w:r>
      <w:r>
        <w:rPr>
          <w:spacing w:val="-7"/>
          <w:sz w:val="16"/>
          <w:szCs w:val="16"/>
          <w:lang w:val="es-ES_tradnl"/>
        </w:rPr>
        <w:t xml:space="preserve">alta, de modo general, como reconoce haberlo hecho en el </w:t>
      </w:r>
      <w:r>
        <w:rPr>
          <w:spacing w:val="-8"/>
          <w:sz w:val="16"/>
          <w:szCs w:val="16"/>
          <w:lang w:val="es-ES_tradnl"/>
        </w:rPr>
        <w:t xml:space="preserve">presente caso. Por lo expuesto, sin que sea necesario realizar </w:t>
      </w:r>
      <w:r>
        <w:rPr>
          <w:spacing w:val="-6"/>
          <w:sz w:val="16"/>
          <w:szCs w:val="16"/>
          <w:lang w:val="es-ES_tradnl"/>
        </w:rPr>
        <w:t xml:space="preserve">otras consideraciones, la Sala delo Contencioso Tributario </w:t>
      </w:r>
      <w:r>
        <w:rPr>
          <w:sz w:val="16"/>
          <w:szCs w:val="16"/>
          <w:lang w:val="es-ES_tradnl"/>
        </w:rPr>
        <w:t xml:space="preserve">de la Corte Nacional, </w:t>
      </w:r>
      <w:r>
        <w:rPr>
          <w:b/>
          <w:bCs/>
          <w:sz w:val="16"/>
          <w:szCs w:val="16"/>
          <w:lang w:val="es-ES_tradnl"/>
        </w:rPr>
        <w:t xml:space="preserve">ADMINISTRANDO JUSTICIA EN </w:t>
      </w:r>
      <w:r>
        <w:rPr>
          <w:b/>
          <w:bCs/>
          <w:spacing w:val="-1"/>
          <w:sz w:val="16"/>
          <w:szCs w:val="16"/>
          <w:lang w:val="es-ES_tradnl"/>
        </w:rPr>
        <w:t xml:space="preserve">NOMBRE DEL PUEBLO SOBERANO DEL ECUADOR, </w:t>
      </w:r>
      <w:r>
        <w:rPr>
          <w:b/>
          <w:bCs/>
          <w:sz w:val="16"/>
          <w:szCs w:val="16"/>
          <w:lang w:val="es-ES_tradnl"/>
        </w:rPr>
        <w:t>Y POR AUTORIDAD DE LA CONSTITUCI</w:t>
      </w:r>
      <w:r>
        <w:rPr>
          <w:rFonts w:cs="Times New Roman"/>
          <w:b/>
          <w:bCs/>
          <w:sz w:val="16"/>
          <w:szCs w:val="16"/>
          <w:lang w:val="es-ES_tradnl"/>
        </w:rPr>
        <w:t>Ó</w:t>
      </w:r>
      <w:r>
        <w:rPr>
          <w:b/>
          <w:bCs/>
          <w:sz w:val="16"/>
          <w:szCs w:val="16"/>
          <w:lang w:val="es-ES_tradnl"/>
        </w:rPr>
        <w:t xml:space="preserve">N Y LAS </w:t>
      </w:r>
      <w:r>
        <w:rPr>
          <w:b/>
          <w:bCs/>
          <w:spacing w:val="-4"/>
          <w:sz w:val="16"/>
          <w:szCs w:val="16"/>
          <w:lang w:val="es-ES_tradnl"/>
        </w:rPr>
        <w:t>LEYES DE LA REP</w:t>
      </w:r>
      <w:r>
        <w:rPr>
          <w:rFonts w:cs="Times New Roman"/>
          <w:b/>
          <w:bCs/>
          <w:spacing w:val="-4"/>
          <w:sz w:val="16"/>
          <w:szCs w:val="16"/>
          <w:lang w:val="es-ES_tradnl"/>
        </w:rPr>
        <w:t>Ú</w:t>
      </w:r>
      <w:r>
        <w:rPr>
          <w:b/>
          <w:bCs/>
          <w:spacing w:val="-4"/>
          <w:sz w:val="16"/>
          <w:szCs w:val="16"/>
          <w:lang w:val="es-ES_tradnl"/>
        </w:rPr>
        <w:t xml:space="preserve">BLICA, </w:t>
      </w:r>
      <w:r>
        <w:rPr>
          <w:spacing w:val="-4"/>
          <w:sz w:val="16"/>
          <w:szCs w:val="16"/>
          <w:lang w:val="es-ES_tradnl"/>
        </w:rPr>
        <w:t xml:space="preserve">acepta el recurso interpuesto </w:t>
      </w:r>
      <w:r>
        <w:rPr>
          <w:spacing w:val="-6"/>
          <w:sz w:val="16"/>
          <w:szCs w:val="16"/>
          <w:lang w:val="es-ES_tradnl"/>
        </w:rPr>
        <w:t>y dispone la reliquidaci</w:t>
      </w:r>
      <w:r>
        <w:rPr>
          <w:rFonts w:cs="Times New Roman"/>
          <w:spacing w:val="-6"/>
          <w:sz w:val="16"/>
          <w:szCs w:val="16"/>
          <w:lang w:val="es-ES_tradnl"/>
        </w:rPr>
        <w:t>ó</w:t>
      </w:r>
      <w:r>
        <w:rPr>
          <w:spacing w:val="-6"/>
          <w:sz w:val="16"/>
          <w:szCs w:val="16"/>
          <w:lang w:val="es-ES_tradnl"/>
        </w:rPr>
        <w:t xml:space="preserve">n de obligaciones tributarias en base </w:t>
      </w:r>
      <w:r>
        <w:rPr>
          <w:spacing w:val="-7"/>
          <w:sz w:val="16"/>
          <w:szCs w:val="16"/>
          <w:lang w:val="es-ES_tradnl"/>
        </w:rPr>
        <w:t>al precio de venta al p</w:t>
      </w:r>
      <w:r>
        <w:rPr>
          <w:rFonts w:cs="Times New Roman"/>
          <w:spacing w:val="-7"/>
          <w:sz w:val="16"/>
          <w:szCs w:val="16"/>
          <w:lang w:val="es-ES_tradnl"/>
        </w:rPr>
        <w:t>ú</w:t>
      </w:r>
      <w:r>
        <w:rPr>
          <w:spacing w:val="-7"/>
          <w:sz w:val="16"/>
          <w:szCs w:val="16"/>
          <w:lang w:val="es-ES_tradnl"/>
        </w:rPr>
        <w:t>blico fijado por el fabricante, conforme lo prev</w:t>
      </w:r>
      <w:r>
        <w:rPr>
          <w:rFonts w:cs="Times New Roman"/>
          <w:spacing w:val="-7"/>
          <w:sz w:val="16"/>
          <w:szCs w:val="16"/>
          <w:lang w:val="es-ES_tradnl"/>
        </w:rPr>
        <w:t>é</w:t>
      </w:r>
      <w:r>
        <w:rPr>
          <w:spacing w:val="-7"/>
          <w:sz w:val="16"/>
          <w:szCs w:val="16"/>
          <w:lang w:val="es-ES_tradnl"/>
        </w:rPr>
        <w:t xml:space="preserve"> el art</w:t>
      </w:r>
      <w:r>
        <w:rPr>
          <w:rFonts w:cs="Times New Roman"/>
          <w:spacing w:val="-7"/>
          <w:sz w:val="16"/>
          <w:szCs w:val="16"/>
          <w:lang w:val="es-ES_tradnl"/>
        </w:rPr>
        <w:t>í</w:t>
      </w:r>
      <w:r>
        <w:rPr>
          <w:spacing w:val="-7"/>
          <w:sz w:val="16"/>
          <w:szCs w:val="16"/>
          <w:lang w:val="es-ES_tradnl"/>
        </w:rPr>
        <w:t>culo 72 de la Ley de R</w:t>
      </w:r>
      <w:r>
        <w:rPr>
          <w:rFonts w:cs="Times New Roman"/>
          <w:spacing w:val="-7"/>
          <w:sz w:val="16"/>
          <w:szCs w:val="16"/>
          <w:lang w:val="es-ES_tradnl"/>
        </w:rPr>
        <w:t>é</w:t>
      </w:r>
      <w:r>
        <w:rPr>
          <w:spacing w:val="-7"/>
          <w:sz w:val="16"/>
          <w:szCs w:val="16"/>
          <w:lang w:val="es-ES_tradnl"/>
        </w:rPr>
        <w:t xml:space="preserve">gimen Tributario Interno </w:t>
      </w:r>
      <w:r>
        <w:rPr>
          <w:sz w:val="16"/>
          <w:szCs w:val="16"/>
          <w:lang w:val="es-ES_tradnl"/>
        </w:rPr>
        <w:t>aplicable al ejercicio fiscal en discusi</w:t>
      </w:r>
      <w:r>
        <w:rPr>
          <w:rFonts w:cs="Times New Roman"/>
          <w:sz w:val="16"/>
          <w:szCs w:val="16"/>
          <w:lang w:val="es-ES_tradnl"/>
        </w:rPr>
        <w:t>ó</w:t>
      </w:r>
      <w:r>
        <w:rPr>
          <w:sz w:val="16"/>
          <w:szCs w:val="16"/>
          <w:lang w:val="es-ES_tradnl"/>
        </w:rPr>
        <w:t>n.</w:t>
      </w:r>
    </w:p>
    <w:p w14:paraId="4F67B73A" w14:textId="77777777" w:rsidR="00591D54" w:rsidRDefault="00591D54">
      <w:pPr>
        <w:shd w:val="clear" w:color="auto" w:fill="FFFFFF"/>
        <w:spacing w:before="192"/>
      </w:pPr>
      <w:r>
        <w:rPr>
          <w:b/>
          <w:bCs/>
          <w:spacing w:val="-11"/>
          <w:sz w:val="18"/>
          <w:szCs w:val="18"/>
          <w:lang w:val="es-ES_tradnl"/>
        </w:rPr>
        <w:t>Pretensi</w:t>
      </w:r>
      <w:r>
        <w:rPr>
          <w:rFonts w:cs="Times New Roman"/>
          <w:b/>
          <w:bCs/>
          <w:spacing w:val="-11"/>
          <w:sz w:val="18"/>
          <w:szCs w:val="18"/>
          <w:lang w:val="es-ES_tradnl"/>
        </w:rPr>
        <w:t>ó</w:t>
      </w:r>
      <w:r>
        <w:rPr>
          <w:b/>
          <w:bCs/>
          <w:spacing w:val="-11"/>
          <w:sz w:val="18"/>
          <w:szCs w:val="18"/>
          <w:lang w:val="es-ES_tradnl"/>
        </w:rPr>
        <w:t>n</w:t>
      </w:r>
    </w:p>
    <w:p w14:paraId="4F67B73B" w14:textId="77777777" w:rsidR="00591D54" w:rsidRDefault="00591D54">
      <w:pPr>
        <w:shd w:val="clear" w:color="auto" w:fill="FFFFFF"/>
        <w:spacing w:before="192"/>
      </w:pPr>
      <w:r>
        <w:rPr>
          <w:spacing w:val="-8"/>
          <w:sz w:val="18"/>
          <w:szCs w:val="18"/>
          <w:lang w:val="es-ES_tradnl"/>
        </w:rPr>
        <w:t>El accionante expresa como su pretensi</w:t>
      </w:r>
      <w:r>
        <w:rPr>
          <w:rFonts w:cs="Times New Roman"/>
          <w:spacing w:val="-8"/>
          <w:sz w:val="18"/>
          <w:szCs w:val="18"/>
          <w:lang w:val="es-ES_tradnl"/>
        </w:rPr>
        <w:t>ó</w:t>
      </w:r>
      <w:r>
        <w:rPr>
          <w:spacing w:val="-8"/>
          <w:sz w:val="18"/>
          <w:szCs w:val="18"/>
          <w:lang w:val="es-ES_tradnl"/>
        </w:rPr>
        <w:t>n, lo siguiente:</w:t>
      </w:r>
    </w:p>
    <w:p w14:paraId="4F67B73C" w14:textId="77777777" w:rsidR="00591D54" w:rsidRDefault="00591D54">
      <w:pPr>
        <w:shd w:val="clear" w:color="auto" w:fill="FFFFFF"/>
        <w:spacing w:before="197" w:line="211" w:lineRule="exact"/>
        <w:ind w:left="283"/>
        <w:jc w:val="both"/>
      </w:pPr>
      <w:r>
        <w:rPr>
          <w:spacing w:val="-7"/>
          <w:sz w:val="16"/>
          <w:szCs w:val="16"/>
          <w:lang w:val="es-ES_tradnl"/>
        </w:rPr>
        <w:t>De conformidad con los fundamentos de hecho y de derecho expuesto y al reunirse todos los requisitos para la procedencia de la presente acci</w:t>
      </w:r>
      <w:r>
        <w:rPr>
          <w:rFonts w:cs="Times New Roman"/>
          <w:spacing w:val="-7"/>
          <w:sz w:val="16"/>
          <w:szCs w:val="16"/>
          <w:lang w:val="es-ES_tradnl"/>
        </w:rPr>
        <w:t>ó</w:t>
      </w:r>
      <w:r>
        <w:rPr>
          <w:spacing w:val="-7"/>
          <w:sz w:val="16"/>
          <w:szCs w:val="16"/>
          <w:lang w:val="es-ES_tradnl"/>
        </w:rPr>
        <w:t>n comparezco ante su autoridad a fin de que se declare la vulneraci</w:t>
      </w:r>
      <w:r>
        <w:rPr>
          <w:rFonts w:cs="Times New Roman"/>
          <w:spacing w:val="-7"/>
          <w:sz w:val="16"/>
          <w:szCs w:val="16"/>
          <w:lang w:val="es-ES_tradnl"/>
        </w:rPr>
        <w:t>ó</w:t>
      </w:r>
      <w:r>
        <w:rPr>
          <w:spacing w:val="-7"/>
          <w:sz w:val="16"/>
          <w:szCs w:val="16"/>
          <w:lang w:val="es-ES_tradnl"/>
        </w:rPr>
        <w:t xml:space="preserve">n de derechos constitucionales </w:t>
      </w:r>
      <w:r>
        <w:rPr>
          <w:spacing w:val="-6"/>
          <w:sz w:val="16"/>
          <w:szCs w:val="16"/>
          <w:lang w:val="es-ES_tradnl"/>
        </w:rPr>
        <w:t xml:space="preserve">contenidos en la sentencia dictada con fecha 11 de julio de 2012, a las 11h30, dictada por la Sala Especializada de lo </w:t>
      </w:r>
      <w:r>
        <w:rPr>
          <w:spacing w:val="-2"/>
          <w:sz w:val="16"/>
          <w:szCs w:val="16"/>
          <w:lang w:val="es-ES_tradnl"/>
        </w:rPr>
        <w:t xml:space="preserve">Contencioso Tributario de la Corte Nacional de Justicia, </w:t>
      </w:r>
      <w:r>
        <w:rPr>
          <w:spacing w:val="-7"/>
          <w:sz w:val="16"/>
          <w:szCs w:val="16"/>
          <w:lang w:val="es-ES_tradnl"/>
        </w:rPr>
        <w:t>dentro del recurso n</w:t>
      </w:r>
      <w:r>
        <w:rPr>
          <w:rFonts w:cs="Times New Roman"/>
          <w:spacing w:val="-7"/>
          <w:sz w:val="16"/>
          <w:szCs w:val="16"/>
          <w:lang w:val="es-ES_tradnl"/>
        </w:rPr>
        <w:t>°</w:t>
      </w:r>
      <w:r>
        <w:rPr>
          <w:spacing w:val="-7"/>
          <w:sz w:val="16"/>
          <w:szCs w:val="16"/>
          <w:lang w:val="es-ES_tradnl"/>
        </w:rPr>
        <w:t xml:space="preserve">. 164-2010, mediante la cual de manera </w:t>
      </w:r>
      <w:r>
        <w:rPr>
          <w:spacing w:val="-6"/>
          <w:sz w:val="16"/>
          <w:szCs w:val="16"/>
          <w:lang w:val="es-ES_tradnl"/>
        </w:rPr>
        <w:t>parcializada se violaron las garant</w:t>
      </w:r>
      <w:r>
        <w:rPr>
          <w:rFonts w:cs="Times New Roman"/>
          <w:spacing w:val="-6"/>
          <w:sz w:val="16"/>
          <w:szCs w:val="16"/>
          <w:lang w:val="es-ES_tradnl"/>
        </w:rPr>
        <w:t>í</w:t>
      </w:r>
      <w:r>
        <w:rPr>
          <w:spacing w:val="-6"/>
          <w:sz w:val="16"/>
          <w:szCs w:val="16"/>
          <w:lang w:val="es-ES_tradnl"/>
        </w:rPr>
        <w:t>as constitucionales de seguridad jur</w:t>
      </w:r>
      <w:r>
        <w:rPr>
          <w:rFonts w:cs="Times New Roman"/>
          <w:spacing w:val="-6"/>
          <w:sz w:val="16"/>
          <w:szCs w:val="16"/>
          <w:lang w:val="es-ES_tradnl"/>
        </w:rPr>
        <w:t>í</w:t>
      </w:r>
      <w:r>
        <w:rPr>
          <w:spacing w:val="-6"/>
          <w:sz w:val="16"/>
          <w:szCs w:val="16"/>
          <w:lang w:val="es-ES_tradnl"/>
        </w:rPr>
        <w:t>dica, debida motivaci</w:t>
      </w:r>
      <w:r>
        <w:rPr>
          <w:rFonts w:cs="Times New Roman"/>
          <w:spacing w:val="-6"/>
          <w:sz w:val="16"/>
          <w:szCs w:val="16"/>
          <w:lang w:val="es-ES_tradnl"/>
        </w:rPr>
        <w:t>ó</w:t>
      </w:r>
      <w:r>
        <w:rPr>
          <w:spacing w:val="-6"/>
          <w:sz w:val="16"/>
          <w:szCs w:val="16"/>
          <w:lang w:val="es-ES_tradnl"/>
        </w:rPr>
        <w:t xml:space="preserve">n, generalidad y equidad </w:t>
      </w:r>
      <w:r>
        <w:rPr>
          <w:spacing w:val="-9"/>
          <w:sz w:val="16"/>
          <w:szCs w:val="16"/>
          <w:lang w:val="es-ES_tradnl"/>
        </w:rPr>
        <w:t>en contra de mi representada, por parte de los se</w:t>
      </w:r>
      <w:r>
        <w:rPr>
          <w:rFonts w:cs="Times New Roman"/>
          <w:spacing w:val="-9"/>
          <w:sz w:val="16"/>
          <w:szCs w:val="16"/>
          <w:lang w:val="es-ES_tradnl"/>
        </w:rPr>
        <w:t>ñ</w:t>
      </w:r>
      <w:r>
        <w:rPr>
          <w:spacing w:val="-9"/>
          <w:sz w:val="16"/>
          <w:szCs w:val="16"/>
          <w:lang w:val="es-ES_tradnl"/>
        </w:rPr>
        <w:t xml:space="preserve">ores Jueces </w:t>
      </w:r>
      <w:r>
        <w:rPr>
          <w:spacing w:val="-8"/>
          <w:sz w:val="16"/>
          <w:szCs w:val="16"/>
          <w:lang w:val="es-ES_tradnl"/>
        </w:rPr>
        <w:t xml:space="preserve">Nacionales integrantes de la Sala de lo Contencioso Tributario </w:t>
      </w:r>
      <w:r>
        <w:rPr>
          <w:spacing w:val="-6"/>
          <w:sz w:val="16"/>
          <w:szCs w:val="16"/>
          <w:lang w:val="es-ES_tradnl"/>
        </w:rPr>
        <w:t>de la Corte Nacional de Justicia y se disponga la reparaci</w:t>
      </w:r>
      <w:r>
        <w:rPr>
          <w:rFonts w:cs="Times New Roman"/>
          <w:spacing w:val="-6"/>
          <w:sz w:val="16"/>
          <w:szCs w:val="16"/>
          <w:lang w:val="es-ES_tradnl"/>
        </w:rPr>
        <w:t>ó</w:t>
      </w:r>
      <w:r>
        <w:rPr>
          <w:spacing w:val="-6"/>
          <w:sz w:val="16"/>
          <w:szCs w:val="16"/>
          <w:lang w:val="es-ES_tradnl"/>
        </w:rPr>
        <w:t xml:space="preserve">n </w:t>
      </w:r>
      <w:r>
        <w:rPr>
          <w:sz w:val="16"/>
          <w:szCs w:val="16"/>
          <w:lang w:val="es-ES_tradnl"/>
        </w:rPr>
        <w:t xml:space="preserve">integral de los derechos constitucionales vulnerados por </w:t>
      </w:r>
      <w:r>
        <w:rPr>
          <w:spacing w:val="-5"/>
          <w:sz w:val="16"/>
          <w:szCs w:val="16"/>
          <w:lang w:val="es-ES_tradnl"/>
        </w:rPr>
        <w:t>la decisi</w:t>
      </w:r>
      <w:r>
        <w:rPr>
          <w:rFonts w:cs="Times New Roman"/>
          <w:spacing w:val="-5"/>
          <w:sz w:val="16"/>
          <w:szCs w:val="16"/>
          <w:lang w:val="es-ES_tradnl"/>
        </w:rPr>
        <w:t>ó</w:t>
      </w:r>
      <w:r>
        <w:rPr>
          <w:spacing w:val="-5"/>
          <w:sz w:val="16"/>
          <w:szCs w:val="16"/>
          <w:lang w:val="es-ES_tradnl"/>
        </w:rPr>
        <w:t xml:space="preserve">n inconstitucional de la Sala de lo Contencioso </w:t>
      </w:r>
      <w:r>
        <w:rPr>
          <w:sz w:val="16"/>
          <w:szCs w:val="16"/>
          <w:lang w:val="es-ES_tradnl"/>
        </w:rPr>
        <w:t>Tributario de la Corte Nacional de Justicia.</w:t>
      </w:r>
    </w:p>
    <w:p w14:paraId="4F67B73D" w14:textId="77777777" w:rsidR="00591D54" w:rsidRDefault="00591D54">
      <w:pPr>
        <w:shd w:val="clear" w:color="auto" w:fill="FFFFFF"/>
        <w:spacing w:before="197"/>
      </w:pPr>
      <w:r>
        <w:rPr>
          <w:b/>
          <w:bCs/>
          <w:spacing w:val="-11"/>
          <w:sz w:val="18"/>
          <w:szCs w:val="18"/>
          <w:lang w:val="es-ES_tradnl"/>
        </w:rPr>
        <w:t>Contestaciones a la demanda</w:t>
      </w:r>
    </w:p>
    <w:p w14:paraId="4F67B73E" w14:textId="77777777" w:rsidR="00591D54" w:rsidRDefault="00591D54">
      <w:pPr>
        <w:shd w:val="clear" w:color="auto" w:fill="FFFFFF"/>
        <w:spacing w:before="187"/>
      </w:pPr>
      <w:r>
        <w:rPr>
          <w:b/>
          <w:bCs/>
          <w:spacing w:val="-9"/>
          <w:sz w:val="18"/>
          <w:szCs w:val="18"/>
          <w:lang w:val="es-ES_tradnl"/>
        </w:rPr>
        <w:t>Jueces de la Corte Nacional de Justicia</w:t>
      </w:r>
    </w:p>
    <w:p w14:paraId="4F67B73F" w14:textId="77777777" w:rsidR="00591D54" w:rsidRDefault="00591D54">
      <w:pPr>
        <w:shd w:val="clear" w:color="auto" w:fill="FFFFFF"/>
        <w:spacing w:before="192" w:line="211" w:lineRule="exact"/>
        <w:ind w:right="5"/>
        <w:jc w:val="both"/>
      </w:pPr>
      <w:r>
        <w:rPr>
          <w:spacing w:val="-3"/>
          <w:sz w:val="18"/>
          <w:szCs w:val="18"/>
          <w:lang w:val="es-ES_tradnl"/>
        </w:rPr>
        <w:t>De la revisi</w:t>
      </w:r>
      <w:r>
        <w:rPr>
          <w:rFonts w:cs="Times New Roman"/>
          <w:spacing w:val="-3"/>
          <w:sz w:val="18"/>
          <w:szCs w:val="18"/>
          <w:lang w:val="es-ES_tradnl"/>
        </w:rPr>
        <w:t>ó</w:t>
      </w:r>
      <w:r>
        <w:rPr>
          <w:spacing w:val="-3"/>
          <w:sz w:val="18"/>
          <w:szCs w:val="18"/>
          <w:lang w:val="es-ES_tradnl"/>
        </w:rPr>
        <w:t xml:space="preserve">n del expediente constitucional consta de </w:t>
      </w:r>
      <w:r>
        <w:rPr>
          <w:spacing w:val="-5"/>
          <w:sz w:val="18"/>
          <w:szCs w:val="18"/>
          <w:lang w:val="es-ES_tradnl"/>
        </w:rPr>
        <w:t>fojas 23 y 24, el oficio N.</w:t>
      </w:r>
      <w:r>
        <w:rPr>
          <w:rFonts w:cs="Times New Roman"/>
          <w:spacing w:val="-5"/>
          <w:sz w:val="18"/>
          <w:szCs w:val="18"/>
          <w:lang w:val="es-ES_tradnl"/>
        </w:rPr>
        <w:t>º</w:t>
      </w:r>
      <w:r>
        <w:rPr>
          <w:spacing w:val="-5"/>
          <w:sz w:val="18"/>
          <w:szCs w:val="18"/>
          <w:lang w:val="es-ES_tradnl"/>
        </w:rPr>
        <w:t xml:space="preserve"> 307-2015-SCT-CNJ del 31 de marzo de 2015, suscrito por los jueces nacionales Jos</w:t>
      </w:r>
      <w:r>
        <w:rPr>
          <w:rFonts w:cs="Times New Roman"/>
          <w:spacing w:val="-5"/>
          <w:sz w:val="18"/>
          <w:szCs w:val="18"/>
          <w:lang w:val="es-ES_tradnl"/>
        </w:rPr>
        <w:t xml:space="preserve">é </w:t>
      </w:r>
      <w:r>
        <w:rPr>
          <w:spacing w:val="-7"/>
          <w:sz w:val="18"/>
          <w:szCs w:val="18"/>
          <w:lang w:val="es-ES_tradnl"/>
        </w:rPr>
        <w:t>Luis Ter</w:t>
      </w:r>
      <w:r>
        <w:rPr>
          <w:rFonts w:cs="Times New Roman"/>
          <w:spacing w:val="-7"/>
          <w:sz w:val="18"/>
          <w:szCs w:val="18"/>
          <w:lang w:val="es-ES_tradnl"/>
        </w:rPr>
        <w:t>á</w:t>
      </w:r>
      <w:r>
        <w:rPr>
          <w:spacing w:val="-7"/>
          <w:sz w:val="18"/>
          <w:szCs w:val="18"/>
          <w:lang w:val="es-ES_tradnl"/>
        </w:rPr>
        <w:t>n Su</w:t>
      </w:r>
      <w:r>
        <w:rPr>
          <w:rFonts w:cs="Times New Roman"/>
          <w:spacing w:val="-7"/>
          <w:sz w:val="18"/>
          <w:szCs w:val="18"/>
          <w:lang w:val="es-ES_tradnl"/>
        </w:rPr>
        <w:t>á</w:t>
      </w:r>
      <w:r>
        <w:rPr>
          <w:spacing w:val="-7"/>
          <w:sz w:val="18"/>
          <w:szCs w:val="18"/>
          <w:lang w:val="es-ES_tradnl"/>
        </w:rPr>
        <w:t>rez, Maritza Tatiana P</w:t>
      </w:r>
      <w:r>
        <w:rPr>
          <w:rFonts w:cs="Times New Roman"/>
          <w:spacing w:val="-7"/>
          <w:sz w:val="18"/>
          <w:szCs w:val="18"/>
          <w:lang w:val="es-ES_tradnl"/>
        </w:rPr>
        <w:t>é</w:t>
      </w:r>
      <w:r>
        <w:rPr>
          <w:spacing w:val="-7"/>
          <w:sz w:val="18"/>
          <w:szCs w:val="18"/>
          <w:lang w:val="es-ES_tradnl"/>
        </w:rPr>
        <w:t xml:space="preserve">rez Valencia y Ana </w:t>
      </w:r>
      <w:r>
        <w:rPr>
          <w:spacing w:val="-9"/>
          <w:sz w:val="18"/>
          <w:szCs w:val="18"/>
          <w:lang w:val="es-ES_tradnl"/>
        </w:rPr>
        <w:t>Mar</w:t>
      </w:r>
      <w:r>
        <w:rPr>
          <w:rFonts w:cs="Times New Roman"/>
          <w:spacing w:val="-9"/>
          <w:sz w:val="18"/>
          <w:szCs w:val="18"/>
          <w:lang w:val="es-ES_tradnl"/>
        </w:rPr>
        <w:t>í</w:t>
      </w:r>
      <w:r>
        <w:rPr>
          <w:spacing w:val="-9"/>
          <w:sz w:val="18"/>
          <w:szCs w:val="18"/>
          <w:lang w:val="es-ES_tradnl"/>
        </w:rPr>
        <w:t xml:space="preserve">a Crespo Santos, quienes expresan en lo principal que </w:t>
      </w:r>
      <w:r>
        <w:rPr>
          <w:spacing w:val="-5"/>
          <w:sz w:val="18"/>
          <w:szCs w:val="18"/>
          <w:lang w:val="es-ES_tradnl"/>
        </w:rPr>
        <w:t>la sentencia objeto de impugnaci</w:t>
      </w:r>
      <w:r>
        <w:rPr>
          <w:rFonts w:cs="Times New Roman"/>
          <w:spacing w:val="-5"/>
          <w:sz w:val="18"/>
          <w:szCs w:val="18"/>
          <w:lang w:val="es-ES_tradnl"/>
        </w:rPr>
        <w:t>ó</w:t>
      </w:r>
      <w:r>
        <w:rPr>
          <w:spacing w:val="-5"/>
          <w:sz w:val="18"/>
          <w:szCs w:val="18"/>
          <w:lang w:val="es-ES_tradnl"/>
        </w:rPr>
        <w:t xml:space="preserve">n fue dictada por los </w:t>
      </w:r>
      <w:r>
        <w:rPr>
          <w:spacing w:val="-9"/>
          <w:sz w:val="18"/>
          <w:szCs w:val="18"/>
          <w:lang w:val="es-ES_tradnl"/>
        </w:rPr>
        <w:t>jueces Jos</w:t>
      </w:r>
      <w:r>
        <w:rPr>
          <w:rFonts w:cs="Times New Roman"/>
          <w:spacing w:val="-9"/>
          <w:sz w:val="18"/>
          <w:szCs w:val="18"/>
          <w:lang w:val="es-ES_tradnl"/>
        </w:rPr>
        <w:t>é</w:t>
      </w:r>
      <w:r>
        <w:rPr>
          <w:spacing w:val="-9"/>
          <w:sz w:val="18"/>
          <w:szCs w:val="18"/>
          <w:lang w:val="es-ES_tradnl"/>
        </w:rPr>
        <w:t xml:space="preserve"> Suing Nagua, Gustavo Durango Vela y Maritza </w:t>
      </w:r>
      <w:r>
        <w:rPr>
          <w:spacing w:val="-6"/>
          <w:sz w:val="18"/>
          <w:szCs w:val="18"/>
          <w:lang w:val="es-ES_tradnl"/>
        </w:rPr>
        <w:t>Tatiana P</w:t>
      </w:r>
      <w:r>
        <w:rPr>
          <w:rFonts w:cs="Times New Roman"/>
          <w:spacing w:val="-6"/>
          <w:sz w:val="18"/>
          <w:szCs w:val="18"/>
          <w:lang w:val="es-ES_tradnl"/>
        </w:rPr>
        <w:t>é</w:t>
      </w:r>
      <w:r>
        <w:rPr>
          <w:spacing w:val="-6"/>
          <w:sz w:val="18"/>
          <w:szCs w:val="18"/>
          <w:lang w:val="es-ES_tradnl"/>
        </w:rPr>
        <w:t xml:space="preserve">rez Valencia, no obstante de lo cual, la jueza </w:t>
      </w:r>
      <w:r>
        <w:rPr>
          <w:spacing w:val="-8"/>
          <w:sz w:val="18"/>
          <w:szCs w:val="18"/>
          <w:lang w:val="es-ES_tradnl"/>
        </w:rPr>
        <w:t>P</w:t>
      </w:r>
      <w:r>
        <w:rPr>
          <w:rFonts w:cs="Times New Roman"/>
          <w:spacing w:val="-8"/>
          <w:sz w:val="18"/>
          <w:szCs w:val="18"/>
          <w:lang w:val="es-ES_tradnl"/>
        </w:rPr>
        <w:t>é</w:t>
      </w:r>
      <w:r>
        <w:rPr>
          <w:spacing w:val="-8"/>
          <w:sz w:val="18"/>
          <w:szCs w:val="18"/>
          <w:lang w:val="es-ES_tradnl"/>
        </w:rPr>
        <w:t xml:space="preserve">rez Valencia expresa que la sentencia impugnada fue </w:t>
      </w:r>
      <w:r>
        <w:rPr>
          <w:spacing w:val="-9"/>
          <w:sz w:val="18"/>
          <w:szCs w:val="18"/>
          <w:lang w:val="es-ES_tradnl"/>
        </w:rPr>
        <w:t>dictada respetando el debido proceso, la seguridad jur</w:t>
      </w:r>
      <w:r>
        <w:rPr>
          <w:rFonts w:cs="Times New Roman"/>
          <w:spacing w:val="-9"/>
          <w:sz w:val="18"/>
          <w:szCs w:val="18"/>
          <w:lang w:val="es-ES_tradnl"/>
        </w:rPr>
        <w:t>í</w:t>
      </w:r>
      <w:r>
        <w:rPr>
          <w:spacing w:val="-9"/>
          <w:sz w:val="18"/>
          <w:szCs w:val="18"/>
          <w:lang w:val="es-ES_tradnl"/>
        </w:rPr>
        <w:t xml:space="preserve">dica, </w:t>
      </w:r>
      <w:r>
        <w:rPr>
          <w:spacing w:val="-6"/>
          <w:sz w:val="18"/>
          <w:szCs w:val="18"/>
          <w:lang w:val="es-ES_tradnl"/>
        </w:rPr>
        <w:t xml:space="preserve">el derecho a la defensa y el derecho a la tutela judicial, </w:t>
      </w:r>
      <w:r>
        <w:rPr>
          <w:spacing w:val="-7"/>
          <w:sz w:val="18"/>
          <w:szCs w:val="18"/>
          <w:lang w:val="es-ES_tradnl"/>
        </w:rPr>
        <w:t>efectiva imparcial y expedita de las partes, encontr</w:t>
      </w:r>
      <w:r>
        <w:rPr>
          <w:rFonts w:cs="Times New Roman"/>
          <w:spacing w:val="-7"/>
          <w:sz w:val="18"/>
          <w:szCs w:val="18"/>
          <w:lang w:val="es-ES_tradnl"/>
        </w:rPr>
        <w:t>á</w:t>
      </w:r>
      <w:r>
        <w:rPr>
          <w:spacing w:val="-7"/>
          <w:sz w:val="18"/>
          <w:szCs w:val="18"/>
          <w:lang w:val="es-ES_tradnl"/>
        </w:rPr>
        <w:t xml:space="preserve">ndose </w:t>
      </w:r>
      <w:r>
        <w:rPr>
          <w:sz w:val="18"/>
          <w:szCs w:val="18"/>
          <w:lang w:val="es-ES_tradnl"/>
        </w:rPr>
        <w:t>la misma debidamente motivada.</w:t>
      </w:r>
    </w:p>
    <w:p w14:paraId="4F67B740" w14:textId="77777777" w:rsidR="00591D54" w:rsidRDefault="00591D54">
      <w:pPr>
        <w:shd w:val="clear" w:color="auto" w:fill="FFFFFF"/>
        <w:spacing w:before="5" w:line="216" w:lineRule="exact"/>
        <w:jc w:val="both"/>
      </w:pPr>
      <w:r>
        <w:br w:type="column"/>
      </w:r>
      <w:r>
        <w:rPr>
          <w:spacing w:val="-7"/>
          <w:sz w:val="18"/>
          <w:szCs w:val="18"/>
          <w:lang w:val="es-ES_tradnl"/>
        </w:rPr>
        <w:t>Por esta raz</w:t>
      </w:r>
      <w:r>
        <w:rPr>
          <w:rFonts w:cs="Times New Roman"/>
          <w:spacing w:val="-7"/>
          <w:sz w:val="18"/>
          <w:szCs w:val="18"/>
          <w:lang w:val="es-ES_tradnl"/>
        </w:rPr>
        <w:t>ó</w:t>
      </w:r>
      <w:r>
        <w:rPr>
          <w:spacing w:val="-7"/>
          <w:sz w:val="18"/>
          <w:szCs w:val="18"/>
          <w:lang w:val="es-ES_tradnl"/>
        </w:rPr>
        <w:t xml:space="preserve">n, los jueces suscriptores solicitan que se </w:t>
      </w:r>
      <w:r>
        <w:rPr>
          <w:spacing w:val="-12"/>
          <w:sz w:val="18"/>
          <w:szCs w:val="18"/>
          <w:lang w:val="es-ES_tradnl"/>
        </w:rPr>
        <w:t xml:space="preserve">considere como suficiente el informe para que sea rechazada </w:t>
      </w:r>
      <w:r>
        <w:rPr>
          <w:spacing w:val="-6"/>
          <w:sz w:val="18"/>
          <w:szCs w:val="18"/>
          <w:lang w:val="es-ES_tradnl"/>
        </w:rPr>
        <w:t>la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presentada por el </w:t>
      </w:r>
      <w:r>
        <w:rPr>
          <w:spacing w:val="-8"/>
          <w:sz w:val="18"/>
          <w:szCs w:val="18"/>
          <w:lang w:val="es-ES_tradnl"/>
        </w:rPr>
        <w:t>se</w:t>
      </w:r>
      <w:r>
        <w:rPr>
          <w:rFonts w:cs="Times New Roman"/>
          <w:spacing w:val="-8"/>
          <w:sz w:val="18"/>
          <w:szCs w:val="18"/>
          <w:lang w:val="es-ES_tradnl"/>
        </w:rPr>
        <w:t>ñ</w:t>
      </w:r>
      <w:r>
        <w:rPr>
          <w:spacing w:val="-8"/>
          <w:sz w:val="18"/>
          <w:szCs w:val="18"/>
          <w:lang w:val="es-ES_tradnl"/>
        </w:rPr>
        <w:t xml:space="preserve">or </w:t>
      </w:r>
      <w:r>
        <w:rPr>
          <w:rFonts w:cs="Times New Roman"/>
          <w:spacing w:val="-8"/>
          <w:sz w:val="18"/>
          <w:szCs w:val="18"/>
          <w:lang w:val="es-ES_tradnl"/>
        </w:rPr>
        <w:t>Á</w:t>
      </w:r>
      <w:r>
        <w:rPr>
          <w:spacing w:val="-8"/>
          <w:sz w:val="18"/>
          <w:szCs w:val="18"/>
          <w:lang w:val="es-ES_tradnl"/>
        </w:rPr>
        <w:t>ngel Ra</w:t>
      </w:r>
      <w:r>
        <w:rPr>
          <w:rFonts w:cs="Times New Roman"/>
          <w:spacing w:val="-8"/>
          <w:sz w:val="18"/>
          <w:szCs w:val="18"/>
          <w:lang w:val="es-ES_tradnl"/>
        </w:rPr>
        <w:t>ú</w:t>
      </w:r>
      <w:r>
        <w:rPr>
          <w:spacing w:val="-8"/>
          <w:sz w:val="18"/>
          <w:szCs w:val="18"/>
          <w:lang w:val="es-ES_tradnl"/>
        </w:rPr>
        <w:t>l Salvador Garc</w:t>
      </w:r>
      <w:r>
        <w:rPr>
          <w:rFonts w:cs="Times New Roman"/>
          <w:spacing w:val="-8"/>
          <w:sz w:val="18"/>
          <w:szCs w:val="18"/>
          <w:lang w:val="es-ES_tradnl"/>
        </w:rPr>
        <w:t>í</w:t>
      </w:r>
      <w:r>
        <w:rPr>
          <w:spacing w:val="-8"/>
          <w:sz w:val="18"/>
          <w:szCs w:val="18"/>
          <w:lang w:val="es-ES_tradnl"/>
        </w:rPr>
        <w:t>a, por los derechos que representa de la compa</w:t>
      </w:r>
      <w:r>
        <w:rPr>
          <w:rFonts w:cs="Times New Roman"/>
          <w:spacing w:val="-8"/>
          <w:sz w:val="18"/>
          <w:szCs w:val="18"/>
          <w:lang w:val="es-ES_tradnl"/>
        </w:rPr>
        <w:t>ñí</w:t>
      </w:r>
      <w:r>
        <w:rPr>
          <w:spacing w:val="-8"/>
          <w:sz w:val="18"/>
          <w:szCs w:val="18"/>
          <w:lang w:val="es-ES_tradnl"/>
        </w:rPr>
        <w:t>a LICORES DE EXPORTACI</w:t>
      </w:r>
      <w:r>
        <w:rPr>
          <w:rFonts w:cs="Times New Roman"/>
          <w:spacing w:val="-8"/>
          <w:sz w:val="18"/>
          <w:szCs w:val="18"/>
          <w:lang w:val="es-ES_tradnl"/>
        </w:rPr>
        <w:t>Ó</w:t>
      </w:r>
      <w:r>
        <w:rPr>
          <w:spacing w:val="-8"/>
          <w:sz w:val="18"/>
          <w:szCs w:val="18"/>
          <w:lang w:val="es-ES_tradnl"/>
        </w:rPr>
        <w:t>N S. A. (LICORESA) dentro del referido recurso de casaci</w:t>
      </w:r>
      <w:r>
        <w:rPr>
          <w:rFonts w:cs="Times New Roman"/>
          <w:spacing w:val="-8"/>
          <w:sz w:val="18"/>
          <w:szCs w:val="18"/>
          <w:lang w:val="es-ES_tradnl"/>
        </w:rPr>
        <w:t>ó</w:t>
      </w:r>
      <w:r>
        <w:rPr>
          <w:spacing w:val="-8"/>
          <w:sz w:val="18"/>
          <w:szCs w:val="18"/>
          <w:lang w:val="es-ES_tradnl"/>
        </w:rPr>
        <w:t>n.</w:t>
      </w:r>
    </w:p>
    <w:p w14:paraId="4F67B741" w14:textId="77777777" w:rsidR="00591D54" w:rsidRDefault="00591D54">
      <w:pPr>
        <w:shd w:val="clear" w:color="auto" w:fill="FFFFFF"/>
        <w:spacing w:before="192"/>
      </w:pPr>
      <w:r>
        <w:rPr>
          <w:b/>
          <w:bCs/>
          <w:spacing w:val="-7"/>
          <w:sz w:val="18"/>
          <w:szCs w:val="18"/>
          <w:lang w:val="es-ES_tradnl"/>
        </w:rPr>
        <w:t>Procuradur</w:t>
      </w:r>
      <w:r>
        <w:rPr>
          <w:rFonts w:cs="Times New Roman"/>
          <w:b/>
          <w:bCs/>
          <w:spacing w:val="-7"/>
          <w:sz w:val="18"/>
          <w:szCs w:val="18"/>
          <w:lang w:val="es-ES_tradnl"/>
        </w:rPr>
        <w:t>í</w:t>
      </w:r>
      <w:r>
        <w:rPr>
          <w:b/>
          <w:bCs/>
          <w:spacing w:val="-7"/>
          <w:sz w:val="18"/>
          <w:szCs w:val="18"/>
          <w:lang w:val="es-ES_tradnl"/>
        </w:rPr>
        <w:t>a General del Estado</w:t>
      </w:r>
    </w:p>
    <w:p w14:paraId="4F67B742" w14:textId="77777777" w:rsidR="00591D54" w:rsidRDefault="00591D54">
      <w:pPr>
        <w:shd w:val="clear" w:color="auto" w:fill="FFFFFF"/>
        <w:spacing w:before="192" w:line="216" w:lineRule="exact"/>
        <w:jc w:val="both"/>
      </w:pPr>
      <w:r>
        <w:rPr>
          <w:sz w:val="18"/>
          <w:szCs w:val="18"/>
          <w:lang w:val="es-ES_tradnl"/>
        </w:rPr>
        <w:t xml:space="preserve">Comparece a fojas 27 del expediente constitucional, </w:t>
      </w:r>
      <w:r>
        <w:rPr>
          <w:spacing w:val="-1"/>
          <w:sz w:val="18"/>
          <w:szCs w:val="18"/>
          <w:lang w:val="es-ES_tradnl"/>
        </w:rPr>
        <w:t xml:space="preserve">el abogado Marcos Arteaga Valenzuela en su calidad </w:t>
      </w:r>
      <w:r>
        <w:rPr>
          <w:spacing w:val="-4"/>
          <w:sz w:val="18"/>
          <w:szCs w:val="18"/>
          <w:lang w:val="es-ES_tradnl"/>
        </w:rPr>
        <w:t xml:space="preserve">de director nacional de Patrocinio y delegado de la </w:t>
      </w:r>
      <w:r>
        <w:rPr>
          <w:spacing w:val="-8"/>
          <w:sz w:val="18"/>
          <w:szCs w:val="18"/>
          <w:lang w:val="es-ES_tradnl"/>
        </w:rPr>
        <w:t>Procuradur</w:t>
      </w:r>
      <w:r>
        <w:rPr>
          <w:rFonts w:cs="Times New Roman"/>
          <w:spacing w:val="-8"/>
          <w:sz w:val="18"/>
          <w:szCs w:val="18"/>
          <w:lang w:val="es-ES_tradnl"/>
        </w:rPr>
        <w:t>í</w:t>
      </w:r>
      <w:r>
        <w:rPr>
          <w:spacing w:val="-8"/>
          <w:sz w:val="18"/>
          <w:szCs w:val="18"/>
          <w:lang w:val="es-ES_tradnl"/>
        </w:rPr>
        <w:t>a General del Estado, se</w:t>
      </w:r>
      <w:r>
        <w:rPr>
          <w:rFonts w:cs="Times New Roman"/>
          <w:spacing w:val="-8"/>
          <w:sz w:val="18"/>
          <w:szCs w:val="18"/>
          <w:lang w:val="es-ES_tradnl"/>
        </w:rPr>
        <w:t>ñ</w:t>
      </w:r>
      <w:r>
        <w:rPr>
          <w:spacing w:val="-8"/>
          <w:sz w:val="18"/>
          <w:szCs w:val="18"/>
          <w:lang w:val="es-ES_tradnl"/>
        </w:rPr>
        <w:t xml:space="preserve">alando, </w:t>
      </w:r>
      <w:r>
        <w:rPr>
          <w:rFonts w:cs="Times New Roman"/>
          <w:spacing w:val="-8"/>
          <w:sz w:val="18"/>
          <w:szCs w:val="18"/>
          <w:lang w:val="es-ES_tradnl"/>
        </w:rPr>
        <w:t>ú</w:t>
      </w:r>
      <w:r>
        <w:rPr>
          <w:spacing w:val="-8"/>
          <w:sz w:val="18"/>
          <w:szCs w:val="18"/>
          <w:lang w:val="es-ES_tradnl"/>
        </w:rPr>
        <w:t xml:space="preserve">nicamente, </w:t>
      </w:r>
      <w:r>
        <w:rPr>
          <w:spacing w:val="-6"/>
          <w:sz w:val="18"/>
          <w:szCs w:val="18"/>
          <w:lang w:val="es-ES_tradnl"/>
        </w:rPr>
        <w:t xml:space="preserve">casilla constitucional para recibir las notificaciones que le </w:t>
      </w:r>
      <w:r>
        <w:rPr>
          <w:spacing w:val="-9"/>
          <w:sz w:val="18"/>
          <w:szCs w:val="18"/>
          <w:lang w:val="es-ES_tradnl"/>
        </w:rPr>
        <w:t>correspondan en relaci</w:t>
      </w:r>
      <w:r>
        <w:rPr>
          <w:rFonts w:cs="Times New Roman"/>
          <w:spacing w:val="-9"/>
          <w:sz w:val="18"/>
          <w:szCs w:val="18"/>
          <w:lang w:val="es-ES_tradnl"/>
        </w:rPr>
        <w:t>ó</w:t>
      </w:r>
      <w:r>
        <w:rPr>
          <w:spacing w:val="-9"/>
          <w:sz w:val="18"/>
          <w:szCs w:val="18"/>
          <w:lang w:val="es-ES_tradnl"/>
        </w:rPr>
        <w:t>n a la causa N.</w:t>
      </w:r>
      <w:r>
        <w:rPr>
          <w:rFonts w:cs="Times New Roman"/>
          <w:spacing w:val="-9"/>
          <w:sz w:val="18"/>
          <w:szCs w:val="18"/>
          <w:lang w:val="es-ES_tradnl"/>
        </w:rPr>
        <w:t>º</w:t>
      </w:r>
      <w:r>
        <w:rPr>
          <w:spacing w:val="-9"/>
          <w:sz w:val="18"/>
          <w:szCs w:val="18"/>
          <w:lang w:val="es-ES_tradnl"/>
        </w:rPr>
        <w:t xml:space="preserve"> 1228-12-EP.</w:t>
      </w:r>
    </w:p>
    <w:p w14:paraId="4F67B743" w14:textId="77777777" w:rsidR="00591D54" w:rsidRDefault="00591D54">
      <w:pPr>
        <w:shd w:val="clear" w:color="auto" w:fill="FFFFFF"/>
        <w:spacing w:before="192" w:line="216" w:lineRule="exact"/>
        <w:ind w:left="686" w:right="326" w:hanging="355"/>
      </w:pPr>
      <w:r>
        <w:rPr>
          <w:b/>
          <w:bCs/>
          <w:spacing w:val="-1"/>
          <w:sz w:val="18"/>
          <w:szCs w:val="18"/>
          <w:lang w:val="es-ES_tradnl"/>
        </w:rPr>
        <w:t xml:space="preserve">II. CONSIDERACIONES Y FUNDAMENTOS </w:t>
      </w:r>
      <w:r>
        <w:rPr>
          <w:b/>
          <w:bCs/>
          <w:sz w:val="18"/>
          <w:szCs w:val="18"/>
          <w:lang w:val="es-ES_tradnl"/>
        </w:rPr>
        <w:t>DE LA CORTE CONSTITUCIONAL</w:t>
      </w:r>
    </w:p>
    <w:p w14:paraId="4F67B744" w14:textId="77777777" w:rsidR="00591D54" w:rsidRDefault="00591D54">
      <w:pPr>
        <w:shd w:val="clear" w:color="auto" w:fill="FFFFFF"/>
        <w:spacing w:before="187"/>
      </w:pPr>
      <w:r>
        <w:rPr>
          <w:b/>
          <w:bCs/>
          <w:spacing w:val="-8"/>
          <w:sz w:val="18"/>
          <w:szCs w:val="18"/>
          <w:lang w:val="es-ES_tradnl"/>
        </w:rPr>
        <w:t>Competencia de la Corte</w:t>
      </w:r>
    </w:p>
    <w:p w14:paraId="4F67B745" w14:textId="77777777" w:rsidR="00591D54" w:rsidRDefault="00591D54">
      <w:pPr>
        <w:shd w:val="clear" w:color="auto" w:fill="FFFFFF"/>
        <w:spacing w:before="197" w:line="216" w:lineRule="exact"/>
        <w:jc w:val="both"/>
      </w:pPr>
      <w:r>
        <w:rPr>
          <w:sz w:val="18"/>
          <w:szCs w:val="18"/>
          <w:lang w:val="es-ES_tradnl"/>
        </w:rPr>
        <w:t xml:space="preserve">La Corte Constitucional es competente para conocer </w:t>
      </w:r>
      <w:r>
        <w:rPr>
          <w:spacing w:val="-6"/>
          <w:sz w:val="18"/>
          <w:szCs w:val="18"/>
          <w:lang w:val="es-ES_tradnl"/>
        </w:rPr>
        <w:t xml:space="preserve">y pronunciarse sobre las acciones extraordinarias de </w:t>
      </w:r>
      <w:r>
        <w:rPr>
          <w:spacing w:val="-4"/>
          <w:sz w:val="18"/>
          <w:szCs w:val="18"/>
          <w:lang w:val="es-ES_tradnl"/>
        </w:rPr>
        <w:t>protecci</w:t>
      </w:r>
      <w:r>
        <w:rPr>
          <w:rFonts w:cs="Times New Roman"/>
          <w:spacing w:val="-4"/>
          <w:sz w:val="18"/>
          <w:szCs w:val="18"/>
          <w:lang w:val="es-ES_tradnl"/>
        </w:rPr>
        <w:t>ó</w:t>
      </w:r>
      <w:r>
        <w:rPr>
          <w:spacing w:val="-4"/>
          <w:sz w:val="18"/>
          <w:szCs w:val="18"/>
          <w:lang w:val="es-ES_tradnl"/>
        </w:rPr>
        <w:t>n en virtud de lo establecido en los art</w:t>
      </w:r>
      <w:r>
        <w:rPr>
          <w:rFonts w:cs="Times New Roman"/>
          <w:spacing w:val="-4"/>
          <w:sz w:val="18"/>
          <w:szCs w:val="18"/>
          <w:lang w:val="es-ES_tradnl"/>
        </w:rPr>
        <w:t>í</w:t>
      </w:r>
      <w:r>
        <w:rPr>
          <w:spacing w:val="-4"/>
          <w:sz w:val="18"/>
          <w:szCs w:val="18"/>
          <w:lang w:val="es-ES_tradnl"/>
        </w:rPr>
        <w:t xml:space="preserve">culos 94 </w:t>
      </w:r>
      <w:r>
        <w:rPr>
          <w:spacing w:val="-1"/>
          <w:sz w:val="18"/>
          <w:szCs w:val="18"/>
          <w:lang w:val="es-ES_tradnl"/>
        </w:rPr>
        <w:t>y 437 de la Constituci</w:t>
      </w:r>
      <w:r>
        <w:rPr>
          <w:rFonts w:cs="Times New Roman"/>
          <w:spacing w:val="-1"/>
          <w:sz w:val="18"/>
          <w:szCs w:val="18"/>
          <w:lang w:val="es-ES_tradnl"/>
        </w:rPr>
        <w:t>ó</w:t>
      </w:r>
      <w:r>
        <w:rPr>
          <w:spacing w:val="-1"/>
          <w:sz w:val="18"/>
          <w:szCs w:val="18"/>
          <w:lang w:val="es-ES_tradnl"/>
        </w:rPr>
        <w:t>n vigente y el art</w:t>
      </w:r>
      <w:r>
        <w:rPr>
          <w:rFonts w:cs="Times New Roman"/>
          <w:spacing w:val="-1"/>
          <w:sz w:val="18"/>
          <w:szCs w:val="18"/>
          <w:lang w:val="es-ES_tradnl"/>
        </w:rPr>
        <w:t>í</w:t>
      </w:r>
      <w:r>
        <w:rPr>
          <w:spacing w:val="-1"/>
          <w:sz w:val="18"/>
          <w:szCs w:val="18"/>
          <w:lang w:val="es-ES_tradnl"/>
        </w:rPr>
        <w:t xml:space="preserve">culo 63 de la </w:t>
      </w:r>
      <w:r>
        <w:rPr>
          <w:spacing w:val="-6"/>
          <w:sz w:val="18"/>
          <w:szCs w:val="18"/>
          <w:lang w:val="es-ES_tradnl"/>
        </w:rPr>
        <w:t>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Control </w:t>
      </w:r>
      <w:r>
        <w:rPr>
          <w:spacing w:val="-9"/>
          <w:sz w:val="18"/>
          <w:szCs w:val="18"/>
          <w:lang w:val="es-ES_tradnl"/>
        </w:rPr>
        <w:t>Constitucional. En el presente caso de la acci</w:t>
      </w:r>
      <w:r>
        <w:rPr>
          <w:rFonts w:cs="Times New Roman"/>
          <w:spacing w:val="-9"/>
          <w:sz w:val="18"/>
          <w:szCs w:val="18"/>
          <w:lang w:val="es-ES_tradnl"/>
        </w:rPr>
        <w:t>ó</w:t>
      </w:r>
      <w:r>
        <w:rPr>
          <w:spacing w:val="-9"/>
          <w:sz w:val="18"/>
          <w:szCs w:val="18"/>
          <w:lang w:val="es-ES_tradnl"/>
        </w:rPr>
        <w:t xml:space="preserve">n presentada </w:t>
      </w:r>
      <w:r>
        <w:rPr>
          <w:spacing w:val="-6"/>
          <w:sz w:val="18"/>
          <w:szCs w:val="18"/>
          <w:lang w:val="es-ES_tradnl"/>
        </w:rPr>
        <w:t>en contra de la sentencia expedida por la Sala de lo Contencioso Tributario de la Corte Nacional de Justicia.</w:t>
      </w:r>
    </w:p>
    <w:p w14:paraId="4F67B746" w14:textId="77777777" w:rsidR="00591D54" w:rsidRDefault="00591D54">
      <w:pPr>
        <w:shd w:val="clear" w:color="auto" w:fill="FFFFFF"/>
        <w:spacing w:before="192"/>
      </w:pPr>
      <w:r>
        <w:rPr>
          <w:b/>
          <w:bCs/>
          <w:spacing w:val="-8"/>
          <w:sz w:val="18"/>
          <w:szCs w:val="18"/>
          <w:lang w:val="es-ES_tradnl"/>
        </w:rPr>
        <w:t>Legitimaci</w:t>
      </w:r>
      <w:r>
        <w:rPr>
          <w:rFonts w:cs="Times New Roman"/>
          <w:b/>
          <w:bCs/>
          <w:spacing w:val="-8"/>
          <w:sz w:val="18"/>
          <w:szCs w:val="18"/>
          <w:lang w:val="es-ES_tradnl"/>
        </w:rPr>
        <w:t>ó</w:t>
      </w:r>
      <w:r>
        <w:rPr>
          <w:b/>
          <w:bCs/>
          <w:spacing w:val="-8"/>
          <w:sz w:val="18"/>
          <w:szCs w:val="18"/>
          <w:lang w:val="es-ES_tradnl"/>
        </w:rPr>
        <w:t>n activa</w:t>
      </w:r>
    </w:p>
    <w:p w14:paraId="4F67B747" w14:textId="77777777" w:rsidR="00591D54" w:rsidRDefault="00591D54">
      <w:pPr>
        <w:shd w:val="clear" w:color="auto" w:fill="FFFFFF"/>
        <w:spacing w:before="197" w:line="216" w:lineRule="exact"/>
        <w:jc w:val="both"/>
      </w:pPr>
      <w:r>
        <w:rPr>
          <w:spacing w:val="-8"/>
          <w:sz w:val="18"/>
          <w:szCs w:val="18"/>
          <w:lang w:val="es-ES_tradnl"/>
        </w:rPr>
        <w:t xml:space="preserve">El peticionario se encuentra legitimado para presentar esta </w:t>
      </w:r>
      <w:r>
        <w:rPr>
          <w:spacing w:val="-4"/>
          <w:sz w:val="18"/>
          <w:szCs w:val="18"/>
          <w:lang w:val="es-ES_tradnl"/>
        </w:rPr>
        <w:t>acci</w:t>
      </w:r>
      <w:r>
        <w:rPr>
          <w:rFonts w:cs="Times New Roman"/>
          <w:spacing w:val="-4"/>
          <w:sz w:val="18"/>
          <w:szCs w:val="18"/>
          <w:lang w:val="es-ES_tradnl"/>
        </w:rPr>
        <w:t>ó</w:t>
      </w:r>
      <w:r>
        <w:rPr>
          <w:spacing w:val="-4"/>
          <w:sz w:val="18"/>
          <w:szCs w:val="18"/>
          <w:lang w:val="es-ES_tradnl"/>
        </w:rPr>
        <w:t>n extraordinaria de protecci</w:t>
      </w:r>
      <w:r>
        <w:rPr>
          <w:rFonts w:cs="Times New Roman"/>
          <w:spacing w:val="-4"/>
          <w:sz w:val="18"/>
          <w:szCs w:val="18"/>
          <w:lang w:val="es-ES_tradnl"/>
        </w:rPr>
        <w:t>ó</w:t>
      </w:r>
      <w:r>
        <w:rPr>
          <w:spacing w:val="-4"/>
          <w:sz w:val="18"/>
          <w:szCs w:val="18"/>
          <w:lang w:val="es-ES_tradnl"/>
        </w:rPr>
        <w:t xml:space="preserve">n en virtud de cumplir </w:t>
      </w:r>
      <w:r>
        <w:rPr>
          <w:spacing w:val="-5"/>
          <w:sz w:val="18"/>
          <w:szCs w:val="18"/>
          <w:lang w:val="es-ES_tradnl"/>
        </w:rPr>
        <w:t>con los requerimientos establecidos en el art</w:t>
      </w:r>
      <w:r>
        <w:rPr>
          <w:rFonts w:cs="Times New Roman"/>
          <w:spacing w:val="-5"/>
          <w:sz w:val="18"/>
          <w:szCs w:val="18"/>
          <w:lang w:val="es-ES_tradnl"/>
        </w:rPr>
        <w:t>í</w:t>
      </w:r>
      <w:r>
        <w:rPr>
          <w:spacing w:val="-5"/>
          <w:sz w:val="18"/>
          <w:szCs w:val="18"/>
          <w:lang w:val="es-ES_tradnl"/>
        </w:rPr>
        <w:t xml:space="preserve">culo 437 de </w:t>
      </w:r>
      <w:r>
        <w:rPr>
          <w:sz w:val="18"/>
          <w:szCs w:val="18"/>
          <w:lang w:val="es-ES_tradnl"/>
        </w:rPr>
        <w:t>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 xml:space="preserve">blica y de conformidad con </w:t>
      </w:r>
      <w:r>
        <w:rPr>
          <w:spacing w:val="-7"/>
          <w:sz w:val="18"/>
          <w:szCs w:val="18"/>
          <w:lang w:val="es-ES_tradnl"/>
        </w:rPr>
        <w:t>el art</w:t>
      </w:r>
      <w:r>
        <w:rPr>
          <w:rFonts w:cs="Times New Roman"/>
          <w:spacing w:val="-7"/>
          <w:sz w:val="18"/>
          <w:szCs w:val="18"/>
          <w:lang w:val="es-ES_tradnl"/>
        </w:rPr>
        <w:t>í</w:t>
      </w:r>
      <w:r>
        <w:rPr>
          <w:spacing w:val="-7"/>
          <w:sz w:val="18"/>
          <w:szCs w:val="18"/>
          <w:lang w:val="es-ES_tradnl"/>
        </w:rPr>
        <w:t>culo 439 ib</w:t>
      </w:r>
      <w:r>
        <w:rPr>
          <w:rFonts w:cs="Times New Roman"/>
          <w:spacing w:val="-7"/>
          <w:sz w:val="18"/>
          <w:szCs w:val="18"/>
          <w:lang w:val="es-ES_tradnl"/>
        </w:rPr>
        <w:t>í</w:t>
      </w:r>
      <w:r>
        <w:rPr>
          <w:spacing w:val="-7"/>
          <w:sz w:val="18"/>
          <w:szCs w:val="18"/>
          <w:lang w:val="es-ES_tradnl"/>
        </w:rPr>
        <w:t>dem, que establece que las acciones constitucionales podr</w:t>
      </w:r>
      <w:r>
        <w:rPr>
          <w:rFonts w:cs="Times New Roman"/>
          <w:spacing w:val="-7"/>
          <w:sz w:val="18"/>
          <w:szCs w:val="18"/>
          <w:lang w:val="es-ES_tradnl"/>
        </w:rPr>
        <w:t>á</w:t>
      </w:r>
      <w:r>
        <w:rPr>
          <w:spacing w:val="-7"/>
          <w:sz w:val="18"/>
          <w:szCs w:val="18"/>
          <w:lang w:val="es-ES_tradnl"/>
        </w:rPr>
        <w:t xml:space="preserve">n ser presentadas por cualquier </w:t>
      </w:r>
      <w:r>
        <w:rPr>
          <w:spacing w:val="-6"/>
          <w:sz w:val="18"/>
          <w:szCs w:val="18"/>
          <w:lang w:val="es-ES_tradnl"/>
        </w:rPr>
        <w:t>ciudadana o ciudadano, individual o colectivamente, en concordancia con el art</w:t>
      </w:r>
      <w:r>
        <w:rPr>
          <w:rFonts w:cs="Times New Roman"/>
          <w:spacing w:val="-6"/>
          <w:sz w:val="18"/>
          <w:szCs w:val="18"/>
          <w:lang w:val="es-ES_tradnl"/>
        </w:rPr>
        <w:t>í</w:t>
      </w:r>
      <w:r>
        <w:rPr>
          <w:spacing w:val="-6"/>
          <w:sz w:val="18"/>
          <w:szCs w:val="18"/>
          <w:lang w:val="es-ES_tradnl"/>
        </w:rPr>
        <w:t>culo 59 de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as Jurisdiccionales y Control Constitucional.</w:t>
      </w:r>
    </w:p>
    <w:p w14:paraId="4F67B748" w14:textId="77777777" w:rsidR="00591D54" w:rsidRDefault="00591D54">
      <w:pPr>
        <w:shd w:val="clear" w:color="auto" w:fill="FFFFFF"/>
        <w:spacing w:before="192" w:line="216" w:lineRule="exact"/>
        <w:jc w:val="both"/>
      </w:pPr>
      <w:r>
        <w:rPr>
          <w:b/>
          <w:bCs/>
          <w:spacing w:val="-5"/>
          <w:sz w:val="18"/>
          <w:szCs w:val="18"/>
          <w:lang w:val="es-ES_tradnl"/>
        </w:rPr>
        <w:t>Naturaleza jur</w:t>
      </w:r>
      <w:r>
        <w:rPr>
          <w:rFonts w:cs="Times New Roman"/>
          <w:b/>
          <w:bCs/>
          <w:spacing w:val="-5"/>
          <w:sz w:val="18"/>
          <w:szCs w:val="18"/>
          <w:lang w:val="es-ES_tradnl"/>
        </w:rPr>
        <w:t>í</w:t>
      </w:r>
      <w:r>
        <w:rPr>
          <w:b/>
          <w:bCs/>
          <w:spacing w:val="-5"/>
          <w:sz w:val="18"/>
          <w:szCs w:val="18"/>
          <w:lang w:val="es-ES_tradnl"/>
        </w:rPr>
        <w:t>dica de la acci</w:t>
      </w:r>
      <w:r>
        <w:rPr>
          <w:rFonts w:cs="Times New Roman"/>
          <w:b/>
          <w:bCs/>
          <w:spacing w:val="-5"/>
          <w:sz w:val="18"/>
          <w:szCs w:val="18"/>
          <w:lang w:val="es-ES_tradnl"/>
        </w:rPr>
        <w:t>ó</w:t>
      </w:r>
      <w:r>
        <w:rPr>
          <w:b/>
          <w:bCs/>
          <w:spacing w:val="-5"/>
          <w:sz w:val="18"/>
          <w:szCs w:val="18"/>
          <w:lang w:val="es-ES_tradnl"/>
        </w:rPr>
        <w:t xml:space="preserve">n extraordinaria de </w:t>
      </w:r>
      <w:r>
        <w:rPr>
          <w:b/>
          <w:bCs/>
          <w:sz w:val="18"/>
          <w:szCs w:val="18"/>
          <w:lang w:val="es-ES_tradnl"/>
        </w:rPr>
        <w:t>protecci</w:t>
      </w:r>
      <w:r>
        <w:rPr>
          <w:rFonts w:cs="Times New Roman"/>
          <w:b/>
          <w:bCs/>
          <w:sz w:val="18"/>
          <w:szCs w:val="18"/>
          <w:lang w:val="es-ES_tradnl"/>
        </w:rPr>
        <w:t>ó</w:t>
      </w:r>
      <w:r>
        <w:rPr>
          <w:b/>
          <w:bCs/>
          <w:sz w:val="18"/>
          <w:szCs w:val="18"/>
          <w:lang w:val="es-ES_tradnl"/>
        </w:rPr>
        <w:t>n</w:t>
      </w:r>
    </w:p>
    <w:p w14:paraId="4F67B749" w14:textId="77777777" w:rsidR="00591D54" w:rsidRDefault="00591D54">
      <w:pPr>
        <w:shd w:val="clear" w:color="auto" w:fill="FFFFFF"/>
        <w:spacing w:before="197" w:line="216" w:lineRule="exact"/>
        <w:jc w:val="both"/>
      </w:pPr>
      <w:r>
        <w:rPr>
          <w:spacing w:val="-8"/>
          <w:sz w:val="18"/>
          <w:szCs w:val="18"/>
          <w:lang w:val="es-ES_tradnl"/>
        </w:rPr>
        <w:t>La Corte Constitucional al ser el m</w:t>
      </w:r>
      <w:r>
        <w:rPr>
          <w:rFonts w:cs="Times New Roman"/>
          <w:spacing w:val="-8"/>
          <w:sz w:val="18"/>
          <w:szCs w:val="18"/>
          <w:lang w:val="es-ES_tradnl"/>
        </w:rPr>
        <w:t>á</w:t>
      </w:r>
      <w:r>
        <w:rPr>
          <w:spacing w:val="-8"/>
          <w:sz w:val="18"/>
          <w:szCs w:val="18"/>
          <w:lang w:val="es-ES_tradnl"/>
        </w:rPr>
        <w:t xml:space="preserve">ximo </w:t>
      </w:r>
      <w:r>
        <w:rPr>
          <w:rFonts w:cs="Times New Roman"/>
          <w:spacing w:val="-8"/>
          <w:sz w:val="18"/>
          <w:szCs w:val="18"/>
          <w:lang w:val="es-ES_tradnl"/>
        </w:rPr>
        <w:t>ó</w:t>
      </w:r>
      <w:r>
        <w:rPr>
          <w:spacing w:val="-8"/>
          <w:sz w:val="18"/>
          <w:szCs w:val="18"/>
          <w:lang w:val="es-ES_tradnl"/>
        </w:rPr>
        <w:t xml:space="preserve">rgano de control, </w:t>
      </w:r>
      <w:r>
        <w:rPr>
          <w:spacing w:val="-7"/>
          <w:sz w:val="18"/>
          <w:szCs w:val="18"/>
          <w:lang w:val="es-ES_tradnl"/>
        </w:rPr>
        <w:t>interpretaci</w:t>
      </w:r>
      <w:r>
        <w:rPr>
          <w:rFonts w:cs="Times New Roman"/>
          <w:spacing w:val="-7"/>
          <w:sz w:val="18"/>
          <w:szCs w:val="18"/>
          <w:lang w:val="es-ES_tradnl"/>
        </w:rPr>
        <w:t>ó</w:t>
      </w:r>
      <w:r>
        <w:rPr>
          <w:spacing w:val="-7"/>
          <w:sz w:val="18"/>
          <w:szCs w:val="18"/>
          <w:lang w:val="es-ES_tradnl"/>
        </w:rPr>
        <w:t>n y administraci</w:t>
      </w:r>
      <w:r>
        <w:rPr>
          <w:rFonts w:cs="Times New Roman"/>
          <w:spacing w:val="-7"/>
          <w:sz w:val="18"/>
          <w:szCs w:val="18"/>
          <w:lang w:val="es-ES_tradnl"/>
        </w:rPr>
        <w:t>ó</w:t>
      </w:r>
      <w:r>
        <w:rPr>
          <w:spacing w:val="-7"/>
          <w:sz w:val="18"/>
          <w:szCs w:val="18"/>
          <w:lang w:val="es-ES_tradnl"/>
        </w:rPr>
        <w:t xml:space="preserve">n de la justicia constitucional, </w:t>
      </w:r>
      <w:r>
        <w:rPr>
          <w:spacing w:val="-10"/>
          <w:sz w:val="18"/>
          <w:szCs w:val="18"/>
          <w:lang w:val="es-ES_tradnl"/>
        </w:rPr>
        <w:t>se encuentra investida de la facultad de preservar la garant</w:t>
      </w:r>
      <w:r>
        <w:rPr>
          <w:rFonts w:cs="Times New Roman"/>
          <w:spacing w:val="-10"/>
          <w:sz w:val="18"/>
          <w:szCs w:val="18"/>
          <w:lang w:val="es-ES_tradnl"/>
        </w:rPr>
        <w:t>í</w:t>
      </w:r>
      <w:r>
        <w:rPr>
          <w:spacing w:val="-10"/>
          <w:sz w:val="18"/>
          <w:szCs w:val="18"/>
          <w:lang w:val="es-ES_tradnl"/>
        </w:rPr>
        <w:t xml:space="preserve">a </w:t>
      </w:r>
      <w:r>
        <w:rPr>
          <w:spacing w:val="-7"/>
          <w:sz w:val="18"/>
          <w:szCs w:val="18"/>
          <w:lang w:val="es-ES_tradnl"/>
        </w:rPr>
        <w:t xml:space="preserve">de los derechos constitucionales y de esta forma, evitar o </w:t>
      </w:r>
      <w:r>
        <w:rPr>
          <w:spacing w:val="-5"/>
          <w:sz w:val="18"/>
          <w:szCs w:val="18"/>
          <w:lang w:val="es-ES_tradnl"/>
        </w:rPr>
        <w:t>corregir su posible vulneraci</w:t>
      </w:r>
      <w:r>
        <w:rPr>
          <w:rFonts w:cs="Times New Roman"/>
          <w:spacing w:val="-5"/>
          <w:sz w:val="18"/>
          <w:szCs w:val="18"/>
          <w:lang w:val="es-ES_tradnl"/>
        </w:rPr>
        <w:t>ó</w:t>
      </w:r>
      <w:r>
        <w:rPr>
          <w:spacing w:val="-5"/>
          <w:sz w:val="18"/>
          <w:szCs w:val="18"/>
          <w:lang w:val="es-ES_tradnl"/>
        </w:rPr>
        <w:t xml:space="preserve">n. En este sentido, con la </w:t>
      </w:r>
      <w:r>
        <w:rPr>
          <w:spacing w:val="-2"/>
          <w:sz w:val="18"/>
          <w:szCs w:val="18"/>
          <w:lang w:val="es-ES_tradnl"/>
        </w:rPr>
        <w:t>expedici</w:t>
      </w:r>
      <w:r>
        <w:rPr>
          <w:rFonts w:cs="Times New Roman"/>
          <w:spacing w:val="-2"/>
          <w:sz w:val="18"/>
          <w:szCs w:val="18"/>
          <w:lang w:val="es-ES_tradnl"/>
        </w:rPr>
        <w:t>ó</w:t>
      </w:r>
      <w:r>
        <w:rPr>
          <w:spacing w:val="-2"/>
          <w:sz w:val="18"/>
          <w:szCs w:val="18"/>
          <w:lang w:val="es-ES_tradnl"/>
        </w:rPr>
        <w:t>n de la Constituci</w:t>
      </w:r>
      <w:r>
        <w:rPr>
          <w:rFonts w:cs="Times New Roman"/>
          <w:spacing w:val="-2"/>
          <w:sz w:val="18"/>
          <w:szCs w:val="18"/>
          <w:lang w:val="es-ES_tradnl"/>
        </w:rPr>
        <w:t>ó</w:t>
      </w:r>
      <w:r>
        <w:rPr>
          <w:spacing w:val="-2"/>
          <w:sz w:val="18"/>
          <w:szCs w:val="18"/>
          <w:lang w:val="es-ES_tradnl"/>
        </w:rPr>
        <w:t>n del a</w:t>
      </w:r>
      <w:r>
        <w:rPr>
          <w:rFonts w:cs="Times New Roman"/>
          <w:spacing w:val="-2"/>
          <w:sz w:val="18"/>
          <w:szCs w:val="18"/>
          <w:lang w:val="es-ES_tradnl"/>
        </w:rPr>
        <w:t>ñ</w:t>
      </w:r>
      <w:r>
        <w:rPr>
          <w:spacing w:val="-2"/>
          <w:sz w:val="18"/>
          <w:szCs w:val="18"/>
          <w:lang w:val="es-ES_tradnl"/>
        </w:rPr>
        <w:t>o 2008, se cambi</w:t>
      </w:r>
      <w:r>
        <w:rPr>
          <w:rFonts w:cs="Times New Roman"/>
          <w:spacing w:val="-2"/>
          <w:sz w:val="18"/>
          <w:szCs w:val="18"/>
          <w:lang w:val="es-ES_tradnl"/>
        </w:rPr>
        <w:t xml:space="preserve">ó </w:t>
      </w:r>
      <w:r>
        <w:rPr>
          <w:spacing w:val="-5"/>
          <w:sz w:val="18"/>
          <w:szCs w:val="18"/>
          <w:lang w:val="es-ES_tradnl"/>
        </w:rPr>
        <w:t xml:space="preserve">el paradigma constitucional, planteando la posibilidad </w:t>
      </w:r>
      <w:r>
        <w:rPr>
          <w:spacing w:val="-2"/>
          <w:sz w:val="18"/>
          <w:szCs w:val="18"/>
          <w:lang w:val="es-ES_tradnl"/>
        </w:rPr>
        <w:t xml:space="preserve">extraordinaria de tutelar los derechos constitucionales </w:t>
      </w:r>
      <w:r>
        <w:rPr>
          <w:spacing w:val="-7"/>
          <w:sz w:val="18"/>
          <w:szCs w:val="18"/>
          <w:lang w:val="es-ES_tradnl"/>
        </w:rPr>
        <w:t>que pudieran ser vulnerados durante la emisi</w:t>
      </w:r>
      <w:r>
        <w:rPr>
          <w:rFonts w:cs="Times New Roman"/>
          <w:spacing w:val="-7"/>
          <w:sz w:val="18"/>
          <w:szCs w:val="18"/>
          <w:lang w:val="es-ES_tradnl"/>
        </w:rPr>
        <w:t>ó</w:t>
      </w:r>
      <w:r>
        <w:rPr>
          <w:spacing w:val="-7"/>
          <w:sz w:val="18"/>
          <w:szCs w:val="18"/>
          <w:lang w:val="es-ES_tradnl"/>
        </w:rPr>
        <w:t xml:space="preserve">n de una </w:t>
      </w:r>
      <w:r>
        <w:rPr>
          <w:spacing w:val="-4"/>
          <w:sz w:val="18"/>
          <w:szCs w:val="18"/>
          <w:lang w:val="es-ES_tradnl"/>
        </w:rPr>
        <w:t>sentencia, auto definitivo o resoluci</w:t>
      </w:r>
      <w:r>
        <w:rPr>
          <w:rFonts w:cs="Times New Roman"/>
          <w:spacing w:val="-4"/>
          <w:sz w:val="18"/>
          <w:szCs w:val="18"/>
          <w:lang w:val="es-ES_tradnl"/>
        </w:rPr>
        <w:t>ó</w:t>
      </w:r>
      <w:r>
        <w:rPr>
          <w:spacing w:val="-4"/>
          <w:sz w:val="18"/>
          <w:szCs w:val="18"/>
          <w:lang w:val="es-ES_tradnl"/>
        </w:rPr>
        <w:t xml:space="preserve">n con fuerza de </w:t>
      </w:r>
      <w:r>
        <w:rPr>
          <w:spacing w:val="-7"/>
          <w:sz w:val="18"/>
          <w:szCs w:val="18"/>
          <w:lang w:val="es-ES_tradnl"/>
        </w:rPr>
        <w:t>sentencia resultado de un proceso judicial.</w:t>
      </w:r>
    </w:p>
    <w:p w14:paraId="4F67B74A" w14:textId="77777777" w:rsidR="00591D54" w:rsidRDefault="00591D54">
      <w:pPr>
        <w:shd w:val="clear" w:color="auto" w:fill="FFFFFF"/>
        <w:spacing w:before="197" w:line="216" w:lineRule="exact"/>
        <w:jc w:val="both"/>
      </w:pPr>
      <w:r>
        <w:rPr>
          <w:spacing w:val="-1"/>
          <w:sz w:val="18"/>
          <w:szCs w:val="18"/>
          <w:lang w:val="es-ES_tradnl"/>
        </w:rPr>
        <w:t>La acci</w:t>
      </w:r>
      <w:r>
        <w:rPr>
          <w:rFonts w:cs="Times New Roman"/>
          <w:spacing w:val="-1"/>
          <w:sz w:val="18"/>
          <w:szCs w:val="18"/>
          <w:lang w:val="es-ES_tradnl"/>
        </w:rPr>
        <w:t>ó</w:t>
      </w:r>
      <w:r>
        <w:rPr>
          <w:spacing w:val="-1"/>
          <w:sz w:val="18"/>
          <w:szCs w:val="18"/>
          <w:lang w:val="es-ES_tradnl"/>
        </w:rPr>
        <w:t>n extraordinaria de protecci</w:t>
      </w:r>
      <w:r>
        <w:rPr>
          <w:rFonts w:cs="Times New Roman"/>
          <w:spacing w:val="-1"/>
          <w:sz w:val="18"/>
          <w:szCs w:val="18"/>
          <w:lang w:val="es-ES_tradnl"/>
        </w:rPr>
        <w:t>ó</w:t>
      </w:r>
      <w:r>
        <w:rPr>
          <w:spacing w:val="-1"/>
          <w:sz w:val="18"/>
          <w:szCs w:val="18"/>
          <w:lang w:val="es-ES_tradnl"/>
        </w:rPr>
        <w:t xml:space="preserve">n, procede </w:t>
      </w:r>
      <w:r>
        <w:rPr>
          <w:spacing w:val="-2"/>
          <w:sz w:val="18"/>
          <w:szCs w:val="18"/>
          <w:lang w:val="es-ES_tradnl"/>
        </w:rPr>
        <w:t xml:space="preserve">exclusivamente en contra sentencias, autos definitivos </w:t>
      </w:r>
      <w:r>
        <w:rPr>
          <w:spacing w:val="-5"/>
          <w:sz w:val="18"/>
          <w:szCs w:val="18"/>
          <w:lang w:val="es-ES_tradnl"/>
        </w:rPr>
        <w:t xml:space="preserve">o resoluciones con fuerza de sentencia en los que por </w:t>
      </w:r>
      <w:r>
        <w:rPr>
          <w:spacing w:val="-8"/>
          <w:sz w:val="18"/>
          <w:szCs w:val="18"/>
          <w:lang w:val="es-ES_tradnl"/>
        </w:rPr>
        <w:t>acci</w:t>
      </w:r>
      <w:r>
        <w:rPr>
          <w:rFonts w:cs="Times New Roman"/>
          <w:spacing w:val="-8"/>
          <w:sz w:val="18"/>
          <w:szCs w:val="18"/>
          <w:lang w:val="es-ES_tradnl"/>
        </w:rPr>
        <w:t>ó</w:t>
      </w:r>
      <w:r>
        <w:rPr>
          <w:spacing w:val="-8"/>
          <w:sz w:val="18"/>
          <w:szCs w:val="18"/>
          <w:lang w:val="es-ES_tradnl"/>
        </w:rPr>
        <w:t>n u omisi</w:t>
      </w:r>
      <w:r>
        <w:rPr>
          <w:rFonts w:cs="Times New Roman"/>
          <w:spacing w:val="-8"/>
          <w:sz w:val="18"/>
          <w:szCs w:val="18"/>
          <w:lang w:val="es-ES_tradnl"/>
        </w:rPr>
        <w:t>ó</w:t>
      </w:r>
      <w:r>
        <w:rPr>
          <w:spacing w:val="-8"/>
          <w:sz w:val="18"/>
          <w:szCs w:val="18"/>
          <w:lang w:val="es-ES_tradnl"/>
        </w:rPr>
        <w:t xml:space="preserve">n se haya violado el debido proceso u otros </w:t>
      </w:r>
      <w:r>
        <w:rPr>
          <w:spacing w:val="-7"/>
          <w:sz w:val="18"/>
          <w:szCs w:val="18"/>
          <w:lang w:val="es-ES_tradnl"/>
        </w:rPr>
        <w:t>derechos constitucionales reconocidos en la Constituci</w:t>
      </w:r>
      <w:r>
        <w:rPr>
          <w:rFonts w:cs="Times New Roman"/>
          <w:spacing w:val="-7"/>
          <w:sz w:val="18"/>
          <w:szCs w:val="18"/>
          <w:lang w:val="es-ES_tradnl"/>
        </w:rPr>
        <w:t>ó</w:t>
      </w:r>
      <w:r>
        <w:rPr>
          <w:spacing w:val="-7"/>
          <w:sz w:val="18"/>
          <w:szCs w:val="18"/>
          <w:lang w:val="es-ES_tradnl"/>
        </w:rPr>
        <w:t xml:space="preserve">n, </w:t>
      </w:r>
      <w:r>
        <w:rPr>
          <w:spacing w:val="-4"/>
          <w:sz w:val="18"/>
          <w:szCs w:val="18"/>
          <w:lang w:val="es-ES_tradnl"/>
        </w:rPr>
        <w:t>una vez que se hayan agotado los recursos ordinarios y</w:t>
      </w:r>
    </w:p>
    <w:p w14:paraId="4F67B74B" w14:textId="77777777" w:rsidR="00591D54" w:rsidRDefault="00591D54">
      <w:pPr>
        <w:shd w:val="clear" w:color="auto" w:fill="FFFFFF"/>
        <w:spacing w:before="197" w:line="216" w:lineRule="exact"/>
        <w:jc w:val="both"/>
        <w:sectPr w:rsidR="00591D54">
          <w:type w:val="continuous"/>
          <w:pgSz w:w="11909" w:h="16834"/>
          <w:pgMar w:top="1354" w:right="1309" w:bottom="360" w:left="1308" w:header="720" w:footer="720" w:gutter="0"/>
          <w:cols w:num="2" w:space="720" w:equalWidth="0">
            <w:col w:w="4305" w:space="682"/>
            <w:col w:w="4305"/>
          </w:cols>
          <w:noEndnote/>
        </w:sectPr>
      </w:pPr>
    </w:p>
    <w:p w14:paraId="4F67B74C" w14:textId="77777777" w:rsidR="00591D54" w:rsidRDefault="00591D54">
      <w:pPr>
        <w:shd w:val="clear" w:color="auto" w:fill="FFFFFF"/>
        <w:tabs>
          <w:tab w:val="left" w:pos="584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- 241</w:t>
      </w:r>
    </w:p>
    <w:p w14:paraId="4F67B74D" w14:textId="77777777" w:rsidR="00591D54" w:rsidRDefault="00591D54">
      <w:pPr>
        <w:shd w:val="clear" w:color="auto" w:fill="FFFFFF"/>
        <w:tabs>
          <w:tab w:val="left" w:pos="5842"/>
        </w:tabs>
        <w:spacing w:after="230"/>
        <w:ind w:left="5"/>
        <w:sectPr w:rsidR="00591D54">
          <w:pgSz w:w="11909" w:h="16834"/>
          <w:pgMar w:top="1356" w:right="1304" w:bottom="360" w:left="1308" w:header="720" w:footer="720" w:gutter="0"/>
          <w:cols w:space="60"/>
          <w:noEndnote/>
        </w:sectPr>
      </w:pPr>
    </w:p>
    <w:p w14:paraId="4F67B74E" w14:textId="77777777" w:rsidR="00591D54" w:rsidRDefault="00591D54">
      <w:pPr>
        <w:shd w:val="clear" w:color="auto" w:fill="FFFFFF"/>
        <w:spacing w:before="5" w:line="216" w:lineRule="exact"/>
        <w:ind w:right="10"/>
        <w:jc w:val="both"/>
      </w:pPr>
      <w:r>
        <w:rPr>
          <w:spacing w:val="-10"/>
          <w:sz w:val="18"/>
          <w:szCs w:val="18"/>
          <w:lang w:val="es-ES_tradnl"/>
        </w:rPr>
        <w:t>extraordinarios dentro del t</w:t>
      </w:r>
      <w:r>
        <w:rPr>
          <w:rFonts w:cs="Times New Roman"/>
          <w:spacing w:val="-10"/>
          <w:sz w:val="18"/>
          <w:szCs w:val="18"/>
          <w:lang w:val="es-ES_tradnl"/>
        </w:rPr>
        <w:t>é</w:t>
      </w:r>
      <w:r>
        <w:rPr>
          <w:spacing w:val="-10"/>
          <w:sz w:val="18"/>
          <w:szCs w:val="18"/>
          <w:lang w:val="es-ES_tradnl"/>
        </w:rPr>
        <w:t xml:space="preserve">rmino legal, a menos que la falta </w:t>
      </w:r>
      <w:r>
        <w:rPr>
          <w:spacing w:val="-6"/>
          <w:sz w:val="18"/>
          <w:szCs w:val="18"/>
          <w:lang w:val="es-ES_tradnl"/>
        </w:rPr>
        <w:t>de interposici</w:t>
      </w:r>
      <w:r>
        <w:rPr>
          <w:rFonts w:cs="Times New Roman"/>
          <w:spacing w:val="-6"/>
          <w:sz w:val="18"/>
          <w:szCs w:val="18"/>
          <w:lang w:val="es-ES_tradnl"/>
        </w:rPr>
        <w:t>ó</w:t>
      </w:r>
      <w:r>
        <w:rPr>
          <w:spacing w:val="-6"/>
          <w:sz w:val="18"/>
          <w:szCs w:val="18"/>
          <w:lang w:val="es-ES_tradnl"/>
        </w:rPr>
        <w:t xml:space="preserve">n de estos recursos no fuera atribuible a la </w:t>
      </w:r>
      <w:r>
        <w:rPr>
          <w:spacing w:val="-7"/>
          <w:sz w:val="18"/>
          <w:szCs w:val="18"/>
          <w:lang w:val="es-ES_tradnl"/>
        </w:rPr>
        <w:t xml:space="preserve">negligencia de la persona titular del derecho constitucional </w:t>
      </w:r>
      <w:r>
        <w:rPr>
          <w:spacing w:val="-5"/>
          <w:sz w:val="18"/>
          <w:szCs w:val="18"/>
          <w:lang w:val="es-ES_tradnl"/>
        </w:rPr>
        <w:t>vulnerado, conforme lo previsto en el art</w:t>
      </w:r>
      <w:r>
        <w:rPr>
          <w:rFonts w:cs="Times New Roman"/>
          <w:spacing w:val="-5"/>
          <w:sz w:val="18"/>
          <w:szCs w:val="18"/>
          <w:lang w:val="es-ES_tradnl"/>
        </w:rPr>
        <w:t>í</w:t>
      </w:r>
      <w:r>
        <w:rPr>
          <w:spacing w:val="-5"/>
          <w:sz w:val="18"/>
          <w:szCs w:val="18"/>
          <w:lang w:val="es-ES_tradnl"/>
        </w:rPr>
        <w:t xml:space="preserve">culo 94 de la </w:t>
      </w:r>
      <w:r>
        <w:rPr>
          <w:sz w:val="18"/>
          <w:szCs w:val="18"/>
          <w:lang w:val="es-ES_tradnl"/>
        </w:rPr>
        <w:t>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B74F" w14:textId="77777777" w:rsidR="00591D54" w:rsidRDefault="00591D54">
      <w:pPr>
        <w:shd w:val="clear" w:color="auto" w:fill="FFFFFF"/>
        <w:spacing w:before="202" w:line="216" w:lineRule="exact"/>
        <w:ind w:right="10"/>
        <w:jc w:val="both"/>
      </w:pPr>
      <w:r>
        <w:rPr>
          <w:spacing w:val="-8"/>
          <w:sz w:val="18"/>
          <w:szCs w:val="18"/>
          <w:lang w:val="es-ES_tradnl"/>
        </w:rPr>
        <w:t>De esta forma, la esencia de esta garant</w:t>
      </w:r>
      <w:r>
        <w:rPr>
          <w:rFonts w:cs="Times New Roman"/>
          <w:spacing w:val="-8"/>
          <w:sz w:val="18"/>
          <w:szCs w:val="18"/>
          <w:lang w:val="es-ES_tradnl"/>
        </w:rPr>
        <w:t>í</w:t>
      </w:r>
      <w:r>
        <w:rPr>
          <w:spacing w:val="-8"/>
          <w:sz w:val="18"/>
          <w:szCs w:val="18"/>
          <w:lang w:val="es-ES_tradnl"/>
        </w:rPr>
        <w:t>a es tutelar los derechos constitucionales, a trav</w:t>
      </w:r>
      <w:r>
        <w:rPr>
          <w:rFonts w:cs="Times New Roman"/>
          <w:spacing w:val="-8"/>
          <w:sz w:val="18"/>
          <w:szCs w:val="18"/>
          <w:lang w:val="es-ES_tradnl"/>
        </w:rPr>
        <w:t>é</w:t>
      </w:r>
      <w:r>
        <w:rPr>
          <w:spacing w:val="-8"/>
          <w:sz w:val="18"/>
          <w:szCs w:val="18"/>
          <w:lang w:val="es-ES_tradnl"/>
        </w:rPr>
        <w:t>s del an</w:t>
      </w:r>
      <w:r>
        <w:rPr>
          <w:rFonts w:cs="Times New Roman"/>
          <w:spacing w:val="-8"/>
          <w:sz w:val="18"/>
          <w:szCs w:val="18"/>
          <w:lang w:val="es-ES_tradnl"/>
        </w:rPr>
        <w:t>á</w:t>
      </w:r>
      <w:r>
        <w:rPr>
          <w:spacing w:val="-8"/>
          <w:sz w:val="18"/>
          <w:szCs w:val="18"/>
          <w:lang w:val="es-ES_tradnl"/>
        </w:rPr>
        <w:t xml:space="preserve">lisis que este </w:t>
      </w:r>
      <w:r>
        <w:rPr>
          <w:rFonts w:cs="Times New Roman"/>
          <w:spacing w:val="-6"/>
          <w:sz w:val="18"/>
          <w:szCs w:val="18"/>
          <w:lang w:val="es-ES_tradnl"/>
        </w:rPr>
        <w:t>ó</w:t>
      </w:r>
      <w:r>
        <w:rPr>
          <w:spacing w:val="-6"/>
          <w:sz w:val="18"/>
          <w:szCs w:val="18"/>
          <w:lang w:val="es-ES_tradnl"/>
        </w:rPr>
        <w:t xml:space="preserve">rgano de justicia constitucional realiza respecto de las </w:t>
      </w:r>
      <w:r>
        <w:rPr>
          <w:sz w:val="18"/>
          <w:szCs w:val="18"/>
          <w:lang w:val="es-ES_tradnl"/>
        </w:rPr>
        <w:t>decisiones judiciales.</w:t>
      </w:r>
    </w:p>
    <w:p w14:paraId="4F67B750" w14:textId="77777777" w:rsidR="00591D54" w:rsidRDefault="00591D54">
      <w:pPr>
        <w:shd w:val="clear" w:color="auto" w:fill="FFFFFF"/>
        <w:spacing w:before="192"/>
      </w:pPr>
      <w:r>
        <w:rPr>
          <w:b/>
          <w:bCs/>
          <w:spacing w:val="-7"/>
          <w:sz w:val="18"/>
          <w:szCs w:val="18"/>
          <w:lang w:val="es-ES_tradnl"/>
        </w:rPr>
        <w:t>Determinaci</w:t>
      </w:r>
      <w:r>
        <w:rPr>
          <w:rFonts w:cs="Times New Roman"/>
          <w:b/>
          <w:bCs/>
          <w:spacing w:val="-7"/>
          <w:sz w:val="18"/>
          <w:szCs w:val="18"/>
          <w:lang w:val="es-ES_tradnl"/>
        </w:rPr>
        <w:t>ó</w:t>
      </w:r>
      <w:r>
        <w:rPr>
          <w:b/>
          <w:bCs/>
          <w:spacing w:val="-7"/>
          <w:sz w:val="18"/>
          <w:szCs w:val="18"/>
          <w:lang w:val="es-ES_tradnl"/>
        </w:rPr>
        <w:t>n del problema jur</w:t>
      </w:r>
      <w:r>
        <w:rPr>
          <w:rFonts w:cs="Times New Roman"/>
          <w:b/>
          <w:bCs/>
          <w:spacing w:val="-7"/>
          <w:sz w:val="18"/>
          <w:szCs w:val="18"/>
          <w:lang w:val="es-ES_tradnl"/>
        </w:rPr>
        <w:t>í</w:t>
      </w:r>
      <w:r>
        <w:rPr>
          <w:b/>
          <w:bCs/>
          <w:spacing w:val="-7"/>
          <w:sz w:val="18"/>
          <w:szCs w:val="18"/>
          <w:lang w:val="es-ES_tradnl"/>
        </w:rPr>
        <w:t>dico</w:t>
      </w:r>
    </w:p>
    <w:p w14:paraId="4F67B751" w14:textId="77777777" w:rsidR="00591D54" w:rsidRDefault="00591D54">
      <w:pPr>
        <w:shd w:val="clear" w:color="auto" w:fill="FFFFFF"/>
        <w:spacing w:before="202" w:line="221" w:lineRule="exact"/>
      </w:pPr>
      <w:r>
        <w:rPr>
          <w:spacing w:val="-8"/>
          <w:sz w:val="18"/>
          <w:szCs w:val="18"/>
          <w:lang w:val="es-ES_tradnl"/>
        </w:rPr>
        <w:t xml:space="preserve">La Corte Constitucional procede a plantear el siguiente </w:t>
      </w:r>
      <w:r>
        <w:rPr>
          <w:sz w:val="18"/>
          <w:szCs w:val="18"/>
          <w:lang w:val="es-ES_tradnl"/>
        </w:rPr>
        <w:t>problema jur</w:t>
      </w:r>
      <w:r>
        <w:rPr>
          <w:rFonts w:cs="Times New Roman"/>
          <w:sz w:val="18"/>
          <w:szCs w:val="18"/>
          <w:lang w:val="es-ES_tradnl"/>
        </w:rPr>
        <w:t>í</w:t>
      </w:r>
      <w:r>
        <w:rPr>
          <w:sz w:val="18"/>
          <w:szCs w:val="18"/>
          <w:lang w:val="es-ES_tradnl"/>
        </w:rPr>
        <w:t>dico:</w:t>
      </w:r>
    </w:p>
    <w:p w14:paraId="4F67B752" w14:textId="77777777" w:rsidR="00591D54" w:rsidRDefault="00591D54">
      <w:pPr>
        <w:shd w:val="clear" w:color="auto" w:fill="FFFFFF"/>
        <w:spacing w:before="197" w:line="216" w:lineRule="exact"/>
        <w:ind w:right="10"/>
        <w:jc w:val="both"/>
      </w:pPr>
      <w:r>
        <w:rPr>
          <w:spacing w:val="-9"/>
          <w:sz w:val="18"/>
          <w:szCs w:val="18"/>
          <w:lang w:val="es-ES_tradnl"/>
        </w:rPr>
        <w:t xml:space="preserve">La sentencia expedida el 11 de julio de 2012, por los jueces </w:t>
      </w:r>
      <w:r>
        <w:rPr>
          <w:spacing w:val="-8"/>
          <w:sz w:val="18"/>
          <w:szCs w:val="18"/>
          <w:lang w:val="es-ES_tradnl"/>
        </w:rPr>
        <w:t xml:space="preserve">de la Sala Especializada de lo Contencioso Tributario de la </w:t>
      </w:r>
      <w:r>
        <w:rPr>
          <w:spacing w:val="-5"/>
          <w:sz w:val="18"/>
          <w:szCs w:val="18"/>
          <w:lang w:val="es-ES_tradnl"/>
        </w:rPr>
        <w:t>Corte Nacional de Justicia, dentro del juicio contencioso tributario N.</w:t>
      </w:r>
      <w:r>
        <w:rPr>
          <w:rFonts w:cs="Times New Roman"/>
          <w:spacing w:val="-5"/>
          <w:sz w:val="18"/>
          <w:szCs w:val="18"/>
          <w:lang w:val="es-ES_tradnl"/>
        </w:rPr>
        <w:t>º</w:t>
      </w:r>
      <w:r>
        <w:rPr>
          <w:spacing w:val="-5"/>
          <w:sz w:val="18"/>
          <w:szCs w:val="18"/>
          <w:lang w:val="es-ES_tradnl"/>
        </w:rPr>
        <w:t xml:space="preserve"> 129-09 (recurso de casaci</w:t>
      </w:r>
      <w:r>
        <w:rPr>
          <w:rFonts w:cs="Times New Roman"/>
          <w:spacing w:val="-5"/>
          <w:sz w:val="18"/>
          <w:szCs w:val="18"/>
          <w:lang w:val="es-ES_tradnl"/>
        </w:rPr>
        <w:t>ó</w:t>
      </w:r>
      <w:r>
        <w:rPr>
          <w:spacing w:val="-5"/>
          <w:sz w:val="18"/>
          <w:szCs w:val="18"/>
          <w:lang w:val="es-ES_tradnl"/>
        </w:rPr>
        <w:t>n N.</w:t>
      </w:r>
      <w:r>
        <w:rPr>
          <w:rFonts w:cs="Times New Roman"/>
          <w:spacing w:val="-5"/>
          <w:sz w:val="18"/>
          <w:szCs w:val="18"/>
          <w:lang w:val="es-ES_tradnl"/>
        </w:rPr>
        <w:t>º</w:t>
      </w:r>
      <w:r>
        <w:rPr>
          <w:spacing w:val="-5"/>
          <w:sz w:val="18"/>
          <w:szCs w:val="18"/>
          <w:lang w:val="es-ES_tradnl"/>
        </w:rPr>
        <w:t xml:space="preserve"> 164-2010), </w:t>
      </w:r>
      <w:r>
        <w:rPr>
          <w:rFonts w:cs="Times New Roman"/>
          <w:spacing w:val="-7"/>
          <w:sz w:val="18"/>
          <w:szCs w:val="18"/>
          <w:lang w:val="es-ES_tradnl"/>
        </w:rPr>
        <w:t>¿</w:t>
      </w:r>
      <w:r>
        <w:rPr>
          <w:spacing w:val="-7"/>
          <w:sz w:val="18"/>
          <w:szCs w:val="18"/>
          <w:lang w:val="es-ES_tradnl"/>
        </w:rPr>
        <w:t>vulner</w:t>
      </w:r>
      <w:r>
        <w:rPr>
          <w:rFonts w:cs="Times New Roman"/>
          <w:spacing w:val="-7"/>
          <w:sz w:val="18"/>
          <w:szCs w:val="18"/>
          <w:lang w:val="es-ES_tradnl"/>
        </w:rPr>
        <w:t>ó</w:t>
      </w:r>
      <w:r>
        <w:rPr>
          <w:spacing w:val="-7"/>
          <w:sz w:val="18"/>
          <w:szCs w:val="18"/>
          <w:lang w:val="es-ES_tradnl"/>
        </w:rPr>
        <w:t xml:space="preserve"> el derecho a la seguridad jur</w:t>
      </w:r>
      <w:r>
        <w:rPr>
          <w:rFonts w:cs="Times New Roman"/>
          <w:spacing w:val="-7"/>
          <w:sz w:val="18"/>
          <w:szCs w:val="18"/>
          <w:lang w:val="es-ES_tradnl"/>
        </w:rPr>
        <w:t>í</w:t>
      </w:r>
      <w:r>
        <w:rPr>
          <w:spacing w:val="-7"/>
          <w:sz w:val="18"/>
          <w:szCs w:val="18"/>
          <w:lang w:val="es-ES_tradnl"/>
        </w:rPr>
        <w:t xml:space="preserve">dica contenido en el </w:t>
      </w:r>
      <w:r>
        <w:rPr>
          <w:spacing w:val="-6"/>
          <w:sz w:val="18"/>
          <w:szCs w:val="18"/>
          <w:lang w:val="es-ES_tradnl"/>
        </w:rPr>
        <w:t>art</w:t>
      </w:r>
      <w:r>
        <w:rPr>
          <w:rFonts w:cs="Times New Roman"/>
          <w:spacing w:val="-6"/>
          <w:sz w:val="18"/>
          <w:szCs w:val="18"/>
          <w:lang w:val="es-ES_tradnl"/>
        </w:rPr>
        <w:t>í</w:t>
      </w:r>
      <w:r>
        <w:rPr>
          <w:spacing w:val="-6"/>
          <w:sz w:val="18"/>
          <w:szCs w:val="18"/>
          <w:lang w:val="es-ES_tradnl"/>
        </w:rPr>
        <w:t>culo 82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w:t>
      </w:r>
    </w:p>
    <w:p w14:paraId="4F67B753" w14:textId="77777777" w:rsidR="00591D54" w:rsidRDefault="00591D54">
      <w:pPr>
        <w:shd w:val="clear" w:color="auto" w:fill="FFFFFF"/>
        <w:spacing w:before="192"/>
      </w:pPr>
      <w:r>
        <w:rPr>
          <w:b/>
          <w:bCs/>
          <w:spacing w:val="-8"/>
          <w:sz w:val="18"/>
          <w:szCs w:val="18"/>
          <w:lang w:val="es-ES_tradnl"/>
        </w:rPr>
        <w:t>Resoluci</w:t>
      </w:r>
      <w:r>
        <w:rPr>
          <w:rFonts w:cs="Times New Roman"/>
          <w:b/>
          <w:bCs/>
          <w:spacing w:val="-8"/>
          <w:sz w:val="18"/>
          <w:szCs w:val="18"/>
          <w:lang w:val="es-ES_tradnl"/>
        </w:rPr>
        <w:t>ó</w:t>
      </w:r>
      <w:r>
        <w:rPr>
          <w:b/>
          <w:bCs/>
          <w:spacing w:val="-8"/>
          <w:sz w:val="18"/>
          <w:szCs w:val="18"/>
          <w:lang w:val="es-ES_tradnl"/>
        </w:rPr>
        <w:t>n del problema jur</w:t>
      </w:r>
      <w:r>
        <w:rPr>
          <w:rFonts w:cs="Times New Roman"/>
          <w:b/>
          <w:bCs/>
          <w:spacing w:val="-8"/>
          <w:sz w:val="18"/>
          <w:szCs w:val="18"/>
          <w:lang w:val="es-ES_tradnl"/>
        </w:rPr>
        <w:t>í</w:t>
      </w:r>
      <w:r>
        <w:rPr>
          <w:b/>
          <w:bCs/>
          <w:spacing w:val="-8"/>
          <w:sz w:val="18"/>
          <w:szCs w:val="18"/>
          <w:lang w:val="es-ES_tradnl"/>
        </w:rPr>
        <w:t>dico</w:t>
      </w:r>
    </w:p>
    <w:p w14:paraId="4F67B754" w14:textId="77777777" w:rsidR="00591D54" w:rsidRDefault="00591D54">
      <w:pPr>
        <w:shd w:val="clear" w:color="auto" w:fill="FFFFFF"/>
        <w:spacing w:before="197" w:line="216" w:lineRule="exact"/>
        <w:ind w:right="10"/>
        <w:jc w:val="both"/>
      </w:pPr>
      <w:r>
        <w:rPr>
          <w:b/>
          <w:bCs/>
          <w:spacing w:val="-7"/>
          <w:sz w:val="18"/>
          <w:szCs w:val="18"/>
          <w:lang w:val="es-ES_tradnl"/>
        </w:rPr>
        <w:t xml:space="preserve">La sentencia expedida el 11 de julio de 2012, por los </w:t>
      </w:r>
      <w:r>
        <w:rPr>
          <w:b/>
          <w:bCs/>
          <w:spacing w:val="-8"/>
          <w:sz w:val="18"/>
          <w:szCs w:val="18"/>
          <w:lang w:val="es-ES_tradnl"/>
        </w:rPr>
        <w:t xml:space="preserve">jueces de la Sala Especializada de lo Contencioso </w:t>
      </w:r>
      <w:r>
        <w:rPr>
          <w:b/>
          <w:bCs/>
          <w:spacing w:val="-1"/>
          <w:sz w:val="18"/>
          <w:szCs w:val="18"/>
          <w:lang w:val="es-ES_tradnl"/>
        </w:rPr>
        <w:t xml:space="preserve">Tributario de la Corte Nacional de Justicia, dentro </w:t>
      </w:r>
      <w:r>
        <w:rPr>
          <w:b/>
          <w:bCs/>
          <w:spacing w:val="-4"/>
          <w:sz w:val="18"/>
          <w:szCs w:val="18"/>
          <w:lang w:val="es-ES_tradnl"/>
        </w:rPr>
        <w:t>del juicio contencioso tributario N.</w:t>
      </w:r>
      <w:r>
        <w:rPr>
          <w:rFonts w:cs="Times New Roman"/>
          <w:b/>
          <w:bCs/>
          <w:spacing w:val="-4"/>
          <w:sz w:val="18"/>
          <w:szCs w:val="18"/>
          <w:lang w:val="es-ES_tradnl"/>
        </w:rPr>
        <w:t>º</w:t>
      </w:r>
      <w:r>
        <w:rPr>
          <w:b/>
          <w:bCs/>
          <w:spacing w:val="-4"/>
          <w:sz w:val="18"/>
          <w:szCs w:val="18"/>
          <w:lang w:val="es-ES_tradnl"/>
        </w:rPr>
        <w:t xml:space="preserve"> 129-09 (recurso </w:t>
      </w:r>
      <w:r>
        <w:rPr>
          <w:b/>
          <w:bCs/>
          <w:spacing w:val="-7"/>
          <w:sz w:val="18"/>
          <w:szCs w:val="18"/>
          <w:lang w:val="es-ES_tradnl"/>
        </w:rPr>
        <w:t>de casaci</w:t>
      </w:r>
      <w:r>
        <w:rPr>
          <w:rFonts w:cs="Times New Roman"/>
          <w:b/>
          <w:bCs/>
          <w:spacing w:val="-7"/>
          <w:sz w:val="18"/>
          <w:szCs w:val="18"/>
          <w:lang w:val="es-ES_tradnl"/>
        </w:rPr>
        <w:t>ó</w:t>
      </w:r>
      <w:r>
        <w:rPr>
          <w:b/>
          <w:bCs/>
          <w:spacing w:val="-7"/>
          <w:sz w:val="18"/>
          <w:szCs w:val="18"/>
          <w:lang w:val="es-ES_tradnl"/>
        </w:rPr>
        <w:t>n N.</w:t>
      </w:r>
      <w:r>
        <w:rPr>
          <w:rFonts w:cs="Times New Roman"/>
          <w:b/>
          <w:bCs/>
          <w:spacing w:val="-7"/>
          <w:sz w:val="18"/>
          <w:szCs w:val="18"/>
          <w:lang w:val="es-ES_tradnl"/>
        </w:rPr>
        <w:t>º</w:t>
      </w:r>
      <w:r>
        <w:rPr>
          <w:b/>
          <w:bCs/>
          <w:spacing w:val="-7"/>
          <w:sz w:val="18"/>
          <w:szCs w:val="18"/>
          <w:lang w:val="es-ES_tradnl"/>
        </w:rPr>
        <w:t xml:space="preserve"> 164-2010), </w:t>
      </w:r>
      <w:r>
        <w:rPr>
          <w:rFonts w:cs="Times New Roman"/>
          <w:b/>
          <w:bCs/>
          <w:spacing w:val="-7"/>
          <w:sz w:val="18"/>
          <w:szCs w:val="18"/>
          <w:lang w:val="es-ES_tradnl"/>
        </w:rPr>
        <w:t>¿</w:t>
      </w:r>
      <w:r>
        <w:rPr>
          <w:b/>
          <w:bCs/>
          <w:spacing w:val="-7"/>
          <w:sz w:val="18"/>
          <w:szCs w:val="18"/>
          <w:lang w:val="es-ES_tradnl"/>
        </w:rPr>
        <w:t>vulner</w:t>
      </w:r>
      <w:r>
        <w:rPr>
          <w:rFonts w:cs="Times New Roman"/>
          <w:b/>
          <w:bCs/>
          <w:spacing w:val="-7"/>
          <w:sz w:val="18"/>
          <w:szCs w:val="18"/>
          <w:lang w:val="es-ES_tradnl"/>
        </w:rPr>
        <w:t>ó</w:t>
      </w:r>
      <w:r>
        <w:rPr>
          <w:b/>
          <w:bCs/>
          <w:spacing w:val="-7"/>
          <w:sz w:val="18"/>
          <w:szCs w:val="18"/>
          <w:lang w:val="es-ES_tradnl"/>
        </w:rPr>
        <w:t xml:space="preserve"> el derecho a la seguridad jur</w:t>
      </w:r>
      <w:r>
        <w:rPr>
          <w:rFonts w:cs="Times New Roman"/>
          <w:b/>
          <w:bCs/>
          <w:spacing w:val="-7"/>
          <w:sz w:val="18"/>
          <w:szCs w:val="18"/>
          <w:lang w:val="es-ES_tradnl"/>
        </w:rPr>
        <w:t>í</w:t>
      </w:r>
      <w:r>
        <w:rPr>
          <w:b/>
          <w:bCs/>
          <w:spacing w:val="-7"/>
          <w:sz w:val="18"/>
          <w:szCs w:val="18"/>
          <w:lang w:val="es-ES_tradnl"/>
        </w:rPr>
        <w:t>dica contenido en el art</w:t>
      </w:r>
      <w:r>
        <w:rPr>
          <w:rFonts w:cs="Times New Roman"/>
          <w:b/>
          <w:bCs/>
          <w:spacing w:val="-7"/>
          <w:sz w:val="18"/>
          <w:szCs w:val="18"/>
          <w:lang w:val="es-ES_tradnl"/>
        </w:rPr>
        <w:t>í</w:t>
      </w:r>
      <w:r>
        <w:rPr>
          <w:b/>
          <w:bCs/>
          <w:spacing w:val="-7"/>
          <w:sz w:val="18"/>
          <w:szCs w:val="18"/>
          <w:lang w:val="es-ES_tradnl"/>
        </w:rPr>
        <w:t xml:space="preserve">culo 82 de la </w:t>
      </w:r>
      <w:r>
        <w:rPr>
          <w:b/>
          <w:bCs/>
          <w:sz w:val="18"/>
          <w:szCs w:val="18"/>
          <w:lang w:val="es-ES_tradnl"/>
        </w:rPr>
        <w:t>Constituci</w:t>
      </w:r>
      <w:r>
        <w:rPr>
          <w:rFonts w:cs="Times New Roman"/>
          <w:b/>
          <w:bCs/>
          <w:sz w:val="18"/>
          <w:szCs w:val="18"/>
          <w:lang w:val="es-ES_tradnl"/>
        </w:rPr>
        <w:t>ó</w:t>
      </w:r>
      <w:r>
        <w:rPr>
          <w:b/>
          <w:bCs/>
          <w:sz w:val="18"/>
          <w:szCs w:val="18"/>
          <w:lang w:val="es-ES_tradnl"/>
        </w:rPr>
        <w:t>n de la Rep</w:t>
      </w:r>
      <w:r>
        <w:rPr>
          <w:rFonts w:cs="Times New Roman"/>
          <w:b/>
          <w:bCs/>
          <w:sz w:val="18"/>
          <w:szCs w:val="18"/>
          <w:lang w:val="es-ES_tradnl"/>
        </w:rPr>
        <w:t>ú</w:t>
      </w:r>
      <w:r>
        <w:rPr>
          <w:b/>
          <w:bCs/>
          <w:sz w:val="18"/>
          <w:szCs w:val="18"/>
          <w:lang w:val="es-ES_tradnl"/>
        </w:rPr>
        <w:t>blica?</w:t>
      </w:r>
    </w:p>
    <w:p w14:paraId="4F67B755" w14:textId="77777777" w:rsidR="00591D54" w:rsidRDefault="00591D54">
      <w:pPr>
        <w:shd w:val="clear" w:color="auto" w:fill="FFFFFF"/>
        <w:spacing w:before="197" w:line="216" w:lineRule="exact"/>
        <w:jc w:val="both"/>
      </w:pPr>
      <w:r>
        <w:rPr>
          <w:spacing w:val="-9"/>
          <w:sz w:val="18"/>
          <w:szCs w:val="18"/>
          <w:lang w:val="es-ES_tradnl"/>
        </w:rPr>
        <w:t>En su demanda, el se</w:t>
      </w:r>
      <w:r>
        <w:rPr>
          <w:rFonts w:cs="Times New Roman"/>
          <w:spacing w:val="-9"/>
          <w:sz w:val="18"/>
          <w:szCs w:val="18"/>
          <w:lang w:val="es-ES_tradnl"/>
        </w:rPr>
        <w:t>ñ</w:t>
      </w:r>
      <w:r>
        <w:rPr>
          <w:spacing w:val="-9"/>
          <w:sz w:val="18"/>
          <w:szCs w:val="18"/>
          <w:lang w:val="es-ES_tradnl"/>
        </w:rPr>
        <w:t xml:space="preserve">or </w:t>
      </w:r>
      <w:r>
        <w:rPr>
          <w:rFonts w:cs="Times New Roman"/>
          <w:spacing w:val="-9"/>
          <w:sz w:val="18"/>
          <w:szCs w:val="18"/>
          <w:lang w:val="es-ES_tradnl"/>
        </w:rPr>
        <w:t>Á</w:t>
      </w:r>
      <w:r>
        <w:rPr>
          <w:spacing w:val="-9"/>
          <w:sz w:val="18"/>
          <w:szCs w:val="18"/>
          <w:lang w:val="es-ES_tradnl"/>
        </w:rPr>
        <w:t>ngel Ra</w:t>
      </w:r>
      <w:r>
        <w:rPr>
          <w:rFonts w:cs="Times New Roman"/>
          <w:spacing w:val="-9"/>
          <w:sz w:val="18"/>
          <w:szCs w:val="18"/>
          <w:lang w:val="es-ES_tradnl"/>
        </w:rPr>
        <w:t>ú</w:t>
      </w:r>
      <w:r>
        <w:rPr>
          <w:spacing w:val="-9"/>
          <w:sz w:val="18"/>
          <w:szCs w:val="18"/>
          <w:lang w:val="es-ES_tradnl"/>
        </w:rPr>
        <w:t xml:space="preserve">l Salvador expresa que </w:t>
      </w:r>
      <w:r>
        <w:rPr>
          <w:spacing w:val="-4"/>
          <w:sz w:val="18"/>
          <w:szCs w:val="18"/>
          <w:lang w:val="es-ES_tradnl"/>
        </w:rPr>
        <w:t>el art</w:t>
      </w:r>
      <w:r>
        <w:rPr>
          <w:rFonts w:cs="Times New Roman"/>
          <w:spacing w:val="-4"/>
          <w:sz w:val="18"/>
          <w:szCs w:val="18"/>
          <w:lang w:val="es-ES_tradnl"/>
        </w:rPr>
        <w:t>í</w:t>
      </w:r>
      <w:r>
        <w:rPr>
          <w:spacing w:val="-4"/>
          <w:sz w:val="18"/>
          <w:szCs w:val="18"/>
          <w:lang w:val="es-ES_tradnl"/>
        </w:rPr>
        <w:t>culo 72 de la Ley de R</w:t>
      </w:r>
      <w:r>
        <w:rPr>
          <w:rFonts w:cs="Times New Roman"/>
          <w:spacing w:val="-4"/>
          <w:sz w:val="18"/>
          <w:szCs w:val="18"/>
          <w:lang w:val="es-ES_tradnl"/>
        </w:rPr>
        <w:t>é</w:t>
      </w:r>
      <w:r>
        <w:rPr>
          <w:spacing w:val="-4"/>
          <w:sz w:val="18"/>
          <w:szCs w:val="18"/>
          <w:lang w:val="es-ES_tradnl"/>
        </w:rPr>
        <w:t xml:space="preserve">gimen Tributario Interno </w:t>
      </w:r>
      <w:r>
        <w:rPr>
          <w:spacing w:val="-9"/>
          <w:sz w:val="18"/>
          <w:szCs w:val="18"/>
          <w:lang w:val="es-ES_tradnl"/>
        </w:rPr>
        <w:t xml:space="preserve">(actual 76) establece como base imponible de los productos </w:t>
      </w:r>
      <w:r>
        <w:rPr>
          <w:spacing w:val="-5"/>
          <w:sz w:val="18"/>
          <w:szCs w:val="18"/>
          <w:lang w:val="es-ES_tradnl"/>
        </w:rPr>
        <w:t>sujetos al ICE de producci</w:t>
      </w:r>
      <w:r>
        <w:rPr>
          <w:rFonts w:cs="Times New Roman"/>
          <w:spacing w:val="-5"/>
          <w:sz w:val="18"/>
          <w:szCs w:val="18"/>
          <w:lang w:val="es-ES_tradnl"/>
        </w:rPr>
        <w:t>ó</w:t>
      </w:r>
      <w:r>
        <w:rPr>
          <w:spacing w:val="-5"/>
          <w:sz w:val="18"/>
          <w:szCs w:val="18"/>
          <w:lang w:val="es-ES_tradnl"/>
        </w:rPr>
        <w:t xml:space="preserve">n nacional, el resultado de la </w:t>
      </w:r>
      <w:r>
        <w:rPr>
          <w:spacing w:val="-7"/>
          <w:sz w:val="18"/>
          <w:szCs w:val="18"/>
          <w:lang w:val="es-ES_tradnl"/>
        </w:rPr>
        <w:t xml:space="preserve">suma </w:t>
      </w:r>
      <w:r>
        <w:rPr>
          <w:rFonts w:cs="Times New Roman"/>
          <w:spacing w:val="-7"/>
          <w:sz w:val="18"/>
          <w:szCs w:val="18"/>
          <w:lang w:val="es-ES_tradnl"/>
        </w:rPr>
        <w:t>“</w:t>
      </w:r>
      <w:r>
        <w:rPr>
          <w:spacing w:val="-7"/>
          <w:sz w:val="18"/>
          <w:szCs w:val="18"/>
          <w:lang w:val="es-ES_tradnl"/>
        </w:rPr>
        <w:t>al precio ex f</w:t>
      </w:r>
      <w:r>
        <w:rPr>
          <w:rFonts w:cs="Times New Roman"/>
          <w:spacing w:val="-7"/>
          <w:sz w:val="18"/>
          <w:szCs w:val="18"/>
          <w:lang w:val="es-ES_tradnl"/>
        </w:rPr>
        <w:t>á</w:t>
      </w:r>
      <w:r>
        <w:rPr>
          <w:spacing w:val="-7"/>
          <w:sz w:val="18"/>
          <w:szCs w:val="18"/>
          <w:lang w:val="es-ES_tradnl"/>
        </w:rPr>
        <w:t>brica</w:t>
      </w:r>
      <w:r>
        <w:rPr>
          <w:rFonts w:cs="Times New Roman"/>
          <w:spacing w:val="-7"/>
          <w:sz w:val="18"/>
          <w:szCs w:val="18"/>
          <w:lang w:val="es-ES_tradnl"/>
        </w:rPr>
        <w:t>”</w:t>
      </w:r>
      <w:r>
        <w:rPr>
          <w:spacing w:val="-7"/>
          <w:sz w:val="18"/>
          <w:szCs w:val="18"/>
          <w:lang w:val="es-ES_tradnl"/>
        </w:rPr>
        <w:t xml:space="preserve"> de los costos y m</w:t>
      </w:r>
      <w:r>
        <w:rPr>
          <w:rFonts w:cs="Times New Roman"/>
          <w:spacing w:val="-7"/>
          <w:sz w:val="18"/>
          <w:szCs w:val="18"/>
          <w:lang w:val="es-ES_tradnl"/>
        </w:rPr>
        <w:t>á</w:t>
      </w:r>
      <w:r>
        <w:rPr>
          <w:spacing w:val="-7"/>
          <w:sz w:val="18"/>
          <w:szCs w:val="18"/>
          <w:lang w:val="es-ES_tradnl"/>
        </w:rPr>
        <w:t xml:space="preserve">rgenes de </w:t>
      </w:r>
      <w:r>
        <w:rPr>
          <w:spacing w:val="-5"/>
          <w:sz w:val="18"/>
          <w:szCs w:val="18"/>
          <w:lang w:val="es-ES_tradnl"/>
        </w:rPr>
        <w:t>comercializaci</w:t>
      </w:r>
      <w:r>
        <w:rPr>
          <w:rFonts w:cs="Times New Roman"/>
          <w:spacing w:val="-5"/>
          <w:sz w:val="18"/>
          <w:szCs w:val="18"/>
          <w:lang w:val="es-ES_tradnl"/>
        </w:rPr>
        <w:t>ó</w:t>
      </w:r>
      <w:r>
        <w:rPr>
          <w:spacing w:val="-5"/>
          <w:sz w:val="18"/>
          <w:szCs w:val="18"/>
          <w:lang w:val="es-ES_tradnl"/>
        </w:rPr>
        <w:t>n, y que dicha suma no puede ser inferior al precio de venta al p</w:t>
      </w:r>
      <w:r>
        <w:rPr>
          <w:rFonts w:cs="Times New Roman"/>
          <w:spacing w:val="-5"/>
          <w:sz w:val="18"/>
          <w:szCs w:val="18"/>
          <w:lang w:val="es-ES_tradnl"/>
        </w:rPr>
        <w:t>ú</w:t>
      </w:r>
      <w:r>
        <w:rPr>
          <w:spacing w:val="-5"/>
          <w:sz w:val="18"/>
          <w:szCs w:val="18"/>
          <w:lang w:val="es-ES_tradnl"/>
        </w:rPr>
        <w:t xml:space="preserve">blico fijado por el fabricante o por </w:t>
      </w:r>
      <w:r>
        <w:rPr>
          <w:spacing w:val="-9"/>
          <w:sz w:val="18"/>
          <w:szCs w:val="18"/>
          <w:lang w:val="es-ES_tradnl"/>
        </w:rPr>
        <w:t xml:space="preserve">las autoridades competentes si fuere el caso, menos el I VA </w:t>
      </w:r>
      <w:r>
        <w:rPr>
          <w:spacing w:val="-7"/>
          <w:sz w:val="18"/>
          <w:szCs w:val="18"/>
          <w:lang w:val="es-ES_tradnl"/>
        </w:rPr>
        <w:t>y el ICE. Luego, tal como qued</w:t>
      </w:r>
      <w:r>
        <w:rPr>
          <w:rFonts w:cs="Times New Roman"/>
          <w:spacing w:val="-7"/>
          <w:sz w:val="18"/>
          <w:szCs w:val="18"/>
          <w:lang w:val="es-ES_tradnl"/>
        </w:rPr>
        <w:t>ó</w:t>
      </w:r>
      <w:r>
        <w:rPr>
          <w:spacing w:val="-7"/>
          <w:sz w:val="18"/>
          <w:szCs w:val="18"/>
          <w:lang w:val="es-ES_tradnl"/>
        </w:rPr>
        <w:t xml:space="preserve"> expresado en el resumen </w:t>
      </w:r>
      <w:r>
        <w:rPr>
          <w:spacing w:val="-9"/>
          <w:sz w:val="18"/>
          <w:szCs w:val="18"/>
          <w:lang w:val="es-ES_tradnl"/>
        </w:rPr>
        <w:t>de su demanda y los argumentos constantes en la misma, aqu</w:t>
      </w:r>
      <w:r>
        <w:rPr>
          <w:rFonts w:cs="Times New Roman"/>
          <w:spacing w:val="-9"/>
          <w:sz w:val="18"/>
          <w:szCs w:val="18"/>
          <w:lang w:val="es-ES_tradnl"/>
        </w:rPr>
        <w:t>é</w:t>
      </w:r>
      <w:r>
        <w:rPr>
          <w:spacing w:val="-9"/>
          <w:sz w:val="18"/>
          <w:szCs w:val="18"/>
          <w:lang w:val="es-ES_tradnl"/>
        </w:rPr>
        <w:t>l expresa que de acuerdo con el art</w:t>
      </w:r>
      <w:r>
        <w:rPr>
          <w:rFonts w:cs="Times New Roman"/>
          <w:spacing w:val="-9"/>
          <w:sz w:val="18"/>
          <w:szCs w:val="18"/>
          <w:lang w:val="es-ES_tradnl"/>
        </w:rPr>
        <w:t>í</w:t>
      </w:r>
      <w:r>
        <w:rPr>
          <w:spacing w:val="-9"/>
          <w:sz w:val="18"/>
          <w:szCs w:val="18"/>
          <w:lang w:val="es-ES_tradnl"/>
        </w:rPr>
        <w:t>culo 64 del C</w:t>
      </w:r>
      <w:r>
        <w:rPr>
          <w:rFonts w:cs="Times New Roman"/>
          <w:spacing w:val="-9"/>
          <w:sz w:val="18"/>
          <w:szCs w:val="18"/>
          <w:lang w:val="es-ES_tradnl"/>
        </w:rPr>
        <w:t>ó</w:t>
      </w:r>
      <w:r>
        <w:rPr>
          <w:spacing w:val="-9"/>
          <w:sz w:val="18"/>
          <w:szCs w:val="18"/>
          <w:lang w:val="es-ES_tradnl"/>
        </w:rPr>
        <w:t xml:space="preserve">digo </w:t>
      </w:r>
      <w:r>
        <w:rPr>
          <w:spacing w:val="-1"/>
          <w:sz w:val="18"/>
          <w:szCs w:val="18"/>
          <w:lang w:val="es-ES_tradnl"/>
        </w:rPr>
        <w:t>Tributario, la Administraci</w:t>
      </w:r>
      <w:r>
        <w:rPr>
          <w:rFonts w:cs="Times New Roman"/>
          <w:spacing w:val="-1"/>
          <w:sz w:val="18"/>
          <w:szCs w:val="18"/>
          <w:lang w:val="es-ES_tradnl"/>
        </w:rPr>
        <w:t>ó</w:t>
      </w:r>
      <w:r>
        <w:rPr>
          <w:spacing w:val="-1"/>
          <w:sz w:val="18"/>
          <w:szCs w:val="18"/>
          <w:lang w:val="es-ES_tradnl"/>
        </w:rPr>
        <w:t xml:space="preserve">n Tributaria en el </w:t>
      </w:r>
      <w:r>
        <w:rPr>
          <w:rFonts w:cs="Times New Roman"/>
          <w:spacing w:val="-1"/>
          <w:sz w:val="18"/>
          <w:szCs w:val="18"/>
          <w:lang w:val="es-ES_tradnl"/>
        </w:rPr>
        <w:t>á</w:t>
      </w:r>
      <w:r>
        <w:rPr>
          <w:spacing w:val="-1"/>
          <w:sz w:val="18"/>
          <w:szCs w:val="18"/>
          <w:lang w:val="es-ES_tradnl"/>
        </w:rPr>
        <w:t xml:space="preserve">mbito </w:t>
      </w:r>
      <w:r>
        <w:rPr>
          <w:spacing w:val="-7"/>
          <w:sz w:val="18"/>
          <w:szCs w:val="18"/>
          <w:lang w:val="es-ES_tradnl"/>
        </w:rPr>
        <w:t>nacional corresponde al presidente de la Rep</w:t>
      </w:r>
      <w:r>
        <w:rPr>
          <w:rFonts w:cs="Times New Roman"/>
          <w:spacing w:val="-7"/>
          <w:sz w:val="18"/>
          <w:szCs w:val="18"/>
          <w:lang w:val="es-ES_tradnl"/>
        </w:rPr>
        <w:t>ú</w:t>
      </w:r>
      <w:r>
        <w:rPr>
          <w:spacing w:val="-7"/>
          <w:sz w:val="18"/>
          <w:szCs w:val="18"/>
          <w:lang w:val="es-ES_tradnl"/>
        </w:rPr>
        <w:t xml:space="preserve">blica, quien </w:t>
      </w:r>
      <w:r>
        <w:rPr>
          <w:spacing w:val="-5"/>
          <w:sz w:val="18"/>
          <w:szCs w:val="18"/>
          <w:lang w:val="es-ES_tradnl"/>
        </w:rPr>
        <w:t>de acuerdo al art</w:t>
      </w:r>
      <w:r>
        <w:rPr>
          <w:rFonts w:cs="Times New Roman"/>
          <w:spacing w:val="-5"/>
          <w:sz w:val="18"/>
          <w:szCs w:val="18"/>
          <w:lang w:val="es-ES_tradnl"/>
        </w:rPr>
        <w:t>í</w:t>
      </w:r>
      <w:r>
        <w:rPr>
          <w:spacing w:val="-5"/>
          <w:sz w:val="18"/>
          <w:szCs w:val="18"/>
          <w:lang w:val="es-ES_tradnl"/>
        </w:rPr>
        <w:t>culo 171 numeral 5 de la Constituci</w:t>
      </w:r>
      <w:r>
        <w:rPr>
          <w:rFonts w:cs="Times New Roman"/>
          <w:spacing w:val="-5"/>
          <w:sz w:val="18"/>
          <w:szCs w:val="18"/>
          <w:lang w:val="es-ES_tradnl"/>
        </w:rPr>
        <w:t>ó</w:t>
      </w:r>
      <w:r>
        <w:rPr>
          <w:spacing w:val="-5"/>
          <w:sz w:val="18"/>
          <w:szCs w:val="18"/>
          <w:lang w:val="es-ES_tradnl"/>
        </w:rPr>
        <w:t xml:space="preserve">n </w:t>
      </w:r>
      <w:r>
        <w:rPr>
          <w:spacing w:val="-4"/>
          <w:sz w:val="18"/>
          <w:szCs w:val="18"/>
          <w:lang w:val="es-ES_tradnl"/>
        </w:rPr>
        <w:t>vigente a la fecha del acta de determinaci</w:t>
      </w:r>
      <w:r>
        <w:rPr>
          <w:rFonts w:cs="Times New Roman"/>
          <w:spacing w:val="-4"/>
          <w:sz w:val="18"/>
          <w:szCs w:val="18"/>
          <w:lang w:val="es-ES_tradnl"/>
        </w:rPr>
        <w:t>ó</w:t>
      </w:r>
      <w:r>
        <w:rPr>
          <w:spacing w:val="-4"/>
          <w:sz w:val="18"/>
          <w:szCs w:val="18"/>
          <w:lang w:val="es-ES_tradnl"/>
        </w:rPr>
        <w:t xml:space="preserve">n, estaba </w:t>
      </w:r>
      <w:r>
        <w:rPr>
          <w:spacing w:val="-8"/>
          <w:sz w:val="18"/>
          <w:szCs w:val="18"/>
          <w:lang w:val="es-ES_tradnl"/>
        </w:rPr>
        <w:t xml:space="preserve">facultado para expedir los reglamentos necesarios para la </w:t>
      </w:r>
      <w:r>
        <w:rPr>
          <w:sz w:val="18"/>
          <w:szCs w:val="18"/>
          <w:lang w:val="es-ES_tradnl"/>
        </w:rPr>
        <w:t>aplicaci</w:t>
      </w:r>
      <w:r>
        <w:rPr>
          <w:rFonts w:cs="Times New Roman"/>
          <w:sz w:val="18"/>
          <w:szCs w:val="18"/>
          <w:lang w:val="es-ES_tradnl"/>
        </w:rPr>
        <w:t>ó</w:t>
      </w:r>
      <w:r>
        <w:rPr>
          <w:sz w:val="18"/>
          <w:szCs w:val="18"/>
          <w:lang w:val="es-ES_tradnl"/>
        </w:rPr>
        <w:t>n de las leyes.</w:t>
      </w:r>
    </w:p>
    <w:p w14:paraId="4F67B756" w14:textId="77777777" w:rsidR="00591D54" w:rsidRDefault="00591D54">
      <w:pPr>
        <w:shd w:val="clear" w:color="auto" w:fill="FFFFFF"/>
        <w:spacing w:before="197" w:line="216" w:lineRule="exact"/>
        <w:ind w:right="10"/>
        <w:jc w:val="both"/>
      </w:pPr>
      <w:r>
        <w:rPr>
          <w:spacing w:val="-6"/>
          <w:sz w:val="18"/>
          <w:szCs w:val="18"/>
          <w:lang w:val="es-ES_tradnl"/>
        </w:rPr>
        <w:t>Luego, se se</w:t>
      </w:r>
      <w:r>
        <w:rPr>
          <w:rFonts w:cs="Times New Roman"/>
          <w:spacing w:val="-6"/>
          <w:sz w:val="18"/>
          <w:szCs w:val="18"/>
          <w:lang w:val="es-ES_tradnl"/>
        </w:rPr>
        <w:t>ñ</w:t>
      </w:r>
      <w:r>
        <w:rPr>
          <w:spacing w:val="-6"/>
          <w:sz w:val="18"/>
          <w:szCs w:val="18"/>
          <w:lang w:val="es-ES_tradnl"/>
        </w:rPr>
        <w:t>al</w:t>
      </w:r>
      <w:r>
        <w:rPr>
          <w:rFonts w:cs="Times New Roman"/>
          <w:spacing w:val="-6"/>
          <w:sz w:val="18"/>
          <w:szCs w:val="18"/>
          <w:lang w:val="es-ES_tradnl"/>
        </w:rPr>
        <w:t>ó</w:t>
      </w:r>
      <w:r>
        <w:rPr>
          <w:spacing w:val="-6"/>
          <w:sz w:val="18"/>
          <w:szCs w:val="18"/>
          <w:lang w:val="es-ES_tradnl"/>
        </w:rPr>
        <w:t xml:space="preserve"> </w:t>
      </w:r>
      <w:r>
        <w:rPr>
          <w:i/>
          <w:iCs/>
          <w:spacing w:val="-6"/>
          <w:sz w:val="18"/>
          <w:szCs w:val="18"/>
          <w:lang w:val="es-ES_tradnl"/>
        </w:rPr>
        <w:t xml:space="preserve">ut supra </w:t>
      </w:r>
      <w:r>
        <w:rPr>
          <w:spacing w:val="-6"/>
          <w:sz w:val="18"/>
          <w:szCs w:val="18"/>
          <w:lang w:val="es-ES_tradnl"/>
        </w:rPr>
        <w:t xml:space="preserve">que de acuerdo al criterio del </w:t>
      </w:r>
      <w:r>
        <w:rPr>
          <w:spacing w:val="-8"/>
          <w:sz w:val="18"/>
          <w:szCs w:val="18"/>
          <w:lang w:val="es-ES_tradnl"/>
        </w:rPr>
        <w:t>accionante el Decreto Ejecutivo N.</w:t>
      </w:r>
      <w:r>
        <w:rPr>
          <w:rFonts w:cs="Times New Roman"/>
          <w:spacing w:val="-8"/>
          <w:sz w:val="18"/>
          <w:szCs w:val="18"/>
          <w:lang w:val="es-ES_tradnl"/>
        </w:rPr>
        <w:t>º</w:t>
      </w:r>
      <w:r>
        <w:rPr>
          <w:spacing w:val="-8"/>
          <w:sz w:val="18"/>
          <w:szCs w:val="18"/>
          <w:lang w:val="es-ES_tradnl"/>
        </w:rPr>
        <w:t xml:space="preserve"> 1528-A, expedido el 13 </w:t>
      </w:r>
      <w:r>
        <w:rPr>
          <w:spacing w:val="-10"/>
          <w:sz w:val="18"/>
          <w:szCs w:val="18"/>
          <w:lang w:val="es-ES_tradnl"/>
        </w:rPr>
        <w:t>de diciembre de 2003, estableci</w:t>
      </w:r>
      <w:r>
        <w:rPr>
          <w:rFonts w:cs="Times New Roman"/>
          <w:spacing w:val="-10"/>
          <w:sz w:val="18"/>
          <w:szCs w:val="18"/>
          <w:lang w:val="es-ES_tradnl"/>
        </w:rPr>
        <w:t>ó</w:t>
      </w:r>
      <w:r>
        <w:rPr>
          <w:spacing w:val="-10"/>
          <w:sz w:val="18"/>
          <w:szCs w:val="18"/>
          <w:lang w:val="es-ES_tradnl"/>
        </w:rPr>
        <w:t xml:space="preserve"> las normas reglamentarias </w:t>
      </w:r>
      <w:r>
        <w:rPr>
          <w:spacing w:val="-6"/>
          <w:sz w:val="18"/>
          <w:szCs w:val="18"/>
          <w:lang w:val="es-ES_tradnl"/>
        </w:rPr>
        <w:t>de aplicaci</w:t>
      </w:r>
      <w:r>
        <w:rPr>
          <w:rFonts w:cs="Times New Roman"/>
          <w:spacing w:val="-6"/>
          <w:sz w:val="18"/>
          <w:szCs w:val="18"/>
          <w:lang w:val="es-ES_tradnl"/>
        </w:rPr>
        <w:t>ó</w:t>
      </w:r>
      <w:r>
        <w:rPr>
          <w:spacing w:val="-6"/>
          <w:sz w:val="18"/>
          <w:szCs w:val="18"/>
          <w:lang w:val="es-ES_tradnl"/>
        </w:rPr>
        <w:t>n del primer inciso del art</w:t>
      </w:r>
      <w:r>
        <w:rPr>
          <w:rFonts w:cs="Times New Roman"/>
          <w:spacing w:val="-6"/>
          <w:sz w:val="18"/>
          <w:szCs w:val="18"/>
          <w:lang w:val="es-ES_tradnl"/>
        </w:rPr>
        <w:t>í</w:t>
      </w:r>
      <w:r>
        <w:rPr>
          <w:spacing w:val="-6"/>
          <w:sz w:val="18"/>
          <w:szCs w:val="18"/>
          <w:lang w:val="es-ES_tradnl"/>
        </w:rPr>
        <w:t xml:space="preserve">culo 72 de la Ley de </w:t>
      </w:r>
      <w:r>
        <w:rPr>
          <w:spacing w:val="-7"/>
          <w:sz w:val="18"/>
          <w:szCs w:val="18"/>
          <w:lang w:val="es-ES_tradnl"/>
        </w:rPr>
        <w:t>R</w:t>
      </w:r>
      <w:r>
        <w:rPr>
          <w:rFonts w:cs="Times New Roman"/>
          <w:spacing w:val="-7"/>
          <w:sz w:val="18"/>
          <w:szCs w:val="18"/>
          <w:lang w:val="es-ES_tradnl"/>
        </w:rPr>
        <w:t>é</w:t>
      </w:r>
      <w:r>
        <w:rPr>
          <w:spacing w:val="-7"/>
          <w:sz w:val="18"/>
          <w:szCs w:val="18"/>
          <w:lang w:val="es-ES_tradnl"/>
        </w:rPr>
        <w:t>gimen Tributario Interno para el c</w:t>
      </w:r>
      <w:r>
        <w:rPr>
          <w:rFonts w:cs="Times New Roman"/>
          <w:spacing w:val="-7"/>
          <w:sz w:val="18"/>
          <w:szCs w:val="18"/>
          <w:lang w:val="es-ES_tradnl"/>
        </w:rPr>
        <w:t>á</w:t>
      </w:r>
      <w:r>
        <w:rPr>
          <w:spacing w:val="-7"/>
          <w:sz w:val="18"/>
          <w:szCs w:val="18"/>
          <w:lang w:val="es-ES_tradnl"/>
        </w:rPr>
        <w:t xml:space="preserve">lculo del ICE durante </w:t>
      </w:r>
      <w:r>
        <w:rPr>
          <w:spacing w:val="-5"/>
          <w:sz w:val="18"/>
          <w:szCs w:val="18"/>
          <w:lang w:val="es-ES_tradnl"/>
        </w:rPr>
        <w:t>el ejercicio del a</w:t>
      </w:r>
      <w:r>
        <w:rPr>
          <w:rFonts w:cs="Times New Roman"/>
          <w:spacing w:val="-5"/>
          <w:sz w:val="18"/>
          <w:szCs w:val="18"/>
          <w:lang w:val="es-ES_tradnl"/>
        </w:rPr>
        <w:t>ñ</w:t>
      </w:r>
      <w:r>
        <w:rPr>
          <w:spacing w:val="-5"/>
          <w:sz w:val="18"/>
          <w:szCs w:val="18"/>
          <w:lang w:val="es-ES_tradnl"/>
        </w:rPr>
        <w:t>o 2004 y que el acta de determinaci</w:t>
      </w:r>
      <w:r>
        <w:rPr>
          <w:rFonts w:cs="Times New Roman"/>
          <w:spacing w:val="-5"/>
          <w:sz w:val="18"/>
          <w:szCs w:val="18"/>
          <w:lang w:val="es-ES_tradnl"/>
        </w:rPr>
        <w:t>ó</w:t>
      </w:r>
      <w:r>
        <w:rPr>
          <w:spacing w:val="-5"/>
          <w:sz w:val="18"/>
          <w:szCs w:val="18"/>
          <w:lang w:val="es-ES_tradnl"/>
        </w:rPr>
        <w:t xml:space="preserve">n </w:t>
      </w:r>
      <w:r>
        <w:rPr>
          <w:spacing w:val="-1"/>
          <w:sz w:val="18"/>
          <w:szCs w:val="18"/>
          <w:lang w:val="es-ES_tradnl"/>
        </w:rPr>
        <w:t xml:space="preserve">fue notificada el 29 de diciembre del 2005, por lo que </w:t>
      </w:r>
      <w:r>
        <w:rPr>
          <w:spacing w:val="-5"/>
          <w:sz w:val="18"/>
          <w:szCs w:val="18"/>
          <w:lang w:val="es-ES_tradnl"/>
        </w:rPr>
        <w:t>la administraci</w:t>
      </w:r>
      <w:r>
        <w:rPr>
          <w:rFonts w:cs="Times New Roman"/>
          <w:spacing w:val="-5"/>
          <w:sz w:val="18"/>
          <w:szCs w:val="18"/>
          <w:lang w:val="es-ES_tradnl"/>
        </w:rPr>
        <w:t>ó</w:t>
      </w:r>
      <w:r>
        <w:rPr>
          <w:spacing w:val="-5"/>
          <w:sz w:val="18"/>
          <w:szCs w:val="18"/>
          <w:lang w:val="es-ES_tradnl"/>
        </w:rPr>
        <w:t xml:space="preserve">n tributaria se encontraba obligada a </w:t>
      </w:r>
      <w:r>
        <w:rPr>
          <w:spacing w:val="-11"/>
          <w:sz w:val="18"/>
          <w:szCs w:val="18"/>
          <w:lang w:val="es-ES_tradnl"/>
        </w:rPr>
        <w:t xml:space="preserve">determinar la base imponible </w:t>
      </w:r>
      <w:r>
        <w:rPr>
          <w:rFonts w:cs="Times New Roman"/>
          <w:spacing w:val="-11"/>
          <w:sz w:val="18"/>
          <w:szCs w:val="18"/>
          <w:lang w:val="es-ES_tradnl"/>
        </w:rPr>
        <w:t>“</w:t>
      </w:r>
      <w:r>
        <w:rPr>
          <w:spacing w:val="-11"/>
          <w:sz w:val="18"/>
          <w:szCs w:val="18"/>
          <w:lang w:val="es-ES_tradnl"/>
        </w:rPr>
        <w:t xml:space="preserve">tomando en cuenta los valores </w:t>
      </w:r>
      <w:r>
        <w:rPr>
          <w:spacing w:val="-7"/>
          <w:sz w:val="18"/>
          <w:szCs w:val="18"/>
          <w:lang w:val="es-ES_tradnl"/>
        </w:rPr>
        <w:t>referenciales de los productos alcoh</w:t>
      </w:r>
      <w:r>
        <w:rPr>
          <w:rFonts w:cs="Times New Roman"/>
          <w:spacing w:val="-7"/>
          <w:sz w:val="18"/>
          <w:szCs w:val="18"/>
          <w:lang w:val="es-ES_tradnl"/>
        </w:rPr>
        <w:t>ó</w:t>
      </w:r>
      <w:r>
        <w:rPr>
          <w:spacing w:val="-7"/>
          <w:sz w:val="18"/>
          <w:szCs w:val="18"/>
          <w:lang w:val="es-ES_tradnl"/>
        </w:rPr>
        <w:t xml:space="preserve">licos establecidos en </w:t>
      </w:r>
      <w:r>
        <w:rPr>
          <w:sz w:val="18"/>
          <w:szCs w:val="18"/>
          <w:lang w:val="es-ES_tradnl"/>
        </w:rPr>
        <w:t>el reglamento contenido</w:t>
      </w:r>
      <w:r>
        <w:rPr>
          <w:rFonts w:cs="Times New Roman"/>
          <w:sz w:val="18"/>
          <w:szCs w:val="18"/>
          <w:lang w:val="es-ES_tradnl"/>
        </w:rPr>
        <w:t>”</w:t>
      </w:r>
      <w:r>
        <w:rPr>
          <w:sz w:val="18"/>
          <w:szCs w:val="18"/>
          <w:lang w:val="es-ES_tradnl"/>
        </w:rPr>
        <w:t xml:space="preserve"> en tal decreto.</w:t>
      </w:r>
    </w:p>
    <w:p w14:paraId="4F67B757" w14:textId="77777777" w:rsidR="00591D54" w:rsidRDefault="00591D54">
      <w:pPr>
        <w:shd w:val="clear" w:color="auto" w:fill="FFFFFF"/>
        <w:spacing w:line="216" w:lineRule="exact"/>
        <w:ind w:right="5"/>
        <w:jc w:val="both"/>
      </w:pPr>
      <w:r>
        <w:br w:type="column"/>
      </w:r>
      <w:r>
        <w:rPr>
          <w:spacing w:val="-9"/>
          <w:sz w:val="18"/>
          <w:szCs w:val="18"/>
          <w:lang w:val="es-ES_tradnl"/>
        </w:rPr>
        <w:t xml:space="preserve">Con estas consideraciones, la Corte Constitucional procede </w:t>
      </w:r>
      <w:r>
        <w:rPr>
          <w:spacing w:val="-5"/>
          <w:sz w:val="18"/>
          <w:szCs w:val="18"/>
          <w:lang w:val="es-ES_tradnl"/>
        </w:rPr>
        <w:t>a examinar si la sentencia impugnada vulner</w:t>
      </w:r>
      <w:r>
        <w:rPr>
          <w:rFonts w:cs="Times New Roman"/>
          <w:spacing w:val="-5"/>
          <w:sz w:val="18"/>
          <w:szCs w:val="18"/>
          <w:lang w:val="es-ES_tradnl"/>
        </w:rPr>
        <w:t>ó</w:t>
      </w:r>
      <w:r>
        <w:rPr>
          <w:spacing w:val="-5"/>
          <w:sz w:val="18"/>
          <w:szCs w:val="18"/>
          <w:lang w:val="es-ES_tradnl"/>
        </w:rPr>
        <w:t xml:space="preserve"> el derecho </w:t>
      </w:r>
      <w:r>
        <w:rPr>
          <w:spacing w:val="-7"/>
          <w:sz w:val="18"/>
          <w:szCs w:val="18"/>
          <w:lang w:val="es-ES_tradnl"/>
        </w:rPr>
        <w:t>a la seguridad jur</w:t>
      </w:r>
      <w:r>
        <w:rPr>
          <w:rFonts w:cs="Times New Roman"/>
          <w:spacing w:val="-7"/>
          <w:sz w:val="18"/>
          <w:szCs w:val="18"/>
          <w:lang w:val="es-ES_tradnl"/>
        </w:rPr>
        <w:t>í</w:t>
      </w:r>
      <w:r>
        <w:rPr>
          <w:spacing w:val="-7"/>
          <w:sz w:val="18"/>
          <w:szCs w:val="18"/>
          <w:lang w:val="es-ES_tradnl"/>
        </w:rPr>
        <w:t xml:space="preserve">dica de acuerdo al contexto de dicha </w:t>
      </w:r>
      <w:r>
        <w:rPr>
          <w:spacing w:val="-10"/>
          <w:sz w:val="18"/>
          <w:szCs w:val="18"/>
          <w:lang w:val="es-ES_tradnl"/>
        </w:rPr>
        <w:t>resoluci</w:t>
      </w:r>
      <w:r>
        <w:rPr>
          <w:rFonts w:cs="Times New Roman"/>
          <w:spacing w:val="-10"/>
          <w:sz w:val="18"/>
          <w:szCs w:val="18"/>
          <w:lang w:val="es-ES_tradnl"/>
        </w:rPr>
        <w:t>ó</w:t>
      </w:r>
      <w:r>
        <w:rPr>
          <w:spacing w:val="-10"/>
          <w:sz w:val="18"/>
          <w:szCs w:val="18"/>
          <w:lang w:val="es-ES_tradnl"/>
        </w:rPr>
        <w:t xml:space="preserve">n judicial y conforme lo expresa el accionante en su </w:t>
      </w:r>
      <w:r>
        <w:rPr>
          <w:spacing w:val="-8"/>
          <w:sz w:val="18"/>
          <w:szCs w:val="18"/>
          <w:lang w:val="es-ES_tradnl"/>
        </w:rPr>
        <w:t>demanda. Para el efecto, conviene iniciar se</w:t>
      </w:r>
      <w:r>
        <w:rPr>
          <w:rFonts w:cs="Times New Roman"/>
          <w:spacing w:val="-8"/>
          <w:sz w:val="18"/>
          <w:szCs w:val="18"/>
          <w:lang w:val="es-ES_tradnl"/>
        </w:rPr>
        <w:t>ñ</w:t>
      </w:r>
      <w:r>
        <w:rPr>
          <w:spacing w:val="-8"/>
          <w:sz w:val="18"/>
          <w:szCs w:val="18"/>
          <w:lang w:val="es-ES_tradnl"/>
        </w:rPr>
        <w:t xml:space="preserve">alando que la </w:t>
      </w:r>
      <w:r>
        <w:rPr>
          <w:spacing w:val="-7"/>
          <w:sz w:val="18"/>
          <w:szCs w:val="18"/>
          <w:lang w:val="es-ES_tradnl"/>
        </w:rPr>
        <w:t>seguridad jur</w:t>
      </w:r>
      <w:r>
        <w:rPr>
          <w:rFonts w:cs="Times New Roman"/>
          <w:spacing w:val="-7"/>
          <w:sz w:val="18"/>
          <w:szCs w:val="18"/>
          <w:lang w:val="es-ES_tradnl"/>
        </w:rPr>
        <w:t>í</w:t>
      </w:r>
      <w:r>
        <w:rPr>
          <w:spacing w:val="-7"/>
          <w:sz w:val="18"/>
          <w:szCs w:val="18"/>
          <w:lang w:val="es-ES_tradnl"/>
        </w:rPr>
        <w:t xml:space="preserve">dica constituye aquel derecho constitucional que consiste en la </w:t>
      </w:r>
      <w:r>
        <w:rPr>
          <w:rFonts w:cs="Times New Roman"/>
          <w:spacing w:val="-7"/>
          <w:sz w:val="18"/>
          <w:szCs w:val="18"/>
          <w:lang w:val="es-ES_tradnl"/>
        </w:rPr>
        <w:t>“</w:t>
      </w:r>
      <w:r>
        <w:rPr>
          <w:spacing w:val="-7"/>
          <w:sz w:val="18"/>
          <w:szCs w:val="18"/>
          <w:lang w:val="es-ES_tradnl"/>
        </w:rPr>
        <w:t>existencia de normas previas, claras y p</w:t>
      </w:r>
      <w:r>
        <w:rPr>
          <w:rFonts w:cs="Times New Roman"/>
          <w:spacing w:val="-7"/>
          <w:sz w:val="18"/>
          <w:szCs w:val="18"/>
          <w:lang w:val="es-ES_tradnl"/>
        </w:rPr>
        <w:t>ú</w:t>
      </w:r>
      <w:r>
        <w:rPr>
          <w:spacing w:val="-7"/>
          <w:sz w:val="18"/>
          <w:szCs w:val="18"/>
          <w:lang w:val="es-ES_tradnl"/>
        </w:rPr>
        <w:t>blicas y aplicadas por autoridad competente</w:t>
      </w:r>
      <w:r>
        <w:rPr>
          <w:rFonts w:cs="Times New Roman"/>
          <w:spacing w:val="-7"/>
          <w:sz w:val="18"/>
          <w:szCs w:val="18"/>
          <w:lang w:val="es-ES_tradnl"/>
        </w:rPr>
        <w:t>”</w:t>
      </w:r>
      <w:r>
        <w:rPr>
          <w:spacing w:val="-7"/>
          <w:sz w:val="18"/>
          <w:szCs w:val="18"/>
          <w:lang w:val="es-ES_tradnl"/>
        </w:rPr>
        <w:t>, conforme lo establece el art</w:t>
      </w:r>
      <w:r>
        <w:rPr>
          <w:rFonts w:cs="Times New Roman"/>
          <w:spacing w:val="-7"/>
          <w:sz w:val="18"/>
          <w:szCs w:val="18"/>
          <w:lang w:val="es-ES_tradnl"/>
        </w:rPr>
        <w:t>í</w:t>
      </w:r>
      <w:r>
        <w:rPr>
          <w:spacing w:val="-7"/>
          <w:sz w:val="18"/>
          <w:szCs w:val="18"/>
          <w:lang w:val="es-ES_tradnl"/>
        </w:rPr>
        <w:t>culo 82 de la Norma Suprema.</w:t>
      </w:r>
    </w:p>
    <w:p w14:paraId="4F67B758" w14:textId="77777777" w:rsidR="00591D54" w:rsidRDefault="00591D54">
      <w:pPr>
        <w:shd w:val="clear" w:color="auto" w:fill="FFFFFF"/>
        <w:spacing w:before="192" w:line="211" w:lineRule="exact"/>
        <w:jc w:val="both"/>
      </w:pPr>
      <w:r>
        <w:rPr>
          <w:spacing w:val="-6"/>
          <w:sz w:val="18"/>
          <w:szCs w:val="18"/>
          <w:lang w:val="es-ES_tradnl"/>
        </w:rPr>
        <w:t xml:space="preserve">De acuerdo al desarrollo conceptual formulado por esta </w:t>
      </w:r>
      <w:r>
        <w:rPr>
          <w:spacing w:val="-7"/>
          <w:sz w:val="18"/>
          <w:szCs w:val="18"/>
          <w:lang w:val="es-ES_tradnl"/>
        </w:rPr>
        <w:t>Corte a trav</w:t>
      </w:r>
      <w:r>
        <w:rPr>
          <w:rFonts w:cs="Times New Roman"/>
          <w:spacing w:val="-7"/>
          <w:sz w:val="18"/>
          <w:szCs w:val="18"/>
          <w:lang w:val="es-ES_tradnl"/>
        </w:rPr>
        <w:t>é</w:t>
      </w:r>
      <w:r>
        <w:rPr>
          <w:spacing w:val="-7"/>
          <w:sz w:val="18"/>
          <w:szCs w:val="18"/>
          <w:lang w:val="es-ES_tradnl"/>
        </w:rPr>
        <w:t>s de sus resoluciones, la seguridad jur</w:t>
      </w:r>
      <w:r>
        <w:rPr>
          <w:rFonts w:cs="Times New Roman"/>
          <w:spacing w:val="-7"/>
          <w:sz w:val="18"/>
          <w:szCs w:val="18"/>
          <w:lang w:val="es-ES_tradnl"/>
        </w:rPr>
        <w:t>í</w:t>
      </w:r>
      <w:r>
        <w:rPr>
          <w:spacing w:val="-7"/>
          <w:sz w:val="18"/>
          <w:szCs w:val="18"/>
          <w:lang w:val="es-ES_tradnl"/>
        </w:rPr>
        <w:t xml:space="preserve">dica </w:t>
      </w:r>
      <w:r>
        <w:rPr>
          <w:spacing w:val="-5"/>
          <w:sz w:val="18"/>
          <w:szCs w:val="18"/>
          <w:lang w:val="es-ES_tradnl"/>
        </w:rPr>
        <w:t>tambi</w:t>
      </w:r>
      <w:r>
        <w:rPr>
          <w:rFonts w:cs="Times New Roman"/>
          <w:spacing w:val="-5"/>
          <w:sz w:val="18"/>
          <w:szCs w:val="18"/>
          <w:lang w:val="es-ES_tradnl"/>
        </w:rPr>
        <w:t>é</w:t>
      </w:r>
      <w:r>
        <w:rPr>
          <w:spacing w:val="-5"/>
          <w:sz w:val="18"/>
          <w:szCs w:val="18"/>
          <w:lang w:val="es-ES_tradnl"/>
        </w:rPr>
        <w:t xml:space="preserve">n </w:t>
      </w:r>
      <w:r>
        <w:rPr>
          <w:rFonts w:cs="Times New Roman"/>
          <w:spacing w:val="-5"/>
          <w:sz w:val="18"/>
          <w:szCs w:val="18"/>
          <w:lang w:val="es-ES_tradnl"/>
        </w:rPr>
        <w:t>“</w:t>
      </w:r>
      <w:r>
        <w:rPr>
          <w:spacing w:val="-5"/>
          <w:sz w:val="18"/>
          <w:szCs w:val="18"/>
          <w:lang w:val="es-ES_tradnl"/>
        </w:rPr>
        <w:t xml:space="preserve">es un principio universalmente reconocido del </w:t>
      </w:r>
      <w:r>
        <w:rPr>
          <w:spacing w:val="-6"/>
          <w:sz w:val="18"/>
          <w:szCs w:val="18"/>
          <w:lang w:val="es-ES_tradnl"/>
        </w:rPr>
        <w:t xml:space="preserve">derecho, por medio del cual se entiende como certeza </w:t>
      </w:r>
      <w:r>
        <w:rPr>
          <w:spacing w:val="-1"/>
          <w:sz w:val="18"/>
          <w:szCs w:val="18"/>
          <w:lang w:val="es-ES_tradnl"/>
        </w:rPr>
        <w:t>pr</w:t>
      </w:r>
      <w:r>
        <w:rPr>
          <w:rFonts w:cs="Times New Roman"/>
          <w:spacing w:val="-1"/>
          <w:sz w:val="18"/>
          <w:szCs w:val="18"/>
          <w:lang w:val="es-ES_tradnl"/>
        </w:rPr>
        <w:t>á</w:t>
      </w:r>
      <w:r>
        <w:rPr>
          <w:spacing w:val="-1"/>
          <w:sz w:val="18"/>
          <w:szCs w:val="18"/>
          <w:lang w:val="es-ES_tradnl"/>
        </w:rPr>
        <w:t xml:space="preserve">ctica del derecho y representa la seguridad de que </w:t>
      </w:r>
      <w:r>
        <w:rPr>
          <w:spacing w:val="-6"/>
          <w:sz w:val="18"/>
          <w:szCs w:val="18"/>
          <w:lang w:val="es-ES_tradnl"/>
        </w:rPr>
        <w:t xml:space="preserve">se conoce o puede conocer lo previsto como prohibido, </w:t>
      </w:r>
      <w:r>
        <w:rPr>
          <w:spacing w:val="-2"/>
          <w:sz w:val="18"/>
          <w:szCs w:val="18"/>
          <w:lang w:val="es-ES_tradnl"/>
        </w:rPr>
        <w:t>mandato y permitido por el poder p</w:t>
      </w:r>
      <w:r>
        <w:rPr>
          <w:rFonts w:cs="Times New Roman"/>
          <w:spacing w:val="-2"/>
          <w:sz w:val="18"/>
          <w:szCs w:val="18"/>
          <w:lang w:val="es-ES_tradnl"/>
        </w:rPr>
        <w:t>ú</w:t>
      </w:r>
      <w:r>
        <w:rPr>
          <w:spacing w:val="-2"/>
          <w:sz w:val="18"/>
          <w:szCs w:val="18"/>
          <w:lang w:val="es-ES_tradnl"/>
        </w:rPr>
        <w:t xml:space="preserve">blico, respecto de </w:t>
      </w:r>
      <w:r>
        <w:rPr>
          <w:spacing w:val="-5"/>
          <w:sz w:val="18"/>
          <w:szCs w:val="18"/>
          <w:lang w:val="es-ES_tradnl"/>
        </w:rPr>
        <w:t>uno para con los dem</w:t>
      </w:r>
      <w:r>
        <w:rPr>
          <w:rFonts w:cs="Times New Roman"/>
          <w:spacing w:val="-5"/>
          <w:sz w:val="18"/>
          <w:szCs w:val="18"/>
          <w:lang w:val="es-ES_tradnl"/>
        </w:rPr>
        <w:t>á</w:t>
      </w:r>
      <w:r>
        <w:rPr>
          <w:spacing w:val="-5"/>
          <w:sz w:val="18"/>
          <w:szCs w:val="18"/>
          <w:lang w:val="es-ES_tradnl"/>
        </w:rPr>
        <w:t>s y de los dem</w:t>
      </w:r>
      <w:r>
        <w:rPr>
          <w:rFonts w:cs="Times New Roman"/>
          <w:spacing w:val="-5"/>
          <w:sz w:val="18"/>
          <w:szCs w:val="18"/>
          <w:lang w:val="es-ES_tradnl"/>
        </w:rPr>
        <w:t>á</w:t>
      </w:r>
      <w:r>
        <w:rPr>
          <w:spacing w:val="-5"/>
          <w:sz w:val="18"/>
          <w:szCs w:val="18"/>
          <w:lang w:val="es-ES_tradnl"/>
        </w:rPr>
        <w:t>s para con uno</w:t>
      </w:r>
      <w:r>
        <w:rPr>
          <w:rFonts w:cs="Times New Roman"/>
          <w:spacing w:val="-5"/>
          <w:sz w:val="18"/>
          <w:szCs w:val="18"/>
          <w:lang w:val="es-ES_tradnl"/>
        </w:rPr>
        <w:t>”</w:t>
      </w:r>
      <w:r>
        <w:rPr>
          <w:spacing w:val="-5"/>
          <w:sz w:val="18"/>
          <w:szCs w:val="18"/>
          <w:lang w:val="es-ES_tradnl"/>
        </w:rPr>
        <w:t>.</w:t>
      </w:r>
      <w:r>
        <w:rPr>
          <w:spacing w:val="-5"/>
          <w:sz w:val="18"/>
          <w:szCs w:val="18"/>
          <w:vertAlign w:val="superscript"/>
          <w:lang w:val="es-ES_tradnl"/>
        </w:rPr>
        <w:t xml:space="preserve">1 </w:t>
      </w:r>
      <w:r>
        <w:rPr>
          <w:spacing w:val="-2"/>
          <w:sz w:val="18"/>
          <w:szCs w:val="18"/>
          <w:lang w:val="es-ES_tradnl"/>
        </w:rPr>
        <w:t>En sentido similar, la sentencia N.</w:t>
      </w:r>
      <w:r>
        <w:rPr>
          <w:rFonts w:cs="Times New Roman"/>
          <w:spacing w:val="-2"/>
          <w:sz w:val="18"/>
          <w:szCs w:val="18"/>
          <w:lang w:val="es-ES_tradnl"/>
        </w:rPr>
        <w:t>º</w:t>
      </w:r>
      <w:r>
        <w:rPr>
          <w:spacing w:val="-2"/>
          <w:sz w:val="18"/>
          <w:szCs w:val="18"/>
          <w:lang w:val="es-ES_tradnl"/>
        </w:rPr>
        <w:t xml:space="preserve"> 013-15-SEP-CC </w:t>
      </w:r>
      <w:r>
        <w:rPr>
          <w:spacing w:val="-1"/>
          <w:sz w:val="18"/>
          <w:szCs w:val="18"/>
          <w:lang w:val="es-ES_tradnl"/>
        </w:rPr>
        <w:t>expres</w:t>
      </w:r>
      <w:r>
        <w:rPr>
          <w:rFonts w:cs="Times New Roman"/>
          <w:spacing w:val="-1"/>
          <w:sz w:val="18"/>
          <w:szCs w:val="18"/>
          <w:lang w:val="es-ES_tradnl"/>
        </w:rPr>
        <w:t>ó</w:t>
      </w:r>
      <w:r>
        <w:rPr>
          <w:spacing w:val="-1"/>
          <w:sz w:val="18"/>
          <w:szCs w:val="18"/>
          <w:lang w:val="es-ES_tradnl"/>
        </w:rPr>
        <w:t xml:space="preserve"> que </w:t>
      </w:r>
      <w:r>
        <w:rPr>
          <w:rFonts w:cs="Times New Roman"/>
          <w:spacing w:val="-1"/>
          <w:sz w:val="18"/>
          <w:szCs w:val="18"/>
          <w:lang w:val="es-ES_tradnl"/>
        </w:rPr>
        <w:t>“</w:t>
      </w:r>
      <w:r>
        <w:rPr>
          <w:spacing w:val="-1"/>
          <w:sz w:val="18"/>
          <w:szCs w:val="18"/>
          <w:lang w:val="es-ES_tradnl"/>
        </w:rPr>
        <w:t xml:space="preserve">este derecho constituye el conocimiento </w:t>
      </w:r>
      <w:r>
        <w:rPr>
          <w:spacing w:val="-7"/>
          <w:sz w:val="18"/>
          <w:szCs w:val="18"/>
          <w:lang w:val="es-ES_tradnl"/>
        </w:rPr>
        <w:t xml:space="preserve">y confianza que debe existir entre los ciudadanos que se </w:t>
      </w:r>
      <w:r>
        <w:rPr>
          <w:spacing w:val="-5"/>
          <w:sz w:val="18"/>
          <w:szCs w:val="18"/>
          <w:lang w:val="es-ES_tradnl"/>
        </w:rPr>
        <w:t>encuentran en distintas situaciones jur</w:t>
      </w:r>
      <w:r>
        <w:rPr>
          <w:rFonts w:cs="Times New Roman"/>
          <w:spacing w:val="-5"/>
          <w:sz w:val="18"/>
          <w:szCs w:val="18"/>
          <w:lang w:val="es-ES_tradnl"/>
        </w:rPr>
        <w:t>í</w:t>
      </w:r>
      <w:r>
        <w:rPr>
          <w:spacing w:val="-5"/>
          <w:sz w:val="18"/>
          <w:szCs w:val="18"/>
          <w:lang w:val="es-ES_tradnl"/>
        </w:rPr>
        <w:t xml:space="preserve">dicas y sociales, a </w:t>
      </w:r>
      <w:r>
        <w:rPr>
          <w:spacing w:val="-7"/>
          <w:sz w:val="18"/>
          <w:szCs w:val="18"/>
          <w:lang w:val="es-ES_tradnl"/>
        </w:rPr>
        <w:t xml:space="preserve">fin de ser regulados y solventados por normas legales y constitucionales previamente determinadas, sobre las que </w:t>
      </w:r>
      <w:r>
        <w:rPr>
          <w:spacing w:val="-10"/>
          <w:sz w:val="18"/>
          <w:szCs w:val="18"/>
          <w:lang w:val="es-ES_tradnl"/>
        </w:rPr>
        <w:t xml:space="preserve">se motivan las actuaciones de las autoridades y funcionarios </w:t>
      </w:r>
      <w:r>
        <w:rPr>
          <w:spacing w:val="-7"/>
          <w:sz w:val="18"/>
          <w:szCs w:val="18"/>
          <w:lang w:val="es-ES_tradnl"/>
        </w:rPr>
        <w:t>p</w:t>
      </w:r>
      <w:r>
        <w:rPr>
          <w:rFonts w:cs="Times New Roman"/>
          <w:spacing w:val="-7"/>
          <w:sz w:val="18"/>
          <w:szCs w:val="18"/>
          <w:lang w:val="es-ES_tradnl"/>
        </w:rPr>
        <w:t>ú</w:t>
      </w:r>
      <w:r>
        <w:rPr>
          <w:spacing w:val="-7"/>
          <w:sz w:val="18"/>
          <w:szCs w:val="18"/>
          <w:lang w:val="es-ES_tradnl"/>
        </w:rPr>
        <w:t xml:space="preserve">blicos o particulares, caso contrario, estas resoluciones, </w:t>
      </w:r>
      <w:r>
        <w:rPr>
          <w:spacing w:val="-8"/>
          <w:sz w:val="18"/>
          <w:szCs w:val="18"/>
          <w:lang w:val="es-ES_tradnl"/>
        </w:rPr>
        <w:t>decisiones, sentencias o disposiciones ser</w:t>
      </w:r>
      <w:r>
        <w:rPr>
          <w:rFonts w:cs="Times New Roman"/>
          <w:spacing w:val="-8"/>
          <w:sz w:val="18"/>
          <w:szCs w:val="18"/>
          <w:lang w:val="es-ES_tradnl"/>
        </w:rPr>
        <w:t>á</w:t>
      </w:r>
      <w:r>
        <w:rPr>
          <w:spacing w:val="-8"/>
          <w:sz w:val="18"/>
          <w:szCs w:val="18"/>
          <w:lang w:val="es-ES_tradnl"/>
        </w:rPr>
        <w:t>n inv</w:t>
      </w:r>
      <w:r>
        <w:rPr>
          <w:rFonts w:cs="Times New Roman"/>
          <w:spacing w:val="-8"/>
          <w:sz w:val="18"/>
          <w:szCs w:val="18"/>
          <w:lang w:val="es-ES_tradnl"/>
        </w:rPr>
        <w:t>á</w:t>
      </w:r>
      <w:r>
        <w:rPr>
          <w:spacing w:val="-8"/>
          <w:sz w:val="18"/>
          <w:szCs w:val="18"/>
          <w:lang w:val="es-ES_tradnl"/>
        </w:rPr>
        <w:t>lidas</w:t>
      </w:r>
      <w:r>
        <w:rPr>
          <w:rFonts w:cs="Times New Roman"/>
          <w:spacing w:val="-8"/>
          <w:sz w:val="18"/>
          <w:szCs w:val="18"/>
          <w:lang w:val="es-ES_tradnl"/>
        </w:rPr>
        <w:t>”</w:t>
      </w:r>
      <w:r>
        <w:rPr>
          <w:spacing w:val="-8"/>
          <w:sz w:val="18"/>
          <w:szCs w:val="18"/>
          <w:vertAlign w:val="superscript"/>
          <w:lang w:val="es-ES_tradnl"/>
        </w:rPr>
        <w:t>2</w:t>
      </w:r>
      <w:r>
        <w:rPr>
          <w:spacing w:val="-8"/>
          <w:sz w:val="18"/>
          <w:szCs w:val="18"/>
          <w:lang w:val="es-ES_tradnl"/>
        </w:rPr>
        <w:t>.</w:t>
      </w:r>
    </w:p>
    <w:p w14:paraId="4F67B759" w14:textId="77777777" w:rsidR="00591D54" w:rsidRDefault="00591D54">
      <w:pPr>
        <w:shd w:val="clear" w:color="auto" w:fill="FFFFFF"/>
        <w:spacing w:before="197" w:line="206" w:lineRule="exact"/>
        <w:ind w:right="5"/>
        <w:jc w:val="both"/>
      </w:pPr>
      <w:r>
        <w:rPr>
          <w:spacing w:val="-5"/>
          <w:sz w:val="18"/>
          <w:szCs w:val="18"/>
          <w:lang w:val="es-ES_tradnl"/>
        </w:rPr>
        <w:t xml:space="preserve">Desde tal perspectiva, gracias a la observancia de la </w:t>
      </w:r>
      <w:r>
        <w:rPr>
          <w:spacing w:val="-2"/>
          <w:sz w:val="18"/>
          <w:szCs w:val="18"/>
          <w:lang w:val="es-ES_tradnl"/>
        </w:rPr>
        <w:t>seguridad jur</w:t>
      </w:r>
      <w:r>
        <w:rPr>
          <w:rFonts w:cs="Times New Roman"/>
          <w:spacing w:val="-2"/>
          <w:sz w:val="18"/>
          <w:szCs w:val="18"/>
          <w:lang w:val="es-ES_tradnl"/>
        </w:rPr>
        <w:t>í</w:t>
      </w:r>
      <w:r>
        <w:rPr>
          <w:spacing w:val="-2"/>
          <w:sz w:val="18"/>
          <w:szCs w:val="18"/>
          <w:lang w:val="es-ES_tradnl"/>
        </w:rPr>
        <w:t xml:space="preserve">dica </w:t>
      </w:r>
      <w:r>
        <w:rPr>
          <w:rFonts w:cs="Times New Roman"/>
          <w:spacing w:val="-2"/>
          <w:sz w:val="18"/>
          <w:szCs w:val="18"/>
          <w:lang w:val="es-ES_tradnl"/>
        </w:rPr>
        <w:t>“</w:t>
      </w:r>
      <w:r>
        <w:rPr>
          <w:spacing w:val="-2"/>
          <w:sz w:val="18"/>
          <w:szCs w:val="18"/>
          <w:lang w:val="es-ES_tradnl"/>
        </w:rPr>
        <w:t xml:space="preserve">se logra conformar una certeza de </w:t>
      </w:r>
      <w:r>
        <w:rPr>
          <w:spacing w:val="-6"/>
          <w:sz w:val="18"/>
          <w:szCs w:val="18"/>
          <w:lang w:val="es-ES_tradnl"/>
        </w:rPr>
        <w:t>que la normativa existente en la legislaci</w:t>
      </w:r>
      <w:r>
        <w:rPr>
          <w:rFonts w:cs="Times New Roman"/>
          <w:spacing w:val="-6"/>
          <w:sz w:val="18"/>
          <w:szCs w:val="18"/>
          <w:lang w:val="es-ES_tradnl"/>
        </w:rPr>
        <w:t>ó</w:t>
      </w:r>
      <w:r>
        <w:rPr>
          <w:spacing w:val="-6"/>
          <w:sz w:val="18"/>
          <w:szCs w:val="18"/>
          <w:lang w:val="es-ES_tradnl"/>
        </w:rPr>
        <w:t>n ser</w:t>
      </w:r>
      <w:r>
        <w:rPr>
          <w:rFonts w:cs="Times New Roman"/>
          <w:spacing w:val="-6"/>
          <w:sz w:val="18"/>
          <w:szCs w:val="18"/>
          <w:lang w:val="es-ES_tradnl"/>
        </w:rPr>
        <w:t>á</w:t>
      </w:r>
      <w:r>
        <w:rPr>
          <w:spacing w:val="-6"/>
          <w:sz w:val="18"/>
          <w:szCs w:val="18"/>
          <w:lang w:val="es-ES_tradnl"/>
        </w:rPr>
        <w:t xml:space="preserve"> aplicada </w:t>
      </w:r>
      <w:r>
        <w:rPr>
          <w:spacing w:val="-8"/>
          <w:sz w:val="18"/>
          <w:szCs w:val="18"/>
          <w:lang w:val="es-ES_tradnl"/>
        </w:rPr>
        <w:t xml:space="preserve">cumpliendo ciertos lineamientos que generan la confianza </w:t>
      </w:r>
      <w:r>
        <w:rPr>
          <w:spacing w:val="-10"/>
          <w:sz w:val="18"/>
          <w:szCs w:val="18"/>
          <w:lang w:val="es-ES_tradnl"/>
        </w:rPr>
        <w:t xml:space="preserve">acerca del respeto de los derechos consagrados en el texto </w:t>
      </w:r>
      <w:r>
        <w:rPr>
          <w:sz w:val="18"/>
          <w:szCs w:val="18"/>
          <w:lang w:val="es-ES_tradnl"/>
        </w:rPr>
        <w:t>constitucional</w:t>
      </w:r>
      <w:r>
        <w:rPr>
          <w:rFonts w:cs="Times New Roman"/>
          <w:sz w:val="18"/>
          <w:szCs w:val="18"/>
          <w:lang w:val="es-ES_tradnl"/>
        </w:rPr>
        <w:t>”</w:t>
      </w:r>
      <w:r>
        <w:rPr>
          <w:sz w:val="18"/>
          <w:szCs w:val="18"/>
          <w:vertAlign w:val="superscript"/>
          <w:lang w:val="es-ES_tradnl"/>
        </w:rPr>
        <w:t>3</w:t>
      </w:r>
      <w:r>
        <w:rPr>
          <w:sz w:val="18"/>
          <w:szCs w:val="18"/>
          <w:lang w:val="es-ES_tradnl"/>
        </w:rPr>
        <w:t>.</w:t>
      </w:r>
    </w:p>
    <w:p w14:paraId="4F67B75A" w14:textId="77777777" w:rsidR="00591D54" w:rsidRDefault="00591D54">
      <w:pPr>
        <w:shd w:val="clear" w:color="auto" w:fill="FFFFFF"/>
        <w:spacing w:before="192" w:line="216" w:lineRule="exact"/>
        <w:ind w:right="5"/>
        <w:jc w:val="both"/>
      </w:pPr>
      <w:r>
        <w:rPr>
          <w:spacing w:val="-7"/>
          <w:sz w:val="18"/>
          <w:szCs w:val="18"/>
          <w:lang w:val="es-ES_tradnl"/>
        </w:rPr>
        <w:t>En materia impositiva o tributaria, el derecho constitucional a la seguridad jur</w:t>
      </w:r>
      <w:r>
        <w:rPr>
          <w:rFonts w:cs="Times New Roman"/>
          <w:spacing w:val="-7"/>
          <w:sz w:val="18"/>
          <w:szCs w:val="18"/>
          <w:lang w:val="es-ES_tradnl"/>
        </w:rPr>
        <w:t>í</w:t>
      </w:r>
      <w:r>
        <w:rPr>
          <w:spacing w:val="-7"/>
          <w:sz w:val="18"/>
          <w:szCs w:val="18"/>
          <w:lang w:val="es-ES_tradnl"/>
        </w:rPr>
        <w:t xml:space="preserve">dica resulta de fundamental importancia en tanto aquel debe procurar dotar de confianza a los </w:t>
      </w:r>
      <w:r>
        <w:rPr>
          <w:spacing w:val="-6"/>
          <w:sz w:val="18"/>
          <w:szCs w:val="18"/>
          <w:lang w:val="es-ES_tradnl"/>
        </w:rPr>
        <w:t xml:space="preserve">contribuyentes, de la suficiente claridad para conocer </w:t>
      </w:r>
      <w:r>
        <w:rPr>
          <w:sz w:val="18"/>
          <w:szCs w:val="18"/>
          <w:lang w:val="es-ES_tradnl"/>
        </w:rPr>
        <w:t xml:space="preserve">oportuna y adecuadamente aquellos elementos que </w:t>
      </w:r>
      <w:r>
        <w:rPr>
          <w:spacing w:val="-5"/>
          <w:sz w:val="18"/>
          <w:szCs w:val="18"/>
          <w:lang w:val="es-ES_tradnl"/>
        </w:rPr>
        <w:t>configuran la carga impositiva y la determinaci</w:t>
      </w:r>
      <w:r>
        <w:rPr>
          <w:rFonts w:cs="Times New Roman"/>
          <w:spacing w:val="-5"/>
          <w:sz w:val="18"/>
          <w:szCs w:val="18"/>
          <w:lang w:val="es-ES_tradnl"/>
        </w:rPr>
        <w:t>ó</w:t>
      </w:r>
      <w:r>
        <w:rPr>
          <w:spacing w:val="-5"/>
          <w:sz w:val="18"/>
          <w:szCs w:val="18"/>
          <w:lang w:val="es-ES_tradnl"/>
        </w:rPr>
        <w:t xml:space="preserve">n de </w:t>
      </w:r>
      <w:r>
        <w:rPr>
          <w:spacing w:val="-2"/>
          <w:sz w:val="18"/>
          <w:szCs w:val="18"/>
          <w:lang w:val="es-ES_tradnl"/>
        </w:rPr>
        <w:t xml:space="preserve">impuestos, tasas y contribuciones, pues debe tomarse </w:t>
      </w:r>
      <w:r>
        <w:rPr>
          <w:spacing w:val="-5"/>
          <w:sz w:val="18"/>
          <w:szCs w:val="18"/>
          <w:lang w:val="es-ES_tradnl"/>
        </w:rPr>
        <w:t>en cuenta que la pol</w:t>
      </w:r>
      <w:r>
        <w:rPr>
          <w:rFonts w:cs="Times New Roman"/>
          <w:spacing w:val="-5"/>
          <w:sz w:val="18"/>
          <w:szCs w:val="18"/>
          <w:lang w:val="es-ES_tradnl"/>
        </w:rPr>
        <w:t>í</w:t>
      </w:r>
      <w:r>
        <w:rPr>
          <w:spacing w:val="-5"/>
          <w:sz w:val="18"/>
          <w:szCs w:val="18"/>
          <w:lang w:val="es-ES_tradnl"/>
        </w:rPr>
        <w:t xml:space="preserve">tica tributaria no tiene como </w:t>
      </w:r>
      <w:r>
        <w:rPr>
          <w:i/>
          <w:iCs/>
          <w:spacing w:val="-5"/>
          <w:sz w:val="18"/>
          <w:szCs w:val="18"/>
          <w:lang w:val="es-ES_tradnl"/>
        </w:rPr>
        <w:t xml:space="preserve">telos </w:t>
      </w:r>
      <w:r>
        <w:rPr>
          <w:rFonts w:cs="Times New Roman"/>
          <w:spacing w:val="-7"/>
          <w:sz w:val="18"/>
          <w:szCs w:val="18"/>
          <w:lang w:val="es-ES_tradnl"/>
        </w:rPr>
        <w:t>ú</w:t>
      </w:r>
      <w:r>
        <w:rPr>
          <w:spacing w:val="-7"/>
          <w:sz w:val="18"/>
          <w:szCs w:val="18"/>
          <w:lang w:val="es-ES_tradnl"/>
        </w:rPr>
        <w:t>nicamente actuar a nombre del Estado en la recaudaci</w:t>
      </w:r>
      <w:r>
        <w:rPr>
          <w:rFonts w:cs="Times New Roman"/>
          <w:spacing w:val="-7"/>
          <w:sz w:val="18"/>
          <w:szCs w:val="18"/>
          <w:lang w:val="es-ES_tradnl"/>
        </w:rPr>
        <w:t>ó</w:t>
      </w:r>
      <w:r>
        <w:rPr>
          <w:spacing w:val="-7"/>
          <w:sz w:val="18"/>
          <w:szCs w:val="18"/>
          <w:lang w:val="es-ES_tradnl"/>
        </w:rPr>
        <w:t xml:space="preserve">n </w:t>
      </w:r>
      <w:r>
        <w:rPr>
          <w:spacing w:val="-9"/>
          <w:sz w:val="18"/>
          <w:szCs w:val="18"/>
          <w:lang w:val="es-ES_tradnl"/>
        </w:rPr>
        <w:t xml:space="preserve">fiscal, sino que conforme lo establece el segundo inciso del </w:t>
      </w:r>
      <w:r>
        <w:rPr>
          <w:spacing w:val="-4"/>
          <w:sz w:val="18"/>
          <w:szCs w:val="18"/>
          <w:lang w:val="es-ES_tradnl"/>
        </w:rPr>
        <w:t>art</w:t>
      </w:r>
      <w:r>
        <w:rPr>
          <w:rFonts w:cs="Times New Roman"/>
          <w:spacing w:val="-4"/>
          <w:sz w:val="18"/>
          <w:szCs w:val="18"/>
          <w:lang w:val="es-ES_tradnl"/>
        </w:rPr>
        <w:t>í</w:t>
      </w:r>
      <w:r>
        <w:rPr>
          <w:spacing w:val="-4"/>
          <w:sz w:val="18"/>
          <w:szCs w:val="18"/>
          <w:lang w:val="es-ES_tradnl"/>
        </w:rPr>
        <w:t>culo 300 de la Constituci</w:t>
      </w:r>
      <w:r>
        <w:rPr>
          <w:rFonts w:cs="Times New Roman"/>
          <w:spacing w:val="-4"/>
          <w:sz w:val="18"/>
          <w:szCs w:val="18"/>
          <w:lang w:val="es-ES_tradnl"/>
        </w:rPr>
        <w:t>ó</w:t>
      </w:r>
      <w:r>
        <w:rPr>
          <w:spacing w:val="-4"/>
          <w:sz w:val="18"/>
          <w:szCs w:val="18"/>
          <w:lang w:val="es-ES_tradnl"/>
        </w:rPr>
        <w:t>n, dicha pol</w:t>
      </w:r>
      <w:r>
        <w:rPr>
          <w:rFonts w:cs="Times New Roman"/>
          <w:spacing w:val="-4"/>
          <w:sz w:val="18"/>
          <w:szCs w:val="18"/>
          <w:lang w:val="es-ES_tradnl"/>
        </w:rPr>
        <w:t>í</w:t>
      </w:r>
      <w:r>
        <w:rPr>
          <w:spacing w:val="-4"/>
          <w:sz w:val="18"/>
          <w:szCs w:val="18"/>
          <w:lang w:val="es-ES_tradnl"/>
        </w:rPr>
        <w:t>tica tiene como finalidad la promoci</w:t>
      </w:r>
      <w:r>
        <w:rPr>
          <w:rFonts w:cs="Times New Roman"/>
          <w:spacing w:val="-4"/>
          <w:sz w:val="18"/>
          <w:szCs w:val="18"/>
          <w:lang w:val="es-ES_tradnl"/>
        </w:rPr>
        <w:t>ó</w:t>
      </w:r>
      <w:r>
        <w:rPr>
          <w:spacing w:val="-4"/>
          <w:sz w:val="18"/>
          <w:szCs w:val="18"/>
          <w:lang w:val="es-ES_tradnl"/>
        </w:rPr>
        <w:t>n de la retribuci</w:t>
      </w:r>
      <w:r>
        <w:rPr>
          <w:rFonts w:cs="Times New Roman"/>
          <w:spacing w:val="-4"/>
          <w:sz w:val="18"/>
          <w:szCs w:val="18"/>
          <w:lang w:val="es-ES_tradnl"/>
        </w:rPr>
        <w:t>ó</w:t>
      </w:r>
      <w:r>
        <w:rPr>
          <w:spacing w:val="-4"/>
          <w:sz w:val="18"/>
          <w:szCs w:val="18"/>
          <w:lang w:val="es-ES_tradnl"/>
        </w:rPr>
        <w:t>n y la estimulaci</w:t>
      </w:r>
      <w:r>
        <w:rPr>
          <w:rFonts w:cs="Times New Roman"/>
          <w:spacing w:val="-4"/>
          <w:sz w:val="18"/>
          <w:szCs w:val="18"/>
          <w:lang w:val="es-ES_tradnl"/>
        </w:rPr>
        <w:t>ó</w:t>
      </w:r>
      <w:r>
        <w:rPr>
          <w:spacing w:val="-4"/>
          <w:sz w:val="18"/>
          <w:szCs w:val="18"/>
          <w:lang w:val="es-ES_tradnl"/>
        </w:rPr>
        <w:t xml:space="preserve">n </w:t>
      </w:r>
      <w:r>
        <w:rPr>
          <w:spacing w:val="-10"/>
          <w:sz w:val="18"/>
          <w:szCs w:val="18"/>
          <w:lang w:val="es-ES_tradnl"/>
        </w:rPr>
        <w:t>del empleo, la producci</w:t>
      </w:r>
      <w:r>
        <w:rPr>
          <w:rFonts w:cs="Times New Roman"/>
          <w:spacing w:val="-10"/>
          <w:sz w:val="18"/>
          <w:szCs w:val="18"/>
          <w:lang w:val="es-ES_tradnl"/>
        </w:rPr>
        <w:t>ó</w:t>
      </w:r>
      <w:r>
        <w:rPr>
          <w:spacing w:val="-10"/>
          <w:sz w:val="18"/>
          <w:szCs w:val="18"/>
          <w:lang w:val="es-ES_tradnl"/>
        </w:rPr>
        <w:t xml:space="preserve">n de bienes y servicios, y conductas </w:t>
      </w:r>
      <w:r>
        <w:rPr>
          <w:spacing w:val="-9"/>
          <w:sz w:val="18"/>
          <w:szCs w:val="18"/>
          <w:lang w:val="es-ES_tradnl"/>
        </w:rPr>
        <w:t>ecol</w:t>
      </w:r>
      <w:r>
        <w:rPr>
          <w:rFonts w:cs="Times New Roman"/>
          <w:spacing w:val="-9"/>
          <w:sz w:val="18"/>
          <w:szCs w:val="18"/>
          <w:lang w:val="es-ES_tradnl"/>
        </w:rPr>
        <w:t>ó</w:t>
      </w:r>
      <w:r>
        <w:rPr>
          <w:spacing w:val="-9"/>
          <w:sz w:val="18"/>
          <w:szCs w:val="18"/>
          <w:lang w:val="es-ES_tradnl"/>
        </w:rPr>
        <w:t>gicas sociales y econ</w:t>
      </w:r>
      <w:r>
        <w:rPr>
          <w:rFonts w:cs="Times New Roman"/>
          <w:spacing w:val="-9"/>
          <w:sz w:val="18"/>
          <w:szCs w:val="18"/>
          <w:lang w:val="es-ES_tradnl"/>
        </w:rPr>
        <w:t>ó</w:t>
      </w:r>
      <w:r>
        <w:rPr>
          <w:spacing w:val="-9"/>
          <w:sz w:val="18"/>
          <w:szCs w:val="18"/>
          <w:lang w:val="es-ES_tradnl"/>
        </w:rPr>
        <w:t>micas responsables.</w:t>
      </w:r>
    </w:p>
    <w:p w14:paraId="4F67B75B" w14:textId="77777777" w:rsidR="00591D54" w:rsidRDefault="00591D54">
      <w:pPr>
        <w:shd w:val="clear" w:color="auto" w:fill="FFFFFF"/>
        <w:spacing w:before="192" w:line="216" w:lineRule="exact"/>
        <w:ind w:right="5"/>
        <w:jc w:val="both"/>
      </w:pPr>
      <w:r>
        <w:rPr>
          <w:spacing w:val="-5"/>
          <w:sz w:val="18"/>
          <w:szCs w:val="18"/>
          <w:lang w:val="es-ES_tradnl"/>
        </w:rPr>
        <w:t>T</w:t>
      </w:r>
      <w:r>
        <w:rPr>
          <w:rFonts w:cs="Times New Roman"/>
          <w:spacing w:val="-5"/>
          <w:sz w:val="18"/>
          <w:szCs w:val="18"/>
          <w:lang w:val="es-ES_tradnl"/>
        </w:rPr>
        <w:t>ó</w:t>
      </w:r>
      <w:r>
        <w:rPr>
          <w:spacing w:val="-5"/>
          <w:sz w:val="18"/>
          <w:szCs w:val="18"/>
          <w:lang w:val="es-ES_tradnl"/>
        </w:rPr>
        <w:t>mese en cuenta que mediante la sentencia N.</w:t>
      </w:r>
      <w:r>
        <w:rPr>
          <w:rFonts w:cs="Times New Roman"/>
          <w:spacing w:val="-5"/>
          <w:sz w:val="18"/>
          <w:szCs w:val="18"/>
          <w:lang w:val="es-ES_tradnl"/>
        </w:rPr>
        <w:t xml:space="preserve">º </w:t>
      </w:r>
      <w:r>
        <w:rPr>
          <w:spacing w:val="-6"/>
          <w:sz w:val="18"/>
          <w:szCs w:val="18"/>
          <w:lang w:val="es-ES_tradnl"/>
        </w:rPr>
        <w:t>016-15-SIN-CC, la Corte Constitucional expres</w:t>
      </w:r>
      <w:r>
        <w:rPr>
          <w:rFonts w:cs="Times New Roman"/>
          <w:spacing w:val="-6"/>
          <w:sz w:val="18"/>
          <w:szCs w:val="18"/>
          <w:lang w:val="es-ES_tradnl"/>
        </w:rPr>
        <w:t>ó</w:t>
      </w:r>
      <w:r>
        <w:rPr>
          <w:spacing w:val="-6"/>
          <w:sz w:val="18"/>
          <w:szCs w:val="18"/>
          <w:lang w:val="es-ES_tradnl"/>
        </w:rPr>
        <w:t xml:space="preserve"> que la </w:t>
      </w:r>
      <w:r>
        <w:rPr>
          <w:spacing w:val="-7"/>
          <w:sz w:val="18"/>
          <w:szCs w:val="18"/>
          <w:lang w:val="es-ES_tradnl"/>
        </w:rPr>
        <w:t xml:space="preserve">potestad tributaria no es una actividad ilimitada o irrestricta </w:t>
      </w:r>
      <w:r>
        <w:rPr>
          <w:sz w:val="18"/>
          <w:szCs w:val="18"/>
          <w:lang w:val="es-ES_tradnl"/>
        </w:rPr>
        <w:t xml:space="preserve">y que por tanto su ejercicio se encuentra </w:t>
      </w:r>
      <w:r>
        <w:rPr>
          <w:rFonts w:cs="Times New Roman"/>
          <w:sz w:val="18"/>
          <w:szCs w:val="18"/>
          <w:lang w:val="es-ES_tradnl"/>
        </w:rPr>
        <w:t>“</w:t>
      </w:r>
      <w:r>
        <w:rPr>
          <w:sz w:val="18"/>
          <w:szCs w:val="18"/>
          <w:lang w:val="es-ES_tradnl"/>
        </w:rPr>
        <w:t>delimitado</w:t>
      </w:r>
    </w:p>
    <w:p w14:paraId="4F67B75C" w14:textId="77777777" w:rsidR="00591D54" w:rsidRDefault="00591D54">
      <w:pPr>
        <w:shd w:val="clear" w:color="auto" w:fill="FFFFFF"/>
        <w:tabs>
          <w:tab w:val="left" w:pos="144"/>
        </w:tabs>
        <w:spacing w:before="533" w:line="182" w:lineRule="exact"/>
        <w:ind w:left="144" w:hanging="144"/>
      </w:pPr>
      <w:r>
        <w:rPr>
          <w:sz w:val="14"/>
          <w:szCs w:val="14"/>
          <w:vertAlign w:val="superscript"/>
          <w:lang w:val="es-ES_tradnl"/>
        </w:rPr>
        <w:t>1</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º</w:t>
      </w:r>
      <w:r>
        <w:rPr>
          <w:sz w:val="14"/>
          <w:szCs w:val="14"/>
          <w:lang w:val="es-ES_tradnl"/>
        </w:rPr>
        <w:t>.</w:t>
      </w:r>
      <w:r>
        <w:rPr>
          <w:sz w:val="18"/>
          <w:szCs w:val="18"/>
          <w:lang w:val="es-ES_tradnl"/>
        </w:rPr>
        <w:t xml:space="preserve"> </w:t>
      </w:r>
      <w:r>
        <w:rPr>
          <w:sz w:val="14"/>
          <w:szCs w:val="14"/>
          <w:lang w:val="es-ES_tradnl"/>
        </w:rPr>
        <w:t>088-13-SEP-CC, caso N.</w:t>
      </w:r>
      <w:r>
        <w:rPr>
          <w:rFonts w:cs="Times New Roman"/>
          <w:sz w:val="14"/>
          <w:szCs w:val="14"/>
          <w:lang w:val="es-ES_tradnl"/>
        </w:rPr>
        <w:t>°</w:t>
      </w:r>
      <w:r>
        <w:rPr>
          <w:sz w:val="14"/>
          <w:szCs w:val="14"/>
          <w:lang w:val="es-ES_tradnl"/>
        </w:rPr>
        <w:t xml:space="preserve"> 1921-11-EP.</w:t>
      </w:r>
    </w:p>
    <w:p w14:paraId="4F67B75D" w14:textId="77777777" w:rsidR="00591D54" w:rsidRDefault="00591D54">
      <w:pPr>
        <w:shd w:val="clear" w:color="auto" w:fill="FFFFFF"/>
        <w:tabs>
          <w:tab w:val="left" w:pos="144"/>
        </w:tabs>
        <w:spacing w:before="154" w:line="182" w:lineRule="exact"/>
        <w:ind w:left="144" w:hanging="144"/>
      </w:pPr>
      <w:r>
        <w:rPr>
          <w:sz w:val="10"/>
          <w:szCs w:val="10"/>
          <w:vertAlign w:val="superscript"/>
          <w:lang w:val="es-ES_tradnl"/>
        </w:rPr>
        <w:t>2</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w:t>
      </w:r>
      <w:r>
        <w:rPr>
          <w:sz w:val="18"/>
          <w:szCs w:val="18"/>
          <w:lang w:val="es-ES_tradnl"/>
        </w:rPr>
        <w:t xml:space="preserve"> </w:t>
      </w:r>
      <w:r>
        <w:rPr>
          <w:sz w:val="14"/>
          <w:szCs w:val="14"/>
          <w:lang w:val="es-ES_tradnl"/>
        </w:rPr>
        <w:t>013-15-SEP-CC, caso N.</w:t>
      </w:r>
      <w:r>
        <w:rPr>
          <w:rFonts w:cs="Times New Roman"/>
          <w:sz w:val="14"/>
          <w:szCs w:val="14"/>
          <w:lang w:val="es-ES_tradnl"/>
        </w:rPr>
        <w:t>°</w:t>
      </w:r>
      <w:r>
        <w:rPr>
          <w:sz w:val="14"/>
          <w:szCs w:val="14"/>
          <w:lang w:val="es-ES_tradnl"/>
        </w:rPr>
        <w:t xml:space="preserve"> 0476-14-EP.</w:t>
      </w:r>
    </w:p>
    <w:p w14:paraId="4F67B75E" w14:textId="77777777" w:rsidR="00591D54" w:rsidRDefault="00591D54">
      <w:pPr>
        <w:shd w:val="clear" w:color="auto" w:fill="FFFFFF"/>
        <w:tabs>
          <w:tab w:val="left" w:pos="144"/>
        </w:tabs>
        <w:spacing w:before="149" w:line="178" w:lineRule="exact"/>
        <w:ind w:left="144" w:hanging="144"/>
      </w:pPr>
      <w:r>
        <w:rPr>
          <w:sz w:val="10"/>
          <w:szCs w:val="10"/>
          <w:vertAlign w:val="superscript"/>
          <w:lang w:val="es-ES_tradnl"/>
        </w:rPr>
        <w:t>3</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º</w:t>
      </w:r>
      <w:r>
        <w:rPr>
          <w:sz w:val="18"/>
          <w:szCs w:val="18"/>
          <w:lang w:val="es-ES_tradnl"/>
        </w:rPr>
        <w:t xml:space="preserve"> </w:t>
      </w:r>
      <w:r>
        <w:rPr>
          <w:sz w:val="14"/>
          <w:szCs w:val="14"/>
          <w:lang w:val="es-ES_tradnl"/>
        </w:rPr>
        <w:t>035-13-SEP-CC, caso N.</w:t>
      </w:r>
      <w:r>
        <w:rPr>
          <w:rFonts w:cs="Times New Roman"/>
          <w:sz w:val="14"/>
          <w:szCs w:val="14"/>
          <w:lang w:val="es-ES_tradnl"/>
        </w:rPr>
        <w:t>º</w:t>
      </w:r>
      <w:r>
        <w:rPr>
          <w:sz w:val="14"/>
          <w:szCs w:val="14"/>
          <w:lang w:val="es-ES_tradnl"/>
        </w:rPr>
        <w:t xml:space="preserve"> 0909-10-EP.</w:t>
      </w:r>
    </w:p>
    <w:p w14:paraId="4F67B75F" w14:textId="77777777" w:rsidR="00591D54" w:rsidRDefault="00591D54">
      <w:pPr>
        <w:shd w:val="clear" w:color="auto" w:fill="FFFFFF"/>
        <w:tabs>
          <w:tab w:val="left" w:pos="144"/>
        </w:tabs>
        <w:spacing w:before="149" w:line="178" w:lineRule="exact"/>
        <w:ind w:left="144" w:hanging="144"/>
        <w:sectPr w:rsidR="00591D54">
          <w:type w:val="continuous"/>
          <w:pgSz w:w="11909" w:h="16834"/>
          <w:pgMar w:top="1356" w:right="1304" w:bottom="360" w:left="1308" w:header="720" w:footer="720" w:gutter="0"/>
          <w:cols w:num="2" w:space="720" w:equalWidth="0">
            <w:col w:w="4315" w:space="672"/>
            <w:col w:w="4310"/>
          </w:cols>
          <w:noEndnote/>
        </w:sectPr>
      </w:pPr>
    </w:p>
    <w:p w14:paraId="4F67B760" w14:textId="77777777" w:rsidR="00591D54" w:rsidRDefault="00591D54">
      <w:pPr>
        <w:shd w:val="clear" w:color="auto" w:fill="FFFFFF"/>
        <w:tabs>
          <w:tab w:val="left" w:pos="4814"/>
        </w:tabs>
        <w:spacing w:after="226"/>
        <w:ind w:left="5"/>
      </w:pPr>
      <w:r>
        <w:rPr>
          <w:b/>
          <w:bCs/>
          <w:sz w:val="18"/>
          <w:szCs w:val="18"/>
          <w:lang w:val="es-ES_tradnl"/>
        </w:rPr>
        <w:t xml:space="preserve">242 -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761" w14:textId="77777777" w:rsidR="00591D54" w:rsidRDefault="00591D54">
      <w:pPr>
        <w:shd w:val="clear" w:color="auto" w:fill="FFFFFF"/>
        <w:tabs>
          <w:tab w:val="left" w:pos="4814"/>
        </w:tabs>
        <w:spacing w:after="226"/>
        <w:ind w:left="5"/>
        <w:sectPr w:rsidR="00591D54">
          <w:pgSz w:w="11909" w:h="16834"/>
          <w:pgMar w:top="1356" w:right="1309" w:bottom="360" w:left="1308" w:header="720" w:footer="720" w:gutter="0"/>
          <w:cols w:space="60"/>
          <w:noEndnote/>
        </w:sectPr>
      </w:pPr>
    </w:p>
    <w:p w14:paraId="4F67B762" w14:textId="77777777" w:rsidR="00591D54" w:rsidRDefault="00591D54">
      <w:pPr>
        <w:shd w:val="clear" w:color="auto" w:fill="FFFFFF"/>
        <w:spacing w:before="10" w:line="211" w:lineRule="exact"/>
        <w:jc w:val="both"/>
      </w:pPr>
      <w:r>
        <w:rPr>
          <w:spacing w:val="-5"/>
          <w:sz w:val="18"/>
          <w:szCs w:val="18"/>
          <w:lang w:val="es-ES_tradnl"/>
        </w:rPr>
        <w:t>a varios principios que necesariamente deber</w:t>
      </w:r>
      <w:r>
        <w:rPr>
          <w:rFonts w:cs="Times New Roman"/>
          <w:spacing w:val="-5"/>
          <w:sz w:val="18"/>
          <w:szCs w:val="18"/>
          <w:lang w:val="es-ES_tradnl"/>
        </w:rPr>
        <w:t>á</w:t>
      </w:r>
      <w:r>
        <w:rPr>
          <w:spacing w:val="-5"/>
          <w:sz w:val="18"/>
          <w:szCs w:val="18"/>
          <w:lang w:val="es-ES_tradnl"/>
        </w:rPr>
        <w:t xml:space="preserve">n ser </w:t>
      </w:r>
      <w:r>
        <w:rPr>
          <w:spacing w:val="-6"/>
          <w:sz w:val="18"/>
          <w:szCs w:val="18"/>
          <w:lang w:val="es-ES_tradnl"/>
        </w:rPr>
        <w:t xml:space="preserve">observados dentro del ejercicio de la potestad tributaria, a </w:t>
      </w:r>
      <w:r>
        <w:rPr>
          <w:spacing w:val="-5"/>
          <w:sz w:val="18"/>
          <w:szCs w:val="18"/>
          <w:lang w:val="es-ES_tradnl"/>
        </w:rPr>
        <w:t xml:space="preserve">fin de que </w:t>
      </w:r>
      <w:r>
        <w:rPr>
          <w:rFonts w:cs="Times New Roman"/>
          <w:spacing w:val="-5"/>
          <w:sz w:val="18"/>
          <w:szCs w:val="18"/>
          <w:lang w:val="es-ES_tradnl"/>
        </w:rPr>
        <w:t>é</w:t>
      </w:r>
      <w:r>
        <w:rPr>
          <w:spacing w:val="-5"/>
          <w:sz w:val="18"/>
          <w:szCs w:val="18"/>
          <w:lang w:val="es-ES_tradnl"/>
        </w:rPr>
        <w:t xml:space="preserve">sta alcance un ideal de justicia y legitimidad; </w:t>
      </w:r>
      <w:r>
        <w:rPr>
          <w:spacing w:val="-4"/>
          <w:sz w:val="18"/>
          <w:szCs w:val="18"/>
          <w:lang w:val="es-ES_tradnl"/>
        </w:rPr>
        <w:t xml:space="preserve">principios que se los identifica como un conjunto de </w:t>
      </w:r>
      <w:r>
        <w:rPr>
          <w:spacing w:val="-8"/>
          <w:sz w:val="18"/>
          <w:szCs w:val="18"/>
          <w:lang w:val="es-ES_tradnl"/>
        </w:rPr>
        <w:t>garant</w:t>
      </w:r>
      <w:r>
        <w:rPr>
          <w:rFonts w:cs="Times New Roman"/>
          <w:spacing w:val="-8"/>
          <w:sz w:val="18"/>
          <w:szCs w:val="18"/>
          <w:lang w:val="es-ES_tradnl"/>
        </w:rPr>
        <w:t>í</w:t>
      </w:r>
      <w:r>
        <w:rPr>
          <w:spacing w:val="-8"/>
          <w:sz w:val="18"/>
          <w:szCs w:val="18"/>
          <w:lang w:val="es-ES_tradnl"/>
        </w:rPr>
        <w:t xml:space="preserve">as formales y materiales que precisamente tienen </w:t>
      </w:r>
      <w:r>
        <w:rPr>
          <w:spacing w:val="-7"/>
          <w:sz w:val="18"/>
          <w:szCs w:val="18"/>
          <w:lang w:val="es-ES_tradnl"/>
        </w:rPr>
        <w:t>como objetivo primordial generar un l</w:t>
      </w:r>
      <w:r>
        <w:rPr>
          <w:rFonts w:cs="Times New Roman"/>
          <w:spacing w:val="-7"/>
          <w:sz w:val="18"/>
          <w:szCs w:val="18"/>
          <w:lang w:val="es-ES_tradnl"/>
        </w:rPr>
        <w:t>í</w:t>
      </w:r>
      <w:r>
        <w:rPr>
          <w:spacing w:val="-7"/>
          <w:sz w:val="18"/>
          <w:szCs w:val="18"/>
          <w:lang w:val="es-ES_tradnl"/>
        </w:rPr>
        <w:t>mite en la creaci</w:t>
      </w:r>
      <w:r>
        <w:rPr>
          <w:rFonts w:cs="Times New Roman"/>
          <w:spacing w:val="-7"/>
          <w:sz w:val="18"/>
          <w:szCs w:val="18"/>
          <w:lang w:val="es-ES_tradnl"/>
        </w:rPr>
        <w:t>ó</w:t>
      </w:r>
      <w:r>
        <w:rPr>
          <w:spacing w:val="-7"/>
          <w:sz w:val="18"/>
          <w:szCs w:val="18"/>
          <w:lang w:val="es-ES_tradnl"/>
        </w:rPr>
        <w:t xml:space="preserve">n y </w:t>
      </w:r>
      <w:r>
        <w:rPr>
          <w:sz w:val="18"/>
          <w:szCs w:val="18"/>
          <w:lang w:val="es-ES_tradnl"/>
        </w:rPr>
        <w:t>regulaci</w:t>
      </w:r>
      <w:r>
        <w:rPr>
          <w:rFonts w:cs="Times New Roman"/>
          <w:sz w:val="18"/>
          <w:szCs w:val="18"/>
          <w:lang w:val="es-ES_tradnl"/>
        </w:rPr>
        <w:t>ó</w:t>
      </w:r>
      <w:r>
        <w:rPr>
          <w:sz w:val="18"/>
          <w:szCs w:val="18"/>
          <w:lang w:val="es-ES_tradnl"/>
        </w:rPr>
        <w:t>n de los tributos</w:t>
      </w:r>
      <w:r>
        <w:rPr>
          <w:rFonts w:cs="Times New Roman"/>
          <w:sz w:val="18"/>
          <w:szCs w:val="18"/>
          <w:lang w:val="es-ES_tradnl"/>
        </w:rPr>
        <w:t>”</w:t>
      </w:r>
      <w:r>
        <w:rPr>
          <w:sz w:val="18"/>
          <w:szCs w:val="18"/>
          <w:vertAlign w:val="superscript"/>
          <w:lang w:val="es-ES_tradnl"/>
        </w:rPr>
        <w:t>4</w:t>
      </w:r>
      <w:r>
        <w:rPr>
          <w:sz w:val="18"/>
          <w:szCs w:val="18"/>
          <w:lang w:val="es-ES_tradnl"/>
        </w:rPr>
        <w:t>.</w:t>
      </w:r>
    </w:p>
    <w:p w14:paraId="4F67B763" w14:textId="77777777" w:rsidR="00591D54" w:rsidRDefault="00591D54">
      <w:pPr>
        <w:shd w:val="clear" w:color="auto" w:fill="FFFFFF"/>
        <w:spacing w:before="197" w:line="216" w:lineRule="exact"/>
        <w:ind w:right="5"/>
        <w:jc w:val="both"/>
      </w:pPr>
      <w:r>
        <w:rPr>
          <w:spacing w:val="-7"/>
          <w:sz w:val="18"/>
          <w:szCs w:val="18"/>
          <w:lang w:val="es-ES_tradnl"/>
        </w:rPr>
        <w:t xml:space="preserve">Entre los principios constitucionales que rigen tal potestad, </w:t>
      </w:r>
      <w:r>
        <w:rPr>
          <w:spacing w:val="-4"/>
          <w:sz w:val="18"/>
          <w:szCs w:val="18"/>
          <w:lang w:val="es-ES_tradnl"/>
        </w:rPr>
        <w:t xml:space="preserve">se encuentra el principio de irretroactividad, entendido </w:t>
      </w:r>
      <w:r>
        <w:rPr>
          <w:spacing w:val="-10"/>
          <w:sz w:val="18"/>
          <w:szCs w:val="18"/>
          <w:lang w:val="es-ES_tradnl"/>
        </w:rPr>
        <w:t>aquel como una extensi</w:t>
      </w:r>
      <w:r>
        <w:rPr>
          <w:rFonts w:cs="Times New Roman"/>
          <w:spacing w:val="-10"/>
          <w:sz w:val="18"/>
          <w:szCs w:val="18"/>
          <w:lang w:val="es-ES_tradnl"/>
        </w:rPr>
        <w:t>ó</w:t>
      </w:r>
      <w:r>
        <w:rPr>
          <w:spacing w:val="-10"/>
          <w:sz w:val="18"/>
          <w:szCs w:val="18"/>
          <w:lang w:val="es-ES_tradnl"/>
        </w:rPr>
        <w:t xml:space="preserve">n del principio del derecho general, </w:t>
      </w:r>
      <w:r>
        <w:rPr>
          <w:spacing w:val="-7"/>
          <w:sz w:val="18"/>
          <w:szCs w:val="18"/>
          <w:lang w:val="es-ES_tradnl"/>
        </w:rPr>
        <w:t>aplicable al derecho tributario y seg</w:t>
      </w:r>
      <w:r>
        <w:rPr>
          <w:rFonts w:cs="Times New Roman"/>
          <w:spacing w:val="-7"/>
          <w:sz w:val="18"/>
          <w:szCs w:val="18"/>
          <w:lang w:val="es-ES_tradnl"/>
        </w:rPr>
        <w:t>ú</w:t>
      </w:r>
      <w:r>
        <w:rPr>
          <w:spacing w:val="-7"/>
          <w:sz w:val="18"/>
          <w:szCs w:val="18"/>
          <w:lang w:val="es-ES_tradnl"/>
        </w:rPr>
        <w:t>n el cual la normativa que regula esta materia, debe ser aplicada posteriormente a la expedici</w:t>
      </w:r>
      <w:r>
        <w:rPr>
          <w:rFonts w:cs="Times New Roman"/>
          <w:spacing w:val="-7"/>
          <w:sz w:val="18"/>
          <w:szCs w:val="18"/>
          <w:lang w:val="es-ES_tradnl"/>
        </w:rPr>
        <w:t>ó</w:t>
      </w:r>
      <w:r>
        <w:rPr>
          <w:spacing w:val="-7"/>
          <w:sz w:val="18"/>
          <w:szCs w:val="18"/>
          <w:lang w:val="es-ES_tradnl"/>
        </w:rPr>
        <w:t xml:space="preserve">n oficial de aquella; dicho en otras palabras, </w:t>
      </w:r>
      <w:r>
        <w:rPr>
          <w:spacing w:val="-6"/>
          <w:sz w:val="18"/>
          <w:szCs w:val="18"/>
          <w:lang w:val="es-ES_tradnl"/>
        </w:rPr>
        <w:t>a la luz de este principio, a la administraci</w:t>
      </w:r>
      <w:r>
        <w:rPr>
          <w:rFonts w:cs="Times New Roman"/>
          <w:spacing w:val="-6"/>
          <w:sz w:val="18"/>
          <w:szCs w:val="18"/>
          <w:lang w:val="es-ES_tradnl"/>
        </w:rPr>
        <w:t>ó</w:t>
      </w:r>
      <w:r>
        <w:rPr>
          <w:spacing w:val="-6"/>
          <w:sz w:val="18"/>
          <w:szCs w:val="18"/>
          <w:lang w:val="es-ES_tradnl"/>
        </w:rPr>
        <w:t xml:space="preserve">n tributaria se </w:t>
      </w:r>
      <w:r>
        <w:rPr>
          <w:spacing w:val="-9"/>
          <w:sz w:val="18"/>
          <w:szCs w:val="18"/>
          <w:lang w:val="es-ES_tradnl"/>
        </w:rPr>
        <w:t>encontrar</w:t>
      </w:r>
      <w:r>
        <w:rPr>
          <w:rFonts w:cs="Times New Roman"/>
          <w:spacing w:val="-9"/>
          <w:sz w:val="18"/>
          <w:szCs w:val="18"/>
          <w:lang w:val="es-ES_tradnl"/>
        </w:rPr>
        <w:t>á</w:t>
      </w:r>
      <w:r>
        <w:rPr>
          <w:spacing w:val="-9"/>
          <w:sz w:val="18"/>
          <w:szCs w:val="18"/>
          <w:lang w:val="es-ES_tradnl"/>
        </w:rPr>
        <w:t xml:space="preserve"> vedada de exigir imposiciones que a la fecha del </w:t>
      </w:r>
      <w:r>
        <w:rPr>
          <w:spacing w:val="-8"/>
          <w:sz w:val="18"/>
          <w:szCs w:val="18"/>
          <w:lang w:val="es-ES_tradnl"/>
        </w:rPr>
        <w:t>hecho generado (nacimiento de la obligaci</w:t>
      </w:r>
      <w:r>
        <w:rPr>
          <w:rFonts w:cs="Times New Roman"/>
          <w:spacing w:val="-8"/>
          <w:sz w:val="18"/>
          <w:szCs w:val="18"/>
          <w:lang w:val="es-ES_tradnl"/>
        </w:rPr>
        <w:t>ó</w:t>
      </w:r>
      <w:r>
        <w:rPr>
          <w:spacing w:val="-8"/>
          <w:sz w:val="18"/>
          <w:szCs w:val="18"/>
          <w:lang w:val="es-ES_tradnl"/>
        </w:rPr>
        <w:t>n tributaria), no se encontraban vigentes o no exist</w:t>
      </w:r>
      <w:r>
        <w:rPr>
          <w:rFonts w:cs="Times New Roman"/>
          <w:spacing w:val="-8"/>
          <w:sz w:val="18"/>
          <w:szCs w:val="18"/>
          <w:lang w:val="es-ES_tradnl"/>
        </w:rPr>
        <w:t>í</w:t>
      </w:r>
      <w:r>
        <w:rPr>
          <w:spacing w:val="-8"/>
          <w:sz w:val="18"/>
          <w:szCs w:val="18"/>
          <w:lang w:val="es-ES_tradnl"/>
        </w:rPr>
        <w:t xml:space="preserve">an en el ordenamiento </w:t>
      </w:r>
      <w:r>
        <w:rPr>
          <w:spacing w:val="-7"/>
          <w:sz w:val="18"/>
          <w:szCs w:val="18"/>
          <w:lang w:val="es-ES_tradnl"/>
        </w:rPr>
        <w:t>jur</w:t>
      </w:r>
      <w:r>
        <w:rPr>
          <w:rFonts w:cs="Times New Roman"/>
          <w:spacing w:val="-7"/>
          <w:sz w:val="18"/>
          <w:szCs w:val="18"/>
          <w:lang w:val="es-ES_tradnl"/>
        </w:rPr>
        <w:t>í</w:t>
      </w:r>
      <w:r>
        <w:rPr>
          <w:spacing w:val="-7"/>
          <w:sz w:val="18"/>
          <w:szCs w:val="18"/>
          <w:lang w:val="es-ES_tradnl"/>
        </w:rPr>
        <w:t>dico, salvo en casos espec</w:t>
      </w:r>
      <w:r>
        <w:rPr>
          <w:rFonts w:cs="Times New Roman"/>
          <w:spacing w:val="-7"/>
          <w:sz w:val="18"/>
          <w:szCs w:val="18"/>
          <w:lang w:val="es-ES_tradnl"/>
        </w:rPr>
        <w:t>í</w:t>
      </w:r>
      <w:r>
        <w:rPr>
          <w:spacing w:val="-7"/>
          <w:sz w:val="18"/>
          <w:szCs w:val="18"/>
          <w:lang w:val="es-ES_tradnl"/>
        </w:rPr>
        <w:t xml:space="preserve">ficos y determinados con </w:t>
      </w:r>
      <w:r>
        <w:rPr>
          <w:spacing w:val="-2"/>
          <w:sz w:val="18"/>
          <w:szCs w:val="18"/>
          <w:lang w:val="es-ES_tradnl"/>
        </w:rPr>
        <w:t>claridad por el legislador y sin que adem</w:t>
      </w:r>
      <w:r>
        <w:rPr>
          <w:rFonts w:cs="Times New Roman"/>
          <w:spacing w:val="-2"/>
          <w:sz w:val="18"/>
          <w:szCs w:val="18"/>
          <w:lang w:val="es-ES_tradnl"/>
        </w:rPr>
        <w:t>á</w:t>
      </w:r>
      <w:r>
        <w:rPr>
          <w:spacing w:val="-2"/>
          <w:sz w:val="18"/>
          <w:szCs w:val="18"/>
          <w:lang w:val="es-ES_tradnl"/>
        </w:rPr>
        <w:t xml:space="preserve">s, aquello </w:t>
      </w:r>
      <w:r>
        <w:rPr>
          <w:spacing w:val="-3"/>
          <w:sz w:val="18"/>
          <w:szCs w:val="18"/>
          <w:lang w:val="es-ES_tradnl"/>
        </w:rPr>
        <w:t>implique una restricci</w:t>
      </w:r>
      <w:r>
        <w:rPr>
          <w:rFonts w:cs="Times New Roman"/>
          <w:spacing w:val="-3"/>
          <w:sz w:val="18"/>
          <w:szCs w:val="18"/>
          <w:lang w:val="es-ES_tradnl"/>
        </w:rPr>
        <w:t>ó</w:t>
      </w:r>
      <w:r>
        <w:rPr>
          <w:spacing w:val="-3"/>
          <w:sz w:val="18"/>
          <w:szCs w:val="18"/>
          <w:lang w:val="es-ES_tradnl"/>
        </w:rPr>
        <w:t xml:space="preserve">n injustificada e irrazonable de </w:t>
      </w:r>
      <w:r>
        <w:rPr>
          <w:sz w:val="18"/>
          <w:szCs w:val="18"/>
          <w:lang w:val="es-ES_tradnl"/>
        </w:rPr>
        <w:t>derechos constitucionales.</w:t>
      </w:r>
    </w:p>
    <w:p w14:paraId="4F67B764" w14:textId="77777777" w:rsidR="00591D54" w:rsidRDefault="00591D54">
      <w:pPr>
        <w:shd w:val="clear" w:color="auto" w:fill="FFFFFF"/>
        <w:spacing w:before="197" w:line="211" w:lineRule="exact"/>
        <w:jc w:val="both"/>
      </w:pPr>
      <w:r>
        <w:rPr>
          <w:spacing w:val="-9"/>
          <w:sz w:val="18"/>
          <w:szCs w:val="18"/>
          <w:lang w:val="es-ES_tradnl"/>
        </w:rPr>
        <w:t xml:space="preserve">El principio de irretroactividad, entonces, tiene una estrecha </w:t>
      </w:r>
      <w:r>
        <w:rPr>
          <w:spacing w:val="-4"/>
          <w:sz w:val="18"/>
          <w:szCs w:val="18"/>
          <w:lang w:val="es-ES_tradnl"/>
        </w:rPr>
        <w:t>vinculaci</w:t>
      </w:r>
      <w:r>
        <w:rPr>
          <w:rFonts w:cs="Times New Roman"/>
          <w:spacing w:val="-4"/>
          <w:sz w:val="18"/>
          <w:szCs w:val="18"/>
          <w:lang w:val="es-ES_tradnl"/>
        </w:rPr>
        <w:t>ó</w:t>
      </w:r>
      <w:r>
        <w:rPr>
          <w:spacing w:val="-4"/>
          <w:sz w:val="18"/>
          <w:szCs w:val="18"/>
          <w:lang w:val="es-ES_tradnl"/>
        </w:rPr>
        <w:t>n con la seguridad jur</w:t>
      </w:r>
      <w:r>
        <w:rPr>
          <w:rFonts w:cs="Times New Roman"/>
          <w:spacing w:val="-4"/>
          <w:sz w:val="18"/>
          <w:szCs w:val="18"/>
          <w:lang w:val="es-ES_tradnl"/>
        </w:rPr>
        <w:t>í</w:t>
      </w:r>
      <w:r>
        <w:rPr>
          <w:spacing w:val="-4"/>
          <w:sz w:val="18"/>
          <w:szCs w:val="18"/>
          <w:lang w:val="es-ES_tradnl"/>
        </w:rPr>
        <w:t>dica en relaci</w:t>
      </w:r>
      <w:r>
        <w:rPr>
          <w:rFonts w:cs="Times New Roman"/>
          <w:spacing w:val="-4"/>
          <w:sz w:val="18"/>
          <w:szCs w:val="18"/>
          <w:lang w:val="es-ES_tradnl"/>
        </w:rPr>
        <w:t>ó</w:t>
      </w:r>
      <w:r>
        <w:rPr>
          <w:spacing w:val="-4"/>
          <w:sz w:val="18"/>
          <w:szCs w:val="18"/>
          <w:lang w:val="es-ES_tradnl"/>
        </w:rPr>
        <w:t xml:space="preserve">n con el </w:t>
      </w:r>
      <w:r>
        <w:rPr>
          <w:spacing w:val="-2"/>
          <w:sz w:val="18"/>
          <w:szCs w:val="18"/>
          <w:lang w:val="es-ES_tradnl"/>
        </w:rPr>
        <w:t xml:space="preserve">derecho fiscal, </w:t>
      </w:r>
      <w:r>
        <w:rPr>
          <w:rFonts w:cs="Times New Roman"/>
          <w:spacing w:val="-2"/>
          <w:sz w:val="18"/>
          <w:szCs w:val="18"/>
          <w:lang w:val="es-ES_tradnl"/>
        </w:rPr>
        <w:t>“</w:t>
      </w:r>
      <w:r>
        <w:rPr>
          <w:spacing w:val="-2"/>
          <w:sz w:val="18"/>
          <w:szCs w:val="18"/>
          <w:lang w:val="es-ES_tradnl"/>
        </w:rPr>
        <w:t xml:space="preserve">en cuyo </w:t>
      </w:r>
      <w:r>
        <w:rPr>
          <w:rFonts w:cs="Times New Roman"/>
          <w:spacing w:val="-2"/>
          <w:sz w:val="18"/>
          <w:szCs w:val="18"/>
          <w:lang w:val="es-ES_tradnl"/>
        </w:rPr>
        <w:t>á</w:t>
      </w:r>
      <w:r>
        <w:rPr>
          <w:spacing w:val="-2"/>
          <w:sz w:val="18"/>
          <w:szCs w:val="18"/>
          <w:lang w:val="es-ES_tradnl"/>
        </w:rPr>
        <w:t xml:space="preserve">mbito rige la irretroactividad </w:t>
      </w:r>
      <w:r>
        <w:rPr>
          <w:spacing w:val="-6"/>
          <w:sz w:val="18"/>
          <w:szCs w:val="18"/>
          <w:lang w:val="es-ES_tradnl"/>
        </w:rPr>
        <w:t xml:space="preserve">de las normas tributarias como regla general. Ahora bien, </w:t>
      </w:r>
      <w:r>
        <w:rPr>
          <w:spacing w:val="-3"/>
          <w:sz w:val="18"/>
          <w:szCs w:val="18"/>
          <w:lang w:val="es-ES_tradnl"/>
        </w:rPr>
        <w:t>si las disposiciones generales tributarias tienen car</w:t>
      </w:r>
      <w:r>
        <w:rPr>
          <w:rFonts w:cs="Times New Roman"/>
          <w:spacing w:val="-3"/>
          <w:sz w:val="18"/>
          <w:szCs w:val="18"/>
          <w:lang w:val="es-ES_tradnl"/>
        </w:rPr>
        <w:t>á</w:t>
      </w:r>
      <w:r>
        <w:rPr>
          <w:spacing w:val="-3"/>
          <w:sz w:val="18"/>
          <w:szCs w:val="18"/>
          <w:lang w:val="es-ES_tradnl"/>
        </w:rPr>
        <w:t xml:space="preserve">cter </w:t>
      </w:r>
      <w:r>
        <w:rPr>
          <w:spacing w:val="-7"/>
          <w:sz w:val="18"/>
          <w:szCs w:val="18"/>
          <w:lang w:val="es-ES_tradnl"/>
        </w:rPr>
        <w:t>o naturaleza formal, pueden ser aplicadas con car</w:t>
      </w:r>
      <w:r>
        <w:rPr>
          <w:rFonts w:cs="Times New Roman"/>
          <w:spacing w:val="-7"/>
          <w:sz w:val="18"/>
          <w:szCs w:val="18"/>
          <w:lang w:val="es-ES_tradnl"/>
        </w:rPr>
        <w:t>á</w:t>
      </w:r>
      <w:r>
        <w:rPr>
          <w:spacing w:val="-7"/>
          <w:sz w:val="18"/>
          <w:szCs w:val="18"/>
          <w:lang w:val="es-ES_tradnl"/>
        </w:rPr>
        <w:t xml:space="preserve">cter </w:t>
      </w:r>
      <w:r>
        <w:rPr>
          <w:spacing w:val="-1"/>
          <w:sz w:val="18"/>
          <w:szCs w:val="18"/>
          <w:lang w:val="es-ES_tradnl"/>
        </w:rPr>
        <w:t xml:space="preserve">retroactivo. Por otra parte, la irretroactividad es de </w:t>
      </w:r>
      <w:r>
        <w:rPr>
          <w:spacing w:val="-4"/>
          <w:sz w:val="18"/>
          <w:szCs w:val="18"/>
          <w:lang w:val="es-ES_tradnl"/>
        </w:rPr>
        <w:t>aplicaci</w:t>
      </w:r>
      <w:r>
        <w:rPr>
          <w:rFonts w:cs="Times New Roman"/>
          <w:spacing w:val="-4"/>
          <w:sz w:val="18"/>
          <w:szCs w:val="18"/>
          <w:lang w:val="es-ES_tradnl"/>
        </w:rPr>
        <w:t>ó</w:t>
      </w:r>
      <w:r>
        <w:rPr>
          <w:spacing w:val="-4"/>
          <w:sz w:val="18"/>
          <w:szCs w:val="18"/>
          <w:lang w:val="es-ES_tradnl"/>
        </w:rPr>
        <w:t>n a la disposici</w:t>
      </w:r>
      <w:r>
        <w:rPr>
          <w:rFonts w:cs="Times New Roman"/>
          <w:spacing w:val="-4"/>
          <w:sz w:val="18"/>
          <w:szCs w:val="18"/>
          <w:lang w:val="es-ES_tradnl"/>
        </w:rPr>
        <w:t>ó</w:t>
      </w:r>
      <w:r>
        <w:rPr>
          <w:spacing w:val="-4"/>
          <w:sz w:val="18"/>
          <w:szCs w:val="18"/>
          <w:lang w:val="es-ES_tradnl"/>
        </w:rPr>
        <w:t>n general con categor</w:t>
      </w:r>
      <w:r>
        <w:rPr>
          <w:rFonts w:cs="Times New Roman"/>
          <w:spacing w:val="-4"/>
          <w:sz w:val="18"/>
          <w:szCs w:val="18"/>
          <w:lang w:val="es-ES_tradnl"/>
        </w:rPr>
        <w:t>í</w:t>
      </w:r>
      <w:r>
        <w:rPr>
          <w:spacing w:val="-4"/>
          <w:sz w:val="18"/>
          <w:szCs w:val="18"/>
          <w:lang w:val="es-ES_tradnl"/>
        </w:rPr>
        <w:t xml:space="preserve">a de ley; </w:t>
      </w:r>
      <w:r>
        <w:rPr>
          <w:spacing w:val="-7"/>
          <w:sz w:val="18"/>
          <w:szCs w:val="18"/>
          <w:lang w:val="es-ES_tradnl"/>
        </w:rPr>
        <w:t>los reglamentos tributarios, contengan o no preceptos de car</w:t>
      </w:r>
      <w:r>
        <w:rPr>
          <w:rFonts w:cs="Times New Roman"/>
          <w:spacing w:val="-7"/>
          <w:sz w:val="18"/>
          <w:szCs w:val="18"/>
          <w:lang w:val="es-ES_tradnl"/>
        </w:rPr>
        <w:t>á</w:t>
      </w:r>
      <w:r>
        <w:rPr>
          <w:spacing w:val="-7"/>
          <w:sz w:val="18"/>
          <w:szCs w:val="18"/>
          <w:lang w:val="es-ES_tradnl"/>
        </w:rPr>
        <w:t>cter interpretativo, se aplican con efecto retroactivo en cuanto son normas de desarrollo o de ejecuci</w:t>
      </w:r>
      <w:r>
        <w:rPr>
          <w:rFonts w:cs="Times New Roman"/>
          <w:spacing w:val="-7"/>
          <w:sz w:val="18"/>
          <w:szCs w:val="18"/>
          <w:lang w:val="es-ES_tradnl"/>
        </w:rPr>
        <w:t>ó</w:t>
      </w:r>
      <w:r>
        <w:rPr>
          <w:spacing w:val="-7"/>
          <w:sz w:val="18"/>
          <w:szCs w:val="18"/>
          <w:lang w:val="es-ES_tradnl"/>
        </w:rPr>
        <w:t xml:space="preserve">n de la ley. </w:t>
      </w:r>
      <w:r>
        <w:rPr>
          <w:spacing w:val="-9"/>
          <w:sz w:val="18"/>
          <w:szCs w:val="18"/>
          <w:lang w:val="es-ES_tradnl"/>
        </w:rPr>
        <w:t xml:space="preserve">En definitiva, la legalidad tributaria que debe aplicarse es la </w:t>
      </w:r>
      <w:r>
        <w:rPr>
          <w:spacing w:val="-8"/>
          <w:sz w:val="18"/>
          <w:szCs w:val="18"/>
          <w:lang w:val="es-ES_tradnl"/>
        </w:rPr>
        <w:t xml:space="preserve">que estaba vigente al producirse el devengo del tributo; es </w:t>
      </w:r>
      <w:r>
        <w:rPr>
          <w:spacing w:val="-6"/>
          <w:sz w:val="18"/>
          <w:szCs w:val="18"/>
          <w:lang w:val="es-ES_tradnl"/>
        </w:rPr>
        <w:t>decir, el d</w:t>
      </w:r>
      <w:r>
        <w:rPr>
          <w:rFonts w:cs="Times New Roman"/>
          <w:spacing w:val="-6"/>
          <w:sz w:val="18"/>
          <w:szCs w:val="18"/>
          <w:lang w:val="es-ES_tradnl"/>
        </w:rPr>
        <w:t>í</w:t>
      </w:r>
      <w:r>
        <w:rPr>
          <w:spacing w:val="-6"/>
          <w:sz w:val="18"/>
          <w:szCs w:val="18"/>
          <w:lang w:val="es-ES_tradnl"/>
        </w:rPr>
        <w:t>a en que nace la obligaci</w:t>
      </w:r>
      <w:r>
        <w:rPr>
          <w:rFonts w:cs="Times New Roman"/>
          <w:spacing w:val="-6"/>
          <w:sz w:val="18"/>
          <w:szCs w:val="18"/>
          <w:lang w:val="es-ES_tradnl"/>
        </w:rPr>
        <w:t>ó</w:t>
      </w:r>
      <w:r>
        <w:rPr>
          <w:spacing w:val="-6"/>
          <w:sz w:val="18"/>
          <w:szCs w:val="18"/>
          <w:lang w:val="es-ES_tradnl"/>
        </w:rPr>
        <w:t>n tributaria</w:t>
      </w:r>
      <w:r>
        <w:rPr>
          <w:rFonts w:cs="Times New Roman"/>
          <w:spacing w:val="-6"/>
          <w:sz w:val="18"/>
          <w:szCs w:val="18"/>
          <w:lang w:val="es-ES_tradnl"/>
        </w:rPr>
        <w:t>”</w:t>
      </w:r>
      <w:r>
        <w:rPr>
          <w:spacing w:val="-6"/>
          <w:sz w:val="18"/>
          <w:szCs w:val="18"/>
          <w:vertAlign w:val="superscript"/>
          <w:lang w:val="es-ES_tradnl"/>
        </w:rPr>
        <w:t>5</w:t>
      </w:r>
      <w:r>
        <w:rPr>
          <w:spacing w:val="-6"/>
          <w:sz w:val="18"/>
          <w:szCs w:val="18"/>
          <w:lang w:val="es-ES_tradnl"/>
        </w:rPr>
        <w:t>.</w:t>
      </w:r>
    </w:p>
    <w:p w14:paraId="4F67B765" w14:textId="77777777" w:rsidR="00591D54" w:rsidRDefault="00591D54">
      <w:pPr>
        <w:shd w:val="clear" w:color="auto" w:fill="FFFFFF"/>
        <w:spacing w:before="192" w:line="216" w:lineRule="exact"/>
        <w:ind w:right="5"/>
        <w:jc w:val="both"/>
      </w:pPr>
      <w:r>
        <w:rPr>
          <w:sz w:val="18"/>
          <w:szCs w:val="18"/>
          <w:lang w:val="es-ES_tradnl"/>
        </w:rPr>
        <w:t xml:space="preserve">En su debido momento, la Corte Constitucional, para </w:t>
      </w:r>
      <w:r>
        <w:rPr>
          <w:spacing w:val="-5"/>
          <w:sz w:val="18"/>
          <w:szCs w:val="18"/>
          <w:lang w:val="es-ES_tradnl"/>
        </w:rPr>
        <w:t>el per</w:t>
      </w:r>
      <w:r>
        <w:rPr>
          <w:rFonts w:cs="Times New Roman"/>
          <w:spacing w:val="-5"/>
          <w:sz w:val="18"/>
          <w:szCs w:val="18"/>
          <w:lang w:val="es-ES_tradnl"/>
        </w:rPr>
        <w:t>í</w:t>
      </w:r>
      <w:r>
        <w:rPr>
          <w:spacing w:val="-5"/>
          <w:sz w:val="18"/>
          <w:szCs w:val="18"/>
          <w:lang w:val="es-ES_tradnl"/>
        </w:rPr>
        <w:t>odo de transici</w:t>
      </w:r>
      <w:r>
        <w:rPr>
          <w:rFonts w:cs="Times New Roman"/>
          <w:spacing w:val="-5"/>
          <w:sz w:val="18"/>
          <w:szCs w:val="18"/>
          <w:lang w:val="es-ES_tradnl"/>
        </w:rPr>
        <w:t>ó</w:t>
      </w:r>
      <w:r>
        <w:rPr>
          <w:spacing w:val="-5"/>
          <w:sz w:val="18"/>
          <w:szCs w:val="18"/>
          <w:lang w:val="es-ES_tradnl"/>
        </w:rPr>
        <w:t>n, al referirse a este principio y la seguridad  jur</w:t>
      </w:r>
      <w:r>
        <w:rPr>
          <w:rFonts w:cs="Times New Roman"/>
          <w:spacing w:val="-5"/>
          <w:sz w:val="18"/>
          <w:szCs w:val="18"/>
          <w:lang w:val="es-ES_tradnl"/>
        </w:rPr>
        <w:t>í</w:t>
      </w:r>
      <w:r>
        <w:rPr>
          <w:spacing w:val="-5"/>
          <w:sz w:val="18"/>
          <w:szCs w:val="18"/>
          <w:lang w:val="es-ES_tradnl"/>
        </w:rPr>
        <w:t>dica,  expres</w:t>
      </w:r>
      <w:r>
        <w:rPr>
          <w:rFonts w:cs="Times New Roman"/>
          <w:spacing w:val="-5"/>
          <w:sz w:val="18"/>
          <w:szCs w:val="18"/>
          <w:lang w:val="es-ES_tradnl"/>
        </w:rPr>
        <w:t>ó</w:t>
      </w:r>
      <w:r>
        <w:rPr>
          <w:spacing w:val="-5"/>
          <w:sz w:val="18"/>
          <w:szCs w:val="18"/>
          <w:lang w:val="es-ES_tradnl"/>
        </w:rPr>
        <w:t xml:space="preserve">  mediante  la  sentencia  N.</w:t>
      </w:r>
      <w:r>
        <w:rPr>
          <w:rFonts w:cs="Times New Roman"/>
          <w:spacing w:val="-5"/>
          <w:sz w:val="18"/>
          <w:szCs w:val="18"/>
          <w:lang w:val="es-ES_tradnl"/>
        </w:rPr>
        <w:t>º</w:t>
      </w:r>
    </w:p>
    <w:p w14:paraId="4F67B766" w14:textId="77777777" w:rsidR="00591D54" w:rsidRDefault="00591D54">
      <w:pPr>
        <w:shd w:val="clear" w:color="auto" w:fill="FFFFFF"/>
      </w:pPr>
      <w:r>
        <w:rPr>
          <w:spacing w:val="-7"/>
          <w:sz w:val="18"/>
          <w:szCs w:val="18"/>
          <w:lang w:val="es-ES_tradnl"/>
        </w:rPr>
        <w:t>026-10-SCN-CC</w:t>
      </w:r>
      <w:r>
        <w:rPr>
          <w:spacing w:val="-7"/>
          <w:sz w:val="18"/>
          <w:szCs w:val="18"/>
          <w:vertAlign w:val="superscript"/>
          <w:lang w:val="es-ES_tradnl"/>
        </w:rPr>
        <w:t>6</w:t>
      </w:r>
      <w:r>
        <w:rPr>
          <w:spacing w:val="-7"/>
          <w:sz w:val="18"/>
          <w:szCs w:val="18"/>
          <w:lang w:val="es-ES_tradnl"/>
        </w:rPr>
        <w:t xml:space="preserve"> lo siguiente:</w:t>
      </w:r>
    </w:p>
    <w:p w14:paraId="4F67B767" w14:textId="77777777" w:rsidR="00591D54" w:rsidRDefault="00591D54">
      <w:pPr>
        <w:shd w:val="clear" w:color="auto" w:fill="FFFFFF"/>
        <w:spacing w:before="202" w:line="216" w:lineRule="exact"/>
        <w:ind w:left="283"/>
        <w:jc w:val="both"/>
      </w:pPr>
      <w:r>
        <w:rPr>
          <w:sz w:val="14"/>
          <w:szCs w:val="14"/>
          <w:lang w:val="es-ES_tradnl"/>
        </w:rPr>
        <w:t xml:space="preserve">Al referirnos al principio de irretroactividad, debemos necesariamente entender que tal principio coexiste de manera conjunta con el principio de seguridad. Al respecto, la palabra seguridad proviene de </w:t>
      </w:r>
      <w:r>
        <w:rPr>
          <w:i/>
          <w:iCs/>
          <w:sz w:val="14"/>
          <w:szCs w:val="14"/>
          <w:lang w:val="es-ES_tradnl"/>
        </w:rPr>
        <w:t>securitas</w:t>
      </w:r>
      <w:r>
        <w:rPr>
          <w:sz w:val="14"/>
          <w:szCs w:val="14"/>
          <w:lang w:val="es-ES_tradnl"/>
        </w:rPr>
        <w:t xml:space="preserve">, la cual deriva del adjetivo </w:t>
      </w:r>
      <w:r>
        <w:rPr>
          <w:i/>
          <w:iCs/>
          <w:sz w:val="14"/>
          <w:szCs w:val="14"/>
          <w:lang w:val="es-ES_tradnl"/>
        </w:rPr>
        <w:t xml:space="preserve">securus </w:t>
      </w:r>
      <w:r>
        <w:rPr>
          <w:sz w:val="14"/>
          <w:szCs w:val="14"/>
          <w:lang w:val="es-ES_tradnl"/>
        </w:rPr>
        <w:t>(de secura) que, significa estar libre de cuidados. En sentido amplio, la palabra seguridad indica la situaci</w:t>
      </w:r>
      <w:r>
        <w:rPr>
          <w:rFonts w:cs="Times New Roman"/>
          <w:sz w:val="14"/>
          <w:szCs w:val="14"/>
          <w:lang w:val="es-ES_tradnl"/>
        </w:rPr>
        <w:t>ó</w:t>
      </w:r>
      <w:r>
        <w:rPr>
          <w:sz w:val="14"/>
          <w:szCs w:val="14"/>
          <w:lang w:val="es-ES_tradnl"/>
        </w:rPr>
        <w:t xml:space="preserve">n de estar alguien seguro frente a un peligro. </w:t>
      </w:r>
      <w:r>
        <w:rPr>
          <w:b/>
          <w:bCs/>
          <w:sz w:val="14"/>
          <w:szCs w:val="14"/>
          <w:lang w:val="es-ES_tradnl"/>
        </w:rPr>
        <w:t>Es por esto que el principio de irretroactividad es una expresi</w:t>
      </w:r>
      <w:r>
        <w:rPr>
          <w:rFonts w:cs="Times New Roman"/>
          <w:b/>
          <w:bCs/>
          <w:sz w:val="14"/>
          <w:szCs w:val="14"/>
          <w:lang w:val="es-ES_tradnl"/>
        </w:rPr>
        <w:t>ó</w:t>
      </w:r>
      <w:r>
        <w:rPr>
          <w:b/>
          <w:bCs/>
          <w:sz w:val="14"/>
          <w:szCs w:val="14"/>
          <w:lang w:val="es-ES_tradnl"/>
        </w:rPr>
        <w:t>n del valor de seguridad jur</w:t>
      </w:r>
      <w:r>
        <w:rPr>
          <w:rFonts w:cs="Times New Roman"/>
          <w:b/>
          <w:bCs/>
          <w:sz w:val="14"/>
          <w:szCs w:val="14"/>
          <w:lang w:val="es-ES_tradnl"/>
        </w:rPr>
        <w:t>í</w:t>
      </w:r>
      <w:r>
        <w:rPr>
          <w:b/>
          <w:bCs/>
          <w:sz w:val="14"/>
          <w:szCs w:val="14"/>
          <w:lang w:val="es-ES_tradnl"/>
        </w:rPr>
        <w:t xml:space="preserve">dica </w:t>
      </w:r>
      <w:r>
        <w:rPr>
          <w:sz w:val="14"/>
          <w:szCs w:val="14"/>
          <w:lang w:val="es-ES_tradnl"/>
        </w:rPr>
        <w:t>(</w:t>
      </w:r>
      <w:r>
        <w:rPr>
          <w:rFonts w:cs="Times New Roman"/>
          <w:sz w:val="14"/>
          <w:szCs w:val="14"/>
          <w:lang w:val="es-ES_tradnl"/>
        </w:rPr>
        <w:t>é</w:t>
      </w:r>
      <w:r>
        <w:rPr>
          <w:sz w:val="14"/>
          <w:szCs w:val="14"/>
          <w:lang w:val="es-ES_tradnl"/>
        </w:rPr>
        <w:t>nfasis fuera del texto original), y en nuestro ordenamiento constitucional el principio de la</w:t>
      </w:r>
    </w:p>
    <w:p w14:paraId="4F67B768" w14:textId="77777777" w:rsidR="00591D54" w:rsidRDefault="00591D54">
      <w:pPr>
        <w:shd w:val="clear" w:color="auto" w:fill="FFFFFF"/>
        <w:tabs>
          <w:tab w:val="left" w:pos="139"/>
        </w:tabs>
        <w:spacing w:before="576" w:line="178" w:lineRule="exact"/>
        <w:ind w:left="139" w:right="5" w:hanging="139"/>
        <w:jc w:val="both"/>
      </w:pPr>
      <w:r>
        <w:rPr>
          <w:sz w:val="10"/>
          <w:szCs w:val="10"/>
          <w:vertAlign w:val="superscript"/>
          <w:lang w:val="es-ES_tradnl"/>
        </w:rPr>
        <w:t>4</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º</w:t>
      </w:r>
      <w:r>
        <w:rPr>
          <w:sz w:val="18"/>
          <w:szCs w:val="18"/>
          <w:lang w:val="es-ES_tradnl"/>
        </w:rPr>
        <w:t xml:space="preserve"> </w:t>
      </w:r>
      <w:r>
        <w:rPr>
          <w:sz w:val="14"/>
          <w:szCs w:val="14"/>
          <w:lang w:val="es-ES_tradnl"/>
        </w:rPr>
        <w:t>016-15-SIN-CC, caso N.</w:t>
      </w:r>
      <w:r>
        <w:rPr>
          <w:rFonts w:cs="Times New Roman"/>
          <w:sz w:val="14"/>
          <w:szCs w:val="14"/>
          <w:lang w:val="es-ES_tradnl"/>
        </w:rPr>
        <w:t>º</w:t>
      </w:r>
      <w:r>
        <w:rPr>
          <w:sz w:val="14"/>
          <w:szCs w:val="14"/>
          <w:lang w:val="es-ES_tradnl"/>
        </w:rPr>
        <w:t xml:space="preserve"> 0055-14-IN.</w:t>
      </w:r>
    </w:p>
    <w:p w14:paraId="4F67B769" w14:textId="77777777" w:rsidR="00591D54" w:rsidRDefault="00591D54">
      <w:pPr>
        <w:shd w:val="clear" w:color="auto" w:fill="FFFFFF"/>
        <w:tabs>
          <w:tab w:val="left" w:pos="139"/>
        </w:tabs>
        <w:spacing w:before="154" w:line="178" w:lineRule="exact"/>
        <w:ind w:left="139" w:hanging="139"/>
        <w:jc w:val="both"/>
      </w:pPr>
      <w:r>
        <w:rPr>
          <w:sz w:val="10"/>
          <w:szCs w:val="10"/>
          <w:vertAlign w:val="superscript"/>
          <w:lang w:val="es-ES_tradnl"/>
        </w:rPr>
        <w:t>5</w:t>
      </w:r>
      <w:r>
        <w:rPr>
          <w:sz w:val="18"/>
          <w:szCs w:val="18"/>
          <w:lang w:val="es-ES_tradnl"/>
        </w:rPr>
        <w:tab/>
      </w:r>
      <w:r>
        <w:rPr>
          <w:sz w:val="14"/>
          <w:szCs w:val="14"/>
          <w:lang w:val="es-ES_tradnl"/>
        </w:rPr>
        <w:t>Obtenido</w:t>
      </w:r>
      <w:r>
        <w:rPr>
          <w:sz w:val="18"/>
          <w:szCs w:val="18"/>
          <w:lang w:val="es-ES_tradnl"/>
        </w:rPr>
        <w:t xml:space="preserve"> </w:t>
      </w:r>
      <w:r>
        <w:rPr>
          <w:sz w:val="14"/>
          <w:szCs w:val="14"/>
          <w:lang w:val="es-ES_tradnl"/>
        </w:rPr>
        <w:t>desde</w:t>
      </w:r>
      <w:r>
        <w:rPr>
          <w:sz w:val="18"/>
          <w:szCs w:val="18"/>
          <w:lang w:val="es-ES_tradnl"/>
        </w:rPr>
        <w:t xml:space="preserve"> </w:t>
      </w:r>
      <w:r>
        <w:rPr>
          <w:sz w:val="14"/>
          <w:szCs w:val="14"/>
          <w:lang w:val="es-ES_tradnl"/>
        </w:rPr>
        <w:t>la</w:t>
      </w:r>
      <w:r>
        <w:rPr>
          <w:sz w:val="18"/>
          <w:szCs w:val="18"/>
          <w:lang w:val="es-ES_tradnl"/>
        </w:rPr>
        <w:t xml:space="preserve"> </w:t>
      </w:r>
      <w:r>
        <w:rPr>
          <w:sz w:val="14"/>
          <w:szCs w:val="14"/>
          <w:lang w:val="es-ES_tradnl"/>
        </w:rPr>
        <w:t>p</w:t>
      </w:r>
      <w:r>
        <w:rPr>
          <w:rFonts w:cs="Times New Roman"/>
          <w:sz w:val="14"/>
          <w:szCs w:val="14"/>
          <w:lang w:val="es-ES_tradnl"/>
        </w:rPr>
        <w:t>á</w:t>
      </w:r>
      <w:r>
        <w:rPr>
          <w:sz w:val="14"/>
          <w:szCs w:val="14"/>
          <w:lang w:val="es-ES_tradnl"/>
        </w:rPr>
        <w:t>gina</w:t>
      </w:r>
      <w:r>
        <w:rPr>
          <w:sz w:val="18"/>
          <w:szCs w:val="18"/>
          <w:lang w:val="es-ES_tradnl"/>
        </w:rPr>
        <w:t xml:space="preserve"> </w:t>
      </w:r>
      <w:r>
        <w:rPr>
          <w:sz w:val="14"/>
          <w:szCs w:val="14"/>
          <w:lang w:val="es-ES_tradnl"/>
        </w:rPr>
        <w:t>web</w:t>
      </w:r>
      <w:r>
        <w:rPr>
          <w:sz w:val="18"/>
          <w:szCs w:val="18"/>
          <w:lang w:val="es-ES_tradnl"/>
        </w:rPr>
        <w:t xml:space="preserve"> </w:t>
      </w:r>
      <w:hyperlink r:id="rId14" w:history="1">
        <w:r>
          <w:rPr>
            <w:sz w:val="14"/>
            <w:szCs w:val="14"/>
            <w:u w:val="single"/>
            <w:lang w:val="es-ES_tradnl"/>
          </w:rPr>
          <w:t>http://www.enciclopedia-juridica</w:t>
        </w:r>
      </w:hyperlink>
      <w:r>
        <w:rPr>
          <w:sz w:val="14"/>
          <w:szCs w:val="14"/>
          <w:u w:val="single"/>
          <w:lang w:val="es-ES_tradnl"/>
        </w:rPr>
        <w:t>. biz14.com/d/irretroactividad-de-normas-tributarias/irretroactividad- </w:t>
      </w:r>
      <w:r>
        <w:rPr>
          <w:spacing w:val="-1"/>
          <w:sz w:val="14"/>
          <w:szCs w:val="14"/>
          <w:u w:val="single"/>
          <w:lang w:val="es-ES_tradnl"/>
        </w:rPr>
        <w:t>de-normas-tributarias.htm</w:t>
      </w:r>
      <w:r>
        <w:rPr>
          <w:spacing w:val="-1"/>
          <w:sz w:val="14"/>
          <w:szCs w:val="14"/>
          <w:lang w:val="es-ES_tradnl"/>
        </w:rPr>
        <w:t>, el 05 de junio de 2015.</w:t>
      </w:r>
    </w:p>
    <w:p w14:paraId="4F67B76A" w14:textId="77777777" w:rsidR="00591D54" w:rsidRDefault="00591D54">
      <w:pPr>
        <w:shd w:val="clear" w:color="auto" w:fill="FFFFFF"/>
        <w:tabs>
          <w:tab w:val="left" w:pos="139"/>
        </w:tabs>
        <w:spacing w:before="149" w:line="178" w:lineRule="exact"/>
        <w:ind w:left="139" w:right="5" w:hanging="139"/>
        <w:jc w:val="both"/>
      </w:pPr>
      <w:r>
        <w:rPr>
          <w:sz w:val="10"/>
          <w:szCs w:val="10"/>
          <w:vertAlign w:val="superscript"/>
          <w:lang w:val="es-ES_tradnl"/>
        </w:rPr>
        <w:t>6</w:t>
      </w:r>
      <w:r>
        <w:rPr>
          <w:sz w:val="18"/>
          <w:szCs w:val="18"/>
          <w:lang w:val="es-ES_tradnl"/>
        </w:rPr>
        <w:tab/>
      </w:r>
      <w:r>
        <w:rPr>
          <w:spacing w:val="-1"/>
          <w:sz w:val="14"/>
          <w:szCs w:val="14"/>
          <w:lang w:val="es-ES_tradnl"/>
        </w:rPr>
        <w:t>Corte</w:t>
      </w:r>
      <w:r>
        <w:rPr>
          <w:spacing w:val="-1"/>
          <w:sz w:val="18"/>
          <w:szCs w:val="18"/>
          <w:lang w:val="es-ES_tradnl"/>
        </w:rPr>
        <w:t xml:space="preserve"> </w:t>
      </w:r>
      <w:r>
        <w:rPr>
          <w:spacing w:val="-1"/>
          <w:sz w:val="14"/>
          <w:szCs w:val="14"/>
          <w:lang w:val="es-ES_tradnl"/>
        </w:rPr>
        <w:t>Constitucional</w:t>
      </w:r>
      <w:r>
        <w:rPr>
          <w:spacing w:val="-1"/>
          <w:sz w:val="18"/>
          <w:szCs w:val="18"/>
          <w:lang w:val="es-ES_tradnl"/>
        </w:rPr>
        <w:t xml:space="preserve"> </w:t>
      </w:r>
      <w:r>
        <w:rPr>
          <w:spacing w:val="-1"/>
          <w:sz w:val="14"/>
          <w:szCs w:val="14"/>
          <w:lang w:val="es-ES_tradnl"/>
        </w:rPr>
        <w:t>del</w:t>
      </w:r>
      <w:r>
        <w:rPr>
          <w:spacing w:val="-1"/>
          <w:sz w:val="18"/>
          <w:szCs w:val="18"/>
          <w:lang w:val="es-ES_tradnl"/>
        </w:rPr>
        <w:t xml:space="preserve"> </w:t>
      </w:r>
      <w:r>
        <w:rPr>
          <w:spacing w:val="-1"/>
          <w:sz w:val="14"/>
          <w:szCs w:val="14"/>
          <w:lang w:val="es-ES_tradnl"/>
        </w:rPr>
        <w:t>Ecuador,</w:t>
      </w:r>
      <w:r>
        <w:rPr>
          <w:spacing w:val="-1"/>
          <w:sz w:val="18"/>
          <w:szCs w:val="18"/>
          <w:lang w:val="es-ES_tradnl"/>
        </w:rPr>
        <w:t xml:space="preserve"> </w:t>
      </w:r>
      <w:r>
        <w:rPr>
          <w:spacing w:val="-1"/>
          <w:sz w:val="14"/>
          <w:szCs w:val="14"/>
          <w:lang w:val="es-ES_tradnl"/>
        </w:rPr>
        <w:t>para</w:t>
      </w:r>
      <w:r>
        <w:rPr>
          <w:spacing w:val="-1"/>
          <w:sz w:val="18"/>
          <w:szCs w:val="18"/>
          <w:lang w:val="es-ES_tradnl"/>
        </w:rPr>
        <w:t xml:space="preserve"> </w:t>
      </w:r>
      <w:r>
        <w:rPr>
          <w:spacing w:val="-1"/>
          <w:sz w:val="14"/>
          <w:szCs w:val="14"/>
          <w:lang w:val="es-ES_tradnl"/>
        </w:rPr>
        <w:t>el</w:t>
      </w:r>
      <w:r>
        <w:rPr>
          <w:spacing w:val="-1"/>
          <w:sz w:val="18"/>
          <w:szCs w:val="18"/>
          <w:lang w:val="es-ES_tradnl"/>
        </w:rPr>
        <w:t xml:space="preserve"> </w:t>
      </w:r>
      <w:r>
        <w:rPr>
          <w:spacing w:val="-1"/>
          <w:sz w:val="14"/>
          <w:szCs w:val="14"/>
          <w:lang w:val="es-ES_tradnl"/>
        </w:rPr>
        <w:t>per</w:t>
      </w:r>
      <w:r>
        <w:rPr>
          <w:rFonts w:cs="Times New Roman"/>
          <w:spacing w:val="-1"/>
          <w:sz w:val="14"/>
          <w:szCs w:val="14"/>
          <w:lang w:val="es-ES_tradnl"/>
        </w:rPr>
        <w:t>í</w:t>
      </w:r>
      <w:r>
        <w:rPr>
          <w:spacing w:val="-1"/>
          <w:sz w:val="14"/>
          <w:szCs w:val="14"/>
          <w:lang w:val="es-ES_tradnl"/>
        </w:rPr>
        <w:t>odo</w:t>
      </w:r>
      <w:r>
        <w:rPr>
          <w:spacing w:val="-1"/>
          <w:sz w:val="18"/>
          <w:szCs w:val="18"/>
          <w:lang w:val="es-ES_tradnl"/>
        </w:rPr>
        <w:t xml:space="preserve"> </w:t>
      </w:r>
      <w:r>
        <w:rPr>
          <w:spacing w:val="-1"/>
          <w:sz w:val="14"/>
          <w:szCs w:val="14"/>
          <w:lang w:val="es-ES_tradnl"/>
        </w:rPr>
        <w:t>de</w:t>
      </w:r>
      <w:r>
        <w:rPr>
          <w:spacing w:val="-1"/>
          <w:sz w:val="18"/>
          <w:szCs w:val="18"/>
          <w:lang w:val="es-ES_tradnl"/>
        </w:rPr>
        <w:t xml:space="preserve"> </w:t>
      </w:r>
      <w:r>
        <w:rPr>
          <w:spacing w:val="-1"/>
          <w:sz w:val="14"/>
          <w:szCs w:val="14"/>
          <w:lang w:val="es-ES_tradnl"/>
        </w:rPr>
        <w:t>transici</w:t>
      </w:r>
      <w:r>
        <w:rPr>
          <w:rFonts w:cs="Times New Roman"/>
          <w:spacing w:val="-1"/>
          <w:sz w:val="14"/>
          <w:szCs w:val="14"/>
          <w:lang w:val="es-ES_tradnl"/>
        </w:rPr>
        <w:t>ó</w:t>
      </w:r>
      <w:r>
        <w:rPr>
          <w:spacing w:val="-1"/>
          <w:sz w:val="14"/>
          <w:szCs w:val="14"/>
          <w:lang w:val="es-ES_tradnl"/>
        </w:rPr>
        <w:t>n, sentencia N.</w:t>
      </w:r>
      <w:r>
        <w:rPr>
          <w:rFonts w:cs="Times New Roman"/>
          <w:spacing w:val="-1"/>
          <w:sz w:val="14"/>
          <w:szCs w:val="14"/>
          <w:lang w:val="es-ES_tradnl"/>
        </w:rPr>
        <w:t>º</w:t>
      </w:r>
      <w:r>
        <w:rPr>
          <w:spacing w:val="-1"/>
          <w:sz w:val="14"/>
          <w:szCs w:val="14"/>
          <w:lang w:val="es-ES_tradnl"/>
        </w:rPr>
        <w:t xml:space="preserve"> 026-10-SCN-CC, caso N.</w:t>
      </w:r>
      <w:r>
        <w:rPr>
          <w:rFonts w:cs="Times New Roman"/>
          <w:spacing w:val="-1"/>
          <w:sz w:val="14"/>
          <w:szCs w:val="14"/>
          <w:lang w:val="es-ES_tradnl"/>
        </w:rPr>
        <w:t>º</w:t>
      </w:r>
      <w:r>
        <w:rPr>
          <w:spacing w:val="-1"/>
          <w:sz w:val="14"/>
          <w:szCs w:val="14"/>
          <w:lang w:val="es-ES_tradnl"/>
        </w:rPr>
        <w:t xml:space="preserve"> 0025-10-CN.</w:t>
      </w:r>
    </w:p>
    <w:p w14:paraId="4F67B76B" w14:textId="77777777" w:rsidR="00591D54" w:rsidRDefault="00591D54">
      <w:pPr>
        <w:shd w:val="clear" w:color="auto" w:fill="FFFFFF"/>
        <w:spacing w:line="221" w:lineRule="exact"/>
        <w:ind w:left="283"/>
        <w:jc w:val="both"/>
      </w:pPr>
      <w:r>
        <w:br w:type="column"/>
      </w:r>
      <w:r>
        <w:rPr>
          <w:sz w:val="14"/>
          <w:szCs w:val="14"/>
          <w:lang w:val="es-ES_tradnl"/>
        </w:rPr>
        <w:t>irretroactividad se entiende como un planteamiento b</w:t>
      </w:r>
      <w:r>
        <w:rPr>
          <w:rFonts w:cs="Times New Roman"/>
          <w:sz w:val="14"/>
          <w:szCs w:val="14"/>
          <w:lang w:val="es-ES_tradnl"/>
        </w:rPr>
        <w:t>á</w:t>
      </w:r>
      <w:r>
        <w:rPr>
          <w:sz w:val="14"/>
          <w:szCs w:val="14"/>
          <w:lang w:val="es-ES_tradnl"/>
        </w:rPr>
        <w:t>sico de la organizaci</w:t>
      </w:r>
      <w:r>
        <w:rPr>
          <w:rFonts w:cs="Times New Roman"/>
          <w:sz w:val="14"/>
          <w:szCs w:val="14"/>
          <w:lang w:val="es-ES_tradnl"/>
        </w:rPr>
        <w:t>ó</w:t>
      </w:r>
      <w:r>
        <w:rPr>
          <w:sz w:val="14"/>
          <w:szCs w:val="14"/>
          <w:lang w:val="es-ES_tradnl"/>
        </w:rPr>
        <w:t>n jur</w:t>
      </w:r>
      <w:r>
        <w:rPr>
          <w:rFonts w:cs="Times New Roman"/>
          <w:sz w:val="14"/>
          <w:szCs w:val="14"/>
          <w:lang w:val="es-ES_tradnl"/>
        </w:rPr>
        <w:t>í</w:t>
      </w:r>
      <w:r>
        <w:rPr>
          <w:sz w:val="14"/>
          <w:szCs w:val="14"/>
          <w:lang w:val="es-ES_tradnl"/>
        </w:rPr>
        <w:t>dica del Estado, pues la seguridad de los ciudadanos y la propia equidad exigen que las situaciones creadas al amparo de la anterior norma se conserven o, al menos, que los derechos adquiridos se mantengan y respeten a pesar de que la nueva norma no prevea derechos semejantes para el futuro. Es decir, que las normas no tienen efecto alguno en situaciones ocurridas antes de su promulgaci</w:t>
      </w:r>
      <w:r>
        <w:rPr>
          <w:rFonts w:cs="Times New Roman"/>
          <w:sz w:val="14"/>
          <w:szCs w:val="14"/>
          <w:lang w:val="es-ES_tradnl"/>
        </w:rPr>
        <w:t>ó</w:t>
      </w:r>
      <w:r>
        <w:rPr>
          <w:sz w:val="14"/>
          <w:szCs w:val="14"/>
          <w:lang w:val="es-ES_tradnl"/>
        </w:rPr>
        <w:t xml:space="preserve">n, salvo que </w:t>
      </w:r>
      <w:r>
        <w:rPr>
          <w:spacing w:val="-1"/>
          <w:sz w:val="14"/>
          <w:szCs w:val="14"/>
          <w:lang w:val="es-ES_tradnl"/>
        </w:rPr>
        <w:t xml:space="preserve">en ellas se disponga lo contrario, y en la especie lo que se puede </w:t>
      </w:r>
      <w:r>
        <w:rPr>
          <w:sz w:val="14"/>
          <w:szCs w:val="14"/>
          <w:lang w:val="es-ES_tradnl"/>
        </w:rPr>
        <w:t>verificar es que la administraci</w:t>
      </w:r>
      <w:r>
        <w:rPr>
          <w:rFonts w:cs="Times New Roman"/>
          <w:sz w:val="14"/>
          <w:szCs w:val="14"/>
          <w:lang w:val="es-ES_tradnl"/>
        </w:rPr>
        <w:t>ó</w:t>
      </w:r>
      <w:r>
        <w:rPr>
          <w:sz w:val="14"/>
          <w:szCs w:val="14"/>
          <w:lang w:val="es-ES_tradnl"/>
        </w:rPr>
        <w:t>n tributaria, por concepto del impuesto a la renta del ejercicio fiscal del a</w:t>
      </w:r>
      <w:r>
        <w:rPr>
          <w:rFonts w:cs="Times New Roman"/>
          <w:sz w:val="14"/>
          <w:szCs w:val="14"/>
          <w:lang w:val="es-ES_tradnl"/>
        </w:rPr>
        <w:t>ñ</w:t>
      </w:r>
      <w:r>
        <w:rPr>
          <w:sz w:val="14"/>
          <w:szCs w:val="14"/>
          <w:lang w:val="es-ES_tradnl"/>
        </w:rPr>
        <w:t>o 2005, levant</w:t>
      </w:r>
      <w:r>
        <w:rPr>
          <w:rFonts w:cs="Times New Roman"/>
          <w:sz w:val="14"/>
          <w:szCs w:val="14"/>
          <w:lang w:val="es-ES_tradnl"/>
        </w:rPr>
        <w:t xml:space="preserve">ó </w:t>
      </w:r>
      <w:r>
        <w:rPr>
          <w:sz w:val="14"/>
          <w:szCs w:val="14"/>
          <w:lang w:val="es-ES_tradnl"/>
        </w:rPr>
        <w:t>una glosa en contra del administrado con normativas legales creadas y promulgadas en lo posterior.</w:t>
      </w:r>
    </w:p>
    <w:p w14:paraId="4F67B76C" w14:textId="77777777" w:rsidR="00591D54" w:rsidRDefault="00591D54">
      <w:pPr>
        <w:shd w:val="clear" w:color="auto" w:fill="FFFFFF"/>
        <w:spacing w:before="206" w:line="221" w:lineRule="exact"/>
        <w:jc w:val="both"/>
      </w:pPr>
      <w:r>
        <w:rPr>
          <w:spacing w:val="-8"/>
          <w:sz w:val="18"/>
          <w:szCs w:val="18"/>
          <w:lang w:val="es-ES_tradnl"/>
        </w:rPr>
        <w:t>Esta menci</w:t>
      </w:r>
      <w:r>
        <w:rPr>
          <w:rFonts w:cs="Times New Roman"/>
          <w:spacing w:val="-8"/>
          <w:sz w:val="18"/>
          <w:szCs w:val="18"/>
          <w:lang w:val="es-ES_tradnl"/>
        </w:rPr>
        <w:t>ó</w:t>
      </w:r>
      <w:r>
        <w:rPr>
          <w:spacing w:val="-8"/>
          <w:sz w:val="18"/>
          <w:szCs w:val="18"/>
          <w:lang w:val="es-ES_tradnl"/>
        </w:rPr>
        <w:t>n resulta importante en el presente an</w:t>
      </w:r>
      <w:r>
        <w:rPr>
          <w:rFonts w:cs="Times New Roman"/>
          <w:spacing w:val="-8"/>
          <w:sz w:val="18"/>
          <w:szCs w:val="18"/>
          <w:lang w:val="es-ES_tradnl"/>
        </w:rPr>
        <w:t>á</w:t>
      </w:r>
      <w:r>
        <w:rPr>
          <w:spacing w:val="-8"/>
          <w:sz w:val="18"/>
          <w:szCs w:val="18"/>
          <w:lang w:val="es-ES_tradnl"/>
        </w:rPr>
        <w:t xml:space="preserve">lisis por </w:t>
      </w:r>
      <w:r>
        <w:rPr>
          <w:spacing w:val="-7"/>
          <w:sz w:val="18"/>
          <w:szCs w:val="18"/>
          <w:lang w:val="es-ES_tradnl"/>
        </w:rPr>
        <w:t xml:space="preserve">cuanto el accionante ha alegado de modo principal que la </w:t>
      </w:r>
      <w:r>
        <w:rPr>
          <w:spacing w:val="-6"/>
          <w:sz w:val="18"/>
          <w:szCs w:val="18"/>
          <w:lang w:val="es-ES_tradnl"/>
        </w:rPr>
        <w:t>administraci</w:t>
      </w:r>
      <w:r>
        <w:rPr>
          <w:rFonts w:cs="Times New Roman"/>
          <w:spacing w:val="-6"/>
          <w:sz w:val="18"/>
          <w:szCs w:val="18"/>
          <w:lang w:val="es-ES_tradnl"/>
        </w:rPr>
        <w:t>ó</w:t>
      </w:r>
      <w:r>
        <w:rPr>
          <w:spacing w:val="-6"/>
          <w:sz w:val="18"/>
          <w:szCs w:val="18"/>
          <w:lang w:val="es-ES_tradnl"/>
        </w:rPr>
        <w:t>n tributaria correspond</w:t>
      </w:r>
      <w:r>
        <w:rPr>
          <w:rFonts w:cs="Times New Roman"/>
          <w:spacing w:val="-6"/>
          <w:sz w:val="18"/>
          <w:szCs w:val="18"/>
          <w:lang w:val="es-ES_tradnl"/>
        </w:rPr>
        <w:t>í</w:t>
      </w:r>
      <w:r>
        <w:rPr>
          <w:spacing w:val="-6"/>
          <w:sz w:val="18"/>
          <w:szCs w:val="18"/>
          <w:lang w:val="es-ES_tradnl"/>
        </w:rPr>
        <w:t xml:space="preserve">a al presidente de la </w:t>
      </w:r>
      <w:r>
        <w:rPr>
          <w:spacing w:val="-8"/>
          <w:sz w:val="18"/>
          <w:szCs w:val="18"/>
          <w:lang w:val="es-ES_tradnl"/>
        </w:rPr>
        <w:t>Rep</w:t>
      </w:r>
      <w:r>
        <w:rPr>
          <w:rFonts w:cs="Times New Roman"/>
          <w:spacing w:val="-8"/>
          <w:sz w:val="18"/>
          <w:szCs w:val="18"/>
          <w:lang w:val="es-ES_tradnl"/>
        </w:rPr>
        <w:t>ú</w:t>
      </w:r>
      <w:r>
        <w:rPr>
          <w:spacing w:val="-8"/>
          <w:sz w:val="18"/>
          <w:szCs w:val="18"/>
          <w:lang w:val="es-ES_tradnl"/>
        </w:rPr>
        <w:t>blica de conformidad con el art</w:t>
      </w:r>
      <w:r>
        <w:rPr>
          <w:rFonts w:cs="Times New Roman"/>
          <w:spacing w:val="-8"/>
          <w:sz w:val="18"/>
          <w:szCs w:val="18"/>
          <w:lang w:val="es-ES_tradnl"/>
        </w:rPr>
        <w:t>í</w:t>
      </w:r>
      <w:r>
        <w:rPr>
          <w:spacing w:val="-8"/>
          <w:sz w:val="18"/>
          <w:szCs w:val="18"/>
          <w:lang w:val="es-ES_tradnl"/>
        </w:rPr>
        <w:t>culo 171 numeral 5 de la Constituci</w:t>
      </w:r>
      <w:r>
        <w:rPr>
          <w:rFonts w:cs="Times New Roman"/>
          <w:spacing w:val="-8"/>
          <w:sz w:val="18"/>
          <w:szCs w:val="18"/>
          <w:lang w:val="es-ES_tradnl"/>
        </w:rPr>
        <w:t>ó</w:t>
      </w:r>
      <w:r>
        <w:rPr>
          <w:spacing w:val="-8"/>
          <w:sz w:val="18"/>
          <w:szCs w:val="18"/>
          <w:lang w:val="es-ES_tradnl"/>
        </w:rPr>
        <w:t>n vigente a la fecha del acta de determinaci</w:t>
      </w:r>
      <w:r>
        <w:rPr>
          <w:rFonts w:cs="Times New Roman"/>
          <w:spacing w:val="-8"/>
          <w:sz w:val="18"/>
          <w:szCs w:val="18"/>
          <w:lang w:val="es-ES_tradnl"/>
        </w:rPr>
        <w:t>ó</w:t>
      </w:r>
      <w:r>
        <w:rPr>
          <w:spacing w:val="-8"/>
          <w:sz w:val="18"/>
          <w:szCs w:val="18"/>
          <w:lang w:val="es-ES_tradnl"/>
        </w:rPr>
        <w:t xml:space="preserve">n </w:t>
      </w:r>
      <w:r>
        <w:rPr>
          <w:sz w:val="18"/>
          <w:szCs w:val="18"/>
          <w:lang w:val="es-ES_tradnl"/>
        </w:rPr>
        <w:t>y que por lo tanto, la administraci</w:t>
      </w:r>
      <w:r>
        <w:rPr>
          <w:rFonts w:cs="Times New Roman"/>
          <w:sz w:val="18"/>
          <w:szCs w:val="18"/>
          <w:lang w:val="es-ES_tradnl"/>
        </w:rPr>
        <w:t>ó</w:t>
      </w:r>
      <w:r>
        <w:rPr>
          <w:sz w:val="18"/>
          <w:szCs w:val="18"/>
          <w:lang w:val="es-ES_tradnl"/>
        </w:rPr>
        <w:t xml:space="preserve">n tributaria se </w:t>
      </w:r>
      <w:r>
        <w:rPr>
          <w:spacing w:val="-8"/>
          <w:sz w:val="18"/>
          <w:szCs w:val="18"/>
          <w:lang w:val="es-ES_tradnl"/>
        </w:rPr>
        <w:t>encontraba en la obligaci</w:t>
      </w:r>
      <w:r>
        <w:rPr>
          <w:rFonts w:cs="Times New Roman"/>
          <w:spacing w:val="-8"/>
          <w:sz w:val="18"/>
          <w:szCs w:val="18"/>
          <w:lang w:val="es-ES_tradnl"/>
        </w:rPr>
        <w:t>ó</w:t>
      </w:r>
      <w:r>
        <w:rPr>
          <w:spacing w:val="-8"/>
          <w:sz w:val="18"/>
          <w:szCs w:val="18"/>
          <w:lang w:val="es-ES_tradnl"/>
        </w:rPr>
        <w:t xml:space="preserve">n a determinar la base imponible de acuerdo a los valores referenciales establecidos en el </w:t>
      </w:r>
      <w:r>
        <w:rPr>
          <w:spacing w:val="-4"/>
          <w:sz w:val="18"/>
          <w:szCs w:val="18"/>
          <w:lang w:val="es-ES_tradnl"/>
        </w:rPr>
        <w:t>reglamento contenido en el Decreto Ejecutivo N.</w:t>
      </w:r>
      <w:r>
        <w:rPr>
          <w:rFonts w:cs="Times New Roman"/>
          <w:spacing w:val="-4"/>
          <w:sz w:val="18"/>
          <w:szCs w:val="18"/>
          <w:lang w:val="es-ES_tradnl"/>
        </w:rPr>
        <w:t>º</w:t>
      </w:r>
      <w:r>
        <w:rPr>
          <w:spacing w:val="-4"/>
          <w:sz w:val="18"/>
          <w:szCs w:val="18"/>
          <w:lang w:val="es-ES_tradnl"/>
        </w:rPr>
        <w:t xml:space="preserve"> 1258-</w:t>
      </w:r>
      <w:r>
        <w:rPr>
          <w:spacing w:val="-6"/>
          <w:sz w:val="18"/>
          <w:szCs w:val="18"/>
          <w:lang w:val="es-ES_tradnl"/>
        </w:rPr>
        <w:t>A, y no de acuerdo a la Resoluci</w:t>
      </w:r>
      <w:r>
        <w:rPr>
          <w:rFonts w:cs="Times New Roman"/>
          <w:spacing w:val="-6"/>
          <w:sz w:val="18"/>
          <w:szCs w:val="18"/>
          <w:lang w:val="es-ES_tradnl"/>
        </w:rPr>
        <w:t>ó</w:t>
      </w:r>
      <w:r>
        <w:rPr>
          <w:spacing w:val="-6"/>
          <w:sz w:val="18"/>
          <w:szCs w:val="18"/>
          <w:lang w:val="es-ES_tradnl"/>
        </w:rPr>
        <w:t>n N.</w:t>
      </w:r>
      <w:r>
        <w:rPr>
          <w:rFonts w:cs="Times New Roman"/>
          <w:spacing w:val="-6"/>
          <w:sz w:val="18"/>
          <w:szCs w:val="18"/>
          <w:lang w:val="es-ES_tradnl"/>
        </w:rPr>
        <w:t>º</w:t>
      </w:r>
      <w:r>
        <w:rPr>
          <w:spacing w:val="-6"/>
          <w:sz w:val="18"/>
          <w:szCs w:val="18"/>
          <w:lang w:val="es-ES_tradnl"/>
        </w:rPr>
        <w:t xml:space="preserve"> 18 expedida por la administraci</w:t>
      </w:r>
      <w:r>
        <w:rPr>
          <w:rFonts w:cs="Times New Roman"/>
          <w:spacing w:val="-6"/>
          <w:sz w:val="18"/>
          <w:szCs w:val="18"/>
          <w:lang w:val="es-ES_tradnl"/>
        </w:rPr>
        <w:t>ó</w:t>
      </w:r>
      <w:r>
        <w:rPr>
          <w:spacing w:val="-6"/>
          <w:sz w:val="18"/>
          <w:szCs w:val="18"/>
          <w:lang w:val="es-ES_tradnl"/>
        </w:rPr>
        <w:t>n tributaria, el 9 de febrero de 2000.</w:t>
      </w:r>
    </w:p>
    <w:p w14:paraId="4F67B76D" w14:textId="77777777" w:rsidR="00591D54" w:rsidRDefault="00591D54">
      <w:pPr>
        <w:shd w:val="clear" w:color="auto" w:fill="FFFFFF"/>
        <w:spacing w:before="206" w:line="221" w:lineRule="exact"/>
        <w:jc w:val="both"/>
      </w:pPr>
      <w:r>
        <w:rPr>
          <w:spacing w:val="-6"/>
          <w:sz w:val="18"/>
          <w:szCs w:val="18"/>
          <w:lang w:val="es-ES_tradnl"/>
        </w:rPr>
        <w:t xml:space="preserve">Ahora bien, al momento de revisar la sentencia objeto de </w:t>
      </w:r>
      <w:r>
        <w:rPr>
          <w:spacing w:val="-5"/>
          <w:sz w:val="18"/>
          <w:szCs w:val="18"/>
          <w:lang w:val="es-ES_tradnl"/>
        </w:rPr>
        <w:t>impugnaci</w:t>
      </w:r>
      <w:r>
        <w:rPr>
          <w:rFonts w:cs="Times New Roman"/>
          <w:spacing w:val="-5"/>
          <w:sz w:val="18"/>
          <w:szCs w:val="18"/>
          <w:lang w:val="es-ES_tradnl"/>
        </w:rPr>
        <w:t>ó</w:t>
      </w:r>
      <w:r>
        <w:rPr>
          <w:spacing w:val="-5"/>
          <w:sz w:val="18"/>
          <w:szCs w:val="18"/>
          <w:lang w:val="es-ES_tradnl"/>
        </w:rPr>
        <w:t xml:space="preserve">n, puede la Corte Constitucional advertir que </w:t>
      </w:r>
      <w:r>
        <w:rPr>
          <w:spacing w:val="-6"/>
          <w:sz w:val="18"/>
          <w:szCs w:val="18"/>
          <w:lang w:val="es-ES_tradnl"/>
        </w:rPr>
        <w:t>los jueces nacionales identifican qu</w:t>
      </w:r>
      <w:r>
        <w:rPr>
          <w:rFonts w:cs="Times New Roman"/>
          <w:spacing w:val="-6"/>
          <w:sz w:val="18"/>
          <w:szCs w:val="18"/>
          <w:lang w:val="es-ES_tradnl"/>
        </w:rPr>
        <w:t>é</w:t>
      </w:r>
      <w:r>
        <w:rPr>
          <w:spacing w:val="-6"/>
          <w:sz w:val="18"/>
          <w:szCs w:val="18"/>
          <w:lang w:val="es-ES_tradnl"/>
        </w:rPr>
        <w:t xml:space="preserve"> problema jur</w:t>
      </w:r>
      <w:r>
        <w:rPr>
          <w:rFonts w:cs="Times New Roman"/>
          <w:spacing w:val="-6"/>
          <w:sz w:val="18"/>
          <w:szCs w:val="18"/>
          <w:lang w:val="es-ES_tradnl"/>
        </w:rPr>
        <w:t>í</w:t>
      </w:r>
      <w:r>
        <w:rPr>
          <w:spacing w:val="-6"/>
          <w:sz w:val="18"/>
          <w:szCs w:val="18"/>
          <w:lang w:val="es-ES_tradnl"/>
        </w:rPr>
        <w:t xml:space="preserve">dico a </w:t>
      </w:r>
      <w:r>
        <w:rPr>
          <w:spacing w:val="-9"/>
          <w:sz w:val="18"/>
          <w:szCs w:val="18"/>
          <w:lang w:val="es-ES_tradnl"/>
        </w:rPr>
        <w:t>ser resuelto a trav</w:t>
      </w:r>
      <w:r>
        <w:rPr>
          <w:rFonts w:cs="Times New Roman"/>
          <w:spacing w:val="-9"/>
          <w:sz w:val="18"/>
          <w:szCs w:val="18"/>
          <w:lang w:val="es-ES_tradnl"/>
        </w:rPr>
        <w:t>é</w:t>
      </w:r>
      <w:r>
        <w:rPr>
          <w:spacing w:val="-9"/>
          <w:sz w:val="18"/>
          <w:szCs w:val="18"/>
          <w:lang w:val="es-ES_tradnl"/>
        </w:rPr>
        <w:t>s del recurso de casaci</w:t>
      </w:r>
      <w:r>
        <w:rPr>
          <w:rFonts w:cs="Times New Roman"/>
          <w:spacing w:val="-9"/>
          <w:sz w:val="18"/>
          <w:szCs w:val="18"/>
          <w:lang w:val="es-ES_tradnl"/>
        </w:rPr>
        <w:t>ó</w:t>
      </w:r>
      <w:r>
        <w:rPr>
          <w:spacing w:val="-9"/>
          <w:sz w:val="18"/>
          <w:szCs w:val="18"/>
          <w:lang w:val="es-ES_tradnl"/>
        </w:rPr>
        <w:t xml:space="preserve">n gira en torno a </w:t>
      </w:r>
      <w:r>
        <w:rPr>
          <w:rFonts w:cs="Times New Roman"/>
          <w:spacing w:val="-8"/>
          <w:sz w:val="18"/>
          <w:szCs w:val="18"/>
          <w:lang w:val="es-ES_tradnl"/>
        </w:rPr>
        <w:t>“</w:t>
      </w:r>
      <w:r>
        <w:rPr>
          <w:spacing w:val="-8"/>
          <w:sz w:val="18"/>
          <w:szCs w:val="18"/>
          <w:lang w:val="es-ES_tradnl"/>
        </w:rPr>
        <w:t>la interpretaci</w:t>
      </w:r>
      <w:r>
        <w:rPr>
          <w:rFonts w:cs="Times New Roman"/>
          <w:spacing w:val="-8"/>
          <w:sz w:val="18"/>
          <w:szCs w:val="18"/>
          <w:lang w:val="es-ES_tradnl"/>
        </w:rPr>
        <w:t>ó</w:t>
      </w:r>
      <w:r>
        <w:rPr>
          <w:spacing w:val="-8"/>
          <w:sz w:val="18"/>
          <w:szCs w:val="18"/>
          <w:lang w:val="es-ES_tradnl"/>
        </w:rPr>
        <w:t xml:space="preserve">n que las partes y la Sala de instancia da al </w:t>
      </w:r>
      <w:r>
        <w:rPr>
          <w:spacing w:val="-6"/>
          <w:sz w:val="18"/>
          <w:szCs w:val="18"/>
          <w:lang w:val="es-ES_tradnl"/>
        </w:rPr>
        <w:t>contenido del art</w:t>
      </w:r>
      <w:r>
        <w:rPr>
          <w:rFonts w:cs="Times New Roman"/>
          <w:spacing w:val="-6"/>
          <w:sz w:val="18"/>
          <w:szCs w:val="18"/>
          <w:lang w:val="es-ES_tradnl"/>
        </w:rPr>
        <w:t>í</w:t>
      </w:r>
      <w:r>
        <w:rPr>
          <w:spacing w:val="-6"/>
          <w:sz w:val="18"/>
          <w:szCs w:val="18"/>
          <w:lang w:val="es-ES_tradnl"/>
        </w:rPr>
        <w:t>culo 72 de la Ley de R</w:t>
      </w:r>
      <w:r>
        <w:rPr>
          <w:rFonts w:cs="Times New Roman"/>
          <w:spacing w:val="-6"/>
          <w:sz w:val="18"/>
          <w:szCs w:val="18"/>
          <w:lang w:val="es-ES_tradnl"/>
        </w:rPr>
        <w:t>é</w:t>
      </w:r>
      <w:r>
        <w:rPr>
          <w:spacing w:val="-6"/>
          <w:sz w:val="18"/>
          <w:szCs w:val="18"/>
          <w:lang w:val="es-ES_tradnl"/>
        </w:rPr>
        <w:t xml:space="preserve">gimen Tributario </w:t>
      </w:r>
      <w:r>
        <w:rPr>
          <w:spacing w:val="-5"/>
          <w:sz w:val="18"/>
          <w:szCs w:val="18"/>
          <w:lang w:val="es-ES_tradnl"/>
        </w:rPr>
        <w:t>Interno vigente en el a</w:t>
      </w:r>
      <w:r>
        <w:rPr>
          <w:rFonts w:cs="Times New Roman"/>
          <w:spacing w:val="-5"/>
          <w:sz w:val="18"/>
          <w:szCs w:val="18"/>
          <w:lang w:val="es-ES_tradnl"/>
        </w:rPr>
        <w:t>ñ</w:t>
      </w:r>
      <w:r>
        <w:rPr>
          <w:spacing w:val="-5"/>
          <w:sz w:val="18"/>
          <w:szCs w:val="18"/>
          <w:lang w:val="es-ES_tradnl"/>
        </w:rPr>
        <w:t>o de la controversia, hoy art</w:t>
      </w:r>
      <w:r>
        <w:rPr>
          <w:rFonts w:cs="Times New Roman"/>
          <w:spacing w:val="-5"/>
          <w:sz w:val="18"/>
          <w:szCs w:val="18"/>
          <w:lang w:val="es-ES_tradnl"/>
        </w:rPr>
        <w:t>í</w:t>
      </w:r>
      <w:r>
        <w:rPr>
          <w:spacing w:val="-5"/>
          <w:sz w:val="18"/>
          <w:szCs w:val="18"/>
          <w:lang w:val="es-ES_tradnl"/>
        </w:rPr>
        <w:t xml:space="preserve">culo </w:t>
      </w:r>
      <w:r>
        <w:rPr>
          <w:sz w:val="18"/>
          <w:szCs w:val="18"/>
          <w:lang w:val="es-ES_tradnl"/>
        </w:rPr>
        <w:t>76</w:t>
      </w:r>
      <w:r>
        <w:rPr>
          <w:rFonts w:cs="Times New Roman"/>
          <w:sz w:val="18"/>
          <w:szCs w:val="18"/>
          <w:lang w:val="es-ES_tradnl"/>
        </w:rPr>
        <w:t>”</w:t>
      </w:r>
      <w:r>
        <w:rPr>
          <w:sz w:val="18"/>
          <w:szCs w:val="18"/>
          <w:lang w:val="es-ES_tradnl"/>
        </w:rPr>
        <w:t>.</w:t>
      </w:r>
    </w:p>
    <w:p w14:paraId="4F67B76E" w14:textId="77777777" w:rsidR="00591D54" w:rsidRDefault="00591D54">
      <w:pPr>
        <w:shd w:val="clear" w:color="auto" w:fill="FFFFFF"/>
        <w:spacing w:before="206" w:line="221" w:lineRule="exact"/>
        <w:jc w:val="both"/>
      </w:pPr>
      <w:r>
        <w:rPr>
          <w:spacing w:val="-8"/>
          <w:sz w:val="18"/>
          <w:szCs w:val="18"/>
          <w:lang w:val="es-ES_tradnl"/>
        </w:rPr>
        <w:t>Frente a esta disyuntiva, los jueces explican que el art</w:t>
      </w:r>
      <w:r>
        <w:rPr>
          <w:rFonts w:cs="Times New Roman"/>
          <w:spacing w:val="-8"/>
          <w:sz w:val="18"/>
          <w:szCs w:val="18"/>
          <w:lang w:val="es-ES_tradnl"/>
        </w:rPr>
        <w:t>í</w:t>
      </w:r>
      <w:r>
        <w:rPr>
          <w:spacing w:val="-8"/>
          <w:sz w:val="18"/>
          <w:szCs w:val="18"/>
          <w:lang w:val="es-ES_tradnl"/>
        </w:rPr>
        <w:t xml:space="preserve">culo </w:t>
      </w:r>
      <w:r>
        <w:rPr>
          <w:spacing w:val="-4"/>
          <w:sz w:val="18"/>
          <w:szCs w:val="18"/>
          <w:lang w:val="es-ES_tradnl"/>
        </w:rPr>
        <w:t>72 de la Ley de R</w:t>
      </w:r>
      <w:r>
        <w:rPr>
          <w:rFonts w:cs="Times New Roman"/>
          <w:spacing w:val="-4"/>
          <w:sz w:val="18"/>
          <w:szCs w:val="18"/>
          <w:lang w:val="es-ES_tradnl"/>
        </w:rPr>
        <w:t>é</w:t>
      </w:r>
      <w:r>
        <w:rPr>
          <w:spacing w:val="-4"/>
          <w:sz w:val="18"/>
          <w:szCs w:val="18"/>
          <w:lang w:val="es-ES_tradnl"/>
        </w:rPr>
        <w:t xml:space="preserve">gimen Tributario Interno aplicable al </w:t>
      </w:r>
      <w:r>
        <w:rPr>
          <w:spacing w:val="-6"/>
          <w:sz w:val="18"/>
          <w:szCs w:val="18"/>
          <w:lang w:val="es-ES_tradnl"/>
        </w:rPr>
        <w:t>per</w:t>
      </w:r>
      <w:r>
        <w:rPr>
          <w:rFonts w:cs="Times New Roman"/>
          <w:spacing w:val="-6"/>
          <w:sz w:val="18"/>
          <w:szCs w:val="18"/>
          <w:lang w:val="es-ES_tradnl"/>
        </w:rPr>
        <w:t>í</w:t>
      </w:r>
      <w:r>
        <w:rPr>
          <w:spacing w:val="-6"/>
          <w:sz w:val="18"/>
          <w:szCs w:val="18"/>
          <w:lang w:val="es-ES_tradnl"/>
        </w:rPr>
        <w:t xml:space="preserve">odo </w:t>
      </w:r>
      <w:r>
        <w:rPr>
          <w:rFonts w:cs="Times New Roman"/>
          <w:spacing w:val="-6"/>
          <w:sz w:val="18"/>
          <w:szCs w:val="18"/>
          <w:lang w:val="es-ES_tradnl"/>
        </w:rPr>
        <w:t>“</w:t>
      </w:r>
      <w:r>
        <w:rPr>
          <w:spacing w:val="-6"/>
          <w:sz w:val="18"/>
          <w:szCs w:val="18"/>
          <w:lang w:val="es-ES_tradnl"/>
        </w:rPr>
        <w:t>en discusi</w:t>
      </w:r>
      <w:r>
        <w:rPr>
          <w:rFonts w:cs="Times New Roman"/>
          <w:spacing w:val="-6"/>
          <w:sz w:val="18"/>
          <w:szCs w:val="18"/>
          <w:lang w:val="es-ES_tradnl"/>
        </w:rPr>
        <w:t>ó</w:t>
      </w:r>
      <w:r>
        <w:rPr>
          <w:spacing w:val="-6"/>
          <w:sz w:val="18"/>
          <w:szCs w:val="18"/>
          <w:lang w:val="es-ES_tradnl"/>
        </w:rPr>
        <w:t>n</w:t>
      </w:r>
      <w:r>
        <w:rPr>
          <w:rFonts w:cs="Times New Roman"/>
          <w:spacing w:val="-6"/>
          <w:sz w:val="18"/>
          <w:szCs w:val="18"/>
          <w:lang w:val="es-ES_tradnl"/>
        </w:rPr>
        <w:t>”</w:t>
      </w:r>
      <w:r>
        <w:rPr>
          <w:spacing w:val="-6"/>
          <w:sz w:val="18"/>
          <w:szCs w:val="18"/>
          <w:lang w:val="es-ES_tradnl"/>
        </w:rPr>
        <w:t>, dispon</w:t>
      </w:r>
      <w:r>
        <w:rPr>
          <w:rFonts w:cs="Times New Roman"/>
          <w:spacing w:val="-6"/>
          <w:sz w:val="18"/>
          <w:szCs w:val="18"/>
          <w:lang w:val="es-ES_tradnl"/>
        </w:rPr>
        <w:t>í</w:t>
      </w:r>
      <w:r>
        <w:rPr>
          <w:spacing w:val="-6"/>
          <w:sz w:val="18"/>
          <w:szCs w:val="18"/>
          <w:lang w:val="es-ES_tradnl"/>
        </w:rPr>
        <w:t xml:space="preserve">a que la base imponible de </w:t>
      </w:r>
      <w:r>
        <w:rPr>
          <w:spacing w:val="-7"/>
          <w:sz w:val="18"/>
          <w:szCs w:val="18"/>
          <w:lang w:val="es-ES_tradnl"/>
        </w:rPr>
        <w:t>los productos sujetos al ICE de producci</w:t>
      </w:r>
      <w:r>
        <w:rPr>
          <w:rFonts w:cs="Times New Roman"/>
          <w:spacing w:val="-7"/>
          <w:sz w:val="18"/>
          <w:szCs w:val="18"/>
          <w:lang w:val="es-ES_tradnl"/>
        </w:rPr>
        <w:t>ó</w:t>
      </w:r>
      <w:r>
        <w:rPr>
          <w:spacing w:val="-7"/>
          <w:sz w:val="18"/>
          <w:szCs w:val="18"/>
          <w:lang w:val="es-ES_tradnl"/>
        </w:rPr>
        <w:t>n nacional deb</w:t>
      </w:r>
      <w:r>
        <w:rPr>
          <w:rFonts w:cs="Times New Roman"/>
          <w:spacing w:val="-7"/>
          <w:sz w:val="18"/>
          <w:szCs w:val="18"/>
          <w:lang w:val="es-ES_tradnl"/>
        </w:rPr>
        <w:t>í</w:t>
      </w:r>
      <w:r>
        <w:rPr>
          <w:spacing w:val="-7"/>
          <w:sz w:val="18"/>
          <w:szCs w:val="18"/>
          <w:lang w:val="es-ES_tradnl"/>
        </w:rPr>
        <w:t xml:space="preserve">a determinarse sumando al precio ex </w:t>
      </w:r>
      <w:r>
        <w:rPr>
          <w:rFonts w:cs="Times New Roman"/>
          <w:spacing w:val="-7"/>
          <w:sz w:val="18"/>
          <w:szCs w:val="18"/>
          <w:lang w:val="es-ES_tradnl"/>
        </w:rPr>
        <w:t>–</w:t>
      </w:r>
      <w:r>
        <w:rPr>
          <w:spacing w:val="-7"/>
          <w:sz w:val="18"/>
          <w:szCs w:val="18"/>
          <w:lang w:val="es-ES_tradnl"/>
        </w:rPr>
        <w:t xml:space="preserve"> f</w:t>
      </w:r>
      <w:r>
        <w:rPr>
          <w:rFonts w:cs="Times New Roman"/>
          <w:spacing w:val="-7"/>
          <w:sz w:val="18"/>
          <w:szCs w:val="18"/>
          <w:lang w:val="es-ES_tradnl"/>
        </w:rPr>
        <w:t>á</w:t>
      </w:r>
      <w:r>
        <w:rPr>
          <w:spacing w:val="-7"/>
          <w:sz w:val="18"/>
          <w:szCs w:val="18"/>
          <w:lang w:val="es-ES_tradnl"/>
        </w:rPr>
        <w:t xml:space="preserve">brica, los costos y </w:t>
      </w:r>
      <w:r>
        <w:rPr>
          <w:spacing w:val="-9"/>
          <w:sz w:val="18"/>
          <w:szCs w:val="18"/>
          <w:lang w:val="es-ES_tradnl"/>
        </w:rPr>
        <w:t>m</w:t>
      </w:r>
      <w:r>
        <w:rPr>
          <w:rFonts w:cs="Times New Roman"/>
          <w:spacing w:val="-9"/>
          <w:sz w:val="18"/>
          <w:szCs w:val="18"/>
          <w:lang w:val="es-ES_tradnl"/>
        </w:rPr>
        <w:t>á</w:t>
      </w:r>
      <w:r>
        <w:rPr>
          <w:spacing w:val="-9"/>
          <w:sz w:val="18"/>
          <w:szCs w:val="18"/>
          <w:lang w:val="es-ES_tradnl"/>
        </w:rPr>
        <w:t>rgenes de comercializaci</w:t>
      </w:r>
      <w:r>
        <w:rPr>
          <w:rFonts w:cs="Times New Roman"/>
          <w:spacing w:val="-9"/>
          <w:sz w:val="18"/>
          <w:szCs w:val="18"/>
          <w:lang w:val="es-ES_tradnl"/>
        </w:rPr>
        <w:t>ó</w:t>
      </w:r>
      <w:r>
        <w:rPr>
          <w:spacing w:val="-9"/>
          <w:sz w:val="18"/>
          <w:szCs w:val="18"/>
          <w:lang w:val="es-ES_tradnl"/>
        </w:rPr>
        <w:t>n y que tal suma no podr</w:t>
      </w:r>
      <w:r>
        <w:rPr>
          <w:rFonts w:cs="Times New Roman"/>
          <w:spacing w:val="-9"/>
          <w:sz w:val="18"/>
          <w:szCs w:val="18"/>
          <w:lang w:val="es-ES_tradnl"/>
        </w:rPr>
        <w:t>í</w:t>
      </w:r>
      <w:r>
        <w:rPr>
          <w:spacing w:val="-9"/>
          <w:sz w:val="18"/>
          <w:szCs w:val="18"/>
          <w:lang w:val="es-ES_tradnl"/>
        </w:rPr>
        <w:t xml:space="preserve">a ser </w:t>
      </w:r>
      <w:r>
        <w:rPr>
          <w:spacing w:val="-7"/>
          <w:sz w:val="18"/>
          <w:szCs w:val="18"/>
          <w:lang w:val="es-ES_tradnl"/>
        </w:rPr>
        <w:t>inferior al precio de venta al p</w:t>
      </w:r>
      <w:r>
        <w:rPr>
          <w:rFonts w:cs="Times New Roman"/>
          <w:spacing w:val="-7"/>
          <w:sz w:val="18"/>
          <w:szCs w:val="18"/>
          <w:lang w:val="es-ES_tradnl"/>
        </w:rPr>
        <w:t>ú</w:t>
      </w:r>
      <w:r>
        <w:rPr>
          <w:spacing w:val="-7"/>
          <w:sz w:val="18"/>
          <w:szCs w:val="18"/>
          <w:lang w:val="es-ES_tradnl"/>
        </w:rPr>
        <w:t>blico fijado por el fabricante</w:t>
      </w:r>
    </w:p>
    <w:p w14:paraId="4F67B76F" w14:textId="77777777" w:rsidR="00591D54" w:rsidRDefault="00591D54">
      <w:pPr>
        <w:shd w:val="clear" w:color="auto" w:fill="FFFFFF"/>
        <w:tabs>
          <w:tab w:val="left" w:pos="139"/>
        </w:tabs>
        <w:spacing w:line="221" w:lineRule="exact"/>
      </w:pPr>
      <w:r>
        <w:rPr>
          <w:sz w:val="18"/>
          <w:szCs w:val="18"/>
          <w:lang w:val="es-ES_tradnl"/>
        </w:rPr>
        <w:t>0</w:t>
      </w:r>
      <w:r>
        <w:rPr>
          <w:sz w:val="18"/>
          <w:szCs w:val="18"/>
          <w:lang w:val="es-ES_tradnl"/>
        </w:rPr>
        <w:tab/>
      </w:r>
      <w:r>
        <w:rPr>
          <w:spacing w:val="-10"/>
          <w:sz w:val="18"/>
          <w:szCs w:val="18"/>
          <w:lang w:val="es-ES_tradnl"/>
        </w:rPr>
        <w:t>por las autoridades competentes si fuere el caso menos el</w:t>
      </w:r>
    </w:p>
    <w:p w14:paraId="4F67B770" w14:textId="77777777" w:rsidR="00591D54" w:rsidRDefault="00591D54">
      <w:pPr>
        <w:shd w:val="clear" w:color="auto" w:fill="FFFFFF"/>
        <w:tabs>
          <w:tab w:val="left" w:pos="62"/>
        </w:tabs>
        <w:spacing w:line="221" w:lineRule="exact"/>
        <w:jc w:val="both"/>
      </w:pPr>
      <w:r>
        <w:rPr>
          <w:sz w:val="18"/>
          <w:szCs w:val="18"/>
          <w:lang w:val="es-ES_tradnl"/>
        </w:rPr>
        <w:t>1</w:t>
      </w:r>
      <w:r>
        <w:rPr>
          <w:sz w:val="18"/>
          <w:szCs w:val="18"/>
          <w:lang w:val="es-ES_tradnl"/>
        </w:rPr>
        <w:tab/>
      </w:r>
      <w:r>
        <w:rPr>
          <w:spacing w:val="-6"/>
          <w:sz w:val="18"/>
          <w:szCs w:val="18"/>
          <w:lang w:val="es-ES_tradnl"/>
        </w:rPr>
        <w:t xml:space="preserve">VA y el ICE. Luego, los jueces proceden a hacer </w:t>
      </w:r>
      <w:r>
        <w:rPr>
          <w:rFonts w:cs="Times New Roman"/>
          <w:spacing w:val="-6"/>
          <w:sz w:val="18"/>
          <w:szCs w:val="18"/>
          <w:lang w:val="es-ES_tradnl"/>
        </w:rPr>
        <w:t>é</w:t>
      </w:r>
      <w:r>
        <w:rPr>
          <w:spacing w:val="-6"/>
          <w:sz w:val="18"/>
          <w:szCs w:val="18"/>
          <w:lang w:val="es-ES_tradnl"/>
        </w:rPr>
        <w:t>nfasis </w:t>
      </w:r>
      <w:r>
        <w:rPr>
          <w:spacing w:val="-8"/>
          <w:sz w:val="18"/>
          <w:szCs w:val="18"/>
          <w:lang w:val="es-ES_tradnl"/>
        </w:rPr>
        <w:t>en aquella parte de la disposici</w:t>
      </w:r>
      <w:r>
        <w:rPr>
          <w:rFonts w:cs="Times New Roman"/>
          <w:spacing w:val="-8"/>
          <w:sz w:val="18"/>
          <w:szCs w:val="18"/>
          <w:lang w:val="es-ES_tradnl"/>
        </w:rPr>
        <w:t>ó</w:t>
      </w:r>
      <w:r>
        <w:rPr>
          <w:spacing w:val="-8"/>
          <w:sz w:val="18"/>
          <w:szCs w:val="18"/>
          <w:lang w:val="es-ES_tradnl"/>
        </w:rPr>
        <w:t>n normativa que se</w:t>
      </w:r>
      <w:r>
        <w:rPr>
          <w:rFonts w:cs="Times New Roman"/>
          <w:spacing w:val="-8"/>
          <w:sz w:val="18"/>
          <w:szCs w:val="18"/>
          <w:lang w:val="es-ES_tradnl"/>
        </w:rPr>
        <w:t>ñ</w:t>
      </w:r>
      <w:r>
        <w:rPr>
          <w:spacing w:val="-8"/>
          <w:sz w:val="18"/>
          <w:szCs w:val="18"/>
          <w:lang w:val="es-ES_tradnl"/>
        </w:rPr>
        <w:t xml:space="preserve">ala </w:t>
      </w:r>
      <w:r>
        <w:rPr>
          <w:rFonts w:cs="Times New Roman"/>
          <w:spacing w:val="-8"/>
          <w:sz w:val="18"/>
          <w:szCs w:val="18"/>
          <w:lang w:val="es-ES_tradnl"/>
        </w:rPr>
        <w:t>“</w:t>
      </w:r>
      <w:r>
        <w:rPr>
          <w:spacing w:val="-8"/>
          <w:sz w:val="18"/>
          <w:szCs w:val="18"/>
          <w:lang w:val="es-ES_tradnl"/>
        </w:rPr>
        <w:t>Si </w:t>
      </w:r>
      <w:r>
        <w:rPr>
          <w:spacing w:val="-6"/>
          <w:sz w:val="18"/>
          <w:szCs w:val="18"/>
          <w:lang w:val="es-ES_tradnl"/>
        </w:rPr>
        <w:t>se comercializan los productos con m</w:t>
      </w:r>
      <w:r>
        <w:rPr>
          <w:rFonts w:cs="Times New Roman"/>
          <w:spacing w:val="-6"/>
          <w:sz w:val="18"/>
          <w:szCs w:val="18"/>
          <w:lang w:val="es-ES_tradnl"/>
        </w:rPr>
        <w:t>á</w:t>
      </w:r>
      <w:r>
        <w:rPr>
          <w:spacing w:val="-6"/>
          <w:sz w:val="18"/>
          <w:szCs w:val="18"/>
          <w:lang w:val="es-ES_tradnl"/>
        </w:rPr>
        <w:t>rgenes superiores </w:t>
      </w:r>
      <w:r>
        <w:rPr>
          <w:spacing w:val="-7"/>
          <w:sz w:val="18"/>
          <w:szCs w:val="18"/>
          <w:lang w:val="es-ES_tradnl"/>
        </w:rPr>
        <w:t>al m</w:t>
      </w:r>
      <w:r>
        <w:rPr>
          <w:rFonts w:cs="Times New Roman"/>
          <w:spacing w:val="-7"/>
          <w:sz w:val="18"/>
          <w:szCs w:val="18"/>
          <w:lang w:val="es-ES_tradnl"/>
        </w:rPr>
        <w:t>í</w:t>
      </w:r>
      <w:r>
        <w:rPr>
          <w:spacing w:val="-7"/>
          <w:sz w:val="18"/>
          <w:szCs w:val="18"/>
          <w:lang w:val="es-ES_tradnl"/>
        </w:rPr>
        <w:t>nimo presuntivo antes se</w:t>
      </w:r>
      <w:r>
        <w:rPr>
          <w:rFonts w:cs="Times New Roman"/>
          <w:spacing w:val="-7"/>
          <w:sz w:val="18"/>
          <w:szCs w:val="18"/>
          <w:lang w:val="es-ES_tradnl"/>
        </w:rPr>
        <w:t>ñ</w:t>
      </w:r>
      <w:r>
        <w:rPr>
          <w:spacing w:val="-7"/>
          <w:sz w:val="18"/>
          <w:szCs w:val="18"/>
          <w:lang w:val="es-ES_tradnl"/>
        </w:rPr>
        <w:t>alado, se deber</w:t>
      </w:r>
      <w:r>
        <w:rPr>
          <w:rFonts w:cs="Times New Roman"/>
          <w:spacing w:val="-7"/>
          <w:sz w:val="18"/>
          <w:szCs w:val="18"/>
          <w:lang w:val="es-ES_tradnl"/>
        </w:rPr>
        <w:t>á</w:t>
      </w:r>
      <w:r>
        <w:rPr>
          <w:spacing w:val="-7"/>
          <w:sz w:val="18"/>
          <w:szCs w:val="18"/>
          <w:lang w:val="es-ES_tradnl"/>
        </w:rPr>
        <w:t xml:space="preserve"> aplicar el </w:t>
      </w:r>
      <w:r>
        <w:rPr>
          <w:spacing w:val="-6"/>
          <w:sz w:val="18"/>
          <w:szCs w:val="18"/>
          <w:lang w:val="es-ES_tradnl"/>
        </w:rPr>
        <w:t>margen mayor para determinar la base imponible con el </w:t>
      </w:r>
      <w:r>
        <w:rPr>
          <w:sz w:val="18"/>
          <w:szCs w:val="18"/>
          <w:lang w:val="es-ES_tradnl"/>
        </w:rPr>
        <w:t>ICE</w:t>
      </w:r>
      <w:r>
        <w:rPr>
          <w:rFonts w:cs="Times New Roman"/>
          <w:sz w:val="18"/>
          <w:szCs w:val="18"/>
          <w:lang w:val="es-ES_tradnl"/>
        </w:rPr>
        <w:t>”</w:t>
      </w:r>
      <w:r>
        <w:rPr>
          <w:sz w:val="18"/>
          <w:szCs w:val="18"/>
          <w:lang w:val="es-ES_tradnl"/>
        </w:rPr>
        <w:t>.</w:t>
      </w:r>
    </w:p>
    <w:p w14:paraId="4F67B771" w14:textId="77777777" w:rsidR="00591D54" w:rsidRDefault="00591D54">
      <w:pPr>
        <w:shd w:val="clear" w:color="auto" w:fill="FFFFFF"/>
        <w:spacing w:before="206" w:line="221" w:lineRule="exact"/>
        <w:jc w:val="both"/>
      </w:pPr>
      <w:r>
        <w:rPr>
          <w:spacing w:val="-5"/>
          <w:sz w:val="18"/>
          <w:szCs w:val="18"/>
          <w:lang w:val="es-ES_tradnl"/>
        </w:rPr>
        <w:t xml:space="preserve">Entonces, los jueces nacionales exponen que dicha </w:t>
      </w:r>
      <w:r>
        <w:rPr>
          <w:spacing w:val="-7"/>
          <w:sz w:val="18"/>
          <w:szCs w:val="18"/>
          <w:lang w:val="es-ES_tradnl"/>
        </w:rPr>
        <w:t>disposici</w:t>
      </w:r>
      <w:r>
        <w:rPr>
          <w:rFonts w:cs="Times New Roman"/>
          <w:spacing w:val="-7"/>
          <w:sz w:val="18"/>
          <w:szCs w:val="18"/>
          <w:lang w:val="es-ES_tradnl"/>
        </w:rPr>
        <w:t>ó</w:t>
      </w:r>
      <w:r>
        <w:rPr>
          <w:spacing w:val="-7"/>
          <w:sz w:val="18"/>
          <w:szCs w:val="18"/>
          <w:lang w:val="es-ES_tradnl"/>
        </w:rPr>
        <w:t xml:space="preserve">n normativa establece dos opciones de precios </w:t>
      </w:r>
      <w:r>
        <w:rPr>
          <w:spacing w:val="-9"/>
          <w:sz w:val="18"/>
          <w:szCs w:val="18"/>
          <w:lang w:val="es-ES_tradnl"/>
        </w:rPr>
        <w:t>para la determinaci</w:t>
      </w:r>
      <w:r>
        <w:rPr>
          <w:rFonts w:cs="Times New Roman"/>
          <w:spacing w:val="-9"/>
          <w:sz w:val="18"/>
          <w:szCs w:val="18"/>
          <w:lang w:val="es-ES_tradnl"/>
        </w:rPr>
        <w:t>ó</w:t>
      </w:r>
      <w:r>
        <w:rPr>
          <w:spacing w:val="-9"/>
          <w:sz w:val="18"/>
          <w:szCs w:val="18"/>
          <w:lang w:val="es-ES_tradnl"/>
        </w:rPr>
        <w:t xml:space="preserve">n de la base imponible para el pago del </w:t>
      </w:r>
      <w:r>
        <w:rPr>
          <w:spacing w:val="-4"/>
          <w:sz w:val="18"/>
          <w:szCs w:val="18"/>
          <w:lang w:val="es-ES_tradnl"/>
        </w:rPr>
        <w:t>ICE: Por una parte, el precio de venta al p</w:t>
      </w:r>
      <w:r>
        <w:rPr>
          <w:rFonts w:cs="Times New Roman"/>
          <w:spacing w:val="-4"/>
          <w:sz w:val="18"/>
          <w:szCs w:val="18"/>
          <w:lang w:val="es-ES_tradnl"/>
        </w:rPr>
        <w:t>ú</w:t>
      </w:r>
      <w:r>
        <w:rPr>
          <w:spacing w:val="-4"/>
          <w:sz w:val="18"/>
          <w:szCs w:val="18"/>
          <w:lang w:val="es-ES_tradnl"/>
        </w:rPr>
        <w:t xml:space="preserve">blico que fije </w:t>
      </w:r>
      <w:r>
        <w:rPr>
          <w:spacing w:val="-5"/>
          <w:sz w:val="18"/>
          <w:szCs w:val="18"/>
          <w:lang w:val="es-ES_tradnl"/>
        </w:rPr>
        <w:t xml:space="preserve">el contribuyente y por otra, el precio que fije la autoridad, </w:t>
      </w:r>
      <w:r>
        <w:rPr>
          <w:spacing w:val="-6"/>
          <w:sz w:val="18"/>
          <w:szCs w:val="18"/>
          <w:lang w:val="es-ES_tradnl"/>
        </w:rPr>
        <w:t xml:space="preserve">insistiendo que la norma no establece prevalencia ni prevalencia a una u otra y </w:t>
      </w:r>
      <w:r>
        <w:rPr>
          <w:rFonts w:cs="Times New Roman"/>
          <w:spacing w:val="-6"/>
          <w:sz w:val="18"/>
          <w:szCs w:val="18"/>
          <w:lang w:val="es-ES_tradnl"/>
        </w:rPr>
        <w:t>“</w:t>
      </w:r>
      <w:r>
        <w:rPr>
          <w:spacing w:val="-6"/>
          <w:sz w:val="18"/>
          <w:szCs w:val="18"/>
          <w:lang w:val="es-ES_tradnl"/>
        </w:rPr>
        <w:t xml:space="preserve">menos que se tome el precio </w:t>
      </w:r>
      <w:r>
        <w:rPr>
          <w:spacing w:val="-9"/>
          <w:sz w:val="18"/>
          <w:szCs w:val="18"/>
          <w:lang w:val="es-ES_tradnl"/>
        </w:rPr>
        <w:t>mayor</w:t>
      </w:r>
      <w:r>
        <w:rPr>
          <w:rFonts w:cs="Times New Roman"/>
          <w:spacing w:val="-9"/>
          <w:sz w:val="18"/>
          <w:szCs w:val="18"/>
          <w:lang w:val="es-ES_tradnl"/>
        </w:rPr>
        <w:t>”</w:t>
      </w:r>
      <w:r>
        <w:rPr>
          <w:spacing w:val="-9"/>
          <w:sz w:val="18"/>
          <w:szCs w:val="18"/>
          <w:lang w:val="es-ES_tradnl"/>
        </w:rPr>
        <w:t>, se</w:t>
      </w:r>
      <w:r>
        <w:rPr>
          <w:rFonts w:cs="Times New Roman"/>
          <w:spacing w:val="-9"/>
          <w:sz w:val="18"/>
          <w:szCs w:val="18"/>
          <w:lang w:val="es-ES_tradnl"/>
        </w:rPr>
        <w:t>ñ</w:t>
      </w:r>
      <w:r>
        <w:rPr>
          <w:spacing w:val="-9"/>
          <w:sz w:val="18"/>
          <w:szCs w:val="18"/>
          <w:lang w:val="es-ES_tradnl"/>
        </w:rPr>
        <w:t xml:space="preserve">alando para el efecto los jueces nacionales que </w:t>
      </w:r>
      <w:r>
        <w:rPr>
          <w:spacing w:val="-5"/>
          <w:sz w:val="18"/>
          <w:szCs w:val="18"/>
          <w:lang w:val="es-ES_tradnl"/>
        </w:rPr>
        <w:t>la conjunci</w:t>
      </w:r>
      <w:r>
        <w:rPr>
          <w:rFonts w:cs="Times New Roman"/>
          <w:spacing w:val="-5"/>
          <w:sz w:val="18"/>
          <w:szCs w:val="18"/>
          <w:lang w:val="es-ES_tradnl"/>
        </w:rPr>
        <w:t>ó</w:t>
      </w:r>
      <w:r>
        <w:rPr>
          <w:spacing w:val="-5"/>
          <w:sz w:val="18"/>
          <w:szCs w:val="18"/>
          <w:lang w:val="es-ES_tradnl"/>
        </w:rPr>
        <w:t xml:space="preserve">n disyuntiva </w:t>
      </w:r>
      <w:r>
        <w:rPr>
          <w:rFonts w:cs="Times New Roman"/>
          <w:spacing w:val="-5"/>
          <w:sz w:val="18"/>
          <w:szCs w:val="18"/>
          <w:lang w:val="es-ES_tradnl"/>
        </w:rPr>
        <w:t>“</w:t>
      </w:r>
      <w:r>
        <w:rPr>
          <w:spacing w:val="-5"/>
          <w:sz w:val="18"/>
          <w:szCs w:val="18"/>
          <w:lang w:val="es-ES_tradnl"/>
        </w:rPr>
        <w:t>o</w:t>
      </w:r>
      <w:r>
        <w:rPr>
          <w:rFonts w:cs="Times New Roman"/>
          <w:spacing w:val="-5"/>
          <w:sz w:val="18"/>
          <w:szCs w:val="18"/>
          <w:lang w:val="es-ES_tradnl"/>
        </w:rPr>
        <w:t>”</w:t>
      </w:r>
      <w:r>
        <w:rPr>
          <w:spacing w:val="-5"/>
          <w:sz w:val="18"/>
          <w:szCs w:val="18"/>
          <w:lang w:val="es-ES_tradnl"/>
        </w:rPr>
        <w:t xml:space="preserve"> no deja duda para entender </w:t>
      </w:r>
      <w:r>
        <w:rPr>
          <w:spacing w:val="-8"/>
          <w:sz w:val="18"/>
          <w:szCs w:val="18"/>
          <w:lang w:val="es-ES_tradnl"/>
        </w:rPr>
        <w:t xml:space="preserve">que se tratan de dos opciones de precios sin preferencia o </w:t>
      </w:r>
      <w:r>
        <w:rPr>
          <w:sz w:val="18"/>
          <w:szCs w:val="18"/>
          <w:lang w:val="es-ES_tradnl"/>
        </w:rPr>
        <w:t>prelaci</w:t>
      </w:r>
      <w:r>
        <w:rPr>
          <w:rFonts w:cs="Times New Roman"/>
          <w:sz w:val="18"/>
          <w:szCs w:val="18"/>
          <w:lang w:val="es-ES_tradnl"/>
        </w:rPr>
        <w:t>ó</w:t>
      </w:r>
      <w:r>
        <w:rPr>
          <w:sz w:val="18"/>
          <w:szCs w:val="18"/>
          <w:lang w:val="es-ES_tradnl"/>
        </w:rPr>
        <w:t>n una de otra.</w:t>
      </w:r>
    </w:p>
    <w:p w14:paraId="4F67B772" w14:textId="77777777" w:rsidR="00591D54" w:rsidRDefault="00591D54">
      <w:pPr>
        <w:shd w:val="clear" w:color="auto" w:fill="FFFFFF"/>
        <w:spacing w:before="206" w:line="221" w:lineRule="exact"/>
        <w:jc w:val="both"/>
        <w:sectPr w:rsidR="00591D54">
          <w:type w:val="continuous"/>
          <w:pgSz w:w="11909" w:h="16834"/>
          <w:pgMar w:top="1356" w:right="1309" w:bottom="360" w:left="1308" w:header="720" w:footer="720" w:gutter="0"/>
          <w:cols w:num="2" w:space="720" w:equalWidth="0">
            <w:col w:w="4305" w:space="682"/>
            <w:col w:w="4305"/>
          </w:cols>
          <w:noEndnote/>
        </w:sectPr>
      </w:pPr>
    </w:p>
    <w:p w14:paraId="4F67B773"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- 243</w:t>
      </w:r>
    </w:p>
    <w:p w14:paraId="4F67B774" w14:textId="77777777" w:rsidR="00591D54" w:rsidRDefault="00591D54">
      <w:pPr>
        <w:shd w:val="clear" w:color="auto" w:fill="FFFFFF"/>
        <w:tabs>
          <w:tab w:val="left" w:pos="5842"/>
        </w:tabs>
        <w:spacing w:after="235"/>
        <w:ind w:left="5"/>
        <w:sectPr w:rsidR="00591D54">
          <w:pgSz w:w="11909" w:h="16834"/>
          <w:pgMar w:top="1356" w:right="1309" w:bottom="360" w:left="1308" w:header="720" w:footer="720" w:gutter="0"/>
          <w:cols w:space="60"/>
          <w:noEndnote/>
        </w:sectPr>
      </w:pPr>
    </w:p>
    <w:p w14:paraId="4F67B775" w14:textId="77777777" w:rsidR="00591D54" w:rsidRDefault="00591D54">
      <w:pPr>
        <w:shd w:val="clear" w:color="auto" w:fill="FFFFFF"/>
        <w:spacing w:line="216" w:lineRule="exact"/>
        <w:jc w:val="both"/>
      </w:pPr>
      <w:r>
        <w:rPr>
          <w:spacing w:val="-10"/>
          <w:sz w:val="18"/>
          <w:szCs w:val="18"/>
          <w:lang w:val="es-ES_tradnl"/>
        </w:rPr>
        <w:t xml:space="preserve">Bajo este punto de vista, la Corte Constitucional observa que </w:t>
      </w:r>
      <w:r>
        <w:rPr>
          <w:spacing w:val="-8"/>
          <w:sz w:val="18"/>
          <w:szCs w:val="18"/>
          <w:lang w:val="es-ES_tradnl"/>
        </w:rPr>
        <w:t>la explicaci</w:t>
      </w:r>
      <w:r>
        <w:rPr>
          <w:rFonts w:cs="Times New Roman"/>
          <w:spacing w:val="-8"/>
          <w:sz w:val="18"/>
          <w:szCs w:val="18"/>
          <w:lang w:val="es-ES_tradnl"/>
        </w:rPr>
        <w:t>ó</w:t>
      </w:r>
      <w:r>
        <w:rPr>
          <w:spacing w:val="-8"/>
          <w:sz w:val="18"/>
          <w:szCs w:val="18"/>
          <w:lang w:val="es-ES_tradnl"/>
        </w:rPr>
        <w:t>n dada por los jueces tiene relaci</w:t>
      </w:r>
      <w:r>
        <w:rPr>
          <w:rFonts w:cs="Times New Roman"/>
          <w:spacing w:val="-8"/>
          <w:sz w:val="18"/>
          <w:szCs w:val="18"/>
          <w:lang w:val="es-ES_tradnl"/>
        </w:rPr>
        <w:t>ó</w:t>
      </w:r>
      <w:r>
        <w:rPr>
          <w:spacing w:val="-8"/>
          <w:sz w:val="18"/>
          <w:szCs w:val="18"/>
          <w:lang w:val="es-ES_tradnl"/>
        </w:rPr>
        <w:t>n directa con el sentido interpretativo que se ha otorgado a la disposici</w:t>
      </w:r>
      <w:r>
        <w:rPr>
          <w:rFonts w:cs="Times New Roman"/>
          <w:spacing w:val="-8"/>
          <w:sz w:val="18"/>
          <w:szCs w:val="18"/>
          <w:lang w:val="es-ES_tradnl"/>
        </w:rPr>
        <w:t>ó</w:t>
      </w:r>
      <w:r>
        <w:rPr>
          <w:spacing w:val="-8"/>
          <w:sz w:val="18"/>
          <w:szCs w:val="18"/>
          <w:lang w:val="es-ES_tradnl"/>
        </w:rPr>
        <w:t xml:space="preserve">n </w:t>
      </w:r>
      <w:r>
        <w:rPr>
          <w:spacing w:val="-3"/>
          <w:sz w:val="18"/>
          <w:szCs w:val="18"/>
          <w:lang w:val="es-ES_tradnl"/>
        </w:rPr>
        <w:t>jur</w:t>
      </w:r>
      <w:r>
        <w:rPr>
          <w:rFonts w:cs="Times New Roman"/>
          <w:spacing w:val="-3"/>
          <w:sz w:val="18"/>
          <w:szCs w:val="18"/>
          <w:lang w:val="es-ES_tradnl"/>
        </w:rPr>
        <w:t>í</w:t>
      </w:r>
      <w:r>
        <w:rPr>
          <w:spacing w:val="-3"/>
          <w:sz w:val="18"/>
          <w:szCs w:val="18"/>
          <w:lang w:val="es-ES_tradnl"/>
        </w:rPr>
        <w:t>dica contenida en la norma del art</w:t>
      </w:r>
      <w:r>
        <w:rPr>
          <w:rFonts w:cs="Times New Roman"/>
          <w:spacing w:val="-3"/>
          <w:sz w:val="18"/>
          <w:szCs w:val="18"/>
          <w:lang w:val="es-ES_tradnl"/>
        </w:rPr>
        <w:t>í</w:t>
      </w:r>
      <w:r>
        <w:rPr>
          <w:spacing w:val="-3"/>
          <w:sz w:val="18"/>
          <w:szCs w:val="18"/>
          <w:lang w:val="es-ES_tradnl"/>
        </w:rPr>
        <w:t xml:space="preserve">culo 72 de la Ley </w:t>
      </w:r>
      <w:r>
        <w:rPr>
          <w:spacing w:val="-5"/>
          <w:sz w:val="18"/>
          <w:szCs w:val="18"/>
          <w:lang w:val="es-ES_tradnl"/>
        </w:rPr>
        <w:t>de R</w:t>
      </w:r>
      <w:r>
        <w:rPr>
          <w:rFonts w:cs="Times New Roman"/>
          <w:spacing w:val="-5"/>
          <w:sz w:val="18"/>
          <w:szCs w:val="18"/>
          <w:lang w:val="es-ES_tradnl"/>
        </w:rPr>
        <w:t>é</w:t>
      </w:r>
      <w:r>
        <w:rPr>
          <w:spacing w:val="-5"/>
          <w:sz w:val="18"/>
          <w:szCs w:val="18"/>
          <w:lang w:val="es-ES_tradnl"/>
        </w:rPr>
        <w:t>gimen Tributario Interno a trav</w:t>
      </w:r>
      <w:r>
        <w:rPr>
          <w:rFonts w:cs="Times New Roman"/>
          <w:spacing w:val="-5"/>
          <w:sz w:val="18"/>
          <w:szCs w:val="18"/>
          <w:lang w:val="es-ES_tradnl"/>
        </w:rPr>
        <w:t>é</w:t>
      </w:r>
      <w:r>
        <w:rPr>
          <w:spacing w:val="-5"/>
          <w:sz w:val="18"/>
          <w:szCs w:val="18"/>
          <w:lang w:val="es-ES_tradnl"/>
        </w:rPr>
        <w:t xml:space="preserve">s del Tribunal de </w:t>
      </w:r>
      <w:r>
        <w:rPr>
          <w:spacing w:val="-10"/>
          <w:sz w:val="18"/>
          <w:szCs w:val="18"/>
          <w:lang w:val="es-ES_tradnl"/>
        </w:rPr>
        <w:t>Casaci</w:t>
      </w:r>
      <w:r>
        <w:rPr>
          <w:rFonts w:cs="Times New Roman"/>
          <w:spacing w:val="-10"/>
          <w:sz w:val="18"/>
          <w:szCs w:val="18"/>
          <w:lang w:val="es-ES_tradnl"/>
        </w:rPr>
        <w:t>ó</w:t>
      </w:r>
      <w:r>
        <w:rPr>
          <w:spacing w:val="-10"/>
          <w:sz w:val="18"/>
          <w:szCs w:val="18"/>
          <w:lang w:val="es-ES_tradnl"/>
        </w:rPr>
        <w:t>n y no a un asunto en donde se evidencie aplicaci</w:t>
      </w:r>
      <w:r>
        <w:rPr>
          <w:rFonts w:cs="Times New Roman"/>
          <w:spacing w:val="-10"/>
          <w:sz w:val="18"/>
          <w:szCs w:val="18"/>
          <w:lang w:val="es-ES_tradnl"/>
        </w:rPr>
        <w:t>ó</w:t>
      </w:r>
      <w:r>
        <w:rPr>
          <w:spacing w:val="-10"/>
          <w:sz w:val="18"/>
          <w:szCs w:val="18"/>
          <w:lang w:val="es-ES_tradnl"/>
        </w:rPr>
        <w:t xml:space="preserve">n </w:t>
      </w:r>
      <w:r>
        <w:rPr>
          <w:spacing w:val="-5"/>
          <w:sz w:val="18"/>
          <w:szCs w:val="18"/>
          <w:lang w:val="es-ES_tradnl"/>
        </w:rPr>
        <w:t>retroactiva de la disposici</w:t>
      </w:r>
      <w:r>
        <w:rPr>
          <w:rFonts w:cs="Times New Roman"/>
          <w:spacing w:val="-5"/>
          <w:sz w:val="18"/>
          <w:szCs w:val="18"/>
          <w:lang w:val="es-ES_tradnl"/>
        </w:rPr>
        <w:t>ó</w:t>
      </w:r>
      <w:r>
        <w:rPr>
          <w:spacing w:val="-5"/>
          <w:sz w:val="18"/>
          <w:szCs w:val="18"/>
          <w:lang w:val="es-ES_tradnl"/>
        </w:rPr>
        <w:t xml:space="preserve">n normativa como en efecto </w:t>
      </w:r>
      <w:r>
        <w:rPr>
          <w:spacing w:val="-10"/>
          <w:sz w:val="18"/>
          <w:szCs w:val="18"/>
          <w:lang w:val="es-ES_tradnl"/>
        </w:rPr>
        <w:t>se</w:t>
      </w:r>
      <w:r>
        <w:rPr>
          <w:rFonts w:cs="Times New Roman"/>
          <w:spacing w:val="-10"/>
          <w:sz w:val="18"/>
          <w:szCs w:val="18"/>
          <w:lang w:val="es-ES_tradnl"/>
        </w:rPr>
        <w:t>ñ</w:t>
      </w:r>
      <w:r>
        <w:rPr>
          <w:spacing w:val="-10"/>
          <w:sz w:val="18"/>
          <w:szCs w:val="18"/>
          <w:lang w:val="es-ES_tradnl"/>
        </w:rPr>
        <w:t xml:space="preserve">ala el accionante. De igual manera, los jueces nacionales </w:t>
      </w:r>
      <w:r>
        <w:rPr>
          <w:spacing w:val="-12"/>
          <w:sz w:val="18"/>
          <w:szCs w:val="18"/>
          <w:lang w:val="es-ES_tradnl"/>
        </w:rPr>
        <w:t>se</w:t>
      </w:r>
      <w:r>
        <w:rPr>
          <w:rFonts w:cs="Times New Roman"/>
          <w:spacing w:val="-12"/>
          <w:sz w:val="18"/>
          <w:szCs w:val="18"/>
          <w:lang w:val="es-ES_tradnl"/>
        </w:rPr>
        <w:t>ñ</w:t>
      </w:r>
      <w:r>
        <w:rPr>
          <w:spacing w:val="-12"/>
          <w:sz w:val="18"/>
          <w:szCs w:val="18"/>
          <w:lang w:val="es-ES_tradnl"/>
        </w:rPr>
        <w:t xml:space="preserve">alan que los jueces de la Sala de lo Contencioso Tributario </w:t>
      </w:r>
      <w:r>
        <w:rPr>
          <w:spacing w:val="-8"/>
          <w:sz w:val="18"/>
          <w:szCs w:val="18"/>
          <w:lang w:val="es-ES_tradnl"/>
        </w:rPr>
        <w:t>expresaron un criterio errado respecto de la aplicaci</w:t>
      </w:r>
      <w:r>
        <w:rPr>
          <w:rFonts w:cs="Times New Roman"/>
          <w:spacing w:val="-8"/>
          <w:sz w:val="18"/>
          <w:szCs w:val="18"/>
          <w:lang w:val="es-ES_tradnl"/>
        </w:rPr>
        <w:t>ó</w:t>
      </w:r>
      <w:r>
        <w:rPr>
          <w:spacing w:val="-8"/>
          <w:sz w:val="18"/>
          <w:szCs w:val="18"/>
          <w:lang w:val="es-ES_tradnl"/>
        </w:rPr>
        <w:t xml:space="preserve">n que </w:t>
      </w:r>
      <w:r>
        <w:rPr>
          <w:spacing w:val="-7"/>
          <w:sz w:val="18"/>
          <w:szCs w:val="18"/>
          <w:lang w:val="es-ES_tradnl"/>
        </w:rPr>
        <w:t>la resoluci</w:t>
      </w:r>
      <w:r>
        <w:rPr>
          <w:rFonts w:cs="Times New Roman"/>
          <w:spacing w:val="-7"/>
          <w:sz w:val="18"/>
          <w:szCs w:val="18"/>
          <w:lang w:val="es-ES_tradnl"/>
        </w:rPr>
        <w:t>ó</w:t>
      </w:r>
      <w:r>
        <w:rPr>
          <w:spacing w:val="-7"/>
          <w:sz w:val="18"/>
          <w:szCs w:val="18"/>
          <w:lang w:val="es-ES_tradnl"/>
        </w:rPr>
        <w:t>n N.</w:t>
      </w:r>
      <w:r>
        <w:rPr>
          <w:rFonts w:cs="Times New Roman"/>
          <w:spacing w:val="-7"/>
          <w:sz w:val="18"/>
          <w:szCs w:val="18"/>
          <w:lang w:val="es-ES_tradnl"/>
        </w:rPr>
        <w:t>º</w:t>
      </w:r>
      <w:r>
        <w:rPr>
          <w:spacing w:val="-7"/>
          <w:sz w:val="18"/>
          <w:szCs w:val="18"/>
          <w:lang w:val="es-ES_tradnl"/>
        </w:rPr>
        <w:t xml:space="preserve"> 0018 publicada en el Registro Oficial N.</w:t>
      </w:r>
      <w:r>
        <w:rPr>
          <w:rFonts w:cs="Times New Roman"/>
          <w:spacing w:val="-7"/>
          <w:sz w:val="18"/>
          <w:szCs w:val="18"/>
          <w:lang w:val="es-ES_tradnl"/>
        </w:rPr>
        <w:t xml:space="preserve">º </w:t>
      </w:r>
      <w:r>
        <w:rPr>
          <w:spacing w:val="-7"/>
          <w:sz w:val="18"/>
          <w:szCs w:val="18"/>
          <w:lang w:val="es-ES_tradnl"/>
        </w:rPr>
        <w:t>13 del 19 de febrero de 2000, pues dichos jueces habr</w:t>
      </w:r>
      <w:r>
        <w:rPr>
          <w:rFonts w:cs="Times New Roman"/>
          <w:spacing w:val="-7"/>
          <w:sz w:val="18"/>
          <w:szCs w:val="18"/>
          <w:lang w:val="es-ES_tradnl"/>
        </w:rPr>
        <w:t>í</w:t>
      </w:r>
      <w:r>
        <w:rPr>
          <w:spacing w:val="-7"/>
          <w:sz w:val="18"/>
          <w:szCs w:val="18"/>
          <w:lang w:val="es-ES_tradnl"/>
        </w:rPr>
        <w:t>an sostenido que tal resoluci</w:t>
      </w:r>
      <w:r>
        <w:rPr>
          <w:rFonts w:cs="Times New Roman"/>
          <w:spacing w:val="-7"/>
          <w:sz w:val="18"/>
          <w:szCs w:val="18"/>
          <w:lang w:val="es-ES_tradnl"/>
        </w:rPr>
        <w:t>ó</w:t>
      </w:r>
      <w:r>
        <w:rPr>
          <w:spacing w:val="-7"/>
          <w:sz w:val="18"/>
          <w:szCs w:val="18"/>
          <w:lang w:val="es-ES_tradnl"/>
        </w:rPr>
        <w:t>n se encuentra vigente por el hecho de no haber modificaci</w:t>
      </w:r>
      <w:r>
        <w:rPr>
          <w:rFonts w:cs="Times New Roman"/>
          <w:spacing w:val="-7"/>
          <w:sz w:val="18"/>
          <w:szCs w:val="18"/>
          <w:lang w:val="es-ES_tradnl"/>
        </w:rPr>
        <w:t>ó</w:t>
      </w:r>
      <w:r>
        <w:rPr>
          <w:spacing w:val="-7"/>
          <w:sz w:val="18"/>
          <w:szCs w:val="18"/>
          <w:lang w:val="es-ES_tradnl"/>
        </w:rPr>
        <w:t xml:space="preserve">n; los jueces nacionales en </w:t>
      </w:r>
      <w:r>
        <w:rPr>
          <w:spacing w:val="-8"/>
          <w:sz w:val="18"/>
          <w:szCs w:val="18"/>
          <w:lang w:val="es-ES_tradnl"/>
        </w:rPr>
        <w:t xml:space="preserve">la sentencia impugnada manifiestan que lo que ha existido </w:t>
      </w:r>
      <w:r>
        <w:rPr>
          <w:spacing w:val="-6"/>
          <w:sz w:val="18"/>
          <w:szCs w:val="18"/>
          <w:lang w:val="es-ES_tradnl"/>
        </w:rPr>
        <w:t>es una inacci</w:t>
      </w:r>
      <w:r>
        <w:rPr>
          <w:rFonts w:cs="Times New Roman"/>
          <w:spacing w:val="-6"/>
          <w:sz w:val="18"/>
          <w:szCs w:val="18"/>
          <w:lang w:val="es-ES_tradnl"/>
        </w:rPr>
        <w:t>ó</w:t>
      </w:r>
      <w:r>
        <w:rPr>
          <w:spacing w:val="-6"/>
          <w:sz w:val="18"/>
          <w:szCs w:val="18"/>
          <w:lang w:val="es-ES_tradnl"/>
        </w:rPr>
        <w:t xml:space="preserve">n de la autoridad administrativa que no ha </w:t>
      </w:r>
      <w:r>
        <w:rPr>
          <w:spacing w:val="-5"/>
          <w:sz w:val="18"/>
          <w:szCs w:val="18"/>
          <w:lang w:val="es-ES_tradnl"/>
        </w:rPr>
        <w:t>establecido dichos precios para el per</w:t>
      </w:r>
      <w:r>
        <w:rPr>
          <w:rFonts w:cs="Times New Roman"/>
          <w:spacing w:val="-5"/>
          <w:sz w:val="18"/>
          <w:szCs w:val="18"/>
          <w:lang w:val="es-ES_tradnl"/>
        </w:rPr>
        <w:t>í</w:t>
      </w:r>
      <w:r>
        <w:rPr>
          <w:spacing w:val="-5"/>
          <w:sz w:val="18"/>
          <w:szCs w:val="18"/>
          <w:lang w:val="es-ES_tradnl"/>
        </w:rPr>
        <w:t>odo en cuesti</w:t>
      </w:r>
      <w:r>
        <w:rPr>
          <w:rFonts w:cs="Times New Roman"/>
          <w:spacing w:val="-5"/>
          <w:sz w:val="18"/>
          <w:szCs w:val="18"/>
          <w:lang w:val="es-ES_tradnl"/>
        </w:rPr>
        <w:t>ó</w:t>
      </w:r>
      <w:r>
        <w:rPr>
          <w:spacing w:val="-5"/>
          <w:sz w:val="18"/>
          <w:szCs w:val="18"/>
          <w:lang w:val="es-ES_tradnl"/>
        </w:rPr>
        <w:t xml:space="preserve">n, </w:t>
      </w:r>
      <w:r>
        <w:rPr>
          <w:spacing w:val="-9"/>
          <w:sz w:val="18"/>
          <w:szCs w:val="18"/>
          <w:lang w:val="es-ES_tradnl"/>
        </w:rPr>
        <w:t>como en efecto lo reconoce el Servicio de Rentas Internas.</w:t>
      </w:r>
    </w:p>
    <w:p w14:paraId="4F67B776" w14:textId="77777777" w:rsidR="00591D54" w:rsidRDefault="00591D54">
      <w:pPr>
        <w:shd w:val="clear" w:color="auto" w:fill="FFFFFF"/>
        <w:spacing w:before="197" w:line="216" w:lineRule="exact"/>
        <w:ind w:right="5"/>
        <w:jc w:val="both"/>
      </w:pPr>
      <w:r>
        <w:rPr>
          <w:spacing w:val="-8"/>
          <w:sz w:val="18"/>
          <w:szCs w:val="18"/>
          <w:lang w:val="es-ES_tradnl"/>
        </w:rPr>
        <w:t xml:space="preserve">Desde tal </w:t>
      </w:r>
      <w:r>
        <w:rPr>
          <w:rFonts w:cs="Times New Roman"/>
          <w:spacing w:val="-8"/>
          <w:sz w:val="18"/>
          <w:szCs w:val="18"/>
          <w:lang w:val="es-ES_tradnl"/>
        </w:rPr>
        <w:t>ó</w:t>
      </w:r>
      <w:r>
        <w:rPr>
          <w:spacing w:val="-8"/>
          <w:sz w:val="18"/>
          <w:szCs w:val="18"/>
          <w:lang w:val="es-ES_tradnl"/>
        </w:rPr>
        <w:t xml:space="preserve">ptica, los jueces nacionales explican que este </w:t>
      </w:r>
      <w:r>
        <w:rPr>
          <w:spacing w:val="-1"/>
          <w:sz w:val="18"/>
          <w:szCs w:val="18"/>
          <w:lang w:val="es-ES_tradnl"/>
        </w:rPr>
        <w:t>hecho permiti</w:t>
      </w:r>
      <w:r>
        <w:rPr>
          <w:rFonts w:cs="Times New Roman"/>
          <w:spacing w:val="-1"/>
          <w:sz w:val="18"/>
          <w:szCs w:val="18"/>
          <w:lang w:val="es-ES_tradnl"/>
        </w:rPr>
        <w:t>ó</w:t>
      </w:r>
      <w:r>
        <w:rPr>
          <w:spacing w:val="-1"/>
          <w:sz w:val="18"/>
          <w:szCs w:val="18"/>
          <w:lang w:val="es-ES_tradnl"/>
        </w:rPr>
        <w:t xml:space="preserve"> dejar expedita la opci</w:t>
      </w:r>
      <w:r>
        <w:rPr>
          <w:rFonts w:cs="Times New Roman"/>
          <w:spacing w:val="-1"/>
          <w:sz w:val="18"/>
          <w:szCs w:val="18"/>
          <w:lang w:val="es-ES_tradnl"/>
        </w:rPr>
        <w:t>ó</w:t>
      </w:r>
      <w:r>
        <w:rPr>
          <w:spacing w:val="-1"/>
          <w:sz w:val="18"/>
          <w:szCs w:val="18"/>
          <w:lang w:val="es-ES_tradnl"/>
        </w:rPr>
        <w:t xml:space="preserve">n de aplicar el </w:t>
      </w:r>
      <w:r>
        <w:rPr>
          <w:spacing w:val="-3"/>
          <w:sz w:val="18"/>
          <w:szCs w:val="18"/>
          <w:lang w:val="es-ES_tradnl"/>
        </w:rPr>
        <w:t>precio fijado por el fabricante para la determinaci</w:t>
      </w:r>
      <w:r>
        <w:rPr>
          <w:rFonts w:cs="Times New Roman"/>
          <w:spacing w:val="-3"/>
          <w:sz w:val="18"/>
          <w:szCs w:val="18"/>
          <w:lang w:val="es-ES_tradnl"/>
        </w:rPr>
        <w:t>ó</w:t>
      </w:r>
      <w:r>
        <w:rPr>
          <w:spacing w:val="-3"/>
          <w:sz w:val="18"/>
          <w:szCs w:val="18"/>
          <w:lang w:val="es-ES_tradnl"/>
        </w:rPr>
        <w:t xml:space="preserve">n de </w:t>
      </w:r>
      <w:r>
        <w:rPr>
          <w:spacing w:val="-7"/>
          <w:sz w:val="18"/>
          <w:szCs w:val="18"/>
          <w:lang w:val="es-ES_tradnl"/>
        </w:rPr>
        <w:t xml:space="preserve">la base imponible del impuesto y que en el presente caso </w:t>
      </w:r>
      <w:r>
        <w:rPr>
          <w:spacing w:val="-8"/>
          <w:sz w:val="18"/>
          <w:szCs w:val="18"/>
          <w:lang w:val="es-ES_tradnl"/>
        </w:rPr>
        <w:t>esto no ha ocurrido. As</w:t>
      </w:r>
      <w:r>
        <w:rPr>
          <w:rFonts w:cs="Times New Roman"/>
          <w:spacing w:val="-8"/>
          <w:sz w:val="18"/>
          <w:szCs w:val="18"/>
          <w:lang w:val="es-ES_tradnl"/>
        </w:rPr>
        <w:t>í</w:t>
      </w:r>
      <w:r>
        <w:rPr>
          <w:spacing w:val="-8"/>
          <w:sz w:val="18"/>
          <w:szCs w:val="18"/>
          <w:lang w:val="es-ES_tradnl"/>
        </w:rPr>
        <w:t xml:space="preserve">, los jueces nacionales consideran </w:t>
      </w:r>
      <w:r>
        <w:rPr>
          <w:spacing w:val="-6"/>
          <w:sz w:val="18"/>
          <w:szCs w:val="18"/>
          <w:lang w:val="es-ES_tradnl"/>
        </w:rPr>
        <w:t xml:space="preserve">necesario aclarar que la posibilidad de aplicar el margen mayor previsto en la norma transcrita para determinar la </w:t>
      </w:r>
      <w:r>
        <w:rPr>
          <w:spacing w:val="-10"/>
          <w:sz w:val="18"/>
          <w:szCs w:val="18"/>
          <w:lang w:val="es-ES_tradnl"/>
        </w:rPr>
        <w:t xml:space="preserve">base imponible, es dable </w:t>
      </w:r>
      <w:r>
        <w:rPr>
          <w:rFonts w:cs="Times New Roman"/>
          <w:spacing w:val="-10"/>
          <w:sz w:val="18"/>
          <w:szCs w:val="18"/>
          <w:lang w:val="es-ES_tradnl"/>
        </w:rPr>
        <w:t>ú</w:t>
      </w:r>
      <w:r>
        <w:rPr>
          <w:spacing w:val="-10"/>
          <w:sz w:val="18"/>
          <w:szCs w:val="18"/>
          <w:lang w:val="es-ES_tradnl"/>
        </w:rPr>
        <w:t xml:space="preserve">nicamente si se comercializan los </w:t>
      </w:r>
      <w:r>
        <w:rPr>
          <w:spacing w:val="-8"/>
          <w:sz w:val="18"/>
          <w:szCs w:val="18"/>
          <w:lang w:val="es-ES_tradnl"/>
        </w:rPr>
        <w:t>productos con m</w:t>
      </w:r>
      <w:r>
        <w:rPr>
          <w:rFonts w:cs="Times New Roman"/>
          <w:spacing w:val="-8"/>
          <w:sz w:val="18"/>
          <w:szCs w:val="18"/>
          <w:lang w:val="es-ES_tradnl"/>
        </w:rPr>
        <w:t>á</w:t>
      </w:r>
      <w:r>
        <w:rPr>
          <w:spacing w:val="-8"/>
          <w:sz w:val="18"/>
          <w:szCs w:val="18"/>
          <w:lang w:val="es-ES_tradnl"/>
        </w:rPr>
        <w:t>rgenes superiores al m</w:t>
      </w:r>
      <w:r>
        <w:rPr>
          <w:rFonts w:cs="Times New Roman"/>
          <w:spacing w:val="-8"/>
          <w:sz w:val="18"/>
          <w:szCs w:val="18"/>
          <w:lang w:val="es-ES_tradnl"/>
        </w:rPr>
        <w:t>í</w:t>
      </w:r>
      <w:r>
        <w:rPr>
          <w:spacing w:val="-8"/>
          <w:sz w:val="18"/>
          <w:szCs w:val="18"/>
          <w:lang w:val="es-ES_tradnl"/>
        </w:rPr>
        <w:t xml:space="preserve">nimo presuntivo, </w:t>
      </w:r>
      <w:r>
        <w:rPr>
          <w:spacing w:val="-3"/>
          <w:sz w:val="18"/>
          <w:szCs w:val="18"/>
          <w:lang w:val="es-ES_tradnl"/>
        </w:rPr>
        <w:t>mas no como plantea la administraci</w:t>
      </w:r>
      <w:r>
        <w:rPr>
          <w:rFonts w:cs="Times New Roman"/>
          <w:spacing w:val="-3"/>
          <w:sz w:val="18"/>
          <w:szCs w:val="18"/>
          <w:lang w:val="es-ES_tradnl"/>
        </w:rPr>
        <w:t>ó</w:t>
      </w:r>
      <w:r>
        <w:rPr>
          <w:spacing w:val="-3"/>
          <w:sz w:val="18"/>
          <w:szCs w:val="18"/>
          <w:lang w:val="es-ES_tradnl"/>
        </w:rPr>
        <w:t xml:space="preserve">n tributaria, </w:t>
      </w:r>
      <w:r>
        <w:rPr>
          <w:rFonts w:cs="Times New Roman"/>
          <w:spacing w:val="-3"/>
          <w:sz w:val="18"/>
          <w:szCs w:val="18"/>
          <w:lang w:val="es-ES_tradnl"/>
        </w:rPr>
        <w:t>“</w:t>
      </w:r>
      <w:r>
        <w:rPr>
          <w:spacing w:val="-3"/>
          <w:sz w:val="18"/>
          <w:szCs w:val="18"/>
          <w:lang w:val="es-ES_tradnl"/>
        </w:rPr>
        <w:t xml:space="preserve">de </w:t>
      </w:r>
      <w:r>
        <w:rPr>
          <w:spacing w:val="-9"/>
          <w:sz w:val="18"/>
          <w:szCs w:val="18"/>
          <w:lang w:val="es-ES_tradnl"/>
        </w:rPr>
        <w:t>aplicar la base que resulte m</w:t>
      </w:r>
      <w:r>
        <w:rPr>
          <w:rFonts w:cs="Times New Roman"/>
          <w:spacing w:val="-9"/>
          <w:sz w:val="18"/>
          <w:szCs w:val="18"/>
          <w:lang w:val="es-ES_tradnl"/>
        </w:rPr>
        <w:t>á</w:t>
      </w:r>
      <w:r>
        <w:rPr>
          <w:spacing w:val="-9"/>
          <w:sz w:val="18"/>
          <w:szCs w:val="18"/>
          <w:lang w:val="es-ES_tradnl"/>
        </w:rPr>
        <w:t>s alta, de modo general como reconoce haberlo hecho en el presente caso</w:t>
      </w:r>
      <w:r>
        <w:rPr>
          <w:rFonts w:cs="Times New Roman"/>
          <w:spacing w:val="-9"/>
          <w:sz w:val="18"/>
          <w:szCs w:val="18"/>
          <w:lang w:val="es-ES_tradnl"/>
        </w:rPr>
        <w:t>”</w:t>
      </w:r>
      <w:r>
        <w:rPr>
          <w:spacing w:val="-9"/>
          <w:sz w:val="18"/>
          <w:szCs w:val="18"/>
          <w:lang w:val="es-ES_tradnl"/>
        </w:rPr>
        <w:t>.</w:t>
      </w:r>
    </w:p>
    <w:p w14:paraId="4F67B777" w14:textId="77777777" w:rsidR="00591D54" w:rsidRDefault="00591D54">
      <w:pPr>
        <w:shd w:val="clear" w:color="auto" w:fill="FFFFFF"/>
        <w:spacing w:before="197" w:line="216" w:lineRule="exact"/>
        <w:ind w:right="5"/>
        <w:jc w:val="both"/>
      </w:pPr>
      <w:r>
        <w:rPr>
          <w:spacing w:val="-8"/>
          <w:sz w:val="18"/>
          <w:szCs w:val="18"/>
          <w:lang w:val="es-ES_tradnl"/>
        </w:rPr>
        <w:t xml:space="preserve">Como consecuencia de este razonamiento, los jueces </w:t>
      </w:r>
      <w:r>
        <w:rPr>
          <w:spacing w:val="-6"/>
          <w:sz w:val="18"/>
          <w:szCs w:val="18"/>
          <w:lang w:val="es-ES_tradnl"/>
        </w:rPr>
        <w:t>nacionales aceptan el recurso de casaci</w:t>
      </w:r>
      <w:r>
        <w:rPr>
          <w:rFonts w:cs="Times New Roman"/>
          <w:spacing w:val="-6"/>
          <w:sz w:val="18"/>
          <w:szCs w:val="18"/>
          <w:lang w:val="es-ES_tradnl"/>
        </w:rPr>
        <w:t>ó</w:t>
      </w:r>
      <w:r>
        <w:rPr>
          <w:spacing w:val="-6"/>
          <w:sz w:val="18"/>
          <w:szCs w:val="18"/>
          <w:lang w:val="es-ES_tradnl"/>
        </w:rPr>
        <w:t xml:space="preserve">n formulado por </w:t>
      </w:r>
      <w:r>
        <w:rPr>
          <w:spacing w:val="-1"/>
          <w:sz w:val="18"/>
          <w:szCs w:val="18"/>
          <w:lang w:val="es-ES_tradnl"/>
        </w:rPr>
        <w:t>la administraci</w:t>
      </w:r>
      <w:r>
        <w:rPr>
          <w:rFonts w:cs="Times New Roman"/>
          <w:spacing w:val="-1"/>
          <w:sz w:val="18"/>
          <w:szCs w:val="18"/>
          <w:lang w:val="es-ES_tradnl"/>
        </w:rPr>
        <w:t>ó</w:t>
      </w:r>
      <w:r>
        <w:rPr>
          <w:spacing w:val="-1"/>
          <w:sz w:val="18"/>
          <w:szCs w:val="18"/>
          <w:lang w:val="es-ES_tradnl"/>
        </w:rPr>
        <w:t>n tributaria y disponen la reliquidaci</w:t>
      </w:r>
      <w:r>
        <w:rPr>
          <w:rFonts w:cs="Times New Roman"/>
          <w:spacing w:val="-1"/>
          <w:sz w:val="18"/>
          <w:szCs w:val="18"/>
          <w:lang w:val="es-ES_tradnl"/>
        </w:rPr>
        <w:t>ó</w:t>
      </w:r>
      <w:r>
        <w:rPr>
          <w:spacing w:val="-1"/>
          <w:sz w:val="18"/>
          <w:szCs w:val="18"/>
          <w:lang w:val="es-ES_tradnl"/>
        </w:rPr>
        <w:t xml:space="preserve">n </w:t>
      </w:r>
      <w:r>
        <w:rPr>
          <w:spacing w:val="-6"/>
          <w:sz w:val="18"/>
          <w:szCs w:val="18"/>
          <w:lang w:val="es-ES_tradnl"/>
        </w:rPr>
        <w:t xml:space="preserve">de obligaciones tributarias en base al precio de venta al </w:t>
      </w:r>
      <w:r>
        <w:rPr>
          <w:spacing w:val="-8"/>
          <w:sz w:val="18"/>
          <w:szCs w:val="18"/>
          <w:lang w:val="es-ES_tradnl"/>
        </w:rPr>
        <w:t>p</w:t>
      </w:r>
      <w:r>
        <w:rPr>
          <w:rFonts w:cs="Times New Roman"/>
          <w:spacing w:val="-8"/>
          <w:sz w:val="18"/>
          <w:szCs w:val="18"/>
          <w:lang w:val="es-ES_tradnl"/>
        </w:rPr>
        <w:t>ú</w:t>
      </w:r>
      <w:r>
        <w:rPr>
          <w:spacing w:val="-8"/>
          <w:sz w:val="18"/>
          <w:szCs w:val="18"/>
          <w:lang w:val="es-ES_tradnl"/>
        </w:rPr>
        <w:t>blico fijado por el fabricante conforme lo prev</w:t>
      </w:r>
      <w:r>
        <w:rPr>
          <w:rFonts w:cs="Times New Roman"/>
          <w:spacing w:val="-8"/>
          <w:sz w:val="18"/>
          <w:szCs w:val="18"/>
          <w:lang w:val="es-ES_tradnl"/>
        </w:rPr>
        <w:t>é</w:t>
      </w:r>
      <w:r>
        <w:rPr>
          <w:spacing w:val="-8"/>
          <w:sz w:val="18"/>
          <w:szCs w:val="18"/>
          <w:lang w:val="es-ES_tradnl"/>
        </w:rPr>
        <w:t xml:space="preserve"> la Ley de </w:t>
      </w:r>
      <w:r>
        <w:rPr>
          <w:spacing w:val="-7"/>
          <w:sz w:val="18"/>
          <w:szCs w:val="18"/>
          <w:lang w:val="es-ES_tradnl"/>
        </w:rPr>
        <w:t>R</w:t>
      </w:r>
      <w:r>
        <w:rPr>
          <w:rFonts w:cs="Times New Roman"/>
          <w:spacing w:val="-7"/>
          <w:sz w:val="18"/>
          <w:szCs w:val="18"/>
          <w:lang w:val="es-ES_tradnl"/>
        </w:rPr>
        <w:t>é</w:t>
      </w:r>
      <w:r>
        <w:rPr>
          <w:spacing w:val="-7"/>
          <w:sz w:val="18"/>
          <w:szCs w:val="18"/>
          <w:lang w:val="es-ES_tradnl"/>
        </w:rPr>
        <w:t>gimen Interno aplicable al ejercicio fiscal en discusi</w:t>
      </w:r>
      <w:r>
        <w:rPr>
          <w:rFonts w:cs="Times New Roman"/>
          <w:spacing w:val="-7"/>
          <w:sz w:val="18"/>
          <w:szCs w:val="18"/>
          <w:lang w:val="es-ES_tradnl"/>
        </w:rPr>
        <w:t>ó</w:t>
      </w:r>
      <w:r>
        <w:rPr>
          <w:spacing w:val="-7"/>
          <w:sz w:val="18"/>
          <w:szCs w:val="18"/>
          <w:lang w:val="es-ES_tradnl"/>
        </w:rPr>
        <w:t>n.</w:t>
      </w:r>
    </w:p>
    <w:p w14:paraId="4F67B778" w14:textId="77777777" w:rsidR="00591D54" w:rsidRDefault="00591D54">
      <w:pPr>
        <w:shd w:val="clear" w:color="auto" w:fill="FFFFFF"/>
        <w:spacing w:before="192" w:line="216" w:lineRule="exact"/>
        <w:ind w:right="5"/>
        <w:jc w:val="both"/>
      </w:pPr>
      <w:r>
        <w:rPr>
          <w:spacing w:val="-6"/>
          <w:sz w:val="18"/>
          <w:szCs w:val="18"/>
          <w:lang w:val="es-ES_tradnl"/>
        </w:rPr>
        <w:t xml:space="preserve">A partir de estas consideraciones, la Corte Constitucional </w:t>
      </w:r>
      <w:r>
        <w:rPr>
          <w:spacing w:val="-5"/>
          <w:sz w:val="18"/>
          <w:szCs w:val="18"/>
          <w:lang w:val="es-ES_tradnl"/>
        </w:rPr>
        <w:t>no logra advertir en qu</w:t>
      </w:r>
      <w:r>
        <w:rPr>
          <w:rFonts w:cs="Times New Roman"/>
          <w:spacing w:val="-5"/>
          <w:sz w:val="18"/>
          <w:szCs w:val="18"/>
          <w:lang w:val="es-ES_tradnl"/>
        </w:rPr>
        <w:t>é</w:t>
      </w:r>
      <w:r>
        <w:rPr>
          <w:spacing w:val="-5"/>
          <w:sz w:val="18"/>
          <w:szCs w:val="18"/>
          <w:lang w:val="es-ES_tradnl"/>
        </w:rPr>
        <w:t xml:space="preserve"> medida la seguridad jur</w:t>
      </w:r>
      <w:r>
        <w:rPr>
          <w:rFonts w:cs="Times New Roman"/>
          <w:spacing w:val="-5"/>
          <w:sz w:val="18"/>
          <w:szCs w:val="18"/>
          <w:lang w:val="es-ES_tradnl"/>
        </w:rPr>
        <w:t>í</w:t>
      </w:r>
      <w:r>
        <w:rPr>
          <w:spacing w:val="-5"/>
          <w:sz w:val="18"/>
          <w:szCs w:val="18"/>
          <w:lang w:val="es-ES_tradnl"/>
        </w:rPr>
        <w:t xml:space="preserve">dica ha </w:t>
      </w:r>
      <w:r>
        <w:rPr>
          <w:spacing w:val="-8"/>
          <w:sz w:val="18"/>
          <w:szCs w:val="18"/>
          <w:lang w:val="es-ES_tradnl"/>
        </w:rPr>
        <w:t xml:space="preserve">sido trasgredida, pues lo que se observa de modo principal </w:t>
      </w:r>
      <w:r>
        <w:rPr>
          <w:spacing w:val="-5"/>
          <w:sz w:val="18"/>
          <w:szCs w:val="18"/>
          <w:lang w:val="es-ES_tradnl"/>
        </w:rPr>
        <w:t>es que existe por parte del accionante una pretensi</w:t>
      </w:r>
      <w:r>
        <w:rPr>
          <w:rFonts w:cs="Times New Roman"/>
          <w:spacing w:val="-5"/>
          <w:sz w:val="18"/>
          <w:szCs w:val="18"/>
          <w:lang w:val="es-ES_tradnl"/>
        </w:rPr>
        <w:t>ó</w:t>
      </w:r>
      <w:r>
        <w:rPr>
          <w:spacing w:val="-5"/>
          <w:sz w:val="18"/>
          <w:szCs w:val="18"/>
          <w:lang w:val="es-ES_tradnl"/>
        </w:rPr>
        <w:t xml:space="preserve">n </w:t>
      </w:r>
      <w:r>
        <w:rPr>
          <w:spacing w:val="-8"/>
          <w:sz w:val="18"/>
          <w:szCs w:val="18"/>
          <w:lang w:val="es-ES_tradnl"/>
        </w:rPr>
        <w:t>dirigida a revisar la interpretaci</w:t>
      </w:r>
      <w:r>
        <w:rPr>
          <w:rFonts w:cs="Times New Roman"/>
          <w:spacing w:val="-8"/>
          <w:sz w:val="18"/>
          <w:szCs w:val="18"/>
          <w:lang w:val="es-ES_tradnl"/>
        </w:rPr>
        <w:t>ó</w:t>
      </w:r>
      <w:r>
        <w:rPr>
          <w:spacing w:val="-8"/>
          <w:sz w:val="18"/>
          <w:szCs w:val="18"/>
          <w:lang w:val="es-ES_tradnl"/>
        </w:rPr>
        <w:t xml:space="preserve">n que los jueces nacionales </w:t>
      </w:r>
      <w:r>
        <w:rPr>
          <w:spacing w:val="-5"/>
          <w:sz w:val="18"/>
          <w:szCs w:val="18"/>
          <w:lang w:val="es-ES_tradnl"/>
        </w:rPr>
        <w:t>le han otorgado al art</w:t>
      </w:r>
      <w:r>
        <w:rPr>
          <w:rFonts w:cs="Times New Roman"/>
          <w:spacing w:val="-5"/>
          <w:sz w:val="18"/>
          <w:szCs w:val="18"/>
          <w:lang w:val="es-ES_tradnl"/>
        </w:rPr>
        <w:t>í</w:t>
      </w:r>
      <w:r>
        <w:rPr>
          <w:spacing w:val="-5"/>
          <w:sz w:val="18"/>
          <w:szCs w:val="18"/>
          <w:lang w:val="es-ES_tradnl"/>
        </w:rPr>
        <w:t xml:space="preserve">culo 72 (actual 76) de la Ley de </w:t>
      </w:r>
      <w:r>
        <w:rPr>
          <w:spacing w:val="-6"/>
          <w:sz w:val="18"/>
          <w:szCs w:val="18"/>
          <w:lang w:val="es-ES_tradnl"/>
        </w:rPr>
        <w:t>R</w:t>
      </w:r>
      <w:r>
        <w:rPr>
          <w:rFonts w:cs="Times New Roman"/>
          <w:spacing w:val="-6"/>
          <w:sz w:val="18"/>
          <w:szCs w:val="18"/>
          <w:lang w:val="es-ES_tradnl"/>
        </w:rPr>
        <w:t>é</w:t>
      </w:r>
      <w:r>
        <w:rPr>
          <w:spacing w:val="-6"/>
          <w:sz w:val="18"/>
          <w:szCs w:val="18"/>
          <w:lang w:val="es-ES_tradnl"/>
        </w:rPr>
        <w:t xml:space="preserve">gimen Tributario Interno y esto puede ser claramente </w:t>
      </w:r>
      <w:r>
        <w:rPr>
          <w:spacing w:val="-8"/>
          <w:sz w:val="18"/>
          <w:szCs w:val="18"/>
          <w:lang w:val="es-ES_tradnl"/>
        </w:rPr>
        <w:t xml:space="preserve">identificado cuando el accionante, luego de enunciar en su </w:t>
      </w:r>
      <w:r>
        <w:rPr>
          <w:spacing w:val="-9"/>
          <w:sz w:val="18"/>
          <w:szCs w:val="18"/>
          <w:lang w:val="es-ES_tradnl"/>
        </w:rPr>
        <w:t>demanda el contenido del art</w:t>
      </w:r>
      <w:r>
        <w:rPr>
          <w:rFonts w:cs="Times New Roman"/>
          <w:spacing w:val="-9"/>
          <w:sz w:val="18"/>
          <w:szCs w:val="18"/>
          <w:lang w:val="es-ES_tradnl"/>
        </w:rPr>
        <w:t>í</w:t>
      </w:r>
      <w:r>
        <w:rPr>
          <w:spacing w:val="-9"/>
          <w:sz w:val="18"/>
          <w:szCs w:val="18"/>
          <w:lang w:val="es-ES_tradnl"/>
        </w:rPr>
        <w:t>culo 72 de la Ley de R</w:t>
      </w:r>
      <w:r>
        <w:rPr>
          <w:rFonts w:cs="Times New Roman"/>
          <w:spacing w:val="-9"/>
          <w:sz w:val="18"/>
          <w:szCs w:val="18"/>
          <w:lang w:val="es-ES_tradnl"/>
        </w:rPr>
        <w:t>é</w:t>
      </w:r>
      <w:r>
        <w:rPr>
          <w:spacing w:val="-9"/>
          <w:sz w:val="18"/>
          <w:szCs w:val="18"/>
          <w:lang w:val="es-ES_tradnl"/>
        </w:rPr>
        <w:t>gimen Tributario Interno, expresa que de acuerdo al art</w:t>
      </w:r>
      <w:r>
        <w:rPr>
          <w:rFonts w:cs="Times New Roman"/>
          <w:spacing w:val="-9"/>
          <w:sz w:val="18"/>
          <w:szCs w:val="18"/>
          <w:lang w:val="es-ES_tradnl"/>
        </w:rPr>
        <w:t>í</w:t>
      </w:r>
      <w:r>
        <w:rPr>
          <w:spacing w:val="-9"/>
          <w:sz w:val="18"/>
          <w:szCs w:val="18"/>
          <w:lang w:val="es-ES_tradnl"/>
        </w:rPr>
        <w:t xml:space="preserve">culo 64 del </w:t>
      </w:r>
      <w:r>
        <w:rPr>
          <w:spacing w:val="-6"/>
          <w:sz w:val="18"/>
          <w:szCs w:val="18"/>
          <w:lang w:val="es-ES_tradnl"/>
        </w:rPr>
        <w:t>C</w:t>
      </w:r>
      <w:r>
        <w:rPr>
          <w:rFonts w:cs="Times New Roman"/>
          <w:spacing w:val="-6"/>
          <w:sz w:val="18"/>
          <w:szCs w:val="18"/>
          <w:lang w:val="es-ES_tradnl"/>
        </w:rPr>
        <w:t>ó</w:t>
      </w:r>
      <w:r>
        <w:rPr>
          <w:spacing w:val="-6"/>
          <w:sz w:val="18"/>
          <w:szCs w:val="18"/>
          <w:lang w:val="es-ES_tradnl"/>
        </w:rPr>
        <w:t>digo Tributario, la administraci</w:t>
      </w:r>
      <w:r>
        <w:rPr>
          <w:rFonts w:cs="Times New Roman"/>
          <w:spacing w:val="-6"/>
          <w:sz w:val="18"/>
          <w:szCs w:val="18"/>
          <w:lang w:val="es-ES_tradnl"/>
        </w:rPr>
        <w:t>ó</w:t>
      </w:r>
      <w:r>
        <w:rPr>
          <w:spacing w:val="-6"/>
          <w:sz w:val="18"/>
          <w:szCs w:val="18"/>
          <w:lang w:val="es-ES_tradnl"/>
        </w:rPr>
        <w:t xml:space="preserve">n tributaria en el </w:t>
      </w:r>
      <w:r>
        <w:rPr>
          <w:rFonts w:cs="Times New Roman"/>
          <w:spacing w:val="-6"/>
          <w:sz w:val="18"/>
          <w:szCs w:val="18"/>
          <w:lang w:val="es-ES_tradnl"/>
        </w:rPr>
        <w:t>á</w:t>
      </w:r>
      <w:r>
        <w:rPr>
          <w:spacing w:val="-6"/>
          <w:sz w:val="18"/>
          <w:szCs w:val="18"/>
          <w:lang w:val="es-ES_tradnl"/>
        </w:rPr>
        <w:t xml:space="preserve">mbito </w:t>
      </w:r>
      <w:r>
        <w:rPr>
          <w:spacing w:val="-9"/>
          <w:sz w:val="18"/>
          <w:szCs w:val="18"/>
          <w:lang w:val="es-ES_tradnl"/>
        </w:rPr>
        <w:t>nacional le corresponde al presidente de la Rep</w:t>
      </w:r>
      <w:r>
        <w:rPr>
          <w:rFonts w:cs="Times New Roman"/>
          <w:spacing w:val="-9"/>
          <w:sz w:val="18"/>
          <w:szCs w:val="18"/>
          <w:lang w:val="es-ES_tradnl"/>
        </w:rPr>
        <w:t>ú</w:t>
      </w:r>
      <w:r>
        <w:rPr>
          <w:spacing w:val="-9"/>
          <w:sz w:val="18"/>
          <w:szCs w:val="18"/>
          <w:lang w:val="es-ES_tradnl"/>
        </w:rPr>
        <w:t xml:space="preserve">blica y que </w:t>
      </w:r>
      <w:r>
        <w:rPr>
          <w:spacing w:val="-6"/>
          <w:sz w:val="18"/>
          <w:szCs w:val="18"/>
          <w:lang w:val="es-ES_tradnl"/>
        </w:rPr>
        <w:t>como resultado de aquello, se expidi</w:t>
      </w:r>
      <w:r>
        <w:rPr>
          <w:rFonts w:cs="Times New Roman"/>
          <w:spacing w:val="-6"/>
          <w:sz w:val="18"/>
          <w:szCs w:val="18"/>
          <w:lang w:val="es-ES_tradnl"/>
        </w:rPr>
        <w:t>ó</w:t>
      </w:r>
      <w:r>
        <w:rPr>
          <w:spacing w:val="-6"/>
          <w:sz w:val="18"/>
          <w:szCs w:val="18"/>
          <w:lang w:val="es-ES_tradnl"/>
        </w:rPr>
        <w:t xml:space="preserve"> el 13 de diciembre de 2003, el Decreto Ejecutivo N.</w:t>
      </w:r>
      <w:r>
        <w:rPr>
          <w:rFonts w:cs="Times New Roman"/>
          <w:spacing w:val="-6"/>
          <w:sz w:val="18"/>
          <w:szCs w:val="18"/>
          <w:lang w:val="es-ES_tradnl"/>
        </w:rPr>
        <w:t>º</w:t>
      </w:r>
      <w:r>
        <w:rPr>
          <w:spacing w:val="-6"/>
          <w:sz w:val="18"/>
          <w:szCs w:val="18"/>
          <w:lang w:val="es-ES_tradnl"/>
        </w:rPr>
        <w:t xml:space="preserve"> 1258 que establece las </w:t>
      </w:r>
      <w:r>
        <w:rPr>
          <w:spacing w:val="-7"/>
          <w:sz w:val="18"/>
          <w:szCs w:val="18"/>
          <w:lang w:val="es-ES_tradnl"/>
        </w:rPr>
        <w:t>normas reglamentarias de aplicaci</w:t>
      </w:r>
      <w:r>
        <w:rPr>
          <w:rFonts w:cs="Times New Roman"/>
          <w:spacing w:val="-7"/>
          <w:sz w:val="18"/>
          <w:szCs w:val="18"/>
          <w:lang w:val="es-ES_tradnl"/>
        </w:rPr>
        <w:t>ó</w:t>
      </w:r>
      <w:r>
        <w:rPr>
          <w:spacing w:val="-7"/>
          <w:sz w:val="18"/>
          <w:szCs w:val="18"/>
          <w:lang w:val="es-ES_tradnl"/>
        </w:rPr>
        <w:t xml:space="preserve">n del primer inciso del </w:t>
      </w:r>
      <w:r>
        <w:rPr>
          <w:sz w:val="18"/>
          <w:szCs w:val="18"/>
          <w:lang w:val="es-ES_tradnl"/>
        </w:rPr>
        <w:t>art</w:t>
      </w:r>
      <w:r>
        <w:rPr>
          <w:rFonts w:cs="Times New Roman"/>
          <w:sz w:val="18"/>
          <w:szCs w:val="18"/>
          <w:lang w:val="es-ES_tradnl"/>
        </w:rPr>
        <w:t>í</w:t>
      </w:r>
      <w:r>
        <w:rPr>
          <w:sz w:val="18"/>
          <w:szCs w:val="18"/>
          <w:lang w:val="es-ES_tradnl"/>
        </w:rPr>
        <w:t>culo 72.</w:t>
      </w:r>
    </w:p>
    <w:p w14:paraId="4F67B779" w14:textId="77777777" w:rsidR="00591D54" w:rsidRDefault="00591D54">
      <w:pPr>
        <w:shd w:val="clear" w:color="auto" w:fill="FFFFFF"/>
        <w:spacing w:before="192" w:line="216" w:lineRule="exact"/>
        <w:ind w:right="5"/>
        <w:jc w:val="both"/>
      </w:pPr>
      <w:r>
        <w:rPr>
          <w:spacing w:val="-7"/>
          <w:sz w:val="18"/>
          <w:szCs w:val="18"/>
          <w:lang w:val="es-ES_tradnl"/>
        </w:rPr>
        <w:t>El accionante durante el libelo de su demanda de acci</w:t>
      </w:r>
      <w:r>
        <w:rPr>
          <w:rFonts w:cs="Times New Roman"/>
          <w:spacing w:val="-7"/>
          <w:sz w:val="18"/>
          <w:szCs w:val="18"/>
          <w:lang w:val="es-ES_tradnl"/>
        </w:rPr>
        <w:t>ó</w:t>
      </w:r>
      <w:r>
        <w:rPr>
          <w:spacing w:val="-7"/>
          <w:sz w:val="18"/>
          <w:szCs w:val="18"/>
          <w:lang w:val="es-ES_tradnl"/>
        </w:rPr>
        <w:t>n extraordinaria de protecci</w:t>
      </w:r>
      <w:r>
        <w:rPr>
          <w:rFonts w:cs="Times New Roman"/>
          <w:spacing w:val="-7"/>
          <w:sz w:val="18"/>
          <w:szCs w:val="18"/>
          <w:lang w:val="es-ES_tradnl"/>
        </w:rPr>
        <w:t>ó</w:t>
      </w:r>
      <w:r>
        <w:rPr>
          <w:spacing w:val="-7"/>
          <w:sz w:val="18"/>
          <w:szCs w:val="18"/>
          <w:lang w:val="es-ES_tradnl"/>
        </w:rPr>
        <w:t xml:space="preserve">n expone una presunta falta de </w:t>
      </w:r>
      <w:r>
        <w:rPr>
          <w:spacing w:val="-4"/>
          <w:sz w:val="18"/>
          <w:szCs w:val="18"/>
          <w:lang w:val="es-ES_tradnl"/>
        </w:rPr>
        <w:t>aplicaci</w:t>
      </w:r>
      <w:r>
        <w:rPr>
          <w:rFonts w:cs="Times New Roman"/>
          <w:spacing w:val="-4"/>
          <w:sz w:val="18"/>
          <w:szCs w:val="18"/>
          <w:lang w:val="es-ES_tradnl"/>
        </w:rPr>
        <w:t>ó</w:t>
      </w:r>
      <w:r>
        <w:rPr>
          <w:spacing w:val="-4"/>
          <w:sz w:val="18"/>
          <w:szCs w:val="18"/>
          <w:lang w:val="es-ES_tradnl"/>
        </w:rPr>
        <w:t>n de disposiciones normativas, se</w:t>
      </w:r>
      <w:r>
        <w:rPr>
          <w:rFonts w:cs="Times New Roman"/>
          <w:spacing w:val="-4"/>
          <w:sz w:val="18"/>
          <w:szCs w:val="18"/>
          <w:lang w:val="es-ES_tradnl"/>
        </w:rPr>
        <w:t>ñ</w:t>
      </w:r>
      <w:r>
        <w:rPr>
          <w:spacing w:val="-4"/>
          <w:sz w:val="18"/>
          <w:szCs w:val="18"/>
          <w:lang w:val="es-ES_tradnl"/>
        </w:rPr>
        <w:t>alando para el efecto que en el a</w:t>
      </w:r>
      <w:r>
        <w:rPr>
          <w:rFonts w:cs="Times New Roman"/>
          <w:spacing w:val="-4"/>
          <w:sz w:val="18"/>
          <w:szCs w:val="18"/>
          <w:lang w:val="es-ES_tradnl"/>
        </w:rPr>
        <w:t>ñ</w:t>
      </w:r>
      <w:r>
        <w:rPr>
          <w:spacing w:val="-4"/>
          <w:sz w:val="18"/>
          <w:szCs w:val="18"/>
          <w:lang w:val="es-ES_tradnl"/>
        </w:rPr>
        <w:t>o 2003, la administraci</w:t>
      </w:r>
      <w:r>
        <w:rPr>
          <w:rFonts w:cs="Times New Roman"/>
          <w:spacing w:val="-4"/>
          <w:sz w:val="18"/>
          <w:szCs w:val="18"/>
          <w:lang w:val="es-ES_tradnl"/>
        </w:rPr>
        <w:t>ó</w:t>
      </w:r>
      <w:r>
        <w:rPr>
          <w:spacing w:val="-4"/>
          <w:sz w:val="18"/>
          <w:szCs w:val="18"/>
          <w:lang w:val="es-ES_tradnl"/>
        </w:rPr>
        <w:t xml:space="preserve">n tributaria </w:t>
      </w:r>
      <w:r>
        <w:rPr>
          <w:spacing w:val="-5"/>
          <w:sz w:val="18"/>
          <w:szCs w:val="18"/>
          <w:lang w:val="es-ES_tradnl"/>
        </w:rPr>
        <w:t>no expidi</w:t>
      </w:r>
      <w:r>
        <w:rPr>
          <w:rFonts w:cs="Times New Roman"/>
          <w:spacing w:val="-5"/>
          <w:sz w:val="18"/>
          <w:szCs w:val="18"/>
          <w:lang w:val="es-ES_tradnl"/>
        </w:rPr>
        <w:t>ó</w:t>
      </w:r>
      <w:r>
        <w:rPr>
          <w:spacing w:val="-5"/>
          <w:sz w:val="18"/>
          <w:szCs w:val="18"/>
          <w:lang w:val="es-ES_tradnl"/>
        </w:rPr>
        <w:t xml:space="preserve"> la resoluci</w:t>
      </w:r>
      <w:r>
        <w:rPr>
          <w:rFonts w:cs="Times New Roman"/>
          <w:spacing w:val="-5"/>
          <w:sz w:val="18"/>
          <w:szCs w:val="18"/>
          <w:lang w:val="es-ES_tradnl"/>
        </w:rPr>
        <w:t>ó</w:t>
      </w:r>
      <w:r>
        <w:rPr>
          <w:spacing w:val="-5"/>
          <w:sz w:val="18"/>
          <w:szCs w:val="18"/>
          <w:lang w:val="es-ES_tradnl"/>
        </w:rPr>
        <w:t xml:space="preserve">n en la que se haya realizado el </w:t>
      </w:r>
      <w:r>
        <w:rPr>
          <w:spacing w:val="-8"/>
          <w:sz w:val="18"/>
          <w:szCs w:val="18"/>
          <w:lang w:val="es-ES_tradnl"/>
        </w:rPr>
        <w:t>c</w:t>
      </w:r>
      <w:r>
        <w:rPr>
          <w:rFonts w:cs="Times New Roman"/>
          <w:spacing w:val="-8"/>
          <w:sz w:val="18"/>
          <w:szCs w:val="18"/>
          <w:lang w:val="es-ES_tradnl"/>
        </w:rPr>
        <w:t>á</w:t>
      </w:r>
      <w:r>
        <w:rPr>
          <w:spacing w:val="-8"/>
          <w:sz w:val="18"/>
          <w:szCs w:val="18"/>
          <w:lang w:val="es-ES_tradnl"/>
        </w:rPr>
        <w:t>lculo matem</w:t>
      </w:r>
      <w:r>
        <w:rPr>
          <w:rFonts w:cs="Times New Roman"/>
          <w:spacing w:val="-8"/>
          <w:sz w:val="18"/>
          <w:szCs w:val="18"/>
          <w:lang w:val="es-ES_tradnl"/>
        </w:rPr>
        <w:t>á</w:t>
      </w:r>
      <w:r>
        <w:rPr>
          <w:spacing w:val="-8"/>
          <w:sz w:val="18"/>
          <w:szCs w:val="18"/>
          <w:lang w:val="es-ES_tradnl"/>
        </w:rPr>
        <w:t xml:space="preserve">tico de la base imponible para las bebidas </w:t>
      </w:r>
      <w:r>
        <w:rPr>
          <w:spacing w:val="-2"/>
          <w:sz w:val="18"/>
          <w:szCs w:val="18"/>
          <w:lang w:val="es-ES_tradnl"/>
        </w:rPr>
        <w:t>alcoh</w:t>
      </w:r>
      <w:r>
        <w:rPr>
          <w:rFonts w:cs="Times New Roman"/>
          <w:spacing w:val="-2"/>
          <w:sz w:val="18"/>
          <w:szCs w:val="18"/>
          <w:lang w:val="es-ES_tradnl"/>
        </w:rPr>
        <w:t>ó</w:t>
      </w:r>
      <w:r>
        <w:rPr>
          <w:spacing w:val="-2"/>
          <w:sz w:val="18"/>
          <w:szCs w:val="18"/>
          <w:lang w:val="es-ES_tradnl"/>
        </w:rPr>
        <w:t>licas para cumplir con lo dispuesto en el art</w:t>
      </w:r>
      <w:r>
        <w:rPr>
          <w:rFonts w:cs="Times New Roman"/>
          <w:spacing w:val="-2"/>
          <w:sz w:val="18"/>
          <w:szCs w:val="18"/>
          <w:lang w:val="es-ES_tradnl"/>
        </w:rPr>
        <w:t>í</w:t>
      </w:r>
      <w:r>
        <w:rPr>
          <w:spacing w:val="-2"/>
          <w:sz w:val="18"/>
          <w:szCs w:val="18"/>
          <w:lang w:val="es-ES_tradnl"/>
        </w:rPr>
        <w:t>culo</w:t>
      </w:r>
    </w:p>
    <w:p w14:paraId="4F67B77A" w14:textId="77777777" w:rsidR="00591D54" w:rsidRDefault="00591D54">
      <w:pPr>
        <w:shd w:val="clear" w:color="auto" w:fill="FFFFFF"/>
        <w:spacing w:line="221" w:lineRule="exact"/>
        <w:jc w:val="both"/>
      </w:pPr>
      <w:r>
        <w:br w:type="column"/>
      </w:r>
      <w:r>
        <w:rPr>
          <w:spacing w:val="-12"/>
          <w:sz w:val="18"/>
          <w:szCs w:val="18"/>
          <w:lang w:val="es-ES_tradnl"/>
        </w:rPr>
        <w:t>1258. Esto puede ser observado cuando el accionante se</w:t>
      </w:r>
      <w:r>
        <w:rPr>
          <w:rFonts w:cs="Times New Roman"/>
          <w:spacing w:val="-12"/>
          <w:sz w:val="18"/>
          <w:szCs w:val="18"/>
          <w:lang w:val="es-ES_tradnl"/>
        </w:rPr>
        <w:t>ñ</w:t>
      </w:r>
      <w:r>
        <w:rPr>
          <w:spacing w:val="-12"/>
          <w:sz w:val="18"/>
          <w:szCs w:val="18"/>
          <w:lang w:val="es-ES_tradnl"/>
        </w:rPr>
        <w:t xml:space="preserve">ala </w:t>
      </w:r>
      <w:r>
        <w:rPr>
          <w:spacing w:val="-7"/>
          <w:sz w:val="18"/>
          <w:szCs w:val="18"/>
          <w:lang w:val="es-ES_tradnl"/>
        </w:rPr>
        <w:t xml:space="preserve">textualmente: </w:t>
      </w:r>
      <w:r>
        <w:rPr>
          <w:rFonts w:cs="Times New Roman"/>
          <w:spacing w:val="-7"/>
          <w:sz w:val="18"/>
          <w:szCs w:val="18"/>
          <w:lang w:val="es-ES_tradnl"/>
        </w:rPr>
        <w:t>“</w:t>
      </w:r>
      <w:r>
        <w:rPr>
          <w:spacing w:val="-7"/>
          <w:sz w:val="18"/>
          <w:szCs w:val="18"/>
          <w:lang w:val="es-ES_tradnl"/>
        </w:rPr>
        <w:t>Determinados as</w:t>
      </w:r>
      <w:r>
        <w:rPr>
          <w:rFonts w:cs="Times New Roman"/>
          <w:spacing w:val="-7"/>
          <w:sz w:val="18"/>
          <w:szCs w:val="18"/>
          <w:lang w:val="es-ES_tradnl"/>
        </w:rPr>
        <w:t>í</w:t>
      </w:r>
      <w:r>
        <w:rPr>
          <w:spacing w:val="-7"/>
          <w:sz w:val="18"/>
          <w:szCs w:val="18"/>
          <w:lang w:val="es-ES_tradnl"/>
        </w:rPr>
        <w:t xml:space="preserve"> los precios referenciales del a</w:t>
      </w:r>
      <w:r>
        <w:rPr>
          <w:rFonts w:cs="Times New Roman"/>
          <w:spacing w:val="-7"/>
          <w:sz w:val="18"/>
          <w:szCs w:val="18"/>
          <w:lang w:val="es-ES_tradnl"/>
        </w:rPr>
        <w:t>ñ</w:t>
      </w:r>
      <w:r>
        <w:rPr>
          <w:spacing w:val="-7"/>
          <w:sz w:val="18"/>
          <w:szCs w:val="18"/>
          <w:lang w:val="es-ES_tradnl"/>
        </w:rPr>
        <w:t>o 2003, la administraci</w:t>
      </w:r>
      <w:r>
        <w:rPr>
          <w:rFonts w:cs="Times New Roman"/>
          <w:spacing w:val="-7"/>
          <w:sz w:val="18"/>
          <w:szCs w:val="18"/>
          <w:lang w:val="es-ES_tradnl"/>
        </w:rPr>
        <w:t>ó</w:t>
      </w:r>
      <w:r>
        <w:rPr>
          <w:spacing w:val="-7"/>
          <w:sz w:val="18"/>
          <w:szCs w:val="18"/>
          <w:lang w:val="es-ES_tradnl"/>
        </w:rPr>
        <w:t>n debi</w:t>
      </w:r>
      <w:r>
        <w:rPr>
          <w:rFonts w:cs="Times New Roman"/>
          <w:spacing w:val="-7"/>
          <w:sz w:val="18"/>
          <w:szCs w:val="18"/>
          <w:lang w:val="es-ES_tradnl"/>
        </w:rPr>
        <w:t>ó</w:t>
      </w:r>
      <w:r>
        <w:rPr>
          <w:spacing w:val="-7"/>
          <w:sz w:val="18"/>
          <w:szCs w:val="18"/>
          <w:lang w:val="es-ES_tradnl"/>
        </w:rPr>
        <w:t xml:space="preserve"> calcular el impuesto </w:t>
      </w:r>
      <w:r>
        <w:rPr>
          <w:spacing w:val="-5"/>
          <w:sz w:val="18"/>
          <w:szCs w:val="18"/>
          <w:lang w:val="es-ES_tradnl"/>
        </w:rPr>
        <w:t>aplicando lo dispuesto por el Presidente de la Rep</w:t>
      </w:r>
      <w:r>
        <w:rPr>
          <w:rFonts w:cs="Times New Roman"/>
          <w:spacing w:val="-5"/>
          <w:sz w:val="18"/>
          <w:szCs w:val="18"/>
          <w:lang w:val="es-ES_tradnl"/>
        </w:rPr>
        <w:t>ú</w:t>
      </w:r>
      <w:r>
        <w:rPr>
          <w:spacing w:val="-5"/>
          <w:sz w:val="18"/>
          <w:szCs w:val="18"/>
          <w:lang w:val="es-ES_tradnl"/>
        </w:rPr>
        <w:t>blica en el Decreto Ejecutivo N.</w:t>
      </w:r>
      <w:r>
        <w:rPr>
          <w:rFonts w:cs="Times New Roman"/>
          <w:spacing w:val="-5"/>
          <w:sz w:val="18"/>
          <w:szCs w:val="18"/>
          <w:lang w:val="es-ES_tradnl"/>
        </w:rPr>
        <w:t>º</w:t>
      </w:r>
      <w:r>
        <w:rPr>
          <w:spacing w:val="-5"/>
          <w:sz w:val="18"/>
          <w:szCs w:val="18"/>
          <w:lang w:val="es-ES_tradnl"/>
        </w:rPr>
        <w:t xml:space="preserve"> 1258-A, con lo cual estar</w:t>
      </w:r>
      <w:r>
        <w:rPr>
          <w:rFonts w:cs="Times New Roman"/>
          <w:spacing w:val="-5"/>
          <w:sz w:val="18"/>
          <w:szCs w:val="18"/>
          <w:lang w:val="es-ES_tradnl"/>
        </w:rPr>
        <w:t>í</w:t>
      </w:r>
      <w:r>
        <w:rPr>
          <w:spacing w:val="-5"/>
          <w:sz w:val="18"/>
          <w:szCs w:val="18"/>
          <w:lang w:val="es-ES_tradnl"/>
        </w:rPr>
        <w:t xml:space="preserve">a </w:t>
      </w:r>
      <w:r>
        <w:rPr>
          <w:sz w:val="18"/>
          <w:szCs w:val="18"/>
          <w:lang w:val="es-ES_tradnl"/>
        </w:rPr>
        <w:t>cumpliendo con la normativa vigente</w:t>
      </w:r>
      <w:r>
        <w:rPr>
          <w:rFonts w:cs="Times New Roman"/>
          <w:sz w:val="18"/>
          <w:szCs w:val="18"/>
          <w:lang w:val="es-ES_tradnl"/>
        </w:rPr>
        <w:t>”</w:t>
      </w:r>
      <w:r>
        <w:rPr>
          <w:sz w:val="18"/>
          <w:szCs w:val="18"/>
          <w:lang w:val="es-ES_tradnl"/>
        </w:rPr>
        <w:t>.</w:t>
      </w:r>
    </w:p>
    <w:p w14:paraId="4F67B77B" w14:textId="77777777" w:rsidR="00591D54" w:rsidRDefault="00591D54">
      <w:pPr>
        <w:shd w:val="clear" w:color="auto" w:fill="FFFFFF"/>
        <w:spacing w:before="206" w:line="221" w:lineRule="exact"/>
        <w:jc w:val="both"/>
      </w:pPr>
      <w:r>
        <w:rPr>
          <w:sz w:val="18"/>
          <w:szCs w:val="18"/>
          <w:lang w:val="es-ES_tradnl"/>
        </w:rPr>
        <w:t xml:space="preserve">A partir de aquello, la Corte Constitucional identifica </w:t>
      </w:r>
      <w:r>
        <w:rPr>
          <w:spacing w:val="-6"/>
          <w:sz w:val="18"/>
          <w:szCs w:val="18"/>
          <w:lang w:val="es-ES_tradnl"/>
        </w:rPr>
        <w:t>en lo principal, que la pretensi</w:t>
      </w:r>
      <w:r>
        <w:rPr>
          <w:rFonts w:cs="Times New Roman"/>
          <w:spacing w:val="-6"/>
          <w:sz w:val="18"/>
          <w:szCs w:val="18"/>
          <w:lang w:val="es-ES_tradnl"/>
        </w:rPr>
        <w:t>ó</w:t>
      </w:r>
      <w:r>
        <w:rPr>
          <w:spacing w:val="-6"/>
          <w:sz w:val="18"/>
          <w:szCs w:val="18"/>
          <w:lang w:val="es-ES_tradnl"/>
        </w:rPr>
        <w:t>n del se</w:t>
      </w:r>
      <w:r>
        <w:rPr>
          <w:rFonts w:cs="Times New Roman"/>
          <w:spacing w:val="-6"/>
          <w:sz w:val="18"/>
          <w:szCs w:val="18"/>
          <w:lang w:val="es-ES_tradnl"/>
        </w:rPr>
        <w:t>ñ</w:t>
      </w:r>
      <w:r>
        <w:rPr>
          <w:spacing w:val="-6"/>
          <w:sz w:val="18"/>
          <w:szCs w:val="18"/>
          <w:lang w:val="es-ES_tradnl"/>
        </w:rPr>
        <w:t xml:space="preserve">or </w:t>
      </w:r>
      <w:r>
        <w:rPr>
          <w:rFonts w:cs="Times New Roman"/>
          <w:spacing w:val="-6"/>
          <w:sz w:val="18"/>
          <w:szCs w:val="18"/>
          <w:lang w:val="es-ES_tradnl"/>
        </w:rPr>
        <w:t>Á</w:t>
      </w:r>
      <w:r>
        <w:rPr>
          <w:spacing w:val="-6"/>
          <w:sz w:val="18"/>
          <w:szCs w:val="18"/>
          <w:lang w:val="es-ES_tradnl"/>
        </w:rPr>
        <w:t>ngel Ra</w:t>
      </w:r>
      <w:r>
        <w:rPr>
          <w:rFonts w:cs="Times New Roman"/>
          <w:spacing w:val="-6"/>
          <w:sz w:val="18"/>
          <w:szCs w:val="18"/>
          <w:lang w:val="es-ES_tradnl"/>
        </w:rPr>
        <w:t>ú</w:t>
      </w:r>
      <w:r>
        <w:rPr>
          <w:spacing w:val="-6"/>
          <w:sz w:val="18"/>
          <w:szCs w:val="18"/>
          <w:lang w:val="es-ES_tradnl"/>
        </w:rPr>
        <w:t xml:space="preserve">l </w:t>
      </w:r>
      <w:r>
        <w:rPr>
          <w:spacing w:val="-8"/>
          <w:sz w:val="18"/>
          <w:szCs w:val="18"/>
          <w:lang w:val="es-ES_tradnl"/>
        </w:rPr>
        <w:t>Salvador se encuentra dirigida a que mediante la garant</w:t>
      </w:r>
      <w:r>
        <w:rPr>
          <w:rFonts w:cs="Times New Roman"/>
          <w:spacing w:val="-8"/>
          <w:sz w:val="18"/>
          <w:szCs w:val="18"/>
          <w:lang w:val="es-ES_tradnl"/>
        </w:rPr>
        <w:t>í</w:t>
      </w:r>
      <w:r>
        <w:rPr>
          <w:spacing w:val="-8"/>
          <w:sz w:val="18"/>
          <w:szCs w:val="18"/>
          <w:lang w:val="es-ES_tradnl"/>
        </w:rPr>
        <w:t xml:space="preserve">a </w:t>
      </w:r>
      <w:r>
        <w:rPr>
          <w:spacing w:val="-6"/>
          <w:sz w:val="18"/>
          <w:szCs w:val="18"/>
          <w:lang w:val="es-ES_tradnl"/>
        </w:rPr>
        <w:t xml:space="preserve">jurisdiccional formulada, se interprete de modo distinto las normas aplicadas por la Corte Nacional de Justicia en el </w:t>
      </w:r>
      <w:r>
        <w:rPr>
          <w:spacing w:val="-7"/>
          <w:sz w:val="18"/>
          <w:szCs w:val="18"/>
          <w:lang w:val="es-ES_tradnl"/>
        </w:rPr>
        <w:t xml:space="preserve">caso concreto, es decir, que se apliquen de modo distinto </w:t>
      </w:r>
      <w:r>
        <w:rPr>
          <w:spacing w:val="-9"/>
          <w:sz w:val="18"/>
          <w:szCs w:val="18"/>
          <w:lang w:val="es-ES_tradnl"/>
        </w:rPr>
        <w:t>las normas que regulan la fijaci</w:t>
      </w:r>
      <w:r>
        <w:rPr>
          <w:rFonts w:cs="Times New Roman"/>
          <w:spacing w:val="-9"/>
          <w:sz w:val="18"/>
          <w:szCs w:val="18"/>
          <w:lang w:val="es-ES_tradnl"/>
        </w:rPr>
        <w:t>ó</w:t>
      </w:r>
      <w:r>
        <w:rPr>
          <w:spacing w:val="-9"/>
          <w:sz w:val="18"/>
          <w:szCs w:val="18"/>
          <w:lang w:val="es-ES_tradnl"/>
        </w:rPr>
        <w:t xml:space="preserve">n de precios de las bebidas </w:t>
      </w:r>
      <w:r>
        <w:rPr>
          <w:spacing w:val="-8"/>
          <w:sz w:val="18"/>
          <w:szCs w:val="18"/>
          <w:lang w:val="es-ES_tradnl"/>
        </w:rPr>
        <w:t>alcoh</w:t>
      </w:r>
      <w:r>
        <w:rPr>
          <w:rFonts w:cs="Times New Roman"/>
          <w:spacing w:val="-8"/>
          <w:sz w:val="18"/>
          <w:szCs w:val="18"/>
          <w:lang w:val="es-ES_tradnl"/>
        </w:rPr>
        <w:t>ó</w:t>
      </w:r>
      <w:r>
        <w:rPr>
          <w:spacing w:val="-8"/>
          <w:sz w:val="18"/>
          <w:szCs w:val="18"/>
          <w:lang w:val="es-ES_tradnl"/>
        </w:rPr>
        <w:t>licas, as</w:t>
      </w:r>
      <w:r>
        <w:rPr>
          <w:rFonts w:cs="Times New Roman"/>
          <w:spacing w:val="-8"/>
          <w:sz w:val="18"/>
          <w:szCs w:val="18"/>
          <w:lang w:val="es-ES_tradnl"/>
        </w:rPr>
        <w:t>í</w:t>
      </w:r>
      <w:r>
        <w:rPr>
          <w:spacing w:val="-8"/>
          <w:sz w:val="18"/>
          <w:szCs w:val="18"/>
          <w:lang w:val="es-ES_tradnl"/>
        </w:rPr>
        <w:t xml:space="preserve"> como tambi</w:t>
      </w:r>
      <w:r>
        <w:rPr>
          <w:rFonts w:cs="Times New Roman"/>
          <w:spacing w:val="-8"/>
          <w:sz w:val="18"/>
          <w:szCs w:val="18"/>
          <w:lang w:val="es-ES_tradnl"/>
        </w:rPr>
        <w:t>é</w:t>
      </w:r>
      <w:r>
        <w:rPr>
          <w:spacing w:val="-8"/>
          <w:sz w:val="18"/>
          <w:szCs w:val="18"/>
          <w:lang w:val="es-ES_tradnl"/>
        </w:rPr>
        <w:t>n que este Organismo eval</w:t>
      </w:r>
      <w:r>
        <w:rPr>
          <w:rFonts w:cs="Times New Roman"/>
          <w:spacing w:val="-8"/>
          <w:sz w:val="18"/>
          <w:szCs w:val="18"/>
          <w:lang w:val="es-ES_tradnl"/>
        </w:rPr>
        <w:t>ú</w:t>
      </w:r>
      <w:r>
        <w:rPr>
          <w:spacing w:val="-8"/>
          <w:sz w:val="18"/>
          <w:szCs w:val="18"/>
          <w:lang w:val="es-ES_tradnl"/>
        </w:rPr>
        <w:t>e constitucionalmente una presunta falta de aplicaci</w:t>
      </w:r>
      <w:r>
        <w:rPr>
          <w:rFonts w:cs="Times New Roman"/>
          <w:spacing w:val="-8"/>
          <w:sz w:val="18"/>
          <w:szCs w:val="18"/>
          <w:lang w:val="es-ES_tradnl"/>
        </w:rPr>
        <w:t>ó</w:t>
      </w:r>
      <w:r>
        <w:rPr>
          <w:spacing w:val="-8"/>
          <w:sz w:val="18"/>
          <w:szCs w:val="18"/>
          <w:lang w:val="es-ES_tradnl"/>
        </w:rPr>
        <w:t xml:space="preserve">n de las </w:t>
      </w:r>
      <w:r>
        <w:rPr>
          <w:spacing w:val="-6"/>
          <w:sz w:val="18"/>
          <w:szCs w:val="18"/>
          <w:lang w:val="es-ES_tradnl"/>
        </w:rPr>
        <w:t xml:space="preserve">normas que a juicio del accionante, resultaban aplicables </w:t>
      </w:r>
      <w:r>
        <w:rPr>
          <w:spacing w:val="-7"/>
          <w:sz w:val="18"/>
          <w:szCs w:val="18"/>
          <w:lang w:val="es-ES_tradnl"/>
        </w:rPr>
        <w:t>en cuanto la regulaci</w:t>
      </w:r>
      <w:r>
        <w:rPr>
          <w:rFonts w:cs="Times New Roman"/>
          <w:spacing w:val="-7"/>
          <w:sz w:val="18"/>
          <w:szCs w:val="18"/>
          <w:lang w:val="es-ES_tradnl"/>
        </w:rPr>
        <w:t>ó</w:t>
      </w:r>
      <w:r>
        <w:rPr>
          <w:spacing w:val="-7"/>
          <w:sz w:val="18"/>
          <w:szCs w:val="18"/>
          <w:lang w:val="es-ES_tradnl"/>
        </w:rPr>
        <w:t xml:space="preserve">n de dichas bebidas, sin que de la </w:t>
      </w:r>
      <w:r>
        <w:rPr>
          <w:spacing w:val="-9"/>
          <w:sz w:val="18"/>
          <w:szCs w:val="18"/>
          <w:lang w:val="es-ES_tradnl"/>
        </w:rPr>
        <w:t>revisi</w:t>
      </w:r>
      <w:r>
        <w:rPr>
          <w:rFonts w:cs="Times New Roman"/>
          <w:spacing w:val="-9"/>
          <w:sz w:val="18"/>
          <w:szCs w:val="18"/>
          <w:lang w:val="es-ES_tradnl"/>
        </w:rPr>
        <w:t>ó</w:t>
      </w:r>
      <w:r>
        <w:rPr>
          <w:spacing w:val="-9"/>
          <w:sz w:val="18"/>
          <w:szCs w:val="18"/>
          <w:lang w:val="es-ES_tradnl"/>
        </w:rPr>
        <w:t xml:space="preserve">n del fallo impugnado ni del contenido de la demanda </w:t>
      </w:r>
      <w:r>
        <w:rPr>
          <w:spacing w:val="-11"/>
          <w:sz w:val="18"/>
          <w:szCs w:val="18"/>
          <w:lang w:val="es-ES_tradnl"/>
        </w:rPr>
        <w:t xml:space="preserve">se advierta motivo suficiente que denote que los jueces de la </w:t>
      </w:r>
      <w:r>
        <w:rPr>
          <w:spacing w:val="-9"/>
          <w:sz w:val="18"/>
          <w:szCs w:val="18"/>
          <w:lang w:val="es-ES_tradnl"/>
        </w:rPr>
        <w:t xml:space="preserve">Corte Nacional de Justicia hayan aplicado retroactivamente </w:t>
      </w:r>
      <w:r>
        <w:rPr>
          <w:spacing w:val="-4"/>
          <w:sz w:val="18"/>
          <w:szCs w:val="18"/>
          <w:lang w:val="es-ES_tradnl"/>
        </w:rPr>
        <w:t>normas de car</w:t>
      </w:r>
      <w:r>
        <w:rPr>
          <w:rFonts w:cs="Times New Roman"/>
          <w:spacing w:val="-4"/>
          <w:sz w:val="18"/>
          <w:szCs w:val="18"/>
          <w:lang w:val="es-ES_tradnl"/>
        </w:rPr>
        <w:t>á</w:t>
      </w:r>
      <w:r>
        <w:rPr>
          <w:spacing w:val="-4"/>
          <w:sz w:val="18"/>
          <w:szCs w:val="18"/>
          <w:lang w:val="es-ES_tradnl"/>
        </w:rPr>
        <w:t xml:space="preserve">cter tributario como inicialmente fue </w:t>
      </w:r>
      <w:r>
        <w:rPr>
          <w:spacing w:val="-8"/>
          <w:sz w:val="18"/>
          <w:szCs w:val="18"/>
          <w:lang w:val="es-ES_tradnl"/>
        </w:rPr>
        <w:t>considerado por esta Corte Constitucional y que adem</w:t>
      </w:r>
      <w:r>
        <w:rPr>
          <w:rFonts w:cs="Times New Roman"/>
          <w:spacing w:val="-8"/>
          <w:sz w:val="18"/>
          <w:szCs w:val="18"/>
          <w:lang w:val="es-ES_tradnl"/>
        </w:rPr>
        <w:t>á</w:t>
      </w:r>
      <w:r>
        <w:rPr>
          <w:spacing w:val="-8"/>
          <w:sz w:val="18"/>
          <w:szCs w:val="18"/>
          <w:lang w:val="es-ES_tradnl"/>
        </w:rPr>
        <w:t xml:space="preserve">s, </w:t>
      </w:r>
      <w:r>
        <w:rPr>
          <w:spacing w:val="-7"/>
          <w:sz w:val="18"/>
          <w:szCs w:val="18"/>
          <w:lang w:val="es-ES_tradnl"/>
        </w:rPr>
        <w:t xml:space="preserve">como efecto de aquello, la sentencia bajo examen haya </w:t>
      </w:r>
      <w:r>
        <w:rPr>
          <w:sz w:val="18"/>
          <w:szCs w:val="18"/>
          <w:lang w:val="es-ES_tradnl"/>
        </w:rPr>
        <w:t>vulnerado la seguridad jur</w:t>
      </w:r>
      <w:r>
        <w:rPr>
          <w:rFonts w:cs="Times New Roman"/>
          <w:sz w:val="18"/>
          <w:szCs w:val="18"/>
          <w:lang w:val="es-ES_tradnl"/>
        </w:rPr>
        <w:t>í</w:t>
      </w:r>
      <w:r>
        <w:rPr>
          <w:sz w:val="18"/>
          <w:szCs w:val="18"/>
          <w:lang w:val="es-ES_tradnl"/>
        </w:rPr>
        <w:t>dica.</w:t>
      </w:r>
    </w:p>
    <w:p w14:paraId="4F67B77C" w14:textId="77777777" w:rsidR="00591D54" w:rsidRDefault="00591D54">
      <w:pPr>
        <w:shd w:val="clear" w:color="auto" w:fill="FFFFFF"/>
        <w:spacing w:before="202" w:line="221" w:lineRule="exact"/>
        <w:jc w:val="both"/>
      </w:pPr>
      <w:r>
        <w:rPr>
          <w:spacing w:val="-6"/>
          <w:sz w:val="18"/>
          <w:szCs w:val="18"/>
          <w:lang w:val="es-ES_tradnl"/>
        </w:rPr>
        <w:t xml:space="preserve">Debe la Corte Constitucional recordar que mediante la </w:t>
      </w:r>
      <w:r>
        <w:rPr>
          <w:spacing w:val="-10"/>
          <w:sz w:val="18"/>
          <w:szCs w:val="18"/>
          <w:lang w:val="es-ES_tradnl"/>
        </w:rPr>
        <w:t>sentencia N.</w:t>
      </w:r>
      <w:r>
        <w:rPr>
          <w:rFonts w:cs="Times New Roman"/>
          <w:spacing w:val="-10"/>
          <w:sz w:val="18"/>
          <w:szCs w:val="18"/>
          <w:lang w:val="es-ES_tradnl"/>
        </w:rPr>
        <w:t>º</w:t>
      </w:r>
      <w:r>
        <w:rPr>
          <w:spacing w:val="-10"/>
          <w:sz w:val="18"/>
          <w:szCs w:val="18"/>
          <w:lang w:val="es-ES_tradnl"/>
        </w:rPr>
        <w:t xml:space="preserve"> 018-13-SEP-CC, se manifest</w:t>
      </w:r>
      <w:r>
        <w:rPr>
          <w:rFonts w:cs="Times New Roman"/>
          <w:spacing w:val="-10"/>
          <w:sz w:val="18"/>
          <w:szCs w:val="18"/>
          <w:lang w:val="es-ES_tradnl"/>
        </w:rPr>
        <w:t>ó</w:t>
      </w:r>
      <w:r>
        <w:rPr>
          <w:spacing w:val="-10"/>
          <w:sz w:val="18"/>
          <w:szCs w:val="18"/>
          <w:lang w:val="es-ES_tradnl"/>
        </w:rPr>
        <w:t xml:space="preserve"> que </w:t>
      </w:r>
      <w:r>
        <w:rPr>
          <w:rFonts w:cs="Times New Roman"/>
          <w:spacing w:val="-10"/>
          <w:sz w:val="18"/>
          <w:szCs w:val="18"/>
          <w:lang w:val="es-ES_tradnl"/>
        </w:rPr>
        <w:t>“</w:t>
      </w:r>
      <w:r>
        <w:rPr>
          <w:spacing w:val="-10"/>
          <w:sz w:val="18"/>
          <w:szCs w:val="18"/>
          <w:lang w:val="es-ES_tradnl"/>
        </w:rPr>
        <w:t xml:space="preserve">el derecho </w:t>
      </w:r>
      <w:r>
        <w:rPr>
          <w:spacing w:val="-6"/>
          <w:sz w:val="18"/>
          <w:szCs w:val="18"/>
          <w:lang w:val="es-ES_tradnl"/>
        </w:rPr>
        <w:t>a la seguridad jur</w:t>
      </w:r>
      <w:r>
        <w:rPr>
          <w:rFonts w:cs="Times New Roman"/>
          <w:spacing w:val="-6"/>
          <w:sz w:val="18"/>
          <w:szCs w:val="18"/>
          <w:lang w:val="es-ES_tradnl"/>
        </w:rPr>
        <w:t>í</w:t>
      </w:r>
      <w:r>
        <w:rPr>
          <w:spacing w:val="-6"/>
          <w:sz w:val="18"/>
          <w:szCs w:val="18"/>
          <w:lang w:val="es-ES_tradnl"/>
        </w:rPr>
        <w:t>dica no puede ni debe ser interpretado como un recurso tendiente a corregir insatisfacciones subjetivas que hacen relaci</w:t>
      </w:r>
      <w:r>
        <w:rPr>
          <w:rFonts w:cs="Times New Roman"/>
          <w:spacing w:val="-6"/>
          <w:sz w:val="18"/>
          <w:szCs w:val="18"/>
          <w:lang w:val="es-ES_tradnl"/>
        </w:rPr>
        <w:t>ó</w:t>
      </w:r>
      <w:r>
        <w:rPr>
          <w:spacing w:val="-6"/>
          <w:sz w:val="18"/>
          <w:szCs w:val="18"/>
          <w:lang w:val="es-ES_tradnl"/>
        </w:rPr>
        <w:t>n a una indebida o err</w:t>
      </w:r>
      <w:r>
        <w:rPr>
          <w:rFonts w:cs="Times New Roman"/>
          <w:spacing w:val="-6"/>
          <w:sz w:val="18"/>
          <w:szCs w:val="18"/>
          <w:lang w:val="es-ES_tradnl"/>
        </w:rPr>
        <w:t>ó</w:t>
      </w:r>
      <w:r>
        <w:rPr>
          <w:spacing w:val="-6"/>
          <w:sz w:val="18"/>
          <w:szCs w:val="18"/>
          <w:lang w:val="es-ES_tradnl"/>
        </w:rPr>
        <w:t xml:space="preserve">nea </w:t>
      </w:r>
      <w:r>
        <w:rPr>
          <w:spacing w:val="-9"/>
          <w:sz w:val="18"/>
          <w:szCs w:val="18"/>
          <w:lang w:val="es-ES_tradnl"/>
        </w:rPr>
        <w:t>aplicaci</w:t>
      </w:r>
      <w:r>
        <w:rPr>
          <w:rFonts w:cs="Times New Roman"/>
          <w:spacing w:val="-9"/>
          <w:sz w:val="18"/>
          <w:szCs w:val="18"/>
          <w:lang w:val="es-ES_tradnl"/>
        </w:rPr>
        <w:t>ó</w:t>
      </w:r>
      <w:r>
        <w:rPr>
          <w:spacing w:val="-9"/>
          <w:sz w:val="18"/>
          <w:szCs w:val="18"/>
          <w:lang w:val="es-ES_tradnl"/>
        </w:rPr>
        <w:t>n de una determinada norma jur</w:t>
      </w:r>
      <w:r>
        <w:rPr>
          <w:rFonts w:cs="Times New Roman"/>
          <w:spacing w:val="-9"/>
          <w:sz w:val="18"/>
          <w:szCs w:val="18"/>
          <w:lang w:val="es-ES_tradnl"/>
        </w:rPr>
        <w:t>í</w:t>
      </w:r>
      <w:r>
        <w:rPr>
          <w:spacing w:val="-9"/>
          <w:sz w:val="18"/>
          <w:szCs w:val="18"/>
          <w:lang w:val="es-ES_tradnl"/>
        </w:rPr>
        <w:t>dica</w:t>
      </w:r>
      <w:r>
        <w:rPr>
          <w:rFonts w:cs="Times New Roman"/>
          <w:spacing w:val="-9"/>
          <w:sz w:val="18"/>
          <w:szCs w:val="18"/>
          <w:lang w:val="es-ES_tradnl"/>
        </w:rPr>
        <w:t>”</w:t>
      </w:r>
      <w:r>
        <w:rPr>
          <w:spacing w:val="-9"/>
          <w:sz w:val="18"/>
          <w:szCs w:val="18"/>
          <w:vertAlign w:val="superscript"/>
          <w:lang w:val="es-ES_tradnl"/>
        </w:rPr>
        <w:t>7</w:t>
      </w:r>
      <w:r>
        <w:rPr>
          <w:spacing w:val="-9"/>
          <w:sz w:val="18"/>
          <w:szCs w:val="18"/>
          <w:lang w:val="es-ES_tradnl"/>
        </w:rPr>
        <w:t xml:space="preserve">. En sentido </w:t>
      </w:r>
      <w:r>
        <w:rPr>
          <w:spacing w:val="-7"/>
          <w:sz w:val="18"/>
          <w:szCs w:val="18"/>
          <w:lang w:val="es-ES_tradnl"/>
        </w:rPr>
        <w:t>similar, esta Corte mediante la sentencia N.</w:t>
      </w:r>
      <w:r>
        <w:rPr>
          <w:rFonts w:cs="Times New Roman"/>
          <w:spacing w:val="-7"/>
          <w:sz w:val="18"/>
          <w:szCs w:val="18"/>
          <w:lang w:val="es-ES_tradnl"/>
        </w:rPr>
        <w:t>º</w:t>
      </w:r>
      <w:r>
        <w:rPr>
          <w:spacing w:val="-7"/>
          <w:sz w:val="18"/>
          <w:szCs w:val="18"/>
          <w:lang w:val="es-ES_tradnl"/>
        </w:rPr>
        <w:t xml:space="preserve"> 075-15-SEP-CC, al analizar una sentencia expedida por los jueces </w:t>
      </w:r>
      <w:r>
        <w:rPr>
          <w:spacing w:val="-6"/>
          <w:sz w:val="18"/>
          <w:szCs w:val="18"/>
          <w:lang w:val="es-ES_tradnl"/>
        </w:rPr>
        <w:t>nacionales en un recurso de casaci</w:t>
      </w:r>
      <w:r>
        <w:rPr>
          <w:rFonts w:cs="Times New Roman"/>
          <w:spacing w:val="-6"/>
          <w:sz w:val="18"/>
          <w:szCs w:val="18"/>
          <w:lang w:val="es-ES_tradnl"/>
        </w:rPr>
        <w:t>ó</w:t>
      </w:r>
      <w:r>
        <w:rPr>
          <w:spacing w:val="-6"/>
          <w:sz w:val="18"/>
          <w:szCs w:val="18"/>
          <w:lang w:val="es-ES_tradnl"/>
        </w:rPr>
        <w:t>n, expres</w:t>
      </w:r>
      <w:r>
        <w:rPr>
          <w:rFonts w:cs="Times New Roman"/>
          <w:spacing w:val="-6"/>
          <w:sz w:val="18"/>
          <w:szCs w:val="18"/>
          <w:lang w:val="es-ES_tradnl"/>
        </w:rPr>
        <w:t>ó</w:t>
      </w:r>
      <w:r>
        <w:rPr>
          <w:spacing w:val="-6"/>
          <w:sz w:val="18"/>
          <w:szCs w:val="18"/>
          <w:lang w:val="es-ES_tradnl"/>
        </w:rPr>
        <w:t xml:space="preserve"> que </w:t>
      </w:r>
      <w:r>
        <w:rPr>
          <w:rFonts w:cs="Times New Roman"/>
          <w:spacing w:val="-6"/>
          <w:sz w:val="18"/>
          <w:szCs w:val="18"/>
          <w:lang w:val="es-ES_tradnl"/>
        </w:rPr>
        <w:t>“</w:t>
      </w:r>
      <w:r>
        <w:rPr>
          <w:spacing w:val="-6"/>
          <w:sz w:val="18"/>
          <w:szCs w:val="18"/>
          <w:lang w:val="es-ES_tradnl"/>
        </w:rPr>
        <w:t>el derecho a la seguridad jur</w:t>
      </w:r>
      <w:r>
        <w:rPr>
          <w:rFonts w:cs="Times New Roman"/>
          <w:spacing w:val="-6"/>
          <w:sz w:val="18"/>
          <w:szCs w:val="18"/>
          <w:lang w:val="es-ES_tradnl"/>
        </w:rPr>
        <w:t>í</w:t>
      </w:r>
      <w:r>
        <w:rPr>
          <w:spacing w:val="-6"/>
          <w:sz w:val="18"/>
          <w:szCs w:val="18"/>
          <w:lang w:val="es-ES_tradnl"/>
        </w:rPr>
        <w:t xml:space="preserve">dica no se lo debe interpretar </w:t>
      </w:r>
      <w:r>
        <w:rPr>
          <w:spacing w:val="-9"/>
          <w:sz w:val="18"/>
          <w:szCs w:val="18"/>
          <w:lang w:val="es-ES_tradnl"/>
        </w:rPr>
        <w:t xml:space="preserve">como un recurso que tiende a corregir errores sobre la base de insatisfacciones subjetivas generadas en el juzgamiento </w:t>
      </w:r>
      <w:r>
        <w:rPr>
          <w:spacing w:val="-8"/>
          <w:sz w:val="18"/>
          <w:szCs w:val="18"/>
          <w:lang w:val="es-ES_tradnl"/>
        </w:rPr>
        <w:t>de un caso y que hacen relaci</w:t>
      </w:r>
      <w:r>
        <w:rPr>
          <w:rFonts w:cs="Times New Roman"/>
          <w:spacing w:val="-8"/>
          <w:sz w:val="18"/>
          <w:szCs w:val="18"/>
          <w:lang w:val="es-ES_tradnl"/>
        </w:rPr>
        <w:t>ó</w:t>
      </w:r>
      <w:r>
        <w:rPr>
          <w:spacing w:val="-8"/>
          <w:sz w:val="18"/>
          <w:szCs w:val="18"/>
          <w:lang w:val="es-ES_tradnl"/>
        </w:rPr>
        <w:t>n a una indebida o err</w:t>
      </w:r>
      <w:r>
        <w:rPr>
          <w:rFonts w:cs="Times New Roman"/>
          <w:spacing w:val="-8"/>
          <w:sz w:val="18"/>
          <w:szCs w:val="18"/>
          <w:lang w:val="es-ES_tradnl"/>
        </w:rPr>
        <w:t>ó</w:t>
      </w:r>
      <w:r>
        <w:rPr>
          <w:spacing w:val="-8"/>
          <w:sz w:val="18"/>
          <w:szCs w:val="18"/>
          <w:lang w:val="es-ES_tradnl"/>
        </w:rPr>
        <w:t xml:space="preserve">nea </w:t>
      </w:r>
      <w:r>
        <w:rPr>
          <w:spacing w:val="-7"/>
          <w:sz w:val="18"/>
          <w:szCs w:val="18"/>
          <w:lang w:val="es-ES_tradnl"/>
        </w:rPr>
        <w:t>interpretaci</w:t>
      </w:r>
      <w:r>
        <w:rPr>
          <w:rFonts w:cs="Times New Roman"/>
          <w:spacing w:val="-7"/>
          <w:sz w:val="18"/>
          <w:szCs w:val="18"/>
          <w:lang w:val="es-ES_tradnl"/>
        </w:rPr>
        <w:t>ó</w:t>
      </w:r>
      <w:r>
        <w:rPr>
          <w:spacing w:val="-7"/>
          <w:sz w:val="18"/>
          <w:szCs w:val="18"/>
          <w:lang w:val="es-ES_tradnl"/>
        </w:rPr>
        <w:t xml:space="preserve">n de la ley, toda vez que el accionante aduce </w:t>
      </w:r>
      <w:r>
        <w:rPr>
          <w:spacing w:val="-8"/>
          <w:sz w:val="18"/>
          <w:szCs w:val="18"/>
          <w:lang w:val="es-ES_tradnl"/>
        </w:rPr>
        <w:t>aquellos vicios como causas que generaron una presunta vulneraci</w:t>
      </w:r>
      <w:r>
        <w:rPr>
          <w:rFonts w:cs="Times New Roman"/>
          <w:spacing w:val="-8"/>
          <w:sz w:val="18"/>
          <w:szCs w:val="18"/>
          <w:lang w:val="es-ES_tradnl"/>
        </w:rPr>
        <w:t>ó</w:t>
      </w:r>
      <w:r>
        <w:rPr>
          <w:spacing w:val="-8"/>
          <w:sz w:val="18"/>
          <w:szCs w:val="18"/>
          <w:lang w:val="es-ES_tradnl"/>
        </w:rPr>
        <w:t>n al derecho constitucional a la seguridad jur</w:t>
      </w:r>
      <w:r>
        <w:rPr>
          <w:rFonts w:cs="Times New Roman"/>
          <w:spacing w:val="-8"/>
          <w:sz w:val="18"/>
          <w:szCs w:val="18"/>
          <w:lang w:val="es-ES_tradnl"/>
        </w:rPr>
        <w:t>í</w:t>
      </w:r>
      <w:r>
        <w:rPr>
          <w:spacing w:val="-8"/>
          <w:sz w:val="18"/>
          <w:szCs w:val="18"/>
          <w:lang w:val="es-ES_tradnl"/>
        </w:rPr>
        <w:t xml:space="preserve">dica </w:t>
      </w:r>
      <w:r>
        <w:rPr>
          <w:sz w:val="18"/>
          <w:szCs w:val="18"/>
          <w:lang w:val="es-ES_tradnl"/>
        </w:rPr>
        <w:t>durante el desarrollo del proceso</w:t>
      </w:r>
      <w:r>
        <w:rPr>
          <w:rFonts w:cs="Times New Roman"/>
          <w:sz w:val="18"/>
          <w:szCs w:val="18"/>
          <w:lang w:val="es-ES_tradnl"/>
        </w:rPr>
        <w:t>”</w:t>
      </w:r>
      <w:r>
        <w:rPr>
          <w:sz w:val="18"/>
          <w:szCs w:val="18"/>
          <w:vertAlign w:val="superscript"/>
          <w:lang w:val="es-ES_tradnl"/>
        </w:rPr>
        <w:t>8</w:t>
      </w:r>
      <w:r>
        <w:rPr>
          <w:sz w:val="18"/>
          <w:szCs w:val="18"/>
          <w:lang w:val="es-ES_tradnl"/>
        </w:rPr>
        <w:t>.</w:t>
      </w:r>
    </w:p>
    <w:p w14:paraId="4F67B77D" w14:textId="77777777" w:rsidR="00591D54" w:rsidRDefault="00591D54">
      <w:pPr>
        <w:shd w:val="clear" w:color="auto" w:fill="FFFFFF"/>
        <w:spacing w:before="202" w:line="221" w:lineRule="exact"/>
        <w:jc w:val="both"/>
      </w:pPr>
      <w:r>
        <w:rPr>
          <w:spacing w:val="-7"/>
          <w:sz w:val="18"/>
          <w:szCs w:val="18"/>
          <w:lang w:val="es-ES_tradnl"/>
        </w:rPr>
        <w:t xml:space="preserve">Por estas razones, la Corte Constitucional al no haber </w:t>
      </w:r>
      <w:r>
        <w:rPr>
          <w:spacing w:val="-8"/>
          <w:sz w:val="18"/>
          <w:szCs w:val="18"/>
          <w:lang w:val="es-ES_tradnl"/>
        </w:rPr>
        <w:t>evidenciado trasgresi</w:t>
      </w:r>
      <w:r>
        <w:rPr>
          <w:rFonts w:cs="Times New Roman"/>
          <w:spacing w:val="-8"/>
          <w:sz w:val="18"/>
          <w:szCs w:val="18"/>
          <w:lang w:val="es-ES_tradnl"/>
        </w:rPr>
        <w:t>ó</w:t>
      </w:r>
      <w:r>
        <w:rPr>
          <w:spacing w:val="-8"/>
          <w:sz w:val="18"/>
          <w:szCs w:val="18"/>
          <w:lang w:val="es-ES_tradnl"/>
        </w:rPr>
        <w:t>n constitucional directa que adem</w:t>
      </w:r>
      <w:r>
        <w:rPr>
          <w:rFonts w:cs="Times New Roman"/>
          <w:spacing w:val="-8"/>
          <w:sz w:val="18"/>
          <w:szCs w:val="18"/>
          <w:lang w:val="es-ES_tradnl"/>
        </w:rPr>
        <w:t>á</w:t>
      </w:r>
      <w:r>
        <w:rPr>
          <w:spacing w:val="-8"/>
          <w:sz w:val="18"/>
          <w:szCs w:val="18"/>
          <w:lang w:val="es-ES_tradnl"/>
        </w:rPr>
        <w:t xml:space="preserve">s </w:t>
      </w:r>
      <w:r>
        <w:rPr>
          <w:spacing w:val="-9"/>
          <w:sz w:val="18"/>
          <w:szCs w:val="18"/>
          <w:lang w:val="es-ES_tradnl"/>
        </w:rPr>
        <w:t>cuente con una argumentaci</w:t>
      </w:r>
      <w:r>
        <w:rPr>
          <w:rFonts w:cs="Times New Roman"/>
          <w:spacing w:val="-9"/>
          <w:sz w:val="18"/>
          <w:szCs w:val="18"/>
          <w:lang w:val="es-ES_tradnl"/>
        </w:rPr>
        <w:t>ó</w:t>
      </w:r>
      <w:r>
        <w:rPr>
          <w:spacing w:val="-9"/>
          <w:sz w:val="18"/>
          <w:szCs w:val="18"/>
          <w:lang w:val="es-ES_tradnl"/>
        </w:rPr>
        <w:t>n jur</w:t>
      </w:r>
      <w:r>
        <w:rPr>
          <w:rFonts w:cs="Times New Roman"/>
          <w:spacing w:val="-9"/>
          <w:sz w:val="18"/>
          <w:szCs w:val="18"/>
          <w:lang w:val="es-ES_tradnl"/>
        </w:rPr>
        <w:t>í</w:t>
      </w:r>
      <w:r>
        <w:rPr>
          <w:spacing w:val="-9"/>
          <w:sz w:val="18"/>
          <w:szCs w:val="18"/>
          <w:lang w:val="es-ES_tradnl"/>
        </w:rPr>
        <w:t xml:space="preserve">dica suficiente, concluye </w:t>
      </w:r>
      <w:r>
        <w:rPr>
          <w:spacing w:val="-4"/>
          <w:sz w:val="18"/>
          <w:szCs w:val="18"/>
          <w:lang w:val="es-ES_tradnl"/>
        </w:rPr>
        <w:t xml:space="preserve">que la sentencia expedida el 11 de julio de 2012, por la </w:t>
      </w:r>
      <w:r>
        <w:rPr>
          <w:spacing w:val="-6"/>
          <w:sz w:val="18"/>
          <w:szCs w:val="18"/>
          <w:lang w:val="es-ES_tradnl"/>
        </w:rPr>
        <w:t xml:space="preserve">Sala de lo Contencioso Tributario de la Corte Nacional de </w:t>
      </w:r>
      <w:r>
        <w:rPr>
          <w:spacing w:val="-8"/>
          <w:sz w:val="18"/>
          <w:szCs w:val="18"/>
          <w:lang w:val="es-ES_tradnl"/>
        </w:rPr>
        <w:t>Justicia, mediante la cual cas</w:t>
      </w:r>
      <w:r>
        <w:rPr>
          <w:rFonts w:cs="Times New Roman"/>
          <w:spacing w:val="-8"/>
          <w:sz w:val="18"/>
          <w:szCs w:val="18"/>
          <w:lang w:val="es-ES_tradnl"/>
        </w:rPr>
        <w:t>ó</w:t>
      </w:r>
      <w:r>
        <w:rPr>
          <w:spacing w:val="-8"/>
          <w:sz w:val="18"/>
          <w:szCs w:val="18"/>
          <w:lang w:val="es-ES_tradnl"/>
        </w:rPr>
        <w:t xml:space="preserve"> la sentencia expedida por la </w:t>
      </w:r>
      <w:r>
        <w:rPr>
          <w:spacing w:val="-7"/>
          <w:sz w:val="18"/>
          <w:szCs w:val="18"/>
          <w:lang w:val="es-ES_tradnl"/>
        </w:rPr>
        <w:t>Cuarta Sala Temporal del Tribunal Distrital de lo Fiscal N.</w:t>
      </w:r>
      <w:r>
        <w:rPr>
          <w:rFonts w:cs="Times New Roman"/>
          <w:spacing w:val="-7"/>
          <w:sz w:val="18"/>
          <w:szCs w:val="18"/>
          <w:lang w:val="es-ES_tradnl"/>
        </w:rPr>
        <w:t xml:space="preserve">º </w:t>
      </w:r>
      <w:r>
        <w:rPr>
          <w:spacing w:val="-6"/>
          <w:sz w:val="18"/>
          <w:szCs w:val="18"/>
          <w:lang w:val="es-ES_tradnl"/>
        </w:rPr>
        <w:t>1 con sede en Quito, no vulner</w:t>
      </w:r>
      <w:r>
        <w:rPr>
          <w:rFonts w:cs="Times New Roman"/>
          <w:spacing w:val="-6"/>
          <w:sz w:val="18"/>
          <w:szCs w:val="18"/>
          <w:lang w:val="es-ES_tradnl"/>
        </w:rPr>
        <w:t>ó</w:t>
      </w:r>
      <w:r>
        <w:rPr>
          <w:spacing w:val="-6"/>
          <w:sz w:val="18"/>
          <w:szCs w:val="18"/>
          <w:lang w:val="es-ES_tradnl"/>
        </w:rPr>
        <w:t xml:space="preserve"> el derecho constitucional a la seguridad jur</w:t>
      </w:r>
      <w:r>
        <w:rPr>
          <w:rFonts w:cs="Times New Roman"/>
          <w:spacing w:val="-6"/>
          <w:sz w:val="18"/>
          <w:szCs w:val="18"/>
          <w:lang w:val="es-ES_tradnl"/>
        </w:rPr>
        <w:t>í</w:t>
      </w:r>
      <w:r>
        <w:rPr>
          <w:spacing w:val="-6"/>
          <w:sz w:val="18"/>
          <w:szCs w:val="18"/>
          <w:lang w:val="es-ES_tradnl"/>
        </w:rPr>
        <w:t>dica establecido en el art</w:t>
      </w:r>
      <w:r>
        <w:rPr>
          <w:rFonts w:cs="Times New Roman"/>
          <w:spacing w:val="-6"/>
          <w:sz w:val="18"/>
          <w:szCs w:val="18"/>
          <w:lang w:val="es-ES_tradnl"/>
        </w:rPr>
        <w:t>í</w:t>
      </w:r>
      <w:r>
        <w:rPr>
          <w:spacing w:val="-6"/>
          <w:sz w:val="18"/>
          <w:szCs w:val="18"/>
          <w:lang w:val="es-ES_tradnl"/>
        </w:rPr>
        <w:t xml:space="preserve">culo 82 de la </w:t>
      </w:r>
      <w:r>
        <w:rPr>
          <w:sz w:val="18"/>
          <w:szCs w:val="18"/>
          <w:lang w:val="es-ES_tradnl"/>
        </w:rPr>
        <w:t>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B77E" w14:textId="77777777" w:rsidR="00591D54" w:rsidRDefault="00591D54">
      <w:pPr>
        <w:shd w:val="clear" w:color="auto" w:fill="FFFFFF"/>
        <w:tabs>
          <w:tab w:val="left" w:pos="144"/>
        </w:tabs>
        <w:spacing w:before="662" w:line="182" w:lineRule="exact"/>
        <w:ind w:left="144" w:hanging="144"/>
      </w:pPr>
      <w:r>
        <w:rPr>
          <w:sz w:val="10"/>
          <w:szCs w:val="10"/>
          <w:vertAlign w:val="superscript"/>
          <w:lang w:val="es-ES_tradnl"/>
        </w:rPr>
        <w:t>7</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º</w:t>
      </w:r>
      <w:r>
        <w:rPr>
          <w:sz w:val="18"/>
          <w:szCs w:val="18"/>
          <w:lang w:val="es-ES_tradnl"/>
        </w:rPr>
        <w:t xml:space="preserve"> </w:t>
      </w:r>
      <w:r>
        <w:rPr>
          <w:sz w:val="14"/>
          <w:szCs w:val="14"/>
          <w:lang w:val="es-ES_tradnl"/>
        </w:rPr>
        <w:t>018-13-SEP-CC, caso N.</w:t>
      </w:r>
      <w:r>
        <w:rPr>
          <w:rFonts w:cs="Times New Roman"/>
          <w:sz w:val="14"/>
          <w:szCs w:val="14"/>
          <w:lang w:val="es-ES_tradnl"/>
        </w:rPr>
        <w:t>º</w:t>
      </w:r>
      <w:r>
        <w:rPr>
          <w:sz w:val="14"/>
          <w:szCs w:val="14"/>
          <w:lang w:val="es-ES_tradnl"/>
        </w:rPr>
        <w:t xml:space="preserve"> 0201-10-EP.</w:t>
      </w:r>
    </w:p>
    <w:p w14:paraId="4F67B77F" w14:textId="77777777" w:rsidR="00591D54" w:rsidRDefault="00591D54">
      <w:pPr>
        <w:shd w:val="clear" w:color="auto" w:fill="FFFFFF"/>
        <w:tabs>
          <w:tab w:val="left" w:pos="144"/>
        </w:tabs>
        <w:spacing w:before="149" w:line="178" w:lineRule="exact"/>
        <w:ind w:left="144" w:hanging="144"/>
      </w:pPr>
      <w:r>
        <w:rPr>
          <w:sz w:val="10"/>
          <w:szCs w:val="10"/>
          <w:vertAlign w:val="superscript"/>
          <w:lang w:val="es-ES_tradnl"/>
        </w:rPr>
        <w:t>8</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º</w:t>
      </w:r>
      <w:r>
        <w:rPr>
          <w:sz w:val="18"/>
          <w:szCs w:val="18"/>
          <w:lang w:val="es-ES_tradnl"/>
        </w:rPr>
        <w:t xml:space="preserve"> </w:t>
      </w:r>
      <w:r>
        <w:rPr>
          <w:sz w:val="14"/>
          <w:szCs w:val="14"/>
          <w:lang w:val="es-ES_tradnl"/>
        </w:rPr>
        <w:t>075-15-SEP-CC, caso N.</w:t>
      </w:r>
      <w:r>
        <w:rPr>
          <w:rFonts w:cs="Times New Roman"/>
          <w:sz w:val="14"/>
          <w:szCs w:val="14"/>
          <w:lang w:val="es-ES_tradnl"/>
        </w:rPr>
        <w:t>º</w:t>
      </w:r>
      <w:r>
        <w:rPr>
          <w:sz w:val="14"/>
          <w:szCs w:val="14"/>
          <w:lang w:val="es-ES_tradnl"/>
        </w:rPr>
        <w:t xml:space="preserve"> 0471-13-EP.</w:t>
      </w:r>
    </w:p>
    <w:p w14:paraId="4F67B780" w14:textId="77777777" w:rsidR="00591D54" w:rsidRDefault="00591D54">
      <w:pPr>
        <w:shd w:val="clear" w:color="auto" w:fill="FFFFFF"/>
        <w:tabs>
          <w:tab w:val="left" w:pos="144"/>
        </w:tabs>
        <w:spacing w:before="149" w:line="178" w:lineRule="exact"/>
        <w:ind w:left="144" w:hanging="144"/>
        <w:sectPr w:rsidR="00591D54">
          <w:type w:val="continuous"/>
          <w:pgSz w:w="11909" w:h="16834"/>
          <w:pgMar w:top="1356" w:right="1309" w:bottom="360" w:left="1308" w:header="720" w:footer="720" w:gutter="0"/>
          <w:cols w:num="2" w:space="720" w:equalWidth="0">
            <w:col w:w="4305" w:space="682"/>
            <w:col w:w="4305"/>
          </w:cols>
          <w:noEndnote/>
        </w:sectPr>
      </w:pPr>
    </w:p>
    <w:p w14:paraId="4F67B781" w14:textId="77777777" w:rsidR="00591D54" w:rsidRDefault="00591D54">
      <w:pPr>
        <w:shd w:val="clear" w:color="auto" w:fill="FFFFFF"/>
        <w:tabs>
          <w:tab w:val="left" w:pos="4814"/>
        </w:tabs>
        <w:spacing w:after="67"/>
        <w:ind w:left="5"/>
      </w:pPr>
      <w:r>
        <w:rPr>
          <w:b/>
          <w:bCs/>
          <w:sz w:val="18"/>
          <w:szCs w:val="18"/>
          <w:lang w:val="es-ES_tradnl"/>
        </w:rPr>
        <w:t xml:space="preserve">244 -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782" w14:textId="77777777" w:rsidR="00591D54" w:rsidRDefault="00591D54">
      <w:pPr>
        <w:shd w:val="clear" w:color="auto" w:fill="FFFFFF"/>
        <w:tabs>
          <w:tab w:val="left" w:pos="4814"/>
        </w:tabs>
        <w:spacing w:after="67"/>
        <w:ind w:left="5"/>
        <w:sectPr w:rsidR="00591D54">
          <w:pgSz w:w="11909" w:h="16834"/>
          <w:pgMar w:top="1363" w:right="1309" w:bottom="360" w:left="1308" w:header="720" w:footer="720" w:gutter="0"/>
          <w:cols w:space="60"/>
          <w:noEndnote/>
        </w:sectPr>
      </w:pPr>
    </w:p>
    <w:p w14:paraId="4F67B783" w14:textId="77777777" w:rsidR="00591D54" w:rsidRDefault="00591D54">
      <w:pPr>
        <w:shd w:val="clear" w:color="auto" w:fill="FFFFFF"/>
        <w:spacing w:before="158"/>
        <w:ind w:right="5"/>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B784" w14:textId="77777777" w:rsidR="00591D54" w:rsidRDefault="00591D54">
      <w:pPr>
        <w:shd w:val="clear" w:color="auto" w:fill="FFFFFF"/>
        <w:spacing w:before="322" w:line="216" w:lineRule="exact"/>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5"/>
          <w:sz w:val="18"/>
          <w:szCs w:val="18"/>
          <w:lang w:val="es-ES_tradnl"/>
        </w:rPr>
        <w:t>constitucional y por mandato de la Constituci</w:t>
      </w:r>
      <w:r>
        <w:rPr>
          <w:rFonts w:cs="Times New Roman"/>
          <w:spacing w:val="-5"/>
          <w:sz w:val="18"/>
          <w:szCs w:val="18"/>
          <w:lang w:val="es-ES_tradnl"/>
        </w:rPr>
        <w:t>ó</w:t>
      </w:r>
      <w:r>
        <w:rPr>
          <w:spacing w:val="-5"/>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 xml:space="preserve">blica del Ecuador, el Pleno de la Corte Constitucional </w:t>
      </w:r>
      <w:r>
        <w:rPr>
          <w:sz w:val="18"/>
          <w:szCs w:val="18"/>
          <w:lang w:val="es-ES_tradnl"/>
        </w:rPr>
        <w:t>expide la siguiente:</w:t>
      </w:r>
    </w:p>
    <w:p w14:paraId="4F67B785" w14:textId="77777777" w:rsidR="00591D54" w:rsidRDefault="00591D54">
      <w:pPr>
        <w:shd w:val="clear" w:color="auto" w:fill="FFFFFF"/>
        <w:spacing w:before="317"/>
        <w:ind w:left="5"/>
        <w:jc w:val="center"/>
      </w:pPr>
      <w:r>
        <w:rPr>
          <w:b/>
          <w:bCs/>
          <w:sz w:val="18"/>
          <w:szCs w:val="18"/>
          <w:lang w:val="es-ES_tradnl"/>
        </w:rPr>
        <w:t>SENTENCIA</w:t>
      </w:r>
    </w:p>
    <w:p w14:paraId="4F67B786" w14:textId="77777777" w:rsidR="00591D54" w:rsidRDefault="00591D54" w:rsidP="00251195">
      <w:pPr>
        <w:numPr>
          <w:ilvl w:val="0"/>
          <w:numId w:val="110"/>
        </w:numPr>
        <w:shd w:val="clear" w:color="auto" w:fill="FFFFFF"/>
        <w:tabs>
          <w:tab w:val="left" w:pos="566"/>
        </w:tabs>
        <w:spacing w:before="322" w:line="216" w:lineRule="exact"/>
        <w:ind w:left="566" w:hanging="283"/>
        <w:rPr>
          <w:spacing w:val="-11"/>
          <w:sz w:val="18"/>
          <w:szCs w:val="18"/>
          <w:lang w:val="es-ES_tradnl"/>
        </w:rPr>
      </w:pPr>
      <w:r>
        <w:rPr>
          <w:spacing w:val="-8"/>
          <w:sz w:val="18"/>
          <w:szCs w:val="18"/>
          <w:lang w:val="es-ES_tradnl"/>
        </w:rPr>
        <w:t xml:space="preserve">Declarar   que   no   se   han   vulnerado   derechos </w:t>
      </w:r>
      <w:r>
        <w:rPr>
          <w:sz w:val="18"/>
          <w:szCs w:val="18"/>
          <w:lang w:val="es-ES_tradnl"/>
        </w:rPr>
        <w:t>constitucionales.</w:t>
      </w:r>
    </w:p>
    <w:p w14:paraId="4F67B787" w14:textId="77777777" w:rsidR="00591D54" w:rsidRDefault="00591D54" w:rsidP="00251195">
      <w:pPr>
        <w:numPr>
          <w:ilvl w:val="0"/>
          <w:numId w:val="110"/>
        </w:numPr>
        <w:shd w:val="clear" w:color="auto" w:fill="FFFFFF"/>
        <w:tabs>
          <w:tab w:val="left" w:pos="566"/>
        </w:tabs>
        <w:spacing w:before="322" w:line="216" w:lineRule="exact"/>
        <w:ind w:left="566" w:hanging="283"/>
        <w:rPr>
          <w:spacing w:val="-11"/>
          <w:sz w:val="18"/>
          <w:szCs w:val="18"/>
          <w:lang w:val="es-ES_tradnl"/>
        </w:rPr>
      </w:pPr>
      <w:r>
        <w:rPr>
          <w:spacing w:val="-6"/>
          <w:sz w:val="18"/>
          <w:szCs w:val="18"/>
          <w:lang w:val="es-ES_tradnl"/>
        </w:rPr>
        <w:t>Negar   la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w:t>
      </w:r>
      <w:r>
        <w:rPr>
          <w:sz w:val="18"/>
          <w:szCs w:val="18"/>
          <w:lang w:val="es-ES_tradnl"/>
        </w:rPr>
        <w:t>presentada.</w:t>
      </w:r>
    </w:p>
    <w:p w14:paraId="4F67B788" w14:textId="77777777" w:rsidR="00591D54" w:rsidRDefault="00591D54">
      <w:pPr>
        <w:shd w:val="clear" w:color="auto" w:fill="FFFFFF"/>
        <w:tabs>
          <w:tab w:val="left" w:pos="566"/>
        </w:tabs>
        <w:spacing w:before="53" w:line="557" w:lineRule="exact"/>
        <w:ind w:right="326" w:firstLine="283"/>
      </w:pPr>
      <w:r>
        <w:rPr>
          <w:spacing w:val="-11"/>
          <w:sz w:val="18"/>
          <w:szCs w:val="18"/>
          <w:lang w:val="es-ES_tradnl"/>
        </w:rPr>
        <w:t>3.</w:t>
      </w:r>
      <w:r>
        <w:rPr>
          <w:sz w:val="18"/>
          <w:szCs w:val="18"/>
          <w:lang w:val="es-ES_tradnl"/>
        </w:rPr>
        <w:tab/>
      </w:r>
      <w:r>
        <w:rPr>
          <w:spacing w:val="-8"/>
          <w:sz w:val="18"/>
          <w:szCs w:val="18"/>
          <w:lang w:val="es-ES_tradnl"/>
        </w:rPr>
        <w:t>Devolver el expediente al juzgado de origen. </w:t>
      </w:r>
      <w:r>
        <w:rPr>
          <w:spacing w:val="-4"/>
          <w:sz w:val="18"/>
          <w:szCs w:val="18"/>
          <w:lang w:val="es-ES_tradnl"/>
        </w:rPr>
        <w:t>f.) Patricio Pazmi</w:t>
      </w:r>
      <w:r>
        <w:rPr>
          <w:rFonts w:cs="Times New Roman"/>
          <w:spacing w:val="-4"/>
          <w:sz w:val="18"/>
          <w:szCs w:val="18"/>
          <w:lang w:val="es-ES_tradnl"/>
        </w:rPr>
        <w:t>ñ</w:t>
      </w:r>
      <w:r>
        <w:rPr>
          <w:spacing w:val="-4"/>
          <w:sz w:val="18"/>
          <w:szCs w:val="18"/>
          <w:lang w:val="es-ES_tradnl"/>
        </w:rPr>
        <w:t xml:space="preserve">o Freire, </w:t>
      </w:r>
      <w:r>
        <w:rPr>
          <w:b/>
          <w:bCs/>
          <w:spacing w:val="-4"/>
          <w:sz w:val="18"/>
          <w:szCs w:val="18"/>
          <w:lang w:val="es-ES_tradnl"/>
        </w:rPr>
        <w:t>PRESIDENTE.</w:t>
      </w:r>
    </w:p>
    <w:p w14:paraId="4F67B789" w14:textId="77777777" w:rsidR="00591D54" w:rsidRDefault="00591D54">
      <w:pPr>
        <w:shd w:val="clear" w:color="auto" w:fill="FFFFFF"/>
        <w:spacing w:line="557" w:lineRule="exact"/>
      </w:pPr>
      <w:r>
        <w:rPr>
          <w:spacing w:val="-4"/>
          <w:sz w:val="18"/>
          <w:szCs w:val="18"/>
          <w:lang w:val="es-ES_tradnl"/>
        </w:rPr>
        <w:t>f.) Pa</w:t>
      </w:r>
      <w:r>
        <w:rPr>
          <w:rFonts w:cs="Times New Roman"/>
          <w:spacing w:val="-4"/>
          <w:sz w:val="18"/>
          <w:szCs w:val="18"/>
          <w:lang w:val="es-ES_tradnl"/>
        </w:rPr>
        <w:t>ú</w:t>
      </w:r>
      <w:r>
        <w:rPr>
          <w:spacing w:val="-4"/>
          <w:sz w:val="18"/>
          <w:szCs w:val="18"/>
          <w:lang w:val="es-ES_tradnl"/>
        </w:rPr>
        <w:t xml:space="preserve">l Prado Chiriboga, </w:t>
      </w:r>
      <w:r>
        <w:rPr>
          <w:b/>
          <w:bCs/>
          <w:spacing w:val="-4"/>
          <w:sz w:val="18"/>
          <w:szCs w:val="18"/>
          <w:lang w:val="es-ES_tradnl"/>
        </w:rPr>
        <w:t>SECRETARIO GENERAL (E).</w:t>
      </w:r>
    </w:p>
    <w:p w14:paraId="4F67B78A" w14:textId="77777777" w:rsidR="00591D54" w:rsidRDefault="00591D54">
      <w:pPr>
        <w:shd w:val="clear" w:color="auto" w:fill="FFFFFF"/>
        <w:spacing w:before="254" w:line="216" w:lineRule="exact"/>
        <w:ind w:right="5"/>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w:t>
      </w:r>
      <w:r>
        <w:rPr>
          <w:spacing w:val="-7"/>
          <w:sz w:val="18"/>
          <w:szCs w:val="18"/>
          <w:lang w:val="es-ES_tradnl"/>
        </w:rPr>
        <w:t xml:space="preserve">aprobada por el Pleno de la Corte Constitucional, con seis </w:t>
      </w:r>
      <w:r>
        <w:rPr>
          <w:spacing w:val="-10"/>
          <w:sz w:val="18"/>
          <w:szCs w:val="18"/>
          <w:lang w:val="es-ES_tradnl"/>
        </w:rPr>
        <w:t xml:space="preserve">votos a favor, de las juezas y jueces Antonio Gagliardo Loor, </w:t>
      </w:r>
      <w:r>
        <w:rPr>
          <w:spacing w:val="-4"/>
          <w:sz w:val="18"/>
          <w:szCs w:val="18"/>
          <w:lang w:val="es-ES_tradnl"/>
        </w:rPr>
        <w:t>Marcelo Jaramillo Villa, Mar</w:t>
      </w:r>
      <w:r>
        <w:rPr>
          <w:rFonts w:cs="Times New Roman"/>
          <w:spacing w:val="-4"/>
          <w:sz w:val="18"/>
          <w:szCs w:val="18"/>
          <w:lang w:val="es-ES_tradnl"/>
        </w:rPr>
        <w:t>í</w:t>
      </w:r>
      <w:r>
        <w:rPr>
          <w:spacing w:val="-4"/>
          <w:sz w:val="18"/>
          <w:szCs w:val="18"/>
          <w:lang w:val="es-ES_tradnl"/>
        </w:rPr>
        <w:t xml:space="preserve">a del Carmen Maldonado </w:t>
      </w:r>
      <w:r>
        <w:rPr>
          <w:spacing w:val="-7"/>
          <w:sz w:val="18"/>
          <w:szCs w:val="18"/>
          <w:lang w:val="es-ES_tradnl"/>
        </w:rPr>
        <w:t>S</w:t>
      </w:r>
      <w:r>
        <w:rPr>
          <w:rFonts w:cs="Times New Roman"/>
          <w:spacing w:val="-7"/>
          <w:sz w:val="18"/>
          <w:szCs w:val="18"/>
          <w:lang w:val="es-ES_tradnl"/>
        </w:rPr>
        <w:t>á</w:t>
      </w:r>
      <w:r>
        <w:rPr>
          <w:spacing w:val="-7"/>
          <w:sz w:val="18"/>
          <w:szCs w:val="18"/>
          <w:lang w:val="es-ES_tradnl"/>
        </w:rPr>
        <w:t>nchez, Tatiana Orde</w:t>
      </w:r>
      <w:r>
        <w:rPr>
          <w:rFonts w:cs="Times New Roman"/>
          <w:spacing w:val="-7"/>
          <w:sz w:val="18"/>
          <w:szCs w:val="18"/>
          <w:lang w:val="es-ES_tradnl"/>
        </w:rPr>
        <w:t>ñ</w:t>
      </w:r>
      <w:r>
        <w:rPr>
          <w:spacing w:val="-7"/>
          <w:sz w:val="18"/>
          <w:szCs w:val="18"/>
          <w:lang w:val="es-ES_tradnl"/>
        </w:rPr>
        <w:t>ana Sierra, Alfredo Ruiz Guzm</w:t>
      </w:r>
      <w:r>
        <w:rPr>
          <w:rFonts w:cs="Times New Roman"/>
          <w:spacing w:val="-7"/>
          <w:sz w:val="18"/>
          <w:szCs w:val="18"/>
          <w:lang w:val="es-ES_tradnl"/>
        </w:rPr>
        <w:t>á</w:t>
      </w:r>
      <w:r>
        <w:rPr>
          <w:spacing w:val="-7"/>
          <w:sz w:val="18"/>
          <w:szCs w:val="18"/>
          <w:lang w:val="es-ES_tradnl"/>
        </w:rPr>
        <w:t xml:space="preserve">n, </w:t>
      </w:r>
      <w:r>
        <w:rPr>
          <w:spacing w:val="-5"/>
          <w:sz w:val="18"/>
          <w:szCs w:val="18"/>
          <w:lang w:val="es-ES_tradnl"/>
        </w:rPr>
        <w:t>y Patricio Pazmi</w:t>
      </w:r>
      <w:r>
        <w:rPr>
          <w:rFonts w:cs="Times New Roman"/>
          <w:spacing w:val="-5"/>
          <w:sz w:val="18"/>
          <w:szCs w:val="18"/>
          <w:lang w:val="es-ES_tradnl"/>
        </w:rPr>
        <w:t>ñ</w:t>
      </w:r>
      <w:r>
        <w:rPr>
          <w:spacing w:val="-5"/>
          <w:sz w:val="18"/>
          <w:szCs w:val="18"/>
          <w:lang w:val="es-ES_tradnl"/>
        </w:rPr>
        <w:t xml:space="preserve">o Freire, sin contar con la presencia de </w:t>
      </w:r>
      <w:r>
        <w:rPr>
          <w:spacing w:val="-8"/>
          <w:sz w:val="18"/>
          <w:szCs w:val="18"/>
          <w:lang w:val="es-ES_tradnl"/>
        </w:rPr>
        <w:t xml:space="preserve">los jueces Wendy Molina Andrade, Ruth Seni Pinoargote y </w:t>
      </w:r>
      <w:r>
        <w:rPr>
          <w:spacing w:val="-7"/>
          <w:sz w:val="18"/>
          <w:szCs w:val="18"/>
          <w:lang w:val="es-ES_tradnl"/>
        </w:rPr>
        <w:t>Manuel Viteri Olvera, en sesi</w:t>
      </w:r>
      <w:r>
        <w:rPr>
          <w:rFonts w:cs="Times New Roman"/>
          <w:spacing w:val="-7"/>
          <w:sz w:val="18"/>
          <w:szCs w:val="18"/>
          <w:lang w:val="es-ES_tradnl"/>
        </w:rPr>
        <w:t>ó</w:t>
      </w:r>
      <w:r>
        <w:rPr>
          <w:spacing w:val="-7"/>
          <w:sz w:val="18"/>
          <w:szCs w:val="18"/>
          <w:lang w:val="es-ES_tradnl"/>
        </w:rPr>
        <w:t xml:space="preserve">n de 19 de agosto del 2015. </w:t>
      </w:r>
      <w:r>
        <w:rPr>
          <w:sz w:val="18"/>
          <w:szCs w:val="18"/>
          <w:lang w:val="es-ES_tradnl"/>
        </w:rPr>
        <w:t>Lo certifico.</w:t>
      </w:r>
    </w:p>
    <w:p w14:paraId="4F67B78B" w14:textId="77777777" w:rsidR="00591D54" w:rsidRDefault="00591D54">
      <w:pPr>
        <w:shd w:val="clear" w:color="auto" w:fill="FFFFFF"/>
        <w:spacing w:before="317"/>
      </w:pPr>
      <w:r>
        <w:rPr>
          <w:spacing w:val="-4"/>
          <w:sz w:val="18"/>
          <w:szCs w:val="18"/>
          <w:lang w:val="es-ES_tradnl"/>
        </w:rPr>
        <w:t>f.) Pa</w:t>
      </w:r>
      <w:r>
        <w:rPr>
          <w:rFonts w:cs="Times New Roman"/>
          <w:spacing w:val="-4"/>
          <w:sz w:val="18"/>
          <w:szCs w:val="18"/>
          <w:lang w:val="es-ES_tradnl"/>
        </w:rPr>
        <w:t>ú</w:t>
      </w:r>
      <w:r>
        <w:rPr>
          <w:spacing w:val="-4"/>
          <w:sz w:val="18"/>
          <w:szCs w:val="18"/>
          <w:lang w:val="es-ES_tradnl"/>
        </w:rPr>
        <w:t xml:space="preserve">l Prado Chiriboga, </w:t>
      </w:r>
      <w:r>
        <w:rPr>
          <w:b/>
          <w:bCs/>
          <w:spacing w:val="-4"/>
          <w:sz w:val="18"/>
          <w:szCs w:val="18"/>
          <w:lang w:val="es-ES_tradnl"/>
        </w:rPr>
        <w:t>SECRETARIO GENERAL (E).</w:t>
      </w:r>
    </w:p>
    <w:p w14:paraId="4F67B78C" w14:textId="77777777" w:rsidR="00591D54" w:rsidRDefault="00591D54">
      <w:pPr>
        <w:shd w:val="clear" w:color="auto" w:fill="FFFFFF"/>
        <w:spacing w:before="317" w:line="216" w:lineRule="exact"/>
        <w:ind w:right="5"/>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5"/>
          <w:sz w:val="18"/>
          <w:szCs w:val="18"/>
          <w:lang w:val="es-ES_tradnl"/>
        </w:rPr>
        <w:t>Quito, a 05 de octubre de 2015.- f.) Ilegible, Secretar</w:t>
      </w:r>
      <w:r>
        <w:rPr>
          <w:rFonts w:cs="Times New Roman"/>
          <w:spacing w:val="-5"/>
          <w:sz w:val="18"/>
          <w:szCs w:val="18"/>
          <w:lang w:val="es-ES_tradnl"/>
        </w:rPr>
        <w:t>í</w:t>
      </w:r>
      <w:r>
        <w:rPr>
          <w:spacing w:val="-5"/>
          <w:sz w:val="18"/>
          <w:szCs w:val="18"/>
          <w:lang w:val="es-ES_tradnl"/>
        </w:rPr>
        <w:t xml:space="preserve">a </w:t>
      </w:r>
      <w:r>
        <w:rPr>
          <w:sz w:val="18"/>
          <w:szCs w:val="18"/>
          <w:lang w:val="es-ES_tradnl"/>
        </w:rPr>
        <w:t>General.</w:t>
      </w:r>
    </w:p>
    <w:p w14:paraId="4F67B78D" w14:textId="77777777" w:rsidR="00591D54" w:rsidRDefault="00591D54">
      <w:pPr>
        <w:shd w:val="clear" w:color="auto" w:fill="FFFFFF"/>
        <w:spacing w:before="317"/>
      </w:pPr>
      <w:r>
        <w:rPr>
          <w:b/>
          <w:bCs/>
          <w:spacing w:val="-5"/>
          <w:sz w:val="18"/>
          <w:szCs w:val="18"/>
          <w:u w:val="single"/>
          <w:lang w:val="es-ES_tradnl"/>
        </w:rPr>
        <w:t>CASO Nro. 1228-12-EP</w:t>
      </w:r>
    </w:p>
    <w:p w14:paraId="4F67B78E" w14:textId="77777777" w:rsidR="00591D54" w:rsidRDefault="00591D54">
      <w:pPr>
        <w:shd w:val="clear" w:color="auto" w:fill="FFFFFF"/>
        <w:spacing w:before="317" w:line="216" w:lineRule="exact"/>
        <w:ind w:right="5"/>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w:t>
      </w:r>
      <w:r>
        <w:rPr>
          <w:spacing w:val="-7"/>
          <w:sz w:val="18"/>
          <w:szCs w:val="18"/>
          <w:lang w:val="es-ES_tradnl"/>
        </w:rPr>
        <w:t>suscrita por el Juez Patricio Pazmi</w:t>
      </w:r>
      <w:r>
        <w:rPr>
          <w:rFonts w:cs="Times New Roman"/>
          <w:spacing w:val="-7"/>
          <w:sz w:val="18"/>
          <w:szCs w:val="18"/>
          <w:lang w:val="es-ES_tradnl"/>
        </w:rPr>
        <w:t>ñ</w:t>
      </w:r>
      <w:r>
        <w:rPr>
          <w:spacing w:val="-7"/>
          <w:sz w:val="18"/>
          <w:szCs w:val="18"/>
          <w:lang w:val="es-ES_tradnl"/>
        </w:rPr>
        <w:t xml:space="preserve">o Freire, Presidente de </w:t>
      </w:r>
      <w:r>
        <w:rPr>
          <w:spacing w:val="-5"/>
          <w:sz w:val="18"/>
          <w:szCs w:val="18"/>
          <w:lang w:val="es-ES_tradnl"/>
        </w:rPr>
        <w:t>la Corte Constitucional, el d</w:t>
      </w:r>
      <w:r>
        <w:rPr>
          <w:rFonts w:cs="Times New Roman"/>
          <w:spacing w:val="-5"/>
          <w:sz w:val="18"/>
          <w:szCs w:val="18"/>
          <w:lang w:val="es-ES_tradnl"/>
        </w:rPr>
        <w:t>í</w:t>
      </w:r>
      <w:r>
        <w:rPr>
          <w:spacing w:val="-5"/>
          <w:sz w:val="18"/>
          <w:szCs w:val="18"/>
          <w:lang w:val="es-ES_tradnl"/>
        </w:rPr>
        <w:t xml:space="preserve">a viernes 03 de julio del dos </w:t>
      </w:r>
      <w:r>
        <w:rPr>
          <w:sz w:val="18"/>
          <w:szCs w:val="18"/>
          <w:lang w:val="es-ES_tradnl"/>
        </w:rPr>
        <w:t>mil quince.- Lo certifico.</w:t>
      </w:r>
    </w:p>
    <w:p w14:paraId="4F67B78F" w14:textId="77777777" w:rsidR="00591D54" w:rsidRDefault="00591D54">
      <w:pPr>
        <w:shd w:val="clear" w:color="auto" w:fill="FFFFFF"/>
        <w:spacing w:before="317"/>
      </w:pPr>
      <w:r>
        <w:rPr>
          <w:spacing w:val="-4"/>
          <w:sz w:val="18"/>
          <w:szCs w:val="18"/>
          <w:lang w:val="es-ES_tradnl"/>
        </w:rPr>
        <w:t xml:space="preserve">f.) Jaime Pozo Chamorro, </w:t>
      </w:r>
      <w:r>
        <w:rPr>
          <w:b/>
          <w:bCs/>
          <w:spacing w:val="-4"/>
          <w:sz w:val="18"/>
          <w:szCs w:val="18"/>
          <w:lang w:val="es-ES_tradnl"/>
        </w:rPr>
        <w:t>SECRETARIO GENERAL.</w:t>
      </w:r>
    </w:p>
    <w:p w14:paraId="4F67B790" w14:textId="77777777" w:rsidR="00591D54" w:rsidRDefault="00591D54">
      <w:pPr>
        <w:shd w:val="clear" w:color="auto" w:fill="FFFFFF"/>
        <w:spacing w:before="317" w:line="216" w:lineRule="exact"/>
        <w:ind w:right="5"/>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5"/>
          <w:sz w:val="18"/>
          <w:szCs w:val="18"/>
          <w:lang w:val="es-ES_tradnl"/>
        </w:rPr>
        <w:t>Quito, a 05 de octubre de 2015.- f.) Ilegible, Secretar</w:t>
      </w:r>
      <w:r>
        <w:rPr>
          <w:rFonts w:cs="Times New Roman"/>
          <w:spacing w:val="-5"/>
          <w:sz w:val="18"/>
          <w:szCs w:val="18"/>
          <w:lang w:val="es-ES_tradnl"/>
        </w:rPr>
        <w:t>í</w:t>
      </w:r>
      <w:r>
        <w:rPr>
          <w:spacing w:val="-5"/>
          <w:sz w:val="18"/>
          <w:szCs w:val="18"/>
          <w:lang w:val="es-ES_tradnl"/>
        </w:rPr>
        <w:t xml:space="preserve">a </w:t>
      </w:r>
      <w:r>
        <w:rPr>
          <w:sz w:val="18"/>
          <w:szCs w:val="18"/>
          <w:lang w:val="es-ES_tradnl"/>
        </w:rPr>
        <w:t>General.</w:t>
      </w:r>
    </w:p>
    <w:p w14:paraId="4F67B791" w14:textId="77777777" w:rsidR="00591D54" w:rsidRDefault="00591D54">
      <w:pPr>
        <w:shd w:val="clear" w:color="auto" w:fill="FFFFFF"/>
        <w:spacing w:line="437" w:lineRule="exact"/>
      </w:pPr>
      <w:r>
        <w:br w:type="column"/>
      </w:r>
      <w:r>
        <w:rPr>
          <w:spacing w:val="-6"/>
          <w:sz w:val="18"/>
          <w:szCs w:val="18"/>
          <w:lang w:val="es-ES_tradnl"/>
        </w:rPr>
        <w:t>Quito, D. M., 26 de agosto del 2015</w:t>
      </w:r>
    </w:p>
    <w:p w14:paraId="4F67B792" w14:textId="77777777" w:rsidR="00591D54" w:rsidRDefault="00591D54">
      <w:pPr>
        <w:shd w:val="clear" w:color="auto" w:fill="FFFFFF"/>
        <w:spacing w:line="437" w:lineRule="exact"/>
        <w:ind w:left="850"/>
      </w:pPr>
      <w:r>
        <w:rPr>
          <w:b/>
          <w:bCs/>
          <w:spacing w:val="-3"/>
          <w:sz w:val="18"/>
          <w:szCs w:val="18"/>
          <w:u w:val="single"/>
          <w:lang w:val="es-ES_tradnl"/>
        </w:rPr>
        <w:t>SENTENCIA N.</w:t>
      </w:r>
      <w:r>
        <w:rPr>
          <w:rFonts w:cs="Times New Roman"/>
          <w:b/>
          <w:bCs/>
          <w:spacing w:val="-3"/>
          <w:sz w:val="18"/>
          <w:szCs w:val="18"/>
          <w:u w:val="single"/>
          <w:lang w:val="es-ES_tradnl"/>
        </w:rPr>
        <w:t>º</w:t>
      </w:r>
      <w:r>
        <w:rPr>
          <w:b/>
          <w:bCs/>
          <w:spacing w:val="-3"/>
          <w:sz w:val="18"/>
          <w:szCs w:val="18"/>
          <w:u w:val="single"/>
          <w:lang w:val="es-ES_tradnl"/>
        </w:rPr>
        <w:t xml:space="preserve"> 274-15-SEP-CC</w:t>
      </w:r>
    </w:p>
    <w:p w14:paraId="4F67B793" w14:textId="77777777" w:rsidR="00591D54" w:rsidRDefault="00591D54">
      <w:pPr>
        <w:shd w:val="clear" w:color="auto" w:fill="FFFFFF"/>
        <w:spacing w:line="437" w:lineRule="exact"/>
        <w:ind w:left="1301"/>
      </w:pPr>
      <w:r>
        <w:rPr>
          <w:b/>
          <w:bCs/>
          <w:spacing w:val="-6"/>
          <w:sz w:val="18"/>
          <w:szCs w:val="18"/>
          <w:u w:val="single"/>
          <w:lang w:val="es-ES_tradnl"/>
        </w:rPr>
        <w:t>CASO N.</w:t>
      </w:r>
      <w:r>
        <w:rPr>
          <w:rFonts w:cs="Times New Roman"/>
          <w:b/>
          <w:bCs/>
          <w:spacing w:val="-6"/>
          <w:sz w:val="18"/>
          <w:szCs w:val="18"/>
          <w:u w:val="single"/>
          <w:lang w:val="es-ES_tradnl"/>
        </w:rPr>
        <w:t>º</w:t>
      </w:r>
      <w:r>
        <w:rPr>
          <w:b/>
          <w:bCs/>
          <w:spacing w:val="-6"/>
          <w:sz w:val="18"/>
          <w:szCs w:val="18"/>
          <w:u w:val="single"/>
          <w:lang w:val="es-ES_tradnl"/>
        </w:rPr>
        <w:t xml:space="preserve"> 1120-10-EP</w:t>
      </w:r>
    </w:p>
    <w:p w14:paraId="4F67B794" w14:textId="77777777" w:rsidR="00591D54" w:rsidRDefault="00591D54">
      <w:pPr>
        <w:shd w:val="clear" w:color="auto" w:fill="FFFFFF"/>
        <w:spacing w:line="437" w:lineRule="exact"/>
        <w:ind w:left="298"/>
      </w:pPr>
      <w:r>
        <w:rPr>
          <w:b/>
          <w:bCs/>
          <w:sz w:val="18"/>
          <w:szCs w:val="18"/>
          <w:lang w:val="es-ES_tradnl"/>
        </w:rPr>
        <w:t>CORTE CONSTITUCIONAL DEL ECUADOR</w:t>
      </w:r>
    </w:p>
    <w:p w14:paraId="4F67B795" w14:textId="77777777" w:rsidR="00591D54" w:rsidRDefault="00591D54">
      <w:pPr>
        <w:shd w:val="clear" w:color="auto" w:fill="FFFFFF"/>
        <w:spacing w:line="437" w:lineRule="exact"/>
        <w:ind w:left="1339"/>
      </w:pPr>
      <w:r>
        <w:rPr>
          <w:b/>
          <w:bCs/>
          <w:sz w:val="18"/>
          <w:szCs w:val="18"/>
          <w:lang w:val="es-ES_tradnl"/>
        </w:rPr>
        <w:t>I. ANTECEDENTES</w:t>
      </w:r>
    </w:p>
    <w:p w14:paraId="4F67B796" w14:textId="77777777" w:rsidR="00591D54" w:rsidRDefault="00591D54">
      <w:pPr>
        <w:shd w:val="clear" w:color="auto" w:fill="FFFFFF"/>
        <w:spacing w:line="437" w:lineRule="exact"/>
      </w:pPr>
      <w:r>
        <w:rPr>
          <w:b/>
          <w:bCs/>
          <w:spacing w:val="-9"/>
          <w:sz w:val="18"/>
          <w:szCs w:val="18"/>
          <w:lang w:val="es-ES_tradnl"/>
        </w:rPr>
        <w:t>Resumen de admisibilidad</w:t>
      </w:r>
    </w:p>
    <w:p w14:paraId="4F67B797" w14:textId="77777777" w:rsidR="00591D54" w:rsidRDefault="00591D54">
      <w:pPr>
        <w:shd w:val="clear" w:color="auto" w:fill="FFFFFF"/>
        <w:spacing w:before="163" w:line="226" w:lineRule="exact"/>
        <w:jc w:val="both"/>
      </w:pPr>
      <w:r>
        <w:rPr>
          <w:spacing w:val="-6"/>
          <w:sz w:val="18"/>
          <w:szCs w:val="18"/>
          <w:lang w:val="es-ES_tradnl"/>
        </w:rPr>
        <w:t xml:space="preserve">El 29 de julio de 2010, Juan Vicente Saavedra Mera, en </w:t>
      </w:r>
      <w:r>
        <w:rPr>
          <w:spacing w:val="-8"/>
          <w:sz w:val="18"/>
          <w:szCs w:val="18"/>
          <w:lang w:val="es-ES_tradnl"/>
        </w:rPr>
        <w:t>calidad de apoderado especial de la Corporaci</w:t>
      </w:r>
      <w:r>
        <w:rPr>
          <w:rFonts w:cs="Times New Roman"/>
          <w:spacing w:val="-8"/>
          <w:sz w:val="18"/>
          <w:szCs w:val="18"/>
          <w:lang w:val="es-ES_tradnl"/>
        </w:rPr>
        <w:t>ó</w:t>
      </w:r>
      <w:r>
        <w:rPr>
          <w:spacing w:val="-8"/>
          <w:sz w:val="18"/>
          <w:szCs w:val="18"/>
          <w:lang w:val="es-ES_tradnl"/>
        </w:rPr>
        <w:t>n El</w:t>
      </w:r>
      <w:r>
        <w:rPr>
          <w:rFonts w:cs="Times New Roman"/>
          <w:spacing w:val="-8"/>
          <w:sz w:val="18"/>
          <w:szCs w:val="18"/>
          <w:lang w:val="es-ES_tradnl"/>
        </w:rPr>
        <w:t>é</w:t>
      </w:r>
      <w:r>
        <w:rPr>
          <w:spacing w:val="-8"/>
          <w:sz w:val="18"/>
          <w:szCs w:val="18"/>
          <w:lang w:val="es-ES_tradnl"/>
        </w:rPr>
        <w:t xml:space="preserve">ctrica </w:t>
      </w:r>
      <w:r>
        <w:rPr>
          <w:sz w:val="18"/>
          <w:szCs w:val="18"/>
          <w:lang w:val="es-ES_tradnl"/>
        </w:rPr>
        <w:t>del Ecuador, CELEC EP HIDRONACI</w:t>
      </w:r>
      <w:r>
        <w:rPr>
          <w:rFonts w:cs="Times New Roman"/>
          <w:sz w:val="18"/>
          <w:szCs w:val="18"/>
          <w:lang w:val="es-ES_tradnl"/>
        </w:rPr>
        <w:t>Ó</w:t>
      </w:r>
      <w:r>
        <w:rPr>
          <w:sz w:val="18"/>
          <w:szCs w:val="18"/>
          <w:lang w:val="es-ES_tradnl"/>
        </w:rPr>
        <w:t>N, y Mar</w:t>
      </w:r>
      <w:r>
        <w:rPr>
          <w:rFonts w:cs="Times New Roman"/>
          <w:sz w:val="18"/>
          <w:szCs w:val="18"/>
          <w:lang w:val="es-ES_tradnl"/>
        </w:rPr>
        <w:t>í</w:t>
      </w:r>
      <w:r>
        <w:rPr>
          <w:sz w:val="18"/>
          <w:szCs w:val="18"/>
          <w:lang w:val="es-ES_tradnl"/>
        </w:rPr>
        <w:t xml:space="preserve">a </w:t>
      </w:r>
      <w:r>
        <w:rPr>
          <w:spacing w:val="-7"/>
          <w:sz w:val="18"/>
          <w:szCs w:val="18"/>
          <w:lang w:val="es-ES_tradnl"/>
        </w:rPr>
        <w:t>Gabriela Franco San Lucas, por sus propios derechos, presentaron acci</w:t>
      </w:r>
      <w:r>
        <w:rPr>
          <w:rFonts w:cs="Times New Roman"/>
          <w:spacing w:val="-7"/>
          <w:sz w:val="18"/>
          <w:szCs w:val="18"/>
          <w:lang w:val="es-ES_tradnl"/>
        </w:rPr>
        <w:t>ó</w:t>
      </w:r>
      <w:r>
        <w:rPr>
          <w:spacing w:val="-7"/>
          <w:sz w:val="18"/>
          <w:szCs w:val="18"/>
          <w:lang w:val="es-ES_tradnl"/>
        </w:rPr>
        <w:t>n extraordinaria de protecci</w:t>
      </w:r>
      <w:r>
        <w:rPr>
          <w:rFonts w:cs="Times New Roman"/>
          <w:spacing w:val="-7"/>
          <w:sz w:val="18"/>
          <w:szCs w:val="18"/>
          <w:lang w:val="es-ES_tradnl"/>
        </w:rPr>
        <w:t>ó</w:t>
      </w:r>
      <w:r>
        <w:rPr>
          <w:spacing w:val="-7"/>
          <w:sz w:val="18"/>
          <w:szCs w:val="18"/>
          <w:lang w:val="es-ES_tradnl"/>
        </w:rPr>
        <w:t>n en contra de la sentencia de mayor</w:t>
      </w:r>
      <w:r>
        <w:rPr>
          <w:rFonts w:cs="Times New Roman"/>
          <w:spacing w:val="-7"/>
          <w:sz w:val="18"/>
          <w:szCs w:val="18"/>
          <w:lang w:val="es-ES_tradnl"/>
        </w:rPr>
        <w:t>í</w:t>
      </w:r>
      <w:r>
        <w:rPr>
          <w:spacing w:val="-7"/>
          <w:sz w:val="18"/>
          <w:szCs w:val="18"/>
          <w:lang w:val="es-ES_tradnl"/>
        </w:rPr>
        <w:t xml:space="preserve">a dictada por la Primera Sala de </w:t>
      </w:r>
      <w:r>
        <w:rPr>
          <w:spacing w:val="-6"/>
          <w:sz w:val="18"/>
          <w:szCs w:val="18"/>
          <w:lang w:val="es-ES_tradnl"/>
        </w:rPr>
        <w:t>lo Laboral, Ni</w:t>
      </w:r>
      <w:r>
        <w:rPr>
          <w:rFonts w:cs="Times New Roman"/>
          <w:spacing w:val="-6"/>
          <w:sz w:val="18"/>
          <w:szCs w:val="18"/>
          <w:lang w:val="es-ES_tradnl"/>
        </w:rPr>
        <w:t>ñ</w:t>
      </w:r>
      <w:r>
        <w:rPr>
          <w:spacing w:val="-6"/>
          <w:sz w:val="18"/>
          <w:szCs w:val="18"/>
          <w:lang w:val="es-ES_tradnl"/>
        </w:rPr>
        <w:t xml:space="preserve">ez y Adolescencia de la Corte Provincial de </w:t>
      </w:r>
      <w:r>
        <w:rPr>
          <w:spacing w:val="-7"/>
          <w:sz w:val="18"/>
          <w:szCs w:val="18"/>
          <w:lang w:val="es-ES_tradnl"/>
        </w:rPr>
        <w:t xml:space="preserve">Justicia del Guayas del 25 de junio de 2010, dentro de la </w:t>
      </w:r>
      <w:r>
        <w:rPr>
          <w:sz w:val="18"/>
          <w:szCs w:val="18"/>
          <w:lang w:val="es-ES_tradnl"/>
        </w:rPr>
        <w:t>acci</w:t>
      </w:r>
      <w:r>
        <w:rPr>
          <w:rFonts w:cs="Times New Roman"/>
          <w:sz w:val="18"/>
          <w:szCs w:val="18"/>
          <w:lang w:val="es-ES_tradnl"/>
        </w:rPr>
        <w:t>ó</w:t>
      </w:r>
      <w:r>
        <w:rPr>
          <w:sz w:val="18"/>
          <w:szCs w:val="18"/>
          <w:lang w:val="es-ES_tradnl"/>
        </w:rPr>
        <w:t>n de protecci</w:t>
      </w:r>
      <w:r>
        <w:rPr>
          <w:rFonts w:cs="Times New Roman"/>
          <w:sz w:val="18"/>
          <w:szCs w:val="18"/>
          <w:lang w:val="es-ES_tradnl"/>
        </w:rPr>
        <w:t>ó</w:t>
      </w:r>
      <w:r>
        <w:rPr>
          <w:sz w:val="18"/>
          <w:szCs w:val="18"/>
          <w:lang w:val="es-ES_tradnl"/>
        </w:rPr>
        <w:t>n N.</w:t>
      </w:r>
      <w:r>
        <w:rPr>
          <w:rFonts w:cs="Times New Roman"/>
          <w:sz w:val="18"/>
          <w:szCs w:val="18"/>
          <w:lang w:val="es-ES_tradnl"/>
        </w:rPr>
        <w:t>°</w:t>
      </w:r>
      <w:r>
        <w:rPr>
          <w:sz w:val="18"/>
          <w:szCs w:val="18"/>
          <w:lang w:val="es-ES_tradnl"/>
        </w:rPr>
        <w:t xml:space="preserve"> 111-2010.</w:t>
      </w:r>
    </w:p>
    <w:p w14:paraId="4F67B798" w14:textId="77777777" w:rsidR="00591D54" w:rsidRDefault="00591D54">
      <w:pPr>
        <w:shd w:val="clear" w:color="auto" w:fill="FFFFFF"/>
        <w:spacing w:before="202" w:line="226" w:lineRule="exact"/>
        <w:jc w:val="both"/>
      </w:pPr>
      <w:r>
        <w:rPr>
          <w:spacing w:val="-9"/>
          <w:sz w:val="18"/>
          <w:szCs w:val="18"/>
          <w:lang w:val="es-ES_tradnl"/>
        </w:rPr>
        <w:t xml:space="preserve">De conformidad con lo establecido en el segundo inciso del </w:t>
      </w:r>
      <w:r>
        <w:rPr>
          <w:spacing w:val="-7"/>
          <w:sz w:val="18"/>
          <w:szCs w:val="18"/>
          <w:lang w:val="es-ES_tradnl"/>
        </w:rPr>
        <w:t>art</w:t>
      </w:r>
      <w:r>
        <w:rPr>
          <w:rFonts w:cs="Times New Roman"/>
          <w:spacing w:val="-7"/>
          <w:sz w:val="18"/>
          <w:szCs w:val="18"/>
          <w:lang w:val="es-ES_tradnl"/>
        </w:rPr>
        <w:t>í</w:t>
      </w:r>
      <w:r>
        <w:rPr>
          <w:spacing w:val="-7"/>
          <w:sz w:val="18"/>
          <w:szCs w:val="18"/>
          <w:lang w:val="es-ES_tradnl"/>
        </w:rPr>
        <w:t>culo 17 del Reglamento de Sustanciaci</w:t>
      </w:r>
      <w:r>
        <w:rPr>
          <w:rFonts w:cs="Times New Roman"/>
          <w:spacing w:val="-7"/>
          <w:sz w:val="18"/>
          <w:szCs w:val="18"/>
          <w:lang w:val="es-ES_tradnl"/>
        </w:rPr>
        <w:t>ó</w:t>
      </w:r>
      <w:r>
        <w:rPr>
          <w:spacing w:val="-7"/>
          <w:sz w:val="18"/>
          <w:szCs w:val="18"/>
          <w:lang w:val="es-ES_tradnl"/>
        </w:rPr>
        <w:t xml:space="preserve">n de Procesos </w:t>
      </w:r>
      <w:r>
        <w:rPr>
          <w:spacing w:val="-6"/>
          <w:sz w:val="18"/>
          <w:szCs w:val="18"/>
          <w:lang w:val="es-ES_tradnl"/>
        </w:rPr>
        <w:t xml:space="preserve">de Competencia de la Corte Constitucional, el secretario </w:t>
      </w:r>
      <w:r>
        <w:rPr>
          <w:spacing w:val="-5"/>
          <w:sz w:val="18"/>
          <w:szCs w:val="18"/>
          <w:lang w:val="es-ES_tradnl"/>
        </w:rPr>
        <w:t>general certific</w:t>
      </w:r>
      <w:r>
        <w:rPr>
          <w:rFonts w:cs="Times New Roman"/>
          <w:spacing w:val="-5"/>
          <w:sz w:val="18"/>
          <w:szCs w:val="18"/>
          <w:lang w:val="es-ES_tradnl"/>
        </w:rPr>
        <w:t>ó</w:t>
      </w:r>
      <w:r>
        <w:rPr>
          <w:spacing w:val="-5"/>
          <w:sz w:val="18"/>
          <w:szCs w:val="18"/>
          <w:lang w:val="es-ES_tradnl"/>
        </w:rPr>
        <w:t xml:space="preserve"> que en referencia a la acci</w:t>
      </w:r>
      <w:r>
        <w:rPr>
          <w:rFonts w:cs="Times New Roman"/>
          <w:spacing w:val="-5"/>
          <w:sz w:val="18"/>
          <w:szCs w:val="18"/>
          <w:lang w:val="es-ES_tradnl"/>
        </w:rPr>
        <w:t>ó</w:t>
      </w:r>
      <w:r>
        <w:rPr>
          <w:spacing w:val="-5"/>
          <w:sz w:val="18"/>
          <w:szCs w:val="18"/>
          <w:lang w:val="es-ES_tradnl"/>
        </w:rPr>
        <w:t>n N.</w:t>
      </w:r>
      <w:r>
        <w:rPr>
          <w:rFonts w:cs="Times New Roman"/>
          <w:spacing w:val="-5"/>
          <w:sz w:val="18"/>
          <w:szCs w:val="18"/>
          <w:lang w:val="es-ES_tradnl"/>
        </w:rPr>
        <w:t>°</w:t>
      </w:r>
      <w:r>
        <w:rPr>
          <w:spacing w:val="-5"/>
          <w:sz w:val="18"/>
          <w:szCs w:val="18"/>
          <w:lang w:val="es-ES_tradnl"/>
        </w:rPr>
        <w:t xml:space="preserve"> 1120-</w:t>
      </w:r>
      <w:r>
        <w:rPr>
          <w:spacing w:val="-9"/>
          <w:sz w:val="18"/>
          <w:szCs w:val="18"/>
          <w:lang w:val="es-ES_tradnl"/>
        </w:rPr>
        <w:t xml:space="preserve">10-EP, no se ha presentado otra demanda con identidad de </w:t>
      </w:r>
      <w:r>
        <w:rPr>
          <w:sz w:val="18"/>
          <w:szCs w:val="18"/>
          <w:lang w:val="es-ES_tradnl"/>
        </w:rPr>
        <w:t>objeto y acci</w:t>
      </w:r>
      <w:r>
        <w:rPr>
          <w:rFonts w:cs="Times New Roman"/>
          <w:sz w:val="18"/>
          <w:szCs w:val="18"/>
          <w:lang w:val="es-ES_tradnl"/>
        </w:rPr>
        <w:t>ó</w:t>
      </w:r>
      <w:r>
        <w:rPr>
          <w:sz w:val="18"/>
          <w:szCs w:val="18"/>
          <w:lang w:val="es-ES_tradnl"/>
        </w:rPr>
        <w:t>n.</w:t>
      </w:r>
    </w:p>
    <w:p w14:paraId="4F67B799" w14:textId="77777777" w:rsidR="00591D54" w:rsidRDefault="00591D54">
      <w:pPr>
        <w:shd w:val="clear" w:color="auto" w:fill="FFFFFF"/>
        <w:spacing w:before="202" w:line="221" w:lineRule="exact"/>
        <w:jc w:val="both"/>
      </w:pPr>
      <w:r>
        <w:rPr>
          <w:sz w:val="18"/>
          <w:szCs w:val="18"/>
          <w:lang w:val="es-ES_tradnl"/>
        </w:rPr>
        <w:t>La Sala de Admisi</w:t>
      </w:r>
      <w:r>
        <w:rPr>
          <w:rFonts w:cs="Times New Roman"/>
          <w:sz w:val="18"/>
          <w:szCs w:val="18"/>
          <w:lang w:val="es-ES_tradnl"/>
        </w:rPr>
        <w:t>ó</w:t>
      </w:r>
      <w:r>
        <w:rPr>
          <w:sz w:val="18"/>
          <w:szCs w:val="18"/>
          <w:lang w:val="es-ES_tradnl"/>
        </w:rPr>
        <w:t xml:space="preserve">n de la Corte Constitucional, para </w:t>
      </w:r>
      <w:r>
        <w:rPr>
          <w:spacing w:val="-6"/>
          <w:sz w:val="18"/>
          <w:szCs w:val="18"/>
          <w:lang w:val="es-ES_tradnl"/>
        </w:rPr>
        <w:t>el per</w:t>
      </w:r>
      <w:r>
        <w:rPr>
          <w:rFonts w:cs="Times New Roman"/>
          <w:spacing w:val="-6"/>
          <w:sz w:val="18"/>
          <w:szCs w:val="18"/>
          <w:lang w:val="es-ES_tradnl"/>
        </w:rPr>
        <w:t>í</w:t>
      </w:r>
      <w:r>
        <w:rPr>
          <w:spacing w:val="-6"/>
          <w:sz w:val="18"/>
          <w:szCs w:val="18"/>
          <w:lang w:val="es-ES_tradnl"/>
        </w:rPr>
        <w:t>odo de transici</w:t>
      </w:r>
      <w:r>
        <w:rPr>
          <w:rFonts w:cs="Times New Roman"/>
          <w:spacing w:val="-6"/>
          <w:sz w:val="18"/>
          <w:szCs w:val="18"/>
          <w:lang w:val="es-ES_tradnl"/>
        </w:rPr>
        <w:t>ó</w:t>
      </w:r>
      <w:r>
        <w:rPr>
          <w:spacing w:val="-6"/>
          <w:sz w:val="18"/>
          <w:szCs w:val="18"/>
          <w:lang w:val="es-ES_tradnl"/>
        </w:rPr>
        <w:t xml:space="preserve">n, conformada por los jueces </w:t>
      </w:r>
      <w:r>
        <w:rPr>
          <w:spacing w:val="-5"/>
          <w:sz w:val="18"/>
          <w:szCs w:val="18"/>
          <w:lang w:val="es-ES_tradnl"/>
        </w:rPr>
        <w:t xml:space="preserve">constitucionales Patricio Herrera Betancourt, Alfonso Luz </w:t>
      </w:r>
      <w:r>
        <w:rPr>
          <w:spacing w:val="-7"/>
          <w:sz w:val="18"/>
          <w:szCs w:val="18"/>
          <w:lang w:val="es-ES_tradnl"/>
        </w:rPr>
        <w:t>Yunes y Patricio Pazmi</w:t>
      </w:r>
      <w:r>
        <w:rPr>
          <w:rFonts w:cs="Times New Roman"/>
          <w:spacing w:val="-7"/>
          <w:sz w:val="18"/>
          <w:szCs w:val="18"/>
          <w:lang w:val="es-ES_tradnl"/>
        </w:rPr>
        <w:t>ñ</w:t>
      </w:r>
      <w:r>
        <w:rPr>
          <w:spacing w:val="-7"/>
          <w:sz w:val="18"/>
          <w:szCs w:val="18"/>
          <w:lang w:val="es-ES_tradnl"/>
        </w:rPr>
        <w:t>o Freire, mediante providencia del 07 de diciembre de 2010, avoc</w:t>
      </w:r>
      <w:r>
        <w:rPr>
          <w:rFonts w:cs="Times New Roman"/>
          <w:spacing w:val="-7"/>
          <w:sz w:val="18"/>
          <w:szCs w:val="18"/>
          <w:lang w:val="es-ES_tradnl"/>
        </w:rPr>
        <w:t>ó</w:t>
      </w:r>
      <w:r>
        <w:rPr>
          <w:spacing w:val="-7"/>
          <w:sz w:val="18"/>
          <w:szCs w:val="18"/>
          <w:lang w:val="es-ES_tradnl"/>
        </w:rPr>
        <w:t xml:space="preserve"> conocimiento de la causa </w:t>
      </w:r>
      <w:r>
        <w:rPr>
          <w:spacing w:val="-6"/>
          <w:sz w:val="18"/>
          <w:szCs w:val="18"/>
          <w:lang w:val="es-ES_tradnl"/>
        </w:rPr>
        <w:t>y admiti</w:t>
      </w:r>
      <w:r>
        <w:rPr>
          <w:rFonts w:cs="Times New Roman"/>
          <w:spacing w:val="-6"/>
          <w:sz w:val="18"/>
          <w:szCs w:val="18"/>
          <w:lang w:val="es-ES_tradnl"/>
        </w:rPr>
        <w:t>ó</w:t>
      </w:r>
      <w:r>
        <w:rPr>
          <w:spacing w:val="-6"/>
          <w:sz w:val="18"/>
          <w:szCs w:val="18"/>
          <w:lang w:val="es-ES_tradnl"/>
        </w:rPr>
        <w:t xml:space="preserve"> a tr</w:t>
      </w:r>
      <w:r>
        <w:rPr>
          <w:rFonts w:cs="Times New Roman"/>
          <w:spacing w:val="-6"/>
          <w:sz w:val="18"/>
          <w:szCs w:val="18"/>
          <w:lang w:val="es-ES_tradnl"/>
        </w:rPr>
        <w:t>á</w:t>
      </w:r>
      <w:r>
        <w:rPr>
          <w:spacing w:val="-6"/>
          <w:sz w:val="18"/>
          <w:szCs w:val="18"/>
          <w:lang w:val="es-ES_tradnl"/>
        </w:rPr>
        <w:t>mite la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w:t>
      </w:r>
      <w:r>
        <w:rPr>
          <w:sz w:val="18"/>
          <w:szCs w:val="18"/>
          <w:lang w:val="es-ES_tradnl"/>
        </w:rPr>
        <w:t>N.</w:t>
      </w:r>
      <w:r>
        <w:rPr>
          <w:rFonts w:cs="Times New Roman"/>
          <w:sz w:val="18"/>
          <w:szCs w:val="18"/>
          <w:lang w:val="es-ES_tradnl"/>
        </w:rPr>
        <w:t>°</w:t>
      </w:r>
      <w:r>
        <w:rPr>
          <w:sz w:val="18"/>
          <w:szCs w:val="18"/>
          <w:lang w:val="es-ES_tradnl"/>
        </w:rPr>
        <w:t xml:space="preserve"> 1120-10-EP.</w:t>
      </w:r>
    </w:p>
    <w:p w14:paraId="4F67B79A" w14:textId="77777777" w:rsidR="00591D54" w:rsidRDefault="00591D54">
      <w:pPr>
        <w:shd w:val="clear" w:color="auto" w:fill="FFFFFF"/>
        <w:spacing w:before="202" w:line="221" w:lineRule="exact"/>
        <w:jc w:val="both"/>
      </w:pPr>
      <w:r>
        <w:rPr>
          <w:spacing w:val="-6"/>
          <w:sz w:val="18"/>
          <w:szCs w:val="18"/>
          <w:lang w:val="es-ES_tradnl"/>
        </w:rPr>
        <w:t xml:space="preserve">De conformidad con el sorteo efectuado por el Pleno del </w:t>
      </w:r>
      <w:r>
        <w:rPr>
          <w:spacing w:val="-7"/>
          <w:sz w:val="18"/>
          <w:szCs w:val="18"/>
          <w:lang w:val="es-ES_tradnl"/>
        </w:rPr>
        <w:t>Organismo, en sesi</w:t>
      </w:r>
      <w:r>
        <w:rPr>
          <w:rFonts w:cs="Times New Roman"/>
          <w:spacing w:val="-7"/>
          <w:sz w:val="18"/>
          <w:szCs w:val="18"/>
          <w:lang w:val="es-ES_tradnl"/>
        </w:rPr>
        <w:t>ó</w:t>
      </w:r>
      <w:r>
        <w:rPr>
          <w:spacing w:val="-7"/>
          <w:sz w:val="18"/>
          <w:szCs w:val="18"/>
          <w:lang w:val="es-ES_tradnl"/>
        </w:rPr>
        <w:t xml:space="preserve">n ordinaria del 11 de enero de 2011, </w:t>
      </w:r>
      <w:r>
        <w:rPr>
          <w:sz w:val="18"/>
          <w:szCs w:val="18"/>
          <w:lang w:val="es-ES_tradnl"/>
        </w:rPr>
        <w:t>correspondi</w:t>
      </w:r>
      <w:r>
        <w:rPr>
          <w:rFonts w:cs="Times New Roman"/>
          <w:sz w:val="18"/>
          <w:szCs w:val="18"/>
          <w:lang w:val="es-ES_tradnl"/>
        </w:rPr>
        <w:t>ó</w:t>
      </w:r>
      <w:r>
        <w:rPr>
          <w:sz w:val="18"/>
          <w:szCs w:val="18"/>
          <w:lang w:val="es-ES_tradnl"/>
        </w:rPr>
        <w:t xml:space="preserve"> al doctor Alfonso Luz Yunes, sustanciar </w:t>
      </w:r>
      <w:r>
        <w:rPr>
          <w:spacing w:val="-1"/>
          <w:sz w:val="18"/>
          <w:szCs w:val="18"/>
          <w:lang w:val="es-ES_tradnl"/>
        </w:rPr>
        <w:t xml:space="preserve">la presente causa, quien mediante providencia del 03 </w:t>
      </w:r>
      <w:r>
        <w:rPr>
          <w:spacing w:val="-6"/>
          <w:sz w:val="18"/>
          <w:szCs w:val="18"/>
          <w:lang w:val="es-ES_tradnl"/>
        </w:rPr>
        <w:t>de febrero de 2011, avoc</w:t>
      </w:r>
      <w:r>
        <w:rPr>
          <w:rFonts w:cs="Times New Roman"/>
          <w:spacing w:val="-6"/>
          <w:sz w:val="18"/>
          <w:szCs w:val="18"/>
          <w:lang w:val="es-ES_tradnl"/>
        </w:rPr>
        <w:t>ó</w:t>
      </w:r>
      <w:r>
        <w:rPr>
          <w:spacing w:val="-6"/>
          <w:sz w:val="18"/>
          <w:szCs w:val="18"/>
          <w:lang w:val="es-ES_tradnl"/>
        </w:rPr>
        <w:t xml:space="preserve"> conocimiento de la causa y </w:t>
      </w:r>
      <w:r>
        <w:rPr>
          <w:spacing w:val="-8"/>
          <w:sz w:val="18"/>
          <w:szCs w:val="18"/>
          <w:lang w:val="es-ES_tradnl"/>
        </w:rPr>
        <w:t>dispuso la notificaci</w:t>
      </w:r>
      <w:r>
        <w:rPr>
          <w:rFonts w:cs="Times New Roman"/>
          <w:spacing w:val="-8"/>
          <w:sz w:val="18"/>
          <w:szCs w:val="18"/>
          <w:lang w:val="es-ES_tradnl"/>
        </w:rPr>
        <w:t>ó</w:t>
      </w:r>
      <w:r>
        <w:rPr>
          <w:spacing w:val="-8"/>
          <w:sz w:val="18"/>
          <w:szCs w:val="18"/>
          <w:lang w:val="es-ES_tradnl"/>
        </w:rPr>
        <w:t xml:space="preserve">n con el contenido de la demanda y la </w:t>
      </w:r>
      <w:r>
        <w:rPr>
          <w:spacing w:val="-7"/>
          <w:sz w:val="18"/>
          <w:szCs w:val="18"/>
          <w:lang w:val="es-ES_tradnl"/>
        </w:rPr>
        <w:t>providencia a los jueces de la Primera Sala de lo Laboral, Ni</w:t>
      </w:r>
      <w:r>
        <w:rPr>
          <w:rFonts w:cs="Times New Roman"/>
          <w:spacing w:val="-7"/>
          <w:sz w:val="18"/>
          <w:szCs w:val="18"/>
          <w:lang w:val="es-ES_tradnl"/>
        </w:rPr>
        <w:t>ñ</w:t>
      </w:r>
      <w:r>
        <w:rPr>
          <w:spacing w:val="-7"/>
          <w:sz w:val="18"/>
          <w:szCs w:val="18"/>
          <w:lang w:val="es-ES_tradnl"/>
        </w:rPr>
        <w:t>ez y Adolescencia de la Corte Provincial de Justicia del Guayas, as</w:t>
      </w:r>
      <w:r>
        <w:rPr>
          <w:rFonts w:cs="Times New Roman"/>
          <w:spacing w:val="-7"/>
          <w:sz w:val="18"/>
          <w:szCs w:val="18"/>
          <w:lang w:val="es-ES_tradnl"/>
        </w:rPr>
        <w:t>í</w:t>
      </w:r>
      <w:r>
        <w:rPr>
          <w:spacing w:val="-7"/>
          <w:sz w:val="18"/>
          <w:szCs w:val="18"/>
          <w:lang w:val="es-ES_tradnl"/>
        </w:rPr>
        <w:t xml:space="preserve"> como al juez tercero de lo Civil de Guayaquil, </w:t>
      </w:r>
      <w:r>
        <w:rPr>
          <w:spacing w:val="-8"/>
          <w:sz w:val="18"/>
          <w:szCs w:val="18"/>
          <w:lang w:val="es-ES_tradnl"/>
        </w:rPr>
        <w:t>para que en plazo de quince d</w:t>
      </w:r>
      <w:r>
        <w:rPr>
          <w:rFonts w:cs="Times New Roman"/>
          <w:spacing w:val="-8"/>
          <w:sz w:val="18"/>
          <w:szCs w:val="18"/>
          <w:lang w:val="es-ES_tradnl"/>
        </w:rPr>
        <w:t>í</w:t>
      </w:r>
      <w:r>
        <w:rPr>
          <w:spacing w:val="-8"/>
          <w:sz w:val="18"/>
          <w:szCs w:val="18"/>
          <w:lang w:val="es-ES_tradnl"/>
        </w:rPr>
        <w:t xml:space="preserve">as presenten un informe de </w:t>
      </w:r>
      <w:r>
        <w:rPr>
          <w:spacing w:val="-10"/>
          <w:sz w:val="18"/>
          <w:szCs w:val="18"/>
          <w:lang w:val="es-ES_tradnl"/>
        </w:rPr>
        <w:t xml:space="preserve">descargo debidamente motivado sobre los argumentos que </w:t>
      </w:r>
      <w:r>
        <w:rPr>
          <w:sz w:val="18"/>
          <w:szCs w:val="18"/>
          <w:lang w:val="es-ES_tradnl"/>
        </w:rPr>
        <w:t>fundamentan la demanda.</w:t>
      </w:r>
    </w:p>
    <w:p w14:paraId="4F67B79B" w14:textId="77777777" w:rsidR="00591D54" w:rsidRDefault="00591D54">
      <w:pPr>
        <w:shd w:val="clear" w:color="auto" w:fill="FFFFFF"/>
        <w:spacing w:before="202" w:line="226" w:lineRule="exact"/>
        <w:jc w:val="both"/>
      </w:pPr>
      <w:r>
        <w:rPr>
          <w:spacing w:val="-8"/>
          <w:sz w:val="18"/>
          <w:szCs w:val="18"/>
          <w:lang w:val="es-ES_tradnl"/>
        </w:rPr>
        <w:t xml:space="preserve">El 06 de noviembre de 2012 se posesionaron ante el Pleno </w:t>
      </w:r>
      <w:r>
        <w:rPr>
          <w:spacing w:val="-7"/>
          <w:sz w:val="18"/>
          <w:szCs w:val="18"/>
          <w:lang w:val="es-ES_tradnl"/>
        </w:rPr>
        <w:t xml:space="preserve">de la Asamblea Nacional los jueces de la Primera Corte </w:t>
      </w:r>
      <w:r>
        <w:rPr>
          <w:spacing w:val="-6"/>
          <w:sz w:val="18"/>
          <w:szCs w:val="18"/>
          <w:lang w:val="es-ES_tradnl"/>
        </w:rPr>
        <w:t>Constitucional, integrada conforme lo dispuesto en los art</w:t>
      </w:r>
      <w:r>
        <w:rPr>
          <w:rFonts w:cs="Times New Roman"/>
          <w:spacing w:val="-6"/>
          <w:sz w:val="18"/>
          <w:szCs w:val="18"/>
          <w:lang w:val="es-ES_tradnl"/>
        </w:rPr>
        <w:t>í</w:t>
      </w:r>
      <w:r>
        <w:rPr>
          <w:spacing w:val="-6"/>
          <w:sz w:val="18"/>
          <w:szCs w:val="18"/>
          <w:lang w:val="es-ES_tradnl"/>
        </w:rPr>
        <w:t>culos 432 y 434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w:t>
      </w:r>
    </w:p>
    <w:p w14:paraId="4F67B79C" w14:textId="77777777" w:rsidR="00591D54" w:rsidRDefault="00591D54">
      <w:pPr>
        <w:shd w:val="clear" w:color="auto" w:fill="FFFFFF"/>
        <w:spacing w:before="202" w:line="226" w:lineRule="exact"/>
        <w:jc w:val="both"/>
      </w:pPr>
      <w:r>
        <w:rPr>
          <w:spacing w:val="-8"/>
          <w:sz w:val="18"/>
          <w:szCs w:val="18"/>
          <w:lang w:val="es-ES_tradnl"/>
        </w:rPr>
        <w:t>En virtud del sorteo realizado ante el Pleno del Organismo, en sesi</w:t>
      </w:r>
      <w:r>
        <w:rPr>
          <w:rFonts w:cs="Times New Roman"/>
          <w:spacing w:val="-8"/>
          <w:sz w:val="18"/>
          <w:szCs w:val="18"/>
          <w:lang w:val="es-ES_tradnl"/>
        </w:rPr>
        <w:t>ó</w:t>
      </w:r>
      <w:r>
        <w:rPr>
          <w:spacing w:val="-8"/>
          <w:sz w:val="18"/>
          <w:szCs w:val="18"/>
          <w:lang w:val="es-ES_tradnl"/>
        </w:rPr>
        <w:t xml:space="preserve">n extraordinaria del jueves 03 de enero de 2013, le </w:t>
      </w:r>
      <w:r>
        <w:rPr>
          <w:spacing w:val="-7"/>
          <w:sz w:val="18"/>
          <w:szCs w:val="18"/>
          <w:lang w:val="es-ES_tradnl"/>
        </w:rPr>
        <w:t>correspondi</w:t>
      </w:r>
      <w:r>
        <w:rPr>
          <w:rFonts w:cs="Times New Roman"/>
          <w:spacing w:val="-7"/>
          <w:sz w:val="18"/>
          <w:szCs w:val="18"/>
          <w:lang w:val="es-ES_tradnl"/>
        </w:rPr>
        <w:t>ó</w:t>
      </w:r>
      <w:r>
        <w:rPr>
          <w:spacing w:val="-7"/>
          <w:sz w:val="18"/>
          <w:szCs w:val="18"/>
          <w:lang w:val="es-ES_tradnl"/>
        </w:rPr>
        <w:t xml:space="preserve"> sustanciar la presente causa a la Dra. Mar</w:t>
      </w:r>
      <w:r>
        <w:rPr>
          <w:rFonts w:cs="Times New Roman"/>
          <w:spacing w:val="-7"/>
          <w:sz w:val="18"/>
          <w:szCs w:val="18"/>
          <w:lang w:val="es-ES_tradnl"/>
        </w:rPr>
        <w:t>í</w:t>
      </w:r>
      <w:r>
        <w:rPr>
          <w:spacing w:val="-7"/>
          <w:sz w:val="18"/>
          <w:szCs w:val="18"/>
          <w:lang w:val="es-ES_tradnl"/>
        </w:rPr>
        <w:t xml:space="preserve">a </w:t>
      </w:r>
      <w:r>
        <w:rPr>
          <w:spacing w:val="-5"/>
          <w:sz w:val="18"/>
          <w:szCs w:val="18"/>
          <w:lang w:val="es-ES_tradnl"/>
        </w:rPr>
        <w:t>del Carmen Maldonado S</w:t>
      </w:r>
      <w:r>
        <w:rPr>
          <w:rFonts w:cs="Times New Roman"/>
          <w:spacing w:val="-5"/>
          <w:sz w:val="18"/>
          <w:szCs w:val="18"/>
          <w:lang w:val="es-ES_tradnl"/>
        </w:rPr>
        <w:t>á</w:t>
      </w:r>
      <w:r>
        <w:rPr>
          <w:spacing w:val="-5"/>
          <w:sz w:val="18"/>
          <w:szCs w:val="18"/>
          <w:lang w:val="es-ES_tradnl"/>
        </w:rPr>
        <w:t xml:space="preserve">nchez, jueza constitucional, </w:t>
      </w:r>
      <w:r>
        <w:rPr>
          <w:spacing w:val="-8"/>
          <w:sz w:val="18"/>
          <w:szCs w:val="18"/>
          <w:lang w:val="es-ES_tradnl"/>
        </w:rPr>
        <w:t>quien, mediante providencia del 15 de julio de 2015, avoc</w:t>
      </w:r>
      <w:r>
        <w:rPr>
          <w:rFonts w:cs="Times New Roman"/>
          <w:spacing w:val="-8"/>
          <w:sz w:val="18"/>
          <w:szCs w:val="18"/>
          <w:lang w:val="es-ES_tradnl"/>
        </w:rPr>
        <w:t xml:space="preserve">ó </w:t>
      </w:r>
      <w:r>
        <w:rPr>
          <w:sz w:val="18"/>
          <w:szCs w:val="18"/>
          <w:lang w:val="es-ES_tradnl"/>
        </w:rPr>
        <w:t>conocimiento.</w:t>
      </w:r>
    </w:p>
    <w:p w14:paraId="4F67B79D" w14:textId="77777777" w:rsidR="00591D54" w:rsidRDefault="00591D54">
      <w:pPr>
        <w:shd w:val="clear" w:color="auto" w:fill="FFFFFF"/>
        <w:spacing w:before="202" w:line="226" w:lineRule="exact"/>
        <w:jc w:val="both"/>
        <w:sectPr w:rsidR="00591D54">
          <w:type w:val="continuous"/>
          <w:pgSz w:w="11909" w:h="16834"/>
          <w:pgMar w:top="1363" w:right="1309" w:bottom="360" w:left="1308" w:header="720" w:footer="720" w:gutter="0"/>
          <w:cols w:num="2" w:space="720" w:equalWidth="0">
            <w:col w:w="4305" w:space="682"/>
            <w:col w:w="4305"/>
          </w:cols>
          <w:noEndnote/>
        </w:sectPr>
      </w:pPr>
    </w:p>
    <w:p w14:paraId="4F67B79E" w14:textId="77777777" w:rsidR="00591D54" w:rsidRDefault="00591D54">
      <w:pPr>
        <w:shd w:val="clear" w:color="auto" w:fill="FFFFFF"/>
        <w:tabs>
          <w:tab w:val="left" w:pos="5842"/>
        </w:tabs>
        <w:spacing w:after="226"/>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- 245</w:t>
      </w:r>
    </w:p>
    <w:p w14:paraId="4F67B79F" w14:textId="77777777" w:rsidR="00591D54" w:rsidRDefault="00591D54">
      <w:pPr>
        <w:shd w:val="clear" w:color="auto" w:fill="FFFFFF"/>
        <w:tabs>
          <w:tab w:val="left" w:pos="5842"/>
        </w:tabs>
        <w:spacing w:after="226"/>
        <w:ind w:left="5"/>
        <w:sectPr w:rsidR="00591D54">
          <w:pgSz w:w="11909" w:h="16834"/>
          <w:pgMar w:top="1371" w:right="1309" w:bottom="360" w:left="1308" w:header="720" w:footer="720" w:gutter="0"/>
          <w:cols w:space="60"/>
          <w:noEndnote/>
        </w:sectPr>
      </w:pPr>
    </w:p>
    <w:p w14:paraId="4F67B7A0" w14:textId="77777777" w:rsidR="00591D54" w:rsidRDefault="00591D54">
      <w:pPr>
        <w:shd w:val="clear" w:color="auto" w:fill="FFFFFF"/>
      </w:pPr>
      <w:r>
        <w:rPr>
          <w:b/>
          <w:bCs/>
          <w:spacing w:val="-10"/>
          <w:sz w:val="18"/>
          <w:szCs w:val="18"/>
          <w:lang w:val="es-ES_tradnl"/>
        </w:rPr>
        <w:t>Breve descripci</w:t>
      </w:r>
      <w:r>
        <w:rPr>
          <w:rFonts w:cs="Times New Roman"/>
          <w:b/>
          <w:bCs/>
          <w:spacing w:val="-10"/>
          <w:sz w:val="18"/>
          <w:szCs w:val="18"/>
          <w:lang w:val="es-ES_tradnl"/>
        </w:rPr>
        <w:t>ó</w:t>
      </w:r>
      <w:r>
        <w:rPr>
          <w:b/>
          <w:bCs/>
          <w:spacing w:val="-10"/>
          <w:sz w:val="18"/>
          <w:szCs w:val="18"/>
          <w:lang w:val="es-ES_tradnl"/>
        </w:rPr>
        <w:t>n del caso y detalle de la demanda</w:t>
      </w:r>
    </w:p>
    <w:p w14:paraId="4F67B7A1" w14:textId="77777777" w:rsidR="00591D54" w:rsidRDefault="00591D54">
      <w:pPr>
        <w:shd w:val="clear" w:color="auto" w:fill="FFFFFF"/>
        <w:spacing w:before="197" w:line="216" w:lineRule="exact"/>
        <w:ind w:right="5"/>
        <w:jc w:val="both"/>
      </w:pPr>
      <w:r>
        <w:rPr>
          <w:spacing w:val="-5"/>
          <w:sz w:val="18"/>
          <w:szCs w:val="18"/>
          <w:lang w:val="es-ES_tradnl"/>
        </w:rPr>
        <w:t>El se</w:t>
      </w:r>
      <w:r>
        <w:rPr>
          <w:rFonts w:cs="Times New Roman"/>
          <w:spacing w:val="-5"/>
          <w:sz w:val="18"/>
          <w:szCs w:val="18"/>
          <w:lang w:val="es-ES_tradnl"/>
        </w:rPr>
        <w:t>ñ</w:t>
      </w:r>
      <w:r>
        <w:rPr>
          <w:spacing w:val="-5"/>
          <w:sz w:val="18"/>
          <w:szCs w:val="18"/>
          <w:lang w:val="es-ES_tradnl"/>
        </w:rPr>
        <w:t xml:space="preserve">or Juan Vicente Saavedra Mera, en calidad de </w:t>
      </w:r>
      <w:r>
        <w:rPr>
          <w:spacing w:val="-2"/>
          <w:sz w:val="18"/>
          <w:szCs w:val="18"/>
          <w:lang w:val="es-ES_tradnl"/>
        </w:rPr>
        <w:t>apoderado especial de la Corporaci</w:t>
      </w:r>
      <w:r>
        <w:rPr>
          <w:rFonts w:cs="Times New Roman"/>
          <w:spacing w:val="-2"/>
          <w:sz w:val="18"/>
          <w:szCs w:val="18"/>
          <w:lang w:val="es-ES_tradnl"/>
        </w:rPr>
        <w:t>ó</w:t>
      </w:r>
      <w:r>
        <w:rPr>
          <w:spacing w:val="-2"/>
          <w:sz w:val="18"/>
          <w:szCs w:val="18"/>
          <w:lang w:val="es-ES_tradnl"/>
        </w:rPr>
        <w:t>n El</w:t>
      </w:r>
      <w:r>
        <w:rPr>
          <w:rFonts w:cs="Times New Roman"/>
          <w:spacing w:val="-2"/>
          <w:sz w:val="18"/>
          <w:szCs w:val="18"/>
          <w:lang w:val="es-ES_tradnl"/>
        </w:rPr>
        <w:t>é</w:t>
      </w:r>
      <w:r>
        <w:rPr>
          <w:spacing w:val="-2"/>
          <w:sz w:val="18"/>
          <w:szCs w:val="18"/>
          <w:lang w:val="es-ES_tradnl"/>
        </w:rPr>
        <w:t xml:space="preserve">ctrica del </w:t>
      </w:r>
      <w:r>
        <w:rPr>
          <w:spacing w:val="-4"/>
          <w:sz w:val="18"/>
          <w:szCs w:val="18"/>
          <w:lang w:val="es-ES_tradnl"/>
        </w:rPr>
        <w:t>Ecuador, CELEC EP HIDRONACI</w:t>
      </w:r>
      <w:r>
        <w:rPr>
          <w:rFonts w:cs="Times New Roman"/>
          <w:spacing w:val="-4"/>
          <w:sz w:val="18"/>
          <w:szCs w:val="18"/>
          <w:lang w:val="es-ES_tradnl"/>
        </w:rPr>
        <w:t>Ó</w:t>
      </w:r>
      <w:r>
        <w:rPr>
          <w:spacing w:val="-4"/>
          <w:sz w:val="18"/>
          <w:szCs w:val="18"/>
          <w:lang w:val="es-ES_tradnl"/>
        </w:rPr>
        <w:t>N, y Mar</w:t>
      </w:r>
      <w:r>
        <w:rPr>
          <w:rFonts w:cs="Times New Roman"/>
          <w:spacing w:val="-4"/>
          <w:sz w:val="18"/>
          <w:szCs w:val="18"/>
          <w:lang w:val="es-ES_tradnl"/>
        </w:rPr>
        <w:t>í</w:t>
      </w:r>
      <w:r>
        <w:rPr>
          <w:spacing w:val="-4"/>
          <w:sz w:val="18"/>
          <w:szCs w:val="18"/>
          <w:lang w:val="es-ES_tradnl"/>
        </w:rPr>
        <w:t xml:space="preserve">a Gabriela </w:t>
      </w:r>
      <w:r>
        <w:rPr>
          <w:spacing w:val="-8"/>
          <w:sz w:val="18"/>
          <w:szCs w:val="18"/>
          <w:lang w:val="es-ES_tradnl"/>
        </w:rPr>
        <w:t xml:space="preserve">Franco San Lucas, por sus propios derechos, presentaron </w:t>
      </w:r>
      <w:r>
        <w:rPr>
          <w:spacing w:val="-6"/>
          <w:sz w:val="18"/>
          <w:szCs w:val="18"/>
          <w:lang w:val="es-ES_tradnl"/>
        </w:rPr>
        <w:t>una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en contra de la </w:t>
      </w:r>
      <w:r>
        <w:rPr>
          <w:spacing w:val="-9"/>
          <w:sz w:val="18"/>
          <w:szCs w:val="18"/>
          <w:lang w:val="es-ES_tradnl"/>
        </w:rPr>
        <w:t>sentencia dictada por la Primera Sala de lo Laboral, Ni</w:t>
      </w:r>
      <w:r>
        <w:rPr>
          <w:rFonts w:cs="Times New Roman"/>
          <w:spacing w:val="-9"/>
          <w:sz w:val="18"/>
          <w:szCs w:val="18"/>
          <w:lang w:val="es-ES_tradnl"/>
        </w:rPr>
        <w:t>ñ</w:t>
      </w:r>
      <w:r>
        <w:rPr>
          <w:spacing w:val="-9"/>
          <w:sz w:val="18"/>
          <w:szCs w:val="18"/>
          <w:lang w:val="es-ES_tradnl"/>
        </w:rPr>
        <w:t xml:space="preserve">ez y </w:t>
      </w:r>
      <w:r>
        <w:rPr>
          <w:spacing w:val="-8"/>
          <w:sz w:val="18"/>
          <w:szCs w:val="18"/>
          <w:lang w:val="es-ES_tradnl"/>
        </w:rPr>
        <w:t xml:space="preserve">Adolescencia de la Corte Provincial de Justicia del Guayas </w:t>
      </w:r>
      <w:r>
        <w:rPr>
          <w:spacing w:val="-7"/>
          <w:sz w:val="18"/>
          <w:szCs w:val="18"/>
          <w:lang w:val="es-ES_tradnl"/>
        </w:rPr>
        <w:t>del 25 de junio de 2010, dentro de la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 xml:space="preserve">n </w:t>
      </w:r>
      <w:r>
        <w:rPr>
          <w:spacing w:val="-3"/>
          <w:sz w:val="18"/>
          <w:szCs w:val="18"/>
          <w:lang w:val="es-ES_tradnl"/>
        </w:rPr>
        <w:t>N.</w:t>
      </w:r>
      <w:r>
        <w:rPr>
          <w:rFonts w:cs="Times New Roman"/>
          <w:spacing w:val="-3"/>
          <w:sz w:val="18"/>
          <w:szCs w:val="18"/>
          <w:lang w:val="es-ES_tradnl"/>
        </w:rPr>
        <w:t>°</w:t>
      </w:r>
      <w:r>
        <w:rPr>
          <w:spacing w:val="-3"/>
          <w:sz w:val="18"/>
          <w:szCs w:val="18"/>
          <w:lang w:val="es-ES_tradnl"/>
        </w:rPr>
        <w:t xml:space="preserve"> 111-2010, a trav</w:t>
      </w:r>
      <w:r>
        <w:rPr>
          <w:rFonts w:cs="Times New Roman"/>
          <w:spacing w:val="-3"/>
          <w:sz w:val="18"/>
          <w:szCs w:val="18"/>
          <w:lang w:val="es-ES_tradnl"/>
        </w:rPr>
        <w:t>é</w:t>
      </w:r>
      <w:r>
        <w:rPr>
          <w:spacing w:val="-3"/>
          <w:sz w:val="18"/>
          <w:szCs w:val="18"/>
          <w:lang w:val="es-ES_tradnl"/>
        </w:rPr>
        <w:t>s de la cual se resolvi</w:t>
      </w:r>
      <w:r>
        <w:rPr>
          <w:rFonts w:cs="Times New Roman"/>
          <w:spacing w:val="-3"/>
          <w:sz w:val="18"/>
          <w:szCs w:val="18"/>
          <w:lang w:val="es-ES_tradnl"/>
        </w:rPr>
        <w:t>ó</w:t>
      </w:r>
      <w:r>
        <w:rPr>
          <w:spacing w:val="-3"/>
          <w:sz w:val="18"/>
          <w:szCs w:val="18"/>
          <w:lang w:val="es-ES_tradnl"/>
        </w:rPr>
        <w:t xml:space="preserve"> el recurso </w:t>
      </w:r>
      <w:r>
        <w:rPr>
          <w:spacing w:val="-4"/>
          <w:sz w:val="18"/>
          <w:szCs w:val="18"/>
          <w:lang w:val="es-ES_tradnl"/>
        </w:rPr>
        <w:t>de apelaci</w:t>
      </w:r>
      <w:r>
        <w:rPr>
          <w:rFonts w:cs="Times New Roman"/>
          <w:spacing w:val="-4"/>
          <w:sz w:val="18"/>
          <w:szCs w:val="18"/>
          <w:lang w:val="es-ES_tradnl"/>
        </w:rPr>
        <w:t>ó</w:t>
      </w:r>
      <w:r>
        <w:rPr>
          <w:spacing w:val="-4"/>
          <w:sz w:val="18"/>
          <w:szCs w:val="18"/>
          <w:lang w:val="es-ES_tradnl"/>
        </w:rPr>
        <w:t>n formulado y se revoc</w:t>
      </w:r>
      <w:r>
        <w:rPr>
          <w:rFonts w:cs="Times New Roman"/>
          <w:spacing w:val="-4"/>
          <w:sz w:val="18"/>
          <w:szCs w:val="18"/>
          <w:lang w:val="es-ES_tradnl"/>
        </w:rPr>
        <w:t>ó</w:t>
      </w:r>
      <w:r>
        <w:rPr>
          <w:spacing w:val="-4"/>
          <w:sz w:val="18"/>
          <w:szCs w:val="18"/>
          <w:lang w:val="es-ES_tradnl"/>
        </w:rPr>
        <w:t xml:space="preserve"> la sentencia subida </w:t>
      </w:r>
      <w:r>
        <w:rPr>
          <w:spacing w:val="-6"/>
          <w:sz w:val="18"/>
          <w:szCs w:val="18"/>
          <w:lang w:val="es-ES_tradnl"/>
        </w:rPr>
        <w:t>en grado, declarando con lugar la acci</w:t>
      </w:r>
      <w:r>
        <w:rPr>
          <w:rFonts w:cs="Times New Roman"/>
          <w:spacing w:val="-6"/>
          <w:sz w:val="18"/>
          <w:szCs w:val="18"/>
          <w:lang w:val="es-ES_tradnl"/>
        </w:rPr>
        <w:t>ó</w:t>
      </w:r>
      <w:r>
        <w:rPr>
          <w:spacing w:val="-6"/>
          <w:sz w:val="18"/>
          <w:szCs w:val="18"/>
          <w:lang w:val="es-ES_tradnl"/>
        </w:rPr>
        <w:t>n de protecci</w:t>
      </w:r>
      <w:r>
        <w:rPr>
          <w:rFonts w:cs="Times New Roman"/>
          <w:spacing w:val="-6"/>
          <w:sz w:val="18"/>
          <w:szCs w:val="18"/>
          <w:lang w:val="es-ES_tradnl"/>
        </w:rPr>
        <w:t>ó</w:t>
      </w:r>
      <w:r>
        <w:rPr>
          <w:spacing w:val="-6"/>
          <w:sz w:val="18"/>
          <w:szCs w:val="18"/>
          <w:lang w:val="es-ES_tradnl"/>
        </w:rPr>
        <w:t xml:space="preserve">n </w:t>
      </w:r>
      <w:r>
        <w:rPr>
          <w:spacing w:val="-7"/>
          <w:sz w:val="18"/>
          <w:szCs w:val="18"/>
          <w:lang w:val="es-ES_tradnl"/>
        </w:rPr>
        <w:t>presentada por EMPRISEG C</w:t>
      </w:r>
      <w:r>
        <w:rPr>
          <w:rFonts w:cs="Times New Roman"/>
          <w:spacing w:val="-7"/>
          <w:sz w:val="18"/>
          <w:szCs w:val="18"/>
          <w:lang w:val="es-ES_tradnl"/>
        </w:rPr>
        <w:t>Í</w:t>
      </w:r>
      <w:r>
        <w:rPr>
          <w:spacing w:val="-7"/>
          <w:sz w:val="18"/>
          <w:szCs w:val="18"/>
          <w:lang w:val="es-ES_tradnl"/>
        </w:rPr>
        <w:t>A. LTDA. Adem</w:t>
      </w:r>
      <w:r>
        <w:rPr>
          <w:rFonts w:cs="Times New Roman"/>
          <w:spacing w:val="-7"/>
          <w:sz w:val="18"/>
          <w:szCs w:val="18"/>
          <w:lang w:val="es-ES_tradnl"/>
        </w:rPr>
        <w:t>á</w:t>
      </w:r>
      <w:r>
        <w:rPr>
          <w:spacing w:val="-7"/>
          <w:sz w:val="18"/>
          <w:szCs w:val="18"/>
          <w:lang w:val="es-ES_tradnl"/>
        </w:rPr>
        <w:t>s, se dej</w:t>
      </w:r>
      <w:r>
        <w:rPr>
          <w:rFonts w:cs="Times New Roman"/>
          <w:spacing w:val="-7"/>
          <w:sz w:val="18"/>
          <w:szCs w:val="18"/>
          <w:lang w:val="es-ES_tradnl"/>
        </w:rPr>
        <w:t xml:space="preserve">ó </w:t>
      </w:r>
      <w:r>
        <w:rPr>
          <w:spacing w:val="-7"/>
          <w:sz w:val="18"/>
          <w:szCs w:val="18"/>
          <w:lang w:val="es-ES_tradnl"/>
        </w:rPr>
        <w:t>insubsistente la resoluci</w:t>
      </w:r>
      <w:r>
        <w:rPr>
          <w:rFonts w:cs="Times New Roman"/>
          <w:spacing w:val="-7"/>
          <w:sz w:val="18"/>
          <w:szCs w:val="18"/>
          <w:lang w:val="es-ES_tradnl"/>
        </w:rPr>
        <w:t>ó</w:t>
      </w:r>
      <w:r>
        <w:rPr>
          <w:spacing w:val="-7"/>
          <w:sz w:val="18"/>
          <w:szCs w:val="18"/>
          <w:lang w:val="es-ES_tradnl"/>
        </w:rPr>
        <w:t>n emitida por HIDRONACI</w:t>
      </w:r>
      <w:r>
        <w:rPr>
          <w:rFonts w:cs="Times New Roman"/>
          <w:spacing w:val="-7"/>
          <w:sz w:val="18"/>
          <w:szCs w:val="18"/>
          <w:lang w:val="es-ES_tradnl"/>
        </w:rPr>
        <w:t>Ó</w:t>
      </w:r>
      <w:r>
        <w:rPr>
          <w:spacing w:val="-7"/>
          <w:sz w:val="18"/>
          <w:szCs w:val="18"/>
          <w:lang w:val="es-ES_tradnl"/>
        </w:rPr>
        <w:t xml:space="preserve">N S. </w:t>
      </w:r>
      <w:r>
        <w:rPr>
          <w:spacing w:val="-8"/>
          <w:sz w:val="18"/>
          <w:szCs w:val="18"/>
          <w:lang w:val="es-ES_tradnl"/>
        </w:rPr>
        <w:t>A., del 20 de noviembre de 2009 y se levant</w:t>
      </w:r>
      <w:r>
        <w:rPr>
          <w:rFonts w:cs="Times New Roman"/>
          <w:spacing w:val="-8"/>
          <w:sz w:val="18"/>
          <w:szCs w:val="18"/>
          <w:lang w:val="es-ES_tradnl"/>
        </w:rPr>
        <w:t>ó</w:t>
      </w:r>
      <w:r>
        <w:rPr>
          <w:spacing w:val="-8"/>
          <w:sz w:val="18"/>
          <w:szCs w:val="18"/>
          <w:lang w:val="es-ES_tradnl"/>
        </w:rPr>
        <w:t xml:space="preserve"> la prohibici</w:t>
      </w:r>
      <w:r>
        <w:rPr>
          <w:rFonts w:cs="Times New Roman"/>
          <w:spacing w:val="-8"/>
          <w:sz w:val="18"/>
          <w:szCs w:val="18"/>
          <w:lang w:val="es-ES_tradnl"/>
        </w:rPr>
        <w:t>ó</w:t>
      </w:r>
      <w:r>
        <w:rPr>
          <w:spacing w:val="-8"/>
          <w:sz w:val="18"/>
          <w:szCs w:val="18"/>
          <w:lang w:val="es-ES_tradnl"/>
        </w:rPr>
        <w:t xml:space="preserve">n </w:t>
      </w:r>
      <w:r>
        <w:rPr>
          <w:spacing w:val="-6"/>
          <w:sz w:val="18"/>
          <w:szCs w:val="18"/>
          <w:lang w:val="es-ES_tradnl"/>
        </w:rPr>
        <w:t>para que EMPRISEG C</w:t>
      </w:r>
      <w:r>
        <w:rPr>
          <w:rFonts w:cs="Times New Roman"/>
          <w:spacing w:val="-6"/>
          <w:sz w:val="18"/>
          <w:szCs w:val="18"/>
          <w:lang w:val="es-ES_tradnl"/>
        </w:rPr>
        <w:t>Í</w:t>
      </w:r>
      <w:r>
        <w:rPr>
          <w:spacing w:val="-6"/>
          <w:sz w:val="18"/>
          <w:szCs w:val="18"/>
          <w:lang w:val="es-ES_tradnl"/>
        </w:rPr>
        <w:t>A. LTDA., contin</w:t>
      </w:r>
      <w:r>
        <w:rPr>
          <w:rFonts w:cs="Times New Roman"/>
          <w:spacing w:val="-6"/>
          <w:sz w:val="18"/>
          <w:szCs w:val="18"/>
          <w:lang w:val="es-ES_tradnl"/>
        </w:rPr>
        <w:t>ú</w:t>
      </w:r>
      <w:r>
        <w:rPr>
          <w:spacing w:val="-6"/>
          <w:sz w:val="18"/>
          <w:szCs w:val="18"/>
          <w:lang w:val="es-ES_tradnl"/>
        </w:rPr>
        <w:t xml:space="preserve">e en el registro </w:t>
      </w:r>
      <w:r>
        <w:rPr>
          <w:rFonts w:cs="Times New Roman"/>
          <w:sz w:val="18"/>
          <w:szCs w:val="18"/>
          <w:lang w:val="es-ES_tradnl"/>
        </w:rPr>
        <w:t>ú</w:t>
      </w:r>
      <w:r>
        <w:rPr>
          <w:sz w:val="18"/>
          <w:szCs w:val="18"/>
          <w:lang w:val="es-ES_tradnl"/>
        </w:rPr>
        <w:t>nico de proveedores (RUP).</w:t>
      </w:r>
    </w:p>
    <w:p w14:paraId="4F67B7A2" w14:textId="77777777" w:rsidR="00591D54" w:rsidRDefault="00591D54">
      <w:pPr>
        <w:shd w:val="clear" w:color="auto" w:fill="FFFFFF"/>
        <w:spacing w:before="197" w:line="216" w:lineRule="exact"/>
        <w:jc w:val="both"/>
      </w:pPr>
      <w:r>
        <w:rPr>
          <w:spacing w:val="-10"/>
          <w:sz w:val="18"/>
          <w:szCs w:val="18"/>
          <w:lang w:val="es-ES_tradnl"/>
        </w:rPr>
        <w:t xml:space="preserve">Como antecedente, indican los accionantes que CELEC EP </w:t>
      </w:r>
      <w:r>
        <w:rPr>
          <w:spacing w:val="-4"/>
          <w:sz w:val="18"/>
          <w:szCs w:val="18"/>
          <w:lang w:val="es-ES_tradnl"/>
        </w:rPr>
        <w:t>HIRONACI</w:t>
      </w:r>
      <w:r>
        <w:rPr>
          <w:rFonts w:cs="Times New Roman"/>
          <w:spacing w:val="-4"/>
          <w:sz w:val="18"/>
          <w:szCs w:val="18"/>
          <w:lang w:val="es-ES_tradnl"/>
        </w:rPr>
        <w:t>Ó</w:t>
      </w:r>
      <w:r>
        <w:rPr>
          <w:spacing w:val="-4"/>
          <w:sz w:val="18"/>
          <w:szCs w:val="18"/>
          <w:lang w:val="es-ES_tradnl"/>
        </w:rPr>
        <w:t>N convoc</w:t>
      </w:r>
      <w:r>
        <w:rPr>
          <w:rFonts w:cs="Times New Roman"/>
          <w:spacing w:val="-4"/>
          <w:sz w:val="18"/>
          <w:szCs w:val="18"/>
          <w:lang w:val="es-ES_tradnl"/>
        </w:rPr>
        <w:t>ó</w:t>
      </w:r>
      <w:r>
        <w:rPr>
          <w:spacing w:val="-4"/>
          <w:sz w:val="18"/>
          <w:szCs w:val="18"/>
          <w:lang w:val="es-ES_tradnl"/>
        </w:rPr>
        <w:t xml:space="preserve"> a la empresa EMPRISEG C</w:t>
      </w:r>
      <w:r>
        <w:rPr>
          <w:rFonts w:cs="Times New Roman"/>
          <w:spacing w:val="-4"/>
          <w:sz w:val="18"/>
          <w:szCs w:val="18"/>
          <w:lang w:val="es-ES_tradnl"/>
        </w:rPr>
        <w:t>Í</w:t>
      </w:r>
      <w:r>
        <w:rPr>
          <w:spacing w:val="-4"/>
          <w:sz w:val="18"/>
          <w:szCs w:val="18"/>
          <w:lang w:val="es-ES_tradnl"/>
        </w:rPr>
        <w:t xml:space="preserve">A. </w:t>
      </w:r>
      <w:r>
        <w:rPr>
          <w:spacing w:val="-5"/>
          <w:sz w:val="18"/>
          <w:szCs w:val="18"/>
          <w:lang w:val="es-ES_tradnl"/>
        </w:rPr>
        <w:t>LTDA., para la suscripci</w:t>
      </w:r>
      <w:r>
        <w:rPr>
          <w:rFonts w:cs="Times New Roman"/>
          <w:spacing w:val="-5"/>
          <w:sz w:val="18"/>
          <w:szCs w:val="18"/>
          <w:lang w:val="es-ES_tradnl"/>
        </w:rPr>
        <w:t>ó</w:t>
      </w:r>
      <w:r>
        <w:rPr>
          <w:spacing w:val="-5"/>
          <w:sz w:val="18"/>
          <w:szCs w:val="18"/>
          <w:lang w:val="es-ES_tradnl"/>
        </w:rPr>
        <w:t xml:space="preserve">n del contrato administrativo de </w:t>
      </w:r>
      <w:r>
        <w:rPr>
          <w:spacing w:val="-4"/>
          <w:sz w:val="18"/>
          <w:szCs w:val="18"/>
          <w:lang w:val="es-ES_tradnl"/>
        </w:rPr>
        <w:t>adjudicaci</w:t>
      </w:r>
      <w:r>
        <w:rPr>
          <w:rFonts w:cs="Times New Roman"/>
          <w:spacing w:val="-4"/>
          <w:sz w:val="18"/>
          <w:szCs w:val="18"/>
          <w:lang w:val="es-ES_tradnl"/>
        </w:rPr>
        <w:t>ó</w:t>
      </w:r>
      <w:r>
        <w:rPr>
          <w:spacing w:val="-4"/>
          <w:sz w:val="18"/>
          <w:szCs w:val="18"/>
          <w:lang w:val="es-ES_tradnl"/>
        </w:rPr>
        <w:t>n, pero por omisi</w:t>
      </w:r>
      <w:r>
        <w:rPr>
          <w:rFonts w:cs="Times New Roman"/>
          <w:spacing w:val="-4"/>
          <w:sz w:val="18"/>
          <w:szCs w:val="18"/>
          <w:lang w:val="es-ES_tradnl"/>
        </w:rPr>
        <w:t>ó</w:t>
      </w:r>
      <w:r>
        <w:rPr>
          <w:spacing w:val="-4"/>
          <w:sz w:val="18"/>
          <w:szCs w:val="18"/>
          <w:lang w:val="es-ES_tradnl"/>
        </w:rPr>
        <w:t xml:space="preserve">n de esta </w:t>
      </w:r>
      <w:r>
        <w:rPr>
          <w:rFonts w:cs="Times New Roman"/>
          <w:spacing w:val="-4"/>
          <w:sz w:val="18"/>
          <w:szCs w:val="18"/>
          <w:lang w:val="es-ES_tradnl"/>
        </w:rPr>
        <w:t>ú</w:t>
      </w:r>
      <w:r>
        <w:rPr>
          <w:spacing w:val="-4"/>
          <w:sz w:val="18"/>
          <w:szCs w:val="18"/>
          <w:lang w:val="es-ES_tradnl"/>
        </w:rPr>
        <w:t>ltima, cay</w:t>
      </w:r>
      <w:r>
        <w:rPr>
          <w:rFonts w:cs="Times New Roman"/>
          <w:spacing w:val="-4"/>
          <w:sz w:val="18"/>
          <w:szCs w:val="18"/>
          <w:lang w:val="es-ES_tradnl"/>
        </w:rPr>
        <w:t>ó</w:t>
      </w:r>
      <w:r>
        <w:rPr>
          <w:spacing w:val="-4"/>
          <w:sz w:val="18"/>
          <w:szCs w:val="18"/>
          <w:lang w:val="es-ES_tradnl"/>
        </w:rPr>
        <w:t xml:space="preserve"> en </w:t>
      </w:r>
      <w:r>
        <w:rPr>
          <w:spacing w:val="-10"/>
          <w:sz w:val="18"/>
          <w:szCs w:val="18"/>
          <w:lang w:val="es-ES_tradnl"/>
        </w:rPr>
        <w:t>mora en la presentaci</w:t>
      </w:r>
      <w:r>
        <w:rPr>
          <w:rFonts w:cs="Times New Roman"/>
          <w:spacing w:val="-10"/>
          <w:sz w:val="18"/>
          <w:szCs w:val="18"/>
          <w:lang w:val="es-ES_tradnl"/>
        </w:rPr>
        <w:t>ó</w:t>
      </w:r>
      <w:r>
        <w:rPr>
          <w:spacing w:val="-10"/>
          <w:sz w:val="18"/>
          <w:szCs w:val="18"/>
          <w:lang w:val="es-ES_tradnl"/>
        </w:rPr>
        <w:t xml:space="preserve">n de los documentos habilitantes, por </w:t>
      </w:r>
      <w:r>
        <w:rPr>
          <w:spacing w:val="-7"/>
          <w:sz w:val="18"/>
          <w:szCs w:val="18"/>
          <w:lang w:val="es-ES_tradnl"/>
        </w:rPr>
        <w:t>lo que no se habr</w:t>
      </w:r>
      <w:r>
        <w:rPr>
          <w:rFonts w:cs="Times New Roman"/>
          <w:spacing w:val="-7"/>
          <w:sz w:val="18"/>
          <w:szCs w:val="18"/>
          <w:lang w:val="es-ES_tradnl"/>
        </w:rPr>
        <w:t>í</w:t>
      </w:r>
      <w:r>
        <w:rPr>
          <w:spacing w:val="-7"/>
          <w:sz w:val="18"/>
          <w:szCs w:val="18"/>
          <w:lang w:val="es-ES_tradnl"/>
        </w:rPr>
        <w:t>a suscrito el contrato dentro del t</w:t>
      </w:r>
      <w:r>
        <w:rPr>
          <w:rFonts w:cs="Times New Roman"/>
          <w:spacing w:val="-7"/>
          <w:sz w:val="18"/>
          <w:szCs w:val="18"/>
          <w:lang w:val="es-ES_tradnl"/>
        </w:rPr>
        <w:t>é</w:t>
      </w:r>
      <w:r>
        <w:rPr>
          <w:spacing w:val="-7"/>
          <w:sz w:val="18"/>
          <w:szCs w:val="18"/>
          <w:lang w:val="es-ES_tradnl"/>
        </w:rPr>
        <w:t xml:space="preserve">rmino </w:t>
      </w:r>
      <w:r>
        <w:rPr>
          <w:spacing w:val="-11"/>
          <w:sz w:val="18"/>
          <w:szCs w:val="18"/>
          <w:lang w:val="es-ES_tradnl"/>
        </w:rPr>
        <w:t>concedido en la ley, esto es, dentro de los 15 d</w:t>
      </w:r>
      <w:r>
        <w:rPr>
          <w:rFonts w:cs="Times New Roman"/>
          <w:spacing w:val="-11"/>
          <w:sz w:val="18"/>
          <w:szCs w:val="18"/>
          <w:lang w:val="es-ES_tradnl"/>
        </w:rPr>
        <w:t>í</w:t>
      </w:r>
      <w:r>
        <w:rPr>
          <w:spacing w:val="-11"/>
          <w:sz w:val="18"/>
          <w:szCs w:val="18"/>
          <w:lang w:val="es-ES_tradnl"/>
        </w:rPr>
        <w:t xml:space="preserve">as posteriores </w:t>
      </w:r>
      <w:r>
        <w:rPr>
          <w:sz w:val="18"/>
          <w:szCs w:val="18"/>
          <w:lang w:val="es-ES_tradnl"/>
        </w:rPr>
        <w:t>a la fecha de adjudicaci</w:t>
      </w:r>
      <w:r>
        <w:rPr>
          <w:rFonts w:cs="Times New Roman"/>
          <w:sz w:val="18"/>
          <w:szCs w:val="18"/>
          <w:lang w:val="es-ES_tradnl"/>
        </w:rPr>
        <w:t>ó</w:t>
      </w:r>
      <w:r>
        <w:rPr>
          <w:sz w:val="18"/>
          <w:szCs w:val="18"/>
          <w:lang w:val="es-ES_tradnl"/>
        </w:rPr>
        <w:t>n.</w:t>
      </w:r>
    </w:p>
    <w:p w14:paraId="4F67B7A3" w14:textId="77777777" w:rsidR="00591D54" w:rsidRDefault="00591D54">
      <w:pPr>
        <w:shd w:val="clear" w:color="auto" w:fill="FFFFFF"/>
        <w:spacing w:before="197" w:line="216" w:lineRule="exact"/>
        <w:jc w:val="both"/>
      </w:pPr>
      <w:r>
        <w:rPr>
          <w:sz w:val="18"/>
          <w:szCs w:val="18"/>
          <w:lang w:val="es-ES_tradnl"/>
        </w:rPr>
        <w:t>Es as</w:t>
      </w:r>
      <w:r>
        <w:rPr>
          <w:rFonts w:cs="Times New Roman"/>
          <w:sz w:val="18"/>
          <w:szCs w:val="18"/>
          <w:lang w:val="es-ES_tradnl"/>
        </w:rPr>
        <w:t>í</w:t>
      </w:r>
      <w:r>
        <w:rPr>
          <w:sz w:val="18"/>
          <w:szCs w:val="18"/>
          <w:lang w:val="es-ES_tradnl"/>
        </w:rPr>
        <w:t xml:space="preserve"> que HIDRONACI</w:t>
      </w:r>
      <w:r>
        <w:rPr>
          <w:rFonts w:cs="Times New Roman"/>
          <w:sz w:val="18"/>
          <w:szCs w:val="18"/>
          <w:lang w:val="es-ES_tradnl"/>
        </w:rPr>
        <w:t>Ó</w:t>
      </w:r>
      <w:r>
        <w:rPr>
          <w:sz w:val="18"/>
          <w:szCs w:val="18"/>
          <w:lang w:val="es-ES_tradnl"/>
        </w:rPr>
        <w:t xml:space="preserve">N </w:t>
      </w:r>
      <w:r>
        <w:rPr>
          <w:rFonts w:cs="Times New Roman"/>
          <w:sz w:val="18"/>
          <w:szCs w:val="18"/>
          <w:lang w:val="es-ES_tradnl"/>
        </w:rPr>
        <w:t>–</w:t>
      </w:r>
      <w:r>
        <w:rPr>
          <w:sz w:val="18"/>
          <w:szCs w:val="18"/>
          <w:lang w:val="es-ES_tradnl"/>
        </w:rPr>
        <w:t xml:space="preserve"> hoy CELEC EP </w:t>
      </w:r>
      <w:r>
        <w:rPr>
          <w:spacing w:val="-3"/>
          <w:sz w:val="18"/>
          <w:szCs w:val="18"/>
          <w:lang w:val="es-ES_tradnl"/>
        </w:rPr>
        <w:t>HIDRONACI</w:t>
      </w:r>
      <w:r>
        <w:rPr>
          <w:rFonts w:cs="Times New Roman"/>
          <w:spacing w:val="-3"/>
          <w:sz w:val="18"/>
          <w:szCs w:val="18"/>
          <w:lang w:val="es-ES_tradnl"/>
        </w:rPr>
        <w:t>Ó</w:t>
      </w:r>
      <w:r>
        <w:rPr>
          <w:spacing w:val="-3"/>
          <w:sz w:val="18"/>
          <w:szCs w:val="18"/>
          <w:lang w:val="es-ES_tradnl"/>
        </w:rPr>
        <w:t xml:space="preserve">N en cumplimiento de lo ordenado en la </w:t>
      </w:r>
      <w:r>
        <w:rPr>
          <w:spacing w:val="-6"/>
          <w:sz w:val="18"/>
          <w:szCs w:val="18"/>
          <w:lang w:val="es-ES_tradnl"/>
        </w:rPr>
        <w:t>Ley Org</w:t>
      </w:r>
      <w:r>
        <w:rPr>
          <w:rFonts w:cs="Times New Roman"/>
          <w:spacing w:val="-6"/>
          <w:sz w:val="18"/>
          <w:szCs w:val="18"/>
          <w:lang w:val="es-ES_tradnl"/>
        </w:rPr>
        <w:t>á</w:t>
      </w:r>
      <w:r>
        <w:rPr>
          <w:spacing w:val="-6"/>
          <w:sz w:val="18"/>
          <w:szCs w:val="18"/>
          <w:lang w:val="es-ES_tradnl"/>
        </w:rPr>
        <w:t>nica del Sistema de Contrataci</w:t>
      </w:r>
      <w:r>
        <w:rPr>
          <w:rFonts w:cs="Times New Roman"/>
          <w:spacing w:val="-6"/>
          <w:sz w:val="18"/>
          <w:szCs w:val="18"/>
          <w:lang w:val="es-ES_tradnl"/>
        </w:rPr>
        <w:t>ó</w:t>
      </w:r>
      <w:r>
        <w:rPr>
          <w:spacing w:val="-6"/>
          <w:sz w:val="18"/>
          <w:szCs w:val="18"/>
          <w:lang w:val="es-ES_tradnl"/>
        </w:rPr>
        <w:t>n P</w:t>
      </w:r>
      <w:r>
        <w:rPr>
          <w:rFonts w:cs="Times New Roman"/>
          <w:spacing w:val="-6"/>
          <w:sz w:val="18"/>
          <w:szCs w:val="18"/>
          <w:lang w:val="es-ES_tradnl"/>
        </w:rPr>
        <w:t>ú</w:t>
      </w:r>
      <w:r>
        <w:rPr>
          <w:spacing w:val="-6"/>
          <w:sz w:val="18"/>
          <w:szCs w:val="18"/>
          <w:lang w:val="es-ES_tradnl"/>
        </w:rPr>
        <w:t xml:space="preserve">blica y su </w:t>
      </w:r>
      <w:r>
        <w:rPr>
          <w:spacing w:val="-9"/>
          <w:sz w:val="18"/>
          <w:szCs w:val="18"/>
          <w:lang w:val="es-ES_tradnl"/>
        </w:rPr>
        <w:t xml:space="preserve">reglamento, se encontraba imposibilitada para suscribir con </w:t>
      </w:r>
      <w:r>
        <w:rPr>
          <w:spacing w:val="-8"/>
          <w:sz w:val="18"/>
          <w:szCs w:val="18"/>
          <w:lang w:val="es-ES_tradnl"/>
        </w:rPr>
        <w:t xml:space="preserve">la citada empresa el contrato de servicios complementarios </w:t>
      </w:r>
      <w:r>
        <w:rPr>
          <w:spacing w:val="-4"/>
          <w:sz w:val="18"/>
          <w:szCs w:val="18"/>
          <w:lang w:val="es-ES_tradnl"/>
        </w:rPr>
        <w:t>de seguridad y vigilancia, por lo que ten</w:t>
      </w:r>
      <w:r>
        <w:rPr>
          <w:rFonts w:cs="Times New Roman"/>
          <w:spacing w:val="-4"/>
          <w:sz w:val="18"/>
          <w:szCs w:val="18"/>
          <w:lang w:val="es-ES_tradnl"/>
        </w:rPr>
        <w:t>í</w:t>
      </w:r>
      <w:r>
        <w:rPr>
          <w:spacing w:val="-4"/>
          <w:sz w:val="18"/>
          <w:szCs w:val="18"/>
          <w:lang w:val="es-ES_tradnl"/>
        </w:rPr>
        <w:t>an la obligaci</w:t>
      </w:r>
      <w:r>
        <w:rPr>
          <w:rFonts w:cs="Times New Roman"/>
          <w:spacing w:val="-4"/>
          <w:sz w:val="18"/>
          <w:szCs w:val="18"/>
          <w:lang w:val="es-ES_tradnl"/>
        </w:rPr>
        <w:t>ó</w:t>
      </w:r>
      <w:r>
        <w:rPr>
          <w:spacing w:val="-4"/>
          <w:sz w:val="18"/>
          <w:szCs w:val="18"/>
          <w:lang w:val="es-ES_tradnl"/>
        </w:rPr>
        <w:t xml:space="preserve">n </w:t>
      </w:r>
      <w:r>
        <w:rPr>
          <w:spacing w:val="-7"/>
          <w:sz w:val="18"/>
          <w:szCs w:val="18"/>
          <w:lang w:val="es-ES_tradnl"/>
        </w:rPr>
        <w:t xml:space="preserve">de convocar al segundo mejor oferente para suscribir el contrato, como en efecto se lo hizo. Como consecuencia, </w:t>
      </w:r>
      <w:r>
        <w:rPr>
          <w:sz w:val="18"/>
          <w:szCs w:val="18"/>
          <w:lang w:val="es-ES_tradnl"/>
        </w:rPr>
        <w:t>EMPRISEG C</w:t>
      </w:r>
      <w:r>
        <w:rPr>
          <w:rFonts w:cs="Times New Roman"/>
          <w:sz w:val="18"/>
          <w:szCs w:val="18"/>
          <w:lang w:val="es-ES_tradnl"/>
        </w:rPr>
        <w:t>Í</w:t>
      </w:r>
      <w:r>
        <w:rPr>
          <w:sz w:val="18"/>
          <w:szCs w:val="18"/>
          <w:lang w:val="es-ES_tradnl"/>
        </w:rPr>
        <w:t>A. LTDA., present</w:t>
      </w:r>
      <w:r>
        <w:rPr>
          <w:rFonts w:cs="Times New Roman"/>
          <w:sz w:val="18"/>
          <w:szCs w:val="18"/>
          <w:lang w:val="es-ES_tradnl"/>
        </w:rPr>
        <w:t>ó</w:t>
      </w:r>
      <w:r>
        <w:rPr>
          <w:sz w:val="18"/>
          <w:szCs w:val="18"/>
          <w:lang w:val="es-ES_tradnl"/>
        </w:rPr>
        <w:t xml:space="preserve"> una acci</w:t>
      </w:r>
      <w:r>
        <w:rPr>
          <w:rFonts w:cs="Times New Roman"/>
          <w:sz w:val="18"/>
          <w:szCs w:val="18"/>
          <w:lang w:val="es-ES_tradnl"/>
        </w:rPr>
        <w:t>ó</w:t>
      </w:r>
      <w:r>
        <w:rPr>
          <w:sz w:val="18"/>
          <w:szCs w:val="18"/>
          <w:lang w:val="es-ES_tradnl"/>
        </w:rPr>
        <w:t xml:space="preserve">n de </w:t>
      </w:r>
      <w:r>
        <w:rPr>
          <w:spacing w:val="-3"/>
          <w:sz w:val="18"/>
          <w:szCs w:val="18"/>
          <w:lang w:val="es-ES_tradnl"/>
        </w:rPr>
        <w:t>protecci</w:t>
      </w:r>
      <w:r>
        <w:rPr>
          <w:rFonts w:cs="Times New Roman"/>
          <w:spacing w:val="-3"/>
          <w:sz w:val="18"/>
          <w:szCs w:val="18"/>
          <w:lang w:val="es-ES_tradnl"/>
        </w:rPr>
        <w:t>ó</w:t>
      </w:r>
      <w:r>
        <w:rPr>
          <w:spacing w:val="-3"/>
          <w:sz w:val="18"/>
          <w:szCs w:val="18"/>
          <w:lang w:val="es-ES_tradnl"/>
        </w:rPr>
        <w:t>n, afirmando que no existi</w:t>
      </w:r>
      <w:r>
        <w:rPr>
          <w:rFonts w:cs="Times New Roman"/>
          <w:spacing w:val="-3"/>
          <w:sz w:val="18"/>
          <w:szCs w:val="18"/>
          <w:lang w:val="es-ES_tradnl"/>
        </w:rPr>
        <w:t>ó</w:t>
      </w:r>
      <w:r>
        <w:rPr>
          <w:spacing w:val="-3"/>
          <w:sz w:val="18"/>
          <w:szCs w:val="18"/>
          <w:lang w:val="es-ES_tradnl"/>
        </w:rPr>
        <w:t xml:space="preserve"> una respuesta </w:t>
      </w:r>
      <w:r>
        <w:rPr>
          <w:spacing w:val="-7"/>
          <w:sz w:val="18"/>
          <w:szCs w:val="18"/>
          <w:lang w:val="es-ES_tradnl"/>
        </w:rPr>
        <w:t>motivada de parte de la administraci</w:t>
      </w:r>
      <w:r>
        <w:rPr>
          <w:rFonts w:cs="Times New Roman"/>
          <w:spacing w:val="-7"/>
          <w:sz w:val="18"/>
          <w:szCs w:val="18"/>
          <w:lang w:val="es-ES_tradnl"/>
        </w:rPr>
        <w:t>ó</w:t>
      </w:r>
      <w:r>
        <w:rPr>
          <w:spacing w:val="-7"/>
          <w:sz w:val="18"/>
          <w:szCs w:val="18"/>
          <w:lang w:val="es-ES_tradnl"/>
        </w:rPr>
        <w:t>n p</w:t>
      </w:r>
      <w:r>
        <w:rPr>
          <w:rFonts w:cs="Times New Roman"/>
          <w:spacing w:val="-7"/>
          <w:sz w:val="18"/>
          <w:szCs w:val="18"/>
          <w:lang w:val="es-ES_tradnl"/>
        </w:rPr>
        <w:t>ú</w:t>
      </w:r>
      <w:r>
        <w:rPr>
          <w:spacing w:val="-7"/>
          <w:sz w:val="18"/>
          <w:szCs w:val="18"/>
          <w:lang w:val="es-ES_tradnl"/>
        </w:rPr>
        <w:t>blica.</w:t>
      </w:r>
    </w:p>
    <w:p w14:paraId="4F67B7A4" w14:textId="77777777" w:rsidR="00591D54" w:rsidRDefault="00591D54">
      <w:pPr>
        <w:shd w:val="clear" w:color="auto" w:fill="FFFFFF"/>
        <w:spacing w:before="197" w:line="216" w:lineRule="exact"/>
        <w:ind w:right="10"/>
        <w:jc w:val="both"/>
      </w:pPr>
      <w:r>
        <w:rPr>
          <w:spacing w:val="-6"/>
          <w:sz w:val="18"/>
          <w:szCs w:val="18"/>
          <w:lang w:val="es-ES_tradnl"/>
        </w:rPr>
        <w:t>El juez tercero de lo civil de Guayaquil neg</w:t>
      </w:r>
      <w:r>
        <w:rPr>
          <w:rFonts w:cs="Times New Roman"/>
          <w:spacing w:val="-6"/>
          <w:sz w:val="18"/>
          <w:szCs w:val="18"/>
          <w:lang w:val="es-ES_tradnl"/>
        </w:rPr>
        <w:t>ó</w:t>
      </w:r>
      <w:r>
        <w:rPr>
          <w:spacing w:val="-6"/>
          <w:sz w:val="18"/>
          <w:szCs w:val="18"/>
          <w:lang w:val="es-ES_tradnl"/>
        </w:rPr>
        <w:t xml:space="preserve"> la acci</w:t>
      </w:r>
      <w:r>
        <w:rPr>
          <w:rFonts w:cs="Times New Roman"/>
          <w:spacing w:val="-6"/>
          <w:sz w:val="18"/>
          <w:szCs w:val="18"/>
          <w:lang w:val="es-ES_tradnl"/>
        </w:rPr>
        <w:t>ó</w:t>
      </w:r>
      <w:r>
        <w:rPr>
          <w:spacing w:val="-6"/>
          <w:sz w:val="18"/>
          <w:szCs w:val="18"/>
          <w:lang w:val="es-ES_tradnl"/>
        </w:rPr>
        <w:t xml:space="preserve">n de </w:t>
      </w:r>
      <w:r>
        <w:rPr>
          <w:spacing w:val="-8"/>
          <w:sz w:val="18"/>
          <w:szCs w:val="18"/>
          <w:lang w:val="es-ES_tradnl"/>
        </w:rPr>
        <w:t>protecci</w:t>
      </w:r>
      <w:r>
        <w:rPr>
          <w:rFonts w:cs="Times New Roman"/>
          <w:spacing w:val="-8"/>
          <w:sz w:val="18"/>
          <w:szCs w:val="18"/>
          <w:lang w:val="es-ES_tradnl"/>
        </w:rPr>
        <w:t>ó</w:t>
      </w:r>
      <w:r>
        <w:rPr>
          <w:spacing w:val="-8"/>
          <w:sz w:val="18"/>
          <w:szCs w:val="18"/>
          <w:lang w:val="es-ES_tradnl"/>
        </w:rPr>
        <w:t>n; sin embargo, en virtud del recurso de apelaci</w:t>
      </w:r>
      <w:r>
        <w:rPr>
          <w:rFonts w:cs="Times New Roman"/>
          <w:spacing w:val="-8"/>
          <w:sz w:val="18"/>
          <w:szCs w:val="18"/>
          <w:lang w:val="es-ES_tradnl"/>
        </w:rPr>
        <w:t>ó</w:t>
      </w:r>
      <w:r>
        <w:rPr>
          <w:spacing w:val="-8"/>
          <w:sz w:val="18"/>
          <w:szCs w:val="18"/>
          <w:lang w:val="es-ES_tradnl"/>
        </w:rPr>
        <w:t xml:space="preserve">n </w:t>
      </w:r>
      <w:r>
        <w:rPr>
          <w:spacing w:val="-4"/>
          <w:sz w:val="18"/>
          <w:szCs w:val="18"/>
          <w:lang w:val="es-ES_tradnl"/>
        </w:rPr>
        <w:t>interpuesto, la Primera Sala de lo Laboral, Ni</w:t>
      </w:r>
      <w:r>
        <w:rPr>
          <w:rFonts w:cs="Times New Roman"/>
          <w:spacing w:val="-4"/>
          <w:sz w:val="18"/>
          <w:szCs w:val="18"/>
          <w:lang w:val="es-ES_tradnl"/>
        </w:rPr>
        <w:t>ñ</w:t>
      </w:r>
      <w:r>
        <w:rPr>
          <w:spacing w:val="-4"/>
          <w:sz w:val="18"/>
          <w:szCs w:val="18"/>
          <w:lang w:val="es-ES_tradnl"/>
        </w:rPr>
        <w:t xml:space="preserve">ez y </w:t>
      </w:r>
      <w:r>
        <w:rPr>
          <w:spacing w:val="-8"/>
          <w:sz w:val="18"/>
          <w:szCs w:val="18"/>
          <w:lang w:val="es-ES_tradnl"/>
        </w:rPr>
        <w:t xml:space="preserve">Adolescencia de la Corte Provincial de Justicia del Guayas, </w:t>
      </w:r>
      <w:r>
        <w:rPr>
          <w:spacing w:val="-7"/>
          <w:sz w:val="18"/>
          <w:szCs w:val="18"/>
          <w:lang w:val="es-ES_tradnl"/>
        </w:rPr>
        <w:t>en sentencia del 25 de junio de 2010 a las 09:44, resolvi</w:t>
      </w:r>
      <w:r>
        <w:rPr>
          <w:rFonts w:cs="Times New Roman"/>
          <w:spacing w:val="-7"/>
          <w:sz w:val="18"/>
          <w:szCs w:val="18"/>
          <w:lang w:val="es-ES_tradnl"/>
        </w:rPr>
        <w:t xml:space="preserve">ó </w:t>
      </w:r>
      <w:r>
        <w:rPr>
          <w:spacing w:val="-8"/>
          <w:sz w:val="18"/>
          <w:szCs w:val="18"/>
          <w:lang w:val="es-ES_tradnl"/>
        </w:rPr>
        <w:t>revocar la sentencia subida en grado y, por lo tanto, acept</w:t>
      </w:r>
      <w:r>
        <w:rPr>
          <w:rFonts w:cs="Times New Roman"/>
          <w:spacing w:val="-8"/>
          <w:sz w:val="18"/>
          <w:szCs w:val="18"/>
          <w:lang w:val="es-ES_tradnl"/>
        </w:rPr>
        <w:t xml:space="preserve">ó </w:t>
      </w:r>
      <w:r>
        <w:rPr>
          <w:sz w:val="18"/>
          <w:szCs w:val="18"/>
          <w:lang w:val="es-ES_tradnl"/>
        </w:rPr>
        <w:t>la acci</w:t>
      </w:r>
      <w:r>
        <w:rPr>
          <w:rFonts w:cs="Times New Roman"/>
          <w:sz w:val="18"/>
          <w:szCs w:val="18"/>
          <w:lang w:val="es-ES_tradnl"/>
        </w:rPr>
        <w:t>ó</w:t>
      </w:r>
      <w:r>
        <w:rPr>
          <w:sz w:val="18"/>
          <w:szCs w:val="18"/>
          <w:lang w:val="es-ES_tradnl"/>
        </w:rPr>
        <w:t>n.</w:t>
      </w:r>
    </w:p>
    <w:p w14:paraId="4F67B7A5" w14:textId="77777777" w:rsidR="00591D54" w:rsidRDefault="00591D54">
      <w:pPr>
        <w:shd w:val="clear" w:color="auto" w:fill="FFFFFF"/>
        <w:spacing w:before="197" w:line="216" w:lineRule="exact"/>
        <w:ind w:right="10"/>
        <w:jc w:val="both"/>
      </w:pPr>
      <w:r>
        <w:rPr>
          <w:spacing w:val="-7"/>
          <w:sz w:val="18"/>
          <w:szCs w:val="18"/>
          <w:lang w:val="es-ES_tradnl"/>
        </w:rPr>
        <w:t xml:space="preserve">Los legitimados activos exponen que la sentencia que se </w:t>
      </w:r>
      <w:r>
        <w:rPr>
          <w:spacing w:val="-11"/>
          <w:sz w:val="18"/>
          <w:szCs w:val="18"/>
          <w:lang w:val="es-ES_tradnl"/>
        </w:rPr>
        <w:t xml:space="preserve">impugna, en su considerando TERCERO, contiene una serie </w:t>
      </w:r>
      <w:r>
        <w:rPr>
          <w:spacing w:val="-13"/>
          <w:sz w:val="18"/>
          <w:szCs w:val="18"/>
          <w:lang w:val="es-ES_tradnl"/>
        </w:rPr>
        <w:t xml:space="preserve">de afirmaciones que no se compadecen con la realidad de los </w:t>
      </w:r>
      <w:r>
        <w:rPr>
          <w:spacing w:val="-8"/>
          <w:sz w:val="18"/>
          <w:szCs w:val="18"/>
          <w:lang w:val="es-ES_tradnl"/>
        </w:rPr>
        <w:t>hechos; por ejemplo, respecto de los pedidos de pr</w:t>
      </w:r>
      <w:r>
        <w:rPr>
          <w:rFonts w:cs="Times New Roman"/>
          <w:spacing w:val="-8"/>
          <w:sz w:val="18"/>
          <w:szCs w:val="18"/>
          <w:lang w:val="es-ES_tradnl"/>
        </w:rPr>
        <w:t>ó</w:t>
      </w:r>
      <w:r>
        <w:rPr>
          <w:spacing w:val="-8"/>
          <w:sz w:val="18"/>
          <w:szCs w:val="18"/>
          <w:lang w:val="es-ES_tradnl"/>
        </w:rPr>
        <w:t xml:space="preserve">rrogas </w:t>
      </w:r>
      <w:r>
        <w:rPr>
          <w:spacing w:val="-6"/>
          <w:sz w:val="18"/>
          <w:szCs w:val="18"/>
          <w:lang w:val="es-ES_tradnl"/>
        </w:rPr>
        <w:t>para la presentaci</w:t>
      </w:r>
      <w:r>
        <w:rPr>
          <w:rFonts w:cs="Times New Roman"/>
          <w:spacing w:val="-6"/>
          <w:sz w:val="18"/>
          <w:szCs w:val="18"/>
          <w:lang w:val="es-ES_tradnl"/>
        </w:rPr>
        <w:t>ó</w:t>
      </w:r>
      <w:r>
        <w:rPr>
          <w:spacing w:val="-6"/>
          <w:sz w:val="18"/>
          <w:szCs w:val="18"/>
          <w:lang w:val="es-ES_tradnl"/>
        </w:rPr>
        <w:t>n de la certificaci</w:t>
      </w:r>
      <w:r>
        <w:rPr>
          <w:rFonts w:cs="Times New Roman"/>
          <w:spacing w:val="-6"/>
          <w:sz w:val="18"/>
          <w:szCs w:val="18"/>
          <w:lang w:val="es-ES_tradnl"/>
        </w:rPr>
        <w:t>ó</w:t>
      </w:r>
      <w:r>
        <w:rPr>
          <w:spacing w:val="-6"/>
          <w:sz w:val="18"/>
          <w:szCs w:val="18"/>
          <w:lang w:val="es-ES_tradnl"/>
        </w:rPr>
        <w:t xml:space="preserve">n BASC, incluso de </w:t>
      </w:r>
      <w:r>
        <w:rPr>
          <w:spacing w:val="-3"/>
          <w:sz w:val="18"/>
          <w:szCs w:val="18"/>
          <w:lang w:val="es-ES_tradnl"/>
        </w:rPr>
        <w:t>haber existido, no era obligaci</w:t>
      </w:r>
      <w:r>
        <w:rPr>
          <w:rFonts w:cs="Times New Roman"/>
          <w:spacing w:val="-3"/>
          <w:sz w:val="18"/>
          <w:szCs w:val="18"/>
          <w:lang w:val="es-ES_tradnl"/>
        </w:rPr>
        <w:t>ó</w:t>
      </w:r>
      <w:r>
        <w:rPr>
          <w:spacing w:val="-3"/>
          <w:sz w:val="18"/>
          <w:szCs w:val="18"/>
          <w:lang w:val="es-ES_tradnl"/>
        </w:rPr>
        <w:t>n de HIDRONACI</w:t>
      </w:r>
      <w:r>
        <w:rPr>
          <w:rFonts w:cs="Times New Roman"/>
          <w:spacing w:val="-3"/>
          <w:sz w:val="18"/>
          <w:szCs w:val="18"/>
          <w:lang w:val="es-ES_tradnl"/>
        </w:rPr>
        <w:t>Ó</w:t>
      </w:r>
      <w:r>
        <w:rPr>
          <w:spacing w:val="-3"/>
          <w:sz w:val="18"/>
          <w:szCs w:val="18"/>
          <w:lang w:val="es-ES_tradnl"/>
        </w:rPr>
        <w:t xml:space="preserve">N </w:t>
      </w:r>
      <w:r>
        <w:rPr>
          <w:sz w:val="18"/>
          <w:szCs w:val="18"/>
          <w:lang w:val="es-ES_tradnl"/>
        </w:rPr>
        <w:t>extender dicha pr</w:t>
      </w:r>
      <w:r>
        <w:rPr>
          <w:rFonts w:cs="Times New Roman"/>
          <w:sz w:val="18"/>
          <w:szCs w:val="18"/>
          <w:lang w:val="es-ES_tradnl"/>
        </w:rPr>
        <w:t>ó</w:t>
      </w:r>
      <w:r>
        <w:rPr>
          <w:sz w:val="18"/>
          <w:szCs w:val="18"/>
          <w:lang w:val="es-ES_tradnl"/>
        </w:rPr>
        <w:t>rroga.</w:t>
      </w:r>
    </w:p>
    <w:p w14:paraId="4F67B7A6" w14:textId="77777777" w:rsidR="00591D54" w:rsidRDefault="00591D54">
      <w:pPr>
        <w:shd w:val="clear" w:color="auto" w:fill="FFFFFF"/>
        <w:spacing w:before="197" w:line="216" w:lineRule="exact"/>
        <w:ind w:right="5"/>
        <w:jc w:val="both"/>
      </w:pPr>
      <w:r>
        <w:rPr>
          <w:spacing w:val="-9"/>
          <w:sz w:val="18"/>
          <w:szCs w:val="18"/>
          <w:lang w:val="es-ES_tradnl"/>
        </w:rPr>
        <w:t xml:space="preserve">De igual manera, aducen que la sentencia que se impugna </w:t>
      </w:r>
      <w:r>
        <w:rPr>
          <w:spacing w:val="-6"/>
          <w:sz w:val="18"/>
          <w:szCs w:val="18"/>
          <w:lang w:val="es-ES_tradnl"/>
        </w:rPr>
        <w:t>mediante la presente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w:t>
      </w:r>
      <w:r>
        <w:rPr>
          <w:spacing w:val="-11"/>
          <w:sz w:val="18"/>
          <w:szCs w:val="18"/>
          <w:lang w:val="es-ES_tradnl"/>
        </w:rPr>
        <w:t>estableci</w:t>
      </w:r>
      <w:r>
        <w:rPr>
          <w:rFonts w:cs="Times New Roman"/>
          <w:spacing w:val="-11"/>
          <w:sz w:val="18"/>
          <w:szCs w:val="18"/>
          <w:lang w:val="es-ES_tradnl"/>
        </w:rPr>
        <w:t>ó</w:t>
      </w:r>
      <w:r>
        <w:rPr>
          <w:spacing w:val="-11"/>
          <w:sz w:val="18"/>
          <w:szCs w:val="18"/>
          <w:lang w:val="es-ES_tradnl"/>
        </w:rPr>
        <w:t xml:space="preserve"> que el acto demandado en la acci</w:t>
      </w:r>
      <w:r>
        <w:rPr>
          <w:rFonts w:cs="Times New Roman"/>
          <w:spacing w:val="-11"/>
          <w:sz w:val="18"/>
          <w:szCs w:val="18"/>
          <w:lang w:val="es-ES_tradnl"/>
        </w:rPr>
        <w:t>ó</w:t>
      </w:r>
      <w:r>
        <w:rPr>
          <w:spacing w:val="-11"/>
          <w:sz w:val="18"/>
          <w:szCs w:val="18"/>
          <w:lang w:val="es-ES_tradnl"/>
        </w:rPr>
        <w:t>n de protecci</w:t>
      </w:r>
      <w:r>
        <w:rPr>
          <w:rFonts w:cs="Times New Roman"/>
          <w:spacing w:val="-11"/>
          <w:sz w:val="18"/>
          <w:szCs w:val="18"/>
          <w:lang w:val="es-ES_tradnl"/>
        </w:rPr>
        <w:t>ó</w:t>
      </w:r>
      <w:r>
        <w:rPr>
          <w:spacing w:val="-11"/>
          <w:sz w:val="18"/>
          <w:szCs w:val="18"/>
          <w:lang w:val="es-ES_tradnl"/>
        </w:rPr>
        <w:t xml:space="preserve">n </w:t>
      </w:r>
      <w:r>
        <w:rPr>
          <w:spacing w:val="-5"/>
          <w:sz w:val="18"/>
          <w:szCs w:val="18"/>
          <w:lang w:val="es-ES_tradnl"/>
        </w:rPr>
        <w:t>fue arbitrario, en raz</w:t>
      </w:r>
      <w:r>
        <w:rPr>
          <w:rFonts w:cs="Times New Roman"/>
          <w:spacing w:val="-5"/>
          <w:sz w:val="18"/>
          <w:szCs w:val="18"/>
          <w:lang w:val="es-ES_tradnl"/>
        </w:rPr>
        <w:t>ó</w:t>
      </w:r>
      <w:r>
        <w:rPr>
          <w:spacing w:val="-5"/>
          <w:sz w:val="18"/>
          <w:szCs w:val="18"/>
          <w:lang w:val="es-ES_tradnl"/>
        </w:rPr>
        <w:t>n de que no existi</w:t>
      </w:r>
      <w:r>
        <w:rPr>
          <w:rFonts w:cs="Times New Roman"/>
          <w:spacing w:val="-5"/>
          <w:sz w:val="18"/>
          <w:szCs w:val="18"/>
          <w:lang w:val="es-ES_tradnl"/>
        </w:rPr>
        <w:t>ó</w:t>
      </w:r>
      <w:r>
        <w:rPr>
          <w:spacing w:val="-5"/>
          <w:sz w:val="18"/>
          <w:szCs w:val="18"/>
          <w:lang w:val="es-ES_tradnl"/>
        </w:rPr>
        <w:t xml:space="preserve"> una debida </w:t>
      </w:r>
      <w:r>
        <w:rPr>
          <w:spacing w:val="-3"/>
          <w:sz w:val="18"/>
          <w:szCs w:val="18"/>
          <w:lang w:val="es-ES_tradnl"/>
        </w:rPr>
        <w:t>fundamentaci</w:t>
      </w:r>
      <w:r>
        <w:rPr>
          <w:rFonts w:cs="Times New Roman"/>
          <w:spacing w:val="-3"/>
          <w:sz w:val="18"/>
          <w:szCs w:val="18"/>
          <w:lang w:val="es-ES_tradnl"/>
        </w:rPr>
        <w:t>ó</w:t>
      </w:r>
      <w:r>
        <w:rPr>
          <w:spacing w:val="-3"/>
          <w:sz w:val="18"/>
          <w:szCs w:val="18"/>
          <w:lang w:val="es-ES_tradnl"/>
        </w:rPr>
        <w:t xml:space="preserve">n, lo cual, en su criterio, es falso, ya que </w:t>
      </w:r>
      <w:r>
        <w:rPr>
          <w:spacing w:val="-5"/>
          <w:sz w:val="18"/>
          <w:szCs w:val="18"/>
          <w:lang w:val="es-ES_tradnl"/>
        </w:rPr>
        <w:t>en la comunicaci</w:t>
      </w:r>
      <w:r>
        <w:rPr>
          <w:rFonts w:cs="Times New Roman"/>
          <w:spacing w:val="-5"/>
          <w:sz w:val="18"/>
          <w:szCs w:val="18"/>
          <w:lang w:val="es-ES_tradnl"/>
        </w:rPr>
        <w:t>ó</w:t>
      </w:r>
      <w:r>
        <w:rPr>
          <w:spacing w:val="-5"/>
          <w:sz w:val="18"/>
          <w:szCs w:val="18"/>
          <w:lang w:val="es-ES_tradnl"/>
        </w:rPr>
        <w:t xml:space="preserve">n remitida a EMPRISEG por la cual se </w:t>
      </w:r>
      <w:r>
        <w:rPr>
          <w:spacing w:val="-7"/>
          <w:sz w:val="18"/>
          <w:szCs w:val="18"/>
          <w:lang w:val="es-ES_tradnl"/>
        </w:rPr>
        <w:t>le hace conocer que ha sido declarado como adjudicatario</w:t>
      </w:r>
    </w:p>
    <w:p w14:paraId="4F67B7A7" w14:textId="77777777" w:rsidR="00591D54" w:rsidRDefault="00591D54">
      <w:pPr>
        <w:shd w:val="clear" w:color="auto" w:fill="FFFFFF"/>
        <w:spacing w:before="10" w:line="226" w:lineRule="exact"/>
        <w:jc w:val="both"/>
      </w:pPr>
      <w:r>
        <w:br w:type="column"/>
      </w:r>
      <w:r>
        <w:rPr>
          <w:spacing w:val="-1"/>
          <w:sz w:val="18"/>
          <w:szCs w:val="18"/>
          <w:lang w:val="es-ES_tradnl"/>
        </w:rPr>
        <w:t>fallido, se determina que dicha declaraci</w:t>
      </w:r>
      <w:r>
        <w:rPr>
          <w:rFonts w:cs="Times New Roman"/>
          <w:spacing w:val="-1"/>
          <w:sz w:val="18"/>
          <w:szCs w:val="18"/>
          <w:lang w:val="es-ES_tradnl"/>
        </w:rPr>
        <w:t>ó</w:t>
      </w:r>
      <w:r>
        <w:rPr>
          <w:spacing w:val="-1"/>
          <w:sz w:val="18"/>
          <w:szCs w:val="18"/>
          <w:lang w:val="es-ES_tradnl"/>
        </w:rPr>
        <w:t xml:space="preserve">n se realiza </w:t>
      </w:r>
      <w:r>
        <w:rPr>
          <w:spacing w:val="-6"/>
          <w:sz w:val="18"/>
          <w:szCs w:val="18"/>
          <w:lang w:val="es-ES_tradnl"/>
        </w:rPr>
        <w:t>por no haber cumplido con la presentaci</w:t>
      </w:r>
      <w:r>
        <w:rPr>
          <w:rFonts w:cs="Times New Roman"/>
          <w:spacing w:val="-6"/>
          <w:sz w:val="18"/>
          <w:szCs w:val="18"/>
          <w:lang w:val="es-ES_tradnl"/>
        </w:rPr>
        <w:t>ó</w:t>
      </w:r>
      <w:r>
        <w:rPr>
          <w:spacing w:val="-6"/>
          <w:sz w:val="18"/>
          <w:szCs w:val="18"/>
          <w:lang w:val="es-ES_tradnl"/>
        </w:rPr>
        <w:t>n de uno de los documentos habilitantes para la suscripci</w:t>
      </w:r>
      <w:r>
        <w:rPr>
          <w:rFonts w:cs="Times New Roman"/>
          <w:spacing w:val="-6"/>
          <w:sz w:val="18"/>
          <w:szCs w:val="18"/>
          <w:lang w:val="es-ES_tradnl"/>
        </w:rPr>
        <w:t>ó</w:t>
      </w:r>
      <w:r>
        <w:rPr>
          <w:spacing w:val="-6"/>
          <w:sz w:val="18"/>
          <w:szCs w:val="18"/>
          <w:lang w:val="es-ES_tradnl"/>
        </w:rPr>
        <w:t xml:space="preserve">n del contrato. </w:t>
      </w:r>
      <w:r>
        <w:rPr>
          <w:spacing w:val="-7"/>
          <w:sz w:val="18"/>
          <w:szCs w:val="18"/>
          <w:lang w:val="es-ES_tradnl"/>
        </w:rPr>
        <w:t>Aducen, adem</w:t>
      </w:r>
      <w:r>
        <w:rPr>
          <w:rFonts w:cs="Times New Roman"/>
          <w:spacing w:val="-7"/>
          <w:sz w:val="18"/>
          <w:szCs w:val="18"/>
          <w:lang w:val="es-ES_tradnl"/>
        </w:rPr>
        <w:t>á</w:t>
      </w:r>
      <w:r>
        <w:rPr>
          <w:spacing w:val="-7"/>
          <w:sz w:val="18"/>
          <w:szCs w:val="18"/>
          <w:lang w:val="es-ES_tradnl"/>
        </w:rPr>
        <w:t>s, que la fundamentaci</w:t>
      </w:r>
      <w:r>
        <w:rPr>
          <w:rFonts w:cs="Times New Roman"/>
          <w:spacing w:val="-7"/>
          <w:sz w:val="18"/>
          <w:szCs w:val="18"/>
          <w:lang w:val="es-ES_tradnl"/>
        </w:rPr>
        <w:t>ó</w:t>
      </w:r>
      <w:r>
        <w:rPr>
          <w:spacing w:val="-7"/>
          <w:sz w:val="18"/>
          <w:szCs w:val="18"/>
          <w:lang w:val="es-ES_tradnl"/>
        </w:rPr>
        <w:t>n de la resoluci</w:t>
      </w:r>
      <w:r>
        <w:rPr>
          <w:rFonts w:cs="Times New Roman"/>
          <w:spacing w:val="-7"/>
          <w:sz w:val="18"/>
          <w:szCs w:val="18"/>
          <w:lang w:val="es-ES_tradnl"/>
        </w:rPr>
        <w:t>ó</w:t>
      </w:r>
      <w:r>
        <w:rPr>
          <w:spacing w:val="-7"/>
          <w:sz w:val="18"/>
          <w:szCs w:val="18"/>
          <w:lang w:val="es-ES_tradnl"/>
        </w:rPr>
        <w:t xml:space="preserve">n </w:t>
      </w:r>
      <w:r>
        <w:rPr>
          <w:spacing w:val="-8"/>
          <w:sz w:val="18"/>
          <w:szCs w:val="18"/>
          <w:lang w:val="es-ES_tradnl"/>
        </w:rPr>
        <w:t>N.</w:t>
      </w:r>
      <w:r>
        <w:rPr>
          <w:rFonts w:cs="Times New Roman"/>
          <w:spacing w:val="-8"/>
          <w:sz w:val="18"/>
          <w:szCs w:val="18"/>
          <w:lang w:val="es-ES_tradnl"/>
        </w:rPr>
        <w:t>º</w:t>
      </w:r>
      <w:r>
        <w:rPr>
          <w:spacing w:val="-8"/>
          <w:sz w:val="18"/>
          <w:szCs w:val="18"/>
          <w:lang w:val="es-ES_tradnl"/>
        </w:rPr>
        <w:t xml:space="preserve"> 10-A-09, emitida por la m</w:t>
      </w:r>
      <w:r>
        <w:rPr>
          <w:rFonts w:cs="Times New Roman"/>
          <w:spacing w:val="-8"/>
          <w:sz w:val="18"/>
          <w:szCs w:val="18"/>
          <w:lang w:val="es-ES_tradnl"/>
        </w:rPr>
        <w:t>á</w:t>
      </w:r>
      <w:r>
        <w:rPr>
          <w:spacing w:val="-8"/>
          <w:sz w:val="18"/>
          <w:szCs w:val="18"/>
          <w:lang w:val="es-ES_tradnl"/>
        </w:rPr>
        <w:t xml:space="preserve">xima autoridad por la cual se </w:t>
      </w:r>
      <w:r>
        <w:rPr>
          <w:spacing w:val="-6"/>
          <w:sz w:val="18"/>
          <w:szCs w:val="18"/>
          <w:lang w:val="es-ES_tradnl"/>
        </w:rPr>
        <w:t xml:space="preserve">declara adjudicatario fallido de 20 de noviembre de 2009, </w:t>
      </w:r>
      <w:r>
        <w:rPr>
          <w:sz w:val="18"/>
          <w:szCs w:val="18"/>
          <w:lang w:val="es-ES_tradnl"/>
        </w:rPr>
        <w:t>se encuentra debidamente fundamentada.</w:t>
      </w:r>
    </w:p>
    <w:p w14:paraId="4F67B7A8" w14:textId="77777777" w:rsidR="00591D54" w:rsidRDefault="00591D54">
      <w:pPr>
        <w:shd w:val="clear" w:color="auto" w:fill="FFFFFF"/>
        <w:spacing w:before="206" w:line="226" w:lineRule="exact"/>
        <w:jc w:val="both"/>
      </w:pPr>
      <w:r>
        <w:rPr>
          <w:spacing w:val="-8"/>
          <w:sz w:val="18"/>
          <w:szCs w:val="18"/>
          <w:lang w:val="es-ES_tradnl"/>
        </w:rPr>
        <w:t>Se</w:t>
      </w:r>
      <w:r>
        <w:rPr>
          <w:rFonts w:cs="Times New Roman"/>
          <w:spacing w:val="-8"/>
          <w:sz w:val="18"/>
          <w:szCs w:val="18"/>
          <w:lang w:val="es-ES_tradnl"/>
        </w:rPr>
        <w:t>ñ</w:t>
      </w:r>
      <w:r>
        <w:rPr>
          <w:spacing w:val="-8"/>
          <w:sz w:val="18"/>
          <w:szCs w:val="18"/>
          <w:lang w:val="es-ES_tradnl"/>
        </w:rPr>
        <w:t xml:space="preserve">alan que la sentencia emitida por la Primera Sala de lo </w:t>
      </w:r>
      <w:r>
        <w:rPr>
          <w:spacing w:val="-5"/>
          <w:sz w:val="18"/>
          <w:szCs w:val="18"/>
          <w:lang w:val="es-ES_tradnl"/>
        </w:rPr>
        <w:t>Laboral, Ni</w:t>
      </w:r>
      <w:r>
        <w:rPr>
          <w:rFonts w:cs="Times New Roman"/>
          <w:spacing w:val="-5"/>
          <w:sz w:val="18"/>
          <w:szCs w:val="18"/>
          <w:lang w:val="es-ES_tradnl"/>
        </w:rPr>
        <w:t>ñ</w:t>
      </w:r>
      <w:r>
        <w:rPr>
          <w:spacing w:val="-5"/>
          <w:sz w:val="18"/>
          <w:szCs w:val="18"/>
          <w:lang w:val="es-ES_tradnl"/>
        </w:rPr>
        <w:t xml:space="preserve">ez y Adolescencia de la Corte Provincial de </w:t>
      </w:r>
      <w:r>
        <w:rPr>
          <w:spacing w:val="-6"/>
          <w:sz w:val="18"/>
          <w:szCs w:val="18"/>
          <w:lang w:val="es-ES_tradnl"/>
        </w:rPr>
        <w:t>Justicia del Guayas no enunci</w:t>
      </w:r>
      <w:r>
        <w:rPr>
          <w:rFonts w:cs="Times New Roman"/>
          <w:spacing w:val="-6"/>
          <w:sz w:val="18"/>
          <w:szCs w:val="18"/>
          <w:lang w:val="es-ES_tradnl"/>
        </w:rPr>
        <w:t>ó</w:t>
      </w:r>
      <w:r>
        <w:rPr>
          <w:spacing w:val="-6"/>
          <w:sz w:val="18"/>
          <w:szCs w:val="18"/>
          <w:lang w:val="es-ES_tradnl"/>
        </w:rPr>
        <w:t xml:space="preserve"> las normas o principios </w:t>
      </w:r>
      <w:r>
        <w:rPr>
          <w:spacing w:val="-7"/>
          <w:sz w:val="18"/>
          <w:szCs w:val="18"/>
          <w:lang w:val="es-ES_tradnl"/>
        </w:rPr>
        <w:t>jur</w:t>
      </w:r>
      <w:r>
        <w:rPr>
          <w:rFonts w:cs="Times New Roman"/>
          <w:spacing w:val="-7"/>
          <w:sz w:val="18"/>
          <w:szCs w:val="18"/>
          <w:lang w:val="es-ES_tradnl"/>
        </w:rPr>
        <w:t>í</w:t>
      </w:r>
      <w:r>
        <w:rPr>
          <w:spacing w:val="-7"/>
          <w:sz w:val="18"/>
          <w:szCs w:val="18"/>
          <w:lang w:val="es-ES_tradnl"/>
        </w:rPr>
        <w:t>dicos en que se funda y tampoco explic</w:t>
      </w:r>
      <w:r>
        <w:rPr>
          <w:rFonts w:cs="Times New Roman"/>
          <w:spacing w:val="-7"/>
          <w:sz w:val="18"/>
          <w:szCs w:val="18"/>
          <w:lang w:val="es-ES_tradnl"/>
        </w:rPr>
        <w:t>ó</w:t>
      </w:r>
      <w:r>
        <w:rPr>
          <w:spacing w:val="-7"/>
          <w:sz w:val="18"/>
          <w:szCs w:val="18"/>
          <w:lang w:val="es-ES_tradnl"/>
        </w:rPr>
        <w:t xml:space="preserve"> la pertinencia </w:t>
      </w:r>
      <w:r>
        <w:rPr>
          <w:spacing w:val="-12"/>
          <w:sz w:val="18"/>
          <w:szCs w:val="18"/>
          <w:lang w:val="es-ES_tradnl"/>
        </w:rPr>
        <w:t>de su aplicaci</w:t>
      </w:r>
      <w:r>
        <w:rPr>
          <w:rFonts w:cs="Times New Roman"/>
          <w:spacing w:val="-12"/>
          <w:sz w:val="18"/>
          <w:szCs w:val="18"/>
          <w:lang w:val="es-ES_tradnl"/>
        </w:rPr>
        <w:t>ó</w:t>
      </w:r>
      <w:r>
        <w:rPr>
          <w:spacing w:val="-12"/>
          <w:sz w:val="18"/>
          <w:szCs w:val="18"/>
          <w:lang w:val="es-ES_tradnl"/>
        </w:rPr>
        <w:t>n frente a los antecedentes de hecho; adem</w:t>
      </w:r>
      <w:r>
        <w:rPr>
          <w:rFonts w:cs="Times New Roman"/>
          <w:spacing w:val="-12"/>
          <w:sz w:val="18"/>
          <w:szCs w:val="18"/>
          <w:lang w:val="es-ES_tradnl"/>
        </w:rPr>
        <w:t>á</w:t>
      </w:r>
      <w:r>
        <w:rPr>
          <w:spacing w:val="-12"/>
          <w:sz w:val="18"/>
          <w:szCs w:val="18"/>
          <w:lang w:val="es-ES_tradnl"/>
        </w:rPr>
        <w:t xml:space="preserve">s, </w:t>
      </w:r>
      <w:r>
        <w:rPr>
          <w:spacing w:val="-10"/>
          <w:sz w:val="18"/>
          <w:szCs w:val="18"/>
          <w:lang w:val="es-ES_tradnl"/>
        </w:rPr>
        <w:t xml:space="preserve">que no versa respecto de asuntos que competen a la justicia </w:t>
      </w:r>
      <w:r>
        <w:rPr>
          <w:spacing w:val="-7"/>
          <w:sz w:val="18"/>
          <w:szCs w:val="18"/>
          <w:lang w:val="es-ES_tradnl"/>
        </w:rPr>
        <w:t>constitucional, sino a temas de legalidad, como es la presentaci</w:t>
      </w:r>
      <w:r>
        <w:rPr>
          <w:rFonts w:cs="Times New Roman"/>
          <w:spacing w:val="-7"/>
          <w:sz w:val="18"/>
          <w:szCs w:val="18"/>
          <w:lang w:val="es-ES_tradnl"/>
        </w:rPr>
        <w:t>ó</w:t>
      </w:r>
      <w:r>
        <w:rPr>
          <w:spacing w:val="-7"/>
          <w:sz w:val="18"/>
          <w:szCs w:val="18"/>
          <w:lang w:val="es-ES_tradnl"/>
        </w:rPr>
        <w:t xml:space="preserve">n de un certificado. En ese sentido, concluyen </w:t>
      </w:r>
      <w:r>
        <w:rPr>
          <w:spacing w:val="-10"/>
          <w:sz w:val="18"/>
          <w:szCs w:val="18"/>
          <w:lang w:val="es-ES_tradnl"/>
        </w:rPr>
        <w:t>que la acci</w:t>
      </w:r>
      <w:r>
        <w:rPr>
          <w:rFonts w:cs="Times New Roman"/>
          <w:spacing w:val="-10"/>
          <w:sz w:val="18"/>
          <w:szCs w:val="18"/>
          <w:lang w:val="es-ES_tradnl"/>
        </w:rPr>
        <w:t>ó</w:t>
      </w:r>
      <w:r>
        <w:rPr>
          <w:spacing w:val="-10"/>
          <w:sz w:val="18"/>
          <w:szCs w:val="18"/>
          <w:lang w:val="es-ES_tradnl"/>
        </w:rPr>
        <w:t>n de protecci</w:t>
      </w:r>
      <w:r>
        <w:rPr>
          <w:rFonts w:cs="Times New Roman"/>
          <w:spacing w:val="-10"/>
          <w:sz w:val="18"/>
          <w:szCs w:val="18"/>
          <w:lang w:val="es-ES_tradnl"/>
        </w:rPr>
        <w:t>ó</w:t>
      </w:r>
      <w:r>
        <w:rPr>
          <w:spacing w:val="-10"/>
          <w:sz w:val="18"/>
          <w:szCs w:val="18"/>
          <w:lang w:val="es-ES_tradnl"/>
        </w:rPr>
        <w:t xml:space="preserve">n no era procedente, pues el caso </w:t>
      </w:r>
      <w:r>
        <w:rPr>
          <w:spacing w:val="-9"/>
          <w:sz w:val="18"/>
          <w:szCs w:val="18"/>
          <w:lang w:val="es-ES_tradnl"/>
        </w:rPr>
        <w:t>no merec</w:t>
      </w:r>
      <w:r>
        <w:rPr>
          <w:rFonts w:cs="Times New Roman"/>
          <w:spacing w:val="-9"/>
          <w:sz w:val="18"/>
          <w:szCs w:val="18"/>
          <w:lang w:val="es-ES_tradnl"/>
        </w:rPr>
        <w:t>í</w:t>
      </w:r>
      <w:r>
        <w:rPr>
          <w:spacing w:val="-9"/>
          <w:sz w:val="18"/>
          <w:szCs w:val="18"/>
          <w:lang w:val="es-ES_tradnl"/>
        </w:rPr>
        <w:t xml:space="preserve">a ser tratado en la esfera de la constitucionalidad, </w:t>
      </w:r>
      <w:r>
        <w:rPr>
          <w:sz w:val="18"/>
          <w:szCs w:val="18"/>
          <w:lang w:val="es-ES_tradnl"/>
        </w:rPr>
        <w:t>al ser un tema de mera legalidad.</w:t>
      </w:r>
    </w:p>
    <w:p w14:paraId="4F67B7A9" w14:textId="77777777" w:rsidR="00591D54" w:rsidRDefault="00591D54">
      <w:pPr>
        <w:shd w:val="clear" w:color="auto" w:fill="FFFFFF"/>
        <w:spacing w:before="202"/>
      </w:pPr>
      <w:r>
        <w:rPr>
          <w:b/>
          <w:bCs/>
          <w:spacing w:val="-11"/>
          <w:sz w:val="18"/>
          <w:szCs w:val="18"/>
          <w:lang w:val="es-ES_tradnl"/>
        </w:rPr>
        <w:t>Derechos presuntamente vulnerados</w:t>
      </w:r>
    </w:p>
    <w:p w14:paraId="4F67B7AA" w14:textId="77777777" w:rsidR="00591D54" w:rsidRDefault="00591D54">
      <w:pPr>
        <w:shd w:val="clear" w:color="auto" w:fill="FFFFFF"/>
        <w:spacing w:before="206" w:line="226" w:lineRule="exact"/>
        <w:jc w:val="both"/>
      </w:pPr>
      <w:r>
        <w:rPr>
          <w:spacing w:val="-1"/>
          <w:sz w:val="18"/>
          <w:szCs w:val="18"/>
          <w:lang w:val="es-ES_tradnl"/>
        </w:rPr>
        <w:t>Los accionantes sostienen que la decisi</w:t>
      </w:r>
      <w:r>
        <w:rPr>
          <w:rFonts w:cs="Times New Roman"/>
          <w:spacing w:val="-1"/>
          <w:sz w:val="18"/>
          <w:szCs w:val="18"/>
          <w:lang w:val="es-ES_tradnl"/>
        </w:rPr>
        <w:t>ó</w:t>
      </w:r>
      <w:r>
        <w:rPr>
          <w:spacing w:val="-1"/>
          <w:sz w:val="18"/>
          <w:szCs w:val="18"/>
          <w:lang w:val="es-ES_tradnl"/>
        </w:rPr>
        <w:t xml:space="preserve">n judicial </w:t>
      </w:r>
      <w:r>
        <w:rPr>
          <w:spacing w:val="-7"/>
          <w:sz w:val="18"/>
          <w:szCs w:val="18"/>
          <w:lang w:val="es-ES_tradnl"/>
        </w:rPr>
        <w:t xml:space="preserve">impugnada vulnera su derecho al debido proceso en la </w:t>
      </w:r>
      <w:r>
        <w:rPr>
          <w:spacing w:val="-8"/>
          <w:sz w:val="18"/>
          <w:szCs w:val="18"/>
          <w:lang w:val="es-ES_tradnl"/>
        </w:rPr>
        <w:t>garant</w:t>
      </w:r>
      <w:r>
        <w:rPr>
          <w:rFonts w:cs="Times New Roman"/>
          <w:spacing w:val="-8"/>
          <w:sz w:val="18"/>
          <w:szCs w:val="18"/>
          <w:lang w:val="es-ES_tradnl"/>
        </w:rPr>
        <w:t>í</w:t>
      </w:r>
      <w:r>
        <w:rPr>
          <w:spacing w:val="-8"/>
          <w:sz w:val="18"/>
          <w:szCs w:val="18"/>
          <w:lang w:val="es-ES_tradnl"/>
        </w:rPr>
        <w:t>a de motivaci</w:t>
      </w:r>
      <w:r>
        <w:rPr>
          <w:rFonts w:cs="Times New Roman"/>
          <w:spacing w:val="-8"/>
          <w:sz w:val="18"/>
          <w:szCs w:val="18"/>
          <w:lang w:val="es-ES_tradnl"/>
        </w:rPr>
        <w:t>ó</w:t>
      </w:r>
      <w:r>
        <w:rPr>
          <w:spacing w:val="-8"/>
          <w:sz w:val="18"/>
          <w:szCs w:val="18"/>
          <w:lang w:val="es-ES_tradnl"/>
        </w:rPr>
        <w:t>n y el derecho a la seguridad jur</w:t>
      </w:r>
      <w:r>
        <w:rPr>
          <w:rFonts w:cs="Times New Roman"/>
          <w:spacing w:val="-8"/>
          <w:sz w:val="18"/>
          <w:szCs w:val="18"/>
          <w:lang w:val="es-ES_tradnl"/>
        </w:rPr>
        <w:t>í</w:t>
      </w:r>
      <w:r>
        <w:rPr>
          <w:spacing w:val="-8"/>
          <w:sz w:val="18"/>
          <w:szCs w:val="18"/>
          <w:lang w:val="es-ES_tradnl"/>
        </w:rPr>
        <w:t xml:space="preserve">dica, </w:t>
      </w:r>
      <w:r>
        <w:rPr>
          <w:spacing w:val="-7"/>
          <w:sz w:val="18"/>
          <w:szCs w:val="18"/>
          <w:lang w:val="es-ES_tradnl"/>
        </w:rPr>
        <w:t>contenidos en los art</w:t>
      </w:r>
      <w:r>
        <w:rPr>
          <w:rFonts w:cs="Times New Roman"/>
          <w:spacing w:val="-7"/>
          <w:sz w:val="18"/>
          <w:szCs w:val="18"/>
          <w:lang w:val="es-ES_tradnl"/>
        </w:rPr>
        <w:t>í</w:t>
      </w:r>
      <w:r>
        <w:rPr>
          <w:spacing w:val="-7"/>
          <w:sz w:val="18"/>
          <w:szCs w:val="18"/>
          <w:lang w:val="es-ES_tradnl"/>
        </w:rPr>
        <w:t xml:space="preserve">culos 76 numeral 7 literal </w:t>
      </w:r>
      <w:r>
        <w:rPr>
          <w:b/>
          <w:bCs/>
          <w:spacing w:val="-7"/>
          <w:sz w:val="18"/>
          <w:szCs w:val="18"/>
          <w:lang w:val="es-ES_tradnl"/>
        </w:rPr>
        <w:t>l</w:t>
      </w:r>
      <w:r>
        <w:rPr>
          <w:spacing w:val="-7"/>
          <w:sz w:val="18"/>
          <w:szCs w:val="18"/>
          <w:lang w:val="es-ES_tradnl"/>
        </w:rPr>
        <w:t>, y 82 de 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blica, respectivamente.</w:t>
      </w:r>
    </w:p>
    <w:p w14:paraId="4F67B7AB" w14:textId="77777777" w:rsidR="00591D54" w:rsidRDefault="00591D54">
      <w:pPr>
        <w:shd w:val="clear" w:color="auto" w:fill="FFFFFF"/>
        <w:spacing w:before="206"/>
      </w:pPr>
      <w:r>
        <w:rPr>
          <w:b/>
          <w:bCs/>
          <w:spacing w:val="-11"/>
          <w:sz w:val="18"/>
          <w:szCs w:val="18"/>
          <w:lang w:val="es-ES_tradnl"/>
        </w:rPr>
        <w:t>Pretensi</w:t>
      </w:r>
      <w:r>
        <w:rPr>
          <w:rFonts w:cs="Times New Roman"/>
          <w:b/>
          <w:bCs/>
          <w:spacing w:val="-11"/>
          <w:sz w:val="18"/>
          <w:szCs w:val="18"/>
          <w:lang w:val="es-ES_tradnl"/>
        </w:rPr>
        <w:t>ó</w:t>
      </w:r>
      <w:r>
        <w:rPr>
          <w:b/>
          <w:bCs/>
          <w:spacing w:val="-11"/>
          <w:sz w:val="18"/>
          <w:szCs w:val="18"/>
          <w:lang w:val="es-ES_tradnl"/>
        </w:rPr>
        <w:t>n</w:t>
      </w:r>
    </w:p>
    <w:p w14:paraId="4F67B7AC" w14:textId="77777777" w:rsidR="00591D54" w:rsidRDefault="00591D54">
      <w:pPr>
        <w:shd w:val="clear" w:color="auto" w:fill="FFFFFF"/>
        <w:spacing w:before="206"/>
      </w:pPr>
      <w:r>
        <w:rPr>
          <w:spacing w:val="-5"/>
          <w:sz w:val="18"/>
          <w:szCs w:val="18"/>
          <w:lang w:val="es-ES_tradnl"/>
        </w:rPr>
        <w:t>Los legitimados activos solicitan:</w:t>
      </w:r>
    </w:p>
    <w:p w14:paraId="4F67B7AD" w14:textId="77777777" w:rsidR="00591D54" w:rsidRDefault="00591D54">
      <w:pPr>
        <w:shd w:val="clear" w:color="auto" w:fill="FFFFFF"/>
        <w:spacing w:before="206" w:line="226" w:lineRule="exact"/>
        <w:ind w:left="283"/>
        <w:jc w:val="both"/>
      </w:pPr>
      <w:r>
        <w:rPr>
          <w:rFonts w:cs="Times New Roman"/>
          <w:spacing w:val="-5"/>
          <w:sz w:val="16"/>
          <w:szCs w:val="16"/>
          <w:lang w:val="es-ES_tradnl"/>
        </w:rPr>
        <w:t>…</w:t>
      </w:r>
      <w:r>
        <w:rPr>
          <w:spacing w:val="-5"/>
          <w:sz w:val="16"/>
          <w:szCs w:val="16"/>
          <w:lang w:val="es-ES_tradnl"/>
        </w:rPr>
        <w:t xml:space="preserve"> la ratificaci</w:t>
      </w:r>
      <w:r>
        <w:rPr>
          <w:rFonts w:cs="Times New Roman"/>
          <w:spacing w:val="-5"/>
          <w:sz w:val="16"/>
          <w:szCs w:val="16"/>
          <w:lang w:val="es-ES_tradnl"/>
        </w:rPr>
        <w:t>ó</w:t>
      </w:r>
      <w:r>
        <w:rPr>
          <w:spacing w:val="-5"/>
          <w:sz w:val="16"/>
          <w:szCs w:val="16"/>
          <w:lang w:val="es-ES_tradnl"/>
        </w:rPr>
        <w:t>n y confirmaci</w:t>
      </w:r>
      <w:r>
        <w:rPr>
          <w:rFonts w:cs="Times New Roman"/>
          <w:spacing w:val="-5"/>
          <w:sz w:val="16"/>
          <w:szCs w:val="16"/>
          <w:lang w:val="es-ES_tradnl"/>
        </w:rPr>
        <w:t>ó</w:t>
      </w:r>
      <w:r>
        <w:rPr>
          <w:spacing w:val="-5"/>
          <w:sz w:val="16"/>
          <w:szCs w:val="16"/>
          <w:lang w:val="es-ES_tradnl"/>
        </w:rPr>
        <w:t>n de la resoluci</w:t>
      </w:r>
      <w:r>
        <w:rPr>
          <w:rFonts w:cs="Times New Roman"/>
          <w:spacing w:val="-5"/>
          <w:sz w:val="16"/>
          <w:szCs w:val="16"/>
          <w:lang w:val="es-ES_tradnl"/>
        </w:rPr>
        <w:t>ó</w:t>
      </w:r>
      <w:r>
        <w:rPr>
          <w:spacing w:val="-5"/>
          <w:sz w:val="16"/>
          <w:szCs w:val="16"/>
          <w:lang w:val="es-ES_tradnl"/>
        </w:rPr>
        <w:t>n de primera instancia, pues de conformidad con la Ley de Garant</w:t>
      </w:r>
      <w:r>
        <w:rPr>
          <w:rFonts w:cs="Times New Roman"/>
          <w:spacing w:val="-5"/>
          <w:sz w:val="16"/>
          <w:szCs w:val="16"/>
          <w:lang w:val="es-ES_tradnl"/>
        </w:rPr>
        <w:t>í</w:t>
      </w:r>
      <w:r>
        <w:rPr>
          <w:spacing w:val="-5"/>
          <w:sz w:val="16"/>
          <w:szCs w:val="16"/>
          <w:lang w:val="es-ES_tradnl"/>
        </w:rPr>
        <w:t>as Jurisdiccionales y Control Constitucional, la resoluci</w:t>
      </w:r>
      <w:r>
        <w:rPr>
          <w:rFonts w:cs="Times New Roman"/>
          <w:spacing w:val="-5"/>
          <w:sz w:val="16"/>
          <w:szCs w:val="16"/>
          <w:lang w:val="es-ES_tradnl"/>
        </w:rPr>
        <w:t>ó</w:t>
      </w:r>
      <w:r>
        <w:rPr>
          <w:spacing w:val="-5"/>
          <w:sz w:val="16"/>
          <w:szCs w:val="16"/>
          <w:lang w:val="es-ES_tradnl"/>
        </w:rPr>
        <w:t xml:space="preserve">n de </w:t>
      </w:r>
      <w:r>
        <w:rPr>
          <w:sz w:val="16"/>
          <w:szCs w:val="16"/>
          <w:lang w:val="es-ES_tradnl"/>
        </w:rPr>
        <w:t>segunda instancia es improcedente.</w:t>
      </w:r>
    </w:p>
    <w:p w14:paraId="4F67B7AE" w14:textId="77777777" w:rsidR="00591D54" w:rsidRDefault="00591D54">
      <w:pPr>
        <w:shd w:val="clear" w:color="auto" w:fill="FFFFFF"/>
        <w:spacing w:before="206"/>
      </w:pPr>
      <w:r>
        <w:rPr>
          <w:b/>
          <w:bCs/>
          <w:spacing w:val="-10"/>
          <w:sz w:val="18"/>
          <w:szCs w:val="18"/>
          <w:lang w:val="es-ES_tradnl"/>
        </w:rPr>
        <w:t>Contestaci</w:t>
      </w:r>
      <w:r>
        <w:rPr>
          <w:rFonts w:cs="Times New Roman"/>
          <w:b/>
          <w:bCs/>
          <w:spacing w:val="-10"/>
          <w:sz w:val="18"/>
          <w:szCs w:val="18"/>
          <w:lang w:val="es-ES_tradnl"/>
        </w:rPr>
        <w:t>ó</w:t>
      </w:r>
      <w:r>
        <w:rPr>
          <w:b/>
          <w:bCs/>
          <w:spacing w:val="-10"/>
          <w:sz w:val="18"/>
          <w:szCs w:val="18"/>
          <w:lang w:val="es-ES_tradnl"/>
        </w:rPr>
        <w:t>n a la demanda</w:t>
      </w:r>
    </w:p>
    <w:p w14:paraId="4F67B7AF" w14:textId="77777777" w:rsidR="00591D54" w:rsidRDefault="00591D54">
      <w:pPr>
        <w:shd w:val="clear" w:color="auto" w:fill="FFFFFF"/>
        <w:spacing w:before="202" w:line="230" w:lineRule="exact"/>
        <w:jc w:val="both"/>
      </w:pPr>
      <w:r>
        <w:rPr>
          <w:b/>
          <w:bCs/>
          <w:spacing w:val="-8"/>
          <w:sz w:val="18"/>
          <w:szCs w:val="18"/>
          <w:lang w:val="es-ES_tradnl"/>
        </w:rPr>
        <w:t>Primera Sala de lo Laboral, Ni</w:t>
      </w:r>
      <w:r>
        <w:rPr>
          <w:rFonts w:cs="Times New Roman"/>
          <w:b/>
          <w:bCs/>
          <w:spacing w:val="-8"/>
          <w:sz w:val="18"/>
          <w:szCs w:val="18"/>
          <w:lang w:val="es-ES_tradnl"/>
        </w:rPr>
        <w:t>ñ</w:t>
      </w:r>
      <w:r>
        <w:rPr>
          <w:b/>
          <w:bCs/>
          <w:spacing w:val="-8"/>
          <w:sz w:val="18"/>
          <w:szCs w:val="18"/>
          <w:lang w:val="es-ES_tradnl"/>
        </w:rPr>
        <w:t>ez y Adolescencia de la Corte Provincial de Justicia del Guayas</w:t>
      </w:r>
    </w:p>
    <w:p w14:paraId="4F67B7B0" w14:textId="77777777" w:rsidR="00591D54" w:rsidRDefault="00591D54">
      <w:pPr>
        <w:shd w:val="clear" w:color="auto" w:fill="FFFFFF"/>
        <w:spacing w:before="206" w:line="226" w:lineRule="exact"/>
        <w:jc w:val="both"/>
      </w:pPr>
      <w:r>
        <w:rPr>
          <w:sz w:val="18"/>
          <w:szCs w:val="18"/>
          <w:lang w:val="es-ES_tradnl"/>
        </w:rPr>
        <w:t>Los doctores Efra</w:t>
      </w:r>
      <w:r>
        <w:rPr>
          <w:rFonts w:cs="Times New Roman"/>
          <w:sz w:val="18"/>
          <w:szCs w:val="18"/>
          <w:lang w:val="es-ES_tradnl"/>
        </w:rPr>
        <w:t>í</w:t>
      </w:r>
      <w:r>
        <w:rPr>
          <w:sz w:val="18"/>
          <w:szCs w:val="18"/>
          <w:lang w:val="es-ES_tradnl"/>
        </w:rPr>
        <w:t>n Duque Ruiz y Luis Riofr</w:t>
      </w:r>
      <w:r>
        <w:rPr>
          <w:rFonts w:cs="Times New Roman"/>
          <w:sz w:val="18"/>
          <w:szCs w:val="18"/>
          <w:lang w:val="es-ES_tradnl"/>
        </w:rPr>
        <w:t>í</w:t>
      </w:r>
      <w:r>
        <w:rPr>
          <w:sz w:val="18"/>
          <w:szCs w:val="18"/>
          <w:lang w:val="es-ES_tradnl"/>
        </w:rPr>
        <w:t>o Ter</w:t>
      </w:r>
      <w:r>
        <w:rPr>
          <w:rFonts w:cs="Times New Roman"/>
          <w:sz w:val="18"/>
          <w:szCs w:val="18"/>
          <w:lang w:val="es-ES_tradnl"/>
        </w:rPr>
        <w:t>á</w:t>
      </w:r>
      <w:r>
        <w:rPr>
          <w:sz w:val="18"/>
          <w:szCs w:val="18"/>
          <w:lang w:val="es-ES_tradnl"/>
        </w:rPr>
        <w:t xml:space="preserve">n, </w:t>
      </w:r>
      <w:r>
        <w:rPr>
          <w:spacing w:val="-5"/>
          <w:sz w:val="18"/>
          <w:szCs w:val="18"/>
          <w:lang w:val="es-ES_tradnl"/>
        </w:rPr>
        <w:t xml:space="preserve">en sus calidades de jueces provinciales, consideran que </w:t>
      </w:r>
      <w:r>
        <w:rPr>
          <w:spacing w:val="-6"/>
          <w:sz w:val="18"/>
          <w:szCs w:val="18"/>
          <w:lang w:val="es-ES_tradnl"/>
        </w:rPr>
        <w:t>la sentencia emitida dentro de la acci</w:t>
      </w:r>
      <w:r>
        <w:rPr>
          <w:rFonts w:cs="Times New Roman"/>
          <w:spacing w:val="-6"/>
          <w:sz w:val="18"/>
          <w:szCs w:val="18"/>
          <w:lang w:val="es-ES_tradnl"/>
        </w:rPr>
        <w:t>ó</w:t>
      </w:r>
      <w:r>
        <w:rPr>
          <w:spacing w:val="-6"/>
          <w:sz w:val="18"/>
          <w:szCs w:val="18"/>
          <w:lang w:val="es-ES_tradnl"/>
        </w:rPr>
        <w:t>n de protecci</w:t>
      </w:r>
      <w:r>
        <w:rPr>
          <w:rFonts w:cs="Times New Roman"/>
          <w:spacing w:val="-6"/>
          <w:sz w:val="18"/>
          <w:szCs w:val="18"/>
          <w:lang w:val="es-ES_tradnl"/>
        </w:rPr>
        <w:t>ó</w:t>
      </w:r>
      <w:r>
        <w:rPr>
          <w:spacing w:val="-6"/>
          <w:sz w:val="18"/>
          <w:szCs w:val="18"/>
          <w:lang w:val="es-ES_tradnl"/>
        </w:rPr>
        <w:t xml:space="preserve">n </w:t>
      </w:r>
      <w:r>
        <w:rPr>
          <w:spacing w:val="-5"/>
          <w:sz w:val="18"/>
          <w:szCs w:val="18"/>
          <w:lang w:val="es-ES_tradnl"/>
        </w:rPr>
        <w:t xml:space="preserve">111-2010 analiza de forma clara y amplia con la debida </w:t>
      </w:r>
      <w:r>
        <w:rPr>
          <w:spacing w:val="-6"/>
          <w:sz w:val="18"/>
          <w:szCs w:val="18"/>
          <w:lang w:val="es-ES_tradnl"/>
        </w:rPr>
        <w:t>fundamentaci</w:t>
      </w:r>
      <w:r>
        <w:rPr>
          <w:rFonts w:cs="Times New Roman"/>
          <w:spacing w:val="-6"/>
          <w:sz w:val="18"/>
          <w:szCs w:val="18"/>
          <w:lang w:val="es-ES_tradnl"/>
        </w:rPr>
        <w:t>ó</w:t>
      </w:r>
      <w:r>
        <w:rPr>
          <w:spacing w:val="-6"/>
          <w:sz w:val="18"/>
          <w:szCs w:val="18"/>
          <w:lang w:val="es-ES_tradnl"/>
        </w:rPr>
        <w:t>n jur</w:t>
      </w:r>
      <w:r>
        <w:rPr>
          <w:rFonts w:cs="Times New Roman"/>
          <w:spacing w:val="-6"/>
          <w:sz w:val="18"/>
          <w:szCs w:val="18"/>
          <w:lang w:val="es-ES_tradnl"/>
        </w:rPr>
        <w:t>í</w:t>
      </w:r>
      <w:r>
        <w:rPr>
          <w:spacing w:val="-6"/>
          <w:sz w:val="18"/>
          <w:szCs w:val="18"/>
          <w:lang w:val="es-ES_tradnl"/>
        </w:rPr>
        <w:t xml:space="preserve">dica, los argumentos constitucionales </w:t>
      </w:r>
      <w:r>
        <w:rPr>
          <w:spacing w:val="-7"/>
          <w:sz w:val="18"/>
          <w:szCs w:val="18"/>
          <w:lang w:val="es-ES_tradnl"/>
        </w:rPr>
        <w:t>y legales que sirvieron para la resoluci</w:t>
      </w:r>
      <w:r>
        <w:rPr>
          <w:rFonts w:cs="Times New Roman"/>
          <w:spacing w:val="-7"/>
          <w:sz w:val="18"/>
          <w:szCs w:val="18"/>
          <w:lang w:val="es-ES_tradnl"/>
        </w:rPr>
        <w:t>ó</w:t>
      </w:r>
      <w:r>
        <w:rPr>
          <w:spacing w:val="-7"/>
          <w:sz w:val="18"/>
          <w:szCs w:val="18"/>
          <w:lang w:val="es-ES_tradnl"/>
        </w:rPr>
        <w:t>n en cuesti</w:t>
      </w:r>
      <w:r>
        <w:rPr>
          <w:rFonts w:cs="Times New Roman"/>
          <w:spacing w:val="-7"/>
          <w:sz w:val="18"/>
          <w:szCs w:val="18"/>
          <w:lang w:val="es-ES_tradnl"/>
        </w:rPr>
        <w:t>ó</w:t>
      </w:r>
      <w:r>
        <w:rPr>
          <w:spacing w:val="-7"/>
          <w:sz w:val="18"/>
          <w:szCs w:val="18"/>
          <w:lang w:val="es-ES_tradnl"/>
        </w:rPr>
        <w:t>n. As</w:t>
      </w:r>
      <w:r>
        <w:rPr>
          <w:rFonts w:cs="Times New Roman"/>
          <w:spacing w:val="-7"/>
          <w:sz w:val="18"/>
          <w:szCs w:val="18"/>
          <w:lang w:val="es-ES_tradnl"/>
        </w:rPr>
        <w:t>í</w:t>
      </w:r>
      <w:r>
        <w:rPr>
          <w:spacing w:val="-7"/>
          <w:sz w:val="18"/>
          <w:szCs w:val="18"/>
          <w:lang w:val="es-ES_tradnl"/>
        </w:rPr>
        <w:t xml:space="preserve">, indican que de la simple lectura del considerando SEXTO </w:t>
      </w:r>
      <w:r>
        <w:rPr>
          <w:spacing w:val="-8"/>
          <w:sz w:val="18"/>
          <w:szCs w:val="18"/>
          <w:lang w:val="es-ES_tradnl"/>
        </w:rPr>
        <w:t>de la sentencia se puede advertir la explicaci</w:t>
      </w:r>
      <w:r>
        <w:rPr>
          <w:rFonts w:cs="Times New Roman"/>
          <w:spacing w:val="-8"/>
          <w:sz w:val="18"/>
          <w:szCs w:val="18"/>
          <w:lang w:val="es-ES_tradnl"/>
        </w:rPr>
        <w:t>ó</w:t>
      </w:r>
      <w:r>
        <w:rPr>
          <w:spacing w:val="-8"/>
          <w:sz w:val="18"/>
          <w:szCs w:val="18"/>
          <w:lang w:val="es-ES_tradnl"/>
        </w:rPr>
        <w:t xml:space="preserve">n razonada y </w:t>
      </w:r>
      <w:r>
        <w:rPr>
          <w:spacing w:val="-5"/>
          <w:sz w:val="18"/>
          <w:szCs w:val="18"/>
          <w:lang w:val="es-ES_tradnl"/>
        </w:rPr>
        <w:t>entendible que sirvi</w:t>
      </w:r>
      <w:r>
        <w:rPr>
          <w:rFonts w:cs="Times New Roman"/>
          <w:spacing w:val="-5"/>
          <w:sz w:val="18"/>
          <w:szCs w:val="18"/>
          <w:lang w:val="es-ES_tradnl"/>
        </w:rPr>
        <w:t>ó</w:t>
      </w:r>
      <w:r>
        <w:rPr>
          <w:spacing w:val="-5"/>
          <w:sz w:val="18"/>
          <w:szCs w:val="18"/>
          <w:lang w:val="es-ES_tradnl"/>
        </w:rPr>
        <w:t xml:space="preserve"> para la emisi</w:t>
      </w:r>
      <w:r>
        <w:rPr>
          <w:rFonts w:cs="Times New Roman"/>
          <w:spacing w:val="-5"/>
          <w:sz w:val="18"/>
          <w:szCs w:val="18"/>
          <w:lang w:val="es-ES_tradnl"/>
        </w:rPr>
        <w:t>ó</w:t>
      </w:r>
      <w:r>
        <w:rPr>
          <w:spacing w:val="-5"/>
          <w:sz w:val="18"/>
          <w:szCs w:val="18"/>
          <w:lang w:val="es-ES_tradnl"/>
        </w:rPr>
        <w:t>n del fallo.</w:t>
      </w:r>
    </w:p>
    <w:p w14:paraId="4F67B7B1" w14:textId="77777777" w:rsidR="00591D54" w:rsidRDefault="00591D54">
      <w:pPr>
        <w:shd w:val="clear" w:color="auto" w:fill="FFFFFF"/>
        <w:spacing w:before="202" w:line="226" w:lineRule="exact"/>
        <w:jc w:val="both"/>
      </w:pPr>
      <w:r>
        <w:rPr>
          <w:spacing w:val="-8"/>
          <w:sz w:val="18"/>
          <w:szCs w:val="18"/>
          <w:lang w:val="es-ES_tradnl"/>
        </w:rPr>
        <w:t>Exponen que la resoluci</w:t>
      </w:r>
      <w:r>
        <w:rPr>
          <w:rFonts w:cs="Times New Roman"/>
          <w:spacing w:val="-8"/>
          <w:sz w:val="18"/>
          <w:szCs w:val="18"/>
          <w:lang w:val="es-ES_tradnl"/>
        </w:rPr>
        <w:t>ó</w:t>
      </w:r>
      <w:r>
        <w:rPr>
          <w:spacing w:val="-8"/>
          <w:sz w:val="18"/>
          <w:szCs w:val="18"/>
          <w:lang w:val="es-ES_tradnl"/>
        </w:rPr>
        <w:t>n emitida tiene como fundamento el respeto al debido proceso, adem</w:t>
      </w:r>
      <w:r>
        <w:rPr>
          <w:rFonts w:cs="Times New Roman"/>
          <w:spacing w:val="-8"/>
          <w:sz w:val="18"/>
          <w:szCs w:val="18"/>
          <w:lang w:val="es-ES_tradnl"/>
        </w:rPr>
        <w:t>á</w:t>
      </w:r>
      <w:r>
        <w:rPr>
          <w:spacing w:val="-8"/>
          <w:sz w:val="18"/>
          <w:szCs w:val="18"/>
          <w:lang w:val="es-ES_tradnl"/>
        </w:rPr>
        <w:t xml:space="preserve">s de contener criterios </w:t>
      </w:r>
      <w:r>
        <w:rPr>
          <w:spacing w:val="-5"/>
          <w:sz w:val="18"/>
          <w:szCs w:val="18"/>
          <w:lang w:val="es-ES_tradnl"/>
        </w:rPr>
        <w:t>de valoraci</w:t>
      </w:r>
      <w:r>
        <w:rPr>
          <w:rFonts w:cs="Times New Roman"/>
          <w:spacing w:val="-5"/>
          <w:sz w:val="18"/>
          <w:szCs w:val="18"/>
          <w:lang w:val="es-ES_tradnl"/>
        </w:rPr>
        <w:t>ó</w:t>
      </w:r>
      <w:r>
        <w:rPr>
          <w:spacing w:val="-5"/>
          <w:sz w:val="18"/>
          <w:szCs w:val="18"/>
          <w:lang w:val="es-ES_tradnl"/>
        </w:rPr>
        <w:t>n, interpretaci</w:t>
      </w:r>
      <w:r>
        <w:rPr>
          <w:rFonts w:cs="Times New Roman"/>
          <w:spacing w:val="-5"/>
          <w:sz w:val="18"/>
          <w:szCs w:val="18"/>
          <w:lang w:val="es-ES_tradnl"/>
        </w:rPr>
        <w:t>ó</w:t>
      </w:r>
      <w:r>
        <w:rPr>
          <w:spacing w:val="-5"/>
          <w:sz w:val="18"/>
          <w:szCs w:val="18"/>
          <w:lang w:val="es-ES_tradnl"/>
        </w:rPr>
        <w:t>n y aplicaci</w:t>
      </w:r>
      <w:r>
        <w:rPr>
          <w:rFonts w:cs="Times New Roman"/>
          <w:spacing w:val="-5"/>
          <w:sz w:val="18"/>
          <w:szCs w:val="18"/>
          <w:lang w:val="es-ES_tradnl"/>
        </w:rPr>
        <w:t>ó</w:t>
      </w:r>
      <w:r>
        <w:rPr>
          <w:spacing w:val="-5"/>
          <w:sz w:val="18"/>
          <w:szCs w:val="18"/>
          <w:lang w:val="es-ES_tradnl"/>
        </w:rPr>
        <w:t xml:space="preserve">n de normas </w:t>
      </w:r>
      <w:r>
        <w:rPr>
          <w:spacing w:val="-6"/>
          <w:sz w:val="18"/>
          <w:szCs w:val="18"/>
          <w:lang w:val="es-ES_tradnl"/>
        </w:rPr>
        <w:t xml:space="preserve">constitucionales, siendo concordante con las pruebas </w:t>
      </w:r>
      <w:r>
        <w:rPr>
          <w:spacing w:val="-3"/>
          <w:sz w:val="18"/>
          <w:szCs w:val="18"/>
          <w:lang w:val="es-ES_tradnl"/>
        </w:rPr>
        <w:t xml:space="preserve">aportadas durante el proceso, por lo que no existe </w:t>
      </w:r>
      <w:r>
        <w:rPr>
          <w:spacing w:val="-7"/>
          <w:sz w:val="18"/>
          <w:szCs w:val="18"/>
          <w:lang w:val="es-ES_tradnl"/>
        </w:rPr>
        <w:t>vulneraci</w:t>
      </w:r>
      <w:r>
        <w:rPr>
          <w:rFonts w:cs="Times New Roman"/>
          <w:spacing w:val="-7"/>
          <w:sz w:val="18"/>
          <w:szCs w:val="18"/>
          <w:lang w:val="es-ES_tradnl"/>
        </w:rPr>
        <w:t>ó</w:t>
      </w:r>
      <w:r>
        <w:rPr>
          <w:spacing w:val="-7"/>
          <w:sz w:val="18"/>
          <w:szCs w:val="18"/>
          <w:lang w:val="es-ES_tradnl"/>
        </w:rPr>
        <w:t xml:space="preserve">n a derecho alguno. Por las consideraciones </w:t>
      </w:r>
      <w:r>
        <w:rPr>
          <w:spacing w:val="-6"/>
          <w:sz w:val="18"/>
          <w:szCs w:val="18"/>
          <w:lang w:val="es-ES_tradnl"/>
        </w:rPr>
        <w:t xml:space="preserve">expuestas, solicitan a esta Corte Constitucional que se </w:t>
      </w:r>
      <w:r>
        <w:rPr>
          <w:spacing w:val="-8"/>
          <w:sz w:val="18"/>
          <w:szCs w:val="18"/>
          <w:lang w:val="es-ES_tradnl"/>
        </w:rPr>
        <w:t>rechace la presente acci</w:t>
      </w:r>
      <w:r>
        <w:rPr>
          <w:rFonts w:cs="Times New Roman"/>
          <w:spacing w:val="-8"/>
          <w:sz w:val="18"/>
          <w:szCs w:val="18"/>
          <w:lang w:val="es-ES_tradnl"/>
        </w:rPr>
        <w:t>ó</w:t>
      </w:r>
      <w:r>
        <w:rPr>
          <w:spacing w:val="-8"/>
          <w:sz w:val="18"/>
          <w:szCs w:val="18"/>
          <w:lang w:val="es-ES_tradnl"/>
        </w:rPr>
        <w:t>n extraordinaria de protecci</w:t>
      </w:r>
      <w:r>
        <w:rPr>
          <w:rFonts w:cs="Times New Roman"/>
          <w:spacing w:val="-8"/>
          <w:sz w:val="18"/>
          <w:szCs w:val="18"/>
          <w:lang w:val="es-ES_tradnl"/>
        </w:rPr>
        <w:t>ó</w:t>
      </w:r>
      <w:r>
        <w:rPr>
          <w:spacing w:val="-8"/>
          <w:sz w:val="18"/>
          <w:szCs w:val="18"/>
          <w:lang w:val="es-ES_tradnl"/>
        </w:rPr>
        <w:t>n.</w:t>
      </w:r>
    </w:p>
    <w:p w14:paraId="4F67B7B2" w14:textId="77777777" w:rsidR="00591D54" w:rsidRDefault="00591D54">
      <w:pPr>
        <w:shd w:val="clear" w:color="auto" w:fill="FFFFFF"/>
        <w:spacing w:before="202" w:line="226" w:lineRule="exact"/>
        <w:jc w:val="both"/>
        <w:sectPr w:rsidR="00591D54">
          <w:type w:val="continuous"/>
          <w:pgSz w:w="11909" w:h="16834"/>
          <w:pgMar w:top="1371" w:right="1309" w:bottom="360" w:left="1308" w:header="720" w:footer="720" w:gutter="0"/>
          <w:cols w:num="2" w:space="720" w:equalWidth="0">
            <w:col w:w="4310" w:space="677"/>
            <w:col w:w="4305"/>
          </w:cols>
          <w:noEndnote/>
        </w:sectPr>
      </w:pPr>
    </w:p>
    <w:p w14:paraId="4F67B7B3" w14:textId="77777777" w:rsidR="00591D54" w:rsidRDefault="00591D54">
      <w:pPr>
        <w:shd w:val="clear" w:color="auto" w:fill="FFFFFF"/>
        <w:tabs>
          <w:tab w:val="left" w:pos="4814"/>
        </w:tabs>
        <w:spacing w:after="226"/>
        <w:ind w:left="5"/>
      </w:pPr>
      <w:r>
        <w:rPr>
          <w:b/>
          <w:bCs/>
          <w:sz w:val="18"/>
          <w:szCs w:val="18"/>
          <w:lang w:val="es-ES_tradnl"/>
        </w:rPr>
        <w:t xml:space="preserve">246 -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7B4" w14:textId="77777777" w:rsidR="00591D54" w:rsidRDefault="00591D54">
      <w:pPr>
        <w:shd w:val="clear" w:color="auto" w:fill="FFFFFF"/>
        <w:tabs>
          <w:tab w:val="left" w:pos="4814"/>
        </w:tabs>
        <w:spacing w:after="226"/>
        <w:ind w:left="5"/>
        <w:sectPr w:rsidR="00591D54">
          <w:pgSz w:w="11909" w:h="16834"/>
          <w:pgMar w:top="1366" w:right="1304" w:bottom="360" w:left="1308" w:header="720" w:footer="720" w:gutter="0"/>
          <w:cols w:space="60"/>
          <w:noEndnote/>
        </w:sectPr>
      </w:pPr>
    </w:p>
    <w:p w14:paraId="4F67B7B5" w14:textId="77777777" w:rsidR="00591D54" w:rsidRDefault="00591D54">
      <w:pPr>
        <w:shd w:val="clear" w:color="auto" w:fill="FFFFFF"/>
        <w:spacing w:line="216" w:lineRule="exact"/>
        <w:ind w:right="5"/>
        <w:jc w:val="both"/>
      </w:pPr>
      <w:r>
        <w:rPr>
          <w:b/>
          <w:bCs/>
          <w:spacing w:val="-6"/>
          <w:sz w:val="18"/>
          <w:szCs w:val="18"/>
          <w:lang w:val="es-ES_tradnl"/>
        </w:rPr>
        <w:t xml:space="preserve">Francisco Alvear Montalvo, juez tercero de lo Civil y </w:t>
      </w:r>
      <w:r>
        <w:rPr>
          <w:b/>
          <w:bCs/>
          <w:sz w:val="18"/>
          <w:szCs w:val="18"/>
          <w:lang w:val="es-ES_tradnl"/>
        </w:rPr>
        <w:t>Mercantil de Guayaquil</w:t>
      </w:r>
    </w:p>
    <w:p w14:paraId="4F67B7B6" w14:textId="77777777" w:rsidR="00591D54" w:rsidRDefault="00591D54">
      <w:pPr>
        <w:shd w:val="clear" w:color="auto" w:fill="FFFFFF"/>
        <w:spacing w:before="197" w:line="216" w:lineRule="exact"/>
        <w:jc w:val="both"/>
      </w:pPr>
      <w:r>
        <w:rPr>
          <w:spacing w:val="-6"/>
          <w:sz w:val="18"/>
          <w:szCs w:val="18"/>
          <w:lang w:val="es-ES_tradnl"/>
        </w:rPr>
        <w:t>Expone que en virtud del sorteo correspondiente, resolvi</w:t>
      </w:r>
      <w:r>
        <w:rPr>
          <w:rFonts w:cs="Times New Roman"/>
          <w:spacing w:val="-6"/>
          <w:sz w:val="18"/>
          <w:szCs w:val="18"/>
          <w:lang w:val="es-ES_tradnl"/>
        </w:rPr>
        <w:t xml:space="preserve">ó </w:t>
      </w:r>
      <w:r>
        <w:rPr>
          <w:spacing w:val="-6"/>
          <w:sz w:val="18"/>
          <w:szCs w:val="18"/>
          <w:lang w:val="es-ES_tradnl"/>
        </w:rPr>
        <w:t>la acci</w:t>
      </w:r>
      <w:r>
        <w:rPr>
          <w:rFonts w:cs="Times New Roman"/>
          <w:spacing w:val="-6"/>
          <w:sz w:val="18"/>
          <w:szCs w:val="18"/>
          <w:lang w:val="es-ES_tradnl"/>
        </w:rPr>
        <w:t>ó</w:t>
      </w:r>
      <w:r>
        <w:rPr>
          <w:spacing w:val="-6"/>
          <w:sz w:val="18"/>
          <w:szCs w:val="18"/>
          <w:lang w:val="es-ES_tradnl"/>
        </w:rPr>
        <w:t>n de protecci</w:t>
      </w:r>
      <w:r>
        <w:rPr>
          <w:rFonts w:cs="Times New Roman"/>
          <w:spacing w:val="-6"/>
          <w:sz w:val="18"/>
          <w:szCs w:val="18"/>
          <w:lang w:val="es-ES_tradnl"/>
        </w:rPr>
        <w:t>ó</w:t>
      </w:r>
      <w:r>
        <w:rPr>
          <w:spacing w:val="-6"/>
          <w:sz w:val="18"/>
          <w:szCs w:val="18"/>
          <w:lang w:val="es-ES_tradnl"/>
        </w:rPr>
        <w:t>n presentada por EMPRISEG C</w:t>
      </w:r>
      <w:r>
        <w:rPr>
          <w:rFonts w:cs="Times New Roman"/>
          <w:spacing w:val="-6"/>
          <w:sz w:val="18"/>
          <w:szCs w:val="18"/>
          <w:lang w:val="es-ES_tradnl"/>
        </w:rPr>
        <w:t>Í</w:t>
      </w:r>
      <w:r>
        <w:rPr>
          <w:spacing w:val="-6"/>
          <w:sz w:val="18"/>
          <w:szCs w:val="18"/>
          <w:lang w:val="es-ES_tradnl"/>
        </w:rPr>
        <w:t xml:space="preserve">A. </w:t>
      </w:r>
      <w:r>
        <w:rPr>
          <w:sz w:val="18"/>
          <w:szCs w:val="18"/>
          <w:lang w:val="es-ES_tradnl"/>
        </w:rPr>
        <w:t>LTDA., en contra de CELEC EP. HIDRONACI</w:t>
      </w:r>
      <w:r>
        <w:rPr>
          <w:rFonts w:cs="Times New Roman"/>
          <w:sz w:val="18"/>
          <w:szCs w:val="18"/>
          <w:lang w:val="es-ES_tradnl"/>
        </w:rPr>
        <w:t>Ó</w:t>
      </w:r>
      <w:r>
        <w:rPr>
          <w:sz w:val="18"/>
          <w:szCs w:val="18"/>
          <w:lang w:val="es-ES_tradnl"/>
        </w:rPr>
        <w:t xml:space="preserve">N, </w:t>
      </w:r>
      <w:r>
        <w:rPr>
          <w:spacing w:val="-7"/>
          <w:sz w:val="18"/>
          <w:szCs w:val="18"/>
          <w:lang w:val="es-ES_tradnl"/>
        </w:rPr>
        <w:t>mediante sentencia del 22 de enero de 2010, en la cual declar</w:t>
      </w:r>
      <w:r>
        <w:rPr>
          <w:rFonts w:cs="Times New Roman"/>
          <w:spacing w:val="-7"/>
          <w:sz w:val="18"/>
          <w:szCs w:val="18"/>
          <w:lang w:val="es-ES_tradnl"/>
        </w:rPr>
        <w:t>ó</w:t>
      </w:r>
      <w:r>
        <w:rPr>
          <w:spacing w:val="-7"/>
          <w:sz w:val="18"/>
          <w:szCs w:val="18"/>
          <w:lang w:val="es-ES_tradnl"/>
        </w:rPr>
        <w:t xml:space="preserve"> sin lugar la acci</w:t>
      </w:r>
      <w:r>
        <w:rPr>
          <w:rFonts w:cs="Times New Roman"/>
          <w:spacing w:val="-7"/>
          <w:sz w:val="18"/>
          <w:szCs w:val="18"/>
          <w:lang w:val="es-ES_tradnl"/>
        </w:rPr>
        <w:t>ó</w:t>
      </w:r>
      <w:r>
        <w:rPr>
          <w:spacing w:val="-7"/>
          <w:sz w:val="18"/>
          <w:szCs w:val="18"/>
          <w:lang w:val="es-ES_tradnl"/>
        </w:rPr>
        <w:t>n propuesta, debido a que el acto de adjudicaci</w:t>
      </w:r>
      <w:r>
        <w:rPr>
          <w:rFonts w:cs="Times New Roman"/>
          <w:spacing w:val="-7"/>
          <w:sz w:val="18"/>
          <w:szCs w:val="18"/>
          <w:lang w:val="es-ES_tradnl"/>
        </w:rPr>
        <w:t>ó</w:t>
      </w:r>
      <w:r>
        <w:rPr>
          <w:spacing w:val="-7"/>
          <w:sz w:val="18"/>
          <w:szCs w:val="18"/>
          <w:lang w:val="es-ES_tradnl"/>
        </w:rPr>
        <w:t xml:space="preserve">n se lo hizo conforme a lo establecido en el </w:t>
      </w:r>
      <w:r>
        <w:rPr>
          <w:spacing w:val="-8"/>
          <w:sz w:val="18"/>
          <w:szCs w:val="18"/>
          <w:lang w:val="es-ES_tradnl"/>
        </w:rPr>
        <w:t>art</w:t>
      </w:r>
      <w:r>
        <w:rPr>
          <w:rFonts w:cs="Times New Roman"/>
          <w:spacing w:val="-8"/>
          <w:sz w:val="18"/>
          <w:szCs w:val="18"/>
          <w:lang w:val="es-ES_tradnl"/>
        </w:rPr>
        <w:t>í</w:t>
      </w:r>
      <w:r>
        <w:rPr>
          <w:spacing w:val="-8"/>
          <w:sz w:val="18"/>
          <w:szCs w:val="18"/>
          <w:lang w:val="es-ES_tradnl"/>
        </w:rPr>
        <w:t>culo 17 del Reglamento General de la Ley Org</w:t>
      </w:r>
      <w:r>
        <w:rPr>
          <w:rFonts w:cs="Times New Roman"/>
          <w:spacing w:val="-8"/>
          <w:sz w:val="18"/>
          <w:szCs w:val="18"/>
          <w:lang w:val="es-ES_tradnl"/>
        </w:rPr>
        <w:t>á</w:t>
      </w:r>
      <w:r>
        <w:rPr>
          <w:spacing w:val="-8"/>
          <w:sz w:val="18"/>
          <w:szCs w:val="18"/>
          <w:lang w:val="es-ES_tradnl"/>
        </w:rPr>
        <w:t xml:space="preserve">nica del </w:t>
      </w:r>
      <w:r>
        <w:rPr>
          <w:spacing w:val="-7"/>
          <w:sz w:val="18"/>
          <w:szCs w:val="18"/>
          <w:lang w:val="es-ES_tradnl"/>
        </w:rPr>
        <w:t>Sistema Nacional de Contrataci</w:t>
      </w:r>
      <w:r>
        <w:rPr>
          <w:rFonts w:cs="Times New Roman"/>
          <w:spacing w:val="-7"/>
          <w:sz w:val="18"/>
          <w:szCs w:val="18"/>
          <w:lang w:val="es-ES_tradnl"/>
        </w:rPr>
        <w:t>ó</w:t>
      </w:r>
      <w:r>
        <w:rPr>
          <w:spacing w:val="-7"/>
          <w:sz w:val="18"/>
          <w:szCs w:val="18"/>
          <w:lang w:val="es-ES_tradnl"/>
        </w:rPr>
        <w:t>n P</w:t>
      </w:r>
      <w:r>
        <w:rPr>
          <w:rFonts w:cs="Times New Roman"/>
          <w:spacing w:val="-7"/>
          <w:sz w:val="18"/>
          <w:szCs w:val="18"/>
          <w:lang w:val="es-ES_tradnl"/>
        </w:rPr>
        <w:t>ú</w:t>
      </w:r>
      <w:r>
        <w:rPr>
          <w:spacing w:val="-7"/>
          <w:sz w:val="18"/>
          <w:szCs w:val="18"/>
          <w:lang w:val="es-ES_tradnl"/>
        </w:rPr>
        <w:t>blica, publicado en el Registro Oficial N.</w:t>
      </w:r>
      <w:r>
        <w:rPr>
          <w:rFonts w:cs="Times New Roman"/>
          <w:spacing w:val="-7"/>
          <w:sz w:val="18"/>
          <w:szCs w:val="18"/>
          <w:lang w:val="es-ES_tradnl"/>
        </w:rPr>
        <w:t>°</w:t>
      </w:r>
      <w:r>
        <w:rPr>
          <w:spacing w:val="-7"/>
          <w:sz w:val="18"/>
          <w:szCs w:val="18"/>
          <w:lang w:val="es-ES_tradnl"/>
        </w:rPr>
        <w:t xml:space="preserve"> 588 del 12 de mayo de 2009, esto es, </w:t>
      </w:r>
      <w:r>
        <w:rPr>
          <w:spacing w:val="-8"/>
          <w:sz w:val="18"/>
          <w:szCs w:val="18"/>
          <w:lang w:val="es-ES_tradnl"/>
        </w:rPr>
        <w:t>el mismo d</w:t>
      </w:r>
      <w:r>
        <w:rPr>
          <w:rFonts w:cs="Times New Roman"/>
          <w:spacing w:val="-8"/>
          <w:sz w:val="18"/>
          <w:szCs w:val="18"/>
          <w:lang w:val="es-ES_tradnl"/>
        </w:rPr>
        <w:t>í</w:t>
      </w:r>
      <w:r>
        <w:rPr>
          <w:spacing w:val="-8"/>
          <w:sz w:val="18"/>
          <w:szCs w:val="18"/>
          <w:lang w:val="es-ES_tradnl"/>
        </w:rPr>
        <w:t>a en que se dict</w:t>
      </w:r>
      <w:r>
        <w:rPr>
          <w:rFonts w:cs="Times New Roman"/>
          <w:spacing w:val="-8"/>
          <w:sz w:val="18"/>
          <w:szCs w:val="18"/>
          <w:lang w:val="es-ES_tradnl"/>
        </w:rPr>
        <w:t>ó</w:t>
      </w:r>
      <w:r>
        <w:rPr>
          <w:spacing w:val="-8"/>
          <w:sz w:val="18"/>
          <w:szCs w:val="18"/>
          <w:lang w:val="es-ES_tradnl"/>
        </w:rPr>
        <w:t xml:space="preserve"> la resoluci</w:t>
      </w:r>
      <w:r>
        <w:rPr>
          <w:rFonts w:cs="Times New Roman"/>
          <w:spacing w:val="-8"/>
          <w:sz w:val="18"/>
          <w:szCs w:val="18"/>
          <w:lang w:val="es-ES_tradnl"/>
        </w:rPr>
        <w:t>ó</w:t>
      </w:r>
      <w:r>
        <w:rPr>
          <w:spacing w:val="-8"/>
          <w:sz w:val="18"/>
          <w:szCs w:val="18"/>
          <w:lang w:val="es-ES_tradnl"/>
        </w:rPr>
        <w:t>n de adjudicaci</w:t>
      </w:r>
      <w:r>
        <w:rPr>
          <w:rFonts w:cs="Times New Roman"/>
          <w:spacing w:val="-8"/>
          <w:sz w:val="18"/>
          <w:szCs w:val="18"/>
          <w:lang w:val="es-ES_tradnl"/>
        </w:rPr>
        <w:t>ó</w:t>
      </w:r>
      <w:r>
        <w:rPr>
          <w:spacing w:val="-8"/>
          <w:sz w:val="18"/>
          <w:szCs w:val="18"/>
          <w:lang w:val="es-ES_tradnl"/>
        </w:rPr>
        <w:t xml:space="preserve">n, </w:t>
      </w:r>
      <w:r>
        <w:rPr>
          <w:spacing w:val="-12"/>
          <w:sz w:val="18"/>
          <w:szCs w:val="18"/>
          <w:lang w:val="es-ES_tradnl"/>
        </w:rPr>
        <w:t>por lo que desde esa fecha se cuentan los quince d</w:t>
      </w:r>
      <w:r>
        <w:rPr>
          <w:rFonts w:cs="Times New Roman"/>
          <w:spacing w:val="-12"/>
          <w:sz w:val="18"/>
          <w:szCs w:val="18"/>
          <w:lang w:val="es-ES_tradnl"/>
        </w:rPr>
        <w:t>í</w:t>
      </w:r>
      <w:r>
        <w:rPr>
          <w:spacing w:val="-12"/>
          <w:sz w:val="18"/>
          <w:szCs w:val="18"/>
          <w:lang w:val="es-ES_tradnl"/>
        </w:rPr>
        <w:t xml:space="preserve">as para la </w:t>
      </w:r>
      <w:r>
        <w:rPr>
          <w:spacing w:val="-9"/>
          <w:sz w:val="18"/>
          <w:szCs w:val="18"/>
          <w:lang w:val="es-ES_tradnl"/>
        </w:rPr>
        <w:t>suscripci</w:t>
      </w:r>
      <w:r>
        <w:rPr>
          <w:rFonts w:cs="Times New Roman"/>
          <w:spacing w:val="-9"/>
          <w:sz w:val="18"/>
          <w:szCs w:val="18"/>
          <w:lang w:val="es-ES_tradnl"/>
        </w:rPr>
        <w:t>ó</w:t>
      </w:r>
      <w:r>
        <w:rPr>
          <w:spacing w:val="-9"/>
          <w:sz w:val="18"/>
          <w:szCs w:val="18"/>
          <w:lang w:val="es-ES_tradnl"/>
        </w:rPr>
        <w:t xml:space="preserve">n del contrato y entrega de todos los documentos, </w:t>
      </w:r>
      <w:r>
        <w:rPr>
          <w:spacing w:val="-5"/>
          <w:sz w:val="18"/>
          <w:szCs w:val="18"/>
          <w:lang w:val="es-ES_tradnl"/>
        </w:rPr>
        <w:t>lo cual fue incumplido por la parte actora de la acci</w:t>
      </w:r>
      <w:r>
        <w:rPr>
          <w:rFonts w:cs="Times New Roman"/>
          <w:spacing w:val="-5"/>
          <w:sz w:val="18"/>
          <w:szCs w:val="18"/>
          <w:lang w:val="es-ES_tradnl"/>
        </w:rPr>
        <w:t>ó</w:t>
      </w:r>
      <w:r>
        <w:rPr>
          <w:spacing w:val="-5"/>
          <w:sz w:val="18"/>
          <w:szCs w:val="18"/>
          <w:lang w:val="es-ES_tradnl"/>
        </w:rPr>
        <w:t xml:space="preserve">n de </w:t>
      </w:r>
      <w:r>
        <w:rPr>
          <w:sz w:val="18"/>
          <w:szCs w:val="18"/>
          <w:lang w:val="es-ES_tradnl"/>
        </w:rPr>
        <w:t>protecci</w:t>
      </w:r>
      <w:r>
        <w:rPr>
          <w:rFonts w:cs="Times New Roman"/>
          <w:sz w:val="18"/>
          <w:szCs w:val="18"/>
          <w:lang w:val="es-ES_tradnl"/>
        </w:rPr>
        <w:t>ó</w:t>
      </w:r>
      <w:r>
        <w:rPr>
          <w:sz w:val="18"/>
          <w:szCs w:val="18"/>
          <w:lang w:val="es-ES_tradnl"/>
        </w:rPr>
        <w:t>n.</w:t>
      </w:r>
    </w:p>
    <w:p w14:paraId="4F67B7B7" w14:textId="77777777" w:rsidR="00591D54" w:rsidRDefault="00591D54">
      <w:pPr>
        <w:shd w:val="clear" w:color="auto" w:fill="FFFFFF"/>
        <w:spacing w:before="192"/>
      </w:pPr>
      <w:r>
        <w:rPr>
          <w:b/>
          <w:bCs/>
          <w:spacing w:val="-10"/>
          <w:sz w:val="18"/>
          <w:szCs w:val="18"/>
          <w:lang w:val="es-ES_tradnl"/>
        </w:rPr>
        <w:t>Tercero con inter</w:t>
      </w:r>
      <w:r>
        <w:rPr>
          <w:rFonts w:cs="Times New Roman"/>
          <w:b/>
          <w:bCs/>
          <w:spacing w:val="-10"/>
          <w:sz w:val="18"/>
          <w:szCs w:val="18"/>
          <w:lang w:val="es-ES_tradnl"/>
        </w:rPr>
        <w:t>é</w:t>
      </w:r>
      <w:r>
        <w:rPr>
          <w:b/>
          <w:bCs/>
          <w:spacing w:val="-10"/>
          <w:sz w:val="18"/>
          <w:szCs w:val="18"/>
          <w:lang w:val="es-ES_tradnl"/>
        </w:rPr>
        <w:t>s</w:t>
      </w:r>
    </w:p>
    <w:p w14:paraId="4F67B7B8" w14:textId="77777777" w:rsidR="00591D54" w:rsidRDefault="00591D54">
      <w:pPr>
        <w:shd w:val="clear" w:color="auto" w:fill="FFFFFF"/>
        <w:spacing w:before="192" w:line="216" w:lineRule="exact"/>
        <w:ind w:right="5"/>
        <w:jc w:val="both"/>
      </w:pPr>
      <w:r>
        <w:rPr>
          <w:b/>
          <w:bCs/>
          <w:sz w:val="18"/>
          <w:szCs w:val="18"/>
          <w:lang w:val="es-ES_tradnl"/>
        </w:rPr>
        <w:t>Mart</w:t>
      </w:r>
      <w:r>
        <w:rPr>
          <w:rFonts w:cs="Times New Roman"/>
          <w:b/>
          <w:bCs/>
          <w:sz w:val="18"/>
          <w:szCs w:val="18"/>
          <w:lang w:val="es-ES_tradnl"/>
        </w:rPr>
        <w:t>í</w:t>
      </w:r>
      <w:r>
        <w:rPr>
          <w:b/>
          <w:bCs/>
          <w:sz w:val="18"/>
          <w:szCs w:val="18"/>
          <w:lang w:val="es-ES_tradnl"/>
        </w:rPr>
        <w:t>n Salvatierra Rosado, representante de EMPRISEG C</w:t>
      </w:r>
      <w:r>
        <w:rPr>
          <w:rFonts w:cs="Times New Roman"/>
          <w:b/>
          <w:bCs/>
          <w:sz w:val="18"/>
          <w:szCs w:val="18"/>
          <w:lang w:val="es-ES_tradnl"/>
        </w:rPr>
        <w:t>Í</w:t>
      </w:r>
      <w:r>
        <w:rPr>
          <w:b/>
          <w:bCs/>
          <w:sz w:val="18"/>
          <w:szCs w:val="18"/>
          <w:lang w:val="es-ES_tradnl"/>
        </w:rPr>
        <w:t>A. LTDA.</w:t>
      </w:r>
    </w:p>
    <w:p w14:paraId="4F67B7B9" w14:textId="77777777" w:rsidR="00591D54" w:rsidRDefault="00591D54">
      <w:pPr>
        <w:shd w:val="clear" w:color="auto" w:fill="FFFFFF"/>
        <w:spacing w:before="197" w:line="216" w:lineRule="exact"/>
        <w:jc w:val="both"/>
      </w:pPr>
      <w:r>
        <w:rPr>
          <w:spacing w:val="-2"/>
          <w:sz w:val="18"/>
          <w:szCs w:val="18"/>
          <w:lang w:val="es-ES_tradnl"/>
        </w:rPr>
        <w:t>Manifiesta que los accionantes jam</w:t>
      </w:r>
      <w:r>
        <w:rPr>
          <w:rFonts w:cs="Times New Roman"/>
          <w:spacing w:val="-2"/>
          <w:sz w:val="18"/>
          <w:szCs w:val="18"/>
          <w:lang w:val="es-ES_tradnl"/>
        </w:rPr>
        <w:t>á</w:t>
      </w:r>
      <w:r>
        <w:rPr>
          <w:spacing w:val="-2"/>
          <w:sz w:val="18"/>
          <w:szCs w:val="18"/>
          <w:lang w:val="es-ES_tradnl"/>
        </w:rPr>
        <w:t xml:space="preserve">s procedieron a </w:t>
      </w:r>
      <w:r>
        <w:rPr>
          <w:spacing w:val="-6"/>
          <w:sz w:val="18"/>
          <w:szCs w:val="18"/>
          <w:lang w:val="es-ES_tradnl"/>
        </w:rPr>
        <w:t>notificarle la resoluci</w:t>
      </w:r>
      <w:r>
        <w:rPr>
          <w:rFonts w:cs="Times New Roman"/>
          <w:spacing w:val="-6"/>
          <w:sz w:val="18"/>
          <w:szCs w:val="18"/>
          <w:lang w:val="es-ES_tradnl"/>
        </w:rPr>
        <w:t>ó</w:t>
      </w:r>
      <w:r>
        <w:rPr>
          <w:spacing w:val="-6"/>
          <w:sz w:val="18"/>
          <w:szCs w:val="18"/>
          <w:lang w:val="es-ES_tradnl"/>
        </w:rPr>
        <w:t>n de adjudicaci</w:t>
      </w:r>
      <w:r>
        <w:rPr>
          <w:rFonts w:cs="Times New Roman"/>
          <w:spacing w:val="-6"/>
          <w:sz w:val="18"/>
          <w:szCs w:val="18"/>
          <w:lang w:val="es-ES_tradnl"/>
        </w:rPr>
        <w:t>ó</w:t>
      </w:r>
      <w:r>
        <w:rPr>
          <w:spacing w:val="-6"/>
          <w:sz w:val="18"/>
          <w:szCs w:val="18"/>
          <w:lang w:val="es-ES_tradnl"/>
        </w:rPr>
        <w:t xml:space="preserve">n del 27 de octubre </w:t>
      </w:r>
      <w:r>
        <w:rPr>
          <w:spacing w:val="-7"/>
          <w:sz w:val="18"/>
          <w:szCs w:val="18"/>
          <w:lang w:val="es-ES_tradnl"/>
        </w:rPr>
        <w:t xml:space="preserve">de 2009, pues solo la entregaron en la etapa de prueba </w:t>
      </w:r>
      <w:r>
        <w:rPr>
          <w:spacing w:val="-6"/>
          <w:sz w:val="18"/>
          <w:szCs w:val="18"/>
          <w:lang w:val="es-ES_tradnl"/>
        </w:rPr>
        <w:t>dentro de la acci</w:t>
      </w:r>
      <w:r>
        <w:rPr>
          <w:rFonts w:cs="Times New Roman"/>
          <w:spacing w:val="-6"/>
          <w:sz w:val="18"/>
          <w:szCs w:val="18"/>
          <w:lang w:val="es-ES_tradnl"/>
        </w:rPr>
        <w:t>ó</w:t>
      </w:r>
      <w:r>
        <w:rPr>
          <w:spacing w:val="-6"/>
          <w:sz w:val="18"/>
          <w:szCs w:val="18"/>
          <w:lang w:val="es-ES_tradnl"/>
        </w:rPr>
        <w:t>n de protecci</w:t>
      </w:r>
      <w:r>
        <w:rPr>
          <w:rFonts w:cs="Times New Roman"/>
          <w:spacing w:val="-6"/>
          <w:sz w:val="18"/>
          <w:szCs w:val="18"/>
          <w:lang w:val="es-ES_tradnl"/>
        </w:rPr>
        <w:t>ó</w:t>
      </w:r>
      <w:r>
        <w:rPr>
          <w:spacing w:val="-6"/>
          <w:sz w:val="18"/>
          <w:szCs w:val="18"/>
          <w:lang w:val="es-ES_tradnl"/>
        </w:rPr>
        <w:t>n. Tambi</w:t>
      </w:r>
      <w:r>
        <w:rPr>
          <w:rFonts w:cs="Times New Roman"/>
          <w:spacing w:val="-6"/>
          <w:sz w:val="18"/>
          <w:szCs w:val="18"/>
          <w:lang w:val="es-ES_tradnl"/>
        </w:rPr>
        <w:t>é</w:t>
      </w:r>
      <w:r>
        <w:rPr>
          <w:spacing w:val="-6"/>
          <w:sz w:val="18"/>
          <w:szCs w:val="18"/>
          <w:lang w:val="es-ES_tradnl"/>
        </w:rPr>
        <w:t>n se</w:t>
      </w:r>
      <w:r>
        <w:rPr>
          <w:rFonts w:cs="Times New Roman"/>
          <w:spacing w:val="-6"/>
          <w:sz w:val="18"/>
          <w:szCs w:val="18"/>
          <w:lang w:val="es-ES_tradnl"/>
        </w:rPr>
        <w:t>ñ</w:t>
      </w:r>
      <w:r>
        <w:rPr>
          <w:spacing w:val="-6"/>
          <w:sz w:val="18"/>
          <w:szCs w:val="18"/>
          <w:lang w:val="es-ES_tradnl"/>
        </w:rPr>
        <w:t xml:space="preserve">ala que ni </w:t>
      </w:r>
      <w:r>
        <w:rPr>
          <w:spacing w:val="-3"/>
          <w:sz w:val="18"/>
          <w:szCs w:val="18"/>
          <w:lang w:val="es-ES_tradnl"/>
        </w:rPr>
        <w:t xml:space="preserve">el juez de primera instancia ni los de la Corte Provincial </w:t>
      </w:r>
      <w:r>
        <w:rPr>
          <w:spacing w:val="-8"/>
          <w:sz w:val="18"/>
          <w:szCs w:val="18"/>
          <w:lang w:val="es-ES_tradnl"/>
        </w:rPr>
        <w:t xml:space="preserve">de Justicia determinaron que no se trataba de derechos </w:t>
      </w:r>
      <w:r>
        <w:rPr>
          <w:spacing w:val="-9"/>
          <w:sz w:val="18"/>
          <w:szCs w:val="18"/>
          <w:lang w:val="es-ES_tradnl"/>
        </w:rPr>
        <w:t>constitucionales los vulnerados ni tampoco se busc</w:t>
      </w:r>
      <w:r>
        <w:rPr>
          <w:rFonts w:cs="Times New Roman"/>
          <w:spacing w:val="-9"/>
          <w:sz w:val="18"/>
          <w:szCs w:val="18"/>
          <w:lang w:val="es-ES_tradnl"/>
        </w:rPr>
        <w:t>ó</w:t>
      </w:r>
      <w:r>
        <w:rPr>
          <w:spacing w:val="-9"/>
          <w:sz w:val="18"/>
          <w:szCs w:val="18"/>
          <w:lang w:val="es-ES_tradnl"/>
        </w:rPr>
        <w:t xml:space="preserve"> que se </w:t>
      </w:r>
      <w:r>
        <w:rPr>
          <w:spacing w:val="-6"/>
          <w:sz w:val="18"/>
          <w:szCs w:val="18"/>
          <w:lang w:val="es-ES_tradnl"/>
        </w:rPr>
        <w:t>declare ilegal la resoluci</w:t>
      </w:r>
      <w:r>
        <w:rPr>
          <w:rFonts w:cs="Times New Roman"/>
          <w:spacing w:val="-6"/>
          <w:sz w:val="18"/>
          <w:szCs w:val="18"/>
          <w:lang w:val="es-ES_tradnl"/>
        </w:rPr>
        <w:t>ó</w:t>
      </w:r>
      <w:r>
        <w:rPr>
          <w:spacing w:val="-6"/>
          <w:sz w:val="18"/>
          <w:szCs w:val="18"/>
          <w:lang w:val="es-ES_tradnl"/>
        </w:rPr>
        <w:t xml:space="preserve">n emitida el 20 de noviembre de </w:t>
      </w:r>
      <w:r>
        <w:rPr>
          <w:spacing w:val="-7"/>
          <w:sz w:val="18"/>
          <w:szCs w:val="18"/>
          <w:lang w:val="es-ES_tradnl"/>
        </w:rPr>
        <w:t>2009; por el contrario, afirma que la pretensi</w:t>
      </w:r>
      <w:r>
        <w:rPr>
          <w:rFonts w:cs="Times New Roman"/>
          <w:spacing w:val="-7"/>
          <w:sz w:val="18"/>
          <w:szCs w:val="18"/>
          <w:lang w:val="es-ES_tradnl"/>
        </w:rPr>
        <w:t>ó</w:t>
      </w:r>
      <w:r>
        <w:rPr>
          <w:spacing w:val="-7"/>
          <w:sz w:val="18"/>
          <w:szCs w:val="18"/>
          <w:lang w:val="es-ES_tradnl"/>
        </w:rPr>
        <w:t xml:space="preserve">n era que se </w:t>
      </w:r>
      <w:r>
        <w:rPr>
          <w:spacing w:val="-10"/>
          <w:sz w:val="18"/>
          <w:szCs w:val="18"/>
          <w:lang w:val="es-ES_tradnl"/>
        </w:rPr>
        <w:t xml:space="preserve">protejan derechos constitucionales, como el debido proceso, </w:t>
      </w:r>
      <w:r>
        <w:rPr>
          <w:spacing w:val="-7"/>
          <w:sz w:val="18"/>
          <w:szCs w:val="18"/>
          <w:lang w:val="es-ES_tradnl"/>
        </w:rPr>
        <w:t>la igualdad, la seguridad jur</w:t>
      </w:r>
      <w:r>
        <w:rPr>
          <w:rFonts w:cs="Times New Roman"/>
          <w:spacing w:val="-7"/>
          <w:sz w:val="18"/>
          <w:szCs w:val="18"/>
          <w:lang w:val="es-ES_tradnl"/>
        </w:rPr>
        <w:t>í</w:t>
      </w:r>
      <w:r>
        <w:rPr>
          <w:spacing w:val="-7"/>
          <w:sz w:val="18"/>
          <w:szCs w:val="18"/>
          <w:lang w:val="es-ES_tradnl"/>
        </w:rPr>
        <w:t>dica y el principio de legalidad.</w:t>
      </w:r>
    </w:p>
    <w:p w14:paraId="4F67B7BA" w14:textId="77777777" w:rsidR="00591D54" w:rsidRDefault="00591D54">
      <w:pPr>
        <w:shd w:val="clear" w:color="auto" w:fill="FFFFFF"/>
        <w:spacing w:before="197" w:line="216" w:lineRule="exact"/>
        <w:ind w:right="5"/>
        <w:jc w:val="both"/>
      </w:pPr>
      <w:r>
        <w:rPr>
          <w:spacing w:val="-6"/>
          <w:sz w:val="18"/>
          <w:szCs w:val="18"/>
          <w:lang w:val="es-ES_tradnl"/>
        </w:rPr>
        <w:t>Se</w:t>
      </w:r>
      <w:r>
        <w:rPr>
          <w:rFonts w:cs="Times New Roman"/>
          <w:spacing w:val="-6"/>
          <w:sz w:val="18"/>
          <w:szCs w:val="18"/>
          <w:lang w:val="es-ES_tradnl"/>
        </w:rPr>
        <w:t>ñ</w:t>
      </w:r>
      <w:r>
        <w:rPr>
          <w:spacing w:val="-6"/>
          <w:sz w:val="18"/>
          <w:szCs w:val="18"/>
          <w:lang w:val="es-ES_tradnl"/>
        </w:rPr>
        <w:t>ala que la acci</w:t>
      </w:r>
      <w:r>
        <w:rPr>
          <w:rFonts w:cs="Times New Roman"/>
          <w:spacing w:val="-6"/>
          <w:sz w:val="18"/>
          <w:szCs w:val="18"/>
          <w:lang w:val="es-ES_tradnl"/>
        </w:rPr>
        <w:t>ó</w:t>
      </w:r>
      <w:r>
        <w:rPr>
          <w:spacing w:val="-6"/>
          <w:sz w:val="18"/>
          <w:szCs w:val="18"/>
          <w:lang w:val="es-ES_tradnl"/>
        </w:rPr>
        <w:t>n de protecci</w:t>
      </w:r>
      <w:r>
        <w:rPr>
          <w:rFonts w:cs="Times New Roman"/>
          <w:spacing w:val="-6"/>
          <w:sz w:val="18"/>
          <w:szCs w:val="18"/>
          <w:lang w:val="es-ES_tradnl"/>
        </w:rPr>
        <w:t>ó</w:t>
      </w:r>
      <w:r>
        <w:rPr>
          <w:spacing w:val="-6"/>
          <w:sz w:val="18"/>
          <w:szCs w:val="18"/>
          <w:lang w:val="es-ES_tradnl"/>
        </w:rPr>
        <w:t xml:space="preserve">n tiene como finalidad </w:t>
      </w:r>
      <w:r>
        <w:rPr>
          <w:spacing w:val="-7"/>
          <w:sz w:val="18"/>
          <w:szCs w:val="18"/>
          <w:lang w:val="es-ES_tradnl"/>
        </w:rPr>
        <w:t>dar una protecci</w:t>
      </w:r>
      <w:r>
        <w:rPr>
          <w:rFonts w:cs="Times New Roman"/>
          <w:spacing w:val="-7"/>
          <w:sz w:val="18"/>
          <w:szCs w:val="18"/>
          <w:lang w:val="es-ES_tradnl"/>
        </w:rPr>
        <w:t>ó</w:t>
      </w:r>
      <w:r>
        <w:rPr>
          <w:spacing w:val="-7"/>
          <w:sz w:val="18"/>
          <w:szCs w:val="18"/>
          <w:lang w:val="es-ES_tradnl"/>
        </w:rPr>
        <w:t xml:space="preserve">n inmediata a derechos constitucionales </w:t>
      </w:r>
      <w:r>
        <w:rPr>
          <w:spacing w:val="-5"/>
          <w:sz w:val="18"/>
          <w:szCs w:val="18"/>
          <w:lang w:val="es-ES_tradnl"/>
        </w:rPr>
        <w:t>vulnerados, como sucedi</w:t>
      </w:r>
      <w:r>
        <w:rPr>
          <w:rFonts w:cs="Times New Roman"/>
          <w:spacing w:val="-5"/>
          <w:sz w:val="18"/>
          <w:szCs w:val="18"/>
          <w:lang w:val="es-ES_tradnl"/>
        </w:rPr>
        <w:t>ó</w:t>
      </w:r>
      <w:r>
        <w:rPr>
          <w:spacing w:val="-5"/>
          <w:sz w:val="18"/>
          <w:szCs w:val="18"/>
          <w:lang w:val="es-ES_tradnl"/>
        </w:rPr>
        <w:t xml:space="preserve"> con la resoluci</w:t>
      </w:r>
      <w:r>
        <w:rPr>
          <w:rFonts w:cs="Times New Roman"/>
          <w:spacing w:val="-5"/>
          <w:sz w:val="18"/>
          <w:szCs w:val="18"/>
          <w:lang w:val="es-ES_tradnl"/>
        </w:rPr>
        <w:t>ó</w:t>
      </w:r>
      <w:r>
        <w:rPr>
          <w:spacing w:val="-5"/>
          <w:sz w:val="18"/>
          <w:szCs w:val="18"/>
          <w:lang w:val="es-ES_tradnl"/>
        </w:rPr>
        <w:t>n HDN-GJ-</w:t>
      </w:r>
      <w:r>
        <w:rPr>
          <w:spacing w:val="-10"/>
          <w:sz w:val="18"/>
          <w:szCs w:val="18"/>
          <w:lang w:val="es-ES_tradnl"/>
        </w:rPr>
        <w:t>AC-024-2009 del 20 de noviembre de 2009, que se torn</w:t>
      </w:r>
      <w:r>
        <w:rPr>
          <w:rFonts w:cs="Times New Roman"/>
          <w:spacing w:val="-10"/>
          <w:sz w:val="18"/>
          <w:szCs w:val="18"/>
          <w:lang w:val="es-ES_tradnl"/>
        </w:rPr>
        <w:t>ó</w:t>
      </w:r>
      <w:r>
        <w:rPr>
          <w:spacing w:val="-10"/>
          <w:sz w:val="18"/>
          <w:szCs w:val="18"/>
          <w:lang w:val="es-ES_tradnl"/>
        </w:rPr>
        <w:t xml:space="preserve"> en </w:t>
      </w:r>
      <w:r>
        <w:rPr>
          <w:spacing w:val="-5"/>
          <w:sz w:val="18"/>
          <w:szCs w:val="18"/>
          <w:lang w:val="es-ES_tradnl"/>
        </w:rPr>
        <w:t>un acto ileg</w:t>
      </w:r>
      <w:r>
        <w:rPr>
          <w:rFonts w:cs="Times New Roman"/>
          <w:spacing w:val="-5"/>
          <w:sz w:val="18"/>
          <w:szCs w:val="18"/>
          <w:lang w:val="es-ES_tradnl"/>
        </w:rPr>
        <w:t>í</w:t>
      </w:r>
      <w:r>
        <w:rPr>
          <w:spacing w:val="-5"/>
          <w:sz w:val="18"/>
          <w:szCs w:val="18"/>
          <w:lang w:val="es-ES_tradnl"/>
        </w:rPr>
        <w:t xml:space="preserve">timo, arbitrario y discriminatorio, aspecto que </w:t>
      </w:r>
      <w:r>
        <w:rPr>
          <w:spacing w:val="-10"/>
          <w:sz w:val="18"/>
          <w:szCs w:val="18"/>
          <w:lang w:val="es-ES_tradnl"/>
        </w:rPr>
        <w:t xml:space="preserve">fue debidamente analizado por los jueces de la Primera Sala </w:t>
      </w:r>
      <w:r>
        <w:rPr>
          <w:spacing w:val="-7"/>
          <w:sz w:val="18"/>
          <w:szCs w:val="18"/>
          <w:lang w:val="es-ES_tradnl"/>
        </w:rPr>
        <w:t>de lo Laboral, Ni</w:t>
      </w:r>
      <w:r>
        <w:rPr>
          <w:rFonts w:cs="Times New Roman"/>
          <w:spacing w:val="-7"/>
          <w:sz w:val="18"/>
          <w:szCs w:val="18"/>
          <w:lang w:val="es-ES_tradnl"/>
        </w:rPr>
        <w:t>ñ</w:t>
      </w:r>
      <w:r>
        <w:rPr>
          <w:spacing w:val="-7"/>
          <w:sz w:val="18"/>
          <w:szCs w:val="18"/>
          <w:lang w:val="es-ES_tradnl"/>
        </w:rPr>
        <w:t xml:space="preserve">ez y Adolescencia de la Corte Provincial </w:t>
      </w:r>
      <w:r>
        <w:rPr>
          <w:spacing w:val="-8"/>
          <w:sz w:val="18"/>
          <w:szCs w:val="18"/>
          <w:lang w:val="es-ES_tradnl"/>
        </w:rPr>
        <w:t xml:space="preserve">de Justicia del Guayas en su sentencia del 25 de junio de </w:t>
      </w:r>
      <w:r>
        <w:rPr>
          <w:sz w:val="18"/>
          <w:szCs w:val="18"/>
          <w:lang w:val="es-ES_tradnl"/>
        </w:rPr>
        <w:t>2009.</w:t>
      </w:r>
    </w:p>
    <w:p w14:paraId="4F67B7BB" w14:textId="77777777" w:rsidR="00591D54" w:rsidRDefault="00591D54">
      <w:pPr>
        <w:shd w:val="clear" w:color="auto" w:fill="FFFFFF"/>
        <w:spacing w:before="197" w:line="216" w:lineRule="exact"/>
        <w:ind w:right="5"/>
        <w:jc w:val="both"/>
      </w:pPr>
      <w:r>
        <w:rPr>
          <w:spacing w:val="-7"/>
          <w:sz w:val="18"/>
          <w:szCs w:val="18"/>
          <w:lang w:val="es-ES_tradnl"/>
        </w:rPr>
        <w:t xml:space="preserve">En base a lo expuesto, solicita a esta Corte Constitucional </w:t>
      </w:r>
      <w:r>
        <w:rPr>
          <w:spacing w:val="-5"/>
          <w:sz w:val="18"/>
          <w:szCs w:val="18"/>
          <w:lang w:val="es-ES_tradnl"/>
        </w:rPr>
        <w:t>que se rechace la presente acci</w:t>
      </w:r>
      <w:r>
        <w:rPr>
          <w:rFonts w:cs="Times New Roman"/>
          <w:spacing w:val="-5"/>
          <w:sz w:val="18"/>
          <w:szCs w:val="18"/>
          <w:lang w:val="es-ES_tradnl"/>
        </w:rPr>
        <w:t>ó</w:t>
      </w:r>
      <w:r>
        <w:rPr>
          <w:spacing w:val="-5"/>
          <w:sz w:val="18"/>
          <w:szCs w:val="18"/>
          <w:lang w:val="es-ES_tradnl"/>
        </w:rPr>
        <w:t xml:space="preserve">n extraordinaria de </w:t>
      </w:r>
      <w:r>
        <w:rPr>
          <w:spacing w:val="-7"/>
          <w:sz w:val="18"/>
          <w:szCs w:val="18"/>
          <w:lang w:val="es-ES_tradnl"/>
        </w:rPr>
        <w:t>protecci</w:t>
      </w:r>
      <w:r>
        <w:rPr>
          <w:rFonts w:cs="Times New Roman"/>
          <w:spacing w:val="-7"/>
          <w:sz w:val="18"/>
          <w:szCs w:val="18"/>
          <w:lang w:val="es-ES_tradnl"/>
        </w:rPr>
        <w:t>ó</w:t>
      </w:r>
      <w:r>
        <w:rPr>
          <w:spacing w:val="-7"/>
          <w:sz w:val="18"/>
          <w:szCs w:val="18"/>
          <w:lang w:val="es-ES_tradnl"/>
        </w:rPr>
        <w:t xml:space="preserve">n, por no reunir requisitos de fondo y forma, y por </w:t>
      </w:r>
      <w:r>
        <w:rPr>
          <w:spacing w:val="-9"/>
          <w:sz w:val="18"/>
          <w:szCs w:val="18"/>
          <w:lang w:val="es-ES_tradnl"/>
        </w:rPr>
        <w:t>cuanto no existe vulneraci</w:t>
      </w:r>
      <w:r>
        <w:rPr>
          <w:rFonts w:cs="Times New Roman"/>
          <w:spacing w:val="-9"/>
          <w:sz w:val="18"/>
          <w:szCs w:val="18"/>
          <w:lang w:val="es-ES_tradnl"/>
        </w:rPr>
        <w:t>ó</w:t>
      </w:r>
      <w:r>
        <w:rPr>
          <w:spacing w:val="-9"/>
          <w:sz w:val="18"/>
          <w:szCs w:val="18"/>
          <w:lang w:val="es-ES_tradnl"/>
        </w:rPr>
        <w:t>n al debido proceso ni de ning</w:t>
      </w:r>
      <w:r>
        <w:rPr>
          <w:rFonts w:cs="Times New Roman"/>
          <w:spacing w:val="-9"/>
          <w:sz w:val="18"/>
          <w:szCs w:val="18"/>
          <w:lang w:val="es-ES_tradnl"/>
        </w:rPr>
        <w:t>ú</w:t>
      </w:r>
      <w:r>
        <w:rPr>
          <w:spacing w:val="-9"/>
          <w:sz w:val="18"/>
          <w:szCs w:val="18"/>
          <w:lang w:val="es-ES_tradnl"/>
        </w:rPr>
        <w:t xml:space="preserve">n </w:t>
      </w:r>
      <w:r>
        <w:rPr>
          <w:sz w:val="18"/>
          <w:szCs w:val="18"/>
          <w:lang w:val="es-ES_tradnl"/>
        </w:rPr>
        <w:t>otro derecho constitucional.</w:t>
      </w:r>
    </w:p>
    <w:p w14:paraId="4F67B7BC" w14:textId="77777777" w:rsidR="00591D54" w:rsidRDefault="00591D54">
      <w:pPr>
        <w:shd w:val="clear" w:color="auto" w:fill="FFFFFF"/>
        <w:spacing w:before="192"/>
      </w:pPr>
      <w:r>
        <w:rPr>
          <w:b/>
          <w:bCs/>
          <w:spacing w:val="-7"/>
          <w:sz w:val="18"/>
          <w:szCs w:val="18"/>
          <w:lang w:val="es-ES_tradnl"/>
        </w:rPr>
        <w:t>Procuradur</w:t>
      </w:r>
      <w:r>
        <w:rPr>
          <w:rFonts w:cs="Times New Roman"/>
          <w:b/>
          <w:bCs/>
          <w:spacing w:val="-7"/>
          <w:sz w:val="18"/>
          <w:szCs w:val="18"/>
          <w:lang w:val="es-ES_tradnl"/>
        </w:rPr>
        <w:t>í</w:t>
      </w:r>
      <w:r>
        <w:rPr>
          <w:b/>
          <w:bCs/>
          <w:spacing w:val="-7"/>
          <w:sz w:val="18"/>
          <w:szCs w:val="18"/>
          <w:lang w:val="es-ES_tradnl"/>
        </w:rPr>
        <w:t>a General del Estado</w:t>
      </w:r>
    </w:p>
    <w:p w14:paraId="4F67B7BD" w14:textId="77777777" w:rsidR="00591D54" w:rsidRDefault="00591D54">
      <w:pPr>
        <w:shd w:val="clear" w:color="auto" w:fill="FFFFFF"/>
        <w:spacing w:before="192" w:line="216" w:lineRule="exact"/>
        <w:ind w:right="5"/>
        <w:jc w:val="both"/>
      </w:pPr>
      <w:r>
        <w:rPr>
          <w:spacing w:val="-4"/>
          <w:sz w:val="18"/>
          <w:szCs w:val="18"/>
          <w:lang w:val="es-ES_tradnl"/>
        </w:rPr>
        <w:t xml:space="preserve">A fs. 39 del expediente constitucional obra el escrito </w:t>
      </w:r>
      <w:r>
        <w:rPr>
          <w:spacing w:val="-8"/>
          <w:sz w:val="18"/>
          <w:szCs w:val="18"/>
          <w:lang w:val="es-ES_tradnl"/>
        </w:rPr>
        <w:t xml:space="preserve">presentado por la doctora Martha Escobar Koziel, directora </w:t>
      </w:r>
      <w:r>
        <w:rPr>
          <w:spacing w:val="-5"/>
          <w:sz w:val="18"/>
          <w:szCs w:val="18"/>
          <w:lang w:val="es-ES_tradnl"/>
        </w:rPr>
        <w:t>nacional de Patrocinio de la Procuradur</w:t>
      </w:r>
      <w:r>
        <w:rPr>
          <w:rFonts w:cs="Times New Roman"/>
          <w:spacing w:val="-5"/>
          <w:sz w:val="18"/>
          <w:szCs w:val="18"/>
          <w:lang w:val="es-ES_tradnl"/>
        </w:rPr>
        <w:t>í</w:t>
      </w:r>
      <w:r>
        <w:rPr>
          <w:spacing w:val="-5"/>
          <w:sz w:val="18"/>
          <w:szCs w:val="18"/>
          <w:lang w:val="es-ES_tradnl"/>
        </w:rPr>
        <w:t xml:space="preserve">a General del </w:t>
      </w:r>
      <w:r>
        <w:rPr>
          <w:spacing w:val="-4"/>
          <w:sz w:val="18"/>
          <w:szCs w:val="18"/>
          <w:lang w:val="es-ES_tradnl"/>
        </w:rPr>
        <w:t>Estado, a trav</w:t>
      </w:r>
      <w:r>
        <w:rPr>
          <w:rFonts w:cs="Times New Roman"/>
          <w:spacing w:val="-4"/>
          <w:sz w:val="18"/>
          <w:szCs w:val="18"/>
          <w:lang w:val="es-ES_tradnl"/>
        </w:rPr>
        <w:t>é</w:t>
      </w:r>
      <w:r>
        <w:rPr>
          <w:spacing w:val="-4"/>
          <w:sz w:val="18"/>
          <w:szCs w:val="18"/>
          <w:lang w:val="es-ES_tradnl"/>
        </w:rPr>
        <w:t>s del cual se</w:t>
      </w:r>
      <w:r>
        <w:rPr>
          <w:rFonts w:cs="Times New Roman"/>
          <w:spacing w:val="-4"/>
          <w:sz w:val="18"/>
          <w:szCs w:val="18"/>
          <w:lang w:val="es-ES_tradnl"/>
        </w:rPr>
        <w:t>ñ</w:t>
      </w:r>
      <w:r>
        <w:rPr>
          <w:spacing w:val="-4"/>
          <w:sz w:val="18"/>
          <w:szCs w:val="18"/>
          <w:lang w:val="es-ES_tradnl"/>
        </w:rPr>
        <w:t xml:space="preserve">ala casillero judicial para </w:t>
      </w:r>
      <w:r>
        <w:rPr>
          <w:spacing w:val="-8"/>
          <w:sz w:val="18"/>
          <w:szCs w:val="18"/>
          <w:lang w:val="es-ES_tradnl"/>
        </w:rPr>
        <w:t>recibir las notificaciones correspondientes.</w:t>
      </w:r>
    </w:p>
    <w:p w14:paraId="4F67B7BE" w14:textId="77777777" w:rsidR="00591D54" w:rsidRDefault="00591D54">
      <w:pPr>
        <w:shd w:val="clear" w:color="auto" w:fill="FFFFFF"/>
        <w:spacing w:before="187"/>
      </w:pPr>
      <w:r>
        <w:rPr>
          <w:b/>
          <w:bCs/>
          <w:spacing w:val="-8"/>
          <w:sz w:val="18"/>
          <w:szCs w:val="18"/>
          <w:lang w:val="es-ES_tradnl"/>
        </w:rPr>
        <w:t>Decisi</w:t>
      </w:r>
      <w:r>
        <w:rPr>
          <w:rFonts w:cs="Times New Roman"/>
          <w:b/>
          <w:bCs/>
          <w:spacing w:val="-8"/>
          <w:sz w:val="18"/>
          <w:szCs w:val="18"/>
          <w:lang w:val="es-ES_tradnl"/>
        </w:rPr>
        <w:t>ó</w:t>
      </w:r>
      <w:r>
        <w:rPr>
          <w:b/>
          <w:bCs/>
          <w:spacing w:val="-8"/>
          <w:sz w:val="18"/>
          <w:szCs w:val="18"/>
          <w:lang w:val="es-ES_tradnl"/>
        </w:rPr>
        <w:t>n judicial impugnada</w:t>
      </w:r>
    </w:p>
    <w:p w14:paraId="4F67B7BF" w14:textId="77777777" w:rsidR="00591D54" w:rsidRDefault="00591D54">
      <w:pPr>
        <w:shd w:val="clear" w:color="auto" w:fill="FFFFFF"/>
        <w:spacing w:before="197" w:line="216" w:lineRule="exact"/>
        <w:jc w:val="both"/>
      </w:pPr>
      <w:r>
        <w:rPr>
          <w:spacing w:val="-7"/>
          <w:sz w:val="18"/>
          <w:szCs w:val="18"/>
          <w:lang w:val="es-ES_tradnl"/>
        </w:rPr>
        <w:t>Sentencia de mayor</w:t>
      </w:r>
      <w:r>
        <w:rPr>
          <w:rFonts w:cs="Times New Roman"/>
          <w:spacing w:val="-7"/>
          <w:sz w:val="18"/>
          <w:szCs w:val="18"/>
          <w:lang w:val="es-ES_tradnl"/>
        </w:rPr>
        <w:t>í</w:t>
      </w:r>
      <w:r>
        <w:rPr>
          <w:spacing w:val="-7"/>
          <w:sz w:val="18"/>
          <w:szCs w:val="18"/>
          <w:lang w:val="es-ES_tradnl"/>
        </w:rPr>
        <w:t xml:space="preserve">a dictada por la Primera Sala de lo </w:t>
      </w:r>
      <w:r>
        <w:rPr>
          <w:spacing w:val="-3"/>
          <w:sz w:val="18"/>
          <w:szCs w:val="18"/>
          <w:lang w:val="es-ES_tradnl"/>
        </w:rPr>
        <w:t>Laboral, Ni</w:t>
      </w:r>
      <w:r>
        <w:rPr>
          <w:rFonts w:cs="Times New Roman"/>
          <w:spacing w:val="-3"/>
          <w:sz w:val="18"/>
          <w:szCs w:val="18"/>
          <w:lang w:val="es-ES_tradnl"/>
        </w:rPr>
        <w:t>ñ</w:t>
      </w:r>
      <w:r>
        <w:rPr>
          <w:spacing w:val="-3"/>
          <w:sz w:val="18"/>
          <w:szCs w:val="18"/>
          <w:lang w:val="es-ES_tradnl"/>
        </w:rPr>
        <w:t>ez y Adolescencia de la Corte Provincial de</w:t>
      </w:r>
    </w:p>
    <w:p w14:paraId="4F67B7C0" w14:textId="77777777" w:rsidR="00591D54" w:rsidRDefault="00591D54">
      <w:pPr>
        <w:shd w:val="clear" w:color="auto" w:fill="FFFFFF"/>
        <w:spacing w:before="10" w:line="216" w:lineRule="exact"/>
      </w:pPr>
      <w:r>
        <w:br w:type="column"/>
      </w:r>
      <w:r>
        <w:rPr>
          <w:spacing w:val="-10"/>
          <w:sz w:val="18"/>
          <w:szCs w:val="18"/>
          <w:lang w:val="es-ES_tradnl"/>
        </w:rPr>
        <w:t xml:space="preserve">Justicia del Guayas del 25 de junio de 2010 a las 09h44, que </w:t>
      </w:r>
      <w:r>
        <w:rPr>
          <w:sz w:val="18"/>
          <w:szCs w:val="18"/>
          <w:lang w:val="es-ES_tradnl"/>
        </w:rPr>
        <w:t>en su parte pertinente se</w:t>
      </w:r>
      <w:r>
        <w:rPr>
          <w:rFonts w:cs="Times New Roman"/>
          <w:sz w:val="18"/>
          <w:szCs w:val="18"/>
          <w:lang w:val="es-ES_tradnl"/>
        </w:rPr>
        <w:t>ñ</w:t>
      </w:r>
      <w:r>
        <w:rPr>
          <w:sz w:val="18"/>
          <w:szCs w:val="18"/>
          <w:lang w:val="es-ES_tradnl"/>
        </w:rPr>
        <w:t>ala:</w:t>
      </w:r>
    </w:p>
    <w:p w14:paraId="4F67B7C1" w14:textId="77777777" w:rsidR="00591D54" w:rsidRDefault="00591D54">
      <w:pPr>
        <w:shd w:val="clear" w:color="auto" w:fill="FFFFFF"/>
        <w:spacing w:before="202" w:line="216" w:lineRule="exact"/>
        <w:ind w:left="283"/>
        <w:jc w:val="both"/>
      </w:pPr>
      <w:r>
        <w:rPr>
          <w:spacing w:val="-6"/>
          <w:sz w:val="16"/>
          <w:szCs w:val="16"/>
          <w:lang w:val="es-ES_tradnl"/>
        </w:rPr>
        <w:t>En este sentido, la Sala considera que la Adjudicaci</w:t>
      </w:r>
      <w:r>
        <w:rPr>
          <w:rFonts w:cs="Times New Roman"/>
          <w:spacing w:val="-6"/>
          <w:sz w:val="16"/>
          <w:szCs w:val="16"/>
          <w:lang w:val="es-ES_tradnl"/>
        </w:rPr>
        <w:t>ó</w:t>
      </w:r>
      <w:r>
        <w:rPr>
          <w:spacing w:val="-6"/>
          <w:sz w:val="16"/>
          <w:szCs w:val="16"/>
          <w:lang w:val="es-ES_tradnl"/>
        </w:rPr>
        <w:t>n del contrato de HIDRONACI</w:t>
      </w:r>
      <w:r>
        <w:rPr>
          <w:rFonts w:cs="Times New Roman"/>
          <w:spacing w:val="-6"/>
          <w:sz w:val="16"/>
          <w:szCs w:val="16"/>
          <w:lang w:val="es-ES_tradnl"/>
        </w:rPr>
        <w:t>Ó</w:t>
      </w:r>
      <w:r>
        <w:rPr>
          <w:spacing w:val="-6"/>
          <w:sz w:val="16"/>
          <w:szCs w:val="16"/>
          <w:lang w:val="es-ES_tradnl"/>
        </w:rPr>
        <w:t>N S.A. a la compa</w:t>
      </w:r>
      <w:r>
        <w:rPr>
          <w:rFonts w:cs="Times New Roman"/>
          <w:spacing w:val="-6"/>
          <w:sz w:val="16"/>
          <w:szCs w:val="16"/>
          <w:lang w:val="es-ES_tradnl"/>
        </w:rPr>
        <w:t>ñí</w:t>
      </w:r>
      <w:r>
        <w:rPr>
          <w:spacing w:val="-6"/>
          <w:sz w:val="16"/>
          <w:szCs w:val="16"/>
          <w:lang w:val="es-ES_tradnl"/>
        </w:rPr>
        <w:t xml:space="preserve">a EMPRISEG </w:t>
      </w:r>
      <w:r>
        <w:rPr>
          <w:spacing w:val="-5"/>
          <w:sz w:val="16"/>
          <w:szCs w:val="16"/>
          <w:lang w:val="es-ES_tradnl"/>
        </w:rPr>
        <w:t>CIA.LTDA., deb</w:t>
      </w:r>
      <w:r>
        <w:rPr>
          <w:rFonts w:cs="Times New Roman"/>
          <w:spacing w:val="-5"/>
          <w:sz w:val="16"/>
          <w:szCs w:val="16"/>
          <w:lang w:val="es-ES_tradnl"/>
        </w:rPr>
        <w:t>í</w:t>
      </w:r>
      <w:r>
        <w:rPr>
          <w:spacing w:val="-5"/>
          <w:sz w:val="16"/>
          <w:szCs w:val="16"/>
          <w:lang w:val="es-ES_tradnl"/>
        </w:rPr>
        <w:t>a ser mediante una resoluci</w:t>
      </w:r>
      <w:r>
        <w:rPr>
          <w:rFonts w:cs="Times New Roman"/>
          <w:spacing w:val="-5"/>
          <w:sz w:val="16"/>
          <w:szCs w:val="16"/>
          <w:lang w:val="es-ES_tradnl"/>
        </w:rPr>
        <w:t>ó</w:t>
      </w:r>
      <w:r>
        <w:rPr>
          <w:spacing w:val="-5"/>
          <w:sz w:val="16"/>
          <w:szCs w:val="16"/>
          <w:lang w:val="es-ES_tradnl"/>
        </w:rPr>
        <w:t xml:space="preserve">n motivada, en </w:t>
      </w:r>
      <w:r>
        <w:rPr>
          <w:spacing w:val="-10"/>
          <w:sz w:val="16"/>
          <w:szCs w:val="16"/>
          <w:lang w:val="es-ES_tradnl"/>
        </w:rPr>
        <w:t>los t</w:t>
      </w:r>
      <w:r>
        <w:rPr>
          <w:rFonts w:cs="Times New Roman"/>
          <w:spacing w:val="-10"/>
          <w:sz w:val="16"/>
          <w:szCs w:val="16"/>
          <w:lang w:val="es-ES_tradnl"/>
        </w:rPr>
        <w:t>é</w:t>
      </w:r>
      <w:r>
        <w:rPr>
          <w:spacing w:val="-10"/>
          <w:sz w:val="16"/>
          <w:szCs w:val="16"/>
          <w:lang w:val="es-ES_tradnl"/>
        </w:rPr>
        <w:t xml:space="preserve">rminos que se refiere el Art. 24 del Reglamento General de </w:t>
      </w:r>
      <w:r>
        <w:rPr>
          <w:spacing w:val="-7"/>
          <w:sz w:val="16"/>
          <w:szCs w:val="16"/>
          <w:lang w:val="es-ES_tradnl"/>
        </w:rPr>
        <w:t>la Ley Org</w:t>
      </w:r>
      <w:r>
        <w:rPr>
          <w:rFonts w:cs="Times New Roman"/>
          <w:spacing w:val="-7"/>
          <w:sz w:val="16"/>
          <w:szCs w:val="16"/>
          <w:lang w:val="es-ES_tradnl"/>
        </w:rPr>
        <w:t>á</w:t>
      </w:r>
      <w:r>
        <w:rPr>
          <w:spacing w:val="-7"/>
          <w:sz w:val="16"/>
          <w:szCs w:val="16"/>
          <w:lang w:val="es-ES_tradnl"/>
        </w:rPr>
        <w:t>nica del Sistema Nacional de Contrataci</w:t>
      </w:r>
      <w:r>
        <w:rPr>
          <w:rFonts w:cs="Times New Roman"/>
          <w:spacing w:val="-7"/>
          <w:sz w:val="16"/>
          <w:szCs w:val="16"/>
          <w:lang w:val="es-ES_tradnl"/>
        </w:rPr>
        <w:t>ó</w:t>
      </w:r>
      <w:r>
        <w:rPr>
          <w:spacing w:val="-7"/>
          <w:sz w:val="16"/>
          <w:szCs w:val="16"/>
          <w:lang w:val="es-ES_tradnl"/>
        </w:rPr>
        <w:t>n P</w:t>
      </w:r>
      <w:r>
        <w:rPr>
          <w:rFonts w:cs="Times New Roman"/>
          <w:spacing w:val="-7"/>
          <w:sz w:val="16"/>
          <w:szCs w:val="16"/>
          <w:lang w:val="es-ES_tradnl"/>
        </w:rPr>
        <w:t>ú</w:t>
      </w:r>
      <w:r>
        <w:rPr>
          <w:spacing w:val="-7"/>
          <w:sz w:val="16"/>
          <w:szCs w:val="16"/>
          <w:lang w:val="es-ES_tradnl"/>
        </w:rPr>
        <w:t xml:space="preserve">blica </w:t>
      </w:r>
      <w:r>
        <w:rPr>
          <w:spacing w:val="-4"/>
          <w:sz w:val="16"/>
          <w:szCs w:val="16"/>
          <w:lang w:val="es-ES_tradnl"/>
        </w:rPr>
        <w:t>lo que no se ha realizado por parte de la m</w:t>
      </w:r>
      <w:r>
        <w:rPr>
          <w:rFonts w:cs="Times New Roman"/>
          <w:spacing w:val="-4"/>
          <w:sz w:val="16"/>
          <w:szCs w:val="16"/>
          <w:lang w:val="es-ES_tradnl"/>
        </w:rPr>
        <w:t>á</w:t>
      </w:r>
      <w:r>
        <w:rPr>
          <w:spacing w:val="-4"/>
          <w:sz w:val="16"/>
          <w:szCs w:val="16"/>
          <w:lang w:val="es-ES_tradnl"/>
        </w:rPr>
        <w:t xml:space="preserve">xima autoridad </w:t>
      </w:r>
      <w:r>
        <w:rPr>
          <w:spacing w:val="-5"/>
          <w:sz w:val="16"/>
          <w:szCs w:val="16"/>
          <w:lang w:val="es-ES_tradnl"/>
        </w:rPr>
        <w:t>de la entidad contratante, incumpliendo as</w:t>
      </w:r>
      <w:r>
        <w:rPr>
          <w:rFonts w:cs="Times New Roman"/>
          <w:spacing w:val="-5"/>
          <w:sz w:val="16"/>
          <w:szCs w:val="16"/>
          <w:lang w:val="es-ES_tradnl"/>
        </w:rPr>
        <w:t>í</w:t>
      </w:r>
      <w:r>
        <w:rPr>
          <w:spacing w:val="-5"/>
          <w:sz w:val="16"/>
          <w:szCs w:val="16"/>
          <w:lang w:val="es-ES_tradnl"/>
        </w:rPr>
        <w:t xml:space="preserve"> con un requisito </w:t>
      </w:r>
      <w:r>
        <w:rPr>
          <w:spacing w:val="-4"/>
          <w:sz w:val="16"/>
          <w:szCs w:val="16"/>
          <w:lang w:val="es-ES_tradnl"/>
        </w:rPr>
        <w:t>b</w:t>
      </w:r>
      <w:r>
        <w:rPr>
          <w:rFonts w:cs="Times New Roman"/>
          <w:spacing w:val="-4"/>
          <w:sz w:val="16"/>
          <w:szCs w:val="16"/>
          <w:lang w:val="es-ES_tradnl"/>
        </w:rPr>
        <w:t>á</w:t>
      </w:r>
      <w:r>
        <w:rPr>
          <w:spacing w:val="-4"/>
          <w:sz w:val="16"/>
          <w:szCs w:val="16"/>
          <w:lang w:val="es-ES_tradnl"/>
        </w:rPr>
        <w:t>sico establecido en la ley para efectos de la contrataci</w:t>
      </w:r>
      <w:r>
        <w:rPr>
          <w:rFonts w:cs="Times New Roman"/>
          <w:spacing w:val="-4"/>
          <w:sz w:val="16"/>
          <w:szCs w:val="16"/>
          <w:lang w:val="es-ES_tradnl"/>
        </w:rPr>
        <w:t>ó</w:t>
      </w:r>
      <w:r>
        <w:rPr>
          <w:spacing w:val="-4"/>
          <w:sz w:val="16"/>
          <w:szCs w:val="16"/>
          <w:lang w:val="es-ES_tradnl"/>
        </w:rPr>
        <w:t xml:space="preserve">n </w:t>
      </w:r>
      <w:r>
        <w:rPr>
          <w:spacing w:val="-5"/>
          <w:sz w:val="16"/>
          <w:szCs w:val="16"/>
          <w:lang w:val="es-ES_tradnl"/>
        </w:rPr>
        <w:t>de la empresa accionante, Adicionalmente, la instituci</w:t>
      </w:r>
      <w:r>
        <w:rPr>
          <w:rFonts w:cs="Times New Roman"/>
          <w:spacing w:val="-5"/>
          <w:sz w:val="16"/>
          <w:szCs w:val="16"/>
          <w:lang w:val="es-ES_tradnl"/>
        </w:rPr>
        <w:t>ó</w:t>
      </w:r>
      <w:r>
        <w:rPr>
          <w:spacing w:val="-5"/>
          <w:sz w:val="16"/>
          <w:szCs w:val="16"/>
          <w:lang w:val="es-ES_tradnl"/>
        </w:rPr>
        <w:t xml:space="preserve">n </w:t>
      </w:r>
      <w:r>
        <w:rPr>
          <w:spacing w:val="-6"/>
          <w:sz w:val="16"/>
          <w:szCs w:val="16"/>
          <w:lang w:val="es-ES_tradnl"/>
        </w:rPr>
        <w:t xml:space="preserve">contratante le ha fijado un plazo para el cumplimiento de los </w:t>
      </w:r>
      <w:r>
        <w:rPr>
          <w:spacing w:val="-3"/>
          <w:sz w:val="16"/>
          <w:szCs w:val="16"/>
          <w:lang w:val="es-ES_tradnl"/>
        </w:rPr>
        <w:t>requisitos previos la celebraci</w:t>
      </w:r>
      <w:r>
        <w:rPr>
          <w:rFonts w:cs="Times New Roman"/>
          <w:spacing w:val="-3"/>
          <w:sz w:val="16"/>
          <w:szCs w:val="16"/>
          <w:lang w:val="es-ES_tradnl"/>
        </w:rPr>
        <w:t>ó</w:t>
      </w:r>
      <w:r>
        <w:rPr>
          <w:spacing w:val="-3"/>
          <w:sz w:val="16"/>
          <w:szCs w:val="16"/>
          <w:lang w:val="es-ES_tradnl"/>
        </w:rPr>
        <w:t xml:space="preserve">n del contrato, contrariando </w:t>
      </w:r>
      <w:r>
        <w:rPr>
          <w:spacing w:val="-5"/>
          <w:sz w:val="16"/>
          <w:szCs w:val="16"/>
          <w:lang w:val="es-ES_tradnl"/>
        </w:rPr>
        <w:t>lo dispuesto en el Art. 69 de la Ley Org</w:t>
      </w:r>
      <w:r>
        <w:rPr>
          <w:rFonts w:cs="Times New Roman"/>
          <w:spacing w:val="-5"/>
          <w:sz w:val="16"/>
          <w:szCs w:val="16"/>
          <w:lang w:val="es-ES_tradnl"/>
        </w:rPr>
        <w:t>á</w:t>
      </w:r>
      <w:r>
        <w:rPr>
          <w:spacing w:val="-5"/>
          <w:sz w:val="16"/>
          <w:szCs w:val="16"/>
          <w:lang w:val="es-ES_tradnl"/>
        </w:rPr>
        <w:t xml:space="preserve">nica del Sistema </w:t>
      </w:r>
      <w:r>
        <w:rPr>
          <w:spacing w:val="-7"/>
          <w:sz w:val="16"/>
          <w:szCs w:val="16"/>
          <w:lang w:val="es-ES_tradnl"/>
        </w:rPr>
        <w:t>Nacional de Contrataci</w:t>
      </w:r>
      <w:r>
        <w:rPr>
          <w:rFonts w:cs="Times New Roman"/>
          <w:spacing w:val="-7"/>
          <w:sz w:val="16"/>
          <w:szCs w:val="16"/>
          <w:lang w:val="es-ES_tradnl"/>
        </w:rPr>
        <w:t>ó</w:t>
      </w:r>
      <w:r>
        <w:rPr>
          <w:spacing w:val="-7"/>
          <w:sz w:val="16"/>
          <w:szCs w:val="16"/>
          <w:lang w:val="es-ES_tradnl"/>
        </w:rPr>
        <w:t>n P</w:t>
      </w:r>
      <w:r>
        <w:rPr>
          <w:rFonts w:cs="Times New Roman"/>
          <w:spacing w:val="-7"/>
          <w:sz w:val="16"/>
          <w:szCs w:val="16"/>
          <w:lang w:val="es-ES_tradnl"/>
        </w:rPr>
        <w:t>ú</w:t>
      </w:r>
      <w:r>
        <w:rPr>
          <w:spacing w:val="-7"/>
          <w:sz w:val="16"/>
          <w:szCs w:val="16"/>
          <w:lang w:val="es-ES_tradnl"/>
        </w:rPr>
        <w:t>blica que se refiere a t</w:t>
      </w:r>
      <w:r>
        <w:rPr>
          <w:rFonts w:cs="Times New Roman"/>
          <w:spacing w:val="-7"/>
          <w:sz w:val="16"/>
          <w:szCs w:val="16"/>
          <w:lang w:val="es-ES_tradnl"/>
        </w:rPr>
        <w:t>é</w:t>
      </w:r>
      <w:r>
        <w:rPr>
          <w:spacing w:val="-7"/>
          <w:sz w:val="16"/>
          <w:szCs w:val="16"/>
          <w:lang w:val="es-ES_tradnl"/>
        </w:rPr>
        <w:t xml:space="preserve">rmino de </w:t>
      </w:r>
      <w:r>
        <w:rPr>
          <w:spacing w:val="-6"/>
          <w:sz w:val="16"/>
          <w:szCs w:val="16"/>
          <w:lang w:val="es-ES_tradnl"/>
        </w:rPr>
        <w:t>15 d</w:t>
      </w:r>
      <w:r>
        <w:rPr>
          <w:rFonts w:cs="Times New Roman"/>
          <w:spacing w:val="-6"/>
          <w:sz w:val="16"/>
          <w:szCs w:val="16"/>
          <w:lang w:val="es-ES_tradnl"/>
        </w:rPr>
        <w:t>í</w:t>
      </w:r>
      <w:r>
        <w:rPr>
          <w:spacing w:val="-6"/>
          <w:sz w:val="16"/>
          <w:szCs w:val="16"/>
          <w:lang w:val="es-ES_tradnl"/>
        </w:rPr>
        <w:t>as, de ah</w:t>
      </w:r>
      <w:r>
        <w:rPr>
          <w:rFonts w:cs="Times New Roman"/>
          <w:spacing w:val="-6"/>
          <w:sz w:val="16"/>
          <w:szCs w:val="16"/>
          <w:lang w:val="es-ES_tradnl"/>
        </w:rPr>
        <w:t>í</w:t>
      </w:r>
      <w:r>
        <w:rPr>
          <w:spacing w:val="-6"/>
          <w:sz w:val="16"/>
          <w:szCs w:val="16"/>
          <w:lang w:val="es-ES_tradnl"/>
        </w:rPr>
        <w:t xml:space="preserve"> que la presentaci</w:t>
      </w:r>
      <w:r>
        <w:rPr>
          <w:rFonts w:cs="Times New Roman"/>
          <w:spacing w:val="-6"/>
          <w:sz w:val="16"/>
          <w:szCs w:val="16"/>
          <w:lang w:val="es-ES_tradnl"/>
        </w:rPr>
        <w:t>ó</w:t>
      </w:r>
      <w:r>
        <w:rPr>
          <w:spacing w:val="-6"/>
          <w:sz w:val="16"/>
          <w:szCs w:val="16"/>
          <w:lang w:val="es-ES_tradnl"/>
        </w:rPr>
        <w:t xml:space="preserve">n del Certificado solicitado </w:t>
      </w:r>
      <w:r>
        <w:rPr>
          <w:spacing w:val="-3"/>
          <w:sz w:val="16"/>
          <w:szCs w:val="16"/>
          <w:lang w:val="es-ES_tradnl"/>
        </w:rPr>
        <w:t>fue dentro del t</w:t>
      </w:r>
      <w:r>
        <w:rPr>
          <w:rFonts w:cs="Times New Roman"/>
          <w:spacing w:val="-3"/>
          <w:sz w:val="16"/>
          <w:szCs w:val="16"/>
          <w:lang w:val="es-ES_tradnl"/>
        </w:rPr>
        <w:t>é</w:t>
      </w:r>
      <w:r>
        <w:rPr>
          <w:spacing w:val="-3"/>
          <w:sz w:val="16"/>
          <w:szCs w:val="16"/>
          <w:lang w:val="es-ES_tradnl"/>
        </w:rPr>
        <w:t>rmino que la norma legal prev</w:t>
      </w:r>
      <w:r>
        <w:rPr>
          <w:rFonts w:cs="Times New Roman"/>
          <w:spacing w:val="-3"/>
          <w:sz w:val="16"/>
          <w:szCs w:val="16"/>
          <w:lang w:val="es-ES_tradnl"/>
        </w:rPr>
        <w:t>é</w:t>
      </w:r>
      <w:r>
        <w:rPr>
          <w:spacing w:val="-3"/>
          <w:sz w:val="16"/>
          <w:szCs w:val="16"/>
          <w:lang w:val="es-ES_tradnl"/>
        </w:rPr>
        <w:t xml:space="preserve">, por lo que </w:t>
      </w:r>
      <w:r>
        <w:rPr>
          <w:spacing w:val="-4"/>
          <w:sz w:val="16"/>
          <w:szCs w:val="16"/>
          <w:lang w:val="es-ES_tradnl"/>
        </w:rPr>
        <w:t xml:space="preserve">al haber dado por fallido al accionante antes del tiempo que </w:t>
      </w:r>
      <w:r>
        <w:rPr>
          <w:spacing w:val="-7"/>
          <w:sz w:val="16"/>
          <w:szCs w:val="16"/>
          <w:lang w:val="es-ES_tradnl"/>
        </w:rPr>
        <w:t>la ley se</w:t>
      </w:r>
      <w:r>
        <w:rPr>
          <w:rFonts w:cs="Times New Roman"/>
          <w:spacing w:val="-7"/>
          <w:sz w:val="16"/>
          <w:szCs w:val="16"/>
          <w:lang w:val="es-ES_tradnl"/>
        </w:rPr>
        <w:t>ñ</w:t>
      </w:r>
      <w:r>
        <w:rPr>
          <w:spacing w:val="-7"/>
          <w:sz w:val="16"/>
          <w:szCs w:val="16"/>
          <w:lang w:val="es-ES_tradnl"/>
        </w:rPr>
        <w:t>ala, significa un atentado a la garant</w:t>
      </w:r>
      <w:r>
        <w:rPr>
          <w:rFonts w:cs="Times New Roman"/>
          <w:spacing w:val="-7"/>
          <w:sz w:val="16"/>
          <w:szCs w:val="16"/>
          <w:lang w:val="es-ES_tradnl"/>
        </w:rPr>
        <w:t>í</w:t>
      </w:r>
      <w:r>
        <w:rPr>
          <w:spacing w:val="-7"/>
          <w:sz w:val="16"/>
          <w:szCs w:val="16"/>
          <w:lang w:val="es-ES_tradnl"/>
        </w:rPr>
        <w:t xml:space="preserve">a fundamental </w:t>
      </w:r>
      <w:r>
        <w:rPr>
          <w:spacing w:val="-5"/>
          <w:sz w:val="16"/>
          <w:szCs w:val="16"/>
          <w:lang w:val="es-ES_tradnl"/>
        </w:rPr>
        <w:t>del debido proceso garantizado en la Constituci</w:t>
      </w:r>
      <w:r>
        <w:rPr>
          <w:rFonts w:cs="Times New Roman"/>
          <w:spacing w:val="-5"/>
          <w:sz w:val="16"/>
          <w:szCs w:val="16"/>
          <w:lang w:val="es-ES_tradnl"/>
        </w:rPr>
        <w:t>ó</w:t>
      </w:r>
      <w:r>
        <w:rPr>
          <w:spacing w:val="-5"/>
          <w:sz w:val="16"/>
          <w:szCs w:val="16"/>
          <w:lang w:val="es-ES_tradnl"/>
        </w:rPr>
        <w:t xml:space="preserve">n de la </w:t>
      </w:r>
      <w:r>
        <w:rPr>
          <w:spacing w:val="-4"/>
          <w:sz w:val="16"/>
          <w:szCs w:val="16"/>
          <w:lang w:val="es-ES_tradnl"/>
        </w:rPr>
        <w:t>Rep</w:t>
      </w:r>
      <w:r>
        <w:rPr>
          <w:rFonts w:cs="Times New Roman"/>
          <w:spacing w:val="-4"/>
          <w:sz w:val="16"/>
          <w:szCs w:val="16"/>
          <w:lang w:val="es-ES_tradnl"/>
        </w:rPr>
        <w:t>ú</w:t>
      </w:r>
      <w:r>
        <w:rPr>
          <w:spacing w:val="-4"/>
          <w:sz w:val="16"/>
          <w:szCs w:val="16"/>
          <w:lang w:val="es-ES_tradnl"/>
        </w:rPr>
        <w:t xml:space="preserve">blica, por lo cual el acto administrativo impugnado lo </w:t>
      </w:r>
      <w:r>
        <w:rPr>
          <w:spacing w:val="-6"/>
          <w:sz w:val="16"/>
          <w:szCs w:val="16"/>
          <w:lang w:val="es-ES_tradnl"/>
        </w:rPr>
        <w:t xml:space="preserve">torna en inaplicable, pues constituye un atentado al derecho </w:t>
      </w:r>
      <w:r>
        <w:rPr>
          <w:spacing w:val="-5"/>
          <w:sz w:val="16"/>
          <w:szCs w:val="16"/>
          <w:lang w:val="es-ES_tradnl"/>
        </w:rPr>
        <w:t>constitucional a la seguridad jur</w:t>
      </w:r>
      <w:r>
        <w:rPr>
          <w:rFonts w:cs="Times New Roman"/>
          <w:spacing w:val="-5"/>
          <w:sz w:val="16"/>
          <w:szCs w:val="16"/>
          <w:lang w:val="es-ES_tradnl"/>
        </w:rPr>
        <w:t>í</w:t>
      </w:r>
      <w:r>
        <w:rPr>
          <w:spacing w:val="-5"/>
          <w:sz w:val="16"/>
          <w:szCs w:val="16"/>
          <w:lang w:val="es-ES_tradnl"/>
        </w:rPr>
        <w:t xml:space="preserve">dica, ya que la autoridad de </w:t>
      </w:r>
      <w:r>
        <w:rPr>
          <w:spacing w:val="-2"/>
          <w:sz w:val="16"/>
          <w:szCs w:val="16"/>
          <w:lang w:val="es-ES_tradnl"/>
        </w:rPr>
        <w:t>HIDRONACI</w:t>
      </w:r>
      <w:r>
        <w:rPr>
          <w:rFonts w:cs="Times New Roman"/>
          <w:spacing w:val="-2"/>
          <w:sz w:val="16"/>
          <w:szCs w:val="16"/>
          <w:lang w:val="es-ES_tradnl"/>
        </w:rPr>
        <w:t>Ó</w:t>
      </w:r>
      <w:r>
        <w:rPr>
          <w:spacing w:val="-2"/>
          <w:sz w:val="16"/>
          <w:szCs w:val="16"/>
          <w:lang w:val="es-ES_tradnl"/>
        </w:rPr>
        <w:t>N S.A. con su acto administrativo, irrespet</w:t>
      </w:r>
      <w:r>
        <w:rPr>
          <w:rFonts w:cs="Times New Roman"/>
          <w:spacing w:val="-2"/>
          <w:sz w:val="16"/>
          <w:szCs w:val="16"/>
          <w:lang w:val="es-ES_tradnl"/>
        </w:rPr>
        <w:t xml:space="preserve">ó </w:t>
      </w:r>
      <w:r>
        <w:rPr>
          <w:spacing w:val="-5"/>
          <w:sz w:val="16"/>
          <w:szCs w:val="16"/>
          <w:lang w:val="es-ES_tradnl"/>
        </w:rPr>
        <w:t>la ley, generando un grave da</w:t>
      </w:r>
      <w:r>
        <w:rPr>
          <w:rFonts w:cs="Times New Roman"/>
          <w:spacing w:val="-5"/>
          <w:sz w:val="16"/>
          <w:szCs w:val="16"/>
          <w:lang w:val="es-ES_tradnl"/>
        </w:rPr>
        <w:t>ñ</w:t>
      </w:r>
      <w:r>
        <w:rPr>
          <w:spacing w:val="-5"/>
          <w:sz w:val="16"/>
          <w:szCs w:val="16"/>
          <w:lang w:val="es-ES_tradnl"/>
        </w:rPr>
        <w:t xml:space="preserve">o y atentado al derecho al </w:t>
      </w:r>
      <w:r>
        <w:rPr>
          <w:spacing w:val="-7"/>
          <w:sz w:val="16"/>
          <w:szCs w:val="16"/>
          <w:lang w:val="es-ES_tradnl"/>
        </w:rPr>
        <w:t>trabajo, y con dicha actitud est</w:t>
      </w:r>
      <w:r>
        <w:rPr>
          <w:rFonts w:cs="Times New Roman"/>
          <w:spacing w:val="-7"/>
          <w:sz w:val="16"/>
          <w:szCs w:val="16"/>
          <w:lang w:val="es-ES_tradnl"/>
        </w:rPr>
        <w:t>á</w:t>
      </w:r>
      <w:r>
        <w:rPr>
          <w:spacing w:val="-7"/>
          <w:sz w:val="16"/>
          <w:szCs w:val="16"/>
          <w:lang w:val="es-ES_tradnl"/>
        </w:rPr>
        <w:t xml:space="preserve"> colocando en la desocupaci</w:t>
      </w:r>
      <w:r>
        <w:rPr>
          <w:rFonts w:cs="Times New Roman"/>
          <w:spacing w:val="-7"/>
          <w:sz w:val="16"/>
          <w:szCs w:val="16"/>
          <w:lang w:val="es-ES_tradnl"/>
        </w:rPr>
        <w:t>ó</w:t>
      </w:r>
      <w:r>
        <w:rPr>
          <w:spacing w:val="-7"/>
          <w:sz w:val="16"/>
          <w:szCs w:val="16"/>
          <w:lang w:val="es-ES_tradnl"/>
        </w:rPr>
        <w:t xml:space="preserve">n a todos los trabajadores que dependen del accionante, por lo </w:t>
      </w:r>
      <w:r>
        <w:rPr>
          <w:spacing w:val="-4"/>
          <w:sz w:val="16"/>
          <w:szCs w:val="16"/>
          <w:lang w:val="es-ES_tradnl"/>
        </w:rPr>
        <w:t>cual se han violado las normas constitucionales se</w:t>
      </w:r>
      <w:r>
        <w:rPr>
          <w:rFonts w:cs="Times New Roman"/>
          <w:spacing w:val="-4"/>
          <w:sz w:val="16"/>
          <w:szCs w:val="16"/>
          <w:lang w:val="es-ES_tradnl"/>
        </w:rPr>
        <w:t>ñ</w:t>
      </w:r>
      <w:r>
        <w:rPr>
          <w:spacing w:val="-4"/>
          <w:sz w:val="16"/>
          <w:szCs w:val="16"/>
          <w:lang w:val="es-ES_tradnl"/>
        </w:rPr>
        <w:t xml:space="preserve">aladas </w:t>
      </w:r>
      <w:r>
        <w:rPr>
          <w:spacing w:val="-3"/>
          <w:sz w:val="16"/>
          <w:szCs w:val="16"/>
          <w:lang w:val="es-ES_tradnl"/>
        </w:rPr>
        <w:t xml:space="preserve">en los Arts. 11 numerales 2, 3, 4, 5, 7, 9; Art. 66 numerales </w:t>
      </w:r>
      <w:r>
        <w:rPr>
          <w:spacing w:val="-2"/>
          <w:sz w:val="16"/>
          <w:szCs w:val="16"/>
          <w:lang w:val="es-ES_tradnl"/>
        </w:rPr>
        <w:t xml:space="preserve">4 y 17, Arts. 75 y 76 numerales 1 y 7 letras a), b), c), h) e </w:t>
      </w:r>
      <w:r>
        <w:rPr>
          <w:spacing w:val="-4"/>
          <w:sz w:val="16"/>
          <w:szCs w:val="16"/>
          <w:lang w:val="es-ES_tradnl"/>
        </w:rPr>
        <w:t xml:space="preserve">i); Arts. 82 y 84 de la Carta Magna y atentado a principios </w:t>
      </w:r>
      <w:r>
        <w:rPr>
          <w:spacing w:val="-6"/>
          <w:sz w:val="16"/>
          <w:szCs w:val="16"/>
          <w:lang w:val="es-ES_tradnl"/>
        </w:rPr>
        <w:t xml:space="preserve">fundamentales garantizados en el Art. 33 No. 2, el Art. 66 y la </w:t>
      </w:r>
      <w:r>
        <w:rPr>
          <w:rFonts w:cs="Times New Roman"/>
          <w:spacing w:val="-6"/>
          <w:sz w:val="16"/>
          <w:szCs w:val="16"/>
          <w:lang w:val="es-ES_tradnl"/>
        </w:rPr>
        <w:t>ú</w:t>
      </w:r>
      <w:r>
        <w:rPr>
          <w:spacing w:val="-6"/>
          <w:sz w:val="16"/>
          <w:szCs w:val="16"/>
          <w:lang w:val="es-ES_tradnl"/>
        </w:rPr>
        <w:t>ltima parte del inciso primero del Art. 328 de la Constituci</w:t>
      </w:r>
      <w:r>
        <w:rPr>
          <w:rFonts w:cs="Times New Roman"/>
          <w:spacing w:val="-6"/>
          <w:sz w:val="16"/>
          <w:szCs w:val="16"/>
          <w:lang w:val="es-ES_tradnl"/>
        </w:rPr>
        <w:t>ó</w:t>
      </w:r>
      <w:r>
        <w:rPr>
          <w:spacing w:val="-6"/>
          <w:sz w:val="16"/>
          <w:szCs w:val="16"/>
          <w:lang w:val="es-ES_tradnl"/>
        </w:rPr>
        <w:t xml:space="preserve">n </w:t>
      </w:r>
      <w:r>
        <w:rPr>
          <w:spacing w:val="-7"/>
          <w:sz w:val="16"/>
          <w:szCs w:val="16"/>
          <w:lang w:val="es-ES_tradnl"/>
        </w:rPr>
        <w:t>de la Rep</w:t>
      </w:r>
      <w:r>
        <w:rPr>
          <w:rFonts w:cs="Times New Roman"/>
          <w:spacing w:val="-7"/>
          <w:sz w:val="16"/>
          <w:szCs w:val="16"/>
          <w:lang w:val="es-ES_tradnl"/>
        </w:rPr>
        <w:t>ú</w:t>
      </w:r>
      <w:r>
        <w:rPr>
          <w:spacing w:val="-7"/>
          <w:sz w:val="16"/>
          <w:szCs w:val="16"/>
          <w:lang w:val="es-ES_tradnl"/>
        </w:rPr>
        <w:t>blica. F) En virtud de lo expuesto, la Sala considera que la reclamaci</w:t>
      </w:r>
      <w:r>
        <w:rPr>
          <w:rFonts w:cs="Times New Roman"/>
          <w:spacing w:val="-7"/>
          <w:sz w:val="16"/>
          <w:szCs w:val="16"/>
          <w:lang w:val="es-ES_tradnl"/>
        </w:rPr>
        <w:t>ó</w:t>
      </w:r>
      <w:r>
        <w:rPr>
          <w:spacing w:val="-7"/>
          <w:sz w:val="16"/>
          <w:szCs w:val="16"/>
          <w:lang w:val="es-ES_tradnl"/>
        </w:rPr>
        <w:t xml:space="preserve">n que formula el proponente de la presente </w:t>
      </w:r>
      <w:r>
        <w:rPr>
          <w:spacing w:val="-3"/>
          <w:sz w:val="16"/>
          <w:szCs w:val="16"/>
          <w:lang w:val="es-ES_tradnl"/>
        </w:rPr>
        <w:t>acci</w:t>
      </w:r>
      <w:r>
        <w:rPr>
          <w:rFonts w:cs="Times New Roman"/>
          <w:spacing w:val="-3"/>
          <w:sz w:val="16"/>
          <w:szCs w:val="16"/>
          <w:lang w:val="es-ES_tradnl"/>
        </w:rPr>
        <w:t>ó</w:t>
      </w:r>
      <w:r>
        <w:rPr>
          <w:spacing w:val="-3"/>
          <w:sz w:val="16"/>
          <w:szCs w:val="16"/>
          <w:lang w:val="es-ES_tradnl"/>
        </w:rPr>
        <w:t xml:space="preserve">n constitucional, al tenor de lo normado en el numeral </w:t>
      </w:r>
      <w:r>
        <w:rPr>
          <w:spacing w:val="-6"/>
          <w:sz w:val="16"/>
          <w:szCs w:val="16"/>
          <w:lang w:val="es-ES_tradnl"/>
        </w:rPr>
        <w:t>1 de la Ley Org</w:t>
      </w:r>
      <w:r>
        <w:rPr>
          <w:rFonts w:cs="Times New Roman"/>
          <w:spacing w:val="-6"/>
          <w:sz w:val="16"/>
          <w:szCs w:val="16"/>
          <w:lang w:val="es-ES_tradnl"/>
        </w:rPr>
        <w:t>á</w:t>
      </w:r>
      <w:r>
        <w:rPr>
          <w:spacing w:val="-6"/>
          <w:sz w:val="16"/>
          <w:szCs w:val="16"/>
          <w:lang w:val="es-ES_tradnl"/>
        </w:rPr>
        <w:t>nica de Garant</w:t>
      </w:r>
      <w:r>
        <w:rPr>
          <w:rFonts w:cs="Times New Roman"/>
          <w:spacing w:val="-6"/>
          <w:sz w:val="16"/>
          <w:szCs w:val="16"/>
          <w:lang w:val="es-ES_tradnl"/>
        </w:rPr>
        <w:t>í</w:t>
      </w:r>
      <w:r>
        <w:rPr>
          <w:spacing w:val="-6"/>
          <w:sz w:val="16"/>
          <w:szCs w:val="16"/>
          <w:lang w:val="es-ES_tradnl"/>
        </w:rPr>
        <w:t xml:space="preserve">as Jurisdiccionales y Control </w:t>
      </w:r>
      <w:r>
        <w:rPr>
          <w:spacing w:val="-7"/>
          <w:sz w:val="16"/>
          <w:szCs w:val="16"/>
          <w:lang w:val="es-ES_tradnl"/>
        </w:rPr>
        <w:t>Constitucional, se refiere a un hecho que constituye violaci</w:t>
      </w:r>
      <w:r>
        <w:rPr>
          <w:rFonts w:cs="Times New Roman"/>
          <w:spacing w:val="-7"/>
          <w:sz w:val="16"/>
          <w:szCs w:val="16"/>
          <w:lang w:val="es-ES_tradnl"/>
        </w:rPr>
        <w:t>ó</w:t>
      </w:r>
      <w:r>
        <w:rPr>
          <w:spacing w:val="-7"/>
          <w:sz w:val="16"/>
          <w:szCs w:val="16"/>
          <w:lang w:val="es-ES_tradnl"/>
        </w:rPr>
        <w:t xml:space="preserve">n </w:t>
      </w:r>
      <w:r>
        <w:rPr>
          <w:spacing w:val="-9"/>
          <w:sz w:val="16"/>
          <w:szCs w:val="16"/>
          <w:lang w:val="es-ES_tradnl"/>
        </w:rPr>
        <w:t>de garant</w:t>
      </w:r>
      <w:r>
        <w:rPr>
          <w:rFonts w:cs="Times New Roman"/>
          <w:spacing w:val="-9"/>
          <w:sz w:val="16"/>
          <w:szCs w:val="16"/>
          <w:lang w:val="es-ES_tradnl"/>
        </w:rPr>
        <w:t>í</w:t>
      </w:r>
      <w:r>
        <w:rPr>
          <w:spacing w:val="-9"/>
          <w:sz w:val="16"/>
          <w:szCs w:val="16"/>
          <w:lang w:val="es-ES_tradnl"/>
        </w:rPr>
        <w:t xml:space="preserve">as constitucionales fundamentales como es el debido </w:t>
      </w:r>
      <w:r>
        <w:rPr>
          <w:spacing w:val="-5"/>
          <w:sz w:val="16"/>
          <w:szCs w:val="16"/>
          <w:lang w:val="es-ES_tradnl"/>
        </w:rPr>
        <w:t>proceso y la seguridad jur</w:t>
      </w:r>
      <w:r>
        <w:rPr>
          <w:rFonts w:cs="Times New Roman"/>
          <w:spacing w:val="-5"/>
          <w:sz w:val="16"/>
          <w:szCs w:val="16"/>
          <w:lang w:val="es-ES_tradnl"/>
        </w:rPr>
        <w:t>í</w:t>
      </w:r>
      <w:r>
        <w:rPr>
          <w:spacing w:val="-5"/>
          <w:sz w:val="16"/>
          <w:szCs w:val="16"/>
          <w:lang w:val="es-ES_tradnl"/>
        </w:rPr>
        <w:t xml:space="preserve">dica.- Por estas consideraciones </w:t>
      </w:r>
      <w:r>
        <w:rPr>
          <w:spacing w:val="-2"/>
          <w:sz w:val="16"/>
          <w:szCs w:val="16"/>
          <w:lang w:val="es-ES_tradnl"/>
        </w:rPr>
        <w:t>esta Primera Sala de lo Laboral, Ni</w:t>
      </w:r>
      <w:r>
        <w:rPr>
          <w:rFonts w:cs="Times New Roman"/>
          <w:spacing w:val="-2"/>
          <w:sz w:val="16"/>
          <w:szCs w:val="16"/>
          <w:lang w:val="es-ES_tradnl"/>
        </w:rPr>
        <w:t>ñ</w:t>
      </w:r>
      <w:r>
        <w:rPr>
          <w:spacing w:val="-2"/>
          <w:sz w:val="16"/>
          <w:szCs w:val="16"/>
          <w:lang w:val="es-ES_tradnl"/>
        </w:rPr>
        <w:t xml:space="preserve">ez y Adolescencia de </w:t>
      </w:r>
      <w:r>
        <w:rPr>
          <w:spacing w:val="-5"/>
          <w:sz w:val="16"/>
          <w:szCs w:val="16"/>
          <w:lang w:val="es-ES_tradnl"/>
        </w:rPr>
        <w:t>la Corte Provincial de Justicia del Guayas, en su calidad de Juez de Garant</w:t>
      </w:r>
      <w:r>
        <w:rPr>
          <w:rFonts w:cs="Times New Roman"/>
          <w:spacing w:val="-5"/>
          <w:sz w:val="16"/>
          <w:szCs w:val="16"/>
          <w:lang w:val="es-ES_tradnl"/>
        </w:rPr>
        <w:t>í</w:t>
      </w:r>
      <w:r>
        <w:rPr>
          <w:spacing w:val="-5"/>
          <w:sz w:val="16"/>
          <w:szCs w:val="16"/>
          <w:lang w:val="es-ES_tradnl"/>
        </w:rPr>
        <w:t xml:space="preserve">as Constitucionales, ADMINISTRANDO </w:t>
      </w:r>
      <w:r>
        <w:rPr>
          <w:spacing w:val="-3"/>
          <w:sz w:val="16"/>
          <w:szCs w:val="16"/>
          <w:lang w:val="es-ES_tradnl"/>
        </w:rPr>
        <w:t xml:space="preserve">JUSTICIA, EN NOMBRE DEL PUEBLO SOBERANO DEL </w:t>
      </w:r>
      <w:r>
        <w:rPr>
          <w:spacing w:val="-4"/>
          <w:sz w:val="16"/>
          <w:szCs w:val="16"/>
          <w:lang w:val="es-ES_tradnl"/>
        </w:rPr>
        <w:t>ECUADOR, Y POR AUTORIDAD DE LA CONSTITUCI</w:t>
      </w:r>
      <w:r>
        <w:rPr>
          <w:rFonts w:cs="Times New Roman"/>
          <w:spacing w:val="-4"/>
          <w:sz w:val="16"/>
          <w:szCs w:val="16"/>
          <w:lang w:val="es-ES_tradnl"/>
        </w:rPr>
        <w:t>Ó</w:t>
      </w:r>
      <w:r>
        <w:rPr>
          <w:spacing w:val="-4"/>
          <w:sz w:val="16"/>
          <w:szCs w:val="16"/>
          <w:lang w:val="es-ES_tradnl"/>
        </w:rPr>
        <w:t>N Y LAS LEYES DE LA REP</w:t>
      </w:r>
      <w:r>
        <w:rPr>
          <w:rFonts w:cs="Times New Roman"/>
          <w:spacing w:val="-4"/>
          <w:sz w:val="16"/>
          <w:szCs w:val="16"/>
          <w:lang w:val="es-ES_tradnl"/>
        </w:rPr>
        <w:t>Ú</w:t>
      </w:r>
      <w:r>
        <w:rPr>
          <w:spacing w:val="-4"/>
          <w:sz w:val="16"/>
          <w:szCs w:val="16"/>
          <w:lang w:val="es-ES_tradnl"/>
        </w:rPr>
        <w:t xml:space="preserve">BLICA, REVOCA, la sentencia </w:t>
      </w:r>
      <w:r>
        <w:rPr>
          <w:spacing w:val="-7"/>
          <w:sz w:val="16"/>
          <w:szCs w:val="16"/>
          <w:lang w:val="es-ES_tradnl"/>
        </w:rPr>
        <w:t>subida en apelaci</w:t>
      </w:r>
      <w:r>
        <w:rPr>
          <w:rFonts w:cs="Times New Roman"/>
          <w:spacing w:val="-7"/>
          <w:sz w:val="16"/>
          <w:szCs w:val="16"/>
          <w:lang w:val="es-ES_tradnl"/>
        </w:rPr>
        <w:t>ó</w:t>
      </w:r>
      <w:r>
        <w:rPr>
          <w:spacing w:val="-7"/>
          <w:sz w:val="16"/>
          <w:szCs w:val="16"/>
          <w:lang w:val="es-ES_tradnl"/>
        </w:rPr>
        <w:t xml:space="preserve">n y tutelando los derechos constitucionales </w:t>
      </w:r>
      <w:r>
        <w:rPr>
          <w:spacing w:val="-6"/>
          <w:sz w:val="16"/>
          <w:szCs w:val="16"/>
          <w:lang w:val="es-ES_tradnl"/>
        </w:rPr>
        <w:t>de la accionante, declara con lugar la Acci</w:t>
      </w:r>
      <w:r>
        <w:rPr>
          <w:rFonts w:cs="Times New Roman"/>
          <w:spacing w:val="-6"/>
          <w:sz w:val="16"/>
          <w:szCs w:val="16"/>
          <w:lang w:val="es-ES_tradnl"/>
        </w:rPr>
        <w:t>ó</w:t>
      </w:r>
      <w:r>
        <w:rPr>
          <w:spacing w:val="-6"/>
          <w:sz w:val="16"/>
          <w:szCs w:val="16"/>
          <w:lang w:val="es-ES_tradnl"/>
        </w:rPr>
        <w:t>n de Protecci</w:t>
      </w:r>
      <w:r>
        <w:rPr>
          <w:rFonts w:cs="Times New Roman"/>
          <w:spacing w:val="-6"/>
          <w:sz w:val="16"/>
          <w:szCs w:val="16"/>
          <w:lang w:val="es-ES_tradnl"/>
        </w:rPr>
        <w:t>ó</w:t>
      </w:r>
      <w:r>
        <w:rPr>
          <w:spacing w:val="-6"/>
          <w:sz w:val="16"/>
          <w:szCs w:val="16"/>
          <w:lang w:val="es-ES_tradnl"/>
        </w:rPr>
        <w:t xml:space="preserve">n </w:t>
      </w:r>
      <w:r>
        <w:rPr>
          <w:spacing w:val="-2"/>
          <w:sz w:val="16"/>
          <w:szCs w:val="16"/>
          <w:lang w:val="es-ES_tradnl"/>
        </w:rPr>
        <w:t xml:space="preserve">propuesta por EMPRISEG CIA. LTDA; deja insubsistente </w:t>
      </w:r>
      <w:r>
        <w:rPr>
          <w:spacing w:val="-3"/>
          <w:sz w:val="16"/>
          <w:szCs w:val="16"/>
          <w:lang w:val="es-ES_tradnl"/>
        </w:rPr>
        <w:t>la Resoluci</w:t>
      </w:r>
      <w:r>
        <w:rPr>
          <w:rFonts w:cs="Times New Roman"/>
          <w:spacing w:val="-3"/>
          <w:sz w:val="16"/>
          <w:szCs w:val="16"/>
          <w:lang w:val="es-ES_tradnl"/>
        </w:rPr>
        <w:t>ó</w:t>
      </w:r>
      <w:r>
        <w:rPr>
          <w:spacing w:val="-3"/>
          <w:sz w:val="16"/>
          <w:szCs w:val="16"/>
          <w:lang w:val="es-ES_tradnl"/>
        </w:rPr>
        <w:t>n de HIDRONACI</w:t>
      </w:r>
      <w:r>
        <w:rPr>
          <w:rFonts w:cs="Times New Roman"/>
          <w:spacing w:val="-3"/>
          <w:sz w:val="16"/>
          <w:szCs w:val="16"/>
          <w:lang w:val="es-ES_tradnl"/>
        </w:rPr>
        <w:t>Ó</w:t>
      </w:r>
      <w:r>
        <w:rPr>
          <w:spacing w:val="-3"/>
          <w:sz w:val="16"/>
          <w:szCs w:val="16"/>
          <w:lang w:val="es-ES_tradnl"/>
        </w:rPr>
        <w:t xml:space="preserve">N S.A. dictada el 20 de </w:t>
      </w:r>
      <w:r>
        <w:rPr>
          <w:spacing w:val="-5"/>
          <w:sz w:val="16"/>
          <w:szCs w:val="16"/>
          <w:lang w:val="es-ES_tradnl"/>
        </w:rPr>
        <w:t xml:space="preserve">noviembre dl 2009 en que se declara a EMPRISEG CIA. </w:t>
      </w:r>
      <w:r>
        <w:rPr>
          <w:spacing w:val="-4"/>
          <w:sz w:val="16"/>
          <w:szCs w:val="16"/>
          <w:lang w:val="es-ES_tradnl"/>
        </w:rPr>
        <w:t>LTDA., como adjudicatario fallido y se levanta la prohibici</w:t>
      </w:r>
      <w:r>
        <w:rPr>
          <w:rFonts w:cs="Times New Roman"/>
          <w:spacing w:val="-4"/>
          <w:sz w:val="16"/>
          <w:szCs w:val="16"/>
          <w:lang w:val="es-ES_tradnl"/>
        </w:rPr>
        <w:t>ó</w:t>
      </w:r>
      <w:r>
        <w:rPr>
          <w:spacing w:val="-4"/>
          <w:sz w:val="16"/>
          <w:szCs w:val="16"/>
          <w:lang w:val="es-ES_tradnl"/>
        </w:rPr>
        <w:t xml:space="preserve">n </w:t>
      </w:r>
      <w:r>
        <w:rPr>
          <w:spacing w:val="-3"/>
          <w:sz w:val="16"/>
          <w:szCs w:val="16"/>
          <w:lang w:val="es-ES_tradnl"/>
        </w:rPr>
        <w:t>para que EMPRISEG CIA. LTDA., contin</w:t>
      </w:r>
      <w:r>
        <w:rPr>
          <w:rFonts w:cs="Times New Roman"/>
          <w:spacing w:val="-3"/>
          <w:sz w:val="16"/>
          <w:szCs w:val="16"/>
          <w:lang w:val="es-ES_tradnl"/>
        </w:rPr>
        <w:t>ú</w:t>
      </w:r>
      <w:r>
        <w:rPr>
          <w:spacing w:val="-3"/>
          <w:sz w:val="16"/>
          <w:szCs w:val="16"/>
          <w:lang w:val="es-ES_tradnl"/>
        </w:rPr>
        <w:t xml:space="preserve">e en el Registro </w:t>
      </w:r>
      <w:r>
        <w:rPr>
          <w:rFonts w:cs="Times New Roman"/>
          <w:spacing w:val="-7"/>
          <w:sz w:val="16"/>
          <w:szCs w:val="16"/>
          <w:lang w:val="es-ES_tradnl"/>
        </w:rPr>
        <w:t>ú</w:t>
      </w:r>
      <w:r>
        <w:rPr>
          <w:spacing w:val="-7"/>
          <w:sz w:val="16"/>
          <w:szCs w:val="16"/>
          <w:lang w:val="es-ES_tradnl"/>
        </w:rPr>
        <w:t>nico de Proveedores RUP.- Publ</w:t>
      </w:r>
      <w:r>
        <w:rPr>
          <w:rFonts w:cs="Times New Roman"/>
          <w:spacing w:val="-7"/>
          <w:sz w:val="16"/>
          <w:szCs w:val="16"/>
          <w:lang w:val="es-ES_tradnl"/>
        </w:rPr>
        <w:t>í</w:t>
      </w:r>
      <w:r>
        <w:rPr>
          <w:spacing w:val="-7"/>
          <w:sz w:val="16"/>
          <w:szCs w:val="16"/>
          <w:lang w:val="es-ES_tradnl"/>
        </w:rPr>
        <w:t>quese.- Notif</w:t>
      </w:r>
      <w:r>
        <w:rPr>
          <w:rFonts w:cs="Times New Roman"/>
          <w:spacing w:val="-7"/>
          <w:sz w:val="16"/>
          <w:szCs w:val="16"/>
          <w:lang w:val="es-ES_tradnl"/>
        </w:rPr>
        <w:t>í</w:t>
      </w:r>
      <w:r>
        <w:rPr>
          <w:spacing w:val="-7"/>
          <w:sz w:val="16"/>
          <w:szCs w:val="16"/>
          <w:lang w:val="es-ES_tradnl"/>
        </w:rPr>
        <w:t>quese.-</w:t>
      </w:r>
    </w:p>
    <w:p w14:paraId="4F67B7C2" w14:textId="77777777" w:rsidR="00591D54" w:rsidRDefault="00591D54">
      <w:pPr>
        <w:shd w:val="clear" w:color="auto" w:fill="FFFFFF"/>
        <w:spacing w:before="197" w:line="216" w:lineRule="exact"/>
        <w:ind w:left="686" w:right="326" w:hanging="355"/>
      </w:pPr>
      <w:r>
        <w:rPr>
          <w:b/>
          <w:bCs/>
          <w:spacing w:val="-1"/>
          <w:sz w:val="18"/>
          <w:szCs w:val="18"/>
          <w:lang w:val="es-ES_tradnl"/>
        </w:rPr>
        <w:t xml:space="preserve">II. CONSIDERACIONES Y FUNDAMENTOS </w:t>
      </w:r>
      <w:r>
        <w:rPr>
          <w:b/>
          <w:bCs/>
          <w:sz w:val="18"/>
          <w:szCs w:val="18"/>
          <w:lang w:val="es-ES_tradnl"/>
        </w:rPr>
        <w:t>DE LA CORTE CONSTITUCIONAL</w:t>
      </w:r>
    </w:p>
    <w:p w14:paraId="4F67B7C3" w14:textId="77777777" w:rsidR="00591D54" w:rsidRDefault="00591D54">
      <w:pPr>
        <w:shd w:val="clear" w:color="auto" w:fill="FFFFFF"/>
        <w:spacing w:before="192"/>
      </w:pPr>
      <w:r>
        <w:rPr>
          <w:b/>
          <w:bCs/>
          <w:spacing w:val="-11"/>
          <w:sz w:val="18"/>
          <w:szCs w:val="18"/>
          <w:lang w:val="es-ES_tradnl"/>
        </w:rPr>
        <w:t>Competencia</w:t>
      </w:r>
    </w:p>
    <w:p w14:paraId="4F67B7C4" w14:textId="77777777" w:rsidR="00591D54" w:rsidRDefault="00591D54">
      <w:pPr>
        <w:shd w:val="clear" w:color="auto" w:fill="FFFFFF"/>
        <w:spacing w:before="192" w:line="216" w:lineRule="exact"/>
      </w:pPr>
      <w:r>
        <w:rPr>
          <w:spacing w:val="-2"/>
          <w:sz w:val="18"/>
          <w:szCs w:val="18"/>
          <w:lang w:val="es-ES_tradnl"/>
        </w:rPr>
        <w:t xml:space="preserve">La Corte Constitucional es competente para conocer y </w:t>
      </w:r>
      <w:r>
        <w:rPr>
          <w:spacing w:val="-6"/>
          <w:sz w:val="18"/>
          <w:szCs w:val="18"/>
          <w:lang w:val="es-ES_tradnl"/>
        </w:rPr>
        <w:t>resolver  las  acciones  extraordinarias  de  protecci</w:t>
      </w:r>
      <w:r>
        <w:rPr>
          <w:rFonts w:cs="Times New Roman"/>
          <w:spacing w:val="-6"/>
          <w:sz w:val="18"/>
          <w:szCs w:val="18"/>
          <w:lang w:val="es-ES_tradnl"/>
        </w:rPr>
        <w:t>ó</w:t>
      </w:r>
      <w:r>
        <w:rPr>
          <w:spacing w:val="-6"/>
          <w:sz w:val="18"/>
          <w:szCs w:val="18"/>
          <w:lang w:val="es-ES_tradnl"/>
        </w:rPr>
        <w:t>n  en</w:t>
      </w:r>
    </w:p>
    <w:p w14:paraId="4F67B7C5" w14:textId="77777777" w:rsidR="00591D54" w:rsidRDefault="00591D54">
      <w:pPr>
        <w:shd w:val="clear" w:color="auto" w:fill="FFFFFF"/>
        <w:spacing w:before="192" w:line="216" w:lineRule="exact"/>
        <w:sectPr w:rsidR="00591D54">
          <w:type w:val="continuous"/>
          <w:pgSz w:w="11909" w:h="16834"/>
          <w:pgMar w:top="1366" w:right="1304" w:bottom="360" w:left="1308" w:header="720" w:footer="720" w:gutter="0"/>
          <w:cols w:num="2" w:space="720" w:equalWidth="0">
            <w:col w:w="4305" w:space="682"/>
            <w:col w:w="4310"/>
          </w:cols>
          <w:noEndnote/>
        </w:sectPr>
      </w:pPr>
    </w:p>
    <w:p w14:paraId="4F67B7C6"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- 247</w:t>
      </w:r>
    </w:p>
    <w:p w14:paraId="4F67B7C7" w14:textId="77777777" w:rsidR="00591D54" w:rsidRDefault="00591D54">
      <w:pPr>
        <w:shd w:val="clear" w:color="auto" w:fill="FFFFFF"/>
        <w:tabs>
          <w:tab w:val="left" w:pos="5842"/>
        </w:tabs>
        <w:spacing w:after="235"/>
        <w:ind w:left="5"/>
        <w:sectPr w:rsidR="00591D54">
          <w:pgSz w:w="11909" w:h="16834"/>
          <w:pgMar w:top="1356" w:right="1309" w:bottom="360" w:left="1308" w:header="720" w:footer="720" w:gutter="0"/>
          <w:cols w:space="60"/>
          <w:noEndnote/>
        </w:sectPr>
      </w:pPr>
    </w:p>
    <w:p w14:paraId="4F67B7C8" w14:textId="77777777" w:rsidR="00591D54" w:rsidRDefault="00591D54">
      <w:pPr>
        <w:shd w:val="clear" w:color="auto" w:fill="FFFFFF"/>
        <w:spacing w:line="216" w:lineRule="exact"/>
        <w:jc w:val="both"/>
      </w:pPr>
      <w:r>
        <w:rPr>
          <w:spacing w:val="-7"/>
          <w:sz w:val="18"/>
          <w:szCs w:val="18"/>
          <w:lang w:val="es-ES_tradnl"/>
        </w:rPr>
        <w:t xml:space="preserve">contra de sentencias, autos definitivos y resoluciones con fuerza de sentencia, de conformidad con lo previsto en los </w:t>
      </w:r>
      <w:r>
        <w:rPr>
          <w:spacing w:val="-5"/>
          <w:sz w:val="18"/>
          <w:szCs w:val="18"/>
          <w:lang w:val="es-ES_tradnl"/>
        </w:rPr>
        <w:t>art</w:t>
      </w:r>
      <w:r>
        <w:rPr>
          <w:rFonts w:cs="Times New Roman"/>
          <w:spacing w:val="-5"/>
          <w:sz w:val="18"/>
          <w:szCs w:val="18"/>
          <w:lang w:val="es-ES_tradnl"/>
        </w:rPr>
        <w:t>í</w:t>
      </w:r>
      <w:r>
        <w:rPr>
          <w:spacing w:val="-5"/>
          <w:sz w:val="18"/>
          <w:szCs w:val="18"/>
          <w:lang w:val="es-ES_tradnl"/>
        </w:rPr>
        <w:t>culos 94 y 437 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 xml:space="preserve">blica, en </w:t>
      </w:r>
      <w:r>
        <w:rPr>
          <w:spacing w:val="-7"/>
          <w:sz w:val="18"/>
          <w:szCs w:val="18"/>
          <w:lang w:val="es-ES_tradnl"/>
        </w:rPr>
        <w:t>concordancia con los art</w:t>
      </w:r>
      <w:r>
        <w:rPr>
          <w:rFonts w:cs="Times New Roman"/>
          <w:spacing w:val="-7"/>
          <w:sz w:val="18"/>
          <w:szCs w:val="18"/>
          <w:lang w:val="es-ES_tradnl"/>
        </w:rPr>
        <w:t>í</w:t>
      </w:r>
      <w:r>
        <w:rPr>
          <w:spacing w:val="-7"/>
          <w:sz w:val="18"/>
          <w:szCs w:val="18"/>
          <w:lang w:val="es-ES_tradnl"/>
        </w:rPr>
        <w:t xml:space="preserve">culos 63 y 191 numeral 2 literal </w:t>
      </w:r>
      <w:r>
        <w:rPr>
          <w:b/>
          <w:bCs/>
          <w:spacing w:val="-7"/>
          <w:sz w:val="18"/>
          <w:szCs w:val="18"/>
          <w:lang w:val="es-ES_tradnl"/>
        </w:rPr>
        <w:t xml:space="preserve">d </w:t>
      </w:r>
      <w:r>
        <w:rPr>
          <w:spacing w:val="-8"/>
          <w:sz w:val="18"/>
          <w:szCs w:val="18"/>
          <w:lang w:val="es-ES_tradnl"/>
        </w:rPr>
        <w:t>de la Ley Org</w:t>
      </w:r>
      <w:r>
        <w:rPr>
          <w:rFonts w:cs="Times New Roman"/>
          <w:spacing w:val="-8"/>
          <w:sz w:val="18"/>
          <w:szCs w:val="18"/>
          <w:lang w:val="es-ES_tradnl"/>
        </w:rPr>
        <w:t>á</w:t>
      </w:r>
      <w:r>
        <w:rPr>
          <w:spacing w:val="-8"/>
          <w:sz w:val="18"/>
          <w:szCs w:val="18"/>
          <w:lang w:val="es-ES_tradnl"/>
        </w:rPr>
        <w:t>nica de Garant</w:t>
      </w:r>
      <w:r>
        <w:rPr>
          <w:rFonts w:cs="Times New Roman"/>
          <w:spacing w:val="-8"/>
          <w:sz w:val="18"/>
          <w:szCs w:val="18"/>
          <w:lang w:val="es-ES_tradnl"/>
        </w:rPr>
        <w:t>í</w:t>
      </w:r>
      <w:r>
        <w:rPr>
          <w:spacing w:val="-8"/>
          <w:sz w:val="18"/>
          <w:szCs w:val="18"/>
          <w:lang w:val="es-ES_tradnl"/>
        </w:rPr>
        <w:t xml:space="preserve">as Jurisdiccionales y Control </w:t>
      </w:r>
      <w:r>
        <w:rPr>
          <w:sz w:val="18"/>
          <w:szCs w:val="18"/>
          <w:lang w:val="es-ES_tradnl"/>
        </w:rPr>
        <w:t>Constitucional.</w:t>
      </w:r>
    </w:p>
    <w:p w14:paraId="4F67B7C9" w14:textId="77777777" w:rsidR="00591D54" w:rsidRDefault="00591D54">
      <w:pPr>
        <w:shd w:val="clear" w:color="auto" w:fill="FFFFFF"/>
        <w:spacing w:before="192" w:line="216" w:lineRule="exact"/>
        <w:ind w:right="5"/>
        <w:jc w:val="both"/>
      </w:pPr>
      <w:r>
        <w:rPr>
          <w:b/>
          <w:bCs/>
          <w:spacing w:val="-5"/>
          <w:sz w:val="18"/>
          <w:szCs w:val="18"/>
          <w:lang w:val="es-ES_tradnl"/>
        </w:rPr>
        <w:t>Naturaleza jur</w:t>
      </w:r>
      <w:r>
        <w:rPr>
          <w:rFonts w:cs="Times New Roman"/>
          <w:b/>
          <w:bCs/>
          <w:spacing w:val="-5"/>
          <w:sz w:val="18"/>
          <w:szCs w:val="18"/>
          <w:lang w:val="es-ES_tradnl"/>
        </w:rPr>
        <w:t>í</w:t>
      </w:r>
      <w:r>
        <w:rPr>
          <w:b/>
          <w:bCs/>
          <w:spacing w:val="-5"/>
          <w:sz w:val="18"/>
          <w:szCs w:val="18"/>
          <w:lang w:val="es-ES_tradnl"/>
        </w:rPr>
        <w:t>dica de la acci</w:t>
      </w:r>
      <w:r>
        <w:rPr>
          <w:rFonts w:cs="Times New Roman"/>
          <w:b/>
          <w:bCs/>
          <w:spacing w:val="-5"/>
          <w:sz w:val="18"/>
          <w:szCs w:val="18"/>
          <w:lang w:val="es-ES_tradnl"/>
        </w:rPr>
        <w:t>ó</w:t>
      </w:r>
      <w:r>
        <w:rPr>
          <w:b/>
          <w:bCs/>
          <w:spacing w:val="-5"/>
          <w:sz w:val="18"/>
          <w:szCs w:val="18"/>
          <w:lang w:val="es-ES_tradnl"/>
        </w:rPr>
        <w:t xml:space="preserve">n extraordinaria de </w:t>
      </w:r>
      <w:r>
        <w:rPr>
          <w:b/>
          <w:bCs/>
          <w:sz w:val="18"/>
          <w:szCs w:val="18"/>
          <w:lang w:val="es-ES_tradnl"/>
        </w:rPr>
        <w:t>protecci</w:t>
      </w:r>
      <w:r>
        <w:rPr>
          <w:rFonts w:cs="Times New Roman"/>
          <w:b/>
          <w:bCs/>
          <w:sz w:val="18"/>
          <w:szCs w:val="18"/>
          <w:lang w:val="es-ES_tradnl"/>
        </w:rPr>
        <w:t>ó</w:t>
      </w:r>
      <w:r>
        <w:rPr>
          <w:b/>
          <w:bCs/>
          <w:sz w:val="18"/>
          <w:szCs w:val="18"/>
          <w:lang w:val="es-ES_tradnl"/>
        </w:rPr>
        <w:t>n</w:t>
      </w:r>
    </w:p>
    <w:p w14:paraId="4F67B7CA" w14:textId="77777777" w:rsidR="00591D54" w:rsidRDefault="00591D54">
      <w:pPr>
        <w:shd w:val="clear" w:color="auto" w:fill="FFFFFF"/>
        <w:spacing w:before="197" w:line="216" w:lineRule="exact"/>
        <w:ind w:right="5"/>
        <w:jc w:val="both"/>
      </w:pPr>
      <w:r>
        <w:rPr>
          <w:sz w:val="18"/>
          <w:szCs w:val="18"/>
          <w:lang w:val="es-ES_tradnl"/>
        </w:rPr>
        <w:t>La acci</w:t>
      </w:r>
      <w:r>
        <w:rPr>
          <w:rFonts w:cs="Times New Roman"/>
          <w:sz w:val="18"/>
          <w:szCs w:val="18"/>
          <w:lang w:val="es-ES_tradnl"/>
        </w:rPr>
        <w:t>ó</w:t>
      </w:r>
      <w:r>
        <w:rPr>
          <w:sz w:val="18"/>
          <w:szCs w:val="18"/>
          <w:lang w:val="es-ES_tradnl"/>
        </w:rPr>
        <w:t>n extraordinaria de protecci</w:t>
      </w:r>
      <w:r>
        <w:rPr>
          <w:rFonts w:cs="Times New Roman"/>
          <w:sz w:val="18"/>
          <w:szCs w:val="18"/>
          <w:lang w:val="es-ES_tradnl"/>
        </w:rPr>
        <w:t>ó</w:t>
      </w:r>
      <w:r>
        <w:rPr>
          <w:sz w:val="18"/>
          <w:szCs w:val="18"/>
          <w:lang w:val="es-ES_tradnl"/>
        </w:rPr>
        <w:t xml:space="preserve">n procede </w:t>
      </w:r>
      <w:r>
        <w:rPr>
          <w:spacing w:val="-8"/>
          <w:sz w:val="18"/>
          <w:szCs w:val="18"/>
          <w:lang w:val="es-ES_tradnl"/>
        </w:rPr>
        <w:t xml:space="preserve">exclusivamente en contra de sentencias definitivas o autos </w:t>
      </w:r>
      <w:r>
        <w:rPr>
          <w:spacing w:val="-9"/>
          <w:sz w:val="18"/>
          <w:szCs w:val="18"/>
          <w:lang w:val="es-ES_tradnl"/>
        </w:rPr>
        <w:t xml:space="preserve">con fuerza de sentencia o ejecutoriados en los que se haya </w:t>
      </w:r>
      <w:r>
        <w:rPr>
          <w:sz w:val="18"/>
          <w:szCs w:val="18"/>
          <w:lang w:val="es-ES_tradnl"/>
        </w:rPr>
        <w:t>violado, por acci</w:t>
      </w:r>
      <w:r>
        <w:rPr>
          <w:rFonts w:cs="Times New Roman"/>
          <w:sz w:val="18"/>
          <w:szCs w:val="18"/>
          <w:lang w:val="es-ES_tradnl"/>
        </w:rPr>
        <w:t>ó</w:t>
      </w:r>
      <w:r>
        <w:rPr>
          <w:sz w:val="18"/>
          <w:szCs w:val="18"/>
          <w:lang w:val="es-ES_tradnl"/>
        </w:rPr>
        <w:t>n u omisi</w:t>
      </w:r>
      <w:r>
        <w:rPr>
          <w:rFonts w:cs="Times New Roman"/>
          <w:sz w:val="18"/>
          <w:szCs w:val="18"/>
          <w:lang w:val="es-ES_tradnl"/>
        </w:rPr>
        <w:t>ó</w:t>
      </w:r>
      <w:r>
        <w:rPr>
          <w:sz w:val="18"/>
          <w:szCs w:val="18"/>
          <w:lang w:val="es-ES_tradnl"/>
        </w:rPr>
        <w:t xml:space="preserve">n, derechos reconocidos </w:t>
      </w:r>
      <w:r>
        <w:rPr>
          <w:spacing w:val="-6"/>
          <w:sz w:val="18"/>
          <w:szCs w:val="18"/>
          <w:lang w:val="es-ES_tradnl"/>
        </w:rPr>
        <w:t>en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en esencia, la Corte </w:t>
      </w:r>
      <w:r>
        <w:rPr>
          <w:spacing w:val="-7"/>
          <w:sz w:val="18"/>
          <w:szCs w:val="18"/>
          <w:lang w:val="es-ES_tradnl"/>
        </w:rPr>
        <w:t>Constitucional, por medio de esta acci</w:t>
      </w:r>
      <w:r>
        <w:rPr>
          <w:rFonts w:cs="Times New Roman"/>
          <w:spacing w:val="-7"/>
          <w:sz w:val="18"/>
          <w:szCs w:val="18"/>
          <w:lang w:val="es-ES_tradnl"/>
        </w:rPr>
        <w:t>ó</w:t>
      </w:r>
      <w:r>
        <w:rPr>
          <w:spacing w:val="-7"/>
          <w:sz w:val="18"/>
          <w:szCs w:val="18"/>
          <w:lang w:val="es-ES_tradnl"/>
        </w:rPr>
        <w:t>n excepcional, solo se pronunciar</w:t>
      </w:r>
      <w:r>
        <w:rPr>
          <w:rFonts w:cs="Times New Roman"/>
          <w:spacing w:val="-7"/>
          <w:sz w:val="18"/>
          <w:szCs w:val="18"/>
          <w:lang w:val="es-ES_tradnl"/>
        </w:rPr>
        <w:t>á</w:t>
      </w:r>
      <w:r>
        <w:rPr>
          <w:spacing w:val="-7"/>
          <w:sz w:val="18"/>
          <w:szCs w:val="18"/>
          <w:lang w:val="es-ES_tradnl"/>
        </w:rPr>
        <w:t xml:space="preserve"> respecto a dos cuestiones principales: la vulneraci</w:t>
      </w:r>
      <w:r>
        <w:rPr>
          <w:rFonts w:cs="Times New Roman"/>
          <w:spacing w:val="-7"/>
          <w:sz w:val="18"/>
          <w:szCs w:val="18"/>
          <w:lang w:val="es-ES_tradnl"/>
        </w:rPr>
        <w:t>ó</w:t>
      </w:r>
      <w:r>
        <w:rPr>
          <w:spacing w:val="-7"/>
          <w:sz w:val="18"/>
          <w:szCs w:val="18"/>
          <w:lang w:val="es-ES_tradnl"/>
        </w:rPr>
        <w:t>n de derechos constitucionales o la violaci</w:t>
      </w:r>
      <w:r>
        <w:rPr>
          <w:rFonts w:cs="Times New Roman"/>
          <w:spacing w:val="-7"/>
          <w:sz w:val="18"/>
          <w:szCs w:val="18"/>
          <w:lang w:val="es-ES_tradnl"/>
        </w:rPr>
        <w:t>ó</w:t>
      </w:r>
      <w:r>
        <w:rPr>
          <w:spacing w:val="-7"/>
          <w:sz w:val="18"/>
          <w:szCs w:val="18"/>
          <w:lang w:val="es-ES_tradnl"/>
        </w:rPr>
        <w:t xml:space="preserve">n de </w:t>
      </w:r>
      <w:r>
        <w:rPr>
          <w:sz w:val="18"/>
          <w:szCs w:val="18"/>
          <w:lang w:val="es-ES_tradnl"/>
        </w:rPr>
        <w:t>normas del debido proceso.</w:t>
      </w:r>
    </w:p>
    <w:p w14:paraId="4F67B7CB" w14:textId="77777777" w:rsidR="00591D54" w:rsidRDefault="00591D54">
      <w:pPr>
        <w:shd w:val="clear" w:color="auto" w:fill="FFFFFF"/>
        <w:spacing w:before="192" w:line="216" w:lineRule="exact"/>
        <w:ind w:right="5"/>
        <w:jc w:val="both"/>
      </w:pPr>
      <w:r>
        <w:rPr>
          <w:spacing w:val="-9"/>
          <w:sz w:val="18"/>
          <w:szCs w:val="18"/>
          <w:lang w:val="es-ES_tradnl"/>
        </w:rPr>
        <w:t>La acci</w:t>
      </w:r>
      <w:r>
        <w:rPr>
          <w:rFonts w:cs="Times New Roman"/>
          <w:spacing w:val="-9"/>
          <w:sz w:val="18"/>
          <w:szCs w:val="18"/>
          <w:lang w:val="es-ES_tradnl"/>
        </w:rPr>
        <w:t>ó</w:t>
      </w:r>
      <w:r>
        <w:rPr>
          <w:spacing w:val="-9"/>
          <w:sz w:val="18"/>
          <w:szCs w:val="18"/>
          <w:lang w:val="es-ES_tradnl"/>
        </w:rPr>
        <w:t>n extraordinaria de protecci</w:t>
      </w:r>
      <w:r>
        <w:rPr>
          <w:rFonts w:cs="Times New Roman"/>
          <w:spacing w:val="-9"/>
          <w:sz w:val="18"/>
          <w:szCs w:val="18"/>
          <w:lang w:val="es-ES_tradnl"/>
        </w:rPr>
        <w:t>ó</w:t>
      </w:r>
      <w:r>
        <w:rPr>
          <w:spacing w:val="-9"/>
          <w:sz w:val="18"/>
          <w:szCs w:val="18"/>
          <w:lang w:val="es-ES_tradnl"/>
        </w:rPr>
        <w:t xml:space="preserve">n tiene como finalidad </w:t>
      </w:r>
      <w:r>
        <w:rPr>
          <w:spacing w:val="-4"/>
          <w:sz w:val="18"/>
          <w:szCs w:val="18"/>
          <w:lang w:val="es-ES_tradnl"/>
        </w:rPr>
        <w:t>que la vulneraci</w:t>
      </w:r>
      <w:r>
        <w:rPr>
          <w:rFonts w:cs="Times New Roman"/>
          <w:spacing w:val="-4"/>
          <w:sz w:val="18"/>
          <w:szCs w:val="18"/>
          <w:lang w:val="es-ES_tradnl"/>
        </w:rPr>
        <w:t>ó</w:t>
      </w:r>
      <w:r>
        <w:rPr>
          <w:spacing w:val="-4"/>
          <w:sz w:val="18"/>
          <w:szCs w:val="18"/>
          <w:lang w:val="es-ES_tradnl"/>
        </w:rPr>
        <w:t xml:space="preserve">n de derechos constitucionales o la </w:t>
      </w:r>
      <w:r>
        <w:rPr>
          <w:spacing w:val="-7"/>
          <w:sz w:val="18"/>
          <w:szCs w:val="18"/>
          <w:lang w:val="es-ES_tradnl"/>
        </w:rPr>
        <w:t>violaci</w:t>
      </w:r>
      <w:r>
        <w:rPr>
          <w:rFonts w:cs="Times New Roman"/>
          <w:spacing w:val="-7"/>
          <w:sz w:val="18"/>
          <w:szCs w:val="18"/>
          <w:lang w:val="es-ES_tradnl"/>
        </w:rPr>
        <w:t>ó</w:t>
      </w:r>
      <w:r>
        <w:rPr>
          <w:spacing w:val="-7"/>
          <w:sz w:val="18"/>
          <w:szCs w:val="18"/>
          <w:lang w:val="es-ES_tradnl"/>
        </w:rPr>
        <w:t xml:space="preserve">n de normas del debido proceso no queden en la </w:t>
      </w:r>
      <w:r>
        <w:rPr>
          <w:spacing w:val="-2"/>
          <w:sz w:val="18"/>
          <w:szCs w:val="18"/>
          <w:lang w:val="es-ES_tradnl"/>
        </w:rPr>
        <w:t>impunidad, por lo que asumiendo el esp</w:t>
      </w:r>
      <w:r>
        <w:rPr>
          <w:rFonts w:cs="Times New Roman"/>
          <w:spacing w:val="-2"/>
          <w:sz w:val="18"/>
          <w:szCs w:val="18"/>
          <w:lang w:val="es-ES_tradnl"/>
        </w:rPr>
        <w:t>í</w:t>
      </w:r>
      <w:r>
        <w:rPr>
          <w:spacing w:val="-2"/>
          <w:sz w:val="18"/>
          <w:szCs w:val="18"/>
          <w:lang w:val="es-ES_tradnl"/>
        </w:rPr>
        <w:t xml:space="preserve">ritu garantista </w:t>
      </w:r>
      <w:r>
        <w:rPr>
          <w:spacing w:val="-8"/>
          <w:sz w:val="18"/>
          <w:szCs w:val="18"/>
          <w:lang w:val="es-ES_tradnl"/>
        </w:rPr>
        <w:t>de la vigente Carta Fundamental, mediante esta acci</w:t>
      </w:r>
      <w:r>
        <w:rPr>
          <w:rFonts w:cs="Times New Roman"/>
          <w:spacing w:val="-8"/>
          <w:sz w:val="18"/>
          <w:szCs w:val="18"/>
          <w:lang w:val="es-ES_tradnl"/>
        </w:rPr>
        <w:t>ó</w:t>
      </w:r>
      <w:r>
        <w:rPr>
          <w:spacing w:val="-8"/>
          <w:sz w:val="18"/>
          <w:szCs w:val="18"/>
          <w:lang w:val="es-ES_tradnl"/>
        </w:rPr>
        <w:t xml:space="preserve">n </w:t>
      </w:r>
      <w:r>
        <w:rPr>
          <w:spacing w:val="-11"/>
          <w:sz w:val="18"/>
          <w:szCs w:val="18"/>
          <w:lang w:val="es-ES_tradnl"/>
        </w:rPr>
        <w:t xml:space="preserve">excepcional se permite que las sentencias, autos definitivos y </w:t>
      </w:r>
      <w:r>
        <w:rPr>
          <w:spacing w:val="-10"/>
          <w:sz w:val="18"/>
          <w:szCs w:val="18"/>
          <w:lang w:val="es-ES_tradnl"/>
        </w:rPr>
        <w:t xml:space="preserve">resoluciones con fuerza de sentencia firmes y ejecutoriados, </w:t>
      </w:r>
      <w:r>
        <w:rPr>
          <w:spacing w:val="-9"/>
          <w:sz w:val="18"/>
          <w:szCs w:val="18"/>
          <w:lang w:val="es-ES_tradnl"/>
        </w:rPr>
        <w:t>puedan ser objeto de revisi</w:t>
      </w:r>
      <w:r>
        <w:rPr>
          <w:rFonts w:cs="Times New Roman"/>
          <w:spacing w:val="-9"/>
          <w:sz w:val="18"/>
          <w:szCs w:val="18"/>
          <w:lang w:val="es-ES_tradnl"/>
        </w:rPr>
        <w:t>ó</w:t>
      </w:r>
      <w:r>
        <w:rPr>
          <w:spacing w:val="-9"/>
          <w:sz w:val="18"/>
          <w:szCs w:val="18"/>
          <w:lang w:val="es-ES_tradnl"/>
        </w:rPr>
        <w:t>n por parte del m</w:t>
      </w:r>
      <w:r>
        <w:rPr>
          <w:rFonts w:cs="Times New Roman"/>
          <w:spacing w:val="-9"/>
          <w:sz w:val="18"/>
          <w:szCs w:val="18"/>
          <w:lang w:val="es-ES_tradnl"/>
        </w:rPr>
        <w:t>á</w:t>
      </w:r>
      <w:r>
        <w:rPr>
          <w:spacing w:val="-9"/>
          <w:sz w:val="18"/>
          <w:szCs w:val="18"/>
          <w:lang w:val="es-ES_tradnl"/>
        </w:rPr>
        <w:t xml:space="preserve">s alto </w:t>
      </w:r>
      <w:r>
        <w:rPr>
          <w:rFonts w:cs="Times New Roman"/>
          <w:spacing w:val="-9"/>
          <w:sz w:val="18"/>
          <w:szCs w:val="18"/>
          <w:lang w:val="es-ES_tradnl"/>
        </w:rPr>
        <w:t>ó</w:t>
      </w:r>
      <w:r>
        <w:rPr>
          <w:spacing w:val="-9"/>
          <w:sz w:val="18"/>
          <w:szCs w:val="18"/>
          <w:lang w:val="es-ES_tradnl"/>
        </w:rPr>
        <w:t xml:space="preserve">rgano </w:t>
      </w:r>
      <w:r>
        <w:rPr>
          <w:spacing w:val="-7"/>
          <w:sz w:val="18"/>
          <w:szCs w:val="18"/>
          <w:lang w:val="es-ES_tradnl"/>
        </w:rPr>
        <w:t>de control de constitucionalidad en el pa</w:t>
      </w:r>
      <w:r>
        <w:rPr>
          <w:rFonts w:cs="Times New Roman"/>
          <w:spacing w:val="-7"/>
          <w:sz w:val="18"/>
          <w:szCs w:val="18"/>
          <w:lang w:val="es-ES_tradnl"/>
        </w:rPr>
        <w:t>í</w:t>
      </w:r>
      <w:r>
        <w:rPr>
          <w:spacing w:val="-7"/>
          <w:sz w:val="18"/>
          <w:szCs w:val="18"/>
          <w:lang w:val="es-ES_tradnl"/>
        </w:rPr>
        <w:t xml:space="preserve">s, que es la Corte </w:t>
      </w:r>
      <w:r>
        <w:rPr>
          <w:sz w:val="18"/>
          <w:szCs w:val="18"/>
          <w:lang w:val="es-ES_tradnl"/>
        </w:rPr>
        <w:t>Constitucional.</w:t>
      </w:r>
    </w:p>
    <w:p w14:paraId="4F67B7CC" w14:textId="77777777" w:rsidR="00591D54" w:rsidRDefault="00591D54">
      <w:pPr>
        <w:shd w:val="clear" w:color="auto" w:fill="FFFFFF"/>
        <w:spacing w:before="192"/>
      </w:pPr>
      <w:r>
        <w:rPr>
          <w:b/>
          <w:bCs/>
          <w:spacing w:val="-9"/>
          <w:sz w:val="18"/>
          <w:szCs w:val="18"/>
          <w:lang w:val="es-ES_tradnl"/>
        </w:rPr>
        <w:t>Determinaci</w:t>
      </w:r>
      <w:r>
        <w:rPr>
          <w:rFonts w:cs="Times New Roman"/>
          <w:b/>
          <w:bCs/>
          <w:spacing w:val="-9"/>
          <w:sz w:val="18"/>
          <w:szCs w:val="18"/>
          <w:lang w:val="es-ES_tradnl"/>
        </w:rPr>
        <w:t>ó</w:t>
      </w:r>
      <w:r>
        <w:rPr>
          <w:b/>
          <w:bCs/>
          <w:spacing w:val="-9"/>
          <w:sz w:val="18"/>
          <w:szCs w:val="18"/>
          <w:lang w:val="es-ES_tradnl"/>
        </w:rPr>
        <w:t>n de los problemas jur</w:t>
      </w:r>
      <w:r>
        <w:rPr>
          <w:rFonts w:cs="Times New Roman"/>
          <w:b/>
          <w:bCs/>
          <w:spacing w:val="-9"/>
          <w:sz w:val="18"/>
          <w:szCs w:val="18"/>
          <w:lang w:val="es-ES_tradnl"/>
        </w:rPr>
        <w:t>í</w:t>
      </w:r>
      <w:r>
        <w:rPr>
          <w:b/>
          <w:bCs/>
          <w:spacing w:val="-9"/>
          <w:sz w:val="18"/>
          <w:szCs w:val="18"/>
          <w:lang w:val="es-ES_tradnl"/>
        </w:rPr>
        <w:t>dicos</w:t>
      </w:r>
    </w:p>
    <w:p w14:paraId="4F67B7CD" w14:textId="77777777" w:rsidR="00591D54" w:rsidRDefault="00591D54">
      <w:pPr>
        <w:shd w:val="clear" w:color="auto" w:fill="FFFFFF"/>
        <w:spacing w:before="192" w:line="216" w:lineRule="exact"/>
        <w:jc w:val="both"/>
      </w:pPr>
      <w:r>
        <w:rPr>
          <w:spacing w:val="-9"/>
          <w:sz w:val="18"/>
          <w:szCs w:val="18"/>
          <w:lang w:val="es-ES_tradnl"/>
        </w:rPr>
        <w:t>Para resolver la causa, la Corte Constitucional sistematizar</w:t>
      </w:r>
      <w:r>
        <w:rPr>
          <w:rFonts w:cs="Times New Roman"/>
          <w:spacing w:val="-9"/>
          <w:sz w:val="18"/>
          <w:szCs w:val="18"/>
          <w:lang w:val="es-ES_tradnl"/>
        </w:rPr>
        <w:t xml:space="preserve">á </w:t>
      </w:r>
      <w:r>
        <w:rPr>
          <w:spacing w:val="-9"/>
          <w:sz w:val="18"/>
          <w:szCs w:val="18"/>
          <w:lang w:val="es-ES_tradnl"/>
        </w:rPr>
        <w:t>su argumentaci</w:t>
      </w:r>
      <w:r>
        <w:rPr>
          <w:rFonts w:cs="Times New Roman"/>
          <w:spacing w:val="-9"/>
          <w:sz w:val="18"/>
          <w:szCs w:val="18"/>
          <w:lang w:val="es-ES_tradnl"/>
        </w:rPr>
        <w:t>ó</w:t>
      </w:r>
      <w:r>
        <w:rPr>
          <w:spacing w:val="-9"/>
          <w:sz w:val="18"/>
          <w:szCs w:val="18"/>
          <w:lang w:val="es-ES_tradnl"/>
        </w:rPr>
        <w:t>n en base a la resoluci</w:t>
      </w:r>
      <w:r>
        <w:rPr>
          <w:rFonts w:cs="Times New Roman"/>
          <w:spacing w:val="-9"/>
          <w:sz w:val="18"/>
          <w:szCs w:val="18"/>
          <w:lang w:val="es-ES_tradnl"/>
        </w:rPr>
        <w:t>ó</w:t>
      </w:r>
      <w:r>
        <w:rPr>
          <w:spacing w:val="-9"/>
          <w:sz w:val="18"/>
          <w:szCs w:val="18"/>
          <w:lang w:val="es-ES_tradnl"/>
        </w:rPr>
        <w:t xml:space="preserve">n de los siguientes </w:t>
      </w:r>
      <w:r>
        <w:rPr>
          <w:sz w:val="18"/>
          <w:szCs w:val="18"/>
          <w:lang w:val="es-ES_tradnl"/>
        </w:rPr>
        <w:t>problemas jur</w:t>
      </w:r>
      <w:r>
        <w:rPr>
          <w:rFonts w:cs="Times New Roman"/>
          <w:sz w:val="18"/>
          <w:szCs w:val="18"/>
          <w:lang w:val="es-ES_tradnl"/>
        </w:rPr>
        <w:t>í</w:t>
      </w:r>
      <w:r>
        <w:rPr>
          <w:sz w:val="18"/>
          <w:szCs w:val="18"/>
          <w:lang w:val="es-ES_tradnl"/>
        </w:rPr>
        <w:t>dicos:</w:t>
      </w:r>
    </w:p>
    <w:p w14:paraId="4F67B7CE" w14:textId="77777777" w:rsidR="00591D54" w:rsidRDefault="00591D54" w:rsidP="00251195">
      <w:pPr>
        <w:numPr>
          <w:ilvl w:val="0"/>
          <w:numId w:val="111"/>
        </w:numPr>
        <w:shd w:val="clear" w:color="auto" w:fill="FFFFFF"/>
        <w:tabs>
          <w:tab w:val="left" w:pos="422"/>
        </w:tabs>
        <w:spacing w:before="192" w:line="216" w:lineRule="exact"/>
        <w:jc w:val="both"/>
        <w:rPr>
          <w:spacing w:val="-9"/>
          <w:sz w:val="18"/>
          <w:szCs w:val="18"/>
          <w:lang w:val="es-ES_tradnl"/>
        </w:rPr>
      </w:pPr>
      <w:r>
        <w:rPr>
          <w:spacing w:val="-10"/>
          <w:sz w:val="18"/>
          <w:szCs w:val="18"/>
          <w:lang w:val="es-ES_tradnl"/>
        </w:rPr>
        <w:t xml:space="preserve">La sentencia dictada por la Primera Sala de lo Laboral, </w:t>
      </w:r>
      <w:r>
        <w:rPr>
          <w:spacing w:val="-3"/>
          <w:sz w:val="18"/>
          <w:szCs w:val="18"/>
          <w:lang w:val="es-ES_tradnl"/>
        </w:rPr>
        <w:t>Ni</w:t>
      </w:r>
      <w:r>
        <w:rPr>
          <w:rFonts w:cs="Times New Roman"/>
          <w:spacing w:val="-3"/>
          <w:sz w:val="18"/>
          <w:szCs w:val="18"/>
          <w:lang w:val="es-ES_tradnl"/>
        </w:rPr>
        <w:t>ñ</w:t>
      </w:r>
      <w:r>
        <w:rPr>
          <w:spacing w:val="-3"/>
          <w:sz w:val="18"/>
          <w:szCs w:val="18"/>
          <w:lang w:val="es-ES_tradnl"/>
        </w:rPr>
        <w:t xml:space="preserve">ez y Adolescencia de la Corte Provincial de Justicia </w:t>
      </w:r>
      <w:r>
        <w:rPr>
          <w:spacing w:val="-8"/>
          <w:sz w:val="18"/>
          <w:szCs w:val="18"/>
          <w:lang w:val="es-ES_tradnl"/>
        </w:rPr>
        <w:t xml:space="preserve">del Guayas de 25 de junio de 2010, </w:t>
      </w:r>
      <w:r>
        <w:rPr>
          <w:rFonts w:cs="Times New Roman"/>
          <w:spacing w:val="-8"/>
          <w:sz w:val="18"/>
          <w:szCs w:val="18"/>
          <w:lang w:val="es-ES_tradnl"/>
        </w:rPr>
        <w:t>¿</w:t>
      </w:r>
      <w:r>
        <w:rPr>
          <w:spacing w:val="-8"/>
          <w:sz w:val="18"/>
          <w:szCs w:val="18"/>
          <w:lang w:val="es-ES_tradnl"/>
        </w:rPr>
        <w:t>vulner</w:t>
      </w:r>
      <w:r>
        <w:rPr>
          <w:rFonts w:cs="Times New Roman"/>
          <w:spacing w:val="-8"/>
          <w:sz w:val="18"/>
          <w:szCs w:val="18"/>
          <w:lang w:val="es-ES_tradnl"/>
        </w:rPr>
        <w:t>ó</w:t>
      </w:r>
      <w:r>
        <w:rPr>
          <w:spacing w:val="-8"/>
          <w:sz w:val="18"/>
          <w:szCs w:val="18"/>
          <w:lang w:val="es-ES_tradnl"/>
        </w:rPr>
        <w:t xml:space="preserve"> el derecho al </w:t>
      </w:r>
      <w:r>
        <w:rPr>
          <w:spacing w:val="-7"/>
          <w:sz w:val="18"/>
          <w:szCs w:val="18"/>
          <w:lang w:val="es-ES_tradnl"/>
        </w:rPr>
        <w:t>debido proceso en la garant</w:t>
      </w:r>
      <w:r>
        <w:rPr>
          <w:rFonts w:cs="Times New Roman"/>
          <w:spacing w:val="-7"/>
          <w:sz w:val="18"/>
          <w:szCs w:val="18"/>
          <w:lang w:val="es-ES_tradnl"/>
        </w:rPr>
        <w:t>í</w:t>
      </w:r>
      <w:r>
        <w:rPr>
          <w:spacing w:val="-7"/>
          <w:sz w:val="18"/>
          <w:szCs w:val="18"/>
          <w:lang w:val="es-ES_tradnl"/>
        </w:rPr>
        <w:t>a de motivaci</w:t>
      </w:r>
      <w:r>
        <w:rPr>
          <w:rFonts w:cs="Times New Roman"/>
          <w:spacing w:val="-7"/>
          <w:sz w:val="18"/>
          <w:szCs w:val="18"/>
          <w:lang w:val="es-ES_tradnl"/>
        </w:rPr>
        <w:t>ó</w:t>
      </w:r>
      <w:r>
        <w:rPr>
          <w:spacing w:val="-7"/>
          <w:sz w:val="18"/>
          <w:szCs w:val="18"/>
          <w:lang w:val="es-ES_tradnl"/>
        </w:rPr>
        <w:t xml:space="preserve">n, determinado </w:t>
      </w:r>
      <w:r>
        <w:rPr>
          <w:spacing w:val="-6"/>
          <w:sz w:val="18"/>
          <w:szCs w:val="18"/>
          <w:lang w:val="es-ES_tradnl"/>
        </w:rPr>
        <w:t>en el art</w:t>
      </w:r>
      <w:r>
        <w:rPr>
          <w:rFonts w:cs="Times New Roman"/>
          <w:spacing w:val="-6"/>
          <w:sz w:val="18"/>
          <w:szCs w:val="18"/>
          <w:lang w:val="es-ES_tradnl"/>
        </w:rPr>
        <w:t>í</w:t>
      </w:r>
      <w:r>
        <w:rPr>
          <w:spacing w:val="-6"/>
          <w:sz w:val="18"/>
          <w:szCs w:val="18"/>
          <w:lang w:val="es-ES_tradnl"/>
        </w:rPr>
        <w:t xml:space="preserve">culo 76 numeral 7 literal </w:t>
      </w:r>
      <w:r>
        <w:rPr>
          <w:b/>
          <w:bCs/>
          <w:spacing w:val="-6"/>
          <w:sz w:val="18"/>
          <w:szCs w:val="18"/>
          <w:lang w:val="es-ES_tradnl"/>
        </w:rPr>
        <w:t xml:space="preserve">l </w:t>
      </w:r>
      <w:r>
        <w:rPr>
          <w:spacing w:val="-6"/>
          <w:sz w:val="18"/>
          <w:szCs w:val="18"/>
          <w:lang w:val="es-ES_tradnl"/>
        </w:rPr>
        <w:t>de la Constituci</w:t>
      </w:r>
      <w:r>
        <w:rPr>
          <w:rFonts w:cs="Times New Roman"/>
          <w:spacing w:val="-6"/>
          <w:sz w:val="18"/>
          <w:szCs w:val="18"/>
          <w:lang w:val="es-ES_tradnl"/>
        </w:rPr>
        <w:t>ó</w:t>
      </w:r>
      <w:r>
        <w:rPr>
          <w:spacing w:val="-6"/>
          <w:sz w:val="18"/>
          <w:szCs w:val="18"/>
          <w:lang w:val="es-ES_tradnl"/>
        </w:rPr>
        <w:t xml:space="preserve">n de la </w:t>
      </w:r>
      <w:r>
        <w:rPr>
          <w:sz w:val="18"/>
          <w:szCs w:val="18"/>
          <w:lang w:val="es-ES_tradnl"/>
        </w:rPr>
        <w:t>Rep</w:t>
      </w:r>
      <w:r>
        <w:rPr>
          <w:rFonts w:cs="Times New Roman"/>
          <w:sz w:val="18"/>
          <w:szCs w:val="18"/>
          <w:lang w:val="es-ES_tradnl"/>
        </w:rPr>
        <w:t>ú</w:t>
      </w:r>
      <w:r>
        <w:rPr>
          <w:sz w:val="18"/>
          <w:szCs w:val="18"/>
          <w:lang w:val="es-ES_tradnl"/>
        </w:rPr>
        <w:t>blica?</w:t>
      </w:r>
    </w:p>
    <w:p w14:paraId="4F67B7CF" w14:textId="77777777" w:rsidR="00591D54" w:rsidRDefault="00591D54" w:rsidP="00251195">
      <w:pPr>
        <w:numPr>
          <w:ilvl w:val="0"/>
          <w:numId w:val="111"/>
        </w:numPr>
        <w:shd w:val="clear" w:color="auto" w:fill="FFFFFF"/>
        <w:tabs>
          <w:tab w:val="left" w:pos="422"/>
        </w:tabs>
        <w:spacing w:before="197" w:line="216" w:lineRule="exact"/>
        <w:jc w:val="both"/>
        <w:rPr>
          <w:spacing w:val="-9"/>
          <w:sz w:val="18"/>
          <w:szCs w:val="18"/>
          <w:lang w:val="es-ES_tradnl"/>
        </w:rPr>
      </w:pPr>
      <w:r>
        <w:rPr>
          <w:spacing w:val="-2"/>
          <w:sz w:val="18"/>
          <w:szCs w:val="18"/>
          <w:lang w:val="es-ES_tradnl"/>
        </w:rPr>
        <w:t xml:space="preserve">La sentencia dictada por la Primera Sala de lo </w:t>
      </w:r>
      <w:r>
        <w:rPr>
          <w:spacing w:val="-5"/>
          <w:sz w:val="18"/>
          <w:szCs w:val="18"/>
          <w:lang w:val="es-ES_tradnl"/>
        </w:rPr>
        <w:t>Laboral, Ni</w:t>
      </w:r>
      <w:r>
        <w:rPr>
          <w:rFonts w:cs="Times New Roman"/>
          <w:spacing w:val="-5"/>
          <w:sz w:val="18"/>
          <w:szCs w:val="18"/>
          <w:lang w:val="es-ES_tradnl"/>
        </w:rPr>
        <w:t>ñ</w:t>
      </w:r>
      <w:r>
        <w:rPr>
          <w:spacing w:val="-5"/>
          <w:sz w:val="18"/>
          <w:szCs w:val="18"/>
          <w:lang w:val="es-ES_tradnl"/>
        </w:rPr>
        <w:t xml:space="preserve">ez y Adolescencia de la Corte Provincial de </w:t>
      </w:r>
      <w:r>
        <w:rPr>
          <w:spacing w:val="-6"/>
          <w:sz w:val="18"/>
          <w:szCs w:val="18"/>
          <w:lang w:val="es-ES_tradnl"/>
        </w:rPr>
        <w:t xml:space="preserve">Justicia del Guayas del 25 de junio de 2010, </w:t>
      </w:r>
      <w:r>
        <w:rPr>
          <w:rFonts w:cs="Times New Roman"/>
          <w:spacing w:val="-6"/>
          <w:sz w:val="18"/>
          <w:szCs w:val="18"/>
          <w:lang w:val="es-ES_tradnl"/>
        </w:rPr>
        <w:t>¿</w:t>
      </w:r>
      <w:r>
        <w:rPr>
          <w:spacing w:val="-6"/>
          <w:sz w:val="18"/>
          <w:szCs w:val="18"/>
          <w:lang w:val="es-ES_tradnl"/>
        </w:rPr>
        <w:t>vulner</w:t>
      </w:r>
      <w:r>
        <w:rPr>
          <w:rFonts w:cs="Times New Roman"/>
          <w:spacing w:val="-6"/>
          <w:sz w:val="18"/>
          <w:szCs w:val="18"/>
          <w:lang w:val="es-ES_tradnl"/>
        </w:rPr>
        <w:t>ó</w:t>
      </w:r>
      <w:r>
        <w:rPr>
          <w:spacing w:val="-6"/>
          <w:sz w:val="18"/>
          <w:szCs w:val="18"/>
          <w:lang w:val="es-ES_tradnl"/>
        </w:rPr>
        <w:t xml:space="preserve"> el derecho a la seguridad jur</w:t>
      </w:r>
      <w:r>
        <w:rPr>
          <w:rFonts w:cs="Times New Roman"/>
          <w:spacing w:val="-6"/>
          <w:sz w:val="18"/>
          <w:szCs w:val="18"/>
          <w:lang w:val="es-ES_tradnl"/>
        </w:rPr>
        <w:t>í</w:t>
      </w:r>
      <w:r>
        <w:rPr>
          <w:spacing w:val="-6"/>
          <w:sz w:val="18"/>
          <w:szCs w:val="18"/>
          <w:lang w:val="es-ES_tradnl"/>
        </w:rPr>
        <w:t>dica, consagrado en el art</w:t>
      </w:r>
      <w:r>
        <w:rPr>
          <w:rFonts w:cs="Times New Roman"/>
          <w:spacing w:val="-6"/>
          <w:sz w:val="18"/>
          <w:szCs w:val="18"/>
          <w:lang w:val="es-ES_tradnl"/>
        </w:rPr>
        <w:t>í</w:t>
      </w:r>
      <w:r>
        <w:rPr>
          <w:spacing w:val="-6"/>
          <w:sz w:val="18"/>
          <w:szCs w:val="18"/>
          <w:lang w:val="es-ES_tradnl"/>
        </w:rPr>
        <w:t xml:space="preserve">culo </w:t>
      </w:r>
      <w:r>
        <w:rPr>
          <w:sz w:val="18"/>
          <w:szCs w:val="18"/>
          <w:lang w:val="es-ES_tradnl"/>
        </w:rPr>
        <w:t>82 de 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B7D0" w14:textId="77777777" w:rsidR="00591D54" w:rsidRDefault="00591D54">
      <w:pPr>
        <w:shd w:val="clear" w:color="auto" w:fill="FFFFFF"/>
        <w:spacing w:before="192"/>
      </w:pPr>
      <w:r>
        <w:rPr>
          <w:b/>
          <w:bCs/>
          <w:spacing w:val="-9"/>
          <w:sz w:val="18"/>
          <w:szCs w:val="18"/>
          <w:lang w:val="es-ES_tradnl"/>
        </w:rPr>
        <w:t>Argumentaci</w:t>
      </w:r>
      <w:r>
        <w:rPr>
          <w:rFonts w:cs="Times New Roman"/>
          <w:b/>
          <w:bCs/>
          <w:spacing w:val="-9"/>
          <w:sz w:val="18"/>
          <w:szCs w:val="18"/>
          <w:lang w:val="es-ES_tradnl"/>
        </w:rPr>
        <w:t>ó</w:t>
      </w:r>
      <w:r>
        <w:rPr>
          <w:b/>
          <w:bCs/>
          <w:spacing w:val="-9"/>
          <w:sz w:val="18"/>
          <w:szCs w:val="18"/>
          <w:lang w:val="es-ES_tradnl"/>
        </w:rPr>
        <w:t>n de los problemas jur</w:t>
      </w:r>
      <w:r>
        <w:rPr>
          <w:rFonts w:cs="Times New Roman"/>
          <w:b/>
          <w:bCs/>
          <w:spacing w:val="-9"/>
          <w:sz w:val="18"/>
          <w:szCs w:val="18"/>
          <w:lang w:val="es-ES_tradnl"/>
        </w:rPr>
        <w:t>í</w:t>
      </w:r>
      <w:r>
        <w:rPr>
          <w:b/>
          <w:bCs/>
          <w:spacing w:val="-9"/>
          <w:sz w:val="18"/>
          <w:szCs w:val="18"/>
          <w:lang w:val="es-ES_tradnl"/>
        </w:rPr>
        <w:t>dicos</w:t>
      </w:r>
    </w:p>
    <w:p w14:paraId="4F67B7D1" w14:textId="77777777" w:rsidR="00591D54" w:rsidRDefault="00591D54">
      <w:pPr>
        <w:shd w:val="clear" w:color="auto" w:fill="FFFFFF"/>
        <w:spacing w:before="192" w:line="216" w:lineRule="exact"/>
        <w:ind w:left="566" w:hanging="283"/>
        <w:jc w:val="both"/>
      </w:pPr>
      <w:r>
        <w:rPr>
          <w:b/>
          <w:bCs/>
          <w:sz w:val="18"/>
          <w:szCs w:val="18"/>
          <w:lang w:val="es-ES_tradnl"/>
        </w:rPr>
        <w:t xml:space="preserve">1) La sentencia dictada por la Primera Sala de </w:t>
      </w:r>
      <w:r>
        <w:rPr>
          <w:b/>
          <w:bCs/>
          <w:spacing w:val="-6"/>
          <w:sz w:val="18"/>
          <w:szCs w:val="18"/>
          <w:lang w:val="es-ES_tradnl"/>
        </w:rPr>
        <w:t>lo Laboral, Ni</w:t>
      </w:r>
      <w:r>
        <w:rPr>
          <w:rFonts w:cs="Times New Roman"/>
          <w:b/>
          <w:bCs/>
          <w:spacing w:val="-6"/>
          <w:sz w:val="18"/>
          <w:szCs w:val="18"/>
          <w:lang w:val="es-ES_tradnl"/>
        </w:rPr>
        <w:t>ñ</w:t>
      </w:r>
      <w:r>
        <w:rPr>
          <w:b/>
          <w:bCs/>
          <w:spacing w:val="-6"/>
          <w:sz w:val="18"/>
          <w:szCs w:val="18"/>
          <w:lang w:val="es-ES_tradnl"/>
        </w:rPr>
        <w:t xml:space="preserve">ez y Adolescencia de la Corte </w:t>
      </w:r>
      <w:r>
        <w:rPr>
          <w:b/>
          <w:bCs/>
          <w:spacing w:val="-9"/>
          <w:sz w:val="18"/>
          <w:szCs w:val="18"/>
          <w:lang w:val="es-ES_tradnl"/>
        </w:rPr>
        <w:t xml:space="preserve">Provincial de Justicia del Guayas del 25 de junio de 2010, </w:t>
      </w:r>
      <w:r>
        <w:rPr>
          <w:rFonts w:cs="Times New Roman"/>
          <w:b/>
          <w:bCs/>
          <w:spacing w:val="-9"/>
          <w:sz w:val="18"/>
          <w:szCs w:val="18"/>
          <w:lang w:val="es-ES_tradnl"/>
        </w:rPr>
        <w:t>¿</w:t>
      </w:r>
      <w:r>
        <w:rPr>
          <w:b/>
          <w:bCs/>
          <w:spacing w:val="-9"/>
          <w:sz w:val="18"/>
          <w:szCs w:val="18"/>
          <w:lang w:val="es-ES_tradnl"/>
        </w:rPr>
        <w:t>vulner</w:t>
      </w:r>
      <w:r>
        <w:rPr>
          <w:rFonts w:cs="Times New Roman"/>
          <w:b/>
          <w:bCs/>
          <w:spacing w:val="-9"/>
          <w:sz w:val="18"/>
          <w:szCs w:val="18"/>
          <w:lang w:val="es-ES_tradnl"/>
        </w:rPr>
        <w:t>ó</w:t>
      </w:r>
      <w:r>
        <w:rPr>
          <w:b/>
          <w:bCs/>
          <w:spacing w:val="-9"/>
          <w:sz w:val="18"/>
          <w:szCs w:val="18"/>
          <w:lang w:val="es-ES_tradnl"/>
        </w:rPr>
        <w:t xml:space="preserve"> el derecho al debido proceso </w:t>
      </w:r>
      <w:r>
        <w:rPr>
          <w:b/>
          <w:bCs/>
          <w:spacing w:val="-8"/>
          <w:sz w:val="18"/>
          <w:szCs w:val="18"/>
          <w:lang w:val="es-ES_tradnl"/>
        </w:rPr>
        <w:t>en la garant</w:t>
      </w:r>
      <w:r>
        <w:rPr>
          <w:rFonts w:cs="Times New Roman"/>
          <w:b/>
          <w:bCs/>
          <w:spacing w:val="-8"/>
          <w:sz w:val="18"/>
          <w:szCs w:val="18"/>
          <w:lang w:val="es-ES_tradnl"/>
        </w:rPr>
        <w:t>í</w:t>
      </w:r>
      <w:r>
        <w:rPr>
          <w:b/>
          <w:bCs/>
          <w:spacing w:val="-8"/>
          <w:sz w:val="18"/>
          <w:szCs w:val="18"/>
          <w:lang w:val="es-ES_tradnl"/>
        </w:rPr>
        <w:t>a de motivaci</w:t>
      </w:r>
      <w:r>
        <w:rPr>
          <w:rFonts w:cs="Times New Roman"/>
          <w:b/>
          <w:bCs/>
          <w:spacing w:val="-8"/>
          <w:sz w:val="18"/>
          <w:szCs w:val="18"/>
          <w:lang w:val="es-ES_tradnl"/>
        </w:rPr>
        <w:t>ó</w:t>
      </w:r>
      <w:r>
        <w:rPr>
          <w:b/>
          <w:bCs/>
          <w:spacing w:val="-8"/>
          <w:sz w:val="18"/>
          <w:szCs w:val="18"/>
          <w:lang w:val="es-ES_tradnl"/>
        </w:rPr>
        <w:t>n, determinado en el art</w:t>
      </w:r>
      <w:r>
        <w:rPr>
          <w:rFonts w:cs="Times New Roman"/>
          <w:b/>
          <w:bCs/>
          <w:spacing w:val="-8"/>
          <w:sz w:val="18"/>
          <w:szCs w:val="18"/>
          <w:lang w:val="es-ES_tradnl"/>
        </w:rPr>
        <w:t>í</w:t>
      </w:r>
      <w:r>
        <w:rPr>
          <w:b/>
          <w:bCs/>
          <w:spacing w:val="-8"/>
          <w:sz w:val="18"/>
          <w:szCs w:val="18"/>
          <w:lang w:val="es-ES_tradnl"/>
        </w:rPr>
        <w:t>culo 76 numeral 7 literal l) de la Constituci</w:t>
      </w:r>
      <w:r>
        <w:rPr>
          <w:rFonts w:cs="Times New Roman"/>
          <w:b/>
          <w:bCs/>
          <w:spacing w:val="-8"/>
          <w:sz w:val="18"/>
          <w:szCs w:val="18"/>
          <w:lang w:val="es-ES_tradnl"/>
        </w:rPr>
        <w:t>ó</w:t>
      </w:r>
      <w:r>
        <w:rPr>
          <w:b/>
          <w:bCs/>
          <w:spacing w:val="-8"/>
          <w:sz w:val="18"/>
          <w:szCs w:val="18"/>
          <w:lang w:val="es-ES_tradnl"/>
        </w:rPr>
        <w:t xml:space="preserve">n </w:t>
      </w:r>
      <w:r>
        <w:rPr>
          <w:b/>
          <w:bCs/>
          <w:sz w:val="18"/>
          <w:szCs w:val="18"/>
          <w:lang w:val="es-ES_tradnl"/>
        </w:rPr>
        <w:t>de la Rep</w:t>
      </w:r>
      <w:r>
        <w:rPr>
          <w:rFonts w:cs="Times New Roman"/>
          <w:b/>
          <w:bCs/>
          <w:sz w:val="18"/>
          <w:szCs w:val="18"/>
          <w:lang w:val="es-ES_tradnl"/>
        </w:rPr>
        <w:t>ú</w:t>
      </w:r>
      <w:r>
        <w:rPr>
          <w:b/>
          <w:bCs/>
          <w:sz w:val="18"/>
          <w:szCs w:val="18"/>
          <w:lang w:val="es-ES_tradnl"/>
        </w:rPr>
        <w:t>blica?</w:t>
      </w:r>
    </w:p>
    <w:p w14:paraId="4F67B7D2" w14:textId="77777777" w:rsidR="00591D54" w:rsidRDefault="00591D54">
      <w:pPr>
        <w:shd w:val="clear" w:color="auto" w:fill="FFFFFF"/>
        <w:spacing w:before="197" w:line="216" w:lineRule="exact"/>
        <w:jc w:val="both"/>
      </w:pPr>
      <w:r>
        <w:rPr>
          <w:spacing w:val="-8"/>
          <w:sz w:val="18"/>
          <w:szCs w:val="18"/>
          <w:lang w:val="es-ES_tradnl"/>
        </w:rPr>
        <w:t>El derecho al debido proceso, consagrado en el art</w:t>
      </w:r>
      <w:r>
        <w:rPr>
          <w:rFonts w:cs="Times New Roman"/>
          <w:spacing w:val="-8"/>
          <w:sz w:val="18"/>
          <w:szCs w:val="18"/>
          <w:lang w:val="es-ES_tradnl"/>
        </w:rPr>
        <w:t>í</w:t>
      </w:r>
      <w:r>
        <w:rPr>
          <w:spacing w:val="-8"/>
          <w:sz w:val="18"/>
          <w:szCs w:val="18"/>
          <w:lang w:val="es-ES_tradnl"/>
        </w:rPr>
        <w:t xml:space="preserve">culo 76 </w:t>
      </w:r>
      <w:r>
        <w:rPr>
          <w:spacing w:val="-10"/>
          <w:sz w:val="18"/>
          <w:szCs w:val="18"/>
          <w:lang w:val="es-ES_tradnl"/>
        </w:rPr>
        <w:t>de la Constituci</w:t>
      </w:r>
      <w:r>
        <w:rPr>
          <w:rFonts w:cs="Times New Roman"/>
          <w:spacing w:val="-10"/>
          <w:sz w:val="18"/>
          <w:szCs w:val="18"/>
          <w:lang w:val="es-ES_tradnl"/>
        </w:rPr>
        <w:t>ó</w:t>
      </w:r>
      <w:r>
        <w:rPr>
          <w:spacing w:val="-10"/>
          <w:sz w:val="18"/>
          <w:szCs w:val="18"/>
          <w:lang w:val="es-ES_tradnl"/>
        </w:rPr>
        <w:t>n de la Rep</w:t>
      </w:r>
      <w:r>
        <w:rPr>
          <w:rFonts w:cs="Times New Roman"/>
          <w:spacing w:val="-10"/>
          <w:sz w:val="18"/>
          <w:szCs w:val="18"/>
          <w:lang w:val="es-ES_tradnl"/>
        </w:rPr>
        <w:t>ú</w:t>
      </w:r>
      <w:r>
        <w:rPr>
          <w:spacing w:val="-10"/>
          <w:sz w:val="18"/>
          <w:szCs w:val="18"/>
          <w:lang w:val="es-ES_tradnl"/>
        </w:rPr>
        <w:t xml:space="preserve">blica, constituye un derecho de </w:t>
      </w:r>
      <w:r>
        <w:rPr>
          <w:spacing w:val="-8"/>
          <w:sz w:val="18"/>
          <w:szCs w:val="18"/>
          <w:lang w:val="es-ES_tradnl"/>
        </w:rPr>
        <w:t>protecci</w:t>
      </w:r>
      <w:r>
        <w:rPr>
          <w:rFonts w:cs="Times New Roman"/>
          <w:spacing w:val="-8"/>
          <w:sz w:val="18"/>
          <w:szCs w:val="18"/>
          <w:lang w:val="es-ES_tradnl"/>
        </w:rPr>
        <w:t>ó</w:t>
      </w:r>
      <w:r>
        <w:rPr>
          <w:spacing w:val="-8"/>
          <w:sz w:val="18"/>
          <w:szCs w:val="18"/>
          <w:lang w:val="es-ES_tradnl"/>
        </w:rPr>
        <w:t>n y un principio constitucional elemental, siendo el</w:t>
      </w:r>
    </w:p>
    <w:p w14:paraId="4F67B7D3" w14:textId="77777777" w:rsidR="00591D54" w:rsidRDefault="00591D54">
      <w:pPr>
        <w:shd w:val="clear" w:color="auto" w:fill="FFFFFF"/>
        <w:spacing w:line="216" w:lineRule="exact"/>
        <w:jc w:val="both"/>
      </w:pPr>
      <w:r>
        <w:br w:type="column"/>
      </w:r>
      <w:r>
        <w:rPr>
          <w:spacing w:val="-9"/>
          <w:sz w:val="18"/>
          <w:szCs w:val="18"/>
          <w:lang w:val="es-ES_tradnl"/>
        </w:rPr>
        <w:t>conjunto de derechos y garant</w:t>
      </w:r>
      <w:r>
        <w:rPr>
          <w:rFonts w:cs="Times New Roman"/>
          <w:spacing w:val="-9"/>
          <w:sz w:val="18"/>
          <w:szCs w:val="18"/>
          <w:lang w:val="es-ES_tradnl"/>
        </w:rPr>
        <w:t>í</w:t>
      </w:r>
      <w:r>
        <w:rPr>
          <w:spacing w:val="-9"/>
          <w:sz w:val="18"/>
          <w:szCs w:val="18"/>
          <w:lang w:val="es-ES_tradnl"/>
        </w:rPr>
        <w:t>as, as</w:t>
      </w:r>
      <w:r>
        <w:rPr>
          <w:rFonts w:cs="Times New Roman"/>
          <w:spacing w:val="-9"/>
          <w:sz w:val="18"/>
          <w:szCs w:val="18"/>
          <w:lang w:val="es-ES_tradnl"/>
        </w:rPr>
        <w:t>í</w:t>
      </w:r>
      <w:r>
        <w:rPr>
          <w:spacing w:val="-9"/>
          <w:sz w:val="18"/>
          <w:szCs w:val="18"/>
          <w:lang w:val="es-ES_tradnl"/>
        </w:rPr>
        <w:t xml:space="preserve"> como las condiciones </w:t>
      </w:r>
      <w:r>
        <w:rPr>
          <w:spacing w:val="-7"/>
          <w:sz w:val="18"/>
          <w:szCs w:val="18"/>
          <w:lang w:val="es-ES_tradnl"/>
        </w:rPr>
        <w:t>de car</w:t>
      </w:r>
      <w:r>
        <w:rPr>
          <w:rFonts w:cs="Times New Roman"/>
          <w:spacing w:val="-7"/>
          <w:sz w:val="18"/>
          <w:szCs w:val="18"/>
          <w:lang w:val="es-ES_tradnl"/>
        </w:rPr>
        <w:t>á</w:t>
      </w:r>
      <w:r>
        <w:rPr>
          <w:spacing w:val="-7"/>
          <w:sz w:val="18"/>
          <w:szCs w:val="18"/>
          <w:lang w:val="es-ES_tradnl"/>
        </w:rPr>
        <w:t xml:space="preserve">cter sustantivo y procesal que deben cumplirse en </w:t>
      </w:r>
      <w:r>
        <w:rPr>
          <w:spacing w:val="-8"/>
          <w:sz w:val="18"/>
          <w:szCs w:val="18"/>
          <w:lang w:val="es-ES_tradnl"/>
        </w:rPr>
        <w:t xml:space="preserve">procura de que quienes son sometidos a procesos en los </w:t>
      </w:r>
      <w:r>
        <w:rPr>
          <w:spacing w:val="-10"/>
          <w:sz w:val="18"/>
          <w:szCs w:val="18"/>
          <w:lang w:val="es-ES_tradnl"/>
        </w:rPr>
        <w:t xml:space="preserve">cuales se determinen derechos y obligaciones, gocen de las </w:t>
      </w:r>
      <w:r>
        <w:rPr>
          <w:spacing w:val="-9"/>
          <w:sz w:val="18"/>
          <w:szCs w:val="18"/>
          <w:lang w:val="es-ES_tradnl"/>
        </w:rPr>
        <w:t>garant</w:t>
      </w:r>
      <w:r>
        <w:rPr>
          <w:rFonts w:cs="Times New Roman"/>
          <w:spacing w:val="-9"/>
          <w:sz w:val="18"/>
          <w:szCs w:val="18"/>
          <w:lang w:val="es-ES_tradnl"/>
        </w:rPr>
        <w:t>í</w:t>
      </w:r>
      <w:r>
        <w:rPr>
          <w:spacing w:val="-9"/>
          <w:sz w:val="18"/>
          <w:szCs w:val="18"/>
          <w:lang w:val="es-ES_tradnl"/>
        </w:rPr>
        <w:t xml:space="preserve">as para ejercer su derecho de defensa y obtener de </w:t>
      </w:r>
      <w:r>
        <w:rPr>
          <w:spacing w:val="-8"/>
          <w:sz w:val="18"/>
          <w:szCs w:val="18"/>
          <w:lang w:val="es-ES_tradnl"/>
        </w:rPr>
        <w:t xml:space="preserve">los </w:t>
      </w:r>
      <w:r>
        <w:rPr>
          <w:rFonts w:cs="Times New Roman"/>
          <w:spacing w:val="-8"/>
          <w:sz w:val="18"/>
          <w:szCs w:val="18"/>
          <w:lang w:val="es-ES_tradnl"/>
        </w:rPr>
        <w:t>ó</w:t>
      </w:r>
      <w:r>
        <w:rPr>
          <w:spacing w:val="-8"/>
          <w:sz w:val="18"/>
          <w:szCs w:val="18"/>
          <w:lang w:val="es-ES_tradnl"/>
        </w:rPr>
        <w:t xml:space="preserve">rganos judiciales y administrativos, un proceso exento </w:t>
      </w:r>
      <w:r>
        <w:rPr>
          <w:spacing w:val="-10"/>
          <w:sz w:val="18"/>
          <w:szCs w:val="18"/>
          <w:lang w:val="es-ES_tradnl"/>
        </w:rPr>
        <w:t>de arbitrariedades, garantizando as</w:t>
      </w:r>
      <w:r>
        <w:rPr>
          <w:rFonts w:cs="Times New Roman"/>
          <w:spacing w:val="-10"/>
          <w:sz w:val="18"/>
          <w:szCs w:val="18"/>
          <w:lang w:val="es-ES_tradnl"/>
        </w:rPr>
        <w:t>í</w:t>
      </w:r>
      <w:r>
        <w:rPr>
          <w:spacing w:val="-10"/>
          <w:sz w:val="18"/>
          <w:szCs w:val="18"/>
          <w:lang w:val="es-ES_tradnl"/>
        </w:rPr>
        <w:t xml:space="preserve"> una adecuada tutela de </w:t>
      </w:r>
      <w:r>
        <w:rPr>
          <w:sz w:val="18"/>
          <w:szCs w:val="18"/>
          <w:lang w:val="es-ES_tradnl"/>
        </w:rPr>
        <w:t>derechos.</w:t>
      </w:r>
    </w:p>
    <w:p w14:paraId="4F67B7D4" w14:textId="77777777" w:rsidR="00591D54" w:rsidRDefault="00591D54">
      <w:pPr>
        <w:shd w:val="clear" w:color="auto" w:fill="FFFFFF"/>
        <w:spacing w:before="197" w:line="216" w:lineRule="exact"/>
        <w:jc w:val="both"/>
      </w:pPr>
      <w:r>
        <w:rPr>
          <w:sz w:val="18"/>
          <w:szCs w:val="18"/>
          <w:lang w:val="es-ES_tradnl"/>
        </w:rPr>
        <w:t>Dentro del debido proceso, el art</w:t>
      </w:r>
      <w:r>
        <w:rPr>
          <w:rFonts w:cs="Times New Roman"/>
          <w:sz w:val="18"/>
          <w:szCs w:val="18"/>
          <w:lang w:val="es-ES_tradnl"/>
        </w:rPr>
        <w:t>í</w:t>
      </w:r>
      <w:r>
        <w:rPr>
          <w:sz w:val="18"/>
          <w:szCs w:val="18"/>
          <w:lang w:val="es-ES_tradnl"/>
        </w:rPr>
        <w:t xml:space="preserve">culo 76 numeral 7 literal </w:t>
      </w:r>
      <w:r>
        <w:rPr>
          <w:b/>
          <w:bCs/>
          <w:sz w:val="18"/>
          <w:szCs w:val="18"/>
          <w:lang w:val="es-ES_tradnl"/>
        </w:rPr>
        <w:t xml:space="preserve">l </w:t>
      </w:r>
      <w:r>
        <w:rPr>
          <w:sz w:val="18"/>
          <w:szCs w:val="18"/>
          <w:lang w:val="es-ES_tradnl"/>
        </w:rPr>
        <w:t>de 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 xml:space="preserve">blica, prescribe </w:t>
      </w:r>
      <w:r>
        <w:rPr>
          <w:spacing w:val="-8"/>
          <w:sz w:val="18"/>
          <w:szCs w:val="18"/>
          <w:lang w:val="es-ES_tradnl"/>
        </w:rPr>
        <w:t>que las resoluciones de los poderes p</w:t>
      </w:r>
      <w:r>
        <w:rPr>
          <w:rFonts w:cs="Times New Roman"/>
          <w:spacing w:val="-8"/>
          <w:sz w:val="18"/>
          <w:szCs w:val="18"/>
          <w:lang w:val="es-ES_tradnl"/>
        </w:rPr>
        <w:t>ú</w:t>
      </w:r>
      <w:r>
        <w:rPr>
          <w:spacing w:val="-8"/>
          <w:sz w:val="18"/>
          <w:szCs w:val="18"/>
          <w:lang w:val="es-ES_tradnl"/>
        </w:rPr>
        <w:t>blicos deber</w:t>
      </w:r>
      <w:r>
        <w:rPr>
          <w:rFonts w:cs="Times New Roman"/>
          <w:spacing w:val="-8"/>
          <w:sz w:val="18"/>
          <w:szCs w:val="18"/>
          <w:lang w:val="es-ES_tradnl"/>
        </w:rPr>
        <w:t>á</w:t>
      </w:r>
      <w:r>
        <w:rPr>
          <w:spacing w:val="-8"/>
          <w:sz w:val="18"/>
          <w:szCs w:val="18"/>
          <w:lang w:val="es-ES_tradnl"/>
        </w:rPr>
        <w:t>n ser motivadas, para lo cual, es indispensable que la resoluci</w:t>
      </w:r>
      <w:r>
        <w:rPr>
          <w:rFonts w:cs="Times New Roman"/>
          <w:spacing w:val="-8"/>
          <w:sz w:val="18"/>
          <w:szCs w:val="18"/>
          <w:lang w:val="es-ES_tradnl"/>
        </w:rPr>
        <w:t>ó</w:t>
      </w:r>
      <w:r>
        <w:rPr>
          <w:spacing w:val="-8"/>
          <w:sz w:val="18"/>
          <w:szCs w:val="18"/>
          <w:lang w:val="es-ES_tradnl"/>
        </w:rPr>
        <w:t xml:space="preserve">n </w:t>
      </w:r>
      <w:r>
        <w:rPr>
          <w:spacing w:val="-3"/>
          <w:sz w:val="18"/>
          <w:szCs w:val="18"/>
          <w:lang w:val="es-ES_tradnl"/>
        </w:rPr>
        <w:t>se</w:t>
      </w:r>
      <w:r>
        <w:rPr>
          <w:rFonts w:cs="Times New Roman"/>
          <w:spacing w:val="-3"/>
          <w:sz w:val="18"/>
          <w:szCs w:val="18"/>
          <w:lang w:val="es-ES_tradnl"/>
        </w:rPr>
        <w:t>ñ</w:t>
      </w:r>
      <w:r>
        <w:rPr>
          <w:spacing w:val="-3"/>
          <w:sz w:val="18"/>
          <w:szCs w:val="18"/>
          <w:lang w:val="es-ES_tradnl"/>
        </w:rPr>
        <w:t>ale el conjunto de normas jur</w:t>
      </w:r>
      <w:r>
        <w:rPr>
          <w:rFonts w:cs="Times New Roman"/>
          <w:spacing w:val="-3"/>
          <w:sz w:val="18"/>
          <w:szCs w:val="18"/>
          <w:lang w:val="es-ES_tradnl"/>
        </w:rPr>
        <w:t>í</w:t>
      </w:r>
      <w:r>
        <w:rPr>
          <w:spacing w:val="-3"/>
          <w:sz w:val="18"/>
          <w:szCs w:val="18"/>
          <w:lang w:val="es-ES_tradnl"/>
        </w:rPr>
        <w:t xml:space="preserve">dicas o principios que </w:t>
      </w:r>
      <w:r>
        <w:rPr>
          <w:spacing w:val="-6"/>
          <w:sz w:val="18"/>
          <w:szCs w:val="18"/>
          <w:lang w:val="es-ES_tradnl"/>
        </w:rPr>
        <w:t>se utilizaron para fundamentar una decisi</w:t>
      </w:r>
      <w:r>
        <w:rPr>
          <w:rFonts w:cs="Times New Roman"/>
          <w:spacing w:val="-6"/>
          <w:sz w:val="18"/>
          <w:szCs w:val="18"/>
          <w:lang w:val="es-ES_tradnl"/>
        </w:rPr>
        <w:t>ó</w:t>
      </w:r>
      <w:r>
        <w:rPr>
          <w:spacing w:val="-6"/>
          <w:sz w:val="18"/>
          <w:szCs w:val="18"/>
          <w:lang w:val="es-ES_tradnl"/>
        </w:rPr>
        <w:t>n, as</w:t>
      </w:r>
      <w:r>
        <w:rPr>
          <w:rFonts w:cs="Times New Roman"/>
          <w:spacing w:val="-6"/>
          <w:sz w:val="18"/>
          <w:szCs w:val="18"/>
          <w:lang w:val="es-ES_tradnl"/>
        </w:rPr>
        <w:t>í</w:t>
      </w:r>
      <w:r>
        <w:rPr>
          <w:spacing w:val="-6"/>
          <w:sz w:val="18"/>
          <w:szCs w:val="18"/>
          <w:lang w:val="es-ES_tradnl"/>
        </w:rPr>
        <w:t xml:space="preserve"> como la </w:t>
      </w:r>
      <w:r>
        <w:rPr>
          <w:spacing w:val="-7"/>
          <w:sz w:val="18"/>
          <w:szCs w:val="18"/>
          <w:lang w:val="es-ES_tradnl"/>
        </w:rPr>
        <w:t>pertinente aplicaci</w:t>
      </w:r>
      <w:r>
        <w:rPr>
          <w:rFonts w:cs="Times New Roman"/>
          <w:spacing w:val="-7"/>
          <w:sz w:val="18"/>
          <w:szCs w:val="18"/>
          <w:lang w:val="es-ES_tradnl"/>
        </w:rPr>
        <w:t>ó</w:t>
      </w:r>
      <w:r>
        <w:rPr>
          <w:spacing w:val="-7"/>
          <w:sz w:val="18"/>
          <w:szCs w:val="18"/>
          <w:lang w:val="es-ES_tradnl"/>
        </w:rPr>
        <w:t xml:space="preserve">n a cada uno de los antecedentes de </w:t>
      </w:r>
      <w:r>
        <w:rPr>
          <w:sz w:val="18"/>
          <w:szCs w:val="18"/>
          <w:lang w:val="es-ES_tradnl"/>
        </w:rPr>
        <w:t>hecho presentados.</w:t>
      </w:r>
    </w:p>
    <w:p w14:paraId="4F67B7D5" w14:textId="77777777" w:rsidR="00591D54" w:rsidRDefault="00591D54">
      <w:pPr>
        <w:shd w:val="clear" w:color="auto" w:fill="FFFFFF"/>
        <w:spacing w:before="197" w:line="211" w:lineRule="exact"/>
        <w:jc w:val="both"/>
      </w:pPr>
      <w:r>
        <w:rPr>
          <w:spacing w:val="-7"/>
          <w:sz w:val="18"/>
          <w:szCs w:val="18"/>
          <w:lang w:val="es-ES_tradnl"/>
        </w:rPr>
        <w:t>Sobre la relaci</w:t>
      </w:r>
      <w:r>
        <w:rPr>
          <w:rFonts w:cs="Times New Roman"/>
          <w:spacing w:val="-7"/>
          <w:sz w:val="18"/>
          <w:szCs w:val="18"/>
          <w:lang w:val="es-ES_tradnl"/>
        </w:rPr>
        <w:t>ó</w:t>
      </w:r>
      <w:r>
        <w:rPr>
          <w:spacing w:val="-7"/>
          <w:sz w:val="18"/>
          <w:szCs w:val="18"/>
          <w:lang w:val="es-ES_tradnl"/>
        </w:rPr>
        <w:t>n de la garant</w:t>
      </w:r>
      <w:r>
        <w:rPr>
          <w:rFonts w:cs="Times New Roman"/>
          <w:spacing w:val="-7"/>
          <w:sz w:val="18"/>
          <w:szCs w:val="18"/>
          <w:lang w:val="es-ES_tradnl"/>
        </w:rPr>
        <w:t>í</w:t>
      </w:r>
      <w:r>
        <w:rPr>
          <w:spacing w:val="-7"/>
          <w:sz w:val="18"/>
          <w:szCs w:val="18"/>
          <w:lang w:val="es-ES_tradnl"/>
        </w:rPr>
        <w:t>a de motivaci</w:t>
      </w:r>
      <w:r>
        <w:rPr>
          <w:rFonts w:cs="Times New Roman"/>
          <w:spacing w:val="-7"/>
          <w:sz w:val="18"/>
          <w:szCs w:val="18"/>
          <w:lang w:val="es-ES_tradnl"/>
        </w:rPr>
        <w:t>ó</w:t>
      </w:r>
      <w:r>
        <w:rPr>
          <w:spacing w:val="-7"/>
          <w:sz w:val="18"/>
          <w:szCs w:val="18"/>
          <w:lang w:val="es-ES_tradnl"/>
        </w:rPr>
        <w:t xml:space="preserve">n y el derecho </w:t>
      </w:r>
      <w:r>
        <w:rPr>
          <w:spacing w:val="-4"/>
          <w:sz w:val="18"/>
          <w:szCs w:val="18"/>
          <w:lang w:val="es-ES_tradnl"/>
        </w:rPr>
        <w:t xml:space="preserve">a la tutela judicial efectiva, la Corte Constitucional del </w:t>
      </w:r>
      <w:r>
        <w:rPr>
          <w:sz w:val="18"/>
          <w:szCs w:val="18"/>
          <w:lang w:val="es-ES_tradnl"/>
        </w:rPr>
        <w:t>Ecuador</w:t>
      </w:r>
      <w:r>
        <w:rPr>
          <w:sz w:val="18"/>
          <w:szCs w:val="18"/>
          <w:vertAlign w:val="superscript"/>
          <w:lang w:val="es-ES_tradnl"/>
        </w:rPr>
        <w:t>1</w:t>
      </w:r>
      <w:r>
        <w:rPr>
          <w:sz w:val="18"/>
          <w:szCs w:val="18"/>
          <w:lang w:val="es-ES_tradnl"/>
        </w:rPr>
        <w:t xml:space="preserve"> ha indicado que:</w:t>
      </w:r>
    </w:p>
    <w:p w14:paraId="4F67B7D6" w14:textId="77777777" w:rsidR="00591D54" w:rsidRDefault="00591D54">
      <w:pPr>
        <w:shd w:val="clear" w:color="auto" w:fill="FFFFFF"/>
        <w:spacing w:before="202" w:line="216" w:lineRule="exact"/>
        <w:ind w:left="283"/>
        <w:jc w:val="both"/>
      </w:pPr>
      <w:r>
        <w:rPr>
          <w:sz w:val="14"/>
          <w:szCs w:val="14"/>
          <w:lang w:val="es-ES_tradnl"/>
        </w:rPr>
        <w:t>(</w:t>
      </w:r>
      <w:r>
        <w:rPr>
          <w:rFonts w:cs="Times New Roman"/>
          <w:sz w:val="14"/>
          <w:szCs w:val="14"/>
          <w:lang w:val="es-ES_tradnl"/>
        </w:rPr>
        <w:t>…</w:t>
      </w:r>
      <w:r>
        <w:rPr>
          <w:sz w:val="14"/>
          <w:szCs w:val="14"/>
          <w:lang w:val="es-ES_tradnl"/>
        </w:rPr>
        <w:t xml:space="preserve">) la vigencia del Estado constitucional de derechos y justicia, en el cual las personas encuentran consagrado su derecho a acudir a los </w:t>
      </w:r>
      <w:r>
        <w:rPr>
          <w:rFonts w:cs="Times New Roman"/>
          <w:sz w:val="14"/>
          <w:szCs w:val="14"/>
          <w:lang w:val="es-ES_tradnl"/>
        </w:rPr>
        <w:t>ó</w:t>
      </w:r>
      <w:r>
        <w:rPr>
          <w:sz w:val="14"/>
          <w:szCs w:val="14"/>
          <w:lang w:val="es-ES_tradnl"/>
        </w:rPr>
        <w:t>rganos jurisdiccionales para que, a trav</w:t>
      </w:r>
      <w:r>
        <w:rPr>
          <w:rFonts w:cs="Times New Roman"/>
          <w:sz w:val="14"/>
          <w:szCs w:val="14"/>
          <w:lang w:val="es-ES_tradnl"/>
        </w:rPr>
        <w:t>é</w:t>
      </w:r>
      <w:r>
        <w:rPr>
          <w:sz w:val="14"/>
          <w:szCs w:val="14"/>
          <w:lang w:val="es-ES_tradnl"/>
        </w:rPr>
        <w:t>s de un debido procedimiento y en ejercicio de sus derechos y garant</w:t>
      </w:r>
      <w:r>
        <w:rPr>
          <w:rFonts w:cs="Times New Roman"/>
          <w:sz w:val="14"/>
          <w:szCs w:val="14"/>
          <w:lang w:val="es-ES_tradnl"/>
        </w:rPr>
        <w:t>í</w:t>
      </w:r>
      <w:r>
        <w:rPr>
          <w:sz w:val="14"/>
          <w:szCs w:val="14"/>
          <w:lang w:val="es-ES_tradnl"/>
        </w:rPr>
        <w:t xml:space="preserve">as, </w:t>
      </w:r>
      <w:r>
        <w:rPr>
          <w:b/>
          <w:bCs/>
          <w:sz w:val="14"/>
          <w:szCs w:val="14"/>
          <w:lang w:val="es-ES_tradnl"/>
        </w:rPr>
        <w:t>obtener respuestas en decisiones judiciales debidamente motivadas en derecho respecto de sus pretensiones e intereses sin m</w:t>
      </w:r>
      <w:r>
        <w:rPr>
          <w:rFonts w:cs="Times New Roman"/>
          <w:b/>
          <w:bCs/>
          <w:sz w:val="14"/>
          <w:szCs w:val="14"/>
          <w:lang w:val="es-ES_tradnl"/>
        </w:rPr>
        <w:t>á</w:t>
      </w:r>
      <w:r>
        <w:rPr>
          <w:b/>
          <w:bCs/>
          <w:sz w:val="14"/>
          <w:szCs w:val="14"/>
          <w:lang w:val="es-ES_tradnl"/>
        </w:rPr>
        <w:t>s limitaciones que las previstas en la Constituci</w:t>
      </w:r>
      <w:r>
        <w:rPr>
          <w:rFonts w:cs="Times New Roman"/>
          <w:b/>
          <w:bCs/>
          <w:sz w:val="14"/>
          <w:szCs w:val="14"/>
          <w:lang w:val="es-ES_tradnl"/>
        </w:rPr>
        <w:t>ó</w:t>
      </w:r>
      <w:r>
        <w:rPr>
          <w:b/>
          <w:bCs/>
          <w:sz w:val="14"/>
          <w:szCs w:val="14"/>
          <w:lang w:val="es-ES_tradnl"/>
        </w:rPr>
        <w:t xml:space="preserve">n y la Ley </w:t>
      </w:r>
      <w:r>
        <w:rPr>
          <w:sz w:val="14"/>
          <w:szCs w:val="14"/>
          <w:lang w:val="es-ES_tradnl"/>
        </w:rPr>
        <w:t>(</w:t>
      </w:r>
      <w:r>
        <w:rPr>
          <w:rFonts w:cs="Times New Roman"/>
          <w:sz w:val="14"/>
          <w:szCs w:val="14"/>
          <w:lang w:val="es-ES_tradnl"/>
        </w:rPr>
        <w:t>…</w:t>
      </w:r>
      <w:r>
        <w:rPr>
          <w:sz w:val="14"/>
          <w:szCs w:val="14"/>
          <w:lang w:val="es-ES_tradnl"/>
        </w:rPr>
        <w:t>). (Resaltado fuera del texto).</w:t>
      </w:r>
    </w:p>
    <w:p w14:paraId="4F67B7D7" w14:textId="77777777" w:rsidR="00591D54" w:rsidRDefault="00591D54">
      <w:pPr>
        <w:shd w:val="clear" w:color="auto" w:fill="FFFFFF"/>
        <w:spacing w:before="202" w:line="216" w:lineRule="exact"/>
        <w:jc w:val="both"/>
      </w:pPr>
      <w:r>
        <w:rPr>
          <w:spacing w:val="-10"/>
          <w:sz w:val="18"/>
          <w:szCs w:val="18"/>
          <w:lang w:val="es-ES_tradnl"/>
        </w:rPr>
        <w:t xml:space="preserve">En aquel orden de ideas, dentro del segundo elemento de la </w:t>
      </w:r>
      <w:r>
        <w:rPr>
          <w:spacing w:val="-5"/>
          <w:sz w:val="18"/>
          <w:szCs w:val="18"/>
          <w:lang w:val="es-ES_tradnl"/>
        </w:rPr>
        <w:t>tutela judicial efectiva, la motivaci</w:t>
      </w:r>
      <w:r>
        <w:rPr>
          <w:rFonts w:cs="Times New Roman"/>
          <w:spacing w:val="-5"/>
          <w:sz w:val="18"/>
          <w:szCs w:val="18"/>
          <w:lang w:val="es-ES_tradnl"/>
        </w:rPr>
        <w:t>ó</w:t>
      </w:r>
      <w:r>
        <w:rPr>
          <w:spacing w:val="-5"/>
          <w:sz w:val="18"/>
          <w:szCs w:val="18"/>
          <w:lang w:val="es-ES_tradnl"/>
        </w:rPr>
        <w:t xml:space="preserve">n es fundamental para </w:t>
      </w:r>
      <w:r>
        <w:rPr>
          <w:spacing w:val="-9"/>
          <w:sz w:val="18"/>
          <w:szCs w:val="18"/>
          <w:lang w:val="es-ES_tradnl"/>
        </w:rPr>
        <w:t xml:space="preserve">la tutela de los derechos de quienes someten determinada </w:t>
      </w:r>
      <w:r>
        <w:rPr>
          <w:spacing w:val="-8"/>
          <w:sz w:val="18"/>
          <w:szCs w:val="18"/>
          <w:lang w:val="es-ES_tradnl"/>
        </w:rPr>
        <w:t xml:space="preserve">controversia ante los </w:t>
      </w:r>
      <w:r>
        <w:rPr>
          <w:rFonts w:cs="Times New Roman"/>
          <w:spacing w:val="-8"/>
          <w:sz w:val="18"/>
          <w:szCs w:val="18"/>
          <w:lang w:val="es-ES_tradnl"/>
        </w:rPr>
        <w:t>ó</w:t>
      </w:r>
      <w:r>
        <w:rPr>
          <w:spacing w:val="-8"/>
          <w:sz w:val="18"/>
          <w:szCs w:val="18"/>
          <w:lang w:val="es-ES_tradnl"/>
        </w:rPr>
        <w:t xml:space="preserve">rganos judiciales, en tanto exige que </w:t>
      </w:r>
      <w:r>
        <w:rPr>
          <w:spacing w:val="-10"/>
          <w:sz w:val="18"/>
          <w:szCs w:val="18"/>
          <w:lang w:val="es-ES_tradnl"/>
        </w:rPr>
        <w:t xml:space="preserve">se justifiquen adecuadamente las razones por las cuales se </w:t>
      </w:r>
      <w:r>
        <w:rPr>
          <w:spacing w:val="-8"/>
          <w:sz w:val="18"/>
          <w:szCs w:val="18"/>
          <w:lang w:val="es-ES_tradnl"/>
        </w:rPr>
        <w:t>establece una resoluci</w:t>
      </w:r>
      <w:r>
        <w:rPr>
          <w:rFonts w:cs="Times New Roman"/>
          <w:spacing w:val="-8"/>
          <w:sz w:val="18"/>
          <w:szCs w:val="18"/>
          <w:lang w:val="es-ES_tradnl"/>
        </w:rPr>
        <w:t>ó</w:t>
      </w:r>
      <w:r>
        <w:rPr>
          <w:spacing w:val="-8"/>
          <w:sz w:val="18"/>
          <w:szCs w:val="18"/>
          <w:lang w:val="es-ES_tradnl"/>
        </w:rPr>
        <w:t xml:space="preserve">n para cada caso concreto, motivo </w:t>
      </w:r>
      <w:r>
        <w:rPr>
          <w:spacing w:val="-5"/>
          <w:sz w:val="18"/>
          <w:szCs w:val="18"/>
          <w:lang w:val="es-ES_tradnl"/>
        </w:rPr>
        <w:t xml:space="preserve">por el cual, dada la manifiesta interdependencia entre </w:t>
      </w:r>
      <w:r>
        <w:rPr>
          <w:spacing w:val="-8"/>
          <w:sz w:val="18"/>
          <w:szCs w:val="18"/>
          <w:lang w:val="es-ES_tradnl"/>
        </w:rPr>
        <w:t xml:space="preserve">ambos derechos, y en virtud de que la parte accionante ha </w:t>
      </w:r>
      <w:r>
        <w:rPr>
          <w:spacing w:val="-9"/>
          <w:sz w:val="18"/>
          <w:szCs w:val="18"/>
          <w:lang w:val="es-ES_tradnl"/>
        </w:rPr>
        <w:t>se</w:t>
      </w:r>
      <w:r>
        <w:rPr>
          <w:rFonts w:cs="Times New Roman"/>
          <w:spacing w:val="-9"/>
          <w:sz w:val="18"/>
          <w:szCs w:val="18"/>
          <w:lang w:val="es-ES_tradnl"/>
        </w:rPr>
        <w:t>ñ</w:t>
      </w:r>
      <w:r>
        <w:rPr>
          <w:spacing w:val="-9"/>
          <w:sz w:val="18"/>
          <w:szCs w:val="18"/>
          <w:lang w:val="es-ES_tradnl"/>
        </w:rPr>
        <w:t>alado que la resoluci</w:t>
      </w:r>
      <w:r>
        <w:rPr>
          <w:rFonts w:cs="Times New Roman"/>
          <w:spacing w:val="-9"/>
          <w:sz w:val="18"/>
          <w:szCs w:val="18"/>
          <w:lang w:val="es-ES_tradnl"/>
        </w:rPr>
        <w:t>ó</w:t>
      </w:r>
      <w:r>
        <w:rPr>
          <w:spacing w:val="-9"/>
          <w:sz w:val="18"/>
          <w:szCs w:val="18"/>
          <w:lang w:val="es-ES_tradnl"/>
        </w:rPr>
        <w:t>n del 18 de enero de 2013 carece de motivaci</w:t>
      </w:r>
      <w:r>
        <w:rPr>
          <w:rFonts w:cs="Times New Roman"/>
          <w:spacing w:val="-9"/>
          <w:sz w:val="18"/>
          <w:szCs w:val="18"/>
          <w:lang w:val="es-ES_tradnl"/>
        </w:rPr>
        <w:t>ó</w:t>
      </w:r>
      <w:r>
        <w:rPr>
          <w:spacing w:val="-9"/>
          <w:sz w:val="18"/>
          <w:szCs w:val="18"/>
          <w:lang w:val="es-ES_tradnl"/>
        </w:rPr>
        <w:t>n, se analizar</w:t>
      </w:r>
      <w:r>
        <w:rPr>
          <w:rFonts w:cs="Times New Roman"/>
          <w:spacing w:val="-9"/>
          <w:sz w:val="18"/>
          <w:szCs w:val="18"/>
          <w:lang w:val="es-ES_tradnl"/>
        </w:rPr>
        <w:t>á</w:t>
      </w:r>
      <w:r>
        <w:rPr>
          <w:spacing w:val="-9"/>
          <w:sz w:val="18"/>
          <w:szCs w:val="18"/>
          <w:lang w:val="es-ES_tradnl"/>
        </w:rPr>
        <w:t xml:space="preserve"> si esta se encuentra conforme a </w:t>
      </w:r>
      <w:r>
        <w:rPr>
          <w:sz w:val="18"/>
          <w:szCs w:val="18"/>
          <w:lang w:val="es-ES_tradnl"/>
        </w:rPr>
        <w:t>las exigencias que impone esta garant</w:t>
      </w:r>
      <w:r>
        <w:rPr>
          <w:rFonts w:cs="Times New Roman"/>
          <w:sz w:val="18"/>
          <w:szCs w:val="18"/>
          <w:lang w:val="es-ES_tradnl"/>
        </w:rPr>
        <w:t>í</w:t>
      </w:r>
      <w:r>
        <w:rPr>
          <w:sz w:val="18"/>
          <w:szCs w:val="18"/>
          <w:lang w:val="es-ES_tradnl"/>
        </w:rPr>
        <w:t>a.</w:t>
      </w:r>
    </w:p>
    <w:p w14:paraId="4F67B7D8" w14:textId="77777777" w:rsidR="00591D54" w:rsidRDefault="00591D54">
      <w:pPr>
        <w:shd w:val="clear" w:color="auto" w:fill="FFFFFF"/>
        <w:spacing w:before="192" w:line="216" w:lineRule="exact"/>
        <w:jc w:val="both"/>
      </w:pPr>
      <w:r>
        <w:rPr>
          <w:spacing w:val="-6"/>
          <w:sz w:val="18"/>
          <w:szCs w:val="18"/>
          <w:lang w:val="es-ES_tradnl"/>
        </w:rPr>
        <w:t>La Corte Constitucional, para el per</w:t>
      </w:r>
      <w:r>
        <w:rPr>
          <w:rFonts w:cs="Times New Roman"/>
          <w:spacing w:val="-6"/>
          <w:sz w:val="18"/>
          <w:szCs w:val="18"/>
          <w:lang w:val="es-ES_tradnl"/>
        </w:rPr>
        <w:t>í</w:t>
      </w:r>
      <w:r>
        <w:rPr>
          <w:spacing w:val="-6"/>
          <w:sz w:val="18"/>
          <w:szCs w:val="18"/>
          <w:lang w:val="es-ES_tradnl"/>
        </w:rPr>
        <w:t>odo de transici</w:t>
      </w:r>
      <w:r>
        <w:rPr>
          <w:rFonts w:cs="Times New Roman"/>
          <w:spacing w:val="-6"/>
          <w:sz w:val="18"/>
          <w:szCs w:val="18"/>
          <w:lang w:val="es-ES_tradnl"/>
        </w:rPr>
        <w:t>ó</w:t>
      </w:r>
      <w:r>
        <w:rPr>
          <w:spacing w:val="-6"/>
          <w:sz w:val="18"/>
          <w:szCs w:val="18"/>
          <w:lang w:val="es-ES_tradnl"/>
        </w:rPr>
        <w:t>n, as</w:t>
      </w:r>
      <w:r>
        <w:rPr>
          <w:rFonts w:cs="Times New Roman"/>
          <w:spacing w:val="-6"/>
          <w:sz w:val="18"/>
          <w:szCs w:val="18"/>
          <w:lang w:val="es-ES_tradnl"/>
        </w:rPr>
        <w:t xml:space="preserve">í </w:t>
      </w:r>
      <w:r>
        <w:rPr>
          <w:spacing w:val="-7"/>
          <w:sz w:val="18"/>
          <w:szCs w:val="18"/>
          <w:lang w:val="es-ES_tradnl"/>
        </w:rPr>
        <w:t xml:space="preserve">como la Corte Constitucional del Ecuador han establecido </w:t>
      </w:r>
      <w:r>
        <w:rPr>
          <w:spacing w:val="-9"/>
          <w:sz w:val="18"/>
          <w:szCs w:val="18"/>
          <w:lang w:val="es-ES_tradnl"/>
        </w:rPr>
        <w:t xml:space="preserve">en reiteradas ocasiones que para que una sentencia se </w:t>
      </w:r>
      <w:r>
        <w:rPr>
          <w:spacing w:val="-8"/>
          <w:sz w:val="18"/>
          <w:szCs w:val="18"/>
          <w:lang w:val="es-ES_tradnl"/>
        </w:rPr>
        <w:t xml:space="preserve">encuentre debidamente motivada, es necesario que se </w:t>
      </w:r>
      <w:r>
        <w:rPr>
          <w:spacing w:val="-5"/>
          <w:sz w:val="18"/>
          <w:szCs w:val="18"/>
          <w:lang w:val="es-ES_tradnl"/>
        </w:rPr>
        <w:t>cumplan los requisitos de: a) razonabilidad, b) l</w:t>
      </w:r>
      <w:r>
        <w:rPr>
          <w:rFonts w:cs="Times New Roman"/>
          <w:spacing w:val="-5"/>
          <w:sz w:val="18"/>
          <w:szCs w:val="18"/>
          <w:lang w:val="es-ES_tradnl"/>
        </w:rPr>
        <w:t>ó</w:t>
      </w:r>
      <w:r>
        <w:rPr>
          <w:spacing w:val="-5"/>
          <w:sz w:val="18"/>
          <w:szCs w:val="18"/>
          <w:lang w:val="es-ES_tradnl"/>
        </w:rPr>
        <w:t xml:space="preserve">gica y c) </w:t>
      </w:r>
      <w:r>
        <w:rPr>
          <w:sz w:val="18"/>
          <w:szCs w:val="18"/>
          <w:lang w:val="es-ES_tradnl"/>
        </w:rPr>
        <w:t>comprensibilidad.</w:t>
      </w:r>
    </w:p>
    <w:p w14:paraId="4F67B7D9" w14:textId="77777777" w:rsidR="00591D54" w:rsidRDefault="00591D54">
      <w:pPr>
        <w:shd w:val="clear" w:color="auto" w:fill="FFFFFF"/>
        <w:spacing w:before="192" w:line="221" w:lineRule="exact"/>
        <w:jc w:val="both"/>
      </w:pPr>
      <w:r>
        <w:rPr>
          <w:spacing w:val="-6"/>
          <w:sz w:val="18"/>
          <w:szCs w:val="18"/>
          <w:lang w:val="es-ES_tradnl"/>
        </w:rPr>
        <w:t>Respecto de aquellos par</w:t>
      </w:r>
      <w:r>
        <w:rPr>
          <w:rFonts w:cs="Times New Roman"/>
          <w:spacing w:val="-6"/>
          <w:sz w:val="18"/>
          <w:szCs w:val="18"/>
          <w:lang w:val="es-ES_tradnl"/>
        </w:rPr>
        <w:t>á</w:t>
      </w:r>
      <w:r>
        <w:rPr>
          <w:spacing w:val="-6"/>
          <w:sz w:val="18"/>
          <w:szCs w:val="18"/>
          <w:lang w:val="es-ES_tradnl"/>
        </w:rPr>
        <w:t>metros, esta Corte</w:t>
      </w:r>
      <w:r>
        <w:rPr>
          <w:spacing w:val="-6"/>
          <w:sz w:val="18"/>
          <w:szCs w:val="18"/>
          <w:vertAlign w:val="superscript"/>
          <w:lang w:val="es-ES_tradnl"/>
        </w:rPr>
        <w:t>2</w:t>
      </w:r>
      <w:r>
        <w:rPr>
          <w:spacing w:val="-6"/>
          <w:sz w:val="18"/>
          <w:szCs w:val="18"/>
          <w:lang w:val="es-ES_tradnl"/>
        </w:rPr>
        <w:t xml:space="preserve"> precis</w:t>
      </w:r>
      <w:r>
        <w:rPr>
          <w:rFonts w:cs="Times New Roman"/>
          <w:spacing w:val="-6"/>
          <w:sz w:val="18"/>
          <w:szCs w:val="18"/>
          <w:lang w:val="es-ES_tradnl"/>
        </w:rPr>
        <w:t>ó</w:t>
      </w:r>
      <w:r>
        <w:rPr>
          <w:spacing w:val="-6"/>
          <w:sz w:val="18"/>
          <w:szCs w:val="18"/>
          <w:lang w:val="es-ES_tradnl"/>
        </w:rPr>
        <w:t xml:space="preserve">, </w:t>
      </w:r>
      <w:r>
        <w:rPr>
          <w:spacing w:val="-8"/>
          <w:sz w:val="18"/>
          <w:szCs w:val="18"/>
          <w:lang w:val="es-ES_tradnl"/>
        </w:rPr>
        <w:t>dentro de la sentencia N.</w:t>
      </w:r>
      <w:r>
        <w:rPr>
          <w:rFonts w:cs="Times New Roman"/>
          <w:spacing w:val="-8"/>
          <w:sz w:val="18"/>
          <w:szCs w:val="18"/>
          <w:lang w:val="es-ES_tradnl"/>
        </w:rPr>
        <w:t>º</w:t>
      </w:r>
      <w:r>
        <w:rPr>
          <w:spacing w:val="-8"/>
          <w:sz w:val="18"/>
          <w:szCs w:val="18"/>
          <w:lang w:val="es-ES_tradnl"/>
        </w:rPr>
        <w:t xml:space="preserve"> 121-14-SEP-CC, que:</w:t>
      </w:r>
    </w:p>
    <w:p w14:paraId="4F67B7DA" w14:textId="77777777" w:rsidR="00591D54" w:rsidRDefault="00591D54">
      <w:pPr>
        <w:shd w:val="clear" w:color="auto" w:fill="FFFFFF"/>
        <w:spacing w:before="206" w:line="216" w:lineRule="exact"/>
        <w:ind w:left="283"/>
        <w:jc w:val="both"/>
      </w:pPr>
      <w:r>
        <w:rPr>
          <w:sz w:val="14"/>
          <w:szCs w:val="14"/>
          <w:lang w:val="es-ES_tradnl"/>
        </w:rPr>
        <w:t>(</w:t>
      </w:r>
      <w:r>
        <w:rPr>
          <w:rFonts w:cs="Times New Roman"/>
          <w:sz w:val="14"/>
          <w:szCs w:val="14"/>
          <w:lang w:val="es-ES_tradnl"/>
        </w:rPr>
        <w:t>…</w:t>
      </w:r>
      <w:r>
        <w:rPr>
          <w:sz w:val="14"/>
          <w:szCs w:val="14"/>
          <w:lang w:val="es-ES_tradnl"/>
        </w:rPr>
        <w:t>) razonable en el sentido de que la decisi</w:t>
      </w:r>
      <w:r>
        <w:rPr>
          <w:rFonts w:cs="Times New Roman"/>
          <w:sz w:val="14"/>
          <w:szCs w:val="14"/>
          <w:lang w:val="es-ES_tradnl"/>
        </w:rPr>
        <w:t>ó</w:t>
      </w:r>
      <w:r>
        <w:rPr>
          <w:sz w:val="14"/>
          <w:szCs w:val="14"/>
          <w:lang w:val="es-ES_tradnl"/>
        </w:rPr>
        <w:t>n se fundamente en lo dispuesto en las disposiciones constitucionales y normativa pertinente; l</w:t>
      </w:r>
      <w:r>
        <w:rPr>
          <w:rFonts w:cs="Times New Roman"/>
          <w:sz w:val="14"/>
          <w:szCs w:val="14"/>
          <w:lang w:val="es-ES_tradnl"/>
        </w:rPr>
        <w:t>ó</w:t>
      </w:r>
      <w:r>
        <w:rPr>
          <w:sz w:val="14"/>
          <w:szCs w:val="14"/>
          <w:lang w:val="es-ES_tradnl"/>
        </w:rPr>
        <w:t>gica, en lo que respecta a que la misma</w:t>
      </w:r>
    </w:p>
    <w:p w14:paraId="4F67B7DB" w14:textId="77777777" w:rsidR="00591D54" w:rsidRDefault="00591D54">
      <w:pPr>
        <w:shd w:val="clear" w:color="auto" w:fill="FFFFFF"/>
        <w:tabs>
          <w:tab w:val="left" w:pos="144"/>
        </w:tabs>
        <w:spacing w:before="422" w:line="182" w:lineRule="exact"/>
        <w:ind w:left="144" w:hanging="144"/>
      </w:pPr>
      <w:r>
        <w:rPr>
          <w:sz w:val="16"/>
          <w:szCs w:val="16"/>
          <w:vertAlign w:val="superscript"/>
          <w:lang w:val="es-ES_tradnl"/>
        </w:rPr>
        <w:t>1</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º</w:t>
      </w:r>
      <w:r>
        <w:rPr>
          <w:sz w:val="18"/>
          <w:szCs w:val="18"/>
          <w:lang w:val="es-ES_tradnl"/>
        </w:rPr>
        <w:t xml:space="preserve"> </w:t>
      </w:r>
      <w:r>
        <w:rPr>
          <w:sz w:val="14"/>
          <w:szCs w:val="14"/>
          <w:lang w:val="es-ES_tradnl"/>
        </w:rPr>
        <w:t>110-13-SEP-CC, </w:t>
      </w:r>
      <w:r>
        <w:rPr>
          <w:spacing w:val="-1"/>
          <w:sz w:val="14"/>
          <w:szCs w:val="14"/>
          <w:lang w:val="es-ES_tradnl"/>
        </w:rPr>
        <w:t>caso N.</w:t>
      </w:r>
      <w:r>
        <w:rPr>
          <w:rFonts w:cs="Times New Roman"/>
          <w:spacing w:val="-1"/>
          <w:sz w:val="14"/>
          <w:szCs w:val="14"/>
          <w:lang w:val="es-ES_tradnl"/>
        </w:rPr>
        <w:t>º</w:t>
      </w:r>
      <w:r>
        <w:rPr>
          <w:spacing w:val="-1"/>
          <w:sz w:val="14"/>
          <w:szCs w:val="14"/>
          <w:lang w:val="es-ES_tradnl"/>
        </w:rPr>
        <w:t xml:space="preserve"> 0690-12-EP. Quito, D. M., 04 de diciembre de 2013.</w:t>
      </w:r>
    </w:p>
    <w:p w14:paraId="4F67B7DC" w14:textId="77777777" w:rsidR="00591D54" w:rsidRDefault="00591D54">
      <w:pPr>
        <w:shd w:val="clear" w:color="auto" w:fill="FFFFFF"/>
        <w:tabs>
          <w:tab w:val="left" w:pos="144"/>
        </w:tabs>
        <w:spacing w:before="149" w:line="178" w:lineRule="exact"/>
        <w:ind w:left="144" w:hanging="144"/>
      </w:pPr>
      <w:r>
        <w:rPr>
          <w:sz w:val="10"/>
          <w:szCs w:val="10"/>
          <w:vertAlign w:val="superscript"/>
          <w:lang w:val="es-ES_tradnl"/>
        </w:rPr>
        <w:t>2</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º</w:t>
      </w:r>
      <w:r>
        <w:rPr>
          <w:sz w:val="18"/>
          <w:szCs w:val="18"/>
          <w:lang w:val="es-ES_tradnl"/>
        </w:rPr>
        <w:t xml:space="preserve"> </w:t>
      </w:r>
      <w:r>
        <w:rPr>
          <w:sz w:val="14"/>
          <w:szCs w:val="14"/>
          <w:lang w:val="es-ES_tradnl"/>
        </w:rPr>
        <w:t>121-14-SEP-CC, </w:t>
      </w:r>
      <w:r>
        <w:rPr>
          <w:spacing w:val="-2"/>
          <w:sz w:val="14"/>
          <w:szCs w:val="14"/>
          <w:lang w:val="es-ES_tradnl"/>
        </w:rPr>
        <w:t>caso N.</w:t>
      </w:r>
      <w:r>
        <w:rPr>
          <w:rFonts w:cs="Times New Roman"/>
          <w:spacing w:val="-2"/>
          <w:sz w:val="14"/>
          <w:szCs w:val="14"/>
          <w:lang w:val="es-ES_tradnl"/>
        </w:rPr>
        <w:t>º</w:t>
      </w:r>
      <w:r>
        <w:rPr>
          <w:spacing w:val="-2"/>
          <w:sz w:val="14"/>
          <w:szCs w:val="14"/>
          <w:lang w:val="es-ES_tradnl"/>
        </w:rPr>
        <w:t xml:space="preserve"> 0523-12-EP. Quito, D. M., 06 de agosto de 2014.</w:t>
      </w:r>
    </w:p>
    <w:p w14:paraId="4F67B7DD" w14:textId="77777777" w:rsidR="00591D54" w:rsidRDefault="00591D54">
      <w:pPr>
        <w:shd w:val="clear" w:color="auto" w:fill="FFFFFF"/>
        <w:tabs>
          <w:tab w:val="left" w:pos="144"/>
        </w:tabs>
        <w:spacing w:before="149" w:line="178" w:lineRule="exact"/>
        <w:ind w:left="144" w:hanging="144"/>
        <w:sectPr w:rsidR="00591D54">
          <w:type w:val="continuous"/>
          <w:pgSz w:w="11909" w:h="16834"/>
          <w:pgMar w:top="1356" w:right="1309" w:bottom="360" w:left="1308" w:header="720" w:footer="720" w:gutter="0"/>
          <w:cols w:num="2" w:space="720" w:equalWidth="0">
            <w:col w:w="4305" w:space="682"/>
            <w:col w:w="4305"/>
          </w:cols>
          <w:noEndnote/>
        </w:sectPr>
      </w:pPr>
    </w:p>
    <w:p w14:paraId="4F67B7DE" w14:textId="77777777" w:rsidR="00591D54" w:rsidRDefault="00591D54">
      <w:pPr>
        <w:shd w:val="clear" w:color="auto" w:fill="FFFFFF"/>
        <w:tabs>
          <w:tab w:val="left" w:pos="4814"/>
        </w:tabs>
        <w:spacing w:after="230"/>
        <w:ind w:left="5"/>
      </w:pPr>
      <w:r>
        <w:rPr>
          <w:b/>
          <w:bCs/>
          <w:sz w:val="18"/>
          <w:szCs w:val="18"/>
          <w:lang w:val="es-ES_tradnl"/>
        </w:rPr>
        <w:t xml:space="preserve">248 -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7DF" w14:textId="77777777" w:rsidR="00591D54" w:rsidRDefault="00591D54">
      <w:pPr>
        <w:shd w:val="clear" w:color="auto" w:fill="FFFFFF"/>
        <w:tabs>
          <w:tab w:val="left" w:pos="4814"/>
        </w:tabs>
        <w:spacing w:after="230"/>
        <w:ind w:left="5"/>
        <w:sectPr w:rsidR="00591D54">
          <w:pgSz w:w="11909" w:h="16834"/>
          <w:pgMar w:top="1371" w:right="1309" w:bottom="360" w:left="1308" w:header="720" w:footer="720" w:gutter="0"/>
          <w:cols w:space="60"/>
          <w:noEndnote/>
        </w:sectPr>
      </w:pPr>
    </w:p>
    <w:p w14:paraId="4F67B7E0" w14:textId="77777777" w:rsidR="00591D54" w:rsidRDefault="00591D54">
      <w:pPr>
        <w:shd w:val="clear" w:color="auto" w:fill="FFFFFF"/>
        <w:spacing w:line="216" w:lineRule="exact"/>
        <w:ind w:left="283"/>
        <w:jc w:val="both"/>
      </w:pPr>
      <w:r>
        <w:rPr>
          <w:spacing w:val="-7"/>
          <w:sz w:val="16"/>
          <w:szCs w:val="16"/>
          <w:lang w:val="es-ES_tradnl"/>
        </w:rPr>
        <w:t>contenga una estructura coherente, en la cual el operador de justicia, mediante la contraposici</w:t>
      </w:r>
      <w:r>
        <w:rPr>
          <w:rFonts w:cs="Times New Roman"/>
          <w:spacing w:val="-7"/>
          <w:sz w:val="16"/>
          <w:szCs w:val="16"/>
          <w:lang w:val="es-ES_tradnl"/>
        </w:rPr>
        <w:t>ó</w:t>
      </w:r>
      <w:r>
        <w:rPr>
          <w:spacing w:val="-7"/>
          <w:sz w:val="16"/>
          <w:szCs w:val="16"/>
          <w:lang w:val="es-ES_tradnl"/>
        </w:rPr>
        <w:t>n entre elementos f</w:t>
      </w:r>
      <w:r>
        <w:rPr>
          <w:rFonts w:cs="Times New Roman"/>
          <w:spacing w:val="-7"/>
          <w:sz w:val="16"/>
          <w:szCs w:val="16"/>
          <w:lang w:val="es-ES_tradnl"/>
        </w:rPr>
        <w:t>á</w:t>
      </w:r>
      <w:r>
        <w:rPr>
          <w:spacing w:val="-7"/>
          <w:sz w:val="16"/>
          <w:szCs w:val="16"/>
          <w:lang w:val="es-ES_tradnl"/>
        </w:rPr>
        <w:t xml:space="preserve">cticos y </w:t>
      </w:r>
      <w:r>
        <w:rPr>
          <w:spacing w:val="-9"/>
          <w:sz w:val="16"/>
          <w:szCs w:val="16"/>
          <w:lang w:val="es-ES_tradnl"/>
        </w:rPr>
        <w:t>jur</w:t>
      </w:r>
      <w:r>
        <w:rPr>
          <w:rFonts w:cs="Times New Roman"/>
          <w:spacing w:val="-9"/>
          <w:sz w:val="16"/>
          <w:szCs w:val="16"/>
          <w:lang w:val="es-ES_tradnl"/>
        </w:rPr>
        <w:t>í</w:t>
      </w:r>
      <w:r>
        <w:rPr>
          <w:spacing w:val="-9"/>
          <w:sz w:val="16"/>
          <w:szCs w:val="16"/>
          <w:lang w:val="es-ES_tradnl"/>
        </w:rPr>
        <w:t xml:space="preserve">dicos, establezca conclusiones que guarden coherencia con </w:t>
      </w:r>
      <w:r>
        <w:rPr>
          <w:spacing w:val="-8"/>
          <w:sz w:val="16"/>
          <w:szCs w:val="16"/>
          <w:lang w:val="es-ES_tradnl"/>
        </w:rPr>
        <w:t>estos elementos, y que de este an</w:t>
      </w:r>
      <w:r>
        <w:rPr>
          <w:rFonts w:cs="Times New Roman"/>
          <w:spacing w:val="-8"/>
          <w:sz w:val="16"/>
          <w:szCs w:val="16"/>
          <w:lang w:val="es-ES_tradnl"/>
        </w:rPr>
        <w:t>á</w:t>
      </w:r>
      <w:r>
        <w:rPr>
          <w:spacing w:val="-8"/>
          <w:sz w:val="16"/>
          <w:szCs w:val="16"/>
          <w:lang w:val="es-ES_tradnl"/>
        </w:rPr>
        <w:t xml:space="preserve">lisis, al final se establezca </w:t>
      </w:r>
      <w:r>
        <w:rPr>
          <w:spacing w:val="-10"/>
          <w:sz w:val="16"/>
          <w:szCs w:val="16"/>
          <w:lang w:val="es-ES_tradnl"/>
        </w:rPr>
        <w:t>una decisi</w:t>
      </w:r>
      <w:r>
        <w:rPr>
          <w:rFonts w:cs="Times New Roman"/>
          <w:spacing w:val="-10"/>
          <w:sz w:val="16"/>
          <w:szCs w:val="16"/>
          <w:lang w:val="es-ES_tradnl"/>
        </w:rPr>
        <w:t>ó</w:t>
      </w:r>
      <w:r>
        <w:rPr>
          <w:spacing w:val="-10"/>
          <w:sz w:val="16"/>
          <w:szCs w:val="16"/>
          <w:lang w:val="es-ES_tradnl"/>
        </w:rPr>
        <w:t xml:space="preserve">n general del caso; comprensible en lo que se refiere </w:t>
      </w:r>
      <w:r>
        <w:rPr>
          <w:spacing w:val="-8"/>
          <w:sz w:val="16"/>
          <w:szCs w:val="16"/>
          <w:lang w:val="es-ES_tradnl"/>
        </w:rPr>
        <w:t>al lenguaje que se utilice en la decisi</w:t>
      </w:r>
      <w:r>
        <w:rPr>
          <w:rFonts w:cs="Times New Roman"/>
          <w:spacing w:val="-8"/>
          <w:sz w:val="16"/>
          <w:szCs w:val="16"/>
          <w:lang w:val="es-ES_tradnl"/>
        </w:rPr>
        <w:t>ó</w:t>
      </w:r>
      <w:r>
        <w:rPr>
          <w:spacing w:val="-8"/>
          <w:sz w:val="16"/>
          <w:szCs w:val="16"/>
          <w:lang w:val="es-ES_tradnl"/>
        </w:rPr>
        <w:t xml:space="preserve">n, el mismo que debe ser </w:t>
      </w:r>
      <w:r>
        <w:rPr>
          <w:spacing w:val="-5"/>
          <w:sz w:val="16"/>
          <w:szCs w:val="16"/>
          <w:lang w:val="es-ES_tradnl"/>
        </w:rPr>
        <w:t>dirigido hacia el entendimiento por parte del auditorio social.</w:t>
      </w:r>
    </w:p>
    <w:p w14:paraId="4F67B7E1" w14:textId="77777777" w:rsidR="00591D54" w:rsidRDefault="00591D54">
      <w:pPr>
        <w:shd w:val="clear" w:color="auto" w:fill="FFFFFF"/>
        <w:spacing w:before="202" w:line="216" w:lineRule="exact"/>
        <w:ind w:right="5"/>
        <w:jc w:val="both"/>
      </w:pPr>
      <w:r>
        <w:rPr>
          <w:spacing w:val="-6"/>
          <w:sz w:val="18"/>
          <w:szCs w:val="18"/>
          <w:lang w:val="es-ES_tradnl"/>
        </w:rPr>
        <w:t xml:space="preserve">Con estas consideraciones, esta Corte Constitucional </w:t>
      </w:r>
      <w:r>
        <w:rPr>
          <w:spacing w:val="-7"/>
          <w:sz w:val="18"/>
          <w:szCs w:val="18"/>
          <w:lang w:val="es-ES_tradnl"/>
        </w:rPr>
        <w:t>analizar</w:t>
      </w:r>
      <w:r>
        <w:rPr>
          <w:rFonts w:cs="Times New Roman"/>
          <w:spacing w:val="-7"/>
          <w:sz w:val="18"/>
          <w:szCs w:val="18"/>
          <w:lang w:val="es-ES_tradnl"/>
        </w:rPr>
        <w:t>á</w:t>
      </w:r>
      <w:r>
        <w:rPr>
          <w:spacing w:val="-7"/>
          <w:sz w:val="18"/>
          <w:szCs w:val="18"/>
          <w:lang w:val="es-ES_tradnl"/>
        </w:rPr>
        <w:t xml:space="preserve"> los fundamentos utilizados en la sentencia de mayor</w:t>
      </w:r>
      <w:r>
        <w:rPr>
          <w:rFonts w:cs="Times New Roman"/>
          <w:spacing w:val="-7"/>
          <w:sz w:val="18"/>
          <w:szCs w:val="18"/>
          <w:lang w:val="es-ES_tradnl"/>
        </w:rPr>
        <w:t>í</w:t>
      </w:r>
      <w:r>
        <w:rPr>
          <w:spacing w:val="-7"/>
          <w:sz w:val="18"/>
          <w:szCs w:val="18"/>
          <w:lang w:val="es-ES_tradnl"/>
        </w:rPr>
        <w:t>a impugnada para emitir su decisi</w:t>
      </w:r>
      <w:r>
        <w:rPr>
          <w:rFonts w:cs="Times New Roman"/>
          <w:spacing w:val="-7"/>
          <w:sz w:val="18"/>
          <w:szCs w:val="18"/>
          <w:lang w:val="es-ES_tradnl"/>
        </w:rPr>
        <w:t>ó</w:t>
      </w:r>
      <w:r>
        <w:rPr>
          <w:spacing w:val="-7"/>
          <w:sz w:val="18"/>
          <w:szCs w:val="18"/>
          <w:lang w:val="es-ES_tradnl"/>
        </w:rPr>
        <w:t xml:space="preserve">n, para verificar </w:t>
      </w:r>
      <w:r>
        <w:rPr>
          <w:spacing w:val="-10"/>
          <w:sz w:val="18"/>
          <w:szCs w:val="18"/>
          <w:lang w:val="es-ES_tradnl"/>
        </w:rPr>
        <w:t>si cumple con los par</w:t>
      </w:r>
      <w:r>
        <w:rPr>
          <w:rFonts w:cs="Times New Roman"/>
          <w:spacing w:val="-10"/>
          <w:sz w:val="18"/>
          <w:szCs w:val="18"/>
          <w:lang w:val="es-ES_tradnl"/>
        </w:rPr>
        <w:t>á</w:t>
      </w:r>
      <w:r>
        <w:rPr>
          <w:spacing w:val="-10"/>
          <w:sz w:val="18"/>
          <w:szCs w:val="18"/>
          <w:lang w:val="es-ES_tradnl"/>
        </w:rPr>
        <w:t xml:space="preserve">metros que configuran una adecuada </w:t>
      </w:r>
      <w:r>
        <w:rPr>
          <w:sz w:val="18"/>
          <w:szCs w:val="18"/>
          <w:lang w:val="es-ES_tradnl"/>
        </w:rPr>
        <w:t>motivaci</w:t>
      </w:r>
      <w:r>
        <w:rPr>
          <w:rFonts w:cs="Times New Roman"/>
          <w:sz w:val="18"/>
          <w:szCs w:val="18"/>
          <w:lang w:val="es-ES_tradnl"/>
        </w:rPr>
        <w:t>ó</w:t>
      </w:r>
      <w:r>
        <w:rPr>
          <w:sz w:val="18"/>
          <w:szCs w:val="18"/>
          <w:lang w:val="es-ES_tradnl"/>
        </w:rPr>
        <w:t>n.</w:t>
      </w:r>
    </w:p>
    <w:p w14:paraId="4F67B7E2" w14:textId="77777777" w:rsidR="00591D54" w:rsidRDefault="00591D54">
      <w:pPr>
        <w:shd w:val="clear" w:color="auto" w:fill="FFFFFF"/>
        <w:spacing w:before="197" w:line="216" w:lineRule="exact"/>
        <w:jc w:val="both"/>
      </w:pPr>
      <w:r>
        <w:rPr>
          <w:spacing w:val="-6"/>
          <w:sz w:val="18"/>
          <w:szCs w:val="18"/>
          <w:lang w:val="es-ES_tradnl"/>
        </w:rPr>
        <w:t>La razonabilidad implica la fundamentaci</w:t>
      </w:r>
      <w:r>
        <w:rPr>
          <w:rFonts w:cs="Times New Roman"/>
          <w:spacing w:val="-6"/>
          <w:sz w:val="18"/>
          <w:szCs w:val="18"/>
          <w:lang w:val="es-ES_tradnl"/>
        </w:rPr>
        <w:t>ó</w:t>
      </w:r>
      <w:r>
        <w:rPr>
          <w:spacing w:val="-6"/>
          <w:sz w:val="18"/>
          <w:szCs w:val="18"/>
          <w:lang w:val="es-ES_tradnl"/>
        </w:rPr>
        <w:t>n de la decisi</w:t>
      </w:r>
      <w:r>
        <w:rPr>
          <w:rFonts w:cs="Times New Roman"/>
          <w:spacing w:val="-6"/>
          <w:sz w:val="18"/>
          <w:szCs w:val="18"/>
          <w:lang w:val="es-ES_tradnl"/>
        </w:rPr>
        <w:t>ó</w:t>
      </w:r>
      <w:r>
        <w:rPr>
          <w:spacing w:val="-6"/>
          <w:sz w:val="18"/>
          <w:szCs w:val="18"/>
          <w:lang w:val="es-ES_tradnl"/>
        </w:rPr>
        <w:t xml:space="preserve">n </w:t>
      </w:r>
      <w:r>
        <w:rPr>
          <w:spacing w:val="-7"/>
          <w:sz w:val="18"/>
          <w:szCs w:val="18"/>
          <w:lang w:val="es-ES_tradnl"/>
        </w:rPr>
        <w:t>del juez a trav</w:t>
      </w:r>
      <w:r>
        <w:rPr>
          <w:rFonts w:cs="Times New Roman"/>
          <w:spacing w:val="-7"/>
          <w:sz w:val="18"/>
          <w:szCs w:val="18"/>
          <w:lang w:val="es-ES_tradnl"/>
        </w:rPr>
        <w:t>é</w:t>
      </w:r>
      <w:r>
        <w:rPr>
          <w:spacing w:val="-7"/>
          <w:sz w:val="18"/>
          <w:szCs w:val="18"/>
          <w:lang w:val="es-ES_tradnl"/>
        </w:rPr>
        <w:t>s de la estructuraci</w:t>
      </w:r>
      <w:r>
        <w:rPr>
          <w:rFonts w:cs="Times New Roman"/>
          <w:spacing w:val="-7"/>
          <w:sz w:val="18"/>
          <w:szCs w:val="18"/>
          <w:lang w:val="es-ES_tradnl"/>
        </w:rPr>
        <w:t>ó</w:t>
      </w:r>
      <w:r>
        <w:rPr>
          <w:spacing w:val="-7"/>
          <w:sz w:val="18"/>
          <w:szCs w:val="18"/>
          <w:lang w:val="es-ES_tradnl"/>
        </w:rPr>
        <w:t xml:space="preserve">n de su criterio sobre la </w:t>
      </w:r>
      <w:r>
        <w:rPr>
          <w:spacing w:val="-11"/>
          <w:sz w:val="18"/>
          <w:szCs w:val="18"/>
          <w:lang w:val="es-ES_tradnl"/>
        </w:rPr>
        <w:t xml:space="preserve">base de las fuentes del derecho aplicables al caso concreto o </w:t>
      </w:r>
      <w:r>
        <w:rPr>
          <w:spacing w:val="-9"/>
          <w:sz w:val="18"/>
          <w:szCs w:val="18"/>
          <w:lang w:val="es-ES_tradnl"/>
        </w:rPr>
        <w:t xml:space="preserve">sobre las opciones que el derecho le ofrece para solucionar </w:t>
      </w:r>
      <w:r>
        <w:rPr>
          <w:spacing w:val="-7"/>
          <w:sz w:val="18"/>
          <w:szCs w:val="18"/>
          <w:lang w:val="es-ES_tradnl"/>
        </w:rPr>
        <w:t>este caso concreto. As</w:t>
      </w:r>
      <w:r>
        <w:rPr>
          <w:rFonts w:cs="Times New Roman"/>
          <w:spacing w:val="-7"/>
          <w:sz w:val="18"/>
          <w:szCs w:val="18"/>
          <w:lang w:val="es-ES_tradnl"/>
        </w:rPr>
        <w:t>í</w:t>
      </w:r>
      <w:r>
        <w:rPr>
          <w:spacing w:val="-7"/>
          <w:sz w:val="18"/>
          <w:szCs w:val="18"/>
          <w:lang w:val="es-ES_tradnl"/>
        </w:rPr>
        <w:t>, el criterio del juez ser</w:t>
      </w:r>
      <w:r>
        <w:rPr>
          <w:rFonts w:cs="Times New Roman"/>
          <w:spacing w:val="-7"/>
          <w:sz w:val="18"/>
          <w:szCs w:val="18"/>
          <w:lang w:val="es-ES_tradnl"/>
        </w:rPr>
        <w:t>á</w:t>
      </w:r>
      <w:r>
        <w:rPr>
          <w:spacing w:val="-7"/>
          <w:sz w:val="18"/>
          <w:szCs w:val="18"/>
          <w:lang w:val="es-ES_tradnl"/>
        </w:rPr>
        <w:t xml:space="preserve"> razonable en tanto aquel haga uso de las reglas y principios que </w:t>
      </w:r>
      <w:r>
        <w:rPr>
          <w:spacing w:val="-9"/>
          <w:sz w:val="18"/>
          <w:szCs w:val="18"/>
          <w:lang w:val="es-ES_tradnl"/>
        </w:rPr>
        <w:t>conforman el ordenamiento jur</w:t>
      </w:r>
      <w:r>
        <w:rPr>
          <w:rFonts w:cs="Times New Roman"/>
          <w:spacing w:val="-9"/>
          <w:sz w:val="18"/>
          <w:szCs w:val="18"/>
          <w:lang w:val="es-ES_tradnl"/>
        </w:rPr>
        <w:t>í</w:t>
      </w:r>
      <w:r>
        <w:rPr>
          <w:spacing w:val="-9"/>
          <w:sz w:val="18"/>
          <w:szCs w:val="18"/>
          <w:lang w:val="es-ES_tradnl"/>
        </w:rPr>
        <w:t xml:space="preserve">dico y que sean aplicables a </w:t>
      </w:r>
      <w:r>
        <w:rPr>
          <w:spacing w:val="-8"/>
          <w:sz w:val="18"/>
          <w:szCs w:val="18"/>
          <w:lang w:val="es-ES_tradnl"/>
        </w:rPr>
        <w:t>la controversia que se encuentre resolviendo.</w:t>
      </w:r>
    </w:p>
    <w:p w14:paraId="4F67B7E3" w14:textId="77777777" w:rsidR="00591D54" w:rsidRDefault="00591D54">
      <w:pPr>
        <w:shd w:val="clear" w:color="auto" w:fill="FFFFFF"/>
        <w:spacing w:before="197" w:line="216" w:lineRule="exact"/>
        <w:jc w:val="both"/>
      </w:pPr>
      <w:r>
        <w:rPr>
          <w:spacing w:val="-9"/>
          <w:sz w:val="18"/>
          <w:szCs w:val="18"/>
          <w:lang w:val="es-ES_tradnl"/>
        </w:rPr>
        <w:t>Para verificar si la decisi</w:t>
      </w:r>
      <w:r>
        <w:rPr>
          <w:rFonts w:cs="Times New Roman"/>
          <w:spacing w:val="-9"/>
          <w:sz w:val="18"/>
          <w:szCs w:val="18"/>
          <w:lang w:val="es-ES_tradnl"/>
        </w:rPr>
        <w:t>ó</w:t>
      </w:r>
      <w:r>
        <w:rPr>
          <w:spacing w:val="-9"/>
          <w:sz w:val="18"/>
          <w:szCs w:val="18"/>
          <w:lang w:val="es-ES_tradnl"/>
        </w:rPr>
        <w:t>n judicial cumple con el par</w:t>
      </w:r>
      <w:r>
        <w:rPr>
          <w:rFonts w:cs="Times New Roman"/>
          <w:spacing w:val="-9"/>
          <w:sz w:val="18"/>
          <w:szCs w:val="18"/>
          <w:lang w:val="es-ES_tradnl"/>
        </w:rPr>
        <w:t>á</w:t>
      </w:r>
      <w:r>
        <w:rPr>
          <w:spacing w:val="-9"/>
          <w:sz w:val="18"/>
          <w:szCs w:val="18"/>
          <w:lang w:val="es-ES_tradnl"/>
        </w:rPr>
        <w:t xml:space="preserve">metro de razonabilidad, se debe considerar que la causa </w:t>
      </w:r>
      <w:r>
        <w:rPr>
          <w:i/>
          <w:iCs/>
          <w:spacing w:val="-9"/>
          <w:sz w:val="18"/>
          <w:szCs w:val="18"/>
          <w:lang w:val="es-ES_tradnl"/>
        </w:rPr>
        <w:t xml:space="preserve">a quo </w:t>
      </w:r>
      <w:r>
        <w:rPr>
          <w:spacing w:val="-9"/>
          <w:sz w:val="18"/>
          <w:szCs w:val="18"/>
          <w:lang w:val="es-ES_tradnl"/>
        </w:rPr>
        <w:t xml:space="preserve">se </w:t>
      </w:r>
      <w:r>
        <w:rPr>
          <w:spacing w:val="-8"/>
          <w:sz w:val="18"/>
          <w:szCs w:val="18"/>
          <w:lang w:val="es-ES_tradnl"/>
        </w:rPr>
        <w:t>trata de una acci</w:t>
      </w:r>
      <w:r>
        <w:rPr>
          <w:rFonts w:cs="Times New Roman"/>
          <w:spacing w:val="-8"/>
          <w:sz w:val="18"/>
          <w:szCs w:val="18"/>
          <w:lang w:val="es-ES_tradnl"/>
        </w:rPr>
        <w:t>ó</w:t>
      </w:r>
      <w:r>
        <w:rPr>
          <w:spacing w:val="-8"/>
          <w:sz w:val="18"/>
          <w:szCs w:val="18"/>
          <w:lang w:val="es-ES_tradnl"/>
        </w:rPr>
        <w:t>n de protecci</w:t>
      </w:r>
      <w:r>
        <w:rPr>
          <w:rFonts w:cs="Times New Roman"/>
          <w:spacing w:val="-8"/>
          <w:sz w:val="18"/>
          <w:szCs w:val="18"/>
          <w:lang w:val="es-ES_tradnl"/>
        </w:rPr>
        <w:t>ó</w:t>
      </w:r>
      <w:r>
        <w:rPr>
          <w:spacing w:val="-8"/>
          <w:sz w:val="18"/>
          <w:szCs w:val="18"/>
          <w:lang w:val="es-ES_tradnl"/>
        </w:rPr>
        <w:t>n, establecida en el art</w:t>
      </w:r>
      <w:r>
        <w:rPr>
          <w:rFonts w:cs="Times New Roman"/>
          <w:spacing w:val="-8"/>
          <w:sz w:val="18"/>
          <w:szCs w:val="18"/>
          <w:lang w:val="es-ES_tradnl"/>
        </w:rPr>
        <w:t>í</w:t>
      </w:r>
      <w:r>
        <w:rPr>
          <w:spacing w:val="-8"/>
          <w:sz w:val="18"/>
          <w:szCs w:val="18"/>
          <w:lang w:val="es-ES_tradnl"/>
        </w:rPr>
        <w:t xml:space="preserve">culo </w:t>
      </w:r>
      <w:r>
        <w:rPr>
          <w:spacing w:val="-6"/>
          <w:sz w:val="18"/>
          <w:szCs w:val="18"/>
          <w:lang w:val="es-ES_tradnl"/>
        </w:rPr>
        <w:t>88 de la Constituci</w:t>
      </w:r>
      <w:r>
        <w:rPr>
          <w:rFonts w:cs="Times New Roman"/>
          <w:spacing w:val="-6"/>
          <w:sz w:val="18"/>
          <w:szCs w:val="18"/>
          <w:lang w:val="es-ES_tradnl"/>
        </w:rPr>
        <w:t>ó</w:t>
      </w:r>
      <w:r>
        <w:rPr>
          <w:spacing w:val="-6"/>
          <w:sz w:val="18"/>
          <w:szCs w:val="18"/>
          <w:lang w:val="es-ES_tradnl"/>
        </w:rPr>
        <w:t>n de la siguiente forma:</w:t>
      </w:r>
    </w:p>
    <w:p w14:paraId="4F67B7E4" w14:textId="77777777" w:rsidR="00591D54" w:rsidRDefault="00591D54">
      <w:pPr>
        <w:shd w:val="clear" w:color="auto" w:fill="FFFFFF"/>
        <w:spacing w:before="202" w:line="216" w:lineRule="exact"/>
        <w:ind w:left="283" w:right="5"/>
        <w:jc w:val="both"/>
      </w:pPr>
      <w:r>
        <w:rPr>
          <w:spacing w:val="-6"/>
          <w:sz w:val="16"/>
          <w:szCs w:val="16"/>
          <w:lang w:val="es-ES_tradnl"/>
        </w:rPr>
        <w:t>Art. 88.- La acci</w:t>
      </w:r>
      <w:r>
        <w:rPr>
          <w:rFonts w:cs="Times New Roman"/>
          <w:spacing w:val="-6"/>
          <w:sz w:val="16"/>
          <w:szCs w:val="16"/>
          <w:lang w:val="es-ES_tradnl"/>
        </w:rPr>
        <w:t>ó</w:t>
      </w:r>
      <w:r>
        <w:rPr>
          <w:spacing w:val="-6"/>
          <w:sz w:val="16"/>
          <w:szCs w:val="16"/>
          <w:lang w:val="es-ES_tradnl"/>
        </w:rPr>
        <w:t>n de protecci</w:t>
      </w:r>
      <w:r>
        <w:rPr>
          <w:rFonts w:cs="Times New Roman"/>
          <w:spacing w:val="-6"/>
          <w:sz w:val="16"/>
          <w:szCs w:val="16"/>
          <w:lang w:val="es-ES_tradnl"/>
        </w:rPr>
        <w:t>ó</w:t>
      </w:r>
      <w:r>
        <w:rPr>
          <w:spacing w:val="-6"/>
          <w:sz w:val="16"/>
          <w:szCs w:val="16"/>
          <w:lang w:val="es-ES_tradnl"/>
        </w:rPr>
        <w:t>n tendr</w:t>
      </w:r>
      <w:r>
        <w:rPr>
          <w:rFonts w:cs="Times New Roman"/>
          <w:spacing w:val="-6"/>
          <w:sz w:val="16"/>
          <w:szCs w:val="16"/>
          <w:lang w:val="es-ES_tradnl"/>
        </w:rPr>
        <w:t>á</w:t>
      </w:r>
      <w:r>
        <w:rPr>
          <w:spacing w:val="-6"/>
          <w:sz w:val="16"/>
          <w:szCs w:val="16"/>
          <w:lang w:val="es-ES_tradnl"/>
        </w:rPr>
        <w:t xml:space="preserve"> por objeto el amparo </w:t>
      </w:r>
      <w:r>
        <w:rPr>
          <w:spacing w:val="-9"/>
          <w:sz w:val="16"/>
          <w:szCs w:val="16"/>
          <w:lang w:val="es-ES_tradnl"/>
        </w:rPr>
        <w:t>directo y eficaz de los derechos reconocidos en la Constituci</w:t>
      </w:r>
      <w:r>
        <w:rPr>
          <w:rFonts w:cs="Times New Roman"/>
          <w:spacing w:val="-9"/>
          <w:sz w:val="16"/>
          <w:szCs w:val="16"/>
          <w:lang w:val="es-ES_tradnl"/>
        </w:rPr>
        <w:t>ó</w:t>
      </w:r>
      <w:r>
        <w:rPr>
          <w:spacing w:val="-9"/>
          <w:sz w:val="16"/>
          <w:szCs w:val="16"/>
          <w:lang w:val="es-ES_tradnl"/>
        </w:rPr>
        <w:t xml:space="preserve">n, </w:t>
      </w:r>
      <w:r>
        <w:rPr>
          <w:spacing w:val="-3"/>
          <w:sz w:val="16"/>
          <w:szCs w:val="16"/>
          <w:lang w:val="es-ES_tradnl"/>
        </w:rPr>
        <w:t>y podr</w:t>
      </w:r>
      <w:r>
        <w:rPr>
          <w:rFonts w:cs="Times New Roman"/>
          <w:spacing w:val="-3"/>
          <w:sz w:val="16"/>
          <w:szCs w:val="16"/>
          <w:lang w:val="es-ES_tradnl"/>
        </w:rPr>
        <w:t>á</w:t>
      </w:r>
      <w:r>
        <w:rPr>
          <w:spacing w:val="-3"/>
          <w:sz w:val="16"/>
          <w:szCs w:val="16"/>
          <w:lang w:val="es-ES_tradnl"/>
        </w:rPr>
        <w:t xml:space="preserve"> interponerse cuando exista una vulneraci</w:t>
      </w:r>
      <w:r>
        <w:rPr>
          <w:rFonts w:cs="Times New Roman"/>
          <w:spacing w:val="-3"/>
          <w:sz w:val="16"/>
          <w:szCs w:val="16"/>
          <w:lang w:val="es-ES_tradnl"/>
        </w:rPr>
        <w:t>ó</w:t>
      </w:r>
      <w:r>
        <w:rPr>
          <w:spacing w:val="-3"/>
          <w:sz w:val="16"/>
          <w:szCs w:val="16"/>
          <w:lang w:val="es-ES_tradnl"/>
        </w:rPr>
        <w:t xml:space="preserve">n de </w:t>
      </w:r>
      <w:r>
        <w:rPr>
          <w:spacing w:val="-7"/>
          <w:sz w:val="16"/>
          <w:szCs w:val="16"/>
          <w:lang w:val="es-ES_tradnl"/>
        </w:rPr>
        <w:t xml:space="preserve">derechos constitucionales, por actos u omisiones de cualquier </w:t>
      </w:r>
      <w:r>
        <w:rPr>
          <w:spacing w:val="-6"/>
          <w:sz w:val="16"/>
          <w:szCs w:val="16"/>
          <w:lang w:val="es-ES_tradnl"/>
        </w:rPr>
        <w:t>autoridad p</w:t>
      </w:r>
      <w:r>
        <w:rPr>
          <w:rFonts w:cs="Times New Roman"/>
          <w:spacing w:val="-6"/>
          <w:sz w:val="16"/>
          <w:szCs w:val="16"/>
          <w:lang w:val="es-ES_tradnl"/>
        </w:rPr>
        <w:t>ú</w:t>
      </w:r>
      <w:r>
        <w:rPr>
          <w:spacing w:val="-6"/>
          <w:sz w:val="16"/>
          <w:szCs w:val="16"/>
          <w:lang w:val="es-ES_tradnl"/>
        </w:rPr>
        <w:t>blica no judicial; contra pol</w:t>
      </w:r>
      <w:r>
        <w:rPr>
          <w:rFonts w:cs="Times New Roman"/>
          <w:spacing w:val="-6"/>
          <w:sz w:val="16"/>
          <w:szCs w:val="16"/>
          <w:lang w:val="es-ES_tradnl"/>
        </w:rPr>
        <w:t>í</w:t>
      </w:r>
      <w:r>
        <w:rPr>
          <w:spacing w:val="-6"/>
          <w:sz w:val="16"/>
          <w:szCs w:val="16"/>
          <w:lang w:val="es-ES_tradnl"/>
        </w:rPr>
        <w:t>ticas p</w:t>
      </w:r>
      <w:r>
        <w:rPr>
          <w:rFonts w:cs="Times New Roman"/>
          <w:spacing w:val="-6"/>
          <w:sz w:val="16"/>
          <w:szCs w:val="16"/>
          <w:lang w:val="es-ES_tradnl"/>
        </w:rPr>
        <w:t>ú</w:t>
      </w:r>
      <w:r>
        <w:rPr>
          <w:spacing w:val="-6"/>
          <w:sz w:val="16"/>
          <w:szCs w:val="16"/>
          <w:lang w:val="es-ES_tradnl"/>
        </w:rPr>
        <w:t>blicas cuando supongan la privaci</w:t>
      </w:r>
      <w:r>
        <w:rPr>
          <w:rFonts w:cs="Times New Roman"/>
          <w:spacing w:val="-6"/>
          <w:sz w:val="16"/>
          <w:szCs w:val="16"/>
          <w:lang w:val="es-ES_tradnl"/>
        </w:rPr>
        <w:t>ó</w:t>
      </w:r>
      <w:r>
        <w:rPr>
          <w:spacing w:val="-6"/>
          <w:sz w:val="16"/>
          <w:szCs w:val="16"/>
          <w:lang w:val="es-ES_tradnl"/>
        </w:rPr>
        <w:t xml:space="preserve">n del goce o ejercicio de los derechos </w:t>
      </w:r>
      <w:r>
        <w:rPr>
          <w:spacing w:val="-9"/>
          <w:sz w:val="16"/>
          <w:szCs w:val="16"/>
          <w:lang w:val="es-ES_tradnl"/>
        </w:rPr>
        <w:t>constitucionales; y cuando la violaci</w:t>
      </w:r>
      <w:r>
        <w:rPr>
          <w:rFonts w:cs="Times New Roman"/>
          <w:spacing w:val="-9"/>
          <w:sz w:val="16"/>
          <w:szCs w:val="16"/>
          <w:lang w:val="es-ES_tradnl"/>
        </w:rPr>
        <w:t>ó</w:t>
      </w:r>
      <w:r>
        <w:rPr>
          <w:spacing w:val="-9"/>
          <w:sz w:val="16"/>
          <w:szCs w:val="16"/>
          <w:lang w:val="es-ES_tradnl"/>
        </w:rPr>
        <w:t xml:space="preserve">n proceda de una persona </w:t>
      </w:r>
      <w:r>
        <w:rPr>
          <w:spacing w:val="-5"/>
          <w:sz w:val="16"/>
          <w:szCs w:val="16"/>
          <w:lang w:val="es-ES_tradnl"/>
        </w:rPr>
        <w:t>particular, si la violaci</w:t>
      </w:r>
      <w:r>
        <w:rPr>
          <w:rFonts w:cs="Times New Roman"/>
          <w:spacing w:val="-5"/>
          <w:sz w:val="16"/>
          <w:szCs w:val="16"/>
          <w:lang w:val="es-ES_tradnl"/>
        </w:rPr>
        <w:t>ó</w:t>
      </w:r>
      <w:r>
        <w:rPr>
          <w:spacing w:val="-5"/>
          <w:sz w:val="16"/>
          <w:szCs w:val="16"/>
          <w:lang w:val="es-ES_tradnl"/>
        </w:rPr>
        <w:t>n del derecho provoca da</w:t>
      </w:r>
      <w:r>
        <w:rPr>
          <w:rFonts w:cs="Times New Roman"/>
          <w:spacing w:val="-5"/>
          <w:sz w:val="16"/>
          <w:szCs w:val="16"/>
          <w:lang w:val="es-ES_tradnl"/>
        </w:rPr>
        <w:t>ñ</w:t>
      </w:r>
      <w:r>
        <w:rPr>
          <w:spacing w:val="-5"/>
          <w:sz w:val="16"/>
          <w:szCs w:val="16"/>
          <w:lang w:val="es-ES_tradnl"/>
        </w:rPr>
        <w:t xml:space="preserve">o grave, si </w:t>
      </w:r>
      <w:r>
        <w:rPr>
          <w:spacing w:val="-6"/>
          <w:sz w:val="16"/>
          <w:szCs w:val="16"/>
          <w:lang w:val="es-ES_tradnl"/>
        </w:rPr>
        <w:t>presta servicios p</w:t>
      </w:r>
      <w:r>
        <w:rPr>
          <w:rFonts w:cs="Times New Roman"/>
          <w:spacing w:val="-6"/>
          <w:sz w:val="16"/>
          <w:szCs w:val="16"/>
          <w:lang w:val="es-ES_tradnl"/>
        </w:rPr>
        <w:t>ú</w:t>
      </w:r>
      <w:r>
        <w:rPr>
          <w:spacing w:val="-6"/>
          <w:sz w:val="16"/>
          <w:szCs w:val="16"/>
          <w:lang w:val="es-ES_tradnl"/>
        </w:rPr>
        <w:t>blicos impropios, si act</w:t>
      </w:r>
      <w:r>
        <w:rPr>
          <w:rFonts w:cs="Times New Roman"/>
          <w:spacing w:val="-6"/>
          <w:sz w:val="16"/>
          <w:szCs w:val="16"/>
          <w:lang w:val="es-ES_tradnl"/>
        </w:rPr>
        <w:t>ú</w:t>
      </w:r>
      <w:r>
        <w:rPr>
          <w:spacing w:val="-6"/>
          <w:sz w:val="16"/>
          <w:szCs w:val="16"/>
          <w:lang w:val="es-ES_tradnl"/>
        </w:rPr>
        <w:t>a por delegaci</w:t>
      </w:r>
      <w:r>
        <w:rPr>
          <w:rFonts w:cs="Times New Roman"/>
          <w:spacing w:val="-6"/>
          <w:sz w:val="16"/>
          <w:szCs w:val="16"/>
          <w:lang w:val="es-ES_tradnl"/>
        </w:rPr>
        <w:t>ó</w:t>
      </w:r>
      <w:r>
        <w:rPr>
          <w:spacing w:val="-6"/>
          <w:sz w:val="16"/>
          <w:szCs w:val="16"/>
          <w:lang w:val="es-ES_tradnl"/>
        </w:rPr>
        <w:t xml:space="preserve">n o </w:t>
      </w:r>
      <w:r>
        <w:rPr>
          <w:spacing w:val="-9"/>
          <w:sz w:val="16"/>
          <w:szCs w:val="16"/>
          <w:lang w:val="es-ES_tradnl"/>
        </w:rPr>
        <w:t>concesi</w:t>
      </w:r>
      <w:r>
        <w:rPr>
          <w:rFonts w:cs="Times New Roman"/>
          <w:spacing w:val="-9"/>
          <w:sz w:val="16"/>
          <w:szCs w:val="16"/>
          <w:lang w:val="es-ES_tradnl"/>
        </w:rPr>
        <w:t>ó</w:t>
      </w:r>
      <w:r>
        <w:rPr>
          <w:spacing w:val="-9"/>
          <w:sz w:val="16"/>
          <w:szCs w:val="16"/>
          <w:lang w:val="es-ES_tradnl"/>
        </w:rPr>
        <w:t xml:space="preserve">n, o si la persona afectada se encuentra en estado de </w:t>
      </w:r>
      <w:r>
        <w:rPr>
          <w:spacing w:val="-5"/>
          <w:sz w:val="16"/>
          <w:szCs w:val="16"/>
          <w:lang w:val="es-ES_tradnl"/>
        </w:rPr>
        <w:t>subordinaci</w:t>
      </w:r>
      <w:r>
        <w:rPr>
          <w:rFonts w:cs="Times New Roman"/>
          <w:spacing w:val="-5"/>
          <w:sz w:val="16"/>
          <w:szCs w:val="16"/>
          <w:lang w:val="es-ES_tradnl"/>
        </w:rPr>
        <w:t>ó</w:t>
      </w:r>
      <w:r>
        <w:rPr>
          <w:spacing w:val="-5"/>
          <w:sz w:val="16"/>
          <w:szCs w:val="16"/>
          <w:lang w:val="es-ES_tradnl"/>
        </w:rPr>
        <w:t>n, indefensi</w:t>
      </w:r>
      <w:r>
        <w:rPr>
          <w:rFonts w:cs="Times New Roman"/>
          <w:spacing w:val="-5"/>
          <w:sz w:val="16"/>
          <w:szCs w:val="16"/>
          <w:lang w:val="es-ES_tradnl"/>
        </w:rPr>
        <w:t>ó</w:t>
      </w:r>
      <w:r>
        <w:rPr>
          <w:spacing w:val="-5"/>
          <w:sz w:val="16"/>
          <w:szCs w:val="16"/>
          <w:lang w:val="es-ES_tradnl"/>
        </w:rPr>
        <w:t>n o discriminaci</w:t>
      </w:r>
      <w:r>
        <w:rPr>
          <w:rFonts w:cs="Times New Roman"/>
          <w:spacing w:val="-5"/>
          <w:sz w:val="16"/>
          <w:szCs w:val="16"/>
          <w:lang w:val="es-ES_tradnl"/>
        </w:rPr>
        <w:t>ó</w:t>
      </w:r>
      <w:r>
        <w:rPr>
          <w:spacing w:val="-5"/>
          <w:sz w:val="16"/>
          <w:szCs w:val="16"/>
          <w:lang w:val="es-ES_tradnl"/>
        </w:rPr>
        <w:t>n.</w:t>
      </w:r>
    </w:p>
    <w:p w14:paraId="4F67B7E5" w14:textId="77777777" w:rsidR="00591D54" w:rsidRDefault="00591D54">
      <w:pPr>
        <w:shd w:val="clear" w:color="auto" w:fill="FFFFFF"/>
        <w:spacing w:before="202" w:line="216" w:lineRule="exact"/>
        <w:ind w:right="5"/>
        <w:jc w:val="both"/>
      </w:pPr>
      <w:r>
        <w:rPr>
          <w:spacing w:val="-1"/>
          <w:sz w:val="18"/>
          <w:szCs w:val="18"/>
          <w:lang w:val="es-ES_tradnl"/>
        </w:rPr>
        <w:t>Dicho de otro modo, la acci</w:t>
      </w:r>
      <w:r>
        <w:rPr>
          <w:rFonts w:cs="Times New Roman"/>
          <w:spacing w:val="-1"/>
          <w:sz w:val="18"/>
          <w:szCs w:val="18"/>
          <w:lang w:val="es-ES_tradnl"/>
        </w:rPr>
        <w:t>ó</w:t>
      </w:r>
      <w:r>
        <w:rPr>
          <w:spacing w:val="-1"/>
          <w:sz w:val="18"/>
          <w:szCs w:val="18"/>
          <w:lang w:val="es-ES_tradnl"/>
        </w:rPr>
        <w:t>n de protecci</w:t>
      </w:r>
      <w:r>
        <w:rPr>
          <w:rFonts w:cs="Times New Roman"/>
          <w:spacing w:val="-1"/>
          <w:sz w:val="18"/>
          <w:szCs w:val="18"/>
          <w:lang w:val="es-ES_tradnl"/>
        </w:rPr>
        <w:t>ó</w:t>
      </w:r>
      <w:r>
        <w:rPr>
          <w:spacing w:val="-1"/>
          <w:sz w:val="18"/>
          <w:szCs w:val="18"/>
          <w:lang w:val="es-ES_tradnl"/>
        </w:rPr>
        <w:t xml:space="preserve">n es el </w:t>
      </w:r>
      <w:r>
        <w:rPr>
          <w:spacing w:val="-5"/>
          <w:sz w:val="18"/>
          <w:szCs w:val="18"/>
          <w:lang w:val="es-ES_tradnl"/>
        </w:rPr>
        <w:t>mecanismo procesal eficaz para declarar la vulneraci</w:t>
      </w:r>
      <w:r>
        <w:rPr>
          <w:rFonts w:cs="Times New Roman"/>
          <w:spacing w:val="-5"/>
          <w:sz w:val="18"/>
          <w:szCs w:val="18"/>
          <w:lang w:val="es-ES_tradnl"/>
        </w:rPr>
        <w:t>ó</w:t>
      </w:r>
      <w:r>
        <w:rPr>
          <w:spacing w:val="-5"/>
          <w:sz w:val="18"/>
          <w:szCs w:val="18"/>
          <w:lang w:val="es-ES_tradnl"/>
        </w:rPr>
        <w:t>n de derechos y ordenar la reparaci</w:t>
      </w:r>
      <w:r>
        <w:rPr>
          <w:rFonts w:cs="Times New Roman"/>
          <w:spacing w:val="-5"/>
          <w:sz w:val="18"/>
          <w:szCs w:val="18"/>
          <w:lang w:val="es-ES_tradnl"/>
        </w:rPr>
        <w:t>ó</w:t>
      </w:r>
      <w:r>
        <w:rPr>
          <w:spacing w:val="-5"/>
          <w:sz w:val="18"/>
          <w:szCs w:val="18"/>
          <w:lang w:val="es-ES_tradnl"/>
        </w:rPr>
        <w:t xml:space="preserve">n de los mismos. En </w:t>
      </w:r>
      <w:r>
        <w:rPr>
          <w:spacing w:val="-7"/>
          <w:sz w:val="18"/>
          <w:szCs w:val="18"/>
          <w:lang w:val="es-ES_tradnl"/>
        </w:rPr>
        <w:t>este sentido, al tratarse de una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 xml:space="preserve">n, los </w:t>
      </w:r>
      <w:r>
        <w:rPr>
          <w:spacing w:val="-6"/>
          <w:sz w:val="18"/>
          <w:szCs w:val="18"/>
          <w:lang w:val="es-ES_tradnl"/>
        </w:rPr>
        <w:t>jueces que act</w:t>
      </w:r>
      <w:r>
        <w:rPr>
          <w:rFonts w:cs="Times New Roman"/>
          <w:spacing w:val="-6"/>
          <w:sz w:val="18"/>
          <w:szCs w:val="18"/>
          <w:lang w:val="es-ES_tradnl"/>
        </w:rPr>
        <w:t>ú</w:t>
      </w:r>
      <w:r>
        <w:rPr>
          <w:spacing w:val="-6"/>
          <w:sz w:val="18"/>
          <w:szCs w:val="18"/>
          <w:lang w:val="es-ES_tradnl"/>
        </w:rPr>
        <w:t xml:space="preserve">an con competencia constitucional tienen </w:t>
      </w:r>
      <w:r>
        <w:rPr>
          <w:spacing w:val="-3"/>
          <w:sz w:val="18"/>
          <w:szCs w:val="18"/>
          <w:lang w:val="es-ES_tradnl"/>
        </w:rPr>
        <w:t xml:space="preserve">la labor de argumentar detalladamente las razones por </w:t>
      </w:r>
      <w:r>
        <w:rPr>
          <w:spacing w:val="-7"/>
          <w:sz w:val="18"/>
          <w:szCs w:val="18"/>
          <w:lang w:val="es-ES_tradnl"/>
        </w:rPr>
        <w:t>las cuales en determinado caso existe o no la vulneraci</w:t>
      </w:r>
      <w:r>
        <w:rPr>
          <w:rFonts w:cs="Times New Roman"/>
          <w:spacing w:val="-7"/>
          <w:sz w:val="18"/>
          <w:szCs w:val="18"/>
          <w:lang w:val="es-ES_tradnl"/>
        </w:rPr>
        <w:t>ó</w:t>
      </w:r>
      <w:r>
        <w:rPr>
          <w:spacing w:val="-7"/>
          <w:sz w:val="18"/>
          <w:szCs w:val="18"/>
          <w:lang w:val="es-ES_tradnl"/>
        </w:rPr>
        <w:t xml:space="preserve">n </w:t>
      </w:r>
      <w:r>
        <w:rPr>
          <w:spacing w:val="-3"/>
          <w:sz w:val="18"/>
          <w:szCs w:val="18"/>
          <w:lang w:val="es-ES_tradnl"/>
        </w:rPr>
        <w:t xml:space="preserve">de derechos constitucionales, pues lo contrario implica </w:t>
      </w:r>
      <w:r>
        <w:rPr>
          <w:spacing w:val="-5"/>
          <w:sz w:val="18"/>
          <w:szCs w:val="18"/>
          <w:lang w:val="es-ES_tradnl"/>
        </w:rPr>
        <w:t xml:space="preserve">una inobservancia al mandato constitucional establecido </w:t>
      </w:r>
      <w:r>
        <w:rPr>
          <w:spacing w:val="-6"/>
          <w:sz w:val="18"/>
          <w:szCs w:val="18"/>
          <w:lang w:val="es-ES_tradnl"/>
        </w:rPr>
        <w:t>en el art</w:t>
      </w:r>
      <w:r>
        <w:rPr>
          <w:rFonts w:cs="Times New Roman"/>
          <w:spacing w:val="-6"/>
          <w:sz w:val="18"/>
          <w:szCs w:val="18"/>
          <w:lang w:val="es-ES_tradnl"/>
        </w:rPr>
        <w:t>í</w:t>
      </w:r>
      <w:r>
        <w:rPr>
          <w:spacing w:val="-6"/>
          <w:sz w:val="18"/>
          <w:szCs w:val="18"/>
          <w:lang w:val="es-ES_tradnl"/>
        </w:rPr>
        <w:t>culo 88 y una err</w:t>
      </w:r>
      <w:r>
        <w:rPr>
          <w:rFonts w:cs="Times New Roman"/>
          <w:spacing w:val="-6"/>
          <w:sz w:val="18"/>
          <w:szCs w:val="18"/>
          <w:lang w:val="es-ES_tradnl"/>
        </w:rPr>
        <w:t>ó</w:t>
      </w:r>
      <w:r>
        <w:rPr>
          <w:spacing w:val="-6"/>
          <w:sz w:val="18"/>
          <w:szCs w:val="18"/>
          <w:lang w:val="es-ES_tradnl"/>
        </w:rPr>
        <w:t>nea aplicaci</w:t>
      </w:r>
      <w:r>
        <w:rPr>
          <w:rFonts w:cs="Times New Roman"/>
          <w:spacing w:val="-6"/>
          <w:sz w:val="18"/>
          <w:szCs w:val="18"/>
          <w:lang w:val="es-ES_tradnl"/>
        </w:rPr>
        <w:t>ó</w:t>
      </w:r>
      <w:r>
        <w:rPr>
          <w:spacing w:val="-6"/>
          <w:sz w:val="18"/>
          <w:szCs w:val="18"/>
          <w:lang w:val="es-ES_tradnl"/>
        </w:rPr>
        <w:t>n de la garant</w:t>
      </w:r>
      <w:r>
        <w:rPr>
          <w:rFonts w:cs="Times New Roman"/>
          <w:spacing w:val="-6"/>
          <w:sz w:val="18"/>
          <w:szCs w:val="18"/>
          <w:lang w:val="es-ES_tradnl"/>
        </w:rPr>
        <w:t>í</w:t>
      </w:r>
      <w:r>
        <w:rPr>
          <w:spacing w:val="-6"/>
          <w:sz w:val="18"/>
          <w:szCs w:val="18"/>
          <w:lang w:val="es-ES_tradnl"/>
        </w:rPr>
        <w:t xml:space="preserve">a </w:t>
      </w:r>
      <w:r>
        <w:rPr>
          <w:sz w:val="18"/>
          <w:szCs w:val="18"/>
          <w:lang w:val="es-ES_tradnl"/>
        </w:rPr>
        <w:t>jurisdiccional.</w:t>
      </w:r>
    </w:p>
    <w:p w14:paraId="4F67B7E6" w14:textId="77777777" w:rsidR="00591D54" w:rsidRDefault="00591D54">
      <w:pPr>
        <w:shd w:val="clear" w:color="auto" w:fill="FFFFFF"/>
        <w:spacing w:before="192" w:line="216" w:lineRule="exact"/>
        <w:jc w:val="both"/>
      </w:pPr>
      <w:r>
        <w:rPr>
          <w:spacing w:val="-7"/>
          <w:sz w:val="18"/>
          <w:szCs w:val="18"/>
          <w:lang w:val="es-ES_tradnl"/>
        </w:rPr>
        <w:t>En el caso sub j</w:t>
      </w:r>
      <w:r>
        <w:rPr>
          <w:rFonts w:cs="Times New Roman"/>
          <w:spacing w:val="-7"/>
          <w:sz w:val="18"/>
          <w:szCs w:val="18"/>
          <w:lang w:val="es-ES_tradnl"/>
        </w:rPr>
        <w:t>ú</w:t>
      </w:r>
      <w:r>
        <w:rPr>
          <w:spacing w:val="-7"/>
          <w:sz w:val="18"/>
          <w:szCs w:val="18"/>
          <w:lang w:val="es-ES_tradnl"/>
        </w:rPr>
        <w:t>dice, de la revisi</w:t>
      </w:r>
      <w:r>
        <w:rPr>
          <w:rFonts w:cs="Times New Roman"/>
          <w:spacing w:val="-7"/>
          <w:sz w:val="18"/>
          <w:szCs w:val="18"/>
          <w:lang w:val="es-ES_tradnl"/>
        </w:rPr>
        <w:t>ó</w:t>
      </w:r>
      <w:r>
        <w:rPr>
          <w:spacing w:val="-7"/>
          <w:sz w:val="18"/>
          <w:szCs w:val="18"/>
          <w:lang w:val="es-ES_tradnl"/>
        </w:rPr>
        <w:t xml:space="preserve">n de la sentencia objeto </w:t>
      </w:r>
      <w:r>
        <w:rPr>
          <w:spacing w:val="-4"/>
          <w:sz w:val="18"/>
          <w:szCs w:val="18"/>
          <w:lang w:val="es-ES_tradnl"/>
        </w:rPr>
        <w:t>de la presente acci</w:t>
      </w:r>
      <w:r>
        <w:rPr>
          <w:rFonts w:cs="Times New Roman"/>
          <w:spacing w:val="-4"/>
          <w:sz w:val="18"/>
          <w:szCs w:val="18"/>
          <w:lang w:val="es-ES_tradnl"/>
        </w:rPr>
        <w:t>ó</w:t>
      </w:r>
      <w:r>
        <w:rPr>
          <w:spacing w:val="-4"/>
          <w:sz w:val="18"/>
          <w:szCs w:val="18"/>
          <w:lang w:val="es-ES_tradnl"/>
        </w:rPr>
        <w:t>n extraordinaria de protecci</w:t>
      </w:r>
      <w:r>
        <w:rPr>
          <w:rFonts w:cs="Times New Roman"/>
          <w:spacing w:val="-4"/>
          <w:sz w:val="18"/>
          <w:szCs w:val="18"/>
          <w:lang w:val="es-ES_tradnl"/>
        </w:rPr>
        <w:t>ó</w:t>
      </w:r>
      <w:r>
        <w:rPr>
          <w:spacing w:val="-4"/>
          <w:sz w:val="18"/>
          <w:szCs w:val="18"/>
          <w:lang w:val="es-ES_tradnl"/>
        </w:rPr>
        <w:t xml:space="preserve">n se </w:t>
      </w:r>
      <w:r>
        <w:rPr>
          <w:spacing w:val="-8"/>
          <w:sz w:val="18"/>
          <w:szCs w:val="18"/>
          <w:lang w:val="es-ES_tradnl"/>
        </w:rPr>
        <w:t xml:space="preserve">observa que en su considerando cuarto, los jueces de la </w:t>
      </w:r>
      <w:r>
        <w:rPr>
          <w:spacing w:val="-5"/>
          <w:sz w:val="18"/>
          <w:szCs w:val="18"/>
          <w:lang w:val="es-ES_tradnl"/>
        </w:rPr>
        <w:t>Primera Sala de lo Laboral, Ni</w:t>
      </w:r>
      <w:r>
        <w:rPr>
          <w:rFonts w:cs="Times New Roman"/>
          <w:spacing w:val="-5"/>
          <w:sz w:val="18"/>
          <w:szCs w:val="18"/>
          <w:lang w:val="es-ES_tradnl"/>
        </w:rPr>
        <w:t>ñ</w:t>
      </w:r>
      <w:r>
        <w:rPr>
          <w:spacing w:val="-5"/>
          <w:sz w:val="18"/>
          <w:szCs w:val="18"/>
          <w:lang w:val="es-ES_tradnl"/>
        </w:rPr>
        <w:t xml:space="preserve">ez y Adolescencia de la </w:t>
      </w:r>
      <w:r>
        <w:rPr>
          <w:spacing w:val="-9"/>
          <w:sz w:val="18"/>
          <w:szCs w:val="18"/>
          <w:lang w:val="es-ES_tradnl"/>
        </w:rPr>
        <w:t xml:space="preserve">Corte Provincial de Justicia del Guayas, hacen referencia al </w:t>
      </w:r>
      <w:r>
        <w:rPr>
          <w:spacing w:val="-6"/>
          <w:sz w:val="18"/>
          <w:szCs w:val="18"/>
          <w:lang w:val="es-ES_tradnl"/>
        </w:rPr>
        <w:t>derecho a la seguridad jur</w:t>
      </w:r>
      <w:r>
        <w:rPr>
          <w:rFonts w:cs="Times New Roman"/>
          <w:spacing w:val="-6"/>
          <w:sz w:val="18"/>
          <w:szCs w:val="18"/>
          <w:lang w:val="es-ES_tradnl"/>
        </w:rPr>
        <w:t>í</w:t>
      </w:r>
      <w:r>
        <w:rPr>
          <w:spacing w:val="-6"/>
          <w:sz w:val="18"/>
          <w:szCs w:val="18"/>
          <w:lang w:val="es-ES_tradnl"/>
        </w:rPr>
        <w:t>dica, a la acci</w:t>
      </w:r>
      <w:r>
        <w:rPr>
          <w:rFonts w:cs="Times New Roman"/>
          <w:spacing w:val="-6"/>
          <w:sz w:val="18"/>
          <w:szCs w:val="18"/>
          <w:lang w:val="es-ES_tradnl"/>
        </w:rPr>
        <w:t>ó</w:t>
      </w:r>
      <w:r>
        <w:rPr>
          <w:spacing w:val="-6"/>
          <w:sz w:val="18"/>
          <w:szCs w:val="18"/>
          <w:lang w:val="es-ES_tradnl"/>
        </w:rPr>
        <w:t>n de protecci</w:t>
      </w:r>
      <w:r>
        <w:rPr>
          <w:rFonts w:cs="Times New Roman"/>
          <w:spacing w:val="-6"/>
          <w:sz w:val="18"/>
          <w:szCs w:val="18"/>
          <w:lang w:val="es-ES_tradnl"/>
        </w:rPr>
        <w:t>ó</w:t>
      </w:r>
      <w:r>
        <w:rPr>
          <w:spacing w:val="-6"/>
          <w:sz w:val="18"/>
          <w:szCs w:val="18"/>
          <w:lang w:val="es-ES_tradnl"/>
        </w:rPr>
        <w:t xml:space="preserve">n, </w:t>
      </w:r>
      <w:r>
        <w:rPr>
          <w:spacing w:val="-2"/>
          <w:sz w:val="18"/>
          <w:szCs w:val="18"/>
          <w:lang w:val="es-ES_tradnl"/>
        </w:rPr>
        <w:t>a la Constituci</w:t>
      </w:r>
      <w:r>
        <w:rPr>
          <w:rFonts w:cs="Times New Roman"/>
          <w:spacing w:val="-2"/>
          <w:sz w:val="18"/>
          <w:szCs w:val="18"/>
          <w:lang w:val="es-ES_tradnl"/>
        </w:rPr>
        <w:t>ó</w:t>
      </w:r>
      <w:r>
        <w:rPr>
          <w:spacing w:val="-2"/>
          <w:sz w:val="18"/>
          <w:szCs w:val="18"/>
          <w:lang w:val="es-ES_tradnl"/>
        </w:rPr>
        <w:t>n como norma suprema y la obligaci</w:t>
      </w:r>
      <w:r>
        <w:rPr>
          <w:rFonts w:cs="Times New Roman"/>
          <w:spacing w:val="-2"/>
          <w:sz w:val="18"/>
          <w:szCs w:val="18"/>
          <w:lang w:val="es-ES_tradnl"/>
        </w:rPr>
        <w:t>ó</w:t>
      </w:r>
      <w:r>
        <w:rPr>
          <w:spacing w:val="-2"/>
          <w:sz w:val="18"/>
          <w:szCs w:val="18"/>
          <w:lang w:val="es-ES_tradnl"/>
        </w:rPr>
        <w:t xml:space="preserve">n </w:t>
      </w:r>
      <w:r>
        <w:rPr>
          <w:spacing w:val="-5"/>
          <w:sz w:val="18"/>
          <w:szCs w:val="18"/>
          <w:lang w:val="es-ES_tradnl"/>
        </w:rPr>
        <w:t xml:space="preserve">de los jueces de aplicar las normas constitucionales de </w:t>
      </w:r>
      <w:r>
        <w:rPr>
          <w:spacing w:val="-6"/>
          <w:sz w:val="18"/>
          <w:szCs w:val="18"/>
          <w:lang w:val="es-ES_tradnl"/>
        </w:rPr>
        <w:t>forma directa, para lo cual transcriben los textos de los art</w:t>
      </w:r>
      <w:r>
        <w:rPr>
          <w:rFonts w:cs="Times New Roman"/>
          <w:spacing w:val="-6"/>
          <w:sz w:val="18"/>
          <w:szCs w:val="18"/>
          <w:lang w:val="es-ES_tradnl"/>
        </w:rPr>
        <w:t>í</w:t>
      </w:r>
      <w:r>
        <w:rPr>
          <w:spacing w:val="-6"/>
          <w:sz w:val="18"/>
          <w:szCs w:val="18"/>
          <w:lang w:val="es-ES_tradnl"/>
        </w:rPr>
        <w:t xml:space="preserve">culos 82, 88, 424 y 426, respectivamente. Dentro del </w:t>
      </w:r>
      <w:r>
        <w:rPr>
          <w:spacing w:val="-9"/>
          <w:sz w:val="18"/>
          <w:szCs w:val="18"/>
          <w:lang w:val="es-ES_tradnl"/>
        </w:rPr>
        <w:t>mismo considerando realizan un an</w:t>
      </w:r>
      <w:r>
        <w:rPr>
          <w:rFonts w:cs="Times New Roman"/>
          <w:spacing w:val="-9"/>
          <w:sz w:val="18"/>
          <w:szCs w:val="18"/>
          <w:lang w:val="es-ES_tradnl"/>
        </w:rPr>
        <w:t>á</w:t>
      </w:r>
      <w:r>
        <w:rPr>
          <w:spacing w:val="-9"/>
          <w:sz w:val="18"/>
          <w:szCs w:val="18"/>
          <w:lang w:val="es-ES_tradnl"/>
        </w:rPr>
        <w:t>lisis de la actuaci</w:t>
      </w:r>
      <w:r>
        <w:rPr>
          <w:rFonts w:cs="Times New Roman"/>
          <w:spacing w:val="-9"/>
          <w:sz w:val="18"/>
          <w:szCs w:val="18"/>
          <w:lang w:val="es-ES_tradnl"/>
        </w:rPr>
        <w:t>ó</w:t>
      </w:r>
      <w:r>
        <w:rPr>
          <w:spacing w:val="-9"/>
          <w:sz w:val="18"/>
          <w:szCs w:val="18"/>
          <w:lang w:val="es-ES_tradnl"/>
        </w:rPr>
        <w:t>n de</w:t>
      </w:r>
    </w:p>
    <w:p w14:paraId="4F67B7E7" w14:textId="77777777" w:rsidR="00591D54" w:rsidRDefault="00591D54">
      <w:pPr>
        <w:shd w:val="clear" w:color="auto" w:fill="FFFFFF"/>
        <w:spacing w:before="5" w:line="221" w:lineRule="exact"/>
        <w:jc w:val="both"/>
      </w:pPr>
      <w:r>
        <w:br w:type="column"/>
      </w:r>
      <w:r>
        <w:rPr>
          <w:spacing w:val="-3"/>
          <w:sz w:val="18"/>
          <w:szCs w:val="18"/>
          <w:lang w:val="es-ES_tradnl"/>
        </w:rPr>
        <w:t>los jueces dentro del Estado constitucional de derechos y justicia, al tenor de lo prescrito en el art</w:t>
      </w:r>
      <w:r>
        <w:rPr>
          <w:rFonts w:cs="Times New Roman"/>
          <w:spacing w:val="-3"/>
          <w:sz w:val="18"/>
          <w:szCs w:val="18"/>
          <w:lang w:val="es-ES_tradnl"/>
        </w:rPr>
        <w:t>í</w:t>
      </w:r>
      <w:r>
        <w:rPr>
          <w:spacing w:val="-3"/>
          <w:sz w:val="18"/>
          <w:szCs w:val="18"/>
          <w:lang w:val="es-ES_tradnl"/>
        </w:rPr>
        <w:t xml:space="preserve">culo 1 de la </w:t>
      </w:r>
      <w:r>
        <w:rPr>
          <w:sz w:val="18"/>
          <w:szCs w:val="18"/>
          <w:lang w:val="es-ES_tradnl"/>
        </w:rPr>
        <w:t>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B7E8" w14:textId="77777777" w:rsidR="00591D54" w:rsidRDefault="00591D54">
      <w:pPr>
        <w:shd w:val="clear" w:color="auto" w:fill="FFFFFF"/>
        <w:spacing w:before="206" w:line="221" w:lineRule="exact"/>
        <w:jc w:val="both"/>
      </w:pPr>
      <w:r>
        <w:rPr>
          <w:spacing w:val="-8"/>
          <w:sz w:val="18"/>
          <w:szCs w:val="18"/>
          <w:lang w:val="es-ES_tradnl"/>
        </w:rPr>
        <w:t xml:space="preserve">A partir del considerando sexto de su sentencia, los jueces </w:t>
      </w:r>
      <w:r>
        <w:rPr>
          <w:spacing w:val="-6"/>
          <w:sz w:val="18"/>
          <w:szCs w:val="18"/>
          <w:lang w:val="es-ES_tradnl"/>
        </w:rPr>
        <w:t xml:space="preserve">se refieren a los hechos suscitados dentro del proceso </w:t>
      </w:r>
      <w:r>
        <w:rPr>
          <w:spacing w:val="-7"/>
          <w:sz w:val="18"/>
          <w:szCs w:val="18"/>
          <w:lang w:val="es-ES_tradnl"/>
        </w:rPr>
        <w:t>precontractual convocado por HIDRONACI</w:t>
      </w:r>
      <w:r>
        <w:rPr>
          <w:rFonts w:cs="Times New Roman"/>
          <w:spacing w:val="-7"/>
          <w:sz w:val="18"/>
          <w:szCs w:val="18"/>
          <w:lang w:val="es-ES_tradnl"/>
        </w:rPr>
        <w:t>Ó</w:t>
      </w:r>
      <w:r>
        <w:rPr>
          <w:spacing w:val="-7"/>
          <w:sz w:val="18"/>
          <w:szCs w:val="18"/>
          <w:lang w:val="es-ES_tradnl"/>
        </w:rPr>
        <w:t xml:space="preserve">N S. A., para </w:t>
      </w:r>
      <w:r>
        <w:rPr>
          <w:spacing w:val="-8"/>
          <w:sz w:val="18"/>
          <w:szCs w:val="18"/>
          <w:lang w:val="es-ES_tradnl"/>
        </w:rPr>
        <w:t>la contrataci</w:t>
      </w:r>
      <w:r>
        <w:rPr>
          <w:rFonts w:cs="Times New Roman"/>
          <w:spacing w:val="-8"/>
          <w:sz w:val="18"/>
          <w:szCs w:val="18"/>
          <w:lang w:val="es-ES_tradnl"/>
        </w:rPr>
        <w:t>ó</w:t>
      </w:r>
      <w:r>
        <w:rPr>
          <w:spacing w:val="-8"/>
          <w:sz w:val="18"/>
          <w:szCs w:val="18"/>
          <w:lang w:val="es-ES_tradnl"/>
        </w:rPr>
        <w:t xml:space="preserve">n de servicios complementarios de seguridad, </w:t>
      </w:r>
      <w:r>
        <w:rPr>
          <w:spacing w:val="-5"/>
          <w:sz w:val="18"/>
          <w:szCs w:val="18"/>
          <w:lang w:val="es-ES_tradnl"/>
        </w:rPr>
        <w:t xml:space="preserve">y para el efecto contrastan los hechos con las normas </w:t>
      </w:r>
      <w:r>
        <w:rPr>
          <w:spacing w:val="-3"/>
          <w:sz w:val="18"/>
          <w:szCs w:val="18"/>
          <w:lang w:val="es-ES_tradnl"/>
        </w:rPr>
        <w:t>legales e infra legales que regulan la notificaci</w:t>
      </w:r>
      <w:r>
        <w:rPr>
          <w:rFonts w:cs="Times New Roman"/>
          <w:spacing w:val="-3"/>
          <w:sz w:val="18"/>
          <w:szCs w:val="18"/>
          <w:lang w:val="es-ES_tradnl"/>
        </w:rPr>
        <w:t>ó</w:t>
      </w:r>
      <w:r>
        <w:rPr>
          <w:spacing w:val="-3"/>
          <w:sz w:val="18"/>
          <w:szCs w:val="18"/>
          <w:lang w:val="es-ES_tradnl"/>
        </w:rPr>
        <w:t xml:space="preserve">n, los </w:t>
      </w:r>
      <w:r>
        <w:rPr>
          <w:spacing w:val="-7"/>
          <w:sz w:val="18"/>
          <w:szCs w:val="18"/>
          <w:lang w:val="es-ES_tradnl"/>
        </w:rPr>
        <w:t>documentos habilitantes y garant</w:t>
      </w:r>
      <w:r>
        <w:rPr>
          <w:rFonts w:cs="Times New Roman"/>
          <w:spacing w:val="-7"/>
          <w:sz w:val="18"/>
          <w:szCs w:val="18"/>
          <w:lang w:val="es-ES_tradnl"/>
        </w:rPr>
        <w:t>í</w:t>
      </w:r>
      <w:r>
        <w:rPr>
          <w:spacing w:val="-7"/>
          <w:sz w:val="18"/>
          <w:szCs w:val="18"/>
          <w:lang w:val="es-ES_tradnl"/>
        </w:rPr>
        <w:t>as respectivas. Contin</w:t>
      </w:r>
      <w:r>
        <w:rPr>
          <w:rFonts w:cs="Times New Roman"/>
          <w:spacing w:val="-7"/>
          <w:sz w:val="18"/>
          <w:szCs w:val="18"/>
          <w:lang w:val="es-ES_tradnl"/>
        </w:rPr>
        <w:t>ú</w:t>
      </w:r>
      <w:r>
        <w:rPr>
          <w:spacing w:val="-7"/>
          <w:sz w:val="18"/>
          <w:szCs w:val="18"/>
          <w:lang w:val="es-ES_tradnl"/>
        </w:rPr>
        <w:t xml:space="preserve">a </w:t>
      </w:r>
      <w:r>
        <w:rPr>
          <w:spacing w:val="-8"/>
          <w:sz w:val="18"/>
          <w:szCs w:val="18"/>
          <w:lang w:val="es-ES_tradnl"/>
        </w:rPr>
        <w:t>este considerando se</w:t>
      </w:r>
      <w:r>
        <w:rPr>
          <w:rFonts w:cs="Times New Roman"/>
          <w:spacing w:val="-8"/>
          <w:sz w:val="18"/>
          <w:szCs w:val="18"/>
          <w:lang w:val="es-ES_tradnl"/>
        </w:rPr>
        <w:t>ñ</w:t>
      </w:r>
      <w:r>
        <w:rPr>
          <w:spacing w:val="-8"/>
          <w:sz w:val="18"/>
          <w:szCs w:val="18"/>
          <w:lang w:val="es-ES_tradnl"/>
        </w:rPr>
        <w:t xml:space="preserve">alando las normas constitucionales </w:t>
      </w:r>
      <w:r>
        <w:rPr>
          <w:spacing w:val="-6"/>
          <w:sz w:val="18"/>
          <w:szCs w:val="18"/>
          <w:lang w:val="es-ES_tradnl"/>
        </w:rPr>
        <w:t>respecto al marco de actuaci</w:t>
      </w:r>
      <w:r>
        <w:rPr>
          <w:rFonts w:cs="Times New Roman"/>
          <w:spacing w:val="-6"/>
          <w:sz w:val="18"/>
          <w:szCs w:val="18"/>
          <w:lang w:val="es-ES_tradnl"/>
        </w:rPr>
        <w:t>ó</w:t>
      </w:r>
      <w:r>
        <w:rPr>
          <w:spacing w:val="-6"/>
          <w:sz w:val="18"/>
          <w:szCs w:val="18"/>
          <w:lang w:val="es-ES_tradnl"/>
        </w:rPr>
        <w:t>n de los servidores p</w:t>
      </w:r>
      <w:r>
        <w:rPr>
          <w:rFonts w:cs="Times New Roman"/>
          <w:spacing w:val="-6"/>
          <w:sz w:val="18"/>
          <w:szCs w:val="18"/>
          <w:lang w:val="es-ES_tradnl"/>
        </w:rPr>
        <w:t>ú</w:t>
      </w:r>
      <w:r>
        <w:rPr>
          <w:spacing w:val="-6"/>
          <w:sz w:val="18"/>
          <w:szCs w:val="18"/>
          <w:lang w:val="es-ES_tradnl"/>
        </w:rPr>
        <w:t xml:space="preserve">blicos </w:t>
      </w:r>
      <w:r>
        <w:rPr>
          <w:spacing w:val="-7"/>
          <w:sz w:val="18"/>
          <w:szCs w:val="18"/>
          <w:lang w:val="es-ES_tradnl"/>
        </w:rPr>
        <w:t xml:space="preserve">y su responsabilidad por los actos ejecutados, para lo cual </w:t>
      </w:r>
      <w:r>
        <w:rPr>
          <w:spacing w:val="-6"/>
          <w:sz w:val="18"/>
          <w:szCs w:val="18"/>
          <w:lang w:val="es-ES_tradnl"/>
        </w:rPr>
        <w:t>transcriben el texto del primer inciso del art</w:t>
      </w:r>
      <w:r>
        <w:rPr>
          <w:rFonts w:cs="Times New Roman"/>
          <w:spacing w:val="-6"/>
          <w:sz w:val="18"/>
          <w:szCs w:val="18"/>
          <w:lang w:val="es-ES_tradnl"/>
        </w:rPr>
        <w:t>í</w:t>
      </w:r>
      <w:r>
        <w:rPr>
          <w:spacing w:val="-6"/>
          <w:sz w:val="18"/>
          <w:szCs w:val="18"/>
          <w:lang w:val="es-ES_tradnl"/>
        </w:rPr>
        <w:t xml:space="preserve">culo 233 de la </w:t>
      </w:r>
      <w:r>
        <w:rPr>
          <w:sz w:val="18"/>
          <w:szCs w:val="18"/>
          <w:lang w:val="es-ES_tradnl"/>
        </w:rPr>
        <w:t>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B7E9" w14:textId="77777777" w:rsidR="00591D54" w:rsidRDefault="00591D54">
      <w:pPr>
        <w:shd w:val="clear" w:color="auto" w:fill="FFFFFF"/>
        <w:spacing w:before="202" w:line="221" w:lineRule="exact"/>
        <w:jc w:val="both"/>
      </w:pPr>
      <w:r>
        <w:rPr>
          <w:spacing w:val="-8"/>
          <w:sz w:val="18"/>
          <w:szCs w:val="18"/>
          <w:lang w:val="es-ES_tradnl"/>
        </w:rPr>
        <w:t xml:space="preserve">En el siguiente considerando, los jueces indican que dadas </w:t>
      </w:r>
      <w:r>
        <w:rPr>
          <w:spacing w:val="-4"/>
          <w:sz w:val="18"/>
          <w:szCs w:val="18"/>
          <w:lang w:val="es-ES_tradnl"/>
        </w:rPr>
        <w:t>las condiciones f</w:t>
      </w:r>
      <w:r>
        <w:rPr>
          <w:rFonts w:cs="Times New Roman"/>
          <w:spacing w:val="-4"/>
          <w:sz w:val="18"/>
          <w:szCs w:val="18"/>
          <w:lang w:val="es-ES_tradnl"/>
        </w:rPr>
        <w:t>á</w:t>
      </w:r>
      <w:r>
        <w:rPr>
          <w:spacing w:val="-4"/>
          <w:sz w:val="18"/>
          <w:szCs w:val="18"/>
          <w:lang w:val="es-ES_tradnl"/>
        </w:rPr>
        <w:t xml:space="preserve">cticas de la causa, dentro del proceso </w:t>
      </w:r>
      <w:r>
        <w:rPr>
          <w:sz w:val="18"/>
          <w:szCs w:val="18"/>
          <w:lang w:val="es-ES_tradnl"/>
        </w:rPr>
        <w:t>de adjudicaci</w:t>
      </w:r>
      <w:r>
        <w:rPr>
          <w:rFonts w:cs="Times New Roman"/>
          <w:sz w:val="18"/>
          <w:szCs w:val="18"/>
          <w:lang w:val="es-ES_tradnl"/>
        </w:rPr>
        <w:t>ó</w:t>
      </w:r>
      <w:r>
        <w:rPr>
          <w:sz w:val="18"/>
          <w:szCs w:val="18"/>
          <w:lang w:val="es-ES_tradnl"/>
        </w:rPr>
        <w:t>n contractual, la Corporaci</w:t>
      </w:r>
      <w:r>
        <w:rPr>
          <w:rFonts w:cs="Times New Roman"/>
          <w:sz w:val="18"/>
          <w:szCs w:val="18"/>
          <w:lang w:val="es-ES_tradnl"/>
        </w:rPr>
        <w:t>ó</w:t>
      </w:r>
      <w:r>
        <w:rPr>
          <w:sz w:val="18"/>
          <w:szCs w:val="18"/>
          <w:lang w:val="es-ES_tradnl"/>
        </w:rPr>
        <w:t>n El</w:t>
      </w:r>
      <w:r>
        <w:rPr>
          <w:rFonts w:cs="Times New Roman"/>
          <w:sz w:val="18"/>
          <w:szCs w:val="18"/>
          <w:lang w:val="es-ES_tradnl"/>
        </w:rPr>
        <w:t>é</w:t>
      </w:r>
      <w:r>
        <w:rPr>
          <w:sz w:val="18"/>
          <w:szCs w:val="18"/>
          <w:lang w:val="es-ES_tradnl"/>
        </w:rPr>
        <w:t xml:space="preserve">ctrica </w:t>
      </w:r>
      <w:r>
        <w:rPr>
          <w:spacing w:val="-4"/>
          <w:sz w:val="18"/>
          <w:szCs w:val="18"/>
          <w:lang w:val="es-ES_tradnl"/>
        </w:rPr>
        <w:t>del Ecuador, CELEC EP, transgredi</w:t>
      </w:r>
      <w:r>
        <w:rPr>
          <w:rFonts w:cs="Times New Roman"/>
          <w:spacing w:val="-4"/>
          <w:sz w:val="18"/>
          <w:szCs w:val="18"/>
          <w:lang w:val="es-ES_tradnl"/>
        </w:rPr>
        <w:t>ó</w:t>
      </w:r>
      <w:r>
        <w:rPr>
          <w:spacing w:val="-4"/>
          <w:sz w:val="18"/>
          <w:szCs w:val="18"/>
          <w:lang w:val="es-ES_tradnl"/>
        </w:rPr>
        <w:t xml:space="preserve"> los art</w:t>
      </w:r>
      <w:r>
        <w:rPr>
          <w:rFonts w:cs="Times New Roman"/>
          <w:spacing w:val="-4"/>
          <w:sz w:val="18"/>
          <w:szCs w:val="18"/>
          <w:lang w:val="es-ES_tradnl"/>
        </w:rPr>
        <w:t>í</w:t>
      </w:r>
      <w:r>
        <w:rPr>
          <w:spacing w:val="-4"/>
          <w:sz w:val="18"/>
          <w:szCs w:val="18"/>
          <w:lang w:val="es-ES_tradnl"/>
        </w:rPr>
        <w:t>culos 69 de la Ley Org</w:t>
      </w:r>
      <w:r>
        <w:rPr>
          <w:rFonts w:cs="Times New Roman"/>
          <w:spacing w:val="-4"/>
          <w:sz w:val="18"/>
          <w:szCs w:val="18"/>
          <w:lang w:val="es-ES_tradnl"/>
        </w:rPr>
        <w:t>á</w:t>
      </w:r>
      <w:r>
        <w:rPr>
          <w:spacing w:val="-4"/>
          <w:sz w:val="18"/>
          <w:szCs w:val="18"/>
          <w:lang w:val="es-ES_tradnl"/>
        </w:rPr>
        <w:t>nica del Sistema Nacional de Contrataci</w:t>
      </w:r>
      <w:r>
        <w:rPr>
          <w:rFonts w:cs="Times New Roman"/>
          <w:spacing w:val="-4"/>
          <w:sz w:val="18"/>
          <w:szCs w:val="18"/>
          <w:lang w:val="es-ES_tradnl"/>
        </w:rPr>
        <w:t>ó</w:t>
      </w:r>
      <w:r>
        <w:rPr>
          <w:spacing w:val="-4"/>
          <w:sz w:val="18"/>
          <w:szCs w:val="18"/>
          <w:lang w:val="es-ES_tradnl"/>
        </w:rPr>
        <w:t xml:space="preserve">n </w:t>
      </w:r>
      <w:r>
        <w:rPr>
          <w:spacing w:val="-7"/>
          <w:sz w:val="18"/>
          <w:szCs w:val="18"/>
          <w:lang w:val="es-ES_tradnl"/>
        </w:rPr>
        <w:t>P</w:t>
      </w:r>
      <w:r>
        <w:rPr>
          <w:rFonts w:cs="Times New Roman"/>
          <w:spacing w:val="-7"/>
          <w:sz w:val="18"/>
          <w:szCs w:val="18"/>
          <w:lang w:val="es-ES_tradnl"/>
        </w:rPr>
        <w:t>ú</w:t>
      </w:r>
      <w:r>
        <w:rPr>
          <w:spacing w:val="-7"/>
          <w:sz w:val="18"/>
          <w:szCs w:val="18"/>
          <w:lang w:val="es-ES_tradnl"/>
        </w:rPr>
        <w:t>blica y 24 de su Reglamento, a trav</w:t>
      </w:r>
      <w:r>
        <w:rPr>
          <w:rFonts w:cs="Times New Roman"/>
          <w:spacing w:val="-7"/>
          <w:sz w:val="18"/>
          <w:szCs w:val="18"/>
          <w:lang w:val="es-ES_tradnl"/>
        </w:rPr>
        <w:t>é</w:t>
      </w:r>
      <w:r>
        <w:rPr>
          <w:spacing w:val="-7"/>
          <w:sz w:val="18"/>
          <w:szCs w:val="18"/>
          <w:lang w:val="es-ES_tradnl"/>
        </w:rPr>
        <w:t xml:space="preserve">s de los cuales se </w:t>
      </w:r>
      <w:r>
        <w:rPr>
          <w:spacing w:val="-5"/>
          <w:sz w:val="18"/>
          <w:szCs w:val="18"/>
          <w:lang w:val="es-ES_tradnl"/>
        </w:rPr>
        <w:t xml:space="preserve">regulan los plazos para el cumplimiento de los requisitos </w:t>
      </w:r>
      <w:r>
        <w:rPr>
          <w:spacing w:val="-7"/>
          <w:sz w:val="18"/>
          <w:szCs w:val="18"/>
          <w:lang w:val="es-ES_tradnl"/>
        </w:rPr>
        <w:t xml:space="preserve">previos. Con este </w:t>
      </w:r>
      <w:r>
        <w:rPr>
          <w:rFonts w:cs="Times New Roman"/>
          <w:spacing w:val="-7"/>
          <w:sz w:val="18"/>
          <w:szCs w:val="18"/>
          <w:lang w:val="es-ES_tradnl"/>
        </w:rPr>
        <w:t>ú</w:t>
      </w:r>
      <w:r>
        <w:rPr>
          <w:spacing w:val="-7"/>
          <w:sz w:val="18"/>
          <w:szCs w:val="18"/>
          <w:lang w:val="es-ES_tradnl"/>
        </w:rPr>
        <w:t xml:space="preserve">nico razonamiento, que se fundamenta </w:t>
      </w:r>
      <w:r>
        <w:rPr>
          <w:spacing w:val="-8"/>
          <w:sz w:val="18"/>
          <w:szCs w:val="18"/>
          <w:lang w:val="es-ES_tradnl"/>
        </w:rPr>
        <w:t xml:space="preserve">exclusivamente en la supuesta inobservancia de normativa </w:t>
      </w:r>
      <w:r>
        <w:rPr>
          <w:spacing w:val="-4"/>
          <w:sz w:val="18"/>
          <w:szCs w:val="18"/>
          <w:lang w:val="es-ES_tradnl"/>
        </w:rPr>
        <w:t>infraconstitucional, los jueces concluyeron que:</w:t>
      </w:r>
    </w:p>
    <w:p w14:paraId="4F67B7EA" w14:textId="77777777" w:rsidR="00591D54" w:rsidRDefault="00591D54">
      <w:pPr>
        <w:shd w:val="clear" w:color="auto" w:fill="FFFFFF"/>
        <w:spacing w:before="211" w:line="221" w:lineRule="exact"/>
        <w:ind w:left="283"/>
        <w:jc w:val="both"/>
      </w:pPr>
      <w:r>
        <w:rPr>
          <w:rFonts w:cs="Times New Roman"/>
          <w:spacing w:val="-3"/>
          <w:sz w:val="16"/>
          <w:szCs w:val="16"/>
          <w:lang w:val="es-ES_tradnl"/>
        </w:rPr>
        <w:t>…</w:t>
      </w:r>
      <w:r>
        <w:rPr>
          <w:spacing w:val="-3"/>
          <w:sz w:val="16"/>
          <w:szCs w:val="16"/>
          <w:lang w:val="es-ES_tradnl"/>
        </w:rPr>
        <w:t>constituye un atentado al derecho constitucional a la seguridad jur</w:t>
      </w:r>
      <w:r>
        <w:rPr>
          <w:rFonts w:cs="Times New Roman"/>
          <w:spacing w:val="-3"/>
          <w:sz w:val="16"/>
          <w:szCs w:val="16"/>
          <w:lang w:val="es-ES_tradnl"/>
        </w:rPr>
        <w:t>í</w:t>
      </w:r>
      <w:r>
        <w:rPr>
          <w:spacing w:val="-3"/>
          <w:sz w:val="16"/>
          <w:szCs w:val="16"/>
          <w:lang w:val="es-ES_tradnl"/>
        </w:rPr>
        <w:t>dica ya que la autoridad de HIDRONACI</w:t>
      </w:r>
      <w:r>
        <w:rPr>
          <w:rFonts w:cs="Times New Roman"/>
          <w:spacing w:val="-3"/>
          <w:sz w:val="16"/>
          <w:szCs w:val="16"/>
          <w:lang w:val="es-ES_tradnl"/>
        </w:rPr>
        <w:t>Ó</w:t>
      </w:r>
      <w:r>
        <w:rPr>
          <w:spacing w:val="-3"/>
          <w:sz w:val="16"/>
          <w:szCs w:val="16"/>
          <w:lang w:val="es-ES_tradnl"/>
        </w:rPr>
        <w:t xml:space="preserve">N </w:t>
      </w:r>
      <w:r>
        <w:rPr>
          <w:spacing w:val="-4"/>
          <w:sz w:val="16"/>
          <w:szCs w:val="16"/>
          <w:lang w:val="es-ES_tradnl"/>
        </w:rPr>
        <w:t>S.A., con su acto administrativo, irrespet</w:t>
      </w:r>
      <w:r>
        <w:rPr>
          <w:rFonts w:cs="Times New Roman"/>
          <w:spacing w:val="-4"/>
          <w:sz w:val="16"/>
          <w:szCs w:val="16"/>
          <w:lang w:val="es-ES_tradnl"/>
        </w:rPr>
        <w:t>ó</w:t>
      </w:r>
      <w:r>
        <w:rPr>
          <w:spacing w:val="-4"/>
          <w:sz w:val="16"/>
          <w:szCs w:val="16"/>
          <w:lang w:val="es-ES_tradnl"/>
        </w:rPr>
        <w:t xml:space="preserve"> la ley, generando </w:t>
      </w:r>
      <w:r>
        <w:rPr>
          <w:spacing w:val="-5"/>
          <w:sz w:val="16"/>
          <w:szCs w:val="16"/>
          <w:lang w:val="es-ES_tradnl"/>
        </w:rPr>
        <w:t>un grave da</w:t>
      </w:r>
      <w:r>
        <w:rPr>
          <w:rFonts w:cs="Times New Roman"/>
          <w:spacing w:val="-5"/>
          <w:sz w:val="16"/>
          <w:szCs w:val="16"/>
          <w:lang w:val="es-ES_tradnl"/>
        </w:rPr>
        <w:t>ñ</w:t>
      </w:r>
      <w:r>
        <w:rPr>
          <w:spacing w:val="-5"/>
          <w:sz w:val="16"/>
          <w:szCs w:val="16"/>
          <w:lang w:val="es-ES_tradnl"/>
        </w:rPr>
        <w:t xml:space="preserve">o y atentado al derecho al trabajo, y con dicha </w:t>
      </w:r>
      <w:r>
        <w:rPr>
          <w:spacing w:val="-4"/>
          <w:sz w:val="16"/>
          <w:szCs w:val="16"/>
          <w:lang w:val="es-ES_tradnl"/>
        </w:rPr>
        <w:t>actitud est</w:t>
      </w:r>
      <w:r>
        <w:rPr>
          <w:rFonts w:cs="Times New Roman"/>
          <w:spacing w:val="-4"/>
          <w:sz w:val="16"/>
          <w:szCs w:val="16"/>
          <w:lang w:val="es-ES_tradnl"/>
        </w:rPr>
        <w:t>á</w:t>
      </w:r>
      <w:r>
        <w:rPr>
          <w:spacing w:val="-4"/>
          <w:sz w:val="16"/>
          <w:szCs w:val="16"/>
          <w:lang w:val="es-ES_tradnl"/>
        </w:rPr>
        <w:t xml:space="preserve"> colocando en la desocupaci</w:t>
      </w:r>
      <w:r>
        <w:rPr>
          <w:rFonts w:cs="Times New Roman"/>
          <w:spacing w:val="-4"/>
          <w:sz w:val="16"/>
          <w:szCs w:val="16"/>
          <w:lang w:val="es-ES_tradnl"/>
        </w:rPr>
        <w:t>ó</w:t>
      </w:r>
      <w:r>
        <w:rPr>
          <w:spacing w:val="-4"/>
          <w:sz w:val="16"/>
          <w:szCs w:val="16"/>
          <w:lang w:val="es-ES_tradnl"/>
        </w:rPr>
        <w:t xml:space="preserve">n a todos los </w:t>
      </w:r>
      <w:r>
        <w:rPr>
          <w:spacing w:val="-7"/>
          <w:sz w:val="16"/>
          <w:szCs w:val="16"/>
          <w:lang w:val="es-ES_tradnl"/>
        </w:rPr>
        <w:t xml:space="preserve">trabajadores que dependen del accionante, por lo cual se han </w:t>
      </w:r>
      <w:r>
        <w:rPr>
          <w:spacing w:val="-6"/>
          <w:sz w:val="16"/>
          <w:szCs w:val="16"/>
          <w:lang w:val="es-ES_tradnl"/>
        </w:rPr>
        <w:t>violado las normas constitucionales se</w:t>
      </w:r>
      <w:r>
        <w:rPr>
          <w:rFonts w:cs="Times New Roman"/>
          <w:spacing w:val="-6"/>
          <w:sz w:val="16"/>
          <w:szCs w:val="16"/>
          <w:lang w:val="es-ES_tradnl"/>
        </w:rPr>
        <w:t>ñ</w:t>
      </w:r>
      <w:r>
        <w:rPr>
          <w:spacing w:val="-6"/>
          <w:sz w:val="16"/>
          <w:szCs w:val="16"/>
          <w:lang w:val="es-ES_tradnl"/>
        </w:rPr>
        <w:t xml:space="preserve">aladas en los Arts. 11 </w:t>
      </w:r>
      <w:r>
        <w:rPr>
          <w:spacing w:val="-1"/>
          <w:sz w:val="16"/>
          <w:szCs w:val="16"/>
          <w:lang w:val="es-ES_tradnl"/>
        </w:rPr>
        <w:t xml:space="preserve">numerales 2, 3, 4, 5, 7, 9; Art. 66 numerales 4 y 17, Arts. </w:t>
      </w:r>
      <w:r>
        <w:rPr>
          <w:spacing w:val="-2"/>
          <w:sz w:val="16"/>
          <w:szCs w:val="16"/>
          <w:lang w:val="es-ES_tradnl"/>
        </w:rPr>
        <w:t xml:space="preserve">75 y 76 numerales 1 y 7 letras a), b), c), h) e i); Arts. 82 y </w:t>
      </w:r>
      <w:r>
        <w:rPr>
          <w:spacing w:val="-5"/>
          <w:sz w:val="16"/>
          <w:szCs w:val="16"/>
          <w:lang w:val="es-ES_tradnl"/>
        </w:rPr>
        <w:t xml:space="preserve">84 de la Carta Magna y atentado a principios fundamentales </w:t>
      </w:r>
      <w:r>
        <w:rPr>
          <w:spacing w:val="-3"/>
          <w:sz w:val="16"/>
          <w:szCs w:val="16"/>
          <w:lang w:val="es-ES_tradnl"/>
        </w:rPr>
        <w:t xml:space="preserve">garantizados en el Art. 33 No. 2, el Art. 66 y la </w:t>
      </w:r>
      <w:r>
        <w:rPr>
          <w:rFonts w:cs="Times New Roman"/>
          <w:spacing w:val="-3"/>
          <w:sz w:val="16"/>
          <w:szCs w:val="16"/>
          <w:lang w:val="es-ES_tradnl"/>
        </w:rPr>
        <w:t>ú</w:t>
      </w:r>
      <w:r>
        <w:rPr>
          <w:spacing w:val="-3"/>
          <w:sz w:val="16"/>
          <w:szCs w:val="16"/>
          <w:lang w:val="es-ES_tradnl"/>
        </w:rPr>
        <w:t xml:space="preserve">ltima parte </w:t>
      </w:r>
      <w:r>
        <w:rPr>
          <w:spacing w:val="-2"/>
          <w:sz w:val="16"/>
          <w:szCs w:val="16"/>
          <w:lang w:val="es-ES_tradnl"/>
        </w:rPr>
        <w:t>del inciso primero del Art. 328 de la Constituci</w:t>
      </w:r>
      <w:r>
        <w:rPr>
          <w:rFonts w:cs="Times New Roman"/>
          <w:spacing w:val="-2"/>
          <w:sz w:val="16"/>
          <w:szCs w:val="16"/>
          <w:lang w:val="es-ES_tradnl"/>
        </w:rPr>
        <w:t>ó</w:t>
      </w:r>
      <w:r>
        <w:rPr>
          <w:spacing w:val="-2"/>
          <w:sz w:val="16"/>
          <w:szCs w:val="16"/>
          <w:lang w:val="es-ES_tradnl"/>
        </w:rPr>
        <w:t xml:space="preserve">n de la </w:t>
      </w:r>
      <w:r>
        <w:rPr>
          <w:sz w:val="16"/>
          <w:szCs w:val="16"/>
          <w:lang w:val="es-ES_tradnl"/>
        </w:rPr>
        <w:t>Rep</w:t>
      </w:r>
      <w:r>
        <w:rPr>
          <w:rFonts w:cs="Times New Roman"/>
          <w:sz w:val="16"/>
          <w:szCs w:val="16"/>
          <w:lang w:val="es-ES_tradnl"/>
        </w:rPr>
        <w:t>ú</w:t>
      </w:r>
      <w:r>
        <w:rPr>
          <w:sz w:val="16"/>
          <w:szCs w:val="16"/>
          <w:lang w:val="es-ES_tradnl"/>
        </w:rPr>
        <w:t>blica.</w:t>
      </w:r>
    </w:p>
    <w:p w14:paraId="4F67B7EB" w14:textId="77777777" w:rsidR="00591D54" w:rsidRDefault="00591D54">
      <w:pPr>
        <w:shd w:val="clear" w:color="auto" w:fill="FFFFFF"/>
        <w:spacing w:before="211" w:line="221" w:lineRule="exact"/>
        <w:jc w:val="both"/>
      </w:pPr>
      <w:r>
        <w:rPr>
          <w:spacing w:val="-1"/>
          <w:sz w:val="18"/>
          <w:szCs w:val="18"/>
          <w:lang w:val="es-ES_tradnl"/>
        </w:rPr>
        <w:t xml:space="preserve">Conforme se puede apreciar, los jueces concluyeron </w:t>
      </w:r>
      <w:r>
        <w:rPr>
          <w:spacing w:val="-4"/>
          <w:sz w:val="18"/>
          <w:szCs w:val="18"/>
          <w:lang w:val="es-ES_tradnl"/>
        </w:rPr>
        <w:t>que en el presente caso existe una vulneraci</w:t>
      </w:r>
      <w:r>
        <w:rPr>
          <w:rFonts w:cs="Times New Roman"/>
          <w:spacing w:val="-4"/>
          <w:sz w:val="18"/>
          <w:szCs w:val="18"/>
          <w:lang w:val="es-ES_tradnl"/>
        </w:rPr>
        <w:t>ó</w:t>
      </w:r>
      <w:r>
        <w:rPr>
          <w:spacing w:val="-4"/>
          <w:sz w:val="18"/>
          <w:szCs w:val="18"/>
          <w:lang w:val="es-ES_tradnl"/>
        </w:rPr>
        <w:t>n, no solo al derecho a la seguridad jur</w:t>
      </w:r>
      <w:r>
        <w:rPr>
          <w:rFonts w:cs="Times New Roman"/>
          <w:spacing w:val="-4"/>
          <w:sz w:val="18"/>
          <w:szCs w:val="18"/>
          <w:lang w:val="es-ES_tradnl"/>
        </w:rPr>
        <w:t>í</w:t>
      </w:r>
      <w:r>
        <w:rPr>
          <w:spacing w:val="-4"/>
          <w:sz w:val="18"/>
          <w:szCs w:val="18"/>
          <w:lang w:val="es-ES_tradnl"/>
        </w:rPr>
        <w:t>dica, sino tambi</w:t>
      </w:r>
      <w:r>
        <w:rPr>
          <w:rFonts w:cs="Times New Roman"/>
          <w:spacing w:val="-4"/>
          <w:sz w:val="18"/>
          <w:szCs w:val="18"/>
          <w:lang w:val="es-ES_tradnl"/>
        </w:rPr>
        <w:t>é</w:t>
      </w:r>
      <w:r>
        <w:rPr>
          <w:spacing w:val="-4"/>
          <w:sz w:val="18"/>
          <w:szCs w:val="18"/>
          <w:lang w:val="es-ES_tradnl"/>
        </w:rPr>
        <w:t xml:space="preserve">n a los </w:t>
      </w:r>
      <w:r>
        <w:rPr>
          <w:spacing w:val="-5"/>
          <w:sz w:val="18"/>
          <w:szCs w:val="18"/>
          <w:lang w:val="es-ES_tradnl"/>
        </w:rPr>
        <w:t xml:space="preserve">derechos al trabajo, a la tutela judicial efectiva, al debido </w:t>
      </w:r>
      <w:r>
        <w:rPr>
          <w:spacing w:val="-1"/>
          <w:sz w:val="18"/>
          <w:szCs w:val="18"/>
          <w:lang w:val="es-ES_tradnl"/>
        </w:rPr>
        <w:t>proceso e incluso a varios principios de aplicaci</w:t>
      </w:r>
      <w:r>
        <w:rPr>
          <w:rFonts w:cs="Times New Roman"/>
          <w:spacing w:val="-1"/>
          <w:sz w:val="18"/>
          <w:szCs w:val="18"/>
          <w:lang w:val="es-ES_tradnl"/>
        </w:rPr>
        <w:t>ó</w:t>
      </w:r>
      <w:r>
        <w:rPr>
          <w:spacing w:val="-1"/>
          <w:sz w:val="18"/>
          <w:szCs w:val="18"/>
          <w:lang w:val="es-ES_tradnl"/>
        </w:rPr>
        <w:t xml:space="preserve">n de </w:t>
      </w:r>
      <w:r>
        <w:rPr>
          <w:spacing w:val="-6"/>
          <w:sz w:val="18"/>
          <w:szCs w:val="18"/>
          <w:lang w:val="es-ES_tradnl"/>
        </w:rPr>
        <w:t xml:space="preserve">los derechos, porque consideraron que el acto que fue </w:t>
      </w:r>
      <w:r>
        <w:rPr>
          <w:sz w:val="18"/>
          <w:szCs w:val="18"/>
          <w:lang w:val="es-ES_tradnl"/>
        </w:rPr>
        <w:t>impugnado mediante acci</w:t>
      </w:r>
      <w:r>
        <w:rPr>
          <w:rFonts w:cs="Times New Roman"/>
          <w:sz w:val="18"/>
          <w:szCs w:val="18"/>
          <w:lang w:val="es-ES_tradnl"/>
        </w:rPr>
        <w:t>ó</w:t>
      </w:r>
      <w:r>
        <w:rPr>
          <w:sz w:val="18"/>
          <w:szCs w:val="18"/>
          <w:lang w:val="es-ES_tradnl"/>
        </w:rPr>
        <w:t>n de protecci</w:t>
      </w:r>
      <w:r>
        <w:rPr>
          <w:rFonts w:cs="Times New Roman"/>
          <w:sz w:val="18"/>
          <w:szCs w:val="18"/>
          <w:lang w:val="es-ES_tradnl"/>
        </w:rPr>
        <w:t>ó</w:t>
      </w:r>
      <w:r>
        <w:rPr>
          <w:sz w:val="18"/>
          <w:szCs w:val="18"/>
          <w:lang w:val="es-ES_tradnl"/>
        </w:rPr>
        <w:t>n, incumpli</w:t>
      </w:r>
      <w:r>
        <w:rPr>
          <w:rFonts w:cs="Times New Roman"/>
          <w:sz w:val="18"/>
          <w:szCs w:val="18"/>
          <w:lang w:val="es-ES_tradnl"/>
        </w:rPr>
        <w:t xml:space="preserve">ó </w:t>
      </w:r>
      <w:r>
        <w:rPr>
          <w:spacing w:val="-5"/>
          <w:sz w:val="18"/>
          <w:szCs w:val="18"/>
          <w:lang w:val="es-ES_tradnl"/>
        </w:rPr>
        <w:t>la Ley Org</w:t>
      </w:r>
      <w:r>
        <w:rPr>
          <w:rFonts w:cs="Times New Roman"/>
          <w:spacing w:val="-5"/>
          <w:sz w:val="18"/>
          <w:szCs w:val="18"/>
          <w:lang w:val="es-ES_tradnl"/>
        </w:rPr>
        <w:t>á</w:t>
      </w:r>
      <w:r>
        <w:rPr>
          <w:spacing w:val="-5"/>
          <w:sz w:val="18"/>
          <w:szCs w:val="18"/>
          <w:lang w:val="es-ES_tradnl"/>
        </w:rPr>
        <w:t>nica del Sistema Nacional de Contrataci</w:t>
      </w:r>
      <w:r>
        <w:rPr>
          <w:rFonts w:cs="Times New Roman"/>
          <w:spacing w:val="-5"/>
          <w:sz w:val="18"/>
          <w:szCs w:val="18"/>
          <w:lang w:val="es-ES_tradnl"/>
        </w:rPr>
        <w:t>ó</w:t>
      </w:r>
      <w:r>
        <w:rPr>
          <w:spacing w:val="-5"/>
          <w:sz w:val="18"/>
          <w:szCs w:val="18"/>
          <w:lang w:val="es-ES_tradnl"/>
        </w:rPr>
        <w:t xml:space="preserve">n </w:t>
      </w:r>
      <w:r>
        <w:rPr>
          <w:sz w:val="18"/>
          <w:szCs w:val="18"/>
          <w:lang w:val="es-ES_tradnl"/>
        </w:rPr>
        <w:t>P</w:t>
      </w:r>
      <w:r>
        <w:rPr>
          <w:rFonts w:cs="Times New Roman"/>
          <w:sz w:val="18"/>
          <w:szCs w:val="18"/>
          <w:lang w:val="es-ES_tradnl"/>
        </w:rPr>
        <w:t>ú</w:t>
      </w:r>
      <w:r>
        <w:rPr>
          <w:sz w:val="18"/>
          <w:szCs w:val="18"/>
          <w:lang w:val="es-ES_tradnl"/>
        </w:rPr>
        <w:t>blica y su Reglamento.</w:t>
      </w:r>
    </w:p>
    <w:p w14:paraId="4F67B7EC" w14:textId="77777777" w:rsidR="00591D54" w:rsidRDefault="00591D54">
      <w:pPr>
        <w:shd w:val="clear" w:color="auto" w:fill="FFFFFF"/>
        <w:spacing w:before="202" w:line="221" w:lineRule="exact"/>
        <w:jc w:val="both"/>
      </w:pPr>
      <w:r>
        <w:rPr>
          <w:spacing w:val="-5"/>
          <w:sz w:val="18"/>
          <w:szCs w:val="18"/>
          <w:lang w:val="es-ES_tradnl"/>
        </w:rPr>
        <w:t xml:space="preserve">En este sentido, esta Corte Constitucional observa que bajo el </w:t>
      </w:r>
      <w:r>
        <w:rPr>
          <w:rFonts w:cs="Times New Roman"/>
          <w:spacing w:val="-5"/>
          <w:sz w:val="18"/>
          <w:szCs w:val="18"/>
          <w:lang w:val="es-ES_tradnl"/>
        </w:rPr>
        <w:t>ú</w:t>
      </w:r>
      <w:r>
        <w:rPr>
          <w:spacing w:val="-5"/>
          <w:sz w:val="18"/>
          <w:szCs w:val="18"/>
          <w:lang w:val="es-ES_tradnl"/>
        </w:rPr>
        <w:t xml:space="preserve">nico argumento de una supuesta inobservancia </w:t>
      </w:r>
      <w:r>
        <w:rPr>
          <w:spacing w:val="-8"/>
          <w:sz w:val="18"/>
          <w:szCs w:val="18"/>
          <w:lang w:val="es-ES_tradnl"/>
        </w:rPr>
        <w:t>de normas legales y reglamentarias, la Sala que conoci</w:t>
      </w:r>
      <w:r>
        <w:rPr>
          <w:rFonts w:cs="Times New Roman"/>
          <w:spacing w:val="-8"/>
          <w:sz w:val="18"/>
          <w:szCs w:val="18"/>
          <w:lang w:val="es-ES_tradnl"/>
        </w:rPr>
        <w:t>ó</w:t>
      </w:r>
      <w:r>
        <w:rPr>
          <w:spacing w:val="-8"/>
          <w:sz w:val="18"/>
          <w:szCs w:val="18"/>
          <w:lang w:val="es-ES_tradnl"/>
        </w:rPr>
        <w:t xml:space="preserve"> el </w:t>
      </w:r>
      <w:r>
        <w:rPr>
          <w:spacing w:val="-7"/>
          <w:sz w:val="18"/>
          <w:szCs w:val="18"/>
          <w:lang w:val="es-ES_tradnl"/>
        </w:rPr>
        <w:t>recurso de apelaci</w:t>
      </w:r>
      <w:r>
        <w:rPr>
          <w:rFonts w:cs="Times New Roman"/>
          <w:spacing w:val="-7"/>
          <w:sz w:val="18"/>
          <w:szCs w:val="18"/>
          <w:lang w:val="es-ES_tradnl"/>
        </w:rPr>
        <w:t>ó</w:t>
      </w:r>
      <w:r>
        <w:rPr>
          <w:spacing w:val="-7"/>
          <w:sz w:val="18"/>
          <w:szCs w:val="18"/>
          <w:lang w:val="es-ES_tradnl"/>
        </w:rPr>
        <w:t>n declar</w:t>
      </w:r>
      <w:r>
        <w:rPr>
          <w:rFonts w:cs="Times New Roman"/>
          <w:spacing w:val="-7"/>
          <w:sz w:val="18"/>
          <w:szCs w:val="18"/>
          <w:lang w:val="es-ES_tradnl"/>
        </w:rPr>
        <w:t>ó</w:t>
      </w:r>
      <w:r>
        <w:rPr>
          <w:spacing w:val="-7"/>
          <w:sz w:val="18"/>
          <w:szCs w:val="18"/>
          <w:lang w:val="es-ES_tradnl"/>
        </w:rPr>
        <w:t xml:space="preserve"> vulnerados varios derechos </w:t>
      </w:r>
      <w:r>
        <w:rPr>
          <w:spacing w:val="-6"/>
          <w:sz w:val="18"/>
          <w:szCs w:val="18"/>
          <w:lang w:val="es-ES_tradnl"/>
        </w:rPr>
        <w:t>constitucionales, sin que haya existido la fundamentaci</w:t>
      </w:r>
      <w:r>
        <w:rPr>
          <w:rFonts w:cs="Times New Roman"/>
          <w:spacing w:val="-6"/>
          <w:sz w:val="18"/>
          <w:szCs w:val="18"/>
          <w:lang w:val="es-ES_tradnl"/>
        </w:rPr>
        <w:t>ó</w:t>
      </w:r>
      <w:r>
        <w:rPr>
          <w:spacing w:val="-6"/>
          <w:sz w:val="18"/>
          <w:szCs w:val="18"/>
          <w:lang w:val="es-ES_tradnl"/>
        </w:rPr>
        <w:t xml:space="preserve">n </w:t>
      </w:r>
      <w:r>
        <w:rPr>
          <w:spacing w:val="-8"/>
          <w:sz w:val="18"/>
          <w:szCs w:val="18"/>
          <w:lang w:val="es-ES_tradnl"/>
        </w:rPr>
        <w:t xml:space="preserve">requerida para evidenciar si, efectivamente, tales derechos fueron menoscabados, aspecto indispensable tomando en </w:t>
      </w:r>
      <w:r>
        <w:rPr>
          <w:spacing w:val="-5"/>
          <w:sz w:val="18"/>
          <w:szCs w:val="18"/>
          <w:lang w:val="es-ES_tradnl"/>
        </w:rPr>
        <w:t>cuenta la naturaleza jur</w:t>
      </w:r>
      <w:r>
        <w:rPr>
          <w:rFonts w:cs="Times New Roman"/>
          <w:spacing w:val="-5"/>
          <w:sz w:val="18"/>
          <w:szCs w:val="18"/>
          <w:lang w:val="es-ES_tradnl"/>
        </w:rPr>
        <w:t>í</w:t>
      </w:r>
      <w:r>
        <w:rPr>
          <w:spacing w:val="-5"/>
          <w:sz w:val="18"/>
          <w:szCs w:val="18"/>
          <w:lang w:val="es-ES_tradnl"/>
        </w:rPr>
        <w:t xml:space="preserve">dica y las normas que rigen a la </w:t>
      </w:r>
      <w:r>
        <w:rPr>
          <w:sz w:val="18"/>
          <w:szCs w:val="18"/>
          <w:lang w:val="es-ES_tradnl"/>
        </w:rPr>
        <w:t>acci</w:t>
      </w:r>
      <w:r>
        <w:rPr>
          <w:rFonts w:cs="Times New Roman"/>
          <w:sz w:val="18"/>
          <w:szCs w:val="18"/>
          <w:lang w:val="es-ES_tradnl"/>
        </w:rPr>
        <w:t>ó</w:t>
      </w:r>
      <w:r>
        <w:rPr>
          <w:sz w:val="18"/>
          <w:szCs w:val="18"/>
          <w:lang w:val="es-ES_tradnl"/>
        </w:rPr>
        <w:t>n de protecci</w:t>
      </w:r>
      <w:r>
        <w:rPr>
          <w:rFonts w:cs="Times New Roman"/>
          <w:sz w:val="18"/>
          <w:szCs w:val="18"/>
          <w:lang w:val="es-ES_tradnl"/>
        </w:rPr>
        <w:t>ó</w:t>
      </w:r>
      <w:r>
        <w:rPr>
          <w:sz w:val="18"/>
          <w:szCs w:val="18"/>
          <w:lang w:val="es-ES_tradnl"/>
        </w:rPr>
        <w:t>n.</w:t>
      </w:r>
    </w:p>
    <w:p w14:paraId="4F67B7ED" w14:textId="77777777" w:rsidR="00591D54" w:rsidRDefault="00591D54">
      <w:pPr>
        <w:shd w:val="clear" w:color="auto" w:fill="FFFFFF"/>
        <w:spacing w:before="202" w:line="221" w:lineRule="exact"/>
        <w:jc w:val="both"/>
        <w:sectPr w:rsidR="00591D54">
          <w:type w:val="continuous"/>
          <w:pgSz w:w="11909" w:h="16834"/>
          <w:pgMar w:top="1371" w:right="1309" w:bottom="360" w:left="1308" w:header="720" w:footer="720" w:gutter="0"/>
          <w:cols w:num="2" w:space="720" w:equalWidth="0">
            <w:col w:w="4305" w:space="682"/>
            <w:col w:w="4305"/>
          </w:cols>
          <w:noEndnote/>
        </w:sectPr>
      </w:pPr>
    </w:p>
    <w:p w14:paraId="4F67B7EE"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- 249</w:t>
      </w:r>
    </w:p>
    <w:p w14:paraId="4F67B7EF" w14:textId="77777777" w:rsidR="00591D54" w:rsidRDefault="00591D54">
      <w:pPr>
        <w:shd w:val="clear" w:color="auto" w:fill="FFFFFF"/>
        <w:tabs>
          <w:tab w:val="left" w:pos="5842"/>
        </w:tabs>
        <w:spacing w:after="235"/>
        <w:ind w:left="5"/>
        <w:sectPr w:rsidR="00591D54">
          <w:pgSz w:w="11909" w:h="16834"/>
          <w:pgMar w:top="1356" w:right="1304" w:bottom="360" w:left="1308" w:header="720" w:footer="720" w:gutter="0"/>
          <w:cols w:space="60"/>
          <w:noEndnote/>
        </w:sectPr>
      </w:pPr>
    </w:p>
    <w:p w14:paraId="4F67B7F0" w14:textId="77777777" w:rsidR="00591D54" w:rsidRDefault="00591D54">
      <w:pPr>
        <w:shd w:val="clear" w:color="auto" w:fill="FFFFFF"/>
      </w:pPr>
      <w:r>
        <w:rPr>
          <w:spacing w:val="-8"/>
          <w:sz w:val="18"/>
          <w:szCs w:val="18"/>
          <w:lang w:val="es-ES_tradnl"/>
        </w:rPr>
        <w:t>Al respecto, esta Corte</w:t>
      </w:r>
      <w:r>
        <w:rPr>
          <w:spacing w:val="-8"/>
          <w:sz w:val="18"/>
          <w:szCs w:val="18"/>
          <w:vertAlign w:val="superscript"/>
          <w:lang w:val="es-ES_tradnl"/>
        </w:rPr>
        <w:t>3</w:t>
      </w:r>
      <w:r>
        <w:rPr>
          <w:spacing w:val="-8"/>
          <w:sz w:val="18"/>
          <w:szCs w:val="18"/>
          <w:lang w:val="es-ES_tradnl"/>
        </w:rPr>
        <w:t xml:space="preserve"> ha manifestado lo siguiente:</w:t>
      </w:r>
    </w:p>
    <w:p w14:paraId="4F67B7F1" w14:textId="77777777" w:rsidR="00591D54" w:rsidRDefault="00591D54">
      <w:pPr>
        <w:shd w:val="clear" w:color="auto" w:fill="FFFFFF"/>
        <w:spacing w:before="206" w:line="221" w:lineRule="exact"/>
        <w:ind w:left="283"/>
        <w:jc w:val="both"/>
      </w:pPr>
      <w:r>
        <w:rPr>
          <w:spacing w:val="-8"/>
          <w:sz w:val="16"/>
          <w:szCs w:val="16"/>
          <w:lang w:val="es-ES_tradnl"/>
        </w:rPr>
        <w:t>Como ha quedado establecido, la naturaleza de las garant</w:t>
      </w:r>
      <w:r>
        <w:rPr>
          <w:rFonts w:cs="Times New Roman"/>
          <w:spacing w:val="-8"/>
          <w:sz w:val="16"/>
          <w:szCs w:val="16"/>
          <w:lang w:val="es-ES_tradnl"/>
        </w:rPr>
        <w:t>í</w:t>
      </w:r>
      <w:r>
        <w:rPr>
          <w:spacing w:val="-8"/>
          <w:sz w:val="16"/>
          <w:szCs w:val="16"/>
          <w:lang w:val="es-ES_tradnl"/>
        </w:rPr>
        <w:t xml:space="preserve">as </w:t>
      </w:r>
      <w:r>
        <w:rPr>
          <w:spacing w:val="-7"/>
          <w:sz w:val="16"/>
          <w:szCs w:val="16"/>
          <w:lang w:val="es-ES_tradnl"/>
        </w:rPr>
        <w:t xml:space="preserve">jurisdiccionales se encuentra enmarcada en la tutela de los </w:t>
      </w:r>
      <w:r>
        <w:rPr>
          <w:spacing w:val="-11"/>
          <w:sz w:val="16"/>
          <w:szCs w:val="16"/>
          <w:lang w:val="es-ES_tradnl"/>
        </w:rPr>
        <w:t xml:space="preserve">derechos constitucionales; por lo que, los confl ictos que pudieren </w:t>
      </w:r>
      <w:r>
        <w:rPr>
          <w:spacing w:val="-7"/>
          <w:sz w:val="16"/>
          <w:szCs w:val="16"/>
          <w:lang w:val="es-ES_tradnl"/>
        </w:rPr>
        <w:t>generarse respecto a la err</w:t>
      </w:r>
      <w:r>
        <w:rPr>
          <w:rFonts w:cs="Times New Roman"/>
          <w:spacing w:val="-7"/>
          <w:sz w:val="16"/>
          <w:szCs w:val="16"/>
          <w:lang w:val="es-ES_tradnl"/>
        </w:rPr>
        <w:t>ó</w:t>
      </w:r>
      <w:r>
        <w:rPr>
          <w:spacing w:val="-7"/>
          <w:sz w:val="16"/>
          <w:szCs w:val="16"/>
          <w:lang w:val="es-ES_tradnl"/>
        </w:rPr>
        <w:t>nea aplicaci</w:t>
      </w:r>
      <w:r>
        <w:rPr>
          <w:rFonts w:cs="Times New Roman"/>
          <w:spacing w:val="-7"/>
          <w:sz w:val="16"/>
          <w:szCs w:val="16"/>
          <w:lang w:val="es-ES_tradnl"/>
        </w:rPr>
        <w:t>ó</w:t>
      </w:r>
      <w:r>
        <w:rPr>
          <w:spacing w:val="-7"/>
          <w:sz w:val="16"/>
          <w:szCs w:val="16"/>
          <w:lang w:val="es-ES_tradnl"/>
        </w:rPr>
        <w:t>n o interpretaci</w:t>
      </w:r>
      <w:r>
        <w:rPr>
          <w:rFonts w:cs="Times New Roman"/>
          <w:spacing w:val="-7"/>
          <w:sz w:val="16"/>
          <w:szCs w:val="16"/>
          <w:lang w:val="es-ES_tradnl"/>
        </w:rPr>
        <w:t>ó</w:t>
      </w:r>
      <w:r>
        <w:rPr>
          <w:spacing w:val="-7"/>
          <w:sz w:val="16"/>
          <w:szCs w:val="16"/>
          <w:lang w:val="es-ES_tradnl"/>
        </w:rPr>
        <w:t xml:space="preserve">n de las disposiciones normativas infraconstitucionales, no pueden </w:t>
      </w:r>
      <w:r>
        <w:rPr>
          <w:spacing w:val="-5"/>
          <w:sz w:val="16"/>
          <w:szCs w:val="16"/>
          <w:lang w:val="es-ES_tradnl"/>
        </w:rPr>
        <w:t>ser objeto del an</w:t>
      </w:r>
      <w:r>
        <w:rPr>
          <w:rFonts w:cs="Times New Roman"/>
          <w:spacing w:val="-5"/>
          <w:sz w:val="16"/>
          <w:szCs w:val="16"/>
          <w:lang w:val="es-ES_tradnl"/>
        </w:rPr>
        <w:t>á</w:t>
      </w:r>
      <w:r>
        <w:rPr>
          <w:spacing w:val="-5"/>
          <w:sz w:val="16"/>
          <w:szCs w:val="16"/>
          <w:lang w:val="es-ES_tradnl"/>
        </w:rPr>
        <w:t xml:space="preserve">lisis por parte de la justicia constitucional, </w:t>
      </w:r>
      <w:r>
        <w:rPr>
          <w:spacing w:val="-8"/>
          <w:sz w:val="16"/>
          <w:szCs w:val="16"/>
          <w:lang w:val="es-ES_tradnl"/>
        </w:rPr>
        <w:t>pues para ello existen los int</w:t>
      </w:r>
      <w:r>
        <w:rPr>
          <w:rFonts w:cs="Times New Roman"/>
          <w:spacing w:val="-8"/>
          <w:sz w:val="16"/>
          <w:szCs w:val="16"/>
          <w:lang w:val="es-ES_tradnl"/>
        </w:rPr>
        <w:t>é</w:t>
      </w:r>
      <w:r>
        <w:rPr>
          <w:spacing w:val="-8"/>
          <w:sz w:val="16"/>
          <w:szCs w:val="16"/>
          <w:lang w:val="es-ES_tradnl"/>
        </w:rPr>
        <w:t>rpretes normativos competentes.</w:t>
      </w:r>
    </w:p>
    <w:p w14:paraId="4F67B7F2" w14:textId="77777777" w:rsidR="00591D54" w:rsidRDefault="00591D54">
      <w:pPr>
        <w:shd w:val="clear" w:color="auto" w:fill="FFFFFF"/>
        <w:spacing w:before="211" w:line="221" w:lineRule="exact"/>
        <w:ind w:right="5"/>
        <w:jc w:val="both"/>
      </w:pPr>
      <w:r>
        <w:rPr>
          <w:spacing w:val="-3"/>
          <w:sz w:val="18"/>
          <w:szCs w:val="18"/>
          <w:lang w:val="es-ES_tradnl"/>
        </w:rPr>
        <w:t>En la decisi</w:t>
      </w:r>
      <w:r>
        <w:rPr>
          <w:rFonts w:cs="Times New Roman"/>
          <w:spacing w:val="-3"/>
          <w:sz w:val="18"/>
          <w:szCs w:val="18"/>
          <w:lang w:val="es-ES_tradnl"/>
        </w:rPr>
        <w:t>ó</w:t>
      </w:r>
      <w:r>
        <w:rPr>
          <w:spacing w:val="-3"/>
          <w:sz w:val="18"/>
          <w:szCs w:val="18"/>
          <w:lang w:val="es-ES_tradnl"/>
        </w:rPr>
        <w:t>n objeto de an</w:t>
      </w:r>
      <w:r>
        <w:rPr>
          <w:rFonts w:cs="Times New Roman"/>
          <w:spacing w:val="-3"/>
          <w:sz w:val="18"/>
          <w:szCs w:val="18"/>
          <w:lang w:val="es-ES_tradnl"/>
        </w:rPr>
        <w:t>á</w:t>
      </w:r>
      <w:r>
        <w:rPr>
          <w:spacing w:val="-3"/>
          <w:sz w:val="18"/>
          <w:szCs w:val="18"/>
          <w:lang w:val="es-ES_tradnl"/>
        </w:rPr>
        <w:t xml:space="preserve">lisis se evidencia que los </w:t>
      </w:r>
      <w:r>
        <w:rPr>
          <w:spacing w:val="-8"/>
          <w:sz w:val="18"/>
          <w:szCs w:val="18"/>
          <w:lang w:val="es-ES_tradnl"/>
        </w:rPr>
        <w:t>jueces sustentan su decisi</w:t>
      </w:r>
      <w:r>
        <w:rPr>
          <w:rFonts w:cs="Times New Roman"/>
          <w:spacing w:val="-8"/>
          <w:sz w:val="18"/>
          <w:szCs w:val="18"/>
          <w:lang w:val="es-ES_tradnl"/>
        </w:rPr>
        <w:t>ó</w:t>
      </w:r>
      <w:r>
        <w:rPr>
          <w:spacing w:val="-8"/>
          <w:sz w:val="18"/>
          <w:szCs w:val="18"/>
          <w:lang w:val="es-ES_tradnl"/>
        </w:rPr>
        <w:t xml:space="preserve">n </w:t>
      </w:r>
      <w:r>
        <w:rPr>
          <w:rFonts w:cs="Times New Roman"/>
          <w:spacing w:val="-8"/>
          <w:sz w:val="18"/>
          <w:szCs w:val="18"/>
          <w:lang w:val="es-ES_tradnl"/>
        </w:rPr>
        <w:t>ú</w:t>
      </w:r>
      <w:r>
        <w:rPr>
          <w:spacing w:val="-8"/>
          <w:sz w:val="18"/>
          <w:szCs w:val="18"/>
          <w:lang w:val="es-ES_tradnl"/>
        </w:rPr>
        <w:t xml:space="preserve">nicamente en el argumento </w:t>
      </w:r>
      <w:r>
        <w:rPr>
          <w:spacing w:val="-6"/>
          <w:sz w:val="18"/>
          <w:szCs w:val="18"/>
          <w:lang w:val="es-ES_tradnl"/>
        </w:rPr>
        <w:t>de que no se ha aplicado la Ley Org</w:t>
      </w:r>
      <w:r>
        <w:rPr>
          <w:rFonts w:cs="Times New Roman"/>
          <w:spacing w:val="-6"/>
          <w:sz w:val="18"/>
          <w:szCs w:val="18"/>
          <w:lang w:val="es-ES_tradnl"/>
        </w:rPr>
        <w:t>á</w:t>
      </w:r>
      <w:r>
        <w:rPr>
          <w:spacing w:val="-6"/>
          <w:sz w:val="18"/>
          <w:szCs w:val="18"/>
          <w:lang w:val="es-ES_tradnl"/>
        </w:rPr>
        <w:t xml:space="preserve">nica del Sistema </w:t>
      </w:r>
      <w:r>
        <w:rPr>
          <w:spacing w:val="-4"/>
          <w:sz w:val="18"/>
          <w:szCs w:val="18"/>
          <w:lang w:val="es-ES_tradnl"/>
        </w:rPr>
        <w:t>Nacional de Contrataci</w:t>
      </w:r>
      <w:r>
        <w:rPr>
          <w:rFonts w:cs="Times New Roman"/>
          <w:spacing w:val="-4"/>
          <w:sz w:val="18"/>
          <w:szCs w:val="18"/>
          <w:lang w:val="es-ES_tradnl"/>
        </w:rPr>
        <w:t>ó</w:t>
      </w:r>
      <w:r>
        <w:rPr>
          <w:spacing w:val="-4"/>
          <w:sz w:val="18"/>
          <w:szCs w:val="18"/>
          <w:lang w:val="es-ES_tradnl"/>
        </w:rPr>
        <w:t>n P</w:t>
      </w:r>
      <w:r>
        <w:rPr>
          <w:rFonts w:cs="Times New Roman"/>
          <w:spacing w:val="-4"/>
          <w:sz w:val="18"/>
          <w:szCs w:val="18"/>
          <w:lang w:val="es-ES_tradnl"/>
        </w:rPr>
        <w:t>ú</w:t>
      </w:r>
      <w:r>
        <w:rPr>
          <w:spacing w:val="-4"/>
          <w:sz w:val="18"/>
          <w:szCs w:val="18"/>
          <w:lang w:val="es-ES_tradnl"/>
        </w:rPr>
        <w:t xml:space="preserve">blica y su Reglamento, por </w:t>
      </w:r>
      <w:r>
        <w:rPr>
          <w:spacing w:val="-6"/>
          <w:sz w:val="18"/>
          <w:szCs w:val="18"/>
          <w:lang w:val="es-ES_tradnl"/>
        </w:rPr>
        <w:t>lo que prescinden del an</w:t>
      </w:r>
      <w:r>
        <w:rPr>
          <w:rFonts w:cs="Times New Roman"/>
          <w:spacing w:val="-6"/>
          <w:sz w:val="18"/>
          <w:szCs w:val="18"/>
          <w:lang w:val="es-ES_tradnl"/>
        </w:rPr>
        <w:t>á</w:t>
      </w:r>
      <w:r>
        <w:rPr>
          <w:spacing w:val="-6"/>
          <w:sz w:val="18"/>
          <w:szCs w:val="18"/>
          <w:lang w:val="es-ES_tradnl"/>
        </w:rPr>
        <w:t xml:space="preserve">lisis que les permita concluir si </w:t>
      </w:r>
      <w:r>
        <w:rPr>
          <w:spacing w:val="-3"/>
          <w:sz w:val="18"/>
          <w:szCs w:val="18"/>
          <w:lang w:val="es-ES_tradnl"/>
        </w:rPr>
        <w:t>existe vulneraci</w:t>
      </w:r>
      <w:r>
        <w:rPr>
          <w:rFonts w:cs="Times New Roman"/>
          <w:spacing w:val="-3"/>
          <w:sz w:val="18"/>
          <w:szCs w:val="18"/>
          <w:lang w:val="es-ES_tradnl"/>
        </w:rPr>
        <w:t>ó</w:t>
      </w:r>
      <w:r>
        <w:rPr>
          <w:spacing w:val="-3"/>
          <w:sz w:val="18"/>
          <w:szCs w:val="18"/>
          <w:lang w:val="es-ES_tradnl"/>
        </w:rPr>
        <w:t xml:space="preserve">n de derechos constitucionales, dado </w:t>
      </w:r>
      <w:r>
        <w:rPr>
          <w:spacing w:val="-6"/>
          <w:sz w:val="18"/>
          <w:szCs w:val="18"/>
          <w:lang w:val="es-ES_tradnl"/>
        </w:rPr>
        <w:t>que para obtener aquella conclusi</w:t>
      </w:r>
      <w:r>
        <w:rPr>
          <w:rFonts w:cs="Times New Roman"/>
          <w:spacing w:val="-6"/>
          <w:sz w:val="18"/>
          <w:szCs w:val="18"/>
          <w:lang w:val="es-ES_tradnl"/>
        </w:rPr>
        <w:t>ó</w:t>
      </w:r>
      <w:r>
        <w:rPr>
          <w:spacing w:val="-6"/>
          <w:sz w:val="18"/>
          <w:szCs w:val="18"/>
          <w:lang w:val="es-ES_tradnl"/>
        </w:rPr>
        <w:t xml:space="preserve">n se requiere de una </w:t>
      </w:r>
      <w:r>
        <w:rPr>
          <w:spacing w:val="-7"/>
          <w:sz w:val="18"/>
          <w:szCs w:val="18"/>
          <w:lang w:val="es-ES_tradnl"/>
        </w:rPr>
        <w:t>l</w:t>
      </w:r>
      <w:r>
        <w:rPr>
          <w:rFonts w:cs="Times New Roman"/>
          <w:spacing w:val="-7"/>
          <w:sz w:val="18"/>
          <w:szCs w:val="18"/>
          <w:lang w:val="es-ES_tradnl"/>
        </w:rPr>
        <w:t>í</w:t>
      </w:r>
      <w:r>
        <w:rPr>
          <w:spacing w:val="-7"/>
          <w:sz w:val="18"/>
          <w:szCs w:val="18"/>
          <w:lang w:val="es-ES_tradnl"/>
        </w:rPr>
        <w:t>nea argumental s</w:t>
      </w:r>
      <w:r>
        <w:rPr>
          <w:rFonts w:cs="Times New Roman"/>
          <w:spacing w:val="-7"/>
          <w:sz w:val="18"/>
          <w:szCs w:val="18"/>
          <w:lang w:val="es-ES_tradnl"/>
        </w:rPr>
        <w:t>ó</w:t>
      </w:r>
      <w:r>
        <w:rPr>
          <w:spacing w:val="-7"/>
          <w:sz w:val="18"/>
          <w:szCs w:val="18"/>
          <w:lang w:val="es-ES_tradnl"/>
        </w:rPr>
        <w:t xml:space="preserve">lida e integral que aborde todas las circunstancias del caso concreto y lo contraste con los </w:t>
      </w:r>
      <w:r>
        <w:rPr>
          <w:spacing w:val="-9"/>
          <w:sz w:val="18"/>
          <w:szCs w:val="18"/>
          <w:lang w:val="es-ES_tradnl"/>
        </w:rPr>
        <w:t>derechos que se estiman infringidos, lo cual no ocurri</w:t>
      </w:r>
      <w:r>
        <w:rPr>
          <w:rFonts w:cs="Times New Roman"/>
          <w:spacing w:val="-9"/>
          <w:sz w:val="18"/>
          <w:szCs w:val="18"/>
          <w:lang w:val="es-ES_tradnl"/>
        </w:rPr>
        <w:t>ó</w:t>
      </w:r>
      <w:r>
        <w:rPr>
          <w:spacing w:val="-9"/>
          <w:sz w:val="18"/>
          <w:szCs w:val="18"/>
          <w:lang w:val="es-ES_tradnl"/>
        </w:rPr>
        <w:t xml:space="preserve"> en la </w:t>
      </w:r>
      <w:r>
        <w:rPr>
          <w:spacing w:val="-10"/>
          <w:sz w:val="18"/>
          <w:szCs w:val="18"/>
          <w:lang w:val="es-ES_tradnl"/>
        </w:rPr>
        <w:t xml:space="preserve">sentencia impugnada, debido a que esta se limita a describir </w:t>
      </w:r>
      <w:r>
        <w:rPr>
          <w:spacing w:val="-7"/>
          <w:sz w:val="18"/>
          <w:szCs w:val="18"/>
          <w:lang w:val="es-ES_tradnl"/>
        </w:rPr>
        <w:t>los antecedentes f</w:t>
      </w:r>
      <w:r>
        <w:rPr>
          <w:rFonts w:cs="Times New Roman"/>
          <w:spacing w:val="-7"/>
          <w:sz w:val="18"/>
          <w:szCs w:val="18"/>
          <w:lang w:val="es-ES_tradnl"/>
        </w:rPr>
        <w:t>á</w:t>
      </w:r>
      <w:r>
        <w:rPr>
          <w:spacing w:val="-7"/>
          <w:sz w:val="18"/>
          <w:szCs w:val="18"/>
          <w:lang w:val="es-ES_tradnl"/>
        </w:rPr>
        <w:t xml:space="preserve">cticos y posteriormente, debido a una supuesta inobservancia legal y reglamentaria, se concluye </w:t>
      </w:r>
      <w:r>
        <w:rPr>
          <w:sz w:val="18"/>
          <w:szCs w:val="18"/>
          <w:lang w:val="es-ES_tradnl"/>
        </w:rPr>
        <w:t>la vulneraci</w:t>
      </w:r>
      <w:r>
        <w:rPr>
          <w:rFonts w:cs="Times New Roman"/>
          <w:sz w:val="18"/>
          <w:szCs w:val="18"/>
          <w:lang w:val="es-ES_tradnl"/>
        </w:rPr>
        <w:t>ó</w:t>
      </w:r>
      <w:r>
        <w:rPr>
          <w:sz w:val="18"/>
          <w:szCs w:val="18"/>
          <w:lang w:val="es-ES_tradnl"/>
        </w:rPr>
        <w:t>n a derechos.</w:t>
      </w:r>
    </w:p>
    <w:p w14:paraId="4F67B7F3" w14:textId="77777777" w:rsidR="00591D54" w:rsidRDefault="00591D54">
      <w:pPr>
        <w:shd w:val="clear" w:color="auto" w:fill="FFFFFF"/>
        <w:spacing w:before="202" w:line="221" w:lineRule="exact"/>
        <w:ind w:right="5"/>
        <w:jc w:val="both"/>
      </w:pPr>
      <w:r>
        <w:rPr>
          <w:spacing w:val="-2"/>
          <w:sz w:val="18"/>
          <w:szCs w:val="18"/>
          <w:lang w:val="es-ES_tradnl"/>
        </w:rPr>
        <w:t>Al no existir una debida explicaci</w:t>
      </w:r>
      <w:r>
        <w:rPr>
          <w:rFonts w:cs="Times New Roman"/>
          <w:spacing w:val="-2"/>
          <w:sz w:val="18"/>
          <w:szCs w:val="18"/>
          <w:lang w:val="es-ES_tradnl"/>
        </w:rPr>
        <w:t>ó</w:t>
      </w:r>
      <w:r>
        <w:rPr>
          <w:spacing w:val="-2"/>
          <w:sz w:val="18"/>
          <w:szCs w:val="18"/>
          <w:lang w:val="es-ES_tradnl"/>
        </w:rPr>
        <w:t>n acorde a la acci</w:t>
      </w:r>
      <w:r>
        <w:rPr>
          <w:rFonts w:cs="Times New Roman"/>
          <w:spacing w:val="-2"/>
          <w:sz w:val="18"/>
          <w:szCs w:val="18"/>
          <w:lang w:val="es-ES_tradnl"/>
        </w:rPr>
        <w:t>ó</w:t>
      </w:r>
      <w:r>
        <w:rPr>
          <w:spacing w:val="-2"/>
          <w:sz w:val="18"/>
          <w:szCs w:val="18"/>
          <w:lang w:val="es-ES_tradnl"/>
        </w:rPr>
        <w:t xml:space="preserve">n </w:t>
      </w:r>
      <w:r>
        <w:rPr>
          <w:spacing w:val="-7"/>
          <w:sz w:val="18"/>
          <w:szCs w:val="18"/>
          <w:lang w:val="es-ES_tradnl"/>
        </w:rPr>
        <w:t>de protecci</w:t>
      </w:r>
      <w:r>
        <w:rPr>
          <w:rFonts w:cs="Times New Roman"/>
          <w:spacing w:val="-7"/>
          <w:sz w:val="18"/>
          <w:szCs w:val="18"/>
          <w:lang w:val="es-ES_tradnl"/>
        </w:rPr>
        <w:t>ó</w:t>
      </w:r>
      <w:r>
        <w:rPr>
          <w:spacing w:val="-7"/>
          <w:sz w:val="18"/>
          <w:szCs w:val="18"/>
          <w:lang w:val="es-ES_tradnl"/>
        </w:rPr>
        <w:t xml:space="preserve">n y por analizar aspectos de </w:t>
      </w:r>
      <w:r>
        <w:rPr>
          <w:rFonts w:cs="Times New Roman"/>
          <w:spacing w:val="-7"/>
          <w:sz w:val="18"/>
          <w:szCs w:val="18"/>
          <w:lang w:val="es-ES_tradnl"/>
        </w:rPr>
        <w:t>í</w:t>
      </w:r>
      <w:r>
        <w:rPr>
          <w:spacing w:val="-7"/>
          <w:sz w:val="18"/>
          <w:szCs w:val="18"/>
          <w:lang w:val="es-ES_tradnl"/>
        </w:rPr>
        <w:t xml:space="preserve">ndole legal y reglamentaria, ajenos al </w:t>
      </w:r>
      <w:r>
        <w:rPr>
          <w:rFonts w:cs="Times New Roman"/>
          <w:spacing w:val="-7"/>
          <w:sz w:val="18"/>
          <w:szCs w:val="18"/>
          <w:lang w:val="es-ES_tradnl"/>
        </w:rPr>
        <w:t>á</w:t>
      </w:r>
      <w:r>
        <w:rPr>
          <w:spacing w:val="-7"/>
          <w:sz w:val="18"/>
          <w:szCs w:val="18"/>
          <w:lang w:val="es-ES_tradnl"/>
        </w:rPr>
        <w:t xml:space="preserve">mbito de competencia de las </w:t>
      </w:r>
      <w:r>
        <w:rPr>
          <w:spacing w:val="-4"/>
          <w:sz w:val="18"/>
          <w:szCs w:val="18"/>
          <w:lang w:val="es-ES_tradnl"/>
        </w:rPr>
        <w:t>garant</w:t>
      </w:r>
      <w:r>
        <w:rPr>
          <w:rFonts w:cs="Times New Roman"/>
          <w:spacing w:val="-4"/>
          <w:sz w:val="18"/>
          <w:szCs w:val="18"/>
          <w:lang w:val="es-ES_tradnl"/>
        </w:rPr>
        <w:t>í</w:t>
      </w:r>
      <w:r>
        <w:rPr>
          <w:spacing w:val="-4"/>
          <w:sz w:val="18"/>
          <w:szCs w:val="18"/>
          <w:lang w:val="es-ES_tradnl"/>
        </w:rPr>
        <w:t xml:space="preserve">as jurisdiccionales, no se cumplen las normas </w:t>
      </w:r>
      <w:r>
        <w:rPr>
          <w:spacing w:val="-7"/>
          <w:sz w:val="18"/>
          <w:szCs w:val="18"/>
          <w:lang w:val="es-ES_tradnl"/>
        </w:rPr>
        <w:t>jur</w:t>
      </w:r>
      <w:r>
        <w:rPr>
          <w:rFonts w:cs="Times New Roman"/>
          <w:spacing w:val="-7"/>
          <w:sz w:val="18"/>
          <w:szCs w:val="18"/>
          <w:lang w:val="es-ES_tradnl"/>
        </w:rPr>
        <w:t>í</w:t>
      </w:r>
      <w:r>
        <w:rPr>
          <w:spacing w:val="-7"/>
          <w:sz w:val="18"/>
          <w:szCs w:val="18"/>
          <w:lang w:val="es-ES_tradnl"/>
        </w:rPr>
        <w:t xml:space="preserve">dicas constitucionales y legales que fijan la naturaleza </w:t>
      </w:r>
      <w:r>
        <w:rPr>
          <w:spacing w:val="-6"/>
          <w:sz w:val="18"/>
          <w:szCs w:val="18"/>
          <w:lang w:val="es-ES_tradnl"/>
        </w:rPr>
        <w:t>jur</w:t>
      </w:r>
      <w:r>
        <w:rPr>
          <w:rFonts w:cs="Times New Roman"/>
          <w:spacing w:val="-6"/>
          <w:sz w:val="18"/>
          <w:szCs w:val="18"/>
          <w:lang w:val="es-ES_tradnl"/>
        </w:rPr>
        <w:t>í</w:t>
      </w:r>
      <w:r>
        <w:rPr>
          <w:spacing w:val="-6"/>
          <w:sz w:val="18"/>
          <w:szCs w:val="18"/>
          <w:lang w:val="es-ES_tradnl"/>
        </w:rPr>
        <w:t>dica de la acci</w:t>
      </w:r>
      <w:r>
        <w:rPr>
          <w:rFonts w:cs="Times New Roman"/>
          <w:spacing w:val="-6"/>
          <w:sz w:val="18"/>
          <w:szCs w:val="18"/>
          <w:lang w:val="es-ES_tradnl"/>
        </w:rPr>
        <w:t>ó</w:t>
      </w:r>
      <w:r>
        <w:rPr>
          <w:spacing w:val="-6"/>
          <w:sz w:val="18"/>
          <w:szCs w:val="18"/>
          <w:lang w:val="es-ES_tradnl"/>
        </w:rPr>
        <w:t>n de protecci</w:t>
      </w:r>
      <w:r>
        <w:rPr>
          <w:rFonts w:cs="Times New Roman"/>
          <w:spacing w:val="-6"/>
          <w:sz w:val="18"/>
          <w:szCs w:val="18"/>
          <w:lang w:val="es-ES_tradnl"/>
        </w:rPr>
        <w:t>ó</w:t>
      </w:r>
      <w:r>
        <w:rPr>
          <w:spacing w:val="-6"/>
          <w:sz w:val="18"/>
          <w:szCs w:val="18"/>
          <w:lang w:val="es-ES_tradnl"/>
        </w:rPr>
        <w:t xml:space="preserve">n y su </w:t>
      </w:r>
      <w:r>
        <w:rPr>
          <w:rFonts w:cs="Times New Roman"/>
          <w:spacing w:val="-6"/>
          <w:sz w:val="18"/>
          <w:szCs w:val="18"/>
          <w:lang w:val="es-ES_tradnl"/>
        </w:rPr>
        <w:t>á</w:t>
      </w:r>
      <w:r>
        <w:rPr>
          <w:spacing w:val="-6"/>
          <w:sz w:val="18"/>
          <w:szCs w:val="18"/>
          <w:lang w:val="es-ES_tradnl"/>
        </w:rPr>
        <w:t>mbito de tutela.</w:t>
      </w:r>
    </w:p>
    <w:p w14:paraId="4F67B7F4" w14:textId="77777777" w:rsidR="00591D54" w:rsidRDefault="00591D54">
      <w:pPr>
        <w:shd w:val="clear" w:color="auto" w:fill="FFFFFF"/>
        <w:spacing w:before="206" w:line="221" w:lineRule="exact"/>
        <w:ind w:right="5"/>
        <w:jc w:val="both"/>
      </w:pPr>
      <w:r>
        <w:rPr>
          <w:spacing w:val="-12"/>
          <w:sz w:val="18"/>
          <w:szCs w:val="18"/>
          <w:lang w:val="es-ES_tradnl"/>
        </w:rPr>
        <w:t>En definitiva, se concluye que no se ha cumplido el par</w:t>
      </w:r>
      <w:r>
        <w:rPr>
          <w:rFonts w:cs="Times New Roman"/>
          <w:spacing w:val="-12"/>
          <w:sz w:val="18"/>
          <w:szCs w:val="18"/>
          <w:lang w:val="es-ES_tradnl"/>
        </w:rPr>
        <w:t>á</w:t>
      </w:r>
      <w:r>
        <w:rPr>
          <w:spacing w:val="-12"/>
          <w:sz w:val="18"/>
          <w:szCs w:val="18"/>
          <w:lang w:val="es-ES_tradnl"/>
        </w:rPr>
        <w:t xml:space="preserve">metro </w:t>
      </w:r>
      <w:r>
        <w:rPr>
          <w:spacing w:val="-11"/>
          <w:sz w:val="18"/>
          <w:szCs w:val="18"/>
          <w:lang w:val="es-ES_tradnl"/>
        </w:rPr>
        <w:t xml:space="preserve">de razonabilidad, puesto que para un adecuado acatamiento </w:t>
      </w:r>
      <w:r>
        <w:rPr>
          <w:spacing w:val="-4"/>
          <w:sz w:val="18"/>
          <w:szCs w:val="18"/>
          <w:lang w:val="es-ES_tradnl"/>
        </w:rPr>
        <w:t>del objeto de la acci</w:t>
      </w:r>
      <w:r>
        <w:rPr>
          <w:rFonts w:cs="Times New Roman"/>
          <w:spacing w:val="-4"/>
          <w:sz w:val="18"/>
          <w:szCs w:val="18"/>
          <w:lang w:val="es-ES_tradnl"/>
        </w:rPr>
        <w:t>ó</w:t>
      </w:r>
      <w:r>
        <w:rPr>
          <w:spacing w:val="-4"/>
          <w:sz w:val="18"/>
          <w:szCs w:val="18"/>
          <w:lang w:val="es-ES_tradnl"/>
        </w:rPr>
        <w:t>n de protecci</w:t>
      </w:r>
      <w:r>
        <w:rPr>
          <w:rFonts w:cs="Times New Roman"/>
          <w:spacing w:val="-4"/>
          <w:sz w:val="18"/>
          <w:szCs w:val="18"/>
          <w:lang w:val="es-ES_tradnl"/>
        </w:rPr>
        <w:t>ó</w:t>
      </w:r>
      <w:r>
        <w:rPr>
          <w:spacing w:val="-4"/>
          <w:sz w:val="18"/>
          <w:szCs w:val="18"/>
          <w:lang w:val="es-ES_tradnl"/>
        </w:rPr>
        <w:t xml:space="preserve">n, previsto en los </w:t>
      </w:r>
      <w:r>
        <w:rPr>
          <w:spacing w:val="-6"/>
          <w:sz w:val="18"/>
          <w:szCs w:val="18"/>
          <w:lang w:val="es-ES_tradnl"/>
        </w:rPr>
        <w:t>art</w:t>
      </w:r>
      <w:r>
        <w:rPr>
          <w:rFonts w:cs="Times New Roman"/>
          <w:spacing w:val="-6"/>
          <w:sz w:val="18"/>
          <w:szCs w:val="18"/>
          <w:lang w:val="es-ES_tradnl"/>
        </w:rPr>
        <w:t>í</w:t>
      </w:r>
      <w:r>
        <w:rPr>
          <w:spacing w:val="-6"/>
          <w:sz w:val="18"/>
          <w:szCs w:val="18"/>
          <w:lang w:val="es-ES_tradnl"/>
        </w:rPr>
        <w:t>culos 88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y 39 de la </w:t>
      </w:r>
      <w:r>
        <w:rPr>
          <w:spacing w:val="-8"/>
          <w:sz w:val="18"/>
          <w:szCs w:val="18"/>
          <w:lang w:val="es-ES_tradnl"/>
        </w:rPr>
        <w:t>Ley de Garant</w:t>
      </w:r>
      <w:r>
        <w:rPr>
          <w:rFonts w:cs="Times New Roman"/>
          <w:spacing w:val="-8"/>
          <w:sz w:val="18"/>
          <w:szCs w:val="18"/>
          <w:lang w:val="es-ES_tradnl"/>
        </w:rPr>
        <w:t>í</w:t>
      </w:r>
      <w:r>
        <w:rPr>
          <w:spacing w:val="-8"/>
          <w:sz w:val="18"/>
          <w:szCs w:val="18"/>
          <w:lang w:val="es-ES_tradnl"/>
        </w:rPr>
        <w:t xml:space="preserve">as Jurisdiccionales y Control Constitucional, </w:t>
      </w:r>
      <w:r>
        <w:rPr>
          <w:spacing w:val="-7"/>
          <w:sz w:val="18"/>
          <w:szCs w:val="18"/>
          <w:lang w:val="es-ES_tradnl"/>
        </w:rPr>
        <w:t>se requiere que los jueces argumenten s</w:t>
      </w:r>
      <w:r>
        <w:rPr>
          <w:rFonts w:cs="Times New Roman"/>
          <w:spacing w:val="-7"/>
          <w:sz w:val="18"/>
          <w:szCs w:val="18"/>
          <w:lang w:val="es-ES_tradnl"/>
        </w:rPr>
        <w:t>ó</w:t>
      </w:r>
      <w:r>
        <w:rPr>
          <w:spacing w:val="-7"/>
          <w:sz w:val="18"/>
          <w:szCs w:val="18"/>
          <w:lang w:val="es-ES_tradnl"/>
        </w:rPr>
        <w:t xml:space="preserve">lidamente la </w:t>
      </w:r>
      <w:r>
        <w:rPr>
          <w:spacing w:val="-4"/>
          <w:sz w:val="18"/>
          <w:szCs w:val="18"/>
          <w:lang w:val="es-ES_tradnl"/>
        </w:rPr>
        <w:t>existencia de vulneraci</w:t>
      </w:r>
      <w:r>
        <w:rPr>
          <w:rFonts w:cs="Times New Roman"/>
          <w:spacing w:val="-4"/>
          <w:sz w:val="18"/>
          <w:szCs w:val="18"/>
          <w:lang w:val="es-ES_tradnl"/>
        </w:rPr>
        <w:t>ó</w:t>
      </w:r>
      <w:r>
        <w:rPr>
          <w:spacing w:val="-4"/>
          <w:sz w:val="18"/>
          <w:szCs w:val="18"/>
          <w:lang w:val="es-ES_tradnl"/>
        </w:rPr>
        <w:t xml:space="preserve">n de derechos constitucionales </w:t>
      </w:r>
      <w:r>
        <w:rPr>
          <w:spacing w:val="-1"/>
          <w:sz w:val="18"/>
          <w:szCs w:val="18"/>
          <w:lang w:val="es-ES_tradnl"/>
        </w:rPr>
        <w:t>En cuanto al requisito de l</w:t>
      </w:r>
      <w:r>
        <w:rPr>
          <w:rFonts w:cs="Times New Roman"/>
          <w:spacing w:val="-1"/>
          <w:sz w:val="18"/>
          <w:szCs w:val="18"/>
          <w:lang w:val="es-ES_tradnl"/>
        </w:rPr>
        <w:t>ó</w:t>
      </w:r>
      <w:r>
        <w:rPr>
          <w:spacing w:val="-1"/>
          <w:sz w:val="18"/>
          <w:szCs w:val="18"/>
          <w:lang w:val="es-ES_tradnl"/>
        </w:rPr>
        <w:t xml:space="preserve">gica, este exige que las </w:t>
      </w:r>
      <w:r>
        <w:rPr>
          <w:spacing w:val="-9"/>
          <w:sz w:val="18"/>
          <w:szCs w:val="18"/>
          <w:lang w:val="es-ES_tradnl"/>
        </w:rPr>
        <w:t>premisas normativas y f</w:t>
      </w:r>
      <w:r>
        <w:rPr>
          <w:rFonts w:cs="Times New Roman"/>
          <w:spacing w:val="-9"/>
          <w:sz w:val="18"/>
          <w:szCs w:val="18"/>
          <w:lang w:val="es-ES_tradnl"/>
        </w:rPr>
        <w:t>á</w:t>
      </w:r>
      <w:r>
        <w:rPr>
          <w:spacing w:val="-9"/>
          <w:sz w:val="18"/>
          <w:szCs w:val="18"/>
          <w:lang w:val="es-ES_tradnl"/>
        </w:rPr>
        <w:t xml:space="preserve">cticas deban guardar coherencia y </w:t>
      </w:r>
      <w:r>
        <w:rPr>
          <w:spacing w:val="-7"/>
          <w:sz w:val="18"/>
          <w:szCs w:val="18"/>
          <w:lang w:val="es-ES_tradnl"/>
        </w:rPr>
        <w:t>consistencia con la decisi</w:t>
      </w:r>
      <w:r>
        <w:rPr>
          <w:rFonts w:cs="Times New Roman"/>
          <w:spacing w:val="-7"/>
          <w:sz w:val="18"/>
          <w:szCs w:val="18"/>
          <w:lang w:val="es-ES_tradnl"/>
        </w:rPr>
        <w:t>ó</w:t>
      </w:r>
      <w:r>
        <w:rPr>
          <w:spacing w:val="-7"/>
          <w:sz w:val="18"/>
          <w:szCs w:val="18"/>
          <w:lang w:val="es-ES_tradnl"/>
        </w:rPr>
        <w:t>n tomada por la judicatura.</w:t>
      </w:r>
    </w:p>
    <w:p w14:paraId="4F67B7F5" w14:textId="77777777" w:rsidR="00591D54" w:rsidRDefault="00591D54">
      <w:pPr>
        <w:shd w:val="clear" w:color="auto" w:fill="FFFFFF"/>
        <w:spacing w:before="202" w:line="221" w:lineRule="exact"/>
        <w:ind w:right="5"/>
        <w:jc w:val="both"/>
      </w:pPr>
      <w:r>
        <w:rPr>
          <w:spacing w:val="-4"/>
          <w:sz w:val="18"/>
          <w:szCs w:val="18"/>
          <w:lang w:val="es-ES_tradnl"/>
        </w:rPr>
        <w:t>De la revisi</w:t>
      </w:r>
      <w:r>
        <w:rPr>
          <w:rFonts w:cs="Times New Roman"/>
          <w:spacing w:val="-4"/>
          <w:sz w:val="18"/>
          <w:szCs w:val="18"/>
          <w:lang w:val="es-ES_tradnl"/>
        </w:rPr>
        <w:t>ó</w:t>
      </w:r>
      <w:r>
        <w:rPr>
          <w:spacing w:val="-4"/>
          <w:sz w:val="18"/>
          <w:szCs w:val="18"/>
          <w:lang w:val="es-ES_tradnl"/>
        </w:rPr>
        <w:t xml:space="preserve">n del fallo dictado por la Primera Sala de lo </w:t>
      </w:r>
      <w:r>
        <w:rPr>
          <w:sz w:val="18"/>
          <w:szCs w:val="18"/>
          <w:lang w:val="es-ES_tradnl"/>
        </w:rPr>
        <w:t>Laboral, Ni</w:t>
      </w:r>
      <w:r>
        <w:rPr>
          <w:rFonts w:cs="Times New Roman"/>
          <w:sz w:val="18"/>
          <w:szCs w:val="18"/>
          <w:lang w:val="es-ES_tradnl"/>
        </w:rPr>
        <w:t>ñ</w:t>
      </w:r>
      <w:r>
        <w:rPr>
          <w:sz w:val="18"/>
          <w:szCs w:val="18"/>
          <w:lang w:val="es-ES_tradnl"/>
        </w:rPr>
        <w:t xml:space="preserve">ez y Adolescencia de la Corte Provincial </w:t>
      </w:r>
      <w:r>
        <w:rPr>
          <w:spacing w:val="-6"/>
          <w:sz w:val="18"/>
          <w:szCs w:val="18"/>
          <w:lang w:val="es-ES_tradnl"/>
        </w:rPr>
        <w:t xml:space="preserve">de Justicia del Guayas, se observa dentro del tercer </w:t>
      </w:r>
      <w:r>
        <w:rPr>
          <w:spacing w:val="-8"/>
          <w:sz w:val="18"/>
          <w:szCs w:val="18"/>
          <w:lang w:val="es-ES_tradnl"/>
        </w:rPr>
        <w:t xml:space="preserve">considerando que los jueces explican detalladamente los </w:t>
      </w:r>
      <w:r>
        <w:rPr>
          <w:spacing w:val="-12"/>
          <w:sz w:val="18"/>
          <w:szCs w:val="18"/>
          <w:lang w:val="es-ES_tradnl"/>
        </w:rPr>
        <w:t xml:space="preserve">antecedentes de la causa; posteriormente, en el considerando </w:t>
      </w:r>
      <w:r>
        <w:rPr>
          <w:spacing w:val="-8"/>
          <w:sz w:val="18"/>
          <w:szCs w:val="18"/>
          <w:lang w:val="es-ES_tradnl"/>
        </w:rPr>
        <w:t>sexto se emplea como premisa la enunciaci</w:t>
      </w:r>
      <w:r>
        <w:rPr>
          <w:rFonts w:cs="Times New Roman"/>
          <w:spacing w:val="-8"/>
          <w:sz w:val="18"/>
          <w:szCs w:val="18"/>
          <w:lang w:val="es-ES_tradnl"/>
        </w:rPr>
        <w:t>ó</w:t>
      </w:r>
      <w:r>
        <w:rPr>
          <w:spacing w:val="-8"/>
          <w:sz w:val="18"/>
          <w:szCs w:val="18"/>
          <w:lang w:val="es-ES_tradnl"/>
        </w:rPr>
        <w:t>n sobre la supuesta inobservancia legal y reglamentaria, raz</w:t>
      </w:r>
      <w:r>
        <w:rPr>
          <w:rFonts w:cs="Times New Roman"/>
          <w:spacing w:val="-8"/>
          <w:sz w:val="18"/>
          <w:szCs w:val="18"/>
          <w:lang w:val="es-ES_tradnl"/>
        </w:rPr>
        <w:t>ó</w:t>
      </w:r>
      <w:r>
        <w:rPr>
          <w:spacing w:val="-8"/>
          <w:sz w:val="18"/>
          <w:szCs w:val="18"/>
          <w:lang w:val="es-ES_tradnl"/>
        </w:rPr>
        <w:t xml:space="preserve">n por la </w:t>
      </w:r>
      <w:r>
        <w:rPr>
          <w:spacing w:val="-10"/>
          <w:sz w:val="18"/>
          <w:szCs w:val="18"/>
          <w:lang w:val="es-ES_tradnl"/>
        </w:rPr>
        <w:t>cual se concluy</w:t>
      </w:r>
      <w:r>
        <w:rPr>
          <w:rFonts w:cs="Times New Roman"/>
          <w:spacing w:val="-10"/>
          <w:sz w:val="18"/>
          <w:szCs w:val="18"/>
          <w:lang w:val="es-ES_tradnl"/>
        </w:rPr>
        <w:t>ó</w:t>
      </w:r>
      <w:r>
        <w:rPr>
          <w:spacing w:val="-10"/>
          <w:sz w:val="18"/>
          <w:szCs w:val="18"/>
          <w:lang w:val="es-ES_tradnl"/>
        </w:rPr>
        <w:t xml:space="preserve"> que en el presente caso existi</w:t>
      </w:r>
      <w:r>
        <w:rPr>
          <w:rFonts w:cs="Times New Roman"/>
          <w:spacing w:val="-10"/>
          <w:sz w:val="18"/>
          <w:szCs w:val="18"/>
          <w:lang w:val="es-ES_tradnl"/>
        </w:rPr>
        <w:t>ó</w:t>
      </w:r>
      <w:r>
        <w:rPr>
          <w:spacing w:val="-10"/>
          <w:sz w:val="18"/>
          <w:szCs w:val="18"/>
          <w:lang w:val="es-ES_tradnl"/>
        </w:rPr>
        <w:t xml:space="preserve"> vulneraci</w:t>
      </w:r>
      <w:r>
        <w:rPr>
          <w:rFonts w:cs="Times New Roman"/>
          <w:spacing w:val="-10"/>
          <w:sz w:val="18"/>
          <w:szCs w:val="18"/>
          <w:lang w:val="es-ES_tradnl"/>
        </w:rPr>
        <w:t>ó</w:t>
      </w:r>
      <w:r>
        <w:rPr>
          <w:spacing w:val="-10"/>
          <w:sz w:val="18"/>
          <w:szCs w:val="18"/>
          <w:lang w:val="es-ES_tradnl"/>
        </w:rPr>
        <w:t xml:space="preserve">n </w:t>
      </w:r>
      <w:r>
        <w:rPr>
          <w:sz w:val="18"/>
          <w:szCs w:val="18"/>
          <w:lang w:val="es-ES_tradnl"/>
        </w:rPr>
        <w:t>de derechos constitucionales.</w:t>
      </w:r>
    </w:p>
    <w:p w14:paraId="4F67B7F6" w14:textId="77777777" w:rsidR="00591D54" w:rsidRDefault="00591D54">
      <w:pPr>
        <w:shd w:val="clear" w:color="auto" w:fill="FFFFFF"/>
        <w:spacing w:before="197" w:line="221" w:lineRule="exact"/>
        <w:ind w:right="5"/>
        <w:jc w:val="both"/>
      </w:pPr>
      <w:r>
        <w:rPr>
          <w:spacing w:val="-7"/>
          <w:sz w:val="18"/>
          <w:szCs w:val="18"/>
          <w:lang w:val="es-ES_tradnl"/>
        </w:rPr>
        <w:t xml:space="preserve">En este sentido, se observa que la </w:t>
      </w:r>
      <w:r>
        <w:rPr>
          <w:i/>
          <w:iCs/>
          <w:spacing w:val="-7"/>
          <w:sz w:val="18"/>
          <w:szCs w:val="18"/>
          <w:lang w:val="es-ES_tradnl"/>
        </w:rPr>
        <w:t xml:space="preserve">ratio decidendi </w:t>
      </w:r>
      <w:r>
        <w:rPr>
          <w:spacing w:val="-7"/>
          <w:sz w:val="18"/>
          <w:szCs w:val="18"/>
          <w:lang w:val="es-ES_tradnl"/>
        </w:rPr>
        <w:t>de la decisi</w:t>
      </w:r>
      <w:r>
        <w:rPr>
          <w:rFonts w:cs="Times New Roman"/>
          <w:spacing w:val="-7"/>
          <w:sz w:val="18"/>
          <w:szCs w:val="18"/>
          <w:lang w:val="es-ES_tradnl"/>
        </w:rPr>
        <w:t>ó</w:t>
      </w:r>
      <w:r>
        <w:rPr>
          <w:spacing w:val="-7"/>
          <w:sz w:val="18"/>
          <w:szCs w:val="18"/>
          <w:lang w:val="es-ES_tradnl"/>
        </w:rPr>
        <w:t xml:space="preserve">n judicial impugnada se fundamenta en que no se </w:t>
      </w:r>
      <w:r>
        <w:rPr>
          <w:spacing w:val="-10"/>
          <w:sz w:val="18"/>
          <w:szCs w:val="18"/>
          <w:lang w:val="es-ES_tradnl"/>
        </w:rPr>
        <w:t>aplic</w:t>
      </w:r>
      <w:r>
        <w:rPr>
          <w:rFonts w:cs="Times New Roman"/>
          <w:spacing w:val="-10"/>
          <w:sz w:val="18"/>
          <w:szCs w:val="18"/>
          <w:lang w:val="es-ES_tradnl"/>
        </w:rPr>
        <w:t>ó</w:t>
      </w:r>
      <w:r>
        <w:rPr>
          <w:spacing w:val="-10"/>
          <w:sz w:val="18"/>
          <w:szCs w:val="18"/>
          <w:lang w:val="es-ES_tradnl"/>
        </w:rPr>
        <w:t xml:space="preserve"> la Ley Org</w:t>
      </w:r>
      <w:r>
        <w:rPr>
          <w:rFonts w:cs="Times New Roman"/>
          <w:spacing w:val="-10"/>
          <w:sz w:val="18"/>
          <w:szCs w:val="18"/>
          <w:lang w:val="es-ES_tradnl"/>
        </w:rPr>
        <w:t>á</w:t>
      </w:r>
      <w:r>
        <w:rPr>
          <w:spacing w:val="-10"/>
          <w:sz w:val="18"/>
          <w:szCs w:val="18"/>
          <w:lang w:val="es-ES_tradnl"/>
        </w:rPr>
        <w:t>nica del Sistema Nacional de Contrataci</w:t>
      </w:r>
      <w:r>
        <w:rPr>
          <w:rFonts w:cs="Times New Roman"/>
          <w:spacing w:val="-10"/>
          <w:sz w:val="18"/>
          <w:szCs w:val="18"/>
          <w:lang w:val="es-ES_tradnl"/>
        </w:rPr>
        <w:t>ó</w:t>
      </w:r>
      <w:r>
        <w:rPr>
          <w:spacing w:val="-10"/>
          <w:sz w:val="18"/>
          <w:szCs w:val="18"/>
          <w:lang w:val="es-ES_tradnl"/>
        </w:rPr>
        <w:t xml:space="preserve">n </w:t>
      </w:r>
      <w:r>
        <w:rPr>
          <w:sz w:val="18"/>
          <w:szCs w:val="18"/>
          <w:lang w:val="es-ES_tradnl"/>
        </w:rPr>
        <w:t>P</w:t>
      </w:r>
      <w:r>
        <w:rPr>
          <w:rFonts w:cs="Times New Roman"/>
          <w:sz w:val="18"/>
          <w:szCs w:val="18"/>
          <w:lang w:val="es-ES_tradnl"/>
        </w:rPr>
        <w:t>ú</w:t>
      </w:r>
      <w:r>
        <w:rPr>
          <w:sz w:val="18"/>
          <w:szCs w:val="18"/>
          <w:lang w:val="es-ES_tradnl"/>
        </w:rPr>
        <w:t>blica y su Reglamento, lo cual implica que aquella</w:t>
      </w:r>
    </w:p>
    <w:p w14:paraId="4F67B7F7" w14:textId="77777777" w:rsidR="00591D54" w:rsidRDefault="00591D54">
      <w:pPr>
        <w:shd w:val="clear" w:color="auto" w:fill="FFFFFF"/>
        <w:spacing w:before="547" w:line="178" w:lineRule="exact"/>
        <w:ind w:left="139" w:hanging="139"/>
      </w:pPr>
      <w:r>
        <w:rPr>
          <w:sz w:val="16"/>
          <w:szCs w:val="16"/>
          <w:vertAlign w:val="superscript"/>
          <w:lang w:val="es-ES_tradnl"/>
        </w:rPr>
        <w:t>3</w:t>
      </w:r>
      <w:r>
        <w:rPr>
          <w:sz w:val="16"/>
          <w:szCs w:val="16"/>
          <w:lang w:val="es-ES_tradnl"/>
        </w:rPr>
        <w:t xml:space="preserve">  </w:t>
      </w:r>
      <w:r>
        <w:rPr>
          <w:spacing w:val="-7"/>
          <w:sz w:val="16"/>
          <w:szCs w:val="16"/>
          <w:lang w:val="es-ES_tradnl"/>
        </w:rPr>
        <w:t>Corte Constitucional del Ecuador, sentencia N.</w:t>
      </w:r>
      <w:r>
        <w:rPr>
          <w:rFonts w:cs="Times New Roman"/>
          <w:spacing w:val="-7"/>
          <w:sz w:val="16"/>
          <w:szCs w:val="16"/>
          <w:lang w:val="es-ES_tradnl"/>
        </w:rPr>
        <w:t>º</w:t>
      </w:r>
      <w:r>
        <w:rPr>
          <w:spacing w:val="-7"/>
          <w:sz w:val="16"/>
          <w:szCs w:val="16"/>
          <w:lang w:val="es-ES_tradnl"/>
        </w:rPr>
        <w:t xml:space="preserve"> 083-13-SEP-CC, </w:t>
      </w:r>
      <w:r>
        <w:rPr>
          <w:sz w:val="16"/>
          <w:szCs w:val="16"/>
          <w:lang w:val="es-ES_tradnl"/>
        </w:rPr>
        <w:t>caso N.</w:t>
      </w:r>
      <w:r>
        <w:rPr>
          <w:rFonts w:cs="Times New Roman"/>
          <w:sz w:val="16"/>
          <w:szCs w:val="16"/>
          <w:lang w:val="es-ES_tradnl"/>
        </w:rPr>
        <w:t>º</w:t>
      </w:r>
      <w:r>
        <w:rPr>
          <w:sz w:val="16"/>
          <w:szCs w:val="16"/>
          <w:lang w:val="es-ES_tradnl"/>
        </w:rPr>
        <w:t xml:space="preserve"> 0120-11-EP.</w:t>
      </w:r>
    </w:p>
    <w:p w14:paraId="4F67B7F8" w14:textId="77777777" w:rsidR="00591D54" w:rsidRDefault="00591D54">
      <w:pPr>
        <w:shd w:val="clear" w:color="auto" w:fill="FFFFFF"/>
        <w:spacing w:line="211" w:lineRule="exact"/>
        <w:ind w:right="5"/>
        <w:jc w:val="both"/>
      </w:pPr>
      <w:r>
        <w:br w:type="column"/>
      </w:r>
      <w:r>
        <w:rPr>
          <w:spacing w:val="-7"/>
          <w:sz w:val="18"/>
          <w:szCs w:val="18"/>
          <w:lang w:val="es-ES_tradnl"/>
        </w:rPr>
        <w:t>premisa que configura el razonamiento jur</w:t>
      </w:r>
      <w:r>
        <w:rPr>
          <w:rFonts w:cs="Times New Roman"/>
          <w:spacing w:val="-7"/>
          <w:sz w:val="18"/>
          <w:szCs w:val="18"/>
          <w:lang w:val="es-ES_tradnl"/>
        </w:rPr>
        <w:t>í</w:t>
      </w:r>
      <w:r>
        <w:rPr>
          <w:spacing w:val="-7"/>
          <w:sz w:val="18"/>
          <w:szCs w:val="18"/>
          <w:lang w:val="es-ES_tradnl"/>
        </w:rPr>
        <w:t xml:space="preserve">dico esgrimido </w:t>
      </w:r>
      <w:r>
        <w:rPr>
          <w:spacing w:val="-10"/>
          <w:sz w:val="18"/>
          <w:szCs w:val="18"/>
          <w:lang w:val="es-ES_tradnl"/>
        </w:rPr>
        <w:t>en la sentencia no sea coherente con la conclusi</w:t>
      </w:r>
      <w:r>
        <w:rPr>
          <w:rFonts w:cs="Times New Roman"/>
          <w:spacing w:val="-10"/>
          <w:sz w:val="18"/>
          <w:szCs w:val="18"/>
          <w:lang w:val="es-ES_tradnl"/>
        </w:rPr>
        <w:t>ó</w:t>
      </w:r>
      <w:r>
        <w:rPr>
          <w:spacing w:val="-10"/>
          <w:sz w:val="18"/>
          <w:szCs w:val="18"/>
          <w:lang w:val="es-ES_tradnl"/>
        </w:rPr>
        <w:t xml:space="preserve">n final a la </w:t>
      </w:r>
      <w:r>
        <w:rPr>
          <w:spacing w:val="-8"/>
          <w:sz w:val="18"/>
          <w:szCs w:val="18"/>
          <w:lang w:val="es-ES_tradnl"/>
        </w:rPr>
        <w:t>que arrib</w:t>
      </w:r>
      <w:r>
        <w:rPr>
          <w:rFonts w:cs="Times New Roman"/>
          <w:spacing w:val="-8"/>
          <w:sz w:val="18"/>
          <w:szCs w:val="18"/>
          <w:lang w:val="es-ES_tradnl"/>
        </w:rPr>
        <w:t>ó</w:t>
      </w:r>
      <w:r>
        <w:rPr>
          <w:spacing w:val="-8"/>
          <w:sz w:val="18"/>
          <w:szCs w:val="18"/>
          <w:lang w:val="es-ES_tradnl"/>
        </w:rPr>
        <w:t xml:space="preserve"> el fallo. En otras palabras, carece de toda l</w:t>
      </w:r>
      <w:r>
        <w:rPr>
          <w:rFonts w:cs="Times New Roman"/>
          <w:spacing w:val="-8"/>
          <w:sz w:val="18"/>
          <w:szCs w:val="18"/>
          <w:lang w:val="es-ES_tradnl"/>
        </w:rPr>
        <w:t>ó</w:t>
      </w:r>
      <w:r>
        <w:rPr>
          <w:spacing w:val="-8"/>
          <w:sz w:val="18"/>
          <w:szCs w:val="18"/>
          <w:lang w:val="es-ES_tradnl"/>
        </w:rPr>
        <w:t>gica que dentro de una acci</w:t>
      </w:r>
      <w:r>
        <w:rPr>
          <w:rFonts w:cs="Times New Roman"/>
          <w:spacing w:val="-8"/>
          <w:sz w:val="18"/>
          <w:szCs w:val="18"/>
          <w:lang w:val="es-ES_tradnl"/>
        </w:rPr>
        <w:t>ó</w:t>
      </w:r>
      <w:r>
        <w:rPr>
          <w:spacing w:val="-8"/>
          <w:sz w:val="18"/>
          <w:szCs w:val="18"/>
          <w:lang w:val="es-ES_tradnl"/>
        </w:rPr>
        <w:t>n de protecci</w:t>
      </w:r>
      <w:r>
        <w:rPr>
          <w:rFonts w:cs="Times New Roman"/>
          <w:spacing w:val="-8"/>
          <w:sz w:val="18"/>
          <w:szCs w:val="18"/>
          <w:lang w:val="es-ES_tradnl"/>
        </w:rPr>
        <w:t>ó</w:t>
      </w:r>
      <w:r>
        <w:rPr>
          <w:spacing w:val="-8"/>
          <w:sz w:val="18"/>
          <w:szCs w:val="18"/>
          <w:lang w:val="es-ES_tradnl"/>
        </w:rPr>
        <w:t xml:space="preserve">n se haya declarado </w:t>
      </w:r>
      <w:r>
        <w:rPr>
          <w:spacing w:val="-7"/>
          <w:sz w:val="18"/>
          <w:szCs w:val="18"/>
          <w:lang w:val="es-ES_tradnl"/>
        </w:rPr>
        <w:t>la vulneraci</w:t>
      </w:r>
      <w:r>
        <w:rPr>
          <w:rFonts w:cs="Times New Roman"/>
          <w:spacing w:val="-7"/>
          <w:sz w:val="18"/>
          <w:szCs w:val="18"/>
          <w:lang w:val="es-ES_tradnl"/>
        </w:rPr>
        <w:t>ó</w:t>
      </w:r>
      <w:r>
        <w:rPr>
          <w:spacing w:val="-7"/>
          <w:sz w:val="18"/>
          <w:szCs w:val="18"/>
          <w:lang w:val="es-ES_tradnl"/>
        </w:rPr>
        <w:t xml:space="preserve">n de derechos constitucionales, usando como </w:t>
      </w:r>
      <w:r>
        <w:rPr>
          <w:spacing w:val="-6"/>
          <w:sz w:val="18"/>
          <w:szCs w:val="18"/>
          <w:lang w:val="es-ES_tradnl"/>
        </w:rPr>
        <w:t xml:space="preserve">fundamento una premisa que no guarda conformidad con </w:t>
      </w:r>
      <w:r>
        <w:rPr>
          <w:spacing w:val="-5"/>
          <w:sz w:val="18"/>
          <w:szCs w:val="18"/>
          <w:lang w:val="es-ES_tradnl"/>
        </w:rPr>
        <w:t>la naturaleza jur</w:t>
      </w:r>
      <w:r>
        <w:rPr>
          <w:rFonts w:cs="Times New Roman"/>
          <w:spacing w:val="-5"/>
          <w:sz w:val="18"/>
          <w:szCs w:val="18"/>
          <w:lang w:val="es-ES_tradnl"/>
        </w:rPr>
        <w:t>í</w:t>
      </w:r>
      <w:r>
        <w:rPr>
          <w:spacing w:val="-5"/>
          <w:sz w:val="18"/>
          <w:szCs w:val="18"/>
          <w:lang w:val="es-ES_tradnl"/>
        </w:rPr>
        <w:t>dica de las garant</w:t>
      </w:r>
      <w:r>
        <w:rPr>
          <w:rFonts w:cs="Times New Roman"/>
          <w:spacing w:val="-5"/>
          <w:sz w:val="18"/>
          <w:szCs w:val="18"/>
          <w:lang w:val="es-ES_tradnl"/>
        </w:rPr>
        <w:t>í</w:t>
      </w:r>
      <w:r>
        <w:rPr>
          <w:spacing w:val="-5"/>
          <w:sz w:val="18"/>
          <w:szCs w:val="18"/>
          <w:lang w:val="es-ES_tradnl"/>
        </w:rPr>
        <w:t xml:space="preserve">as jurisdiccionales, ni </w:t>
      </w:r>
      <w:r>
        <w:rPr>
          <w:spacing w:val="-7"/>
          <w:sz w:val="18"/>
          <w:szCs w:val="18"/>
          <w:lang w:val="es-ES_tradnl"/>
        </w:rPr>
        <w:t>permite evidenciar si, efectivamente, ha existido alg</w:t>
      </w:r>
      <w:r>
        <w:rPr>
          <w:rFonts w:cs="Times New Roman"/>
          <w:spacing w:val="-7"/>
          <w:sz w:val="18"/>
          <w:szCs w:val="18"/>
          <w:lang w:val="es-ES_tradnl"/>
        </w:rPr>
        <w:t>ú</w:t>
      </w:r>
      <w:r>
        <w:rPr>
          <w:spacing w:val="-7"/>
          <w:sz w:val="18"/>
          <w:szCs w:val="18"/>
          <w:lang w:val="es-ES_tradnl"/>
        </w:rPr>
        <w:t>n tipo de afectaci</w:t>
      </w:r>
      <w:r>
        <w:rPr>
          <w:rFonts w:cs="Times New Roman"/>
          <w:spacing w:val="-7"/>
          <w:sz w:val="18"/>
          <w:szCs w:val="18"/>
          <w:lang w:val="es-ES_tradnl"/>
        </w:rPr>
        <w:t>ó</w:t>
      </w:r>
      <w:r>
        <w:rPr>
          <w:spacing w:val="-7"/>
          <w:sz w:val="18"/>
          <w:szCs w:val="18"/>
          <w:lang w:val="es-ES_tradnl"/>
        </w:rPr>
        <w:t xml:space="preserve">n a derechos constitucionales, pues, como se </w:t>
      </w:r>
      <w:r>
        <w:rPr>
          <w:spacing w:val="-8"/>
          <w:sz w:val="18"/>
          <w:szCs w:val="18"/>
          <w:lang w:val="es-ES_tradnl"/>
        </w:rPr>
        <w:t xml:space="preserve">ha indicado, las controversias que devienen </w:t>
      </w:r>
      <w:r>
        <w:rPr>
          <w:rFonts w:cs="Times New Roman"/>
          <w:spacing w:val="-8"/>
          <w:sz w:val="18"/>
          <w:szCs w:val="18"/>
          <w:lang w:val="es-ES_tradnl"/>
        </w:rPr>
        <w:t>ú</w:t>
      </w:r>
      <w:r>
        <w:rPr>
          <w:spacing w:val="-8"/>
          <w:sz w:val="18"/>
          <w:szCs w:val="18"/>
          <w:lang w:val="es-ES_tradnl"/>
        </w:rPr>
        <w:t xml:space="preserve">nicamente de </w:t>
      </w:r>
      <w:r>
        <w:rPr>
          <w:spacing w:val="-5"/>
          <w:sz w:val="18"/>
          <w:szCs w:val="18"/>
          <w:lang w:val="es-ES_tradnl"/>
        </w:rPr>
        <w:t>la aplicaci</w:t>
      </w:r>
      <w:r>
        <w:rPr>
          <w:rFonts w:cs="Times New Roman"/>
          <w:spacing w:val="-5"/>
          <w:sz w:val="18"/>
          <w:szCs w:val="18"/>
          <w:lang w:val="es-ES_tradnl"/>
        </w:rPr>
        <w:t>ó</w:t>
      </w:r>
      <w:r>
        <w:rPr>
          <w:spacing w:val="-5"/>
          <w:sz w:val="18"/>
          <w:szCs w:val="18"/>
          <w:lang w:val="es-ES_tradnl"/>
        </w:rPr>
        <w:t xml:space="preserve">n de normas infraconstitucionales, no pueden </w:t>
      </w:r>
      <w:r>
        <w:rPr>
          <w:spacing w:val="-6"/>
          <w:sz w:val="18"/>
          <w:szCs w:val="18"/>
          <w:lang w:val="es-ES_tradnl"/>
        </w:rPr>
        <w:t xml:space="preserve">ser analizadas por la justicia constitucional. Es importante </w:t>
      </w:r>
      <w:r>
        <w:rPr>
          <w:spacing w:val="-7"/>
          <w:sz w:val="18"/>
          <w:szCs w:val="18"/>
          <w:lang w:val="es-ES_tradnl"/>
        </w:rPr>
        <w:t>se</w:t>
      </w:r>
      <w:r>
        <w:rPr>
          <w:rFonts w:cs="Times New Roman"/>
          <w:spacing w:val="-7"/>
          <w:sz w:val="18"/>
          <w:szCs w:val="18"/>
          <w:lang w:val="es-ES_tradnl"/>
        </w:rPr>
        <w:t>ñ</w:t>
      </w:r>
      <w:r>
        <w:rPr>
          <w:spacing w:val="-7"/>
          <w:sz w:val="18"/>
          <w:szCs w:val="18"/>
          <w:lang w:val="es-ES_tradnl"/>
        </w:rPr>
        <w:t>alar que esta Corte Constitucional, en su sentencia N.</w:t>
      </w:r>
      <w:r>
        <w:rPr>
          <w:rFonts w:cs="Times New Roman"/>
          <w:spacing w:val="-7"/>
          <w:sz w:val="18"/>
          <w:szCs w:val="18"/>
          <w:lang w:val="es-ES_tradnl"/>
        </w:rPr>
        <w:t xml:space="preserve">º </w:t>
      </w:r>
      <w:r>
        <w:rPr>
          <w:spacing w:val="-7"/>
          <w:sz w:val="18"/>
          <w:szCs w:val="18"/>
          <w:lang w:val="es-ES_tradnl"/>
        </w:rPr>
        <w:t>016-13-SEP-CC determin</w:t>
      </w:r>
      <w:r>
        <w:rPr>
          <w:rFonts w:cs="Times New Roman"/>
          <w:spacing w:val="-7"/>
          <w:sz w:val="18"/>
          <w:szCs w:val="18"/>
          <w:lang w:val="es-ES_tradnl"/>
        </w:rPr>
        <w:t>ó</w:t>
      </w:r>
      <w:r>
        <w:rPr>
          <w:spacing w:val="-7"/>
          <w:sz w:val="18"/>
          <w:szCs w:val="18"/>
          <w:lang w:val="es-ES_tradnl"/>
        </w:rPr>
        <w:t xml:space="preserve"> que el operador de justicia que </w:t>
      </w:r>
      <w:r>
        <w:rPr>
          <w:spacing w:val="-6"/>
          <w:sz w:val="18"/>
          <w:szCs w:val="18"/>
          <w:lang w:val="es-ES_tradnl"/>
        </w:rPr>
        <w:t>conoce de una garant</w:t>
      </w:r>
      <w:r>
        <w:rPr>
          <w:rFonts w:cs="Times New Roman"/>
          <w:spacing w:val="-6"/>
          <w:sz w:val="18"/>
          <w:szCs w:val="18"/>
          <w:lang w:val="es-ES_tradnl"/>
        </w:rPr>
        <w:t>í</w:t>
      </w:r>
      <w:r>
        <w:rPr>
          <w:spacing w:val="-6"/>
          <w:sz w:val="18"/>
          <w:szCs w:val="18"/>
          <w:lang w:val="es-ES_tradnl"/>
        </w:rPr>
        <w:t xml:space="preserve">a jurisdiccional, debe concretar su </w:t>
      </w:r>
      <w:r>
        <w:rPr>
          <w:spacing w:val="-3"/>
          <w:sz w:val="18"/>
          <w:szCs w:val="18"/>
          <w:lang w:val="es-ES_tradnl"/>
        </w:rPr>
        <w:t>an</w:t>
      </w:r>
      <w:r>
        <w:rPr>
          <w:rFonts w:cs="Times New Roman"/>
          <w:spacing w:val="-3"/>
          <w:sz w:val="18"/>
          <w:szCs w:val="18"/>
          <w:lang w:val="es-ES_tradnl"/>
        </w:rPr>
        <w:t>á</w:t>
      </w:r>
      <w:r>
        <w:rPr>
          <w:spacing w:val="-3"/>
          <w:sz w:val="18"/>
          <w:szCs w:val="18"/>
          <w:lang w:val="es-ES_tradnl"/>
        </w:rPr>
        <w:t>lisis a la vulneraci</w:t>
      </w:r>
      <w:r>
        <w:rPr>
          <w:rFonts w:cs="Times New Roman"/>
          <w:spacing w:val="-3"/>
          <w:sz w:val="18"/>
          <w:szCs w:val="18"/>
          <w:lang w:val="es-ES_tradnl"/>
        </w:rPr>
        <w:t>ó</w:t>
      </w:r>
      <w:r>
        <w:rPr>
          <w:spacing w:val="-3"/>
          <w:sz w:val="18"/>
          <w:szCs w:val="18"/>
          <w:lang w:val="es-ES_tradnl"/>
        </w:rPr>
        <w:t xml:space="preserve">n de derechos constitucionales, </w:t>
      </w:r>
      <w:r>
        <w:rPr>
          <w:spacing w:val="-4"/>
          <w:sz w:val="18"/>
          <w:szCs w:val="18"/>
          <w:lang w:val="es-ES_tradnl"/>
        </w:rPr>
        <w:t xml:space="preserve">mas no a </w:t>
      </w:r>
      <w:r>
        <w:rPr>
          <w:rFonts w:cs="Times New Roman"/>
          <w:spacing w:val="-4"/>
          <w:sz w:val="18"/>
          <w:szCs w:val="18"/>
          <w:lang w:val="es-ES_tradnl"/>
        </w:rPr>
        <w:t>“…</w:t>
      </w:r>
      <w:r>
        <w:rPr>
          <w:spacing w:val="-4"/>
          <w:sz w:val="18"/>
          <w:szCs w:val="18"/>
          <w:lang w:val="es-ES_tradnl"/>
        </w:rPr>
        <w:t>problemas derivados de antinomias infra constitucionales o respecto a impugnaciones sobre actuaciones de la administraci</w:t>
      </w:r>
      <w:r>
        <w:rPr>
          <w:rFonts w:cs="Times New Roman"/>
          <w:spacing w:val="-4"/>
          <w:sz w:val="18"/>
          <w:szCs w:val="18"/>
          <w:lang w:val="es-ES_tradnl"/>
        </w:rPr>
        <w:t>ó</w:t>
      </w:r>
      <w:r>
        <w:rPr>
          <w:spacing w:val="-4"/>
          <w:sz w:val="18"/>
          <w:szCs w:val="18"/>
          <w:lang w:val="es-ES_tradnl"/>
        </w:rPr>
        <w:t>n p</w:t>
      </w:r>
      <w:r>
        <w:rPr>
          <w:rFonts w:cs="Times New Roman"/>
          <w:spacing w:val="-4"/>
          <w:sz w:val="18"/>
          <w:szCs w:val="18"/>
          <w:lang w:val="es-ES_tradnl"/>
        </w:rPr>
        <w:t>ú</w:t>
      </w:r>
      <w:r>
        <w:rPr>
          <w:spacing w:val="-4"/>
          <w:sz w:val="18"/>
          <w:szCs w:val="18"/>
          <w:lang w:val="es-ES_tradnl"/>
        </w:rPr>
        <w:t xml:space="preserve">blica que comporten </w:t>
      </w:r>
      <w:r>
        <w:rPr>
          <w:spacing w:val="-7"/>
          <w:sz w:val="18"/>
          <w:szCs w:val="18"/>
          <w:lang w:val="es-ES_tradnl"/>
        </w:rPr>
        <w:t>la inobservancia o contravenci</w:t>
      </w:r>
      <w:r>
        <w:rPr>
          <w:rFonts w:cs="Times New Roman"/>
          <w:spacing w:val="-7"/>
          <w:sz w:val="18"/>
          <w:szCs w:val="18"/>
          <w:lang w:val="es-ES_tradnl"/>
        </w:rPr>
        <w:t>ó</w:t>
      </w:r>
      <w:r>
        <w:rPr>
          <w:spacing w:val="-7"/>
          <w:sz w:val="18"/>
          <w:szCs w:val="18"/>
          <w:lang w:val="es-ES_tradnl"/>
        </w:rPr>
        <w:t xml:space="preserve">n de normas de naturaleza </w:t>
      </w:r>
      <w:r>
        <w:rPr>
          <w:sz w:val="18"/>
          <w:szCs w:val="18"/>
          <w:lang w:val="es-ES_tradnl"/>
        </w:rPr>
        <w:t>legal</w:t>
      </w:r>
      <w:r>
        <w:rPr>
          <w:sz w:val="18"/>
          <w:szCs w:val="18"/>
          <w:vertAlign w:val="superscript"/>
          <w:lang w:val="es-ES_tradnl"/>
        </w:rPr>
        <w:t>4</w:t>
      </w:r>
      <w:r>
        <w:rPr>
          <w:rFonts w:cs="Times New Roman"/>
          <w:sz w:val="18"/>
          <w:szCs w:val="18"/>
          <w:lang w:val="es-ES_tradnl"/>
        </w:rPr>
        <w:t>”</w:t>
      </w:r>
      <w:r>
        <w:rPr>
          <w:sz w:val="18"/>
          <w:szCs w:val="18"/>
          <w:lang w:val="es-ES_tradnl"/>
        </w:rPr>
        <w:t>.</w:t>
      </w:r>
    </w:p>
    <w:p w14:paraId="4F67B7F9" w14:textId="77777777" w:rsidR="00591D54" w:rsidRDefault="00591D54">
      <w:pPr>
        <w:shd w:val="clear" w:color="auto" w:fill="FFFFFF"/>
        <w:spacing w:before="197"/>
      </w:pPr>
      <w:r>
        <w:rPr>
          <w:spacing w:val="-4"/>
          <w:sz w:val="18"/>
          <w:szCs w:val="18"/>
          <w:lang w:val="es-ES_tradnl"/>
        </w:rPr>
        <w:t>Por otro lado, el fallo objeto de an</w:t>
      </w:r>
      <w:r>
        <w:rPr>
          <w:rFonts w:cs="Times New Roman"/>
          <w:spacing w:val="-4"/>
          <w:sz w:val="18"/>
          <w:szCs w:val="18"/>
          <w:lang w:val="es-ES_tradnl"/>
        </w:rPr>
        <w:t>á</w:t>
      </w:r>
      <w:r>
        <w:rPr>
          <w:spacing w:val="-4"/>
          <w:sz w:val="18"/>
          <w:szCs w:val="18"/>
          <w:lang w:val="es-ES_tradnl"/>
        </w:rPr>
        <w:t>lisis determina que:</w:t>
      </w:r>
    </w:p>
    <w:p w14:paraId="4F67B7FA" w14:textId="77777777" w:rsidR="00591D54" w:rsidRDefault="00591D54">
      <w:pPr>
        <w:shd w:val="clear" w:color="auto" w:fill="FFFFFF"/>
        <w:spacing w:before="202" w:line="216" w:lineRule="exact"/>
        <w:ind w:left="283" w:right="5"/>
        <w:jc w:val="both"/>
      </w:pPr>
      <w:r>
        <w:rPr>
          <w:rFonts w:cs="Times New Roman"/>
          <w:spacing w:val="-5"/>
          <w:sz w:val="16"/>
          <w:szCs w:val="16"/>
          <w:lang w:val="es-ES_tradnl"/>
        </w:rPr>
        <w:t>…</w:t>
      </w:r>
      <w:r>
        <w:rPr>
          <w:spacing w:val="-5"/>
          <w:sz w:val="16"/>
          <w:szCs w:val="16"/>
          <w:lang w:val="es-ES_tradnl"/>
        </w:rPr>
        <w:t>se han violado las normas constitucionales se</w:t>
      </w:r>
      <w:r>
        <w:rPr>
          <w:rFonts w:cs="Times New Roman"/>
          <w:spacing w:val="-5"/>
          <w:sz w:val="16"/>
          <w:szCs w:val="16"/>
          <w:lang w:val="es-ES_tradnl"/>
        </w:rPr>
        <w:t>ñ</w:t>
      </w:r>
      <w:r>
        <w:rPr>
          <w:spacing w:val="-5"/>
          <w:sz w:val="16"/>
          <w:szCs w:val="16"/>
          <w:lang w:val="es-ES_tradnl"/>
        </w:rPr>
        <w:t xml:space="preserve">aladas en </w:t>
      </w:r>
      <w:r>
        <w:rPr>
          <w:spacing w:val="-2"/>
          <w:sz w:val="16"/>
          <w:szCs w:val="16"/>
          <w:lang w:val="es-ES_tradnl"/>
        </w:rPr>
        <w:t xml:space="preserve">los Arts. 11 numerales 2, 3, 4, 5, 7, 9; Art. 66 numerales 4 </w:t>
      </w:r>
      <w:r>
        <w:rPr>
          <w:sz w:val="16"/>
          <w:szCs w:val="16"/>
          <w:lang w:val="es-ES_tradnl"/>
        </w:rPr>
        <w:t xml:space="preserve">y 17, Arts. 75 y 76 numerales 1 y 7 letras a), b), c), h) e </w:t>
      </w:r>
      <w:r>
        <w:rPr>
          <w:spacing w:val="-3"/>
          <w:sz w:val="16"/>
          <w:szCs w:val="16"/>
          <w:lang w:val="es-ES_tradnl"/>
        </w:rPr>
        <w:t xml:space="preserve">i); Arts. 82 y 84 de la Carta Magna y atentado a principios </w:t>
      </w:r>
      <w:r>
        <w:rPr>
          <w:sz w:val="16"/>
          <w:szCs w:val="16"/>
          <w:lang w:val="es-ES_tradnl"/>
        </w:rPr>
        <w:t xml:space="preserve">fundamentales garantizados en el Art. 33 No. 2, el Art. </w:t>
      </w:r>
      <w:r>
        <w:rPr>
          <w:spacing w:val="-2"/>
          <w:sz w:val="16"/>
          <w:szCs w:val="16"/>
          <w:lang w:val="es-ES_tradnl"/>
        </w:rPr>
        <w:t xml:space="preserve">66 y la </w:t>
      </w:r>
      <w:r>
        <w:rPr>
          <w:rFonts w:cs="Times New Roman"/>
          <w:spacing w:val="-2"/>
          <w:sz w:val="16"/>
          <w:szCs w:val="16"/>
          <w:lang w:val="es-ES_tradnl"/>
        </w:rPr>
        <w:t>ú</w:t>
      </w:r>
      <w:r>
        <w:rPr>
          <w:spacing w:val="-2"/>
          <w:sz w:val="16"/>
          <w:szCs w:val="16"/>
          <w:lang w:val="es-ES_tradnl"/>
        </w:rPr>
        <w:t xml:space="preserve">ltima parte del inciso primero del Art. 328 de la </w:t>
      </w:r>
      <w:r>
        <w:rPr>
          <w:sz w:val="16"/>
          <w:szCs w:val="16"/>
          <w:lang w:val="es-ES_tradnl"/>
        </w:rPr>
        <w:t>Constituci</w:t>
      </w:r>
      <w:r>
        <w:rPr>
          <w:rFonts w:cs="Times New Roman"/>
          <w:sz w:val="16"/>
          <w:szCs w:val="16"/>
          <w:lang w:val="es-ES_tradnl"/>
        </w:rPr>
        <w:t>ó</w:t>
      </w:r>
      <w:r>
        <w:rPr>
          <w:sz w:val="16"/>
          <w:szCs w:val="16"/>
          <w:lang w:val="es-ES_tradnl"/>
        </w:rPr>
        <w:t>n de la Rep</w:t>
      </w:r>
      <w:r>
        <w:rPr>
          <w:rFonts w:cs="Times New Roman"/>
          <w:sz w:val="16"/>
          <w:szCs w:val="16"/>
          <w:lang w:val="es-ES_tradnl"/>
        </w:rPr>
        <w:t>ú</w:t>
      </w:r>
      <w:r>
        <w:rPr>
          <w:sz w:val="16"/>
          <w:szCs w:val="16"/>
          <w:lang w:val="es-ES_tradnl"/>
        </w:rPr>
        <w:t>blica.</w:t>
      </w:r>
    </w:p>
    <w:p w14:paraId="4F67B7FB" w14:textId="77777777" w:rsidR="00591D54" w:rsidRDefault="00591D54">
      <w:pPr>
        <w:shd w:val="clear" w:color="auto" w:fill="FFFFFF"/>
        <w:spacing w:before="197" w:line="216" w:lineRule="exact"/>
        <w:ind w:right="5"/>
        <w:jc w:val="both"/>
      </w:pPr>
      <w:r>
        <w:rPr>
          <w:spacing w:val="-6"/>
          <w:sz w:val="18"/>
          <w:szCs w:val="18"/>
          <w:lang w:val="es-ES_tradnl"/>
        </w:rPr>
        <w:t>Sin embargo, se aprecia que los jueces han formulado premisas incompletas en relaci</w:t>
      </w:r>
      <w:r>
        <w:rPr>
          <w:rFonts w:cs="Times New Roman"/>
          <w:spacing w:val="-6"/>
          <w:sz w:val="18"/>
          <w:szCs w:val="18"/>
          <w:lang w:val="es-ES_tradnl"/>
        </w:rPr>
        <w:t>ó</w:t>
      </w:r>
      <w:r>
        <w:rPr>
          <w:spacing w:val="-6"/>
          <w:sz w:val="18"/>
          <w:szCs w:val="18"/>
          <w:lang w:val="es-ES_tradnl"/>
        </w:rPr>
        <w:t xml:space="preserve">n a los derechos que se </w:t>
      </w:r>
      <w:r>
        <w:rPr>
          <w:spacing w:val="-7"/>
          <w:sz w:val="18"/>
          <w:szCs w:val="18"/>
          <w:lang w:val="es-ES_tradnl"/>
        </w:rPr>
        <w:t>alegan como vulnerados en su propia sentencia, en raz</w:t>
      </w:r>
      <w:r>
        <w:rPr>
          <w:rFonts w:cs="Times New Roman"/>
          <w:spacing w:val="-7"/>
          <w:sz w:val="18"/>
          <w:szCs w:val="18"/>
          <w:lang w:val="es-ES_tradnl"/>
        </w:rPr>
        <w:t>ó</w:t>
      </w:r>
      <w:r>
        <w:rPr>
          <w:spacing w:val="-7"/>
          <w:sz w:val="18"/>
          <w:szCs w:val="18"/>
          <w:lang w:val="es-ES_tradnl"/>
        </w:rPr>
        <w:t xml:space="preserve">n </w:t>
      </w:r>
      <w:r>
        <w:rPr>
          <w:spacing w:val="-5"/>
          <w:sz w:val="18"/>
          <w:szCs w:val="18"/>
          <w:lang w:val="es-ES_tradnl"/>
        </w:rPr>
        <w:t>de que no resulta suficiente especificar los art</w:t>
      </w:r>
      <w:r>
        <w:rPr>
          <w:rFonts w:cs="Times New Roman"/>
          <w:spacing w:val="-5"/>
          <w:sz w:val="18"/>
          <w:szCs w:val="18"/>
          <w:lang w:val="es-ES_tradnl"/>
        </w:rPr>
        <w:t>í</w:t>
      </w:r>
      <w:r>
        <w:rPr>
          <w:spacing w:val="-5"/>
          <w:sz w:val="18"/>
          <w:szCs w:val="18"/>
          <w:lang w:val="es-ES_tradnl"/>
        </w:rPr>
        <w:t xml:space="preserve">culos que </w:t>
      </w:r>
      <w:r>
        <w:rPr>
          <w:spacing w:val="-3"/>
          <w:sz w:val="18"/>
          <w:szCs w:val="18"/>
          <w:lang w:val="es-ES_tradnl"/>
        </w:rPr>
        <w:t>se consideran infringidos, sino que su obligaci</w:t>
      </w:r>
      <w:r>
        <w:rPr>
          <w:rFonts w:cs="Times New Roman"/>
          <w:spacing w:val="-3"/>
          <w:sz w:val="18"/>
          <w:szCs w:val="18"/>
          <w:lang w:val="es-ES_tradnl"/>
        </w:rPr>
        <w:t>ó</w:t>
      </w:r>
      <w:r>
        <w:rPr>
          <w:spacing w:val="-3"/>
          <w:sz w:val="18"/>
          <w:szCs w:val="18"/>
          <w:lang w:val="es-ES_tradnl"/>
        </w:rPr>
        <w:t xml:space="preserve">n radica </w:t>
      </w:r>
      <w:r>
        <w:rPr>
          <w:spacing w:val="-6"/>
          <w:sz w:val="18"/>
          <w:szCs w:val="18"/>
          <w:lang w:val="es-ES_tradnl"/>
        </w:rPr>
        <w:t>en efectuar un an</w:t>
      </w:r>
      <w:r>
        <w:rPr>
          <w:rFonts w:cs="Times New Roman"/>
          <w:spacing w:val="-6"/>
          <w:sz w:val="18"/>
          <w:szCs w:val="18"/>
          <w:lang w:val="es-ES_tradnl"/>
        </w:rPr>
        <w:t>á</w:t>
      </w:r>
      <w:r>
        <w:rPr>
          <w:spacing w:val="-6"/>
          <w:sz w:val="18"/>
          <w:szCs w:val="18"/>
          <w:lang w:val="es-ES_tradnl"/>
        </w:rPr>
        <w:t xml:space="preserve">lisis de cada uno y establecer la forma </w:t>
      </w:r>
      <w:r>
        <w:rPr>
          <w:spacing w:val="-5"/>
          <w:sz w:val="18"/>
          <w:szCs w:val="18"/>
          <w:lang w:val="es-ES_tradnl"/>
        </w:rPr>
        <w:t>en que fueron vulnerados dentro del caso concreto. As</w:t>
      </w:r>
      <w:r>
        <w:rPr>
          <w:rFonts w:cs="Times New Roman"/>
          <w:spacing w:val="-5"/>
          <w:sz w:val="18"/>
          <w:szCs w:val="18"/>
          <w:lang w:val="es-ES_tradnl"/>
        </w:rPr>
        <w:t>í</w:t>
      </w:r>
      <w:r>
        <w:rPr>
          <w:spacing w:val="-5"/>
          <w:sz w:val="18"/>
          <w:szCs w:val="18"/>
          <w:lang w:val="es-ES_tradnl"/>
        </w:rPr>
        <w:t xml:space="preserve">, </w:t>
      </w:r>
      <w:r>
        <w:rPr>
          <w:spacing w:val="-2"/>
          <w:sz w:val="18"/>
          <w:szCs w:val="18"/>
          <w:lang w:val="es-ES_tradnl"/>
        </w:rPr>
        <w:t>para la Corte Constitucional, la sentencia de mayor</w:t>
      </w:r>
      <w:r>
        <w:rPr>
          <w:rFonts w:cs="Times New Roman"/>
          <w:spacing w:val="-2"/>
          <w:sz w:val="18"/>
          <w:szCs w:val="18"/>
          <w:lang w:val="es-ES_tradnl"/>
        </w:rPr>
        <w:t>í</w:t>
      </w:r>
      <w:r>
        <w:rPr>
          <w:spacing w:val="-2"/>
          <w:sz w:val="18"/>
          <w:szCs w:val="18"/>
          <w:lang w:val="es-ES_tradnl"/>
        </w:rPr>
        <w:t xml:space="preserve">a </w:t>
      </w:r>
      <w:r>
        <w:rPr>
          <w:spacing w:val="-4"/>
          <w:sz w:val="18"/>
          <w:szCs w:val="18"/>
          <w:lang w:val="es-ES_tradnl"/>
        </w:rPr>
        <w:t>llega a la conclusi</w:t>
      </w:r>
      <w:r>
        <w:rPr>
          <w:rFonts w:cs="Times New Roman"/>
          <w:spacing w:val="-4"/>
          <w:sz w:val="18"/>
          <w:szCs w:val="18"/>
          <w:lang w:val="es-ES_tradnl"/>
        </w:rPr>
        <w:t>ó</w:t>
      </w:r>
      <w:r>
        <w:rPr>
          <w:spacing w:val="-4"/>
          <w:sz w:val="18"/>
          <w:szCs w:val="18"/>
          <w:lang w:val="es-ES_tradnl"/>
        </w:rPr>
        <w:t>n de que ha existido vulneraci</w:t>
      </w:r>
      <w:r>
        <w:rPr>
          <w:rFonts w:cs="Times New Roman"/>
          <w:spacing w:val="-4"/>
          <w:sz w:val="18"/>
          <w:szCs w:val="18"/>
          <w:lang w:val="es-ES_tradnl"/>
        </w:rPr>
        <w:t>ó</w:t>
      </w:r>
      <w:r>
        <w:rPr>
          <w:spacing w:val="-4"/>
          <w:sz w:val="18"/>
          <w:szCs w:val="18"/>
          <w:lang w:val="es-ES_tradnl"/>
        </w:rPr>
        <w:t xml:space="preserve">n de </w:t>
      </w:r>
      <w:r>
        <w:rPr>
          <w:spacing w:val="-7"/>
          <w:sz w:val="18"/>
          <w:szCs w:val="18"/>
          <w:lang w:val="es-ES_tradnl"/>
        </w:rPr>
        <w:t xml:space="preserve">derechos constitucionales, sin que existan los argumentos </w:t>
      </w:r>
      <w:r>
        <w:rPr>
          <w:spacing w:val="-4"/>
          <w:sz w:val="18"/>
          <w:szCs w:val="18"/>
          <w:lang w:val="es-ES_tradnl"/>
        </w:rPr>
        <w:t>suficientes para sustentar dicha decisi</w:t>
      </w:r>
      <w:r>
        <w:rPr>
          <w:rFonts w:cs="Times New Roman"/>
          <w:spacing w:val="-4"/>
          <w:sz w:val="18"/>
          <w:szCs w:val="18"/>
          <w:lang w:val="es-ES_tradnl"/>
        </w:rPr>
        <w:t>ó</w:t>
      </w:r>
      <w:r>
        <w:rPr>
          <w:spacing w:val="-4"/>
          <w:sz w:val="18"/>
          <w:szCs w:val="18"/>
          <w:lang w:val="es-ES_tradnl"/>
        </w:rPr>
        <w:t xml:space="preserve">n, lo cual deriva </w:t>
      </w:r>
      <w:r>
        <w:rPr>
          <w:spacing w:val="-6"/>
          <w:sz w:val="18"/>
          <w:szCs w:val="18"/>
          <w:lang w:val="es-ES_tradnl"/>
        </w:rPr>
        <w:t>en una sentencia que no guarda coherencia entre su conclusi</w:t>
      </w:r>
      <w:r>
        <w:rPr>
          <w:rFonts w:cs="Times New Roman"/>
          <w:spacing w:val="-6"/>
          <w:sz w:val="18"/>
          <w:szCs w:val="18"/>
          <w:lang w:val="es-ES_tradnl"/>
        </w:rPr>
        <w:t>ó</w:t>
      </w:r>
      <w:r>
        <w:rPr>
          <w:spacing w:val="-6"/>
          <w:sz w:val="18"/>
          <w:szCs w:val="18"/>
          <w:lang w:val="es-ES_tradnl"/>
        </w:rPr>
        <w:t>n y las premisas que la fundamentan.</w:t>
      </w:r>
    </w:p>
    <w:p w14:paraId="4F67B7FC" w14:textId="77777777" w:rsidR="00591D54" w:rsidRDefault="00591D54">
      <w:pPr>
        <w:shd w:val="clear" w:color="auto" w:fill="FFFFFF"/>
        <w:spacing w:before="192" w:line="216" w:lineRule="exact"/>
        <w:ind w:right="5"/>
        <w:jc w:val="both"/>
      </w:pPr>
      <w:r>
        <w:rPr>
          <w:spacing w:val="-8"/>
          <w:sz w:val="18"/>
          <w:szCs w:val="18"/>
          <w:lang w:val="es-ES_tradnl"/>
        </w:rPr>
        <w:t>De este modo, al no existir coherencia entre las premisas y la decisi</w:t>
      </w:r>
      <w:r>
        <w:rPr>
          <w:rFonts w:cs="Times New Roman"/>
          <w:spacing w:val="-8"/>
          <w:sz w:val="18"/>
          <w:szCs w:val="18"/>
          <w:lang w:val="es-ES_tradnl"/>
        </w:rPr>
        <w:t>ó</w:t>
      </w:r>
      <w:r>
        <w:rPr>
          <w:spacing w:val="-8"/>
          <w:sz w:val="18"/>
          <w:szCs w:val="18"/>
          <w:lang w:val="es-ES_tradnl"/>
        </w:rPr>
        <w:t>n de la sentencia, en raz</w:t>
      </w:r>
      <w:r>
        <w:rPr>
          <w:rFonts w:cs="Times New Roman"/>
          <w:spacing w:val="-8"/>
          <w:sz w:val="18"/>
          <w:szCs w:val="18"/>
          <w:lang w:val="es-ES_tradnl"/>
        </w:rPr>
        <w:t>ó</w:t>
      </w:r>
      <w:r>
        <w:rPr>
          <w:spacing w:val="-8"/>
          <w:sz w:val="18"/>
          <w:szCs w:val="18"/>
          <w:lang w:val="es-ES_tradnl"/>
        </w:rPr>
        <w:t xml:space="preserve">n de que se ha arribado </w:t>
      </w:r>
      <w:r>
        <w:rPr>
          <w:spacing w:val="-5"/>
          <w:sz w:val="18"/>
          <w:szCs w:val="18"/>
          <w:lang w:val="es-ES_tradnl"/>
        </w:rPr>
        <w:t>a una conclusi</w:t>
      </w:r>
      <w:r>
        <w:rPr>
          <w:rFonts w:cs="Times New Roman"/>
          <w:spacing w:val="-5"/>
          <w:sz w:val="18"/>
          <w:szCs w:val="18"/>
          <w:lang w:val="es-ES_tradnl"/>
        </w:rPr>
        <w:t>ó</w:t>
      </w:r>
      <w:r>
        <w:rPr>
          <w:spacing w:val="-5"/>
          <w:sz w:val="18"/>
          <w:szCs w:val="18"/>
          <w:lang w:val="es-ES_tradnl"/>
        </w:rPr>
        <w:t xml:space="preserve">n </w:t>
      </w:r>
      <w:r>
        <w:rPr>
          <w:rFonts w:cs="Times New Roman"/>
          <w:spacing w:val="-5"/>
          <w:sz w:val="18"/>
          <w:szCs w:val="18"/>
          <w:lang w:val="es-ES_tradnl"/>
        </w:rPr>
        <w:t>–</w:t>
      </w:r>
      <w:r>
        <w:rPr>
          <w:spacing w:val="-5"/>
          <w:sz w:val="18"/>
          <w:szCs w:val="18"/>
          <w:lang w:val="es-ES_tradnl"/>
        </w:rPr>
        <w:t>vulneraci</w:t>
      </w:r>
      <w:r>
        <w:rPr>
          <w:rFonts w:cs="Times New Roman"/>
          <w:spacing w:val="-5"/>
          <w:sz w:val="18"/>
          <w:szCs w:val="18"/>
          <w:lang w:val="es-ES_tradnl"/>
        </w:rPr>
        <w:t>ó</w:t>
      </w:r>
      <w:r>
        <w:rPr>
          <w:spacing w:val="-5"/>
          <w:sz w:val="18"/>
          <w:szCs w:val="18"/>
          <w:lang w:val="es-ES_tradnl"/>
        </w:rPr>
        <w:t>n de derechos</w:t>
      </w:r>
      <w:r>
        <w:rPr>
          <w:rFonts w:cs="Times New Roman"/>
          <w:spacing w:val="-5"/>
          <w:sz w:val="18"/>
          <w:szCs w:val="18"/>
          <w:lang w:val="es-ES_tradnl"/>
        </w:rPr>
        <w:t>–</w:t>
      </w:r>
      <w:r>
        <w:rPr>
          <w:spacing w:val="-5"/>
          <w:sz w:val="18"/>
          <w:szCs w:val="18"/>
          <w:lang w:val="es-ES_tradnl"/>
        </w:rPr>
        <w:t xml:space="preserve"> sin que se </w:t>
      </w:r>
      <w:r>
        <w:rPr>
          <w:spacing w:val="-6"/>
          <w:sz w:val="18"/>
          <w:szCs w:val="18"/>
          <w:lang w:val="es-ES_tradnl"/>
        </w:rPr>
        <w:t>cuente con los argumentos suficientes e id</w:t>
      </w:r>
      <w:r>
        <w:rPr>
          <w:rFonts w:cs="Times New Roman"/>
          <w:spacing w:val="-6"/>
          <w:sz w:val="18"/>
          <w:szCs w:val="18"/>
          <w:lang w:val="es-ES_tradnl"/>
        </w:rPr>
        <w:t>ó</w:t>
      </w:r>
      <w:r>
        <w:rPr>
          <w:spacing w:val="-6"/>
          <w:sz w:val="18"/>
          <w:szCs w:val="18"/>
          <w:lang w:val="es-ES_tradnl"/>
        </w:rPr>
        <w:t>neos que la sustenten, la sentencia no cumple el requisito de l</w:t>
      </w:r>
      <w:r>
        <w:rPr>
          <w:rFonts w:cs="Times New Roman"/>
          <w:spacing w:val="-6"/>
          <w:sz w:val="18"/>
          <w:szCs w:val="18"/>
          <w:lang w:val="es-ES_tradnl"/>
        </w:rPr>
        <w:t>ó</w:t>
      </w:r>
      <w:r>
        <w:rPr>
          <w:spacing w:val="-6"/>
          <w:sz w:val="18"/>
          <w:szCs w:val="18"/>
          <w:lang w:val="es-ES_tradnl"/>
        </w:rPr>
        <w:t>gica.</w:t>
      </w:r>
    </w:p>
    <w:p w14:paraId="4F67B7FD" w14:textId="77777777" w:rsidR="00591D54" w:rsidRDefault="00591D54">
      <w:pPr>
        <w:shd w:val="clear" w:color="auto" w:fill="FFFFFF"/>
        <w:spacing w:before="192" w:line="216" w:lineRule="exact"/>
        <w:jc w:val="both"/>
      </w:pPr>
      <w:r>
        <w:rPr>
          <w:spacing w:val="-5"/>
          <w:sz w:val="18"/>
          <w:szCs w:val="18"/>
          <w:lang w:val="es-ES_tradnl"/>
        </w:rPr>
        <w:t>Finalmente, respecto al par</w:t>
      </w:r>
      <w:r>
        <w:rPr>
          <w:rFonts w:cs="Times New Roman"/>
          <w:spacing w:val="-5"/>
          <w:sz w:val="18"/>
          <w:szCs w:val="18"/>
          <w:lang w:val="es-ES_tradnl"/>
        </w:rPr>
        <w:t>á</w:t>
      </w:r>
      <w:r>
        <w:rPr>
          <w:spacing w:val="-5"/>
          <w:sz w:val="18"/>
          <w:szCs w:val="18"/>
          <w:lang w:val="es-ES_tradnl"/>
        </w:rPr>
        <w:t xml:space="preserve">metro de </w:t>
      </w:r>
      <w:r>
        <w:rPr>
          <w:i/>
          <w:iCs/>
          <w:spacing w:val="-5"/>
          <w:sz w:val="18"/>
          <w:szCs w:val="18"/>
          <w:lang w:val="es-ES_tradnl"/>
        </w:rPr>
        <w:t>comprensibilidad</w:t>
      </w:r>
      <w:r>
        <w:rPr>
          <w:spacing w:val="-5"/>
          <w:sz w:val="18"/>
          <w:szCs w:val="18"/>
          <w:lang w:val="es-ES_tradnl"/>
        </w:rPr>
        <w:t xml:space="preserve">, </w:t>
      </w:r>
      <w:r>
        <w:rPr>
          <w:spacing w:val="-6"/>
          <w:sz w:val="18"/>
          <w:szCs w:val="18"/>
          <w:lang w:val="es-ES_tradnl"/>
        </w:rPr>
        <w:t>este elemento de la motivaci</w:t>
      </w:r>
      <w:r>
        <w:rPr>
          <w:rFonts w:cs="Times New Roman"/>
          <w:spacing w:val="-6"/>
          <w:sz w:val="18"/>
          <w:szCs w:val="18"/>
          <w:lang w:val="es-ES_tradnl"/>
        </w:rPr>
        <w:t>ó</w:t>
      </w:r>
      <w:r>
        <w:rPr>
          <w:spacing w:val="-6"/>
          <w:sz w:val="18"/>
          <w:szCs w:val="18"/>
          <w:lang w:val="es-ES_tradnl"/>
        </w:rPr>
        <w:t xml:space="preserve">n es importante, ya que una </w:t>
      </w:r>
      <w:r>
        <w:rPr>
          <w:spacing w:val="-5"/>
          <w:sz w:val="18"/>
          <w:szCs w:val="18"/>
          <w:lang w:val="es-ES_tradnl"/>
        </w:rPr>
        <w:t>sentencia, siendo una decisi</w:t>
      </w:r>
      <w:r>
        <w:rPr>
          <w:rFonts w:cs="Times New Roman"/>
          <w:spacing w:val="-5"/>
          <w:sz w:val="18"/>
          <w:szCs w:val="18"/>
          <w:lang w:val="es-ES_tradnl"/>
        </w:rPr>
        <w:t>ó</w:t>
      </w:r>
      <w:r>
        <w:rPr>
          <w:spacing w:val="-5"/>
          <w:sz w:val="18"/>
          <w:szCs w:val="18"/>
          <w:lang w:val="es-ES_tradnl"/>
        </w:rPr>
        <w:t xml:space="preserve">n que se encuentra dirigida </w:t>
      </w:r>
      <w:r>
        <w:rPr>
          <w:spacing w:val="-3"/>
          <w:sz w:val="18"/>
          <w:szCs w:val="18"/>
          <w:lang w:val="es-ES_tradnl"/>
        </w:rPr>
        <w:t xml:space="preserve">a una o varias personas que no necesariamente tienen </w:t>
      </w:r>
      <w:r>
        <w:rPr>
          <w:spacing w:val="-6"/>
          <w:sz w:val="18"/>
          <w:szCs w:val="18"/>
          <w:lang w:val="es-ES_tradnl"/>
        </w:rPr>
        <w:t>la preparaci</w:t>
      </w:r>
      <w:r>
        <w:rPr>
          <w:rFonts w:cs="Times New Roman"/>
          <w:spacing w:val="-6"/>
          <w:sz w:val="18"/>
          <w:szCs w:val="18"/>
          <w:lang w:val="es-ES_tradnl"/>
        </w:rPr>
        <w:t>ó</w:t>
      </w:r>
      <w:r>
        <w:rPr>
          <w:spacing w:val="-6"/>
          <w:sz w:val="18"/>
          <w:szCs w:val="18"/>
          <w:lang w:val="es-ES_tradnl"/>
        </w:rPr>
        <w:t>n acad</w:t>
      </w:r>
      <w:r>
        <w:rPr>
          <w:rFonts w:cs="Times New Roman"/>
          <w:spacing w:val="-6"/>
          <w:sz w:val="18"/>
          <w:szCs w:val="18"/>
          <w:lang w:val="es-ES_tradnl"/>
        </w:rPr>
        <w:t>é</w:t>
      </w:r>
      <w:r>
        <w:rPr>
          <w:spacing w:val="-6"/>
          <w:sz w:val="18"/>
          <w:szCs w:val="18"/>
          <w:lang w:val="es-ES_tradnl"/>
        </w:rPr>
        <w:t xml:space="preserve">mica en derecho, debe ser clara, </w:t>
      </w:r>
      <w:r>
        <w:rPr>
          <w:spacing w:val="-5"/>
          <w:sz w:val="18"/>
          <w:szCs w:val="18"/>
          <w:lang w:val="es-ES_tradnl"/>
        </w:rPr>
        <w:t>asequible, comprensible para el lector. Se debe se</w:t>
      </w:r>
      <w:r>
        <w:rPr>
          <w:rFonts w:cs="Times New Roman"/>
          <w:spacing w:val="-5"/>
          <w:sz w:val="18"/>
          <w:szCs w:val="18"/>
          <w:lang w:val="es-ES_tradnl"/>
        </w:rPr>
        <w:t>ñ</w:t>
      </w:r>
      <w:r>
        <w:rPr>
          <w:spacing w:val="-5"/>
          <w:sz w:val="18"/>
          <w:szCs w:val="18"/>
          <w:lang w:val="es-ES_tradnl"/>
        </w:rPr>
        <w:t xml:space="preserve">alar </w:t>
      </w:r>
      <w:r>
        <w:rPr>
          <w:spacing w:val="-7"/>
          <w:sz w:val="18"/>
          <w:szCs w:val="18"/>
          <w:lang w:val="es-ES_tradnl"/>
        </w:rPr>
        <w:t>que la ausencia de los requisitos de razonabilidad y l</w:t>
      </w:r>
      <w:r>
        <w:rPr>
          <w:rFonts w:cs="Times New Roman"/>
          <w:spacing w:val="-7"/>
          <w:sz w:val="18"/>
          <w:szCs w:val="18"/>
          <w:lang w:val="es-ES_tradnl"/>
        </w:rPr>
        <w:t>ó</w:t>
      </w:r>
      <w:r>
        <w:rPr>
          <w:spacing w:val="-7"/>
          <w:sz w:val="18"/>
          <w:szCs w:val="18"/>
          <w:lang w:val="es-ES_tradnl"/>
        </w:rPr>
        <w:t>gica</w:t>
      </w:r>
    </w:p>
    <w:p w14:paraId="4F67B7FE" w14:textId="77777777" w:rsidR="00591D54" w:rsidRDefault="00591D54">
      <w:pPr>
        <w:shd w:val="clear" w:color="auto" w:fill="FFFFFF"/>
        <w:spacing w:before="509" w:line="178" w:lineRule="exact"/>
        <w:ind w:left="144" w:hanging="144"/>
      </w:pPr>
      <w:r>
        <w:rPr>
          <w:sz w:val="16"/>
          <w:szCs w:val="16"/>
          <w:vertAlign w:val="superscript"/>
          <w:lang w:val="es-ES_tradnl"/>
        </w:rPr>
        <w:t>4</w:t>
      </w:r>
      <w:r>
        <w:rPr>
          <w:sz w:val="16"/>
          <w:szCs w:val="16"/>
          <w:lang w:val="es-ES_tradnl"/>
        </w:rPr>
        <w:t xml:space="preserve">  </w:t>
      </w:r>
      <w:r>
        <w:rPr>
          <w:spacing w:val="-8"/>
          <w:sz w:val="16"/>
          <w:szCs w:val="16"/>
          <w:lang w:val="es-ES_tradnl"/>
        </w:rPr>
        <w:t>Corte Constitucional del Ecuador, sentencia N.</w:t>
      </w:r>
      <w:r>
        <w:rPr>
          <w:rFonts w:cs="Times New Roman"/>
          <w:spacing w:val="-8"/>
          <w:sz w:val="16"/>
          <w:szCs w:val="16"/>
          <w:lang w:val="es-ES_tradnl"/>
        </w:rPr>
        <w:t>°</w:t>
      </w:r>
      <w:r>
        <w:rPr>
          <w:spacing w:val="-8"/>
          <w:sz w:val="16"/>
          <w:szCs w:val="16"/>
          <w:lang w:val="es-ES_tradnl"/>
        </w:rPr>
        <w:t xml:space="preserve"> 223-14-SEP-CC, </w:t>
      </w:r>
      <w:r>
        <w:rPr>
          <w:sz w:val="16"/>
          <w:szCs w:val="16"/>
          <w:lang w:val="es-ES_tradnl"/>
        </w:rPr>
        <w:t>caso N.</w:t>
      </w:r>
      <w:r>
        <w:rPr>
          <w:rFonts w:cs="Times New Roman"/>
          <w:sz w:val="16"/>
          <w:szCs w:val="16"/>
          <w:lang w:val="es-ES_tradnl"/>
        </w:rPr>
        <w:t>°</w:t>
      </w:r>
      <w:r>
        <w:rPr>
          <w:sz w:val="16"/>
          <w:szCs w:val="16"/>
          <w:lang w:val="es-ES_tradnl"/>
        </w:rPr>
        <w:t xml:space="preserve"> 1240-12-EP</w:t>
      </w:r>
    </w:p>
    <w:p w14:paraId="4F67B7FF" w14:textId="77777777" w:rsidR="00591D54" w:rsidRDefault="00591D54">
      <w:pPr>
        <w:shd w:val="clear" w:color="auto" w:fill="FFFFFF"/>
        <w:spacing w:before="509" w:line="178" w:lineRule="exact"/>
        <w:ind w:left="144" w:hanging="144"/>
        <w:sectPr w:rsidR="00591D54">
          <w:type w:val="continuous"/>
          <w:pgSz w:w="11909" w:h="16834"/>
          <w:pgMar w:top="1356" w:right="1304" w:bottom="360" w:left="1308" w:header="720" w:footer="720" w:gutter="0"/>
          <w:cols w:num="2" w:space="720" w:equalWidth="0">
            <w:col w:w="4305" w:space="682"/>
            <w:col w:w="4310"/>
          </w:cols>
          <w:noEndnote/>
        </w:sectPr>
      </w:pPr>
    </w:p>
    <w:p w14:paraId="4F67B800" w14:textId="77777777" w:rsidR="00591D54" w:rsidRDefault="00591D54">
      <w:pPr>
        <w:shd w:val="clear" w:color="auto" w:fill="FFFFFF"/>
        <w:tabs>
          <w:tab w:val="left" w:pos="4814"/>
        </w:tabs>
        <w:spacing w:after="230"/>
        <w:ind w:left="14"/>
      </w:pPr>
      <w:r>
        <w:rPr>
          <w:b/>
          <w:bCs/>
          <w:sz w:val="18"/>
          <w:szCs w:val="18"/>
          <w:lang w:val="es-ES_tradnl"/>
        </w:rPr>
        <w:t xml:space="preserve">250 -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801" w14:textId="77777777" w:rsidR="00591D54" w:rsidRDefault="00591D54">
      <w:pPr>
        <w:shd w:val="clear" w:color="auto" w:fill="FFFFFF"/>
        <w:tabs>
          <w:tab w:val="left" w:pos="4814"/>
        </w:tabs>
        <w:spacing w:after="230"/>
        <w:ind w:left="14"/>
        <w:sectPr w:rsidR="00591D54">
          <w:pgSz w:w="11909" w:h="16834"/>
          <w:pgMar w:top="1356" w:right="1309" w:bottom="360" w:left="1308" w:header="720" w:footer="720" w:gutter="0"/>
          <w:cols w:space="60"/>
          <w:noEndnote/>
        </w:sectPr>
      </w:pPr>
    </w:p>
    <w:p w14:paraId="4F67B802" w14:textId="77777777" w:rsidR="00591D54" w:rsidRDefault="00591D54">
      <w:pPr>
        <w:shd w:val="clear" w:color="auto" w:fill="FFFFFF"/>
        <w:spacing w:before="5" w:line="216" w:lineRule="exact"/>
        <w:jc w:val="both"/>
      </w:pPr>
      <w:r>
        <w:rPr>
          <w:spacing w:val="-7"/>
          <w:sz w:val="18"/>
          <w:szCs w:val="18"/>
          <w:lang w:val="es-ES_tradnl"/>
        </w:rPr>
        <w:t xml:space="preserve">en la sentencia, derivan en un discurso judicial incapaz de </w:t>
      </w:r>
      <w:r>
        <w:rPr>
          <w:spacing w:val="-11"/>
          <w:sz w:val="18"/>
          <w:szCs w:val="18"/>
          <w:lang w:val="es-ES_tradnl"/>
        </w:rPr>
        <w:t xml:space="preserve">transmitir de modo adecuado las razones en que se apoya el </w:t>
      </w:r>
      <w:r>
        <w:rPr>
          <w:sz w:val="18"/>
          <w:szCs w:val="18"/>
          <w:lang w:val="es-ES_tradnl"/>
        </w:rPr>
        <w:t>fallo, lo que lo vuelve incomprensible.</w:t>
      </w:r>
    </w:p>
    <w:p w14:paraId="4F67B803" w14:textId="77777777" w:rsidR="00591D54" w:rsidRDefault="00591D54">
      <w:pPr>
        <w:shd w:val="clear" w:color="auto" w:fill="FFFFFF"/>
        <w:spacing w:before="197" w:line="216" w:lineRule="exact"/>
        <w:ind w:right="5"/>
        <w:jc w:val="both"/>
      </w:pPr>
      <w:r>
        <w:rPr>
          <w:spacing w:val="-2"/>
          <w:sz w:val="18"/>
          <w:szCs w:val="18"/>
          <w:lang w:val="es-ES_tradnl"/>
        </w:rPr>
        <w:t>Por las razones expuestas, la Corte Constitucional considera que la decisi</w:t>
      </w:r>
      <w:r>
        <w:rPr>
          <w:rFonts w:cs="Times New Roman"/>
          <w:spacing w:val="-2"/>
          <w:sz w:val="18"/>
          <w:szCs w:val="18"/>
          <w:lang w:val="es-ES_tradnl"/>
        </w:rPr>
        <w:t>ó</w:t>
      </w:r>
      <w:r>
        <w:rPr>
          <w:spacing w:val="-2"/>
          <w:sz w:val="18"/>
          <w:szCs w:val="18"/>
          <w:lang w:val="es-ES_tradnl"/>
        </w:rPr>
        <w:t>n de mayor</w:t>
      </w:r>
      <w:r>
        <w:rPr>
          <w:rFonts w:cs="Times New Roman"/>
          <w:spacing w:val="-2"/>
          <w:sz w:val="18"/>
          <w:szCs w:val="18"/>
          <w:lang w:val="es-ES_tradnl"/>
        </w:rPr>
        <w:t>í</w:t>
      </w:r>
      <w:r>
        <w:rPr>
          <w:spacing w:val="-2"/>
          <w:sz w:val="18"/>
          <w:szCs w:val="18"/>
          <w:lang w:val="es-ES_tradnl"/>
        </w:rPr>
        <w:t xml:space="preserve">a emitida por la </w:t>
      </w:r>
      <w:r>
        <w:rPr>
          <w:spacing w:val="-5"/>
          <w:sz w:val="18"/>
          <w:szCs w:val="18"/>
          <w:lang w:val="es-ES_tradnl"/>
        </w:rPr>
        <w:t>Primera Sala de lo Laboral, Ni</w:t>
      </w:r>
      <w:r>
        <w:rPr>
          <w:rFonts w:cs="Times New Roman"/>
          <w:spacing w:val="-5"/>
          <w:sz w:val="18"/>
          <w:szCs w:val="18"/>
          <w:lang w:val="es-ES_tradnl"/>
        </w:rPr>
        <w:t>ñ</w:t>
      </w:r>
      <w:r>
        <w:rPr>
          <w:spacing w:val="-5"/>
          <w:sz w:val="18"/>
          <w:szCs w:val="18"/>
          <w:lang w:val="es-ES_tradnl"/>
        </w:rPr>
        <w:t xml:space="preserve">ez y Adolescencia de la </w:t>
      </w:r>
      <w:r>
        <w:rPr>
          <w:spacing w:val="-7"/>
          <w:sz w:val="18"/>
          <w:szCs w:val="18"/>
          <w:lang w:val="es-ES_tradnl"/>
        </w:rPr>
        <w:t xml:space="preserve">Corte Provincial de Justicia del Guayas del 25 de junio de </w:t>
      </w:r>
      <w:r>
        <w:rPr>
          <w:spacing w:val="-10"/>
          <w:sz w:val="18"/>
          <w:szCs w:val="18"/>
          <w:lang w:val="es-ES_tradnl"/>
        </w:rPr>
        <w:t>2010, vulnera el derecho al debido proceso en la garant</w:t>
      </w:r>
      <w:r>
        <w:rPr>
          <w:rFonts w:cs="Times New Roman"/>
          <w:spacing w:val="-10"/>
          <w:sz w:val="18"/>
          <w:szCs w:val="18"/>
          <w:lang w:val="es-ES_tradnl"/>
        </w:rPr>
        <w:t>í</w:t>
      </w:r>
      <w:r>
        <w:rPr>
          <w:spacing w:val="-10"/>
          <w:sz w:val="18"/>
          <w:szCs w:val="18"/>
          <w:lang w:val="es-ES_tradnl"/>
        </w:rPr>
        <w:t xml:space="preserve">a de </w:t>
      </w:r>
      <w:r>
        <w:rPr>
          <w:spacing w:val="-6"/>
          <w:sz w:val="18"/>
          <w:szCs w:val="18"/>
          <w:lang w:val="es-ES_tradnl"/>
        </w:rPr>
        <w:t>motivaci</w:t>
      </w:r>
      <w:r>
        <w:rPr>
          <w:rFonts w:cs="Times New Roman"/>
          <w:spacing w:val="-6"/>
          <w:sz w:val="18"/>
          <w:szCs w:val="18"/>
          <w:lang w:val="es-ES_tradnl"/>
        </w:rPr>
        <w:t>ó</w:t>
      </w:r>
      <w:r>
        <w:rPr>
          <w:spacing w:val="-6"/>
          <w:sz w:val="18"/>
          <w:szCs w:val="18"/>
          <w:lang w:val="es-ES_tradnl"/>
        </w:rPr>
        <w:t>n, al carecer de la debida razonabilidad, l</w:t>
      </w:r>
      <w:r>
        <w:rPr>
          <w:rFonts w:cs="Times New Roman"/>
          <w:spacing w:val="-6"/>
          <w:sz w:val="18"/>
          <w:szCs w:val="18"/>
          <w:lang w:val="es-ES_tradnl"/>
        </w:rPr>
        <w:t>ó</w:t>
      </w:r>
      <w:r>
        <w:rPr>
          <w:spacing w:val="-6"/>
          <w:sz w:val="18"/>
          <w:szCs w:val="18"/>
          <w:lang w:val="es-ES_tradnl"/>
        </w:rPr>
        <w:t xml:space="preserve">gica y </w:t>
      </w:r>
      <w:r>
        <w:rPr>
          <w:sz w:val="18"/>
          <w:szCs w:val="18"/>
          <w:lang w:val="es-ES_tradnl"/>
        </w:rPr>
        <w:t>comprensibilidad.</w:t>
      </w:r>
    </w:p>
    <w:p w14:paraId="4F67B804" w14:textId="77777777" w:rsidR="00591D54" w:rsidRDefault="00591D54">
      <w:pPr>
        <w:shd w:val="clear" w:color="auto" w:fill="FFFFFF"/>
        <w:spacing w:before="192" w:line="216" w:lineRule="exact"/>
        <w:ind w:left="566" w:right="5" w:hanging="283"/>
        <w:jc w:val="both"/>
      </w:pPr>
      <w:r>
        <w:rPr>
          <w:b/>
          <w:bCs/>
          <w:sz w:val="18"/>
          <w:szCs w:val="18"/>
          <w:lang w:val="es-ES_tradnl"/>
        </w:rPr>
        <w:t xml:space="preserve">2. La sentencia dictada por la Primera Sala de </w:t>
      </w:r>
      <w:r>
        <w:rPr>
          <w:b/>
          <w:bCs/>
          <w:spacing w:val="-6"/>
          <w:sz w:val="18"/>
          <w:szCs w:val="18"/>
          <w:lang w:val="es-ES_tradnl"/>
        </w:rPr>
        <w:t>lo Laboral, Ni</w:t>
      </w:r>
      <w:r>
        <w:rPr>
          <w:rFonts w:cs="Times New Roman"/>
          <w:b/>
          <w:bCs/>
          <w:spacing w:val="-6"/>
          <w:sz w:val="18"/>
          <w:szCs w:val="18"/>
          <w:lang w:val="es-ES_tradnl"/>
        </w:rPr>
        <w:t>ñ</w:t>
      </w:r>
      <w:r>
        <w:rPr>
          <w:b/>
          <w:bCs/>
          <w:spacing w:val="-6"/>
          <w:sz w:val="18"/>
          <w:szCs w:val="18"/>
          <w:lang w:val="es-ES_tradnl"/>
        </w:rPr>
        <w:t xml:space="preserve">ez y Adolescencia de la Corte </w:t>
      </w:r>
      <w:r>
        <w:rPr>
          <w:b/>
          <w:bCs/>
          <w:spacing w:val="-10"/>
          <w:sz w:val="18"/>
          <w:szCs w:val="18"/>
          <w:lang w:val="es-ES_tradnl"/>
        </w:rPr>
        <w:t xml:space="preserve">Provincial de Justicia del Guayas del 25 de junio </w:t>
      </w:r>
      <w:r>
        <w:rPr>
          <w:b/>
          <w:bCs/>
          <w:spacing w:val="-8"/>
          <w:sz w:val="18"/>
          <w:szCs w:val="18"/>
          <w:lang w:val="es-ES_tradnl"/>
        </w:rPr>
        <w:t xml:space="preserve">de 2010, </w:t>
      </w:r>
      <w:r>
        <w:rPr>
          <w:rFonts w:cs="Times New Roman"/>
          <w:b/>
          <w:bCs/>
          <w:spacing w:val="-8"/>
          <w:sz w:val="18"/>
          <w:szCs w:val="18"/>
          <w:lang w:val="es-ES_tradnl"/>
        </w:rPr>
        <w:t>¿</w:t>
      </w:r>
      <w:r>
        <w:rPr>
          <w:b/>
          <w:bCs/>
          <w:spacing w:val="-8"/>
          <w:sz w:val="18"/>
          <w:szCs w:val="18"/>
          <w:lang w:val="es-ES_tradnl"/>
        </w:rPr>
        <w:t>vulner</w:t>
      </w:r>
      <w:r>
        <w:rPr>
          <w:rFonts w:cs="Times New Roman"/>
          <w:b/>
          <w:bCs/>
          <w:spacing w:val="-8"/>
          <w:sz w:val="18"/>
          <w:szCs w:val="18"/>
          <w:lang w:val="es-ES_tradnl"/>
        </w:rPr>
        <w:t>ó</w:t>
      </w:r>
      <w:r>
        <w:rPr>
          <w:b/>
          <w:bCs/>
          <w:spacing w:val="-8"/>
          <w:sz w:val="18"/>
          <w:szCs w:val="18"/>
          <w:lang w:val="es-ES_tradnl"/>
        </w:rPr>
        <w:t xml:space="preserve"> el derecho a la seguridad </w:t>
      </w:r>
      <w:r>
        <w:rPr>
          <w:b/>
          <w:bCs/>
          <w:spacing w:val="-7"/>
          <w:sz w:val="18"/>
          <w:szCs w:val="18"/>
          <w:lang w:val="es-ES_tradnl"/>
        </w:rPr>
        <w:t>jur</w:t>
      </w:r>
      <w:r>
        <w:rPr>
          <w:rFonts w:cs="Times New Roman"/>
          <w:b/>
          <w:bCs/>
          <w:spacing w:val="-7"/>
          <w:sz w:val="18"/>
          <w:szCs w:val="18"/>
          <w:lang w:val="es-ES_tradnl"/>
        </w:rPr>
        <w:t>í</w:t>
      </w:r>
      <w:r>
        <w:rPr>
          <w:b/>
          <w:bCs/>
          <w:spacing w:val="-7"/>
          <w:sz w:val="18"/>
          <w:szCs w:val="18"/>
          <w:lang w:val="es-ES_tradnl"/>
        </w:rPr>
        <w:t>dica, consagrado en el art</w:t>
      </w:r>
      <w:r>
        <w:rPr>
          <w:rFonts w:cs="Times New Roman"/>
          <w:b/>
          <w:bCs/>
          <w:spacing w:val="-7"/>
          <w:sz w:val="18"/>
          <w:szCs w:val="18"/>
          <w:lang w:val="es-ES_tradnl"/>
        </w:rPr>
        <w:t>í</w:t>
      </w:r>
      <w:r>
        <w:rPr>
          <w:b/>
          <w:bCs/>
          <w:spacing w:val="-7"/>
          <w:sz w:val="18"/>
          <w:szCs w:val="18"/>
          <w:lang w:val="es-ES_tradnl"/>
        </w:rPr>
        <w:t xml:space="preserve">culo 82 de la </w:t>
      </w:r>
      <w:r>
        <w:rPr>
          <w:b/>
          <w:bCs/>
          <w:sz w:val="18"/>
          <w:szCs w:val="18"/>
          <w:lang w:val="es-ES_tradnl"/>
        </w:rPr>
        <w:t>Constituci</w:t>
      </w:r>
      <w:r>
        <w:rPr>
          <w:rFonts w:cs="Times New Roman"/>
          <w:b/>
          <w:bCs/>
          <w:sz w:val="18"/>
          <w:szCs w:val="18"/>
          <w:lang w:val="es-ES_tradnl"/>
        </w:rPr>
        <w:t>ó</w:t>
      </w:r>
      <w:r>
        <w:rPr>
          <w:b/>
          <w:bCs/>
          <w:sz w:val="18"/>
          <w:szCs w:val="18"/>
          <w:lang w:val="es-ES_tradnl"/>
        </w:rPr>
        <w:t>n de la Rep</w:t>
      </w:r>
      <w:r>
        <w:rPr>
          <w:rFonts w:cs="Times New Roman"/>
          <w:b/>
          <w:bCs/>
          <w:sz w:val="18"/>
          <w:szCs w:val="18"/>
          <w:lang w:val="es-ES_tradnl"/>
        </w:rPr>
        <w:t>ú</w:t>
      </w:r>
      <w:r>
        <w:rPr>
          <w:b/>
          <w:bCs/>
          <w:sz w:val="18"/>
          <w:szCs w:val="18"/>
          <w:lang w:val="es-ES_tradnl"/>
        </w:rPr>
        <w:t>blica?</w:t>
      </w:r>
    </w:p>
    <w:p w14:paraId="4F67B805" w14:textId="77777777" w:rsidR="00591D54" w:rsidRDefault="00591D54">
      <w:pPr>
        <w:shd w:val="clear" w:color="auto" w:fill="FFFFFF"/>
        <w:spacing w:before="192" w:line="216" w:lineRule="exact"/>
        <w:ind w:right="5"/>
        <w:jc w:val="both"/>
      </w:pPr>
      <w:r>
        <w:rPr>
          <w:spacing w:val="-9"/>
          <w:sz w:val="18"/>
          <w:szCs w:val="18"/>
          <w:lang w:val="es-ES_tradnl"/>
        </w:rPr>
        <w:t>El derecho a la seguridad jur</w:t>
      </w:r>
      <w:r>
        <w:rPr>
          <w:rFonts w:cs="Times New Roman"/>
          <w:spacing w:val="-9"/>
          <w:sz w:val="18"/>
          <w:szCs w:val="18"/>
          <w:lang w:val="es-ES_tradnl"/>
        </w:rPr>
        <w:t>í</w:t>
      </w:r>
      <w:r>
        <w:rPr>
          <w:spacing w:val="-9"/>
          <w:sz w:val="18"/>
          <w:szCs w:val="18"/>
          <w:lang w:val="es-ES_tradnl"/>
        </w:rPr>
        <w:t xml:space="preserve">dica, conforme lo determina el </w:t>
      </w:r>
      <w:r>
        <w:rPr>
          <w:spacing w:val="-7"/>
          <w:sz w:val="18"/>
          <w:szCs w:val="18"/>
          <w:lang w:val="es-ES_tradnl"/>
        </w:rPr>
        <w:t>art</w:t>
      </w:r>
      <w:r>
        <w:rPr>
          <w:rFonts w:cs="Times New Roman"/>
          <w:spacing w:val="-7"/>
          <w:sz w:val="18"/>
          <w:szCs w:val="18"/>
          <w:lang w:val="es-ES_tradnl"/>
        </w:rPr>
        <w:t>í</w:t>
      </w:r>
      <w:r>
        <w:rPr>
          <w:spacing w:val="-7"/>
          <w:sz w:val="18"/>
          <w:szCs w:val="18"/>
          <w:lang w:val="es-ES_tradnl"/>
        </w:rPr>
        <w:t>culo 82 de 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 xml:space="preserve">blica del Ecuador </w:t>
      </w:r>
      <w:r>
        <w:rPr>
          <w:rFonts w:cs="Times New Roman"/>
          <w:spacing w:val="-6"/>
          <w:sz w:val="18"/>
          <w:szCs w:val="18"/>
          <w:lang w:val="es-ES_tradnl"/>
        </w:rPr>
        <w:t>“</w:t>
      </w:r>
      <w:r>
        <w:rPr>
          <w:spacing w:val="-6"/>
          <w:sz w:val="18"/>
          <w:szCs w:val="18"/>
          <w:lang w:val="es-ES_tradnl"/>
        </w:rPr>
        <w:t>se fundamenta en el respeto a la Constituci</w:t>
      </w:r>
      <w:r>
        <w:rPr>
          <w:rFonts w:cs="Times New Roman"/>
          <w:spacing w:val="-6"/>
          <w:sz w:val="18"/>
          <w:szCs w:val="18"/>
          <w:lang w:val="es-ES_tradnl"/>
        </w:rPr>
        <w:t>ó</w:t>
      </w:r>
      <w:r>
        <w:rPr>
          <w:spacing w:val="-6"/>
          <w:sz w:val="18"/>
          <w:szCs w:val="18"/>
          <w:lang w:val="es-ES_tradnl"/>
        </w:rPr>
        <w:t>n y en la existencia de normas jur</w:t>
      </w:r>
      <w:r>
        <w:rPr>
          <w:rFonts w:cs="Times New Roman"/>
          <w:spacing w:val="-6"/>
          <w:sz w:val="18"/>
          <w:szCs w:val="18"/>
          <w:lang w:val="es-ES_tradnl"/>
        </w:rPr>
        <w:t>í</w:t>
      </w:r>
      <w:r>
        <w:rPr>
          <w:spacing w:val="-6"/>
          <w:sz w:val="18"/>
          <w:szCs w:val="18"/>
          <w:lang w:val="es-ES_tradnl"/>
        </w:rPr>
        <w:t>dicas previas, claras, p</w:t>
      </w:r>
      <w:r>
        <w:rPr>
          <w:rFonts w:cs="Times New Roman"/>
          <w:spacing w:val="-6"/>
          <w:sz w:val="18"/>
          <w:szCs w:val="18"/>
          <w:lang w:val="es-ES_tradnl"/>
        </w:rPr>
        <w:t>ú</w:t>
      </w:r>
      <w:r>
        <w:rPr>
          <w:spacing w:val="-6"/>
          <w:sz w:val="18"/>
          <w:szCs w:val="18"/>
          <w:lang w:val="es-ES_tradnl"/>
        </w:rPr>
        <w:t xml:space="preserve">blicas y </w:t>
      </w:r>
      <w:r>
        <w:rPr>
          <w:spacing w:val="-8"/>
          <w:sz w:val="18"/>
          <w:szCs w:val="18"/>
          <w:lang w:val="es-ES_tradnl"/>
        </w:rPr>
        <w:t>aplicadas por las autoridades competentes</w:t>
      </w:r>
      <w:r>
        <w:rPr>
          <w:rFonts w:cs="Times New Roman"/>
          <w:spacing w:val="-8"/>
          <w:sz w:val="18"/>
          <w:szCs w:val="18"/>
          <w:lang w:val="es-ES_tradnl"/>
        </w:rPr>
        <w:t>”</w:t>
      </w:r>
      <w:r>
        <w:rPr>
          <w:spacing w:val="-8"/>
          <w:sz w:val="18"/>
          <w:szCs w:val="18"/>
          <w:lang w:val="es-ES_tradnl"/>
        </w:rPr>
        <w:t>.</w:t>
      </w:r>
    </w:p>
    <w:p w14:paraId="4F67B806" w14:textId="77777777" w:rsidR="00591D54" w:rsidRDefault="00591D54">
      <w:pPr>
        <w:shd w:val="clear" w:color="auto" w:fill="FFFFFF"/>
        <w:spacing w:before="182" w:line="226" w:lineRule="exact"/>
        <w:ind w:right="5"/>
        <w:jc w:val="both"/>
      </w:pPr>
      <w:r>
        <w:rPr>
          <w:spacing w:val="-7"/>
          <w:sz w:val="18"/>
          <w:szCs w:val="18"/>
          <w:lang w:val="es-ES_tradnl"/>
        </w:rPr>
        <w:t>En relaci</w:t>
      </w:r>
      <w:r>
        <w:rPr>
          <w:rFonts w:cs="Times New Roman"/>
          <w:spacing w:val="-7"/>
          <w:sz w:val="18"/>
          <w:szCs w:val="18"/>
          <w:lang w:val="es-ES_tradnl"/>
        </w:rPr>
        <w:t>ó</w:t>
      </w:r>
      <w:r>
        <w:rPr>
          <w:spacing w:val="-7"/>
          <w:sz w:val="18"/>
          <w:szCs w:val="18"/>
          <w:lang w:val="es-ES_tradnl"/>
        </w:rPr>
        <w:t>n a este derecho, esta Corte Constitucional</w:t>
      </w:r>
      <w:r>
        <w:rPr>
          <w:spacing w:val="-7"/>
          <w:sz w:val="18"/>
          <w:szCs w:val="18"/>
          <w:vertAlign w:val="superscript"/>
          <w:lang w:val="es-ES_tradnl"/>
        </w:rPr>
        <w:t>5</w:t>
      </w:r>
      <w:r>
        <w:rPr>
          <w:spacing w:val="-7"/>
          <w:sz w:val="18"/>
          <w:szCs w:val="18"/>
          <w:lang w:val="es-ES_tradnl"/>
        </w:rPr>
        <w:t xml:space="preserve"> ha </w:t>
      </w:r>
      <w:r>
        <w:rPr>
          <w:sz w:val="18"/>
          <w:szCs w:val="18"/>
          <w:lang w:val="es-ES_tradnl"/>
        </w:rPr>
        <w:t>se</w:t>
      </w:r>
      <w:r>
        <w:rPr>
          <w:rFonts w:cs="Times New Roman"/>
          <w:sz w:val="18"/>
          <w:szCs w:val="18"/>
          <w:lang w:val="es-ES_tradnl"/>
        </w:rPr>
        <w:t>ñ</w:t>
      </w:r>
      <w:r>
        <w:rPr>
          <w:sz w:val="18"/>
          <w:szCs w:val="18"/>
          <w:lang w:val="es-ES_tradnl"/>
        </w:rPr>
        <w:t>alado que:</w:t>
      </w:r>
    </w:p>
    <w:p w14:paraId="4F67B807" w14:textId="77777777" w:rsidR="00591D54" w:rsidRDefault="00591D54">
      <w:pPr>
        <w:shd w:val="clear" w:color="auto" w:fill="FFFFFF"/>
        <w:spacing w:before="202" w:line="216" w:lineRule="exact"/>
        <w:ind w:left="283"/>
        <w:jc w:val="both"/>
      </w:pPr>
      <w:r>
        <w:rPr>
          <w:rFonts w:cs="Times New Roman"/>
          <w:sz w:val="14"/>
          <w:szCs w:val="14"/>
          <w:lang w:val="es-ES_tradnl"/>
        </w:rPr>
        <w:t>…</w:t>
      </w:r>
      <w:r>
        <w:rPr>
          <w:sz w:val="14"/>
          <w:szCs w:val="14"/>
          <w:lang w:val="es-ES_tradnl"/>
        </w:rPr>
        <w:t>mediante un ejercicio de interpretaci</w:t>
      </w:r>
      <w:r>
        <w:rPr>
          <w:rFonts w:cs="Times New Roman"/>
          <w:sz w:val="14"/>
          <w:szCs w:val="14"/>
          <w:lang w:val="es-ES_tradnl"/>
        </w:rPr>
        <w:t>ó</w:t>
      </w:r>
      <w:r>
        <w:rPr>
          <w:sz w:val="14"/>
          <w:szCs w:val="14"/>
          <w:lang w:val="es-ES_tradnl"/>
        </w:rPr>
        <w:t>n integral del texto constitucional, se determina que el derecho a la seguridad jur</w:t>
      </w:r>
      <w:r>
        <w:rPr>
          <w:rFonts w:cs="Times New Roman"/>
          <w:sz w:val="14"/>
          <w:szCs w:val="14"/>
          <w:lang w:val="es-ES_tradnl"/>
        </w:rPr>
        <w:t>í</w:t>
      </w:r>
      <w:r>
        <w:rPr>
          <w:sz w:val="14"/>
          <w:szCs w:val="14"/>
          <w:lang w:val="es-ES_tradnl"/>
        </w:rPr>
        <w:t>dica es el pilar sobre el cual se asienta la confianza ciudadana en cuanto a las consecuencias jur</w:t>
      </w:r>
      <w:r>
        <w:rPr>
          <w:rFonts w:cs="Times New Roman"/>
          <w:sz w:val="14"/>
          <w:szCs w:val="14"/>
          <w:lang w:val="es-ES_tradnl"/>
        </w:rPr>
        <w:t>í</w:t>
      </w:r>
      <w:r>
        <w:rPr>
          <w:sz w:val="14"/>
          <w:szCs w:val="14"/>
          <w:lang w:val="es-ES_tradnl"/>
        </w:rPr>
        <w:t>dicas de sus actos y omisiones, y a las actuaciones de los distintos poderes p</w:t>
      </w:r>
      <w:r>
        <w:rPr>
          <w:rFonts w:cs="Times New Roman"/>
          <w:sz w:val="14"/>
          <w:szCs w:val="14"/>
          <w:lang w:val="es-ES_tradnl"/>
        </w:rPr>
        <w:t>ú</w:t>
      </w:r>
      <w:r>
        <w:rPr>
          <w:sz w:val="14"/>
          <w:szCs w:val="14"/>
          <w:lang w:val="es-ES_tradnl"/>
        </w:rPr>
        <w:t>blicos; en virtud de aquello, los actos emanados de dichas autoridades p</w:t>
      </w:r>
      <w:r>
        <w:rPr>
          <w:rFonts w:cs="Times New Roman"/>
          <w:sz w:val="14"/>
          <w:szCs w:val="14"/>
          <w:lang w:val="es-ES_tradnl"/>
        </w:rPr>
        <w:t>ú</w:t>
      </w:r>
      <w:r>
        <w:rPr>
          <w:sz w:val="14"/>
          <w:szCs w:val="14"/>
          <w:lang w:val="es-ES_tradnl"/>
        </w:rPr>
        <w:t>blicas deben observar las normas que componen el ordenamiento jur</w:t>
      </w:r>
      <w:r>
        <w:rPr>
          <w:rFonts w:cs="Times New Roman"/>
          <w:sz w:val="14"/>
          <w:szCs w:val="14"/>
          <w:lang w:val="es-ES_tradnl"/>
        </w:rPr>
        <w:t>í</w:t>
      </w:r>
      <w:r>
        <w:rPr>
          <w:sz w:val="14"/>
          <w:szCs w:val="14"/>
          <w:lang w:val="es-ES_tradnl"/>
        </w:rPr>
        <w:t>dico vigente, debiendo adem</w:t>
      </w:r>
      <w:r>
        <w:rPr>
          <w:rFonts w:cs="Times New Roman"/>
          <w:sz w:val="14"/>
          <w:szCs w:val="14"/>
          <w:lang w:val="es-ES_tradnl"/>
        </w:rPr>
        <w:t>á</w:t>
      </w:r>
      <w:r>
        <w:rPr>
          <w:sz w:val="14"/>
          <w:szCs w:val="14"/>
          <w:lang w:val="es-ES_tradnl"/>
        </w:rPr>
        <w:t xml:space="preserve">s sujetarse a las atribuciones que le compete a cada </w:t>
      </w:r>
      <w:r>
        <w:rPr>
          <w:rFonts w:cs="Times New Roman"/>
          <w:sz w:val="14"/>
          <w:szCs w:val="14"/>
          <w:lang w:val="es-ES_tradnl"/>
        </w:rPr>
        <w:t>ó</w:t>
      </w:r>
      <w:r>
        <w:rPr>
          <w:sz w:val="14"/>
          <w:szCs w:val="14"/>
          <w:lang w:val="es-ES_tradnl"/>
        </w:rPr>
        <w:t>rgano</w:t>
      </w:r>
      <w:r>
        <w:rPr>
          <w:rFonts w:cs="Times New Roman"/>
          <w:sz w:val="14"/>
          <w:szCs w:val="14"/>
          <w:lang w:val="es-ES_tradnl"/>
        </w:rPr>
        <w:t>”</w:t>
      </w:r>
      <w:r>
        <w:rPr>
          <w:sz w:val="14"/>
          <w:szCs w:val="14"/>
          <w:lang w:val="es-ES_tradnl"/>
        </w:rPr>
        <w:t>.</w:t>
      </w:r>
    </w:p>
    <w:p w14:paraId="4F67B808" w14:textId="77777777" w:rsidR="00591D54" w:rsidRDefault="00591D54">
      <w:pPr>
        <w:shd w:val="clear" w:color="auto" w:fill="FFFFFF"/>
        <w:spacing w:before="182" w:line="230" w:lineRule="exact"/>
        <w:ind w:right="5"/>
        <w:jc w:val="both"/>
      </w:pPr>
      <w:r>
        <w:rPr>
          <w:sz w:val="18"/>
          <w:szCs w:val="18"/>
          <w:lang w:val="es-ES_tradnl"/>
        </w:rPr>
        <w:t>En sentido similar, la Corte Constitucional</w:t>
      </w:r>
      <w:r>
        <w:rPr>
          <w:sz w:val="18"/>
          <w:szCs w:val="18"/>
          <w:vertAlign w:val="superscript"/>
          <w:lang w:val="es-ES_tradnl"/>
        </w:rPr>
        <w:t>6</w:t>
      </w:r>
      <w:r>
        <w:rPr>
          <w:sz w:val="18"/>
          <w:szCs w:val="18"/>
          <w:lang w:val="es-ES_tradnl"/>
        </w:rPr>
        <w:t xml:space="preserve"> ha </w:t>
      </w:r>
      <w:r>
        <w:rPr>
          <w:spacing w:val="-10"/>
          <w:sz w:val="18"/>
          <w:szCs w:val="18"/>
          <w:lang w:val="es-ES_tradnl"/>
        </w:rPr>
        <w:t>complementado esta idea al se</w:t>
      </w:r>
      <w:r>
        <w:rPr>
          <w:rFonts w:cs="Times New Roman"/>
          <w:spacing w:val="-10"/>
          <w:sz w:val="18"/>
          <w:szCs w:val="18"/>
          <w:lang w:val="es-ES_tradnl"/>
        </w:rPr>
        <w:t>ñ</w:t>
      </w:r>
      <w:r>
        <w:rPr>
          <w:spacing w:val="-10"/>
          <w:sz w:val="18"/>
          <w:szCs w:val="18"/>
          <w:lang w:val="es-ES_tradnl"/>
        </w:rPr>
        <w:t>alar que este derecho:</w:t>
      </w:r>
    </w:p>
    <w:p w14:paraId="4F67B809" w14:textId="77777777" w:rsidR="00591D54" w:rsidRDefault="00591D54">
      <w:pPr>
        <w:shd w:val="clear" w:color="auto" w:fill="FFFFFF"/>
        <w:spacing w:before="206" w:line="216" w:lineRule="exact"/>
        <w:ind w:left="283"/>
        <w:jc w:val="both"/>
      </w:pPr>
      <w:r>
        <w:rPr>
          <w:rFonts w:cs="Times New Roman"/>
          <w:sz w:val="14"/>
          <w:szCs w:val="14"/>
          <w:lang w:val="es-ES_tradnl"/>
        </w:rPr>
        <w:t>…</w:t>
      </w:r>
      <w:r>
        <w:rPr>
          <w:sz w:val="14"/>
          <w:szCs w:val="14"/>
          <w:lang w:val="es-ES_tradnl"/>
        </w:rPr>
        <w:t>se encuentra relacionado con el cumplimiento de la Constituci</w:t>
      </w:r>
      <w:r>
        <w:rPr>
          <w:rFonts w:cs="Times New Roman"/>
          <w:sz w:val="14"/>
          <w:szCs w:val="14"/>
          <w:lang w:val="es-ES_tradnl"/>
        </w:rPr>
        <w:t>ó</w:t>
      </w:r>
      <w:r>
        <w:rPr>
          <w:sz w:val="14"/>
          <w:szCs w:val="14"/>
          <w:lang w:val="es-ES_tradnl"/>
        </w:rPr>
        <w:t>n de la Rep</w:t>
      </w:r>
      <w:r>
        <w:rPr>
          <w:rFonts w:cs="Times New Roman"/>
          <w:sz w:val="14"/>
          <w:szCs w:val="14"/>
          <w:lang w:val="es-ES_tradnl"/>
        </w:rPr>
        <w:t>ú</w:t>
      </w:r>
      <w:r>
        <w:rPr>
          <w:sz w:val="14"/>
          <w:szCs w:val="14"/>
          <w:lang w:val="es-ES_tradnl"/>
        </w:rPr>
        <w:t>blica, orientado a que las personas puedan conocer y entender las normas que conforman el ordenamiento jur</w:t>
      </w:r>
      <w:r>
        <w:rPr>
          <w:rFonts w:cs="Times New Roman"/>
          <w:sz w:val="14"/>
          <w:szCs w:val="14"/>
          <w:lang w:val="es-ES_tradnl"/>
        </w:rPr>
        <w:t>í</w:t>
      </w:r>
      <w:r>
        <w:rPr>
          <w:sz w:val="14"/>
          <w:szCs w:val="14"/>
          <w:lang w:val="es-ES_tradnl"/>
        </w:rPr>
        <w:t>dico en forma previa a su aplicaci</w:t>
      </w:r>
      <w:r>
        <w:rPr>
          <w:rFonts w:cs="Times New Roman"/>
          <w:sz w:val="14"/>
          <w:szCs w:val="14"/>
          <w:lang w:val="es-ES_tradnl"/>
        </w:rPr>
        <w:t>ó</w:t>
      </w:r>
      <w:r>
        <w:rPr>
          <w:sz w:val="14"/>
          <w:szCs w:val="14"/>
          <w:lang w:val="es-ES_tradnl"/>
        </w:rPr>
        <w:t xml:space="preserve">n por </w:t>
      </w:r>
      <w:r>
        <w:rPr>
          <w:spacing w:val="-1"/>
          <w:sz w:val="14"/>
          <w:szCs w:val="14"/>
          <w:lang w:val="es-ES_tradnl"/>
        </w:rPr>
        <w:t xml:space="preserve">parte de las autoridades competentes, lineamientos que generan confianza acerca del respeto de los derechos consagrados en el </w:t>
      </w:r>
      <w:r>
        <w:rPr>
          <w:sz w:val="14"/>
          <w:szCs w:val="14"/>
          <w:lang w:val="es-ES_tradnl"/>
        </w:rPr>
        <w:t>texto constitucional.</w:t>
      </w:r>
    </w:p>
    <w:p w14:paraId="4F67B80A" w14:textId="77777777" w:rsidR="00591D54" w:rsidRDefault="00591D54">
      <w:pPr>
        <w:shd w:val="clear" w:color="auto" w:fill="FFFFFF"/>
        <w:spacing w:before="202" w:line="216" w:lineRule="exact"/>
        <w:ind w:right="5"/>
        <w:jc w:val="both"/>
      </w:pPr>
      <w:r>
        <w:rPr>
          <w:spacing w:val="-5"/>
          <w:sz w:val="18"/>
          <w:szCs w:val="18"/>
          <w:lang w:val="es-ES_tradnl"/>
        </w:rPr>
        <w:t>De ello se colige que la seguridad jur</w:t>
      </w:r>
      <w:r>
        <w:rPr>
          <w:rFonts w:cs="Times New Roman"/>
          <w:spacing w:val="-5"/>
          <w:sz w:val="18"/>
          <w:szCs w:val="18"/>
          <w:lang w:val="es-ES_tradnl"/>
        </w:rPr>
        <w:t>í</w:t>
      </w:r>
      <w:r>
        <w:rPr>
          <w:spacing w:val="-5"/>
          <w:sz w:val="18"/>
          <w:szCs w:val="18"/>
          <w:lang w:val="es-ES_tradnl"/>
        </w:rPr>
        <w:t xml:space="preserve">dica constituye un </w:t>
      </w:r>
      <w:r>
        <w:rPr>
          <w:spacing w:val="-8"/>
          <w:sz w:val="18"/>
          <w:szCs w:val="18"/>
          <w:lang w:val="es-ES_tradnl"/>
        </w:rPr>
        <w:t>derecho y una garant</w:t>
      </w:r>
      <w:r>
        <w:rPr>
          <w:rFonts w:cs="Times New Roman"/>
          <w:spacing w:val="-8"/>
          <w:sz w:val="18"/>
          <w:szCs w:val="18"/>
          <w:lang w:val="es-ES_tradnl"/>
        </w:rPr>
        <w:t>í</w:t>
      </w:r>
      <w:r>
        <w:rPr>
          <w:spacing w:val="-8"/>
          <w:sz w:val="18"/>
          <w:szCs w:val="18"/>
          <w:lang w:val="es-ES_tradnl"/>
        </w:rPr>
        <w:t xml:space="preserve">a que permite que el contenido, tanto </w:t>
      </w:r>
      <w:r>
        <w:rPr>
          <w:spacing w:val="-10"/>
          <w:sz w:val="18"/>
          <w:szCs w:val="18"/>
          <w:lang w:val="es-ES_tradnl"/>
        </w:rPr>
        <w:t xml:space="preserve">del texto constitucional cuanto de las normas que conforman </w:t>
      </w:r>
      <w:r>
        <w:rPr>
          <w:spacing w:val="-8"/>
          <w:sz w:val="18"/>
          <w:szCs w:val="18"/>
          <w:lang w:val="es-ES_tradnl"/>
        </w:rPr>
        <w:t>el ordenamiento jur</w:t>
      </w:r>
      <w:r>
        <w:rPr>
          <w:rFonts w:cs="Times New Roman"/>
          <w:spacing w:val="-8"/>
          <w:sz w:val="18"/>
          <w:szCs w:val="18"/>
          <w:lang w:val="es-ES_tradnl"/>
        </w:rPr>
        <w:t>í</w:t>
      </w:r>
      <w:r>
        <w:rPr>
          <w:spacing w:val="-8"/>
          <w:sz w:val="18"/>
          <w:szCs w:val="18"/>
          <w:lang w:val="es-ES_tradnl"/>
        </w:rPr>
        <w:t xml:space="preserve">dico ecuatoriano, sean observadas y </w:t>
      </w:r>
      <w:r>
        <w:rPr>
          <w:spacing w:val="-10"/>
          <w:sz w:val="18"/>
          <w:szCs w:val="18"/>
          <w:lang w:val="es-ES_tradnl"/>
        </w:rPr>
        <w:t>aplicadas en todas sus actuaciones por operadores jur</w:t>
      </w:r>
      <w:r>
        <w:rPr>
          <w:rFonts w:cs="Times New Roman"/>
          <w:spacing w:val="-10"/>
          <w:sz w:val="18"/>
          <w:szCs w:val="18"/>
          <w:lang w:val="es-ES_tradnl"/>
        </w:rPr>
        <w:t>í</w:t>
      </w:r>
      <w:r>
        <w:rPr>
          <w:spacing w:val="-10"/>
          <w:sz w:val="18"/>
          <w:szCs w:val="18"/>
          <w:lang w:val="es-ES_tradnl"/>
        </w:rPr>
        <w:t xml:space="preserve">dicos </w:t>
      </w:r>
      <w:r>
        <w:rPr>
          <w:spacing w:val="-8"/>
          <w:sz w:val="18"/>
          <w:szCs w:val="18"/>
          <w:lang w:val="es-ES_tradnl"/>
        </w:rPr>
        <w:t>y por autoridades p</w:t>
      </w:r>
      <w:r>
        <w:rPr>
          <w:rFonts w:cs="Times New Roman"/>
          <w:spacing w:val="-8"/>
          <w:sz w:val="18"/>
          <w:szCs w:val="18"/>
          <w:lang w:val="es-ES_tradnl"/>
        </w:rPr>
        <w:t>ú</w:t>
      </w:r>
      <w:r>
        <w:rPr>
          <w:spacing w:val="-8"/>
          <w:sz w:val="18"/>
          <w:szCs w:val="18"/>
          <w:lang w:val="es-ES_tradnl"/>
        </w:rPr>
        <w:t xml:space="preserve">blicas investidas de competencia para ello, generando de esta forma en las personas la certeza </w:t>
      </w:r>
      <w:r>
        <w:rPr>
          <w:spacing w:val="-9"/>
          <w:sz w:val="18"/>
          <w:szCs w:val="18"/>
          <w:lang w:val="es-ES_tradnl"/>
        </w:rPr>
        <w:t>respecto al goce de sus derechos constitucionales.</w:t>
      </w:r>
    </w:p>
    <w:p w14:paraId="4F67B80B" w14:textId="77777777" w:rsidR="00591D54" w:rsidRDefault="00591D54">
      <w:pPr>
        <w:shd w:val="clear" w:color="auto" w:fill="FFFFFF"/>
        <w:tabs>
          <w:tab w:val="left" w:pos="139"/>
        </w:tabs>
        <w:spacing w:before="418" w:line="182" w:lineRule="exact"/>
        <w:ind w:left="139" w:hanging="139"/>
      </w:pPr>
      <w:r>
        <w:rPr>
          <w:sz w:val="10"/>
          <w:szCs w:val="10"/>
          <w:vertAlign w:val="superscript"/>
          <w:lang w:val="es-ES_tradnl"/>
        </w:rPr>
        <w:t>5</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w:t>
      </w:r>
      <w:r>
        <w:rPr>
          <w:sz w:val="18"/>
          <w:szCs w:val="18"/>
          <w:lang w:val="es-ES_tradnl"/>
        </w:rPr>
        <w:t xml:space="preserve"> </w:t>
      </w:r>
      <w:r>
        <w:rPr>
          <w:sz w:val="14"/>
          <w:szCs w:val="14"/>
          <w:lang w:val="es-ES_tradnl"/>
        </w:rPr>
        <w:t>104-13-SEP-CC, caso N.</w:t>
      </w:r>
      <w:r>
        <w:rPr>
          <w:rFonts w:cs="Times New Roman"/>
          <w:sz w:val="14"/>
          <w:szCs w:val="14"/>
          <w:lang w:val="es-ES_tradnl"/>
        </w:rPr>
        <w:t>°</w:t>
      </w:r>
      <w:r>
        <w:rPr>
          <w:sz w:val="14"/>
          <w:szCs w:val="14"/>
          <w:lang w:val="es-ES_tradnl"/>
        </w:rPr>
        <w:t xml:space="preserve"> 0929-10-EP</w:t>
      </w:r>
    </w:p>
    <w:p w14:paraId="4F67B80C" w14:textId="77777777" w:rsidR="00591D54" w:rsidRDefault="00591D54">
      <w:pPr>
        <w:shd w:val="clear" w:color="auto" w:fill="FFFFFF"/>
        <w:tabs>
          <w:tab w:val="left" w:pos="139"/>
        </w:tabs>
        <w:spacing w:before="149" w:line="178" w:lineRule="exact"/>
        <w:ind w:left="139" w:hanging="139"/>
      </w:pPr>
      <w:r>
        <w:rPr>
          <w:sz w:val="10"/>
          <w:szCs w:val="10"/>
          <w:vertAlign w:val="superscript"/>
          <w:lang w:val="es-ES_tradnl"/>
        </w:rPr>
        <w:t>6</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w:t>
      </w:r>
      <w:r>
        <w:rPr>
          <w:sz w:val="18"/>
          <w:szCs w:val="18"/>
          <w:lang w:val="es-ES_tradnl"/>
        </w:rPr>
        <w:t xml:space="preserve"> </w:t>
      </w:r>
      <w:r>
        <w:rPr>
          <w:sz w:val="14"/>
          <w:szCs w:val="14"/>
          <w:lang w:val="es-ES_tradnl"/>
        </w:rPr>
        <w:t>100-14-SEP-CC, caso N.</w:t>
      </w:r>
      <w:r>
        <w:rPr>
          <w:rFonts w:cs="Times New Roman"/>
          <w:sz w:val="14"/>
          <w:szCs w:val="14"/>
          <w:lang w:val="es-ES_tradnl"/>
        </w:rPr>
        <w:t>°</w:t>
      </w:r>
      <w:r>
        <w:rPr>
          <w:sz w:val="14"/>
          <w:szCs w:val="14"/>
          <w:lang w:val="es-ES_tradnl"/>
        </w:rPr>
        <w:t xml:space="preserve"> 0026-11-EP</w:t>
      </w:r>
    </w:p>
    <w:p w14:paraId="4F67B80D" w14:textId="77777777" w:rsidR="00591D54" w:rsidRDefault="00591D54">
      <w:pPr>
        <w:shd w:val="clear" w:color="auto" w:fill="FFFFFF"/>
        <w:spacing w:line="221" w:lineRule="exact"/>
        <w:jc w:val="both"/>
      </w:pPr>
      <w:r>
        <w:br w:type="column"/>
      </w:r>
      <w:r>
        <w:rPr>
          <w:spacing w:val="-6"/>
          <w:sz w:val="18"/>
          <w:szCs w:val="18"/>
          <w:lang w:val="es-ES_tradnl"/>
        </w:rPr>
        <w:t xml:space="preserve">En el caso </w:t>
      </w:r>
      <w:r>
        <w:rPr>
          <w:i/>
          <w:iCs/>
          <w:spacing w:val="-6"/>
          <w:sz w:val="18"/>
          <w:szCs w:val="18"/>
          <w:lang w:val="es-ES_tradnl"/>
        </w:rPr>
        <w:t xml:space="preserve">sub examine, </w:t>
      </w:r>
      <w:r>
        <w:rPr>
          <w:spacing w:val="-6"/>
          <w:sz w:val="18"/>
          <w:szCs w:val="18"/>
          <w:lang w:val="es-ES_tradnl"/>
        </w:rPr>
        <w:t>la compa</w:t>
      </w:r>
      <w:r>
        <w:rPr>
          <w:rFonts w:cs="Times New Roman"/>
          <w:spacing w:val="-6"/>
          <w:sz w:val="18"/>
          <w:szCs w:val="18"/>
          <w:lang w:val="es-ES_tradnl"/>
        </w:rPr>
        <w:t>ñí</w:t>
      </w:r>
      <w:r>
        <w:rPr>
          <w:spacing w:val="-6"/>
          <w:sz w:val="18"/>
          <w:szCs w:val="18"/>
          <w:lang w:val="es-ES_tradnl"/>
        </w:rPr>
        <w:t>a EMPRISEG C</w:t>
      </w:r>
      <w:r>
        <w:rPr>
          <w:rFonts w:cs="Times New Roman"/>
          <w:spacing w:val="-6"/>
          <w:sz w:val="18"/>
          <w:szCs w:val="18"/>
          <w:lang w:val="es-ES_tradnl"/>
        </w:rPr>
        <w:t>Í</w:t>
      </w:r>
      <w:r>
        <w:rPr>
          <w:spacing w:val="-6"/>
          <w:sz w:val="18"/>
          <w:szCs w:val="18"/>
          <w:lang w:val="es-ES_tradnl"/>
        </w:rPr>
        <w:t xml:space="preserve">A. </w:t>
      </w:r>
      <w:r>
        <w:rPr>
          <w:spacing w:val="-5"/>
          <w:sz w:val="18"/>
          <w:szCs w:val="18"/>
          <w:lang w:val="es-ES_tradnl"/>
        </w:rPr>
        <w:t>LTDA., present</w:t>
      </w:r>
      <w:r>
        <w:rPr>
          <w:rFonts w:cs="Times New Roman"/>
          <w:spacing w:val="-5"/>
          <w:sz w:val="18"/>
          <w:szCs w:val="18"/>
          <w:lang w:val="es-ES_tradnl"/>
        </w:rPr>
        <w:t>ó</w:t>
      </w:r>
      <w:r>
        <w:rPr>
          <w:spacing w:val="-5"/>
          <w:sz w:val="18"/>
          <w:szCs w:val="18"/>
          <w:lang w:val="es-ES_tradnl"/>
        </w:rPr>
        <w:t xml:space="preserve"> una acci</w:t>
      </w:r>
      <w:r>
        <w:rPr>
          <w:rFonts w:cs="Times New Roman"/>
          <w:spacing w:val="-5"/>
          <w:sz w:val="18"/>
          <w:szCs w:val="18"/>
          <w:lang w:val="es-ES_tradnl"/>
        </w:rPr>
        <w:t>ó</w:t>
      </w:r>
      <w:r>
        <w:rPr>
          <w:spacing w:val="-5"/>
          <w:sz w:val="18"/>
          <w:szCs w:val="18"/>
          <w:lang w:val="es-ES_tradnl"/>
        </w:rPr>
        <w:t>n de protecci</w:t>
      </w:r>
      <w:r>
        <w:rPr>
          <w:rFonts w:cs="Times New Roman"/>
          <w:spacing w:val="-5"/>
          <w:sz w:val="18"/>
          <w:szCs w:val="18"/>
          <w:lang w:val="es-ES_tradnl"/>
        </w:rPr>
        <w:t>ó</w:t>
      </w:r>
      <w:r>
        <w:rPr>
          <w:spacing w:val="-5"/>
          <w:sz w:val="18"/>
          <w:szCs w:val="18"/>
          <w:lang w:val="es-ES_tradnl"/>
        </w:rPr>
        <w:t xml:space="preserve">n en contra de </w:t>
      </w:r>
      <w:r>
        <w:rPr>
          <w:spacing w:val="-7"/>
          <w:sz w:val="18"/>
          <w:szCs w:val="18"/>
          <w:lang w:val="es-ES_tradnl"/>
        </w:rPr>
        <w:t>HIDRONACI</w:t>
      </w:r>
      <w:r>
        <w:rPr>
          <w:rFonts w:cs="Times New Roman"/>
          <w:spacing w:val="-7"/>
          <w:sz w:val="18"/>
          <w:szCs w:val="18"/>
          <w:lang w:val="es-ES_tradnl"/>
        </w:rPr>
        <w:t>Ó</w:t>
      </w:r>
      <w:r>
        <w:rPr>
          <w:spacing w:val="-7"/>
          <w:sz w:val="18"/>
          <w:szCs w:val="18"/>
          <w:lang w:val="es-ES_tradnl"/>
        </w:rPr>
        <w:t>N S. A., en raz</w:t>
      </w:r>
      <w:r>
        <w:rPr>
          <w:rFonts w:cs="Times New Roman"/>
          <w:spacing w:val="-7"/>
          <w:sz w:val="18"/>
          <w:szCs w:val="18"/>
          <w:lang w:val="es-ES_tradnl"/>
        </w:rPr>
        <w:t>ó</w:t>
      </w:r>
      <w:r>
        <w:rPr>
          <w:spacing w:val="-7"/>
          <w:sz w:val="18"/>
          <w:szCs w:val="18"/>
          <w:lang w:val="es-ES_tradnl"/>
        </w:rPr>
        <w:t>n que hab</w:t>
      </w:r>
      <w:r>
        <w:rPr>
          <w:rFonts w:cs="Times New Roman"/>
          <w:spacing w:val="-7"/>
          <w:sz w:val="18"/>
          <w:szCs w:val="18"/>
          <w:lang w:val="es-ES_tradnl"/>
        </w:rPr>
        <w:t>í</w:t>
      </w:r>
      <w:r>
        <w:rPr>
          <w:spacing w:val="-7"/>
          <w:sz w:val="18"/>
          <w:szCs w:val="18"/>
          <w:lang w:val="es-ES_tradnl"/>
        </w:rPr>
        <w:t xml:space="preserve">a sido declarada </w:t>
      </w:r>
      <w:r>
        <w:rPr>
          <w:spacing w:val="-6"/>
          <w:sz w:val="18"/>
          <w:szCs w:val="18"/>
          <w:lang w:val="es-ES_tradnl"/>
        </w:rPr>
        <w:t>como adjudicatario fallido, debido a que no hab</w:t>
      </w:r>
      <w:r>
        <w:rPr>
          <w:rFonts w:cs="Times New Roman"/>
          <w:spacing w:val="-6"/>
          <w:sz w:val="18"/>
          <w:szCs w:val="18"/>
          <w:lang w:val="es-ES_tradnl"/>
        </w:rPr>
        <w:t>í</w:t>
      </w:r>
      <w:r>
        <w:rPr>
          <w:spacing w:val="-6"/>
          <w:sz w:val="18"/>
          <w:szCs w:val="18"/>
          <w:lang w:val="es-ES_tradnl"/>
        </w:rPr>
        <w:t xml:space="preserve">a podido </w:t>
      </w:r>
      <w:r>
        <w:rPr>
          <w:spacing w:val="-7"/>
          <w:sz w:val="18"/>
          <w:szCs w:val="18"/>
          <w:lang w:val="es-ES_tradnl"/>
        </w:rPr>
        <w:t xml:space="preserve">entregar un certificado dentro del plazo establecido en la </w:t>
      </w:r>
      <w:r>
        <w:rPr>
          <w:spacing w:val="-9"/>
          <w:sz w:val="18"/>
          <w:szCs w:val="18"/>
          <w:lang w:val="es-ES_tradnl"/>
        </w:rPr>
        <w:t>norma infra constitucional, lo que adem</w:t>
      </w:r>
      <w:r>
        <w:rPr>
          <w:rFonts w:cs="Times New Roman"/>
          <w:spacing w:val="-9"/>
          <w:sz w:val="18"/>
          <w:szCs w:val="18"/>
          <w:lang w:val="es-ES_tradnl"/>
        </w:rPr>
        <w:t>á</w:t>
      </w:r>
      <w:r>
        <w:rPr>
          <w:spacing w:val="-9"/>
          <w:sz w:val="18"/>
          <w:szCs w:val="18"/>
          <w:lang w:val="es-ES_tradnl"/>
        </w:rPr>
        <w:t xml:space="preserve">s conlleva a que se notifique al INCOP para que se elimine a la citada empresa </w:t>
      </w:r>
      <w:r>
        <w:rPr>
          <w:sz w:val="18"/>
          <w:szCs w:val="18"/>
          <w:lang w:val="es-ES_tradnl"/>
        </w:rPr>
        <w:t xml:space="preserve">del Registro </w:t>
      </w:r>
      <w:r>
        <w:rPr>
          <w:rFonts w:cs="Times New Roman"/>
          <w:sz w:val="18"/>
          <w:szCs w:val="18"/>
          <w:lang w:val="es-ES_tradnl"/>
        </w:rPr>
        <w:t>Ú</w:t>
      </w:r>
      <w:r>
        <w:rPr>
          <w:sz w:val="18"/>
          <w:szCs w:val="18"/>
          <w:lang w:val="es-ES_tradnl"/>
        </w:rPr>
        <w:t>nico de Proveedores RUP.</w:t>
      </w:r>
    </w:p>
    <w:p w14:paraId="4F67B80E" w14:textId="77777777" w:rsidR="00591D54" w:rsidRDefault="00591D54">
      <w:pPr>
        <w:shd w:val="clear" w:color="auto" w:fill="FFFFFF"/>
        <w:spacing w:before="202" w:line="221" w:lineRule="exact"/>
        <w:jc w:val="both"/>
      </w:pPr>
      <w:r>
        <w:rPr>
          <w:spacing w:val="-8"/>
          <w:sz w:val="18"/>
          <w:szCs w:val="18"/>
          <w:lang w:val="es-ES_tradnl"/>
        </w:rPr>
        <w:t>La causa recay</w:t>
      </w:r>
      <w:r>
        <w:rPr>
          <w:rFonts w:cs="Times New Roman"/>
          <w:spacing w:val="-8"/>
          <w:sz w:val="18"/>
          <w:szCs w:val="18"/>
          <w:lang w:val="es-ES_tradnl"/>
        </w:rPr>
        <w:t>ó</w:t>
      </w:r>
      <w:r>
        <w:rPr>
          <w:spacing w:val="-8"/>
          <w:sz w:val="18"/>
          <w:szCs w:val="18"/>
          <w:lang w:val="es-ES_tradnl"/>
        </w:rPr>
        <w:t xml:space="preserve"> a conocimiento del Juzgado Tercero de lo </w:t>
      </w:r>
      <w:r>
        <w:rPr>
          <w:spacing w:val="-6"/>
          <w:sz w:val="18"/>
          <w:szCs w:val="18"/>
          <w:lang w:val="es-ES_tradnl"/>
        </w:rPr>
        <w:t xml:space="preserve">Civil del Guayas, que mediante sentencia de 22 de enero </w:t>
      </w:r>
      <w:r>
        <w:rPr>
          <w:spacing w:val="-8"/>
          <w:sz w:val="18"/>
          <w:szCs w:val="18"/>
          <w:lang w:val="es-ES_tradnl"/>
        </w:rPr>
        <w:t>de 2010, declar</w:t>
      </w:r>
      <w:r>
        <w:rPr>
          <w:rFonts w:cs="Times New Roman"/>
          <w:spacing w:val="-8"/>
          <w:sz w:val="18"/>
          <w:szCs w:val="18"/>
          <w:lang w:val="es-ES_tradnl"/>
        </w:rPr>
        <w:t>ó</w:t>
      </w:r>
      <w:r>
        <w:rPr>
          <w:spacing w:val="-8"/>
          <w:sz w:val="18"/>
          <w:szCs w:val="18"/>
          <w:lang w:val="es-ES_tradnl"/>
        </w:rPr>
        <w:t xml:space="preserve"> sin lugar la acci</w:t>
      </w:r>
      <w:r>
        <w:rPr>
          <w:rFonts w:cs="Times New Roman"/>
          <w:spacing w:val="-8"/>
          <w:sz w:val="18"/>
          <w:szCs w:val="18"/>
          <w:lang w:val="es-ES_tradnl"/>
        </w:rPr>
        <w:t>ó</w:t>
      </w:r>
      <w:r>
        <w:rPr>
          <w:spacing w:val="-8"/>
          <w:sz w:val="18"/>
          <w:szCs w:val="18"/>
          <w:lang w:val="es-ES_tradnl"/>
        </w:rPr>
        <w:t>n de protecci</w:t>
      </w:r>
      <w:r>
        <w:rPr>
          <w:rFonts w:cs="Times New Roman"/>
          <w:spacing w:val="-8"/>
          <w:sz w:val="18"/>
          <w:szCs w:val="18"/>
          <w:lang w:val="es-ES_tradnl"/>
        </w:rPr>
        <w:t>ó</w:t>
      </w:r>
      <w:r>
        <w:rPr>
          <w:spacing w:val="-8"/>
          <w:sz w:val="18"/>
          <w:szCs w:val="18"/>
          <w:lang w:val="es-ES_tradnl"/>
        </w:rPr>
        <w:t xml:space="preserve">n, debido a </w:t>
      </w:r>
      <w:r>
        <w:rPr>
          <w:spacing w:val="-11"/>
          <w:sz w:val="18"/>
          <w:szCs w:val="18"/>
          <w:lang w:val="es-ES_tradnl"/>
        </w:rPr>
        <w:t>que se trataba de un tema de mera legalidad. Esta resoluci</w:t>
      </w:r>
      <w:r>
        <w:rPr>
          <w:rFonts w:cs="Times New Roman"/>
          <w:spacing w:val="-11"/>
          <w:sz w:val="18"/>
          <w:szCs w:val="18"/>
          <w:lang w:val="es-ES_tradnl"/>
        </w:rPr>
        <w:t>ó</w:t>
      </w:r>
      <w:r>
        <w:rPr>
          <w:spacing w:val="-11"/>
          <w:sz w:val="18"/>
          <w:szCs w:val="18"/>
          <w:lang w:val="es-ES_tradnl"/>
        </w:rPr>
        <w:t xml:space="preserve">n </w:t>
      </w:r>
      <w:r>
        <w:rPr>
          <w:spacing w:val="-8"/>
          <w:sz w:val="18"/>
          <w:szCs w:val="18"/>
          <w:lang w:val="es-ES_tradnl"/>
        </w:rPr>
        <w:t xml:space="preserve">fue apelada, y la misma, luego del sorteo correspondiente, </w:t>
      </w:r>
      <w:r>
        <w:rPr>
          <w:spacing w:val="-6"/>
          <w:sz w:val="18"/>
          <w:szCs w:val="18"/>
          <w:lang w:val="es-ES_tradnl"/>
        </w:rPr>
        <w:t>recay</w:t>
      </w:r>
      <w:r>
        <w:rPr>
          <w:rFonts w:cs="Times New Roman"/>
          <w:spacing w:val="-6"/>
          <w:sz w:val="18"/>
          <w:szCs w:val="18"/>
          <w:lang w:val="es-ES_tradnl"/>
        </w:rPr>
        <w:t>ó</w:t>
      </w:r>
      <w:r>
        <w:rPr>
          <w:spacing w:val="-6"/>
          <w:sz w:val="18"/>
          <w:szCs w:val="18"/>
          <w:lang w:val="es-ES_tradnl"/>
        </w:rPr>
        <w:t xml:space="preserve"> a conocimiento de la Primera Sala de lo Laboral, </w:t>
      </w:r>
      <w:r>
        <w:rPr>
          <w:spacing w:val="-7"/>
          <w:sz w:val="18"/>
          <w:szCs w:val="18"/>
          <w:lang w:val="es-ES_tradnl"/>
        </w:rPr>
        <w:t>Ni</w:t>
      </w:r>
      <w:r>
        <w:rPr>
          <w:rFonts w:cs="Times New Roman"/>
          <w:spacing w:val="-7"/>
          <w:sz w:val="18"/>
          <w:szCs w:val="18"/>
          <w:lang w:val="es-ES_tradnl"/>
        </w:rPr>
        <w:t>ñ</w:t>
      </w:r>
      <w:r>
        <w:rPr>
          <w:spacing w:val="-7"/>
          <w:sz w:val="18"/>
          <w:szCs w:val="18"/>
          <w:lang w:val="es-ES_tradnl"/>
        </w:rPr>
        <w:t xml:space="preserve">ez y Adolescencia de la Corte Provincial de Justicia del </w:t>
      </w:r>
      <w:r>
        <w:rPr>
          <w:sz w:val="18"/>
          <w:szCs w:val="18"/>
          <w:lang w:val="es-ES_tradnl"/>
        </w:rPr>
        <w:t>Guayas.</w:t>
      </w:r>
    </w:p>
    <w:p w14:paraId="4F67B80F" w14:textId="77777777" w:rsidR="00591D54" w:rsidRDefault="00591D54">
      <w:pPr>
        <w:shd w:val="clear" w:color="auto" w:fill="FFFFFF"/>
        <w:spacing w:before="202" w:line="221" w:lineRule="exact"/>
        <w:jc w:val="both"/>
      </w:pPr>
      <w:r>
        <w:rPr>
          <w:spacing w:val="-10"/>
          <w:sz w:val="18"/>
          <w:szCs w:val="18"/>
          <w:lang w:val="es-ES_tradnl"/>
        </w:rPr>
        <w:t>Esta Sala, mediante sentencia de mayor</w:t>
      </w:r>
      <w:r>
        <w:rPr>
          <w:rFonts w:cs="Times New Roman"/>
          <w:spacing w:val="-10"/>
          <w:sz w:val="18"/>
          <w:szCs w:val="18"/>
          <w:lang w:val="es-ES_tradnl"/>
        </w:rPr>
        <w:t>í</w:t>
      </w:r>
      <w:r>
        <w:rPr>
          <w:spacing w:val="-10"/>
          <w:sz w:val="18"/>
          <w:szCs w:val="18"/>
          <w:lang w:val="es-ES_tradnl"/>
        </w:rPr>
        <w:t xml:space="preserve">a del 25 de junio de </w:t>
      </w:r>
      <w:r>
        <w:rPr>
          <w:spacing w:val="-12"/>
          <w:sz w:val="18"/>
          <w:szCs w:val="18"/>
          <w:lang w:val="es-ES_tradnl"/>
        </w:rPr>
        <w:t>2010, resolvi</w:t>
      </w:r>
      <w:r>
        <w:rPr>
          <w:rFonts w:cs="Times New Roman"/>
          <w:spacing w:val="-12"/>
          <w:sz w:val="18"/>
          <w:szCs w:val="18"/>
          <w:lang w:val="es-ES_tradnl"/>
        </w:rPr>
        <w:t>ó</w:t>
      </w:r>
      <w:r>
        <w:rPr>
          <w:spacing w:val="-12"/>
          <w:sz w:val="18"/>
          <w:szCs w:val="18"/>
          <w:lang w:val="es-ES_tradnl"/>
        </w:rPr>
        <w:t xml:space="preserve"> revocar la sentencia de primera instancia y dej</w:t>
      </w:r>
      <w:r>
        <w:rPr>
          <w:rFonts w:cs="Times New Roman"/>
          <w:spacing w:val="-12"/>
          <w:sz w:val="18"/>
          <w:szCs w:val="18"/>
          <w:lang w:val="es-ES_tradnl"/>
        </w:rPr>
        <w:t xml:space="preserve">ó </w:t>
      </w:r>
      <w:r>
        <w:rPr>
          <w:spacing w:val="-6"/>
          <w:sz w:val="18"/>
          <w:szCs w:val="18"/>
          <w:lang w:val="es-ES_tradnl"/>
        </w:rPr>
        <w:t>insubsistente la resoluci</w:t>
      </w:r>
      <w:r>
        <w:rPr>
          <w:rFonts w:cs="Times New Roman"/>
          <w:spacing w:val="-6"/>
          <w:sz w:val="18"/>
          <w:szCs w:val="18"/>
          <w:lang w:val="es-ES_tradnl"/>
        </w:rPr>
        <w:t>ó</w:t>
      </w:r>
      <w:r>
        <w:rPr>
          <w:spacing w:val="-6"/>
          <w:sz w:val="18"/>
          <w:szCs w:val="18"/>
          <w:lang w:val="es-ES_tradnl"/>
        </w:rPr>
        <w:t>n de HIDRONACI</w:t>
      </w:r>
      <w:r>
        <w:rPr>
          <w:rFonts w:cs="Times New Roman"/>
          <w:spacing w:val="-6"/>
          <w:sz w:val="18"/>
          <w:szCs w:val="18"/>
          <w:lang w:val="es-ES_tradnl"/>
        </w:rPr>
        <w:t>Ó</w:t>
      </w:r>
      <w:r>
        <w:rPr>
          <w:spacing w:val="-6"/>
          <w:sz w:val="18"/>
          <w:szCs w:val="18"/>
          <w:lang w:val="es-ES_tradnl"/>
        </w:rPr>
        <w:t xml:space="preserve">N por la cual </w:t>
      </w:r>
      <w:r>
        <w:rPr>
          <w:spacing w:val="-9"/>
          <w:sz w:val="18"/>
          <w:szCs w:val="18"/>
          <w:lang w:val="es-ES_tradnl"/>
        </w:rPr>
        <w:t>se declaraba a EMPRISEG C</w:t>
      </w:r>
      <w:r>
        <w:rPr>
          <w:rFonts w:cs="Times New Roman"/>
          <w:spacing w:val="-9"/>
          <w:sz w:val="18"/>
          <w:szCs w:val="18"/>
          <w:lang w:val="es-ES_tradnl"/>
        </w:rPr>
        <w:t>Í</w:t>
      </w:r>
      <w:r>
        <w:rPr>
          <w:spacing w:val="-9"/>
          <w:sz w:val="18"/>
          <w:szCs w:val="18"/>
          <w:lang w:val="es-ES_tradnl"/>
        </w:rPr>
        <w:t>A. LTDA., como adjudicatario fallido, adem</w:t>
      </w:r>
      <w:r>
        <w:rPr>
          <w:rFonts w:cs="Times New Roman"/>
          <w:spacing w:val="-9"/>
          <w:sz w:val="18"/>
          <w:szCs w:val="18"/>
          <w:lang w:val="es-ES_tradnl"/>
        </w:rPr>
        <w:t>á</w:t>
      </w:r>
      <w:r>
        <w:rPr>
          <w:spacing w:val="-9"/>
          <w:sz w:val="18"/>
          <w:szCs w:val="18"/>
          <w:lang w:val="es-ES_tradnl"/>
        </w:rPr>
        <w:t>s de prohibir la eliminaci</w:t>
      </w:r>
      <w:r>
        <w:rPr>
          <w:rFonts w:cs="Times New Roman"/>
          <w:spacing w:val="-9"/>
          <w:sz w:val="18"/>
          <w:szCs w:val="18"/>
          <w:lang w:val="es-ES_tradnl"/>
        </w:rPr>
        <w:t>ó</w:t>
      </w:r>
      <w:r>
        <w:rPr>
          <w:spacing w:val="-9"/>
          <w:sz w:val="18"/>
          <w:szCs w:val="18"/>
          <w:lang w:val="es-ES_tradnl"/>
        </w:rPr>
        <w:t xml:space="preserve">n de esta en el RUP, </w:t>
      </w:r>
      <w:r>
        <w:rPr>
          <w:spacing w:val="-8"/>
          <w:sz w:val="18"/>
          <w:szCs w:val="18"/>
          <w:lang w:val="es-ES_tradnl"/>
        </w:rPr>
        <w:t>debido a que no se hab</w:t>
      </w:r>
      <w:r>
        <w:rPr>
          <w:rFonts w:cs="Times New Roman"/>
          <w:spacing w:val="-8"/>
          <w:sz w:val="18"/>
          <w:szCs w:val="18"/>
          <w:lang w:val="es-ES_tradnl"/>
        </w:rPr>
        <w:t>í</w:t>
      </w:r>
      <w:r>
        <w:rPr>
          <w:spacing w:val="-8"/>
          <w:sz w:val="18"/>
          <w:szCs w:val="18"/>
          <w:lang w:val="es-ES_tradnl"/>
        </w:rPr>
        <w:t>a procedido conforme lo establece la ley de la materia y su reglamento, adem</w:t>
      </w:r>
      <w:r>
        <w:rPr>
          <w:rFonts w:cs="Times New Roman"/>
          <w:spacing w:val="-8"/>
          <w:sz w:val="18"/>
          <w:szCs w:val="18"/>
          <w:lang w:val="es-ES_tradnl"/>
        </w:rPr>
        <w:t>á</w:t>
      </w:r>
      <w:r>
        <w:rPr>
          <w:spacing w:val="-8"/>
          <w:sz w:val="18"/>
          <w:szCs w:val="18"/>
          <w:lang w:val="es-ES_tradnl"/>
        </w:rPr>
        <w:t xml:space="preserve">s de inobservar </w:t>
      </w:r>
      <w:r>
        <w:rPr>
          <w:spacing w:val="-10"/>
          <w:sz w:val="18"/>
          <w:szCs w:val="18"/>
          <w:lang w:val="es-ES_tradnl"/>
        </w:rPr>
        <w:t>el plazo para la presentaci</w:t>
      </w:r>
      <w:r>
        <w:rPr>
          <w:rFonts w:cs="Times New Roman"/>
          <w:spacing w:val="-10"/>
          <w:sz w:val="18"/>
          <w:szCs w:val="18"/>
          <w:lang w:val="es-ES_tradnl"/>
        </w:rPr>
        <w:t>ó</w:t>
      </w:r>
      <w:r>
        <w:rPr>
          <w:spacing w:val="-10"/>
          <w:sz w:val="18"/>
          <w:szCs w:val="18"/>
          <w:lang w:val="es-ES_tradnl"/>
        </w:rPr>
        <w:t xml:space="preserve">n de los documentos habilitantes </w:t>
      </w:r>
      <w:r>
        <w:rPr>
          <w:sz w:val="18"/>
          <w:szCs w:val="18"/>
          <w:lang w:val="es-ES_tradnl"/>
        </w:rPr>
        <w:t xml:space="preserve">establecidos en la propia norma infra constitucional. </w:t>
      </w:r>
      <w:r>
        <w:rPr>
          <w:spacing w:val="-8"/>
          <w:sz w:val="18"/>
          <w:szCs w:val="18"/>
          <w:lang w:val="es-ES_tradnl"/>
        </w:rPr>
        <w:t xml:space="preserve">Se puede advertir que el presente caso se relaciona </w:t>
      </w:r>
      <w:r>
        <w:rPr>
          <w:spacing w:val="-2"/>
          <w:sz w:val="18"/>
          <w:szCs w:val="18"/>
          <w:lang w:val="es-ES_tradnl"/>
        </w:rPr>
        <w:t xml:space="preserve">exclusivamente con la inconformidad respecto a la </w:t>
      </w:r>
      <w:r>
        <w:rPr>
          <w:spacing w:val="-7"/>
          <w:sz w:val="18"/>
          <w:szCs w:val="18"/>
          <w:lang w:val="es-ES_tradnl"/>
        </w:rPr>
        <w:t>aplicaci</w:t>
      </w:r>
      <w:r>
        <w:rPr>
          <w:rFonts w:cs="Times New Roman"/>
          <w:spacing w:val="-7"/>
          <w:sz w:val="18"/>
          <w:szCs w:val="18"/>
          <w:lang w:val="es-ES_tradnl"/>
        </w:rPr>
        <w:t>ó</w:t>
      </w:r>
      <w:r>
        <w:rPr>
          <w:spacing w:val="-7"/>
          <w:sz w:val="18"/>
          <w:szCs w:val="18"/>
          <w:lang w:val="es-ES_tradnl"/>
        </w:rPr>
        <w:t>n e interpretaci</w:t>
      </w:r>
      <w:r>
        <w:rPr>
          <w:rFonts w:cs="Times New Roman"/>
          <w:spacing w:val="-7"/>
          <w:sz w:val="18"/>
          <w:szCs w:val="18"/>
          <w:lang w:val="es-ES_tradnl"/>
        </w:rPr>
        <w:t>ó</w:t>
      </w:r>
      <w:r>
        <w:rPr>
          <w:spacing w:val="-7"/>
          <w:sz w:val="18"/>
          <w:szCs w:val="18"/>
          <w:lang w:val="es-ES_tradnl"/>
        </w:rPr>
        <w:t xml:space="preserve">n de normas infraconstitucionales </w:t>
      </w:r>
      <w:r>
        <w:rPr>
          <w:spacing w:val="-6"/>
          <w:sz w:val="18"/>
          <w:szCs w:val="18"/>
          <w:lang w:val="es-ES_tradnl"/>
        </w:rPr>
        <w:t>que regulan los procesos de contrataci</w:t>
      </w:r>
      <w:r>
        <w:rPr>
          <w:rFonts w:cs="Times New Roman"/>
          <w:spacing w:val="-6"/>
          <w:sz w:val="18"/>
          <w:szCs w:val="18"/>
          <w:lang w:val="es-ES_tradnl"/>
        </w:rPr>
        <w:t>ó</w:t>
      </w:r>
      <w:r>
        <w:rPr>
          <w:spacing w:val="-6"/>
          <w:sz w:val="18"/>
          <w:szCs w:val="18"/>
          <w:lang w:val="es-ES_tradnl"/>
        </w:rPr>
        <w:t>n p</w:t>
      </w:r>
      <w:r>
        <w:rPr>
          <w:rFonts w:cs="Times New Roman"/>
          <w:spacing w:val="-6"/>
          <w:sz w:val="18"/>
          <w:szCs w:val="18"/>
          <w:lang w:val="es-ES_tradnl"/>
        </w:rPr>
        <w:t>ú</w:t>
      </w:r>
      <w:r>
        <w:rPr>
          <w:spacing w:val="-6"/>
          <w:sz w:val="18"/>
          <w:szCs w:val="18"/>
          <w:lang w:val="es-ES_tradnl"/>
        </w:rPr>
        <w:t xml:space="preserve">blica, lo cual </w:t>
      </w:r>
      <w:r>
        <w:rPr>
          <w:spacing w:val="-9"/>
          <w:sz w:val="18"/>
          <w:szCs w:val="18"/>
          <w:lang w:val="es-ES_tradnl"/>
        </w:rPr>
        <w:t>conlleva que no pueda ser ventilado dentro de la jurisdicci</w:t>
      </w:r>
      <w:r>
        <w:rPr>
          <w:rFonts w:cs="Times New Roman"/>
          <w:spacing w:val="-9"/>
          <w:sz w:val="18"/>
          <w:szCs w:val="18"/>
          <w:lang w:val="es-ES_tradnl"/>
        </w:rPr>
        <w:t>ó</w:t>
      </w:r>
      <w:r>
        <w:rPr>
          <w:spacing w:val="-9"/>
          <w:sz w:val="18"/>
          <w:szCs w:val="18"/>
          <w:lang w:val="es-ES_tradnl"/>
        </w:rPr>
        <w:t xml:space="preserve">n </w:t>
      </w:r>
      <w:r>
        <w:rPr>
          <w:spacing w:val="-7"/>
          <w:sz w:val="18"/>
          <w:szCs w:val="18"/>
          <w:lang w:val="es-ES_tradnl"/>
        </w:rPr>
        <w:t>constitucional, al no evidenciarse la vulneraci</w:t>
      </w:r>
      <w:r>
        <w:rPr>
          <w:rFonts w:cs="Times New Roman"/>
          <w:spacing w:val="-7"/>
          <w:sz w:val="18"/>
          <w:szCs w:val="18"/>
          <w:lang w:val="es-ES_tradnl"/>
        </w:rPr>
        <w:t>ó</w:t>
      </w:r>
      <w:r>
        <w:rPr>
          <w:spacing w:val="-7"/>
          <w:sz w:val="18"/>
          <w:szCs w:val="18"/>
          <w:lang w:val="es-ES_tradnl"/>
        </w:rPr>
        <w:t>n de ning</w:t>
      </w:r>
      <w:r>
        <w:rPr>
          <w:rFonts w:cs="Times New Roman"/>
          <w:spacing w:val="-7"/>
          <w:sz w:val="18"/>
          <w:szCs w:val="18"/>
          <w:lang w:val="es-ES_tradnl"/>
        </w:rPr>
        <w:t>ú</w:t>
      </w:r>
      <w:r>
        <w:rPr>
          <w:spacing w:val="-7"/>
          <w:sz w:val="18"/>
          <w:szCs w:val="18"/>
          <w:lang w:val="es-ES_tradnl"/>
        </w:rPr>
        <w:t xml:space="preserve">n </w:t>
      </w:r>
      <w:r>
        <w:rPr>
          <w:spacing w:val="-6"/>
          <w:sz w:val="18"/>
          <w:szCs w:val="18"/>
          <w:lang w:val="es-ES_tradnl"/>
        </w:rPr>
        <w:t>derecho constitucional, tal como fue resuelto en primera instancia por el juez tercero de lo civil del Guayas.</w:t>
      </w:r>
    </w:p>
    <w:p w14:paraId="4F67B810" w14:textId="77777777" w:rsidR="00591D54" w:rsidRDefault="00591D54">
      <w:pPr>
        <w:shd w:val="clear" w:color="auto" w:fill="FFFFFF"/>
        <w:spacing w:before="202" w:line="221" w:lineRule="exact"/>
        <w:jc w:val="both"/>
      </w:pPr>
      <w:r>
        <w:rPr>
          <w:spacing w:val="-5"/>
          <w:sz w:val="18"/>
          <w:szCs w:val="18"/>
          <w:lang w:val="es-ES_tradnl"/>
        </w:rPr>
        <w:t>Es necesario precisar, tal como qued</w:t>
      </w:r>
      <w:r>
        <w:rPr>
          <w:rFonts w:cs="Times New Roman"/>
          <w:spacing w:val="-5"/>
          <w:sz w:val="18"/>
          <w:szCs w:val="18"/>
          <w:lang w:val="es-ES_tradnl"/>
        </w:rPr>
        <w:t>ó</w:t>
      </w:r>
      <w:r>
        <w:rPr>
          <w:spacing w:val="-5"/>
          <w:sz w:val="18"/>
          <w:szCs w:val="18"/>
          <w:lang w:val="es-ES_tradnl"/>
        </w:rPr>
        <w:t xml:space="preserve"> indicado en el problema jur</w:t>
      </w:r>
      <w:r>
        <w:rPr>
          <w:rFonts w:cs="Times New Roman"/>
          <w:spacing w:val="-5"/>
          <w:sz w:val="18"/>
          <w:szCs w:val="18"/>
          <w:lang w:val="es-ES_tradnl"/>
        </w:rPr>
        <w:t>í</w:t>
      </w:r>
      <w:r>
        <w:rPr>
          <w:spacing w:val="-5"/>
          <w:sz w:val="18"/>
          <w:szCs w:val="18"/>
          <w:lang w:val="es-ES_tradnl"/>
        </w:rPr>
        <w:t>dico anterior, que la acci</w:t>
      </w:r>
      <w:r>
        <w:rPr>
          <w:rFonts w:cs="Times New Roman"/>
          <w:spacing w:val="-5"/>
          <w:sz w:val="18"/>
          <w:szCs w:val="18"/>
          <w:lang w:val="es-ES_tradnl"/>
        </w:rPr>
        <w:t>ó</w:t>
      </w:r>
      <w:r>
        <w:rPr>
          <w:spacing w:val="-5"/>
          <w:sz w:val="18"/>
          <w:szCs w:val="18"/>
          <w:lang w:val="es-ES_tradnl"/>
        </w:rPr>
        <w:t>n de protecci</w:t>
      </w:r>
      <w:r>
        <w:rPr>
          <w:rFonts w:cs="Times New Roman"/>
          <w:spacing w:val="-5"/>
          <w:sz w:val="18"/>
          <w:szCs w:val="18"/>
          <w:lang w:val="es-ES_tradnl"/>
        </w:rPr>
        <w:t>ó</w:t>
      </w:r>
      <w:r>
        <w:rPr>
          <w:spacing w:val="-5"/>
          <w:sz w:val="18"/>
          <w:szCs w:val="18"/>
          <w:lang w:val="es-ES_tradnl"/>
        </w:rPr>
        <w:t xml:space="preserve">n </w:t>
      </w:r>
      <w:r>
        <w:rPr>
          <w:spacing w:val="-7"/>
          <w:sz w:val="18"/>
          <w:szCs w:val="18"/>
          <w:lang w:val="es-ES_tradnl"/>
        </w:rPr>
        <w:t>constituye una garant</w:t>
      </w:r>
      <w:r>
        <w:rPr>
          <w:rFonts w:cs="Times New Roman"/>
          <w:spacing w:val="-7"/>
          <w:sz w:val="18"/>
          <w:szCs w:val="18"/>
          <w:lang w:val="es-ES_tradnl"/>
        </w:rPr>
        <w:t>í</w:t>
      </w:r>
      <w:r>
        <w:rPr>
          <w:spacing w:val="-7"/>
          <w:sz w:val="18"/>
          <w:szCs w:val="18"/>
          <w:lang w:val="es-ES_tradnl"/>
        </w:rPr>
        <w:t>a jurisdiccional que se activa ante la vulneraci</w:t>
      </w:r>
      <w:r>
        <w:rPr>
          <w:rFonts w:cs="Times New Roman"/>
          <w:spacing w:val="-7"/>
          <w:sz w:val="18"/>
          <w:szCs w:val="18"/>
          <w:lang w:val="es-ES_tradnl"/>
        </w:rPr>
        <w:t>ó</w:t>
      </w:r>
      <w:r>
        <w:rPr>
          <w:spacing w:val="-7"/>
          <w:sz w:val="18"/>
          <w:szCs w:val="18"/>
          <w:lang w:val="es-ES_tradnl"/>
        </w:rPr>
        <w:t>n de derechos de naturaleza constitucional, as</w:t>
      </w:r>
      <w:r>
        <w:rPr>
          <w:rFonts w:cs="Times New Roman"/>
          <w:spacing w:val="-7"/>
          <w:sz w:val="18"/>
          <w:szCs w:val="18"/>
          <w:lang w:val="es-ES_tradnl"/>
        </w:rPr>
        <w:t xml:space="preserve">í </w:t>
      </w:r>
      <w:r>
        <w:rPr>
          <w:spacing w:val="-10"/>
          <w:sz w:val="18"/>
          <w:szCs w:val="18"/>
          <w:lang w:val="es-ES_tradnl"/>
        </w:rPr>
        <w:t xml:space="preserve">como derechos reconocidos en instrumentos internacionales </w:t>
      </w:r>
      <w:r>
        <w:rPr>
          <w:spacing w:val="-8"/>
          <w:sz w:val="18"/>
          <w:szCs w:val="18"/>
          <w:lang w:val="es-ES_tradnl"/>
        </w:rPr>
        <w:t>de derechos humanos. En otras palabras, la acci</w:t>
      </w:r>
      <w:r>
        <w:rPr>
          <w:rFonts w:cs="Times New Roman"/>
          <w:spacing w:val="-8"/>
          <w:sz w:val="18"/>
          <w:szCs w:val="18"/>
          <w:lang w:val="es-ES_tradnl"/>
        </w:rPr>
        <w:t>ó</w:t>
      </w:r>
      <w:r>
        <w:rPr>
          <w:spacing w:val="-8"/>
          <w:sz w:val="18"/>
          <w:szCs w:val="18"/>
          <w:lang w:val="es-ES_tradnl"/>
        </w:rPr>
        <w:t xml:space="preserve">n de </w:t>
      </w:r>
      <w:r>
        <w:rPr>
          <w:spacing w:val="-5"/>
          <w:sz w:val="18"/>
          <w:szCs w:val="18"/>
          <w:lang w:val="es-ES_tradnl"/>
        </w:rPr>
        <w:t>protecci</w:t>
      </w:r>
      <w:r>
        <w:rPr>
          <w:rFonts w:cs="Times New Roman"/>
          <w:spacing w:val="-5"/>
          <w:sz w:val="18"/>
          <w:szCs w:val="18"/>
          <w:lang w:val="es-ES_tradnl"/>
        </w:rPr>
        <w:t>ó</w:t>
      </w:r>
      <w:r>
        <w:rPr>
          <w:spacing w:val="-5"/>
          <w:sz w:val="18"/>
          <w:szCs w:val="18"/>
          <w:lang w:val="es-ES_tradnl"/>
        </w:rPr>
        <w:t xml:space="preserve">n constituye un mecanismo jurisdiccional que </w:t>
      </w:r>
      <w:r>
        <w:rPr>
          <w:spacing w:val="-8"/>
          <w:sz w:val="18"/>
          <w:szCs w:val="18"/>
          <w:lang w:val="es-ES_tradnl"/>
        </w:rPr>
        <w:t xml:space="preserve">pretende la eficacia de los derechos consagrados en la </w:t>
      </w:r>
      <w:r>
        <w:rPr>
          <w:spacing w:val="-4"/>
          <w:sz w:val="18"/>
          <w:szCs w:val="18"/>
          <w:lang w:val="es-ES_tradnl"/>
        </w:rPr>
        <w:t>Constituci</w:t>
      </w:r>
      <w:r>
        <w:rPr>
          <w:rFonts w:cs="Times New Roman"/>
          <w:spacing w:val="-4"/>
          <w:sz w:val="18"/>
          <w:szCs w:val="18"/>
          <w:lang w:val="es-ES_tradnl"/>
        </w:rPr>
        <w:t>ó</w:t>
      </w:r>
      <w:r>
        <w:rPr>
          <w:spacing w:val="-4"/>
          <w:sz w:val="18"/>
          <w:szCs w:val="18"/>
          <w:lang w:val="es-ES_tradnl"/>
        </w:rPr>
        <w:t>n, y su activaci</w:t>
      </w:r>
      <w:r>
        <w:rPr>
          <w:rFonts w:cs="Times New Roman"/>
          <w:spacing w:val="-4"/>
          <w:sz w:val="18"/>
          <w:szCs w:val="18"/>
          <w:lang w:val="es-ES_tradnl"/>
        </w:rPr>
        <w:t>ó</w:t>
      </w:r>
      <w:r>
        <w:rPr>
          <w:spacing w:val="-4"/>
          <w:sz w:val="18"/>
          <w:szCs w:val="18"/>
          <w:lang w:val="es-ES_tradnl"/>
        </w:rPr>
        <w:t xml:space="preserve">n cabe para todos aquellos </w:t>
      </w:r>
      <w:r>
        <w:rPr>
          <w:spacing w:val="-7"/>
          <w:sz w:val="18"/>
          <w:szCs w:val="18"/>
          <w:lang w:val="es-ES_tradnl"/>
        </w:rPr>
        <w:t>casos en los que la conducta de una autoridad p</w:t>
      </w:r>
      <w:r>
        <w:rPr>
          <w:rFonts w:cs="Times New Roman"/>
          <w:spacing w:val="-7"/>
          <w:sz w:val="18"/>
          <w:szCs w:val="18"/>
          <w:lang w:val="es-ES_tradnl"/>
        </w:rPr>
        <w:t>ú</w:t>
      </w:r>
      <w:r>
        <w:rPr>
          <w:spacing w:val="-7"/>
          <w:sz w:val="18"/>
          <w:szCs w:val="18"/>
          <w:lang w:val="es-ES_tradnl"/>
        </w:rPr>
        <w:t xml:space="preserve">blica no </w:t>
      </w:r>
      <w:r>
        <w:rPr>
          <w:spacing w:val="-6"/>
          <w:sz w:val="18"/>
          <w:szCs w:val="18"/>
          <w:lang w:val="es-ES_tradnl"/>
        </w:rPr>
        <w:t xml:space="preserve">judicial o una persona particular vulnere los derechos de </w:t>
      </w:r>
      <w:r>
        <w:rPr>
          <w:sz w:val="18"/>
          <w:szCs w:val="18"/>
          <w:lang w:val="es-ES_tradnl"/>
        </w:rPr>
        <w:t>una persona, colectivo o la naturaleza.</w:t>
      </w:r>
    </w:p>
    <w:p w14:paraId="4F67B811" w14:textId="77777777" w:rsidR="00591D54" w:rsidRDefault="00591D54">
      <w:pPr>
        <w:shd w:val="clear" w:color="auto" w:fill="FFFFFF"/>
        <w:spacing w:before="202" w:line="226" w:lineRule="exact"/>
        <w:jc w:val="both"/>
      </w:pPr>
      <w:r>
        <w:rPr>
          <w:spacing w:val="-10"/>
          <w:sz w:val="18"/>
          <w:szCs w:val="18"/>
          <w:lang w:val="es-ES_tradnl"/>
        </w:rPr>
        <w:t>Conforme se hizo referencia a la sentencia N.</w:t>
      </w:r>
      <w:r>
        <w:rPr>
          <w:rFonts w:cs="Times New Roman"/>
          <w:spacing w:val="-10"/>
          <w:sz w:val="18"/>
          <w:szCs w:val="18"/>
          <w:lang w:val="es-ES_tradnl"/>
        </w:rPr>
        <w:t>°</w:t>
      </w:r>
      <w:r>
        <w:rPr>
          <w:spacing w:val="-10"/>
          <w:sz w:val="18"/>
          <w:szCs w:val="18"/>
          <w:lang w:val="es-ES_tradnl"/>
        </w:rPr>
        <w:t xml:space="preserve"> 016-13-SEP-</w:t>
      </w:r>
      <w:r>
        <w:rPr>
          <w:spacing w:val="-7"/>
          <w:sz w:val="18"/>
          <w:szCs w:val="18"/>
          <w:lang w:val="es-ES_tradnl"/>
        </w:rPr>
        <w:t>CC, en relaci</w:t>
      </w:r>
      <w:r>
        <w:rPr>
          <w:rFonts w:cs="Times New Roman"/>
          <w:spacing w:val="-7"/>
          <w:sz w:val="18"/>
          <w:szCs w:val="18"/>
          <w:lang w:val="es-ES_tradnl"/>
        </w:rPr>
        <w:t>ó</w:t>
      </w:r>
      <w:r>
        <w:rPr>
          <w:spacing w:val="-7"/>
          <w:sz w:val="18"/>
          <w:szCs w:val="18"/>
          <w:lang w:val="es-ES_tradnl"/>
        </w:rPr>
        <w:t>n a la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n, la Corte se</w:t>
      </w:r>
      <w:r>
        <w:rPr>
          <w:rFonts w:cs="Times New Roman"/>
          <w:spacing w:val="-7"/>
          <w:sz w:val="18"/>
          <w:szCs w:val="18"/>
          <w:lang w:val="es-ES_tradnl"/>
        </w:rPr>
        <w:t>ñ</w:t>
      </w:r>
      <w:r>
        <w:rPr>
          <w:spacing w:val="-7"/>
          <w:sz w:val="18"/>
          <w:szCs w:val="18"/>
          <w:lang w:val="es-ES_tradnl"/>
        </w:rPr>
        <w:t>al</w:t>
      </w:r>
      <w:r>
        <w:rPr>
          <w:rFonts w:cs="Times New Roman"/>
          <w:spacing w:val="-7"/>
          <w:sz w:val="18"/>
          <w:szCs w:val="18"/>
          <w:lang w:val="es-ES_tradnl"/>
        </w:rPr>
        <w:t>ó</w:t>
      </w:r>
      <w:r>
        <w:rPr>
          <w:spacing w:val="-7"/>
          <w:sz w:val="18"/>
          <w:szCs w:val="18"/>
          <w:lang w:val="es-ES_tradnl"/>
        </w:rPr>
        <w:t>:</w:t>
      </w:r>
    </w:p>
    <w:p w14:paraId="4F67B812" w14:textId="77777777" w:rsidR="00591D54" w:rsidRDefault="00591D54">
      <w:pPr>
        <w:shd w:val="clear" w:color="auto" w:fill="FFFFFF"/>
        <w:spacing w:before="206" w:line="221" w:lineRule="exact"/>
        <w:ind w:left="283"/>
        <w:jc w:val="both"/>
      </w:pPr>
      <w:r>
        <w:rPr>
          <w:sz w:val="14"/>
          <w:szCs w:val="14"/>
          <w:lang w:val="es-ES_tradnl"/>
        </w:rPr>
        <w:t>Para confl ictos en materia de legalidad existen las v</w:t>
      </w:r>
      <w:r>
        <w:rPr>
          <w:rFonts w:cs="Times New Roman"/>
          <w:sz w:val="14"/>
          <w:szCs w:val="14"/>
          <w:lang w:val="es-ES_tradnl"/>
        </w:rPr>
        <w:t>í</w:t>
      </w:r>
      <w:r>
        <w:rPr>
          <w:sz w:val="14"/>
          <w:szCs w:val="14"/>
          <w:lang w:val="es-ES_tradnl"/>
        </w:rPr>
        <w:t>as id</w:t>
      </w:r>
      <w:r>
        <w:rPr>
          <w:rFonts w:cs="Times New Roman"/>
          <w:sz w:val="14"/>
          <w:szCs w:val="14"/>
          <w:lang w:val="es-ES_tradnl"/>
        </w:rPr>
        <w:t>ó</w:t>
      </w:r>
      <w:r>
        <w:rPr>
          <w:sz w:val="14"/>
          <w:szCs w:val="14"/>
          <w:lang w:val="es-ES_tradnl"/>
        </w:rPr>
        <w:t>neas y eficaces dentro de la jurisdicci</w:t>
      </w:r>
      <w:r>
        <w:rPr>
          <w:rFonts w:cs="Times New Roman"/>
          <w:sz w:val="14"/>
          <w:szCs w:val="14"/>
          <w:lang w:val="es-ES_tradnl"/>
        </w:rPr>
        <w:t>ó</w:t>
      </w:r>
      <w:r>
        <w:rPr>
          <w:sz w:val="14"/>
          <w:szCs w:val="14"/>
          <w:lang w:val="es-ES_tradnl"/>
        </w:rPr>
        <w:t>n ordinaria (</w:t>
      </w:r>
      <w:r>
        <w:rPr>
          <w:rFonts w:cs="Times New Roman"/>
          <w:sz w:val="14"/>
          <w:szCs w:val="14"/>
          <w:lang w:val="es-ES_tradnl"/>
        </w:rPr>
        <w:t>…</w:t>
      </w:r>
      <w:r>
        <w:rPr>
          <w:sz w:val="14"/>
          <w:szCs w:val="14"/>
          <w:lang w:val="es-ES_tradnl"/>
        </w:rPr>
        <w:t>). La acci</w:t>
      </w:r>
      <w:r>
        <w:rPr>
          <w:rFonts w:cs="Times New Roman"/>
          <w:sz w:val="14"/>
          <w:szCs w:val="14"/>
          <w:lang w:val="es-ES_tradnl"/>
        </w:rPr>
        <w:t>ó</w:t>
      </w:r>
      <w:r>
        <w:rPr>
          <w:sz w:val="14"/>
          <w:szCs w:val="14"/>
          <w:lang w:val="es-ES_tradnl"/>
        </w:rPr>
        <w:t>n de protecci</w:t>
      </w:r>
      <w:r>
        <w:rPr>
          <w:rFonts w:cs="Times New Roman"/>
          <w:sz w:val="14"/>
          <w:szCs w:val="14"/>
          <w:lang w:val="es-ES_tradnl"/>
        </w:rPr>
        <w:t>ó</w:t>
      </w:r>
      <w:r>
        <w:rPr>
          <w:sz w:val="14"/>
          <w:szCs w:val="14"/>
          <w:lang w:val="es-ES_tradnl"/>
        </w:rPr>
        <w:t>n no constituye un mecanismo de superposici</w:t>
      </w:r>
      <w:r>
        <w:rPr>
          <w:rFonts w:cs="Times New Roman"/>
          <w:sz w:val="14"/>
          <w:szCs w:val="14"/>
          <w:lang w:val="es-ES_tradnl"/>
        </w:rPr>
        <w:t>ó</w:t>
      </w:r>
      <w:r>
        <w:rPr>
          <w:sz w:val="14"/>
          <w:szCs w:val="14"/>
          <w:lang w:val="es-ES_tradnl"/>
        </w:rPr>
        <w:t>n o reemplazo de las instancias judiciales ordinarias, pues ello ocasionar</w:t>
      </w:r>
      <w:r>
        <w:rPr>
          <w:rFonts w:cs="Times New Roman"/>
          <w:sz w:val="14"/>
          <w:szCs w:val="14"/>
          <w:lang w:val="es-ES_tradnl"/>
        </w:rPr>
        <w:t>í</w:t>
      </w:r>
      <w:r>
        <w:rPr>
          <w:sz w:val="14"/>
          <w:szCs w:val="14"/>
          <w:lang w:val="es-ES_tradnl"/>
        </w:rPr>
        <w:t>a el desconocimiento de la estructura jurisdiccional estatal establecida por la Constituci</w:t>
      </w:r>
      <w:r>
        <w:rPr>
          <w:rFonts w:cs="Times New Roman"/>
          <w:sz w:val="14"/>
          <w:szCs w:val="14"/>
          <w:lang w:val="es-ES_tradnl"/>
        </w:rPr>
        <w:t>ó</w:t>
      </w:r>
      <w:r>
        <w:rPr>
          <w:sz w:val="14"/>
          <w:szCs w:val="14"/>
          <w:lang w:val="es-ES_tradnl"/>
        </w:rPr>
        <w:t>n.</w:t>
      </w:r>
    </w:p>
    <w:p w14:paraId="4F67B813" w14:textId="77777777" w:rsidR="00591D54" w:rsidRDefault="00591D54">
      <w:pPr>
        <w:shd w:val="clear" w:color="auto" w:fill="FFFFFF"/>
        <w:spacing w:before="206" w:line="226" w:lineRule="exact"/>
        <w:jc w:val="both"/>
      </w:pPr>
      <w:r>
        <w:rPr>
          <w:spacing w:val="-11"/>
          <w:sz w:val="18"/>
          <w:szCs w:val="18"/>
          <w:lang w:val="es-ES_tradnl"/>
        </w:rPr>
        <w:t xml:space="preserve">De este modo, en la causa </w:t>
      </w:r>
      <w:r>
        <w:rPr>
          <w:i/>
          <w:iCs/>
          <w:spacing w:val="-11"/>
          <w:sz w:val="18"/>
          <w:szCs w:val="18"/>
          <w:lang w:val="es-ES_tradnl"/>
        </w:rPr>
        <w:t xml:space="preserve">in examine </w:t>
      </w:r>
      <w:r>
        <w:rPr>
          <w:spacing w:val="-11"/>
          <w:sz w:val="18"/>
          <w:szCs w:val="18"/>
          <w:lang w:val="es-ES_tradnl"/>
        </w:rPr>
        <w:t xml:space="preserve">existe la inobservancia </w:t>
      </w:r>
      <w:r>
        <w:rPr>
          <w:spacing w:val="-5"/>
          <w:sz w:val="18"/>
          <w:szCs w:val="18"/>
          <w:lang w:val="es-ES_tradnl"/>
        </w:rPr>
        <w:t>por parte de los operadores de justicia de normas claras,</w:t>
      </w:r>
    </w:p>
    <w:p w14:paraId="4F67B814" w14:textId="77777777" w:rsidR="00591D54" w:rsidRDefault="00591D54">
      <w:pPr>
        <w:shd w:val="clear" w:color="auto" w:fill="FFFFFF"/>
        <w:spacing w:before="206" w:line="226" w:lineRule="exact"/>
        <w:jc w:val="both"/>
        <w:sectPr w:rsidR="00591D54">
          <w:type w:val="continuous"/>
          <w:pgSz w:w="11909" w:h="16834"/>
          <w:pgMar w:top="1356" w:right="1309" w:bottom="360" w:left="1308" w:header="720" w:footer="720" w:gutter="0"/>
          <w:cols w:num="2" w:space="720" w:equalWidth="0">
            <w:col w:w="4305" w:space="682"/>
            <w:col w:w="4305"/>
          </w:cols>
          <w:noEndnote/>
        </w:sectPr>
      </w:pPr>
    </w:p>
    <w:p w14:paraId="4F67B815"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- 251</w:t>
      </w:r>
    </w:p>
    <w:p w14:paraId="4F67B816" w14:textId="77777777" w:rsidR="00591D54" w:rsidRDefault="00591D54">
      <w:pPr>
        <w:shd w:val="clear" w:color="auto" w:fill="FFFFFF"/>
        <w:tabs>
          <w:tab w:val="left" w:pos="5842"/>
        </w:tabs>
        <w:spacing w:after="235"/>
        <w:ind w:left="5"/>
        <w:sectPr w:rsidR="00591D54">
          <w:pgSz w:w="11909" w:h="16834"/>
          <w:pgMar w:top="1361" w:right="1309" w:bottom="360" w:left="1308" w:header="720" w:footer="720" w:gutter="0"/>
          <w:cols w:space="60"/>
          <w:noEndnote/>
        </w:sectPr>
      </w:pPr>
    </w:p>
    <w:p w14:paraId="4F67B817" w14:textId="77777777" w:rsidR="00591D54" w:rsidRDefault="00591D54">
      <w:pPr>
        <w:shd w:val="clear" w:color="auto" w:fill="FFFFFF"/>
        <w:spacing w:line="216" w:lineRule="exact"/>
        <w:jc w:val="both"/>
      </w:pPr>
      <w:r>
        <w:rPr>
          <w:spacing w:val="-1"/>
          <w:sz w:val="18"/>
          <w:szCs w:val="18"/>
          <w:lang w:val="es-ES_tradnl"/>
        </w:rPr>
        <w:t>previas y p</w:t>
      </w:r>
      <w:r>
        <w:rPr>
          <w:rFonts w:cs="Times New Roman"/>
          <w:spacing w:val="-1"/>
          <w:sz w:val="18"/>
          <w:szCs w:val="18"/>
          <w:lang w:val="es-ES_tradnl"/>
        </w:rPr>
        <w:t>ú</w:t>
      </w:r>
      <w:r>
        <w:rPr>
          <w:spacing w:val="-1"/>
          <w:sz w:val="18"/>
          <w:szCs w:val="18"/>
          <w:lang w:val="es-ES_tradnl"/>
        </w:rPr>
        <w:t>blicas que rigen la acci</w:t>
      </w:r>
      <w:r>
        <w:rPr>
          <w:rFonts w:cs="Times New Roman"/>
          <w:spacing w:val="-1"/>
          <w:sz w:val="18"/>
          <w:szCs w:val="18"/>
          <w:lang w:val="es-ES_tradnl"/>
        </w:rPr>
        <w:t>ó</w:t>
      </w:r>
      <w:r>
        <w:rPr>
          <w:spacing w:val="-1"/>
          <w:sz w:val="18"/>
          <w:szCs w:val="18"/>
          <w:lang w:val="es-ES_tradnl"/>
        </w:rPr>
        <w:t>n de protecci</w:t>
      </w:r>
      <w:r>
        <w:rPr>
          <w:rFonts w:cs="Times New Roman"/>
          <w:spacing w:val="-1"/>
          <w:sz w:val="18"/>
          <w:szCs w:val="18"/>
          <w:lang w:val="es-ES_tradnl"/>
        </w:rPr>
        <w:t>ó</w:t>
      </w:r>
      <w:r>
        <w:rPr>
          <w:spacing w:val="-1"/>
          <w:sz w:val="18"/>
          <w:szCs w:val="18"/>
          <w:lang w:val="es-ES_tradnl"/>
        </w:rPr>
        <w:t xml:space="preserve">n, </w:t>
      </w:r>
      <w:r>
        <w:rPr>
          <w:spacing w:val="-7"/>
          <w:sz w:val="18"/>
          <w:szCs w:val="18"/>
          <w:lang w:val="es-ES_tradnl"/>
        </w:rPr>
        <w:t xml:space="preserve">pues por mandato constitucional le corresponde a toda </w:t>
      </w:r>
      <w:r>
        <w:rPr>
          <w:spacing w:val="-9"/>
          <w:sz w:val="18"/>
          <w:szCs w:val="18"/>
          <w:lang w:val="es-ES_tradnl"/>
        </w:rPr>
        <w:t>autoridad p</w:t>
      </w:r>
      <w:r>
        <w:rPr>
          <w:rFonts w:cs="Times New Roman"/>
          <w:spacing w:val="-9"/>
          <w:sz w:val="18"/>
          <w:szCs w:val="18"/>
          <w:lang w:val="es-ES_tradnl"/>
        </w:rPr>
        <w:t>ú</w:t>
      </w:r>
      <w:r>
        <w:rPr>
          <w:spacing w:val="-9"/>
          <w:sz w:val="18"/>
          <w:szCs w:val="18"/>
          <w:lang w:val="es-ES_tradnl"/>
        </w:rPr>
        <w:t xml:space="preserve">blica garantizar en los procesos de toda </w:t>
      </w:r>
      <w:r>
        <w:rPr>
          <w:rFonts w:cs="Times New Roman"/>
          <w:spacing w:val="-9"/>
          <w:sz w:val="18"/>
          <w:szCs w:val="18"/>
          <w:lang w:val="es-ES_tradnl"/>
        </w:rPr>
        <w:t>í</w:t>
      </w:r>
      <w:r>
        <w:rPr>
          <w:spacing w:val="-9"/>
          <w:sz w:val="18"/>
          <w:szCs w:val="18"/>
          <w:lang w:val="es-ES_tradnl"/>
        </w:rPr>
        <w:t xml:space="preserve">ndole, </w:t>
      </w:r>
      <w:r>
        <w:rPr>
          <w:spacing w:val="-5"/>
          <w:sz w:val="18"/>
          <w:szCs w:val="18"/>
          <w:lang w:val="es-ES_tradnl"/>
        </w:rPr>
        <w:t xml:space="preserve">el cumplimiento de las normas, con el fin de generar un </w:t>
      </w:r>
      <w:r>
        <w:rPr>
          <w:spacing w:val="-7"/>
          <w:sz w:val="18"/>
          <w:szCs w:val="18"/>
          <w:lang w:val="es-ES_tradnl"/>
        </w:rPr>
        <w:t>marco de certeza y seguridad para la ciudadan</w:t>
      </w:r>
      <w:r>
        <w:rPr>
          <w:rFonts w:cs="Times New Roman"/>
          <w:spacing w:val="-7"/>
          <w:sz w:val="18"/>
          <w:szCs w:val="18"/>
          <w:lang w:val="es-ES_tradnl"/>
        </w:rPr>
        <w:t>í</w:t>
      </w:r>
      <w:r>
        <w:rPr>
          <w:spacing w:val="-7"/>
          <w:sz w:val="18"/>
          <w:szCs w:val="18"/>
          <w:lang w:val="es-ES_tradnl"/>
        </w:rPr>
        <w:t xml:space="preserve">a respecto </w:t>
      </w:r>
      <w:r>
        <w:rPr>
          <w:spacing w:val="-9"/>
          <w:sz w:val="18"/>
          <w:szCs w:val="18"/>
          <w:lang w:val="es-ES_tradnl"/>
        </w:rPr>
        <w:t xml:space="preserve">a las consecuencias de sus actos y omisiones. Dentro de la </w:t>
      </w:r>
      <w:r>
        <w:rPr>
          <w:spacing w:val="-8"/>
          <w:sz w:val="18"/>
          <w:szCs w:val="18"/>
          <w:lang w:val="es-ES_tradnl"/>
        </w:rPr>
        <w:t>resoluci</w:t>
      </w:r>
      <w:r>
        <w:rPr>
          <w:rFonts w:cs="Times New Roman"/>
          <w:spacing w:val="-8"/>
          <w:sz w:val="18"/>
          <w:szCs w:val="18"/>
          <w:lang w:val="es-ES_tradnl"/>
        </w:rPr>
        <w:t>ó</w:t>
      </w:r>
      <w:r>
        <w:rPr>
          <w:spacing w:val="-8"/>
          <w:sz w:val="18"/>
          <w:szCs w:val="18"/>
          <w:lang w:val="es-ES_tradnl"/>
        </w:rPr>
        <w:t>n de las garant</w:t>
      </w:r>
      <w:r>
        <w:rPr>
          <w:rFonts w:cs="Times New Roman"/>
          <w:spacing w:val="-8"/>
          <w:sz w:val="18"/>
          <w:szCs w:val="18"/>
          <w:lang w:val="es-ES_tradnl"/>
        </w:rPr>
        <w:t>í</w:t>
      </w:r>
      <w:r>
        <w:rPr>
          <w:spacing w:val="-8"/>
          <w:sz w:val="18"/>
          <w:szCs w:val="18"/>
          <w:lang w:val="es-ES_tradnl"/>
        </w:rPr>
        <w:t xml:space="preserve">as jurisdiccionales les corresponde </w:t>
      </w:r>
      <w:r>
        <w:rPr>
          <w:spacing w:val="-3"/>
          <w:sz w:val="18"/>
          <w:szCs w:val="18"/>
          <w:lang w:val="es-ES_tradnl"/>
        </w:rPr>
        <w:t xml:space="preserve">a las juezas y jueces dar cumplimiento a lo establecido </w:t>
      </w:r>
      <w:r>
        <w:rPr>
          <w:spacing w:val="-5"/>
          <w:sz w:val="18"/>
          <w:szCs w:val="18"/>
          <w:lang w:val="es-ES_tradnl"/>
        </w:rPr>
        <w:t>en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blica, la Ley Org</w:t>
      </w:r>
      <w:r>
        <w:rPr>
          <w:rFonts w:cs="Times New Roman"/>
          <w:spacing w:val="-5"/>
          <w:sz w:val="18"/>
          <w:szCs w:val="18"/>
          <w:lang w:val="es-ES_tradnl"/>
        </w:rPr>
        <w:t>á</w:t>
      </w:r>
      <w:r>
        <w:rPr>
          <w:spacing w:val="-5"/>
          <w:sz w:val="18"/>
          <w:szCs w:val="18"/>
          <w:lang w:val="es-ES_tradnl"/>
        </w:rPr>
        <w:t xml:space="preserve">nica de </w:t>
      </w:r>
      <w:r>
        <w:rPr>
          <w:spacing w:val="-3"/>
          <w:sz w:val="18"/>
          <w:szCs w:val="18"/>
          <w:lang w:val="es-ES_tradnl"/>
        </w:rPr>
        <w:t>Garant</w:t>
      </w:r>
      <w:r>
        <w:rPr>
          <w:rFonts w:cs="Times New Roman"/>
          <w:spacing w:val="-3"/>
          <w:sz w:val="18"/>
          <w:szCs w:val="18"/>
          <w:lang w:val="es-ES_tradnl"/>
        </w:rPr>
        <w:t>í</w:t>
      </w:r>
      <w:r>
        <w:rPr>
          <w:spacing w:val="-3"/>
          <w:sz w:val="18"/>
          <w:szCs w:val="18"/>
          <w:lang w:val="es-ES_tradnl"/>
        </w:rPr>
        <w:t xml:space="preserve">as Jurisdiccionales y Control Constitucional y a los pronunciamientos de la Corte Constitucional, pues </w:t>
      </w:r>
      <w:r>
        <w:rPr>
          <w:spacing w:val="-7"/>
          <w:sz w:val="18"/>
          <w:szCs w:val="18"/>
          <w:lang w:val="es-ES_tradnl"/>
        </w:rPr>
        <w:t>para garantizar la seguridad jur</w:t>
      </w:r>
      <w:r>
        <w:rPr>
          <w:rFonts w:cs="Times New Roman"/>
          <w:spacing w:val="-7"/>
          <w:sz w:val="18"/>
          <w:szCs w:val="18"/>
          <w:lang w:val="es-ES_tradnl"/>
        </w:rPr>
        <w:t>í</w:t>
      </w:r>
      <w:r>
        <w:rPr>
          <w:spacing w:val="-7"/>
          <w:sz w:val="18"/>
          <w:szCs w:val="18"/>
          <w:lang w:val="es-ES_tradnl"/>
        </w:rPr>
        <w:t xml:space="preserve">dica dentro de un Estado </w:t>
      </w:r>
      <w:r>
        <w:rPr>
          <w:spacing w:val="-6"/>
          <w:sz w:val="18"/>
          <w:szCs w:val="18"/>
          <w:lang w:val="es-ES_tradnl"/>
        </w:rPr>
        <w:t xml:space="preserve">constitucional, existen los procedimientos y normas que </w:t>
      </w:r>
      <w:r>
        <w:rPr>
          <w:sz w:val="18"/>
          <w:szCs w:val="18"/>
          <w:lang w:val="es-ES_tradnl"/>
        </w:rPr>
        <w:t>corresponden a cada una de las acciones.</w:t>
      </w:r>
    </w:p>
    <w:p w14:paraId="4F67B818" w14:textId="77777777" w:rsidR="00591D54" w:rsidRDefault="00591D54">
      <w:pPr>
        <w:shd w:val="clear" w:color="auto" w:fill="FFFFFF"/>
        <w:spacing w:before="197" w:line="216" w:lineRule="exact"/>
        <w:ind w:right="5"/>
        <w:jc w:val="both"/>
      </w:pPr>
      <w:r>
        <w:rPr>
          <w:spacing w:val="-7"/>
          <w:sz w:val="18"/>
          <w:szCs w:val="18"/>
          <w:lang w:val="es-ES_tradnl"/>
        </w:rPr>
        <w:t>Por lo expuesto, la sentencia de mayor</w:t>
      </w:r>
      <w:r>
        <w:rPr>
          <w:rFonts w:cs="Times New Roman"/>
          <w:spacing w:val="-7"/>
          <w:sz w:val="18"/>
          <w:szCs w:val="18"/>
          <w:lang w:val="es-ES_tradnl"/>
        </w:rPr>
        <w:t>í</w:t>
      </w:r>
      <w:r>
        <w:rPr>
          <w:spacing w:val="-7"/>
          <w:sz w:val="18"/>
          <w:szCs w:val="18"/>
          <w:lang w:val="es-ES_tradnl"/>
        </w:rPr>
        <w:t xml:space="preserve">a dictada el 25 de </w:t>
      </w:r>
      <w:r>
        <w:rPr>
          <w:spacing w:val="-6"/>
          <w:sz w:val="18"/>
          <w:szCs w:val="18"/>
          <w:lang w:val="es-ES_tradnl"/>
        </w:rPr>
        <w:t>junio de 2010, por la Primera Sala de lo Laboral, Ni</w:t>
      </w:r>
      <w:r>
        <w:rPr>
          <w:rFonts w:cs="Times New Roman"/>
          <w:spacing w:val="-6"/>
          <w:sz w:val="18"/>
          <w:szCs w:val="18"/>
          <w:lang w:val="es-ES_tradnl"/>
        </w:rPr>
        <w:t>ñ</w:t>
      </w:r>
      <w:r>
        <w:rPr>
          <w:spacing w:val="-6"/>
          <w:sz w:val="18"/>
          <w:szCs w:val="18"/>
          <w:lang w:val="es-ES_tradnl"/>
        </w:rPr>
        <w:t xml:space="preserve">ez y </w:t>
      </w:r>
      <w:r>
        <w:rPr>
          <w:spacing w:val="-8"/>
          <w:sz w:val="18"/>
          <w:szCs w:val="18"/>
          <w:lang w:val="es-ES_tradnl"/>
        </w:rPr>
        <w:t>Adolescencia de la Corte Provincial de Justicia del Guayas, vulner</w:t>
      </w:r>
      <w:r>
        <w:rPr>
          <w:rFonts w:cs="Times New Roman"/>
          <w:spacing w:val="-8"/>
          <w:sz w:val="18"/>
          <w:szCs w:val="18"/>
          <w:lang w:val="es-ES_tradnl"/>
        </w:rPr>
        <w:t>ó</w:t>
      </w:r>
      <w:r>
        <w:rPr>
          <w:spacing w:val="-8"/>
          <w:sz w:val="18"/>
          <w:szCs w:val="18"/>
          <w:lang w:val="es-ES_tradnl"/>
        </w:rPr>
        <w:t xml:space="preserve"> el derecho a la seguridad jur</w:t>
      </w:r>
      <w:r>
        <w:rPr>
          <w:rFonts w:cs="Times New Roman"/>
          <w:spacing w:val="-8"/>
          <w:sz w:val="18"/>
          <w:szCs w:val="18"/>
          <w:lang w:val="es-ES_tradnl"/>
        </w:rPr>
        <w:t>í</w:t>
      </w:r>
      <w:r>
        <w:rPr>
          <w:spacing w:val="-8"/>
          <w:sz w:val="18"/>
          <w:szCs w:val="18"/>
          <w:lang w:val="es-ES_tradnl"/>
        </w:rPr>
        <w:t xml:space="preserve">dica, reconocido en el </w:t>
      </w:r>
      <w:r>
        <w:rPr>
          <w:spacing w:val="-7"/>
          <w:sz w:val="18"/>
          <w:szCs w:val="18"/>
          <w:lang w:val="es-ES_tradnl"/>
        </w:rPr>
        <w:t>art</w:t>
      </w:r>
      <w:r>
        <w:rPr>
          <w:rFonts w:cs="Times New Roman"/>
          <w:spacing w:val="-7"/>
          <w:sz w:val="18"/>
          <w:szCs w:val="18"/>
          <w:lang w:val="es-ES_tradnl"/>
        </w:rPr>
        <w:t>í</w:t>
      </w:r>
      <w:r>
        <w:rPr>
          <w:spacing w:val="-7"/>
          <w:sz w:val="18"/>
          <w:szCs w:val="18"/>
          <w:lang w:val="es-ES_tradnl"/>
        </w:rPr>
        <w:t>culo 82 de 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 xml:space="preserve">blica, pues se ha </w:t>
      </w:r>
      <w:r>
        <w:rPr>
          <w:spacing w:val="-10"/>
          <w:sz w:val="18"/>
          <w:szCs w:val="18"/>
          <w:lang w:val="es-ES_tradnl"/>
        </w:rPr>
        <w:t>desnaturalizado la acci</w:t>
      </w:r>
      <w:r>
        <w:rPr>
          <w:rFonts w:cs="Times New Roman"/>
          <w:spacing w:val="-10"/>
          <w:sz w:val="18"/>
          <w:szCs w:val="18"/>
          <w:lang w:val="es-ES_tradnl"/>
        </w:rPr>
        <w:t>ó</w:t>
      </w:r>
      <w:r>
        <w:rPr>
          <w:spacing w:val="-10"/>
          <w:sz w:val="18"/>
          <w:szCs w:val="18"/>
          <w:lang w:val="es-ES_tradnl"/>
        </w:rPr>
        <w:t>n de protecci</w:t>
      </w:r>
      <w:r>
        <w:rPr>
          <w:rFonts w:cs="Times New Roman"/>
          <w:spacing w:val="-10"/>
          <w:sz w:val="18"/>
          <w:szCs w:val="18"/>
          <w:lang w:val="es-ES_tradnl"/>
        </w:rPr>
        <w:t>ó</w:t>
      </w:r>
      <w:r>
        <w:rPr>
          <w:spacing w:val="-10"/>
          <w:sz w:val="18"/>
          <w:szCs w:val="18"/>
          <w:lang w:val="es-ES_tradnl"/>
        </w:rPr>
        <w:t xml:space="preserve">n al resolver aspectos </w:t>
      </w:r>
      <w:r>
        <w:rPr>
          <w:sz w:val="18"/>
          <w:szCs w:val="18"/>
          <w:lang w:val="es-ES_tradnl"/>
        </w:rPr>
        <w:t>que son ajenos a su objeto constitucional.</w:t>
      </w:r>
    </w:p>
    <w:p w14:paraId="4F67B819" w14:textId="77777777" w:rsidR="00591D54" w:rsidRDefault="00591D54">
      <w:pPr>
        <w:shd w:val="clear" w:color="auto" w:fill="FFFFFF"/>
        <w:spacing w:before="192"/>
        <w:ind w:right="5"/>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B81A" w14:textId="77777777" w:rsidR="00591D54" w:rsidRDefault="00591D54">
      <w:pPr>
        <w:shd w:val="clear" w:color="auto" w:fill="FFFFFF"/>
        <w:spacing w:before="192" w:line="216" w:lineRule="exact"/>
        <w:ind w:right="5"/>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2"/>
          <w:sz w:val="18"/>
          <w:szCs w:val="18"/>
          <w:lang w:val="es-ES_tradnl"/>
        </w:rPr>
        <w:t>constitucional y por mandato de la Constituci</w:t>
      </w:r>
      <w:r>
        <w:rPr>
          <w:rFonts w:cs="Times New Roman"/>
          <w:spacing w:val="-2"/>
          <w:sz w:val="18"/>
          <w:szCs w:val="18"/>
          <w:lang w:val="es-ES_tradnl"/>
        </w:rPr>
        <w:t>ó</w:t>
      </w:r>
      <w:r>
        <w:rPr>
          <w:spacing w:val="-2"/>
          <w:sz w:val="18"/>
          <w:szCs w:val="18"/>
          <w:lang w:val="es-ES_tradnl"/>
        </w:rPr>
        <w:t xml:space="preserve">n de </w:t>
      </w:r>
      <w:r>
        <w:rPr>
          <w:spacing w:val="-7"/>
          <w:sz w:val="18"/>
          <w:szCs w:val="18"/>
          <w:lang w:val="es-ES_tradnl"/>
        </w:rPr>
        <w:t>Rep</w:t>
      </w:r>
      <w:r>
        <w:rPr>
          <w:rFonts w:cs="Times New Roman"/>
          <w:spacing w:val="-7"/>
          <w:sz w:val="18"/>
          <w:szCs w:val="18"/>
          <w:lang w:val="es-ES_tradnl"/>
        </w:rPr>
        <w:t>ú</w:t>
      </w:r>
      <w:r>
        <w:rPr>
          <w:spacing w:val="-7"/>
          <w:sz w:val="18"/>
          <w:szCs w:val="18"/>
          <w:lang w:val="es-ES_tradnl"/>
        </w:rPr>
        <w:t xml:space="preserve">blica del Ecuador, el Pleno de la Corte Constitucional </w:t>
      </w:r>
      <w:r>
        <w:rPr>
          <w:sz w:val="18"/>
          <w:szCs w:val="18"/>
          <w:lang w:val="es-ES_tradnl"/>
        </w:rPr>
        <w:t>expide la siguiente</w:t>
      </w:r>
    </w:p>
    <w:p w14:paraId="4F67B81B" w14:textId="77777777" w:rsidR="00591D54" w:rsidRDefault="00591D54">
      <w:pPr>
        <w:shd w:val="clear" w:color="auto" w:fill="FFFFFF"/>
        <w:spacing w:before="192"/>
        <w:ind w:left="5"/>
        <w:jc w:val="center"/>
      </w:pPr>
      <w:r>
        <w:rPr>
          <w:b/>
          <w:bCs/>
          <w:sz w:val="18"/>
          <w:szCs w:val="18"/>
          <w:lang w:val="es-ES_tradnl"/>
        </w:rPr>
        <w:t>SENTENCIA</w:t>
      </w:r>
    </w:p>
    <w:p w14:paraId="4F67B81C" w14:textId="77777777" w:rsidR="00591D54" w:rsidRDefault="00591D54" w:rsidP="00251195">
      <w:pPr>
        <w:numPr>
          <w:ilvl w:val="0"/>
          <w:numId w:val="112"/>
        </w:numPr>
        <w:shd w:val="clear" w:color="auto" w:fill="FFFFFF"/>
        <w:tabs>
          <w:tab w:val="left" w:pos="566"/>
        </w:tabs>
        <w:spacing w:before="192" w:line="216" w:lineRule="exact"/>
        <w:ind w:left="566" w:right="5" w:hanging="283"/>
        <w:jc w:val="both"/>
        <w:rPr>
          <w:spacing w:val="-11"/>
          <w:sz w:val="18"/>
          <w:szCs w:val="18"/>
          <w:lang w:val="es-ES_tradnl"/>
        </w:rPr>
      </w:pPr>
      <w:r>
        <w:rPr>
          <w:spacing w:val="-8"/>
          <w:sz w:val="18"/>
          <w:szCs w:val="18"/>
          <w:lang w:val="es-ES_tradnl"/>
        </w:rPr>
        <w:t xml:space="preserve">Declarar que se ha vulnerado el derecho al debido </w:t>
      </w:r>
      <w:r>
        <w:rPr>
          <w:spacing w:val="-10"/>
          <w:sz w:val="18"/>
          <w:szCs w:val="18"/>
          <w:lang w:val="es-ES_tradnl"/>
        </w:rPr>
        <w:t>proceso en la garant</w:t>
      </w:r>
      <w:r>
        <w:rPr>
          <w:rFonts w:cs="Times New Roman"/>
          <w:spacing w:val="-10"/>
          <w:sz w:val="18"/>
          <w:szCs w:val="18"/>
          <w:lang w:val="es-ES_tradnl"/>
        </w:rPr>
        <w:t>í</w:t>
      </w:r>
      <w:r>
        <w:rPr>
          <w:spacing w:val="-10"/>
          <w:sz w:val="18"/>
          <w:szCs w:val="18"/>
          <w:lang w:val="es-ES_tradnl"/>
        </w:rPr>
        <w:t>a de la motivaci</w:t>
      </w:r>
      <w:r>
        <w:rPr>
          <w:rFonts w:cs="Times New Roman"/>
          <w:spacing w:val="-10"/>
          <w:sz w:val="18"/>
          <w:szCs w:val="18"/>
          <w:lang w:val="es-ES_tradnl"/>
        </w:rPr>
        <w:t>ó</w:t>
      </w:r>
      <w:r>
        <w:rPr>
          <w:spacing w:val="-10"/>
          <w:sz w:val="18"/>
          <w:szCs w:val="18"/>
          <w:lang w:val="es-ES_tradnl"/>
        </w:rPr>
        <w:t xml:space="preserve">n, y el derecho </w:t>
      </w:r>
      <w:r>
        <w:rPr>
          <w:spacing w:val="-7"/>
          <w:sz w:val="18"/>
          <w:szCs w:val="18"/>
          <w:lang w:val="es-ES_tradnl"/>
        </w:rPr>
        <w:t>a la seguridad jur</w:t>
      </w:r>
      <w:r>
        <w:rPr>
          <w:rFonts w:cs="Times New Roman"/>
          <w:spacing w:val="-7"/>
          <w:sz w:val="18"/>
          <w:szCs w:val="18"/>
          <w:lang w:val="es-ES_tradnl"/>
        </w:rPr>
        <w:t>í</w:t>
      </w:r>
      <w:r>
        <w:rPr>
          <w:spacing w:val="-7"/>
          <w:sz w:val="18"/>
          <w:szCs w:val="18"/>
          <w:lang w:val="es-ES_tradnl"/>
        </w:rPr>
        <w:t>dica, contenidos en los art</w:t>
      </w:r>
      <w:r>
        <w:rPr>
          <w:rFonts w:cs="Times New Roman"/>
          <w:spacing w:val="-7"/>
          <w:sz w:val="18"/>
          <w:szCs w:val="18"/>
          <w:lang w:val="es-ES_tradnl"/>
        </w:rPr>
        <w:t>í</w:t>
      </w:r>
      <w:r>
        <w:rPr>
          <w:spacing w:val="-7"/>
          <w:sz w:val="18"/>
          <w:szCs w:val="18"/>
          <w:lang w:val="es-ES_tradnl"/>
        </w:rPr>
        <w:t xml:space="preserve">culos </w:t>
      </w:r>
      <w:r>
        <w:rPr>
          <w:spacing w:val="-6"/>
          <w:sz w:val="18"/>
          <w:szCs w:val="18"/>
          <w:lang w:val="es-ES_tradnl"/>
        </w:rPr>
        <w:t xml:space="preserve">76 numeral 7 literal </w:t>
      </w:r>
      <w:r>
        <w:rPr>
          <w:b/>
          <w:bCs/>
          <w:spacing w:val="-6"/>
          <w:sz w:val="18"/>
          <w:szCs w:val="18"/>
          <w:lang w:val="es-ES_tradnl"/>
        </w:rPr>
        <w:t>l</w:t>
      </w:r>
      <w:r>
        <w:rPr>
          <w:spacing w:val="-6"/>
          <w:sz w:val="18"/>
          <w:szCs w:val="18"/>
          <w:lang w:val="es-ES_tradnl"/>
        </w:rPr>
        <w:t>, y 82 de la Constituci</w:t>
      </w:r>
      <w:r>
        <w:rPr>
          <w:rFonts w:cs="Times New Roman"/>
          <w:spacing w:val="-6"/>
          <w:sz w:val="18"/>
          <w:szCs w:val="18"/>
          <w:lang w:val="es-ES_tradnl"/>
        </w:rPr>
        <w:t>ó</w:t>
      </w:r>
      <w:r>
        <w:rPr>
          <w:spacing w:val="-6"/>
          <w:sz w:val="18"/>
          <w:szCs w:val="18"/>
          <w:lang w:val="es-ES_tradnl"/>
        </w:rPr>
        <w:t xml:space="preserve">n de la </w:t>
      </w:r>
      <w:r>
        <w:rPr>
          <w:sz w:val="18"/>
          <w:szCs w:val="18"/>
          <w:lang w:val="es-ES_tradnl"/>
        </w:rPr>
        <w:t>Rep</w:t>
      </w:r>
      <w:r>
        <w:rPr>
          <w:rFonts w:cs="Times New Roman"/>
          <w:sz w:val="18"/>
          <w:szCs w:val="18"/>
          <w:lang w:val="es-ES_tradnl"/>
        </w:rPr>
        <w:t>ú</w:t>
      </w:r>
      <w:r>
        <w:rPr>
          <w:sz w:val="18"/>
          <w:szCs w:val="18"/>
          <w:lang w:val="es-ES_tradnl"/>
        </w:rPr>
        <w:t>blica, respectivamente.</w:t>
      </w:r>
    </w:p>
    <w:p w14:paraId="4F67B81D" w14:textId="77777777" w:rsidR="00591D54" w:rsidRDefault="00591D54" w:rsidP="00251195">
      <w:pPr>
        <w:numPr>
          <w:ilvl w:val="0"/>
          <w:numId w:val="112"/>
        </w:numPr>
        <w:shd w:val="clear" w:color="auto" w:fill="FFFFFF"/>
        <w:tabs>
          <w:tab w:val="left" w:pos="566"/>
        </w:tabs>
        <w:spacing w:before="192"/>
        <w:ind w:left="283"/>
        <w:rPr>
          <w:spacing w:val="-11"/>
          <w:sz w:val="18"/>
          <w:szCs w:val="18"/>
          <w:lang w:val="es-ES_tradnl"/>
        </w:rPr>
      </w:pPr>
      <w:r>
        <w:rPr>
          <w:spacing w:val="-6"/>
          <w:sz w:val="18"/>
          <w:szCs w:val="18"/>
          <w:lang w:val="es-ES_tradnl"/>
        </w:rPr>
        <w:t>Aceptar la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n.</w:t>
      </w:r>
    </w:p>
    <w:p w14:paraId="4F67B81E" w14:textId="77777777" w:rsidR="00591D54" w:rsidRDefault="00591D54" w:rsidP="00251195">
      <w:pPr>
        <w:numPr>
          <w:ilvl w:val="0"/>
          <w:numId w:val="112"/>
        </w:numPr>
        <w:shd w:val="clear" w:color="auto" w:fill="FFFFFF"/>
        <w:tabs>
          <w:tab w:val="left" w:pos="566"/>
        </w:tabs>
        <w:spacing w:before="197"/>
        <w:ind w:left="283"/>
        <w:rPr>
          <w:spacing w:val="-11"/>
          <w:sz w:val="18"/>
          <w:szCs w:val="18"/>
          <w:lang w:val="es-ES_tradnl"/>
        </w:rPr>
      </w:pPr>
      <w:r>
        <w:rPr>
          <w:spacing w:val="-8"/>
          <w:sz w:val="18"/>
          <w:szCs w:val="18"/>
          <w:lang w:val="es-ES_tradnl"/>
        </w:rPr>
        <w:t>Como medida de reparaci</w:t>
      </w:r>
      <w:r>
        <w:rPr>
          <w:rFonts w:cs="Times New Roman"/>
          <w:spacing w:val="-8"/>
          <w:sz w:val="18"/>
          <w:szCs w:val="18"/>
          <w:lang w:val="es-ES_tradnl"/>
        </w:rPr>
        <w:t>ó</w:t>
      </w:r>
      <w:r>
        <w:rPr>
          <w:spacing w:val="-8"/>
          <w:sz w:val="18"/>
          <w:szCs w:val="18"/>
          <w:lang w:val="es-ES_tradnl"/>
        </w:rPr>
        <w:t>n integral se dispone:</w:t>
      </w:r>
    </w:p>
    <w:p w14:paraId="4F67B81F" w14:textId="77777777" w:rsidR="00591D54" w:rsidRDefault="00591D54">
      <w:pPr>
        <w:rPr>
          <w:rFonts w:cs="Times New Roman"/>
          <w:sz w:val="2"/>
          <w:szCs w:val="2"/>
        </w:rPr>
      </w:pPr>
    </w:p>
    <w:p w14:paraId="4F67B820" w14:textId="77777777" w:rsidR="00591D54" w:rsidRDefault="00591D54" w:rsidP="00251195">
      <w:pPr>
        <w:numPr>
          <w:ilvl w:val="0"/>
          <w:numId w:val="113"/>
        </w:numPr>
        <w:shd w:val="clear" w:color="auto" w:fill="FFFFFF"/>
        <w:tabs>
          <w:tab w:val="left" w:pos="883"/>
        </w:tabs>
        <w:spacing w:before="197" w:line="216" w:lineRule="exact"/>
        <w:ind w:left="566"/>
        <w:jc w:val="both"/>
        <w:rPr>
          <w:spacing w:val="-11"/>
          <w:sz w:val="18"/>
          <w:szCs w:val="18"/>
          <w:lang w:val="es-ES_tradnl"/>
        </w:rPr>
      </w:pPr>
      <w:r>
        <w:rPr>
          <w:spacing w:val="-2"/>
          <w:sz w:val="18"/>
          <w:szCs w:val="18"/>
          <w:lang w:val="es-ES_tradnl"/>
        </w:rPr>
        <w:t>Dejar sin efecto la sentencia de mayor</w:t>
      </w:r>
      <w:r>
        <w:rPr>
          <w:rFonts w:cs="Times New Roman"/>
          <w:spacing w:val="-2"/>
          <w:sz w:val="18"/>
          <w:szCs w:val="18"/>
          <w:lang w:val="es-ES_tradnl"/>
        </w:rPr>
        <w:t>í</w:t>
      </w:r>
      <w:r>
        <w:rPr>
          <w:spacing w:val="-2"/>
          <w:sz w:val="18"/>
          <w:szCs w:val="18"/>
          <w:lang w:val="es-ES_tradnl"/>
        </w:rPr>
        <w:t xml:space="preserve">a </w:t>
      </w:r>
      <w:r>
        <w:rPr>
          <w:spacing w:val="-6"/>
          <w:sz w:val="18"/>
          <w:szCs w:val="18"/>
          <w:lang w:val="es-ES_tradnl"/>
        </w:rPr>
        <w:t>dictada por la Primera Sala de lo Laboral, Ni</w:t>
      </w:r>
      <w:r>
        <w:rPr>
          <w:rFonts w:cs="Times New Roman"/>
          <w:spacing w:val="-6"/>
          <w:sz w:val="18"/>
          <w:szCs w:val="18"/>
          <w:lang w:val="es-ES_tradnl"/>
        </w:rPr>
        <w:t>ñ</w:t>
      </w:r>
      <w:r>
        <w:rPr>
          <w:spacing w:val="-6"/>
          <w:sz w:val="18"/>
          <w:szCs w:val="18"/>
          <w:lang w:val="es-ES_tradnl"/>
        </w:rPr>
        <w:t xml:space="preserve">ez y </w:t>
      </w:r>
      <w:r>
        <w:rPr>
          <w:spacing w:val="-7"/>
          <w:sz w:val="18"/>
          <w:szCs w:val="18"/>
          <w:lang w:val="es-ES_tradnl"/>
        </w:rPr>
        <w:t xml:space="preserve">Adolescencia de la Corte Provincial de Justicia del </w:t>
      </w:r>
      <w:r>
        <w:rPr>
          <w:spacing w:val="-9"/>
          <w:sz w:val="18"/>
          <w:szCs w:val="18"/>
          <w:lang w:val="es-ES_tradnl"/>
        </w:rPr>
        <w:t xml:space="preserve">Guayas del 25 de junio de 2010 a las 09h44, dentro </w:t>
      </w:r>
      <w:r>
        <w:rPr>
          <w:spacing w:val="-7"/>
          <w:sz w:val="18"/>
          <w:szCs w:val="18"/>
          <w:lang w:val="es-ES_tradnl"/>
        </w:rPr>
        <w:t>de la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n N.</w:t>
      </w:r>
      <w:r>
        <w:rPr>
          <w:rFonts w:cs="Times New Roman"/>
          <w:spacing w:val="-7"/>
          <w:sz w:val="18"/>
          <w:szCs w:val="18"/>
          <w:lang w:val="es-ES_tradnl"/>
        </w:rPr>
        <w:t>°</w:t>
      </w:r>
      <w:r>
        <w:rPr>
          <w:spacing w:val="-7"/>
          <w:sz w:val="18"/>
          <w:szCs w:val="18"/>
          <w:lang w:val="es-ES_tradnl"/>
        </w:rPr>
        <w:t xml:space="preserve"> 111-2010.</w:t>
      </w:r>
    </w:p>
    <w:p w14:paraId="4F67B821" w14:textId="77777777" w:rsidR="00591D54" w:rsidRDefault="00591D54" w:rsidP="00251195">
      <w:pPr>
        <w:numPr>
          <w:ilvl w:val="0"/>
          <w:numId w:val="113"/>
        </w:numPr>
        <w:shd w:val="clear" w:color="auto" w:fill="FFFFFF"/>
        <w:tabs>
          <w:tab w:val="left" w:pos="883"/>
        </w:tabs>
        <w:spacing w:before="197" w:line="216" w:lineRule="exact"/>
        <w:ind w:left="566" w:right="5"/>
        <w:jc w:val="both"/>
        <w:rPr>
          <w:spacing w:val="-11"/>
          <w:sz w:val="18"/>
          <w:szCs w:val="18"/>
          <w:lang w:val="es-ES_tradnl"/>
        </w:rPr>
      </w:pPr>
      <w:r>
        <w:rPr>
          <w:spacing w:val="-6"/>
          <w:sz w:val="18"/>
          <w:szCs w:val="18"/>
          <w:lang w:val="es-ES_tradnl"/>
        </w:rPr>
        <w:t xml:space="preserve">Dejar en firme la sentencia expedida por el Juzgado Tercero de lo Civil del Guayas el 22 de </w:t>
      </w:r>
      <w:r>
        <w:rPr>
          <w:sz w:val="18"/>
          <w:szCs w:val="18"/>
          <w:lang w:val="es-ES_tradnl"/>
        </w:rPr>
        <w:t>enero de 2010.</w:t>
      </w:r>
    </w:p>
    <w:p w14:paraId="4F67B822" w14:textId="77777777" w:rsidR="00591D54" w:rsidRDefault="00591D54">
      <w:pPr>
        <w:shd w:val="clear" w:color="auto" w:fill="FFFFFF"/>
        <w:tabs>
          <w:tab w:val="left" w:pos="566"/>
        </w:tabs>
        <w:spacing w:before="197"/>
        <w:ind w:left="283"/>
      </w:pPr>
      <w:r>
        <w:rPr>
          <w:spacing w:val="-11"/>
          <w:sz w:val="18"/>
          <w:szCs w:val="18"/>
          <w:lang w:val="es-ES_tradnl"/>
        </w:rPr>
        <w:t>4.</w:t>
      </w:r>
      <w:r>
        <w:rPr>
          <w:sz w:val="18"/>
          <w:szCs w:val="18"/>
          <w:lang w:val="es-ES_tradnl"/>
        </w:rPr>
        <w:tab/>
      </w:r>
      <w:r>
        <w:rPr>
          <w:spacing w:val="-7"/>
          <w:sz w:val="18"/>
          <w:szCs w:val="18"/>
          <w:lang w:val="es-ES_tradnl"/>
        </w:rPr>
        <w:t>Notif</w:t>
      </w:r>
      <w:r>
        <w:rPr>
          <w:rFonts w:cs="Times New Roman"/>
          <w:spacing w:val="-7"/>
          <w:sz w:val="18"/>
          <w:szCs w:val="18"/>
          <w:lang w:val="es-ES_tradnl"/>
        </w:rPr>
        <w:t>í</w:t>
      </w:r>
      <w:r>
        <w:rPr>
          <w:spacing w:val="-7"/>
          <w:sz w:val="18"/>
          <w:szCs w:val="18"/>
          <w:lang w:val="es-ES_tradnl"/>
        </w:rPr>
        <w:t>quese, publ</w:t>
      </w:r>
      <w:r>
        <w:rPr>
          <w:rFonts w:cs="Times New Roman"/>
          <w:spacing w:val="-7"/>
          <w:sz w:val="18"/>
          <w:szCs w:val="18"/>
          <w:lang w:val="es-ES_tradnl"/>
        </w:rPr>
        <w:t>í</w:t>
      </w:r>
      <w:r>
        <w:rPr>
          <w:spacing w:val="-7"/>
          <w:sz w:val="18"/>
          <w:szCs w:val="18"/>
          <w:lang w:val="es-ES_tradnl"/>
        </w:rPr>
        <w:t>quese y c</w:t>
      </w:r>
      <w:r>
        <w:rPr>
          <w:rFonts w:cs="Times New Roman"/>
          <w:spacing w:val="-7"/>
          <w:sz w:val="18"/>
          <w:szCs w:val="18"/>
          <w:lang w:val="es-ES_tradnl"/>
        </w:rPr>
        <w:t>ú</w:t>
      </w:r>
      <w:r>
        <w:rPr>
          <w:spacing w:val="-7"/>
          <w:sz w:val="18"/>
          <w:szCs w:val="18"/>
          <w:lang w:val="es-ES_tradnl"/>
        </w:rPr>
        <w:t>mplase.</w:t>
      </w:r>
    </w:p>
    <w:p w14:paraId="4F67B823" w14:textId="77777777" w:rsidR="00591D54" w:rsidRDefault="00591D54">
      <w:pPr>
        <w:shd w:val="clear" w:color="auto" w:fill="FFFFFF"/>
        <w:spacing w:before="192"/>
      </w:pPr>
      <w:r>
        <w:rPr>
          <w:spacing w:val="-4"/>
          <w:sz w:val="18"/>
          <w:szCs w:val="18"/>
          <w:lang w:val="es-ES_tradnl"/>
        </w:rPr>
        <w:t>f.) Patricio Pazmi</w:t>
      </w:r>
      <w:r>
        <w:rPr>
          <w:rFonts w:cs="Times New Roman"/>
          <w:spacing w:val="-4"/>
          <w:sz w:val="18"/>
          <w:szCs w:val="18"/>
          <w:lang w:val="es-ES_tradnl"/>
        </w:rPr>
        <w:t>ñ</w:t>
      </w:r>
      <w:r>
        <w:rPr>
          <w:spacing w:val="-4"/>
          <w:sz w:val="18"/>
          <w:szCs w:val="18"/>
          <w:lang w:val="es-ES_tradnl"/>
        </w:rPr>
        <w:t xml:space="preserve">o Freire, </w:t>
      </w:r>
      <w:r>
        <w:rPr>
          <w:b/>
          <w:bCs/>
          <w:spacing w:val="-4"/>
          <w:sz w:val="18"/>
          <w:szCs w:val="18"/>
          <w:lang w:val="es-ES_tradnl"/>
        </w:rPr>
        <w:t>PRESIDENTE.</w:t>
      </w:r>
    </w:p>
    <w:p w14:paraId="4F67B824" w14:textId="77777777" w:rsidR="00591D54" w:rsidRDefault="00591D54">
      <w:pPr>
        <w:shd w:val="clear" w:color="auto" w:fill="FFFFFF"/>
        <w:spacing w:before="192" w:line="216" w:lineRule="exact"/>
        <w:ind w:right="5"/>
        <w:jc w:val="both"/>
      </w:pPr>
      <w:r>
        <w:rPr>
          <w:spacing w:val="-1"/>
          <w:sz w:val="18"/>
          <w:szCs w:val="18"/>
          <w:lang w:val="es-ES_tradnl"/>
        </w:rPr>
        <w:t>f.) Pa</w:t>
      </w:r>
      <w:r>
        <w:rPr>
          <w:rFonts w:cs="Times New Roman"/>
          <w:spacing w:val="-1"/>
          <w:sz w:val="18"/>
          <w:szCs w:val="18"/>
          <w:lang w:val="es-ES_tradnl"/>
        </w:rPr>
        <w:t>ú</w:t>
      </w:r>
      <w:r>
        <w:rPr>
          <w:spacing w:val="-1"/>
          <w:sz w:val="18"/>
          <w:szCs w:val="18"/>
          <w:lang w:val="es-ES_tradnl"/>
        </w:rPr>
        <w:t xml:space="preserve">l Emilio Prado Chiriboga, </w:t>
      </w:r>
      <w:r>
        <w:rPr>
          <w:b/>
          <w:bCs/>
          <w:spacing w:val="-1"/>
          <w:sz w:val="18"/>
          <w:szCs w:val="18"/>
          <w:lang w:val="es-ES_tradnl"/>
        </w:rPr>
        <w:t xml:space="preserve">SECRETARIO </w:t>
      </w:r>
      <w:r>
        <w:rPr>
          <w:b/>
          <w:bCs/>
          <w:sz w:val="18"/>
          <w:szCs w:val="18"/>
          <w:lang w:val="es-ES_tradnl"/>
        </w:rPr>
        <w:t>GENERAL (E).</w:t>
      </w:r>
    </w:p>
    <w:p w14:paraId="4F67B825" w14:textId="77777777" w:rsidR="00591D54" w:rsidRDefault="00591D54">
      <w:pPr>
        <w:shd w:val="clear" w:color="auto" w:fill="FFFFFF"/>
        <w:spacing w:before="192" w:line="216" w:lineRule="exact"/>
        <w:jc w:val="both"/>
      </w:pPr>
      <w:r>
        <w:rPr>
          <w:b/>
          <w:bCs/>
          <w:spacing w:val="-4"/>
          <w:sz w:val="18"/>
          <w:szCs w:val="18"/>
          <w:lang w:val="es-ES_tradnl"/>
        </w:rPr>
        <w:t>RAZ</w:t>
      </w:r>
      <w:r>
        <w:rPr>
          <w:rFonts w:cs="Times New Roman"/>
          <w:b/>
          <w:bCs/>
          <w:spacing w:val="-4"/>
          <w:sz w:val="18"/>
          <w:szCs w:val="18"/>
          <w:lang w:val="es-ES_tradnl"/>
        </w:rPr>
        <w:t>Ó</w:t>
      </w:r>
      <w:r>
        <w:rPr>
          <w:b/>
          <w:bCs/>
          <w:spacing w:val="-4"/>
          <w:sz w:val="18"/>
          <w:szCs w:val="18"/>
          <w:lang w:val="es-ES_tradnl"/>
        </w:rPr>
        <w:t xml:space="preserve">N.- </w:t>
      </w:r>
      <w:r>
        <w:rPr>
          <w:spacing w:val="-4"/>
          <w:sz w:val="18"/>
          <w:szCs w:val="18"/>
          <w:lang w:val="es-ES_tradnl"/>
        </w:rPr>
        <w:t xml:space="preserve">Siento por tal, que la sentencia que antecede </w:t>
      </w:r>
      <w:r>
        <w:rPr>
          <w:spacing w:val="-7"/>
          <w:sz w:val="18"/>
          <w:szCs w:val="18"/>
          <w:lang w:val="es-ES_tradnl"/>
        </w:rPr>
        <w:t xml:space="preserve">fue aprobada por el Pleno de la Corte Constitucional, con </w:t>
      </w:r>
      <w:r>
        <w:rPr>
          <w:spacing w:val="-10"/>
          <w:sz w:val="18"/>
          <w:szCs w:val="18"/>
          <w:lang w:val="es-ES_tradnl"/>
        </w:rPr>
        <w:t>siete votos de las se</w:t>
      </w:r>
      <w:r>
        <w:rPr>
          <w:rFonts w:cs="Times New Roman"/>
          <w:spacing w:val="-10"/>
          <w:sz w:val="18"/>
          <w:szCs w:val="18"/>
          <w:lang w:val="es-ES_tradnl"/>
        </w:rPr>
        <w:t>ñ</w:t>
      </w:r>
      <w:r>
        <w:rPr>
          <w:spacing w:val="-10"/>
          <w:sz w:val="18"/>
          <w:szCs w:val="18"/>
          <w:lang w:val="es-ES_tradnl"/>
        </w:rPr>
        <w:t>oras juezas y se</w:t>
      </w:r>
      <w:r>
        <w:rPr>
          <w:rFonts w:cs="Times New Roman"/>
          <w:spacing w:val="-10"/>
          <w:sz w:val="18"/>
          <w:szCs w:val="18"/>
          <w:lang w:val="es-ES_tradnl"/>
        </w:rPr>
        <w:t>ñ</w:t>
      </w:r>
      <w:r>
        <w:rPr>
          <w:spacing w:val="-10"/>
          <w:sz w:val="18"/>
          <w:szCs w:val="18"/>
          <w:lang w:val="es-ES_tradnl"/>
        </w:rPr>
        <w:t xml:space="preserve">ores jueces: Antonio </w:t>
      </w:r>
      <w:r>
        <w:rPr>
          <w:spacing w:val="-7"/>
          <w:sz w:val="18"/>
          <w:szCs w:val="18"/>
          <w:lang w:val="es-ES_tradnl"/>
        </w:rPr>
        <w:t>Gagliardo Loor, Marcelo Jaramillo Villa, Mar</w:t>
      </w:r>
      <w:r>
        <w:rPr>
          <w:rFonts w:cs="Times New Roman"/>
          <w:spacing w:val="-7"/>
          <w:sz w:val="18"/>
          <w:szCs w:val="18"/>
          <w:lang w:val="es-ES_tradnl"/>
        </w:rPr>
        <w:t>í</w:t>
      </w:r>
      <w:r>
        <w:rPr>
          <w:spacing w:val="-7"/>
          <w:sz w:val="18"/>
          <w:szCs w:val="18"/>
          <w:lang w:val="es-ES_tradnl"/>
        </w:rPr>
        <w:t>a del Carmen</w:t>
      </w:r>
    </w:p>
    <w:p w14:paraId="4F67B826" w14:textId="77777777" w:rsidR="00591D54" w:rsidRDefault="00591D54">
      <w:pPr>
        <w:shd w:val="clear" w:color="auto" w:fill="FFFFFF"/>
        <w:spacing w:line="216" w:lineRule="exact"/>
        <w:jc w:val="both"/>
      </w:pPr>
      <w:r>
        <w:br w:type="column"/>
      </w:r>
      <w:r>
        <w:rPr>
          <w:spacing w:val="-5"/>
          <w:sz w:val="18"/>
          <w:szCs w:val="18"/>
          <w:lang w:val="es-ES_tradnl"/>
        </w:rPr>
        <w:t>Maldonado S</w:t>
      </w:r>
      <w:r>
        <w:rPr>
          <w:rFonts w:cs="Times New Roman"/>
          <w:spacing w:val="-5"/>
          <w:sz w:val="18"/>
          <w:szCs w:val="18"/>
          <w:lang w:val="es-ES_tradnl"/>
        </w:rPr>
        <w:t>á</w:t>
      </w:r>
      <w:r>
        <w:rPr>
          <w:spacing w:val="-5"/>
          <w:sz w:val="18"/>
          <w:szCs w:val="18"/>
          <w:lang w:val="es-ES_tradnl"/>
        </w:rPr>
        <w:t>nchez, Alfredo Ruiz Guzm</w:t>
      </w:r>
      <w:r>
        <w:rPr>
          <w:rFonts w:cs="Times New Roman"/>
          <w:spacing w:val="-5"/>
          <w:sz w:val="18"/>
          <w:szCs w:val="18"/>
          <w:lang w:val="es-ES_tradnl"/>
        </w:rPr>
        <w:t>á</w:t>
      </w:r>
      <w:r>
        <w:rPr>
          <w:spacing w:val="-5"/>
          <w:sz w:val="18"/>
          <w:szCs w:val="18"/>
          <w:lang w:val="es-ES_tradnl"/>
        </w:rPr>
        <w:t xml:space="preserve">n, Ruth Seni </w:t>
      </w:r>
      <w:r>
        <w:rPr>
          <w:spacing w:val="-1"/>
          <w:sz w:val="18"/>
          <w:szCs w:val="18"/>
          <w:lang w:val="es-ES_tradnl"/>
        </w:rPr>
        <w:t>Pinoargote, Manuel Viteri Olvera y Patricio Pazmi</w:t>
      </w:r>
      <w:r>
        <w:rPr>
          <w:rFonts w:cs="Times New Roman"/>
          <w:spacing w:val="-1"/>
          <w:sz w:val="18"/>
          <w:szCs w:val="18"/>
          <w:lang w:val="es-ES_tradnl"/>
        </w:rPr>
        <w:t>ñ</w:t>
      </w:r>
      <w:r>
        <w:rPr>
          <w:spacing w:val="-1"/>
          <w:sz w:val="18"/>
          <w:szCs w:val="18"/>
          <w:lang w:val="es-ES_tradnl"/>
        </w:rPr>
        <w:t xml:space="preserve">o </w:t>
      </w:r>
      <w:r>
        <w:rPr>
          <w:spacing w:val="-7"/>
          <w:sz w:val="18"/>
          <w:szCs w:val="18"/>
          <w:lang w:val="es-ES_tradnl"/>
        </w:rPr>
        <w:t>Freire; sin contar con la presencia de las juezas Wendy Molina Andrade y Tatiana Orde</w:t>
      </w:r>
      <w:r>
        <w:rPr>
          <w:rFonts w:cs="Times New Roman"/>
          <w:spacing w:val="-7"/>
          <w:sz w:val="18"/>
          <w:szCs w:val="18"/>
          <w:lang w:val="es-ES_tradnl"/>
        </w:rPr>
        <w:t>ñ</w:t>
      </w:r>
      <w:r>
        <w:rPr>
          <w:spacing w:val="-7"/>
          <w:sz w:val="18"/>
          <w:szCs w:val="18"/>
          <w:lang w:val="es-ES_tradnl"/>
        </w:rPr>
        <w:t>ana Sierra, en sesi</w:t>
      </w:r>
      <w:r>
        <w:rPr>
          <w:rFonts w:cs="Times New Roman"/>
          <w:spacing w:val="-7"/>
          <w:sz w:val="18"/>
          <w:szCs w:val="18"/>
          <w:lang w:val="es-ES_tradnl"/>
        </w:rPr>
        <w:t>ó</w:t>
      </w:r>
      <w:r>
        <w:rPr>
          <w:spacing w:val="-7"/>
          <w:sz w:val="18"/>
          <w:szCs w:val="18"/>
          <w:lang w:val="es-ES_tradnl"/>
        </w:rPr>
        <w:t xml:space="preserve">n del </w:t>
      </w:r>
      <w:r>
        <w:rPr>
          <w:sz w:val="18"/>
          <w:szCs w:val="18"/>
          <w:lang w:val="es-ES_tradnl"/>
        </w:rPr>
        <w:t>26 de agosto de 2015. Lo certifico.</w:t>
      </w:r>
    </w:p>
    <w:p w14:paraId="4F67B827" w14:textId="77777777" w:rsidR="00591D54" w:rsidRDefault="00591D54">
      <w:pPr>
        <w:shd w:val="clear" w:color="auto" w:fill="FFFFFF"/>
        <w:spacing w:before="187" w:line="211" w:lineRule="exact"/>
        <w:jc w:val="both"/>
      </w:pPr>
      <w:r>
        <w:rPr>
          <w:spacing w:val="-1"/>
          <w:sz w:val="18"/>
          <w:szCs w:val="18"/>
          <w:lang w:val="es-ES_tradnl"/>
        </w:rPr>
        <w:t>f.) Pa</w:t>
      </w:r>
      <w:r>
        <w:rPr>
          <w:rFonts w:cs="Times New Roman"/>
          <w:spacing w:val="-1"/>
          <w:sz w:val="18"/>
          <w:szCs w:val="18"/>
          <w:lang w:val="es-ES_tradnl"/>
        </w:rPr>
        <w:t>ú</w:t>
      </w:r>
      <w:r>
        <w:rPr>
          <w:spacing w:val="-1"/>
          <w:sz w:val="18"/>
          <w:szCs w:val="18"/>
          <w:lang w:val="es-ES_tradnl"/>
        </w:rPr>
        <w:t xml:space="preserve">l Emilio Prado Chiriboga, </w:t>
      </w:r>
      <w:r>
        <w:rPr>
          <w:b/>
          <w:bCs/>
          <w:spacing w:val="-1"/>
          <w:sz w:val="18"/>
          <w:szCs w:val="18"/>
          <w:lang w:val="es-ES_tradnl"/>
        </w:rPr>
        <w:t xml:space="preserve">SECRETARIO </w:t>
      </w:r>
      <w:r>
        <w:rPr>
          <w:b/>
          <w:bCs/>
          <w:sz w:val="18"/>
          <w:szCs w:val="18"/>
          <w:lang w:val="es-ES_tradnl"/>
        </w:rPr>
        <w:t>GENERAL (E).</w:t>
      </w:r>
    </w:p>
    <w:p w14:paraId="4F67B828" w14:textId="77777777" w:rsidR="00591D54" w:rsidRDefault="00591D54">
      <w:pPr>
        <w:shd w:val="clear" w:color="auto" w:fill="FFFFFF"/>
        <w:spacing w:before="192"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829" w14:textId="77777777" w:rsidR="00591D54" w:rsidRDefault="00591D54">
      <w:pPr>
        <w:shd w:val="clear" w:color="auto" w:fill="FFFFFF"/>
        <w:spacing w:before="192"/>
      </w:pPr>
      <w:r>
        <w:rPr>
          <w:b/>
          <w:bCs/>
          <w:spacing w:val="-6"/>
          <w:sz w:val="18"/>
          <w:szCs w:val="18"/>
          <w:u w:val="single"/>
          <w:lang w:val="es-ES_tradnl"/>
        </w:rPr>
        <w:t>CASO Nro. 1120-10-EP</w:t>
      </w:r>
    </w:p>
    <w:p w14:paraId="4F67B82A" w14:textId="77777777" w:rsidR="00591D54" w:rsidRDefault="00591D54">
      <w:pPr>
        <w:shd w:val="clear" w:color="auto" w:fill="FFFFFF"/>
        <w:spacing w:before="192" w:line="216" w:lineRule="exact"/>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w:t>
      </w:r>
      <w:r>
        <w:rPr>
          <w:spacing w:val="-7"/>
          <w:sz w:val="18"/>
          <w:szCs w:val="18"/>
          <w:lang w:val="es-ES_tradnl"/>
        </w:rPr>
        <w:t>suscrita por el Juez Patricio Pazmi</w:t>
      </w:r>
      <w:r>
        <w:rPr>
          <w:rFonts w:cs="Times New Roman"/>
          <w:spacing w:val="-7"/>
          <w:sz w:val="18"/>
          <w:szCs w:val="18"/>
          <w:lang w:val="es-ES_tradnl"/>
        </w:rPr>
        <w:t>ñ</w:t>
      </w:r>
      <w:r>
        <w:rPr>
          <w:spacing w:val="-7"/>
          <w:sz w:val="18"/>
          <w:szCs w:val="18"/>
          <w:lang w:val="es-ES_tradnl"/>
        </w:rPr>
        <w:t xml:space="preserve">o Freire, Presidente de </w:t>
      </w:r>
      <w:r>
        <w:rPr>
          <w:spacing w:val="-8"/>
          <w:sz w:val="18"/>
          <w:szCs w:val="18"/>
          <w:lang w:val="es-ES_tradnl"/>
        </w:rPr>
        <w:t>la Corte Constitucional, el d</w:t>
      </w:r>
      <w:r>
        <w:rPr>
          <w:rFonts w:cs="Times New Roman"/>
          <w:spacing w:val="-8"/>
          <w:sz w:val="18"/>
          <w:szCs w:val="18"/>
          <w:lang w:val="es-ES_tradnl"/>
        </w:rPr>
        <w:t>í</w:t>
      </w:r>
      <w:r>
        <w:rPr>
          <w:spacing w:val="-8"/>
          <w:sz w:val="18"/>
          <w:szCs w:val="18"/>
          <w:lang w:val="es-ES_tradnl"/>
        </w:rPr>
        <w:t xml:space="preserve">a viernes 04 de septiembre del </w:t>
      </w:r>
      <w:r>
        <w:rPr>
          <w:sz w:val="18"/>
          <w:szCs w:val="18"/>
          <w:lang w:val="es-ES_tradnl"/>
        </w:rPr>
        <w:t>dos mil quince.- Lo certifico.</w:t>
      </w:r>
    </w:p>
    <w:p w14:paraId="4F67B82B" w14:textId="77777777" w:rsidR="00591D54" w:rsidRDefault="00591D54">
      <w:pPr>
        <w:shd w:val="clear" w:color="auto" w:fill="FFFFFF"/>
        <w:spacing w:before="192"/>
      </w:pPr>
      <w:r>
        <w:rPr>
          <w:spacing w:val="-4"/>
          <w:sz w:val="18"/>
          <w:szCs w:val="18"/>
          <w:lang w:val="es-ES_tradnl"/>
        </w:rPr>
        <w:t xml:space="preserve">f.) Jaime Pozo Chamorro, </w:t>
      </w:r>
      <w:r>
        <w:rPr>
          <w:b/>
          <w:bCs/>
          <w:spacing w:val="-4"/>
          <w:sz w:val="18"/>
          <w:szCs w:val="18"/>
          <w:lang w:val="es-ES_tradnl"/>
        </w:rPr>
        <w:t>SECRETARIO GENERAL.</w:t>
      </w:r>
    </w:p>
    <w:p w14:paraId="4F67B82C" w14:textId="77777777" w:rsidR="00591D54" w:rsidRDefault="00591D54">
      <w:pPr>
        <w:shd w:val="clear" w:color="auto" w:fill="FFFFFF"/>
        <w:spacing w:before="192"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82D" w14:textId="77777777" w:rsidR="00591D54" w:rsidRDefault="00591D54">
      <w:pPr>
        <w:shd w:val="clear" w:color="auto" w:fill="FFFFFF"/>
        <w:spacing w:before="1094" w:line="432" w:lineRule="exact"/>
      </w:pPr>
      <w:r>
        <w:rPr>
          <w:spacing w:val="-6"/>
          <w:sz w:val="18"/>
          <w:szCs w:val="18"/>
          <w:lang w:val="es-ES_tradnl"/>
        </w:rPr>
        <w:t>Quito, D. M., 26 de agosto del 2015</w:t>
      </w:r>
    </w:p>
    <w:p w14:paraId="4F67B82E" w14:textId="77777777" w:rsidR="00591D54" w:rsidRDefault="00591D54">
      <w:pPr>
        <w:shd w:val="clear" w:color="auto" w:fill="FFFFFF"/>
        <w:spacing w:line="432" w:lineRule="exact"/>
        <w:ind w:left="850"/>
      </w:pPr>
      <w:r>
        <w:rPr>
          <w:b/>
          <w:bCs/>
          <w:spacing w:val="-3"/>
          <w:sz w:val="18"/>
          <w:szCs w:val="18"/>
          <w:u w:val="single"/>
          <w:lang w:val="es-ES_tradnl"/>
        </w:rPr>
        <w:t>SENTENCIA N.</w:t>
      </w:r>
      <w:r>
        <w:rPr>
          <w:rFonts w:cs="Times New Roman"/>
          <w:b/>
          <w:bCs/>
          <w:spacing w:val="-3"/>
          <w:sz w:val="18"/>
          <w:szCs w:val="18"/>
          <w:u w:val="single"/>
          <w:lang w:val="es-ES_tradnl"/>
        </w:rPr>
        <w:t>º</w:t>
      </w:r>
      <w:r>
        <w:rPr>
          <w:b/>
          <w:bCs/>
          <w:spacing w:val="-3"/>
          <w:sz w:val="18"/>
          <w:szCs w:val="18"/>
          <w:u w:val="single"/>
          <w:lang w:val="es-ES_tradnl"/>
        </w:rPr>
        <w:t xml:space="preserve"> 276-15-SEP-CC</w:t>
      </w:r>
    </w:p>
    <w:p w14:paraId="4F67B82F" w14:textId="77777777" w:rsidR="00591D54" w:rsidRDefault="00591D54">
      <w:pPr>
        <w:shd w:val="clear" w:color="auto" w:fill="FFFFFF"/>
        <w:spacing w:before="5" w:line="432" w:lineRule="exact"/>
        <w:ind w:left="1296"/>
      </w:pPr>
      <w:r>
        <w:rPr>
          <w:b/>
          <w:bCs/>
          <w:spacing w:val="-5"/>
          <w:sz w:val="18"/>
          <w:szCs w:val="18"/>
          <w:u w:val="single"/>
          <w:lang w:val="es-ES_tradnl"/>
        </w:rPr>
        <w:t>CASO N.</w:t>
      </w:r>
      <w:r>
        <w:rPr>
          <w:rFonts w:cs="Times New Roman"/>
          <w:b/>
          <w:bCs/>
          <w:spacing w:val="-5"/>
          <w:sz w:val="18"/>
          <w:szCs w:val="18"/>
          <w:u w:val="single"/>
          <w:lang w:val="es-ES_tradnl"/>
        </w:rPr>
        <w:t>º</w:t>
      </w:r>
      <w:r>
        <w:rPr>
          <w:b/>
          <w:bCs/>
          <w:spacing w:val="-5"/>
          <w:sz w:val="18"/>
          <w:szCs w:val="18"/>
          <w:u w:val="single"/>
          <w:lang w:val="es-ES_tradnl"/>
        </w:rPr>
        <w:t xml:space="preserve"> 0244-13-EP</w:t>
      </w:r>
    </w:p>
    <w:p w14:paraId="4F67B830" w14:textId="77777777" w:rsidR="00591D54" w:rsidRDefault="00591D54">
      <w:pPr>
        <w:shd w:val="clear" w:color="auto" w:fill="FFFFFF"/>
        <w:spacing w:line="432" w:lineRule="exact"/>
        <w:ind w:left="298"/>
      </w:pPr>
      <w:r>
        <w:rPr>
          <w:b/>
          <w:bCs/>
          <w:sz w:val="18"/>
          <w:szCs w:val="18"/>
          <w:lang w:val="es-ES_tradnl"/>
        </w:rPr>
        <w:t>CORTE CONSTITUCIONAL DEL ECUADOR</w:t>
      </w:r>
    </w:p>
    <w:p w14:paraId="4F67B831" w14:textId="77777777" w:rsidR="00591D54" w:rsidRDefault="00591D54">
      <w:pPr>
        <w:shd w:val="clear" w:color="auto" w:fill="FFFFFF"/>
        <w:spacing w:line="432" w:lineRule="exact"/>
        <w:ind w:left="1339"/>
      </w:pPr>
      <w:r>
        <w:rPr>
          <w:b/>
          <w:bCs/>
          <w:sz w:val="18"/>
          <w:szCs w:val="18"/>
          <w:lang w:val="es-ES_tradnl"/>
        </w:rPr>
        <w:t>I. ANTECEDENTES</w:t>
      </w:r>
    </w:p>
    <w:p w14:paraId="4F67B832" w14:textId="77777777" w:rsidR="00591D54" w:rsidRDefault="00591D54">
      <w:pPr>
        <w:shd w:val="clear" w:color="auto" w:fill="FFFFFF"/>
        <w:spacing w:line="432" w:lineRule="exact"/>
      </w:pPr>
      <w:r>
        <w:rPr>
          <w:b/>
          <w:bCs/>
          <w:spacing w:val="-9"/>
          <w:sz w:val="18"/>
          <w:szCs w:val="18"/>
          <w:lang w:val="es-ES_tradnl"/>
        </w:rPr>
        <w:t>Resumen de admisibilidad</w:t>
      </w:r>
    </w:p>
    <w:p w14:paraId="4F67B833" w14:textId="77777777" w:rsidR="00591D54" w:rsidRDefault="00591D54">
      <w:pPr>
        <w:shd w:val="clear" w:color="auto" w:fill="FFFFFF"/>
        <w:spacing w:before="168" w:line="216" w:lineRule="exact"/>
        <w:jc w:val="both"/>
      </w:pPr>
      <w:r>
        <w:rPr>
          <w:spacing w:val="-2"/>
          <w:sz w:val="18"/>
          <w:szCs w:val="18"/>
          <w:lang w:val="es-ES_tradnl"/>
        </w:rPr>
        <w:t>La presente acci</w:t>
      </w:r>
      <w:r>
        <w:rPr>
          <w:rFonts w:cs="Times New Roman"/>
          <w:spacing w:val="-2"/>
          <w:sz w:val="18"/>
          <w:szCs w:val="18"/>
          <w:lang w:val="es-ES_tradnl"/>
        </w:rPr>
        <w:t>ó</w:t>
      </w:r>
      <w:r>
        <w:rPr>
          <w:spacing w:val="-2"/>
          <w:sz w:val="18"/>
          <w:szCs w:val="18"/>
          <w:lang w:val="es-ES_tradnl"/>
        </w:rPr>
        <w:t>n extraordinaria de protecci</w:t>
      </w:r>
      <w:r>
        <w:rPr>
          <w:rFonts w:cs="Times New Roman"/>
          <w:spacing w:val="-2"/>
          <w:sz w:val="18"/>
          <w:szCs w:val="18"/>
          <w:lang w:val="es-ES_tradnl"/>
        </w:rPr>
        <w:t>ó</w:t>
      </w:r>
      <w:r>
        <w:rPr>
          <w:spacing w:val="-2"/>
          <w:sz w:val="18"/>
          <w:szCs w:val="18"/>
          <w:lang w:val="es-ES_tradnl"/>
        </w:rPr>
        <w:t xml:space="preserve">n es </w:t>
      </w:r>
      <w:r>
        <w:rPr>
          <w:spacing w:val="-5"/>
          <w:sz w:val="18"/>
          <w:szCs w:val="18"/>
          <w:lang w:val="es-ES_tradnl"/>
        </w:rPr>
        <w:t xml:space="preserve">propuesta por el economista Carlos Marx Carrasco V., </w:t>
      </w:r>
      <w:r>
        <w:rPr>
          <w:spacing w:val="-9"/>
          <w:sz w:val="18"/>
          <w:szCs w:val="18"/>
          <w:lang w:val="es-ES_tradnl"/>
        </w:rPr>
        <w:t xml:space="preserve">quien comparece en calidad de director general del Servicio </w:t>
      </w:r>
      <w:r>
        <w:rPr>
          <w:spacing w:val="-7"/>
          <w:sz w:val="18"/>
          <w:szCs w:val="18"/>
          <w:lang w:val="es-ES_tradnl"/>
        </w:rPr>
        <w:t>de Rentas Internas, en contra de la decisi</w:t>
      </w:r>
      <w:r>
        <w:rPr>
          <w:rFonts w:cs="Times New Roman"/>
          <w:spacing w:val="-7"/>
          <w:sz w:val="18"/>
          <w:szCs w:val="18"/>
          <w:lang w:val="es-ES_tradnl"/>
        </w:rPr>
        <w:t>ó</w:t>
      </w:r>
      <w:r>
        <w:rPr>
          <w:spacing w:val="-7"/>
          <w:sz w:val="18"/>
          <w:szCs w:val="18"/>
          <w:lang w:val="es-ES_tradnl"/>
        </w:rPr>
        <w:t xml:space="preserve">n judicial del 04 de enero de 2013, emitida por la Sala de Conjueces de lo </w:t>
      </w:r>
      <w:r>
        <w:rPr>
          <w:spacing w:val="-5"/>
          <w:sz w:val="18"/>
          <w:szCs w:val="18"/>
          <w:lang w:val="es-ES_tradnl"/>
        </w:rPr>
        <w:t xml:space="preserve">Contencioso Tributario de la Corte Nacional de Justicia, </w:t>
      </w:r>
      <w:r>
        <w:rPr>
          <w:sz w:val="18"/>
          <w:szCs w:val="18"/>
          <w:lang w:val="es-ES_tradnl"/>
        </w:rPr>
        <w:t>dentro del juicio de impugnaci</w:t>
      </w:r>
      <w:r>
        <w:rPr>
          <w:rFonts w:cs="Times New Roman"/>
          <w:sz w:val="18"/>
          <w:szCs w:val="18"/>
          <w:lang w:val="es-ES_tradnl"/>
        </w:rPr>
        <w:t>ó</w:t>
      </w:r>
      <w:r>
        <w:rPr>
          <w:sz w:val="18"/>
          <w:szCs w:val="18"/>
          <w:lang w:val="es-ES_tradnl"/>
        </w:rPr>
        <w:t>n N.</w:t>
      </w:r>
      <w:r>
        <w:rPr>
          <w:rFonts w:cs="Times New Roman"/>
          <w:sz w:val="18"/>
          <w:szCs w:val="18"/>
          <w:lang w:val="es-ES_tradnl"/>
        </w:rPr>
        <w:t>º</w:t>
      </w:r>
      <w:r>
        <w:rPr>
          <w:sz w:val="18"/>
          <w:szCs w:val="18"/>
          <w:lang w:val="es-ES_tradnl"/>
        </w:rPr>
        <w:t xml:space="preserve"> 650-2012/229-</w:t>
      </w:r>
      <w:r>
        <w:rPr>
          <w:spacing w:val="-9"/>
          <w:sz w:val="18"/>
          <w:szCs w:val="18"/>
          <w:lang w:val="es-ES_tradnl"/>
        </w:rPr>
        <w:t>2009, propuesto por el se</w:t>
      </w:r>
      <w:r>
        <w:rPr>
          <w:rFonts w:cs="Times New Roman"/>
          <w:spacing w:val="-9"/>
          <w:sz w:val="18"/>
          <w:szCs w:val="18"/>
          <w:lang w:val="es-ES_tradnl"/>
        </w:rPr>
        <w:t>ñ</w:t>
      </w:r>
      <w:r>
        <w:rPr>
          <w:spacing w:val="-9"/>
          <w:sz w:val="18"/>
          <w:szCs w:val="18"/>
          <w:lang w:val="es-ES_tradnl"/>
        </w:rPr>
        <w:t>or Juan S</w:t>
      </w:r>
      <w:r>
        <w:rPr>
          <w:rFonts w:cs="Times New Roman"/>
          <w:spacing w:val="-9"/>
          <w:sz w:val="18"/>
          <w:szCs w:val="18"/>
          <w:lang w:val="es-ES_tradnl"/>
        </w:rPr>
        <w:t>á</w:t>
      </w:r>
      <w:r>
        <w:rPr>
          <w:spacing w:val="-9"/>
          <w:sz w:val="18"/>
          <w:szCs w:val="18"/>
          <w:lang w:val="es-ES_tradnl"/>
        </w:rPr>
        <w:t>nchez Rodr</w:t>
      </w:r>
      <w:r>
        <w:rPr>
          <w:rFonts w:cs="Times New Roman"/>
          <w:spacing w:val="-9"/>
          <w:sz w:val="18"/>
          <w:szCs w:val="18"/>
          <w:lang w:val="es-ES_tradnl"/>
        </w:rPr>
        <w:t>í</w:t>
      </w:r>
      <w:r>
        <w:rPr>
          <w:spacing w:val="-9"/>
          <w:sz w:val="18"/>
          <w:szCs w:val="18"/>
          <w:lang w:val="es-ES_tradnl"/>
        </w:rPr>
        <w:t xml:space="preserve">guez, en </w:t>
      </w:r>
      <w:r>
        <w:rPr>
          <w:spacing w:val="-8"/>
          <w:sz w:val="18"/>
          <w:szCs w:val="18"/>
          <w:lang w:val="es-ES_tradnl"/>
        </w:rPr>
        <w:t>calidad de representante legal de la compa</w:t>
      </w:r>
      <w:r>
        <w:rPr>
          <w:rFonts w:cs="Times New Roman"/>
          <w:spacing w:val="-8"/>
          <w:sz w:val="18"/>
          <w:szCs w:val="18"/>
          <w:lang w:val="es-ES_tradnl"/>
        </w:rPr>
        <w:t>ñí</w:t>
      </w:r>
      <w:r>
        <w:rPr>
          <w:spacing w:val="-8"/>
          <w:sz w:val="18"/>
          <w:szCs w:val="18"/>
          <w:lang w:val="es-ES_tradnl"/>
        </w:rPr>
        <w:t xml:space="preserve">a distribuidora </w:t>
      </w:r>
      <w:r>
        <w:rPr>
          <w:sz w:val="18"/>
          <w:szCs w:val="18"/>
          <w:lang w:val="es-ES_tradnl"/>
        </w:rPr>
        <w:t>GEYOCA C. A.</w:t>
      </w:r>
    </w:p>
    <w:p w14:paraId="4F67B834" w14:textId="77777777" w:rsidR="00591D54" w:rsidRDefault="00591D54">
      <w:pPr>
        <w:shd w:val="clear" w:color="auto" w:fill="FFFFFF"/>
        <w:spacing w:before="197" w:line="216" w:lineRule="exact"/>
        <w:jc w:val="both"/>
      </w:pPr>
      <w:r>
        <w:rPr>
          <w:spacing w:val="-3"/>
          <w:sz w:val="18"/>
          <w:szCs w:val="18"/>
          <w:lang w:val="es-ES_tradnl"/>
        </w:rPr>
        <w:t>De conformidad con lo establecido en el art</w:t>
      </w:r>
      <w:r>
        <w:rPr>
          <w:rFonts w:cs="Times New Roman"/>
          <w:spacing w:val="-3"/>
          <w:sz w:val="18"/>
          <w:szCs w:val="18"/>
          <w:lang w:val="es-ES_tradnl"/>
        </w:rPr>
        <w:t>í</w:t>
      </w:r>
      <w:r>
        <w:rPr>
          <w:spacing w:val="-3"/>
          <w:sz w:val="18"/>
          <w:szCs w:val="18"/>
          <w:lang w:val="es-ES_tradnl"/>
        </w:rPr>
        <w:t xml:space="preserve">culo 4 </w:t>
      </w:r>
      <w:r>
        <w:rPr>
          <w:spacing w:val="-8"/>
          <w:sz w:val="18"/>
          <w:szCs w:val="18"/>
          <w:lang w:val="es-ES_tradnl"/>
        </w:rPr>
        <w:t>innumerado, segundo inciso, agregado a continuaci</w:t>
      </w:r>
      <w:r>
        <w:rPr>
          <w:rFonts w:cs="Times New Roman"/>
          <w:spacing w:val="-8"/>
          <w:sz w:val="18"/>
          <w:szCs w:val="18"/>
          <w:lang w:val="es-ES_tradnl"/>
        </w:rPr>
        <w:t>ó</w:t>
      </w:r>
      <w:r>
        <w:rPr>
          <w:spacing w:val="-8"/>
          <w:sz w:val="18"/>
          <w:szCs w:val="18"/>
          <w:lang w:val="es-ES_tradnl"/>
        </w:rPr>
        <w:t xml:space="preserve">n del </w:t>
      </w:r>
      <w:r>
        <w:rPr>
          <w:spacing w:val="-6"/>
          <w:sz w:val="18"/>
          <w:szCs w:val="18"/>
          <w:lang w:val="es-ES_tradnl"/>
        </w:rPr>
        <w:t>art</w:t>
      </w:r>
      <w:r>
        <w:rPr>
          <w:rFonts w:cs="Times New Roman"/>
          <w:spacing w:val="-6"/>
          <w:sz w:val="18"/>
          <w:szCs w:val="18"/>
          <w:lang w:val="es-ES_tradnl"/>
        </w:rPr>
        <w:t>í</w:t>
      </w:r>
      <w:r>
        <w:rPr>
          <w:spacing w:val="-6"/>
          <w:sz w:val="18"/>
          <w:szCs w:val="18"/>
          <w:lang w:val="es-ES_tradnl"/>
        </w:rPr>
        <w:t>culo 8 del Reglamento de Sustanciaci</w:t>
      </w:r>
      <w:r>
        <w:rPr>
          <w:rFonts w:cs="Times New Roman"/>
          <w:spacing w:val="-6"/>
          <w:sz w:val="18"/>
          <w:szCs w:val="18"/>
          <w:lang w:val="es-ES_tradnl"/>
        </w:rPr>
        <w:t>ó</w:t>
      </w:r>
      <w:r>
        <w:rPr>
          <w:spacing w:val="-6"/>
          <w:sz w:val="18"/>
          <w:szCs w:val="18"/>
          <w:lang w:val="es-ES_tradnl"/>
        </w:rPr>
        <w:t xml:space="preserve">n de Procesos </w:t>
      </w:r>
      <w:r>
        <w:rPr>
          <w:spacing w:val="-7"/>
          <w:sz w:val="18"/>
          <w:szCs w:val="18"/>
          <w:lang w:val="es-ES_tradnl"/>
        </w:rPr>
        <w:t>de Competencia de la Corte Constitucional, la Secretar</w:t>
      </w:r>
      <w:r>
        <w:rPr>
          <w:rFonts w:cs="Times New Roman"/>
          <w:spacing w:val="-7"/>
          <w:sz w:val="18"/>
          <w:szCs w:val="18"/>
          <w:lang w:val="es-ES_tradnl"/>
        </w:rPr>
        <w:t>í</w:t>
      </w:r>
      <w:r>
        <w:rPr>
          <w:spacing w:val="-7"/>
          <w:sz w:val="18"/>
          <w:szCs w:val="18"/>
          <w:lang w:val="es-ES_tradnl"/>
        </w:rPr>
        <w:t xml:space="preserve">a </w:t>
      </w:r>
      <w:r>
        <w:rPr>
          <w:spacing w:val="-5"/>
          <w:sz w:val="18"/>
          <w:szCs w:val="18"/>
          <w:lang w:val="es-ES_tradnl"/>
        </w:rPr>
        <w:t xml:space="preserve">General de la Corte Constitucional, el 14 de febrero de </w:t>
      </w:r>
      <w:r>
        <w:rPr>
          <w:spacing w:val="-8"/>
          <w:sz w:val="18"/>
          <w:szCs w:val="18"/>
          <w:lang w:val="es-ES_tradnl"/>
        </w:rPr>
        <w:t>2013, certific</w:t>
      </w:r>
      <w:r>
        <w:rPr>
          <w:rFonts w:cs="Times New Roman"/>
          <w:spacing w:val="-8"/>
          <w:sz w:val="18"/>
          <w:szCs w:val="18"/>
          <w:lang w:val="es-ES_tradnl"/>
        </w:rPr>
        <w:t>ó</w:t>
      </w:r>
      <w:r>
        <w:rPr>
          <w:spacing w:val="-8"/>
          <w:sz w:val="18"/>
          <w:szCs w:val="18"/>
          <w:lang w:val="es-ES_tradnl"/>
        </w:rPr>
        <w:t xml:space="preserve"> que no se ha presentado otra demanda con </w:t>
      </w:r>
      <w:r>
        <w:rPr>
          <w:sz w:val="18"/>
          <w:szCs w:val="18"/>
          <w:lang w:val="es-ES_tradnl"/>
        </w:rPr>
        <w:t>identidad de objeto y acci</w:t>
      </w:r>
      <w:r>
        <w:rPr>
          <w:rFonts w:cs="Times New Roman"/>
          <w:sz w:val="18"/>
          <w:szCs w:val="18"/>
          <w:lang w:val="es-ES_tradnl"/>
        </w:rPr>
        <w:t>ó</w:t>
      </w:r>
      <w:r>
        <w:rPr>
          <w:sz w:val="18"/>
          <w:szCs w:val="18"/>
          <w:lang w:val="es-ES_tradnl"/>
        </w:rPr>
        <w:t>n.</w:t>
      </w:r>
    </w:p>
    <w:p w14:paraId="4F67B835" w14:textId="77777777" w:rsidR="00591D54" w:rsidRDefault="00591D54">
      <w:pPr>
        <w:shd w:val="clear" w:color="auto" w:fill="FFFFFF"/>
        <w:spacing w:before="197" w:line="216" w:lineRule="exact"/>
        <w:jc w:val="both"/>
        <w:sectPr w:rsidR="00591D54">
          <w:type w:val="continuous"/>
          <w:pgSz w:w="11909" w:h="16834"/>
          <w:pgMar w:top="1361" w:right="1309" w:bottom="360" w:left="1308" w:header="720" w:footer="720" w:gutter="0"/>
          <w:cols w:num="2" w:space="720" w:equalWidth="0">
            <w:col w:w="4305" w:space="682"/>
            <w:col w:w="4305"/>
          </w:cols>
          <w:noEndnote/>
        </w:sectPr>
      </w:pPr>
    </w:p>
    <w:p w14:paraId="4F67B836" w14:textId="77777777" w:rsidR="00591D54" w:rsidRDefault="00591D54">
      <w:pPr>
        <w:shd w:val="clear" w:color="auto" w:fill="FFFFFF"/>
        <w:tabs>
          <w:tab w:val="left" w:pos="4814"/>
        </w:tabs>
        <w:spacing w:after="230"/>
        <w:ind w:left="5"/>
      </w:pPr>
      <w:r>
        <w:rPr>
          <w:b/>
          <w:bCs/>
          <w:sz w:val="18"/>
          <w:szCs w:val="18"/>
          <w:lang w:val="es-ES_tradnl"/>
        </w:rPr>
        <w:t xml:space="preserve">252 -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837" w14:textId="77777777" w:rsidR="00591D54" w:rsidRDefault="00591D54">
      <w:pPr>
        <w:shd w:val="clear" w:color="auto" w:fill="FFFFFF"/>
        <w:tabs>
          <w:tab w:val="left" w:pos="4814"/>
        </w:tabs>
        <w:spacing w:after="230"/>
        <w:ind w:left="5"/>
        <w:sectPr w:rsidR="00591D54">
          <w:pgSz w:w="11909" w:h="16834"/>
          <w:pgMar w:top="1380" w:right="1309" w:bottom="360" w:left="1308" w:header="720" w:footer="720" w:gutter="0"/>
          <w:cols w:space="60"/>
          <w:noEndnote/>
        </w:sectPr>
      </w:pPr>
    </w:p>
    <w:p w14:paraId="4F67B838" w14:textId="77777777" w:rsidR="00591D54" w:rsidRDefault="00591D54">
      <w:pPr>
        <w:shd w:val="clear" w:color="auto" w:fill="FFFFFF"/>
        <w:spacing w:before="5" w:line="216" w:lineRule="exact"/>
        <w:ind w:right="5"/>
        <w:jc w:val="both"/>
      </w:pPr>
      <w:r>
        <w:rPr>
          <w:spacing w:val="-10"/>
          <w:sz w:val="18"/>
          <w:szCs w:val="18"/>
          <w:lang w:val="es-ES_tradnl"/>
        </w:rPr>
        <w:t>La Sala de Admisi</w:t>
      </w:r>
      <w:r>
        <w:rPr>
          <w:rFonts w:cs="Times New Roman"/>
          <w:spacing w:val="-10"/>
          <w:sz w:val="18"/>
          <w:szCs w:val="18"/>
          <w:lang w:val="es-ES_tradnl"/>
        </w:rPr>
        <w:t>ó</w:t>
      </w:r>
      <w:r>
        <w:rPr>
          <w:spacing w:val="-10"/>
          <w:sz w:val="18"/>
          <w:szCs w:val="18"/>
          <w:lang w:val="es-ES_tradnl"/>
        </w:rPr>
        <w:t xml:space="preserve">n de la Corte Constitucional, conformada </w:t>
      </w:r>
      <w:r>
        <w:rPr>
          <w:spacing w:val="-6"/>
          <w:sz w:val="18"/>
          <w:szCs w:val="18"/>
          <w:lang w:val="es-ES_tradnl"/>
        </w:rPr>
        <w:t xml:space="preserve">por los jueces constitucionales, Wendy Molina Andrade, </w:t>
      </w:r>
      <w:r>
        <w:rPr>
          <w:spacing w:val="-4"/>
          <w:sz w:val="18"/>
          <w:szCs w:val="18"/>
          <w:lang w:val="es-ES_tradnl"/>
        </w:rPr>
        <w:t>Patricio Pazmi</w:t>
      </w:r>
      <w:r>
        <w:rPr>
          <w:rFonts w:cs="Times New Roman"/>
          <w:spacing w:val="-4"/>
          <w:sz w:val="18"/>
          <w:szCs w:val="18"/>
          <w:lang w:val="es-ES_tradnl"/>
        </w:rPr>
        <w:t>ñ</w:t>
      </w:r>
      <w:r>
        <w:rPr>
          <w:spacing w:val="-4"/>
          <w:sz w:val="18"/>
          <w:szCs w:val="18"/>
          <w:lang w:val="es-ES_tradnl"/>
        </w:rPr>
        <w:t xml:space="preserve">o Freire y Manuel Viteri Olvera, el 29 de </w:t>
      </w:r>
      <w:r>
        <w:rPr>
          <w:spacing w:val="-6"/>
          <w:sz w:val="18"/>
          <w:szCs w:val="18"/>
          <w:lang w:val="es-ES_tradnl"/>
        </w:rPr>
        <w:t>abril de 2013 admiti</w:t>
      </w:r>
      <w:r>
        <w:rPr>
          <w:rFonts w:cs="Times New Roman"/>
          <w:spacing w:val="-6"/>
          <w:sz w:val="18"/>
          <w:szCs w:val="18"/>
          <w:lang w:val="es-ES_tradnl"/>
        </w:rPr>
        <w:t>ó</w:t>
      </w:r>
      <w:r>
        <w:rPr>
          <w:spacing w:val="-6"/>
          <w:sz w:val="18"/>
          <w:szCs w:val="18"/>
          <w:lang w:val="es-ES_tradnl"/>
        </w:rPr>
        <w:t xml:space="preserve"> a tr</w:t>
      </w:r>
      <w:r>
        <w:rPr>
          <w:rFonts w:cs="Times New Roman"/>
          <w:spacing w:val="-6"/>
          <w:sz w:val="18"/>
          <w:szCs w:val="18"/>
          <w:lang w:val="es-ES_tradnl"/>
        </w:rPr>
        <w:t>á</w:t>
      </w:r>
      <w:r>
        <w:rPr>
          <w:spacing w:val="-6"/>
          <w:sz w:val="18"/>
          <w:szCs w:val="18"/>
          <w:lang w:val="es-ES_tradnl"/>
        </w:rPr>
        <w:t>mite la acci</w:t>
      </w:r>
      <w:r>
        <w:rPr>
          <w:rFonts w:cs="Times New Roman"/>
          <w:spacing w:val="-6"/>
          <w:sz w:val="18"/>
          <w:szCs w:val="18"/>
          <w:lang w:val="es-ES_tradnl"/>
        </w:rPr>
        <w:t>ó</w:t>
      </w:r>
      <w:r>
        <w:rPr>
          <w:spacing w:val="-6"/>
          <w:sz w:val="18"/>
          <w:szCs w:val="18"/>
          <w:lang w:val="es-ES_tradnl"/>
        </w:rPr>
        <w:t xml:space="preserve">n extraordinaria de </w:t>
      </w:r>
      <w:r>
        <w:rPr>
          <w:spacing w:val="-5"/>
          <w:sz w:val="18"/>
          <w:szCs w:val="18"/>
          <w:lang w:val="es-ES_tradnl"/>
        </w:rPr>
        <w:t>protecci</w:t>
      </w:r>
      <w:r>
        <w:rPr>
          <w:rFonts w:cs="Times New Roman"/>
          <w:spacing w:val="-5"/>
          <w:sz w:val="18"/>
          <w:szCs w:val="18"/>
          <w:lang w:val="es-ES_tradnl"/>
        </w:rPr>
        <w:t>ó</w:t>
      </w:r>
      <w:r>
        <w:rPr>
          <w:spacing w:val="-5"/>
          <w:sz w:val="18"/>
          <w:szCs w:val="18"/>
          <w:lang w:val="es-ES_tradnl"/>
        </w:rPr>
        <w:t>n N.</w:t>
      </w:r>
      <w:r>
        <w:rPr>
          <w:rFonts w:cs="Times New Roman"/>
          <w:spacing w:val="-5"/>
          <w:sz w:val="18"/>
          <w:szCs w:val="18"/>
          <w:lang w:val="es-ES_tradnl"/>
        </w:rPr>
        <w:t>º</w:t>
      </w:r>
      <w:r>
        <w:rPr>
          <w:spacing w:val="-5"/>
          <w:sz w:val="18"/>
          <w:szCs w:val="18"/>
          <w:lang w:val="es-ES_tradnl"/>
        </w:rPr>
        <w:t xml:space="preserve"> 0244-13-EP, por considerar que cumpl</w:t>
      </w:r>
      <w:r>
        <w:rPr>
          <w:rFonts w:cs="Times New Roman"/>
          <w:spacing w:val="-5"/>
          <w:sz w:val="18"/>
          <w:szCs w:val="18"/>
          <w:lang w:val="es-ES_tradnl"/>
        </w:rPr>
        <w:t>í</w:t>
      </w:r>
      <w:r>
        <w:rPr>
          <w:spacing w:val="-5"/>
          <w:sz w:val="18"/>
          <w:szCs w:val="18"/>
          <w:lang w:val="es-ES_tradnl"/>
        </w:rPr>
        <w:t xml:space="preserve">a </w:t>
      </w:r>
      <w:r>
        <w:rPr>
          <w:spacing w:val="-2"/>
          <w:sz w:val="18"/>
          <w:szCs w:val="18"/>
          <w:lang w:val="es-ES_tradnl"/>
        </w:rPr>
        <w:t>con los requisitos establecidos en la Constituci</w:t>
      </w:r>
      <w:r>
        <w:rPr>
          <w:rFonts w:cs="Times New Roman"/>
          <w:spacing w:val="-2"/>
          <w:sz w:val="18"/>
          <w:szCs w:val="18"/>
          <w:lang w:val="es-ES_tradnl"/>
        </w:rPr>
        <w:t>ó</w:t>
      </w:r>
      <w:r>
        <w:rPr>
          <w:spacing w:val="-2"/>
          <w:sz w:val="18"/>
          <w:szCs w:val="18"/>
          <w:lang w:val="es-ES_tradnl"/>
        </w:rPr>
        <w:t xml:space="preserve">n y en </w:t>
      </w:r>
      <w:r>
        <w:rPr>
          <w:spacing w:val="-6"/>
          <w:sz w:val="18"/>
          <w:szCs w:val="18"/>
          <w:lang w:val="es-ES_tradnl"/>
        </w:rPr>
        <w:t>los art</w:t>
      </w:r>
      <w:r>
        <w:rPr>
          <w:rFonts w:cs="Times New Roman"/>
          <w:spacing w:val="-6"/>
          <w:sz w:val="18"/>
          <w:szCs w:val="18"/>
          <w:lang w:val="es-ES_tradnl"/>
        </w:rPr>
        <w:t>í</w:t>
      </w:r>
      <w:r>
        <w:rPr>
          <w:spacing w:val="-6"/>
          <w:sz w:val="18"/>
          <w:szCs w:val="18"/>
          <w:lang w:val="es-ES_tradnl"/>
        </w:rPr>
        <w:t>culos 61 y 62 de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w:t>
      </w:r>
      <w:r>
        <w:rPr>
          <w:spacing w:val="-5"/>
          <w:sz w:val="18"/>
          <w:szCs w:val="18"/>
          <w:lang w:val="es-ES_tradnl"/>
        </w:rPr>
        <w:t>Jurisdiccionales y Control Constitucional.</w:t>
      </w:r>
    </w:p>
    <w:p w14:paraId="4F67B839" w14:textId="77777777" w:rsidR="00591D54" w:rsidRDefault="00591D54">
      <w:pPr>
        <w:shd w:val="clear" w:color="auto" w:fill="FFFFFF"/>
        <w:spacing w:before="197" w:line="216" w:lineRule="exact"/>
        <w:ind w:right="5"/>
        <w:jc w:val="both"/>
      </w:pPr>
      <w:r>
        <w:rPr>
          <w:spacing w:val="-5"/>
          <w:sz w:val="18"/>
          <w:szCs w:val="18"/>
          <w:lang w:val="es-ES_tradnl"/>
        </w:rPr>
        <w:t xml:space="preserve">Mediante sorteo realizado por el Pleno de la Corte </w:t>
      </w:r>
      <w:r>
        <w:rPr>
          <w:spacing w:val="-6"/>
          <w:sz w:val="18"/>
          <w:szCs w:val="18"/>
          <w:lang w:val="es-ES_tradnl"/>
        </w:rPr>
        <w:t>Constitucional, en sesi</w:t>
      </w:r>
      <w:r>
        <w:rPr>
          <w:rFonts w:cs="Times New Roman"/>
          <w:spacing w:val="-6"/>
          <w:sz w:val="18"/>
          <w:szCs w:val="18"/>
          <w:lang w:val="es-ES_tradnl"/>
        </w:rPr>
        <w:t>ó</w:t>
      </w:r>
      <w:r>
        <w:rPr>
          <w:spacing w:val="-6"/>
          <w:sz w:val="18"/>
          <w:szCs w:val="18"/>
          <w:lang w:val="es-ES_tradnl"/>
        </w:rPr>
        <w:t xml:space="preserve">n extraordinaria del jueves 23 de </w:t>
      </w:r>
      <w:r>
        <w:rPr>
          <w:spacing w:val="-8"/>
          <w:sz w:val="18"/>
          <w:szCs w:val="18"/>
          <w:lang w:val="es-ES_tradnl"/>
        </w:rPr>
        <w:t>mayo de 2013, correspondi</w:t>
      </w:r>
      <w:r>
        <w:rPr>
          <w:rFonts w:cs="Times New Roman"/>
          <w:spacing w:val="-8"/>
          <w:sz w:val="18"/>
          <w:szCs w:val="18"/>
          <w:lang w:val="es-ES_tradnl"/>
        </w:rPr>
        <w:t>ó</w:t>
      </w:r>
      <w:r>
        <w:rPr>
          <w:spacing w:val="-8"/>
          <w:sz w:val="18"/>
          <w:szCs w:val="18"/>
          <w:lang w:val="es-ES_tradnl"/>
        </w:rPr>
        <w:t xml:space="preserve"> la sustanciaci</w:t>
      </w:r>
      <w:r>
        <w:rPr>
          <w:rFonts w:cs="Times New Roman"/>
          <w:spacing w:val="-8"/>
          <w:sz w:val="18"/>
          <w:szCs w:val="18"/>
          <w:lang w:val="es-ES_tradnl"/>
        </w:rPr>
        <w:t>ó</w:t>
      </w:r>
      <w:r>
        <w:rPr>
          <w:spacing w:val="-8"/>
          <w:sz w:val="18"/>
          <w:szCs w:val="18"/>
          <w:lang w:val="es-ES_tradnl"/>
        </w:rPr>
        <w:t xml:space="preserve">n del presente </w:t>
      </w:r>
      <w:r>
        <w:rPr>
          <w:spacing w:val="-6"/>
          <w:sz w:val="18"/>
          <w:szCs w:val="18"/>
          <w:lang w:val="es-ES_tradnl"/>
        </w:rPr>
        <w:t>caso al juez constitucional Fabi</w:t>
      </w:r>
      <w:r>
        <w:rPr>
          <w:rFonts w:cs="Times New Roman"/>
          <w:spacing w:val="-6"/>
          <w:sz w:val="18"/>
          <w:szCs w:val="18"/>
          <w:lang w:val="es-ES_tradnl"/>
        </w:rPr>
        <w:t>á</w:t>
      </w:r>
      <w:r>
        <w:rPr>
          <w:spacing w:val="-6"/>
          <w:sz w:val="18"/>
          <w:szCs w:val="18"/>
          <w:lang w:val="es-ES_tradnl"/>
        </w:rPr>
        <w:t xml:space="preserve">n Marcelo Jaramillo Villa, quien mediante auto del 14 de abril de 2014 a las 13:50, </w:t>
      </w:r>
      <w:r>
        <w:rPr>
          <w:spacing w:val="-10"/>
          <w:sz w:val="18"/>
          <w:szCs w:val="18"/>
          <w:lang w:val="es-ES_tradnl"/>
        </w:rPr>
        <w:t>avoc</w:t>
      </w:r>
      <w:r>
        <w:rPr>
          <w:rFonts w:cs="Times New Roman"/>
          <w:spacing w:val="-10"/>
          <w:sz w:val="18"/>
          <w:szCs w:val="18"/>
          <w:lang w:val="es-ES_tradnl"/>
        </w:rPr>
        <w:t>ó</w:t>
      </w:r>
      <w:r>
        <w:rPr>
          <w:spacing w:val="-10"/>
          <w:sz w:val="18"/>
          <w:szCs w:val="18"/>
          <w:lang w:val="es-ES_tradnl"/>
        </w:rPr>
        <w:t xml:space="preserve"> conocimiento del caso y dispuso que se notifique con </w:t>
      </w:r>
      <w:r>
        <w:rPr>
          <w:spacing w:val="-11"/>
          <w:sz w:val="18"/>
          <w:szCs w:val="18"/>
          <w:lang w:val="es-ES_tradnl"/>
        </w:rPr>
        <w:t xml:space="preserve">este auto y la demanda a los jueces de la Sala de Conjueces </w:t>
      </w:r>
      <w:r>
        <w:rPr>
          <w:spacing w:val="-3"/>
          <w:sz w:val="18"/>
          <w:szCs w:val="18"/>
          <w:lang w:val="es-ES_tradnl"/>
        </w:rPr>
        <w:t xml:space="preserve">de lo Contencioso Tributario de la Corte Nacional de </w:t>
      </w:r>
      <w:r>
        <w:rPr>
          <w:spacing w:val="-6"/>
          <w:sz w:val="18"/>
          <w:szCs w:val="18"/>
          <w:lang w:val="es-ES_tradnl"/>
        </w:rPr>
        <w:t xml:space="preserve">Justicia, a fin de que presenten un informe de descargo </w:t>
      </w:r>
      <w:r>
        <w:rPr>
          <w:spacing w:val="-9"/>
          <w:sz w:val="18"/>
          <w:szCs w:val="18"/>
          <w:lang w:val="es-ES_tradnl"/>
        </w:rPr>
        <w:t>sobre los argumentos que fundamentan la demanda, en el t</w:t>
      </w:r>
      <w:r>
        <w:rPr>
          <w:rFonts w:cs="Times New Roman"/>
          <w:spacing w:val="-9"/>
          <w:sz w:val="18"/>
          <w:szCs w:val="18"/>
          <w:lang w:val="es-ES_tradnl"/>
        </w:rPr>
        <w:t>é</w:t>
      </w:r>
      <w:r>
        <w:rPr>
          <w:spacing w:val="-9"/>
          <w:sz w:val="18"/>
          <w:szCs w:val="18"/>
          <w:lang w:val="es-ES_tradnl"/>
        </w:rPr>
        <w:t>rmino de cinco d</w:t>
      </w:r>
      <w:r>
        <w:rPr>
          <w:rFonts w:cs="Times New Roman"/>
          <w:spacing w:val="-9"/>
          <w:sz w:val="18"/>
          <w:szCs w:val="18"/>
          <w:lang w:val="es-ES_tradnl"/>
        </w:rPr>
        <w:t>í</w:t>
      </w:r>
      <w:r>
        <w:rPr>
          <w:spacing w:val="-9"/>
          <w:sz w:val="18"/>
          <w:szCs w:val="18"/>
          <w:lang w:val="es-ES_tradnl"/>
        </w:rPr>
        <w:t>as. De igual forma, se notific</w:t>
      </w:r>
      <w:r>
        <w:rPr>
          <w:rFonts w:cs="Times New Roman"/>
          <w:spacing w:val="-9"/>
          <w:sz w:val="18"/>
          <w:szCs w:val="18"/>
          <w:lang w:val="es-ES_tradnl"/>
        </w:rPr>
        <w:t>ó</w:t>
      </w:r>
      <w:r>
        <w:rPr>
          <w:spacing w:val="-9"/>
          <w:sz w:val="18"/>
          <w:szCs w:val="18"/>
          <w:lang w:val="es-ES_tradnl"/>
        </w:rPr>
        <w:t xml:space="preserve"> al director </w:t>
      </w:r>
      <w:r>
        <w:rPr>
          <w:spacing w:val="-7"/>
          <w:sz w:val="18"/>
          <w:szCs w:val="18"/>
          <w:lang w:val="es-ES_tradnl"/>
        </w:rPr>
        <w:t xml:space="preserve">general del Servicio de Rentas Interna (parte demandada </w:t>
      </w:r>
      <w:r>
        <w:rPr>
          <w:spacing w:val="-6"/>
          <w:sz w:val="18"/>
          <w:szCs w:val="18"/>
          <w:lang w:val="es-ES_tradnl"/>
        </w:rPr>
        <w:t>en el juicio de impugnaci</w:t>
      </w:r>
      <w:r>
        <w:rPr>
          <w:rFonts w:cs="Times New Roman"/>
          <w:spacing w:val="-6"/>
          <w:sz w:val="18"/>
          <w:szCs w:val="18"/>
          <w:lang w:val="es-ES_tradnl"/>
        </w:rPr>
        <w:t>ó</w:t>
      </w:r>
      <w:r>
        <w:rPr>
          <w:spacing w:val="-6"/>
          <w:sz w:val="18"/>
          <w:szCs w:val="18"/>
          <w:lang w:val="es-ES_tradnl"/>
        </w:rPr>
        <w:t xml:space="preserve">n) y al procurador general del </w:t>
      </w:r>
      <w:r>
        <w:rPr>
          <w:sz w:val="18"/>
          <w:szCs w:val="18"/>
          <w:lang w:val="es-ES_tradnl"/>
        </w:rPr>
        <w:t>Estado.</w:t>
      </w:r>
    </w:p>
    <w:p w14:paraId="4F67B83A" w14:textId="77777777" w:rsidR="00591D54" w:rsidRDefault="00591D54">
      <w:pPr>
        <w:shd w:val="clear" w:color="auto" w:fill="FFFFFF"/>
        <w:spacing w:before="192"/>
      </w:pPr>
      <w:r>
        <w:rPr>
          <w:b/>
          <w:bCs/>
          <w:spacing w:val="-10"/>
          <w:sz w:val="18"/>
          <w:szCs w:val="18"/>
          <w:lang w:val="es-ES_tradnl"/>
        </w:rPr>
        <w:t>Sentencia impugnada</w:t>
      </w:r>
    </w:p>
    <w:p w14:paraId="4F67B83B" w14:textId="77777777" w:rsidR="00591D54" w:rsidRDefault="00591D54">
      <w:pPr>
        <w:shd w:val="clear" w:color="auto" w:fill="FFFFFF"/>
        <w:spacing w:before="192" w:line="216" w:lineRule="exact"/>
        <w:ind w:right="10"/>
        <w:jc w:val="both"/>
      </w:pPr>
      <w:r>
        <w:rPr>
          <w:spacing w:val="-4"/>
          <w:sz w:val="18"/>
          <w:szCs w:val="18"/>
          <w:lang w:val="es-ES_tradnl"/>
        </w:rPr>
        <w:t>El legitimado activo formula acci</w:t>
      </w:r>
      <w:r>
        <w:rPr>
          <w:rFonts w:cs="Times New Roman"/>
          <w:spacing w:val="-4"/>
          <w:sz w:val="18"/>
          <w:szCs w:val="18"/>
          <w:lang w:val="es-ES_tradnl"/>
        </w:rPr>
        <w:t>ó</w:t>
      </w:r>
      <w:r>
        <w:rPr>
          <w:spacing w:val="-4"/>
          <w:sz w:val="18"/>
          <w:szCs w:val="18"/>
          <w:lang w:val="es-ES_tradnl"/>
        </w:rPr>
        <w:t xml:space="preserve">n extraordinaria de </w:t>
      </w:r>
      <w:r>
        <w:rPr>
          <w:spacing w:val="-1"/>
          <w:sz w:val="18"/>
          <w:szCs w:val="18"/>
          <w:lang w:val="es-ES_tradnl"/>
        </w:rPr>
        <w:t>protecci</w:t>
      </w:r>
      <w:r>
        <w:rPr>
          <w:rFonts w:cs="Times New Roman"/>
          <w:spacing w:val="-1"/>
          <w:sz w:val="18"/>
          <w:szCs w:val="18"/>
          <w:lang w:val="es-ES_tradnl"/>
        </w:rPr>
        <w:t>ó</w:t>
      </w:r>
      <w:r>
        <w:rPr>
          <w:spacing w:val="-1"/>
          <w:sz w:val="18"/>
          <w:szCs w:val="18"/>
          <w:lang w:val="es-ES_tradnl"/>
        </w:rPr>
        <w:t>n en contra de la decisi</w:t>
      </w:r>
      <w:r>
        <w:rPr>
          <w:rFonts w:cs="Times New Roman"/>
          <w:spacing w:val="-1"/>
          <w:sz w:val="18"/>
          <w:szCs w:val="18"/>
          <w:lang w:val="es-ES_tradnl"/>
        </w:rPr>
        <w:t>ó</w:t>
      </w:r>
      <w:r>
        <w:rPr>
          <w:spacing w:val="-1"/>
          <w:sz w:val="18"/>
          <w:szCs w:val="18"/>
          <w:lang w:val="es-ES_tradnl"/>
        </w:rPr>
        <w:t xml:space="preserve">n judicial del 04 de </w:t>
      </w:r>
      <w:r>
        <w:rPr>
          <w:spacing w:val="-8"/>
          <w:sz w:val="18"/>
          <w:szCs w:val="18"/>
          <w:lang w:val="es-ES_tradnl"/>
        </w:rPr>
        <w:t xml:space="preserve">enero de 2013, expedida por la Sala de Conjueces de lo </w:t>
      </w:r>
      <w:r>
        <w:rPr>
          <w:spacing w:val="-5"/>
          <w:sz w:val="18"/>
          <w:szCs w:val="18"/>
          <w:lang w:val="es-ES_tradnl"/>
        </w:rPr>
        <w:t xml:space="preserve">Contencioso Tributario de la Corte Nacional de Justicia, </w:t>
      </w:r>
      <w:r>
        <w:rPr>
          <w:spacing w:val="-6"/>
          <w:sz w:val="18"/>
          <w:szCs w:val="18"/>
          <w:lang w:val="es-ES_tradnl"/>
        </w:rPr>
        <w:t>dentro del juicio de impugnaci</w:t>
      </w:r>
      <w:r>
        <w:rPr>
          <w:rFonts w:cs="Times New Roman"/>
          <w:spacing w:val="-6"/>
          <w:sz w:val="18"/>
          <w:szCs w:val="18"/>
          <w:lang w:val="es-ES_tradnl"/>
        </w:rPr>
        <w:t>ó</w:t>
      </w:r>
      <w:r>
        <w:rPr>
          <w:spacing w:val="-6"/>
          <w:sz w:val="18"/>
          <w:szCs w:val="18"/>
          <w:lang w:val="es-ES_tradnl"/>
        </w:rPr>
        <w:t>n N.</w:t>
      </w:r>
      <w:r>
        <w:rPr>
          <w:rFonts w:cs="Times New Roman"/>
          <w:spacing w:val="-6"/>
          <w:sz w:val="18"/>
          <w:szCs w:val="18"/>
          <w:lang w:val="es-ES_tradnl"/>
        </w:rPr>
        <w:t>°</w:t>
      </w:r>
      <w:r>
        <w:rPr>
          <w:spacing w:val="-6"/>
          <w:sz w:val="18"/>
          <w:szCs w:val="18"/>
          <w:lang w:val="es-ES_tradnl"/>
        </w:rPr>
        <w:t xml:space="preserve"> 650-2012/229-2009, </w:t>
      </w:r>
      <w:r>
        <w:rPr>
          <w:sz w:val="18"/>
          <w:szCs w:val="18"/>
          <w:lang w:val="es-ES_tradnl"/>
        </w:rPr>
        <w:t>cuya parte pertinente es la siguiente:</w:t>
      </w:r>
    </w:p>
    <w:p w14:paraId="4F67B83C" w14:textId="77777777" w:rsidR="00591D54" w:rsidRDefault="00591D54">
      <w:pPr>
        <w:shd w:val="clear" w:color="auto" w:fill="FFFFFF"/>
        <w:spacing w:before="202" w:line="216" w:lineRule="exact"/>
        <w:ind w:left="283"/>
        <w:jc w:val="both"/>
      </w:pPr>
      <w:r>
        <w:rPr>
          <w:b/>
          <w:bCs/>
          <w:sz w:val="16"/>
          <w:szCs w:val="16"/>
          <w:lang w:val="es-ES_tradnl"/>
        </w:rPr>
        <w:t xml:space="preserve">CORTE NACIONAL DE JUSTICIA.- SALA DE CONJUEZA Y CONJUECES DE LO CONTENCIOSO </w:t>
      </w:r>
      <w:r>
        <w:rPr>
          <w:b/>
          <w:bCs/>
          <w:spacing w:val="-6"/>
          <w:sz w:val="16"/>
          <w:szCs w:val="16"/>
          <w:lang w:val="es-ES_tradnl"/>
        </w:rPr>
        <w:t>TRIBUTARIO</w:t>
      </w:r>
      <w:r>
        <w:rPr>
          <w:rFonts w:cs="Times New Roman"/>
          <w:spacing w:val="-6"/>
          <w:sz w:val="16"/>
          <w:szCs w:val="16"/>
          <w:lang w:val="es-ES_tradnl"/>
        </w:rPr>
        <w:t>…</w:t>
      </w:r>
      <w:r>
        <w:rPr>
          <w:spacing w:val="-6"/>
          <w:sz w:val="16"/>
          <w:szCs w:val="16"/>
          <w:lang w:val="es-ES_tradnl"/>
        </w:rPr>
        <w:t xml:space="preserve"> Quito, a 04 de enero de 2013. Las 08h40</w:t>
      </w:r>
      <w:r>
        <w:rPr>
          <w:rFonts w:cs="Times New Roman"/>
          <w:spacing w:val="-6"/>
          <w:sz w:val="16"/>
          <w:szCs w:val="16"/>
          <w:lang w:val="es-ES_tradnl"/>
        </w:rPr>
        <w:t xml:space="preserve">… </w:t>
      </w:r>
      <w:r>
        <w:rPr>
          <w:b/>
          <w:bCs/>
          <w:sz w:val="16"/>
          <w:szCs w:val="16"/>
          <w:lang w:val="es-ES_tradnl"/>
        </w:rPr>
        <w:t>VISTOS</w:t>
      </w:r>
      <w:r>
        <w:rPr>
          <w:rFonts w:cs="Times New Roman"/>
          <w:sz w:val="16"/>
          <w:szCs w:val="16"/>
          <w:lang w:val="es-ES_tradnl"/>
        </w:rPr>
        <w:t>…</w:t>
      </w:r>
      <w:r>
        <w:rPr>
          <w:sz w:val="16"/>
          <w:szCs w:val="16"/>
          <w:lang w:val="es-ES_tradnl"/>
        </w:rPr>
        <w:t xml:space="preserve"> La pretensi</w:t>
      </w:r>
      <w:r>
        <w:rPr>
          <w:rFonts w:cs="Times New Roman"/>
          <w:sz w:val="16"/>
          <w:szCs w:val="16"/>
          <w:lang w:val="es-ES_tradnl"/>
        </w:rPr>
        <w:t>ó</w:t>
      </w:r>
      <w:r>
        <w:rPr>
          <w:sz w:val="16"/>
          <w:szCs w:val="16"/>
          <w:lang w:val="es-ES_tradnl"/>
        </w:rPr>
        <w:t>n jur</w:t>
      </w:r>
      <w:r>
        <w:rPr>
          <w:rFonts w:cs="Times New Roman"/>
          <w:sz w:val="16"/>
          <w:szCs w:val="16"/>
          <w:lang w:val="es-ES_tradnl"/>
        </w:rPr>
        <w:t>í</w:t>
      </w:r>
      <w:r>
        <w:rPr>
          <w:sz w:val="16"/>
          <w:szCs w:val="16"/>
          <w:lang w:val="es-ES_tradnl"/>
        </w:rPr>
        <w:t xml:space="preserve">dica del accionante es que </w:t>
      </w:r>
      <w:r>
        <w:rPr>
          <w:spacing w:val="-7"/>
          <w:sz w:val="16"/>
          <w:szCs w:val="16"/>
          <w:lang w:val="es-ES_tradnl"/>
        </w:rPr>
        <w:t>en sentencia se disponga que el dep</w:t>
      </w:r>
      <w:r>
        <w:rPr>
          <w:rFonts w:cs="Times New Roman"/>
          <w:spacing w:val="-7"/>
          <w:sz w:val="16"/>
          <w:szCs w:val="16"/>
          <w:lang w:val="es-ES_tradnl"/>
        </w:rPr>
        <w:t>ó</w:t>
      </w:r>
      <w:r>
        <w:rPr>
          <w:spacing w:val="-7"/>
          <w:sz w:val="16"/>
          <w:szCs w:val="16"/>
          <w:lang w:val="es-ES_tradnl"/>
        </w:rPr>
        <w:t xml:space="preserve">sito efectuado por su </w:t>
      </w:r>
      <w:r>
        <w:rPr>
          <w:spacing w:val="-5"/>
          <w:sz w:val="16"/>
          <w:szCs w:val="16"/>
          <w:lang w:val="es-ES_tradnl"/>
        </w:rPr>
        <w:t xml:space="preserve">representada en el Banco Nacional de Fomento, sucursal </w:t>
      </w:r>
      <w:r>
        <w:rPr>
          <w:sz w:val="16"/>
          <w:szCs w:val="16"/>
          <w:lang w:val="es-ES_tradnl"/>
        </w:rPr>
        <w:t>mayor de Guayaquil, por la suma de $ 73</w:t>
      </w:r>
      <w:r>
        <w:rPr>
          <w:rFonts w:cs="Times New Roman"/>
          <w:sz w:val="16"/>
          <w:szCs w:val="16"/>
          <w:lang w:val="es-ES_tradnl"/>
        </w:rPr>
        <w:t>’</w:t>
      </w:r>
      <w:r>
        <w:rPr>
          <w:sz w:val="16"/>
          <w:szCs w:val="16"/>
          <w:lang w:val="es-ES_tradnl"/>
        </w:rPr>
        <w:t xml:space="preserve"> 751.919 de </w:t>
      </w:r>
      <w:r>
        <w:rPr>
          <w:spacing w:val="-6"/>
          <w:sz w:val="16"/>
          <w:szCs w:val="16"/>
          <w:lang w:val="es-ES_tradnl"/>
        </w:rPr>
        <w:t xml:space="preserve">sucres, se impute al pago del Impuesto al Valor Agregado y </w:t>
      </w:r>
      <w:r>
        <w:rPr>
          <w:spacing w:val="-5"/>
          <w:sz w:val="16"/>
          <w:szCs w:val="16"/>
          <w:lang w:val="es-ES_tradnl"/>
        </w:rPr>
        <w:t>Retenci</w:t>
      </w:r>
      <w:r>
        <w:rPr>
          <w:rFonts w:cs="Times New Roman"/>
          <w:spacing w:val="-5"/>
          <w:sz w:val="16"/>
          <w:szCs w:val="16"/>
          <w:lang w:val="es-ES_tradnl"/>
        </w:rPr>
        <w:t>ó</w:t>
      </w:r>
      <w:r>
        <w:rPr>
          <w:spacing w:val="-5"/>
          <w:sz w:val="16"/>
          <w:szCs w:val="16"/>
          <w:lang w:val="es-ES_tradnl"/>
        </w:rPr>
        <w:t xml:space="preserve">n en la Fuente, correspondiente al mes de Octubre </w:t>
      </w:r>
      <w:r>
        <w:rPr>
          <w:spacing w:val="-2"/>
          <w:sz w:val="16"/>
          <w:szCs w:val="16"/>
          <w:lang w:val="es-ES_tradnl"/>
        </w:rPr>
        <w:t xml:space="preserve">de 1997, entre los que se incluyen el debido valor del IVA </w:t>
      </w:r>
      <w:r>
        <w:rPr>
          <w:spacing w:val="-6"/>
          <w:sz w:val="16"/>
          <w:szCs w:val="16"/>
          <w:lang w:val="es-ES_tradnl"/>
        </w:rPr>
        <w:t>y Retenciones en la Fuente, intereses por mora y multas, bas</w:t>
      </w:r>
      <w:r>
        <w:rPr>
          <w:rFonts w:cs="Times New Roman"/>
          <w:spacing w:val="-6"/>
          <w:sz w:val="16"/>
          <w:szCs w:val="16"/>
          <w:lang w:val="es-ES_tradnl"/>
        </w:rPr>
        <w:t>á</w:t>
      </w:r>
      <w:r>
        <w:rPr>
          <w:spacing w:val="-6"/>
          <w:sz w:val="16"/>
          <w:szCs w:val="16"/>
          <w:lang w:val="es-ES_tradnl"/>
        </w:rPr>
        <w:t xml:space="preserve">ndose en lo dispuesto en el Art. 51 y subsiguientes del </w:t>
      </w:r>
      <w:r>
        <w:rPr>
          <w:spacing w:val="-5"/>
          <w:sz w:val="16"/>
          <w:szCs w:val="16"/>
          <w:lang w:val="es-ES_tradnl"/>
        </w:rPr>
        <w:t>Cap</w:t>
      </w:r>
      <w:r>
        <w:rPr>
          <w:rFonts w:cs="Times New Roman"/>
          <w:spacing w:val="-5"/>
          <w:sz w:val="16"/>
          <w:szCs w:val="16"/>
          <w:lang w:val="es-ES_tradnl"/>
        </w:rPr>
        <w:t>í</w:t>
      </w:r>
      <w:r>
        <w:rPr>
          <w:spacing w:val="-5"/>
          <w:sz w:val="16"/>
          <w:szCs w:val="16"/>
          <w:lang w:val="es-ES_tradnl"/>
        </w:rPr>
        <w:t>tulo Primero, del T</w:t>
      </w:r>
      <w:r>
        <w:rPr>
          <w:rFonts w:cs="Times New Roman"/>
          <w:spacing w:val="-5"/>
          <w:sz w:val="16"/>
          <w:szCs w:val="16"/>
          <w:lang w:val="es-ES_tradnl"/>
        </w:rPr>
        <w:t>í</w:t>
      </w:r>
      <w:r>
        <w:rPr>
          <w:spacing w:val="-5"/>
          <w:sz w:val="16"/>
          <w:szCs w:val="16"/>
          <w:lang w:val="es-ES_tradnl"/>
        </w:rPr>
        <w:t>tulo Segundo de la Ley de R</w:t>
      </w:r>
      <w:r>
        <w:rPr>
          <w:rFonts w:cs="Times New Roman"/>
          <w:spacing w:val="-5"/>
          <w:sz w:val="16"/>
          <w:szCs w:val="16"/>
          <w:lang w:val="es-ES_tradnl"/>
        </w:rPr>
        <w:t>é</w:t>
      </w:r>
      <w:r>
        <w:rPr>
          <w:spacing w:val="-5"/>
          <w:sz w:val="16"/>
          <w:szCs w:val="16"/>
          <w:lang w:val="es-ES_tradnl"/>
        </w:rPr>
        <w:t>gimen Tributario Interno; y, en consecuencia se declare extinguida la obligaci</w:t>
      </w:r>
      <w:r>
        <w:rPr>
          <w:rFonts w:cs="Times New Roman"/>
          <w:spacing w:val="-5"/>
          <w:sz w:val="16"/>
          <w:szCs w:val="16"/>
          <w:lang w:val="es-ES_tradnl"/>
        </w:rPr>
        <w:t>ó</w:t>
      </w:r>
      <w:r>
        <w:rPr>
          <w:spacing w:val="-5"/>
          <w:sz w:val="16"/>
          <w:szCs w:val="16"/>
          <w:lang w:val="es-ES_tradnl"/>
        </w:rPr>
        <w:t>n por soluci</w:t>
      </w:r>
      <w:r>
        <w:rPr>
          <w:rFonts w:cs="Times New Roman"/>
          <w:spacing w:val="-5"/>
          <w:sz w:val="16"/>
          <w:szCs w:val="16"/>
          <w:lang w:val="es-ES_tradnl"/>
        </w:rPr>
        <w:t>ó</w:t>
      </w:r>
      <w:r>
        <w:rPr>
          <w:spacing w:val="-5"/>
          <w:sz w:val="16"/>
          <w:szCs w:val="16"/>
          <w:lang w:val="es-ES_tradnl"/>
        </w:rPr>
        <w:t>n o pago mediante consignaci</w:t>
      </w:r>
      <w:r>
        <w:rPr>
          <w:rFonts w:cs="Times New Roman"/>
          <w:spacing w:val="-5"/>
          <w:sz w:val="16"/>
          <w:szCs w:val="16"/>
          <w:lang w:val="es-ES_tradnl"/>
        </w:rPr>
        <w:t>ó</w:t>
      </w:r>
      <w:r>
        <w:rPr>
          <w:spacing w:val="-5"/>
          <w:sz w:val="16"/>
          <w:szCs w:val="16"/>
          <w:lang w:val="es-ES_tradnl"/>
        </w:rPr>
        <w:t xml:space="preserve">n, al </w:t>
      </w:r>
      <w:r>
        <w:rPr>
          <w:spacing w:val="-4"/>
          <w:sz w:val="16"/>
          <w:szCs w:val="16"/>
          <w:lang w:val="es-ES_tradnl"/>
        </w:rPr>
        <w:t>tenor de lo dispuesto por el Art. 49 del C</w:t>
      </w:r>
      <w:r>
        <w:rPr>
          <w:rFonts w:cs="Times New Roman"/>
          <w:spacing w:val="-4"/>
          <w:sz w:val="16"/>
          <w:szCs w:val="16"/>
          <w:lang w:val="es-ES_tradnl"/>
        </w:rPr>
        <w:t>ó</w:t>
      </w:r>
      <w:r>
        <w:rPr>
          <w:spacing w:val="-4"/>
          <w:sz w:val="16"/>
          <w:szCs w:val="16"/>
          <w:lang w:val="es-ES_tradnl"/>
        </w:rPr>
        <w:t>digo Tributario</w:t>
      </w:r>
      <w:r>
        <w:rPr>
          <w:rFonts w:cs="Times New Roman"/>
          <w:spacing w:val="-4"/>
          <w:sz w:val="16"/>
          <w:szCs w:val="16"/>
          <w:lang w:val="es-ES_tradnl"/>
        </w:rPr>
        <w:t xml:space="preserve">… </w:t>
      </w:r>
      <w:r>
        <w:rPr>
          <w:spacing w:val="-5"/>
          <w:sz w:val="16"/>
          <w:szCs w:val="16"/>
          <w:lang w:val="es-ES_tradnl"/>
        </w:rPr>
        <w:t xml:space="preserve">SEGUNDA: La Sala al examinar los escritos contentivos de </w:t>
      </w:r>
      <w:r>
        <w:rPr>
          <w:spacing w:val="-4"/>
          <w:sz w:val="16"/>
          <w:szCs w:val="16"/>
          <w:lang w:val="es-ES_tradnl"/>
        </w:rPr>
        <w:t>los Recursos de Hecho y de Casaci</w:t>
      </w:r>
      <w:r>
        <w:rPr>
          <w:rFonts w:cs="Times New Roman"/>
          <w:spacing w:val="-4"/>
          <w:sz w:val="16"/>
          <w:szCs w:val="16"/>
          <w:lang w:val="es-ES_tradnl"/>
        </w:rPr>
        <w:t>ó</w:t>
      </w:r>
      <w:r>
        <w:rPr>
          <w:spacing w:val="-4"/>
          <w:sz w:val="16"/>
          <w:szCs w:val="16"/>
          <w:lang w:val="es-ES_tradnl"/>
        </w:rPr>
        <w:t xml:space="preserve">n encuentra que entre la fecha en que la Tercera Sala del Tribunal Distrital de lo </w:t>
      </w:r>
      <w:r>
        <w:rPr>
          <w:spacing w:val="-9"/>
          <w:sz w:val="16"/>
          <w:szCs w:val="16"/>
          <w:lang w:val="es-ES_tradnl"/>
        </w:rPr>
        <w:t>Fiscal No. 2 con sede en Guayaquil, concede t</w:t>
      </w:r>
      <w:r>
        <w:rPr>
          <w:rFonts w:cs="Times New Roman"/>
          <w:spacing w:val="-9"/>
          <w:sz w:val="16"/>
          <w:szCs w:val="16"/>
          <w:lang w:val="es-ES_tradnl"/>
        </w:rPr>
        <w:t>é</w:t>
      </w:r>
      <w:r>
        <w:rPr>
          <w:spacing w:val="-9"/>
          <w:sz w:val="16"/>
          <w:szCs w:val="16"/>
          <w:lang w:val="es-ES_tradnl"/>
        </w:rPr>
        <w:t xml:space="preserve">rmino para que </w:t>
      </w:r>
      <w:r>
        <w:rPr>
          <w:spacing w:val="-4"/>
          <w:sz w:val="16"/>
          <w:szCs w:val="16"/>
          <w:lang w:val="es-ES_tradnl"/>
        </w:rPr>
        <w:t>la autoridad tributaria legitime la intervenci</w:t>
      </w:r>
      <w:r>
        <w:rPr>
          <w:rFonts w:cs="Times New Roman"/>
          <w:spacing w:val="-4"/>
          <w:sz w:val="16"/>
          <w:szCs w:val="16"/>
          <w:lang w:val="es-ES_tradnl"/>
        </w:rPr>
        <w:t>ó</w:t>
      </w:r>
      <w:r>
        <w:rPr>
          <w:spacing w:val="-4"/>
          <w:sz w:val="16"/>
          <w:szCs w:val="16"/>
          <w:lang w:val="es-ES_tradnl"/>
        </w:rPr>
        <w:t xml:space="preserve">n de la Abgda. </w:t>
      </w:r>
      <w:r>
        <w:rPr>
          <w:rFonts w:cs="Times New Roman"/>
          <w:spacing w:val="-6"/>
          <w:sz w:val="16"/>
          <w:szCs w:val="16"/>
          <w:lang w:val="es-ES_tradnl"/>
        </w:rPr>
        <w:t>Á</w:t>
      </w:r>
      <w:r>
        <w:rPr>
          <w:spacing w:val="-6"/>
          <w:sz w:val="16"/>
          <w:szCs w:val="16"/>
          <w:lang w:val="es-ES_tradnl"/>
        </w:rPr>
        <w:t xml:space="preserve">ngela Ma. Paredes Cavero, esto es, el 20 de junio del 2011 y la providencia que deniega el recurso (5 de noviembre de </w:t>
      </w:r>
      <w:r>
        <w:rPr>
          <w:spacing w:val="-7"/>
          <w:sz w:val="16"/>
          <w:szCs w:val="16"/>
          <w:lang w:val="es-ES_tradnl"/>
        </w:rPr>
        <w:t xml:space="preserve">2012), han transcurrido 16 meses, tiempo suficiente para que </w:t>
      </w:r>
      <w:r>
        <w:rPr>
          <w:spacing w:val="-2"/>
          <w:sz w:val="16"/>
          <w:szCs w:val="16"/>
          <w:lang w:val="es-ES_tradnl"/>
        </w:rPr>
        <w:t>cualquier autoridad, a</w:t>
      </w:r>
      <w:r>
        <w:rPr>
          <w:rFonts w:cs="Times New Roman"/>
          <w:spacing w:val="-2"/>
          <w:sz w:val="16"/>
          <w:szCs w:val="16"/>
          <w:lang w:val="es-ES_tradnl"/>
        </w:rPr>
        <w:t>ú</w:t>
      </w:r>
      <w:r>
        <w:rPr>
          <w:spacing w:val="-2"/>
          <w:sz w:val="16"/>
          <w:szCs w:val="16"/>
          <w:lang w:val="es-ES_tradnl"/>
        </w:rPr>
        <w:t>n fuera del t</w:t>
      </w:r>
      <w:r>
        <w:rPr>
          <w:rFonts w:cs="Times New Roman"/>
          <w:spacing w:val="-2"/>
          <w:sz w:val="16"/>
          <w:szCs w:val="16"/>
          <w:lang w:val="es-ES_tradnl"/>
        </w:rPr>
        <w:t>é</w:t>
      </w:r>
      <w:r>
        <w:rPr>
          <w:spacing w:val="-2"/>
          <w:sz w:val="16"/>
          <w:szCs w:val="16"/>
          <w:lang w:val="es-ES_tradnl"/>
        </w:rPr>
        <w:t xml:space="preserve">rmino pueda legitimar </w:t>
      </w:r>
      <w:r>
        <w:rPr>
          <w:spacing w:val="-6"/>
          <w:sz w:val="16"/>
          <w:szCs w:val="16"/>
          <w:lang w:val="es-ES_tradnl"/>
        </w:rPr>
        <w:t>la intervenci</w:t>
      </w:r>
      <w:r>
        <w:rPr>
          <w:rFonts w:cs="Times New Roman"/>
          <w:spacing w:val="-6"/>
          <w:sz w:val="16"/>
          <w:szCs w:val="16"/>
          <w:lang w:val="es-ES_tradnl"/>
        </w:rPr>
        <w:t>ó</w:t>
      </w:r>
      <w:r>
        <w:rPr>
          <w:spacing w:val="-6"/>
          <w:sz w:val="16"/>
          <w:szCs w:val="16"/>
          <w:lang w:val="es-ES_tradnl"/>
        </w:rPr>
        <w:t>n del profesional que aparece auspici</w:t>
      </w:r>
      <w:r>
        <w:rPr>
          <w:rFonts w:cs="Times New Roman"/>
          <w:spacing w:val="-6"/>
          <w:sz w:val="16"/>
          <w:szCs w:val="16"/>
          <w:lang w:val="es-ES_tradnl"/>
        </w:rPr>
        <w:t>á</w:t>
      </w:r>
      <w:r>
        <w:rPr>
          <w:spacing w:val="-6"/>
          <w:sz w:val="16"/>
          <w:szCs w:val="16"/>
          <w:lang w:val="es-ES_tradnl"/>
        </w:rPr>
        <w:t xml:space="preserve">ndolo </w:t>
      </w:r>
      <w:r>
        <w:rPr>
          <w:spacing w:val="-7"/>
          <w:sz w:val="16"/>
          <w:szCs w:val="16"/>
          <w:lang w:val="es-ES_tradnl"/>
        </w:rPr>
        <w:t xml:space="preserve">(subsanando cualquier inconveniente que haya tenido que </w:t>
      </w:r>
      <w:r>
        <w:rPr>
          <w:spacing w:val="-10"/>
          <w:sz w:val="16"/>
          <w:szCs w:val="16"/>
          <w:lang w:val="es-ES_tradnl"/>
        </w:rPr>
        <w:t>enfrentar) constando adem</w:t>
      </w:r>
      <w:r>
        <w:rPr>
          <w:rFonts w:cs="Times New Roman"/>
          <w:spacing w:val="-10"/>
          <w:sz w:val="16"/>
          <w:szCs w:val="16"/>
          <w:lang w:val="es-ES_tradnl"/>
        </w:rPr>
        <w:t>á</w:t>
      </w:r>
      <w:r>
        <w:rPr>
          <w:spacing w:val="-10"/>
          <w:sz w:val="16"/>
          <w:szCs w:val="16"/>
          <w:lang w:val="es-ES_tradnl"/>
        </w:rPr>
        <w:t>s de autos que dicha desestimaci</w:t>
      </w:r>
      <w:r>
        <w:rPr>
          <w:rFonts w:cs="Times New Roman"/>
          <w:spacing w:val="-10"/>
          <w:sz w:val="16"/>
          <w:szCs w:val="16"/>
          <w:lang w:val="es-ES_tradnl"/>
        </w:rPr>
        <w:t>ó</w:t>
      </w:r>
      <w:r>
        <w:rPr>
          <w:spacing w:val="-10"/>
          <w:sz w:val="16"/>
          <w:szCs w:val="16"/>
          <w:lang w:val="es-ES_tradnl"/>
        </w:rPr>
        <w:t xml:space="preserve">n </w:t>
      </w:r>
      <w:r>
        <w:rPr>
          <w:spacing w:val="-2"/>
          <w:sz w:val="16"/>
          <w:szCs w:val="16"/>
          <w:lang w:val="es-ES_tradnl"/>
        </w:rPr>
        <w:t>no fue intempestiva sino que incluso precedi</w:t>
      </w:r>
      <w:r>
        <w:rPr>
          <w:rFonts w:cs="Times New Roman"/>
          <w:spacing w:val="-2"/>
          <w:sz w:val="16"/>
          <w:szCs w:val="16"/>
          <w:lang w:val="es-ES_tradnl"/>
        </w:rPr>
        <w:t>ó</w:t>
      </w:r>
      <w:r>
        <w:rPr>
          <w:spacing w:val="-2"/>
          <w:sz w:val="16"/>
          <w:szCs w:val="16"/>
          <w:lang w:val="es-ES_tradnl"/>
        </w:rPr>
        <w:t xml:space="preserve"> disposici</w:t>
      </w:r>
      <w:r>
        <w:rPr>
          <w:rFonts w:cs="Times New Roman"/>
          <w:spacing w:val="-2"/>
          <w:sz w:val="16"/>
          <w:szCs w:val="16"/>
          <w:lang w:val="es-ES_tradnl"/>
        </w:rPr>
        <w:t>ó</w:t>
      </w:r>
      <w:r>
        <w:rPr>
          <w:spacing w:val="-2"/>
          <w:sz w:val="16"/>
          <w:szCs w:val="16"/>
          <w:lang w:val="es-ES_tradnl"/>
        </w:rPr>
        <w:t xml:space="preserve">n </w:t>
      </w:r>
      <w:r>
        <w:rPr>
          <w:spacing w:val="-4"/>
          <w:sz w:val="16"/>
          <w:szCs w:val="16"/>
          <w:lang w:val="es-ES_tradnl"/>
        </w:rPr>
        <w:t>de que se siente por Secretar</w:t>
      </w:r>
      <w:r>
        <w:rPr>
          <w:rFonts w:cs="Times New Roman"/>
          <w:spacing w:val="-4"/>
          <w:sz w:val="16"/>
          <w:szCs w:val="16"/>
          <w:lang w:val="es-ES_tradnl"/>
        </w:rPr>
        <w:t>í</w:t>
      </w:r>
      <w:r>
        <w:rPr>
          <w:spacing w:val="-4"/>
          <w:sz w:val="16"/>
          <w:szCs w:val="16"/>
          <w:lang w:val="es-ES_tradnl"/>
        </w:rPr>
        <w:t>a la raz</w:t>
      </w:r>
      <w:r>
        <w:rPr>
          <w:rFonts w:cs="Times New Roman"/>
          <w:spacing w:val="-4"/>
          <w:sz w:val="16"/>
          <w:szCs w:val="16"/>
          <w:lang w:val="es-ES_tradnl"/>
        </w:rPr>
        <w:t>ó</w:t>
      </w:r>
      <w:r>
        <w:rPr>
          <w:spacing w:val="-4"/>
          <w:sz w:val="16"/>
          <w:szCs w:val="16"/>
          <w:lang w:val="es-ES_tradnl"/>
        </w:rPr>
        <w:t>n correspondiente al</w:t>
      </w:r>
    </w:p>
    <w:p w14:paraId="4F67B83D" w14:textId="77777777" w:rsidR="00591D54" w:rsidRDefault="00591D54">
      <w:pPr>
        <w:shd w:val="clear" w:color="auto" w:fill="FFFFFF"/>
        <w:spacing w:line="216" w:lineRule="exact"/>
        <w:ind w:left="283"/>
        <w:jc w:val="both"/>
      </w:pPr>
      <w:r>
        <w:br w:type="column"/>
      </w:r>
      <w:r>
        <w:rPr>
          <w:spacing w:val="-4"/>
          <w:sz w:val="16"/>
          <w:szCs w:val="16"/>
          <w:lang w:val="es-ES_tradnl"/>
        </w:rPr>
        <w:t>cumplimiento o incumplimiento del deber de legitimaci</w:t>
      </w:r>
      <w:r>
        <w:rPr>
          <w:rFonts w:cs="Times New Roman"/>
          <w:spacing w:val="-4"/>
          <w:sz w:val="16"/>
          <w:szCs w:val="16"/>
          <w:lang w:val="es-ES_tradnl"/>
        </w:rPr>
        <w:t>ó</w:t>
      </w:r>
      <w:r>
        <w:rPr>
          <w:spacing w:val="-4"/>
          <w:sz w:val="16"/>
          <w:szCs w:val="16"/>
          <w:lang w:val="es-ES_tradnl"/>
        </w:rPr>
        <w:t xml:space="preserve">n. </w:t>
      </w:r>
      <w:r>
        <w:rPr>
          <w:spacing w:val="-3"/>
          <w:sz w:val="16"/>
          <w:szCs w:val="16"/>
          <w:lang w:val="es-ES_tradnl"/>
        </w:rPr>
        <w:t xml:space="preserve">Respecto a los argumentos expuestos por la autoridad </w:t>
      </w:r>
      <w:r>
        <w:rPr>
          <w:spacing w:val="-6"/>
          <w:sz w:val="16"/>
          <w:szCs w:val="16"/>
          <w:lang w:val="es-ES_tradnl"/>
        </w:rPr>
        <w:t xml:space="preserve">tributaria al interponer el Recurso de Hecho, es preciso tener </w:t>
      </w:r>
      <w:r>
        <w:rPr>
          <w:spacing w:val="-7"/>
          <w:sz w:val="16"/>
          <w:szCs w:val="16"/>
          <w:lang w:val="es-ES_tradnl"/>
        </w:rPr>
        <w:t>en cuenta que las normas que rigen el Recurso de Casaci</w:t>
      </w:r>
      <w:r>
        <w:rPr>
          <w:rFonts w:cs="Times New Roman"/>
          <w:spacing w:val="-7"/>
          <w:sz w:val="16"/>
          <w:szCs w:val="16"/>
          <w:lang w:val="es-ES_tradnl"/>
        </w:rPr>
        <w:t>ó</w:t>
      </w:r>
      <w:r>
        <w:rPr>
          <w:spacing w:val="-7"/>
          <w:sz w:val="16"/>
          <w:szCs w:val="16"/>
          <w:lang w:val="es-ES_tradnl"/>
        </w:rPr>
        <w:t xml:space="preserve">n </w:t>
      </w:r>
      <w:r>
        <w:rPr>
          <w:spacing w:val="-5"/>
          <w:sz w:val="16"/>
          <w:szCs w:val="16"/>
          <w:lang w:val="es-ES_tradnl"/>
        </w:rPr>
        <w:t>son especiales y no admiten ning</w:t>
      </w:r>
      <w:r>
        <w:rPr>
          <w:rFonts w:cs="Times New Roman"/>
          <w:spacing w:val="-5"/>
          <w:sz w:val="16"/>
          <w:szCs w:val="16"/>
          <w:lang w:val="es-ES_tradnl"/>
        </w:rPr>
        <w:t>ú</w:t>
      </w:r>
      <w:r>
        <w:rPr>
          <w:spacing w:val="-5"/>
          <w:sz w:val="16"/>
          <w:szCs w:val="16"/>
          <w:lang w:val="es-ES_tradnl"/>
        </w:rPr>
        <w:t xml:space="preserve">n tipo de incidentes. Las </w:t>
      </w:r>
      <w:r>
        <w:rPr>
          <w:spacing w:val="-6"/>
          <w:sz w:val="16"/>
          <w:szCs w:val="16"/>
          <w:lang w:val="es-ES_tradnl"/>
        </w:rPr>
        <w:t>partes tienen la obligaci</w:t>
      </w:r>
      <w:r>
        <w:rPr>
          <w:rFonts w:cs="Times New Roman"/>
          <w:spacing w:val="-6"/>
          <w:sz w:val="16"/>
          <w:szCs w:val="16"/>
          <w:lang w:val="es-ES_tradnl"/>
        </w:rPr>
        <w:t>ó</w:t>
      </w:r>
      <w:r>
        <w:rPr>
          <w:spacing w:val="-6"/>
          <w:sz w:val="16"/>
          <w:szCs w:val="16"/>
          <w:lang w:val="es-ES_tradnl"/>
        </w:rPr>
        <w:t xml:space="preserve">n de legitimar sus intervenciones sin </w:t>
      </w:r>
      <w:r>
        <w:rPr>
          <w:spacing w:val="-7"/>
          <w:sz w:val="16"/>
          <w:szCs w:val="16"/>
          <w:lang w:val="es-ES_tradnl"/>
        </w:rPr>
        <w:t xml:space="preserve">necesidad de requerimiento previo, desde el momento mismo </w:t>
      </w:r>
      <w:r>
        <w:rPr>
          <w:spacing w:val="-6"/>
          <w:sz w:val="16"/>
          <w:szCs w:val="16"/>
          <w:lang w:val="es-ES_tradnl"/>
        </w:rPr>
        <w:t>de la presentaci</w:t>
      </w:r>
      <w:r>
        <w:rPr>
          <w:rFonts w:cs="Times New Roman"/>
          <w:spacing w:val="-6"/>
          <w:sz w:val="16"/>
          <w:szCs w:val="16"/>
          <w:lang w:val="es-ES_tradnl"/>
        </w:rPr>
        <w:t>ó</w:t>
      </w:r>
      <w:r>
        <w:rPr>
          <w:spacing w:val="-6"/>
          <w:sz w:val="16"/>
          <w:szCs w:val="16"/>
          <w:lang w:val="es-ES_tradnl"/>
        </w:rPr>
        <w:t xml:space="preserve">n del recurso. Y por </w:t>
      </w:r>
      <w:r>
        <w:rPr>
          <w:rFonts w:cs="Times New Roman"/>
          <w:spacing w:val="-6"/>
          <w:sz w:val="16"/>
          <w:szCs w:val="16"/>
          <w:lang w:val="es-ES_tradnl"/>
        </w:rPr>
        <w:t>ú</w:t>
      </w:r>
      <w:r>
        <w:rPr>
          <w:spacing w:val="-6"/>
          <w:sz w:val="16"/>
          <w:szCs w:val="16"/>
          <w:lang w:val="es-ES_tradnl"/>
        </w:rPr>
        <w:t>ltimo, conforme el Art. 330 del C</w:t>
      </w:r>
      <w:r>
        <w:rPr>
          <w:rFonts w:cs="Times New Roman"/>
          <w:spacing w:val="-6"/>
          <w:sz w:val="16"/>
          <w:szCs w:val="16"/>
          <w:lang w:val="es-ES_tradnl"/>
        </w:rPr>
        <w:t>ó</w:t>
      </w:r>
      <w:r>
        <w:rPr>
          <w:spacing w:val="-6"/>
          <w:sz w:val="16"/>
          <w:szCs w:val="16"/>
          <w:lang w:val="es-ES_tradnl"/>
        </w:rPr>
        <w:t>digo Org</w:t>
      </w:r>
      <w:r>
        <w:rPr>
          <w:rFonts w:cs="Times New Roman"/>
          <w:spacing w:val="-6"/>
          <w:sz w:val="16"/>
          <w:szCs w:val="16"/>
          <w:lang w:val="es-ES_tradnl"/>
        </w:rPr>
        <w:t>á</w:t>
      </w:r>
      <w:r>
        <w:rPr>
          <w:spacing w:val="-6"/>
          <w:sz w:val="16"/>
          <w:szCs w:val="16"/>
          <w:lang w:val="es-ES_tradnl"/>
        </w:rPr>
        <w:t>nico de la Funci</w:t>
      </w:r>
      <w:r>
        <w:rPr>
          <w:rFonts w:cs="Times New Roman"/>
          <w:spacing w:val="-6"/>
          <w:sz w:val="16"/>
          <w:szCs w:val="16"/>
          <w:lang w:val="es-ES_tradnl"/>
        </w:rPr>
        <w:t>ó</w:t>
      </w:r>
      <w:r>
        <w:rPr>
          <w:spacing w:val="-6"/>
          <w:sz w:val="16"/>
          <w:szCs w:val="16"/>
          <w:lang w:val="es-ES_tradnl"/>
        </w:rPr>
        <w:t xml:space="preserve">n Judicial, es deber del </w:t>
      </w:r>
      <w:r>
        <w:rPr>
          <w:spacing w:val="-8"/>
          <w:sz w:val="16"/>
          <w:szCs w:val="16"/>
          <w:lang w:val="es-ES_tradnl"/>
        </w:rPr>
        <w:t xml:space="preserve">abogado en el patrocinio de las causas actuar al servicio de la justicia y para este objeto colaborar con los jueces y tribunales, </w:t>
      </w:r>
      <w:r>
        <w:rPr>
          <w:spacing w:val="-7"/>
          <w:sz w:val="16"/>
          <w:szCs w:val="16"/>
          <w:lang w:val="es-ES_tradnl"/>
        </w:rPr>
        <w:t xml:space="preserve">lo que incluye el cumplimiento de las disposiciones que </w:t>
      </w:r>
      <w:r>
        <w:rPr>
          <w:rFonts w:cs="Times New Roman"/>
          <w:spacing w:val="-7"/>
          <w:sz w:val="16"/>
          <w:szCs w:val="16"/>
          <w:lang w:val="es-ES_tradnl"/>
        </w:rPr>
        <w:t>é</w:t>
      </w:r>
      <w:r>
        <w:rPr>
          <w:spacing w:val="-7"/>
          <w:sz w:val="16"/>
          <w:szCs w:val="16"/>
          <w:lang w:val="es-ES_tradnl"/>
        </w:rPr>
        <w:t xml:space="preserve">stos </w:t>
      </w:r>
      <w:r>
        <w:rPr>
          <w:spacing w:val="-8"/>
          <w:sz w:val="16"/>
          <w:szCs w:val="16"/>
          <w:lang w:val="es-ES_tradnl"/>
        </w:rPr>
        <w:t>den en la tramitaci</w:t>
      </w:r>
      <w:r>
        <w:rPr>
          <w:rFonts w:cs="Times New Roman"/>
          <w:spacing w:val="-8"/>
          <w:sz w:val="16"/>
          <w:szCs w:val="16"/>
          <w:lang w:val="es-ES_tradnl"/>
        </w:rPr>
        <w:t>ó</w:t>
      </w:r>
      <w:r>
        <w:rPr>
          <w:spacing w:val="-8"/>
          <w:sz w:val="16"/>
          <w:szCs w:val="16"/>
          <w:lang w:val="es-ES_tradnl"/>
        </w:rPr>
        <w:t>n del proceso</w:t>
      </w:r>
      <w:r>
        <w:rPr>
          <w:rFonts w:cs="Times New Roman"/>
          <w:spacing w:val="-8"/>
          <w:sz w:val="16"/>
          <w:szCs w:val="16"/>
          <w:lang w:val="es-ES_tradnl"/>
        </w:rPr>
        <w:t>…</w:t>
      </w:r>
      <w:r>
        <w:rPr>
          <w:spacing w:val="-8"/>
          <w:sz w:val="16"/>
          <w:szCs w:val="16"/>
          <w:lang w:val="es-ES_tradnl"/>
        </w:rPr>
        <w:t xml:space="preserve">Por estas consideraciones, </w:t>
      </w:r>
      <w:r>
        <w:rPr>
          <w:spacing w:val="-6"/>
          <w:sz w:val="16"/>
          <w:szCs w:val="16"/>
          <w:lang w:val="es-ES_tradnl"/>
        </w:rPr>
        <w:t>la Sala, de conformidad con el Art. 201, n</w:t>
      </w:r>
      <w:r>
        <w:rPr>
          <w:rFonts w:cs="Times New Roman"/>
          <w:spacing w:val="-6"/>
          <w:sz w:val="16"/>
          <w:szCs w:val="16"/>
          <w:lang w:val="es-ES_tradnl"/>
        </w:rPr>
        <w:t>ú</w:t>
      </w:r>
      <w:r>
        <w:rPr>
          <w:spacing w:val="-6"/>
          <w:sz w:val="16"/>
          <w:szCs w:val="16"/>
          <w:lang w:val="es-ES_tradnl"/>
        </w:rPr>
        <w:t>mero 2 del C</w:t>
      </w:r>
      <w:r>
        <w:rPr>
          <w:rFonts w:cs="Times New Roman"/>
          <w:spacing w:val="-6"/>
          <w:sz w:val="16"/>
          <w:szCs w:val="16"/>
          <w:lang w:val="es-ES_tradnl"/>
        </w:rPr>
        <w:t>ó</w:t>
      </w:r>
      <w:r>
        <w:rPr>
          <w:spacing w:val="-6"/>
          <w:sz w:val="16"/>
          <w:szCs w:val="16"/>
          <w:lang w:val="es-ES_tradnl"/>
        </w:rPr>
        <w:t xml:space="preserve">digo </w:t>
      </w:r>
      <w:r>
        <w:rPr>
          <w:spacing w:val="-5"/>
          <w:sz w:val="16"/>
          <w:szCs w:val="16"/>
          <w:lang w:val="es-ES_tradnl"/>
        </w:rPr>
        <w:t>Org</w:t>
      </w:r>
      <w:r>
        <w:rPr>
          <w:rFonts w:cs="Times New Roman"/>
          <w:spacing w:val="-5"/>
          <w:sz w:val="16"/>
          <w:szCs w:val="16"/>
          <w:lang w:val="es-ES_tradnl"/>
        </w:rPr>
        <w:t>á</w:t>
      </w:r>
      <w:r>
        <w:rPr>
          <w:spacing w:val="-5"/>
          <w:sz w:val="16"/>
          <w:szCs w:val="16"/>
          <w:lang w:val="es-ES_tradnl"/>
        </w:rPr>
        <w:t>nico de la Funci</w:t>
      </w:r>
      <w:r>
        <w:rPr>
          <w:rFonts w:cs="Times New Roman"/>
          <w:spacing w:val="-5"/>
          <w:sz w:val="16"/>
          <w:szCs w:val="16"/>
          <w:lang w:val="es-ES_tradnl"/>
        </w:rPr>
        <w:t>ó</w:t>
      </w:r>
      <w:r>
        <w:rPr>
          <w:spacing w:val="-5"/>
          <w:sz w:val="16"/>
          <w:szCs w:val="16"/>
          <w:lang w:val="es-ES_tradnl"/>
        </w:rPr>
        <w:t xml:space="preserve">n Judicial y los Arts. 8 y 9 de la Ley de </w:t>
      </w:r>
      <w:r>
        <w:rPr>
          <w:spacing w:val="-8"/>
          <w:sz w:val="16"/>
          <w:szCs w:val="16"/>
          <w:lang w:val="es-ES_tradnl"/>
        </w:rPr>
        <w:t>Casaci</w:t>
      </w:r>
      <w:r>
        <w:rPr>
          <w:rFonts w:cs="Times New Roman"/>
          <w:spacing w:val="-8"/>
          <w:sz w:val="16"/>
          <w:szCs w:val="16"/>
          <w:lang w:val="es-ES_tradnl"/>
        </w:rPr>
        <w:t>ó</w:t>
      </w:r>
      <w:r>
        <w:rPr>
          <w:spacing w:val="-8"/>
          <w:sz w:val="16"/>
          <w:szCs w:val="16"/>
          <w:lang w:val="es-ES_tradnl"/>
        </w:rPr>
        <w:t xml:space="preserve">n codificada, califica la inadmisibilidad del Recurso de </w:t>
      </w:r>
      <w:r>
        <w:rPr>
          <w:spacing w:val="-7"/>
          <w:sz w:val="16"/>
          <w:szCs w:val="16"/>
          <w:lang w:val="es-ES_tradnl"/>
        </w:rPr>
        <w:t>Hecho, y por ende, el de Casaci</w:t>
      </w:r>
      <w:r>
        <w:rPr>
          <w:rFonts w:cs="Times New Roman"/>
          <w:spacing w:val="-7"/>
          <w:sz w:val="16"/>
          <w:szCs w:val="16"/>
          <w:lang w:val="es-ES_tradnl"/>
        </w:rPr>
        <w:t>ó</w:t>
      </w:r>
      <w:r>
        <w:rPr>
          <w:spacing w:val="-7"/>
          <w:sz w:val="16"/>
          <w:szCs w:val="16"/>
          <w:lang w:val="es-ES_tradnl"/>
        </w:rPr>
        <w:t xml:space="preserve">n presentado a nombre del </w:t>
      </w:r>
      <w:r>
        <w:rPr>
          <w:spacing w:val="-8"/>
          <w:sz w:val="16"/>
          <w:szCs w:val="16"/>
          <w:lang w:val="es-ES_tradnl"/>
        </w:rPr>
        <w:t>doctor Carlos Orde</w:t>
      </w:r>
      <w:r>
        <w:rPr>
          <w:rFonts w:cs="Times New Roman"/>
          <w:spacing w:val="-8"/>
          <w:sz w:val="16"/>
          <w:szCs w:val="16"/>
          <w:lang w:val="es-ES_tradnl"/>
        </w:rPr>
        <w:t>ñ</w:t>
      </w:r>
      <w:r>
        <w:rPr>
          <w:spacing w:val="-8"/>
          <w:sz w:val="16"/>
          <w:szCs w:val="16"/>
          <w:lang w:val="es-ES_tradnl"/>
        </w:rPr>
        <w:t>ana Carri</w:t>
      </w:r>
      <w:r>
        <w:rPr>
          <w:rFonts w:cs="Times New Roman"/>
          <w:spacing w:val="-8"/>
          <w:sz w:val="16"/>
          <w:szCs w:val="16"/>
          <w:lang w:val="es-ES_tradnl"/>
        </w:rPr>
        <w:t>ó</w:t>
      </w:r>
      <w:r>
        <w:rPr>
          <w:spacing w:val="-8"/>
          <w:sz w:val="16"/>
          <w:szCs w:val="16"/>
          <w:lang w:val="es-ES_tradnl"/>
        </w:rPr>
        <w:t xml:space="preserve">n y del economista Juan Miguel </w:t>
      </w:r>
      <w:r>
        <w:rPr>
          <w:spacing w:val="-2"/>
          <w:sz w:val="16"/>
          <w:szCs w:val="16"/>
          <w:lang w:val="es-ES_tradnl"/>
        </w:rPr>
        <w:t>Avil</w:t>
      </w:r>
      <w:r>
        <w:rPr>
          <w:rFonts w:cs="Times New Roman"/>
          <w:spacing w:val="-2"/>
          <w:sz w:val="16"/>
          <w:szCs w:val="16"/>
          <w:lang w:val="es-ES_tradnl"/>
        </w:rPr>
        <w:t>é</w:t>
      </w:r>
      <w:r>
        <w:rPr>
          <w:spacing w:val="-2"/>
          <w:sz w:val="16"/>
          <w:szCs w:val="16"/>
          <w:lang w:val="es-ES_tradnl"/>
        </w:rPr>
        <w:t xml:space="preserve">s Murillo, Directores suplente y titular de la Regional </w:t>
      </w:r>
      <w:r>
        <w:rPr>
          <w:spacing w:val="-6"/>
          <w:sz w:val="16"/>
          <w:szCs w:val="16"/>
          <w:lang w:val="es-ES_tradnl"/>
        </w:rPr>
        <w:t xml:space="preserve">del Servicio de Rentas Internas Litoral Sur, respectivamente </w:t>
      </w:r>
      <w:r>
        <w:rPr>
          <w:spacing w:val="-7"/>
          <w:sz w:val="16"/>
          <w:szCs w:val="16"/>
          <w:lang w:val="es-ES_tradnl"/>
        </w:rPr>
        <w:t xml:space="preserve">contra la sentencia dictada el 9 de junio de 2011, a las 15H53, </w:t>
      </w:r>
      <w:r>
        <w:rPr>
          <w:spacing w:val="-6"/>
          <w:sz w:val="16"/>
          <w:szCs w:val="16"/>
          <w:lang w:val="es-ES_tradnl"/>
        </w:rPr>
        <w:t xml:space="preserve">por la Tercera Sala del Tribunal Distrital de lo Fiscal No.2 con </w:t>
      </w:r>
      <w:r>
        <w:rPr>
          <w:sz w:val="16"/>
          <w:szCs w:val="16"/>
          <w:lang w:val="es-ES_tradnl"/>
        </w:rPr>
        <w:t>sede en Guayaquil.</w:t>
      </w:r>
    </w:p>
    <w:p w14:paraId="4F67B83E" w14:textId="77777777" w:rsidR="00591D54" w:rsidRDefault="00591D54">
      <w:pPr>
        <w:shd w:val="clear" w:color="auto" w:fill="FFFFFF"/>
        <w:spacing w:before="202"/>
      </w:pPr>
      <w:r>
        <w:rPr>
          <w:b/>
          <w:bCs/>
          <w:spacing w:val="-10"/>
          <w:sz w:val="18"/>
          <w:szCs w:val="18"/>
          <w:lang w:val="es-ES_tradnl"/>
        </w:rPr>
        <w:t>Fundamentos y pretensi</w:t>
      </w:r>
      <w:r>
        <w:rPr>
          <w:rFonts w:cs="Times New Roman"/>
          <w:b/>
          <w:bCs/>
          <w:spacing w:val="-10"/>
          <w:sz w:val="18"/>
          <w:szCs w:val="18"/>
          <w:lang w:val="es-ES_tradnl"/>
        </w:rPr>
        <w:t>ó</w:t>
      </w:r>
      <w:r>
        <w:rPr>
          <w:b/>
          <w:bCs/>
          <w:spacing w:val="-10"/>
          <w:sz w:val="18"/>
          <w:szCs w:val="18"/>
          <w:lang w:val="es-ES_tradnl"/>
        </w:rPr>
        <w:t>n de la demanda</w:t>
      </w:r>
    </w:p>
    <w:p w14:paraId="4F67B83F" w14:textId="77777777" w:rsidR="00591D54" w:rsidRDefault="00591D54">
      <w:pPr>
        <w:shd w:val="clear" w:color="auto" w:fill="FFFFFF"/>
        <w:spacing w:before="197"/>
      </w:pPr>
      <w:r>
        <w:rPr>
          <w:b/>
          <w:bCs/>
          <w:spacing w:val="-13"/>
          <w:sz w:val="18"/>
          <w:szCs w:val="18"/>
          <w:lang w:val="es-ES_tradnl"/>
        </w:rPr>
        <w:t>Antecedentes</w:t>
      </w:r>
    </w:p>
    <w:p w14:paraId="4F67B840" w14:textId="77777777" w:rsidR="00591D54" w:rsidRDefault="00591D54">
      <w:pPr>
        <w:shd w:val="clear" w:color="auto" w:fill="FFFFFF"/>
        <w:spacing w:before="197" w:line="216" w:lineRule="exact"/>
        <w:jc w:val="both"/>
      </w:pPr>
      <w:r>
        <w:rPr>
          <w:spacing w:val="-14"/>
          <w:sz w:val="18"/>
          <w:szCs w:val="18"/>
          <w:lang w:val="es-ES_tradnl"/>
        </w:rPr>
        <w:t>El se</w:t>
      </w:r>
      <w:r>
        <w:rPr>
          <w:rFonts w:cs="Times New Roman"/>
          <w:spacing w:val="-14"/>
          <w:sz w:val="18"/>
          <w:szCs w:val="18"/>
          <w:lang w:val="es-ES_tradnl"/>
        </w:rPr>
        <w:t>ñ</w:t>
      </w:r>
      <w:r>
        <w:rPr>
          <w:spacing w:val="-14"/>
          <w:sz w:val="18"/>
          <w:szCs w:val="18"/>
          <w:lang w:val="es-ES_tradnl"/>
        </w:rPr>
        <w:t>or Juan S</w:t>
      </w:r>
      <w:r>
        <w:rPr>
          <w:rFonts w:cs="Times New Roman"/>
          <w:spacing w:val="-14"/>
          <w:sz w:val="18"/>
          <w:szCs w:val="18"/>
          <w:lang w:val="es-ES_tradnl"/>
        </w:rPr>
        <w:t>á</w:t>
      </w:r>
      <w:r>
        <w:rPr>
          <w:spacing w:val="-14"/>
          <w:sz w:val="18"/>
          <w:szCs w:val="18"/>
          <w:lang w:val="es-ES_tradnl"/>
        </w:rPr>
        <w:t>nchez Rodr</w:t>
      </w:r>
      <w:r>
        <w:rPr>
          <w:rFonts w:cs="Times New Roman"/>
          <w:spacing w:val="-14"/>
          <w:sz w:val="18"/>
          <w:szCs w:val="18"/>
          <w:lang w:val="es-ES_tradnl"/>
        </w:rPr>
        <w:t>í</w:t>
      </w:r>
      <w:r>
        <w:rPr>
          <w:spacing w:val="-14"/>
          <w:sz w:val="18"/>
          <w:szCs w:val="18"/>
          <w:lang w:val="es-ES_tradnl"/>
        </w:rPr>
        <w:t xml:space="preserve">guez, en calidad de representante </w:t>
      </w:r>
      <w:r>
        <w:rPr>
          <w:spacing w:val="-5"/>
          <w:sz w:val="18"/>
          <w:szCs w:val="18"/>
          <w:lang w:val="es-ES_tradnl"/>
        </w:rPr>
        <w:t>legal de la compa</w:t>
      </w:r>
      <w:r>
        <w:rPr>
          <w:rFonts w:cs="Times New Roman"/>
          <w:spacing w:val="-5"/>
          <w:sz w:val="18"/>
          <w:szCs w:val="18"/>
          <w:lang w:val="es-ES_tradnl"/>
        </w:rPr>
        <w:t>ñí</w:t>
      </w:r>
      <w:r>
        <w:rPr>
          <w:spacing w:val="-5"/>
          <w:sz w:val="18"/>
          <w:szCs w:val="18"/>
          <w:lang w:val="es-ES_tradnl"/>
        </w:rPr>
        <w:t>a distribuidora GEYOCA C. A., inici</w:t>
      </w:r>
      <w:r>
        <w:rPr>
          <w:rFonts w:cs="Times New Roman"/>
          <w:spacing w:val="-5"/>
          <w:sz w:val="18"/>
          <w:szCs w:val="18"/>
          <w:lang w:val="es-ES_tradnl"/>
        </w:rPr>
        <w:t xml:space="preserve">ó </w:t>
      </w:r>
      <w:r>
        <w:rPr>
          <w:spacing w:val="-7"/>
          <w:sz w:val="18"/>
          <w:szCs w:val="18"/>
          <w:lang w:val="es-ES_tradnl"/>
        </w:rPr>
        <w:t>un juicio de impugnaci</w:t>
      </w:r>
      <w:r>
        <w:rPr>
          <w:rFonts w:cs="Times New Roman"/>
          <w:spacing w:val="-7"/>
          <w:sz w:val="18"/>
          <w:szCs w:val="18"/>
          <w:lang w:val="es-ES_tradnl"/>
        </w:rPr>
        <w:t>ó</w:t>
      </w:r>
      <w:r>
        <w:rPr>
          <w:spacing w:val="-7"/>
          <w:sz w:val="18"/>
          <w:szCs w:val="18"/>
          <w:lang w:val="es-ES_tradnl"/>
        </w:rPr>
        <w:t xml:space="preserve">n en contra del director general del </w:t>
      </w:r>
      <w:r>
        <w:rPr>
          <w:spacing w:val="-8"/>
          <w:sz w:val="18"/>
          <w:szCs w:val="18"/>
          <w:lang w:val="es-ES_tradnl"/>
        </w:rPr>
        <w:t xml:space="preserve">Servicio de Rentas Internas, el cual fue sustanciado por los </w:t>
      </w:r>
      <w:r>
        <w:rPr>
          <w:spacing w:val="-7"/>
          <w:sz w:val="18"/>
          <w:szCs w:val="18"/>
          <w:lang w:val="es-ES_tradnl"/>
        </w:rPr>
        <w:t xml:space="preserve">jueces de la Tercera Sala del Tribunal Distrital de lo Fiscal </w:t>
      </w:r>
      <w:r>
        <w:rPr>
          <w:spacing w:val="-8"/>
          <w:sz w:val="18"/>
          <w:szCs w:val="18"/>
          <w:lang w:val="es-ES_tradnl"/>
        </w:rPr>
        <w:t>N.</w:t>
      </w:r>
      <w:r>
        <w:rPr>
          <w:rFonts w:cs="Times New Roman"/>
          <w:spacing w:val="-8"/>
          <w:sz w:val="18"/>
          <w:szCs w:val="18"/>
          <w:lang w:val="es-ES_tradnl"/>
        </w:rPr>
        <w:t>°</w:t>
      </w:r>
      <w:r>
        <w:rPr>
          <w:spacing w:val="-8"/>
          <w:sz w:val="18"/>
          <w:szCs w:val="18"/>
          <w:lang w:val="es-ES_tradnl"/>
        </w:rPr>
        <w:t xml:space="preserve"> 2 con sede en Guayaquil, quienes mediante sentencia </w:t>
      </w:r>
      <w:r>
        <w:rPr>
          <w:spacing w:val="-5"/>
          <w:sz w:val="18"/>
          <w:szCs w:val="18"/>
          <w:lang w:val="es-ES_tradnl"/>
        </w:rPr>
        <w:t xml:space="preserve">del 9 de junio de 2011, aceptaron la demanda propuesta </w:t>
      </w:r>
      <w:r>
        <w:rPr>
          <w:spacing w:val="-4"/>
          <w:sz w:val="18"/>
          <w:szCs w:val="18"/>
          <w:lang w:val="es-ES_tradnl"/>
        </w:rPr>
        <w:t xml:space="preserve">y dispusieron que el Servicio de Rentas Internas Litoral </w:t>
      </w:r>
      <w:r>
        <w:rPr>
          <w:spacing w:val="-6"/>
          <w:sz w:val="18"/>
          <w:szCs w:val="18"/>
          <w:lang w:val="es-ES_tradnl"/>
        </w:rPr>
        <w:t xml:space="preserve">Sur reciba de la sucursal del Banco Nacional de Fomento </w:t>
      </w:r>
      <w:r>
        <w:rPr>
          <w:spacing w:val="-7"/>
          <w:sz w:val="18"/>
          <w:szCs w:val="18"/>
          <w:lang w:val="es-ES_tradnl"/>
        </w:rPr>
        <w:t>el pago por consignaci</w:t>
      </w:r>
      <w:r>
        <w:rPr>
          <w:rFonts w:cs="Times New Roman"/>
          <w:spacing w:val="-7"/>
          <w:sz w:val="18"/>
          <w:szCs w:val="18"/>
          <w:lang w:val="es-ES_tradnl"/>
        </w:rPr>
        <w:t>ó</w:t>
      </w:r>
      <w:r>
        <w:rPr>
          <w:spacing w:val="-7"/>
          <w:sz w:val="18"/>
          <w:szCs w:val="18"/>
          <w:lang w:val="es-ES_tradnl"/>
        </w:rPr>
        <w:t xml:space="preserve">n efectuado el 17 de diciembre de </w:t>
      </w:r>
      <w:r>
        <w:rPr>
          <w:spacing w:val="-5"/>
          <w:sz w:val="18"/>
          <w:szCs w:val="18"/>
          <w:lang w:val="es-ES_tradnl"/>
        </w:rPr>
        <w:t>1990, a la cuenta corriente N.</w:t>
      </w:r>
      <w:r>
        <w:rPr>
          <w:rFonts w:cs="Times New Roman"/>
          <w:spacing w:val="-5"/>
          <w:sz w:val="18"/>
          <w:szCs w:val="18"/>
          <w:lang w:val="es-ES_tradnl"/>
        </w:rPr>
        <w:t>°</w:t>
      </w:r>
      <w:r>
        <w:rPr>
          <w:spacing w:val="-5"/>
          <w:sz w:val="18"/>
          <w:szCs w:val="18"/>
          <w:lang w:val="es-ES_tradnl"/>
        </w:rPr>
        <w:t xml:space="preserve"> 5085601 por la suma de </w:t>
      </w:r>
      <w:r>
        <w:rPr>
          <w:sz w:val="18"/>
          <w:szCs w:val="18"/>
          <w:lang w:val="es-ES_tradnl"/>
        </w:rPr>
        <w:t>3.030 d</w:t>
      </w:r>
      <w:r>
        <w:rPr>
          <w:rFonts w:cs="Times New Roman"/>
          <w:sz w:val="18"/>
          <w:szCs w:val="18"/>
          <w:lang w:val="es-ES_tradnl"/>
        </w:rPr>
        <w:t>ó</w:t>
      </w:r>
      <w:r>
        <w:rPr>
          <w:sz w:val="18"/>
          <w:szCs w:val="18"/>
          <w:lang w:val="es-ES_tradnl"/>
        </w:rPr>
        <w:t>lares.</w:t>
      </w:r>
    </w:p>
    <w:p w14:paraId="4F67B841" w14:textId="77777777" w:rsidR="00591D54" w:rsidRDefault="00591D54">
      <w:pPr>
        <w:shd w:val="clear" w:color="auto" w:fill="FFFFFF"/>
        <w:spacing w:before="197" w:line="216" w:lineRule="exact"/>
        <w:jc w:val="both"/>
      </w:pPr>
      <w:r>
        <w:rPr>
          <w:spacing w:val="-2"/>
          <w:sz w:val="18"/>
          <w:szCs w:val="18"/>
          <w:lang w:val="es-ES_tradnl"/>
        </w:rPr>
        <w:t xml:space="preserve">El Director Regional del Servicio de Rentas Internas </w:t>
      </w:r>
      <w:r>
        <w:rPr>
          <w:spacing w:val="-9"/>
          <w:sz w:val="18"/>
          <w:szCs w:val="18"/>
          <w:lang w:val="es-ES_tradnl"/>
        </w:rPr>
        <w:t>Litoral Sur, a trav</w:t>
      </w:r>
      <w:r>
        <w:rPr>
          <w:rFonts w:cs="Times New Roman"/>
          <w:spacing w:val="-9"/>
          <w:sz w:val="18"/>
          <w:szCs w:val="18"/>
          <w:lang w:val="es-ES_tradnl"/>
        </w:rPr>
        <w:t>é</w:t>
      </w:r>
      <w:r>
        <w:rPr>
          <w:spacing w:val="-9"/>
          <w:sz w:val="18"/>
          <w:szCs w:val="18"/>
          <w:lang w:val="es-ES_tradnl"/>
        </w:rPr>
        <w:t xml:space="preserve">s de la abogada </w:t>
      </w:r>
      <w:r>
        <w:rPr>
          <w:rFonts w:cs="Times New Roman"/>
          <w:spacing w:val="-9"/>
          <w:sz w:val="18"/>
          <w:szCs w:val="18"/>
          <w:lang w:val="es-ES_tradnl"/>
        </w:rPr>
        <w:t>Á</w:t>
      </w:r>
      <w:r>
        <w:rPr>
          <w:spacing w:val="-9"/>
          <w:sz w:val="18"/>
          <w:szCs w:val="18"/>
          <w:lang w:val="es-ES_tradnl"/>
        </w:rPr>
        <w:t xml:space="preserve">ngela Paredes Cavero, </w:t>
      </w:r>
      <w:r>
        <w:rPr>
          <w:spacing w:val="-8"/>
          <w:sz w:val="18"/>
          <w:szCs w:val="18"/>
          <w:lang w:val="es-ES_tradnl"/>
        </w:rPr>
        <w:t>ofreciendo ratificaci</w:t>
      </w:r>
      <w:r>
        <w:rPr>
          <w:rFonts w:cs="Times New Roman"/>
          <w:spacing w:val="-8"/>
          <w:sz w:val="18"/>
          <w:szCs w:val="18"/>
          <w:lang w:val="es-ES_tradnl"/>
        </w:rPr>
        <w:t>ó</w:t>
      </w:r>
      <w:r>
        <w:rPr>
          <w:spacing w:val="-8"/>
          <w:sz w:val="18"/>
          <w:szCs w:val="18"/>
          <w:lang w:val="es-ES_tradnl"/>
        </w:rPr>
        <w:t>n, interpuso recurso de casaci</w:t>
      </w:r>
      <w:r>
        <w:rPr>
          <w:rFonts w:cs="Times New Roman"/>
          <w:spacing w:val="-8"/>
          <w:sz w:val="18"/>
          <w:szCs w:val="18"/>
          <w:lang w:val="es-ES_tradnl"/>
        </w:rPr>
        <w:t>ó</w:t>
      </w:r>
      <w:r>
        <w:rPr>
          <w:spacing w:val="-8"/>
          <w:sz w:val="18"/>
          <w:szCs w:val="18"/>
          <w:lang w:val="es-ES_tradnl"/>
        </w:rPr>
        <w:t xml:space="preserve">n ante </w:t>
      </w:r>
      <w:r>
        <w:rPr>
          <w:sz w:val="18"/>
          <w:szCs w:val="18"/>
          <w:lang w:val="es-ES_tradnl"/>
        </w:rPr>
        <w:t>la Corte Nacional de Justicia.</w:t>
      </w:r>
    </w:p>
    <w:p w14:paraId="4F67B842" w14:textId="77777777" w:rsidR="00591D54" w:rsidRDefault="00591D54">
      <w:pPr>
        <w:shd w:val="clear" w:color="auto" w:fill="FFFFFF"/>
        <w:spacing w:before="197" w:line="221" w:lineRule="exact"/>
        <w:jc w:val="both"/>
      </w:pPr>
      <w:r>
        <w:rPr>
          <w:spacing w:val="-4"/>
          <w:sz w:val="18"/>
          <w:szCs w:val="18"/>
          <w:lang w:val="es-ES_tradnl"/>
        </w:rPr>
        <w:t xml:space="preserve">El 20 de junio de 2011, el Tribunal dispuso que, previo a </w:t>
      </w:r>
      <w:r>
        <w:rPr>
          <w:spacing w:val="-5"/>
          <w:sz w:val="18"/>
          <w:szCs w:val="18"/>
          <w:lang w:val="es-ES_tradnl"/>
        </w:rPr>
        <w:t>la calificaci</w:t>
      </w:r>
      <w:r>
        <w:rPr>
          <w:rFonts w:cs="Times New Roman"/>
          <w:spacing w:val="-5"/>
          <w:sz w:val="18"/>
          <w:szCs w:val="18"/>
          <w:lang w:val="es-ES_tradnl"/>
        </w:rPr>
        <w:t>ó</w:t>
      </w:r>
      <w:r>
        <w:rPr>
          <w:spacing w:val="-5"/>
          <w:sz w:val="18"/>
          <w:szCs w:val="18"/>
          <w:lang w:val="es-ES_tradnl"/>
        </w:rPr>
        <w:t>n del recurso, en el t</w:t>
      </w:r>
      <w:r>
        <w:rPr>
          <w:rFonts w:cs="Times New Roman"/>
          <w:spacing w:val="-5"/>
          <w:sz w:val="18"/>
          <w:szCs w:val="18"/>
          <w:lang w:val="es-ES_tradnl"/>
        </w:rPr>
        <w:t>é</w:t>
      </w:r>
      <w:r>
        <w:rPr>
          <w:spacing w:val="-5"/>
          <w:sz w:val="18"/>
          <w:szCs w:val="18"/>
          <w:lang w:val="es-ES_tradnl"/>
        </w:rPr>
        <w:t>rmino de tres d</w:t>
      </w:r>
      <w:r>
        <w:rPr>
          <w:rFonts w:cs="Times New Roman"/>
          <w:spacing w:val="-5"/>
          <w:sz w:val="18"/>
          <w:szCs w:val="18"/>
          <w:lang w:val="es-ES_tradnl"/>
        </w:rPr>
        <w:t>í</w:t>
      </w:r>
      <w:r>
        <w:rPr>
          <w:spacing w:val="-5"/>
          <w:sz w:val="18"/>
          <w:szCs w:val="18"/>
          <w:lang w:val="es-ES_tradnl"/>
        </w:rPr>
        <w:t xml:space="preserve">as, la </w:t>
      </w:r>
      <w:r>
        <w:rPr>
          <w:spacing w:val="-4"/>
          <w:sz w:val="18"/>
          <w:szCs w:val="18"/>
          <w:lang w:val="es-ES_tradnl"/>
        </w:rPr>
        <w:t xml:space="preserve">autoridad tributaria ratifique el escrito presentado bajo </w:t>
      </w:r>
      <w:r>
        <w:rPr>
          <w:sz w:val="18"/>
          <w:szCs w:val="18"/>
          <w:lang w:val="es-ES_tradnl"/>
        </w:rPr>
        <w:t>prevenciones de ley.</w:t>
      </w:r>
    </w:p>
    <w:p w14:paraId="4F67B843" w14:textId="77777777" w:rsidR="00591D54" w:rsidRDefault="00591D54">
      <w:pPr>
        <w:shd w:val="clear" w:color="auto" w:fill="FFFFFF"/>
        <w:spacing w:before="202" w:line="216" w:lineRule="exact"/>
        <w:jc w:val="both"/>
      </w:pPr>
      <w:r>
        <w:rPr>
          <w:spacing w:val="-8"/>
          <w:sz w:val="18"/>
          <w:szCs w:val="18"/>
          <w:lang w:val="es-ES_tradnl"/>
        </w:rPr>
        <w:t xml:space="preserve">EL 02 de agosto de 2011, los jueces de la Tercera Sala del </w:t>
      </w:r>
      <w:r>
        <w:rPr>
          <w:spacing w:val="-5"/>
          <w:sz w:val="18"/>
          <w:szCs w:val="18"/>
          <w:lang w:val="es-ES_tradnl"/>
        </w:rPr>
        <w:t>referido Tribunal dispusieron que la actuaria de la Sala siente raz</w:t>
      </w:r>
      <w:r>
        <w:rPr>
          <w:rFonts w:cs="Times New Roman"/>
          <w:spacing w:val="-5"/>
          <w:sz w:val="18"/>
          <w:szCs w:val="18"/>
          <w:lang w:val="es-ES_tradnl"/>
        </w:rPr>
        <w:t>ó</w:t>
      </w:r>
      <w:r>
        <w:rPr>
          <w:spacing w:val="-5"/>
          <w:sz w:val="18"/>
          <w:szCs w:val="18"/>
          <w:lang w:val="es-ES_tradnl"/>
        </w:rPr>
        <w:t xml:space="preserve">n de si la entidad recurrente ha ratificado el </w:t>
      </w:r>
      <w:r>
        <w:rPr>
          <w:spacing w:val="-10"/>
          <w:sz w:val="18"/>
          <w:szCs w:val="18"/>
          <w:lang w:val="es-ES_tradnl"/>
        </w:rPr>
        <w:t>escrito contentivo del recurso de casaci</w:t>
      </w:r>
      <w:r>
        <w:rPr>
          <w:rFonts w:cs="Times New Roman"/>
          <w:spacing w:val="-10"/>
          <w:sz w:val="18"/>
          <w:szCs w:val="18"/>
          <w:lang w:val="es-ES_tradnl"/>
        </w:rPr>
        <w:t>ó</w:t>
      </w:r>
      <w:r>
        <w:rPr>
          <w:spacing w:val="-10"/>
          <w:sz w:val="18"/>
          <w:szCs w:val="18"/>
          <w:lang w:val="es-ES_tradnl"/>
        </w:rPr>
        <w:t xml:space="preserve">n presentado, quien </w:t>
      </w:r>
      <w:r>
        <w:rPr>
          <w:spacing w:val="-6"/>
          <w:sz w:val="18"/>
          <w:szCs w:val="18"/>
          <w:lang w:val="es-ES_tradnl"/>
        </w:rPr>
        <w:t>se</w:t>
      </w:r>
      <w:r>
        <w:rPr>
          <w:rFonts w:cs="Times New Roman"/>
          <w:spacing w:val="-6"/>
          <w:sz w:val="18"/>
          <w:szCs w:val="18"/>
          <w:lang w:val="es-ES_tradnl"/>
        </w:rPr>
        <w:t>ñ</w:t>
      </w:r>
      <w:r>
        <w:rPr>
          <w:spacing w:val="-6"/>
          <w:sz w:val="18"/>
          <w:szCs w:val="18"/>
          <w:lang w:val="es-ES_tradnl"/>
        </w:rPr>
        <w:t>al</w:t>
      </w:r>
      <w:r>
        <w:rPr>
          <w:rFonts w:cs="Times New Roman"/>
          <w:spacing w:val="-6"/>
          <w:sz w:val="18"/>
          <w:szCs w:val="18"/>
          <w:lang w:val="es-ES_tradnl"/>
        </w:rPr>
        <w:t>ó</w:t>
      </w:r>
      <w:r>
        <w:rPr>
          <w:spacing w:val="-6"/>
          <w:sz w:val="18"/>
          <w:szCs w:val="18"/>
          <w:lang w:val="es-ES_tradnl"/>
        </w:rPr>
        <w:t xml:space="preserve"> que la administraci</w:t>
      </w:r>
      <w:r>
        <w:rPr>
          <w:rFonts w:cs="Times New Roman"/>
          <w:spacing w:val="-6"/>
          <w:sz w:val="18"/>
          <w:szCs w:val="18"/>
          <w:lang w:val="es-ES_tradnl"/>
        </w:rPr>
        <w:t>ó</w:t>
      </w:r>
      <w:r>
        <w:rPr>
          <w:spacing w:val="-6"/>
          <w:sz w:val="18"/>
          <w:szCs w:val="18"/>
          <w:lang w:val="es-ES_tradnl"/>
        </w:rPr>
        <w:t>n tributaria no hab</w:t>
      </w:r>
      <w:r>
        <w:rPr>
          <w:rFonts w:cs="Times New Roman"/>
          <w:spacing w:val="-6"/>
          <w:sz w:val="18"/>
          <w:szCs w:val="18"/>
          <w:lang w:val="es-ES_tradnl"/>
        </w:rPr>
        <w:t>í</w:t>
      </w:r>
      <w:r>
        <w:rPr>
          <w:spacing w:val="-6"/>
          <w:sz w:val="18"/>
          <w:szCs w:val="18"/>
          <w:lang w:val="es-ES_tradnl"/>
        </w:rPr>
        <w:t xml:space="preserve">a cumplido </w:t>
      </w:r>
      <w:r>
        <w:rPr>
          <w:sz w:val="18"/>
          <w:szCs w:val="18"/>
          <w:lang w:val="es-ES_tradnl"/>
        </w:rPr>
        <w:t>con tal requerimiento.</w:t>
      </w:r>
    </w:p>
    <w:p w14:paraId="4F67B844" w14:textId="77777777" w:rsidR="00591D54" w:rsidRDefault="00591D54">
      <w:pPr>
        <w:shd w:val="clear" w:color="auto" w:fill="FFFFFF"/>
        <w:spacing w:before="197" w:line="221" w:lineRule="exact"/>
        <w:jc w:val="both"/>
      </w:pPr>
      <w:r>
        <w:rPr>
          <w:spacing w:val="-7"/>
          <w:sz w:val="18"/>
          <w:szCs w:val="18"/>
          <w:lang w:val="es-ES_tradnl"/>
        </w:rPr>
        <w:t xml:space="preserve">El 5 de noviembre de 2012, el Tribunal Distrital de lo Fiscal </w:t>
      </w:r>
      <w:r>
        <w:rPr>
          <w:spacing w:val="-8"/>
          <w:sz w:val="18"/>
          <w:szCs w:val="18"/>
          <w:lang w:val="es-ES_tradnl"/>
        </w:rPr>
        <w:t>N.</w:t>
      </w:r>
      <w:r>
        <w:rPr>
          <w:rFonts w:cs="Times New Roman"/>
          <w:spacing w:val="-8"/>
          <w:sz w:val="18"/>
          <w:szCs w:val="18"/>
          <w:lang w:val="es-ES_tradnl"/>
        </w:rPr>
        <w:t>°</w:t>
      </w:r>
      <w:r>
        <w:rPr>
          <w:spacing w:val="-8"/>
          <w:sz w:val="18"/>
          <w:szCs w:val="18"/>
          <w:lang w:val="es-ES_tradnl"/>
        </w:rPr>
        <w:t xml:space="preserve"> 2 de Guayaquil dict</w:t>
      </w:r>
      <w:r>
        <w:rPr>
          <w:rFonts w:cs="Times New Roman"/>
          <w:spacing w:val="-8"/>
          <w:sz w:val="18"/>
          <w:szCs w:val="18"/>
          <w:lang w:val="es-ES_tradnl"/>
        </w:rPr>
        <w:t>ó</w:t>
      </w:r>
      <w:r>
        <w:rPr>
          <w:spacing w:val="-8"/>
          <w:sz w:val="18"/>
          <w:szCs w:val="18"/>
          <w:lang w:val="es-ES_tradnl"/>
        </w:rPr>
        <w:t xml:space="preserve"> auto en el cual neg</w:t>
      </w:r>
      <w:r>
        <w:rPr>
          <w:rFonts w:cs="Times New Roman"/>
          <w:spacing w:val="-8"/>
          <w:sz w:val="18"/>
          <w:szCs w:val="18"/>
          <w:lang w:val="es-ES_tradnl"/>
        </w:rPr>
        <w:t>ó</w:t>
      </w:r>
      <w:r>
        <w:rPr>
          <w:spacing w:val="-8"/>
          <w:sz w:val="18"/>
          <w:szCs w:val="18"/>
          <w:lang w:val="es-ES_tradnl"/>
        </w:rPr>
        <w:t xml:space="preserve"> el recurso de </w:t>
      </w:r>
      <w:r>
        <w:rPr>
          <w:spacing w:val="-9"/>
          <w:sz w:val="18"/>
          <w:szCs w:val="18"/>
          <w:lang w:val="es-ES_tradnl"/>
        </w:rPr>
        <w:t>casaci</w:t>
      </w:r>
      <w:r>
        <w:rPr>
          <w:rFonts w:cs="Times New Roman"/>
          <w:spacing w:val="-9"/>
          <w:sz w:val="18"/>
          <w:szCs w:val="18"/>
          <w:lang w:val="es-ES_tradnl"/>
        </w:rPr>
        <w:t>ó</w:t>
      </w:r>
      <w:r>
        <w:rPr>
          <w:spacing w:val="-9"/>
          <w:sz w:val="18"/>
          <w:szCs w:val="18"/>
          <w:lang w:val="es-ES_tradnl"/>
        </w:rPr>
        <w:t xml:space="preserve">n por no haber sido ratificado por el director regional </w:t>
      </w:r>
      <w:r>
        <w:rPr>
          <w:spacing w:val="-6"/>
          <w:sz w:val="18"/>
          <w:szCs w:val="18"/>
          <w:lang w:val="es-ES_tradnl"/>
        </w:rPr>
        <w:t>del Servicio de Rentas Internas Litoral Sur.</w:t>
      </w:r>
    </w:p>
    <w:p w14:paraId="4F67B845" w14:textId="77777777" w:rsidR="00591D54" w:rsidRDefault="00591D54">
      <w:pPr>
        <w:shd w:val="clear" w:color="auto" w:fill="FFFFFF"/>
        <w:spacing w:before="197" w:line="221" w:lineRule="exact"/>
        <w:jc w:val="both"/>
        <w:sectPr w:rsidR="00591D54">
          <w:type w:val="continuous"/>
          <w:pgSz w:w="11909" w:h="16834"/>
          <w:pgMar w:top="1380" w:right="1309" w:bottom="360" w:left="1308" w:header="720" w:footer="720" w:gutter="0"/>
          <w:cols w:num="2" w:space="720" w:equalWidth="0">
            <w:col w:w="4310" w:space="677"/>
            <w:col w:w="4305"/>
          </w:cols>
          <w:noEndnote/>
        </w:sectPr>
      </w:pPr>
    </w:p>
    <w:p w14:paraId="4F67B846"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- 253</w:t>
      </w:r>
    </w:p>
    <w:p w14:paraId="4F67B847" w14:textId="77777777" w:rsidR="00591D54" w:rsidRDefault="00591D54">
      <w:pPr>
        <w:shd w:val="clear" w:color="auto" w:fill="FFFFFF"/>
        <w:tabs>
          <w:tab w:val="left" w:pos="5842"/>
        </w:tabs>
        <w:spacing w:after="235"/>
        <w:ind w:left="5"/>
        <w:sectPr w:rsidR="00591D54">
          <w:pgSz w:w="11909" w:h="16834"/>
          <w:pgMar w:top="1371" w:right="1309" w:bottom="360" w:left="1308" w:header="720" w:footer="720" w:gutter="0"/>
          <w:cols w:space="60"/>
          <w:noEndnote/>
        </w:sectPr>
      </w:pPr>
    </w:p>
    <w:p w14:paraId="4F67B848" w14:textId="77777777" w:rsidR="00591D54" w:rsidRDefault="00591D54">
      <w:pPr>
        <w:shd w:val="clear" w:color="auto" w:fill="FFFFFF"/>
        <w:spacing w:line="216" w:lineRule="exact"/>
        <w:jc w:val="both"/>
      </w:pPr>
      <w:r>
        <w:rPr>
          <w:spacing w:val="-8"/>
          <w:sz w:val="18"/>
          <w:szCs w:val="18"/>
          <w:lang w:val="es-ES_tradnl"/>
        </w:rPr>
        <w:t>Ante tal decisi</w:t>
      </w:r>
      <w:r>
        <w:rPr>
          <w:rFonts w:cs="Times New Roman"/>
          <w:spacing w:val="-8"/>
          <w:sz w:val="18"/>
          <w:szCs w:val="18"/>
          <w:lang w:val="es-ES_tradnl"/>
        </w:rPr>
        <w:t>ó</w:t>
      </w:r>
      <w:r>
        <w:rPr>
          <w:spacing w:val="-8"/>
          <w:sz w:val="18"/>
          <w:szCs w:val="18"/>
          <w:lang w:val="es-ES_tradnl"/>
        </w:rPr>
        <w:t xml:space="preserve">n, el director regional del Servicio de Rentas </w:t>
      </w:r>
      <w:r>
        <w:rPr>
          <w:spacing w:val="-6"/>
          <w:sz w:val="18"/>
          <w:szCs w:val="18"/>
          <w:lang w:val="es-ES_tradnl"/>
        </w:rPr>
        <w:t xml:space="preserve">Internas Litoral Sur, interpuso recurso de hecho que fue </w:t>
      </w:r>
      <w:r>
        <w:rPr>
          <w:spacing w:val="-7"/>
          <w:sz w:val="18"/>
          <w:szCs w:val="18"/>
          <w:lang w:val="es-ES_tradnl"/>
        </w:rPr>
        <w:t>concedido por los jueces de instancia, con fundamento en lo previsto en el art</w:t>
      </w:r>
      <w:r>
        <w:rPr>
          <w:rFonts w:cs="Times New Roman"/>
          <w:spacing w:val="-7"/>
          <w:sz w:val="18"/>
          <w:szCs w:val="18"/>
          <w:lang w:val="es-ES_tradnl"/>
        </w:rPr>
        <w:t>í</w:t>
      </w:r>
      <w:r>
        <w:rPr>
          <w:spacing w:val="-7"/>
          <w:sz w:val="18"/>
          <w:szCs w:val="18"/>
          <w:lang w:val="es-ES_tradnl"/>
        </w:rPr>
        <w:t>culo 9 de la Ley de Casaci</w:t>
      </w:r>
      <w:r>
        <w:rPr>
          <w:rFonts w:cs="Times New Roman"/>
          <w:spacing w:val="-7"/>
          <w:sz w:val="18"/>
          <w:szCs w:val="18"/>
          <w:lang w:val="es-ES_tradnl"/>
        </w:rPr>
        <w:t>ó</w:t>
      </w:r>
      <w:r>
        <w:rPr>
          <w:spacing w:val="-7"/>
          <w:sz w:val="18"/>
          <w:szCs w:val="18"/>
          <w:lang w:val="es-ES_tradnl"/>
        </w:rPr>
        <w:t>n, y recay</w:t>
      </w:r>
      <w:r>
        <w:rPr>
          <w:rFonts w:cs="Times New Roman"/>
          <w:spacing w:val="-7"/>
          <w:sz w:val="18"/>
          <w:szCs w:val="18"/>
          <w:lang w:val="es-ES_tradnl"/>
        </w:rPr>
        <w:t xml:space="preserve">ó </w:t>
      </w:r>
      <w:r>
        <w:rPr>
          <w:spacing w:val="-9"/>
          <w:sz w:val="18"/>
          <w:szCs w:val="18"/>
          <w:lang w:val="es-ES_tradnl"/>
        </w:rPr>
        <w:t xml:space="preserve">en la Sala de lo Contencioso Tributario de la Corte Nacional </w:t>
      </w:r>
      <w:r>
        <w:rPr>
          <w:spacing w:val="-11"/>
          <w:sz w:val="18"/>
          <w:szCs w:val="18"/>
          <w:lang w:val="es-ES_tradnl"/>
        </w:rPr>
        <w:t>de Justicia, la que el 04 de enero de 2013, rechaz</w:t>
      </w:r>
      <w:r>
        <w:rPr>
          <w:rFonts w:cs="Times New Roman"/>
          <w:spacing w:val="-11"/>
          <w:sz w:val="18"/>
          <w:szCs w:val="18"/>
          <w:lang w:val="es-ES_tradnl"/>
        </w:rPr>
        <w:t>ó</w:t>
      </w:r>
      <w:r>
        <w:rPr>
          <w:spacing w:val="-11"/>
          <w:sz w:val="18"/>
          <w:szCs w:val="18"/>
          <w:lang w:val="es-ES_tradnl"/>
        </w:rPr>
        <w:t xml:space="preserve"> el recurso </w:t>
      </w:r>
      <w:r>
        <w:rPr>
          <w:spacing w:val="-8"/>
          <w:sz w:val="18"/>
          <w:szCs w:val="18"/>
          <w:lang w:val="es-ES_tradnl"/>
        </w:rPr>
        <w:t>de hecho e inadmiti</w:t>
      </w:r>
      <w:r>
        <w:rPr>
          <w:rFonts w:cs="Times New Roman"/>
          <w:spacing w:val="-8"/>
          <w:sz w:val="18"/>
          <w:szCs w:val="18"/>
          <w:lang w:val="es-ES_tradnl"/>
        </w:rPr>
        <w:t>ó</w:t>
      </w:r>
      <w:r>
        <w:rPr>
          <w:spacing w:val="-8"/>
          <w:sz w:val="18"/>
          <w:szCs w:val="18"/>
          <w:lang w:val="es-ES_tradnl"/>
        </w:rPr>
        <w:t xml:space="preserve"> el recurso de casaci</w:t>
      </w:r>
      <w:r>
        <w:rPr>
          <w:rFonts w:cs="Times New Roman"/>
          <w:spacing w:val="-8"/>
          <w:sz w:val="18"/>
          <w:szCs w:val="18"/>
          <w:lang w:val="es-ES_tradnl"/>
        </w:rPr>
        <w:t>ó</w:t>
      </w:r>
      <w:r>
        <w:rPr>
          <w:spacing w:val="-8"/>
          <w:sz w:val="18"/>
          <w:szCs w:val="18"/>
          <w:lang w:val="es-ES_tradnl"/>
        </w:rPr>
        <w:t>n.</w:t>
      </w:r>
    </w:p>
    <w:p w14:paraId="4F67B849" w14:textId="77777777" w:rsidR="00591D54" w:rsidRDefault="00591D54">
      <w:pPr>
        <w:shd w:val="clear" w:color="auto" w:fill="FFFFFF"/>
        <w:spacing w:before="197" w:line="216" w:lineRule="exact"/>
        <w:ind w:right="5"/>
        <w:jc w:val="both"/>
      </w:pPr>
      <w:r>
        <w:rPr>
          <w:spacing w:val="-8"/>
          <w:sz w:val="18"/>
          <w:szCs w:val="18"/>
          <w:lang w:val="es-ES_tradnl"/>
        </w:rPr>
        <w:t xml:space="preserve">En consecuencia, el economista Carlos Marx Carrasco V. , </w:t>
      </w:r>
      <w:r>
        <w:rPr>
          <w:spacing w:val="-6"/>
          <w:sz w:val="18"/>
          <w:szCs w:val="18"/>
          <w:lang w:val="es-ES_tradnl"/>
        </w:rPr>
        <w:t>director general del Servicio de Rentas Internas, formul</w:t>
      </w:r>
      <w:r>
        <w:rPr>
          <w:rFonts w:cs="Times New Roman"/>
          <w:spacing w:val="-6"/>
          <w:sz w:val="18"/>
          <w:szCs w:val="18"/>
          <w:lang w:val="es-ES_tradnl"/>
        </w:rPr>
        <w:t xml:space="preserve">ó </w:t>
      </w:r>
      <w:r>
        <w:rPr>
          <w:spacing w:val="-9"/>
          <w:sz w:val="18"/>
          <w:szCs w:val="18"/>
          <w:lang w:val="es-ES_tradnl"/>
        </w:rPr>
        <w:t>acci</w:t>
      </w:r>
      <w:r>
        <w:rPr>
          <w:rFonts w:cs="Times New Roman"/>
          <w:spacing w:val="-9"/>
          <w:sz w:val="18"/>
          <w:szCs w:val="18"/>
          <w:lang w:val="es-ES_tradnl"/>
        </w:rPr>
        <w:t>ó</w:t>
      </w:r>
      <w:r>
        <w:rPr>
          <w:spacing w:val="-9"/>
          <w:sz w:val="18"/>
          <w:szCs w:val="18"/>
          <w:lang w:val="es-ES_tradnl"/>
        </w:rPr>
        <w:t>n extraordinaria de protecci</w:t>
      </w:r>
      <w:r>
        <w:rPr>
          <w:rFonts w:cs="Times New Roman"/>
          <w:spacing w:val="-9"/>
          <w:sz w:val="18"/>
          <w:szCs w:val="18"/>
          <w:lang w:val="es-ES_tradnl"/>
        </w:rPr>
        <w:t>ó</w:t>
      </w:r>
      <w:r>
        <w:rPr>
          <w:spacing w:val="-9"/>
          <w:sz w:val="18"/>
          <w:szCs w:val="18"/>
          <w:lang w:val="es-ES_tradnl"/>
        </w:rPr>
        <w:t>n en contra de la decisi</w:t>
      </w:r>
      <w:r>
        <w:rPr>
          <w:rFonts w:cs="Times New Roman"/>
          <w:spacing w:val="-9"/>
          <w:sz w:val="18"/>
          <w:szCs w:val="18"/>
          <w:lang w:val="es-ES_tradnl"/>
        </w:rPr>
        <w:t>ó</w:t>
      </w:r>
      <w:r>
        <w:rPr>
          <w:spacing w:val="-9"/>
          <w:sz w:val="18"/>
          <w:szCs w:val="18"/>
          <w:lang w:val="es-ES_tradnl"/>
        </w:rPr>
        <w:t>n emitida por los jueces casacionales el 04 de enero de 2013.</w:t>
      </w:r>
    </w:p>
    <w:p w14:paraId="4F67B84A" w14:textId="77777777" w:rsidR="00591D54" w:rsidRDefault="00591D54">
      <w:pPr>
        <w:shd w:val="clear" w:color="auto" w:fill="FFFFFF"/>
        <w:spacing w:before="192"/>
      </w:pPr>
      <w:r>
        <w:rPr>
          <w:b/>
          <w:bCs/>
          <w:spacing w:val="-8"/>
          <w:sz w:val="18"/>
          <w:szCs w:val="18"/>
          <w:lang w:val="es-ES_tradnl"/>
        </w:rPr>
        <w:t>Detalle y fundamento de la demanda</w:t>
      </w:r>
    </w:p>
    <w:p w14:paraId="4F67B84B" w14:textId="77777777" w:rsidR="00591D54" w:rsidRDefault="00591D54">
      <w:pPr>
        <w:shd w:val="clear" w:color="auto" w:fill="FFFFFF"/>
        <w:spacing w:before="192" w:line="216" w:lineRule="exact"/>
        <w:jc w:val="both"/>
      </w:pPr>
      <w:r>
        <w:rPr>
          <w:spacing w:val="-6"/>
          <w:sz w:val="18"/>
          <w:szCs w:val="18"/>
          <w:lang w:val="es-ES_tradnl"/>
        </w:rPr>
        <w:t xml:space="preserve">El economista Carlos Marx Carrasco V., director general </w:t>
      </w:r>
      <w:r>
        <w:rPr>
          <w:spacing w:val="-8"/>
          <w:sz w:val="18"/>
          <w:szCs w:val="18"/>
          <w:lang w:val="es-ES_tradnl"/>
        </w:rPr>
        <w:t>del Servicio de Rentas Internas, en su demanda de acci</w:t>
      </w:r>
      <w:r>
        <w:rPr>
          <w:rFonts w:cs="Times New Roman"/>
          <w:spacing w:val="-8"/>
          <w:sz w:val="18"/>
          <w:szCs w:val="18"/>
          <w:lang w:val="es-ES_tradnl"/>
        </w:rPr>
        <w:t>ó</w:t>
      </w:r>
      <w:r>
        <w:rPr>
          <w:spacing w:val="-8"/>
          <w:sz w:val="18"/>
          <w:szCs w:val="18"/>
          <w:lang w:val="es-ES_tradnl"/>
        </w:rPr>
        <w:t xml:space="preserve">n </w:t>
      </w:r>
      <w:r>
        <w:rPr>
          <w:spacing w:val="-4"/>
          <w:sz w:val="18"/>
          <w:szCs w:val="18"/>
          <w:lang w:val="es-ES_tradnl"/>
        </w:rPr>
        <w:t>extraordinaria de protecci</w:t>
      </w:r>
      <w:r>
        <w:rPr>
          <w:rFonts w:cs="Times New Roman"/>
          <w:spacing w:val="-4"/>
          <w:sz w:val="18"/>
          <w:szCs w:val="18"/>
          <w:lang w:val="es-ES_tradnl"/>
        </w:rPr>
        <w:t>ó</w:t>
      </w:r>
      <w:r>
        <w:rPr>
          <w:spacing w:val="-4"/>
          <w:sz w:val="18"/>
          <w:szCs w:val="18"/>
          <w:lang w:val="es-ES_tradnl"/>
        </w:rPr>
        <w:t xml:space="preserve">n alega, en lo principal, lo </w:t>
      </w:r>
      <w:r>
        <w:rPr>
          <w:sz w:val="18"/>
          <w:szCs w:val="18"/>
          <w:lang w:val="es-ES_tradnl"/>
        </w:rPr>
        <w:t>siguiente:</w:t>
      </w:r>
    </w:p>
    <w:p w14:paraId="4F67B84C" w14:textId="77777777" w:rsidR="00591D54" w:rsidRDefault="00591D54">
      <w:pPr>
        <w:shd w:val="clear" w:color="auto" w:fill="FFFFFF"/>
        <w:spacing w:before="192" w:line="216" w:lineRule="exact"/>
        <w:ind w:right="5"/>
        <w:jc w:val="both"/>
      </w:pPr>
      <w:r>
        <w:rPr>
          <w:spacing w:val="-5"/>
          <w:sz w:val="18"/>
          <w:szCs w:val="18"/>
          <w:lang w:val="es-ES_tradnl"/>
        </w:rPr>
        <w:t>Que lo dispuesto en el auto de inadmisi</w:t>
      </w:r>
      <w:r>
        <w:rPr>
          <w:rFonts w:cs="Times New Roman"/>
          <w:spacing w:val="-5"/>
          <w:sz w:val="18"/>
          <w:szCs w:val="18"/>
          <w:lang w:val="es-ES_tradnl"/>
        </w:rPr>
        <w:t>ó</w:t>
      </w:r>
      <w:r>
        <w:rPr>
          <w:spacing w:val="-5"/>
          <w:sz w:val="18"/>
          <w:szCs w:val="18"/>
          <w:lang w:val="es-ES_tradnl"/>
        </w:rPr>
        <w:t xml:space="preserve">n es contrario a </w:t>
      </w:r>
      <w:r>
        <w:rPr>
          <w:spacing w:val="-3"/>
          <w:sz w:val="18"/>
          <w:szCs w:val="18"/>
          <w:lang w:val="es-ES_tradnl"/>
        </w:rPr>
        <w:t>la literalidad en la aplicaci</w:t>
      </w:r>
      <w:r>
        <w:rPr>
          <w:rFonts w:cs="Times New Roman"/>
          <w:spacing w:val="-3"/>
          <w:sz w:val="18"/>
          <w:szCs w:val="18"/>
          <w:lang w:val="es-ES_tradnl"/>
        </w:rPr>
        <w:t>ó</w:t>
      </w:r>
      <w:r>
        <w:rPr>
          <w:spacing w:val="-3"/>
          <w:sz w:val="18"/>
          <w:szCs w:val="18"/>
          <w:lang w:val="es-ES_tradnl"/>
        </w:rPr>
        <w:t xml:space="preserve">n de la ley, violando con ello </w:t>
      </w:r>
      <w:r>
        <w:rPr>
          <w:spacing w:val="-6"/>
          <w:sz w:val="18"/>
          <w:szCs w:val="18"/>
          <w:lang w:val="es-ES_tradnl"/>
        </w:rPr>
        <w:t>la seguridad jur</w:t>
      </w:r>
      <w:r>
        <w:rPr>
          <w:rFonts w:cs="Times New Roman"/>
          <w:spacing w:val="-6"/>
          <w:sz w:val="18"/>
          <w:szCs w:val="18"/>
          <w:lang w:val="es-ES_tradnl"/>
        </w:rPr>
        <w:t>í</w:t>
      </w:r>
      <w:r>
        <w:rPr>
          <w:spacing w:val="-6"/>
          <w:sz w:val="18"/>
          <w:szCs w:val="18"/>
          <w:lang w:val="es-ES_tradnl"/>
        </w:rPr>
        <w:t xml:space="preserve">dica, el debido proceso y dejando a la </w:t>
      </w:r>
      <w:r>
        <w:rPr>
          <w:sz w:val="18"/>
          <w:szCs w:val="18"/>
          <w:lang w:val="es-ES_tradnl"/>
        </w:rPr>
        <w:t>instituci</w:t>
      </w:r>
      <w:r>
        <w:rPr>
          <w:rFonts w:cs="Times New Roman"/>
          <w:sz w:val="18"/>
          <w:szCs w:val="18"/>
          <w:lang w:val="es-ES_tradnl"/>
        </w:rPr>
        <w:t>ó</w:t>
      </w:r>
      <w:r>
        <w:rPr>
          <w:sz w:val="18"/>
          <w:szCs w:val="18"/>
          <w:lang w:val="es-ES_tradnl"/>
        </w:rPr>
        <w:t>n en indefensi</w:t>
      </w:r>
      <w:r>
        <w:rPr>
          <w:rFonts w:cs="Times New Roman"/>
          <w:sz w:val="18"/>
          <w:szCs w:val="18"/>
          <w:lang w:val="es-ES_tradnl"/>
        </w:rPr>
        <w:t>ó</w:t>
      </w:r>
      <w:r>
        <w:rPr>
          <w:sz w:val="18"/>
          <w:szCs w:val="18"/>
          <w:lang w:val="es-ES_tradnl"/>
        </w:rPr>
        <w:t>n.</w:t>
      </w:r>
    </w:p>
    <w:p w14:paraId="4F67B84D" w14:textId="77777777" w:rsidR="00591D54" w:rsidRDefault="00591D54">
      <w:pPr>
        <w:shd w:val="clear" w:color="auto" w:fill="FFFFFF"/>
        <w:spacing w:before="192"/>
      </w:pPr>
      <w:r>
        <w:rPr>
          <w:spacing w:val="-10"/>
          <w:sz w:val="18"/>
          <w:szCs w:val="18"/>
          <w:lang w:val="es-ES_tradnl"/>
        </w:rPr>
        <w:t>Sostiene que:</w:t>
      </w:r>
    </w:p>
    <w:p w14:paraId="4F67B84E" w14:textId="77777777" w:rsidR="00591D54" w:rsidRDefault="00591D54">
      <w:pPr>
        <w:shd w:val="clear" w:color="auto" w:fill="FFFFFF"/>
        <w:spacing w:before="202" w:line="216" w:lineRule="exact"/>
        <w:ind w:left="283"/>
        <w:jc w:val="both"/>
      </w:pPr>
      <w:r>
        <w:rPr>
          <w:spacing w:val="-2"/>
          <w:sz w:val="16"/>
          <w:szCs w:val="16"/>
          <w:lang w:val="es-ES_tradnl"/>
        </w:rPr>
        <w:t xml:space="preserve">La Sala de lo Contencioso Tributario de la Corte Nacional </w:t>
      </w:r>
      <w:r>
        <w:rPr>
          <w:spacing w:val="-3"/>
          <w:sz w:val="16"/>
          <w:szCs w:val="16"/>
          <w:lang w:val="es-ES_tradnl"/>
        </w:rPr>
        <w:t>de Justicia bas</w:t>
      </w:r>
      <w:r>
        <w:rPr>
          <w:rFonts w:cs="Times New Roman"/>
          <w:spacing w:val="-3"/>
          <w:sz w:val="16"/>
          <w:szCs w:val="16"/>
          <w:lang w:val="es-ES_tradnl"/>
        </w:rPr>
        <w:t>á</w:t>
      </w:r>
      <w:r>
        <w:rPr>
          <w:spacing w:val="-3"/>
          <w:sz w:val="16"/>
          <w:szCs w:val="16"/>
          <w:lang w:val="es-ES_tradnl"/>
        </w:rPr>
        <w:t xml:space="preserve">ndose en simples formalidades, establece </w:t>
      </w:r>
      <w:r>
        <w:rPr>
          <w:spacing w:val="-5"/>
          <w:sz w:val="16"/>
          <w:szCs w:val="16"/>
          <w:lang w:val="es-ES_tradnl"/>
        </w:rPr>
        <w:t>la inadmisibilidad del Recurso de Casaci</w:t>
      </w:r>
      <w:r>
        <w:rPr>
          <w:rFonts w:cs="Times New Roman"/>
          <w:spacing w:val="-5"/>
          <w:sz w:val="16"/>
          <w:szCs w:val="16"/>
          <w:lang w:val="es-ES_tradnl"/>
        </w:rPr>
        <w:t>ó</w:t>
      </w:r>
      <w:r>
        <w:rPr>
          <w:spacing w:val="-5"/>
          <w:sz w:val="16"/>
          <w:szCs w:val="16"/>
          <w:lang w:val="es-ES_tradnl"/>
        </w:rPr>
        <w:t xml:space="preserve">n debido a que la </w:t>
      </w:r>
      <w:r>
        <w:rPr>
          <w:spacing w:val="-1"/>
          <w:sz w:val="16"/>
          <w:szCs w:val="16"/>
          <w:lang w:val="es-ES_tradnl"/>
        </w:rPr>
        <w:t xml:space="preserve">Abogada </w:t>
      </w:r>
      <w:r>
        <w:rPr>
          <w:rFonts w:cs="Times New Roman"/>
          <w:spacing w:val="-1"/>
          <w:sz w:val="16"/>
          <w:szCs w:val="16"/>
          <w:lang w:val="es-ES_tradnl"/>
        </w:rPr>
        <w:t>Á</w:t>
      </w:r>
      <w:r>
        <w:rPr>
          <w:spacing w:val="-1"/>
          <w:sz w:val="16"/>
          <w:szCs w:val="16"/>
          <w:lang w:val="es-ES_tradnl"/>
        </w:rPr>
        <w:t>ngela Mar</w:t>
      </w:r>
      <w:r>
        <w:rPr>
          <w:rFonts w:cs="Times New Roman"/>
          <w:spacing w:val="-1"/>
          <w:sz w:val="16"/>
          <w:szCs w:val="16"/>
          <w:lang w:val="es-ES_tradnl"/>
        </w:rPr>
        <w:t>í</w:t>
      </w:r>
      <w:r>
        <w:rPr>
          <w:spacing w:val="-1"/>
          <w:sz w:val="16"/>
          <w:szCs w:val="16"/>
          <w:lang w:val="es-ES_tradnl"/>
        </w:rPr>
        <w:t xml:space="preserve">a Paredes Cavero (Procuradora de </w:t>
      </w:r>
      <w:r>
        <w:rPr>
          <w:spacing w:val="-2"/>
          <w:sz w:val="16"/>
          <w:szCs w:val="16"/>
          <w:lang w:val="es-ES_tradnl"/>
        </w:rPr>
        <w:t>la Administraci</w:t>
      </w:r>
      <w:r>
        <w:rPr>
          <w:rFonts w:cs="Times New Roman"/>
          <w:spacing w:val="-2"/>
          <w:sz w:val="16"/>
          <w:szCs w:val="16"/>
          <w:lang w:val="es-ES_tradnl"/>
        </w:rPr>
        <w:t>ó</w:t>
      </w:r>
      <w:r>
        <w:rPr>
          <w:spacing w:val="-2"/>
          <w:sz w:val="16"/>
          <w:szCs w:val="16"/>
          <w:lang w:val="es-ES_tradnl"/>
        </w:rPr>
        <w:t xml:space="preserve">n Tributaria) interpone el recurso a ruego </w:t>
      </w:r>
      <w:r>
        <w:rPr>
          <w:spacing w:val="-4"/>
          <w:sz w:val="16"/>
          <w:szCs w:val="16"/>
          <w:lang w:val="es-ES_tradnl"/>
        </w:rPr>
        <w:t xml:space="preserve">del peticionario y como la mencionada procuradora no fue </w:t>
      </w:r>
      <w:r>
        <w:rPr>
          <w:spacing w:val="-2"/>
          <w:sz w:val="16"/>
          <w:szCs w:val="16"/>
          <w:lang w:val="es-ES_tradnl"/>
        </w:rPr>
        <w:t>ratificada al momento y no hab</w:t>
      </w:r>
      <w:r>
        <w:rPr>
          <w:rFonts w:cs="Times New Roman"/>
          <w:spacing w:val="-2"/>
          <w:sz w:val="16"/>
          <w:szCs w:val="16"/>
          <w:lang w:val="es-ES_tradnl"/>
        </w:rPr>
        <w:t>í</w:t>
      </w:r>
      <w:r>
        <w:rPr>
          <w:spacing w:val="-2"/>
          <w:sz w:val="16"/>
          <w:szCs w:val="16"/>
          <w:lang w:val="es-ES_tradnl"/>
        </w:rPr>
        <w:t xml:space="preserve">a intervenido dentro del </w:t>
      </w:r>
      <w:r>
        <w:rPr>
          <w:spacing w:val="-4"/>
          <w:sz w:val="16"/>
          <w:szCs w:val="16"/>
          <w:lang w:val="es-ES_tradnl"/>
        </w:rPr>
        <w:t xml:space="preserve">juicio de instancia por la Autoridad demandada se inadmite </w:t>
      </w:r>
      <w:r>
        <w:rPr>
          <w:spacing w:val="-5"/>
          <w:sz w:val="16"/>
          <w:szCs w:val="16"/>
          <w:lang w:val="es-ES_tradnl"/>
        </w:rPr>
        <w:t xml:space="preserve">el mismo. Sin embargo, la Sala de lo Contencioso Tributario </w:t>
      </w:r>
      <w:r>
        <w:rPr>
          <w:spacing w:val="-7"/>
          <w:sz w:val="16"/>
          <w:szCs w:val="16"/>
          <w:lang w:val="es-ES_tradnl"/>
        </w:rPr>
        <w:t>de la Corte Nacional de Justicia en ning</w:t>
      </w:r>
      <w:r>
        <w:rPr>
          <w:rFonts w:cs="Times New Roman"/>
          <w:spacing w:val="-7"/>
          <w:sz w:val="16"/>
          <w:szCs w:val="16"/>
          <w:lang w:val="es-ES_tradnl"/>
        </w:rPr>
        <w:t>ú</w:t>
      </w:r>
      <w:r>
        <w:rPr>
          <w:spacing w:val="-7"/>
          <w:sz w:val="16"/>
          <w:szCs w:val="16"/>
          <w:lang w:val="es-ES_tradnl"/>
        </w:rPr>
        <w:t xml:space="preserve">n momento a lo largo </w:t>
      </w:r>
      <w:r>
        <w:rPr>
          <w:spacing w:val="-5"/>
          <w:sz w:val="16"/>
          <w:szCs w:val="16"/>
          <w:lang w:val="es-ES_tradnl"/>
        </w:rPr>
        <w:t xml:space="preserve">del auto recurrido manifiesta que una vez inadmitido por el </w:t>
      </w:r>
      <w:r>
        <w:rPr>
          <w:spacing w:val="-7"/>
          <w:sz w:val="16"/>
          <w:szCs w:val="16"/>
          <w:lang w:val="es-ES_tradnl"/>
        </w:rPr>
        <w:t>Tribunal de instancia el recurso de casaci</w:t>
      </w:r>
      <w:r>
        <w:rPr>
          <w:rFonts w:cs="Times New Roman"/>
          <w:spacing w:val="-7"/>
          <w:sz w:val="16"/>
          <w:szCs w:val="16"/>
          <w:lang w:val="es-ES_tradnl"/>
        </w:rPr>
        <w:t>ó</w:t>
      </w:r>
      <w:r>
        <w:rPr>
          <w:spacing w:val="-7"/>
          <w:sz w:val="16"/>
          <w:szCs w:val="16"/>
          <w:lang w:val="es-ES_tradnl"/>
        </w:rPr>
        <w:t xml:space="preserve">n presentado por la </w:t>
      </w:r>
      <w:r>
        <w:rPr>
          <w:spacing w:val="-4"/>
          <w:sz w:val="16"/>
          <w:szCs w:val="16"/>
          <w:lang w:val="es-ES_tradnl"/>
        </w:rPr>
        <w:t>Administraci</w:t>
      </w:r>
      <w:r>
        <w:rPr>
          <w:rFonts w:cs="Times New Roman"/>
          <w:spacing w:val="-4"/>
          <w:sz w:val="16"/>
          <w:szCs w:val="16"/>
          <w:lang w:val="es-ES_tradnl"/>
        </w:rPr>
        <w:t>ó</w:t>
      </w:r>
      <w:r>
        <w:rPr>
          <w:spacing w:val="-4"/>
          <w:sz w:val="16"/>
          <w:szCs w:val="16"/>
          <w:lang w:val="es-ES_tradnl"/>
        </w:rPr>
        <w:t>n Tribunataia (6/11/2012), dentro del t</w:t>
      </w:r>
      <w:r>
        <w:rPr>
          <w:rFonts w:cs="Times New Roman"/>
          <w:spacing w:val="-4"/>
          <w:sz w:val="16"/>
          <w:szCs w:val="16"/>
          <w:lang w:val="es-ES_tradnl"/>
        </w:rPr>
        <w:t>é</w:t>
      </w:r>
      <w:r>
        <w:rPr>
          <w:spacing w:val="-4"/>
          <w:sz w:val="16"/>
          <w:szCs w:val="16"/>
          <w:lang w:val="es-ES_tradnl"/>
        </w:rPr>
        <w:t xml:space="preserve">rmino </w:t>
      </w:r>
      <w:r>
        <w:rPr>
          <w:spacing w:val="-2"/>
          <w:sz w:val="16"/>
          <w:szCs w:val="16"/>
          <w:lang w:val="es-ES_tradnl"/>
        </w:rPr>
        <w:t>establecido por la ley la Administraci</w:t>
      </w:r>
      <w:r>
        <w:rPr>
          <w:rFonts w:cs="Times New Roman"/>
          <w:spacing w:val="-2"/>
          <w:sz w:val="16"/>
          <w:szCs w:val="16"/>
          <w:lang w:val="es-ES_tradnl"/>
        </w:rPr>
        <w:t>ó</w:t>
      </w:r>
      <w:r>
        <w:rPr>
          <w:spacing w:val="-2"/>
          <w:sz w:val="16"/>
          <w:szCs w:val="16"/>
          <w:lang w:val="es-ES_tradnl"/>
        </w:rPr>
        <w:t xml:space="preserve">n presenta Recurso </w:t>
      </w:r>
      <w:r>
        <w:rPr>
          <w:spacing w:val="-6"/>
          <w:sz w:val="16"/>
          <w:szCs w:val="16"/>
          <w:lang w:val="es-ES_tradnl"/>
        </w:rPr>
        <w:t xml:space="preserve">de Hecho (9/11/2012), en dicho Recurso presentado por el Director Regional del Servicio de Rentas Internas se procede </w:t>
      </w:r>
      <w:r>
        <w:rPr>
          <w:spacing w:val="-4"/>
          <w:sz w:val="16"/>
          <w:szCs w:val="16"/>
          <w:lang w:val="es-ES_tradnl"/>
        </w:rPr>
        <w:t xml:space="preserve">a ratificar las gestiones de la Ab. </w:t>
      </w:r>
      <w:r>
        <w:rPr>
          <w:rFonts w:cs="Times New Roman"/>
          <w:spacing w:val="-4"/>
          <w:sz w:val="16"/>
          <w:szCs w:val="16"/>
          <w:lang w:val="es-ES_tradnl"/>
        </w:rPr>
        <w:t>Á</w:t>
      </w:r>
      <w:r>
        <w:rPr>
          <w:spacing w:val="-4"/>
          <w:sz w:val="16"/>
          <w:szCs w:val="16"/>
          <w:lang w:val="es-ES_tradnl"/>
        </w:rPr>
        <w:t>ngela Mar</w:t>
      </w:r>
      <w:r>
        <w:rPr>
          <w:rFonts w:cs="Times New Roman"/>
          <w:spacing w:val="-4"/>
          <w:sz w:val="16"/>
          <w:szCs w:val="16"/>
          <w:lang w:val="es-ES_tradnl"/>
        </w:rPr>
        <w:t>í</w:t>
      </w:r>
      <w:r>
        <w:rPr>
          <w:spacing w:val="-4"/>
          <w:sz w:val="16"/>
          <w:szCs w:val="16"/>
          <w:lang w:val="es-ES_tradnl"/>
        </w:rPr>
        <w:t xml:space="preserve">a Paredes </w:t>
      </w:r>
      <w:r>
        <w:rPr>
          <w:spacing w:val="-6"/>
          <w:sz w:val="16"/>
          <w:szCs w:val="16"/>
          <w:lang w:val="es-ES_tradnl"/>
        </w:rPr>
        <w:t>Cavero conforme lo establece el art</w:t>
      </w:r>
      <w:r>
        <w:rPr>
          <w:rFonts w:cs="Times New Roman"/>
          <w:spacing w:val="-6"/>
          <w:sz w:val="16"/>
          <w:szCs w:val="16"/>
          <w:lang w:val="es-ES_tradnl"/>
        </w:rPr>
        <w:t>í</w:t>
      </w:r>
      <w:r>
        <w:rPr>
          <w:spacing w:val="-6"/>
          <w:sz w:val="16"/>
          <w:szCs w:val="16"/>
          <w:lang w:val="es-ES_tradnl"/>
        </w:rPr>
        <w:t>culo 359 del C</w:t>
      </w:r>
      <w:r>
        <w:rPr>
          <w:rFonts w:cs="Times New Roman"/>
          <w:spacing w:val="-6"/>
          <w:sz w:val="16"/>
          <w:szCs w:val="16"/>
          <w:lang w:val="es-ES_tradnl"/>
        </w:rPr>
        <w:t>ó</w:t>
      </w:r>
      <w:r>
        <w:rPr>
          <w:spacing w:val="-6"/>
          <w:sz w:val="16"/>
          <w:szCs w:val="16"/>
          <w:lang w:val="es-ES_tradnl"/>
        </w:rPr>
        <w:t xml:space="preserve">digo de </w:t>
      </w:r>
      <w:r>
        <w:rPr>
          <w:sz w:val="16"/>
          <w:szCs w:val="16"/>
          <w:lang w:val="es-ES_tradnl"/>
        </w:rPr>
        <w:t>Procedimiento Civil.</w:t>
      </w:r>
    </w:p>
    <w:p w14:paraId="4F67B84F" w14:textId="77777777" w:rsidR="00591D54" w:rsidRDefault="00591D54">
      <w:pPr>
        <w:shd w:val="clear" w:color="auto" w:fill="FFFFFF"/>
        <w:spacing w:before="202" w:line="216" w:lineRule="exact"/>
        <w:ind w:right="5"/>
        <w:jc w:val="both"/>
      </w:pPr>
      <w:r>
        <w:rPr>
          <w:spacing w:val="-4"/>
          <w:sz w:val="18"/>
          <w:szCs w:val="18"/>
          <w:lang w:val="es-ES_tradnl"/>
        </w:rPr>
        <w:t xml:space="preserve">Agrega que todo lo actuado en el proceso judicial de </w:t>
      </w:r>
      <w:r>
        <w:rPr>
          <w:spacing w:val="-5"/>
          <w:sz w:val="18"/>
          <w:szCs w:val="18"/>
          <w:lang w:val="es-ES_tradnl"/>
        </w:rPr>
        <w:t xml:space="preserve">instancia por el director regional del Servicio de Rentas </w:t>
      </w:r>
      <w:r>
        <w:rPr>
          <w:spacing w:val="-7"/>
          <w:sz w:val="18"/>
          <w:szCs w:val="18"/>
          <w:lang w:val="es-ES_tradnl"/>
        </w:rPr>
        <w:t>Internas Litoral Sur, aun la interposici</w:t>
      </w:r>
      <w:r>
        <w:rPr>
          <w:rFonts w:cs="Times New Roman"/>
          <w:spacing w:val="-7"/>
          <w:sz w:val="18"/>
          <w:szCs w:val="18"/>
          <w:lang w:val="es-ES_tradnl"/>
        </w:rPr>
        <w:t>ó</w:t>
      </w:r>
      <w:r>
        <w:rPr>
          <w:spacing w:val="-7"/>
          <w:sz w:val="18"/>
          <w:szCs w:val="18"/>
          <w:lang w:val="es-ES_tradnl"/>
        </w:rPr>
        <w:t>n de los recursos de casaci</w:t>
      </w:r>
      <w:r>
        <w:rPr>
          <w:rFonts w:cs="Times New Roman"/>
          <w:spacing w:val="-7"/>
          <w:sz w:val="18"/>
          <w:szCs w:val="18"/>
          <w:lang w:val="es-ES_tradnl"/>
        </w:rPr>
        <w:t>ó</w:t>
      </w:r>
      <w:r>
        <w:rPr>
          <w:spacing w:val="-7"/>
          <w:sz w:val="18"/>
          <w:szCs w:val="18"/>
          <w:lang w:val="es-ES_tradnl"/>
        </w:rPr>
        <w:t xml:space="preserve">n y de hecho </w:t>
      </w:r>
      <w:r>
        <w:rPr>
          <w:rFonts w:cs="Times New Roman"/>
          <w:spacing w:val="-7"/>
          <w:sz w:val="18"/>
          <w:szCs w:val="18"/>
          <w:lang w:val="es-ES_tradnl"/>
        </w:rPr>
        <w:t>“</w:t>
      </w:r>
      <w:r>
        <w:rPr>
          <w:spacing w:val="-7"/>
          <w:sz w:val="18"/>
          <w:szCs w:val="18"/>
          <w:lang w:val="es-ES_tradnl"/>
        </w:rPr>
        <w:t xml:space="preserve">fue ratificado por el director general </w:t>
      </w:r>
      <w:r>
        <w:rPr>
          <w:spacing w:val="-10"/>
          <w:sz w:val="18"/>
          <w:szCs w:val="18"/>
          <w:lang w:val="es-ES_tradnl"/>
        </w:rPr>
        <w:t xml:space="preserve">del Servicio de Rentas Internas mediante escrito presentado </w:t>
      </w:r>
      <w:r>
        <w:rPr>
          <w:spacing w:val="-7"/>
          <w:sz w:val="18"/>
          <w:szCs w:val="18"/>
          <w:lang w:val="es-ES_tradnl"/>
        </w:rPr>
        <w:t xml:space="preserve">el 21 de noviembre de 2012, a las 16h15, ante la Tercera </w:t>
      </w:r>
      <w:r>
        <w:rPr>
          <w:spacing w:val="-1"/>
          <w:sz w:val="18"/>
          <w:szCs w:val="18"/>
          <w:lang w:val="es-ES_tradnl"/>
        </w:rPr>
        <w:t>Sala del Tribunal Distrital de lo Fiscal, legitimando as</w:t>
      </w:r>
      <w:r>
        <w:rPr>
          <w:rFonts w:cs="Times New Roman"/>
          <w:spacing w:val="-1"/>
          <w:sz w:val="18"/>
          <w:szCs w:val="18"/>
          <w:lang w:val="es-ES_tradnl"/>
        </w:rPr>
        <w:t xml:space="preserve">í </w:t>
      </w:r>
      <w:r>
        <w:rPr>
          <w:spacing w:val="-9"/>
          <w:sz w:val="18"/>
          <w:szCs w:val="18"/>
          <w:lang w:val="es-ES_tradnl"/>
        </w:rPr>
        <w:t>su personer</w:t>
      </w:r>
      <w:r>
        <w:rPr>
          <w:rFonts w:cs="Times New Roman"/>
          <w:spacing w:val="-9"/>
          <w:sz w:val="18"/>
          <w:szCs w:val="18"/>
          <w:lang w:val="es-ES_tradnl"/>
        </w:rPr>
        <w:t>í</w:t>
      </w:r>
      <w:r>
        <w:rPr>
          <w:spacing w:val="-9"/>
          <w:sz w:val="18"/>
          <w:szCs w:val="18"/>
          <w:lang w:val="es-ES_tradnl"/>
        </w:rPr>
        <w:t xml:space="preserve">a y haciendo suyos cada uno de los escritos y </w:t>
      </w:r>
      <w:r>
        <w:rPr>
          <w:spacing w:val="-7"/>
          <w:sz w:val="18"/>
          <w:szCs w:val="18"/>
          <w:lang w:val="es-ES_tradnl"/>
        </w:rPr>
        <w:t>m</w:t>
      </w:r>
      <w:r>
        <w:rPr>
          <w:rFonts w:cs="Times New Roman"/>
          <w:spacing w:val="-7"/>
          <w:sz w:val="18"/>
          <w:szCs w:val="18"/>
          <w:lang w:val="es-ES_tradnl"/>
        </w:rPr>
        <w:t>á</w:t>
      </w:r>
      <w:r>
        <w:rPr>
          <w:spacing w:val="-7"/>
          <w:sz w:val="18"/>
          <w:szCs w:val="18"/>
          <w:lang w:val="es-ES_tradnl"/>
        </w:rPr>
        <w:t>s actuaciones</w:t>
      </w:r>
      <w:r>
        <w:rPr>
          <w:rFonts w:cs="Times New Roman"/>
          <w:spacing w:val="-7"/>
          <w:sz w:val="18"/>
          <w:szCs w:val="18"/>
          <w:lang w:val="es-ES_tradnl"/>
        </w:rPr>
        <w:t>”</w:t>
      </w:r>
      <w:r>
        <w:rPr>
          <w:spacing w:val="-7"/>
          <w:sz w:val="18"/>
          <w:szCs w:val="18"/>
          <w:lang w:val="es-ES_tradnl"/>
        </w:rPr>
        <w:t xml:space="preserve"> efectuadas por el director regional del </w:t>
      </w:r>
      <w:r>
        <w:rPr>
          <w:spacing w:val="-9"/>
          <w:sz w:val="18"/>
          <w:szCs w:val="18"/>
          <w:lang w:val="es-ES_tradnl"/>
        </w:rPr>
        <w:t xml:space="preserve">Servicio de Rentas Internas Litoral Sur, de conformidad con </w:t>
      </w:r>
      <w:r>
        <w:rPr>
          <w:spacing w:val="-7"/>
          <w:sz w:val="18"/>
          <w:szCs w:val="18"/>
          <w:lang w:val="es-ES_tradnl"/>
        </w:rPr>
        <w:t>lo previsto en los art</w:t>
      </w:r>
      <w:r>
        <w:rPr>
          <w:rFonts w:cs="Times New Roman"/>
          <w:spacing w:val="-7"/>
          <w:sz w:val="18"/>
          <w:szCs w:val="18"/>
          <w:lang w:val="es-ES_tradnl"/>
        </w:rPr>
        <w:t>í</w:t>
      </w:r>
      <w:r>
        <w:rPr>
          <w:spacing w:val="-7"/>
          <w:sz w:val="18"/>
          <w:szCs w:val="18"/>
          <w:lang w:val="es-ES_tradnl"/>
        </w:rPr>
        <w:t>culos 359, 360, 361 y 362 del C</w:t>
      </w:r>
      <w:r>
        <w:rPr>
          <w:rFonts w:cs="Times New Roman"/>
          <w:spacing w:val="-7"/>
          <w:sz w:val="18"/>
          <w:szCs w:val="18"/>
          <w:lang w:val="es-ES_tradnl"/>
        </w:rPr>
        <w:t>ó</w:t>
      </w:r>
      <w:r>
        <w:rPr>
          <w:spacing w:val="-7"/>
          <w:sz w:val="18"/>
          <w:szCs w:val="18"/>
          <w:lang w:val="es-ES_tradnl"/>
        </w:rPr>
        <w:t xml:space="preserve">digo </w:t>
      </w:r>
      <w:r>
        <w:rPr>
          <w:sz w:val="18"/>
          <w:szCs w:val="18"/>
          <w:lang w:val="es-ES_tradnl"/>
        </w:rPr>
        <w:t>de Procedimiento Civil.</w:t>
      </w:r>
    </w:p>
    <w:p w14:paraId="4F67B850" w14:textId="77777777" w:rsidR="00591D54" w:rsidRDefault="00591D54">
      <w:pPr>
        <w:shd w:val="clear" w:color="auto" w:fill="FFFFFF"/>
        <w:spacing w:before="197" w:line="216" w:lineRule="exact"/>
        <w:ind w:right="5"/>
        <w:jc w:val="both"/>
      </w:pPr>
      <w:r>
        <w:rPr>
          <w:spacing w:val="-6"/>
          <w:sz w:val="18"/>
          <w:szCs w:val="18"/>
          <w:lang w:val="es-ES_tradnl"/>
        </w:rPr>
        <w:t>Adem</w:t>
      </w:r>
      <w:r>
        <w:rPr>
          <w:rFonts w:cs="Times New Roman"/>
          <w:spacing w:val="-6"/>
          <w:sz w:val="18"/>
          <w:szCs w:val="18"/>
          <w:lang w:val="es-ES_tradnl"/>
        </w:rPr>
        <w:t>á</w:t>
      </w:r>
      <w:r>
        <w:rPr>
          <w:spacing w:val="-6"/>
          <w:sz w:val="18"/>
          <w:szCs w:val="18"/>
          <w:lang w:val="es-ES_tradnl"/>
        </w:rPr>
        <w:t>s, expone que la administraci</w:t>
      </w:r>
      <w:r>
        <w:rPr>
          <w:rFonts w:cs="Times New Roman"/>
          <w:spacing w:val="-6"/>
          <w:sz w:val="18"/>
          <w:szCs w:val="18"/>
          <w:lang w:val="es-ES_tradnl"/>
        </w:rPr>
        <w:t>ó</w:t>
      </w:r>
      <w:r>
        <w:rPr>
          <w:spacing w:val="-6"/>
          <w:sz w:val="18"/>
          <w:szCs w:val="18"/>
          <w:lang w:val="es-ES_tradnl"/>
        </w:rPr>
        <w:t xml:space="preserve">n tributaria </w:t>
      </w:r>
      <w:r>
        <w:rPr>
          <w:rFonts w:cs="Times New Roman"/>
          <w:spacing w:val="-6"/>
          <w:sz w:val="18"/>
          <w:szCs w:val="18"/>
          <w:lang w:val="es-ES_tradnl"/>
        </w:rPr>
        <w:t>“</w:t>
      </w:r>
      <w:r>
        <w:rPr>
          <w:spacing w:val="-6"/>
          <w:sz w:val="18"/>
          <w:szCs w:val="18"/>
          <w:lang w:val="es-ES_tradnl"/>
        </w:rPr>
        <w:t>sigui</w:t>
      </w:r>
      <w:r>
        <w:rPr>
          <w:rFonts w:cs="Times New Roman"/>
          <w:spacing w:val="-6"/>
          <w:sz w:val="18"/>
          <w:szCs w:val="18"/>
          <w:lang w:val="es-ES_tradnl"/>
        </w:rPr>
        <w:t>ó</w:t>
      </w:r>
      <w:r>
        <w:rPr>
          <w:spacing w:val="-6"/>
          <w:sz w:val="18"/>
          <w:szCs w:val="18"/>
          <w:lang w:val="es-ES_tradnl"/>
        </w:rPr>
        <w:t xml:space="preserve"> a </w:t>
      </w:r>
      <w:r>
        <w:rPr>
          <w:spacing w:val="-8"/>
          <w:sz w:val="18"/>
          <w:szCs w:val="18"/>
          <w:lang w:val="es-ES_tradnl"/>
        </w:rPr>
        <w:t>la medida todos los preceptos contenidos en el C</w:t>
      </w:r>
      <w:r>
        <w:rPr>
          <w:rFonts w:cs="Times New Roman"/>
          <w:spacing w:val="-8"/>
          <w:sz w:val="18"/>
          <w:szCs w:val="18"/>
          <w:lang w:val="es-ES_tradnl"/>
        </w:rPr>
        <w:t>ó</w:t>
      </w:r>
      <w:r>
        <w:rPr>
          <w:spacing w:val="-8"/>
          <w:sz w:val="18"/>
          <w:szCs w:val="18"/>
          <w:lang w:val="es-ES_tradnl"/>
        </w:rPr>
        <w:t xml:space="preserve">digo de </w:t>
      </w:r>
      <w:r>
        <w:rPr>
          <w:spacing w:val="-7"/>
          <w:sz w:val="18"/>
          <w:szCs w:val="18"/>
          <w:lang w:val="es-ES_tradnl"/>
        </w:rPr>
        <w:t>Procedimiento Civil</w:t>
      </w:r>
      <w:r>
        <w:rPr>
          <w:rFonts w:cs="Times New Roman"/>
          <w:spacing w:val="-7"/>
          <w:sz w:val="18"/>
          <w:szCs w:val="18"/>
          <w:lang w:val="es-ES_tradnl"/>
        </w:rPr>
        <w:t>”</w:t>
      </w:r>
      <w:r>
        <w:rPr>
          <w:spacing w:val="-7"/>
          <w:sz w:val="18"/>
          <w:szCs w:val="18"/>
          <w:lang w:val="es-ES_tradnl"/>
        </w:rPr>
        <w:t>; no obstante, asevera que a pesar de</w:t>
      </w:r>
    </w:p>
    <w:p w14:paraId="4F67B851" w14:textId="77777777" w:rsidR="00591D54" w:rsidRDefault="00591D54">
      <w:pPr>
        <w:shd w:val="clear" w:color="auto" w:fill="FFFFFF"/>
        <w:spacing w:line="221" w:lineRule="exact"/>
        <w:jc w:val="both"/>
      </w:pPr>
      <w:r>
        <w:br w:type="column"/>
      </w:r>
      <w:r>
        <w:rPr>
          <w:spacing w:val="-7"/>
          <w:sz w:val="18"/>
          <w:szCs w:val="18"/>
          <w:lang w:val="es-ES_tradnl"/>
        </w:rPr>
        <w:t xml:space="preserve">existir norma expresa aplicable al caso, </w:t>
      </w:r>
      <w:r>
        <w:rPr>
          <w:rFonts w:cs="Times New Roman"/>
          <w:spacing w:val="-7"/>
          <w:sz w:val="18"/>
          <w:szCs w:val="18"/>
          <w:lang w:val="es-ES_tradnl"/>
        </w:rPr>
        <w:t>“</w:t>
      </w:r>
      <w:r>
        <w:rPr>
          <w:spacing w:val="-7"/>
          <w:sz w:val="18"/>
          <w:szCs w:val="18"/>
          <w:lang w:val="es-ES_tradnl"/>
        </w:rPr>
        <w:t>la Sala desestima toda actuaci</w:t>
      </w:r>
      <w:r>
        <w:rPr>
          <w:rFonts w:cs="Times New Roman"/>
          <w:spacing w:val="-7"/>
          <w:sz w:val="18"/>
          <w:szCs w:val="18"/>
          <w:lang w:val="es-ES_tradnl"/>
        </w:rPr>
        <w:t>ó</w:t>
      </w:r>
      <w:r>
        <w:rPr>
          <w:spacing w:val="-7"/>
          <w:sz w:val="18"/>
          <w:szCs w:val="18"/>
          <w:lang w:val="es-ES_tradnl"/>
        </w:rPr>
        <w:t xml:space="preserve">n manifestando la imposibilidad de la misma </w:t>
      </w:r>
      <w:r>
        <w:rPr>
          <w:spacing w:val="-6"/>
          <w:sz w:val="18"/>
          <w:szCs w:val="18"/>
          <w:lang w:val="es-ES_tradnl"/>
        </w:rPr>
        <w:t>(</w:t>
      </w:r>
      <w:r>
        <w:rPr>
          <w:rFonts w:cs="Times New Roman"/>
          <w:spacing w:val="-6"/>
          <w:sz w:val="18"/>
          <w:szCs w:val="18"/>
          <w:lang w:val="es-ES_tradnl"/>
        </w:rPr>
        <w:t>…</w:t>
      </w:r>
      <w:r>
        <w:rPr>
          <w:spacing w:val="-6"/>
          <w:sz w:val="18"/>
          <w:szCs w:val="18"/>
          <w:lang w:val="es-ES_tradnl"/>
        </w:rPr>
        <w:t>) conculcando el Derecho a la Seguridad Jur</w:t>
      </w:r>
      <w:r>
        <w:rPr>
          <w:rFonts w:cs="Times New Roman"/>
          <w:spacing w:val="-6"/>
          <w:sz w:val="18"/>
          <w:szCs w:val="18"/>
          <w:lang w:val="es-ES_tradnl"/>
        </w:rPr>
        <w:t>í</w:t>
      </w:r>
      <w:r>
        <w:rPr>
          <w:spacing w:val="-6"/>
          <w:sz w:val="18"/>
          <w:szCs w:val="18"/>
          <w:lang w:val="es-ES_tradnl"/>
        </w:rPr>
        <w:t>dica</w:t>
      </w:r>
      <w:r>
        <w:rPr>
          <w:rFonts w:cs="Times New Roman"/>
          <w:spacing w:val="-6"/>
          <w:sz w:val="18"/>
          <w:szCs w:val="18"/>
          <w:lang w:val="es-ES_tradnl"/>
        </w:rPr>
        <w:t>”</w:t>
      </w:r>
      <w:r>
        <w:rPr>
          <w:spacing w:val="-6"/>
          <w:sz w:val="18"/>
          <w:szCs w:val="18"/>
          <w:lang w:val="es-ES_tradnl"/>
        </w:rPr>
        <w:t xml:space="preserve"> en </w:t>
      </w:r>
      <w:r>
        <w:rPr>
          <w:spacing w:val="-8"/>
          <w:sz w:val="18"/>
          <w:szCs w:val="18"/>
          <w:lang w:val="es-ES_tradnl"/>
        </w:rPr>
        <w:t>raz</w:t>
      </w:r>
      <w:r>
        <w:rPr>
          <w:rFonts w:cs="Times New Roman"/>
          <w:spacing w:val="-8"/>
          <w:sz w:val="18"/>
          <w:szCs w:val="18"/>
          <w:lang w:val="es-ES_tradnl"/>
        </w:rPr>
        <w:t>ó</w:t>
      </w:r>
      <w:r>
        <w:rPr>
          <w:spacing w:val="-8"/>
          <w:sz w:val="18"/>
          <w:szCs w:val="18"/>
          <w:lang w:val="es-ES_tradnl"/>
        </w:rPr>
        <w:t xml:space="preserve">n de impedir a su representada </w:t>
      </w:r>
      <w:r>
        <w:rPr>
          <w:rFonts w:cs="Times New Roman"/>
          <w:spacing w:val="-8"/>
          <w:sz w:val="18"/>
          <w:szCs w:val="18"/>
          <w:lang w:val="es-ES_tradnl"/>
        </w:rPr>
        <w:t>“</w:t>
      </w:r>
      <w:r>
        <w:rPr>
          <w:spacing w:val="-8"/>
          <w:sz w:val="18"/>
          <w:szCs w:val="18"/>
          <w:lang w:val="es-ES_tradnl"/>
        </w:rPr>
        <w:t>el acceso a la justicia</w:t>
      </w:r>
      <w:r>
        <w:rPr>
          <w:rFonts w:cs="Times New Roman"/>
          <w:spacing w:val="-8"/>
          <w:sz w:val="18"/>
          <w:szCs w:val="18"/>
          <w:lang w:val="es-ES_tradnl"/>
        </w:rPr>
        <w:t>”</w:t>
      </w:r>
      <w:r>
        <w:rPr>
          <w:spacing w:val="-8"/>
          <w:sz w:val="18"/>
          <w:szCs w:val="18"/>
          <w:lang w:val="es-ES_tradnl"/>
        </w:rPr>
        <w:t>.</w:t>
      </w:r>
    </w:p>
    <w:p w14:paraId="4F67B852" w14:textId="77777777" w:rsidR="00591D54" w:rsidRDefault="00591D54">
      <w:pPr>
        <w:shd w:val="clear" w:color="auto" w:fill="FFFFFF"/>
        <w:spacing w:before="202" w:line="221" w:lineRule="exact"/>
        <w:jc w:val="both"/>
      </w:pPr>
      <w:r>
        <w:rPr>
          <w:spacing w:val="-8"/>
          <w:sz w:val="18"/>
          <w:szCs w:val="18"/>
          <w:lang w:val="es-ES_tradnl"/>
        </w:rPr>
        <w:t>Asimismo, considera que en la decisi</w:t>
      </w:r>
      <w:r>
        <w:rPr>
          <w:rFonts w:cs="Times New Roman"/>
          <w:spacing w:val="-8"/>
          <w:sz w:val="18"/>
          <w:szCs w:val="18"/>
          <w:lang w:val="es-ES_tradnl"/>
        </w:rPr>
        <w:t>ó</w:t>
      </w:r>
      <w:r>
        <w:rPr>
          <w:spacing w:val="-8"/>
          <w:sz w:val="18"/>
          <w:szCs w:val="18"/>
          <w:lang w:val="es-ES_tradnl"/>
        </w:rPr>
        <w:t xml:space="preserve">n demandada se ha </w:t>
      </w:r>
      <w:r>
        <w:rPr>
          <w:spacing w:val="-9"/>
          <w:sz w:val="18"/>
          <w:szCs w:val="18"/>
          <w:lang w:val="es-ES_tradnl"/>
        </w:rPr>
        <w:t xml:space="preserve">vulnerado el derecho de su representada al debido proceso </w:t>
      </w:r>
      <w:r>
        <w:rPr>
          <w:spacing w:val="-8"/>
          <w:sz w:val="18"/>
          <w:szCs w:val="18"/>
          <w:lang w:val="es-ES_tradnl"/>
        </w:rPr>
        <w:t xml:space="preserve">en cuanto a garantizar el cumplimiento de las normas y los </w:t>
      </w:r>
      <w:r>
        <w:rPr>
          <w:spacing w:val="-11"/>
          <w:sz w:val="18"/>
          <w:szCs w:val="18"/>
          <w:lang w:val="es-ES_tradnl"/>
        </w:rPr>
        <w:t xml:space="preserve">derechos de las partes, pues, a su criterio, </w:t>
      </w:r>
      <w:r>
        <w:rPr>
          <w:rFonts w:cs="Times New Roman"/>
          <w:spacing w:val="-11"/>
          <w:sz w:val="18"/>
          <w:szCs w:val="18"/>
          <w:lang w:val="es-ES_tradnl"/>
        </w:rPr>
        <w:t>“</w:t>
      </w:r>
      <w:r>
        <w:rPr>
          <w:spacing w:val="-11"/>
          <w:sz w:val="18"/>
          <w:szCs w:val="18"/>
          <w:lang w:val="es-ES_tradnl"/>
        </w:rPr>
        <w:t xml:space="preserve">a pesar de norma </w:t>
      </w:r>
      <w:r>
        <w:rPr>
          <w:spacing w:val="-9"/>
          <w:sz w:val="18"/>
          <w:szCs w:val="18"/>
          <w:lang w:val="es-ES_tradnl"/>
        </w:rPr>
        <w:t xml:space="preserve">expresa que garantizaba un derecho, siendo este, el poder </w:t>
      </w:r>
      <w:r>
        <w:rPr>
          <w:spacing w:val="-3"/>
          <w:sz w:val="18"/>
          <w:szCs w:val="18"/>
          <w:lang w:val="es-ES_tradnl"/>
        </w:rPr>
        <w:t>legitimar la personer</w:t>
      </w:r>
      <w:r>
        <w:rPr>
          <w:rFonts w:cs="Times New Roman"/>
          <w:spacing w:val="-3"/>
          <w:sz w:val="18"/>
          <w:szCs w:val="18"/>
          <w:lang w:val="es-ES_tradnl"/>
        </w:rPr>
        <w:t>í</w:t>
      </w:r>
      <w:r>
        <w:rPr>
          <w:spacing w:val="-3"/>
          <w:sz w:val="18"/>
          <w:szCs w:val="18"/>
          <w:lang w:val="es-ES_tradnl"/>
        </w:rPr>
        <w:t xml:space="preserve">a en cualquiera de las instancias, </w:t>
      </w:r>
      <w:r>
        <w:rPr>
          <w:spacing w:val="-7"/>
          <w:sz w:val="18"/>
          <w:szCs w:val="18"/>
          <w:lang w:val="es-ES_tradnl"/>
        </w:rPr>
        <w:t>a</w:t>
      </w:r>
      <w:r>
        <w:rPr>
          <w:rFonts w:cs="Times New Roman"/>
          <w:spacing w:val="-7"/>
          <w:sz w:val="18"/>
          <w:szCs w:val="18"/>
          <w:lang w:val="es-ES_tradnl"/>
        </w:rPr>
        <w:t>ú</w:t>
      </w:r>
      <w:r>
        <w:rPr>
          <w:spacing w:val="-7"/>
          <w:sz w:val="18"/>
          <w:szCs w:val="18"/>
          <w:lang w:val="es-ES_tradnl"/>
        </w:rPr>
        <w:t>n despu</w:t>
      </w:r>
      <w:r>
        <w:rPr>
          <w:rFonts w:cs="Times New Roman"/>
          <w:spacing w:val="-7"/>
          <w:sz w:val="18"/>
          <w:szCs w:val="18"/>
          <w:lang w:val="es-ES_tradnl"/>
        </w:rPr>
        <w:t>é</w:t>
      </w:r>
      <w:r>
        <w:rPr>
          <w:spacing w:val="-7"/>
          <w:sz w:val="18"/>
          <w:szCs w:val="18"/>
          <w:lang w:val="es-ES_tradnl"/>
        </w:rPr>
        <w:t xml:space="preserve">s de declarada la nulidad del proceso por falta </w:t>
      </w:r>
      <w:r>
        <w:rPr>
          <w:spacing w:val="-8"/>
          <w:sz w:val="18"/>
          <w:szCs w:val="18"/>
          <w:lang w:val="es-ES_tradnl"/>
        </w:rPr>
        <w:t>de personer</w:t>
      </w:r>
      <w:r>
        <w:rPr>
          <w:rFonts w:cs="Times New Roman"/>
          <w:spacing w:val="-8"/>
          <w:sz w:val="18"/>
          <w:szCs w:val="18"/>
          <w:lang w:val="es-ES_tradnl"/>
        </w:rPr>
        <w:t>í</w:t>
      </w:r>
      <w:r>
        <w:rPr>
          <w:spacing w:val="-8"/>
          <w:sz w:val="18"/>
          <w:szCs w:val="18"/>
          <w:lang w:val="es-ES_tradnl"/>
        </w:rPr>
        <w:t>a, resuelve desestimar el recurso de casaci</w:t>
      </w:r>
      <w:r>
        <w:rPr>
          <w:rFonts w:cs="Times New Roman"/>
          <w:spacing w:val="-8"/>
          <w:sz w:val="18"/>
          <w:szCs w:val="18"/>
          <w:lang w:val="es-ES_tradnl"/>
        </w:rPr>
        <w:t>ó</w:t>
      </w:r>
      <w:r>
        <w:rPr>
          <w:spacing w:val="-8"/>
          <w:sz w:val="18"/>
          <w:szCs w:val="18"/>
          <w:lang w:val="es-ES_tradnl"/>
        </w:rPr>
        <w:t xml:space="preserve">n </w:t>
      </w:r>
      <w:r>
        <w:rPr>
          <w:spacing w:val="-10"/>
          <w:sz w:val="18"/>
          <w:szCs w:val="18"/>
          <w:lang w:val="es-ES_tradnl"/>
        </w:rPr>
        <w:t xml:space="preserve">interpuesto manifestando que no es posible ni procedente lo </w:t>
      </w:r>
      <w:r>
        <w:rPr>
          <w:spacing w:val="-5"/>
          <w:sz w:val="18"/>
          <w:szCs w:val="18"/>
          <w:lang w:val="es-ES_tradnl"/>
        </w:rPr>
        <w:t>actuado por la Administraci</w:t>
      </w:r>
      <w:r>
        <w:rPr>
          <w:rFonts w:cs="Times New Roman"/>
          <w:spacing w:val="-5"/>
          <w:sz w:val="18"/>
          <w:szCs w:val="18"/>
          <w:lang w:val="es-ES_tradnl"/>
        </w:rPr>
        <w:t>ó</w:t>
      </w:r>
      <w:r>
        <w:rPr>
          <w:spacing w:val="-5"/>
          <w:sz w:val="18"/>
          <w:szCs w:val="18"/>
          <w:lang w:val="es-ES_tradnl"/>
        </w:rPr>
        <w:t>n Tributaria</w:t>
      </w:r>
      <w:r>
        <w:rPr>
          <w:rFonts w:cs="Times New Roman"/>
          <w:spacing w:val="-5"/>
          <w:sz w:val="18"/>
          <w:szCs w:val="18"/>
          <w:lang w:val="es-ES_tradnl"/>
        </w:rPr>
        <w:t>”</w:t>
      </w:r>
      <w:r>
        <w:rPr>
          <w:spacing w:val="-5"/>
          <w:sz w:val="18"/>
          <w:szCs w:val="18"/>
          <w:lang w:val="es-ES_tradnl"/>
        </w:rPr>
        <w:t>.</w:t>
      </w:r>
    </w:p>
    <w:p w14:paraId="4F67B853" w14:textId="77777777" w:rsidR="00591D54" w:rsidRDefault="00591D54">
      <w:pPr>
        <w:shd w:val="clear" w:color="auto" w:fill="FFFFFF"/>
        <w:spacing w:before="202" w:line="221" w:lineRule="exact"/>
        <w:jc w:val="both"/>
      </w:pPr>
      <w:r>
        <w:rPr>
          <w:spacing w:val="-9"/>
          <w:sz w:val="18"/>
          <w:szCs w:val="18"/>
          <w:lang w:val="es-ES_tradnl"/>
        </w:rPr>
        <w:t xml:space="preserve">Por </w:t>
      </w:r>
      <w:r>
        <w:rPr>
          <w:rFonts w:cs="Times New Roman"/>
          <w:spacing w:val="-9"/>
          <w:sz w:val="18"/>
          <w:szCs w:val="18"/>
          <w:lang w:val="es-ES_tradnl"/>
        </w:rPr>
        <w:t>ú</w:t>
      </w:r>
      <w:r>
        <w:rPr>
          <w:spacing w:val="-9"/>
          <w:sz w:val="18"/>
          <w:szCs w:val="18"/>
          <w:lang w:val="es-ES_tradnl"/>
        </w:rPr>
        <w:t>ltimo, se</w:t>
      </w:r>
      <w:r>
        <w:rPr>
          <w:rFonts w:cs="Times New Roman"/>
          <w:spacing w:val="-9"/>
          <w:sz w:val="18"/>
          <w:szCs w:val="18"/>
          <w:lang w:val="es-ES_tradnl"/>
        </w:rPr>
        <w:t>ñ</w:t>
      </w:r>
      <w:r>
        <w:rPr>
          <w:spacing w:val="-9"/>
          <w:sz w:val="18"/>
          <w:szCs w:val="18"/>
          <w:lang w:val="es-ES_tradnl"/>
        </w:rPr>
        <w:t>ala que al inadmitir el recurso de casaci</w:t>
      </w:r>
      <w:r>
        <w:rPr>
          <w:rFonts w:cs="Times New Roman"/>
          <w:spacing w:val="-9"/>
          <w:sz w:val="18"/>
          <w:szCs w:val="18"/>
          <w:lang w:val="es-ES_tradnl"/>
        </w:rPr>
        <w:t>ó</w:t>
      </w:r>
      <w:r>
        <w:rPr>
          <w:spacing w:val="-9"/>
          <w:sz w:val="18"/>
          <w:szCs w:val="18"/>
          <w:lang w:val="es-ES_tradnl"/>
        </w:rPr>
        <w:t>n se le ha dejado en indefensi</w:t>
      </w:r>
      <w:r>
        <w:rPr>
          <w:rFonts w:cs="Times New Roman"/>
          <w:spacing w:val="-9"/>
          <w:sz w:val="18"/>
          <w:szCs w:val="18"/>
          <w:lang w:val="es-ES_tradnl"/>
        </w:rPr>
        <w:t>ó</w:t>
      </w:r>
      <w:r>
        <w:rPr>
          <w:spacing w:val="-9"/>
          <w:sz w:val="18"/>
          <w:szCs w:val="18"/>
          <w:lang w:val="es-ES_tradnl"/>
        </w:rPr>
        <w:t xml:space="preserve">n, puesto que se ha denegado el </w:t>
      </w:r>
      <w:r>
        <w:rPr>
          <w:spacing w:val="-7"/>
          <w:sz w:val="18"/>
          <w:szCs w:val="18"/>
          <w:lang w:val="es-ES_tradnl"/>
        </w:rPr>
        <w:t xml:space="preserve">acceso a la justicia </w:t>
      </w:r>
      <w:r>
        <w:rPr>
          <w:rFonts w:cs="Times New Roman"/>
          <w:spacing w:val="-7"/>
          <w:sz w:val="18"/>
          <w:szCs w:val="18"/>
          <w:lang w:val="es-ES_tradnl"/>
        </w:rPr>
        <w:t>“</w:t>
      </w:r>
      <w:r>
        <w:rPr>
          <w:spacing w:val="-7"/>
          <w:sz w:val="18"/>
          <w:szCs w:val="18"/>
          <w:lang w:val="es-ES_tradnl"/>
        </w:rPr>
        <w:t>por el hecho de que la Administraci</w:t>
      </w:r>
      <w:r>
        <w:rPr>
          <w:rFonts w:cs="Times New Roman"/>
          <w:spacing w:val="-7"/>
          <w:sz w:val="18"/>
          <w:szCs w:val="18"/>
          <w:lang w:val="es-ES_tradnl"/>
        </w:rPr>
        <w:t>ó</w:t>
      </w:r>
      <w:r>
        <w:rPr>
          <w:spacing w:val="-7"/>
          <w:sz w:val="18"/>
          <w:szCs w:val="18"/>
          <w:lang w:val="es-ES_tradnl"/>
        </w:rPr>
        <w:t xml:space="preserve">n </w:t>
      </w:r>
      <w:r>
        <w:rPr>
          <w:spacing w:val="-2"/>
          <w:sz w:val="18"/>
          <w:szCs w:val="18"/>
          <w:lang w:val="es-ES_tradnl"/>
        </w:rPr>
        <w:t>Tributaria no realiz</w:t>
      </w:r>
      <w:r>
        <w:rPr>
          <w:rFonts w:cs="Times New Roman"/>
          <w:spacing w:val="-2"/>
          <w:sz w:val="18"/>
          <w:szCs w:val="18"/>
          <w:lang w:val="es-ES_tradnl"/>
        </w:rPr>
        <w:t>ó</w:t>
      </w:r>
      <w:r>
        <w:rPr>
          <w:spacing w:val="-2"/>
          <w:sz w:val="18"/>
          <w:szCs w:val="18"/>
          <w:lang w:val="es-ES_tradnl"/>
        </w:rPr>
        <w:t xml:space="preserve"> la ratificaci</w:t>
      </w:r>
      <w:r>
        <w:rPr>
          <w:rFonts w:cs="Times New Roman"/>
          <w:spacing w:val="-2"/>
          <w:sz w:val="18"/>
          <w:szCs w:val="18"/>
          <w:lang w:val="es-ES_tradnl"/>
        </w:rPr>
        <w:t>ó</w:t>
      </w:r>
      <w:r>
        <w:rPr>
          <w:spacing w:val="-2"/>
          <w:sz w:val="18"/>
          <w:szCs w:val="18"/>
          <w:lang w:val="es-ES_tradnl"/>
        </w:rPr>
        <w:t xml:space="preserve">n de gestiones del </w:t>
      </w:r>
      <w:r>
        <w:rPr>
          <w:spacing w:val="-7"/>
          <w:sz w:val="18"/>
          <w:szCs w:val="18"/>
          <w:lang w:val="es-ES_tradnl"/>
        </w:rPr>
        <w:t>Abogado Patrocinador en el tiempo dispuesto por la Sala configur</w:t>
      </w:r>
      <w:r>
        <w:rPr>
          <w:rFonts w:cs="Times New Roman"/>
          <w:spacing w:val="-7"/>
          <w:sz w:val="18"/>
          <w:szCs w:val="18"/>
          <w:lang w:val="es-ES_tradnl"/>
        </w:rPr>
        <w:t>á</w:t>
      </w:r>
      <w:r>
        <w:rPr>
          <w:spacing w:val="-7"/>
          <w:sz w:val="18"/>
          <w:szCs w:val="18"/>
          <w:lang w:val="es-ES_tradnl"/>
        </w:rPr>
        <w:t xml:space="preserve">ndose dicho plazo como una formalidad que fue </w:t>
      </w:r>
      <w:r>
        <w:rPr>
          <w:spacing w:val="-9"/>
          <w:sz w:val="18"/>
          <w:szCs w:val="18"/>
          <w:lang w:val="es-ES_tradnl"/>
        </w:rPr>
        <w:t>subsanada en lo posterior con ratificaci</w:t>
      </w:r>
      <w:r>
        <w:rPr>
          <w:rFonts w:cs="Times New Roman"/>
          <w:spacing w:val="-9"/>
          <w:sz w:val="18"/>
          <w:szCs w:val="18"/>
          <w:lang w:val="es-ES_tradnl"/>
        </w:rPr>
        <w:t>ó</w:t>
      </w:r>
      <w:r>
        <w:rPr>
          <w:spacing w:val="-9"/>
          <w:sz w:val="18"/>
          <w:szCs w:val="18"/>
          <w:lang w:val="es-ES_tradnl"/>
        </w:rPr>
        <w:t xml:space="preserve">n presentada junto </w:t>
      </w:r>
      <w:r>
        <w:rPr>
          <w:spacing w:val="-8"/>
          <w:sz w:val="18"/>
          <w:szCs w:val="18"/>
          <w:lang w:val="es-ES_tradnl"/>
        </w:rPr>
        <w:t>con el Recurso de Hecho presentado</w:t>
      </w:r>
      <w:r>
        <w:rPr>
          <w:rFonts w:cs="Times New Roman"/>
          <w:spacing w:val="-8"/>
          <w:sz w:val="18"/>
          <w:szCs w:val="18"/>
          <w:lang w:val="es-ES_tradnl"/>
        </w:rPr>
        <w:t>”</w:t>
      </w:r>
      <w:r>
        <w:rPr>
          <w:spacing w:val="-8"/>
          <w:sz w:val="18"/>
          <w:szCs w:val="18"/>
          <w:lang w:val="es-ES_tradnl"/>
        </w:rPr>
        <w:t xml:space="preserve">, lo cual, a su criterio, </w:t>
      </w:r>
      <w:r>
        <w:rPr>
          <w:spacing w:val="-9"/>
          <w:sz w:val="18"/>
          <w:szCs w:val="18"/>
          <w:lang w:val="es-ES_tradnl"/>
        </w:rPr>
        <w:t>es perfectamente aceptable en raz</w:t>
      </w:r>
      <w:r>
        <w:rPr>
          <w:rFonts w:cs="Times New Roman"/>
          <w:spacing w:val="-9"/>
          <w:sz w:val="18"/>
          <w:szCs w:val="18"/>
          <w:lang w:val="es-ES_tradnl"/>
        </w:rPr>
        <w:t>ó</w:t>
      </w:r>
      <w:r>
        <w:rPr>
          <w:spacing w:val="-9"/>
          <w:sz w:val="18"/>
          <w:szCs w:val="18"/>
          <w:lang w:val="es-ES_tradnl"/>
        </w:rPr>
        <w:t xml:space="preserve">n de estar previsto en el </w:t>
      </w:r>
      <w:r>
        <w:rPr>
          <w:spacing w:val="-5"/>
          <w:sz w:val="18"/>
          <w:szCs w:val="18"/>
          <w:lang w:val="es-ES_tradnl"/>
        </w:rPr>
        <w:t>art</w:t>
      </w:r>
      <w:r>
        <w:rPr>
          <w:rFonts w:cs="Times New Roman"/>
          <w:spacing w:val="-5"/>
          <w:sz w:val="18"/>
          <w:szCs w:val="18"/>
          <w:lang w:val="es-ES_tradnl"/>
        </w:rPr>
        <w:t>í</w:t>
      </w:r>
      <w:r>
        <w:rPr>
          <w:spacing w:val="-5"/>
          <w:sz w:val="18"/>
          <w:szCs w:val="18"/>
          <w:lang w:val="es-ES_tradnl"/>
        </w:rPr>
        <w:t>culo 359 del C</w:t>
      </w:r>
      <w:r>
        <w:rPr>
          <w:rFonts w:cs="Times New Roman"/>
          <w:spacing w:val="-5"/>
          <w:sz w:val="18"/>
          <w:szCs w:val="18"/>
          <w:lang w:val="es-ES_tradnl"/>
        </w:rPr>
        <w:t>ó</w:t>
      </w:r>
      <w:r>
        <w:rPr>
          <w:spacing w:val="-5"/>
          <w:sz w:val="18"/>
          <w:szCs w:val="18"/>
          <w:lang w:val="es-ES_tradnl"/>
        </w:rPr>
        <w:t>digo de Procedimiento Civil.</w:t>
      </w:r>
    </w:p>
    <w:p w14:paraId="4F67B854" w14:textId="77777777" w:rsidR="00591D54" w:rsidRDefault="00591D54">
      <w:pPr>
        <w:shd w:val="clear" w:color="auto" w:fill="FFFFFF"/>
        <w:spacing w:before="202" w:line="226" w:lineRule="exact"/>
        <w:jc w:val="both"/>
      </w:pPr>
      <w:r>
        <w:rPr>
          <w:b/>
          <w:bCs/>
          <w:spacing w:val="-13"/>
          <w:sz w:val="18"/>
          <w:szCs w:val="18"/>
          <w:lang w:val="es-ES_tradnl"/>
        </w:rPr>
        <w:t>Identificaci</w:t>
      </w:r>
      <w:r>
        <w:rPr>
          <w:rFonts w:cs="Times New Roman"/>
          <w:b/>
          <w:bCs/>
          <w:spacing w:val="-13"/>
          <w:sz w:val="18"/>
          <w:szCs w:val="18"/>
          <w:lang w:val="es-ES_tradnl"/>
        </w:rPr>
        <w:t>ó</w:t>
      </w:r>
      <w:r>
        <w:rPr>
          <w:b/>
          <w:bCs/>
          <w:spacing w:val="-13"/>
          <w:sz w:val="18"/>
          <w:szCs w:val="18"/>
          <w:lang w:val="es-ES_tradnl"/>
        </w:rPr>
        <w:t xml:space="preserve">n de los derechos presuntamente vulnerados </w:t>
      </w:r>
      <w:r>
        <w:rPr>
          <w:b/>
          <w:bCs/>
          <w:sz w:val="18"/>
          <w:szCs w:val="18"/>
          <w:lang w:val="es-ES_tradnl"/>
        </w:rPr>
        <w:t>por la decisi</w:t>
      </w:r>
      <w:r>
        <w:rPr>
          <w:rFonts w:cs="Times New Roman"/>
          <w:b/>
          <w:bCs/>
          <w:sz w:val="18"/>
          <w:szCs w:val="18"/>
          <w:lang w:val="es-ES_tradnl"/>
        </w:rPr>
        <w:t>ó</w:t>
      </w:r>
      <w:r>
        <w:rPr>
          <w:b/>
          <w:bCs/>
          <w:sz w:val="18"/>
          <w:szCs w:val="18"/>
          <w:lang w:val="es-ES_tradnl"/>
        </w:rPr>
        <w:t>n judicial</w:t>
      </w:r>
    </w:p>
    <w:p w14:paraId="4F67B855" w14:textId="77777777" w:rsidR="00591D54" w:rsidRDefault="00591D54">
      <w:pPr>
        <w:shd w:val="clear" w:color="auto" w:fill="FFFFFF"/>
        <w:spacing w:before="202" w:line="221" w:lineRule="exact"/>
        <w:jc w:val="both"/>
      </w:pPr>
      <w:r>
        <w:rPr>
          <w:spacing w:val="-7"/>
          <w:sz w:val="18"/>
          <w:szCs w:val="18"/>
          <w:lang w:val="es-ES_tradnl"/>
        </w:rPr>
        <w:t xml:space="preserve">Los derechos constitucionales que el representante del </w:t>
      </w:r>
      <w:r>
        <w:rPr>
          <w:spacing w:val="-6"/>
          <w:sz w:val="18"/>
          <w:szCs w:val="18"/>
          <w:lang w:val="es-ES_tradnl"/>
        </w:rPr>
        <w:t xml:space="preserve">Servicio de Rentas Internas considera vulnerados son </w:t>
      </w:r>
      <w:r>
        <w:rPr>
          <w:spacing w:val="-8"/>
          <w:sz w:val="18"/>
          <w:szCs w:val="18"/>
          <w:lang w:val="es-ES_tradnl"/>
        </w:rPr>
        <w:t>aquellos contenidos en los art</w:t>
      </w:r>
      <w:r>
        <w:rPr>
          <w:rFonts w:cs="Times New Roman"/>
          <w:spacing w:val="-8"/>
          <w:sz w:val="18"/>
          <w:szCs w:val="18"/>
          <w:lang w:val="es-ES_tradnl"/>
        </w:rPr>
        <w:t>í</w:t>
      </w:r>
      <w:r>
        <w:rPr>
          <w:spacing w:val="-8"/>
          <w:sz w:val="18"/>
          <w:szCs w:val="18"/>
          <w:lang w:val="es-ES_tradnl"/>
        </w:rPr>
        <w:t xml:space="preserve">culos 75, 76, numeral 1, y 82 </w:t>
      </w:r>
      <w:r>
        <w:rPr>
          <w:sz w:val="18"/>
          <w:szCs w:val="18"/>
          <w:lang w:val="es-ES_tradnl"/>
        </w:rPr>
        <w:t>de 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B856" w14:textId="77777777" w:rsidR="00591D54" w:rsidRDefault="00591D54">
      <w:pPr>
        <w:shd w:val="clear" w:color="auto" w:fill="FFFFFF"/>
        <w:spacing w:before="202"/>
      </w:pPr>
      <w:r>
        <w:rPr>
          <w:b/>
          <w:bCs/>
          <w:spacing w:val="-10"/>
          <w:sz w:val="18"/>
          <w:szCs w:val="18"/>
          <w:lang w:val="es-ES_tradnl"/>
        </w:rPr>
        <w:t>Pretensi</w:t>
      </w:r>
      <w:r>
        <w:rPr>
          <w:rFonts w:cs="Times New Roman"/>
          <w:b/>
          <w:bCs/>
          <w:spacing w:val="-10"/>
          <w:sz w:val="18"/>
          <w:szCs w:val="18"/>
          <w:lang w:val="es-ES_tradnl"/>
        </w:rPr>
        <w:t>ó</w:t>
      </w:r>
      <w:r>
        <w:rPr>
          <w:b/>
          <w:bCs/>
          <w:spacing w:val="-10"/>
          <w:sz w:val="18"/>
          <w:szCs w:val="18"/>
          <w:lang w:val="es-ES_tradnl"/>
        </w:rPr>
        <w:t>n concreta</w:t>
      </w:r>
    </w:p>
    <w:p w14:paraId="4F67B857" w14:textId="77777777" w:rsidR="00591D54" w:rsidRDefault="00591D54">
      <w:pPr>
        <w:shd w:val="clear" w:color="auto" w:fill="FFFFFF"/>
        <w:spacing w:before="202"/>
      </w:pPr>
      <w:r>
        <w:rPr>
          <w:spacing w:val="-8"/>
          <w:sz w:val="18"/>
          <w:szCs w:val="18"/>
          <w:lang w:val="es-ES_tradnl"/>
        </w:rPr>
        <w:t>La pretensi</w:t>
      </w:r>
      <w:r>
        <w:rPr>
          <w:rFonts w:cs="Times New Roman"/>
          <w:spacing w:val="-8"/>
          <w:sz w:val="18"/>
          <w:szCs w:val="18"/>
          <w:lang w:val="es-ES_tradnl"/>
        </w:rPr>
        <w:t>ó</w:t>
      </w:r>
      <w:r>
        <w:rPr>
          <w:spacing w:val="-8"/>
          <w:sz w:val="18"/>
          <w:szCs w:val="18"/>
          <w:lang w:val="es-ES_tradnl"/>
        </w:rPr>
        <w:t>n concreta del accionante es la siguiente:</w:t>
      </w:r>
    </w:p>
    <w:p w14:paraId="4F67B858" w14:textId="77777777" w:rsidR="00591D54" w:rsidRDefault="00591D54">
      <w:pPr>
        <w:shd w:val="clear" w:color="auto" w:fill="FFFFFF"/>
        <w:spacing w:before="202" w:line="226" w:lineRule="exact"/>
        <w:ind w:left="283"/>
        <w:jc w:val="both"/>
      </w:pPr>
      <w:r>
        <w:rPr>
          <w:rFonts w:cs="Times New Roman"/>
          <w:spacing w:val="-6"/>
          <w:sz w:val="16"/>
          <w:szCs w:val="16"/>
          <w:lang w:val="es-ES_tradnl"/>
        </w:rPr>
        <w:t>…</w:t>
      </w:r>
      <w:r>
        <w:rPr>
          <w:spacing w:val="-6"/>
          <w:sz w:val="16"/>
          <w:szCs w:val="16"/>
          <w:lang w:val="es-ES_tradnl"/>
        </w:rPr>
        <w:t>propongo acci</w:t>
      </w:r>
      <w:r>
        <w:rPr>
          <w:rFonts w:cs="Times New Roman"/>
          <w:spacing w:val="-6"/>
          <w:sz w:val="16"/>
          <w:szCs w:val="16"/>
          <w:lang w:val="es-ES_tradnl"/>
        </w:rPr>
        <w:t>ó</w:t>
      </w:r>
      <w:r>
        <w:rPr>
          <w:spacing w:val="-6"/>
          <w:sz w:val="16"/>
          <w:szCs w:val="16"/>
          <w:lang w:val="es-ES_tradnl"/>
        </w:rPr>
        <w:t>n extraordinaria de protecci</w:t>
      </w:r>
      <w:r>
        <w:rPr>
          <w:rFonts w:cs="Times New Roman"/>
          <w:spacing w:val="-6"/>
          <w:sz w:val="16"/>
          <w:szCs w:val="16"/>
          <w:lang w:val="es-ES_tradnl"/>
        </w:rPr>
        <w:t>ó</w:t>
      </w:r>
      <w:r>
        <w:rPr>
          <w:spacing w:val="-6"/>
          <w:sz w:val="16"/>
          <w:szCs w:val="16"/>
          <w:lang w:val="es-ES_tradnl"/>
        </w:rPr>
        <w:t xml:space="preserve">n sobre el auto </w:t>
      </w:r>
      <w:r>
        <w:rPr>
          <w:spacing w:val="-9"/>
          <w:sz w:val="16"/>
          <w:szCs w:val="16"/>
          <w:lang w:val="es-ES_tradnl"/>
        </w:rPr>
        <w:t xml:space="preserve">del 26 de noviembre de 2012, a las 08h10, expedido por la Sala </w:t>
      </w:r>
      <w:r>
        <w:rPr>
          <w:spacing w:val="-6"/>
          <w:sz w:val="16"/>
          <w:szCs w:val="16"/>
          <w:lang w:val="es-ES_tradnl"/>
        </w:rPr>
        <w:t>de lo Contencioso Tributario de la Corte Nacional de Justicia, dentro del Recurso de Casaci</w:t>
      </w:r>
      <w:r>
        <w:rPr>
          <w:rFonts w:cs="Times New Roman"/>
          <w:spacing w:val="-6"/>
          <w:sz w:val="16"/>
          <w:szCs w:val="16"/>
          <w:lang w:val="es-ES_tradnl"/>
        </w:rPr>
        <w:t>ó</w:t>
      </w:r>
      <w:r>
        <w:rPr>
          <w:spacing w:val="-6"/>
          <w:sz w:val="16"/>
          <w:szCs w:val="16"/>
          <w:lang w:val="es-ES_tradnl"/>
        </w:rPr>
        <w:t>n N.</w:t>
      </w:r>
      <w:r>
        <w:rPr>
          <w:rFonts w:cs="Times New Roman"/>
          <w:spacing w:val="-6"/>
          <w:sz w:val="16"/>
          <w:szCs w:val="16"/>
          <w:lang w:val="es-ES_tradnl"/>
        </w:rPr>
        <w:t>°</w:t>
      </w:r>
      <w:r>
        <w:rPr>
          <w:spacing w:val="-6"/>
          <w:sz w:val="16"/>
          <w:szCs w:val="16"/>
          <w:lang w:val="es-ES_tradnl"/>
        </w:rPr>
        <w:t xml:space="preserve"> 614-2012 y que con ello </w:t>
      </w:r>
      <w:r>
        <w:rPr>
          <w:spacing w:val="-8"/>
          <w:sz w:val="16"/>
          <w:szCs w:val="16"/>
          <w:lang w:val="es-ES_tradnl"/>
        </w:rPr>
        <w:t>sea declarada su invalidez y carente de toda eficacia jur</w:t>
      </w:r>
      <w:r>
        <w:rPr>
          <w:rFonts w:cs="Times New Roman"/>
          <w:spacing w:val="-8"/>
          <w:sz w:val="16"/>
          <w:szCs w:val="16"/>
          <w:lang w:val="es-ES_tradnl"/>
        </w:rPr>
        <w:t>í</w:t>
      </w:r>
      <w:r>
        <w:rPr>
          <w:spacing w:val="-8"/>
          <w:sz w:val="16"/>
          <w:szCs w:val="16"/>
          <w:lang w:val="es-ES_tradnl"/>
        </w:rPr>
        <w:t>dica.</w:t>
      </w:r>
    </w:p>
    <w:p w14:paraId="4F67B859" w14:textId="77777777" w:rsidR="00591D54" w:rsidRDefault="00591D54">
      <w:pPr>
        <w:shd w:val="clear" w:color="auto" w:fill="FFFFFF"/>
        <w:spacing w:before="206"/>
      </w:pPr>
      <w:r>
        <w:rPr>
          <w:b/>
          <w:bCs/>
          <w:spacing w:val="-10"/>
          <w:sz w:val="18"/>
          <w:szCs w:val="18"/>
          <w:lang w:val="es-ES_tradnl"/>
        </w:rPr>
        <w:t>Contestaci</w:t>
      </w:r>
      <w:r>
        <w:rPr>
          <w:rFonts w:cs="Times New Roman"/>
          <w:b/>
          <w:bCs/>
          <w:spacing w:val="-10"/>
          <w:sz w:val="18"/>
          <w:szCs w:val="18"/>
          <w:lang w:val="es-ES_tradnl"/>
        </w:rPr>
        <w:t>ó</w:t>
      </w:r>
      <w:r>
        <w:rPr>
          <w:b/>
          <w:bCs/>
          <w:spacing w:val="-10"/>
          <w:sz w:val="18"/>
          <w:szCs w:val="18"/>
          <w:lang w:val="es-ES_tradnl"/>
        </w:rPr>
        <w:t>n de la demanda</w:t>
      </w:r>
    </w:p>
    <w:p w14:paraId="4F67B85A" w14:textId="77777777" w:rsidR="00591D54" w:rsidRDefault="00591D54">
      <w:pPr>
        <w:shd w:val="clear" w:color="auto" w:fill="FFFFFF"/>
        <w:spacing w:before="202"/>
      </w:pPr>
      <w:r>
        <w:rPr>
          <w:b/>
          <w:bCs/>
          <w:spacing w:val="-9"/>
          <w:sz w:val="18"/>
          <w:szCs w:val="18"/>
          <w:lang w:val="es-ES_tradnl"/>
        </w:rPr>
        <w:t>Argumentos de la parte accionada</w:t>
      </w:r>
    </w:p>
    <w:p w14:paraId="4F67B85B" w14:textId="77777777" w:rsidR="00591D54" w:rsidRDefault="00591D54">
      <w:pPr>
        <w:shd w:val="clear" w:color="auto" w:fill="FFFFFF"/>
        <w:spacing w:before="202" w:line="221" w:lineRule="exact"/>
        <w:jc w:val="both"/>
      </w:pPr>
      <w:r>
        <w:rPr>
          <w:spacing w:val="-6"/>
          <w:sz w:val="18"/>
          <w:szCs w:val="18"/>
          <w:lang w:val="es-ES_tradnl"/>
        </w:rPr>
        <w:t xml:space="preserve">La Sala de Conjueces de lo Contencioso Tributario de la </w:t>
      </w:r>
      <w:r>
        <w:rPr>
          <w:spacing w:val="-5"/>
          <w:sz w:val="18"/>
          <w:szCs w:val="18"/>
          <w:lang w:val="es-ES_tradnl"/>
        </w:rPr>
        <w:t>Corte Nacional de Justicia, mediante oficio N.</w:t>
      </w:r>
      <w:r>
        <w:rPr>
          <w:rFonts w:cs="Times New Roman"/>
          <w:spacing w:val="-5"/>
          <w:sz w:val="18"/>
          <w:szCs w:val="18"/>
          <w:lang w:val="es-ES_tradnl"/>
        </w:rPr>
        <w:t>°</w:t>
      </w:r>
      <w:r>
        <w:rPr>
          <w:spacing w:val="-5"/>
          <w:sz w:val="18"/>
          <w:szCs w:val="18"/>
          <w:lang w:val="es-ES_tradnl"/>
        </w:rPr>
        <w:t xml:space="preserve"> 13-MST-</w:t>
      </w:r>
      <w:r>
        <w:rPr>
          <w:spacing w:val="-4"/>
          <w:sz w:val="18"/>
          <w:szCs w:val="18"/>
          <w:lang w:val="es-ES_tradnl"/>
        </w:rPr>
        <w:t xml:space="preserve">CNJ-14 del 25 de abril de 2014, remitido a esta Corte, </w:t>
      </w:r>
      <w:r>
        <w:rPr>
          <w:sz w:val="18"/>
          <w:szCs w:val="18"/>
          <w:lang w:val="es-ES_tradnl"/>
        </w:rPr>
        <w:t>se</w:t>
      </w:r>
      <w:r>
        <w:rPr>
          <w:rFonts w:cs="Times New Roman"/>
          <w:sz w:val="18"/>
          <w:szCs w:val="18"/>
          <w:lang w:val="es-ES_tradnl"/>
        </w:rPr>
        <w:t>ñ</w:t>
      </w:r>
      <w:r>
        <w:rPr>
          <w:sz w:val="18"/>
          <w:szCs w:val="18"/>
          <w:lang w:val="es-ES_tradnl"/>
        </w:rPr>
        <w:t>ala a manera de informe lo siguiente:</w:t>
      </w:r>
    </w:p>
    <w:p w14:paraId="4F67B85C" w14:textId="77777777" w:rsidR="00591D54" w:rsidRDefault="00591D54">
      <w:pPr>
        <w:shd w:val="clear" w:color="auto" w:fill="FFFFFF"/>
        <w:spacing w:before="206" w:line="221" w:lineRule="exact"/>
        <w:ind w:left="283"/>
        <w:jc w:val="both"/>
      </w:pPr>
      <w:r>
        <w:rPr>
          <w:spacing w:val="-5"/>
          <w:sz w:val="16"/>
          <w:szCs w:val="16"/>
          <w:lang w:val="es-ES_tradnl"/>
        </w:rPr>
        <w:t>El auto de inadmisibilidad de recurso de casaci</w:t>
      </w:r>
      <w:r>
        <w:rPr>
          <w:rFonts w:cs="Times New Roman"/>
          <w:spacing w:val="-5"/>
          <w:sz w:val="16"/>
          <w:szCs w:val="16"/>
          <w:lang w:val="es-ES_tradnl"/>
        </w:rPr>
        <w:t>ó</w:t>
      </w:r>
      <w:r>
        <w:rPr>
          <w:spacing w:val="-5"/>
          <w:sz w:val="16"/>
          <w:szCs w:val="16"/>
          <w:lang w:val="es-ES_tradnl"/>
        </w:rPr>
        <w:t xml:space="preserve">n, objeto de </w:t>
      </w:r>
      <w:r>
        <w:rPr>
          <w:spacing w:val="-6"/>
          <w:sz w:val="16"/>
          <w:szCs w:val="16"/>
          <w:lang w:val="es-ES_tradnl"/>
        </w:rPr>
        <w:t>la acci</w:t>
      </w:r>
      <w:r>
        <w:rPr>
          <w:rFonts w:cs="Times New Roman"/>
          <w:spacing w:val="-6"/>
          <w:sz w:val="16"/>
          <w:szCs w:val="16"/>
          <w:lang w:val="es-ES_tradnl"/>
        </w:rPr>
        <w:t>ó</w:t>
      </w:r>
      <w:r>
        <w:rPr>
          <w:spacing w:val="-6"/>
          <w:sz w:val="16"/>
          <w:szCs w:val="16"/>
          <w:lang w:val="es-ES_tradnl"/>
        </w:rPr>
        <w:t>n extraordinaria de protecci</w:t>
      </w:r>
      <w:r>
        <w:rPr>
          <w:rFonts w:cs="Times New Roman"/>
          <w:spacing w:val="-6"/>
          <w:sz w:val="16"/>
          <w:szCs w:val="16"/>
          <w:lang w:val="es-ES_tradnl"/>
        </w:rPr>
        <w:t>ó</w:t>
      </w:r>
      <w:r>
        <w:rPr>
          <w:spacing w:val="-6"/>
          <w:sz w:val="16"/>
          <w:szCs w:val="16"/>
          <w:lang w:val="es-ES_tradnl"/>
        </w:rPr>
        <w:t xml:space="preserve">n, fue dictado en estricto </w:t>
      </w:r>
      <w:r>
        <w:rPr>
          <w:spacing w:val="-7"/>
          <w:sz w:val="16"/>
          <w:szCs w:val="16"/>
          <w:lang w:val="es-ES_tradnl"/>
        </w:rPr>
        <w:t xml:space="preserve">apego a la tutela judicial efectiva, debido proceso, de manera </w:t>
      </w:r>
      <w:r>
        <w:rPr>
          <w:spacing w:val="-5"/>
          <w:sz w:val="16"/>
          <w:szCs w:val="16"/>
          <w:lang w:val="es-ES_tradnl"/>
        </w:rPr>
        <w:t xml:space="preserve">expedita e imparcial, respetando el derecho a la defensa y a </w:t>
      </w:r>
      <w:r>
        <w:rPr>
          <w:spacing w:val="-6"/>
          <w:sz w:val="16"/>
          <w:szCs w:val="16"/>
          <w:lang w:val="es-ES_tradnl"/>
        </w:rPr>
        <w:t>la seguridad jur</w:t>
      </w:r>
      <w:r>
        <w:rPr>
          <w:rFonts w:cs="Times New Roman"/>
          <w:spacing w:val="-6"/>
          <w:sz w:val="16"/>
          <w:szCs w:val="16"/>
          <w:lang w:val="es-ES_tradnl"/>
        </w:rPr>
        <w:t>í</w:t>
      </w:r>
      <w:r>
        <w:rPr>
          <w:spacing w:val="-6"/>
          <w:sz w:val="16"/>
          <w:szCs w:val="16"/>
          <w:lang w:val="es-ES_tradnl"/>
        </w:rPr>
        <w:t>dica, y cuyos argumentos f</w:t>
      </w:r>
      <w:r>
        <w:rPr>
          <w:rFonts w:cs="Times New Roman"/>
          <w:spacing w:val="-6"/>
          <w:sz w:val="16"/>
          <w:szCs w:val="16"/>
          <w:lang w:val="es-ES_tradnl"/>
        </w:rPr>
        <w:t>á</w:t>
      </w:r>
      <w:r>
        <w:rPr>
          <w:spacing w:val="-6"/>
          <w:sz w:val="16"/>
          <w:szCs w:val="16"/>
          <w:lang w:val="es-ES_tradnl"/>
        </w:rPr>
        <w:t>cticos y jur</w:t>
      </w:r>
      <w:r>
        <w:rPr>
          <w:rFonts w:cs="Times New Roman"/>
          <w:spacing w:val="-6"/>
          <w:sz w:val="16"/>
          <w:szCs w:val="16"/>
          <w:lang w:val="es-ES_tradnl"/>
        </w:rPr>
        <w:t>í</w:t>
      </w:r>
      <w:r>
        <w:rPr>
          <w:spacing w:val="-6"/>
          <w:sz w:val="16"/>
          <w:szCs w:val="16"/>
          <w:lang w:val="es-ES_tradnl"/>
        </w:rPr>
        <w:t xml:space="preserve">dicos </w:t>
      </w:r>
      <w:r>
        <w:rPr>
          <w:spacing w:val="-9"/>
          <w:sz w:val="16"/>
          <w:szCs w:val="16"/>
          <w:lang w:val="es-ES_tradnl"/>
        </w:rPr>
        <w:t xml:space="preserve">constan en el mismo, por lo que solicitamos se considere como </w:t>
      </w:r>
      <w:r>
        <w:rPr>
          <w:sz w:val="16"/>
          <w:szCs w:val="16"/>
          <w:lang w:val="es-ES_tradnl"/>
        </w:rPr>
        <w:t>suficiente informe.</w:t>
      </w:r>
    </w:p>
    <w:p w14:paraId="4F67B85D" w14:textId="77777777" w:rsidR="00591D54" w:rsidRDefault="00591D54">
      <w:pPr>
        <w:shd w:val="clear" w:color="auto" w:fill="FFFFFF"/>
        <w:spacing w:before="206" w:line="221" w:lineRule="exact"/>
        <w:ind w:left="283"/>
        <w:jc w:val="both"/>
        <w:sectPr w:rsidR="00591D54">
          <w:type w:val="continuous"/>
          <w:pgSz w:w="11909" w:h="16834"/>
          <w:pgMar w:top="1371" w:right="1309" w:bottom="360" w:left="1308" w:header="720" w:footer="720" w:gutter="0"/>
          <w:cols w:num="2" w:space="720" w:equalWidth="0">
            <w:col w:w="4305" w:space="682"/>
            <w:col w:w="4305"/>
          </w:cols>
          <w:noEndnote/>
        </w:sectPr>
      </w:pPr>
    </w:p>
    <w:p w14:paraId="4F67B85E" w14:textId="77777777" w:rsidR="00591D54" w:rsidRDefault="00591D54">
      <w:pPr>
        <w:shd w:val="clear" w:color="auto" w:fill="FFFFFF"/>
        <w:tabs>
          <w:tab w:val="left" w:pos="4814"/>
        </w:tabs>
        <w:spacing w:after="226"/>
        <w:ind w:left="5"/>
      </w:pPr>
      <w:r>
        <w:rPr>
          <w:b/>
          <w:bCs/>
          <w:sz w:val="18"/>
          <w:szCs w:val="18"/>
          <w:lang w:val="es-ES_tradnl"/>
        </w:rPr>
        <w:t xml:space="preserve">254 -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85F" w14:textId="77777777" w:rsidR="00591D54" w:rsidRDefault="00591D54">
      <w:pPr>
        <w:shd w:val="clear" w:color="auto" w:fill="FFFFFF"/>
        <w:tabs>
          <w:tab w:val="left" w:pos="4814"/>
        </w:tabs>
        <w:spacing w:after="226"/>
        <w:ind w:left="5"/>
        <w:sectPr w:rsidR="00591D54">
          <w:pgSz w:w="11909" w:h="16834"/>
          <w:pgMar w:top="1363" w:right="1309" w:bottom="360" w:left="1308" w:header="720" w:footer="720" w:gutter="0"/>
          <w:cols w:space="60"/>
          <w:noEndnote/>
        </w:sectPr>
      </w:pPr>
    </w:p>
    <w:p w14:paraId="4F67B860" w14:textId="77777777" w:rsidR="00591D54" w:rsidRDefault="00591D54">
      <w:pPr>
        <w:shd w:val="clear" w:color="auto" w:fill="FFFFFF"/>
        <w:spacing w:line="221" w:lineRule="exact"/>
        <w:ind w:left="283"/>
        <w:jc w:val="both"/>
      </w:pPr>
      <w:r>
        <w:rPr>
          <w:spacing w:val="-8"/>
          <w:sz w:val="16"/>
          <w:szCs w:val="16"/>
          <w:lang w:val="es-ES_tradnl"/>
        </w:rPr>
        <w:t>Aquello nos lleva a solicitar se rechace la acci</w:t>
      </w:r>
      <w:r>
        <w:rPr>
          <w:rFonts w:cs="Times New Roman"/>
          <w:spacing w:val="-8"/>
          <w:sz w:val="16"/>
          <w:szCs w:val="16"/>
          <w:lang w:val="es-ES_tradnl"/>
        </w:rPr>
        <w:t>ó</w:t>
      </w:r>
      <w:r>
        <w:rPr>
          <w:spacing w:val="-8"/>
          <w:sz w:val="16"/>
          <w:szCs w:val="16"/>
          <w:lang w:val="es-ES_tradnl"/>
        </w:rPr>
        <w:t xml:space="preserve">n extraordinaria </w:t>
      </w:r>
      <w:r>
        <w:rPr>
          <w:spacing w:val="-7"/>
          <w:sz w:val="16"/>
          <w:szCs w:val="16"/>
          <w:lang w:val="es-ES_tradnl"/>
        </w:rPr>
        <w:t>de protecci</w:t>
      </w:r>
      <w:r>
        <w:rPr>
          <w:rFonts w:cs="Times New Roman"/>
          <w:spacing w:val="-7"/>
          <w:sz w:val="16"/>
          <w:szCs w:val="16"/>
          <w:lang w:val="es-ES_tradnl"/>
        </w:rPr>
        <w:t>ó</w:t>
      </w:r>
      <w:r>
        <w:rPr>
          <w:spacing w:val="-7"/>
          <w:sz w:val="16"/>
          <w:szCs w:val="16"/>
          <w:lang w:val="es-ES_tradnl"/>
        </w:rPr>
        <w:t xml:space="preserve">n presentada por el Econ. Carlos Marx Carrasco, </w:t>
      </w:r>
      <w:r>
        <w:rPr>
          <w:spacing w:val="-5"/>
          <w:sz w:val="16"/>
          <w:szCs w:val="16"/>
          <w:lang w:val="es-ES_tradnl"/>
        </w:rPr>
        <w:t xml:space="preserve">en su calidad de Director General del Servicio de Rentas </w:t>
      </w:r>
      <w:r>
        <w:rPr>
          <w:sz w:val="16"/>
          <w:szCs w:val="16"/>
          <w:lang w:val="es-ES_tradnl"/>
        </w:rPr>
        <w:t>Internas.</w:t>
      </w:r>
    </w:p>
    <w:p w14:paraId="4F67B861" w14:textId="77777777" w:rsidR="00591D54" w:rsidRDefault="00591D54">
      <w:pPr>
        <w:shd w:val="clear" w:color="auto" w:fill="FFFFFF"/>
        <w:spacing w:before="202"/>
      </w:pPr>
      <w:r>
        <w:rPr>
          <w:b/>
          <w:bCs/>
          <w:spacing w:val="-7"/>
          <w:sz w:val="18"/>
          <w:szCs w:val="18"/>
          <w:lang w:val="es-ES_tradnl"/>
        </w:rPr>
        <w:t>Procuradur</w:t>
      </w:r>
      <w:r>
        <w:rPr>
          <w:rFonts w:cs="Times New Roman"/>
          <w:b/>
          <w:bCs/>
          <w:spacing w:val="-7"/>
          <w:sz w:val="18"/>
          <w:szCs w:val="18"/>
          <w:lang w:val="es-ES_tradnl"/>
        </w:rPr>
        <w:t>í</w:t>
      </w:r>
      <w:r>
        <w:rPr>
          <w:b/>
          <w:bCs/>
          <w:spacing w:val="-7"/>
          <w:sz w:val="18"/>
          <w:szCs w:val="18"/>
          <w:lang w:val="es-ES_tradnl"/>
        </w:rPr>
        <w:t>a General del Estado</w:t>
      </w:r>
    </w:p>
    <w:p w14:paraId="4F67B862" w14:textId="77777777" w:rsidR="00591D54" w:rsidRDefault="00591D54">
      <w:pPr>
        <w:shd w:val="clear" w:color="auto" w:fill="FFFFFF"/>
        <w:spacing w:before="202" w:line="221" w:lineRule="exact"/>
        <w:ind w:right="5"/>
        <w:jc w:val="both"/>
      </w:pPr>
      <w:r>
        <w:rPr>
          <w:spacing w:val="-5"/>
          <w:sz w:val="18"/>
          <w:szCs w:val="18"/>
          <w:lang w:val="es-ES_tradnl"/>
        </w:rPr>
        <w:t xml:space="preserve">A foja 17 del expediente constitucional consta el escrito presentado por el doctor Marcos Arteaga Valenzuela, </w:t>
      </w:r>
      <w:r>
        <w:rPr>
          <w:spacing w:val="-6"/>
          <w:sz w:val="18"/>
          <w:szCs w:val="18"/>
          <w:lang w:val="es-ES_tradnl"/>
        </w:rPr>
        <w:t xml:space="preserve">director nacional de Patrocinio, delegado del procurador </w:t>
      </w:r>
      <w:r>
        <w:rPr>
          <w:spacing w:val="-5"/>
          <w:sz w:val="18"/>
          <w:szCs w:val="18"/>
          <w:lang w:val="es-ES_tradnl"/>
        </w:rPr>
        <w:t>general del Estado, mediante el cual se</w:t>
      </w:r>
      <w:r>
        <w:rPr>
          <w:rFonts w:cs="Times New Roman"/>
          <w:spacing w:val="-5"/>
          <w:sz w:val="18"/>
          <w:szCs w:val="18"/>
          <w:lang w:val="es-ES_tradnl"/>
        </w:rPr>
        <w:t>ñ</w:t>
      </w:r>
      <w:r>
        <w:rPr>
          <w:spacing w:val="-5"/>
          <w:sz w:val="18"/>
          <w:szCs w:val="18"/>
          <w:lang w:val="es-ES_tradnl"/>
        </w:rPr>
        <w:t xml:space="preserve">ala casilla </w:t>
      </w:r>
      <w:r>
        <w:rPr>
          <w:spacing w:val="-8"/>
          <w:sz w:val="18"/>
          <w:szCs w:val="18"/>
          <w:lang w:val="es-ES_tradnl"/>
        </w:rPr>
        <w:t>constitucional para las notificaciones correspondientes.</w:t>
      </w:r>
    </w:p>
    <w:p w14:paraId="4F67B863" w14:textId="77777777" w:rsidR="00591D54" w:rsidRDefault="00591D54">
      <w:pPr>
        <w:shd w:val="clear" w:color="auto" w:fill="FFFFFF"/>
        <w:spacing w:before="197" w:line="221" w:lineRule="exact"/>
        <w:ind w:left="686" w:right="326" w:hanging="355"/>
      </w:pPr>
      <w:r>
        <w:rPr>
          <w:b/>
          <w:bCs/>
          <w:spacing w:val="-1"/>
          <w:sz w:val="18"/>
          <w:szCs w:val="18"/>
          <w:lang w:val="es-ES_tradnl"/>
        </w:rPr>
        <w:t xml:space="preserve">II. CONSIDERACIONES Y FUNDAMENTOS </w:t>
      </w:r>
      <w:r>
        <w:rPr>
          <w:b/>
          <w:bCs/>
          <w:sz w:val="18"/>
          <w:szCs w:val="18"/>
          <w:lang w:val="es-ES_tradnl"/>
        </w:rPr>
        <w:t>DE LA CORTE CONSTITUCIONAL</w:t>
      </w:r>
    </w:p>
    <w:p w14:paraId="4F67B864" w14:textId="77777777" w:rsidR="00591D54" w:rsidRDefault="00591D54">
      <w:pPr>
        <w:shd w:val="clear" w:color="auto" w:fill="FFFFFF"/>
        <w:spacing w:before="197"/>
      </w:pPr>
      <w:r>
        <w:rPr>
          <w:b/>
          <w:bCs/>
          <w:spacing w:val="-8"/>
          <w:sz w:val="18"/>
          <w:szCs w:val="18"/>
          <w:lang w:val="es-ES_tradnl"/>
        </w:rPr>
        <w:t>Competencia de la Corte</w:t>
      </w:r>
    </w:p>
    <w:p w14:paraId="4F67B865" w14:textId="77777777" w:rsidR="00591D54" w:rsidRDefault="00591D54">
      <w:pPr>
        <w:shd w:val="clear" w:color="auto" w:fill="FFFFFF"/>
        <w:spacing w:before="197" w:line="221" w:lineRule="exact"/>
        <w:ind w:right="5"/>
        <w:jc w:val="both"/>
      </w:pPr>
      <w:r>
        <w:rPr>
          <w:spacing w:val="-8"/>
          <w:sz w:val="18"/>
          <w:szCs w:val="18"/>
          <w:lang w:val="es-ES_tradnl"/>
        </w:rPr>
        <w:t>Las normas contenidas en los art</w:t>
      </w:r>
      <w:r>
        <w:rPr>
          <w:rFonts w:cs="Times New Roman"/>
          <w:spacing w:val="-8"/>
          <w:sz w:val="18"/>
          <w:szCs w:val="18"/>
          <w:lang w:val="es-ES_tradnl"/>
        </w:rPr>
        <w:t>í</w:t>
      </w:r>
      <w:r>
        <w:rPr>
          <w:spacing w:val="-8"/>
          <w:sz w:val="18"/>
          <w:szCs w:val="18"/>
          <w:lang w:val="es-ES_tradnl"/>
        </w:rPr>
        <w:t xml:space="preserve">culos 94, 429 y 437 de la </w:t>
      </w:r>
      <w:r>
        <w:rPr>
          <w:spacing w:val="-10"/>
          <w:sz w:val="18"/>
          <w:szCs w:val="18"/>
          <w:lang w:val="es-ES_tradnl"/>
        </w:rPr>
        <w:t>Constituci</w:t>
      </w:r>
      <w:r>
        <w:rPr>
          <w:rFonts w:cs="Times New Roman"/>
          <w:spacing w:val="-10"/>
          <w:sz w:val="18"/>
          <w:szCs w:val="18"/>
          <w:lang w:val="es-ES_tradnl"/>
        </w:rPr>
        <w:t>ó</w:t>
      </w:r>
      <w:r>
        <w:rPr>
          <w:spacing w:val="-10"/>
          <w:sz w:val="18"/>
          <w:szCs w:val="18"/>
          <w:lang w:val="es-ES_tradnl"/>
        </w:rPr>
        <w:t>n de la Rep</w:t>
      </w:r>
      <w:r>
        <w:rPr>
          <w:rFonts w:cs="Times New Roman"/>
          <w:spacing w:val="-10"/>
          <w:sz w:val="18"/>
          <w:szCs w:val="18"/>
          <w:lang w:val="es-ES_tradnl"/>
        </w:rPr>
        <w:t>ú</w:t>
      </w:r>
      <w:r>
        <w:rPr>
          <w:spacing w:val="-10"/>
          <w:sz w:val="18"/>
          <w:szCs w:val="18"/>
          <w:lang w:val="es-ES_tradnl"/>
        </w:rPr>
        <w:t>blica, en concordancia con el art</w:t>
      </w:r>
      <w:r>
        <w:rPr>
          <w:rFonts w:cs="Times New Roman"/>
          <w:spacing w:val="-10"/>
          <w:sz w:val="18"/>
          <w:szCs w:val="18"/>
          <w:lang w:val="es-ES_tradnl"/>
        </w:rPr>
        <w:t>í</w:t>
      </w:r>
      <w:r>
        <w:rPr>
          <w:spacing w:val="-10"/>
          <w:sz w:val="18"/>
          <w:szCs w:val="18"/>
          <w:lang w:val="es-ES_tradnl"/>
        </w:rPr>
        <w:t xml:space="preserve">culo </w:t>
      </w:r>
      <w:r>
        <w:rPr>
          <w:spacing w:val="-5"/>
          <w:sz w:val="18"/>
          <w:szCs w:val="18"/>
          <w:lang w:val="es-ES_tradnl"/>
        </w:rPr>
        <w:t xml:space="preserve">191 numeral 2 literal </w:t>
      </w:r>
      <w:r>
        <w:rPr>
          <w:b/>
          <w:bCs/>
          <w:spacing w:val="-5"/>
          <w:sz w:val="18"/>
          <w:szCs w:val="18"/>
          <w:lang w:val="es-ES_tradnl"/>
        </w:rPr>
        <w:t xml:space="preserve">d </w:t>
      </w:r>
      <w:r>
        <w:rPr>
          <w:spacing w:val="-5"/>
          <w:sz w:val="18"/>
          <w:szCs w:val="18"/>
          <w:lang w:val="es-ES_tradnl"/>
        </w:rPr>
        <w:t>de la Ley Org</w:t>
      </w:r>
      <w:r>
        <w:rPr>
          <w:rFonts w:cs="Times New Roman"/>
          <w:spacing w:val="-5"/>
          <w:sz w:val="18"/>
          <w:szCs w:val="18"/>
          <w:lang w:val="es-ES_tradnl"/>
        </w:rPr>
        <w:t>á</w:t>
      </w:r>
      <w:r>
        <w:rPr>
          <w:spacing w:val="-5"/>
          <w:sz w:val="18"/>
          <w:szCs w:val="18"/>
          <w:lang w:val="es-ES_tradnl"/>
        </w:rPr>
        <w:t>nica de Garant</w:t>
      </w:r>
      <w:r>
        <w:rPr>
          <w:rFonts w:cs="Times New Roman"/>
          <w:spacing w:val="-5"/>
          <w:sz w:val="18"/>
          <w:szCs w:val="18"/>
          <w:lang w:val="es-ES_tradnl"/>
        </w:rPr>
        <w:t>í</w:t>
      </w:r>
      <w:r>
        <w:rPr>
          <w:spacing w:val="-5"/>
          <w:sz w:val="18"/>
          <w:szCs w:val="18"/>
          <w:lang w:val="es-ES_tradnl"/>
        </w:rPr>
        <w:t xml:space="preserve">as </w:t>
      </w:r>
      <w:r>
        <w:rPr>
          <w:spacing w:val="-4"/>
          <w:sz w:val="18"/>
          <w:szCs w:val="18"/>
          <w:lang w:val="es-ES_tradnl"/>
        </w:rPr>
        <w:t>Jurisdiccionales y Control Constitucional, y art</w:t>
      </w:r>
      <w:r>
        <w:rPr>
          <w:rFonts w:cs="Times New Roman"/>
          <w:spacing w:val="-4"/>
          <w:sz w:val="18"/>
          <w:szCs w:val="18"/>
          <w:lang w:val="es-ES_tradnl"/>
        </w:rPr>
        <w:t>í</w:t>
      </w:r>
      <w:r>
        <w:rPr>
          <w:spacing w:val="-4"/>
          <w:sz w:val="18"/>
          <w:szCs w:val="18"/>
          <w:lang w:val="es-ES_tradnl"/>
        </w:rPr>
        <w:t xml:space="preserve">culo 3 </w:t>
      </w:r>
      <w:r>
        <w:rPr>
          <w:spacing w:val="-6"/>
          <w:sz w:val="18"/>
          <w:szCs w:val="18"/>
          <w:lang w:val="es-ES_tradnl"/>
        </w:rPr>
        <w:t xml:space="preserve">numeral 8 literal </w:t>
      </w:r>
      <w:r>
        <w:rPr>
          <w:b/>
          <w:bCs/>
          <w:spacing w:val="-6"/>
          <w:sz w:val="18"/>
          <w:szCs w:val="18"/>
          <w:lang w:val="es-ES_tradnl"/>
        </w:rPr>
        <w:t xml:space="preserve">b </w:t>
      </w:r>
      <w:r>
        <w:rPr>
          <w:spacing w:val="-6"/>
          <w:sz w:val="18"/>
          <w:szCs w:val="18"/>
          <w:lang w:val="es-ES_tradnl"/>
        </w:rPr>
        <w:t>del Reglamento de Sustanciaci</w:t>
      </w:r>
      <w:r>
        <w:rPr>
          <w:rFonts w:cs="Times New Roman"/>
          <w:spacing w:val="-6"/>
          <w:sz w:val="18"/>
          <w:szCs w:val="18"/>
          <w:lang w:val="es-ES_tradnl"/>
        </w:rPr>
        <w:t>ó</w:t>
      </w:r>
      <w:r>
        <w:rPr>
          <w:spacing w:val="-6"/>
          <w:sz w:val="18"/>
          <w:szCs w:val="18"/>
          <w:lang w:val="es-ES_tradnl"/>
        </w:rPr>
        <w:t xml:space="preserve">n de </w:t>
      </w:r>
      <w:r>
        <w:rPr>
          <w:spacing w:val="-5"/>
          <w:sz w:val="18"/>
          <w:szCs w:val="18"/>
          <w:lang w:val="es-ES_tradnl"/>
        </w:rPr>
        <w:t xml:space="preserve">Procesos de Competencia de la Corte Constitucional, </w:t>
      </w:r>
      <w:r>
        <w:rPr>
          <w:spacing w:val="-10"/>
          <w:sz w:val="18"/>
          <w:szCs w:val="18"/>
          <w:lang w:val="es-ES_tradnl"/>
        </w:rPr>
        <w:t>se</w:t>
      </w:r>
      <w:r>
        <w:rPr>
          <w:rFonts w:cs="Times New Roman"/>
          <w:spacing w:val="-10"/>
          <w:sz w:val="18"/>
          <w:szCs w:val="18"/>
          <w:lang w:val="es-ES_tradnl"/>
        </w:rPr>
        <w:t>ñ</w:t>
      </w:r>
      <w:r>
        <w:rPr>
          <w:spacing w:val="-10"/>
          <w:sz w:val="18"/>
          <w:szCs w:val="18"/>
          <w:lang w:val="es-ES_tradnl"/>
        </w:rPr>
        <w:t xml:space="preserve">alan que este Organismo es competente para conocer y </w:t>
      </w:r>
      <w:r>
        <w:rPr>
          <w:spacing w:val="-6"/>
          <w:sz w:val="18"/>
          <w:szCs w:val="18"/>
          <w:lang w:val="es-ES_tradnl"/>
        </w:rPr>
        <w:t>resolver la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propuesta </w:t>
      </w:r>
      <w:r>
        <w:rPr>
          <w:spacing w:val="-10"/>
          <w:sz w:val="18"/>
          <w:szCs w:val="18"/>
          <w:lang w:val="es-ES_tradnl"/>
        </w:rPr>
        <w:t xml:space="preserve">por el economista Carlos Marx Carrasco V. , director general </w:t>
      </w:r>
      <w:r>
        <w:rPr>
          <w:spacing w:val="-6"/>
          <w:sz w:val="18"/>
          <w:szCs w:val="18"/>
          <w:lang w:val="es-ES_tradnl"/>
        </w:rPr>
        <w:t xml:space="preserve">del Servicio de Rentas Internas, en contra del auto del 04 </w:t>
      </w:r>
      <w:r>
        <w:rPr>
          <w:spacing w:val="-7"/>
          <w:sz w:val="18"/>
          <w:szCs w:val="18"/>
          <w:lang w:val="es-ES_tradnl"/>
        </w:rPr>
        <w:t xml:space="preserve">de enero de 2013, emitido por la Sala de Conjueces de lo </w:t>
      </w:r>
      <w:r>
        <w:rPr>
          <w:spacing w:val="-5"/>
          <w:sz w:val="18"/>
          <w:szCs w:val="18"/>
          <w:lang w:val="es-ES_tradnl"/>
        </w:rPr>
        <w:t xml:space="preserve">Contencioso Tributario de la Corte Nacional de Justicia, </w:t>
      </w:r>
      <w:r>
        <w:rPr>
          <w:spacing w:val="-7"/>
          <w:sz w:val="18"/>
          <w:szCs w:val="18"/>
          <w:lang w:val="es-ES_tradnl"/>
        </w:rPr>
        <w:t>dentro del juicio de impugnaci</w:t>
      </w:r>
      <w:r>
        <w:rPr>
          <w:rFonts w:cs="Times New Roman"/>
          <w:spacing w:val="-7"/>
          <w:sz w:val="18"/>
          <w:szCs w:val="18"/>
          <w:lang w:val="es-ES_tradnl"/>
        </w:rPr>
        <w:t>ó</w:t>
      </w:r>
      <w:r>
        <w:rPr>
          <w:spacing w:val="-7"/>
          <w:sz w:val="18"/>
          <w:szCs w:val="18"/>
          <w:lang w:val="es-ES_tradnl"/>
        </w:rPr>
        <w:t>n N.</w:t>
      </w:r>
      <w:r>
        <w:rPr>
          <w:rFonts w:cs="Times New Roman"/>
          <w:spacing w:val="-7"/>
          <w:sz w:val="18"/>
          <w:szCs w:val="18"/>
          <w:lang w:val="es-ES_tradnl"/>
        </w:rPr>
        <w:t>°</w:t>
      </w:r>
      <w:r>
        <w:rPr>
          <w:spacing w:val="-7"/>
          <w:sz w:val="18"/>
          <w:szCs w:val="18"/>
          <w:lang w:val="es-ES_tradnl"/>
        </w:rPr>
        <w:t xml:space="preserve"> 650-2012/229-2009.</w:t>
      </w:r>
    </w:p>
    <w:p w14:paraId="4F67B866" w14:textId="77777777" w:rsidR="00591D54" w:rsidRDefault="00591D54">
      <w:pPr>
        <w:shd w:val="clear" w:color="auto" w:fill="FFFFFF"/>
        <w:spacing w:before="202" w:line="221" w:lineRule="exact"/>
        <w:ind w:right="5"/>
        <w:jc w:val="both"/>
      </w:pPr>
      <w:r>
        <w:rPr>
          <w:spacing w:val="-5"/>
          <w:sz w:val="18"/>
          <w:szCs w:val="18"/>
          <w:lang w:val="es-ES_tradnl"/>
        </w:rPr>
        <w:t>Por cuanto en la tramitaci</w:t>
      </w:r>
      <w:r>
        <w:rPr>
          <w:rFonts w:cs="Times New Roman"/>
          <w:spacing w:val="-5"/>
          <w:sz w:val="18"/>
          <w:szCs w:val="18"/>
          <w:lang w:val="es-ES_tradnl"/>
        </w:rPr>
        <w:t>ó</w:t>
      </w:r>
      <w:r>
        <w:rPr>
          <w:spacing w:val="-5"/>
          <w:sz w:val="18"/>
          <w:szCs w:val="18"/>
          <w:lang w:val="es-ES_tradnl"/>
        </w:rPr>
        <w:t>n de esta acci</w:t>
      </w:r>
      <w:r>
        <w:rPr>
          <w:rFonts w:cs="Times New Roman"/>
          <w:spacing w:val="-5"/>
          <w:sz w:val="18"/>
          <w:szCs w:val="18"/>
          <w:lang w:val="es-ES_tradnl"/>
        </w:rPr>
        <w:t>ó</w:t>
      </w:r>
      <w:r>
        <w:rPr>
          <w:spacing w:val="-5"/>
          <w:sz w:val="18"/>
          <w:szCs w:val="18"/>
          <w:lang w:val="es-ES_tradnl"/>
        </w:rPr>
        <w:t xml:space="preserve">n han sido </w:t>
      </w:r>
      <w:r>
        <w:rPr>
          <w:spacing w:val="-4"/>
          <w:sz w:val="18"/>
          <w:szCs w:val="18"/>
          <w:lang w:val="es-ES_tradnl"/>
        </w:rPr>
        <w:t xml:space="preserve">observadas las normas previstas en el ordenamiento </w:t>
      </w:r>
      <w:r>
        <w:rPr>
          <w:spacing w:val="-7"/>
          <w:sz w:val="18"/>
          <w:szCs w:val="18"/>
          <w:lang w:val="es-ES_tradnl"/>
        </w:rPr>
        <w:t>jur</w:t>
      </w:r>
      <w:r>
        <w:rPr>
          <w:rFonts w:cs="Times New Roman"/>
          <w:spacing w:val="-7"/>
          <w:sz w:val="18"/>
          <w:szCs w:val="18"/>
          <w:lang w:val="es-ES_tradnl"/>
        </w:rPr>
        <w:t>í</w:t>
      </w:r>
      <w:r>
        <w:rPr>
          <w:spacing w:val="-7"/>
          <w:sz w:val="18"/>
          <w:szCs w:val="18"/>
          <w:lang w:val="es-ES_tradnl"/>
        </w:rPr>
        <w:t xml:space="preserve">dico constitucional y legal aplicables al caso, se declara </w:t>
      </w:r>
      <w:r>
        <w:rPr>
          <w:sz w:val="18"/>
          <w:szCs w:val="18"/>
          <w:lang w:val="es-ES_tradnl"/>
        </w:rPr>
        <w:t>su validez.</w:t>
      </w:r>
    </w:p>
    <w:p w14:paraId="4F67B867" w14:textId="77777777" w:rsidR="00591D54" w:rsidRDefault="00591D54">
      <w:pPr>
        <w:shd w:val="clear" w:color="auto" w:fill="FFFFFF"/>
        <w:spacing w:before="197"/>
      </w:pPr>
      <w:r>
        <w:rPr>
          <w:b/>
          <w:bCs/>
          <w:spacing w:val="-8"/>
          <w:sz w:val="18"/>
          <w:szCs w:val="18"/>
          <w:lang w:val="es-ES_tradnl"/>
        </w:rPr>
        <w:t>Legitimaci</w:t>
      </w:r>
      <w:r>
        <w:rPr>
          <w:rFonts w:cs="Times New Roman"/>
          <w:b/>
          <w:bCs/>
          <w:spacing w:val="-8"/>
          <w:sz w:val="18"/>
          <w:szCs w:val="18"/>
          <w:lang w:val="es-ES_tradnl"/>
        </w:rPr>
        <w:t>ó</w:t>
      </w:r>
      <w:r>
        <w:rPr>
          <w:b/>
          <w:bCs/>
          <w:spacing w:val="-8"/>
          <w:sz w:val="18"/>
          <w:szCs w:val="18"/>
          <w:lang w:val="es-ES_tradnl"/>
        </w:rPr>
        <w:t>n activa</w:t>
      </w:r>
    </w:p>
    <w:p w14:paraId="4F67B868" w14:textId="77777777" w:rsidR="00591D54" w:rsidRDefault="00591D54">
      <w:pPr>
        <w:shd w:val="clear" w:color="auto" w:fill="FFFFFF"/>
        <w:spacing w:before="197" w:line="221" w:lineRule="exact"/>
        <w:ind w:right="5"/>
        <w:jc w:val="both"/>
      </w:pPr>
      <w:r>
        <w:rPr>
          <w:spacing w:val="-6"/>
          <w:sz w:val="18"/>
          <w:szCs w:val="18"/>
          <w:lang w:val="es-ES_tradnl"/>
        </w:rPr>
        <w:t xml:space="preserve">El peticionario se encuentra legitimado para presentar la </w:t>
      </w:r>
      <w:r>
        <w:rPr>
          <w:spacing w:val="-5"/>
          <w:sz w:val="18"/>
          <w:szCs w:val="18"/>
          <w:lang w:val="es-ES_tradnl"/>
        </w:rPr>
        <w:t>acci</w:t>
      </w:r>
      <w:r>
        <w:rPr>
          <w:rFonts w:cs="Times New Roman"/>
          <w:spacing w:val="-5"/>
          <w:sz w:val="18"/>
          <w:szCs w:val="18"/>
          <w:lang w:val="es-ES_tradnl"/>
        </w:rPr>
        <w:t>ó</w:t>
      </w:r>
      <w:r>
        <w:rPr>
          <w:spacing w:val="-5"/>
          <w:sz w:val="18"/>
          <w:szCs w:val="18"/>
          <w:lang w:val="es-ES_tradnl"/>
        </w:rPr>
        <w:t>n extraordinaria de protecci</w:t>
      </w:r>
      <w:r>
        <w:rPr>
          <w:rFonts w:cs="Times New Roman"/>
          <w:spacing w:val="-5"/>
          <w:sz w:val="18"/>
          <w:szCs w:val="18"/>
          <w:lang w:val="es-ES_tradnl"/>
        </w:rPr>
        <w:t>ó</w:t>
      </w:r>
      <w:r>
        <w:rPr>
          <w:spacing w:val="-5"/>
          <w:sz w:val="18"/>
          <w:szCs w:val="18"/>
          <w:lang w:val="es-ES_tradnl"/>
        </w:rPr>
        <w:t>n, en virtud de cumplir con los requerimientos establecidos en el art</w:t>
      </w:r>
      <w:r>
        <w:rPr>
          <w:rFonts w:cs="Times New Roman"/>
          <w:spacing w:val="-5"/>
          <w:sz w:val="18"/>
          <w:szCs w:val="18"/>
          <w:lang w:val="es-ES_tradnl"/>
        </w:rPr>
        <w:t>í</w:t>
      </w:r>
      <w:r>
        <w:rPr>
          <w:spacing w:val="-5"/>
          <w:sz w:val="18"/>
          <w:szCs w:val="18"/>
          <w:lang w:val="es-ES_tradnl"/>
        </w:rPr>
        <w:t xml:space="preserve">culo 437 de </w:t>
      </w:r>
      <w:r>
        <w:rPr>
          <w:sz w:val="18"/>
          <w:szCs w:val="18"/>
          <w:lang w:val="es-ES_tradnl"/>
        </w:rPr>
        <w:t>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 xml:space="preserve">blica y de conformidad con </w:t>
      </w:r>
      <w:r>
        <w:rPr>
          <w:spacing w:val="-8"/>
          <w:sz w:val="18"/>
          <w:szCs w:val="18"/>
          <w:lang w:val="es-ES_tradnl"/>
        </w:rPr>
        <w:t>el art</w:t>
      </w:r>
      <w:r>
        <w:rPr>
          <w:rFonts w:cs="Times New Roman"/>
          <w:spacing w:val="-8"/>
          <w:sz w:val="18"/>
          <w:szCs w:val="18"/>
          <w:lang w:val="es-ES_tradnl"/>
        </w:rPr>
        <w:t>í</w:t>
      </w:r>
      <w:r>
        <w:rPr>
          <w:spacing w:val="-8"/>
          <w:sz w:val="18"/>
          <w:szCs w:val="18"/>
          <w:lang w:val="es-ES_tradnl"/>
        </w:rPr>
        <w:t xml:space="preserve">culo 439 </w:t>
      </w:r>
      <w:r>
        <w:rPr>
          <w:i/>
          <w:iCs/>
          <w:spacing w:val="-8"/>
          <w:sz w:val="18"/>
          <w:szCs w:val="18"/>
          <w:lang w:val="es-ES_tradnl"/>
        </w:rPr>
        <w:t>ib</w:t>
      </w:r>
      <w:r>
        <w:rPr>
          <w:rFonts w:cs="Times New Roman"/>
          <w:i/>
          <w:iCs/>
          <w:spacing w:val="-8"/>
          <w:sz w:val="18"/>
          <w:szCs w:val="18"/>
          <w:lang w:val="es-ES_tradnl"/>
        </w:rPr>
        <w:t>í</w:t>
      </w:r>
      <w:r>
        <w:rPr>
          <w:i/>
          <w:iCs/>
          <w:spacing w:val="-8"/>
          <w:sz w:val="18"/>
          <w:szCs w:val="18"/>
          <w:lang w:val="es-ES_tradnl"/>
        </w:rPr>
        <w:t>dem</w:t>
      </w:r>
      <w:r>
        <w:rPr>
          <w:spacing w:val="-8"/>
          <w:sz w:val="18"/>
          <w:szCs w:val="18"/>
          <w:lang w:val="es-ES_tradnl"/>
        </w:rPr>
        <w:t xml:space="preserve">, que establece que las acciones </w:t>
      </w:r>
      <w:r>
        <w:rPr>
          <w:spacing w:val="-7"/>
          <w:sz w:val="18"/>
          <w:szCs w:val="18"/>
          <w:lang w:val="es-ES_tradnl"/>
        </w:rPr>
        <w:t>constitucionales podr</w:t>
      </w:r>
      <w:r>
        <w:rPr>
          <w:rFonts w:cs="Times New Roman"/>
          <w:spacing w:val="-7"/>
          <w:sz w:val="18"/>
          <w:szCs w:val="18"/>
          <w:lang w:val="es-ES_tradnl"/>
        </w:rPr>
        <w:t>á</w:t>
      </w:r>
      <w:r>
        <w:rPr>
          <w:spacing w:val="-7"/>
          <w:sz w:val="18"/>
          <w:szCs w:val="18"/>
          <w:lang w:val="es-ES_tradnl"/>
        </w:rPr>
        <w:t xml:space="preserve">n ser presentadas por cualquier </w:t>
      </w:r>
      <w:r>
        <w:rPr>
          <w:spacing w:val="-6"/>
          <w:sz w:val="18"/>
          <w:szCs w:val="18"/>
          <w:lang w:val="es-ES_tradnl"/>
        </w:rPr>
        <w:t>ciudadana o ciudadano individual o colectivamente, en concordancia con el art</w:t>
      </w:r>
      <w:r>
        <w:rPr>
          <w:rFonts w:cs="Times New Roman"/>
          <w:spacing w:val="-6"/>
          <w:sz w:val="18"/>
          <w:szCs w:val="18"/>
          <w:lang w:val="es-ES_tradnl"/>
        </w:rPr>
        <w:t>í</w:t>
      </w:r>
      <w:r>
        <w:rPr>
          <w:spacing w:val="-6"/>
          <w:sz w:val="18"/>
          <w:szCs w:val="18"/>
          <w:lang w:val="es-ES_tradnl"/>
        </w:rPr>
        <w:t>culo 59 de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Control Constitucional, por </w:t>
      </w:r>
      <w:r>
        <w:rPr>
          <w:spacing w:val="-5"/>
          <w:sz w:val="18"/>
          <w:szCs w:val="18"/>
          <w:lang w:val="es-ES_tradnl"/>
        </w:rPr>
        <w:t xml:space="preserve">considerar que el auto impugnado, al no haberlo tomado </w:t>
      </w:r>
      <w:r>
        <w:rPr>
          <w:spacing w:val="-7"/>
          <w:sz w:val="18"/>
          <w:szCs w:val="18"/>
          <w:lang w:val="es-ES_tradnl"/>
        </w:rPr>
        <w:t>en consideraci</w:t>
      </w:r>
      <w:r>
        <w:rPr>
          <w:rFonts w:cs="Times New Roman"/>
          <w:spacing w:val="-7"/>
          <w:sz w:val="18"/>
          <w:szCs w:val="18"/>
          <w:lang w:val="es-ES_tradnl"/>
        </w:rPr>
        <w:t>ó</w:t>
      </w:r>
      <w:r>
        <w:rPr>
          <w:spacing w:val="-7"/>
          <w:sz w:val="18"/>
          <w:szCs w:val="18"/>
          <w:lang w:val="es-ES_tradnl"/>
        </w:rPr>
        <w:t xml:space="preserve">n y haber determinado que no era parte </w:t>
      </w:r>
      <w:r>
        <w:rPr>
          <w:spacing w:val="-8"/>
          <w:sz w:val="18"/>
          <w:szCs w:val="18"/>
          <w:lang w:val="es-ES_tradnl"/>
        </w:rPr>
        <w:t>procesal, ha vulnerado sus derechos constitucionales.</w:t>
      </w:r>
    </w:p>
    <w:p w14:paraId="4F67B869" w14:textId="77777777" w:rsidR="00591D54" w:rsidRDefault="00591D54">
      <w:pPr>
        <w:shd w:val="clear" w:color="auto" w:fill="FFFFFF"/>
        <w:spacing w:before="197"/>
      </w:pPr>
      <w:r>
        <w:rPr>
          <w:b/>
          <w:bCs/>
          <w:spacing w:val="-10"/>
          <w:sz w:val="18"/>
          <w:szCs w:val="18"/>
          <w:lang w:val="es-ES_tradnl"/>
        </w:rPr>
        <w:t>An</w:t>
      </w:r>
      <w:r>
        <w:rPr>
          <w:rFonts w:cs="Times New Roman"/>
          <w:b/>
          <w:bCs/>
          <w:spacing w:val="-10"/>
          <w:sz w:val="18"/>
          <w:szCs w:val="18"/>
          <w:lang w:val="es-ES_tradnl"/>
        </w:rPr>
        <w:t>á</w:t>
      </w:r>
      <w:r>
        <w:rPr>
          <w:b/>
          <w:bCs/>
          <w:spacing w:val="-10"/>
          <w:sz w:val="18"/>
          <w:szCs w:val="18"/>
          <w:lang w:val="es-ES_tradnl"/>
        </w:rPr>
        <w:t>lisis constitucional</w:t>
      </w:r>
    </w:p>
    <w:p w14:paraId="4F67B86A" w14:textId="77777777" w:rsidR="00591D54" w:rsidRDefault="00591D54">
      <w:pPr>
        <w:shd w:val="clear" w:color="auto" w:fill="FFFFFF"/>
        <w:spacing w:before="197" w:line="221" w:lineRule="exact"/>
        <w:ind w:right="5"/>
        <w:jc w:val="both"/>
      </w:pPr>
      <w:r>
        <w:rPr>
          <w:b/>
          <w:bCs/>
          <w:spacing w:val="-5"/>
          <w:sz w:val="18"/>
          <w:szCs w:val="18"/>
          <w:lang w:val="es-ES_tradnl"/>
        </w:rPr>
        <w:t>Naturaleza jur</w:t>
      </w:r>
      <w:r>
        <w:rPr>
          <w:rFonts w:cs="Times New Roman"/>
          <w:b/>
          <w:bCs/>
          <w:spacing w:val="-5"/>
          <w:sz w:val="18"/>
          <w:szCs w:val="18"/>
          <w:lang w:val="es-ES_tradnl"/>
        </w:rPr>
        <w:t>í</w:t>
      </w:r>
      <w:r>
        <w:rPr>
          <w:b/>
          <w:bCs/>
          <w:spacing w:val="-5"/>
          <w:sz w:val="18"/>
          <w:szCs w:val="18"/>
          <w:lang w:val="es-ES_tradnl"/>
        </w:rPr>
        <w:t>dica de la acci</w:t>
      </w:r>
      <w:r>
        <w:rPr>
          <w:rFonts w:cs="Times New Roman"/>
          <w:b/>
          <w:bCs/>
          <w:spacing w:val="-5"/>
          <w:sz w:val="18"/>
          <w:szCs w:val="18"/>
          <w:lang w:val="es-ES_tradnl"/>
        </w:rPr>
        <w:t>ó</w:t>
      </w:r>
      <w:r>
        <w:rPr>
          <w:b/>
          <w:bCs/>
          <w:spacing w:val="-5"/>
          <w:sz w:val="18"/>
          <w:szCs w:val="18"/>
          <w:lang w:val="es-ES_tradnl"/>
        </w:rPr>
        <w:t xml:space="preserve">n extraordinaria de </w:t>
      </w:r>
      <w:r>
        <w:rPr>
          <w:b/>
          <w:bCs/>
          <w:sz w:val="18"/>
          <w:szCs w:val="18"/>
          <w:lang w:val="es-ES_tradnl"/>
        </w:rPr>
        <w:t>protecci</w:t>
      </w:r>
      <w:r>
        <w:rPr>
          <w:rFonts w:cs="Times New Roman"/>
          <w:b/>
          <w:bCs/>
          <w:sz w:val="18"/>
          <w:szCs w:val="18"/>
          <w:lang w:val="es-ES_tradnl"/>
        </w:rPr>
        <w:t>ó</w:t>
      </w:r>
      <w:r>
        <w:rPr>
          <w:b/>
          <w:bCs/>
          <w:sz w:val="18"/>
          <w:szCs w:val="18"/>
          <w:lang w:val="es-ES_tradnl"/>
        </w:rPr>
        <w:t>n</w:t>
      </w:r>
    </w:p>
    <w:p w14:paraId="4F67B86B" w14:textId="77777777" w:rsidR="00591D54" w:rsidRDefault="00591D54">
      <w:pPr>
        <w:shd w:val="clear" w:color="auto" w:fill="FFFFFF"/>
        <w:spacing w:before="197" w:line="221" w:lineRule="exact"/>
        <w:ind w:right="5"/>
        <w:jc w:val="both"/>
      </w:pPr>
      <w:r>
        <w:rPr>
          <w:spacing w:val="-9"/>
          <w:sz w:val="18"/>
          <w:szCs w:val="18"/>
          <w:lang w:val="es-ES_tradnl"/>
        </w:rPr>
        <w:t>La Corte Constitucional, al ser el m</w:t>
      </w:r>
      <w:r>
        <w:rPr>
          <w:rFonts w:cs="Times New Roman"/>
          <w:spacing w:val="-9"/>
          <w:sz w:val="18"/>
          <w:szCs w:val="18"/>
          <w:lang w:val="es-ES_tradnl"/>
        </w:rPr>
        <w:t>á</w:t>
      </w:r>
      <w:r>
        <w:rPr>
          <w:spacing w:val="-9"/>
          <w:sz w:val="18"/>
          <w:szCs w:val="18"/>
          <w:lang w:val="es-ES_tradnl"/>
        </w:rPr>
        <w:t xml:space="preserve">ximo </w:t>
      </w:r>
      <w:r>
        <w:rPr>
          <w:rFonts w:cs="Times New Roman"/>
          <w:spacing w:val="-9"/>
          <w:sz w:val="18"/>
          <w:szCs w:val="18"/>
          <w:lang w:val="es-ES_tradnl"/>
        </w:rPr>
        <w:t>ó</w:t>
      </w:r>
      <w:r>
        <w:rPr>
          <w:spacing w:val="-9"/>
          <w:sz w:val="18"/>
          <w:szCs w:val="18"/>
          <w:lang w:val="es-ES_tradnl"/>
        </w:rPr>
        <w:t xml:space="preserve">rgano de control, </w:t>
      </w:r>
      <w:r>
        <w:rPr>
          <w:spacing w:val="-7"/>
          <w:sz w:val="18"/>
          <w:szCs w:val="18"/>
          <w:lang w:val="es-ES_tradnl"/>
        </w:rPr>
        <w:t>interpretaci</w:t>
      </w:r>
      <w:r>
        <w:rPr>
          <w:rFonts w:cs="Times New Roman"/>
          <w:spacing w:val="-7"/>
          <w:sz w:val="18"/>
          <w:szCs w:val="18"/>
          <w:lang w:val="es-ES_tradnl"/>
        </w:rPr>
        <w:t>ó</w:t>
      </w:r>
      <w:r>
        <w:rPr>
          <w:spacing w:val="-7"/>
          <w:sz w:val="18"/>
          <w:szCs w:val="18"/>
          <w:lang w:val="es-ES_tradnl"/>
        </w:rPr>
        <w:t>n y administraci</w:t>
      </w:r>
      <w:r>
        <w:rPr>
          <w:rFonts w:cs="Times New Roman"/>
          <w:spacing w:val="-7"/>
          <w:sz w:val="18"/>
          <w:szCs w:val="18"/>
          <w:lang w:val="es-ES_tradnl"/>
        </w:rPr>
        <w:t>ó</w:t>
      </w:r>
      <w:r>
        <w:rPr>
          <w:spacing w:val="-7"/>
          <w:sz w:val="18"/>
          <w:szCs w:val="18"/>
          <w:lang w:val="es-ES_tradnl"/>
        </w:rPr>
        <w:t>n de justicia en la materia, se encuentra investida de la facultad de preservar la garant</w:t>
      </w:r>
      <w:r>
        <w:rPr>
          <w:rFonts w:cs="Times New Roman"/>
          <w:spacing w:val="-7"/>
          <w:sz w:val="18"/>
          <w:szCs w:val="18"/>
          <w:lang w:val="es-ES_tradnl"/>
        </w:rPr>
        <w:t>í</w:t>
      </w:r>
      <w:r>
        <w:rPr>
          <w:spacing w:val="-7"/>
          <w:sz w:val="18"/>
          <w:szCs w:val="18"/>
          <w:lang w:val="es-ES_tradnl"/>
        </w:rPr>
        <w:t xml:space="preserve">a </w:t>
      </w:r>
      <w:r>
        <w:rPr>
          <w:spacing w:val="-2"/>
          <w:sz w:val="18"/>
          <w:szCs w:val="18"/>
          <w:lang w:val="es-ES_tradnl"/>
        </w:rPr>
        <w:t>de los derechos constitucionales y as</w:t>
      </w:r>
      <w:r>
        <w:rPr>
          <w:rFonts w:cs="Times New Roman"/>
          <w:spacing w:val="-2"/>
          <w:sz w:val="18"/>
          <w:szCs w:val="18"/>
          <w:lang w:val="es-ES_tradnl"/>
        </w:rPr>
        <w:t>í</w:t>
      </w:r>
      <w:r>
        <w:rPr>
          <w:spacing w:val="-2"/>
          <w:sz w:val="18"/>
          <w:szCs w:val="18"/>
          <w:lang w:val="es-ES_tradnl"/>
        </w:rPr>
        <w:t xml:space="preserve"> evitar o corregir </w:t>
      </w:r>
      <w:r>
        <w:rPr>
          <w:spacing w:val="-4"/>
          <w:sz w:val="18"/>
          <w:szCs w:val="18"/>
          <w:lang w:val="es-ES_tradnl"/>
        </w:rPr>
        <w:t>su vulneraci</w:t>
      </w:r>
      <w:r>
        <w:rPr>
          <w:rFonts w:cs="Times New Roman"/>
          <w:spacing w:val="-4"/>
          <w:sz w:val="18"/>
          <w:szCs w:val="18"/>
          <w:lang w:val="es-ES_tradnl"/>
        </w:rPr>
        <w:t>ó</w:t>
      </w:r>
      <w:r>
        <w:rPr>
          <w:spacing w:val="-4"/>
          <w:sz w:val="18"/>
          <w:szCs w:val="18"/>
          <w:lang w:val="es-ES_tradnl"/>
        </w:rPr>
        <w:t>n. En este sentido, la Constituci</w:t>
      </w:r>
      <w:r>
        <w:rPr>
          <w:rFonts w:cs="Times New Roman"/>
          <w:spacing w:val="-4"/>
          <w:sz w:val="18"/>
          <w:szCs w:val="18"/>
          <w:lang w:val="es-ES_tradnl"/>
        </w:rPr>
        <w:t>ó</w:t>
      </w:r>
      <w:r>
        <w:rPr>
          <w:spacing w:val="-4"/>
          <w:sz w:val="18"/>
          <w:szCs w:val="18"/>
          <w:lang w:val="es-ES_tradnl"/>
        </w:rPr>
        <w:t>n de 2008</w:t>
      </w:r>
    </w:p>
    <w:p w14:paraId="4F67B86C" w14:textId="77777777" w:rsidR="00591D54" w:rsidRDefault="00591D54">
      <w:pPr>
        <w:shd w:val="clear" w:color="auto" w:fill="FFFFFF"/>
        <w:spacing w:before="10" w:line="211" w:lineRule="exact"/>
        <w:jc w:val="both"/>
      </w:pPr>
      <w:r>
        <w:br w:type="column"/>
      </w:r>
      <w:r>
        <w:rPr>
          <w:spacing w:val="-7"/>
          <w:sz w:val="18"/>
          <w:szCs w:val="18"/>
          <w:lang w:val="es-ES_tradnl"/>
        </w:rPr>
        <w:t>plantea la posibilidad de tutelar derechos constitucionales que pudieren ser vulnerados durante la emisi</w:t>
      </w:r>
      <w:r>
        <w:rPr>
          <w:rFonts w:cs="Times New Roman"/>
          <w:spacing w:val="-7"/>
          <w:sz w:val="18"/>
          <w:szCs w:val="18"/>
          <w:lang w:val="es-ES_tradnl"/>
        </w:rPr>
        <w:t>ó</w:t>
      </w:r>
      <w:r>
        <w:rPr>
          <w:spacing w:val="-7"/>
          <w:sz w:val="18"/>
          <w:szCs w:val="18"/>
          <w:lang w:val="es-ES_tradnl"/>
        </w:rPr>
        <w:t xml:space="preserve">n de una </w:t>
      </w:r>
      <w:r>
        <w:rPr>
          <w:spacing w:val="-9"/>
          <w:sz w:val="18"/>
          <w:szCs w:val="18"/>
          <w:lang w:val="es-ES_tradnl"/>
        </w:rPr>
        <w:t>sentencia o auto definitivo, resultado de un proceso judicial.</w:t>
      </w:r>
    </w:p>
    <w:p w14:paraId="4F67B86D" w14:textId="77777777" w:rsidR="00591D54" w:rsidRDefault="00591D54">
      <w:pPr>
        <w:shd w:val="clear" w:color="auto" w:fill="FFFFFF"/>
        <w:spacing w:before="192" w:line="211" w:lineRule="exact"/>
        <w:jc w:val="both"/>
      </w:pPr>
      <w:r>
        <w:rPr>
          <w:spacing w:val="-8"/>
          <w:sz w:val="18"/>
          <w:szCs w:val="18"/>
          <w:lang w:val="es-ES_tradnl"/>
        </w:rPr>
        <w:t>De conformidad con el art</w:t>
      </w:r>
      <w:r>
        <w:rPr>
          <w:rFonts w:cs="Times New Roman"/>
          <w:spacing w:val="-8"/>
          <w:sz w:val="18"/>
          <w:szCs w:val="18"/>
          <w:lang w:val="es-ES_tradnl"/>
        </w:rPr>
        <w:t>í</w:t>
      </w:r>
      <w:r>
        <w:rPr>
          <w:spacing w:val="-8"/>
          <w:sz w:val="18"/>
          <w:szCs w:val="18"/>
          <w:lang w:val="es-ES_tradnl"/>
        </w:rPr>
        <w:t>culo 437 de la Constituci</w:t>
      </w:r>
      <w:r>
        <w:rPr>
          <w:rFonts w:cs="Times New Roman"/>
          <w:spacing w:val="-8"/>
          <w:sz w:val="18"/>
          <w:szCs w:val="18"/>
          <w:lang w:val="es-ES_tradnl"/>
        </w:rPr>
        <w:t>ó</w:t>
      </w:r>
      <w:r>
        <w:rPr>
          <w:spacing w:val="-8"/>
          <w:sz w:val="18"/>
          <w:szCs w:val="18"/>
          <w:lang w:val="es-ES_tradnl"/>
        </w:rPr>
        <w:t xml:space="preserve">n de la </w:t>
      </w:r>
      <w:r>
        <w:rPr>
          <w:spacing w:val="-6"/>
          <w:sz w:val="18"/>
          <w:szCs w:val="18"/>
          <w:lang w:val="es-ES_tradnl"/>
        </w:rPr>
        <w:t>Rep</w:t>
      </w:r>
      <w:r>
        <w:rPr>
          <w:rFonts w:cs="Times New Roman"/>
          <w:spacing w:val="-6"/>
          <w:sz w:val="18"/>
          <w:szCs w:val="18"/>
          <w:lang w:val="es-ES_tradnl"/>
        </w:rPr>
        <w:t>ú</w:t>
      </w:r>
      <w:r>
        <w:rPr>
          <w:spacing w:val="-6"/>
          <w:sz w:val="18"/>
          <w:szCs w:val="18"/>
          <w:lang w:val="es-ES_tradnl"/>
        </w:rPr>
        <w:t>blica, la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procede </w:t>
      </w:r>
      <w:r>
        <w:rPr>
          <w:spacing w:val="-11"/>
          <w:sz w:val="18"/>
          <w:szCs w:val="18"/>
          <w:lang w:val="es-ES_tradnl"/>
        </w:rPr>
        <w:t xml:space="preserve">cuando se trate de sentencias, autos y resoluciones firmes o </w:t>
      </w:r>
      <w:r>
        <w:rPr>
          <w:spacing w:val="-9"/>
          <w:sz w:val="18"/>
          <w:szCs w:val="18"/>
          <w:lang w:val="es-ES_tradnl"/>
        </w:rPr>
        <w:t xml:space="preserve">ejecutoriados, en los que el accionante demuestre que en el </w:t>
      </w:r>
      <w:r>
        <w:rPr>
          <w:spacing w:val="-7"/>
          <w:sz w:val="18"/>
          <w:szCs w:val="18"/>
          <w:lang w:val="es-ES_tradnl"/>
        </w:rPr>
        <w:t>juzgamiento se ha violado, por acci</w:t>
      </w:r>
      <w:r>
        <w:rPr>
          <w:rFonts w:cs="Times New Roman"/>
          <w:spacing w:val="-7"/>
          <w:sz w:val="18"/>
          <w:szCs w:val="18"/>
          <w:lang w:val="es-ES_tradnl"/>
        </w:rPr>
        <w:t>ó</w:t>
      </w:r>
      <w:r>
        <w:rPr>
          <w:spacing w:val="-7"/>
          <w:sz w:val="18"/>
          <w:szCs w:val="18"/>
          <w:lang w:val="es-ES_tradnl"/>
        </w:rPr>
        <w:t>n u omisi</w:t>
      </w:r>
      <w:r>
        <w:rPr>
          <w:rFonts w:cs="Times New Roman"/>
          <w:spacing w:val="-7"/>
          <w:sz w:val="18"/>
          <w:szCs w:val="18"/>
          <w:lang w:val="es-ES_tradnl"/>
        </w:rPr>
        <w:t>ó</w:t>
      </w:r>
      <w:r>
        <w:rPr>
          <w:spacing w:val="-7"/>
          <w:sz w:val="18"/>
          <w:szCs w:val="18"/>
          <w:lang w:val="es-ES_tradnl"/>
        </w:rPr>
        <w:t>n, el debido proceso u otros derechos reconocidos en la Constituci</w:t>
      </w:r>
      <w:r>
        <w:rPr>
          <w:rFonts w:cs="Times New Roman"/>
          <w:spacing w:val="-7"/>
          <w:sz w:val="18"/>
          <w:szCs w:val="18"/>
          <w:lang w:val="es-ES_tradnl"/>
        </w:rPr>
        <w:t>ó</w:t>
      </w:r>
      <w:r>
        <w:rPr>
          <w:spacing w:val="-7"/>
          <w:sz w:val="18"/>
          <w:szCs w:val="18"/>
          <w:lang w:val="es-ES_tradnl"/>
        </w:rPr>
        <w:t xml:space="preserve">n, </w:t>
      </w:r>
      <w:r>
        <w:rPr>
          <w:spacing w:val="-8"/>
          <w:sz w:val="18"/>
          <w:szCs w:val="18"/>
          <w:lang w:val="es-ES_tradnl"/>
        </w:rPr>
        <w:t xml:space="preserve">una vez agotados los recursos ordinarios y extraordinarios </w:t>
      </w:r>
      <w:r>
        <w:rPr>
          <w:spacing w:val="-11"/>
          <w:sz w:val="18"/>
          <w:szCs w:val="18"/>
          <w:lang w:val="es-ES_tradnl"/>
        </w:rPr>
        <w:t>dentro del t</w:t>
      </w:r>
      <w:r>
        <w:rPr>
          <w:rFonts w:cs="Times New Roman"/>
          <w:spacing w:val="-11"/>
          <w:sz w:val="18"/>
          <w:szCs w:val="18"/>
          <w:lang w:val="es-ES_tradnl"/>
        </w:rPr>
        <w:t>é</w:t>
      </w:r>
      <w:r>
        <w:rPr>
          <w:spacing w:val="-11"/>
          <w:sz w:val="18"/>
          <w:szCs w:val="18"/>
          <w:lang w:val="es-ES_tradnl"/>
        </w:rPr>
        <w:t>rmino legal, a menos que la falta de interposici</w:t>
      </w:r>
      <w:r>
        <w:rPr>
          <w:rFonts w:cs="Times New Roman"/>
          <w:spacing w:val="-11"/>
          <w:sz w:val="18"/>
          <w:szCs w:val="18"/>
          <w:lang w:val="es-ES_tradnl"/>
        </w:rPr>
        <w:t>ó</w:t>
      </w:r>
      <w:r>
        <w:rPr>
          <w:spacing w:val="-11"/>
          <w:sz w:val="18"/>
          <w:szCs w:val="18"/>
          <w:lang w:val="es-ES_tradnl"/>
        </w:rPr>
        <w:t xml:space="preserve">n </w:t>
      </w:r>
      <w:r>
        <w:rPr>
          <w:spacing w:val="-7"/>
          <w:sz w:val="18"/>
          <w:szCs w:val="18"/>
          <w:lang w:val="es-ES_tradnl"/>
        </w:rPr>
        <w:t xml:space="preserve">de estos recursos no fuera atribuible a la negligencia de la </w:t>
      </w:r>
      <w:r>
        <w:rPr>
          <w:spacing w:val="-6"/>
          <w:sz w:val="18"/>
          <w:szCs w:val="18"/>
          <w:lang w:val="es-ES_tradnl"/>
        </w:rPr>
        <w:t>persona titular del derecho constitucional vulnerado.</w:t>
      </w:r>
    </w:p>
    <w:p w14:paraId="4F67B86E" w14:textId="77777777" w:rsidR="00591D54" w:rsidRDefault="00591D54">
      <w:pPr>
        <w:shd w:val="clear" w:color="auto" w:fill="FFFFFF"/>
        <w:spacing w:before="187" w:line="211" w:lineRule="exact"/>
        <w:jc w:val="both"/>
      </w:pPr>
      <w:r>
        <w:rPr>
          <w:spacing w:val="-7"/>
          <w:sz w:val="18"/>
          <w:szCs w:val="18"/>
          <w:lang w:val="es-ES_tradnl"/>
        </w:rPr>
        <w:t>En virtud de aquello, la acci</w:t>
      </w:r>
      <w:r>
        <w:rPr>
          <w:rFonts w:cs="Times New Roman"/>
          <w:spacing w:val="-7"/>
          <w:sz w:val="18"/>
          <w:szCs w:val="18"/>
          <w:lang w:val="es-ES_tradnl"/>
        </w:rPr>
        <w:t>ó</w:t>
      </w:r>
      <w:r>
        <w:rPr>
          <w:spacing w:val="-7"/>
          <w:sz w:val="18"/>
          <w:szCs w:val="18"/>
          <w:lang w:val="es-ES_tradnl"/>
        </w:rPr>
        <w:t>n extraordinaria de protecci</w:t>
      </w:r>
      <w:r>
        <w:rPr>
          <w:rFonts w:cs="Times New Roman"/>
          <w:spacing w:val="-7"/>
          <w:sz w:val="18"/>
          <w:szCs w:val="18"/>
          <w:lang w:val="es-ES_tradnl"/>
        </w:rPr>
        <w:t>ó</w:t>
      </w:r>
      <w:r>
        <w:rPr>
          <w:spacing w:val="-7"/>
          <w:sz w:val="18"/>
          <w:szCs w:val="18"/>
          <w:lang w:val="es-ES_tradnl"/>
        </w:rPr>
        <w:t xml:space="preserve">n </w:t>
      </w:r>
      <w:r>
        <w:rPr>
          <w:spacing w:val="-4"/>
          <w:sz w:val="18"/>
          <w:szCs w:val="18"/>
          <w:lang w:val="es-ES_tradnl"/>
        </w:rPr>
        <w:t>constituye una garant</w:t>
      </w:r>
      <w:r>
        <w:rPr>
          <w:rFonts w:cs="Times New Roman"/>
          <w:spacing w:val="-4"/>
          <w:sz w:val="18"/>
          <w:szCs w:val="18"/>
          <w:lang w:val="es-ES_tradnl"/>
        </w:rPr>
        <w:t>í</w:t>
      </w:r>
      <w:r>
        <w:rPr>
          <w:spacing w:val="-4"/>
          <w:sz w:val="18"/>
          <w:szCs w:val="18"/>
          <w:lang w:val="es-ES_tradnl"/>
        </w:rPr>
        <w:t xml:space="preserve">a jurisdiccional creada por el </w:t>
      </w:r>
      <w:r>
        <w:rPr>
          <w:spacing w:val="-7"/>
          <w:sz w:val="18"/>
          <w:szCs w:val="18"/>
          <w:lang w:val="es-ES_tradnl"/>
        </w:rPr>
        <w:t xml:space="preserve">constituyente para proteger los derechos constitucionales </w:t>
      </w:r>
      <w:r>
        <w:rPr>
          <w:spacing w:val="-8"/>
          <w:sz w:val="18"/>
          <w:szCs w:val="18"/>
          <w:lang w:val="es-ES_tradnl"/>
        </w:rPr>
        <w:t>de las personas en contra de cualquier vulneraci</w:t>
      </w:r>
      <w:r>
        <w:rPr>
          <w:rFonts w:cs="Times New Roman"/>
          <w:spacing w:val="-8"/>
          <w:sz w:val="18"/>
          <w:szCs w:val="18"/>
          <w:lang w:val="es-ES_tradnl"/>
        </w:rPr>
        <w:t>ó</w:t>
      </w:r>
      <w:r>
        <w:rPr>
          <w:spacing w:val="-8"/>
          <w:sz w:val="18"/>
          <w:szCs w:val="18"/>
          <w:lang w:val="es-ES_tradnl"/>
        </w:rPr>
        <w:t xml:space="preserve">n que se </w:t>
      </w:r>
      <w:r>
        <w:rPr>
          <w:spacing w:val="-7"/>
          <w:sz w:val="18"/>
          <w:szCs w:val="18"/>
          <w:lang w:val="es-ES_tradnl"/>
        </w:rPr>
        <w:t xml:space="preserve">produzca mediante determinados actos jurisdiccionales </w:t>
      </w:r>
      <w:r>
        <w:rPr>
          <w:spacing w:val="-11"/>
          <w:sz w:val="18"/>
          <w:szCs w:val="18"/>
          <w:lang w:val="es-ES_tradnl"/>
        </w:rPr>
        <w:t xml:space="preserve">(sentencias, autos y resoluciones firmes o ejecutoriadas). En consecuencia, no se trata de una instancia superpuesta a las </w:t>
      </w:r>
      <w:r>
        <w:rPr>
          <w:spacing w:val="-9"/>
          <w:sz w:val="18"/>
          <w:szCs w:val="18"/>
          <w:lang w:val="es-ES_tradnl"/>
        </w:rPr>
        <w:t xml:space="preserve">ya existentes, ni tiene por objeto deslegitimar o desmerecer, </w:t>
      </w:r>
      <w:r>
        <w:rPr>
          <w:spacing w:val="-8"/>
          <w:sz w:val="18"/>
          <w:szCs w:val="18"/>
          <w:lang w:val="es-ES_tradnl"/>
        </w:rPr>
        <w:t>en este caso, la actuaci</w:t>
      </w:r>
      <w:r>
        <w:rPr>
          <w:rFonts w:cs="Times New Roman"/>
          <w:spacing w:val="-8"/>
          <w:sz w:val="18"/>
          <w:szCs w:val="18"/>
          <w:lang w:val="es-ES_tradnl"/>
        </w:rPr>
        <w:t>ó</w:t>
      </w:r>
      <w:r>
        <w:rPr>
          <w:spacing w:val="-8"/>
          <w:sz w:val="18"/>
          <w:szCs w:val="18"/>
          <w:lang w:val="es-ES_tradnl"/>
        </w:rPr>
        <w:t>n de los jueces ordinarios.</w:t>
      </w:r>
    </w:p>
    <w:p w14:paraId="4F67B86F" w14:textId="77777777" w:rsidR="00591D54" w:rsidRDefault="00591D54">
      <w:pPr>
        <w:shd w:val="clear" w:color="auto" w:fill="FFFFFF"/>
        <w:spacing w:before="187"/>
      </w:pPr>
      <w:r>
        <w:rPr>
          <w:b/>
          <w:bCs/>
          <w:spacing w:val="-9"/>
          <w:sz w:val="18"/>
          <w:szCs w:val="18"/>
          <w:lang w:val="es-ES_tradnl"/>
        </w:rPr>
        <w:t>Determinaci</w:t>
      </w:r>
      <w:r>
        <w:rPr>
          <w:rFonts w:cs="Times New Roman"/>
          <w:b/>
          <w:bCs/>
          <w:spacing w:val="-9"/>
          <w:sz w:val="18"/>
          <w:szCs w:val="18"/>
          <w:lang w:val="es-ES_tradnl"/>
        </w:rPr>
        <w:t>ó</w:t>
      </w:r>
      <w:r>
        <w:rPr>
          <w:b/>
          <w:bCs/>
          <w:spacing w:val="-9"/>
          <w:sz w:val="18"/>
          <w:szCs w:val="18"/>
          <w:lang w:val="es-ES_tradnl"/>
        </w:rPr>
        <w:t>n de los problemas jur</w:t>
      </w:r>
      <w:r>
        <w:rPr>
          <w:rFonts w:cs="Times New Roman"/>
          <w:b/>
          <w:bCs/>
          <w:spacing w:val="-9"/>
          <w:sz w:val="18"/>
          <w:szCs w:val="18"/>
          <w:lang w:val="es-ES_tradnl"/>
        </w:rPr>
        <w:t>í</w:t>
      </w:r>
      <w:r>
        <w:rPr>
          <w:b/>
          <w:bCs/>
          <w:spacing w:val="-9"/>
          <w:sz w:val="18"/>
          <w:szCs w:val="18"/>
          <w:lang w:val="es-ES_tradnl"/>
        </w:rPr>
        <w:t>dicos</w:t>
      </w:r>
    </w:p>
    <w:p w14:paraId="4F67B870" w14:textId="77777777" w:rsidR="00591D54" w:rsidRDefault="00591D54">
      <w:pPr>
        <w:shd w:val="clear" w:color="auto" w:fill="FFFFFF"/>
        <w:spacing w:before="192" w:line="211" w:lineRule="exact"/>
        <w:jc w:val="both"/>
      </w:pPr>
      <w:r>
        <w:rPr>
          <w:spacing w:val="-1"/>
          <w:sz w:val="18"/>
          <w:szCs w:val="18"/>
          <w:lang w:val="es-ES_tradnl"/>
        </w:rPr>
        <w:t xml:space="preserve">Al Pleno de la Corte Constitucional le corresponde </w:t>
      </w:r>
      <w:r>
        <w:rPr>
          <w:spacing w:val="-2"/>
          <w:sz w:val="18"/>
          <w:szCs w:val="18"/>
          <w:lang w:val="es-ES_tradnl"/>
        </w:rPr>
        <w:t>examinar si en la decisi</w:t>
      </w:r>
      <w:r>
        <w:rPr>
          <w:rFonts w:cs="Times New Roman"/>
          <w:spacing w:val="-2"/>
          <w:sz w:val="18"/>
          <w:szCs w:val="18"/>
          <w:lang w:val="es-ES_tradnl"/>
        </w:rPr>
        <w:t>ó</w:t>
      </w:r>
      <w:r>
        <w:rPr>
          <w:spacing w:val="-2"/>
          <w:sz w:val="18"/>
          <w:szCs w:val="18"/>
          <w:lang w:val="es-ES_tradnl"/>
        </w:rPr>
        <w:t xml:space="preserve">n judicial del 04 de enero de </w:t>
      </w:r>
      <w:r>
        <w:rPr>
          <w:spacing w:val="-9"/>
          <w:sz w:val="18"/>
          <w:szCs w:val="18"/>
          <w:lang w:val="es-ES_tradnl"/>
        </w:rPr>
        <w:t xml:space="preserve">2013, expedida por la Sala de Conjueces de lo Contencioso </w:t>
      </w:r>
      <w:r>
        <w:rPr>
          <w:spacing w:val="-7"/>
          <w:sz w:val="18"/>
          <w:szCs w:val="18"/>
          <w:lang w:val="es-ES_tradnl"/>
        </w:rPr>
        <w:t xml:space="preserve">Tributario de la Corte Nacional de Justicia, dentro del juicio </w:t>
      </w:r>
      <w:r>
        <w:rPr>
          <w:spacing w:val="-8"/>
          <w:sz w:val="18"/>
          <w:szCs w:val="18"/>
          <w:lang w:val="es-ES_tradnl"/>
        </w:rPr>
        <w:t>de impugnaci</w:t>
      </w:r>
      <w:r>
        <w:rPr>
          <w:rFonts w:cs="Times New Roman"/>
          <w:spacing w:val="-8"/>
          <w:sz w:val="18"/>
          <w:szCs w:val="18"/>
          <w:lang w:val="es-ES_tradnl"/>
        </w:rPr>
        <w:t>ó</w:t>
      </w:r>
      <w:r>
        <w:rPr>
          <w:spacing w:val="-8"/>
          <w:sz w:val="18"/>
          <w:szCs w:val="18"/>
          <w:lang w:val="es-ES_tradnl"/>
        </w:rPr>
        <w:t>n N.</w:t>
      </w:r>
      <w:r>
        <w:rPr>
          <w:rFonts w:cs="Times New Roman"/>
          <w:spacing w:val="-8"/>
          <w:sz w:val="18"/>
          <w:szCs w:val="18"/>
          <w:lang w:val="es-ES_tradnl"/>
        </w:rPr>
        <w:t>°</w:t>
      </w:r>
      <w:r>
        <w:rPr>
          <w:spacing w:val="-8"/>
          <w:sz w:val="18"/>
          <w:szCs w:val="18"/>
          <w:lang w:val="es-ES_tradnl"/>
        </w:rPr>
        <w:t xml:space="preserve"> 650-2012/229-2009, se han vulnerado </w:t>
      </w:r>
      <w:r>
        <w:rPr>
          <w:sz w:val="18"/>
          <w:szCs w:val="18"/>
          <w:lang w:val="es-ES_tradnl"/>
        </w:rPr>
        <w:t>derechos constitucionales.</w:t>
      </w:r>
    </w:p>
    <w:p w14:paraId="4F67B871" w14:textId="77777777" w:rsidR="00591D54" w:rsidRDefault="00591D54">
      <w:pPr>
        <w:shd w:val="clear" w:color="auto" w:fill="FFFFFF"/>
        <w:spacing w:before="192" w:line="211" w:lineRule="exact"/>
        <w:jc w:val="both"/>
      </w:pPr>
      <w:r>
        <w:rPr>
          <w:spacing w:val="-2"/>
          <w:sz w:val="18"/>
          <w:szCs w:val="18"/>
          <w:lang w:val="es-ES_tradnl"/>
        </w:rPr>
        <w:t xml:space="preserve">En aquel sentido, la Corte Constitucional considera </w:t>
      </w:r>
      <w:r>
        <w:rPr>
          <w:spacing w:val="-6"/>
          <w:sz w:val="18"/>
          <w:szCs w:val="18"/>
          <w:lang w:val="es-ES_tradnl"/>
        </w:rPr>
        <w:t>necesario el planteamiento y posterior resoluci</w:t>
      </w:r>
      <w:r>
        <w:rPr>
          <w:rFonts w:cs="Times New Roman"/>
          <w:spacing w:val="-6"/>
          <w:sz w:val="18"/>
          <w:szCs w:val="18"/>
          <w:lang w:val="es-ES_tradnl"/>
        </w:rPr>
        <w:t>ó</w:t>
      </w:r>
      <w:r>
        <w:rPr>
          <w:spacing w:val="-6"/>
          <w:sz w:val="18"/>
          <w:szCs w:val="18"/>
          <w:lang w:val="es-ES_tradnl"/>
        </w:rPr>
        <w:t xml:space="preserve">n de los </w:t>
      </w:r>
      <w:r>
        <w:rPr>
          <w:sz w:val="18"/>
          <w:szCs w:val="18"/>
          <w:lang w:val="es-ES_tradnl"/>
        </w:rPr>
        <w:t>siguientes problemas jur</w:t>
      </w:r>
      <w:r>
        <w:rPr>
          <w:rFonts w:cs="Times New Roman"/>
          <w:sz w:val="18"/>
          <w:szCs w:val="18"/>
          <w:lang w:val="es-ES_tradnl"/>
        </w:rPr>
        <w:t>í</w:t>
      </w:r>
      <w:r>
        <w:rPr>
          <w:sz w:val="18"/>
          <w:szCs w:val="18"/>
          <w:lang w:val="es-ES_tradnl"/>
        </w:rPr>
        <w:t>dicos:</w:t>
      </w:r>
    </w:p>
    <w:p w14:paraId="4F67B872" w14:textId="77777777" w:rsidR="00591D54" w:rsidRDefault="00591D54" w:rsidP="00251195">
      <w:pPr>
        <w:numPr>
          <w:ilvl w:val="0"/>
          <w:numId w:val="114"/>
        </w:numPr>
        <w:shd w:val="clear" w:color="auto" w:fill="FFFFFF"/>
        <w:tabs>
          <w:tab w:val="left" w:pos="283"/>
        </w:tabs>
        <w:spacing w:before="187" w:line="211" w:lineRule="exact"/>
        <w:ind w:left="283" w:hanging="283"/>
        <w:jc w:val="both"/>
        <w:rPr>
          <w:spacing w:val="-11"/>
          <w:sz w:val="18"/>
          <w:szCs w:val="18"/>
          <w:lang w:val="es-ES_tradnl"/>
        </w:rPr>
      </w:pPr>
      <w:r>
        <w:rPr>
          <w:spacing w:val="-5"/>
          <w:sz w:val="18"/>
          <w:szCs w:val="18"/>
          <w:lang w:val="es-ES_tradnl"/>
        </w:rPr>
        <w:t xml:space="preserve">El auto expedido el 04 de enero de 2013, por la Sala </w:t>
      </w:r>
      <w:r>
        <w:rPr>
          <w:spacing w:val="-7"/>
          <w:sz w:val="18"/>
          <w:szCs w:val="18"/>
          <w:lang w:val="es-ES_tradnl"/>
        </w:rPr>
        <w:t xml:space="preserve">de Conjueces de lo Contencioso Tributario de la Corte </w:t>
      </w:r>
      <w:r>
        <w:rPr>
          <w:spacing w:val="-8"/>
          <w:sz w:val="18"/>
          <w:szCs w:val="18"/>
          <w:lang w:val="es-ES_tradnl"/>
        </w:rPr>
        <w:t xml:space="preserve">Nacional de Justicia, </w:t>
      </w:r>
      <w:r>
        <w:rPr>
          <w:rFonts w:cs="Times New Roman"/>
          <w:spacing w:val="-8"/>
          <w:sz w:val="18"/>
          <w:szCs w:val="18"/>
          <w:lang w:val="es-ES_tradnl"/>
        </w:rPr>
        <w:t>¿</w:t>
      </w:r>
      <w:r>
        <w:rPr>
          <w:spacing w:val="-8"/>
          <w:sz w:val="18"/>
          <w:szCs w:val="18"/>
          <w:lang w:val="es-ES_tradnl"/>
        </w:rPr>
        <w:t>vulner</w:t>
      </w:r>
      <w:r>
        <w:rPr>
          <w:rFonts w:cs="Times New Roman"/>
          <w:spacing w:val="-8"/>
          <w:sz w:val="18"/>
          <w:szCs w:val="18"/>
          <w:lang w:val="es-ES_tradnl"/>
        </w:rPr>
        <w:t>ó</w:t>
      </w:r>
      <w:r>
        <w:rPr>
          <w:spacing w:val="-8"/>
          <w:sz w:val="18"/>
          <w:szCs w:val="18"/>
          <w:lang w:val="es-ES_tradnl"/>
        </w:rPr>
        <w:t xml:space="preserve"> el derecho constitucional </w:t>
      </w:r>
      <w:r>
        <w:rPr>
          <w:sz w:val="18"/>
          <w:szCs w:val="18"/>
          <w:lang w:val="es-ES_tradnl"/>
        </w:rPr>
        <w:t>a la seguridad jur</w:t>
      </w:r>
      <w:r>
        <w:rPr>
          <w:rFonts w:cs="Times New Roman"/>
          <w:sz w:val="18"/>
          <w:szCs w:val="18"/>
          <w:lang w:val="es-ES_tradnl"/>
        </w:rPr>
        <w:t>í</w:t>
      </w:r>
      <w:r>
        <w:rPr>
          <w:sz w:val="18"/>
          <w:szCs w:val="18"/>
          <w:lang w:val="es-ES_tradnl"/>
        </w:rPr>
        <w:t>dica?</w:t>
      </w:r>
    </w:p>
    <w:p w14:paraId="4F67B873" w14:textId="77777777" w:rsidR="00591D54" w:rsidRDefault="00591D54" w:rsidP="00251195">
      <w:pPr>
        <w:numPr>
          <w:ilvl w:val="0"/>
          <w:numId w:val="114"/>
        </w:numPr>
        <w:shd w:val="clear" w:color="auto" w:fill="FFFFFF"/>
        <w:tabs>
          <w:tab w:val="left" w:pos="283"/>
        </w:tabs>
        <w:spacing w:before="192" w:line="211" w:lineRule="exact"/>
        <w:ind w:left="283" w:hanging="283"/>
        <w:jc w:val="both"/>
        <w:rPr>
          <w:spacing w:val="-11"/>
          <w:sz w:val="18"/>
          <w:szCs w:val="18"/>
          <w:lang w:val="es-ES_tradnl"/>
        </w:rPr>
      </w:pPr>
      <w:r>
        <w:rPr>
          <w:spacing w:val="-5"/>
          <w:sz w:val="18"/>
          <w:szCs w:val="18"/>
          <w:lang w:val="es-ES_tradnl"/>
        </w:rPr>
        <w:t xml:space="preserve">El auto expedido el 04 de enero de 2013, por la Sala </w:t>
      </w:r>
      <w:r>
        <w:rPr>
          <w:spacing w:val="-7"/>
          <w:sz w:val="18"/>
          <w:szCs w:val="18"/>
          <w:lang w:val="es-ES_tradnl"/>
        </w:rPr>
        <w:t xml:space="preserve">de Conjueces de lo Contencioso Tributario de la Corte </w:t>
      </w:r>
      <w:r>
        <w:rPr>
          <w:spacing w:val="-8"/>
          <w:sz w:val="18"/>
          <w:szCs w:val="18"/>
          <w:lang w:val="es-ES_tradnl"/>
        </w:rPr>
        <w:t xml:space="preserve">Nacional de Justicia, </w:t>
      </w:r>
      <w:r>
        <w:rPr>
          <w:rFonts w:cs="Times New Roman"/>
          <w:spacing w:val="-8"/>
          <w:sz w:val="18"/>
          <w:szCs w:val="18"/>
          <w:lang w:val="es-ES_tradnl"/>
        </w:rPr>
        <w:t>¿</w:t>
      </w:r>
      <w:r>
        <w:rPr>
          <w:spacing w:val="-8"/>
          <w:sz w:val="18"/>
          <w:szCs w:val="18"/>
          <w:lang w:val="es-ES_tradnl"/>
        </w:rPr>
        <w:t>vulner</w:t>
      </w:r>
      <w:r>
        <w:rPr>
          <w:rFonts w:cs="Times New Roman"/>
          <w:spacing w:val="-8"/>
          <w:sz w:val="18"/>
          <w:szCs w:val="18"/>
          <w:lang w:val="es-ES_tradnl"/>
        </w:rPr>
        <w:t>ó</w:t>
      </w:r>
      <w:r>
        <w:rPr>
          <w:spacing w:val="-8"/>
          <w:sz w:val="18"/>
          <w:szCs w:val="18"/>
          <w:lang w:val="es-ES_tradnl"/>
        </w:rPr>
        <w:t xml:space="preserve"> el derecho a la defensa, </w:t>
      </w:r>
      <w:r>
        <w:rPr>
          <w:spacing w:val="-6"/>
          <w:sz w:val="18"/>
          <w:szCs w:val="18"/>
          <w:lang w:val="es-ES_tradnl"/>
        </w:rPr>
        <w:t>determinado en el art</w:t>
      </w:r>
      <w:r>
        <w:rPr>
          <w:rFonts w:cs="Times New Roman"/>
          <w:spacing w:val="-6"/>
          <w:sz w:val="18"/>
          <w:szCs w:val="18"/>
          <w:lang w:val="es-ES_tradnl"/>
        </w:rPr>
        <w:t>í</w:t>
      </w:r>
      <w:r>
        <w:rPr>
          <w:spacing w:val="-6"/>
          <w:sz w:val="18"/>
          <w:szCs w:val="18"/>
          <w:lang w:val="es-ES_tradnl"/>
        </w:rPr>
        <w:t xml:space="preserve">culo 76 numeral 7 literal </w:t>
      </w:r>
      <w:r>
        <w:rPr>
          <w:b/>
          <w:bCs/>
          <w:spacing w:val="-6"/>
          <w:sz w:val="18"/>
          <w:szCs w:val="18"/>
          <w:lang w:val="es-ES_tradnl"/>
        </w:rPr>
        <w:t xml:space="preserve">a </w:t>
      </w:r>
      <w:r>
        <w:rPr>
          <w:spacing w:val="-6"/>
          <w:sz w:val="18"/>
          <w:szCs w:val="18"/>
          <w:lang w:val="es-ES_tradnl"/>
        </w:rPr>
        <w:t xml:space="preserve">de la </w:t>
      </w:r>
      <w:r>
        <w:rPr>
          <w:sz w:val="18"/>
          <w:szCs w:val="18"/>
          <w:lang w:val="es-ES_tradnl"/>
        </w:rPr>
        <w:t>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B874" w14:textId="77777777" w:rsidR="00591D54" w:rsidRDefault="00591D54">
      <w:pPr>
        <w:shd w:val="clear" w:color="auto" w:fill="FFFFFF"/>
        <w:spacing w:before="187"/>
      </w:pPr>
      <w:r>
        <w:rPr>
          <w:b/>
          <w:bCs/>
          <w:spacing w:val="-10"/>
          <w:sz w:val="18"/>
          <w:szCs w:val="18"/>
          <w:lang w:val="es-ES_tradnl"/>
        </w:rPr>
        <w:t>Resoluci</w:t>
      </w:r>
      <w:r>
        <w:rPr>
          <w:rFonts w:cs="Times New Roman"/>
          <w:b/>
          <w:bCs/>
          <w:spacing w:val="-10"/>
          <w:sz w:val="18"/>
          <w:szCs w:val="18"/>
          <w:lang w:val="es-ES_tradnl"/>
        </w:rPr>
        <w:t>ó</w:t>
      </w:r>
      <w:r>
        <w:rPr>
          <w:b/>
          <w:bCs/>
          <w:spacing w:val="-10"/>
          <w:sz w:val="18"/>
          <w:szCs w:val="18"/>
          <w:lang w:val="es-ES_tradnl"/>
        </w:rPr>
        <w:t>n de los problemas jur</w:t>
      </w:r>
      <w:r>
        <w:rPr>
          <w:rFonts w:cs="Times New Roman"/>
          <w:b/>
          <w:bCs/>
          <w:spacing w:val="-10"/>
          <w:sz w:val="18"/>
          <w:szCs w:val="18"/>
          <w:lang w:val="es-ES_tradnl"/>
        </w:rPr>
        <w:t>í</w:t>
      </w:r>
      <w:r>
        <w:rPr>
          <w:b/>
          <w:bCs/>
          <w:spacing w:val="-10"/>
          <w:sz w:val="18"/>
          <w:szCs w:val="18"/>
          <w:lang w:val="es-ES_tradnl"/>
        </w:rPr>
        <w:t>dicos</w:t>
      </w:r>
    </w:p>
    <w:p w14:paraId="4F67B875" w14:textId="77777777" w:rsidR="00591D54" w:rsidRDefault="00591D54">
      <w:pPr>
        <w:shd w:val="clear" w:color="auto" w:fill="FFFFFF"/>
        <w:spacing w:before="187" w:line="211" w:lineRule="exact"/>
        <w:jc w:val="both"/>
      </w:pPr>
      <w:r>
        <w:rPr>
          <w:b/>
          <w:bCs/>
          <w:spacing w:val="-8"/>
          <w:sz w:val="18"/>
          <w:szCs w:val="18"/>
          <w:lang w:val="es-ES_tradnl"/>
        </w:rPr>
        <w:t xml:space="preserve">1.- El auto expedido el 04 de enero de 2013, por la Sala de Conjueces de lo Contencioso Tributario de la Corte </w:t>
      </w:r>
      <w:r>
        <w:rPr>
          <w:b/>
          <w:bCs/>
          <w:spacing w:val="-10"/>
          <w:sz w:val="18"/>
          <w:szCs w:val="18"/>
          <w:lang w:val="es-ES_tradnl"/>
        </w:rPr>
        <w:t xml:space="preserve">Nacional de Justicia, </w:t>
      </w:r>
      <w:r>
        <w:rPr>
          <w:rFonts w:cs="Times New Roman"/>
          <w:b/>
          <w:bCs/>
          <w:spacing w:val="-10"/>
          <w:sz w:val="18"/>
          <w:szCs w:val="18"/>
          <w:lang w:val="es-ES_tradnl"/>
        </w:rPr>
        <w:t>¿</w:t>
      </w:r>
      <w:r>
        <w:rPr>
          <w:b/>
          <w:bCs/>
          <w:spacing w:val="-10"/>
          <w:sz w:val="18"/>
          <w:szCs w:val="18"/>
          <w:lang w:val="es-ES_tradnl"/>
        </w:rPr>
        <w:t>vulner</w:t>
      </w:r>
      <w:r>
        <w:rPr>
          <w:rFonts w:cs="Times New Roman"/>
          <w:b/>
          <w:bCs/>
          <w:spacing w:val="-10"/>
          <w:sz w:val="18"/>
          <w:szCs w:val="18"/>
          <w:lang w:val="es-ES_tradnl"/>
        </w:rPr>
        <w:t>ó</w:t>
      </w:r>
      <w:r>
        <w:rPr>
          <w:b/>
          <w:bCs/>
          <w:spacing w:val="-10"/>
          <w:sz w:val="18"/>
          <w:szCs w:val="18"/>
          <w:lang w:val="es-ES_tradnl"/>
        </w:rPr>
        <w:t xml:space="preserve"> el derecho constitucional </w:t>
      </w:r>
      <w:r>
        <w:rPr>
          <w:b/>
          <w:bCs/>
          <w:sz w:val="18"/>
          <w:szCs w:val="18"/>
          <w:lang w:val="es-ES_tradnl"/>
        </w:rPr>
        <w:t>a la seguridad jur</w:t>
      </w:r>
      <w:r>
        <w:rPr>
          <w:rFonts w:cs="Times New Roman"/>
          <w:b/>
          <w:bCs/>
          <w:sz w:val="18"/>
          <w:szCs w:val="18"/>
          <w:lang w:val="es-ES_tradnl"/>
        </w:rPr>
        <w:t>í</w:t>
      </w:r>
      <w:r>
        <w:rPr>
          <w:b/>
          <w:bCs/>
          <w:sz w:val="18"/>
          <w:szCs w:val="18"/>
          <w:lang w:val="es-ES_tradnl"/>
        </w:rPr>
        <w:t>dica?</w:t>
      </w:r>
    </w:p>
    <w:p w14:paraId="4F67B876" w14:textId="77777777" w:rsidR="00591D54" w:rsidRDefault="00591D54">
      <w:pPr>
        <w:shd w:val="clear" w:color="auto" w:fill="FFFFFF"/>
        <w:spacing w:before="187" w:line="211" w:lineRule="exact"/>
        <w:jc w:val="both"/>
      </w:pPr>
      <w:r>
        <w:rPr>
          <w:spacing w:val="-4"/>
          <w:sz w:val="18"/>
          <w:szCs w:val="18"/>
          <w:lang w:val="es-ES_tradnl"/>
        </w:rPr>
        <w:t>El art</w:t>
      </w:r>
      <w:r>
        <w:rPr>
          <w:rFonts w:cs="Times New Roman"/>
          <w:spacing w:val="-4"/>
          <w:sz w:val="18"/>
          <w:szCs w:val="18"/>
          <w:lang w:val="es-ES_tradnl"/>
        </w:rPr>
        <w:t>í</w:t>
      </w:r>
      <w:r>
        <w:rPr>
          <w:spacing w:val="-4"/>
          <w:sz w:val="18"/>
          <w:szCs w:val="18"/>
          <w:lang w:val="es-ES_tradnl"/>
        </w:rPr>
        <w:t>culo 82 de la Constituci</w:t>
      </w:r>
      <w:r>
        <w:rPr>
          <w:rFonts w:cs="Times New Roman"/>
          <w:spacing w:val="-4"/>
          <w:sz w:val="18"/>
          <w:szCs w:val="18"/>
          <w:lang w:val="es-ES_tradnl"/>
        </w:rPr>
        <w:t>ó</w:t>
      </w:r>
      <w:r>
        <w:rPr>
          <w:spacing w:val="-4"/>
          <w:sz w:val="18"/>
          <w:szCs w:val="18"/>
          <w:lang w:val="es-ES_tradnl"/>
        </w:rPr>
        <w:t>n de la Rep</w:t>
      </w:r>
      <w:r>
        <w:rPr>
          <w:rFonts w:cs="Times New Roman"/>
          <w:spacing w:val="-4"/>
          <w:sz w:val="18"/>
          <w:szCs w:val="18"/>
          <w:lang w:val="es-ES_tradnl"/>
        </w:rPr>
        <w:t>ú</w:t>
      </w:r>
      <w:r>
        <w:rPr>
          <w:spacing w:val="-4"/>
          <w:sz w:val="18"/>
          <w:szCs w:val="18"/>
          <w:lang w:val="es-ES_tradnl"/>
        </w:rPr>
        <w:t>blica se</w:t>
      </w:r>
      <w:r>
        <w:rPr>
          <w:rFonts w:cs="Times New Roman"/>
          <w:spacing w:val="-4"/>
          <w:sz w:val="18"/>
          <w:szCs w:val="18"/>
          <w:lang w:val="es-ES_tradnl"/>
        </w:rPr>
        <w:t>ñ</w:t>
      </w:r>
      <w:r>
        <w:rPr>
          <w:spacing w:val="-4"/>
          <w:sz w:val="18"/>
          <w:szCs w:val="18"/>
          <w:lang w:val="es-ES_tradnl"/>
        </w:rPr>
        <w:t xml:space="preserve">ala </w:t>
      </w:r>
      <w:r>
        <w:rPr>
          <w:spacing w:val="-7"/>
          <w:sz w:val="18"/>
          <w:szCs w:val="18"/>
          <w:lang w:val="es-ES_tradnl"/>
        </w:rPr>
        <w:t xml:space="preserve">que: </w:t>
      </w:r>
      <w:r>
        <w:rPr>
          <w:rFonts w:cs="Times New Roman"/>
          <w:spacing w:val="-7"/>
          <w:sz w:val="18"/>
          <w:szCs w:val="18"/>
          <w:lang w:val="es-ES_tradnl"/>
        </w:rPr>
        <w:t>“</w:t>
      </w:r>
      <w:r>
        <w:rPr>
          <w:spacing w:val="-7"/>
          <w:sz w:val="18"/>
          <w:szCs w:val="18"/>
          <w:lang w:val="es-ES_tradnl"/>
        </w:rPr>
        <w:t>El derecho a la seguridad jur</w:t>
      </w:r>
      <w:r>
        <w:rPr>
          <w:rFonts w:cs="Times New Roman"/>
          <w:spacing w:val="-7"/>
          <w:sz w:val="18"/>
          <w:szCs w:val="18"/>
          <w:lang w:val="es-ES_tradnl"/>
        </w:rPr>
        <w:t>í</w:t>
      </w:r>
      <w:r>
        <w:rPr>
          <w:spacing w:val="-7"/>
          <w:sz w:val="18"/>
          <w:szCs w:val="18"/>
          <w:lang w:val="es-ES_tradnl"/>
        </w:rPr>
        <w:t xml:space="preserve">dica se fundamenta en </w:t>
      </w:r>
      <w:r>
        <w:rPr>
          <w:spacing w:val="-6"/>
          <w:sz w:val="18"/>
          <w:szCs w:val="18"/>
          <w:lang w:val="es-ES_tradnl"/>
        </w:rPr>
        <w:t>el respeto a la Constituci</w:t>
      </w:r>
      <w:r>
        <w:rPr>
          <w:rFonts w:cs="Times New Roman"/>
          <w:spacing w:val="-6"/>
          <w:sz w:val="18"/>
          <w:szCs w:val="18"/>
          <w:lang w:val="es-ES_tradnl"/>
        </w:rPr>
        <w:t>ó</w:t>
      </w:r>
      <w:r>
        <w:rPr>
          <w:spacing w:val="-6"/>
          <w:sz w:val="18"/>
          <w:szCs w:val="18"/>
          <w:lang w:val="es-ES_tradnl"/>
        </w:rPr>
        <w:t xml:space="preserve">n y en la existencia de normas </w:t>
      </w:r>
      <w:r>
        <w:rPr>
          <w:spacing w:val="-5"/>
          <w:sz w:val="18"/>
          <w:szCs w:val="18"/>
          <w:lang w:val="es-ES_tradnl"/>
        </w:rPr>
        <w:t>jur</w:t>
      </w:r>
      <w:r>
        <w:rPr>
          <w:rFonts w:cs="Times New Roman"/>
          <w:spacing w:val="-5"/>
          <w:sz w:val="18"/>
          <w:szCs w:val="18"/>
          <w:lang w:val="es-ES_tradnl"/>
        </w:rPr>
        <w:t>í</w:t>
      </w:r>
      <w:r>
        <w:rPr>
          <w:spacing w:val="-5"/>
          <w:sz w:val="18"/>
          <w:szCs w:val="18"/>
          <w:lang w:val="es-ES_tradnl"/>
        </w:rPr>
        <w:t>dicas previas, claras, p</w:t>
      </w:r>
      <w:r>
        <w:rPr>
          <w:rFonts w:cs="Times New Roman"/>
          <w:spacing w:val="-5"/>
          <w:sz w:val="18"/>
          <w:szCs w:val="18"/>
          <w:lang w:val="es-ES_tradnl"/>
        </w:rPr>
        <w:t>ú</w:t>
      </w:r>
      <w:r>
        <w:rPr>
          <w:spacing w:val="-5"/>
          <w:sz w:val="18"/>
          <w:szCs w:val="18"/>
          <w:lang w:val="es-ES_tradnl"/>
        </w:rPr>
        <w:t xml:space="preserve">blicas y aplicadas por las </w:t>
      </w:r>
      <w:r>
        <w:rPr>
          <w:spacing w:val="-4"/>
          <w:sz w:val="18"/>
          <w:szCs w:val="18"/>
          <w:lang w:val="es-ES_tradnl"/>
        </w:rPr>
        <w:t>autoridades competentes</w:t>
      </w:r>
      <w:r>
        <w:rPr>
          <w:rFonts w:cs="Times New Roman"/>
          <w:spacing w:val="-4"/>
          <w:sz w:val="18"/>
          <w:szCs w:val="18"/>
          <w:lang w:val="es-ES_tradnl"/>
        </w:rPr>
        <w:t>”</w:t>
      </w:r>
      <w:r>
        <w:rPr>
          <w:spacing w:val="-4"/>
          <w:sz w:val="18"/>
          <w:szCs w:val="18"/>
          <w:lang w:val="es-ES_tradnl"/>
        </w:rPr>
        <w:t>, por tal raz</w:t>
      </w:r>
      <w:r>
        <w:rPr>
          <w:rFonts w:cs="Times New Roman"/>
          <w:spacing w:val="-4"/>
          <w:sz w:val="18"/>
          <w:szCs w:val="18"/>
          <w:lang w:val="es-ES_tradnl"/>
        </w:rPr>
        <w:t>ó</w:t>
      </w:r>
      <w:r>
        <w:rPr>
          <w:spacing w:val="-4"/>
          <w:sz w:val="18"/>
          <w:szCs w:val="18"/>
          <w:lang w:val="es-ES_tradnl"/>
        </w:rPr>
        <w:t xml:space="preserve">n, la seguridad </w:t>
      </w:r>
      <w:r>
        <w:rPr>
          <w:spacing w:val="-5"/>
          <w:sz w:val="18"/>
          <w:szCs w:val="18"/>
          <w:lang w:val="es-ES_tradnl"/>
        </w:rPr>
        <w:t>jur</w:t>
      </w:r>
      <w:r>
        <w:rPr>
          <w:rFonts w:cs="Times New Roman"/>
          <w:spacing w:val="-5"/>
          <w:sz w:val="18"/>
          <w:szCs w:val="18"/>
          <w:lang w:val="es-ES_tradnl"/>
        </w:rPr>
        <w:t>í</w:t>
      </w:r>
      <w:r>
        <w:rPr>
          <w:spacing w:val="-5"/>
          <w:sz w:val="18"/>
          <w:szCs w:val="18"/>
          <w:lang w:val="es-ES_tradnl"/>
        </w:rPr>
        <w:t xml:space="preserve">dica implica un </w:t>
      </w:r>
      <w:r>
        <w:rPr>
          <w:rFonts w:cs="Times New Roman"/>
          <w:spacing w:val="-5"/>
          <w:sz w:val="18"/>
          <w:szCs w:val="18"/>
          <w:lang w:val="es-ES_tradnl"/>
        </w:rPr>
        <w:t>á</w:t>
      </w:r>
      <w:r>
        <w:rPr>
          <w:spacing w:val="-5"/>
          <w:sz w:val="18"/>
          <w:szCs w:val="18"/>
          <w:lang w:val="es-ES_tradnl"/>
        </w:rPr>
        <w:t xml:space="preserve">mbito de previsibilidad y certidumbre </w:t>
      </w:r>
      <w:r>
        <w:rPr>
          <w:spacing w:val="-8"/>
          <w:sz w:val="18"/>
          <w:szCs w:val="18"/>
          <w:lang w:val="es-ES_tradnl"/>
        </w:rPr>
        <w:t>en el individuo en el sentido de saber a qu</w:t>
      </w:r>
      <w:r>
        <w:rPr>
          <w:rFonts w:cs="Times New Roman"/>
          <w:spacing w:val="-8"/>
          <w:sz w:val="18"/>
          <w:szCs w:val="18"/>
          <w:lang w:val="es-ES_tradnl"/>
        </w:rPr>
        <w:t>é</w:t>
      </w:r>
      <w:r>
        <w:rPr>
          <w:spacing w:val="-8"/>
          <w:sz w:val="18"/>
          <w:szCs w:val="18"/>
          <w:lang w:val="es-ES_tradnl"/>
        </w:rPr>
        <w:t xml:space="preserve"> atenerse frente </w:t>
      </w:r>
      <w:r>
        <w:rPr>
          <w:sz w:val="18"/>
          <w:szCs w:val="18"/>
          <w:lang w:val="es-ES_tradnl"/>
        </w:rPr>
        <w:t>a un proceso del que es parte.</w:t>
      </w:r>
    </w:p>
    <w:p w14:paraId="4F67B877" w14:textId="77777777" w:rsidR="00591D54" w:rsidRDefault="00591D54">
      <w:pPr>
        <w:shd w:val="clear" w:color="auto" w:fill="FFFFFF"/>
        <w:spacing w:before="187" w:line="211" w:lineRule="exact"/>
        <w:jc w:val="both"/>
        <w:sectPr w:rsidR="00591D54">
          <w:type w:val="continuous"/>
          <w:pgSz w:w="11909" w:h="16834"/>
          <w:pgMar w:top="1363" w:right="1309" w:bottom="360" w:left="1308" w:header="720" w:footer="720" w:gutter="0"/>
          <w:cols w:num="2" w:space="720" w:equalWidth="0">
            <w:col w:w="4305" w:space="682"/>
            <w:col w:w="4305"/>
          </w:cols>
          <w:noEndnote/>
        </w:sectPr>
      </w:pPr>
    </w:p>
    <w:p w14:paraId="4F67B878" w14:textId="77777777" w:rsidR="00591D54" w:rsidRDefault="00591D54">
      <w:pPr>
        <w:shd w:val="clear" w:color="auto" w:fill="FFFFFF"/>
        <w:tabs>
          <w:tab w:val="left" w:pos="584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- 255</w:t>
      </w:r>
    </w:p>
    <w:p w14:paraId="4F67B879" w14:textId="77777777" w:rsidR="00591D54" w:rsidRDefault="00591D54">
      <w:pPr>
        <w:shd w:val="clear" w:color="auto" w:fill="FFFFFF"/>
        <w:tabs>
          <w:tab w:val="left" w:pos="5842"/>
        </w:tabs>
        <w:spacing w:after="230"/>
        <w:ind w:left="5"/>
        <w:sectPr w:rsidR="00591D54">
          <w:pgSz w:w="11909" w:h="16834"/>
          <w:pgMar w:top="1356" w:right="1304" w:bottom="360" w:left="1308" w:header="720" w:footer="720" w:gutter="0"/>
          <w:cols w:space="60"/>
          <w:noEndnote/>
        </w:sectPr>
      </w:pPr>
    </w:p>
    <w:p w14:paraId="4F67B87A" w14:textId="77777777" w:rsidR="00591D54" w:rsidRDefault="00591D54">
      <w:pPr>
        <w:shd w:val="clear" w:color="auto" w:fill="FFFFFF"/>
        <w:spacing w:before="5" w:line="221" w:lineRule="exact"/>
        <w:jc w:val="both"/>
      </w:pPr>
      <w:r>
        <w:rPr>
          <w:spacing w:val="-3"/>
          <w:sz w:val="18"/>
          <w:szCs w:val="18"/>
          <w:lang w:val="es-ES_tradnl"/>
        </w:rPr>
        <w:t xml:space="preserve">Complementando la precitada norma, esta Corte </w:t>
      </w:r>
      <w:r>
        <w:rPr>
          <w:sz w:val="18"/>
          <w:szCs w:val="18"/>
          <w:lang w:val="es-ES_tradnl"/>
        </w:rPr>
        <w:t>Constitucional ha se</w:t>
      </w:r>
      <w:r>
        <w:rPr>
          <w:rFonts w:cs="Times New Roman"/>
          <w:sz w:val="18"/>
          <w:szCs w:val="18"/>
          <w:lang w:val="es-ES_tradnl"/>
        </w:rPr>
        <w:t>ñ</w:t>
      </w:r>
      <w:r>
        <w:rPr>
          <w:sz w:val="18"/>
          <w:szCs w:val="18"/>
          <w:lang w:val="es-ES_tradnl"/>
        </w:rPr>
        <w:t>alado que:</w:t>
      </w:r>
    </w:p>
    <w:p w14:paraId="4F67B87B" w14:textId="77777777" w:rsidR="00591D54" w:rsidRDefault="00591D54">
      <w:pPr>
        <w:shd w:val="clear" w:color="auto" w:fill="FFFFFF"/>
        <w:spacing w:before="206" w:line="221" w:lineRule="exact"/>
        <w:ind w:left="283" w:right="5"/>
        <w:jc w:val="both"/>
      </w:pPr>
      <w:r>
        <w:rPr>
          <w:spacing w:val="-3"/>
          <w:sz w:val="16"/>
          <w:szCs w:val="16"/>
          <w:lang w:val="es-ES_tradnl"/>
        </w:rPr>
        <w:t>A trav</w:t>
      </w:r>
      <w:r>
        <w:rPr>
          <w:rFonts w:cs="Times New Roman"/>
          <w:spacing w:val="-3"/>
          <w:sz w:val="16"/>
          <w:szCs w:val="16"/>
          <w:lang w:val="es-ES_tradnl"/>
        </w:rPr>
        <w:t>é</w:t>
      </w:r>
      <w:r>
        <w:rPr>
          <w:spacing w:val="-3"/>
          <w:sz w:val="16"/>
          <w:szCs w:val="16"/>
          <w:lang w:val="es-ES_tradnl"/>
        </w:rPr>
        <w:t xml:space="preserve">s de este derecho se crea un </w:t>
      </w:r>
      <w:r>
        <w:rPr>
          <w:rFonts w:cs="Times New Roman"/>
          <w:spacing w:val="-3"/>
          <w:sz w:val="16"/>
          <w:szCs w:val="16"/>
          <w:lang w:val="es-ES_tradnl"/>
        </w:rPr>
        <w:t>á</w:t>
      </w:r>
      <w:r>
        <w:rPr>
          <w:spacing w:val="-3"/>
          <w:sz w:val="16"/>
          <w:szCs w:val="16"/>
          <w:lang w:val="es-ES_tradnl"/>
        </w:rPr>
        <w:t xml:space="preserve">mbito de certeza y </w:t>
      </w:r>
      <w:r>
        <w:rPr>
          <w:spacing w:val="-11"/>
          <w:sz w:val="16"/>
          <w:szCs w:val="16"/>
          <w:lang w:val="es-ES_tradnl"/>
        </w:rPr>
        <w:t xml:space="preserve">confianza ciudadana respecto de las actuaciones de los poderes </w:t>
      </w:r>
      <w:r>
        <w:rPr>
          <w:spacing w:val="-8"/>
          <w:sz w:val="16"/>
          <w:szCs w:val="16"/>
          <w:lang w:val="es-ES_tradnl"/>
        </w:rPr>
        <w:t>p</w:t>
      </w:r>
      <w:r>
        <w:rPr>
          <w:rFonts w:cs="Times New Roman"/>
          <w:spacing w:val="-8"/>
          <w:sz w:val="16"/>
          <w:szCs w:val="16"/>
          <w:lang w:val="es-ES_tradnl"/>
        </w:rPr>
        <w:t>ú</w:t>
      </w:r>
      <w:r>
        <w:rPr>
          <w:spacing w:val="-8"/>
          <w:sz w:val="16"/>
          <w:szCs w:val="16"/>
          <w:lang w:val="es-ES_tradnl"/>
        </w:rPr>
        <w:t>blicos, pues se garantiza a las personas que toda actuaci</w:t>
      </w:r>
      <w:r>
        <w:rPr>
          <w:rFonts w:cs="Times New Roman"/>
          <w:spacing w:val="-8"/>
          <w:sz w:val="16"/>
          <w:szCs w:val="16"/>
          <w:lang w:val="es-ES_tradnl"/>
        </w:rPr>
        <w:t>ó</w:t>
      </w:r>
      <w:r>
        <w:rPr>
          <w:spacing w:val="-8"/>
          <w:sz w:val="16"/>
          <w:szCs w:val="16"/>
          <w:lang w:val="es-ES_tradnl"/>
        </w:rPr>
        <w:t xml:space="preserve">n </w:t>
      </w:r>
      <w:r>
        <w:rPr>
          <w:spacing w:val="-5"/>
          <w:sz w:val="16"/>
          <w:szCs w:val="16"/>
          <w:lang w:val="es-ES_tradnl"/>
        </w:rPr>
        <w:t>se realizar</w:t>
      </w:r>
      <w:r>
        <w:rPr>
          <w:rFonts w:cs="Times New Roman"/>
          <w:spacing w:val="-5"/>
          <w:sz w:val="16"/>
          <w:szCs w:val="16"/>
          <w:lang w:val="es-ES_tradnl"/>
        </w:rPr>
        <w:t>á</w:t>
      </w:r>
      <w:r>
        <w:rPr>
          <w:spacing w:val="-5"/>
          <w:sz w:val="16"/>
          <w:szCs w:val="16"/>
          <w:lang w:val="es-ES_tradnl"/>
        </w:rPr>
        <w:t xml:space="preserve"> acorde a la Constituci</w:t>
      </w:r>
      <w:r>
        <w:rPr>
          <w:rFonts w:cs="Times New Roman"/>
          <w:spacing w:val="-5"/>
          <w:sz w:val="16"/>
          <w:szCs w:val="16"/>
          <w:lang w:val="es-ES_tradnl"/>
        </w:rPr>
        <w:t>ó</w:t>
      </w:r>
      <w:r>
        <w:rPr>
          <w:spacing w:val="-5"/>
          <w:sz w:val="16"/>
          <w:szCs w:val="16"/>
          <w:lang w:val="es-ES_tradnl"/>
        </w:rPr>
        <w:t>n y a una normativa previamente establecida, que ser</w:t>
      </w:r>
      <w:r>
        <w:rPr>
          <w:rFonts w:cs="Times New Roman"/>
          <w:spacing w:val="-5"/>
          <w:sz w:val="16"/>
          <w:szCs w:val="16"/>
          <w:lang w:val="es-ES_tradnl"/>
        </w:rPr>
        <w:t>á</w:t>
      </w:r>
      <w:r>
        <w:rPr>
          <w:spacing w:val="-5"/>
          <w:sz w:val="16"/>
          <w:szCs w:val="16"/>
          <w:lang w:val="es-ES_tradnl"/>
        </w:rPr>
        <w:t xml:space="preserve"> aplicada </w:t>
      </w:r>
      <w:r>
        <w:rPr>
          <w:rFonts w:cs="Times New Roman"/>
          <w:spacing w:val="-5"/>
          <w:sz w:val="16"/>
          <w:szCs w:val="16"/>
          <w:lang w:val="es-ES_tradnl"/>
        </w:rPr>
        <w:t>ú</w:t>
      </w:r>
      <w:r>
        <w:rPr>
          <w:spacing w:val="-5"/>
          <w:sz w:val="16"/>
          <w:szCs w:val="16"/>
          <w:lang w:val="es-ES_tradnl"/>
        </w:rPr>
        <w:t xml:space="preserve">nicamente por </w:t>
      </w:r>
      <w:r>
        <w:rPr>
          <w:spacing w:val="-8"/>
          <w:sz w:val="16"/>
          <w:szCs w:val="16"/>
          <w:lang w:val="es-ES_tradnl"/>
        </w:rPr>
        <w:t>las autoridades competentes para el efecto. Esta garant</w:t>
      </w:r>
      <w:r>
        <w:rPr>
          <w:rFonts w:cs="Times New Roman"/>
          <w:spacing w:val="-8"/>
          <w:sz w:val="16"/>
          <w:szCs w:val="16"/>
          <w:lang w:val="es-ES_tradnl"/>
        </w:rPr>
        <w:t>í</w:t>
      </w:r>
      <w:r>
        <w:rPr>
          <w:spacing w:val="-8"/>
          <w:sz w:val="16"/>
          <w:szCs w:val="16"/>
          <w:lang w:val="es-ES_tradnl"/>
        </w:rPr>
        <w:t xml:space="preserve">a </w:t>
      </w:r>
      <w:r>
        <w:rPr>
          <w:spacing w:val="-3"/>
          <w:sz w:val="16"/>
          <w:szCs w:val="16"/>
          <w:lang w:val="es-ES_tradnl"/>
        </w:rPr>
        <w:t xml:space="preserve">constitucional debe ser entendida, por tanto, como uno de </w:t>
      </w:r>
      <w:r>
        <w:rPr>
          <w:spacing w:val="-8"/>
          <w:sz w:val="16"/>
          <w:szCs w:val="16"/>
          <w:lang w:val="es-ES_tradnl"/>
        </w:rPr>
        <w:t xml:space="preserve">los deberes fundamentales del Estado y, en consecuencia, corresponde a los jueces brindar, en todo momento, la certeza al ciudadano respecto de las actuaciones que, en derecho, se </w:t>
      </w:r>
      <w:r>
        <w:rPr>
          <w:sz w:val="16"/>
          <w:szCs w:val="16"/>
          <w:lang w:val="es-ES_tradnl"/>
        </w:rPr>
        <w:t>efect</w:t>
      </w:r>
      <w:r>
        <w:rPr>
          <w:rFonts w:cs="Times New Roman"/>
          <w:sz w:val="16"/>
          <w:szCs w:val="16"/>
          <w:lang w:val="es-ES_tradnl"/>
        </w:rPr>
        <w:t>ú</w:t>
      </w:r>
      <w:r>
        <w:rPr>
          <w:sz w:val="16"/>
          <w:szCs w:val="16"/>
          <w:lang w:val="es-ES_tradnl"/>
        </w:rPr>
        <w:t>an en cada momento procesal</w:t>
      </w:r>
      <w:r>
        <w:rPr>
          <w:sz w:val="16"/>
          <w:szCs w:val="16"/>
          <w:vertAlign w:val="superscript"/>
          <w:lang w:val="es-ES_tradnl"/>
        </w:rPr>
        <w:t>1</w:t>
      </w:r>
      <w:r>
        <w:rPr>
          <w:sz w:val="16"/>
          <w:szCs w:val="16"/>
          <w:lang w:val="es-ES_tradnl"/>
        </w:rPr>
        <w:t>.</w:t>
      </w:r>
    </w:p>
    <w:p w14:paraId="4F67B87C" w14:textId="77777777" w:rsidR="00591D54" w:rsidRDefault="00591D54">
      <w:pPr>
        <w:shd w:val="clear" w:color="auto" w:fill="FFFFFF"/>
        <w:spacing w:before="206" w:line="221" w:lineRule="exact"/>
        <w:ind w:right="5"/>
        <w:jc w:val="both"/>
      </w:pPr>
      <w:r>
        <w:rPr>
          <w:spacing w:val="-8"/>
          <w:sz w:val="18"/>
          <w:szCs w:val="18"/>
          <w:lang w:val="es-ES_tradnl"/>
        </w:rPr>
        <w:t>En este contexto, el derecho a la seguridad jur</w:t>
      </w:r>
      <w:r>
        <w:rPr>
          <w:rFonts w:cs="Times New Roman"/>
          <w:spacing w:val="-8"/>
          <w:sz w:val="18"/>
          <w:szCs w:val="18"/>
          <w:lang w:val="es-ES_tradnl"/>
        </w:rPr>
        <w:t>í</w:t>
      </w:r>
      <w:r>
        <w:rPr>
          <w:spacing w:val="-8"/>
          <w:sz w:val="18"/>
          <w:szCs w:val="18"/>
          <w:lang w:val="es-ES_tradnl"/>
        </w:rPr>
        <w:t xml:space="preserve">dica permite </w:t>
      </w:r>
      <w:r>
        <w:rPr>
          <w:spacing w:val="-7"/>
          <w:sz w:val="18"/>
          <w:szCs w:val="18"/>
          <w:lang w:val="es-ES_tradnl"/>
        </w:rPr>
        <w:t>que el sistema jur</w:t>
      </w:r>
      <w:r>
        <w:rPr>
          <w:rFonts w:cs="Times New Roman"/>
          <w:spacing w:val="-7"/>
          <w:sz w:val="18"/>
          <w:szCs w:val="18"/>
          <w:lang w:val="es-ES_tradnl"/>
        </w:rPr>
        <w:t>í</w:t>
      </w:r>
      <w:r>
        <w:rPr>
          <w:spacing w:val="-7"/>
          <w:sz w:val="18"/>
          <w:szCs w:val="18"/>
          <w:lang w:val="es-ES_tradnl"/>
        </w:rPr>
        <w:t>dico otorgue una soluci</w:t>
      </w:r>
      <w:r>
        <w:rPr>
          <w:rFonts w:cs="Times New Roman"/>
          <w:spacing w:val="-7"/>
          <w:sz w:val="18"/>
          <w:szCs w:val="18"/>
          <w:lang w:val="es-ES_tradnl"/>
        </w:rPr>
        <w:t>ó</w:t>
      </w:r>
      <w:r>
        <w:rPr>
          <w:spacing w:val="-7"/>
          <w:sz w:val="18"/>
          <w:szCs w:val="18"/>
          <w:lang w:val="es-ES_tradnl"/>
        </w:rPr>
        <w:t xml:space="preserve">n concreta a los </w:t>
      </w:r>
      <w:r>
        <w:rPr>
          <w:spacing w:val="-8"/>
          <w:sz w:val="18"/>
          <w:szCs w:val="18"/>
          <w:lang w:val="es-ES_tradnl"/>
        </w:rPr>
        <w:t>diferentes casos f</w:t>
      </w:r>
      <w:r>
        <w:rPr>
          <w:rFonts w:cs="Times New Roman"/>
          <w:spacing w:val="-8"/>
          <w:sz w:val="18"/>
          <w:szCs w:val="18"/>
          <w:lang w:val="es-ES_tradnl"/>
        </w:rPr>
        <w:t>á</w:t>
      </w:r>
      <w:r>
        <w:rPr>
          <w:spacing w:val="-8"/>
          <w:sz w:val="18"/>
          <w:szCs w:val="18"/>
          <w:lang w:val="es-ES_tradnl"/>
        </w:rPr>
        <w:t>cticos, siendo por ello una obligaci</w:t>
      </w:r>
      <w:r>
        <w:rPr>
          <w:rFonts w:cs="Times New Roman"/>
          <w:spacing w:val="-8"/>
          <w:sz w:val="18"/>
          <w:szCs w:val="18"/>
          <w:lang w:val="es-ES_tradnl"/>
        </w:rPr>
        <w:t>ó</w:t>
      </w:r>
      <w:r>
        <w:rPr>
          <w:spacing w:val="-8"/>
          <w:sz w:val="18"/>
          <w:szCs w:val="18"/>
          <w:lang w:val="es-ES_tradnl"/>
        </w:rPr>
        <w:t xml:space="preserve">n de </w:t>
      </w:r>
      <w:r>
        <w:rPr>
          <w:spacing w:val="-9"/>
          <w:sz w:val="18"/>
          <w:szCs w:val="18"/>
          <w:lang w:val="es-ES_tradnl"/>
        </w:rPr>
        <w:t xml:space="preserve">las autoridades competentes ajustar sus actuaciones a las </w:t>
      </w:r>
      <w:r>
        <w:rPr>
          <w:spacing w:val="-8"/>
          <w:sz w:val="18"/>
          <w:szCs w:val="18"/>
          <w:lang w:val="es-ES_tradnl"/>
        </w:rPr>
        <w:t xml:space="preserve">disposiciones constitucionales y legales aplicables en cada </w:t>
      </w:r>
      <w:r>
        <w:rPr>
          <w:spacing w:val="-9"/>
          <w:sz w:val="18"/>
          <w:szCs w:val="18"/>
          <w:lang w:val="es-ES_tradnl"/>
        </w:rPr>
        <w:t xml:space="preserve">caso, a fin de evitar posibles arbitrariedades al momento de </w:t>
      </w:r>
      <w:r>
        <w:rPr>
          <w:sz w:val="18"/>
          <w:szCs w:val="18"/>
          <w:lang w:val="es-ES_tradnl"/>
        </w:rPr>
        <w:t>emitir sus decisiones.</w:t>
      </w:r>
    </w:p>
    <w:p w14:paraId="4F67B87D" w14:textId="77777777" w:rsidR="00591D54" w:rsidRDefault="00591D54">
      <w:pPr>
        <w:shd w:val="clear" w:color="auto" w:fill="FFFFFF"/>
        <w:spacing w:before="206" w:line="221" w:lineRule="exact"/>
        <w:ind w:right="5"/>
        <w:jc w:val="both"/>
      </w:pPr>
      <w:r>
        <w:rPr>
          <w:spacing w:val="-8"/>
          <w:sz w:val="18"/>
          <w:szCs w:val="18"/>
          <w:lang w:val="es-ES_tradnl"/>
        </w:rPr>
        <w:t>Cabe puntualizar que la seguridad jur</w:t>
      </w:r>
      <w:r>
        <w:rPr>
          <w:rFonts w:cs="Times New Roman"/>
          <w:spacing w:val="-8"/>
          <w:sz w:val="18"/>
          <w:szCs w:val="18"/>
          <w:lang w:val="es-ES_tradnl"/>
        </w:rPr>
        <w:t>í</w:t>
      </w:r>
      <w:r>
        <w:rPr>
          <w:spacing w:val="-8"/>
          <w:sz w:val="18"/>
          <w:szCs w:val="18"/>
          <w:lang w:val="es-ES_tradnl"/>
        </w:rPr>
        <w:t>dica guarda relaci</w:t>
      </w:r>
      <w:r>
        <w:rPr>
          <w:rFonts w:cs="Times New Roman"/>
          <w:spacing w:val="-8"/>
          <w:sz w:val="18"/>
          <w:szCs w:val="18"/>
          <w:lang w:val="es-ES_tradnl"/>
        </w:rPr>
        <w:t>ó</w:t>
      </w:r>
      <w:r>
        <w:rPr>
          <w:spacing w:val="-8"/>
          <w:sz w:val="18"/>
          <w:szCs w:val="18"/>
          <w:lang w:val="es-ES_tradnl"/>
        </w:rPr>
        <w:t>n directa en cuanto al cumplimiento de las garant</w:t>
      </w:r>
      <w:r>
        <w:rPr>
          <w:rFonts w:cs="Times New Roman"/>
          <w:spacing w:val="-8"/>
          <w:sz w:val="18"/>
          <w:szCs w:val="18"/>
          <w:lang w:val="es-ES_tradnl"/>
        </w:rPr>
        <w:t>í</w:t>
      </w:r>
      <w:r>
        <w:rPr>
          <w:spacing w:val="-8"/>
          <w:sz w:val="18"/>
          <w:szCs w:val="18"/>
          <w:lang w:val="es-ES_tradnl"/>
        </w:rPr>
        <w:t>as b</w:t>
      </w:r>
      <w:r>
        <w:rPr>
          <w:rFonts w:cs="Times New Roman"/>
          <w:spacing w:val="-8"/>
          <w:sz w:val="18"/>
          <w:szCs w:val="18"/>
          <w:lang w:val="es-ES_tradnl"/>
        </w:rPr>
        <w:t>á</w:t>
      </w:r>
      <w:r>
        <w:rPr>
          <w:spacing w:val="-8"/>
          <w:sz w:val="18"/>
          <w:szCs w:val="18"/>
          <w:lang w:val="es-ES_tradnl"/>
        </w:rPr>
        <w:t xml:space="preserve">sicas </w:t>
      </w:r>
      <w:r>
        <w:rPr>
          <w:spacing w:val="-13"/>
          <w:sz w:val="18"/>
          <w:szCs w:val="18"/>
          <w:lang w:val="es-ES_tradnl"/>
        </w:rPr>
        <w:t>que prev</w:t>
      </w:r>
      <w:r>
        <w:rPr>
          <w:rFonts w:cs="Times New Roman"/>
          <w:spacing w:val="-13"/>
          <w:sz w:val="18"/>
          <w:szCs w:val="18"/>
          <w:lang w:val="es-ES_tradnl"/>
        </w:rPr>
        <w:t>é</w:t>
      </w:r>
      <w:r>
        <w:rPr>
          <w:spacing w:val="-13"/>
          <w:sz w:val="18"/>
          <w:szCs w:val="18"/>
          <w:lang w:val="es-ES_tradnl"/>
        </w:rPr>
        <w:t xml:space="preserve"> la Constituci</w:t>
      </w:r>
      <w:r>
        <w:rPr>
          <w:rFonts w:cs="Times New Roman"/>
          <w:spacing w:val="-13"/>
          <w:sz w:val="18"/>
          <w:szCs w:val="18"/>
          <w:lang w:val="es-ES_tradnl"/>
        </w:rPr>
        <w:t>ó</w:t>
      </w:r>
      <w:r>
        <w:rPr>
          <w:spacing w:val="-13"/>
          <w:sz w:val="18"/>
          <w:szCs w:val="18"/>
          <w:lang w:val="es-ES_tradnl"/>
        </w:rPr>
        <w:t xml:space="preserve">n, mismas que han de ser observadas </w:t>
      </w:r>
      <w:r>
        <w:rPr>
          <w:spacing w:val="-3"/>
          <w:sz w:val="18"/>
          <w:szCs w:val="18"/>
          <w:lang w:val="es-ES_tradnl"/>
        </w:rPr>
        <w:t>en la tramitaci</w:t>
      </w:r>
      <w:r>
        <w:rPr>
          <w:rFonts w:cs="Times New Roman"/>
          <w:spacing w:val="-3"/>
          <w:sz w:val="18"/>
          <w:szCs w:val="18"/>
          <w:lang w:val="es-ES_tradnl"/>
        </w:rPr>
        <w:t>ó</w:t>
      </w:r>
      <w:r>
        <w:rPr>
          <w:spacing w:val="-3"/>
          <w:sz w:val="18"/>
          <w:szCs w:val="18"/>
          <w:lang w:val="es-ES_tradnl"/>
        </w:rPr>
        <w:t xml:space="preserve">n de un proceso, sea administrativo o </w:t>
      </w:r>
      <w:r>
        <w:rPr>
          <w:spacing w:val="-5"/>
          <w:sz w:val="18"/>
          <w:szCs w:val="18"/>
          <w:lang w:val="es-ES_tradnl"/>
        </w:rPr>
        <w:t>judicial y que se encuentra contenida en el art</w:t>
      </w:r>
      <w:r>
        <w:rPr>
          <w:rFonts w:cs="Times New Roman"/>
          <w:spacing w:val="-5"/>
          <w:sz w:val="18"/>
          <w:szCs w:val="18"/>
          <w:lang w:val="es-ES_tradnl"/>
        </w:rPr>
        <w:t>í</w:t>
      </w:r>
      <w:r>
        <w:rPr>
          <w:spacing w:val="-5"/>
          <w:sz w:val="18"/>
          <w:szCs w:val="18"/>
          <w:lang w:val="es-ES_tradnl"/>
        </w:rPr>
        <w:t xml:space="preserve">culo 76 </w:t>
      </w:r>
      <w:r>
        <w:rPr>
          <w:spacing w:val="-6"/>
          <w:sz w:val="18"/>
          <w:szCs w:val="18"/>
          <w:lang w:val="es-ES_tradnl"/>
        </w:rPr>
        <w:t xml:space="preserve">numeral 1 que prescribe: </w:t>
      </w:r>
      <w:r>
        <w:rPr>
          <w:rFonts w:cs="Times New Roman"/>
          <w:spacing w:val="-6"/>
          <w:sz w:val="18"/>
          <w:szCs w:val="18"/>
          <w:lang w:val="es-ES_tradnl"/>
        </w:rPr>
        <w:t>“</w:t>
      </w:r>
      <w:r>
        <w:rPr>
          <w:spacing w:val="-6"/>
          <w:sz w:val="18"/>
          <w:szCs w:val="18"/>
          <w:lang w:val="es-ES_tradnl"/>
        </w:rPr>
        <w:t xml:space="preserve">Corresponde a toda autoridad </w:t>
      </w:r>
      <w:r>
        <w:rPr>
          <w:spacing w:val="-1"/>
          <w:sz w:val="18"/>
          <w:szCs w:val="18"/>
          <w:lang w:val="es-ES_tradnl"/>
        </w:rPr>
        <w:t xml:space="preserve">administrativa o judicial garantizar el cumplimiento de </w:t>
      </w:r>
      <w:r>
        <w:rPr>
          <w:spacing w:val="-5"/>
          <w:sz w:val="18"/>
          <w:szCs w:val="18"/>
          <w:lang w:val="es-ES_tradnl"/>
        </w:rPr>
        <w:t>las normas y los derechos de las partes</w:t>
      </w:r>
      <w:r>
        <w:rPr>
          <w:rFonts w:cs="Times New Roman"/>
          <w:spacing w:val="-5"/>
          <w:sz w:val="18"/>
          <w:szCs w:val="18"/>
          <w:lang w:val="es-ES_tradnl"/>
        </w:rPr>
        <w:t>”</w:t>
      </w:r>
      <w:r>
        <w:rPr>
          <w:spacing w:val="-5"/>
          <w:sz w:val="18"/>
          <w:szCs w:val="18"/>
          <w:lang w:val="es-ES_tradnl"/>
        </w:rPr>
        <w:t xml:space="preserve">. Es por ello que </w:t>
      </w:r>
      <w:r>
        <w:rPr>
          <w:spacing w:val="-8"/>
          <w:sz w:val="18"/>
          <w:szCs w:val="18"/>
          <w:lang w:val="es-ES_tradnl"/>
        </w:rPr>
        <w:t>el derecho al debido proceso y el derecho a la seguridad jur</w:t>
      </w:r>
      <w:r>
        <w:rPr>
          <w:rFonts w:cs="Times New Roman"/>
          <w:spacing w:val="-8"/>
          <w:sz w:val="18"/>
          <w:szCs w:val="18"/>
          <w:lang w:val="es-ES_tradnl"/>
        </w:rPr>
        <w:t>í</w:t>
      </w:r>
      <w:r>
        <w:rPr>
          <w:spacing w:val="-8"/>
          <w:sz w:val="18"/>
          <w:szCs w:val="18"/>
          <w:lang w:val="es-ES_tradnl"/>
        </w:rPr>
        <w:t xml:space="preserve">dica son interdependientes, lo cual genera confiabilidad </w:t>
      </w:r>
      <w:r>
        <w:rPr>
          <w:spacing w:val="-7"/>
          <w:sz w:val="18"/>
          <w:szCs w:val="18"/>
          <w:lang w:val="es-ES_tradnl"/>
        </w:rPr>
        <w:t>y respeto en el orden jur</w:t>
      </w:r>
      <w:r>
        <w:rPr>
          <w:rFonts w:cs="Times New Roman"/>
          <w:spacing w:val="-7"/>
          <w:sz w:val="18"/>
          <w:szCs w:val="18"/>
          <w:lang w:val="es-ES_tradnl"/>
        </w:rPr>
        <w:t>í</w:t>
      </w:r>
      <w:r>
        <w:rPr>
          <w:spacing w:val="-7"/>
          <w:sz w:val="18"/>
          <w:szCs w:val="18"/>
          <w:lang w:val="es-ES_tradnl"/>
        </w:rPr>
        <w:t>dico ecuatoriano.</w:t>
      </w:r>
    </w:p>
    <w:p w14:paraId="4F67B87E" w14:textId="77777777" w:rsidR="00591D54" w:rsidRDefault="00591D54">
      <w:pPr>
        <w:shd w:val="clear" w:color="auto" w:fill="FFFFFF"/>
        <w:spacing w:before="202" w:line="226" w:lineRule="exact"/>
        <w:jc w:val="both"/>
      </w:pPr>
      <w:r>
        <w:rPr>
          <w:spacing w:val="-10"/>
          <w:sz w:val="18"/>
          <w:szCs w:val="18"/>
          <w:lang w:val="es-ES_tradnl"/>
        </w:rPr>
        <w:t>As</w:t>
      </w:r>
      <w:r>
        <w:rPr>
          <w:rFonts w:cs="Times New Roman"/>
          <w:spacing w:val="-10"/>
          <w:sz w:val="18"/>
          <w:szCs w:val="18"/>
          <w:lang w:val="es-ES_tradnl"/>
        </w:rPr>
        <w:t>í</w:t>
      </w:r>
      <w:r>
        <w:rPr>
          <w:spacing w:val="-10"/>
          <w:sz w:val="18"/>
          <w:szCs w:val="18"/>
          <w:lang w:val="es-ES_tradnl"/>
        </w:rPr>
        <w:t xml:space="preserve"> lo se</w:t>
      </w:r>
      <w:r>
        <w:rPr>
          <w:rFonts w:cs="Times New Roman"/>
          <w:spacing w:val="-10"/>
          <w:sz w:val="18"/>
          <w:szCs w:val="18"/>
          <w:lang w:val="es-ES_tradnl"/>
        </w:rPr>
        <w:t>ñ</w:t>
      </w:r>
      <w:r>
        <w:rPr>
          <w:spacing w:val="-10"/>
          <w:sz w:val="18"/>
          <w:szCs w:val="18"/>
          <w:lang w:val="es-ES_tradnl"/>
        </w:rPr>
        <w:t>al</w:t>
      </w:r>
      <w:r>
        <w:rPr>
          <w:rFonts w:cs="Times New Roman"/>
          <w:spacing w:val="-10"/>
          <w:sz w:val="18"/>
          <w:szCs w:val="18"/>
          <w:lang w:val="es-ES_tradnl"/>
        </w:rPr>
        <w:t>ó</w:t>
      </w:r>
      <w:r>
        <w:rPr>
          <w:spacing w:val="-10"/>
          <w:sz w:val="18"/>
          <w:szCs w:val="18"/>
          <w:lang w:val="es-ES_tradnl"/>
        </w:rPr>
        <w:t xml:space="preserve"> en su debido momento la Corte Constitucional, </w:t>
      </w:r>
      <w:r>
        <w:rPr>
          <w:spacing w:val="-6"/>
          <w:sz w:val="18"/>
          <w:szCs w:val="18"/>
          <w:lang w:val="es-ES_tradnl"/>
        </w:rPr>
        <w:t>para el per</w:t>
      </w:r>
      <w:r>
        <w:rPr>
          <w:rFonts w:cs="Times New Roman"/>
          <w:spacing w:val="-6"/>
          <w:sz w:val="18"/>
          <w:szCs w:val="18"/>
          <w:lang w:val="es-ES_tradnl"/>
        </w:rPr>
        <w:t>í</w:t>
      </w:r>
      <w:r>
        <w:rPr>
          <w:spacing w:val="-6"/>
          <w:sz w:val="18"/>
          <w:szCs w:val="18"/>
          <w:lang w:val="es-ES_tradnl"/>
        </w:rPr>
        <w:t>odo de transici</w:t>
      </w:r>
      <w:r>
        <w:rPr>
          <w:rFonts w:cs="Times New Roman"/>
          <w:spacing w:val="-6"/>
          <w:sz w:val="18"/>
          <w:szCs w:val="18"/>
          <w:lang w:val="es-ES_tradnl"/>
        </w:rPr>
        <w:t>ó</w:t>
      </w:r>
      <w:r>
        <w:rPr>
          <w:spacing w:val="-6"/>
          <w:sz w:val="18"/>
          <w:szCs w:val="18"/>
          <w:lang w:val="es-ES_tradnl"/>
        </w:rPr>
        <w:t>n, mediante sentencia N.</w:t>
      </w:r>
      <w:r>
        <w:rPr>
          <w:rFonts w:cs="Times New Roman"/>
          <w:spacing w:val="-6"/>
          <w:sz w:val="18"/>
          <w:szCs w:val="18"/>
          <w:lang w:val="es-ES_tradnl"/>
        </w:rPr>
        <w:t xml:space="preserve">° </w:t>
      </w:r>
      <w:r>
        <w:rPr>
          <w:sz w:val="18"/>
          <w:szCs w:val="18"/>
          <w:lang w:val="es-ES_tradnl"/>
        </w:rPr>
        <w:t>227-12-SEP-CC, al se</w:t>
      </w:r>
      <w:r>
        <w:rPr>
          <w:rFonts w:cs="Times New Roman"/>
          <w:sz w:val="18"/>
          <w:szCs w:val="18"/>
          <w:lang w:val="es-ES_tradnl"/>
        </w:rPr>
        <w:t>ñ</w:t>
      </w:r>
      <w:r>
        <w:rPr>
          <w:sz w:val="18"/>
          <w:szCs w:val="18"/>
          <w:lang w:val="es-ES_tradnl"/>
        </w:rPr>
        <w:t>alar:</w:t>
      </w:r>
    </w:p>
    <w:p w14:paraId="4F67B87F" w14:textId="77777777" w:rsidR="00591D54" w:rsidRDefault="00591D54">
      <w:pPr>
        <w:shd w:val="clear" w:color="auto" w:fill="FFFFFF"/>
        <w:spacing w:before="211" w:line="221" w:lineRule="exact"/>
        <w:ind w:left="283"/>
        <w:jc w:val="both"/>
      </w:pPr>
      <w:r>
        <w:rPr>
          <w:spacing w:val="-4"/>
          <w:sz w:val="16"/>
          <w:szCs w:val="16"/>
          <w:lang w:val="es-ES_tradnl"/>
        </w:rPr>
        <w:t>Los art</w:t>
      </w:r>
      <w:r>
        <w:rPr>
          <w:rFonts w:cs="Times New Roman"/>
          <w:spacing w:val="-4"/>
          <w:sz w:val="16"/>
          <w:szCs w:val="16"/>
          <w:lang w:val="es-ES_tradnl"/>
        </w:rPr>
        <w:t>í</w:t>
      </w:r>
      <w:r>
        <w:rPr>
          <w:spacing w:val="-4"/>
          <w:sz w:val="16"/>
          <w:szCs w:val="16"/>
          <w:lang w:val="es-ES_tradnl"/>
        </w:rPr>
        <w:t>culos citados (76.1 y 82 de la Constituci</w:t>
      </w:r>
      <w:r>
        <w:rPr>
          <w:rFonts w:cs="Times New Roman"/>
          <w:spacing w:val="-4"/>
          <w:sz w:val="16"/>
          <w:szCs w:val="16"/>
          <w:lang w:val="es-ES_tradnl"/>
        </w:rPr>
        <w:t>ó</w:t>
      </w:r>
      <w:r>
        <w:rPr>
          <w:spacing w:val="-4"/>
          <w:sz w:val="16"/>
          <w:szCs w:val="16"/>
          <w:lang w:val="es-ES_tradnl"/>
        </w:rPr>
        <w:t xml:space="preserve">n de la </w:t>
      </w:r>
      <w:r>
        <w:rPr>
          <w:spacing w:val="-6"/>
          <w:sz w:val="16"/>
          <w:szCs w:val="16"/>
          <w:lang w:val="es-ES_tradnl"/>
        </w:rPr>
        <w:t>Rep</w:t>
      </w:r>
      <w:r>
        <w:rPr>
          <w:rFonts w:cs="Times New Roman"/>
          <w:spacing w:val="-6"/>
          <w:sz w:val="16"/>
          <w:szCs w:val="16"/>
          <w:lang w:val="es-ES_tradnl"/>
        </w:rPr>
        <w:t>ú</w:t>
      </w:r>
      <w:r>
        <w:rPr>
          <w:spacing w:val="-6"/>
          <w:sz w:val="16"/>
          <w:szCs w:val="16"/>
          <w:lang w:val="es-ES_tradnl"/>
        </w:rPr>
        <w:t>blica) emplazan como condici</w:t>
      </w:r>
      <w:r>
        <w:rPr>
          <w:rFonts w:cs="Times New Roman"/>
          <w:spacing w:val="-6"/>
          <w:sz w:val="16"/>
          <w:szCs w:val="16"/>
          <w:lang w:val="es-ES_tradnl"/>
        </w:rPr>
        <w:t>ó</w:t>
      </w:r>
      <w:r>
        <w:rPr>
          <w:spacing w:val="-6"/>
          <w:sz w:val="16"/>
          <w:szCs w:val="16"/>
          <w:lang w:val="es-ES_tradnl"/>
        </w:rPr>
        <w:t xml:space="preserve">n necesaria para la </w:t>
      </w:r>
      <w:r>
        <w:rPr>
          <w:spacing w:val="-4"/>
          <w:sz w:val="16"/>
          <w:szCs w:val="16"/>
          <w:lang w:val="es-ES_tradnl"/>
        </w:rPr>
        <w:t>satisfacci</w:t>
      </w:r>
      <w:r>
        <w:rPr>
          <w:rFonts w:cs="Times New Roman"/>
          <w:spacing w:val="-4"/>
          <w:sz w:val="16"/>
          <w:szCs w:val="16"/>
          <w:lang w:val="es-ES_tradnl"/>
        </w:rPr>
        <w:t>ó</w:t>
      </w:r>
      <w:r>
        <w:rPr>
          <w:spacing w:val="-4"/>
          <w:sz w:val="16"/>
          <w:szCs w:val="16"/>
          <w:lang w:val="es-ES_tradnl"/>
        </w:rPr>
        <w:t>n del principio de seguridad jur</w:t>
      </w:r>
      <w:r>
        <w:rPr>
          <w:rFonts w:cs="Times New Roman"/>
          <w:spacing w:val="-4"/>
          <w:sz w:val="16"/>
          <w:szCs w:val="16"/>
          <w:lang w:val="es-ES_tradnl"/>
        </w:rPr>
        <w:t>í</w:t>
      </w:r>
      <w:r>
        <w:rPr>
          <w:spacing w:val="-4"/>
          <w:sz w:val="16"/>
          <w:szCs w:val="16"/>
          <w:lang w:val="es-ES_tradnl"/>
        </w:rPr>
        <w:t xml:space="preserve">dica y el debido </w:t>
      </w:r>
      <w:r>
        <w:rPr>
          <w:spacing w:val="-6"/>
          <w:sz w:val="16"/>
          <w:szCs w:val="16"/>
          <w:lang w:val="es-ES_tradnl"/>
        </w:rPr>
        <w:t xml:space="preserve">proceso, la preexistencia y estabilidad de las prescripciones </w:t>
      </w:r>
      <w:r>
        <w:rPr>
          <w:spacing w:val="-4"/>
          <w:sz w:val="16"/>
          <w:szCs w:val="16"/>
          <w:lang w:val="es-ES_tradnl"/>
        </w:rPr>
        <w:t>normativas que componen el ordenamiento jur</w:t>
      </w:r>
      <w:r>
        <w:rPr>
          <w:rFonts w:cs="Times New Roman"/>
          <w:spacing w:val="-4"/>
          <w:sz w:val="16"/>
          <w:szCs w:val="16"/>
          <w:lang w:val="es-ES_tradnl"/>
        </w:rPr>
        <w:t>í</w:t>
      </w:r>
      <w:r>
        <w:rPr>
          <w:spacing w:val="-4"/>
          <w:sz w:val="16"/>
          <w:szCs w:val="16"/>
          <w:lang w:val="es-ES_tradnl"/>
        </w:rPr>
        <w:t>dico; tanto desde la perspectiva de su vigencia, como de su aplicaci</w:t>
      </w:r>
      <w:r>
        <w:rPr>
          <w:rFonts w:cs="Times New Roman"/>
          <w:spacing w:val="-4"/>
          <w:sz w:val="16"/>
          <w:szCs w:val="16"/>
          <w:lang w:val="es-ES_tradnl"/>
        </w:rPr>
        <w:t>ó</w:t>
      </w:r>
      <w:r>
        <w:rPr>
          <w:spacing w:val="-4"/>
          <w:sz w:val="16"/>
          <w:szCs w:val="16"/>
          <w:lang w:val="es-ES_tradnl"/>
        </w:rPr>
        <w:t xml:space="preserve">n </w:t>
      </w:r>
      <w:r>
        <w:rPr>
          <w:spacing w:val="-3"/>
          <w:sz w:val="16"/>
          <w:szCs w:val="16"/>
          <w:lang w:val="es-ES_tradnl"/>
        </w:rPr>
        <w:t>a casos concretos. Tambi</w:t>
      </w:r>
      <w:r>
        <w:rPr>
          <w:rFonts w:cs="Times New Roman"/>
          <w:spacing w:val="-3"/>
          <w:sz w:val="16"/>
          <w:szCs w:val="16"/>
          <w:lang w:val="es-ES_tradnl"/>
        </w:rPr>
        <w:t>é</w:t>
      </w:r>
      <w:r>
        <w:rPr>
          <w:spacing w:val="-3"/>
          <w:sz w:val="16"/>
          <w:szCs w:val="16"/>
          <w:lang w:val="es-ES_tradnl"/>
        </w:rPr>
        <w:t>n, los principios involucrados remiten a la coherencia interna de las normas jur</w:t>
      </w:r>
      <w:r>
        <w:rPr>
          <w:rFonts w:cs="Times New Roman"/>
          <w:spacing w:val="-3"/>
          <w:sz w:val="16"/>
          <w:szCs w:val="16"/>
          <w:lang w:val="es-ES_tradnl"/>
        </w:rPr>
        <w:t>í</w:t>
      </w:r>
      <w:r>
        <w:rPr>
          <w:spacing w:val="-3"/>
          <w:sz w:val="16"/>
          <w:szCs w:val="16"/>
          <w:lang w:val="es-ES_tradnl"/>
        </w:rPr>
        <w:t xml:space="preserve">dicas; si </w:t>
      </w:r>
      <w:r>
        <w:rPr>
          <w:spacing w:val="-7"/>
          <w:sz w:val="16"/>
          <w:szCs w:val="16"/>
          <w:lang w:val="es-ES_tradnl"/>
        </w:rPr>
        <w:t>bien no completamente posible desde una visi</w:t>
      </w:r>
      <w:r>
        <w:rPr>
          <w:rFonts w:cs="Times New Roman"/>
          <w:spacing w:val="-7"/>
          <w:sz w:val="16"/>
          <w:szCs w:val="16"/>
          <w:lang w:val="es-ES_tradnl"/>
        </w:rPr>
        <w:t>ó</w:t>
      </w:r>
      <w:r>
        <w:rPr>
          <w:spacing w:val="-7"/>
          <w:sz w:val="16"/>
          <w:szCs w:val="16"/>
          <w:lang w:val="es-ES_tradnl"/>
        </w:rPr>
        <w:t>n est</w:t>
      </w:r>
      <w:r>
        <w:rPr>
          <w:rFonts w:cs="Times New Roman"/>
          <w:spacing w:val="-7"/>
          <w:sz w:val="16"/>
          <w:szCs w:val="16"/>
          <w:lang w:val="es-ES_tradnl"/>
        </w:rPr>
        <w:t>á</w:t>
      </w:r>
      <w:r>
        <w:rPr>
          <w:spacing w:val="-7"/>
          <w:sz w:val="16"/>
          <w:szCs w:val="16"/>
          <w:lang w:val="es-ES_tradnl"/>
        </w:rPr>
        <w:t xml:space="preserve">tica del </w:t>
      </w:r>
      <w:r>
        <w:rPr>
          <w:spacing w:val="-9"/>
          <w:sz w:val="16"/>
          <w:szCs w:val="16"/>
          <w:lang w:val="es-ES_tradnl"/>
        </w:rPr>
        <w:t>ordenamiento jur</w:t>
      </w:r>
      <w:r>
        <w:rPr>
          <w:rFonts w:cs="Times New Roman"/>
          <w:spacing w:val="-9"/>
          <w:sz w:val="16"/>
          <w:szCs w:val="16"/>
          <w:lang w:val="es-ES_tradnl"/>
        </w:rPr>
        <w:t>í</w:t>
      </w:r>
      <w:r>
        <w:rPr>
          <w:spacing w:val="-9"/>
          <w:sz w:val="16"/>
          <w:szCs w:val="16"/>
          <w:lang w:val="es-ES_tradnl"/>
        </w:rPr>
        <w:t>dico, s</w:t>
      </w:r>
      <w:r>
        <w:rPr>
          <w:rFonts w:cs="Times New Roman"/>
          <w:spacing w:val="-9"/>
          <w:sz w:val="16"/>
          <w:szCs w:val="16"/>
          <w:lang w:val="es-ES_tradnl"/>
        </w:rPr>
        <w:t>í</w:t>
      </w:r>
      <w:r>
        <w:rPr>
          <w:spacing w:val="-9"/>
          <w:sz w:val="16"/>
          <w:szCs w:val="16"/>
          <w:lang w:val="es-ES_tradnl"/>
        </w:rPr>
        <w:t xml:space="preserve"> alcanzable por medio de mecanismos </w:t>
      </w:r>
      <w:r>
        <w:rPr>
          <w:spacing w:val="-6"/>
          <w:sz w:val="16"/>
          <w:szCs w:val="16"/>
          <w:lang w:val="es-ES_tradnl"/>
        </w:rPr>
        <w:t>que la propia Norma Fundamental prev</w:t>
      </w:r>
      <w:r>
        <w:rPr>
          <w:rFonts w:cs="Times New Roman"/>
          <w:spacing w:val="-6"/>
          <w:sz w:val="16"/>
          <w:szCs w:val="16"/>
          <w:lang w:val="es-ES_tradnl"/>
        </w:rPr>
        <w:t>é</w:t>
      </w:r>
      <w:r>
        <w:rPr>
          <w:spacing w:val="-6"/>
          <w:sz w:val="16"/>
          <w:szCs w:val="16"/>
          <w:lang w:val="es-ES_tradnl"/>
        </w:rPr>
        <w:t xml:space="preserve"> para la soluci</w:t>
      </w:r>
      <w:r>
        <w:rPr>
          <w:rFonts w:cs="Times New Roman"/>
          <w:spacing w:val="-6"/>
          <w:sz w:val="16"/>
          <w:szCs w:val="16"/>
          <w:lang w:val="es-ES_tradnl"/>
        </w:rPr>
        <w:t>ó</w:t>
      </w:r>
      <w:r>
        <w:rPr>
          <w:spacing w:val="-6"/>
          <w:sz w:val="16"/>
          <w:szCs w:val="16"/>
          <w:lang w:val="es-ES_tradnl"/>
        </w:rPr>
        <w:t xml:space="preserve">n de </w:t>
      </w:r>
      <w:r>
        <w:rPr>
          <w:spacing w:val="-7"/>
          <w:sz w:val="16"/>
          <w:szCs w:val="16"/>
          <w:lang w:val="es-ES_tradnl"/>
        </w:rPr>
        <w:t>antinomias o integraci</w:t>
      </w:r>
      <w:r>
        <w:rPr>
          <w:rFonts w:cs="Times New Roman"/>
          <w:spacing w:val="-7"/>
          <w:sz w:val="16"/>
          <w:szCs w:val="16"/>
          <w:lang w:val="es-ES_tradnl"/>
        </w:rPr>
        <w:t>ó</w:t>
      </w:r>
      <w:r>
        <w:rPr>
          <w:spacing w:val="-7"/>
          <w:sz w:val="16"/>
          <w:szCs w:val="16"/>
          <w:lang w:val="es-ES_tradnl"/>
        </w:rPr>
        <w:t>n de lagunas jur</w:t>
      </w:r>
      <w:r>
        <w:rPr>
          <w:rFonts w:cs="Times New Roman"/>
          <w:spacing w:val="-7"/>
          <w:sz w:val="16"/>
          <w:szCs w:val="16"/>
          <w:lang w:val="es-ES_tradnl"/>
        </w:rPr>
        <w:t>í</w:t>
      </w:r>
      <w:r>
        <w:rPr>
          <w:spacing w:val="-7"/>
          <w:sz w:val="16"/>
          <w:szCs w:val="16"/>
          <w:lang w:val="es-ES_tradnl"/>
        </w:rPr>
        <w:t>dicas</w:t>
      </w:r>
      <w:r>
        <w:rPr>
          <w:spacing w:val="-7"/>
          <w:sz w:val="16"/>
          <w:szCs w:val="16"/>
          <w:vertAlign w:val="superscript"/>
          <w:lang w:val="es-ES_tradnl"/>
        </w:rPr>
        <w:t>2</w:t>
      </w:r>
      <w:r>
        <w:rPr>
          <w:spacing w:val="-7"/>
          <w:sz w:val="16"/>
          <w:szCs w:val="16"/>
          <w:lang w:val="es-ES_tradnl"/>
        </w:rPr>
        <w:t>.</w:t>
      </w:r>
    </w:p>
    <w:p w14:paraId="4F67B880" w14:textId="77777777" w:rsidR="00591D54" w:rsidRDefault="00591D54">
      <w:pPr>
        <w:shd w:val="clear" w:color="auto" w:fill="FFFFFF"/>
        <w:spacing w:before="211" w:line="221" w:lineRule="exact"/>
        <w:ind w:right="5"/>
        <w:jc w:val="both"/>
      </w:pPr>
      <w:r>
        <w:rPr>
          <w:spacing w:val="-11"/>
          <w:sz w:val="18"/>
          <w:szCs w:val="18"/>
          <w:lang w:val="es-ES_tradnl"/>
        </w:rPr>
        <w:t>En armon</w:t>
      </w:r>
      <w:r>
        <w:rPr>
          <w:rFonts w:cs="Times New Roman"/>
          <w:spacing w:val="-11"/>
          <w:sz w:val="18"/>
          <w:szCs w:val="18"/>
          <w:lang w:val="es-ES_tradnl"/>
        </w:rPr>
        <w:t>í</w:t>
      </w:r>
      <w:r>
        <w:rPr>
          <w:spacing w:val="-11"/>
          <w:sz w:val="18"/>
          <w:szCs w:val="18"/>
          <w:lang w:val="es-ES_tradnl"/>
        </w:rPr>
        <w:t xml:space="preserve">a con los preceptos constitucionales mencionados, </w:t>
      </w:r>
      <w:r>
        <w:rPr>
          <w:spacing w:val="-7"/>
          <w:sz w:val="18"/>
          <w:szCs w:val="18"/>
          <w:lang w:val="es-ES_tradnl"/>
        </w:rPr>
        <w:t>esta Corte ha expresado que la garant</w:t>
      </w:r>
      <w:r>
        <w:rPr>
          <w:rFonts w:cs="Times New Roman"/>
          <w:spacing w:val="-7"/>
          <w:sz w:val="18"/>
          <w:szCs w:val="18"/>
          <w:lang w:val="es-ES_tradnl"/>
        </w:rPr>
        <w:t>í</w:t>
      </w:r>
      <w:r>
        <w:rPr>
          <w:spacing w:val="-7"/>
          <w:sz w:val="18"/>
          <w:szCs w:val="18"/>
          <w:lang w:val="es-ES_tradnl"/>
        </w:rPr>
        <w:t xml:space="preserve">a del cumplimiento </w:t>
      </w:r>
      <w:r>
        <w:rPr>
          <w:spacing w:val="-9"/>
          <w:sz w:val="18"/>
          <w:szCs w:val="18"/>
          <w:lang w:val="es-ES_tradnl"/>
        </w:rPr>
        <w:t>de las normas y los derechos de las partes procura:</w:t>
      </w:r>
    </w:p>
    <w:p w14:paraId="4F67B881" w14:textId="77777777" w:rsidR="00591D54" w:rsidRDefault="00591D54">
      <w:pPr>
        <w:shd w:val="clear" w:color="auto" w:fill="FFFFFF"/>
        <w:tabs>
          <w:tab w:val="left" w:pos="139"/>
        </w:tabs>
        <w:spacing w:before="466" w:line="182" w:lineRule="exact"/>
        <w:ind w:left="139" w:hanging="139"/>
      </w:pPr>
      <w:r>
        <w:rPr>
          <w:sz w:val="16"/>
          <w:szCs w:val="16"/>
          <w:vertAlign w:val="superscript"/>
          <w:lang w:val="es-ES_tradnl"/>
        </w:rPr>
        <w:t>1</w:t>
      </w:r>
      <w:r>
        <w:rPr>
          <w:sz w:val="18"/>
          <w:szCs w:val="18"/>
          <w:lang w:val="es-ES_tradnl"/>
        </w:rPr>
        <w:tab/>
      </w:r>
      <w:r>
        <w:rPr>
          <w:spacing w:val="-8"/>
          <w:sz w:val="16"/>
          <w:szCs w:val="16"/>
          <w:lang w:val="es-ES_tradnl"/>
        </w:rPr>
        <w:t>Corte</w:t>
      </w:r>
      <w:r>
        <w:rPr>
          <w:spacing w:val="-8"/>
          <w:sz w:val="18"/>
          <w:szCs w:val="18"/>
          <w:lang w:val="es-ES_tradnl"/>
        </w:rPr>
        <w:t xml:space="preserve"> </w:t>
      </w:r>
      <w:r>
        <w:rPr>
          <w:spacing w:val="-8"/>
          <w:sz w:val="16"/>
          <w:szCs w:val="16"/>
          <w:lang w:val="es-ES_tradnl"/>
        </w:rPr>
        <w:t>Constitucional</w:t>
      </w:r>
      <w:r>
        <w:rPr>
          <w:spacing w:val="-8"/>
          <w:sz w:val="18"/>
          <w:szCs w:val="18"/>
          <w:lang w:val="es-ES_tradnl"/>
        </w:rPr>
        <w:t xml:space="preserve"> </w:t>
      </w:r>
      <w:r>
        <w:rPr>
          <w:spacing w:val="-8"/>
          <w:sz w:val="16"/>
          <w:szCs w:val="16"/>
          <w:lang w:val="es-ES_tradnl"/>
        </w:rPr>
        <w:t>del</w:t>
      </w:r>
      <w:r>
        <w:rPr>
          <w:spacing w:val="-8"/>
          <w:sz w:val="18"/>
          <w:szCs w:val="18"/>
          <w:lang w:val="es-ES_tradnl"/>
        </w:rPr>
        <w:t xml:space="preserve"> </w:t>
      </w:r>
      <w:r>
        <w:rPr>
          <w:spacing w:val="-8"/>
          <w:sz w:val="16"/>
          <w:szCs w:val="16"/>
          <w:lang w:val="es-ES_tradnl"/>
        </w:rPr>
        <w:t>Ecuador,</w:t>
      </w:r>
      <w:r>
        <w:rPr>
          <w:spacing w:val="-8"/>
          <w:sz w:val="18"/>
          <w:szCs w:val="18"/>
          <w:lang w:val="es-ES_tradnl"/>
        </w:rPr>
        <w:t xml:space="preserve"> </w:t>
      </w:r>
      <w:r>
        <w:rPr>
          <w:spacing w:val="-8"/>
          <w:sz w:val="16"/>
          <w:szCs w:val="16"/>
          <w:lang w:val="es-ES_tradnl"/>
        </w:rPr>
        <w:t>sentencia</w:t>
      </w:r>
      <w:r>
        <w:rPr>
          <w:spacing w:val="-8"/>
          <w:sz w:val="18"/>
          <w:szCs w:val="18"/>
          <w:lang w:val="es-ES_tradnl"/>
        </w:rPr>
        <w:t xml:space="preserve"> </w:t>
      </w:r>
      <w:r>
        <w:rPr>
          <w:spacing w:val="-8"/>
          <w:sz w:val="16"/>
          <w:szCs w:val="16"/>
          <w:lang w:val="es-ES_tradnl"/>
        </w:rPr>
        <w:t>N.</w:t>
      </w:r>
      <w:r>
        <w:rPr>
          <w:rFonts w:cs="Times New Roman"/>
          <w:spacing w:val="-8"/>
          <w:sz w:val="16"/>
          <w:szCs w:val="16"/>
          <w:lang w:val="es-ES_tradnl"/>
        </w:rPr>
        <w:t>º</w:t>
      </w:r>
      <w:r>
        <w:rPr>
          <w:spacing w:val="-8"/>
          <w:sz w:val="18"/>
          <w:szCs w:val="18"/>
          <w:lang w:val="es-ES_tradnl"/>
        </w:rPr>
        <w:t xml:space="preserve"> </w:t>
      </w:r>
      <w:r>
        <w:rPr>
          <w:spacing w:val="-8"/>
          <w:sz w:val="16"/>
          <w:szCs w:val="16"/>
          <w:lang w:val="es-ES_tradnl"/>
        </w:rPr>
        <w:t>031-14-SEP-CC, </w:t>
      </w:r>
      <w:r>
        <w:rPr>
          <w:sz w:val="16"/>
          <w:szCs w:val="16"/>
          <w:lang w:val="es-ES_tradnl"/>
        </w:rPr>
        <w:t>caso N.</w:t>
      </w:r>
      <w:r>
        <w:rPr>
          <w:rFonts w:cs="Times New Roman"/>
          <w:sz w:val="16"/>
          <w:szCs w:val="16"/>
          <w:lang w:val="es-ES_tradnl"/>
        </w:rPr>
        <w:t>º</w:t>
      </w:r>
      <w:r>
        <w:rPr>
          <w:sz w:val="16"/>
          <w:szCs w:val="16"/>
          <w:lang w:val="es-ES_tradnl"/>
        </w:rPr>
        <w:t xml:space="preserve"> 0868-10-EP</w:t>
      </w:r>
    </w:p>
    <w:p w14:paraId="4F67B882" w14:textId="77777777" w:rsidR="00591D54" w:rsidRDefault="00591D54">
      <w:pPr>
        <w:shd w:val="clear" w:color="auto" w:fill="FFFFFF"/>
        <w:tabs>
          <w:tab w:val="left" w:pos="139"/>
        </w:tabs>
        <w:spacing w:before="149" w:line="178" w:lineRule="exact"/>
        <w:ind w:left="139" w:hanging="139"/>
      </w:pPr>
      <w:r>
        <w:rPr>
          <w:sz w:val="10"/>
          <w:szCs w:val="10"/>
          <w:vertAlign w:val="superscript"/>
          <w:lang w:val="es-ES_tradnl"/>
        </w:rPr>
        <w:t>2</w:t>
      </w:r>
      <w:r>
        <w:rPr>
          <w:sz w:val="18"/>
          <w:szCs w:val="18"/>
          <w:lang w:val="es-ES_tradnl"/>
        </w:rPr>
        <w:tab/>
      </w:r>
      <w:r>
        <w:rPr>
          <w:spacing w:val="-6"/>
          <w:sz w:val="16"/>
          <w:szCs w:val="16"/>
          <w:lang w:val="es-ES_tradnl"/>
        </w:rPr>
        <w:t>Corte</w:t>
      </w:r>
      <w:r>
        <w:rPr>
          <w:spacing w:val="-6"/>
          <w:sz w:val="18"/>
          <w:szCs w:val="18"/>
          <w:lang w:val="es-ES_tradnl"/>
        </w:rPr>
        <w:t xml:space="preserve"> </w:t>
      </w:r>
      <w:r>
        <w:rPr>
          <w:spacing w:val="-6"/>
          <w:sz w:val="16"/>
          <w:szCs w:val="16"/>
          <w:lang w:val="es-ES_tradnl"/>
        </w:rPr>
        <w:t>Constitucional</w:t>
      </w:r>
      <w:r>
        <w:rPr>
          <w:spacing w:val="-6"/>
          <w:sz w:val="18"/>
          <w:szCs w:val="18"/>
          <w:lang w:val="es-ES_tradnl"/>
        </w:rPr>
        <w:t xml:space="preserve"> </w:t>
      </w:r>
      <w:r>
        <w:rPr>
          <w:spacing w:val="-6"/>
          <w:sz w:val="16"/>
          <w:szCs w:val="16"/>
          <w:lang w:val="es-ES_tradnl"/>
        </w:rPr>
        <w:t>del</w:t>
      </w:r>
      <w:r>
        <w:rPr>
          <w:spacing w:val="-6"/>
          <w:sz w:val="18"/>
          <w:szCs w:val="18"/>
          <w:lang w:val="es-ES_tradnl"/>
        </w:rPr>
        <w:t xml:space="preserve"> </w:t>
      </w:r>
      <w:r>
        <w:rPr>
          <w:spacing w:val="-6"/>
          <w:sz w:val="16"/>
          <w:szCs w:val="16"/>
          <w:lang w:val="es-ES_tradnl"/>
        </w:rPr>
        <w:t>Ecuador,</w:t>
      </w:r>
      <w:r>
        <w:rPr>
          <w:spacing w:val="-6"/>
          <w:sz w:val="18"/>
          <w:szCs w:val="18"/>
          <w:lang w:val="es-ES_tradnl"/>
        </w:rPr>
        <w:t xml:space="preserve"> </w:t>
      </w:r>
      <w:r>
        <w:rPr>
          <w:spacing w:val="-6"/>
          <w:sz w:val="16"/>
          <w:szCs w:val="16"/>
          <w:lang w:val="es-ES_tradnl"/>
        </w:rPr>
        <w:t>para</w:t>
      </w:r>
      <w:r>
        <w:rPr>
          <w:spacing w:val="-6"/>
          <w:sz w:val="18"/>
          <w:szCs w:val="18"/>
          <w:lang w:val="es-ES_tradnl"/>
        </w:rPr>
        <w:t xml:space="preserve"> </w:t>
      </w:r>
      <w:r>
        <w:rPr>
          <w:spacing w:val="-6"/>
          <w:sz w:val="16"/>
          <w:szCs w:val="16"/>
          <w:lang w:val="es-ES_tradnl"/>
        </w:rPr>
        <w:t>el</w:t>
      </w:r>
      <w:r>
        <w:rPr>
          <w:spacing w:val="-6"/>
          <w:sz w:val="18"/>
          <w:szCs w:val="18"/>
          <w:lang w:val="es-ES_tradnl"/>
        </w:rPr>
        <w:t xml:space="preserve"> </w:t>
      </w:r>
      <w:r>
        <w:rPr>
          <w:spacing w:val="-6"/>
          <w:sz w:val="16"/>
          <w:szCs w:val="16"/>
          <w:lang w:val="es-ES_tradnl"/>
        </w:rPr>
        <w:t>per</w:t>
      </w:r>
      <w:r>
        <w:rPr>
          <w:rFonts w:cs="Times New Roman"/>
          <w:spacing w:val="-6"/>
          <w:sz w:val="16"/>
          <w:szCs w:val="16"/>
          <w:lang w:val="es-ES_tradnl"/>
        </w:rPr>
        <w:t>í</w:t>
      </w:r>
      <w:r>
        <w:rPr>
          <w:spacing w:val="-6"/>
          <w:sz w:val="16"/>
          <w:szCs w:val="16"/>
          <w:lang w:val="es-ES_tradnl"/>
        </w:rPr>
        <w:t>odo</w:t>
      </w:r>
      <w:r>
        <w:rPr>
          <w:spacing w:val="-6"/>
          <w:sz w:val="18"/>
          <w:szCs w:val="18"/>
          <w:lang w:val="es-ES_tradnl"/>
        </w:rPr>
        <w:t xml:space="preserve"> </w:t>
      </w:r>
      <w:r>
        <w:rPr>
          <w:spacing w:val="-6"/>
          <w:sz w:val="16"/>
          <w:szCs w:val="16"/>
          <w:lang w:val="es-ES_tradnl"/>
        </w:rPr>
        <w:t>de</w:t>
      </w:r>
      <w:r>
        <w:rPr>
          <w:spacing w:val="-6"/>
          <w:sz w:val="18"/>
          <w:szCs w:val="18"/>
          <w:lang w:val="es-ES_tradnl"/>
        </w:rPr>
        <w:t xml:space="preserve"> </w:t>
      </w:r>
      <w:r>
        <w:rPr>
          <w:spacing w:val="-6"/>
          <w:sz w:val="16"/>
          <w:szCs w:val="16"/>
          <w:lang w:val="es-ES_tradnl"/>
        </w:rPr>
        <w:t>transici</w:t>
      </w:r>
      <w:r>
        <w:rPr>
          <w:rFonts w:cs="Times New Roman"/>
          <w:spacing w:val="-6"/>
          <w:sz w:val="16"/>
          <w:szCs w:val="16"/>
          <w:lang w:val="es-ES_tradnl"/>
        </w:rPr>
        <w:t>ó</w:t>
      </w:r>
      <w:r>
        <w:rPr>
          <w:spacing w:val="-6"/>
          <w:sz w:val="16"/>
          <w:szCs w:val="16"/>
          <w:lang w:val="es-ES_tradnl"/>
        </w:rPr>
        <w:t>n, </w:t>
      </w:r>
      <w:r>
        <w:rPr>
          <w:spacing w:val="-12"/>
          <w:sz w:val="16"/>
          <w:szCs w:val="16"/>
          <w:lang w:val="es-ES_tradnl"/>
        </w:rPr>
        <w:t>sentencia N.</w:t>
      </w:r>
      <w:r>
        <w:rPr>
          <w:rFonts w:cs="Times New Roman"/>
          <w:spacing w:val="-12"/>
          <w:sz w:val="16"/>
          <w:szCs w:val="16"/>
          <w:lang w:val="es-ES_tradnl"/>
        </w:rPr>
        <w:t>º</w:t>
      </w:r>
      <w:r>
        <w:rPr>
          <w:spacing w:val="-12"/>
          <w:sz w:val="16"/>
          <w:szCs w:val="16"/>
          <w:lang w:val="es-ES_tradnl"/>
        </w:rPr>
        <w:t xml:space="preserve"> 227-12-SEP-CC, caso N.</w:t>
      </w:r>
      <w:r>
        <w:rPr>
          <w:rFonts w:cs="Times New Roman"/>
          <w:spacing w:val="-12"/>
          <w:sz w:val="16"/>
          <w:szCs w:val="16"/>
          <w:lang w:val="es-ES_tradnl"/>
        </w:rPr>
        <w:t>º</w:t>
      </w:r>
      <w:r>
        <w:rPr>
          <w:spacing w:val="-12"/>
          <w:sz w:val="16"/>
          <w:szCs w:val="16"/>
          <w:lang w:val="es-ES_tradnl"/>
        </w:rPr>
        <w:t xml:space="preserve"> 1212-11-EP.</w:t>
      </w:r>
    </w:p>
    <w:p w14:paraId="4F67B883" w14:textId="77777777" w:rsidR="00591D54" w:rsidRDefault="00591D54">
      <w:pPr>
        <w:shd w:val="clear" w:color="auto" w:fill="FFFFFF"/>
        <w:spacing w:line="211" w:lineRule="exact"/>
        <w:ind w:left="283" w:right="5"/>
        <w:jc w:val="both"/>
      </w:pPr>
      <w:r>
        <w:br w:type="column"/>
      </w:r>
      <w:r>
        <w:rPr>
          <w:spacing w:val="-3"/>
          <w:sz w:val="16"/>
          <w:szCs w:val="16"/>
          <w:lang w:val="es-ES_tradnl"/>
        </w:rPr>
        <w:t>Establecer un l</w:t>
      </w:r>
      <w:r>
        <w:rPr>
          <w:rFonts w:cs="Times New Roman"/>
          <w:spacing w:val="-3"/>
          <w:sz w:val="16"/>
          <w:szCs w:val="16"/>
          <w:lang w:val="es-ES_tradnl"/>
        </w:rPr>
        <w:t>í</w:t>
      </w:r>
      <w:r>
        <w:rPr>
          <w:spacing w:val="-3"/>
          <w:sz w:val="16"/>
          <w:szCs w:val="16"/>
          <w:lang w:val="es-ES_tradnl"/>
        </w:rPr>
        <w:t>mite a la actuaci</w:t>
      </w:r>
      <w:r>
        <w:rPr>
          <w:rFonts w:cs="Times New Roman"/>
          <w:spacing w:val="-3"/>
          <w:sz w:val="16"/>
          <w:szCs w:val="16"/>
          <w:lang w:val="es-ES_tradnl"/>
        </w:rPr>
        <w:t>ó</w:t>
      </w:r>
      <w:r>
        <w:rPr>
          <w:spacing w:val="-3"/>
          <w:sz w:val="16"/>
          <w:szCs w:val="16"/>
          <w:lang w:val="es-ES_tradnl"/>
        </w:rPr>
        <w:t xml:space="preserve">n discrecional de las </w:t>
      </w:r>
      <w:r>
        <w:rPr>
          <w:sz w:val="16"/>
          <w:szCs w:val="16"/>
          <w:lang w:val="es-ES_tradnl"/>
        </w:rPr>
        <w:t>autoridades p</w:t>
      </w:r>
      <w:r>
        <w:rPr>
          <w:rFonts w:cs="Times New Roman"/>
          <w:sz w:val="16"/>
          <w:szCs w:val="16"/>
          <w:lang w:val="es-ES_tradnl"/>
        </w:rPr>
        <w:t>ú</w:t>
      </w:r>
      <w:r>
        <w:rPr>
          <w:sz w:val="16"/>
          <w:szCs w:val="16"/>
          <w:lang w:val="es-ES_tradnl"/>
        </w:rPr>
        <w:t>blicas, l</w:t>
      </w:r>
      <w:r>
        <w:rPr>
          <w:rFonts w:cs="Times New Roman"/>
          <w:sz w:val="16"/>
          <w:szCs w:val="16"/>
          <w:lang w:val="es-ES_tradnl"/>
        </w:rPr>
        <w:t>í</w:t>
      </w:r>
      <w:r>
        <w:rPr>
          <w:sz w:val="16"/>
          <w:szCs w:val="16"/>
          <w:lang w:val="es-ES_tradnl"/>
        </w:rPr>
        <w:t xml:space="preserve">mite que se encuentra dado por </w:t>
      </w:r>
      <w:r>
        <w:rPr>
          <w:spacing w:val="-8"/>
          <w:sz w:val="16"/>
          <w:szCs w:val="16"/>
          <w:lang w:val="es-ES_tradnl"/>
        </w:rPr>
        <w:t xml:space="preserve">las normas y los derechos de las partes a ser aplicadas y </w:t>
      </w:r>
      <w:r>
        <w:rPr>
          <w:spacing w:val="-4"/>
          <w:sz w:val="16"/>
          <w:szCs w:val="16"/>
          <w:lang w:val="es-ES_tradnl"/>
        </w:rPr>
        <w:t xml:space="preserve">garantizadas dentro de un proceso administrativo o judicial </w:t>
      </w:r>
      <w:r>
        <w:rPr>
          <w:spacing w:val="-5"/>
          <w:sz w:val="16"/>
          <w:szCs w:val="16"/>
          <w:lang w:val="es-ES_tradnl"/>
        </w:rPr>
        <w:t xml:space="preserve">en el que se ventila una controversia, en virtud de la cual se </w:t>
      </w:r>
      <w:r>
        <w:rPr>
          <w:spacing w:val="-8"/>
          <w:sz w:val="16"/>
          <w:szCs w:val="16"/>
          <w:lang w:val="es-ES_tradnl"/>
        </w:rPr>
        <w:t>demanda una resoluci</w:t>
      </w:r>
      <w:r>
        <w:rPr>
          <w:rFonts w:cs="Times New Roman"/>
          <w:spacing w:val="-8"/>
          <w:sz w:val="16"/>
          <w:szCs w:val="16"/>
          <w:lang w:val="es-ES_tradnl"/>
        </w:rPr>
        <w:t>ó</w:t>
      </w:r>
      <w:r>
        <w:rPr>
          <w:spacing w:val="-8"/>
          <w:sz w:val="16"/>
          <w:szCs w:val="16"/>
          <w:lang w:val="es-ES_tradnl"/>
        </w:rPr>
        <w:t xml:space="preserve">n que tutele de manera adecuada los </w:t>
      </w:r>
      <w:r>
        <w:rPr>
          <w:spacing w:val="-5"/>
          <w:sz w:val="16"/>
          <w:szCs w:val="16"/>
          <w:lang w:val="es-ES_tradnl"/>
        </w:rPr>
        <w:t xml:space="preserve">derechos de las partes en litigio, evitando en todo momento </w:t>
      </w:r>
      <w:r>
        <w:rPr>
          <w:sz w:val="16"/>
          <w:szCs w:val="16"/>
          <w:lang w:val="es-ES_tradnl"/>
        </w:rPr>
        <w:t>la indefensi</w:t>
      </w:r>
      <w:r>
        <w:rPr>
          <w:rFonts w:cs="Times New Roman"/>
          <w:sz w:val="16"/>
          <w:szCs w:val="16"/>
          <w:lang w:val="es-ES_tradnl"/>
        </w:rPr>
        <w:t>ó</w:t>
      </w:r>
      <w:r>
        <w:rPr>
          <w:sz w:val="16"/>
          <w:szCs w:val="16"/>
          <w:lang w:val="es-ES_tradnl"/>
        </w:rPr>
        <w:t>n</w:t>
      </w:r>
      <w:r>
        <w:rPr>
          <w:sz w:val="16"/>
          <w:szCs w:val="16"/>
          <w:vertAlign w:val="superscript"/>
          <w:lang w:val="es-ES_tradnl"/>
        </w:rPr>
        <w:t>3</w:t>
      </w:r>
      <w:r>
        <w:rPr>
          <w:sz w:val="16"/>
          <w:szCs w:val="16"/>
          <w:lang w:val="es-ES_tradnl"/>
        </w:rPr>
        <w:t>.</w:t>
      </w:r>
    </w:p>
    <w:p w14:paraId="4F67B884" w14:textId="77777777" w:rsidR="00591D54" w:rsidRDefault="00591D54">
      <w:pPr>
        <w:shd w:val="clear" w:color="auto" w:fill="FFFFFF"/>
        <w:spacing w:before="197" w:line="216" w:lineRule="exact"/>
        <w:ind w:right="5"/>
        <w:jc w:val="both"/>
      </w:pPr>
      <w:r>
        <w:rPr>
          <w:spacing w:val="-11"/>
          <w:sz w:val="18"/>
          <w:szCs w:val="18"/>
          <w:lang w:val="es-ES_tradnl"/>
        </w:rPr>
        <w:t xml:space="preserve">Del fragmento de sentencia </w:t>
      </w:r>
      <w:r>
        <w:rPr>
          <w:i/>
          <w:iCs/>
          <w:spacing w:val="-11"/>
          <w:sz w:val="18"/>
          <w:szCs w:val="18"/>
          <w:lang w:val="es-ES_tradnl"/>
        </w:rPr>
        <w:t xml:space="preserve">ut supra </w:t>
      </w:r>
      <w:r>
        <w:rPr>
          <w:spacing w:val="-11"/>
          <w:sz w:val="18"/>
          <w:szCs w:val="18"/>
          <w:lang w:val="es-ES_tradnl"/>
        </w:rPr>
        <w:t>se colige que la garant</w:t>
      </w:r>
      <w:r>
        <w:rPr>
          <w:rFonts w:cs="Times New Roman"/>
          <w:spacing w:val="-11"/>
          <w:sz w:val="18"/>
          <w:szCs w:val="18"/>
          <w:lang w:val="es-ES_tradnl"/>
        </w:rPr>
        <w:t>í</w:t>
      </w:r>
      <w:r>
        <w:rPr>
          <w:spacing w:val="-11"/>
          <w:sz w:val="18"/>
          <w:szCs w:val="18"/>
          <w:lang w:val="es-ES_tradnl"/>
        </w:rPr>
        <w:t xml:space="preserve">a </w:t>
      </w:r>
      <w:r>
        <w:rPr>
          <w:spacing w:val="-10"/>
          <w:sz w:val="18"/>
          <w:szCs w:val="18"/>
          <w:lang w:val="es-ES_tradnl"/>
        </w:rPr>
        <w:t xml:space="preserve">del cumplimiento de las normas y los derechos de las partes </w:t>
      </w:r>
      <w:r>
        <w:rPr>
          <w:spacing w:val="-6"/>
          <w:sz w:val="18"/>
          <w:szCs w:val="18"/>
          <w:lang w:val="es-ES_tradnl"/>
        </w:rPr>
        <w:t xml:space="preserve">que forma parte del debido proceso, permite que todos </w:t>
      </w:r>
      <w:r>
        <w:rPr>
          <w:spacing w:val="-9"/>
          <w:sz w:val="18"/>
          <w:szCs w:val="18"/>
          <w:lang w:val="es-ES_tradnl"/>
        </w:rPr>
        <w:t>quienes est</w:t>
      </w:r>
      <w:r>
        <w:rPr>
          <w:rFonts w:cs="Times New Roman"/>
          <w:spacing w:val="-9"/>
          <w:sz w:val="18"/>
          <w:szCs w:val="18"/>
          <w:lang w:val="es-ES_tradnl"/>
        </w:rPr>
        <w:t>á</w:t>
      </w:r>
      <w:r>
        <w:rPr>
          <w:spacing w:val="-9"/>
          <w:sz w:val="18"/>
          <w:szCs w:val="18"/>
          <w:lang w:val="es-ES_tradnl"/>
        </w:rPr>
        <w:t xml:space="preserve">n encargados de administrar justicia, observen, </w:t>
      </w:r>
      <w:r>
        <w:rPr>
          <w:spacing w:val="-7"/>
          <w:sz w:val="18"/>
          <w:szCs w:val="18"/>
          <w:lang w:val="es-ES_tradnl"/>
        </w:rPr>
        <w:t>en todas las instancias procesales, el tr</w:t>
      </w:r>
      <w:r>
        <w:rPr>
          <w:rFonts w:cs="Times New Roman"/>
          <w:spacing w:val="-7"/>
          <w:sz w:val="18"/>
          <w:szCs w:val="18"/>
          <w:lang w:val="es-ES_tradnl"/>
        </w:rPr>
        <w:t>á</w:t>
      </w:r>
      <w:r>
        <w:rPr>
          <w:spacing w:val="-7"/>
          <w:sz w:val="18"/>
          <w:szCs w:val="18"/>
          <w:lang w:val="es-ES_tradnl"/>
        </w:rPr>
        <w:t xml:space="preserve">mite propio para cada procedimiento, con la finalidad de que los derechos </w:t>
      </w:r>
      <w:r>
        <w:rPr>
          <w:spacing w:val="-9"/>
          <w:sz w:val="18"/>
          <w:szCs w:val="18"/>
          <w:lang w:val="es-ES_tradnl"/>
        </w:rPr>
        <w:t>de las partes procesales sean protegidos, y que adem</w:t>
      </w:r>
      <w:r>
        <w:rPr>
          <w:rFonts w:cs="Times New Roman"/>
          <w:spacing w:val="-9"/>
          <w:sz w:val="18"/>
          <w:szCs w:val="18"/>
          <w:lang w:val="es-ES_tradnl"/>
        </w:rPr>
        <w:t>á</w:t>
      </w:r>
      <w:r>
        <w:rPr>
          <w:spacing w:val="-9"/>
          <w:sz w:val="18"/>
          <w:szCs w:val="18"/>
          <w:lang w:val="es-ES_tradnl"/>
        </w:rPr>
        <w:t xml:space="preserve">s, </w:t>
      </w:r>
      <w:r>
        <w:rPr>
          <w:spacing w:val="-6"/>
          <w:sz w:val="18"/>
          <w:szCs w:val="18"/>
          <w:lang w:val="es-ES_tradnl"/>
        </w:rPr>
        <w:t xml:space="preserve">obtengan un trato equitativo del </w:t>
      </w:r>
      <w:r>
        <w:rPr>
          <w:rFonts w:cs="Times New Roman"/>
          <w:spacing w:val="-6"/>
          <w:sz w:val="18"/>
          <w:szCs w:val="18"/>
          <w:lang w:val="es-ES_tradnl"/>
        </w:rPr>
        <w:t>ó</w:t>
      </w:r>
      <w:r>
        <w:rPr>
          <w:spacing w:val="-6"/>
          <w:sz w:val="18"/>
          <w:szCs w:val="18"/>
          <w:lang w:val="es-ES_tradnl"/>
        </w:rPr>
        <w:t xml:space="preserve">rgano jurisdiccional, en </w:t>
      </w:r>
      <w:r>
        <w:rPr>
          <w:sz w:val="18"/>
          <w:szCs w:val="18"/>
          <w:lang w:val="es-ES_tradnl"/>
        </w:rPr>
        <w:t>observancia de la seguridad jur</w:t>
      </w:r>
      <w:r>
        <w:rPr>
          <w:rFonts w:cs="Times New Roman"/>
          <w:sz w:val="18"/>
          <w:szCs w:val="18"/>
          <w:lang w:val="es-ES_tradnl"/>
        </w:rPr>
        <w:t>í</w:t>
      </w:r>
      <w:r>
        <w:rPr>
          <w:sz w:val="18"/>
          <w:szCs w:val="18"/>
          <w:lang w:val="es-ES_tradnl"/>
        </w:rPr>
        <w:t>dica.</w:t>
      </w:r>
    </w:p>
    <w:p w14:paraId="4F67B885" w14:textId="77777777" w:rsidR="00591D54" w:rsidRDefault="00591D54">
      <w:pPr>
        <w:shd w:val="clear" w:color="auto" w:fill="FFFFFF"/>
        <w:spacing w:before="192" w:line="216" w:lineRule="exact"/>
        <w:ind w:right="5"/>
        <w:jc w:val="both"/>
      </w:pPr>
      <w:r>
        <w:rPr>
          <w:spacing w:val="-5"/>
          <w:sz w:val="18"/>
          <w:szCs w:val="18"/>
          <w:lang w:val="es-ES_tradnl"/>
        </w:rPr>
        <w:t xml:space="preserve">En el caso </w:t>
      </w:r>
      <w:r>
        <w:rPr>
          <w:i/>
          <w:iCs/>
          <w:spacing w:val="-5"/>
          <w:sz w:val="18"/>
          <w:szCs w:val="18"/>
          <w:lang w:val="es-ES_tradnl"/>
        </w:rPr>
        <w:t>sub examine</w:t>
      </w:r>
      <w:r>
        <w:rPr>
          <w:spacing w:val="-5"/>
          <w:sz w:val="18"/>
          <w:szCs w:val="18"/>
          <w:lang w:val="es-ES_tradnl"/>
        </w:rPr>
        <w:t>, de la revisi</w:t>
      </w:r>
      <w:r>
        <w:rPr>
          <w:rFonts w:cs="Times New Roman"/>
          <w:spacing w:val="-5"/>
          <w:sz w:val="18"/>
          <w:szCs w:val="18"/>
          <w:lang w:val="es-ES_tradnl"/>
        </w:rPr>
        <w:t>ó</w:t>
      </w:r>
      <w:r>
        <w:rPr>
          <w:spacing w:val="-5"/>
          <w:sz w:val="18"/>
          <w:szCs w:val="18"/>
          <w:lang w:val="es-ES_tradnl"/>
        </w:rPr>
        <w:t>n de la decisi</w:t>
      </w:r>
      <w:r>
        <w:rPr>
          <w:rFonts w:cs="Times New Roman"/>
          <w:spacing w:val="-5"/>
          <w:sz w:val="18"/>
          <w:szCs w:val="18"/>
          <w:lang w:val="es-ES_tradnl"/>
        </w:rPr>
        <w:t>ó</w:t>
      </w:r>
      <w:r>
        <w:rPr>
          <w:spacing w:val="-5"/>
          <w:sz w:val="18"/>
          <w:szCs w:val="18"/>
          <w:lang w:val="es-ES_tradnl"/>
        </w:rPr>
        <w:t xml:space="preserve">n </w:t>
      </w:r>
      <w:r>
        <w:rPr>
          <w:spacing w:val="-8"/>
          <w:sz w:val="18"/>
          <w:szCs w:val="18"/>
          <w:lang w:val="es-ES_tradnl"/>
        </w:rPr>
        <w:t>accionada se advierte que la Sala de Conjueces determin</w:t>
      </w:r>
      <w:r>
        <w:rPr>
          <w:rFonts w:cs="Times New Roman"/>
          <w:spacing w:val="-8"/>
          <w:sz w:val="18"/>
          <w:szCs w:val="18"/>
          <w:lang w:val="es-ES_tradnl"/>
        </w:rPr>
        <w:t xml:space="preserve">ó </w:t>
      </w:r>
      <w:r>
        <w:rPr>
          <w:sz w:val="18"/>
          <w:szCs w:val="18"/>
          <w:lang w:val="es-ES_tradnl"/>
        </w:rPr>
        <w:t>lo siguiente:</w:t>
      </w:r>
    </w:p>
    <w:p w14:paraId="4F67B886" w14:textId="77777777" w:rsidR="00591D54" w:rsidRDefault="00591D54">
      <w:pPr>
        <w:shd w:val="clear" w:color="auto" w:fill="FFFFFF"/>
        <w:spacing w:before="202" w:line="216" w:lineRule="exact"/>
        <w:ind w:left="283" w:right="5"/>
        <w:jc w:val="both"/>
      </w:pPr>
      <w:r>
        <w:rPr>
          <w:spacing w:val="-6"/>
          <w:sz w:val="16"/>
          <w:szCs w:val="16"/>
          <w:lang w:val="es-ES_tradnl"/>
        </w:rPr>
        <w:t xml:space="preserve">La Sala al examinar los escritos contentivos de los Recursos </w:t>
      </w:r>
      <w:r>
        <w:rPr>
          <w:spacing w:val="-9"/>
          <w:sz w:val="16"/>
          <w:szCs w:val="16"/>
          <w:lang w:val="es-ES_tradnl"/>
        </w:rPr>
        <w:t>de Hecho y de Casaci</w:t>
      </w:r>
      <w:r>
        <w:rPr>
          <w:rFonts w:cs="Times New Roman"/>
          <w:spacing w:val="-9"/>
          <w:sz w:val="16"/>
          <w:szCs w:val="16"/>
          <w:lang w:val="es-ES_tradnl"/>
        </w:rPr>
        <w:t>ó</w:t>
      </w:r>
      <w:r>
        <w:rPr>
          <w:spacing w:val="-9"/>
          <w:sz w:val="16"/>
          <w:szCs w:val="16"/>
          <w:lang w:val="es-ES_tradnl"/>
        </w:rPr>
        <w:t xml:space="preserve">n encuentra que entre la fecha en que la </w:t>
      </w:r>
      <w:r>
        <w:rPr>
          <w:spacing w:val="-6"/>
          <w:sz w:val="16"/>
          <w:szCs w:val="16"/>
          <w:lang w:val="es-ES_tradnl"/>
        </w:rPr>
        <w:t xml:space="preserve">Tercera Sala del Tribunal Distrital de lo Fiscal No. 2 con sede </w:t>
      </w:r>
      <w:r>
        <w:rPr>
          <w:spacing w:val="-8"/>
          <w:sz w:val="16"/>
          <w:szCs w:val="16"/>
          <w:lang w:val="es-ES_tradnl"/>
        </w:rPr>
        <w:t>en Guayaquil, concede t</w:t>
      </w:r>
      <w:r>
        <w:rPr>
          <w:rFonts w:cs="Times New Roman"/>
          <w:spacing w:val="-8"/>
          <w:sz w:val="16"/>
          <w:szCs w:val="16"/>
          <w:lang w:val="es-ES_tradnl"/>
        </w:rPr>
        <w:t>é</w:t>
      </w:r>
      <w:r>
        <w:rPr>
          <w:spacing w:val="-8"/>
          <w:sz w:val="16"/>
          <w:szCs w:val="16"/>
          <w:lang w:val="es-ES_tradnl"/>
        </w:rPr>
        <w:t xml:space="preserve">rmino para que la autoridad tributaria </w:t>
      </w:r>
      <w:r>
        <w:rPr>
          <w:spacing w:val="-5"/>
          <w:sz w:val="16"/>
          <w:szCs w:val="16"/>
          <w:lang w:val="es-ES_tradnl"/>
        </w:rPr>
        <w:t>legitime la intervenci</w:t>
      </w:r>
      <w:r>
        <w:rPr>
          <w:rFonts w:cs="Times New Roman"/>
          <w:spacing w:val="-5"/>
          <w:sz w:val="16"/>
          <w:szCs w:val="16"/>
          <w:lang w:val="es-ES_tradnl"/>
        </w:rPr>
        <w:t>ó</w:t>
      </w:r>
      <w:r>
        <w:rPr>
          <w:spacing w:val="-5"/>
          <w:sz w:val="16"/>
          <w:szCs w:val="16"/>
          <w:lang w:val="es-ES_tradnl"/>
        </w:rPr>
        <w:t xml:space="preserve">n de la Abgda. </w:t>
      </w:r>
      <w:r>
        <w:rPr>
          <w:rFonts w:cs="Times New Roman"/>
          <w:spacing w:val="-5"/>
          <w:sz w:val="16"/>
          <w:szCs w:val="16"/>
          <w:lang w:val="es-ES_tradnl"/>
        </w:rPr>
        <w:t>Á</w:t>
      </w:r>
      <w:r>
        <w:rPr>
          <w:spacing w:val="-5"/>
          <w:sz w:val="16"/>
          <w:szCs w:val="16"/>
          <w:lang w:val="es-ES_tradnl"/>
        </w:rPr>
        <w:t xml:space="preserve">ngela Ma. Paredes </w:t>
      </w:r>
      <w:r>
        <w:rPr>
          <w:spacing w:val="-6"/>
          <w:sz w:val="16"/>
          <w:szCs w:val="16"/>
          <w:lang w:val="es-ES_tradnl"/>
        </w:rPr>
        <w:t xml:space="preserve">Cavero, esto es, el 20 de junio del 2011 y la providencia que </w:t>
      </w:r>
      <w:r>
        <w:rPr>
          <w:spacing w:val="-8"/>
          <w:sz w:val="16"/>
          <w:szCs w:val="16"/>
          <w:lang w:val="es-ES_tradnl"/>
        </w:rPr>
        <w:t xml:space="preserve">deniega el recurso (5 de noviembre de 2012), han transcurrido </w:t>
      </w:r>
      <w:r>
        <w:rPr>
          <w:spacing w:val="-4"/>
          <w:sz w:val="16"/>
          <w:szCs w:val="16"/>
          <w:lang w:val="es-ES_tradnl"/>
        </w:rPr>
        <w:t xml:space="preserve">16 meses, tiempo suficiente para que cualquier autoridad, </w:t>
      </w:r>
      <w:r>
        <w:rPr>
          <w:spacing w:val="-5"/>
          <w:sz w:val="16"/>
          <w:szCs w:val="16"/>
          <w:lang w:val="es-ES_tradnl"/>
        </w:rPr>
        <w:t>a</w:t>
      </w:r>
      <w:r>
        <w:rPr>
          <w:rFonts w:cs="Times New Roman"/>
          <w:spacing w:val="-5"/>
          <w:sz w:val="16"/>
          <w:szCs w:val="16"/>
          <w:lang w:val="es-ES_tradnl"/>
        </w:rPr>
        <w:t>ú</w:t>
      </w:r>
      <w:r>
        <w:rPr>
          <w:spacing w:val="-5"/>
          <w:sz w:val="16"/>
          <w:szCs w:val="16"/>
          <w:lang w:val="es-ES_tradnl"/>
        </w:rPr>
        <w:t>n fuera del t</w:t>
      </w:r>
      <w:r>
        <w:rPr>
          <w:rFonts w:cs="Times New Roman"/>
          <w:spacing w:val="-5"/>
          <w:sz w:val="16"/>
          <w:szCs w:val="16"/>
          <w:lang w:val="es-ES_tradnl"/>
        </w:rPr>
        <w:t>é</w:t>
      </w:r>
      <w:r>
        <w:rPr>
          <w:spacing w:val="-5"/>
          <w:sz w:val="16"/>
          <w:szCs w:val="16"/>
          <w:lang w:val="es-ES_tradnl"/>
        </w:rPr>
        <w:t>rmino pueda legitimar la intervenci</w:t>
      </w:r>
      <w:r>
        <w:rPr>
          <w:rFonts w:cs="Times New Roman"/>
          <w:spacing w:val="-5"/>
          <w:sz w:val="16"/>
          <w:szCs w:val="16"/>
          <w:lang w:val="es-ES_tradnl"/>
        </w:rPr>
        <w:t>ó</w:t>
      </w:r>
      <w:r>
        <w:rPr>
          <w:spacing w:val="-5"/>
          <w:sz w:val="16"/>
          <w:szCs w:val="16"/>
          <w:lang w:val="es-ES_tradnl"/>
        </w:rPr>
        <w:t xml:space="preserve">n del </w:t>
      </w:r>
      <w:r>
        <w:rPr>
          <w:spacing w:val="-8"/>
          <w:sz w:val="16"/>
          <w:szCs w:val="16"/>
          <w:lang w:val="es-ES_tradnl"/>
        </w:rPr>
        <w:t>profesional que aparece auspici</w:t>
      </w:r>
      <w:r>
        <w:rPr>
          <w:rFonts w:cs="Times New Roman"/>
          <w:spacing w:val="-8"/>
          <w:sz w:val="16"/>
          <w:szCs w:val="16"/>
          <w:lang w:val="es-ES_tradnl"/>
        </w:rPr>
        <w:t>á</w:t>
      </w:r>
      <w:r>
        <w:rPr>
          <w:spacing w:val="-8"/>
          <w:sz w:val="16"/>
          <w:szCs w:val="16"/>
          <w:lang w:val="es-ES_tradnl"/>
        </w:rPr>
        <w:t xml:space="preserve">ndolo (subsanando cualquier </w:t>
      </w:r>
      <w:r>
        <w:rPr>
          <w:spacing w:val="-4"/>
          <w:sz w:val="16"/>
          <w:szCs w:val="16"/>
          <w:lang w:val="es-ES_tradnl"/>
        </w:rPr>
        <w:t xml:space="preserve">inconveniente que haya tenido que enfrentar) constando </w:t>
      </w:r>
      <w:r>
        <w:rPr>
          <w:spacing w:val="-8"/>
          <w:sz w:val="16"/>
          <w:szCs w:val="16"/>
          <w:lang w:val="es-ES_tradnl"/>
        </w:rPr>
        <w:t>adem</w:t>
      </w:r>
      <w:r>
        <w:rPr>
          <w:rFonts w:cs="Times New Roman"/>
          <w:spacing w:val="-8"/>
          <w:sz w:val="16"/>
          <w:szCs w:val="16"/>
          <w:lang w:val="es-ES_tradnl"/>
        </w:rPr>
        <w:t>á</w:t>
      </w:r>
      <w:r>
        <w:rPr>
          <w:spacing w:val="-8"/>
          <w:sz w:val="16"/>
          <w:szCs w:val="16"/>
          <w:lang w:val="es-ES_tradnl"/>
        </w:rPr>
        <w:t>s de autos que dicha desestimaci</w:t>
      </w:r>
      <w:r>
        <w:rPr>
          <w:rFonts w:cs="Times New Roman"/>
          <w:spacing w:val="-8"/>
          <w:sz w:val="16"/>
          <w:szCs w:val="16"/>
          <w:lang w:val="es-ES_tradnl"/>
        </w:rPr>
        <w:t>ó</w:t>
      </w:r>
      <w:r>
        <w:rPr>
          <w:spacing w:val="-8"/>
          <w:sz w:val="16"/>
          <w:szCs w:val="16"/>
          <w:lang w:val="es-ES_tradnl"/>
        </w:rPr>
        <w:t xml:space="preserve">n no fue intempestiva </w:t>
      </w:r>
      <w:r>
        <w:rPr>
          <w:spacing w:val="-6"/>
          <w:sz w:val="16"/>
          <w:szCs w:val="16"/>
          <w:lang w:val="es-ES_tradnl"/>
        </w:rPr>
        <w:t>sino que incluso precedi</w:t>
      </w:r>
      <w:r>
        <w:rPr>
          <w:rFonts w:cs="Times New Roman"/>
          <w:spacing w:val="-6"/>
          <w:sz w:val="16"/>
          <w:szCs w:val="16"/>
          <w:lang w:val="es-ES_tradnl"/>
        </w:rPr>
        <w:t>ó</w:t>
      </w:r>
      <w:r>
        <w:rPr>
          <w:spacing w:val="-6"/>
          <w:sz w:val="16"/>
          <w:szCs w:val="16"/>
          <w:lang w:val="es-ES_tradnl"/>
        </w:rPr>
        <w:t xml:space="preserve"> disposici</w:t>
      </w:r>
      <w:r>
        <w:rPr>
          <w:rFonts w:cs="Times New Roman"/>
          <w:spacing w:val="-6"/>
          <w:sz w:val="16"/>
          <w:szCs w:val="16"/>
          <w:lang w:val="es-ES_tradnl"/>
        </w:rPr>
        <w:t>ó</w:t>
      </w:r>
      <w:r>
        <w:rPr>
          <w:spacing w:val="-6"/>
          <w:sz w:val="16"/>
          <w:szCs w:val="16"/>
          <w:lang w:val="es-ES_tradnl"/>
        </w:rPr>
        <w:t>n de que se siente por Secretar</w:t>
      </w:r>
      <w:r>
        <w:rPr>
          <w:rFonts w:cs="Times New Roman"/>
          <w:spacing w:val="-6"/>
          <w:sz w:val="16"/>
          <w:szCs w:val="16"/>
          <w:lang w:val="es-ES_tradnl"/>
        </w:rPr>
        <w:t>í</w:t>
      </w:r>
      <w:r>
        <w:rPr>
          <w:spacing w:val="-6"/>
          <w:sz w:val="16"/>
          <w:szCs w:val="16"/>
          <w:lang w:val="es-ES_tradnl"/>
        </w:rPr>
        <w:t>a la raz</w:t>
      </w:r>
      <w:r>
        <w:rPr>
          <w:rFonts w:cs="Times New Roman"/>
          <w:spacing w:val="-6"/>
          <w:sz w:val="16"/>
          <w:szCs w:val="16"/>
          <w:lang w:val="es-ES_tradnl"/>
        </w:rPr>
        <w:t>ó</w:t>
      </w:r>
      <w:r>
        <w:rPr>
          <w:spacing w:val="-6"/>
          <w:sz w:val="16"/>
          <w:szCs w:val="16"/>
          <w:lang w:val="es-ES_tradnl"/>
        </w:rPr>
        <w:t xml:space="preserve">n correspondiente al cumplimiento o </w:t>
      </w:r>
      <w:r>
        <w:rPr>
          <w:sz w:val="16"/>
          <w:szCs w:val="16"/>
          <w:lang w:val="es-ES_tradnl"/>
        </w:rPr>
        <w:t>incumplimiento del deber de legitimaci</w:t>
      </w:r>
      <w:r>
        <w:rPr>
          <w:rFonts w:cs="Times New Roman"/>
          <w:sz w:val="16"/>
          <w:szCs w:val="16"/>
          <w:lang w:val="es-ES_tradnl"/>
        </w:rPr>
        <w:t>ó</w:t>
      </w:r>
      <w:r>
        <w:rPr>
          <w:sz w:val="16"/>
          <w:szCs w:val="16"/>
          <w:lang w:val="es-ES_tradnl"/>
        </w:rPr>
        <w:t>n.</w:t>
      </w:r>
    </w:p>
    <w:p w14:paraId="4F67B887" w14:textId="77777777" w:rsidR="00591D54" w:rsidRDefault="00591D54">
      <w:pPr>
        <w:shd w:val="clear" w:color="auto" w:fill="FFFFFF"/>
        <w:spacing w:before="197" w:line="216" w:lineRule="exact"/>
        <w:jc w:val="both"/>
      </w:pPr>
      <w:r>
        <w:rPr>
          <w:spacing w:val="-8"/>
          <w:sz w:val="18"/>
          <w:szCs w:val="18"/>
          <w:lang w:val="es-ES_tradnl"/>
        </w:rPr>
        <w:t xml:space="preserve">Posteriormente, en el auto demandado, la Sala casacional </w:t>
      </w:r>
      <w:r>
        <w:rPr>
          <w:spacing w:val="-7"/>
          <w:sz w:val="18"/>
          <w:szCs w:val="18"/>
          <w:lang w:val="es-ES_tradnl"/>
        </w:rPr>
        <w:t>se</w:t>
      </w:r>
      <w:r>
        <w:rPr>
          <w:rFonts w:cs="Times New Roman"/>
          <w:spacing w:val="-7"/>
          <w:sz w:val="18"/>
          <w:szCs w:val="18"/>
          <w:lang w:val="es-ES_tradnl"/>
        </w:rPr>
        <w:t>ñ</w:t>
      </w:r>
      <w:r>
        <w:rPr>
          <w:spacing w:val="-7"/>
          <w:sz w:val="18"/>
          <w:szCs w:val="18"/>
          <w:lang w:val="es-ES_tradnl"/>
        </w:rPr>
        <w:t xml:space="preserve">ala que los argumentos expuestos por la autoridad </w:t>
      </w:r>
      <w:r>
        <w:rPr>
          <w:spacing w:val="-5"/>
          <w:sz w:val="18"/>
          <w:szCs w:val="18"/>
          <w:lang w:val="es-ES_tradnl"/>
        </w:rPr>
        <w:t xml:space="preserve">tributaria respecto a que se ha inobservado la norma </w:t>
      </w:r>
      <w:r>
        <w:rPr>
          <w:spacing w:val="-7"/>
          <w:sz w:val="18"/>
          <w:szCs w:val="18"/>
          <w:lang w:val="es-ES_tradnl"/>
        </w:rPr>
        <w:t>contenida en el art</w:t>
      </w:r>
      <w:r>
        <w:rPr>
          <w:rFonts w:cs="Times New Roman"/>
          <w:spacing w:val="-7"/>
          <w:sz w:val="18"/>
          <w:szCs w:val="18"/>
          <w:lang w:val="es-ES_tradnl"/>
        </w:rPr>
        <w:t>í</w:t>
      </w:r>
      <w:r>
        <w:rPr>
          <w:spacing w:val="-7"/>
          <w:sz w:val="18"/>
          <w:szCs w:val="18"/>
          <w:lang w:val="es-ES_tradnl"/>
        </w:rPr>
        <w:t>culo 359 del C</w:t>
      </w:r>
      <w:r>
        <w:rPr>
          <w:rFonts w:cs="Times New Roman"/>
          <w:spacing w:val="-7"/>
          <w:sz w:val="18"/>
          <w:szCs w:val="18"/>
          <w:lang w:val="es-ES_tradnl"/>
        </w:rPr>
        <w:t>ó</w:t>
      </w:r>
      <w:r>
        <w:rPr>
          <w:spacing w:val="-7"/>
          <w:sz w:val="18"/>
          <w:szCs w:val="18"/>
          <w:lang w:val="es-ES_tradnl"/>
        </w:rPr>
        <w:t xml:space="preserve">digo de Procedimiento </w:t>
      </w:r>
      <w:r>
        <w:rPr>
          <w:spacing w:val="-6"/>
          <w:sz w:val="18"/>
          <w:szCs w:val="18"/>
          <w:lang w:val="es-ES_tradnl"/>
        </w:rPr>
        <w:t xml:space="preserve">Civil, la cual posibilita a las partes procesales para que </w:t>
      </w:r>
      <w:r>
        <w:rPr>
          <w:spacing w:val="-7"/>
          <w:sz w:val="18"/>
          <w:szCs w:val="18"/>
          <w:lang w:val="es-ES_tradnl"/>
        </w:rPr>
        <w:t>legitimen la personer</w:t>
      </w:r>
      <w:r>
        <w:rPr>
          <w:rFonts w:cs="Times New Roman"/>
          <w:spacing w:val="-7"/>
          <w:sz w:val="18"/>
          <w:szCs w:val="18"/>
          <w:lang w:val="es-ES_tradnl"/>
        </w:rPr>
        <w:t>í</w:t>
      </w:r>
      <w:r>
        <w:rPr>
          <w:spacing w:val="-7"/>
          <w:sz w:val="18"/>
          <w:szCs w:val="18"/>
          <w:lang w:val="es-ES_tradnl"/>
        </w:rPr>
        <w:t xml:space="preserve">a en cualquiera de las instancias del </w:t>
      </w:r>
      <w:r>
        <w:rPr>
          <w:spacing w:val="-2"/>
          <w:sz w:val="18"/>
          <w:szCs w:val="18"/>
          <w:lang w:val="es-ES_tradnl"/>
        </w:rPr>
        <w:t>juicio, ya sea por s</w:t>
      </w:r>
      <w:r>
        <w:rPr>
          <w:rFonts w:cs="Times New Roman"/>
          <w:spacing w:val="-2"/>
          <w:sz w:val="18"/>
          <w:szCs w:val="18"/>
          <w:lang w:val="es-ES_tradnl"/>
        </w:rPr>
        <w:t>í</w:t>
      </w:r>
      <w:r>
        <w:rPr>
          <w:spacing w:val="-2"/>
          <w:sz w:val="18"/>
          <w:szCs w:val="18"/>
          <w:lang w:val="es-ES_tradnl"/>
        </w:rPr>
        <w:t xml:space="preserve"> mismas, o por orden impartida por </w:t>
      </w:r>
      <w:r>
        <w:rPr>
          <w:spacing w:val="-8"/>
          <w:sz w:val="18"/>
          <w:szCs w:val="18"/>
          <w:lang w:val="es-ES_tradnl"/>
        </w:rPr>
        <w:t xml:space="preserve">el juez de la causa, carecen de sustento, puesto que </w:t>
      </w:r>
      <w:r>
        <w:rPr>
          <w:rFonts w:cs="Times New Roman"/>
          <w:spacing w:val="-8"/>
          <w:sz w:val="18"/>
          <w:szCs w:val="18"/>
          <w:lang w:val="es-ES_tradnl"/>
        </w:rPr>
        <w:t>“</w:t>
      </w:r>
      <w:r>
        <w:rPr>
          <w:spacing w:val="-8"/>
          <w:sz w:val="18"/>
          <w:szCs w:val="18"/>
          <w:lang w:val="es-ES_tradnl"/>
        </w:rPr>
        <w:t xml:space="preserve">es </w:t>
      </w:r>
      <w:r>
        <w:rPr>
          <w:spacing w:val="-9"/>
          <w:sz w:val="18"/>
          <w:szCs w:val="18"/>
          <w:lang w:val="es-ES_tradnl"/>
        </w:rPr>
        <w:t xml:space="preserve">preciso tener en cuenta que las normas que rigen el recurso </w:t>
      </w:r>
      <w:r>
        <w:rPr>
          <w:spacing w:val="-7"/>
          <w:sz w:val="18"/>
          <w:szCs w:val="18"/>
          <w:lang w:val="es-ES_tradnl"/>
        </w:rPr>
        <w:t>de casaci</w:t>
      </w:r>
      <w:r>
        <w:rPr>
          <w:rFonts w:cs="Times New Roman"/>
          <w:spacing w:val="-7"/>
          <w:sz w:val="18"/>
          <w:szCs w:val="18"/>
          <w:lang w:val="es-ES_tradnl"/>
        </w:rPr>
        <w:t>ó</w:t>
      </w:r>
      <w:r>
        <w:rPr>
          <w:spacing w:val="-7"/>
          <w:sz w:val="18"/>
          <w:szCs w:val="18"/>
          <w:lang w:val="es-ES_tradnl"/>
        </w:rPr>
        <w:t>n son especiales y no admiten ning</w:t>
      </w:r>
      <w:r>
        <w:rPr>
          <w:rFonts w:cs="Times New Roman"/>
          <w:spacing w:val="-7"/>
          <w:sz w:val="18"/>
          <w:szCs w:val="18"/>
          <w:lang w:val="es-ES_tradnl"/>
        </w:rPr>
        <w:t>ú</w:t>
      </w:r>
      <w:r>
        <w:rPr>
          <w:spacing w:val="-7"/>
          <w:sz w:val="18"/>
          <w:szCs w:val="18"/>
          <w:lang w:val="es-ES_tradnl"/>
        </w:rPr>
        <w:t xml:space="preserve">n tipo de </w:t>
      </w:r>
      <w:r>
        <w:rPr>
          <w:spacing w:val="-2"/>
          <w:sz w:val="18"/>
          <w:szCs w:val="18"/>
          <w:lang w:val="es-ES_tradnl"/>
        </w:rPr>
        <w:t>incidentes. Las partes tienen la obligaci</w:t>
      </w:r>
      <w:r>
        <w:rPr>
          <w:rFonts w:cs="Times New Roman"/>
          <w:spacing w:val="-2"/>
          <w:sz w:val="18"/>
          <w:szCs w:val="18"/>
          <w:lang w:val="es-ES_tradnl"/>
        </w:rPr>
        <w:t>ó</w:t>
      </w:r>
      <w:r>
        <w:rPr>
          <w:spacing w:val="-2"/>
          <w:sz w:val="18"/>
          <w:szCs w:val="18"/>
          <w:lang w:val="es-ES_tradnl"/>
        </w:rPr>
        <w:t xml:space="preserve">n de legitimar </w:t>
      </w:r>
      <w:r>
        <w:rPr>
          <w:spacing w:val="-7"/>
          <w:sz w:val="18"/>
          <w:szCs w:val="18"/>
          <w:lang w:val="es-ES_tradnl"/>
        </w:rPr>
        <w:t xml:space="preserve">sus intervenciones sin necesidad de requerimiento previo, </w:t>
      </w:r>
      <w:r>
        <w:rPr>
          <w:spacing w:val="-9"/>
          <w:sz w:val="18"/>
          <w:szCs w:val="18"/>
          <w:lang w:val="es-ES_tradnl"/>
        </w:rPr>
        <w:t>desde el momento mismo de la presentaci</w:t>
      </w:r>
      <w:r>
        <w:rPr>
          <w:rFonts w:cs="Times New Roman"/>
          <w:spacing w:val="-9"/>
          <w:sz w:val="18"/>
          <w:szCs w:val="18"/>
          <w:lang w:val="es-ES_tradnl"/>
        </w:rPr>
        <w:t>ó</w:t>
      </w:r>
      <w:r>
        <w:rPr>
          <w:spacing w:val="-9"/>
          <w:sz w:val="18"/>
          <w:szCs w:val="18"/>
          <w:lang w:val="es-ES_tradnl"/>
        </w:rPr>
        <w:t xml:space="preserve">n del recurso. Y </w:t>
      </w:r>
      <w:r>
        <w:rPr>
          <w:spacing w:val="-4"/>
          <w:sz w:val="18"/>
          <w:szCs w:val="18"/>
          <w:lang w:val="es-ES_tradnl"/>
        </w:rPr>
        <w:t xml:space="preserve">por </w:t>
      </w:r>
      <w:r>
        <w:rPr>
          <w:rFonts w:cs="Times New Roman"/>
          <w:spacing w:val="-4"/>
          <w:sz w:val="18"/>
          <w:szCs w:val="18"/>
          <w:lang w:val="es-ES_tradnl"/>
        </w:rPr>
        <w:t>ú</w:t>
      </w:r>
      <w:r>
        <w:rPr>
          <w:spacing w:val="-4"/>
          <w:sz w:val="18"/>
          <w:szCs w:val="18"/>
          <w:lang w:val="es-ES_tradnl"/>
        </w:rPr>
        <w:t>ltimo, conforme el Art. 330 del C</w:t>
      </w:r>
      <w:r>
        <w:rPr>
          <w:rFonts w:cs="Times New Roman"/>
          <w:spacing w:val="-4"/>
          <w:sz w:val="18"/>
          <w:szCs w:val="18"/>
          <w:lang w:val="es-ES_tradnl"/>
        </w:rPr>
        <w:t>ó</w:t>
      </w:r>
      <w:r>
        <w:rPr>
          <w:spacing w:val="-4"/>
          <w:sz w:val="18"/>
          <w:szCs w:val="18"/>
          <w:lang w:val="es-ES_tradnl"/>
        </w:rPr>
        <w:t>digo Org</w:t>
      </w:r>
      <w:r>
        <w:rPr>
          <w:rFonts w:cs="Times New Roman"/>
          <w:spacing w:val="-4"/>
          <w:sz w:val="18"/>
          <w:szCs w:val="18"/>
          <w:lang w:val="es-ES_tradnl"/>
        </w:rPr>
        <w:t>á</w:t>
      </w:r>
      <w:r>
        <w:rPr>
          <w:spacing w:val="-4"/>
          <w:sz w:val="18"/>
          <w:szCs w:val="18"/>
          <w:lang w:val="es-ES_tradnl"/>
        </w:rPr>
        <w:t xml:space="preserve">nico de </w:t>
      </w:r>
      <w:r>
        <w:rPr>
          <w:spacing w:val="-6"/>
          <w:sz w:val="18"/>
          <w:szCs w:val="18"/>
          <w:lang w:val="es-ES_tradnl"/>
        </w:rPr>
        <w:t>la Funci</w:t>
      </w:r>
      <w:r>
        <w:rPr>
          <w:rFonts w:cs="Times New Roman"/>
          <w:spacing w:val="-6"/>
          <w:sz w:val="18"/>
          <w:szCs w:val="18"/>
          <w:lang w:val="es-ES_tradnl"/>
        </w:rPr>
        <w:t>ó</w:t>
      </w:r>
      <w:r>
        <w:rPr>
          <w:spacing w:val="-6"/>
          <w:sz w:val="18"/>
          <w:szCs w:val="18"/>
          <w:lang w:val="es-ES_tradnl"/>
        </w:rPr>
        <w:t xml:space="preserve">n Judicial, es deber del abogado en el patrocinio </w:t>
      </w:r>
      <w:r>
        <w:rPr>
          <w:spacing w:val="-7"/>
          <w:sz w:val="18"/>
          <w:szCs w:val="18"/>
          <w:lang w:val="es-ES_tradnl"/>
        </w:rPr>
        <w:t xml:space="preserve">de las causas actuar al servicio de la justicia y para este objeto colaborar con los jueces y tribunales, lo que incluye el cumplimiento de las disposiciones que </w:t>
      </w:r>
      <w:r>
        <w:rPr>
          <w:rFonts w:cs="Times New Roman"/>
          <w:spacing w:val="-7"/>
          <w:sz w:val="18"/>
          <w:szCs w:val="18"/>
          <w:lang w:val="es-ES_tradnl"/>
        </w:rPr>
        <w:t>é</w:t>
      </w:r>
      <w:r>
        <w:rPr>
          <w:spacing w:val="-7"/>
          <w:sz w:val="18"/>
          <w:szCs w:val="18"/>
          <w:lang w:val="es-ES_tradnl"/>
        </w:rPr>
        <w:t xml:space="preserve">stos den en la </w:t>
      </w:r>
      <w:r>
        <w:rPr>
          <w:sz w:val="18"/>
          <w:szCs w:val="18"/>
          <w:lang w:val="es-ES_tradnl"/>
        </w:rPr>
        <w:t>tramitaci</w:t>
      </w:r>
      <w:r>
        <w:rPr>
          <w:rFonts w:cs="Times New Roman"/>
          <w:sz w:val="18"/>
          <w:szCs w:val="18"/>
          <w:lang w:val="es-ES_tradnl"/>
        </w:rPr>
        <w:t>ó</w:t>
      </w:r>
      <w:r>
        <w:rPr>
          <w:sz w:val="18"/>
          <w:szCs w:val="18"/>
          <w:lang w:val="es-ES_tradnl"/>
        </w:rPr>
        <w:t>n del proceso</w:t>
      </w:r>
      <w:r>
        <w:rPr>
          <w:rFonts w:cs="Times New Roman"/>
          <w:sz w:val="18"/>
          <w:szCs w:val="18"/>
          <w:lang w:val="es-ES_tradnl"/>
        </w:rPr>
        <w:t>”</w:t>
      </w:r>
      <w:r>
        <w:rPr>
          <w:sz w:val="18"/>
          <w:szCs w:val="18"/>
          <w:lang w:val="es-ES_tradnl"/>
        </w:rPr>
        <w:t>.</w:t>
      </w:r>
    </w:p>
    <w:p w14:paraId="4F67B888" w14:textId="77777777" w:rsidR="00591D54" w:rsidRDefault="00591D54">
      <w:pPr>
        <w:shd w:val="clear" w:color="auto" w:fill="FFFFFF"/>
        <w:spacing w:before="739" w:line="178" w:lineRule="exact"/>
        <w:ind w:left="144" w:hanging="144"/>
      </w:pPr>
      <w:r>
        <w:rPr>
          <w:sz w:val="16"/>
          <w:szCs w:val="16"/>
          <w:vertAlign w:val="superscript"/>
          <w:lang w:val="es-ES_tradnl"/>
        </w:rPr>
        <w:t>3</w:t>
      </w:r>
      <w:r>
        <w:rPr>
          <w:sz w:val="16"/>
          <w:szCs w:val="16"/>
          <w:lang w:val="es-ES_tradnl"/>
        </w:rPr>
        <w:t xml:space="preserve">  </w:t>
      </w:r>
      <w:r>
        <w:rPr>
          <w:spacing w:val="-8"/>
          <w:sz w:val="16"/>
          <w:szCs w:val="16"/>
          <w:lang w:val="es-ES_tradnl"/>
        </w:rPr>
        <w:t>Corte Constitucional del Ecuador, sentencia N.</w:t>
      </w:r>
      <w:r>
        <w:rPr>
          <w:rFonts w:cs="Times New Roman"/>
          <w:spacing w:val="-8"/>
          <w:sz w:val="16"/>
          <w:szCs w:val="16"/>
          <w:lang w:val="es-ES_tradnl"/>
        </w:rPr>
        <w:t>°</w:t>
      </w:r>
      <w:r>
        <w:rPr>
          <w:spacing w:val="-8"/>
          <w:sz w:val="16"/>
          <w:szCs w:val="16"/>
          <w:lang w:val="es-ES_tradnl"/>
        </w:rPr>
        <w:t xml:space="preserve"> 076-14-SEP-CC, </w:t>
      </w:r>
      <w:r>
        <w:rPr>
          <w:sz w:val="16"/>
          <w:szCs w:val="16"/>
          <w:lang w:val="es-ES_tradnl"/>
        </w:rPr>
        <w:t>caso N.</w:t>
      </w:r>
      <w:r>
        <w:rPr>
          <w:rFonts w:cs="Times New Roman"/>
          <w:sz w:val="16"/>
          <w:szCs w:val="16"/>
          <w:lang w:val="es-ES_tradnl"/>
        </w:rPr>
        <w:t>°</w:t>
      </w:r>
      <w:r>
        <w:rPr>
          <w:sz w:val="16"/>
          <w:szCs w:val="16"/>
          <w:lang w:val="es-ES_tradnl"/>
        </w:rPr>
        <w:t xml:space="preserve"> 1678-11-EP.</w:t>
      </w:r>
    </w:p>
    <w:p w14:paraId="4F67B889" w14:textId="77777777" w:rsidR="00591D54" w:rsidRDefault="00591D54">
      <w:pPr>
        <w:shd w:val="clear" w:color="auto" w:fill="FFFFFF"/>
        <w:spacing w:before="739" w:line="178" w:lineRule="exact"/>
        <w:ind w:left="144" w:hanging="144"/>
        <w:sectPr w:rsidR="00591D54">
          <w:type w:val="continuous"/>
          <w:pgSz w:w="11909" w:h="16834"/>
          <w:pgMar w:top="1356" w:right="1304" w:bottom="360" w:left="1308" w:header="720" w:footer="720" w:gutter="0"/>
          <w:cols w:num="2" w:space="720" w:equalWidth="0">
            <w:col w:w="4305" w:space="682"/>
            <w:col w:w="4310"/>
          </w:cols>
          <w:noEndnote/>
        </w:sectPr>
      </w:pPr>
    </w:p>
    <w:p w14:paraId="4F67B88A" w14:textId="77777777" w:rsidR="00591D54" w:rsidRDefault="00591D54">
      <w:pPr>
        <w:shd w:val="clear" w:color="auto" w:fill="FFFFFF"/>
        <w:tabs>
          <w:tab w:val="left" w:pos="4814"/>
        </w:tabs>
        <w:spacing w:after="235"/>
        <w:ind w:left="5"/>
      </w:pPr>
      <w:r>
        <w:rPr>
          <w:b/>
          <w:bCs/>
          <w:sz w:val="18"/>
          <w:szCs w:val="18"/>
          <w:lang w:val="es-ES_tradnl"/>
        </w:rPr>
        <w:t xml:space="preserve">256 -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88B" w14:textId="77777777" w:rsidR="00591D54" w:rsidRDefault="00591D54">
      <w:pPr>
        <w:shd w:val="clear" w:color="auto" w:fill="FFFFFF"/>
        <w:tabs>
          <w:tab w:val="left" w:pos="4814"/>
        </w:tabs>
        <w:spacing w:after="235"/>
        <w:ind w:left="5"/>
        <w:sectPr w:rsidR="00591D54">
          <w:pgSz w:w="11909" w:h="16834"/>
          <w:pgMar w:top="1356" w:right="1309" w:bottom="360" w:left="1308" w:header="720" w:footer="720" w:gutter="0"/>
          <w:cols w:space="60"/>
          <w:noEndnote/>
        </w:sectPr>
      </w:pPr>
    </w:p>
    <w:p w14:paraId="4F67B88C" w14:textId="77777777" w:rsidR="00591D54" w:rsidRDefault="00591D54">
      <w:pPr>
        <w:shd w:val="clear" w:color="auto" w:fill="FFFFFF"/>
        <w:spacing w:line="221" w:lineRule="exact"/>
        <w:jc w:val="both"/>
      </w:pPr>
      <w:r>
        <w:rPr>
          <w:spacing w:val="-8"/>
          <w:sz w:val="18"/>
          <w:szCs w:val="18"/>
          <w:lang w:val="es-ES_tradnl"/>
        </w:rPr>
        <w:t xml:space="preserve">De los argumentos que sustentan el auto demandado se </w:t>
      </w:r>
      <w:r>
        <w:rPr>
          <w:spacing w:val="-7"/>
          <w:sz w:val="18"/>
          <w:szCs w:val="18"/>
          <w:lang w:val="es-ES_tradnl"/>
        </w:rPr>
        <w:t xml:space="preserve">advierte que los jueces casacionales explican claramente </w:t>
      </w:r>
      <w:r>
        <w:rPr>
          <w:spacing w:val="-4"/>
          <w:sz w:val="18"/>
          <w:szCs w:val="18"/>
          <w:lang w:val="es-ES_tradnl"/>
        </w:rPr>
        <w:t>que la presentaci</w:t>
      </w:r>
      <w:r>
        <w:rPr>
          <w:rFonts w:cs="Times New Roman"/>
          <w:spacing w:val="-4"/>
          <w:sz w:val="18"/>
          <w:szCs w:val="18"/>
          <w:lang w:val="es-ES_tradnl"/>
        </w:rPr>
        <w:t>ó</w:t>
      </w:r>
      <w:r>
        <w:rPr>
          <w:spacing w:val="-4"/>
          <w:sz w:val="18"/>
          <w:szCs w:val="18"/>
          <w:lang w:val="es-ES_tradnl"/>
        </w:rPr>
        <w:t>n de un recurso de casaci</w:t>
      </w:r>
      <w:r>
        <w:rPr>
          <w:rFonts w:cs="Times New Roman"/>
          <w:spacing w:val="-4"/>
          <w:sz w:val="18"/>
          <w:szCs w:val="18"/>
          <w:lang w:val="es-ES_tradnl"/>
        </w:rPr>
        <w:t>ó</w:t>
      </w:r>
      <w:r>
        <w:rPr>
          <w:spacing w:val="-4"/>
          <w:sz w:val="18"/>
          <w:szCs w:val="18"/>
          <w:lang w:val="es-ES_tradnl"/>
        </w:rPr>
        <w:t xml:space="preserve">n tiene </w:t>
      </w:r>
      <w:r>
        <w:rPr>
          <w:spacing w:val="-3"/>
          <w:sz w:val="18"/>
          <w:szCs w:val="18"/>
          <w:lang w:val="es-ES_tradnl"/>
        </w:rPr>
        <w:t>marcados condicionamientos y requisitos para su presentaci</w:t>
      </w:r>
      <w:r>
        <w:rPr>
          <w:rFonts w:cs="Times New Roman"/>
          <w:spacing w:val="-3"/>
          <w:sz w:val="18"/>
          <w:szCs w:val="18"/>
          <w:lang w:val="es-ES_tradnl"/>
        </w:rPr>
        <w:t>ó</w:t>
      </w:r>
      <w:r>
        <w:rPr>
          <w:spacing w:val="-3"/>
          <w:sz w:val="18"/>
          <w:szCs w:val="18"/>
          <w:lang w:val="es-ES_tradnl"/>
        </w:rPr>
        <w:t>n, tramitaci</w:t>
      </w:r>
      <w:r>
        <w:rPr>
          <w:rFonts w:cs="Times New Roman"/>
          <w:spacing w:val="-3"/>
          <w:sz w:val="18"/>
          <w:szCs w:val="18"/>
          <w:lang w:val="es-ES_tradnl"/>
        </w:rPr>
        <w:t>ó</w:t>
      </w:r>
      <w:r>
        <w:rPr>
          <w:spacing w:val="-3"/>
          <w:sz w:val="18"/>
          <w:szCs w:val="18"/>
          <w:lang w:val="es-ES_tradnl"/>
        </w:rPr>
        <w:t>n y resoluci</w:t>
      </w:r>
      <w:r>
        <w:rPr>
          <w:rFonts w:cs="Times New Roman"/>
          <w:spacing w:val="-3"/>
          <w:sz w:val="18"/>
          <w:szCs w:val="18"/>
          <w:lang w:val="es-ES_tradnl"/>
        </w:rPr>
        <w:t>ó</w:t>
      </w:r>
      <w:r>
        <w:rPr>
          <w:spacing w:val="-3"/>
          <w:sz w:val="18"/>
          <w:szCs w:val="18"/>
          <w:lang w:val="es-ES_tradnl"/>
        </w:rPr>
        <w:t xml:space="preserve">n, por lo que le </w:t>
      </w:r>
      <w:r>
        <w:rPr>
          <w:spacing w:val="-2"/>
          <w:sz w:val="18"/>
          <w:szCs w:val="18"/>
          <w:lang w:val="es-ES_tradnl"/>
        </w:rPr>
        <w:t>correspond</w:t>
      </w:r>
      <w:r>
        <w:rPr>
          <w:rFonts w:cs="Times New Roman"/>
          <w:spacing w:val="-2"/>
          <w:sz w:val="18"/>
          <w:szCs w:val="18"/>
          <w:lang w:val="es-ES_tradnl"/>
        </w:rPr>
        <w:t>í</w:t>
      </w:r>
      <w:r>
        <w:rPr>
          <w:spacing w:val="-2"/>
          <w:sz w:val="18"/>
          <w:szCs w:val="18"/>
          <w:lang w:val="es-ES_tradnl"/>
        </w:rPr>
        <w:t xml:space="preserve">a a la autoridad tributaria cumplir con el </w:t>
      </w:r>
      <w:r>
        <w:rPr>
          <w:spacing w:val="-1"/>
          <w:sz w:val="18"/>
          <w:szCs w:val="18"/>
          <w:lang w:val="es-ES_tradnl"/>
        </w:rPr>
        <w:t xml:space="preserve">mandato del Tribunal </w:t>
      </w:r>
      <w:r>
        <w:rPr>
          <w:i/>
          <w:iCs/>
          <w:spacing w:val="-1"/>
          <w:sz w:val="18"/>
          <w:szCs w:val="18"/>
          <w:lang w:val="es-ES_tradnl"/>
        </w:rPr>
        <w:t xml:space="preserve">ad quem </w:t>
      </w:r>
      <w:r>
        <w:rPr>
          <w:spacing w:val="-1"/>
          <w:sz w:val="18"/>
          <w:szCs w:val="18"/>
          <w:lang w:val="es-ES_tradnl"/>
        </w:rPr>
        <w:t xml:space="preserve">y con la normativa </w:t>
      </w:r>
      <w:r>
        <w:rPr>
          <w:spacing w:val="-5"/>
          <w:sz w:val="18"/>
          <w:szCs w:val="18"/>
          <w:lang w:val="es-ES_tradnl"/>
        </w:rPr>
        <w:t>respectiva, para lo cual tuvo m</w:t>
      </w:r>
      <w:r>
        <w:rPr>
          <w:rFonts w:cs="Times New Roman"/>
          <w:spacing w:val="-5"/>
          <w:sz w:val="18"/>
          <w:szCs w:val="18"/>
          <w:lang w:val="es-ES_tradnl"/>
        </w:rPr>
        <w:t>á</w:t>
      </w:r>
      <w:r>
        <w:rPr>
          <w:spacing w:val="-5"/>
          <w:sz w:val="18"/>
          <w:szCs w:val="18"/>
          <w:lang w:val="es-ES_tradnl"/>
        </w:rPr>
        <w:t>s de un a</w:t>
      </w:r>
      <w:r>
        <w:rPr>
          <w:rFonts w:cs="Times New Roman"/>
          <w:spacing w:val="-5"/>
          <w:sz w:val="18"/>
          <w:szCs w:val="18"/>
          <w:lang w:val="es-ES_tradnl"/>
        </w:rPr>
        <w:t>ñ</w:t>
      </w:r>
      <w:r>
        <w:rPr>
          <w:spacing w:val="-5"/>
          <w:sz w:val="18"/>
          <w:szCs w:val="18"/>
          <w:lang w:val="es-ES_tradnl"/>
        </w:rPr>
        <w:t>o y no lo hizo.</w:t>
      </w:r>
    </w:p>
    <w:p w14:paraId="4F67B88D" w14:textId="77777777" w:rsidR="00591D54" w:rsidRDefault="00591D54">
      <w:pPr>
        <w:shd w:val="clear" w:color="auto" w:fill="FFFFFF"/>
        <w:spacing w:before="202" w:line="221" w:lineRule="exact"/>
        <w:jc w:val="both"/>
      </w:pPr>
      <w:r>
        <w:rPr>
          <w:spacing w:val="-8"/>
          <w:sz w:val="18"/>
          <w:szCs w:val="18"/>
          <w:lang w:val="es-ES_tradnl"/>
        </w:rPr>
        <w:t>Del an</w:t>
      </w:r>
      <w:r>
        <w:rPr>
          <w:rFonts w:cs="Times New Roman"/>
          <w:spacing w:val="-8"/>
          <w:sz w:val="18"/>
          <w:szCs w:val="18"/>
          <w:lang w:val="es-ES_tradnl"/>
        </w:rPr>
        <w:t>á</w:t>
      </w:r>
      <w:r>
        <w:rPr>
          <w:spacing w:val="-8"/>
          <w:sz w:val="18"/>
          <w:szCs w:val="18"/>
          <w:lang w:val="es-ES_tradnl"/>
        </w:rPr>
        <w:t xml:space="preserve">lisis efectuado por esta Corte, en efecto se observa </w:t>
      </w:r>
      <w:r>
        <w:rPr>
          <w:spacing w:val="-2"/>
          <w:sz w:val="18"/>
          <w:szCs w:val="18"/>
          <w:lang w:val="es-ES_tradnl"/>
        </w:rPr>
        <w:t xml:space="preserve">que a fojas 32 del expediente de instancia consta el </w:t>
      </w:r>
      <w:r>
        <w:rPr>
          <w:spacing w:val="-5"/>
          <w:sz w:val="18"/>
          <w:szCs w:val="18"/>
          <w:lang w:val="es-ES_tradnl"/>
        </w:rPr>
        <w:t>recurso de casaci</w:t>
      </w:r>
      <w:r>
        <w:rPr>
          <w:rFonts w:cs="Times New Roman"/>
          <w:spacing w:val="-5"/>
          <w:sz w:val="18"/>
          <w:szCs w:val="18"/>
          <w:lang w:val="es-ES_tradnl"/>
        </w:rPr>
        <w:t>ó</w:t>
      </w:r>
      <w:r>
        <w:rPr>
          <w:spacing w:val="-5"/>
          <w:sz w:val="18"/>
          <w:szCs w:val="18"/>
          <w:lang w:val="es-ES_tradnl"/>
        </w:rPr>
        <w:t xml:space="preserve">n interpuesto por la Ab. </w:t>
      </w:r>
      <w:r>
        <w:rPr>
          <w:rFonts w:cs="Times New Roman"/>
          <w:spacing w:val="-5"/>
          <w:sz w:val="18"/>
          <w:szCs w:val="18"/>
          <w:lang w:val="es-ES_tradnl"/>
        </w:rPr>
        <w:t>Á</w:t>
      </w:r>
      <w:r>
        <w:rPr>
          <w:spacing w:val="-5"/>
          <w:sz w:val="18"/>
          <w:szCs w:val="18"/>
          <w:lang w:val="es-ES_tradnl"/>
        </w:rPr>
        <w:t>ngela Mar</w:t>
      </w:r>
      <w:r>
        <w:rPr>
          <w:rFonts w:cs="Times New Roman"/>
          <w:spacing w:val="-5"/>
          <w:sz w:val="18"/>
          <w:szCs w:val="18"/>
          <w:lang w:val="es-ES_tradnl"/>
        </w:rPr>
        <w:t>í</w:t>
      </w:r>
      <w:r>
        <w:rPr>
          <w:spacing w:val="-5"/>
          <w:sz w:val="18"/>
          <w:szCs w:val="18"/>
          <w:lang w:val="es-ES_tradnl"/>
        </w:rPr>
        <w:t xml:space="preserve">a </w:t>
      </w:r>
      <w:r>
        <w:rPr>
          <w:spacing w:val="-7"/>
          <w:sz w:val="18"/>
          <w:szCs w:val="18"/>
          <w:lang w:val="es-ES_tradnl"/>
        </w:rPr>
        <w:t>Paredes Cavero, quien antes de su firma se</w:t>
      </w:r>
      <w:r>
        <w:rPr>
          <w:rFonts w:cs="Times New Roman"/>
          <w:spacing w:val="-7"/>
          <w:sz w:val="18"/>
          <w:szCs w:val="18"/>
          <w:lang w:val="es-ES_tradnl"/>
        </w:rPr>
        <w:t>ñ</w:t>
      </w:r>
      <w:r>
        <w:rPr>
          <w:spacing w:val="-7"/>
          <w:sz w:val="18"/>
          <w:szCs w:val="18"/>
          <w:lang w:val="es-ES_tradnl"/>
        </w:rPr>
        <w:t xml:space="preserve">ala </w:t>
      </w:r>
      <w:r>
        <w:rPr>
          <w:rFonts w:cs="Times New Roman"/>
          <w:spacing w:val="-7"/>
          <w:sz w:val="18"/>
          <w:szCs w:val="18"/>
          <w:lang w:val="es-ES_tradnl"/>
        </w:rPr>
        <w:t>“</w:t>
      </w:r>
      <w:r>
        <w:rPr>
          <w:spacing w:val="-7"/>
          <w:sz w:val="18"/>
          <w:szCs w:val="18"/>
          <w:lang w:val="es-ES_tradnl"/>
        </w:rPr>
        <w:t xml:space="preserve">A ruego </w:t>
      </w:r>
      <w:r>
        <w:rPr>
          <w:spacing w:val="-5"/>
          <w:sz w:val="18"/>
          <w:szCs w:val="18"/>
          <w:lang w:val="es-ES_tradnl"/>
        </w:rPr>
        <w:t>de peticionario, ofrezco ratificaci</w:t>
      </w:r>
      <w:r>
        <w:rPr>
          <w:rFonts w:cs="Times New Roman"/>
          <w:spacing w:val="-5"/>
          <w:sz w:val="18"/>
          <w:szCs w:val="18"/>
          <w:lang w:val="es-ES_tradnl"/>
        </w:rPr>
        <w:t>ó</w:t>
      </w:r>
      <w:r>
        <w:rPr>
          <w:spacing w:val="-5"/>
          <w:sz w:val="18"/>
          <w:szCs w:val="18"/>
          <w:lang w:val="es-ES_tradnl"/>
        </w:rPr>
        <w:t>n posterior</w:t>
      </w:r>
      <w:r>
        <w:rPr>
          <w:rFonts w:cs="Times New Roman"/>
          <w:spacing w:val="-5"/>
          <w:sz w:val="18"/>
          <w:szCs w:val="18"/>
          <w:lang w:val="es-ES_tradnl"/>
        </w:rPr>
        <w:t>”</w:t>
      </w:r>
      <w:r>
        <w:rPr>
          <w:spacing w:val="-5"/>
          <w:sz w:val="18"/>
          <w:szCs w:val="18"/>
          <w:lang w:val="es-ES_tradnl"/>
        </w:rPr>
        <w:t xml:space="preserve">. Por ello, a </w:t>
      </w:r>
      <w:r>
        <w:rPr>
          <w:spacing w:val="-4"/>
          <w:sz w:val="18"/>
          <w:szCs w:val="18"/>
          <w:lang w:val="es-ES_tradnl"/>
        </w:rPr>
        <w:t xml:space="preserve">fojas 36, consta que el Tribunal Distrital de lo Fiscal, con </w:t>
      </w:r>
      <w:r>
        <w:rPr>
          <w:spacing w:val="-7"/>
          <w:sz w:val="18"/>
          <w:szCs w:val="18"/>
          <w:lang w:val="es-ES_tradnl"/>
        </w:rPr>
        <w:t>fecha 20 de junio de 2011, se</w:t>
      </w:r>
      <w:r>
        <w:rPr>
          <w:rFonts w:cs="Times New Roman"/>
          <w:spacing w:val="-7"/>
          <w:sz w:val="18"/>
          <w:szCs w:val="18"/>
          <w:lang w:val="es-ES_tradnl"/>
        </w:rPr>
        <w:t>ñ</w:t>
      </w:r>
      <w:r>
        <w:rPr>
          <w:spacing w:val="-7"/>
          <w:sz w:val="18"/>
          <w:szCs w:val="18"/>
          <w:lang w:val="es-ES_tradnl"/>
        </w:rPr>
        <w:t xml:space="preserve">ala que previo a calificar el </w:t>
      </w:r>
      <w:r>
        <w:rPr>
          <w:spacing w:val="-6"/>
          <w:sz w:val="18"/>
          <w:szCs w:val="18"/>
          <w:lang w:val="es-ES_tradnl"/>
        </w:rPr>
        <w:t>recurso se concede tres d</w:t>
      </w:r>
      <w:r>
        <w:rPr>
          <w:rFonts w:cs="Times New Roman"/>
          <w:spacing w:val="-6"/>
          <w:sz w:val="18"/>
          <w:szCs w:val="18"/>
          <w:lang w:val="es-ES_tradnl"/>
        </w:rPr>
        <w:t>í</w:t>
      </w:r>
      <w:r>
        <w:rPr>
          <w:spacing w:val="-6"/>
          <w:sz w:val="18"/>
          <w:szCs w:val="18"/>
          <w:lang w:val="es-ES_tradnl"/>
        </w:rPr>
        <w:t xml:space="preserve">as a la autoridad tributaria para que ratifique el escrito presentado, bajo prevenciones de </w:t>
      </w:r>
      <w:r>
        <w:rPr>
          <w:spacing w:val="-9"/>
          <w:sz w:val="18"/>
          <w:szCs w:val="18"/>
          <w:lang w:val="es-ES_tradnl"/>
        </w:rPr>
        <w:t xml:space="preserve">ley. Previo a despachar, el 2 de agosto de 2011 (a fojas 38), </w:t>
      </w:r>
      <w:r>
        <w:rPr>
          <w:spacing w:val="-5"/>
          <w:sz w:val="18"/>
          <w:szCs w:val="18"/>
          <w:lang w:val="es-ES_tradnl"/>
        </w:rPr>
        <w:t>el Tribunal solicita que se siente raz</w:t>
      </w:r>
      <w:r>
        <w:rPr>
          <w:rFonts w:cs="Times New Roman"/>
          <w:spacing w:val="-5"/>
          <w:sz w:val="18"/>
          <w:szCs w:val="18"/>
          <w:lang w:val="es-ES_tradnl"/>
        </w:rPr>
        <w:t>ó</w:t>
      </w:r>
      <w:r>
        <w:rPr>
          <w:spacing w:val="-5"/>
          <w:sz w:val="18"/>
          <w:szCs w:val="18"/>
          <w:lang w:val="es-ES_tradnl"/>
        </w:rPr>
        <w:t>n de si el recurrente ha presentado escrito de ratificaci</w:t>
      </w:r>
      <w:r>
        <w:rPr>
          <w:rFonts w:cs="Times New Roman"/>
          <w:spacing w:val="-5"/>
          <w:sz w:val="18"/>
          <w:szCs w:val="18"/>
          <w:lang w:val="es-ES_tradnl"/>
        </w:rPr>
        <w:t>ó</w:t>
      </w:r>
      <w:r>
        <w:rPr>
          <w:spacing w:val="-5"/>
          <w:sz w:val="18"/>
          <w:szCs w:val="18"/>
          <w:lang w:val="es-ES_tradnl"/>
        </w:rPr>
        <w:t xml:space="preserve">n. Al respecto, a fojas </w:t>
      </w:r>
      <w:r>
        <w:rPr>
          <w:spacing w:val="-3"/>
          <w:sz w:val="18"/>
          <w:szCs w:val="18"/>
          <w:lang w:val="es-ES_tradnl"/>
        </w:rPr>
        <w:t xml:space="preserve">40, la secretaria relatora, con fecha 14 de noviembre, </w:t>
      </w:r>
      <w:r>
        <w:rPr>
          <w:spacing w:val="-7"/>
          <w:sz w:val="18"/>
          <w:szCs w:val="18"/>
          <w:lang w:val="es-ES_tradnl"/>
        </w:rPr>
        <w:t>sienta raz</w:t>
      </w:r>
      <w:r>
        <w:rPr>
          <w:rFonts w:cs="Times New Roman"/>
          <w:spacing w:val="-7"/>
          <w:sz w:val="18"/>
          <w:szCs w:val="18"/>
          <w:lang w:val="es-ES_tradnl"/>
        </w:rPr>
        <w:t>ó</w:t>
      </w:r>
      <w:r>
        <w:rPr>
          <w:spacing w:val="-7"/>
          <w:sz w:val="18"/>
          <w:szCs w:val="18"/>
          <w:lang w:val="es-ES_tradnl"/>
        </w:rPr>
        <w:t>n se</w:t>
      </w:r>
      <w:r>
        <w:rPr>
          <w:rFonts w:cs="Times New Roman"/>
          <w:spacing w:val="-7"/>
          <w:sz w:val="18"/>
          <w:szCs w:val="18"/>
          <w:lang w:val="es-ES_tradnl"/>
        </w:rPr>
        <w:t>ñ</w:t>
      </w:r>
      <w:r>
        <w:rPr>
          <w:spacing w:val="-7"/>
          <w:sz w:val="18"/>
          <w:szCs w:val="18"/>
          <w:lang w:val="es-ES_tradnl"/>
        </w:rPr>
        <w:t>alando que no se ha dado contestaci</w:t>
      </w:r>
      <w:r>
        <w:rPr>
          <w:rFonts w:cs="Times New Roman"/>
          <w:spacing w:val="-7"/>
          <w:sz w:val="18"/>
          <w:szCs w:val="18"/>
          <w:lang w:val="es-ES_tradnl"/>
        </w:rPr>
        <w:t>ó</w:t>
      </w:r>
      <w:r>
        <w:rPr>
          <w:spacing w:val="-7"/>
          <w:sz w:val="18"/>
          <w:szCs w:val="18"/>
          <w:lang w:val="es-ES_tradnl"/>
        </w:rPr>
        <w:t xml:space="preserve">n a </w:t>
      </w:r>
      <w:r>
        <w:rPr>
          <w:spacing w:val="-6"/>
          <w:sz w:val="18"/>
          <w:szCs w:val="18"/>
          <w:lang w:val="es-ES_tradnl"/>
        </w:rPr>
        <w:t xml:space="preserve">lo dispuesto por el Tribunal. Finalmente, a fojas 42 consta </w:t>
      </w:r>
      <w:r>
        <w:rPr>
          <w:spacing w:val="-5"/>
          <w:sz w:val="18"/>
          <w:szCs w:val="18"/>
          <w:lang w:val="es-ES_tradnl"/>
        </w:rPr>
        <w:t xml:space="preserve">que el 5 de noviembre de 2012, el Tribunal Distrital de lo </w:t>
      </w:r>
      <w:r>
        <w:rPr>
          <w:spacing w:val="-6"/>
          <w:sz w:val="18"/>
          <w:szCs w:val="18"/>
          <w:lang w:val="es-ES_tradnl"/>
        </w:rPr>
        <w:t>Fiscal N.</w:t>
      </w:r>
      <w:r>
        <w:rPr>
          <w:rFonts w:cs="Times New Roman"/>
          <w:spacing w:val="-6"/>
          <w:sz w:val="18"/>
          <w:szCs w:val="18"/>
          <w:lang w:val="es-ES_tradnl"/>
        </w:rPr>
        <w:t>°</w:t>
      </w:r>
      <w:r>
        <w:rPr>
          <w:spacing w:val="-6"/>
          <w:sz w:val="18"/>
          <w:szCs w:val="18"/>
          <w:lang w:val="es-ES_tradnl"/>
        </w:rPr>
        <w:t xml:space="preserve"> 2, con sede en Guayaquil, emite auto en el cual </w:t>
      </w:r>
      <w:r>
        <w:rPr>
          <w:spacing w:val="-7"/>
          <w:sz w:val="18"/>
          <w:szCs w:val="18"/>
          <w:lang w:val="es-ES_tradnl"/>
        </w:rPr>
        <w:t xml:space="preserve">manifiesta que por no haber sido ratificado por el director </w:t>
      </w:r>
      <w:r>
        <w:rPr>
          <w:spacing w:val="-4"/>
          <w:sz w:val="18"/>
          <w:szCs w:val="18"/>
          <w:lang w:val="es-ES_tradnl"/>
        </w:rPr>
        <w:t xml:space="preserve">regional del Servicio de Rentas Internas Litoral Sur, se </w:t>
      </w:r>
      <w:r>
        <w:rPr>
          <w:sz w:val="18"/>
          <w:szCs w:val="18"/>
          <w:lang w:val="es-ES_tradnl"/>
        </w:rPr>
        <w:t>niega el recurso de casaci</w:t>
      </w:r>
      <w:r>
        <w:rPr>
          <w:rFonts w:cs="Times New Roman"/>
          <w:sz w:val="18"/>
          <w:szCs w:val="18"/>
          <w:lang w:val="es-ES_tradnl"/>
        </w:rPr>
        <w:t>ó</w:t>
      </w:r>
      <w:r>
        <w:rPr>
          <w:sz w:val="18"/>
          <w:szCs w:val="18"/>
          <w:lang w:val="es-ES_tradnl"/>
        </w:rPr>
        <w:t>n interpuesto.</w:t>
      </w:r>
    </w:p>
    <w:p w14:paraId="4F67B88E" w14:textId="77777777" w:rsidR="00591D54" w:rsidRDefault="00591D54">
      <w:pPr>
        <w:shd w:val="clear" w:color="auto" w:fill="FFFFFF"/>
        <w:spacing w:before="202" w:line="221" w:lineRule="exact"/>
        <w:jc w:val="both"/>
      </w:pPr>
      <w:r>
        <w:rPr>
          <w:spacing w:val="-10"/>
          <w:sz w:val="18"/>
          <w:szCs w:val="18"/>
          <w:lang w:val="es-ES_tradnl"/>
        </w:rPr>
        <w:t>En este punto, es preciso destacar que la intervenci</w:t>
      </w:r>
      <w:r>
        <w:rPr>
          <w:rFonts w:cs="Times New Roman"/>
          <w:spacing w:val="-10"/>
          <w:sz w:val="18"/>
          <w:szCs w:val="18"/>
          <w:lang w:val="es-ES_tradnl"/>
        </w:rPr>
        <w:t>ó</w:t>
      </w:r>
      <w:r>
        <w:rPr>
          <w:spacing w:val="-10"/>
          <w:sz w:val="18"/>
          <w:szCs w:val="18"/>
          <w:lang w:val="es-ES_tradnl"/>
        </w:rPr>
        <w:t xml:space="preserve">n de las </w:t>
      </w:r>
      <w:r>
        <w:rPr>
          <w:spacing w:val="-9"/>
          <w:sz w:val="18"/>
          <w:szCs w:val="18"/>
          <w:lang w:val="es-ES_tradnl"/>
        </w:rPr>
        <w:t>personas en un proceso est</w:t>
      </w:r>
      <w:r>
        <w:rPr>
          <w:rFonts w:cs="Times New Roman"/>
          <w:spacing w:val="-9"/>
          <w:sz w:val="18"/>
          <w:szCs w:val="18"/>
          <w:lang w:val="es-ES_tradnl"/>
        </w:rPr>
        <w:t>á</w:t>
      </w:r>
      <w:r>
        <w:rPr>
          <w:spacing w:val="-9"/>
          <w:sz w:val="18"/>
          <w:szCs w:val="18"/>
          <w:lang w:val="es-ES_tradnl"/>
        </w:rPr>
        <w:t xml:space="preserve"> sometida a algunos requisitos </w:t>
      </w:r>
      <w:r>
        <w:rPr>
          <w:spacing w:val="-8"/>
          <w:sz w:val="18"/>
          <w:szCs w:val="18"/>
          <w:lang w:val="es-ES_tradnl"/>
        </w:rPr>
        <w:t xml:space="preserve">que necesariamente se deben cumplir para que el proceso </w:t>
      </w:r>
      <w:r>
        <w:rPr>
          <w:spacing w:val="-4"/>
          <w:sz w:val="18"/>
          <w:szCs w:val="18"/>
          <w:lang w:val="es-ES_tradnl"/>
        </w:rPr>
        <w:t>judicial sea v</w:t>
      </w:r>
      <w:r>
        <w:rPr>
          <w:rFonts w:cs="Times New Roman"/>
          <w:spacing w:val="-4"/>
          <w:sz w:val="18"/>
          <w:szCs w:val="18"/>
          <w:lang w:val="es-ES_tradnl"/>
        </w:rPr>
        <w:t>á</w:t>
      </w:r>
      <w:r>
        <w:rPr>
          <w:spacing w:val="-4"/>
          <w:sz w:val="18"/>
          <w:szCs w:val="18"/>
          <w:lang w:val="es-ES_tradnl"/>
        </w:rPr>
        <w:t xml:space="preserve">lido. En tal sentido, quien comparece al </w:t>
      </w:r>
      <w:r>
        <w:rPr>
          <w:spacing w:val="-6"/>
          <w:sz w:val="18"/>
          <w:szCs w:val="18"/>
          <w:lang w:val="es-ES_tradnl"/>
        </w:rPr>
        <w:t>proceso debe tener capacidad procesal y legitimaci</w:t>
      </w:r>
      <w:r>
        <w:rPr>
          <w:rFonts w:cs="Times New Roman"/>
          <w:spacing w:val="-6"/>
          <w:sz w:val="18"/>
          <w:szCs w:val="18"/>
          <w:lang w:val="es-ES_tradnl"/>
        </w:rPr>
        <w:t>ó</w:t>
      </w:r>
      <w:r>
        <w:rPr>
          <w:spacing w:val="-6"/>
          <w:sz w:val="18"/>
          <w:szCs w:val="18"/>
          <w:lang w:val="es-ES_tradnl"/>
        </w:rPr>
        <w:t xml:space="preserve">n </w:t>
      </w:r>
      <w:r>
        <w:rPr>
          <w:spacing w:val="-9"/>
          <w:sz w:val="18"/>
          <w:szCs w:val="18"/>
          <w:lang w:val="es-ES_tradnl"/>
        </w:rPr>
        <w:t>procesal; en este caso, por tratarse de una persona jur</w:t>
      </w:r>
      <w:r>
        <w:rPr>
          <w:rFonts w:cs="Times New Roman"/>
          <w:spacing w:val="-9"/>
          <w:sz w:val="18"/>
          <w:szCs w:val="18"/>
          <w:lang w:val="es-ES_tradnl"/>
        </w:rPr>
        <w:t>í</w:t>
      </w:r>
      <w:r>
        <w:rPr>
          <w:spacing w:val="-9"/>
          <w:sz w:val="18"/>
          <w:szCs w:val="18"/>
          <w:lang w:val="es-ES_tradnl"/>
        </w:rPr>
        <w:t xml:space="preserve">dica, </w:t>
      </w:r>
      <w:r>
        <w:rPr>
          <w:spacing w:val="-6"/>
          <w:sz w:val="18"/>
          <w:szCs w:val="18"/>
          <w:lang w:val="es-ES_tradnl"/>
        </w:rPr>
        <w:t>para cumplir con estos requisitos, quien comparece debe ser el representante legal y su intervenci</w:t>
      </w:r>
      <w:r>
        <w:rPr>
          <w:rFonts w:cs="Times New Roman"/>
          <w:spacing w:val="-6"/>
          <w:sz w:val="18"/>
          <w:szCs w:val="18"/>
          <w:lang w:val="es-ES_tradnl"/>
        </w:rPr>
        <w:t>ó</w:t>
      </w:r>
      <w:r>
        <w:rPr>
          <w:spacing w:val="-6"/>
          <w:sz w:val="18"/>
          <w:szCs w:val="18"/>
          <w:lang w:val="es-ES_tradnl"/>
        </w:rPr>
        <w:t xml:space="preserve">n debe cumplir </w:t>
      </w:r>
      <w:r>
        <w:rPr>
          <w:spacing w:val="-7"/>
          <w:sz w:val="18"/>
          <w:szCs w:val="18"/>
          <w:lang w:val="es-ES_tradnl"/>
        </w:rPr>
        <w:t xml:space="preserve">con los requisitos formales establecidos en la ley para que </w:t>
      </w:r>
      <w:r>
        <w:rPr>
          <w:sz w:val="18"/>
          <w:szCs w:val="18"/>
          <w:lang w:val="es-ES_tradnl"/>
        </w:rPr>
        <w:t>sea v</w:t>
      </w:r>
      <w:r>
        <w:rPr>
          <w:rFonts w:cs="Times New Roman"/>
          <w:sz w:val="18"/>
          <w:szCs w:val="18"/>
          <w:lang w:val="es-ES_tradnl"/>
        </w:rPr>
        <w:t>á</w:t>
      </w:r>
      <w:r>
        <w:rPr>
          <w:sz w:val="18"/>
          <w:szCs w:val="18"/>
          <w:lang w:val="es-ES_tradnl"/>
        </w:rPr>
        <w:t>lida.</w:t>
      </w:r>
    </w:p>
    <w:p w14:paraId="4F67B88F" w14:textId="77777777" w:rsidR="00591D54" w:rsidRDefault="00591D54">
      <w:pPr>
        <w:shd w:val="clear" w:color="auto" w:fill="FFFFFF"/>
        <w:spacing w:before="202"/>
      </w:pPr>
      <w:r>
        <w:rPr>
          <w:spacing w:val="-7"/>
          <w:sz w:val="18"/>
          <w:szCs w:val="18"/>
          <w:lang w:val="es-ES_tradnl"/>
        </w:rPr>
        <w:t>Al respecto, el tratadista Devis Echand</w:t>
      </w:r>
      <w:r>
        <w:rPr>
          <w:rFonts w:cs="Times New Roman"/>
          <w:spacing w:val="-7"/>
          <w:sz w:val="18"/>
          <w:szCs w:val="18"/>
          <w:lang w:val="es-ES_tradnl"/>
        </w:rPr>
        <w:t>í</w:t>
      </w:r>
      <w:r>
        <w:rPr>
          <w:spacing w:val="-7"/>
          <w:sz w:val="18"/>
          <w:szCs w:val="18"/>
          <w:lang w:val="es-ES_tradnl"/>
        </w:rPr>
        <w:t>a ha se</w:t>
      </w:r>
      <w:r>
        <w:rPr>
          <w:rFonts w:cs="Times New Roman"/>
          <w:spacing w:val="-7"/>
          <w:sz w:val="18"/>
          <w:szCs w:val="18"/>
          <w:lang w:val="es-ES_tradnl"/>
        </w:rPr>
        <w:t>ñ</w:t>
      </w:r>
      <w:r>
        <w:rPr>
          <w:spacing w:val="-7"/>
          <w:sz w:val="18"/>
          <w:szCs w:val="18"/>
          <w:lang w:val="es-ES_tradnl"/>
        </w:rPr>
        <w:t>alado que:</w:t>
      </w:r>
    </w:p>
    <w:p w14:paraId="4F67B890" w14:textId="77777777" w:rsidR="00591D54" w:rsidRDefault="00591D54">
      <w:pPr>
        <w:shd w:val="clear" w:color="auto" w:fill="FFFFFF"/>
        <w:spacing w:before="211" w:line="221" w:lineRule="exact"/>
        <w:ind w:left="283"/>
        <w:jc w:val="both"/>
      </w:pPr>
      <w:r>
        <w:rPr>
          <w:spacing w:val="-5"/>
          <w:sz w:val="16"/>
          <w:szCs w:val="16"/>
          <w:lang w:val="es-ES_tradnl"/>
        </w:rPr>
        <w:t>Ante todo ha de tenerse presente que la legitimaci</w:t>
      </w:r>
      <w:r>
        <w:rPr>
          <w:rFonts w:cs="Times New Roman"/>
          <w:spacing w:val="-5"/>
          <w:sz w:val="16"/>
          <w:szCs w:val="16"/>
          <w:lang w:val="es-ES_tradnl"/>
        </w:rPr>
        <w:t>ó</w:t>
      </w:r>
      <w:r>
        <w:rPr>
          <w:spacing w:val="-5"/>
          <w:sz w:val="16"/>
          <w:szCs w:val="16"/>
          <w:lang w:val="es-ES_tradnl"/>
        </w:rPr>
        <w:t xml:space="preserve">n en la </w:t>
      </w:r>
      <w:r>
        <w:rPr>
          <w:spacing w:val="-7"/>
          <w:sz w:val="16"/>
          <w:szCs w:val="16"/>
          <w:lang w:val="es-ES_tradnl"/>
        </w:rPr>
        <w:t>causa determina qui</w:t>
      </w:r>
      <w:r>
        <w:rPr>
          <w:rFonts w:cs="Times New Roman"/>
          <w:spacing w:val="-7"/>
          <w:sz w:val="16"/>
          <w:szCs w:val="16"/>
          <w:lang w:val="es-ES_tradnl"/>
        </w:rPr>
        <w:t>é</w:t>
      </w:r>
      <w:r>
        <w:rPr>
          <w:spacing w:val="-7"/>
          <w:sz w:val="16"/>
          <w:szCs w:val="16"/>
          <w:lang w:val="es-ES_tradnl"/>
        </w:rPr>
        <w:t>nes est</w:t>
      </w:r>
      <w:r>
        <w:rPr>
          <w:rFonts w:cs="Times New Roman"/>
          <w:spacing w:val="-7"/>
          <w:sz w:val="16"/>
          <w:szCs w:val="16"/>
          <w:lang w:val="es-ES_tradnl"/>
        </w:rPr>
        <w:t>á</w:t>
      </w:r>
      <w:r>
        <w:rPr>
          <w:spacing w:val="-7"/>
          <w:sz w:val="16"/>
          <w:szCs w:val="16"/>
          <w:lang w:val="es-ES_tradnl"/>
        </w:rPr>
        <w:t xml:space="preserve">n autorizados para obtener una </w:t>
      </w:r>
      <w:r>
        <w:rPr>
          <w:spacing w:val="-5"/>
          <w:sz w:val="16"/>
          <w:szCs w:val="16"/>
          <w:lang w:val="es-ES_tradnl"/>
        </w:rPr>
        <w:t>decisi</w:t>
      </w:r>
      <w:r>
        <w:rPr>
          <w:rFonts w:cs="Times New Roman"/>
          <w:spacing w:val="-5"/>
          <w:sz w:val="16"/>
          <w:szCs w:val="16"/>
          <w:lang w:val="es-ES_tradnl"/>
        </w:rPr>
        <w:t>ó</w:t>
      </w:r>
      <w:r>
        <w:rPr>
          <w:spacing w:val="-5"/>
          <w:sz w:val="16"/>
          <w:szCs w:val="16"/>
          <w:lang w:val="es-ES_tradnl"/>
        </w:rPr>
        <w:t xml:space="preserve">n de fondo sobre las pretensiones formuladas en la demanda, en cada caso concreto, y por tanto, si es posible resolver la controversia que respecto a esas pretensiones existe, en el juicio, entre quienes figuran en </w:t>
      </w:r>
      <w:r>
        <w:rPr>
          <w:rFonts w:cs="Times New Roman"/>
          <w:spacing w:val="-5"/>
          <w:sz w:val="16"/>
          <w:szCs w:val="16"/>
          <w:lang w:val="es-ES_tradnl"/>
        </w:rPr>
        <w:t>é</w:t>
      </w:r>
      <w:r>
        <w:rPr>
          <w:spacing w:val="-5"/>
          <w:sz w:val="16"/>
          <w:szCs w:val="16"/>
          <w:lang w:val="es-ES_tradnl"/>
        </w:rPr>
        <w:t>l como partes (demandante, demandado e intervinientes); en una palabra; si act</w:t>
      </w:r>
      <w:r>
        <w:rPr>
          <w:rFonts w:cs="Times New Roman"/>
          <w:spacing w:val="-5"/>
          <w:sz w:val="16"/>
          <w:szCs w:val="16"/>
          <w:lang w:val="es-ES_tradnl"/>
        </w:rPr>
        <w:t>ú</w:t>
      </w:r>
      <w:r>
        <w:rPr>
          <w:spacing w:val="-5"/>
          <w:sz w:val="16"/>
          <w:szCs w:val="16"/>
          <w:lang w:val="es-ES_tradnl"/>
        </w:rPr>
        <w:t xml:space="preserve">an en el juicio quienes han debido hacerlo, por ser las </w:t>
      </w:r>
      <w:r>
        <w:rPr>
          <w:spacing w:val="-3"/>
          <w:sz w:val="16"/>
          <w:szCs w:val="16"/>
          <w:lang w:val="es-ES_tradnl"/>
        </w:rPr>
        <w:t>personas id</w:t>
      </w:r>
      <w:r>
        <w:rPr>
          <w:rFonts w:cs="Times New Roman"/>
          <w:spacing w:val="-3"/>
          <w:sz w:val="16"/>
          <w:szCs w:val="16"/>
          <w:lang w:val="es-ES_tradnl"/>
        </w:rPr>
        <w:t>ó</w:t>
      </w:r>
      <w:r>
        <w:rPr>
          <w:spacing w:val="-3"/>
          <w:sz w:val="16"/>
          <w:szCs w:val="16"/>
          <w:lang w:val="es-ES_tradnl"/>
        </w:rPr>
        <w:t xml:space="preserve">neas para discutir sobre el objeto concreto de </w:t>
      </w:r>
      <w:r>
        <w:rPr>
          <w:sz w:val="16"/>
          <w:szCs w:val="16"/>
          <w:lang w:val="es-ES_tradnl"/>
        </w:rPr>
        <w:t>la litis</w:t>
      </w:r>
      <w:r>
        <w:rPr>
          <w:sz w:val="16"/>
          <w:szCs w:val="16"/>
          <w:vertAlign w:val="superscript"/>
          <w:lang w:val="es-ES_tradnl"/>
        </w:rPr>
        <w:t>4</w:t>
      </w:r>
      <w:r>
        <w:rPr>
          <w:sz w:val="16"/>
          <w:szCs w:val="16"/>
          <w:lang w:val="es-ES_tradnl"/>
        </w:rPr>
        <w:t>.</w:t>
      </w:r>
    </w:p>
    <w:p w14:paraId="4F67B891" w14:textId="77777777" w:rsidR="00591D54" w:rsidRDefault="00591D54">
      <w:pPr>
        <w:shd w:val="clear" w:color="auto" w:fill="FFFFFF"/>
        <w:spacing w:before="211" w:line="221" w:lineRule="exact"/>
        <w:jc w:val="both"/>
      </w:pPr>
      <w:r>
        <w:rPr>
          <w:spacing w:val="-4"/>
          <w:sz w:val="18"/>
          <w:szCs w:val="18"/>
          <w:lang w:val="es-ES_tradnl"/>
        </w:rPr>
        <w:t>Dentro de la legislaci</w:t>
      </w:r>
      <w:r>
        <w:rPr>
          <w:rFonts w:cs="Times New Roman"/>
          <w:spacing w:val="-4"/>
          <w:sz w:val="18"/>
          <w:szCs w:val="18"/>
          <w:lang w:val="es-ES_tradnl"/>
        </w:rPr>
        <w:t>ó</w:t>
      </w:r>
      <w:r>
        <w:rPr>
          <w:spacing w:val="-4"/>
          <w:sz w:val="18"/>
          <w:szCs w:val="18"/>
          <w:lang w:val="es-ES_tradnl"/>
        </w:rPr>
        <w:t>n ecuatoriana, el C</w:t>
      </w:r>
      <w:r>
        <w:rPr>
          <w:rFonts w:cs="Times New Roman"/>
          <w:spacing w:val="-4"/>
          <w:sz w:val="18"/>
          <w:szCs w:val="18"/>
          <w:lang w:val="es-ES_tradnl"/>
        </w:rPr>
        <w:t>ó</w:t>
      </w:r>
      <w:r>
        <w:rPr>
          <w:spacing w:val="-4"/>
          <w:sz w:val="18"/>
          <w:szCs w:val="18"/>
          <w:lang w:val="es-ES_tradnl"/>
        </w:rPr>
        <w:t xml:space="preserve">digo de </w:t>
      </w:r>
      <w:r>
        <w:rPr>
          <w:spacing w:val="-3"/>
          <w:sz w:val="18"/>
          <w:szCs w:val="18"/>
          <w:lang w:val="es-ES_tradnl"/>
        </w:rPr>
        <w:t xml:space="preserve">Procedimiento Civil establece que la legitimidad de </w:t>
      </w:r>
      <w:r>
        <w:rPr>
          <w:spacing w:val="-7"/>
          <w:sz w:val="18"/>
          <w:szCs w:val="18"/>
          <w:lang w:val="es-ES_tradnl"/>
        </w:rPr>
        <w:t>personer</w:t>
      </w:r>
      <w:r>
        <w:rPr>
          <w:rFonts w:cs="Times New Roman"/>
          <w:spacing w:val="-7"/>
          <w:sz w:val="18"/>
          <w:szCs w:val="18"/>
          <w:lang w:val="es-ES_tradnl"/>
        </w:rPr>
        <w:t>í</w:t>
      </w:r>
      <w:r>
        <w:rPr>
          <w:spacing w:val="-7"/>
          <w:sz w:val="18"/>
          <w:szCs w:val="18"/>
          <w:lang w:val="es-ES_tradnl"/>
        </w:rPr>
        <w:t>a constituye una solemnidad sustancial com</w:t>
      </w:r>
      <w:r>
        <w:rPr>
          <w:rFonts w:cs="Times New Roman"/>
          <w:spacing w:val="-7"/>
          <w:sz w:val="18"/>
          <w:szCs w:val="18"/>
          <w:lang w:val="es-ES_tradnl"/>
        </w:rPr>
        <w:t>ú</w:t>
      </w:r>
      <w:r>
        <w:rPr>
          <w:spacing w:val="-7"/>
          <w:sz w:val="18"/>
          <w:szCs w:val="18"/>
          <w:lang w:val="es-ES_tradnl"/>
        </w:rPr>
        <w:t>n a</w:t>
      </w:r>
    </w:p>
    <w:p w14:paraId="4F67B892" w14:textId="77777777" w:rsidR="00591D54" w:rsidRDefault="00591D54">
      <w:pPr>
        <w:shd w:val="clear" w:color="auto" w:fill="FFFFFF"/>
        <w:spacing w:before="538" w:line="178" w:lineRule="exact"/>
        <w:ind w:left="139" w:hanging="139"/>
      </w:pPr>
      <w:r>
        <w:rPr>
          <w:sz w:val="16"/>
          <w:szCs w:val="16"/>
          <w:vertAlign w:val="superscript"/>
          <w:lang w:val="es-ES_tradnl"/>
        </w:rPr>
        <w:t>4</w:t>
      </w:r>
      <w:r>
        <w:rPr>
          <w:sz w:val="16"/>
          <w:szCs w:val="16"/>
          <w:lang w:val="es-ES_tradnl"/>
        </w:rPr>
        <w:t xml:space="preserve">  </w:t>
      </w:r>
      <w:r>
        <w:rPr>
          <w:spacing w:val="-13"/>
          <w:sz w:val="16"/>
          <w:szCs w:val="16"/>
          <w:lang w:val="es-ES_tradnl"/>
        </w:rPr>
        <w:t>Devis Echand</w:t>
      </w:r>
      <w:r>
        <w:rPr>
          <w:rFonts w:cs="Times New Roman"/>
          <w:spacing w:val="-13"/>
          <w:sz w:val="16"/>
          <w:szCs w:val="16"/>
          <w:lang w:val="es-ES_tradnl"/>
        </w:rPr>
        <w:t>í</w:t>
      </w:r>
      <w:r>
        <w:rPr>
          <w:spacing w:val="-13"/>
          <w:sz w:val="16"/>
          <w:szCs w:val="16"/>
          <w:lang w:val="es-ES_tradnl"/>
        </w:rPr>
        <w:t xml:space="preserve">a, Hernando. Nociones Generales de Derecho Procesal </w:t>
      </w:r>
      <w:r>
        <w:rPr>
          <w:sz w:val="16"/>
          <w:szCs w:val="16"/>
          <w:lang w:val="es-ES_tradnl"/>
        </w:rPr>
        <w:t>Civil. Madrid, 1966.</w:t>
      </w:r>
    </w:p>
    <w:p w14:paraId="4F67B893" w14:textId="77777777" w:rsidR="00591D54" w:rsidRDefault="00591D54">
      <w:pPr>
        <w:shd w:val="clear" w:color="auto" w:fill="FFFFFF"/>
        <w:spacing w:line="211" w:lineRule="exact"/>
        <w:jc w:val="both"/>
      </w:pPr>
      <w:r>
        <w:br w:type="column"/>
      </w:r>
      <w:r>
        <w:rPr>
          <w:spacing w:val="-8"/>
          <w:sz w:val="18"/>
          <w:szCs w:val="18"/>
          <w:lang w:val="es-ES_tradnl"/>
        </w:rPr>
        <w:t xml:space="preserve">todos los juicios e instancias, por lo que aquello implica que </w:t>
      </w:r>
      <w:r>
        <w:rPr>
          <w:spacing w:val="-6"/>
          <w:sz w:val="18"/>
          <w:szCs w:val="18"/>
          <w:lang w:val="es-ES_tradnl"/>
        </w:rPr>
        <w:t>la falta de legitimaci</w:t>
      </w:r>
      <w:r>
        <w:rPr>
          <w:rFonts w:cs="Times New Roman"/>
          <w:spacing w:val="-6"/>
          <w:sz w:val="18"/>
          <w:szCs w:val="18"/>
          <w:lang w:val="es-ES_tradnl"/>
        </w:rPr>
        <w:t>ó</w:t>
      </w:r>
      <w:r>
        <w:rPr>
          <w:spacing w:val="-6"/>
          <w:sz w:val="18"/>
          <w:szCs w:val="18"/>
          <w:lang w:val="es-ES_tradnl"/>
        </w:rPr>
        <w:t>n de personer</w:t>
      </w:r>
      <w:r>
        <w:rPr>
          <w:rFonts w:cs="Times New Roman"/>
          <w:spacing w:val="-6"/>
          <w:sz w:val="18"/>
          <w:szCs w:val="18"/>
          <w:lang w:val="es-ES_tradnl"/>
        </w:rPr>
        <w:t>í</w:t>
      </w:r>
      <w:r>
        <w:rPr>
          <w:spacing w:val="-6"/>
          <w:sz w:val="18"/>
          <w:szCs w:val="18"/>
          <w:lang w:val="es-ES_tradnl"/>
        </w:rPr>
        <w:t xml:space="preserve">a ocasiona la nulidad </w:t>
      </w:r>
      <w:r>
        <w:rPr>
          <w:sz w:val="18"/>
          <w:szCs w:val="18"/>
          <w:lang w:val="es-ES_tradnl"/>
        </w:rPr>
        <w:t>del proceso</w:t>
      </w:r>
      <w:r>
        <w:rPr>
          <w:sz w:val="18"/>
          <w:szCs w:val="18"/>
          <w:vertAlign w:val="superscript"/>
          <w:lang w:val="es-ES_tradnl"/>
        </w:rPr>
        <w:t>5</w:t>
      </w:r>
      <w:r>
        <w:rPr>
          <w:sz w:val="18"/>
          <w:szCs w:val="18"/>
          <w:lang w:val="es-ES_tradnl"/>
        </w:rPr>
        <w:t>.</w:t>
      </w:r>
    </w:p>
    <w:p w14:paraId="4F67B894" w14:textId="77777777" w:rsidR="00591D54" w:rsidRDefault="00591D54">
      <w:pPr>
        <w:shd w:val="clear" w:color="auto" w:fill="FFFFFF"/>
        <w:spacing w:before="202" w:line="226" w:lineRule="exact"/>
        <w:jc w:val="both"/>
      </w:pPr>
      <w:r>
        <w:rPr>
          <w:spacing w:val="-8"/>
          <w:sz w:val="18"/>
          <w:szCs w:val="18"/>
          <w:lang w:val="es-ES_tradnl"/>
        </w:rPr>
        <w:t>En cuanto al recurso de casaci</w:t>
      </w:r>
      <w:r>
        <w:rPr>
          <w:rFonts w:cs="Times New Roman"/>
          <w:spacing w:val="-8"/>
          <w:sz w:val="18"/>
          <w:szCs w:val="18"/>
          <w:lang w:val="es-ES_tradnl"/>
        </w:rPr>
        <w:t>ó</w:t>
      </w:r>
      <w:r>
        <w:rPr>
          <w:spacing w:val="-8"/>
          <w:sz w:val="18"/>
          <w:szCs w:val="18"/>
          <w:lang w:val="es-ES_tradnl"/>
        </w:rPr>
        <w:t>n, el art</w:t>
      </w:r>
      <w:r>
        <w:rPr>
          <w:rFonts w:cs="Times New Roman"/>
          <w:spacing w:val="-8"/>
          <w:sz w:val="18"/>
          <w:szCs w:val="18"/>
          <w:lang w:val="es-ES_tradnl"/>
        </w:rPr>
        <w:t>í</w:t>
      </w:r>
      <w:r>
        <w:rPr>
          <w:spacing w:val="-8"/>
          <w:sz w:val="18"/>
          <w:szCs w:val="18"/>
          <w:lang w:val="es-ES_tradnl"/>
        </w:rPr>
        <w:t xml:space="preserve">culo 4 de la Ley de </w:t>
      </w:r>
      <w:r>
        <w:rPr>
          <w:sz w:val="18"/>
          <w:szCs w:val="18"/>
          <w:lang w:val="es-ES_tradnl"/>
        </w:rPr>
        <w:t>Casaci</w:t>
      </w:r>
      <w:r>
        <w:rPr>
          <w:rFonts w:cs="Times New Roman"/>
          <w:sz w:val="18"/>
          <w:szCs w:val="18"/>
          <w:lang w:val="es-ES_tradnl"/>
        </w:rPr>
        <w:t>ó</w:t>
      </w:r>
      <w:r>
        <w:rPr>
          <w:sz w:val="18"/>
          <w:szCs w:val="18"/>
          <w:lang w:val="es-ES_tradnl"/>
        </w:rPr>
        <w:t>n establece que:</w:t>
      </w:r>
    </w:p>
    <w:p w14:paraId="4F67B895" w14:textId="77777777" w:rsidR="00591D54" w:rsidRDefault="00591D54">
      <w:pPr>
        <w:shd w:val="clear" w:color="auto" w:fill="FFFFFF"/>
        <w:spacing w:before="206" w:line="221" w:lineRule="exact"/>
        <w:ind w:left="283"/>
        <w:jc w:val="both"/>
      </w:pPr>
      <w:r>
        <w:rPr>
          <w:spacing w:val="-4"/>
          <w:sz w:val="16"/>
          <w:szCs w:val="16"/>
          <w:lang w:val="es-ES_tradnl"/>
        </w:rPr>
        <w:t>El recurso s</w:t>
      </w:r>
      <w:r>
        <w:rPr>
          <w:rFonts w:cs="Times New Roman"/>
          <w:spacing w:val="-4"/>
          <w:sz w:val="16"/>
          <w:szCs w:val="16"/>
          <w:lang w:val="es-ES_tradnl"/>
        </w:rPr>
        <w:t>ó</w:t>
      </w:r>
      <w:r>
        <w:rPr>
          <w:spacing w:val="-4"/>
          <w:sz w:val="16"/>
          <w:szCs w:val="16"/>
          <w:lang w:val="es-ES_tradnl"/>
        </w:rPr>
        <w:t>lo podr</w:t>
      </w:r>
      <w:r>
        <w:rPr>
          <w:rFonts w:cs="Times New Roman"/>
          <w:spacing w:val="-4"/>
          <w:sz w:val="16"/>
          <w:szCs w:val="16"/>
          <w:lang w:val="es-ES_tradnl"/>
        </w:rPr>
        <w:t>á</w:t>
      </w:r>
      <w:r>
        <w:rPr>
          <w:spacing w:val="-4"/>
          <w:sz w:val="16"/>
          <w:szCs w:val="16"/>
          <w:lang w:val="es-ES_tradnl"/>
        </w:rPr>
        <w:t xml:space="preserve"> interponerse por la parte que haya </w:t>
      </w:r>
      <w:r>
        <w:rPr>
          <w:spacing w:val="-5"/>
          <w:sz w:val="16"/>
          <w:szCs w:val="16"/>
          <w:lang w:val="es-ES_tradnl"/>
        </w:rPr>
        <w:t>recibido agravio en la sentencia o auto. No podr</w:t>
      </w:r>
      <w:r>
        <w:rPr>
          <w:rFonts w:cs="Times New Roman"/>
          <w:spacing w:val="-5"/>
          <w:sz w:val="16"/>
          <w:szCs w:val="16"/>
          <w:lang w:val="es-ES_tradnl"/>
        </w:rPr>
        <w:t>á</w:t>
      </w:r>
      <w:r>
        <w:rPr>
          <w:spacing w:val="-5"/>
          <w:sz w:val="16"/>
          <w:szCs w:val="16"/>
          <w:lang w:val="es-ES_tradnl"/>
        </w:rPr>
        <w:t xml:space="preserve"> interponer </w:t>
      </w:r>
      <w:r>
        <w:rPr>
          <w:spacing w:val="-7"/>
          <w:sz w:val="16"/>
          <w:szCs w:val="16"/>
          <w:lang w:val="es-ES_tradnl"/>
        </w:rPr>
        <w:t>el recurso quien no apel</w:t>
      </w:r>
      <w:r>
        <w:rPr>
          <w:rFonts w:cs="Times New Roman"/>
          <w:spacing w:val="-7"/>
          <w:sz w:val="16"/>
          <w:szCs w:val="16"/>
          <w:lang w:val="es-ES_tradnl"/>
        </w:rPr>
        <w:t>ó</w:t>
      </w:r>
      <w:r>
        <w:rPr>
          <w:spacing w:val="-7"/>
          <w:sz w:val="16"/>
          <w:szCs w:val="16"/>
          <w:lang w:val="es-ES_tradnl"/>
        </w:rPr>
        <w:t xml:space="preserve"> de la sentencia o auto expedido en </w:t>
      </w:r>
      <w:r>
        <w:rPr>
          <w:spacing w:val="-8"/>
          <w:sz w:val="16"/>
          <w:szCs w:val="16"/>
          <w:lang w:val="es-ES_tradnl"/>
        </w:rPr>
        <w:t>primera instancia ni se adhiri</w:t>
      </w:r>
      <w:r>
        <w:rPr>
          <w:rFonts w:cs="Times New Roman"/>
          <w:spacing w:val="-8"/>
          <w:sz w:val="16"/>
          <w:szCs w:val="16"/>
          <w:lang w:val="es-ES_tradnl"/>
        </w:rPr>
        <w:t>ó</w:t>
      </w:r>
      <w:r>
        <w:rPr>
          <w:spacing w:val="-8"/>
          <w:sz w:val="16"/>
          <w:szCs w:val="16"/>
          <w:lang w:val="es-ES_tradnl"/>
        </w:rPr>
        <w:t xml:space="preserve"> a la apelaci</w:t>
      </w:r>
      <w:r>
        <w:rPr>
          <w:rFonts w:cs="Times New Roman"/>
          <w:spacing w:val="-8"/>
          <w:sz w:val="16"/>
          <w:szCs w:val="16"/>
          <w:lang w:val="es-ES_tradnl"/>
        </w:rPr>
        <w:t>ó</w:t>
      </w:r>
      <w:r>
        <w:rPr>
          <w:spacing w:val="-8"/>
          <w:sz w:val="16"/>
          <w:szCs w:val="16"/>
          <w:lang w:val="es-ES_tradnl"/>
        </w:rPr>
        <w:t xml:space="preserve">n de la contraparte, </w:t>
      </w:r>
      <w:r>
        <w:rPr>
          <w:sz w:val="16"/>
          <w:szCs w:val="16"/>
          <w:lang w:val="es-ES_tradnl"/>
        </w:rPr>
        <w:t>cuando la resoluci</w:t>
      </w:r>
      <w:r>
        <w:rPr>
          <w:rFonts w:cs="Times New Roman"/>
          <w:sz w:val="16"/>
          <w:szCs w:val="16"/>
          <w:lang w:val="es-ES_tradnl"/>
        </w:rPr>
        <w:t>ó</w:t>
      </w:r>
      <w:r>
        <w:rPr>
          <w:sz w:val="16"/>
          <w:szCs w:val="16"/>
          <w:lang w:val="es-ES_tradnl"/>
        </w:rPr>
        <w:t xml:space="preserve">n del superior haya sido totalmente </w:t>
      </w:r>
      <w:r>
        <w:rPr>
          <w:spacing w:val="-5"/>
          <w:sz w:val="16"/>
          <w:szCs w:val="16"/>
          <w:lang w:val="es-ES_tradnl"/>
        </w:rPr>
        <w:t>confirmatoria de aquella. No ser</w:t>
      </w:r>
      <w:r>
        <w:rPr>
          <w:rFonts w:cs="Times New Roman"/>
          <w:spacing w:val="-5"/>
          <w:sz w:val="16"/>
          <w:szCs w:val="16"/>
          <w:lang w:val="es-ES_tradnl"/>
        </w:rPr>
        <w:t>á</w:t>
      </w:r>
      <w:r>
        <w:rPr>
          <w:spacing w:val="-5"/>
          <w:sz w:val="16"/>
          <w:szCs w:val="16"/>
          <w:lang w:val="es-ES_tradnl"/>
        </w:rPr>
        <w:t xml:space="preserve"> admisible la adhesi</w:t>
      </w:r>
      <w:r>
        <w:rPr>
          <w:rFonts w:cs="Times New Roman"/>
          <w:spacing w:val="-5"/>
          <w:sz w:val="16"/>
          <w:szCs w:val="16"/>
          <w:lang w:val="es-ES_tradnl"/>
        </w:rPr>
        <w:t>ó</w:t>
      </w:r>
      <w:r>
        <w:rPr>
          <w:spacing w:val="-5"/>
          <w:sz w:val="16"/>
          <w:szCs w:val="16"/>
          <w:lang w:val="es-ES_tradnl"/>
        </w:rPr>
        <w:t xml:space="preserve">n al </w:t>
      </w:r>
      <w:r>
        <w:rPr>
          <w:sz w:val="16"/>
          <w:szCs w:val="16"/>
          <w:lang w:val="es-ES_tradnl"/>
        </w:rPr>
        <w:t>recurso de casaci</w:t>
      </w:r>
      <w:r>
        <w:rPr>
          <w:rFonts w:cs="Times New Roman"/>
          <w:sz w:val="16"/>
          <w:szCs w:val="16"/>
          <w:lang w:val="es-ES_tradnl"/>
        </w:rPr>
        <w:t>ó</w:t>
      </w:r>
      <w:r>
        <w:rPr>
          <w:sz w:val="16"/>
          <w:szCs w:val="16"/>
          <w:lang w:val="es-ES_tradnl"/>
        </w:rPr>
        <w:t>n.</w:t>
      </w:r>
    </w:p>
    <w:p w14:paraId="4F67B896" w14:textId="77777777" w:rsidR="00591D54" w:rsidRDefault="00591D54">
      <w:pPr>
        <w:shd w:val="clear" w:color="auto" w:fill="FFFFFF"/>
        <w:spacing w:before="206" w:line="221" w:lineRule="exact"/>
        <w:jc w:val="both"/>
      </w:pPr>
      <w:r>
        <w:rPr>
          <w:spacing w:val="-11"/>
          <w:sz w:val="18"/>
          <w:szCs w:val="18"/>
          <w:lang w:val="es-ES_tradnl"/>
        </w:rPr>
        <w:t>Entonces, esto significa que para que el recurso de casaci</w:t>
      </w:r>
      <w:r>
        <w:rPr>
          <w:rFonts w:cs="Times New Roman"/>
          <w:spacing w:val="-11"/>
          <w:sz w:val="18"/>
          <w:szCs w:val="18"/>
          <w:lang w:val="es-ES_tradnl"/>
        </w:rPr>
        <w:t>ó</w:t>
      </w:r>
      <w:r>
        <w:rPr>
          <w:spacing w:val="-11"/>
          <w:sz w:val="18"/>
          <w:szCs w:val="18"/>
          <w:lang w:val="es-ES_tradnl"/>
        </w:rPr>
        <w:t>n sea v</w:t>
      </w:r>
      <w:r>
        <w:rPr>
          <w:rFonts w:cs="Times New Roman"/>
          <w:spacing w:val="-11"/>
          <w:sz w:val="18"/>
          <w:szCs w:val="18"/>
          <w:lang w:val="es-ES_tradnl"/>
        </w:rPr>
        <w:t>á</w:t>
      </w:r>
      <w:r>
        <w:rPr>
          <w:spacing w:val="-11"/>
          <w:sz w:val="18"/>
          <w:szCs w:val="18"/>
          <w:lang w:val="es-ES_tradnl"/>
        </w:rPr>
        <w:t>lido y no atente contra las garant</w:t>
      </w:r>
      <w:r>
        <w:rPr>
          <w:rFonts w:cs="Times New Roman"/>
          <w:spacing w:val="-11"/>
          <w:sz w:val="18"/>
          <w:szCs w:val="18"/>
          <w:lang w:val="es-ES_tradnl"/>
        </w:rPr>
        <w:t>í</w:t>
      </w:r>
      <w:r>
        <w:rPr>
          <w:spacing w:val="-11"/>
          <w:sz w:val="18"/>
          <w:szCs w:val="18"/>
          <w:lang w:val="es-ES_tradnl"/>
        </w:rPr>
        <w:t>as b</w:t>
      </w:r>
      <w:r>
        <w:rPr>
          <w:rFonts w:cs="Times New Roman"/>
          <w:spacing w:val="-11"/>
          <w:sz w:val="18"/>
          <w:szCs w:val="18"/>
          <w:lang w:val="es-ES_tradnl"/>
        </w:rPr>
        <w:t>á</w:t>
      </w:r>
      <w:r>
        <w:rPr>
          <w:spacing w:val="-11"/>
          <w:sz w:val="18"/>
          <w:szCs w:val="18"/>
          <w:lang w:val="es-ES_tradnl"/>
        </w:rPr>
        <w:t xml:space="preserve">sicas del debido </w:t>
      </w:r>
      <w:r>
        <w:rPr>
          <w:spacing w:val="-9"/>
          <w:sz w:val="18"/>
          <w:szCs w:val="18"/>
          <w:lang w:val="es-ES_tradnl"/>
        </w:rPr>
        <w:t xml:space="preserve">proceso, debe ser interpuesto </w:t>
      </w:r>
      <w:r>
        <w:rPr>
          <w:rFonts w:cs="Times New Roman"/>
          <w:spacing w:val="-9"/>
          <w:sz w:val="18"/>
          <w:szCs w:val="18"/>
          <w:lang w:val="es-ES_tradnl"/>
        </w:rPr>
        <w:t>ú</w:t>
      </w:r>
      <w:r>
        <w:rPr>
          <w:spacing w:val="-9"/>
          <w:sz w:val="18"/>
          <w:szCs w:val="18"/>
          <w:lang w:val="es-ES_tradnl"/>
        </w:rPr>
        <w:t xml:space="preserve">nicamente por quien ha sido </w:t>
      </w:r>
      <w:r>
        <w:rPr>
          <w:spacing w:val="-8"/>
          <w:sz w:val="18"/>
          <w:szCs w:val="18"/>
          <w:lang w:val="es-ES_tradnl"/>
        </w:rPr>
        <w:t xml:space="preserve">parte procesal y haya recibido un agravio en la sentencia o </w:t>
      </w:r>
      <w:r>
        <w:rPr>
          <w:sz w:val="18"/>
          <w:szCs w:val="18"/>
          <w:lang w:val="es-ES_tradnl"/>
        </w:rPr>
        <w:t>auto expedido.</w:t>
      </w:r>
    </w:p>
    <w:p w14:paraId="4F67B897" w14:textId="77777777" w:rsidR="00591D54" w:rsidRDefault="00591D54">
      <w:pPr>
        <w:shd w:val="clear" w:color="auto" w:fill="FFFFFF"/>
        <w:spacing w:before="206" w:line="211" w:lineRule="exact"/>
        <w:jc w:val="both"/>
      </w:pPr>
      <w:r>
        <w:rPr>
          <w:spacing w:val="-11"/>
          <w:sz w:val="18"/>
          <w:szCs w:val="18"/>
          <w:lang w:val="es-ES_tradnl"/>
        </w:rPr>
        <w:t xml:space="preserve">En este sentido, tal como ha sostenido la Corte Constitucional </w:t>
      </w:r>
      <w:r>
        <w:rPr>
          <w:sz w:val="18"/>
          <w:szCs w:val="18"/>
          <w:lang w:val="es-ES_tradnl"/>
        </w:rPr>
        <w:t>en su sentencia N.</w:t>
      </w:r>
      <w:r>
        <w:rPr>
          <w:rFonts w:cs="Times New Roman"/>
          <w:sz w:val="18"/>
          <w:szCs w:val="18"/>
          <w:lang w:val="es-ES_tradnl"/>
        </w:rPr>
        <w:t>°</w:t>
      </w:r>
      <w:r>
        <w:rPr>
          <w:sz w:val="18"/>
          <w:szCs w:val="18"/>
          <w:lang w:val="es-ES_tradnl"/>
        </w:rPr>
        <w:t xml:space="preserve"> 178-14-SEP-CC</w:t>
      </w:r>
      <w:r>
        <w:rPr>
          <w:sz w:val="18"/>
          <w:szCs w:val="18"/>
          <w:vertAlign w:val="superscript"/>
          <w:lang w:val="es-ES_tradnl"/>
        </w:rPr>
        <w:t>6</w:t>
      </w:r>
      <w:r>
        <w:rPr>
          <w:sz w:val="18"/>
          <w:szCs w:val="18"/>
          <w:lang w:val="es-ES_tradnl"/>
        </w:rPr>
        <w:t>:</w:t>
      </w:r>
    </w:p>
    <w:p w14:paraId="4F67B898" w14:textId="77777777" w:rsidR="00591D54" w:rsidRDefault="00591D54">
      <w:pPr>
        <w:shd w:val="clear" w:color="auto" w:fill="FFFFFF"/>
        <w:spacing w:before="206" w:line="221" w:lineRule="exact"/>
        <w:ind w:left="283"/>
        <w:jc w:val="both"/>
      </w:pPr>
      <w:r>
        <w:rPr>
          <w:spacing w:val="-5"/>
          <w:sz w:val="16"/>
          <w:szCs w:val="16"/>
          <w:lang w:val="es-ES_tradnl"/>
        </w:rPr>
        <w:t>solo las partes que han intervenido en el proceso est</w:t>
      </w:r>
      <w:r>
        <w:rPr>
          <w:rFonts w:cs="Times New Roman"/>
          <w:spacing w:val="-5"/>
          <w:sz w:val="16"/>
          <w:szCs w:val="16"/>
          <w:lang w:val="es-ES_tradnl"/>
        </w:rPr>
        <w:t>á</w:t>
      </w:r>
      <w:r>
        <w:rPr>
          <w:spacing w:val="-5"/>
          <w:sz w:val="16"/>
          <w:szCs w:val="16"/>
          <w:lang w:val="es-ES_tradnl"/>
        </w:rPr>
        <w:t xml:space="preserve">n </w:t>
      </w:r>
      <w:r>
        <w:rPr>
          <w:spacing w:val="-3"/>
          <w:sz w:val="16"/>
          <w:szCs w:val="16"/>
          <w:lang w:val="es-ES_tradnl"/>
        </w:rPr>
        <w:t>legitimadas para presentar el recurso de casaci</w:t>
      </w:r>
      <w:r>
        <w:rPr>
          <w:rFonts w:cs="Times New Roman"/>
          <w:spacing w:val="-3"/>
          <w:sz w:val="16"/>
          <w:szCs w:val="16"/>
          <w:lang w:val="es-ES_tradnl"/>
        </w:rPr>
        <w:t>ó</w:t>
      </w:r>
      <w:r>
        <w:rPr>
          <w:spacing w:val="-3"/>
          <w:sz w:val="16"/>
          <w:szCs w:val="16"/>
          <w:lang w:val="es-ES_tradnl"/>
        </w:rPr>
        <w:t xml:space="preserve">n, ya sea </w:t>
      </w:r>
      <w:r>
        <w:rPr>
          <w:spacing w:val="-6"/>
          <w:sz w:val="16"/>
          <w:szCs w:val="16"/>
          <w:lang w:val="es-ES_tradnl"/>
        </w:rPr>
        <w:t xml:space="preserve">por sus propios derechos o en calidad de representante legal </w:t>
      </w:r>
      <w:r>
        <w:rPr>
          <w:spacing w:val="-5"/>
          <w:sz w:val="16"/>
          <w:szCs w:val="16"/>
          <w:lang w:val="es-ES_tradnl"/>
        </w:rPr>
        <w:t xml:space="preserve">o procurador judicial, en cuyo caso </w:t>
      </w:r>
      <w:r>
        <w:rPr>
          <w:b/>
          <w:bCs/>
          <w:spacing w:val="-5"/>
          <w:sz w:val="16"/>
          <w:szCs w:val="16"/>
          <w:lang w:val="es-ES_tradnl"/>
        </w:rPr>
        <w:t>deber</w:t>
      </w:r>
      <w:r>
        <w:rPr>
          <w:rFonts w:cs="Times New Roman"/>
          <w:b/>
          <w:bCs/>
          <w:spacing w:val="-5"/>
          <w:sz w:val="16"/>
          <w:szCs w:val="16"/>
          <w:lang w:val="es-ES_tradnl"/>
        </w:rPr>
        <w:t>á</w:t>
      </w:r>
      <w:r>
        <w:rPr>
          <w:b/>
          <w:bCs/>
          <w:spacing w:val="-5"/>
          <w:sz w:val="16"/>
          <w:szCs w:val="16"/>
          <w:lang w:val="es-ES_tradnl"/>
        </w:rPr>
        <w:t xml:space="preserve">n acreditar tal </w:t>
      </w:r>
      <w:r>
        <w:rPr>
          <w:b/>
          <w:bCs/>
          <w:spacing w:val="-8"/>
          <w:sz w:val="16"/>
          <w:szCs w:val="16"/>
          <w:lang w:val="es-ES_tradnl"/>
        </w:rPr>
        <w:t xml:space="preserve">calidad y cumplir con todos los requisitos y formalidades </w:t>
      </w:r>
      <w:r>
        <w:rPr>
          <w:b/>
          <w:bCs/>
          <w:spacing w:val="-7"/>
          <w:sz w:val="16"/>
          <w:szCs w:val="16"/>
          <w:lang w:val="es-ES_tradnl"/>
        </w:rPr>
        <w:t>exigidas en la normativa aplicable al caso</w:t>
      </w:r>
      <w:r>
        <w:rPr>
          <w:rFonts w:cs="Times New Roman"/>
          <w:spacing w:val="-7"/>
          <w:sz w:val="16"/>
          <w:szCs w:val="16"/>
          <w:lang w:val="es-ES_tradnl"/>
        </w:rPr>
        <w:t>”</w:t>
      </w:r>
      <w:r>
        <w:rPr>
          <w:spacing w:val="-7"/>
          <w:sz w:val="16"/>
          <w:szCs w:val="16"/>
          <w:lang w:val="es-ES_tradnl"/>
        </w:rPr>
        <w:t xml:space="preserve">. (Negrillas fuera </w:t>
      </w:r>
      <w:r>
        <w:rPr>
          <w:sz w:val="16"/>
          <w:szCs w:val="16"/>
          <w:lang w:val="es-ES_tradnl"/>
        </w:rPr>
        <w:t>de texto original).</w:t>
      </w:r>
    </w:p>
    <w:p w14:paraId="4F67B899" w14:textId="77777777" w:rsidR="00591D54" w:rsidRDefault="00591D54">
      <w:pPr>
        <w:shd w:val="clear" w:color="auto" w:fill="FFFFFF"/>
        <w:spacing w:before="206" w:line="221" w:lineRule="exact"/>
        <w:jc w:val="both"/>
      </w:pPr>
      <w:r>
        <w:rPr>
          <w:spacing w:val="-8"/>
          <w:sz w:val="18"/>
          <w:szCs w:val="18"/>
          <w:lang w:val="es-ES_tradnl"/>
        </w:rPr>
        <w:t xml:space="preserve">Adicionalmente, esta Corte estima necesario recordar que </w:t>
      </w:r>
      <w:r>
        <w:rPr>
          <w:spacing w:val="-5"/>
          <w:sz w:val="18"/>
          <w:szCs w:val="18"/>
          <w:lang w:val="es-ES_tradnl"/>
        </w:rPr>
        <w:t>de conformidad con el art</w:t>
      </w:r>
      <w:r>
        <w:rPr>
          <w:rFonts w:cs="Times New Roman"/>
          <w:spacing w:val="-5"/>
          <w:sz w:val="18"/>
          <w:szCs w:val="18"/>
          <w:lang w:val="es-ES_tradnl"/>
        </w:rPr>
        <w:t>í</w:t>
      </w:r>
      <w:r>
        <w:rPr>
          <w:spacing w:val="-5"/>
          <w:sz w:val="18"/>
          <w:szCs w:val="18"/>
          <w:lang w:val="es-ES_tradnl"/>
        </w:rPr>
        <w:t>culo 83 de la Constituci</w:t>
      </w:r>
      <w:r>
        <w:rPr>
          <w:rFonts w:cs="Times New Roman"/>
          <w:spacing w:val="-5"/>
          <w:sz w:val="18"/>
          <w:szCs w:val="18"/>
          <w:lang w:val="es-ES_tradnl"/>
        </w:rPr>
        <w:t>ó</w:t>
      </w:r>
      <w:r>
        <w:rPr>
          <w:spacing w:val="-5"/>
          <w:sz w:val="18"/>
          <w:szCs w:val="18"/>
          <w:lang w:val="es-ES_tradnl"/>
        </w:rPr>
        <w:t xml:space="preserve">n, uno </w:t>
      </w:r>
      <w:r>
        <w:rPr>
          <w:spacing w:val="-12"/>
          <w:sz w:val="18"/>
          <w:szCs w:val="18"/>
          <w:lang w:val="es-ES_tradnl"/>
        </w:rPr>
        <w:t xml:space="preserve">de los deberes y responsabilidades de toda persona es acatar </w:t>
      </w:r>
      <w:r>
        <w:rPr>
          <w:spacing w:val="-6"/>
          <w:sz w:val="18"/>
          <w:szCs w:val="18"/>
          <w:lang w:val="es-ES_tradnl"/>
        </w:rPr>
        <w:t>y cumplir la Constituci</w:t>
      </w:r>
      <w:r>
        <w:rPr>
          <w:rFonts w:cs="Times New Roman"/>
          <w:spacing w:val="-6"/>
          <w:sz w:val="18"/>
          <w:szCs w:val="18"/>
          <w:lang w:val="es-ES_tradnl"/>
        </w:rPr>
        <w:t>ó</w:t>
      </w:r>
      <w:r>
        <w:rPr>
          <w:spacing w:val="-6"/>
          <w:sz w:val="18"/>
          <w:szCs w:val="18"/>
          <w:lang w:val="es-ES_tradnl"/>
        </w:rPr>
        <w:t>n, la ley y las decisiones leg</w:t>
      </w:r>
      <w:r>
        <w:rPr>
          <w:rFonts w:cs="Times New Roman"/>
          <w:spacing w:val="-6"/>
          <w:sz w:val="18"/>
          <w:szCs w:val="18"/>
          <w:lang w:val="es-ES_tradnl"/>
        </w:rPr>
        <w:t>í</w:t>
      </w:r>
      <w:r>
        <w:rPr>
          <w:spacing w:val="-6"/>
          <w:sz w:val="18"/>
          <w:szCs w:val="18"/>
          <w:lang w:val="es-ES_tradnl"/>
        </w:rPr>
        <w:t xml:space="preserve">timas </w:t>
      </w:r>
      <w:r>
        <w:rPr>
          <w:spacing w:val="-8"/>
          <w:sz w:val="18"/>
          <w:szCs w:val="18"/>
          <w:lang w:val="es-ES_tradnl"/>
        </w:rPr>
        <w:t>de autoridad competente, m</w:t>
      </w:r>
      <w:r>
        <w:rPr>
          <w:rFonts w:cs="Times New Roman"/>
          <w:spacing w:val="-8"/>
          <w:sz w:val="18"/>
          <w:szCs w:val="18"/>
          <w:lang w:val="es-ES_tradnl"/>
        </w:rPr>
        <w:t>á</w:t>
      </w:r>
      <w:r>
        <w:rPr>
          <w:spacing w:val="-8"/>
          <w:sz w:val="18"/>
          <w:szCs w:val="18"/>
          <w:lang w:val="es-ES_tradnl"/>
        </w:rPr>
        <w:t>s a</w:t>
      </w:r>
      <w:r>
        <w:rPr>
          <w:rFonts w:cs="Times New Roman"/>
          <w:spacing w:val="-8"/>
          <w:sz w:val="18"/>
          <w:szCs w:val="18"/>
          <w:lang w:val="es-ES_tradnl"/>
        </w:rPr>
        <w:t>ú</w:t>
      </w:r>
      <w:r>
        <w:rPr>
          <w:spacing w:val="-8"/>
          <w:sz w:val="18"/>
          <w:szCs w:val="18"/>
          <w:lang w:val="es-ES_tradnl"/>
        </w:rPr>
        <w:t>n cuando se trata de autoridades p</w:t>
      </w:r>
      <w:r>
        <w:rPr>
          <w:rFonts w:cs="Times New Roman"/>
          <w:spacing w:val="-8"/>
          <w:sz w:val="18"/>
          <w:szCs w:val="18"/>
          <w:lang w:val="es-ES_tradnl"/>
        </w:rPr>
        <w:t>ú</w:t>
      </w:r>
      <w:r>
        <w:rPr>
          <w:spacing w:val="-8"/>
          <w:sz w:val="18"/>
          <w:szCs w:val="18"/>
          <w:lang w:val="es-ES_tradnl"/>
        </w:rPr>
        <w:t xml:space="preserve">blicas, como el Servicio de Rentas Internas, </w:t>
      </w:r>
      <w:r>
        <w:rPr>
          <w:spacing w:val="-7"/>
          <w:sz w:val="18"/>
          <w:szCs w:val="18"/>
          <w:lang w:val="es-ES_tradnl"/>
        </w:rPr>
        <w:t>al que la Constituci</w:t>
      </w:r>
      <w:r>
        <w:rPr>
          <w:rFonts w:cs="Times New Roman"/>
          <w:spacing w:val="-7"/>
          <w:sz w:val="18"/>
          <w:szCs w:val="18"/>
          <w:lang w:val="es-ES_tradnl"/>
        </w:rPr>
        <w:t>ó</w:t>
      </w:r>
      <w:r>
        <w:rPr>
          <w:spacing w:val="-7"/>
          <w:sz w:val="18"/>
          <w:szCs w:val="18"/>
          <w:lang w:val="es-ES_tradnl"/>
        </w:rPr>
        <w:t xml:space="preserve">n les manda respetar y hacer respetar </w:t>
      </w:r>
      <w:r>
        <w:rPr>
          <w:spacing w:val="-6"/>
          <w:sz w:val="18"/>
          <w:szCs w:val="18"/>
          <w:lang w:val="es-ES_tradnl"/>
        </w:rPr>
        <w:t>la Constituci</w:t>
      </w:r>
      <w:r>
        <w:rPr>
          <w:rFonts w:cs="Times New Roman"/>
          <w:spacing w:val="-6"/>
          <w:sz w:val="18"/>
          <w:szCs w:val="18"/>
          <w:lang w:val="es-ES_tradnl"/>
        </w:rPr>
        <w:t>ó</w:t>
      </w:r>
      <w:r>
        <w:rPr>
          <w:spacing w:val="-6"/>
          <w:sz w:val="18"/>
          <w:szCs w:val="18"/>
          <w:lang w:val="es-ES_tradnl"/>
        </w:rPr>
        <w:t xml:space="preserve">n y la ley, y a ejercer su potestad estatal en </w:t>
      </w:r>
      <w:r>
        <w:rPr>
          <w:spacing w:val="-7"/>
          <w:sz w:val="18"/>
          <w:szCs w:val="18"/>
          <w:lang w:val="es-ES_tradnl"/>
        </w:rPr>
        <w:t xml:space="preserve">virtud de las competencias y facultades que les atribuyen </w:t>
      </w:r>
      <w:r>
        <w:rPr>
          <w:sz w:val="18"/>
          <w:szCs w:val="18"/>
          <w:lang w:val="es-ES_tradnl"/>
        </w:rPr>
        <w:t>dichas normas (Art. 226).</w:t>
      </w:r>
    </w:p>
    <w:p w14:paraId="4F67B89A" w14:textId="77777777" w:rsidR="00591D54" w:rsidRDefault="00591D54">
      <w:pPr>
        <w:shd w:val="clear" w:color="auto" w:fill="FFFFFF"/>
        <w:spacing w:before="202" w:line="221" w:lineRule="exact"/>
        <w:jc w:val="both"/>
      </w:pPr>
      <w:r>
        <w:rPr>
          <w:spacing w:val="-5"/>
          <w:sz w:val="18"/>
          <w:szCs w:val="18"/>
          <w:lang w:val="es-ES_tradnl"/>
        </w:rPr>
        <w:t xml:space="preserve">En tal sentido, el mandato emitido por un juez dentro de una causa debe ser cumplido por las partes en el tiempo </w:t>
      </w:r>
      <w:r>
        <w:rPr>
          <w:spacing w:val="-6"/>
          <w:sz w:val="18"/>
          <w:szCs w:val="18"/>
          <w:lang w:val="es-ES_tradnl"/>
        </w:rPr>
        <w:t>y la forma que ha sido dispuesto. En el caso concreto, el Servicio de Rentas Internas ten</w:t>
      </w:r>
      <w:r>
        <w:rPr>
          <w:rFonts w:cs="Times New Roman"/>
          <w:spacing w:val="-6"/>
          <w:sz w:val="18"/>
          <w:szCs w:val="18"/>
          <w:lang w:val="es-ES_tradnl"/>
        </w:rPr>
        <w:t>í</w:t>
      </w:r>
      <w:r>
        <w:rPr>
          <w:spacing w:val="-6"/>
          <w:sz w:val="18"/>
          <w:szCs w:val="18"/>
          <w:lang w:val="es-ES_tradnl"/>
        </w:rPr>
        <w:t>a la obligaci</w:t>
      </w:r>
      <w:r>
        <w:rPr>
          <w:rFonts w:cs="Times New Roman"/>
          <w:spacing w:val="-6"/>
          <w:sz w:val="18"/>
          <w:szCs w:val="18"/>
          <w:lang w:val="es-ES_tradnl"/>
        </w:rPr>
        <w:t>ó</w:t>
      </w:r>
      <w:r>
        <w:rPr>
          <w:spacing w:val="-6"/>
          <w:sz w:val="18"/>
          <w:szCs w:val="18"/>
          <w:lang w:val="es-ES_tradnl"/>
        </w:rPr>
        <w:t>n de cumplir con la disposici</w:t>
      </w:r>
      <w:r>
        <w:rPr>
          <w:rFonts w:cs="Times New Roman"/>
          <w:spacing w:val="-6"/>
          <w:sz w:val="18"/>
          <w:szCs w:val="18"/>
          <w:lang w:val="es-ES_tradnl"/>
        </w:rPr>
        <w:t>ó</w:t>
      </w:r>
      <w:r>
        <w:rPr>
          <w:spacing w:val="-6"/>
          <w:sz w:val="18"/>
          <w:szCs w:val="18"/>
          <w:lang w:val="es-ES_tradnl"/>
        </w:rPr>
        <w:t>n contenida en el auto del 20 de junio de 2011 en el t</w:t>
      </w:r>
      <w:r>
        <w:rPr>
          <w:rFonts w:cs="Times New Roman"/>
          <w:spacing w:val="-6"/>
          <w:sz w:val="18"/>
          <w:szCs w:val="18"/>
          <w:lang w:val="es-ES_tradnl"/>
        </w:rPr>
        <w:t>é</w:t>
      </w:r>
      <w:r>
        <w:rPr>
          <w:spacing w:val="-6"/>
          <w:sz w:val="18"/>
          <w:szCs w:val="18"/>
          <w:lang w:val="es-ES_tradnl"/>
        </w:rPr>
        <w:t>rmino de tres d</w:t>
      </w:r>
      <w:r>
        <w:rPr>
          <w:rFonts w:cs="Times New Roman"/>
          <w:spacing w:val="-6"/>
          <w:sz w:val="18"/>
          <w:szCs w:val="18"/>
          <w:lang w:val="es-ES_tradnl"/>
        </w:rPr>
        <w:t>í</w:t>
      </w:r>
      <w:r>
        <w:rPr>
          <w:spacing w:val="-6"/>
          <w:sz w:val="18"/>
          <w:szCs w:val="18"/>
          <w:lang w:val="es-ES_tradnl"/>
        </w:rPr>
        <w:t>as, lo cual no hizo. Tal como se evidencia en el expediente, el ahora accionante ignor</w:t>
      </w:r>
      <w:r>
        <w:rPr>
          <w:rFonts w:cs="Times New Roman"/>
          <w:spacing w:val="-6"/>
          <w:sz w:val="18"/>
          <w:szCs w:val="18"/>
          <w:lang w:val="es-ES_tradnl"/>
        </w:rPr>
        <w:t xml:space="preserve">ó </w:t>
      </w:r>
      <w:r>
        <w:rPr>
          <w:spacing w:val="-8"/>
          <w:sz w:val="18"/>
          <w:szCs w:val="18"/>
          <w:lang w:val="es-ES_tradnl"/>
        </w:rPr>
        <w:t xml:space="preserve">el mandato del Tribunal y no fue sino hasta que este se vio </w:t>
      </w:r>
      <w:r>
        <w:rPr>
          <w:spacing w:val="-4"/>
          <w:sz w:val="18"/>
          <w:szCs w:val="18"/>
          <w:lang w:val="es-ES_tradnl"/>
        </w:rPr>
        <w:t>en la obligaci</w:t>
      </w:r>
      <w:r>
        <w:rPr>
          <w:rFonts w:cs="Times New Roman"/>
          <w:spacing w:val="-4"/>
          <w:sz w:val="18"/>
          <w:szCs w:val="18"/>
          <w:lang w:val="es-ES_tradnl"/>
        </w:rPr>
        <w:t>ó</w:t>
      </w:r>
      <w:r>
        <w:rPr>
          <w:spacing w:val="-4"/>
          <w:sz w:val="18"/>
          <w:szCs w:val="18"/>
          <w:lang w:val="es-ES_tradnl"/>
        </w:rPr>
        <w:t>n de inadmitir el recurso de casaci</w:t>
      </w:r>
      <w:r>
        <w:rPr>
          <w:rFonts w:cs="Times New Roman"/>
          <w:spacing w:val="-4"/>
          <w:sz w:val="18"/>
          <w:szCs w:val="18"/>
          <w:lang w:val="es-ES_tradnl"/>
        </w:rPr>
        <w:t>ó</w:t>
      </w:r>
      <w:r>
        <w:rPr>
          <w:spacing w:val="-4"/>
          <w:sz w:val="18"/>
          <w:szCs w:val="18"/>
          <w:lang w:val="es-ES_tradnl"/>
        </w:rPr>
        <w:t>n, que el Servicio de Rentas Internas decidi</w:t>
      </w:r>
      <w:r>
        <w:rPr>
          <w:rFonts w:cs="Times New Roman"/>
          <w:spacing w:val="-4"/>
          <w:sz w:val="18"/>
          <w:szCs w:val="18"/>
          <w:lang w:val="es-ES_tradnl"/>
        </w:rPr>
        <w:t>ó</w:t>
      </w:r>
      <w:r>
        <w:rPr>
          <w:spacing w:val="-4"/>
          <w:sz w:val="18"/>
          <w:szCs w:val="18"/>
          <w:lang w:val="es-ES_tradnl"/>
        </w:rPr>
        <w:t xml:space="preserve"> dar cumplimiento </w:t>
      </w:r>
      <w:r>
        <w:rPr>
          <w:spacing w:val="-8"/>
          <w:sz w:val="18"/>
          <w:szCs w:val="18"/>
          <w:lang w:val="es-ES_tradnl"/>
        </w:rPr>
        <w:t>al mandato e intentar subsanarlo en la presentaci</w:t>
      </w:r>
      <w:r>
        <w:rPr>
          <w:rFonts w:cs="Times New Roman"/>
          <w:spacing w:val="-8"/>
          <w:sz w:val="18"/>
          <w:szCs w:val="18"/>
          <w:lang w:val="es-ES_tradnl"/>
        </w:rPr>
        <w:t>ó</w:t>
      </w:r>
      <w:r>
        <w:rPr>
          <w:spacing w:val="-8"/>
          <w:sz w:val="18"/>
          <w:szCs w:val="18"/>
          <w:lang w:val="es-ES_tradnl"/>
        </w:rPr>
        <w:t xml:space="preserve">n de su </w:t>
      </w:r>
      <w:r>
        <w:rPr>
          <w:sz w:val="18"/>
          <w:szCs w:val="18"/>
          <w:lang w:val="es-ES_tradnl"/>
        </w:rPr>
        <w:t>recurso de hecho.</w:t>
      </w:r>
    </w:p>
    <w:p w14:paraId="4F67B89B" w14:textId="77777777" w:rsidR="00591D54" w:rsidRDefault="00591D54">
      <w:pPr>
        <w:shd w:val="clear" w:color="auto" w:fill="FFFFFF"/>
        <w:tabs>
          <w:tab w:val="left" w:pos="144"/>
        </w:tabs>
        <w:spacing w:before="475" w:line="182" w:lineRule="exact"/>
        <w:ind w:left="144" w:hanging="144"/>
      </w:pPr>
      <w:r>
        <w:rPr>
          <w:sz w:val="10"/>
          <w:szCs w:val="10"/>
          <w:vertAlign w:val="superscript"/>
          <w:lang w:val="es-ES_tradnl"/>
        </w:rPr>
        <w:t>5</w:t>
      </w:r>
      <w:r>
        <w:rPr>
          <w:sz w:val="18"/>
          <w:szCs w:val="18"/>
          <w:lang w:val="es-ES_tradnl"/>
        </w:rPr>
        <w:tab/>
      </w:r>
      <w:r>
        <w:rPr>
          <w:spacing w:val="-12"/>
          <w:sz w:val="16"/>
          <w:szCs w:val="16"/>
          <w:lang w:val="es-ES_tradnl"/>
        </w:rPr>
        <w:t>Art.</w:t>
      </w:r>
      <w:r>
        <w:rPr>
          <w:spacing w:val="-12"/>
          <w:sz w:val="18"/>
          <w:szCs w:val="18"/>
          <w:lang w:val="es-ES_tradnl"/>
        </w:rPr>
        <w:t xml:space="preserve"> </w:t>
      </w:r>
      <w:r>
        <w:rPr>
          <w:spacing w:val="-12"/>
          <w:sz w:val="16"/>
          <w:szCs w:val="16"/>
          <w:lang w:val="es-ES_tradnl"/>
        </w:rPr>
        <w:t>346.-</w:t>
      </w:r>
      <w:r>
        <w:rPr>
          <w:spacing w:val="-12"/>
          <w:sz w:val="18"/>
          <w:szCs w:val="18"/>
          <w:lang w:val="es-ES_tradnl"/>
        </w:rPr>
        <w:t xml:space="preserve"> </w:t>
      </w:r>
      <w:r>
        <w:rPr>
          <w:spacing w:val="-12"/>
          <w:sz w:val="16"/>
          <w:szCs w:val="16"/>
          <w:lang w:val="es-ES_tradnl"/>
        </w:rPr>
        <w:t>Son</w:t>
      </w:r>
      <w:r>
        <w:rPr>
          <w:spacing w:val="-12"/>
          <w:sz w:val="18"/>
          <w:szCs w:val="18"/>
          <w:lang w:val="es-ES_tradnl"/>
        </w:rPr>
        <w:t xml:space="preserve"> </w:t>
      </w:r>
      <w:r>
        <w:rPr>
          <w:spacing w:val="-12"/>
          <w:sz w:val="16"/>
          <w:szCs w:val="16"/>
          <w:lang w:val="es-ES_tradnl"/>
        </w:rPr>
        <w:t>solemnidades</w:t>
      </w:r>
      <w:r>
        <w:rPr>
          <w:spacing w:val="-12"/>
          <w:sz w:val="18"/>
          <w:szCs w:val="18"/>
          <w:lang w:val="es-ES_tradnl"/>
        </w:rPr>
        <w:t xml:space="preserve"> </w:t>
      </w:r>
      <w:r>
        <w:rPr>
          <w:spacing w:val="-12"/>
          <w:sz w:val="16"/>
          <w:szCs w:val="16"/>
          <w:lang w:val="es-ES_tradnl"/>
        </w:rPr>
        <w:t>sustanciales</w:t>
      </w:r>
      <w:r>
        <w:rPr>
          <w:spacing w:val="-12"/>
          <w:sz w:val="18"/>
          <w:szCs w:val="18"/>
          <w:lang w:val="es-ES_tradnl"/>
        </w:rPr>
        <w:t xml:space="preserve"> </w:t>
      </w:r>
      <w:r>
        <w:rPr>
          <w:spacing w:val="-12"/>
          <w:sz w:val="16"/>
          <w:szCs w:val="16"/>
          <w:lang w:val="es-ES_tradnl"/>
        </w:rPr>
        <w:t>comunes</w:t>
      </w:r>
      <w:r>
        <w:rPr>
          <w:spacing w:val="-12"/>
          <w:sz w:val="18"/>
          <w:szCs w:val="18"/>
          <w:lang w:val="es-ES_tradnl"/>
        </w:rPr>
        <w:t xml:space="preserve"> </w:t>
      </w:r>
      <w:r>
        <w:rPr>
          <w:spacing w:val="-12"/>
          <w:sz w:val="16"/>
          <w:szCs w:val="16"/>
          <w:lang w:val="es-ES_tradnl"/>
        </w:rPr>
        <w:t>a</w:t>
      </w:r>
      <w:r>
        <w:rPr>
          <w:spacing w:val="-12"/>
          <w:sz w:val="18"/>
          <w:szCs w:val="18"/>
          <w:lang w:val="es-ES_tradnl"/>
        </w:rPr>
        <w:t xml:space="preserve"> </w:t>
      </w:r>
      <w:r>
        <w:rPr>
          <w:spacing w:val="-12"/>
          <w:sz w:val="16"/>
          <w:szCs w:val="16"/>
          <w:lang w:val="es-ES_tradnl"/>
        </w:rPr>
        <w:t>todos</w:t>
      </w:r>
      <w:r>
        <w:rPr>
          <w:spacing w:val="-12"/>
          <w:sz w:val="18"/>
          <w:szCs w:val="18"/>
          <w:lang w:val="es-ES_tradnl"/>
        </w:rPr>
        <w:t xml:space="preserve"> </w:t>
      </w:r>
      <w:r>
        <w:rPr>
          <w:spacing w:val="-12"/>
          <w:sz w:val="16"/>
          <w:szCs w:val="16"/>
          <w:lang w:val="es-ES_tradnl"/>
        </w:rPr>
        <w:t>los</w:t>
      </w:r>
      <w:r>
        <w:rPr>
          <w:spacing w:val="-12"/>
          <w:sz w:val="18"/>
          <w:szCs w:val="18"/>
          <w:lang w:val="es-ES_tradnl"/>
        </w:rPr>
        <w:t xml:space="preserve"> </w:t>
      </w:r>
      <w:r>
        <w:rPr>
          <w:spacing w:val="-12"/>
          <w:sz w:val="16"/>
          <w:szCs w:val="16"/>
          <w:lang w:val="es-ES_tradnl"/>
        </w:rPr>
        <w:t>juicios </w:t>
      </w:r>
      <w:r>
        <w:rPr>
          <w:sz w:val="16"/>
          <w:szCs w:val="16"/>
          <w:lang w:val="es-ES_tradnl"/>
        </w:rPr>
        <w:t>e instancias: 3. Legitimidad de personer</w:t>
      </w:r>
      <w:r>
        <w:rPr>
          <w:rFonts w:cs="Times New Roman"/>
          <w:sz w:val="16"/>
          <w:szCs w:val="16"/>
          <w:lang w:val="es-ES_tradnl"/>
        </w:rPr>
        <w:t>í</w:t>
      </w:r>
      <w:r>
        <w:rPr>
          <w:sz w:val="16"/>
          <w:szCs w:val="16"/>
          <w:lang w:val="es-ES_tradnl"/>
        </w:rPr>
        <w:t>a;</w:t>
      </w:r>
    </w:p>
    <w:p w14:paraId="4F67B89C" w14:textId="77777777" w:rsidR="00591D54" w:rsidRDefault="00591D54">
      <w:pPr>
        <w:shd w:val="clear" w:color="auto" w:fill="FFFFFF"/>
        <w:tabs>
          <w:tab w:val="left" w:pos="144"/>
        </w:tabs>
        <w:spacing w:before="149" w:line="178" w:lineRule="exact"/>
        <w:ind w:left="144" w:hanging="144"/>
      </w:pPr>
      <w:r>
        <w:rPr>
          <w:sz w:val="10"/>
          <w:szCs w:val="10"/>
          <w:vertAlign w:val="superscript"/>
          <w:lang w:val="es-ES_tradnl"/>
        </w:rPr>
        <w:t>6</w:t>
      </w:r>
      <w:r>
        <w:rPr>
          <w:sz w:val="18"/>
          <w:szCs w:val="18"/>
          <w:lang w:val="es-ES_tradnl"/>
        </w:rPr>
        <w:tab/>
      </w:r>
      <w:r>
        <w:rPr>
          <w:spacing w:val="-11"/>
          <w:sz w:val="16"/>
          <w:szCs w:val="16"/>
          <w:lang w:val="es-ES_tradnl"/>
        </w:rPr>
        <w:t>Corte</w:t>
      </w:r>
      <w:r>
        <w:rPr>
          <w:spacing w:val="-11"/>
          <w:sz w:val="18"/>
          <w:szCs w:val="18"/>
          <w:lang w:val="es-ES_tradnl"/>
        </w:rPr>
        <w:t xml:space="preserve"> </w:t>
      </w:r>
      <w:r>
        <w:rPr>
          <w:spacing w:val="-11"/>
          <w:sz w:val="16"/>
          <w:szCs w:val="16"/>
          <w:lang w:val="es-ES_tradnl"/>
        </w:rPr>
        <w:t>Constitucional</w:t>
      </w:r>
      <w:r>
        <w:rPr>
          <w:spacing w:val="-11"/>
          <w:sz w:val="18"/>
          <w:szCs w:val="18"/>
          <w:lang w:val="es-ES_tradnl"/>
        </w:rPr>
        <w:t xml:space="preserve"> </w:t>
      </w:r>
      <w:r>
        <w:rPr>
          <w:spacing w:val="-11"/>
          <w:sz w:val="16"/>
          <w:szCs w:val="16"/>
          <w:lang w:val="es-ES_tradnl"/>
        </w:rPr>
        <w:t>del</w:t>
      </w:r>
      <w:r>
        <w:rPr>
          <w:spacing w:val="-11"/>
          <w:sz w:val="18"/>
          <w:szCs w:val="18"/>
          <w:lang w:val="es-ES_tradnl"/>
        </w:rPr>
        <w:t xml:space="preserve"> </w:t>
      </w:r>
      <w:r>
        <w:rPr>
          <w:spacing w:val="-11"/>
          <w:sz w:val="16"/>
          <w:szCs w:val="16"/>
          <w:lang w:val="es-ES_tradnl"/>
        </w:rPr>
        <w:t>Ecuador.</w:t>
      </w:r>
      <w:r>
        <w:rPr>
          <w:spacing w:val="-11"/>
          <w:sz w:val="18"/>
          <w:szCs w:val="18"/>
          <w:lang w:val="es-ES_tradnl"/>
        </w:rPr>
        <w:t xml:space="preserve"> </w:t>
      </w:r>
      <w:r>
        <w:rPr>
          <w:spacing w:val="-11"/>
          <w:sz w:val="16"/>
          <w:szCs w:val="16"/>
          <w:lang w:val="es-ES_tradnl"/>
        </w:rPr>
        <w:t>Sentencia</w:t>
      </w:r>
      <w:r>
        <w:rPr>
          <w:spacing w:val="-11"/>
          <w:sz w:val="18"/>
          <w:szCs w:val="18"/>
          <w:lang w:val="es-ES_tradnl"/>
        </w:rPr>
        <w:t xml:space="preserve"> </w:t>
      </w:r>
      <w:r>
        <w:rPr>
          <w:spacing w:val="-11"/>
          <w:sz w:val="16"/>
          <w:szCs w:val="16"/>
          <w:lang w:val="es-ES_tradnl"/>
        </w:rPr>
        <w:t>N</w:t>
      </w:r>
      <w:r>
        <w:rPr>
          <w:rFonts w:cs="Times New Roman"/>
          <w:spacing w:val="-11"/>
          <w:sz w:val="16"/>
          <w:szCs w:val="16"/>
          <w:lang w:val="es-ES_tradnl"/>
        </w:rPr>
        <w:t>°</w:t>
      </w:r>
      <w:r>
        <w:rPr>
          <w:spacing w:val="-11"/>
          <w:sz w:val="18"/>
          <w:szCs w:val="18"/>
          <w:lang w:val="es-ES_tradnl"/>
        </w:rPr>
        <w:t xml:space="preserve"> </w:t>
      </w:r>
      <w:r>
        <w:rPr>
          <w:spacing w:val="-11"/>
          <w:sz w:val="16"/>
          <w:szCs w:val="16"/>
          <w:lang w:val="es-ES_tradnl"/>
        </w:rPr>
        <w:t>178-14-SEP-CC,</w:t>
      </w:r>
      <w:r>
        <w:rPr>
          <w:spacing w:val="-11"/>
          <w:sz w:val="18"/>
          <w:szCs w:val="18"/>
          <w:lang w:val="es-ES_tradnl"/>
        </w:rPr>
        <w:t xml:space="preserve"> </w:t>
      </w:r>
      <w:r>
        <w:rPr>
          <w:spacing w:val="-11"/>
          <w:sz w:val="16"/>
          <w:szCs w:val="16"/>
          <w:lang w:val="es-ES_tradnl"/>
        </w:rPr>
        <w:t>de </w:t>
      </w:r>
      <w:r>
        <w:rPr>
          <w:spacing w:val="-12"/>
          <w:sz w:val="16"/>
          <w:szCs w:val="16"/>
          <w:lang w:val="es-ES_tradnl"/>
        </w:rPr>
        <w:t>15 de octubre de 2014 dentro del caso N</w:t>
      </w:r>
      <w:r>
        <w:rPr>
          <w:rFonts w:cs="Times New Roman"/>
          <w:spacing w:val="-12"/>
          <w:sz w:val="16"/>
          <w:szCs w:val="16"/>
          <w:lang w:val="es-ES_tradnl"/>
        </w:rPr>
        <w:t>°</w:t>
      </w:r>
      <w:r>
        <w:rPr>
          <w:spacing w:val="-12"/>
          <w:sz w:val="16"/>
          <w:szCs w:val="16"/>
          <w:lang w:val="es-ES_tradnl"/>
        </w:rPr>
        <w:t>0143-13-EP</w:t>
      </w:r>
    </w:p>
    <w:p w14:paraId="4F67B89D" w14:textId="77777777" w:rsidR="00591D54" w:rsidRDefault="00591D54">
      <w:pPr>
        <w:shd w:val="clear" w:color="auto" w:fill="FFFFFF"/>
        <w:tabs>
          <w:tab w:val="left" w:pos="144"/>
        </w:tabs>
        <w:spacing w:before="149" w:line="178" w:lineRule="exact"/>
        <w:ind w:left="144" w:hanging="144"/>
        <w:sectPr w:rsidR="00591D54">
          <w:type w:val="continuous"/>
          <w:pgSz w:w="11909" w:h="16834"/>
          <w:pgMar w:top="1356" w:right="1309" w:bottom="360" w:left="1308" w:header="720" w:footer="720" w:gutter="0"/>
          <w:cols w:num="2" w:space="720" w:equalWidth="0">
            <w:col w:w="4305" w:space="682"/>
            <w:col w:w="4305"/>
          </w:cols>
          <w:noEndnote/>
        </w:sectPr>
      </w:pPr>
    </w:p>
    <w:p w14:paraId="4F67B89E"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- 257</w:t>
      </w:r>
    </w:p>
    <w:p w14:paraId="4F67B89F" w14:textId="77777777" w:rsidR="00591D54" w:rsidRDefault="00591D54">
      <w:pPr>
        <w:shd w:val="clear" w:color="auto" w:fill="FFFFFF"/>
        <w:tabs>
          <w:tab w:val="left" w:pos="5842"/>
        </w:tabs>
        <w:spacing w:after="235"/>
        <w:ind w:left="5"/>
        <w:sectPr w:rsidR="00591D54">
          <w:pgSz w:w="11909" w:h="16834"/>
          <w:pgMar w:top="1356" w:right="1309" w:bottom="360" w:left="1308" w:header="720" w:footer="720" w:gutter="0"/>
          <w:cols w:space="60"/>
          <w:noEndnote/>
        </w:sectPr>
      </w:pPr>
    </w:p>
    <w:p w14:paraId="4F67B8A0" w14:textId="77777777" w:rsidR="00591D54" w:rsidRDefault="00591D54">
      <w:pPr>
        <w:shd w:val="clear" w:color="auto" w:fill="FFFFFF"/>
        <w:spacing w:line="206" w:lineRule="exact"/>
        <w:jc w:val="both"/>
      </w:pPr>
      <w:r>
        <w:rPr>
          <w:spacing w:val="-3"/>
          <w:sz w:val="18"/>
          <w:szCs w:val="18"/>
          <w:lang w:val="es-ES_tradnl"/>
        </w:rPr>
        <w:t xml:space="preserve">Aquello demuestra un actuar contrario a los principios </w:t>
      </w:r>
      <w:r>
        <w:rPr>
          <w:spacing w:val="-5"/>
          <w:sz w:val="18"/>
          <w:szCs w:val="18"/>
          <w:lang w:val="es-ES_tradnl"/>
        </w:rPr>
        <w:t xml:space="preserve">constitucionales por parte de la autoridad administrativa, </w:t>
      </w:r>
      <w:r>
        <w:rPr>
          <w:spacing w:val="-4"/>
          <w:sz w:val="18"/>
          <w:szCs w:val="18"/>
          <w:lang w:val="es-ES_tradnl"/>
        </w:rPr>
        <w:t>quien con su actitud ha provocado incluso la afectaci</w:t>
      </w:r>
      <w:r>
        <w:rPr>
          <w:rFonts w:cs="Times New Roman"/>
          <w:spacing w:val="-4"/>
          <w:sz w:val="18"/>
          <w:szCs w:val="18"/>
          <w:lang w:val="es-ES_tradnl"/>
        </w:rPr>
        <w:t>ó</w:t>
      </w:r>
      <w:r>
        <w:rPr>
          <w:spacing w:val="-4"/>
          <w:sz w:val="18"/>
          <w:szCs w:val="18"/>
          <w:lang w:val="es-ES_tradnl"/>
        </w:rPr>
        <w:t xml:space="preserve">n </w:t>
      </w:r>
      <w:r>
        <w:rPr>
          <w:sz w:val="18"/>
          <w:szCs w:val="18"/>
          <w:lang w:val="es-ES_tradnl"/>
        </w:rPr>
        <w:t xml:space="preserve">del principio procesal de celeridad, contenido en el </w:t>
      </w:r>
      <w:r>
        <w:rPr>
          <w:spacing w:val="-6"/>
          <w:sz w:val="18"/>
          <w:szCs w:val="18"/>
          <w:lang w:val="es-ES_tradnl"/>
        </w:rPr>
        <w:t>art</w:t>
      </w:r>
      <w:r>
        <w:rPr>
          <w:rFonts w:cs="Times New Roman"/>
          <w:spacing w:val="-6"/>
          <w:sz w:val="18"/>
          <w:szCs w:val="18"/>
          <w:lang w:val="es-ES_tradnl"/>
        </w:rPr>
        <w:t>í</w:t>
      </w:r>
      <w:r>
        <w:rPr>
          <w:spacing w:val="-6"/>
          <w:sz w:val="18"/>
          <w:szCs w:val="18"/>
          <w:lang w:val="es-ES_tradnl"/>
        </w:rPr>
        <w:t>culo 169 de la Constituci</w:t>
      </w:r>
      <w:r>
        <w:rPr>
          <w:rFonts w:cs="Times New Roman"/>
          <w:spacing w:val="-6"/>
          <w:sz w:val="18"/>
          <w:szCs w:val="18"/>
          <w:lang w:val="es-ES_tradnl"/>
        </w:rPr>
        <w:t>ó</w:t>
      </w:r>
      <w:r>
        <w:rPr>
          <w:spacing w:val="-6"/>
          <w:sz w:val="18"/>
          <w:szCs w:val="18"/>
          <w:lang w:val="es-ES_tradnl"/>
        </w:rPr>
        <w:t>n, el cual constituye adem</w:t>
      </w:r>
      <w:r>
        <w:rPr>
          <w:rFonts w:cs="Times New Roman"/>
          <w:spacing w:val="-6"/>
          <w:sz w:val="18"/>
          <w:szCs w:val="18"/>
          <w:lang w:val="es-ES_tradnl"/>
        </w:rPr>
        <w:t>á</w:t>
      </w:r>
      <w:r>
        <w:rPr>
          <w:spacing w:val="-6"/>
          <w:sz w:val="18"/>
          <w:szCs w:val="18"/>
          <w:lang w:val="es-ES_tradnl"/>
        </w:rPr>
        <w:t xml:space="preserve">s </w:t>
      </w:r>
      <w:r>
        <w:rPr>
          <w:spacing w:val="-5"/>
          <w:sz w:val="18"/>
          <w:szCs w:val="18"/>
          <w:lang w:val="es-ES_tradnl"/>
        </w:rPr>
        <w:t xml:space="preserve">un elemento necesario para la tutela judicial efectiva y la </w:t>
      </w:r>
      <w:r>
        <w:rPr>
          <w:spacing w:val="-3"/>
          <w:sz w:val="18"/>
          <w:szCs w:val="18"/>
          <w:lang w:val="es-ES_tradnl"/>
        </w:rPr>
        <w:t>seguridad jur</w:t>
      </w:r>
      <w:r>
        <w:rPr>
          <w:rFonts w:cs="Times New Roman"/>
          <w:spacing w:val="-3"/>
          <w:sz w:val="18"/>
          <w:szCs w:val="18"/>
          <w:lang w:val="es-ES_tradnl"/>
        </w:rPr>
        <w:t>í</w:t>
      </w:r>
      <w:r>
        <w:rPr>
          <w:spacing w:val="-3"/>
          <w:sz w:val="18"/>
          <w:szCs w:val="18"/>
          <w:lang w:val="es-ES_tradnl"/>
        </w:rPr>
        <w:t xml:space="preserve">dica. Al no dar cumplimiento al mandato </w:t>
      </w:r>
      <w:r>
        <w:rPr>
          <w:sz w:val="18"/>
          <w:szCs w:val="18"/>
          <w:lang w:val="es-ES_tradnl"/>
        </w:rPr>
        <w:t xml:space="preserve">judicial y no actuar de conformidad con lo previsto en </w:t>
      </w:r>
      <w:r>
        <w:rPr>
          <w:spacing w:val="-3"/>
          <w:sz w:val="18"/>
          <w:szCs w:val="18"/>
          <w:lang w:val="es-ES_tradnl"/>
        </w:rPr>
        <w:t>la ley para la presentaci</w:t>
      </w:r>
      <w:r>
        <w:rPr>
          <w:rFonts w:cs="Times New Roman"/>
          <w:spacing w:val="-3"/>
          <w:sz w:val="18"/>
          <w:szCs w:val="18"/>
          <w:lang w:val="es-ES_tradnl"/>
        </w:rPr>
        <w:t>ó</w:t>
      </w:r>
      <w:r>
        <w:rPr>
          <w:spacing w:val="-3"/>
          <w:sz w:val="18"/>
          <w:szCs w:val="18"/>
          <w:lang w:val="es-ES_tradnl"/>
        </w:rPr>
        <w:t xml:space="preserve">n de su recurso, ha provocado </w:t>
      </w:r>
      <w:r>
        <w:rPr>
          <w:spacing w:val="-2"/>
          <w:sz w:val="18"/>
          <w:szCs w:val="18"/>
          <w:lang w:val="es-ES_tradnl"/>
        </w:rPr>
        <w:t>la dilaci</w:t>
      </w:r>
      <w:r>
        <w:rPr>
          <w:rFonts w:cs="Times New Roman"/>
          <w:spacing w:val="-2"/>
          <w:sz w:val="18"/>
          <w:szCs w:val="18"/>
          <w:lang w:val="es-ES_tradnl"/>
        </w:rPr>
        <w:t>ó</w:t>
      </w:r>
      <w:r>
        <w:rPr>
          <w:spacing w:val="-2"/>
          <w:sz w:val="18"/>
          <w:szCs w:val="18"/>
          <w:lang w:val="es-ES_tradnl"/>
        </w:rPr>
        <w:t xml:space="preserve">n injustificada del proceso y ha impedido que </w:t>
      </w:r>
      <w:r>
        <w:rPr>
          <w:sz w:val="18"/>
          <w:szCs w:val="18"/>
          <w:lang w:val="es-ES_tradnl"/>
        </w:rPr>
        <w:t xml:space="preserve">la causa pueda ser resuelta en un tiempo prudencial </w:t>
      </w:r>
      <w:r>
        <w:rPr>
          <w:spacing w:val="-6"/>
          <w:sz w:val="18"/>
          <w:szCs w:val="18"/>
          <w:lang w:val="es-ES_tradnl"/>
        </w:rPr>
        <w:t xml:space="preserve">que brinde certeza a las partes procesales y garantice la </w:t>
      </w:r>
      <w:r>
        <w:rPr>
          <w:sz w:val="18"/>
          <w:szCs w:val="18"/>
          <w:lang w:val="es-ES_tradnl"/>
        </w:rPr>
        <w:t>realizaci</w:t>
      </w:r>
      <w:r>
        <w:rPr>
          <w:rFonts w:cs="Times New Roman"/>
          <w:sz w:val="18"/>
          <w:szCs w:val="18"/>
          <w:lang w:val="es-ES_tradnl"/>
        </w:rPr>
        <w:t>ó</w:t>
      </w:r>
      <w:r>
        <w:rPr>
          <w:sz w:val="18"/>
          <w:szCs w:val="18"/>
          <w:lang w:val="es-ES_tradnl"/>
        </w:rPr>
        <w:t>n de la justicia.</w:t>
      </w:r>
    </w:p>
    <w:p w14:paraId="4F67B8A1" w14:textId="77777777" w:rsidR="00591D54" w:rsidRDefault="00591D54">
      <w:pPr>
        <w:shd w:val="clear" w:color="auto" w:fill="FFFFFF"/>
        <w:spacing w:before="187" w:line="206" w:lineRule="exact"/>
        <w:jc w:val="both"/>
      </w:pPr>
      <w:r>
        <w:rPr>
          <w:spacing w:val="-4"/>
          <w:sz w:val="18"/>
          <w:szCs w:val="18"/>
          <w:lang w:val="es-ES_tradnl"/>
        </w:rPr>
        <w:t>De modo que el criterio de la sala casacional respecto a la obligaci</w:t>
      </w:r>
      <w:r>
        <w:rPr>
          <w:rFonts w:cs="Times New Roman"/>
          <w:spacing w:val="-4"/>
          <w:sz w:val="18"/>
          <w:szCs w:val="18"/>
          <w:lang w:val="es-ES_tradnl"/>
        </w:rPr>
        <w:t>ó</w:t>
      </w:r>
      <w:r>
        <w:rPr>
          <w:spacing w:val="-4"/>
          <w:sz w:val="18"/>
          <w:szCs w:val="18"/>
          <w:lang w:val="es-ES_tradnl"/>
        </w:rPr>
        <w:t xml:space="preserve">n del accionante de cumplir con un requisito </w:t>
      </w:r>
      <w:r>
        <w:rPr>
          <w:i/>
          <w:iCs/>
          <w:spacing w:val="-4"/>
          <w:sz w:val="18"/>
          <w:szCs w:val="18"/>
          <w:lang w:val="es-ES_tradnl"/>
        </w:rPr>
        <w:t xml:space="preserve">sine qua non </w:t>
      </w:r>
      <w:r>
        <w:rPr>
          <w:spacing w:val="-4"/>
          <w:sz w:val="18"/>
          <w:szCs w:val="18"/>
          <w:lang w:val="es-ES_tradnl"/>
        </w:rPr>
        <w:t xml:space="preserve">para la validez de un proceso judicial y </w:t>
      </w:r>
      <w:r>
        <w:rPr>
          <w:spacing w:val="-3"/>
          <w:sz w:val="18"/>
          <w:szCs w:val="18"/>
          <w:lang w:val="es-ES_tradnl"/>
        </w:rPr>
        <w:t>determinar que la administraci</w:t>
      </w:r>
      <w:r>
        <w:rPr>
          <w:rFonts w:cs="Times New Roman"/>
          <w:spacing w:val="-3"/>
          <w:sz w:val="18"/>
          <w:szCs w:val="18"/>
          <w:lang w:val="es-ES_tradnl"/>
        </w:rPr>
        <w:t>ó</w:t>
      </w:r>
      <w:r>
        <w:rPr>
          <w:spacing w:val="-3"/>
          <w:sz w:val="18"/>
          <w:szCs w:val="18"/>
          <w:lang w:val="es-ES_tradnl"/>
        </w:rPr>
        <w:t xml:space="preserve">n tributaria tuvo tiempo </w:t>
      </w:r>
      <w:r>
        <w:rPr>
          <w:spacing w:val="-8"/>
          <w:sz w:val="18"/>
          <w:szCs w:val="18"/>
          <w:lang w:val="es-ES_tradnl"/>
        </w:rPr>
        <w:t>suficiente para legitimar la intervenci</w:t>
      </w:r>
      <w:r>
        <w:rPr>
          <w:rFonts w:cs="Times New Roman"/>
          <w:spacing w:val="-8"/>
          <w:sz w:val="18"/>
          <w:szCs w:val="18"/>
          <w:lang w:val="es-ES_tradnl"/>
        </w:rPr>
        <w:t>ó</w:t>
      </w:r>
      <w:r>
        <w:rPr>
          <w:spacing w:val="-8"/>
          <w:sz w:val="18"/>
          <w:szCs w:val="18"/>
          <w:lang w:val="es-ES_tradnl"/>
        </w:rPr>
        <w:t xml:space="preserve">n de la abogada que </w:t>
      </w:r>
      <w:r>
        <w:rPr>
          <w:spacing w:val="-7"/>
          <w:sz w:val="18"/>
          <w:szCs w:val="18"/>
          <w:lang w:val="es-ES_tradnl"/>
        </w:rPr>
        <w:t>interpuso el recurso, guarda armon</w:t>
      </w:r>
      <w:r>
        <w:rPr>
          <w:rFonts w:cs="Times New Roman"/>
          <w:spacing w:val="-7"/>
          <w:sz w:val="18"/>
          <w:szCs w:val="18"/>
          <w:lang w:val="es-ES_tradnl"/>
        </w:rPr>
        <w:t>í</w:t>
      </w:r>
      <w:r>
        <w:rPr>
          <w:spacing w:val="-7"/>
          <w:sz w:val="18"/>
          <w:szCs w:val="18"/>
          <w:lang w:val="es-ES_tradnl"/>
        </w:rPr>
        <w:t xml:space="preserve">a con la normativa que </w:t>
      </w:r>
      <w:r>
        <w:rPr>
          <w:spacing w:val="-9"/>
          <w:sz w:val="18"/>
          <w:szCs w:val="18"/>
          <w:lang w:val="es-ES_tradnl"/>
        </w:rPr>
        <w:t xml:space="preserve">regula la materia, puesto que si bien la norma prevista en el </w:t>
      </w:r>
      <w:r>
        <w:rPr>
          <w:spacing w:val="-3"/>
          <w:sz w:val="18"/>
          <w:szCs w:val="18"/>
          <w:lang w:val="es-ES_tradnl"/>
        </w:rPr>
        <w:t>art</w:t>
      </w:r>
      <w:r>
        <w:rPr>
          <w:rFonts w:cs="Times New Roman"/>
          <w:spacing w:val="-3"/>
          <w:sz w:val="18"/>
          <w:szCs w:val="18"/>
          <w:lang w:val="es-ES_tradnl"/>
        </w:rPr>
        <w:t>í</w:t>
      </w:r>
      <w:r>
        <w:rPr>
          <w:spacing w:val="-3"/>
          <w:sz w:val="18"/>
          <w:szCs w:val="18"/>
          <w:lang w:val="es-ES_tradnl"/>
        </w:rPr>
        <w:t>culo 359 del C</w:t>
      </w:r>
      <w:r>
        <w:rPr>
          <w:rFonts w:cs="Times New Roman"/>
          <w:spacing w:val="-3"/>
          <w:sz w:val="18"/>
          <w:szCs w:val="18"/>
          <w:lang w:val="es-ES_tradnl"/>
        </w:rPr>
        <w:t>ó</w:t>
      </w:r>
      <w:r>
        <w:rPr>
          <w:spacing w:val="-3"/>
          <w:sz w:val="18"/>
          <w:szCs w:val="18"/>
          <w:lang w:val="es-ES_tradnl"/>
        </w:rPr>
        <w:t xml:space="preserve">digo de Procedimiento Civil posibilita </w:t>
      </w:r>
      <w:r>
        <w:rPr>
          <w:spacing w:val="-8"/>
          <w:sz w:val="18"/>
          <w:szCs w:val="18"/>
          <w:lang w:val="es-ES_tradnl"/>
        </w:rPr>
        <w:t>a las partes procesales para que legitimen la personer</w:t>
      </w:r>
      <w:r>
        <w:rPr>
          <w:rFonts w:cs="Times New Roman"/>
          <w:spacing w:val="-8"/>
          <w:sz w:val="18"/>
          <w:szCs w:val="18"/>
          <w:lang w:val="es-ES_tradnl"/>
        </w:rPr>
        <w:t>í</w:t>
      </w:r>
      <w:r>
        <w:rPr>
          <w:spacing w:val="-8"/>
          <w:sz w:val="18"/>
          <w:szCs w:val="18"/>
          <w:lang w:val="es-ES_tradnl"/>
        </w:rPr>
        <w:t xml:space="preserve">a en </w:t>
      </w:r>
      <w:r>
        <w:rPr>
          <w:spacing w:val="-6"/>
          <w:sz w:val="18"/>
          <w:szCs w:val="18"/>
          <w:lang w:val="es-ES_tradnl"/>
        </w:rPr>
        <w:t xml:space="preserve">cualquiera de las instancias del juicio, no es menos cierto </w:t>
      </w:r>
      <w:r>
        <w:rPr>
          <w:spacing w:val="-5"/>
          <w:sz w:val="18"/>
          <w:szCs w:val="18"/>
          <w:lang w:val="es-ES_tradnl"/>
        </w:rPr>
        <w:t>que el proceso de casaci</w:t>
      </w:r>
      <w:r>
        <w:rPr>
          <w:rFonts w:cs="Times New Roman"/>
          <w:spacing w:val="-5"/>
          <w:sz w:val="18"/>
          <w:szCs w:val="18"/>
          <w:lang w:val="es-ES_tradnl"/>
        </w:rPr>
        <w:t>ó</w:t>
      </w:r>
      <w:r>
        <w:rPr>
          <w:spacing w:val="-5"/>
          <w:sz w:val="18"/>
          <w:szCs w:val="18"/>
          <w:lang w:val="es-ES_tradnl"/>
        </w:rPr>
        <w:t xml:space="preserve">n no constituye una instancia </w:t>
      </w:r>
      <w:r>
        <w:rPr>
          <w:spacing w:val="-4"/>
          <w:sz w:val="18"/>
          <w:szCs w:val="18"/>
          <w:lang w:val="es-ES_tradnl"/>
        </w:rPr>
        <w:t>m</w:t>
      </w:r>
      <w:r>
        <w:rPr>
          <w:rFonts w:cs="Times New Roman"/>
          <w:spacing w:val="-4"/>
          <w:sz w:val="18"/>
          <w:szCs w:val="18"/>
          <w:lang w:val="es-ES_tradnl"/>
        </w:rPr>
        <w:t>á</w:t>
      </w:r>
      <w:r>
        <w:rPr>
          <w:spacing w:val="-4"/>
          <w:sz w:val="18"/>
          <w:szCs w:val="18"/>
          <w:lang w:val="es-ES_tradnl"/>
        </w:rPr>
        <w:t>s, sino que se trata de un tr</w:t>
      </w:r>
      <w:r>
        <w:rPr>
          <w:rFonts w:cs="Times New Roman"/>
          <w:spacing w:val="-4"/>
          <w:sz w:val="18"/>
          <w:szCs w:val="18"/>
          <w:lang w:val="es-ES_tradnl"/>
        </w:rPr>
        <w:t>á</w:t>
      </w:r>
      <w:r>
        <w:rPr>
          <w:spacing w:val="-4"/>
          <w:sz w:val="18"/>
          <w:szCs w:val="18"/>
          <w:lang w:val="es-ES_tradnl"/>
        </w:rPr>
        <w:t xml:space="preserve">mite extraordinario que </w:t>
      </w:r>
      <w:r>
        <w:rPr>
          <w:spacing w:val="-1"/>
          <w:sz w:val="18"/>
          <w:szCs w:val="18"/>
          <w:lang w:val="es-ES_tradnl"/>
        </w:rPr>
        <w:t xml:space="preserve">tiene como finalidad realizar un examen de legalidad </w:t>
      </w:r>
      <w:r>
        <w:rPr>
          <w:spacing w:val="-6"/>
          <w:sz w:val="18"/>
          <w:szCs w:val="18"/>
          <w:lang w:val="es-ES_tradnl"/>
        </w:rPr>
        <w:t xml:space="preserve">en la sentencia emitida por el juez </w:t>
      </w:r>
      <w:r>
        <w:rPr>
          <w:i/>
          <w:iCs/>
          <w:spacing w:val="-6"/>
          <w:sz w:val="18"/>
          <w:szCs w:val="18"/>
          <w:lang w:val="es-ES_tradnl"/>
        </w:rPr>
        <w:t xml:space="preserve">ad quem, </w:t>
      </w:r>
      <w:r>
        <w:rPr>
          <w:spacing w:val="-6"/>
          <w:sz w:val="18"/>
          <w:szCs w:val="18"/>
          <w:lang w:val="es-ES_tradnl"/>
        </w:rPr>
        <w:t xml:space="preserve">sin que sea competente para emitir un pronunciamiento con respecto </w:t>
      </w:r>
      <w:r>
        <w:rPr>
          <w:sz w:val="18"/>
          <w:szCs w:val="18"/>
          <w:lang w:val="es-ES_tradnl"/>
        </w:rPr>
        <w:t>al fondo del asunto.</w:t>
      </w:r>
    </w:p>
    <w:p w14:paraId="4F67B8A2" w14:textId="77777777" w:rsidR="00591D54" w:rsidRDefault="00591D54">
      <w:pPr>
        <w:shd w:val="clear" w:color="auto" w:fill="FFFFFF"/>
        <w:spacing w:before="187" w:line="206" w:lineRule="exact"/>
        <w:jc w:val="both"/>
      </w:pPr>
      <w:r>
        <w:rPr>
          <w:spacing w:val="-7"/>
          <w:sz w:val="18"/>
          <w:szCs w:val="18"/>
          <w:lang w:val="es-ES_tradnl"/>
        </w:rPr>
        <w:t>De ah</w:t>
      </w:r>
      <w:r>
        <w:rPr>
          <w:rFonts w:cs="Times New Roman"/>
          <w:spacing w:val="-7"/>
          <w:sz w:val="18"/>
          <w:szCs w:val="18"/>
          <w:lang w:val="es-ES_tradnl"/>
        </w:rPr>
        <w:t>í</w:t>
      </w:r>
      <w:r>
        <w:rPr>
          <w:spacing w:val="-7"/>
          <w:sz w:val="18"/>
          <w:szCs w:val="18"/>
          <w:lang w:val="es-ES_tradnl"/>
        </w:rPr>
        <w:t xml:space="preserve"> que esta Corte considera que de haberse admitido el recurso de hecho y en consecuencia, de haber dado tr</w:t>
      </w:r>
      <w:r>
        <w:rPr>
          <w:rFonts w:cs="Times New Roman"/>
          <w:spacing w:val="-7"/>
          <w:sz w:val="18"/>
          <w:szCs w:val="18"/>
          <w:lang w:val="es-ES_tradnl"/>
        </w:rPr>
        <w:t>á</w:t>
      </w:r>
      <w:r>
        <w:rPr>
          <w:spacing w:val="-7"/>
          <w:sz w:val="18"/>
          <w:szCs w:val="18"/>
          <w:lang w:val="es-ES_tradnl"/>
        </w:rPr>
        <w:t>mite al recurso de casaci</w:t>
      </w:r>
      <w:r>
        <w:rPr>
          <w:rFonts w:cs="Times New Roman"/>
          <w:spacing w:val="-7"/>
          <w:sz w:val="18"/>
          <w:szCs w:val="18"/>
          <w:lang w:val="es-ES_tradnl"/>
        </w:rPr>
        <w:t>ó</w:t>
      </w:r>
      <w:r>
        <w:rPr>
          <w:spacing w:val="-7"/>
          <w:sz w:val="18"/>
          <w:szCs w:val="18"/>
          <w:lang w:val="es-ES_tradnl"/>
        </w:rPr>
        <w:t>n, los conjueces casacionales habr</w:t>
      </w:r>
      <w:r>
        <w:rPr>
          <w:rFonts w:cs="Times New Roman"/>
          <w:spacing w:val="-7"/>
          <w:sz w:val="18"/>
          <w:szCs w:val="18"/>
          <w:lang w:val="es-ES_tradnl"/>
        </w:rPr>
        <w:t>í</w:t>
      </w:r>
      <w:r>
        <w:rPr>
          <w:spacing w:val="-7"/>
          <w:sz w:val="18"/>
          <w:szCs w:val="18"/>
          <w:lang w:val="es-ES_tradnl"/>
        </w:rPr>
        <w:t xml:space="preserve">an vulnerado el derecho constitucional a la seguridad </w:t>
      </w:r>
      <w:r>
        <w:rPr>
          <w:spacing w:val="-5"/>
          <w:sz w:val="18"/>
          <w:szCs w:val="18"/>
          <w:lang w:val="es-ES_tradnl"/>
        </w:rPr>
        <w:t>jur</w:t>
      </w:r>
      <w:r>
        <w:rPr>
          <w:rFonts w:cs="Times New Roman"/>
          <w:spacing w:val="-5"/>
          <w:sz w:val="18"/>
          <w:szCs w:val="18"/>
          <w:lang w:val="es-ES_tradnl"/>
        </w:rPr>
        <w:t>í</w:t>
      </w:r>
      <w:r>
        <w:rPr>
          <w:spacing w:val="-5"/>
          <w:sz w:val="18"/>
          <w:szCs w:val="18"/>
          <w:lang w:val="es-ES_tradnl"/>
        </w:rPr>
        <w:t>dica, puesto que habr</w:t>
      </w:r>
      <w:r>
        <w:rPr>
          <w:rFonts w:cs="Times New Roman"/>
          <w:spacing w:val="-5"/>
          <w:sz w:val="18"/>
          <w:szCs w:val="18"/>
          <w:lang w:val="es-ES_tradnl"/>
        </w:rPr>
        <w:t>í</w:t>
      </w:r>
      <w:r>
        <w:rPr>
          <w:spacing w:val="-5"/>
          <w:sz w:val="18"/>
          <w:szCs w:val="18"/>
          <w:lang w:val="es-ES_tradnl"/>
        </w:rPr>
        <w:t xml:space="preserve">an inobservado normas claras, </w:t>
      </w:r>
      <w:r>
        <w:rPr>
          <w:spacing w:val="-9"/>
          <w:sz w:val="18"/>
          <w:szCs w:val="18"/>
          <w:lang w:val="es-ES_tradnl"/>
        </w:rPr>
        <w:t>previas y p</w:t>
      </w:r>
      <w:r>
        <w:rPr>
          <w:rFonts w:cs="Times New Roman"/>
          <w:spacing w:val="-9"/>
          <w:sz w:val="18"/>
          <w:szCs w:val="18"/>
          <w:lang w:val="es-ES_tradnl"/>
        </w:rPr>
        <w:t>ú</w:t>
      </w:r>
      <w:r>
        <w:rPr>
          <w:spacing w:val="-9"/>
          <w:sz w:val="18"/>
          <w:szCs w:val="18"/>
          <w:lang w:val="es-ES_tradnl"/>
        </w:rPr>
        <w:t xml:space="preserve">blicas aplicables al caso concreto, enmarcando </w:t>
      </w:r>
      <w:r>
        <w:rPr>
          <w:spacing w:val="-5"/>
          <w:sz w:val="18"/>
          <w:szCs w:val="18"/>
          <w:lang w:val="es-ES_tradnl"/>
        </w:rPr>
        <w:t xml:space="preserve">con ello sus actuaciones dentro de la discrecionalidad y </w:t>
      </w:r>
      <w:r>
        <w:rPr>
          <w:spacing w:val="-7"/>
          <w:sz w:val="18"/>
          <w:szCs w:val="18"/>
          <w:lang w:val="es-ES_tradnl"/>
        </w:rPr>
        <w:t xml:space="preserve">arbitrariedad; no obstante, en el presente caso, la Sala de </w:t>
      </w:r>
      <w:r>
        <w:rPr>
          <w:spacing w:val="-5"/>
          <w:sz w:val="18"/>
          <w:szCs w:val="18"/>
          <w:lang w:val="es-ES_tradnl"/>
        </w:rPr>
        <w:t>Casaci</w:t>
      </w:r>
      <w:r>
        <w:rPr>
          <w:rFonts w:cs="Times New Roman"/>
          <w:spacing w:val="-5"/>
          <w:sz w:val="18"/>
          <w:szCs w:val="18"/>
          <w:lang w:val="es-ES_tradnl"/>
        </w:rPr>
        <w:t>ó</w:t>
      </w:r>
      <w:r>
        <w:rPr>
          <w:spacing w:val="-5"/>
          <w:sz w:val="18"/>
          <w:szCs w:val="18"/>
          <w:lang w:val="es-ES_tradnl"/>
        </w:rPr>
        <w:t>n actu</w:t>
      </w:r>
      <w:r>
        <w:rPr>
          <w:rFonts w:cs="Times New Roman"/>
          <w:spacing w:val="-5"/>
          <w:sz w:val="18"/>
          <w:szCs w:val="18"/>
          <w:lang w:val="es-ES_tradnl"/>
        </w:rPr>
        <w:t>ó</w:t>
      </w:r>
      <w:r>
        <w:rPr>
          <w:spacing w:val="-5"/>
          <w:sz w:val="18"/>
          <w:szCs w:val="18"/>
          <w:lang w:val="es-ES_tradnl"/>
        </w:rPr>
        <w:t xml:space="preserve"> conforme a la normativa que regula la </w:t>
      </w:r>
      <w:r>
        <w:rPr>
          <w:spacing w:val="-6"/>
          <w:sz w:val="18"/>
          <w:szCs w:val="18"/>
          <w:lang w:val="es-ES_tradnl"/>
        </w:rPr>
        <w:t>materia y en atenci</w:t>
      </w:r>
      <w:r>
        <w:rPr>
          <w:rFonts w:cs="Times New Roman"/>
          <w:spacing w:val="-6"/>
          <w:sz w:val="18"/>
          <w:szCs w:val="18"/>
          <w:lang w:val="es-ES_tradnl"/>
        </w:rPr>
        <w:t>ó</w:t>
      </w:r>
      <w:r>
        <w:rPr>
          <w:spacing w:val="-6"/>
          <w:sz w:val="18"/>
          <w:szCs w:val="18"/>
          <w:lang w:val="es-ES_tradnl"/>
        </w:rPr>
        <w:t>n al procedimiento que deb</w:t>
      </w:r>
      <w:r>
        <w:rPr>
          <w:rFonts w:cs="Times New Roman"/>
          <w:spacing w:val="-6"/>
          <w:sz w:val="18"/>
          <w:szCs w:val="18"/>
          <w:lang w:val="es-ES_tradnl"/>
        </w:rPr>
        <w:t>í</w:t>
      </w:r>
      <w:r>
        <w:rPr>
          <w:spacing w:val="-6"/>
          <w:sz w:val="18"/>
          <w:szCs w:val="18"/>
          <w:lang w:val="es-ES_tradnl"/>
        </w:rPr>
        <w:t xml:space="preserve">a darse a </w:t>
      </w:r>
      <w:r>
        <w:rPr>
          <w:spacing w:val="-5"/>
          <w:sz w:val="18"/>
          <w:szCs w:val="18"/>
          <w:lang w:val="es-ES_tradnl"/>
        </w:rPr>
        <w:t>la situaci</w:t>
      </w:r>
      <w:r>
        <w:rPr>
          <w:rFonts w:cs="Times New Roman"/>
          <w:spacing w:val="-5"/>
          <w:sz w:val="18"/>
          <w:szCs w:val="18"/>
          <w:lang w:val="es-ES_tradnl"/>
        </w:rPr>
        <w:t>ó</w:t>
      </w:r>
      <w:r>
        <w:rPr>
          <w:spacing w:val="-5"/>
          <w:sz w:val="18"/>
          <w:szCs w:val="18"/>
          <w:lang w:val="es-ES_tradnl"/>
        </w:rPr>
        <w:t>n f</w:t>
      </w:r>
      <w:r>
        <w:rPr>
          <w:rFonts w:cs="Times New Roman"/>
          <w:spacing w:val="-5"/>
          <w:sz w:val="18"/>
          <w:szCs w:val="18"/>
          <w:lang w:val="es-ES_tradnl"/>
        </w:rPr>
        <w:t>á</w:t>
      </w:r>
      <w:r>
        <w:rPr>
          <w:spacing w:val="-5"/>
          <w:sz w:val="18"/>
          <w:szCs w:val="18"/>
          <w:lang w:val="es-ES_tradnl"/>
        </w:rPr>
        <w:t>ctica puesta a su conocimiento.</w:t>
      </w:r>
    </w:p>
    <w:p w14:paraId="4F67B8A3" w14:textId="77777777" w:rsidR="00591D54" w:rsidRDefault="00591D54">
      <w:pPr>
        <w:shd w:val="clear" w:color="auto" w:fill="FFFFFF"/>
        <w:spacing w:before="187" w:line="206" w:lineRule="exact"/>
        <w:jc w:val="both"/>
      </w:pPr>
      <w:r>
        <w:rPr>
          <w:spacing w:val="-5"/>
          <w:sz w:val="18"/>
          <w:szCs w:val="18"/>
          <w:lang w:val="es-ES_tradnl"/>
        </w:rPr>
        <w:t xml:space="preserve">Por tanto, los criterios empleados por los conjueces </w:t>
      </w:r>
      <w:r>
        <w:rPr>
          <w:spacing w:val="-10"/>
          <w:sz w:val="18"/>
          <w:szCs w:val="18"/>
          <w:lang w:val="es-ES_tradnl"/>
        </w:rPr>
        <w:t>casacionales en la decisi</w:t>
      </w:r>
      <w:r>
        <w:rPr>
          <w:rFonts w:cs="Times New Roman"/>
          <w:spacing w:val="-10"/>
          <w:sz w:val="18"/>
          <w:szCs w:val="18"/>
          <w:lang w:val="es-ES_tradnl"/>
        </w:rPr>
        <w:t>ó</w:t>
      </w:r>
      <w:r>
        <w:rPr>
          <w:spacing w:val="-10"/>
          <w:sz w:val="18"/>
          <w:szCs w:val="18"/>
          <w:lang w:val="es-ES_tradnl"/>
        </w:rPr>
        <w:t xml:space="preserve">n demandada, con respecto a que </w:t>
      </w:r>
      <w:r>
        <w:rPr>
          <w:spacing w:val="-3"/>
          <w:sz w:val="18"/>
          <w:szCs w:val="18"/>
          <w:lang w:val="es-ES_tradnl"/>
        </w:rPr>
        <w:t xml:space="preserve">las partes procesales </w:t>
      </w:r>
      <w:r>
        <w:rPr>
          <w:rFonts w:cs="Times New Roman"/>
          <w:spacing w:val="-3"/>
          <w:sz w:val="18"/>
          <w:szCs w:val="18"/>
          <w:lang w:val="es-ES_tradnl"/>
        </w:rPr>
        <w:t>“</w:t>
      </w:r>
      <w:r>
        <w:rPr>
          <w:spacing w:val="-3"/>
          <w:sz w:val="18"/>
          <w:szCs w:val="18"/>
          <w:lang w:val="es-ES_tradnl"/>
        </w:rPr>
        <w:t>tienen la obligaci</w:t>
      </w:r>
      <w:r>
        <w:rPr>
          <w:rFonts w:cs="Times New Roman"/>
          <w:spacing w:val="-3"/>
          <w:sz w:val="18"/>
          <w:szCs w:val="18"/>
          <w:lang w:val="es-ES_tradnl"/>
        </w:rPr>
        <w:t>ó</w:t>
      </w:r>
      <w:r>
        <w:rPr>
          <w:spacing w:val="-3"/>
          <w:sz w:val="18"/>
          <w:szCs w:val="18"/>
          <w:lang w:val="es-ES_tradnl"/>
        </w:rPr>
        <w:t xml:space="preserve">n de legitimar </w:t>
      </w:r>
      <w:r>
        <w:rPr>
          <w:sz w:val="18"/>
          <w:szCs w:val="18"/>
          <w:lang w:val="es-ES_tradnl"/>
        </w:rPr>
        <w:t xml:space="preserve">sus intervenciones sin necesidad de requerimiento </w:t>
      </w:r>
      <w:r>
        <w:rPr>
          <w:spacing w:val="-5"/>
          <w:sz w:val="18"/>
          <w:szCs w:val="18"/>
          <w:lang w:val="es-ES_tradnl"/>
        </w:rPr>
        <w:t>previo, desde el momento mismo de la presentaci</w:t>
      </w:r>
      <w:r>
        <w:rPr>
          <w:rFonts w:cs="Times New Roman"/>
          <w:spacing w:val="-5"/>
          <w:sz w:val="18"/>
          <w:szCs w:val="18"/>
          <w:lang w:val="es-ES_tradnl"/>
        </w:rPr>
        <w:t>ó</w:t>
      </w:r>
      <w:r>
        <w:rPr>
          <w:spacing w:val="-5"/>
          <w:sz w:val="18"/>
          <w:szCs w:val="18"/>
          <w:lang w:val="es-ES_tradnl"/>
        </w:rPr>
        <w:t xml:space="preserve">n del </w:t>
      </w:r>
      <w:r>
        <w:rPr>
          <w:spacing w:val="-7"/>
          <w:sz w:val="18"/>
          <w:szCs w:val="18"/>
          <w:lang w:val="es-ES_tradnl"/>
        </w:rPr>
        <w:t>recurso</w:t>
      </w:r>
      <w:r>
        <w:rPr>
          <w:rFonts w:cs="Times New Roman"/>
          <w:spacing w:val="-7"/>
          <w:sz w:val="18"/>
          <w:szCs w:val="18"/>
          <w:lang w:val="es-ES_tradnl"/>
        </w:rPr>
        <w:t>”</w:t>
      </w:r>
      <w:r>
        <w:rPr>
          <w:spacing w:val="-7"/>
          <w:sz w:val="18"/>
          <w:szCs w:val="18"/>
          <w:lang w:val="es-ES_tradnl"/>
        </w:rPr>
        <w:t xml:space="preserve">, guardan conformidad con las normas contenidas </w:t>
      </w:r>
      <w:r>
        <w:rPr>
          <w:sz w:val="18"/>
          <w:szCs w:val="18"/>
          <w:lang w:val="es-ES_tradnl"/>
        </w:rPr>
        <w:t>en la Ley de Casaci</w:t>
      </w:r>
      <w:r>
        <w:rPr>
          <w:rFonts w:cs="Times New Roman"/>
          <w:sz w:val="18"/>
          <w:szCs w:val="18"/>
          <w:lang w:val="es-ES_tradnl"/>
        </w:rPr>
        <w:t>ó</w:t>
      </w:r>
      <w:r>
        <w:rPr>
          <w:sz w:val="18"/>
          <w:szCs w:val="18"/>
          <w:lang w:val="es-ES_tradnl"/>
        </w:rPr>
        <w:t>n, en el art</w:t>
      </w:r>
      <w:r>
        <w:rPr>
          <w:rFonts w:cs="Times New Roman"/>
          <w:sz w:val="18"/>
          <w:szCs w:val="18"/>
          <w:lang w:val="es-ES_tradnl"/>
        </w:rPr>
        <w:t>í</w:t>
      </w:r>
      <w:r>
        <w:rPr>
          <w:sz w:val="18"/>
          <w:szCs w:val="18"/>
          <w:lang w:val="es-ES_tradnl"/>
        </w:rPr>
        <w:t>culo 359 del C</w:t>
      </w:r>
      <w:r>
        <w:rPr>
          <w:rFonts w:cs="Times New Roman"/>
          <w:sz w:val="18"/>
          <w:szCs w:val="18"/>
          <w:lang w:val="es-ES_tradnl"/>
        </w:rPr>
        <w:t>ó</w:t>
      </w:r>
      <w:r>
        <w:rPr>
          <w:sz w:val="18"/>
          <w:szCs w:val="18"/>
          <w:lang w:val="es-ES_tradnl"/>
        </w:rPr>
        <w:t xml:space="preserve">digo </w:t>
      </w:r>
      <w:r>
        <w:rPr>
          <w:spacing w:val="-2"/>
          <w:sz w:val="18"/>
          <w:szCs w:val="18"/>
          <w:lang w:val="es-ES_tradnl"/>
        </w:rPr>
        <w:t>de Procedimiento Civil y en el art</w:t>
      </w:r>
      <w:r>
        <w:rPr>
          <w:rFonts w:cs="Times New Roman"/>
          <w:spacing w:val="-2"/>
          <w:sz w:val="18"/>
          <w:szCs w:val="18"/>
          <w:lang w:val="es-ES_tradnl"/>
        </w:rPr>
        <w:t>í</w:t>
      </w:r>
      <w:r>
        <w:rPr>
          <w:spacing w:val="-2"/>
          <w:sz w:val="18"/>
          <w:szCs w:val="18"/>
          <w:lang w:val="es-ES_tradnl"/>
        </w:rPr>
        <w:t>culo 330 del C</w:t>
      </w:r>
      <w:r>
        <w:rPr>
          <w:rFonts w:cs="Times New Roman"/>
          <w:spacing w:val="-2"/>
          <w:sz w:val="18"/>
          <w:szCs w:val="18"/>
          <w:lang w:val="es-ES_tradnl"/>
        </w:rPr>
        <w:t>ó</w:t>
      </w:r>
      <w:r>
        <w:rPr>
          <w:spacing w:val="-2"/>
          <w:sz w:val="18"/>
          <w:szCs w:val="18"/>
          <w:lang w:val="es-ES_tradnl"/>
        </w:rPr>
        <w:t xml:space="preserve">digo </w:t>
      </w:r>
      <w:r>
        <w:rPr>
          <w:spacing w:val="-5"/>
          <w:sz w:val="18"/>
          <w:szCs w:val="18"/>
          <w:lang w:val="es-ES_tradnl"/>
        </w:rPr>
        <w:t>Org</w:t>
      </w:r>
      <w:r>
        <w:rPr>
          <w:rFonts w:cs="Times New Roman"/>
          <w:spacing w:val="-5"/>
          <w:sz w:val="18"/>
          <w:szCs w:val="18"/>
          <w:lang w:val="es-ES_tradnl"/>
        </w:rPr>
        <w:t>á</w:t>
      </w:r>
      <w:r>
        <w:rPr>
          <w:spacing w:val="-5"/>
          <w:sz w:val="18"/>
          <w:szCs w:val="18"/>
          <w:lang w:val="es-ES_tradnl"/>
        </w:rPr>
        <w:t>nico de la Funci</w:t>
      </w:r>
      <w:r>
        <w:rPr>
          <w:rFonts w:cs="Times New Roman"/>
          <w:spacing w:val="-5"/>
          <w:sz w:val="18"/>
          <w:szCs w:val="18"/>
          <w:lang w:val="es-ES_tradnl"/>
        </w:rPr>
        <w:t>ó</w:t>
      </w:r>
      <w:r>
        <w:rPr>
          <w:spacing w:val="-5"/>
          <w:sz w:val="18"/>
          <w:szCs w:val="18"/>
          <w:lang w:val="es-ES_tradnl"/>
        </w:rPr>
        <w:t xml:space="preserve">n Judicial, puesto que, como ellos </w:t>
      </w:r>
      <w:r>
        <w:rPr>
          <w:spacing w:val="-4"/>
          <w:sz w:val="18"/>
          <w:szCs w:val="18"/>
          <w:lang w:val="es-ES_tradnl"/>
        </w:rPr>
        <w:t>se</w:t>
      </w:r>
      <w:r>
        <w:rPr>
          <w:rFonts w:cs="Times New Roman"/>
          <w:spacing w:val="-4"/>
          <w:sz w:val="18"/>
          <w:szCs w:val="18"/>
          <w:lang w:val="es-ES_tradnl"/>
        </w:rPr>
        <w:t>ñ</w:t>
      </w:r>
      <w:r>
        <w:rPr>
          <w:spacing w:val="-4"/>
          <w:sz w:val="18"/>
          <w:szCs w:val="18"/>
          <w:lang w:val="es-ES_tradnl"/>
        </w:rPr>
        <w:t xml:space="preserve">alan </w:t>
      </w:r>
      <w:r>
        <w:rPr>
          <w:rFonts w:cs="Times New Roman"/>
          <w:spacing w:val="-4"/>
          <w:sz w:val="18"/>
          <w:szCs w:val="18"/>
          <w:lang w:val="es-ES_tradnl"/>
        </w:rPr>
        <w:t>“</w:t>
      </w:r>
      <w:r>
        <w:rPr>
          <w:spacing w:val="-4"/>
          <w:sz w:val="18"/>
          <w:szCs w:val="18"/>
          <w:lang w:val="es-ES_tradnl"/>
        </w:rPr>
        <w:t xml:space="preserve">es deber del abogado en el patrocinio de las </w:t>
      </w:r>
      <w:r>
        <w:rPr>
          <w:spacing w:val="-5"/>
          <w:sz w:val="18"/>
          <w:szCs w:val="18"/>
          <w:lang w:val="es-ES_tradnl"/>
        </w:rPr>
        <w:t xml:space="preserve">causas actuar al servicio de la justicia y para este objeto </w:t>
      </w:r>
      <w:r>
        <w:rPr>
          <w:spacing w:val="-4"/>
          <w:sz w:val="18"/>
          <w:szCs w:val="18"/>
          <w:lang w:val="es-ES_tradnl"/>
        </w:rPr>
        <w:t xml:space="preserve">colaborar con los jueces y tribunales, lo que incluye el </w:t>
      </w:r>
      <w:r>
        <w:rPr>
          <w:spacing w:val="-5"/>
          <w:sz w:val="18"/>
          <w:szCs w:val="18"/>
          <w:lang w:val="es-ES_tradnl"/>
        </w:rPr>
        <w:t xml:space="preserve">cumplimiento de las disposiciones que </w:t>
      </w:r>
      <w:r>
        <w:rPr>
          <w:rFonts w:cs="Times New Roman"/>
          <w:spacing w:val="-5"/>
          <w:sz w:val="18"/>
          <w:szCs w:val="18"/>
          <w:lang w:val="es-ES_tradnl"/>
        </w:rPr>
        <w:t>é</w:t>
      </w:r>
      <w:r>
        <w:rPr>
          <w:spacing w:val="-5"/>
          <w:sz w:val="18"/>
          <w:szCs w:val="18"/>
          <w:lang w:val="es-ES_tradnl"/>
        </w:rPr>
        <w:t xml:space="preserve">stos den en la </w:t>
      </w:r>
      <w:r>
        <w:rPr>
          <w:sz w:val="18"/>
          <w:szCs w:val="18"/>
          <w:lang w:val="es-ES_tradnl"/>
        </w:rPr>
        <w:t>tramitaci</w:t>
      </w:r>
      <w:r>
        <w:rPr>
          <w:rFonts w:cs="Times New Roman"/>
          <w:sz w:val="18"/>
          <w:szCs w:val="18"/>
          <w:lang w:val="es-ES_tradnl"/>
        </w:rPr>
        <w:t>ó</w:t>
      </w:r>
      <w:r>
        <w:rPr>
          <w:sz w:val="18"/>
          <w:szCs w:val="18"/>
          <w:lang w:val="es-ES_tradnl"/>
        </w:rPr>
        <w:t>n del proceso</w:t>
      </w:r>
      <w:r>
        <w:rPr>
          <w:rFonts w:cs="Times New Roman"/>
          <w:sz w:val="18"/>
          <w:szCs w:val="18"/>
          <w:lang w:val="es-ES_tradnl"/>
        </w:rPr>
        <w:t>”</w:t>
      </w:r>
      <w:r>
        <w:rPr>
          <w:sz w:val="18"/>
          <w:szCs w:val="18"/>
          <w:lang w:val="es-ES_tradnl"/>
        </w:rPr>
        <w:t>.</w:t>
      </w:r>
    </w:p>
    <w:p w14:paraId="4F67B8A4" w14:textId="77777777" w:rsidR="00591D54" w:rsidRDefault="00591D54">
      <w:pPr>
        <w:shd w:val="clear" w:color="auto" w:fill="FFFFFF"/>
        <w:spacing w:before="187" w:line="206" w:lineRule="exact"/>
        <w:jc w:val="both"/>
      </w:pPr>
      <w:r>
        <w:rPr>
          <w:spacing w:val="-8"/>
          <w:sz w:val="18"/>
          <w:szCs w:val="18"/>
          <w:lang w:val="es-ES_tradnl"/>
        </w:rPr>
        <w:t>Sobre la base de la argumentaci</w:t>
      </w:r>
      <w:r>
        <w:rPr>
          <w:rFonts w:cs="Times New Roman"/>
          <w:spacing w:val="-8"/>
          <w:sz w:val="18"/>
          <w:szCs w:val="18"/>
          <w:lang w:val="es-ES_tradnl"/>
        </w:rPr>
        <w:t>ó</w:t>
      </w:r>
      <w:r>
        <w:rPr>
          <w:spacing w:val="-8"/>
          <w:sz w:val="18"/>
          <w:szCs w:val="18"/>
          <w:lang w:val="es-ES_tradnl"/>
        </w:rPr>
        <w:t xml:space="preserve">n precedente, esta Corte </w:t>
      </w:r>
      <w:r>
        <w:rPr>
          <w:spacing w:val="-9"/>
          <w:sz w:val="18"/>
          <w:szCs w:val="18"/>
          <w:lang w:val="es-ES_tradnl"/>
        </w:rPr>
        <w:t xml:space="preserve">concluye que las actuaciones realizadas por la referida sala </w:t>
      </w:r>
      <w:r>
        <w:rPr>
          <w:spacing w:val="-6"/>
          <w:sz w:val="18"/>
          <w:szCs w:val="18"/>
          <w:lang w:val="es-ES_tradnl"/>
        </w:rPr>
        <w:t xml:space="preserve">de conjueces, guardan conformidad con las atribuciones </w:t>
      </w:r>
      <w:r>
        <w:rPr>
          <w:spacing w:val="-3"/>
          <w:sz w:val="18"/>
          <w:szCs w:val="18"/>
          <w:lang w:val="es-ES_tradnl"/>
        </w:rPr>
        <w:t>constitucionales y legales que el ordenamiento jur</w:t>
      </w:r>
      <w:r>
        <w:rPr>
          <w:rFonts w:cs="Times New Roman"/>
          <w:spacing w:val="-3"/>
          <w:sz w:val="18"/>
          <w:szCs w:val="18"/>
          <w:lang w:val="es-ES_tradnl"/>
        </w:rPr>
        <w:t>í</w:t>
      </w:r>
      <w:r>
        <w:rPr>
          <w:spacing w:val="-3"/>
          <w:sz w:val="18"/>
          <w:szCs w:val="18"/>
          <w:lang w:val="es-ES_tradnl"/>
        </w:rPr>
        <w:t xml:space="preserve">dico </w:t>
      </w:r>
      <w:r>
        <w:rPr>
          <w:spacing w:val="-5"/>
          <w:sz w:val="18"/>
          <w:szCs w:val="18"/>
          <w:lang w:val="es-ES_tradnl"/>
        </w:rPr>
        <w:t>ha previsto para el efecto, pues se evidencia un an</w:t>
      </w:r>
      <w:r>
        <w:rPr>
          <w:rFonts w:cs="Times New Roman"/>
          <w:spacing w:val="-5"/>
          <w:sz w:val="18"/>
          <w:szCs w:val="18"/>
          <w:lang w:val="es-ES_tradnl"/>
        </w:rPr>
        <w:t>á</w:t>
      </w:r>
      <w:r>
        <w:rPr>
          <w:spacing w:val="-5"/>
          <w:sz w:val="18"/>
          <w:szCs w:val="18"/>
          <w:lang w:val="es-ES_tradnl"/>
        </w:rPr>
        <w:t xml:space="preserve">lisis </w:t>
      </w:r>
      <w:r>
        <w:rPr>
          <w:spacing w:val="-6"/>
          <w:sz w:val="18"/>
          <w:szCs w:val="18"/>
          <w:lang w:val="es-ES_tradnl"/>
        </w:rPr>
        <w:t>fundamentado en las disposiciones jur</w:t>
      </w:r>
      <w:r>
        <w:rPr>
          <w:rFonts w:cs="Times New Roman"/>
          <w:spacing w:val="-6"/>
          <w:sz w:val="18"/>
          <w:szCs w:val="18"/>
          <w:lang w:val="es-ES_tradnl"/>
        </w:rPr>
        <w:t>í</w:t>
      </w:r>
      <w:r>
        <w:rPr>
          <w:spacing w:val="-6"/>
          <w:sz w:val="18"/>
          <w:szCs w:val="18"/>
          <w:lang w:val="es-ES_tradnl"/>
        </w:rPr>
        <w:t>dicas pertinentes, conforme al momento procesal del caso concreto.</w:t>
      </w:r>
    </w:p>
    <w:p w14:paraId="4F67B8A5" w14:textId="77777777" w:rsidR="00591D54" w:rsidRDefault="00591D54">
      <w:pPr>
        <w:shd w:val="clear" w:color="auto" w:fill="FFFFFF"/>
        <w:spacing w:line="216" w:lineRule="exact"/>
        <w:jc w:val="both"/>
      </w:pPr>
      <w:r>
        <w:br w:type="column"/>
      </w:r>
      <w:r>
        <w:rPr>
          <w:spacing w:val="-10"/>
          <w:sz w:val="18"/>
          <w:szCs w:val="18"/>
          <w:lang w:val="es-ES_tradnl"/>
        </w:rPr>
        <w:t xml:space="preserve">En consecuencia, esta Corte considera que el auto expedido </w:t>
      </w:r>
      <w:r>
        <w:rPr>
          <w:spacing w:val="-7"/>
          <w:sz w:val="18"/>
          <w:szCs w:val="18"/>
          <w:lang w:val="es-ES_tradnl"/>
        </w:rPr>
        <w:t xml:space="preserve">el 04 de enero de 2013, por la Sala de Conjueces de lo </w:t>
      </w:r>
      <w:r>
        <w:rPr>
          <w:spacing w:val="-5"/>
          <w:sz w:val="18"/>
          <w:szCs w:val="18"/>
          <w:lang w:val="es-ES_tradnl"/>
        </w:rPr>
        <w:t xml:space="preserve">Contencioso Tributario de la Corte Nacional de Justicia, </w:t>
      </w:r>
      <w:r>
        <w:rPr>
          <w:sz w:val="18"/>
          <w:szCs w:val="18"/>
          <w:lang w:val="es-ES_tradnl"/>
        </w:rPr>
        <w:t>dentro del juicio de impugnaci</w:t>
      </w:r>
      <w:r>
        <w:rPr>
          <w:rFonts w:cs="Times New Roman"/>
          <w:sz w:val="18"/>
          <w:szCs w:val="18"/>
          <w:lang w:val="es-ES_tradnl"/>
        </w:rPr>
        <w:t>ó</w:t>
      </w:r>
      <w:r>
        <w:rPr>
          <w:sz w:val="18"/>
          <w:szCs w:val="18"/>
          <w:lang w:val="es-ES_tradnl"/>
        </w:rPr>
        <w:t>n N.</w:t>
      </w:r>
      <w:r>
        <w:rPr>
          <w:rFonts w:cs="Times New Roman"/>
          <w:sz w:val="18"/>
          <w:szCs w:val="18"/>
          <w:lang w:val="es-ES_tradnl"/>
        </w:rPr>
        <w:t>°</w:t>
      </w:r>
      <w:r>
        <w:rPr>
          <w:sz w:val="18"/>
          <w:szCs w:val="18"/>
          <w:lang w:val="es-ES_tradnl"/>
        </w:rPr>
        <w:t xml:space="preserve"> 650-2012/229-</w:t>
      </w:r>
      <w:r>
        <w:rPr>
          <w:spacing w:val="-6"/>
          <w:sz w:val="18"/>
          <w:szCs w:val="18"/>
          <w:lang w:val="es-ES_tradnl"/>
        </w:rPr>
        <w:t>2009, no vulner</w:t>
      </w:r>
      <w:r>
        <w:rPr>
          <w:rFonts w:cs="Times New Roman"/>
          <w:spacing w:val="-6"/>
          <w:sz w:val="18"/>
          <w:szCs w:val="18"/>
          <w:lang w:val="es-ES_tradnl"/>
        </w:rPr>
        <w:t>ó</w:t>
      </w:r>
      <w:r>
        <w:rPr>
          <w:spacing w:val="-6"/>
          <w:sz w:val="18"/>
          <w:szCs w:val="18"/>
          <w:lang w:val="es-ES_tradnl"/>
        </w:rPr>
        <w:t xml:space="preserve"> el derecho constitucional a la seguridad </w:t>
      </w:r>
      <w:r>
        <w:rPr>
          <w:spacing w:val="-8"/>
          <w:sz w:val="18"/>
          <w:szCs w:val="18"/>
          <w:lang w:val="es-ES_tradnl"/>
        </w:rPr>
        <w:t>jur</w:t>
      </w:r>
      <w:r>
        <w:rPr>
          <w:rFonts w:cs="Times New Roman"/>
          <w:spacing w:val="-8"/>
          <w:sz w:val="18"/>
          <w:szCs w:val="18"/>
          <w:lang w:val="es-ES_tradnl"/>
        </w:rPr>
        <w:t>í</w:t>
      </w:r>
      <w:r>
        <w:rPr>
          <w:spacing w:val="-8"/>
          <w:sz w:val="18"/>
          <w:szCs w:val="18"/>
          <w:lang w:val="es-ES_tradnl"/>
        </w:rPr>
        <w:t xml:space="preserve">dica, en tanto los jueces casacionales expidieron el auto </w:t>
      </w:r>
      <w:r>
        <w:rPr>
          <w:spacing w:val="-9"/>
          <w:sz w:val="18"/>
          <w:szCs w:val="18"/>
          <w:lang w:val="es-ES_tradnl"/>
        </w:rPr>
        <w:t>demandado en funci</w:t>
      </w:r>
      <w:r>
        <w:rPr>
          <w:rFonts w:cs="Times New Roman"/>
          <w:spacing w:val="-9"/>
          <w:sz w:val="18"/>
          <w:szCs w:val="18"/>
          <w:lang w:val="es-ES_tradnl"/>
        </w:rPr>
        <w:t>ó</w:t>
      </w:r>
      <w:r>
        <w:rPr>
          <w:spacing w:val="-9"/>
          <w:sz w:val="18"/>
          <w:szCs w:val="18"/>
          <w:lang w:val="es-ES_tradnl"/>
        </w:rPr>
        <w:t>n de sus atribuciones constitucionales y legales. Dicho en otras palabras, la judicatura en menci</w:t>
      </w:r>
      <w:r>
        <w:rPr>
          <w:rFonts w:cs="Times New Roman"/>
          <w:spacing w:val="-9"/>
          <w:sz w:val="18"/>
          <w:szCs w:val="18"/>
          <w:lang w:val="es-ES_tradnl"/>
        </w:rPr>
        <w:t>ó</w:t>
      </w:r>
      <w:r>
        <w:rPr>
          <w:spacing w:val="-9"/>
          <w:sz w:val="18"/>
          <w:szCs w:val="18"/>
          <w:lang w:val="es-ES_tradnl"/>
        </w:rPr>
        <w:t xml:space="preserve">n </w:t>
      </w:r>
      <w:r>
        <w:rPr>
          <w:spacing w:val="-5"/>
          <w:sz w:val="18"/>
          <w:szCs w:val="18"/>
          <w:lang w:val="es-ES_tradnl"/>
        </w:rPr>
        <w:t>cumpli</w:t>
      </w:r>
      <w:r>
        <w:rPr>
          <w:rFonts w:cs="Times New Roman"/>
          <w:spacing w:val="-5"/>
          <w:sz w:val="18"/>
          <w:szCs w:val="18"/>
          <w:lang w:val="es-ES_tradnl"/>
        </w:rPr>
        <w:t>ó</w:t>
      </w:r>
      <w:r>
        <w:rPr>
          <w:spacing w:val="-5"/>
          <w:sz w:val="18"/>
          <w:szCs w:val="18"/>
          <w:lang w:val="es-ES_tradnl"/>
        </w:rPr>
        <w:t xml:space="preserve"> con lo dispuesto en la normativa vigente, que adem</w:t>
      </w:r>
      <w:r>
        <w:rPr>
          <w:rFonts w:cs="Times New Roman"/>
          <w:spacing w:val="-5"/>
          <w:sz w:val="18"/>
          <w:szCs w:val="18"/>
          <w:lang w:val="es-ES_tradnl"/>
        </w:rPr>
        <w:t>á</w:t>
      </w:r>
      <w:r>
        <w:rPr>
          <w:spacing w:val="-5"/>
          <w:sz w:val="18"/>
          <w:szCs w:val="18"/>
          <w:lang w:val="es-ES_tradnl"/>
        </w:rPr>
        <w:t xml:space="preserve">s goza de claridad, previsibilidad y publicidad, con </w:t>
      </w:r>
      <w:r>
        <w:rPr>
          <w:sz w:val="18"/>
          <w:szCs w:val="18"/>
          <w:lang w:val="es-ES_tradnl"/>
        </w:rPr>
        <w:t>la consecuencia de aquello.</w:t>
      </w:r>
    </w:p>
    <w:p w14:paraId="4F67B8A6" w14:textId="77777777" w:rsidR="00591D54" w:rsidRDefault="00591D54">
      <w:pPr>
        <w:shd w:val="clear" w:color="auto" w:fill="FFFFFF"/>
        <w:spacing w:before="192" w:line="216" w:lineRule="exact"/>
        <w:jc w:val="both"/>
      </w:pPr>
      <w:r>
        <w:rPr>
          <w:b/>
          <w:bCs/>
          <w:spacing w:val="-7"/>
          <w:sz w:val="18"/>
          <w:szCs w:val="18"/>
          <w:lang w:val="es-ES_tradnl"/>
        </w:rPr>
        <w:t xml:space="preserve">2. El auto expedido el 04 de enero de 2013, por la Sala </w:t>
      </w:r>
      <w:r>
        <w:rPr>
          <w:b/>
          <w:bCs/>
          <w:spacing w:val="-8"/>
          <w:sz w:val="18"/>
          <w:szCs w:val="18"/>
          <w:lang w:val="es-ES_tradnl"/>
        </w:rPr>
        <w:t>de Conjueces de lo Contencioso Tributario de la Corte Nacional de Justicia, dentro del juicio de impugnaci</w:t>
      </w:r>
      <w:r>
        <w:rPr>
          <w:rFonts w:cs="Times New Roman"/>
          <w:b/>
          <w:bCs/>
          <w:spacing w:val="-8"/>
          <w:sz w:val="18"/>
          <w:szCs w:val="18"/>
          <w:lang w:val="es-ES_tradnl"/>
        </w:rPr>
        <w:t>ó</w:t>
      </w:r>
      <w:r>
        <w:rPr>
          <w:b/>
          <w:bCs/>
          <w:spacing w:val="-8"/>
          <w:sz w:val="18"/>
          <w:szCs w:val="18"/>
          <w:lang w:val="es-ES_tradnl"/>
        </w:rPr>
        <w:t xml:space="preserve">n </w:t>
      </w:r>
      <w:r>
        <w:rPr>
          <w:b/>
          <w:bCs/>
          <w:spacing w:val="-2"/>
          <w:sz w:val="18"/>
          <w:szCs w:val="18"/>
          <w:lang w:val="es-ES_tradnl"/>
        </w:rPr>
        <w:t>N.</w:t>
      </w:r>
      <w:r>
        <w:rPr>
          <w:rFonts w:cs="Times New Roman"/>
          <w:b/>
          <w:bCs/>
          <w:spacing w:val="-2"/>
          <w:sz w:val="18"/>
          <w:szCs w:val="18"/>
          <w:lang w:val="es-ES_tradnl"/>
        </w:rPr>
        <w:t>º</w:t>
      </w:r>
      <w:r>
        <w:rPr>
          <w:b/>
          <w:bCs/>
          <w:spacing w:val="-2"/>
          <w:sz w:val="18"/>
          <w:szCs w:val="18"/>
          <w:lang w:val="es-ES_tradnl"/>
        </w:rPr>
        <w:t xml:space="preserve"> 650-2012/229-2009, </w:t>
      </w:r>
      <w:r>
        <w:rPr>
          <w:rFonts w:cs="Times New Roman"/>
          <w:b/>
          <w:bCs/>
          <w:spacing w:val="-2"/>
          <w:sz w:val="18"/>
          <w:szCs w:val="18"/>
          <w:lang w:val="es-ES_tradnl"/>
        </w:rPr>
        <w:t>¿</w:t>
      </w:r>
      <w:r>
        <w:rPr>
          <w:b/>
          <w:bCs/>
          <w:spacing w:val="-2"/>
          <w:sz w:val="18"/>
          <w:szCs w:val="18"/>
          <w:lang w:val="es-ES_tradnl"/>
        </w:rPr>
        <w:t>vulner</w:t>
      </w:r>
      <w:r>
        <w:rPr>
          <w:rFonts w:cs="Times New Roman"/>
          <w:b/>
          <w:bCs/>
          <w:spacing w:val="-2"/>
          <w:sz w:val="18"/>
          <w:szCs w:val="18"/>
          <w:lang w:val="es-ES_tradnl"/>
        </w:rPr>
        <w:t>ó</w:t>
      </w:r>
      <w:r>
        <w:rPr>
          <w:b/>
          <w:bCs/>
          <w:spacing w:val="-2"/>
          <w:sz w:val="18"/>
          <w:szCs w:val="18"/>
          <w:lang w:val="es-ES_tradnl"/>
        </w:rPr>
        <w:t xml:space="preserve"> el debido proceso </w:t>
      </w:r>
      <w:r>
        <w:rPr>
          <w:b/>
          <w:bCs/>
          <w:spacing w:val="-7"/>
          <w:sz w:val="18"/>
          <w:szCs w:val="18"/>
          <w:lang w:val="es-ES_tradnl"/>
        </w:rPr>
        <w:t>en cuanto a la garant</w:t>
      </w:r>
      <w:r>
        <w:rPr>
          <w:rFonts w:cs="Times New Roman"/>
          <w:b/>
          <w:bCs/>
          <w:spacing w:val="-7"/>
          <w:sz w:val="18"/>
          <w:szCs w:val="18"/>
          <w:lang w:val="es-ES_tradnl"/>
        </w:rPr>
        <w:t>í</w:t>
      </w:r>
      <w:r>
        <w:rPr>
          <w:b/>
          <w:bCs/>
          <w:spacing w:val="-7"/>
          <w:sz w:val="18"/>
          <w:szCs w:val="18"/>
          <w:lang w:val="es-ES_tradnl"/>
        </w:rPr>
        <w:t xml:space="preserve">a del derecho a la defensa, </w:t>
      </w:r>
      <w:r>
        <w:rPr>
          <w:b/>
          <w:bCs/>
          <w:spacing w:val="-5"/>
          <w:sz w:val="18"/>
          <w:szCs w:val="18"/>
          <w:lang w:val="es-ES_tradnl"/>
        </w:rPr>
        <w:t>determinado en el art</w:t>
      </w:r>
      <w:r>
        <w:rPr>
          <w:rFonts w:cs="Times New Roman"/>
          <w:b/>
          <w:bCs/>
          <w:spacing w:val="-5"/>
          <w:sz w:val="18"/>
          <w:szCs w:val="18"/>
          <w:lang w:val="es-ES_tradnl"/>
        </w:rPr>
        <w:t>í</w:t>
      </w:r>
      <w:r>
        <w:rPr>
          <w:b/>
          <w:bCs/>
          <w:spacing w:val="-5"/>
          <w:sz w:val="18"/>
          <w:szCs w:val="18"/>
          <w:lang w:val="es-ES_tradnl"/>
        </w:rPr>
        <w:t xml:space="preserve">culo 76 numeral 7 literal </w:t>
      </w:r>
      <w:r>
        <w:rPr>
          <w:b/>
          <w:bCs/>
          <w:i/>
          <w:iCs/>
          <w:spacing w:val="-5"/>
          <w:sz w:val="18"/>
          <w:szCs w:val="18"/>
          <w:lang w:val="es-ES_tradnl"/>
        </w:rPr>
        <w:t xml:space="preserve">a </w:t>
      </w:r>
      <w:r>
        <w:rPr>
          <w:b/>
          <w:bCs/>
          <w:spacing w:val="-5"/>
          <w:sz w:val="18"/>
          <w:szCs w:val="18"/>
          <w:lang w:val="es-ES_tradnl"/>
        </w:rPr>
        <w:t xml:space="preserve">de la </w:t>
      </w:r>
      <w:r>
        <w:rPr>
          <w:b/>
          <w:bCs/>
          <w:sz w:val="18"/>
          <w:szCs w:val="18"/>
          <w:lang w:val="es-ES_tradnl"/>
        </w:rPr>
        <w:t>Constituci</w:t>
      </w:r>
      <w:r>
        <w:rPr>
          <w:rFonts w:cs="Times New Roman"/>
          <w:b/>
          <w:bCs/>
          <w:sz w:val="18"/>
          <w:szCs w:val="18"/>
          <w:lang w:val="es-ES_tradnl"/>
        </w:rPr>
        <w:t>ó</w:t>
      </w:r>
      <w:r>
        <w:rPr>
          <w:b/>
          <w:bCs/>
          <w:sz w:val="18"/>
          <w:szCs w:val="18"/>
          <w:lang w:val="es-ES_tradnl"/>
        </w:rPr>
        <w:t>n de la Rep</w:t>
      </w:r>
      <w:r>
        <w:rPr>
          <w:rFonts w:cs="Times New Roman"/>
          <w:b/>
          <w:bCs/>
          <w:sz w:val="18"/>
          <w:szCs w:val="18"/>
          <w:lang w:val="es-ES_tradnl"/>
        </w:rPr>
        <w:t>ú</w:t>
      </w:r>
      <w:r>
        <w:rPr>
          <w:b/>
          <w:bCs/>
          <w:sz w:val="18"/>
          <w:szCs w:val="18"/>
          <w:lang w:val="es-ES_tradnl"/>
        </w:rPr>
        <w:t>blica?</w:t>
      </w:r>
    </w:p>
    <w:p w14:paraId="4F67B8A7" w14:textId="77777777" w:rsidR="00591D54" w:rsidRDefault="00591D54">
      <w:pPr>
        <w:shd w:val="clear" w:color="auto" w:fill="FFFFFF"/>
        <w:spacing w:before="192" w:line="216" w:lineRule="exact"/>
        <w:jc w:val="both"/>
      </w:pPr>
      <w:r>
        <w:rPr>
          <w:spacing w:val="-7"/>
          <w:sz w:val="18"/>
          <w:szCs w:val="18"/>
          <w:lang w:val="es-ES_tradnl"/>
        </w:rPr>
        <w:t>Con respecto al problema jur</w:t>
      </w:r>
      <w:r>
        <w:rPr>
          <w:rFonts w:cs="Times New Roman"/>
          <w:spacing w:val="-7"/>
          <w:sz w:val="18"/>
          <w:szCs w:val="18"/>
          <w:lang w:val="es-ES_tradnl"/>
        </w:rPr>
        <w:t>í</w:t>
      </w:r>
      <w:r>
        <w:rPr>
          <w:spacing w:val="-7"/>
          <w:sz w:val="18"/>
          <w:szCs w:val="18"/>
          <w:lang w:val="es-ES_tradnl"/>
        </w:rPr>
        <w:t xml:space="preserve">dico que se aborda en este </w:t>
      </w:r>
      <w:r>
        <w:rPr>
          <w:spacing w:val="-8"/>
          <w:sz w:val="18"/>
          <w:szCs w:val="18"/>
          <w:lang w:val="es-ES_tradnl"/>
        </w:rPr>
        <w:t xml:space="preserve">apartado, es importante recordar que el debido proceso es </w:t>
      </w:r>
      <w:r>
        <w:rPr>
          <w:spacing w:val="-7"/>
          <w:sz w:val="18"/>
          <w:szCs w:val="18"/>
          <w:lang w:val="es-ES_tradnl"/>
        </w:rPr>
        <w:t>un derecho constitucional consagrado en el art</w:t>
      </w:r>
      <w:r>
        <w:rPr>
          <w:rFonts w:cs="Times New Roman"/>
          <w:spacing w:val="-7"/>
          <w:sz w:val="18"/>
          <w:szCs w:val="18"/>
          <w:lang w:val="es-ES_tradnl"/>
        </w:rPr>
        <w:t>í</w:t>
      </w:r>
      <w:r>
        <w:rPr>
          <w:spacing w:val="-7"/>
          <w:sz w:val="18"/>
          <w:szCs w:val="18"/>
          <w:lang w:val="es-ES_tradnl"/>
        </w:rPr>
        <w:t xml:space="preserve">culo 76 de </w:t>
      </w:r>
      <w:r>
        <w:rPr>
          <w:spacing w:val="-6"/>
          <w:sz w:val="18"/>
          <w:szCs w:val="18"/>
          <w:lang w:val="es-ES_tradnl"/>
        </w:rPr>
        <w:t>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dentro del cual se incluye </w:t>
      </w:r>
      <w:r>
        <w:rPr>
          <w:spacing w:val="-7"/>
          <w:sz w:val="18"/>
          <w:szCs w:val="18"/>
          <w:lang w:val="es-ES_tradnl"/>
        </w:rPr>
        <w:t>un conjunto de garant</w:t>
      </w:r>
      <w:r>
        <w:rPr>
          <w:rFonts w:cs="Times New Roman"/>
          <w:spacing w:val="-7"/>
          <w:sz w:val="18"/>
          <w:szCs w:val="18"/>
          <w:lang w:val="es-ES_tradnl"/>
        </w:rPr>
        <w:t>í</w:t>
      </w:r>
      <w:r>
        <w:rPr>
          <w:spacing w:val="-7"/>
          <w:sz w:val="18"/>
          <w:szCs w:val="18"/>
          <w:lang w:val="es-ES_tradnl"/>
        </w:rPr>
        <w:t>as b</w:t>
      </w:r>
      <w:r>
        <w:rPr>
          <w:rFonts w:cs="Times New Roman"/>
          <w:spacing w:val="-7"/>
          <w:sz w:val="18"/>
          <w:szCs w:val="18"/>
          <w:lang w:val="es-ES_tradnl"/>
        </w:rPr>
        <w:t>á</w:t>
      </w:r>
      <w:r>
        <w:rPr>
          <w:spacing w:val="-7"/>
          <w:sz w:val="18"/>
          <w:szCs w:val="18"/>
          <w:lang w:val="es-ES_tradnl"/>
        </w:rPr>
        <w:t xml:space="preserve">sicas tendientes a tutelar un </w:t>
      </w:r>
      <w:r>
        <w:rPr>
          <w:spacing w:val="-10"/>
          <w:sz w:val="18"/>
          <w:szCs w:val="18"/>
          <w:lang w:val="es-ES_tradnl"/>
        </w:rPr>
        <w:t xml:space="preserve">proceso justo, libre de arbitrariedades en todas las instancias </w:t>
      </w:r>
      <w:r>
        <w:rPr>
          <w:spacing w:val="-9"/>
          <w:sz w:val="18"/>
          <w:szCs w:val="18"/>
          <w:lang w:val="es-ES_tradnl"/>
        </w:rPr>
        <w:t>judiciales. As</w:t>
      </w:r>
      <w:r>
        <w:rPr>
          <w:rFonts w:cs="Times New Roman"/>
          <w:spacing w:val="-9"/>
          <w:sz w:val="18"/>
          <w:szCs w:val="18"/>
          <w:lang w:val="es-ES_tradnl"/>
        </w:rPr>
        <w:t>í</w:t>
      </w:r>
      <w:r>
        <w:rPr>
          <w:spacing w:val="-9"/>
          <w:sz w:val="18"/>
          <w:szCs w:val="18"/>
          <w:lang w:val="es-ES_tradnl"/>
        </w:rPr>
        <w:t>, como parte de las garant</w:t>
      </w:r>
      <w:r>
        <w:rPr>
          <w:rFonts w:cs="Times New Roman"/>
          <w:spacing w:val="-9"/>
          <w:sz w:val="18"/>
          <w:szCs w:val="18"/>
          <w:lang w:val="es-ES_tradnl"/>
        </w:rPr>
        <w:t>í</w:t>
      </w:r>
      <w:r>
        <w:rPr>
          <w:spacing w:val="-9"/>
          <w:sz w:val="18"/>
          <w:szCs w:val="18"/>
          <w:lang w:val="es-ES_tradnl"/>
        </w:rPr>
        <w:t xml:space="preserve">as de este derecho </w:t>
      </w:r>
      <w:r>
        <w:rPr>
          <w:spacing w:val="-5"/>
          <w:sz w:val="18"/>
          <w:szCs w:val="18"/>
          <w:lang w:val="es-ES_tradnl"/>
        </w:rPr>
        <w:t xml:space="preserve">se incluye el derecho a la defensa, mismo que permite a </w:t>
      </w:r>
      <w:r>
        <w:rPr>
          <w:spacing w:val="-10"/>
          <w:sz w:val="18"/>
          <w:szCs w:val="18"/>
          <w:lang w:val="es-ES_tradnl"/>
        </w:rPr>
        <w:t xml:space="preserve">las personas acceder a los medios necesarios para hacer </w:t>
      </w:r>
      <w:r>
        <w:rPr>
          <w:spacing w:val="-9"/>
          <w:sz w:val="18"/>
          <w:szCs w:val="18"/>
          <w:lang w:val="es-ES_tradnl"/>
        </w:rPr>
        <w:t xml:space="preserve">respetar sus derechos en el desarrollo de un proceso legal, ya sea demostrando su inocencia, presentando pruebas o </w:t>
      </w:r>
      <w:r>
        <w:rPr>
          <w:spacing w:val="-8"/>
          <w:sz w:val="18"/>
          <w:szCs w:val="18"/>
          <w:lang w:val="es-ES_tradnl"/>
        </w:rPr>
        <w:t>contradiciendo los hechos alegados por la parte contraria.</w:t>
      </w:r>
    </w:p>
    <w:p w14:paraId="4F67B8A8" w14:textId="77777777" w:rsidR="00591D54" w:rsidRDefault="00591D54">
      <w:pPr>
        <w:shd w:val="clear" w:color="auto" w:fill="FFFFFF"/>
        <w:spacing w:before="192" w:line="211" w:lineRule="exact"/>
        <w:jc w:val="both"/>
      </w:pPr>
      <w:r>
        <w:rPr>
          <w:spacing w:val="-5"/>
          <w:sz w:val="18"/>
          <w:szCs w:val="18"/>
          <w:lang w:val="es-ES_tradnl"/>
        </w:rPr>
        <w:t>El derecho a la defensa, consagrado en el art</w:t>
      </w:r>
      <w:r>
        <w:rPr>
          <w:rFonts w:cs="Times New Roman"/>
          <w:spacing w:val="-5"/>
          <w:sz w:val="18"/>
          <w:szCs w:val="18"/>
          <w:lang w:val="es-ES_tradnl"/>
        </w:rPr>
        <w:t>í</w:t>
      </w:r>
      <w:r>
        <w:rPr>
          <w:spacing w:val="-5"/>
          <w:sz w:val="18"/>
          <w:szCs w:val="18"/>
          <w:lang w:val="es-ES_tradnl"/>
        </w:rPr>
        <w:t xml:space="preserve">culo 76 </w:t>
      </w:r>
      <w:r>
        <w:rPr>
          <w:spacing w:val="-3"/>
          <w:sz w:val="18"/>
          <w:szCs w:val="18"/>
          <w:lang w:val="es-ES_tradnl"/>
        </w:rPr>
        <w:t xml:space="preserve">numeral 7 literal </w:t>
      </w:r>
      <w:r>
        <w:rPr>
          <w:b/>
          <w:bCs/>
          <w:spacing w:val="-3"/>
          <w:sz w:val="18"/>
          <w:szCs w:val="18"/>
          <w:lang w:val="es-ES_tradnl"/>
        </w:rPr>
        <w:t xml:space="preserve">a </w:t>
      </w:r>
      <w:r>
        <w:rPr>
          <w:spacing w:val="-3"/>
          <w:sz w:val="18"/>
          <w:szCs w:val="18"/>
          <w:lang w:val="es-ES_tradnl"/>
        </w:rPr>
        <w:t>de la Constituci</w:t>
      </w:r>
      <w:r>
        <w:rPr>
          <w:rFonts w:cs="Times New Roman"/>
          <w:spacing w:val="-3"/>
          <w:sz w:val="18"/>
          <w:szCs w:val="18"/>
          <w:lang w:val="es-ES_tradnl"/>
        </w:rPr>
        <w:t>ó</w:t>
      </w:r>
      <w:r>
        <w:rPr>
          <w:spacing w:val="-3"/>
          <w:sz w:val="18"/>
          <w:szCs w:val="18"/>
          <w:lang w:val="es-ES_tradnl"/>
        </w:rPr>
        <w:t>n de la Rep</w:t>
      </w:r>
      <w:r>
        <w:rPr>
          <w:rFonts w:cs="Times New Roman"/>
          <w:spacing w:val="-3"/>
          <w:sz w:val="18"/>
          <w:szCs w:val="18"/>
          <w:lang w:val="es-ES_tradnl"/>
        </w:rPr>
        <w:t>ú</w:t>
      </w:r>
      <w:r>
        <w:rPr>
          <w:spacing w:val="-3"/>
          <w:sz w:val="18"/>
          <w:szCs w:val="18"/>
          <w:lang w:val="es-ES_tradnl"/>
        </w:rPr>
        <w:t xml:space="preserve">blica, </w:t>
      </w:r>
      <w:r>
        <w:rPr>
          <w:spacing w:val="-5"/>
          <w:sz w:val="18"/>
          <w:szCs w:val="18"/>
          <w:lang w:val="es-ES_tradnl"/>
        </w:rPr>
        <w:t>se</w:t>
      </w:r>
      <w:r>
        <w:rPr>
          <w:rFonts w:cs="Times New Roman"/>
          <w:spacing w:val="-5"/>
          <w:sz w:val="18"/>
          <w:szCs w:val="18"/>
          <w:lang w:val="es-ES_tradnl"/>
        </w:rPr>
        <w:t>ñ</w:t>
      </w:r>
      <w:r>
        <w:rPr>
          <w:spacing w:val="-5"/>
          <w:sz w:val="18"/>
          <w:szCs w:val="18"/>
          <w:lang w:val="es-ES_tradnl"/>
        </w:rPr>
        <w:t xml:space="preserve">ala que: </w:t>
      </w:r>
      <w:r>
        <w:rPr>
          <w:rFonts w:cs="Times New Roman"/>
          <w:spacing w:val="-5"/>
          <w:sz w:val="18"/>
          <w:szCs w:val="18"/>
          <w:lang w:val="es-ES_tradnl"/>
        </w:rPr>
        <w:t>“</w:t>
      </w:r>
      <w:r>
        <w:rPr>
          <w:spacing w:val="-5"/>
          <w:sz w:val="18"/>
          <w:szCs w:val="18"/>
          <w:lang w:val="es-ES_tradnl"/>
        </w:rPr>
        <w:t>Nadie podr</w:t>
      </w:r>
      <w:r>
        <w:rPr>
          <w:rFonts w:cs="Times New Roman"/>
          <w:spacing w:val="-5"/>
          <w:sz w:val="18"/>
          <w:szCs w:val="18"/>
          <w:lang w:val="es-ES_tradnl"/>
        </w:rPr>
        <w:t>á</w:t>
      </w:r>
      <w:r>
        <w:rPr>
          <w:spacing w:val="-5"/>
          <w:sz w:val="18"/>
          <w:szCs w:val="18"/>
          <w:lang w:val="es-ES_tradnl"/>
        </w:rPr>
        <w:t xml:space="preserve"> ser privado del derecho a la </w:t>
      </w:r>
      <w:r>
        <w:rPr>
          <w:spacing w:val="-7"/>
          <w:sz w:val="18"/>
          <w:szCs w:val="18"/>
          <w:lang w:val="es-ES_tradnl"/>
        </w:rPr>
        <w:t>defensa en ninguna etapa o grado del procedimiento</w:t>
      </w:r>
      <w:r>
        <w:rPr>
          <w:rFonts w:cs="Times New Roman"/>
          <w:spacing w:val="-7"/>
          <w:sz w:val="18"/>
          <w:szCs w:val="18"/>
          <w:lang w:val="es-ES_tradnl"/>
        </w:rPr>
        <w:t>”</w:t>
      </w:r>
      <w:r>
        <w:rPr>
          <w:spacing w:val="-7"/>
          <w:sz w:val="18"/>
          <w:szCs w:val="18"/>
          <w:lang w:val="es-ES_tradnl"/>
        </w:rPr>
        <w:t xml:space="preserve">. En </w:t>
      </w:r>
      <w:r>
        <w:rPr>
          <w:spacing w:val="-6"/>
          <w:sz w:val="18"/>
          <w:szCs w:val="18"/>
          <w:lang w:val="es-ES_tradnl"/>
        </w:rPr>
        <w:t xml:space="preserve">efecto, este derecho constituye un principio general de la </w:t>
      </w:r>
      <w:r>
        <w:rPr>
          <w:spacing w:val="-8"/>
          <w:sz w:val="18"/>
          <w:szCs w:val="18"/>
          <w:lang w:val="es-ES_tradnl"/>
        </w:rPr>
        <w:t>administraci</w:t>
      </w:r>
      <w:r>
        <w:rPr>
          <w:rFonts w:cs="Times New Roman"/>
          <w:spacing w:val="-8"/>
          <w:sz w:val="18"/>
          <w:szCs w:val="18"/>
          <w:lang w:val="es-ES_tradnl"/>
        </w:rPr>
        <w:t>ó</w:t>
      </w:r>
      <w:r>
        <w:rPr>
          <w:spacing w:val="-8"/>
          <w:sz w:val="18"/>
          <w:szCs w:val="18"/>
          <w:lang w:val="es-ES_tradnl"/>
        </w:rPr>
        <w:t xml:space="preserve">n de justicia que permite garantizar que todas las personas cuenten con los medios legales apropiados y </w:t>
      </w:r>
      <w:r>
        <w:rPr>
          <w:spacing w:val="-11"/>
          <w:sz w:val="18"/>
          <w:szCs w:val="18"/>
          <w:lang w:val="es-ES_tradnl"/>
        </w:rPr>
        <w:t>suficientes para la defensa de sus intereses</w:t>
      </w:r>
      <w:r>
        <w:rPr>
          <w:spacing w:val="-11"/>
          <w:sz w:val="18"/>
          <w:szCs w:val="18"/>
          <w:vertAlign w:val="superscript"/>
          <w:lang w:val="es-ES_tradnl"/>
        </w:rPr>
        <w:t>7</w:t>
      </w:r>
      <w:r>
        <w:rPr>
          <w:spacing w:val="-11"/>
          <w:sz w:val="18"/>
          <w:szCs w:val="18"/>
          <w:lang w:val="es-ES_tradnl"/>
        </w:rPr>
        <w:t>.</w:t>
      </w:r>
    </w:p>
    <w:p w14:paraId="4F67B8A9" w14:textId="77777777" w:rsidR="00591D54" w:rsidRDefault="00591D54">
      <w:pPr>
        <w:shd w:val="clear" w:color="auto" w:fill="FFFFFF"/>
        <w:spacing w:before="192" w:line="216" w:lineRule="exact"/>
        <w:jc w:val="both"/>
      </w:pPr>
      <w:r>
        <w:rPr>
          <w:spacing w:val="-10"/>
          <w:sz w:val="18"/>
          <w:szCs w:val="18"/>
          <w:lang w:val="es-ES_tradnl"/>
        </w:rPr>
        <w:t>Remitiendo nuestro an</w:t>
      </w:r>
      <w:r>
        <w:rPr>
          <w:rFonts w:cs="Times New Roman"/>
          <w:spacing w:val="-10"/>
          <w:sz w:val="18"/>
          <w:szCs w:val="18"/>
          <w:lang w:val="es-ES_tradnl"/>
        </w:rPr>
        <w:t>á</w:t>
      </w:r>
      <w:r>
        <w:rPr>
          <w:spacing w:val="-10"/>
          <w:sz w:val="18"/>
          <w:szCs w:val="18"/>
          <w:lang w:val="es-ES_tradnl"/>
        </w:rPr>
        <w:t xml:space="preserve">lisis al caso </w:t>
      </w:r>
      <w:r>
        <w:rPr>
          <w:i/>
          <w:iCs/>
          <w:spacing w:val="-10"/>
          <w:sz w:val="18"/>
          <w:szCs w:val="18"/>
          <w:lang w:val="es-ES_tradnl"/>
        </w:rPr>
        <w:t>sub j</w:t>
      </w:r>
      <w:r>
        <w:rPr>
          <w:rFonts w:cs="Times New Roman"/>
          <w:i/>
          <w:iCs/>
          <w:spacing w:val="-10"/>
          <w:sz w:val="18"/>
          <w:szCs w:val="18"/>
          <w:lang w:val="es-ES_tradnl"/>
        </w:rPr>
        <w:t>ú</w:t>
      </w:r>
      <w:r>
        <w:rPr>
          <w:i/>
          <w:iCs/>
          <w:spacing w:val="-10"/>
          <w:sz w:val="18"/>
          <w:szCs w:val="18"/>
          <w:lang w:val="es-ES_tradnl"/>
        </w:rPr>
        <w:t>dice</w:t>
      </w:r>
      <w:r>
        <w:rPr>
          <w:spacing w:val="-10"/>
          <w:sz w:val="18"/>
          <w:szCs w:val="18"/>
          <w:lang w:val="es-ES_tradnl"/>
        </w:rPr>
        <w:t xml:space="preserve">, se encuentra </w:t>
      </w:r>
      <w:r>
        <w:rPr>
          <w:spacing w:val="-9"/>
          <w:sz w:val="18"/>
          <w:szCs w:val="18"/>
          <w:lang w:val="es-ES_tradnl"/>
        </w:rPr>
        <w:t>que el accionante considera que en la decisi</w:t>
      </w:r>
      <w:r>
        <w:rPr>
          <w:rFonts w:cs="Times New Roman"/>
          <w:spacing w:val="-9"/>
          <w:sz w:val="18"/>
          <w:szCs w:val="18"/>
          <w:lang w:val="es-ES_tradnl"/>
        </w:rPr>
        <w:t>ó</w:t>
      </w:r>
      <w:r>
        <w:rPr>
          <w:spacing w:val="-9"/>
          <w:sz w:val="18"/>
          <w:szCs w:val="18"/>
          <w:lang w:val="es-ES_tradnl"/>
        </w:rPr>
        <w:t xml:space="preserve">n demandada </w:t>
      </w:r>
      <w:r>
        <w:rPr>
          <w:spacing w:val="-8"/>
          <w:sz w:val="18"/>
          <w:szCs w:val="18"/>
          <w:lang w:val="es-ES_tradnl"/>
        </w:rPr>
        <w:t xml:space="preserve">se ha vulnerado el derecho de su representada al debido </w:t>
      </w:r>
      <w:r>
        <w:rPr>
          <w:spacing w:val="-9"/>
          <w:sz w:val="18"/>
          <w:szCs w:val="18"/>
          <w:lang w:val="es-ES_tradnl"/>
        </w:rPr>
        <w:t xml:space="preserve">proceso, en cuanto a garantizar el derecho a la defensa, por </w:t>
      </w:r>
      <w:r>
        <w:rPr>
          <w:spacing w:val="-6"/>
          <w:sz w:val="18"/>
          <w:szCs w:val="18"/>
          <w:lang w:val="es-ES_tradnl"/>
        </w:rPr>
        <w:t>cuanto al inadmitir el recurso de casaci</w:t>
      </w:r>
      <w:r>
        <w:rPr>
          <w:rFonts w:cs="Times New Roman"/>
          <w:spacing w:val="-6"/>
          <w:sz w:val="18"/>
          <w:szCs w:val="18"/>
          <w:lang w:val="es-ES_tradnl"/>
        </w:rPr>
        <w:t>ó</w:t>
      </w:r>
      <w:r>
        <w:rPr>
          <w:spacing w:val="-6"/>
          <w:sz w:val="18"/>
          <w:szCs w:val="18"/>
          <w:lang w:val="es-ES_tradnl"/>
        </w:rPr>
        <w:t xml:space="preserve">n se le ha dejado </w:t>
      </w:r>
      <w:r>
        <w:rPr>
          <w:spacing w:val="-7"/>
          <w:sz w:val="18"/>
          <w:szCs w:val="18"/>
          <w:lang w:val="es-ES_tradnl"/>
        </w:rPr>
        <w:t>en indefensi</w:t>
      </w:r>
      <w:r>
        <w:rPr>
          <w:rFonts w:cs="Times New Roman"/>
          <w:spacing w:val="-7"/>
          <w:sz w:val="18"/>
          <w:szCs w:val="18"/>
          <w:lang w:val="es-ES_tradnl"/>
        </w:rPr>
        <w:t>ó</w:t>
      </w:r>
      <w:r>
        <w:rPr>
          <w:spacing w:val="-7"/>
          <w:sz w:val="18"/>
          <w:szCs w:val="18"/>
          <w:lang w:val="es-ES_tradnl"/>
        </w:rPr>
        <w:t xml:space="preserve">n y se le ha denegado el acceso a la justicia </w:t>
      </w:r>
      <w:r>
        <w:rPr>
          <w:rFonts w:cs="Times New Roman"/>
          <w:spacing w:val="-8"/>
          <w:sz w:val="18"/>
          <w:szCs w:val="18"/>
          <w:lang w:val="es-ES_tradnl"/>
        </w:rPr>
        <w:t>“</w:t>
      </w:r>
      <w:r>
        <w:rPr>
          <w:spacing w:val="-8"/>
          <w:sz w:val="18"/>
          <w:szCs w:val="18"/>
          <w:lang w:val="es-ES_tradnl"/>
        </w:rPr>
        <w:t>por el hecho de que la Administraci</w:t>
      </w:r>
      <w:r>
        <w:rPr>
          <w:rFonts w:cs="Times New Roman"/>
          <w:spacing w:val="-8"/>
          <w:sz w:val="18"/>
          <w:szCs w:val="18"/>
          <w:lang w:val="es-ES_tradnl"/>
        </w:rPr>
        <w:t>ó</w:t>
      </w:r>
      <w:r>
        <w:rPr>
          <w:spacing w:val="-8"/>
          <w:sz w:val="18"/>
          <w:szCs w:val="18"/>
          <w:lang w:val="es-ES_tradnl"/>
        </w:rPr>
        <w:t>n Tributaria no realiz</w:t>
      </w:r>
      <w:r>
        <w:rPr>
          <w:rFonts w:cs="Times New Roman"/>
          <w:spacing w:val="-8"/>
          <w:sz w:val="18"/>
          <w:szCs w:val="18"/>
          <w:lang w:val="es-ES_tradnl"/>
        </w:rPr>
        <w:t xml:space="preserve">ó </w:t>
      </w:r>
      <w:r>
        <w:rPr>
          <w:spacing w:val="-8"/>
          <w:sz w:val="18"/>
          <w:szCs w:val="18"/>
          <w:lang w:val="es-ES_tradnl"/>
        </w:rPr>
        <w:t>la ratificaci</w:t>
      </w:r>
      <w:r>
        <w:rPr>
          <w:rFonts w:cs="Times New Roman"/>
          <w:spacing w:val="-8"/>
          <w:sz w:val="18"/>
          <w:szCs w:val="18"/>
          <w:lang w:val="es-ES_tradnl"/>
        </w:rPr>
        <w:t>ó</w:t>
      </w:r>
      <w:r>
        <w:rPr>
          <w:spacing w:val="-8"/>
          <w:sz w:val="18"/>
          <w:szCs w:val="18"/>
          <w:lang w:val="es-ES_tradnl"/>
        </w:rPr>
        <w:t xml:space="preserve">n de gestiones del Abogado Patrocinador en el </w:t>
      </w:r>
      <w:r>
        <w:rPr>
          <w:spacing w:val="-7"/>
          <w:sz w:val="18"/>
          <w:szCs w:val="18"/>
          <w:lang w:val="es-ES_tradnl"/>
        </w:rPr>
        <w:t>tiempo dispuesto por la Sala configur</w:t>
      </w:r>
      <w:r>
        <w:rPr>
          <w:rFonts w:cs="Times New Roman"/>
          <w:spacing w:val="-7"/>
          <w:sz w:val="18"/>
          <w:szCs w:val="18"/>
          <w:lang w:val="es-ES_tradnl"/>
        </w:rPr>
        <w:t>á</w:t>
      </w:r>
      <w:r>
        <w:rPr>
          <w:spacing w:val="-7"/>
          <w:sz w:val="18"/>
          <w:szCs w:val="18"/>
          <w:lang w:val="es-ES_tradnl"/>
        </w:rPr>
        <w:t xml:space="preserve">ndose dicho plazo </w:t>
      </w:r>
      <w:r>
        <w:rPr>
          <w:spacing w:val="-5"/>
          <w:sz w:val="18"/>
          <w:szCs w:val="18"/>
          <w:lang w:val="es-ES_tradnl"/>
        </w:rPr>
        <w:t xml:space="preserve">como una formalidad que fue subsanada en lo posterior </w:t>
      </w:r>
      <w:r>
        <w:rPr>
          <w:spacing w:val="-1"/>
          <w:sz w:val="18"/>
          <w:szCs w:val="18"/>
          <w:lang w:val="es-ES_tradnl"/>
        </w:rPr>
        <w:t>con ratificaci</w:t>
      </w:r>
      <w:r>
        <w:rPr>
          <w:rFonts w:cs="Times New Roman"/>
          <w:spacing w:val="-1"/>
          <w:sz w:val="18"/>
          <w:szCs w:val="18"/>
          <w:lang w:val="es-ES_tradnl"/>
        </w:rPr>
        <w:t>ó</w:t>
      </w:r>
      <w:r>
        <w:rPr>
          <w:spacing w:val="-1"/>
          <w:sz w:val="18"/>
          <w:szCs w:val="18"/>
          <w:lang w:val="es-ES_tradnl"/>
        </w:rPr>
        <w:t xml:space="preserve">n presentada junto con el Recurso de </w:t>
      </w:r>
      <w:r>
        <w:rPr>
          <w:spacing w:val="-7"/>
          <w:sz w:val="18"/>
          <w:szCs w:val="18"/>
          <w:lang w:val="es-ES_tradnl"/>
        </w:rPr>
        <w:t>Hecho presentado</w:t>
      </w:r>
      <w:r>
        <w:rPr>
          <w:rFonts w:cs="Times New Roman"/>
          <w:spacing w:val="-7"/>
          <w:sz w:val="18"/>
          <w:szCs w:val="18"/>
          <w:lang w:val="es-ES_tradnl"/>
        </w:rPr>
        <w:t>”</w:t>
      </w:r>
      <w:r>
        <w:rPr>
          <w:spacing w:val="-7"/>
          <w:sz w:val="18"/>
          <w:szCs w:val="18"/>
          <w:lang w:val="es-ES_tradnl"/>
        </w:rPr>
        <w:t>, lo cual, a su criterio, es perfectamente aceptable en raz</w:t>
      </w:r>
      <w:r>
        <w:rPr>
          <w:rFonts w:cs="Times New Roman"/>
          <w:spacing w:val="-7"/>
          <w:sz w:val="18"/>
          <w:szCs w:val="18"/>
          <w:lang w:val="es-ES_tradnl"/>
        </w:rPr>
        <w:t>ó</w:t>
      </w:r>
      <w:r>
        <w:rPr>
          <w:spacing w:val="-7"/>
          <w:sz w:val="18"/>
          <w:szCs w:val="18"/>
          <w:lang w:val="es-ES_tradnl"/>
        </w:rPr>
        <w:t>n de estar previsto en el art</w:t>
      </w:r>
      <w:r>
        <w:rPr>
          <w:rFonts w:cs="Times New Roman"/>
          <w:spacing w:val="-7"/>
          <w:sz w:val="18"/>
          <w:szCs w:val="18"/>
          <w:lang w:val="es-ES_tradnl"/>
        </w:rPr>
        <w:t>í</w:t>
      </w:r>
      <w:r>
        <w:rPr>
          <w:spacing w:val="-7"/>
          <w:sz w:val="18"/>
          <w:szCs w:val="18"/>
          <w:lang w:val="es-ES_tradnl"/>
        </w:rPr>
        <w:t xml:space="preserve">culo 359 del </w:t>
      </w:r>
      <w:r>
        <w:rPr>
          <w:sz w:val="18"/>
          <w:szCs w:val="18"/>
          <w:lang w:val="es-ES_tradnl"/>
        </w:rPr>
        <w:t>C</w:t>
      </w:r>
      <w:r>
        <w:rPr>
          <w:rFonts w:cs="Times New Roman"/>
          <w:sz w:val="18"/>
          <w:szCs w:val="18"/>
          <w:lang w:val="es-ES_tradnl"/>
        </w:rPr>
        <w:t>ó</w:t>
      </w:r>
      <w:r>
        <w:rPr>
          <w:sz w:val="18"/>
          <w:szCs w:val="18"/>
          <w:lang w:val="es-ES_tradnl"/>
        </w:rPr>
        <w:t>digo de Procedimiento Civil.</w:t>
      </w:r>
    </w:p>
    <w:p w14:paraId="4F67B8AA" w14:textId="77777777" w:rsidR="00591D54" w:rsidRDefault="00591D54">
      <w:pPr>
        <w:shd w:val="clear" w:color="auto" w:fill="FFFFFF"/>
        <w:spacing w:before="192" w:line="216" w:lineRule="exact"/>
        <w:jc w:val="both"/>
      </w:pPr>
      <w:r>
        <w:rPr>
          <w:spacing w:val="-7"/>
          <w:sz w:val="18"/>
          <w:szCs w:val="18"/>
          <w:lang w:val="es-ES_tradnl"/>
        </w:rPr>
        <w:t>Ahora bien, de la revisi</w:t>
      </w:r>
      <w:r>
        <w:rPr>
          <w:rFonts w:cs="Times New Roman"/>
          <w:spacing w:val="-7"/>
          <w:sz w:val="18"/>
          <w:szCs w:val="18"/>
          <w:lang w:val="es-ES_tradnl"/>
        </w:rPr>
        <w:t>ó</w:t>
      </w:r>
      <w:r>
        <w:rPr>
          <w:spacing w:val="-7"/>
          <w:sz w:val="18"/>
          <w:szCs w:val="18"/>
          <w:lang w:val="es-ES_tradnl"/>
        </w:rPr>
        <w:t xml:space="preserve">n del auto demandado se advierte </w:t>
      </w:r>
      <w:r>
        <w:rPr>
          <w:sz w:val="18"/>
          <w:szCs w:val="18"/>
          <w:lang w:val="es-ES_tradnl"/>
        </w:rPr>
        <w:t>que a criterio de la sala casacional, la administraci</w:t>
      </w:r>
      <w:r>
        <w:rPr>
          <w:rFonts w:cs="Times New Roman"/>
          <w:sz w:val="18"/>
          <w:szCs w:val="18"/>
          <w:lang w:val="es-ES_tradnl"/>
        </w:rPr>
        <w:t>ó</w:t>
      </w:r>
      <w:r>
        <w:rPr>
          <w:sz w:val="18"/>
          <w:szCs w:val="18"/>
          <w:lang w:val="es-ES_tradnl"/>
        </w:rPr>
        <w:t>n</w:t>
      </w:r>
    </w:p>
    <w:p w14:paraId="4F67B8AB" w14:textId="77777777" w:rsidR="00591D54" w:rsidRDefault="00591D54">
      <w:pPr>
        <w:shd w:val="clear" w:color="auto" w:fill="FFFFFF"/>
        <w:spacing w:before="509" w:line="178" w:lineRule="exact"/>
        <w:ind w:left="144" w:hanging="144"/>
      </w:pPr>
      <w:r>
        <w:rPr>
          <w:sz w:val="14"/>
          <w:szCs w:val="14"/>
          <w:vertAlign w:val="superscript"/>
          <w:lang w:val="es-ES_tradnl"/>
        </w:rPr>
        <w:t>7</w:t>
      </w:r>
      <w:r>
        <w:rPr>
          <w:sz w:val="14"/>
          <w:szCs w:val="14"/>
          <w:lang w:val="es-ES_tradnl"/>
        </w:rPr>
        <w:t xml:space="preserve">  Corte Constitucional del Ecuador, sentencia N.</w:t>
      </w:r>
      <w:r>
        <w:rPr>
          <w:rFonts w:cs="Times New Roman"/>
          <w:sz w:val="14"/>
          <w:szCs w:val="14"/>
          <w:lang w:val="es-ES_tradnl"/>
        </w:rPr>
        <w:t>°</w:t>
      </w:r>
      <w:r>
        <w:rPr>
          <w:sz w:val="14"/>
          <w:szCs w:val="14"/>
          <w:lang w:val="es-ES_tradnl"/>
        </w:rPr>
        <w:t xml:space="preserve"> 154-14-SEP-CC, caso N.</w:t>
      </w:r>
      <w:r>
        <w:rPr>
          <w:rFonts w:cs="Times New Roman"/>
          <w:sz w:val="14"/>
          <w:szCs w:val="14"/>
          <w:lang w:val="es-ES_tradnl"/>
        </w:rPr>
        <w:t>°</w:t>
      </w:r>
      <w:r>
        <w:rPr>
          <w:sz w:val="14"/>
          <w:szCs w:val="14"/>
          <w:lang w:val="es-ES_tradnl"/>
        </w:rPr>
        <w:t xml:space="preserve"> 154-11-EP</w:t>
      </w:r>
    </w:p>
    <w:p w14:paraId="4F67B8AC" w14:textId="77777777" w:rsidR="00591D54" w:rsidRDefault="00591D54">
      <w:pPr>
        <w:shd w:val="clear" w:color="auto" w:fill="FFFFFF"/>
        <w:spacing w:before="509" w:line="178" w:lineRule="exact"/>
        <w:ind w:left="144" w:hanging="144"/>
        <w:sectPr w:rsidR="00591D54">
          <w:type w:val="continuous"/>
          <w:pgSz w:w="11909" w:h="16834"/>
          <w:pgMar w:top="1356" w:right="1309" w:bottom="360" w:left="1308" w:header="720" w:footer="720" w:gutter="0"/>
          <w:cols w:num="2" w:space="720" w:equalWidth="0">
            <w:col w:w="4305" w:space="682"/>
            <w:col w:w="4305"/>
          </w:cols>
          <w:noEndnote/>
        </w:sectPr>
      </w:pPr>
    </w:p>
    <w:p w14:paraId="4F67B8AD" w14:textId="77777777" w:rsidR="00591D54" w:rsidRDefault="00591D54">
      <w:pPr>
        <w:shd w:val="clear" w:color="auto" w:fill="FFFFFF"/>
        <w:tabs>
          <w:tab w:val="left" w:pos="4814"/>
        </w:tabs>
        <w:spacing w:after="230"/>
        <w:ind w:left="5"/>
      </w:pPr>
      <w:r>
        <w:rPr>
          <w:b/>
          <w:bCs/>
          <w:sz w:val="18"/>
          <w:szCs w:val="18"/>
          <w:lang w:val="es-ES_tradnl"/>
        </w:rPr>
        <w:t xml:space="preserve">258 -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8AE" w14:textId="77777777" w:rsidR="00591D54" w:rsidRDefault="00591D54">
      <w:pPr>
        <w:shd w:val="clear" w:color="auto" w:fill="FFFFFF"/>
        <w:tabs>
          <w:tab w:val="left" w:pos="4814"/>
        </w:tabs>
        <w:spacing w:after="230"/>
        <w:ind w:left="5"/>
        <w:sectPr w:rsidR="00591D54">
          <w:pgSz w:w="11909" w:h="16834"/>
          <w:pgMar w:top="1363" w:right="1309" w:bottom="360" w:left="1308" w:header="720" w:footer="720" w:gutter="0"/>
          <w:cols w:space="60"/>
          <w:noEndnote/>
        </w:sectPr>
      </w:pPr>
    </w:p>
    <w:p w14:paraId="4F67B8AF" w14:textId="77777777" w:rsidR="00591D54" w:rsidRDefault="00591D54">
      <w:pPr>
        <w:shd w:val="clear" w:color="auto" w:fill="FFFFFF"/>
        <w:spacing w:before="5" w:line="216" w:lineRule="exact"/>
        <w:jc w:val="both"/>
      </w:pPr>
      <w:r>
        <w:rPr>
          <w:spacing w:val="-3"/>
          <w:sz w:val="18"/>
          <w:szCs w:val="18"/>
          <w:lang w:val="es-ES_tradnl"/>
        </w:rPr>
        <w:t>tributaria tuvo m</w:t>
      </w:r>
      <w:r>
        <w:rPr>
          <w:rFonts w:cs="Times New Roman"/>
          <w:spacing w:val="-3"/>
          <w:sz w:val="18"/>
          <w:szCs w:val="18"/>
          <w:lang w:val="es-ES_tradnl"/>
        </w:rPr>
        <w:t>á</w:t>
      </w:r>
      <w:r>
        <w:rPr>
          <w:spacing w:val="-3"/>
          <w:sz w:val="18"/>
          <w:szCs w:val="18"/>
          <w:lang w:val="es-ES_tradnl"/>
        </w:rPr>
        <w:t>s de un a</w:t>
      </w:r>
      <w:r>
        <w:rPr>
          <w:rFonts w:cs="Times New Roman"/>
          <w:spacing w:val="-3"/>
          <w:sz w:val="18"/>
          <w:szCs w:val="18"/>
          <w:lang w:val="es-ES_tradnl"/>
        </w:rPr>
        <w:t>ñ</w:t>
      </w:r>
      <w:r>
        <w:rPr>
          <w:spacing w:val="-3"/>
          <w:sz w:val="18"/>
          <w:szCs w:val="18"/>
          <w:lang w:val="es-ES_tradnl"/>
        </w:rPr>
        <w:t xml:space="preserve">o para ratificar el escrito </w:t>
      </w:r>
      <w:r>
        <w:rPr>
          <w:spacing w:val="-7"/>
          <w:sz w:val="18"/>
          <w:szCs w:val="18"/>
          <w:lang w:val="es-ES_tradnl"/>
        </w:rPr>
        <w:t>contentivo del recurso de casaci</w:t>
      </w:r>
      <w:r>
        <w:rPr>
          <w:rFonts w:cs="Times New Roman"/>
          <w:spacing w:val="-7"/>
          <w:sz w:val="18"/>
          <w:szCs w:val="18"/>
          <w:lang w:val="es-ES_tradnl"/>
        </w:rPr>
        <w:t>ó</w:t>
      </w:r>
      <w:r>
        <w:rPr>
          <w:spacing w:val="-7"/>
          <w:sz w:val="18"/>
          <w:szCs w:val="18"/>
          <w:lang w:val="es-ES_tradnl"/>
        </w:rPr>
        <w:t xml:space="preserve">n y que pese a ello dicha </w:t>
      </w:r>
      <w:r>
        <w:rPr>
          <w:spacing w:val="-5"/>
          <w:sz w:val="18"/>
          <w:szCs w:val="18"/>
          <w:lang w:val="es-ES_tradnl"/>
        </w:rPr>
        <w:t>autoridad no legitim</w:t>
      </w:r>
      <w:r>
        <w:rPr>
          <w:rFonts w:cs="Times New Roman"/>
          <w:spacing w:val="-5"/>
          <w:sz w:val="18"/>
          <w:szCs w:val="18"/>
          <w:lang w:val="es-ES_tradnl"/>
        </w:rPr>
        <w:t>ó</w:t>
      </w:r>
      <w:r>
        <w:rPr>
          <w:spacing w:val="-5"/>
          <w:sz w:val="18"/>
          <w:szCs w:val="18"/>
          <w:lang w:val="es-ES_tradnl"/>
        </w:rPr>
        <w:t xml:space="preserve"> su personer</w:t>
      </w:r>
      <w:r>
        <w:rPr>
          <w:rFonts w:cs="Times New Roman"/>
          <w:spacing w:val="-5"/>
          <w:sz w:val="18"/>
          <w:szCs w:val="18"/>
          <w:lang w:val="es-ES_tradnl"/>
        </w:rPr>
        <w:t>í</w:t>
      </w:r>
      <w:r>
        <w:rPr>
          <w:spacing w:val="-5"/>
          <w:sz w:val="18"/>
          <w:szCs w:val="18"/>
          <w:lang w:val="es-ES_tradnl"/>
        </w:rPr>
        <w:t>a ni dentro del t</w:t>
      </w:r>
      <w:r>
        <w:rPr>
          <w:rFonts w:cs="Times New Roman"/>
          <w:spacing w:val="-5"/>
          <w:sz w:val="18"/>
          <w:szCs w:val="18"/>
          <w:lang w:val="es-ES_tradnl"/>
        </w:rPr>
        <w:t>é</w:t>
      </w:r>
      <w:r>
        <w:rPr>
          <w:spacing w:val="-5"/>
          <w:sz w:val="18"/>
          <w:szCs w:val="18"/>
          <w:lang w:val="es-ES_tradnl"/>
        </w:rPr>
        <w:t xml:space="preserve">rmino </w:t>
      </w:r>
      <w:r>
        <w:rPr>
          <w:spacing w:val="-4"/>
          <w:sz w:val="18"/>
          <w:szCs w:val="18"/>
          <w:lang w:val="es-ES_tradnl"/>
        </w:rPr>
        <w:t xml:space="preserve">requerido ni posterior a </w:t>
      </w:r>
      <w:r>
        <w:rPr>
          <w:rFonts w:cs="Times New Roman"/>
          <w:spacing w:val="-4"/>
          <w:sz w:val="18"/>
          <w:szCs w:val="18"/>
          <w:lang w:val="es-ES_tradnl"/>
        </w:rPr>
        <w:t>é</w:t>
      </w:r>
      <w:r>
        <w:rPr>
          <w:spacing w:val="-4"/>
          <w:sz w:val="18"/>
          <w:szCs w:val="18"/>
          <w:lang w:val="es-ES_tradnl"/>
        </w:rPr>
        <w:t>l, raz</w:t>
      </w:r>
      <w:r>
        <w:rPr>
          <w:rFonts w:cs="Times New Roman"/>
          <w:spacing w:val="-4"/>
          <w:sz w:val="18"/>
          <w:szCs w:val="18"/>
          <w:lang w:val="es-ES_tradnl"/>
        </w:rPr>
        <w:t>ó</w:t>
      </w:r>
      <w:r>
        <w:rPr>
          <w:spacing w:val="-4"/>
          <w:sz w:val="18"/>
          <w:szCs w:val="18"/>
          <w:lang w:val="es-ES_tradnl"/>
        </w:rPr>
        <w:t xml:space="preserve">n por la que consideran </w:t>
      </w:r>
      <w:r>
        <w:rPr>
          <w:spacing w:val="-3"/>
          <w:sz w:val="18"/>
          <w:szCs w:val="18"/>
          <w:lang w:val="es-ES_tradnl"/>
        </w:rPr>
        <w:t>acertada la decisi</w:t>
      </w:r>
      <w:r>
        <w:rPr>
          <w:rFonts w:cs="Times New Roman"/>
          <w:spacing w:val="-3"/>
          <w:sz w:val="18"/>
          <w:szCs w:val="18"/>
          <w:lang w:val="es-ES_tradnl"/>
        </w:rPr>
        <w:t>ó</w:t>
      </w:r>
      <w:r>
        <w:rPr>
          <w:spacing w:val="-3"/>
          <w:sz w:val="18"/>
          <w:szCs w:val="18"/>
          <w:lang w:val="es-ES_tradnl"/>
        </w:rPr>
        <w:t xml:space="preserve">n emitida por los jueces distritales el </w:t>
      </w:r>
      <w:r>
        <w:rPr>
          <w:spacing w:val="-5"/>
          <w:sz w:val="18"/>
          <w:szCs w:val="18"/>
          <w:lang w:val="es-ES_tradnl"/>
        </w:rPr>
        <w:t xml:space="preserve">05 de noviembre de 2012, en virtud de la cual negaron el </w:t>
      </w:r>
      <w:r>
        <w:rPr>
          <w:sz w:val="18"/>
          <w:szCs w:val="18"/>
          <w:lang w:val="es-ES_tradnl"/>
        </w:rPr>
        <w:t>recurso interpuesto.</w:t>
      </w:r>
    </w:p>
    <w:p w14:paraId="4F67B8B0" w14:textId="77777777" w:rsidR="00591D54" w:rsidRDefault="00591D54">
      <w:pPr>
        <w:shd w:val="clear" w:color="auto" w:fill="FFFFFF"/>
        <w:spacing w:before="197" w:line="216" w:lineRule="exact"/>
        <w:jc w:val="both"/>
      </w:pPr>
      <w:r>
        <w:rPr>
          <w:spacing w:val="-6"/>
          <w:sz w:val="18"/>
          <w:szCs w:val="18"/>
          <w:lang w:val="es-ES_tradnl"/>
        </w:rPr>
        <w:t>Al respecto, es importante reiterar, como se estableci</w:t>
      </w:r>
      <w:r>
        <w:rPr>
          <w:rFonts w:cs="Times New Roman"/>
          <w:spacing w:val="-6"/>
          <w:sz w:val="18"/>
          <w:szCs w:val="18"/>
          <w:lang w:val="es-ES_tradnl"/>
        </w:rPr>
        <w:t>ó</w:t>
      </w:r>
      <w:r>
        <w:rPr>
          <w:spacing w:val="-6"/>
          <w:sz w:val="18"/>
          <w:szCs w:val="18"/>
          <w:lang w:val="es-ES_tradnl"/>
        </w:rPr>
        <w:t xml:space="preserve"> en </w:t>
      </w:r>
      <w:r>
        <w:rPr>
          <w:spacing w:val="-4"/>
          <w:sz w:val="18"/>
          <w:szCs w:val="18"/>
          <w:lang w:val="es-ES_tradnl"/>
        </w:rPr>
        <w:t>el problema jur</w:t>
      </w:r>
      <w:r>
        <w:rPr>
          <w:rFonts w:cs="Times New Roman"/>
          <w:spacing w:val="-4"/>
          <w:sz w:val="18"/>
          <w:szCs w:val="18"/>
          <w:lang w:val="es-ES_tradnl"/>
        </w:rPr>
        <w:t>í</w:t>
      </w:r>
      <w:r>
        <w:rPr>
          <w:spacing w:val="-4"/>
          <w:sz w:val="18"/>
          <w:szCs w:val="18"/>
          <w:lang w:val="es-ES_tradnl"/>
        </w:rPr>
        <w:t>dico precedente, que la legitimaci</w:t>
      </w:r>
      <w:r>
        <w:rPr>
          <w:rFonts w:cs="Times New Roman"/>
          <w:spacing w:val="-4"/>
          <w:sz w:val="18"/>
          <w:szCs w:val="18"/>
          <w:lang w:val="es-ES_tradnl"/>
        </w:rPr>
        <w:t>ó</w:t>
      </w:r>
      <w:r>
        <w:rPr>
          <w:spacing w:val="-4"/>
          <w:sz w:val="18"/>
          <w:szCs w:val="18"/>
          <w:lang w:val="es-ES_tradnl"/>
        </w:rPr>
        <w:t xml:space="preserve">n de </w:t>
      </w:r>
      <w:r>
        <w:rPr>
          <w:spacing w:val="-5"/>
          <w:sz w:val="18"/>
          <w:szCs w:val="18"/>
          <w:lang w:val="es-ES_tradnl"/>
        </w:rPr>
        <w:t>personer</w:t>
      </w:r>
      <w:r>
        <w:rPr>
          <w:rFonts w:cs="Times New Roman"/>
          <w:spacing w:val="-5"/>
          <w:sz w:val="18"/>
          <w:szCs w:val="18"/>
          <w:lang w:val="es-ES_tradnl"/>
        </w:rPr>
        <w:t>í</w:t>
      </w:r>
      <w:r>
        <w:rPr>
          <w:spacing w:val="-5"/>
          <w:sz w:val="18"/>
          <w:szCs w:val="18"/>
          <w:lang w:val="es-ES_tradnl"/>
        </w:rPr>
        <w:t xml:space="preserve">a no constituye un mera formalidad que pueda </w:t>
      </w:r>
      <w:r>
        <w:rPr>
          <w:spacing w:val="-7"/>
          <w:sz w:val="18"/>
          <w:szCs w:val="18"/>
          <w:lang w:val="es-ES_tradnl"/>
        </w:rPr>
        <w:t>ser subsanada a trav</w:t>
      </w:r>
      <w:r>
        <w:rPr>
          <w:rFonts w:cs="Times New Roman"/>
          <w:spacing w:val="-7"/>
          <w:sz w:val="18"/>
          <w:szCs w:val="18"/>
          <w:lang w:val="es-ES_tradnl"/>
        </w:rPr>
        <w:t>é</w:t>
      </w:r>
      <w:r>
        <w:rPr>
          <w:spacing w:val="-7"/>
          <w:sz w:val="18"/>
          <w:szCs w:val="18"/>
          <w:lang w:val="es-ES_tradnl"/>
        </w:rPr>
        <w:t xml:space="preserve">s del escrito del recurso de hecho, </w:t>
      </w:r>
      <w:r>
        <w:rPr>
          <w:spacing w:val="-5"/>
          <w:sz w:val="18"/>
          <w:szCs w:val="18"/>
          <w:lang w:val="es-ES_tradnl"/>
        </w:rPr>
        <w:t xml:space="preserve">pues aquella constituye una formalidad sustancial que </w:t>
      </w:r>
      <w:r>
        <w:rPr>
          <w:spacing w:val="-7"/>
          <w:sz w:val="18"/>
          <w:szCs w:val="18"/>
          <w:lang w:val="es-ES_tradnl"/>
        </w:rPr>
        <w:t>permite garantizar que quien activa el recurso de casaci</w:t>
      </w:r>
      <w:r>
        <w:rPr>
          <w:rFonts w:cs="Times New Roman"/>
          <w:spacing w:val="-7"/>
          <w:sz w:val="18"/>
          <w:szCs w:val="18"/>
          <w:lang w:val="es-ES_tradnl"/>
        </w:rPr>
        <w:t>ó</w:t>
      </w:r>
      <w:r>
        <w:rPr>
          <w:spacing w:val="-7"/>
          <w:sz w:val="18"/>
          <w:szCs w:val="18"/>
          <w:lang w:val="es-ES_tradnl"/>
        </w:rPr>
        <w:t xml:space="preserve">n </w:t>
      </w:r>
      <w:r>
        <w:rPr>
          <w:spacing w:val="-5"/>
          <w:sz w:val="18"/>
          <w:szCs w:val="18"/>
          <w:lang w:val="es-ES_tradnl"/>
        </w:rPr>
        <w:t>tiene capacidad procesal y legitimaci</w:t>
      </w:r>
      <w:r>
        <w:rPr>
          <w:rFonts w:cs="Times New Roman"/>
          <w:spacing w:val="-5"/>
          <w:sz w:val="18"/>
          <w:szCs w:val="18"/>
          <w:lang w:val="es-ES_tradnl"/>
        </w:rPr>
        <w:t>ó</w:t>
      </w:r>
      <w:r>
        <w:rPr>
          <w:spacing w:val="-5"/>
          <w:sz w:val="18"/>
          <w:szCs w:val="18"/>
          <w:lang w:val="es-ES_tradnl"/>
        </w:rPr>
        <w:t xml:space="preserve">n procesal para </w:t>
      </w:r>
      <w:r>
        <w:rPr>
          <w:spacing w:val="-7"/>
          <w:sz w:val="18"/>
          <w:szCs w:val="18"/>
          <w:lang w:val="es-ES_tradnl"/>
        </w:rPr>
        <w:t>hacerlo, es decir, est</w:t>
      </w:r>
      <w:r>
        <w:rPr>
          <w:rFonts w:cs="Times New Roman"/>
          <w:spacing w:val="-7"/>
          <w:sz w:val="18"/>
          <w:szCs w:val="18"/>
          <w:lang w:val="es-ES_tradnl"/>
        </w:rPr>
        <w:t>á</w:t>
      </w:r>
      <w:r>
        <w:rPr>
          <w:spacing w:val="-7"/>
          <w:sz w:val="18"/>
          <w:szCs w:val="18"/>
          <w:lang w:val="es-ES_tradnl"/>
        </w:rPr>
        <w:t xml:space="preserve"> autorizado para proponer el recurso </w:t>
      </w:r>
      <w:r>
        <w:rPr>
          <w:spacing w:val="-6"/>
          <w:sz w:val="18"/>
          <w:szCs w:val="18"/>
          <w:lang w:val="es-ES_tradnl"/>
        </w:rPr>
        <w:t>y obtener de los jueces una decisi</w:t>
      </w:r>
      <w:r>
        <w:rPr>
          <w:rFonts w:cs="Times New Roman"/>
          <w:spacing w:val="-6"/>
          <w:sz w:val="18"/>
          <w:szCs w:val="18"/>
          <w:lang w:val="es-ES_tradnl"/>
        </w:rPr>
        <w:t>ó</w:t>
      </w:r>
      <w:r>
        <w:rPr>
          <w:spacing w:val="-6"/>
          <w:sz w:val="18"/>
          <w:szCs w:val="18"/>
          <w:lang w:val="es-ES_tradnl"/>
        </w:rPr>
        <w:t xml:space="preserve">n de fondo sobre las </w:t>
      </w:r>
      <w:r>
        <w:rPr>
          <w:spacing w:val="-5"/>
          <w:sz w:val="18"/>
          <w:szCs w:val="18"/>
          <w:lang w:val="es-ES_tradnl"/>
        </w:rPr>
        <w:t>pretensiones formuladas. M</w:t>
      </w:r>
      <w:r>
        <w:rPr>
          <w:rFonts w:cs="Times New Roman"/>
          <w:spacing w:val="-5"/>
          <w:sz w:val="18"/>
          <w:szCs w:val="18"/>
          <w:lang w:val="es-ES_tradnl"/>
        </w:rPr>
        <w:t>á</w:t>
      </w:r>
      <w:r>
        <w:rPr>
          <w:spacing w:val="-5"/>
          <w:sz w:val="18"/>
          <w:szCs w:val="18"/>
          <w:lang w:val="es-ES_tradnl"/>
        </w:rPr>
        <w:t>s aun trat</w:t>
      </w:r>
      <w:r>
        <w:rPr>
          <w:rFonts w:cs="Times New Roman"/>
          <w:spacing w:val="-5"/>
          <w:sz w:val="18"/>
          <w:szCs w:val="18"/>
          <w:lang w:val="es-ES_tradnl"/>
        </w:rPr>
        <w:t>á</w:t>
      </w:r>
      <w:r>
        <w:rPr>
          <w:spacing w:val="-5"/>
          <w:sz w:val="18"/>
          <w:szCs w:val="18"/>
          <w:lang w:val="es-ES_tradnl"/>
        </w:rPr>
        <w:t xml:space="preserve">ndose de una </w:t>
      </w:r>
      <w:r>
        <w:rPr>
          <w:spacing w:val="-6"/>
          <w:sz w:val="18"/>
          <w:szCs w:val="18"/>
          <w:lang w:val="es-ES_tradnl"/>
        </w:rPr>
        <w:t>persona jur</w:t>
      </w:r>
      <w:r>
        <w:rPr>
          <w:rFonts w:cs="Times New Roman"/>
          <w:spacing w:val="-6"/>
          <w:sz w:val="18"/>
          <w:szCs w:val="18"/>
          <w:lang w:val="es-ES_tradnl"/>
        </w:rPr>
        <w:t>í</w:t>
      </w:r>
      <w:r>
        <w:rPr>
          <w:spacing w:val="-6"/>
          <w:sz w:val="18"/>
          <w:szCs w:val="18"/>
          <w:lang w:val="es-ES_tradnl"/>
        </w:rPr>
        <w:t>dica, quien comparece en su representaci</w:t>
      </w:r>
      <w:r>
        <w:rPr>
          <w:rFonts w:cs="Times New Roman"/>
          <w:spacing w:val="-6"/>
          <w:sz w:val="18"/>
          <w:szCs w:val="18"/>
          <w:lang w:val="es-ES_tradnl"/>
        </w:rPr>
        <w:t>ó</w:t>
      </w:r>
      <w:r>
        <w:rPr>
          <w:spacing w:val="-6"/>
          <w:sz w:val="18"/>
          <w:szCs w:val="18"/>
          <w:lang w:val="es-ES_tradnl"/>
        </w:rPr>
        <w:t xml:space="preserve">n, </w:t>
      </w:r>
      <w:r>
        <w:rPr>
          <w:spacing w:val="-5"/>
          <w:sz w:val="18"/>
          <w:szCs w:val="18"/>
          <w:lang w:val="es-ES_tradnl"/>
        </w:rPr>
        <w:t>debe cumplir con requisitos espec</w:t>
      </w:r>
      <w:r>
        <w:rPr>
          <w:rFonts w:cs="Times New Roman"/>
          <w:spacing w:val="-5"/>
          <w:sz w:val="18"/>
          <w:szCs w:val="18"/>
          <w:lang w:val="es-ES_tradnl"/>
        </w:rPr>
        <w:t>í</w:t>
      </w:r>
      <w:r>
        <w:rPr>
          <w:spacing w:val="-5"/>
          <w:sz w:val="18"/>
          <w:szCs w:val="18"/>
          <w:lang w:val="es-ES_tradnl"/>
        </w:rPr>
        <w:t xml:space="preserve">ficos establecidos por </w:t>
      </w:r>
      <w:r>
        <w:rPr>
          <w:spacing w:val="-6"/>
          <w:sz w:val="18"/>
          <w:szCs w:val="18"/>
          <w:lang w:val="es-ES_tradnl"/>
        </w:rPr>
        <w:t>la ley aplicable al caso para poder actuar en su nombre.</w:t>
      </w:r>
    </w:p>
    <w:p w14:paraId="4F67B8B1" w14:textId="77777777" w:rsidR="00591D54" w:rsidRDefault="00591D54">
      <w:pPr>
        <w:shd w:val="clear" w:color="auto" w:fill="FFFFFF"/>
        <w:spacing w:before="197" w:line="216" w:lineRule="exact"/>
        <w:jc w:val="both"/>
      </w:pPr>
      <w:r>
        <w:rPr>
          <w:spacing w:val="-3"/>
          <w:sz w:val="18"/>
          <w:szCs w:val="18"/>
          <w:lang w:val="es-ES_tradnl"/>
        </w:rPr>
        <w:t>Adem</w:t>
      </w:r>
      <w:r>
        <w:rPr>
          <w:rFonts w:cs="Times New Roman"/>
          <w:spacing w:val="-3"/>
          <w:sz w:val="18"/>
          <w:szCs w:val="18"/>
          <w:lang w:val="es-ES_tradnl"/>
        </w:rPr>
        <w:t>á</w:t>
      </w:r>
      <w:r>
        <w:rPr>
          <w:spacing w:val="-3"/>
          <w:sz w:val="18"/>
          <w:szCs w:val="18"/>
          <w:lang w:val="es-ES_tradnl"/>
        </w:rPr>
        <w:t>s, seg</w:t>
      </w:r>
      <w:r>
        <w:rPr>
          <w:rFonts w:cs="Times New Roman"/>
          <w:spacing w:val="-3"/>
          <w:sz w:val="18"/>
          <w:szCs w:val="18"/>
          <w:lang w:val="es-ES_tradnl"/>
        </w:rPr>
        <w:t>ú</w:t>
      </w:r>
      <w:r>
        <w:rPr>
          <w:spacing w:val="-3"/>
          <w:sz w:val="18"/>
          <w:szCs w:val="18"/>
          <w:lang w:val="es-ES_tradnl"/>
        </w:rPr>
        <w:t xml:space="preserve">n consta en el auto demandado, la </w:t>
      </w:r>
      <w:r>
        <w:rPr>
          <w:spacing w:val="-9"/>
          <w:sz w:val="18"/>
          <w:szCs w:val="18"/>
          <w:lang w:val="es-ES_tradnl"/>
        </w:rPr>
        <w:t>desestimaci</w:t>
      </w:r>
      <w:r>
        <w:rPr>
          <w:rFonts w:cs="Times New Roman"/>
          <w:spacing w:val="-9"/>
          <w:sz w:val="18"/>
          <w:szCs w:val="18"/>
          <w:lang w:val="es-ES_tradnl"/>
        </w:rPr>
        <w:t>ó</w:t>
      </w:r>
      <w:r>
        <w:rPr>
          <w:spacing w:val="-9"/>
          <w:sz w:val="18"/>
          <w:szCs w:val="18"/>
          <w:lang w:val="es-ES_tradnl"/>
        </w:rPr>
        <w:t>n del recurso de casaci</w:t>
      </w:r>
      <w:r>
        <w:rPr>
          <w:rFonts w:cs="Times New Roman"/>
          <w:spacing w:val="-9"/>
          <w:sz w:val="18"/>
          <w:szCs w:val="18"/>
          <w:lang w:val="es-ES_tradnl"/>
        </w:rPr>
        <w:t>ó</w:t>
      </w:r>
      <w:r>
        <w:rPr>
          <w:spacing w:val="-9"/>
          <w:sz w:val="18"/>
          <w:szCs w:val="18"/>
          <w:lang w:val="es-ES_tradnl"/>
        </w:rPr>
        <w:t xml:space="preserve">n </w:t>
      </w:r>
      <w:r>
        <w:rPr>
          <w:rFonts w:cs="Times New Roman"/>
          <w:spacing w:val="-9"/>
          <w:sz w:val="18"/>
          <w:szCs w:val="18"/>
          <w:lang w:val="es-ES_tradnl"/>
        </w:rPr>
        <w:t>“</w:t>
      </w:r>
      <w:r>
        <w:rPr>
          <w:spacing w:val="-9"/>
          <w:sz w:val="18"/>
          <w:szCs w:val="18"/>
          <w:lang w:val="es-ES_tradnl"/>
        </w:rPr>
        <w:t xml:space="preserve">no fue intempestiva </w:t>
      </w:r>
      <w:r>
        <w:rPr>
          <w:spacing w:val="-7"/>
          <w:sz w:val="18"/>
          <w:szCs w:val="18"/>
          <w:lang w:val="es-ES_tradnl"/>
        </w:rPr>
        <w:t>sino que incluso precedi</w:t>
      </w:r>
      <w:r>
        <w:rPr>
          <w:rFonts w:cs="Times New Roman"/>
          <w:spacing w:val="-7"/>
          <w:sz w:val="18"/>
          <w:szCs w:val="18"/>
          <w:lang w:val="es-ES_tradnl"/>
        </w:rPr>
        <w:t>ó</w:t>
      </w:r>
      <w:r>
        <w:rPr>
          <w:spacing w:val="-7"/>
          <w:sz w:val="18"/>
          <w:szCs w:val="18"/>
          <w:lang w:val="es-ES_tradnl"/>
        </w:rPr>
        <w:t xml:space="preserve"> disposici</w:t>
      </w:r>
      <w:r>
        <w:rPr>
          <w:rFonts w:cs="Times New Roman"/>
          <w:spacing w:val="-7"/>
          <w:sz w:val="18"/>
          <w:szCs w:val="18"/>
          <w:lang w:val="es-ES_tradnl"/>
        </w:rPr>
        <w:t>ó</w:t>
      </w:r>
      <w:r>
        <w:rPr>
          <w:spacing w:val="-7"/>
          <w:sz w:val="18"/>
          <w:szCs w:val="18"/>
          <w:lang w:val="es-ES_tradnl"/>
        </w:rPr>
        <w:t xml:space="preserve">n de que se siente por </w:t>
      </w:r>
      <w:r>
        <w:rPr>
          <w:spacing w:val="-5"/>
          <w:sz w:val="18"/>
          <w:szCs w:val="18"/>
          <w:lang w:val="es-ES_tradnl"/>
        </w:rPr>
        <w:t>Secretar</w:t>
      </w:r>
      <w:r>
        <w:rPr>
          <w:rFonts w:cs="Times New Roman"/>
          <w:spacing w:val="-5"/>
          <w:sz w:val="18"/>
          <w:szCs w:val="18"/>
          <w:lang w:val="es-ES_tradnl"/>
        </w:rPr>
        <w:t>í</w:t>
      </w:r>
      <w:r>
        <w:rPr>
          <w:spacing w:val="-5"/>
          <w:sz w:val="18"/>
          <w:szCs w:val="18"/>
          <w:lang w:val="es-ES_tradnl"/>
        </w:rPr>
        <w:t>a la raz</w:t>
      </w:r>
      <w:r>
        <w:rPr>
          <w:rFonts w:cs="Times New Roman"/>
          <w:spacing w:val="-5"/>
          <w:sz w:val="18"/>
          <w:szCs w:val="18"/>
          <w:lang w:val="es-ES_tradnl"/>
        </w:rPr>
        <w:t>ó</w:t>
      </w:r>
      <w:r>
        <w:rPr>
          <w:spacing w:val="-5"/>
          <w:sz w:val="18"/>
          <w:szCs w:val="18"/>
          <w:lang w:val="es-ES_tradnl"/>
        </w:rPr>
        <w:t xml:space="preserve">n correspondiente al cumplimiento o </w:t>
      </w:r>
      <w:r>
        <w:rPr>
          <w:spacing w:val="-3"/>
          <w:sz w:val="18"/>
          <w:szCs w:val="18"/>
          <w:lang w:val="es-ES_tradnl"/>
        </w:rPr>
        <w:t>incumplimiento del deber de legitimaci</w:t>
      </w:r>
      <w:r>
        <w:rPr>
          <w:rFonts w:cs="Times New Roman"/>
          <w:spacing w:val="-3"/>
          <w:sz w:val="18"/>
          <w:szCs w:val="18"/>
          <w:lang w:val="es-ES_tradnl"/>
        </w:rPr>
        <w:t>ó</w:t>
      </w:r>
      <w:r>
        <w:rPr>
          <w:spacing w:val="-3"/>
          <w:sz w:val="18"/>
          <w:szCs w:val="18"/>
          <w:lang w:val="es-ES_tradnl"/>
        </w:rPr>
        <w:t>n</w:t>
      </w:r>
      <w:r>
        <w:rPr>
          <w:rFonts w:cs="Times New Roman"/>
          <w:spacing w:val="-3"/>
          <w:sz w:val="18"/>
          <w:szCs w:val="18"/>
          <w:lang w:val="es-ES_tradnl"/>
        </w:rPr>
        <w:t>”</w:t>
      </w:r>
      <w:r>
        <w:rPr>
          <w:spacing w:val="-3"/>
          <w:sz w:val="18"/>
          <w:szCs w:val="18"/>
          <w:lang w:val="es-ES_tradnl"/>
        </w:rPr>
        <w:t>, raz</w:t>
      </w:r>
      <w:r>
        <w:rPr>
          <w:rFonts w:cs="Times New Roman"/>
          <w:spacing w:val="-3"/>
          <w:sz w:val="18"/>
          <w:szCs w:val="18"/>
          <w:lang w:val="es-ES_tradnl"/>
        </w:rPr>
        <w:t>ó</w:t>
      </w:r>
      <w:r>
        <w:rPr>
          <w:spacing w:val="-3"/>
          <w:sz w:val="18"/>
          <w:szCs w:val="18"/>
          <w:lang w:val="es-ES_tradnl"/>
        </w:rPr>
        <w:t xml:space="preserve">n por la </w:t>
      </w:r>
      <w:r>
        <w:rPr>
          <w:spacing w:val="-5"/>
          <w:sz w:val="18"/>
          <w:szCs w:val="18"/>
          <w:lang w:val="es-ES_tradnl"/>
        </w:rPr>
        <w:t>cual, la Sala de Casaci</w:t>
      </w:r>
      <w:r>
        <w:rPr>
          <w:rFonts w:cs="Times New Roman"/>
          <w:spacing w:val="-5"/>
          <w:sz w:val="18"/>
          <w:szCs w:val="18"/>
          <w:lang w:val="es-ES_tradnl"/>
        </w:rPr>
        <w:t>ó</w:t>
      </w:r>
      <w:r>
        <w:rPr>
          <w:spacing w:val="-5"/>
          <w:sz w:val="18"/>
          <w:szCs w:val="18"/>
          <w:lang w:val="es-ES_tradnl"/>
        </w:rPr>
        <w:t>n expone que era obligaci</w:t>
      </w:r>
      <w:r>
        <w:rPr>
          <w:rFonts w:cs="Times New Roman"/>
          <w:spacing w:val="-5"/>
          <w:sz w:val="18"/>
          <w:szCs w:val="18"/>
          <w:lang w:val="es-ES_tradnl"/>
        </w:rPr>
        <w:t>ó</w:t>
      </w:r>
      <w:r>
        <w:rPr>
          <w:spacing w:val="-5"/>
          <w:sz w:val="18"/>
          <w:szCs w:val="18"/>
          <w:lang w:val="es-ES_tradnl"/>
        </w:rPr>
        <w:t xml:space="preserve">n del </w:t>
      </w:r>
      <w:r>
        <w:rPr>
          <w:spacing w:val="-6"/>
          <w:sz w:val="18"/>
          <w:szCs w:val="18"/>
          <w:lang w:val="es-ES_tradnl"/>
        </w:rPr>
        <w:t xml:space="preserve">ahora accionante dar cumplimiento a la ley y lo dispuesto </w:t>
      </w:r>
      <w:r>
        <w:rPr>
          <w:spacing w:val="-1"/>
          <w:sz w:val="18"/>
          <w:szCs w:val="18"/>
          <w:lang w:val="es-ES_tradnl"/>
        </w:rPr>
        <w:t xml:space="preserve">por los jueces </w:t>
      </w:r>
      <w:r>
        <w:rPr>
          <w:i/>
          <w:iCs/>
          <w:spacing w:val="-1"/>
          <w:sz w:val="18"/>
          <w:szCs w:val="18"/>
          <w:lang w:val="es-ES_tradnl"/>
        </w:rPr>
        <w:t xml:space="preserve">ad quem </w:t>
      </w:r>
      <w:r>
        <w:rPr>
          <w:spacing w:val="-1"/>
          <w:sz w:val="18"/>
          <w:szCs w:val="18"/>
          <w:lang w:val="es-ES_tradnl"/>
        </w:rPr>
        <w:t xml:space="preserve">en el tiempo establecido por </w:t>
      </w:r>
      <w:r>
        <w:rPr>
          <w:spacing w:val="-5"/>
          <w:sz w:val="18"/>
          <w:szCs w:val="18"/>
          <w:lang w:val="es-ES_tradnl"/>
        </w:rPr>
        <w:t>ellos. M</w:t>
      </w:r>
      <w:r>
        <w:rPr>
          <w:rFonts w:cs="Times New Roman"/>
          <w:spacing w:val="-5"/>
          <w:sz w:val="18"/>
          <w:szCs w:val="18"/>
          <w:lang w:val="es-ES_tradnl"/>
        </w:rPr>
        <w:t>á</w:t>
      </w:r>
      <w:r>
        <w:rPr>
          <w:spacing w:val="-5"/>
          <w:sz w:val="18"/>
          <w:szCs w:val="18"/>
          <w:lang w:val="es-ES_tradnl"/>
        </w:rPr>
        <w:t>s a</w:t>
      </w:r>
      <w:r>
        <w:rPr>
          <w:rFonts w:cs="Times New Roman"/>
          <w:spacing w:val="-5"/>
          <w:sz w:val="18"/>
          <w:szCs w:val="18"/>
          <w:lang w:val="es-ES_tradnl"/>
        </w:rPr>
        <w:t>ú</w:t>
      </w:r>
      <w:r>
        <w:rPr>
          <w:spacing w:val="-5"/>
          <w:sz w:val="18"/>
          <w:szCs w:val="18"/>
          <w:lang w:val="es-ES_tradnl"/>
        </w:rPr>
        <w:t xml:space="preserve">n, en respeto a la normativa aplicable y a la </w:t>
      </w:r>
      <w:r>
        <w:rPr>
          <w:spacing w:val="-7"/>
          <w:sz w:val="18"/>
          <w:szCs w:val="18"/>
          <w:lang w:val="es-ES_tradnl"/>
        </w:rPr>
        <w:t>seguridad jur</w:t>
      </w:r>
      <w:r>
        <w:rPr>
          <w:rFonts w:cs="Times New Roman"/>
          <w:spacing w:val="-7"/>
          <w:sz w:val="18"/>
          <w:szCs w:val="18"/>
          <w:lang w:val="es-ES_tradnl"/>
        </w:rPr>
        <w:t>í</w:t>
      </w:r>
      <w:r>
        <w:rPr>
          <w:spacing w:val="-7"/>
          <w:sz w:val="18"/>
          <w:szCs w:val="18"/>
          <w:lang w:val="es-ES_tradnl"/>
        </w:rPr>
        <w:t xml:space="preserve">dica, la Sala de la Corte Nacional de Justicia </w:t>
      </w:r>
      <w:r>
        <w:rPr>
          <w:spacing w:val="-5"/>
          <w:sz w:val="18"/>
          <w:szCs w:val="18"/>
          <w:lang w:val="es-ES_tradnl"/>
        </w:rPr>
        <w:t xml:space="preserve">concluye que </w:t>
      </w:r>
      <w:r>
        <w:rPr>
          <w:rFonts w:cs="Times New Roman"/>
          <w:spacing w:val="-5"/>
          <w:sz w:val="18"/>
          <w:szCs w:val="18"/>
          <w:lang w:val="es-ES_tradnl"/>
        </w:rPr>
        <w:t>“</w:t>
      </w:r>
      <w:r>
        <w:rPr>
          <w:spacing w:val="-5"/>
          <w:sz w:val="18"/>
          <w:szCs w:val="18"/>
          <w:lang w:val="es-ES_tradnl"/>
        </w:rPr>
        <w:t>las partes tienen la obligaci</w:t>
      </w:r>
      <w:r>
        <w:rPr>
          <w:rFonts w:cs="Times New Roman"/>
          <w:spacing w:val="-5"/>
          <w:sz w:val="18"/>
          <w:szCs w:val="18"/>
          <w:lang w:val="es-ES_tradnl"/>
        </w:rPr>
        <w:t>ó</w:t>
      </w:r>
      <w:r>
        <w:rPr>
          <w:spacing w:val="-5"/>
          <w:sz w:val="18"/>
          <w:szCs w:val="18"/>
          <w:lang w:val="es-ES_tradnl"/>
        </w:rPr>
        <w:t xml:space="preserve">n de legitimar </w:t>
      </w:r>
      <w:r>
        <w:rPr>
          <w:spacing w:val="-7"/>
          <w:sz w:val="18"/>
          <w:szCs w:val="18"/>
          <w:lang w:val="es-ES_tradnl"/>
        </w:rPr>
        <w:t>sus intervenciones sin necesidad de requerimiento previo, desde el momento mismo de la presentaci</w:t>
      </w:r>
      <w:r>
        <w:rPr>
          <w:rFonts w:cs="Times New Roman"/>
          <w:spacing w:val="-7"/>
          <w:sz w:val="18"/>
          <w:szCs w:val="18"/>
          <w:lang w:val="es-ES_tradnl"/>
        </w:rPr>
        <w:t>ó</w:t>
      </w:r>
      <w:r>
        <w:rPr>
          <w:spacing w:val="-7"/>
          <w:sz w:val="18"/>
          <w:szCs w:val="18"/>
          <w:lang w:val="es-ES_tradnl"/>
        </w:rPr>
        <w:t>n del recurso</w:t>
      </w:r>
      <w:r>
        <w:rPr>
          <w:rFonts w:cs="Times New Roman"/>
          <w:spacing w:val="-7"/>
          <w:sz w:val="18"/>
          <w:szCs w:val="18"/>
          <w:lang w:val="es-ES_tradnl"/>
        </w:rPr>
        <w:t>”</w:t>
      </w:r>
      <w:r>
        <w:rPr>
          <w:spacing w:val="-7"/>
          <w:sz w:val="18"/>
          <w:szCs w:val="18"/>
          <w:lang w:val="es-ES_tradnl"/>
        </w:rPr>
        <w:t>.</w:t>
      </w:r>
    </w:p>
    <w:p w14:paraId="4F67B8B2" w14:textId="77777777" w:rsidR="00591D54" w:rsidRDefault="00591D54">
      <w:pPr>
        <w:shd w:val="clear" w:color="auto" w:fill="FFFFFF"/>
        <w:spacing w:before="202" w:line="216" w:lineRule="exact"/>
        <w:jc w:val="both"/>
      </w:pPr>
      <w:r>
        <w:rPr>
          <w:sz w:val="18"/>
          <w:szCs w:val="18"/>
          <w:lang w:val="es-ES_tradnl"/>
        </w:rPr>
        <w:t>En efecto, del an</w:t>
      </w:r>
      <w:r>
        <w:rPr>
          <w:rFonts w:cs="Times New Roman"/>
          <w:sz w:val="18"/>
          <w:szCs w:val="18"/>
          <w:lang w:val="es-ES_tradnl"/>
        </w:rPr>
        <w:t>á</w:t>
      </w:r>
      <w:r>
        <w:rPr>
          <w:sz w:val="18"/>
          <w:szCs w:val="18"/>
          <w:lang w:val="es-ES_tradnl"/>
        </w:rPr>
        <w:t xml:space="preserve">lisis integral efectuado al auto </w:t>
      </w:r>
      <w:r>
        <w:rPr>
          <w:spacing w:val="-6"/>
          <w:sz w:val="18"/>
          <w:szCs w:val="18"/>
          <w:lang w:val="es-ES_tradnl"/>
        </w:rPr>
        <w:t>demandado se advierte que a la administraci</w:t>
      </w:r>
      <w:r>
        <w:rPr>
          <w:rFonts w:cs="Times New Roman"/>
          <w:spacing w:val="-6"/>
          <w:sz w:val="18"/>
          <w:szCs w:val="18"/>
          <w:lang w:val="es-ES_tradnl"/>
        </w:rPr>
        <w:t>ó</w:t>
      </w:r>
      <w:r>
        <w:rPr>
          <w:spacing w:val="-6"/>
          <w:sz w:val="18"/>
          <w:szCs w:val="18"/>
          <w:lang w:val="es-ES_tradnl"/>
        </w:rPr>
        <w:t xml:space="preserve">n tributaria </w:t>
      </w:r>
      <w:r>
        <w:rPr>
          <w:spacing w:val="-7"/>
          <w:sz w:val="18"/>
          <w:szCs w:val="18"/>
          <w:lang w:val="es-ES_tradnl"/>
        </w:rPr>
        <w:t xml:space="preserve">no se le ha denegado el acceso a los </w:t>
      </w:r>
      <w:r>
        <w:rPr>
          <w:rFonts w:cs="Times New Roman"/>
          <w:spacing w:val="-7"/>
          <w:sz w:val="18"/>
          <w:szCs w:val="18"/>
          <w:lang w:val="es-ES_tradnl"/>
        </w:rPr>
        <w:t>ó</w:t>
      </w:r>
      <w:r>
        <w:rPr>
          <w:spacing w:val="-7"/>
          <w:sz w:val="18"/>
          <w:szCs w:val="18"/>
          <w:lang w:val="es-ES_tradnl"/>
        </w:rPr>
        <w:t xml:space="preserve">rganos de justicia, </w:t>
      </w:r>
      <w:r>
        <w:rPr>
          <w:sz w:val="18"/>
          <w:szCs w:val="18"/>
          <w:lang w:val="es-ES_tradnl"/>
        </w:rPr>
        <w:t xml:space="preserve">pues ha ejercido su defensa en todo momento y tuvo </w:t>
      </w:r>
      <w:r>
        <w:rPr>
          <w:spacing w:val="-1"/>
          <w:sz w:val="18"/>
          <w:szCs w:val="18"/>
          <w:lang w:val="es-ES_tradnl"/>
        </w:rPr>
        <w:t>la oportunidad de impugnar la decisi</w:t>
      </w:r>
      <w:r>
        <w:rPr>
          <w:rFonts w:cs="Times New Roman"/>
          <w:spacing w:val="-1"/>
          <w:sz w:val="18"/>
          <w:szCs w:val="18"/>
          <w:lang w:val="es-ES_tradnl"/>
        </w:rPr>
        <w:t>ó</w:t>
      </w:r>
      <w:r>
        <w:rPr>
          <w:spacing w:val="-1"/>
          <w:sz w:val="18"/>
          <w:szCs w:val="18"/>
          <w:lang w:val="es-ES_tradnl"/>
        </w:rPr>
        <w:t xml:space="preserve">n emitida por el </w:t>
      </w:r>
      <w:r>
        <w:rPr>
          <w:spacing w:val="-6"/>
          <w:sz w:val="18"/>
          <w:szCs w:val="18"/>
          <w:lang w:val="es-ES_tradnl"/>
        </w:rPr>
        <w:t xml:space="preserve">juez </w:t>
      </w:r>
      <w:r>
        <w:rPr>
          <w:i/>
          <w:iCs/>
          <w:spacing w:val="-6"/>
          <w:sz w:val="18"/>
          <w:szCs w:val="18"/>
          <w:lang w:val="es-ES_tradnl"/>
        </w:rPr>
        <w:t>ad quem</w:t>
      </w:r>
      <w:r>
        <w:rPr>
          <w:spacing w:val="-6"/>
          <w:sz w:val="18"/>
          <w:szCs w:val="18"/>
          <w:lang w:val="es-ES_tradnl"/>
        </w:rPr>
        <w:t xml:space="preserve">. Del expediente se observa que la entidad </w:t>
      </w:r>
      <w:r>
        <w:rPr>
          <w:spacing w:val="-7"/>
          <w:sz w:val="18"/>
          <w:szCs w:val="18"/>
          <w:lang w:val="es-ES_tradnl"/>
        </w:rPr>
        <w:t>accionante interpuso recurso de casaci</w:t>
      </w:r>
      <w:r>
        <w:rPr>
          <w:rFonts w:cs="Times New Roman"/>
          <w:spacing w:val="-7"/>
          <w:sz w:val="18"/>
          <w:szCs w:val="18"/>
          <w:lang w:val="es-ES_tradnl"/>
        </w:rPr>
        <w:t>ó</w:t>
      </w:r>
      <w:r>
        <w:rPr>
          <w:spacing w:val="-7"/>
          <w:sz w:val="18"/>
          <w:szCs w:val="18"/>
          <w:lang w:val="es-ES_tradnl"/>
        </w:rPr>
        <w:t xml:space="preserve">n ante la Tercera </w:t>
      </w:r>
      <w:r>
        <w:rPr>
          <w:sz w:val="18"/>
          <w:szCs w:val="18"/>
          <w:lang w:val="es-ES_tradnl"/>
        </w:rPr>
        <w:t>Sala del Tribunal Distrital de lo Fiscal N.</w:t>
      </w:r>
      <w:r>
        <w:rPr>
          <w:rFonts w:cs="Times New Roman"/>
          <w:sz w:val="18"/>
          <w:szCs w:val="18"/>
          <w:lang w:val="es-ES_tradnl"/>
        </w:rPr>
        <w:t>º</w:t>
      </w:r>
      <w:r>
        <w:rPr>
          <w:sz w:val="18"/>
          <w:szCs w:val="18"/>
          <w:lang w:val="es-ES_tradnl"/>
        </w:rPr>
        <w:t xml:space="preserve"> 2 con sede </w:t>
      </w:r>
      <w:r>
        <w:rPr>
          <w:spacing w:val="-4"/>
          <w:sz w:val="18"/>
          <w:szCs w:val="18"/>
          <w:lang w:val="es-ES_tradnl"/>
        </w:rPr>
        <w:t>en Guayaquil, cuyos jueces, previo a calificar el escrito contentivo del mismo, incluso le concedieron un t</w:t>
      </w:r>
      <w:r>
        <w:rPr>
          <w:rFonts w:cs="Times New Roman"/>
          <w:spacing w:val="-4"/>
          <w:sz w:val="18"/>
          <w:szCs w:val="18"/>
          <w:lang w:val="es-ES_tradnl"/>
        </w:rPr>
        <w:t>é</w:t>
      </w:r>
      <w:r>
        <w:rPr>
          <w:spacing w:val="-4"/>
          <w:sz w:val="18"/>
          <w:szCs w:val="18"/>
          <w:lang w:val="es-ES_tradnl"/>
        </w:rPr>
        <w:t xml:space="preserve">rmino </w:t>
      </w:r>
      <w:r>
        <w:rPr>
          <w:spacing w:val="-7"/>
          <w:sz w:val="18"/>
          <w:szCs w:val="18"/>
          <w:lang w:val="es-ES_tradnl"/>
        </w:rPr>
        <w:t>prudencial para que legitime la intervenci</w:t>
      </w:r>
      <w:r>
        <w:rPr>
          <w:rFonts w:cs="Times New Roman"/>
          <w:spacing w:val="-7"/>
          <w:sz w:val="18"/>
          <w:szCs w:val="18"/>
          <w:lang w:val="es-ES_tradnl"/>
        </w:rPr>
        <w:t>ó</w:t>
      </w:r>
      <w:r>
        <w:rPr>
          <w:spacing w:val="-7"/>
          <w:sz w:val="18"/>
          <w:szCs w:val="18"/>
          <w:lang w:val="es-ES_tradnl"/>
        </w:rPr>
        <w:t xml:space="preserve">n de la abogada </w:t>
      </w:r>
      <w:r>
        <w:rPr>
          <w:rFonts w:cs="Times New Roman"/>
          <w:spacing w:val="-5"/>
          <w:sz w:val="18"/>
          <w:szCs w:val="18"/>
          <w:lang w:val="es-ES_tradnl"/>
        </w:rPr>
        <w:t>Á</w:t>
      </w:r>
      <w:r>
        <w:rPr>
          <w:spacing w:val="-5"/>
          <w:sz w:val="18"/>
          <w:szCs w:val="18"/>
          <w:lang w:val="es-ES_tradnl"/>
        </w:rPr>
        <w:t xml:space="preserve">ngela Ma. Paredes Cavero, habiendo transcurrido un tiempo suficiente para que la autoridad tributaria legitime </w:t>
      </w:r>
      <w:r>
        <w:rPr>
          <w:spacing w:val="-4"/>
          <w:sz w:val="18"/>
          <w:szCs w:val="18"/>
          <w:lang w:val="es-ES_tradnl"/>
        </w:rPr>
        <w:t>la intervenci</w:t>
      </w:r>
      <w:r>
        <w:rPr>
          <w:rFonts w:cs="Times New Roman"/>
          <w:spacing w:val="-4"/>
          <w:sz w:val="18"/>
          <w:szCs w:val="18"/>
          <w:lang w:val="es-ES_tradnl"/>
        </w:rPr>
        <w:t>ó</w:t>
      </w:r>
      <w:r>
        <w:rPr>
          <w:spacing w:val="-4"/>
          <w:sz w:val="18"/>
          <w:szCs w:val="18"/>
          <w:lang w:val="es-ES_tradnl"/>
        </w:rPr>
        <w:t>n de la referida profesional.</w:t>
      </w:r>
    </w:p>
    <w:p w14:paraId="4F67B8B3" w14:textId="77777777" w:rsidR="00591D54" w:rsidRDefault="00591D54">
      <w:pPr>
        <w:shd w:val="clear" w:color="auto" w:fill="FFFFFF"/>
        <w:spacing w:before="197" w:line="216" w:lineRule="exact"/>
        <w:jc w:val="both"/>
      </w:pPr>
      <w:r>
        <w:rPr>
          <w:spacing w:val="-6"/>
          <w:sz w:val="18"/>
          <w:szCs w:val="18"/>
          <w:lang w:val="es-ES_tradnl"/>
        </w:rPr>
        <w:t xml:space="preserve">En aquel sentido, se observa que la parte accionante </w:t>
      </w:r>
      <w:r>
        <w:rPr>
          <w:spacing w:val="-9"/>
          <w:sz w:val="18"/>
          <w:szCs w:val="18"/>
          <w:lang w:val="es-ES_tradnl"/>
        </w:rPr>
        <w:t xml:space="preserve">considera que en el auto demandado se le ha vulnerado su </w:t>
      </w:r>
      <w:r>
        <w:rPr>
          <w:spacing w:val="-8"/>
          <w:sz w:val="18"/>
          <w:szCs w:val="18"/>
          <w:lang w:val="es-ES_tradnl"/>
        </w:rPr>
        <w:t>derecho a la defensa, en raz</w:t>
      </w:r>
      <w:r>
        <w:rPr>
          <w:rFonts w:cs="Times New Roman"/>
          <w:spacing w:val="-8"/>
          <w:sz w:val="18"/>
          <w:szCs w:val="18"/>
          <w:lang w:val="es-ES_tradnl"/>
        </w:rPr>
        <w:t>ó</w:t>
      </w:r>
      <w:r>
        <w:rPr>
          <w:spacing w:val="-8"/>
          <w:sz w:val="18"/>
          <w:szCs w:val="18"/>
          <w:lang w:val="es-ES_tradnl"/>
        </w:rPr>
        <w:t>n de que la Sala de Casaci</w:t>
      </w:r>
      <w:r>
        <w:rPr>
          <w:rFonts w:cs="Times New Roman"/>
          <w:spacing w:val="-8"/>
          <w:sz w:val="18"/>
          <w:szCs w:val="18"/>
          <w:lang w:val="es-ES_tradnl"/>
        </w:rPr>
        <w:t>ó</w:t>
      </w:r>
      <w:r>
        <w:rPr>
          <w:spacing w:val="-8"/>
          <w:sz w:val="18"/>
          <w:szCs w:val="18"/>
          <w:lang w:val="es-ES_tradnl"/>
        </w:rPr>
        <w:t xml:space="preserve">n </w:t>
      </w:r>
      <w:r>
        <w:rPr>
          <w:spacing w:val="-5"/>
          <w:sz w:val="18"/>
          <w:szCs w:val="18"/>
          <w:lang w:val="es-ES_tradnl"/>
        </w:rPr>
        <w:t>no ha dado tr</w:t>
      </w:r>
      <w:r>
        <w:rPr>
          <w:rFonts w:cs="Times New Roman"/>
          <w:spacing w:val="-5"/>
          <w:sz w:val="18"/>
          <w:szCs w:val="18"/>
          <w:lang w:val="es-ES_tradnl"/>
        </w:rPr>
        <w:t>á</w:t>
      </w:r>
      <w:r>
        <w:rPr>
          <w:spacing w:val="-5"/>
          <w:sz w:val="18"/>
          <w:szCs w:val="18"/>
          <w:lang w:val="es-ES_tradnl"/>
        </w:rPr>
        <w:t>mite, tanto a su recurso de casaci</w:t>
      </w:r>
      <w:r>
        <w:rPr>
          <w:rFonts w:cs="Times New Roman"/>
          <w:spacing w:val="-5"/>
          <w:sz w:val="18"/>
          <w:szCs w:val="18"/>
          <w:lang w:val="es-ES_tradnl"/>
        </w:rPr>
        <w:t>ó</w:t>
      </w:r>
      <w:r>
        <w:rPr>
          <w:spacing w:val="-5"/>
          <w:sz w:val="18"/>
          <w:szCs w:val="18"/>
          <w:lang w:val="es-ES_tradnl"/>
        </w:rPr>
        <w:t xml:space="preserve">n como </w:t>
      </w:r>
      <w:r>
        <w:rPr>
          <w:spacing w:val="-1"/>
          <w:sz w:val="18"/>
          <w:szCs w:val="18"/>
          <w:lang w:val="es-ES_tradnl"/>
        </w:rPr>
        <w:t xml:space="preserve">al de hecho; no obstante, esta Corte considera que </w:t>
      </w:r>
      <w:r>
        <w:rPr>
          <w:spacing w:val="-6"/>
          <w:sz w:val="18"/>
          <w:szCs w:val="18"/>
          <w:lang w:val="es-ES_tradnl"/>
        </w:rPr>
        <w:t>aquella afirmaci</w:t>
      </w:r>
      <w:r>
        <w:rPr>
          <w:rFonts w:cs="Times New Roman"/>
          <w:spacing w:val="-6"/>
          <w:sz w:val="18"/>
          <w:szCs w:val="18"/>
          <w:lang w:val="es-ES_tradnl"/>
        </w:rPr>
        <w:t>ó</w:t>
      </w:r>
      <w:r>
        <w:rPr>
          <w:spacing w:val="-6"/>
          <w:sz w:val="18"/>
          <w:szCs w:val="18"/>
          <w:lang w:val="es-ES_tradnl"/>
        </w:rPr>
        <w:t xml:space="preserve">n carece de sustento, puesto que de los </w:t>
      </w:r>
      <w:r>
        <w:rPr>
          <w:spacing w:val="-7"/>
          <w:sz w:val="18"/>
          <w:szCs w:val="18"/>
          <w:lang w:val="es-ES_tradnl"/>
        </w:rPr>
        <w:t xml:space="preserve">argumentos expuestos en el auto demandado se aprecia </w:t>
      </w:r>
      <w:r>
        <w:rPr>
          <w:spacing w:val="-6"/>
          <w:sz w:val="18"/>
          <w:szCs w:val="18"/>
          <w:lang w:val="es-ES_tradnl"/>
        </w:rPr>
        <w:t xml:space="preserve">que no ha sido la falta de acceso a la justicia lo que le ha </w:t>
      </w:r>
      <w:r>
        <w:rPr>
          <w:spacing w:val="-4"/>
          <w:sz w:val="18"/>
          <w:szCs w:val="18"/>
          <w:lang w:val="es-ES_tradnl"/>
        </w:rPr>
        <w:t>privado a la administraci</w:t>
      </w:r>
      <w:r>
        <w:rPr>
          <w:rFonts w:cs="Times New Roman"/>
          <w:spacing w:val="-4"/>
          <w:sz w:val="18"/>
          <w:szCs w:val="18"/>
          <w:lang w:val="es-ES_tradnl"/>
        </w:rPr>
        <w:t>ó</w:t>
      </w:r>
      <w:r>
        <w:rPr>
          <w:spacing w:val="-4"/>
          <w:sz w:val="18"/>
          <w:szCs w:val="18"/>
          <w:lang w:val="es-ES_tradnl"/>
        </w:rPr>
        <w:t xml:space="preserve">n tributaria de hacer valer sus </w:t>
      </w:r>
      <w:r>
        <w:rPr>
          <w:spacing w:val="-5"/>
          <w:sz w:val="18"/>
          <w:szCs w:val="18"/>
          <w:lang w:val="es-ES_tradnl"/>
        </w:rPr>
        <w:t>derechos frente al tribunal de casaci</w:t>
      </w:r>
      <w:r>
        <w:rPr>
          <w:rFonts w:cs="Times New Roman"/>
          <w:spacing w:val="-5"/>
          <w:sz w:val="18"/>
          <w:szCs w:val="18"/>
          <w:lang w:val="es-ES_tradnl"/>
        </w:rPr>
        <w:t>ó</w:t>
      </w:r>
      <w:r>
        <w:rPr>
          <w:spacing w:val="-5"/>
          <w:sz w:val="18"/>
          <w:szCs w:val="18"/>
          <w:lang w:val="es-ES_tradnl"/>
        </w:rPr>
        <w:t xml:space="preserve">n, sino su falta de </w:t>
      </w:r>
      <w:r>
        <w:rPr>
          <w:spacing w:val="-3"/>
          <w:sz w:val="18"/>
          <w:szCs w:val="18"/>
          <w:lang w:val="es-ES_tradnl"/>
        </w:rPr>
        <w:t>cumplimiento oportuno de la legitimaci</w:t>
      </w:r>
      <w:r>
        <w:rPr>
          <w:rFonts w:cs="Times New Roman"/>
          <w:spacing w:val="-3"/>
          <w:sz w:val="18"/>
          <w:szCs w:val="18"/>
          <w:lang w:val="es-ES_tradnl"/>
        </w:rPr>
        <w:t>ó</w:t>
      </w:r>
      <w:r>
        <w:rPr>
          <w:spacing w:val="-3"/>
          <w:sz w:val="18"/>
          <w:szCs w:val="18"/>
          <w:lang w:val="es-ES_tradnl"/>
        </w:rPr>
        <w:t>n de personer</w:t>
      </w:r>
      <w:r>
        <w:rPr>
          <w:rFonts w:cs="Times New Roman"/>
          <w:spacing w:val="-3"/>
          <w:sz w:val="18"/>
          <w:szCs w:val="18"/>
          <w:lang w:val="es-ES_tradnl"/>
        </w:rPr>
        <w:t>í</w:t>
      </w:r>
      <w:r>
        <w:rPr>
          <w:spacing w:val="-3"/>
          <w:sz w:val="18"/>
          <w:szCs w:val="18"/>
          <w:lang w:val="es-ES_tradnl"/>
        </w:rPr>
        <w:t>a</w:t>
      </w:r>
    </w:p>
    <w:p w14:paraId="4F67B8B4" w14:textId="77777777" w:rsidR="00591D54" w:rsidRDefault="00591D54">
      <w:pPr>
        <w:shd w:val="clear" w:color="auto" w:fill="FFFFFF"/>
        <w:spacing w:line="226" w:lineRule="exact"/>
        <w:jc w:val="both"/>
      </w:pPr>
      <w:r>
        <w:br w:type="column"/>
      </w:r>
      <w:r>
        <w:rPr>
          <w:spacing w:val="-3"/>
          <w:sz w:val="18"/>
          <w:szCs w:val="18"/>
          <w:lang w:val="es-ES_tradnl"/>
        </w:rPr>
        <w:t>en el escrito contentivo del recurso de casaci</w:t>
      </w:r>
      <w:r>
        <w:rPr>
          <w:rFonts w:cs="Times New Roman"/>
          <w:spacing w:val="-3"/>
          <w:sz w:val="18"/>
          <w:szCs w:val="18"/>
          <w:lang w:val="es-ES_tradnl"/>
        </w:rPr>
        <w:t>ó</w:t>
      </w:r>
      <w:r>
        <w:rPr>
          <w:spacing w:val="-3"/>
          <w:sz w:val="18"/>
          <w:szCs w:val="18"/>
          <w:lang w:val="es-ES_tradnl"/>
        </w:rPr>
        <w:t xml:space="preserve">n, lo cual </w:t>
      </w:r>
      <w:r>
        <w:rPr>
          <w:spacing w:val="-7"/>
          <w:sz w:val="18"/>
          <w:szCs w:val="18"/>
          <w:lang w:val="es-ES_tradnl"/>
        </w:rPr>
        <w:t>de ninguna manera implica dejar en indefensi</w:t>
      </w:r>
      <w:r>
        <w:rPr>
          <w:rFonts w:cs="Times New Roman"/>
          <w:spacing w:val="-7"/>
          <w:sz w:val="18"/>
          <w:szCs w:val="18"/>
          <w:lang w:val="es-ES_tradnl"/>
        </w:rPr>
        <w:t>ó</w:t>
      </w:r>
      <w:r>
        <w:rPr>
          <w:spacing w:val="-7"/>
          <w:sz w:val="18"/>
          <w:szCs w:val="18"/>
          <w:lang w:val="es-ES_tradnl"/>
        </w:rPr>
        <w:t xml:space="preserve">n a la parte </w:t>
      </w:r>
      <w:r>
        <w:rPr>
          <w:sz w:val="18"/>
          <w:szCs w:val="18"/>
          <w:lang w:val="es-ES_tradnl"/>
        </w:rPr>
        <w:t>recurrente.</w:t>
      </w:r>
    </w:p>
    <w:p w14:paraId="4F67B8B5" w14:textId="77777777" w:rsidR="00591D54" w:rsidRDefault="00591D54">
      <w:pPr>
        <w:shd w:val="clear" w:color="auto" w:fill="FFFFFF"/>
        <w:spacing w:before="202" w:line="226" w:lineRule="exact"/>
        <w:jc w:val="both"/>
      </w:pPr>
      <w:r>
        <w:rPr>
          <w:spacing w:val="-10"/>
          <w:sz w:val="18"/>
          <w:szCs w:val="18"/>
          <w:lang w:val="es-ES_tradnl"/>
        </w:rPr>
        <w:t>Por lo tanto, el hecho de que la decisi</w:t>
      </w:r>
      <w:r>
        <w:rPr>
          <w:rFonts w:cs="Times New Roman"/>
          <w:spacing w:val="-10"/>
          <w:sz w:val="18"/>
          <w:szCs w:val="18"/>
          <w:lang w:val="es-ES_tradnl"/>
        </w:rPr>
        <w:t>ó</w:t>
      </w:r>
      <w:r>
        <w:rPr>
          <w:spacing w:val="-10"/>
          <w:sz w:val="18"/>
          <w:szCs w:val="18"/>
          <w:lang w:val="es-ES_tradnl"/>
        </w:rPr>
        <w:t xml:space="preserve">n de la Sala haya sido </w:t>
      </w:r>
      <w:r>
        <w:rPr>
          <w:spacing w:val="-8"/>
          <w:sz w:val="18"/>
          <w:szCs w:val="18"/>
          <w:lang w:val="es-ES_tradnl"/>
        </w:rPr>
        <w:t xml:space="preserve">desfavorable a sus intereses por no haber cumplido con el </w:t>
      </w:r>
      <w:r>
        <w:rPr>
          <w:spacing w:val="-6"/>
          <w:sz w:val="18"/>
          <w:szCs w:val="18"/>
          <w:lang w:val="es-ES_tradnl"/>
        </w:rPr>
        <w:t xml:space="preserve">mandato de la Sala y la ley aplicable al caso, no significa </w:t>
      </w:r>
      <w:r>
        <w:rPr>
          <w:spacing w:val="-9"/>
          <w:sz w:val="18"/>
          <w:szCs w:val="18"/>
          <w:lang w:val="es-ES_tradnl"/>
        </w:rPr>
        <w:t>que se haya vulnerado sus derechos constitucionales.</w:t>
      </w:r>
    </w:p>
    <w:p w14:paraId="4F67B8B6" w14:textId="77777777" w:rsidR="00591D54" w:rsidRDefault="00591D54">
      <w:pPr>
        <w:shd w:val="clear" w:color="auto" w:fill="FFFFFF"/>
        <w:spacing w:before="206" w:line="221" w:lineRule="exact"/>
        <w:jc w:val="both"/>
      </w:pPr>
      <w:r>
        <w:rPr>
          <w:spacing w:val="-7"/>
          <w:sz w:val="18"/>
          <w:szCs w:val="18"/>
          <w:lang w:val="es-ES_tradnl"/>
        </w:rPr>
        <w:t xml:space="preserve">De ello se colige que las actuaciones de los conjueces </w:t>
      </w:r>
      <w:r>
        <w:rPr>
          <w:spacing w:val="-5"/>
          <w:sz w:val="18"/>
          <w:szCs w:val="18"/>
          <w:lang w:val="es-ES_tradnl"/>
        </w:rPr>
        <w:t>casacionales dentro del juicio de impugnaci</w:t>
      </w:r>
      <w:r>
        <w:rPr>
          <w:rFonts w:cs="Times New Roman"/>
          <w:spacing w:val="-5"/>
          <w:sz w:val="18"/>
          <w:szCs w:val="18"/>
          <w:lang w:val="es-ES_tradnl"/>
        </w:rPr>
        <w:t>ó</w:t>
      </w:r>
      <w:r>
        <w:rPr>
          <w:spacing w:val="-5"/>
          <w:sz w:val="18"/>
          <w:szCs w:val="18"/>
          <w:lang w:val="es-ES_tradnl"/>
        </w:rPr>
        <w:t>n N.</w:t>
      </w:r>
      <w:r>
        <w:rPr>
          <w:rFonts w:cs="Times New Roman"/>
          <w:spacing w:val="-5"/>
          <w:sz w:val="18"/>
          <w:szCs w:val="18"/>
          <w:lang w:val="es-ES_tradnl"/>
        </w:rPr>
        <w:t>°</w:t>
      </w:r>
      <w:r>
        <w:rPr>
          <w:spacing w:val="-5"/>
          <w:sz w:val="18"/>
          <w:szCs w:val="18"/>
          <w:lang w:val="es-ES_tradnl"/>
        </w:rPr>
        <w:t xml:space="preserve"> 650-</w:t>
      </w:r>
      <w:r>
        <w:rPr>
          <w:spacing w:val="-6"/>
          <w:sz w:val="18"/>
          <w:szCs w:val="18"/>
          <w:lang w:val="es-ES_tradnl"/>
        </w:rPr>
        <w:t>2012/229-2009 han sido coherentes con la obligaci</w:t>
      </w:r>
      <w:r>
        <w:rPr>
          <w:rFonts w:cs="Times New Roman"/>
          <w:spacing w:val="-6"/>
          <w:sz w:val="18"/>
          <w:szCs w:val="18"/>
          <w:lang w:val="es-ES_tradnl"/>
        </w:rPr>
        <w:t>ó</w:t>
      </w:r>
      <w:r>
        <w:rPr>
          <w:spacing w:val="-6"/>
          <w:sz w:val="18"/>
          <w:szCs w:val="18"/>
          <w:lang w:val="es-ES_tradnl"/>
        </w:rPr>
        <w:t xml:space="preserve">n </w:t>
      </w:r>
      <w:r>
        <w:rPr>
          <w:spacing w:val="-5"/>
          <w:sz w:val="18"/>
          <w:szCs w:val="18"/>
          <w:lang w:val="es-ES_tradnl"/>
        </w:rPr>
        <w:t xml:space="preserve">constitucional de administrar justicia y se ajustan a lo </w:t>
      </w:r>
      <w:r>
        <w:rPr>
          <w:spacing w:val="-3"/>
          <w:sz w:val="18"/>
          <w:szCs w:val="18"/>
          <w:lang w:val="es-ES_tradnl"/>
        </w:rPr>
        <w:t>dispuesto en la Constituci</w:t>
      </w:r>
      <w:r>
        <w:rPr>
          <w:rFonts w:cs="Times New Roman"/>
          <w:spacing w:val="-3"/>
          <w:sz w:val="18"/>
          <w:szCs w:val="18"/>
          <w:lang w:val="es-ES_tradnl"/>
        </w:rPr>
        <w:t>ó</w:t>
      </w:r>
      <w:r>
        <w:rPr>
          <w:spacing w:val="-3"/>
          <w:sz w:val="18"/>
          <w:szCs w:val="18"/>
          <w:lang w:val="es-ES_tradnl"/>
        </w:rPr>
        <w:t>n de la Rep</w:t>
      </w:r>
      <w:r>
        <w:rPr>
          <w:rFonts w:cs="Times New Roman"/>
          <w:spacing w:val="-3"/>
          <w:sz w:val="18"/>
          <w:szCs w:val="18"/>
          <w:lang w:val="es-ES_tradnl"/>
        </w:rPr>
        <w:t>ú</w:t>
      </w:r>
      <w:r>
        <w:rPr>
          <w:spacing w:val="-3"/>
          <w:sz w:val="18"/>
          <w:szCs w:val="18"/>
          <w:lang w:val="es-ES_tradnl"/>
        </w:rPr>
        <w:t>blica, as</w:t>
      </w:r>
      <w:r>
        <w:rPr>
          <w:rFonts w:cs="Times New Roman"/>
          <w:spacing w:val="-3"/>
          <w:sz w:val="18"/>
          <w:szCs w:val="18"/>
          <w:lang w:val="es-ES_tradnl"/>
        </w:rPr>
        <w:t>í</w:t>
      </w:r>
      <w:r>
        <w:rPr>
          <w:spacing w:val="-3"/>
          <w:sz w:val="18"/>
          <w:szCs w:val="18"/>
          <w:lang w:val="es-ES_tradnl"/>
        </w:rPr>
        <w:t xml:space="preserve"> como </w:t>
      </w:r>
      <w:r>
        <w:rPr>
          <w:spacing w:val="-7"/>
          <w:sz w:val="18"/>
          <w:szCs w:val="18"/>
          <w:lang w:val="es-ES_tradnl"/>
        </w:rPr>
        <w:t xml:space="preserve">en la ley que rige la materia, respetando las formas </w:t>
      </w:r>
      <w:r>
        <w:rPr>
          <w:spacing w:val="-8"/>
          <w:sz w:val="18"/>
          <w:szCs w:val="18"/>
          <w:lang w:val="es-ES_tradnl"/>
        </w:rPr>
        <w:t xml:space="preserve">procedimentales y garantizando con ello el debido proceso, </w:t>
      </w:r>
      <w:r>
        <w:rPr>
          <w:spacing w:val="-12"/>
          <w:sz w:val="18"/>
          <w:szCs w:val="18"/>
          <w:lang w:val="es-ES_tradnl"/>
        </w:rPr>
        <w:t>y en especial el derecho a la defensa de las partes procesales.</w:t>
      </w:r>
    </w:p>
    <w:p w14:paraId="4F67B8B7" w14:textId="77777777" w:rsidR="00591D54" w:rsidRDefault="00591D54">
      <w:pPr>
        <w:shd w:val="clear" w:color="auto" w:fill="FFFFFF"/>
        <w:spacing w:before="202" w:line="226" w:lineRule="exact"/>
        <w:jc w:val="both"/>
      </w:pPr>
      <w:r>
        <w:rPr>
          <w:spacing w:val="-8"/>
          <w:sz w:val="18"/>
          <w:szCs w:val="18"/>
          <w:lang w:val="es-ES_tradnl"/>
        </w:rPr>
        <w:t>Con fundamento en todos los criterios que preceden, este Organismo constitucional considera que la decisi</w:t>
      </w:r>
      <w:r>
        <w:rPr>
          <w:rFonts w:cs="Times New Roman"/>
          <w:spacing w:val="-8"/>
          <w:sz w:val="18"/>
          <w:szCs w:val="18"/>
          <w:lang w:val="es-ES_tradnl"/>
        </w:rPr>
        <w:t>ó</w:t>
      </w:r>
      <w:r>
        <w:rPr>
          <w:spacing w:val="-8"/>
          <w:sz w:val="18"/>
          <w:szCs w:val="18"/>
          <w:lang w:val="es-ES_tradnl"/>
        </w:rPr>
        <w:t xml:space="preserve">n judicial </w:t>
      </w:r>
      <w:r>
        <w:rPr>
          <w:spacing w:val="-10"/>
          <w:sz w:val="18"/>
          <w:szCs w:val="18"/>
          <w:lang w:val="es-ES_tradnl"/>
        </w:rPr>
        <w:t xml:space="preserve">emitida el 04 de enero de 2013, por la Sala de Conjueces de </w:t>
      </w:r>
      <w:r>
        <w:rPr>
          <w:spacing w:val="-7"/>
          <w:sz w:val="18"/>
          <w:szCs w:val="18"/>
          <w:lang w:val="es-ES_tradnl"/>
        </w:rPr>
        <w:t xml:space="preserve">lo Contencioso Tributario de la Corte Nacional de Justicia, </w:t>
      </w:r>
      <w:r>
        <w:rPr>
          <w:spacing w:val="-6"/>
          <w:sz w:val="18"/>
          <w:szCs w:val="18"/>
          <w:lang w:val="es-ES_tradnl"/>
        </w:rPr>
        <w:t>dentro del juicio de impugnaci</w:t>
      </w:r>
      <w:r>
        <w:rPr>
          <w:rFonts w:cs="Times New Roman"/>
          <w:spacing w:val="-6"/>
          <w:sz w:val="18"/>
          <w:szCs w:val="18"/>
          <w:lang w:val="es-ES_tradnl"/>
        </w:rPr>
        <w:t>ó</w:t>
      </w:r>
      <w:r>
        <w:rPr>
          <w:spacing w:val="-6"/>
          <w:sz w:val="18"/>
          <w:szCs w:val="18"/>
          <w:lang w:val="es-ES_tradnl"/>
        </w:rPr>
        <w:t>n N.</w:t>
      </w:r>
      <w:r>
        <w:rPr>
          <w:rFonts w:cs="Times New Roman"/>
          <w:spacing w:val="-6"/>
          <w:sz w:val="18"/>
          <w:szCs w:val="18"/>
          <w:lang w:val="es-ES_tradnl"/>
        </w:rPr>
        <w:t>º</w:t>
      </w:r>
      <w:r>
        <w:rPr>
          <w:spacing w:val="-6"/>
          <w:sz w:val="18"/>
          <w:szCs w:val="18"/>
          <w:lang w:val="es-ES_tradnl"/>
        </w:rPr>
        <w:t xml:space="preserve"> 650-2012/229-2009, </w:t>
      </w:r>
      <w:r>
        <w:rPr>
          <w:spacing w:val="-9"/>
          <w:sz w:val="18"/>
          <w:szCs w:val="18"/>
          <w:lang w:val="es-ES_tradnl"/>
        </w:rPr>
        <w:t xml:space="preserve">no ha vulnerado el derecho constitucional al debido proceso </w:t>
      </w:r>
      <w:r>
        <w:rPr>
          <w:spacing w:val="-6"/>
          <w:sz w:val="18"/>
          <w:szCs w:val="18"/>
          <w:lang w:val="es-ES_tradnl"/>
        </w:rPr>
        <w:t>en cuanto a la garant</w:t>
      </w:r>
      <w:r>
        <w:rPr>
          <w:rFonts w:cs="Times New Roman"/>
          <w:spacing w:val="-6"/>
          <w:sz w:val="18"/>
          <w:szCs w:val="18"/>
          <w:lang w:val="es-ES_tradnl"/>
        </w:rPr>
        <w:t>í</w:t>
      </w:r>
      <w:r>
        <w:rPr>
          <w:spacing w:val="-6"/>
          <w:sz w:val="18"/>
          <w:szCs w:val="18"/>
          <w:lang w:val="es-ES_tradnl"/>
        </w:rPr>
        <w:t xml:space="preserve">a del derecho a la defensa, previsto </w:t>
      </w:r>
      <w:r>
        <w:rPr>
          <w:sz w:val="18"/>
          <w:szCs w:val="18"/>
          <w:lang w:val="es-ES_tradnl"/>
        </w:rPr>
        <w:t>en el art</w:t>
      </w:r>
      <w:r>
        <w:rPr>
          <w:rFonts w:cs="Times New Roman"/>
          <w:sz w:val="18"/>
          <w:szCs w:val="18"/>
          <w:lang w:val="es-ES_tradnl"/>
        </w:rPr>
        <w:t>í</w:t>
      </w:r>
      <w:r>
        <w:rPr>
          <w:sz w:val="18"/>
          <w:szCs w:val="18"/>
          <w:lang w:val="es-ES_tradnl"/>
        </w:rPr>
        <w:t xml:space="preserve">culo 76 numeral 7 literal </w:t>
      </w:r>
      <w:r>
        <w:rPr>
          <w:b/>
          <w:bCs/>
          <w:sz w:val="18"/>
          <w:szCs w:val="18"/>
          <w:lang w:val="es-ES_tradnl"/>
        </w:rPr>
        <w:t xml:space="preserve">a </w:t>
      </w:r>
      <w:r>
        <w:rPr>
          <w:sz w:val="18"/>
          <w:szCs w:val="18"/>
          <w:lang w:val="es-ES_tradnl"/>
        </w:rPr>
        <w:t>de la Constituci</w:t>
      </w:r>
      <w:r>
        <w:rPr>
          <w:rFonts w:cs="Times New Roman"/>
          <w:sz w:val="18"/>
          <w:szCs w:val="18"/>
          <w:lang w:val="es-ES_tradnl"/>
        </w:rPr>
        <w:t>ó</w:t>
      </w:r>
      <w:r>
        <w:rPr>
          <w:sz w:val="18"/>
          <w:szCs w:val="18"/>
          <w:lang w:val="es-ES_tradnl"/>
        </w:rPr>
        <w:t xml:space="preserve">n </w:t>
      </w:r>
      <w:r>
        <w:rPr>
          <w:spacing w:val="-4"/>
          <w:sz w:val="18"/>
          <w:szCs w:val="18"/>
          <w:lang w:val="es-ES_tradnl"/>
        </w:rPr>
        <w:t>de la Rep</w:t>
      </w:r>
      <w:r>
        <w:rPr>
          <w:rFonts w:cs="Times New Roman"/>
          <w:spacing w:val="-4"/>
          <w:sz w:val="18"/>
          <w:szCs w:val="18"/>
          <w:lang w:val="es-ES_tradnl"/>
        </w:rPr>
        <w:t>ú</w:t>
      </w:r>
      <w:r>
        <w:rPr>
          <w:spacing w:val="-4"/>
          <w:sz w:val="18"/>
          <w:szCs w:val="18"/>
          <w:lang w:val="es-ES_tradnl"/>
        </w:rPr>
        <w:t>blica, en raz</w:t>
      </w:r>
      <w:r>
        <w:rPr>
          <w:rFonts w:cs="Times New Roman"/>
          <w:spacing w:val="-4"/>
          <w:sz w:val="18"/>
          <w:szCs w:val="18"/>
          <w:lang w:val="es-ES_tradnl"/>
        </w:rPr>
        <w:t>ó</w:t>
      </w:r>
      <w:r>
        <w:rPr>
          <w:spacing w:val="-4"/>
          <w:sz w:val="18"/>
          <w:szCs w:val="18"/>
          <w:lang w:val="es-ES_tradnl"/>
        </w:rPr>
        <w:t xml:space="preserve">n de que los referidos jueces </w:t>
      </w:r>
      <w:r>
        <w:rPr>
          <w:spacing w:val="-5"/>
          <w:sz w:val="18"/>
          <w:szCs w:val="18"/>
          <w:lang w:val="es-ES_tradnl"/>
        </w:rPr>
        <w:t>dictaron aquella decisi</w:t>
      </w:r>
      <w:r>
        <w:rPr>
          <w:rFonts w:cs="Times New Roman"/>
          <w:spacing w:val="-5"/>
          <w:sz w:val="18"/>
          <w:szCs w:val="18"/>
          <w:lang w:val="es-ES_tradnl"/>
        </w:rPr>
        <w:t>ó</w:t>
      </w:r>
      <w:r>
        <w:rPr>
          <w:spacing w:val="-5"/>
          <w:sz w:val="18"/>
          <w:szCs w:val="18"/>
          <w:lang w:val="es-ES_tradnl"/>
        </w:rPr>
        <w:t>n en funci</w:t>
      </w:r>
      <w:r>
        <w:rPr>
          <w:rFonts w:cs="Times New Roman"/>
          <w:spacing w:val="-5"/>
          <w:sz w:val="18"/>
          <w:szCs w:val="18"/>
          <w:lang w:val="es-ES_tradnl"/>
        </w:rPr>
        <w:t>ó</w:t>
      </w:r>
      <w:r>
        <w:rPr>
          <w:spacing w:val="-5"/>
          <w:sz w:val="18"/>
          <w:szCs w:val="18"/>
          <w:lang w:val="es-ES_tradnl"/>
        </w:rPr>
        <w:t xml:space="preserve">n de sus atribuciones </w:t>
      </w:r>
      <w:r>
        <w:rPr>
          <w:spacing w:val="-9"/>
          <w:sz w:val="18"/>
          <w:szCs w:val="18"/>
          <w:lang w:val="es-ES_tradnl"/>
        </w:rPr>
        <w:t>constitucionales y legales y en respeto del debido proceso.</w:t>
      </w:r>
    </w:p>
    <w:p w14:paraId="4F67B8B8" w14:textId="77777777" w:rsidR="00591D54" w:rsidRDefault="00591D54">
      <w:pPr>
        <w:shd w:val="clear" w:color="auto" w:fill="FFFFFF"/>
        <w:spacing w:before="202"/>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B8B9" w14:textId="77777777" w:rsidR="00591D54" w:rsidRDefault="00591D54">
      <w:pPr>
        <w:shd w:val="clear" w:color="auto" w:fill="FFFFFF"/>
        <w:spacing w:before="202" w:line="226" w:lineRule="exact"/>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5"/>
          <w:sz w:val="18"/>
          <w:szCs w:val="18"/>
          <w:lang w:val="es-ES_tradnl"/>
        </w:rPr>
        <w:t>constitucional y por mandato de la Constituci</w:t>
      </w:r>
      <w:r>
        <w:rPr>
          <w:rFonts w:cs="Times New Roman"/>
          <w:spacing w:val="-5"/>
          <w:sz w:val="18"/>
          <w:szCs w:val="18"/>
          <w:lang w:val="es-ES_tradnl"/>
        </w:rPr>
        <w:t>ó</w:t>
      </w:r>
      <w:r>
        <w:rPr>
          <w:spacing w:val="-5"/>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 xml:space="preserve">blica del Ecuador, el Pleno de la Corte Constitucional </w:t>
      </w:r>
      <w:r>
        <w:rPr>
          <w:sz w:val="18"/>
          <w:szCs w:val="18"/>
          <w:lang w:val="es-ES_tradnl"/>
        </w:rPr>
        <w:t>expide la siguiente:</w:t>
      </w:r>
    </w:p>
    <w:p w14:paraId="4F67B8BA" w14:textId="77777777" w:rsidR="00591D54" w:rsidRDefault="00591D54">
      <w:pPr>
        <w:shd w:val="clear" w:color="auto" w:fill="FFFFFF"/>
        <w:spacing w:before="197"/>
        <w:ind w:left="10"/>
        <w:jc w:val="center"/>
      </w:pPr>
      <w:r>
        <w:rPr>
          <w:b/>
          <w:bCs/>
          <w:sz w:val="18"/>
          <w:szCs w:val="18"/>
          <w:lang w:val="es-ES_tradnl"/>
        </w:rPr>
        <w:t>SENTENCIA</w:t>
      </w:r>
    </w:p>
    <w:p w14:paraId="4F67B8BB" w14:textId="77777777" w:rsidR="00591D54" w:rsidRDefault="00591D54" w:rsidP="00251195">
      <w:pPr>
        <w:numPr>
          <w:ilvl w:val="0"/>
          <w:numId w:val="115"/>
        </w:numPr>
        <w:shd w:val="clear" w:color="auto" w:fill="FFFFFF"/>
        <w:tabs>
          <w:tab w:val="left" w:pos="283"/>
        </w:tabs>
        <w:spacing w:before="206" w:line="226" w:lineRule="exact"/>
        <w:ind w:left="283" w:hanging="283"/>
        <w:rPr>
          <w:spacing w:val="-9"/>
          <w:sz w:val="18"/>
          <w:szCs w:val="18"/>
          <w:lang w:val="es-ES_tradnl"/>
        </w:rPr>
      </w:pPr>
      <w:r>
        <w:rPr>
          <w:spacing w:val="-8"/>
          <w:sz w:val="18"/>
          <w:szCs w:val="18"/>
          <w:lang w:val="es-ES_tradnl"/>
        </w:rPr>
        <w:t>Declarar   que   no   existe   vulneraci</w:t>
      </w:r>
      <w:r>
        <w:rPr>
          <w:rFonts w:cs="Times New Roman"/>
          <w:spacing w:val="-8"/>
          <w:sz w:val="18"/>
          <w:szCs w:val="18"/>
          <w:lang w:val="es-ES_tradnl"/>
        </w:rPr>
        <w:t>ó</w:t>
      </w:r>
      <w:r>
        <w:rPr>
          <w:spacing w:val="-8"/>
          <w:sz w:val="18"/>
          <w:szCs w:val="18"/>
          <w:lang w:val="es-ES_tradnl"/>
        </w:rPr>
        <w:t xml:space="preserve">n   de   derechos </w:t>
      </w:r>
      <w:r>
        <w:rPr>
          <w:sz w:val="18"/>
          <w:szCs w:val="18"/>
          <w:lang w:val="es-ES_tradnl"/>
        </w:rPr>
        <w:t>constitucionales.</w:t>
      </w:r>
    </w:p>
    <w:p w14:paraId="4F67B8BC" w14:textId="77777777" w:rsidR="00591D54" w:rsidRDefault="00591D54" w:rsidP="00251195">
      <w:pPr>
        <w:numPr>
          <w:ilvl w:val="0"/>
          <w:numId w:val="115"/>
        </w:numPr>
        <w:shd w:val="clear" w:color="auto" w:fill="FFFFFF"/>
        <w:tabs>
          <w:tab w:val="left" w:pos="283"/>
        </w:tabs>
        <w:spacing w:before="38" w:line="437" w:lineRule="exact"/>
        <w:rPr>
          <w:spacing w:val="-9"/>
          <w:sz w:val="18"/>
          <w:szCs w:val="18"/>
          <w:lang w:val="es-ES_tradnl"/>
        </w:rPr>
      </w:pPr>
      <w:r>
        <w:rPr>
          <w:spacing w:val="-8"/>
          <w:sz w:val="18"/>
          <w:szCs w:val="18"/>
          <w:lang w:val="es-ES_tradnl"/>
        </w:rPr>
        <w:t>Negar la acci</w:t>
      </w:r>
      <w:r>
        <w:rPr>
          <w:rFonts w:cs="Times New Roman"/>
          <w:spacing w:val="-8"/>
          <w:sz w:val="18"/>
          <w:szCs w:val="18"/>
          <w:lang w:val="es-ES_tradnl"/>
        </w:rPr>
        <w:t>ó</w:t>
      </w:r>
      <w:r>
        <w:rPr>
          <w:spacing w:val="-8"/>
          <w:sz w:val="18"/>
          <w:szCs w:val="18"/>
          <w:lang w:val="es-ES_tradnl"/>
        </w:rPr>
        <w:t>n extraordinaria de protecci</w:t>
      </w:r>
      <w:r>
        <w:rPr>
          <w:rFonts w:cs="Times New Roman"/>
          <w:spacing w:val="-8"/>
          <w:sz w:val="18"/>
          <w:szCs w:val="18"/>
          <w:lang w:val="es-ES_tradnl"/>
        </w:rPr>
        <w:t>ó</w:t>
      </w:r>
      <w:r>
        <w:rPr>
          <w:spacing w:val="-8"/>
          <w:sz w:val="18"/>
          <w:szCs w:val="18"/>
          <w:lang w:val="es-ES_tradnl"/>
        </w:rPr>
        <w:t>n planteada.</w:t>
      </w:r>
    </w:p>
    <w:p w14:paraId="4F67B8BD" w14:textId="77777777" w:rsidR="00591D54" w:rsidRDefault="00591D54" w:rsidP="00251195">
      <w:pPr>
        <w:numPr>
          <w:ilvl w:val="0"/>
          <w:numId w:val="115"/>
        </w:numPr>
        <w:shd w:val="clear" w:color="auto" w:fill="FFFFFF"/>
        <w:tabs>
          <w:tab w:val="left" w:pos="283"/>
        </w:tabs>
        <w:spacing w:line="437" w:lineRule="exact"/>
        <w:rPr>
          <w:spacing w:val="-9"/>
          <w:sz w:val="18"/>
          <w:szCs w:val="18"/>
          <w:lang w:val="es-ES_tradnl"/>
        </w:rPr>
      </w:pPr>
      <w:r>
        <w:rPr>
          <w:spacing w:val="-7"/>
          <w:sz w:val="18"/>
          <w:szCs w:val="18"/>
          <w:lang w:val="es-ES_tradnl"/>
        </w:rPr>
        <w:t>Notif</w:t>
      </w:r>
      <w:r>
        <w:rPr>
          <w:rFonts w:cs="Times New Roman"/>
          <w:spacing w:val="-7"/>
          <w:sz w:val="18"/>
          <w:szCs w:val="18"/>
          <w:lang w:val="es-ES_tradnl"/>
        </w:rPr>
        <w:t>í</w:t>
      </w:r>
      <w:r>
        <w:rPr>
          <w:spacing w:val="-7"/>
          <w:sz w:val="18"/>
          <w:szCs w:val="18"/>
          <w:lang w:val="es-ES_tradnl"/>
        </w:rPr>
        <w:t>quese, publ</w:t>
      </w:r>
      <w:r>
        <w:rPr>
          <w:rFonts w:cs="Times New Roman"/>
          <w:spacing w:val="-7"/>
          <w:sz w:val="18"/>
          <w:szCs w:val="18"/>
          <w:lang w:val="es-ES_tradnl"/>
        </w:rPr>
        <w:t>í</w:t>
      </w:r>
      <w:r>
        <w:rPr>
          <w:spacing w:val="-7"/>
          <w:sz w:val="18"/>
          <w:szCs w:val="18"/>
          <w:lang w:val="es-ES_tradnl"/>
        </w:rPr>
        <w:t>quese y c</w:t>
      </w:r>
      <w:r>
        <w:rPr>
          <w:rFonts w:cs="Times New Roman"/>
          <w:spacing w:val="-7"/>
          <w:sz w:val="18"/>
          <w:szCs w:val="18"/>
          <w:lang w:val="es-ES_tradnl"/>
        </w:rPr>
        <w:t>ú</w:t>
      </w:r>
      <w:r>
        <w:rPr>
          <w:spacing w:val="-7"/>
          <w:sz w:val="18"/>
          <w:szCs w:val="18"/>
          <w:lang w:val="es-ES_tradnl"/>
        </w:rPr>
        <w:t>mplase.</w:t>
      </w:r>
    </w:p>
    <w:p w14:paraId="4F67B8BE" w14:textId="77777777" w:rsidR="00591D54" w:rsidRDefault="00591D54">
      <w:pPr>
        <w:shd w:val="clear" w:color="auto" w:fill="FFFFFF"/>
        <w:spacing w:line="437" w:lineRule="exact"/>
      </w:pPr>
      <w:r>
        <w:rPr>
          <w:spacing w:val="-4"/>
          <w:sz w:val="18"/>
          <w:szCs w:val="18"/>
          <w:lang w:val="es-ES_tradnl"/>
        </w:rPr>
        <w:t>f.) Patricio Pazmi</w:t>
      </w:r>
      <w:r>
        <w:rPr>
          <w:rFonts w:cs="Times New Roman"/>
          <w:spacing w:val="-4"/>
          <w:sz w:val="18"/>
          <w:szCs w:val="18"/>
          <w:lang w:val="es-ES_tradnl"/>
        </w:rPr>
        <w:t>ñ</w:t>
      </w:r>
      <w:r>
        <w:rPr>
          <w:spacing w:val="-4"/>
          <w:sz w:val="18"/>
          <w:szCs w:val="18"/>
          <w:lang w:val="es-ES_tradnl"/>
        </w:rPr>
        <w:t xml:space="preserve">o Freire, </w:t>
      </w:r>
      <w:r>
        <w:rPr>
          <w:b/>
          <w:bCs/>
          <w:spacing w:val="-4"/>
          <w:sz w:val="18"/>
          <w:szCs w:val="18"/>
          <w:lang w:val="es-ES_tradnl"/>
        </w:rPr>
        <w:t>PRESIDENTE.</w:t>
      </w:r>
    </w:p>
    <w:p w14:paraId="4F67B8BF" w14:textId="77777777" w:rsidR="00591D54" w:rsidRDefault="00591D54">
      <w:pPr>
        <w:shd w:val="clear" w:color="auto" w:fill="FFFFFF"/>
        <w:spacing w:line="437" w:lineRule="exact"/>
      </w:pPr>
      <w:r>
        <w:rPr>
          <w:spacing w:val="-4"/>
          <w:sz w:val="18"/>
          <w:szCs w:val="18"/>
          <w:lang w:val="es-ES_tradnl"/>
        </w:rPr>
        <w:t>f.) Pa</w:t>
      </w:r>
      <w:r>
        <w:rPr>
          <w:rFonts w:cs="Times New Roman"/>
          <w:spacing w:val="-4"/>
          <w:sz w:val="18"/>
          <w:szCs w:val="18"/>
          <w:lang w:val="es-ES_tradnl"/>
        </w:rPr>
        <w:t>ú</w:t>
      </w:r>
      <w:r>
        <w:rPr>
          <w:spacing w:val="-4"/>
          <w:sz w:val="18"/>
          <w:szCs w:val="18"/>
          <w:lang w:val="es-ES_tradnl"/>
        </w:rPr>
        <w:t xml:space="preserve">l Prado Chiriboga, </w:t>
      </w:r>
      <w:r>
        <w:rPr>
          <w:b/>
          <w:bCs/>
          <w:spacing w:val="-4"/>
          <w:sz w:val="18"/>
          <w:szCs w:val="18"/>
          <w:lang w:val="es-ES_tradnl"/>
        </w:rPr>
        <w:t>SECRETARIO GENERAL (E).</w:t>
      </w:r>
    </w:p>
    <w:p w14:paraId="4F67B8C0" w14:textId="77777777" w:rsidR="00591D54" w:rsidRDefault="00591D54">
      <w:pPr>
        <w:shd w:val="clear" w:color="auto" w:fill="FFFFFF"/>
        <w:spacing w:before="163" w:line="221" w:lineRule="exact"/>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aprobada por el Pleno de la Corte Constitucional, con seis </w:t>
      </w:r>
      <w:r>
        <w:rPr>
          <w:spacing w:val="-10"/>
          <w:sz w:val="18"/>
          <w:szCs w:val="18"/>
          <w:lang w:val="es-ES_tradnl"/>
        </w:rPr>
        <w:t xml:space="preserve">votos a favor, de las juezas y jueces Antonio Gagliardo Loor, </w:t>
      </w:r>
      <w:r>
        <w:rPr>
          <w:spacing w:val="-4"/>
          <w:sz w:val="18"/>
          <w:szCs w:val="18"/>
          <w:lang w:val="es-ES_tradnl"/>
        </w:rPr>
        <w:t>Marcelo Jaramillo Villa, Mar</w:t>
      </w:r>
      <w:r>
        <w:rPr>
          <w:rFonts w:cs="Times New Roman"/>
          <w:spacing w:val="-4"/>
          <w:sz w:val="18"/>
          <w:szCs w:val="18"/>
          <w:lang w:val="es-ES_tradnl"/>
        </w:rPr>
        <w:t>í</w:t>
      </w:r>
      <w:r>
        <w:rPr>
          <w:spacing w:val="-4"/>
          <w:sz w:val="18"/>
          <w:szCs w:val="18"/>
          <w:lang w:val="es-ES_tradnl"/>
        </w:rPr>
        <w:t xml:space="preserve">a del Carmen Maldonado </w:t>
      </w:r>
      <w:r>
        <w:rPr>
          <w:spacing w:val="-5"/>
          <w:sz w:val="18"/>
          <w:szCs w:val="18"/>
          <w:lang w:val="es-ES_tradnl"/>
        </w:rPr>
        <w:t>S</w:t>
      </w:r>
      <w:r>
        <w:rPr>
          <w:rFonts w:cs="Times New Roman"/>
          <w:spacing w:val="-5"/>
          <w:sz w:val="18"/>
          <w:szCs w:val="18"/>
          <w:lang w:val="es-ES_tradnl"/>
        </w:rPr>
        <w:t>á</w:t>
      </w:r>
      <w:r>
        <w:rPr>
          <w:spacing w:val="-5"/>
          <w:sz w:val="18"/>
          <w:szCs w:val="18"/>
          <w:lang w:val="es-ES_tradnl"/>
        </w:rPr>
        <w:t>nchez, Alfredo Ruiz Guzm</w:t>
      </w:r>
      <w:r>
        <w:rPr>
          <w:rFonts w:cs="Times New Roman"/>
          <w:spacing w:val="-5"/>
          <w:sz w:val="18"/>
          <w:szCs w:val="18"/>
          <w:lang w:val="es-ES_tradnl"/>
        </w:rPr>
        <w:t>á</w:t>
      </w:r>
      <w:r>
        <w:rPr>
          <w:spacing w:val="-5"/>
          <w:sz w:val="18"/>
          <w:szCs w:val="18"/>
          <w:lang w:val="es-ES_tradnl"/>
        </w:rPr>
        <w:t xml:space="preserve">n, Ruth Seni Pinoargote y </w:t>
      </w:r>
      <w:r>
        <w:rPr>
          <w:spacing w:val="-7"/>
          <w:sz w:val="18"/>
          <w:szCs w:val="18"/>
          <w:lang w:val="es-ES_tradnl"/>
        </w:rPr>
        <w:t>Patricio Pazmi</w:t>
      </w:r>
      <w:r>
        <w:rPr>
          <w:rFonts w:cs="Times New Roman"/>
          <w:spacing w:val="-7"/>
          <w:sz w:val="18"/>
          <w:szCs w:val="18"/>
          <w:lang w:val="es-ES_tradnl"/>
        </w:rPr>
        <w:t>ñ</w:t>
      </w:r>
      <w:r>
        <w:rPr>
          <w:spacing w:val="-7"/>
          <w:sz w:val="18"/>
          <w:szCs w:val="18"/>
          <w:lang w:val="es-ES_tradnl"/>
        </w:rPr>
        <w:t xml:space="preserve">o Freire, sin contar con la presencia de los </w:t>
      </w:r>
      <w:r>
        <w:rPr>
          <w:spacing w:val="-8"/>
          <w:sz w:val="18"/>
          <w:szCs w:val="18"/>
          <w:lang w:val="es-ES_tradnl"/>
        </w:rPr>
        <w:t>jueces Wendy Molina Andrade, Tatiana Orde</w:t>
      </w:r>
      <w:r>
        <w:rPr>
          <w:rFonts w:cs="Times New Roman"/>
          <w:spacing w:val="-8"/>
          <w:sz w:val="18"/>
          <w:szCs w:val="18"/>
          <w:lang w:val="es-ES_tradnl"/>
        </w:rPr>
        <w:t>ñ</w:t>
      </w:r>
      <w:r>
        <w:rPr>
          <w:spacing w:val="-8"/>
          <w:sz w:val="18"/>
          <w:szCs w:val="18"/>
          <w:lang w:val="es-ES_tradnl"/>
        </w:rPr>
        <w:t xml:space="preserve">ana Sierra, y </w:t>
      </w:r>
      <w:r>
        <w:rPr>
          <w:spacing w:val="-7"/>
          <w:sz w:val="18"/>
          <w:szCs w:val="18"/>
          <w:lang w:val="es-ES_tradnl"/>
        </w:rPr>
        <w:t>Manuel Viteri Olvera, en sesi</w:t>
      </w:r>
      <w:r>
        <w:rPr>
          <w:rFonts w:cs="Times New Roman"/>
          <w:spacing w:val="-7"/>
          <w:sz w:val="18"/>
          <w:szCs w:val="18"/>
          <w:lang w:val="es-ES_tradnl"/>
        </w:rPr>
        <w:t>ó</w:t>
      </w:r>
      <w:r>
        <w:rPr>
          <w:spacing w:val="-7"/>
          <w:sz w:val="18"/>
          <w:szCs w:val="18"/>
          <w:lang w:val="es-ES_tradnl"/>
        </w:rPr>
        <w:t xml:space="preserve">n de 26 de agosto del 2015. </w:t>
      </w:r>
      <w:r>
        <w:rPr>
          <w:sz w:val="18"/>
          <w:szCs w:val="18"/>
          <w:lang w:val="es-ES_tradnl"/>
        </w:rPr>
        <w:t>Lo certifico.</w:t>
      </w:r>
    </w:p>
    <w:p w14:paraId="4F67B8C1" w14:textId="77777777" w:rsidR="00591D54" w:rsidRDefault="00591D54">
      <w:pPr>
        <w:shd w:val="clear" w:color="auto" w:fill="FFFFFF"/>
        <w:spacing w:before="202"/>
      </w:pPr>
      <w:r>
        <w:rPr>
          <w:spacing w:val="-4"/>
          <w:sz w:val="18"/>
          <w:szCs w:val="18"/>
          <w:lang w:val="es-ES_tradnl"/>
        </w:rPr>
        <w:t>f.) Pa</w:t>
      </w:r>
      <w:r>
        <w:rPr>
          <w:rFonts w:cs="Times New Roman"/>
          <w:spacing w:val="-4"/>
          <w:sz w:val="18"/>
          <w:szCs w:val="18"/>
          <w:lang w:val="es-ES_tradnl"/>
        </w:rPr>
        <w:t>ú</w:t>
      </w:r>
      <w:r>
        <w:rPr>
          <w:spacing w:val="-4"/>
          <w:sz w:val="18"/>
          <w:szCs w:val="18"/>
          <w:lang w:val="es-ES_tradnl"/>
        </w:rPr>
        <w:t xml:space="preserve">l Prado Chiriboga, </w:t>
      </w:r>
      <w:r>
        <w:rPr>
          <w:b/>
          <w:bCs/>
          <w:spacing w:val="-4"/>
          <w:sz w:val="18"/>
          <w:szCs w:val="18"/>
          <w:lang w:val="es-ES_tradnl"/>
        </w:rPr>
        <w:t>SECRETARIO GENERAL (E).</w:t>
      </w:r>
    </w:p>
    <w:p w14:paraId="4F67B8C2" w14:textId="77777777" w:rsidR="00591D54" w:rsidRDefault="00591D54">
      <w:pPr>
        <w:shd w:val="clear" w:color="auto" w:fill="FFFFFF"/>
        <w:spacing w:before="202"/>
        <w:sectPr w:rsidR="00591D54">
          <w:type w:val="continuous"/>
          <w:pgSz w:w="11909" w:h="16834"/>
          <w:pgMar w:top="1363" w:right="1309" w:bottom="360" w:left="1308" w:header="720" w:footer="720" w:gutter="0"/>
          <w:cols w:num="2" w:space="720" w:equalWidth="0">
            <w:col w:w="4305" w:space="682"/>
            <w:col w:w="4305"/>
          </w:cols>
          <w:noEndnote/>
        </w:sectPr>
      </w:pPr>
    </w:p>
    <w:p w14:paraId="4F67B8C3" w14:textId="77777777" w:rsidR="00591D54" w:rsidRDefault="00591D54">
      <w:pPr>
        <w:shd w:val="clear" w:color="auto" w:fill="FFFFFF"/>
        <w:tabs>
          <w:tab w:val="left" w:pos="584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- 259</w:t>
      </w:r>
    </w:p>
    <w:p w14:paraId="4F67B8C4" w14:textId="77777777" w:rsidR="00591D54" w:rsidRDefault="00591D54">
      <w:pPr>
        <w:shd w:val="clear" w:color="auto" w:fill="FFFFFF"/>
        <w:tabs>
          <w:tab w:val="left" w:pos="5842"/>
        </w:tabs>
        <w:spacing w:after="230"/>
        <w:ind w:left="5"/>
        <w:sectPr w:rsidR="00591D54">
          <w:pgSz w:w="11909" w:h="16834"/>
          <w:pgMar w:top="1366" w:right="1309" w:bottom="360" w:left="1308" w:header="720" w:footer="720" w:gutter="0"/>
          <w:cols w:space="60"/>
          <w:noEndnote/>
        </w:sectPr>
      </w:pPr>
    </w:p>
    <w:p w14:paraId="4F67B8C5" w14:textId="77777777" w:rsidR="00591D54" w:rsidRDefault="00591D54">
      <w:pPr>
        <w:shd w:val="clear" w:color="auto" w:fill="FFFFFF"/>
        <w:spacing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8C6" w14:textId="77777777" w:rsidR="00591D54" w:rsidRDefault="00591D54">
      <w:pPr>
        <w:shd w:val="clear" w:color="auto" w:fill="FFFFFF"/>
        <w:spacing w:before="192"/>
      </w:pPr>
      <w:r>
        <w:rPr>
          <w:b/>
          <w:bCs/>
          <w:spacing w:val="-5"/>
          <w:sz w:val="18"/>
          <w:szCs w:val="18"/>
          <w:u w:val="single"/>
          <w:lang w:val="es-ES_tradnl"/>
        </w:rPr>
        <w:t>CASO Nro. 0244-13-EP</w:t>
      </w:r>
    </w:p>
    <w:p w14:paraId="4F67B8C7" w14:textId="77777777" w:rsidR="00591D54" w:rsidRDefault="00591D54">
      <w:pPr>
        <w:shd w:val="clear" w:color="auto" w:fill="FFFFFF"/>
        <w:spacing w:before="192" w:line="216" w:lineRule="exact"/>
        <w:ind w:right="5"/>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w:t>
      </w:r>
      <w:r>
        <w:rPr>
          <w:spacing w:val="-7"/>
          <w:sz w:val="18"/>
          <w:szCs w:val="18"/>
          <w:lang w:val="es-ES_tradnl"/>
        </w:rPr>
        <w:t>suscrita por el Juez Patricio Pazmi</w:t>
      </w:r>
      <w:r>
        <w:rPr>
          <w:rFonts w:cs="Times New Roman"/>
          <w:spacing w:val="-7"/>
          <w:sz w:val="18"/>
          <w:szCs w:val="18"/>
          <w:lang w:val="es-ES_tradnl"/>
        </w:rPr>
        <w:t>ñ</w:t>
      </w:r>
      <w:r>
        <w:rPr>
          <w:spacing w:val="-7"/>
          <w:sz w:val="18"/>
          <w:szCs w:val="18"/>
          <w:lang w:val="es-ES_tradnl"/>
        </w:rPr>
        <w:t>o Freire, Presidente de la Corte Constitucional, el d</w:t>
      </w:r>
      <w:r>
        <w:rPr>
          <w:rFonts w:cs="Times New Roman"/>
          <w:spacing w:val="-7"/>
          <w:sz w:val="18"/>
          <w:szCs w:val="18"/>
          <w:lang w:val="es-ES_tradnl"/>
        </w:rPr>
        <w:t>í</w:t>
      </w:r>
      <w:r>
        <w:rPr>
          <w:spacing w:val="-7"/>
          <w:sz w:val="18"/>
          <w:szCs w:val="18"/>
          <w:lang w:val="es-ES_tradnl"/>
        </w:rPr>
        <w:t xml:space="preserve">a lunes 07 de septiembre del </w:t>
      </w:r>
      <w:r>
        <w:rPr>
          <w:sz w:val="18"/>
          <w:szCs w:val="18"/>
          <w:lang w:val="es-ES_tradnl"/>
        </w:rPr>
        <w:t>dos mil quince.- Lo certifico.</w:t>
      </w:r>
    </w:p>
    <w:p w14:paraId="4F67B8C8" w14:textId="77777777" w:rsidR="00591D54" w:rsidRDefault="00591D54">
      <w:pPr>
        <w:shd w:val="clear" w:color="auto" w:fill="FFFFFF"/>
        <w:spacing w:before="192"/>
      </w:pPr>
      <w:r>
        <w:rPr>
          <w:spacing w:val="-7"/>
          <w:sz w:val="18"/>
          <w:szCs w:val="18"/>
          <w:lang w:val="es-ES_tradnl"/>
        </w:rPr>
        <w:t xml:space="preserve">f.) Jaime Pozo Chamorro, </w:t>
      </w:r>
      <w:r>
        <w:rPr>
          <w:b/>
          <w:bCs/>
          <w:spacing w:val="-7"/>
          <w:sz w:val="18"/>
          <w:szCs w:val="18"/>
          <w:lang w:val="es-ES_tradnl"/>
        </w:rPr>
        <w:t>Secretario General.</w:t>
      </w:r>
    </w:p>
    <w:p w14:paraId="4F67B8C9" w14:textId="77777777" w:rsidR="00591D54" w:rsidRDefault="00591D54">
      <w:pPr>
        <w:shd w:val="clear" w:color="auto" w:fill="FFFFFF"/>
        <w:spacing w:before="192"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8CA" w14:textId="77777777" w:rsidR="00591D54" w:rsidRDefault="00591D54">
      <w:pPr>
        <w:shd w:val="clear" w:color="auto" w:fill="FFFFFF"/>
        <w:spacing w:before="1114" w:line="432" w:lineRule="exact"/>
      </w:pPr>
      <w:r>
        <w:rPr>
          <w:spacing w:val="-7"/>
          <w:sz w:val="18"/>
          <w:szCs w:val="18"/>
          <w:lang w:val="es-ES_tradnl"/>
        </w:rPr>
        <w:t>Quito, D. M., 26 de agosto de 2015</w:t>
      </w:r>
    </w:p>
    <w:p w14:paraId="4F67B8CB" w14:textId="77777777" w:rsidR="00591D54" w:rsidRDefault="00591D54">
      <w:pPr>
        <w:shd w:val="clear" w:color="auto" w:fill="FFFFFF"/>
        <w:spacing w:line="432" w:lineRule="exact"/>
        <w:ind w:left="850"/>
      </w:pPr>
      <w:r>
        <w:rPr>
          <w:b/>
          <w:bCs/>
          <w:spacing w:val="-3"/>
          <w:sz w:val="18"/>
          <w:szCs w:val="18"/>
          <w:u w:val="single"/>
          <w:lang w:val="es-ES_tradnl"/>
        </w:rPr>
        <w:t>SENTENCIA N.</w:t>
      </w:r>
      <w:r>
        <w:rPr>
          <w:rFonts w:cs="Times New Roman"/>
          <w:b/>
          <w:bCs/>
          <w:spacing w:val="-3"/>
          <w:sz w:val="18"/>
          <w:szCs w:val="18"/>
          <w:u w:val="single"/>
          <w:lang w:val="es-ES_tradnl"/>
        </w:rPr>
        <w:t>º</w:t>
      </w:r>
      <w:r>
        <w:rPr>
          <w:b/>
          <w:bCs/>
          <w:spacing w:val="-3"/>
          <w:sz w:val="18"/>
          <w:szCs w:val="18"/>
          <w:u w:val="single"/>
          <w:lang w:val="es-ES_tradnl"/>
        </w:rPr>
        <w:t xml:space="preserve"> 277-15-SEP-CC</w:t>
      </w:r>
    </w:p>
    <w:p w14:paraId="4F67B8CC" w14:textId="77777777" w:rsidR="00591D54" w:rsidRDefault="00591D54">
      <w:pPr>
        <w:shd w:val="clear" w:color="auto" w:fill="FFFFFF"/>
        <w:spacing w:line="432" w:lineRule="exact"/>
        <w:ind w:left="1291"/>
      </w:pPr>
      <w:r>
        <w:rPr>
          <w:b/>
          <w:bCs/>
          <w:spacing w:val="-5"/>
          <w:sz w:val="18"/>
          <w:szCs w:val="18"/>
          <w:u w:val="single"/>
          <w:lang w:val="es-ES_tradnl"/>
        </w:rPr>
        <w:t>CASO N.</w:t>
      </w:r>
      <w:r>
        <w:rPr>
          <w:rFonts w:cs="Times New Roman"/>
          <w:b/>
          <w:bCs/>
          <w:spacing w:val="-5"/>
          <w:sz w:val="18"/>
          <w:szCs w:val="18"/>
          <w:u w:val="single"/>
          <w:lang w:val="es-ES_tradnl"/>
        </w:rPr>
        <w:t>º</w:t>
      </w:r>
      <w:r>
        <w:rPr>
          <w:b/>
          <w:bCs/>
          <w:spacing w:val="-5"/>
          <w:sz w:val="18"/>
          <w:szCs w:val="18"/>
          <w:u w:val="single"/>
          <w:lang w:val="es-ES_tradnl"/>
        </w:rPr>
        <w:t xml:space="preserve"> 0147-12-EP</w:t>
      </w:r>
    </w:p>
    <w:p w14:paraId="4F67B8CD" w14:textId="77777777" w:rsidR="00591D54" w:rsidRDefault="00591D54">
      <w:pPr>
        <w:shd w:val="clear" w:color="auto" w:fill="FFFFFF"/>
        <w:spacing w:line="432" w:lineRule="exact"/>
        <w:ind w:left="293"/>
      </w:pPr>
      <w:r>
        <w:rPr>
          <w:b/>
          <w:bCs/>
          <w:sz w:val="18"/>
          <w:szCs w:val="18"/>
          <w:lang w:val="es-ES_tradnl"/>
        </w:rPr>
        <w:t>CORTE CONSTITUCIONAL DEL ECUADOR</w:t>
      </w:r>
    </w:p>
    <w:p w14:paraId="4F67B8CE" w14:textId="77777777" w:rsidR="00591D54" w:rsidRDefault="00591D54">
      <w:pPr>
        <w:shd w:val="clear" w:color="auto" w:fill="FFFFFF"/>
        <w:spacing w:line="432" w:lineRule="exact"/>
        <w:ind w:left="1334"/>
      </w:pPr>
      <w:r>
        <w:rPr>
          <w:b/>
          <w:bCs/>
          <w:sz w:val="18"/>
          <w:szCs w:val="18"/>
          <w:lang w:val="es-ES_tradnl"/>
        </w:rPr>
        <w:t>I. ANTECEDENTES</w:t>
      </w:r>
    </w:p>
    <w:p w14:paraId="4F67B8CF" w14:textId="77777777" w:rsidR="00591D54" w:rsidRDefault="00591D54">
      <w:pPr>
        <w:shd w:val="clear" w:color="auto" w:fill="FFFFFF"/>
        <w:spacing w:line="432" w:lineRule="exact"/>
      </w:pPr>
      <w:r>
        <w:rPr>
          <w:b/>
          <w:bCs/>
          <w:spacing w:val="-9"/>
          <w:sz w:val="18"/>
          <w:szCs w:val="18"/>
          <w:lang w:val="es-ES_tradnl"/>
        </w:rPr>
        <w:t>Resumen de admisibilidad</w:t>
      </w:r>
    </w:p>
    <w:p w14:paraId="4F67B8D0" w14:textId="77777777" w:rsidR="00591D54" w:rsidRDefault="00591D54">
      <w:pPr>
        <w:shd w:val="clear" w:color="auto" w:fill="FFFFFF"/>
        <w:spacing w:before="163" w:line="216" w:lineRule="exact"/>
        <w:jc w:val="both"/>
      </w:pPr>
      <w:r>
        <w:rPr>
          <w:sz w:val="18"/>
          <w:szCs w:val="18"/>
          <w:lang w:val="es-ES_tradnl"/>
        </w:rPr>
        <w:t xml:space="preserve">El doctor Pedro Marcelo Carrillo Ruiz en su calidad </w:t>
      </w:r>
      <w:r>
        <w:rPr>
          <w:spacing w:val="-7"/>
          <w:sz w:val="18"/>
          <w:szCs w:val="18"/>
          <w:lang w:val="es-ES_tradnl"/>
        </w:rPr>
        <w:t>de director nacional de asesor</w:t>
      </w:r>
      <w:r>
        <w:rPr>
          <w:rFonts w:cs="Times New Roman"/>
          <w:spacing w:val="-7"/>
          <w:sz w:val="18"/>
          <w:szCs w:val="18"/>
          <w:lang w:val="es-ES_tradnl"/>
        </w:rPr>
        <w:t>í</w:t>
      </w:r>
      <w:r>
        <w:rPr>
          <w:spacing w:val="-7"/>
          <w:sz w:val="18"/>
          <w:szCs w:val="18"/>
          <w:lang w:val="es-ES_tradnl"/>
        </w:rPr>
        <w:t>a jur</w:t>
      </w:r>
      <w:r>
        <w:rPr>
          <w:rFonts w:cs="Times New Roman"/>
          <w:spacing w:val="-7"/>
          <w:sz w:val="18"/>
          <w:szCs w:val="18"/>
          <w:lang w:val="es-ES_tradnl"/>
        </w:rPr>
        <w:t>í</w:t>
      </w:r>
      <w:r>
        <w:rPr>
          <w:spacing w:val="-7"/>
          <w:sz w:val="18"/>
          <w:szCs w:val="18"/>
          <w:lang w:val="es-ES_tradnl"/>
        </w:rPr>
        <w:t xml:space="preserve">dica y delegado del </w:t>
      </w:r>
      <w:r>
        <w:rPr>
          <w:spacing w:val="-5"/>
          <w:sz w:val="18"/>
          <w:szCs w:val="18"/>
          <w:lang w:val="es-ES_tradnl"/>
        </w:rPr>
        <w:t>ministro del Interior, presenta acci</w:t>
      </w:r>
      <w:r>
        <w:rPr>
          <w:rFonts w:cs="Times New Roman"/>
          <w:spacing w:val="-5"/>
          <w:sz w:val="18"/>
          <w:szCs w:val="18"/>
          <w:lang w:val="es-ES_tradnl"/>
        </w:rPr>
        <w:t>ó</w:t>
      </w:r>
      <w:r>
        <w:rPr>
          <w:spacing w:val="-5"/>
          <w:sz w:val="18"/>
          <w:szCs w:val="18"/>
          <w:lang w:val="es-ES_tradnl"/>
        </w:rPr>
        <w:t xml:space="preserve">n extraordinaria de </w:t>
      </w:r>
      <w:r>
        <w:rPr>
          <w:spacing w:val="-9"/>
          <w:sz w:val="18"/>
          <w:szCs w:val="18"/>
          <w:lang w:val="es-ES_tradnl"/>
        </w:rPr>
        <w:t>protecci</w:t>
      </w:r>
      <w:r>
        <w:rPr>
          <w:rFonts w:cs="Times New Roman"/>
          <w:spacing w:val="-9"/>
          <w:sz w:val="18"/>
          <w:szCs w:val="18"/>
          <w:lang w:val="es-ES_tradnl"/>
        </w:rPr>
        <w:t>ó</w:t>
      </w:r>
      <w:r>
        <w:rPr>
          <w:spacing w:val="-9"/>
          <w:sz w:val="18"/>
          <w:szCs w:val="18"/>
          <w:lang w:val="es-ES_tradnl"/>
        </w:rPr>
        <w:t xml:space="preserve">n en contra de la sentencia del 27 de diciembre de </w:t>
      </w:r>
      <w:r>
        <w:rPr>
          <w:spacing w:val="-5"/>
          <w:sz w:val="18"/>
          <w:szCs w:val="18"/>
          <w:lang w:val="es-ES_tradnl"/>
        </w:rPr>
        <w:t xml:space="preserve">2011, dictada por la Segunda Sala de lo Civil, Mercantil, </w:t>
      </w:r>
      <w:r>
        <w:rPr>
          <w:spacing w:val="-7"/>
          <w:sz w:val="18"/>
          <w:szCs w:val="18"/>
          <w:lang w:val="es-ES_tradnl"/>
        </w:rPr>
        <w:t xml:space="preserve">Inquilinato y Materias Residuales de la Corte Provincial de </w:t>
      </w:r>
      <w:r>
        <w:rPr>
          <w:spacing w:val="-8"/>
          <w:sz w:val="18"/>
          <w:szCs w:val="18"/>
          <w:lang w:val="es-ES_tradnl"/>
        </w:rPr>
        <w:t>Justicia de Pichincha, dentro de la acci</w:t>
      </w:r>
      <w:r>
        <w:rPr>
          <w:rFonts w:cs="Times New Roman"/>
          <w:spacing w:val="-8"/>
          <w:sz w:val="18"/>
          <w:szCs w:val="18"/>
          <w:lang w:val="es-ES_tradnl"/>
        </w:rPr>
        <w:t>ó</w:t>
      </w:r>
      <w:r>
        <w:rPr>
          <w:spacing w:val="-8"/>
          <w:sz w:val="18"/>
          <w:szCs w:val="18"/>
          <w:lang w:val="es-ES_tradnl"/>
        </w:rPr>
        <w:t>n de protecci</w:t>
      </w:r>
      <w:r>
        <w:rPr>
          <w:rFonts w:cs="Times New Roman"/>
          <w:spacing w:val="-8"/>
          <w:sz w:val="18"/>
          <w:szCs w:val="18"/>
          <w:lang w:val="es-ES_tradnl"/>
        </w:rPr>
        <w:t>ó</w:t>
      </w:r>
      <w:r>
        <w:rPr>
          <w:spacing w:val="-8"/>
          <w:sz w:val="18"/>
          <w:szCs w:val="18"/>
          <w:lang w:val="es-ES_tradnl"/>
        </w:rPr>
        <w:t>n N.</w:t>
      </w:r>
      <w:r>
        <w:rPr>
          <w:rFonts w:cs="Times New Roman"/>
          <w:spacing w:val="-8"/>
          <w:sz w:val="18"/>
          <w:szCs w:val="18"/>
          <w:lang w:val="es-ES_tradnl"/>
        </w:rPr>
        <w:t xml:space="preserve">º </w:t>
      </w:r>
      <w:r>
        <w:rPr>
          <w:sz w:val="18"/>
          <w:szCs w:val="18"/>
          <w:lang w:val="es-ES_tradnl"/>
        </w:rPr>
        <w:t>17112-2011-0735.</w:t>
      </w:r>
    </w:p>
    <w:p w14:paraId="4F67B8D1" w14:textId="77777777" w:rsidR="00591D54" w:rsidRDefault="00591D54">
      <w:pPr>
        <w:shd w:val="clear" w:color="auto" w:fill="FFFFFF"/>
        <w:spacing w:before="197" w:line="216" w:lineRule="exact"/>
        <w:jc w:val="both"/>
      </w:pPr>
      <w:r>
        <w:rPr>
          <w:spacing w:val="-6"/>
          <w:sz w:val="18"/>
          <w:szCs w:val="18"/>
          <w:lang w:val="es-ES_tradnl"/>
        </w:rPr>
        <w:t>La Secretar</w:t>
      </w:r>
      <w:r>
        <w:rPr>
          <w:rFonts w:cs="Times New Roman"/>
          <w:spacing w:val="-6"/>
          <w:sz w:val="18"/>
          <w:szCs w:val="18"/>
          <w:lang w:val="es-ES_tradnl"/>
        </w:rPr>
        <w:t>í</w:t>
      </w:r>
      <w:r>
        <w:rPr>
          <w:spacing w:val="-6"/>
          <w:sz w:val="18"/>
          <w:szCs w:val="18"/>
          <w:lang w:val="es-ES_tradnl"/>
        </w:rPr>
        <w:t xml:space="preserve">a General de la Corte Constitucional, para el </w:t>
      </w:r>
      <w:r>
        <w:rPr>
          <w:spacing w:val="-8"/>
          <w:sz w:val="18"/>
          <w:szCs w:val="18"/>
          <w:lang w:val="es-ES_tradnl"/>
        </w:rPr>
        <w:t>per</w:t>
      </w:r>
      <w:r>
        <w:rPr>
          <w:rFonts w:cs="Times New Roman"/>
          <w:spacing w:val="-8"/>
          <w:sz w:val="18"/>
          <w:szCs w:val="18"/>
          <w:lang w:val="es-ES_tradnl"/>
        </w:rPr>
        <w:t>í</w:t>
      </w:r>
      <w:r>
        <w:rPr>
          <w:spacing w:val="-8"/>
          <w:sz w:val="18"/>
          <w:szCs w:val="18"/>
          <w:lang w:val="es-ES_tradnl"/>
        </w:rPr>
        <w:t>odo de transici</w:t>
      </w:r>
      <w:r>
        <w:rPr>
          <w:rFonts w:cs="Times New Roman"/>
          <w:spacing w:val="-8"/>
          <w:sz w:val="18"/>
          <w:szCs w:val="18"/>
          <w:lang w:val="es-ES_tradnl"/>
        </w:rPr>
        <w:t>ó</w:t>
      </w:r>
      <w:r>
        <w:rPr>
          <w:spacing w:val="-8"/>
          <w:sz w:val="18"/>
          <w:szCs w:val="18"/>
          <w:lang w:val="es-ES_tradnl"/>
        </w:rPr>
        <w:t>n, el 23 de enero de 2012, certific</w:t>
      </w:r>
      <w:r>
        <w:rPr>
          <w:rFonts w:cs="Times New Roman"/>
          <w:spacing w:val="-8"/>
          <w:sz w:val="18"/>
          <w:szCs w:val="18"/>
          <w:lang w:val="es-ES_tradnl"/>
        </w:rPr>
        <w:t>ó</w:t>
      </w:r>
      <w:r>
        <w:rPr>
          <w:spacing w:val="-8"/>
          <w:sz w:val="18"/>
          <w:szCs w:val="18"/>
          <w:lang w:val="es-ES_tradnl"/>
        </w:rPr>
        <w:t xml:space="preserve"> que no se ha presentado otra demanda con identidad de objeto </w:t>
      </w:r>
      <w:r>
        <w:rPr>
          <w:sz w:val="18"/>
          <w:szCs w:val="18"/>
          <w:lang w:val="es-ES_tradnl"/>
        </w:rPr>
        <w:t>y acci</w:t>
      </w:r>
      <w:r>
        <w:rPr>
          <w:rFonts w:cs="Times New Roman"/>
          <w:sz w:val="18"/>
          <w:szCs w:val="18"/>
          <w:lang w:val="es-ES_tradnl"/>
        </w:rPr>
        <w:t>ó</w:t>
      </w:r>
      <w:r>
        <w:rPr>
          <w:sz w:val="18"/>
          <w:szCs w:val="18"/>
          <w:lang w:val="es-ES_tradnl"/>
        </w:rPr>
        <w:t>n.</w:t>
      </w:r>
    </w:p>
    <w:p w14:paraId="4F67B8D2" w14:textId="77777777" w:rsidR="00591D54" w:rsidRDefault="00591D54">
      <w:pPr>
        <w:shd w:val="clear" w:color="auto" w:fill="FFFFFF"/>
        <w:spacing w:before="197" w:line="216" w:lineRule="exact"/>
        <w:ind w:right="5"/>
        <w:jc w:val="both"/>
      </w:pPr>
      <w:r>
        <w:rPr>
          <w:spacing w:val="-10"/>
          <w:sz w:val="18"/>
          <w:szCs w:val="18"/>
          <w:lang w:val="es-ES_tradnl"/>
        </w:rPr>
        <w:t>Por su parte, la Sala de Admisi</w:t>
      </w:r>
      <w:r>
        <w:rPr>
          <w:rFonts w:cs="Times New Roman"/>
          <w:spacing w:val="-10"/>
          <w:sz w:val="18"/>
          <w:szCs w:val="18"/>
          <w:lang w:val="es-ES_tradnl"/>
        </w:rPr>
        <w:t>ó</w:t>
      </w:r>
      <w:r>
        <w:rPr>
          <w:spacing w:val="-10"/>
          <w:sz w:val="18"/>
          <w:szCs w:val="18"/>
          <w:lang w:val="es-ES_tradnl"/>
        </w:rPr>
        <w:t xml:space="preserve">n de la Corte Constitucional, </w:t>
      </w:r>
      <w:r>
        <w:rPr>
          <w:spacing w:val="-3"/>
          <w:sz w:val="18"/>
          <w:szCs w:val="18"/>
          <w:lang w:val="es-ES_tradnl"/>
        </w:rPr>
        <w:t>para el per</w:t>
      </w:r>
      <w:r>
        <w:rPr>
          <w:rFonts w:cs="Times New Roman"/>
          <w:spacing w:val="-3"/>
          <w:sz w:val="18"/>
          <w:szCs w:val="18"/>
          <w:lang w:val="es-ES_tradnl"/>
        </w:rPr>
        <w:t>í</w:t>
      </w:r>
      <w:r>
        <w:rPr>
          <w:spacing w:val="-3"/>
          <w:sz w:val="18"/>
          <w:szCs w:val="18"/>
          <w:lang w:val="es-ES_tradnl"/>
        </w:rPr>
        <w:t>odo de transici</w:t>
      </w:r>
      <w:r>
        <w:rPr>
          <w:rFonts w:cs="Times New Roman"/>
          <w:spacing w:val="-3"/>
          <w:sz w:val="18"/>
          <w:szCs w:val="18"/>
          <w:lang w:val="es-ES_tradnl"/>
        </w:rPr>
        <w:t>ó</w:t>
      </w:r>
      <w:r>
        <w:rPr>
          <w:spacing w:val="-3"/>
          <w:sz w:val="18"/>
          <w:szCs w:val="18"/>
          <w:lang w:val="es-ES_tradnl"/>
        </w:rPr>
        <w:t xml:space="preserve">n, mediante auto del 27 de </w:t>
      </w:r>
      <w:r>
        <w:rPr>
          <w:spacing w:val="-5"/>
          <w:sz w:val="18"/>
          <w:szCs w:val="18"/>
          <w:lang w:val="es-ES_tradnl"/>
        </w:rPr>
        <w:t>abril de 2012 a las 10h46, admiti</w:t>
      </w:r>
      <w:r>
        <w:rPr>
          <w:rFonts w:cs="Times New Roman"/>
          <w:spacing w:val="-5"/>
          <w:sz w:val="18"/>
          <w:szCs w:val="18"/>
          <w:lang w:val="es-ES_tradnl"/>
        </w:rPr>
        <w:t>ó</w:t>
      </w:r>
      <w:r>
        <w:rPr>
          <w:spacing w:val="-5"/>
          <w:sz w:val="18"/>
          <w:szCs w:val="18"/>
          <w:lang w:val="es-ES_tradnl"/>
        </w:rPr>
        <w:t xml:space="preserve"> a tr</w:t>
      </w:r>
      <w:r>
        <w:rPr>
          <w:rFonts w:cs="Times New Roman"/>
          <w:spacing w:val="-5"/>
          <w:sz w:val="18"/>
          <w:szCs w:val="18"/>
          <w:lang w:val="es-ES_tradnl"/>
        </w:rPr>
        <w:t>á</w:t>
      </w:r>
      <w:r>
        <w:rPr>
          <w:spacing w:val="-5"/>
          <w:sz w:val="18"/>
          <w:szCs w:val="18"/>
          <w:lang w:val="es-ES_tradnl"/>
        </w:rPr>
        <w:t>mite la acci</w:t>
      </w:r>
      <w:r>
        <w:rPr>
          <w:rFonts w:cs="Times New Roman"/>
          <w:spacing w:val="-5"/>
          <w:sz w:val="18"/>
          <w:szCs w:val="18"/>
          <w:lang w:val="es-ES_tradnl"/>
        </w:rPr>
        <w:t>ó</w:t>
      </w:r>
      <w:r>
        <w:rPr>
          <w:spacing w:val="-5"/>
          <w:sz w:val="18"/>
          <w:szCs w:val="18"/>
          <w:lang w:val="es-ES_tradnl"/>
        </w:rPr>
        <w:t xml:space="preserve">n </w:t>
      </w:r>
      <w:r>
        <w:rPr>
          <w:spacing w:val="-7"/>
          <w:sz w:val="18"/>
          <w:szCs w:val="18"/>
          <w:lang w:val="es-ES_tradnl"/>
        </w:rPr>
        <w:t>extraordinaria de protecci</w:t>
      </w:r>
      <w:r>
        <w:rPr>
          <w:rFonts w:cs="Times New Roman"/>
          <w:spacing w:val="-7"/>
          <w:sz w:val="18"/>
          <w:szCs w:val="18"/>
          <w:lang w:val="es-ES_tradnl"/>
        </w:rPr>
        <w:t>ó</w:t>
      </w:r>
      <w:r>
        <w:rPr>
          <w:spacing w:val="-7"/>
          <w:sz w:val="18"/>
          <w:szCs w:val="18"/>
          <w:lang w:val="es-ES_tradnl"/>
        </w:rPr>
        <w:t>n N.</w:t>
      </w:r>
      <w:r>
        <w:rPr>
          <w:rFonts w:cs="Times New Roman"/>
          <w:spacing w:val="-7"/>
          <w:sz w:val="18"/>
          <w:szCs w:val="18"/>
          <w:lang w:val="es-ES_tradnl"/>
        </w:rPr>
        <w:t>º</w:t>
      </w:r>
      <w:r>
        <w:rPr>
          <w:spacing w:val="-7"/>
          <w:sz w:val="18"/>
          <w:szCs w:val="18"/>
          <w:lang w:val="es-ES_tradnl"/>
        </w:rPr>
        <w:t xml:space="preserve"> 0147-12-EP.</w:t>
      </w:r>
    </w:p>
    <w:p w14:paraId="4F67B8D3" w14:textId="77777777" w:rsidR="00591D54" w:rsidRDefault="00591D54">
      <w:pPr>
        <w:shd w:val="clear" w:color="auto" w:fill="FFFFFF"/>
        <w:spacing w:before="197" w:line="216" w:lineRule="exact"/>
        <w:ind w:right="5"/>
        <w:jc w:val="both"/>
      </w:pPr>
      <w:r>
        <w:rPr>
          <w:spacing w:val="-3"/>
          <w:sz w:val="18"/>
          <w:szCs w:val="18"/>
          <w:lang w:val="es-ES_tradnl"/>
        </w:rPr>
        <w:t xml:space="preserve">De conformidad con el sorteo realizado por el Pleno de </w:t>
      </w:r>
      <w:r>
        <w:rPr>
          <w:sz w:val="18"/>
          <w:szCs w:val="18"/>
          <w:lang w:val="es-ES_tradnl"/>
        </w:rPr>
        <w:t>la Corte Constitucional, para el per</w:t>
      </w:r>
      <w:r>
        <w:rPr>
          <w:rFonts w:cs="Times New Roman"/>
          <w:sz w:val="18"/>
          <w:szCs w:val="18"/>
          <w:lang w:val="es-ES_tradnl"/>
        </w:rPr>
        <w:t>í</w:t>
      </w:r>
      <w:r>
        <w:rPr>
          <w:sz w:val="18"/>
          <w:szCs w:val="18"/>
          <w:lang w:val="es-ES_tradnl"/>
        </w:rPr>
        <w:t>odo de transici</w:t>
      </w:r>
      <w:r>
        <w:rPr>
          <w:rFonts w:cs="Times New Roman"/>
          <w:sz w:val="18"/>
          <w:szCs w:val="18"/>
          <w:lang w:val="es-ES_tradnl"/>
        </w:rPr>
        <w:t>ó</w:t>
      </w:r>
      <w:r>
        <w:rPr>
          <w:sz w:val="18"/>
          <w:szCs w:val="18"/>
          <w:lang w:val="es-ES_tradnl"/>
        </w:rPr>
        <w:t xml:space="preserve">n, </w:t>
      </w:r>
      <w:r>
        <w:rPr>
          <w:spacing w:val="-6"/>
          <w:sz w:val="18"/>
          <w:szCs w:val="18"/>
          <w:lang w:val="es-ES_tradnl"/>
        </w:rPr>
        <w:t>se remiti</w:t>
      </w:r>
      <w:r>
        <w:rPr>
          <w:rFonts w:cs="Times New Roman"/>
          <w:spacing w:val="-6"/>
          <w:sz w:val="18"/>
          <w:szCs w:val="18"/>
          <w:lang w:val="es-ES_tradnl"/>
        </w:rPr>
        <w:t>ó</w:t>
      </w:r>
      <w:r>
        <w:rPr>
          <w:spacing w:val="-6"/>
          <w:sz w:val="18"/>
          <w:szCs w:val="18"/>
          <w:lang w:val="es-ES_tradnl"/>
        </w:rPr>
        <w:t xml:space="preserve"> el proceso para conocimiento del ex juez </w:t>
      </w:r>
      <w:r>
        <w:rPr>
          <w:spacing w:val="-7"/>
          <w:sz w:val="18"/>
          <w:szCs w:val="18"/>
          <w:lang w:val="es-ES_tradnl"/>
        </w:rPr>
        <w:t xml:space="preserve">constitucional Hernando Morales Vinueza, quien mediante </w:t>
      </w:r>
      <w:r>
        <w:rPr>
          <w:spacing w:val="-5"/>
          <w:sz w:val="18"/>
          <w:szCs w:val="18"/>
          <w:lang w:val="es-ES_tradnl"/>
        </w:rPr>
        <w:t>providencia del 09 de julio de 2012 a las 10h22, avoc</w:t>
      </w:r>
      <w:r>
        <w:rPr>
          <w:rFonts w:cs="Times New Roman"/>
          <w:spacing w:val="-5"/>
          <w:sz w:val="18"/>
          <w:szCs w:val="18"/>
          <w:lang w:val="es-ES_tradnl"/>
        </w:rPr>
        <w:t xml:space="preserve">ó </w:t>
      </w:r>
      <w:r>
        <w:rPr>
          <w:spacing w:val="-1"/>
          <w:sz w:val="18"/>
          <w:szCs w:val="18"/>
          <w:lang w:val="es-ES_tradnl"/>
        </w:rPr>
        <w:t xml:space="preserve">conocimiento de la presente causa y dispuso que se </w:t>
      </w:r>
      <w:r>
        <w:rPr>
          <w:spacing w:val="-7"/>
          <w:sz w:val="18"/>
          <w:szCs w:val="18"/>
          <w:lang w:val="es-ES_tradnl"/>
        </w:rPr>
        <w:t xml:space="preserve">notifique con el contenido de este auto a los jueces de la </w:t>
      </w:r>
      <w:r>
        <w:rPr>
          <w:spacing w:val="-6"/>
          <w:sz w:val="18"/>
          <w:szCs w:val="18"/>
          <w:lang w:val="es-ES_tradnl"/>
        </w:rPr>
        <w:t>Segunda Sala de lo Civil, Mercantil, Inquilinato y Materias</w:t>
      </w:r>
    </w:p>
    <w:p w14:paraId="4F67B8D4" w14:textId="77777777" w:rsidR="00591D54" w:rsidRDefault="00591D54">
      <w:pPr>
        <w:shd w:val="clear" w:color="auto" w:fill="FFFFFF"/>
        <w:spacing w:before="5" w:line="216" w:lineRule="exact"/>
        <w:jc w:val="both"/>
      </w:pPr>
      <w:r>
        <w:br w:type="column"/>
      </w:r>
      <w:r>
        <w:rPr>
          <w:spacing w:val="-7"/>
          <w:sz w:val="18"/>
          <w:szCs w:val="18"/>
          <w:lang w:val="es-ES_tradnl"/>
        </w:rPr>
        <w:t xml:space="preserve">Residuales de la Corte Provincial de Justicia de Pichincha, </w:t>
      </w:r>
      <w:r>
        <w:rPr>
          <w:spacing w:val="-8"/>
          <w:sz w:val="18"/>
          <w:szCs w:val="18"/>
          <w:lang w:val="es-ES_tradnl"/>
        </w:rPr>
        <w:t>concedi</w:t>
      </w:r>
      <w:r>
        <w:rPr>
          <w:rFonts w:cs="Times New Roman"/>
          <w:spacing w:val="-8"/>
          <w:sz w:val="18"/>
          <w:szCs w:val="18"/>
          <w:lang w:val="es-ES_tradnl"/>
        </w:rPr>
        <w:t>é</w:t>
      </w:r>
      <w:r>
        <w:rPr>
          <w:spacing w:val="-8"/>
          <w:sz w:val="18"/>
          <w:szCs w:val="18"/>
          <w:lang w:val="es-ES_tradnl"/>
        </w:rPr>
        <w:t>ndoles el plazo de 15 d</w:t>
      </w:r>
      <w:r>
        <w:rPr>
          <w:rFonts w:cs="Times New Roman"/>
          <w:spacing w:val="-8"/>
          <w:sz w:val="18"/>
          <w:szCs w:val="18"/>
          <w:lang w:val="es-ES_tradnl"/>
        </w:rPr>
        <w:t>í</w:t>
      </w:r>
      <w:r>
        <w:rPr>
          <w:spacing w:val="-8"/>
          <w:sz w:val="18"/>
          <w:szCs w:val="18"/>
          <w:lang w:val="es-ES_tradnl"/>
        </w:rPr>
        <w:t xml:space="preserve">as a fin de que presenten </w:t>
      </w:r>
      <w:r>
        <w:rPr>
          <w:spacing w:val="-7"/>
          <w:sz w:val="18"/>
          <w:szCs w:val="18"/>
          <w:lang w:val="es-ES_tradnl"/>
        </w:rPr>
        <w:t xml:space="preserve">informe motivado, acerca de los argumentos en que se </w:t>
      </w:r>
      <w:r>
        <w:rPr>
          <w:spacing w:val="-9"/>
          <w:sz w:val="18"/>
          <w:szCs w:val="18"/>
          <w:lang w:val="es-ES_tradnl"/>
        </w:rPr>
        <w:t>fundamenta la acci</w:t>
      </w:r>
      <w:r>
        <w:rPr>
          <w:rFonts w:cs="Times New Roman"/>
          <w:spacing w:val="-9"/>
          <w:sz w:val="18"/>
          <w:szCs w:val="18"/>
          <w:lang w:val="es-ES_tradnl"/>
        </w:rPr>
        <w:t>ó</w:t>
      </w:r>
      <w:r>
        <w:rPr>
          <w:spacing w:val="-9"/>
          <w:sz w:val="18"/>
          <w:szCs w:val="18"/>
          <w:lang w:val="es-ES_tradnl"/>
        </w:rPr>
        <w:t>n propuesta; a la subop. Mar</w:t>
      </w:r>
      <w:r>
        <w:rPr>
          <w:rFonts w:cs="Times New Roman"/>
          <w:spacing w:val="-9"/>
          <w:sz w:val="18"/>
          <w:szCs w:val="18"/>
          <w:lang w:val="es-ES_tradnl"/>
        </w:rPr>
        <w:t>í</w:t>
      </w:r>
      <w:r>
        <w:rPr>
          <w:spacing w:val="-9"/>
          <w:sz w:val="18"/>
          <w:szCs w:val="18"/>
          <w:lang w:val="es-ES_tradnl"/>
        </w:rPr>
        <w:t xml:space="preserve">a Evigenia </w:t>
      </w:r>
      <w:r>
        <w:rPr>
          <w:spacing w:val="-7"/>
          <w:sz w:val="18"/>
          <w:szCs w:val="18"/>
          <w:lang w:val="es-ES_tradnl"/>
        </w:rPr>
        <w:t>G</w:t>
      </w:r>
      <w:r>
        <w:rPr>
          <w:rFonts w:cs="Times New Roman"/>
          <w:spacing w:val="-7"/>
          <w:sz w:val="18"/>
          <w:szCs w:val="18"/>
          <w:lang w:val="es-ES_tradnl"/>
        </w:rPr>
        <w:t>ó</w:t>
      </w:r>
      <w:r>
        <w:rPr>
          <w:spacing w:val="-7"/>
          <w:sz w:val="18"/>
          <w:szCs w:val="18"/>
          <w:lang w:val="es-ES_tradnl"/>
        </w:rPr>
        <w:t>mez Leny y al procurador general del Estado. Se</w:t>
      </w:r>
      <w:r>
        <w:rPr>
          <w:rFonts w:cs="Times New Roman"/>
          <w:spacing w:val="-7"/>
          <w:sz w:val="18"/>
          <w:szCs w:val="18"/>
          <w:lang w:val="es-ES_tradnl"/>
        </w:rPr>
        <w:t>ñ</w:t>
      </w:r>
      <w:r>
        <w:rPr>
          <w:spacing w:val="-7"/>
          <w:sz w:val="18"/>
          <w:szCs w:val="18"/>
          <w:lang w:val="es-ES_tradnl"/>
        </w:rPr>
        <w:t>al</w:t>
      </w:r>
      <w:r>
        <w:rPr>
          <w:rFonts w:cs="Times New Roman"/>
          <w:spacing w:val="-7"/>
          <w:sz w:val="18"/>
          <w:szCs w:val="18"/>
          <w:lang w:val="es-ES_tradnl"/>
        </w:rPr>
        <w:t xml:space="preserve">ó </w:t>
      </w:r>
      <w:r>
        <w:rPr>
          <w:spacing w:val="-6"/>
          <w:sz w:val="18"/>
          <w:szCs w:val="18"/>
          <w:lang w:val="es-ES_tradnl"/>
        </w:rPr>
        <w:t>adem</w:t>
      </w:r>
      <w:r>
        <w:rPr>
          <w:rFonts w:cs="Times New Roman"/>
          <w:spacing w:val="-6"/>
          <w:sz w:val="18"/>
          <w:szCs w:val="18"/>
          <w:lang w:val="es-ES_tradnl"/>
        </w:rPr>
        <w:t>á</w:t>
      </w:r>
      <w:r>
        <w:rPr>
          <w:spacing w:val="-6"/>
          <w:sz w:val="18"/>
          <w:szCs w:val="18"/>
          <w:lang w:val="es-ES_tradnl"/>
        </w:rPr>
        <w:t xml:space="preserve">s, el 23 de julio de 2012 a las 15h00, para que se </w:t>
      </w:r>
      <w:r>
        <w:rPr>
          <w:spacing w:val="-8"/>
          <w:sz w:val="18"/>
          <w:szCs w:val="18"/>
          <w:lang w:val="es-ES_tradnl"/>
        </w:rPr>
        <w:t>lleve a cabo la audiencia p</w:t>
      </w:r>
      <w:r>
        <w:rPr>
          <w:rFonts w:cs="Times New Roman"/>
          <w:spacing w:val="-8"/>
          <w:sz w:val="18"/>
          <w:szCs w:val="18"/>
          <w:lang w:val="es-ES_tradnl"/>
        </w:rPr>
        <w:t>ú</w:t>
      </w:r>
      <w:r>
        <w:rPr>
          <w:spacing w:val="-8"/>
          <w:sz w:val="18"/>
          <w:szCs w:val="18"/>
          <w:lang w:val="es-ES_tradnl"/>
        </w:rPr>
        <w:t>blica de este caso.</w:t>
      </w:r>
    </w:p>
    <w:p w14:paraId="4F67B8D5" w14:textId="77777777" w:rsidR="00591D54" w:rsidRDefault="00591D54">
      <w:pPr>
        <w:shd w:val="clear" w:color="auto" w:fill="FFFFFF"/>
        <w:spacing w:before="197" w:line="216" w:lineRule="exact"/>
        <w:jc w:val="both"/>
      </w:pPr>
      <w:r>
        <w:rPr>
          <w:spacing w:val="-8"/>
          <w:sz w:val="18"/>
          <w:szCs w:val="18"/>
          <w:lang w:val="es-ES_tradnl"/>
        </w:rPr>
        <w:t xml:space="preserve">El 6 de noviembre de 2012, se posesionaron ante el Pleno </w:t>
      </w:r>
      <w:r>
        <w:rPr>
          <w:spacing w:val="-7"/>
          <w:sz w:val="18"/>
          <w:szCs w:val="18"/>
          <w:lang w:val="es-ES_tradnl"/>
        </w:rPr>
        <w:t xml:space="preserve">de la Asamblea Nacional los jueces de la Primera Corte </w:t>
      </w:r>
      <w:r>
        <w:rPr>
          <w:spacing w:val="-6"/>
          <w:sz w:val="18"/>
          <w:szCs w:val="18"/>
          <w:lang w:val="es-ES_tradnl"/>
        </w:rPr>
        <w:t>Constitucional, integrada conforme lo dispuesto en los art</w:t>
      </w:r>
      <w:r>
        <w:rPr>
          <w:rFonts w:cs="Times New Roman"/>
          <w:spacing w:val="-6"/>
          <w:sz w:val="18"/>
          <w:szCs w:val="18"/>
          <w:lang w:val="es-ES_tradnl"/>
        </w:rPr>
        <w:t>í</w:t>
      </w:r>
      <w:r>
        <w:rPr>
          <w:spacing w:val="-6"/>
          <w:sz w:val="18"/>
          <w:szCs w:val="18"/>
          <w:lang w:val="es-ES_tradnl"/>
        </w:rPr>
        <w:t>culos 432 y 434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w:t>
      </w:r>
    </w:p>
    <w:p w14:paraId="4F67B8D6" w14:textId="77777777" w:rsidR="00591D54" w:rsidRDefault="00591D54">
      <w:pPr>
        <w:shd w:val="clear" w:color="auto" w:fill="FFFFFF"/>
        <w:spacing w:before="197" w:line="216" w:lineRule="exact"/>
        <w:jc w:val="both"/>
      </w:pPr>
      <w:r>
        <w:rPr>
          <w:spacing w:val="-8"/>
          <w:sz w:val="18"/>
          <w:szCs w:val="18"/>
          <w:lang w:val="es-ES_tradnl"/>
        </w:rPr>
        <w:t xml:space="preserve">Posteriormente, de conformidad con el sorteo realizado por </w:t>
      </w:r>
      <w:r>
        <w:rPr>
          <w:spacing w:val="-6"/>
          <w:sz w:val="18"/>
          <w:szCs w:val="18"/>
          <w:lang w:val="es-ES_tradnl"/>
        </w:rPr>
        <w:t>el Pleno de la Corte Constitucional, se remiti</w:t>
      </w:r>
      <w:r>
        <w:rPr>
          <w:rFonts w:cs="Times New Roman"/>
          <w:spacing w:val="-6"/>
          <w:sz w:val="18"/>
          <w:szCs w:val="18"/>
          <w:lang w:val="es-ES_tradnl"/>
        </w:rPr>
        <w:t>ó</w:t>
      </w:r>
      <w:r>
        <w:rPr>
          <w:spacing w:val="-6"/>
          <w:sz w:val="18"/>
          <w:szCs w:val="18"/>
          <w:lang w:val="es-ES_tradnl"/>
        </w:rPr>
        <w:t xml:space="preserve"> el proceso para conocimiento de la jueza constitucional Ruth Seni Pinoargote, quien mediante providencia del 23 de julio de </w:t>
      </w:r>
      <w:r>
        <w:rPr>
          <w:spacing w:val="-7"/>
          <w:sz w:val="18"/>
          <w:szCs w:val="18"/>
          <w:lang w:val="es-ES_tradnl"/>
        </w:rPr>
        <w:t>2014 las 09h00, avoc</w:t>
      </w:r>
      <w:r>
        <w:rPr>
          <w:rFonts w:cs="Times New Roman"/>
          <w:spacing w:val="-7"/>
          <w:sz w:val="18"/>
          <w:szCs w:val="18"/>
          <w:lang w:val="es-ES_tradnl"/>
        </w:rPr>
        <w:t>ó</w:t>
      </w:r>
      <w:r>
        <w:rPr>
          <w:spacing w:val="-7"/>
          <w:sz w:val="18"/>
          <w:szCs w:val="18"/>
          <w:lang w:val="es-ES_tradnl"/>
        </w:rPr>
        <w:t xml:space="preserve"> conocimiento de la presente causa </w:t>
      </w:r>
      <w:r>
        <w:rPr>
          <w:spacing w:val="-5"/>
          <w:sz w:val="18"/>
          <w:szCs w:val="18"/>
          <w:lang w:val="es-ES_tradnl"/>
        </w:rPr>
        <w:t xml:space="preserve">y dispuso que se notifique con el contenido de este auto </w:t>
      </w:r>
      <w:r>
        <w:rPr>
          <w:spacing w:val="-6"/>
          <w:sz w:val="18"/>
          <w:szCs w:val="18"/>
          <w:lang w:val="es-ES_tradnl"/>
        </w:rPr>
        <w:t xml:space="preserve">a los jueces de la Segunda Sala de lo Civil, Mercantil, </w:t>
      </w:r>
      <w:r>
        <w:rPr>
          <w:spacing w:val="-3"/>
          <w:sz w:val="18"/>
          <w:szCs w:val="18"/>
          <w:lang w:val="es-ES_tradnl"/>
        </w:rPr>
        <w:t xml:space="preserve">Inquilinato y Materias Residuales de la Corte Provincial </w:t>
      </w:r>
      <w:r>
        <w:rPr>
          <w:spacing w:val="-6"/>
          <w:sz w:val="18"/>
          <w:szCs w:val="18"/>
          <w:lang w:val="es-ES_tradnl"/>
        </w:rPr>
        <w:t>de Justicia de Pichincha, previni</w:t>
      </w:r>
      <w:r>
        <w:rPr>
          <w:rFonts w:cs="Times New Roman"/>
          <w:spacing w:val="-6"/>
          <w:sz w:val="18"/>
          <w:szCs w:val="18"/>
          <w:lang w:val="es-ES_tradnl"/>
        </w:rPr>
        <w:t>é</w:t>
      </w:r>
      <w:r>
        <w:rPr>
          <w:spacing w:val="-6"/>
          <w:sz w:val="18"/>
          <w:szCs w:val="18"/>
          <w:lang w:val="es-ES_tradnl"/>
        </w:rPr>
        <w:t>ndoles de su obligaci</w:t>
      </w:r>
      <w:r>
        <w:rPr>
          <w:rFonts w:cs="Times New Roman"/>
          <w:spacing w:val="-6"/>
          <w:sz w:val="18"/>
          <w:szCs w:val="18"/>
          <w:lang w:val="es-ES_tradnl"/>
        </w:rPr>
        <w:t>ó</w:t>
      </w:r>
      <w:r>
        <w:rPr>
          <w:spacing w:val="-6"/>
          <w:sz w:val="18"/>
          <w:szCs w:val="18"/>
          <w:lang w:val="es-ES_tradnl"/>
        </w:rPr>
        <w:t xml:space="preserve">n </w:t>
      </w:r>
      <w:r>
        <w:rPr>
          <w:spacing w:val="-7"/>
          <w:sz w:val="18"/>
          <w:szCs w:val="18"/>
          <w:lang w:val="es-ES_tradnl"/>
        </w:rPr>
        <w:t>de se</w:t>
      </w:r>
      <w:r>
        <w:rPr>
          <w:rFonts w:cs="Times New Roman"/>
          <w:spacing w:val="-7"/>
          <w:sz w:val="18"/>
          <w:szCs w:val="18"/>
          <w:lang w:val="es-ES_tradnl"/>
        </w:rPr>
        <w:t>ñ</w:t>
      </w:r>
      <w:r>
        <w:rPr>
          <w:spacing w:val="-7"/>
          <w:sz w:val="18"/>
          <w:szCs w:val="18"/>
          <w:lang w:val="es-ES_tradnl"/>
        </w:rPr>
        <w:t xml:space="preserve">alar casillero constitucional; al comandante general </w:t>
      </w:r>
      <w:r>
        <w:rPr>
          <w:spacing w:val="-6"/>
          <w:sz w:val="18"/>
          <w:szCs w:val="18"/>
          <w:lang w:val="es-ES_tradnl"/>
        </w:rPr>
        <w:t>y/o representante legal de la Polic</w:t>
      </w:r>
      <w:r>
        <w:rPr>
          <w:rFonts w:cs="Times New Roman"/>
          <w:spacing w:val="-6"/>
          <w:sz w:val="18"/>
          <w:szCs w:val="18"/>
          <w:lang w:val="es-ES_tradnl"/>
        </w:rPr>
        <w:t>í</w:t>
      </w:r>
      <w:r>
        <w:rPr>
          <w:spacing w:val="-6"/>
          <w:sz w:val="18"/>
          <w:szCs w:val="18"/>
          <w:lang w:val="es-ES_tradnl"/>
        </w:rPr>
        <w:t xml:space="preserve">a Nacional; al ministro </w:t>
      </w:r>
      <w:r>
        <w:rPr>
          <w:spacing w:val="-5"/>
          <w:sz w:val="18"/>
          <w:szCs w:val="18"/>
          <w:lang w:val="es-ES_tradnl"/>
        </w:rPr>
        <w:t>del Interior; a la subop. Mar</w:t>
      </w:r>
      <w:r>
        <w:rPr>
          <w:rFonts w:cs="Times New Roman"/>
          <w:spacing w:val="-5"/>
          <w:sz w:val="18"/>
          <w:szCs w:val="18"/>
          <w:lang w:val="es-ES_tradnl"/>
        </w:rPr>
        <w:t>í</w:t>
      </w:r>
      <w:r>
        <w:rPr>
          <w:spacing w:val="-5"/>
          <w:sz w:val="18"/>
          <w:szCs w:val="18"/>
          <w:lang w:val="es-ES_tradnl"/>
        </w:rPr>
        <w:t>a Evigenia G</w:t>
      </w:r>
      <w:r>
        <w:rPr>
          <w:rFonts w:cs="Times New Roman"/>
          <w:spacing w:val="-5"/>
          <w:sz w:val="18"/>
          <w:szCs w:val="18"/>
          <w:lang w:val="es-ES_tradnl"/>
        </w:rPr>
        <w:t>ó</w:t>
      </w:r>
      <w:r>
        <w:rPr>
          <w:spacing w:val="-5"/>
          <w:sz w:val="18"/>
          <w:szCs w:val="18"/>
          <w:lang w:val="es-ES_tradnl"/>
        </w:rPr>
        <w:t xml:space="preserve">mez Leny a al </w:t>
      </w:r>
      <w:r>
        <w:rPr>
          <w:sz w:val="18"/>
          <w:szCs w:val="18"/>
          <w:lang w:val="es-ES_tradnl"/>
        </w:rPr>
        <w:t>procurador general del Estado.</w:t>
      </w:r>
    </w:p>
    <w:p w14:paraId="4F67B8D7" w14:textId="77777777" w:rsidR="00591D54" w:rsidRDefault="00591D54">
      <w:pPr>
        <w:shd w:val="clear" w:color="auto" w:fill="FFFFFF"/>
        <w:spacing w:before="192"/>
      </w:pPr>
      <w:r>
        <w:rPr>
          <w:b/>
          <w:bCs/>
          <w:spacing w:val="-8"/>
          <w:sz w:val="18"/>
          <w:szCs w:val="18"/>
          <w:lang w:val="es-ES_tradnl"/>
        </w:rPr>
        <w:t>Detalle de la demanda</w:t>
      </w:r>
    </w:p>
    <w:p w14:paraId="4F67B8D8" w14:textId="77777777" w:rsidR="00591D54" w:rsidRDefault="00591D54">
      <w:pPr>
        <w:shd w:val="clear" w:color="auto" w:fill="FFFFFF"/>
        <w:spacing w:before="192" w:line="216" w:lineRule="exact"/>
        <w:jc w:val="both"/>
      </w:pPr>
      <w:r>
        <w:rPr>
          <w:spacing w:val="-3"/>
          <w:sz w:val="18"/>
          <w:szCs w:val="18"/>
          <w:lang w:val="es-ES_tradnl"/>
        </w:rPr>
        <w:t xml:space="preserve">El doctor Pedro Marcelo Carrillo Ruiz en su calidad de </w:t>
      </w:r>
      <w:r>
        <w:rPr>
          <w:spacing w:val="-10"/>
          <w:sz w:val="18"/>
          <w:szCs w:val="18"/>
          <w:lang w:val="es-ES_tradnl"/>
        </w:rPr>
        <w:t>director nacional de asesor</w:t>
      </w:r>
      <w:r>
        <w:rPr>
          <w:rFonts w:cs="Times New Roman"/>
          <w:spacing w:val="-10"/>
          <w:sz w:val="18"/>
          <w:szCs w:val="18"/>
          <w:lang w:val="es-ES_tradnl"/>
        </w:rPr>
        <w:t>í</w:t>
      </w:r>
      <w:r>
        <w:rPr>
          <w:spacing w:val="-10"/>
          <w:sz w:val="18"/>
          <w:szCs w:val="18"/>
          <w:lang w:val="es-ES_tradnl"/>
        </w:rPr>
        <w:t>a jur</w:t>
      </w:r>
      <w:r>
        <w:rPr>
          <w:rFonts w:cs="Times New Roman"/>
          <w:spacing w:val="-10"/>
          <w:sz w:val="18"/>
          <w:szCs w:val="18"/>
          <w:lang w:val="es-ES_tradnl"/>
        </w:rPr>
        <w:t>í</w:t>
      </w:r>
      <w:r>
        <w:rPr>
          <w:spacing w:val="-10"/>
          <w:sz w:val="18"/>
          <w:szCs w:val="18"/>
          <w:lang w:val="es-ES_tradnl"/>
        </w:rPr>
        <w:t xml:space="preserve">dica y delegado del ministro </w:t>
      </w:r>
      <w:r>
        <w:rPr>
          <w:spacing w:val="-8"/>
          <w:sz w:val="18"/>
          <w:szCs w:val="18"/>
          <w:lang w:val="es-ES_tradnl"/>
        </w:rPr>
        <w:t>del Interior, presenta acci</w:t>
      </w:r>
      <w:r>
        <w:rPr>
          <w:rFonts w:cs="Times New Roman"/>
          <w:spacing w:val="-8"/>
          <w:sz w:val="18"/>
          <w:szCs w:val="18"/>
          <w:lang w:val="es-ES_tradnl"/>
        </w:rPr>
        <w:t>ó</w:t>
      </w:r>
      <w:r>
        <w:rPr>
          <w:spacing w:val="-8"/>
          <w:sz w:val="18"/>
          <w:szCs w:val="18"/>
          <w:lang w:val="es-ES_tradnl"/>
        </w:rPr>
        <w:t>n extraordinaria de protecci</w:t>
      </w:r>
      <w:r>
        <w:rPr>
          <w:rFonts w:cs="Times New Roman"/>
          <w:spacing w:val="-8"/>
          <w:sz w:val="18"/>
          <w:szCs w:val="18"/>
          <w:lang w:val="es-ES_tradnl"/>
        </w:rPr>
        <w:t>ó</w:t>
      </w:r>
      <w:r>
        <w:rPr>
          <w:spacing w:val="-8"/>
          <w:sz w:val="18"/>
          <w:szCs w:val="18"/>
          <w:lang w:val="es-ES_tradnl"/>
        </w:rPr>
        <w:t xml:space="preserve">n en </w:t>
      </w:r>
      <w:r>
        <w:rPr>
          <w:spacing w:val="-9"/>
          <w:sz w:val="18"/>
          <w:szCs w:val="18"/>
          <w:lang w:val="es-ES_tradnl"/>
        </w:rPr>
        <w:t xml:space="preserve">contra de la sentencia del 27 de diciembre de 2011, dictada </w:t>
      </w:r>
      <w:r>
        <w:rPr>
          <w:spacing w:val="-3"/>
          <w:sz w:val="18"/>
          <w:szCs w:val="18"/>
          <w:lang w:val="es-ES_tradnl"/>
        </w:rPr>
        <w:t xml:space="preserve">por la Segunda Sala de lo Civil, Mercantil, Inquilinato y </w:t>
      </w:r>
      <w:r>
        <w:rPr>
          <w:spacing w:val="-6"/>
          <w:sz w:val="18"/>
          <w:szCs w:val="18"/>
          <w:lang w:val="es-ES_tradnl"/>
        </w:rPr>
        <w:t xml:space="preserve">Materias Residuales de la Corte Provincial de Justicia de </w:t>
      </w:r>
      <w:r>
        <w:rPr>
          <w:spacing w:val="-5"/>
          <w:sz w:val="18"/>
          <w:szCs w:val="18"/>
          <w:lang w:val="es-ES_tradnl"/>
        </w:rPr>
        <w:t>Pichincha, dentro de la acci</w:t>
      </w:r>
      <w:r>
        <w:rPr>
          <w:rFonts w:cs="Times New Roman"/>
          <w:spacing w:val="-5"/>
          <w:sz w:val="18"/>
          <w:szCs w:val="18"/>
          <w:lang w:val="es-ES_tradnl"/>
        </w:rPr>
        <w:t>ó</w:t>
      </w:r>
      <w:r>
        <w:rPr>
          <w:spacing w:val="-5"/>
          <w:sz w:val="18"/>
          <w:szCs w:val="18"/>
          <w:lang w:val="es-ES_tradnl"/>
        </w:rPr>
        <w:t>n de protecci</w:t>
      </w:r>
      <w:r>
        <w:rPr>
          <w:rFonts w:cs="Times New Roman"/>
          <w:spacing w:val="-5"/>
          <w:sz w:val="18"/>
          <w:szCs w:val="18"/>
          <w:lang w:val="es-ES_tradnl"/>
        </w:rPr>
        <w:t>ó</w:t>
      </w:r>
      <w:r>
        <w:rPr>
          <w:spacing w:val="-5"/>
          <w:sz w:val="18"/>
          <w:szCs w:val="18"/>
          <w:lang w:val="es-ES_tradnl"/>
        </w:rPr>
        <w:t>n N.</w:t>
      </w:r>
      <w:r>
        <w:rPr>
          <w:rFonts w:cs="Times New Roman"/>
          <w:spacing w:val="-5"/>
          <w:sz w:val="18"/>
          <w:szCs w:val="18"/>
          <w:lang w:val="es-ES_tradnl"/>
        </w:rPr>
        <w:t>º</w:t>
      </w:r>
      <w:r>
        <w:rPr>
          <w:spacing w:val="-5"/>
          <w:sz w:val="18"/>
          <w:szCs w:val="18"/>
          <w:lang w:val="es-ES_tradnl"/>
        </w:rPr>
        <w:t xml:space="preserve"> 17112-</w:t>
      </w:r>
      <w:r>
        <w:rPr>
          <w:spacing w:val="-8"/>
          <w:sz w:val="18"/>
          <w:szCs w:val="18"/>
          <w:lang w:val="es-ES_tradnl"/>
        </w:rPr>
        <w:t xml:space="preserve">2011-0735. La sentencia impugnada acepta el recurso de </w:t>
      </w:r>
      <w:r>
        <w:rPr>
          <w:spacing w:val="-9"/>
          <w:sz w:val="18"/>
          <w:szCs w:val="18"/>
          <w:lang w:val="es-ES_tradnl"/>
        </w:rPr>
        <w:t>apelaci</w:t>
      </w:r>
      <w:r>
        <w:rPr>
          <w:rFonts w:cs="Times New Roman"/>
          <w:spacing w:val="-9"/>
          <w:sz w:val="18"/>
          <w:szCs w:val="18"/>
          <w:lang w:val="es-ES_tradnl"/>
        </w:rPr>
        <w:t>ó</w:t>
      </w:r>
      <w:r>
        <w:rPr>
          <w:spacing w:val="-9"/>
          <w:sz w:val="18"/>
          <w:szCs w:val="18"/>
          <w:lang w:val="es-ES_tradnl"/>
        </w:rPr>
        <w:t>n, revoca la sentencia de instancia y declara a lugar la acci</w:t>
      </w:r>
      <w:r>
        <w:rPr>
          <w:rFonts w:cs="Times New Roman"/>
          <w:spacing w:val="-9"/>
          <w:sz w:val="18"/>
          <w:szCs w:val="18"/>
          <w:lang w:val="es-ES_tradnl"/>
        </w:rPr>
        <w:t>ó</w:t>
      </w:r>
      <w:r>
        <w:rPr>
          <w:spacing w:val="-9"/>
          <w:sz w:val="18"/>
          <w:szCs w:val="18"/>
          <w:lang w:val="es-ES_tradnl"/>
        </w:rPr>
        <w:t>n de protecci</w:t>
      </w:r>
      <w:r>
        <w:rPr>
          <w:rFonts w:cs="Times New Roman"/>
          <w:spacing w:val="-9"/>
          <w:sz w:val="18"/>
          <w:szCs w:val="18"/>
          <w:lang w:val="es-ES_tradnl"/>
        </w:rPr>
        <w:t>ó</w:t>
      </w:r>
      <w:r>
        <w:rPr>
          <w:spacing w:val="-9"/>
          <w:sz w:val="18"/>
          <w:szCs w:val="18"/>
          <w:lang w:val="es-ES_tradnl"/>
        </w:rPr>
        <w:t xml:space="preserve">n, dejando sin efecto las Resoluciones </w:t>
      </w:r>
      <w:r>
        <w:rPr>
          <w:spacing w:val="-11"/>
          <w:sz w:val="18"/>
          <w:szCs w:val="18"/>
          <w:lang w:val="es-ES_tradnl"/>
        </w:rPr>
        <w:t>2010-0655CCP-PN del 7 de mayo de 2010; 2010-1189CCP-</w:t>
      </w:r>
      <w:r>
        <w:rPr>
          <w:spacing w:val="-8"/>
          <w:sz w:val="18"/>
          <w:szCs w:val="18"/>
          <w:lang w:val="es-ES_tradnl"/>
        </w:rPr>
        <w:t xml:space="preserve">PN del 17 de agosto de 2010 y 2011-0430-CCP-PN del 24 </w:t>
      </w:r>
      <w:r>
        <w:rPr>
          <w:spacing w:val="-6"/>
          <w:sz w:val="18"/>
          <w:szCs w:val="18"/>
          <w:lang w:val="es-ES_tradnl"/>
        </w:rPr>
        <w:t xml:space="preserve">de marzo de 2011, emitidas por el Consejo de Clases y </w:t>
      </w:r>
      <w:r>
        <w:rPr>
          <w:spacing w:val="-8"/>
          <w:sz w:val="18"/>
          <w:szCs w:val="18"/>
          <w:lang w:val="es-ES_tradnl"/>
        </w:rPr>
        <w:t>Polic</w:t>
      </w:r>
      <w:r>
        <w:rPr>
          <w:rFonts w:cs="Times New Roman"/>
          <w:spacing w:val="-8"/>
          <w:sz w:val="18"/>
          <w:szCs w:val="18"/>
          <w:lang w:val="es-ES_tradnl"/>
        </w:rPr>
        <w:t>í</w:t>
      </w:r>
      <w:r>
        <w:rPr>
          <w:spacing w:val="-8"/>
          <w:sz w:val="18"/>
          <w:szCs w:val="18"/>
          <w:lang w:val="es-ES_tradnl"/>
        </w:rPr>
        <w:t>as de la Polic</w:t>
      </w:r>
      <w:r>
        <w:rPr>
          <w:rFonts w:cs="Times New Roman"/>
          <w:spacing w:val="-8"/>
          <w:sz w:val="18"/>
          <w:szCs w:val="18"/>
          <w:lang w:val="es-ES_tradnl"/>
        </w:rPr>
        <w:t>í</w:t>
      </w:r>
      <w:r>
        <w:rPr>
          <w:spacing w:val="-8"/>
          <w:sz w:val="18"/>
          <w:szCs w:val="18"/>
          <w:lang w:val="es-ES_tradnl"/>
        </w:rPr>
        <w:t>a Nacional, y orden</w:t>
      </w:r>
      <w:r>
        <w:rPr>
          <w:rFonts w:cs="Times New Roman"/>
          <w:spacing w:val="-8"/>
          <w:sz w:val="18"/>
          <w:szCs w:val="18"/>
          <w:lang w:val="es-ES_tradnl"/>
        </w:rPr>
        <w:t>ó</w:t>
      </w:r>
      <w:r>
        <w:rPr>
          <w:spacing w:val="-8"/>
          <w:sz w:val="18"/>
          <w:szCs w:val="18"/>
          <w:lang w:val="es-ES_tradnl"/>
        </w:rPr>
        <w:t xml:space="preserve"> que se realicen las gestiones necesarias a fin de que se modifique o incluyan </w:t>
      </w:r>
      <w:r>
        <w:rPr>
          <w:spacing w:val="-9"/>
          <w:sz w:val="18"/>
          <w:szCs w:val="18"/>
          <w:lang w:val="es-ES_tradnl"/>
        </w:rPr>
        <w:t>las vacantes necesarias en el Org</w:t>
      </w:r>
      <w:r>
        <w:rPr>
          <w:rFonts w:cs="Times New Roman"/>
          <w:spacing w:val="-9"/>
          <w:sz w:val="18"/>
          <w:szCs w:val="18"/>
          <w:lang w:val="es-ES_tradnl"/>
        </w:rPr>
        <w:t>á</w:t>
      </w:r>
      <w:r>
        <w:rPr>
          <w:spacing w:val="-9"/>
          <w:sz w:val="18"/>
          <w:szCs w:val="18"/>
          <w:lang w:val="es-ES_tradnl"/>
        </w:rPr>
        <w:t xml:space="preserve">nico Institucional, para el </w:t>
      </w:r>
      <w:r>
        <w:rPr>
          <w:spacing w:val="-7"/>
          <w:sz w:val="18"/>
          <w:szCs w:val="18"/>
          <w:lang w:val="es-ES_tradnl"/>
        </w:rPr>
        <w:t xml:space="preserve">ascenso de personal de servicios administrativos al grado </w:t>
      </w:r>
      <w:r>
        <w:rPr>
          <w:spacing w:val="-6"/>
          <w:sz w:val="18"/>
          <w:szCs w:val="18"/>
          <w:lang w:val="es-ES_tradnl"/>
        </w:rPr>
        <w:t xml:space="preserve">de suboficial mayor de servicios, en el que se debe incluir </w:t>
      </w:r>
      <w:r>
        <w:rPr>
          <w:sz w:val="18"/>
          <w:szCs w:val="18"/>
          <w:lang w:val="es-ES_tradnl"/>
        </w:rPr>
        <w:t>a la recurrente.</w:t>
      </w:r>
    </w:p>
    <w:p w14:paraId="4F67B8D9" w14:textId="77777777" w:rsidR="00591D54" w:rsidRDefault="00591D54">
      <w:pPr>
        <w:shd w:val="clear" w:color="auto" w:fill="FFFFFF"/>
        <w:spacing w:before="192" w:line="216" w:lineRule="exact"/>
        <w:jc w:val="both"/>
      </w:pPr>
      <w:r>
        <w:rPr>
          <w:spacing w:val="-1"/>
          <w:sz w:val="18"/>
          <w:szCs w:val="18"/>
          <w:lang w:val="es-ES_tradnl"/>
        </w:rPr>
        <w:t>Seg</w:t>
      </w:r>
      <w:r>
        <w:rPr>
          <w:rFonts w:cs="Times New Roman"/>
          <w:spacing w:val="-1"/>
          <w:sz w:val="18"/>
          <w:szCs w:val="18"/>
          <w:lang w:val="es-ES_tradnl"/>
        </w:rPr>
        <w:t>ú</w:t>
      </w:r>
      <w:r>
        <w:rPr>
          <w:spacing w:val="-1"/>
          <w:sz w:val="18"/>
          <w:szCs w:val="18"/>
          <w:lang w:val="es-ES_tradnl"/>
        </w:rPr>
        <w:t xml:space="preserve">n el legitimado activo, la sentencia impugnada vulnera los derechos constitucionales de seguridad </w:t>
      </w:r>
      <w:r>
        <w:rPr>
          <w:spacing w:val="-5"/>
          <w:sz w:val="18"/>
          <w:szCs w:val="18"/>
          <w:lang w:val="es-ES_tradnl"/>
        </w:rPr>
        <w:t>jur</w:t>
      </w:r>
      <w:r>
        <w:rPr>
          <w:rFonts w:cs="Times New Roman"/>
          <w:spacing w:val="-5"/>
          <w:sz w:val="18"/>
          <w:szCs w:val="18"/>
          <w:lang w:val="es-ES_tradnl"/>
        </w:rPr>
        <w:t>í</w:t>
      </w:r>
      <w:r>
        <w:rPr>
          <w:spacing w:val="-5"/>
          <w:sz w:val="18"/>
          <w:szCs w:val="18"/>
          <w:lang w:val="es-ES_tradnl"/>
        </w:rPr>
        <w:t>dica y debido proceso en la garant</w:t>
      </w:r>
      <w:r>
        <w:rPr>
          <w:rFonts w:cs="Times New Roman"/>
          <w:spacing w:val="-5"/>
          <w:sz w:val="18"/>
          <w:szCs w:val="18"/>
          <w:lang w:val="es-ES_tradnl"/>
        </w:rPr>
        <w:t>í</w:t>
      </w:r>
      <w:r>
        <w:rPr>
          <w:spacing w:val="-5"/>
          <w:sz w:val="18"/>
          <w:szCs w:val="18"/>
          <w:lang w:val="es-ES_tradnl"/>
        </w:rPr>
        <w:t xml:space="preserve">a de cumplimiento </w:t>
      </w:r>
      <w:r>
        <w:rPr>
          <w:spacing w:val="-6"/>
          <w:sz w:val="18"/>
          <w:szCs w:val="18"/>
          <w:lang w:val="es-ES_tradnl"/>
        </w:rPr>
        <w:t>de las normas y defensa de la instituci</w:t>
      </w:r>
      <w:r>
        <w:rPr>
          <w:rFonts w:cs="Times New Roman"/>
          <w:spacing w:val="-6"/>
          <w:sz w:val="18"/>
          <w:szCs w:val="18"/>
          <w:lang w:val="es-ES_tradnl"/>
        </w:rPr>
        <w:t>ó</w:t>
      </w:r>
      <w:r>
        <w:rPr>
          <w:spacing w:val="-6"/>
          <w:sz w:val="18"/>
          <w:szCs w:val="18"/>
          <w:lang w:val="es-ES_tradnl"/>
        </w:rPr>
        <w:t xml:space="preserve">n a nombre de la </w:t>
      </w:r>
      <w:r>
        <w:rPr>
          <w:spacing w:val="-5"/>
          <w:sz w:val="18"/>
          <w:szCs w:val="18"/>
          <w:lang w:val="es-ES_tradnl"/>
        </w:rPr>
        <w:t>cual comparece, toda vez que la judicatura que la emiti</w:t>
      </w:r>
      <w:r>
        <w:rPr>
          <w:rFonts w:cs="Times New Roman"/>
          <w:spacing w:val="-5"/>
          <w:sz w:val="18"/>
          <w:szCs w:val="18"/>
          <w:lang w:val="es-ES_tradnl"/>
        </w:rPr>
        <w:t xml:space="preserve">ó </w:t>
      </w:r>
      <w:r>
        <w:rPr>
          <w:spacing w:val="-8"/>
          <w:sz w:val="18"/>
          <w:szCs w:val="18"/>
          <w:lang w:val="es-ES_tradnl"/>
        </w:rPr>
        <w:t xml:space="preserve">no pronuncia absolutamente nada de las alegaciones y </w:t>
      </w:r>
      <w:r>
        <w:rPr>
          <w:spacing w:val="-5"/>
          <w:sz w:val="18"/>
          <w:szCs w:val="18"/>
          <w:lang w:val="es-ES_tradnl"/>
        </w:rPr>
        <w:t>excepciones planteadas en la audiencia p</w:t>
      </w:r>
      <w:r>
        <w:rPr>
          <w:rFonts w:cs="Times New Roman"/>
          <w:spacing w:val="-5"/>
          <w:sz w:val="18"/>
          <w:szCs w:val="18"/>
          <w:lang w:val="es-ES_tradnl"/>
        </w:rPr>
        <w:t>ú</w:t>
      </w:r>
      <w:r>
        <w:rPr>
          <w:spacing w:val="-5"/>
          <w:sz w:val="18"/>
          <w:szCs w:val="18"/>
          <w:lang w:val="es-ES_tradnl"/>
        </w:rPr>
        <w:t xml:space="preserve">blica por la </w:t>
      </w:r>
      <w:r>
        <w:rPr>
          <w:sz w:val="18"/>
          <w:szCs w:val="18"/>
          <w:lang w:val="es-ES_tradnl"/>
        </w:rPr>
        <w:t>Polic</w:t>
      </w:r>
      <w:r>
        <w:rPr>
          <w:rFonts w:cs="Times New Roman"/>
          <w:sz w:val="18"/>
          <w:szCs w:val="18"/>
          <w:lang w:val="es-ES_tradnl"/>
        </w:rPr>
        <w:t>í</w:t>
      </w:r>
      <w:r>
        <w:rPr>
          <w:sz w:val="18"/>
          <w:szCs w:val="18"/>
          <w:lang w:val="es-ES_tradnl"/>
        </w:rPr>
        <w:t>a Nacional; asimismo, manifiesta que la acci</w:t>
      </w:r>
      <w:r>
        <w:rPr>
          <w:rFonts w:cs="Times New Roman"/>
          <w:sz w:val="18"/>
          <w:szCs w:val="18"/>
          <w:lang w:val="es-ES_tradnl"/>
        </w:rPr>
        <w:t>ó</w:t>
      </w:r>
      <w:r>
        <w:rPr>
          <w:sz w:val="18"/>
          <w:szCs w:val="18"/>
          <w:lang w:val="es-ES_tradnl"/>
        </w:rPr>
        <w:t xml:space="preserve">n </w:t>
      </w:r>
      <w:r>
        <w:rPr>
          <w:spacing w:val="-7"/>
          <w:sz w:val="18"/>
          <w:szCs w:val="18"/>
          <w:lang w:val="es-ES_tradnl"/>
        </w:rPr>
        <w:t>de protecci</w:t>
      </w:r>
      <w:r>
        <w:rPr>
          <w:rFonts w:cs="Times New Roman"/>
          <w:spacing w:val="-7"/>
          <w:sz w:val="18"/>
          <w:szCs w:val="18"/>
          <w:lang w:val="es-ES_tradnl"/>
        </w:rPr>
        <w:t>ó</w:t>
      </w:r>
      <w:r>
        <w:rPr>
          <w:spacing w:val="-7"/>
          <w:sz w:val="18"/>
          <w:szCs w:val="18"/>
          <w:lang w:val="es-ES_tradnl"/>
        </w:rPr>
        <w:t xml:space="preserve">n es improcedente en este caso, porque los </w:t>
      </w:r>
      <w:r>
        <w:rPr>
          <w:spacing w:val="-8"/>
          <w:sz w:val="18"/>
          <w:szCs w:val="18"/>
          <w:lang w:val="es-ES_tradnl"/>
        </w:rPr>
        <w:t>actos administrativos impugnados gozan de presunci</w:t>
      </w:r>
      <w:r>
        <w:rPr>
          <w:rFonts w:cs="Times New Roman"/>
          <w:spacing w:val="-8"/>
          <w:sz w:val="18"/>
          <w:szCs w:val="18"/>
          <w:lang w:val="es-ES_tradnl"/>
        </w:rPr>
        <w:t>ó</w:t>
      </w:r>
      <w:r>
        <w:rPr>
          <w:spacing w:val="-8"/>
          <w:sz w:val="18"/>
          <w:szCs w:val="18"/>
          <w:lang w:val="es-ES_tradnl"/>
        </w:rPr>
        <w:t>n de legitimidad, adem</w:t>
      </w:r>
      <w:r>
        <w:rPr>
          <w:rFonts w:cs="Times New Roman"/>
          <w:spacing w:val="-8"/>
          <w:sz w:val="18"/>
          <w:szCs w:val="18"/>
          <w:lang w:val="es-ES_tradnl"/>
        </w:rPr>
        <w:t>á</w:t>
      </w:r>
      <w:r>
        <w:rPr>
          <w:spacing w:val="-8"/>
          <w:sz w:val="18"/>
          <w:szCs w:val="18"/>
          <w:lang w:val="es-ES_tradnl"/>
        </w:rPr>
        <w:t>s, la v</w:t>
      </w:r>
      <w:r>
        <w:rPr>
          <w:rFonts w:cs="Times New Roman"/>
          <w:spacing w:val="-8"/>
          <w:sz w:val="18"/>
          <w:szCs w:val="18"/>
          <w:lang w:val="es-ES_tradnl"/>
        </w:rPr>
        <w:t>í</w:t>
      </w:r>
      <w:r>
        <w:rPr>
          <w:spacing w:val="-8"/>
          <w:sz w:val="18"/>
          <w:szCs w:val="18"/>
          <w:lang w:val="es-ES_tradnl"/>
        </w:rPr>
        <w:t>a adecuada era la contencioso administrativa, desconociendo as</w:t>
      </w:r>
      <w:r>
        <w:rPr>
          <w:rFonts w:cs="Times New Roman"/>
          <w:spacing w:val="-8"/>
          <w:sz w:val="18"/>
          <w:szCs w:val="18"/>
          <w:lang w:val="es-ES_tradnl"/>
        </w:rPr>
        <w:t>í</w:t>
      </w:r>
      <w:r>
        <w:rPr>
          <w:spacing w:val="-8"/>
          <w:sz w:val="18"/>
          <w:szCs w:val="18"/>
          <w:lang w:val="es-ES_tradnl"/>
        </w:rPr>
        <w:t xml:space="preserve"> la facultad constitucional </w:t>
      </w:r>
      <w:r>
        <w:rPr>
          <w:spacing w:val="-9"/>
          <w:sz w:val="18"/>
          <w:szCs w:val="18"/>
          <w:lang w:val="es-ES_tradnl"/>
        </w:rPr>
        <w:t xml:space="preserve">de los organismos policiales para negar un ascenso cuando </w:t>
      </w:r>
      <w:r>
        <w:rPr>
          <w:spacing w:val="-7"/>
          <w:sz w:val="18"/>
          <w:szCs w:val="18"/>
          <w:lang w:val="es-ES_tradnl"/>
        </w:rPr>
        <w:t>un miembro policial no cumple con los requisitos previos o</w:t>
      </w:r>
    </w:p>
    <w:p w14:paraId="4F67B8DA" w14:textId="77777777" w:rsidR="00591D54" w:rsidRDefault="00591D54">
      <w:pPr>
        <w:shd w:val="clear" w:color="auto" w:fill="FFFFFF"/>
        <w:spacing w:before="192" w:line="216" w:lineRule="exact"/>
        <w:jc w:val="both"/>
        <w:sectPr w:rsidR="00591D54">
          <w:type w:val="continuous"/>
          <w:pgSz w:w="11909" w:h="16834"/>
          <w:pgMar w:top="1366" w:right="1309" w:bottom="360" w:left="1308" w:header="720" w:footer="720" w:gutter="0"/>
          <w:cols w:num="2" w:space="720" w:equalWidth="0">
            <w:col w:w="4305" w:space="682"/>
            <w:col w:w="4305"/>
          </w:cols>
          <w:noEndnote/>
        </w:sectPr>
      </w:pPr>
    </w:p>
    <w:p w14:paraId="4F67B8DB" w14:textId="77777777" w:rsidR="00591D54" w:rsidRDefault="00591D54">
      <w:pPr>
        <w:shd w:val="clear" w:color="auto" w:fill="FFFFFF"/>
        <w:tabs>
          <w:tab w:val="left" w:pos="4814"/>
        </w:tabs>
        <w:spacing w:after="216"/>
        <w:ind w:left="5"/>
      </w:pPr>
      <w:r>
        <w:rPr>
          <w:b/>
          <w:bCs/>
          <w:sz w:val="18"/>
          <w:szCs w:val="18"/>
          <w:lang w:val="es-ES_tradnl"/>
        </w:rPr>
        <w:t xml:space="preserve">260 -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8DC" w14:textId="77777777" w:rsidR="00591D54" w:rsidRDefault="00591D54">
      <w:pPr>
        <w:shd w:val="clear" w:color="auto" w:fill="FFFFFF"/>
        <w:tabs>
          <w:tab w:val="left" w:pos="4814"/>
        </w:tabs>
        <w:spacing w:after="216"/>
        <w:ind w:left="5"/>
        <w:sectPr w:rsidR="00591D54">
          <w:pgSz w:w="11909" w:h="16834"/>
          <w:pgMar w:top="1366" w:right="1309" w:bottom="360" w:left="1308" w:header="720" w:footer="720" w:gutter="0"/>
          <w:cols w:space="60"/>
          <w:noEndnote/>
        </w:sectPr>
      </w:pPr>
    </w:p>
    <w:p w14:paraId="4F67B8DD" w14:textId="77777777" w:rsidR="00591D54" w:rsidRDefault="00591D54">
      <w:pPr>
        <w:shd w:val="clear" w:color="auto" w:fill="FFFFFF"/>
        <w:spacing w:before="19"/>
      </w:pPr>
      <w:r>
        <w:rPr>
          <w:spacing w:val="-8"/>
          <w:sz w:val="18"/>
          <w:szCs w:val="18"/>
          <w:lang w:val="es-ES_tradnl"/>
        </w:rPr>
        <w:t>no alcanza el puntaje requerido.</w:t>
      </w:r>
    </w:p>
    <w:p w14:paraId="4F67B8DE" w14:textId="77777777" w:rsidR="00591D54" w:rsidRDefault="00591D54">
      <w:pPr>
        <w:shd w:val="clear" w:color="auto" w:fill="FFFFFF"/>
        <w:spacing w:before="192"/>
      </w:pPr>
      <w:r>
        <w:rPr>
          <w:b/>
          <w:bCs/>
          <w:spacing w:val="-11"/>
          <w:sz w:val="18"/>
          <w:szCs w:val="18"/>
          <w:lang w:val="es-ES_tradnl"/>
        </w:rPr>
        <w:t>Sentencia o auto que se impugna</w:t>
      </w:r>
    </w:p>
    <w:p w14:paraId="4F67B8DF" w14:textId="77777777" w:rsidR="00591D54" w:rsidRDefault="00591D54">
      <w:pPr>
        <w:shd w:val="clear" w:color="auto" w:fill="FFFFFF"/>
        <w:spacing w:before="197" w:line="216" w:lineRule="exact"/>
        <w:ind w:right="5"/>
        <w:jc w:val="both"/>
      </w:pPr>
      <w:r>
        <w:rPr>
          <w:spacing w:val="-8"/>
          <w:sz w:val="18"/>
          <w:szCs w:val="18"/>
          <w:lang w:val="es-ES_tradnl"/>
        </w:rPr>
        <w:t xml:space="preserve">La sentencia impugnada dictada por la Segunda Sala de lo </w:t>
      </w:r>
      <w:r>
        <w:rPr>
          <w:spacing w:val="-3"/>
          <w:sz w:val="18"/>
          <w:szCs w:val="18"/>
          <w:lang w:val="es-ES_tradnl"/>
        </w:rPr>
        <w:t xml:space="preserve">Civil, Mercantil, Inquilinato y Materias Residuales de la </w:t>
      </w:r>
      <w:r>
        <w:rPr>
          <w:spacing w:val="-5"/>
          <w:sz w:val="18"/>
          <w:szCs w:val="18"/>
          <w:lang w:val="es-ES_tradnl"/>
        </w:rPr>
        <w:t xml:space="preserve">Corte Provincial de Justicia de Pichincha en lo principal, </w:t>
      </w:r>
      <w:r>
        <w:rPr>
          <w:sz w:val="18"/>
          <w:szCs w:val="18"/>
          <w:lang w:val="es-ES_tradnl"/>
        </w:rPr>
        <w:t>establece:</w:t>
      </w:r>
    </w:p>
    <w:p w14:paraId="4F67B8E0" w14:textId="77777777" w:rsidR="00591D54" w:rsidRDefault="00591D54">
      <w:pPr>
        <w:shd w:val="clear" w:color="auto" w:fill="FFFFFF"/>
        <w:spacing w:before="202" w:line="216" w:lineRule="exact"/>
        <w:ind w:left="283"/>
        <w:jc w:val="both"/>
      </w:pPr>
      <w:r>
        <w:rPr>
          <w:sz w:val="16"/>
          <w:szCs w:val="16"/>
          <w:lang w:val="es-ES_tradnl"/>
        </w:rPr>
        <w:t>VISTOS: (</w:t>
      </w:r>
      <w:r>
        <w:rPr>
          <w:rFonts w:cs="Times New Roman"/>
          <w:sz w:val="16"/>
          <w:szCs w:val="16"/>
          <w:lang w:val="es-ES_tradnl"/>
        </w:rPr>
        <w:t>…</w:t>
      </w:r>
      <w:r>
        <w:rPr>
          <w:sz w:val="16"/>
          <w:szCs w:val="16"/>
          <w:lang w:val="es-ES_tradnl"/>
        </w:rPr>
        <w:t>) TERCERO: (</w:t>
      </w:r>
      <w:r>
        <w:rPr>
          <w:rFonts w:cs="Times New Roman"/>
          <w:sz w:val="16"/>
          <w:szCs w:val="16"/>
          <w:lang w:val="es-ES_tradnl"/>
        </w:rPr>
        <w:t>…</w:t>
      </w:r>
      <w:r>
        <w:rPr>
          <w:sz w:val="16"/>
          <w:szCs w:val="16"/>
          <w:lang w:val="es-ES_tradnl"/>
        </w:rPr>
        <w:t xml:space="preserve">) En la especie, obra del </w:t>
      </w:r>
      <w:r>
        <w:rPr>
          <w:spacing w:val="-6"/>
          <w:sz w:val="16"/>
          <w:szCs w:val="16"/>
          <w:lang w:val="es-ES_tradnl"/>
        </w:rPr>
        <w:t xml:space="preserve">proceso copias certificadas de las siguientes Resoluciones: No. 2010-0665-CCP-PN, de 07 de mayo de 2010, en la cual </w:t>
      </w:r>
      <w:r>
        <w:rPr>
          <w:spacing w:val="-7"/>
          <w:sz w:val="16"/>
          <w:szCs w:val="16"/>
          <w:lang w:val="es-ES_tradnl"/>
        </w:rPr>
        <w:t>el Consejo de Clases y Polic</w:t>
      </w:r>
      <w:r>
        <w:rPr>
          <w:rFonts w:cs="Times New Roman"/>
          <w:spacing w:val="-7"/>
          <w:sz w:val="16"/>
          <w:szCs w:val="16"/>
          <w:lang w:val="es-ES_tradnl"/>
        </w:rPr>
        <w:t>í</w:t>
      </w:r>
      <w:r>
        <w:rPr>
          <w:spacing w:val="-7"/>
          <w:sz w:val="16"/>
          <w:szCs w:val="16"/>
          <w:lang w:val="es-ES_tradnl"/>
        </w:rPr>
        <w:t>as declara NO ID</w:t>
      </w:r>
      <w:r>
        <w:rPr>
          <w:rFonts w:cs="Times New Roman"/>
          <w:spacing w:val="-7"/>
          <w:sz w:val="16"/>
          <w:szCs w:val="16"/>
          <w:lang w:val="es-ES_tradnl"/>
        </w:rPr>
        <w:t>Ó</w:t>
      </w:r>
      <w:r>
        <w:rPr>
          <w:spacing w:val="-7"/>
          <w:sz w:val="16"/>
          <w:szCs w:val="16"/>
          <w:lang w:val="es-ES_tradnl"/>
        </w:rPr>
        <w:t xml:space="preserve">NEAS para el </w:t>
      </w:r>
      <w:r>
        <w:rPr>
          <w:spacing w:val="-8"/>
          <w:sz w:val="16"/>
          <w:szCs w:val="16"/>
          <w:lang w:val="es-ES_tradnl"/>
        </w:rPr>
        <w:t>ascenso al grado de Suboficial Mayor de Polic</w:t>
      </w:r>
      <w:r>
        <w:rPr>
          <w:rFonts w:cs="Times New Roman"/>
          <w:spacing w:val="-8"/>
          <w:sz w:val="16"/>
          <w:szCs w:val="16"/>
          <w:lang w:val="es-ES_tradnl"/>
        </w:rPr>
        <w:t>í</w:t>
      </w:r>
      <w:r>
        <w:rPr>
          <w:spacing w:val="-8"/>
          <w:sz w:val="16"/>
          <w:szCs w:val="16"/>
          <w:lang w:val="es-ES_tradnl"/>
        </w:rPr>
        <w:t xml:space="preserve">a, por no haber </w:t>
      </w:r>
      <w:r>
        <w:rPr>
          <w:spacing w:val="-9"/>
          <w:sz w:val="16"/>
          <w:szCs w:val="16"/>
          <w:lang w:val="es-ES_tradnl"/>
        </w:rPr>
        <w:t>alcanzado el puntaje m</w:t>
      </w:r>
      <w:r>
        <w:rPr>
          <w:rFonts w:cs="Times New Roman"/>
          <w:spacing w:val="-9"/>
          <w:sz w:val="16"/>
          <w:szCs w:val="16"/>
          <w:lang w:val="es-ES_tradnl"/>
        </w:rPr>
        <w:t>í</w:t>
      </w:r>
      <w:r>
        <w:rPr>
          <w:spacing w:val="-9"/>
          <w:sz w:val="16"/>
          <w:szCs w:val="16"/>
          <w:lang w:val="es-ES_tradnl"/>
        </w:rPr>
        <w:t xml:space="preserve">nimo de 16.00 y no haber sido ubicadas </w:t>
      </w:r>
      <w:r>
        <w:rPr>
          <w:spacing w:val="-6"/>
          <w:sz w:val="16"/>
          <w:szCs w:val="16"/>
          <w:lang w:val="es-ES_tradnl"/>
        </w:rPr>
        <w:t>en las listas 1 y 2 de calificaci</w:t>
      </w:r>
      <w:r>
        <w:rPr>
          <w:rFonts w:cs="Times New Roman"/>
          <w:spacing w:val="-6"/>
          <w:sz w:val="16"/>
          <w:szCs w:val="16"/>
          <w:lang w:val="es-ES_tradnl"/>
        </w:rPr>
        <w:t>ó</w:t>
      </w:r>
      <w:r>
        <w:rPr>
          <w:spacing w:val="-6"/>
          <w:sz w:val="16"/>
          <w:szCs w:val="16"/>
          <w:lang w:val="es-ES_tradnl"/>
        </w:rPr>
        <w:t>n, a las se</w:t>
      </w:r>
      <w:r>
        <w:rPr>
          <w:rFonts w:cs="Times New Roman"/>
          <w:spacing w:val="-6"/>
          <w:sz w:val="16"/>
          <w:szCs w:val="16"/>
          <w:lang w:val="es-ES_tradnl"/>
        </w:rPr>
        <w:t>ñ</w:t>
      </w:r>
      <w:r>
        <w:rPr>
          <w:spacing w:val="-6"/>
          <w:sz w:val="16"/>
          <w:szCs w:val="16"/>
          <w:lang w:val="es-ES_tradnl"/>
        </w:rPr>
        <w:t xml:space="preserve">oras Suboficiales </w:t>
      </w:r>
      <w:r>
        <w:rPr>
          <w:spacing w:val="-7"/>
          <w:sz w:val="16"/>
          <w:szCs w:val="16"/>
          <w:lang w:val="es-ES_tradnl"/>
        </w:rPr>
        <w:t>Mayores G</w:t>
      </w:r>
      <w:r>
        <w:rPr>
          <w:rFonts w:cs="Times New Roman"/>
          <w:spacing w:val="-7"/>
          <w:sz w:val="16"/>
          <w:szCs w:val="16"/>
          <w:lang w:val="es-ES_tradnl"/>
        </w:rPr>
        <w:t>ó</w:t>
      </w:r>
      <w:r>
        <w:rPr>
          <w:spacing w:val="-7"/>
          <w:sz w:val="16"/>
          <w:szCs w:val="16"/>
          <w:lang w:val="es-ES_tradnl"/>
        </w:rPr>
        <w:t>mez Leny Mar</w:t>
      </w:r>
      <w:r>
        <w:rPr>
          <w:rFonts w:cs="Times New Roman"/>
          <w:spacing w:val="-7"/>
          <w:sz w:val="16"/>
          <w:szCs w:val="16"/>
          <w:lang w:val="es-ES_tradnl"/>
        </w:rPr>
        <w:t>í</w:t>
      </w:r>
      <w:r>
        <w:rPr>
          <w:spacing w:val="-7"/>
          <w:sz w:val="16"/>
          <w:szCs w:val="16"/>
          <w:lang w:val="es-ES_tradnl"/>
        </w:rPr>
        <w:t xml:space="preserve">a Evigenia y Jaramillo Caiza Orfa; No. 2010-1189-CCP-PN, de 17 de agosto de 2010, mediante </w:t>
      </w:r>
      <w:r>
        <w:rPr>
          <w:spacing w:val="-6"/>
          <w:sz w:val="16"/>
          <w:szCs w:val="16"/>
          <w:lang w:val="es-ES_tradnl"/>
        </w:rPr>
        <w:t>la cual se califica el contenido de la Resoluci</w:t>
      </w:r>
      <w:r>
        <w:rPr>
          <w:rFonts w:cs="Times New Roman"/>
          <w:spacing w:val="-6"/>
          <w:sz w:val="16"/>
          <w:szCs w:val="16"/>
          <w:lang w:val="es-ES_tradnl"/>
        </w:rPr>
        <w:t>ó</w:t>
      </w:r>
      <w:r>
        <w:rPr>
          <w:spacing w:val="-6"/>
          <w:sz w:val="16"/>
          <w:szCs w:val="16"/>
          <w:lang w:val="es-ES_tradnl"/>
        </w:rPr>
        <w:t>n anterior; No. 2011-0099-CCP-PN, de 11 de enero de 2011, a trav</w:t>
      </w:r>
      <w:r>
        <w:rPr>
          <w:rFonts w:cs="Times New Roman"/>
          <w:spacing w:val="-6"/>
          <w:sz w:val="16"/>
          <w:szCs w:val="16"/>
          <w:lang w:val="es-ES_tradnl"/>
        </w:rPr>
        <w:t>é</w:t>
      </w:r>
      <w:r>
        <w:rPr>
          <w:spacing w:val="-6"/>
          <w:sz w:val="16"/>
          <w:szCs w:val="16"/>
          <w:lang w:val="es-ES_tradnl"/>
        </w:rPr>
        <w:t xml:space="preserve">s de la </w:t>
      </w:r>
      <w:r>
        <w:rPr>
          <w:spacing w:val="-4"/>
          <w:sz w:val="16"/>
          <w:szCs w:val="16"/>
          <w:lang w:val="es-ES_tradnl"/>
        </w:rPr>
        <w:t>cual se deja sin efecto la parte pertinente de la Resoluci</w:t>
      </w:r>
      <w:r>
        <w:rPr>
          <w:rFonts w:cs="Times New Roman"/>
          <w:spacing w:val="-4"/>
          <w:sz w:val="16"/>
          <w:szCs w:val="16"/>
          <w:lang w:val="es-ES_tradnl"/>
        </w:rPr>
        <w:t>ó</w:t>
      </w:r>
      <w:r>
        <w:rPr>
          <w:spacing w:val="-4"/>
          <w:sz w:val="16"/>
          <w:szCs w:val="16"/>
          <w:lang w:val="es-ES_tradnl"/>
        </w:rPr>
        <w:t>n No. 2010-0655-CCP-PN, de siete de mayo de 2010 (</w:t>
      </w:r>
      <w:r>
        <w:rPr>
          <w:rFonts w:cs="Times New Roman"/>
          <w:spacing w:val="-4"/>
          <w:sz w:val="16"/>
          <w:szCs w:val="16"/>
          <w:lang w:val="es-ES_tradnl"/>
        </w:rPr>
        <w:t>…</w:t>
      </w:r>
      <w:r>
        <w:rPr>
          <w:spacing w:val="-4"/>
          <w:sz w:val="16"/>
          <w:szCs w:val="16"/>
          <w:lang w:val="es-ES_tradnl"/>
        </w:rPr>
        <w:t xml:space="preserve">) y </w:t>
      </w:r>
      <w:r>
        <w:rPr>
          <w:spacing w:val="-8"/>
          <w:sz w:val="16"/>
          <w:szCs w:val="16"/>
          <w:lang w:val="es-ES_tradnl"/>
        </w:rPr>
        <w:t xml:space="preserve">ratificada mediante Resoluciones Nros. 2010-1189-CCP-PN Y </w:t>
      </w:r>
      <w:r>
        <w:rPr>
          <w:spacing w:val="-10"/>
          <w:sz w:val="16"/>
          <w:szCs w:val="16"/>
          <w:lang w:val="es-ES_tradnl"/>
        </w:rPr>
        <w:t>2010-1190-CCP-PN, de 17 de agosto de 2010, mediante la cual se califica de no id</w:t>
      </w:r>
      <w:r>
        <w:rPr>
          <w:rFonts w:cs="Times New Roman"/>
          <w:spacing w:val="-10"/>
          <w:sz w:val="16"/>
          <w:szCs w:val="16"/>
          <w:lang w:val="es-ES_tradnl"/>
        </w:rPr>
        <w:t>ó</w:t>
      </w:r>
      <w:r>
        <w:rPr>
          <w:spacing w:val="-10"/>
          <w:sz w:val="16"/>
          <w:szCs w:val="16"/>
          <w:lang w:val="es-ES_tradnl"/>
        </w:rPr>
        <w:t xml:space="preserve">neas para el ascenso al grado de Suboficial </w:t>
      </w:r>
      <w:r>
        <w:rPr>
          <w:spacing w:val="-4"/>
          <w:sz w:val="16"/>
          <w:szCs w:val="16"/>
          <w:lang w:val="es-ES_tradnl"/>
        </w:rPr>
        <w:t>Mayor de Polic</w:t>
      </w:r>
      <w:r>
        <w:rPr>
          <w:rFonts w:cs="Times New Roman"/>
          <w:spacing w:val="-4"/>
          <w:sz w:val="16"/>
          <w:szCs w:val="16"/>
          <w:lang w:val="es-ES_tradnl"/>
        </w:rPr>
        <w:t>í</w:t>
      </w:r>
      <w:r>
        <w:rPr>
          <w:spacing w:val="-4"/>
          <w:sz w:val="16"/>
          <w:szCs w:val="16"/>
          <w:lang w:val="es-ES_tradnl"/>
        </w:rPr>
        <w:t>a a las se</w:t>
      </w:r>
      <w:r>
        <w:rPr>
          <w:rFonts w:cs="Times New Roman"/>
          <w:spacing w:val="-4"/>
          <w:sz w:val="16"/>
          <w:szCs w:val="16"/>
          <w:lang w:val="es-ES_tradnl"/>
        </w:rPr>
        <w:t>ñ</w:t>
      </w:r>
      <w:r>
        <w:rPr>
          <w:spacing w:val="-4"/>
          <w:sz w:val="16"/>
          <w:szCs w:val="16"/>
          <w:lang w:val="es-ES_tradnl"/>
        </w:rPr>
        <w:t xml:space="preserve">oras Suboficiales Primeros de </w:t>
      </w:r>
      <w:r>
        <w:rPr>
          <w:spacing w:val="-5"/>
          <w:sz w:val="16"/>
          <w:szCs w:val="16"/>
          <w:lang w:val="es-ES_tradnl"/>
        </w:rPr>
        <w:t>Polic</w:t>
      </w:r>
      <w:r>
        <w:rPr>
          <w:rFonts w:cs="Times New Roman"/>
          <w:spacing w:val="-5"/>
          <w:sz w:val="16"/>
          <w:szCs w:val="16"/>
          <w:lang w:val="es-ES_tradnl"/>
        </w:rPr>
        <w:t>í</w:t>
      </w:r>
      <w:r>
        <w:rPr>
          <w:spacing w:val="-5"/>
          <w:sz w:val="16"/>
          <w:szCs w:val="16"/>
          <w:lang w:val="es-ES_tradnl"/>
        </w:rPr>
        <w:t>a Leny Mar</w:t>
      </w:r>
      <w:r>
        <w:rPr>
          <w:rFonts w:cs="Times New Roman"/>
          <w:spacing w:val="-5"/>
          <w:sz w:val="16"/>
          <w:szCs w:val="16"/>
          <w:lang w:val="es-ES_tradnl"/>
        </w:rPr>
        <w:t>í</w:t>
      </w:r>
      <w:r>
        <w:rPr>
          <w:spacing w:val="-5"/>
          <w:sz w:val="16"/>
          <w:szCs w:val="16"/>
          <w:lang w:val="es-ES_tradnl"/>
        </w:rPr>
        <w:t>a Evigenia (G</w:t>
      </w:r>
      <w:r>
        <w:rPr>
          <w:rFonts w:cs="Times New Roman"/>
          <w:spacing w:val="-5"/>
          <w:sz w:val="16"/>
          <w:szCs w:val="16"/>
          <w:lang w:val="es-ES_tradnl"/>
        </w:rPr>
        <w:t>ó</w:t>
      </w:r>
      <w:r>
        <w:rPr>
          <w:spacing w:val="-5"/>
          <w:sz w:val="16"/>
          <w:szCs w:val="16"/>
          <w:lang w:val="es-ES_tradnl"/>
        </w:rPr>
        <w:t>mez Leny Mar</w:t>
      </w:r>
      <w:r>
        <w:rPr>
          <w:rFonts w:cs="Times New Roman"/>
          <w:spacing w:val="-5"/>
          <w:sz w:val="16"/>
          <w:szCs w:val="16"/>
          <w:lang w:val="es-ES_tradnl"/>
        </w:rPr>
        <w:t>í</w:t>
      </w:r>
      <w:r>
        <w:rPr>
          <w:spacing w:val="-5"/>
          <w:sz w:val="16"/>
          <w:szCs w:val="16"/>
          <w:lang w:val="es-ES_tradnl"/>
        </w:rPr>
        <w:t xml:space="preserve">a Evigenia y Jaramillo Caiza Orfa); al tiempo que se dispone solicitar al </w:t>
      </w:r>
      <w:r>
        <w:rPr>
          <w:spacing w:val="-6"/>
          <w:sz w:val="16"/>
          <w:szCs w:val="16"/>
          <w:lang w:val="es-ES_tradnl"/>
        </w:rPr>
        <w:t>se</w:t>
      </w:r>
      <w:r>
        <w:rPr>
          <w:rFonts w:cs="Times New Roman"/>
          <w:spacing w:val="-6"/>
          <w:sz w:val="16"/>
          <w:szCs w:val="16"/>
          <w:lang w:val="es-ES_tradnl"/>
        </w:rPr>
        <w:t>ñ</w:t>
      </w:r>
      <w:r>
        <w:rPr>
          <w:spacing w:val="-6"/>
          <w:sz w:val="16"/>
          <w:szCs w:val="16"/>
          <w:lang w:val="es-ES_tradnl"/>
        </w:rPr>
        <w:t>or Comandante General de la Polic</w:t>
      </w:r>
      <w:r>
        <w:rPr>
          <w:rFonts w:cs="Times New Roman"/>
          <w:spacing w:val="-6"/>
          <w:sz w:val="16"/>
          <w:szCs w:val="16"/>
          <w:lang w:val="es-ES_tradnl"/>
        </w:rPr>
        <w:t>í</w:t>
      </w:r>
      <w:r>
        <w:rPr>
          <w:spacing w:val="-6"/>
          <w:sz w:val="16"/>
          <w:szCs w:val="16"/>
          <w:lang w:val="es-ES_tradnl"/>
        </w:rPr>
        <w:t xml:space="preserve">a Nacional, disponga </w:t>
      </w:r>
      <w:r>
        <w:rPr>
          <w:spacing w:val="-7"/>
          <w:sz w:val="16"/>
          <w:szCs w:val="16"/>
          <w:lang w:val="es-ES_tradnl"/>
        </w:rPr>
        <w:t>el tr</w:t>
      </w:r>
      <w:r>
        <w:rPr>
          <w:rFonts w:cs="Times New Roman"/>
          <w:spacing w:val="-7"/>
          <w:sz w:val="16"/>
          <w:szCs w:val="16"/>
          <w:lang w:val="es-ES_tradnl"/>
        </w:rPr>
        <w:t>á</w:t>
      </w:r>
      <w:r>
        <w:rPr>
          <w:spacing w:val="-7"/>
          <w:sz w:val="16"/>
          <w:szCs w:val="16"/>
          <w:lang w:val="es-ES_tradnl"/>
        </w:rPr>
        <w:t>mite respectivo para alcanzar del se</w:t>
      </w:r>
      <w:r>
        <w:rPr>
          <w:rFonts w:cs="Times New Roman"/>
          <w:spacing w:val="-7"/>
          <w:sz w:val="16"/>
          <w:szCs w:val="16"/>
          <w:lang w:val="es-ES_tradnl"/>
        </w:rPr>
        <w:t>ñ</w:t>
      </w:r>
      <w:r>
        <w:rPr>
          <w:spacing w:val="-7"/>
          <w:sz w:val="16"/>
          <w:szCs w:val="16"/>
          <w:lang w:val="es-ES_tradnl"/>
        </w:rPr>
        <w:t xml:space="preserve">or Presidente de la </w:t>
      </w:r>
      <w:r>
        <w:rPr>
          <w:spacing w:val="-6"/>
          <w:sz w:val="16"/>
          <w:szCs w:val="16"/>
          <w:lang w:val="es-ES_tradnl"/>
        </w:rPr>
        <w:t>Rep</w:t>
      </w:r>
      <w:r>
        <w:rPr>
          <w:rFonts w:cs="Times New Roman"/>
          <w:spacing w:val="-6"/>
          <w:sz w:val="16"/>
          <w:szCs w:val="16"/>
          <w:lang w:val="es-ES_tradnl"/>
        </w:rPr>
        <w:t>ú</w:t>
      </w:r>
      <w:r>
        <w:rPr>
          <w:spacing w:val="-6"/>
          <w:sz w:val="16"/>
          <w:szCs w:val="16"/>
          <w:lang w:val="es-ES_tradnl"/>
        </w:rPr>
        <w:t xml:space="preserve">blica del Ecuador, el correspondiente Decreto Ejecutivo </w:t>
      </w:r>
      <w:r>
        <w:rPr>
          <w:spacing w:val="-5"/>
          <w:sz w:val="16"/>
          <w:szCs w:val="16"/>
          <w:lang w:val="es-ES_tradnl"/>
        </w:rPr>
        <w:t xml:space="preserve">Reservado que establezca dos vacantes para el grado de </w:t>
      </w:r>
      <w:r>
        <w:rPr>
          <w:spacing w:val="-7"/>
          <w:sz w:val="16"/>
          <w:szCs w:val="16"/>
          <w:lang w:val="es-ES_tradnl"/>
        </w:rPr>
        <w:t>Suboficiales Mayores de Servicios Administrativos dentro del Org</w:t>
      </w:r>
      <w:r>
        <w:rPr>
          <w:rFonts w:cs="Times New Roman"/>
          <w:spacing w:val="-7"/>
          <w:sz w:val="16"/>
          <w:szCs w:val="16"/>
          <w:lang w:val="es-ES_tradnl"/>
        </w:rPr>
        <w:t>á</w:t>
      </w:r>
      <w:r>
        <w:rPr>
          <w:spacing w:val="-7"/>
          <w:sz w:val="16"/>
          <w:szCs w:val="16"/>
          <w:lang w:val="es-ES_tradnl"/>
        </w:rPr>
        <w:t>nico Institucional de la Polic</w:t>
      </w:r>
      <w:r>
        <w:rPr>
          <w:rFonts w:cs="Times New Roman"/>
          <w:spacing w:val="-7"/>
          <w:sz w:val="16"/>
          <w:szCs w:val="16"/>
          <w:lang w:val="es-ES_tradnl"/>
        </w:rPr>
        <w:t>í</w:t>
      </w:r>
      <w:r>
        <w:rPr>
          <w:spacing w:val="-7"/>
          <w:sz w:val="16"/>
          <w:szCs w:val="16"/>
          <w:lang w:val="es-ES_tradnl"/>
        </w:rPr>
        <w:t xml:space="preserve">a Nacional aprobado para el </w:t>
      </w:r>
      <w:r>
        <w:rPr>
          <w:spacing w:val="-6"/>
          <w:sz w:val="16"/>
          <w:szCs w:val="16"/>
          <w:lang w:val="es-ES_tradnl"/>
        </w:rPr>
        <w:t>a</w:t>
      </w:r>
      <w:r>
        <w:rPr>
          <w:rFonts w:cs="Times New Roman"/>
          <w:spacing w:val="-6"/>
          <w:sz w:val="16"/>
          <w:szCs w:val="16"/>
          <w:lang w:val="es-ES_tradnl"/>
        </w:rPr>
        <w:t>ñ</w:t>
      </w:r>
      <w:r>
        <w:rPr>
          <w:spacing w:val="-6"/>
          <w:sz w:val="16"/>
          <w:szCs w:val="16"/>
          <w:lang w:val="es-ES_tradnl"/>
        </w:rPr>
        <w:t>o 2010; y, finalmente, la Resoluci</w:t>
      </w:r>
      <w:r>
        <w:rPr>
          <w:rFonts w:cs="Times New Roman"/>
          <w:spacing w:val="-6"/>
          <w:sz w:val="16"/>
          <w:szCs w:val="16"/>
          <w:lang w:val="es-ES_tradnl"/>
        </w:rPr>
        <w:t>ó</w:t>
      </w:r>
      <w:r>
        <w:rPr>
          <w:spacing w:val="-6"/>
          <w:sz w:val="16"/>
          <w:szCs w:val="16"/>
          <w:lang w:val="es-ES_tradnl"/>
        </w:rPr>
        <w:t>n No. 2011-0430-CCP-</w:t>
      </w:r>
      <w:r>
        <w:rPr>
          <w:spacing w:val="-5"/>
          <w:sz w:val="16"/>
          <w:szCs w:val="16"/>
          <w:lang w:val="es-ES_tradnl"/>
        </w:rPr>
        <w:t xml:space="preserve">PN, de 24 de marzo de 2011, mediante la cual se deja sin </w:t>
      </w:r>
      <w:r>
        <w:rPr>
          <w:spacing w:val="-2"/>
          <w:sz w:val="16"/>
          <w:szCs w:val="16"/>
          <w:lang w:val="es-ES_tradnl"/>
        </w:rPr>
        <w:t>efecto el contenido de la Resoluci</w:t>
      </w:r>
      <w:r>
        <w:rPr>
          <w:rFonts w:cs="Times New Roman"/>
          <w:spacing w:val="-2"/>
          <w:sz w:val="16"/>
          <w:szCs w:val="16"/>
          <w:lang w:val="es-ES_tradnl"/>
        </w:rPr>
        <w:t>ó</w:t>
      </w:r>
      <w:r>
        <w:rPr>
          <w:spacing w:val="-2"/>
          <w:sz w:val="16"/>
          <w:szCs w:val="16"/>
          <w:lang w:val="es-ES_tradnl"/>
        </w:rPr>
        <w:t>n No. 2011-0099-ccp-</w:t>
      </w:r>
      <w:r>
        <w:rPr>
          <w:spacing w:val="-4"/>
          <w:sz w:val="16"/>
          <w:szCs w:val="16"/>
          <w:lang w:val="es-ES_tradnl"/>
        </w:rPr>
        <w:t xml:space="preserve">pn, de 11 de enero de 2011 y ratifica el contenido de la </w:t>
      </w:r>
      <w:r>
        <w:rPr>
          <w:spacing w:val="-7"/>
          <w:sz w:val="16"/>
          <w:szCs w:val="16"/>
          <w:lang w:val="es-ES_tradnl"/>
        </w:rPr>
        <w:t>Resoluci</w:t>
      </w:r>
      <w:r>
        <w:rPr>
          <w:rFonts w:cs="Times New Roman"/>
          <w:spacing w:val="-7"/>
          <w:sz w:val="16"/>
          <w:szCs w:val="16"/>
          <w:lang w:val="es-ES_tradnl"/>
        </w:rPr>
        <w:t>ó</w:t>
      </w:r>
      <w:r>
        <w:rPr>
          <w:spacing w:val="-7"/>
          <w:sz w:val="16"/>
          <w:szCs w:val="16"/>
          <w:lang w:val="es-ES_tradnl"/>
        </w:rPr>
        <w:t xml:space="preserve">n No. 2010-0655-CCP-PN de 07 de mayo de 2010, </w:t>
      </w:r>
      <w:r>
        <w:rPr>
          <w:spacing w:val="-5"/>
          <w:sz w:val="16"/>
          <w:szCs w:val="16"/>
          <w:lang w:val="es-ES_tradnl"/>
        </w:rPr>
        <w:t xml:space="preserve">ratificada mediante Resoluciones Nos. 2010-1189-CCP-PN </w:t>
      </w:r>
      <w:r>
        <w:rPr>
          <w:spacing w:val="-7"/>
          <w:sz w:val="16"/>
          <w:szCs w:val="16"/>
          <w:lang w:val="es-ES_tradnl"/>
        </w:rPr>
        <w:t>y 2010-1190-CCP-PN, de 17 de agosto de 2010, a trav</w:t>
      </w:r>
      <w:r>
        <w:rPr>
          <w:rFonts w:cs="Times New Roman"/>
          <w:spacing w:val="-7"/>
          <w:sz w:val="16"/>
          <w:szCs w:val="16"/>
          <w:lang w:val="es-ES_tradnl"/>
        </w:rPr>
        <w:t>é</w:t>
      </w:r>
      <w:r>
        <w:rPr>
          <w:spacing w:val="-7"/>
          <w:sz w:val="16"/>
          <w:szCs w:val="16"/>
          <w:lang w:val="es-ES_tradnl"/>
        </w:rPr>
        <w:t>s de las cuales se les califica de NO ID</w:t>
      </w:r>
      <w:r>
        <w:rPr>
          <w:rFonts w:cs="Times New Roman"/>
          <w:spacing w:val="-7"/>
          <w:sz w:val="16"/>
          <w:szCs w:val="16"/>
          <w:lang w:val="es-ES_tradnl"/>
        </w:rPr>
        <w:t>Ó</w:t>
      </w:r>
      <w:r>
        <w:rPr>
          <w:spacing w:val="-7"/>
          <w:sz w:val="16"/>
          <w:szCs w:val="16"/>
          <w:lang w:val="es-ES_tradnl"/>
        </w:rPr>
        <w:t xml:space="preserve">NEAS para el ascenso a </w:t>
      </w:r>
      <w:r>
        <w:rPr>
          <w:spacing w:val="-9"/>
          <w:sz w:val="16"/>
          <w:szCs w:val="16"/>
          <w:lang w:val="es-ES_tradnl"/>
        </w:rPr>
        <w:t xml:space="preserve">las Suboficiales antes nombradas. En esta parte es importante </w:t>
      </w:r>
      <w:r>
        <w:rPr>
          <w:spacing w:val="-4"/>
          <w:sz w:val="16"/>
          <w:szCs w:val="16"/>
          <w:lang w:val="es-ES_tradnl"/>
        </w:rPr>
        <w:t>resaltar, que en la Resoluci</w:t>
      </w:r>
      <w:r>
        <w:rPr>
          <w:rFonts w:cs="Times New Roman"/>
          <w:spacing w:val="-4"/>
          <w:sz w:val="16"/>
          <w:szCs w:val="16"/>
          <w:lang w:val="es-ES_tradnl"/>
        </w:rPr>
        <w:t>ó</w:t>
      </w:r>
      <w:r>
        <w:rPr>
          <w:spacing w:val="-4"/>
          <w:sz w:val="16"/>
          <w:szCs w:val="16"/>
          <w:lang w:val="es-ES_tradnl"/>
        </w:rPr>
        <w:t xml:space="preserve">n No. 2011-0099-CCP-PN, de 11 de enero de 2011, que deja sin efecto las anteriores, en </w:t>
      </w:r>
      <w:r>
        <w:rPr>
          <w:spacing w:val="-6"/>
          <w:sz w:val="16"/>
          <w:szCs w:val="16"/>
          <w:lang w:val="es-ES_tradnl"/>
        </w:rPr>
        <w:t xml:space="preserve">el numeral 3 de la misma, expresamente se manifiesta: </w:t>
      </w:r>
      <w:r>
        <w:rPr>
          <w:rFonts w:cs="Times New Roman"/>
          <w:spacing w:val="-6"/>
          <w:sz w:val="16"/>
          <w:szCs w:val="16"/>
          <w:lang w:val="es-ES_tradnl"/>
        </w:rPr>
        <w:t>“</w:t>
      </w:r>
      <w:r>
        <w:rPr>
          <w:spacing w:val="-6"/>
          <w:sz w:val="16"/>
          <w:szCs w:val="16"/>
          <w:lang w:val="es-ES_tradnl"/>
        </w:rPr>
        <w:t>3.-</w:t>
      </w:r>
      <w:r>
        <w:rPr>
          <w:spacing w:val="-5"/>
          <w:sz w:val="16"/>
          <w:szCs w:val="16"/>
          <w:lang w:val="es-ES_tradnl"/>
        </w:rPr>
        <w:t>SOLICITAR al se</w:t>
      </w:r>
      <w:r>
        <w:rPr>
          <w:rFonts w:cs="Times New Roman"/>
          <w:spacing w:val="-5"/>
          <w:sz w:val="16"/>
          <w:szCs w:val="16"/>
          <w:lang w:val="es-ES_tradnl"/>
        </w:rPr>
        <w:t>ñ</w:t>
      </w:r>
      <w:r>
        <w:rPr>
          <w:spacing w:val="-5"/>
          <w:sz w:val="16"/>
          <w:szCs w:val="16"/>
          <w:lang w:val="es-ES_tradnl"/>
        </w:rPr>
        <w:t>or Comandante General de la Polic</w:t>
      </w:r>
      <w:r>
        <w:rPr>
          <w:rFonts w:cs="Times New Roman"/>
          <w:spacing w:val="-5"/>
          <w:sz w:val="16"/>
          <w:szCs w:val="16"/>
          <w:lang w:val="es-ES_tradnl"/>
        </w:rPr>
        <w:t>í</w:t>
      </w:r>
      <w:r>
        <w:rPr>
          <w:spacing w:val="-5"/>
          <w:sz w:val="16"/>
          <w:szCs w:val="16"/>
          <w:lang w:val="es-ES_tradnl"/>
        </w:rPr>
        <w:t xml:space="preserve">a </w:t>
      </w:r>
      <w:r>
        <w:rPr>
          <w:spacing w:val="-1"/>
          <w:sz w:val="16"/>
          <w:szCs w:val="16"/>
          <w:lang w:val="es-ES_tradnl"/>
        </w:rPr>
        <w:t>Nacional, se digne disponer el tr</w:t>
      </w:r>
      <w:r>
        <w:rPr>
          <w:rFonts w:cs="Times New Roman"/>
          <w:spacing w:val="-1"/>
          <w:sz w:val="16"/>
          <w:szCs w:val="16"/>
          <w:lang w:val="es-ES_tradnl"/>
        </w:rPr>
        <w:t>á</w:t>
      </w:r>
      <w:r>
        <w:rPr>
          <w:spacing w:val="-1"/>
          <w:sz w:val="16"/>
          <w:szCs w:val="16"/>
          <w:lang w:val="es-ES_tradnl"/>
        </w:rPr>
        <w:t xml:space="preserve">mite respectivo para </w:t>
      </w:r>
      <w:r>
        <w:rPr>
          <w:spacing w:val="-4"/>
          <w:sz w:val="16"/>
          <w:szCs w:val="16"/>
          <w:lang w:val="es-ES_tradnl"/>
        </w:rPr>
        <w:t>alcanzar del se</w:t>
      </w:r>
      <w:r>
        <w:rPr>
          <w:rFonts w:cs="Times New Roman"/>
          <w:spacing w:val="-4"/>
          <w:sz w:val="16"/>
          <w:szCs w:val="16"/>
          <w:lang w:val="es-ES_tradnl"/>
        </w:rPr>
        <w:t>ñ</w:t>
      </w:r>
      <w:r>
        <w:rPr>
          <w:spacing w:val="-4"/>
          <w:sz w:val="16"/>
          <w:szCs w:val="16"/>
          <w:lang w:val="es-ES_tradnl"/>
        </w:rPr>
        <w:t>or Presidente de la Rep</w:t>
      </w:r>
      <w:r>
        <w:rPr>
          <w:rFonts w:cs="Times New Roman"/>
          <w:spacing w:val="-4"/>
          <w:sz w:val="16"/>
          <w:szCs w:val="16"/>
          <w:lang w:val="es-ES_tradnl"/>
        </w:rPr>
        <w:t>ú</w:t>
      </w:r>
      <w:r>
        <w:rPr>
          <w:spacing w:val="-4"/>
          <w:sz w:val="16"/>
          <w:szCs w:val="16"/>
          <w:lang w:val="es-ES_tradnl"/>
        </w:rPr>
        <w:t xml:space="preserve">blica del Ecuador, </w:t>
      </w:r>
      <w:r>
        <w:rPr>
          <w:spacing w:val="-5"/>
          <w:sz w:val="16"/>
          <w:szCs w:val="16"/>
          <w:lang w:val="es-ES_tradnl"/>
        </w:rPr>
        <w:t xml:space="preserve">el correspondiente Decreto Ejecutivo que establezca dos </w:t>
      </w:r>
      <w:r>
        <w:rPr>
          <w:spacing w:val="-8"/>
          <w:sz w:val="16"/>
          <w:szCs w:val="16"/>
          <w:lang w:val="es-ES_tradnl"/>
        </w:rPr>
        <w:t xml:space="preserve">vacantes para el Grado de Suboficiales Mayores de Servicios </w:t>
      </w:r>
      <w:r>
        <w:rPr>
          <w:sz w:val="16"/>
          <w:szCs w:val="16"/>
          <w:lang w:val="es-ES_tradnl"/>
        </w:rPr>
        <w:t>Administrativos dentro del Org</w:t>
      </w:r>
      <w:r>
        <w:rPr>
          <w:rFonts w:cs="Times New Roman"/>
          <w:sz w:val="16"/>
          <w:szCs w:val="16"/>
          <w:lang w:val="es-ES_tradnl"/>
        </w:rPr>
        <w:t>á</w:t>
      </w:r>
      <w:r>
        <w:rPr>
          <w:sz w:val="16"/>
          <w:szCs w:val="16"/>
          <w:lang w:val="es-ES_tradnl"/>
        </w:rPr>
        <w:t xml:space="preserve">nico Institucional de la </w:t>
      </w:r>
      <w:r>
        <w:rPr>
          <w:spacing w:val="-4"/>
          <w:sz w:val="16"/>
          <w:szCs w:val="16"/>
          <w:lang w:val="es-ES_tradnl"/>
        </w:rPr>
        <w:t>Polic</w:t>
      </w:r>
      <w:r>
        <w:rPr>
          <w:rFonts w:cs="Times New Roman"/>
          <w:spacing w:val="-4"/>
          <w:sz w:val="16"/>
          <w:szCs w:val="16"/>
          <w:lang w:val="es-ES_tradnl"/>
        </w:rPr>
        <w:t>í</w:t>
      </w:r>
      <w:r>
        <w:rPr>
          <w:spacing w:val="-4"/>
          <w:sz w:val="16"/>
          <w:szCs w:val="16"/>
          <w:lang w:val="es-ES_tradnl"/>
        </w:rPr>
        <w:t>a Nacional aprobado para el a</w:t>
      </w:r>
      <w:r>
        <w:rPr>
          <w:rFonts w:cs="Times New Roman"/>
          <w:spacing w:val="-4"/>
          <w:sz w:val="16"/>
          <w:szCs w:val="16"/>
          <w:lang w:val="es-ES_tradnl"/>
        </w:rPr>
        <w:t>ñ</w:t>
      </w:r>
      <w:r>
        <w:rPr>
          <w:spacing w:val="-4"/>
          <w:sz w:val="16"/>
          <w:szCs w:val="16"/>
          <w:lang w:val="es-ES_tradnl"/>
        </w:rPr>
        <w:t xml:space="preserve">o 2010; y, finalmente, </w:t>
      </w:r>
      <w:r>
        <w:rPr>
          <w:spacing w:val="-6"/>
          <w:sz w:val="16"/>
          <w:szCs w:val="16"/>
          <w:lang w:val="es-ES_tradnl"/>
        </w:rPr>
        <w:t>la Resoluci</w:t>
      </w:r>
      <w:r>
        <w:rPr>
          <w:rFonts w:cs="Times New Roman"/>
          <w:spacing w:val="-6"/>
          <w:sz w:val="16"/>
          <w:szCs w:val="16"/>
          <w:lang w:val="es-ES_tradnl"/>
        </w:rPr>
        <w:t>ó</w:t>
      </w:r>
      <w:r>
        <w:rPr>
          <w:spacing w:val="-6"/>
          <w:sz w:val="16"/>
          <w:szCs w:val="16"/>
          <w:lang w:val="es-ES_tradnl"/>
        </w:rPr>
        <w:t xml:space="preserve">n No. 2011-0430-CCP-PN, de 24 de marzo de 2011, mediante la cual se deja sin efecto el contenido de la </w:t>
      </w:r>
      <w:r>
        <w:rPr>
          <w:spacing w:val="-7"/>
          <w:sz w:val="16"/>
          <w:szCs w:val="16"/>
          <w:lang w:val="es-ES_tradnl"/>
        </w:rPr>
        <w:t>Resoluci</w:t>
      </w:r>
      <w:r>
        <w:rPr>
          <w:rFonts w:cs="Times New Roman"/>
          <w:spacing w:val="-7"/>
          <w:sz w:val="16"/>
          <w:szCs w:val="16"/>
          <w:lang w:val="es-ES_tradnl"/>
        </w:rPr>
        <w:t>ó</w:t>
      </w:r>
      <w:r>
        <w:rPr>
          <w:spacing w:val="-7"/>
          <w:sz w:val="16"/>
          <w:szCs w:val="16"/>
          <w:lang w:val="es-ES_tradnl"/>
        </w:rPr>
        <w:t xml:space="preserve">n No. 2011-0099-CCP-PN, de 11 de enero de 2011 </w:t>
      </w:r>
      <w:r>
        <w:rPr>
          <w:spacing w:val="-6"/>
          <w:sz w:val="16"/>
          <w:szCs w:val="16"/>
          <w:lang w:val="es-ES_tradnl"/>
        </w:rPr>
        <w:t>y ratifica el contenido de la Resoluci</w:t>
      </w:r>
      <w:r>
        <w:rPr>
          <w:rFonts w:cs="Times New Roman"/>
          <w:spacing w:val="-6"/>
          <w:sz w:val="16"/>
          <w:szCs w:val="16"/>
          <w:lang w:val="es-ES_tradnl"/>
        </w:rPr>
        <w:t>ó</w:t>
      </w:r>
      <w:r>
        <w:rPr>
          <w:spacing w:val="-6"/>
          <w:sz w:val="16"/>
          <w:szCs w:val="16"/>
          <w:lang w:val="es-ES_tradnl"/>
        </w:rPr>
        <w:t>n No. 2010-0655-CCP-</w:t>
      </w:r>
      <w:r>
        <w:rPr>
          <w:spacing w:val="-8"/>
          <w:sz w:val="16"/>
          <w:szCs w:val="16"/>
          <w:lang w:val="es-ES_tradnl"/>
        </w:rPr>
        <w:t xml:space="preserve">PN de 07 de mayo de 2010, ratificada mediante Resoluciones </w:t>
      </w:r>
      <w:r>
        <w:rPr>
          <w:spacing w:val="-6"/>
          <w:sz w:val="16"/>
          <w:szCs w:val="16"/>
          <w:lang w:val="es-ES_tradnl"/>
        </w:rPr>
        <w:t>Nos. 2010-1189-CCP-PN y 2010-1190-CCP-PN, de 17 de agosto de 2010, a trav</w:t>
      </w:r>
      <w:r>
        <w:rPr>
          <w:rFonts w:cs="Times New Roman"/>
          <w:spacing w:val="-6"/>
          <w:sz w:val="16"/>
          <w:szCs w:val="16"/>
          <w:lang w:val="es-ES_tradnl"/>
        </w:rPr>
        <w:t>é</w:t>
      </w:r>
      <w:r>
        <w:rPr>
          <w:spacing w:val="-6"/>
          <w:sz w:val="16"/>
          <w:szCs w:val="16"/>
          <w:lang w:val="es-ES_tradnl"/>
        </w:rPr>
        <w:t xml:space="preserve">s de las cuales se les califica de NO </w:t>
      </w:r>
      <w:r>
        <w:rPr>
          <w:spacing w:val="-10"/>
          <w:sz w:val="16"/>
          <w:szCs w:val="16"/>
          <w:lang w:val="es-ES_tradnl"/>
        </w:rPr>
        <w:t xml:space="preserve">IDONEAS para el ascenso a las Suboficiales antes nombradas. </w:t>
      </w:r>
      <w:r>
        <w:rPr>
          <w:spacing w:val="-7"/>
          <w:sz w:val="16"/>
          <w:szCs w:val="16"/>
          <w:lang w:val="es-ES_tradnl"/>
        </w:rPr>
        <w:t>En esta parte es importante resaltar, que en la Resoluci</w:t>
      </w:r>
      <w:r>
        <w:rPr>
          <w:rFonts w:cs="Times New Roman"/>
          <w:spacing w:val="-7"/>
          <w:sz w:val="16"/>
          <w:szCs w:val="16"/>
          <w:lang w:val="es-ES_tradnl"/>
        </w:rPr>
        <w:t>ó</w:t>
      </w:r>
      <w:r>
        <w:rPr>
          <w:spacing w:val="-7"/>
          <w:sz w:val="16"/>
          <w:szCs w:val="16"/>
          <w:lang w:val="es-ES_tradnl"/>
        </w:rPr>
        <w:t xml:space="preserve">n No. </w:t>
      </w:r>
      <w:r>
        <w:rPr>
          <w:spacing w:val="-4"/>
          <w:sz w:val="16"/>
          <w:szCs w:val="16"/>
          <w:lang w:val="es-ES_tradnl"/>
        </w:rPr>
        <w:t>2011-0099-CCP-PN, de 11 de enero de 2011, que deja sin</w:t>
      </w:r>
    </w:p>
    <w:p w14:paraId="4F67B8E1" w14:textId="77777777" w:rsidR="00591D54" w:rsidRDefault="00591D54">
      <w:pPr>
        <w:shd w:val="clear" w:color="auto" w:fill="FFFFFF"/>
        <w:spacing w:line="230" w:lineRule="exact"/>
        <w:ind w:left="283"/>
        <w:jc w:val="both"/>
      </w:pPr>
      <w:r>
        <w:br w:type="column"/>
      </w:r>
      <w:r>
        <w:rPr>
          <w:spacing w:val="-11"/>
          <w:sz w:val="16"/>
          <w:szCs w:val="16"/>
          <w:lang w:val="es-ES_tradnl"/>
        </w:rPr>
        <w:t xml:space="preserve">efecto las anteriores, en el numeral 3 de la misma, expresamente </w:t>
      </w:r>
      <w:r>
        <w:rPr>
          <w:spacing w:val="-5"/>
          <w:sz w:val="16"/>
          <w:szCs w:val="16"/>
          <w:lang w:val="es-ES_tradnl"/>
        </w:rPr>
        <w:t xml:space="preserve">se manifiesta: </w:t>
      </w:r>
      <w:r>
        <w:rPr>
          <w:rFonts w:cs="Times New Roman"/>
          <w:spacing w:val="-5"/>
          <w:sz w:val="16"/>
          <w:szCs w:val="16"/>
          <w:lang w:val="es-ES_tradnl"/>
        </w:rPr>
        <w:t>“</w:t>
      </w:r>
      <w:r>
        <w:rPr>
          <w:spacing w:val="-5"/>
          <w:sz w:val="16"/>
          <w:szCs w:val="16"/>
          <w:lang w:val="es-ES_tradnl"/>
        </w:rPr>
        <w:t>3.- SOLICITAR al se</w:t>
      </w:r>
      <w:r>
        <w:rPr>
          <w:rFonts w:cs="Times New Roman"/>
          <w:spacing w:val="-5"/>
          <w:sz w:val="16"/>
          <w:szCs w:val="16"/>
          <w:lang w:val="es-ES_tradnl"/>
        </w:rPr>
        <w:t>ñ</w:t>
      </w:r>
      <w:r>
        <w:rPr>
          <w:spacing w:val="-5"/>
          <w:sz w:val="16"/>
          <w:szCs w:val="16"/>
          <w:lang w:val="es-ES_tradnl"/>
        </w:rPr>
        <w:t xml:space="preserve">or Comandante de la </w:t>
      </w:r>
      <w:r>
        <w:rPr>
          <w:spacing w:val="-6"/>
          <w:sz w:val="16"/>
          <w:szCs w:val="16"/>
          <w:lang w:val="es-ES_tradnl"/>
        </w:rPr>
        <w:t>Polic</w:t>
      </w:r>
      <w:r>
        <w:rPr>
          <w:rFonts w:cs="Times New Roman"/>
          <w:spacing w:val="-6"/>
          <w:sz w:val="16"/>
          <w:szCs w:val="16"/>
          <w:lang w:val="es-ES_tradnl"/>
        </w:rPr>
        <w:t>í</w:t>
      </w:r>
      <w:r>
        <w:rPr>
          <w:spacing w:val="-6"/>
          <w:sz w:val="16"/>
          <w:szCs w:val="16"/>
          <w:lang w:val="es-ES_tradnl"/>
        </w:rPr>
        <w:t>a Nacional, se digne disponer el tr</w:t>
      </w:r>
      <w:r>
        <w:rPr>
          <w:rFonts w:cs="Times New Roman"/>
          <w:spacing w:val="-6"/>
          <w:sz w:val="16"/>
          <w:szCs w:val="16"/>
          <w:lang w:val="es-ES_tradnl"/>
        </w:rPr>
        <w:t>á</w:t>
      </w:r>
      <w:r>
        <w:rPr>
          <w:spacing w:val="-6"/>
          <w:sz w:val="16"/>
          <w:szCs w:val="16"/>
          <w:lang w:val="es-ES_tradnl"/>
        </w:rPr>
        <w:t xml:space="preserve">mite respectivo para </w:t>
      </w:r>
      <w:r>
        <w:rPr>
          <w:spacing w:val="-4"/>
          <w:sz w:val="16"/>
          <w:szCs w:val="16"/>
          <w:lang w:val="es-ES_tradnl"/>
        </w:rPr>
        <w:t>alcanzar del se</w:t>
      </w:r>
      <w:r>
        <w:rPr>
          <w:rFonts w:cs="Times New Roman"/>
          <w:spacing w:val="-4"/>
          <w:sz w:val="16"/>
          <w:szCs w:val="16"/>
          <w:lang w:val="es-ES_tradnl"/>
        </w:rPr>
        <w:t>ñ</w:t>
      </w:r>
      <w:r>
        <w:rPr>
          <w:spacing w:val="-4"/>
          <w:sz w:val="16"/>
          <w:szCs w:val="16"/>
          <w:lang w:val="es-ES_tradnl"/>
        </w:rPr>
        <w:t>or Presidente de la Rep</w:t>
      </w:r>
      <w:r>
        <w:rPr>
          <w:rFonts w:cs="Times New Roman"/>
          <w:spacing w:val="-4"/>
          <w:sz w:val="16"/>
          <w:szCs w:val="16"/>
          <w:lang w:val="es-ES_tradnl"/>
        </w:rPr>
        <w:t>ú</w:t>
      </w:r>
      <w:r>
        <w:rPr>
          <w:spacing w:val="-4"/>
          <w:sz w:val="16"/>
          <w:szCs w:val="16"/>
          <w:lang w:val="es-ES_tradnl"/>
        </w:rPr>
        <w:t xml:space="preserve">blica del Ecuador, </w:t>
      </w:r>
      <w:r>
        <w:rPr>
          <w:spacing w:val="-5"/>
          <w:sz w:val="16"/>
          <w:szCs w:val="16"/>
          <w:lang w:val="es-ES_tradnl"/>
        </w:rPr>
        <w:t xml:space="preserve">el correspondiente Decreto Ejecutivo que establezca dos </w:t>
      </w:r>
      <w:r>
        <w:rPr>
          <w:spacing w:val="-7"/>
          <w:sz w:val="16"/>
          <w:szCs w:val="16"/>
          <w:lang w:val="es-ES_tradnl"/>
        </w:rPr>
        <w:t xml:space="preserve">vacantes para el Grado de Suboficiales Mayores de Servicios </w:t>
      </w:r>
      <w:r>
        <w:rPr>
          <w:spacing w:val="-6"/>
          <w:sz w:val="16"/>
          <w:szCs w:val="16"/>
          <w:lang w:val="es-ES_tradnl"/>
        </w:rPr>
        <w:t>Administrativos dentro del Org</w:t>
      </w:r>
      <w:r>
        <w:rPr>
          <w:rFonts w:cs="Times New Roman"/>
          <w:spacing w:val="-6"/>
          <w:sz w:val="16"/>
          <w:szCs w:val="16"/>
          <w:lang w:val="es-ES_tradnl"/>
        </w:rPr>
        <w:t>á</w:t>
      </w:r>
      <w:r>
        <w:rPr>
          <w:spacing w:val="-6"/>
          <w:sz w:val="16"/>
          <w:szCs w:val="16"/>
          <w:lang w:val="es-ES_tradnl"/>
        </w:rPr>
        <w:t>nico Institucional de la Polic</w:t>
      </w:r>
      <w:r>
        <w:rPr>
          <w:rFonts w:cs="Times New Roman"/>
          <w:spacing w:val="-6"/>
          <w:sz w:val="16"/>
          <w:szCs w:val="16"/>
          <w:lang w:val="es-ES_tradnl"/>
        </w:rPr>
        <w:t>í</w:t>
      </w:r>
      <w:r>
        <w:rPr>
          <w:spacing w:val="-6"/>
          <w:sz w:val="16"/>
          <w:szCs w:val="16"/>
          <w:lang w:val="es-ES_tradnl"/>
        </w:rPr>
        <w:t>a Nacional aprobado para el a</w:t>
      </w:r>
      <w:r>
        <w:rPr>
          <w:rFonts w:cs="Times New Roman"/>
          <w:spacing w:val="-6"/>
          <w:sz w:val="16"/>
          <w:szCs w:val="16"/>
          <w:lang w:val="es-ES_tradnl"/>
        </w:rPr>
        <w:t>ñ</w:t>
      </w:r>
      <w:r>
        <w:rPr>
          <w:spacing w:val="-6"/>
          <w:sz w:val="16"/>
          <w:szCs w:val="16"/>
          <w:lang w:val="es-ES_tradnl"/>
        </w:rPr>
        <w:t xml:space="preserve">o 2010, de conformidad con el </w:t>
      </w:r>
      <w:r>
        <w:rPr>
          <w:spacing w:val="-3"/>
          <w:sz w:val="16"/>
          <w:szCs w:val="16"/>
          <w:lang w:val="es-ES_tradnl"/>
        </w:rPr>
        <w:t>Art. 18, literal d) de la Ley Org</w:t>
      </w:r>
      <w:r>
        <w:rPr>
          <w:rFonts w:cs="Times New Roman"/>
          <w:spacing w:val="-3"/>
          <w:sz w:val="16"/>
          <w:szCs w:val="16"/>
          <w:lang w:val="es-ES_tradnl"/>
        </w:rPr>
        <w:t>á</w:t>
      </w:r>
      <w:r>
        <w:rPr>
          <w:spacing w:val="-3"/>
          <w:sz w:val="16"/>
          <w:szCs w:val="16"/>
          <w:lang w:val="es-ES_tradnl"/>
        </w:rPr>
        <w:t>nica de la Polic</w:t>
      </w:r>
      <w:r>
        <w:rPr>
          <w:rFonts w:cs="Times New Roman"/>
          <w:spacing w:val="-3"/>
          <w:sz w:val="16"/>
          <w:szCs w:val="16"/>
          <w:lang w:val="es-ES_tradnl"/>
        </w:rPr>
        <w:t>í</w:t>
      </w:r>
      <w:r>
        <w:rPr>
          <w:spacing w:val="-3"/>
          <w:sz w:val="16"/>
          <w:szCs w:val="16"/>
          <w:lang w:val="es-ES_tradnl"/>
        </w:rPr>
        <w:t>a Nacional; a fin de que no exista ninguna discriminaci</w:t>
      </w:r>
      <w:r>
        <w:rPr>
          <w:rFonts w:cs="Times New Roman"/>
          <w:spacing w:val="-3"/>
          <w:sz w:val="16"/>
          <w:szCs w:val="16"/>
          <w:lang w:val="es-ES_tradnl"/>
        </w:rPr>
        <w:t>ó</w:t>
      </w:r>
      <w:r>
        <w:rPr>
          <w:spacing w:val="-3"/>
          <w:sz w:val="16"/>
          <w:szCs w:val="16"/>
          <w:lang w:val="es-ES_tradnl"/>
        </w:rPr>
        <w:t>n, ni violaci</w:t>
      </w:r>
      <w:r>
        <w:rPr>
          <w:rFonts w:cs="Times New Roman"/>
          <w:spacing w:val="-3"/>
          <w:sz w:val="16"/>
          <w:szCs w:val="16"/>
          <w:lang w:val="es-ES_tradnl"/>
        </w:rPr>
        <w:t>ó</w:t>
      </w:r>
      <w:r>
        <w:rPr>
          <w:spacing w:val="-3"/>
          <w:sz w:val="16"/>
          <w:szCs w:val="16"/>
          <w:lang w:val="es-ES_tradnl"/>
        </w:rPr>
        <w:t xml:space="preserve">n </w:t>
      </w:r>
      <w:r>
        <w:rPr>
          <w:spacing w:val="-4"/>
          <w:sz w:val="16"/>
          <w:szCs w:val="16"/>
          <w:lang w:val="es-ES_tradnl"/>
        </w:rPr>
        <w:t>de derecho constitucionales (SIC.), conforme lo establecen los Arts. 11 y 436 de la Constituci</w:t>
      </w:r>
      <w:r>
        <w:rPr>
          <w:rFonts w:cs="Times New Roman"/>
          <w:spacing w:val="-4"/>
          <w:sz w:val="16"/>
          <w:szCs w:val="16"/>
          <w:lang w:val="es-ES_tradnl"/>
        </w:rPr>
        <w:t>ó</w:t>
      </w:r>
      <w:r>
        <w:rPr>
          <w:spacing w:val="-4"/>
          <w:sz w:val="16"/>
          <w:szCs w:val="16"/>
          <w:lang w:val="es-ES_tradnl"/>
        </w:rPr>
        <w:t>n de la Rep</w:t>
      </w:r>
      <w:r>
        <w:rPr>
          <w:rFonts w:cs="Times New Roman"/>
          <w:spacing w:val="-4"/>
          <w:sz w:val="16"/>
          <w:szCs w:val="16"/>
          <w:lang w:val="es-ES_tradnl"/>
        </w:rPr>
        <w:t>ú</w:t>
      </w:r>
      <w:r>
        <w:rPr>
          <w:spacing w:val="-4"/>
          <w:sz w:val="16"/>
          <w:szCs w:val="16"/>
          <w:lang w:val="es-ES_tradnl"/>
        </w:rPr>
        <w:t xml:space="preserve">blica del </w:t>
      </w:r>
      <w:r>
        <w:rPr>
          <w:spacing w:val="-8"/>
          <w:sz w:val="16"/>
          <w:szCs w:val="16"/>
          <w:lang w:val="es-ES_tradnl"/>
        </w:rPr>
        <w:t xml:space="preserve">Ecuador. Una vez alcanzadas las vacantes respectivas, se </w:t>
      </w:r>
      <w:r>
        <w:rPr>
          <w:spacing w:val="-7"/>
          <w:sz w:val="16"/>
          <w:szCs w:val="16"/>
          <w:lang w:val="es-ES_tradnl"/>
        </w:rPr>
        <w:t>proceder</w:t>
      </w:r>
      <w:r>
        <w:rPr>
          <w:rFonts w:cs="Times New Roman"/>
          <w:spacing w:val="-7"/>
          <w:sz w:val="16"/>
          <w:szCs w:val="16"/>
          <w:lang w:val="es-ES_tradnl"/>
        </w:rPr>
        <w:t>á</w:t>
      </w:r>
      <w:r>
        <w:rPr>
          <w:spacing w:val="-7"/>
          <w:sz w:val="16"/>
          <w:szCs w:val="16"/>
          <w:lang w:val="es-ES_tradnl"/>
        </w:rPr>
        <w:t xml:space="preserve"> con el tr</w:t>
      </w:r>
      <w:r>
        <w:rPr>
          <w:rFonts w:cs="Times New Roman"/>
          <w:spacing w:val="-7"/>
          <w:sz w:val="16"/>
          <w:szCs w:val="16"/>
          <w:lang w:val="es-ES_tradnl"/>
        </w:rPr>
        <w:t>á</w:t>
      </w:r>
      <w:r>
        <w:rPr>
          <w:spacing w:val="-7"/>
          <w:sz w:val="16"/>
          <w:szCs w:val="16"/>
          <w:lang w:val="es-ES_tradnl"/>
        </w:rPr>
        <w:t>mite de calificaci</w:t>
      </w:r>
      <w:r>
        <w:rPr>
          <w:rFonts w:cs="Times New Roman"/>
          <w:spacing w:val="-7"/>
          <w:sz w:val="16"/>
          <w:szCs w:val="16"/>
          <w:lang w:val="es-ES_tradnl"/>
        </w:rPr>
        <w:t>ó</w:t>
      </w:r>
      <w:r>
        <w:rPr>
          <w:spacing w:val="-7"/>
          <w:sz w:val="16"/>
          <w:szCs w:val="16"/>
          <w:lang w:val="es-ES_tradnl"/>
        </w:rPr>
        <w:t>n y clasificaci</w:t>
      </w:r>
      <w:r>
        <w:rPr>
          <w:rFonts w:cs="Times New Roman"/>
          <w:spacing w:val="-7"/>
          <w:sz w:val="16"/>
          <w:szCs w:val="16"/>
          <w:lang w:val="es-ES_tradnl"/>
        </w:rPr>
        <w:t>ó</w:t>
      </w:r>
      <w:r>
        <w:rPr>
          <w:spacing w:val="-7"/>
          <w:sz w:val="16"/>
          <w:szCs w:val="16"/>
          <w:lang w:val="es-ES_tradnl"/>
        </w:rPr>
        <w:t xml:space="preserve">n para el </w:t>
      </w:r>
      <w:r>
        <w:rPr>
          <w:spacing w:val="-8"/>
          <w:sz w:val="16"/>
          <w:szCs w:val="16"/>
          <w:lang w:val="es-ES_tradnl"/>
        </w:rPr>
        <w:t>ascenso al inmediato grado superior de las referidas Miembros Policiales</w:t>
      </w:r>
      <w:r>
        <w:rPr>
          <w:rFonts w:cs="Times New Roman"/>
          <w:spacing w:val="-8"/>
          <w:sz w:val="16"/>
          <w:szCs w:val="16"/>
          <w:lang w:val="es-ES_tradnl"/>
        </w:rPr>
        <w:t>”</w:t>
      </w:r>
      <w:r>
        <w:rPr>
          <w:spacing w:val="-8"/>
          <w:sz w:val="16"/>
          <w:szCs w:val="16"/>
          <w:lang w:val="es-ES_tradnl"/>
        </w:rPr>
        <w:t xml:space="preserve"> Esto es, que el mismo Consejo de Clases y Polic</w:t>
      </w:r>
      <w:r>
        <w:rPr>
          <w:rFonts w:cs="Times New Roman"/>
          <w:spacing w:val="-8"/>
          <w:sz w:val="16"/>
          <w:szCs w:val="16"/>
          <w:lang w:val="es-ES_tradnl"/>
        </w:rPr>
        <w:t>í</w:t>
      </w:r>
      <w:r>
        <w:rPr>
          <w:spacing w:val="-8"/>
          <w:sz w:val="16"/>
          <w:szCs w:val="16"/>
          <w:lang w:val="es-ES_tradnl"/>
        </w:rPr>
        <w:t>as procedi</w:t>
      </w:r>
      <w:r>
        <w:rPr>
          <w:rFonts w:cs="Times New Roman"/>
          <w:spacing w:val="-8"/>
          <w:sz w:val="16"/>
          <w:szCs w:val="16"/>
          <w:lang w:val="es-ES_tradnl"/>
        </w:rPr>
        <w:t>ó</w:t>
      </w:r>
      <w:r>
        <w:rPr>
          <w:spacing w:val="-8"/>
          <w:sz w:val="16"/>
          <w:szCs w:val="16"/>
          <w:lang w:val="es-ES_tradnl"/>
        </w:rPr>
        <w:t xml:space="preserve"> en la forma anotada, porque de manera t</w:t>
      </w:r>
      <w:r>
        <w:rPr>
          <w:rFonts w:cs="Times New Roman"/>
          <w:spacing w:val="-8"/>
          <w:sz w:val="16"/>
          <w:szCs w:val="16"/>
          <w:lang w:val="es-ES_tradnl"/>
        </w:rPr>
        <w:t>á</w:t>
      </w:r>
      <w:r>
        <w:rPr>
          <w:spacing w:val="-8"/>
          <w:sz w:val="16"/>
          <w:szCs w:val="16"/>
          <w:lang w:val="es-ES_tradnl"/>
        </w:rPr>
        <w:t xml:space="preserve">cita estaba </w:t>
      </w:r>
      <w:r>
        <w:rPr>
          <w:spacing w:val="-7"/>
          <w:sz w:val="16"/>
          <w:szCs w:val="16"/>
          <w:lang w:val="es-ES_tradnl"/>
        </w:rPr>
        <w:t>reconociendo de que si no lo hac</w:t>
      </w:r>
      <w:r>
        <w:rPr>
          <w:rFonts w:cs="Times New Roman"/>
          <w:spacing w:val="-7"/>
          <w:sz w:val="16"/>
          <w:szCs w:val="16"/>
          <w:lang w:val="es-ES_tradnl"/>
        </w:rPr>
        <w:t>í</w:t>
      </w:r>
      <w:r>
        <w:rPr>
          <w:spacing w:val="-7"/>
          <w:sz w:val="16"/>
          <w:szCs w:val="16"/>
          <w:lang w:val="es-ES_tradnl"/>
        </w:rPr>
        <w:t>a, estar</w:t>
      </w:r>
      <w:r>
        <w:rPr>
          <w:rFonts w:cs="Times New Roman"/>
          <w:spacing w:val="-7"/>
          <w:sz w:val="16"/>
          <w:szCs w:val="16"/>
          <w:lang w:val="es-ES_tradnl"/>
        </w:rPr>
        <w:t>í</w:t>
      </w:r>
      <w:r>
        <w:rPr>
          <w:spacing w:val="-7"/>
          <w:sz w:val="16"/>
          <w:szCs w:val="16"/>
          <w:lang w:val="es-ES_tradnl"/>
        </w:rPr>
        <w:t xml:space="preserve">a trasgrediendo las </w:t>
      </w:r>
      <w:r>
        <w:rPr>
          <w:spacing w:val="-6"/>
          <w:sz w:val="16"/>
          <w:szCs w:val="16"/>
          <w:lang w:val="es-ES_tradnl"/>
        </w:rPr>
        <w:t xml:space="preserve">normas constitucionales en ella invocadas; mas, al dejar sin </w:t>
      </w:r>
      <w:r>
        <w:rPr>
          <w:spacing w:val="-5"/>
          <w:sz w:val="16"/>
          <w:szCs w:val="16"/>
          <w:lang w:val="es-ES_tradnl"/>
        </w:rPr>
        <w:t>efecto dicha Resoluci</w:t>
      </w:r>
      <w:r>
        <w:rPr>
          <w:rFonts w:cs="Times New Roman"/>
          <w:spacing w:val="-5"/>
          <w:sz w:val="16"/>
          <w:szCs w:val="16"/>
          <w:lang w:val="es-ES_tradnl"/>
        </w:rPr>
        <w:t>ó</w:t>
      </w:r>
      <w:r>
        <w:rPr>
          <w:spacing w:val="-5"/>
          <w:sz w:val="16"/>
          <w:szCs w:val="16"/>
          <w:lang w:val="es-ES_tradnl"/>
        </w:rPr>
        <w:t>n, se hace evidente la vulneraci</w:t>
      </w:r>
      <w:r>
        <w:rPr>
          <w:rFonts w:cs="Times New Roman"/>
          <w:spacing w:val="-5"/>
          <w:sz w:val="16"/>
          <w:szCs w:val="16"/>
          <w:lang w:val="es-ES_tradnl"/>
        </w:rPr>
        <w:t>ó</w:t>
      </w:r>
      <w:r>
        <w:rPr>
          <w:spacing w:val="-5"/>
          <w:sz w:val="16"/>
          <w:szCs w:val="16"/>
          <w:lang w:val="es-ES_tradnl"/>
        </w:rPr>
        <w:t xml:space="preserve">n de </w:t>
      </w:r>
      <w:r>
        <w:rPr>
          <w:spacing w:val="-8"/>
          <w:sz w:val="16"/>
          <w:szCs w:val="16"/>
          <w:lang w:val="es-ES_tradnl"/>
        </w:rPr>
        <w:t xml:space="preserve">los derechos consagrados, entre otras, en las disposiciones </w:t>
      </w:r>
      <w:r>
        <w:rPr>
          <w:spacing w:val="-2"/>
          <w:sz w:val="16"/>
          <w:szCs w:val="16"/>
          <w:lang w:val="es-ES_tradnl"/>
        </w:rPr>
        <w:t>contenidas en los art</w:t>
      </w:r>
      <w:r>
        <w:rPr>
          <w:rFonts w:cs="Times New Roman"/>
          <w:spacing w:val="-2"/>
          <w:sz w:val="16"/>
          <w:szCs w:val="16"/>
          <w:lang w:val="es-ES_tradnl"/>
        </w:rPr>
        <w:t>í</w:t>
      </w:r>
      <w:r>
        <w:rPr>
          <w:spacing w:val="-2"/>
          <w:sz w:val="16"/>
          <w:szCs w:val="16"/>
          <w:lang w:val="es-ES_tradnl"/>
        </w:rPr>
        <w:t>culos 11 y 436 de la Constituci</w:t>
      </w:r>
      <w:r>
        <w:rPr>
          <w:rFonts w:cs="Times New Roman"/>
          <w:spacing w:val="-2"/>
          <w:sz w:val="16"/>
          <w:szCs w:val="16"/>
          <w:lang w:val="es-ES_tradnl"/>
        </w:rPr>
        <w:t>ó</w:t>
      </w:r>
      <w:r>
        <w:rPr>
          <w:spacing w:val="-2"/>
          <w:sz w:val="16"/>
          <w:szCs w:val="16"/>
          <w:lang w:val="es-ES_tradnl"/>
        </w:rPr>
        <w:t xml:space="preserve">n de </w:t>
      </w:r>
      <w:r>
        <w:rPr>
          <w:spacing w:val="-6"/>
          <w:sz w:val="16"/>
          <w:szCs w:val="16"/>
          <w:lang w:val="es-ES_tradnl"/>
        </w:rPr>
        <w:t>la Rep</w:t>
      </w:r>
      <w:r>
        <w:rPr>
          <w:rFonts w:cs="Times New Roman"/>
          <w:spacing w:val="-6"/>
          <w:sz w:val="16"/>
          <w:szCs w:val="16"/>
          <w:lang w:val="es-ES_tradnl"/>
        </w:rPr>
        <w:t>ú</w:t>
      </w:r>
      <w:r>
        <w:rPr>
          <w:spacing w:val="-6"/>
          <w:sz w:val="16"/>
          <w:szCs w:val="16"/>
          <w:lang w:val="es-ES_tradnl"/>
        </w:rPr>
        <w:t xml:space="preserve">blica, que a su vez han servido de fundamento de la </w:t>
      </w:r>
      <w:r>
        <w:rPr>
          <w:spacing w:val="-7"/>
          <w:sz w:val="16"/>
          <w:szCs w:val="16"/>
          <w:lang w:val="es-ES_tradnl"/>
        </w:rPr>
        <w:t>presente acci</w:t>
      </w:r>
      <w:r>
        <w:rPr>
          <w:rFonts w:cs="Times New Roman"/>
          <w:spacing w:val="-7"/>
          <w:sz w:val="16"/>
          <w:szCs w:val="16"/>
          <w:lang w:val="es-ES_tradnl"/>
        </w:rPr>
        <w:t>ó</w:t>
      </w:r>
      <w:r>
        <w:rPr>
          <w:spacing w:val="-7"/>
          <w:sz w:val="16"/>
          <w:szCs w:val="16"/>
          <w:lang w:val="es-ES_tradnl"/>
        </w:rPr>
        <w:t xml:space="preserve">n por parte de la recurrente; por lo que no cabe analizar las disposiciones legales y reglamentarias invocadas </w:t>
      </w:r>
      <w:r>
        <w:rPr>
          <w:spacing w:val="-3"/>
          <w:sz w:val="16"/>
          <w:szCs w:val="16"/>
          <w:lang w:val="es-ES_tradnl"/>
        </w:rPr>
        <w:t xml:space="preserve">en la sentencia de primera instancia, para desestimar la </w:t>
      </w:r>
      <w:r>
        <w:rPr>
          <w:spacing w:val="-6"/>
          <w:sz w:val="16"/>
          <w:szCs w:val="16"/>
          <w:lang w:val="es-ES_tradnl"/>
        </w:rPr>
        <w:t>acci</w:t>
      </w:r>
      <w:r>
        <w:rPr>
          <w:rFonts w:cs="Times New Roman"/>
          <w:spacing w:val="-6"/>
          <w:sz w:val="16"/>
          <w:szCs w:val="16"/>
          <w:lang w:val="es-ES_tradnl"/>
        </w:rPr>
        <w:t>ó</w:t>
      </w:r>
      <w:r>
        <w:rPr>
          <w:spacing w:val="-6"/>
          <w:sz w:val="16"/>
          <w:szCs w:val="16"/>
          <w:lang w:val="es-ES_tradnl"/>
        </w:rPr>
        <w:t>n propuesta. Es importante tambi</w:t>
      </w:r>
      <w:r>
        <w:rPr>
          <w:rFonts w:cs="Times New Roman"/>
          <w:spacing w:val="-6"/>
          <w:sz w:val="16"/>
          <w:szCs w:val="16"/>
          <w:lang w:val="es-ES_tradnl"/>
        </w:rPr>
        <w:t>é</w:t>
      </w:r>
      <w:r>
        <w:rPr>
          <w:spacing w:val="-6"/>
          <w:sz w:val="16"/>
          <w:szCs w:val="16"/>
          <w:lang w:val="es-ES_tradnl"/>
        </w:rPr>
        <w:t xml:space="preserve">n considerar que la </w:t>
      </w:r>
      <w:r>
        <w:rPr>
          <w:spacing w:val="-5"/>
          <w:sz w:val="16"/>
          <w:szCs w:val="16"/>
          <w:lang w:val="es-ES_tradnl"/>
        </w:rPr>
        <w:t>Suboficial Primero de Polic</w:t>
      </w:r>
      <w:r>
        <w:rPr>
          <w:rFonts w:cs="Times New Roman"/>
          <w:spacing w:val="-5"/>
          <w:sz w:val="16"/>
          <w:szCs w:val="16"/>
          <w:lang w:val="es-ES_tradnl"/>
        </w:rPr>
        <w:t>í</w:t>
      </w:r>
      <w:r>
        <w:rPr>
          <w:spacing w:val="-5"/>
          <w:sz w:val="16"/>
          <w:szCs w:val="16"/>
          <w:lang w:val="es-ES_tradnl"/>
        </w:rPr>
        <w:t xml:space="preserve">a, doctora Orfa Jaramillo Caiza, </w:t>
      </w:r>
      <w:r>
        <w:rPr>
          <w:spacing w:val="-8"/>
          <w:sz w:val="16"/>
          <w:szCs w:val="16"/>
          <w:lang w:val="es-ES_tradnl"/>
        </w:rPr>
        <w:t>compa</w:t>
      </w:r>
      <w:r>
        <w:rPr>
          <w:rFonts w:cs="Times New Roman"/>
          <w:spacing w:val="-8"/>
          <w:sz w:val="16"/>
          <w:szCs w:val="16"/>
          <w:lang w:val="es-ES_tradnl"/>
        </w:rPr>
        <w:t>ñ</w:t>
      </w:r>
      <w:r>
        <w:rPr>
          <w:spacing w:val="-8"/>
          <w:sz w:val="16"/>
          <w:szCs w:val="16"/>
          <w:lang w:val="es-ES_tradnl"/>
        </w:rPr>
        <w:t>era de promoci</w:t>
      </w:r>
      <w:r>
        <w:rPr>
          <w:rFonts w:cs="Times New Roman"/>
          <w:spacing w:val="-8"/>
          <w:sz w:val="16"/>
          <w:szCs w:val="16"/>
          <w:lang w:val="es-ES_tradnl"/>
        </w:rPr>
        <w:t>ó</w:t>
      </w:r>
      <w:r>
        <w:rPr>
          <w:spacing w:val="-8"/>
          <w:sz w:val="16"/>
          <w:szCs w:val="16"/>
          <w:lang w:val="es-ES_tradnl"/>
        </w:rPr>
        <w:t>n de la actora de la presente acci</w:t>
      </w:r>
      <w:r>
        <w:rPr>
          <w:rFonts w:cs="Times New Roman"/>
          <w:spacing w:val="-8"/>
          <w:sz w:val="16"/>
          <w:szCs w:val="16"/>
          <w:lang w:val="es-ES_tradnl"/>
        </w:rPr>
        <w:t>ó</w:t>
      </w:r>
      <w:r>
        <w:rPr>
          <w:spacing w:val="-8"/>
          <w:sz w:val="16"/>
          <w:szCs w:val="16"/>
          <w:lang w:val="es-ES_tradnl"/>
        </w:rPr>
        <w:t>n y que se encontraba en la misma situaci</w:t>
      </w:r>
      <w:r>
        <w:rPr>
          <w:rFonts w:cs="Times New Roman"/>
          <w:spacing w:val="-8"/>
          <w:sz w:val="16"/>
          <w:szCs w:val="16"/>
          <w:lang w:val="es-ES_tradnl"/>
        </w:rPr>
        <w:t>ó</w:t>
      </w:r>
      <w:r>
        <w:rPr>
          <w:spacing w:val="-8"/>
          <w:sz w:val="16"/>
          <w:szCs w:val="16"/>
          <w:lang w:val="es-ES_tradnl"/>
        </w:rPr>
        <w:t xml:space="preserve">n, puesto que todas las </w:t>
      </w:r>
      <w:r>
        <w:rPr>
          <w:spacing w:val="-10"/>
          <w:sz w:val="16"/>
          <w:szCs w:val="16"/>
          <w:lang w:val="es-ES_tradnl"/>
        </w:rPr>
        <w:t>resoluciones han sido dictadas en relaci</w:t>
      </w:r>
      <w:r>
        <w:rPr>
          <w:rFonts w:cs="Times New Roman"/>
          <w:spacing w:val="-10"/>
          <w:sz w:val="16"/>
          <w:szCs w:val="16"/>
          <w:lang w:val="es-ES_tradnl"/>
        </w:rPr>
        <w:t>ó</w:t>
      </w:r>
      <w:r>
        <w:rPr>
          <w:spacing w:val="-10"/>
          <w:sz w:val="16"/>
          <w:szCs w:val="16"/>
          <w:lang w:val="es-ES_tradnl"/>
        </w:rPr>
        <w:t xml:space="preserve">n a las dos, ha obtenido </w:t>
      </w:r>
      <w:r>
        <w:rPr>
          <w:spacing w:val="-6"/>
          <w:sz w:val="16"/>
          <w:szCs w:val="16"/>
          <w:lang w:val="es-ES_tradnl"/>
        </w:rPr>
        <w:t>sentencia favorable como se desprende de la copia a</w:t>
      </w:r>
      <w:r>
        <w:rPr>
          <w:rFonts w:cs="Times New Roman"/>
          <w:spacing w:val="-6"/>
          <w:sz w:val="16"/>
          <w:szCs w:val="16"/>
          <w:lang w:val="es-ES_tradnl"/>
        </w:rPr>
        <w:t>ñ</w:t>
      </w:r>
      <w:r>
        <w:rPr>
          <w:spacing w:val="-6"/>
          <w:sz w:val="16"/>
          <w:szCs w:val="16"/>
          <w:lang w:val="es-ES_tradnl"/>
        </w:rPr>
        <w:t xml:space="preserve">adida </w:t>
      </w:r>
      <w:r>
        <w:rPr>
          <w:spacing w:val="-2"/>
          <w:sz w:val="16"/>
          <w:szCs w:val="16"/>
          <w:lang w:val="es-ES_tradnl"/>
        </w:rPr>
        <w:t>en esta instancia. (</w:t>
      </w:r>
      <w:r>
        <w:rPr>
          <w:rFonts w:cs="Times New Roman"/>
          <w:spacing w:val="-2"/>
          <w:sz w:val="16"/>
          <w:szCs w:val="16"/>
          <w:lang w:val="es-ES_tradnl"/>
        </w:rPr>
        <w:t>…</w:t>
      </w:r>
      <w:r>
        <w:rPr>
          <w:spacing w:val="-2"/>
          <w:sz w:val="16"/>
          <w:szCs w:val="16"/>
          <w:lang w:val="es-ES_tradnl"/>
        </w:rPr>
        <w:t>) ADMINISTRANDO JUSTICIA (</w:t>
      </w:r>
      <w:r>
        <w:rPr>
          <w:rFonts w:cs="Times New Roman"/>
          <w:spacing w:val="-2"/>
          <w:sz w:val="16"/>
          <w:szCs w:val="16"/>
          <w:lang w:val="es-ES_tradnl"/>
        </w:rPr>
        <w:t>…</w:t>
      </w:r>
      <w:r>
        <w:rPr>
          <w:spacing w:val="-2"/>
          <w:sz w:val="16"/>
          <w:szCs w:val="16"/>
          <w:lang w:val="es-ES_tradnl"/>
        </w:rPr>
        <w:t xml:space="preserve">) </w:t>
      </w:r>
      <w:r>
        <w:rPr>
          <w:spacing w:val="-8"/>
          <w:sz w:val="16"/>
          <w:szCs w:val="16"/>
          <w:lang w:val="es-ES_tradnl"/>
        </w:rPr>
        <w:t>acept</w:t>
      </w:r>
      <w:r>
        <w:rPr>
          <w:rFonts w:cs="Times New Roman"/>
          <w:spacing w:val="-8"/>
          <w:sz w:val="16"/>
          <w:szCs w:val="16"/>
          <w:lang w:val="es-ES_tradnl"/>
        </w:rPr>
        <w:t>á</w:t>
      </w:r>
      <w:r>
        <w:rPr>
          <w:spacing w:val="-8"/>
          <w:sz w:val="16"/>
          <w:szCs w:val="16"/>
          <w:lang w:val="es-ES_tradnl"/>
        </w:rPr>
        <w:t>ndose el recurso de apelaci</w:t>
      </w:r>
      <w:r>
        <w:rPr>
          <w:rFonts w:cs="Times New Roman"/>
          <w:spacing w:val="-8"/>
          <w:sz w:val="16"/>
          <w:szCs w:val="16"/>
          <w:lang w:val="es-ES_tradnl"/>
        </w:rPr>
        <w:t>ó</w:t>
      </w:r>
      <w:r>
        <w:rPr>
          <w:spacing w:val="-8"/>
          <w:sz w:val="16"/>
          <w:szCs w:val="16"/>
          <w:lang w:val="es-ES_tradnl"/>
        </w:rPr>
        <w:t xml:space="preserve">n interpuesto por la actora, se revoca la sentencia venida en grado y en consecuencia se </w:t>
      </w:r>
      <w:r>
        <w:rPr>
          <w:spacing w:val="-7"/>
          <w:sz w:val="16"/>
          <w:szCs w:val="16"/>
          <w:lang w:val="es-ES_tradnl"/>
        </w:rPr>
        <w:t>acepta la acci</w:t>
      </w:r>
      <w:r>
        <w:rPr>
          <w:rFonts w:cs="Times New Roman"/>
          <w:spacing w:val="-7"/>
          <w:sz w:val="16"/>
          <w:szCs w:val="16"/>
          <w:lang w:val="es-ES_tradnl"/>
        </w:rPr>
        <w:t>ó</w:t>
      </w:r>
      <w:r>
        <w:rPr>
          <w:spacing w:val="-7"/>
          <w:sz w:val="16"/>
          <w:szCs w:val="16"/>
          <w:lang w:val="es-ES_tradnl"/>
        </w:rPr>
        <w:t>n ordinaria de protecci</w:t>
      </w:r>
      <w:r>
        <w:rPr>
          <w:rFonts w:cs="Times New Roman"/>
          <w:spacing w:val="-7"/>
          <w:sz w:val="16"/>
          <w:szCs w:val="16"/>
          <w:lang w:val="es-ES_tradnl"/>
        </w:rPr>
        <w:t>ó</w:t>
      </w:r>
      <w:r>
        <w:rPr>
          <w:spacing w:val="-7"/>
          <w:sz w:val="16"/>
          <w:szCs w:val="16"/>
          <w:lang w:val="es-ES_tradnl"/>
        </w:rPr>
        <w:t>n presentada por Mar</w:t>
      </w:r>
      <w:r>
        <w:rPr>
          <w:rFonts w:cs="Times New Roman"/>
          <w:spacing w:val="-7"/>
          <w:sz w:val="16"/>
          <w:szCs w:val="16"/>
          <w:lang w:val="es-ES_tradnl"/>
        </w:rPr>
        <w:t>í</w:t>
      </w:r>
      <w:r>
        <w:rPr>
          <w:spacing w:val="-7"/>
          <w:sz w:val="16"/>
          <w:szCs w:val="16"/>
          <w:lang w:val="es-ES_tradnl"/>
        </w:rPr>
        <w:t xml:space="preserve">a </w:t>
      </w:r>
      <w:r>
        <w:rPr>
          <w:spacing w:val="-6"/>
          <w:sz w:val="16"/>
          <w:szCs w:val="16"/>
          <w:lang w:val="es-ES_tradnl"/>
        </w:rPr>
        <w:t>Evigenia G</w:t>
      </w:r>
      <w:r>
        <w:rPr>
          <w:rFonts w:cs="Times New Roman"/>
          <w:spacing w:val="-6"/>
          <w:sz w:val="16"/>
          <w:szCs w:val="16"/>
          <w:lang w:val="es-ES_tradnl"/>
        </w:rPr>
        <w:t>ó</w:t>
      </w:r>
      <w:r>
        <w:rPr>
          <w:spacing w:val="-6"/>
          <w:sz w:val="16"/>
          <w:szCs w:val="16"/>
          <w:lang w:val="es-ES_tradnl"/>
        </w:rPr>
        <w:t>mez Leny; y en aplicaci</w:t>
      </w:r>
      <w:r>
        <w:rPr>
          <w:rFonts w:cs="Times New Roman"/>
          <w:spacing w:val="-6"/>
          <w:sz w:val="16"/>
          <w:szCs w:val="16"/>
          <w:lang w:val="es-ES_tradnl"/>
        </w:rPr>
        <w:t>ó</w:t>
      </w:r>
      <w:r>
        <w:rPr>
          <w:spacing w:val="-6"/>
          <w:sz w:val="16"/>
          <w:szCs w:val="16"/>
          <w:lang w:val="es-ES_tradnl"/>
        </w:rPr>
        <w:t xml:space="preserve">n de lo dispuesto por el </w:t>
      </w:r>
      <w:r>
        <w:rPr>
          <w:spacing w:val="-5"/>
          <w:sz w:val="16"/>
          <w:szCs w:val="16"/>
          <w:lang w:val="es-ES_tradnl"/>
        </w:rPr>
        <w:t>art</w:t>
      </w:r>
      <w:r>
        <w:rPr>
          <w:rFonts w:cs="Times New Roman"/>
          <w:spacing w:val="-5"/>
          <w:sz w:val="16"/>
          <w:szCs w:val="16"/>
          <w:lang w:val="es-ES_tradnl"/>
        </w:rPr>
        <w:t>í</w:t>
      </w:r>
      <w:r>
        <w:rPr>
          <w:spacing w:val="-5"/>
          <w:sz w:val="16"/>
          <w:szCs w:val="16"/>
          <w:lang w:val="es-ES_tradnl"/>
        </w:rPr>
        <w:t>culo 19 de la Ley Org</w:t>
      </w:r>
      <w:r>
        <w:rPr>
          <w:rFonts w:cs="Times New Roman"/>
          <w:spacing w:val="-5"/>
          <w:sz w:val="16"/>
          <w:szCs w:val="16"/>
          <w:lang w:val="es-ES_tradnl"/>
        </w:rPr>
        <w:t>á</w:t>
      </w:r>
      <w:r>
        <w:rPr>
          <w:spacing w:val="-5"/>
          <w:sz w:val="16"/>
          <w:szCs w:val="16"/>
          <w:lang w:val="es-ES_tradnl"/>
        </w:rPr>
        <w:t>nica de Garant</w:t>
      </w:r>
      <w:r>
        <w:rPr>
          <w:rFonts w:cs="Times New Roman"/>
          <w:spacing w:val="-5"/>
          <w:sz w:val="16"/>
          <w:szCs w:val="16"/>
          <w:lang w:val="es-ES_tradnl"/>
        </w:rPr>
        <w:t>í</w:t>
      </w:r>
      <w:r>
        <w:rPr>
          <w:spacing w:val="-5"/>
          <w:sz w:val="16"/>
          <w:szCs w:val="16"/>
          <w:lang w:val="es-ES_tradnl"/>
        </w:rPr>
        <w:t xml:space="preserve">as Jurisdiccionales </w:t>
      </w:r>
      <w:r>
        <w:rPr>
          <w:spacing w:val="-6"/>
          <w:sz w:val="16"/>
          <w:szCs w:val="16"/>
          <w:lang w:val="es-ES_tradnl"/>
        </w:rPr>
        <w:t xml:space="preserve">y Control Constitucional, se deja sin efecto las Resoluciones </w:t>
      </w:r>
      <w:r>
        <w:rPr>
          <w:spacing w:val="-8"/>
          <w:sz w:val="16"/>
          <w:szCs w:val="16"/>
          <w:lang w:val="es-ES_tradnl"/>
        </w:rPr>
        <w:t>2010-0655-CCP-PN, de 7 de mayo de 2010; 2010-1189-CCP-</w:t>
      </w:r>
      <w:r>
        <w:rPr>
          <w:spacing w:val="-9"/>
          <w:sz w:val="16"/>
          <w:szCs w:val="16"/>
          <w:lang w:val="es-ES_tradnl"/>
        </w:rPr>
        <w:t xml:space="preserve">PN, de 17 de agosto de 2010; y, 2011-0430-CCP-PN, de 24 de </w:t>
      </w:r>
      <w:r>
        <w:rPr>
          <w:spacing w:val="-6"/>
          <w:sz w:val="16"/>
          <w:szCs w:val="16"/>
          <w:lang w:val="es-ES_tradnl"/>
        </w:rPr>
        <w:t>marzo de 2011, emitidas por el Consejo de Clases y Polic</w:t>
      </w:r>
      <w:r>
        <w:rPr>
          <w:rFonts w:cs="Times New Roman"/>
          <w:spacing w:val="-6"/>
          <w:sz w:val="16"/>
          <w:szCs w:val="16"/>
          <w:lang w:val="es-ES_tradnl"/>
        </w:rPr>
        <w:t>í</w:t>
      </w:r>
      <w:r>
        <w:rPr>
          <w:spacing w:val="-6"/>
          <w:sz w:val="16"/>
          <w:szCs w:val="16"/>
          <w:lang w:val="es-ES_tradnl"/>
        </w:rPr>
        <w:t xml:space="preserve">as </w:t>
      </w:r>
      <w:r>
        <w:rPr>
          <w:spacing w:val="-3"/>
          <w:sz w:val="16"/>
          <w:szCs w:val="16"/>
          <w:lang w:val="es-ES_tradnl"/>
        </w:rPr>
        <w:t>de la Polic</w:t>
      </w:r>
      <w:r>
        <w:rPr>
          <w:rFonts w:cs="Times New Roman"/>
          <w:spacing w:val="-3"/>
          <w:sz w:val="16"/>
          <w:szCs w:val="16"/>
          <w:lang w:val="es-ES_tradnl"/>
        </w:rPr>
        <w:t>í</w:t>
      </w:r>
      <w:r>
        <w:rPr>
          <w:spacing w:val="-3"/>
          <w:sz w:val="16"/>
          <w:szCs w:val="16"/>
          <w:lang w:val="es-ES_tradnl"/>
        </w:rPr>
        <w:t xml:space="preserve">a Nacional, debiendo las autoridades policiales, </w:t>
      </w:r>
      <w:r>
        <w:rPr>
          <w:spacing w:val="-4"/>
          <w:sz w:val="16"/>
          <w:szCs w:val="16"/>
          <w:lang w:val="es-ES_tradnl"/>
        </w:rPr>
        <w:t>a quienes por Ley les corresponda, realizar el tr</w:t>
      </w:r>
      <w:r>
        <w:rPr>
          <w:rFonts w:cs="Times New Roman"/>
          <w:spacing w:val="-4"/>
          <w:sz w:val="16"/>
          <w:szCs w:val="16"/>
          <w:lang w:val="es-ES_tradnl"/>
        </w:rPr>
        <w:t>á</w:t>
      </w:r>
      <w:r>
        <w:rPr>
          <w:spacing w:val="-4"/>
          <w:sz w:val="16"/>
          <w:szCs w:val="16"/>
          <w:lang w:val="es-ES_tradnl"/>
        </w:rPr>
        <w:t xml:space="preserve">mite </w:t>
      </w:r>
      <w:r>
        <w:rPr>
          <w:spacing w:val="-8"/>
          <w:sz w:val="16"/>
          <w:szCs w:val="16"/>
          <w:lang w:val="es-ES_tradnl"/>
        </w:rPr>
        <w:t>administrativo pertinente para alcanzar del se</w:t>
      </w:r>
      <w:r>
        <w:rPr>
          <w:rFonts w:cs="Times New Roman"/>
          <w:spacing w:val="-8"/>
          <w:sz w:val="16"/>
          <w:szCs w:val="16"/>
          <w:lang w:val="es-ES_tradnl"/>
        </w:rPr>
        <w:t>ñ</w:t>
      </w:r>
      <w:r>
        <w:rPr>
          <w:spacing w:val="-8"/>
          <w:sz w:val="16"/>
          <w:szCs w:val="16"/>
          <w:lang w:val="es-ES_tradnl"/>
        </w:rPr>
        <w:t xml:space="preserve">or Presidente de </w:t>
      </w:r>
      <w:r>
        <w:rPr>
          <w:spacing w:val="-7"/>
          <w:sz w:val="16"/>
          <w:szCs w:val="16"/>
          <w:lang w:val="es-ES_tradnl"/>
        </w:rPr>
        <w:t>la Rep</w:t>
      </w:r>
      <w:r>
        <w:rPr>
          <w:rFonts w:cs="Times New Roman"/>
          <w:spacing w:val="-7"/>
          <w:sz w:val="16"/>
          <w:szCs w:val="16"/>
          <w:lang w:val="es-ES_tradnl"/>
        </w:rPr>
        <w:t>ú</w:t>
      </w:r>
      <w:r>
        <w:rPr>
          <w:spacing w:val="-7"/>
          <w:sz w:val="16"/>
          <w:szCs w:val="16"/>
          <w:lang w:val="es-ES_tradnl"/>
        </w:rPr>
        <w:t xml:space="preserve">blica el correspondiente Decreto Ejecutivo Reservado, </w:t>
      </w:r>
      <w:r>
        <w:rPr>
          <w:spacing w:val="-4"/>
          <w:sz w:val="16"/>
          <w:szCs w:val="16"/>
          <w:lang w:val="es-ES_tradnl"/>
        </w:rPr>
        <w:t>modificando o incluyendo en el Org</w:t>
      </w:r>
      <w:r>
        <w:rPr>
          <w:rFonts w:cs="Times New Roman"/>
          <w:spacing w:val="-4"/>
          <w:sz w:val="16"/>
          <w:szCs w:val="16"/>
          <w:lang w:val="es-ES_tradnl"/>
        </w:rPr>
        <w:t>á</w:t>
      </w:r>
      <w:r>
        <w:rPr>
          <w:spacing w:val="-4"/>
          <w:sz w:val="16"/>
          <w:szCs w:val="16"/>
          <w:lang w:val="es-ES_tradnl"/>
        </w:rPr>
        <w:t xml:space="preserve">nico Institucional las </w:t>
      </w:r>
      <w:r>
        <w:rPr>
          <w:spacing w:val="-6"/>
          <w:sz w:val="16"/>
          <w:szCs w:val="16"/>
          <w:lang w:val="es-ES_tradnl"/>
        </w:rPr>
        <w:t xml:space="preserve">vacantes necesarias para el asenso (sic.) del personal de </w:t>
      </w:r>
      <w:r>
        <w:rPr>
          <w:spacing w:val="-4"/>
          <w:sz w:val="16"/>
          <w:szCs w:val="16"/>
          <w:lang w:val="es-ES_tradnl"/>
        </w:rPr>
        <w:t xml:space="preserve">Servicios Administrativos al grado de Suboficial Mayor de </w:t>
      </w:r>
      <w:r>
        <w:rPr>
          <w:spacing w:val="-7"/>
          <w:sz w:val="16"/>
          <w:szCs w:val="16"/>
          <w:lang w:val="es-ES_tradnl"/>
        </w:rPr>
        <w:t>Servicios, en el que se incluir</w:t>
      </w:r>
      <w:r>
        <w:rPr>
          <w:rFonts w:cs="Times New Roman"/>
          <w:spacing w:val="-7"/>
          <w:sz w:val="16"/>
          <w:szCs w:val="16"/>
          <w:lang w:val="es-ES_tradnl"/>
        </w:rPr>
        <w:t>á</w:t>
      </w:r>
      <w:r>
        <w:rPr>
          <w:spacing w:val="-7"/>
          <w:sz w:val="16"/>
          <w:szCs w:val="16"/>
          <w:lang w:val="es-ES_tradnl"/>
        </w:rPr>
        <w:t xml:space="preserve"> al recurrente.- NOTIF</w:t>
      </w:r>
      <w:r>
        <w:rPr>
          <w:rFonts w:cs="Times New Roman"/>
          <w:spacing w:val="-7"/>
          <w:sz w:val="16"/>
          <w:szCs w:val="16"/>
          <w:lang w:val="es-ES_tradnl"/>
        </w:rPr>
        <w:t>Í</w:t>
      </w:r>
      <w:r>
        <w:rPr>
          <w:spacing w:val="-7"/>
          <w:sz w:val="16"/>
          <w:szCs w:val="16"/>
          <w:lang w:val="es-ES_tradnl"/>
        </w:rPr>
        <w:t>QUESE.</w:t>
      </w:r>
    </w:p>
    <w:p w14:paraId="4F67B8E2" w14:textId="77777777" w:rsidR="00591D54" w:rsidRDefault="00591D54">
      <w:pPr>
        <w:shd w:val="clear" w:color="auto" w:fill="FFFFFF"/>
        <w:spacing w:before="216"/>
      </w:pPr>
      <w:r>
        <w:rPr>
          <w:b/>
          <w:bCs/>
          <w:spacing w:val="-11"/>
          <w:sz w:val="18"/>
          <w:szCs w:val="18"/>
          <w:lang w:val="es-ES_tradnl"/>
        </w:rPr>
        <w:t>Derechos presuntamente vulnerados</w:t>
      </w:r>
    </w:p>
    <w:p w14:paraId="4F67B8E3" w14:textId="77777777" w:rsidR="00591D54" w:rsidRDefault="00591D54">
      <w:pPr>
        <w:shd w:val="clear" w:color="auto" w:fill="FFFFFF"/>
        <w:spacing w:before="202" w:line="230" w:lineRule="exact"/>
        <w:jc w:val="both"/>
      </w:pPr>
      <w:r>
        <w:rPr>
          <w:spacing w:val="-6"/>
          <w:sz w:val="18"/>
          <w:szCs w:val="18"/>
          <w:lang w:val="es-ES_tradnl"/>
        </w:rPr>
        <w:t>El accionante se</w:t>
      </w:r>
      <w:r>
        <w:rPr>
          <w:rFonts w:cs="Times New Roman"/>
          <w:spacing w:val="-6"/>
          <w:sz w:val="18"/>
          <w:szCs w:val="18"/>
          <w:lang w:val="es-ES_tradnl"/>
        </w:rPr>
        <w:t>ñ</w:t>
      </w:r>
      <w:r>
        <w:rPr>
          <w:spacing w:val="-6"/>
          <w:sz w:val="18"/>
          <w:szCs w:val="18"/>
          <w:lang w:val="es-ES_tradnl"/>
        </w:rPr>
        <w:t xml:space="preserve">ala que la sentencia impugnada ha </w:t>
      </w:r>
      <w:r>
        <w:rPr>
          <w:spacing w:val="-4"/>
          <w:sz w:val="18"/>
          <w:szCs w:val="18"/>
          <w:lang w:val="es-ES_tradnl"/>
        </w:rPr>
        <w:t xml:space="preserve">violentado los derechos constitucionales contenidos en </w:t>
      </w:r>
      <w:r>
        <w:rPr>
          <w:spacing w:val="-5"/>
          <w:sz w:val="18"/>
          <w:szCs w:val="18"/>
          <w:lang w:val="es-ES_tradnl"/>
        </w:rPr>
        <w:t>los art</w:t>
      </w:r>
      <w:r>
        <w:rPr>
          <w:rFonts w:cs="Times New Roman"/>
          <w:spacing w:val="-5"/>
          <w:sz w:val="18"/>
          <w:szCs w:val="18"/>
          <w:lang w:val="es-ES_tradnl"/>
        </w:rPr>
        <w:t>í</w:t>
      </w:r>
      <w:r>
        <w:rPr>
          <w:spacing w:val="-5"/>
          <w:sz w:val="18"/>
          <w:szCs w:val="18"/>
          <w:lang w:val="es-ES_tradnl"/>
        </w:rPr>
        <w:t xml:space="preserve">culos 76 numerales 1 y 7 literal </w:t>
      </w:r>
      <w:r>
        <w:rPr>
          <w:b/>
          <w:bCs/>
          <w:spacing w:val="-5"/>
          <w:sz w:val="18"/>
          <w:szCs w:val="18"/>
          <w:lang w:val="es-ES_tradnl"/>
        </w:rPr>
        <w:t xml:space="preserve">a </w:t>
      </w:r>
      <w:r>
        <w:rPr>
          <w:spacing w:val="-5"/>
          <w:sz w:val="18"/>
          <w:szCs w:val="18"/>
          <w:lang w:val="es-ES_tradnl"/>
        </w:rPr>
        <w:t xml:space="preserve">y </w:t>
      </w:r>
      <w:r>
        <w:rPr>
          <w:b/>
          <w:bCs/>
          <w:spacing w:val="-5"/>
          <w:sz w:val="18"/>
          <w:szCs w:val="18"/>
          <w:lang w:val="es-ES_tradnl"/>
        </w:rPr>
        <w:t xml:space="preserve">l </w:t>
      </w:r>
      <w:r>
        <w:rPr>
          <w:spacing w:val="-5"/>
          <w:sz w:val="18"/>
          <w:szCs w:val="18"/>
          <w:lang w:val="es-ES_tradnl"/>
        </w:rPr>
        <w:t>(garant</w:t>
      </w:r>
      <w:r>
        <w:rPr>
          <w:rFonts w:cs="Times New Roman"/>
          <w:spacing w:val="-5"/>
          <w:sz w:val="18"/>
          <w:szCs w:val="18"/>
          <w:lang w:val="es-ES_tradnl"/>
        </w:rPr>
        <w:t>í</w:t>
      </w:r>
      <w:r>
        <w:rPr>
          <w:spacing w:val="-5"/>
          <w:sz w:val="18"/>
          <w:szCs w:val="18"/>
          <w:lang w:val="es-ES_tradnl"/>
        </w:rPr>
        <w:t xml:space="preserve">a de </w:t>
      </w:r>
      <w:r>
        <w:rPr>
          <w:spacing w:val="-6"/>
          <w:sz w:val="18"/>
          <w:szCs w:val="18"/>
          <w:lang w:val="es-ES_tradnl"/>
        </w:rPr>
        <w:t xml:space="preserve">cumplimiento de las normas y derechos, defensa en la </w:t>
      </w:r>
      <w:r>
        <w:rPr>
          <w:spacing w:val="-5"/>
          <w:sz w:val="18"/>
          <w:szCs w:val="18"/>
          <w:lang w:val="es-ES_tradnl"/>
        </w:rPr>
        <w:t>garant</w:t>
      </w:r>
      <w:r>
        <w:rPr>
          <w:rFonts w:cs="Times New Roman"/>
          <w:spacing w:val="-5"/>
          <w:sz w:val="18"/>
          <w:szCs w:val="18"/>
          <w:lang w:val="es-ES_tradnl"/>
        </w:rPr>
        <w:t>í</w:t>
      </w:r>
      <w:r>
        <w:rPr>
          <w:spacing w:val="-5"/>
          <w:sz w:val="18"/>
          <w:szCs w:val="18"/>
          <w:lang w:val="es-ES_tradnl"/>
        </w:rPr>
        <w:t>a de motivaci</w:t>
      </w:r>
      <w:r>
        <w:rPr>
          <w:rFonts w:cs="Times New Roman"/>
          <w:spacing w:val="-5"/>
          <w:sz w:val="18"/>
          <w:szCs w:val="18"/>
          <w:lang w:val="es-ES_tradnl"/>
        </w:rPr>
        <w:t>ó</w:t>
      </w:r>
      <w:r>
        <w:rPr>
          <w:spacing w:val="-5"/>
          <w:sz w:val="18"/>
          <w:szCs w:val="18"/>
          <w:lang w:val="es-ES_tradnl"/>
        </w:rPr>
        <w:t>n) y 82 (seguridad jur</w:t>
      </w:r>
      <w:r>
        <w:rPr>
          <w:rFonts w:cs="Times New Roman"/>
          <w:spacing w:val="-5"/>
          <w:sz w:val="18"/>
          <w:szCs w:val="18"/>
          <w:lang w:val="es-ES_tradnl"/>
        </w:rPr>
        <w:t>í</w:t>
      </w:r>
      <w:r>
        <w:rPr>
          <w:spacing w:val="-5"/>
          <w:sz w:val="18"/>
          <w:szCs w:val="18"/>
          <w:lang w:val="es-ES_tradnl"/>
        </w:rPr>
        <w:t xml:space="preserve">dica) de la </w:t>
      </w:r>
      <w:r>
        <w:rPr>
          <w:sz w:val="18"/>
          <w:szCs w:val="18"/>
          <w:lang w:val="es-ES_tradnl"/>
        </w:rPr>
        <w:t>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B8E4" w14:textId="77777777" w:rsidR="00591D54" w:rsidRDefault="00591D54">
      <w:pPr>
        <w:shd w:val="clear" w:color="auto" w:fill="FFFFFF"/>
        <w:spacing w:before="202" w:line="230" w:lineRule="exact"/>
        <w:jc w:val="both"/>
        <w:sectPr w:rsidR="00591D54">
          <w:type w:val="continuous"/>
          <w:pgSz w:w="11909" w:h="16834"/>
          <w:pgMar w:top="1366" w:right="1309" w:bottom="360" w:left="1308" w:header="720" w:footer="720" w:gutter="0"/>
          <w:cols w:num="2" w:space="720" w:equalWidth="0">
            <w:col w:w="4310" w:space="677"/>
            <w:col w:w="4305"/>
          </w:cols>
          <w:noEndnote/>
        </w:sectPr>
      </w:pPr>
    </w:p>
    <w:p w14:paraId="4F67B8E5" w14:textId="77777777" w:rsidR="00591D54" w:rsidRDefault="00591D54">
      <w:pPr>
        <w:shd w:val="clear" w:color="auto" w:fill="FFFFFF"/>
        <w:tabs>
          <w:tab w:val="left" w:pos="584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- 261</w:t>
      </w:r>
    </w:p>
    <w:p w14:paraId="4F67B8E6" w14:textId="77777777" w:rsidR="00591D54" w:rsidRDefault="00591D54">
      <w:pPr>
        <w:shd w:val="clear" w:color="auto" w:fill="FFFFFF"/>
        <w:tabs>
          <w:tab w:val="left" w:pos="5842"/>
        </w:tabs>
        <w:spacing w:after="230"/>
        <w:ind w:left="5"/>
        <w:sectPr w:rsidR="00591D54">
          <w:pgSz w:w="11909" w:h="16834"/>
          <w:pgMar w:top="1371" w:right="1304" w:bottom="360" w:left="1308" w:header="720" w:footer="720" w:gutter="0"/>
          <w:cols w:space="60"/>
          <w:noEndnote/>
        </w:sectPr>
      </w:pPr>
    </w:p>
    <w:p w14:paraId="4F67B8E7" w14:textId="77777777" w:rsidR="00591D54" w:rsidRDefault="00591D54">
      <w:pPr>
        <w:shd w:val="clear" w:color="auto" w:fill="FFFFFF"/>
      </w:pPr>
      <w:r>
        <w:rPr>
          <w:b/>
          <w:bCs/>
          <w:spacing w:val="-10"/>
          <w:sz w:val="18"/>
          <w:szCs w:val="18"/>
          <w:lang w:val="es-ES_tradnl"/>
        </w:rPr>
        <w:t>Petici</w:t>
      </w:r>
      <w:r>
        <w:rPr>
          <w:rFonts w:cs="Times New Roman"/>
          <w:b/>
          <w:bCs/>
          <w:spacing w:val="-10"/>
          <w:sz w:val="18"/>
          <w:szCs w:val="18"/>
          <w:lang w:val="es-ES_tradnl"/>
        </w:rPr>
        <w:t>ó</w:t>
      </w:r>
      <w:r>
        <w:rPr>
          <w:b/>
          <w:bCs/>
          <w:spacing w:val="-10"/>
          <w:sz w:val="18"/>
          <w:szCs w:val="18"/>
          <w:lang w:val="es-ES_tradnl"/>
        </w:rPr>
        <w:t>n concreta</w:t>
      </w:r>
    </w:p>
    <w:p w14:paraId="4F67B8E8" w14:textId="77777777" w:rsidR="00591D54" w:rsidRDefault="00591D54">
      <w:pPr>
        <w:shd w:val="clear" w:color="auto" w:fill="FFFFFF"/>
        <w:spacing w:before="197" w:line="216" w:lineRule="exact"/>
        <w:jc w:val="both"/>
      </w:pPr>
      <w:r>
        <w:rPr>
          <w:spacing w:val="-4"/>
          <w:sz w:val="18"/>
          <w:szCs w:val="18"/>
          <w:lang w:val="es-ES_tradnl"/>
        </w:rPr>
        <w:t xml:space="preserve">La demanda presentada por el doctor Pedro Marcelo </w:t>
      </w:r>
      <w:r>
        <w:rPr>
          <w:spacing w:val="-8"/>
          <w:sz w:val="18"/>
          <w:szCs w:val="18"/>
          <w:lang w:val="es-ES_tradnl"/>
        </w:rPr>
        <w:t>Carrillo Ruiz en su calidad de director nacional de asesor</w:t>
      </w:r>
      <w:r>
        <w:rPr>
          <w:rFonts w:cs="Times New Roman"/>
          <w:spacing w:val="-8"/>
          <w:sz w:val="18"/>
          <w:szCs w:val="18"/>
          <w:lang w:val="es-ES_tradnl"/>
        </w:rPr>
        <w:t>í</w:t>
      </w:r>
      <w:r>
        <w:rPr>
          <w:spacing w:val="-8"/>
          <w:sz w:val="18"/>
          <w:szCs w:val="18"/>
          <w:lang w:val="es-ES_tradnl"/>
        </w:rPr>
        <w:t xml:space="preserve">a </w:t>
      </w:r>
      <w:r>
        <w:rPr>
          <w:spacing w:val="-6"/>
          <w:sz w:val="18"/>
          <w:szCs w:val="18"/>
          <w:lang w:val="es-ES_tradnl"/>
        </w:rPr>
        <w:t>jur</w:t>
      </w:r>
      <w:r>
        <w:rPr>
          <w:rFonts w:cs="Times New Roman"/>
          <w:spacing w:val="-6"/>
          <w:sz w:val="18"/>
          <w:szCs w:val="18"/>
          <w:lang w:val="es-ES_tradnl"/>
        </w:rPr>
        <w:t>í</w:t>
      </w:r>
      <w:r>
        <w:rPr>
          <w:spacing w:val="-6"/>
          <w:sz w:val="18"/>
          <w:szCs w:val="18"/>
          <w:lang w:val="es-ES_tradnl"/>
        </w:rPr>
        <w:t xml:space="preserve">dica y delegado del ministro del Interior en lo principal, manifiesta: </w:t>
      </w:r>
      <w:r>
        <w:rPr>
          <w:rFonts w:cs="Times New Roman"/>
          <w:spacing w:val="-6"/>
          <w:sz w:val="18"/>
          <w:szCs w:val="18"/>
          <w:lang w:val="es-ES_tradnl"/>
        </w:rPr>
        <w:t>“</w:t>
      </w:r>
      <w:r>
        <w:rPr>
          <w:spacing w:val="-6"/>
          <w:sz w:val="18"/>
          <w:szCs w:val="18"/>
          <w:lang w:val="es-ES_tradnl"/>
        </w:rPr>
        <w:t>(</w:t>
      </w:r>
      <w:r>
        <w:rPr>
          <w:rFonts w:cs="Times New Roman"/>
          <w:spacing w:val="-6"/>
          <w:sz w:val="18"/>
          <w:szCs w:val="18"/>
          <w:lang w:val="es-ES_tradnl"/>
        </w:rPr>
        <w:t>…</w:t>
      </w:r>
      <w:r>
        <w:rPr>
          <w:spacing w:val="-6"/>
          <w:sz w:val="18"/>
          <w:szCs w:val="18"/>
          <w:lang w:val="es-ES_tradnl"/>
        </w:rPr>
        <w:t xml:space="preserve">) que mediante sentencia dispongan con </w:t>
      </w:r>
      <w:r>
        <w:rPr>
          <w:spacing w:val="-7"/>
          <w:sz w:val="18"/>
          <w:szCs w:val="18"/>
          <w:lang w:val="es-ES_tradnl"/>
        </w:rPr>
        <w:t xml:space="preserve">lugar a la presente demanda y SE DEJE SIN EFECTO LA </w:t>
      </w:r>
      <w:r>
        <w:rPr>
          <w:spacing w:val="-5"/>
          <w:sz w:val="18"/>
          <w:szCs w:val="18"/>
          <w:lang w:val="es-ES_tradnl"/>
        </w:rPr>
        <w:t xml:space="preserve">SENTENCIA DEFINITIVA dictada por la Corte Provincial </w:t>
      </w:r>
      <w:r>
        <w:rPr>
          <w:spacing w:val="-1"/>
          <w:sz w:val="18"/>
          <w:szCs w:val="18"/>
          <w:lang w:val="es-ES_tradnl"/>
        </w:rPr>
        <w:t xml:space="preserve">de Pichincha, Segunda Sala de lo Civil, Mercantil, </w:t>
      </w:r>
      <w:r>
        <w:rPr>
          <w:spacing w:val="-9"/>
          <w:sz w:val="18"/>
          <w:szCs w:val="18"/>
          <w:lang w:val="es-ES_tradnl"/>
        </w:rPr>
        <w:t xml:space="preserve">Inquilinato y Materias Residuales, de fecha 27 de diciembre </w:t>
      </w:r>
      <w:r>
        <w:rPr>
          <w:spacing w:val="-6"/>
          <w:sz w:val="18"/>
          <w:szCs w:val="18"/>
          <w:lang w:val="es-ES_tradnl"/>
        </w:rPr>
        <w:t>del 2011, a las 15h20, y determinar</w:t>
      </w:r>
      <w:r>
        <w:rPr>
          <w:rFonts w:cs="Times New Roman"/>
          <w:spacing w:val="-6"/>
          <w:sz w:val="18"/>
          <w:szCs w:val="18"/>
          <w:lang w:val="es-ES_tradnl"/>
        </w:rPr>
        <w:t>á</w:t>
      </w:r>
      <w:r>
        <w:rPr>
          <w:spacing w:val="-6"/>
          <w:sz w:val="18"/>
          <w:szCs w:val="18"/>
          <w:lang w:val="es-ES_tradnl"/>
        </w:rPr>
        <w:t xml:space="preserve"> esta violaci</w:t>
      </w:r>
      <w:r>
        <w:rPr>
          <w:rFonts w:cs="Times New Roman"/>
          <w:spacing w:val="-6"/>
          <w:sz w:val="18"/>
          <w:szCs w:val="18"/>
          <w:lang w:val="es-ES_tradnl"/>
        </w:rPr>
        <w:t>ó</w:t>
      </w:r>
      <w:r>
        <w:rPr>
          <w:spacing w:val="-6"/>
          <w:sz w:val="18"/>
          <w:szCs w:val="18"/>
          <w:lang w:val="es-ES_tradnl"/>
        </w:rPr>
        <w:t>n de derechos, en cumplimiento a lo dispuesto en el Art. 63 de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Control </w:t>
      </w:r>
      <w:r>
        <w:rPr>
          <w:sz w:val="18"/>
          <w:szCs w:val="18"/>
          <w:lang w:val="es-ES_tradnl"/>
        </w:rPr>
        <w:t>Constitucional (</w:t>
      </w:r>
      <w:r>
        <w:rPr>
          <w:rFonts w:cs="Times New Roman"/>
          <w:sz w:val="18"/>
          <w:szCs w:val="18"/>
          <w:lang w:val="es-ES_tradnl"/>
        </w:rPr>
        <w:t>…</w:t>
      </w:r>
      <w:r>
        <w:rPr>
          <w:sz w:val="18"/>
          <w:szCs w:val="18"/>
          <w:lang w:val="es-ES_tradnl"/>
        </w:rPr>
        <w:t>)</w:t>
      </w:r>
      <w:r>
        <w:rPr>
          <w:rFonts w:cs="Times New Roman"/>
          <w:sz w:val="18"/>
          <w:szCs w:val="18"/>
          <w:lang w:val="es-ES_tradnl"/>
        </w:rPr>
        <w:t>”</w:t>
      </w:r>
      <w:r>
        <w:rPr>
          <w:sz w:val="18"/>
          <w:szCs w:val="18"/>
          <w:lang w:val="es-ES_tradnl"/>
        </w:rPr>
        <w:t>.</w:t>
      </w:r>
    </w:p>
    <w:p w14:paraId="4F67B8E9" w14:textId="77777777" w:rsidR="00591D54" w:rsidRDefault="00591D54">
      <w:pPr>
        <w:shd w:val="clear" w:color="auto" w:fill="FFFFFF"/>
        <w:spacing w:line="216" w:lineRule="exact"/>
      </w:pPr>
      <w:r>
        <w:rPr>
          <w:b/>
          <w:bCs/>
          <w:spacing w:val="-11"/>
          <w:sz w:val="18"/>
          <w:szCs w:val="18"/>
          <w:lang w:val="es-ES_tradnl"/>
        </w:rPr>
        <w:t>Contestaciones a la demanda</w:t>
      </w:r>
    </w:p>
    <w:p w14:paraId="4F67B8EA" w14:textId="77777777" w:rsidR="00591D54" w:rsidRDefault="00591D54">
      <w:pPr>
        <w:shd w:val="clear" w:color="auto" w:fill="FFFFFF"/>
        <w:spacing w:before="192" w:line="216" w:lineRule="exact"/>
        <w:ind w:right="10"/>
        <w:jc w:val="both"/>
      </w:pPr>
      <w:r>
        <w:rPr>
          <w:b/>
          <w:bCs/>
          <w:spacing w:val="-8"/>
          <w:sz w:val="18"/>
          <w:szCs w:val="18"/>
          <w:lang w:val="es-ES_tradnl"/>
        </w:rPr>
        <w:t xml:space="preserve">Jueces de la Segunda Sala Civil y Mercantil de la Corte </w:t>
      </w:r>
      <w:r>
        <w:rPr>
          <w:b/>
          <w:bCs/>
          <w:sz w:val="18"/>
          <w:szCs w:val="18"/>
          <w:lang w:val="es-ES_tradnl"/>
        </w:rPr>
        <w:t>Provincial de Pichincha</w:t>
      </w:r>
    </w:p>
    <w:p w14:paraId="4F67B8EB" w14:textId="77777777" w:rsidR="00591D54" w:rsidRDefault="00591D54">
      <w:pPr>
        <w:shd w:val="clear" w:color="auto" w:fill="FFFFFF"/>
        <w:spacing w:before="192" w:line="216" w:lineRule="exact"/>
        <w:ind w:right="10"/>
        <w:jc w:val="both"/>
      </w:pPr>
      <w:r>
        <w:rPr>
          <w:spacing w:val="-8"/>
          <w:sz w:val="18"/>
          <w:szCs w:val="18"/>
          <w:lang w:val="es-ES_tradnl"/>
        </w:rPr>
        <w:t>Comparecen los jueces provinciales Mar</w:t>
      </w:r>
      <w:r>
        <w:rPr>
          <w:rFonts w:cs="Times New Roman"/>
          <w:spacing w:val="-8"/>
          <w:sz w:val="18"/>
          <w:szCs w:val="18"/>
          <w:lang w:val="es-ES_tradnl"/>
        </w:rPr>
        <w:t>í</w:t>
      </w:r>
      <w:r>
        <w:rPr>
          <w:spacing w:val="-8"/>
          <w:sz w:val="18"/>
          <w:szCs w:val="18"/>
          <w:lang w:val="es-ES_tradnl"/>
        </w:rPr>
        <w:t xml:space="preserve">a de los </w:t>
      </w:r>
      <w:r>
        <w:rPr>
          <w:rFonts w:cs="Times New Roman"/>
          <w:spacing w:val="-8"/>
          <w:sz w:val="18"/>
          <w:szCs w:val="18"/>
          <w:lang w:val="es-ES_tradnl"/>
        </w:rPr>
        <w:t>Á</w:t>
      </w:r>
      <w:r>
        <w:rPr>
          <w:spacing w:val="-8"/>
          <w:sz w:val="18"/>
          <w:szCs w:val="18"/>
          <w:lang w:val="es-ES_tradnl"/>
        </w:rPr>
        <w:t xml:space="preserve">ngeles </w:t>
      </w:r>
      <w:r>
        <w:rPr>
          <w:spacing w:val="-4"/>
          <w:sz w:val="18"/>
          <w:szCs w:val="18"/>
          <w:lang w:val="es-ES_tradnl"/>
        </w:rPr>
        <w:t xml:space="preserve">Montalvo y Guido Mantilla Cardoso, manifestando en lo </w:t>
      </w:r>
      <w:r>
        <w:rPr>
          <w:spacing w:val="-3"/>
          <w:sz w:val="18"/>
          <w:szCs w:val="18"/>
          <w:lang w:val="es-ES_tradnl"/>
        </w:rPr>
        <w:t>principal, que el juez ponente de la decisi</w:t>
      </w:r>
      <w:r>
        <w:rPr>
          <w:rFonts w:cs="Times New Roman"/>
          <w:spacing w:val="-3"/>
          <w:sz w:val="18"/>
          <w:szCs w:val="18"/>
          <w:lang w:val="es-ES_tradnl"/>
        </w:rPr>
        <w:t>ó</w:t>
      </w:r>
      <w:r>
        <w:rPr>
          <w:spacing w:val="-3"/>
          <w:sz w:val="18"/>
          <w:szCs w:val="18"/>
          <w:lang w:val="es-ES_tradnl"/>
        </w:rPr>
        <w:t xml:space="preserve">n emitida fue </w:t>
      </w:r>
      <w:r>
        <w:rPr>
          <w:spacing w:val="-6"/>
          <w:sz w:val="18"/>
          <w:szCs w:val="18"/>
          <w:lang w:val="es-ES_tradnl"/>
        </w:rPr>
        <w:t>el doctor Jorge Maz</w:t>
      </w:r>
      <w:r>
        <w:rPr>
          <w:rFonts w:cs="Times New Roman"/>
          <w:spacing w:val="-6"/>
          <w:sz w:val="18"/>
          <w:szCs w:val="18"/>
          <w:lang w:val="es-ES_tradnl"/>
        </w:rPr>
        <w:t>ó</w:t>
      </w:r>
      <w:r>
        <w:rPr>
          <w:spacing w:val="-6"/>
          <w:sz w:val="18"/>
          <w:szCs w:val="18"/>
          <w:lang w:val="es-ES_tradnl"/>
        </w:rPr>
        <w:t>n Jaramillo que a la fecha no integra la Sala. Asimismo, que el director nacional de asesor</w:t>
      </w:r>
      <w:r>
        <w:rPr>
          <w:rFonts w:cs="Times New Roman"/>
          <w:spacing w:val="-6"/>
          <w:sz w:val="18"/>
          <w:szCs w:val="18"/>
          <w:lang w:val="es-ES_tradnl"/>
        </w:rPr>
        <w:t>í</w:t>
      </w:r>
      <w:r>
        <w:rPr>
          <w:spacing w:val="-6"/>
          <w:sz w:val="18"/>
          <w:szCs w:val="18"/>
          <w:lang w:val="es-ES_tradnl"/>
        </w:rPr>
        <w:t xml:space="preserve">a </w:t>
      </w:r>
      <w:r>
        <w:rPr>
          <w:spacing w:val="-2"/>
          <w:sz w:val="18"/>
          <w:szCs w:val="18"/>
          <w:lang w:val="es-ES_tradnl"/>
        </w:rPr>
        <w:t>jur</w:t>
      </w:r>
      <w:r>
        <w:rPr>
          <w:rFonts w:cs="Times New Roman"/>
          <w:spacing w:val="-2"/>
          <w:sz w:val="18"/>
          <w:szCs w:val="18"/>
          <w:lang w:val="es-ES_tradnl"/>
        </w:rPr>
        <w:t>í</w:t>
      </w:r>
      <w:r>
        <w:rPr>
          <w:spacing w:val="-2"/>
          <w:sz w:val="18"/>
          <w:szCs w:val="18"/>
          <w:lang w:val="es-ES_tradnl"/>
        </w:rPr>
        <w:t xml:space="preserve">dica y delegado del Ministerio del Interior, no se </w:t>
      </w:r>
      <w:r>
        <w:rPr>
          <w:spacing w:val="-7"/>
          <w:sz w:val="18"/>
          <w:szCs w:val="18"/>
          <w:lang w:val="es-ES_tradnl"/>
        </w:rPr>
        <w:t>encuentra legitimado para deducir la acci</w:t>
      </w:r>
      <w:r>
        <w:rPr>
          <w:rFonts w:cs="Times New Roman"/>
          <w:spacing w:val="-7"/>
          <w:sz w:val="18"/>
          <w:szCs w:val="18"/>
          <w:lang w:val="es-ES_tradnl"/>
        </w:rPr>
        <w:t>ó</w:t>
      </w:r>
      <w:r>
        <w:rPr>
          <w:spacing w:val="-7"/>
          <w:sz w:val="18"/>
          <w:szCs w:val="18"/>
          <w:lang w:val="es-ES_tradnl"/>
        </w:rPr>
        <w:t xml:space="preserve">n extraordinaria </w:t>
      </w:r>
      <w:r>
        <w:rPr>
          <w:sz w:val="18"/>
          <w:szCs w:val="18"/>
          <w:lang w:val="es-ES_tradnl"/>
        </w:rPr>
        <w:t>de protecci</w:t>
      </w:r>
      <w:r>
        <w:rPr>
          <w:rFonts w:cs="Times New Roman"/>
          <w:sz w:val="18"/>
          <w:szCs w:val="18"/>
          <w:lang w:val="es-ES_tradnl"/>
        </w:rPr>
        <w:t>ó</w:t>
      </w:r>
      <w:r>
        <w:rPr>
          <w:sz w:val="18"/>
          <w:szCs w:val="18"/>
          <w:lang w:val="es-ES_tradnl"/>
        </w:rPr>
        <w:t>n a nombre de la instituci</w:t>
      </w:r>
      <w:r>
        <w:rPr>
          <w:rFonts w:cs="Times New Roman"/>
          <w:sz w:val="18"/>
          <w:szCs w:val="18"/>
          <w:lang w:val="es-ES_tradnl"/>
        </w:rPr>
        <w:t>ó</w:t>
      </w:r>
      <w:r>
        <w:rPr>
          <w:sz w:val="18"/>
          <w:szCs w:val="18"/>
          <w:lang w:val="es-ES_tradnl"/>
        </w:rPr>
        <w:t>n.</w:t>
      </w:r>
    </w:p>
    <w:p w14:paraId="4F67B8EC" w14:textId="77777777" w:rsidR="00591D54" w:rsidRDefault="00591D54">
      <w:pPr>
        <w:shd w:val="clear" w:color="auto" w:fill="FFFFFF"/>
        <w:spacing w:before="192" w:line="216" w:lineRule="exact"/>
        <w:ind w:right="10"/>
        <w:jc w:val="both"/>
      </w:pPr>
      <w:r>
        <w:rPr>
          <w:spacing w:val="-9"/>
          <w:sz w:val="18"/>
          <w:szCs w:val="18"/>
          <w:lang w:val="es-ES_tradnl"/>
        </w:rPr>
        <w:t>Finalmente que la decisi</w:t>
      </w:r>
      <w:r>
        <w:rPr>
          <w:rFonts w:cs="Times New Roman"/>
          <w:spacing w:val="-9"/>
          <w:sz w:val="18"/>
          <w:szCs w:val="18"/>
          <w:lang w:val="es-ES_tradnl"/>
        </w:rPr>
        <w:t>ó</w:t>
      </w:r>
      <w:r>
        <w:rPr>
          <w:spacing w:val="-9"/>
          <w:sz w:val="18"/>
          <w:szCs w:val="18"/>
          <w:lang w:val="es-ES_tradnl"/>
        </w:rPr>
        <w:t xml:space="preserve">n es motivada y que el argumento </w:t>
      </w:r>
      <w:r>
        <w:rPr>
          <w:sz w:val="18"/>
          <w:szCs w:val="18"/>
          <w:lang w:val="es-ES_tradnl"/>
        </w:rPr>
        <w:t>de que no se ha agotado la v</w:t>
      </w:r>
      <w:r>
        <w:rPr>
          <w:rFonts w:cs="Times New Roman"/>
          <w:sz w:val="18"/>
          <w:szCs w:val="18"/>
          <w:lang w:val="es-ES_tradnl"/>
        </w:rPr>
        <w:t>í</w:t>
      </w:r>
      <w:r>
        <w:rPr>
          <w:sz w:val="18"/>
          <w:szCs w:val="18"/>
          <w:lang w:val="es-ES_tradnl"/>
        </w:rPr>
        <w:t xml:space="preserve">a administrativa carece </w:t>
      </w:r>
      <w:r>
        <w:rPr>
          <w:spacing w:val="-4"/>
          <w:sz w:val="18"/>
          <w:szCs w:val="18"/>
          <w:lang w:val="es-ES_tradnl"/>
        </w:rPr>
        <w:t>de sustento, toda vez que considerar a la acci</w:t>
      </w:r>
      <w:r>
        <w:rPr>
          <w:rFonts w:cs="Times New Roman"/>
          <w:spacing w:val="-4"/>
          <w:sz w:val="18"/>
          <w:szCs w:val="18"/>
          <w:lang w:val="es-ES_tradnl"/>
        </w:rPr>
        <w:t>ó</w:t>
      </w:r>
      <w:r>
        <w:rPr>
          <w:spacing w:val="-4"/>
          <w:sz w:val="18"/>
          <w:szCs w:val="18"/>
          <w:lang w:val="es-ES_tradnl"/>
        </w:rPr>
        <w:t xml:space="preserve">n de </w:t>
      </w:r>
      <w:r>
        <w:rPr>
          <w:spacing w:val="-7"/>
          <w:sz w:val="18"/>
          <w:szCs w:val="18"/>
          <w:lang w:val="es-ES_tradnl"/>
        </w:rPr>
        <w:t>protecci</w:t>
      </w:r>
      <w:r>
        <w:rPr>
          <w:rFonts w:cs="Times New Roman"/>
          <w:spacing w:val="-7"/>
          <w:sz w:val="18"/>
          <w:szCs w:val="18"/>
          <w:lang w:val="es-ES_tradnl"/>
        </w:rPr>
        <w:t>ó</w:t>
      </w:r>
      <w:r>
        <w:rPr>
          <w:spacing w:val="-7"/>
          <w:sz w:val="18"/>
          <w:szCs w:val="18"/>
          <w:lang w:val="es-ES_tradnl"/>
        </w:rPr>
        <w:t>n como una garant</w:t>
      </w:r>
      <w:r>
        <w:rPr>
          <w:rFonts w:cs="Times New Roman"/>
          <w:spacing w:val="-7"/>
          <w:sz w:val="18"/>
          <w:szCs w:val="18"/>
          <w:lang w:val="es-ES_tradnl"/>
        </w:rPr>
        <w:t>í</w:t>
      </w:r>
      <w:r>
        <w:rPr>
          <w:spacing w:val="-7"/>
          <w:sz w:val="18"/>
          <w:szCs w:val="18"/>
          <w:lang w:val="es-ES_tradnl"/>
        </w:rPr>
        <w:t>a de car</w:t>
      </w:r>
      <w:r>
        <w:rPr>
          <w:rFonts w:cs="Times New Roman"/>
          <w:spacing w:val="-7"/>
          <w:sz w:val="18"/>
          <w:szCs w:val="18"/>
          <w:lang w:val="es-ES_tradnl"/>
        </w:rPr>
        <w:t>á</w:t>
      </w:r>
      <w:r>
        <w:rPr>
          <w:spacing w:val="-7"/>
          <w:sz w:val="18"/>
          <w:szCs w:val="18"/>
          <w:lang w:val="es-ES_tradnl"/>
        </w:rPr>
        <w:t xml:space="preserve">cter residual, es un </w:t>
      </w:r>
      <w:r>
        <w:rPr>
          <w:spacing w:val="-6"/>
          <w:sz w:val="18"/>
          <w:szCs w:val="18"/>
          <w:lang w:val="es-ES_tradnl"/>
        </w:rPr>
        <w:t xml:space="preserve">criterio superado por la doctrina y la propia jurisprudencia </w:t>
      </w:r>
      <w:r>
        <w:rPr>
          <w:sz w:val="18"/>
          <w:szCs w:val="18"/>
          <w:lang w:val="es-ES_tradnl"/>
        </w:rPr>
        <w:t>constitucional.</w:t>
      </w:r>
    </w:p>
    <w:p w14:paraId="4F67B8ED" w14:textId="77777777" w:rsidR="00591D54" w:rsidRDefault="00591D54">
      <w:pPr>
        <w:shd w:val="clear" w:color="auto" w:fill="FFFFFF"/>
        <w:spacing w:before="192"/>
      </w:pPr>
      <w:r>
        <w:rPr>
          <w:b/>
          <w:bCs/>
          <w:spacing w:val="-12"/>
          <w:sz w:val="18"/>
          <w:szCs w:val="18"/>
          <w:lang w:val="es-ES_tradnl"/>
        </w:rPr>
        <w:t>Terceros interesados</w:t>
      </w:r>
    </w:p>
    <w:p w14:paraId="4F67B8EE" w14:textId="77777777" w:rsidR="00591D54" w:rsidRDefault="00591D54">
      <w:pPr>
        <w:shd w:val="clear" w:color="auto" w:fill="FFFFFF"/>
        <w:spacing w:before="187"/>
      </w:pPr>
      <w:r>
        <w:rPr>
          <w:b/>
          <w:bCs/>
          <w:spacing w:val="-8"/>
          <w:sz w:val="18"/>
          <w:szCs w:val="18"/>
          <w:lang w:val="es-ES_tradnl"/>
        </w:rPr>
        <w:t>Procurador General del Estado</w:t>
      </w:r>
    </w:p>
    <w:p w14:paraId="4F67B8EF" w14:textId="77777777" w:rsidR="00591D54" w:rsidRDefault="00591D54">
      <w:pPr>
        <w:shd w:val="clear" w:color="auto" w:fill="FFFFFF"/>
        <w:spacing w:before="197" w:line="216" w:lineRule="exact"/>
        <w:ind w:right="5"/>
        <w:jc w:val="both"/>
      </w:pPr>
      <w:r>
        <w:rPr>
          <w:spacing w:val="-12"/>
          <w:sz w:val="18"/>
          <w:szCs w:val="18"/>
          <w:lang w:val="es-ES_tradnl"/>
        </w:rPr>
        <w:t xml:space="preserve">Por su parte, el abogado Marcos Arteaga Valenzuela, director </w:t>
      </w:r>
      <w:r>
        <w:rPr>
          <w:spacing w:val="-7"/>
          <w:sz w:val="18"/>
          <w:szCs w:val="18"/>
          <w:lang w:val="es-ES_tradnl"/>
        </w:rPr>
        <w:t>nacional de Patrocinio y delegado del procurador general del Estado, comparece se</w:t>
      </w:r>
      <w:r>
        <w:rPr>
          <w:rFonts w:cs="Times New Roman"/>
          <w:spacing w:val="-7"/>
          <w:sz w:val="18"/>
          <w:szCs w:val="18"/>
          <w:lang w:val="es-ES_tradnl"/>
        </w:rPr>
        <w:t>ñ</w:t>
      </w:r>
      <w:r>
        <w:rPr>
          <w:spacing w:val="-7"/>
          <w:sz w:val="18"/>
          <w:szCs w:val="18"/>
          <w:lang w:val="es-ES_tradnl"/>
        </w:rPr>
        <w:t xml:space="preserve">alando casillero constitucional </w:t>
      </w:r>
      <w:r>
        <w:rPr>
          <w:spacing w:val="-5"/>
          <w:sz w:val="18"/>
          <w:szCs w:val="18"/>
          <w:lang w:val="es-ES_tradnl"/>
        </w:rPr>
        <w:t xml:space="preserve">para futuras notificaciones y aprobando y ratificando la </w:t>
      </w:r>
      <w:r>
        <w:rPr>
          <w:spacing w:val="-9"/>
          <w:sz w:val="18"/>
          <w:szCs w:val="18"/>
          <w:lang w:val="es-ES_tradnl"/>
        </w:rPr>
        <w:t>intervenci</w:t>
      </w:r>
      <w:r>
        <w:rPr>
          <w:rFonts w:cs="Times New Roman"/>
          <w:spacing w:val="-9"/>
          <w:sz w:val="18"/>
          <w:szCs w:val="18"/>
          <w:lang w:val="es-ES_tradnl"/>
        </w:rPr>
        <w:t>ó</w:t>
      </w:r>
      <w:r>
        <w:rPr>
          <w:spacing w:val="-9"/>
          <w:sz w:val="18"/>
          <w:szCs w:val="18"/>
          <w:lang w:val="es-ES_tradnl"/>
        </w:rPr>
        <w:t>n de su delegado en audiencia p</w:t>
      </w:r>
      <w:r>
        <w:rPr>
          <w:rFonts w:cs="Times New Roman"/>
          <w:spacing w:val="-9"/>
          <w:sz w:val="18"/>
          <w:szCs w:val="18"/>
          <w:lang w:val="es-ES_tradnl"/>
        </w:rPr>
        <w:t>ú</w:t>
      </w:r>
      <w:r>
        <w:rPr>
          <w:spacing w:val="-9"/>
          <w:sz w:val="18"/>
          <w:szCs w:val="18"/>
          <w:lang w:val="es-ES_tradnl"/>
        </w:rPr>
        <w:t xml:space="preserve">blica. Respecto </w:t>
      </w:r>
      <w:r>
        <w:rPr>
          <w:spacing w:val="-7"/>
          <w:sz w:val="18"/>
          <w:szCs w:val="18"/>
          <w:lang w:val="es-ES_tradnl"/>
        </w:rPr>
        <w:t>a la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 xml:space="preserve">n planteada, manifiesta que se ha </w:t>
      </w:r>
      <w:r>
        <w:rPr>
          <w:spacing w:val="-4"/>
          <w:sz w:val="18"/>
          <w:szCs w:val="18"/>
          <w:lang w:val="es-ES_tradnl"/>
        </w:rPr>
        <w:t>vulnerado el debido proceso, la seguridad jur</w:t>
      </w:r>
      <w:r>
        <w:rPr>
          <w:rFonts w:cs="Times New Roman"/>
          <w:spacing w:val="-4"/>
          <w:sz w:val="18"/>
          <w:szCs w:val="18"/>
          <w:lang w:val="es-ES_tradnl"/>
        </w:rPr>
        <w:t>í</w:t>
      </w:r>
      <w:r>
        <w:rPr>
          <w:spacing w:val="-4"/>
          <w:sz w:val="18"/>
          <w:szCs w:val="18"/>
          <w:lang w:val="es-ES_tradnl"/>
        </w:rPr>
        <w:t xml:space="preserve">dica y la </w:t>
      </w:r>
      <w:r>
        <w:rPr>
          <w:spacing w:val="-10"/>
          <w:sz w:val="18"/>
          <w:szCs w:val="18"/>
          <w:lang w:val="es-ES_tradnl"/>
        </w:rPr>
        <w:t xml:space="preserve">tutela judicial efectiva, ya que se concede a la accionante un </w:t>
      </w:r>
      <w:r>
        <w:rPr>
          <w:spacing w:val="-8"/>
          <w:sz w:val="18"/>
          <w:szCs w:val="18"/>
          <w:lang w:val="es-ES_tradnl"/>
        </w:rPr>
        <w:t xml:space="preserve">ascenso sin analizar que la misma no ha cumplido con los </w:t>
      </w:r>
      <w:r>
        <w:rPr>
          <w:spacing w:val="-7"/>
          <w:sz w:val="18"/>
          <w:szCs w:val="18"/>
          <w:lang w:val="es-ES_tradnl"/>
        </w:rPr>
        <w:t>requisitos previstos para el efecto en las normas jur</w:t>
      </w:r>
      <w:r>
        <w:rPr>
          <w:rFonts w:cs="Times New Roman"/>
          <w:spacing w:val="-7"/>
          <w:sz w:val="18"/>
          <w:szCs w:val="18"/>
          <w:lang w:val="es-ES_tradnl"/>
        </w:rPr>
        <w:t>í</w:t>
      </w:r>
      <w:r>
        <w:rPr>
          <w:spacing w:val="-7"/>
          <w:sz w:val="18"/>
          <w:szCs w:val="18"/>
          <w:lang w:val="es-ES_tradnl"/>
        </w:rPr>
        <w:t xml:space="preserve">dicas </w:t>
      </w:r>
      <w:r>
        <w:rPr>
          <w:sz w:val="18"/>
          <w:szCs w:val="18"/>
          <w:lang w:val="es-ES_tradnl"/>
        </w:rPr>
        <w:t>internas de la Polic</w:t>
      </w:r>
      <w:r>
        <w:rPr>
          <w:rFonts w:cs="Times New Roman"/>
          <w:sz w:val="18"/>
          <w:szCs w:val="18"/>
          <w:lang w:val="es-ES_tradnl"/>
        </w:rPr>
        <w:t>í</w:t>
      </w:r>
      <w:r>
        <w:rPr>
          <w:sz w:val="18"/>
          <w:szCs w:val="18"/>
          <w:lang w:val="es-ES_tradnl"/>
        </w:rPr>
        <w:t>a Nacional.</w:t>
      </w:r>
    </w:p>
    <w:p w14:paraId="4F67B8F0" w14:textId="77777777" w:rsidR="00591D54" w:rsidRDefault="00591D54">
      <w:pPr>
        <w:shd w:val="clear" w:color="auto" w:fill="FFFFFF"/>
        <w:spacing w:before="192"/>
      </w:pPr>
      <w:r>
        <w:rPr>
          <w:b/>
          <w:bCs/>
          <w:spacing w:val="-7"/>
          <w:sz w:val="18"/>
          <w:szCs w:val="18"/>
          <w:lang w:val="es-ES_tradnl"/>
        </w:rPr>
        <w:t>Se</w:t>
      </w:r>
      <w:r>
        <w:rPr>
          <w:rFonts w:cs="Times New Roman"/>
          <w:b/>
          <w:bCs/>
          <w:spacing w:val="-7"/>
          <w:sz w:val="18"/>
          <w:szCs w:val="18"/>
          <w:lang w:val="es-ES_tradnl"/>
        </w:rPr>
        <w:t>ñ</w:t>
      </w:r>
      <w:r>
        <w:rPr>
          <w:b/>
          <w:bCs/>
          <w:spacing w:val="-7"/>
          <w:sz w:val="18"/>
          <w:szCs w:val="18"/>
          <w:lang w:val="es-ES_tradnl"/>
        </w:rPr>
        <w:t>ora Leny Mar</w:t>
      </w:r>
      <w:r>
        <w:rPr>
          <w:rFonts w:cs="Times New Roman"/>
          <w:b/>
          <w:bCs/>
          <w:spacing w:val="-7"/>
          <w:sz w:val="18"/>
          <w:szCs w:val="18"/>
          <w:lang w:val="es-ES_tradnl"/>
        </w:rPr>
        <w:t>í</w:t>
      </w:r>
      <w:r>
        <w:rPr>
          <w:b/>
          <w:bCs/>
          <w:spacing w:val="-7"/>
          <w:sz w:val="18"/>
          <w:szCs w:val="18"/>
          <w:lang w:val="es-ES_tradnl"/>
        </w:rPr>
        <w:t>a Evigenia G</w:t>
      </w:r>
      <w:r>
        <w:rPr>
          <w:rFonts w:cs="Times New Roman"/>
          <w:b/>
          <w:bCs/>
          <w:spacing w:val="-7"/>
          <w:sz w:val="18"/>
          <w:szCs w:val="18"/>
          <w:lang w:val="es-ES_tradnl"/>
        </w:rPr>
        <w:t>ó</w:t>
      </w:r>
      <w:r>
        <w:rPr>
          <w:b/>
          <w:bCs/>
          <w:spacing w:val="-7"/>
          <w:sz w:val="18"/>
          <w:szCs w:val="18"/>
          <w:lang w:val="es-ES_tradnl"/>
        </w:rPr>
        <w:t>mez</w:t>
      </w:r>
    </w:p>
    <w:p w14:paraId="4F67B8F1" w14:textId="77777777" w:rsidR="00591D54" w:rsidRDefault="00591D54">
      <w:pPr>
        <w:shd w:val="clear" w:color="auto" w:fill="FFFFFF"/>
        <w:spacing w:before="197" w:line="216" w:lineRule="exact"/>
        <w:ind w:right="5"/>
        <w:jc w:val="both"/>
      </w:pPr>
      <w:r>
        <w:rPr>
          <w:spacing w:val="-6"/>
          <w:sz w:val="18"/>
          <w:szCs w:val="18"/>
          <w:lang w:val="es-ES_tradnl"/>
        </w:rPr>
        <w:t>En lo principal, manifiesta que la acci</w:t>
      </w:r>
      <w:r>
        <w:rPr>
          <w:rFonts w:cs="Times New Roman"/>
          <w:spacing w:val="-6"/>
          <w:sz w:val="18"/>
          <w:szCs w:val="18"/>
          <w:lang w:val="es-ES_tradnl"/>
        </w:rPr>
        <w:t>ó</w:t>
      </w:r>
      <w:r>
        <w:rPr>
          <w:spacing w:val="-6"/>
          <w:sz w:val="18"/>
          <w:szCs w:val="18"/>
          <w:lang w:val="es-ES_tradnl"/>
        </w:rPr>
        <w:t xml:space="preserve">n extraordinaria de </w:t>
      </w:r>
      <w:r>
        <w:rPr>
          <w:spacing w:val="-7"/>
          <w:sz w:val="18"/>
          <w:szCs w:val="18"/>
          <w:lang w:val="es-ES_tradnl"/>
        </w:rPr>
        <w:t>protecci</w:t>
      </w:r>
      <w:r>
        <w:rPr>
          <w:rFonts w:cs="Times New Roman"/>
          <w:spacing w:val="-7"/>
          <w:sz w:val="18"/>
          <w:szCs w:val="18"/>
          <w:lang w:val="es-ES_tradnl"/>
        </w:rPr>
        <w:t>ó</w:t>
      </w:r>
      <w:r>
        <w:rPr>
          <w:spacing w:val="-7"/>
          <w:sz w:val="18"/>
          <w:szCs w:val="18"/>
          <w:lang w:val="es-ES_tradnl"/>
        </w:rPr>
        <w:t xml:space="preserve">n es improcedente, pues no ha demostrado que </w:t>
      </w:r>
      <w:r>
        <w:rPr>
          <w:spacing w:val="-8"/>
          <w:sz w:val="18"/>
          <w:szCs w:val="18"/>
          <w:lang w:val="es-ES_tradnl"/>
        </w:rPr>
        <w:t>exista vulneraci</w:t>
      </w:r>
      <w:r>
        <w:rPr>
          <w:rFonts w:cs="Times New Roman"/>
          <w:spacing w:val="-8"/>
          <w:sz w:val="18"/>
          <w:szCs w:val="18"/>
          <w:lang w:val="es-ES_tradnl"/>
        </w:rPr>
        <w:t>ó</w:t>
      </w:r>
      <w:r>
        <w:rPr>
          <w:spacing w:val="-8"/>
          <w:sz w:val="18"/>
          <w:szCs w:val="18"/>
          <w:lang w:val="es-ES_tradnl"/>
        </w:rPr>
        <w:t xml:space="preserve">n de los derechos que denuncia en su </w:t>
      </w:r>
      <w:r>
        <w:rPr>
          <w:sz w:val="18"/>
          <w:szCs w:val="18"/>
          <w:lang w:val="es-ES_tradnl"/>
        </w:rPr>
        <w:t>demanda.</w:t>
      </w:r>
    </w:p>
    <w:p w14:paraId="4F67B8F2" w14:textId="77777777" w:rsidR="00591D54" w:rsidRDefault="00591D54">
      <w:pPr>
        <w:shd w:val="clear" w:color="auto" w:fill="FFFFFF"/>
        <w:spacing w:before="197" w:line="216" w:lineRule="exact"/>
        <w:ind w:right="5"/>
        <w:jc w:val="both"/>
      </w:pPr>
      <w:r>
        <w:rPr>
          <w:spacing w:val="-8"/>
          <w:sz w:val="18"/>
          <w:szCs w:val="18"/>
          <w:lang w:val="es-ES_tradnl"/>
        </w:rPr>
        <w:t>Respecto al argumento de que se vulner</w:t>
      </w:r>
      <w:r>
        <w:rPr>
          <w:rFonts w:cs="Times New Roman"/>
          <w:spacing w:val="-8"/>
          <w:sz w:val="18"/>
          <w:szCs w:val="18"/>
          <w:lang w:val="es-ES_tradnl"/>
        </w:rPr>
        <w:t>ó</w:t>
      </w:r>
      <w:r>
        <w:rPr>
          <w:spacing w:val="-8"/>
          <w:sz w:val="18"/>
          <w:szCs w:val="18"/>
          <w:lang w:val="es-ES_tradnl"/>
        </w:rPr>
        <w:t xml:space="preserve"> el derecho a la </w:t>
      </w:r>
      <w:r>
        <w:rPr>
          <w:spacing w:val="-6"/>
          <w:sz w:val="18"/>
          <w:szCs w:val="18"/>
          <w:lang w:val="es-ES_tradnl"/>
        </w:rPr>
        <w:t xml:space="preserve">defensa indica que </w:t>
      </w:r>
      <w:r>
        <w:rPr>
          <w:rFonts w:cs="Times New Roman"/>
          <w:spacing w:val="-6"/>
          <w:sz w:val="18"/>
          <w:szCs w:val="18"/>
          <w:lang w:val="es-ES_tradnl"/>
        </w:rPr>
        <w:t>“</w:t>
      </w:r>
      <w:r>
        <w:rPr>
          <w:spacing w:val="-6"/>
          <w:sz w:val="18"/>
          <w:szCs w:val="18"/>
          <w:lang w:val="es-ES_tradnl"/>
        </w:rPr>
        <w:t>(</w:t>
      </w:r>
      <w:r>
        <w:rPr>
          <w:rFonts w:cs="Times New Roman"/>
          <w:spacing w:val="-6"/>
          <w:sz w:val="18"/>
          <w:szCs w:val="18"/>
          <w:lang w:val="es-ES_tradnl"/>
        </w:rPr>
        <w:t>…</w:t>
      </w:r>
      <w:r>
        <w:rPr>
          <w:spacing w:val="-6"/>
          <w:sz w:val="18"/>
          <w:szCs w:val="18"/>
          <w:lang w:val="es-ES_tradnl"/>
        </w:rPr>
        <w:t xml:space="preserve">) los juzgadores, efectivamente, </w:t>
      </w:r>
      <w:r>
        <w:rPr>
          <w:sz w:val="18"/>
          <w:szCs w:val="18"/>
          <w:lang w:val="es-ES_tradnl"/>
        </w:rPr>
        <w:t>incorporaron a su decisi</w:t>
      </w:r>
      <w:r>
        <w:rPr>
          <w:rFonts w:cs="Times New Roman"/>
          <w:sz w:val="18"/>
          <w:szCs w:val="18"/>
          <w:lang w:val="es-ES_tradnl"/>
        </w:rPr>
        <w:t>ó</w:t>
      </w:r>
      <w:r>
        <w:rPr>
          <w:sz w:val="18"/>
          <w:szCs w:val="18"/>
          <w:lang w:val="es-ES_tradnl"/>
        </w:rPr>
        <w:t xml:space="preserve">n todos los argumentos </w:t>
      </w:r>
      <w:r>
        <w:rPr>
          <w:spacing w:val="-3"/>
          <w:sz w:val="18"/>
          <w:szCs w:val="18"/>
          <w:lang w:val="es-ES_tradnl"/>
        </w:rPr>
        <w:t>expresados por la Polic</w:t>
      </w:r>
      <w:r>
        <w:rPr>
          <w:rFonts w:cs="Times New Roman"/>
          <w:spacing w:val="-3"/>
          <w:sz w:val="18"/>
          <w:szCs w:val="18"/>
          <w:lang w:val="es-ES_tradnl"/>
        </w:rPr>
        <w:t>í</w:t>
      </w:r>
      <w:r>
        <w:rPr>
          <w:spacing w:val="-3"/>
          <w:sz w:val="18"/>
          <w:szCs w:val="18"/>
          <w:lang w:val="es-ES_tradnl"/>
        </w:rPr>
        <w:t>a Nacional en dicha audiencia (</w:t>
      </w:r>
      <w:r>
        <w:rPr>
          <w:rFonts w:cs="Times New Roman"/>
          <w:spacing w:val="-3"/>
          <w:sz w:val="18"/>
          <w:szCs w:val="18"/>
          <w:lang w:val="es-ES_tradnl"/>
        </w:rPr>
        <w:t>…</w:t>
      </w:r>
      <w:r>
        <w:rPr>
          <w:spacing w:val="-3"/>
          <w:sz w:val="18"/>
          <w:szCs w:val="18"/>
          <w:lang w:val="es-ES_tradnl"/>
        </w:rPr>
        <w:t>) los jueces constitucionales no incumplieron ning</w:t>
      </w:r>
      <w:r>
        <w:rPr>
          <w:rFonts w:cs="Times New Roman"/>
          <w:spacing w:val="-3"/>
          <w:sz w:val="18"/>
          <w:szCs w:val="18"/>
          <w:lang w:val="es-ES_tradnl"/>
        </w:rPr>
        <w:t>ú</w:t>
      </w:r>
      <w:r>
        <w:rPr>
          <w:spacing w:val="-3"/>
          <w:sz w:val="18"/>
          <w:szCs w:val="18"/>
          <w:lang w:val="es-ES_tradnl"/>
        </w:rPr>
        <w:t>n</w:t>
      </w:r>
    </w:p>
    <w:p w14:paraId="4F67B8F3" w14:textId="77777777" w:rsidR="00591D54" w:rsidRDefault="00591D54">
      <w:pPr>
        <w:shd w:val="clear" w:color="auto" w:fill="FFFFFF"/>
        <w:spacing w:before="5" w:line="216" w:lineRule="exact"/>
        <w:ind w:right="5"/>
        <w:jc w:val="both"/>
      </w:pPr>
      <w:r>
        <w:br w:type="column"/>
      </w:r>
      <w:r>
        <w:rPr>
          <w:spacing w:val="-7"/>
          <w:sz w:val="18"/>
          <w:szCs w:val="18"/>
          <w:lang w:val="es-ES_tradnl"/>
        </w:rPr>
        <w:t xml:space="preserve">precepto procedimental que impida al entonces accionado </w:t>
      </w:r>
      <w:r>
        <w:rPr>
          <w:spacing w:val="-6"/>
          <w:sz w:val="18"/>
          <w:szCs w:val="18"/>
          <w:lang w:val="es-ES_tradnl"/>
        </w:rPr>
        <w:t xml:space="preserve">ejercer su derecho a la defensa, refutar o contradecir los </w:t>
      </w:r>
      <w:r>
        <w:rPr>
          <w:spacing w:val="-8"/>
          <w:sz w:val="18"/>
          <w:szCs w:val="18"/>
          <w:lang w:val="es-ES_tradnl"/>
        </w:rPr>
        <w:t>argumentos del accionante, as</w:t>
      </w:r>
      <w:r>
        <w:rPr>
          <w:rFonts w:cs="Times New Roman"/>
          <w:spacing w:val="-8"/>
          <w:sz w:val="18"/>
          <w:szCs w:val="18"/>
          <w:lang w:val="es-ES_tradnl"/>
        </w:rPr>
        <w:t>í</w:t>
      </w:r>
      <w:r>
        <w:rPr>
          <w:spacing w:val="-8"/>
          <w:sz w:val="18"/>
          <w:szCs w:val="18"/>
          <w:lang w:val="es-ES_tradnl"/>
        </w:rPr>
        <w:t xml:space="preserve"> como tambi</w:t>
      </w:r>
      <w:r>
        <w:rPr>
          <w:rFonts w:cs="Times New Roman"/>
          <w:spacing w:val="-8"/>
          <w:sz w:val="18"/>
          <w:szCs w:val="18"/>
          <w:lang w:val="es-ES_tradnl"/>
        </w:rPr>
        <w:t>é</w:t>
      </w:r>
      <w:r>
        <w:rPr>
          <w:spacing w:val="-8"/>
          <w:sz w:val="18"/>
          <w:szCs w:val="18"/>
          <w:lang w:val="es-ES_tradnl"/>
        </w:rPr>
        <w:t>n re realizaron las correspondientes notificaciones, no es procedente que ahora se se</w:t>
      </w:r>
      <w:r>
        <w:rPr>
          <w:rFonts w:cs="Times New Roman"/>
          <w:spacing w:val="-8"/>
          <w:sz w:val="18"/>
          <w:szCs w:val="18"/>
          <w:lang w:val="es-ES_tradnl"/>
        </w:rPr>
        <w:t>ñ</w:t>
      </w:r>
      <w:r>
        <w:rPr>
          <w:spacing w:val="-8"/>
          <w:sz w:val="18"/>
          <w:szCs w:val="18"/>
          <w:lang w:val="es-ES_tradnl"/>
        </w:rPr>
        <w:t>ale que ha quedado en estado de indefensi</w:t>
      </w:r>
      <w:r>
        <w:rPr>
          <w:rFonts w:cs="Times New Roman"/>
          <w:spacing w:val="-8"/>
          <w:sz w:val="18"/>
          <w:szCs w:val="18"/>
          <w:lang w:val="es-ES_tradnl"/>
        </w:rPr>
        <w:t>ó</w:t>
      </w:r>
      <w:r>
        <w:rPr>
          <w:spacing w:val="-8"/>
          <w:sz w:val="18"/>
          <w:szCs w:val="18"/>
          <w:lang w:val="es-ES_tradnl"/>
        </w:rPr>
        <w:t xml:space="preserve">n </w:t>
      </w:r>
      <w:r>
        <w:rPr>
          <w:sz w:val="18"/>
          <w:szCs w:val="18"/>
          <w:lang w:val="es-ES_tradnl"/>
        </w:rPr>
        <w:t>(</w:t>
      </w:r>
      <w:r>
        <w:rPr>
          <w:rFonts w:cs="Times New Roman"/>
          <w:sz w:val="18"/>
          <w:szCs w:val="18"/>
          <w:lang w:val="es-ES_tradnl"/>
        </w:rPr>
        <w:t>…</w:t>
      </w:r>
      <w:r>
        <w:rPr>
          <w:sz w:val="18"/>
          <w:szCs w:val="18"/>
          <w:lang w:val="es-ES_tradnl"/>
        </w:rPr>
        <w:t>)</w:t>
      </w:r>
      <w:r>
        <w:rPr>
          <w:rFonts w:cs="Times New Roman"/>
          <w:sz w:val="18"/>
          <w:szCs w:val="18"/>
          <w:lang w:val="es-ES_tradnl"/>
        </w:rPr>
        <w:t>”</w:t>
      </w:r>
      <w:r>
        <w:rPr>
          <w:sz w:val="18"/>
          <w:szCs w:val="18"/>
          <w:lang w:val="es-ES_tradnl"/>
        </w:rPr>
        <w:t>.</w:t>
      </w:r>
    </w:p>
    <w:p w14:paraId="4F67B8F4" w14:textId="77777777" w:rsidR="00591D54" w:rsidRDefault="00591D54">
      <w:pPr>
        <w:shd w:val="clear" w:color="auto" w:fill="FFFFFF"/>
        <w:spacing w:before="197" w:line="216" w:lineRule="exact"/>
        <w:jc w:val="both"/>
      </w:pPr>
      <w:r>
        <w:rPr>
          <w:sz w:val="18"/>
          <w:szCs w:val="18"/>
          <w:lang w:val="es-ES_tradnl"/>
        </w:rPr>
        <w:t>Respecto a la vulneraci</w:t>
      </w:r>
      <w:r>
        <w:rPr>
          <w:rFonts w:cs="Times New Roman"/>
          <w:sz w:val="18"/>
          <w:szCs w:val="18"/>
          <w:lang w:val="es-ES_tradnl"/>
        </w:rPr>
        <w:t>ó</w:t>
      </w:r>
      <w:r>
        <w:rPr>
          <w:sz w:val="18"/>
          <w:szCs w:val="18"/>
          <w:lang w:val="es-ES_tradnl"/>
        </w:rPr>
        <w:t>n de la seguridad jur</w:t>
      </w:r>
      <w:r>
        <w:rPr>
          <w:rFonts w:cs="Times New Roman"/>
          <w:sz w:val="18"/>
          <w:szCs w:val="18"/>
          <w:lang w:val="es-ES_tradnl"/>
        </w:rPr>
        <w:t>í</w:t>
      </w:r>
      <w:r>
        <w:rPr>
          <w:sz w:val="18"/>
          <w:szCs w:val="18"/>
          <w:lang w:val="es-ES_tradnl"/>
        </w:rPr>
        <w:t xml:space="preserve">dica </w:t>
      </w:r>
      <w:r>
        <w:rPr>
          <w:spacing w:val="-2"/>
          <w:sz w:val="18"/>
          <w:szCs w:val="18"/>
          <w:lang w:val="es-ES_tradnl"/>
        </w:rPr>
        <w:t xml:space="preserve">manifiesta que </w:t>
      </w:r>
      <w:r>
        <w:rPr>
          <w:rFonts w:cs="Times New Roman"/>
          <w:spacing w:val="-2"/>
          <w:sz w:val="18"/>
          <w:szCs w:val="18"/>
          <w:lang w:val="es-ES_tradnl"/>
        </w:rPr>
        <w:t>“</w:t>
      </w:r>
      <w:r>
        <w:rPr>
          <w:spacing w:val="-2"/>
          <w:sz w:val="18"/>
          <w:szCs w:val="18"/>
          <w:lang w:val="es-ES_tradnl"/>
        </w:rPr>
        <w:t>(</w:t>
      </w:r>
      <w:r>
        <w:rPr>
          <w:rFonts w:cs="Times New Roman"/>
          <w:spacing w:val="-2"/>
          <w:sz w:val="18"/>
          <w:szCs w:val="18"/>
          <w:lang w:val="es-ES_tradnl"/>
        </w:rPr>
        <w:t>…</w:t>
      </w:r>
      <w:r>
        <w:rPr>
          <w:spacing w:val="-2"/>
          <w:sz w:val="18"/>
          <w:szCs w:val="18"/>
          <w:lang w:val="es-ES_tradnl"/>
        </w:rPr>
        <w:t xml:space="preserve">) el accionante pretende que la </w:t>
      </w:r>
      <w:r>
        <w:rPr>
          <w:spacing w:val="-6"/>
          <w:sz w:val="18"/>
          <w:szCs w:val="18"/>
          <w:lang w:val="es-ES_tradnl"/>
        </w:rPr>
        <w:t xml:space="preserve">sentencia referida en su demanda afecta a la seguridad </w:t>
      </w:r>
      <w:r>
        <w:rPr>
          <w:spacing w:val="-7"/>
          <w:sz w:val="18"/>
          <w:szCs w:val="18"/>
          <w:lang w:val="es-ES_tradnl"/>
        </w:rPr>
        <w:t>jur</w:t>
      </w:r>
      <w:r>
        <w:rPr>
          <w:rFonts w:cs="Times New Roman"/>
          <w:spacing w:val="-7"/>
          <w:sz w:val="18"/>
          <w:szCs w:val="18"/>
          <w:lang w:val="es-ES_tradnl"/>
        </w:rPr>
        <w:t>í</w:t>
      </w:r>
      <w:r>
        <w:rPr>
          <w:spacing w:val="-7"/>
          <w:sz w:val="18"/>
          <w:szCs w:val="18"/>
          <w:lang w:val="es-ES_tradnl"/>
        </w:rPr>
        <w:t xml:space="preserve">dica </w:t>
      </w:r>
      <w:r>
        <w:rPr>
          <w:b/>
          <w:bCs/>
          <w:spacing w:val="-7"/>
          <w:sz w:val="18"/>
          <w:szCs w:val="18"/>
          <w:lang w:val="es-ES_tradnl"/>
        </w:rPr>
        <w:t>simplemente porque no le da la raz</w:t>
      </w:r>
      <w:r>
        <w:rPr>
          <w:rFonts w:cs="Times New Roman"/>
          <w:b/>
          <w:bCs/>
          <w:spacing w:val="-7"/>
          <w:sz w:val="18"/>
          <w:szCs w:val="18"/>
          <w:lang w:val="es-ES_tradnl"/>
        </w:rPr>
        <w:t>ó</w:t>
      </w:r>
      <w:r>
        <w:rPr>
          <w:b/>
          <w:bCs/>
          <w:spacing w:val="-7"/>
          <w:sz w:val="18"/>
          <w:szCs w:val="18"/>
          <w:lang w:val="es-ES_tradnl"/>
        </w:rPr>
        <w:t>n</w:t>
      </w:r>
      <w:r>
        <w:rPr>
          <w:spacing w:val="-7"/>
          <w:sz w:val="18"/>
          <w:szCs w:val="18"/>
          <w:lang w:val="es-ES_tradnl"/>
        </w:rPr>
        <w:t xml:space="preserve">. La Corte </w:t>
      </w:r>
      <w:r>
        <w:rPr>
          <w:spacing w:val="-8"/>
          <w:sz w:val="18"/>
          <w:szCs w:val="18"/>
          <w:lang w:val="es-ES_tradnl"/>
        </w:rPr>
        <w:t xml:space="preserve">Constitucional ha indicado que el hecho de que se rechace </w:t>
      </w:r>
      <w:r>
        <w:rPr>
          <w:spacing w:val="-3"/>
          <w:sz w:val="18"/>
          <w:szCs w:val="18"/>
          <w:lang w:val="es-ES_tradnl"/>
        </w:rPr>
        <w:t>una pretensi</w:t>
      </w:r>
      <w:r>
        <w:rPr>
          <w:rFonts w:cs="Times New Roman"/>
          <w:spacing w:val="-3"/>
          <w:sz w:val="18"/>
          <w:szCs w:val="18"/>
          <w:lang w:val="es-ES_tradnl"/>
        </w:rPr>
        <w:t>ó</w:t>
      </w:r>
      <w:r>
        <w:rPr>
          <w:spacing w:val="-3"/>
          <w:sz w:val="18"/>
          <w:szCs w:val="18"/>
          <w:lang w:val="es-ES_tradnl"/>
        </w:rPr>
        <w:t>n no implica, en lo absoluto, violaci</w:t>
      </w:r>
      <w:r>
        <w:rPr>
          <w:rFonts w:cs="Times New Roman"/>
          <w:spacing w:val="-3"/>
          <w:sz w:val="18"/>
          <w:szCs w:val="18"/>
          <w:lang w:val="es-ES_tradnl"/>
        </w:rPr>
        <w:t>ó</w:t>
      </w:r>
      <w:r>
        <w:rPr>
          <w:spacing w:val="-3"/>
          <w:sz w:val="18"/>
          <w:szCs w:val="18"/>
          <w:lang w:val="es-ES_tradnl"/>
        </w:rPr>
        <w:t xml:space="preserve">n de </w:t>
      </w:r>
      <w:r>
        <w:rPr>
          <w:sz w:val="18"/>
          <w:szCs w:val="18"/>
          <w:lang w:val="es-ES_tradnl"/>
        </w:rPr>
        <w:t>derechos (</w:t>
      </w:r>
      <w:r>
        <w:rPr>
          <w:rFonts w:cs="Times New Roman"/>
          <w:sz w:val="18"/>
          <w:szCs w:val="18"/>
          <w:lang w:val="es-ES_tradnl"/>
        </w:rPr>
        <w:t>…</w:t>
      </w:r>
      <w:r>
        <w:rPr>
          <w:sz w:val="18"/>
          <w:szCs w:val="18"/>
          <w:lang w:val="es-ES_tradnl"/>
        </w:rPr>
        <w:t>)</w:t>
      </w:r>
      <w:r>
        <w:rPr>
          <w:rFonts w:cs="Times New Roman"/>
          <w:sz w:val="18"/>
          <w:szCs w:val="18"/>
          <w:lang w:val="es-ES_tradnl"/>
        </w:rPr>
        <w:t>”</w:t>
      </w:r>
      <w:r>
        <w:rPr>
          <w:sz w:val="18"/>
          <w:szCs w:val="18"/>
          <w:lang w:val="es-ES_tradnl"/>
        </w:rPr>
        <w:t>.</w:t>
      </w:r>
    </w:p>
    <w:p w14:paraId="4F67B8F5" w14:textId="77777777" w:rsidR="00591D54" w:rsidRDefault="00591D54">
      <w:pPr>
        <w:shd w:val="clear" w:color="auto" w:fill="FFFFFF"/>
        <w:spacing w:before="197" w:line="216" w:lineRule="exact"/>
        <w:jc w:val="both"/>
      </w:pPr>
      <w:r>
        <w:rPr>
          <w:spacing w:val="-3"/>
          <w:sz w:val="18"/>
          <w:szCs w:val="18"/>
          <w:lang w:val="es-ES_tradnl"/>
        </w:rPr>
        <w:t>Respecto de la vulneraci</w:t>
      </w:r>
      <w:r>
        <w:rPr>
          <w:rFonts w:cs="Times New Roman"/>
          <w:spacing w:val="-3"/>
          <w:sz w:val="18"/>
          <w:szCs w:val="18"/>
          <w:lang w:val="es-ES_tradnl"/>
        </w:rPr>
        <w:t>ó</w:t>
      </w:r>
      <w:r>
        <w:rPr>
          <w:spacing w:val="-3"/>
          <w:sz w:val="18"/>
          <w:szCs w:val="18"/>
          <w:lang w:val="es-ES_tradnl"/>
        </w:rPr>
        <w:t xml:space="preserve">n a la tutela judicial efectiva, </w:t>
      </w:r>
      <w:r>
        <w:rPr>
          <w:spacing w:val="-7"/>
          <w:sz w:val="18"/>
          <w:szCs w:val="18"/>
          <w:lang w:val="es-ES_tradnl"/>
        </w:rPr>
        <w:t>dice que la demanda no explica c</w:t>
      </w:r>
      <w:r>
        <w:rPr>
          <w:rFonts w:cs="Times New Roman"/>
          <w:spacing w:val="-7"/>
          <w:sz w:val="18"/>
          <w:szCs w:val="18"/>
          <w:lang w:val="es-ES_tradnl"/>
        </w:rPr>
        <w:t>ó</w:t>
      </w:r>
      <w:r>
        <w:rPr>
          <w:spacing w:val="-7"/>
          <w:sz w:val="18"/>
          <w:szCs w:val="18"/>
          <w:lang w:val="es-ES_tradnl"/>
        </w:rPr>
        <w:t xml:space="preserve">mo ocurre aquello </w:t>
      </w:r>
      <w:r>
        <w:rPr>
          <w:rFonts w:cs="Times New Roman"/>
          <w:spacing w:val="-7"/>
          <w:sz w:val="18"/>
          <w:szCs w:val="18"/>
          <w:lang w:val="es-ES_tradnl"/>
        </w:rPr>
        <w:t>“</w:t>
      </w:r>
      <w:r>
        <w:rPr>
          <w:spacing w:val="-7"/>
          <w:sz w:val="18"/>
          <w:szCs w:val="18"/>
          <w:lang w:val="es-ES_tradnl"/>
        </w:rPr>
        <w:t>(</w:t>
      </w:r>
      <w:r>
        <w:rPr>
          <w:rFonts w:cs="Times New Roman"/>
          <w:spacing w:val="-7"/>
          <w:sz w:val="18"/>
          <w:szCs w:val="18"/>
          <w:lang w:val="es-ES_tradnl"/>
        </w:rPr>
        <w:t>…</w:t>
      </w:r>
      <w:r>
        <w:rPr>
          <w:spacing w:val="-7"/>
          <w:sz w:val="18"/>
          <w:szCs w:val="18"/>
          <w:lang w:val="es-ES_tradnl"/>
        </w:rPr>
        <w:t xml:space="preserve">) </w:t>
      </w:r>
      <w:r>
        <w:rPr>
          <w:spacing w:val="-10"/>
          <w:sz w:val="18"/>
          <w:szCs w:val="18"/>
          <w:lang w:val="es-ES_tradnl"/>
        </w:rPr>
        <w:t xml:space="preserve">no basta con mencionar estos derechos constitucionales, se </w:t>
      </w:r>
      <w:r>
        <w:rPr>
          <w:spacing w:val="-9"/>
          <w:sz w:val="18"/>
          <w:szCs w:val="18"/>
          <w:lang w:val="es-ES_tradnl"/>
        </w:rPr>
        <w:t>debe hacer una relaci</w:t>
      </w:r>
      <w:r>
        <w:rPr>
          <w:rFonts w:cs="Times New Roman"/>
          <w:spacing w:val="-9"/>
          <w:sz w:val="18"/>
          <w:szCs w:val="18"/>
          <w:lang w:val="es-ES_tradnl"/>
        </w:rPr>
        <w:t>ó</w:t>
      </w:r>
      <w:r>
        <w:rPr>
          <w:spacing w:val="-9"/>
          <w:sz w:val="18"/>
          <w:szCs w:val="18"/>
          <w:lang w:val="es-ES_tradnl"/>
        </w:rPr>
        <w:t xml:space="preserve">n entre estos derechos y la conducta </w:t>
      </w:r>
      <w:r>
        <w:rPr>
          <w:spacing w:val="-6"/>
          <w:sz w:val="18"/>
          <w:szCs w:val="18"/>
          <w:lang w:val="es-ES_tradnl"/>
        </w:rPr>
        <w:t>del juzgador, demostrando que la violaci</w:t>
      </w:r>
      <w:r>
        <w:rPr>
          <w:rFonts w:cs="Times New Roman"/>
          <w:spacing w:val="-6"/>
          <w:sz w:val="18"/>
          <w:szCs w:val="18"/>
          <w:lang w:val="es-ES_tradnl"/>
        </w:rPr>
        <w:t>ó</w:t>
      </w:r>
      <w:r>
        <w:rPr>
          <w:spacing w:val="-6"/>
          <w:sz w:val="18"/>
          <w:szCs w:val="18"/>
          <w:lang w:val="es-ES_tradnl"/>
        </w:rPr>
        <w:t xml:space="preserve">n proviene de la </w:t>
      </w:r>
      <w:r>
        <w:rPr>
          <w:sz w:val="18"/>
          <w:szCs w:val="18"/>
          <w:lang w:val="es-ES_tradnl"/>
        </w:rPr>
        <w:t>sentencia (</w:t>
      </w:r>
      <w:r>
        <w:rPr>
          <w:rFonts w:cs="Times New Roman"/>
          <w:sz w:val="18"/>
          <w:szCs w:val="18"/>
          <w:lang w:val="es-ES_tradnl"/>
        </w:rPr>
        <w:t>…</w:t>
      </w:r>
      <w:r>
        <w:rPr>
          <w:sz w:val="18"/>
          <w:szCs w:val="18"/>
          <w:lang w:val="es-ES_tradnl"/>
        </w:rPr>
        <w:t>)</w:t>
      </w:r>
      <w:r>
        <w:rPr>
          <w:rFonts w:cs="Times New Roman"/>
          <w:sz w:val="18"/>
          <w:szCs w:val="18"/>
          <w:lang w:val="es-ES_tradnl"/>
        </w:rPr>
        <w:t>”</w:t>
      </w:r>
      <w:r>
        <w:rPr>
          <w:sz w:val="18"/>
          <w:szCs w:val="18"/>
          <w:lang w:val="es-ES_tradnl"/>
        </w:rPr>
        <w:t>.</w:t>
      </w:r>
    </w:p>
    <w:p w14:paraId="4F67B8F6" w14:textId="77777777" w:rsidR="00591D54" w:rsidRDefault="00591D54">
      <w:pPr>
        <w:shd w:val="clear" w:color="auto" w:fill="FFFFFF"/>
        <w:spacing w:before="197" w:line="216" w:lineRule="exact"/>
        <w:jc w:val="both"/>
      </w:pPr>
      <w:r>
        <w:rPr>
          <w:spacing w:val="-8"/>
          <w:sz w:val="18"/>
          <w:szCs w:val="18"/>
          <w:lang w:val="es-ES_tradnl"/>
        </w:rPr>
        <w:t>Se</w:t>
      </w:r>
      <w:r>
        <w:rPr>
          <w:rFonts w:cs="Times New Roman"/>
          <w:spacing w:val="-8"/>
          <w:sz w:val="18"/>
          <w:szCs w:val="18"/>
          <w:lang w:val="es-ES_tradnl"/>
        </w:rPr>
        <w:t>ñ</w:t>
      </w:r>
      <w:r>
        <w:rPr>
          <w:spacing w:val="-8"/>
          <w:sz w:val="18"/>
          <w:szCs w:val="18"/>
          <w:lang w:val="es-ES_tradnl"/>
        </w:rPr>
        <w:t>ala adem</w:t>
      </w:r>
      <w:r>
        <w:rPr>
          <w:rFonts w:cs="Times New Roman"/>
          <w:spacing w:val="-8"/>
          <w:sz w:val="18"/>
          <w:szCs w:val="18"/>
          <w:lang w:val="es-ES_tradnl"/>
        </w:rPr>
        <w:t>á</w:t>
      </w:r>
      <w:r>
        <w:rPr>
          <w:spacing w:val="-8"/>
          <w:sz w:val="18"/>
          <w:szCs w:val="18"/>
          <w:lang w:val="es-ES_tradnl"/>
        </w:rPr>
        <w:t>s, que la acci</w:t>
      </w:r>
      <w:r>
        <w:rPr>
          <w:rFonts w:cs="Times New Roman"/>
          <w:spacing w:val="-8"/>
          <w:sz w:val="18"/>
          <w:szCs w:val="18"/>
          <w:lang w:val="es-ES_tradnl"/>
        </w:rPr>
        <w:t>ó</w:t>
      </w:r>
      <w:r>
        <w:rPr>
          <w:spacing w:val="-8"/>
          <w:sz w:val="18"/>
          <w:szCs w:val="18"/>
          <w:lang w:val="es-ES_tradnl"/>
        </w:rPr>
        <w:t>n extraordinaria de protecci</w:t>
      </w:r>
      <w:r>
        <w:rPr>
          <w:rFonts w:cs="Times New Roman"/>
          <w:spacing w:val="-8"/>
          <w:sz w:val="18"/>
          <w:szCs w:val="18"/>
          <w:lang w:val="es-ES_tradnl"/>
        </w:rPr>
        <w:t>ó</w:t>
      </w:r>
      <w:r>
        <w:rPr>
          <w:spacing w:val="-8"/>
          <w:sz w:val="18"/>
          <w:szCs w:val="18"/>
          <w:lang w:val="es-ES_tradnl"/>
        </w:rPr>
        <w:t xml:space="preserve">n </w:t>
      </w:r>
      <w:r>
        <w:rPr>
          <w:spacing w:val="-4"/>
          <w:sz w:val="18"/>
          <w:szCs w:val="18"/>
          <w:lang w:val="es-ES_tradnl"/>
        </w:rPr>
        <w:t xml:space="preserve">no constituye una </w:t>
      </w:r>
      <w:r>
        <w:rPr>
          <w:rFonts w:cs="Times New Roman"/>
          <w:spacing w:val="-4"/>
          <w:sz w:val="18"/>
          <w:szCs w:val="18"/>
          <w:lang w:val="es-ES_tradnl"/>
        </w:rPr>
        <w:t>“</w:t>
      </w:r>
      <w:r>
        <w:rPr>
          <w:spacing w:val="-4"/>
          <w:sz w:val="18"/>
          <w:szCs w:val="18"/>
          <w:lang w:val="es-ES_tradnl"/>
        </w:rPr>
        <w:t xml:space="preserve">cuarta instancia o instancia adicional </w:t>
      </w:r>
      <w:r>
        <w:rPr>
          <w:rFonts w:cs="Times New Roman"/>
          <w:spacing w:val="-5"/>
          <w:sz w:val="18"/>
          <w:szCs w:val="18"/>
          <w:lang w:val="es-ES_tradnl"/>
        </w:rPr>
        <w:t>“</w:t>
      </w:r>
      <w:r>
        <w:rPr>
          <w:spacing w:val="-5"/>
          <w:sz w:val="18"/>
          <w:szCs w:val="18"/>
          <w:lang w:val="es-ES_tradnl"/>
        </w:rPr>
        <w:t>(</w:t>
      </w:r>
      <w:r>
        <w:rPr>
          <w:rFonts w:cs="Times New Roman"/>
          <w:spacing w:val="-5"/>
          <w:sz w:val="18"/>
          <w:szCs w:val="18"/>
          <w:lang w:val="es-ES_tradnl"/>
        </w:rPr>
        <w:t>…</w:t>
      </w:r>
      <w:r>
        <w:rPr>
          <w:spacing w:val="-5"/>
          <w:sz w:val="18"/>
          <w:szCs w:val="18"/>
          <w:lang w:val="es-ES_tradnl"/>
        </w:rPr>
        <w:t>) como tampoco lo es la revisi</w:t>
      </w:r>
      <w:r>
        <w:rPr>
          <w:rFonts w:cs="Times New Roman"/>
          <w:spacing w:val="-5"/>
          <w:sz w:val="18"/>
          <w:szCs w:val="18"/>
          <w:lang w:val="es-ES_tradnl"/>
        </w:rPr>
        <w:t>ó</w:t>
      </w:r>
      <w:r>
        <w:rPr>
          <w:spacing w:val="-5"/>
          <w:sz w:val="18"/>
          <w:szCs w:val="18"/>
          <w:lang w:val="es-ES_tradnl"/>
        </w:rPr>
        <w:t xml:space="preserve">n de asuntos relativos </w:t>
      </w:r>
      <w:r>
        <w:rPr>
          <w:spacing w:val="-6"/>
          <w:sz w:val="18"/>
          <w:szCs w:val="18"/>
          <w:lang w:val="es-ES_tradnl"/>
        </w:rPr>
        <w:t>a la apreciaci</w:t>
      </w:r>
      <w:r>
        <w:rPr>
          <w:rFonts w:cs="Times New Roman"/>
          <w:spacing w:val="-6"/>
          <w:sz w:val="18"/>
          <w:szCs w:val="18"/>
          <w:lang w:val="es-ES_tradnl"/>
        </w:rPr>
        <w:t>ó</w:t>
      </w:r>
      <w:r>
        <w:rPr>
          <w:spacing w:val="-6"/>
          <w:sz w:val="18"/>
          <w:szCs w:val="18"/>
          <w:lang w:val="es-ES_tradnl"/>
        </w:rPr>
        <w:t xml:space="preserve">n de normas legales, como pretende el accionante cuando intenta justificar sus actos en normas </w:t>
      </w:r>
      <w:r>
        <w:rPr>
          <w:sz w:val="18"/>
          <w:szCs w:val="18"/>
          <w:lang w:val="es-ES_tradnl"/>
        </w:rPr>
        <w:t>jur</w:t>
      </w:r>
      <w:r>
        <w:rPr>
          <w:rFonts w:cs="Times New Roman"/>
          <w:sz w:val="18"/>
          <w:szCs w:val="18"/>
          <w:lang w:val="es-ES_tradnl"/>
        </w:rPr>
        <w:t>í</w:t>
      </w:r>
      <w:r>
        <w:rPr>
          <w:sz w:val="18"/>
          <w:szCs w:val="18"/>
          <w:lang w:val="es-ES_tradnl"/>
        </w:rPr>
        <w:t xml:space="preserve">dicas e intenta que la Magistratura se pronuncie </w:t>
      </w:r>
      <w:r>
        <w:rPr>
          <w:spacing w:val="-4"/>
          <w:sz w:val="18"/>
          <w:szCs w:val="18"/>
          <w:lang w:val="es-ES_tradnl"/>
        </w:rPr>
        <w:t>sobre aquello (</w:t>
      </w:r>
      <w:r>
        <w:rPr>
          <w:rFonts w:cs="Times New Roman"/>
          <w:spacing w:val="-4"/>
          <w:sz w:val="18"/>
          <w:szCs w:val="18"/>
          <w:lang w:val="es-ES_tradnl"/>
        </w:rPr>
        <w:t>…</w:t>
      </w:r>
      <w:r>
        <w:rPr>
          <w:spacing w:val="-4"/>
          <w:sz w:val="18"/>
          <w:szCs w:val="18"/>
          <w:lang w:val="es-ES_tradnl"/>
        </w:rPr>
        <w:t xml:space="preserve">) se la propone solamente por no estar </w:t>
      </w:r>
      <w:r>
        <w:rPr>
          <w:spacing w:val="-5"/>
          <w:sz w:val="18"/>
          <w:szCs w:val="18"/>
          <w:lang w:val="es-ES_tradnl"/>
        </w:rPr>
        <w:t>de acuerdo en la forma en que la Sala resolvi</w:t>
      </w:r>
      <w:r>
        <w:rPr>
          <w:rFonts w:cs="Times New Roman"/>
          <w:spacing w:val="-5"/>
          <w:sz w:val="18"/>
          <w:szCs w:val="18"/>
          <w:lang w:val="es-ES_tradnl"/>
        </w:rPr>
        <w:t>ó</w:t>
      </w:r>
      <w:r>
        <w:rPr>
          <w:spacing w:val="-5"/>
          <w:sz w:val="18"/>
          <w:szCs w:val="18"/>
          <w:lang w:val="es-ES_tradnl"/>
        </w:rPr>
        <w:t xml:space="preserve"> la acci</w:t>
      </w:r>
      <w:r>
        <w:rPr>
          <w:rFonts w:cs="Times New Roman"/>
          <w:spacing w:val="-5"/>
          <w:sz w:val="18"/>
          <w:szCs w:val="18"/>
          <w:lang w:val="es-ES_tradnl"/>
        </w:rPr>
        <w:t>ó</w:t>
      </w:r>
      <w:r>
        <w:rPr>
          <w:spacing w:val="-5"/>
          <w:sz w:val="18"/>
          <w:szCs w:val="18"/>
          <w:lang w:val="es-ES_tradnl"/>
        </w:rPr>
        <w:t xml:space="preserve">n </w:t>
      </w:r>
      <w:r>
        <w:rPr>
          <w:spacing w:val="-4"/>
          <w:sz w:val="18"/>
          <w:szCs w:val="18"/>
          <w:lang w:val="es-ES_tradnl"/>
        </w:rPr>
        <w:t>de protecci</w:t>
      </w:r>
      <w:r>
        <w:rPr>
          <w:rFonts w:cs="Times New Roman"/>
          <w:spacing w:val="-4"/>
          <w:sz w:val="18"/>
          <w:szCs w:val="18"/>
          <w:lang w:val="es-ES_tradnl"/>
        </w:rPr>
        <w:t>ó</w:t>
      </w:r>
      <w:r>
        <w:rPr>
          <w:spacing w:val="-4"/>
          <w:sz w:val="18"/>
          <w:szCs w:val="18"/>
          <w:lang w:val="es-ES_tradnl"/>
        </w:rPr>
        <w:t>n que deduje en su momento (</w:t>
      </w:r>
      <w:r>
        <w:rPr>
          <w:rFonts w:cs="Times New Roman"/>
          <w:spacing w:val="-4"/>
          <w:sz w:val="18"/>
          <w:szCs w:val="18"/>
          <w:lang w:val="es-ES_tradnl"/>
        </w:rPr>
        <w:t>…</w:t>
      </w:r>
      <w:r>
        <w:rPr>
          <w:spacing w:val="-4"/>
          <w:sz w:val="18"/>
          <w:szCs w:val="18"/>
          <w:lang w:val="es-ES_tradnl"/>
        </w:rPr>
        <w:t xml:space="preserve">) la Corte </w:t>
      </w:r>
      <w:r>
        <w:rPr>
          <w:spacing w:val="-3"/>
          <w:sz w:val="18"/>
          <w:szCs w:val="18"/>
          <w:lang w:val="es-ES_tradnl"/>
        </w:rPr>
        <w:t>Constitucional ha insistido que la pretensi</w:t>
      </w:r>
      <w:r>
        <w:rPr>
          <w:rFonts w:cs="Times New Roman"/>
          <w:spacing w:val="-3"/>
          <w:sz w:val="18"/>
          <w:szCs w:val="18"/>
          <w:lang w:val="es-ES_tradnl"/>
        </w:rPr>
        <w:t>ó</w:t>
      </w:r>
      <w:r>
        <w:rPr>
          <w:spacing w:val="-3"/>
          <w:sz w:val="18"/>
          <w:szCs w:val="18"/>
          <w:lang w:val="es-ES_tradnl"/>
        </w:rPr>
        <w:t xml:space="preserve">n de discutir </w:t>
      </w:r>
      <w:r>
        <w:rPr>
          <w:spacing w:val="-6"/>
          <w:sz w:val="18"/>
          <w:szCs w:val="18"/>
          <w:lang w:val="es-ES_tradnl"/>
        </w:rPr>
        <w:t>asuntos relacionados con la interpretaci</w:t>
      </w:r>
      <w:r>
        <w:rPr>
          <w:rFonts w:cs="Times New Roman"/>
          <w:spacing w:val="-6"/>
          <w:sz w:val="18"/>
          <w:szCs w:val="18"/>
          <w:lang w:val="es-ES_tradnl"/>
        </w:rPr>
        <w:t>ó</w:t>
      </w:r>
      <w:r>
        <w:rPr>
          <w:spacing w:val="-6"/>
          <w:sz w:val="18"/>
          <w:szCs w:val="18"/>
          <w:lang w:val="es-ES_tradnl"/>
        </w:rPr>
        <w:t>n o aplicaci</w:t>
      </w:r>
      <w:r>
        <w:rPr>
          <w:rFonts w:cs="Times New Roman"/>
          <w:spacing w:val="-6"/>
          <w:sz w:val="18"/>
          <w:szCs w:val="18"/>
          <w:lang w:val="es-ES_tradnl"/>
        </w:rPr>
        <w:t>ó</w:t>
      </w:r>
      <w:r>
        <w:rPr>
          <w:spacing w:val="-6"/>
          <w:sz w:val="18"/>
          <w:szCs w:val="18"/>
          <w:lang w:val="es-ES_tradnl"/>
        </w:rPr>
        <w:t xml:space="preserve">n de </w:t>
      </w:r>
      <w:r>
        <w:rPr>
          <w:spacing w:val="-7"/>
          <w:sz w:val="18"/>
          <w:szCs w:val="18"/>
          <w:lang w:val="es-ES_tradnl"/>
        </w:rPr>
        <w:t>la ley es ajena a la acci</w:t>
      </w:r>
      <w:r>
        <w:rPr>
          <w:rFonts w:cs="Times New Roman"/>
          <w:spacing w:val="-7"/>
          <w:sz w:val="18"/>
          <w:szCs w:val="18"/>
          <w:lang w:val="es-ES_tradnl"/>
        </w:rPr>
        <w:t>ó</w:t>
      </w:r>
      <w:r>
        <w:rPr>
          <w:spacing w:val="-7"/>
          <w:sz w:val="18"/>
          <w:szCs w:val="18"/>
          <w:lang w:val="es-ES_tradnl"/>
        </w:rPr>
        <w:t>n extraordinaria de protecci</w:t>
      </w:r>
      <w:r>
        <w:rPr>
          <w:rFonts w:cs="Times New Roman"/>
          <w:spacing w:val="-7"/>
          <w:sz w:val="18"/>
          <w:szCs w:val="18"/>
          <w:lang w:val="es-ES_tradnl"/>
        </w:rPr>
        <w:t>ó</w:t>
      </w:r>
      <w:r>
        <w:rPr>
          <w:spacing w:val="-7"/>
          <w:sz w:val="18"/>
          <w:szCs w:val="18"/>
          <w:lang w:val="es-ES_tradnl"/>
        </w:rPr>
        <w:t>n (</w:t>
      </w:r>
      <w:r>
        <w:rPr>
          <w:rFonts w:cs="Times New Roman"/>
          <w:spacing w:val="-7"/>
          <w:sz w:val="18"/>
          <w:szCs w:val="18"/>
          <w:lang w:val="es-ES_tradnl"/>
        </w:rPr>
        <w:t>…</w:t>
      </w:r>
      <w:r>
        <w:rPr>
          <w:spacing w:val="-7"/>
          <w:sz w:val="18"/>
          <w:szCs w:val="18"/>
          <w:lang w:val="es-ES_tradnl"/>
        </w:rPr>
        <w:t xml:space="preserve">) </w:t>
      </w:r>
      <w:r>
        <w:rPr>
          <w:spacing w:val="-8"/>
          <w:sz w:val="18"/>
          <w:szCs w:val="18"/>
          <w:lang w:val="es-ES_tradnl"/>
        </w:rPr>
        <w:t>Los se</w:t>
      </w:r>
      <w:r>
        <w:rPr>
          <w:rFonts w:cs="Times New Roman"/>
          <w:spacing w:val="-8"/>
          <w:sz w:val="18"/>
          <w:szCs w:val="18"/>
          <w:lang w:val="es-ES_tradnl"/>
        </w:rPr>
        <w:t>ñ</w:t>
      </w:r>
      <w:r>
        <w:rPr>
          <w:spacing w:val="-8"/>
          <w:sz w:val="18"/>
          <w:szCs w:val="18"/>
          <w:lang w:val="es-ES_tradnl"/>
        </w:rPr>
        <w:t xml:space="preserve">alamientos que hace el accionante en su demanda </w:t>
      </w:r>
      <w:r>
        <w:rPr>
          <w:spacing w:val="-5"/>
          <w:sz w:val="18"/>
          <w:szCs w:val="18"/>
          <w:lang w:val="es-ES_tradnl"/>
        </w:rPr>
        <w:t>obligar</w:t>
      </w:r>
      <w:r>
        <w:rPr>
          <w:rFonts w:cs="Times New Roman"/>
          <w:spacing w:val="-5"/>
          <w:sz w:val="18"/>
          <w:szCs w:val="18"/>
          <w:lang w:val="es-ES_tradnl"/>
        </w:rPr>
        <w:t>í</w:t>
      </w:r>
      <w:r>
        <w:rPr>
          <w:spacing w:val="-5"/>
          <w:sz w:val="18"/>
          <w:szCs w:val="18"/>
          <w:lang w:val="es-ES_tradnl"/>
        </w:rPr>
        <w:t xml:space="preserve">an a analizar nuevamente los hechos y a revisar </w:t>
      </w:r>
      <w:r>
        <w:rPr>
          <w:spacing w:val="-7"/>
          <w:sz w:val="18"/>
          <w:szCs w:val="18"/>
          <w:lang w:val="es-ES_tradnl"/>
        </w:rPr>
        <w:t>nuevamente los actos que fueron materia de la acci</w:t>
      </w:r>
      <w:r>
        <w:rPr>
          <w:rFonts w:cs="Times New Roman"/>
          <w:spacing w:val="-7"/>
          <w:sz w:val="18"/>
          <w:szCs w:val="18"/>
          <w:lang w:val="es-ES_tradnl"/>
        </w:rPr>
        <w:t>ó</w:t>
      </w:r>
      <w:r>
        <w:rPr>
          <w:spacing w:val="-7"/>
          <w:sz w:val="18"/>
          <w:szCs w:val="18"/>
          <w:lang w:val="es-ES_tradnl"/>
        </w:rPr>
        <w:t xml:space="preserve">n de </w:t>
      </w:r>
      <w:r>
        <w:rPr>
          <w:sz w:val="18"/>
          <w:szCs w:val="18"/>
          <w:lang w:val="es-ES_tradnl"/>
        </w:rPr>
        <w:t>protecci</w:t>
      </w:r>
      <w:r>
        <w:rPr>
          <w:rFonts w:cs="Times New Roman"/>
          <w:sz w:val="18"/>
          <w:szCs w:val="18"/>
          <w:lang w:val="es-ES_tradnl"/>
        </w:rPr>
        <w:t>ó</w:t>
      </w:r>
      <w:r>
        <w:rPr>
          <w:sz w:val="18"/>
          <w:szCs w:val="18"/>
          <w:lang w:val="es-ES_tradnl"/>
        </w:rPr>
        <w:t>n (</w:t>
      </w:r>
      <w:r>
        <w:rPr>
          <w:rFonts w:cs="Times New Roman"/>
          <w:sz w:val="18"/>
          <w:szCs w:val="18"/>
          <w:lang w:val="es-ES_tradnl"/>
        </w:rPr>
        <w:t>…</w:t>
      </w:r>
      <w:r>
        <w:rPr>
          <w:sz w:val="18"/>
          <w:szCs w:val="18"/>
          <w:lang w:val="es-ES_tradnl"/>
        </w:rPr>
        <w:t>)</w:t>
      </w:r>
      <w:r>
        <w:rPr>
          <w:rFonts w:cs="Times New Roman"/>
          <w:sz w:val="18"/>
          <w:szCs w:val="18"/>
          <w:lang w:val="es-ES_tradnl"/>
        </w:rPr>
        <w:t>”</w:t>
      </w:r>
      <w:r>
        <w:rPr>
          <w:sz w:val="18"/>
          <w:szCs w:val="18"/>
          <w:lang w:val="es-ES_tradnl"/>
        </w:rPr>
        <w:t>.</w:t>
      </w:r>
    </w:p>
    <w:p w14:paraId="4F67B8F7" w14:textId="77777777" w:rsidR="00591D54" w:rsidRDefault="00591D54">
      <w:pPr>
        <w:shd w:val="clear" w:color="auto" w:fill="FFFFFF"/>
        <w:spacing w:before="192" w:line="216" w:lineRule="exact"/>
        <w:jc w:val="both"/>
      </w:pPr>
      <w:r>
        <w:rPr>
          <w:spacing w:val="-4"/>
          <w:sz w:val="18"/>
          <w:szCs w:val="18"/>
          <w:lang w:val="es-ES_tradnl"/>
        </w:rPr>
        <w:t xml:space="preserve">Finalmente, manifiesta que la demanda es inadmisible </w:t>
      </w:r>
      <w:r>
        <w:rPr>
          <w:sz w:val="18"/>
          <w:szCs w:val="18"/>
          <w:lang w:val="es-ES_tradnl"/>
        </w:rPr>
        <w:t>porque incumple con los requisitos de admisi</w:t>
      </w:r>
      <w:r>
        <w:rPr>
          <w:rFonts w:cs="Times New Roman"/>
          <w:sz w:val="18"/>
          <w:szCs w:val="18"/>
          <w:lang w:val="es-ES_tradnl"/>
        </w:rPr>
        <w:t>ó</w:t>
      </w:r>
      <w:r>
        <w:rPr>
          <w:sz w:val="18"/>
          <w:szCs w:val="18"/>
          <w:lang w:val="es-ES_tradnl"/>
        </w:rPr>
        <w:t>n establecidos en el art</w:t>
      </w:r>
      <w:r>
        <w:rPr>
          <w:rFonts w:cs="Times New Roman"/>
          <w:sz w:val="18"/>
          <w:szCs w:val="18"/>
          <w:lang w:val="es-ES_tradnl"/>
        </w:rPr>
        <w:t>í</w:t>
      </w:r>
      <w:r>
        <w:rPr>
          <w:sz w:val="18"/>
          <w:szCs w:val="18"/>
          <w:lang w:val="es-ES_tradnl"/>
        </w:rPr>
        <w:t xml:space="preserve">culo 62 numerales 3 y 4 de la </w:t>
      </w:r>
      <w:r>
        <w:rPr>
          <w:spacing w:val="-4"/>
          <w:sz w:val="18"/>
          <w:szCs w:val="18"/>
          <w:lang w:val="es-ES_tradnl"/>
        </w:rPr>
        <w:t>Ley Org</w:t>
      </w:r>
      <w:r>
        <w:rPr>
          <w:rFonts w:cs="Times New Roman"/>
          <w:spacing w:val="-4"/>
          <w:sz w:val="18"/>
          <w:szCs w:val="18"/>
          <w:lang w:val="es-ES_tradnl"/>
        </w:rPr>
        <w:t>á</w:t>
      </w:r>
      <w:r>
        <w:rPr>
          <w:spacing w:val="-4"/>
          <w:sz w:val="18"/>
          <w:szCs w:val="18"/>
          <w:lang w:val="es-ES_tradnl"/>
        </w:rPr>
        <w:t>nica de Garant</w:t>
      </w:r>
      <w:r>
        <w:rPr>
          <w:rFonts w:cs="Times New Roman"/>
          <w:spacing w:val="-4"/>
          <w:sz w:val="18"/>
          <w:szCs w:val="18"/>
          <w:lang w:val="es-ES_tradnl"/>
        </w:rPr>
        <w:t>í</w:t>
      </w:r>
      <w:r>
        <w:rPr>
          <w:spacing w:val="-4"/>
          <w:sz w:val="18"/>
          <w:szCs w:val="18"/>
          <w:lang w:val="es-ES_tradnl"/>
        </w:rPr>
        <w:t xml:space="preserve">as Jurisdiccionales y Control </w:t>
      </w:r>
      <w:r>
        <w:rPr>
          <w:sz w:val="18"/>
          <w:szCs w:val="18"/>
          <w:lang w:val="es-ES_tradnl"/>
        </w:rPr>
        <w:t xml:space="preserve">Constitucional, y adicionalmente indica: </w:t>
      </w:r>
      <w:r>
        <w:rPr>
          <w:rFonts w:cs="Times New Roman"/>
          <w:sz w:val="18"/>
          <w:szCs w:val="18"/>
          <w:lang w:val="es-ES_tradnl"/>
        </w:rPr>
        <w:t>“</w:t>
      </w:r>
      <w:r>
        <w:rPr>
          <w:sz w:val="18"/>
          <w:szCs w:val="18"/>
          <w:lang w:val="es-ES_tradnl"/>
        </w:rPr>
        <w:t>(</w:t>
      </w:r>
      <w:r>
        <w:rPr>
          <w:rFonts w:cs="Times New Roman"/>
          <w:sz w:val="18"/>
          <w:szCs w:val="18"/>
          <w:lang w:val="es-ES_tradnl"/>
        </w:rPr>
        <w:t>…</w:t>
      </w:r>
      <w:r>
        <w:rPr>
          <w:sz w:val="18"/>
          <w:szCs w:val="18"/>
          <w:lang w:val="es-ES_tradnl"/>
        </w:rPr>
        <w:t xml:space="preserve">) Sin </w:t>
      </w:r>
      <w:r>
        <w:rPr>
          <w:spacing w:val="-4"/>
          <w:sz w:val="18"/>
          <w:szCs w:val="18"/>
          <w:lang w:val="es-ES_tradnl"/>
        </w:rPr>
        <w:t>perjuicio de la improcedencia de la acci</w:t>
      </w:r>
      <w:r>
        <w:rPr>
          <w:rFonts w:cs="Times New Roman"/>
          <w:spacing w:val="-4"/>
          <w:sz w:val="18"/>
          <w:szCs w:val="18"/>
          <w:lang w:val="es-ES_tradnl"/>
        </w:rPr>
        <w:t>ó</w:t>
      </w:r>
      <w:r>
        <w:rPr>
          <w:spacing w:val="-4"/>
          <w:sz w:val="18"/>
          <w:szCs w:val="18"/>
          <w:lang w:val="es-ES_tradnl"/>
        </w:rPr>
        <w:t xml:space="preserve">n extraordinaria </w:t>
      </w:r>
      <w:r>
        <w:rPr>
          <w:spacing w:val="-6"/>
          <w:sz w:val="18"/>
          <w:szCs w:val="18"/>
          <w:lang w:val="es-ES_tradnl"/>
        </w:rPr>
        <w:t>de protecci</w:t>
      </w:r>
      <w:r>
        <w:rPr>
          <w:rFonts w:cs="Times New Roman"/>
          <w:spacing w:val="-6"/>
          <w:sz w:val="18"/>
          <w:szCs w:val="18"/>
          <w:lang w:val="es-ES_tradnl"/>
        </w:rPr>
        <w:t>ó</w:t>
      </w:r>
      <w:r>
        <w:rPr>
          <w:spacing w:val="-6"/>
          <w:sz w:val="18"/>
          <w:szCs w:val="18"/>
          <w:lang w:val="es-ES_tradnl"/>
        </w:rPr>
        <w:t xml:space="preserve">n propuesta, conforme lo ha indicado la Corte </w:t>
      </w:r>
      <w:r>
        <w:rPr>
          <w:spacing w:val="-4"/>
          <w:sz w:val="18"/>
          <w:szCs w:val="18"/>
          <w:lang w:val="es-ES_tradnl"/>
        </w:rPr>
        <w:t xml:space="preserve">Constitucional en su jurisprudencia, en la Sentencia que </w:t>
      </w:r>
      <w:r>
        <w:rPr>
          <w:spacing w:val="-7"/>
          <w:sz w:val="18"/>
          <w:szCs w:val="18"/>
          <w:lang w:val="es-ES_tradnl"/>
        </w:rPr>
        <w:t>se expide en acci</w:t>
      </w:r>
      <w:r>
        <w:rPr>
          <w:rFonts w:cs="Times New Roman"/>
          <w:spacing w:val="-7"/>
          <w:sz w:val="18"/>
          <w:szCs w:val="18"/>
          <w:lang w:val="es-ES_tradnl"/>
        </w:rPr>
        <w:t>ó</w:t>
      </w:r>
      <w:r>
        <w:rPr>
          <w:spacing w:val="-7"/>
          <w:sz w:val="18"/>
          <w:szCs w:val="18"/>
          <w:lang w:val="es-ES_tradnl"/>
        </w:rPr>
        <w:t>n extraordinaria de protecci</w:t>
      </w:r>
      <w:r>
        <w:rPr>
          <w:rFonts w:cs="Times New Roman"/>
          <w:spacing w:val="-7"/>
          <w:sz w:val="18"/>
          <w:szCs w:val="18"/>
          <w:lang w:val="es-ES_tradnl"/>
        </w:rPr>
        <w:t>ó</w:t>
      </w:r>
      <w:r>
        <w:rPr>
          <w:spacing w:val="-7"/>
          <w:sz w:val="18"/>
          <w:szCs w:val="18"/>
          <w:lang w:val="es-ES_tradnl"/>
        </w:rPr>
        <w:t xml:space="preserve">n se puede </w:t>
      </w:r>
      <w:r>
        <w:rPr>
          <w:spacing w:val="-8"/>
          <w:sz w:val="18"/>
          <w:szCs w:val="18"/>
          <w:lang w:val="es-ES_tradnl"/>
        </w:rPr>
        <w:t>resolver la inadmisi</w:t>
      </w:r>
      <w:r>
        <w:rPr>
          <w:rFonts w:cs="Times New Roman"/>
          <w:spacing w:val="-8"/>
          <w:sz w:val="18"/>
          <w:szCs w:val="18"/>
          <w:lang w:val="es-ES_tradnl"/>
        </w:rPr>
        <w:t>ó</w:t>
      </w:r>
      <w:r>
        <w:rPr>
          <w:spacing w:val="-8"/>
          <w:sz w:val="18"/>
          <w:szCs w:val="18"/>
          <w:lang w:val="es-ES_tradnl"/>
        </w:rPr>
        <w:t>n de una demanda de esta clase, pese a que la Sala de Admisi</w:t>
      </w:r>
      <w:r>
        <w:rPr>
          <w:rFonts w:cs="Times New Roman"/>
          <w:spacing w:val="-8"/>
          <w:sz w:val="18"/>
          <w:szCs w:val="18"/>
          <w:lang w:val="es-ES_tradnl"/>
        </w:rPr>
        <w:t>ó</w:t>
      </w:r>
      <w:r>
        <w:rPr>
          <w:spacing w:val="-8"/>
          <w:sz w:val="18"/>
          <w:szCs w:val="18"/>
          <w:lang w:val="es-ES_tradnl"/>
        </w:rPr>
        <w:t xml:space="preserve">n la haya admitido indebidamente </w:t>
      </w:r>
      <w:r>
        <w:rPr>
          <w:sz w:val="18"/>
          <w:szCs w:val="18"/>
          <w:lang w:val="es-ES_tradnl"/>
        </w:rPr>
        <w:t>(</w:t>
      </w:r>
      <w:r>
        <w:rPr>
          <w:rFonts w:cs="Times New Roman"/>
          <w:sz w:val="18"/>
          <w:szCs w:val="18"/>
          <w:lang w:val="es-ES_tradnl"/>
        </w:rPr>
        <w:t>…</w:t>
      </w:r>
      <w:r>
        <w:rPr>
          <w:sz w:val="18"/>
          <w:szCs w:val="18"/>
          <w:lang w:val="es-ES_tradnl"/>
        </w:rPr>
        <w:t>)</w:t>
      </w:r>
      <w:r>
        <w:rPr>
          <w:rFonts w:cs="Times New Roman"/>
          <w:sz w:val="18"/>
          <w:szCs w:val="18"/>
          <w:lang w:val="es-ES_tradnl"/>
        </w:rPr>
        <w:t>”</w:t>
      </w:r>
      <w:r>
        <w:rPr>
          <w:sz w:val="18"/>
          <w:szCs w:val="18"/>
          <w:lang w:val="es-ES_tradnl"/>
        </w:rPr>
        <w:t>.</w:t>
      </w:r>
    </w:p>
    <w:p w14:paraId="4F67B8F8" w14:textId="77777777" w:rsidR="00591D54" w:rsidRDefault="00591D54">
      <w:pPr>
        <w:shd w:val="clear" w:color="auto" w:fill="FFFFFF"/>
        <w:spacing w:before="192"/>
      </w:pPr>
      <w:r>
        <w:rPr>
          <w:b/>
          <w:bCs/>
          <w:spacing w:val="-6"/>
          <w:sz w:val="18"/>
          <w:szCs w:val="18"/>
          <w:lang w:val="es-ES_tradnl"/>
        </w:rPr>
        <w:t>Audiencia p</w:t>
      </w:r>
      <w:r>
        <w:rPr>
          <w:rFonts w:cs="Times New Roman"/>
          <w:b/>
          <w:bCs/>
          <w:spacing w:val="-6"/>
          <w:sz w:val="18"/>
          <w:szCs w:val="18"/>
          <w:lang w:val="es-ES_tradnl"/>
        </w:rPr>
        <w:t>ú</w:t>
      </w:r>
      <w:r>
        <w:rPr>
          <w:b/>
          <w:bCs/>
          <w:spacing w:val="-6"/>
          <w:sz w:val="18"/>
          <w:szCs w:val="18"/>
          <w:lang w:val="es-ES_tradnl"/>
        </w:rPr>
        <w:t>blica</w:t>
      </w:r>
    </w:p>
    <w:p w14:paraId="4F67B8F9" w14:textId="77777777" w:rsidR="00591D54" w:rsidRDefault="00591D54">
      <w:pPr>
        <w:shd w:val="clear" w:color="auto" w:fill="FFFFFF"/>
        <w:spacing w:before="192" w:line="216" w:lineRule="exact"/>
        <w:jc w:val="both"/>
      </w:pPr>
      <w:r>
        <w:rPr>
          <w:spacing w:val="-7"/>
          <w:sz w:val="18"/>
          <w:szCs w:val="18"/>
          <w:lang w:val="es-ES_tradnl"/>
        </w:rPr>
        <w:t>La audiencia p</w:t>
      </w:r>
      <w:r>
        <w:rPr>
          <w:rFonts w:cs="Times New Roman"/>
          <w:spacing w:val="-7"/>
          <w:sz w:val="18"/>
          <w:szCs w:val="18"/>
          <w:lang w:val="es-ES_tradnl"/>
        </w:rPr>
        <w:t>ú</w:t>
      </w:r>
      <w:r>
        <w:rPr>
          <w:spacing w:val="-7"/>
          <w:sz w:val="18"/>
          <w:szCs w:val="18"/>
          <w:lang w:val="es-ES_tradnl"/>
        </w:rPr>
        <w:t>blica se realiz</w:t>
      </w:r>
      <w:r>
        <w:rPr>
          <w:rFonts w:cs="Times New Roman"/>
          <w:spacing w:val="-7"/>
          <w:sz w:val="18"/>
          <w:szCs w:val="18"/>
          <w:lang w:val="es-ES_tradnl"/>
        </w:rPr>
        <w:t>ó</w:t>
      </w:r>
      <w:r>
        <w:rPr>
          <w:spacing w:val="-7"/>
          <w:sz w:val="18"/>
          <w:szCs w:val="18"/>
          <w:lang w:val="es-ES_tradnl"/>
        </w:rPr>
        <w:t xml:space="preserve"> el 21 de abril de 2015 a las </w:t>
      </w:r>
      <w:r>
        <w:rPr>
          <w:spacing w:val="-8"/>
          <w:sz w:val="18"/>
          <w:szCs w:val="18"/>
          <w:lang w:val="es-ES_tradnl"/>
        </w:rPr>
        <w:t>08h30, en la cual comparecieron el doctor Fabi</w:t>
      </w:r>
      <w:r>
        <w:rPr>
          <w:rFonts w:cs="Times New Roman"/>
          <w:spacing w:val="-8"/>
          <w:sz w:val="18"/>
          <w:szCs w:val="18"/>
          <w:lang w:val="es-ES_tradnl"/>
        </w:rPr>
        <w:t>á</w:t>
      </w:r>
      <w:r>
        <w:rPr>
          <w:spacing w:val="-8"/>
          <w:sz w:val="18"/>
          <w:szCs w:val="18"/>
          <w:lang w:val="es-ES_tradnl"/>
        </w:rPr>
        <w:t xml:space="preserve">n Santiago </w:t>
      </w:r>
      <w:r>
        <w:rPr>
          <w:spacing w:val="-6"/>
          <w:sz w:val="18"/>
          <w:szCs w:val="18"/>
          <w:lang w:val="es-ES_tradnl"/>
        </w:rPr>
        <w:t xml:space="preserve">Salas Duarte como representante de la Comandancia </w:t>
      </w:r>
      <w:r>
        <w:rPr>
          <w:spacing w:val="-4"/>
          <w:sz w:val="18"/>
          <w:szCs w:val="18"/>
          <w:lang w:val="es-ES_tradnl"/>
        </w:rPr>
        <w:t>General, Direcci</w:t>
      </w:r>
      <w:r>
        <w:rPr>
          <w:rFonts w:cs="Times New Roman"/>
          <w:spacing w:val="-4"/>
          <w:sz w:val="18"/>
          <w:szCs w:val="18"/>
          <w:lang w:val="es-ES_tradnl"/>
        </w:rPr>
        <w:t>ó</w:t>
      </w:r>
      <w:r>
        <w:rPr>
          <w:spacing w:val="-4"/>
          <w:sz w:val="18"/>
          <w:szCs w:val="18"/>
          <w:lang w:val="es-ES_tradnl"/>
        </w:rPr>
        <w:t>n Nacional de Asesor</w:t>
      </w:r>
      <w:r>
        <w:rPr>
          <w:rFonts w:cs="Times New Roman"/>
          <w:spacing w:val="-4"/>
          <w:sz w:val="18"/>
          <w:szCs w:val="18"/>
          <w:lang w:val="es-ES_tradnl"/>
        </w:rPr>
        <w:t>í</w:t>
      </w:r>
      <w:r>
        <w:rPr>
          <w:spacing w:val="-4"/>
          <w:sz w:val="18"/>
          <w:szCs w:val="18"/>
          <w:lang w:val="es-ES_tradnl"/>
        </w:rPr>
        <w:t>a Jur</w:t>
      </w:r>
      <w:r>
        <w:rPr>
          <w:rFonts w:cs="Times New Roman"/>
          <w:spacing w:val="-4"/>
          <w:sz w:val="18"/>
          <w:szCs w:val="18"/>
          <w:lang w:val="es-ES_tradnl"/>
        </w:rPr>
        <w:t>í</w:t>
      </w:r>
      <w:r>
        <w:rPr>
          <w:spacing w:val="-4"/>
          <w:sz w:val="18"/>
          <w:szCs w:val="18"/>
          <w:lang w:val="es-ES_tradnl"/>
        </w:rPr>
        <w:t xml:space="preserve">dica de la </w:t>
      </w:r>
      <w:r>
        <w:rPr>
          <w:spacing w:val="-3"/>
          <w:sz w:val="18"/>
          <w:szCs w:val="18"/>
          <w:lang w:val="es-ES_tradnl"/>
        </w:rPr>
        <w:t>Polic</w:t>
      </w:r>
      <w:r>
        <w:rPr>
          <w:rFonts w:cs="Times New Roman"/>
          <w:spacing w:val="-3"/>
          <w:sz w:val="18"/>
          <w:szCs w:val="18"/>
          <w:lang w:val="es-ES_tradnl"/>
        </w:rPr>
        <w:t>í</w:t>
      </w:r>
      <w:r>
        <w:rPr>
          <w:spacing w:val="-3"/>
          <w:sz w:val="18"/>
          <w:szCs w:val="18"/>
          <w:lang w:val="es-ES_tradnl"/>
        </w:rPr>
        <w:t>a Nacional y Ministerio del Interior; la se</w:t>
      </w:r>
      <w:r>
        <w:rPr>
          <w:rFonts w:cs="Times New Roman"/>
          <w:spacing w:val="-3"/>
          <w:sz w:val="18"/>
          <w:szCs w:val="18"/>
          <w:lang w:val="es-ES_tradnl"/>
        </w:rPr>
        <w:t>ñ</w:t>
      </w:r>
      <w:r>
        <w:rPr>
          <w:spacing w:val="-3"/>
          <w:sz w:val="18"/>
          <w:szCs w:val="18"/>
          <w:lang w:val="es-ES_tradnl"/>
        </w:rPr>
        <w:t xml:space="preserve">ora Leny </w:t>
      </w:r>
      <w:r>
        <w:rPr>
          <w:spacing w:val="-11"/>
          <w:sz w:val="18"/>
          <w:szCs w:val="18"/>
          <w:lang w:val="es-ES_tradnl"/>
        </w:rPr>
        <w:t>Mar</w:t>
      </w:r>
      <w:r>
        <w:rPr>
          <w:rFonts w:cs="Times New Roman"/>
          <w:spacing w:val="-11"/>
          <w:sz w:val="18"/>
          <w:szCs w:val="18"/>
          <w:lang w:val="es-ES_tradnl"/>
        </w:rPr>
        <w:t>í</w:t>
      </w:r>
      <w:r>
        <w:rPr>
          <w:spacing w:val="-11"/>
          <w:sz w:val="18"/>
          <w:szCs w:val="18"/>
          <w:lang w:val="es-ES_tradnl"/>
        </w:rPr>
        <w:t>a Evigenia G</w:t>
      </w:r>
      <w:r>
        <w:rPr>
          <w:rFonts w:cs="Times New Roman"/>
          <w:spacing w:val="-11"/>
          <w:sz w:val="18"/>
          <w:szCs w:val="18"/>
          <w:lang w:val="es-ES_tradnl"/>
        </w:rPr>
        <w:t>ó</w:t>
      </w:r>
      <w:r>
        <w:rPr>
          <w:spacing w:val="-11"/>
          <w:sz w:val="18"/>
          <w:szCs w:val="18"/>
          <w:lang w:val="es-ES_tradnl"/>
        </w:rPr>
        <w:t>mes a trav</w:t>
      </w:r>
      <w:r>
        <w:rPr>
          <w:rFonts w:cs="Times New Roman"/>
          <w:spacing w:val="-11"/>
          <w:sz w:val="18"/>
          <w:szCs w:val="18"/>
          <w:lang w:val="es-ES_tradnl"/>
        </w:rPr>
        <w:t>é</w:t>
      </w:r>
      <w:r>
        <w:rPr>
          <w:spacing w:val="-11"/>
          <w:sz w:val="18"/>
          <w:szCs w:val="18"/>
          <w:lang w:val="es-ES_tradnl"/>
        </w:rPr>
        <w:t xml:space="preserve">s de su abogado patrocinador, </w:t>
      </w:r>
      <w:r>
        <w:rPr>
          <w:spacing w:val="-8"/>
          <w:sz w:val="18"/>
          <w:szCs w:val="18"/>
          <w:lang w:val="es-ES_tradnl"/>
        </w:rPr>
        <w:t>el doctor Rafael Oyarte Mart</w:t>
      </w:r>
      <w:r>
        <w:rPr>
          <w:rFonts w:cs="Times New Roman"/>
          <w:spacing w:val="-8"/>
          <w:sz w:val="18"/>
          <w:szCs w:val="18"/>
          <w:lang w:val="es-ES_tradnl"/>
        </w:rPr>
        <w:t>í</w:t>
      </w:r>
      <w:r>
        <w:rPr>
          <w:spacing w:val="-8"/>
          <w:sz w:val="18"/>
          <w:szCs w:val="18"/>
          <w:lang w:val="es-ES_tradnl"/>
        </w:rPr>
        <w:t xml:space="preserve">nez y el doctor Jimmy Patricio </w:t>
      </w:r>
      <w:r>
        <w:rPr>
          <w:spacing w:val="-10"/>
          <w:sz w:val="18"/>
          <w:szCs w:val="18"/>
          <w:lang w:val="es-ES_tradnl"/>
        </w:rPr>
        <w:t>Carvajal como representante de la Procuradur</w:t>
      </w:r>
      <w:r>
        <w:rPr>
          <w:rFonts w:cs="Times New Roman"/>
          <w:spacing w:val="-10"/>
          <w:sz w:val="18"/>
          <w:szCs w:val="18"/>
          <w:lang w:val="es-ES_tradnl"/>
        </w:rPr>
        <w:t>í</w:t>
      </w:r>
      <w:r>
        <w:rPr>
          <w:spacing w:val="-10"/>
          <w:sz w:val="18"/>
          <w:szCs w:val="18"/>
          <w:lang w:val="es-ES_tradnl"/>
        </w:rPr>
        <w:t xml:space="preserve">a General del </w:t>
      </w:r>
      <w:r>
        <w:rPr>
          <w:sz w:val="18"/>
          <w:szCs w:val="18"/>
          <w:lang w:val="es-ES_tradnl"/>
        </w:rPr>
        <w:t>Estado.</w:t>
      </w:r>
    </w:p>
    <w:p w14:paraId="4F67B8FA" w14:textId="77777777" w:rsidR="00591D54" w:rsidRDefault="00591D54">
      <w:pPr>
        <w:shd w:val="clear" w:color="auto" w:fill="FFFFFF"/>
        <w:spacing w:before="192" w:line="216" w:lineRule="exact"/>
        <w:jc w:val="both"/>
        <w:sectPr w:rsidR="00591D54">
          <w:type w:val="continuous"/>
          <w:pgSz w:w="11909" w:h="16834"/>
          <w:pgMar w:top="1371" w:right="1304" w:bottom="360" w:left="1308" w:header="720" w:footer="720" w:gutter="0"/>
          <w:cols w:num="2" w:space="720" w:equalWidth="0">
            <w:col w:w="4310" w:space="677"/>
            <w:col w:w="4310"/>
          </w:cols>
          <w:noEndnote/>
        </w:sectPr>
      </w:pPr>
    </w:p>
    <w:p w14:paraId="4F67B8FB" w14:textId="77777777" w:rsidR="00591D54" w:rsidRDefault="00591D54">
      <w:pPr>
        <w:shd w:val="clear" w:color="auto" w:fill="FFFFFF"/>
        <w:tabs>
          <w:tab w:val="left" w:pos="4814"/>
        </w:tabs>
        <w:spacing w:after="226"/>
        <w:ind w:left="5"/>
      </w:pPr>
      <w:r>
        <w:rPr>
          <w:b/>
          <w:bCs/>
          <w:sz w:val="18"/>
          <w:szCs w:val="18"/>
          <w:lang w:val="es-ES_tradnl"/>
        </w:rPr>
        <w:t xml:space="preserve">262 -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8FC" w14:textId="77777777" w:rsidR="00591D54" w:rsidRDefault="00591D54">
      <w:pPr>
        <w:shd w:val="clear" w:color="auto" w:fill="FFFFFF"/>
        <w:tabs>
          <w:tab w:val="left" w:pos="4814"/>
        </w:tabs>
        <w:spacing w:after="226"/>
        <w:ind w:left="5"/>
        <w:sectPr w:rsidR="00591D54">
          <w:pgSz w:w="11909" w:h="16834"/>
          <w:pgMar w:top="1366" w:right="1309" w:bottom="360" w:left="1308" w:header="720" w:footer="720" w:gutter="0"/>
          <w:cols w:space="60"/>
          <w:noEndnote/>
        </w:sectPr>
      </w:pPr>
    </w:p>
    <w:p w14:paraId="4F67B8FD" w14:textId="77777777" w:rsidR="00591D54" w:rsidRDefault="00591D54">
      <w:pPr>
        <w:shd w:val="clear" w:color="auto" w:fill="FFFFFF"/>
        <w:spacing w:line="216" w:lineRule="exact"/>
        <w:ind w:left="686" w:right="326" w:hanging="355"/>
      </w:pPr>
      <w:r>
        <w:rPr>
          <w:b/>
          <w:bCs/>
          <w:spacing w:val="-1"/>
          <w:sz w:val="18"/>
          <w:szCs w:val="18"/>
          <w:lang w:val="es-ES_tradnl"/>
        </w:rPr>
        <w:t xml:space="preserve">II. CONSIDERACIONES Y FUNDAMENTOS </w:t>
      </w:r>
      <w:r>
        <w:rPr>
          <w:b/>
          <w:bCs/>
          <w:sz w:val="18"/>
          <w:szCs w:val="18"/>
          <w:lang w:val="es-ES_tradnl"/>
        </w:rPr>
        <w:t>DE LA CORTE CONSTITUCIONAL</w:t>
      </w:r>
    </w:p>
    <w:p w14:paraId="4F67B8FE" w14:textId="77777777" w:rsidR="00591D54" w:rsidRDefault="00591D54">
      <w:pPr>
        <w:shd w:val="clear" w:color="auto" w:fill="FFFFFF"/>
        <w:spacing w:before="192"/>
      </w:pPr>
      <w:r>
        <w:rPr>
          <w:b/>
          <w:bCs/>
          <w:spacing w:val="-11"/>
          <w:sz w:val="18"/>
          <w:szCs w:val="18"/>
          <w:lang w:val="es-ES_tradnl"/>
        </w:rPr>
        <w:t>Competencia</w:t>
      </w:r>
    </w:p>
    <w:p w14:paraId="4F67B8FF" w14:textId="77777777" w:rsidR="00591D54" w:rsidRDefault="00591D54">
      <w:pPr>
        <w:shd w:val="clear" w:color="auto" w:fill="FFFFFF"/>
        <w:spacing w:before="197" w:line="216" w:lineRule="exact"/>
        <w:ind w:right="5"/>
        <w:jc w:val="both"/>
      </w:pPr>
      <w:r>
        <w:rPr>
          <w:spacing w:val="-6"/>
          <w:sz w:val="18"/>
          <w:szCs w:val="18"/>
          <w:lang w:val="es-ES_tradnl"/>
        </w:rPr>
        <w:t xml:space="preserve">La Corte Constitucional es competente para conocer y </w:t>
      </w:r>
      <w:r>
        <w:rPr>
          <w:spacing w:val="-9"/>
          <w:sz w:val="18"/>
          <w:szCs w:val="18"/>
          <w:lang w:val="es-ES_tradnl"/>
        </w:rPr>
        <w:t xml:space="preserve">resolver el presente caso de conformidad con lo previsto en </w:t>
      </w:r>
      <w:r>
        <w:rPr>
          <w:spacing w:val="-6"/>
          <w:sz w:val="18"/>
          <w:szCs w:val="18"/>
          <w:lang w:val="es-ES_tradnl"/>
        </w:rPr>
        <w:t>los art</w:t>
      </w:r>
      <w:r>
        <w:rPr>
          <w:rFonts w:cs="Times New Roman"/>
          <w:spacing w:val="-6"/>
          <w:sz w:val="18"/>
          <w:szCs w:val="18"/>
          <w:lang w:val="es-ES_tradnl"/>
        </w:rPr>
        <w:t>í</w:t>
      </w:r>
      <w:r>
        <w:rPr>
          <w:spacing w:val="-6"/>
          <w:sz w:val="18"/>
          <w:szCs w:val="18"/>
          <w:lang w:val="es-ES_tradnl"/>
        </w:rPr>
        <w:t>culos 94 y 437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w:t>
      </w:r>
      <w:r>
        <w:rPr>
          <w:spacing w:val="-11"/>
          <w:sz w:val="18"/>
          <w:szCs w:val="18"/>
          <w:lang w:val="es-ES_tradnl"/>
        </w:rPr>
        <w:t>art</w:t>
      </w:r>
      <w:r>
        <w:rPr>
          <w:rFonts w:cs="Times New Roman"/>
          <w:spacing w:val="-11"/>
          <w:sz w:val="18"/>
          <w:szCs w:val="18"/>
          <w:lang w:val="es-ES_tradnl"/>
        </w:rPr>
        <w:t>í</w:t>
      </w:r>
      <w:r>
        <w:rPr>
          <w:spacing w:val="-11"/>
          <w:sz w:val="18"/>
          <w:szCs w:val="18"/>
          <w:lang w:val="es-ES_tradnl"/>
        </w:rPr>
        <w:t xml:space="preserve">culos 60 al 64 y 191 numeral 2 literal </w:t>
      </w:r>
      <w:r>
        <w:rPr>
          <w:b/>
          <w:bCs/>
          <w:spacing w:val="-11"/>
          <w:sz w:val="18"/>
          <w:szCs w:val="18"/>
          <w:lang w:val="es-ES_tradnl"/>
        </w:rPr>
        <w:t xml:space="preserve">d </w:t>
      </w:r>
      <w:r>
        <w:rPr>
          <w:spacing w:val="-11"/>
          <w:sz w:val="18"/>
          <w:szCs w:val="18"/>
          <w:lang w:val="es-ES_tradnl"/>
        </w:rPr>
        <w:t>de la Ley Org</w:t>
      </w:r>
      <w:r>
        <w:rPr>
          <w:rFonts w:cs="Times New Roman"/>
          <w:spacing w:val="-11"/>
          <w:sz w:val="18"/>
          <w:szCs w:val="18"/>
          <w:lang w:val="es-ES_tradnl"/>
        </w:rPr>
        <w:t>á</w:t>
      </w:r>
      <w:r>
        <w:rPr>
          <w:spacing w:val="-11"/>
          <w:sz w:val="18"/>
          <w:szCs w:val="18"/>
          <w:lang w:val="es-ES_tradnl"/>
        </w:rPr>
        <w:t xml:space="preserve">nica </w:t>
      </w:r>
      <w:r>
        <w:rPr>
          <w:spacing w:val="-7"/>
          <w:sz w:val="18"/>
          <w:szCs w:val="18"/>
          <w:lang w:val="es-ES_tradnl"/>
        </w:rPr>
        <w:t>de Garant</w:t>
      </w:r>
      <w:r>
        <w:rPr>
          <w:rFonts w:cs="Times New Roman"/>
          <w:spacing w:val="-7"/>
          <w:sz w:val="18"/>
          <w:szCs w:val="18"/>
          <w:lang w:val="es-ES_tradnl"/>
        </w:rPr>
        <w:t>í</w:t>
      </w:r>
      <w:r>
        <w:rPr>
          <w:spacing w:val="-7"/>
          <w:sz w:val="18"/>
          <w:szCs w:val="18"/>
          <w:lang w:val="es-ES_tradnl"/>
        </w:rPr>
        <w:t xml:space="preserve">as Jurisdiccionales y Control Constitucional, en </w:t>
      </w:r>
      <w:r>
        <w:rPr>
          <w:spacing w:val="-6"/>
          <w:sz w:val="18"/>
          <w:szCs w:val="18"/>
          <w:lang w:val="es-ES_tradnl"/>
        </w:rPr>
        <w:t>concordancia con el art</w:t>
      </w:r>
      <w:r>
        <w:rPr>
          <w:rFonts w:cs="Times New Roman"/>
          <w:spacing w:val="-6"/>
          <w:sz w:val="18"/>
          <w:szCs w:val="18"/>
          <w:lang w:val="es-ES_tradnl"/>
        </w:rPr>
        <w:t>í</w:t>
      </w:r>
      <w:r>
        <w:rPr>
          <w:spacing w:val="-6"/>
          <w:sz w:val="18"/>
          <w:szCs w:val="18"/>
          <w:lang w:val="es-ES_tradnl"/>
        </w:rPr>
        <w:t xml:space="preserve">culo 3 numeral 8 literal </w:t>
      </w:r>
      <w:r>
        <w:rPr>
          <w:b/>
          <w:bCs/>
          <w:spacing w:val="-6"/>
          <w:sz w:val="18"/>
          <w:szCs w:val="18"/>
          <w:lang w:val="es-ES_tradnl"/>
        </w:rPr>
        <w:t xml:space="preserve">b </w:t>
      </w:r>
      <w:r>
        <w:rPr>
          <w:spacing w:val="-6"/>
          <w:sz w:val="18"/>
          <w:szCs w:val="18"/>
          <w:lang w:val="es-ES_tradnl"/>
        </w:rPr>
        <w:t xml:space="preserve">y tercer </w:t>
      </w:r>
      <w:r>
        <w:rPr>
          <w:spacing w:val="-7"/>
          <w:sz w:val="18"/>
          <w:szCs w:val="18"/>
          <w:lang w:val="es-ES_tradnl"/>
        </w:rPr>
        <w:t>inciso del art</w:t>
      </w:r>
      <w:r>
        <w:rPr>
          <w:rFonts w:cs="Times New Roman"/>
          <w:spacing w:val="-7"/>
          <w:sz w:val="18"/>
          <w:szCs w:val="18"/>
          <w:lang w:val="es-ES_tradnl"/>
        </w:rPr>
        <w:t>í</w:t>
      </w:r>
      <w:r>
        <w:rPr>
          <w:spacing w:val="-7"/>
          <w:sz w:val="18"/>
          <w:szCs w:val="18"/>
          <w:lang w:val="es-ES_tradnl"/>
        </w:rPr>
        <w:t>culo 35 del Reglamento de Sustanciaci</w:t>
      </w:r>
      <w:r>
        <w:rPr>
          <w:rFonts w:cs="Times New Roman"/>
          <w:spacing w:val="-7"/>
          <w:sz w:val="18"/>
          <w:szCs w:val="18"/>
          <w:lang w:val="es-ES_tradnl"/>
        </w:rPr>
        <w:t>ó</w:t>
      </w:r>
      <w:r>
        <w:rPr>
          <w:spacing w:val="-7"/>
          <w:sz w:val="18"/>
          <w:szCs w:val="18"/>
          <w:lang w:val="es-ES_tradnl"/>
        </w:rPr>
        <w:t xml:space="preserve">n de </w:t>
      </w:r>
      <w:r>
        <w:rPr>
          <w:spacing w:val="-8"/>
          <w:sz w:val="18"/>
          <w:szCs w:val="18"/>
          <w:lang w:val="es-ES_tradnl"/>
        </w:rPr>
        <w:t>Procesos de Competencia de la Corte Constitucional.</w:t>
      </w:r>
    </w:p>
    <w:p w14:paraId="4F67B900" w14:textId="77777777" w:rsidR="00591D54" w:rsidRDefault="00591D54">
      <w:pPr>
        <w:shd w:val="clear" w:color="auto" w:fill="FFFFFF"/>
        <w:spacing w:before="192" w:line="216" w:lineRule="exact"/>
        <w:ind w:right="5"/>
        <w:jc w:val="both"/>
      </w:pPr>
      <w:r>
        <w:rPr>
          <w:b/>
          <w:bCs/>
          <w:spacing w:val="-9"/>
          <w:sz w:val="18"/>
          <w:szCs w:val="18"/>
          <w:lang w:val="es-ES_tradnl"/>
        </w:rPr>
        <w:t>Consideraciones de la Corte respecto de la acci</w:t>
      </w:r>
      <w:r>
        <w:rPr>
          <w:rFonts w:cs="Times New Roman"/>
          <w:b/>
          <w:bCs/>
          <w:spacing w:val="-9"/>
          <w:sz w:val="18"/>
          <w:szCs w:val="18"/>
          <w:lang w:val="es-ES_tradnl"/>
        </w:rPr>
        <w:t>ó</w:t>
      </w:r>
      <w:r>
        <w:rPr>
          <w:b/>
          <w:bCs/>
          <w:spacing w:val="-9"/>
          <w:sz w:val="18"/>
          <w:szCs w:val="18"/>
          <w:lang w:val="es-ES_tradnl"/>
        </w:rPr>
        <w:t xml:space="preserve">n </w:t>
      </w:r>
      <w:r>
        <w:rPr>
          <w:b/>
          <w:bCs/>
          <w:sz w:val="18"/>
          <w:szCs w:val="18"/>
          <w:lang w:val="es-ES_tradnl"/>
        </w:rPr>
        <w:t>extraordinaria de protecci</w:t>
      </w:r>
      <w:r>
        <w:rPr>
          <w:rFonts w:cs="Times New Roman"/>
          <w:b/>
          <w:bCs/>
          <w:sz w:val="18"/>
          <w:szCs w:val="18"/>
          <w:lang w:val="es-ES_tradnl"/>
        </w:rPr>
        <w:t>ó</w:t>
      </w:r>
      <w:r>
        <w:rPr>
          <w:b/>
          <w:bCs/>
          <w:sz w:val="18"/>
          <w:szCs w:val="18"/>
          <w:lang w:val="es-ES_tradnl"/>
        </w:rPr>
        <w:t>n</w:t>
      </w:r>
    </w:p>
    <w:p w14:paraId="4F67B901" w14:textId="77777777" w:rsidR="00591D54" w:rsidRDefault="00591D54">
      <w:pPr>
        <w:shd w:val="clear" w:color="auto" w:fill="FFFFFF"/>
        <w:spacing w:before="197" w:line="216" w:lineRule="exact"/>
        <w:ind w:right="5"/>
        <w:jc w:val="both"/>
      </w:pPr>
      <w:r>
        <w:rPr>
          <w:spacing w:val="-5"/>
          <w:sz w:val="18"/>
          <w:szCs w:val="18"/>
          <w:lang w:val="es-ES_tradnl"/>
        </w:rPr>
        <w:t>El objeto de la acci</w:t>
      </w:r>
      <w:r>
        <w:rPr>
          <w:rFonts w:cs="Times New Roman"/>
          <w:spacing w:val="-5"/>
          <w:sz w:val="18"/>
          <w:szCs w:val="18"/>
          <w:lang w:val="es-ES_tradnl"/>
        </w:rPr>
        <w:t>ó</w:t>
      </w:r>
      <w:r>
        <w:rPr>
          <w:spacing w:val="-5"/>
          <w:sz w:val="18"/>
          <w:szCs w:val="18"/>
          <w:lang w:val="es-ES_tradnl"/>
        </w:rPr>
        <w:t>n extraordinaria de protecci</w:t>
      </w:r>
      <w:r>
        <w:rPr>
          <w:rFonts w:cs="Times New Roman"/>
          <w:spacing w:val="-5"/>
          <w:sz w:val="18"/>
          <w:szCs w:val="18"/>
          <w:lang w:val="es-ES_tradnl"/>
        </w:rPr>
        <w:t>ó</w:t>
      </w:r>
      <w:r>
        <w:rPr>
          <w:spacing w:val="-5"/>
          <w:sz w:val="18"/>
          <w:szCs w:val="18"/>
          <w:lang w:val="es-ES_tradnl"/>
        </w:rPr>
        <w:t xml:space="preserve">n es el </w:t>
      </w:r>
      <w:r>
        <w:rPr>
          <w:spacing w:val="-8"/>
          <w:sz w:val="18"/>
          <w:szCs w:val="18"/>
          <w:lang w:val="es-ES_tradnl"/>
        </w:rPr>
        <w:t>aseguramiento y efectividad de los derechos y garant</w:t>
      </w:r>
      <w:r>
        <w:rPr>
          <w:rFonts w:cs="Times New Roman"/>
          <w:spacing w:val="-8"/>
          <w:sz w:val="18"/>
          <w:szCs w:val="18"/>
          <w:lang w:val="es-ES_tradnl"/>
        </w:rPr>
        <w:t>í</w:t>
      </w:r>
      <w:r>
        <w:rPr>
          <w:spacing w:val="-8"/>
          <w:sz w:val="18"/>
          <w:szCs w:val="18"/>
          <w:lang w:val="es-ES_tradnl"/>
        </w:rPr>
        <w:t xml:space="preserve">as </w:t>
      </w:r>
      <w:r>
        <w:rPr>
          <w:spacing w:val="-2"/>
          <w:sz w:val="18"/>
          <w:szCs w:val="18"/>
          <w:lang w:val="es-ES_tradnl"/>
        </w:rPr>
        <w:t>fundamentales establecidas en la Constituci</w:t>
      </w:r>
      <w:r>
        <w:rPr>
          <w:rFonts w:cs="Times New Roman"/>
          <w:spacing w:val="-2"/>
          <w:sz w:val="18"/>
          <w:szCs w:val="18"/>
          <w:lang w:val="es-ES_tradnl"/>
        </w:rPr>
        <w:t>ó</w:t>
      </w:r>
      <w:r>
        <w:rPr>
          <w:spacing w:val="-2"/>
          <w:sz w:val="18"/>
          <w:szCs w:val="18"/>
          <w:lang w:val="es-ES_tradnl"/>
        </w:rPr>
        <w:t xml:space="preserve">n, en </w:t>
      </w:r>
      <w:r>
        <w:rPr>
          <w:spacing w:val="-7"/>
          <w:sz w:val="18"/>
          <w:szCs w:val="18"/>
          <w:lang w:val="es-ES_tradnl"/>
        </w:rPr>
        <w:t xml:space="preserve">sentencias, autos o resoluciones definitivas, emitidas por </w:t>
      </w:r>
      <w:r>
        <w:rPr>
          <w:spacing w:val="-6"/>
          <w:sz w:val="18"/>
          <w:szCs w:val="18"/>
          <w:lang w:val="es-ES_tradnl"/>
        </w:rPr>
        <w:t>los operadores de justicia en ejercicio de su actividad jurisdiccional, evitando as</w:t>
      </w:r>
      <w:r>
        <w:rPr>
          <w:rFonts w:cs="Times New Roman"/>
          <w:spacing w:val="-6"/>
          <w:sz w:val="18"/>
          <w:szCs w:val="18"/>
          <w:lang w:val="es-ES_tradnl"/>
        </w:rPr>
        <w:t>í</w:t>
      </w:r>
      <w:r>
        <w:rPr>
          <w:spacing w:val="-6"/>
          <w:sz w:val="18"/>
          <w:szCs w:val="18"/>
          <w:lang w:val="es-ES_tradnl"/>
        </w:rPr>
        <w:t xml:space="preserve"> que su accionar incurra en perjuicios irremediables, sea por acci</w:t>
      </w:r>
      <w:r>
        <w:rPr>
          <w:rFonts w:cs="Times New Roman"/>
          <w:spacing w:val="-6"/>
          <w:sz w:val="18"/>
          <w:szCs w:val="18"/>
          <w:lang w:val="es-ES_tradnl"/>
        </w:rPr>
        <w:t>ó</w:t>
      </w:r>
      <w:r>
        <w:rPr>
          <w:spacing w:val="-6"/>
          <w:sz w:val="18"/>
          <w:szCs w:val="18"/>
          <w:lang w:val="es-ES_tradnl"/>
        </w:rPr>
        <w:t>n u omisi</w:t>
      </w:r>
      <w:r>
        <w:rPr>
          <w:rFonts w:cs="Times New Roman"/>
          <w:spacing w:val="-6"/>
          <w:sz w:val="18"/>
          <w:szCs w:val="18"/>
          <w:lang w:val="es-ES_tradnl"/>
        </w:rPr>
        <w:t>ó</w:t>
      </w:r>
      <w:r>
        <w:rPr>
          <w:spacing w:val="-6"/>
          <w:sz w:val="18"/>
          <w:szCs w:val="18"/>
          <w:lang w:val="es-ES_tradnl"/>
        </w:rPr>
        <w:t>n.</w:t>
      </w:r>
    </w:p>
    <w:p w14:paraId="4F67B902" w14:textId="77777777" w:rsidR="00591D54" w:rsidRDefault="00591D54">
      <w:pPr>
        <w:shd w:val="clear" w:color="auto" w:fill="FFFFFF"/>
        <w:spacing w:before="197" w:line="216" w:lineRule="exact"/>
        <w:jc w:val="both"/>
      </w:pPr>
      <w:r>
        <w:rPr>
          <w:spacing w:val="-5"/>
          <w:sz w:val="18"/>
          <w:szCs w:val="18"/>
          <w:lang w:val="es-ES_tradnl"/>
        </w:rPr>
        <w:t>Como ya lo ha se</w:t>
      </w:r>
      <w:r>
        <w:rPr>
          <w:rFonts w:cs="Times New Roman"/>
          <w:spacing w:val="-5"/>
          <w:sz w:val="18"/>
          <w:szCs w:val="18"/>
          <w:lang w:val="es-ES_tradnl"/>
        </w:rPr>
        <w:t>ñ</w:t>
      </w:r>
      <w:r>
        <w:rPr>
          <w:spacing w:val="-5"/>
          <w:sz w:val="18"/>
          <w:szCs w:val="18"/>
          <w:lang w:val="es-ES_tradnl"/>
        </w:rPr>
        <w:t xml:space="preserve">alado esta Corte en varias de sus </w:t>
      </w:r>
      <w:r>
        <w:rPr>
          <w:spacing w:val="-7"/>
          <w:sz w:val="18"/>
          <w:szCs w:val="18"/>
          <w:lang w:val="es-ES_tradnl"/>
        </w:rPr>
        <w:t>sentencias, la naturaleza de la acci</w:t>
      </w:r>
      <w:r>
        <w:rPr>
          <w:rFonts w:cs="Times New Roman"/>
          <w:spacing w:val="-7"/>
          <w:sz w:val="18"/>
          <w:szCs w:val="18"/>
          <w:lang w:val="es-ES_tradnl"/>
        </w:rPr>
        <w:t>ó</w:t>
      </w:r>
      <w:r>
        <w:rPr>
          <w:spacing w:val="-7"/>
          <w:sz w:val="18"/>
          <w:szCs w:val="18"/>
          <w:lang w:val="es-ES_tradnl"/>
        </w:rPr>
        <w:t xml:space="preserve">n extraordinaria de </w:t>
      </w:r>
      <w:r>
        <w:rPr>
          <w:spacing w:val="-8"/>
          <w:sz w:val="18"/>
          <w:szCs w:val="18"/>
          <w:lang w:val="es-ES_tradnl"/>
        </w:rPr>
        <w:t>protecci</w:t>
      </w:r>
      <w:r>
        <w:rPr>
          <w:rFonts w:cs="Times New Roman"/>
          <w:spacing w:val="-8"/>
          <w:sz w:val="18"/>
          <w:szCs w:val="18"/>
          <w:lang w:val="es-ES_tradnl"/>
        </w:rPr>
        <w:t>ó</w:t>
      </w:r>
      <w:r>
        <w:rPr>
          <w:spacing w:val="-8"/>
          <w:sz w:val="18"/>
          <w:szCs w:val="18"/>
          <w:lang w:val="es-ES_tradnl"/>
        </w:rPr>
        <w:t xml:space="preserve">n </w:t>
      </w:r>
      <w:r>
        <w:rPr>
          <w:rFonts w:cs="Times New Roman"/>
          <w:spacing w:val="-8"/>
          <w:sz w:val="18"/>
          <w:szCs w:val="18"/>
          <w:lang w:val="es-ES_tradnl"/>
        </w:rPr>
        <w:t>ú</w:t>
      </w:r>
      <w:r>
        <w:rPr>
          <w:spacing w:val="-8"/>
          <w:sz w:val="18"/>
          <w:szCs w:val="18"/>
          <w:lang w:val="es-ES_tradnl"/>
        </w:rPr>
        <w:t xml:space="preserve">nicamente procede sobre dos aspectos: la </w:t>
      </w:r>
      <w:r>
        <w:rPr>
          <w:spacing w:val="-3"/>
          <w:sz w:val="18"/>
          <w:szCs w:val="18"/>
          <w:lang w:val="es-ES_tradnl"/>
        </w:rPr>
        <w:t>vulneraci</w:t>
      </w:r>
      <w:r>
        <w:rPr>
          <w:rFonts w:cs="Times New Roman"/>
          <w:spacing w:val="-3"/>
          <w:sz w:val="18"/>
          <w:szCs w:val="18"/>
          <w:lang w:val="es-ES_tradnl"/>
        </w:rPr>
        <w:t>ó</w:t>
      </w:r>
      <w:r>
        <w:rPr>
          <w:spacing w:val="-3"/>
          <w:sz w:val="18"/>
          <w:szCs w:val="18"/>
          <w:lang w:val="es-ES_tradnl"/>
        </w:rPr>
        <w:t>n de derechos constitucionales o la violaci</w:t>
      </w:r>
      <w:r>
        <w:rPr>
          <w:rFonts w:cs="Times New Roman"/>
          <w:spacing w:val="-3"/>
          <w:sz w:val="18"/>
          <w:szCs w:val="18"/>
          <w:lang w:val="es-ES_tradnl"/>
        </w:rPr>
        <w:t>ó</w:t>
      </w:r>
      <w:r>
        <w:rPr>
          <w:spacing w:val="-3"/>
          <w:sz w:val="18"/>
          <w:szCs w:val="18"/>
          <w:lang w:val="es-ES_tradnl"/>
        </w:rPr>
        <w:t xml:space="preserve">n </w:t>
      </w:r>
      <w:r>
        <w:rPr>
          <w:spacing w:val="-8"/>
          <w:sz w:val="18"/>
          <w:szCs w:val="18"/>
          <w:lang w:val="es-ES_tradnl"/>
        </w:rPr>
        <w:t xml:space="preserve">de normas del debido proceso para que no queden en la </w:t>
      </w:r>
      <w:r>
        <w:rPr>
          <w:spacing w:val="-7"/>
          <w:sz w:val="18"/>
          <w:szCs w:val="18"/>
          <w:lang w:val="es-ES_tradnl"/>
        </w:rPr>
        <w:t>impunidad y se pueda disponer medidas de reparaci</w:t>
      </w:r>
      <w:r>
        <w:rPr>
          <w:rFonts w:cs="Times New Roman"/>
          <w:spacing w:val="-7"/>
          <w:sz w:val="18"/>
          <w:szCs w:val="18"/>
          <w:lang w:val="es-ES_tradnl"/>
        </w:rPr>
        <w:t>ó</w:t>
      </w:r>
      <w:r>
        <w:rPr>
          <w:spacing w:val="-7"/>
          <w:sz w:val="18"/>
          <w:szCs w:val="18"/>
          <w:lang w:val="es-ES_tradnl"/>
        </w:rPr>
        <w:t xml:space="preserve">n </w:t>
      </w:r>
      <w:r>
        <w:rPr>
          <w:spacing w:val="-6"/>
          <w:sz w:val="18"/>
          <w:szCs w:val="18"/>
          <w:lang w:val="es-ES_tradnl"/>
        </w:rPr>
        <w:t>integral. Para ello, asumiendo el esp</w:t>
      </w:r>
      <w:r>
        <w:rPr>
          <w:rFonts w:cs="Times New Roman"/>
          <w:spacing w:val="-6"/>
          <w:sz w:val="18"/>
          <w:szCs w:val="18"/>
          <w:lang w:val="es-ES_tradnl"/>
        </w:rPr>
        <w:t>í</w:t>
      </w:r>
      <w:r>
        <w:rPr>
          <w:spacing w:val="-6"/>
          <w:sz w:val="18"/>
          <w:szCs w:val="18"/>
          <w:lang w:val="es-ES_tradnl"/>
        </w:rPr>
        <w:t xml:space="preserve">ritu garantista de la </w:t>
      </w:r>
      <w:r>
        <w:rPr>
          <w:spacing w:val="-9"/>
          <w:sz w:val="18"/>
          <w:szCs w:val="18"/>
          <w:lang w:val="es-ES_tradnl"/>
        </w:rPr>
        <w:t>vigente Carta Magna, mediante esta acci</w:t>
      </w:r>
      <w:r>
        <w:rPr>
          <w:rFonts w:cs="Times New Roman"/>
          <w:spacing w:val="-9"/>
          <w:sz w:val="18"/>
          <w:szCs w:val="18"/>
          <w:lang w:val="es-ES_tradnl"/>
        </w:rPr>
        <w:t>ó</w:t>
      </w:r>
      <w:r>
        <w:rPr>
          <w:spacing w:val="-9"/>
          <w:sz w:val="18"/>
          <w:szCs w:val="18"/>
          <w:lang w:val="es-ES_tradnl"/>
        </w:rPr>
        <w:t xml:space="preserve">n excepcional, se </w:t>
      </w:r>
      <w:r>
        <w:rPr>
          <w:spacing w:val="-7"/>
          <w:sz w:val="18"/>
          <w:szCs w:val="18"/>
          <w:lang w:val="es-ES_tradnl"/>
        </w:rPr>
        <w:t xml:space="preserve">permite que las sentencias, autos y resoluciones firmes y </w:t>
      </w:r>
      <w:r>
        <w:rPr>
          <w:spacing w:val="-9"/>
          <w:sz w:val="18"/>
          <w:szCs w:val="18"/>
          <w:lang w:val="es-ES_tradnl"/>
        </w:rPr>
        <w:t>ejecutoriadas sean objeto de revisi</w:t>
      </w:r>
      <w:r>
        <w:rPr>
          <w:rFonts w:cs="Times New Roman"/>
          <w:spacing w:val="-9"/>
          <w:sz w:val="18"/>
          <w:szCs w:val="18"/>
          <w:lang w:val="es-ES_tradnl"/>
        </w:rPr>
        <w:t>ó</w:t>
      </w:r>
      <w:r>
        <w:rPr>
          <w:spacing w:val="-9"/>
          <w:sz w:val="18"/>
          <w:szCs w:val="18"/>
          <w:lang w:val="es-ES_tradnl"/>
        </w:rPr>
        <w:t>n por parte del m</w:t>
      </w:r>
      <w:r>
        <w:rPr>
          <w:rFonts w:cs="Times New Roman"/>
          <w:spacing w:val="-9"/>
          <w:sz w:val="18"/>
          <w:szCs w:val="18"/>
          <w:lang w:val="es-ES_tradnl"/>
        </w:rPr>
        <w:t>á</w:t>
      </w:r>
      <w:r>
        <w:rPr>
          <w:spacing w:val="-9"/>
          <w:sz w:val="18"/>
          <w:szCs w:val="18"/>
          <w:lang w:val="es-ES_tradnl"/>
        </w:rPr>
        <w:t xml:space="preserve">s alto </w:t>
      </w:r>
      <w:r>
        <w:rPr>
          <w:rFonts w:cs="Times New Roman"/>
          <w:spacing w:val="-8"/>
          <w:sz w:val="18"/>
          <w:szCs w:val="18"/>
          <w:lang w:val="es-ES_tradnl"/>
        </w:rPr>
        <w:t>ó</w:t>
      </w:r>
      <w:r>
        <w:rPr>
          <w:spacing w:val="-8"/>
          <w:sz w:val="18"/>
          <w:szCs w:val="18"/>
          <w:lang w:val="es-ES_tradnl"/>
        </w:rPr>
        <w:t>rgano de control de constitucionalidad en el pa</w:t>
      </w:r>
      <w:r>
        <w:rPr>
          <w:rFonts w:cs="Times New Roman"/>
          <w:spacing w:val="-8"/>
          <w:sz w:val="18"/>
          <w:szCs w:val="18"/>
          <w:lang w:val="es-ES_tradnl"/>
        </w:rPr>
        <w:t>í</w:t>
      </w:r>
      <w:r>
        <w:rPr>
          <w:spacing w:val="-8"/>
          <w:sz w:val="18"/>
          <w:szCs w:val="18"/>
          <w:lang w:val="es-ES_tradnl"/>
        </w:rPr>
        <w:t xml:space="preserve">s, la Corte </w:t>
      </w:r>
      <w:r>
        <w:rPr>
          <w:sz w:val="18"/>
          <w:szCs w:val="18"/>
          <w:lang w:val="es-ES_tradnl"/>
        </w:rPr>
        <w:t>Constitucional.</w:t>
      </w:r>
    </w:p>
    <w:p w14:paraId="4F67B903" w14:textId="77777777" w:rsidR="00591D54" w:rsidRDefault="00591D54">
      <w:pPr>
        <w:shd w:val="clear" w:color="auto" w:fill="FFFFFF"/>
        <w:spacing w:before="197" w:line="216" w:lineRule="exact"/>
        <w:ind w:right="5"/>
        <w:jc w:val="both"/>
      </w:pPr>
      <w:r>
        <w:rPr>
          <w:spacing w:val="-11"/>
          <w:sz w:val="18"/>
          <w:szCs w:val="18"/>
          <w:lang w:val="es-ES_tradnl"/>
        </w:rPr>
        <w:t>El car</w:t>
      </w:r>
      <w:r>
        <w:rPr>
          <w:rFonts w:cs="Times New Roman"/>
          <w:spacing w:val="-11"/>
          <w:sz w:val="18"/>
          <w:szCs w:val="18"/>
          <w:lang w:val="es-ES_tradnl"/>
        </w:rPr>
        <w:t>á</w:t>
      </w:r>
      <w:r>
        <w:rPr>
          <w:spacing w:val="-11"/>
          <w:sz w:val="18"/>
          <w:szCs w:val="18"/>
          <w:lang w:val="es-ES_tradnl"/>
        </w:rPr>
        <w:t xml:space="preserve">cter garantista de la actual Norma Suprema exige que </w:t>
      </w:r>
      <w:r>
        <w:rPr>
          <w:spacing w:val="-5"/>
          <w:sz w:val="18"/>
          <w:szCs w:val="18"/>
          <w:lang w:val="es-ES_tradnl"/>
        </w:rPr>
        <w:t>ning</w:t>
      </w:r>
      <w:r>
        <w:rPr>
          <w:rFonts w:cs="Times New Roman"/>
          <w:spacing w:val="-5"/>
          <w:sz w:val="18"/>
          <w:szCs w:val="18"/>
          <w:lang w:val="es-ES_tradnl"/>
        </w:rPr>
        <w:t>ú</w:t>
      </w:r>
      <w:r>
        <w:rPr>
          <w:spacing w:val="-5"/>
          <w:sz w:val="18"/>
          <w:szCs w:val="18"/>
          <w:lang w:val="es-ES_tradnl"/>
        </w:rPr>
        <w:t>n acto de autoridad p</w:t>
      </w:r>
      <w:r>
        <w:rPr>
          <w:rFonts w:cs="Times New Roman"/>
          <w:spacing w:val="-5"/>
          <w:sz w:val="18"/>
          <w:szCs w:val="18"/>
          <w:lang w:val="es-ES_tradnl"/>
        </w:rPr>
        <w:t>ú</w:t>
      </w:r>
      <w:r>
        <w:rPr>
          <w:spacing w:val="-5"/>
          <w:sz w:val="18"/>
          <w:szCs w:val="18"/>
          <w:lang w:val="es-ES_tradnl"/>
        </w:rPr>
        <w:t xml:space="preserve">blica quede fuera del control </w:t>
      </w:r>
      <w:r>
        <w:rPr>
          <w:spacing w:val="-8"/>
          <w:sz w:val="18"/>
          <w:szCs w:val="18"/>
          <w:lang w:val="es-ES_tradnl"/>
        </w:rPr>
        <w:t>de constitucionalidad; en esta l</w:t>
      </w:r>
      <w:r>
        <w:rPr>
          <w:rFonts w:cs="Times New Roman"/>
          <w:spacing w:val="-8"/>
          <w:sz w:val="18"/>
          <w:szCs w:val="18"/>
          <w:lang w:val="es-ES_tradnl"/>
        </w:rPr>
        <w:t>í</w:t>
      </w:r>
      <w:r>
        <w:rPr>
          <w:spacing w:val="-8"/>
          <w:sz w:val="18"/>
          <w:szCs w:val="18"/>
          <w:lang w:val="es-ES_tradnl"/>
        </w:rPr>
        <w:t xml:space="preserve">nea, lo que se pretende es </w:t>
      </w:r>
      <w:r>
        <w:rPr>
          <w:spacing w:val="-5"/>
          <w:sz w:val="18"/>
          <w:szCs w:val="18"/>
          <w:lang w:val="es-ES_tradnl"/>
        </w:rPr>
        <w:t>que el ordenamiento jur</w:t>
      </w:r>
      <w:r>
        <w:rPr>
          <w:rFonts w:cs="Times New Roman"/>
          <w:spacing w:val="-5"/>
          <w:sz w:val="18"/>
          <w:szCs w:val="18"/>
          <w:lang w:val="es-ES_tradnl"/>
        </w:rPr>
        <w:t>í</w:t>
      </w:r>
      <w:r>
        <w:rPr>
          <w:spacing w:val="-5"/>
          <w:sz w:val="18"/>
          <w:szCs w:val="18"/>
          <w:lang w:val="es-ES_tradnl"/>
        </w:rPr>
        <w:t>dico encuentre armon</w:t>
      </w:r>
      <w:r>
        <w:rPr>
          <w:rFonts w:cs="Times New Roman"/>
          <w:spacing w:val="-5"/>
          <w:sz w:val="18"/>
          <w:szCs w:val="18"/>
          <w:lang w:val="es-ES_tradnl"/>
        </w:rPr>
        <w:t>í</w:t>
      </w:r>
      <w:r>
        <w:rPr>
          <w:spacing w:val="-5"/>
          <w:sz w:val="18"/>
          <w:szCs w:val="18"/>
          <w:lang w:val="es-ES_tradnl"/>
        </w:rPr>
        <w:t xml:space="preserve">a a partir </w:t>
      </w:r>
      <w:r>
        <w:rPr>
          <w:spacing w:val="-9"/>
          <w:sz w:val="18"/>
          <w:szCs w:val="18"/>
          <w:lang w:val="es-ES_tradnl"/>
        </w:rPr>
        <w:t>del ajuste de todos los actos de las funciones p</w:t>
      </w:r>
      <w:r>
        <w:rPr>
          <w:rFonts w:cs="Times New Roman"/>
          <w:spacing w:val="-9"/>
          <w:sz w:val="18"/>
          <w:szCs w:val="18"/>
          <w:lang w:val="es-ES_tradnl"/>
        </w:rPr>
        <w:t>ú</w:t>
      </w:r>
      <w:r>
        <w:rPr>
          <w:spacing w:val="-9"/>
          <w:sz w:val="18"/>
          <w:szCs w:val="18"/>
          <w:lang w:val="es-ES_tradnl"/>
        </w:rPr>
        <w:t xml:space="preserve">blicas a los </w:t>
      </w:r>
      <w:r>
        <w:rPr>
          <w:spacing w:val="-8"/>
          <w:sz w:val="18"/>
          <w:szCs w:val="18"/>
          <w:lang w:val="es-ES_tradnl"/>
        </w:rPr>
        <w:t>mandatos dispuestos en la Constituci</w:t>
      </w:r>
      <w:r>
        <w:rPr>
          <w:rFonts w:cs="Times New Roman"/>
          <w:spacing w:val="-8"/>
          <w:sz w:val="18"/>
          <w:szCs w:val="18"/>
          <w:lang w:val="es-ES_tradnl"/>
        </w:rPr>
        <w:t>ó</w:t>
      </w:r>
      <w:r>
        <w:rPr>
          <w:spacing w:val="-8"/>
          <w:sz w:val="18"/>
          <w:szCs w:val="18"/>
          <w:lang w:val="es-ES_tradnl"/>
        </w:rPr>
        <w:t>n de la Rep</w:t>
      </w:r>
      <w:r>
        <w:rPr>
          <w:rFonts w:cs="Times New Roman"/>
          <w:spacing w:val="-8"/>
          <w:sz w:val="18"/>
          <w:szCs w:val="18"/>
          <w:lang w:val="es-ES_tradnl"/>
        </w:rPr>
        <w:t>ú</w:t>
      </w:r>
      <w:r>
        <w:rPr>
          <w:spacing w:val="-8"/>
          <w:sz w:val="18"/>
          <w:szCs w:val="18"/>
          <w:lang w:val="es-ES_tradnl"/>
        </w:rPr>
        <w:t>blica.</w:t>
      </w:r>
    </w:p>
    <w:p w14:paraId="4F67B904" w14:textId="77777777" w:rsidR="00591D54" w:rsidRDefault="00591D54">
      <w:pPr>
        <w:shd w:val="clear" w:color="auto" w:fill="FFFFFF"/>
        <w:spacing w:before="192"/>
      </w:pPr>
      <w:r>
        <w:rPr>
          <w:b/>
          <w:bCs/>
          <w:spacing w:val="-9"/>
          <w:sz w:val="18"/>
          <w:szCs w:val="18"/>
          <w:lang w:val="es-ES_tradnl"/>
        </w:rPr>
        <w:t>Determinaci</w:t>
      </w:r>
      <w:r>
        <w:rPr>
          <w:rFonts w:cs="Times New Roman"/>
          <w:b/>
          <w:bCs/>
          <w:spacing w:val="-9"/>
          <w:sz w:val="18"/>
          <w:szCs w:val="18"/>
          <w:lang w:val="es-ES_tradnl"/>
        </w:rPr>
        <w:t>ó</w:t>
      </w:r>
      <w:r>
        <w:rPr>
          <w:b/>
          <w:bCs/>
          <w:spacing w:val="-9"/>
          <w:sz w:val="18"/>
          <w:szCs w:val="18"/>
          <w:lang w:val="es-ES_tradnl"/>
        </w:rPr>
        <w:t>n de los problemas jur</w:t>
      </w:r>
      <w:r>
        <w:rPr>
          <w:rFonts w:cs="Times New Roman"/>
          <w:b/>
          <w:bCs/>
          <w:spacing w:val="-9"/>
          <w:sz w:val="18"/>
          <w:szCs w:val="18"/>
          <w:lang w:val="es-ES_tradnl"/>
        </w:rPr>
        <w:t>í</w:t>
      </w:r>
      <w:r>
        <w:rPr>
          <w:b/>
          <w:bCs/>
          <w:spacing w:val="-9"/>
          <w:sz w:val="18"/>
          <w:szCs w:val="18"/>
          <w:lang w:val="es-ES_tradnl"/>
        </w:rPr>
        <w:t>dicos</w:t>
      </w:r>
    </w:p>
    <w:p w14:paraId="4F67B905" w14:textId="77777777" w:rsidR="00591D54" w:rsidRDefault="00591D54">
      <w:pPr>
        <w:shd w:val="clear" w:color="auto" w:fill="FFFFFF"/>
        <w:spacing w:before="192" w:line="216" w:lineRule="exact"/>
        <w:ind w:right="5"/>
        <w:jc w:val="both"/>
      </w:pPr>
      <w:r>
        <w:rPr>
          <w:spacing w:val="-8"/>
          <w:sz w:val="18"/>
          <w:szCs w:val="18"/>
          <w:lang w:val="es-ES_tradnl"/>
        </w:rPr>
        <w:t>Despu</w:t>
      </w:r>
      <w:r>
        <w:rPr>
          <w:rFonts w:cs="Times New Roman"/>
          <w:spacing w:val="-8"/>
          <w:sz w:val="18"/>
          <w:szCs w:val="18"/>
          <w:lang w:val="es-ES_tradnl"/>
        </w:rPr>
        <w:t>é</w:t>
      </w:r>
      <w:r>
        <w:rPr>
          <w:spacing w:val="-8"/>
          <w:sz w:val="18"/>
          <w:szCs w:val="18"/>
          <w:lang w:val="es-ES_tradnl"/>
        </w:rPr>
        <w:t xml:space="preserve">s de un examen minucioso del expediente y la </w:t>
      </w:r>
      <w:r>
        <w:rPr>
          <w:spacing w:val="-7"/>
          <w:sz w:val="18"/>
          <w:szCs w:val="18"/>
          <w:lang w:val="es-ES_tradnl"/>
        </w:rPr>
        <w:t>documentaci</w:t>
      </w:r>
      <w:r>
        <w:rPr>
          <w:rFonts w:cs="Times New Roman"/>
          <w:spacing w:val="-7"/>
          <w:sz w:val="18"/>
          <w:szCs w:val="18"/>
          <w:lang w:val="es-ES_tradnl"/>
        </w:rPr>
        <w:t>ó</w:t>
      </w:r>
      <w:r>
        <w:rPr>
          <w:spacing w:val="-7"/>
          <w:sz w:val="18"/>
          <w:szCs w:val="18"/>
          <w:lang w:val="es-ES_tradnl"/>
        </w:rPr>
        <w:t>n que se adjunta al mismo, se determina la existencia de los siguientes problemas jur</w:t>
      </w:r>
      <w:r>
        <w:rPr>
          <w:rFonts w:cs="Times New Roman"/>
          <w:spacing w:val="-7"/>
          <w:sz w:val="18"/>
          <w:szCs w:val="18"/>
          <w:lang w:val="es-ES_tradnl"/>
        </w:rPr>
        <w:t>í</w:t>
      </w:r>
      <w:r>
        <w:rPr>
          <w:spacing w:val="-7"/>
          <w:sz w:val="18"/>
          <w:szCs w:val="18"/>
          <w:lang w:val="es-ES_tradnl"/>
        </w:rPr>
        <w:t>dicos:</w:t>
      </w:r>
    </w:p>
    <w:p w14:paraId="4F67B906" w14:textId="77777777" w:rsidR="00591D54" w:rsidRDefault="00591D54" w:rsidP="00251195">
      <w:pPr>
        <w:numPr>
          <w:ilvl w:val="0"/>
          <w:numId w:val="116"/>
        </w:numPr>
        <w:shd w:val="clear" w:color="auto" w:fill="FFFFFF"/>
        <w:tabs>
          <w:tab w:val="left" w:pos="566"/>
        </w:tabs>
        <w:spacing w:before="192" w:line="216" w:lineRule="exact"/>
        <w:ind w:left="566" w:right="5" w:hanging="283"/>
        <w:jc w:val="both"/>
        <w:rPr>
          <w:spacing w:val="-11"/>
          <w:sz w:val="18"/>
          <w:szCs w:val="18"/>
          <w:lang w:val="es-ES_tradnl"/>
        </w:rPr>
      </w:pPr>
      <w:r>
        <w:rPr>
          <w:spacing w:val="-10"/>
          <w:sz w:val="18"/>
          <w:szCs w:val="18"/>
          <w:lang w:val="es-ES_tradnl"/>
        </w:rPr>
        <w:t xml:space="preserve">La sentencia dictada por la Segunda Sala de lo Civil, </w:t>
      </w:r>
      <w:r>
        <w:rPr>
          <w:spacing w:val="-5"/>
          <w:sz w:val="18"/>
          <w:szCs w:val="18"/>
          <w:lang w:val="es-ES_tradnl"/>
        </w:rPr>
        <w:t xml:space="preserve">Mercantil, Inquilinato y Materias Residuales de la </w:t>
      </w:r>
      <w:r>
        <w:rPr>
          <w:spacing w:val="-8"/>
          <w:sz w:val="18"/>
          <w:szCs w:val="18"/>
          <w:lang w:val="es-ES_tradnl"/>
        </w:rPr>
        <w:t xml:space="preserve">Corte Provincial de Justicia de Pichincha, dentro de </w:t>
      </w:r>
      <w:r>
        <w:rPr>
          <w:spacing w:val="-9"/>
          <w:sz w:val="18"/>
          <w:szCs w:val="18"/>
          <w:lang w:val="es-ES_tradnl"/>
        </w:rPr>
        <w:t>la acci</w:t>
      </w:r>
      <w:r>
        <w:rPr>
          <w:rFonts w:cs="Times New Roman"/>
          <w:spacing w:val="-9"/>
          <w:sz w:val="18"/>
          <w:szCs w:val="18"/>
          <w:lang w:val="es-ES_tradnl"/>
        </w:rPr>
        <w:t>ó</w:t>
      </w:r>
      <w:r>
        <w:rPr>
          <w:spacing w:val="-9"/>
          <w:sz w:val="18"/>
          <w:szCs w:val="18"/>
          <w:lang w:val="es-ES_tradnl"/>
        </w:rPr>
        <w:t>n de protecci</w:t>
      </w:r>
      <w:r>
        <w:rPr>
          <w:rFonts w:cs="Times New Roman"/>
          <w:spacing w:val="-9"/>
          <w:sz w:val="18"/>
          <w:szCs w:val="18"/>
          <w:lang w:val="es-ES_tradnl"/>
        </w:rPr>
        <w:t>ó</w:t>
      </w:r>
      <w:r>
        <w:rPr>
          <w:spacing w:val="-9"/>
          <w:sz w:val="18"/>
          <w:szCs w:val="18"/>
          <w:lang w:val="es-ES_tradnl"/>
        </w:rPr>
        <w:t>n signada con el N.</w:t>
      </w:r>
      <w:r>
        <w:rPr>
          <w:rFonts w:cs="Times New Roman"/>
          <w:spacing w:val="-9"/>
          <w:sz w:val="18"/>
          <w:szCs w:val="18"/>
          <w:lang w:val="es-ES_tradnl"/>
        </w:rPr>
        <w:t>º</w:t>
      </w:r>
      <w:r>
        <w:rPr>
          <w:spacing w:val="-9"/>
          <w:sz w:val="18"/>
          <w:szCs w:val="18"/>
          <w:lang w:val="es-ES_tradnl"/>
        </w:rPr>
        <w:t xml:space="preserve"> 996/2011 </w:t>
      </w:r>
      <w:r>
        <w:rPr>
          <w:spacing w:val="-8"/>
          <w:sz w:val="18"/>
          <w:szCs w:val="18"/>
          <w:lang w:val="es-ES_tradnl"/>
        </w:rPr>
        <w:t>(735/2011) que acepta el recurso de apelaci</w:t>
      </w:r>
      <w:r>
        <w:rPr>
          <w:rFonts w:cs="Times New Roman"/>
          <w:spacing w:val="-8"/>
          <w:sz w:val="18"/>
          <w:szCs w:val="18"/>
          <w:lang w:val="es-ES_tradnl"/>
        </w:rPr>
        <w:t>ó</w:t>
      </w:r>
      <w:r>
        <w:rPr>
          <w:spacing w:val="-8"/>
          <w:sz w:val="18"/>
          <w:szCs w:val="18"/>
          <w:lang w:val="es-ES_tradnl"/>
        </w:rPr>
        <w:t xml:space="preserve">n y revoca la sentencia del inferior, </w:t>
      </w:r>
      <w:r>
        <w:rPr>
          <w:rFonts w:cs="Times New Roman"/>
          <w:spacing w:val="-8"/>
          <w:sz w:val="18"/>
          <w:szCs w:val="18"/>
          <w:lang w:val="es-ES_tradnl"/>
        </w:rPr>
        <w:t>¿</w:t>
      </w:r>
      <w:r>
        <w:rPr>
          <w:spacing w:val="-8"/>
          <w:sz w:val="18"/>
          <w:szCs w:val="18"/>
          <w:lang w:val="es-ES_tradnl"/>
        </w:rPr>
        <w:t xml:space="preserve">vulnera el derecho </w:t>
      </w:r>
      <w:r>
        <w:rPr>
          <w:spacing w:val="-7"/>
          <w:sz w:val="18"/>
          <w:szCs w:val="18"/>
          <w:lang w:val="es-ES_tradnl"/>
        </w:rPr>
        <w:t>constitucional al debido proceso respecto de las garant</w:t>
      </w:r>
      <w:r>
        <w:rPr>
          <w:rFonts w:cs="Times New Roman"/>
          <w:spacing w:val="-7"/>
          <w:sz w:val="18"/>
          <w:szCs w:val="18"/>
          <w:lang w:val="es-ES_tradnl"/>
        </w:rPr>
        <w:t>í</w:t>
      </w:r>
      <w:r>
        <w:rPr>
          <w:spacing w:val="-7"/>
          <w:sz w:val="18"/>
          <w:szCs w:val="18"/>
          <w:lang w:val="es-ES_tradnl"/>
        </w:rPr>
        <w:t xml:space="preserve">as a la defensa y a recibir resoluciones </w:t>
      </w:r>
      <w:r>
        <w:rPr>
          <w:sz w:val="18"/>
          <w:szCs w:val="18"/>
          <w:lang w:val="es-ES_tradnl"/>
        </w:rPr>
        <w:t>motivadas?</w:t>
      </w:r>
    </w:p>
    <w:p w14:paraId="4F67B907" w14:textId="77777777" w:rsidR="00591D54" w:rsidRDefault="00591D54" w:rsidP="00251195">
      <w:pPr>
        <w:numPr>
          <w:ilvl w:val="0"/>
          <w:numId w:val="116"/>
        </w:numPr>
        <w:shd w:val="clear" w:color="auto" w:fill="FFFFFF"/>
        <w:tabs>
          <w:tab w:val="left" w:pos="566"/>
        </w:tabs>
        <w:spacing w:before="197" w:line="216" w:lineRule="exact"/>
        <w:ind w:left="566" w:right="5" w:hanging="283"/>
        <w:jc w:val="both"/>
        <w:rPr>
          <w:spacing w:val="-11"/>
          <w:sz w:val="18"/>
          <w:szCs w:val="18"/>
          <w:lang w:val="es-ES_tradnl"/>
        </w:rPr>
      </w:pPr>
      <w:r>
        <w:rPr>
          <w:spacing w:val="-10"/>
          <w:sz w:val="18"/>
          <w:szCs w:val="18"/>
          <w:lang w:val="es-ES_tradnl"/>
        </w:rPr>
        <w:t xml:space="preserve">La sentencia dictada por la Segunda Sala de lo Civil, </w:t>
      </w:r>
      <w:r>
        <w:rPr>
          <w:spacing w:val="-5"/>
          <w:sz w:val="18"/>
          <w:szCs w:val="18"/>
          <w:lang w:val="es-ES_tradnl"/>
        </w:rPr>
        <w:t>Mercantil, Inquilinato y Materias Residuales de la</w:t>
      </w:r>
    </w:p>
    <w:p w14:paraId="4F67B908" w14:textId="77777777" w:rsidR="00591D54" w:rsidRDefault="00591D54">
      <w:pPr>
        <w:shd w:val="clear" w:color="auto" w:fill="FFFFFF"/>
        <w:spacing w:before="10" w:line="216" w:lineRule="exact"/>
        <w:ind w:left="566"/>
        <w:jc w:val="both"/>
      </w:pPr>
      <w:r>
        <w:rPr>
          <w:spacing w:val="-11"/>
          <w:sz w:val="18"/>
          <w:szCs w:val="18"/>
          <w:lang w:val="es-ES_tradnl"/>
        </w:rPr>
        <w:br w:type="column"/>
      </w:r>
      <w:r>
        <w:rPr>
          <w:spacing w:val="-8"/>
          <w:sz w:val="18"/>
          <w:szCs w:val="18"/>
          <w:lang w:val="es-ES_tradnl"/>
        </w:rPr>
        <w:t xml:space="preserve">Corte Provincial de Justicia de Pichincha, dentro de </w:t>
      </w:r>
      <w:r>
        <w:rPr>
          <w:spacing w:val="-9"/>
          <w:sz w:val="18"/>
          <w:szCs w:val="18"/>
          <w:lang w:val="es-ES_tradnl"/>
        </w:rPr>
        <w:t>la acci</w:t>
      </w:r>
      <w:r>
        <w:rPr>
          <w:rFonts w:cs="Times New Roman"/>
          <w:spacing w:val="-9"/>
          <w:sz w:val="18"/>
          <w:szCs w:val="18"/>
          <w:lang w:val="es-ES_tradnl"/>
        </w:rPr>
        <w:t>ó</w:t>
      </w:r>
      <w:r>
        <w:rPr>
          <w:spacing w:val="-9"/>
          <w:sz w:val="18"/>
          <w:szCs w:val="18"/>
          <w:lang w:val="es-ES_tradnl"/>
        </w:rPr>
        <w:t>n de protecci</w:t>
      </w:r>
      <w:r>
        <w:rPr>
          <w:rFonts w:cs="Times New Roman"/>
          <w:spacing w:val="-9"/>
          <w:sz w:val="18"/>
          <w:szCs w:val="18"/>
          <w:lang w:val="es-ES_tradnl"/>
        </w:rPr>
        <w:t>ó</w:t>
      </w:r>
      <w:r>
        <w:rPr>
          <w:spacing w:val="-9"/>
          <w:sz w:val="18"/>
          <w:szCs w:val="18"/>
          <w:lang w:val="es-ES_tradnl"/>
        </w:rPr>
        <w:t>n signada con el N.</w:t>
      </w:r>
      <w:r>
        <w:rPr>
          <w:rFonts w:cs="Times New Roman"/>
          <w:spacing w:val="-9"/>
          <w:sz w:val="18"/>
          <w:szCs w:val="18"/>
          <w:lang w:val="es-ES_tradnl"/>
        </w:rPr>
        <w:t>º</w:t>
      </w:r>
      <w:r>
        <w:rPr>
          <w:spacing w:val="-9"/>
          <w:sz w:val="18"/>
          <w:szCs w:val="18"/>
          <w:lang w:val="es-ES_tradnl"/>
        </w:rPr>
        <w:t xml:space="preserve"> 996/2011 </w:t>
      </w:r>
      <w:r>
        <w:rPr>
          <w:spacing w:val="-7"/>
          <w:sz w:val="18"/>
          <w:szCs w:val="18"/>
          <w:lang w:val="es-ES_tradnl"/>
        </w:rPr>
        <w:t>(735/2011) que acepta el recurso de apelaci</w:t>
      </w:r>
      <w:r>
        <w:rPr>
          <w:rFonts w:cs="Times New Roman"/>
          <w:spacing w:val="-7"/>
          <w:sz w:val="18"/>
          <w:szCs w:val="18"/>
          <w:lang w:val="es-ES_tradnl"/>
        </w:rPr>
        <w:t>ó</w:t>
      </w:r>
      <w:r>
        <w:rPr>
          <w:spacing w:val="-7"/>
          <w:sz w:val="18"/>
          <w:szCs w:val="18"/>
          <w:lang w:val="es-ES_tradnl"/>
        </w:rPr>
        <w:t xml:space="preserve">n y </w:t>
      </w:r>
      <w:r>
        <w:rPr>
          <w:spacing w:val="-8"/>
          <w:sz w:val="18"/>
          <w:szCs w:val="18"/>
          <w:lang w:val="es-ES_tradnl"/>
        </w:rPr>
        <w:t xml:space="preserve">revoca la sentencia del inferior, </w:t>
      </w:r>
      <w:r>
        <w:rPr>
          <w:rFonts w:cs="Times New Roman"/>
          <w:spacing w:val="-8"/>
          <w:sz w:val="18"/>
          <w:szCs w:val="18"/>
          <w:lang w:val="es-ES_tradnl"/>
        </w:rPr>
        <w:t>¿</w:t>
      </w:r>
      <w:r>
        <w:rPr>
          <w:spacing w:val="-8"/>
          <w:sz w:val="18"/>
          <w:szCs w:val="18"/>
          <w:lang w:val="es-ES_tradnl"/>
        </w:rPr>
        <w:t xml:space="preserve">vulnera el derecho </w:t>
      </w:r>
      <w:r>
        <w:rPr>
          <w:spacing w:val="-6"/>
          <w:sz w:val="18"/>
          <w:szCs w:val="18"/>
          <w:lang w:val="es-ES_tradnl"/>
        </w:rPr>
        <w:t>constitucional a la seguridad jur</w:t>
      </w:r>
      <w:r>
        <w:rPr>
          <w:rFonts w:cs="Times New Roman"/>
          <w:spacing w:val="-6"/>
          <w:sz w:val="18"/>
          <w:szCs w:val="18"/>
          <w:lang w:val="es-ES_tradnl"/>
        </w:rPr>
        <w:t>í</w:t>
      </w:r>
      <w:r>
        <w:rPr>
          <w:spacing w:val="-6"/>
          <w:sz w:val="18"/>
          <w:szCs w:val="18"/>
          <w:lang w:val="es-ES_tradnl"/>
        </w:rPr>
        <w:t>dica?</w:t>
      </w:r>
    </w:p>
    <w:p w14:paraId="4F67B909" w14:textId="77777777" w:rsidR="00591D54" w:rsidRDefault="00591D54">
      <w:pPr>
        <w:shd w:val="clear" w:color="auto" w:fill="FFFFFF"/>
        <w:spacing w:before="197"/>
      </w:pPr>
      <w:r>
        <w:rPr>
          <w:b/>
          <w:bCs/>
          <w:spacing w:val="-10"/>
          <w:sz w:val="18"/>
          <w:szCs w:val="18"/>
          <w:lang w:val="es-ES_tradnl"/>
        </w:rPr>
        <w:t>Resoluci</w:t>
      </w:r>
      <w:r>
        <w:rPr>
          <w:rFonts w:cs="Times New Roman"/>
          <w:b/>
          <w:bCs/>
          <w:spacing w:val="-10"/>
          <w:sz w:val="18"/>
          <w:szCs w:val="18"/>
          <w:lang w:val="es-ES_tradnl"/>
        </w:rPr>
        <w:t>ó</w:t>
      </w:r>
      <w:r>
        <w:rPr>
          <w:b/>
          <w:bCs/>
          <w:spacing w:val="-10"/>
          <w:sz w:val="18"/>
          <w:szCs w:val="18"/>
          <w:lang w:val="es-ES_tradnl"/>
        </w:rPr>
        <w:t>n de los problemas jur</w:t>
      </w:r>
      <w:r>
        <w:rPr>
          <w:rFonts w:cs="Times New Roman"/>
          <w:b/>
          <w:bCs/>
          <w:spacing w:val="-10"/>
          <w:sz w:val="18"/>
          <w:szCs w:val="18"/>
          <w:lang w:val="es-ES_tradnl"/>
        </w:rPr>
        <w:t>í</w:t>
      </w:r>
      <w:r>
        <w:rPr>
          <w:b/>
          <w:bCs/>
          <w:spacing w:val="-10"/>
          <w:sz w:val="18"/>
          <w:szCs w:val="18"/>
          <w:lang w:val="es-ES_tradnl"/>
        </w:rPr>
        <w:t>dicos</w:t>
      </w:r>
    </w:p>
    <w:p w14:paraId="4F67B90A" w14:textId="77777777" w:rsidR="00591D54" w:rsidRDefault="00591D54">
      <w:pPr>
        <w:shd w:val="clear" w:color="auto" w:fill="FFFFFF"/>
        <w:spacing w:before="197" w:line="216" w:lineRule="exact"/>
        <w:ind w:left="283" w:hanging="283"/>
        <w:jc w:val="both"/>
      </w:pPr>
      <w:r>
        <w:rPr>
          <w:b/>
          <w:bCs/>
          <w:spacing w:val="-8"/>
          <w:sz w:val="18"/>
          <w:szCs w:val="18"/>
          <w:lang w:val="es-ES_tradnl"/>
        </w:rPr>
        <w:t xml:space="preserve">1. La sentencia dictada por la Segunda Sala de lo Civil, </w:t>
      </w:r>
      <w:r>
        <w:rPr>
          <w:b/>
          <w:bCs/>
          <w:spacing w:val="-5"/>
          <w:sz w:val="18"/>
          <w:szCs w:val="18"/>
          <w:lang w:val="es-ES_tradnl"/>
        </w:rPr>
        <w:t xml:space="preserve">Mercantil, Inquilinato y Materias Residuales de la </w:t>
      </w:r>
      <w:r>
        <w:rPr>
          <w:b/>
          <w:bCs/>
          <w:spacing w:val="-11"/>
          <w:sz w:val="18"/>
          <w:szCs w:val="18"/>
          <w:lang w:val="es-ES_tradnl"/>
        </w:rPr>
        <w:t>Corte Provincial de Pichincha, dentro de la acci</w:t>
      </w:r>
      <w:r>
        <w:rPr>
          <w:rFonts w:cs="Times New Roman"/>
          <w:b/>
          <w:bCs/>
          <w:spacing w:val="-11"/>
          <w:sz w:val="18"/>
          <w:szCs w:val="18"/>
          <w:lang w:val="es-ES_tradnl"/>
        </w:rPr>
        <w:t>ó</w:t>
      </w:r>
      <w:r>
        <w:rPr>
          <w:b/>
          <w:bCs/>
          <w:spacing w:val="-11"/>
          <w:sz w:val="18"/>
          <w:szCs w:val="18"/>
          <w:lang w:val="es-ES_tradnl"/>
        </w:rPr>
        <w:t xml:space="preserve">n de </w:t>
      </w:r>
      <w:r>
        <w:rPr>
          <w:b/>
          <w:bCs/>
          <w:spacing w:val="-12"/>
          <w:sz w:val="18"/>
          <w:szCs w:val="18"/>
          <w:lang w:val="es-ES_tradnl"/>
        </w:rPr>
        <w:t>protecci</w:t>
      </w:r>
      <w:r>
        <w:rPr>
          <w:rFonts w:cs="Times New Roman"/>
          <w:b/>
          <w:bCs/>
          <w:spacing w:val="-12"/>
          <w:sz w:val="18"/>
          <w:szCs w:val="18"/>
          <w:lang w:val="es-ES_tradnl"/>
        </w:rPr>
        <w:t>ó</w:t>
      </w:r>
      <w:r>
        <w:rPr>
          <w:b/>
          <w:bCs/>
          <w:spacing w:val="-12"/>
          <w:sz w:val="18"/>
          <w:szCs w:val="18"/>
          <w:lang w:val="es-ES_tradnl"/>
        </w:rPr>
        <w:t>n signada con el N.</w:t>
      </w:r>
      <w:r>
        <w:rPr>
          <w:rFonts w:cs="Times New Roman"/>
          <w:b/>
          <w:bCs/>
          <w:spacing w:val="-12"/>
          <w:sz w:val="18"/>
          <w:szCs w:val="18"/>
          <w:lang w:val="es-ES_tradnl"/>
        </w:rPr>
        <w:t>º</w:t>
      </w:r>
      <w:r>
        <w:rPr>
          <w:b/>
          <w:bCs/>
          <w:spacing w:val="-12"/>
          <w:sz w:val="18"/>
          <w:szCs w:val="18"/>
          <w:lang w:val="es-ES_tradnl"/>
        </w:rPr>
        <w:t xml:space="preserve"> 996/2011 (735/2011) que </w:t>
      </w:r>
      <w:r>
        <w:rPr>
          <w:b/>
          <w:bCs/>
          <w:spacing w:val="-10"/>
          <w:sz w:val="18"/>
          <w:szCs w:val="18"/>
          <w:lang w:val="es-ES_tradnl"/>
        </w:rPr>
        <w:t>acepta el recurso de apelaci</w:t>
      </w:r>
      <w:r>
        <w:rPr>
          <w:rFonts w:cs="Times New Roman"/>
          <w:b/>
          <w:bCs/>
          <w:spacing w:val="-10"/>
          <w:sz w:val="18"/>
          <w:szCs w:val="18"/>
          <w:lang w:val="es-ES_tradnl"/>
        </w:rPr>
        <w:t>ó</w:t>
      </w:r>
      <w:r>
        <w:rPr>
          <w:b/>
          <w:bCs/>
          <w:spacing w:val="-10"/>
          <w:sz w:val="18"/>
          <w:szCs w:val="18"/>
          <w:lang w:val="es-ES_tradnl"/>
        </w:rPr>
        <w:t xml:space="preserve">n y revoca la sentencia </w:t>
      </w:r>
      <w:r>
        <w:rPr>
          <w:b/>
          <w:bCs/>
          <w:spacing w:val="-7"/>
          <w:sz w:val="18"/>
          <w:szCs w:val="18"/>
          <w:lang w:val="es-ES_tradnl"/>
        </w:rPr>
        <w:t xml:space="preserve">del inferior, </w:t>
      </w:r>
      <w:r>
        <w:rPr>
          <w:rFonts w:cs="Times New Roman"/>
          <w:b/>
          <w:bCs/>
          <w:spacing w:val="-7"/>
          <w:sz w:val="18"/>
          <w:szCs w:val="18"/>
          <w:lang w:val="es-ES_tradnl"/>
        </w:rPr>
        <w:t>¿</w:t>
      </w:r>
      <w:r>
        <w:rPr>
          <w:b/>
          <w:bCs/>
          <w:spacing w:val="-7"/>
          <w:sz w:val="18"/>
          <w:szCs w:val="18"/>
          <w:lang w:val="es-ES_tradnl"/>
        </w:rPr>
        <w:t xml:space="preserve">vulnera el derecho constitucional al </w:t>
      </w:r>
      <w:r>
        <w:rPr>
          <w:b/>
          <w:bCs/>
          <w:spacing w:val="-12"/>
          <w:sz w:val="18"/>
          <w:szCs w:val="18"/>
          <w:lang w:val="es-ES_tradnl"/>
        </w:rPr>
        <w:t>debido proceso respecto de las garant</w:t>
      </w:r>
      <w:r>
        <w:rPr>
          <w:rFonts w:cs="Times New Roman"/>
          <w:b/>
          <w:bCs/>
          <w:spacing w:val="-12"/>
          <w:sz w:val="18"/>
          <w:szCs w:val="18"/>
          <w:lang w:val="es-ES_tradnl"/>
        </w:rPr>
        <w:t>í</w:t>
      </w:r>
      <w:r>
        <w:rPr>
          <w:b/>
          <w:bCs/>
          <w:spacing w:val="-12"/>
          <w:sz w:val="18"/>
          <w:szCs w:val="18"/>
          <w:lang w:val="es-ES_tradnl"/>
        </w:rPr>
        <w:t xml:space="preserve">as a la defensa </w:t>
      </w:r>
      <w:r>
        <w:rPr>
          <w:b/>
          <w:bCs/>
          <w:sz w:val="18"/>
          <w:szCs w:val="18"/>
          <w:lang w:val="es-ES_tradnl"/>
        </w:rPr>
        <w:t>y a recibir resoluciones motivadas?</w:t>
      </w:r>
    </w:p>
    <w:p w14:paraId="4F67B90B" w14:textId="77777777" w:rsidR="00591D54" w:rsidRDefault="00591D54">
      <w:pPr>
        <w:shd w:val="clear" w:color="auto" w:fill="FFFFFF"/>
        <w:spacing w:before="197" w:line="216" w:lineRule="exact"/>
        <w:jc w:val="both"/>
      </w:pPr>
      <w:r>
        <w:rPr>
          <w:spacing w:val="-7"/>
          <w:sz w:val="18"/>
          <w:szCs w:val="18"/>
          <w:lang w:val="es-ES_tradnl"/>
        </w:rPr>
        <w:t>El debido proceso constituye un conjunto de garant</w:t>
      </w:r>
      <w:r>
        <w:rPr>
          <w:rFonts w:cs="Times New Roman"/>
          <w:spacing w:val="-7"/>
          <w:sz w:val="18"/>
          <w:szCs w:val="18"/>
          <w:lang w:val="es-ES_tradnl"/>
        </w:rPr>
        <w:t>í</w:t>
      </w:r>
      <w:r>
        <w:rPr>
          <w:spacing w:val="-7"/>
          <w:sz w:val="18"/>
          <w:szCs w:val="18"/>
          <w:lang w:val="es-ES_tradnl"/>
        </w:rPr>
        <w:t xml:space="preserve">as de estricta observancia para los operadores de justicia dentro </w:t>
      </w:r>
      <w:r>
        <w:rPr>
          <w:spacing w:val="-8"/>
          <w:sz w:val="18"/>
          <w:szCs w:val="18"/>
          <w:lang w:val="es-ES_tradnl"/>
        </w:rPr>
        <w:t xml:space="preserve">de todo proceso en el cual se determinen derechos y </w:t>
      </w:r>
      <w:r>
        <w:rPr>
          <w:spacing w:val="-10"/>
          <w:sz w:val="18"/>
          <w:szCs w:val="18"/>
          <w:lang w:val="es-ES_tradnl"/>
        </w:rPr>
        <w:t xml:space="preserve">obligaciones de cualquier orden, asegurando a las partes en </w:t>
      </w:r>
      <w:r>
        <w:rPr>
          <w:spacing w:val="-6"/>
          <w:sz w:val="18"/>
          <w:szCs w:val="18"/>
          <w:lang w:val="es-ES_tradnl"/>
        </w:rPr>
        <w:t>litigio una participaci</w:t>
      </w:r>
      <w:r>
        <w:rPr>
          <w:rFonts w:cs="Times New Roman"/>
          <w:spacing w:val="-6"/>
          <w:sz w:val="18"/>
          <w:szCs w:val="18"/>
          <w:lang w:val="es-ES_tradnl"/>
        </w:rPr>
        <w:t>ó</w:t>
      </w:r>
      <w:r>
        <w:rPr>
          <w:spacing w:val="-6"/>
          <w:sz w:val="18"/>
          <w:szCs w:val="18"/>
          <w:lang w:val="es-ES_tradnl"/>
        </w:rPr>
        <w:t>n en igualdad de condiciones.</w:t>
      </w:r>
    </w:p>
    <w:p w14:paraId="4F67B90C" w14:textId="77777777" w:rsidR="00591D54" w:rsidRDefault="00591D54">
      <w:pPr>
        <w:shd w:val="clear" w:color="auto" w:fill="FFFFFF"/>
        <w:spacing w:before="197" w:line="216" w:lineRule="exact"/>
        <w:jc w:val="both"/>
      </w:pPr>
      <w:r>
        <w:rPr>
          <w:spacing w:val="-2"/>
          <w:sz w:val="18"/>
          <w:szCs w:val="18"/>
          <w:lang w:val="es-ES_tradnl"/>
        </w:rPr>
        <w:t>El accionante en su demanda de acci</w:t>
      </w:r>
      <w:r>
        <w:rPr>
          <w:rFonts w:cs="Times New Roman"/>
          <w:spacing w:val="-2"/>
          <w:sz w:val="18"/>
          <w:szCs w:val="18"/>
          <w:lang w:val="es-ES_tradnl"/>
        </w:rPr>
        <w:t>ó</w:t>
      </w:r>
      <w:r>
        <w:rPr>
          <w:spacing w:val="-2"/>
          <w:sz w:val="18"/>
          <w:szCs w:val="18"/>
          <w:lang w:val="es-ES_tradnl"/>
        </w:rPr>
        <w:t xml:space="preserve">n extraordinaria </w:t>
      </w:r>
      <w:r>
        <w:rPr>
          <w:spacing w:val="-6"/>
          <w:sz w:val="18"/>
          <w:szCs w:val="18"/>
          <w:lang w:val="es-ES_tradnl"/>
        </w:rPr>
        <w:t>de protecci</w:t>
      </w:r>
      <w:r>
        <w:rPr>
          <w:rFonts w:cs="Times New Roman"/>
          <w:spacing w:val="-6"/>
          <w:sz w:val="18"/>
          <w:szCs w:val="18"/>
          <w:lang w:val="es-ES_tradnl"/>
        </w:rPr>
        <w:t>ó</w:t>
      </w:r>
      <w:r>
        <w:rPr>
          <w:spacing w:val="-6"/>
          <w:sz w:val="18"/>
          <w:szCs w:val="18"/>
          <w:lang w:val="es-ES_tradnl"/>
        </w:rPr>
        <w:t>n, se</w:t>
      </w:r>
      <w:r>
        <w:rPr>
          <w:rFonts w:cs="Times New Roman"/>
          <w:spacing w:val="-6"/>
          <w:sz w:val="18"/>
          <w:szCs w:val="18"/>
          <w:lang w:val="es-ES_tradnl"/>
        </w:rPr>
        <w:t>ñ</w:t>
      </w:r>
      <w:r>
        <w:rPr>
          <w:spacing w:val="-6"/>
          <w:sz w:val="18"/>
          <w:szCs w:val="18"/>
          <w:lang w:val="es-ES_tradnl"/>
        </w:rPr>
        <w:t>ala que se vulner</w:t>
      </w:r>
      <w:r>
        <w:rPr>
          <w:rFonts w:cs="Times New Roman"/>
          <w:spacing w:val="-6"/>
          <w:sz w:val="18"/>
          <w:szCs w:val="18"/>
          <w:lang w:val="es-ES_tradnl"/>
        </w:rPr>
        <w:t>ó</w:t>
      </w:r>
      <w:r>
        <w:rPr>
          <w:spacing w:val="-6"/>
          <w:sz w:val="18"/>
          <w:szCs w:val="18"/>
          <w:lang w:val="es-ES_tradnl"/>
        </w:rPr>
        <w:t xml:space="preserve"> en perjuicio de su </w:t>
      </w:r>
      <w:r>
        <w:rPr>
          <w:spacing w:val="-7"/>
          <w:sz w:val="18"/>
          <w:szCs w:val="18"/>
          <w:lang w:val="es-ES_tradnl"/>
        </w:rPr>
        <w:t xml:space="preserve">representada, el derecho constitucional al debido proceso </w:t>
      </w:r>
      <w:r>
        <w:rPr>
          <w:spacing w:val="-8"/>
          <w:sz w:val="18"/>
          <w:szCs w:val="18"/>
          <w:lang w:val="es-ES_tradnl"/>
        </w:rPr>
        <w:t>respecto a las garant</w:t>
      </w:r>
      <w:r>
        <w:rPr>
          <w:rFonts w:cs="Times New Roman"/>
          <w:spacing w:val="-8"/>
          <w:sz w:val="18"/>
          <w:szCs w:val="18"/>
          <w:lang w:val="es-ES_tradnl"/>
        </w:rPr>
        <w:t>í</w:t>
      </w:r>
      <w:r>
        <w:rPr>
          <w:spacing w:val="-8"/>
          <w:sz w:val="18"/>
          <w:szCs w:val="18"/>
          <w:lang w:val="es-ES_tradnl"/>
        </w:rPr>
        <w:t xml:space="preserve">as de cumplimiento de las normas y </w:t>
      </w:r>
      <w:r>
        <w:rPr>
          <w:spacing w:val="-9"/>
          <w:sz w:val="18"/>
          <w:szCs w:val="18"/>
          <w:lang w:val="es-ES_tradnl"/>
        </w:rPr>
        <w:t>defensa; en relaci</w:t>
      </w:r>
      <w:r>
        <w:rPr>
          <w:rFonts w:cs="Times New Roman"/>
          <w:spacing w:val="-9"/>
          <w:sz w:val="18"/>
          <w:szCs w:val="18"/>
          <w:lang w:val="es-ES_tradnl"/>
        </w:rPr>
        <w:t>ó</w:t>
      </w:r>
      <w:r>
        <w:rPr>
          <w:spacing w:val="-9"/>
          <w:sz w:val="18"/>
          <w:szCs w:val="18"/>
          <w:lang w:val="es-ES_tradnl"/>
        </w:rPr>
        <w:t xml:space="preserve">n a esta </w:t>
      </w:r>
      <w:r>
        <w:rPr>
          <w:rFonts w:cs="Times New Roman"/>
          <w:spacing w:val="-9"/>
          <w:sz w:val="18"/>
          <w:szCs w:val="18"/>
          <w:lang w:val="es-ES_tradnl"/>
        </w:rPr>
        <w:t>ú</w:t>
      </w:r>
      <w:r>
        <w:rPr>
          <w:spacing w:val="-9"/>
          <w:sz w:val="18"/>
          <w:szCs w:val="18"/>
          <w:lang w:val="es-ES_tradnl"/>
        </w:rPr>
        <w:t>ltima, en las garant</w:t>
      </w:r>
      <w:r>
        <w:rPr>
          <w:rFonts w:cs="Times New Roman"/>
          <w:spacing w:val="-9"/>
          <w:sz w:val="18"/>
          <w:szCs w:val="18"/>
          <w:lang w:val="es-ES_tradnl"/>
        </w:rPr>
        <w:t>í</w:t>
      </w:r>
      <w:r>
        <w:rPr>
          <w:spacing w:val="-9"/>
          <w:sz w:val="18"/>
          <w:szCs w:val="18"/>
          <w:lang w:val="es-ES_tradnl"/>
        </w:rPr>
        <w:t xml:space="preserve">as a no ser privado del derecho a la defensa en ninguna etapa o grado </w:t>
      </w:r>
      <w:r>
        <w:rPr>
          <w:spacing w:val="-6"/>
          <w:sz w:val="18"/>
          <w:szCs w:val="18"/>
          <w:lang w:val="es-ES_tradnl"/>
        </w:rPr>
        <w:t>del procedimiento y al derecho a recibir del poder p</w:t>
      </w:r>
      <w:r>
        <w:rPr>
          <w:rFonts w:cs="Times New Roman"/>
          <w:spacing w:val="-6"/>
          <w:sz w:val="18"/>
          <w:szCs w:val="18"/>
          <w:lang w:val="es-ES_tradnl"/>
        </w:rPr>
        <w:t>ú</w:t>
      </w:r>
      <w:r>
        <w:rPr>
          <w:spacing w:val="-6"/>
          <w:sz w:val="18"/>
          <w:szCs w:val="18"/>
          <w:lang w:val="es-ES_tradnl"/>
        </w:rPr>
        <w:t xml:space="preserve">blico, </w:t>
      </w:r>
      <w:r>
        <w:rPr>
          <w:spacing w:val="-7"/>
          <w:sz w:val="18"/>
          <w:szCs w:val="18"/>
          <w:lang w:val="es-ES_tradnl"/>
        </w:rPr>
        <w:t>en este caso del judicial, resoluciones o fallos motivados.</w:t>
      </w:r>
    </w:p>
    <w:p w14:paraId="4F67B90D" w14:textId="77777777" w:rsidR="00591D54" w:rsidRDefault="00591D54">
      <w:pPr>
        <w:shd w:val="clear" w:color="auto" w:fill="FFFFFF"/>
        <w:spacing w:before="197"/>
      </w:pPr>
      <w:r>
        <w:rPr>
          <w:b/>
          <w:bCs/>
          <w:spacing w:val="-10"/>
          <w:sz w:val="18"/>
          <w:szCs w:val="18"/>
          <w:lang w:val="es-ES_tradnl"/>
        </w:rPr>
        <w:t>Derecho a la defensa</w:t>
      </w:r>
    </w:p>
    <w:p w14:paraId="4F67B90E" w14:textId="77777777" w:rsidR="00591D54" w:rsidRDefault="00591D54">
      <w:pPr>
        <w:shd w:val="clear" w:color="auto" w:fill="FFFFFF"/>
        <w:spacing w:before="197" w:line="221" w:lineRule="exact"/>
        <w:jc w:val="both"/>
      </w:pPr>
      <w:r>
        <w:rPr>
          <w:spacing w:val="-8"/>
          <w:sz w:val="18"/>
          <w:szCs w:val="18"/>
          <w:lang w:val="es-ES_tradnl"/>
        </w:rPr>
        <w:t>El derecho a la defensa, a su vez, re</w:t>
      </w:r>
      <w:r>
        <w:rPr>
          <w:rFonts w:cs="Times New Roman"/>
          <w:spacing w:val="-8"/>
          <w:sz w:val="18"/>
          <w:szCs w:val="18"/>
          <w:lang w:val="es-ES_tradnl"/>
        </w:rPr>
        <w:t>ú</w:t>
      </w:r>
      <w:r>
        <w:rPr>
          <w:spacing w:val="-8"/>
          <w:sz w:val="18"/>
          <w:szCs w:val="18"/>
          <w:lang w:val="es-ES_tradnl"/>
        </w:rPr>
        <w:t>ne otras garant</w:t>
      </w:r>
      <w:r>
        <w:rPr>
          <w:rFonts w:cs="Times New Roman"/>
          <w:spacing w:val="-8"/>
          <w:sz w:val="18"/>
          <w:szCs w:val="18"/>
          <w:lang w:val="es-ES_tradnl"/>
        </w:rPr>
        <w:t>í</w:t>
      </w:r>
      <w:r>
        <w:rPr>
          <w:spacing w:val="-8"/>
          <w:sz w:val="18"/>
          <w:szCs w:val="18"/>
          <w:lang w:val="es-ES_tradnl"/>
        </w:rPr>
        <w:t xml:space="preserve">as </w:t>
      </w:r>
      <w:r>
        <w:rPr>
          <w:spacing w:val="-6"/>
          <w:sz w:val="18"/>
          <w:szCs w:val="18"/>
          <w:lang w:val="es-ES_tradnl"/>
        </w:rPr>
        <w:t>consideradas tambi</w:t>
      </w:r>
      <w:r>
        <w:rPr>
          <w:rFonts w:cs="Times New Roman"/>
          <w:spacing w:val="-6"/>
          <w:sz w:val="18"/>
          <w:szCs w:val="18"/>
          <w:lang w:val="es-ES_tradnl"/>
        </w:rPr>
        <w:t>é</w:t>
      </w:r>
      <w:r>
        <w:rPr>
          <w:spacing w:val="-6"/>
          <w:sz w:val="18"/>
          <w:szCs w:val="18"/>
          <w:lang w:val="es-ES_tradnl"/>
        </w:rPr>
        <w:t xml:space="preserve">n como parte del debido proceso, </w:t>
      </w:r>
      <w:r>
        <w:rPr>
          <w:spacing w:val="-8"/>
          <w:sz w:val="18"/>
          <w:szCs w:val="18"/>
          <w:lang w:val="es-ES_tradnl"/>
        </w:rPr>
        <w:t>mismas que se encuentran establecidas en la Constituci</w:t>
      </w:r>
      <w:r>
        <w:rPr>
          <w:rFonts w:cs="Times New Roman"/>
          <w:spacing w:val="-8"/>
          <w:sz w:val="18"/>
          <w:szCs w:val="18"/>
          <w:lang w:val="es-ES_tradnl"/>
        </w:rPr>
        <w:t>ó</w:t>
      </w:r>
      <w:r>
        <w:rPr>
          <w:spacing w:val="-8"/>
          <w:sz w:val="18"/>
          <w:szCs w:val="18"/>
          <w:lang w:val="es-ES_tradnl"/>
        </w:rPr>
        <w:t xml:space="preserve">n </w:t>
      </w:r>
      <w:r>
        <w:rPr>
          <w:sz w:val="18"/>
          <w:szCs w:val="18"/>
          <w:lang w:val="es-ES_tradnl"/>
        </w:rPr>
        <w:t>de la Rep</w:t>
      </w:r>
      <w:r>
        <w:rPr>
          <w:rFonts w:cs="Times New Roman"/>
          <w:sz w:val="18"/>
          <w:szCs w:val="18"/>
          <w:lang w:val="es-ES_tradnl"/>
        </w:rPr>
        <w:t>ú</w:t>
      </w:r>
      <w:r>
        <w:rPr>
          <w:sz w:val="18"/>
          <w:szCs w:val="18"/>
          <w:lang w:val="es-ES_tradnl"/>
        </w:rPr>
        <w:t>blica de la siguiente manera:</w:t>
      </w:r>
    </w:p>
    <w:p w14:paraId="4F67B90F" w14:textId="77777777" w:rsidR="00591D54" w:rsidRDefault="00591D54">
      <w:pPr>
        <w:shd w:val="clear" w:color="auto" w:fill="FFFFFF"/>
        <w:spacing w:before="202" w:line="221" w:lineRule="exact"/>
        <w:ind w:left="566" w:hanging="283"/>
        <w:jc w:val="both"/>
      </w:pPr>
      <w:r>
        <w:rPr>
          <w:spacing w:val="-2"/>
          <w:sz w:val="16"/>
          <w:szCs w:val="16"/>
          <w:lang w:val="es-ES_tradnl"/>
        </w:rPr>
        <w:t>7. El derecho de las personas a la defensa incluir</w:t>
      </w:r>
      <w:r>
        <w:rPr>
          <w:rFonts w:cs="Times New Roman"/>
          <w:spacing w:val="-2"/>
          <w:sz w:val="16"/>
          <w:szCs w:val="16"/>
          <w:lang w:val="es-ES_tradnl"/>
        </w:rPr>
        <w:t>á</w:t>
      </w:r>
      <w:r>
        <w:rPr>
          <w:spacing w:val="-2"/>
          <w:sz w:val="16"/>
          <w:szCs w:val="16"/>
          <w:lang w:val="es-ES_tradnl"/>
        </w:rPr>
        <w:t xml:space="preserve"> las </w:t>
      </w:r>
      <w:r>
        <w:rPr>
          <w:sz w:val="16"/>
          <w:szCs w:val="16"/>
          <w:lang w:val="es-ES_tradnl"/>
        </w:rPr>
        <w:t>siguientes garant</w:t>
      </w:r>
      <w:r>
        <w:rPr>
          <w:rFonts w:cs="Times New Roman"/>
          <w:sz w:val="16"/>
          <w:szCs w:val="16"/>
          <w:lang w:val="es-ES_tradnl"/>
        </w:rPr>
        <w:t>í</w:t>
      </w:r>
      <w:r>
        <w:rPr>
          <w:sz w:val="16"/>
          <w:szCs w:val="16"/>
          <w:lang w:val="es-ES_tradnl"/>
        </w:rPr>
        <w:t>as:</w:t>
      </w:r>
    </w:p>
    <w:p w14:paraId="4F67B910" w14:textId="77777777" w:rsidR="00591D54" w:rsidRDefault="00591D54">
      <w:pPr>
        <w:shd w:val="clear" w:color="auto" w:fill="FFFFFF"/>
        <w:spacing w:before="211" w:line="221" w:lineRule="exact"/>
        <w:ind w:left="566" w:hanging="283"/>
        <w:jc w:val="both"/>
      </w:pPr>
      <w:r>
        <w:rPr>
          <w:spacing w:val="-3"/>
          <w:sz w:val="16"/>
          <w:szCs w:val="16"/>
          <w:lang w:val="es-ES_tradnl"/>
        </w:rPr>
        <w:t>a) Nadie podr</w:t>
      </w:r>
      <w:r>
        <w:rPr>
          <w:rFonts w:cs="Times New Roman"/>
          <w:spacing w:val="-3"/>
          <w:sz w:val="16"/>
          <w:szCs w:val="16"/>
          <w:lang w:val="es-ES_tradnl"/>
        </w:rPr>
        <w:t>á</w:t>
      </w:r>
      <w:r>
        <w:rPr>
          <w:spacing w:val="-3"/>
          <w:sz w:val="16"/>
          <w:szCs w:val="16"/>
          <w:lang w:val="es-ES_tradnl"/>
        </w:rPr>
        <w:t xml:space="preserve"> ser privado del derecho a la defensa en </w:t>
      </w:r>
      <w:r>
        <w:rPr>
          <w:spacing w:val="-6"/>
          <w:sz w:val="16"/>
          <w:szCs w:val="16"/>
          <w:lang w:val="es-ES_tradnl"/>
        </w:rPr>
        <w:t>ninguna etapa o grado del procedimiento (</w:t>
      </w:r>
      <w:r>
        <w:rPr>
          <w:rFonts w:cs="Times New Roman"/>
          <w:spacing w:val="-6"/>
          <w:sz w:val="16"/>
          <w:szCs w:val="16"/>
          <w:lang w:val="es-ES_tradnl"/>
        </w:rPr>
        <w:t>…</w:t>
      </w:r>
      <w:r>
        <w:rPr>
          <w:spacing w:val="-6"/>
          <w:sz w:val="16"/>
          <w:szCs w:val="16"/>
          <w:lang w:val="es-ES_tradnl"/>
        </w:rPr>
        <w:t>)</w:t>
      </w:r>
    </w:p>
    <w:p w14:paraId="4F67B911" w14:textId="77777777" w:rsidR="00591D54" w:rsidRDefault="00591D54">
      <w:pPr>
        <w:shd w:val="clear" w:color="auto" w:fill="FFFFFF"/>
        <w:spacing w:before="211" w:line="216" w:lineRule="exact"/>
        <w:ind w:left="566" w:hanging="283"/>
        <w:jc w:val="both"/>
      </w:pPr>
      <w:r>
        <w:rPr>
          <w:spacing w:val="-5"/>
          <w:sz w:val="16"/>
          <w:szCs w:val="16"/>
          <w:lang w:val="es-ES_tradnl"/>
        </w:rPr>
        <w:t>l) Las resoluciones de los poderes p</w:t>
      </w:r>
      <w:r>
        <w:rPr>
          <w:rFonts w:cs="Times New Roman"/>
          <w:spacing w:val="-5"/>
          <w:sz w:val="16"/>
          <w:szCs w:val="16"/>
          <w:lang w:val="es-ES_tradnl"/>
        </w:rPr>
        <w:t>ú</w:t>
      </w:r>
      <w:r>
        <w:rPr>
          <w:spacing w:val="-5"/>
          <w:sz w:val="16"/>
          <w:szCs w:val="16"/>
          <w:lang w:val="es-ES_tradnl"/>
        </w:rPr>
        <w:t>blicos deber</w:t>
      </w:r>
      <w:r>
        <w:rPr>
          <w:rFonts w:cs="Times New Roman"/>
          <w:spacing w:val="-5"/>
          <w:sz w:val="16"/>
          <w:szCs w:val="16"/>
          <w:lang w:val="es-ES_tradnl"/>
        </w:rPr>
        <w:t>á</w:t>
      </w:r>
      <w:r>
        <w:rPr>
          <w:spacing w:val="-5"/>
          <w:sz w:val="16"/>
          <w:szCs w:val="16"/>
          <w:lang w:val="es-ES_tradnl"/>
        </w:rPr>
        <w:t xml:space="preserve">n ser </w:t>
      </w:r>
      <w:r>
        <w:rPr>
          <w:spacing w:val="-3"/>
          <w:sz w:val="16"/>
          <w:szCs w:val="16"/>
          <w:lang w:val="es-ES_tradnl"/>
        </w:rPr>
        <w:t>motivadas. No habr</w:t>
      </w:r>
      <w:r>
        <w:rPr>
          <w:rFonts w:cs="Times New Roman"/>
          <w:spacing w:val="-3"/>
          <w:sz w:val="16"/>
          <w:szCs w:val="16"/>
          <w:lang w:val="es-ES_tradnl"/>
        </w:rPr>
        <w:t>á</w:t>
      </w:r>
      <w:r>
        <w:rPr>
          <w:spacing w:val="-3"/>
          <w:sz w:val="16"/>
          <w:szCs w:val="16"/>
          <w:lang w:val="es-ES_tradnl"/>
        </w:rPr>
        <w:t xml:space="preserve"> motivaci</w:t>
      </w:r>
      <w:r>
        <w:rPr>
          <w:rFonts w:cs="Times New Roman"/>
          <w:spacing w:val="-3"/>
          <w:sz w:val="16"/>
          <w:szCs w:val="16"/>
          <w:lang w:val="es-ES_tradnl"/>
        </w:rPr>
        <w:t>ó</w:t>
      </w:r>
      <w:r>
        <w:rPr>
          <w:spacing w:val="-3"/>
          <w:sz w:val="16"/>
          <w:szCs w:val="16"/>
          <w:lang w:val="es-ES_tradnl"/>
        </w:rPr>
        <w:t>n si en la resoluci</w:t>
      </w:r>
      <w:r>
        <w:rPr>
          <w:rFonts w:cs="Times New Roman"/>
          <w:spacing w:val="-3"/>
          <w:sz w:val="16"/>
          <w:szCs w:val="16"/>
          <w:lang w:val="es-ES_tradnl"/>
        </w:rPr>
        <w:t>ó</w:t>
      </w:r>
      <w:r>
        <w:rPr>
          <w:spacing w:val="-3"/>
          <w:sz w:val="16"/>
          <w:szCs w:val="16"/>
          <w:lang w:val="es-ES_tradnl"/>
        </w:rPr>
        <w:t xml:space="preserve">n no </w:t>
      </w:r>
      <w:r>
        <w:rPr>
          <w:spacing w:val="-6"/>
          <w:sz w:val="16"/>
          <w:szCs w:val="16"/>
          <w:lang w:val="es-ES_tradnl"/>
        </w:rPr>
        <w:t>se enuncian las normas o principios jur</w:t>
      </w:r>
      <w:r>
        <w:rPr>
          <w:rFonts w:cs="Times New Roman"/>
          <w:spacing w:val="-6"/>
          <w:sz w:val="16"/>
          <w:szCs w:val="16"/>
          <w:lang w:val="es-ES_tradnl"/>
        </w:rPr>
        <w:t>í</w:t>
      </w:r>
      <w:r>
        <w:rPr>
          <w:spacing w:val="-6"/>
          <w:sz w:val="16"/>
          <w:szCs w:val="16"/>
          <w:lang w:val="es-ES_tradnl"/>
        </w:rPr>
        <w:t xml:space="preserve">dicos en que se </w:t>
      </w:r>
      <w:r>
        <w:rPr>
          <w:spacing w:val="-3"/>
          <w:sz w:val="16"/>
          <w:szCs w:val="16"/>
          <w:lang w:val="es-ES_tradnl"/>
        </w:rPr>
        <w:t>funda y no se explica la pertinencia de su aplicaci</w:t>
      </w:r>
      <w:r>
        <w:rPr>
          <w:rFonts w:cs="Times New Roman"/>
          <w:spacing w:val="-3"/>
          <w:sz w:val="16"/>
          <w:szCs w:val="16"/>
          <w:lang w:val="es-ES_tradnl"/>
        </w:rPr>
        <w:t>ó</w:t>
      </w:r>
      <w:r>
        <w:rPr>
          <w:spacing w:val="-3"/>
          <w:sz w:val="16"/>
          <w:szCs w:val="16"/>
          <w:lang w:val="es-ES_tradnl"/>
        </w:rPr>
        <w:t xml:space="preserve">n a </w:t>
      </w:r>
      <w:r>
        <w:rPr>
          <w:spacing w:val="-6"/>
          <w:sz w:val="16"/>
          <w:szCs w:val="16"/>
          <w:lang w:val="es-ES_tradnl"/>
        </w:rPr>
        <w:t xml:space="preserve">los antecedentes de hecho. Los actos administrativos, </w:t>
      </w:r>
      <w:r>
        <w:rPr>
          <w:spacing w:val="-7"/>
          <w:sz w:val="16"/>
          <w:szCs w:val="16"/>
          <w:lang w:val="es-ES_tradnl"/>
        </w:rPr>
        <w:t xml:space="preserve">resoluciones o fallos que no se encuentren debidamente </w:t>
      </w:r>
      <w:r>
        <w:rPr>
          <w:spacing w:val="-4"/>
          <w:sz w:val="16"/>
          <w:szCs w:val="16"/>
          <w:lang w:val="es-ES_tradnl"/>
        </w:rPr>
        <w:t>motivados se considerar</w:t>
      </w:r>
      <w:r>
        <w:rPr>
          <w:rFonts w:cs="Times New Roman"/>
          <w:spacing w:val="-4"/>
          <w:sz w:val="16"/>
          <w:szCs w:val="16"/>
          <w:lang w:val="es-ES_tradnl"/>
        </w:rPr>
        <w:t>á</w:t>
      </w:r>
      <w:r>
        <w:rPr>
          <w:spacing w:val="-4"/>
          <w:sz w:val="16"/>
          <w:szCs w:val="16"/>
          <w:lang w:val="es-ES_tradnl"/>
        </w:rPr>
        <w:t xml:space="preserve">n nulos. Las servidoras y </w:t>
      </w:r>
      <w:r>
        <w:rPr>
          <w:spacing w:val="-10"/>
          <w:sz w:val="16"/>
          <w:szCs w:val="16"/>
          <w:lang w:val="es-ES_tradnl"/>
        </w:rPr>
        <w:t>servidores responsables ser</w:t>
      </w:r>
      <w:r>
        <w:rPr>
          <w:rFonts w:cs="Times New Roman"/>
          <w:spacing w:val="-10"/>
          <w:sz w:val="16"/>
          <w:szCs w:val="16"/>
          <w:lang w:val="es-ES_tradnl"/>
        </w:rPr>
        <w:t>á</w:t>
      </w:r>
      <w:r>
        <w:rPr>
          <w:spacing w:val="-10"/>
          <w:sz w:val="16"/>
          <w:szCs w:val="16"/>
          <w:lang w:val="es-ES_tradnl"/>
        </w:rPr>
        <w:t>n sancionados.</w:t>
      </w:r>
      <w:r>
        <w:rPr>
          <w:spacing w:val="-10"/>
          <w:sz w:val="16"/>
          <w:szCs w:val="16"/>
          <w:vertAlign w:val="superscript"/>
          <w:lang w:val="es-ES_tradnl"/>
        </w:rPr>
        <w:t>1</w:t>
      </w:r>
    </w:p>
    <w:p w14:paraId="4F67B912" w14:textId="77777777" w:rsidR="00591D54" w:rsidRDefault="00591D54">
      <w:pPr>
        <w:shd w:val="clear" w:color="auto" w:fill="FFFFFF"/>
        <w:spacing w:before="202" w:line="221" w:lineRule="exact"/>
        <w:jc w:val="both"/>
      </w:pPr>
      <w:r>
        <w:rPr>
          <w:spacing w:val="-8"/>
          <w:sz w:val="18"/>
          <w:szCs w:val="18"/>
          <w:lang w:val="es-ES_tradnl"/>
        </w:rPr>
        <w:t xml:space="preserve">De aquellas, el derecho a la defensa como tal, tiene como </w:t>
      </w:r>
      <w:r>
        <w:rPr>
          <w:spacing w:val="-6"/>
          <w:sz w:val="18"/>
          <w:szCs w:val="18"/>
          <w:lang w:val="es-ES_tradnl"/>
        </w:rPr>
        <w:t xml:space="preserve">base la igualdad procesal de las partes ante el juzgador; </w:t>
      </w:r>
      <w:r>
        <w:rPr>
          <w:spacing w:val="-8"/>
          <w:sz w:val="18"/>
          <w:szCs w:val="18"/>
          <w:lang w:val="es-ES_tradnl"/>
        </w:rPr>
        <w:t xml:space="preserve">idea desarrollada por la Corte Constitucional en sentencias </w:t>
      </w:r>
      <w:r>
        <w:rPr>
          <w:spacing w:val="-3"/>
          <w:sz w:val="18"/>
          <w:szCs w:val="18"/>
          <w:lang w:val="es-ES_tradnl"/>
        </w:rPr>
        <w:t xml:space="preserve">anteriores: </w:t>
      </w:r>
      <w:r>
        <w:rPr>
          <w:rFonts w:cs="Times New Roman"/>
          <w:spacing w:val="-3"/>
          <w:sz w:val="18"/>
          <w:szCs w:val="18"/>
          <w:lang w:val="es-ES_tradnl"/>
        </w:rPr>
        <w:t>“</w:t>
      </w:r>
      <w:r>
        <w:rPr>
          <w:spacing w:val="-3"/>
          <w:sz w:val="18"/>
          <w:szCs w:val="18"/>
          <w:lang w:val="es-ES_tradnl"/>
        </w:rPr>
        <w:t>(</w:t>
      </w:r>
      <w:r>
        <w:rPr>
          <w:rFonts w:cs="Times New Roman"/>
          <w:spacing w:val="-3"/>
          <w:sz w:val="18"/>
          <w:szCs w:val="18"/>
          <w:lang w:val="es-ES_tradnl"/>
        </w:rPr>
        <w:t>…</w:t>
      </w:r>
      <w:r>
        <w:rPr>
          <w:spacing w:val="-3"/>
          <w:sz w:val="18"/>
          <w:szCs w:val="18"/>
          <w:lang w:val="es-ES_tradnl"/>
        </w:rPr>
        <w:t xml:space="preserve">) Se establece constitucionalmente el </w:t>
      </w:r>
      <w:r>
        <w:rPr>
          <w:spacing w:val="-9"/>
          <w:sz w:val="18"/>
          <w:szCs w:val="18"/>
          <w:lang w:val="es-ES_tradnl"/>
        </w:rPr>
        <w:t>derecho a la defensa de toda persona, y en tal sentido, todo</w:t>
      </w:r>
    </w:p>
    <w:p w14:paraId="4F67B913" w14:textId="77777777" w:rsidR="00591D54" w:rsidRDefault="00591D54">
      <w:pPr>
        <w:shd w:val="clear" w:color="auto" w:fill="FFFFFF"/>
        <w:spacing w:before="494"/>
      </w:pPr>
      <w:r>
        <w:rPr>
          <w:sz w:val="16"/>
          <w:szCs w:val="16"/>
          <w:vertAlign w:val="superscript"/>
          <w:lang w:val="es-ES_tradnl"/>
        </w:rPr>
        <w:t>1</w:t>
      </w:r>
      <w:r>
        <w:rPr>
          <w:sz w:val="16"/>
          <w:szCs w:val="16"/>
          <w:lang w:val="es-ES_tradnl"/>
        </w:rPr>
        <w:t xml:space="preserve">  </w:t>
      </w:r>
      <w:r>
        <w:rPr>
          <w:spacing w:val="-8"/>
          <w:sz w:val="16"/>
          <w:szCs w:val="16"/>
          <w:lang w:val="es-ES_tradnl"/>
        </w:rPr>
        <w:t>Constituci</w:t>
      </w:r>
      <w:r>
        <w:rPr>
          <w:rFonts w:cs="Times New Roman"/>
          <w:spacing w:val="-8"/>
          <w:sz w:val="16"/>
          <w:szCs w:val="16"/>
          <w:lang w:val="es-ES_tradnl"/>
        </w:rPr>
        <w:t>ó</w:t>
      </w:r>
      <w:r>
        <w:rPr>
          <w:spacing w:val="-8"/>
          <w:sz w:val="16"/>
          <w:szCs w:val="16"/>
          <w:lang w:val="es-ES_tradnl"/>
        </w:rPr>
        <w:t>n de la Rep</w:t>
      </w:r>
      <w:r>
        <w:rPr>
          <w:rFonts w:cs="Times New Roman"/>
          <w:spacing w:val="-8"/>
          <w:sz w:val="16"/>
          <w:szCs w:val="16"/>
          <w:lang w:val="es-ES_tradnl"/>
        </w:rPr>
        <w:t>ú</w:t>
      </w:r>
      <w:r>
        <w:rPr>
          <w:spacing w:val="-8"/>
          <w:sz w:val="16"/>
          <w:szCs w:val="16"/>
          <w:lang w:val="es-ES_tradnl"/>
        </w:rPr>
        <w:t xml:space="preserve">blica; Art. 75, numeral 7, literal </w:t>
      </w:r>
      <w:r>
        <w:rPr>
          <w:b/>
          <w:bCs/>
          <w:spacing w:val="-8"/>
          <w:sz w:val="16"/>
          <w:szCs w:val="16"/>
          <w:lang w:val="es-ES_tradnl"/>
        </w:rPr>
        <w:t xml:space="preserve">a </w:t>
      </w:r>
      <w:r>
        <w:rPr>
          <w:spacing w:val="-8"/>
          <w:sz w:val="16"/>
          <w:szCs w:val="16"/>
          <w:lang w:val="es-ES_tradnl"/>
        </w:rPr>
        <w:t xml:space="preserve">y </w:t>
      </w:r>
      <w:r>
        <w:rPr>
          <w:b/>
          <w:bCs/>
          <w:spacing w:val="-8"/>
          <w:sz w:val="16"/>
          <w:szCs w:val="16"/>
          <w:lang w:val="es-ES_tradnl"/>
        </w:rPr>
        <w:t>l</w:t>
      </w:r>
      <w:r>
        <w:rPr>
          <w:spacing w:val="-8"/>
          <w:sz w:val="16"/>
          <w:szCs w:val="16"/>
          <w:lang w:val="es-ES_tradnl"/>
        </w:rPr>
        <w:t>.</w:t>
      </w:r>
    </w:p>
    <w:p w14:paraId="4F67B914" w14:textId="77777777" w:rsidR="00591D54" w:rsidRDefault="00591D54">
      <w:pPr>
        <w:shd w:val="clear" w:color="auto" w:fill="FFFFFF"/>
        <w:spacing w:before="494"/>
        <w:sectPr w:rsidR="00591D54">
          <w:type w:val="continuous"/>
          <w:pgSz w:w="11909" w:h="16834"/>
          <w:pgMar w:top="1366" w:right="1309" w:bottom="360" w:left="1308" w:header="720" w:footer="720" w:gutter="0"/>
          <w:cols w:num="2" w:space="720" w:equalWidth="0">
            <w:col w:w="4305" w:space="682"/>
            <w:col w:w="4305"/>
          </w:cols>
          <w:noEndnote/>
        </w:sectPr>
      </w:pPr>
    </w:p>
    <w:p w14:paraId="4F67B915"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- 263</w:t>
      </w:r>
    </w:p>
    <w:p w14:paraId="4F67B916" w14:textId="77777777" w:rsidR="00591D54" w:rsidRDefault="00591D54">
      <w:pPr>
        <w:shd w:val="clear" w:color="auto" w:fill="FFFFFF"/>
        <w:tabs>
          <w:tab w:val="left" w:pos="5842"/>
        </w:tabs>
        <w:spacing w:after="235"/>
        <w:ind w:left="5"/>
        <w:sectPr w:rsidR="00591D54">
          <w:pgSz w:w="11909" w:h="16834"/>
          <w:pgMar w:top="1356" w:right="1304" w:bottom="360" w:left="1308" w:header="720" w:footer="720" w:gutter="0"/>
          <w:cols w:space="60"/>
          <w:noEndnote/>
        </w:sectPr>
      </w:pPr>
    </w:p>
    <w:p w14:paraId="4F67B917" w14:textId="77777777" w:rsidR="00591D54" w:rsidRDefault="00591D54">
      <w:pPr>
        <w:shd w:val="clear" w:color="auto" w:fill="FFFFFF"/>
        <w:spacing w:line="197" w:lineRule="exact"/>
        <w:jc w:val="both"/>
      </w:pPr>
      <w:r>
        <w:rPr>
          <w:spacing w:val="-4"/>
          <w:sz w:val="18"/>
          <w:szCs w:val="18"/>
          <w:lang w:val="es-ES_tradnl"/>
        </w:rPr>
        <w:t>tipo de actos que conlleven la privaci</w:t>
      </w:r>
      <w:r>
        <w:rPr>
          <w:rFonts w:cs="Times New Roman"/>
          <w:spacing w:val="-4"/>
          <w:sz w:val="18"/>
          <w:szCs w:val="18"/>
          <w:lang w:val="es-ES_tradnl"/>
        </w:rPr>
        <w:t>ó</w:t>
      </w:r>
      <w:r>
        <w:rPr>
          <w:spacing w:val="-4"/>
          <w:sz w:val="18"/>
          <w:szCs w:val="18"/>
          <w:lang w:val="es-ES_tradnl"/>
        </w:rPr>
        <w:t>n o limitaci</w:t>
      </w:r>
      <w:r>
        <w:rPr>
          <w:rFonts w:cs="Times New Roman"/>
          <w:spacing w:val="-4"/>
          <w:sz w:val="18"/>
          <w:szCs w:val="18"/>
          <w:lang w:val="es-ES_tradnl"/>
        </w:rPr>
        <w:t>ó</w:t>
      </w:r>
      <w:r>
        <w:rPr>
          <w:spacing w:val="-4"/>
          <w:sz w:val="18"/>
          <w:szCs w:val="18"/>
          <w:lang w:val="es-ES_tradnl"/>
        </w:rPr>
        <w:t xml:space="preserve">n del </w:t>
      </w:r>
      <w:r>
        <w:rPr>
          <w:spacing w:val="-7"/>
          <w:sz w:val="18"/>
          <w:szCs w:val="18"/>
          <w:lang w:val="es-ES_tradnl"/>
        </w:rPr>
        <w:t>referido derecho producir</w:t>
      </w:r>
      <w:r>
        <w:rPr>
          <w:rFonts w:cs="Times New Roman"/>
          <w:spacing w:val="-7"/>
          <w:sz w:val="18"/>
          <w:szCs w:val="18"/>
          <w:lang w:val="es-ES_tradnl"/>
        </w:rPr>
        <w:t>á</w:t>
      </w:r>
      <w:r>
        <w:rPr>
          <w:spacing w:val="-7"/>
          <w:sz w:val="18"/>
          <w:szCs w:val="18"/>
          <w:lang w:val="es-ES_tradnl"/>
        </w:rPr>
        <w:t xml:space="preserve"> en </w:t>
      </w:r>
      <w:r>
        <w:rPr>
          <w:rFonts w:cs="Times New Roman"/>
          <w:spacing w:val="-7"/>
          <w:sz w:val="18"/>
          <w:szCs w:val="18"/>
          <w:lang w:val="es-ES_tradnl"/>
        </w:rPr>
        <w:t>ú</w:t>
      </w:r>
      <w:r>
        <w:rPr>
          <w:spacing w:val="-7"/>
          <w:sz w:val="18"/>
          <w:szCs w:val="18"/>
          <w:lang w:val="es-ES_tradnl"/>
        </w:rPr>
        <w:t>ltima instancia, indefensi</w:t>
      </w:r>
      <w:r>
        <w:rPr>
          <w:rFonts w:cs="Times New Roman"/>
          <w:spacing w:val="-7"/>
          <w:sz w:val="18"/>
          <w:szCs w:val="18"/>
          <w:lang w:val="es-ES_tradnl"/>
        </w:rPr>
        <w:t>ó</w:t>
      </w:r>
      <w:r>
        <w:rPr>
          <w:spacing w:val="-7"/>
          <w:sz w:val="18"/>
          <w:szCs w:val="18"/>
          <w:lang w:val="es-ES_tradnl"/>
        </w:rPr>
        <w:t xml:space="preserve">n </w:t>
      </w:r>
      <w:r>
        <w:rPr>
          <w:sz w:val="18"/>
          <w:szCs w:val="18"/>
          <w:lang w:val="es-ES_tradnl"/>
        </w:rPr>
        <w:t>(</w:t>
      </w:r>
      <w:r>
        <w:rPr>
          <w:rFonts w:cs="Times New Roman"/>
          <w:sz w:val="18"/>
          <w:szCs w:val="18"/>
          <w:lang w:val="es-ES_tradnl"/>
        </w:rPr>
        <w:t>…</w:t>
      </w:r>
      <w:r>
        <w:rPr>
          <w:sz w:val="18"/>
          <w:szCs w:val="18"/>
          <w:lang w:val="es-ES_tradnl"/>
        </w:rPr>
        <w:t>)</w:t>
      </w:r>
      <w:r>
        <w:rPr>
          <w:rFonts w:cs="Times New Roman"/>
          <w:sz w:val="18"/>
          <w:szCs w:val="18"/>
          <w:lang w:val="es-ES_tradnl"/>
        </w:rPr>
        <w:t>”</w:t>
      </w:r>
      <w:r>
        <w:rPr>
          <w:sz w:val="18"/>
          <w:szCs w:val="18"/>
          <w:vertAlign w:val="superscript"/>
          <w:lang w:val="es-ES_tradnl"/>
        </w:rPr>
        <w:t>2</w:t>
      </w:r>
      <w:r>
        <w:rPr>
          <w:sz w:val="18"/>
          <w:szCs w:val="18"/>
          <w:lang w:val="es-ES_tradnl"/>
        </w:rPr>
        <w:t>.</w:t>
      </w:r>
    </w:p>
    <w:p w14:paraId="4F67B918" w14:textId="77777777" w:rsidR="00591D54" w:rsidRDefault="00591D54">
      <w:pPr>
        <w:shd w:val="clear" w:color="auto" w:fill="FFFFFF"/>
        <w:spacing w:before="197" w:line="216" w:lineRule="exact"/>
        <w:ind w:right="5"/>
        <w:jc w:val="both"/>
      </w:pPr>
      <w:r>
        <w:rPr>
          <w:spacing w:val="-3"/>
          <w:sz w:val="18"/>
          <w:szCs w:val="18"/>
          <w:lang w:val="es-ES_tradnl"/>
        </w:rPr>
        <w:t xml:space="preserve">Para el legitimado activo, la sentencia dictada por la </w:t>
      </w:r>
      <w:r>
        <w:rPr>
          <w:spacing w:val="-6"/>
          <w:sz w:val="18"/>
          <w:szCs w:val="18"/>
          <w:lang w:val="es-ES_tradnl"/>
        </w:rPr>
        <w:t xml:space="preserve">Segunda Sala de lo Civil, Mercantil, Inquilinato y Materias </w:t>
      </w:r>
      <w:r>
        <w:rPr>
          <w:spacing w:val="-7"/>
          <w:sz w:val="18"/>
          <w:szCs w:val="18"/>
          <w:lang w:val="es-ES_tradnl"/>
        </w:rPr>
        <w:t>Residuales de la Corte Provincial de Justicia de Pichincha, vulner</w:t>
      </w:r>
      <w:r>
        <w:rPr>
          <w:rFonts w:cs="Times New Roman"/>
          <w:spacing w:val="-7"/>
          <w:sz w:val="18"/>
          <w:szCs w:val="18"/>
          <w:lang w:val="es-ES_tradnl"/>
        </w:rPr>
        <w:t>ó</w:t>
      </w:r>
      <w:r>
        <w:rPr>
          <w:spacing w:val="-7"/>
          <w:sz w:val="18"/>
          <w:szCs w:val="18"/>
          <w:lang w:val="es-ES_tradnl"/>
        </w:rPr>
        <w:t xml:space="preserve"> esta garant</w:t>
      </w:r>
      <w:r>
        <w:rPr>
          <w:rFonts w:cs="Times New Roman"/>
          <w:spacing w:val="-7"/>
          <w:sz w:val="18"/>
          <w:szCs w:val="18"/>
          <w:lang w:val="es-ES_tradnl"/>
        </w:rPr>
        <w:t>í</w:t>
      </w:r>
      <w:r>
        <w:rPr>
          <w:spacing w:val="-7"/>
          <w:sz w:val="18"/>
          <w:szCs w:val="18"/>
          <w:lang w:val="es-ES_tradnl"/>
        </w:rPr>
        <w:t>a y dej</w:t>
      </w:r>
      <w:r>
        <w:rPr>
          <w:rFonts w:cs="Times New Roman"/>
          <w:spacing w:val="-7"/>
          <w:sz w:val="18"/>
          <w:szCs w:val="18"/>
          <w:lang w:val="es-ES_tradnl"/>
        </w:rPr>
        <w:t>ó</w:t>
      </w:r>
      <w:r>
        <w:rPr>
          <w:spacing w:val="-7"/>
          <w:sz w:val="18"/>
          <w:szCs w:val="18"/>
          <w:lang w:val="es-ES_tradnl"/>
        </w:rPr>
        <w:t xml:space="preserve"> en indefensi</w:t>
      </w:r>
      <w:r>
        <w:rPr>
          <w:rFonts w:cs="Times New Roman"/>
          <w:spacing w:val="-7"/>
          <w:sz w:val="18"/>
          <w:szCs w:val="18"/>
          <w:lang w:val="es-ES_tradnl"/>
        </w:rPr>
        <w:t>ó</w:t>
      </w:r>
      <w:r>
        <w:rPr>
          <w:spacing w:val="-7"/>
          <w:sz w:val="18"/>
          <w:szCs w:val="18"/>
          <w:lang w:val="es-ES_tradnl"/>
        </w:rPr>
        <w:t>n a la instituci</w:t>
      </w:r>
      <w:r>
        <w:rPr>
          <w:rFonts w:cs="Times New Roman"/>
          <w:spacing w:val="-7"/>
          <w:sz w:val="18"/>
          <w:szCs w:val="18"/>
          <w:lang w:val="es-ES_tradnl"/>
        </w:rPr>
        <w:t>ó</w:t>
      </w:r>
      <w:r>
        <w:rPr>
          <w:spacing w:val="-7"/>
          <w:sz w:val="18"/>
          <w:szCs w:val="18"/>
          <w:lang w:val="es-ES_tradnl"/>
        </w:rPr>
        <w:t xml:space="preserve">n por la cual comparece, toda vez que considera que en el </w:t>
      </w:r>
      <w:r>
        <w:rPr>
          <w:spacing w:val="-5"/>
          <w:sz w:val="18"/>
          <w:szCs w:val="18"/>
          <w:lang w:val="es-ES_tradnl"/>
        </w:rPr>
        <w:t xml:space="preserve">fallo impugnado </w:t>
      </w:r>
      <w:r>
        <w:rPr>
          <w:rFonts w:cs="Times New Roman"/>
          <w:spacing w:val="-5"/>
          <w:sz w:val="18"/>
          <w:szCs w:val="18"/>
          <w:lang w:val="es-ES_tradnl"/>
        </w:rPr>
        <w:t>“</w:t>
      </w:r>
      <w:r>
        <w:rPr>
          <w:spacing w:val="-5"/>
          <w:sz w:val="18"/>
          <w:szCs w:val="18"/>
          <w:lang w:val="es-ES_tradnl"/>
        </w:rPr>
        <w:t>(</w:t>
      </w:r>
      <w:r>
        <w:rPr>
          <w:rFonts w:cs="Times New Roman"/>
          <w:spacing w:val="-5"/>
          <w:sz w:val="18"/>
          <w:szCs w:val="18"/>
          <w:lang w:val="es-ES_tradnl"/>
        </w:rPr>
        <w:t>…</w:t>
      </w:r>
      <w:r>
        <w:rPr>
          <w:spacing w:val="-5"/>
          <w:sz w:val="18"/>
          <w:szCs w:val="18"/>
          <w:lang w:val="es-ES_tradnl"/>
        </w:rPr>
        <w:t xml:space="preserve">) no se dice absolutamente nada de </w:t>
      </w:r>
      <w:r>
        <w:rPr>
          <w:spacing w:val="-8"/>
          <w:sz w:val="18"/>
          <w:szCs w:val="18"/>
          <w:lang w:val="es-ES_tradnl"/>
        </w:rPr>
        <w:t xml:space="preserve">las alegaciones y excepciones planteadas en la Audiencia </w:t>
      </w:r>
      <w:r>
        <w:rPr>
          <w:sz w:val="18"/>
          <w:szCs w:val="18"/>
          <w:lang w:val="es-ES_tradnl"/>
        </w:rPr>
        <w:t>P</w:t>
      </w:r>
      <w:r>
        <w:rPr>
          <w:rFonts w:cs="Times New Roman"/>
          <w:sz w:val="18"/>
          <w:szCs w:val="18"/>
          <w:lang w:val="es-ES_tradnl"/>
        </w:rPr>
        <w:t>ú</w:t>
      </w:r>
      <w:r>
        <w:rPr>
          <w:sz w:val="18"/>
          <w:szCs w:val="18"/>
          <w:lang w:val="es-ES_tradnl"/>
        </w:rPr>
        <w:t>blica por la Polic</w:t>
      </w:r>
      <w:r>
        <w:rPr>
          <w:rFonts w:cs="Times New Roman"/>
          <w:sz w:val="18"/>
          <w:szCs w:val="18"/>
          <w:lang w:val="es-ES_tradnl"/>
        </w:rPr>
        <w:t>í</w:t>
      </w:r>
      <w:r>
        <w:rPr>
          <w:sz w:val="18"/>
          <w:szCs w:val="18"/>
          <w:lang w:val="es-ES_tradnl"/>
        </w:rPr>
        <w:t>a Nacional (</w:t>
      </w:r>
      <w:r>
        <w:rPr>
          <w:rFonts w:cs="Times New Roman"/>
          <w:sz w:val="18"/>
          <w:szCs w:val="18"/>
          <w:lang w:val="es-ES_tradnl"/>
        </w:rPr>
        <w:t>…</w:t>
      </w:r>
      <w:r>
        <w:rPr>
          <w:sz w:val="18"/>
          <w:szCs w:val="18"/>
          <w:lang w:val="es-ES_tradnl"/>
        </w:rPr>
        <w:t>)</w:t>
      </w:r>
      <w:r>
        <w:rPr>
          <w:rFonts w:cs="Times New Roman"/>
          <w:sz w:val="18"/>
          <w:szCs w:val="18"/>
          <w:lang w:val="es-ES_tradnl"/>
        </w:rPr>
        <w:t>”</w:t>
      </w:r>
      <w:r>
        <w:rPr>
          <w:sz w:val="18"/>
          <w:szCs w:val="18"/>
          <w:lang w:val="es-ES_tradnl"/>
        </w:rPr>
        <w:t>.</w:t>
      </w:r>
    </w:p>
    <w:p w14:paraId="4F67B919" w14:textId="77777777" w:rsidR="00591D54" w:rsidRDefault="00591D54">
      <w:pPr>
        <w:shd w:val="clear" w:color="auto" w:fill="FFFFFF"/>
        <w:spacing w:before="197" w:line="216" w:lineRule="exact"/>
        <w:jc w:val="both"/>
      </w:pPr>
      <w:r>
        <w:rPr>
          <w:spacing w:val="-6"/>
          <w:sz w:val="18"/>
          <w:szCs w:val="18"/>
          <w:lang w:val="es-ES_tradnl"/>
        </w:rPr>
        <w:t>De la revisi</w:t>
      </w:r>
      <w:r>
        <w:rPr>
          <w:rFonts w:cs="Times New Roman"/>
          <w:spacing w:val="-6"/>
          <w:sz w:val="18"/>
          <w:szCs w:val="18"/>
          <w:lang w:val="es-ES_tradnl"/>
        </w:rPr>
        <w:t>ó</w:t>
      </w:r>
      <w:r>
        <w:rPr>
          <w:spacing w:val="-6"/>
          <w:sz w:val="18"/>
          <w:szCs w:val="18"/>
          <w:lang w:val="es-ES_tradnl"/>
        </w:rPr>
        <w:t xml:space="preserve">n de la sentencia se puede verificar que el </w:t>
      </w:r>
      <w:r>
        <w:rPr>
          <w:spacing w:val="-2"/>
          <w:sz w:val="18"/>
          <w:szCs w:val="18"/>
          <w:lang w:val="es-ES_tradnl"/>
        </w:rPr>
        <w:t xml:space="preserve">tribunal </w:t>
      </w:r>
      <w:r>
        <w:rPr>
          <w:i/>
          <w:iCs/>
          <w:spacing w:val="-2"/>
          <w:sz w:val="18"/>
          <w:szCs w:val="18"/>
          <w:lang w:val="es-ES_tradnl"/>
        </w:rPr>
        <w:t xml:space="preserve">ad quem </w:t>
      </w:r>
      <w:r>
        <w:rPr>
          <w:spacing w:val="-2"/>
          <w:sz w:val="18"/>
          <w:szCs w:val="18"/>
          <w:lang w:val="es-ES_tradnl"/>
        </w:rPr>
        <w:t xml:space="preserve">en el considerando primero del fallo, </w:t>
      </w:r>
      <w:r>
        <w:rPr>
          <w:spacing w:val="-7"/>
          <w:sz w:val="18"/>
          <w:szCs w:val="18"/>
          <w:lang w:val="es-ES_tradnl"/>
        </w:rPr>
        <w:t>refiere la exposici</w:t>
      </w:r>
      <w:r>
        <w:rPr>
          <w:rFonts w:cs="Times New Roman"/>
          <w:spacing w:val="-7"/>
          <w:sz w:val="18"/>
          <w:szCs w:val="18"/>
          <w:lang w:val="es-ES_tradnl"/>
        </w:rPr>
        <w:t>ó</w:t>
      </w:r>
      <w:r>
        <w:rPr>
          <w:spacing w:val="-7"/>
          <w:sz w:val="18"/>
          <w:szCs w:val="18"/>
          <w:lang w:val="es-ES_tradnl"/>
        </w:rPr>
        <w:t xml:space="preserve">n verbal realizada por el representante </w:t>
      </w:r>
      <w:r>
        <w:rPr>
          <w:spacing w:val="-4"/>
          <w:sz w:val="18"/>
          <w:szCs w:val="18"/>
          <w:lang w:val="es-ES_tradnl"/>
        </w:rPr>
        <w:t>de la Polic</w:t>
      </w:r>
      <w:r>
        <w:rPr>
          <w:rFonts w:cs="Times New Roman"/>
          <w:spacing w:val="-4"/>
          <w:sz w:val="18"/>
          <w:szCs w:val="18"/>
          <w:lang w:val="es-ES_tradnl"/>
        </w:rPr>
        <w:t>í</w:t>
      </w:r>
      <w:r>
        <w:rPr>
          <w:spacing w:val="-4"/>
          <w:sz w:val="18"/>
          <w:szCs w:val="18"/>
          <w:lang w:val="es-ES_tradnl"/>
        </w:rPr>
        <w:t>a Nacional, en lo principal, en relaci</w:t>
      </w:r>
      <w:r>
        <w:rPr>
          <w:rFonts w:cs="Times New Roman"/>
          <w:spacing w:val="-4"/>
          <w:sz w:val="18"/>
          <w:szCs w:val="18"/>
          <w:lang w:val="es-ES_tradnl"/>
        </w:rPr>
        <w:t>ó</w:t>
      </w:r>
      <w:r>
        <w:rPr>
          <w:spacing w:val="-4"/>
          <w:sz w:val="18"/>
          <w:szCs w:val="18"/>
          <w:lang w:val="es-ES_tradnl"/>
        </w:rPr>
        <w:t xml:space="preserve">n a las </w:t>
      </w:r>
      <w:r>
        <w:rPr>
          <w:spacing w:val="-8"/>
          <w:sz w:val="18"/>
          <w:szCs w:val="18"/>
          <w:lang w:val="es-ES_tradnl"/>
        </w:rPr>
        <w:t>resoluciones emitidas por el Consejo de Clases y Polic</w:t>
      </w:r>
      <w:r>
        <w:rPr>
          <w:rFonts w:cs="Times New Roman"/>
          <w:spacing w:val="-8"/>
          <w:sz w:val="18"/>
          <w:szCs w:val="18"/>
          <w:lang w:val="es-ES_tradnl"/>
        </w:rPr>
        <w:t>í</w:t>
      </w:r>
      <w:r>
        <w:rPr>
          <w:spacing w:val="-8"/>
          <w:sz w:val="18"/>
          <w:szCs w:val="18"/>
          <w:lang w:val="es-ES_tradnl"/>
        </w:rPr>
        <w:t xml:space="preserve">as, </w:t>
      </w:r>
      <w:r>
        <w:rPr>
          <w:spacing w:val="-1"/>
          <w:sz w:val="18"/>
          <w:szCs w:val="18"/>
          <w:lang w:val="es-ES_tradnl"/>
        </w:rPr>
        <w:t>mediante las cuales se califica como no id</w:t>
      </w:r>
      <w:r>
        <w:rPr>
          <w:rFonts w:cs="Times New Roman"/>
          <w:spacing w:val="-1"/>
          <w:sz w:val="18"/>
          <w:szCs w:val="18"/>
          <w:lang w:val="es-ES_tradnl"/>
        </w:rPr>
        <w:t>ó</w:t>
      </w:r>
      <w:r>
        <w:rPr>
          <w:spacing w:val="-1"/>
          <w:sz w:val="18"/>
          <w:szCs w:val="18"/>
          <w:lang w:val="es-ES_tradnl"/>
        </w:rPr>
        <w:t xml:space="preserve">nea a la </w:t>
      </w:r>
      <w:r>
        <w:rPr>
          <w:spacing w:val="-7"/>
          <w:sz w:val="18"/>
          <w:szCs w:val="18"/>
          <w:lang w:val="es-ES_tradnl"/>
        </w:rPr>
        <w:t>suboficial primera de polic</w:t>
      </w:r>
      <w:r>
        <w:rPr>
          <w:rFonts w:cs="Times New Roman"/>
          <w:spacing w:val="-7"/>
          <w:sz w:val="18"/>
          <w:szCs w:val="18"/>
          <w:lang w:val="es-ES_tradnl"/>
        </w:rPr>
        <w:t>í</w:t>
      </w:r>
      <w:r>
        <w:rPr>
          <w:spacing w:val="-7"/>
          <w:sz w:val="18"/>
          <w:szCs w:val="18"/>
          <w:lang w:val="es-ES_tradnl"/>
        </w:rPr>
        <w:t>a Leny Mar</w:t>
      </w:r>
      <w:r>
        <w:rPr>
          <w:rFonts w:cs="Times New Roman"/>
          <w:spacing w:val="-7"/>
          <w:sz w:val="18"/>
          <w:szCs w:val="18"/>
          <w:lang w:val="es-ES_tradnl"/>
        </w:rPr>
        <w:t>í</w:t>
      </w:r>
      <w:r>
        <w:rPr>
          <w:spacing w:val="-7"/>
          <w:sz w:val="18"/>
          <w:szCs w:val="18"/>
          <w:lang w:val="es-ES_tradnl"/>
        </w:rPr>
        <w:t>a Evigenia G</w:t>
      </w:r>
      <w:r>
        <w:rPr>
          <w:rFonts w:cs="Times New Roman"/>
          <w:spacing w:val="-7"/>
          <w:sz w:val="18"/>
          <w:szCs w:val="18"/>
          <w:lang w:val="es-ES_tradnl"/>
        </w:rPr>
        <w:t>ó</w:t>
      </w:r>
      <w:r>
        <w:rPr>
          <w:spacing w:val="-7"/>
          <w:sz w:val="18"/>
          <w:szCs w:val="18"/>
          <w:lang w:val="es-ES_tradnl"/>
        </w:rPr>
        <w:t xml:space="preserve">mez, </w:t>
      </w:r>
      <w:r>
        <w:rPr>
          <w:rFonts w:cs="Times New Roman"/>
          <w:spacing w:val="-5"/>
          <w:sz w:val="18"/>
          <w:szCs w:val="18"/>
          <w:lang w:val="es-ES_tradnl"/>
        </w:rPr>
        <w:t>“</w:t>
      </w:r>
      <w:r>
        <w:rPr>
          <w:spacing w:val="-5"/>
          <w:sz w:val="18"/>
          <w:szCs w:val="18"/>
          <w:lang w:val="es-ES_tradnl"/>
        </w:rPr>
        <w:t>(</w:t>
      </w:r>
      <w:r>
        <w:rPr>
          <w:rFonts w:cs="Times New Roman"/>
          <w:spacing w:val="-5"/>
          <w:sz w:val="18"/>
          <w:szCs w:val="18"/>
          <w:lang w:val="es-ES_tradnl"/>
        </w:rPr>
        <w:t>…</w:t>
      </w:r>
      <w:r>
        <w:rPr>
          <w:spacing w:val="-5"/>
          <w:sz w:val="18"/>
          <w:szCs w:val="18"/>
          <w:lang w:val="es-ES_tradnl"/>
        </w:rPr>
        <w:t>) por no haber alcanzado el puntaje m</w:t>
      </w:r>
      <w:r>
        <w:rPr>
          <w:rFonts w:cs="Times New Roman"/>
          <w:spacing w:val="-5"/>
          <w:sz w:val="18"/>
          <w:szCs w:val="18"/>
          <w:lang w:val="es-ES_tradnl"/>
        </w:rPr>
        <w:t>í</w:t>
      </w:r>
      <w:r>
        <w:rPr>
          <w:spacing w:val="-5"/>
          <w:sz w:val="18"/>
          <w:szCs w:val="18"/>
          <w:lang w:val="es-ES_tradnl"/>
        </w:rPr>
        <w:t xml:space="preserve">nimo de 16.00 </w:t>
      </w:r>
      <w:r>
        <w:rPr>
          <w:spacing w:val="-7"/>
          <w:sz w:val="18"/>
          <w:szCs w:val="18"/>
          <w:lang w:val="es-ES_tradnl"/>
        </w:rPr>
        <w:t>y no haber sido ubicada en las listas 1 y 2 de clasificaci</w:t>
      </w:r>
      <w:r>
        <w:rPr>
          <w:rFonts w:cs="Times New Roman"/>
          <w:spacing w:val="-7"/>
          <w:sz w:val="18"/>
          <w:szCs w:val="18"/>
          <w:lang w:val="es-ES_tradnl"/>
        </w:rPr>
        <w:t>ó</w:t>
      </w:r>
      <w:r>
        <w:rPr>
          <w:spacing w:val="-7"/>
          <w:sz w:val="18"/>
          <w:szCs w:val="18"/>
          <w:lang w:val="es-ES_tradnl"/>
        </w:rPr>
        <w:t xml:space="preserve">n </w:t>
      </w:r>
      <w:r>
        <w:rPr>
          <w:spacing w:val="-5"/>
          <w:sz w:val="18"/>
          <w:szCs w:val="18"/>
          <w:lang w:val="es-ES_tradnl"/>
        </w:rPr>
        <w:t>(</w:t>
      </w:r>
      <w:r>
        <w:rPr>
          <w:rFonts w:cs="Times New Roman"/>
          <w:spacing w:val="-5"/>
          <w:sz w:val="18"/>
          <w:szCs w:val="18"/>
          <w:lang w:val="es-ES_tradnl"/>
        </w:rPr>
        <w:t>…</w:t>
      </w:r>
      <w:r>
        <w:rPr>
          <w:spacing w:val="-5"/>
          <w:sz w:val="18"/>
          <w:szCs w:val="18"/>
          <w:lang w:val="es-ES_tradnl"/>
        </w:rPr>
        <w:t>)</w:t>
      </w:r>
      <w:r>
        <w:rPr>
          <w:rFonts w:cs="Times New Roman"/>
          <w:spacing w:val="-5"/>
          <w:sz w:val="18"/>
          <w:szCs w:val="18"/>
          <w:lang w:val="es-ES_tradnl"/>
        </w:rPr>
        <w:t>”</w:t>
      </w:r>
      <w:r>
        <w:rPr>
          <w:spacing w:val="-5"/>
          <w:sz w:val="18"/>
          <w:szCs w:val="18"/>
          <w:lang w:val="es-ES_tradnl"/>
        </w:rPr>
        <w:t xml:space="preserve"> y, debido a que por su propia solicitud:</w:t>
      </w:r>
    </w:p>
    <w:p w14:paraId="4F67B91A" w14:textId="77777777" w:rsidR="00591D54" w:rsidRDefault="00591D54">
      <w:pPr>
        <w:shd w:val="clear" w:color="auto" w:fill="FFFFFF"/>
        <w:spacing w:before="202" w:line="216" w:lineRule="exact"/>
        <w:ind w:left="283" w:right="5"/>
        <w:jc w:val="both"/>
      </w:pPr>
      <w:r>
        <w:rPr>
          <w:sz w:val="14"/>
          <w:szCs w:val="14"/>
          <w:lang w:val="es-ES_tradnl"/>
        </w:rPr>
        <w:t>(</w:t>
      </w:r>
      <w:r>
        <w:rPr>
          <w:rFonts w:cs="Times New Roman"/>
          <w:sz w:val="14"/>
          <w:szCs w:val="14"/>
          <w:lang w:val="es-ES_tradnl"/>
        </w:rPr>
        <w:t>…</w:t>
      </w:r>
      <w:r>
        <w:rPr>
          <w:sz w:val="14"/>
          <w:szCs w:val="14"/>
          <w:lang w:val="es-ES_tradnl"/>
        </w:rPr>
        <w:t>) Ha sido puesta en TRANSITORIA figura solicitada por la misma se</w:t>
      </w:r>
      <w:r>
        <w:rPr>
          <w:rFonts w:cs="Times New Roman"/>
          <w:sz w:val="14"/>
          <w:szCs w:val="14"/>
          <w:lang w:val="es-ES_tradnl"/>
        </w:rPr>
        <w:t>ñ</w:t>
      </w:r>
      <w:r>
        <w:rPr>
          <w:sz w:val="14"/>
          <w:szCs w:val="14"/>
          <w:lang w:val="es-ES_tradnl"/>
        </w:rPr>
        <w:t>ora accionante en forma VOLUNTARIA para luego ser dada de baja</w:t>
      </w:r>
      <w:r>
        <w:rPr>
          <w:rFonts w:cs="Times New Roman"/>
          <w:sz w:val="14"/>
          <w:szCs w:val="14"/>
          <w:lang w:val="es-ES_tradnl"/>
        </w:rPr>
        <w:t>”</w:t>
      </w:r>
      <w:r>
        <w:rPr>
          <w:sz w:val="14"/>
          <w:szCs w:val="14"/>
          <w:lang w:val="es-ES_tradnl"/>
        </w:rPr>
        <w:t>; que hubo descuido de la parte accionante porque de considerar que estaban siendo afectados sus intereses debi</w:t>
      </w:r>
      <w:r>
        <w:rPr>
          <w:rFonts w:cs="Times New Roman"/>
          <w:sz w:val="14"/>
          <w:szCs w:val="14"/>
          <w:lang w:val="es-ES_tradnl"/>
        </w:rPr>
        <w:t>ó</w:t>
      </w:r>
      <w:r>
        <w:rPr>
          <w:sz w:val="14"/>
          <w:szCs w:val="14"/>
          <w:lang w:val="es-ES_tradnl"/>
        </w:rPr>
        <w:t xml:space="preserve"> apelar o en su defecto pedir la reconsideraci</w:t>
      </w:r>
      <w:r>
        <w:rPr>
          <w:rFonts w:cs="Times New Roman"/>
          <w:sz w:val="14"/>
          <w:szCs w:val="14"/>
          <w:lang w:val="es-ES_tradnl"/>
        </w:rPr>
        <w:t>ó</w:t>
      </w:r>
      <w:r>
        <w:rPr>
          <w:sz w:val="14"/>
          <w:szCs w:val="14"/>
          <w:lang w:val="es-ES_tradnl"/>
        </w:rPr>
        <w:t>n, por lo que no agot</w:t>
      </w:r>
      <w:r>
        <w:rPr>
          <w:rFonts w:cs="Times New Roman"/>
          <w:sz w:val="14"/>
          <w:szCs w:val="14"/>
          <w:lang w:val="es-ES_tradnl"/>
        </w:rPr>
        <w:t>ó</w:t>
      </w:r>
      <w:r>
        <w:rPr>
          <w:sz w:val="14"/>
          <w:szCs w:val="14"/>
          <w:lang w:val="es-ES_tradnl"/>
        </w:rPr>
        <w:t xml:space="preserve"> el tr</w:t>
      </w:r>
      <w:r>
        <w:rPr>
          <w:rFonts w:cs="Times New Roman"/>
          <w:sz w:val="14"/>
          <w:szCs w:val="14"/>
          <w:lang w:val="es-ES_tradnl"/>
        </w:rPr>
        <w:t>á</w:t>
      </w:r>
      <w:r>
        <w:rPr>
          <w:sz w:val="14"/>
          <w:szCs w:val="14"/>
          <w:lang w:val="es-ES_tradnl"/>
        </w:rPr>
        <w:t>mite a trav</w:t>
      </w:r>
      <w:r>
        <w:rPr>
          <w:rFonts w:cs="Times New Roman"/>
          <w:sz w:val="14"/>
          <w:szCs w:val="14"/>
          <w:lang w:val="es-ES_tradnl"/>
        </w:rPr>
        <w:t>é</w:t>
      </w:r>
      <w:r>
        <w:rPr>
          <w:sz w:val="14"/>
          <w:szCs w:val="14"/>
          <w:lang w:val="es-ES_tradnl"/>
        </w:rPr>
        <w:t>s de la administraci</w:t>
      </w:r>
      <w:r>
        <w:rPr>
          <w:rFonts w:cs="Times New Roman"/>
          <w:sz w:val="14"/>
          <w:szCs w:val="14"/>
          <w:lang w:val="es-ES_tradnl"/>
        </w:rPr>
        <w:t>ó</w:t>
      </w:r>
      <w:r>
        <w:rPr>
          <w:sz w:val="14"/>
          <w:szCs w:val="14"/>
          <w:lang w:val="es-ES_tradnl"/>
        </w:rPr>
        <w:t>n interna (</w:t>
      </w:r>
      <w:r>
        <w:rPr>
          <w:rFonts w:cs="Times New Roman"/>
          <w:sz w:val="14"/>
          <w:szCs w:val="14"/>
          <w:lang w:val="es-ES_tradnl"/>
        </w:rPr>
        <w:t>…</w:t>
      </w:r>
      <w:r>
        <w:rPr>
          <w:sz w:val="14"/>
          <w:szCs w:val="14"/>
          <w:lang w:val="es-ES_tradnl"/>
        </w:rPr>
        <w:t>).</w:t>
      </w:r>
    </w:p>
    <w:p w14:paraId="4F67B91B" w14:textId="77777777" w:rsidR="00591D54" w:rsidRDefault="00591D54">
      <w:pPr>
        <w:shd w:val="clear" w:color="auto" w:fill="FFFFFF"/>
        <w:spacing w:before="202" w:line="216" w:lineRule="exact"/>
        <w:jc w:val="both"/>
      </w:pPr>
      <w:r>
        <w:rPr>
          <w:spacing w:val="-5"/>
          <w:sz w:val="18"/>
          <w:szCs w:val="18"/>
          <w:lang w:val="es-ES_tradnl"/>
        </w:rPr>
        <w:t xml:space="preserve">Por otro lado, en el considerando tercero del fallo, esta </w:t>
      </w:r>
      <w:r>
        <w:rPr>
          <w:spacing w:val="-7"/>
          <w:sz w:val="18"/>
          <w:szCs w:val="18"/>
          <w:lang w:val="es-ES_tradnl"/>
        </w:rPr>
        <w:t>Corte Constitucional verifica que la Sala realiza su an</w:t>
      </w:r>
      <w:r>
        <w:rPr>
          <w:rFonts w:cs="Times New Roman"/>
          <w:spacing w:val="-7"/>
          <w:sz w:val="18"/>
          <w:szCs w:val="18"/>
          <w:lang w:val="es-ES_tradnl"/>
        </w:rPr>
        <w:t>á</w:t>
      </w:r>
      <w:r>
        <w:rPr>
          <w:spacing w:val="-7"/>
          <w:sz w:val="18"/>
          <w:szCs w:val="18"/>
          <w:lang w:val="es-ES_tradnl"/>
        </w:rPr>
        <w:t xml:space="preserve">lisis </w:t>
      </w:r>
      <w:r>
        <w:rPr>
          <w:spacing w:val="-9"/>
          <w:sz w:val="18"/>
          <w:szCs w:val="18"/>
          <w:lang w:val="es-ES_tradnl"/>
        </w:rPr>
        <w:t xml:space="preserve">a partir de estas resoluciones citadas por el delegado de la </w:t>
      </w:r>
      <w:r>
        <w:rPr>
          <w:spacing w:val="-7"/>
          <w:sz w:val="18"/>
          <w:szCs w:val="18"/>
          <w:lang w:val="es-ES_tradnl"/>
        </w:rPr>
        <w:t>instituci</w:t>
      </w:r>
      <w:r>
        <w:rPr>
          <w:rFonts w:cs="Times New Roman"/>
          <w:spacing w:val="-7"/>
          <w:sz w:val="18"/>
          <w:szCs w:val="18"/>
          <w:lang w:val="es-ES_tradnl"/>
        </w:rPr>
        <w:t>ó</w:t>
      </w:r>
      <w:r>
        <w:rPr>
          <w:spacing w:val="-7"/>
          <w:sz w:val="18"/>
          <w:szCs w:val="18"/>
          <w:lang w:val="es-ES_tradnl"/>
        </w:rPr>
        <w:t>n demandada, en relaci</w:t>
      </w:r>
      <w:r>
        <w:rPr>
          <w:rFonts w:cs="Times New Roman"/>
          <w:spacing w:val="-7"/>
          <w:sz w:val="18"/>
          <w:szCs w:val="18"/>
          <w:lang w:val="es-ES_tradnl"/>
        </w:rPr>
        <w:t>ó</w:t>
      </w:r>
      <w:r>
        <w:rPr>
          <w:spacing w:val="-7"/>
          <w:sz w:val="18"/>
          <w:szCs w:val="18"/>
          <w:lang w:val="es-ES_tradnl"/>
        </w:rPr>
        <w:t xml:space="preserve">n con otras actuaciones </w:t>
      </w:r>
      <w:r>
        <w:rPr>
          <w:spacing w:val="-10"/>
          <w:sz w:val="18"/>
          <w:szCs w:val="18"/>
          <w:lang w:val="es-ES_tradnl"/>
        </w:rPr>
        <w:t>administrativas de la instituci</w:t>
      </w:r>
      <w:r>
        <w:rPr>
          <w:rFonts w:cs="Times New Roman"/>
          <w:spacing w:val="-10"/>
          <w:sz w:val="18"/>
          <w:szCs w:val="18"/>
          <w:lang w:val="es-ES_tradnl"/>
        </w:rPr>
        <w:t>ó</w:t>
      </w:r>
      <w:r>
        <w:rPr>
          <w:spacing w:val="-10"/>
          <w:sz w:val="18"/>
          <w:szCs w:val="18"/>
          <w:lang w:val="es-ES_tradnl"/>
        </w:rPr>
        <w:t xml:space="preserve">n, que hacen concluir a la Sala </w:t>
      </w:r>
      <w:r>
        <w:rPr>
          <w:spacing w:val="-8"/>
          <w:sz w:val="18"/>
          <w:szCs w:val="18"/>
          <w:lang w:val="es-ES_tradnl"/>
        </w:rPr>
        <w:t>que existi</w:t>
      </w:r>
      <w:r>
        <w:rPr>
          <w:rFonts w:cs="Times New Roman"/>
          <w:spacing w:val="-8"/>
          <w:sz w:val="18"/>
          <w:szCs w:val="18"/>
          <w:lang w:val="es-ES_tradnl"/>
        </w:rPr>
        <w:t>ó</w:t>
      </w:r>
      <w:r>
        <w:rPr>
          <w:spacing w:val="-8"/>
          <w:sz w:val="18"/>
          <w:szCs w:val="18"/>
          <w:lang w:val="es-ES_tradnl"/>
        </w:rPr>
        <w:t xml:space="preserve"> vulneraci</w:t>
      </w:r>
      <w:r>
        <w:rPr>
          <w:rFonts w:cs="Times New Roman"/>
          <w:spacing w:val="-8"/>
          <w:sz w:val="18"/>
          <w:szCs w:val="18"/>
          <w:lang w:val="es-ES_tradnl"/>
        </w:rPr>
        <w:t>ó</w:t>
      </w:r>
      <w:r>
        <w:rPr>
          <w:spacing w:val="-8"/>
          <w:sz w:val="18"/>
          <w:szCs w:val="18"/>
          <w:lang w:val="es-ES_tradnl"/>
        </w:rPr>
        <w:t xml:space="preserve">n de los derechos constitucionales de </w:t>
      </w:r>
      <w:r>
        <w:rPr>
          <w:spacing w:val="-6"/>
          <w:sz w:val="18"/>
          <w:szCs w:val="18"/>
          <w:lang w:val="es-ES_tradnl"/>
        </w:rPr>
        <w:t>la legitimada activa dentro de la acci</w:t>
      </w:r>
      <w:r>
        <w:rPr>
          <w:rFonts w:cs="Times New Roman"/>
          <w:spacing w:val="-6"/>
          <w:sz w:val="18"/>
          <w:szCs w:val="18"/>
          <w:lang w:val="es-ES_tradnl"/>
        </w:rPr>
        <w:t>ó</w:t>
      </w:r>
      <w:r>
        <w:rPr>
          <w:spacing w:val="-6"/>
          <w:sz w:val="18"/>
          <w:szCs w:val="18"/>
          <w:lang w:val="es-ES_tradnl"/>
        </w:rPr>
        <w:t>n de protecci</w:t>
      </w:r>
      <w:r>
        <w:rPr>
          <w:rFonts w:cs="Times New Roman"/>
          <w:spacing w:val="-6"/>
          <w:sz w:val="18"/>
          <w:szCs w:val="18"/>
          <w:lang w:val="es-ES_tradnl"/>
        </w:rPr>
        <w:t>ó</w:t>
      </w:r>
      <w:r>
        <w:rPr>
          <w:spacing w:val="-6"/>
          <w:sz w:val="18"/>
          <w:szCs w:val="18"/>
          <w:lang w:val="es-ES_tradnl"/>
        </w:rPr>
        <w:t>n.</w:t>
      </w:r>
    </w:p>
    <w:p w14:paraId="4F67B91C" w14:textId="77777777" w:rsidR="00591D54" w:rsidRDefault="00591D54">
      <w:pPr>
        <w:shd w:val="clear" w:color="auto" w:fill="FFFFFF"/>
        <w:spacing w:before="192" w:line="211" w:lineRule="exact"/>
        <w:ind w:right="5"/>
        <w:jc w:val="both"/>
      </w:pPr>
      <w:r>
        <w:rPr>
          <w:spacing w:val="-5"/>
          <w:sz w:val="18"/>
          <w:szCs w:val="18"/>
          <w:lang w:val="es-ES_tradnl"/>
        </w:rPr>
        <w:t>La Sala se</w:t>
      </w:r>
      <w:r>
        <w:rPr>
          <w:rFonts w:cs="Times New Roman"/>
          <w:spacing w:val="-5"/>
          <w:sz w:val="18"/>
          <w:szCs w:val="18"/>
          <w:lang w:val="es-ES_tradnl"/>
        </w:rPr>
        <w:t>ñ</w:t>
      </w:r>
      <w:r>
        <w:rPr>
          <w:spacing w:val="-5"/>
          <w:sz w:val="18"/>
          <w:szCs w:val="18"/>
          <w:lang w:val="es-ES_tradnl"/>
        </w:rPr>
        <w:t>al</w:t>
      </w:r>
      <w:r>
        <w:rPr>
          <w:rFonts w:cs="Times New Roman"/>
          <w:spacing w:val="-5"/>
          <w:sz w:val="18"/>
          <w:szCs w:val="18"/>
          <w:lang w:val="es-ES_tradnl"/>
        </w:rPr>
        <w:t>ó</w:t>
      </w:r>
      <w:r>
        <w:rPr>
          <w:spacing w:val="-5"/>
          <w:sz w:val="18"/>
          <w:szCs w:val="18"/>
          <w:lang w:val="es-ES_tradnl"/>
        </w:rPr>
        <w:t xml:space="preserve"> tambi</w:t>
      </w:r>
      <w:r>
        <w:rPr>
          <w:rFonts w:cs="Times New Roman"/>
          <w:spacing w:val="-5"/>
          <w:sz w:val="18"/>
          <w:szCs w:val="18"/>
          <w:lang w:val="es-ES_tradnl"/>
        </w:rPr>
        <w:t>é</w:t>
      </w:r>
      <w:r>
        <w:rPr>
          <w:spacing w:val="-5"/>
          <w:sz w:val="18"/>
          <w:szCs w:val="18"/>
          <w:lang w:val="es-ES_tradnl"/>
        </w:rPr>
        <w:t xml:space="preserve">n en el considerando tercero del </w:t>
      </w:r>
      <w:r>
        <w:rPr>
          <w:spacing w:val="-3"/>
          <w:sz w:val="18"/>
          <w:szCs w:val="18"/>
          <w:lang w:val="es-ES_tradnl"/>
        </w:rPr>
        <w:t>fallo, que la acci</w:t>
      </w:r>
      <w:r>
        <w:rPr>
          <w:rFonts w:cs="Times New Roman"/>
          <w:spacing w:val="-3"/>
          <w:sz w:val="18"/>
          <w:szCs w:val="18"/>
          <w:lang w:val="es-ES_tradnl"/>
        </w:rPr>
        <w:t>ó</w:t>
      </w:r>
      <w:r>
        <w:rPr>
          <w:spacing w:val="-3"/>
          <w:sz w:val="18"/>
          <w:szCs w:val="18"/>
          <w:lang w:val="es-ES_tradnl"/>
        </w:rPr>
        <w:t>n de protecci</w:t>
      </w:r>
      <w:r>
        <w:rPr>
          <w:rFonts w:cs="Times New Roman"/>
          <w:spacing w:val="-3"/>
          <w:sz w:val="18"/>
          <w:szCs w:val="18"/>
          <w:lang w:val="es-ES_tradnl"/>
        </w:rPr>
        <w:t>ó</w:t>
      </w:r>
      <w:r>
        <w:rPr>
          <w:spacing w:val="-3"/>
          <w:sz w:val="18"/>
          <w:szCs w:val="18"/>
          <w:lang w:val="es-ES_tradnl"/>
        </w:rPr>
        <w:t>n es una garant</w:t>
      </w:r>
      <w:r>
        <w:rPr>
          <w:rFonts w:cs="Times New Roman"/>
          <w:spacing w:val="-3"/>
          <w:sz w:val="18"/>
          <w:szCs w:val="18"/>
          <w:lang w:val="es-ES_tradnl"/>
        </w:rPr>
        <w:t>í</w:t>
      </w:r>
      <w:r>
        <w:rPr>
          <w:spacing w:val="-3"/>
          <w:sz w:val="18"/>
          <w:szCs w:val="18"/>
          <w:lang w:val="es-ES_tradnl"/>
        </w:rPr>
        <w:t xml:space="preserve">a que </w:t>
      </w:r>
      <w:r>
        <w:rPr>
          <w:spacing w:val="-8"/>
          <w:sz w:val="18"/>
          <w:szCs w:val="18"/>
          <w:lang w:val="es-ES_tradnl"/>
        </w:rPr>
        <w:t xml:space="preserve">tiene por objeto el amparo directo y eficaz de los derechos </w:t>
      </w:r>
      <w:r>
        <w:rPr>
          <w:spacing w:val="-7"/>
          <w:sz w:val="18"/>
          <w:szCs w:val="18"/>
          <w:lang w:val="es-ES_tradnl"/>
        </w:rPr>
        <w:t>establecidos en la Constituci</w:t>
      </w:r>
      <w:r>
        <w:rPr>
          <w:rFonts w:cs="Times New Roman"/>
          <w:spacing w:val="-7"/>
          <w:sz w:val="18"/>
          <w:szCs w:val="18"/>
          <w:lang w:val="es-ES_tradnl"/>
        </w:rPr>
        <w:t>ó</w:t>
      </w:r>
      <w:r>
        <w:rPr>
          <w:spacing w:val="-7"/>
          <w:sz w:val="18"/>
          <w:szCs w:val="18"/>
          <w:lang w:val="es-ES_tradnl"/>
        </w:rPr>
        <w:t>n; adem</w:t>
      </w:r>
      <w:r>
        <w:rPr>
          <w:rFonts w:cs="Times New Roman"/>
          <w:spacing w:val="-7"/>
          <w:sz w:val="18"/>
          <w:szCs w:val="18"/>
          <w:lang w:val="es-ES_tradnl"/>
        </w:rPr>
        <w:t>á</w:t>
      </w:r>
      <w:r>
        <w:rPr>
          <w:spacing w:val="-7"/>
          <w:sz w:val="18"/>
          <w:szCs w:val="18"/>
          <w:lang w:val="es-ES_tradnl"/>
        </w:rPr>
        <w:t>s, de su an</w:t>
      </w:r>
      <w:r>
        <w:rPr>
          <w:rFonts w:cs="Times New Roman"/>
          <w:spacing w:val="-7"/>
          <w:sz w:val="18"/>
          <w:szCs w:val="18"/>
          <w:lang w:val="es-ES_tradnl"/>
        </w:rPr>
        <w:t>á</w:t>
      </w:r>
      <w:r>
        <w:rPr>
          <w:spacing w:val="-7"/>
          <w:sz w:val="18"/>
          <w:szCs w:val="18"/>
          <w:lang w:val="es-ES_tradnl"/>
        </w:rPr>
        <w:t xml:space="preserve">lisis, </w:t>
      </w:r>
      <w:r>
        <w:rPr>
          <w:spacing w:val="-11"/>
          <w:sz w:val="18"/>
          <w:szCs w:val="18"/>
          <w:lang w:val="es-ES_tradnl"/>
        </w:rPr>
        <w:t>concluye que en la especie se demostr</w:t>
      </w:r>
      <w:r>
        <w:rPr>
          <w:rFonts w:cs="Times New Roman"/>
          <w:spacing w:val="-11"/>
          <w:sz w:val="18"/>
          <w:szCs w:val="18"/>
          <w:lang w:val="es-ES_tradnl"/>
        </w:rPr>
        <w:t>ó</w:t>
      </w:r>
      <w:r>
        <w:rPr>
          <w:spacing w:val="-11"/>
          <w:sz w:val="18"/>
          <w:szCs w:val="18"/>
          <w:lang w:val="es-ES_tradnl"/>
        </w:rPr>
        <w:t xml:space="preserve"> la vulneraci</w:t>
      </w:r>
      <w:r>
        <w:rPr>
          <w:rFonts w:cs="Times New Roman"/>
          <w:spacing w:val="-11"/>
          <w:sz w:val="18"/>
          <w:szCs w:val="18"/>
          <w:lang w:val="es-ES_tradnl"/>
        </w:rPr>
        <w:t>ó</w:t>
      </w:r>
      <w:r>
        <w:rPr>
          <w:spacing w:val="-11"/>
          <w:sz w:val="18"/>
          <w:szCs w:val="18"/>
          <w:lang w:val="es-ES_tradnl"/>
        </w:rPr>
        <w:t xml:space="preserve">n de los </w:t>
      </w:r>
      <w:r>
        <w:rPr>
          <w:spacing w:val="-10"/>
          <w:sz w:val="18"/>
          <w:szCs w:val="18"/>
          <w:lang w:val="es-ES_tradnl"/>
        </w:rPr>
        <w:t>derechos constitucionales</w:t>
      </w:r>
      <w:r>
        <w:rPr>
          <w:spacing w:val="-10"/>
          <w:sz w:val="18"/>
          <w:szCs w:val="18"/>
          <w:vertAlign w:val="superscript"/>
          <w:lang w:val="es-ES_tradnl"/>
        </w:rPr>
        <w:t>3</w:t>
      </w:r>
      <w:r>
        <w:rPr>
          <w:spacing w:val="-10"/>
          <w:sz w:val="18"/>
          <w:szCs w:val="18"/>
          <w:lang w:val="es-ES_tradnl"/>
        </w:rPr>
        <w:t xml:space="preserve"> establecidos en los art</w:t>
      </w:r>
      <w:r>
        <w:rPr>
          <w:rFonts w:cs="Times New Roman"/>
          <w:spacing w:val="-10"/>
          <w:sz w:val="18"/>
          <w:szCs w:val="18"/>
          <w:lang w:val="es-ES_tradnl"/>
        </w:rPr>
        <w:t>í</w:t>
      </w:r>
      <w:r>
        <w:rPr>
          <w:spacing w:val="-10"/>
          <w:sz w:val="18"/>
          <w:szCs w:val="18"/>
          <w:lang w:val="es-ES_tradnl"/>
        </w:rPr>
        <w:t xml:space="preserve">culos 11 y </w:t>
      </w:r>
      <w:r>
        <w:rPr>
          <w:spacing w:val="-9"/>
          <w:sz w:val="18"/>
          <w:szCs w:val="18"/>
          <w:lang w:val="es-ES_tradnl"/>
        </w:rPr>
        <w:t>426 de la Constituci</w:t>
      </w:r>
      <w:r>
        <w:rPr>
          <w:rFonts w:cs="Times New Roman"/>
          <w:spacing w:val="-9"/>
          <w:sz w:val="18"/>
          <w:szCs w:val="18"/>
          <w:lang w:val="es-ES_tradnl"/>
        </w:rPr>
        <w:t>ó</w:t>
      </w:r>
      <w:r>
        <w:rPr>
          <w:spacing w:val="-9"/>
          <w:sz w:val="18"/>
          <w:szCs w:val="18"/>
          <w:lang w:val="es-ES_tradnl"/>
        </w:rPr>
        <w:t xml:space="preserve">n con lo cual, no cabe el argumento de </w:t>
      </w:r>
      <w:r>
        <w:rPr>
          <w:spacing w:val="-7"/>
          <w:sz w:val="18"/>
          <w:szCs w:val="18"/>
          <w:lang w:val="es-ES_tradnl"/>
        </w:rPr>
        <w:t>que deb</w:t>
      </w:r>
      <w:r>
        <w:rPr>
          <w:rFonts w:cs="Times New Roman"/>
          <w:spacing w:val="-7"/>
          <w:sz w:val="18"/>
          <w:szCs w:val="18"/>
          <w:lang w:val="es-ES_tradnl"/>
        </w:rPr>
        <w:t>í</w:t>
      </w:r>
      <w:r>
        <w:rPr>
          <w:spacing w:val="-7"/>
          <w:sz w:val="18"/>
          <w:szCs w:val="18"/>
          <w:lang w:val="es-ES_tradnl"/>
        </w:rPr>
        <w:t>a agotarse la v</w:t>
      </w:r>
      <w:r>
        <w:rPr>
          <w:rFonts w:cs="Times New Roman"/>
          <w:spacing w:val="-7"/>
          <w:sz w:val="18"/>
          <w:szCs w:val="18"/>
          <w:lang w:val="es-ES_tradnl"/>
        </w:rPr>
        <w:t>í</w:t>
      </w:r>
      <w:r>
        <w:rPr>
          <w:spacing w:val="-7"/>
          <w:sz w:val="18"/>
          <w:szCs w:val="18"/>
          <w:lang w:val="es-ES_tradnl"/>
        </w:rPr>
        <w:t>a administrativa interna</w:t>
      </w:r>
      <w:r>
        <w:rPr>
          <w:spacing w:val="-7"/>
          <w:sz w:val="18"/>
          <w:szCs w:val="18"/>
          <w:vertAlign w:val="superscript"/>
          <w:lang w:val="es-ES_tradnl"/>
        </w:rPr>
        <w:t>4</w:t>
      </w:r>
      <w:r>
        <w:rPr>
          <w:spacing w:val="-7"/>
          <w:sz w:val="18"/>
          <w:szCs w:val="18"/>
          <w:lang w:val="es-ES_tradnl"/>
        </w:rPr>
        <w:t>. La Corte</w:t>
      </w:r>
    </w:p>
    <w:p w14:paraId="4F67B91D" w14:textId="77777777" w:rsidR="00591D54" w:rsidRDefault="00591D54">
      <w:pPr>
        <w:shd w:val="clear" w:color="auto" w:fill="FFFFFF"/>
        <w:tabs>
          <w:tab w:val="left" w:pos="139"/>
        </w:tabs>
        <w:spacing w:before="394" w:line="182" w:lineRule="exact"/>
        <w:ind w:left="139" w:right="5" w:hanging="139"/>
        <w:jc w:val="both"/>
      </w:pPr>
      <w:r>
        <w:rPr>
          <w:sz w:val="10"/>
          <w:szCs w:val="10"/>
          <w:vertAlign w:val="superscript"/>
          <w:lang w:val="es-ES_tradnl"/>
        </w:rPr>
        <w:t>2</w:t>
      </w:r>
      <w:r>
        <w:rPr>
          <w:sz w:val="18"/>
          <w:szCs w:val="18"/>
          <w:lang w:val="es-ES_tradnl"/>
        </w:rPr>
        <w:tab/>
      </w:r>
      <w:r>
        <w:rPr>
          <w:spacing w:val="-2"/>
          <w:sz w:val="14"/>
          <w:szCs w:val="14"/>
          <w:lang w:val="es-ES_tradnl"/>
        </w:rPr>
        <w:t>Corte</w:t>
      </w:r>
      <w:r>
        <w:rPr>
          <w:spacing w:val="-2"/>
          <w:sz w:val="18"/>
          <w:szCs w:val="18"/>
          <w:lang w:val="es-ES_tradnl"/>
        </w:rPr>
        <w:t xml:space="preserve"> </w:t>
      </w:r>
      <w:r>
        <w:rPr>
          <w:spacing w:val="-2"/>
          <w:sz w:val="14"/>
          <w:szCs w:val="14"/>
          <w:lang w:val="es-ES_tradnl"/>
        </w:rPr>
        <w:t>Constitucional</w:t>
      </w:r>
      <w:r>
        <w:rPr>
          <w:spacing w:val="-2"/>
          <w:sz w:val="18"/>
          <w:szCs w:val="18"/>
          <w:lang w:val="es-ES_tradnl"/>
        </w:rPr>
        <w:t xml:space="preserve"> </w:t>
      </w:r>
      <w:r>
        <w:rPr>
          <w:spacing w:val="-2"/>
          <w:sz w:val="14"/>
          <w:szCs w:val="14"/>
          <w:lang w:val="es-ES_tradnl"/>
        </w:rPr>
        <w:t>del</w:t>
      </w:r>
      <w:r>
        <w:rPr>
          <w:spacing w:val="-2"/>
          <w:sz w:val="18"/>
          <w:szCs w:val="18"/>
          <w:lang w:val="es-ES_tradnl"/>
        </w:rPr>
        <w:t xml:space="preserve"> </w:t>
      </w:r>
      <w:r>
        <w:rPr>
          <w:spacing w:val="-2"/>
          <w:sz w:val="14"/>
          <w:szCs w:val="14"/>
          <w:lang w:val="es-ES_tradnl"/>
        </w:rPr>
        <w:t>Ecuador,</w:t>
      </w:r>
      <w:r>
        <w:rPr>
          <w:spacing w:val="-2"/>
          <w:sz w:val="18"/>
          <w:szCs w:val="18"/>
          <w:lang w:val="es-ES_tradnl"/>
        </w:rPr>
        <w:t xml:space="preserve"> </w:t>
      </w:r>
      <w:r>
        <w:rPr>
          <w:spacing w:val="-2"/>
          <w:sz w:val="14"/>
          <w:szCs w:val="14"/>
          <w:lang w:val="es-ES_tradnl"/>
        </w:rPr>
        <w:t>sentencia</w:t>
      </w:r>
      <w:r>
        <w:rPr>
          <w:spacing w:val="-2"/>
          <w:sz w:val="18"/>
          <w:szCs w:val="18"/>
          <w:lang w:val="es-ES_tradnl"/>
        </w:rPr>
        <w:t xml:space="preserve"> </w:t>
      </w:r>
      <w:r>
        <w:rPr>
          <w:spacing w:val="-2"/>
          <w:sz w:val="14"/>
          <w:szCs w:val="14"/>
          <w:lang w:val="es-ES_tradnl"/>
        </w:rPr>
        <w:t>N.</w:t>
      </w:r>
      <w:r>
        <w:rPr>
          <w:rFonts w:cs="Times New Roman"/>
          <w:spacing w:val="-2"/>
          <w:sz w:val="14"/>
          <w:szCs w:val="14"/>
          <w:lang w:val="es-ES_tradnl"/>
        </w:rPr>
        <w:t>º</w:t>
      </w:r>
      <w:r>
        <w:rPr>
          <w:spacing w:val="-2"/>
          <w:sz w:val="18"/>
          <w:szCs w:val="18"/>
          <w:lang w:val="es-ES_tradnl"/>
        </w:rPr>
        <w:t xml:space="preserve"> </w:t>
      </w:r>
      <w:r>
        <w:rPr>
          <w:spacing w:val="-2"/>
          <w:sz w:val="14"/>
          <w:szCs w:val="14"/>
          <w:lang w:val="es-ES_tradnl"/>
        </w:rPr>
        <w:t>012-13-SEP-CC,</w:t>
      </w:r>
      <w:r>
        <w:rPr>
          <w:spacing w:val="-2"/>
          <w:sz w:val="18"/>
          <w:szCs w:val="18"/>
          <w:lang w:val="es-ES_tradnl"/>
        </w:rPr>
        <w:t xml:space="preserve"> </w:t>
      </w:r>
      <w:r>
        <w:rPr>
          <w:spacing w:val="-2"/>
          <w:sz w:val="14"/>
          <w:szCs w:val="14"/>
          <w:lang w:val="es-ES_tradnl"/>
        </w:rPr>
        <w:t>del </w:t>
      </w:r>
      <w:r>
        <w:rPr>
          <w:spacing w:val="-3"/>
          <w:sz w:val="14"/>
          <w:szCs w:val="14"/>
          <w:lang w:val="es-ES_tradnl"/>
        </w:rPr>
        <w:t>9 de mayo de 2013, dentro del caso N.</w:t>
      </w:r>
      <w:r>
        <w:rPr>
          <w:rFonts w:cs="Times New Roman"/>
          <w:spacing w:val="-3"/>
          <w:sz w:val="14"/>
          <w:szCs w:val="14"/>
          <w:lang w:val="es-ES_tradnl"/>
        </w:rPr>
        <w:t>º</w:t>
      </w:r>
      <w:r>
        <w:rPr>
          <w:spacing w:val="-3"/>
          <w:sz w:val="14"/>
          <w:szCs w:val="14"/>
          <w:lang w:val="es-ES_tradnl"/>
        </w:rPr>
        <w:t xml:space="preserve"> 0253-11-EP.</w:t>
      </w:r>
    </w:p>
    <w:p w14:paraId="4F67B91E" w14:textId="77777777" w:rsidR="00591D54" w:rsidRDefault="00591D54">
      <w:pPr>
        <w:shd w:val="clear" w:color="auto" w:fill="FFFFFF"/>
        <w:tabs>
          <w:tab w:val="left" w:pos="139"/>
        </w:tabs>
        <w:spacing w:before="154" w:line="178" w:lineRule="exact"/>
        <w:ind w:left="139" w:right="5" w:hanging="139"/>
        <w:jc w:val="both"/>
      </w:pPr>
      <w:r>
        <w:rPr>
          <w:sz w:val="10"/>
          <w:szCs w:val="10"/>
          <w:vertAlign w:val="superscript"/>
          <w:lang w:val="es-ES_tradnl"/>
        </w:rPr>
        <w:t>3</w:t>
      </w:r>
      <w:r>
        <w:rPr>
          <w:sz w:val="18"/>
          <w:szCs w:val="18"/>
          <w:lang w:val="es-ES_tradnl"/>
        </w:rPr>
        <w:tab/>
      </w:r>
      <w:r>
        <w:rPr>
          <w:sz w:val="14"/>
          <w:szCs w:val="14"/>
          <w:lang w:val="es-ES_tradnl"/>
        </w:rPr>
        <w:t>Sentencia</w:t>
      </w:r>
      <w:r>
        <w:rPr>
          <w:sz w:val="18"/>
          <w:szCs w:val="18"/>
          <w:lang w:val="es-ES_tradnl"/>
        </w:rPr>
        <w:t xml:space="preserve"> </w:t>
      </w:r>
      <w:r>
        <w:rPr>
          <w:sz w:val="14"/>
          <w:szCs w:val="14"/>
          <w:lang w:val="es-ES_tradnl"/>
        </w:rPr>
        <w:t>No.</w:t>
      </w:r>
      <w:r>
        <w:rPr>
          <w:sz w:val="18"/>
          <w:szCs w:val="18"/>
          <w:lang w:val="es-ES_tradnl"/>
        </w:rPr>
        <w:t xml:space="preserve"> </w:t>
      </w:r>
      <w:r>
        <w:rPr>
          <w:sz w:val="14"/>
          <w:szCs w:val="14"/>
          <w:lang w:val="es-ES_tradnl"/>
        </w:rPr>
        <w:t>102-13-SEP-CC,</w:t>
      </w:r>
      <w:r>
        <w:rPr>
          <w:sz w:val="18"/>
          <w:szCs w:val="18"/>
          <w:lang w:val="es-ES_tradnl"/>
        </w:rPr>
        <w:t xml:space="preserve"> </w:t>
      </w:r>
      <w:r>
        <w:rPr>
          <w:sz w:val="14"/>
          <w:szCs w:val="14"/>
          <w:lang w:val="es-ES_tradnl"/>
        </w:rPr>
        <w:t>Caso</w:t>
      </w:r>
      <w:r>
        <w:rPr>
          <w:sz w:val="18"/>
          <w:szCs w:val="18"/>
          <w:lang w:val="es-ES_tradnl"/>
        </w:rPr>
        <w:t xml:space="preserve"> </w:t>
      </w:r>
      <w:r>
        <w:rPr>
          <w:sz w:val="14"/>
          <w:szCs w:val="14"/>
          <w:lang w:val="es-ES_tradnl"/>
        </w:rPr>
        <w:t>No.</w:t>
      </w:r>
      <w:r>
        <w:rPr>
          <w:sz w:val="18"/>
          <w:szCs w:val="18"/>
          <w:lang w:val="es-ES_tradnl"/>
        </w:rPr>
        <w:t xml:space="preserve"> </w:t>
      </w:r>
      <w:r>
        <w:rPr>
          <w:sz w:val="14"/>
          <w:szCs w:val="14"/>
          <w:lang w:val="es-ES_tradnl"/>
        </w:rPr>
        <w:t>0380-10-EP:</w:t>
      </w:r>
      <w:r>
        <w:rPr>
          <w:sz w:val="18"/>
          <w:szCs w:val="18"/>
          <w:lang w:val="es-ES_tradnl"/>
        </w:rPr>
        <w:t xml:space="preserve"> </w:t>
      </w:r>
      <w:r>
        <w:rPr>
          <w:rFonts w:cs="Times New Roman"/>
          <w:sz w:val="14"/>
          <w:szCs w:val="14"/>
          <w:lang w:val="es-ES_tradnl"/>
        </w:rPr>
        <w:t>“</w:t>
      </w:r>
      <w:r>
        <w:rPr>
          <w:sz w:val="14"/>
          <w:szCs w:val="14"/>
          <w:lang w:val="es-ES_tradnl"/>
        </w:rPr>
        <w:t>(</w:t>
      </w:r>
      <w:r>
        <w:rPr>
          <w:rFonts w:cs="Times New Roman"/>
          <w:sz w:val="14"/>
          <w:szCs w:val="14"/>
          <w:lang w:val="es-ES_tradnl"/>
        </w:rPr>
        <w:t>…</w:t>
      </w:r>
      <w:r>
        <w:rPr>
          <w:sz w:val="14"/>
          <w:szCs w:val="14"/>
          <w:lang w:val="es-ES_tradnl"/>
        </w:rPr>
        <w:t>)</w:t>
      </w:r>
      <w:r>
        <w:rPr>
          <w:sz w:val="18"/>
          <w:szCs w:val="18"/>
          <w:lang w:val="es-ES_tradnl"/>
        </w:rPr>
        <w:t xml:space="preserve"> </w:t>
      </w:r>
      <w:r>
        <w:rPr>
          <w:sz w:val="14"/>
          <w:szCs w:val="14"/>
          <w:lang w:val="es-ES_tradnl"/>
        </w:rPr>
        <w:t>esta </w:t>
      </w:r>
      <w:r>
        <w:rPr>
          <w:spacing w:val="-4"/>
          <w:sz w:val="14"/>
          <w:szCs w:val="14"/>
          <w:lang w:val="es-ES_tradnl"/>
        </w:rPr>
        <w:t>Corte ya ha se</w:t>
      </w:r>
      <w:r>
        <w:rPr>
          <w:rFonts w:cs="Times New Roman"/>
          <w:spacing w:val="-4"/>
          <w:sz w:val="14"/>
          <w:szCs w:val="14"/>
          <w:lang w:val="es-ES_tradnl"/>
        </w:rPr>
        <w:t>ñ</w:t>
      </w:r>
      <w:r>
        <w:rPr>
          <w:spacing w:val="-4"/>
          <w:sz w:val="14"/>
          <w:szCs w:val="14"/>
          <w:lang w:val="es-ES_tradnl"/>
        </w:rPr>
        <w:t>alado en ocasiones anteriores que si bien es claro que </w:t>
      </w:r>
      <w:r>
        <w:rPr>
          <w:spacing w:val="-1"/>
          <w:sz w:val="14"/>
          <w:szCs w:val="14"/>
          <w:lang w:val="es-ES_tradnl"/>
        </w:rPr>
        <w:t>no es competencia de la justicia constitucional conocer asuntos de </w:t>
      </w:r>
      <w:r>
        <w:rPr>
          <w:spacing w:val="-4"/>
          <w:sz w:val="14"/>
          <w:szCs w:val="14"/>
          <w:lang w:val="es-ES_tradnl"/>
        </w:rPr>
        <w:t>mera legalidad, es decir, el an</w:t>
      </w:r>
      <w:r>
        <w:rPr>
          <w:rFonts w:cs="Times New Roman"/>
          <w:spacing w:val="-4"/>
          <w:sz w:val="14"/>
          <w:szCs w:val="14"/>
          <w:lang w:val="es-ES_tradnl"/>
        </w:rPr>
        <w:t>á</w:t>
      </w:r>
      <w:r>
        <w:rPr>
          <w:spacing w:val="-4"/>
          <w:sz w:val="14"/>
          <w:szCs w:val="14"/>
          <w:lang w:val="es-ES_tradnl"/>
        </w:rPr>
        <w:t>lisis de aspectos que son propios de la </w:t>
      </w:r>
      <w:r>
        <w:rPr>
          <w:spacing w:val="-3"/>
          <w:sz w:val="14"/>
          <w:szCs w:val="14"/>
          <w:lang w:val="es-ES_tradnl"/>
        </w:rPr>
        <w:t>justicia ordinaria, s</w:t>
      </w:r>
      <w:r>
        <w:rPr>
          <w:rFonts w:cs="Times New Roman"/>
          <w:spacing w:val="-3"/>
          <w:sz w:val="14"/>
          <w:szCs w:val="14"/>
          <w:lang w:val="es-ES_tradnl"/>
        </w:rPr>
        <w:t>í</w:t>
      </w:r>
      <w:r>
        <w:rPr>
          <w:spacing w:val="-3"/>
          <w:sz w:val="14"/>
          <w:szCs w:val="14"/>
          <w:lang w:val="es-ES_tradnl"/>
        </w:rPr>
        <w:t xml:space="preserve"> le compete a la justicia constitucional conocer los procesos, cuando ocurran vulneraciones a derechos constitucionales </w:t>
      </w:r>
      <w:r>
        <w:rPr>
          <w:sz w:val="14"/>
          <w:szCs w:val="14"/>
          <w:lang w:val="es-ES_tradnl"/>
        </w:rPr>
        <w:t>(</w:t>
      </w:r>
      <w:r>
        <w:rPr>
          <w:rFonts w:cs="Times New Roman"/>
          <w:sz w:val="14"/>
          <w:szCs w:val="14"/>
          <w:lang w:val="es-ES_tradnl"/>
        </w:rPr>
        <w:t>…</w:t>
      </w:r>
      <w:r>
        <w:rPr>
          <w:sz w:val="14"/>
          <w:szCs w:val="14"/>
          <w:lang w:val="es-ES_tradnl"/>
        </w:rPr>
        <w:t>)</w:t>
      </w:r>
      <w:r>
        <w:rPr>
          <w:rFonts w:cs="Times New Roman"/>
          <w:sz w:val="14"/>
          <w:szCs w:val="14"/>
          <w:lang w:val="es-ES_tradnl"/>
        </w:rPr>
        <w:t>”</w:t>
      </w:r>
      <w:r>
        <w:rPr>
          <w:sz w:val="14"/>
          <w:szCs w:val="14"/>
          <w:lang w:val="es-ES_tradnl"/>
        </w:rPr>
        <w:t>.</w:t>
      </w:r>
    </w:p>
    <w:p w14:paraId="4F67B91F" w14:textId="77777777" w:rsidR="00591D54" w:rsidRDefault="00591D54">
      <w:pPr>
        <w:shd w:val="clear" w:color="auto" w:fill="FFFFFF"/>
        <w:tabs>
          <w:tab w:val="left" w:pos="139"/>
        </w:tabs>
        <w:spacing w:before="154" w:line="178" w:lineRule="exact"/>
        <w:ind w:left="139" w:right="5" w:hanging="139"/>
        <w:jc w:val="both"/>
      </w:pPr>
      <w:r>
        <w:rPr>
          <w:sz w:val="10"/>
          <w:szCs w:val="10"/>
          <w:vertAlign w:val="superscript"/>
          <w:lang w:val="es-ES_tradnl"/>
        </w:rPr>
        <w:t>4</w:t>
      </w:r>
      <w:r>
        <w:rPr>
          <w:sz w:val="18"/>
          <w:szCs w:val="18"/>
          <w:lang w:val="es-ES_tradnl"/>
        </w:rPr>
        <w:tab/>
      </w:r>
      <w:r>
        <w:rPr>
          <w:sz w:val="14"/>
          <w:szCs w:val="14"/>
          <w:lang w:val="es-ES_tradnl"/>
        </w:rPr>
        <w:t>La</w:t>
      </w:r>
      <w:r>
        <w:rPr>
          <w:sz w:val="18"/>
          <w:szCs w:val="18"/>
          <w:lang w:val="es-ES_tradnl"/>
        </w:rPr>
        <w:t xml:space="preserve"> </w:t>
      </w:r>
      <w:r>
        <w:rPr>
          <w:sz w:val="14"/>
          <w:szCs w:val="14"/>
          <w:lang w:val="es-ES_tradnl"/>
        </w:rPr>
        <w:t>acci</w:t>
      </w:r>
      <w:r>
        <w:rPr>
          <w:rFonts w:cs="Times New Roman"/>
          <w:sz w:val="14"/>
          <w:szCs w:val="14"/>
          <w:lang w:val="es-ES_tradnl"/>
        </w:rPr>
        <w:t>ó</w:t>
      </w:r>
      <w:r>
        <w:rPr>
          <w:sz w:val="14"/>
          <w:szCs w:val="14"/>
          <w:lang w:val="es-ES_tradnl"/>
        </w:rPr>
        <w:t>n</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protecci</w:t>
      </w:r>
      <w:r>
        <w:rPr>
          <w:rFonts w:cs="Times New Roman"/>
          <w:sz w:val="14"/>
          <w:szCs w:val="14"/>
          <w:lang w:val="es-ES_tradnl"/>
        </w:rPr>
        <w:t>ó</w:t>
      </w:r>
      <w:r>
        <w:rPr>
          <w:sz w:val="14"/>
          <w:szCs w:val="14"/>
          <w:lang w:val="es-ES_tradnl"/>
        </w:rPr>
        <w:t>n</w:t>
      </w:r>
      <w:r>
        <w:rPr>
          <w:sz w:val="18"/>
          <w:szCs w:val="18"/>
          <w:lang w:val="es-ES_tradnl"/>
        </w:rPr>
        <w:t xml:space="preserve"> </w:t>
      </w:r>
      <w:r>
        <w:rPr>
          <w:sz w:val="14"/>
          <w:szCs w:val="14"/>
          <w:lang w:val="es-ES_tradnl"/>
        </w:rPr>
        <w:t>en</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Realidad</w:t>
      </w:r>
      <w:r>
        <w:rPr>
          <w:sz w:val="18"/>
          <w:szCs w:val="18"/>
          <w:lang w:val="es-ES_tradnl"/>
        </w:rPr>
        <w:t xml:space="preserve"> </w:t>
      </w:r>
      <w:r>
        <w:rPr>
          <w:sz w:val="14"/>
          <w:szCs w:val="14"/>
          <w:lang w:val="es-ES_tradnl"/>
        </w:rPr>
        <w:t>jur</w:t>
      </w:r>
      <w:r>
        <w:rPr>
          <w:rFonts w:cs="Times New Roman"/>
          <w:sz w:val="14"/>
          <w:szCs w:val="14"/>
          <w:lang w:val="es-ES_tradnl"/>
        </w:rPr>
        <w:t>í</w:t>
      </w:r>
      <w:r>
        <w:rPr>
          <w:sz w:val="14"/>
          <w:szCs w:val="14"/>
          <w:lang w:val="es-ES_tradnl"/>
        </w:rPr>
        <w:t>dica</w:t>
      </w:r>
      <w:r>
        <w:rPr>
          <w:sz w:val="18"/>
          <w:szCs w:val="18"/>
          <w:lang w:val="es-ES_tradnl"/>
        </w:rPr>
        <w:t xml:space="preserve"> </w:t>
      </w:r>
      <w:r>
        <w:rPr>
          <w:sz w:val="14"/>
          <w:szCs w:val="14"/>
          <w:lang w:val="es-ES_tradnl"/>
        </w:rPr>
        <w:t>y</w:t>
      </w:r>
      <w:r>
        <w:rPr>
          <w:sz w:val="18"/>
          <w:szCs w:val="18"/>
          <w:lang w:val="es-ES_tradnl"/>
        </w:rPr>
        <w:t xml:space="preserve"> </w:t>
      </w:r>
      <w:r>
        <w:rPr>
          <w:sz w:val="14"/>
          <w:szCs w:val="14"/>
          <w:lang w:val="es-ES_tradnl"/>
        </w:rPr>
        <w:t>social; Claudia Storini y Marco Navas Alvear; Corte Constitucional del Ecuador; Nuevo Derecho Ecuatoriano 3; p</w:t>
      </w:r>
      <w:r>
        <w:rPr>
          <w:rFonts w:cs="Times New Roman"/>
          <w:sz w:val="14"/>
          <w:szCs w:val="14"/>
          <w:lang w:val="es-ES_tradnl"/>
        </w:rPr>
        <w:t>á</w:t>
      </w:r>
      <w:r>
        <w:rPr>
          <w:sz w:val="14"/>
          <w:szCs w:val="14"/>
          <w:lang w:val="es-ES_tradnl"/>
        </w:rPr>
        <w:t xml:space="preserve">gina 99; Quito- Ecuador; 2013. </w:t>
      </w:r>
      <w:r>
        <w:rPr>
          <w:rFonts w:cs="Times New Roman"/>
          <w:sz w:val="14"/>
          <w:szCs w:val="14"/>
          <w:lang w:val="es-ES_tradnl"/>
        </w:rPr>
        <w:t>“</w:t>
      </w:r>
      <w:r>
        <w:rPr>
          <w:sz w:val="14"/>
          <w:szCs w:val="14"/>
          <w:lang w:val="es-ES_tradnl"/>
        </w:rPr>
        <w:t>(</w:t>
      </w:r>
      <w:r>
        <w:rPr>
          <w:rFonts w:cs="Times New Roman"/>
          <w:sz w:val="14"/>
          <w:szCs w:val="14"/>
          <w:lang w:val="es-ES_tradnl"/>
        </w:rPr>
        <w:t>…</w:t>
      </w:r>
      <w:r>
        <w:rPr>
          <w:sz w:val="14"/>
          <w:szCs w:val="14"/>
          <w:lang w:val="es-ES_tradnl"/>
        </w:rPr>
        <w:t>) la acci</w:t>
      </w:r>
      <w:r>
        <w:rPr>
          <w:rFonts w:cs="Times New Roman"/>
          <w:sz w:val="14"/>
          <w:szCs w:val="14"/>
          <w:lang w:val="es-ES_tradnl"/>
        </w:rPr>
        <w:t>ó</w:t>
      </w:r>
      <w:r>
        <w:rPr>
          <w:sz w:val="14"/>
          <w:szCs w:val="14"/>
          <w:lang w:val="es-ES_tradnl"/>
        </w:rPr>
        <w:t>n de protecci</w:t>
      </w:r>
      <w:r>
        <w:rPr>
          <w:rFonts w:cs="Times New Roman"/>
          <w:sz w:val="14"/>
          <w:szCs w:val="14"/>
          <w:lang w:val="es-ES_tradnl"/>
        </w:rPr>
        <w:t>ó</w:t>
      </w:r>
      <w:r>
        <w:rPr>
          <w:sz w:val="14"/>
          <w:szCs w:val="14"/>
          <w:lang w:val="es-ES_tradnl"/>
        </w:rPr>
        <w:t>n, desde un punto de </w:t>
      </w:r>
      <w:r>
        <w:rPr>
          <w:spacing w:val="-1"/>
          <w:sz w:val="14"/>
          <w:szCs w:val="14"/>
          <w:lang w:val="es-ES_tradnl"/>
        </w:rPr>
        <w:t>vista estrictamente constitucional, es el amparo directo y eficaz de</w:t>
      </w:r>
    </w:p>
    <w:p w14:paraId="4F67B920" w14:textId="77777777" w:rsidR="00591D54" w:rsidRDefault="00591D54">
      <w:pPr>
        <w:shd w:val="clear" w:color="auto" w:fill="FFFFFF"/>
        <w:spacing w:line="221" w:lineRule="exact"/>
        <w:ind w:right="5"/>
        <w:jc w:val="both"/>
      </w:pPr>
      <w:r>
        <w:br w:type="column"/>
      </w:r>
      <w:r>
        <w:rPr>
          <w:spacing w:val="-8"/>
          <w:sz w:val="18"/>
          <w:szCs w:val="18"/>
          <w:lang w:val="es-ES_tradnl"/>
        </w:rPr>
        <w:t>Constitucional realiz</w:t>
      </w:r>
      <w:r>
        <w:rPr>
          <w:rFonts w:cs="Times New Roman"/>
          <w:spacing w:val="-8"/>
          <w:sz w:val="18"/>
          <w:szCs w:val="18"/>
          <w:lang w:val="es-ES_tradnl"/>
        </w:rPr>
        <w:t>ó</w:t>
      </w:r>
      <w:r>
        <w:rPr>
          <w:spacing w:val="-8"/>
          <w:sz w:val="18"/>
          <w:szCs w:val="18"/>
          <w:lang w:val="es-ES_tradnl"/>
        </w:rPr>
        <w:t xml:space="preserve"> un an</w:t>
      </w:r>
      <w:r>
        <w:rPr>
          <w:rFonts w:cs="Times New Roman"/>
          <w:spacing w:val="-8"/>
          <w:sz w:val="18"/>
          <w:szCs w:val="18"/>
          <w:lang w:val="es-ES_tradnl"/>
        </w:rPr>
        <w:t>á</w:t>
      </w:r>
      <w:r>
        <w:rPr>
          <w:spacing w:val="-8"/>
          <w:sz w:val="18"/>
          <w:szCs w:val="18"/>
          <w:lang w:val="es-ES_tradnl"/>
        </w:rPr>
        <w:t>lisis similar en la sentencia N.</w:t>
      </w:r>
      <w:r>
        <w:rPr>
          <w:rFonts w:cs="Times New Roman"/>
          <w:spacing w:val="-8"/>
          <w:sz w:val="18"/>
          <w:szCs w:val="18"/>
          <w:lang w:val="es-ES_tradnl"/>
        </w:rPr>
        <w:t xml:space="preserve">º </w:t>
      </w:r>
      <w:r>
        <w:rPr>
          <w:spacing w:val="-8"/>
          <w:sz w:val="18"/>
          <w:szCs w:val="18"/>
          <w:lang w:val="es-ES_tradnl"/>
        </w:rPr>
        <w:t>096-14-SEP-CC, dentro del caso N.</w:t>
      </w:r>
      <w:r>
        <w:rPr>
          <w:rFonts w:cs="Times New Roman"/>
          <w:spacing w:val="-8"/>
          <w:sz w:val="18"/>
          <w:szCs w:val="18"/>
          <w:lang w:val="es-ES_tradnl"/>
        </w:rPr>
        <w:t>º</w:t>
      </w:r>
      <w:r>
        <w:rPr>
          <w:spacing w:val="-8"/>
          <w:sz w:val="18"/>
          <w:szCs w:val="18"/>
          <w:lang w:val="es-ES_tradnl"/>
        </w:rPr>
        <w:t xml:space="preserve"> 146-12-EP.</w:t>
      </w:r>
    </w:p>
    <w:p w14:paraId="4F67B921" w14:textId="77777777" w:rsidR="00591D54" w:rsidRDefault="00591D54">
      <w:pPr>
        <w:shd w:val="clear" w:color="auto" w:fill="FFFFFF"/>
        <w:spacing w:before="202" w:line="221" w:lineRule="exact"/>
        <w:ind w:right="5"/>
        <w:jc w:val="both"/>
      </w:pPr>
      <w:r>
        <w:rPr>
          <w:spacing w:val="-7"/>
          <w:sz w:val="18"/>
          <w:szCs w:val="18"/>
          <w:lang w:val="es-ES_tradnl"/>
        </w:rPr>
        <w:t>Por lo expuesto, no se verifica la supuesta indefensi</w:t>
      </w:r>
      <w:r>
        <w:rPr>
          <w:rFonts w:cs="Times New Roman"/>
          <w:spacing w:val="-7"/>
          <w:sz w:val="18"/>
          <w:szCs w:val="18"/>
          <w:lang w:val="es-ES_tradnl"/>
        </w:rPr>
        <w:t>ó</w:t>
      </w:r>
      <w:r>
        <w:rPr>
          <w:spacing w:val="-7"/>
          <w:sz w:val="18"/>
          <w:szCs w:val="18"/>
          <w:lang w:val="es-ES_tradnl"/>
        </w:rPr>
        <w:t xml:space="preserve">n de </w:t>
      </w:r>
      <w:r>
        <w:rPr>
          <w:spacing w:val="-4"/>
          <w:sz w:val="18"/>
          <w:szCs w:val="18"/>
          <w:lang w:val="es-ES_tradnl"/>
        </w:rPr>
        <w:t>la instituci</w:t>
      </w:r>
      <w:r>
        <w:rPr>
          <w:rFonts w:cs="Times New Roman"/>
          <w:spacing w:val="-4"/>
          <w:sz w:val="18"/>
          <w:szCs w:val="18"/>
          <w:lang w:val="es-ES_tradnl"/>
        </w:rPr>
        <w:t>ó</w:t>
      </w:r>
      <w:r>
        <w:rPr>
          <w:spacing w:val="-4"/>
          <w:sz w:val="18"/>
          <w:szCs w:val="18"/>
          <w:lang w:val="es-ES_tradnl"/>
        </w:rPr>
        <w:t xml:space="preserve">n policial que argumenta el legitimado activo </w:t>
      </w:r>
      <w:r>
        <w:rPr>
          <w:sz w:val="18"/>
          <w:szCs w:val="18"/>
          <w:lang w:val="es-ES_tradnl"/>
        </w:rPr>
        <w:t>en la demanda.</w:t>
      </w:r>
    </w:p>
    <w:p w14:paraId="4F67B922" w14:textId="77777777" w:rsidR="00591D54" w:rsidRDefault="00591D54">
      <w:pPr>
        <w:shd w:val="clear" w:color="auto" w:fill="FFFFFF"/>
        <w:spacing w:before="197"/>
      </w:pPr>
      <w:r>
        <w:rPr>
          <w:b/>
          <w:bCs/>
          <w:spacing w:val="-7"/>
          <w:sz w:val="18"/>
          <w:szCs w:val="18"/>
          <w:lang w:val="es-ES_tradnl"/>
        </w:rPr>
        <w:t>Motivaci</w:t>
      </w:r>
      <w:r>
        <w:rPr>
          <w:rFonts w:cs="Times New Roman"/>
          <w:b/>
          <w:bCs/>
          <w:spacing w:val="-7"/>
          <w:sz w:val="18"/>
          <w:szCs w:val="18"/>
          <w:lang w:val="es-ES_tradnl"/>
        </w:rPr>
        <w:t>ó</w:t>
      </w:r>
      <w:r>
        <w:rPr>
          <w:b/>
          <w:bCs/>
          <w:spacing w:val="-7"/>
          <w:sz w:val="18"/>
          <w:szCs w:val="18"/>
          <w:lang w:val="es-ES_tradnl"/>
        </w:rPr>
        <w:t>n</w:t>
      </w:r>
    </w:p>
    <w:p w14:paraId="4F67B923" w14:textId="77777777" w:rsidR="00591D54" w:rsidRDefault="00591D54">
      <w:pPr>
        <w:shd w:val="clear" w:color="auto" w:fill="FFFFFF"/>
        <w:spacing w:before="202" w:line="221" w:lineRule="exact"/>
        <w:ind w:right="5"/>
        <w:jc w:val="both"/>
      </w:pPr>
      <w:r>
        <w:rPr>
          <w:spacing w:val="-6"/>
          <w:sz w:val="18"/>
          <w:szCs w:val="18"/>
          <w:lang w:val="es-ES_tradnl"/>
        </w:rPr>
        <w:t>Dentro de las garant</w:t>
      </w:r>
      <w:r>
        <w:rPr>
          <w:rFonts w:cs="Times New Roman"/>
          <w:spacing w:val="-6"/>
          <w:sz w:val="18"/>
          <w:szCs w:val="18"/>
          <w:lang w:val="es-ES_tradnl"/>
        </w:rPr>
        <w:t>í</w:t>
      </w:r>
      <w:r>
        <w:rPr>
          <w:spacing w:val="-6"/>
          <w:sz w:val="18"/>
          <w:szCs w:val="18"/>
          <w:lang w:val="es-ES_tradnl"/>
        </w:rPr>
        <w:t xml:space="preserve">as que componen el derecho a la </w:t>
      </w:r>
      <w:r>
        <w:rPr>
          <w:spacing w:val="-8"/>
          <w:sz w:val="18"/>
          <w:szCs w:val="18"/>
          <w:lang w:val="es-ES_tradnl"/>
        </w:rPr>
        <w:t>defensa tambi</w:t>
      </w:r>
      <w:r>
        <w:rPr>
          <w:rFonts w:cs="Times New Roman"/>
          <w:spacing w:val="-8"/>
          <w:sz w:val="18"/>
          <w:szCs w:val="18"/>
          <w:lang w:val="es-ES_tradnl"/>
        </w:rPr>
        <w:t>é</w:t>
      </w:r>
      <w:r>
        <w:rPr>
          <w:spacing w:val="-8"/>
          <w:sz w:val="18"/>
          <w:szCs w:val="18"/>
          <w:lang w:val="es-ES_tradnl"/>
        </w:rPr>
        <w:t xml:space="preserve">n se encuentra el derecho a recibir de la </w:t>
      </w:r>
      <w:r>
        <w:rPr>
          <w:spacing w:val="-4"/>
          <w:sz w:val="18"/>
          <w:szCs w:val="18"/>
          <w:lang w:val="es-ES_tradnl"/>
        </w:rPr>
        <w:t xml:space="preserve">autoridad judicial resoluciones o fallos motivados, que </w:t>
      </w:r>
      <w:r>
        <w:rPr>
          <w:spacing w:val="-7"/>
          <w:sz w:val="18"/>
          <w:szCs w:val="18"/>
          <w:lang w:val="es-ES_tradnl"/>
        </w:rPr>
        <w:t>como ya se dijo en el pre</w:t>
      </w:r>
      <w:r>
        <w:rPr>
          <w:rFonts w:cs="Times New Roman"/>
          <w:spacing w:val="-7"/>
          <w:sz w:val="18"/>
          <w:szCs w:val="18"/>
          <w:lang w:val="es-ES_tradnl"/>
        </w:rPr>
        <w:t>á</w:t>
      </w:r>
      <w:r>
        <w:rPr>
          <w:spacing w:val="-7"/>
          <w:sz w:val="18"/>
          <w:szCs w:val="18"/>
          <w:lang w:val="es-ES_tradnl"/>
        </w:rPr>
        <w:t>mbulo del presente an</w:t>
      </w:r>
      <w:r>
        <w:rPr>
          <w:rFonts w:cs="Times New Roman"/>
          <w:spacing w:val="-7"/>
          <w:sz w:val="18"/>
          <w:szCs w:val="18"/>
          <w:lang w:val="es-ES_tradnl"/>
        </w:rPr>
        <w:t>á</w:t>
      </w:r>
      <w:r>
        <w:rPr>
          <w:spacing w:val="-7"/>
          <w:sz w:val="18"/>
          <w:szCs w:val="18"/>
          <w:lang w:val="es-ES_tradnl"/>
        </w:rPr>
        <w:t xml:space="preserve">lisis, se </w:t>
      </w:r>
      <w:r>
        <w:rPr>
          <w:spacing w:val="-9"/>
          <w:sz w:val="18"/>
          <w:szCs w:val="18"/>
          <w:lang w:val="es-ES_tradnl"/>
        </w:rPr>
        <w:t xml:space="preserve">encuentra establecido en la norma del numeral 7 literal </w:t>
      </w:r>
      <w:r>
        <w:rPr>
          <w:b/>
          <w:bCs/>
          <w:spacing w:val="-9"/>
          <w:sz w:val="18"/>
          <w:szCs w:val="18"/>
          <w:lang w:val="es-ES_tradnl"/>
        </w:rPr>
        <w:t xml:space="preserve">l </w:t>
      </w:r>
      <w:r>
        <w:rPr>
          <w:spacing w:val="-9"/>
          <w:sz w:val="18"/>
          <w:szCs w:val="18"/>
          <w:lang w:val="es-ES_tradnl"/>
        </w:rPr>
        <w:t xml:space="preserve">del </w:t>
      </w:r>
      <w:r>
        <w:rPr>
          <w:sz w:val="18"/>
          <w:szCs w:val="18"/>
          <w:lang w:val="es-ES_tradnl"/>
        </w:rPr>
        <w:t>art</w:t>
      </w:r>
      <w:r>
        <w:rPr>
          <w:rFonts w:cs="Times New Roman"/>
          <w:sz w:val="18"/>
          <w:szCs w:val="18"/>
          <w:lang w:val="es-ES_tradnl"/>
        </w:rPr>
        <w:t>í</w:t>
      </w:r>
      <w:r>
        <w:rPr>
          <w:sz w:val="18"/>
          <w:szCs w:val="18"/>
          <w:lang w:val="es-ES_tradnl"/>
        </w:rPr>
        <w:t>culo 76 de la Constituci</w:t>
      </w:r>
      <w:r>
        <w:rPr>
          <w:rFonts w:cs="Times New Roman"/>
          <w:sz w:val="18"/>
          <w:szCs w:val="18"/>
          <w:lang w:val="es-ES_tradnl"/>
        </w:rPr>
        <w:t>ó</w:t>
      </w:r>
      <w:r>
        <w:rPr>
          <w:sz w:val="18"/>
          <w:szCs w:val="18"/>
          <w:lang w:val="es-ES_tradnl"/>
        </w:rPr>
        <w:t>n.</w:t>
      </w:r>
    </w:p>
    <w:p w14:paraId="4F67B924" w14:textId="77777777" w:rsidR="00591D54" w:rsidRDefault="00591D54">
      <w:pPr>
        <w:shd w:val="clear" w:color="auto" w:fill="FFFFFF"/>
        <w:spacing w:before="202" w:line="221" w:lineRule="exact"/>
        <w:ind w:right="5"/>
        <w:jc w:val="both"/>
      </w:pPr>
      <w:r>
        <w:rPr>
          <w:spacing w:val="-7"/>
          <w:sz w:val="18"/>
          <w:szCs w:val="18"/>
          <w:lang w:val="es-ES_tradnl"/>
        </w:rPr>
        <w:t>Es necesario aclarar que lo determinado en la norma constitucional, no se agota en la simple enunciaci</w:t>
      </w:r>
      <w:r>
        <w:rPr>
          <w:rFonts w:cs="Times New Roman"/>
          <w:spacing w:val="-7"/>
          <w:sz w:val="18"/>
          <w:szCs w:val="18"/>
          <w:lang w:val="es-ES_tradnl"/>
        </w:rPr>
        <w:t>ó</w:t>
      </w:r>
      <w:r>
        <w:rPr>
          <w:spacing w:val="-7"/>
          <w:sz w:val="18"/>
          <w:szCs w:val="18"/>
          <w:lang w:val="es-ES_tradnl"/>
        </w:rPr>
        <w:t xml:space="preserve">n de las </w:t>
      </w:r>
      <w:r>
        <w:rPr>
          <w:spacing w:val="-8"/>
          <w:sz w:val="18"/>
          <w:szCs w:val="18"/>
          <w:lang w:val="es-ES_tradnl"/>
        </w:rPr>
        <w:t>normas jur</w:t>
      </w:r>
      <w:r>
        <w:rPr>
          <w:rFonts w:cs="Times New Roman"/>
          <w:spacing w:val="-8"/>
          <w:sz w:val="18"/>
          <w:szCs w:val="18"/>
          <w:lang w:val="es-ES_tradnl"/>
        </w:rPr>
        <w:t>í</w:t>
      </w:r>
      <w:r>
        <w:rPr>
          <w:spacing w:val="-8"/>
          <w:sz w:val="18"/>
          <w:szCs w:val="18"/>
          <w:lang w:val="es-ES_tradnl"/>
        </w:rPr>
        <w:t xml:space="preserve">dicas consideradas pertinentes y aplicables a la </w:t>
      </w:r>
      <w:r>
        <w:rPr>
          <w:spacing w:val="-7"/>
          <w:sz w:val="18"/>
          <w:szCs w:val="18"/>
          <w:lang w:val="es-ES_tradnl"/>
        </w:rPr>
        <w:t>realidad f</w:t>
      </w:r>
      <w:r>
        <w:rPr>
          <w:rFonts w:cs="Times New Roman"/>
          <w:spacing w:val="-7"/>
          <w:sz w:val="18"/>
          <w:szCs w:val="18"/>
          <w:lang w:val="es-ES_tradnl"/>
        </w:rPr>
        <w:t>á</w:t>
      </w:r>
      <w:r>
        <w:rPr>
          <w:spacing w:val="-7"/>
          <w:sz w:val="18"/>
          <w:szCs w:val="18"/>
          <w:lang w:val="es-ES_tradnl"/>
        </w:rPr>
        <w:t>ctica del caso, comprende adem</w:t>
      </w:r>
      <w:r>
        <w:rPr>
          <w:rFonts w:cs="Times New Roman"/>
          <w:spacing w:val="-7"/>
          <w:sz w:val="18"/>
          <w:szCs w:val="18"/>
          <w:lang w:val="es-ES_tradnl"/>
        </w:rPr>
        <w:t>á</w:t>
      </w:r>
      <w:r>
        <w:rPr>
          <w:spacing w:val="-7"/>
          <w:sz w:val="18"/>
          <w:szCs w:val="18"/>
          <w:lang w:val="es-ES_tradnl"/>
        </w:rPr>
        <w:t xml:space="preserve">s un ejercicio </w:t>
      </w:r>
      <w:r>
        <w:rPr>
          <w:spacing w:val="-8"/>
          <w:sz w:val="18"/>
          <w:szCs w:val="18"/>
          <w:lang w:val="es-ES_tradnl"/>
        </w:rPr>
        <w:t>argumentativo m</w:t>
      </w:r>
      <w:r>
        <w:rPr>
          <w:rFonts w:cs="Times New Roman"/>
          <w:spacing w:val="-8"/>
          <w:sz w:val="18"/>
          <w:szCs w:val="18"/>
          <w:lang w:val="es-ES_tradnl"/>
        </w:rPr>
        <w:t>á</w:t>
      </w:r>
      <w:r>
        <w:rPr>
          <w:spacing w:val="-8"/>
          <w:sz w:val="18"/>
          <w:szCs w:val="18"/>
          <w:lang w:val="es-ES_tradnl"/>
        </w:rPr>
        <w:t xml:space="preserve">s extenso a cargo del juzgador, respecto </w:t>
      </w:r>
      <w:r>
        <w:rPr>
          <w:spacing w:val="-9"/>
          <w:sz w:val="18"/>
          <w:szCs w:val="18"/>
          <w:lang w:val="es-ES_tradnl"/>
        </w:rPr>
        <w:t>de las razones leg</w:t>
      </w:r>
      <w:r>
        <w:rPr>
          <w:rFonts w:cs="Times New Roman"/>
          <w:spacing w:val="-9"/>
          <w:sz w:val="18"/>
          <w:szCs w:val="18"/>
          <w:lang w:val="es-ES_tradnl"/>
        </w:rPr>
        <w:t>í</w:t>
      </w:r>
      <w:r>
        <w:rPr>
          <w:spacing w:val="-9"/>
          <w:sz w:val="18"/>
          <w:szCs w:val="18"/>
          <w:lang w:val="es-ES_tradnl"/>
        </w:rPr>
        <w:t xml:space="preserve">timas de las partes, expuestas en sus </w:t>
      </w:r>
      <w:r>
        <w:rPr>
          <w:sz w:val="18"/>
          <w:szCs w:val="18"/>
          <w:lang w:val="es-ES_tradnl"/>
        </w:rPr>
        <w:t>pretensiones y aportes probatorios</w:t>
      </w:r>
      <w:r>
        <w:rPr>
          <w:sz w:val="18"/>
          <w:szCs w:val="18"/>
          <w:vertAlign w:val="superscript"/>
          <w:lang w:val="es-ES_tradnl"/>
        </w:rPr>
        <w:t>5</w:t>
      </w:r>
      <w:r>
        <w:rPr>
          <w:sz w:val="18"/>
          <w:szCs w:val="18"/>
          <w:lang w:val="es-ES_tradnl"/>
        </w:rPr>
        <w:t>.</w:t>
      </w:r>
    </w:p>
    <w:p w14:paraId="4F67B925" w14:textId="77777777" w:rsidR="00591D54" w:rsidRDefault="00591D54">
      <w:pPr>
        <w:shd w:val="clear" w:color="auto" w:fill="FFFFFF"/>
        <w:spacing w:before="202"/>
      </w:pPr>
      <w:r>
        <w:rPr>
          <w:spacing w:val="-7"/>
          <w:sz w:val="18"/>
          <w:szCs w:val="18"/>
          <w:lang w:val="es-ES_tradnl"/>
        </w:rPr>
        <w:t>La Corte Constitucional al respecto, ha se</w:t>
      </w:r>
      <w:r>
        <w:rPr>
          <w:rFonts w:cs="Times New Roman"/>
          <w:spacing w:val="-7"/>
          <w:sz w:val="18"/>
          <w:szCs w:val="18"/>
          <w:lang w:val="es-ES_tradnl"/>
        </w:rPr>
        <w:t>ñ</w:t>
      </w:r>
      <w:r>
        <w:rPr>
          <w:spacing w:val="-7"/>
          <w:sz w:val="18"/>
          <w:szCs w:val="18"/>
          <w:lang w:val="es-ES_tradnl"/>
        </w:rPr>
        <w:t>alado:</w:t>
      </w:r>
    </w:p>
    <w:p w14:paraId="4F67B926" w14:textId="77777777" w:rsidR="00591D54" w:rsidRDefault="00591D54">
      <w:pPr>
        <w:shd w:val="clear" w:color="auto" w:fill="FFFFFF"/>
        <w:spacing w:before="206" w:line="221" w:lineRule="exact"/>
        <w:ind w:left="283"/>
        <w:jc w:val="both"/>
      </w:pPr>
      <w:r>
        <w:rPr>
          <w:sz w:val="14"/>
          <w:szCs w:val="14"/>
          <w:lang w:val="es-ES_tradnl"/>
        </w:rPr>
        <w:t>Para que determinada resoluci</w:t>
      </w:r>
      <w:r>
        <w:rPr>
          <w:rFonts w:cs="Times New Roman"/>
          <w:sz w:val="14"/>
          <w:szCs w:val="14"/>
          <w:lang w:val="es-ES_tradnl"/>
        </w:rPr>
        <w:t>ó</w:t>
      </w:r>
      <w:r>
        <w:rPr>
          <w:sz w:val="14"/>
          <w:szCs w:val="14"/>
          <w:lang w:val="es-ES_tradnl"/>
        </w:rPr>
        <w:t>n se halle debidamente motivada es necesario que la autoridad que tome la decisi</w:t>
      </w:r>
      <w:r>
        <w:rPr>
          <w:rFonts w:cs="Times New Roman"/>
          <w:sz w:val="14"/>
          <w:szCs w:val="14"/>
          <w:lang w:val="es-ES_tradnl"/>
        </w:rPr>
        <w:t>ó</w:t>
      </w:r>
      <w:r>
        <w:rPr>
          <w:sz w:val="14"/>
          <w:szCs w:val="14"/>
          <w:lang w:val="es-ES_tradnl"/>
        </w:rPr>
        <w:t>n exponga las razones que el Derecho le ofrece para adoptarla. Dicha exposici</w:t>
      </w:r>
      <w:r>
        <w:rPr>
          <w:rFonts w:cs="Times New Roman"/>
          <w:sz w:val="14"/>
          <w:szCs w:val="14"/>
          <w:lang w:val="es-ES_tradnl"/>
        </w:rPr>
        <w:t>ó</w:t>
      </w:r>
      <w:r>
        <w:rPr>
          <w:sz w:val="14"/>
          <w:szCs w:val="14"/>
          <w:lang w:val="es-ES_tradnl"/>
        </w:rPr>
        <w:t>n debe hac</w:t>
      </w:r>
      <w:r>
        <w:rPr>
          <w:rFonts w:cs="Times New Roman"/>
          <w:sz w:val="14"/>
          <w:szCs w:val="14"/>
          <w:lang w:val="es-ES_tradnl"/>
        </w:rPr>
        <w:t>é</w:t>
      </w:r>
      <w:r>
        <w:rPr>
          <w:sz w:val="14"/>
          <w:szCs w:val="14"/>
          <w:lang w:val="es-ES_tradnl"/>
        </w:rPr>
        <w:t>rsela de manera razonable, l</w:t>
      </w:r>
      <w:r>
        <w:rPr>
          <w:rFonts w:cs="Times New Roman"/>
          <w:sz w:val="14"/>
          <w:szCs w:val="14"/>
          <w:lang w:val="es-ES_tradnl"/>
        </w:rPr>
        <w:t>ó</w:t>
      </w:r>
      <w:r>
        <w:rPr>
          <w:sz w:val="14"/>
          <w:szCs w:val="14"/>
          <w:lang w:val="es-ES_tradnl"/>
        </w:rPr>
        <w:t>gica y comprensible, as</w:t>
      </w:r>
      <w:r>
        <w:rPr>
          <w:rFonts w:cs="Times New Roman"/>
          <w:sz w:val="14"/>
          <w:szCs w:val="14"/>
          <w:lang w:val="es-ES_tradnl"/>
        </w:rPr>
        <w:t>í</w:t>
      </w:r>
      <w:r>
        <w:rPr>
          <w:sz w:val="14"/>
          <w:szCs w:val="14"/>
          <w:lang w:val="es-ES_tradnl"/>
        </w:rPr>
        <w:t xml:space="preserve"> como mostrar c</w:t>
      </w:r>
      <w:r>
        <w:rPr>
          <w:rFonts w:cs="Times New Roman"/>
          <w:sz w:val="14"/>
          <w:szCs w:val="14"/>
          <w:lang w:val="es-ES_tradnl"/>
        </w:rPr>
        <w:t>ó</w:t>
      </w:r>
      <w:r>
        <w:rPr>
          <w:sz w:val="14"/>
          <w:szCs w:val="14"/>
          <w:lang w:val="es-ES_tradnl"/>
        </w:rPr>
        <w:t xml:space="preserve">mo los enunciados </w:t>
      </w:r>
      <w:r>
        <w:rPr>
          <w:spacing w:val="-1"/>
          <w:sz w:val="14"/>
          <w:szCs w:val="14"/>
          <w:lang w:val="es-ES_tradnl"/>
        </w:rPr>
        <w:t xml:space="preserve">normativos se adecuan a los deseos de solucionar los confl ictos </w:t>
      </w:r>
      <w:r>
        <w:rPr>
          <w:sz w:val="14"/>
          <w:szCs w:val="14"/>
          <w:lang w:val="es-ES_tradnl"/>
        </w:rPr>
        <w:t>presentados. Una decisi</w:t>
      </w:r>
      <w:r>
        <w:rPr>
          <w:rFonts w:cs="Times New Roman"/>
          <w:sz w:val="14"/>
          <w:szCs w:val="14"/>
          <w:lang w:val="es-ES_tradnl"/>
        </w:rPr>
        <w:t>ó</w:t>
      </w:r>
      <w:r>
        <w:rPr>
          <w:sz w:val="14"/>
          <w:szCs w:val="14"/>
          <w:lang w:val="es-ES_tradnl"/>
        </w:rPr>
        <w:t xml:space="preserve">n </w:t>
      </w:r>
      <w:r>
        <w:rPr>
          <w:b/>
          <w:bCs/>
          <w:sz w:val="14"/>
          <w:szCs w:val="14"/>
          <w:lang w:val="es-ES_tradnl"/>
        </w:rPr>
        <w:t xml:space="preserve">razonable </w:t>
      </w:r>
      <w:r>
        <w:rPr>
          <w:sz w:val="14"/>
          <w:szCs w:val="14"/>
          <w:lang w:val="es-ES_tradnl"/>
        </w:rPr>
        <w:t>es aquella fundada en los principios constitucionales. La decisi</w:t>
      </w:r>
      <w:r>
        <w:rPr>
          <w:rFonts w:cs="Times New Roman"/>
          <w:sz w:val="14"/>
          <w:szCs w:val="14"/>
          <w:lang w:val="es-ES_tradnl"/>
        </w:rPr>
        <w:t>ó</w:t>
      </w:r>
      <w:r>
        <w:rPr>
          <w:sz w:val="14"/>
          <w:szCs w:val="14"/>
          <w:lang w:val="es-ES_tradnl"/>
        </w:rPr>
        <w:t xml:space="preserve">n </w:t>
      </w:r>
      <w:r>
        <w:rPr>
          <w:b/>
          <w:bCs/>
          <w:sz w:val="14"/>
          <w:szCs w:val="14"/>
          <w:lang w:val="es-ES_tradnl"/>
        </w:rPr>
        <w:t>l</w:t>
      </w:r>
      <w:r>
        <w:rPr>
          <w:rFonts w:cs="Times New Roman"/>
          <w:b/>
          <w:bCs/>
          <w:sz w:val="14"/>
          <w:szCs w:val="14"/>
          <w:lang w:val="es-ES_tradnl"/>
        </w:rPr>
        <w:t>ó</w:t>
      </w:r>
      <w:r>
        <w:rPr>
          <w:b/>
          <w:bCs/>
          <w:sz w:val="14"/>
          <w:szCs w:val="14"/>
          <w:lang w:val="es-ES_tradnl"/>
        </w:rPr>
        <w:t>gica</w:t>
      </w:r>
      <w:r>
        <w:rPr>
          <w:sz w:val="14"/>
          <w:szCs w:val="14"/>
          <w:lang w:val="es-ES_tradnl"/>
        </w:rPr>
        <w:t>, por su lado, implica coherencia entre las premisas y la conclusi</w:t>
      </w:r>
      <w:r>
        <w:rPr>
          <w:rFonts w:cs="Times New Roman"/>
          <w:sz w:val="14"/>
          <w:szCs w:val="14"/>
          <w:lang w:val="es-ES_tradnl"/>
        </w:rPr>
        <w:t>ó</w:t>
      </w:r>
      <w:r>
        <w:rPr>
          <w:sz w:val="14"/>
          <w:szCs w:val="14"/>
          <w:lang w:val="es-ES_tradnl"/>
        </w:rPr>
        <w:t>n, as</w:t>
      </w:r>
      <w:r>
        <w:rPr>
          <w:rFonts w:cs="Times New Roman"/>
          <w:sz w:val="14"/>
          <w:szCs w:val="14"/>
          <w:lang w:val="es-ES_tradnl"/>
        </w:rPr>
        <w:t>í</w:t>
      </w:r>
      <w:r>
        <w:rPr>
          <w:sz w:val="14"/>
          <w:szCs w:val="14"/>
          <w:lang w:val="es-ES_tradnl"/>
        </w:rPr>
        <w:t xml:space="preserve"> como entre esta y la decisi</w:t>
      </w:r>
      <w:r>
        <w:rPr>
          <w:rFonts w:cs="Times New Roman"/>
          <w:sz w:val="14"/>
          <w:szCs w:val="14"/>
          <w:lang w:val="es-ES_tradnl"/>
        </w:rPr>
        <w:t>ó</w:t>
      </w:r>
      <w:r>
        <w:rPr>
          <w:sz w:val="14"/>
          <w:szCs w:val="14"/>
          <w:lang w:val="es-ES_tradnl"/>
        </w:rPr>
        <w:t>n. Una decisi</w:t>
      </w:r>
      <w:r>
        <w:rPr>
          <w:rFonts w:cs="Times New Roman"/>
          <w:sz w:val="14"/>
          <w:szCs w:val="14"/>
          <w:lang w:val="es-ES_tradnl"/>
        </w:rPr>
        <w:t>ó</w:t>
      </w:r>
      <w:r>
        <w:rPr>
          <w:sz w:val="14"/>
          <w:szCs w:val="14"/>
          <w:lang w:val="es-ES_tradnl"/>
        </w:rPr>
        <w:t xml:space="preserve">n </w:t>
      </w:r>
      <w:r>
        <w:rPr>
          <w:b/>
          <w:bCs/>
          <w:sz w:val="14"/>
          <w:szCs w:val="14"/>
          <w:lang w:val="es-ES_tradnl"/>
        </w:rPr>
        <w:t>comprensible</w:t>
      </w:r>
      <w:r>
        <w:rPr>
          <w:sz w:val="14"/>
          <w:szCs w:val="14"/>
          <w:lang w:val="es-ES_tradnl"/>
        </w:rPr>
        <w:t xml:space="preserve">, por </w:t>
      </w:r>
      <w:r>
        <w:rPr>
          <w:rFonts w:cs="Times New Roman"/>
          <w:sz w:val="14"/>
          <w:szCs w:val="14"/>
          <w:lang w:val="es-ES_tradnl"/>
        </w:rPr>
        <w:t>ú</w:t>
      </w:r>
      <w:r>
        <w:rPr>
          <w:sz w:val="14"/>
          <w:szCs w:val="14"/>
          <w:lang w:val="es-ES_tradnl"/>
        </w:rPr>
        <w:t>ltimo, debe gozar de claridad en el lenguaje, con miras a su fiscalizaci</w:t>
      </w:r>
      <w:r>
        <w:rPr>
          <w:rFonts w:cs="Times New Roman"/>
          <w:sz w:val="14"/>
          <w:szCs w:val="14"/>
          <w:lang w:val="es-ES_tradnl"/>
        </w:rPr>
        <w:t>ó</w:t>
      </w:r>
      <w:r>
        <w:rPr>
          <w:sz w:val="14"/>
          <w:szCs w:val="14"/>
          <w:lang w:val="es-ES_tradnl"/>
        </w:rPr>
        <w:t>n por parte del gran auditorio social, m</w:t>
      </w:r>
      <w:r>
        <w:rPr>
          <w:rFonts w:cs="Times New Roman"/>
          <w:sz w:val="14"/>
          <w:szCs w:val="14"/>
          <w:lang w:val="es-ES_tradnl"/>
        </w:rPr>
        <w:t>á</w:t>
      </w:r>
      <w:r>
        <w:rPr>
          <w:sz w:val="14"/>
          <w:szCs w:val="14"/>
          <w:lang w:val="es-ES_tradnl"/>
        </w:rPr>
        <w:t>s all</w:t>
      </w:r>
      <w:r>
        <w:rPr>
          <w:rFonts w:cs="Times New Roman"/>
          <w:sz w:val="14"/>
          <w:szCs w:val="14"/>
          <w:lang w:val="es-ES_tradnl"/>
        </w:rPr>
        <w:t>á</w:t>
      </w:r>
      <w:r>
        <w:rPr>
          <w:sz w:val="14"/>
          <w:szCs w:val="14"/>
          <w:lang w:val="es-ES_tradnl"/>
        </w:rPr>
        <w:t xml:space="preserve"> de las partes en confl icto</w:t>
      </w:r>
      <w:r>
        <w:rPr>
          <w:sz w:val="14"/>
          <w:szCs w:val="14"/>
          <w:vertAlign w:val="superscript"/>
          <w:lang w:val="es-ES_tradnl"/>
        </w:rPr>
        <w:t>6</w:t>
      </w:r>
      <w:r>
        <w:rPr>
          <w:sz w:val="14"/>
          <w:szCs w:val="14"/>
          <w:lang w:val="es-ES_tradnl"/>
        </w:rPr>
        <w:t>.</w:t>
      </w:r>
    </w:p>
    <w:p w14:paraId="4F67B927" w14:textId="77777777" w:rsidR="00591D54" w:rsidRDefault="00591D54">
      <w:pPr>
        <w:shd w:val="clear" w:color="auto" w:fill="FFFFFF"/>
        <w:spacing w:before="211" w:line="221" w:lineRule="exact"/>
        <w:ind w:right="5"/>
        <w:jc w:val="both"/>
      </w:pPr>
      <w:r>
        <w:rPr>
          <w:spacing w:val="-6"/>
          <w:sz w:val="18"/>
          <w:szCs w:val="18"/>
          <w:lang w:val="es-ES_tradnl"/>
        </w:rPr>
        <w:t>Corresponde entonces proceder al an</w:t>
      </w:r>
      <w:r>
        <w:rPr>
          <w:rFonts w:cs="Times New Roman"/>
          <w:spacing w:val="-6"/>
          <w:sz w:val="18"/>
          <w:szCs w:val="18"/>
          <w:lang w:val="es-ES_tradnl"/>
        </w:rPr>
        <w:t>á</w:t>
      </w:r>
      <w:r>
        <w:rPr>
          <w:spacing w:val="-6"/>
          <w:sz w:val="18"/>
          <w:szCs w:val="18"/>
          <w:lang w:val="es-ES_tradnl"/>
        </w:rPr>
        <w:t xml:space="preserve">lisis constitucional </w:t>
      </w:r>
      <w:r>
        <w:rPr>
          <w:spacing w:val="-4"/>
          <w:sz w:val="18"/>
          <w:szCs w:val="18"/>
          <w:lang w:val="es-ES_tradnl"/>
        </w:rPr>
        <w:t>de la motivaci</w:t>
      </w:r>
      <w:r>
        <w:rPr>
          <w:rFonts w:cs="Times New Roman"/>
          <w:spacing w:val="-4"/>
          <w:sz w:val="18"/>
          <w:szCs w:val="18"/>
          <w:lang w:val="es-ES_tradnl"/>
        </w:rPr>
        <w:t>ó</w:t>
      </w:r>
      <w:r>
        <w:rPr>
          <w:spacing w:val="-4"/>
          <w:sz w:val="18"/>
          <w:szCs w:val="18"/>
          <w:lang w:val="es-ES_tradnl"/>
        </w:rPr>
        <w:t xml:space="preserve">n del fallo impugnado, a la luz de los </w:t>
      </w:r>
      <w:r>
        <w:rPr>
          <w:sz w:val="18"/>
          <w:szCs w:val="18"/>
          <w:lang w:val="es-ES_tradnl"/>
        </w:rPr>
        <w:t>par</w:t>
      </w:r>
      <w:r>
        <w:rPr>
          <w:rFonts w:cs="Times New Roman"/>
          <w:sz w:val="18"/>
          <w:szCs w:val="18"/>
          <w:lang w:val="es-ES_tradnl"/>
        </w:rPr>
        <w:t>á</w:t>
      </w:r>
      <w:r>
        <w:rPr>
          <w:sz w:val="18"/>
          <w:szCs w:val="18"/>
          <w:lang w:val="es-ES_tradnl"/>
        </w:rPr>
        <w:t>metros que anteceden:</w:t>
      </w:r>
    </w:p>
    <w:p w14:paraId="4F67B928" w14:textId="77777777" w:rsidR="00591D54" w:rsidRDefault="00591D54">
      <w:pPr>
        <w:shd w:val="clear" w:color="auto" w:fill="FFFFFF"/>
        <w:spacing w:before="197"/>
      </w:pPr>
      <w:r>
        <w:rPr>
          <w:b/>
          <w:bCs/>
          <w:spacing w:val="-7"/>
          <w:sz w:val="18"/>
          <w:szCs w:val="18"/>
          <w:lang w:val="es-ES_tradnl"/>
        </w:rPr>
        <w:t>Razonabilidad</w:t>
      </w:r>
    </w:p>
    <w:p w14:paraId="4F67B929" w14:textId="77777777" w:rsidR="00591D54" w:rsidRDefault="00591D54">
      <w:pPr>
        <w:shd w:val="clear" w:color="auto" w:fill="FFFFFF"/>
        <w:spacing w:before="202" w:line="226" w:lineRule="exact"/>
        <w:ind w:right="5"/>
        <w:jc w:val="both"/>
      </w:pPr>
      <w:r>
        <w:rPr>
          <w:spacing w:val="-8"/>
          <w:sz w:val="18"/>
          <w:szCs w:val="18"/>
          <w:lang w:val="es-ES_tradnl"/>
        </w:rPr>
        <w:t>Este par</w:t>
      </w:r>
      <w:r>
        <w:rPr>
          <w:rFonts w:cs="Times New Roman"/>
          <w:spacing w:val="-8"/>
          <w:sz w:val="18"/>
          <w:szCs w:val="18"/>
          <w:lang w:val="es-ES_tradnl"/>
        </w:rPr>
        <w:t>á</w:t>
      </w:r>
      <w:r>
        <w:rPr>
          <w:spacing w:val="-8"/>
          <w:sz w:val="18"/>
          <w:szCs w:val="18"/>
          <w:lang w:val="es-ES_tradnl"/>
        </w:rPr>
        <w:t>metro exige que la decisi</w:t>
      </w:r>
      <w:r>
        <w:rPr>
          <w:rFonts w:cs="Times New Roman"/>
          <w:spacing w:val="-8"/>
          <w:sz w:val="18"/>
          <w:szCs w:val="18"/>
          <w:lang w:val="es-ES_tradnl"/>
        </w:rPr>
        <w:t>ó</w:t>
      </w:r>
      <w:r>
        <w:rPr>
          <w:spacing w:val="-8"/>
          <w:sz w:val="18"/>
          <w:szCs w:val="18"/>
          <w:lang w:val="es-ES_tradnl"/>
        </w:rPr>
        <w:t>n judicial se encuentre fundamentada en normas establecidas en el ordenamiento</w:t>
      </w:r>
    </w:p>
    <w:p w14:paraId="4F67B92A" w14:textId="77777777" w:rsidR="00591D54" w:rsidRDefault="00591D54">
      <w:pPr>
        <w:shd w:val="clear" w:color="auto" w:fill="FFFFFF"/>
        <w:spacing w:before="451" w:line="178" w:lineRule="exact"/>
        <w:ind w:left="144" w:right="5"/>
        <w:jc w:val="both"/>
      </w:pPr>
      <w:r>
        <w:rPr>
          <w:spacing w:val="-2"/>
          <w:sz w:val="14"/>
          <w:szCs w:val="14"/>
          <w:lang w:val="es-ES_tradnl"/>
        </w:rPr>
        <w:t>los derechos reconocidos en la Constituci</w:t>
      </w:r>
      <w:r>
        <w:rPr>
          <w:rFonts w:cs="Times New Roman"/>
          <w:spacing w:val="-2"/>
          <w:sz w:val="14"/>
          <w:szCs w:val="14"/>
          <w:lang w:val="es-ES_tradnl"/>
        </w:rPr>
        <w:t>ó</w:t>
      </w:r>
      <w:r>
        <w:rPr>
          <w:spacing w:val="-2"/>
          <w:sz w:val="14"/>
          <w:szCs w:val="14"/>
          <w:lang w:val="es-ES_tradnl"/>
        </w:rPr>
        <w:t xml:space="preserve">n; en consecuencia y de </w:t>
      </w:r>
      <w:r>
        <w:rPr>
          <w:spacing w:val="-3"/>
          <w:sz w:val="14"/>
          <w:szCs w:val="14"/>
          <w:lang w:val="es-ES_tradnl"/>
        </w:rPr>
        <w:t>inicio nos queda absolutamente claro que no se trata de una garant</w:t>
      </w:r>
      <w:r>
        <w:rPr>
          <w:rFonts w:cs="Times New Roman"/>
          <w:spacing w:val="-3"/>
          <w:sz w:val="14"/>
          <w:szCs w:val="14"/>
          <w:lang w:val="es-ES_tradnl"/>
        </w:rPr>
        <w:t>í</w:t>
      </w:r>
      <w:r>
        <w:rPr>
          <w:spacing w:val="-3"/>
          <w:sz w:val="14"/>
          <w:szCs w:val="14"/>
          <w:lang w:val="es-ES_tradnl"/>
        </w:rPr>
        <w:t xml:space="preserve">a </w:t>
      </w:r>
      <w:r>
        <w:rPr>
          <w:spacing w:val="-1"/>
          <w:sz w:val="14"/>
          <w:szCs w:val="14"/>
          <w:lang w:val="es-ES_tradnl"/>
        </w:rPr>
        <w:t>excepcional en el sentido de residual, subsidiaria (</w:t>
      </w:r>
      <w:r>
        <w:rPr>
          <w:rFonts w:cs="Times New Roman"/>
          <w:spacing w:val="-1"/>
          <w:sz w:val="14"/>
          <w:szCs w:val="14"/>
          <w:lang w:val="es-ES_tradnl"/>
        </w:rPr>
        <w:t>…</w:t>
      </w:r>
      <w:r>
        <w:rPr>
          <w:spacing w:val="-1"/>
          <w:sz w:val="14"/>
          <w:szCs w:val="14"/>
          <w:lang w:val="es-ES_tradnl"/>
        </w:rPr>
        <w:t>)</w:t>
      </w:r>
      <w:r>
        <w:rPr>
          <w:rFonts w:cs="Times New Roman"/>
          <w:spacing w:val="-1"/>
          <w:sz w:val="14"/>
          <w:szCs w:val="14"/>
          <w:lang w:val="es-ES_tradnl"/>
        </w:rPr>
        <w:t>”</w:t>
      </w:r>
      <w:r>
        <w:rPr>
          <w:spacing w:val="-1"/>
          <w:sz w:val="14"/>
          <w:szCs w:val="14"/>
          <w:lang w:val="es-ES_tradnl"/>
        </w:rPr>
        <w:t>.</w:t>
      </w:r>
    </w:p>
    <w:p w14:paraId="4F67B92B" w14:textId="77777777" w:rsidR="00591D54" w:rsidRDefault="00591D54">
      <w:pPr>
        <w:shd w:val="clear" w:color="auto" w:fill="FFFFFF"/>
        <w:tabs>
          <w:tab w:val="left" w:pos="144"/>
        </w:tabs>
        <w:spacing w:before="154" w:line="178" w:lineRule="exact"/>
        <w:ind w:left="144" w:right="5" w:hanging="144"/>
        <w:jc w:val="both"/>
      </w:pPr>
      <w:r>
        <w:rPr>
          <w:sz w:val="10"/>
          <w:szCs w:val="10"/>
          <w:vertAlign w:val="superscript"/>
          <w:lang w:val="es-ES_tradnl"/>
        </w:rPr>
        <w:t>5</w:t>
      </w:r>
      <w:r>
        <w:rPr>
          <w:sz w:val="18"/>
          <w:szCs w:val="18"/>
          <w:lang w:val="es-ES_tradnl"/>
        </w:rPr>
        <w:tab/>
      </w:r>
      <w:r>
        <w:rPr>
          <w:spacing w:val="-3"/>
          <w:sz w:val="14"/>
          <w:szCs w:val="14"/>
          <w:lang w:val="es-ES_tradnl"/>
        </w:rPr>
        <w:t>Ley</w:t>
      </w:r>
      <w:r>
        <w:rPr>
          <w:spacing w:val="-3"/>
          <w:sz w:val="18"/>
          <w:szCs w:val="18"/>
          <w:lang w:val="es-ES_tradnl"/>
        </w:rPr>
        <w:t xml:space="preserve"> </w:t>
      </w:r>
      <w:r>
        <w:rPr>
          <w:spacing w:val="-3"/>
          <w:sz w:val="14"/>
          <w:szCs w:val="14"/>
          <w:lang w:val="es-ES_tradnl"/>
        </w:rPr>
        <w:t>Org</w:t>
      </w:r>
      <w:r>
        <w:rPr>
          <w:rFonts w:cs="Times New Roman"/>
          <w:spacing w:val="-3"/>
          <w:sz w:val="14"/>
          <w:szCs w:val="14"/>
          <w:lang w:val="es-ES_tradnl"/>
        </w:rPr>
        <w:t>á</w:t>
      </w:r>
      <w:r>
        <w:rPr>
          <w:spacing w:val="-3"/>
          <w:sz w:val="14"/>
          <w:szCs w:val="14"/>
          <w:lang w:val="es-ES_tradnl"/>
        </w:rPr>
        <w:t>nica</w:t>
      </w:r>
      <w:r>
        <w:rPr>
          <w:spacing w:val="-3"/>
          <w:sz w:val="18"/>
          <w:szCs w:val="18"/>
          <w:lang w:val="es-ES_tradnl"/>
        </w:rPr>
        <w:t xml:space="preserve"> </w:t>
      </w:r>
      <w:r>
        <w:rPr>
          <w:spacing w:val="-3"/>
          <w:sz w:val="14"/>
          <w:szCs w:val="14"/>
          <w:lang w:val="es-ES_tradnl"/>
        </w:rPr>
        <w:t>de</w:t>
      </w:r>
      <w:r>
        <w:rPr>
          <w:spacing w:val="-3"/>
          <w:sz w:val="18"/>
          <w:szCs w:val="18"/>
          <w:lang w:val="es-ES_tradnl"/>
        </w:rPr>
        <w:t xml:space="preserve"> </w:t>
      </w:r>
      <w:r>
        <w:rPr>
          <w:spacing w:val="-3"/>
          <w:sz w:val="14"/>
          <w:szCs w:val="14"/>
          <w:lang w:val="es-ES_tradnl"/>
        </w:rPr>
        <w:t>Garant</w:t>
      </w:r>
      <w:r>
        <w:rPr>
          <w:rFonts w:cs="Times New Roman"/>
          <w:spacing w:val="-3"/>
          <w:sz w:val="14"/>
          <w:szCs w:val="14"/>
          <w:lang w:val="es-ES_tradnl"/>
        </w:rPr>
        <w:t>í</w:t>
      </w:r>
      <w:r>
        <w:rPr>
          <w:spacing w:val="-3"/>
          <w:sz w:val="14"/>
          <w:szCs w:val="14"/>
          <w:lang w:val="es-ES_tradnl"/>
        </w:rPr>
        <w:t>as</w:t>
      </w:r>
      <w:r>
        <w:rPr>
          <w:spacing w:val="-3"/>
          <w:sz w:val="18"/>
          <w:szCs w:val="18"/>
          <w:lang w:val="es-ES_tradnl"/>
        </w:rPr>
        <w:t xml:space="preserve"> </w:t>
      </w:r>
      <w:r>
        <w:rPr>
          <w:spacing w:val="-3"/>
          <w:sz w:val="14"/>
          <w:szCs w:val="14"/>
          <w:lang w:val="es-ES_tradnl"/>
        </w:rPr>
        <w:t>Jurisdiccionales</w:t>
      </w:r>
      <w:r>
        <w:rPr>
          <w:spacing w:val="-3"/>
          <w:sz w:val="18"/>
          <w:szCs w:val="18"/>
          <w:lang w:val="es-ES_tradnl"/>
        </w:rPr>
        <w:t xml:space="preserve"> </w:t>
      </w:r>
      <w:r>
        <w:rPr>
          <w:spacing w:val="-3"/>
          <w:sz w:val="14"/>
          <w:szCs w:val="14"/>
          <w:lang w:val="es-ES_tradnl"/>
        </w:rPr>
        <w:t>y</w:t>
      </w:r>
      <w:r>
        <w:rPr>
          <w:spacing w:val="-3"/>
          <w:sz w:val="18"/>
          <w:szCs w:val="18"/>
          <w:lang w:val="es-ES_tradnl"/>
        </w:rPr>
        <w:t xml:space="preserve"> </w:t>
      </w:r>
      <w:r>
        <w:rPr>
          <w:spacing w:val="-3"/>
          <w:sz w:val="14"/>
          <w:szCs w:val="14"/>
          <w:lang w:val="es-ES_tradnl"/>
        </w:rPr>
        <w:t>Control</w:t>
      </w:r>
      <w:r>
        <w:rPr>
          <w:spacing w:val="-3"/>
          <w:sz w:val="18"/>
          <w:szCs w:val="18"/>
          <w:lang w:val="es-ES_tradnl"/>
        </w:rPr>
        <w:t xml:space="preserve"> </w:t>
      </w:r>
      <w:r>
        <w:rPr>
          <w:spacing w:val="-3"/>
          <w:sz w:val="14"/>
          <w:szCs w:val="14"/>
          <w:lang w:val="es-ES_tradnl"/>
        </w:rPr>
        <w:t>Constitucional. </w:t>
      </w:r>
      <w:r>
        <w:rPr>
          <w:spacing w:val="-1"/>
          <w:sz w:val="14"/>
          <w:szCs w:val="14"/>
          <w:lang w:val="es-ES_tradnl"/>
        </w:rPr>
        <w:t>Art. 4 numeral 9: Motivaci</w:t>
      </w:r>
      <w:r>
        <w:rPr>
          <w:rFonts w:cs="Times New Roman"/>
          <w:spacing w:val="-1"/>
          <w:sz w:val="14"/>
          <w:szCs w:val="14"/>
          <w:lang w:val="es-ES_tradnl"/>
        </w:rPr>
        <w:t>ó</w:t>
      </w:r>
      <w:r>
        <w:rPr>
          <w:spacing w:val="-1"/>
          <w:sz w:val="14"/>
          <w:szCs w:val="14"/>
          <w:lang w:val="es-ES_tradnl"/>
        </w:rPr>
        <w:t>n.- La jueza o juez tiene la obligaci</w:t>
      </w:r>
      <w:r>
        <w:rPr>
          <w:rFonts w:cs="Times New Roman"/>
          <w:spacing w:val="-1"/>
          <w:sz w:val="14"/>
          <w:szCs w:val="14"/>
          <w:lang w:val="es-ES_tradnl"/>
        </w:rPr>
        <w:t>ó</w:t>
      </w:r>
      <w:r>
        <w:rPr>
          <w:spacing w:val="-1"/>
          <w:sz w:val="14"/>
          <w:szCs w:val="14"/>
          <w:lang w:val="es-ES_tradnl"/>
        </w:rPr>
        <w:t>n de </w:t>
      </w:r>
      <w:r>
        <w:rPr>
          <w:spacing w:val="-3"/>
          <w:sz w:val="14"/>
          <w:szCs w:val="14"/>
          <w:lang w:val="es-ES_tradnl"/>
        </w:rPr>
        <w:t>fundamentar adecuadamente sus decisiones a partir de las reglas y </w:t>
      </w:r>
      <w:r>
        <w:rPr>
          <w:spacing w:val="-2"/>
          <w:sz w:val="14"/>
          <w:szCs w:val="14"/>
          <w:lang w:val="es-ES_tradnl"/>
        </w:rPr>
        <w:t>principios que rigen la argumentaci</w:t>
      </w:r>
      <w:r>
        <w:rPr>
          <w:rFonts w:cs="Times New Roman"/>
          <w:spacing w:val="-2"/>
          <w:sz w:val="14"/>
          <w:szCs w:val="14"/>
          <w:lang w:val="es-ES_tradnl"/>
        </w:rPr>
        <w:t>ó</w:t>
      </w:r>
      <w:r>
        <w:rPr>
          <w:spacing w:val="-2"/>
          <w:sz w:val="14"/>
          <w:szCs w:val="14"/>
          <w:lang w:val="es-ES_tradnl"/>
        </w:rPr>
        <w:t>n jur</w:t>
      </w:r>
      <w:r>
        <w:rPr>
          <w:rFonts w:cs="Times New Roman"/>
          <w:spacing w:val="-2"/>
          <w:sz w:val="14"/>
          <w:szCs w:val="14"/>
          <w:lang w:val="es-ES_tradnl"/>
        </w:rPr>
        <w:t>í</w:t>
      </w:r>
      <w:r>
        <w:rPr>
          <w:spacing w:val="-2"/>
          <w:sz w:val="14"/>
          <w:szCs w:val="14"/>
          <w:lang w:val="es-ES_tradnl"/>
        </w:rPr>
        <w:t>dica. En particular, tiene la </w:t>
      </w:r>
      <w:r>
        <w:rPr>
          <w:spacing w:val="-4"/>
          <w:sz w:val="14"/>
          <w:szCs w:val="14"/>
          <w:lang w:val="es-ES_tradnl"/>
        </w:rPr>
        <w:t>obligaci</w:t>
      </w:r>
      <w:r>
        <w:rPr>
          <w:rFonts w:cs="Times New Roman"/>
          <w:spacing w:val="-4"/>
          <w:sz w:val="14"/>
          <w:szCs w:val="14"/>
          <w:lang w:val="es-ES_tradnl"/>
        </w:rPr>
        <w:t>ó</w:t>
      </w:r>
      <w:r>
        <w:rPr>
          <w:spacing w:val="-4"/>
          <w:sz w:val="14"/>
          <w:szCs w:val="14"/>
          <w:lang w:val="es-ES_tradnl"/>
        </w:rPr>
        <w:t>n de pronunciarse sobre los argumentos y razones relevantes </w:t>
      </w:r>
      <w:r>
        <w:rPr>
          <w:spacing w:val="-3"/>
          <w:sz w:val="14"/>
          <w:szCs w:val="14"/>
          <w:lang w:val="es-ES_tradnl"/>
        </w:rPr>
        <w:t>expuestas durante el proceso por las partes y dem</w:t>
      </w:r>
      <w:r>
        <w:rPr>
          <w:rFonts w:cs="Times New Roman"/>
          <w:spacing w:val="-3"/>
          <w:sz w:val="14"/>
          <w:szCs w:val="14"/>
          <w:lang w:val="es-ES_tradnl"/>
        </w:rPr>
        <w:t>á</w:t>
      </w:r>
      <w:r>
        <w:rPr>
          <w:spacing w:val="-3"/>
          <w:sz w:val="14"/>
          <w:szCs w:val="14"/>
          <w:lang w:val="es-ES_tradnl"/>
        </w:rPr>
        <w:t>s intervinientes en </w:t>
      </w:r>
      <w:r>
        <w:rPr>
          <w:sz w:val="14"/>
          <w:szCs w:val="14"/>
          <w:lang w:val="es-ES_tradnl"/>
        </w:rPr>
        <w:t>el proceso.</w:t>
      </w:r>
    </w:p>
    <w:p w14:paraId="4F67B92C" w14:textId="77777777" w:rsidR="00591D54" w:rsidRDefault="00591D54">
      <w:pPr>
        <w:shd w:val="clear" w:color="auto" w:fill="FFFFFF"/>
        <w:tabs>
          <w:tab w:val="left" w:pos="144"/>
        </w:tabs>
        <w:spacing w:before="149" w:line="178" w:lineRule="exact"/>
        <w:ind w:left="144" w:right="5" w:hanging="144"/>
        <w:jc w:val="both"/>
      </w:pPr>
      <w:r>
        <w:rPr>
          <w:sz w:val="10"/>
          <w:szCs w:val="10"/>
          <w:vertAlign w:val="superscript"/>
          <w:lang w:val="es-ES_tradnl"/>
        </w:rPr>
        <w:t>6</w:t>
      </w:r>
      <w:r>
        <w:rPr>
          <w:sz w:val="18"/>
          <w:szCs w:val="18"/>
          <w:lang w:val="es-ES_tradnl"/>
        </w:rPr>
        <w:tab/>
      </w:r>
      <w:r>
        <w:rPr>
          <w:spacing w:val="-1"/>
          <w:sz w:val="14"/>
          <w:szCs w:val="14"/>
          <w:lang w:val="es-ES_tradnl"/>
        </w:rPr>
        <w:t>Corte</w:t>
      </w:r>
      <w:r>
        <w:rPr>
          <w:spacing w:val="-1"/>
          <w:sz w:val="18"/>
          <w:szCs w:val="18"/>
          <w:lang w:val="es-ES_tradnl"/>
        </w:rPr>
        <w:t xml:space="preserve"> </w:t>
      </w:r>
      <w:r>
        <w:rPr>
          <w:spacing w:val="-1"/>
          <w:sz w:val="14"/>
          <w:szCs w:val="14"/>
          <w:lang w:val="es-ES_tradnl"/>
        </w:rPr>
        <w:t>Constitucional,</w:t>
      </w:r>
      <w:r>
        <w:rPr>
          <w:spacing w:val="-1"/>
          <w:sz w:val="18"/>
          <w:szCs w:val="18"/>
          <w:lang w:val="es-ES_tradnl"/>
        </w:rPr>
        <w:t xml:space="preserve"> </w:t>
      </w:r>
      <w:r>
        <w:rPr>
          <w:spacing w:val="-1"/>
          <w:sz w:val="14"/>
          <w:szCs w:val="14"/>
          <w:lang w:val="es-ES_tradnl"/>
        </w:rPr>
        <w:t>para</w:t>
      </w:r>
      <w:r>
        <w:rPr>
          <w:spacing w:val="-1"/>
          <w:sz w:val="18"/>
          <w:szCs w:val="18"/>
          <w:lang w:val="es-ES_tradnl"/>
        </w:rPr>
        <w:t xml:space="preserve"> </w:t>
      </w:r>
      <w:r>
        <w:rPr>
          <w:spacing w:val="-1"/>
          <w:sz w:val="14"/>
          <w:szCs w:val="14"/>
          <w:lang w:val="es-ES_tradnl"/>
        </w:rPr>
        <w:t>el</w:t>
      </w:r>
      <w:r>
        <w:rPr>
          <w:spacing w:val="-1"/>
          <w:sz w:val="18"/>
          <w:szCs w:val="18"/>
          <w:lang w:val="es-ES_tradnl"/>
        </w:rPr>
        <w:t xml:space="preserve"> </w:t>
      </w:r>
      <w:r>
        <w:rPr>
          <w:spacing w:val="-1"/>
          <w:sz w:val="14"/>
          <w:szCs w:val="14"/>
          <w:lang w:val="es-ES_tradnl"/>
        </w:rPr>
        <w:t>per</w:t>
      </w:r>
      <w:r>
        <w:rPr>
          <w:rFonts w:cs="Times New Roman"/>
          <w:spacing w:val="-1"/>
          <w:sz w:val="14"/>
          <w:szCs w:val="14"/>
          <w:lang w:val="es-ES_tradnl"/>
        </w:rPr>
        <w:t>í</w:t>
      </w:r>
      <w:r>
        <w:rPr>
          <w:spacing w:val="-1"/>
          <w:sz w:val="14"/>
          <w:szCs w:val="14"/>
          <w:lang w:val="es-ES_tradnl"/>
        </w:rPr>
        <w:t>odo</w:t>
      </w:r>
      <w:r>
        <w:rPr>
          <w:spacing w:val="-1"/>
          <w:sz w:val="18"/>
          <w:szCs w:val="18"/>
          <w:lang w:val="es-ES_tradnl"/>
        </w:rPr>
        <w:t xml:space="preserve"> </w:t>
      </w:r>
      <w:r>
        <w:rPr>
          <w:spacing w:val="-1"/>
          <w:sz w:val="14"/>
          <w:szCs w:val="14"/>
          <w:lang w:val="es-ES_tradnl"/>
        </w:rPr>
        <w:t>de</w:t>
      </w:r>
      <w:r>
        <w:rPr>
          <w:spacing w:val="-1"/>
          <w:sz w:val="18"/>
          <w:szCs w:val="18"/>
          <w:lang w:val="es-ES_tradnl"/>
        </w:rPr>
        <w:t xml:space="preserve"> </w:t>
      </w:r>
      <w:r>
        <w:rPr>
          <w:spacing w:val="-1"/>
          <w:sz w:val="14"/>
          <w:szCs w:val="14"/>
          <w:lang w:val="es-ES_tradnl"/>
        </w:rPr>
        <w:t>transici</w:t>
      </w:r>
      <w:r>
        <w:rPr>
          <w:rFonts w:cs="Times New Roman"/>
          <w:spacing w:val="-1"/>
          <w:sz w:val="14"/>
          <w:szCs w:val="14"/>
          <w:lang w:val="es-ES_tradnl"/>
        </w:rPr>
        <w:t>ó</w:t>
      </w:r>
      <w:r>
        <w:rPr>
          <w:spacing w:val="-1"/>
          <w:sz w:val="14"/>
          <w:szCs w:val="14"/>
          <w:lang w:val="es-ES_tradnl"/>
        </w:rPr>
        <w:t>n,</w:t>
      </w:r>
      <w:r>
        <w:rPr>
          <w:spacing w:val="-1"/>
          <w:sz w:val="18"/>
          <w:szCs w:val="18"/>
          <w:lang w:val="es-ES_tradnl"/>
        </w:rPr>
        <w:t xml:space="preserve"> </w:t>
      </w:r>
      <w:r>
        <w:rPr>
          <w:spacing w:val="-1"/>
          <w:sz w:val="14"/>
          <w:szCs w:val="14"/>
          <w:lang w:val="es-ES_tradnl"/>
        </w:rPr>
        <w:t>sentencia</w:t>
      </w:r>
      <w:r>
        <w:rPr>
          <w:spacing w:val="-1"/>
          <w:sz w:val="18"/>
          <w:szCs w:val="18"/>
          <w:lang w:val="es-ES_tradnl"/>
        </w:rPr>
        <w:t xml:space="preserve"> </w:t>
      </w:r>
      <w:r>
        <w:rPr>
          <w:spacing w:val="-1"/>
          <w:sz w:val="14"/>
          <w:szCs w:val="14"/>
          <w:lang w:val="es-ES_tradnl"/>
        </w:rPr>
        <w:t>N.</w:t>
      </w:r>
      <w:r>
        <w:rPr>
          <w:rFonts w:cs="Times New Roman"/>
          <w:spacing w:val="-1"/>
          <w:sz w:val="14"/>
          <w:szCs w:val="14"/>
          <w:lang w:val="es-ES_tradnl"/>
        </w:rPr>
        <w:t>º </w:t>
      </w:r>
      <w:r>
        <w:rPr>
          <w:sz w:val="14"/>
          <w:szCs w:val="14"/>
          <w:lang w:val="es-ES_tradnl"/>
        </w:rPr>
        <w:t>227-12-SEP-CC, caso N.</w:t>
      </w:r>
      <w:r>
        <w:rPr>
          <w:rFonts w:cs="Times New Roman"/>
          <w:sz w:val="14"/>
          <w:szCs w:val="14"/>
          <w:lang w:val="es-ES_tradnl"/>
        </w:rPr>
        <w:t>º</w:t>
      </w:r>
      <w:r>
        <w:rPr>
          <w:sz w:val="14"/>
          <w:szCs w:val="14"/>
          <w:lang w:val="es-ES_tradnl"/>
        </w:rPr>
        <w:t xml:space="preserve"> 1212-11-EP.</w:t>
      </w:r>
    </w:p>
    <w:p w14:paraId="4F67B92D" w14:textId="77777777" w:rsidR="00591D54" w:rsidRDefault="00591D54">
      <w:pPr>
        <w:shd w:val="clear" w:color="auto" w:fill="FFFFFF"/>
        <w:tabs>
          <w:tab w:val="left" w:pos="144"/>
        </w:tabs>
        <w:spacing w:before="149" w:line="178" w:lineRule="exact"/>
        <w:ind w:left="144" w:right="5" w:hanging="144"/>
        <w:jc w:val="both"/>
        <w:sectPr w:rsidR="00591D54">
          <w:type w:val="continuous"/>
          <w:pgSz w:w="11909" w:h="16834"/>
          <w:pgMar w:top="1356" w:right="1304" w:bottom="360" w:left="1308" w:header="720" w:footer="720" w:gutter="0"/>
          <w:cols w:num="2" w:space="720" w:equalWidth="0">
            <w:col w:w="4305" w:space="682"/>
            <w:col w:w="4310"/>
          </w:cols>
          <w:noEndnote/>
        </w:sectPr>
      </w:pPr>
    </w:p>
    <w:p w14:paraId="4F67B92E" w14:textId="77777777" w:rsidR="00591D54" w:rsidRDefault="00591D54">
      <w:pPr>
        <w:shd w:val="clear" w:color="auto" w:fill="FFFFFF"/>
        <w:tabs>
          <w:tab w:val="left" w:pos="4814"/>
        </w:tabs>
        <w:spacing w:after="235"/>
        <w:ind w:left="5"/>
      </w:pPr>
      <w:r>
        <w:rPr>
          <w:b/>
          <w:bCs/>
          <w:sz w:val="18"/>
          <w:szCs w:val="18"/>
          <w:lang w:val="es-ES_tradnl"/>
        </w:rPr>
        <w:t xml:space="preserve">264 -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92F" w14:textId="77777777" w:rsidR="00591D54" w:rsidRDefault="00591D54">
      <w:pPr>
        <w:shd w:val="clear" w:color="auto" w:fill="FFFFFF"/>
        <w:tabs>
          <w:tab w:val="left" w:pos="4814"/>
        </w:tabs>
        <w:spacing w:after="235"/>
        <w:ind w:left="5"/>
        <w:sectPr w:rsidR="00591D54">
          <w:pgSz w:w="11909" w:h="16834"/>
          <w:pgMar w:top="1371" w:right="1309" w:bottom="360" w:left="1308" w:header="720" w:footer="720" w:gutter="0"/>
          <w:cols w:space="60"/>
          <w:noEndnote/>
        </w:sectPr>
      </w:pPr>
    </w:p>
    <w:p w14:paraId="4F67B930" w14:textId="77777777" w:rsidR="00591D54" w:rsidRDefault="00591D54">
      <w:pPr>
        <w:shd w:val="clear" w:color="auto" w:fill="FFFFFF"/>
        <w:spacing w:line="216" w:lineRule="exact"/>
        <w:jc w:val="both"/>
      </w:pPr>
      <w:r>
        <w:rPr>
          <w:spacing w:val="-6"/>
          <w:sz w:val="18"/>
          <w:szCs w:val="18"/>
          <w:lang w:val="es-ES_tradnl"/>
        </w:rPr>
        <w:t>jur</w:t>
      </w:r>
      <w:r>
        <w:rPr>
          <w:rFonts w:cs="Times New Roman"/>
          <w:spacing w:val="-6"/>
          <w:sz w:val="18"/>
          <w:szCs w:val="18"/>
          <w:lang w:val="es-ES_tradnl"/>
        </w:rPr>
        <w:t>í</w:t>
      </w:r>
      <w:r>
        <w:rPr>
          <w:spacing w:val="-6"/>
          <w:sz w:val="18"/>
          <w:szCs w:val="18"/>
          <w:lang w:val="es-ES_tradnl"/>
        </w:rPr>
        <w:t xml:space="preserve">dico constitucional y legal; en la especie, la sentencia </w:t>
      </w:r>
      <w:r>
        <w:rPr>
          <w:sz w:val="18"/>
          <w:szCs w:val="18"/>
          <w:lang w:val="es-ES_tradnl"/>
        </w:rPr>
        <w:t>impugnada se sostiene en las siguientes:</w:t>
      </w:r>
    </w:p>
    <w:p w14:paraId="4F67B931" w14:textId="77777777" w:rsidR="00591D54" w:rsidRDefault="00591D54">
      <w:pPr>
        <w:shd w:val="clear" w:color="auto" w:fill="FFFFFF"/>
        <w:spacing w:before="197" w:line="216" w:lineRule="exact"/>
        <w:jc w:val="both"/>
      </w:pPr>
      <w:r>
        <w:rPr>
          <w:sz w:val="18"/>
          <w:szCs w:val="18"/>
          <w:lang w:val="es-ES_tradnl"/>
        </w:rPr>
        <w:t xml:space="preserve">La competencia se radica en virtud de lo establecido </w:t>
      </w:r>
      <w:r>
        <w:rPr>
          <w:spacing w:val="-6"/>
          <w:sz w:val="18"/>
          <w:szCs w:val="18"/>
          <w:lang w:val="es-ES_tradnl"/>
        </w:rPr>
        <w:t>en el segundo inciso del numeral 3 del art</w:t>
      </w:r>
      <w:r>
        <w:rPr>
          <w:rFonts w:cs="Times New Roman"/>
          <w:spacing w:val="-6"/>
          <w:sz w:val="18"/>
          <w:szCs w:val="18"/>
          <w:lang w:val="es-ES_tradnl"/>
        </w:rPr>
        <w:t>í</w:t>
      </w:r>
      <w:r>
        <w:rPr>
          <w:spacing w:val="-6"/>
          <w:sz w:val="18"/>
          <w:szCs w:val="18"/>
          <w:lang w:val="es-ES_tradnl"/>
        </w:rPr>
        <w:t>culo 88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norma que reza, que las </w:t>
      </w:r>
      <w:r>
        <w:rPr>
          <w:spacing w:val="-10"/>
          <w:sz w:val="18"/>
          <w:szCs w:val="18"/>
          <w:lang w:val="es-ES_tradnl"/>
        </w:rPr>
        <w:t>sentencias de primera instancia podr</w:t>
      </w:r>
      <w:r>
        <w:rPr>
          <w:rFonts w:cs="Times New Roman"/>
          <w:spacing w:val="-10"/>
          <w:sz w:val="18"/>
          <w:szCs w:val="18"/>
          <w:lang w:val="es-ES_tradnl"/>
        </w:rPr>
        <w:t>á</w:t>
      </w:r>
      <w:r>
        <w:rPr>
          <w:spacing w:val="-10"/>
          <w:sz w:val="18"/>
          <w:szCs w:val="18"/>
          <w:lang w:val="es-ES_tradnl"/>
        </w:rPr>
        <w:t xml:space="preserve">n ser apeladas ante la </w:t>
      </w:r>
      <w:r>
        <w:rPr>
          <w:spacing w:val="-5"/>
          <w:sz w:val="18"/>
          <w:szCs w:val="18"/>
          <w:lang w:val="es-ES_tradnl"/>
        </w:rPr>
        <w:t>Corte Provincial (</w:t>
      </w:r>
      <w:r>
        <w:rPr>
          <w:rFonts w:cs="Times New Roman"/>
          <w:spacing w:val="-5"/>
          <w:sz w:val="18"/>
          <w:szCs w:val="18"/>
          <w:lang w:val="es-ES_tradnl"/>
        </w:rPr>
        <w:t>…</w:t>
      </w:r>
      <w:r>
        <w:rPr>
          <w:spacing w:val="-5"/>
          <w:sz w:val="18"/>
          <w:szCs w:val="18"/>
          <w:lang w:val="es-ES_tradnl"/>
        </w:rPr>
        <w:t>) y de la atribuci</w:t>
      </w:r>
      <w:r>
        <w:rPr>
          <w:rFonts w:cs="Times New Roman"/>
          <w:spacing w:val="-5"/>
          <w:sz w:val="18"/>
          <w:szCs w:val="18"/>
          <w:lang w:val="es-ES_tradnl"/>
        </w:rPr>
        <w:t>ó</w:t>
      </w:r>
      <w:r>
        <w:rPr>
          <w:spacing w:val="-5"/>
          <w:sz w:val="18"/>
          <w:szCs w:val="18"/>
          <w:lang w:val="es-ES_tradnl"/>
        </w:rPr>
        <w:t xml:space="preserve">n otorgada en esta </w:t>
      </w:r>
      <w:r>
        <w:rPr>
          <w:spacing w:val="-8"/>
          <w:sz w:val="18"/>
          <w:szCs w:val="18"/>
          <w:lang w:val="es-ES_tradnl"/>
        </w:rPr>
        <w:t>norma, procede la Sala a desarrollar la sentencia.</w:t>
      </w:r>
    </w:p>
    <w:p w14:paraId="4F67B932" w14:textId="77777777" w:rsidR="00591D54" w:rsidRDefault="00591D54">
      <w:pPr>
        <w:shd w:val="clear" w:color="auto" w:fill="FFFFFF"/>
        <w:spacing w:before="197" w:line="216" w:lineRule="exact"/>
        <w:ind w:right="5"/>
        <w:jc w:val="both"/>
      </w:pPr>
      <w:r>
        <w:rPr>
          <w:spacing w:val="-7"/>
          <w:sz w:val="18"/>
          <w:szCs w:val="18"/>
          <w:lang w:val="es-ES_tradnl"/>
        </w:rPr>
        <w:t xml:space="preserve">En el considerando tercero: Fundamentos de derecho, la </w:t>
      </w:r>
      <w:r>
        <w:rPr>
          <w:spacing w:val="-5"/>
          <w:sz w:val="18"/>
          <w:szCs w:val="18"/>
          <w:lang w:val="es-ES_tradnl"/>
        </w:rPr>
        <w:t>Sala inicia el an</w:t>
      </w:r>
      <w:r>
        <w:rPr>
          <w:rFonts w:cs="Times New Roman"/>
          <w:spacing w:val="-5"/>
          <w:sz w:val="18"/>
          <w:szCs w:val="18"/>
          <w:lang w:val="es-ES_tradnl"/>
        </w:rPr>
        <w:t>á</w:t>
      </w:r>
      <w:r>
        <w:rPr>
          <w:spacing w:val="-5"/>
          <w:sz w:val="18"/>
          <w:szCs w:val="18"/>
          <w:lang w:val="es-ES_tradnl"/>
        </w:rPr>
        <w:t xml:space="preserve">lisis constitucional a partir de la norma </w:t>
      </w:r>
      <w:r>
        <w:rPr>
          <w:spacing w:val="-4"/>
          <w:sz w:val="18"/>
          <w:szCs w:val="18"/>
          <w:lang w:val="es-ES_tradnl"/>
        </w:rPr>
        <w:t>establecida en el art</w:t>
      </w:r>
      <w:r>
        <w:rPr>
          <w:rFonts w:cs="Times New Roman"/>
          <w:spacing w:val="-4"/>
          <w:sz w:val="18"/>
          <w:szCs w:val="18"/>
          <w:lang w:val="es-ES_tradnl"/>
        </w:rPr>
        <w:t>í</w:t>
      </w:r>
      <w:r>
        <w:rPr>
          <w:spacing w:val="-4"/>
          <w:sz w:val="18"/>
          <w:szCs w:val="18"/>
          <w:lang w:val="es-ES_tradnl"/>
        </w:rPr>
        <w:t>culo 88 de la Constituci</w:t>
      </w:r>
      <w:r>
        <w:rPr>
          <w:rFonts w:cs="Times New Roman"/>
          <w:spacing w:val="-4"/>
          <w:sz w:val="18"/>
          <w:szCs w:val="18"/>
          <w:lang w:val="es-ES_tradnl"/>
        </w:rPr>
        <w:t>ó</w:t>
      </w:r>
      <w:r>
        <w:rPr>
          <w:spacing w:val="-4"/>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blica que se</w:t>
      </w:r>
      <w:r>
        <w:rPr>
          <w:rFonts w:cs="Times New Roman"/>
          <w:spacing w:val="-7"/>
          <w:sz w:val="18"/>
          <w:szCs w:val="18"/>
          <w:lang w:val="es-ES_tradnl"/>
        </w:rPr>
        <w:t>ñ</w:t>
      </w:r>
      <w:r>
        <w:rPr>
          <w:spacing w:val="-7"/>
          <w:sz w:val="18"/>
          <w:szCs w:val="18"/>
          <w:lang w:val="es-ES_tradnl"/>
        </w:rPr>
        <w:t xml:space="preserve">ala: </w:t>
      </w:r>
      <w:r>
        <w:rPr>
          <w:rFonts w:cs="Times New Roman"/>
          <w:spacing w:val="-7"/>
          <w:sz w:val="18"/>
          <w:szCs w:val="18"/>
          <w:lang w:val="es-ES_tradnl"/>
        </w:rPr>
        <w:t>“</w:t>
      </w:r>
      <w:r>
        <w:rPr>
          <w:spacing w:val="-7"/>
          <w:sz w:val="18"/>
          <w:szCs w:val="18"/>
          <w:lang w:val="es-ES_tradnl"/>
        </w:rPr>
        <w:t>(</w:t>
      </w:r>
      <w:r>
        <w:rPr>
          <w:rFonts w:cs="Times New Roman"/>
          <w:spacing w:val="-7"/>
          <w:sz w:val="18"/>
          <w:szCs w:val="18"/>
          <w:lang w:val="es-ES_tradnl"/>
        </w:rPr>
        <w:t>…</w:t>
      </w:r>
      <w:r>
        <w:rPr>
          <w:spacing w:val="-7"/>
          <w:sz w:val="18"/>
          <w:szCs w:val="18"/>
          <w:lang w:val="es-ES_tradnl"/>
        </w:rPr>
        <w:t>) la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n tendr</w:t>
      </w:r>
      <w:r>
        <w:rPr>
          <w:rFonts w:cs="Times New Roman"/>
          <w:spacing w:val="-7"/>
          <w:sz w:val="18"/>
          <w:szCs w:val="18"/>
          <w:lang w:val="es-ES_tradnl"/>
        </w:rPr>
        <w:t xml:space="preserve">á </w:t>
      </w:r>
      <w:r>
        <w:rPr>
          <w:spacing w:val="-7"/>
          <w:sz w:val="18"/>
          <w:szCs w:val="18"/>
          <w:lang w:val="es-ES_tradnl"/>
        </w:rPr>
        <w:t xml:space="preserve">por objeto el amparo directo y eficaz de los derechos </w:t>
      </w:r>
      <w:r>
        <w:rPr>
          <w:spacing w:val="-10"/>
          <w:sz w:val="18"/>
          <w:szCs w:val="18"/>
          <w:lang w:val="es-ES_tradnl"/>
        </w:rPr>
        <w:t>reconocidos en la Constituci</w:t>
      </w:r>
      <w:r>
        <w:rPr>
          <w:rFonts w:cs="Times New Roman"/>
          <w:spacing w:val="-10"/>
          <w:sz w:val="18"/>
          <w:szCs w:val="18"/>
          <w:lang w:val="es-ES_tradnl"/>
        </w:rPr>
        <w:t>ó</w:t>
      </w:r>
      <w:r>
        <w:rPr>
          <w:spacing w:val="-10"/>
          <w:sz w:val="18"/>
          <w:szCs w:val="18"/>
          <w:lang w:val="es-ES_tradnl"/>
        </w:rPr>
        <w:t>n, y podr</w:t>
      </w:r>
      <w:r>
        <w:rPr>
          <w:rFonts w:cs="Times New Roman"/>
          <w:spacing w:val="-10"/>
          <w:sz w:val="18"/>
          <w:szCs w:val="18"/>
          <w:lang w:val="es-ES_tradnl"/>
        </w:rPr>
        <w:t>á</w:t>
      </w:r>
      <w:r>
        <w:rPr>
          <w:spacing w:val="-10"/>
          <w:sz w:val="18"/>
          <w:szCs w:val="18"/>
          <w:lang w:val="es-ES_tradnl"/>
        </w:rPr>
        <w:t xml:space="preserve"> interponerse cuando </w:t>
      </w:r>
      <w:r>
        <w:rPr>
          <w:spacing w:val="-7"/>
          <w:sz w:val="18"/>
          <w:szCs w:val="18"/>
          <w:lang w:val="es-ES_tradnl"/>
        </w:rPr>
        <w:t>exista una vulneraci</w:t>
      </w:r>
      <w:r>
        <w:rPr>
          <w:rFonts w:cs="Times New Roman"/>
          <w:spacing w:val="-7"/>
          <w:sz w:val="18"/>
          <w:szCs w:val="18"/>
          <w:lang w:val="es-ES_tradnl"/>
        </w:rPr>
        <w:t>ó</w:t>
      </w:r>
      <w:r>
        <w:rPr>
          <w:spacing w:val="-7"/>
          <w:sz w:val="18"/>
          <w:szCs w:val="18"/>
          <w:lang w:val="es-ES_tradnl"/>
        </w:rPr>
        <w:t xml:space="preserve">n de derechos constitucionales, por </w:t>
      </w:r>
      <w:r>
        <w:rPr>
          <w:spacing w:val="-8"/>
          <w:sz w:val="18"/>
          <w:szCs w:val="18"/>
          <w:lang w:val="es-ES_tradnl"/>
        </w:rPr>
        <w:t>actos u omisiones de cualquier autoridad p</w:t>
      </w:r>
      <w:r>
        <w:rPr>
          <w:rFonts w:cs="Times New Roman"/>
          <w:spacing w:val="-8"/>
          <w:sz w:val="18"/>
          <w:szCs w:val="18"/>
          <w:lang w:val="es-ES_tradnl"/>
        </w:rPr>
        <w:t>ú</w:t>
      </w:r>
      <w:r>
        <w:rPr>
          <w:spacing w:val="-8"/>
          <w:sz w:val="18"/>
          <w:szCs w:val="18"/>
          <w:lang w:val="es-ES_tradnl"/>
        </w:rPr>
        <w:t xml:space="preserve">blica no judicial </w:t>
      </w:r>
      <w:r>
        <w:rPr>
          <w:sz w:val="18"/>
          <w:szCs w:val="18"/>
          <w:lang w:val="es-ES_tradnl"/>
        </w:rPr>
        <w:t>(</w:t>
      </w:r>
      <w:r>
        <w:rPr>
          <w:rFonts w:cs="Times New Roman"/>
          <w:sz w:val="18"/>
          <w:szCs w:val="18"/>
          <w:lang w:val="es-ES_tradnl"/>
        </w:rPr>
        <w:t>…</w:t>
      </w:r>
      <w:r>
        <w:rPr>
          <w:sz w:val="18"/>
          <w:szCs w:val="18"/>
          <w:lang w:val="es-ES_tradnl"/>
        </w:rPr>
        <w:t>)</w:t>
      </w:r>
      <w:r>
        <w:rPr>
          <w:rFonts w:cs="Times New Roman"/>
          <w:sz w:val="18"/>
          <w:szCs w:val="18"/>
          <w:lang w:val="es-ES_tradnl"/>
        </w:rPr>
        <w:t>”</w:t>
      </w:r>
      <w:r>
        <w:rPr>
          <w:sz w:val="18"/>
          <w:szCs w:val="18"/>
          <w:lang w:val="es-ES_tradnl"/>
        </w:rPr>
        <w:t>.</w:t>
      </w:r>
    </w:p>
    <w:p w14:paraId="4F67B933" w14:textId="77777777" w:rsidR="00591D54" w:rsidRDefault="00591D54">
      <w:pPr>
        <w:shd w:val="clear" w:color="auto" w:fill="FFFFFF"/>
        <w:spacing w:before="192" w:line="216" w:lineRule="exact"/>
        <w:ind w:right="5"/>
        <w:jc w:val="both"/>
      </w:pPr>
      <w:r>
        <w:rPr>
          <w:spacing w:val="-6"/>
          <w:sz w:val="18"/>
          <w:szCs w:val="18"/>
          <w:lang w:val="es-ES_tradnl"/>
        </w:rPr>
        <w:t xml:space="preserve">Finalmente, luego del ejercicio argumentativo, manifiesta </w:t>
      </w:r>
      <w:r>
        <w:rPr>
          <w:spacing w:val="-8"/>
          <w:sz w:val="18"/>
          <w:szCs w:val="18"/>
          <w:lang w:val="es-ES_tradnl"/>
        </w:rPr>
        <w:t>que se ha hecho evidente la vulneraci</w:t>
      </w:r>
      <w:r>
        <w:rPr>
          <w:rFonts w:cs="Times New Roman"/>
          <w:spacing w:val="-8"/>
          <w:sz w:val="18"/>
          <w:szCs w:val="18"/>
          <w:lang w:val="es-ES_tradnl"/>
        </w:rPr>
        <w:t>ó</w:t>
      </w:r>
      <w:r>
        <w:rPr>
          <w:spacing w:val="-8"/>
          <w:sz w:val="18"/>
          <w:szCs w:val="18"/>
          <w:lang w:val="es-ES_tradnl"/>
        </w:rPr>
        <w:t xml:space="preserve">n de los derechos </w:t>
      </w:r>
      <w:r>
        <w:rPr>
          <w:spacing w:val="-9"/>
          <w:sz w:val="18"/>
          <w:szCs w:val="18"/>
          <w:lang w:val="es-ES_tradnl"/>
        </w:rPr>
        <w:t>consagrados en los art</w:t>
      </w:r>
      <w:r>
        <w:rPr>
          <w:rFonts w:cs="Times New Roman"/>
          <w:spacing w:val="-9"/>
          <w:sz w:val="18"/>
          <w:szCs w:val="18"/>
          <w:lang w:val="es-ES_tradnl"/>
        </w:rPr>
        <w:t>í</w:t>
      </w:r>
      <w:r>
        <w:rPr>
          <w:spacing w:val="-9"/>
          <w:sz w:val="18"/>
          <w:szCs w:val="18"/>
          <w:lang w:val="es-ES_tradnl"/>
        </w:rPr>
        <w:t>culos 11 y 426 de la Constituci</w:t>
      </w:r>
      <w:r>
        <w:rPr>
          <w:rFonts w:cs="Times New Roman"/>
          <w:spacing w:val="-9"/>
          <w:sz w:val="18"/>
          <w:szCs w:val="18"/>
          <w:lang w:val="es-ES_tradnl"/>
        </w:rPr>
        <w:t>ó</w:t>
      </w:r>
      <w:r>
        <w:rPr>
          <w:spacing w:val="-9"/>
          <w:sz w:val="18"/>
          <w:szCs w:val="18"/>
          <w:lang w:val="es-ES_tradnl"/>
        </w:rPr>
        <w:t xml:space="preserve">n de </w:t>
      </w:r>
      <w:r>
        <w:rPr>
          <w:sz w:val="18"/>
          <w:szCs w:val="18"/>
          <w:lang w:val="es-ES_tradnl"/>
        </w:rPr>
        <w:t>la Rep</w:t>
      </w:r>
      <w:r>
        <w:rPr>
          <w:rFonts w:cs="Times New Roman"/>
          <w:sz w:val="18"/>
          <w:szCs w:val="18"/>
          <w:lang w:val="es-ES_tradnl"/>
        </w:rPr>
        <w:t>ú</w:t>
      </w:r>
      <w:r>
        <w:rPr>
          <w:sz w:val="18"/>
          <w:szCs w:val="18"/>
          <w:lang w:val="es-ES_tradnl"/>
        </w:rPr>
        <w:t>blica.</w:t>
      </w:r>
    </w:p>
    <w:p w14:paraId="4F67B934" w14:textId="77777777" w:rsidR="00591D54" w:rsidRDefault="00591D54">
      <w:pPr>
        <w:shd w:val="clear" w:color="auto" w:fill="FFFFFF"/>
        <w:spacing w:before="192" w:line="216" w:lineRule="exact"/>
        <w:jc w:val="both"/>
      </w:pPr>
      <w:r>
        <w:rPr>
          <w:spacing w:val="-4"/>
          <w:sz w:val="18"/>
          <w:szCs w:val="18"/>
          <w:lang w:val="es-ES_tradnl"/>
        </w:rPr>
        <w:t>Del an</w:t>
      </w:r>
      <w:r>
        <w:rPr>
          <w:rFonts w:cs="Times New Roman"/>
          <w:spacing w:val="-4"/>
          <w:sz w:val="18"/>
          <w:szCs w:val="18"/>
          <w:lang w:val="es-ES_tradnl"/>
        </w:rPr>
        <w:t>á</w:t>
      </w:r>
      <w:r>
        <w:rPr>
          <w:spacing w:val="-4"/>
          <w:sz w:val="18"/>
          <w:szCs w:val="18"/>
          <w:lang w:val="es-ES_tradnl"/>
        </w:rPr>
        <w:t xml:space="preserve">lisis efectuado se concluye que la sentencia </w:t>
      </w:r>
      <w:r>
        <w:rPr>
          <w:spacing w:val="-5"/>
          <w:sz w:val="18"/>
          <w:szCs w:val="18"/>
          <w:lang w:val="es-ES_tradnl"/>
        </w:rPr>
        <w:t xml:space="preserve">impugnada se ha dictado acorde a los lineamientos </w:t>
      </w:r>
      <w:r>
        <w:rPr>
          <w:spacing w:val="-6"/>
          <w:sz w:val="18"/>
          <w:szCs w:val="18"/>
          <w:lang w:val="es-ES_tradnl"/>
        </w:rPr>
        <w:t xml:space="preserve">establecidos por la normativa constitucional y legal, </w:t>
      </w:r>
      <w:r>
        <w:rPr>
          <w:sz w:val="18"/>
          <w:szCs w:val="18"/>
          <w:lang w:val="es-ES_tradnl"/>
        </w:rPr>
        <w:t>consider</w:t>
      </w:r>
      <w:r>
        <w:rPr>
          <w:rFonts w:cs="Times New Roman"/>
          <w:sz w:val="18"/>
          <w:szCs w:val="18"/>
          <w:lang w:val="es-ES_tradnl"/>
        </w:rPr>
        <w:t>á</w:t>
      </w:r>
      <w:r>
        <w:rPr>
          <w:sz w:val="18"/>
          <w:szCs w:val="18"/>
          <w:lang w:val="es-ES_tradnl"/>
        </w:rPr>
        <w:t>ndola por ello razonable.</w:t>
      </w:r>
    </w:p>
    <w:p w14:paraId="4F67B935" w14:textId="77777777" w:rsidR="00591D54" w:rsidRDefault="00591D54">
      <w:pPr>
        <w:shd w:val="clear" w:color="auto" w:fill="FFFFFF"/>
        <w:spacing w:before="192"/>
      </w:pPr>
      <w:r>
        <w:rPr>
          <w:b/>
          <w:bCs/>
          <w:spacing w:val="-10"/>
          <w:sz w:val="18"/>
          <w:szCs w:val="18"/>
          <w:lang w:val="es-ES_tradnl"/>
        </w:rPr>
        <w:t>L</w:t>
      </w:r>
      <w:r>
        <w:rPr>
          <w:rFonts w:cs="Times New Roman"/>
          <w:b/>
          <w:bCs/>
          <w:spacing w:val="-10"/>
          <w:sz w:val="18"/>
          <w:szCs w:val="18"/>
          <w:lang w:val="es-ES_tradnl"/>
        </w:rPr>
        <w:t>ó</w:t>
      </w:r>
      <w:r>
        <w:rPr>
          <w:b/>
          <w:bCs/>
          <w:spacing w:val="-10"/>
          <w:sz w:val="18"/>
          <w:szCs w:val="18"/>
          <w:lang w:val="es-ES_tradnl"/>
        </w:rPr>
        <w:t>gica</w:t>
      </w:r>
    </w:p>
    <w:p w14:paraId="4F67B936" w14:textId="77777777" w:rsidR="00591D54" w:rsidRDefault="00591D54">
      <w:pPr>
        <w:shd w:val="clear" w:color="auto" w:fill="FFFFFF"/>
        <w:spacing w:before="192" w:line="216" w:lineRule="exact"/>
        <w:jc w:val="both"/>
      </w:pPr>
      <w:r>
        <w:rPr>
          <w:spacing w:val="-2"/>
          <w:sz w:val="18"/>
          <w:szCs w:val="18"/>
          <w:lang w:val="es-ES_tradnl"/>
        </w:rPr>
        <w:t>Lo que persigue la Corte Constitucional en atenci</w:t>
      </w:r>
      <w:r>
        <w:rPr>
          <w:rFonts w:cs="Times New Roman"/>
          <w:spacing w:val="-2"/>
          <w:sz w:val="18"/>
          <w:szCs w:val="18"/>
          <w:lang w:val="es-ES_tradnl"/>
        </w:rPr>
        <w:t>ó</w:t>
      </w:r>
      <w:r>
        <w:rPr>
          <w:spacing w:val="-2"/>
          <w:sz w:val="18"/>
          <w:szCs w:val="18"/>
          <w:lang w:val="es-ES_tradnl"/>
        </w:rPr>
        <w:t xml:space="preserve">n a </w:t>
      </w:r>
      <w:r>
        <w:rPr>
          <w:spacing w:val="-8"/>
          <w:sz w:val="18"/>
          <w:szCs w:val="18"/>
          <w:lang w:val="es-ES_tradnl"/>
        </w:rPr>
        <w:t>este par</w:t>
      </w:r>
      <w:r>
        <w:rPr>
          <w:rFonts w:cs="Times New Roman"/>
          <w:spacing w:val="-8"/>
          <w:sz w:val="18"/>
          <w:szCs w:val="18"/>
          <w:lang w:val="es-ES_tradnl"/>
        </w:rPr>
        <w:t>á</w:t>
      </w:r>
      <w:r>
        <w:rPr>
          <w:spacing w:val="-8"/>
          <w:sz w:val="18"/>
          <w:szCs w:val="18"/>
          <w:lang w:val="es-ES_tradnl"/>
        </w:rPr>
        <w:t xml:space="preserve">metro, es verificar la existencia de una estructura </w:t>
      </w:r>
      <w:r>
        <w:rPr>
          <w:spacing w:val="-1"/>
          <w:sz w:val="18"/>
          <w:szCs w:val="18"/>
          <w:lang w:val="es-ES_tradnl"/>
        </w:rPr>
        <w:t>acertada, arm</w:t>
      </w:r>
      <w:r>
        <w:rPr>
          <w:rFonts w:cs="Times New Roman"/>
          <w:spacing w:val="-1"/>
          <w:sz w:val="18"/>
          <w:szCs w:val="18"/>
          <w:lang w:val="es-ES_tradnl"/>
        </w:rPr>
        <w:t>ó</w:t>
      </w:r>
      <w:r>
        <w:rPr>
          <w:spacing w:val="-1"/>
          <w:sz w:val="18"/>
          <w:szCs w:val="18"/>
          <w:lang w:val="es-ES_tradnl"/>
        </w:rPr>
        <w:t>nica y correcta en la argumentaci</w:t>
      </w:r>
      <w:r>
        <w:rPr>
          <w:rFonts w:cs="Times New Roman"/>
          <w:spacing w:val="-1"/>
          <w:sz w:val="18"/>
          <w:szCs w:val="18"/>
          <w:lang w:val="es-ES_tradnl"/>
        </w:rPr>
        <w:t>ó</w:t>
      </w:r>
      <w:r>
        <w:rPr>
          <w:spacing w:val="-1"/>
          <w:sz w:val="18"/>
          <w:szCs w:val="18"/>
          <w:lang w:val="es-ES_tradnl"/>
        </w:rPr>
        <w:t xml:space="preserve">n de </w:t>
      </w:r>
      <w:r>
        <w:rPr>
          <w:spacing w:val="-8"/>
          <w:sz w:val="18"/>
          <w:szCs w:val="18"/>
          <w:lang w:val="es-ES_tradnl"/>
        </w:rPr>
        <w:t>la decisi</w:t>
      </w:r>
      <w:r>
        <w:rPr>
          <w:rFonts w:cs="Times New Roman"/>
          <w:spacing w:val="-8"/>
          <w:sz w:val="18"/>
          <w:szCs w:val="18"/>
          <w:lang w:val="es-ES_tradnl"/>
        </w:rPr>
        <w:t>ó</w:t>
      </w:r>
      <w:r>
        <w:rPr>
          <w:spacing w:val="-8"/>
          <w:sz w:val="18"/>
          <w:szCs w:val="18"/>
          <w:lang w:val="es-ES_tradnl"/>
        </w:rPr>
        <w:t>n que examina, que debe encontrarse adem</w:t>
      </w:r>
      <w:r>
        <w:rPr>
          <w:rFonts w:cs="Times New Roman"/>
          <w:spacing w:val="-8"/>
          <w:sz w:val="18"/>
          <w:szCs w:val="18"/>
          <w:lang w:val="es-ES_tradnl"/>
        </w:rPr>
        <w:t>á</w:t>
      </w:r>
      <w:r>
        <w:rPr>
          <w:spacing w:val="-8"/>
          <w:sz w:val="18"/>
          <w:szCs w:val="18"/>
          <w:lang w:val="es-ES_tradnl"/>
        </w:rPr>
        <w:t xml:space="preserve">s </w:t>
      </w:r>
      <w:r>
        <w:rPr>
          <w:spacing w:val="-6"/>
          <w:sz w:val="18"/>
          <w:szCs w:val="18"/>
          <w:lang w:val="es-ES_tradnl"/>
        </w:rPr>
        <w:t xml:space="preserve">acorde a la norma constitucional, legal y al desarrollo </w:t>
      </w:r>
      <w:r>
        <w:rPr>
          <w:spacing w:val="-5"/>
          <w:sz w:val="18"/>
          <w:szCs w:val="18"/>
          <w:lang w:val="es-ES_tradnl"/>
        </w:rPr>
        <w:t>jurisprudencial aplicable a esta garant</w:t>
      </w:r>
      <w:r>
        <w:rPr>
          <w:rFonts w:cs="Times New Roman"/>
          <w:spacing w:val="-5"/>
          <w:sz w:val="18"/>
          <w:szCs w:val="18"/>
          <w:lang w:val="es-ES_tradnl"/>
        </w:rPr>
        <w:t>í</w:t>
      </w:r>
      <w:r>
        <w:rPr>
          <w:spacing w:val="-5"/>
          <w:sz w:val="18"/>
          <w:szCs w:val="18"/>
          <w:lang w:val="es-ES_tradnl"/>
        </w:rPr>
        <w:t xml:space="preserve">a. En este sentido, </w:t>
      </w:r>
      <w:r>
        <w:rPr>
          <w:spacing w:val="-8"/>
          <w:sz w:val="18"/>
          <w:szCs w:val="18"/>
          <w:lang w:val="es-ES_tradnl"/>
        </w:rPr>
        <w:t>el ejercicio argumentativo correcto de la decisi</w:t>
      </w:r>
      <w:r>
        <w:rPr>
          <w:rFonts w:cs="Times New Roman"/>
          <w:spacing w:val="-8"/>
          <w:sz w:val="18"/>
          <w:szCs w:val="18"/>
          <w:lang w:val="es-ES_tradnl"/>
        </w:rPr>
        <w:t>ó</w:t>
      </w:r>
      <w:r>
        <w:rPr>
          <w:spacing w:val="-8"/>
          <w:sz w:val="18"/>
          <w:szCs w:val="18"/>
          <w:lang w:val="es-ES_tradnl"/>
        </w:rPr>
        <w:t>n l</w:t>
      </w:r>
      <w:r>
        <w:rPr>
          <w:rFonts w:cs="Times New Roman"/>
          <w:spacing w:val="-8"/>
          <w:sz w:val="18"/>
          <w:szCs w:val="18"/>
          <w:lang w:val="es-ES_tradnl"/>
        </w:rPr>
        <w:t>ó</w:t>
      </w:r>
      <w:r>
        <w:rPr>
          <w:spacing w:val="-8"/>
          <w:sz w:val="18"/>
          <w:szCs w:val="18"/>
          <w:lang w:val="es-ES_tradnl"/>
        </w:rPr>
        <w:t xml:space="preserve">gica, se </w:t>
      </w:r>
      <w:r>
        <w:rPr>
          <w:spacing w:val="-9"/>
          <w:sz w:val="18"/>
          <w:szCs w:val="18"/>
          <w:lang w:val="es-ES_tradnl"/>
        </w:rPr>
        <w:t xml:space="preserve">materializa cuando alcanza coherencia entre las premisas y </w:t>
      </w:r>
      <w:r>
        <w:rPr>
          <w:spacing w:val="-7"/>
          <w:sz w:val="18"/>
          <w:szCs w:val="18"/>
          <w:lang w:val="es-ES_tradnl"/>
        </w:rPr>
        <w:t>la conclusi</w:t>
      </w:r>
      <w:r>
        <w:rPr>
          <w:rFonts w:cs="Times New Roman"/>
          <w:spacing w:val="-7"/>
          <w:sz w:val="18"/>
          <w:szCs w:val="18"/>
          <w:lang w:val="es-ES_tradnl"/>
        </w:rPr>
        <w:t>ó</w:t>
      </w:r>
      <w:r>
        <w:rPr>
          <w:spacing w:val="-7"/>
          <w:sz w:val="18"/>
          <w:szCs w:val="18"/>
          <w:lang w:val="es-ES_tradnl"/>
        </w:rPr>
        <w:t>n; as</w:t>
      </w:r>
      <w:r>
        <w:rPr>
          <w:rFonts w:cs="Times New Roman"/>
          <w:spacing w:val="-7"/>
          <w:sz w:val="18"/>
          <w:szCs w:val="18"/>
          <w:lang w:val="es-ES_tradnl"/>
        </w:rPr>
        <w:t>í</w:t>
      </w:r>
      <w:r>
        <w:rPr>
          <w:spacing w:val="-7"/>
          <w:sz w:val="18"/>
          <w:szCs w:val="18"/>
          <w:lang w:val="es-ES_tradnl"/>
        </w:rPr>
        <w:t xml:space="preserve"> como, entre esta y la decisi</w:t>
      </w:r>
      <w:r>
        <w:rPr>
          <w:rFonts w:cs="Times New Roman"/>
          <w:spacing w:val="-7"/>
          <w:sz w:val="18"/>
          <w:szCs w:val="18"/>
          <w:lang w:val="es-ES_tradnl"/>
        </w:rPr>
        <w:t>ó</w:t>
      </w:r>
      <w:r>
        <w:rPr>
          <w:spacing w:val="-7"/>
          <w:sz w:val="18"/>
          <w:szCs w:val="18"/>
          <w:lang w:val="es-ES_tradnl"/>
        </w:rPr>
        <w:t>n.</w:t>
      </w:r>
    </w:p>
    <w:p w14:paraId="4F67B937" w14:textId="77777777" w:rsidR="00591D54" w:rsidRDefault="00591D54">
      <w:pPr>
        <w:shd w:val="clear" w:color="auto" w:fill="FFFFFF"/>
        <w:spacing w:before="197" w:line="216" w:lineRule="exact"/>
        <w:ind w:right="5"/>
        <w:jc w:val="both"/>
      </w:pPr>
      <w:r>
        <w:rPr>
          <w:spacing w:val="-7"/>
          <w:sz w:val="18"/>
          <w:szCs w:val="18"/>
          <w:lang w:val="es-ES_tradnl"/>
        </w:rPr>
        <w:t xml:space="preserve">En primer momento, la sentencia impugnada en sus </w:t>
      </w:r>
      <w:r>
        <w:rPr>
          <w:spacing w:val="-10"/>
          <w:sz w:val="18"/>
          <w:szCs w:val="18"/>
          <w:lang w:val="es-ES_tradnl"/>
        </w:rPr>
        <w:t xml:space="preserve">considerandos primero y segundo, aborda los antecedentes </w:t>
      </w:r>
      <w:r>
        <w:rPr>
          <w:spacing w:val="-6"/>
          <w:sz w:val="18"/>
          <w:szCs w:val="18"/>
          <w:lang w:val="es-ES_tradnl"/>
        </w:rPr>
        <w:t>f</w:t>
      </w:r>
      <w:r>
        <w:rPr>
          <w:rFonts w:cs="Times New Roman"/>
          <w:spacing w:val="-6"/>
          <w:sz w:val="18"/>
          <w:szCs w:val="18"/>
          <w:lang w:val="es-ES_tradnl"/>
        </w:rPr>
        <w:t>á</w:t>
      </w:r>
      <w:r>
        <w:rPr>
          <w:spacing w:val="-6"/>
          <w:sz w:val="18"/>
          <w:szCs w:val="18"/>
          <w:lang w:val="es-ES_tradnl"/>
        </w:rPr>
        <w:t>cticos de la acci</w:t>
      </w:r>
      <w:r>
        <w:rPr>
          <w:rFonts w:cs="Times New Roman"/>
          <w:spacing w:val="-6"/>
          <w:sz w:val="18"/>
          <w:szCs w:val="18"/>
          <w:lang w:val="es-ES_tradnl"/>
        </w:rPr>
        <w:t>ó</w:t>
      </w:r>
      <w:r>
        <w:rPr>
          <w:spacing w:val="-6"/>
          <w:sz w:val="18"/>
          <w:szCs w:val="18"/>
          <w:lang w:val="es-ES_tradnl"/>
        </w:rPr>
        <w:t>n de protecci</w:t>
      </w:r>
      <w:r>
        <w:rPr>
          <w:rFonts w:cs="Times New Roman"/>
          <w:spacing w:val="-6"/>
          <w:sz w:val="18"/>
          <w:szCs w:val="18"/>
          <w:lang w:val="es-ES_tradnl"/>
        </w:rPr>
        <w:t>ó</w:t>
      </w:r>
      <w:r>
        <w:rPr>
          <w:spacing w:val="-6"/>
          <w:sz w:val="18"/>
          <w:szCs w:val="18"/>
          <w:lang w:val="es-ES_tradnl"/>
        </w:rPr>
        <w:t>n, as</w:t>
      </w:r>
      <w:r>
        <w:rPr>
          <w:rFonts w:cs="Times New Roman"/>
          <w:spacing w:val="-6"/>
          <w:sz w:val="18"/>
          <w:szCs w:val="18"/>
          <w:lang w:val="es-ES_tradnl"/>
        </w:rPr>
        <w:t>í</w:t>
      </w:r>
      <w:r>
        <w:rPr>
          <w:spacing w:val="-6"/>
          <w:sz w:val="18"/>
          <w:szCs w:val="18"/>
          <w:lang w:val="es-ES_tradnl"/>
        </w:rPr>
        <w:t xml:space="preserve"> como los aportes </w:t>
      </w:r>
      <w:r>
        <w:rPr>
          <w:spacing w:val="-7"/>
          <w:sz w:val="18"/>
          <w:szCs w:val="18"/>
          <w:lang w:val="es-ES_tradnl"/>
        </w:rPr>
        <w:t xml:space="preserve">probatorios y las alegaciones realizadas en audiencia por </w:t>
      </w:r>
      <w:r>
        <w:rPr>
          <w:sz w:val="18"/>
          <w:szCs w:val="18"/>
          <w:lang w:val="es-ES_tradnl"/>
        </w:rPr>
        <w:t>las partes.</w:t>
      </w:r>
    </w:p>
    <w:p w14:paraId="4F67B938" w14:textId="77777777" w:rsidR="00591D54" w:rsidRDefault="00591D54">
      <w:pPr>
        <w:shd w:val="clear" w:color="auto" w:fill="FFFFFF"/>
        <w:spacing w:before="197" w:line="216" w:lineRule="exact"/>
        <w:ind w:right="5"/>
        <w:jc w:val="both"/>
      </w:pPr>
      <w:r>
        <w:rPr>
          <w:spacing w:val="-6"/>
          <w:sz w:val="18"/>
          <w:szCs w:val="18"/>
          <w:lang w:val="es-ES_tradnl"/>
        </w:rPr>
        <w:t xml:space="preserve">Finalmente en el considerando tercero del fallo consta el </w:t>
      </w:r>
      <w:r>
        <w:rPr>
          <w:spacing w:val="-5"/>
          <w:sz w:val="18"/>
          <w:szCs w:val="18"/>
          <w:lang w:val="es-ES_tradnl"/>
        </w:rPr>
        <w:t>ejercicio argumentativo del cual, en primer t</w:t>
      </w:r>
      <w:r>
        <w:rPr>
          <w:rFonts w:cs="Times New Roman"/>
          <w:spacing w:val="-5"/>
          <w:sz w:val="18"/>
          <w:szCs w:val="18"/>
          <w:lang w:val="es-ES_tradnl"/>
        </w:rPr>
        <w:t>é</w:t>
      </w:r>
      <w:r>
        <w:rPr>
          <w:spacing w:val="-5"/>
          <w:sz w:val="18"/>
          <w:szCs w:val="18"/>
          <w:lang w:val="es-ES_tradnl"/>
        </w:rPr>
        <w:t xml:space="preserve">rmino, se </w:t>
      </w:r>
      <w:r>
        <w:rPr>
          <w:sz w:val="18"/>
          <w:szCs w:val="18"/>
          <w:lang w:val="es-ES_tradnl"/>
        </w:rPr>
        <w:t>establecen las siguientes premisas:</w:t>
      </w:r>
    </w:p>
    <w:p w14:paraId="4F67B939" w14:textId="77777777" w:rsidR="00591D54" w:rsidRDefault="00591D54">
      <w:pPr>
        <w:shd w:val="clear" w:color="auto" w:fill="FFFFFF"/>
        <w:spacing w:before="197" w:line="216" w:lineRule="exact"/>
        <w:jc w:val="both"/>
      </w:pPr>
      <w:r>
        <w:rPr>
          <w:spacing w:val="-7"/>
          <w:sz w:val="18"/>
          <w:szCs w:val="18"/>
          <w:lang w:val="es-ES_tradnl"/>
        </w:rPr>
        <w:t>Mediante resoluciones del Consejo de Clases y Polic</w:t>
      </w:r>
      <w:r>
        <w:rPr>
          <w:rFonts w:cs="Times New Roman"/>
          <w:spacing w:val="-7"/>
          <w:sz w:val="18"/>
          <w:szCs w:val="18"/>
          <w:lang w:val="es-ES_tradnl"/>
        </w:rPr>
        <w:t>í</w:t>
      </w:r>
      <w:r>
        <w:rPr>
          <w:spacing w:val="-7"/>
          <w:sz w:val="18"/>
          <w:szCs w:val="18"/>
          <w:lang w:val="es-ES_tradnl"/>
        </w:rPr>
        <w:t xml:space="preserve">as </w:t>
      </w:r>
      <w:r>
        <w:rPr>
          <w:spacing w:val="-5"/>
          <w:sz w:val="18"/>
          <w:szCs w:val="18"/>
          <w:lang w:val="es-ES_tradnl"/>
        </w:rPr>
        <w:t xml:space="preserve">Nros. 2010-0665-CCP-PN del 7 de mayo de 2010, se </w:t>
      </w:r>
      <w:r>
        <w:rPr>
          <w:spacing w:val="-8"/>
          <w:sz w:val="18"/>
          <w:szCs w:val="18"/>
          <w:lang w:val="es-ES_tradnl"/>
        </w:rPr>
        <w:t>declara como no id</w:t>
      </w:r>
      <w:r>
        <w:rPr>
          <w:rFonts w:cs="Times New Roman"/>
          <w:spacing w:val="-8"/>
          <w:sz w:val="18"/>
          <w:szCs w:val="18"/>
          <w:lang w:val="es-ES_tradnl"/>
        </w:rPr>
        <w:t>ó</w:t>
      </w:r>
      <w:r>
        <w:rPr>
          <w:spacing w:val="-8"/>
          <w:sz w:val="18"/>
          <w:szCs w:val="18"/>
          <w:lang w:val="es-ES_tradnl"/>
        </w:rPr>
        <w:t xml:space="preserve">neas para el ascenso a suboficiales </w:t>
      </w:r>
      <w:r>
        <w:rPr>
          <w:spacing w:val="-11"/>
          <w:sz w:val="18"/>
          <w:szCs w:val="18"/>
          <w:lang w:val="es-ES_tradnl"/>
        </w:rPr>
        <w:t>mayores de polic</w:t>
      </w:r>
      <w:r>
        <w:rPr>
          <w:rFonts w:cs="Times New Roman"/>
          <w:spacing w:val="-11"/>
          <w:sz w:val="18"/>
          <w:szCs w:val="18"/>
          <w:lang w:val="es-ES_tradnl"/>
        </w:rPr>
        <w:t>í</w:t>
      </w:r>
      <w:r>
        <w:rPr>
          <w:spacing w:val="-11"/>
          <w:sz w:val="18"/>
          <w:szCs w:val="18"/>
          <w:lang w:val="es-ES_tradnl"/>
        </w:rPr>
        <w:t>a a las suboficiales primeras , G</w:t>
      </w:r>
      <w:r>
        <w:rPr>
          <w:rFonts w:cs="Times New Roman"/>
          <w:spacing w:val="-11"/>
          <w:sz w:val="18"/>
          <w:szCs w:val="18"/>
          <w:lang w:val="es-ES_tradnl"/>
        </w:rPr>
        <w:t>ó</w:t>
      </w:r>
      <w:r>
        <w:rPr>
          <w:spacing w:val="-11"/>
          <w:sz w:val="18"/>
          <w:szCs w:val="18"/>
          <w:lang w:val="es-ES_tradnl"/>
        </w:rPr>
        <w:t xml:space="preserve">mez Leny </w:t>
      </w:r>
      <w:r>
        <w:rPr>
          <w:spacing w:val="-5"/>
          <w:sz w:val="18"/>
          <w:szCs w:val="18"/>
          <w:lang w:val="es-ES_tradnl"/>
        </w:rPr>
        <w:t>Mar</w:t>
      </w:r>
      <w:r>
        <w:rPr>
          <w:rFonts w:cs="Times New Roman"/>
          <w:spacing w:val="-5"/>
          <w:sz w:val="18"/>
          <w:szCs w:val="18"/>
          <w:lang w:val="es-ES_tradnl"/>
        </w:rPr>
        <w:t>í</w:t>
      </w:r>
      <w:r>
        <w:rPr>
          <w:spacing w:val="-5"/>
          <w:sz w:val="18"/>
          <w:szCs w:val="18"/>
          <w:lang w:val="es-ES_tradnl"/>
        </w:rPr>
        <w:t>a Evigenia y Jaramillo Caiza Orfa; 2010-1189-CCP-</w:t>
      </w:r>
      <w:r>
        <w:rPr>
          <w:spacing w:val="-7"/>
          <w:sz w:val="18"/>
          <w:szCs w:val="18"/>
          <w:lang w:val="es-ES_tradnl"/>
        </w:rPr>
        <w:t xml:space="preserve">PN y 2010-1190CCP-PN del 17 de agosto de 2010, que </w:t>
      </w:r>
      <w:r>
        <w:rPr>
          <w:sz w:val="18"/>
          <w:szCs w:val="18"/>
          <w:lang w:val="es-ES_tradnl"/>
        </w:rPr>
        <w:t>ratificaron la resoluci</w:t>
      </w:r>
      <w:r>
        <w:rPr>
          <w:rFonts w:cs="Times New Roman"/>
          <w:sz w:val="18"/>
          <w:szCs w:val="18"/>
          <w:lang w:val="es-ES_tradnl"/>
        </w:rPr>
        <w:t>ó</w:t>
      </w:r>
      <w:r>
        <w:rPr>
          <w:sz w:val="18"/>
          <w:szCs w:val="18"/>
          <w:lang w:val="es-ES_tradnl"/>
        </w:rPr>
        <w:t>n anterior.</w:t>
      </w:r>
    </w:p>
    <w:p w14:paraId="4F67B93A" w14:textId="77777777" w:rsidR="00591D54" w:rsidRDefault="00591D54">
      <w:pPr>
        <w:shd w:val="clear" w:color="auto" w:fill="FFFFFF"/>
        <w:spacing w:before="197" w:line="216" w:lineRule="exact"/>
        <w:jc w:val="both"/>
      </w:pPr>
      <w:r>
        <w:rPr>
          <w:sz w:val="18"/>
          <w:szCs w:val="18"/>
          <w:lang w:val="es-ES_tradnl"/>
        </w:rPr>
        <w:t>Mediante resoluci</w:t>
      </w:r>
      <w:r>
        <w:rPr>
          <w:rFonts w:cs="Times New Roman"/>
          <w:sz w:val="18"/>
          <w:szCs w:val="18"/>
          <w:lang w:val="es-ES_tradnl"/>
        </w:rPr>
        <w:t>ó</w:t>
      </w:r>
      <w:r>
        <w:rPr>
          <w:sz w:val="18"/>
          <w:szCs w:val="18"/>
          <w:lang w:val="es-ES_tradnl"/>
        </w:rPr>
        <w:t>n N.</w:t>
      </w:r>
      <w:r>
        <w:rPr>
          <w:rFonts w:cs="Times New Roman"/>
          <w:sz w:val="18"/>
          <w:szCs w:val="18"/>
          <w:lang w:val="es-ES_tradnl"/>
        </w:rPr>
        <w:t>º</w:t>
      </w:r>
      <w:r>
        <w:rPr>
          <w:sz w:val="18"/>
          <w:szCs w:val="18"/>
          <w:lang w:val="es-ES_tradnl"/>
        </w:rPr>
        <w:t xml:space="preserve"> 2011-0099-CCP-PN del 11 </w:t>
      </w:r>
      <w:r>
        <w:rPr>
          <w:spacing w:val="-7"/>
          <w:sz w:val="18"/>
          <w:szCs w:val="18"/>
          <w:lang w:val="es-ES_tradnl"/>
        </w:rPr>
        <w:t xml:space="preserve">de enero de 2011, se deja sin efecto el contenido de la </w:t>
      </w:r>
      <w:r>
        <w:rPr>
          <w:sz w:val="18"/>
          <w:szCs w:val="18"/>
          <w:lang w:val="es-ES_tradnl"/>
        </w:rPr>
        <w:t>Resoluci</w:t>
      </w:r>
      <w:r>
        <w:rPr>
          <w:rFonts w:cs="Times New Roman"/>
          <w:sz w:val="18"/>
          <w:szCs w:val="18"/>
          <w:lang w:val="es-ES_tradnl"/>
        </w:rPr>
        <w:t>ó</w:t>
      </w:r>
      <w:r>
        <w:rPr>
          <w:sz w:val="18"/>
          <w:szCs w:val="18"/>
          <w:lang w:val="es-ES_tradnl"/>
        </w:rPr>
        <w:t>n N.</w:t>
      </w:r>
      <w:r>
        <w:rPr>
          <w:rFonts w:cs="Times New Roman"/>
          <w:sz w:val="18"/>
          <w:szCs w:val="18"/>
          <w:lang w:val="es-ES_tradnl"/>
        </w:rPr>
        <w:t>º</w:t>
      </w:r>
      <w:r>
        <w:rPr>
          <w:sz w:val="18"/>
          <w:szCs w:val="18"/>
          <w:lang w:val="es-ES_tradnl"/>
        </w:rPr>
        <w:t xml:space="preserve"> 2010-0665-CCP-PN del 7 de mayo de</w:t>
      </w:r>
    </w:p>
    <w:p w14:paraId="4F67B93B" w14:textId="77777777" w:rsidR="00591D54" w:rsidRDefault="00591D54">
      <w:pPr>
        <w:shd w:val="clear" w:color="auto" w:fill="FFFFFF"/>
        <w:spacing w:line="221" w:lineRule="exact"/>
        <w:jc w:val="both"/>
      </w:pPr>
      <w:r>
        <w:br w:type="column"/>
      </w:r>
      <w:r>
        <w:rPr>
          <w:spacing w:val="-7"/>
          <w:sz w:val="18"/>
          <w:szCs w:val="18"/>
          <w:lang w:val="es-ES_tradnl"/>
        </w:rPr>
        <w:t>2010, que las declara como no id</w:t>
      </w:r>
      <w:r>
        <w:rPr>
          <w:rFonts w:cs="Times New Roman"/>
          <w:spacing w:val="-7"/>
          <w:sz w:val="18"/>
          <w:szCs w:val="18"/>
          <w:lang w:val="es-ES_tradnl"/>
        </w:rPr>
        <w:t>ó</w:t>
      </w:r>
      <w:r>
        <w:rPr>
          <w:spacing w:val="-7"/>
          <w:sz w:val="18"/>
          <w:szCs w:val="18"/>
          <w:lang w:val="es-ES_tradnl"/>
        </w:rPr>
        <w:t>neas y, se dispone que el comandante general de la Polic</w:t>
      </w:r>
      <w:r>
        <w:rPr>
          <w:rFonts w:cs="Times New Roman"/>
          <w:spacing w:val="-7"/>
          <w:sz w:val="18"/>
          <w:szCs w:val="18"/>
          <w:lang w:val="es-ES_tradnl"/>
        </w:rPr>
        <w:t>í</w:t>
      </w:r>
      <w:r>
        <w:rPr>
          <w:spacing w:val="-7"/>
          <w:sz w:val="18"/>
          <w:szCs w:val="18"/>
          <w:lang w:val="es-ES_tradnl"/>
        </w:rPr>
        <w:t xml:space="preserve">a Nacional empiece el </w:t>
      </w:r>
      <w:r>
        <w:rPr>
          <w:spacing w:val="-6"/>
          <w:sz w:val="18"/>
          <w:szCs w:val="18"/>
          <w:lang w:val="es-ES_tradnl"/>
        </w:rPr>
        <w:t>tr</w:t>
      </w:r>
      <w:r>
        <w:rPr>
          <w:rFonts w:cs="Times New Roman"/>
          <w:spacing w:val="-6"/>
          <w:sz w:val="18"/>
          <w:szCs w:val="18"/>
          <w:lang w:val="es-ES_tradnl"/>
        </w:rPr>
        <w:t>á</w:t>
      </w:r>
      <w:r>
        <w:rPr>
          <w:spacing w:val="-6"/>
          <w:sz w:val="18"/>
          <w:szCs w:val="18"/>
          <w:lang w:val="es-ES_tradnl"/>
        </w:rPr>
        <w:t xml:space="preserve">mite respectivo para alcanzar que el Ejecutivo emita el </w:t>
      </w:r>
      <w:r>
        <w:rPr>
          <w:spacing w:val="-10"/>
          <w:sz w:val="18"/>
          <w:szCs w:val="18"/>
          <w:lang w:val="es-ES_tradnl"/>
        </w:rPr>
        <w:t xml:space="preserve">correspondiente decreto reservado en el cual, se establezca </w:t>
      </w:r>
      <w:r>
        <w:rPr>
          <w:spacing w:val="-8"/>
          <w:sz w:val="18"/>
          <w:szCs w:val="18"/>
          <w:lang w:val="es-ES_tradnl"/>
        </w:rPr>
        <w:t>la creaci</w:t>
      </w:r>
      <w:r>
        <w:rPr>
          <w:rFonts w:cs="Times New Roman"/>
          <w:spacing w:val="-8"/>
          <w:sz w:val="18"/>
          <w:szCs w:val="18"/>
          <w:lang w:val="es-ES_tradnl"/>
        </w:rPr>
        <w:t>ó</w:t>
      </w:r>
      <w:r>
        <w:rPr>
          <w:spacing w:val="-8"/>
          <w:sz w:val="18"/>
          <w:szCs w:val="18"/>
          <w:lang w:val="es-ES_tradnl"/>
        </w:rPr>
        <w:t xml:space="preserve">n de dos vacantes para el grado de suboficiales </w:t>
      </w:r>
      <w:r>
        <w:rPr>
          <w:spacing w:val="-7"/>
          <w:sz w:val="18"/>
          <w:szCs w:val="18"/>
          <w:lang w:val="es-ES_tradnl"/>
        </w:rPr>
        <w:t>mayores de servicios administrativos, dentro del org</w:t>
      </w:r>
      <w:r>
        <w:rPr>
          <w:rFonts w:cs="Times New Roman"/>
          <w:spacing w:val="-7"/>
          <w:sz w:val="18"/>
          <w:szCs w:val="18"/>
          <w:lang w:val="es-ES_tradnl"/>
        </w:rPr>
        <w:t>á</w:t>
      </w:r>
      <w:r>
        <w:rPr>
          <w:spacing w:val="-7"/>
          <w:sz w:val="18"/>
          <w:szCs w:val="18"/>
          <w:lang w:val="es-ES_tradnl"/>
        </w:rPr>
        <w:t xml:space="preserve">nico </w:t>
      </w:r>
      <w:r>
        <w:rPr>
          <w:spacing w:val="-5"/>
          <w:sz w:val="18"/>
          <w:szCs w:val="18"/>
          <w:lang w:val="es-ES_tradnl"/>
        </w:rPr>
        <w:t>institucional de la Polic</w:t>
      </w:r>
      <w:r>
        <w:rPr>
          <w:rFonts w:cs="Times New Roman"/>
          <w:spacing w:val="-5"/>
          <w:sz w:val="18"/>
          <w:szCs w:val="18"/>
          <w:lang w:val="es-ES_tradnl"/>
        </w:rPr>
        <w:t>í</w:t>
      </w:r>
      <w:r>
        <w:rPr>
          <w:spacing w:val="-5"/>
          <w:sz w:val="18"/>
          <w:szCs w:val="18"/>
          <w:lang w:val="es-ES_tradnl"/>
        </w:rPr>
        <w:t>a Nacional aprobado para el a</w:t>
      </w:r>
      <w:r>
        <w:rPr>
          <w:rFonts w:cs="Times New Roman"/>
          <w:spacing w:val="-5"/>
          <w:sz w:val="18"/>
          <w:szCs w:val="18"/>
          <w:lang w:val="es-ES_tradnl"/>
        </w:rPr>
        <w:t>ñ</w:t>
      </w:r>
      <w:r>
        <w:rPr>
          <w:spacing w:val="-5"/>
          <w:sz w:val="18"/>
          <w:szCs w:val="18"/>
          <w:lang w:val="es-ES_tradnl"/>
        </w:rPr>
        <w:t xml:space="preserve">o </w:t>
      </w:r>
      <w:r>
        <w:rPr>
          <w:sz w:val="18"/>
          <w:szCs w:val="18"/>
          <w:lang w:val="es-ES_tradnl"/>
        </w:rPr>
        <w:t>2010.</w:t>
      </w:r>
    </w:p>
    <w:p w14:paraId="4F67B93C" w14:textId="77777777" w:rsidR="00591D54" w:rsidRDefault="00591D54">
      <w:pPr>
        <w:shd w:val="clear" w:color="auto" w:fill="FFFFFF"/>
        <w:spacing w:before="202" w:line="221" w:lineRule="exact"/>
        <w:jc w:val="both"/>
      </w:pPr>
      <w:r>
        <w:rPr>
          <w:spacing w:val="-10"/>
          <w:sz w:val="18"/>
          <w:szCs w:val="18"/>
          <w:lang w:val="es-ES_tradnl"/>
        </w:rPr>
        <w:t>La raz</w:t>
      </w:r>
      <w:r>
        <w:rPr>
          <w:rFonts w:cs="Times New Roman"/>
          <w:spacing w:val="-10"/>
          <w:sz w:val="18"/>
          <w:szCs w:val="18"/>
          <w:lang w:val="es-ES_tradnl"/>
        </w:rPr>
        <w:t>ó</w:t>
      </w:r>
      <w:r>
        <w:rPr>
          <w:spacing w:val="-10"/>
          <w:sz w:val="18"/>
          <w:szCs w:val="18"/>
          <w:lang w:val="es-ES_tradnl"/>
        </w:rPr>
        <w:t xml:space="preserve">n de esto fue precautelar que no exista </w:t>
      </w:r>
      <w:r>
        <w:rPr>
          <w:rFonts w:cs="Times New Roman"/>
          <w:spacing w:val="-10"/>
          <w:sz w:val="18"/>
          <w:szCs w:val="18"/>
          <w:lang w:val="es-ES_tradnl"/>
        </w:rPr>
        <w:t>“</w:t>
      </w:r>
      <w:r>
        <w:rPr>
          <w:spacing w:val="-10"/>
          <w:sz w:val="18"/>
          <w:szCs w:val="18"/>
          <w:lang w:val="es-ES_tradnl"/>
        </w:rPr>
        <w:t>(</w:t>
      </w:r>
      <w:r>
        <w:rPr>
          <w:rFonts w:cs="Times New Roman"/>
          <w:spacing w:val="-10"/>
          <w:sz w:val="18"/>
          <w:szCs w:val="18"/>
          <w:lang w:val="es-ES_tradnl"/>
        </w:rPr>
        <w:t>…</w:t>
      </w:r>
      <w:r>
        <w:rPr>
          <w:spacing w:val="-10"/>
          <w:sz w:val="18"/>
          <w:szCs w:val="18"/>
          <w:lang w:val="es-ES_tradnl"/>
        </w:rPr>
        <w:t xml:space="preserve">) ninguna </w:t>
      </w:r>
      <w:r>
        <w:rPr>
          <w:spacing w:val="-4"/>
          <w:sz w:val="18"/>
          <w:szCs w:val="18"/>
          <w:lang w:val="es-ES_tradnl"/>
        </w:rPr>
        <w:t>discriminaci</w:t>
      </w:r>
      <w:r>
        <w:rPr>
          <w:rFonts w:cs="Times New Roman"/>
          <w:spacing w:val="-4"/>
          <w:sz w:val="18"/>
          <w:szCs w:val="18"/>
          <w:lang w:val="es-ES_tradnl"/>
        </w:rPr>
        <w:t>ó</w:t>
      </w:r>
      <w:r>
        <w:rPr>
          <w:spacing w:val="-4"/>
          <w:sz w:val="18"/>
          <w:szCs w:val="18"/>
          <w:lang w:val="es-ES_tradnl"/>
        </w:rPr>
        <w:t>n, ni violaci</w:t>
      </w:r>
      <w:r>
        <w:rPr>
          <w:rFonts w:cs="Times New Roman"/>
          <w:spacing w:val="-4"/>
          <w:sz w:val="18"/>
          <w:szCs w:val="18"/>
          <w:lang w:val="es-ES_tradnl"/>
        </w:rPr>
        <w:t>ó</w:t>
      </w:r>
      <w:r>
        <w:rPr>
          <w:spacing w:val="-4"/>
          <w:sz w:val="18"/>
          <w:szCs w:val="18"/>
          <w:lang w:val="es-ES_tradnl"/>
        </w:rPr>
        <w:t xml:space="preserve">n de derecho constitucionales </w:t>
      </w:r>
      <w:r>
        <w:rPr>
          <w:sz w:val="18"/>
          <w:szCs w:val="18"/>
          <w:lang w:val="es-ES_tradnl"/>
        </w:rPr>
        <w:t xml:space="preserve">(Sic.), conforme lo establecen los Arts. 11 y 426 de </w:t>
      </w:r>
      <w:r>
        <w:rPr>
          <w:spacing w:val="-6"/>
          <w:sz w:val="18"/>
          <w:szCs w:val="18"/>
          <w:lang w:val="es-ES_tradnl"/>
        </w:rPr>
        <w:t>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del Ecuador. Una vez </w:t>
      </w:r>
      <w:r>
        <w:rPr>
          <w:spacing w:val="-3"/>
          <w:sz w:val="18"/>
          <w:szCs w:val="18"/>
          <w:lang w:val="es-ES_tradnl"/>
        </w:rPr>
        <w:t>alcanzadas las vacantes respectivas, se proceder</w:t>
      </w:r>
      <w:r>
        <w:rPr>
          <w:rFonts w:cs="Times New Roman"/>
          <w:spacing w:val="-3"/>
          <w:sz w:val="18"/>
          <w:szCs w:val="18"/>
          <w:lang w:val="es-ES_tradnl"/>
        </w:rPr>
        <w:t>á</w:t>
      </w:r>
      <w:r>
        <w:rPr>
          <w:spacing w:val="-3"/>
          <w:sz w:val="18"/>
          <w:szCs w:val="18"/>
          <w:lang w:val="es-ES_tradnl"/>
        </w:rPr>
        <w:t xml:space="preserve"> con </w:t>
      </w:r>
      <w:r>
        <w:rPr>
          <w:spacing w:val="-4"/>
          <w:sz w:val="18"/>
          <w:szCs w:val="18"/>
          <w:lang w:val="es-ES_tradnl"/>
        </w:rPr>
        <w:t>el tr</w:t>
      </w:r>
      <w:r>
        <w:rPr>
          <w:rFonts w:cs="Times New Roman"/>
          <w:spacing w:val="-4"/>
          <w:sz w:val="18"/>
          <w:szCs w:val="18"/>
          <w:lang w:val="es-ES_tradnl"/>
        </w:rPr>
        <w:t>á</w:t>
      </w:r>
      <w:r>
        <w:rPr>
          <w:spacing w:val="-4"/>
          <w:sz w:val="18"/>
          <w:szCs w:val="18"/>
          <w:lang w:val="es-ES_tradnl"/>
        </w:rPr>
        <w:t>mite de calificaci</w:t>
      </w:r>
      <w:r>
        <w:rPr>
          <w:rFonts w:cs="Times New Roman"/>
          <w:spacing w:val="-4"/>
          <w:sz w:val="18"/>
          <w:szCs w:val="18"/>
          <w:lang w:val="es-ES_tradnl"/>
        </w:rPr>
        <w:t>ó</w:t>
      </w:r>
      <w:r>
        <w:rPr>
          <w:spacing w:val="-4"/>
          <w:sz w:val="18"/>
          <w:szCs w:val="18"/>
          <w:lang w:val="es-ES_tradnl"/>
        </w:rPr>
        <w:t>n y clasificaci</w:t>
      </w:r>
      <w:r>
        <w:rPr>
          <w:rFonts w:cs="Times New Roman"/>
          <w:spacing w:val="-4"/>
          <w:sz w:val="18"/>
          <w:szCs w:val="18"/>
          <w:lang w:val="es-ES_tradnl"/>
        </w:rPr>
        <w:t>ó</w:t>
      </w:r>
      <w:r>
        <w:rPr>
          <w:spacing w:val="-4"/>
          <w:sz w:val="18"/>
          <w:szCs w:val="18"/>
          <w:lang w:val="es-ES_tradnl"/>
        </w:rPr>
        <w:t xml:space="preserve">n para el ascenso </w:t>
      </w:r>
      <w:r>
        <w:rPr>
          <w:spacing w:val="-6"/>
          <w:sz w:val="18"/>
          <w:szCs w:val="18"/>
          <w:lang w:val="es-ES_tradnl"/>
        </w:rPr>
        <w:t xml:space="preserve">al inmediato grado superior de las referidas Miembros </w:t>
      </w:r>
      <w:r>
        <w:rPr>
          <w:sz w:val="18"/>
          <w:szCs w:val="18"/>
          <w:lang w:val="es-ES_tradnl"/>
        </w:rPr>
        <w:t>Policiales (</w:t>
      </w:r>
      <w:r>
        <w:rPr>
          <w:rFonts w:cs="Times New Roman"/>
          <w:sz w:val="18"/>
          <w:szCs w:val="18"/>
          <w:lang w:val="es-ES_tradnl"/>
        </w:rPr>
        <w:t>…</w:t>
      </w:r>
      <w:r>
        <w:rPr>
          <w:sz w:val="18"/>
          <w:szCs w:val="18"/>
          <w:lang w:val="es-ES_tradnl"/>
        </w:rPr>
        <w:t>)</w:t>
      </w:r>
      <w:r>
        <w:rPr>
          <w:rFonts w:cs="Times New Roman"/>
          <w:sz w:val="18"/>
          <w:szCs w:val="18"/>
          <w:lang w:val="es-ES_tradnl"/>
        </w:rPr>
        <w:t>”</w:t>
      </w:r>
      <w:r>
        <w:rPr>
          <w:sz w:val="18"/>
          <w:szCs w:val="18"/>
          <w:lang w:val="es-ES_tradnl"/>
        </w:rPr>
        <w:t>.</w:t>
      </w:r>
    </w:p>
    <w:p w14:paraId="4F67B93D" w14:textId="77777777" w:rsidR="00591D54" w:rsidRDefault="00591D54">
      <w:pPr>
        <w:shd w:val="clear" w:color="auto" w:fill="FFFFFF"/>
        <w:spacing w:before="202" w:line="221" w:lineRule="exact"/>
        <w:jc w:val="both"/>
      </w:pPr>
      <w:r>
        <w:rPr>
          <w:spacing w:val="-3"/>
          <w:sz w:val="18"/>
          <w:szCs w:val="18"/>
          <w:lang w:val="es-ES_tradnl"/>
        </w:rPr>
        <w:t>Mediante la Resoluci</w:t>
      </w:r>
      <w:r>
        <w:rPr>
          <w:rFonts w:cs="Times New Roman"/>
          <w:spacing w:val="-3"/>
          <w:sz w:val="18"/>
          <w:szCs w:val="18"/>
          <w:lang w:val="es-ES_tradnl"/>
        </w:rPr>
        <w:t>ó</w:t>
      </w:r>
      <w:r>
        <w:rPr>
          <w:spacing w:val="-3"/>
          <w:sz w:val="18"/>
          <w:szCs w:val="18"/>
          <w:lang w:val="es-ES_tradnl"/>
        </w:rPr>
        <w:t>n N.</w:t>
      </w:r>
      <w:r>
        <w:rPr>
          <w:rFonts w:cs="Times New Roman"/>
          <w:spacing w:val="-3"/>
          <w:sz w:val="18"/>
          <w:szCs w:val="18"/>
          <w:lang w:val="es-ES_tradnl"/>
        </w:rPr>
        <w:t>º</w:t>
      </w:r>
      <w:r>
        <w:rPr>
          <w:spacing w:val="-3"/>
          <w:sz w:val="18"/>
          <w:szCs w:val="18"/>
          <w:lang w:val="es-ES_tradnl"/>
        </w:rPr>
        <w:t xml:space="preserve"> 2011-0430-CCP-PN del 24 </w:t>
      </w:r>
      <w:r>
        <w:rPr>
          <w:spacing w:val="-5"/>
          <w:sz w:val="18"/>
          <w:szCs w:val="18"/>
          <w:lang w:val="es-ES_tradnl"/>
        </w:rPr>
        <w:t>de marzo de 2011, se deja sin efecto la Resoluci</w:t>
      </w:r>
      <w:r>
        <w:rPr>
          <w:rFonts w:cs="Times New Roman"/>
          <w:spacing w:val="-5"/>
          <w:sz w:val="18"/>
          <w:szCs w:val="18"/>
          <w:lang w:val="es-ES_tradnl"/>
        </w:rPr>
        <w:t>ó</w:t>
      </w:r>
      <w:r>
        <w:rPr>
          <w:spacing w:val="-5"/>
          <w:sz w:val="18"/>
          <w:szCs w:val="18"/>
          <w:lang w:val="es-ES_tradnl"/>
        </w:rPr>
        <w:t>n N.</w:t>
      </w:r>
      <w:r>
        <w:rPr>
          <w:rFonts w:cs="Times New Roman"/>
          <w:spacing w:val="-5"/>
          <w:sz w:val="18"/>
          <w:szCs w:val="18"/>
          <w:lang w:val="es-ES_tradnl"/>
        </w:rPr>
        <w:t xml:space="preserve">º </w:t>
      </w:r>
      <w:r>
        <w:rPr>
          <w:spacing w:val="-8"/>
          <w:sz w:val="18"/>
          <w:szCs w:val="18"/>
          <w:lang w:val="es-ES_tradnl"/>
        </w:rPr>
        <w:t xml:space="preserve">2011-0099-CCP-PN del 11 de enero de 2011, que dispone </w:t>
      </w:r>
      <w:r>
        <w:rPr>
          <w:spacing w:val="-4"/>
          <w:sz w:val="18"/>
          <w:szCs w:val="18"/>
          <w:lang w:val="es-ES_tradnl"/>
        </w:rPr>
        <w:t>gestionar la creaci</w:t>
      </w:r>
      <w:r>
        <w:rPr>
          <w:rFonts w:cs="Times New Roman"/>
          <w:spacing w:val="-4"/>
          <w:sz w:val="18"/>
          <w:szCs w:val="18"/>
          <w:lang w:val="es-ES_tradnl"/>
        </w:rPr>
        <w:t>ó</w:t>
      </w:r>
      <w:r>
        <w:rPr>
          <w:spacing w:val="-4"/>
          <w:sz w:val="18"/>
          <w:szCs w:val="18"/>
          <w:lang w:val="es-ES_tradnl"/>
        </w:rPr>
        <w:t xml:space="preserve">n de las vacantes para el ascenso, </w:t>
      </w:r>
      <w:r>
        <w:rPr>
          <w:spacing w:val="-6"/>
          <w:sz w:val="18"/>
          <w:szCs w:val="18"/>
          <w:lang w:val="es-ES_tradnl"/>
        </w:rPr>
        <w:t>ratificando nuevamente el contenido de la Resoluci</w:t>
      </w:r>
      <w:r>
        <w:rPr>
          <w:rFonts w:cs="Times New Roman"/>
          <w:spacing w:val="-6"/>
          <w:sz w:val="18"/>
          <w:szCs w:val="18"/>
          <w:lang w:val="es-ES_tradnl"/>
        </w:rPr>
        <w:t>ó</w:t>
      </w:r>
      <w:r>
        <w:rPr>
          <w:spacing w:val="-6"/>
          <w:sz w:val="18"/>
          <w:szCs w:val="18"/>
          <w:lang w:val="es-ES_tradnl"/>
        </w:rPr>
        <w:t>n N.</w:t>
      </w:r>
      <w:r>
        <w:rPr>
          <w:rFonts w:cs="Times New Roman"/>
          <w:spacing w:val="-6"/>
          <w:sz w:val="18"/>
          <w:szCs w:val="18"/>
          <w:lang w:val="es-ES_tradnl"/>
        </w:rPr>
        <w:t xml:space="preserve">º </w:t>
      </w:r>
      <w:r>
        <w:rPr>
          <w:spacing w:val="-8"/>
          <w:sz w:val="18"/>
          <w:szCs w:val="18"/>
          <w:lang w:val="es-ES_tradnl"/>
        </w:rPr>
        <w:t xml:space="preserve">2010-0665-CCP-PN del 7 de mayo de 2010, que declara a </w:t>
      </w:r>
      <w:r>
        <w:rPr>
          <w:sz w:val="18"/>
          <w:szCs w:val="18"/>
          <w:lang w:val="es-ES_tradnl"/>
        </w:rPr>
        <w:t>las legitimadas activas como no id</w:t>
      </w:r>
      <w:r>
        <w:rPr>
          <w:rFonts w:cs="Times New Roman"/>
          <w:sz w:val="18"/>
          <w:szCs w:val="18"/>
          <w:lang w:val="es-ES_tradnl"/>
        </w:rPr>
        <w:t>ó</w:t>
      </w:r>
      <w:r>
        <w:rPr>
          <w:sz w:val="18"/>
          <w:szCs w:val="18"/>
          <w:lang w:val="es-ES_tradnl"/>
        </w:rPr>
        <w:t>neas.</w:t>
      </w:r>
    </w:p>
    <w:p w14:paraId="4F67B93E" w14:textId="77777777" w:rsidR="00591D54" w:rsidRDefault="00591D54">
      <w:pPr>
        <w:shd w:val="clear" w:color="auto" w:fill="FFFFFF"/>
        <w:spacing w:before="202"/>
      </w:pPr>
      <w:r>
        <w:rPr>
          <w:spacing w:val="-9"/>
          <w:sz w:val="18"/>
          <w:szCs w:val="18"/>
          <w:lang w:val="es-ES_tradnl"/>
        </w:rPr>
        <w:t>En base a estas premisas, la Sala concluye lo siguiente:</w:t>
      </w:r>
    </w:p>
    <w:p w14:paraId="4F67B93F" w14:textId="77777777" w:rsidR="00591D54" w:rsidRDefault="00591D54">
      <w:pPr>
        <w:shd w:val="clear" w:color="auto" w:fill="FFFFFF"/>
        <w:spacing w:before="202" w:line="226" w:lineRule="exact"/>
        <w:jc w:val="both"/>
      </w:pPr>
      <w:r>
        <w:rPr>
          <w:spacing w:val="-1"/>
          <w:sz w:val="18"/>
          <w:szCs w:val="18"/>
          <w:lang w:val="es-ES_tradnl"/>
        </w:rPr>
        <w:t>Respecto a dejar sin efecto la Resoluci</w:t>
      </w:r>
      <w:r>
        <w:rPr>
          <w:rFonts w:cs="Times New Roman"/>
          <w:spacing w:val="-1"/>
          <w:sz w:val="18"/>
          <w:szCs w:val="18"/>
          <w:lang w:val="es-ES_tradnl"/>
        </w:rPr>
        <w:t>ó</w:t>
      </w:r>
      <w:r>
        <w:rPr>
          <w:spacing w:val="-1"/>
          <w:sz w:val="18"/>
          <w:szCs w:val="18"/>
          <w:lang w:val="es-ES_tradnl"/>
        </w:rPr>
        <w:t>n N.</w:t>
      </w:r>
      <w:r>
        <w:rPr>
          <w:rFonts w:cs="Times New Roman"/>
          <w:spacing w:val="-1"/>
          <w:sz w:val="18"/>
          <w:szCs w:val="18"/>
          <w:lang w:val="es-ES_tradnl"/>
        </w:rPr>
        <w:t xml:space="preserve">º </w:t>
      </w:r>
      <w:r>
        <w:rPr>
          <w:spacing w:val="-3"/>
          <w:sz w:val="18"/>
          <w:szCs w:val="18"/>
          <w:lang w:val="es-ES_tradnl"/>
        </w:rPr>
        <w:t xml:space="preserve">2010-0665-CCP-PN del 7 de mayo de 2010, que las </w:t>
      </w:r>
      <w:r>
        <w:rPr>
          <w:spacing w:val="-7"/>
          <w:sz w:val="18"/>
          <w:szCs w:val="18"/>
          <w:lang w:val="es-ES_tradnl"/>
        </w:rPr>
        <w:t>declara como no id</w:t>
      </w:r>
      <w:r>
        <w:rPr>
          <w:rFonts w:cs="Times New Roman"/>
          <w:spacing w:val="-7"/>
          <w:sz w:val="18"/>
          <w:szCs w:val="18"/>
          <w:lang w:val="es-ES_tradnl"/>
        </w:rPr>
        <w:t>ó</w:t>
      </w:r>
      <w:r>
        <w:rPr>
          <w:spacing w:val="-7"/>
          <w:sz w:val="18"/>
          <w:szCs w:val="18"/>
          <w:lang w:val="es-ES_tradnl"/>
        </w:rPr>
        <w:t xml:space="preserve">neas, para precautelar que no exista </w:t>
      </w:r>
      <w:r>
        <w:rPr>
          <w:spacing w:val="-5"/>
          <w:sz w:val="18"/>
          <w:szCs w:val="18"/>
          <w:lang w:val="es-ES_tradnl"/>
        </w:rPr>
        <w:t>discriminaci</w:t>
      </w:r>
      <w:r>
        <w:rPr>
          <w:rFonts w:cs="Times New Roman"/>
          <w:spacing w:val="-5"/>
          <w:sz w:val="18"/>
          <w:szCs w:val="18"/>
          <w:lang w:val="es-ES_tradnl"/>
        </w:rPr>
        <w:t>ó</w:t>
      </w:r>
      <w:r>
        <w:rPr>
          <w:spacing w:val="-5"/>
          <w:sz w:val="18"/>
          <w:szCs w:val="18"/>
          <w:lang w:val="es-ES_tradnl"/>
        </w:rPr>
        <w:t xml:space="preserve">n y posteriormente, ratificar su vigencia sin </w:t>
      </w:r>
      <w:r>
        <w:rPr>
          <w:sz w:val="18"/>
          <w:szCs w:val="18"/>
          <w:lang w:val="es-ES_tradnl"/>
        </w:rPr>
        <w:t>raz</w:t>
      </w:r>
      <w:r>
        <w:rPr>
          <w:rFonts w:cs="Times New Roman"/>
          <w:sz w:val="18"/>
          <w:szCs w:val="18"/>
          <w:lang w:val="es-ES_tradnl"/>
        </w:rPr>
        <w:t>ó</w:t>
      </w:r>
      <w:r>
        <w:rPr>
          <w:sz w:val="18"/>
          <w:szCs w:val="18"/>
          <w:lang w:val="es-ES_tradnl"/>
        </w:rPr>
        <w:t>n aparente, se</w:t>
      </w:r>
      <w:r>
        <w:rPr>
          <w:rFonts w:cs="Times New Roman"/>
          <w:sz w:val="18"/>
          <w:szCs w:val="18"/>
          <w:lang w:val="es-ES_tradnl"/>
        </w:rPr>
        <w:t>ñ</w:t>
      </w:r>
      <w:r>
        <w:rPr>
          <w:sz w:val="18"/>
          <w:szCs w:val="18"/>
          <w:lang w:val="es-ES_tradnl"/>
        </w:rPr>
        <w:t>ala que:</w:t>
      </w:r>
    </w:p>
    <w:p w14:paraId="4F67B940" w14:textId="77777777" w:rsidR="00591D54" w:rsidRDefault="00591D54">
      <w:pPr>
        <w:shd w:val="clear" w:color="auto" w:fill="FFFFFF"/>
        <w:spacing w:before="206" w:line="221" w:lineRule="exact"/>
        <w:ind w:left="283"/>
        <w:jc w:val="both"/>
      </w:pPr>
      <w:r>
        <w:rPr>
          <w:spacing w:val="-10"/>
          <w:sz w:val="16"/>
          <w:szCs w:val="16"/>
          <w:lang w:val="es-ES_tradnl"/>
        </w:rPr>
        <w:t>(</w:t>
      </w:r>
      <w:r>
        <w:rPr>
          <w:rFonts w:cs="Times New Roman"/>
          <w:spacing w:val="-10"/>
          <w:sz w:val="16"/>
          <w:szCs w:val="16"/>
          <w:lang w:val="es-ES_tradnl"/>
        </w:rPr>
        <w:t>…</w:t>
      </w:r>
      <w:r>
        <w:rPr>
          <w:spacing w:val="-10"/>
          <w:sz w:val="16"/>
          <w:szCs w:val="16"/>
          <w:lang w:val="es-ES_tradnl"/>
        </w:rPr>
        <w:t>) el mismo Consejo de Clases y Polic</w:t>
      </w:r>
      <w:r>
        <w:rPr>
          <w:rFonts w:cs="Times New Roman"/>
          <w:spacing w:val="-10"/>
          <w:sz w:val="16"/>
          <w:szCs w:val="16"/>
          <w:lang w:val="es-ES_tradnl"/>
        </w:rPr>
        <w:t>í</w:t>
      </w:r>
      <w:r>
        <w:rPr>
          <w:spacing w:val="-10"/>
          <w:sz w:val="16"/>
          <w:szCs w:val="16"/>
          <w:lang w:val="es-ES_tradnl"/>
        </w:rPr>
        <w:t>as procedi</w:t>
      </w:r>
      <w:r>
        <w:rPr>
          <w:rFonts w:cs="Times New Roman"/>
          <w:spacing w:val="-10"/>
          <w:sz w:val="16"/>
          <w:szCs w:val="16"/>
          <w:lang w:val="es-ES_tradnl"/>
        </w:rPr>
        <w:t>ó</w:t>
      </w:r>
      <w:r>
        <w:rPr>
          <w:spacing w:val="-10"/>
          <w:sz w:val="16"/>
          <w:szCs w:val="16"/>
          <w:lang w:val="es-ES_tradnl"/>
        </w:rPr>
        <w:t xml:space="preserve"> en la forma </w:t>
      </w:r>
      <w:r>
        <w:rPr>
          <w:spacing w:val="-11"/>
          <w:sz w:val="16"/>
          <w:szCs w:val="16"/>
          <w:lang w:val="es-ES_tradnl"/>
        </w:rPr>
        <w:t>anotada, porque de manera t</w:t>
      </w:r>
      <w:r>
        <w:rPr>
          <w:rFonts w:cs="Times New Roman"/>
          <w:spacing w:val="-11"/>
          <w:sz w:val="16"/>
          <w:szCs w:val="16"/>
          <w:lang w:val="es-ES_tradnl"/>
        </w:rPr>
        <w:t>á</w:t>
      </w:r>
      <w:r>
        <w:rPr>
          <w:spacing w:val="-11"/>
          <w:sz w:val="16"/>
          <w:szCs w:val="16"/>
          <w:lang w:val="es-ES_tradnl"/>
        </w:rPr>
        <w:t xml:space="preserve">cita estaba reconociendo de que si </w:t>
      </w:r>
      <w:r>
        <w:rPr>
          <w:spacing w:val="-7"/>
          <w:sz w:val="16"/>
          <w:szCs w:val="16"/>
          <w:lang w:val="es-ES_tradnl"/>
        </w:rPr>
        <w:t>no lo hac</w:t>
      </w:r>
      <w:r>
        <w:rPr>
          <w:rFonts w:cs="Times New Roman"/>
          <w:spacing w:val="-7"/>
          <w:sz w:val="16"/>
          <w:szCs w:val="16"/>
          <w:lang w:val="es-ES_tradnl"/>
        </w:rPr>
        <w:t>í</w:t>
      </w:r>
      <w:r>
        <w:rPr>
          <w:spacing w:val="-7"/>
          <w:sz w:val="16"/>
          <w:szCs w:val="16"/>
          <w:lang w:val="es-ES_tradnl"/>
        </w:rPr>
        <w:t>a, estar</w:t>
      </w:r>
      <w:r>
        <w:rPr>
          <w:rFonts w:cs="Times New Roman"/>
          <w:spacing w:val="-7"/>
          <w:sz w:val="16"/>
          <w:szCs w:val="16"/>
          <w:lang w:val="es-ES_tradnl"/>
        </w:rPr>
        <w:t>í</w:t>
      </w:r>
      <w:r>
        <w:rPr>
          <w:spacing w:val="-7"/>
          <w:sz w:val="16"/>
          <w:szCs w:val="16"/>
          <w:lang w:val="es-ES_tradnl"/>
        </w:rPr>
        <w:t xml:space="preserve">a trasgrediendo las normas constitucionales </w:t>
      </w:r>
      <w:r>
        <w:rPr>
          <w:spacing w:val="-5"/>
          <w:sz w:val="16"/>
          <w:szCs w:val="16"/>
          <w:lang w:val="es-ES_tradnl"/>
        </w:rPr>
        <w:t>en ella invocadas; m</w:t>
      </w:r>
      <w:r>
        <w:rPr>
          <w:rFonts w:cs="Times New Roman"/>
          <w:spacing w:val="-5"/>
          <w:sz w:val="16"/>
          <w:szCs w:val="16"/>
          <w:lang w:val="es-ES_tradnl"/>
        </w:rPr>
        <w:t>á</w:t>
      </w:r>
      <w:r>
        <w:rPr>
          <w:spacing w:val="-5"/>
          <w:sz w:val="16"/>
          <w:szCs w:val="16"/>
          <w:lang w:val="es-ES_tradnl"/>
        </w:rPr>
        <w:t>s, al dejar sin efecto dicha Resoluci</w:t>
      </w:r>
      <w:r>
        <w:rPr>
          <w:rFonts w:cs="Times New Roman"/>
          <w:spacing w:val="-5"/>
          <w:sz w:val="16"/>
          <w:szCs w:val="16"/>
          <w:lang w:val="es-ES_tradnl"/>
        </w:rPr>
        <w:t>ó</w:t>
      </w:r>
      <w:r>
        <w:rPr>
          <w:spacing w:val="-5"/>
          <w:sz w:val="16"/>
          <w:szCs w:val="16"/>
          <w:lang w:val="es-ES_tradnl"/>
        </w:rPr>
        <w:t xml:space="preserve">n, </w:t>
      </w:r>
      <w:r>
        <w:rPr>
          <w:spacing w:val="-8"/>
          <w:sz w:val="16"/>
          <w:szCs w:val="16"/>
          <w:lang w:val="es-ES_tradnl"/>
        </w:rPr>
        <w:t>se hace evidente la vulneraci</w:t>
      </w:r>
      <w:r>
        <w:rPr>
          <w:rFonts w:cs="Times New Roman"/>
          <w:spacing w:val="-8"/>
          <w:sz w:val="16"/>
          <w:szCs w:val="16"/>
          <w:lang w:val="es-ES_tradnl"/>
        </w:rPr>
        <w:t>ó</w:t>
      </w:r>
      <w:r>
        <w:rPr>
          <w:spacing w:val="-8"/>
          <w:sz w:val="16"/>
          <w:szCs w:val="16"/>
          <w:lang w:val="es-ES_tradnl"/>
        </w:rPr>
        <w:t xml:space="preserve">n de los derechos consagrados, </w:t>
      </w:r>
      <w:r>
        <w:rPr>
          <w:spacing w:val="-5"/>
          <w:sz w:val="16"/>
          <w:szCs w:val="16"/>
          <w:lang w:val="es-ES_tradnl"/>
        </w:rPr>
        <w:t>entre otras, en las disposiciones contenidas en los art</w:t>
      </w:r>
      <w:r>
        <w:rPr>
          <w:rFonts w:cs="Times New Roman"/>
          <w:spacing w:val="-5"/>
          <w:sz w:val="16"/>
          <w:szCs w:val="16"/>
          <w:lang w:val="es-ES_tradnl"/>
        </w:rPr>
        <w:t>í</w:t>
      </w:r>
      <w:r>
        <w:rPr>
          <w:spacing w:val="-5"/>
          <w:sz w:val="16"/>
          <w:szCs w:val="16"/>
          <w:lang w:val="es-ES_tradnl"/>
        </w:rPr>
        <w:t xml:space="preserve">culos </w:t>
      </w:r>
      <w:r>
        <w:rPr>
          <w:spacing w:val="-3"/>
          <w:sz w:val="16"/>
          <w:szCs w:val="16"/>
          <w:lang w:val="es-ES_tradnl"/>
        </w:rPr>
        <w:t>11 y 426 de la Constituci</w:t>
      </w:r>
      <w:r>
        <w:rPr>
          <w:rFonts w:cs="Times New Roman"/>
          <w:spacing w:val="-3"/>
          <w:sz w:val="16"/>
          <w:szCs w:val="16"/>
          <w:lang w:val="es-ES_tradnl"/>
        </w:rPr>
        <w:t>ó</w:t>
      </w:r>
      <w:r>
        <w:rPr>
          <w:spacing w:val="-3"/>
          <w:sz w:val="16"/>
          <w:szCs w:val="16"/>
          <w:lang w:val="es-ES_tradnl"/>
        </w:rPr>
        <w:t>n de la Rep</w:t>
      </w:r>
      <w:r>
        <w:rPr>
          <w:rFonts w:cs="Times New Roman"/>
          <w:spacing w:val="-3"/>
          <w:sz w:val="16"/>
          <w:szCs w:val="16"/>
          <w:lang w:val="es-ES_tradnl"/>
        </w:rPr>
        <w:t>ú</w:t>
      </w:r>
      <w:r>
        <w:rPr>
          <w:spacing w:val="-3"/>
          <w:sz w:val="16"/>
          <w:szCs w:val="16"/>
          <w:lang w:val="es-ES_tradnl"/>
        </w:rPr>
        <w:t xml:space="preserve">blica, que a su vez </w:t>
      </w:r>
      <w:r>
        <w:rPr>
          <w:spacing w:val="-6"/>
          <w:sz w:val="16"/>
          <w:szCs w:val="16"/>
          <w:lang w:val="es-ES_tradnl"/>
        </w:rPr>
        <w:t>han servido de fundamento a la presente acci</w:t>
      </w:r>
      <w:r>
        <w:rPr>
          <w:rFonts w:cs="Times New Roman"/>
          <w:spacing w:val="-6"/>
          <w:sz w:val="16"/>
          <w:szCs w:val="16"/>
          <w:lang w:val="es-ES_tradnl"/>
        </w:rPr>
        <w:t>ó</w:t>
      </w:r>
      <w:r>
        <w:rPr>
          <w:spacing w:val="-6"/>
          <w:sz w:val="16"/>
          <w:szCs w:val="16"/>
          <w:lang w:val="es-ES_tradnl"/>
        </w:rPr>
        <w:t xml:space="preserve">n por parte de la recurrente; por lo que no cabe analizar las disposiciones </w:t>
      </w:r>
      <w:r>
        <w:rPr>
          <w:spacing w:val="-8"/>
          <w:sz w:val="16"/>
          <w:szCs w:val="16"/>
          <w:lang w:val="es-ES_tradnl"/>
        </w:rPr>
        <w:t xml:space="preserve">legales y reglamentarias invocadas en la sentencia de primera </w:t>
      </w:r>
      <w:r>
        <w:rPr>
          <w:spacing w:val="-7"/>
          <w:sz w:val="16"/>
          <w:szCs w:val="16"/>
          <w:lang w:val="es-ES_tradnl"/>
        </w:rPr>
        <w:t>instancia, para desestimar la acci</w:t>
      </w:r>
      <w:r>
        <w:rPr>
          <w:rFonts w:cs="Times New Roman"/>
          <w:spacing w:val="-7"/>
          <w:sz w:val="16"/>
          <w:szCs w:val="16"/>
          <w:lang w:val="es-ES_tradnl"/>
        </w:rPr>
        <w:t>ó</w:t>
      </w:r>
      <w:r>
        <w:rPr>
          <w:spacing w:val="-7"/>
          <w:sz w:val="16"/>
          <w:szCs w:val="16"/>
          <w:lang w:val="es-ES_tradnl"/>
        </w:rPr>
        <w:t>n propuesta (</w:t>
      </w:r>
      <w:r>
        <w:rPr>
          <w:rFonts w:cs="Times New Roman"/>
          <w:spacing w:val="-7"/>
          <w:sz w:val="16"/>
          <w:szCs w:val="16"/>
          <w:lang w:val="es-ES_tradnl"/>
        </w:rPr>
        <w:t>…</w:t>
      </w:r>
      <w:r>
        <w:rPr>
          <w:spacing w:val="-7"/>
          <w:sz w:val="16"/>
          <w:szCs w:val="16"/>
          <w:lang w:val="es-ES_tradnl"/>
        </w:rPr>
        <w:t>).</w:t>
      </w:r>
    </w:p>
    <w:p w14:paraId="4F67B941" w14:textId="77777777" w:rsidR="00591D54" w:rsidRDefault="00591D54">
      <w:pPr>
        <w:shd w:val="clear" w:color="auto" w:fill="FFFFFF"/>
        <w:spacing w:before="211" w:line="221" w:lineRule="exact"/>
        <w:jc w:val="both"/>
      </w:pPr>
      <w:r>
        <w:rPr>
          <w:spacing w:val="-13"/>
          <w:sz w:val="18"/>
          <w:szCs w:val="18"/>
          <w:lang w:val="es-ES_tradnl"/>
        </w:rPr>
        <w:t xml:space="preserve">Como consta de los antecedentes de la sentencia impugnada, </w:t>
      </w:r>
      <w:r>
        <w:rPr>
          <w:spacing w:val="-10"/>
          <w:sz w:val="18"/>
          <w:szCs w:val="18"/>
          <w:lang w:val="es-ES_tradnl"/>
        </w:rPr>
        <w:t xml:space="preserve">fueron dos personas quienes se encontraban afectadas por </w:t>
      </w:r>
      <w:r>
        <w:rPr>
          <w:spacing w:val="-4"/>
          <w:sz w:val="18"/>
          <w:szCs w:val="18"/>
          <w:lang w:val="es-ES_tradnl"/>
        </w:rPr>
        <w:t>las resoluciones del Consejo de Clases y Polic</w:t>
      </w:r>
      <w:r>
        <w:rPr>
          <w:rFonts w:cs="Times New Roman"/>
          <w:spacing w:val="-4"/>
          <w:sz w:val="18"/>
          <w:szCs w:val="18"/>
          <w:lang w:val="es-ES_tradnl"/>
        </w:rPr>
        <w:t>í</w:t>
      </w:r>
      <w:r>
        <w:rPr>
          <w:spacing w:val="-4"/>
          <w:sz w:val="18"/>
          <w:szCs w:val="18"/>
          <w:lang w:val="es-ES_tradnl"/>
        </w:rPr>
        <w:t xml:space="preserve">as, pero </w:t>
      </w:r>
      <w:r>
        <w:rPr>
          <w:spacing w:val="-7"/>
          <w:sz w:val="18"/>
          <w:szCs w:val="18"/>
          <w:lang w:val="es-ES_tradnl"/>
        </w:rPr>
        <w:t>en el proceso del que deviene la acci</w:t>
      </w:r>
      <w:r>
        <w:rPr>
          <w:rFonts w:cs="Times New Roman"/>
          <w:spacing w:val="-7"/>
          <w:sz w:val="18"/>
          <w:szCs w:val="18"/>
          <w:lang w:val="es-ES_tradnl"/>
        </w:rPr>
        <w:t>ó</w:t>
      </w:r>
      <w:r>
        <w:rPr>
          <w:spacing w:val="-7"/>
          <w:sz w:val="18"/>
          <w:szCs w:val="18"/>
          <w:lang w:val="es-ES_tradnl"/>
        </w:rPr>
        <w:t xml:space="preserve">n extraordinaria de </w:t>
      </w:r>
      <w:r>
        <w:rPr>
          <w:spacing w:val="-8"/>
          <w:sz w:val="18"/>
          <w:szCs w:val="18"/>
          <w:lang w:val="es-ES_tradnl"/>
        </w:rPr>
        <w:t>protecci</w:t>
      </w:r>
      <w:r>
        <w:rPr>
          <w:rFonts w:cs="Times New Roman"/>
          <w:spacing w:val="-8"/>
          <w:sz w:val="18"/>
          <w:szCs w:val="18"/>
          <w:lang w:val="es-ES_tradnl"/>
        </w:rPr>
        <w:t>ó</w:t>
      </w:r>
      <w:r>
        <w:rPr>
          <w:spacing w:val="-8"/>
          <w:sz w:val="18"/>
          <w:szCs w:val="18"/>
          <w:lang w:val="es-ES_tradnl"/>
        </w:rPr>
        <w:t xml:space="preserve">n </w:t>
      </w:r>
      <w:r>
        <w:rPr>
          <w:rFonts w:cs="Times New Roman"/>
          <w:spacing w:val="-8"/>
          <w:sz w:val="18"/>
          <w:szCs w:val="18"/>
          <w:lang w:val="es-ES_tradnl"/>
        </w:rPr>
        <w:t>ú</w:t>
      </w:r>
      <w:r>
        <w:rPr>
          <w:spacing w:val="-8"/>
          <w:sz w:val="18"/>
          <w:szCs w:val="18"/>
          <w:lang w:val="es-ES_tradnl"/>
        </w:rPr>
        <w:t>nicamente, compareci</w:t>
      </w:r>
      <w:r>
        <w:rPr>
          <w:rFonts w:cs="Times New Roman"/>
          <w:spacing w:val="-8"/>
          <w:sz w:val="18"/>
          <w:szCs w:val="18"/>
          <w:lang w:val="es-ES_tradnl"/>
        </w:rPr>
        <w:t>ó</w:t>
      </w:r>
      <w:r>
        <w:rPr>
          <w:spacing w:val="-8"/>
          <w:sz w:val="18"/>
          <w:szCs w:val="18"/>
          <w:lang w:val="es-ES_tradnl"/>
        </w:rPr>
        <w:t xml:space="preserve"> como legitimada activa </w:t>
      </w:r>
      <w:r>
        <w:rPr>
          <w:spacing w:val="-4"/>
          <w:sz w:val="18"/>
          <w:szCs w:val="18"/>
          <w:lang w:val="es-ES_tradnl"/>
        </w:rPr>
        <w:t>la suboficial primera Mar</w:t>
      </w:r>
      <w:r>
        <w:rPr>
          <w:rFonts w:cs="Times New Roman"/>
          <w:spacing w:val="-4"/>
          <w:sz w:val="18"/>
          <w:szCs w:val="18"/>
          <w:lang w:val="es-ES_tradnl"/>
        </w:rPr>
        <w:t>í</w:t>
      </w:r>
      <w:r>
        <w:rPr>
          <w:spacing w:val="-4"/>
          <w:sz w:val="18"/>
          <w:szCs w:val="18"/>
          <w:lang w:val="es-ES_tradnl"/>
        </w:rPr>
        <w:t>a Evigenia G</w:t>
      </w:r>
      <w:r>
        <w:rPr>
          <w:rFonts w:cs="Times New Roman"/>
          <w:spacing w:val="-4"/>
          <w:sz w:val="18"/>
          <w:szCs w:val="18"/>
          <w:lang w:val="es-ES_tradnl"/>
        </w:rPr>
        <w:t>ó</w:t>
      </w:r>
      <w:r>
        <w:rPr>
          <w:spacing w:val="-4"/>
          <w:sz w:val="18"/>
          <w:szCs w:val="18"/>
          <w:lang w:val="es-ES_tradnl"/>
        </w:rPr>
        <w:t xml:space="preserve">mez Leny; sin </w:t>
      </w:r>
      <w:r>
        <w:rPr>
          <w:sz w:val="18"/>
          <w:szCs w:val="18"/>
          <w:lang w:val="es-ES_tradnl"/>
        </w:rPr>
        <w:t>embargo, la Sala afirma que:</w:t>
      </w:r>
    </w:p>
    <w:p w14:paraId="4F67B942" w14:textId="77777777" w:rsidR="00591D54" w:rsidRDefault="00591D54">
      <w:pPr>
        <w:shd w:val="clear" w:color="auto" w:fill="FFFFFF"/>
        <w:spacing w:before="206" w:line="221" w:lineRule="exact"/>
        <w:ind w:left="283"/>
        <w:jc w:val="both"/>
      </w:pPr>
      <w:r>
        <w:rPr>
          <w:spacing w:val="-8"/>
          <w:sz w:val="16"/>
          <w:szCs w:val="16"/>
          <w:lang w:val="es-ES_tradnl"/>
        </w:rPr>
        <w:t>Es importante tambi</w:t>
      </w:r>
      <w:r>
        <w:rPr>
          <w:rFonts w:cs="Times New Roman"/>
          <w:spacing w:val="-8"/>
          <w:sz w:val="16"/>
          <w:szCs w:val="16"/>
          <w:lang w:val="es-ES_tradnl"/>
        </w:rPr>
        <w:t>é</w:t>
      </w:r>
      <w:r>
        <w:rPr>
          <w:spacing w:val="-8"/>
          <w:sz w:val="16"/>
          <w:szCs w:val="16"/>
          <w:lang w:val="es-ES_tradnl"/>
        </w:rPr>
        <w:t xml:space="preserve">n considerar que la Suboficial Primero de </w:t>
      </w:r>
      <w:r>
        <w:rPr>
          <w:spacing w:val="-9"/>
          <w:sz w:val="16"/>
          <w:szCs w:val="16"/>
          <w:lang w:val="es-ES_tradnl"/>
        </w:rPr>
        <w:t>Polic</w:t>
      </w:r>
      <w:r>
        <w:rPr>
          <w:rFonts w:cs="Times New Roman"/>
          <w:spacing w:val="-9"/>
          <w:sz w:val="16"/>
          <w:szCs w:val="16"/>
          <w:lang w:val="es-ES_tradnl"/>
        </w:rPr>
        <w:t>í</w:t>
      </w:r>
      <w:r>
        <w:rPr>
          <w:spacing w:val="-9"/>
          <w:sz w:val="16"/>
          <w:szCs w:val="16"/>
          <w:lang w:val="es-ES_tradnl"/>
        </w:rPr>
        <w:t>a, doctora Orfa Jaramillo Caiza, compa</w:t>
      </w:r>
      <w:r>
        <w:rPr>
          <w:rFonts w:cs="Times New Roman"/>
          <w:spacing w:val="-9"/>
          <w:sz w:val="16"/>
          <w:szCs w:val="16"/>
          <w:lang w:val="es-ES_tradnl"/>
        </w:rPr>
        <w:t>ñ</w:t>
      </w:r>
      <w:r>
        <w:rPr>
          <w:spacing w:val="-9"/>
          <w:sz w:val="16"/>
          <w:szCs w:val="16"/>
          <w:lang w:val="es-ES_tradnl"/>
        </w:rPr>
        <w:t>era de promoci</w:t>
      </w:r>
      <w:r>
        <w:rPr>
          <w:rFonts w:cs="Times New Roman"/>
          <w:spacing w:val="-9"/>
          <w:sz w:val="16"/>
          <w:szCs w:val="16"/>
          <w:lang w:val="es-ES_tradnl"/>
        </w:rPr>
        <w:t>ó</w:t>
      </w:r>
      <w:r>
        <w:rPr>
          <w:spacing w:val="-9"/>
          <w:sz w:val="16"/>
          <w:szCs w:val="16"/>
          <w:lang w:val="es-ES_tradnl"/>
        </w:rPr>
        <w:t xml:space="preserve">n </w:t>
      </w:r>
      <w:r>
        <w:rPr>
          <w:spacing w:val="-7"/>
          <w:sz w:val="16"/>
          <w:szCs w:val="16"/>
          <w:lang w:val="es-ES_tradnl"/>
        </w:rPr>
        <w:t>de la actora de la presente acci</w:t>
      </w:r>
      <w:r>
        <w:rPr>
          <w:rFonts w:cs="Times New Roman"/>
          <w:spacing w:val="-7"/>
          <w:sz w:val="16"/>
          <w:szCs w:val="16"/>
          <w:lang w:val="es-ES_tradnl"/>
        </w:rPr>
        <w:t>ó</w:t>
      </w:r>
      <w:r>
        <w:rPr>
          <w:spacing w:val="-7"/>
          <w:sz w:val="16"/>
          <w:szCs w:val="16"/>
          <w:lang w:val="es-ES_tradnl"/>
        </w:rPr>
        <w:t xml:space="preserve">n y que se encontraba en la </w:t>
      </w:r>
      <w:r>
        <w:rPr>
          <w:spacing w:val="-8"/>
          <w:sz w:val="16"/>
          <w:szCs w:val="16"/>
          <w:lang w:val="es-ES_tradnl"/>
        </w:rPr>
        <w:t>misma situaci</w:t>
      </w:r>
      <w:r>
        <w:rPr>
          <w:rFonts w:cs="Times New Roman"/>
          <w:spacing w:val="-8"/>
          <w:sz w:val="16"/>
          <w:szCs w:val="16"/>
          <w:lang w:val="es-ES_tradnl"/>
        </w:rPr>
        <w:t>ó</w:t>
      </w:r>
      <w:r>
        <w:rPr>
          <w:spacing w:val="-8"/>
          <w:sz w:val="16"/>
          <w:szCs w:val="16"/>
          <w:lang w:val="es-ES_tradnl"/>
        </w:rPr>
        <w:t xml:space="preserve">n, puesto que todas las Resoluciones anotadas </w:t>
      </w:r>
      <w:r>
        <w:rPr>
          <w:spacing w:val="-7"/>
          <w:sz w:val="16"/>
          <w:szCs w:val="16"/>
          <w:lang w:val="es-ES_tradnl"/>
        </w:rPr>
        <w:t>han sido dictadas en relaci</w:t>
      </w:r>
      <w:r>
        <w:rPr>
          <w:rFonts w:cs="Times New Roman"/>
          <w:spacing w:val="-7"/>
          <w:sz w:val="16"/>
          <w:szCs w:val="16"/>
          <w:lang w:val="es-ES_tradnl"/>
        </w:rPr>
        <w:t>ó</w:t>
      </w:r>
      <w:r>
        <w:rPr>
          <w:spacing w:val="-7"/>
          <w:sz w:val="16"/>
          <w:szCs w:val="16"/>
          <w:lang w:val="es-ES_tradnl"/>
        </w:rPr>
        <w:t>n a las dos, ha obtenido sentencia favorable como se desprende de la copia a</w:t>
      </w:r>
      <w:r>
        <w:rPr>
          <w:rFonts w:cs="Times New Roman"/>
          <w:spacing w:val="-7"/>
          <w:sz w:val="16"/>
          <w:szCs w:val="16"/>
          <w:lang w:val="es-ES_tradnl"/>
        </w:rPr>
        <w:t>ñ</w:t>
      </w:r>
      <w:r>
        <w:rPr>
          <w:spacing w:val="-7"/>
          <w:sz w:val="16"/>
          <w:szCs w:val="16"/>
          <w:lang w:val="es-ES_tradnl"/>
        </w:rPr>
        <w:t xml:space="preserve">adida en esta </w:t>
      </w:r>
      <w:r>
        <w:rPr>
          <w:sz w:val="16"/>
          <w:szCs w:val="16"/>
          <w:lang w:val="es-ES_tradnl"/>
        </w:rPr>
        <w:t>instancia (</w:t>
      </w:r>
      <w:r>
        <w:rPr>
          <w:rFonts w:cs="Times New Roman"/>
          <w:sz w:val="16"/>
          <w:szCs w:val="16"/>
          <w:lang w:val="es-ES_tradnl"/>
        </w:rPr>
        <w:t>…</w:t>
      </w:r>
      <w:r>
        <w:rPr>
          <w:sz w:val="16"/>
          <w:szCs w:val="16"/>
          <w:lang w:val="es-ES_tradnl"/>
        </w:rPr>
        <w:t>).</w:t>
      </w:r>
    </w:p>
    <w:p w14:paraId="4F67B943" w14:textId="77777777" w:rsidR="00591D54" w:rsidRDefault="00591D54">
      <w:pPr>
        <w:shd w:val="clear" w:color="auto" w:fill="FFFFFF"/>
        <w:spacing w:before="206" w:line="221" w:lineRule="exact"/>
        <w:ind w:left="283"/>
        <w:jc w:val="both"/>
        <w:sectPr w:rsidR="00591D54">
          <w:type w:val="continuous"/>
          <w:pgSz w:w="11909" w:h="16834"/>
          <w:pgMar w:top="1371" w:right="1309" w:bottom="360" w:left="1308" w:header="720" w:footer="720" w:gutter="0"/>
          <w:cols w:num="2" w:space="720" w:equalWidth="0">
            <w:col w:w="4305" w:space="682"/>
            <w:col w:w="4305"/>
          </w:cols>
          <w:noEndnote/>
        </w:sectPr>
      </w:pPr>
    </w:p>
    <w:p w14:paraId="4F67B944" w14:textId="77777777" w:rsidR="00591D54" w:rsidRDefault="00591D54">
      <w:pPr>
        <w:shd w:val="clear" w:color="auto" w:fill="FFFFFF"/>
        <w:tabs>
          <w:tab w:val="left" w:pos="584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- 265</w:t>
      </w:r>
    </w:p>
    <w:p w14:paraId="4F67B945" w14:textId="77777777" w:rsidR="00591D54" w:rsidRDefault="00591D54">
      <w:pPr>
        <w:shd w:val="clear" w:color="auto" w:fill="FFFFFF"/>
        <w:tabs>
          <w:tab w:val="left" w:pos="5842"/>
        </w:tabs>
        <w:spacing w:after="230"/>
        <w:ind w:left="5"/>
        <w:sectPr w:rsidR="00591D54">
          <w:pgSz w:w="11909" w:h="16834"/>
          <w:pgMar w:top="1356" w:right="1309" w:bottom="360" w:left="1308" w:header="720" w:footer="720" w:gutter="0"/>
          <w:cols w:space="60"/>
          <w:noEndnote/>
        </w:sectPr>
      </w:pPr>
    </w:p>
    <w:p w14:paraId="4F67B946" w14:textId="77777777" w:rsidR="00591D54" w:rsidRDefault="00591D54">
      <w:pPr>
        <w:shd w:val="clear" w:color="auto" w:fill="FFFFFF"/>
        <w:spacing w:before="5" w:line="221" w:lineRule="exact"/>
        <w:jc w:val="both"/>
      </w:pPr>
      <w:r>
        <w:rPr>
          <w:spacing w:val="-8"/>
          <w:sz w:val="18"/>
          <w:szCs w:val="18"/>
          <w:lang w:val="es-ES_tradnl"/>
        </w:rPr>
        <w:t xml:space="preserve">Finalmente, en virtud de las conclusiones anotadas, la Sala </w:t>
      </w:r>
      <w:r>
        <w:rPr>
          <w:sz w:val="18"/>
          <w:szCs w:val="18"/>
          <w:lang w:val="es-ES_tradnl"/>
        </w:rPr>
        <w:t>resuelve:</w:t>
      </w:r>
    </w:p>
    <w:p w14:paraId="4F67B947" w14:textId="77777777" w:rsidR="00591D54" w:rsidRDefault="00591D54">
      <w:pPr>
        <w:shd w:val="clear" w:color="auto" w:fill="FFFFFF"/>
        <w:spacing w:before="206" w:line="221" w:lineRule="exact"/>
        <w:ind w:left="283"/>
        <w:jc w:val="both"/>
      </w:pPr>
      <w:r>
        <w:rPr>
          <w:spacing w:val="-1"/>
          <w:sz w:val="16"/>
          <w:szCs w:val="16"/>
          <w:lang w:val="es-ES_tradnl"/>
        </w:rPr>
        <w:t>(</w:t>
      </w:r>
      <w:r>
        <w:rPr>
          <w:rFonts w:cs="Times New Roman"/>
          <w:spacing w:val="-1"/>
          <w:sz w:val="16"/>
          <w:szCs w:val="16"/>
          <w:lang w:val="es-ES_tradnl"/>
        </w:rPr>
        <w:t>…</w:t>
      </w:r>
      <w:r>
        <w:rPr>
          <w:spacing w:val="-1"/>
          <w:sz w:val="16"/>
          <w:szCs w:val="16"/>
          <w:lang w:val="es-ES_tradnl"/>
        </w:rPr>
        <w:t>) ADMINISTRANDO JUSTICIA (</w:t>
      </w:r>
      <w:r>
        <w:rPr>
          <w:rFonts w:cs="Times New Roman"/>
          <w:spacing w:val="-1"/>
          <w:sz w:val="16"/>
          <w:szCs w:val="16"/>
          <w:lang w:val="es-ES_tradnl"/>
        </w:rPr>
        <w:t>…</w:t>
      </w:r>
      <w:r>
        <w:rPr>
          <w:spacing w:val="-1"/>
          <w:sz w:val="16"/>
          <w:szCs w:val="16"/>
          <w:lang w:val="es-ES_tradnl"/>
        </w:rPr>
        <w:t>) acept</w:t>
      </w:r>
      <w:r>
        <w:rPr>
          <w:rFonts w:cs="Times New Roman"/>
          <w:spacing w:val="-1"/>
          <w:sz w:val="16"/>
          <w:szCs w:val="16"/>
          <w:lang w:val="es-ES_tradnl"/>
        </w:rPr>
        <w:t>á</w:t>
      </w:r>
      <w:r>
        <w:rPr>
          <w:spacing w:val="-1"/>
          <w:sz w:val="16"/>
          <w:szCs w:val="16"/>
          <w:lang w:val="es-ES_tradnl"/>
        </w:rPr>
        <w:t>ndose el recurso de apelaci</w:t>
      </w:r>
      <w:r>
        <w:rPr>
          <w:rFonts w:cs="Times New Roman"/>
          <w:spacing w:val="-1"/>
          <w:sz w:val="16"/>
          <w:szCs w:val="16"/>
          <w:lang w:val="es-ES_tradnl"/>
        </w:rPr>
        <w:t>ó</w:t>
      </w:r>
      <w:r>
        <w:rPr>
          <w:spacing w:val="-1"/>
          <w:sz w:val="16"/>
          <w:szCs w:val="16"/>
          <w:lang w:val="es-ES_tradnl"/>
        </w:rPr>
        <w:t xml:space="preserve">n interpuesto por la actora, se revoca </w:t>
      </w:r>
      <w:r>
        <w:rPr>
          <w:spacing w:val="-8"/>
          <w:sz w:val="16"/>
          <w:szCs w:val="16"/>
          <w:lang w:val="es-ES_tradnl"/>
        </w:rPr>
        <w:t xml:space="preserve">la sentencia venida en grado y en consecuencia se acepta la </w:t>
      </w:r>
      <w:r>
        <w:rPr>
          <w:spacing w:val="-7"/>
          <w:sz w:val="16"/>
          <w:szCs w:val="16"/>
          <w:lang w:val="es-ES_tradnl"/>
        </w:rPr>
        <w:t>acci</w:t>
      </w:r>
      <w:r>
        <w:rPr>
          <w:rFonts w:cs="Times New Roman"/>
          <w:spacing w:val="-7"/>
          <w:sz w:val="16"/>
          <w:szCs w:val="16"/>
          <w:lang w:val="es-ES_tradnl"/>
        </w:rPr>
        <w:t>ó</w:t>
      </w:r>
      <w:r>
        <w:rPr>
          <w:spacing w:val="-7"/>
          <w:sz w:val="16"/>
          <w:szCs w:val="16"/>
          <w:lang w:val="es-ES_tradnl"/>
        </w:rPr>
        <w:t>n ordinaria de protecci</w:t>
      </w:r>
      <w:r>
        <w:rPr>
          <w:rFonts w:cs="Times New Roman"/>
          <w:spacing w:val="-7"/>
          <w:sz w:val="16"/>
          <w:szCs w:val="16"/>
          <w:lang w:val="es-ES_tradnl"/>
        </w:rPr>
        <w:t>ó</w:t>
      </w:r>
      <w:r>
        <w:rPr>
          <w:spacing w:val="-7"/>
          <w:sz w:val="16"/>
          <w:szCs w:val="16"/>
          <w:lang w:val="es-ES_tradnl"/>
        </w:rPr>
        <w:t>n presentada por Mar</w:t>
      </w:r>
      <w:r>
        <w:rPr>
          <w:rFonts w:cs="Times New Roman"/>
          <w:spacing w:val="-7"/>
          <w:sz w:val="16"/>
          <w:szCs w:val="16"/>
          <w:lang w:val="es-ES_tradnl"/>
        </w:rPr>
        <w:t>í</w:t>
      </w:r>
      <w:r>
        <w:rPr>
          <w:spacing w:val="-7"/>
          <w:sz w:val="16"/>
          <w:szCs w:val="16"/>
          <w:lang w:val="es-ES_tradnl"/>
        </w:rPr>
        <w:t xml:space="preserve">a Evigenia </w:t>
      </w:r>
      <w:r>
        <w:rPr>
          <w:spacing w:val="-5"/>
          <w:sz w:val="16"/>
          <w:szCs w:val="16"/>
          <w:lang w:val="es-ES_tradnl"/>
        </w:rPr>
        <w:t>G</w:t>
      </w:r>
      <w:r>
        <w:rPr>
          <w:rFonts w:cs="Times New Roman"/>
          <w:spacing w:val="-5"/>
          <w:sz w:val="16"/>
          <w:szCs w:val="16"/>
          <w:lang w:val="es-ES_tradnl"/>
        </w:rPr>
        <w:t>ó</w:t>
      </w:r>
      <w:r>
        <w:rPr>
          <w:spacing w:val="-5"/>
          <w:sz w:val="16"/>
          <w:szCs w:val="16"/>
          <w:lang w:val="es-ES_tradnl"/>
        </w:rPr>
        <w:t>mez Leny (</w:t>
      </w:r>
      <w:r>
        <w:rPr>
          <w:rFonts w:cs="Times New Roman"/>
          <w:spacing w:val="-5"/>
          <w:sz w:val="16"/>
          <w:szCs w:val="16"/>
          <w:lang w:val="es-ES_tradnl"/>
        </w:rPr>
        <w:t>…</w:t>
      </w:r>
      <w:r>
        <w:rPr>
          <w:spacing w:val="-5"/>
          <w:sz w:val="16"/>
          <w:szCs w:val="16"/>
          <w:lang w:val="es-ES_tradnl"/>
        </w:rPr>
        <w:t xml:space="preserve">) se deja sin efecto las Resoluciones No. </w:t>
      </w:r>
      <w:r>
        <w:rPr>
          <w:spacing w:val="-8"/>
          <w:sz w:val="16"/>
          <w:szCs w:val="16"/>
          <w:lang w:val="es-ES_tradnl"/>
        </w:rPr>
        <w:t xml:space="preserve">2010-0665-CCP-PN de 7 de mayo de 2010; 2010-1189-CCP-PN de 17 de agosto de 2010; y, 2011-0430-CCP-PN, de 24 de </w:t>
      </w:r>
      <w:r>
        <w:rPr>
          <w:spacing w:val="-6"/>
          <w:sz w:val="16"/>
          <w:szCs w:val="16"/>
          <w:lang w:val="es-ES_tradnl"/>
        </w:rPr>
        <w:t>marzo de 2011, emitidas por el Consejo de Clases y Polic</w:t>
      </w:r>
      <w:r>
        <w:rPr>
          <w:rFonts w:cs="Times New Roman"/>
          <w:spacing w:val="-6"/>
          <w:sz w:val="16"/>
          <w:szCs w:val="16"/>
          <w:lang w:val="es-ES_tradnl"/>
        </w:rPr>
        <w:t>í</w:t>
      </w:r>
      <w:r>
        <w:rPr>
          <w:spacing w:val="-6"/>
          <w:sz w:val="16"/>
          <w:szCs w:val="16"/>
          <w:lang w:val="es-ES_tradnl"/>
        </w:rPr>
        <w:t xml:space="preserve">as </w:t>
      </w:r>
      <w:r>
        <w:rPr>
          <w:spacing w:val="-3"/>
          <w:sz w:val="16"/>
          <w:szCs w:val="16"/>
          <w:lang w:val="es-ES_tradnl"/>
        </w:rPr>
        <w:t>de la Polic</w:t>
      </w:r>
      <w:r>
        <w:rPr>
          <w:rFonts w:cs="Times New Roman"/>
          <w:spacing w:val="-3"/>
          <w:sz w:val="16"/>
          <w:szCs w:val="16"/>
          <w:lang w:val="es-ES_tradnl"/>
        </w:rPr>
        <w:t>í</w:t>
      </w:r>
      <w:r>
        <w:rPr>
          <w:spacing w:val="-3"/>
          <w:sz w:val="16"/>
          <w:szCs w:val="16"/>
          <w:lang w:val="es-ES_tradnl"/>
        </w:rPr>
        <w:t xml:space="preserve">a Nacional, debiendo las autoridades policiales, </w:t>
      </w:r>
      <w:r>
        <w:rPr>
          <w:spacing w:val="-4"/>
          <w:sz w:val="16"/>
          <w:szCs w:val="16"/>
          <w:lang w:val="es-ES_tradnl"/>
        </w:rPr>
        <w:t>a quienes por Ley les corresponda, realizar el tr</w:t>
      </w:r>
      <w:r>
        <w:rPr>
          <w:rFonts w:cs="Times New Roman"/>
          <w:spacing w:val="-4"/>
          <w:sz w:val="16"/>
          <w:szCs w:val="16"/>
          <w:lang w:val="es-ES_tradnl"/>
        </w:rPr>
        <w:t>á</w:t>
      </w:r>
      <w:r>
        <w:rPr>
          <w:spacing w:val="-4"/>
          <w:sz w:val="16"/>
          <w:szCs w:val="16"/>
          <w:lang w:val="es-ES_tradnl"/>
        </w:rPr>
        <w:t xml:space="preserve">mite </w:t>
      </w:r>
      <w:r>
        <w:rPr>
          <w:spacing w:val="-5"/>
          <w:sz w:val="16"/>
          <w:szCs w:val="16"/>
          <w:lang w:val="es-ES_tradnl"/>
        </w:rPr>
        <w:t>administrativo pertinente para alcanzar del se</w:t>
      </w:r>
      <w:r>
        <w:rPr>
          <w:rFonts w:cs="Times New Roman"/>
          <w:spacing w:val="-5"/>
          <w:sz w:val="16"/>
          <w:szCs w:val="16"/>
          <w:lang w:val="es-ES_tradnl"/>
        </w:rPr>
        <w:t>ñ</w:t>
      </w:r>
      <w:r>
        <w:rPr>
          <w:spacing w:val="-5"/>
          <w:sz w:val="16"/>
          <w:szCs w:val="16"/>
          <w:lang w:val="es-ES_tradnl"/>
        </w:rPr>
        <w:t xml:space="preserve">or Presidente </w:t>
      </w:r>
      <w:r>
        <w:rPr>
          <w:spacing w:val="-2"/>
          <w:sz w:val="16"/>
          <w:szCs w:val="16"/>
          <w:lang w:val="es-ES_tradnl"/>
        </w:rPr>
        <w:t>de la Rep</w:t>
      </w:r>
      <w:r>
        <w:rPr>
          <w:rFonts w:cs="Times New Roman"/>
          <w:spacing w:val="-2"/>
          <w:sz w:val="16"/>
          <w:szCs w:val="16"/>
          <w:lang w:val="es-ES_tradnl"/>
        </w:rPr>
        <w:t>ú</w:t>
      </w:r>
      <w:r>
        <w:rPr>
          <w:spacing w:val="-2"/>
          <w:sz w:val="16"/>
          <w:szCs w:val="16"/>
          <w:lang w:val="es-ES_tradnl"/>
        </w:rPr>
        <w:t xml:space="preserve">blica el correspondiente Decreto Ejecutivo </w:t>
      </w:r>
      <w:r>
        <w:rPr>
          <w:spacing w:val="-4"/>
          <w:sz w:val="16"/>
          <w:szCs w:val="16"/>
          <w:lang w:val="es-ES_tradnl"/>
        </w:rPr>
        <w:t>Reservado, modificando o incluyendo en el Org</w:t>
      </w:r>
      <w:r>
        <w:rPr>
          <w:rFonts w:cs="Times New Roman"/>
          <w:spacing w:val="-4"/>
          <w:sz w:val="16"/>
          <w:szCs w:val="16"/>
          <w:lang w:val="es-ES_tradnl"/>
        </w:rPr>
        <w:t>á</w:t>
      </w:r>
      <w:r>
        <w:rPr>
          <w:spacing w:val="-4"/>
          <w:sz w:val="16"/>
          <w:szCs w:val="16"/>
          <w:lang w:val="es-ES_tradnl"/>
        </w:rPr>
        <w:t xml:space="preserve">nico </w:t>
      </w:r>
      <w:r>
        <w:rPr>
          <w:spacing w:val="-8"/>
          <w:sz w:val="16"/>
          <w:szCs w:val="16"/>
          <w:lang w:val="es-ES_tradnl"/>
        </w:rPr>
        <w:t xml:space="preserve">Institucional las vacantes necesarias para el asenso (SIC.) del </w:t>
      </w:r>
      <w:r>
        <w:rPr>
          <w:spacing w:val="-5"/>
          <w:sz w:val="16"/>
          <w:szCs w:val="16"/>
          <w:lang w:val="es-ES_tradnl"/>
        </w:rPr>
        <w:t>personal de Servicios Administrativos al grado de Suboficial Mayor de Servicios, en el que se incluir</w:t>
      </w:r>
      <w:r>
        <w:rPr>
          <w:rFonts w:cs="Times New Roman"/>
          <w:spacing w:val="-5"/>
          <w:sz w:val="16"/>
          <w:szCs w:val="16"/>
          <w:lang w:val="es-ES_tradnl"/>
        </w:rPr>
        <w:t>á</w:t>
      </w:r>
      <w:r>
        <w:rPr>
          <w:spacing w:val="-5"/>
          <w:sz w:val="16"/>
          <w:szCs w:val="16"/>
          <w:lang w:val="es-ES_tradnl"/>
        </w:rPr>
        <w:t xml:space="preserve"> a la recurrente.-</w:t>
      </w:r>
      <w:r>
        <w:rPr>
          <w:sz w:val="16"/>
          <w:szCs w:val="16"/>
          <w:lang w:val="es-ES_tradnl"/>
        </w:rPr>
        <w:t>NOTIF</w:t>
      </w:r>
      <w:r>
        <w:rPr>
          <w:rFonts w:cs="Times New Roman"/>
          <w:sz w:val="16"/>
          <w:szCs w:val="16"/>
          <w:lang w:val="es-ES_tradnl"/>
        </w:rPr>
        <w:t>Í</w:t>
      </w:r>
      <w:r>
        <w:rPr>
          <w:sz w:val="16"/>
          <w:szCs w:val="16"/>
          <w:lang w:val="es-ES_tradnl"/>
        </w:rPr>
        <w:t>QUESE.- (</w:t>
      </w:r>
      <w:r>
        <w:rPr>
          <w:rFonts w:cs="Times New Roman"/>
          <w:sz w:val="16"/>
          <w:szCs w:val="16"/>
          <w:lang w:val="es-ES_tradnl"/>
        </w:rPr>
        <w:t>…</w:t>
      </w:r>
      <w:r>
        <w:rPr>
          <w:sz w:val="16"/>
          <w:szCs w:val="16"/>
          <w:lang w:val="es-ES_tradnl"/>
        </w:rPr>
        <w:t>).</w:t>
      </w:r>
    </w:p>
    <w:p w14:paraId="4F67B948" w14:textId="77777777" w:rsidR="00591D54" w:rsidRDefault="00591D54">
      <w:pPr>
        <w:shd w:val="clear" w:color="auto" w:fill="FFFFFF"/>
        <w:spacing w:before="206" w:line="221" w:lineRule="exact"/>
        <w:ind w:right="5"/>
        <w:jc w:val="both"/>
      </w:pPr>
      <w:r>
        <w:rPr>
          <w:spacing w:val="-6"/>
          <w:sz w:val="18"/>
          <w:szCs w:val="18"/>
          <w:lang w:val="es-ES_tradnl"/>
        </w:rPr>
        <w:t>Por lo expuesto, la Corte Constitucional luego del an</w:t>
      </w:r>
      <w:r>
        <w:rPr>
          <w:rFonts w:cs="Times New Roman"/>
          <w:spacing w:val="-6"/>
          <w:sz w:val="18"/>
          <w:szCs w:val="18"/>
          <w:lang w:val="es-ES_tradnl"/>
        </w:rPr>
        <w:t>á</w:t>
      </w:r>
      <w:r>
        <w:rPr>
          <w:spacing w:val="-6"/>
          <w:sz w:val="18"/>
          <w:szCs w:val="18"/>
          <w:lang w:val="es-ES_tradnl"/>
        </w:rPr>
        <w:t xml:space="preserve">lisis de rigor verifica que la sentencia impugnada conecta </w:t>
      </w:r>
      <w:r>
        <w:rPr>
          <w:spacing w:val="-11"/>
          <w:sz w:val="18"/>
          <w:szCs w:val="18"/>
          <w:lang w:val="es-ES_tradnl"/>
        </w:rPr>
        <w:t xml:space="preserve">correctamente sus premisas con las conclusiones y a su vez, </w:t>
      </w:r>
      <w:r>
        <w:rPr>
          <w:spacing w:val="-8"/>
          <w:sz w:val="18"/>
          <w:szCs w:val="18"/>
          <w:lang w:val="es-ES_tradnl"/>
        </w:rPr>
        <w:t>estas con la decisi</w:t>
      </w:r>
      <w:r>
        <w:rPr>
          <w:rFonts w:cs="Times New Roman"/>
          <w:spacing w:val="-8"/>
          <w:sz w:val="18"/>
          <w:szCs w:val="18"/>
          <w:lang w:val="es-ES_tradnl"/>
        </w:rPr>
        <w:t>ó</w:t>
      </w:r>
      <w:r>
        <w:rPr>
          <w:spacing w:val="-8"/>
          <w:sz w:val="18"/>
          <w:szCs w:val="18"/>
          <w:lang w:val="es-ES_tradnl"/>
        </w:rPr>
        <w:t xml:space="preserve">n del caso, por lo cual se la considera </w:t>
      </w:r>
      <w:r>
        <w:rPr>
          <w:sz w:val="18"/>
          <w:szCs w:val="18"/>
          <w:lang w:val="es-ES_tradnl"/>
        </w:rPr>
        <w:t>l</w:t>
      </w:r>
      <w:r>
        <w:rPr>
          <w:rFonts w:cs="Times New Roman"/>
          <w:sz w:val="18"/>
          <w:szCs w:val="18"/>
          <w:lang w:val="es-ES_tradnl"/>
        </w:rPr>
        <w:t>ó</w:t>
      </w:r>
      <w:r>
        <w:rPr>
          <w:sz w:val="18"/>
          <w:szCs w:val="18"/>
          <w:lang w:val="es-ES_tradnl"/>
        </w:rPr>
        <w:t>gica.</w:t>
      </w:r>
    </w:p>
    <w:p w14:paraId="4F67B949" w14:textId="77777777" w:rsidR="00591D54" w:rsidRDefault="00591D54">
      <w:pPr>
        <w:shd w:val="clear" w:color="auto" w:fill="FFFFFF"/>
        <w:spacing w:before="202"/>
      </w:pPr>
      <w:r>
        <w:rPr>
          <w:b/>
          <w:bCs/>
          <w:spacing w:val="-8"/>
          <w:sz w:val="18"/>
          <w:szCs w:val="18"/>
          <w:lang w:val="es-ES_tradnl"/>
        </w:rPr>
        <w:t>Comprensibilidad</w:t>
      </w:r>
    </w:p>
    <w:p w14:paraId="4F67B94A" w14:textId="77777777" w:rsidR="00591D54" w:rsidRDefault="00591D54">
      <w:pPr>
        <w:shd w:val="clear" w:color="auto" w:fill="FFFFFF"/>
        <w:spacing w:before="202" w:line="221" w:lineRule="exact"/>
        <w:jc w:val="both"/>
      </w:pPr>
      <w:r>
        <w:rPr>
          <w:sz w:val="18"/>
          <w:szCs w:val="18"/>
          <w:lang w:val="es-ES_tradnl"/>
        </w:rPr>
        <w:t xml:space="preserve">La comprensibilidad implica la nitidez del lenguaje </w:t>
      </w:r>
      <w:r>
        <w:rPr>
          <w:spacing w:val="-6"/>
          <w:sz w:val="18"/>
          <w:szCs w:val="18"/>
          <w:lang w:val="es-ES_tradnl"/>
        </w:rPr>
        <w:t>utilizado en la sentencia, as</w:t>
      </w:r>
      <w:r>
        <w:rPr>
          <w:rFonts w:cs="Times New Roman"/>
          <w:spacing w:val="-6"/>
          <w:sz w:val="18"/>
          <w:szCs w:val="18"/>
          <w:lang w:val="es-ES_tradnl"/>
        </w:rPr>
        <w:t>í</w:t>
      </w:r>
      <w:r>
        <w:rPr>
          <w:spacing w:val="-6"/>
          <w:sz w:val="18"/>
          <w:szCs w:val="18"/>
          <w:lang w:val="es-ES_tradnl"/>
        </w:rPr>
        <w:t xml:space="preserve"> como la conformaci</w:t>
      </w:r>
      <w:r>
        <w:rPr>
          <w:rFonts w:cs="Times New Roman"/>
          <w:spacing w:val="-6"/>
          <w:sz w:val="18"/>
          <w:szCs w:val="18"/>
          <w:lang w:val="es-ES_tradnl"/>
        </w:rPr>
        <w:t>ó</w:t>
      </w:r>
      <w:r>
        <w:rPr>
          <w:spacing w:val="-6"/>
          <w:sz w:val="18"/>
          <w:szCs w:val="18"/>
          <w:lang w:val="es-ES_tradnl"/>
        </w:rPr>
        <w:t>n l</w:t>
      </w:r>
      <w:r>
        <w:rPr>
          <w:rFonts w:cs="Times New Roman"/>
          <w:spacing w:val="-6"/>
          <w:sz w:val="18"/>
          <w:szCs w:val="18"/>
          <w:lang w:val="es-ES_tradnl"/>
        </w:rPr>
        <w:t>ó</w:t>
      </w:r>
      <w:r>
        <w:rPr>
          <w:spacing w:val="-6"/>
          <w:sz w:val="18"/>
          <w:szCs w:val="18"/>
          <w:lang w:val="es-ES_tradnl"/>
        </w:rPr>
        <w:t xml:space="preserve">gica </w:t>
      </w:r>
      <w:r>
        <w:rPr>
          <w:spacing w:val="-4"/>
          <w:sz w:val="18"/>
          <w:szCs w:val="18"/>
          <w:lang w:val="es-ES_tradnl"/>
        </w:rPr>
        <w:t>del sentido expuesto en la fundamentaci</w:t>
      </w:r>
      <w:r>
        <w:rPr>
          <w:rFonts w:cs="Times New Roman"/>
          <w:spacing w:val="-4"/>
          <w:sz w:val="18"/>
          <w:szCs w:val="18"/>
          <w:lang w:val="es-ES_tradnl"/>
        </w:rPr>
        <w:t>ó</w:t>
      </w:r>
      <w:r>
        <w:rPr>
          <w:spacing w:val="-4"/>
          <w:sz w:val="18"/>
          <w:szCs w:val="18"/>
          <w:lang w:val="es-ES_tradnl"/>
        </w:rPr>
        <w:t xml:space="preserve">n misma que </w:t>
      </w:r>
      <w:r>
        <w:rPr>
          <w:spacing w:val="-8"/>
          <w:sz w:val="18"/>
          <w:szCs w:val="18"/>
          <w:lang w:val="es-ES_tradnl"/>
        </w:rPr>
        <w:t xml:space="preserve">hace el juzgador, por lo cual, la sentencia impugnada se </w:t>
      </w:r>
      <w:r>
        <w:rPr>
          <w:sz w:val="18"/>
          <w:szCs w:val="18"/>
          <w:lang w:val="es-ES_tradnl"/>
        </w:rPr>
        <w:t>considera comprensible.</w:t>
      </w:r>
    </w:p>
    <w:p w14:paraId="4F67B94B" w14:textId="77777777" w:rsidR="00591D54" w:rsidRDefault="00591D54">
      <w:pPr>
        <w:shd w:val="clear" w:color="auto" w:fill="FFFFFF"/>
        <w:spacing w:before="202" w:line="221" w:lineRule="exact"/>
        <w:jc w:val="both"/>
      </w:pPr>
      <w:r>
        <w:rPr>
          <w:sz w:val="18"/>
          <w:szCs w:val="18"/>
          <w:lang w:val="es-ES_tradnl"/>
        </w:rPr>
        <w:t xml:space="preserve">La Corte Constitucional considera a la sentencia </w:t>
      </w:r>
      <w:r>
        <w:rPr>
          <w:spacing w:val="-8"/>
          <w:sz w:val="18"/>
          <w:szCs w:val="18"/>
          <w:lang w:val="es-ES_tradnl"/>
        </w:rPr>
        <w:t>impugnada como una decisi</w:t>
      </w:r>
      <w:r>
        <w:rPr>
          <w:rFonts w:cs="Times New Roman"/>
          <w:spacing w:val="-8"/>
          <w:sz w:val="18"/>
          <w:szCs w:val="18"/>
          <w:lang w:val="es-ES_tradnl"/>
        </w:rPr>
        <w:t>ó</w:t>
      </w:r>
      <w:r>
        <w:rPr>
          <w:spacing w:val="-8"/>
          <w:sz w:val="18"/>
          <w:szCs w:val="18"/>
          <w:lang w:val="es-ES_tradnl"/>
        </w:rPr>
        <w:t xml:space="preserve">n motivada en estricto apego </w:t>
      </w:r>
      <w:r>
        <w:rPr>
          <w:spacing w:val="-7"/>
          <w:sz w:val="18"/>
          <w:szCs w:val="18"/>
          <w:lang w:val="es-ES_tradnl"/>
        </w:rPr>
        <w:t>del ordenamiento jur</w:t>
      </w:r>
      <w:r>
        <w:rPr>
          <w:rFonts w:cs="Times New Roman"/>
          <w:spacing w:val="-7"/>
          <w:sz w:val="18"/>
          <w:szCs w:val="18"/>
          <w:lang w:val="es-ES_tradnl"/>
        </w:rPr>
        <w:t>í</w:t>
      </w:r>
      <w:r>
        <w:rPr>
          <w:spacing w:val="-7"/>
          <w:sz w:val="18"/>
          <w:szCs w:val="18"/>
          <w:lang w:val="es-ES_tradnl"/>
        </w:rPr>
        <w:t xml:space="preserve">dico constitucional y legal, por lo que </w:t>
      </w:r>
      <w:r>
        <w:rPr>
          <w:spacing w:val="-9"/>
          <w:sz w:val="18"/>
          <w:szCs w:val="18"/>
          <w:lang w:val="es-ES_tradnl"/>
        </w:rPr>
        <w:t>no se verifica vulneraci</w:t>
      </w:r>
      <w:r>
        <w:rPr>
          <w:rFonts w:cs="Times New Roman"/>
          <w:spacing w:val="-9"/>
          <w:sz w:val="18"/>
          <w:szCs w:val="18"/>
          <w:lang w:val="es-ES_tradnl"/>
        </w:rPr>
        <w:t>ó</w:t>
      </w:r>
      <w:r>
        <w:rPr>
          <w:spacing w:val="-9"/>
          <w:sz w:val="18"/>
          <w:szCs w:val="18"/>
          <w:lang w:val="es-ES_tradnl"/>
        </w:rPr>
        <w:t>n del debido proceso en la garant</w:t>
      </w:r>
      <w:r>
        <w:rPr>
          <w:rFonts w:cs="Times New Roman"/>
          <w:spacing w:val="-9"/>
          <w:sz w:val="18"/>
          <w:szCs w:val="18"/>
          <w:lang w:val="es-ES_tradnl"/>
        </w:rPr>
        <w:t>í</w:t>
      </w:r>
      <w:r>
        <w:rPr>
          <w:spacing w:val="-9"/>
          <w:sz w:val="18"/>
          <w:szCs w:val="18"/>
          <w:lang w:val="es-ES_tradnl"/>
        </w:rPr>
        <w:t xml:space="preserve">a </w:t>
      </w:r>
      <w:r>
        <w:rPr>
          <w:sz w:val="18"/>
          <w:szCs w:val="18"/>
          <w:lang w:val="es-ES_tradnl"/>
        </w:rPr>
        <w:t>a la defensa.</w:t>
      </w:r>
    </w:p>
    <w:p w14:paraId="4F67B94C" w14:textId="77777777" w:rsidR="00591D54" w:rsidRDefault="00591D54">
      <w:pPr>
        <w:shd w:val="clear" w:color="auto" w:fill="FFFFFF"/>
        <w:spacing w:before="197" w:line="221" w:lineRule="exact"/>
        <w:ind w:left="283" w:right="5" w:hanging="283"/>
        <w:jc w:val="both"/>
      </w:pPr>
      <w:r>
        <w:rPr>
          <w:b/>
          <w:bCs/>
          <w:spacing w:val="-8"/>
          <w:sz w:val="18"/>
          <w:szCs w:val="18"/>
          <w:lang w:val="es-ES_tradnl"/>
        </w:rPr>
        <w:t xml:space="preserve">2. La sentencia dictada por la Segunda Sala de lo Civil, </w:t>
      </w:r>
      <w:r>
        <w:rPr>
          <w:b/>
          <w:bCs/>
          <w:spacing w:val="-5"/>
          <w:sz w:val="18"/>
          <w:szCs w:val="18"/>
          <w:lang w:val="es-ES_tradnl"/>
        </w:rPr>
        <w:t xml:space="preserve">Mercantil, Inquilinato y Materias Residuales de la </w:t>
      </w:r>
      <w:r>
        <w:rPr>
          <w:b/>
          <w:bCs/>
          <w:spacing w:val="-9"/>
          <w:sz w:val="18"/>
          <w:szCs w:val="18"/>
          <w:lang w:val="es-ES_tradnl"/>
        </w:rPr>
        <w:t>Corte Provincial de Justicia de Pichincha, dentro de la acci</w:t>
      </w:r>
      <w:r>
        <w:rPr>
          <w:rFonts w:cs="Times New Roman"/>
          <w:b/>
          <w:bCs/>
          <w:spacing w:val="-9"/>
          <w:sz w:val="18"/>
          <w:szCs w:val="18"/>
          <w:lang w:val="es-ES_tradnl"/>
        </w:rPr>
        <w:t>ó</w:t>
      </w:r>
      <w:r>
        <w:rPr>
          <w:b/>
          <w:bCs/>
          <w:spacing w:val="-9"/>
          <w:sz w:val="18"/>
          <w:szCs w:val="18"/>
          <w:lang w:val="es-ES_tradnl"/>
        </w:rPr>
        <w:t>n de protecci</w:t>
      </w:r>
      <w:r>
        <w:rPr>
          <w:rFonts w:cs="Times New Roman"/>
          <w:b/>
          <w:bCs/>
          <w:spacing w:val="-9"/>
          <w:sz w:val="18"/>
          <w:szCs w:val="18"/>
          <w:lang w:val="es-ES_tradnl"/>
        </w:rPr>
        <w:t>ó</w:t>
      </w:r>
      <w:r>
        <w:rPr>
          <w:b/>
          <w:bCs/>
          <w:spacing w:val="-9"/>
          <w:sz w:val="18"/>
          <w:szCs w:val="18"/>
          <w:lang w:val="es-ES_tradnl"/>
        </w:rPr>
        <w:t>n signada con el N.</w:t>
      </w:r>
      <w:r>
        <w:rPr>
          <w:rFonts w:cs="Times New Roman"/>
          <w:b/>
          <w:bCs/>
          <w:spacing w:val="-9"/>
          <w:sz w:val="18"/>
          <w:szCs w:val="18"/>
          <w:lang w:val="es-ES_tradnl"/>
        </w:rPr>
        <w:t>º</w:t>
      </w:r>
      <w:r>
        <w:rPr>
          <w:b/>
          <w:bCs/>
          <w:spacing w:val="-9"/>
          <w:sz w:val="18"/>
          <w:szCs w:val="18"/>
          <w:lang w:val="es-ES_tradnl"/>
        </w:rPr>
        <w:t xml:space="preserve"> 996/2011 </w:t>
      </w:r>
      <w:r>
        <w:rPr>
          <w:b/>
          <w:bCs/>
          <w:spacing w:val="-7"/>
          <w:sz w:val="18"/>
          <w:szCs w:val="18"/>
          <w:lang w:val="es-ES_tradnl"/>
        </w:rPr>
        <w:t>(735/2011), que acepta el recurso de apelaci</w:t>
      </w:r>
      <w:r>
        <w:rPr>
          <w:rFonts w:cs="Times New Roman"/>
          <w:b/>
          <w:bCs/>
          <w:spacing w:val="-7"/>
          <w:sz w:val="18"/>
          <w:szCs w:val="18"/>
          <w:lang w:val="es-ES_tradnl"/>
        </w:rPr>
        <w:t>ó</w:t>
      </w:r>
      <w:r>
        <w:rPr>
          <w:b/>
          <w:bCs/>
          <w:spacing w:val="-7"/>
          <w:sz w:val="18"/>
          <w:szCs w:val="18"/>
          <w:lang w:val="es-ES_tradnl"/>
        </w:rPr>
        <w:t xml:space="preserve">n y </w:t>
      </w:r>
      <w:r>
        <w:rPr>
          <w:b/>
          <w:bCs/>
          <w:spacing w:val="-9"/>
          <w:sz w:val="18"/>
          <w:szCs w:val="18"/>
          <w:lang w:val="es-ES_tradnl"/>
        </w:rPr>
        <w:t xml:space="preserve">revoca la sentencia del inferior, </w:t>
      </w:r>
      <w:r>
        <w:rPr>
          <w:rFonts w:cs="Times New Roman"/>
          <w:b/>
          <w:bCs/>
          <w:spacing w:val="-9"/>
          <w:sz w:val="18"/>
          <w:szCs w:val="18"/>
          <w:lang w:val="es-ES_tradnl"/>
        </w:rPr>
        <w:t>¿</w:t>
      </w:r>
      <w:r>
        <w:rPr>
          <w:b/>
          <w:bCs/>
          <w:spacing w:val="-9"/>
          <w:sz w:val="18"/>
          <w:szCs w:val="18"/>
          <w:lang w:val="es-ES_tradnl"/>
        </w:rPr>
        <w:t xml:space="preserve">vulnera el derecho </w:t>
      </w:r>
      <w:r>
        <w:rPr>
          <w:b/>
          <w:bCs/>
          <w:spacing w:val="-8"/>
          <w:sz w:val="18"/>
          <w:szCs w:val="18"/>
          <w:lang w:val="es-ES_tradnl"/>
        </w:rPr>
        <w:t>constitucional a la seguridad jur</w:t>
      </w:r>
      <w:r>
        <w:rPr>
          <w:rFonts w:cs="Times New Roman"/>
          <w:b/>
          <w:bCs/>
          <w:spacing w:val="-8"/>
          <w:sz w:val="18"/>
          <w:szCs w:val="18"/>
          <w:lang w:val="es-ES_tradnl"/>
        </w:rPr>
        <w:t>í</w:t>
      </w:r>
      <w:r>
        <w:rPr>
          <w:b/>
          <w:bCs/>
          <w:spacing w:val="-8"/>
          <w:sz w:val="18"/>
          <w:szCs w:val="18"/>
          <w:lang w:val="es-ES_tradnl"/>
        </w:rPr>
        <w:t>dica?</w:t>
      </w:r>
    </w:p>
    <w:p w14:paraId="4F67B94D" w14:textId="77777777" w:rsidR="00591D54" w:rsidRDefault="00591D54">
      <w:pPr>
        <w:shd w:val="clear" w:color="auto" w:fill="FFFFFF"/>
        <w:spacing w:before="206" w:line="216" w:lineRule="exact"/>
        <w:jc w:val="both"/>
      </w:pPr>
      <w:r>
        <w:rPr>
          <w:spacing w:val="-6"/>
          <w:sz w:val="18"/>
          <w:szCs w:val="18"/>
          <w:lang w:val="es-ES_tradnl"/>
        </w:rPr>
        <w:t>La seguridad jur</w:t>
      </w:r>
      <w:r>
        <w:rPr>
          <w:rFonts w:cs="Times New Roman"/>
          <w:spacing w:val="-6"/>
          <w:sz w:val="18"/>
          <w:szCs w:val="18"/>
          <w:lang w:val="es-ES_tradnl"/>
        </w:rPr>
        <w:t>í</w:t>
      </w:r>
      <w:r>
        <w:rPr>
          <w:spacing w:val="-6"/>
          <w:sz w:val="18"/>
          <w:szCs w:val="18"/>
          <w:lang w:val="es-ES_tradnl"/>
        </w:rPr>
        <w:t xml:space="preserve">dica es un derecho establecido en la </w:t>
      </w:r>
      <w:r>
        <w:rPr>
          <w:spacing w:val="-8"/>
          <w:sz w:val="18"/>
          <w:szCs w:val="18"/>
          <w:lang w:val="es-ES_tradnl"/>
        </w:rPr>
        <w:t>Constituci</w:t>
      </w:r>
      <w:r>
        <w:rPr>
          <w:rFonts w:cs="Times New Roman"/>
          <w:spacing w:val="-8"/>
          <w:sz w:val="18"/>
          <w:szCs w:val="18"/>
          <w:lang w:val="es-ES_tradnl"/>
        </w:rPr>
        <w:t>ó</w:t>
      </w:r>
      <w:r>
        <w:rPr>
          <w:spacing w:val="-8"/>
          <w:sz w:val="18"/>
          <w:szCs w:val="18"/>
          <w:lang w:val="es-ES_tradnl"/>
        </w:rPr>
        <w:t>n de la Rep</w:t>
      </w:r>
      <w:r>
        <w:rPr>
          <w:rFonts w:cs="Times New Roman"/>
          <w:spacing w:val="-8"/>
          <w:sz w:val="18"/>
          <w:szCs w:val="18"/>
          <w:lang w:val="es-ES_tradnl"/>
        </w:rPr>
        <w:t>ú</w:t>
      </w:r>
      <w:r>
        <w:rPr>
          <w:spacing w:val="-8"/>
          <w:sz w:val="18"/>
          <w:szCs w:val="18"/>
          <w:lang w:val="es-ES_tradnl"/>
        </w:rPr>
        <w:t>blica en los siguientes t</w:t>
      </w:r>
      <w:r>
        <w:rPr>
          <w:rFonts w:cs="Times New Roman"/>
          <w:spacing w:val="-8"/>
          <w:sz w:val="18"/>
          <w:szCs w:val="18"/>
          <w:lang w:val="es-ES_tradnl"/>
        </w:rPr>
        <w:t>é</w:t>
      </w:r>
      <w:r>
        <w:rPr>
          <w:spacing w:val="-8"/>
          <w:sz w:val="18"/>
          <w:szCs w:val="18"/>
          <w:lang w:val="es-ES_tradnl"/>
        </w:rPr>
        <w:t xml:space="preserve">rminos: </w:t>
      </w:r>
      <w:r>
        <w:rPr>
          <w:rFonts w:cs="Times New Roman"/>
          <w:spacing w:val="-8"/>
          <w:sz w:val="18"/>
          <w:szCs w:val="18"/>
          <w:lang w:val="es-ES_tradnl"/>
        </w:rPr>
        <w:t>“</w:t>
      </w:r>
      <w:r>
        <w:rPr>
          <w:spacing w:val="-8"/>
          <w:sz w:val="18"/>
          <w:szCs w:val="18"/>
          <w:lang w:val="es-ES_tradnl"/>
        </w:rPr>
        <w:t xml:space="preserve">El </w:t>
      </w:r>
      <w:r>
        <w:rPr>
          <w:spacing w:val="-9"/>
          <w:sz w:val="18"/>
          <w:szCs w:val="18"/>
          <w:lang w:val="es-ES_tradnl"/>
        </w:rPr>
        <w:t>derecho a la seguridad jur</w:t>
      </w:r>
      <w:r>
        <w:rPr>
          <w:rFonts w:cs="Times New Roman"/>
          <w:spacing w:val="-9"/>
          <w:sz w:val="18"/>
          <w:szCs w:val="18"/>
          <w:lang w:val="es-ES_tradnl"/>
        </w:rPr>
        <w:t>í</w:t>
      </w:r>
      <w:r>
        <w:rPr>
          <w:spacing w:val="-9"/>
          <w:sz w:val="18"/>
          <w:szCs w:val="18"/>
          <w:lang w:val="es-ES_tradnl"/>
        </w:rPr>
        <w:t xml:space="preserve">dica se fundamenta en el respeto </w:t>
      </w:r>
      <w:r>
        <w:rPr>
          <w:spacing w:val="-6"/>
          <w:sz w:val="18"/>
          <w:szCs w:val="18"/>
          <w:lang w:val="es-ES_tradnl"/>
        </w:rPr>
        <w:t>a la Constituci</w:t>
      </w:r>
      <w:r>
        <w:rPr>
          <w:rFonts w:cs="Times New Roman"/>
          <w:spacing w:val="-6"/>
          <w:sz w:val="18"/>
          <w:szCs w:val="18"/>
          <w:lang w:val="es-ES_tradnl"/>
        </w:rPr>
        <w:t>ó</w:t>
      </w:r>
      <w:r>
        <w:rPr>
          <w:spacing w:val="-6"/>
          <w:sz w:val="18"/>
          <w:szCs w:val="18"/>
          <w:lang w:val="es-ES_tradnl"/>
        </w:rPr>
        <w:t>n y en la existencia de normas jur</w:t>
      </w:r>
      <w:r>
        <w:rPr>
          <w:rFonts w:cs="Times New Roman"/>
          <w:spacing w:val="-6"/>
          <w:sz w:val="18"/>
          <w:szCs w:val="18"/>
          <w:lang w:val="es-ES_tradnl"/>
        </w:rPr>
        <w:t>í</w:t>
      </w:r>
      <w:r>
        <w:rPr>
          <w:spacing w:val="-6"/>
          <w:sz w:val="18"/>
          <w:szCs w:val="18"/>
          <w:lang w:val="es-ES_tradnl"/>
        </w:rPr>
        <w:t xml:space="preserve">dicas </w:t>
      </w:r>
      <w:r>
        <w:rPr>
          <w:spacing w:val="-7"/>
          <w:sz w:val="18"/>
          <w:szCs w:val="18"/>
          <w:lang w:val="es-ES_tradnl"/>
        </w:rPr>
        <w:t>previas, claras, p</w:t>
      </w:r>
      <w:r>
        <w:rPr>
          <w:rFonts w:cs="Times New Roman"/>
          <w:spacing w:val="-7"/>
          <w:sz w:val="18"/>
          <w:szCs w:val="18"/>
          <w:lang w:val="es-ES_tradnl"/>
        </w:rPr>
        <w:t>ú</w:t>
      </w:r>
      <w:r>
        <w:rPr>
          <w:spacing w:val="-7"/>
          <w:sz w:val="18"/>
          <w:szCs w:val="18"/>
          <w:lang w:val="es-ES_tradnl"/>
        </w:rPr>
        <w:t xml:space="preserve">blicas y aplicadas por las autoridades </w:t>
      </w:r>
      <w:r>
        <w:rPr>
          <w:sz w:val="18"/>
          <w:szCs w:val="18"/>
          <w:lang w:val="es-ES_tradnl"/>
        </w:rPr>
        <w:t>competentes</w:t>
      </w:r>
      <w:r>
        <w:rPr>
          <w:rFonts w:cs="Times New Roman"/>
          <w:sz w:val="18"/>
          <w:szCs w:val="18"/>
          <w:lang w:val="es-ES_tradnl"/>
        </w:rPr>
        <w:t>”</w:t>
      </w:r>
      <w:r>
        <w:rPr>
          <w:sz w:val="18"/>
          <w:szCs w:val="18"/>
          <w:vertAlign w:val="superscript"/>
          <w:lang w:val="es-ES_tradnl"/>
        </w:rPr>
        <w:t>7</w:t>
      </w:r>
      <w:r>
        <w:rPr>
          <w:sz w:val="18"/>
          <w:szCs w:val="18"/>
          <w:lang w:val="es-ES_tradnl"/>
        </w:rPr>
        <w:t>.</w:t>
      </w:r>
    </w:p>
    <w:p w14:paraId="4F67B94E" w14:textId="77777777" w:rsidR="00591D54" w:rsidRDefault="00591D54">
      <w:pPr>
        <w:shd w:val="clear" w:color="auto" w:fill="FFFFFF"/>
        <w:spacing w:before="202" w:line="221" w:lineRule="exact"/>
        <w:ind w:right="5"/>
        <w:jc w:val="both"/>
      </w:pPr>
      <w:r>
        <w:rPr>
          <w:spacing w:val="-7"/>
          <w:sz w:val="18"/>
          <w:szCs w:val="18"/>
          <w:lang w:val="es-ES_tradnl"/>
        </w:rPr>
        <w:t xml:space="preserve">Este derecho asegura a los ciudadanos el acceso al </w:t>
      </w:r>
      <w:r>
        <w:rPr>
          <w:spacing w:val="-8"/>
          <w:sz w:val="18"/>
          <w:szCs w:val="18"/>
          <w:lang w:val="es-ES_tradnl"/>
        </w:rPr>
        <w:t>conocimiento anticipado del ordenamiento jur</w:t>
      </w:r>
      <w:r>
        <w:rPr>
          <w:rFonts w:cs="Times New Roman"/>
          <w:spacing w:val="-8"/>
          <w:sz w:val="18"/>
          <w:szCs w:val="18"/>
          <w:lang w:val="es-ES_tradnl"/>
        </w:rPr>
        <w:t>í</w:t>
      </w:r>
      <w:r>
        <w:rPr>
          <w:spacing w:val="-8"/>
          <w:sz w:val="18"/>
          <w:szCs w:val="18"/>
          <w:lang w:val="es-ES_tradnl"/>
        </w:rPr>
        <w:t>dico vigente,</w:t>
      </w:r>
    </w:p>
    <w:p w14:paraId="4F67B94F" w14:textId="77777777" w:rsidR="00591D54" w:rsidRDefault="00591D54">
      <w:pPr>
        <w:shd w:val="clear" w:color="auto" w:fill="FFFFFF"/>
        <w:spacing w:before="518"/>
      </w:pPr>
      <w:r>
        <w:rPr>
          <w:sz w:val="16"/>
          <w:szCs w:val="16"/>
          <w:vertAlign w:val="superscript"/>
          <w:lang w:val="es-ES_tradnl"/>
        </w:rPr>
        <w:t>7</w:t>
      </w:r>
      <w:r>
        <w:rPr>
          <w:sz w:val="16"/>
          <w:szCs w:val="16"/>
          <w:lang w:val="es-ES_tradnl"/>
        </w:rPr>
        <w:t xml:space="preserve">  </w:t>
      </w:r>
      <w:r>
        <w:rPr>
          <w:spacing w:val="-9"/>
          <w:sz w:val="16"/>
          <w:szCs w:val="16"/>
          <w:lang w:val="es-ES_tradnl"/>
        </w:rPr>
        <w:t>Constituci</w:t>
      </w:r>
      <w:r>
        <w:rPr>
          <w:rFonts w:cs="Times New Roman"/>
          <w:spacing w:val="-9"/>
          <w:sz w:val="16"/>
          <w:szCs w:val="16"/>
          <w:lang w:val="es-ES_tradnl"/>
        </w:rPr>
        <w:t>ó</w:t>
      </w:r>
      <w:r>
        <w:rPr>
          <w:spacing w:val="-9"/>
          <w:sz w:val="16"/>
          <w:szCs w:val="16"/>
          <w:lang w:val="es-ES_tradnl"/>
        </w:rPr>
        <w:t>n Pol</w:t>
      </w:r>
      <w:r>
        <w:rPr>
          <w:rFonts w:cs="Times New Roman"/>
          <w:spacing w:val="-9"/>
          <w:sz w:val="16"/>
          <w:szCs w:val="16"/>
          <w:lang w:val="es-ES_tradnl"/>
        </w:rPr>
        <w:t>í</w:t>
      </w:r>
      <w:r>
        <w:rPr>
          <w:spacing w:val="-9"/>
          <w:sz w:val="16"/>
          <w:szCs w:val="16"/>
          <w:lang w:val="es-ES_tradnl"/>
        </w:rPr>
        <w:t>tica del Ecuador, Art. 82.</w:t>
      </w:r>
    </w:p>
    <w:p w14:paraId="4F67B950" w14:textId="77777777" w:rsidR="00591D54" w:rsidRDefault="00591D54">
      <w:pPr>
        <w:shd w:val="clear" w:color="auto" w:fill="FFFFFF"/>
        <w:spacing w:line="230" w:lineRule="exact"/>
        <w:jc w:val="both"/>
      </w:pPr>
      <w:r>
        <w:br w:type="column"/>
      </w:r>
      <w:r>
        <w:rPr>
          <w:spacing w:val="-9"/>
          <w:sz w:val="18"/>
          <w:szCs w:val="18"/>
          <w:lang w:val="es-ES_tradnl"/>
        </w:rPr>
        <w:t xml:space="preserve">lo cual proporciona certeza respecto de las consecuencias </w:t>
      </w:r>
      <w:r>
        <w:rPr>
          <w:spacing w:val="-3"/>
          <w:sz w:val="18"/>
          <w:szCs w:val="18"/>
          <w:lang w:val="es-ES_tradnl"/>
        </w:rPr>
        <w:t>jur</w:t>
      </w:r>
      <w:r>
        <w:rPr>
          <w:rFonts w:cs="Times New Roman"/>
          <w:spacing w:val="-3"/>
          <w:sz w:val="18"/>
          <w:szCs w:val="18"/>
          <w:lang w:val="es-ES_tradnl"/>
        </w:rPr>
        <w:t>í</w:t>
      </w:r>
      <w:r>
        <w:rPr>
          <w:spacing w:val="-3"/>
          <w:sz w:val="18"/>
          <w:szCs w:val="18"/>
          <w:lang w:val="es-ES_tradnl"/>
        </w:rPr>
        <w:t xml:space="preserve">dicas de sus acciones y omisiones. A su vez, obliga </w:t>
      </w:r>
      <w:r>
        <w:rPr>
          <w:sz w:val="18"/>
          <w:szCs w:val="18"/>
          <w:lang w:val="es-ES_tradnl"/>
        </w:rPr>
        <w:t>al poder p</w:t>
      </w:r>
      <w:r>
        <w:rPr>
          <w:rFonts w:cs="Times New Roman"/>
          <w:sz w:val="18"/>
          <w:szCs w:val="18"/>
          <w:lang w:val="es-ES_tradnl"/>
        </w:rPr>
        <w:t>ú</w:t>
      </w:r>
      <w:r>
        <w:rPr>
          <w:sz w:val="18"/>
          <w:szCs w:val="18"/>
          <w:lang w:val="es-ES_tradnl"/>
        </w:rPr>
        <w:t xml:space="preserve">blico a someter su proceder y decisiones </w:t>
      </w:r>
      <w:r>
        <w:rPr>
          <w:spacing w:val="-7"/>
          <w:sz w:val="18"/>
          <w:szCs w:val="18"/>
          <w:lang w:val="es-ES_tradnl"/>
        </w:rPr>
        <w:t>al ordenamiento jur</w:t>
      </w:r>
      <w:r>
        <w:rPr>
          <w:rFonts w:cs="Times New Roman"/>
          <w:spacing w:val="-7"/>
          <w:sz w:val="18"/>
          <w:szCs w:val="18"/>
          <w:lang w:val="es-ES_tradnl"/>
        </w:rPr>
        <w:t>í</w:t>
      </w:r>
      <w:r>
        <w:rPr>
          <w:spacing w:val="-7"/>
          <w:sz w:val="18"/>
          <w:szCs w:val="18"/>
          <w:lang w:val="es-ES_tradnl"/>
        </w:rPr>
        <w:t xml:space="preserve">dico, asegurando el respeto de los </w:t>
      </w:r>
      <w:r>
        <w:rPr>
          <w:sz w:val="18"/>
          <w:szCs w:val="18"/>
          <w:lang w:val="es-ES_tradnl"/>
        </w:rPr>
        <w:t>derechos establecidos en la Constituci</w:t>
      </w:r>
      <w:r>
        <w:rPr>
          <w:rFonts w:cs="Times New Roman"/>
          <w:sz w:val="18"/>
          <w:szCs w:val="18"/>
          <w:lang w:val="es-ES_tradnl"/>
        </w:rPr>
        <w:t>ó</w:t>
      </w:r>
      <w:r>
        <w:rPr>
          <w:sz w:val="18"/>
          <w:szCs w:val="18"/>
          <w:lang w:val="es-ES_tradnl"/>
        </w:rPr>
        <w:t>n.</w:t>
      </w:r>
    </w:p>
    <w:p w14:paraId="4F67B951" w14:textId="77777777" w:rsidR="00591D54" w:rsidRDefault="00591D54">
      <w:pPr>
        <w:shd w:val="clear" w:color="auto" w:fill="FFFFFF"/>
        <w:spacing w:before="206" w:line="230" w:lineRule="exact"/>
        <w:jc w:val="both"/>
      </w:pPr>
      <w:r>
        <w:rPr>
          <w:spacing w:val="-6"/>
          <w:sz w:val="18"/>
          <w:szCs w:val="18"/>
          <w:lang w:val="es-ES_tradnl"/>
        </w:rPr>
        <w:t xml:space="preserve">La parte medular del argumento del legitimado activo es </w:t>
      </w:r>
      <w:r>
        <w:rPr>
          <w:spacing w:val="-7"/>
          <w:sz w:val="18"/>
          <w:szCs w:val="18"/>
          <w:lang w:val="es-ES_tradnl"/>
        </w:rPr>
        <w:t xml:space="preserve">que la sentencia impugnada deviene en arbitraria; a su </w:t>
      </w:r>
      <w:r>
        <w:rPr>
          <w:spacing w:val="-6"/>
          <w:sz w:val="18"/>
          <w:szCs w:val="18"/>
          <w:lang w:val="es-ES_tradnl"/>
        </w:rPr>
        <w:t>criterio, la Sala irrespet</w:t>
      </w:r>
      <w:r>
        <w:rPr>
          <w:rFonts w:cs="Times New Roman"/>
          <w:spacing w:val="-6"/>
          <w:sz w:val="18"/>
          <w:szCs w:val="18"/>
          <w:lang w:val="es-ES_tradnl"/>
        </w:rPr>
        <w:t>ó</w:t>
      </w:r>
      <w:r>
        <w:rPr>
          <w:spacing w:val="-6"/>
          <w:sz w:val="18"/>
          <w:szCs w:val="18"/>
          <w:lang w:val="es-ES_tradnl"/>
        </w:rPr>
        <w:t xml:space="preserve"> normas jur</w:t>
      </w:r>
      <w:r>
        <w:rPr>
          <w:rFonts w:cs="Times New Roman"/>
          <w:spacing w:val="-6"/>
          <w:sz w:val="18"/>
          <w:szCs w:val="18"/>
          <w:lang w:val="es-ES_tradnl"/>
        </w:rPr>
        <w:t>í</w:t>
      </w:r>
      <w:r>
        <w:rPr>
          <w:spacing w:val="-6"/>
          <w:sz w:val="18"/>
          <w:szCs w:val="18"/>
          <w:lang w:val="es-ES_tradnl"/>
        </w:rPr>
        <w:t xml:space="preserve">dicas constitucionales </w:t>
      </w:r>
      <w:r>
        <w:rPr>
          <w:sz w:val="18"/>
          <w:szCs w:val="18"/>
          <w:lang w:val="es-ES_tradnl"/>
        </w:rPr>
        <w:t>y legales:</w:t>
      </w:r>
    </w:p>
    <w:p w14:paraId="4F67B952" w14:textId="77777777" w:rsidR="00591D54" w:rsidRDefault="00591D54">
      <w:pPr>
        <w:shd w:val="clear" w:color="auto" w:fill="FFFFFF"/>
        <w:spacing w:before="202" w:line="230" w:lineRule="exact"/>
        <w:ind w:left="283"/>
        <w:jc w:val="both"/>
      </w:pPr>
      <w:r>
        <w:rPr>
          <w:spacing w:val="-3"/>
          <w:sz w:val="16"/>
          <w:szCs w:val="16"/>
          <w:lang w:val="es-ES_tradnl"/>
        </w:rPr>
        <w:t>(</w:t>
      </w:r>
      <w:r>
        <w:rPr>
          <w:rFonts w:cs="Times New Roman"/>
          <w:spacing w:val="-3"/>
          <w:sz w:val="16"/>
          <w:szCs w:val="16"/>
          <w:lang w:val="es-ES_tradnl"/>
        </w:rPr>
        <w:t>…</w:t>
      </w:r>
      <w:r>
        <w:rPr>
          <w:spacing w:val="-3"/>
          <w:sz w:val="16"/>
          <w:szCs w:val="16"/>
          <w:lang w:val="es-ES_tradnl"/>
        </w:rPr>
        <w:t>) La instituci</w:t>
      </w:r>
      <w:r>
        <w:rPr>
          <w:rFonts w:cs="Times New Roman"/>
          <w:spacing w:val="-3"/>
          <w:sz w:val="16"/>
          <w:szCs w:val="16"/>
          <w:lang w:val="es-ES_tradnl"/>
        </w:rPr>
        <w:t>ó</w:t>
      </w:r>
      <w:r>
        <w:rPr>
          <w:spacing w:val="-3"/>
          <w:sz w:val="16"/>
          <w:szCs w:val="16"/>
          <w:lang w:val="es-ES_tradnl"/>
        </w:rPr>
        <w:t>n policial tiene autonom</w:t>
      </w:r>
      <w:r>
        <w:rPr>
          <w:rFonts w:cs="Times New Roman"/>
          <w:spacing w:val="-3"/>
          <w:sz w:val="16"/>
          <w:szCs w:val="16"/>
          <w:lang w:val="es-ES_tradnl"/>
        </w:rPr>
        <w:t>í</w:t>
      </w:r>
      <w:r>
        <w:rPr>
          <w:spacing w:val="-3"/>
          <w:sz w:val="16"/>
          <w:szCs w:val="16"/>
          <w:lang w:val="es-ES_tradnl"/>
        </w:rPr>
        <w:t xml:space="preserve">a administrativa y </w:t>
      </w:r>
      <w:r>
        <w:rPr>
          <w:spacing w:val="-6"/>
          <w:sz w:val="16"/>
          <w:szCs w:val="16"/>
          <w:lang w:val="es-ES_tradnl"/>
        </w:rPr>
        <w:t xml:space="preserve">como tal sujeto de derechos y obligaciones, por lo tanto en cumplimiento a lo dispuesto en los Arts. 160 Incisos segundo </w:t>
      </w:r>
      <w:r>
        <w:rPr>
          <w:spacing w:val="-5"/>
          <w:sz w:val="16"/>
          <w:szCs w:val="16"/>
          <w:lang w:val="es-ES_tradnl"/>
        </w:rPr>
        <w:t>y tercero de la Constituci</w:t>
      </w:r>
      <w:r>
        <w:rPr>
          <w:rFonts w:cs="Times New Roman"/>
          <w:spacing w:val="-5"/>
          <w:sz w:val="16"/>
          <w:szCs w:val="16"/>
          <w:lang w:val="es-ES_tradnl"/>
        </w:rPr>
        <w:t>ó</w:t>
      </w:r>
      <w:r>
        <w:rPr>
          <w:spacing w:val="-5"/>
          <w:sz w:val="16"/>
          <w:szCs w:val="16"/>
          <w:lang w:val="es-ES_tradnl"/>
        </w:rPr>
        <w:t>n de la Rep</w:t>
      </w:r>
      <w:r>
        <w:rPr>
          <w:rFonts w:cs="Times New Roman"/>
          <w:spacing w:val="-5"/>
          <w:sz w:val="16"/>
          <w:szCs w:val="16"/>
          <w:lang w:val="es-ES_tradnl"/>
        </w:rPr>
        <w:t>ú</w:t>
      </w:r>
      <w:r>
        <w:rPr>
          <w:spacing w:val="-5"/>
          <w:sz w:val="16"/>
          <w:szCs w:val="16"/>
          <w:lang w:val="es-ES_tradnl"/>
        </w:rPr>
        <w:t>blica, Art. 28 literal a) de la Ley Org</w:t>
      </w:r>
      <w:r>
        <w:rPr>
          <w:rFonts w:cs="Times New Roman"/>
          <w:spacing w:val="-5"/>
          <w:sz w:val="16"/>
          <w:szCs w:val="16"/>
          <w:lang w:val="es-ES_tradnl"/>
        </w:rPr>
        <w:t>á</w:t>
      </w:r>
      <w:r>
        <w:rPr>
          <w:spacing w:val="-5"/>
          <w:sz w:val="16"/>
          <w:szCs w:val="16"/>
          <w:lang w:val="es-ES_tradnl"/>
        </w:rPr>
        <w:t>nica de la Polic</w:t>
      </w:r>
      <w:r>
        <w:rPr>
          <w:rFonts w:cs="Times New Roman"/>
          <w:spacing w:val="-5"/>
          <w:sz w:val="16"/>
          <w:szCs w:val="16"/>
          <w:lang w:val="es-ES_tradnl"/>
        </w:rPr>
        <w:t>í</w:t>
      </w:r>
      <w:r>
        <w:rPr>
          <w:spacing w:val="-5"/>
          <w:sz w:val="16"/>
          <w:szCs w:val="16"/>
          <w:lang w:val="es-ES_tradnl"/>
        </w:rPr>
        <w:t xml:space="preserve">a Nacional, Art. 55 y 91 literal </w:t>
      </w:r>
      <w:r>
        <w:rPr>
          <w:spacing w:val="-8"/>
          <w:sz w:val="16"/>
          <w:szCs w:val="16"/>
          <w:lang w:val="es-ES_tradnl"/>
        </w:rPr>
        <w:t>d) de la Ley de Personal de la Polic</w:t>
      </w:r>
      <w:r>
        <w:rPr>
          <w:rFonts w:cs="Times New Roman"/>
          <w:spacing w:val="-8"/>
          <w:sz w:val="16"/>
          <w:szCs w:val="16"/>
          <w:lang w:val="es-ES_tradnl"/>
        </w:rPr>
        <w:t>í</w:t>
      </w:r>
      <w:r>
        <w:rPr>
          <w:spacing w:val="-8"/>
          <w:sz w:val="16"/>
          <w:szCs w:val="16"/>
          <w:lang w:val="es-ES_tradnl"/>
        </w:rPr>
        <w:t xml:space="preserve">a Nacional, y sobre todo lo </w:t>
      </w:r>
      <w:r>
        <w:rPr>
          <w:spacing w:val="-7"/>
          <w:sz w:val="16"/>
          <w:szCs w:val="16"/>
          <w:lang w:val="es-ES_tradnl"/>
        </w:rPr>
        <w:t xml:space="preserve">manifestado en el Art. 233 de la Carta Magna, que manifiesta </w:t>
      </w:r>
      <w:r>
        <w:rPr>
          <w:spacing w:val="-6"/>
          <w:sz w:val="16"/>
          <w:szCs w:val="16"/>
          <w:lang w:val="es-ES_tradnl"/>
        </w:rPr>
        <w:t xml:space="preserve">en concreto que </w:t>
      </w:r>
      <w:r>
        <w:rPr>
          <w:rFonts w:cs="Times New Roman"/>
          <w:spacing w:val="-6"/>
          <w:sz w:val="16"/>
          <w:szCs w:val="16"/>
          <w:lang w:val="es-ES_tradnl"/>
        </w:rPr>
        <w:t>“</w:t>
      </w:r>
      <w:r>
        <w:rPr>
          <w:spacing w:val="-6"/>
          <w:sz w:val="16"/>
          <w:szCs w:val="16"/>
          <w:lang w:val="es-ES_tradnl"/>
        </w:rPr>
        <w:t>ninguna persona est</w:t>
      </w:r>
      <w:r>
        <w:rPr>
          <w:rFonts w:cs="Times New Roman"/>
          <w:spacing w:val="-6"/>
          <w:sz w:val="16"/>
          <w:szCs w:val="16"/>
          <w:lang w:val="es-ES_tradnl"/>
        </w:rPr>
        <w:t>á</w:t>
      </w:r>
      <w:r>
        <w:rPr>
          <w:spacing w:val="-6"/>
          <w:sz w:val="16"/>
          <w:szCs w:val="16"/>
          <w:lang w:val="es-ES_tradnl"/>
        </w:rPr>
        <w:t xml:space="preserve"> exento (SIC.) de </w:t>
      </w:r>
      <w:r>
        <w:rPr>
          <w:spacing w:val="-2"/>
          <w:sz w:val="16"/>
          <w:szCs w:val="16"/>
          <w:lang w:val="es-ES_tradnl"/>
        </w:rPr>
        <w:t xml:space="preserve">responsabilidades por los actos realizados en el ejercicio </w:t>
      </w:r>
      <w:r>
        <w:rPr>
          <w:spacing w:val="-8"/>
          <w:sz w:val="16"/>
          <w:szCs w:val="16"/>
          <w:lang w:val="es-ES_tradnl"/>
        </w:rPr>
        <w:t>de sus funciones o por sus omisiones y ser</w:t>
      </w:r>
      <w:r>
        <w:rPr>
          <w:rFonts w:cs="Times New Roman"/>
          <w:spacing w:val="-8"/>
          <w:sz w:val="16"/>
          <w:szCs w:val="16"/>
          <w:lang w:val="es-ES_tradnl"/>
        </w:rPr>
        <w:t>á</w:t>
      </w:r>
      <w:r>
        <w:rPr>
          <w:spacing w:val="-8"/>
          <w:sz w:val="16"/>
          <w:szCs w:val="16"/>
          <w:lang w:val="es-ES_tradnl"/>
        </w:rPr>
        <w:t xml:space="preserve">n responsables </w:t>
      </w:r>
      <w:r>
        <w:rPr>
          <w:spacing w:val="-3"/>
          <w:sz w:val="16"/>
          <w:szCs w:val="16"/>
          <w:lang w:val="es-ES_tradnl"/>
        </w:rPr>
        <w:t>administrativa, civil y penalmente</w:t>
      </w:r>
      <w:r>
        <w:rPr>
          <w:rFonts w:cs="Times New Roman"/>
          <w:spacing w:val="-3"/>
          <w:sz w:val="16"/>
          <w:szCs w:val="16"/>
          <w:lang w:val="es-ES_tradnl"/>
        </w:rPr>
        <w:t>”</w:t>
      </w:r>
      <w:r>
        <w:rPr>
          <w:spacing w:val="-3"/>
          <w:sz w:val="16"/>
          <w:szCs w:val="16"/>
          <w:lang w:val="es-ES_tradnl"/>
        </w:rPr>
        <w:t xml:space="preserve">, por lo tanto la Sala en </w:t>
      </w:r>
      <w:r>
        <w:rPr>
          <w:spacing w:val="-5"/>
          <w:sz w:val="16"/>
          <w:szCs w:val="16"/>
          <w:lang w:val="es-ES_tradnl"/>
        </w:rPr>
        <w:t>cuesti</w:t>
      </w:r>
      <w:r>
        <w:rPr>
          <w:rFonts w:cs="Times New Roman"/>
          <w:spacing w:val="-5"/>
          <w:sz w:val="16"/>
          <w:szCs w:val="16"/>
          <w:lang w:val="es-ES_tradnl"/>
        </w:rPr>
        <w:t>ó</w:t>
      </w:r>
      <w:r>
        <w:rPr>
          <w:spacing w:val="-5"/>
          <w:sz w:val="16"/>
          <w:szCs w:val="16"/>
          <w:lang w:val="es-ES_tradnl"/>
        </w:rPr>
        <w:t xml:space="preserve">n a (SIC.) desconocido la facultad constitucional que </w:t>
      </w:r>
      <w:r>
        <w:rPr>
          <w:spacing w:val="-9"/>
          <w:sz w:val="16"/>
          <w:szCs w:val="16"/>
          <w:lang w:val="es-ES_tradnl"/>
        </w:rPr>
        <w:t xml:space="preserve">tienen los organismos policiales para negar un ascenso cuando </w:t>
      </w:r>
      <w:r>
        <w:rPr>
          <w:spacing w:val="-3"/>
          <w:sz w:val="16"/>
          <w:szCs w:val="16"/>
          <w:lang w:val="es-ES_tradnl"/>
        </w:rPr>
        <w:t xml:space="preserve">un miembro policial no cumple con los requisitos previos o </w:t>
      </w:r>
      <w:r>
        <w:rPr>
          <w:spacing w:val="-8"/>
          <w:sz w:val="16"/>
          <w:szCs w:val="16"/>
          <w:lang w:val="es-ES_tradnl"/>
        </w:rPr>
        <w:t xml:space="preserve">no alcanza el puntaje requerido, y a consecuencia de ello se lo </w:t>
      </w:r>
      <w:r>
        <w:rPr>
          <w:spacing w:val="-7"/>
          <w:sz w:val="16"/>
          <w:szCs w:val="16"/>
          <w:lang w:val="es-ES_tradnl"/>
        </w:rPr>
        <w:t xml:space="preserve">incluye en la denominada </w:t>
      </w:r>
      <w:r>
        <w:rPr>
          <w:rFonts w:cs="Times New Roman"/>
          <w:spacing w:val="-7"/>
          <w:sz w:val="16"/>
          <w:szCs w:val="16"/>
          <w:lang w:val="es-ES_tradnl"/>
        </w:rPr>
        <w:t>“</w:t>
      </w:r>
      <w:r>
        <w:rPr>
          <w:spacing w:val="-7"/>
          <w:sz w:val="16"/>
          <w:szCs w:val="16"/>
          <w:lang w:val="es-ES_tradnl"/>
        </w:rPr>
        <w:t>cuota de eliminaci</w:t>
      </w:r>
      <w:r>
        <w:rPr>
          <w:rFonts w:cs="Times New Roman"/>
          <w:spacing w:val="-7"/>
          <w:sz w:val="16"/>
          <w:szCs w:val="16"/>
          <w:lang w:val="es-ES_tradnl"/>
        </w:rPr>
        <w:t>ó</w:t>
      </w:r>
      <w:r>
        <w:rPr>
          <w:spacing w:val="-7"/>
          <w:sz w:val="16"/>
          <w:szCs w:val="16"/>
          <w:lang w:val="es-ES_tradnl"/>
        </w:rPr>
        <w:t>n</w:t>
      </w:r>
      <w:r>
        <w:rPr>
          <w:rFonts w:cs="Times New Roman"/>
          <w:spacing w:val="-7"/>
          <w:sz w:val="16"/>
          <w:szCs w:val="16"/>
          <w:lang w:val="es-ES_tradnl"/>
        </w:rPr>
        <w:t>”</w:t>
      </w:r>
      <w:r>
        <w:rPr>
          <w:spacing w:val="-7"/>
          <w:sz w:val="16"/>
          <w:szCs w:val="16"/>
          <w:lang w:val="es-ES_tradnl"/>
        </w:rPr>
        <w:t xml:space="preserve"> y finalmente </w:t>
      </w:r>
      <w:r>
        <w:rPr>
          <w:spacing w:val="-6"/>
          <w:sz w:val="16"/>
          <w:szCs w:val="16"/>
          <w:lang w:val="es-ES_tradnl"/>
        </w:rPr>
        <w:t xml:space="preserve">se lo coloca en Transitoria por esa causa. La Corte Provincial </w:t>
      </w:r>
      <w:r>
        <w:rPr>
          <w:spacing w:val="-8"/>
          <w:sz w:val="16"/>
          <w:szCs w:val="16"/>
          <w:lang w:val="es-ES_tradnl"/>
        </w:rPr>
        <w:t>(</w:t>
      </w:r>
      <w:r>
        <w:rPr>
          <w:rFonts w:cs="Times New Roman"/>
          <w:spacing w:val="-8"/>
          <w:sz w:val="16"/>
          <w:szCs w:val="16"/>
          <w:lang w:val="es-ES_tradnl"/>
        </w:rPr>
        <w:t>…</w:t>
      </w:r>
      <w:r>
        <w:rPr>
          <w:spacing w:val="-8"/>
          <w:sz w:val="16"/>
          <w:szCs w:val="16"/>
          <w:lang w:val="es-ES_tradnl"/>
        </w:rPr>
        <w:t xml:space="preserve">) ha atentado contra la </w:t>
      </w:r>
      <w:r>
        <w:rPr>
          <w:rFonts w:cs="Times New Roman"/>
          <w:spacing w:val="-8"/>
          <w:sz w:val="16"/>
          <w:szCs w:val="16"/>
          <w:lang w:val="es-ES_tradnl"/>
        </w:rPr>
        <w:t>“</w:t>
      </w:r>
      <w:r>
        <w:rPr>
          <w:spacing w:val="-8"/>
          <w:sz w:val="16"/>
          <w:szCs w:val="16"/>
          <w:lang w:val="es-ES_tradnl"/>
        </w:rPr>
        <w:t>Seguridad Jur</w:t>
      </w:r>
      <w:r>
        <w:rPr>
          <w:rFonts w:cs="Times New Roman"/>
          <w:spacing w:val="-8"/>
          <w:sz w:val="16"/>
          <w:szCs w:val="16"/>
          <w:lang w:val="es-ES_tradnl"/>
        </w:rPr>
        <w:t>í</w:t>
      </w:r>
      <w:r>
        <w:rPr>
          <w:spacing w:val="-8"/>
          <w:sz w:val="16"/>
          <w:szCs w:val="16"/>
          <w:lang w:val="es-ES_tradnl"/>
        </w:rPr>
        <w:t>dica</w:t>
      </w:r>
      <w:r>
        <w:rPr>
          <w:rFonts w:cs="Times New Roman"/>
          <w:spacing w:val="-8"/>
          <w:sz w:val="16"/>
          <w:szCs w:val="16"/>
          <w:lang w:val="es-ES_tradnl"/>
        </w:rPr>
        <w:t>”</w:t>
      </w:r>
      <w:r>
        <w:rPr>
          <w:spacing w:val="-8"/>
          <w:sz w:val="16"/>
          <w:szCs w:val="16"/>
          <w:lang w:val="es-ES_tradnl"/>
        </w:rPr>
        <w:t xml:space="preserve"> al no reconocer </w:t>
      </w:r>
      <w:r>
        <w:rPr>
          <w:spacing w:val="-7"/>
          <w:sz w:val="16"/>
          <w:szCs w:val="16"/>
          <w:lang w:val="es-ES_tradnl"/>
        </w:rPr>
        <w:t xml:space="preserve">la validez de los actos administrativos dictador (SIC.) por el H. </w:t>
      </w:r>
      <w:r>
        <w:rPr>
          <w:spacing w:val="-8"/>
          <w:sz w:val="16"/>
          <w:szCs w:val="16"/>
          <w:lang w:val="es-ES_tradnl"/>
        </w:rPr>
        <w:t>Consejo de Clases y Polic</w:t>
      </w:r>
      <w:r>
        <w:rPr>
          <w:rFonts w:cs="Times New Roman"/>
          <w:spacing w:val="-8"/>
          <w:sz w:val="16"/>
          <w:szCs w:val="16"/>
          <w:lang w:val="es-ES_tradnl"/>
        </w:rPr>
        <w:t>í</w:t>
      </w:r>
      <w:r>
        <w:rPr>
          <w:spacing w:val="-8"/>
          <w:sz w:val="16"/>
          <w:szCs w:val="16"/>
          <w:lang w:val="es-ES_tradnl"/>
        </w:rPr>
        <w:t>as con respecto a la se</w:t>
      </w:r>
      <w:r>
        <w:rPr>
          <w:rFonts w:cs="Times New Roman"/>
          <w:spacing w:val="-8"/>
          <w:sz w:val="16"/>
          <w:szCs w:val="16"/>
          <w:lang w:val="es-ES_tradnl"/>
        </w:rPr>
        <w:t>ñ</w:t>
      </w:r>
      <w:r>
        <w:rPr>
          <w:spacing w:val="-8"/>
          <w:sz w:val="16"/>
          <w:szCs w:val="16"/>
          <w:lang w:val="es-ES_tradnl"/>
        </w:rPr>
        <w:t xml:space="preserve">ora Subop. </w:t>
      </w:r>
      <w:r>
        <w:rPr>
          <w:sz w:val="16"/>
          <w:szCs w:val="16"/>
          <w:lang w:val="es-ES_tradnl"/>
        </w:rPr>
        <w:t>GOMEZ LENY MAR</w:t>
      </w:r>
      <w:r>
        <w:rPr>
          <w:rFonts w:cs="Times New Roman"/>
          <w:sz w:val="16"/>
          <w:szCs w:val="16"/>
          <w:lang w:val="es-ES_tradnl"/>
        </w:rPr>
        <w:t>Í</w:t>
      </w:r>
      <w:r>
        <w:rPr>
          <w:sz w:val="16"/>
          <w:szCs w:val="16"/>
          <w:lang w:val="es-ES_tradnl"/>
        </w:rPr>
        <w:t>A EVIGENIA.</w:t>
      </w:r>
    </w:p>
    <w:p w14:paraId="4F67B953" w14:textId="77777777" w:rsidR="00591D54" w:rsidRDefault="00591D54">
      <w:pPr>
        <w:shd w:val="clear" w:color="auto" w:fill="FFFFFF"/>
        <w:spacing w:before="211" w:line="230" w:lineRule="exact"/>
        <w:jc w:val="both"/>
      </w:pPr>
      <w:r>
        <w:rPr>
          <w:spacing w:val="-8"/>
          <w:sz w:val="18"/>
          <w:szCs w:val="18"/>
          <w:lang w:val="es-ES_tradnl"/>
        </w:rPr>
        <w:t>En lo principal, las normas claras, previas y p</w:t>
      </w:r>
      <w:r>
        <w:rPr>
          <w:rFonts w:cs="Times New Roman"/>
          <w:spacing w:val="-8"/>
          <w:sz w:val="18"/>
          <w:szCs w:val="18"/>
          <w:lang w:val="es-ES_tradnl"/>
        </w:rPr>
        <w:t>ú</w:t>
      </w:r>
      <w:r>
        <w:rPr>
          <w:spacing w:val="-8"/>
          <w:sz w:val="18"/>
          <w:szCs w:val="18"/>
          <w:lang w:val="es-ES_tradnl"/>
        </w:rPr>
        <w:t xml:space="preserve">blicas por las </w:t>
      </w:r>
      <w:r>
        <w:rPr>
          <w:spacing w:val="-7"/>
          <w:sz w:val="18"/>
          <w:szCs w:val="18"/>
          <w:lang w:val="es-ES_tradnl"/>
        </w:rPr>
        <w:t xml:space="preserve">cuales el legitimado activo considera vulnerado el derecho </w:t>
      </w:r>
      <w:r>
        <w:rPr>
          <w:spacing w:val="-8"/>
          <w:sz w:val="18"/>
          <w:szCs w:val="18"/>
          <w:lang w:val="es-ES_tradnl"/>
        </w:rPr>
        <w:t>a la seguridad jur</w:t>
      </w:r>
      <w:r>
        <w:rPr>
          <w:rFonts w:cs="Times New Roman"/>
          <w:spacing w:val="-8"/>
          <w:sz w:val="18"/>
          <w:szCs w:val="18"/>
          <w:lang w:val="es-ES_tradnl"/>
        </w:rPr>
        <w:t>í</w:t>
      </w:r>
      <w:r>
        <w:rPr>
          <w:spacing w:val="-8"/>
          <w:sz w:val="18"/>
          <w:szCs w:val="18"/>
          <w:lang w:val="es-ES_tradnl"/>
        </w:rPr>
        <w:t>dica, tienen que ver espec</w:t>
      </w:r>
      <w:r>
        <w:rPr>
          <w:rFonts w:cs="Times New Roman"/>
          <w:spacing w:val="-8"/>
          <w:sz w:val="18"/>
          <w:szCs w:val="18"/>
          <w:lang w:val="es-ES_tradnl"/>
        </w:rPr>
        <w:t>í</w:t>
      </w:r>
      <w:r>
        <w:rPr>
          <w:spacing w:val="-8"/>
          <w:sz w:val="18"/>
          <w:szCs w:val="18"/>
          <w:lang w:val="es-ES_tradnl"/>
        </w:rPr>
        <w:t>ficamente con la facultad de la Polic</w:t>
      </w:r>
      <w:r>
        <w:rPr>
          <w:rFonts w:cs="Times New Roman"/>
          <w:spacing w:val="-8"/>
          <w:sz w:val="18"/>
          <w:szCs w:val="18"/>
          <w:lang w:val="es-ES_tradnl"/>
        </w:rPr>
        <w:t>í</w:t>
      </w:r>
      <w:r>
        <w:rPr>
          <w:spacing w:val="-8"/>
          <w:sz w:val="18"/>
          <w:szCs w:val="18"/>
          <w:lang w:val="es-ES_tradnl"/>
        </w:rPr>
        <w:t xml:space="preserve">a Nacional para aprobar los ascensos </w:t>
      </w:r>
      <w:r>
        <w:rPr>
          <w:sz w:val="18"/>
          <w:szCs w:val="18"/>
          <w:lang w:val="es-ES_tradnl"/>
        </w:rPr>
        <w:t>y bajas de sus miembros; en su orden:</w:t>
      </w:r>
    </w:p>
    <w:p w14:paraId="4F67B954" w14:textId="77777777" w:rsidR="00591D54" w:rsidRDefault="00591D54">
      <w:pPr>
        <w:shd w:val="clear" w:color="auto" w:fill="FFFFFF"/>
        <w:spacing w:before="206" w:line="230" w:lineRule="exact"/>
        <w:jc w:val="both"/>
      </w:pPr>
      <w:r>
        <w:rPr>
          <w:spacing w:val="-2"/>
          <w:sz w:val="18"/>
          <w:szCs w:val="18"/>
          <w:lang w:val="es-ES_tradnl"/>
        </w:rPr>
        <w:t xml:space="preserve">El legitimado activo considera irrespetada la norma </w:t>
      </w:r>
      <w:r>
        <w:rPr>
          <w:spacing w:val="-1"/>
          <w:sz w:val="18"/>
          <w:szCs w:val="18"/>
          <w:lang w:val="es-ES_tradnl"/>
        </w:rPr>
        <w:t>constante en el art</w:t>
      </w:r>
      <w:r>
        <w:rPr>
          <w:rFonts w:cs="Times New Roman"/>
          <w:spacing w:val="-1"/>
          <w:sz w:val="18"/>
          <w:szCs w:val="18"/>
          <w:lang w:val="es-ES_tradnl"/>
        </w:rPr>
        <w:t>í</w:t>
      </w:r>
      <w:r>
        <w:rPr>
          <w:spacing w:val="-1"/>
          <w:sz w:val="18"/>
          <w:szCs w:val="18"/>
          <w:lang w:val="es-ES_tradnl"/>
        </w:rPr>
        <w:t xml:space="preserve">culo 160 segundo y tercero incisos </w:t>
      </w:r>
      <w:r>
        <w:rPr>
          <w:sz w:val="18"/>
          <w:szCs w:val="18"/>
          <w:lang w:val="es-ES_tradnl"/>
        </w:rPr>
        <w:t>de la Constituci</w:t>
      </w:r>
      <w:r>
        <w:rPr>
          <w:rFonts w:cs="Times New Roman"/>
          <w:sz w:val="18"/>
          <w:szCs w:val="18"/>
          <w:lang w:val="es-ES_tradnl"/>
        </w:rPr>
        <w:t>ó</w:t>
      </w:r>
      <w:r>
        <w:rPr>
          <w:sz w:val="18"/>
          <w:szCs w:val="18"/>
          <w:lang w:val="es-ES_tradnl"/>
        </w:rPr>
        <w:t>n</w:t>
      </w:r>
      <w:r>
        <w:rPr>
          <w:sz w:val="18"/>
          <w:szCs w:val="18"/>
          <w:vertAlign w:val="superscript"/>
          <w:lang w:val="es-ES_tradnl"/>
        </w:rPr>
        <w:t>8</w:t>
      </w:r>
      <w:r>
        <w:rPr>
          <w:sz w:val="18"/>
          <w:szCs w:val="18"/>
          <w:lang w:val="es-ES_tradnl"/>
        </w:rPr>
        <w:t xml:space="preserve">, mediante la cual, en lo principal, </w:t>
      </w:r>
      <w:r>
        <w:rPr>
          <w:spacing w:val="-7"/>
          <w:sz w:val="18"/>
          <w:szCs w:val="18"/>
          <w:lang w:val="es-ES_tradnl"/>
        </w:rPr>
        <w:t>se le atribuye a leyes espec</w:t>
      </w:r>
      <w:r>
        <w:rPr>
          <w:rFonts w:cs="Times New Roman"/>
          <w:spacing w:val="-7"/>
          <w:sz w:val="18"/>
          <w:szCs w:val="18"/>
          <w:lang w:val="es-ES_tradnl"/>
        </w:rPr>
        <w:t>í</w:t>
      </w:r>
      <w:r>
        <w:rPr>
          <w:spacing w:val="-7"/>
          <w:sz w:val="18"/>
          <w:szCs w:val="18"/>
          <w:lang w:val="es-ES_tradnl"/>
        </w:rPr>
        <w:t>ficas fijar los par</w:t>
      </w:r>
      <w:r>
        <w:rPr>
          <w:rFonts w:cs="Times New Roman"/>
          <w:spacing w:val="-7"/>
          <w:sz w:val="18"/>
          <w:szCs w:val="18"/>
          <w:lang w:val="es-ES_tradnl"/>
        </w:rPr>
        <w:t>á</w:t>
      </w:r>
      <w:r>
        <w:rPr>
          <w:spacing w:val="-7"/>
          <w:sz w:val="18"/>
          <w:szCs w:val="18"/>
          <w:lang w:val="es-ES_tradnl"/>
        </w:rPr>
        <w:t xml:space="preserve">metros de </w:t>
      </w:r>
      <w:r>
        <w:rPr>
          <w:spacing w:val="-6"/>
          <w:sz w:val="18"/>
          <w:szCs w:val="18"/>
          <w:lang w:val="es-ES_tradnl"/>
        </w:rPr>
        <w:t>regulaci</w:t>
      </w:r>
      <w:r>
        <w:rPr>
          <w:rFonts w:cs="Times New Roman"/>
          <w:spacing w:val="-6"/>
          <w:sz w:val="18"/>
          <w:szCs w:val="18"/>
          <w:lang w:val="es-ES_tradnl"/>
        </w:rPr>
        <w:t>ó</w:t>
      </w:r>
      <w:r>
        <w:rPr>
          <w:spacing w:val="-6"/>
          <w:sz w:val="18"/>
          <w:szCs w:val="18"/>
          <w:lang w:val="es-ES_tradnl"/>
        </w:rPr>
        <w:t>n de los derechos de los miembros de la Polic</w:t>
      </w:r>
      <w:r>
        <w:rPr>
          <w:rFonts w:cs="Times New Roman"/>
          <w:spacing w:val="-6"/>
          <w:sz w:val="18"/>
          <w:szCs w:val="18"/>
          <w:lang w:val="es-ES_tradnl"/>
        </w:rPr>
        <w:t>í</w:t>
      </w:r>
      <w:r>
        <w:rPr>
          <w:spacing w:val="-6"/>
          <w:sz w:val="18"/>
          <w:szCs w:val="18"/>
          <w:lang w:val="es-ES_tradnl"/>
        </w:rPr>
        <w:t xml:space="preserve">a </w:t>
      </w:r>
      <w:r>
        <w:rPr>
          <w:spacing w:val="-8"/>
          <w:sz w:val="18"/>
          <w:szCs w:val="18"/>
          <w:lang w:val="es-ES_tradnl"/>
        </w:rPr>
        <w:t xml:space="preserve">Nacional y Fuerzas Armadas, correspondiendo, entonces, </w:t>
      </w:r>
      <w:r>
        <w:rPr>
          <w:sz w:val="18"/>
          <w:szCs w:val="18"/>
          <w:lang w:val="es-ES_tradnl"/>
        </w:rPr>
        <w:t>remitirnos a ellas.</w:t>
      </w:r>
    </w:p>
    <w:p w14:paraId="4F67B955" w14:textId="77777777" w:rsidR="00591D54" w:rsidRDefault="00591D54">
      <w:pPr>
        <w:shd w:val="clear" w:color="auto" w:fill="FFFFFF"/>
        <w:spacing w:before="686" w:line="178" w:lineRule="exact"/>
        <w:ind w:left="144" w:hanging="144"/>
        <w:jc w:val="both"/>
      </w:pPr>
      <w:r>
        <w:rPr>
          <w:sz w:val="16"/>
          <w:szCs w:val="16"/>
          <w:vertAlign w:val="superscript"/>
          <w:lang w:val="es-ES_tradnl"/>
        </w:rPr>
        <w:t>8</w:t>
      </w:r>
      <w:r>
        <w:rPr>
          <w:sz w:val="16"/>
          <w:szCs w:val="16"/>
          <w:lang w:val="es-ES_tradnl"/>
        </w:rPr>
        <w:t xml:space="preserve"> </w:t>
      </w:r>
      <w:r>
        <w:rPr>
          <w:spacing w:val="-8"/>
          <w:sz w:val="16"/>
          <w:szCs w:val="16"/>
          <w:lang w:val="es-ES_tradnl"/>
        </w:rPr>
        <w:t>Constituci</w:t>
      </w:r>
      <w:r>
        <w:rPr>
          <w:rFonts w:cs="Times New Roman"/>
          <w:spacing w:val="-8"/>
          <w:sz w:val="16"/>
          <w:szCs w:val="16"/>
          <w:lang w:val="es-ES_tradnl"/>
        </w:rPr>
        <w:t>ó</w:t>
      </w:r>
      <w:r>
        <w:rPr>
          <w:spacing w:val="-8"/>
          <w:sz w:val="16"/>
          <w:szCs w:val="16"/>
          <w:lang w:val="es-ES_tradnl"/>
        </w:rPr>
        <w:t>n de la Rep</w:t>
      </w:r>
      <w:r>
        <w:rPr>
          <w:rFonts w:cs="Times New Roman"/>
          <w:spacing w:val="-8"/>
          <w:sz w:val="16"/>
          <w:szCs w:val="16"/>
          <w:lang w:val="es-ES_tradnl"/>
        </w:rPr>
        <w:t>ú</w:t>
      </w:r>
      <w:r>
        <w:rPr>
          <w:spacing w:val="-8"/>
          <w:sz w:val="16"/>
          <w:szCs w:val="16"/>
          <w:lang w:val="es-ES_tradnl"/>
        </w:rPr>
        <w:t>blica; art</w:t>
      </w:r>
      <w:r>
        <w:rPr>
          <w:rFonts w:cs="Times New Roman"/>
          <w:spacing w:val="-8"/>
          <w:sz w:val="16"/>
          <w:szCs w:val="16"/>
          <w:lang w:val="es-ES_tradnl"/>
        </w:rPr>
        <w:t>í</w:t>
      </w:r>
      <w:r>
        <w:rPr>
          <w:spacing w:val="-8"/>
          <w:sz w:val="16"/>
          <w:szCs w:val="16"/>
          <w:lang w:val="es-ES_tradnl"/>
        </w:rPr>
        <w:t xml:space="preserve">culo 160: </w:t>
      </w:r>
      <w:r>
        <w:rPr>
          <w:rFonts w:cs="Times New Roman"/>
          <w:spacing w:val="-8"/>
          <w:sz w:val="16"/>
          <w:szCs w:val="16"/>
          <w:lang w:val="es-ES_tradnl"/>
        </w:rPr>
        <w:t>“</w:t>
      </w:r>
      <w:r>
        <w:rPr>
          <w:spacing w:val="-8"/>
          <w:sz w:val="16"/>
          <w:szCs w:val="16"/>
          <w:lang w:val="es-ES_tradnl"/>
        </w:rPr>
        <w:t>(</w:t>
      </w:r>
      <w:r>
        <w:rPr>
          <w:rFonts w:cs="Times New Roman"/>
          <w:spacing w:val="-8"/>
          <w:sz w:val="16"/>
          <w:szCs w:val="16"/>
          <w:lang w:val="es-ES_tradnl"/>
        </w:rPr>
        <w:t>…</w:t>
      </w:r>
      <w:r>
        <w:rPr>
          <w:spacing w:val="-8"/>
          <w:sz w:val="16"/>
          <w:szCs w:val="16"/>
          <w:lang w:val="es-ES_tradnl"/>
        </w:rPr>
        <w:t xml:space="preserve">) Las personas </w:t>
      </w:r>
      <w:r>
        <w:rPr>
          <w:spacing w:val="-10"/>
          <w:sz w:val="16"/>
          <w:szCs w:val="16"/>
          <w:lang w:val="es-ES_tradnl"/>
        </w:rPr>
        <w:t>aspirantes a la carrera militar y policial no ser</w:t>
      </w:r>
      <w:r>
        <w:rPr>
          <w:rFonts w:cs="Times New Roman"/>
          <w:spacing w:val="-10"/>
          <w:sz w:val="16"/>
          <w:szCs w:val="16"/>
          <w:lang w:val="es-ES_tradnl"/>
        </w:rPr>
        <w:t>á</w:t>
      </w:r>
      <w:r>
        <w:rPr>
          <w:spacing w:val="-10"/>
          <w:sz w:val="16"/>
          <w:szCs w:val="16"/>
          <w:lang w:val="es-ES_tradnl"/>
        </w:rPr>
        <w:t xml:space="preserve">n discriminadas para </w:t>
      </w:r>
      <w:r>
        <w:rPr>
          <w:spacing w:val="-13"/>
          <w:sz w:val="16"/>
          <w:szCs w:val="16"/>
          <w:lang w:val="es-ES_tradnl"/>
        </w:rPr>
        <w:t>su ingreso. La ley establecer</w:t>
      </w:r>
      <w:r>
        <w:rPr>
          <w:rFonts w:cs="Times New Roman"/>
          <w:spacing w:val="-13"/>
          <w:sz w:val="16"/>
          <w:szCs w:val="16"/>
          <w:lang w:val="es-ES_tradnl"/>
        </w:rPr>
        <w:t>á</w:t>
      </w:r>
      <w:r>
        <w:rPr>
          <w:spacing w:val="-13"/>
          <w:sz w:val="16"/>
          <w:szCs w:val="16"/>
          <w:lang w:val="es-ES_tradnl"/>
        </w:rPr>
        <w:t xml:space="preserve"> los requisitos espec</w:t>
      </w:r>
      <w:r>
        <w:rPr>
          <w:rFonts w:cs="Times New Roman"/>
          <w:spacing w:val="-13"/>
          <w:sz w:val="16"/>
          <w:szCs w:val="16"/>
          <w:lang w:val="es-ES_tradnl"/>
        </w:rPr>
        <w:t>í</w:t>
      </w:r>
      <w:r>
        <w:rPr>
          <w:spacing w:val="-13"/>
          <w:sz w:val="16"/>
          <w:szCs w:val="16"/>
          <w:lang w:val="es-ES_tradnl"/>
        </w:rPr>
        <w:t xml:space="preserve">ficos para los casos </w:t>
      </w:r>
      <w:r>
        <w:rPr>
          <w:spacing w:val="-12"/>
          <w:sz w:val="16"/>
          <w:szCs w:val="16"/>
          <w:lang w:val="es-ES_tradnl"/>
        </w:rPr>
        <w:t xml:space="preserve">en los que se requiera de habilidades, conocimientos o capacidades </w:t>
      </w:r>
      <w:r>
        <w:rPr>
          <w:spacing w:val="-13"/>
          <w:sz w:val="16"/>
          <w:szCs w:val="16"/>
          <w:lang w:val="es-ES_tradnl"/>
        </w:rPr>
        <w:t>especiales. (</w:t>
      </w:r>
      <w:r>
        <w:rPr>
          <w:rFonts w:cs="Times New Roman"/>
          <w:spacing w:val="-13"/>
          <w:sz w:val="16"/>
          <w:szCs w:val="16"/>
          <w:lang w:val="es-ES_tradnl"/>
        </w:rPr>
        <w:t>…</w:t>
      </w:r>
      <w:r>
        <w:rPr>
          <w:spacing w:val="-13"/>
          <w:sz w:val="16"/>
          <w:szCs w:val="16"/>
          <w:lang w:val="es-ES_tradnl"/>
        </w:rPr>
        <w:t>) Los miembros de las Fuerzas Armadas y de la Polic</w:t>
      </w:r>
      <w:r>
        <w:rPr>
          <w:rFonts w:cs="Times New Roman"/>
          <w:spacing w:val="-13"/>
          <w:sz w:val="16"/>
          <w:szCs w:val="16"/>
          <w:lang w:val="es-ES_tradnl"/>
        </w:rPr>
        <w:t>í</w:t>
      </w:r>
      <w:r>
        <w:rPr>
          <w:spacing w:val="-13"/>
          <w:sz w:val="16"/>
          <w:szCs w:val="16"/>
          <w:lang w:val="es-ES_tradnl"/>
        </w:rPr>
        <w:t xml:space="preserve">a </w:t>
      </w:r>
      <w:r>
        <w:rPr>
          <w:spacing w:val="-11"/>
          <w:sz w:val="16"/>
          <w:szCs w:val="16"/>
          <w:lang w:val="es-ES_tradnl"/>
        </w:rPr>
        <w:t>Nacional estar</w:t>
      </w:r>
      <w:r>
        <w:rPr>
          <w:rFonts w:cs="Times New Roman"/>
          <w:spacing w:val="-11"/>
          <w:sz w:val="16"/>
          <w:szCs w:val="16"/>
          <w:lang w:val="es-ES_tradnl"/>
        </w:rPr>
        <w:t>á</w:t>
      </w:r>
      <w:r>
        <w:rPr>
          <w:spacing w:val="-11"/>
          <w:sz w:val="16"/>
          <w:szCs w:val="16"/>
          <w:lang w:val="es-ES_tradnl"/>
        </w:rPr>
        <w:t>n sujetos a las leyes espec</w:t>
      </w:r>
      <w:r>
        <w:rPr>
          <w:rFonts w:cs="Times New Roman"/>
          <w:spacing w:val="-11"/>
          <w:sz w:val="16"/>
          <w:szCs w:val="16"/>
          <w:lang w:val="es-ES_tradnl"/>
        </w:rPr>
        <w:t>í</w:t>
      </w:r>
      <w:r>
        <w:rPr>
          <w:spacing w:val="-11"/>
          <w:sz w:val="16"/>
          <w:szCs w:val="16"/>
          <w:lang w:val="es-ES_tradnl"/>
        </w:rPr>
        <w:t xml:space="preserve">ficas que regulen sus </w:t>
      </w:r>
      <w:r>
        <w:rPr>
          <w:spacing w:val="-14"/>
          <w:sz w:val="16"/>
          <w:szCs w:val="16"/>
          <w:lang w:val="es-ES_tradnl"/>
        </w:rPr>
        <w:t xml:space="preserve">derechos y obligaciones, y su sistema de ascensos y promociones con </w:t>
      </w:r>
      <w:r>
        <w:rPr>
          <w:spacing w:val="-12"/>
          <w:sz w:val="16"/>
          <w:szCs w:val="16"/>
          <w:lang w:val="es-ES_tradnl"/>
        </w:rPr>
        <w:t>base en m</w:t>
      </w:r>
      <w:r>
        <w:rPr>
          <w:rFonts w:cs="Times New Roman"/>
          <w:spacing w:val="-12"/>
          <w:sz w:val="16"/>
          <w:szCs w:val="16"/>
          <w:lang w:val="es-ES_tradnl"/>
        </w:rPr>
        <w:t>é</w:t>
      </w:r>
      <w:r>
        <w:rPr>
          <w:spacing w:val="-12"/>
          <w:sz w:val="16"/>
          <w:szCs w:val="16"/>
          <w:lang w:val="es-ES_tradnl"/>
        </w:rPr>
        <w:t>ritos y con criterios de equidad de g</w:t>
      </w:r>
      <w:r>
        <w:rPr>
          <w:rFonts w:cs="Times New Roman"/>
          <w:spacing w:val="-12"/>
          <w:sz w:val="16"/>
          <w:szCs w:val="16"/>
          <w:lang w:val="es-ES_tradnl"/>
        </w:rPr>
        <w:t>é</w:t>
      </w:r>
      <w:r>
        <w:rPr>
          <w:spacing w:val="-12"/>
          <w:sz w:val="16"/>
          <w:szCs w:val="16"/>
          <w:lang w:val="es-ES_tradnl"/>
        </w:rPr>
        <w:t>nero. Se garantizar</w:t>
      </w:r>
      <w:r>
        <w:rPr>
          <w:rFonts w:cs="Times New Roman"/>
          <w:spacing w:val="-12"/>
          <w:sz w:val="16"/>
          <w:szCs w:val="16"/>
          <w:lang w:val="es-ES_tradnl"/>
        </w:rPr>
        <w:t xml:space="preserve">á </w:t>
      </w:r>
      <w:r>
        <w:rPr>
          <w:spacing w:val="-12"/>
          <w:sz w:val="16"/>
          <w:szCs w:val="16"/>
          <w:lang w:val="es-ES_tradnl"/>
        </w:rPr>
        <w:t>su estabilidad y profesionalizaci</w:t>
      </w:r>
      <w:r>
        <w:rPr>
          <w:rFonts w:cs="Times New Roman"/>
          <w:spacing w:val="-12"/>
          <w:sz w:val="16"/>
          <w:szCs w:val="16"/>
          <w:lang w:val="es-ES_tradnl"/>
        </w:rPr>
        <w:t>ó</w:t>
      </w:r>
      <w:r>
        <w:rPr>
          <w:spacing w:val="-12"/>
          <w:sz w:val="16"/>
          <w:szCs w:val="16"/>
          <w:lang w:val="es-ES_tradnl"/>
        </w:rPr>
        <w:t>n (</w:t>
      </w:r>
      <w:r>
        <w:rPr>
          <w:rFonts w:cs="Times New Roman"/>
          <w:spacing w:val="-12"/>
          <w:sz w:val="16"/>
          <w:szCs w:val="16"/>
          <w:lang w:val="es-ES_tradnl"/>
        </w:rPr>
        <w:t>…</w:t>
      </w:r>
      <w:r>
        <w:rPr>
          <w:spacing w:val="-12"/>
          <w:sz w:val="16"/>
          <w:szCs w:val="16"/>
          <w:lang w:val="es-ES_tradnl"/>
        </w:rPr>
        <w:t xml:space="preserve">) Los miembros de las Fuerzas </w:t>
      </w:r>
      <w:r>
        <w:rPr>
          <w:spacing w:val="-10"/>
          <w:sz w:val="16"/>
          <w:szCs w:val="16"/>
          <w:lang w:val="es-ES_tradnl"/>
        </w:rPr>
        <w:t>Armadas y de la Polic</w:t>
      </w:r>
      <w:r>
        <w:rPr>
          <w:rFonts w:cs="Times New Roman"/>
          <w:spacing w:val="-10"/>
          <w:sz w:val="16"/>
          <w:szCs w:val="16"/>
          <w:lang w:val="es-ES_tradnl"/>
        </w:rPr>
        <w:t>í</w:t>
      </w:r>
      <w:r>
        <w:rPr>
          <w:spacing w:val="-10"/>
          <w:sz w:val="16"/>
          <w:szCs w:val="16"/>
          <w:lang w:val="es-ES_tradnl"/>
        </w:rPr>
        <w:t>a Nacional s</w:t>
      </w:r>
      <w:r>
        <w:rPr>
          <w:rFonts w:cs="Times New Roman"/>
          <w:spacing w:val="-10"/>
          <w:sz w:val="16"/>
          <w:szCs w:val="16"/>
          <w:lang w:val="es-ES_tradnl"/>
        </w:rPr>
        <w:t>ó</w:t>
      </w:r>
      <w:r>
        <w:rPr>
          <w:spacing w:val="-10"/>
          <w:sz w:val="16"/>
          <w:szCs w:val="16"/>
          <w:lang w:val="es-ES_tradnl"/>
        </w:rPr>
        <w:t>lo podr</w:t>
      </w:r>
      <w:r>
        <w:rPr>
          <w:rFonts w:cs="Times New Roman"/>
          <w:spacing w:val="-10"/>
          <w:sz w:val="16"/>
          <w:szCs w:val="16"/>
          <w:lang w:val="es-ES_tradnl"/>
        </w:rPr>
        <w:t>á</w:t>
      </w:r>
      <w:r>
        <w:rPr>
          <w:spacing w:val="-10"/>
          <w:sz w:val="16"/>
          <w:szCs w:val="16"/>
          <w:lang w:val="es-ES_tradnl"/>
        </w:rPr>
        <w:t xml:space="preserve">n ser privados de sus </w:t>
      </w:r>
      <w:r>
        <w:rPr>
          <w:spacing w:val="-14"/>
          <w:sz w:val="16"/>
          <w:szCs w:val="16"/>
          <w:lang w:val="es-ES_tradnl"/>
        </w:rPr>
        <w:t xml:space="preserve">grados, pensiones, condecoraciones y reconocimientos por las causas </w:t>
      </w:r>
      <w:r>
        <w:rPr>
          <w:spacing w:val="-12"/>
          <w:sz w:val="16"/>
          <w:szCs w:val="16"/>
          <w:lang w:val="es-ES_tradnl"/>
        </w:rPr>
        <w:t>establecidas en dichas leyes y no podr</w:t>
      </w:r>
      <w:r>
        <w:rPr>
          <w:rFonts w:cs="Times New Roman"/>
          <w:spacing w:val="-12"/>
          <w:sz w:val="16"/>
          <w:szCs w:val="16"/>
          <w:lang w:val="es-ES_tradnl"/>
        </w:rPr>
        <w:t>á</w:t>
      </w:r>
      <w:r>
        <w:rPr>
          <w:spacing w:val="-12"/>
          <w:sz w:val="16"/>
          <w:szCs w:val="16"/>
          <w:lang w:val="es-ES_tradnl"/>
        </w:rPr>
        <w:t xml:space="preserve">n hacer uso de prerrogativas </w:t>
      </w:r>
      <w:r>
        <w:rPr>
          <w:spacing w:val="-13"/>
          <w:sz w:val="16"/>
          <w:szCs w:val="16"/>
          <w:lang w:val="es-ES_tradnl"/>
        </w:rPr>
        <w:t>derivadas de sus grados sobre los derechos de las personas.</w:t>
      </w:r>
    </w:p>
    <w:p w14:paraId="4F67B956" w14:textId="77777777" w:rsidR="00591D54" w:rsidRDefault="00591D54">
      <w:pPr>
        <w:shd w:val="clear" w:color="auto" w:fill="FFFFFF"/>
        <w:spacing w:before="686" w:line="178" w:lineRule="exact"/>
        <w:ind w:left="144" w:hanging="144"/>
        <w:jc w:val="both"/>
        <w:sectPr w:rsidR="00591D54">
          <w:type w:val="continuous"/>
          <w:pgSz w:w="11909" w:h="16834"/>
          <w:pgMar w:top="1356" w:right="1309" w:bottom="360" w:left="1308" w:header="720" w:footer="720" w:gutter="0"/>
          <w:cols w:num="2" w:space="720" w:equalWidth="0">
            <w:col w:w="4305" w:space="682"/>
            <w:col w:w="4305"/>
          </w:cols>
          <w:noEndnote/>
        </w:sectPr>
      </w:pPr>
    </w:p>
    <w:p w14:paraId="4F67B957" w14:textId="77777777" w:rsidR="00591D54" w:rsidRDefault="00591D54">
      <w:pPr>
        <w:shd w:val="clear" w:color="auto" w:fill="FFFFFF"/>
        <w:tabs>
          <w:tab w:val="left" w:pos="4814"/>
        </w:tabs>
        <w:spacing w:after="226"/>
        <w:ind w:left="5"/>
      </w:pPr>
      <w:r>
        <w:rPr>
          <w:b/>
          <w:bCs/>
          <w:sz w:val="18"/>
          <w:szCs w:val="18"/>
          <w:lang w:val="es-ES_tradnl"/>
        </w:rPr>
        <w:t xml:space="preserve">266 -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958" w14:textId="77777777" w:rsidR="00591D54" w:rsidRDefault="00591D54">
      <w:pPr>
        <w:shd w:val="clear" w:color="auto" w:fill="FFFFFF"/>
        <w:tabs>
          <w:tab w:val="left" w:pos="4814"/>
        </w:tabs>
        <w:spacing w:after="226"/>
        <w:ind w:left="5"/>
        <w:sectPr w:rsidR="00591D54">
          <w:pgSz w:w="11909" w:h="16834"/>
          <w:pgMar w:top="1356" w:right="1309" w:bottom="360" w:left="1308" w:header="720" w:footer="720" w:gutter="0"/>
          <w:cols w:space="60"/>
          <w:noEndnote/>
        </w:sectPr>
      </w:pPr>
    </w:p>
    <w:p w14:paraId="4F67B959" w14:textId="77777777" w:rsidR="00591D54" w:rsidRDefault="00591D54">
      <w:pPr>
        <w:shd w:val="clear" w:color="auto" w:fill="FFFFFF"/>
        <w:spacing w:before="5" w:line="226" w:lineRule="exact"/>
        <w:ind w:right="5"/>
        <w:jc w:val="both"/>
      </w:pPr>
      <w:r>
        <w:rPr>
          <w:spacing w:val="-7"/>
          <w:sz w:val="18"/>
          <w:szCs w:val="18"/>
          <w:lang w:val="es-ES_tradnl"/>
        </w:rPr>
        <w:t>Tanto la Ley Org</w:t>
      </w:r>
      <w:r>
        <w:rPr>
          <w:rFonts w:cs="Times New Roman"/>
          <w:spacing w:val="-7"/>
          <w:sz w:val="18"/>
          <w:szCs w:val="18"/>
          <w:lang w:val="es-ES_tradnl"/>
        </w:rPr>
        <w:t>á</w:t>
      </w:r>
      <w:r>
        <w:rPr>
          <w:spacing w:val="-7"/>
          <w:sz w:val="18"/>
          <w:szCs w:val="18"/>
          <w:lang w:val="es-ES_tradnl"/>
        </w:rPr>
        <w:t>nica de la Polic</w:t>
      </w:r>
      <w:r>
        <w:rPr>
          <w:rFonts w:cs="Times New Roman"/>
          <w:spacing w:val="-7"/>
          <w:sz w:val="18"/>
          <w:szCs w:val="18"/>
          <w:lang w:val="es-ES_tradnl"/>
        </w:rPr>
        <w:t>í</w:t>
      </w:r>
      <w:r>
        <w:rPr>
          <w:spacing w:val="-7"/>
          <w:sz w:val="18"/>
          <w:szCs w:val="18"/>
          <w:lang w:val="es-ES_tradnl"/>
        </w:rPr>
        <w:t>a Nacional</w:t>
      </w:r>
      <w:r>
        <w:rPr>
          <w:spacing w:val="-7"/>
          <w:sz w:val="18"/>
          <w:szCs w:val="18"/>
          <w:vertAlign w:val="superscript"/>
          <w:lang w:val="es-ES_tradnl"/>
        </w:rPr>
        <w:t>9</w:t>
      </w:r>
      <w:r>
        <w:rPr>
          <w:spacing w:val="-7"/>
          <w:sz w:val="18"/>
          <w:szCs w:val="18"/>
          <w:lang w:val="es-ES_tradnl"/>
        </w:rPr>
        <w:t>, as</w:t>
      </w:r>
      <w:r>
        <w:rPr>
          <w:rFonts w:cs="Times New Roman"/>
          <w:spacing w:val="-7"/>
          <w:sz w:val="18"/>
          <w:szCs w:val="18"/>
          <w:lang w:val="es-ES_tradnl"/>
        </w:rPr>
        <w:t>í</w:t>
      </w:r>
      <w:r>
        <w:rPr>
          <w:spacing w:val="-7"/>
          <w:sz w:val="18"/>
          <w:szCs w:val="18"/>
          <w:lang w:val="es-ES_tradnl"/>
        </w:rPr>
        <w:t xml:space="preserve"> como la </w:t>
      </w:r>
      <w:r>
        <w:rPr>
          <w:spacing w:val="-13"/>
          <w:sz w:val="18"/>
          <w:szCs w:val="18"/>
          <w:lang w:val="es-ES_tradnl"/>
        </w:rPr>
        <w:t>Ley de Personal de la Polic</w:t>
      </w:r>
      <w:r>
        <w:rPr>
          <w:rFonts w:cs="Times New Roman"/>
          <w:spacing w:val="-13"/>
          <w:sz w:val="18"/>
          <w:szCs w:val="18"/>
          <w:lang w:val="es-ES_tradnl"/>
        </w:rPr>
        <w:t>í</w:t>
      </w:r>
      <w:r>
        <w:rPr>
          <w:spacing w:val="-13"/>
          <w:sz w:val="18"/>
          <w:szCs w:val="18"/>
          <w:lang w:val="es-ES_tradnl"/>
        </w:rPr>
        <w:t>a Nacional</w:t>
      </w:r>
      <w:r>
        <w:rPr>
          <w:spacing w:val="-13"/>
          <w:sz w:val="18"/>
          <w:szCs w:val="18"/>
          <w:vertAlign w:val="superscript"/>
          <w:lang w:val="es-ES_tradnl"/>
        </w:rPr>
        <w:t>10</w:t>
      </w:r>
      <w:r>
        <w:rPr>
          <w:spacing w:val="-13"/>
          <w:sz w:val="18"/>
          <w:szCs w:val="18"/>
          <w:lang w:val="es-ES_tradnl"/>
        </w:rPr>
        <w:t xml:space="preserve">, establecen una serie </w:t>
      </w:r>
      <w:r>
        <w:rPr>
          <w:spacing w:val="-9"/>
          <w:sz w:val="18"/>
          <w:szCs w:val="18"/>
          <w:lang w:val="es-ES_tradnl"/>
        </w:rPr>
        <w:t xml:space="preserve">de requisitos legales que viabilizan los ascensos y las bajas </w:t>
      </w:r>
      <w:r>
        <w:rPr>
          <w:spacing w:val="-7"/>
          <w:sz w:val="18"/>
          <w:szCs w:val="18"/>
          <w:lang w:val="es-ES_tradnl"/>
        </w:rPr>
        <w:t>de los miembros policiales sin embargo, esta autonom</w:t>
      </w:r>
      <w:r>
        <w:rPr>
          <w:rFonts w:cs="Times New Roman"/>
          <w:spacing w:val="-7"/>
          <w:sz w:val="18"/>
          <w:szCs w:val="18"/>
          <w:lang w:val="es-ES_tradnl"/>
        </w:rPr>
        <w:t>í</w:t>
      </w:r>
      <w:r>
        <w:rPr>
          <w:spacing w:val="-7"/>
          <w:sz w:val="18"/>
          <w:szCs w:val="18"/>
          <w:lang w:val="es-ES_tradnl"/>
        </w:rPr>
        <w:t xml:space="preserve">a </w:t>
      </w:r>
      <w:r>
        <w:rPr>
          <w:spacing w:val="-3"/>
          <w:sz w:val="18"/>
          <w:szCs w:val="18"/>
          <w:lang w:val="es-ES_tradnl"/>
        </w:rPr>
        <w:t>administrativa debe ser entendida como una facultad sujeta a la Constituci</w:t>
      </w:r>
      <w:r>
        <w:rPr>
          <w:rFonts w:cs="Times New Roman"/>
          <w:spacing w:val="-3"/>
          <w:sz w:val="18"/>
          <w:szCs w:val="18"/>
          <w:lang w:val="es-ES_tradnl"/>
        </w:rPr>
        <w:t>ó</w:t>
      </w:r>
      <w:r>
        <w:rPr>
          <w:spacing w:val="-3"/>
          <w:sz w:val="18"/>
          <w:szCs w:val="18"/>
          <w:lang w:val="es-ES_tradnl"/>
        </w:rPr>
        <w:t xml:space="preserve">n; es decir, no puede el accionar </w:t>
      </w:r>
      <w:r>
        <w:rPr>
          <w:spacing w:val="-6"/>
          <w:sz w:val="18"/>
          <w:szCs w:val="18"/>
          <w:lang w:val="es-ES_tradnl"/>
        </w:rPr>
        <w:t>de la Polic</w:t>
      </w:r>
      <w:r>
        <w:rPr>
          <w:rFonts w:cs="Times New Roman"/>
          <w:spacing w:val="-6"/>
          <w:sz w:val="18"/>
          <w:szCs w:val="18"/>
          <w:lang w:val="es-ES_tradnl"/>
        </w:rPr>
        <w:t>í</w:t>
      </w:r>
      <w:r>
        <w:rPr>
          <w:spacing w:val="-6"/>
          <w:sz w:val="18"/>
          <w:szCs w:val="18"/>
          <w:lang w:val="es-ES_tradnl"/>
        </w:rPr>
        <w:t xml:space="preserve">a Nacional vulnerar derechos constitucionales </w:t>
      </w:r>
      <w:r>
        <w:rPr>
          <w:spacing w:val="-10"/>
          <w:sz w:val="18"/>
          <w:szCs w:val="18"/>
          <w:lang w:val="es-ES_tradnl"/>
        </w:rPr>
        <w:t>de sus miembros y adem</w:t>
      </w:r>
      <w:r>
        <w:rPr>
          <w:rFonts w:cs="Times New Roman"/>
          <w:spacing w:val="-10"/>
          <w:sz w:val="18"/>
          <w:szCs w:val="18"/>
          <w:lang w:val="es-ES_tradnl"/>
        </w:rPr>
        <w:t>á</w:t>
      </w:r>
      <w:r>
        <w:rPr>
          <w:spacing w:val="-10"/>
          <w:sz w:val="18"/>
          <w:szCs w:val="18"/>
          <w:lang w:val="es-ES_tradnl"/>
        </w:rPr>
        <w:t>s ser inmunes a las garant</w:t>
      </w:r>
      <w:r>
        <w:rPr>
          <w:rFonts w:cs="Times New Roman"/>
          <w:spacing w:val="-10"/>
          <w:sz w:val="18"/>
          <w:szCs w:val="18"/>
          <w:lang w:val="es-ES_tradnl"/>
        </w:rPr>
        <w:t>í</w:t>
      </w:r>
      <w:r>
        <w:rPr>
          <w:spacing w:val="-10"/>
          <w:sz w:val="18"/>
          <w:szCs w:val="18"/>
          <w:lang w:val="es-ES_tradnl"/>
        </w:rPr>
        <w:t xml:space="preserve">as </w:t>
      </w:r>
      <w:r>
        <w:rPr>
          <w:spacing w:val="-7"/>
          <w:sz w:val="18"/>
          <w:szCs w:val="18"/>
          <w:lang w:val="es-ES_tradnl"/>
        </w:rPr>
        <w:t xml:space="preserve">jurisdiccionales, la misma norma constitucional enunciada, </w:t>
      </w:r>
      <w:r>
        <w:rPr>
          <w:sz w:val="18"/>
          <w:szCs w:val="18"/>
          <w:lang w:val="es-ES_tradnl"/>
        </w:rPr>
        <w:t>se</w:t>
      </w:r>
      <w:r>
        <w:rPr>
          <w:rFonts w:cs="Times New Roman"/>
          <w:sz w:val="18"/>
          <w:szCs w:val="18"/>
          <w:lang w:val="es-ES_tradnl"/>
        </w:rPr>
        <w:t>ñ</w:t>
      </w:r>
      <w:r>
        <w:rPr>
          <w:sz w:val="18"/>
          <w:szCs w:val="18"/>
          <w:lang w:val="es-ES_tradnl"/>
        </w:rPr>
        <w:t>ala que se garantizar</w:t>
      </w:r>
      <w:r>
        <w:rPr>
          <w:rFonts w:cs="Times New Roman"/>
          <w:sz w:val="18"/>
          <w:szCs w:val="18"/>
          <w:lang w:val="es-ES_tradnl"/>
        </w:rPr>
        <w:t>á</w:t>
      </w:r>
      <w:r>
        <w:rPr>
          <w:sz w:val="18"/>
          <w:szCs w:val="18"/>
          <w:lang w:val="es-ES_tradnl"/>
        </w:rPr>
        <w:t xml:space="preserve"> su estabilidad.</w:t>
      </w:r>
    </w:p>
    <w:p w14:paraId="4F67B95A" w14:textId="77777777" w:rsidR="00591D54" w:rsidRDefault="00591D54">
      <w:pPr>
        <w:shd w:val="clear" w:color="auto" w:fill="FFFFFF"/>
        <w:spacing w:before="206" w:line="226" w:lineRule="exact"/>
        <w:ind w:right="5"/>
        <w:jc w:val="both"/>
      </w:pPr>
      <w:r>
        <w:rPr>
          <w:spacing w:val="-6"/>
          <w:sz w:val="18"/>
          <w:szCs w:val="18"/>
          <w:lang w:val="es-ES_tradnl"/>
        </w:rPr>
        <w:t>Seg</w:t>
      </w:r>
      <w:r>
        <w:rPr>
          <w:rFonts w:cs="Times New Roman"/>
          <w:spacing w:val="-6"/>
          <w:sz w:val="18"/>
          <w:szCs w:val="18"/>
          <w:lang w:val="es-ES_tradnl"/>
        </w:rPr>
        <w:t>ú</w:t>
      </w:r>
      <w:r>
        <w:rPr>
          <w:spacing w:val="-6"/>
          <w:sz w:val="18"/>
          <w:szCs w:val="18"/>
          <w:lang w:val="es-ES_tradnl"/>
        </w:rPr>
        <w:t>n el an</w:t>
      </w:r>
      <w:r>
        <w:rPr>
          <w:rFonts w:cs="Times New Roman"/>
          <w:spacing w:val="-6"/>
          <w:sz w:val="18"/>
          <w:szCs w:val="18"/>
          <w:lang w:val="es-ES_tradnl"/>
        </w:rPr>
        <w:t>á</w:t>
      </w:r>
      <w:r>
        <w:rPr>
          <w:spacing w:val="-6"/>
          <w:sz w:val="18"/>
          <w:szCs w:val="18"/>
          <w:lang w:val="es-ES_tradnl"/>
        </w:rPr>
        <w:t>lisis realizado por la Corte Constitucional, el tema que est</w:t>
      </w:r>
      <w:r>
        <w:rPr>
          <w:rFonts w:cs="Times New Roman"/>
          <w:spacing w:val="-6"/>
          <w:sz w:val="18"/>
          <w:szCs w:val="18"/>
          <w:lang w:val="es-ES_tradnl"/>
        </w:rPr>
        <w:t>á</w:t>
      </w:r>
      <w:r>
        <w:rPr>
          <w:spacing w:val="-6"/>
          <w:sz w:val="18"/>
          <w:szCs w:val="18"/>
          <w:lang w:val="es-ES_tradnl"/>
        </w:rPr>
        <w:t xml:space="preserve"> juzgando el Tribunal de Apelaci</w:t>
      </w:r>
      <w:r>
        <w:rPr>
          <w:rFonts w:cs="Times New Roman"/>
          <w:spacing w:val="-6"/>
          <w:sz w:val="18"/>
          <w:szCs w:val="18"/>
          <w:lang w:val="es-ES_tradnl"/>
        </w:rPr>
        <w:t>ó</w:t>
      </w:r>
      <w:r>
        <w:rPr>
          <w:spacing w:val="-6"/>
          <w:sz w:val="18"/>
          <w:szCs w:val="18"/>
          <w:lang w:val="es-ES_tradnl"/>
        </w:rPr>
        <w:t xml:space="preserve">n no es si </w:t>
      </w:r>
      <w:r>
        <w:rPr>
          <w:spacing w:val="-4"/>
          <w:sz w:val="18"/>
          <w:szCs w:val="18"/>
          <w:lang w:val="es-ES_tradnl"/>
        </w:rPr>
        <w:t>la se</w:t>
      </w:r>
      <w:r>
        <w:rPr>
          <w:rFonts w:cs="Times New Roman"/>
          <w:spacing w:val="-4"/>
          <w:sz w:val="18"/>
          <w:szCs w:val="18"/>
          <w:lang w:val="es-ES_tradnl"/>
        </w:rPr>
        <w:t>ñ</w:t>
      </w:r>
      <w:r>
        <w:rPr>
          <w:spacing w:val="-4"/>
          <w:sz w:val="18"/>
          <w:szCs w:val="18"/>
          <w:lang w:val="es-ES_tradnl"/>
        </w:rPr>
        <w:t>ora Mar</w:t>
      </w:r>
      <w:r>
        <w:rPr>
          <w:rFonts w:cs="Times New Roman"/>
          <w:spacing w:val="-4"/>
          <w:sz w:val="18"/>
          <w:szCs w:val="18"/>
          <w:lang w:val="es-ES_tradnl"/>
        </w:rPr>
        <w:t>í</w:t>
      </w:r>
      <w:r>
        <w:rPr>
          <w:spacing w:val="-4"/>
          <w:sz w:val="18"/>
          <w:szCs w:val="18"/>
          <w:lang w:val="es-ES_tradnl"/>
        </w:rPr>
        <w:t>a G</w:t>
      </w:r>
      <w:r>
        <w:rPr>
          <w:rFonts w:cs="Times New Roman"/>
          <w:spacing w:val="-4"/>
          <w:sz w:val="18"/>
          <w:szCs w:val="18"/>
          <w:lang w:val="es-ES_tradnl"/>
        </w:rPr>
        <w:t>ó</w:t>
      </w:r>
      <w:r>
        <w:rPr>
          <w:spacing w:val="-4"/>
          <w:sz w:val="18"/>
          <w:szCs w:val="18"/>
          <w:lang w:val="es-ES_tradnl"/>
        </w:rPr>
        <w:t>mez cumpli</w:t>
      </w:r>
      <w:r>
        <w:rPr>
          <w:rFonts w:cs="Times New Roman"/>
          <w:spacing w:val="-4"/>
          <w:sz w:val="18"/>
          <w:szCs w:val="18"/>
          <w:lang w:val="es-ES_tradnl"/>
        </w:rPr>
        <w:t>ó</w:t>
      </w:r>
      <w:r>
        <w:rPr>
          <w:spacing w:val="-4"/>
          <w:sz w:val="18"/>
          <w:szCs w:val="18"/>
          <w:lang w:val="es-ES_tradnl"/>
        </w:rPr>
        <w:t xml:space="preserve"> o no los requisitos para </w:t>
      </w:r>
      <w:r>
        <w:rPr>
          <w:spacing w:val="-8"/>
          <w:sz w:val="18"/>
          <w:szCs w:val="18"/>
          <w:lang w:val="es-ES_tradnl"/>
        </w:rPr>
        <w:t>el ascenso, no es su atribuci</w:t>
      </w:r>
      <w:r>
        <w:rPr>
          <w:rFonts w:cs="Times New Roman"/>
          <w:spacing w:val="-8"/>
          <w:sz w:val="18"/>
          <w:szCs w:val="18"/>
          <w:lang w:val="es-ES_tradnl"/>
        </w:rPr>
        <w:t>ó</w:t>
      </w:r>
      <w:r>
        <w:rPr>
          <w:spacing w:val="-8"/>
          <w:sz w:val="18"/>
          <w:szCs w:val="18"/>
          <w:lang w:val="es-ES_tradnl"/>
        </w:rPr>
        <w:t xml:space="preserve">n; lo que observa el juzgador </w:t>
      </w:r>
      <w:r>
        <w:rPr>
          <w:spacing w:val="-3"/>
          <w:sz w:val="18"/>
          <w:szCs w:val="18"/>
          <w:lang w:val="es-ES_tradnl"/>
        </w:rPr>
        <w:t xml:space="preserve">constitucional, es que el propio Consejo de Clases y </w:t>
      </w:r>
      <w:r>
        <w:rPr>
          <w:spacing w:val="-8"/>
          <w:sz w:val="18"/>
          <w:szCs w:val="18"/>
          <w:lang w:val="es-ES_tradnl"/>
        </w:rPr>
        <w:t>Polic</w:t>
      </w:r>
      <w:r>
        <w:rPr>
          <w:rFonts w:cs="Times New Roman"/>
          <w:spacing w:val="-8"/>
          <w:sz w:val="18"/>
          <w:szCs w:val="18"/>
          <w:lang w:val="es-ES_tradnl"/>
        </w:rPr>
        <w:t>í</w:t>
      </w:r>
      <w:r>
        <w:rPr>
          <w:spacing w:val="-8"/>
          <w:sz w:val="18"/>
          <w:szCs w:val="18"/>
          <w:lang w:val="es-ES_tradnl"/>
        </w:rPr>
        <w:t>as detect</w:t>
      </w:r>
      <w:r>
        <w:rPr>
          <w:rFonts w:cs="Times New Roman"/>
          <w:spacing w:val="-8"/>
          <w:sz w:val="18"/>
          <w:szCs w:val="18"/>
          <w:lang w:val="es-ES_tradnl"/>
        </w:rPr>
        <w:t>ó</w:t>
      </w:r>
      <w:r>
        <w:rPr>
          <w:spacing w:val="-8"/>
          <w:sz w:val="18"/>
          <w:szCs w:val="18"/>
          <w:lang w:val="es-ES_tradnl"/>
        </w:rPr>
        <w:t xml:space="preserve"> que la resoluci</w:t>
      </w:r>
      <w:r>
        <w:rPr>
          <w:rFonts w:cs="Times New Roman"/>
          <w:spacing w:val="-8"/>
          <w:sz w:val="18"/>
          <w:szCs w:val="18"/>
          <w:lang w:val="es-ES_tradnl"/>
        </w:rPr>
        <w:t>ó</w:t>
      </w:r>
      <w:r>
        <w:rPr>
          <w:spacing w:val="-8"/>
          <w:sz w:val="18"/>
          <w:szCs w:val="18"/>
          <w:lang w:val="es-ES_tradnl"/>
        </w:rPr>
        <w:t>n que declaraba no id</w:t>
      </w:r>
      <w:r>
        <w:rPr>
          <w:rFonts w:cs="Times New Roman"/>
          <w:spacing w:val="-8"/>
          <w:sz w:val="18"/>
          <w:szCs w:val="18"/>
          <w:lang w:val="es-ES_tradnl"/>
        </w:rPr>
        <w:t>ó</w:t>
      </w:r>
      <w:r>
        <w:rPr>
          <w:spacing w:val="-8"/>
          <w:sz w:val="18"/>
          <w:szCs w:val="18"/>
          <w:lang w:val="es-ES_tradnl"/>
        </w:rPr>
        <w:t xml:space="preserve">nea </w:t>
      </w:r>
      <w:r>
        <w:rPr>
          <w:spacing w:val="-7"/>
          <w:sz w:val="18"/>
          <w:szCs w:val="18"/>
          <w:lang w:val="es-ES_tradnl"/>
        </w:rPr>
        <w:t>a la legitimada activa vulneraba, entre otros, su derecho a la igualdad, al no existir vacantes para el ascenso de dos suboficiales primeros, espec</w:t>
      </w:r>
      <w:r>
        <w:rPr>
          <w:rFonts w:cs="Times New Roman"/>
          <w:spacing w:val="-7"/>
          <w:sz w:val="18"/>
          <w:szCs w:val="18"/>
          <w:lang w:val="es-ES_tradnl"/>
        </w:rPr>
        <w:t>í</w:t>
      </w:r>
      <w:r>
        <w:rPr>
          <w:spacing w:val="-7"/>
          <w:sz w:val="18"/>
          <w:szCs w:val="18"/>
          <w:lang w:val="es-ES_tradnl"/>
        </w:rPr>
        <w:t xml:space="preserve">ficamente, los que cumplen </w:t>
      </w:r>
      <w:r>
        <w:rPr>
          <w:spacing w:val="-6"/>
          <w:sz w:val="18"/>
          <w:szCs w:val="18"/>
          <w:lang w:val="es-ES_tradnl"/>
        </w:rPr>
        <w:t>funciones administrativas, no as</w:t>
      </w:r>
      <w:r>
        <w:rPr>
          <w:rFonts w:cs="Times New Roman"/>
          <w:spacing w:val="-6"/>
          <w:sz w:val="18"/>
          <w:szCs w:val="18"/>
          <w:lang w:val="es-ES_tradnl"/>
        </w:rPr>
        <w:t>í</w:t>
      </w:r>
      <w:r>
        <w:rPr>
          <w:spacing w:val="-6"/>
          <w:sz w:val="18"/>
          <w:szCs w:val="18"/>
          <w:lang w:val="es-ES_tradnl"/>
        </w:rPr>
        <w:t xml:space="preserve"> para los suboficiales </w:t>
      </w:r>
      <w:r>
        <w:rPr>
          <w:spacing w:val="-9"/>
          <w:sz w:val="18"/>
          <w:szCs w:val="18"/>
          <w:lang w:val="es-ES_tradnl"/>
        </w:rPr>
        <w:t>primeros de l</w:t>
      </w:r>
      <w:r>
        <w:rPr>
          <w:rFonts w:cs="Times New Roman"/>
          <w:spacing w:val="-9"/>
          <w:sz w:val="18"/>
          <w:szCs w:val="18"/>
          <w:lang w:val="es-ES_tradnl"/>
        </w:rPr>
        <w:t>í</w:t>
      </w:r>
      <w:r>
        <w:rPr>
          <w:spacing w:val="-9"/>
          <w:sz w:val="18"/>
          <w:szCs w:val="18"/>
          <w:lang w:val="es-ES_tradnl"/>
        </w:rPr>
        <w:t>nea que gozaban de vacantes.</w:t>
      </w:r>
    </w:p>
    <w:p w14:paraId="4F67B95B" w14:textId="77777777" w:rsidR="00591D54" w:rsidRDefault="00591D54">
      <w:pPr>
        <w:shd w:val="clear" w:color="auto" w:fill="FFFFFF"/>
        <w:spacing w:before="206" w:line="226" w:lineRule="exact"/>
        <w:jc w:val="both"/>
      </w:pPr>
      <w:r>
        <w:rPr>
          <w:spacing w:val="-7"/>
          <w:sz w:val="18"/>
          <w:szCs w:val="18"/>
          <w:lang w:val="es-ES_tradnl"/>
        </w:rPr>
        <w:t>Pese a reconocer la existencia de discriminaci</w:t>
      </w:r>
      <w:r>
        <w:rPr>
          <w:rFonts w:cs="Times New Roman"/>
          <w:spacing w:val="-7"/>
          <w:sz w:val="18"/>
          <w:szCs w:val="18"/>
          <w:lang w:val="es-ES_tradnl"/>
        </w:rPr>
        <w:t>ó</w:t>
      </w:r>
      <w:r>
        <w:rPr>
          <w:spacing w:val="-7"/>
          <w:sz w:val="18"/>
          <w:szCs w:val="18"/>
          <w:lang w:val="es-ES_tradnl"/>
        </w:rPr>
        <w:t xml:space="preserve">n en este </w:t>
      </w:r>
      <w:r>
        <w:rPr>
          <w:spacing w:val="-4"/>
          <w:sz w:val="18"/>
          <w:szCs w:val="18"/>
          <w:lang w:val="es-ES_tradnl"/>
        </w:rPr>
        <w:t>sentido, la instituci</w:t>
      </w:r>
      <w:r>
        <w:rPr>
          <w:rFonts w:cs="Times New Roman"/>
          <w:spacing w:val="-4"/>
          <w:sz w:val="18"/>
          <w:szCs w:val="18"/>
          <w:lang w:val="es-ES_tradnl"/>
        </w:rPr>
        <w:t>ó</w:t>
      </w:r>
      <w:r>
        <w:rPr>
          <w:spacing w:val="-4"/>
          <w:sz w:val="18"/>
          <w:szCs w:val="18"/>
          <w:lang w:val="es-ES_tradnl"/>
        </w:rPr>
        <w:t xml:space="preserve">n policial nuevamente ratifica la </w:t>
      </w:r>
      <w:r>
        <w:rPr>
          <w:spacing w:val="-8"/>
          <w:sz w:val="18"/>
          <w:szCs w:val="18"/>
          <w:lang w:val="es-ES_tradnl"/>
        </w:rPr>
        <w:t>resoluci</w:t>
      </w:r>
      <w:r>
        <w:rPr>
          <w:rFonts w:cs="Times New Roman"/>
          <w:spacing w:val="-8"/>
          <w:sz w:val="18"/>
          <w:szCs w:val="18"/>
          <w:lang w:val="es-ES_tradnl"/>
        </w:rPr>
        <w:t>ó</w:t>
      </w:r>
      <w:r>
        <w:rPr>
          <w:spacing w:val="-8"/>
          <w:sz w:val="18"/>
          <w:szCs w:val="18"/>
          <w:lang w:val="es-ES_tradnl"/>
        </w:rPr>
        <w:t xml:space="preserve">n vulneradora de derechos (2010-0665-CCP-PN) </w:t>
      </w:r>
      <w:r>
        <w:rPr>
          <w:spacing w:val="-9"/>
          <w:sz w:val="18"/>
          <w:szCs w:val="18"/>
          <w:lang w:val="es-ES_tradnl"/>
        </w:rPr>
        <w:t>que declara no id</w:t>
      </w:r>
      <w:r>
        <w:rPr>
          <w:rFonts w:cs="Times New Roman"/>
          <w:spacing w:val="-9"/>
          <w:sz w:val="18"/>
          <w:szCs w:val="18"/>
          <w:lang w:val="es-ES_tradnl"/>
        </w:rPr>
        <w:t>ó</w:t>
      </w:r>
      <w:r>
        <w:rPr>
          <w:spacing w:val="-9"/>
          <w:sz w:val="18"/>
          <w:szCs w:val="18"/>
          <w:lang w:val="es-ES_tradnl"/>
        </w:rPr>
        <w:t xml:space="preserve">neas para el ascenso a las legitimadas </w:t>
      </w:r>
      <w:r>
        <w:rPr>
          <w:sz w:val="18"/>
          <w:szCs w:val="18"/>
          <w:lang w:val="es-ES_tradnl"/>
        </w:rPr>
        <w:t>activas de la acci</w:t>
      </w:r>
      <w:r>
        <w:rPr>
          <w:rFonts w:cs="Times New Roman"/>
          <w:sz w:val="18"/>
          <w:szCs w:val="18"/>
          <w:lang w:val="es-ES_tradnl"/>
        </w:rPr>
        <w:t>ó</w:t>
      </w:r>
      <w:r>
        <w:rPr>
          <w:sz w:val="18"/>
          <w:szCs w:val="18"/>
          <w:lang w:val="es-ES_tradnl"/>
        </w:rPr>
        <w:t>n de protecci</w:t>
      </w:r>
      <w:r>
        <w:rPr>
          <w:rFonts w:cs="Times New Roman"/>
          <w:sz w:val="18"/>
          <w:szCs w:val="18"/>
          <w:lang w:val="es-ES_tradnl"/>
        </w:rPr>
        <w:t>ó</w:t>
      </w:r>
      <w:r>
        <w:rPr>
          <w:sz w:val="18"/>
          <w:szCs w:val="18"/>
          <w:lang w:val="es-ES_tradnl"/>
        </w:rPr>
        <w:t xml:space="preserve">n, bajo el argumento </w:t>
      </w:r>
      <w:r>
        <w:rPr>
          <w:spacing w:val="-8"/>
          <w:sz w:val="18"/>
          <w:szCs w:val="18"/>
          <w:lang w:val="es-ES_tradnl"/>
        </w:rPr>
        <w:t xml:space="preserve">de que </w:t>
      </w:r>
      <w:r>
        <w:rPr>
          <w:i/>
          <w:iCs/>
          <w:spacing w:val="-8"/>
          <w:sz w:val="18"/>
          <w:szCs w:val="18"/>
          <w:lang w:val="es-ES_tradnl"/>
        </w:rPr>
        <w:t xml:space="preserve">no existen vacantes debido a que el Consejo de </w:t>
      </w:r>
      <w:r>
        <w:rPr>
          <w:i/>
          <w:iCs/>
          <w:spacing w:val="-7"/>
          <w:sz w:val="18"/>
          <w:szCs w:val="18"/>
          <w:lang w:val="es-ES_tradnl"/>
        </w:rPr>
        <w:t>Generales ya aprob</w:t>
      </w:r>
      <w:r>
        <w:rPr>
          <w:rFonts w:cs="Times New Roman"/>
          <w:i/>
          <w:iCs/>
          <w:spacing w:val="-7"/>
          <w:sz w:val="18"/>
          <w:szCs w:val="18"/>
          <w:lang w:val="es-ES_tradnl"/>
        </w:rPr>
        <w:t>ó</w:t>
      </w:r>
      <w:r>
        <w:rPr>
          <w:i/>
          <w:iCs/>
          <w:spacing w:val="-7"/>
          <w:sz w:val="18"/>
          <w:szCs w:val="18"/>
          <w:lang w:val="es-ES_tradnl"/>
        </w:rPr>
        <w:t xml:space="preserve"> el org</w:t>
      </w:r>
      <w:r>
        <w:rPr>
          <w:rFonts w:cs="Times New Roman"/>
          <w:i/>
          <w:iCs/>
          <w:spacing w:val="-7"/>
          <w:sz w:val="18"/>
          <w:szCs w:val="18"/>
          <w:lang w:val="es-ES_tradnl"/>
        </w:rPr>
        <w:t>á</w:t>
      </w:r>
      <w:r>
        <w:rPr>
          <w:i/>
          <w:iCs/>
          <w:spacing w:val="-7"/>
          <w:sz w:val="18"/>
          <w:szCs w:val="18"/>
          <w:lang w:val="es-ES_tradnl"/>
        </w:rPr>
        <w:t xml:space="preserve">nico institucional del 2011, sin </w:t>
      </w:r>
      <w:r>
        <w:rPr>
          <w:i/>
          <w:iCs/>
          <w:spacing w:val="-8"/>
          <w:sz w:val="18"/>
          <w:szCs w:val="18"/>
          <w:lang w:val="es-ES_tradnl"/>
        </w:rPr>
        <w:t>posibilidad de modificarlo</w:t>
      </w:r>
      <w:r>
        <w:rPr>
          <w:spacing w:val="-8"/>
          <w:sz w:val="18"/>
          <w:szCs w:val="18"/>
          <w:lang w:val="es-ES_tradnl"/>
        </w:rPr>
        <w:t xml:space="preserve">; exclusivamente, en este hecho, </w:t>
      </w:r>
      <w:r>
        <w:rPr>
          <w:spacing w:val="-6"/>
          <w:sz w:val="18"/>
          <w:szCs w:val="18"/>
          <w:lang w:val="es-ES_tradnl"/>
        </w:rPr>
        <w:t>es donde el Tribunal de Apelaci</w:t>
      </w:r>
      <w:r>
        <w:rPr>
          <w:rFonts w:cs="Times New Roman"/>
          <w:spacing w:val="-6"/>
          <w:sz w:val="18"/>
          <w:szCs w:val="18"/>
          <w:lang w:val="es-ES_tradnl"/>
        </w:rPr>
        <w:t>ó</w:t>
      </w:r>
      <w:r>
        <w:rPr>
          <w:spacing w:val="-6"/>
          <w:sz w:val="18"/>
          <w:szCs w:val="18"/>
          <w:lang w:val="es-ES_tradnl"/>
        </w:rPr>
        <w:t>n verifica la vulneraci</w:t>
      </w:r>
      <w:r>
        <w:rPr>
          <w:rFonts w:cs="Times New Roman"/>
          <w:spacing w:val="-6"/>
          <w:sz w:val="18"/>
          <w:szCs w:val="18"/>
          <w:lang w:val="es-ES_tradnl"/>
        </w:rPr>
        <w:t>ó</w:t>
      </w:r>
      <w:r>
        <w:rPr>
          <w:spacing w:val="-6"/>
          <w:sz w:val="18"/>
          <w:szCs w:val="18"/>
          <w:lang w:val="es-ES_tradnl"/>
        </w:rPr>
        <w:t xml:space="preserve">n </w:t>
      </w:r>
      <w:r>
        <w:rPr>
          <w:spacing w:val="-9"/>
          <w:sz w:val="18"/>
          <w:szCs w:val="18"/>
          <w:lang w:val="es-ES_tradnl"/>
        </w:rPr>
        <w:t>de los derechos de la se</w:t>
      </w:r>
      <w:r>
        <w:rPr>
          <w:rFonts w:cs="Times New Roman"/>
          <w:spacing w:val="-9"/>
          <w:sz w:val="18"/>
          <w:szCs w:val="18"/>
          <w:lang w:val="es-ES_tradnl"/>
        </w:rPr>
        <w:t>ñ</w:t>
      </w:r>
      <w:r>
        <w:rPr>
          <w:spacing w:val="-9"/>
          <w:sz w:val="18"/>
          <w:szCs w:val="18"/>
          <w:lang w:val="es-ES_tradnl"/>
        </w:rPr>
        <w:t>ora Mar</w:t>
      </w:r>
      <w:r>
        <w:rPr>
          <w:rFonts w:cs="Times New Roman"/>
          <w:spacing w:val="-9"/>
          <w:sz w:val="18"/>
          <w:szCs w:val="18"/>
          <w:lang w:val="es-ES_tradnl"/>
        </w:rPr>
        <w:t>í</w:t>
      </w:r>
      <w:r>
        <w:rPr>
          <w:spacing w:val="-9"/>
          <w:sz w:val="18"/>
          <w:szCs w:val="18"/>
          <w:lang w:val="es-ES_tradnl"/>
        </w:rPr>
        <w:t>a Evigenia G</w:t>
      </w:r>
      <w:r>
        <w:rPr>
          <w:rFonts w:cs="Times New Roman"/>
          <w:spacing w:val="-9"/>
          <w:sz w:val="18"/>
          <w:szCs w:val="18"/>
          <w:lang w:val="es-ES_tradnl"/>
        </w:rPr>
        <w:t>ó</w:t>
      </w:r>
      <w:r>
        <w:rPr>
          <w:spacing w:val="-9"/>
          <w:sz w:val="18"/>
          <w:szCs w:val="18"/>
          <w:lang w:val="es-ES_tradnl"/>
        </w:rPr>
        <w:t>mez Leny.</w:t>
      </w:r>
    </w:p>
    <w:p w14:paraId="4F67B95C" w14:textId="77777777" w:rsidR="00591D54" w:rsidRDefault="00591D54">
      <w:pPr>
        <w:shd w:val="clear" w:color="auto" w:fill="FFFFFF"/>
        <w:spacing w:before="206" w:line="226" w:lineRule="exact"/>
        <w:jc w:val="both"/>
      </w:pPr>
      <w:r>
        <w:rPr>
          <w:spacing w:val="-1"/>
          <w:sz w:val="18"/>
          <w:szCs w:val="18"/>
          <w:lang w:val="es-ES_tradnl"/>
        </w:rPr>
        <w:t xml:space="preserve">En consecuencia, los jueces constitucionales que </w:t>
      </w:r>
      <w:r>
        <w:rPr>
          <w:spacing w:val="-3"/>
          <w:sz w:val="18"/>
          <w:szCs w:val="18"/>
          <w:lang w:val="es-ES_tradnl"/>
        </w:rPr>
        <w:t>resolvieron la apelaci</w:t>
      </w:r>
      <w:r>
        <w:rPr>
          <w:rFonts w:cs="Times New Roman"/>
          <w:spacing w:val="-3"/>
          <w:sz w:val="18"/>
          <w:szCs w:val="18"/>
          <w:lang w:val="es-ES_tradnl"/>
        </w:rPr>
        <w:t>ó</w:t>
      </w:r>
      <w:r>
        <w:rPr>
          <w:spacing w:val="-3"/>
          <w:sz w:val="18"/>
          <w:szCs w:val="18"/>
          <w:lang w:val="es-ES_tradnl"/>
        </w:rPr>
        <w:t xml:space="preserve">n de la sentencia del inferior, </w:t>
      </w:r>
      <w:r>
        <w:rPr>
          <w:spacing w:val="-8"/>
          <w:sz w:val="18"/>
          <w:szCs w:val="18"/>
          <w:lang w:val="es-ES_tradnl"/>
        </w:rPr>
        <w:t>declararon la vulneraci</w:t>
      </w:r>
      <w:r>
        <w:rPr>
          <w:rFonts w:cs="Times New Roman"/>
          <w:spacing w:val="-8"/>
          <w:sz w:val="18"/>
          <w:szCs w:val="18"/>
          <w:lang w:val="es-ES_tradnl"/>
        </w:rPr>
        <w:t>ó</w:t>
      </w:r>
      <w:r>
        <w:rPr>
          <w:spacing w:val="-8"/>
          <w:sz w:val="18"/>
          <w:szCs w:val="18"/>
          <w:lang w:val="es-ES_tradnl"/>
        </w:rPr>
        <w:t xml:space="preserve">n de derechos constitucionales en </w:t>
      </w:r>
      <w:r>
        <w:rPr>
          <w:spacing w:val="-11"/>
          <w:sz w:val="18"/>
          <w:szCs w:val="18"/>
          <w:lang w:val="es-ES_tradnl"/>
        </w:rPr>
        <w:t xml:space="preserve">las resoluciones administrativas que ya han sido enunciadas, </w:t>
      </w:r>
      <w:r>
        <w:rPr>
          <w:spacing w:val="-7"/>
          <w:sz w:val="18"/>
          <w:szCs w:val="18"/>
          <w:lang w:val="es-ES_tradnl"/>
        </w:rPr>
        <w:t xml:space="preserve">sin que eso implique desconocer la facultad constitucional </w:t>
      </w:r>
      <w:r>
        <w:rPr>
          <w:spacing w:val="-6"/>
          <w:sz w:val="18"/>
          <w:szCs w:val="18"/>
          <w:lang w:val="es-ES_tradnl"/>
        </w:rPr>
        <w:t>para que la instituci</w:t>
      </w:r>
      <w:r>
        <w:rPr>
          <w:rFonts w:cs="Times New Roman"/>
          <w:spacing w:val="-6"/>
          <w:sz w:val="18"/>
          <w:szCs w:val="18"/>
          <w:lang w:val="es-ES_tradnl"/>
        </w:rPr>
        <w:t>ó</w:t>
      </w:r>
      <w:r>
        <w:rPr>
          <w:spacing w:val="-6"/>
          <w:sz w:val="18"/>
          <w:szCs w:val="18"/>
          <w:lang w:val="es-ES_tradnl"/>
        </w:rPr>
        <w:t xml:space="preserve">n policial se pronuncie respecto a las </w:t>
      </w:r>
      <w:r>
        <w:rPr>
          <w:sz w:val="18"/>
          <w:szCs w:val="18"/>
          <w:lang w:val="es-ES_tradnl"/>
        </w:rPr>
        <w:t>bajas y ascensos de sus miembros.</w:t>
      </w:r>
    </w:p>
    <w:p w14:paraId="4F67B95D" w14:textId="77777777" w:rsidR="00591D54" w:rsidRDefault="00591D54">
      <w:pPr>
        <w:shd w:val="clear" w:color="auto" w:fill="FFFFFF"/>
        <w:spacing w:before="202" w:line="226" w:lineRule="exact"/>
        <w:ind w:right="5"/>
        <w:jc w:val="both"/>
      </w:pPr>
      <w:r>
        <w:rPr>
          <w:spacing w:val="-9"/>
          <w:sz w:val="18"/>
          <w:szCs w:val="18"/>
          <w:lang w:val="es-ES_tradnl"/>
        </w:rPr>
        <w:t>Del an</w:t>
      </w:r>
      <w:r>
        <w:rPr>
          <w:rFonts w:cs="Times New Roman"/>
          <w:spacing w:val="-9"/>
          <w:sz w:val="18"/>
          <w:szCs w:val="18"/>
          <w:lang w:val="es-ES_tradnl"/>
        </w:rPr>
        <w:t>á</w:t>
      </w:r>
      <w:r>
        <w:rPr>
          <w:spacing w:val="-9"/>
          <w:sz w:val="18"/>
          <w:szCs w:val="18"/>
          <w:lang w:val="es-ES_tradnl"/>
        </w:rPr>
        <w:t xml:space="preserve">lisis realizado por la Corte Constitucional se verifica que la sentencia dictada por los jueces de la Segunda Sala </w:t>
      </w:r>
      <w:r>
        <w:rPr>
          <w:spacing w:val="-2"/>
          <w:sz w:val="18"/>
          <w:szCs w:val="18"/>
          <w:lang w:val="es-ES_tradnl"/>
        </w:rPr>
        <w:t xml:space="preserve">de lo Civil, Mercantil, Inquilinato y Materias Residuales </w:t>
      </w:r>
      <w:r>
        <w:rPr>
          <w:spacing w:val="-5"/>
          <w:sz w:val="18"/>
          <w:szCs w:val="18"/>
          <w:lang w:val="es-ES_tradnl"/>
        </w:rPr>
        <w:t>de la Corte Provincial de Justicia de Pichincha, dentro de la acci</w:t>
      </w:r>
      <w:r>
        <w:rPr>
          <w:rFonts w:cs="Times New Roman"/>
          <w:spacing w:val="-5"/>
          <w:sz w:val="18"/>
          <w:szCs w:val="18"/>
          <w:lang w:val="es-ES_tradnl"/>
        </w:rPr>
        <w:t>ó</w:t>
      </w:r>
      <w:r>
        <w:rPr>
          <w:spacing w:val="-5"/>
          <w:sz w:val="18"/>
          <w:szCs w:val="18"/>
          <w:lang w:val="es-ES_tradnl"/>
        </w:rPr>
        <w:t>n de protecci</w:t>
      </w:r>
      <w:r>
        <w:rPr>
          <w:rFonts w:cs="Times New Roman"/>
          <w:spacing w:val="-5"/>
          <w:sz w:val="18"/>
          <w:szCs w:val="18"/>
          <w:lang w:val="es-ES_tradnl"/>
        </w:rPr>
        <w:t>ó</w:t>
      </w:r>
      <w:r>
        <w:rPr>
          <w:spacing w:val="-5"/>
          <w:sz w:val="18"/>
          <w:szCs w:val="18"/>
          <w:lang w:val="es-ES_tradnl"/>
        </w:rPr>
        <w:t>n N.</w:t>
      </w:r>
      <w:r>
        <w:rPr>
          <w:rFonts w:cs="Times New Roman"/>
          <w:spacing w:val="-5"/>
          <w:sz w:val="18"/>
          <w:szCs w:val="18"/>
          <w:lang w:val="es-ES_tradnl"/>
        </w:rPr>
        <w:t>º</w:t>
      </w:r>
      <w:r>
        <w:rPr>
          <w:spacing w:val="-5"/>
          <w:sz w:val="18"/>
          <w:szCs w:val="18"/>
          <w:lang w:val="es-ES_tradnl"/>
        </w:rPr>
        <w:t xml:space="preserve"> 996-2011/735-2011, ha sido </w:t>
      </w:r>
      <w:r>
        <w:rPr>
          <w:spacing w:val="-7"/>
          <w:sz w:val="18"/>
          <w:szCs w:val="18"/>
          <w:lang w:val="es-ES_tradnl"/>
        </w:rPr>
        <w:t>emitida en estricta atenci</w:t>
      </w:r>
      <w:r>
        <w:rPr>
          <w:rFonts w:cs="Times New Roman"/>
          <w:spacing w:val="-7"/>
          <w:sz w:val="18"/>
          <w:szCs w:val="18"/>
          <w:lang w:val="es-ES_tradnl"/>
        </w:rPr>
        <w:t>ó</w:t>
      </w:r>
      <w:r>
        <w:rPr>
          <w:spacing w:val="-7"/>
          <w:sz w:val="18"/>
          <w:szCs w:val="18"/>
          <w:lang w:val="es-ES_tradnl"/>
        </w:rPr>
        <w:t>n a la seguridad jur</w:t>
      </w:r>
      <w:r>
        <w:rPr>
          <w:rFonts w:cs="Times New Roman"/>
          <w:spacing w:val="-7"/>
          <w:sz w:val="18"/>
          <w:szCs w:val="18"/>
          <w:lang w:val="es-ES_tradnl"/>
        </w:rPr>
        <w:t>í</w:t>
      </w:r>
      <w:r>
        <w:rPr>
          <w:spacing w:val="-7"/>
          <w:sz w:val="18"/>
          <w:szCs w:val="18"/>
          <w:lang w:val="es-ES_tradnl"/>
        </w:rPr>
        <w:t>dica.</w:t>
      </w:r>
    </w:p>
    <w:p w14:paraId="4F67B95E" w14:textId="77777777" w:rsidR="00591D54" w:rsidRDefault="00591D54">
      <w:pPr>
        <w:shd w:val="clear" w:color="auto" w:fill="FFFFFF"/>
        <w:tabs>
          <w:tab w:val="left" w:pos="139"/>
        </w:tabs>
        <w:spacing w:before="758" w:line="178" w:lineRule="exact"/>
        <w:ind w:left="139" w:right="5" w:hanging="139"/>
        <w:jc w:val="both"/>
      </w:pPr>
      <w:r>
        <w:rPr>
          <w:sz w:val="10"/>
          <w:szCs w:val="10"/>
          <w:vertAlign w:val="superscript"/>
          <w:lang w:val="es-ES_tradnl"/>
        </w:rPr>
        <w:t>9</w:t>
      </w:r>
      <w:r>
        <w:rPr>
          <w:sz w:val="18"/>
          <w:szCs w:val="18"/>
          <w:lang w:val="es-ES_tradnl"/>
        </w:rPr>
        <w:tab/>
      </w:r>
      <w:r>
        <w:rPr>
          <w:sz w:val="14"/>
          <w:szCs w:val="14"/>
          <w:lang w:val="es-ES_tradnl"/>
        </w:rPr>
        <w:t>Ley</w:t>
      </w:r>
      <w:r>
        <w:rPr>
          <w:sz w:val="18"/>
          <w:szCs w:val="18"/>
          <w:lang w:val="es-ES_tradnl"/>
        </w:rPr>
        <w:t xml:space="preserve"> </w:t>
      </w:r>
      <w:r>
        <w:rPr>
          <w:sz w:val="14"/>
          <w:szCs w:val="14"/>
          <w:lang w:val="es-ES_tradnl"/>
        </w:rPr>
        <w:t>Org</w:t>
      </w:r>
      <w:r>
        <w:rPr>
          <w:rFonts w:cs="Times New Roman"/>
          <w:sz w:val="14"/>
          <w:szCs w:val="14"/>
          <w:lang w:val="es-ES_tradnl"/>
        </w:rPr>
        <w:t>á</w:t>
      </w:r>
      <w:r>
        <w:rPr>
          <w:sz w:val="14"/>
          <w:szCs w:val="14"/>
          <w:lang w:val="es-ES_tradnl"/>
        </w:rPr>
        <w:t>nica</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la</w:t>
      </w:r>
      <w:r>
        <w:rPr>
          <w:sz w:val="18"/>
          <w:szCs w:val="18"/>
          <w:lang w:val="es-ES_tradnl"/>
        </w:rPr>
        <w:t xml:space="preserve"> </w:t>
      </w:r>
      <w:r>
        <w:rPr>
          <w:sz w:val="14"/>
          <w:szCs w:val="14"/>
          <w:lang w:val="es-ES_tradnl"/>
        </w:rPr>
        <w:t>Polic</w:t>
      </w:r>
      <w:r>
        <w:rPr>
          <w:rFonts w:cs="Times New Roman"/>
          <w:sz w:val="14"/>
          <w:szCs w:val="14"/>
          <w:lang w:val="es-ES_tradnl"/>
        </w:rPr>
        <w:t>í</w:t>
      </w:r>
      <w:r>
        <w:rPr>
          <w:sz w:val="14"/>
          <w:szCs w:val="14"/>
          <w:lang w:val="es-ES_tradnl"/>
        </w:rPr>
        <w:t>a</w:t>
      </w:r>
      <w:r>
        <w:rPr>
          <w:sz w:val="18"/>
          <w:szCs w:val="18"/>
          <w:lang w:val="es-ES_tradnl"/>
        </w:rPr>
        <w:t xml:space="preserve"> </w:t>
      </w:r>
      <w:r>
        <w:rPr>
          <w:sz w:val="14"/>
          <w:szCs w:val="14"/>
          <w:lang w:val="es-ES_tradnl"/>
        </w:rPr>
        <w:t>Nacional;</w:t>
      </w:r>
      <w:r>
        <w:rPr>
          <w:sz w:val="18"/>
          <w:szCs w:val="18"/>
          <w:lang w:val="es-ES_tradnl"/>
        </w:rPr>
        <w:t xml:space="preserve"> </w:t>
      </w:r>
      <w:r>
        <w:rPr>
          <w:sz w:val="14"/>
          <w:szCs w:val="14"/>
          <w:lang w:val="es-ES_tradnl"/>
        </w:rPr>
        <w:t>Art.</w:t>
      </w:r>
      <w:r>
        <w:rPr>
          <w:sz w:val="18"/>
          <w:szCs w:val="18"/>
          <w:lang w:val="es-ES_tradnl"/>
        </w:rPr>
        <w:t xml:space="preserve"> </w:t>
      </w:r>
      <w:r>
        <w:rPr>
          <w:sz w:val="14"/>
          <w:szCs w:val="14"/>
          <w:lang w:val="es-ES_tradnl"/>
        </w:rPr>
        <w:t>28.-</w:t>
      </w:r>
      <w:r>
        <w:rPr>
          <w:sz w:val="18"/>
          <w:szCs w:val="18"/>
          <w:lang w:val="es-ES_tradnl"/>
        </w:rPr>
        <w:t xml:space="preserve"> </w:t>
      </w:r>
      <w:r>
        <w:rPr>
          <w:rFonts w:cs="Times New Roman"/>
          <w:sz w:val="14"/>
          <w:szCs w:val="14"/>
          <w:lang w:val="es-ES_tradnl"/>
        </w:rPr>
        <w:t>“</w:t>
      </w:r>
      <w:r>
        <w:rPr>
          <w:sz w:val="14"/>
          <w:szCs w:val="14"/>
          <w:lang w:val="es-ES_tradnl"/>
        </w:rPr>
        <w:t>(</w:t>
      </w:r>
      <w:r>
        <w:rPr>
          <w:rFonts w:cs="Times New Roman"/>
          <w:sz w:val="14"/>
          <w:szCs w:val="14"/>
          <w:lang w:val="es-ES_tradnl"/>
        </w:rPr>
        <w:t>…</w:t>
      </w:r>
      <w:r>
        <w:rPr>
          <w:sz w:val="14"/>
          <w:szCs w:val="14"/>
          <w:lang w:val="es-ES_tradnl"/>
        </w:rPr>
        <w:t>)</w:t>
      </w:r>
      <w:r>
        <w:rPr>
          <w:sz w:val="18"/>
          <w:szCs w:val="18"/>
          <w:lang w:val="es-ES_tradnl"/>
        </w:rPr>
        <w:t xml:space="preserve"> </w:t>
      </w:r>
      <w:r>
        <w:rPr>
          <w:sz w:val="14"/>
          <w:szCs w:val="14"/>
          <w:lang w:val="es-ES_tradnl"/>
        </w:rPr>
        <w:t>El</w:t>
      </w:r>
      <w:r>
        <w:rPr>
          <w:sz w:val="18"/>
          <w:szCs w:val="18"/>
          <w:lang w:val="es-ES_tradnl"/>
        </w:rPr>
        <w:t xml:space="preserve"> </w:t>
      </w:r>
      <w:r>
        <w:rPr>
          <w:sz w:val="14"/>
          <w:szCs w:val="14"/>
          <w:lang w:val="es-ES_tradnl"/>
        </w:rPr>
        <w:t>Consejo de Clases y Polic</w:t>
      </w:r>
      <w:r>
        <w:rPr>
          <w:rFonts w:cs="Times New Roman"/>
          <w:sz w:val="14"/>
          <w:szCs w:val="14"/>
          <w:lang w:val="es-ES_tradnl"/>
        </w:rPr>
        <w:t>í</w:t>
      </w:r>
      <w:r>
        <w:rPr>
          <w:sz w:val="14"/>
          <w:szCs w:val="14"/>
          <w:lang w:val="es-ES_tradnl"/>
        </w:rPr>
        <w:t>as tendr</w:t>
      </w:r>
      <w:r>
        <w:rPr>
          <w:rFonts w:cs="Times New Roman"/>
          <w:sz w:val="14"/>
          <w:szCs w:val="14"/>
          <w:lang w:val="es-ES_tradnl"/>
        </w:rPr>
        <w:t>á</w:t>
      </w:r>
      <w:r>
        <w:rPr>
          <w:sz w:val="14"/>
          <w:szCs w:val="14"/>
          <w:lang w:val="es-ES_tradnl"/>
        </w:rPr>
        <w:t xml:space="preserve"> los siguientes deberes y atribuciones: a) Resolver sobre las altas, ascensos, transitorias, bajas y condecoraciones de clases y polic</w:t>
      </w:r>
      <w:r>
        <w:rPr>
          <w:rFonts w:cs="Times New Roman"/>
          <w:sz w:val="14"/>
          <w:szCs w:val="14"/>
          <w:lang w:val="es-ES_tradnl"/>
        </w:rPr>
        <w:t>í</w:t>
      </w:r>
      <w:r>
        <w:rPr>
          <w:sz w:val="14"/>
          <w:szCs w:val="14"/>
          <w:lang w:val="es-ES_tradnl"/>
        </w:rPr>
        <w:t>as (</w:t>
      </w:r>
      <w:r>
        <w:rPr>
          <w:rFonts w:cs="Times New Roman"/>
          <w:sz w:val="14"/>
          <w:szCs w:val="14"/>
          <w:lang w:val="es-ES_tradnl"/>
        </w:rPr>
        <w:t>…</w:t>
      </w:r>
      <w:r>
        <w:rPr>
          <w:sz w:val="14"/>
          <w:szCs w:val="14"/>
          <w:lang w:val="es-ES_tradnl"/>
        </w:rPr>
        <w:t>)</w:t>
      </w:r>
      <w:r>
        <w:rPr>
          <w:rFonts w:cs="Times New Roman"/>
          <w:sz w:val="14"/>
          <w:szCs w:val="14"/>
          <w:lang w:val="es-ES_tradnl"/>
        </w:rPr>
        <w:t>”</w:t>
      </w:r>
      <w:r>
        <w:rPr>
          <w:sz w:val="14"/>
          <w:szCs w:val="14"/>
          <w:lang w:val="es-ES_tradnl"/>
        </w:rPr>
        <w:t>.</w:t>
      </w:r>
    </w:p>
    <w:p w14:paraId="4F67B95F" w14:textId="77777777" w:rsidR="00591D54" w:rsidRDefault="00591D54">
      <w:pPr>
        <w:shd w:val="clear" w:color="auto" w:fill="FFFFFF"/>
        <w:tabs>
          <w:tab w:val="left" w:pos="720"/>
        </w:tabs>
        <w:spacing w:before="149" w:line="178" w:lineRule="exact"/>
        <w:ind w:left="139" w:right="5" w:hanging="139"/>
        <w:jc w:val="both"/>
      </w:pPr>
      <w:r>
        <w:rPr>
          <w:spacing w:val="-7"/>
          <w:sz w:val="14"/>
          <w:szCs w:val="14"/>
          <w:lang w:val="es-ES_tradnl"/>
        </w:rPr>
        <w:t>10</w:t>
      </w:r>
      <w:r>
        <w:rPr>
          <w:sz w:val="18"/>
          <w:szCs w:val="18"/>
          <w:lang w:val="es-ES_tradnl"/>
        </w:rPr>
        <w:tab/>
      </w:r>
      <w:r>
        <w:rPr>
          <w:spacing w:val="-1"/>
          <w:sz w:val="14"/>
          <w:szCs w:val="14"/>
          <w:lang w:val="es-ES_tradnl"/>
        </w:rPr>
        <w:t>Ley</w:t>
      </w:r>
      <w:r>
        <w:rPr>
          <w:spacing w:val="-1"/>
          <w:sz w:val="18"/>
          <w:szCs w:val="18"/>
          <w:lang w:val="es-ES_tradnl"/>
        </w:rPr>
        <w:t xml:space="preserve"> </w:t>
      </w:r>
      <w:r>
        <w:rPr>
          <w:spacing w:val="-1"/>
          <w:sz w:val="14"/>
          <w:szCs w:val="14"/>
          <w:lang w:val="es-ES_tradnl"/>
        </w:rPr>
        <w:t>de</w:t>
      </w:r>
      <w:r>
        <w:rPr>
          <w:spacing w:val="-1"/>
          <w:sz w:val="18"/>
          <w:szCs w:val="18"/>
          <w:lang w:val="es-ES_tradnl"/>
        </w:rPr>
        <w:t xml:space="preserve"> </w:t>
      </w:r>
      <w:r>
        <w:rPr>
          <w:spacing w:val="-1"/>
          <w:sz w:val="14"/>
          <w:szCs w:val="14"/>
          <w:lang w:val="es-ES_tradnl"/>
        </w:rPr>
        <w:t>Personal</w:t>
      </w:r>
      <w:r>
        <w:rPr>
          <w:spacing w:val="-1"/>
          <w:sz w:val="18"/>
          <w:szCs w:val="18"/>
          <w:lang w:val="es-ES_tradnl"/>
        </w:rPr>
        <w:t xml:space="preserve"> </w:t>
      </w:r>
      <w:r>
        <w:rPr>
          <w:spacing w:val="-1"/>
          <w:sz w:val="14"/>
          <w:szCs w:val="14"/>
          <w:lang w:val="es-ES_tradnl"/>
        </w:rPr>
        <w:t>de</w:t>
      </w:r>
      <w:r>
        <w:rPr>
          <w:spacing w:val="-1"/>
          <w:sz w:val="18"/>
          <w:szCs w:val="18"/>
          <w:lang w:val="es-ES_tradnl"/>
        </w:rPr>
        <w:t xml:space="preserve"> </w:t>
      </w:r>
      <w:r>
        <w:rPr>
          <w:spacing w:val="-1"/>
          <w:sz w:val="14"/>
          <w:szCs w:val="14"/>
          <w:lang w:val="es-ES_tradnl"/>
        </w:rPr>
        <w:t>la</w:t>
      </w:r>
      <w:r>
        <w:rPr>
          <w:spacing w:val="-1"/>
          <w:sz w:val="18"/>
          <w:szCs w:val="18"/>
          <w:lang w:val="es-ES_tradnl"/>
        </w:rPr>
        <w:t xml:space="preserve"> </w:t>
      </w:r>
      <w:r>
        <w:rPr>
          <w:spacing w:val="-1"/>
          <w:sz w:val="14"/>
          <w:szCs w:val="14"/>
          <w:lang w:val="es-ES_tradnl"/>
        </w:rPr>
        <w:t>Polic</w:t>
      </w:r>
      <w:r>
        <w:rPr>
          <w:rFonts w:cs="Times New Roman"/>
          <w:spacing w:val="-1"/>
          <w:sz w:val="14"/>
          <w:szCs w:val="14"/>
          <w:lang w:val="es-ES_tradnl"/>
        </w:rPr>
        <w:t>í</w:t>
      </w:r>
      <w:r>
        <w:rPr>
          <w:spacing w:val="-1"/>
          <w:sz w:val="14"/>
          <w:szCs w:val="14"/>
          <w:lang w:val="es-ES_tradnl"/>
        </w:rPr>
        <w:t>a</w:t>
      </w:r>
      <w:r>
        <w:rPr>
          <w:spacing w:val="-1"/>
          <w:sz w:val="18"/>
          <w:szCs w:val="18"/>
          <w:lang w:val="es-ES_tradnl"/>
        </w:rPr>
        <w:t xml:space="preserve"> </w:t>
      </w:r>
      <w:r>
        <w:rPr>
          <w:spacing w:val="-1"/>
          <w:sz w:val="14"/>
          <w:szCs w:val="14"/>
          <w:lang w:val="es-ES_tradnl"/>
        </w:rPr>
        <w:t>Nacional;</w:t>
      </w:r>
      <w:r>
        <w:rPr>
          <w:spacing w:val="-1"/>
          <w:sz w:val="18"/>
          <w:szCs w:val="18"/>
          <w:lang w:val="es-ES_tradnl"/>
        </w:rPr>
        <w:t xml:space="preserve"> </w:t>
      </w:r>
      <w:r>
        <w:rPr>
          <w:spacing w:val="-1"/>
          <w:sz w:val="14"/>
          <w:szCs w:val="14"/>
          <w:lang w:val="es-ES_tradnl"/>
        </w:rPr>
        <w:t>Art.</w:t>
      </w:r>
      <w:r>
        <w:rPr>
          <w:spacing w:val="-1"/>
          <w:sz w:val="18"/>
          <w:szCs w:val="18"/>
          <w:lang w:val="es-ES_tradnl"/>
        </w:rPr>
        <w:t xml:space="preserve"> </w:t>
      </w:r>
      <w:r>
        <w:rPr>
          <w:spacing w:val="-1"/>
          <w:sz w:val="14"/>
          <w:szCs w:val="14"/>
          <w:lang w:val="es-ES_tradnl"/>
        </w:rPr>
        <w:t>55.-</w:t>
      </w:r>
      <w:r>
        <w:rPr>
          <w:spacing w:val="-1"/>
          <w:sz w:val="18"/>
          <w:szCs w:val="18"/>
          <w:lang w:val="es-ES_tradnl"/>
        </w:rPr>
        <w:t xml:space="preserve"> </w:t>
      </w:r>
      <w:r>
        <w:rPr>
          <w:spacing w:val="-1"/>
          <w:sz w:val="14"/>
          <w:szCs w:val="14"/>
          <w:lang w:val="es-ES_tradnl"/>
        </w:rPr>
        <w:t>Se</w:t>
      </w:r>
      <w:r>
        <w:rPr>
          <w:spacing w:val="-1"/>
          <w:sz w:val="18"/>
          <w:szCs w:val="18"/>
          <w:lang w:val="es-ES_tradnl"/>
        </w:rPr>
        <w:t xml:space="preserve"> </w:t>
      </w:r>
      <w:r>
        <w:rPr>
          <w:spacing w:val="-1"/>
          <w:sz w:val="14"/>
          <w:szCs w:val="14"/>
          <w:lang w:val="es-ES_tradnl"/>
        </w:rPr>
        <w:t>podr</w:t>
      </w:r>
      <w:r>
        <w:rPr>
          <w:rFonts w:cs="Times New Roman"/>
          <w:spacing w:val="-1"/>
          <w:sz w:val="14"/>
          <w:szCs w:val="14"/>
          <w:lang w:val="es-ES_tradnl"/>
        </w:rPr>
        <w:t>á </w:t>
      </w:r>
      <w:r>
        <w:rPr>
          <w:spacing w:val="-3"/>
          <w:sz w:val="14"/>
          <w:szCs w:val="14"/>
          <w:lang w:val="es-ES_tradnl"/>
        </w:rPr>
        <w:t>apelar de las Resoluciones dictadas por los respectivos Consejos.</w:t>
      </w:r>
    </w:p>
    <w:p w14:paraId="4F67B960" w14:textId="77777777" w:rsidR="00591D54" w:rsidRDefault="00591D54">
      <w:pPr>
        <w:shd w:val="clear" w:color="auto" w:fill="FFFFFF"/>
        <w:spacing w:line="178" w:lineRule="exact"/>
        <w:ind w:left="139" w:right="5" w:hanging="139"/>
        <w:jc w:val="both"/>
      </w:pPr>
      <w:r>
        <w:rPr>
          <w:rFonts w:cs="Times New Roman"/>
          <w:spacing w:val="-1"/>
          <w:sz w:val="14"/>
          <w:szCs w:val="14"/>
          <w:lang w:val="es-ES_tradnl"/>
        </w:rPr>
        <w:t>“</w:t>
      </w:r>
      <w:r>
        <w:rPr>
          <w:spacing w:val="-1"/>
          <w:sz w:val="14"/>
          <w:szCs w:val="14"/>
          <w:lang w:val="es-ES_tradnl"/>
        </w:rPr>
        <w:t>(</w:t>
      </w:r>
      <w:r>
        <w:rPr>
          <w:rFonts w:cs="Times New Roman"/>
          <w:spacing w:val="-1"/>
          <w:sz w:val="14"/>
          <w:szCs w:val="14"/>
          <w:lang w:val="es-ES_tradnl"/>
        </w:rPr>
        <w:t>…</w:t>
      </w:r>
      <w:r>
        <w:rPr>
          <w:spacing w:val="-1"/>
          <w:sz w:val="14"/>
          <w:szCs w:val="14"/>
          <w:lang w:val="es-ES_tradnl"/>
        </w:rPr>
        <w:t>) Art. 91.- El personal de Clases y Polic</w:t>
      </w:r>
      <w:r>
        <w:rPr>
          <w:rFonts w:cs="Times New Roman"/>
          <w:spacing w:val="-1"/>
          <w:sz w:val="14"/>
          <w:szCs w:val="14"/>
          <w:lang w:val="es-ES_tradnl"/>
        </w:rPr>
        <w:t>í</w:t>
      </w:r>
      <w:r>
        <w:rPr>
          <w:spacing w:val="-1"/>
          <w:sz w:val="14"/>
          <w:szCs w:val="14"/>
          <w:lang w:val="es-ES_tradnl"/>
        </w:rPr>
        <w:t>as a m</w:t>
      </w:r>
      <w:r>
        <w:rPr>
          <w:rFonts w:cs="Times New Roman"/>
          <w:spacing w:val="-1"/>
          <w:sz w:val="14"/>
          <w:szCs w:val="14"/>
          <w:lang w:val="es-ES_tradnl"/>
        </w:rPr>
        <w:t>á</w:t>
      </w:r>
      <w:r>
        <w:rPr>
          <w:spacing w:val="-1"/>
          <w:sz w:val="14"/>
          <w:szCs w:val="14"/>
          <w:lang w:val="es-ES_tradnl"/>
        </w:rPr>
        <w:t xml:space="preserve">s de los requisitos </w:t>
      </w:r>
      <w:r>
        <w:rPr>
          <w:spacing w:val="-2"/>
          <w:sz w:val="14"/>
          <w:szCs w:val="14"/>
          <w:lang w:val="es-ES_tradnl"/>
        </w:rPr>
        <w:t>comunes para el ascenso deber</w:t>
      </w:r>
      <w:r>
        <w:rPr>
          <w:rFonts w:cs="Times New Roman"/>
          <w:spacing w:val="-2"/>
          <w:sz w:val="14"/>
          <w:szCs w:val="14"/>
          <w:lang w:val="es-ES_tradnl"/>
        </w:rPr>
        <w:t>á</w:t>
      </w:r>
      <w:r>
        <w:rPr>
          <w:spacing w:val="-2"/>
          <w:sz w:val="14"/>
          <w:szCs w:val="14"/>
          <w:lang w:val="es-ES_tradnl"/>
        </w:rPr>
        <w:t xml:space="preserve"> cumplir los siguientes, seg</w:t>
      </w:r>
      <w:r>
        <w:rPr>
          <w:rFonts w:cs="Times New Roman"/>
          <w:spacing w:val="-2"/>
          <w:sz w:val="14"/>
          <w:szCs w:val="14"/>
          <w:lang w:val="es-ES_tradnl"/>
        </w:rPr>
        <w:t>ú</w:t>
      </w:r>
      <w:r>
        <w:rPr>
          <w:spacing w:val="-2"/>
          <w:sz w:val="14"/>
          <w:szCs w:val="14"/>
          <w:lang w:val="es-ES_tradnl"/>
        </w:rPr>
        <w:t xml:space="preserve">n su </w:t>
      </w:r>
      <w:r>
        <w:rPr>
          <w:spacing w:val="-1"/>
          <w:sz w:val="14"/>
          <w:szCs w:val="14"/>
          <w:lang w:val="es-ES_tradnl"/>
        </w:rPr>
        <w:t>grado: (</w:t>
      </w:r>
      <w:r>
        <w:rPr>
          <w:rFonts w:cs="Times New Roman"/>
          <w:spacing w:val="-1"/>
          <w:sz w:val="14"/>
          <w:szCs w:val="14"/>
          <w:lang w:val="es-ES_tradnl"/>
        </w:rPr>
        <w:t>…</w:t>
      </w:r>
      <w:r>
        <w:rPr>
          <w:spacing w:val="-1"/>
          <w:sz w:val="14"/>
          <w:szCs w:val="14"/>
          <w:lang w:val="es-ES_tradnl"/>
        </w:rPr>
        <w:t xml:space="preserve">) d) Para el ascenso a Suboficial Mayor, constar por lo </w:t>
      </w:r>
      <w:r>
        <w:rPr>
          <w:sz w:val="14"/>
          <w:szCs w:val="14"/>
          <w:lang w:val="es-ES_tradnl"/>
        </w:rPr>
        <w:t>menos en lista 2 de clasificaci</w:t>
      </w:r>
      <w:r>
        <w:rPr>
          <w:rFonts w:cs="Times New Roman"/>
          <w:sz w:val="14"/>
          <w:szCs w:val="14"/>
          <w:lang w:val="es-ES_tradnl"/>
        </w:rPr>
        <w:t>ó</w:t>
      </w:r>
      <w:r>
        <w:rPr>
          <w:sz w:val="14"/>
          <w:szCs w:val="14"/>
          <w:lang w:val="es-ES_tradnl"/>
        </w:rPr>
        <w:t>n.</w:t>
      </w:r>
    </w:p>
    <w:p w14:paraId="4F67B961" w14:textId="77777777" w:rsidR="00591D54" w:rsidRDefault="00591D54">
      <w:pPr>
        <w:shd w:val="clear" w:color="auto" w:fill="FFFFFF"/>
        <w:jc w:val="center"/>
      </w:pPr>
      <w:r>
        <w:br w:type="column"/>
      </w: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B962" w14:textId="77777777" w:rsidR="00591D54" w:rsidRDefault="00591D54">
      <w:pPr>
        <w:shd w:val="clear" w:color="auto" w:fill="FFFFFF"/>
        <w:spacing w:before="245" w:line="240" w:lineRule="exact"/>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4"/>
          <w:sz w:val="18"/>
          <w:szCs w:val="18"/>
          <w:lang w:val="es-ES_tradnl"/>
        </w:rPr>
        <w:t>constitucional y por mandato de la Constituci</w:t>
      </w:r>
      <w:r>
        <w:rPr>
          <w:rFonts w:cs="Times New Roman"/>
          <w:spacing w:val="-4"/>
          <w:sz w:val="18"/>
          <w:szCs w:val="18"/>
          <w:lang w:val="es-ES_tradnl"/>
        </w:rPr>
        <w:t>ó</w:t>
      </w:r>
      <w:r>
        <w:rPr>
          <w:spacing w:val="-4"/>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 xml:space="preserve">blica del Ecuador, el Pleno de la Corte Constitucional </w:t>
      </w:r>
      <w:r>
        <w:rPr>
          <w:sz w:val="18"/>
          <w:szCs w:val="18"/>
          <w:lang w:val="es-ES_tradnl"/>
        </w:rPr>
        <w:t>expide la siguiente:</w:t>
      </w:r>
    </w:p>
    <w:p w14:paraId="4F67B963" w14:textId="77777777" w:rsidR="00591D54" w:rsidRDefault="00591D54">
      <w:pPr>
        <w:shd w:val="clear" w:color="auto" w:fill="FFFFFF"/>
        <w:spacing w:before="250"/>
        <w:ind w:left="10"/>
        <w:jc w:val="center"/>
      </w:pPr>
      <w:r>
        <w:rPr>
          <w:b/>
          <w:bCs/>
          <w:sz w:val="18"/>
          <w:szCs w:val="18"/>
          <w:lang w:val="es-ES_tradnl"/>
        </w:rPr>
        <w:t>SENTENCIA</w:t>
      </w:r>
    </w:p>
    <w:p w14:paraId="4F67B964" w14:textId="77777777" w:rsidR="00591D54" w:rsidRDefault="00591D54" w:rsidP="00251195">
      <w:pPr>
        <w:numPr>
          <w:ilvl w:val="0"/>
          <w:numId w:val="117"/>
        </w:numPr>
        <w:shd w:val="clear" w:color="auto" w:fill="FFFFFF"/>
        <w:tabs>
          <w:tab w:val="left" w:pos="566"/>
        </w:tabs>
        <w:spacing w:before="240" w:line="240" w:lineRule="exact"/>
        <w:ind w:left="566" w:hanging="283"/>
        <w:rPr>
          <w:spacing w:val="-9"/>
          <w:sz w:val="18"/>
          <w:szCs w:val="18"/>
          <w:lang w:val="es-ES_tradnl"/>
        </w:rPr>
      </w:pPr>
      <w:r>
        <w:rPr>
          <w:spacing w:val="-3"/>
          <w:sz w:val="18"/>
          <w:szCs w:val="18"/>
          <w:lang w:val="es-ES_tradnl"/>
        </w:rPr>
        <w:t>Declarar que no existe vulneraci</w:t>
      </w:r>
      <w:r>
        <w:rPr>
          <w:rFonts w:cs="Times New Roman"/>
          <w:spacing w:val="-3"/>
          <w:sz w:val="18"/>
          <w:szCs w:val="18"/>
          <w:lang w:val="es-ES_tradnl"/>
        </w:rPr>
        <w:t>ó</w:t>
      </w:r>
      <w:r>
        <w:rPr>
          <w:spacing w:val="-3"/>
          <w:sz w:val="18"/>
          <w:szCs w:val="18"/>
          <w:lang w:val="es-ES_tradnl"/>
        </w:rPr>
        <w:t xml:space="preserve">n de derechos </w:t>
      </w:r>
      <w:r>
        <w:rPr>
          <w:sz w:val="18"/>
          <w:szCs w:val="18"/>
          <w:lang w:val="es-ES_tradnl"/>
        </w:rPr>
        <w:t>constitucionales.</w:t>
      </w:r>
    </w:p>
    <w:p w14:paraId="4F67B965" w14:textId="77777777" w:rsidR="00591D54" w:rsidRDefault="00591D54" w:rsidP="00251195">
      <w:pPr>
        <w:numPr>
          <w:ilvl w:val="0"/>
          <w:numId w:val="117"/>
        </w:numPr>
        <w:shd w:val="clear" w:color="auto" w:fill="FFFFFF"/>
        <w:tabs>
          <w:tab w:val="left" w:pos="566"/>
        </w:tabs>
        <w:spacing w:before="240" w:line="240" w:lineRule="exact"/>
        <w:ind w:left="566" w:hanging="283"/>
        <w:rPr>
          <w:spacing w:val="-9"/>
          <w:sz w:val="18"/>
          <w:szCs w:val="18"/>
          <w:lang w:val="es-ES_tradnl"/>
        </w:rPr>
      </w:pPr>
      <w:r>
        <w:rPr>
          <w:spacing w:val="-6"/>
          <w:sz w:val="18"/>
          <w:szCs w:val="18"/>
          <w:lang w:val="es-ES_tradnl"/>
        </w:rPr>
        <w:t>Negar   la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w:t>
      </w:r>
      <w:r>
        <w:rPr>
          <w:sz w:val="18"/>
          <w:szCs w:val="18"/>
          <w:lang w:val="es-ES_tradnl"/>
        </w:rPr>
        <w:t>planteada.</w:t>
      </w:r>
    </w:p>
    <w:p w14:paraId="4F67B966" w14:textId="77777777" w:rsidR="00591D54" w:rsidRDefault="00591D54" w:rsidP="00251195">
      <w:pPr>
        <w:numPr>
          <w:ilvl w:val="0"/>
          <w:numId w:val="117"/>
        </w:numPr>
        <w:shd w:val="clear" w:color="auto" w:fill="FFFFFF"/>
        <w:tabs>
          <w:tab w:val="left" w:pos="566"/>
        </w:tabs>
        <w:spacing w:before="250"/>
        <w:ind w:left="283"/>
        <w:rPr>
          <w:spacing w:val="-9"/>
          <w:sz w:val="18"/>
          <w:szCs w:val="18"/>
          <w:lang w:val="es-ES_tradnl"/>
        </w:rPr>
      </w:pPr>
      <w:r>
        <w:rPr>
          <w:spacing w:val="-6"/>
          <w:sz w:val="18"/>
          <w:szCs w:val="18"/>
          <w:lang w:val="es-ES_tradnl"/>
        </w:rPr>
        <w:t>Notif</w:t>
      </w:r>
      <w:r>
        <w:rPr>
          <w:rFonts w:cs="Times New Roman"/>
          <w:spacing w:val="-6"/>
          <w:sz w:val="18"/>
          <w:szCs w:val="18"/>
          <w:lang w:val="es-ES_tradnl"/>
        </w:rPr>
        <w:t>í</w:t>
      </w:r>
      <w:r>
        <w:rPr>
          <w:spacing w:val="-6"/>
          <w:sz w:val="18"/>
          <w:szCs w:val="18"/>
          <w:lang w:val="es-ES_tradnl"/>
        </w:rPr>
        <w:t>quese, publ</w:t>
      </w:r>
      <w:r>
        <w:rPr>
          <w:rFonts w:cs="Times New Roman"/>
          <w:spacing w:val="-6"/>
          <w:sz w:val="18"/>
          <w:szCs w:val="18"/>
          <w:lang w:val="es-ES_tradnl"/>
        </w:rPr>
        <w:t>í</w:t>
      </w:r>
      <w:r>
        <w:rPr>
          <w:spacing w:val="-6"/>
          <w:sz w:val="18"/>
          <w:szCs w:val="18"/>
          <w:lang w:val="es-ES_tradnl"/>
        </w:rPr>
        <w:t>quese y c</w:t>
      </w:r>
      <w:r>
        <w:rPr>
          <w:rFonts w:cs="Times New Roman"/>
          <w:spacing w:val="-6"/>
          <w:sz w:val="18"/>
          <w:szCs w:val="18"/>
          <w:lang w:val="es-ES_tradnl"/>
        </w:rPr>
        <w:t>ú</w:t>
      </w:r>
      <w:r>
        <w:rPr>
          <w:spacing w:val="-6"/>
          <w:sz w:val="18"/>
          <w:szCs w:val="18"/>
          <w:lang w:val="es-ES_tradnl"/>
        </w:rPr>
        <w:t>mplase.</w:t>
      </w:r>
    </w:p>
    <w:p w14:paraId="4F67B967" w14:textId="77777777" w:rsidR="00591D54" w:rsidRDefault="00591D54">
      <w:pPr>
        <w:shd w:val="clear" w:color="auto" w:fill="FFFFFF"/>
        <w:spacing w:before="250"/>
      </w:pPr>
      <w:r>
        <w:rPr>
          <w:spacing w:val="-2"/>
          <w:sz w:val="18"/>
          <w:szCs w:val="18"/>
          <w:lang w:val="es-ES_tradnl"/>
        </w:rPr>
        <w:t>f.) Patricio Pazmi</w:t>
      </w:r>
      <w:r>
        <w:rPr>
          <w:rFonts w:cs="Times New Roman"/>
          <w:spacing w:val="-2"/>
          <w:sz w:val="18"/>
          <w:szCs w:val="18"/>
          <w:lang w:val="es-ES_tradnl"/>
        </w:rPr>
        <w:t>ñ</w:t>
      </w:r>
      <w:r>
        <w:rPr>
          <w:spacing w:val="-2"/>
          <w:sz w:val="18"/>
          <w:szCs w:val="18"/>
          <w:lang w:val="es-ES_tradnl"/>
        </w:rPr>
        <w:t xml:space="preserve">o Freire, </w:t>
      </w:r>
      <w:r>
        <w:rPr>
          <w:b/>
          <w:bCs/>
          <w:spacing w:val="-2"/>
          <w:sz w:val="18"/>
          <w:szCs w:val="18"/>
          <w:lang w:val="es-ES_tradnl"/>
        </w:rPr>
        <w:t>PRESIDENTE.</w:t>
      </w:r>
    </w:p>
    <w:p w14:paraId="4F67B968" w14:textId="77777777" w:rsidR="00591D54" w:rsidRDefault="00591D54">
      <w:pPr>
        <w:shd w:val="clear" w:color="auto" w:fill="FFFFFF"/>
        <w:spacing w:before="245" w:line="240" w:lineRule="exact"/>
        <w:jc w:val="both"/>
      </w:pPr>
      <w:r>
        <w:rPr>
          <w:sz w:val="18"/>
          <w:szCs w:val="18"/>
          <w:lang w:val="es-ES_tradnl"/>
        </w:rPr>
        <w:t>f.) Pa</w:t>
      </w:r>
      <w:r>
        <w:rPr>
          <w:rFonts w:cs="Times New Roman"/>
          <w:sz w:val="18"/>
          <w:szCs w:val="18"/>
          <w:lang w:val="es-ES_tradnl"/>
        </w:rPr>
        <w:t>ú</w:t>
      </w:r>
      <w:r>
        <w:rPr>
          <w:sz w:val="18"/>
          <w:szCs w:val="18"/>
          <w:lang w:val="es-ES_tradnl"/>
        </w:rPr>
        <w:t xml:space="preserve">l Emilio Prado Chiriboga, </w:t>
      </w:r>
      <w:r>
        <w:rPr>
          <w:b/>
          <w:bCs/>
          <w:sz w:val="18"/>
          <w:szCs w:val="18"/>
          <w:lang w:val="es-ES_tradnl"/>
        </w:rPr>
        <w:t>SECRETARIO GENERAL (E).</w:t>
      </w:r>
    </w:p>
    <w:p w14:paraId="4F67B969" w14:textId="77777777" w:rsidR="00591D54" w:rsidRDefault="00591D54">
      <w:pPr>
        <w:shd w:val="clear" w:color="auto" w:fill="FFFFFF"/>
        <w:spacing w:before="245" w:line="235" w:lineRule="exact"/>
        <w:jc w:val="both"/>
      </w:pPr>
      <w:r>
        <w:rPr>
          <w:b/>
          <w:bCs/>
          <w:spacing w:val="-7"/>
          <w:sz w:val="18"/>
          <w:szCs w:val="18"/>
          <w:lang w:val="es-ES_tradnl"/>
        </w:rPr>
        <w:t>Raz</w:t>
      </w:r>
      <w:r>
        <w:rPr>
          <w:rFonts w:cs="Times New Roman"/>
          <w:b/>
          <w:bCs/>
          <w:spacing w:val="-7"/>
          <w:sz w:val="18"/>
          <w:szCs w:val="18"/>
          <w:lang w:val="es-ES_tradnl"/>
        </w:rPr>
        <w:t>ó</w:t>
      </w:r>
      <w:r>
        <w:rPr>
          <w:b/>
          <w:bCs/>
          <w:spacing w:val="-7"/>
          <w:sz w:val="18"/>
          <w:szCs w:val="18"/>
          <w:lang w:val="es-ES_tradnl"/>
        </w:rPr>
        <w:t xml:space="preserve">n: </w:t>
      </w:r>
      <w:r>
        <w:rPr>
          <w:spacing w:val="-7"/>
          <w:sz w:val="18"/>
          <w:szCs w:val="18"/>
          <w:lang w:val="es-ES_tradnl"/>
        </w:rPr>
        <w:t xml:space="preserve">Siento por tal, que la sentencia que antecede fue </w:t>
      </w:r>
      <w:r>
        <w:rPr>
          <w:spacing w:val="-2"/>
          <w:sz w:val="18"/>
          <w:szCs w:val="18"/>
          <w:lang w:val="es-ES_tradnl"/>
        </w:rPr>
        <w:t xml:space="preserve">aprobada por el Pleno de la Corte Constitucional, con </w:t>
      </w:r>
      <w:r>
        <w:rPr>
          <w:spacing w:val="-8"/>
          <w:sz w:val="18"/>
          <w:szCs w:val="18"/>
          <w:lang w:val="es-ES_tradnl"/>
        </w:rPr>
        <w:t>seis votos de las se</w:t>
      </w:r>
      <w:r>
        <w:rPr>
          <w:rFonts w:cs="Times New Roman"/>
          <w:spacing w:val="-8"/>
          <w:sz w:val="18"/>
          <w:szCs w:val="18"/>
          <w:lang w:val="es-ES_tradnl"/>
        </w:rPr>
        <w:t>ñ</w:t>
      </w:r>
      <w:r>
        <w:rPr>
          <w:spacing w:val="-8"/>
          <w:sz w:val="18"/>
          <w:szCs w:val="18"/>
          <w:lang w:val="es-ES_tradnl"/>
        </w:rPr>
        <w:t>oras juezas y se</w:t>
      </w:r>
      <w:r>
        <w:rPr>
          <w:rFonts w:cs="Times New Roman"/>
          <w:spacing w:val="-8"/>
          <w:sz w:val="18"/>
          <w:szCs w:val="18"/>
          <w:lang w:val="es-ES_tradnl"/>
        </w:rPr>
        <w:t>ñ</w:t>
      </w:r>
      <w:r>
        <w:rPr>
          <w:spacing w:val="-8"/>
          <w:sz w:val="18"/>
          <w:szCs w:val="18"/>
          <w:lang w:val="es-ES_tradnl"/>
        </w:rPr>
        <w:t xml:space="preserve">ores jueces: Antonio </w:t>
      </w:r>
      <w:r>
        <w:rPr>
          <w:sz w:val="18"/>
          <w:szCs w:val="18"/>
          <w:lang w:val="es-ES_tradnl"/>
        </w:rPr>
        <w:t>Gagliardo Loor, Marcelo Jaramillo Villa, Mar</w:t>
      </w:r>
      <w:r>
        <w:rPr>
          <w:rFonts w:cs="Times New Roman"/>
          <w:sz w:val="18"/>
          <w:szCs w:val="18"/>
          <w:lang w:val="es-ES_tradnl"/>
        </w:rPr>
        <w:t>í</w:t>
      </w:r>
      <w:r>
        <w:rPr>
          <w:sz w:val="18"/>
          <w:szCs w:val="18"/>
          <w:lang w:val="es-ES_tradnl"/>
        </w:rPr>
        <w:t xml:space="preserve">a del </w:t>
      </w:r>
      <w:r>
        <w:rPr>
          <w:spacing w:val="-7"/>
          <w:sz w:val="18"/>
          <w:szCs w:val="18"/>
          <w:lang w:val="es-ES_tradnl"/>
        </w:rPr>
        <w:t>Carmen Maldonado S</w:t>
      </w:r>
      <w:r>
        <w:rPr>
          <w:rFonts w:cs="Times New Roman"/>
          <w:spacing w:val="-7"/>
          <w:sz w:val="18"/>
          <w:szCs w:val="18"/>
          <w:lang w:val="es-ES_tradnl"/>
        </w:rPr>
        <w:t>á</w:t>
      </w:r>
      <w:r>
        <w:rPr>
          <w:spacing w:val="-7"/>
          <w:sz w:val="18"/>
          <w:szCs w:val="18"/>
          <w:lang w:val="es-ES_tradnl"/>
        </w:rPr>
        <w:t>nchez, Alfredo Ruiz Guzm</w:t>
      </w:r>
      <w:r>
        <w:rPr>
          <w:rFonts w:cs="Times New Roman"/>
          <w:spacing w:val="-7"/>
          <w:sz w:val="18"/>
          <w:szCs w:val="18"/>
          <w:lang w:val="es-ES_tradnl"/>
        </w:rPr>
        <w:t>á</w:t>
      </w:r>
      <w:r>
        <w:rPr>
          <w:spacing w:val="-7"/>
          <w:sz w:val="18"/>
          <w:szCs w:val="18"/>
          <w:lang w:val="es-ES_tradnl"/>
        </w:rPr>
        <w:t xml:space="preserve">n, Ruth </w:t>
      </w:r>
      <w:r>
        <w:rPr>
          <w:spacing w:val="-6"/>
          <w:sz w:val="18"/>
          <w:szCs w:val="18"/>
          <w:lang w:val="es-ES_tradnl"/>
        </w:rPr>
        <w:t>Seni Pinoargote, y Patricio Pazmi</w:t>
      </w:r>
      <w:r>
        <w:rPr>
          <w:rFonts w:cs="Times New Roman"/>
          <w:spacing w:val="-6"/>
          <w:sz w:val="18"/>
          <w:szCs w:val="18"/>
          <w:lang w:val="es-ES_tradnl"/>
        </w:rPr>
        <w:t>ñ</w:t>
      </w:r>
      <w:r>
        <w:rPr>
          <w:spacing w:val="-6"/>
          <w:sz w:val="18"/>
          <w:szCs w:val="18"/>
          <w:lang w:val="es-ES_tradnl"/>
        </w:rPr>
        <w:t xml:space="preserve">o Freire, sin contar con </w:t>
      </w:r>
      <w:r>
        <w:rPr>
          <w:spacing w:val="-8"/>
          <w:sz w:val="18"/>
          <w:szCs w:val="18"/>
          <w:lang w:val="es-ES_tradnl"/>
        </w:rPr>
        <w:t xml:space="preserve">la presencia de los jueces Wendy Molina Andrade, Tatiana </w:t>
      </w:r>
      <w:r>
        <w:rPr>
          <w:spacing w:val="-6"/>
          <w:sz w:val="18"/>
          <w:szCs w:val="18"/>
          <w:lang w:val="es-ES_tradnl"/>
        </w:rPr>
        <w:t>Orde</w:t>
      </w:r>
      <w:r>
        <w:rPr>
          <w:rFonts w:cs="Times New Roman"/>
          <w:spacing w:val="-6"/>
          <w:sz w:val="18"/>
          <w:szCs w:val="18"/>
          <w:lang w:val="es-ES_tradnl"/>
        </w:rPr>
        <w:t>ñ</w:t>
      </w:r>
      <w:r>
        <w:rPr>
          <w:spacing w:val="-6"/>
          <w:sz w:val="18"/>
          <w:szCs w:val="18"/>
          <w:lang w:val="es-ES_tradnl"/>
        </w:rPr>
        <w:t>ana Sierra y Manuel Viteri Olvera, en sesi</w:t>
      </w:r>
      <w:r>
        <w:rPr>
          <w:rFonts w:cs="Times New Roman"/>
          <w:spacing w:val="-6"/>
          <w:sz w:val="18"/>
          <w:szCs w:val="18"/>
          <w:lang w:val="es-ES_tradnl"/>
        </w:rPr>
        <w:t>ó</w:t>
      </w:r>
      <w:r>
        <w:rPr>
          <w:spacing w:val="-6"/>
          <w:sz w:val="18"/>
          <w:szCs w:val="18"/>
          <w:lang w:val="es-ES_tradnl"/>
        </w:rPr>
        <w:t xml:space="preserve">n del 26 </w:t>
      </w:r>
      <w:r>
        <w:rPr>
          <w:sz w:val="18"/>
          <w:szCs w:val="18"/>
          <w:lang w:val="es-ES_tradnl"/>
        </w:rPr>
        <w:t>de agosto del 2015. Lo certifico.</w:t>
      </w:r>
    </w:p>
    <w:p w14:paraId="4F67B96A" w14:textId="77777777" w:rsidR="00591D54" w:rsidRDefault="00591D54">
      <w:pPr>
        <w:shd w:val="clear" w:color="auto" w:fill="FFFFFF"/>
        <w:spacing w:before="245" w:line="240" w:lineRule="exact"/>
        <w:jc w:val="both"/>
      </w:pPr>
      <w:r>
        <w:rPr>
          <w:sz w:val="18"/>
          <w:szCs w:val="18"/>
          <w:lang w:val="es-ES_tradnl"/>
        </w:rPr>
        <w:t>f.) Pa</w:t>
      </w:r>
      <w:r>
        <w:rPr>
          <w:rFonts w:cs="Times New Roman"/>
          <w:sz w:val="18"/>
          <w:szCs w:val="18"/>
          <w:lang w:val="es-ES_tradnl"/>
        </w:rPr>
        <w:t>ú</w:t>
      </w:r>
      <w:r>
        <w:rPr>
          <w:sz w:val="18"/>
          <w:szCs w:val="18"/>
          <w:lang w:val="es-ES_tradnl"/>
        </w:rPr>
        <w:t xml:space="preserve">l Emilio Prado Chiriboga, </w:t>
      </w:r>
      <w:r>
        <w:rPr>
          <w:b/>
          <w:bCs/>
          <w:sz w:val="18"/>
          <w:szCs w:val="18"/>
          <w:lang w:val="es-ES_tradnl"/>
        </w:rPr>
        <w:t>SECRETARIO GENERAL (E).</w:t>
      </w:r>
    </w:p>
    <w:p w14:paraId="4F67B96B" w14:textId="77777777" w:rsidR="00591D54" w:rsidRDefault="00591D54">
      <w:pPr>
        <w:shd w:val="clear" w:color="auto" w:fill="FFFFFF"/>
        <w:spacing w:before="245" w:line="235"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3"/>
          <w:sz w:val="18"/>
          <w:szCs w:val="18"/>
          <w:lang w:val="es-ES_tradnl"/>
        </w:rPr>
        <w:t>Quito, a 05 de octubre de 2015.- f.) Ilegible, Secretar</w:t>
      </w:r>
      <w:r>
        <w:rPr>
          <w:rFonts w:cs="Times New Roman"/>
          <w:spacing w:val="-3"/>
          <w:sz w:val="18"/>
          <w:szCs w:val="18"/>
          <w:lang w:val="es-ES_tradnl"/>
        </w:rPr>
        <w:t>í</w:t>
      </w:r>
      <w:r>
        <w:rPr>
          <w:spacing w:val="-3"/>
          <w:sz w:val="18"/>
          <w:szCs w:val="18"/>
          <w:lang w:val="es-ES_tradnl"/>
        </w:rPr>
        <w:t xml:space="preserve">a </w:t>
      </w:r>
      <w:r>
        <w:rPr>
          <w:sz w:val="18"/>
          <w:szCs w:val="18"/>
          <w:lang w:val="es-ES_tradnl"/>
        </w:rPr>
        <w:t>General.</w:t>
      </w:r>
    </w:p>
    <w:p w14:paraId="4F67B96C" w14:textId="77777777" w:rsidR="00591D54" w:rsidRDefault="00591D54">
      <w:pPr>
        <w:shd w:val="clear" w:color="auto" w:fill="FFFFFF"/>
        <w:spacing w:before="250"/>
      </w:pPr>
      <w:r>
        <w:rPr>
          <w:b/>
          <w:bCs/>
          <w:spacing w:val="-3"/>
          <w:sz w:val="18"/>
          <w:szCs w:val="18"/>
          <w:u w:val="single"/>
          <w:lang w:val="es-ES_tradnl"/>
        </w:rPr>
        <w:t>CASO Nro. 0147-12-EP</w:t>
      </w:r>
    </w:p>
    <w:p w14:paraId="4F67B96D" w14:textId="77777777" w:rsidR="00591D54" w:rsidRDefault="00591D54">
      <w:pPr>
        <w:shd w:val="clear" w:color="auto" w:fill="FFFFFF"/>
        <w:spacing w:before="240" w:line="240" w:lineRule="exact"/>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w:t>
      </w:r>
      <w:r>
        <w:rPr>
          <w:spacing w:val="-7"/>
          <w:sz w:val="18"/>
          <w:szCs w:val="18"/>
          <w:lang w:val="es-ES_tradnl"/>
        </w:rPr>
        <w:t>suscrita por el Juez Patricio Pazmi</w:t>
      </w:r>
      <w:r>
        <w:rPr>
          <w:rFonts w:cs="Times New Roman"/>
          <w:spacing w:val="-7"/>
          <w:sz w:val="18"/>
          <w:szCs w:val="18"/>
          <w:lang w:val="es-ES_tradnl"/>
        </w:rPr>
        <w:t>ñ</w:t>
      </w:r>
      <w:r>
        <w:rPr>
          <w:spacing w:val="-7"/>
          <w:sz w:val="18"/>
          <w:szCs w:val="18"/>
          <w:lang w:val="es-ES_tradnl"/>
        </w:rPr>
        <w:t xml:space="preserve">o Freire, Presidente de </w:t>
      </w:r>
      <w:r>
        <w:rPr>
          <w:spacing w:val="-6"/>
          <w:sz w:val="18"/>
          <w:szCs w:val="18"/>
          <w:lang w:val="es-ES_tradnl"/>
        </w:rPr>
        <w:t>la Corte Constitucional, el d</w:t>
      </w:r>
      <w:r>
        <w:rPr>
          <w:rFonts w:cs="Times New Roman"/>
          <w:spacing w:val="-6"/>
          <w:sz w:val="18"/>
          <w:szCs w:val="18"/>
          <w:lang w:val="es-ES_tradnl"/>
        </w:rPr>
        <w:t>í</w:t>
      </w:r>
      <w:r>
        <w:rPr>
          <w:spacing w:val="-6"/>
          <w:sz w:val="18"/>
          <w:szCs w:val="18"/>
          <w:lang w:val="es-ES_tradnl"/>
        </w:rPr>
        <w:t xml:space="preserve">a lunes 07 de septiembre del </w:t>
      </w:r>
      <w:r>
        <w:rPr>
          <w:sz w:val="18"/>
          <w:szCs w:val="18"/>
          <w:lang w:val="es-ES_tradnl"/>
        </w:rPr>
        <w:t>dos mil quince.- Lo certifico.</w:t>
      </w:r>
    </w:p>
    <w:p w14:paraId="4F67B96E" w14:textId="77777777" w:rsidR="00591D54" w:rsidRDefault="00591D54">
      <w:pPr>
        <w:shd w:val="clear" w:color="auto" w:fill="FFFFFF"/>
        <w:spacing w:before="250"/>
      </w:pPr>
      <w:r>
        <w:rPr>
          <w:spacing w:val="-6"/>
          <w:sz w:val="18"/>
          <w:szCs w:val="18"/>
          <w:lang w:val="es-ES_tradnl"/>
        </w:rPr>
        <w:t xml:space="preserve">f.) Jaime Pozo Chamorro, </w:t>
      </w:r>
      <w:r>
        <w:rPr>
          <w:b/>
          <w:bCs/>
          <w:spacing w:val="-6"/>
          <w:sz w:val="18"/>
          <w:szCs w:val="18"/>
          <w:lang w:val="es-ES_tradnl"/>
        </w:rPr>
        <w:t>Secretario General.</w:t>
      </w:r>
    </w:p>
    <w:p w14:paraId="4F67B96F" w14:textId="77777777" w:rsidR="00591D54" w:rsidRDefault="00591D54">
      <w:pPr>
        <w:shd w:val="clear" w:color="auto" w:fill="FFFFFF"/>
        <w:spacing w:before="245" w:line="235"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3"/>
          <w:sz w:val="18"/>
          <w:szCs w:val="18"/>
          <w:lang w:val="es-ES_tradnl"/>
        </w:rPr>
        <w:t>Quito, a 05 de octubre de 2015.- f.) Ilegible, Secretar</w:t>
      </w:r>
      <w:r>
        <w:rPr>
          <w:rFonts w:cs="Times New Roman"/>
          <w:spacing w:val="-3"/>
          <w:sz w:val="18"/>
          <w:szCs w:val="18"/>
          <w:lang w:val="es-ES_tradnl"/>
        </w:rPr>
        <w:t>í</w:t>
      </w:r>
      <w:r>
        <w:rPr>
          <w:spacing w:val="-3"/>
          <w:sz w:val="18"/>
          <w:szCs w:val="18"/>
          <w:lang w:val="es-ES_tradnl"/>
        </w:rPr>
        <w:t xml:space="preserve">a </w:t>
      </w:r>
      <w:r>
        <w:rPr>
          <w:sz w:val="18"/>
          <w:szCs w:val="18"/>
          <w:lang w:val="es-ES_tradnl"/>
        </w:rPr>
        <w:t>General.</w:t>
      </w:r>
    </w:p>
    <w:p w14:paraId="4F67B970" w14:textId="77777777" w:rsidR="00591D54" w:rsidRDefault="00591D54">
      <w:pPr>
        <w:shd w:val="clear" w:color="auto" w:fill="FFFFFF"/>
        <w:spacing w:before="245" w:line="235" w:lineRule="exact"/>
        <w:jc w:val="both"/>
        <w:sectPr w:rsidR="00591D54">
          <w:type w:val="continuous"/>
          <w:pgSz w:w="11909" w:h="16834"/>
          <w:pgMar w:top="1356" w:right="1309" w:bottom="360" w:left="1308" w:header="720" w:footer="720" w:gutter="0"/>
          <w:cols w:num="2" w:space="720" w:equalWidth="0">
            <w:col w:w="4305" w:space="682"/>
            <w:col w:w="4305"/>
          </w:cols>
          <w:noEndnote/>
        </w:sectPr>
      </w:pPr>
    </w:p>
    <w:p w14:paraId="4F67B971" w14:textId="77777777" w:rsidR="00591D54" w:rsidRDefault="00591D54">
      <w:pPr>
        <w:shd w:val="clear" w:color="auto" w:fill="FFFFFF"/>
        <w:tabs>
          <w:tab w:val="left" w:pos="5842"/>
        </w:tabs>
        <w:spacing w:after="67"/>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- 267</w:t>
      </w:r>
    </w:p>
    <w:p w14:paraId="4F67B972" w14:textId="77777777" w:rsidR="00591D54" w:rsidRDefault="00591D54">
      <w:pPr>
        <w:shd w:val="clear" w:color="auto" w:fill="FFFFFF"/>
        <w:tabs>
          <w:tab w:val="left" w:pos="5842"/>
        </w:tabs>
        <w:spacing w:after="67"/>
        <w:ind w:left="5"/>
        <w:sectPr w:rsidR="00591D54">
          <w:pgSz w:w="11909" w:h="16834"/>
          <w:pgMar w:top="1373" w:right="1304" w:bottom="360" w:left="1308" w:header="720" w:footer="720" w:gutter="0"/>
          <w:cols w:space="60"/>
          <w:noEndnote/>
        </w:sectPr>
      </w:pPr>
    </w:p>
    <w:p w14:paraId="4F67B973" w14:textId="77777777" w:rsidR="00591D54" w:rsidRDefault="00591D54">
      <w:pPr>
        <w:shd w:val="clear" w:color="auto" w:fill="FFFFFF"/>
        <w:spacing w:line="437" w:lineRule="exact"/>
      </w:pPr>
      <w:r>
        <w:rPr>
          <w:spacing w:val="-8"/>
          <w:sz w:val="18"/>
          <w:szCs w:val="18"/>
          <w:lang w:val="es-ES_tradnl"/>
        </w:rPr>
        <w:t>Quito, D. M., 26 de agosto de 2015</w:t>
      </w:r>
    </w:p>
    <w:p w14:paraId="4F67B974" w14:textId="77777777" w:rsidR="00591D54" w:rsidRDefault="00591D54">
      <w:pPr>
        <w:shd w:val="clear" w:color="auto" w:fill="FFFFFF"/>
        <w:spacing w:line="437" w:lineRule="exact"/>
        <w:ind w:left="859"/>
      </w:pPr>
      <w:r>
        <w:rPr>
          <w:b/>
          <w:bCs/>
          <w:spacing w:val="-4"/>
          <w:sz w:val="18"/>
          <w:szCs w:val="18"/>
          <w:u w:val="single"/>
          <w:lang w:val="es-ES_tradnl"/>
        </w:rPr>
        <w:t>SENTENCIA N.</w:t>
      </w:r>
      <w:r>
        <w:rPr>
          <w:rFonts w:cs="Times New Roman"/>
          <w:b/>
          <w:bCs/>
          <w:spacing w:val="-4"/>
          <w:sz w:val="18"/>
          <w:szCs w:val="18"/>
          <w:u w:val="single"/>
          <w:lang w:val="es-ES_tradnl"/>
        </w:rPr>
        <w:t>º</w:t>
      </w:r>
      <w:r>
        <w:rPr>
          <w:b/>
          <w:bCs/>
          <w:spacing w:val="-4"/>
          <w:sz w:val="18"/>
          <w:szCs w:val="18"/>
          <w:u w:val="single"/>
          <w:lang w:val="es-ES_tradnl"/>
        </w:rPr>
        <w:t xml:space="preserve"> 280-15-SEP-CC</w:t>
      </w:r>
    </w:p>
    <w:p w14:paraId="4F67B975" w14:textId="77777777" w:rsidR="00591D54" w:rsidRDefault="00591D54">
      <w:pPr>
        <w:shd w:val="clear" w:color="auto" w:fill="FFFFFF"/>
        <w:spacing w:line="437" w:lineRule="exact"/>
        <w:ind w:left="1306"/>
      </w:pPr>
      <w:r>
        <w:rPr>
          <w:b/>
          <w:bCs/>
          <w:spacing w:val="-6"/>
          <w:sz w:val="18"/>
          <w:szCs w:val="18"/>
          <w:u w:val="single"/>
          <w:lang w:val="es-ES_tradnl"/>
        </w:rPr>
        <w:t>CASO N.</w:t>
      </w:r>
      <w:r>
        <w:rPr>
          <w:rFonts w:cs="Times New Roman"/>
          <w:b/>
          <w:bCs/>
          <w:spacing w:val="-6"/>
          <w:sz w:val="18"/>
          <w:szCs w:val="18"/>
          <w:u w:val="single"/>
          <w:lang w:val="es-ES_tradnl"/>
        </w:rPr>
        <w:t>º</w:t>
      </w:r>
      <w:r>
        <w:rPr>
          <w:b/>
          <w:bCs/>
          <w:spacing w:val="-6"/>
          <w:sz w:val="18"/>
          <w:szCs w:val="18"/>
          <w:u w:val="single"/>
          <w:lang w:val="es-ES_tradnl"/>
        </w:rPr>
        <w:t xml:space="preserve"> 2217-11-EP</w:t>
      </w:r>
    </w:p>
    <w:p w14:paraId="4F67B976" w14:textId="77777777" w:rsidR="00591D54" w:rsidRDefault="00591D54">
      <w:pPr>
        <w:shd w:val="clear" w:color="auto" w:fill="FFFFFF"/>
        <w:spacing w:line="437" w:lineRule="exact"/>
        <w:ind w:left="307"/>
      </w:pPr>
      <w:r>
        <w:rPr>
          <w:b/>
          <w:bCs/>
          <w:sz w:val="18"/>
          <w:szCs w:val="18"/>
          <w:lang w:val="es-ES_tradnl"/>
        </w:rPr>
        <w:t>CORTE CONSTITUCIONAL DEL ECUADOR</w:t>
      </w:r>
    </w:p>
    <w:p w14:paraId="4F67B977" w14:textId="77777777" w:rsidR="00591D54" w:rsidRDefault="00591D54">
      <w:pPr>
        <w:shd w:val="clear" w:color="auto" w:fill="FFFFFF"/>
        <w:spacing w:line="437" w:lineRule="exact"/>
        <w:ind w:left="1344"/>
      </w:pPr>
      <w:r>
        <w:rPr>
          <w:b/>
          <w:bCs/>
          <w:sz w:val="18"/>
          <w:szCs w:val="18"/>
          <w:lang w:val="es-ES_tradnl"/>
        </w:rPr>
        <w:t>I. ANTECEDENTES</w:t>
      </w:r>
    </w:p>
    <w:p w14:paraId="4F67B978" w14:textId="77777777" w:rsidR="00591D54" w:rsidRDefault="00591D54">
      <w:pPr>
        <w:shd w:val="clear" w:color="auto" w:fill="FFFFFF"/>
        <w:spacing w:line="437" w:lineRule="exact"/>
      </w:pPr>
      <w:r>
        <w:rPr>
          <w:b/>
          <w:bCs/>
          <w:spacing w:val="-12"/>
          <w:sz w:val="18"/>
          <w:szCs w:val="18"/>
          <w:lang w:val="es-ES_tradnl"/>
        </w:rPr>
        <w:t>Resumen de admisibilidad</w:t>
      </w:r>
    </w:p>
    <w:p w14:paraId="4F67B979" w14:textId="77777777" w:rsidR="00591D54" w:rsidRDefault="00591D54">
      <w:pPr>
        <w:shd w:val="clear" w:color="auto" w:fill="FFFFFF"/>
        <w:spacing w:before="168" w:line="221" w:lineRule="exact"/>
        <w:jc w:val="both"/>
      </w:pPr>
      <w:r>
        <w:rPr>
          <w:spacing w:val="-10"/>
          <w:sz w:val="18"/>
          <w:szCs w:val="18"/>
          <w:lang w:val="es-ES_tradnl"/>
        </w:rPr>
        <w:t xml:space="preserve">El 24 de noviembre de 2011, ante los jueces de la Segunda </w:t>
      </w:r>
      <w:r>
        <w:rPr>
          <w:spacing w:val="-5"/>
          <w:sz w:val="18"/>
          <w:szCs w:val="18"/>
          <w:lang w:val="es-ES_tradnl"/>
        </w:rPr>
        <w:t xml:space="preserve">Sala de lo Laboral de la Corte Nacional de Justicia, el </w:t>
      </w:r>
      <w:r>
        <w:rPr>
          <w:spacing w:val="-10"/>
          <w:sz w:val="18"/>
          <w:szCs w:val="18"/>
          <w:lang w:val="es-ES_tradnl"/>
        </w:rPr>
        <w:t>ingeniero Jos</w:t>
      </w:r>
      <w:r>
        <w:rPr>
          <w:rFonts w:cs="Times New Roman"/>
          <w:spacing w:val="-10"/>
          <w:sz w:val="18"/>
          <w:szCs w:val="18"/>
          <w:lang w:val="es-ES_tradnl"/>
        </w:rPr>
        <w:t>é</w:t>
      </w:r>
      <w:r>
        <w:rPr>
          <w:spacing w:val="-10"/>
          <w:sz w:val="18"/>
          <w:szCs w:val="18"/>
          <w:lang w:val="es-ES_tradnl"/>
        </w:rPr>
        <w:t xml:space="preserve"> Luis Santos Garc</w:t>
      </w:r>
      <w:r>
        <w:rPr>
          <w:rFonts w:cs="Times New Roman"/>
          <w:spacing w:val="-10"/>
          <w:sz w:val="18"/>
          <w:szCs w:val="18"/>
          <w:lang w:val="es-ES_tradnl"/>
        </w:rPr>
        <w:t>í</w:t>
      </w:r>
      <w:r>
        <w:rPr>
          <w:spacing w:val="-10"/>
          <w:sz w:val="18"/>
          <w:szCs w:val="18"/>
          <w:lang w:val="es-ES_tradnl"/>
        </w:rPr>
        <w:t xml:space="preserve">a, por sus propios derechos </w:t>
      </w:r>
      <w:r>
        <w:rPr>
          <w:spacing w:val="-7"/>
          <w:sz w:val="18"/>
          <w:szCs w:val="18"/>
          <w:lang w:val="es-ES_tradnl"/>
        </w:rPr>
        <w:t xml:space="preserve">y por los que representa en su calidad de gerente general </w:t>
      </w:r>
      <w:r>
        <w:rPr>
          <w:spacing w:val="-6"/>
          <w:sz w:val="18"/>
          <w:szCs w:val="18"/>
          <w:lang w:val="es-ES_tradnl"/>
        </w:rPr>
        <w:t xml:space="preserve">de la Empresa cantonal de Agua Potable y Alcantarillado </w:t>
      </w:r>
      <w:r>
        <w:rPr>
          <w:spacing w:val="-9"/>
          <w:sz w:val="18"/>
          <w:szCs w:val="18"/>
          <w:lang w:val="es-ES_tradnl"/>
        </w:rPr>
        <w:t>de Guayaquil -ECAPAG, present</w:t>
      </w:r>
      <w:r>
        <w:rPr>
          <w:rFonts w:cs="Times New Roman"/>
          <w:spacing w:val="-9"/>
          <w:sz w:val="18"/>
          <w:szCs w:val="18"/>
          <w:lang w:val="es-ES_tradnl"/>
        </w:rPr>
        <w:t>ó</w:t>
      </w:r>
      <w:r>
        <w:rPr>
          <w:spacing w:val="-9"/>
          <w:sz w:val="18"/>
          <w:szCs w:val="18"/>
          <w:lang w:val="es-ES_tradnl"/>
        </w:rPr>
        <w:t xml:space="preserve"> acci</w:t>
      </w:r>
      <w:r>
        <w:rPr>
          <w:rFonts w:cs="Times New Roman"/>
          <w:spacing w:val="-9"/>
          <w:sz w:val="18"/>
          <w:szCs w:val="18"/>
          <w:lang w:val="es-ES_tradnl"/>
        </w:rPr>
        <w:t>ó</w:t>
      </w:r>
      <w:r>
        <w:rPr>
          <w:spacing w:val="-9"/>
          <w:sz w:val="18"/>
          <w:szCs w:val="18"/>
          <w:lang w:val="es-ES_tradnl"/>
        </w:rPr>
        <w:t xml:space="preserve">n extraordinaria de </w:t>
      </w:r>
      <w:r>
        <w:rPr>
          <w:spacing w:val="-7"/>
          <w:sz w:val="18"/>
          <w:szCs w:val="18"/>
          <w:lang w:val="es-ES_tradnl"/>
        </w:rPr>
        <w:t>protecci</w:t>
      </w:r>
      <w:r>
        <w:rPr>
          <w:rFonts w:cs="Times New Roman"/>
          <w:spacing w:val="-7"/>
          <w:sz w:val="18"/>
          <w:szCs w:val="18"/>
          <w:lang w:val="es-ES_tradnl"/>
        </w:rPr>
        <w:t>ó</w:t>
      </w:r>
      <w:r>
        <w:rPr>
          <w:spacing w:val="-7"/>
          <w:sz w:val="18"/>
          <w:szCs w:val="18"/>
          <w:lang w:val="es-ES_tradnl"/>
        </w:rPr>
        <w:t>n en contra de la sentencia de mayor</w:t>
      </w:r>
      <w:r>
        <w:rPr>
          <w:rFonts w:cs="Times New Roman"/>
          <w:spacing w:val="-7"/>
          <w:sz w:val="18"/>
          <w:szCs w:val="18"/>
          <w:lang w:val="es-ES_tradnl"/>
        </w:rPr>
        <w:t>í</w:t>
      </w:r>
      <w:r>
        <w:rPr>
          <w:spacing w:val="-7"/>
          <w:sz w:val="18"/>
          <w:szCs w:val="18"/>
          <w:lang w:val="es-ES_tradnl"/>
        </w:rPr>
        <w:t xml:space="preserve">a expedida </w:t>
      </w:r>
      <w:r>
        <w:rPr>
          <w:spacing w:val="-5"/>
          <w:sz w:val="18"/>
          <w:szCs w:val="18"/>
          <w:lang w:val="es-ES_tradnl"/>
        </w:rPr>
        <w:t xml:space="preserve">el 25 de octubre de 2011, por los jueces integrantes de </w:t>
      </w:r>
      <w:r>
        <w:rPr>
          <w:spacing w:val="-8"/>
          <w:sz w:val="18"/>
          <w:szCs w:val="18"/>
          <w:lang w:val="es-ES_tradnl"/>
        </w:rPr>
        <w:t xml:space="preserve">dicha Sala. La sentencia fue dictada dentro del recurso de </w:t>
      </w:r>
      <w:r>
        <w:rPr>
          <w:spacing w:val="-6"/>
          <w:sz w:val="18"/>
          <w:szCs w:val="18"/>
          <w:lang w:val="es-ES_tradnl"/>
        </w:rPr>
        <w:t>casaci</w:t>
      </w:r>
      <w:r>
        <w:rPr>
          <w:rFonts w:cs="Times New Roman"/>
          <w:spacing w:val="-6"/>
          <w:sz w:val="18"/>
          <w:szCs w:val="18"/>
          <w:lang w:val="es-ES_tradnl"/>
        </w:rPr>
        <w:t>ó</w:t>
      </w:r>
      <w:r>
        <w:rPr>
          <w:spacing w:val="-6"/>
          <w:sz w:val="18"/>
          <w:szCs w:val="18"/>
          <w:lang w:val="es-ES_tradnl"/>
        </w:rPr>
        <w:t>n formulado en el juicio de trabajo N.</w:t>
      </w:r>
      <w:r>
        <w:rPr>
          <w:rFonts w:cs="Times New Roman"/>
          <w:spacing w:val="-6"/>
          <w:sz w:val="18"/>
          <w:szCs w:val="18"/>
          <w:lang w:val="es-ES_tradnl"/>
        </w:rPr>
        <w:t>º</w:t>
      </w:r>
      <w:r>
        <w:rPr>
          <w:spacing w:val="-6"/>
          <w:sz w:val="18"/>
          <w:szCs w:val="18"/>
          <w:lang w:val="es-ES_tradnl"/>
        </w:rPr>
        <w:t xml:space="preserve"> 0112-2006 iniciado en primera instancia por la se</w:t>
      </w:r>
      <w:r>
        <w:rPr>
          <w:rFonts w:cs="Times New Roman"/>
          <w:spacing w:val="-6"/>
          <w:sz w:val="18"/>
          <w:szCs w:val="18"/>
          <w:lang w:val="es-ES_tradnl"/>
        </w:rPr>
        <w:t>ñ</w:t>
      </w:r>
      <w:r>
        <w:rPr>
          <w:spacing w:val="-6"/>
          <w:sz w:val="18"/>
          <w:szCs w:val="18"/>
          <w:lang w:val="es-ES_tradnl"/>
        </w:rPr>
        <w:t xml:space="preserve">ora Scarlet Murillo </w:t>
      </w:r>
      <w:r>
        <w:rPr>
          <w:spacing w:val="-11"/>
          <w:sz w:val="18"/>
          <w:szCs w:val="18"/>
          <w:lang w:val="es-ES_tradnl"/>
        </w:rPr>
        <w:t xml:space="preserve">Barcos en contra de la Empresa Cantonal de Agua Potable y </w:t>
      </w:r>
      <w:r>
        <w:rPr>
          <w:sz w:val="18"/>
          <w:szCs w:val="18"/>
          <w:lang w:val="es-ES_tradnl"/>
        </w:rPr>
        <w:t xml:space="preserve">Alcantarillado de Guayaquil </w:t>
      </w:r>
      <w:r>
        <w:rPr>
          <w:rFonts w:cs="Times New Roman"/>
          <w:sz w:val="18"/>
          <w:szCs w:val="18"/>
          <w:lang w:val="es-ES_tradnl"/>
        </w:rPr>
        <w:t>–</w:t>
      </w:r>
      <w:r>
        <w:rPr>
          <w:sz w:val="18"/>
          <w:szCs w:val="18"/>
          <w:lang w:val="es-ES_tradnl"/>
        </w:rPr>
        <w:t xml:space="preserve"> ECAPAG.</w:t>
      </w:r>
    </w:p>
    <w:p w14:paraId="4F67B97A" w14:textId="77777777" w:rsidR="00591D54" w:rsidRDefault="00591D54">
      <w:pPr>
        <w:shd w:val="clear" w:color="auto" w:fill="FFFFFF"/>
        <w:spacing w:before="206" w:line="221" w:lineRule="exact"/>
        <w:ind w:right="5"/>
        <w:jc w:val="both"/>
      </w:pPr>
      <w:r>
        <w:rPr>
          <w:spacing w:val="-9"/>
          <w:sz w:val="18"/>
          <w:szCs w:val="18"/>
          <w:lang w:val="es-ES_tradnl"/>
        </w:rPr>
        <w:t xml:space="preserve">De conformidad con lo establecido en el inciso segundo del </w:t>
      </w:r>
      <w:r>
        <w:rPr>
          <w:spacing w:val="-11"/>
          <w:sz w:val="18"/>
          <w:szCs w:val="18"/>
          <w:lang w:val="es-ES_tradnl"/>
        </w:rPr>
        <w:t>art</w:t>
      </w:r>
      <w:r>
        <w:rPr>
          <w:rFonts w:cs="Times New Roman"/>
          <w:spacing w:val="-11"/>
          <w:sz w:val="18"/>
          <w:szCs w:val="18"/>
          <w:lang w:val="es-ES_tradnl"/>
        </w:rPr>
        <w:t>í</w:t>
      </w:r>
      <w:r>
        <w:rPr>
          <w:spacing w:val="-11"/>
          <w:sz w:val="18"/>
          <w:szCs w:val="18"/>
          <w:lang w:val="es-ES_tradnl"/>
        </w:rPr>
        <w:t>culo 17 del Reglamento de Sustanciaci</w:t>
      </w:r>
      <w:r>
        <w:rPr>
          <w:rFonts w:cs="Times New Roman"/>
          <w:spacing w:val="-11"/>
          <w:sz w:val="18"/>
          <w:szCs w:val="18"/>
          <w:lang w:val="es-ES_tradnl"/>
        </w:rPr>
        <w:t>ó</w:t>
      </w:r>
      <w:r>
        <w:rPr>
          <w:spacing w:val="-11"/>
          <w:sz w:val="18"/>
          <w:szCs w:val="18"/>
          <w:lang w:val="es-ES_tradnl"/>
        </w:rPr>
        <w:t xml:space="preserve">n de procesos de Competencia de la Corte Constitucional, el secretario general </w:t>
      </w:r>
      <w:r>
        <w:rPr>
          <w:spacing w:val="-9"/>
          <w:sz w:val="18"/>
          <w:szCs w:val="18"/>
          <w:lang w:val="es-ES_tradnl"/>
        </w:rPr>
        <w:t>encargado de la Corte Constitucional, para el per</w:t>
      </w:r>
      <w:r>
        <w:rPr>
          <w:rFonts w:cs="Times New Roman"/>
          <w:spacing w:val="-9"/>
          <w:sz w:val="18"/>
          <w:szCs w:val="18"/>
          <w:lang w:val="es-ES_tradnl"/>
        </w:rPr>
        <w:t>í</w:t>
      </w:r>
      <w:r>
        <w:rPr>
          <w:spacing w:val="-9"/>
          <w:sz w:val="18"/>
          <w:szCs w:val="18"/>
          <w:lang w:val="es-ES_tradnl"/>
        </w:rPr>
        <w:t xml:space="preserve">odo de </w:t>
      </w:r>
      <w:r>
        <w:rPr>
          <w:spacing w:val="-8"/>
          <w:sz w:val="18"/>
          <w:szCs w:val="18"/>
          <w:lang w:val="es-ES_tradnl"/>
        </w:rPr>
        <w:t>transici</w:t>
      </w:r>
      <w:r>
        <w:rPr>
          <w:rFonts w:cs="Times New Roman"/>
          <w:spacing w:val="-8"/>
          <w:sz w:val="18"/>
          <w:szCs w:val="18"/>
          <w:lang w:val="es-ES_tradnl"/>
        </w:rPr>
        <w:t>ó</w:t>
      </w:r>
      <w:r>
        <w:rPr>
          <w:spacing w:val="-8"/>
          <w:sz w:val="18"/>
          <w:szCs w:val="18"/>
          <w:lang w:val="es-ES_tradnl"/>
        </w:rPr>
        <w:t>n, certific</w:t>
      </w:r>
      <w:r>
        <w:rPr>
          <w:rFonts w:cs="Times New Roman"/>
          <w:spacing w:val="-8"/>
          <w:sz w:val="18"/>
          <w:szCs w:val="18"/>
          <w:lang w:val="es-ES_tradnl"/>
        </w:rPr>
        <w:t>ó</w:t>
      </w:r>
      <w:r>
        <w:rPr>
          <w:spacing w:val="-8"/>
          <w:sz w:val="18"/>
          <w:szCs w:val="18"/>
          <w:lang w:val="es-ES_tradnl"/>
        </w:rPr>
        <w:t xml:space="preserve"> que en referencia a la acci</w:t>
      </w:r>
      <w:r>
        <w:rPr>
          <w:rFonts w:cs="Times New Roman"/>
          <w:spacing w:val="-8"/>
          <w:sz w:val="18"/>
          <w:szCs w:val="18"/>
          <w:lang w:val="es-ES_tradnl"/>
        </w:rPr>
        <w:t>ó</w:t>
      </w:r>
      <w:r>
        <w:rPr>
          <w:spacing w:val="-8"/>
          <w:sz w:val="18"/>
          <w:szCs w:val="18"/>
          <w:lang w:val="es-ES_tradnl"/>
        </w:rPr>
        <w:t>n N.</w:t>
      </w:r>
      <w:r>
        <w:rPr>
          <w:rFonts w:cs="Times New Roman"/>
          <w:spacing w:val="-8"/>
          <w:sz w:val="18"/>
          <w:szCs w:val="18"/>
          <w:lang w:val="es-ES_tradnl"/>
        </w:rPr>
        <w:t>º</w:t>
      </w:r>
      <w:r>
        <w:rPr>
          <w:spacing w:val="-8"/>
          <w:sz w:val="18"/>
          <w:szCs w:val="18"/>
          <w:lang w:val="es-ES_tradnl"/>
        </w:rPr>
        <w:t xml:space="preserve"> 2217-</w:t>
      </w:r>
      <w:r>
        <w:rPr>
          <w:spacing w:val="-10"/>
          <w:sz w:val="18"/>
          <w:szCs w:val="18"/>
          <w:lang w:val="es-ES_tradnl"/>
        </w:rPr>
        <w:t xml:space="preserve">11-EP, no se ha presentado otra demanda con identidad de </w:t>
      </w:r>
      <w:r>
        <w:rPr>
          <w:sz w:val="18"/>
          <w:szCs w:val="18"/>
          <w:lang w:val="es-ES_tradnl"/>
        </w:rPr>
        <w:t>objeto y acci</w:t>
      </w:r>
      <w:r>
        <w:rPr>
          <w:rFonts w:cs="Times New Roman"/>
          <w:sz w:val="18"/>
          <w:szCs w:val="18"/>
          <w:lang w:val="es-ES_tradnl"/>
        </w:rPr>
        <w:t>ó</w:t>
      </w:r>
      <w:r>
        <w:rPr>
          <w:sz w:val="18"/>
          <w:szCs w:val="18"/>
          <w:lang w:val="es-ES_tradnl"/>
        </w:rPr>
        <w:t>n.</w:t>
      </w:r>
    </w:p>
    <w:p w14:paraId="4F67B97B" w14:textId="77777777" w:rsidR="00591D54" w:rsidRDefault="00591D54">
      <w:pPr>
        <w:shd w:val="clear" w:color="auto" w:fill="FFFFFF"/>
        <w:spacing w:before="206" w:line="221" w:lineRule="exact"/>
        <w:ind w:right="5"/>
        <w:jc w:val="both"/>
      </w:pPr>
      <w:r>
        <w:rPr>
          <w:spacing w:val="-13"/>
          <w:sz w:val="18"/>
          <w:szCs w:val="18"/>
          <w:lang w:val="es-ES_tradnl"/>
        </w:rPr>
        <w:t>La Sala de Admisi</w:t>
      </w:r>
      <w:r>
        <w:rPr>
          <w:rFonts w:cs="Times New Roman"/>
          <w:spacing w:val="-13"/>
          <w:sz w:val="18"/>
          <w:szCs w:val="18"/>
          <w:lang w:val="es-ES_tradnl"/>
        </w:rPr>
        <w:t>ó</w:t>
      </w:r>
      <w:r>
        <w:rPr>
          <w:spacing w:val="-13"/>
          <w:sz w:val="18"/>
          <w:szCs w:val="18"/>
          <w:lang w:val="es-ES_tradnl"/>
        </w:rPr>
        <w:t>n de la Corte Constitucional, para el per</w:t>
      </w:r>
      <w:r>
        <w:rPr>
          <w:rFonts w:cs="Times New Roman"/>
          <w:spacing w:val="-13"/>
          <w:sz w:val="18"/>
          <w:szCs w:val="18"/>
          <w:lang w:val="es-ES_tradnl"/>
        </w:rPr>
        <w:t>í</w:t>
      </w:r>
      <w:r>
        <w:rPr>
          <w:spacing w:val="-13"/>
          <w:sz w:val="18"/>
          <w:szCs w:val="18"/>
          <w:lang w:val="es-ES_tradnl"/>
        </w:rPr>
        <w:t xml:space="preserve">odo </w:t>
      </w:r>
      <w:r>
        <w:rPr>
          <w:spacing w:val="-9"/>
          <w:sz w:val="18"/>
          <w:szCs w:val="18"/>
          <w:lang w:val="es-ES_tradnl"/>
        </w:rPr>
        <w:t>de transici</w:t>
      </w:r>
      <w:r>
        <w:rPr>
          <w:rFonts w:cs="Times New Roman"/>
          <w:spacing w:val="-9"/>
          <w:sz w:val="18"/>
          <w:szCs w:val="18"/>
          <w:lang w:val="es-ES_tradnl"/>
        </w:rPr>
        <w:t>ó</w:t>
      </w:r>
      <w:r>
        <w:rPr>
          <w:spacing w:val="-9"/>
          <w:sz w:val="18"/>
          <w:szCs w:val="18"/>
          <w:lang w:val="es-ES_tradnl"/>
        </w:rPr>
        <w:t xml:space="preserve">n, conformada por los jueces constitucionales </w:t>
      </w:r>
      <w:r>
        <w:rPr>
          <w:spacing w:val="-10"/>
          <w:sz w:val="18"/>
          <w:szCs w:val="18"/>
          <w:lang w:val="es-ES_tradnl"/>
        </w:rPr>
        <w:t>Patricio Pazmi</w:t>
      </w:r>
      <w:r>
        <w:rPr>
          <w:rFonts w:cs="Times New Roman"/>
          <w:spacing w:val="-10"/>
          <w:sz w:val="18"/>
          <w:szCs w:val="18"/>
          <w:lang w:val="es-ES_tradnl"/>
        </w:rPr>
        <w:t>ñ</w:t>
      </w:r>
      <w:r>
        <w:rPr>
          <w:spacing w:val="-10"/>
          <w:sz w:val="18"/>
          <w:szCs w:val="18"/>
          <w:lang w:val="es-ES_tradnl"/>
        </w:rPr>
        <w:t xml:space="preserve">o Freire, </w:t>
      </w:r>
      <w:r>
        <w:rPr>
          <w:rFonts w:cs="Times New Roman"/>
          <w:spacing w:val="-10"/>
          <w:sz w:val="18"/>
          <w:szCs w:val="18"/>
          <w:lang w:val="es-ES_tradnl"/>
        </w:rPr>
        <w:t>É</w:t>
      </w:r>
      <w:r>
        <w:rPr>
          <w:spacing w:val="-10"/>
          <w:sz w:val="18"/>
          <w:szCs w:val="18"/>
          <w:lang w:val="es-ES_tradnl"/>
        </w:rPr>
        <w:t>dgar Z</w:t>
      </w:r>
      <w:r>
        <w:rPr>
          <w:rFonts w:cs="Times New Roman"/>
          <w:spacing w:val="-10"/>
          <w:sz w:val="18"/>
          <w:szCs w:val="18"/>
          <w:lang w:val="es-ES_tradnl"/>
        </w:rPr>
        <w:t>á</w:t>
      </w:r>
      <w:r>
        <w:rPr>
          <w:spacing w:val="-10"/>
          <w:sz w:val="18"/>
          <w:szCs w:val="18"/>
          <w:lang w:val="es-ES_tradnl"/>
        </w:rPr>
        <w:t>rate Z</w:t>
      </w:r>
      <w:r>
        <w:rPr>
          <w:rFonts w:cs="Times New Roman"/>
          <w:spacing w:val="-10"/>
          <w:sz w:val="18"/>
          <w:szCs w:val="18"/>
          <w:lang w:val="es-ES_tradnl"/>
        </w:rPr>
        <w:t>á</w:t>
      </w:r>
      <w:r>
        <w:rPr>
          <w:spacing w:val="-10"/>
          <w:sz w:val="18"/>
          <w:szCs w:val="18"/>
          <w:lang w:val="es-ES_tradnl"/>
        </w:rPr>
        <w:t>rate y Manuel Viteri Olvera, mediante auto dictado el 11 de abril de 2012, admiti</w:t>
      </w:r>
      <w:r>
        <w:rPr>
          <w:rFonts w:cs="Times New Roman"/>
          <w:spacing w:val="-10"/>
          <w:sz w:val="18"/>
          <w:szCs w:val="18"/>
          <w:lang w:val="es-ES_tradnl"/>
        </w:rPr>
        <w:t xml:space="preserve">ó </w:t>
      </w:r>
      <w:r>
        <w:rPr>
          <w:spacing w:val="-11"/>
          <w:sz w:val="18"/>
          <w:szCs w:val="18"/>
          <w:lang w:val="es-ES_tradnl"/>
        </w:rPr>
        <w:t>a tr</w:t>
      </w:r>
      <w:r>
        <w:rPr>
          <w:rFonts w:cs="Times New Roman"/>
          <w:spacing w:val="-11"/>
          <w:sz w:val="18"/>
          <w:szCs w:val="18"/>
          <w:lang w:val="es-ES_tradnl"/>
        </w:rPr>
        <w:t>á</w:t>
      </w:r>
      <w:r>
        <w:rPr>
          <w:spacing w:val="-11"/>
          <w:sz w:val="18"/>
          <w:szCs w:val="18"/>
          <w:lang w:val="es-ES_tradnl"/>
        </w:rPr>
        <w:t>mite la causa N.</w:t>
      </w:r>
      <w:r>
        <w:rPr>
          <w:rFonts w:cs="Times New Roman"/>
          <w:spacing w:val="-11"/>
          <w:sz w:val="18"/>
          <w:szCs w:val="18"/>
          <w:lang w:val="es-ES_tradnl"/>
        </w:rPr>
        <w:t>º</w:t>
      </w:r>
      <w:r>
        <w:rPr>
          <w:spacing w:val="-11"/>
          <w:sz w:val="18"/>
          <w:szCs w:val="18"/>
          <w:lang w:val="es-ES_tradnl"/>
        </w:rPr>
        <w:t xml:space="preserve"> 2217-11-EP disponiendo en lo principal </w:t>
      </w:r>
      <w:r>
        <w:rPr>
          <w:spacing w:val="-12"/>
          <w:sz w:val="18"/>
          <w:szCs w:val="18"/>
          <w:lang w:val="es-ES_tradnl"/>
        </w:rPr>
        <w:t>que se efect</w:t>
      </w:r>
      <w:r>
        <w:rPr>
          <w:rFonts w:cs="Times New Roman"/>
          <w:spacing w:val="-12"/>
          <w:sz w:val="18"/>
          <w:szCs w:val="18"/>
          <w:lang w:val="es-ES_tradnl"/>
        </w:rPr>
        <w:t>ú</w:t>
      </w:r>
      <w:r>
        <w:rPr>
          <w:spacing w:val="-12"/>
          <w:sz w:val="18"/>
          <w:szCs w:val="18"/>
          <w:lang w:val="es-ES_tradnl"/>
        </w:rPr>
        <w:t>e el sorteo correspondiente para la sustanciaci</w:t>
      </w:r>
      <w:r>
        <w:rPr>
          <w:rFonts w:cs="Times New Roman"/>
          <w:spacing w:val="-12"/>
          <w:sz w:val="18"/>
          <w:szCs w:val="18"/>
          <w:lang w:val="es-ES_tradnl"/>
        </w:rPr>
        <w:t>ó</w:t>
      </w:r>
      <w:r>
        <w:rPr>
          <w:spacing w:val="-12"/>
          <w:sz w:val="18"/>
          <w:szCs w:val="18"/>
          <w:lang w:val="es-ES_tradnl"/>
        </w:rPr>
        <w:t xml:space="preserve">n </w:t>
      </w:r>
      <w:r>
        <w:rPr>
          <w:sz w:val="18"/>
          <w:szCs w:val="18"/>
          <w:lang w:val="es-ES_tradnl"/>
        </w:rPr>
        <w:t>de la presente acci</w:t>
      </w:r>
      <w:r>
        <w:rPr>
          <w:rFonts w:cs="Times New Roman"/>
          <w:sz w:val="18"/>
          <w:szCs w:val="18"/>
          <w:lang w:val="es-ES_tradnl"/>
        </w:rPr>
        <w:t>ó</w:t>
      </w:r>
      <w:r>
        <w:rPr>
          <w:sz w:val="18"/>
          <w:szCs w:val="18"/>
          <w:lang w:val="es-ES_tradnl"/>
        </w:rPr>
        <w:t>n.</w:t>
      </w:r>
    </w:p>
    <w:p w14:paraId="4F67B97C" w14:textId="77777777" w:rsidR="00591D54" w:rsidRDefault="00591D54">
      <w:pPr>
        <w:shd w:val="clear" w:color="auto" w:fill="FFFFFF"/>
        <w:spacing w:before="202" w:line="221" w:lineRule="exact"/>
        <w:ind w:right="5"/>
        <w:jc w:val="both"/>
      </w:pPr>
      <w:r>
        <w:rPr>
          <w:spacing w:val="-3"/>
          <w:sz w:val="18"/>
          <w:szCs w:val="18"/>
          <w:lang w:val="es-ES_tradnl"/>
        </w:rPr>
        <w:t>De conformidad con el sorteo realizado en sesi</w:t>
      </w:r>
      <w:r>
        <w:rPr>
          <w:rFonts w:cs="Times New Roman"/>
          <w:spacing w:val="-3"/>
          <w:sz w:val="18"/>
          <w:szCs w:val="18"/>
          <w:lang w:val="es-ES_tradnl"/>
        </w:rPr>
        <w:t>ó</w:t>
      </w:r>
      <w:r>
        <w:rPr>
          <w:spacing w:val="-3"/>
          <w:sz w:val="18"/>
          <w:szCs w:val="18"/>
          <w:lang w:val="es-ES_tradnl"/>
        </w:rPr>
        <w:t xml:space="preserve">n </w:t>
      </w:r>
      <w:r>
        <w:rPr>
          <w:spacing w:val="-8"/>
          <w:sz w:val="18"/>
          <w:szCs w:val="18"/>
          <w:lang w:val="es-ES_tradnl"/>
        </w:rPr>
        <w:t xml:space="preserve">extraordinaria del Pleno de la Corte Constitucional, para el </w:t>
      </w:r>
      <w:r>
        <w:rPr>
          <w:spacing w:val="-7"/>
          <w:sz w:val="18"/>
          <w:szCs w:val="18"/>
          <w:lang w:val="es-ES_tradnl"/>
        </w:rPr>
        <w:t>per</w:t>
      </w:r>
      <w:r>
        <w:rPr>
          <w:rFonts w:cs="Times New Roman"/>
          <w:spacing w:val="-7"/>
          <w:sz w:val="18"/>
          <w:szCs w:val="18"/>
          <w:lang w:val="es-ES_tradnl"/>
        </w:rPr>
        <w:t>í</w:t>
      </w:r>
      <w:r>
        <w:rPr>
          <w:spacing w:val="-7"/>
          <w:sz w:val="18"/>
          <w:szCs w:val="18"/>
          <w:lang w:val="es-ES_tradnl"/>
        </w:rPr>
        <w:t>odo de transici</w:t>
      </w:r>
      <w:r>
        <w:rPr>
          <w:rFonts w:cs="Times New Roman"/>
          <w:spacing w:val="-7"/>
          <w:sz w:val="18"/>
          <w:szCs w:val="18"/>
          <w:lang w:val="es-ES_tradnl"/>
        </w:rPr>
        <w:t>ó</w:t>
      </w:r>
      <w:r>
        <w:rPr>
          <w:spacing w:val="-7"/>
          <w:sz w:val="18"/>
          <w:szCs w:val="18"/>
          <w:lang w:val="es-ES_tradnl"/>
        </w:rPr>
        <w:t>n el 12 de junio de 2012, correspondi</w:t>
      </w:r>
      <w:r>
        <w:rPr>
          <w:rFonts w:cs="Times New Roman"/>
          <w:spacing w:val="-7"/>
          <w:sz w:val="18"/>
          <w:szCs w:val="18"/>
          <w:lang w:val="es-ES_tradnl"/>
        </w:rPr>
        <w:t xml:space="preserve">ó </w:t>
      </w:r>
      <w:r>
        <w:rPr>
          <w:spacing w:val="-9"/>
          <w:sz w:val="18"/>
          <w:szCs w:val="18"/>
          <w:lang w:val="es-ES_tradnl"/>
        </w:rPr>
        <w:t>la sustanciaci</w:t>
      </w:r>
      <w:r>
        <w:rPr>
          <w:rFonts w:cs="Times New Roman"/>
          <w:spacing w:val="-9"/>
          <w:sz w:val="18"/>
          <w:szCs w:val="18"/>
          <w:lang w:val="es-ES_tradnl"/>
        </w:rPr>
        <w:t>ó</w:t>
      </w:r>
      <w:r>
        <w:rPr>
          <w:spacing w:val="-9"/>
          <w:sz w:val="18"/>
          <w:szCs w:val="18"/>
          <w:lang w:val="es-ES_tradnl"/>
        </w:rPr>
        <w:t xml:space="preserve">n de dicha causa al ex juez constitucional </w:t>
      </w:r>
      <w:r>
        <w:rPr>
          <w:spacing w:val="-4"/>
          <w:sz w:val="18"/>
          <w:szCs w:val="18"/>
          <w:lang w:val="es-ES_tradnl"/>
        </w:rPr>
        <w:t xml:space="preserve">Hernando Morales Vinueza quien mediante providencia </w:t>
      </w:r>
      <w:r>
        <w:rPr>
          <w:spacing w:val="-9"/>
          <w:sz w:val="18"/>
          <w:szCs w:val="18"/>
          <w:lang w:val="es-ES_tradnl"/>
        </w:rPr>
        <w:t>de 07 de agosto de 2012, avoc</w:t>
      </w:r>
      <w:r>
        <w:rPr>
          <w:rFonts w:cs="Times New Roman"/>
          <w:spacing w:val="-9"/>
          <w:sz w:val="18"/>
          <w:szCs w:val="18"/>
          <w:lang w:val="es-ES_tradnl"/>
        </w:rPr>
        <w:t>ó</w:t>
      </w:r>
      <w:r>
        <w:rPr>
          <w:spacing w:val="-9"/>
          <w:sz w:val="18"/>
          <w:szCs w:val="18"/>
          <w:lang w:val="es-ES_tradnl"/>
        </w:rPr>
        <w:t xml:space="preserve"> conocimiento de la acci</w:t>
      </w:r>
      <w:r>
        <w:rPr>
          <w:rFonts w:cs="Times New Roman"/>
          <w:spacing w:val="-9"/>
          <w:sz w:val="18"/>
          <w:szCs w:val="18"/>
          <w:lang w:val="es-ES_tradnl"/>
        </w:rPr>
        <w:t>ó</w:t>
      </w:r>
      <w:r>
        <w:rPr>
          <w:spacing w:val="-9"/>
          <w:sz w:val="18"/>
          <w:szCs w:val="18"/>
          <w:lang w:val="es-ES_tradnl"/>
        </w:rPr>
        <w:t xml:space="preserve">n </w:t>
      </w:r>
      <w:r>
        <w:rPr>
          <w:spacing w:val="-8"/>
          <w:sz w:val="18"/>
          <w:szCs w:val="18"/>
          <w:lang w:val="es-ES_tradnl"/>
        </w:rPr>
        <w:t>extraordinaria de protecci</w:t>
      </w:r>
      <w:r>
        <w:rPr>
          <w:rFonts w:cs="Times New Roman"/>
          <w:spacing w:val="-8"/>
          <w:sz w:val="18"/>
          <w:szCs w:val="18"/>
          <w:lang w:val="es-ES_tradnl"/>
        </w:rPr>
        <w:t>ó</w:t>
      </w:r>
      <w:r>
        <w:rPr>
          <w:spacing w:val="-8"/>
          <w:sz w:val="18"/>
          <w:szCs w:val="18"/>
          <w:lang w:val="es-ES_tradnl"/>
        </w:rPr>
        <w:t xml:space="preserve">n deducida por el ingeniero Luis </w:t>
      </w:r>
      <w:r>
        <w:rPr>
          <w:spacing w:val="-11"/>
          <w:sz w:val="18"/>
          <w:szCs w:val="18"/>
          <w:lang w:val="es-ES_tradnl"/>
        </w:rPr>
        <w:t>Santos Garc</w:t>
      </w:r>
      <w:r>
        <w:rPr>
          <w:rFonts w:cs="Times New Roman"/>
          <w:spacing w:val="-11"/>
          <w:sz w:val="18"/>
          <w:szCs w:val="18"/>
          <w:lang w:val="es-ES_tradnl"/>
        </w:rPr>
        <w:t>í</w:t>
      </w:r>
      <w:r>
        <w:rPr>
          <w:spacing w:val="-11"/>
          <w:sz w:val="18"/>
          <w:szCs w:val="18"/>
          <w:lang w:val="es-ES_tradnl"/>
        </w:rPr>
        <w:t xml:space="preserve">a, gerente general de la Empresa Cantonal de </w:t>
      </w:r>
      <w:r>
        <w:rPr>
          <w:spacing w:val="-10"/>
          <w:sz w:val="18"/>
          <w:szCs w:val="18"/>
          <w:lang w:val="es-ES_tradnl"/>
        </w:rPr>
        <w:t>Agua Potable y Alcantarillado de Guayaquil. A trav</w:t>
      </w:r>
      <w:r>
        <w:rPr>
          <w:rFonts w:cs="Times New Roman"/>
          <w:spacing w:val="-10"/>
          <w:sz w:val="18"/>
          <w:szCs w:val="18"/>
          <w:lang w:val="es-ES_tradnl"/>
        </w:rPr>
        <w:t>é</w:t>
      </w:r>
      <w:r>
        <w:rPr>
          <w:spacing w:val="-10"/>
          <w:sz w:val="18"/>
          <w:szCs w:val="18"/>
          <w:lang w:val="es-ES_tradnl"/>
        </w:rPr>
        <w:t xml:space="preserve">s de esta </w:t>
      </w:r>
      <w:r>
        <w:rPr>
          <w:spacing w:val="-8"/>
          <w:sz w:val="18"/>
          <w:szCs w:val="18"/>
          <w:lang w:val="es-ES_tradnl"/>
        </w:rPr>
        <w:t>providencia el ex juez constitucional dispuso la notificaci</w:t>
      </w:r>
      <w:r>
        <w:rPr>
          <w:rFonts w:cs="Times New Roman"/>
          <w:spacing w:val="-8"/>
          <w:sz w:val="18"/>
          <w:szCs w:val="18"/>
          <w:lang w:val="es-ES_tradnl"/>
        </w:rPr>
        <w:t>ó</w:t>
      </w:r>
      <w:r>
        <w:rPr>
          <w:spacing w:val="-8"/>
          <w:sz w:val="18"/>
          <w:szCs w:val="18"/>
          <w:lang w:val="es-ES_tradnl"/>
        </w:rPr>
        <w:t xml:space="preserve">n </w:t>
      </w:r>
      <w:r>
        <w:rPr>
          <w:spacing w:val="-12"/>
          <w:sz w:val="18"/>
          <w:szCs w:val="18"/>
          <w:lang w:val="es-ES_tradnl"/>
        </w:rPr>
        <w:t xml:space="preserve">con el contenido de dicho auto y la demanda a los jueces de la </w:t>
      </w:r>
      <w:r>
        <w:rPr>
          <w:spacing w:val="-10"/>
          <w:sz w:val="18"/>
          <w:szCs w:val="18"/>
          <w:lang w:val="es-ES_tradnl"/>
        </w:rPr>
        <w:t>Segunda Sala de lo Laboral de la Corte Nacional de Justicia, adem</w:t>
      </w:r>
      <w:r>
        <w:rPr>
          <w:rFonts w:cs="Times New Roman"/>
          <w:spacing w:val="-10"/>
          <w:sz w:val="18"/>
          <w:szCs w:val="18"/>
          <w:lang w:val="es-ES_tradnl"/>
        </w:rPr>
        <w:t>á</w:t>
      </w:r>
      <w:r>
        <w:rPr>
          <w:spacing w:val="-10"/>
          <w:sz w:val="18"/>
          <w:szCs w:val="18"/>
          <w:lang w:val="es-ES_tradnl"/>
        </w:rPr>
        <w:t>s de la correspondiente notificaci</w:t>
      </w:r>
      <w:r>
        <w:rPr>
          <w:rFonts w:cs="Times New Roman"/>
          <w:spacing w:val="-10"/>
          <w:sz w:val="18"/>
          <w:szCs w:val="18"/>
          <w:lang w:val="es-ES_tradnl"/>
        </w:rPr>
        <w:t>ó</w:t>
      </w:r>
      <w:r>
        <w:rPr>
          <w:spacing w:val="-10"/>
          <w:sz w:val="18"/>
          <w:szCs w:val="18"/>
          <w:lang w:val="es-ES_tradnl"/>
        </w:rPr>
        <w:t>n a la Procuradur</w:t>
      </w:r>
      <w:r>
        <w:rPr>
          <w:rFonts w:cs="Times New Roman"/>
          <w:spacing w:val="-10"/>
          <w:sz w:val="18"/>
          <w:szCs w:val="18"/>
          <w:lang w:val="es-ES_tradnl"/>
        </w:rPr>
        <w:t>í</w:t>
      </w:r>
      <w:r>
        <w:rPr>
          <w:spacing w:val="-10"/>
          <w:sz w:val="18"/>
          <w:szCs w:val="18"/>
          <w:lang w:val="es-ES_tradnl"/>
        </w:rPr>
        <w:t xml:space="preserve">a </w:t>
      </w:r>
      <w:r>
        <w:rPr>
          <w:spacing w:val="-11"/>
          <w:sz w:val="18"/>
          <w:szCs w:val="18"/>
          <w:lang w:val="es-ES_tradnl"/>
        </w:rPr>
        <w:t>General del Estado y a los terceros con inter</w:t>
      </w:r>
      <w:r>
        <w:rPr>
          <w:rFonts w:cs="Times New Roman"/>
          <w:spacing w:val="-11"/>
          <w:sz w:val="18"/>
          <w:szCs w:val="18"/>
          <w:lang w:val="es-ES_tradnl"/>
        </w:rPr>
        <w:t>é</w:t>
      </w:r>
      <w:r>
        <w:rPr>
          <w:spacing w:val="-11"/>
          <w:sz w:val="18"/>
          <w:szCs w:val="18"/>
          <w:lang w:val="es-ES_tradnl"/>
        </w:rPr>
        <w:t>s en la causa.</w:t>
      </w:r>
    </w:p>
    <w:p w14:paraId="4F67B97D" w14:textId="77777777" w:rsidR="00591D54" w:rsidRDefault="00591D54">
      <w:pPr>
        <w:shd w:val="clear" w:color="auto" w:fill="FFFFFF"/>
        <w:spacing w:before="202" w:line="221" w:lineRule="exact"/>
        <w:ind w:right="5"/>
        <w:jc w:val="both"/>
      </w:pPr>
      <w:r>
        <w:rPr>
          <w:spacing w:val="-10"/>
          <w:sz w:val="18"/>
          <w:szCs w:val="18"/>
          <w:lang w:val="es-ES_tradnl"/>
        </w:rPr>
        <w:t xml:space="preserve">El 06 de noviembre de 2012, se posesionaron ante el Pleno </w:t>
      </w:r>
      <w:r>
        <w:rPr>
          <w:spacing w:val="-9"/>
          <w:sz w:val="18"/>
          <w:szCs w:val="18"/>
          <w:lang w:val="es-ES_tradnl"/>
        </w:rPr>
        <w:t xml:space="preserve">de la Asamblea Nacional los jueces de la primera Corte </w:t>
      </w:r>
      <w:r>
        <w:rPr>
          <w:spacing w:val="-6"/>
          <w:sz w:val="18"/>
          <w:szCs w:val="18"/>
          <w:lang w:val="es-ES_tradnl"/>
        </w:rPr>
        <w:t xml:space="preserve">Constitucional, integrada conforme lo dispuesto en los </w:t>
      </w:r>
      <w:r>
        <w:rPr>
          <w:spacing w:val="-9"/>
          <w:sz w:val="18"/>
          <w:szCs w:val="18"/>
          <w:lang w:val="es-ES_tradnl"/>
        </w:rPr>
        <w:t>art</w:t>
      </w:r>
      <w:r>
        <w:rPr>
          <w:rFonts w:cs="Times New Roman"/>
          <w:spacing w:val="-9"/>
          <w:sz w:val="18"/>
          <w:szCs w:val="18"/>
          <w:lang w:val="es-ES_tradnl"/>
        </w:rPr>
        <w:t>í</w:t>
      </w:r>
      <w:r>
        <w:rPr>
          <w:spacing w:val="-9"/>
          <w:sz w:val="18"/>
          <w:szCs w:val="18"/>
          <w:lang w:val="es-ES_tradnl"/>
        </w:rPr>
        <w:t>culos 432 y 434 de la Constituci</w:t>
      </w:r>
      <w:r>
        <w:rPr>
          <w:rFonts w:cs="Times New Roman"/>
          <w:spacing w:val="-9"/>
          <w:sz w:val="18"/>
          <w:szCs w:val="18"/>
          <w:lang w:val="es-ES_tradnl"/>
        </w:rPr>
        <w:t>ó</w:t>
      </w:r>
      <w:r>
        <w:rPr>
          <w:spacing w:val="-9"/>
          <w:sz w:val="18"/>
          <w:szCs w:val="18"/>
          <w:lang w:val="es-ES_tradnl"/>
        </w:rPr>
        <w:t>n de la Rep</w:t>
      </w:r>
      <w:r>
        <w:rPr>
          <w:rFonts w:cs="Times New Roman"/>
          <w:spacing w:val="-9"/>
          <w:sz w:val="18"/>
          <w:szCs w:val="18"/>
          <w:lang w:val="es-ES_tradnl"/>
        </w:rPr>
        <w:t>ú</w:t>
      </w:r>
      <w:r>
        <w:rPr>
          <w:spacing w:val="-9"/>
          <w:sz w:val="18"/>
          <w:szCs w:val="18"/>
          <w:lang w:val="es-ES_tradnl"/>
        </w:rPr>
        <w:t>blica.</w:t>
      </w:r>
    </w:p>
    <w:p w14:paraId="4F67B97E" w14:textId="77777777" w:rsidR="00591D54" w:rsidRDefault="00591D54">
      <w:pPr>
        <w:shd w:val="clear" w:color="auto" w:fill="FFFFFF"/>
        <w:spacing w:before="168" w:line="221" w:lineRule="exact"/>
        <w:jc w:val="both"/>
      </w:pPr>
      <w:r>
        <w:br w:type="column"/>
      </w:r>
      <w:r>
        <w:rPr>
          <w:spacing w:val="-8"/>
          <w:sz w:val="18"/>
          <w:szCs w:val="18"/>
          <w:lang w:val="es-ES_tradnl"/>
        </w:rPr>
        <w:t xml:space="preserve">En virtud del sorteo realizado ante el Pleno del Organismo, </w:t>
      </w:r>
      <w:r>
        <w:rPr>
          <w:spacing w:val="-6"/>
          <w:sz w:val="18"/>
          <w:szCs w:val="18"/>
          <w:lang w:val="es-ES_tradnl"/>
        </w:rPr>
        <w:t>en sesi</w:t>
      </w:r>
      <w:r>
        <w:rPr>
          <w:rFonts w:cs="Times New Roman"/>
          <w:spacing w:val="-6"/>
          <w:sz w:val="18"/>
          <w:szCs w:val="18"/>
          <w:lang w:val="es-ES_tradnl"/>
        </w:rPr>
        <w:t>ó</w:t>
      </w:r>
      <w:r>
        <w:rPr>
          <w:spacing w:val="-6"/>
          <w:sz w:val="18"/>
          <w:szCs w:val="18"/>
          <w:lang w:val="es-ES_tradnl"/>
        </w:rPr>
        <w:t xml:space="preserve">n extraordinaria de 03 de enero de 2013, le </w:t>
      </w:r>
      <w:r>
        <w:rPr>
          <w:spacing w:val="-8"/>
          <w:sz w:val="18"/>
          <w:szCs w:val="18"/>
          <w:lang w:val="es-ES_tradnl"/>
        </w:rPr>
        <w:t>correspondi</w:t>
      </w:r>
      <w:r>
        <w:rPr>
          <w:rFonts w:cs="Times New Roman"/>
          <w:spacing w:val="-8"/>
          <w:sz w:val="18"/>
          <w:szCs w:val="18"/>
          <w:lang w:val="es-ES_tradnl"/>
        </w:rPr>
        <w:t>ó</w:t>
      </w:r>
      <w:r>
        <w:rPr>
          <w:spacing w:val="-8"/>
          <w:sz w:val="18"/>
          <w:szCs w:val="18"/>
          <w:lang w:val="es-ES_tradnl"/>
        </w:rPr>
        <w:t xml:space="preserve"> sustanciar la presente causa a la jueza </w:t>
      </w:r>
      <w:r>
        <w:rPr>
          <w:spacing w:val="-4"/>
          <w:sz w:val="18"/>
          <w:szCs w:val="18"/>
          <w:lang w:val="es-ES_tradnl"/>
        </w:rPr>
        <w:t>constitucional Mar</w:t>
      </w:r>
      <w:r>
        <w:rPr>
          <w:rFonts w:cs="Times New Roman"/>
          <w:spacing w:val="-4"/>
          <w:sz w:val="18"/>
          <w:szCs w:val="18"/>
          <w:lang w:val="es-ES_tradnl"/>
        </w:rPr>
        <w:t>í</w:t>
      </w:r>
      <w:r>
        <w:rPr>
          <w:spacing w:val="-4"/>
          <w:sz w:val="18"/>
          <w:szCs w:val="18"/>
          <w:lang w:val="es-ES_tradnl"/>
        </w:rPr>
        <w:t>a del Carmen Maldonado S</w:t>
      </w:r>
      <w:r>
        <w:rPr>
          <w:rFonts w:cs="Times New Roman"/>
          <w:spacing w:val="-4"/>
          <w:sz w:val="18"/>
          <w:szCs w:val="18"/>
          <w:lang w:val="es-ES_tradnl"/>
        </w:rPr>
        <w:t>á</w:t>
      </w:r>
      <w:r>
        <w:rPr>
          <w:spacing w:val="-4"/>
          <w:sz w:val="18"/>
          <w:szCs w:val="18"/>
          <w:lang w:val="es-ES_tradnl"/>
        </w:rPr>
        <w:t xml:space="preserve">nchez, </w:t>
      </w:r>
      <w:r>
        <w:rPr>
          <w:spacing w:val="-7"/>
          <w:sz w:val="18"/>
          <w:szCs w:val="18"/>
          <w:lang w:val="es-ES_tradnl"/>
        </w:rPr>
        <w:t>quien mediante providencia de 11 de junio de 2015, avoc</w:t>
      </w:r>
      <w:r>
        <w:rPr>
          <w:rFonts w:cs="Times New Roman"/>
          <w:spacing w:val="-7"/>
          <w:sz w:val="18"/>
          <w:szCs w:val="18"/>
          <w:lang w:val="es-ES_tradnl"/>
        </w:rPr>
        <w:t xml:space="preserve">ó </w:t>
      </w:r>
      <w:r>
        <w:rPr>
          <w:sz w:val="18"/>
          <w:szCs w:val="18"/>
          <w:lang w:val="es-ES_tradnl"/>
        </w:rPr>
        <w:t>conocimiento.</w:t>
      </w:r>
    </w:p>
    <w:p w14:paraId="4F67B97F" w14:textId="77777777" w:rsidR="00591D54" w:rsidRDefault="00591D54">
      <w:pPr>
        <w:shd w:val="clear" w:color="auto" w:fill="FFFFFF"/>
        <w:spacing w:before="197"/>
      </w:pPr>
      <w:r>
        <w:rPr>
          <w:b/>
          <w:bCs/>
          <w:spacing w:val="-12"/>
          <w:sz w:val="18"/>
          <w:szCs w:val="18"/>
          <w:lang w:val="es-ES_tradnl"/>
        </w:rPr>
        <w:t>Breve descripci</w:t>
      </w:r>
      <w:r>
        <w:rPr>
          <w:rFonts w:cs="Times New Roman"/>
          <w:b/>
          <w:bCs/>
          <w:spacing w:val="-12"/>
          <w:sz w:val="18"/>
          <w:szCs w:val="18"/>
          <w:lang w:val="es-ES_tradnl"/>
        </w:rPr>
        <w:t>ó</w:t>
      </w:r>
      <w:r>
        <w:rPr>
          <w:b/>
          <w:bCs/>
          <w:spacing w:val="-12"/>
          <w:sz w:val="18"/>
          <w:szCs w:val="18"/>
          <w:lang w:val="es-ES_tradnl"/>
        </w:rPr>
        <w:t>n del caso</w:t>
      </w:r>
    </w:p>
    <w:p w14:paraId="4F67B980" w14:textId="77777777" w:rsidR="00591D54" w:rsidRDefault="00591D54">
      <w:pPr>
        <w:shd w:val="clear" w:color="auto" w:fill="FFFFFF"/>
        <w:spacing w:before="202" w:line="221" w:lineRule="exact"/>
        <w:ind w:right="5"/>
        <w:jc w:val="both"/>
      </w:pPr>
      <w:r>
        <w:rPr>
          <w:spacing w:val="-8"/>
          <w:sz w:val="18"/>
          <w:szCs w:val="18"/>
          <w:lang w:val="es-ES_tradnl"/>
        </w:rPr>
        <w:t xml:space="preserve">La Empresa Cantonal de Agua Potable y Alcantarillado de </w:t>
      </w:r>
      <w:r>
        <w:rPr>
          <w:spacing w:val="-7"/>
          <w:sz w:val="18"/>
          <w:szCs w:val="18"/>
          <w:lang w:val="es-ES_tradnl"/>
        </w:rPr>
        <w:t>Guayaquil (ECAPAG), suscribi</w:t>
      </w:r>
      <w:r>
        <w:rPr>
          <w:rFonts w:cs="Times New Roman"/>
          <w:spacing w:val="-7"/>
          <w:sz w:val="18"/>
          <w:szCs w:val="18"/>
          <w:lang w:val="es-ES_tradnl"/>
        </w:rPr>
        <w:t>ó</w:t>
      </w:r>
      <w:r>
        <w:rPr>
          <w:spacing w:val="-7"/>
          <w:sz w:val="18"/>
          <w:szCs w:val="18"/>
          <w:lang w:val="es-ES_tradnl"/>
        </w:rPr>
        <w:t xml:space="preserve"> un contrato de concesi</w:t>
      </w:r>
      <w:r>
        <w:rPr>
          <w:rFonts w:cs="Times New Roman"/>
          <w:spacing w:val="-7"/>
          <w:sz w:val="18"/>
          <w:szCs w:val="18"/>
          <w:lang w:val="es-ES_tradnl"/>
        </w:rPr>
        <w:t>ó</w:t>
      </w:r>
      <w:r>
        <w:rPr>
          <w:spacing w:val="-7"/>
          <w:sz w:val="18"/>
          <w:szCs w:val="18"/>
          <w:lang w:val="es-ES_tradnl"/>
        </w:rPr>
        <w:t xml:space="preserve">n </w:t>
      </w:r>
      <w:r>
        <w:rPr>
          <w:spacing w:val="-11"/>
          <w:sz w:val="18"/>
          <w:szCs w:val="18"/>
          <w:lang w:val="es-ES_tradnl"/>
        </w:rPr>
        <w:t xml:space="preserve">del servicio de aprovechamiento de agua y alcantarillado para </w:t>
      </w:r>
      <w:r>
        <w:rPr>
          <w:spacing w:val="-9"/>
          <w:sz w:val="18"/>
          <w:szCs w:val="18"/>
          <w:lang w:val="es-ES_tradnl"/>
        </w:rPr>
        <w:t xml:space="preserve">la ciudad de Guayaquil con la empresa INTERAGUA; por lo </w:t>
      </w:r>
      <w:r>
        <w:rPr>
          <w:spacing w:val="-11"/>
          <w:sz w:val="18"/>
          <w:szCs w:val="18"/>
          <w:lang w:val="es-ES_tradnl"/>
        </w:rPr>
        <w:t>cual, el entonces Congreso Nacional, emiti</w:t>
      </w:r>
      <w:r>
        <w:rPr>
          <w:rFonts w:cs="Times New Roman"/>
          <w:spacing w:val="-11"/>
          <w:sz w:val="18"/>
          <w:szCs w:val="18"/>
          <w:lang w:val="es-ES_tradnl"/>
        </w:rPr>
        <w:t>ó</w:t>
      </w:r>
      <w:r>
        <w:rPr>
          <w:spacing w:val="-11"/>
          <w:sz w:val="18"/>
          <w:szCs w:val="18"/>
          <w:lang w:val="es-ES_tradnl"/>
        </w:rPr>
        <w:t xml:space="preserve"> una Ley Especial </w:t>
      </w:r>
      <w:r>
        <w:rPr>
          <w:spacing w:val="-8"/>
          <w:sz w:val="18"/>
          <w:szCs w:val="18"/>
          <w:lang w:val="es-ES_tradnl"/>
        </w:rPr>
        <w:t>signada con el N.</w:t>
      </w:r>
      <w:r>
        <w:rPr>
          <w:rFonts w:cs="Times New Roman"/>
          <w:spacing w:val="-8"/>
          <w:sz w:val="18"/>
          <w:szCs w:val="18"/>
          <w:lang w:val="es-ES_tradnl"/>
        </w:rPr>
        <w:t>º</w:t>
      </w:r>
      <w:r>
        <w:rPr>
          <w:spacing w:val="-8"/>
          <w:sz w:val="18"/>
          <w:szCs w:val="18"/>
          <w:lang w:val="es-ES_tradnl"/>
        </w:rPr>
        <w:t xml:space="preserve"> 121, publicada en el Registro Oficial N.</w:t>
      </w:r>
      <w:r>
        <w:rPr>
          <w:rFonts w:cs="Times New Roman"/>
          <w:spacing w:val="-8"/>
          <w:sz w:val="18"/>
          <w:szCs w:val="18"/>
          <w:lang w:val="es-ES_tradnl"/>
        </w:rPr>
        <w:t xml:space="preserve">º </w:t>
      </w:r>
      <w:r>
        <w:rPr>
          <w:spacing w:val="-9"/>
          <w:sz w:val="18"/>
          <w:szCs w:val="18"/>
          <w:lang w:val="es-ES_tradnl"/>
        </w:rPr>
        <w:t>378 de 07 de agosto de 1998, en la que se resolvi</w:t>
      </w:r>
      <w:r>
        <w:rPr>
          <w:rFonts w:cs="Times New Roman"/>
          <w:spacing w:val="-9"/>
          <w:sz w:val="18"/>
          <w:szCs w:val="18"/>
          <w:lang w:val="es-ES_tradnl"/>
        </w:rPr>
        <w:t>ó</w:t>
      </w:r>
      <w:r>
        <w:rPr>
          <w:spacing w:val="-9"/>
          <w:sz w:val="18"/>
          <w:szCs w:val="18"/>
          <w:lang w:val="es-ES_tradnl"/>
        </w:rPr>
        <w:t xml:space="preserve"> que el </w:t>
      </w:r>
      <w:r>
        <w:rPr>
          <w:spacing w:val="-10"/>
          <w:sz w:val="18"/>
          <w:szCs w:val="18"/>
          <w:lang w:val="es-ES_tradnl"/>
        </w:rPr>
        <w:t>Estado ecuatoriano asumir</w:t>
      </w:r>
      <w:r>
        <w:rPr>
          <w:rFonts w:cs="Times New Roman"/>
          <w:spacing w:val="-10"/>
          <w:sz w:val="18"/>
          <w:szCs w:val="18"/>
          <w:lang w:val="es-ES_tradnl"/>
        </w:rPr>
        <w:t>í</w:t>
      </w:r>
      <w:r>
        <w:rPr>
          <w:spacing w:val="-10"/>
          <w:sz w:val="18"/>
          <w:szCs w:val="18"/>
          <w:lang w:val="es-ES_tradnl"/>
        </w:rPr>
        <w:t xml:space="preserve">a las deudas internas y externas </w:t>
      </w:r>
      <w:r>
        <w:rPr>
          <w:spacing w:val="-11"/>
          <w:sz w:val="18"/>
          <w:szCs w:val="18"/>
          <w:lang w:val="es-ES_tradnl"/>
        </w:rPr>
        <w:t>de ECAPAG; as</w:t>
      </w:r>
      <w:r>
        <w:rPr>
          <w:rFonts w:cs="Times New Roman"/>
          <w:spacing w:val="-11"/>
          <w:sz w:val="18"/>
          <w:szCs w:val="18"/>
          <w:lang w:val="es-ES_tradnl"/>
        </w:rPr>
        <w:t>í</w:t>
      </w:r>
      <w:r>
        <w:rPr>
          <w:spacing w:val="-11"/>
          <w:sz w:val="18"/>
          <w:szCs w:val="18"/>
          <w:lang w:val="es-ES_tradnl"/>
        </w:rPr>
        <w:t xml:space="preserve"> como, la regulaci</w:t>
      </w:r>
      <w:r>
        <w:rPr>
          <w:rFonts w:cs="Times New Roman"/>
          <w:spacing w:val="-11"/>
          <w:sz w:val="18"/>
          <w:szCs w:val="18"/>
          <w:lang w:val="es-ES_tradnl"/>
        </w:rPr>
        <w:t>ó</w:t>
      </w:r>
      <w:r>
        <w:rPr>
          <w:spacing w:val="-11"/>
          <w:sz w:val="18"/>
          <w:szCs w:val="18"/>
          <w:lang w:val="es-ES_tradnl"/>
        </w:rPr>
        <w:t>n de las indemnizaciones de los trabajadores que no contin</w:t>
      </w:r>
      <w:r>
        <w:rPr>
          <w:rFonts w:cs="Times New Roman"/>
          <w:spacing w:val="-11"/>
          <w:sz w:val="18"/>
          <w:szCs w:val="18"/>
          <w:lang w:val="es-ES_tradnl"/>
        </w:rPr>
        <w:t>ú</w:t>
      </w:r>
      <w:r>
        <w:rPr>
          <w:spacing w:val="-11"/>
          <w:sz w:val="18"/>
          <w:szCs w:val="18"/>
          <w:lang w:val="es-ES_tradnl"/>
        </w:rPr>
        <w:t xml:space="preserve">en sus relaciones laborales </w:t>
      </w:r>
      <w:r>
        <w:rPr>
          <w:sz w:val="18"/>
          <w:szCs w:val="18"/>
          <w:lang w:val="es-ES_tradnl"/>
        </w:rPr>
        <w:t>con la referida empresa.</w:t>
      </w:r>
    </w:p>
    <w:p w14:paraId="4F67B981" w14:textId="77777777" w:rsidR="00591D54" w:rsidRDefault="00591D54">
      <w:pPr>
        <w:shd w:val="clear" w:color="auto" w:fill="FFFFFF"/>
        <w:spacing w:before="202" w:line="221" w:lineRule="exact"/>
        <w:jc w:val="both"/>
      </w:pPr>
      <w:r>
        <w:rPr>
          <w:spacing w:val="-6"/>
          <w:sz w:val="18"/>
          <w:szCs w:val="18"/>
          <w:lang w:val="es-ES_tradnl"/>
        </w:rPr>
        <w:t xml:space="preserve">Scarlet Murillo Barcos, como ex trabajadora de la referida </w:t>
      </w:r>
      <w:r>
        <w:rPr>
          <w:spacing w:val="-3"/>
          <w:sz w:val="18"/>
          <w:szCs w:val="18"/>
          <w:lang w:val="es-ES_tradnl"/>
        </w:rPr>
        <w:t xml:space="preserve">empresa, interpone juicio laboral verbal sumario por </w:t>
      </w:r>
      <w:r>
        <w:rPr>
          <w:spacing w:val="-10"/>
          <w:sz w:val="18"/>
          <w:szCs w:val="18"/>
          <w:lang w:val="es-ES_tradnl"/>
        </w:rPr>
        <w:t>reclamos laborales, en el cual aleg</w:t>
      </w:r>
      <w:r>
        <w:rPr>
          <w:rFonts w:cs="Times New Roman"/>
          <w:spacing w:val="-10"/>
          <w:sz w:val="18"/>
          <w:szCs w:val="18"/>
          <w:lang w:val="es-ES_tradnl"/>
        </w:rPr>
        <w:t>ó</w:t>
      </w:r>
      <w:r>
        <w:rPr>
          <w:spacing w:val="-10"/>
          <w:sz w:val="18"/>
          <w:szCs w:val="18"/>
          <w:lang w:val="es-ES_tradnl"/>
        </w:rPr>
        <w:t xml:space="preserve"> la existencia de despido </w:t>
      </w:r>
      <w:r>
        <w:rPr>
          <w:spacing w:val="-6"/>
          <w:sz w:val="18"/>
          <w:szCs w:val="18"/>
          <w:lang w:val="es-ES_tradnl"/>
        </w:rPr>
        <w:t xml:space="preserve">intempestivo; en primera instancia, el </w:t>
      </w:r>
      <w:r>
        <w:rPr>
          <w:i/>
          <w:iCs/>
          <w:spacing w:val="-6"/>
          <w:sz w:val="18"/>
          <w:szCs w:val="18"/>
          <w:lang w:val="es-ES_tradnl"/>
        </w:rPr>
        <w:t>juez a quo</w:t>
      </w:r>
      <w:r>
        <w:rPr>
          <w:spacing w:val="-6"/>
          <w:sz w:val="18"/>
          <w:szCs w:val="18"/>
          <w:lang w:val="es-ES_tradnl"/>
        </w:rPr>
        <w:t>, acept</w:t>
      </w:r>
      <w:r>
        <w:rPr>
          <w:rFonts w:cs="Times New Roman"/>
          <w:spacing w:val="-6"/>
          <w:sz w:val="18"/>
          <w:szCs w:val="18"/>
          <w:lang w:val="es-ES_tradnl"/>
        </w:rPr>
        <w:t xml:space="preserve">ó </w:t>
      </w:r>
      <w:r>
        <w:rPr>
          <w:spacing w:val="-8"/>
          <w:sz w:val="18"/>
          <w:szCs w:val="18"/>
          <w:lang w:val="es-ES_tradnl"/>
        </w:rPr>
        <w:t xml:space="preserve">parcialmente la demanda; frente a ello y ante el recurso de </w:t>
      </w:r>
      <w:r>
        <w:rPr>
          <w:spacing w:val="-10"/>
          <w:sz w:val="18"/>
          <w:szCs w:val="18"/>
          <w:lang w:val="es-ES_tradnl"/>
        </w:rPr>
        <w:t>apelaci</w:t>
      </w:r>
      <w:r>
        <w:rPr>
          <w:rFonts w:cs="Times New Roman"/>
          <w:spacing w:val="-10"/>
          <w:sz w:val="18"/>
          <w:szCs w:val="18"/>
          <w:lang w:val="es-ES_tradnl"/>
        </w:rPr>
        <w:t>ó</w:t>
      </w:r>
      <w:r>
        <w:rPr>
          <w:spacing w:val="-10"/>
          <w:sz w:val="18"/>
          <w:szCs w:val="18"/>
          <w:lang w:val="es-ES_tradnl"/>
        </w:rPr>
        <w:t>n presentado, la Primera Sala de lo Laboral, Ni</w:t>
      </w:r>
      <w:r>
        <w:rPr>
          <w:rFonts w:cs="Times New Roman"/>
          <w:spacing w:val="-10"/>
          <w:sz w:val="18"/>
          <w:szCs w:val="18"/>
          <w:lang w:val="es-ES_tradnl"/>
        </w:rPr>
        <w:t>ñ</w:t>
      </w:r>
      <w:r>
        <w:rPr>
          <w:spacing w:val="-10"/>
          <w:sz w:val="18"/>
          <w:szCs w:val="18"/>
          <w:lang w:val="es-ES_tradnl"/>
        </w:rPr>
        <w:t xml:space="preserve">ez y </w:t>
      </w:r>
      <w:r>
        <w:rPr>
          <w:spacing w:val="-8"/>
          <w:sz w:val="18"/>
          <w:szCs w:val="18"/>
          <w:lang w:val="es-ES_tradnl"/>
        </w:rPr>
        <w:t xml:space="preserve">Adolescencia de la Corte Provincial de Justicia del Guayas, </w:t>
      </w:r>
      <w:r>
        <w:rPr>
          <w:spacing w:val="-4"/>
          <w:sz w:val="18"/>
          <w:szCs w:val="18"/>
          <w:lang w:val="es-ES_tradnl"/>
        </w:rPr>
        <w:t>confirm</w:t>
      </w:r>
      <w:r>
        <w:rPr>
          <w:rFonts w:cs="Times New Roman"/>
          <w:spacing w:val="-4"/>
          <w:sz w:val="18"/>
          <w:szCs w:val="18"/>
          <w:lang w:val="es-ES_tradnl"/>
        </w:rPr>
        <w:t>ó</w:t>
      </w:r>
      <w:r>
        <w:rPr>
          <w:spacing w:val="-4"/>
          <w:sz w:val="18"/>
          <w:szCs w:val="18"/>
          <w:lang w:val="es-ES_tradnl"/>
        </w:rPr>
        <w:t xml:space="preserve"> el fallo del inferior; al interponerse recurso de </w:t>
      </w:r>
      <w:r>
        <w:rPr>
          <w:spacing w:val="-10"/>
          <w:sz w:val="18"/>
          <w:szCs w:val="18"/>
          <w:lang w:val="es-ES_tradnl"/>
        </w:rPr>
        <w:t>casaci</w:t>
      </w:r>
      <w:r>
        <w:rPr>
          <w:rFonts w:cs="Times New Roman"/>
          <w:spacing w:val="-10"/>
          <w:sz w:val="18"/>
          <w:szCs w:val="18"/>
          <w:lang w:val="es-ES_tradnl"/>
        </w:rPr>
        <w:t>ó</w:t>
      </w:r>
      <w:r>
        <w:rPr>
          <w:spacing w:val="-10"/>
          <w:sz w:val="18"/>
          <w:szCs w:val="18"/>
          <w:lang w:val="es-ES_tradnl"/>
        </w:rPr>
        <w:t xml:space="preserve">n por la empresa demandada, la Segunda Sala de lo Laboral de la Corte Nacional de Justicia, mediante sentencia </w:t>
      </w:r>
      <w:r>
        <w:rPr>
          <w:spacing w:val="-5"/>
          <w:sz w:val="18"/>
          <w:szCs w:val="18"/>
          <w:lang w:val="es-ES_tradnl"/>
        </w:rPr>
        <w:t>dictada el 25 de octubre de 2011, en fallo de mayor</w:t>
      </w:r>
      <w:r>
        <w:rPr>
          <w:rFonts w:cs="Times New Roman"/>
          <w:spacing w:val="-5"/>
          <w:sz w:val="18"/>
          <w:szCs w:val="18"/>
          <w:lang w:val="es-ES_tradnl"/>
        </w:rPr>
        <w:t>í</w:t>
      </w:r>
      <w:r>
        <w:rPr>
          <w:spacing w:val="-5"/>
          <w:sz w:val="18"/>
          <w:szCs w:val="18"/>
          <w:lang w:val="es-ES_tradnl"/>
        </w:rPr>
        <w:t xml:space="preserve">a, </w:t>
      </w:r>
      <w:r>
        <w:rPr>
          <w:spacing w:val="-9"/>
          <w:sz w:val="18"/>
          <w:szCs w:val="18"/>
          <w:lang w:val="es-ES_tradnl"/>
        </w:rPr>
        <w:t>desestim</w:t>
      </w:r>
      <w:r>
        <w:rPr>
          <w:rFonts w:cs="Times New Roman"/>
          <w:spacing w:val="-9"/>
          <w:sz w:val="18"/>
          <w:szCs w:val="18"/>
          <w:lang w:val="es-ES_tradnl"/>
        </w:rPr>
        <w:t>ó</w:t>
      </w:r>
      <w:r>
        <w:rPr>
          <w:spacing w:val="-9"/>
          <w:sz w:val="18"/>
          <w:szCs w:val="18"/>
          <w:lang w:val="es-ES_tradnl"/>
        </w:rPr>
        <w:t xml:space="preserve"> por improcedente el recurso interpuesto.</w:t>
      </w:r>
    </w:p>
    <w:p w14:paraId="4F67B982" w14:textId="77777777" w:rsidR="00591D54" w:rsidRDefault="00591D54">
      <w:pPr>
        <w:shd w:val="clear" w:color="auto" w:fill="FFFFFF"/>
        <w:spacing w:before="197"/>
      </w:pPr>
      <w:r>
        <w:rPr>
          <w:b/>
          <w:bCs/>
          <w:spacing w:val="-11"/>
          <w:sz w:val="18"/>
          <w:szCs w:val="18"/>
          <w:lang w:val="es-ES_tradnl"/>
        </w:rPr>
        <w:t>Argumentos planteados en la demanda</w:t>
      </w:r>
    </w:p>
    <w:p w14:paraId="4F67B983" w14:textId="77777777" w:rsidR="00591D54" w:rsidRDefault="00591D54">
      <w:pPr>
        <w:shd w:val="clear" w:color="auto" w:fill="FFFFFF"/>
        <w:spacing w:before="206" w:line="221" w:lineRule="exact"/>
        <w:jc w:val="both"/>
      </w:pPr>
      <w:r>
        <w:rPr>
          <w:spacing w:val="-7"/>
          <w:sz w:val="18"/>
          <w:szCs w:val="18"/>
          <w:lang w:val="es-ES_tradnl"/>
        </w:rPr>
        <w:t>En la demanda, el ingeniero Jos</w:t>
      </w:r>
      <w:r>
        <w:rPr>
          <w:rFonts w:cs="Times New Roman"/>
          <w:spacing w:val="-7"/>
          <w:sz w:val="18"/>
          <w:szCs w:val="18"/>
          <w:lang w:val="es-ES_tradnl"/>
        </w:rPr>
        <w:t>é</w:t>
      </w:r>
      <w:r>
        <w:rPr>
          <w:spacing w:val="-7"/>
          <w:sz w:val="18"/>
          <w:szCs w:val="18"/>
          <w:lang w:val="es-ES_tradnl"/>
        </w:rPr>
        <w:t xml:space="preserve"> Luis Santos Garc</w:t>
      </w:r>
      <w:r>
        <w:rPr>
          <w:rFonts w:cs="Times New Roman"/>
          <w:spacing w:val="-7"/>
          <w:sz w:val="18"/>
          <w:szCs w:val="18"/>
          <w:lang w:val="es-ES_tradnl"/>
        </w:rPr>
        <w:t>í</w:t>
      </w:r>
      <w:r>
        <w:rPr>
          <w:spacing w:val="-7"/>
          <w:sz w:val="18"/>
          <w:szCs w:val="18"/>
          <w:lang w:val="es-ES_tradnl"/>
        </w:rPr>
        <w:t xml:space="preserve">a, </w:t>
      </w:r>
      <w:r>
        <w:rPr>
          <w:spacing w:val="-10"/>
          <w:sz w:val="18"/>
          <w:szCs w:val="18"/>
          <w:lang w:val="es-ES_tradnl"/>
        </w:rPr>
        <w:t xml:space="preserve">comparece en calidad de gerente general de la Empresa </w:t>
      </w:r>
      <w:r>
        <w:rPr>
          <w:spacing w:val="-7"/>
          <w:sz w:val="18"/>
          <w:szCs w:val="18"/>
          <w:lang w:val="es-ES_tradnl"/>
        </w:rPr>
        <w:t xml:space="preserve">Cantonal de Agua Potable y Alcantarillado de Guayaquil </w:t>
      </w:r>
      <w:r>
        <w:rPr>
          <w:spacing w:val="-10"/>
          <w:sz w:val="18"/>
          <w:szCs w:val="18"/>
          <w:lang w:val="es-ES_tradnl"/>
        </w:rPr>
        <w:t xml:space="preserve">(ECAPAG), manifestando que la sentencia dictada el 25 de </w:t>
      </w:r>
      <w:r>
        <w:rPr>
          <w:spacing w:val="-13"/>
          <w:sz w:val="18"/>
          <w:szCs w:val="18"/>
          <w:lang w:val="es-ES_tradnl"/>
        </w:rPr>
        <w:t xml:space="preserve">octubre de 2011, por la Segunda Sala de lo Laboral de la Corte </w:t>
      </w:r>
      <w:r>
        <w:rPr>
          <w:spacing w:val="-6"/>
          <w:sz w:val="18"/>
          <w:szCs w:val="18"/>
          <w:lang w:val="es-ES_tradnl"/>
        </w:rPr>
        <w:t>Nacional de Justicia, dentro del juicio de trabajo N.</w:t>
      </w:r>
      <w:r>
        <w:rPr>
          <w:rFonts w:cs="Times New Roman"/>
          <w:spacing w:val="-6"/>
          <w:sz w:val="18"/>
          <w:szCs w:val="18"/>
          <w:lang w:val="es-ES_tradnl"/>
        </w:rPr>
        <w:t>º</w:t>
      </w:r>
      <w:r>
        <w:rPr>
          <w:spacing w:val="-6"/>
          <w:sz w:val="18"/>
          <w:szCs w:val="18"/>
          <w:lang w:val="es-ES_tradnl"/>
        </w:rPr>
        <w:t xml:space="preserve"> 0112-</w:t>
      </w:r>
      <w:r>
        <w:rPr>
          <w:spacing w:val="-9"/>
          <w:sz w:val="18"/>
          <w:szCs w:val="18"/>
          <w:lang w:val="es-ES_tradnl"/>
        </w:rPr>
        <w:t>2006, vulner</w:t>
      </w:r>
      <w:r>
        <w:rPr>
          <w:rFonts w:cs="Times New Roman"/>
          <w:spacing w:val="-9"/>
          <w:sz w:val="18"/>
          <w:szCs w:val="18"/>
          <w:lang w:val="es-ES_tradnl"/>
        </w:rPr>
        <w:t>ó</w:t>
      </w:r>
      <w:r>
        <w:rPr>
          <w:spacing w:val="-9"/>
          <w:sz w:val="18"/>
          <w:szCs w:val="18"/>
          <w:lang w:val="es-ES_tradnl"/>
        </w:rPr>
        <w:t xml:space="preserve"> su derecho al debido proceso, establecido en </w:t>
      </w:r>
      <w:r>
        <w:rPr>
          <w:spacing w:val="-10"/>
          <w:sz w:val="18"/>
          <w:szCs w:val="18"/>
          <w:lang w:val="es-ES_tradnl"/>
        </w:rPr>
        <w:t>el art</w:t>
      </w:r>
      <w:r>
        <w:rPr>
          <w:rFonts w:cs="Times New Roman"/>
          <w:spacing w:val="-10"/>
          <w:sz w:val="18"/>
          <w:szCs w:val="18"/>
          <w:lang w:val="es-ES_tradnl"/>
        </w:rPr>
        <w:t>í</w:t>
      </w:r>
      <w:r>
        <w:rPr>
          <w:spacing w:val="-10"/>
          <w:sz w:val="18"/>
          <w:szCs w:val="18"/>
          <w:lang w:val="es-ES_tradnl"/>
        </w:rPr>
        <w:t>culo 76 de la Constituci</w:t>
      </w:r>
      <w:r>
        <w:rPr>
          <w:rFonts w:cs="Times New Roman"/>
          <w:spacing w:val="-10"/>
          <w:sz w:val="18"/>
          <w:szCs w:val="18"/>
          <w:lang w:val="es-ES_tradnl"/>
        </w:rPr>
        <w:t>ó</w:t>
      </w:r>
      <w:r>
        <w:rPr>
          <w:spacing w:val="-10"/>
          <w:sz w:val="18"/>
          <w:szCs w:val="18"/>
          <w:lang w:val="es-ES_tradnl"/>
        </w:rPr>
        <w:t>n de la Rep</w:t>
      </w:r>
      <w:r>
        <w:rPr>
          <w:rFonts w:cs="Times New Roman"/>
          <w:spacing w:val="-10"/>
          <w:sz w:val="18"/>
          <w:szCs w:val="18"/>
          <w:lang w:val="es-ES_tradnl"/>
        </w:rPr>
        <w:t>ú</w:t>
      </w:r>
      <w:r>
        <w:rPr>
          <w:spacing w:val="-10"/>
          <w:sz w:val="18"/>
          <w:szCs w:val="18"/>
          <w:lang w:val="es-ES_tradnl"/>
        </w:rPr>
        <w:t xml:space="preserve">blica del Ecuador, </w:t>
      </w:r>
      <w:r>
        <w:rPr>
          <w:spacing w:val="-8"/>
          <w:sz w:val="18"/>
          <w:szCs w:val="18"/>
          <w:lang w:val="es-ES_tradnl"/>
        </w:rPr>
        <w:t>pues afirma que no existi</w:t>
      </w:r>
      <w:r>
        <w:rPr>
          <w:rFonts w:cs="Times New Roman"/>
          <w:spacing w:val="-8"/>
          <w:sz w:val="18"/>
          <w:szCs w:val="18"/>
          <w:lang w:val="es-ES_tradnl"/>
        </w:rPr>
        <w:t>ó</w:t>
      </w:r>
      <w:r>
        <w:rPr>
          <w:spacing w:val="-8"/>
          <w:sz w:val="18"/>
          <w:szCs w:val="18"/>
          <w:lang w:val="es-ES_tradnl"/>
        </w:rPr>
        <w:t xml:space="preserve"> despido intempestivo en contra de Scarlet Murillo Barcos; ya que, al otorgarse la concesi</w:t>
      </w:r>
      <w:r>
        <w:rPr>
          <w:rFonts w:cs="Times New Roman"/>
          <w:spacing w:val="-8"/>
          <w:sz w:val="18"/>
          <w:szCs w:val="18"/>
          <w:lang w:val="es-ES_tradnl"/>
        </w:rPr>
        <w:t>ó</w:t>
      </w:r>
      <w:r>
        <w:rPr>
          <w:spacing w:val="-8"/>
          <w:sz w:val="18"/>
          <w:szCs w:val="18"/>
          <w:lang w:val="es-ES_tradnl"/>
        </w:rPr>
        <w:t xml:space="preserve">n del servicio de agua potable y alcantarillado de Guayaquil a </w:t>
      </w:r>
      <w:r>
        <w:rPr>
          <w:spacing w:val="-10"/>
          <w:sz w:val="18"/>
          <w:szCs w:val="18"/>
          <w:lang w:val="es-ES_tradnl"/>
        </w:rPr>
        <w:t xml:space="preserve">la empresa INTERAGUA, su representada tuvo que efectuar </w:t>
      </w:r>
      <w:r>
        <w:rPr>
          <w:sz w:val="18"/>
          <w:szCs w:val="18"/>
          <w:lang w:val="es-ES_tradnl"/>
        </w:rPr>
        <w:t>una reducci</w:t>
      </w:r>
      <w:r>
        <w:rPr>
          <w:rFonts w:cs="Times New Roman"/>
          <w:sz w:val="18"/>
          <w:szCs w:val="18"/>
          <w:lang w:val="es-ES_tradnl"/>
        </w:rPr>
        <w:t>ó</w:t>
      </w:r>
      <w:r>
        <w:rPr>
          <w:sz w:val="18"/>
          <w:szCs w:val="18"/>
          <w:lang w:val="es-ES_tradnl"/>
        </w:rPr>
        <w:t>n de personal.</w:t>
      </w:r>
    </w:p>
    <w:p w14:paraId="4F67B984" w14:textId="77777777" w:rsidR="00591D54" w:rsidRDefault="00591D54">
      <w:pPr>
        <w:shd w:val="clear" w:color="auto" w:fill="FFFFFF"/>
        <w:spacing w:before="202" w:line="221" w:lineRule="exact"/>
        <w:jc w:val="both"/>
      </w:pPr>
      <w:r>
        <w:rPr>
          <w:spacing w:val="-7"/>
          <w:sz w:val="18"/>
          <w:szCs w:val="18"/>
          <w:lang w:val="es-ES_tradnl"/>
        </w:rPr>
        <w:t>Asegura tambi</w:t>
      </w:r>
      <w:r>
        <w:rPr>
          <w:rFonts w:cs="Times New Roman"/>
          <w:spacing w:val="-7"/>
          <w:sz w:val="18"/>
          <w:szCs w:val="18"/>
          <w:lang w:val="es-ES_tradnl"/>
        </w:rPr>
        <w:t>é</w:t>
      </w:r>
      <w:r>
        <w:rPr>
          <w:spacing w:val="-7"/>
          <w:sz w:val="18"/>
          <w:szCs w:val="18"/>
          <w:lang w:val="es-ES_tradnl"/>
        </w:rPr>
        <w:t xml:space="preserve">n que se ha vulnerado su derecho a la </w:t>
      </w:r>
      <w:r>
        <w:rPr>
          <w:spacing w:val="-3"/>
          <w:sz w:val="18"/>
          <w:szCs w:val="18"/>
          <w:lang w:val="es-ES_tradnl"/>
        </w:rPr>
        <w:t>seguridad jur</w:t>
      </w:r>
      <w:r>
        <w:rPr>
          <w:rFonts w:cs="Times New Roman"/>
          <w:spacing w:val="-3"/>
          <w:sz w:val="18"/>
          <w:szCs w:val="18"/>
          <w:lang w:val="es-ES_tradnl"/>
        </w:rPr>
        <w:t>í</w:t>
      </w:r>
      <w:r>
        <w:rPr>
          <w:spacing w:val="-3"/>
          <w:sz w:val="18"/>
          <w:szCs w:val="18"/>
          <w:lang w:val="es-ES_tradnl"/>
        </w:rPr>
        <w:t xml:space="preserve">dica, necesario para </w:t>
      </w:r>
      <w:r>
        <w:rPr>
          <w:rFonts w:cs="Times New Roman"/>
          <w:spacing w:val="-3"/>
          <w:sz w:val="18"/>
          <w:szCs w:val="18"/>
          <w:lang w:val="es-ES_tradnl"/>
        </w:rPr>
        <w:t>“</w:t>
      </w:r>
      <w:r>
        <w:rPr>
          <w:spacing w:val="-3"/>
          <w:sz w:val="18"/>
          <w:szCs w:val="18"/>
          <w:lang w:val="es-ES_tradnl"/>
        </w:rPr>
        <w:t>(</w:t>
      </w:r>
      <w:r>
        <w:rPr>
          <w:rFonts w:cs="Times New Roman"/>
          <w:spacing w:val="-3"/>
          <w:sz w:val="18"/>
          <w:szCs w:val="18"/>
          <w:lang w:val="es-ES_tradnl"/>
        </w:rPr>
        <w:t>…</w:t>
      </w:r>
      <w:r>
        <w:rPr>
          <w:spacing w:val="-3"/>
          <w:sz w:val="18"/>
          <w:szCs w:val="18"/>
          <w:lang w:val="es-ES_tradnl"/>
        </w:rPr>
        <w:t xml:space="preserve">) precautelar que </w:t>
      </w:r>
      <w:r>
        <w:rPr>
          <w:spacing w:val="-8"/>
          <w:sz w:val="18"/>
          <w:szCs w:val="18"/>
          <w:lang w:val="es-ES_tradnl"/>
        </w:rPr>
        <w:t>la exclusi</w:t>
      </w:r>
      <w:r>
        <w:rPr>
          <w:rFonts w:cs="Times New Roman"/>
          <w:spacing w:val="-8"/>
          <w:sz w:val="18"/>
          <w:szCs w:val="18"/>
          <w:lang w:val="es-ES_tradnl"/>
        </w:rPr>
        <w:t>ó</w:t>
      </w:r>
      <w:r>
        <w:rPr>
          <w:spacing w:val="-8"/>
          <w:sz w:val="18"/>
          <w:szCs w:val="18"/>
          <w:lang w:val="es-ES_tradnl"/>
        </w:rPr>
        <w:t xml:space="preserve">n de cualquier derecho fundamental pueda ser dispuesta </w:t>
      </w:r>
      <w:r>
        <w:rPr>
          <w:rFonts w:cs="Times New Roman"/>
          <w:spacing w:val="-8"/>
          <w:sz w:val="18"/>
          <w:szCs w:val="18"/>
          <w:lang w:val="es-ES_tradnl"/>
        </w:rPr>
        <w:t>ú</w:t>
      </w:r>
      <w:r>
        <w:rPr>
          <w:spacing w:val="-8"/>
          <w:sz w:val="18"/>
          <w:szCs w:val="18"/>
          <w:lang w:val="es-ES_tradnl"/>
        </w:rPr>
        <w:t>nicamente despu</w:t>
      </w:r>
      <w:r>
        <w:rPr>
          <w:rFonts w:cs="Times New Roman"/>
          <w:spacing w:val="-8"/>
          <w:sz w:val="18"/>
          <w:szCs w:val="18"/>
          <w:lang w:val="es-ES_tradnl"/>
        </w:rPr>
        <w:t>é</w:t>
      </w:r>
      <w:r>
        <w:rPr>
          <w:spacing w:val="-8"/>
          <w:sz w:val="18"/>
          <w:szCs w:val="18"/>
          <w:lang w:val="es-ES_tradnl"/>
        </w:rPr>
        <w:t xml:space="preserve">s de que se hayan cumplido </w:t>
      </w:r>
      <w:r>
        <w:rPr>
          <w:spacing w:val="-5"/>
          <w:sz w:val="18"/>
          <w:szCs w:val="18"/>
          <w:lang w:val="es-ES_tradnl"/>
        </w:rPr>
        <w:t xml:space="preserve">todos los mecanismos de defensa previstos por el </w:t>
      </w:r>
      <w:r>
        <w:rPr>
          <w:spacing w:val="-10"/>
          <w:sz w:val="18"/>
          <w:szCs w:val="18"/>
          <w:lang w:val="es-ES_tradnl"/>
        </w:rPr>
        <w:t>ordenamiento</w:t>
      </w:r>
      <w:r>
        <w:rPr>
          <w:rFonts w:cs="Times New Roman"/>
          <w:spacing w:val="-10"/>
          <w:sz w:val="18"/>
          <w:szCs w:val="18"/>
          <w:lang w:val="es-ES_tradnl"/>
        </w:rPr>
        <w:t>”</w:t>
      </w:r>
      <w:r>
        <w:rPr>
          <w:spacing w:val="-10"/>
          <w:sz w:val="18"/>
          <w:szCs w:val="18"/>
          <w:lang w:val="es-ES_tradnl"/>
        </w:rPr>
        <w:t>; pues, asegur</w:t>
      </w:r>
      <w:r>
        <w:rPr>
          <w:rFonts w:cs="Times New Roman"/>
          <w:spacing w:val="-10"/>
          <w:sz w:val="18"/>
          <w:szCs w:val="18"/>
          <w:lang w:val="es-ES_tradnl"/>
        </w:rPr>
        <w:t>ó</w:t>
      </w:r>
      <w:r>
        <w:rPr>
          <w:spacing w:val="-10"/>
          <w:sz w:val="18"/>
          <w:szCs w:val="18"/>
          <w:lang w:val="es-ES_tradnl"/>
        </w:rPr>
        <w:t xml:space="preserve"> que los jueces de la Segunda </w:t>
      </w:r>
      <w:r>
        <w:rPr>
          <w:spacing w:val="-5"/>
          <w:sz w:val="18"/>
          <w:szCs w:val="18"/>
          <w:lang w:val="es-ES_tradnl"/>
        </w:rPr>
        <w:t xml:space="preserve">Sala de lo Laboral de la Corte Nacional de Justicia, al </w:t>
      </w:r>
      <w:r>
        <w:rPr>
          <w:spacing w:val="-7"/>
          <w:sz w:val="18"/>
          <w:szCs w:val="18"/>
          <w:lang w:val="es-ES_tradnl"/>
        </w:rPr>
        <w:t>resolver el recurso de casaci</w:t>
      </w:r>
      <w:r>
        <w:rPr>
          <w:rFonts w:cs="Times New Roman"/>
          <w:spacing w:val="-7"/>
          <w:sz w:val="18"/>
          <w:szCs w:val="18"/>
          <w:lang w:val="es-ES_tradnl"/>
        </w:rPr>
        <w:t>ó</w:t>
      </w:r>
      <w:r>
        <w:rPr>
          <w:spacing w:val="-7"/>
          <w:sz w:val="18"/>
          <w:szCs w:val="18"/>
          <w:lang w:val="es-ES_tradnl"/>
        </w:rPr>
        <w:t xml:space="preserve">n presentado, debieron estar </w:t>
      </w:r>
      <w:r>
        <w:rPr>
          <w:spacing w:val="-6"/>
          <w:sz w:val="18"/>
          <w:szCs w:val="18"/>
          <w:lang w:val="es-ES_tradnl"/>
        </w:rPr>
        <w:t>a lo dispuesto por la Ley Especial N.</w:t>
      </w:r>
      <w:r>
        <w:rPr>
          <w:rFonts w:cs="Times New Roman"/>
          <w:spacing w:val="-6"/>
          <w:sz w:val="18"/>
          <w:szCs w:val="18"/>
          <w:lang w:val="es-ES_tradnl"/>
        </w:rPr>
        <w:t>º</w:t>
      </w:r>
      <w:r>
        <w:rPr>
          <w:spacing w:val="-6"/>
          <w:sz w:val="18"/>
          <w:szCs w:val="18"/>
          <w:lang w:val="es-ES_tradnl"/>
        </w:rPr>
        <w:t xml:space="preserve"> 121; es decir, casar </w:t>
      </w:r>
      <w:r>
        <w:rPr>
          <w:spacing w:val="-8"/>
          <w:sz w:val="18"/>
          <w:szCs w:val="18"/>
          <w:lang w:val="es-ES_tradnl"/>
        </w:rPr>
        <w:t xml:space="preserve">la sentencia y declarar sin lugar la demanda planteada por </w:t>
      </w:r>
      <w:r>
        <w:rPr>
          <w:sz w:val="18"/>
          <w:szCs w:val="18"/>
          <w:lang w:val="es-ES_tradnl"/>
        </w:rPr>
        <w:t>Scarlet Murillo Barcos.</w:t>
      </w:r>
    </w:p>
    <w:p w14:paraId="4F67B985" w14:textId="77777777" w:rsidR="00591D54" w:rsidRDefault="00591D54">
      <w:pPr>
        <w:shd w:val="clear" w:color="auto" w:fill="FFFFFF"/>
        <w:spacing w:before="202" w:line="221" w:lineRule="exact"/>
        <w:jc w:val="both"/>
        <w:sectPr w:rsidR="00591D54">
          <w:type w:val="continuous"/>
          <w:pgSz w:w="11909" w:h="16834"/>
          <w:pgMar w:top="1373" w:right="1304" w:bottom="360" w:left="1308" w:header="720" w:footer="720" w:gutter="0"/>
          <w:cols w:num="2" w:space="720" w:equalWidth="0">
            <w:col w:w="4305" w:space="682"/>
            <w:col w:w="4310"/>
          </w:cols>
          <w:noEndnote/>
        </w:sectPr>
      </w:pPr>
    </w:p>
    <w:p w14:paraId="4F67B986" w14:textId="77777777" w:rsidR="00591D54" w:rsidRDefault="00591D54">
      <w:pPr>
        <w:shd w:val="clear" w:color="auto" w:fill="FFFFFF"/>
        <w:tabs>
          <w:tab w:val="left" w:pos="4814"/>
        </w:tabs>
        <w:spacing w:after="226"/>
        <w:ind w:left="5"/>
      </w:pPr>
      <w:r>
        <w:rPr>
          <w:b/>
          <w:bCs/>
          <w:sz w:val="18"/>
          <w:szCs w:val="18"/>
          <w:lang w:val="es-ES_tradnl"/>
        </w:rPr>
        <w:t xml:space="preserve">268 -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987" w14:textId="77777777" w:rsidR="00591D54" w:rsidRDefault="00591D54">
      <w:pPr>
        <w:shd w:val="clear" w:color="auto" w:fill="FFFFFF"/>
        <w:tabs>
          <w:tab w:val="left" w:pos="4814"/>
        </w:tabs>
        <w:spacing w:after="226"/>
        <w:ind w:left="5"/>
        <w:sectPr w:rsidR="00591D54">
          <w:pgSz w:w="11909" w:h="16834"/>
          <w:pgMar w:top="1378" w:right="1304" w:bottom="360" w:left="1308" w:header="720" w:footer="720" w:gutter="0"/>
          <w:cols w:space="60"/>
          <w:noEndnote/>
        </w:sectPr>
      </w:pPr>
    </w:p>
    <w:p w14:paraId="4F67B988" w14:textId="77777777" w:rsidR="00591D54" w:rsidRDefault="00591D54">
      <w:pPr>
        <w:shd w:val="clear" w:color="auto" w:fill="FFFFFF"/>
      </w:pPr>
      <w:r>
        <w:rPr>
          <w:b/>
          <w:bCs/>
          <w:spacing w:val="-11"/>
          <w:sz w:val="18"/>
          <w:szCs w:val="18"/>
          <w:lang w:val="es-ES_tradnl"/>
        </w:rPr>
        <w:t>Derechos presuntamente transgredidos</w:t>
      </w:r>
    </w:p>
    <w:p w14:paraId="4F67B989" w14:textId="77777777" w:rsidR="00591D54" w:rsidRDefault="00591D54">
      <w:pPr>
        <w:shd w:val="clear" w:color="auto" w:fill="FFFFFF"/>
        <w:spacing w:before="197" w:line="216" w:lineRule="exact"/>
        <w:ind w:right="5"/>
        <w:jc w:val="both"/>
      </w:pPr>
      <w:r>
        <w:rPr>
          <w:spacing w:val="-4"/>
          <w:sz w:val="18"/>
          <w:szCs w:val="18"/>
          <w:lang w:val="es-ES_tradnl"/>
        </w:rPr>
        <w:t>El legitimado activo argumenta que la decisi</w:t>
      </w:r>
      <w:r>
        <w:rPr>
          <w:rFonts w:cs="Times New Roman"/>
          <w:spacing w:val="-4"/>
          <w:sz w:val="18"/>
          <w:szCs w:val="18"/>
          <w:lang w:val="es-ES_tradnl"/>
        </w:rPr>
        <w:t>ó</w:t>
      </w:r>
      <w:r>
        <w:rPr>
          <w:spacing w:val="-4"/>
          <w:sz w:val="18"/>
          <w:szCs w:val="18"/>
          <w:lang w:val="es-ES_tradnl"/>
        </w:rPr>
        <w:t xml:space="preserve">n judicial </w:t>
      </w:r>
      <w:r>
        <w:rPr>
          <w:spacing w:val="-7"/>
          <w:sz w:val="18"/>
          <w:szCs w:val="18"/>
          <w:lang w:val="es-ES_tradnl"/>
        </w:rPr>
        <w:t>objeto de la presente acci</w:t>
      </w:r>
      <w:r>
        <w:rPr>
          <w:rFonts w:cs="Times New Roman"/>
          <w:spacing w:val="-7"/>
          <w:sz w:val="18"/>
          <w:szCs w:val="18"/>
          <w:lang w:val="es-ES_tradnl"/>
        </w:rPr>
        <w:t>ó</w:t>
      </w:r>
      <w:r>
        <w:rPr>
          <w:spacing w:val="-7"/>
          <w:sz w:val="18"/>
          <w:szCs w:val="18"/>
          <w:lang w:val="es-ES_tradnl"/>
        </w:rPr>
        <w:t>n extraordinaria de protecci</w:t>
      </w:r>
      <w:r>
        <w:rPr>
          <w:rFonts w:cs="Times New Roman"/>
          <w:spacing w:val="-7"/>
          <w:sz w:val="18"/>
          <w:szCs w:val="18"/>
          <w:lang w:val="es-ES_tradnl"/>
        </w:rPr>
        <w:t>ó</w:t>
      </w:r>
      <w:r>
        <w:rPr>
          <w:spacing w:val="-7"/>
          <w:sz w:val="18"/>
          <w:szCs w:val="18"/>
          <w:lang w:val="es-ES_tradnl"/>
        </w:rPr>
        <w:t xml:space="preserve">n, </w:t>
      </w:r>
      <w:r>
        <w:rPr>
          <w:spacing w:val="-8"/>
          <w:sz w:val="18"/>
          <w:szCs w:val="18"/>
          <w:lang w:val="es-ES_tradnl"/>
        </w:rPr>
        <w:t>vulnera el derecho a la seguridad jur</w:t>
      </w:r>
      <w:r>
        <w:rPr>
          <w:rFonts w:cs="Times New Roman"/>
          <w:spacing w:val="-8"/>
          <w:sz w:val="18"/>
          <w:szCs w:val="18"/>
          <w:lang w:val="es-ES_tradnl"/>
        </w:rPr>
        <w:t>í</w:t>
      </w:r>
      <w:r>
        <w:rPr>
          <w:spacing w:val="-8"/>
          <w:sz w:val="18"/>
          <w:szCs w:val="18"/>
          <w:lang w:val="es-ES_tradnl"/>
        </w:rPr>
        <w:t>dica, establecido en el art</w:t>
      </w:r>
      <w:r>
        <w:rPr>
          <w:rFonts w:cs="Times New Roman"/>
          <w:spacing w:val="-8"/>
          <w:sz w:val="18"/>
          <w:szCs w:val="18"/>
          <w:lang w:val="es-ES_tradnl"/>
        </w:rPr>
        <w:t>í</w:t>
      </w:r>
      <w:r>
        <w:rPr>
          <w:spacing w:val="-8"/>
          <w:sz w:val="18"/>
          <w:szCs w:val="18"/>
          <w:lang w:val="es-ES_tradnl"/>
        </w:rPr>
        <w:t>culo 82 de la Constituci</w:t>
      </w:r>
      <w:r>
        <w:rPr>
          <w:rFonts w:cs="Times New Roman"/>
          <w:spacing w:val="-8"/>
          <w:sz w:val="18"/>
          <w:szCs w:val="18"/>
          <w:lang w:val="es-ES_tradnl"/>
        </w:rPr>
        <w:t>ó</w:t>
      </w:r>
      <w:r>
        <w:rPr>
          <w:spacing w:val="-8"/>
          <w:sz w:val="18"/>
          <w:szCs w:val="18"/>
          <w:lang w:val="es-ES_tradnl"/>
        </w:rPr>
        <w:t>n de la Rep</w:t>
      </w:r>
      <w:r>
        <w:rPr>
          <w:rFonts w:cs="Times New Roman"/>
          <w:spacing w:val="-8"/>
          <w:sz w:val="18"/>
          <w:szCs w:val="18"/>
          <w:lang w:val="es-ES_tradnl"/>
        </w:rPr>
        <w:t>ú</w:t>
      </w:r>
      <w:r>
        <w:rPr>
          <w:spacing w:val="-8"/>
          <w:sz w:val="18"/>
          <w:szCs w:val="18"/>
          <w:lang w:val="es-ES_tradnl"/>
        </w:rPr>
        <w:t>blica del Ecuador.</w:t>
      </w:r>
    </w:p>
    <w:p w14:paraId="4F67B98A" w14:textId="77777777" w:rsidR="00591D54" w:rsidRDefault="00591D54">
      <w:pPr>
        <w:shd w:val="clear" w:color="auto" w:fill="FFFFFF"/>
        <w:spacing w:before="192"/>
      </w:pPr>
      <w:r>
        <w:rPr>
          <w:b/>
          <w:bCs/>
          <w:spacing w:val="-11"/>
          <w:sz w:val="18"/>
          <w:szCs w:val="18"/>
          <w:lang w:val="es-ES_tradnl"/>
        </w:rPr>
        <w:t>Pretensi</w:t>
      </w:r>
      <w:r>
        <w:rPr>
          <w:rFonts w:cs="Times New Roman"/>
          <w:b/>
          <w:bCs/>
          <w:spacing w:val="-11"/>
          <w:sz w:val="18"/>
          <w:szCs w:val="18"/>
          <w:lang w:val="es-ES_tradnl"/>
        </w:rPr>
        <w:t>ó</w:t>
      </w:r>
      <w:r>
        <w:rPr>
          <w:b/>
          <w:bCs/>
          <w:spacing w:val="-11"/>
          <w:sz w:val="18"/>
          <w:szCs w:val="18"/>
          <w:lang w:val="es-ES_tradnl"/>
        </w:rPr>
        <w:t>n concreta</w:t>
      </w:r>
    </w:p>
    <w:p w14:paraId="4F67B98B" w14:textId="77777777" w:rsidR="00591D54" w:rsidRDefault="00591D54">
      <w:pPr>
        <w:shd w:val="clear" w:color="auto" w:fill="FFFFFF"/>
        <w:spacing w:before="197" w:line="216" w:lineRule="exact"/>
        <w:ind w:right="5"/>
        <w:jc w:val="both"/>
      </w:pPr>
      <w:r>
        <w:rPr>
          <w:spacing w:val="-10"/>
          <w:sz w:val="18"/>
          <w:szCs w:val="18"/>
          <w:lang w:val="es-ES_tradnl"/>
        </w:rPr>
        <w:t xml:space="preserve">Los accionantes solicitan que mediante sentencia se declare </w:t>
      </w:r>
      <w:r>
        <w:rPr>
          <w:sz w:val="18"/>
          <w:szCs w:val="18"/>
          <w:lang w:val="es-ES_tradnl"/>
        </w:rPr>
        <w:t>lo siguiente:</w:t>
      </w:r>
    </w:p>
    <w:p w14:paraId="4F67B98C" w14:textId="77777777" w:rsidR="00591D54" w:rsidRDefault="00591D54">
      <w:pPr>
        <w:shd w:val="clear" w:color="auto" w:fill="FFFFFF"/>
        <w:spacing w:before="202" w:line="216" w:lineRule="exact"/>
        <w:ind w:left="283"/>
        <w:jc w:val="both"/>
      </w:pPr>
      <w:r>
        <w:rPr>
          <w:spacing w:val="-6"/>
          <w:sz w:val="16"/>
          <w:szCs w:val="16"/>
          <w:lang w:val="es-ES_tradnl"/>
        </w:rPr>
        <w:t>(</w:t>
      </w:r>
      <w:r>
        <w:rPr>
          <w:rFonts w:cs="Times New Roman"/>
          <w:spacing w:val="-6"/>
          <w:sz w:val="16"/>
          <w:szCs w:val="16"/>
          <w:lang w:val="es-ES_tradnl"/>
        </w:rPr>
        <w:t>…</w:t>
      </w:r>
      <w:r>
        <w:rPr>
          <w:spacing w:val="-6"/>
          <w:sz w:val="16"/>
          <w:szCs w:val="16"/>
          <w:lang w:val="es-ES_tradnl"/>
        </w:rPr>
        <w:t>) que en la sentencia de mayor</w:t>
      </w:r>
      <w:r>
        <w:rPr>
          <w:rFonts w:cs="Times New Roman"/>
          <w:spacing w:val="-6"/>
          <w:sz w:val="16"/>
          <w:szCs w:val="16"/>
          <w:lang w:val="es-ES_tradnl"/>
        </w:rPr>
        <w:t>í</w:t>
      </w:r>
      <w:r>
        <w:rPr>
          <w:spacing w:val="-6"/>
          <w:sz w:val="16"/>
          <w:szCs w:val="16"/>
          <w:lang w:val="es-ES_tradnl"/>
        </w:rPr>
        <w:t xml:space="preserve">a emitida por la Segunda </w:t>
      </w:r>
      <w:r>
        <w:rPr>
          <w:spacing w:val="-2"/>
          <w:sz w:val="16"/>
          <w:szCs w:val="16"/>
          <w:lang w:val="es-ES_tradnl"/>
        </w:rPr>
        <w:t xml:space="preserve">Sala de lo Laboral de la Corte Nacional de Justicia del </w:t>
      </w:r>
      <w:r>
        <w:rPr>
          <w:spacing w:val="-3"/>
          <w:sz w:val="16"/>
          <w:szCs w:val="16"/>
          <w:lang w:val="es-ES_tradnl"/>
        </w:rPr>
        <w:t xml:space="preserve">Ecuador, con fecha 25 de Octubre del 2011 a las 15h50, </w:t>
      </w:r>
      <w:r>
        <w:rPr>
          <w:spacing w:val="-8"/>
          <w:sz w:val="16"/>
          <w:szCs w:val="16"/>
          <w:lang w:val="es-ES_tradnl"/>
        </w:rPr>
        <w:t>notificada que fuere el 26 de Octubre del presente a</w:t>
      </w:r>
      <w:r>
        <w:rPr>
          <w:rFonts w:cs="Times New Roman"/>
          <w:spacing w:val="-8"/>
          <w:sz w:val="16"/>
          <w:szCs w:val="16"/>
          <w:lang w:val="es-ES_tradnl"/>
        </w:rPr>
        <w:t>ñ</w:t>
      </w:r>
      <w:r>
        <w:rPr>
          <w:spacing w:val="-8"/>
          <w:sz w:val="16"/>
          <w:szCs w:val="16"/>
          <w:lang w:val="es-ES_tradnl"/>
        </w:rPr>
        <w:t xml:space="preserve">o, dentro </w:t>
      </w:r>
      <w:r>
        <w:rPr>
          <w:spacing w:val="-5"/>
          <w:sz w:val="16"/>
          <w:szCs w:val="16"/>
          <w:lang w:val="es-ES_tradnl"/>
        </w:rPr>
        <w:t xml:space="preserve">del juicio verbal sumario No. 112-2006, seguido por Scarlet </w:t>
      </w:r>
      <w:r>
        <w:rPr>
          <w:spacing w:val="-4"/>
          <w:sz w:val="16"/>
          <w:szCs w:val="16"/>
          <w:lang w:val="es-ES_tradnl"/>
        </w:rPr>
        <w:t xml:space="preserve">Murillo Barcos en contra de mi representada la EMPRESA </w:t>
      </w:r>
      <w:r>
        <w:rPr>
          <w:spacing w:val="-1"/>
          <w:sz w:val="16"/>
          <w:szCs w:val="16"/>
          <w:lang w:val="es-ES_tradnl"/>
        </w:rPr>
        <w:t xml:space="preserve">CANTONAL DE AGUA POTABLE Y ALCANTARILLADO </w:t>
      </w:r>
      <w:r>
        <w:rPr>
          <w:spacing w:val="-4"/>
          <w:sz w:val="16"/>
          <w:szCs w:val="16"/>
          <w:lang w:val="es-ES_tradnl"/>
        </w:rPr>
        <w:t xml:space="preserve">DE GUAYAQUIL (ECAPAG), se han violado los derechos </w:t>
      </w:r>
      <w:r>
        <w:rPr>
          <w:spacing w:val="-1"/>
          <w:sz w:val="16"/>
          <w:szCs w:val="16"/>
          <w:lang w:val="es-ES_tradnl"/>
        </w:rPr>
        <w:t xml:space="preserve">constitucionales del accionante; disponiendo: Dejar sin </w:t>
      </w:r>
      <w:r>
        <w:rPr>
          <w:spacing w:val="-6"/>
          <w:sz w:val="16"/>
          <w:szCs w:val="16"/>
          <w:lang w:val="es-ES_tradnl"/>
        </w:rPr>
        <w:t>efecto la sentencia impugnada, dictando la resoluci</w:t>
      </w:r>
      <w:r>
        <w:rPr>
          <w:rFonts w:cs="Times New Roman"/>
          <w:spacing w:val="-6"/>
          <w:sz w:val="16"/>
          <w:szCs w:val="16"/>
          <w:lang w:val="es-ES_tradnl"/>
        </w:rPr>
        <w:t>ó</w:t>
      </w:r>
      <w:r>
        <w:rPr>
          <w:spacing w:val="-6"/>
          <w:sz w:val="16"/>
          <w:szCs w:val="16"/>
          <w:lang w:val="es-ES_tradnl"/>
        </w:rPr>
        <w:t xml:space="preserve">n que </w:t>
      </w:r>
      <w:r>
        <w:rPr>
          <w:spacing w:val="-10"/>
          <w:sz w:val="16"/>
          <w:szCs w:val="16"/>
          <w:lang w:val="es-ES_tradnl"/>
        </w:rPr>
        <w:t>corresponda, que en el presente caso ser</w:t>
      </w:r>
      <w:r>
        <w:rPr>
          <w:rFonts w:cs="Times New Roman"/>
          <w:spacing w:val="-10"/>
          <w:sz w:val="16"/>
          <w:szCs w:val="16"/>
          <w:lang w:val="es-ES_tradnl"/>
        </w:rPr>
        <w:t>í</w:t>
      </w:r>
      <w:r>
        <w:rPr>
          <w:spacing w:val="-10"/>
          <w:sz w:val="16"/>
          <w:szCs w:val="16"/>
          <w:lang w:val="es-ES_tradnl"/>
        </w:rPr>
        <w:t xml:space="preserve">a declarando sin lugar </w:t>
      </w:r>
      <w:r>
        <w:rPr>
          <w:sz w:val="16"/>
          <w:szCs w:val="16"/>
          <w:lang w:val="es-ES_tradnl"/>
        </w:rPr>
        <w:t>la demanda.</w:t>
      </w:r>
    </w:p>
    <w:p w14:paraId="4F67B98D" w14:textId="77777777" w:rsidR="00591D54" w:rsidRDefault="00591D54">
      <w:pPr>
        <w:shd w:val="clear" w:color="auto" w:fill="FFFFFF"/>
        <w:spacing w:before="197"/>
      </w:pPr>
      <w:r>
        <w:rPr>
          <w:b/>
          <w:bCs/>
          <w:spacing w:val="-9"/>
          <w:sz w:val="18"/>
          <w:szCs w:val="18"/>
          <w:lang w:val="es-ES_tradnl"/>
        </w:rPr>
        <w:t>Decisi</w:t>
      </w:r>
      <w:r>
        <w:rPr>
          <w:rFonts w:cs="Times New Roman"/>
          <w:b/>
          <w:bCs/>
          <w:spacing w:val="-9"/>
          <w:sz w:val="18"/>
          <w:szCs w:val="18"/>
          <w:lang w:val="es-ES_tradnl"/>
        </w:rPr>
        <w:t>ó</w:t>
      </w:r>
      <w:r>
        <w:rPr>
          <w:b/>
          <w:bCs/>
          <w:spacing w:val="-9"/>
          <w:sz w:val="18"/>
          <w:szCs w:val="18"/>
          <w:lang w:val="es-ES_tradnl"/>
        </w:rPr>
        <w:t>n judicial impugnada</w:t>
      </w:r>
    </w:p>
    <w:p w14:paraId="4F67B98E" w14:textId="77777777" w:rsidR="00591D54" w:rsidRDefault="00591D54">
      <w:pPr>
        <w:shd w:val="clear" w:color="auto" w:fill="FFFFFF"/>
        <w:spacing w:before="197" w:line="216" w:lineRule="exact"/>
        <w:ind w:right="5"/>
        <w:jc w:val="both"/>
      </w:pPr>
      <w:r>
        <w:rPr>
          <w:spacing w:val="-7"/>
          <w:sz w:val="18"/>
          <w:szCs w:val="18"/>
          <w:lang w:val="es-ES_tradnl"/>
        </w:rPr>
        <w:t>La decisi</w:t>
      </w:r>
      <w:r>
        <w:rPr>
          <w:rFonts w:cs="Times New Roman"/>
          <w:spacing w:val="-7"/>
          <w:sz w:val="18"/>
          <w:szCs w:val="18"/>
          <w:lang w:val="es-ES_tradnl"/>
        </w:rPr>
        <w:t>ó</w:t>
      </w:r>
      <w:r>
        <w:rPr>
          <w:spacing w:val="-7"/>
          <w:sz w:val="18"/>
          <w:szCs w:val="18"/>
          <w:lang w:val="es-ES_tradnl"/>
        </w:rPr>
        <w:t xml:space="preserve">n judicial que se impugna mediante la presente </w:t>
      </w:r>
      <w:r>
        <w:rPr>
          <w:spacing w:val="-8"/>
          <w:sz w:val="18"/>
          <w:szCs w:val="18"/>
          <w:lang w:val="es-ES_tradnl"/>
        </w:rPr>
        <w:t>acci</w:t>
      </w:r>
      <w:r>
        <w:rPr>
          <w:rFonts w:cs="Times New Roman"/>
          <w:spacing w:val="-8"/>
          <w:sz w:val="18"/>
          <w:szCs w:val="18"/>
          <w:lang w:val="es-ES_tradnl"/>
        </w:rPr>
        <w:t>ó</w:t>
      </w:r>
      <w:r>
        <w:rPr>
          <w:spacing w:val="-8"/>
          <w:sz w:val="18"/>
          <w:szCs w:val="18"/>
          <w:lang w:val="es-ES_tradnl"/>
        </w:rPr>
        <w:t>n extraordinaria de protecci</w:t>
      </w:r>
      <w:r>
        <w:rPr>
          <w:rFonts w:cs="Times New Roman"/>
          <w:spacing w:val="-8"/>
          <w:sz w:val="18"/>
          <w:szCs w:val="18"/>
          <w:lang w:val="es-ES_tradnl"/>
        </w:rPr>
        <w:t>ó</w:t>
      </w:r>
      <w:r>
        <w:rPr>
          <w:spacing w:val="-8"/>
          <w:sz w:val="18"/>
          <w:szCs w:val="18"/>
          <w:lang w:val="es-ES_tradnl"/>
        </w:rPr>
        <w:t xml:space="preserve">n, es la sentencia dictada </w:t>
      </w:r>
      <w:r>
        <w:rPr>
          <w:spacing w:val="-10"/>
          <w:sz w:val="18"/>
          <w:szCs w:val="18"/>
          <w:lang w:val="es-ES_tradnl"/>
        </w:rPr>
        <w:t xml:space="preserve">el 25 de octubre de 2011, por la Segunda Sala de lo Laboral </w:t>
      </w:r>
      <w:r>
        <w:rPr>
          <w:spacing w:val="-8"/>
          <w:sz w:val="18"/>
          <w:szCs w:val="18"/>
          <w:lang w:val="es-ES_tradnl"/>
        </w:rPr>
        <w:t xml:space="preserve">de la Corte Nacional de Justicia, dentro del juicio de trabajo </w:t>
      </w:r>
      <w:r>
        <w:rPr>
          <w:spacing w:val="-10"/>
          <w:sz w:val="18"/>
          <w:szCs w:val="18"/>
          <w:lang w:val="es-ES_tradnl"/>
        </w:rPr>
        <w:t>N.</w:t>
      </w:r>
      <w:r>
        <w:rPr>
          <w:rFonts w:cs="Times New Roman"/>
          <w:spacing w:val="-10"/>
          <w:sz w:val="18"/>
          <w:szCs w:val="18"/>
          <w:lang w:val="es-ES_tradnl"/>
        </w:rPr>
        <w:t>º</w:t>
      </w:r>
      <w:r>
        <w:rPr>
          <w:spacing w:val="-10"/>
          <w:sz w:val="18"/>
          <w:szCs w:val="18"/>
          <w:lang w:val="es-ES_tradnl"/>
        </w:rPr>
        <w:t xml:space="preserve"> 0112-2006, la misma que en su parte pertinente, se</w:t>
      </w:r>
      <w:r>
        <w:rPr>
          <w:rFonts w:cs="Times New Roman"/>
          <w:spacing w:val="-10"/>
          <w:sz w:val="18"/>
          <w:szCs w:val="18"/>
          <w:lang w:val="es-ES_tradnl"/>
        </w:rPr>
        <w:t>ñ</w:t>
      </w:r>
      <w:r>
        <w:rPr>
          <w:spacing w:val="-10"/>
          <w:sz w:val="18"/>
          <w:szCs w:val="18"/>
          <w:lang w:val="es-ES_tradnl"/>
        </w:rPr>
        <w:t>ala:</w:t>
      </w:r>
    </w:p>
    <w:p w14:paraId="4F67B98F" w14:textId="77777777" w:rsidR="00591D54" w:rsidRDefault="00591D54">
      <w:pPr>
        <w:shd w:val="clear" w:color="auto" w:fill="FFFFFF"/>
        <w:spacing w:before="202" w:line="216" w:lineRule="exact"/>
        <w:ind w:left="283" w:right="10"/>
        <w:jc w:val="both"/>
      </w:pPr>
      <w:r>
        <w:rPr>
          <w:b/>
          <w:bCs/>
          <w:spacing w:val="-7"/>
          <w:sz w:val="16"/>
          <w:szCs w:val="16"/>
          <w:lang w:val="es-ES_tradnl"/>
        </w:rPr>
        <w:t xml:space="preserve">Quito, octubre 25 de 2011.- VISTOS.- TERCERO: </w:t>
      </w:r>
      <w:r>
        <w:rPr>
          <w:spacing w:val="-7"/>
          <w:sz w:val="16"/>
          <w:szCs w:val="16"/>
          <w:lang w:val="es-ES_tradnl"/>
        </w:rPr>
        <w:t xml:space="preserve">El asunto </w:t>
      </w:r>
      <w:r>
        <w:rPr>
          <w:spacing w:val="-2"/>
          <w:sz w:val="16"/>
          <w:szCs w:val="16"/>
          <w:lang w:val="es-ES_tradnl"/>
        </w:rPr>
        <w:t>materia de impugnaci</w:t>
      </w:r>
      <w:r>
        <w:rPr>
          <w:rFonts w:cs="Times New Roman"/>
          <w:spacing w:val="-2"/>
          <w:sz w:val="16"/>
          <w:szCs w:val="16"/>
          <w:lang w:val="es-ES_tradnl"/>
        </w:rPr>
        <w:t>ó</w:t>
      </w:r>
      <w:r>
        <w:rPr>
          <w:spacing w:val="-2"/>
          <w:sz w:val="16"/>
          <w:szCs w:val="16"/>
          <w:lang w:val="es-ES_tradnl"/>
        </w:rPr>
        <w:t xml:space="preserve">n, radica en alegar, la inexistencia </w:t>
      </w:r>
      <w:r>
        <w:rPr>
          <w:spacing w:val="-6"/>
          <w:sz w:val="16"/>
          <w:szCs w:val="16"/>
          <w:lang w:val="es-ES_tradnl"/>
        </w:rPr>
        <w:t xml:space="preserve">de despido intempestivo reconocido por los juzgadores de instancia. </w:t>
      </w:r>
      <w:r>
        <w:rPr>
          <w:b/>
          <w:bCs/>
          <w:spacing w:val="-6"/>
          <w:sz w:val="16"/>
          <w:szCs w:val="16"/>
          <w:lang w:val="es-ES_tradnl"/>
        </w:rPr>
        <w:t xml:space="preserve">CUARTO: </w:t>
      </w:r>
      <w:r>
        <w:rPr>
          <w:spacing w:val="-6"/>
          <w:sz w:val="16"/>
          <w:szCs w:val="16"/>
          <w:lang w:val="es-ES_tradnl"/>
        </w:rPr>
        <w:t xml:space="preserve">Al haberse acusado la causal segunda </w:t>
      </w:r>
      <w:r>
        <w:rPr>
          <w:spacing w:val="-5"/>
          <w:sz w:val="16"/>
          <w:szCs w:val="16"/>
          <w:lang w:val="es-ES_tradnl"/>
        </w:rPr>
        <w:t>del art. 3 de la Ley de Casaci</w:t>
      </w:r>
      <w:r>
        <w:rPr>
          <w:rFonts w:cs="Times New Roman"/>
          <w:spacing w:val="-5"/>
          <w:sz w:val="16"/>
          <w:szCs w:val="16"/>
          <w:lang w:val="es-ES_tradnl"/>
        </w:rPr>
        <w:t>ó</w:t>
      </w:r>
      <w:r>
        <w:rPr>
          <w:spacing w:val="-5"/>
          <w:sz w:val="16"/>
          <w:szCs w:val="16"/>
          <w:lang w:val="es-ES_tradnl"/>
        </w:rPr>
        <w:t xml:space="preserve">n, este cargo debe analizarse </w:t>
      </w:r>
      <w:r>
        <w:rPr>
          <w:spacing w:val="-6"/>
          <w:sz w:val="16"/>
          <w:szCs w:val="16"/>
          <w:lang w:val="es-ES_tradnl"/>
        </w:rPr>
        <w:t xml:space="preserve">en primer lugar,; puesto que si </w:t>
      </w:r>
      <w:r>
        <w:rPr>
          <w:rFonts w:cs="Times New Roman"/>
          <w:spacing w:val="-6"/>
          <w:sz w:val="16"/>
          <w:szCs w:val="16"/>
          <w:lang w:val="es-ES_tradnl"/>
        </w:rPr>
        <w:t>é</w:t>
      </w:r>
      <w:r>
        <w:rPr>
          <w:spacing w:val="-6"/>
          <w:sz w:val="16"/>
          <w:szCs w:val="16"/>
          <w:lang w:val="es-ES_tradnl"/>
        </w:rPr>
        <w:t xml:space="preserve">ste procede, al juzgador de </w:t>
      </w:r>
      <w:r>
        <w:rPr>
          <w:spacing w:val="-5"/>
          <w:sz w:val="16"/>
          <w:szCs w:val="16"/>
          <w:lang w:val="es-ES_tradnl"/>
        </w:rPr>
        <w:t>casaci</w:t>
      </w:r>
      <w:r>
        <w:rPr>
          <w:rFonts w:cs="Times New Roman"/>
          <w:spacing w:val="-5"/>
          <w:sz w:val="16"/>
          <w:szCs w:val="16"/>
          <w:lang w:val="es-ES_tradnl"/>
        </w:rPr>
        <w:t>ó</w:t>
      </w:r>
      <w:r>
        <w:rPr>
          <w:spacing w:val="-5"/>
          <w:sz w:val="16"/>
          <w:szCs w:val="16"/>
          <w:lang w:val="es-ES_tradnl"/>
        </w:rPr>
        <w:t>n no le estar</w:t>
      </w:r>
      <w:r>
        <w:rPr>
          <w:rFonts w:cs="Times New Roman"/>
          <w:spacing w:val="-5"/>
          <w:sz w:val="16"/>
          <w:szCs w:val="16"/>
          <w:lang w:val="es-ES_tradnl"/>
        </w:rPr>
        <w:t>í</w:t>
      </w:r>
      <w:r>
        <w:rPr>
          <w:spacing w:val="-5"/>
          <w:sz w:val="16"/>
          <w:szCs w:val="16"/>
          <w:lang w:val="es-ES_tradnl"/>
        </w:rPr>
        <w:t>a permitido continuar con el an</w:t>
      </w:r>
      <w:r>
        <w:rPr>
          <w:rFonts w:cs="Times New Roman"/>
          <w:spacing w:val="-5"/>
          <w:sz w:val="16"/>
          <w:szCs w:val="16"/>
          <w:lang w:val="es-ES_tradnl"/>
        </w:rPr>
        <w:t>á</w:t>
      </w:r>
      <w:r>
        <w:rPr>
          <w:spacing w:val="-5"/>
          <w:sz w:val="16"/>
          <w:szCs w:val="16"/>
          <w:lang w:val="es-ES_tradnl"/>
        </w:rPr>
        <w:t xml:space="preserve">lisis de </w:t>
      </w:r>
      <w:r>
        <w:rPr>
          <w:spacing w:val="-8"/>
          <w:sz w:val="16"/>
          <w:szCs w:val="16"/>
          <w:lang w:val="es-ES_tradnl"/>
        </w:rPr>
        <w:t xml:space="preserve">fondo de la controversia, debiendo declarar la nulidad procesal </w:t>
      </w:r>
      <w:r>
        <w:rPr>
          <w:spacing w:val="-3"/>
          <w:sz w:val="16"/>
          <w:szCs w:val="16"/>
          <w:lang w:val="es-ES_tradnl"/>
        </w:rPr>
        <w:t>desde el instante en que el vicio se produjo (</w:t>
      </w:r>
      <w:r>
        <w:rPr>
          <w:rFonts w:cs="Times New Roman"/>
          <w:spacing w:val="-3"/>
          <w:sz w:val="16"/>
          <w:szCs w:val="16"/>
          <w:lang w:val="es-ES_tradnl"/>
        </w:rPr>
        <w:t>…</w:t>
      </w:r>
      <w:r>
        <w:rPr>
          <w:spacing w:val="-3"/>
          <w:sz w:val="16"/>
          <w:szCs w:val="16"/>
          <w:lang w:val="es-ES_tradnl"/>
        </w:rPr>
        <w:t xml:space="preserve">). Al efecto, </w:t>
      </w:r>
      <w:r>
        <w:rPr>
          <w:spacing w:val="-6"/>
          <w:sz w:val="16"/>
          <w:szCs w:val="16"/>
          <w:lang w:val="es-ES_tradnl"/>
        </w:rPr>
        <w:t>el recurrente en su escrito de interposici</w:t>
      </w:r>
      <w:r>
        <w:rPr>
          <w:rFonts w:cs="Times New Roman"/>
          <w:spacing w:val="-6"/>
          <w:sz w:val="16"/>
          <w:szCs w:val="16"/>
          <w:lang w:val="es-ES_tradnl"/>
        </w:rPr>
        <w:t>ó</w:t>
      </w:r>
      <w:r>
        <w:rPr>
          <w:spacing w:val="-6"/>
          <w:sz w:val="16"/>
          <w:szCs w:val="16"/>
          <w:lang w:val="es-ES_tradnl"/>
        </w:rPr>
        <w:t>n y fundamentaci</w:t>
      </w:r>
      <w:r>
        <w:rPr>
          <w:rFonts w:cs="Times New Roman"/>
          <w:spacing w:val="-6"/>
          <w:sz w:val="16"/>
          <w:szCs w:val="16"/>
          <w:lang w:val="es-ES_tradnl"/>
        </w:rPr>
        <w:t>ó</w:t>
      </w:r>
      <w:r>
        <w:rPr>
          <w:spacing w:val="-6"/>
          <w:sz w:val="16"/>
          <w:szCs w:val="16"/>
          <w:lang w:val="es-ES_tradnl"/>
        </w:rPr>
        <w:t xml:space="preserve">n </w:t>
      </w:r>
      <w:r>
        <w:rPr>
          <w:spacing w:val="-8"/>
          <w:sz w:val="16"/>
          <w:szCs w:val="16"/>
          <w:lang w:val="es-ES_tradnl"/>
        </w:rPr>
        <w:t>del recurso de casaci</w:t>
      </w:r>
      <w:r>
        <w:rPr>
          <w:rFonts w:cs="Times New Roman"/>
          <w:spacing w:val="-8"/>
          <w:sz w:val="16"/>
          <w:szCs w:val="16"/>
          <w:lang w:val="es-ES_tradnl"/>
        </w:rPr>
        <w:t>ó</w:t>
      </w:r>
      <w:r>
        <w:rPr>
          <w:spacing w:val="-8"/>
          <w:sz w:val="16"/>
          <w:szCs w:val="16"/>
          <w:lang w:val="es-ES_tradnl"/>
        </w:rPr>
        <w:t xml:space="preserve">n, invoca bajo el amparo de esta causal, </w:t>
      </w:r>
      <w:r>
        <w:rPr>
          <w:spacing w:val="-4"/>
          <w:sz w:val="16"/>
          <w:szCs w:val="16"/>
          <w:lang w:val="es-ES_tradnl"/>
        </w:rPr>
        <w:t>la infracci</w:t>
      </w:r>
      <w:r>
        <w:rPr>
          <w:rFonts w:cs="Times New Roman"/>
          <w:spacing w:val="-4"/>
          <w:sz w:val="16"/>
          <w:szCs w:val="16"/>
          <w:lang w:val="es-ES_tradnl"/>
        </w:rPr>
        <w:t>ó</w:t>
      </w:r>
      <w:r>
        <w:rPr>
          <w:spacing w:val="-4"/>
          <w:sz w:val="16"/>
          <w:szCs w:val="16"/>
          <w:lang w:val="es-ES_tradnl"/>
        </w:rPr>
        <w:t>n del art. 274 del C</w:t>
      </w:r>
      <w:r>
        <w:rPr>
          <w:rFonts w:cs="Times New Roman"/>
          <w:spacing w:val="-4"/>
          <w:sz w:val="16"/>
          <w:szCs w:val="16"/>
          <w:lang w:val="es-ES_tradnl"/>
        </w:rPr>
        <w:t>ó</w:t>
      </w:r>
      <w:r>
        <w:rPr>
          <w:spacing w:val="-4"/>
          <w:sz w:val="16"/>
          <w:szCs w:val="16"/>
          <w:lang w:val="es-ES_tradnl"/>
        </w:rPr>
        <w:t xml:space="preserve">digo de Procedimiento Civil, </w:t>
      </w:r>
      <w:r>
        <w:rPr>
          <w:spacing w:val="-6"/>
          <w:sz w:val="16"/>
          <w:szCs w:val="16"/>
          <w:lang w:val="es-ES_tradnl"/>
        </w:rPr>
        <w:t>sin determina ni demostrar c</w:t>
      </w:r>
      <w:r>
        <w:rPr>
          <w:rFonts w:cs="Times New Roman"/>
          <w:spacing w:val="-6"/>
          <w:sz w:val="16"/>
          <w:szCs w:val="16"/>
          <w:lang w:val="es-ES_tradnl"/>
        </w:rPr>
        <w:t>ó</w:t>
      </w:r>
      <w:r>
        <w:rPr>
          <w:spacing w:val="-6"/>
          <w:sz w:val="16"/>
          <w:szCs w:val="16"/>
          <w:lang w:val="es-ES_tradnl"/>
        </w:rPr>
        <w:t xml:space="preserve">mo la supuesta inobservancia </w:t>
      </w:r>
      <w:r>
        <w:rPr>
          <w:spacing w:val="-5"/>
          <w:sz w:val="16"/>
          <w:szCs w:val="16"/>
          <w:lang w:val="es-ES_tradnl"/>
        </w:rPr>
        <w:t>haya producido nulidad insanable o provocado indefensi</w:t>
      </w:r>
      <w:r>
        <w:rPr>
          <w:rFonts w:cs="Times New Roman"/>
          <w:spacing w:val="-5"/>
          <w:sz w:val="16"/>
          <w:szCs w:val="16"/>
          <w:lang w:val="es-ES_tradnl"/>
        </w:rPr>
        <w:t>ó</w:t>
      </w:r>
      <w:r>
        <w:rPr>
          <w:spacing w:val="-5"/>
          <w:sz w:val="16"/>
          <w:szCs w:val="16"/>
          <w:lang w:val="es-ES_tradnl"/>
        </w:rPr>
        <w:t xml:space="preserve">n </w:t>
      </w:r>
      <w:r>
        <w:rPr>
          <w:spacing w:val="-6"/>
          <w:sz w:val="16"/>
          <w:szCs w:val="16"/>
          <w:lang w:val="es-ES_tradnl"/>
        </w:rPr>
        <w:t>(</w:t>
      </w:r>
      <w:r>
        <w:rPr>
          <w:rFonts w:cs="Times New Roman"/>
          <w:spacing w:val="-6"/>
          <w:sz w:val="16"/>
          <w:szCs w:val="16"/>
          <w:lang w:val="es-ES_tradnl"/>
        </w:rPr>
        <w:t>…</w:t>
      </w:r>
      <w:r>
        <w:rPr>
          <w:spacing w:val="-6"/>
          <w:sz w:val="16"/>
          <w:szCs w:val="16"/>
          <w:lang w:val="es-ES_tradnl"/>
        </w:rPr>
        <w:t xml:space="preserve">). </w:t>
      </w:r>
      <w:r>
        <w:rPr>
          <w:b/>
          <w:bCs/>
          <w:spacing w:val="-6"/>
          <w:sz w:val="16"/>
          <w:szCs w:val="16"/>
          <w:lang w:val="es-ES_tradnl"/>
        </w:rPr>
        <w:t xml:space="preserve">QUINTO.- </w:t>
      </w:r>
      <w:r>
        <w:rPr>
          <w:spacing w:val="-6"/>
          <w:sz w:val="16"/>
          <w:szCs w:val="16"/>
          <w:lang w:val="es-ES_tradnl"/>
        </w:rPr>
        <w:t>Respecto de la afirmaci</w:t>
      </w:r>
      <w:r>
        <w:rPr>
          <w:rFonts w:cs="Times New Roman"/>
          <w:spacing w:val="-6"/>
          <w:sz w:val="16"/>
          <w:szCs w:val="16"/>
          <w:lang w:val="es-ES_tradnl"/>
        </w:rPr>
        <w:t>ó</w:t>
      </w:r>
      <w:r>
        <w:rPr>
          <w:spacing w:val="-6"/>
          <w:sz w:val="16"/>
          <w:szCs w:val="16"/>
          <w:lang w:val="es-ES_tradnl"/>
        </w:rPr>
        <w:t xml:space="preserve">n de la inexistencia </w:t>
      </w:r>
      <w:r>
        <w:rPr>
          <w:spacing w:val="-9"/>
          <w:sz w:val="16"/>
          <w:szCs w:val="16"/>
          <w:lang w:val="es-ES_tradnl"/>
        </w:rPr>
        <w:t xml:space="preserve">de despido intempestivo, se observa que la demandante en su </w:t>
      </w:r>
      <w:r>
        <w:rPr>
          <w:spacing w:val="-7"/>
          <w:sz w:val="16"/>
          <w:szCs w:val="16"/>
          <w:lang w:val="es-ES_tradnl"/>
        </w:rPr>
        <w:t>libelo inicial manifiesta que a pesar de encontrarse en tr</w:t>
      </w:r>
      <w:r>
        <w:rPr>
          <w:rFonts w:cs="Times New Roman"/>
          <w:spacing w:val="-7"/>
          <w:sz w:val="16"/>
          <w:szCs w:val="16"/>
          <w:lang w:val="es-ES_tradnl"/>
        </w:rPr>
        <w:t>á</w:t>
      </w:r>
      <w:r>
        <w:rPr>
          <w:spacing w:val="-7"/>
          <w:sz w:val="16"/>
          <w:szCs w:val="16"/>
          <w:lang w:val="es-ES_tradnl"/>
        </w:rPr>
        <w:t xml:space="preserve">mite </w:t>
      </w:r>
      <w:r>
        <w:rPr>
          <w:spacing w:val="-6"/>
          <w:sz w:val="16"/>
          <w:szCs w:val="16"/>
          <w:lang w:val="es-ES_tradnl"/>
        </w:rPr>
        <w:t xml:space="preserve">una solicitud de visto bueno, su empleadora el 21 de julio de </w:t>
      </w:r>
      <w:r>
        <w:rPr>
          <w:spacing w:val="-9"/>
          <w:sz w:val="16"/>
          <w:szCs w:val="16"/>
          <w:lang w:val="es-ES_tradnl"/>
        </w:rPr>
        <w:t>2000, present</w:t>
      </w:r>
      <w:r>
        <w:rPr>
          <w:rFonts w:cs="Times New Roman"/>
          <w:spacing w:val="-9"/>
          <w:sz w:val="16"/>
          <w:szCs w:val="16"/>
          <w:lang w:val="es-ES_tradnl"/>
        </w:rPr>
        <w:t>ó</w:t>
      </w:r>
      <w:r>
        <w:rPr>
          <w:spacing w:val="-9"/>
          <w:sz w:val="16"/>
          <w:szCs w:val="16"/>
          <w:lang w:val="es-ES_tradnl"/>
        </w:rPr>
        <w:t xml:space="preserve"> en la Inspector</w:t>
      </w:r>
      <w:r>
        <w:rPr>
          <w:rFonts w:cs="Times New Roman"/>
          <w:spacing w:val="-9"/>
          <w:sz w:val="16"/>
          <w:szCs w:val="16"/>
          <w:lang w:val="es-ES_tradnl"/>
        </w:rPr>
        <w:t>í</w:t>
      </w:r>
      <w:r>
        <w:rPr>
          <w:spacing w:val="-9"/>
          <w:sz w:val="16"/>
          <w:szCs w:val="16"/>
          <w:lang w:val="es-ES_tradnl"/>
        </w:rPr>
        <w:t>a del Trabajo una comunicaci</w:t>
      </w:r>
      <w:r>
        <w:rPr>
          <w:rFonts w:cs="Times New Roman"/>
          <w:spacing w:val="-9"/>
          <w:sz w:val="16"/>
          <w:szCs w:val="16"/>
          <w:lang w:val="es-ES_tradnl"/>
        </w:rPr>
        <w:t>ó</w:t>
      </w:r>
      <w:r>
        <w:rPr>
          <w:spacing w:val="-9"/>
          <w:sz w:val="16"/>
          <w:szCs w:val="16"/>
          <w:lang w:val="es-ES_tradnl"/>
        </w:rPr>
        <w:t xml:space="preserve">n, </w:t>
      </w:r>
      <w:r>
        <w:rPr>
          <w:spacing w:val="-8"/>
          <w:sz w:val="16"/>
          <w:szCs w:val="16"/>
          <w:lang w:val="es-ES_tradnl"/>
        </w:rPr>
        <w:t>en la cual reconoce expresamente se reconoce la terminaci</w:t>
      </w:r>
      <w:r>
        <w:rPr>
          <w:rFonts w:cs="Times New Roman"/>
          <w:spacing w:val="-8"/>
          <w:sz w:val="16"/>
          <w:szCs w:val="16"/>
          <w:lang w:val="es-ES_tradnl"/>
        </w:rPr>
        <w:t>ó</w:t>
      </w:r>
      <w:r>
        <w:rPr>
          <w:spacing w:val="-8"/>
          <w:sz w:val="16"/>
          <w:szCs w:val="16"/>
          <w:lang w:val="es-ES_tradnl"/>
        </w:rPr>
        <w:t xml:space="preserve">n </w:t>
      </w:r>
      <w:r>
        <w:rPr>
          <w:spacing w:val="-6"/>
          <w:sz w:val="16"/>
          <w:szCs w:val="16"/>
          <w:lang w:val="es-ES_tradnl"/>
        </w:rPr>
        <w:t>unilateral de relaciones laborales; hecho corroborado con el documento constante a fjs. 48 a 50 (</w:t>
      </w:r>
      <w:r>
        <w:rPr>
          <w:rFonts w:cs="Times New Roman"/>
          <w:spacing w:val="-6"/>
          <w:sz w:val="16"/>
          <w:szCs w:val="16"/>
          <w:lang w:val="es-ES_tradnl"/>
        </w:rPr>
        <w:t>…</w:t>
      </w:r>
      <w:r>
        <w:rPr>
          <w:spacing w:val="-6"/>
          <w:sz w:val="16"/>
          <w:szCs w:val="16"/>
          <w:lang w:val="es-ES_tradnl"/>
        </w:rPr>
        <w:t xml:space="preserve">). Consecuentemente </w:t>
      </w:r>
      <w:r>
        <w:rPr>
          <w:spacing w:val="-5"/>
          <w:sz w:val="16"/>
          <w:szCs w:val="16"/>
          <w:lang w:val="es-ES_tradnl"/>
        </w:rPr>
        <w:t>en fecha 21 de julio de 2000 se despidi</w:t>
      </w:r>
      <w:r>
        <w:rPr>
          <w:rFonts w:cs="Times New Roman"/>
          <w:spacing w:val="-5"/>
          <w:sz w:val="16"/>
          <w:szCs w:val="16"/>
          <w:lang w:val="es-ES_tradnl"/>
        </w:rPr>
        <w:t>ó</w:t>
      </w:r>
      <w:r>
        <w:rPr>
          <w:spacing w:val="-5"/>
          <w:sz w:val="16"/>
          <w:szCs w:val="16"/>
          <w:lang w:val="es-ES_tradnl"/>
        </w:rPr>
        <w:t xml:space="preserve"> intempestivamente </w:t>
      </w:r>
      <w:r>
        <w:rPr>
          <w:spacing w:val="-8"/>
          <w:sz w:val="16"/>
          <w:szCs w:val="16"/>
          <w:lang w:val="es-ES_tradnl"/>
        </w:rPr>
        <w:t>y se hizo saber al jefe de inspectores del Trabajo esa decisi</w:t>
      </w:r>
      <w:r>
        <w:rPr>
          <w:rFonts w:cs="Times New Roman"/>
          <w:spacing w:val="-8"/>
          <w:sz w:val="16"/>
          <w:szCs w:val="16"/>
          <w:lang w:val="es-ES_tradnl"/>
        </w:rPr>
        <w:t>ó</w:t>
      </w:r>
      <w:r>
        <w:rPr>
          <w:spacing w:val="-8"/>
          <w:sz w:val="16"/>
          <w:szCs w:val="16"/>
          <w:lang w:val="es-ES_tradnl"/>
        </w:rPr>
        <w:t xml:space="preserve">n unilateral, por intermedio del propio representante empresarial; </w:t>
      </w:r>
      <w:r>
        <w:rPr>
          <w:spacing w:val="-6"/>
          <w:sz w:val="16"/>
          <w:szCs w:val="16"/>
          <w:lang w:val="es-ES_tradnl"/>
        </w:rPr>
        <w:t>habi</w:t>
      </w:r>
      <w:r>
        <w:rPr>
          <w:rFonts w:cs="Times New Roman"/>
          <w:spacing w:val="-6"/>
          <w:sz w:val="16"/>
          <w:szCs w:val="16"/>
          <w:lang w:val="es-ES_tradnl"/>
        </w:rPr>
        <w:t>é</w:t>
      </w:r>
      <w:r>
        <w:rPr>
          <w:spacing w:val="-6"/>
          <w:sz w:val="16"/>
          <w:szCs w:val="16"/>
          <w:lang w:val="es-ES_tradnl"/>
        </w:rPr>
        <w:t xml:space="preserve">ndose reconocido al circunstancia en la audiencia de </w:t>
      </w:r>
      <w:r>
        <w:rPr>
          <w:spacing w:val="-5"/>
          <w:sz w:val="16"/>
          <w:szCs w:val="16"/>
          <w:lang w:val="es-ES_tradnl"/>
        </w:rPr>
        <w:t>conciliaci</w:t>
      </w:r>
      <w:r>
        <w:rPr>
          <w:rFonts w:cs="Times New Roman"/>
          <w:spacing w:val="-5"/>
          <w:sz w:val="16"/>
          <w:szCs w:val="16"/>
          <w:lang w:val="es-ES_tradnl"/>
        </w:rPr>
        <w:t>ó</w:t>
      </w:r>
      <w:r>
        <w:rPr>
          <w:spacing w:val="-5"/>
          <w:sz w:val="16"/>
          <w:szCs w:val="16"/>
          <w:lang w:val="es-ES_tradnl"/>
        </w:rPr>
        <w:t>n al se</w:t>
      </w:r>
      <w:r>
        <w:rPr>
          <w:rFonts w:cs="Times New Roman"/>
          <w:spacing w:val="-5"/>
          <w:sz w:val="16"/>
          <w:szCs w:val="16"/>
          <w:lang w:val="es-ES_tradnl"/>
        </w:rPr>
        <w:t>ñ</w:t>
      </w:r>
      <w:r>
        <w:rPr>
          <w:spacing w:val="-5"/>
          <w:sz w:val="16"/>
          <w:szCs w:val="16"/>
          <w:lang w:val="es-ES_tradnl"/>
        </w:rPr>
        <w:t xml:space="preserve">alarse </w:t>
      </w:r>
      <w:r>
        <w:rPr>
          <w:rFonts w:cs="Times New Roman"/>
          <w:spacing w:val="-5"/>
          <w:sz w:val="16"/>
          <w:szCs w:val="16"/>
          <w:lang w:val="es-ES_tradnl"/>
        </w:rPr>
        <w:t>“…</w:t>
      </w:r>
      <w:r>
        <w:rPr>
          <w:spacing w:val="-5"/>
          <w:sz w:val="16"/>
          <w:szCs w:val="16"/>
          <w:lang w:val="es-ES_tradnl"/>
        </w:rPr>
        <w:t xml:space="preserve"> el viernes 21 del 2000 Ecapag notific</w:t>
      </w:r>
      <w:r>
        <w:rPr>
          <w:rFonts w:cs="Times New Roman"/>
          <w:spacing w:val="-5"/>
          <w:sz w:val="16"/>
          <w:szCs w:val="16"/>
          <w:lang w:val="es-ES_tradnl"/>
        </w:rPr>
        <w:t>ó</w:t>
      </w:r>
      <w:r>
        <w:rPr>
          <w:spacing w:val="-5"/>
          <w:sz w:val="16"/>
          <w:szCs w:val="16"/>
          <w:lang w:val="es-ES_tradnl"/>
        </w:rPr>
        <w:t xml:space="preserve"> a varios trabajadores, entre ellos la se</w:t>
      </w:r>
      <w:r>
        <w:rPr>
          <w:rFonts w:cs="Times New Roman"/>
          <w:spacing w:val="-5"/>
          <w:sz w:val="16"/>
          <w:szCs w:val="16"/>
          <w:lang w:val="es-ES_tradnl"/>
        </w:rPr>
        <w:t>ñ</w:t>
      </w:r>
      <w:r>
        <w:rPr>
          <w:spacing w:val="-5"/>
          <w:sz w:val="16"/>
          <w:szCs w:val="16"/>
          <w:lang w:val="es-ES_tradnl"/>
        </w:rPr>
        <w:t xml:space="preserve">ora Scarlet </w:t>
      </w:r>
      <w:r>
        <w:rPr>
          <w:spacing w:val="-2"/>
          <w:sz w:val="16"/>
          <w:szCs w:val="16"/>
          <w:lang w:val="es-ES_tradnl"/>
        </w:rPr>
        <w:t>Murillo Barcos, que con motivo de la concesi</w:t>
      </w:r>
      <w:r>
        <w:rPr>
          <w:rFonts w:cs="Times New Roman"/>
          <w:spacing w:val="-2"/>
          <w:sz w:val="16"/>
          <w:szCs w:val="16"/>
          <w:lang w:val="es-ES_tradnl"/>
        </w:rPr>
        <w:t>ó</w:t>
      </w:r>
      <w:r>
        <w:rPr>
          <w:spacing w:val="-2"/>
          <w:sz w:val="16"/>
          <w:szCs w:val="16"/>
          <w:lang w:val="es-ES_tradnl"/>
        </w:rPr>
        <w:t xml:space="preserve">n de los </w:t>
      </w:r>
      <w:r>
        <w:rPr>
          <w:spacing w:val="-6"/>
          <w:sz w:val="16"/>
          <w:szCs w:val="16"/>
          <w:lang w:val="es-ES_tradnl"/>
        </w:rPr>
        <w:t>servicios p</w:t>
      </w:r>
      <w:r>
        <w:rPr>
          <w:rFonts w:cs="Times New Roman"/>
          <w:spacing w:val="-6"/>
          <w:sz w:val="16"/>
          <w:szCs w:val="16"/>
          <w:lang w:val="es-ES_tradnl"/>
        </w:rPr>
        <w:t>ú</w:t>
      </w:r>
      <w:r>
        <w:rPr>
          <w:spacing w:val="-6"/>
          <w:sz w:val="16"/>
          <w:szCs w:val="16"/>
          <w:lang w:val="es-ES_tradnl"/>
        </w:rPr>
        <w:t>blicos de agua potable y alcantarillado del cant</w:t>
      </w:r>
      <w:r>
        <w:rPr>
          <w:rFonts w:cs="Times New Roman"/>
          <w:spacing w:val="-6"/>
          <w:sz w:val="16"/>
          <w:szCs w:val="16"/>
          <w:lang w:val="es-ES_tradnl"/>
        </w:rPr>
        <w:t>ó</w:t>
      </w:r>
      <w:r>
        <w:rPr>
          <w:spacing w:val="-6"/>
          <w:sz w:val="16"/>
          <w:szCs w:val="16"/>
          <w:lang w:val="es-ES_tradnl"/>
        </w:rPr>
        <w:t>n</w:t>
      </w:r>
    </w:p>
    <w:p w14:paraId="4F67B990" w14:textId="77777777" w:rsidR="00591D54" w:rsidRDefault="00591D54">
      <w:pPr>
        <w:shd w:val="clear" w:color="auto" w:fill="FFFFFF"/>
        <w:spacing w:before="5" w:line="216" w:lineRule="exact"/>
        <w:ind w:left="283" w:right="5"/>
        <w:jc w:val="both"/>
      </w:pPr>
      <w:r>
        <w:br w:type="column"/>
      </w:r>
      <w:r>
        <w:rPr>
          <w:spacing w:val="-8"/>
          <w:sz w:val="16"/>
          <w:szCs w:val="16"/>
          <w:lang w:val="es-ES_tradnl"/>
        </w:rPr>
        <w:t>Guayaquil, hab</w:t>
      </w:r>
      <w:r>
        <w:rPr>
          <w:rFonts w:cs="Times New Roman"/>
          <w:spacing w:val="-8"/>
          <w:sz w:val="16"/>
          <w:szCs w:val="16"/>
          <w:lang w:val="es-ES_tradnl"/>
        </w:rPr>
        <w:t>í</w:t>
      </w:r>
      <w:r>
        <w:rPr>
          <w:spacing w:val="-8"/>
          <w:sz w:val="16"/>
          <w:szCs w:val="16"/>
          <w:lang w:val="es-ES_tradnl"/>
        </w:rPr>
        <w:t xml:space="preserve">a resuelto no continuar con ellos sus relaciones </w:t>
      </w:r>
      <w:r>
        <w:rPr>
          <w:spacing w:val="-7"/>
          <w:sz w:val="16"/>
          <w:szCs w:val="16"/>
          <w:lang w:val="es-ES_tradnl"/>
        </w:rPr>
        <w:t>laborales</w:t>
      </w:r>
      <w:r>
        <w:rPr>
          <w:rFonts w:cs="Times New Roman"/>
          <w:spacing w:val="-7"/>
          <w:sz w:val="16"/>
          <w:szCs w:val="16"/>
          <w:lang w:val="es-ES_tradnl"/>
        </w:rPr>
        <w:t>”</w:t>
      </w:r>
      <w:r>
        <w:rPr>
          <w:spacing w:val="-7"/>
          <w:sz w:val="16"/>
          <w:szCs w:val="16"/>
          <w:lang w:val="es-ES_tradnl"/>
        </w:rPr>
        <w:t>, no existiendo por tanto, vulneraci</w:t>
      </w:r>
      <w:r>
        <w:rPr>
          <w:rFonts w:cs="Times New Roman"/>
          <w:spacing w:val="-7"/>
          <w:sz w:val="16"/>
          <w:szCs w:val="16"/>
          <w:lang w:val="es-ES_tradnl"/>
        </w:rPr>
        <w:t>ó</w:t>
      </w:r>
      <w:r>
        <w:rPr>
          <w:spacing w:val="-7"/>
          <w:sz w:val="16"/>
          <w:szCs w:val="16"/>
          <w:lang w:val="es-ES_tradnl"/>
        </w:rPr>
        <w:t xml:space="preserve">n de las normas </w:t>
      </w:r>
      <w:r>
        <w:rPr>
          <w:spacing w:val="-6"/>
          <w:sz w:val="16"/>
          <w:szCs w:val="16"/>
          <w:lang w:val="es-ES_tradnl"/>
        </w:rPr>
        <w:t xml:space="preserve">legales invocadas por la recurrente. Por las consideraciones que anteceden este Tribunal, ADMINISTRANDO JUSTICIA, </w:t>
      </w:r>
      <w:r>
        <w:rPr>
          <w:spacing w:val="-5"/>
          <w:sz w:val="16"/>
          <w:szCs w:val="16"/>
          <w:lang w:val="es-ES_tradnl"/>
        </w:rPr>
        <w:t xml:space="preserve">EN NOMBRE DEL PUEBLO SOBERANO DEL ECUADOR </w:t>
      </w:r>
      <w:r>
        <w:rPr>
          <w:sz w:val="16"/>
          <w:szCs w:val="16"/>
          <w:lang w:val="es-ES_tradnl"/>
        </w:rPr>
        <w:t>Y POR AUTORIDAD DE LA CONSTITUCI</w:t>
      </w:r>
      <w:r>
        <w:rPr>
          <w:rFonts w:cs="Times New Roman"/>
          <w:sz w:val="16"/>
          <w:szCs w:val="16"/>
          <w:lang w:val="es-ES_tradnl"/>
        </w:rPr>
        <w:t>Ó</w:t>
      </w:r>
      <w:r>
        <w:rPr>
          <w:sz w:val="16"/>
          <w:szCs w:val="16"/>
          <w:lang w:val="es-ES_tradnl"/>
        </w:rPr>
        <w:t xml:space="preserve">N Y LAS </w:t>
      </w:r>
      <w:r>
        <w:rPr>
          <w:spacing w:val="-5"/>
          <w:sz w:val="16"/>
          <w:szCs w:val="16"/>
          <w:lang w:val="es-ES_tradnl"/>
        </w:rPr>
        <w:t>LEYES DE LA REP</w:t>
      </w:r>
      <w:r>
        <w:rPr>
          <w:rFonts w:cs="Times New Roman"/>
          <w:spacing w:val="-5"/>
          <w:sz w:val="16"/>
          <w:szCs w:val="16"/>
          <w:lang w:val="es-ES_tradnl"/>
        </w:rPr>
        <w:t>Ú</w:t>
      </w:r>
      <w:r>
        <w:rPr>
          <w:spacing w:val="-5"/>
          <w:sz w:val="16"/>
          <w:szCs w:val="16"/>
          <w:lang w:val="es-ES_tradnl"/>
        </w:rPr>
        <w:t xml:space="preserve">BLICA, desestima por improcedente el </w:t>
      </w:r>
      <w:r>
        <w:rPr>
          <w:sz w:val="16"/>
          <w:szCs w:val="16"/>
          <w:lang w:val="es-ES_tradnl"/>
        </w:rPr>
        <w:t>recurso de casaci</w:t>
      </w:r>
      <w:r>
        <w:rPr>
          <w:rFonts w:cs="Times New Roman"/>
          <w:sz w:val="16"/>
          <w:szCs w:val="16"/>
          <w:lang w:val="es-ES_tradnl"/>
        </w:rPr>
        <w:t>ó</w:t>
      </w:r>
      <w:r>
        <w:rPr>
          <w:sz w:val="16"/>
          <w:szCs w:val="16"/>
          <w:lang w:val="es-ES_tradnl"/>
        </w:rPr>
        <w:t>n interpuesto.</w:t>
      </w:r>
    </w:p>
    <w:p w14:paraId="4F67B991" w14:textId="77777777" w:rsidR="00591D54" w:rsidRDefault="00591D54">
      <w:pPr>
        <w:shd w:val="clear" w:color="auto" w:fill="FFFFFF"/>
        <w:spacing w:before="197"/>
      </w:pPr>
      <w:r>
        <w:rPr>
          <w:b/>
          <w:bCs/>
          <w:spacing w:val="-10"/>
          <w:sz w:val="18"/>
          <w:szCs w:val="18"/>
          <w:lang w:val="es-ES_tradnl"/>
        </w:rPr>
        <w:t>Contestaci</w:t>
      </w:r>
      <w:r>
        <w:rPr>
          <w:rFonts w:cs="Times New Roman"/>
          <w:b/>
          <w:bCs/>
          <w:spacing w:val="-10"/>
          <w:sz w:val="18"/>
          <w:szCs w:val="18"/>
          <w:lang w:val="es-ES_tradnl"/>
        </w:rPr>
        <w:t>ó</w:t>
      </w:r>
      <w:r>
        <w:rPr>
          <w:b/>
          <w:bCs/>
          <w:spacing w:val="-10"/>
          <w:sz w:val="18"/>
          <w:szCs w:val="18"/>
          <w:lang w:val="es-ES_tradnl"/>
        </w:rPr>
        <w:t>n a la demanda</w:t>
      </w:r>
    </w:p>
    <w:p w14:paraId="4F67B992" w14:textId="77777777" w:rsidR="00591D54" w:rsidRDefault="00591D54">
      <w:pPr>
        <w:shd w:val="clear" w:color="auto" w:fill="FFFFFF"/>
        <w:spacing w:before="192" w:line="216" w:lineRule="exact"/>
        <w:jc w:val="both"/>
      </w:pPr>
      <w:r>
        <w:rPr>
          <w:b/>
          <w:bCs/>
          <w:spacing w:val="-6"/>
          <w:sz w:val="18"/>
          <w:szCs w:val="18"/>
          <w:lang w:val="es-ES_tradnl"/>
        </w:rPr>
        <w:t xml:space="preserve">Segunda Sala de lo Laboral de la Corte Nacional de </w:t>
      </w:r>
      <w:r>
        <w:rPr>
          <w:b/>
          <w:bCs/>
          <w:sz w:val="18"/>
          <w:szCs w:val="18"/>
          <w:lang w:val="es-ES_tradnl"/>
        </w:rPr>
        <w:t>Justicia</w:t>
      </w:r>
    </w:p>
    <w:p w14:paraId="4F67B993" w14:textId="77777777" w:rsidR="00591D54" w:rsidRDefault="00591D54">
      <w:pPr>
        <w:shd w:val="clear" w:color="auto" w:fill="FFFFFF"/>
        <w:spacing w:before="197" w:line="216" w:lineRule="exact"/>
        <w:jc w:val="both"/>
      </w:pPr>
      <w:r>
        <w:rPr>
          <w:spacing w:val="-6"/>
          <w:sz w:val="18"/>
          <w:szCs w:val="18"/>
          <w:lang w:val="es-ES_tradnl"/>
        </w:rPr>
        <w:t xml:space="preserve">Consta de fojas 15 a 16 del expediente constitucional, la </w:t>
      </w:r>
      <w:r>
        <w:rPr>
          <w:spacing w:val="-8"/>
          <w:sz w:val="18"/>
          <w:szCs w:val="18"/>
          <w:lang w:val="es-ES_tradnl"/>
        </w:rPr>
        <w:t>contestaci</w:t>
      </w:r>
      <w:r>
        <w:rPr>
          <w:rFonts w:cs="Times New Roman"/>
          <w:spacing w:val="-8"/>
          <w:sz w:val="18"/>
          <w:szCs w:val="18"/>
          <w:lang w:val="es-ES_tradnl"/>
        </w:rPr>
        <w:t>ó</w:t>
      </w:r>
      <w:r>
        <w:rPr>
          <w:spacing w:val="-8"/>
          <w:sz w:val="18"/>
          <w:szCs w:val="18"/>
          <w:lang w:val="es-ES_tradnl"/>
        </w:rPr>
        <w:t xml:space="preserve">n a la demanda presentada y suscrita por los </w:t>
      </w:r>
      <w:r>
        <w:rPr>
          <w:spacing w:val="-7"/>
          <w:sz w:val="18"/>
          <w:szCs w:val="18"/>
          <w:lang w:val="es-ES_tradnl"/>
        </w:rPr>
        <w:t>jueces nacionales Paulina Aguirre Su</w:t>
      </w:r>
      <w:r>
        <w:rPr>
          <w:rFonts w:cs="Times New Roman"/>
          <w:spacing w:val="-7"/>
          <w:sz w:val="18"/>
          <w:szCs w:val="18"/>
          <w:lang w:val="es-ES_tradnl"/>
        </w:rPr>
        <w:t>á</w:t>
      </w:r>
      <w:r>
        <w:rPr>
          <w:spacing w:val="-7"/>
          <w:sz w:val="18"/>
          <w:szCs w:val="18"/>
          <w:lang w:val="es-ES_tradnl"/>
        </w:rPr>
        <w:t xml:space="preserve">rez, Jorge Blum </w:t>
      </w:r>
      <w:r>
        <w:rPr>
          <w:spacing w:val="-4"/>
          <w:sz w:val="18"/>
          <w:szCs w:val="18"/>
          <w:lang w:val="es-ES_tradnl"/>
        </w:rPr>
        <w:t>Carcel</w:t>
      </w:r>
      <w:r>
        <w:rPr>
          <w:rFonts w:cs="Times New Roman"/>
          <w:spacing w:val="-4"/>
          <w:sz w:val="18"/>
          <w:szCs w:val="18"/>
          <w:lang w:val="es-ES_tradnl"/>
        </w:rPr>
        <w:t>é</w:t>
      </w:r>
      <w:r>
        <w:rPr>
          <w:spacing w:val="-4"/>
          <w:sz w:val="18"/>
          <w:szCs w:val="18"/>
          <w:lang w:val="es-ES_tradnl"/>
        </w:rPr>
        <w:t>n, Wilson Andino Reinoso y Alfonso Asdr</w:t>
      </w:r>
      <w:r>
        <w:rPr>
          <w:rFonts w:cs="Times New Roman"/>
          <w:spacing w:val="-4"/>
          <w:sz w:val="18"/>
          <w:szCs w:val="18"/>
          <w:lang w:val="es-ES_tradnl"/>
        </w:rPr>
        <w:t>ú</w:t>
      </w:r>
      <w:r>
        <w:rPr>
          <w:spacing w:val="-4"/>
          <w:sz w:val="18"/>
          <w:szCs w:val="18"/>
          <w:lang w:val="es-ES_tradnl"/>
        </w:rPr>
        <w:t xml:space="preserve">bal </w:t>
      </w:r>
      <w:r>
        <w:rPr>
          <w:spacing w:val="-2"/>
          <w:sz w:val="18"/>
          <w:szCs w:val="18"/>
          <w:lang w:val="es-ES_tradnl"/>
        </w:rPr>
        <w:t xml:space="preserve">Granizo Gavidia, quienes </w:t>
      </w:r>
      <w:r>
        <w:rPr>
          <w:rFonts w:cs="Times New Roman"/>
          <w:spacing w:val="-2"/>
          <w:sz w:val="18"/>
          <w:szCs w:val="18"/>
          <w:lang w:val="es-ES_tradnl"/>
        </w:rPr>
        <w:t>ú</w:t>
      </w:r>
      <w:r>
        <w:rPr>
          <w:spacing w:val="-2"/>
          <w:sz w:val="18"/>
          <w:szCs w:val="18"/>
          <w:lang w:val="es-ES_tradnl"/>
        </w:rPr>
        <w:t xml:space="preserve">nicamente expresan que </w:t>
      </w:r>
      <w:r>
        <w:rPr>
          <w:spacing w:val="-6"/>
          <w:sz w:val="18"/>
          <w:szCs w:val="18"/>
          <w:lang w:val="es-ES_tradnl"/>
        </w:rPr>
        <w:t xml:space="preserve">quienes conforman la actual Sala de lo Laboral, fueron </w:t>
      </w:r>
      <w:r>
        <w:rPr>
          <w:spacing w:val="-9"/>
          <w:sz w:val="18"/>
          <w:szCs w:val="18"/>
          <w:lang w:val="es-ES_tradnl"/>
        </w:rPr>
        <w:t xml:space="preserve">designados y posesionados el 26 de enero de 2012 y que a </w:t>
      </w:r>
      <w:r>
        <w:rPr>
          <w:spacing w:val="-7"/>
          <w:sz w:val="18"/>
          <w:szCs w:val="18"/>
          <w:lang w:val="es-ES_tradnl"/>
        </w:rPr>
        <w:t>la fecha de expedici</w:t>
      </w:r>
      <w:r>
        <w:rPr>
          <w:rFonts w:cs="Times New Roman"/>
          <w:spacing w:val="-7"/>
          <w:sz w:val="18"/>
          <w:szCs w:val="18"/>
          <w:lang w:val="es-ES_tradnl"/>
        </w:rPr>
        <w:t>ó</w:t>
      </w:r>
      <w:r>
        <w:rPr>
          <w:spacing w:val="-7"/>
          <w:sz w:val="18"/>
          <w:szCs w:val="18"/>
          <w:lang w:val="es-ES_tradnl"/>
        </w:rPr>
        <w:t xml:space="preserve">n de la sentencia impugnada, la Sala se encontraba integrada por otros jueces nacionales; por </w:t>
      </w:r>
      <w:r>
        <w:rPr>
          <w:spacing w:val="-10"/>
          <w:sz w:val="18"/>
          <w:szCs w:val="18"/>
          <w:lang w:val="es-ES_tradnl"/>
        </w:rPr>
        <w:t>esta raz</w:t>
      </w:r>
      <w:r>
        <w:rPr>
          <w:rFonts w:cs="Times New Roman"/>
          <w:spacing w:val="-10"/>
          <w:sz w:val="18"/>
          <w:szCs w:val="18"/>
          <w:lang w:val="es-ES_tradnl"/>
        </w:rPr>
        <w:t>ó</w:t>
      </w:r>
      <w:r>
        <w:rPr>
          <w:spacing w:val="-10"/>
          <w:sz w:val="18"/>
          <w:szCs w:val="18"/>
          <w:lang w:val="es-ES_tradnl"/>
        </w:rPr>
        <w:t xml:space="preserve">n, informan que no corresponde a dicha Sala emitir </w:t>
      </w:r>
      <w:r>
        <w:rPr>
          <w:spacing w:val="-7"/>
          <w:sz w:val="18"/>
          <w:szCs w:val="18"/>
          <w:lang w:val="es-ES_tradnl"/>
        </w:rPr>
        <w:t>pronunciamiento alguno en virtud de lo expuesto.</w:t>
      </w:r>
    </w:p>
    <w:p w14:paraId="4F67B994" w14:textId="77777777" w:rsidR="00591D54" w:rsidRDefault="00591D54">
      <w:pPr>
        <w:shd w:val="clear" w:color="auto" w:fill="FFFFFF"/>
        <w:spacing w:before="192"/>
      </w:pPr>
      <w:r>
        <w:rPr>
          <w:b/>
          <w:bCs/>
          <w:spacing w:val="-8"/>
          <w:sz w:val="18"/>
          <w:szCs w:val="18"/>
          <w:lang w:val="es-ES_tradnl"/>
        </w:rPr>
        <w:t>Procuradur</w:t>
      </w:r>
      <w:r>
        <w:rPr>
          <w:rFonts w:cs="Times New Roman"/>
          <w:b/>
          <w:bCs/>
          <w:spacing w:val="-8"/>
          <w:sz w:val="18"/>
          <w:szCs w:val="18"/>
          <w:lang w:val="es-ES_tradnl"/>
        </w:rPr>
        <w:t>í</w:t>
      </w:r>
      <w:r>
        <w:rPr>
          <w:b/>
          <w:bCs/>
          <w:spacing w:val="-8"/>
          <w:sz w:val="18"/>
          <w:szCs w:val="18"/>
          <w:lang w:val="es-ES_tradnl"/>
        </w:rPr>
        <w:t>a General del Estado</w:t>
      </w:r>
    </w:p>
    <w:p w14:paraId="4F67B995" w14:textId="77777777" w:rsidR="00591D54" w:rsidRDefault="00591D54">
      <w:pPr>
        <w:shd w:val="clear" w:color="auto" w:fill="FFFFFF"/>
        <w:spacing w:before="192" w:line="216" w:lineRule="exact"/>
        <w:jc w:val="both"/>
      </w:pPr>
      <w:r>
        <w:rPr>
          <w:spacing w:val="-9"/>
          <w:sz w:val="18"/>
          <w:szCs w:val="18"/>
          <w:lang w:val="es-ES_tradnl"/>
        </w:rPr>
        <w:t xml:space="preserve">Comparece el abogado Marcos Arteaga Valenzuela, en su </w:t>
      </w:r>
      <w:r>
        <w:rPr>
          <w:spacing w:val="-6"/>
          <w:sz w:val="18"/>
          <w:szCs w:val="18"/>
          <w:lang w:val="es-ES_tradnl"/>
        </w:rPr>
        <w:t xml:space="preserve">calidad de director nacional de patrocinio y delegado del </w:t>
      </w:r>
      <w:r>
        <w:rPr>
          <w:spacing w:val="-8"/>
          <w:sz w:val="18"/>
          <w:szCs w:val="18"/>
          <w:lang w:val="es-ES_tradnl"/>
        </w:rPr>
        <w:t xml:space="preserve">procurador general del Estado y </w:t>
      </w:r>
      <w:r>
        <w:rPr>
          <w:rFonts w:cs="Times New Roman"/>
          <w:spacing w:val="-8"/>
          <w:sz w:val="18"/>
          <w:szCs w:val="18"/>
          <w:lang w:val="es-ES_tradnl"/>
        </w:rPr>
        <w:t>ú</w:t>
      </w:r>
      <w:r>
        <w:rPr>
          <w:spacing w:val="-8"/>
          <w:sz w:val="18"/>
          <w:szCs w:val="18"/>
          <w:lang w:val="es-ES_tradnl"/>
        </w:rPr>
        <w:t>nicamente se</w:t>
      </w:r>
      <w:r>
        <w:rPr>
          <w:rFonts w:cs="Times New Roman"/>
          <w:spacing w:val="-8"/>
          <w:sz w:val="18"/>
          <w:szCs w:val="18"/>
          <w:lang w:val="es-ES_tradnl"/>
        </w:rPr>
        <w:t>ñ</w:t>
      </w:r>
      <w:r>
        <w:rPr>
          <w:spacing w:val="-8"/>
          <w:sz w:val="18"/>
          <w:szCs w:val="18"/>
          <w:lang w:val="es-ES_tradnl"/>
        </w:rPr>
        <w:t xml:space="preserve">ala casilla </w:t>
      </w:r>
      <w:r>
        <w:rPr>
          <w:sz w:val="18"/>
          <w:szCs w:val="18"/>
          <w:lang w:val="es-ES_tradnl"/>
        </w:rPr>
        <w:t>constitucional para recibir notificaciones.</w:t>
      </w:r>
    </w:p>
    <w:p w14:paraId="4F67B996" w14:textId="77777777" w:rsidR="00591D54" w:rsidRDefault="00591D54">
      <w:pPr>
        <w:shd w:val="clear" w:color="auto" w:fill="FFFFFF"/>
        <w:spacing w:before="192" w:line="216" w:lineRule="exact"/>
        <w:ind w:left="701" w:right="326" w:hanging="331"/>
      </w:pPr>
      <w:r>
        <w:rPr>
          <w:b/>
          <w:bCs/>
          <w:sz w:val="18"/>
          <w:szCs w:val="18"/>
          <w:lang w:val="es-ES_tradnl"/>
        </w:rPr>
        <w:t>II. CONSIDERACIONES Y COMPETENCIA DE LA CORTE CONSTITUCIONAL</w:t>
      </w:r>
    </w:p>
    <w:p w14:paraId="4F67B997" w14:textId="77777777" w:rsidR="00591D54" w:rsidRDefault="00591D54">
      <w:pPr>
        <w:shd w:val="clear" w:color="auto" w:fill="FFFFFF"/>
        <w:spacing w:before="187"/>
      </w:pPr>
      <w:r>
        <w:rPr>
          <w:b/>
          <w:bCs/>
          <w:spacing w:val="-9"/>
          <w:sz w:val="18"/>
          <w:szCs w:val="18"/>
          <w:lang w:val="es-ES_tradnl"/>
        </w:rPr>
        <w:t>Competencia de la Corte</w:t>
      </w:r>
    </w:p>
    <w:p w14:paraId="4F67B998" w14:textId="77777777" w:rsidR="00591D54" w:rsidRDefault="00591D54">
      <w:pPr>
        <w:shd w:val="clear" w:color="auto" w:fill="FFFFFF"/>
        <w:spacing w:before="197" w:line="216" w:lineRule="exact"/>
        <w:jc w:val="both"/>
      </w:pPr>
      <w:r>
        <w:rPr>
          <w:spacing w:val="-6"/>
          <w:sz w:val="18"/>
          <w:szCs w:val="18"/>
          <w:lang w:val="es-ES_tradnl"/>
        </w:rPr>
        <w:t>De conformidad con lo dispuesto en los art</w:t>
      </w:r>
      <w:r>
        <w:rPr>
          <w:rFonts w:cs="Times New Roman"/>
          <w:spacing w:val="-6"/>
          <w:sz w:val="18"/>
          <w:szCs w:val="18"/>
          <w:lang w:val="es-ES_tradnl"/>
        </w:rPr>
        <w:t>í</w:t>
      </w:r>
      <w:r>
        <w:rPr>
          <w:spacing w:val="-6"/>
          <w:sz w:val="18"/>
          <w:szCs w:val="18"/>
          <w:lang w:val="es-ES_tradnl"/>
        </w:rPr>
        <w:t xml:space="preserve">culos 94 y 437 </w:t>
      </w:r>
      <w:r>
        <w:rPr>
          <w:spacing w:val="-5"/>
          <w:sz w:val="18"/>
          <w:szCs w:val="18"/>
          <w:lang w:val="es-ES_tradnl"/>
        </w:rPr>
        <w:t>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 xml:space="preserve">blica, el Pleno de la Corte </w:t>
      </w:r>
      <w:r>
        <w:rPr>
          <w:spacing w:val="-9"/>
          <w:sz w:val="18"/>
          <w:szCs w:val="18"/>
          <w:lang w:val="es-ES_tradnl"/>
        </w:rPr>
        <w:t xml:space="preserve">Constitucional es competente para conocer y resolver sobre </w:t>
      </w:r>
      <w:r>
        <w:rPr>
          <w:spacing w:val="-10"/>
          <w:sz w:val="18"/>
          <w:szCs w:val="18"/>
          <w:lang w:val="es-ES_tradnl"/>
        </w:rPr>
        <w:t>las acciones extraordinarias de protecci</w:t>
      </w:r>
      <w:r>
        <w:rPr>
          <w:rFonts w:cs="Times New Roman"/>
          <w:spacing w:val="-10"/>
          <w:sz w:val="18"/>
          <w:szCs w:val="18"/>
          <w:lang w:val="es-ES_tradnl"/>
        </w:rPr>
        <w:t>ó</w:t>
      </w:r>
      <w:r>
        <w:rPr>
          <w:spacing w:val="-10"/>
          <w:sz w:val="18"/>
          <w:szCs w:val="18"/>
          <w:lang w:val="es-ES_tradnl"/>
        </w:rPr>
        <w:t xml:space="preserve">n contra sentencias, </w:t>
      </w:r>
      <w:r>
        <w:rPr>
          <w:spacing w:val="-9"/>
          <w:sz w:val="18"/>
          <w:szCs w:val="18"/>
          <w:lang w:val="es-ES_tradnl"/>
        </w:rPr>
        <w:t>autos definitivos y resoluciones con fuerza de sentencia.</w:t>
      </w:r>
    </w:p>
    <w:p w14:paraId="4F67B999" w14:textId="77777777" w:rsidR="00591D54" w:rsidRDefault="00591D54">
      <w:pPr>
        <w:shd w:val="clear" w:color="auto" w:fill="FFFFFF"/>
        <w:spacing w:before="192" w:line="216" w:lineRule="exact"/>
        <w:jc w:val="both"/>
      </w:pPr>
      <w:r>
        <w:rPr>
          <w:b/>
          <w:bCs/>
          <w:spacing w:val="-5"/>
          <w:sz w:val="18"/>
          <w:szCs w:val="18"/>
          <w:lang w:val="es-ES_tradnl"/>
        </w:rPr>
        <w:t>Naturaleza jur</w:t>
      </w:r>
      <w:r>
        <w:rPr>
          <w:rFonts w:cs="Times New Roman"/>
          <w:b/>
          <w:bCs/>
          <w:spacing w:val="-5"/>
          <w:sz w:val="18"/>
          <w:szCs w:val="18"/>
          <w:lang w:val="es-ES_tradnl"/>
        </w:rPr>
        <w:t>í</w:t>
      </w:r>
      <w:r>
        <w:rPr>
          <w:b/>
          <w:bCs/>
          <w:spacing w:val="-5"/>
          <w:sz w:val="18"/>
          <w:szCs w:val="18"/>
          <w:lang w:val="es-ES_tradnl"/>
        </w:rPr>
        <w:t>dica de la acci</w:t>
      </w:r>
      <w:r>
        <w:rPr>
          <w:rFonts w:cs="Times New Roman"/>
          <w:b/>
          <w:bCs/>
          <w:spacing w:val="-5"/>
          <w:sz w:val="18"/>
          <w:szCs w:val="18"/>
          <w:lang w:val="es-ES_tradnl"/>
        </w:rPr>
        <w:t>ó</w:t>
      </w:r>
      <w:r>
        <w:rPr>
          <w:b/>
          <w:bCs/>
          <w:spacing w:val="-5"/>
          <w:sz w:val="18"/>
          <w:szCs w:val="18"/>
          <w:lang w:val="es-ES_tradnl"/>
        </w:rPr>
        <w:t xml:space="preserve">n extraordinaria de </w:t>
      </w:r>
      <w:r>
        <w:rPr>
          <w:b/>
          <w:bCs/>
          <w:sz w:val="18"/>
          <w:szCs w:val="18"/>
          <w:lang w:val="es-ES_tradnl"/>
        </w:rPr>
        <w:t>protecci</w:t>
      </w:r>
      <w:r>
        <w:rPr>
          <w:rFonts w:cs="Times New Roman"/>
          <w:b/>
          <w:bCs/>
          <w:sz w:val="18"/>
          <w:szCs w:val="18"/>
          <w:lang w:val="es-ES_tradnl"/>
        </w:rPr>
        <w:t>ó</w:t>
      </w:r>
      <w:r>
        <w:rPr>
          <w:b/>
          <w:bCs/>
          <w:sz w:val="18"/>
          <w:szCs w:val="18"/>
          <w:lang w:val="es-ES_tradnl"/>
        </w:rPr>
        <w:t>n</w:t>
      </w:r>
    </w:p>
    <w:p w14:paraId="4F67B99A" w14:textId="77777777" w:rsidR="00591D54" w:rsidRDefault="00591D54">
      <w:pPr>
        <w:shd w:val="clear" w:color="auto" w:fill="FFFFFF"/>
        <w:spacing w:before="197" w:line="216" w:lineRule="exact"/>
        <w:jc w:val="both"/>
      </w:pPr>
      <w:r>
        <w:rPr>
          <w:spacing w:val="-1"/>
          <w:sz w:val="18"/>
          <w:szCs w:val="18"/>
          <w:lang w:val="es-ES_tradnl"/>
        </w:rPr>
        <w:t>La acci</w:t>
      </w:r>
      <w:r>
        <w:rPr>
          <w:rFonts w:cs="Times New Roman"/>
          <w:spacing w:val="-1"/>
          <w:sz w:val="18"/>
          <w:szCs w:val="18"/>
          <w:lang w:val="es-ES_tradnl"/>
        </w:rPr>
        <w:t>ó</w:t>
      </w:r>
      <w:r>
        <w:rPr>
          <w:spacing w:val="-1"/>
          <w:sz w:val="18"/>
          <w:szCs w:val="18"/>
          <w:lang w:val="es-ES_tradnl"/>
        </w:rPr>
        <w:t>n extraordinaria de protecci</w:t>
      </w:r>
      <w:r>
        <w:rPr>
          <w:rFonts w:cs="Times New Roman"/>
          <w:spacing w:val="-1"/>
          <w:sz w:val="18"/>
          <w:szCs w:val="18"/>
          <w:lang w:val="es-ES_tradnl"/>
        </w:rPr>
        <w:t>ó</w:t>
      </w:r>
      <w:r>
        <w:rPr>
          <w:spacing w:val="-1"/>
          <w:sz w:val="18"/>
          <w:szCs w:val="18"/>
          <w:lang w:val="es-ES_tradnl"/>
        </w:rPr>
        <w:t xml:space="preserve">n, procede </w:t>
      </w:r>
      <w:r>
        <w:rPr>
          <w:spacing w:val="-8"/>
          <w:sz w:val="18"/>
          <w:szCs w:val="18"/>
          <w:lang w:val="es-ES_tradnl"/>
        </w:rPr>
        <w:t xml:space="preserve">exclusivamente en contra de sentencias o autos en firme o </w:t>
      </w:r>
      <w:r>
        <w:rPr>
          <w:spacing w:val="-12"/>
          <w:sz w:val="18"/>
          <w:szCs w:val="18"/>
          <w:lang w:val="es-ES_tradnl"/>
        </w:rPr>
        <w:t>ejecutoriados en los que se haya violado por acci</w:t>
      </w:r>
      <w:r>
        <w:rPr>
          <w:rFonts w:cs="Times New Roman"/>
          <w:spacing w:val="-12"/>
          <w:sz w:val="18"/>
          <w:szCs w:val="18"/>
          <w:lang w:val="es-ES_tradnl"/>
        </w:rPr>
        <w:t>ó</w:t>
      </w:r>
      <w:r>
        <w:rPr>
          <w:spacing w:val="-12"/>
          <w:sz w:val="18"/>
          <w:szCs w:val="18"/>
          <w:lang w:val="es-ES_tradnl"/>
        </w:rPr>
        <w:t>n u omisi</w:t>
      </w:r>
      <w:r>
        <w:rPr>
          <w:rFonts w:cs="Times New Roman"/>
          <w:spacing w:val="-12"/>
          <w:sz w:val="18"/>
          <w:szCs w:val="18"/>
          <w:lang w:val="es-ES_tradnl"/>
        </w:rPr>
        <w:t>ó</w:t>
      </w:r>
      <w:r>
        <w:rPr>
          <w:spacing w:val="-12"/>
          <w:sz w:val="18"/>
          <w:szCs w:val="18"/>
          <w:lang w:val="es-ES_tradnl"/>
        </w:rPr>
        <w:t xml:space="preserve">n </w:t>
      </w:r>
      <w:r>
        <w:rPr>
          <w:spacing w:val="-10"/>
          <w:sz w:val="18"/>
          <w:szCs w:val="18"/>
          <w:lang w:val="es-ES_tradnl"/>
        </w:rPr>
        <w:t>derechos reconocidos en la Constituci</w:t>
      </w:r>
      <w:r>
        <w:rPr>
          <w:rFonts w:cs="Times New Roman"/>
          <w:spacing w:val="-10"/>
          <w:sz w:val="18"/>
          <w:szCs w:val="18"/>
          <w:lang w:val="es-ES_tradnl"/>
        </w:rPr>
        <w:t>ó</w:t>
      </w:r>
      <w:r>
        <w:rPr>
          <w:spacing w:val="-10"/>
          <w:sz w:val="18"/>
          <w:szCs w:val="18"/>
          <w:lang w:val="es-ES_tradnl"/>
        </w:rPr>
        <w:t>n de la Rep</w:t>
      </w:r>
      <w:r>
        <w:rPr>
          <w:rFonts w:cs="Times New Roman"/>
          <w:spacing w:val="-10"/>
          <w:sz w:val="18"/>
          <w:szCs w:val="18"/>
          <w:lang w:val="es-ES_tradnl"/>
        </w:rPr>
        <w:t>ú</w:t>
      </w:r>
      <w:r>
        <w:rPr>
          <w:spacing w:val="-10"/>
          <w:sz w:val="18"/>
          <w:szCs w:val="18"/>
          <w:lang w:val="es-ES_tradnl"/>
        </w:rPr>
        <w:t xml:space="preserve">blica; en </w:t>
      </w:r>
      <w:r>
        <w:rPr>
          <w:spacing w:val="-7"/>
          <w:sz w:val="18"/>
          <w:szCs w:val="18"/>
          <w:lang w:val="es-ES_tradnl"/>
        </w:rPr>
        <w:t>esencia, la Corte Constitucional, por medio de esta acci</w:t>
      </w:r>
      <w:r>
        <w:rPr>
          <w:rFonts w:cs="Times New Roman"/>
          <w:spacing w:val="-7"/>
          <w:sz w:val="18"/>
          <w:szCs w:val="18"/>
          <w:lang w:val="es-ES_tradnl"/>
        </w:rPr>
        <w:t>ó</w:t>
      </w:r>
      <w:r>
        <w:rPr>
          <w:spacing w:val="-7"/>
          <w:sz w:val="18"/>
          <w:szCs w:val="18"/>
          <w:lang w:val="es-ES_tradnl"/>
        </w:rPr>
        <w:t xml:space="preserve">n </w:t>
      </w:r>
      <w:r>
        <w:rPr>
          <w:spacing w:val="-9"/>
          <w:sz w:val="18"/>
          <w:szCs w:val="18"/>
          <w:lang w:val="es-ES_tradnl"/>
        </w:rPr>
        <w:t>excepcional, solo se pronunciar</w:t>
      </w:r>
      <w:r>
        <w:rPr>
          <w:rFonts w:cs="Times New Roman"/>
          <w:spacing w:val="-9"/>
          <w:sz w:val="18"/>
          <w:szCs w:val="18"/>
          <w:lang w:val="es-ES_tradnl"/>
        </w:rPr>
        <w:t>á</w:t>
      </w:r>
      <w:r>
        <w:rPr>
          <w:spacing w:val="-9"/>
          <w:sz w:val="18"/>
          <w:szCs w:val="18"/>
          <w:lang w:val="es-ES_tradnl"/>
        </w:rPr>
        <w:t xml:space="preserve"> respecto a dos cuestiones principales: la vulneraci</w:t>
      </w:r>
      <w:r>
        <w:rPr>
          <w:rFonts w:cs="Times New Roman"/>
          <w:spacing w:val="-9"/>
          <w:sz w:val="18"/>
          <w:szCs w:val="18"/>
          <w:lang w:val="es-ES_tradnl"/>
        </w:rPr>
        <w:t>ó</w:t>
      </w:r>
      <w:r>
        <w:rPr>
          <w:spacing w:val="-9"/>
          <w:sz w:val="18"/>
          <w:szCs w:val="18"/>
          <w:lang w:val="es-ES_tradnl"/>
        </w:rPr>
        <w:t xml:space="preserve">n de derechos constitucionales o la </w:t>
      </w:r>
      <w:r>
        <w:rPr>
          <w:sz w:val="18"/>
          <w:szCs w:val="18"/>
          <w:lang w:val="es-ES_tradnl"/>
        </w:rPr>
        <w:t>violaci</w:t>
      </w:r>
      <w:r>
        <w:rPr>
          <w:rFonts w:cs="Times New Roman"/>
          <w:sz w:val="18"/>
          <w:szCs w:val="18"/>
          <w:lang w:val="es-ES_tradnl"/>
        </w:rPr>
        <w:t>ó</w:t>
      </w:r>
      <w:r>
        <w:rPr>
          <w:sz w:val="18"/>
          <w:szCs w:val="18"/>
          <w:lang w:val="es-ES_tradnl"/>
        </w:rPr>
        <w:t>n de normas del debido proceso.</w:t>
      </w:r>
    </w:p>
    <w:p w14:paraId="4F67B99B" w14:textId="77777777" w:rsidR="00591D54" w:rsidRDefault="00591D54">
      <w:pPr>
        <w:shd w:val="clear" w:color="auto" w:fill="FFFFFF"/>
        <w:spacing w:before="197" w:line="216" w:lineRule="exact"/>
        <w:jc w:val="both"/>
      </w:pPr>
      <w:r>
        <w:rPr>
          <w:spacing w:val="-8"/>
          <w:sz w:val="18"/>
          <w:szCs w:val="18"/>
          <w:lang w:val="es-ES_tradnl"/>
        </w:rPr>
        <w:t>La acci</w:t>
      </w:r>
      <w:r>
        <w:rPr>
          <w:rFonts w:cs="Times New Roman"/>
          <w:spacing w:val="-8"/>
          <w:sz w:val="18"/>
          <w:szCs w:val="18"/>
          <w:lang w:val="es-ES_tradnl"/>
        </w:rPr>
        <w:t>ó</w:t>
      </w:r>
      <w:r>
        <w:rPr>
          <w:spacing w:val="-8"/>
          <w:sz w:val="18"/>
          <w:szCs w:val="18"/>
          <w:lang w:val="es-ES_tradnl"/>
        </w:rPr>
        <w:t>n extraordinaria de protecci</w:t>
      </w:r>
      <w:r>
        <w:rPr>
          <w:rFonts w:cs="Times New Roman"/>
          <w:spacing w:val="-8"/>
          <w:sz w:val="18"/>
          <w:szCs w:val="18"/>
          <w:lang w:val="es-ES_tradnl"/>
        </w:rPr>
        <w:t>ó</w:t>
      </w:r>
      <w:r>
        <w:rPr>
          <w:spacing w:val="-8"/>
          <w:sz w:val="18"/>
          <w:szCs w:val="18"/>
          <w:lang w:val="es-ES_tradnl"/>
        </w:rPr>
        <w:t xml:space="preserve">n tiene como finalidad </w:t>
      </w:r>
      <w:r>
        <w:rPr>
          <w:spacing w:val="-4"/>
          <w:sz w:val="18"/>
          <w:szCs w:val="18"/>
          <w:lang w:val="es-ES_tradnl"/>
        </w:rPr>
        <w:t>que la vulneraci</w:t>
      </w:r>
      <w:r>
        <w:rPr>
          <w:rFonts w:cs="Times New Roman"/>
          <w:spacing w:val="-4"/>
          <w:sz w:val="18"/>
          <w:szCs w:val="18"/>
          <w:lang w:val="es-ES_tradnl"/>
        </w:rPr>
        <w:t>ó</w:t>
      </w:r>
      <w:r>
        <w:rPr>
          <w:spacing w:val="-4"/>
          <w:sz w:val="18"/>
          <w:szCs w:val="18"/>
          <w:lang w:val="es-ES_tradnl"/>
        </w:rPr>
        <w:t xml:space="preserve">n de derechos constitucionales o la </w:t>
      </w:r>
      <w:r>
        <w:rPr>
          <w:spacing w:val="-6"/>
          <w:sz w:val="18"/>
          <w:szCs w:val="18"/>
          <w:lang w:val="es-ES_tradnl"/>
        </w:rPr>
        <w:t>violaci</w:t>
      </w:r>
      <w:r>
        <w:rPr>
          <w:rFonts w:cs="Times New Roman"/>
          <w:spacing w:val="-6"/>
          <w:sz w:val="18"/>
          <w:szCs w:val="18"/>
          <w:lang w:val="es-ES_tradnl"/>
        </w:rPr>
        <w:t>ó</w:t>
      </w:r>
      <w:r>
        <w:rPr>
          <w:spacing w:val="-6"/>
          <w:sz w:val="18"/>
          <w:szCs w:val="18"/>
          <w:lang w:val="es-ES_tradnl"/>
        </w:rPr>
        <w:t xml:space="preserve">n de normas del debido proceso no queden en la </w:t>
      </w:r>
      <w:r>
        <w:rPr>
          <w:spacing w:val="-2"/>
          <w:sz w:val="18"/>
          <w:szCs w:val="18"/>
          <w:lang w:val="es-ES_tradnl"/>
        </w:rPr>
        <w:t>impunidad, por lo que asumiendo el esp</w:t>
      </w:r>
      <w:r>
        <w:rPr>
          <w:rFonts w:cs="Times New Roman"/>
          <w:spacing w:val="-2"/>
          <w:sz w:val="18"/>
          <w:szCs w:val="18"/>
          <w:lang w:val="es-ES_tradnl"/>
        </w:rPr>
        <w:t>í</w:t>
      </w:r>
      <w:r>
        <w:rPr>
          <w:spacing w:val="-2"/>
          <w:sz w:val="18"/>
          <w:szCs w:val="18"/>
          <w:lang w:val="es-ES_tradnl"/>
        </w:rPr>
        <w:t xml:space="preserve">ritu garantista </w:t>
      </w:r>
      <w:r>
        <w:rPr>
          <w:spacing w:val="-6"/>
          <w:sz w:val="18"/>
          <w:szCs w:val="18"/>
          <w:lang w:val="es-ES_tradnl"/>
        </w:rPr>
        <w:t>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 mediante esta acci</w:t>
      </w:r>
      <w:r>
        <w:rPr>
          <w:rFonts w:cs="Times New Roman"/>
          <w:spacing w:val="-6"/>
          <w:sz w:val="18"/>
          <w:szCs w:val="18"/>
          <w:lang w:val="es-ES_tradnl"/>
        </w:rPr>
        <w:t>ó</w:t>
      </w:r>
      <w:r>
        <w:rPr>
          <w:spacing w:val="-6"/>
          <w:sz w:val="18"/>
          <w:szCs w:val="18"/>
          <w:lang w:val="es-ES_tradnl"/>
        </w:rPr>
        <w:t xml:space="preserve">n </w:t>
      </w:r>
      <w:r>
        <w:rPr>
          <w:spacing w:val="-11"/>
          <w:sz w:val="18"/>
          <w:szCs w:val="18"/>
          <w:lang w:val="es-ES_tradnl"/>
        </w:rPr>
        <w:t xml:space="preserve">excepcional se permite que las sentencias, autos definitivos y </w:t>
      </w:r>
      <w:r>
        <w:rPr>
          <w:spacing w:val="-10"/>
          <w:sz w:val="18"/>
          <w:szCs w:val="18"/>
          <w:lang w:val="es-ES_tradnl"/>
        </w:rPr>
        <w:t>resoluciones con fuerza de sentencia, firmes y ejecutoriados</w:t>
      </w:r>
    </w:p>
    <w:p w14:paraId="4F67B99C" w14:textId="77777777" w:rsidR="00591D54" w:rsidRDefault="00591D54">
      <w:pPr>
        <w:shd w:val="clear" w:color="auto" w:fill="FFFFFF"/>
        <w:spacing w:before="197" w:line="216" w:lineRule="exact"/>
        <w:jc w:val="both"/>
        <w:sectPr w:rsidR="00591D54">
          <w:type w:val="continuous"/>
          <w:pgSz w:w="11909" w:h="16834"/>
          <w:pgMar w:top="1378" w:right="1304" w:bottom="360" w:left="1308" w:header="720" w:footer="720" w:gutter="0"/>
          <w:cols w:num="2" w:space="720" w:equalWidth="0">
            <w:col w:w="4310" w:space="677"/>
            <w:col w:w="4310"/>
          </w:cols>
          <w:noEndnote/>
        </w:sectPr>
      </w:pPr>
    </w:p>
    <w:p w14:paraId="4F67B99D"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- 269</w:t>
      </w:r>
    </w:p>
    <w:p w14:paraId="4F67B99E" w14:textId="77777777" w:rsidR="00591D54" w:rsidRDefault="00591D54">
      <w:pPr>
        <w:shd w:val="clear" w:color="auto" w:fill="FFFFFF"/>
        <w:tabs>
          <w:tab w:val="left" w:pos="5842"/>
        </w:tabs>
        <w:spacing w:after="235"/>
        <w:ind w:left="5"/>
        <w:sectPr w:rsidR="00591D54">
          <w:pgSz w:w="11909" w:h="16834"/>
          <w:pgMar w:top="1356" w:right="1304" w:bottom="360" w:left="1308" w:header="720" w:footer="720" w:gutter="0"/>
          <w:cols w:space="60"/>
          <w:noEndnote/>
        </w:sectPr>
      </w:pPr>
    </w:p>
    <w:p w14:paraId="4F67B99F" w14:textId="77777777" w:rsidR="00591D54" w:rsidRDefault="00591D54">
      <w:pPr>
        <w:shd w:val="clear" w:color="auto" w:fill="FFFFFF"/>
        <w:spacing w:line="216" w:lineRule="exact"/>
        <w:jc w:val="both"/>
      </w:pPr>
      <w:r>
        <w:rPr>
          <w:spacing w:val="-9"/>
          <w:sz w:val="18"/>
          <w:szCs w:val="18"/>
          <w:lang w:val="es-ES_tradnl"/>
        </w:rPr>
        <w:t>puedan ser objeto de revisi</w:t>
      </w:r>
      <w:r>
        <w:rPr>
          <w:rFonts w:cs="Times New Roman"/>
          <w:spacing w:val="-9"/>
          <w:sz w:val="18"/>
          <w:szCs w:val="18"/>
          <w:lang w:val="es-ES_tradnl"/>
        </w:rPr>
        <w:t>ó</w:t>
      </w:r>
      <w:r>
        <w:rPr>
          <w:spacing w:val="-9"/>
          <w:sz w:val="18"/>
          <w:szCs w:val="18"/>
          <w:lang w:val="es-ES_tradnl"/>
        </w:rPr>
        <w:t>n por parte del m</w:t>
      </w:r>
      <w:r>
        <w:rPr>
          <w:rFonts w:cs="Times New Roman"/>
          <w:spacing w:val="-9"/>
          <w:sz w:val="18"/>
          <w:szCs w:val="18"/>
          <w:lang w:val="es-ES_tradnl"/>
        </w:rPr>
        <w:t>á</w:t>
      </w:r>
      <w:r>
        <w:rPr>
          <w:spacing w:val="-9"/>
          <w:sz w:val="18"/>
          <w:szCs w:val="18"/>
          <w:lang w:val="es-ES_tradnl"/>
        </w:rPr>
        <w:t xml:space="preserve">s alto </w:t>
      </w:r>
      <w:r>
        <w:rPr>
          <w:rFonts w:cs="Times New Roman"/>
          <w:spacing w:val="-9"/>
          <w:sz w:val="18"/>
          <w:szCs w:val="18"/>
          <w:lang w:val="es-ES_tradnl"/>
        </w:rPr>
        <w:t>ó</w:t>
      </w:r>
      <w:r>
        <w:rPr>
          <w:spacing w:val="-9"/>
          <w:sz w:val="18"/>
          <w:szCs w:val="18"/>
          <w:lang w:val="es-ES_tradnl"/>
        </w:rPr>
        <w:t xml:space="preserve">rgano </w:t>
      </w:r>
      <w:r>
        <w:rPr>
          <w:spacing w:val="-7"/>
          <w:sz w:val="18"/>
          <w:szCs w:val="18"/>
          <w:lang w:val="es-ES_tradnl"/>
        </w:rPr>
        <w:t>de control de constitucionalidad en el pa</w:t>
      </w:r>
      <w:r>
        <w:rPr>
          <w:rFonts w:cs="Times New Roman"/>
          <w:spacing w:val="-7"/>
          <w:sz w:val="18"/>
          <w:szCs w:val="18"/>
          <w:lang w:val="es-ES_tradnl"/>
        </w:rPr>
        <w:t>í</w:t>
      </w:r>
      <w:r>
        <w:rPr>
          <w:spacing w:val="-7"/>
          <w:sz w:val="18"/>
          <w:szCs w:val="18"/>
          <w:lang w:val="es-ES_tradnl"/>
        </w:rPr>
        <w:t xml:space="preserve">s, que es la Corte </w:t>
      </w:r>
      <w:r>
        <w:rPr>
          <w:sz w:val="18"/>
          <w:szCs w:val="18"/>
          <w:lang w:val="es-ES_tradnl"/>
        </w:rPr>
        <w:t>Constitucional.</w:t>
      </w:r>
    </w:p>
    <w:p w14:paraId="4F67B9A0" w14:textId="77777777" w:rsidR="00591D54" w:rsidRDefault="00591D54">
      <w:pPr>
        <w:shd w:val="clear" w:color="auto" w:fill="FFFFFF"/>
        <w:spacing w:before="192"/>
      </w:pPr>
      <w:r>
        <w:rPr>
          <w:b/>
          <w:bCs/>
          <w:spacing w:val="-8"/>
          <w:sz w:val="18"/>
          <w:szCs w:val="18"/>
          <w:lang w:val="es-ES_tradnl"/>
        </w:rPr>
        <w:t>Determinaci</w:t>
      </w:r>
      <w:r>
        <w:rPr>
          <w:rFonts w:cs="Times New Roman"/>
          <w:b/>
          <w:bCs/>
          <w:spacing w:val="-8"/>
          <w:sz w:val="18"/>
          <w:szCs w:val="18"/>
          <w:lang w:val="es-ES_tradnl"/>
        </w:rPr>
        <w:t>ó</w:t>
      </w:r>
      <w:r>
        <w:rPr>
          <w:b/>
          <w:bCs/>
          <w:spacing w:val="-8"/>
          <w:sz w:val="18"/>
          <w:szCs w:val="18"/>
          <w:lang w:val="es-ES_tradnl"/>
        </w:rPr>
        <w:t>n del problema jur</w:t>
      </w:r>
      <w:r>
        <w:rPr>
          <w:rFonts w:cs="Times New Roman"/>
          <w:b/>
          <w:bCs/>
          <w:spacing w:val="-8"/>
          <w:sz w:val="18"/>
          <w:szCs w:val="18"/>
          <w:lang w:val="es-ES_tradnl"/>
        </w:rPr>
        <w:t>í</w:t>
      </w:r>
      <w:r>
        <w:rPr>
          <w:b/>
          <w:bCs/>
          <w:spacing w:val="-8"/>
          <w:sz w:val="18"/>
          <w:szCs w:val="18"/>
          <w:lang w:val="es-ES_tradnl"/>
        </w:rPr>
        <w:t>dico</w:t>
      </w:r>
    </w:p>
    <w:p w14:paraId="4F67B9A1" w14:textId="77777777" w:rsidR="00591D54" w:rsidRDefault="00591D54">
      <w:pPr>
        <w:shd w:val="clear" w:color="auto" w:fill="FFFFFF"/>
        <w:spacing w:before="197" w:line="216" w:lineRule="exact"/>
        <w:jc w:val="both"/>
      </w:pPr>
      <w:r>
        <w:rPr>
          <w:spacing w:val="-7"/>
          <w:sz w:val="18"/>
          <w:szCs w:val="18"/>
          <w:lang w:val="es-ES_tradnl"/>
        </w:rPr>
        <w:t>Siendo el estado de la causa el de resolver, la Corte Constitucional procede a efectuar el an</w:t>
      </w:r>
      <w:r>
        <w:rPr>
          <w:rFonts w:cs="Times New Roman"/>
          <w:spacing w:val="-7"/>
          <w:sz w:val="18"/>
          <w:szCs w:val="18"/>
          <w:lang w:val="es-ES_tradnl"/>
        </w:rPr>
        <w:t>á</w:t>
      </w:r>
      <w:r>
        <w:rPr>
          <w:spacing w:val="-7"/>
          <w:sz w:val="18"/>
          <w:szCs w:val="18"/>
          <w:lang w:val="es-ES_tradnl"/>
        </w:rPr>
        <w:t>lisis de fondo, en base al desarrollo del siguiente problema jur</w:t>
      </w:r>
      <w:r>
        <w:rPr>
          <w:rFonts w:cs="Times New Roman"/>
          <w:spacing w:val="-7"/>
          <w:sz w:val="18"/>
          <w:szCs w:val="18"/>
          <w:lang w:val="es-ES_tradnl"/>
        </w:rPr>
        <w:t>í</w:t>
      </w:r>
      <w:r>
        <w:rPr>
          <w:spacing w:val="-7"/>
          <w:sz w:val="18"/>
          <w:szCs w:val="18"/>
          <w:lang w:val="es-ES_tradnl"/>
        </w:rPr>
        <w:t>dico:</w:t>
      </w:r>
    </w:p>
    <w:p w14:paraId="4F67B9A2" w14:textId="77777777" w:rsidR="00591D54" w:rsidRDefault="00591D54">
      <w:pPr>
        <w:shd w:val="clear" w:color="auto" w:fill="FFFFFF"/>
        <w:spacing w:before="192" w:line="216" w:lineRule="exact"/>
        <w:ind w:right="5"/>
        <w:jc w:val="both"/>
      </w:pPr>
      <w:r>
        <w:rPr>
          <w:spacing w:val="-10"/>
          <w:sz w:val="18"/>
          <w:szCs w:val="18"/>
          <w:lang w:val="es-ES_tradnl"/>
        </w:rPr>
        <w:t>La sentencia de mayor</w:t>
      </w:r>
      <w:r>
        <w:rPr>
          <w:rFonts w:cs="Times New Roman"/>
          <w:spacing w:val="-10"/>
          <w:sz w:val="18"/>
          <w:szCs w:val="18"/>
          <w:lang w:val="es-ES_tradnl"/>
        </w:rPr>
        <w:t>í</w:t>
      </w:r>
      <w:r>
        <w:rPr>
          <w:spacing w:val="-10"/>
          <w:sz w:val="18"/>
          <w:szCs w:val="18"/>
          <w:lang w:val="es-ES_tradnl"/>
        </w:rPr>
        <w:t xml:space="preserve">a expedida el 25 de octubre de 2011, </w:t>
      </w:r>
      <w:r>
        <w:rPr>
          <w:spacing w:val="-9"/>
          <w:sz w:val="18"/>
          <w:szCs w:val="18"/>
          <w:lang w:val="es-ES_tradnl"/>
        </w:rPr>
        <w:t xml:space="preserve">por la Segunda Sala de lo Laboral de la Corte Nacional de </w:t>
      </w:r>
      <w:r>
        <w:rPr>
          <w:spacing w:val="-12"/>
          <w:sz w:val="18"/>
          <w:szCs w:val="18"/>
          <w:lang w:val="es-ES_tradnl"/>
        </w:rPr>
        <w:t xml:space="preserve">Justicia </w:t>
      </w:r>
      <w:r>
        <w:rPr>
          <w:rFonts w:cs="Times New Roman"/>
          <w:spacing w:val="-12"/>
          <w:sz w:val="18"/>
          <w:szCs w:val="18"/>
          <w:lang w:val="es-ES_tradnl"/>
        </w:rPr>
        <w:t>¿</w:t>
      </w:r>
      <w:r>
        <w:rPr>
          <w:spacing w:val="-12"/>
          <w:sz w:val="18"/>
          <w:szCs w:val="18"/>
          <w:lang w:val="es-ES_tradnl"/>
        </w:rPr>
        <w:t>vulner</w:t>
      </w:r>
      <w:r>
        <w:rPr>
          <w:rFonts w:cs="Times New Roman"/>
          <w:spacing w:val="-12"/>
          <w:sz w:val="18"/>
          <w:szCs w:val="18"/>
          <w:lang w:val="es-ES_tradnl"/>
        </w:rPr>
        <w:t>ó</w:t>
      </w:r>
      <w:r>
        <w:rPr>
          <w:spacing w:val="-12"/>
          <w:sz w:val="18"/>
          <w:szCs w:val="18"/>
          <w:lang w:val="es-ES_tradnl"/>
        </w:rPr>
        <w:t xml:space="preserve"> el derecho a la seguridad jur</w:t>
      </w:r>
      <w:r>
        <w:rPr>
          <w:rFonts w:cs="Times New Roman"/>
          <w:spacing w:val="-12"/>
          <w:sz w:val="18"/>
          <w:szCs w:val="18"/>
          <w:lang w:val="es-ES_tradnl"/>
        </w:rPr>
        <w:t>í</w:t>
      </w:r>
      <w:r>
        <w:rPr>
          <w:spacing w:val="-12"/>
          <w:sz w:val="18"/>
          <w:szCs w:val="18"/>
          <w:lang w:val="es-ES_tradnl"/>
        </w:rPr>
        <w:t xml:space="preserve">dica establecido </w:t>
      </w:r>
      <w:r>
        <w:rPr>
          <w:spacing w:val="-9"/>
          <w:sz w:val="18"/>
          <w:szCs w:val="18"/>
          <w:lang w:val="es-ES_tradnl"/>
        </w:rPr>
        <w:t>en el art</w:t>
      </w:r>
      <w:r>
        <w:rPr>
          <w:rFonts w:cs="Times New Roman"/>
          <w:spacing w:val="-9"/>
          <w:sz w:val="18"/>
          <w:szCs w:val="18"/>
          <w:lang w:val="es-ES_tradnl"/>
        </w:rPr>
        <w:t>í</w:t>
      </w:r>
      <w:r>
        <w:rPr>
          <w:spacing w:val="-9"/>
          <w:sz w:val="18"/>
          <w:szCs w:val="18"/>
          <w:lang w:val="es-ES_tradnl"/>
        </w:rPr>
        <w:t>culo 82 de la Constituci</w:t>
      </w:r>
      <w:r>
        <w:rPr>
          <w:rFonts w:cs="Times New Roman"/>
          <w:spacing w:val="-9"/>
          <w:sz w:val="18"/>
          <w:szCs w:val="18"/>
          <w:lang w:val="es-ES_tradnl"/>
        </w:rPr>
        <w:t>ó</w:t>
      </w:r>
      <w:r>
        <w:rPr>
          <w:spacing w:val="-9"/>
          <w:sz w:val="18"/>
          <w:szCs w:val="18"/>
          <w:lang w:val="es-ES_tradnl"/>
        </w:rPr>
        <w:t>n de la Rep</w:t>
      </w:r>
      <w:r>
        <w:rPr>
          <w:rFonts w:cs="Times New Roman"/>
          <w:spacing w:val="-9"/>
          <w:sz w:val="18"/>
          <w:szCs w:val="18"/>
          <w:lang w:val="es-ES_tradnl"/>
        </w:rPr>
        <w:t>ú</w:t>
      </w:r>
      <w:r>
        <w:rPr>
          <w:spacing w:val="-9"/>
          <w:sz w:val="18"/>
          <w:szCs w:val="18"/>
          <w:lang w:val="es-ES_tradnl"/>
        </w:rPr>
        <w:t>blica?</w:t>
      </w:r>
    </w:p>
    <w:p w14:paraId="4F67B9A3" w14:textId="77777777" w:rsidR="00591D54" w:rsidRDefault="00591D54">
      <w:pPr>
        <w:shd w:val="clear" w:color="auto" w:fill="FFFFFF"/>
        <w:spacing w:before="192"/>
      </w:pPr>
      <w:r>
        <w:rPr>
          <w:b/>
          <w:bCs/>
          <w:spacing w:val="-10"/>
          <w:sz w:val="18"/>
          <w:szCs w:val="18"/>
          <w:lang w:val="es-ES_tradnl"/>
        </w:rPr>
        <w:t>Resoluci</w:t>
      </w:r>
      <w:r>
        <w:rPr>
          <w:rFonts w:cs="Times New Roman"/>
          <w:b/>
          <w:bCs/>
          <w:spacing w:val="-10"/>
          <w:sz w:val="18"/>
          <w:szCs w:val="18"/>
          <w:lang w:val="es-ES_tradnl"/>
        </w:rPr>
        <w:t>ó</w:t>
      </w:r>
      <w:r>
        <w:rPr>
          <w:b/>
          <w:bCs/>
          <w:spacing w:val="-10"/>
          <w:sz w:val="18"/>
          <w:szCs w:val="18"/>
          <w:lang w:val="es-ES_tradnl"/>
        </w:rPr>
        <w:t>n del problema jur</w:t>
      </w:r>
      <w:r>
        <w:rPr>
          <w:rFonts w:cs="Times New Roman"/>
          <w:b/>
          <w:bCs/>
          <w:spacing w:val="-10"/>
          <w:sz w:val="18"/>
          <w:szCs w:val="18"/>
          <w:lang w:val="es-ES_tradnl"/>
        </w:rPr>
        <w:t>í</w:t>
      </w:r>
      <w:r>
        <w:rPr>
          <w:b/>
          <w:bCs/>
          <w:spacing w:val="-10"/>
          <w:sz w:val="18"/>
          <w:szCs w:val="18"/>
          <w:lang w:val="es-ES_tradnl"/>
        </w:rPr>
        <w:t>dico</w:t>
      </w:r>
    </w:p>
    <w:p w14:paraId="4F67B9A4" w14:textId="77777777" w:rsidR="00591D54" w:rsidRDefault="00591D54">
      <w:pPr>
        <w:shd w:val="clear" w:color="auto" w:fill="FFFFFF"/>
        <w:spacing w:before="192" w:line="216" w:lineRule="exact"/>
        <w:ind w:right="5"/>
        <w:jc w:val="both"/>
      </w:pPr>
      <w:r>
        <w:rPr>
          <w:b/>
          <w:bCs/>
          <w:spacing w:val="-9"/>
          <w:sz w:val="18"/>
          <w:szCs w:val="18"/>
          <w:lang w:val="es-ES_tradnl"/>
        </w:rPr>
        <w:t>La sentencia de mayor</w:t>
      </w:r>
      <w:r>
        <w:rPr>
          <w:rFonts w:cs="Times New Roman"/>
          <w:b/>
          <w:bCs/>
          <w:spacing w:val="-9"/>
          <w:sz w:val="18"/>
          <w:szCs w:val="18"/>
          <w:lang w:val="es-ES_tradnl"/>
        </w:rPr>
        <w:t>í</w:t>
      </w:r>
      <w:r>
        <w:rPr>
          <w:b/>
          <w:bCs/>
          <w:spacing w:val="-9"/>
          <w:sz w:val="18"/>
          <w:szCs w:val="18"/>
          <w:lang w:val="es-ES_tradnl"/>
        </w:rPr>
        <w:t xml:space="preserve">a expedida el 25 de octubre de </w:t>
      </w:r>
      <w:r>
        <w:rPr>
          <w:b/>
          <w:bCs/>
          <w:spacing w:val="-7"/>
          <w:sz w:val="18"/>
          <w:szCs w:val="18"/>
          <w:lang w:val="es-ES_tradnl"/>
        </w:rPr>
        <w:t xml:space="preserve">2011, por la Segunda Sala de lo Laboral de la Corte </w:t>
      </w:r>
      <w:r>
        <w:rPr>
          <w:b/>
          <w:bCs/>
          <w:spacing w:val="-10"/>
          <w:sz w:val="18"/>
          <w:szCs w:val="18"/>
          <w:lang w:val="es-ES_tradnl"/>
        </w:rPr>
        <w:t xml:space="preserve">Nacional de Justicia </w:t>
      </w:r>
      <w:r>
        <w:rPr>
          <w:rFonts w:cs="Times New Roman"/>
          <w:b/>
          <w:bCs/>
          <w:spacing w:val="-10"/>
          <w:sz w:val="18"/>
          <w:szCs w:val="18"/>
          <w:lang w:val="es-ES_tradnl"/>
        </w:rPr>
        <w:t>¿</w:t>
      </w:r>
      <w:r>
        <w:rPr>
          <w:b/>
          <w:bCs/>
          <w:spacing w:val="-10"/>
          <w:sz w:val="18"/>
          <w:szCs w:val="18"/>
          <w:lang w:val="es-ES_tradnl"/>
        </w:rPr>
        <w:t>vulner</w:t>
      </w:r>
      <w:r>
        <w:rPr>
          <w:rFonts w:cs="Times New Roman"/>
          <w:b/>
          <w:bCs/>
          <w:spacing w:val="-10"/>
          <w:sz w:val="18"/>
          <w:szCs w:val="18"/>
          <w:lang w:val="es-ES_tradnl"/>
        </w:rPr>
        <w:t>ó</w:t>
      </w:r>
      <w:r>
        <w:rPr>
          <w:b/>
          <w:bCs/>
          <w:spacing w:val="-10"/>
          <w:sz w:val="18"/>
          <w:szCs w:val="18"/>
          <w:lang w:val="es-ES_tradnl"/>
        </w:rPr>
        <w:t xml:space="preserve"> el derecho a la seguridad </w:t>
      </w:r>
      <w:r>
        <w:rPr>
          <w:b/>
          <w:bCs/>
          <w:spacing w:val="-9"/>
          <w:sz w:val="18"/>
          <w:szCs w:val="18"/>
          <w:lang w:val="es-ES_tradnl"/>
        </w:rPr>
        <w:t>jur</w:t>
      </w:r>
      <w:r>
        <w:rPr>
          <w:rFonts w:cs="Times New Roman"/>
          <w:b/>
          <w:bCs/>
          <w:spacing w:val="-9"/>
          <w:sz w:val="18"/>
          <w:szCs w:val="18"/>
          <w:lang w:val="es-ES_tradnl"/>
        </w:rPr>
        <w:t>í</w:t>
      </w:r>
      <w:r>
        <w:rPr>
          <w:b/>
          <w:bCs/>
          <w:spacing w:val="-9"/>
          <w:sz w:val="18"/>
          <w:szCs w:val="18"/>
          <w:lang w:val="es-ES_tradnl"/>
        </w:rPr>
        <w:t>dica establecido en el art</w:t>
      </w:r>
      <w:r>
        <w:rPr>
          <w:rFonts w:cs="Times New Roman"/>
          <w:b/>
          <w:bCs/>
          <w:spacing w:val="-9"/>
          <w:sz w:val="18"/>
          <w:szCs w:val="18"/>
          <w:lang w:val="es-ES_tradnl"/>
        </w:rPr>
        <w:t>í</w:t>
      </w:r>
      <w:r>
        <w:rPr>
          <w:b/>
          <w:bCs/>
          <w:spacing w:val="-9"/>
          <w:sz w:val="18"/>
          <w:szCs w:val="18"/>
          <w:lang w:val="es-ES_tradnl"/>
        </w:rPr>
        <w:t>culo 82 de la Constituci</w:t>
      </w:r>
      <w:r>
        <w:rPr>
          <w:rFonts w:cs="Times New Roman"/>
          <w:b/>
          <w:bCs/>
          <w:spacing w:val="-9"/>
          <w:sz w:val="18"/>
          <w:szCs w:val="18"/>
          <w:lang w:val="es-ES_tradnl"/>
        </w:rPr>
        <w:t>ó</w:t>
      </w:r>
      <w:r>
        <w:rPr>
          <w:b/>
          <w:bCs/>
          <w:spacing w:val="-9"/>
          <w:sz w:val="18"/>
          <w:szCs w:val="18"/>
          <w:lang w:val="es-ES_tradnl"/>
        </w:rPr>
        <w:t xml:space="preserve">n </w:t>
      </w:r>
      <w:r>
        <w:rPr>
          <w:b/>
          <w:bCs/>
          <w:sz w:val="18"/>
          <w:szCs w:val="18"/>
          <w:lang w:val="es-ES_tradnl"/>
        </w:rPr>
        <w:t>de la Rep</w:t>
      </w:r>
      <w:r>
        <w:rPr>
          <w:rFonts w:cs="Times New Roman"/>
          <w:b/>
          <w:bCs/>
          <w:sz w:val="18"/>
          <w:szCs w:val="18"/>
          <w:lang w:val="es-ES_tradnl"/>
        </w:rPr>
        <w:t>ú</w:t>
      </w:r>
      <w:r>
        <w:rPr>
          <w:b/>
          <w:bCs/>
          <w:sz w:val="18"/>
          <w:szCs w:val="18"/>
          <w:lang w:val="es-ES_tradnl"/>
        </w:rPr>
        <w:t>blica?</w:t>
      </w:r>
    </w:p>
    <w:p w14:paraId="4F67B9A5" w14:textId="77777777" w:rsidR="00591D54" w:rsidRDefault="00591D54">
      <w:pPr>
        <w:shd w:val="clear" w:color="auto" w:fill="FFFFFF"/>
        <w:spacing w:before="192" w:line="216" w:lineRule="exact"/>
        <w:jc w:val="both"/>
      </w:pPr>
      <w:r>
        <w:rPr>
          <w:spacing w:val="-3"/>
          <w:sz w:val="18"/>
          <w:szCs w:val="18"/>
          <w:lang w:val="es-ES_tradnl"/>
        </w:rPr>
        <w:t>La seguridad jur</w:t>
      </w:r>
      <w:r>
        <w:rPr>
          <w:rFonts w:cs="Times New Roman"/>
          <w:spacing w:val="-3"/>
          <w:sz w:val="18"/>
          <w:szCs w:val="18"/>
          <w:lang w:val="es-ES_tradnl"/>
        </w:rPr>
        <w:t>í</w:t>
      </w:r>
      <w:r>
        <w:rPr>
          <w:spacing w:val="-3"/>
          <w:sz w:val="18"/>
          <w:szCs w:val="18"/>
          <w:lang w:val="es-ES_tradnl"/>
        </w:rPr>
        <w:t>dica, conforme lo determina el art</w:t>
      </w:r>
      <w:r>
        <w:rPr>
          <w:rFonts w:cs="Times New Roman"/>
          <w:spacing w:val="-3"/>
          <w:sz w:val="18"/>
          <w:szCs w:val="18"/>
          <w:lang w:val="es-ES_tradnl"/>
        </w:rPr>
        <w:t>í</w:t>
      </w:r>
      <w:r>
        <w:rPr>
          <w:spacing w:val="-3"/>
          <w:sz w:val="18"/>
          <w:szCs w:val="18"/>
          <w:lang w:val="es-ES_tradnl"/>
        </w:rPr>
        <w:t xml:space="preserve">culo </w:t>
      </w:r>
      <w:r>
        <w:rPr>
          <w:spacing w:val="-5"/>
          <w:sz w:val="18"/>
          <w:szCs w:val="18"/>
          <w:lang w:val="es-ES_tradnl"/>
        </w:rPr>
        <w:t>82 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 xml:space="preserve">blica del Ecuador </w:t>
      </w:r>
      <w:r>
        <w:rPr>
          <w:rFonts w:cs="Times New Roman"/>
          <w:spacing w:val="-5"/>
          <w:sz w:val="18"/>
          <w:szCs w:val="18"/>
          <w:lang w:val="es-ES_tradnl"/>
        </w:rPr>
        <w:t>“</w:t>
      </w:r>
      <w:r>
        <w:rPr>
          <w:spacing w:val="-5"/>
          <w:sz w:val="18"/>
          <w:szCs w:val="18"/>
          <w:lang w:val="es-ES_tradnl"/>
        </w:rPr>
        <w:t xml:space="preserve">se </w:t>
      </w:r>
      <w:r>
        <w:rPr>
          <w:spacing w:val="-10"/>
          <w:sz w:val="18"/>
          <w:szCs w:val="18"/>
          <w:lang w:val="es-ES_tradnl"/>
        </w:rPr>
        <w:t>fundamenta en el respeto a la Constituci</w:t>
      </w:r>
      <w:r>
        <w:rPr>
          <w:rFonts w:cs="Times New Roman"/>
          <w:spacing w:val="-10"/>
          <w:sz w:val="18"/>
          <w:szCs w:val="18"/>
          <w:lang w:val="es-ES_tradnl"/>
        </w:rPr>
        <w:t>ó</w:t>
      </w:r>
      <w:r>
        <w:rPr>
          <w:spacing w:val="-10"/>
          <w:sz w:val="18"/>
          <w:szCs w:val="18"/>
          <w:lang w:val="es-ES_tradnl"/>
        </w:rPr>
        <w:t xml:space="preserve">n y en la existencia </w:t>
      </w:r>
      <w:r>
        <w:rPr>
          <w:spacing w:val="-9"/>
          <w:sz w:val="18"/>
          <w:szCs w:val="18"/>
          <w:lang w:val="es-ES_tradnl"/>
        </w:rPr>
        <w:t>de normas jur</w:t>
      </w:r>
      <w:r>
        <w:rPr>
          <w:rFonts w:cs="Times New Roman"/>
          <w:spacing w:val="-9"/>
          <w:sz w:val="18"/>
          <w:szCs w:val="18"/>
          <w:lang w:val="es-ES_tradnl"/>
        </w:rPr>
        <w:t>í</w:t>
      </w:r>
      <w:r>
        <w:rPr>
          <w:spacing w:val="-9"/>
          <w:sz w:val="18"/>
          <w:szCs w:val="18"/>
          <w:lang w:val="es-ES_tradnl"/>
        </w:rPr>
        <w:t>dicas previas, claras, p</w:t>
      </w:r>
      <w:r>
        <w:rPr>
          <w:rFonts w:cs="Times New Roman"/>
          <w:spacing w:val="-9"/>
          <w:sz w:val="18"/>
          <w:szCs w:val="18"/>
          <w:lang w:val="es-ES_tradnl"/>
        </w:rPr>
        <w:t>ú</w:t>
      </w:r>
      <w:r>
        <w:rPr>
          <w:spacing w:val="-9"/>
          <w:sz w:val="18"/>
          <w:szCs w:val="18"/>
          <w:lang w:val="es-ES_tradnl"/>
        </w:rPr>
        <w:t xml:space="preserve">blicas y aplicadas por </w:t>
      </w:r>
      <w:r>
        <w:rPr>
          <w:sz w:val="18"/>
          <w:szCs w:val="18"/>
          <w:lang w:val="es-ES_tradnl"/>
        </w:rPr>
        <w:t>las autoridades competentes.</w:t>
      </w:r>
      <w:r>
        <w:rPr>
          <w:rFonts w:cs="Times New Roman"/>
          <w:sz w:val="18"/>
          <w:szCs w:val="18"/>
          <w:lang w:val="es-ES_tradnl"/>
        </w:rPr>
        <w:t>”</w:t>
      </w:r>
    </w:p>
    <w:p w14:paraId="4F67B9A6" w14:textId="77777777" w:rsidR="00591D54" w:rsidRDefault="00591D54">
      <w:pPr>
        <w:shd w:val="clear" w:color="auto" w:fill="FFFFFF"/>
        <w:spacing w:before="197" w:line="206" w:lineRule="exact"/>
        <w:jc w:val="both"/>
      </w:pPr>
      <w:r>
        <w:rPr>
          <w:spacing w:val="-12"/>
          <w:sz w:val="18"/>
          <w:szCs w:val="18"/>
          <w:lang w:val="es-ES_tradnl"/>
        </w:rPr>
        <w:t>En relaci</w:t>
      </w:r>
      <w:r>
        <w:rPr>
          <w:rFonts w:cs="Times New Roman"/>
          <w:spacing w:val="-12"/>
          <w:sz w:val="18"/>
          <w:szCs w:val="18"/>
          <w:lang w:val="es-ES_tradnl"/>
        </w:rPr>
        <w:t>ó</w:t>
      </w:r>
      <w:r>
        <w:rPr>
          <w:spacing w:val="-12"/>
          <w:sz w:val="18"/>
          <w:szCs w:val="18"/>
          <w:lang w:val="es-ES_tradnl"/>
        </w:rPr>
        <w:t xml:space="preserve">n al mencionado derecho, esta Corte Constitucional, </w:t>
      </w:r>
      <w:r>
        <w:rPr>
          <w:spacing w:val="-11"/>
          <w:sz w:val="18"/>
          <w:szCs w:val="18"/>
          <w:lang w:val="es-ES_tradnl"/>
        </w:rPr>
        <w:t>en sentencia N.</w:t>
      </w:r>
      <w:r>
        <w:rPr>
          <w:rFonts w:cs="Times New Roman"/>
          <w:spacing w:val="-11"/>
          <w:sz w:val="18"/>
          <w:szCs w:val="18"/>
          <w:lang w:val="es-ES_tradnl"/>
        </w:rPr>
        <w:t>º</w:t>
      </w:r>
      <w:r>
        <w:rPr>
          <w:spacing w:val="-11"/>
          <w:sz w:val="18"/>
          <w:szCs w:val="18"/>
          <w:lang w:val="es-ES_tradnl"/>
        </w:rPr>
        <w:t xml:space="preserve"> 104-13-SEP-CC</w:t>
      </w:r>
      <w:r>
        <w:rPr>
          <w:spacing w:val="-11"/>
          <w:sz w:val="18"/>
          <w:szCs w:val="18"/>
          <w:vertAlign w:val="superscript"/>
          <w:lang w:val="es-ES_tradnl"/>
        </w:rPr>
        <w:t>1</w:t>
      </w:r>
      <w:r>
        <w:rPr>
          <w:spacing w:val="-11"/>
          <w:sz w:val="18"/>
          <w:szCs w:val="18"/>
          <w:lang w:val="es-ES_tradnl"/>
        </w:rPr>
        <w:t xml:space="preserve"> ha se</w:t>
      </w:r>
      <w:r>
        <w:rPr>
          <w:rFonts w:cs="Times New Roman"/>
          <w:spacing w:val="-11"/>
          <w:sz w:val="18"/>
          <w:szCs w:val="18"/>
          <w:lang w:val="es-ES_tradnl"/>
        </w:rPr>
        <w:t>ñ</w:t>
      </w:r>
      <w:r>
        <w:rPr>
          <w:spacing w:val="-11"/>
          <w:sz w:val="18"/>
          <w:szCs w:val="18"/>
          <w:lang w:val="es-ES_tradnl"/>
        </w:rPr>
        <w:t>alado que:</w:t>
      </w:r>
    </w:p>
    <w:p w14:paraId="4F67B9A7" w14:textId="77777777" w:rsidR="00591D54" w:rsidRDefault="00591D54">
      <w:pPr>
        <w:shd w:val="clear" w:color="auto" w:fill="FFFFFF"/>
        <w:spacing w:before="206" w:line="216" w:lineRule="exact"/>
        <w:ind w:left="283" w:right="5"/>
        <w:jc w:val="both"/>
      </w:pPr>
      <w:r>
        <w:rPr>
          <w:sz w:val="14"/>
          <w:szCs w:val="14"/>
          <w:lang w:val="es-ES_tradnl"/>
        </w:rPr>
        <w:t>mediante un ejercicio de interpretaci</w:t>
      </w:r>
      <w:r>
        <w:rPr>
          <w:rFonts w:cs="Times New Roman"/>
          <w:sz w:val="14"/>
          <w:szCs w:val="14"/>
          <w:lang w:val="es-ES_tradnl"/>
        </w:rPr>
        <w:t>ó</w:t>
      </w:r>
      <w:r>
        <w:rPr>
          <w:sz w:val="14"/>
          <w:szCs w:val="14"/>
          <w:lang w:val="es-ES_tradnl"/>
        </w:rPr>
        <w:t>n integral del texto constitucional, se determina que el derecho a la seguridad jur</w:t>
      </w:r>
      <w:r>
        <w:rPr>
          <w:rFonts w:cs="Times New Roman"/>
          <w:sz w:val="14"/>
          <w:szCs w:val="14"/>
          <w:lang w:val="es-ES_tradnl"/>
        </w:rPr>
        <w:t>í</w:t>
      </w:r>
      <w:r>
        <w:rPr>
          <w:sz w:val="14"/>
          <w:szCs w:val="14"/>
          <w:lang w:val="es-ES_tradnl"/>
        </w:rPr>
        <w:t>dica es el pilar sobre el cual se asienta la confianza ciudadana en cuanto a las consecuencias jur</w:t>
      </w:r>
      <w:r>
        <w:rPr>
          <w:rFonts w:cs="Times New Roman"/>
          <w:sz w:val="14"/>
          <w:szCs w:val="14"/>
          <w:lang w:val="es-ES_tradnl"/>
        </w:rPr>
        <w:t>í</w:t>
      </w:r>
      <w:r>
        <w:rPr>
          <w:sz w:val="14"/>
          <w:szCs w:val="14"/>
          <w:lang w:val="es-ES_tradnl"/>
        </w:rPr>
        <w:t>dicas de sus actos y omisiones, y a las actuaciones de los distintos poderes p</w:t>
      </w:r>
      <w:r>
        <w:rPr>
          <w:rFonts w:cs="Times New Roman"/>
          <w:sz w:val="14"/>
          <w:szCs w:val="14"/>
          <w:lang w:val="es-ES_tradnl"/>
        </w:rPr>
        <w:t>ú</w:t>
      </w:r>
      <w:r>
        <w:rPr>
          <w:sz w:val="14"/>
          <w:szCs w:val="14"/>
          <w:lang w:val="es-ES_tradnl"/>
        </w:rPr>
        <w:t>blicos; en virtud de aquello, los actos emanados de dichas autoridades p</w:t>
      </w:r>
      <w:r>
        <w:rPr>
          <w:rFonts w:cs="Times New Roman"/>
          <w:sz w:val="14"/>
          <w:szCs w:val="14"/>
          <w:lang w:val="es-ES_tradnl"/>
        </w:rPr>
        <w:t>ú</w:t>
      </w:r>
      <w:r>
        <w:rPr>
          <w:sz w:val="14"/>
          <w:szCs w:val="14"/>
          <w:lang w:val="es-ES_tradnl"/>
        </w:rPr>
        <w:t>blicas deben observar las normas que componen el ordenamiento jur</w:t>
      </w:r>
      <w:r>
        <w:rPr>
          <w:rFonts w:cs="Times New Roman"/>
          <w:sz w:val="14"/>
          <w:szCs w:val="14"/>
          <w:lang w:val="es-ES_tradnl"/>
        </w:rPr>
        <w:t>í</w:t>
      </w:r>
      <w:r>
        <w:rPr>
          <w:sz w:val="14"/>
          <w:szCs w:val="14"/>
          <w:lang w:val="es-ES_tradnl"/>
        </w:rPr>
        <w:t>dico vigente, debiendo adem</w:t>
      </w:r>
      <w:r>
        <w:rPr>
          <w:rFonts w:cs="Times New Roman"/>
          <w:sz w:val="14"/>
          <w:szCs w:val="14"/>
          <w:lang w:val="es-ES_tradnl"/>
        </w:rPr>
        <w:t>á</w:t>
      </w:r>
      <w:r>
        <w:rPr>
          <w:sz w:val="14"/>
          <w:szCs w:val="14"/>
          <w:lang w:val="es-ES_tradnl"/>
        </w:rPr>
        <w:t xml:space="preserve">s sujetarse a las atribuciones que le compete a cada </w:t>
      </w:r>
      <w:r>
        <w:rPr>
          <w:rFonts w:cs="Times New Roman"/>
          <w:sz w:val="14"/>
          <w:szCs w:val="14"/>
          <w:lang w:val="es-ES_tradnl"/>
        </w:rPr>
        <w:t>ó</w:t>
      </w:r>
      <w:r>
        <w:rPr>
          <w:sz w:val="14"/>
          <w:szCs w:val="14"/>
          <w:lang w:val="es-ES_tradnl"/>
        </w:rPr>
        <w:t>rgano.</w:t>
      </w:r>
    </w:p>
    <w:p w14:paraId="4F67B9A8" w14:textId="77777777" w:rsidR="00591D54" w:rsidRDefault="00591D54">
      <w:pPr>
        <w:shd w:val="clear" w:color="auto" w:fill="FFFFFF"/>
        <w:spacing w:before="202" w:line="216" w:lineRule="exact"/>
        <w:jc w:val="both"/>
      </w:pPr>
      <w:r>
        <w:rPr>
          <w:spacing w:val="-6"/>
          <w:sz w:val="18"/>
          <w:szCs w:val="18"/>
          <w:lang w:val="es-ES_tradnl"/>
        </w:rPr>
        <w:t>En sentido similar, en la sentencia N.</w:t>
      </w:r>
      <w:r>
        <w:rPr>
          <w:rFonts w:cs="Times New Roman"/>
          <w:spacing w:val="-6"/>
          <w:sz w:val="18"/>
          <w:szCs w:val="18"/>
          <w:lang w:val="es-ES_tradnl"/>
        </w:rPr>
        <w:t>º</w:t>
      </w:r>
      <w:r>
        <w:rPr>
          <w:spacing w:val="-6"/>
          <w:sz w:val="18"/>
          <w:szCs w:val="18"/>
          <w:lang w:val="es-ES_tradnl"/>
        </w:rPr>
        <w:t xml:space="preserve"> 100-14-SEP-CC</w:t>
      </w:r>
      <w:r>
        <w:rPr>
          <w:spacing w:val="-6"/>
          <w:sz w:val="18"/>
          <w:szCs w:val="18"/>
          <w:vertAlign w:val="superscript"/>
          <w:lang w:val="es-ES_tradnl"/>
        </w:rPr>
        <w:t>2</w:t>
      </w:r>
      <w:r>
        <w:rPr>
          <w:spacing w:val="-6"/>
          <w:sz w:val="18"/>
          <w:szCs w:val="18"/>
          <w:lang w:val="es-ES_tradnl"/>
        </w:rPr>
        <w:t xml:space="preserve">, </w:t>
      </w:r>
      <w:r>
        <w:rPr>
          <w:spacing w:val="-9"/>
          <w:sz w:val="18"/>
          <w:szCs w:val="18"/>
          <w:lang w:val="es-ES_tradnl"/>
        </w:rPr>
        <w:t>ha complementado esta idea al se</w:t>
      </w:r>
      <w:r>
        <w:rPr>
          <w:rFonts w:cs="Times New Roman"/>
          <w:spacing w:val="-9"/>
          <w:sz w:val="18"/>
          <w:szCs w:val="18"/>
          <w:lang w:val="es-ES_tradnl"/>
        </w:rPr>
        <w:t>ñ</w:t>
      </w:r>
      <w:r>
        <w:rPr>
          <w:spacing w:val="-9"/>
          <w:sz w:val="18"/>
          <w:szCs w:val="18"/>
          <w:lang w:val="es-ES_tradnl"/>
        </w:rPr>
        <w:t xml:space="preserve">alar que este derecho </w:t>
      </w:r>
      <w:r>
        <w:rPr>
          <w:rFonts w:cs="Times New Roman"/>
          <w:spacing w:val="-6"/>
          <w:sz w:val="18"/>
          <w:szCs w:val="18"/>
          <w:lang w:val="es-ES_tradnl"/>
        </w:rPr>
        <w:t>“</w:t>
      </w:r>
      <w:r>
        <w:rPr>
          <w:spacing w:val="-6"/>
          <w:sz w:val="18"/>
          <w:szCs w:val="18"/>
          <w:lang w:val="es-ES_tradnl"/>
        </w:rPr>
        <w:t>(</w:t>
      </w:r>
      <w:r>
        <w:rPr>
          <w:rFonts w:cs="Times New Roman"/>
          <w:spacing w:val="-6"/>
          <w:sz w:val="18"/>
          <w:szCs w:val="18"/>
          <w:lang w:val="es-ES_tradnl"/>
        </w:rPr>
        <w:t>…</w:t>
      </w:r>
      <w:r>
        <w:rPr>
          <w:spacing w:val="-6"/>
          <w:sz w:val="18"/>
          <w:szCs w:val="18"/>
          <w:lang w:val="es-ES_tradnl"/>
        </w:rPr>
        <w:t xml:space="preserve">) se encuentra relacionado con el cumplimiento de la </w:t>
      </w:r>
      <w:r>
        <w:rPr>
          <w:spacing w:val="-8"/>
          <w:sz w:val="18"/>
          <w:szCs w:val="18"/>
          <w:lang w:val="es-ES_tradnl"/>
        </w:rPr>
        <w:t>Constituci</w:t>
      </w:r>
      <w:r>
        <w:rPr>
          <w:rFonts w:cs="Times New Roman"/>
          <w:spacing w:val="-8"/>
          <w:sz w:val="18"/>
          <w:szCs w:val="18"/>
          <w:lang w:val="es-ES_tradnl"/>
        </w:rPr>
        <w:t>ó</w:t>
      </w:r>
      <w:r>
        <w:rPr>
          <w:spacing w:val="-8"/>
          <w:sz w:val="18"/>
          <w:szCs w:val="18"/>
          <w:lang w:val="es-ES_tradnl"/>
        </w:rPr>
        <w:t>n de la Rep</w:t>
      </w:r>
      <w:r>
        <w:rPr>
          <w:rFonts w:cs="Times New Roman"/>
          <w:spacing w:val="-8"/>
          <w:sz w:val="18"/>
          <w:szCs w:val="18"/>
          <w:lang w:val="es-ES_tradnl"/>
        </w:rPr>
        <w:t>ú</w:t>
      </w:r>
      <w:r>
        <w:rPr>
          <w:spacing w:val="-8"/>
          <w:sz w:val="18"/>
          <w:szCs w:val="18"/>
          <w:lang w:val="es-ES_tradnl"/>
        </w:rPr>
        <w:t xml:space="preserve">blica, orientado a que las personas puedan conocer y entender las normas que conforman el </w:t>
      </w:r>
      <w:r>
        <w:rPr>
          <w:spacing w:val="-2"/>
          <w:sz w:val="18"/>
          <w:szCs w:val="18"/>
          <w:lang w:val="es-ES_tradnl"/>
        </w:rPr>
        <w:t>ordenamiento jur</w:t>
      </w:r>
      <w:r>
        <w:rPr>
          <w:rFonts w:cs="Times New Roman"/>
          <w:spacing w:val="-2"/>
          <w:sz w:val="18"/>
          <w:szCs w:val="18"/>
          <w:lang w:val="es-ES_tradnl"/>
        </w:rPr>
        <w:t>í</w:t>
      </w:r>
      <w:r>
        <w:rPr>
          <w:spacing w:val="-2"/>
          <w:sz w:val="18"/>
          <w:szCs w:val="18"/>
          <w:lang w:val="es-ES_tradnl"/>
        </w:rPr>
        <w:t>dico en forma previa a su aplicaci</w:t>
      </w:r>
      <w:r>
        <w:rPr>
          <w:rFonts w:cs="Times New Roman"/>
          <w:spacing w:val="-2"/>
          <w:sz w:val="18"/>
          <w:szCs w:val="18"/>
          <w:lang w:val="es-ES_tradnl"/>
        </w:rPr>
        <w:t>ó</w:t>
      </w:r>
      <w:r>
        <w:rPr>
          <w:spacing w:val="-2"/>
          <w:sz w:val="18"/>
          <w:szCs w:val="18"/>
          <w:lang w:val="es-ES_tradnl"/>
        </w:rPr>
        <w:t xml:space="preserve">n </w:t>
      </w:r>
      <w:r>
        <w:rPr>
          <w:spacing w:val="-5"/>
          <w:sz w:val="18"/>
          <w:szCs w:val="18"/>
          <w:lang w:val="es-ES_tradnl"/>
        </w:rPr>
        <w:t xml:space="preserve">por parte de las autoridades competentes, lineamientos </w:t>
      </w:r>
      <w:r>
        <w:rPr>
          <w:spacing w:val="-10"/>
          <w:sz w:val="18"/>
          <w:szCs w:val="18"/>
          <w:lang w:val="es-ES_tradnl"/>
        </w:rPr>
        <w:t xml:space="preserve">que generan confianza acerca del respeto de los derechos </w:t>
      </w:r>
      <w:r>
        <w:rPr>
          <w:sz w:val="18"/>
          <w:szCs w:val="18"/>
          <w:lang w:val="es-ES_tradnl"/>
        </w:rPr>
        <w:t>consagrados en el texto constitucional</w:t>
      </w:r>
      <w:r>
        <w:rPr>
          <w:rFonts w:cs="Times New Roman"/>
          <w:sz w:val="18"/>
          <w:szCs w:val="18"/>
          <w:lang w:val="es-ES_tradnl"/>
        </w:rPr>
        <w:t>”</w:t>
      </w:r>
      <w:r>
        <w:rPr>
          <w:sz w:val="18"/>
          <w:szCs w:val="18"/>
          <w:lang w:val="es-ES_tradnl"/>
        </w:rPr>
        <w:t>.</w:t>
      </w:r>
    </w:p>
    <w:p w14:paraId="4F67B9A9" w14:textId="77777777" w:rsidR="00591D54" w:rsidRDefault="00591D54">
      <w:pPr>
        <w:shd w:val="clear" w:color="auto" w:fill="FFFFFF"/>
        <w:spacing w:before="197" w:line="216" w:lineRule="exact"/>
        <w:jc w:val="both"/>
      </w:pPr>
      <w:r>
        <w:rPr>
          <w:spacing w:val="-5"/>
          <w:sz w:val="18"/>
          <w:szCs w:val="18"/>
          <w:lang w:val="es-ES_tradnl"/>
        </w:rPr>
        <w:t>De ello se colige que la seguridad jur</w:t>
      </w:r>
      <w:r>
        <w:rPr>
          <w:rFonts w:cs="Times New Roman"/>
          <w:spacing w:val="-5"/>
          <w:sz w:val="18"/>
          <w:szCs w:val="18"/>
          <w:lang w:val="es-ES_tradnl"/>
        </w:rPr>
        <w:t>í</w:t>
      </w:r>
      <w:r>
        <w:rPr>
          <w:spacing w:val="-5"/>
          <w:sz w:val="18"/>
          <w:szCs w:val="18"/>
          <w:lang w:val="es-ES_tradnl"/>
        </w:rPr>
        <w:t xml:space="preserve">dica constituye un </w:t>
      </w:r>
      <w:r>
        <w:rPr>
          <w:spacing w:val="-8"/>
          <w:sz w:val="18"/>
          <w:szCs w:val="18"/>
          <w:lang w:val="es-ES_tradnl"/>
        </w:rPr>
        <w:t>derecho y una garant</w:t>
      </w:r>
      <w:r>
        <w:rPr>
          <w:rFonts w:cs="Times New Roman"/>
          <w:spacing w:val="-8"/>
          <w:sz w:val="18"/>
          <w:szCs w:val="18"/>
          <w:lang w:val="es-ES_tradnl"/>
        </w:rPr>
        <w:t>í</w:t>
      </w:r>
      <w:r>
        <w:rPr>
          <w:spacing w:val="-8"/>
          <w:sz w:val="18"/>
          <w:szCs w:val="18"/>
          <w:lang w:val="es-ES_tradnl"/>
        </w:rPr>
        <w:t xml:space="preserve">a que permite que el contenido, tanto </w:t>
      </w:r>
      <w:r>
        <w:rPr>
          <w:spacing w:val="-10"/>
          <w:sz w:val="18"/>
          <w:szCs w:val="18"/>
          <w:lang w:val="es-ES_tradnl"/>
        </w:rPr>
        <w:t xml:space="preserve">del texto constitucional cuanto de las normas que conforman </w:t>
      </w:r>
      <w:r>
        <w:rPr>
          <w:spacing w:val="-8"/>
          <w:sz w:val="18"/>
          <w:szCs w:val="18"/>
          <w:lang w:val="es-ES_tradnl"/>
        </w:rPr>
        <w:t>el ordenamiento jur</w:t>
      </w:r>
      <w:r>
        <w:rPr>
          <w:rFonts w:cs="Times New Roman"/>
          <w:spacing w:val="-8"/>
          <w:sz w:val="18"/>
          <w:szCs w:val="18"/>
          <w:lang w:val="es-ES_tradnl"/>
        </w:rPr>
        <w:t>í</w:t>
      </w:r>
      <w:r>
        <w:rPr>
          <w:spacing w:val="-8"/>
          <w:sz w:val="18"/>
          <w:szCs w:val="18"/>
          <w:lang w:val="es-ES_tradnl"/>
        </w:rPr>
        <w:t xml:space="preserve">dico ecuatoriano, sean observadas y </w:t>
      </w:r>
      <w:r>
        <w:rPr>
          <w:spacing w:val="-10"/>
          <w:sz w:val="18"/>
          <w:szCs w:val="18"/>
          <w:lang w:val="es-ES_tradnl"/>
        </w:rPr>
        <w:t>aplicadas en todas sus actuaciones por operadores jur</w:t>
      </w:r>
      <w:r>
        <w:rPr>
          <w:rFonts w:cs="Times New Roman"/>
          <w:spacing w:val="-10"/>
          <w:sz w:val="18"/>
          <w:szCs w:val="18"/>
          <w:lang w:val="es-ES_tradnl"/>
        </w:rPr>
        <w:t>í</w:t>
      </w:r>
      <w:r>
        <w:rPr>
          <w:spacing w:val="-10"/>
          <w:sz w:val="18"/>
          <w:szCs w:val="18"/>
          <w:lang w:val="es-ES_tradnl"/>
        </w:rPr>
        <w:t>dicos</w:t>
      </w:r>
    </w:p>
    <w:p w14:paraId="4F67B9AA" w14:textId="77777777" w:rsidR="00591D54" w:rsidRDefault="00591D54">
      <w:pPr>
        <w:shd w:val="clear" w:color="auto" w:fill="FFFFFF"/>
        <w:tabs>
          <w:tab w:val="left" w:pos="139"/>
        </w:tabs>
        <w:spacing w:before="418" w:line="182" w:lineRule="exact"/>
        <w:ind w:left="139" w:hanging="139"/>
      </w:pPr>
      <w:r>
        <w:rPr>
          <w:sz w:val="16"/>
          <w:szCs w:val="16"/>
          <w:vertAlign w:val="superscript"/>
          <w:lang w:val="es-ES_tradnl"/>
        </w:rPr>
        <w:t>1</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º</w:t>
      </w:r>
      <w:r>
        <w:rPr>
          <w:sz w:val="18"/>
          <w:szCs w:val="18"/>
          <w:lang w:val="es-ES_tradnl"/>
        </w:rPr>
        <w:t xml:space="preserve"> </w:t>
      </w:r>
      <w:r>
        <w:rPr>
          <w:sz w:val="14"/>
          <w:szCs w:val="14"/>
          <w:lang w:val="es-ES_tradnl"/>
        </w:rPr>
        <w:t>104-13-SEP-CC, Caso N.</w:t>
      </w:r>
      <w:r>
        <w:rPr>
          <w:rFonts w:cs="Times New Roman"/>
          <w:sz w:val="14"/>
          <w:szCs w:val="14"/>
          <w:lang w:val="es-ES_tradnl"/>
        </w:rPr>
        <w:t>º</w:t>
      </w:r>
      <w:r>
        <w:rPr>
          <w:sz w:val="14"/>
          <w:szCs w:val="14"/>
          <w:lang w:val="es-ES_tradnl"/>
        </w:rPr>
        <w:t xml:space="preserve"> 0929-10-EP</w:t>
      </w:r>
    </w:p>
    <w:p w14:paraId="4F67B9AB" w14:textId="77777777" w:rsidR="00591D54" w:rsidRDefault="00591D54">
      <w:pPr>
        <w:shd w:val="clear" w:color="auto" w:fill="FFFFFF"/>
        <w:tabs>
          <w:tab w:val="left" w:pos="139"/>
        </w:tabs>
        <w:spacing w:before="149" w:line="178" w:lineRule="exact"/>
        <w:ind w:left="139" w:hanging="139"/>
      </w:pPr>
      <w:r>
        <w:rPr>
          <w:sz w:val="10"/>
          <w:szCs w:val="10"/>
          <w:vertAlign w:val="superscript"/>
          <w:lang w:val="es-ES_tradnl"/>
        </w:rPr>
        <w:t>2</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º</w:t>
      </w:r>
      <w:r>
        <w:rPr>
          <w:sz w:val="18"/>
          <w:szCs w:val="18"/>
          <w:lang w:val="es-ES_tradnl"/>
        </w:rPr>
        <w:t xml:space="preserve"> </w:t>
      </w:r>
      <w:r>
        <w:rPr>
          <w:sz w:val="14"/>
          <w:szCs w:val="14"/>
          <w:lang w:val="es-ES_tradnl"/>
        </w:rPr>
        <w:t>100-14-SEP-CC, Caso N.</w:t>
      </w:r>
      <w:r>
        <w:rPr>
          <w:rFonts w:cs="Times New Roman"/>
          <w:sz w:val="14"/>
          <w:szCs w:val="14"/>
          <w:lang w:val="es-ES_tradnl"/>
        </w:rPr>
        <w:t>º</w:t>
      </w:r>
      <w:r>
        <w:rPr>
          <w:sz w:val="14"/>
          <w:szCs w:val="14"/>
          <w:lang w:val="es-ES_tradnl"/>
        </w:rPr>
        <w:t xml:space="preserve"> 0026-11-EP</w:t>
      </w:r>
    </w:p>
    <w:p w14:paraId="4F67B9AC" w14:textId="77777777" w:rsidR="00591D54" w:rsidRDefault="00591D54">
      <w:pPr>
        <w:shd w:val="clear" w:color="auto" w:fill="FFFFFF"/>
        <w:spacing w:line="216" w:lineRule="exact"/>
        <w:jc w:val="both"/>
      </w:pPr>
      <w:r>
        <w:br w:type="column"/>
      </w:r>
      <w:r>
        <w:rPr>
          <w:spacing w:val="-8"/>
          <w:sz w:val="18"/>
          <w:szCs w:val="18"/>
          <w:lang w:val="es-ES_tradnl"/>
        </w:rPr>
        <w:t>y por autoridades p</w:t>
      </w:r>
      <w:r>
        <w:rPr>
          <w:rFonts w:cs="Times New Roman"/>
          <w:spacing w:val="-8"/>
          <w:sz w:val="18"/>
          <w:szCs w:val="18"/>
          <w:lang w:val="es-ES_tradnl"/>
        </w:rPr>
        <w:t>ú</w:t>
      </w:r>
      <w:r>
        <w:rPr>
          <w:spacing w:val="-8"/>
          <w:sz w:val="18"/>
          <w:szCs w:val="18"/>
          <w:lang w:val="es-ES_tradnl"/>
        </w:rPr>
        <w:t xml:space="preserve">blicas investidas de competencia para ello; generando de esta forma en las personas la certeza </w:t>
      </w:r>
      <w:r>
        <w:rPr>
          <w:spacing w:val="-10"/>
          <w:sz w:val="18"/>
          <w:szCs w:val="18"/>
          <w:lang w:val="es-ES_tradnl"/>
        </w:rPr>
        <w:t>respecto al goce de sus derechos constitucionales.</w:t>
      </w:r>
    </w:p>
    <w:p w14:paraId="4F67B9AD" w14:textId="77777777" w:rsidR="00591D54" w:rsidRDefault="00591D54">
      <w:pPr>
        <w:shd w:val="clear" w:color="auto" w:fill="FFFFFF"/>
        <w:spacing w:before="197" w:line="216" w:lineRule="exact"/>
        <w:jc w:val="both"/>
      </w:pPr>
      <w:r>
        <w:rPr>
          <w:spacing w:val="-8"/>
          <w:sz w:val="18"/>
          <w:szCs w:val="18"/>
          <w:lang w:val="es-ES_tradnl"/>
        </w:rPr>
        <w:t>De igual manera, el derecho a la seguridad jur</w:t>
      </w:r>
      <w:r>
        <w:rPr>
          <w:rFonts w:cs="Times New Roman"/>
          <w:spacing w:val="-8"/>
          <w:sz w:val="18"/>
          <w:szCs w:val="18"/>
          <w:lang w:val="es-ES_tradnl"/>
        </w:rPr>
        <w:t>í</w:t>
      </w:r>
      <w:r>
        <w:rPr>
          <w:spacing w:val="-8"/>
          <w:sz w:val="18"/>
          <w:szCs w:val="18"/>
          <w:lang w:val="es-ES_tradnl"/>
        </w:rPr>
        <w:t xml:space="preserve">dica ha sido </w:t>
      </w:r>
      <w:r>
        <w:rPr>
          <w:spacing w:val="-11"/>
          <w:sz w:val="18"/>
          <w:szCs w:val="18"/>
          <w:lang w:val="es-ES_tradnl"/>
        </w:rPr>
        <w:t xml:space="preserve">visto desde la </w:t>
      </w:r>
      <w:r>
        <w:rPr>
          <w:rFonts w:cs="Times New Roman"/>
          <w:spacing w:val="-11"/>
          <w:sz w:val="18"/>
          <w:szCs w:val="18"/>
          <w:lang w:val="es-ES_tradnl"/>
        </w:rPr>
        <w:t>ó</w:t>
      </w:r>
      <w:r>
        <w:rPr>
          <w:spacing w:val="-11"/>
          <w:sz w:val="18"/>
          <w:szCs w:val="18"/>
          <w:lang w:val="es-ES_tradnl"/>
        </w:rPr>
        <w:t xml:space="preserve">ptica de la idea del Estado de derecho y como </w:t>
      </w:r>
      <w:r>
        <w:rPr>
          <w:spacing w:val="-5"/>
          <w:sz w:val="18"/>
          <w:szCs w:val="18"/>
          <w:lang w:val="es-ES_tradnl"/>
        </w:rPr>
        <w:t xml:space="preserve">elemento que condiciona al poder para dotarlo de validez </w:t>
      </w:r>
      <w:r>
        <w:rPr>
          <w:spacing w:val="-7"/>
          <w:sz w:val="18"/>
          <w:szCs w:val="18"/>
          <w:lang w:val="es-ES_tradnl"/>
        </w:rPr>
        <w:t>y eficacia pero sobretodo en la necesaria observancia de las normas jur</w:t>
      </w:r>
      <w:r>
        <w:rPr>
          <w:rFonts w:cs="Times New Roman"/>
          <w:spacing w:val="-7"/>
          <w:sz w:val="18"/>
          <w:szCs w:val="18"/>
          <w:lang w:val="es-ES_tradnl"/>
        </w:rPr>
        <w:t>í</w:t>
      </w:r>
      <w:r>
        <w:rPr>
          <w:spacing w:val="-7"/>
          <w:sz w:val="18"/>
          <w:szCs w:val="18"/>
          <w:lang w:val="es-ES_tradnl"/>
        </w:rPr>
        <w:t>dicas por parte de las autoridades p</w:t>
      </w:r>
      <w:r>
        <w:rPr>
          <w:rFonts w:cs="Times New Roman"/>
          <w:spacing w:val="-7"/>
          <w:sz w:val="18"/>
          <w:szCs w:val="18"/>
          <w:lang w:val="es-ES_tradnl"/>
        </w:rPr>
        <w:t>ú</w:t>
      </w:r>
      <w:r>
        <w:rPr>
          <w:spacing w:val="-7"/>
          <w:sz w:val="18"/>
          <w:szCs w:val="18"/>
          <w:lang w:val="es-ES_tradnl"/>
        </w:rPr>
        <w:t xml:space="preserve">blicas </w:t>
      </w:r>
      <w:r>
        <w:rPr>
          <w:spacing w:val="-6"/>
          <w:sz w:val="18"/>
          <w:szCs w:val="18"/>
          <w:lang w:val="es-ES_tradnl"/>
        </w:rPr>
        <w:t>competentes y el respeto pleno a la Constituci</w:t>
      </w:r>
      <w:r>
        <w:rPr>
          <w:rFonts w:cs="Times New Roman"/>
          <w:spacing w:val="-6"/>
          <w:sz w:val="18"/>
          <w:szCs w:val="18"/>
          <w:lang w:val="es-ES_tradnl"/>
        </w:rPr>
        <w:t>ó</w:t>
      </w:r>
      <w:r>
        <w:rPr>
          <w:spacing w:val="-6"/>
          <w:sz w:val="18"/>
          <w:szCs w:val="18"/>
          <w:lang w:val="es-ES_tradnl"/>
        </w:rPr>
        <w:t xml:space="preserve">n de la </w:t>
      </w:r>
      <w:r>
        <w:rPr>
          <w:spacing w:val="-10"/>
          <w:sz w:val="18"/>
          <w:szCs w:val="18"/>
          <w:lang w:val="es-ES_tradnl"/>
        </w:rPr>
        <w:t>Rep</w:t>
      </w:r>
      <w:r>
        <w:rPr>
          <w:rFonts w:cs="Times New Roman"/>
          <w:spacing w:val="-10"/>
          <w:sz w:val="18"/>
          <w:szCs w:val="18"/>
          <w:lang w:val="es-ES_tradnl"/>
        </w:rPr>
        <w:t>ú</w:t>
      </w:r>
      <w:r>
        <w:rPr>
          <w:spacing w:val="-10"/>
          <w:sz w:val="18"/>
          <w:szCs w:val="18"/>
          <w:lang w:val="es-ES_tradnl"/>
        </w:rPr>
        <w:t>blica. As</w:t>
      </w:r>
      <w:r>
        <w:rPr>
          <w:rFonts w:cs="Times New Roman"/>
          <w:spacing w:val="-10"/>
          <w:sz w:val="18"/>
          <w:szCs w:val="18"/>
          <w:lang w:val="es-ES_tradnl"/>
        </w:rPr>
        <w:t>í</w:t>
      </w:r>
      <w:r>
        <w:rPr>
          <w:spacing w:val="-10"/>
          <w:sz w:val="18"/>
          <w:szCs w:val="18"/>
          <w:lang w:val="es-ES_tradnl"/>
        </w:rPr>
        <w:t>, mediante sentencia N.</w:t>
      </w:r>
      <w:r>
        <w:rPr>
          <w:rFonts w:cs="Times New Roman"/>
          <w:spacing w:val="-10"/>
          <w:sz w:val="18"/>
          <w:szCs w:val="18"/>
          <w:lang w:val="es-ES_tradnl"/>
        </w:rPr>
        <w:t>º</w:t>
      </w:r>
      <w:r>
        <w:rPr>
          <w:spacing w:val="-10"/>
          <w:sz w:val="18"/>
          <w:szCs w:val="18"/>
          <w:lang w:val="es-ES_tradnl"/>
        </w:rPr>
        <w:t xml:space="preserve"> 089-13-SEP-CC</w:t>
      </w:r>
      <w:r>
        <w:rPr>
          <w:spacing w:val="-10"/>
          <w:sz w:val="18"/>
          <w:szCs w:val="18"/>
          <w:vertAlign w:val="superscript"/>
          <w:lang w:val="es-ES_tradnl"/>
        </w:rPr>
        <w:t>3</w:t>
      </w:r>
      <w:r>
        <w:rPr>
          <w:spacing w:val="-10"/>
          <w:sz w:val="18"/>
          <w:szCs w:val="18"/>
          <w:lang w:val="es-ES_tradnl"/>
        </w:rPr>
        <w:t xml:space="preserve">, la </w:t>
      </w:r>
      <w:r>
        <w:rPr>
          <w:sz w:val="18"/>
          <w:szCs w:val="18"/>
          <w:lang w:val="es-ES_tradnl"/>
        </w:rPr>
        <w:t>Corte Constitucional expres</w:t>
      </w:r>
      <w:r>
        <w:rPr>
          <w:rFonts w:cs="Times New Roman"/>
          <w:sz w:val="18"/>
          <w:szCs w:val="18"/>
          <w:lang w:val="es-ES_tradnl"/>
        </w:rPr>
        <w:t>ó</w:t>
      </w:r>
      <w:r>
        <w:rPr>
          <w:sz w:val="18"/>
          <w:szCs w:val="18"/>
          <w:lang w:val="es-ES_tradnl"/>
        </w:rPr>
        <w:t>:</w:t>
      </w:r>
    </w:p>
    <w:p w14:paraId="4F67B9AE" w14:textId="77777777" w:rsidR="00591D54" w:rsidRDefault="00591D54">
      <w:pPr>
        <w:shd w:val="clear" w:color="auto" w:fill="FFFFFF"/>
        <w:spacing w:before="202" w:line="216" w:lineRule="exact"/>
        <w:ind w:left="283" w:right="5"/>
        <w:jc w:val="both"/>
      </w:pPr>
      <w:r>
        <w:rPr>
          <w:sz w:val="14"/>
          <w:szCs w:val="14"/>
          <w:lang w:val="es-ES_tradnl"/>
        </w:rPr>
        <w:t>La seguridad jur</w:t>
      </w:r>
      <w:r>
        <w:rPr>
          <w:rFonts w:cs="Times New Roman"/>
          <w:sz w:val="14"/>
          <w:szCs w:val="14"/>
          <w:lang w:val="es-ES_tradnl"/>
        </w:rPr>
        <w:t>í</w:t>
      </w:r>
      <w:r>
        <w:rPr>
          <w:sz w:val="14"/>
          <w:szCs w:val="14"/>
          <w:lang w:val="es-ES_tradnl"/>
        </w:rPr>
        <w:t>dica se relaciona con la idea del Estado de derecho; su relevancia jur</w:t>
      </w:r>
      <w:r>
        <w:rPr>
          <w:rFonts w:cs="Times New Roman"/>
          <w:sz w:val="14"/>
          <w:szCs w:val="14"/>
          <w:lang w:val="es-ES_tradnl"/>
        </w:rPr>
        <w:t>í</w:t>
      </w:r>
      <w:r>
        <w:rPr>
          <w:sz w:val="14"/>
          <w:szCs w:val="14"/>
          <w:lang w:val="es-ES_tradnl"/>
        </w:rPr>
        <w:t>dica se traduce en la necesidad social de contar y garantizar con claros y precisos modelos normativos de conducta destinados a otorgar una seguridad de realizaci</w:t>
      </w:r>
      <w:r>
        <w:rPr>
          <w:rFonts w:cs="Times New Roman"/>
          <w:sz w:val="14"/>
          <w:szCs w:val="14"/>
          <w:lang w:val="es-ES_tradnl"/>
        </w:rPr>
        <w:t>ó</w:t>
      </w:r>
      <w:r>
        <w:rPr>
          <w:sz w:val="14"/>
          <w:szCs w:val="14"/>
          <w:lang w:val="es-ES_tradnl"/>
        </w:rPr>
        <w:t>n de las previsiones normativas. La seguridad jur</w:t>
      </w:r>
      <w:r>
        <w:rPr>
          <w:rFonts w:cs="Times New Roman"/>
          <w:sz w:val="14"/>
          <w:szCs w:val="14"/>
          <w:lang w:val="es-ES_tradnl"/>
        </w:rPr>
        <w:t>í</w:t>
      </w:r>
      <w:r>
        <w:rPr>
          <w:sz w:val="14"/>
          <w:szCs w:val="14"/>
          <w:lang w:val="es-ES_tradnl"/>
        </w:rPr>
        <w:t>dica determina las condiciones que debe tener el poder para producir un sistema jur</w:t>
      </w:r>
      <w:r>
        <w:rPr>
          <w:rFonts w:cs="Times New Roman"/>
          <w:sz w:val="14"/>
          <w:szCs w:val="14"/>
          <w:lang w:val="es-ES_tradnl"/>
        </w:rPr>
        <w:t>í</w:t>
      </w:r>
      <w:r>
        <w:rPr>
          <w:sz w:val="14"/>
          <w:szCs w:val="14"/>
          <w:lang w:val="es-ES_tradnl"/>
        </w:rPr>
        <w:t>dico (validez y eficacia) capaz de alcanzar sus objetivos, evitando aquellos aspectos del poder que pueden da</w:t>
      </w:r>
      <w:r>
        <w:rPr>
          <w:rFonts w:cs="Times New Roman"/>
          <w:sz w:val="14"/>
          <w:szCs w:val="14"/>
          <w:lang w:val="es-ES_tradnl"/>
        </w:rPr>
        <w:t>ñ</w:t>
      </w:r>
      <w:r>
        <w:rPr>
          <w:sz w:val="14"/>
          <w:szCs w:val="14"/>
          <w:lang w:val="es-ES_tradnl"/>
        </w:rPr>
        <w:t>ar la seguridad del ordenamiento normativo. A trav</w:t>
      </w:r>
      <w:r>
        <w:rPr>
          <w:rFonts w:cs="Times New Roman"/>
          <w:sz w:val="14"/>
          <w:szCs w:val="14"/>
          <w:lang w:val="es-ES_tradnl"/>
        </w:rPr>
        <w:t>é</w:t>
      </w:r>
      <w:r>
        <w:rPr>
          <w:sz w:val="14"/>
          <w:szCs w:val="14"/>
          <w:lang w:val="es-ES_tradnl"/>
        </w:rPr>
        <w:t>s de la seguridad jur</w:t>
      </w:r>
      <w:r>
        <w:rPr>
          <w:rFonts w:cs="Times New Roman"/>
          <w:sz w:val="14"/>
          <w:szCs w:val="14"/>
          <w:lang w:val="es-ES_tradnl"/>
        </w:rPr>
        <w:t>í</w:t>
      </w:r>
      <w:r>
        <w:rPr>
          <w:sz w:val="14"/>
          <w:szCs w:val="14"/>
          <w:lang w:val="es-ES_tradnl"/>
        </w:rPr>
        <w:t>dica se garantiza a la persona la certeza y existencia de un operador jur</w:t>
      </w:r>
      <w:r>
        <w:rPr>
          <w:rFonts w:cs="Times New Roman"/>
          <w:sz w:val="14"/>
          <w:szCs w:val="14"/>
          <w:lang w:val="es-ES_tradnl"/>
        </w:rPr>
        <w:t>í</w:t>
      </w:r>
      <w:r>
        <w:rPr>
          <w:sz w:val="14"/>
          <w:szCs w:val="14"/>
          <w:lang w:val="es-ES_tradnl"/>
        </w:rPr>
        <w:t>dico competente para que lo defienda, proteja y tutele sus derechos. En este contexto la seguridad jur</w:t>
      </w:r>
      <w:r>
        <w:rPr>
          <w:rFonts w:cs="Times New Roman"/>
          <w:sz w:val="14"/>
          <w:szCs w:val="14"/>
          <w:lang w:val="es-ES_tradnl"/>
        </w:rPr>
        <w:t>í</w:t>
      </w:r>
      <w:r>
        <w:rPr>
          <w:sz w:val="14"/>
          <w:szCs w:val="14"/>
          <w:lang w:val="es-ES_tradnl"/>
        </w:rPr>
        <w:t>dica es el imperio de la Constituci</w:t>
      </w:r>
      <w:r>
        <w:rPr>
          <w:rFonts w:cs="Times New Roman"/>
          <w:sz w:val="14"/>
          <w:szCs w:val="14"/>
          <w:lang w:val="es-ES_tradnl"/>
        </w:rPr>
        <w:t>ó</w:t>
      </w:r>
      <w:r>
        <w:rPr>
          <w:sz w:val="14"/>
          <w:szCs w:val="14"/>
          <w:lang w:val="es-ES_tradnl"/>
        </w:rPr>
        <w:t>n y la ley, el Estado de derechos, donde se regula y racionaliza el uso de la fuerza con el poder (quien puede usarlo, con qu</w:t>
      </w:r>
      <w:r>
        <w:rPr>
          <w:rFonts w:cs="Times New Roman"/>
          <w:sz w:val="14"/>
          <w:szCs w:val="14"/>
          <w:lang w:val="es-ES_tradnl"/>
        </w:rPr>
        <w:t xml:space="preserve">é </w:t>
      </w:r>
      <w:r>
        <w:rPr>
          <w:sz w:val="14"/>
          <w:szCs w:val="14"/>
          <w:lang w:val="es-ES_tradnl"/>
        </w:rPr>
        <w:t>procedimientos, con qu</w:t>
      </w:r>
      <w:r>
        <w:rPr>
          <w:rFonts w:cs="Times New Roman"/>
          <w:sz w:val="14"/>
          <w:szCs w:val="14"/>
          <w:lang w:val="es-ES_tradnl"/>
        </w:rPr>
        <w:t>é</w:t>
      </w:r>
      <w:r>
        <w:rPr>
          <w:sz w:val="14"/>
          <w:szCs w:val="14"/>
          <w:lang w:val="es-ES_tradnl"/>
        </w:rPr>
        <w:t xml:space="preserve"> contenidos, con qu</w:t>
      </w:r>
      <w:r>
        <w:rPr>
          <w:rFonts w:cs="Times New Roman"/>
          <w:sz w:val="14"/>
          <w:szCs w:val="14"/>
          <w:lang w:val="es-ES_tradnl"/>
        </w:rPr>
        <w:t>é</w:t>
      </w:r>
      <w:r>
        <w:rPr>
          <w:sz w:val="14"/>
          <w:szCs w:val="14"/>
          <w:lang w:val="es-ES_tradnl"/>
        </w:rPr>
        <w:t xml:space="preserve"> l</w:t>
      </w:r>
      <w:r>
        <w:rPr>
          <w:rFonts w:cs="Times New Roman"/>
          <w:sz w:val="14"/>
          <w:szCs w:val="14"/>
          <w:lang w:val="es-ES_tradnl"/>
        </w:rPr>
        <w:t>í</w:t>
      </w:r>
      <w:r>
        <w:rPr>
          <w:sz w:val="14"/>
          <w:szCs w:val="14"/>
          <w:lang w:val="es-ES_tradnl"/>
        </w:rPr>
        <w:t>mites); asegura, da certeza y previene sus efectos.</w:t>
      </w:r>
    </w:p>
    <w:p w14:paraId="4F67B9AF" w14:textId="77777777" w:rsidR="00591D54" w:rsidRDefault="00591D54">
      <w:pPr>
        <w:shd w:val="clear" w:color="auto" w:fill="FFFFFF"/>
        <w:spacing w:before="197" w:line="216" w:lineRule="exact"/>
        <w:jc w:val="both"/>
      </w:pPr>
      <w:r>
        <w:rPr>
          <w:spacing w:val="-11"/>
          <w:sz w:val="18"/>
          <w:szCs w:val="18"/>
          <w:lang w:val="es-ES_tradnl"/>
        </w:rPr>
        <w:t xml:space="preserve">Ahora bien, la tutela constitucional del derecho a la seguridad </w:t>
      </w:r>
      <w:r>
        <w:rPr>
          <w:spacing w:val="-2"/>
          <w:sz w:val="18"/>
          <w:szCs w:val="18"/>
          <w:lang w:val="es-ES_tradnl"/>
        </w:rPr>
        <w:t>jur</w:t>
      </w:r>
      <w:r>
        <w:rPr>
          <w:rFonts w:cs="Times New Roman"/>
          <w:spacing w:val="-2"/>
          <w:sz w:val="18"/>
          <w:szCs w:val="18"/>
          <w:lang w:val="es-ES_tradnl"/>
        </w:rPr>
        <w:t>í</w:t>
      </w:r>
      <w:r>
        <w:rPr>
          <w:spacing w:val="-2"/>
          <w:sz w:val="18"/>
          <w:szCs w:val="18"/>
          <w:lang w:val="es-ES_tradnl"/>
        </w:rPr>
        <w:t>dica mediante acci</w:t>
      </w:r>
      <w:r>
        <w:rPr>
          <w:rFonts w:cs="Times New Roman"/>
          <w:spacing w:val="-2"/>
          <w:sz w:val="18"/>
          <w:szCs w:val="18"/>
          <w:lang w:val="es-ES_tradnl"/>
        </w:rPr>
        <w:t>ó</w:t>
      </w:r>
      <w:r>
        <w:rPr>
          <w:spacing w:val="-2"/>
          <w:sz w:val="18"/>
          <w:szCs w:val="18"/>
          <w:lang w:val="es-ES_tradnl"/>
        </w:rPr>
        <w:t>n extraordinaria de protecci</w:t>
      </w:r>
      <w:r>
        <w:rPr>
          <w:rFonts w:cs="Times New Roman"/>
          <w:spacing w:val="-2"/>
          <w:sz w:val="18"/>
          <w:szCs w:val="18"/>
          <w:lang w:val="es-ES_tradnl"/>
        </w:rPr>
        <w:t>ó</w:t>
      </w:r>
      <w:r>
        <w:rPr>
          <w:spacing w:val="-2"/>
          <w:sz w:val="18"/>
          <w:szCs w:val="18"/>
          <w:lang w:val="es-ES_tradnl"/>
        </w:rPr>
        <w:t xml:space="preserve">n, </w:t>
      </w:r>
      <w:r>
        <w:rPr>
          <w:spacing w:val="-8"/>
          <w:sz w:val="18"/>
          <w:szCs w:val="18"/>
          <w:lang w:val="es-ES_tradnl"/>
        </w:rPr>
        <w:t>debe circunscribirse a las caracter</w:t>
      </w:r>
      <w:r>
        <w:rPr>
          <w:rFonts w:cs="Times New Roman"/>
          <w:spacing w:val="-8"/>
          <w:sz w:val="18"/>
          <w:szCs w:val="18"/>
          <w:lang w:val="es-ES_tradnl"/>
        </w:rPr>
        <w:t>í</w:t>
      </w:r>
      <w:r>
        <w:rPr>
          <w:spacing w:val="-8"/>
          <w:sz w:val="18"/>
          <w:szCs w:val="18"/>
          <w:lang w:val="es-ES_tradnl"/>
        </w:rPr>
        <w:t xml:space="preserve">sticas propias de cada </w:t>
      </w:r>
      <w:r>
        <w:rPr>
          <w:spacing w:val="-6"/>
          <w:sz w:val="18"/>
          <w:szCs w:val="18"/>
          <w:lang w:val="es-ES_tradnl"/>
        </w:rPr>
        <w:t xml:space="preserve">caso, pues si bien la Corte Constitucional ha reconocido y </w:t>
      </w:r>
      <w:r>
        <w:rPr>
          <w:spacing w:val="-10"/>
          <w:sz w:val="18"/>
          <w:szCs w:val="18"/>
          <w:lang w:val="es-ES_tradnl"/>
        </w:rPr>
        <w:t>desarrollado de manera amplia este derecho a trav</w:t>
      </w:r>
      <w:r>
        <w:rPr>
          <w:rFonts w:cs="Times New Roman"/>
          <w:spacing w:val="-10"/>
          <w:sz w:val="18"/>
          <w:szCs w:val="18"/>
          <w:lang w:val="es-ES_tradnl"/>
        </w:rPr>
        <w:t>é</w:t>
      </w:r>
      <w:r>
        <w:rPr>
          <w:spacing w:val="-10"/>
          <w:sz w:val="18"/>
          <w:szCs w:val="18"/>
          <w:lang w:val="es-ES_tradnl"/>
        </w:rPr>
        <w:t xml:space="preserve">s de sus </w:t>
      </w:r>
      <w:r>
        <w:rPr>
          <w:spacing w:val="-11"/>
          <w:sz w:val="18"/>
          <w:szCs w:val="18"/>
          <w:lang w:val="es-ES_tradnl"/>
        </w:rPr>
        <w:t>resoluciones, no es menos cierto que tambi</w:t>
      </w:r>
      <w:r>
        <w:rPr>
          <w:rFonts w:cs="Times New Roman"/>
          <w:spacing w:val="-11"/>
          <w:sz w:val="18"/>
          <w:szCs w:val="18"/>
          <w:lang w:val="es-ES_tradnl"/>
        </w:rPr>
        <w:t>é</w:t>
      </w:r>
      <w:r>
        <w:rPr>
          <w:spacing w:val="-11"/>
          <w:sz w:val="18"/>
          <w:szCs w:val="18"/>
          <w:lang w:val="es-ES_tradnl"/>
        </w:rPr>
        <w:t xml:space="preserve">n ha establecido </w:t>
      </w:r>
      <w:r>
        <w:rPr>
          <w:spacing w:val="-8"/>
          <w:sz w:val="18"/>
          <w:szCs w:val="18"/>
          <w:lang w:val="es-ES_tradnl"/>
        </w:rPr>
        <w:t>l</w:t>
      </w:r>
      <w:r>
        <w:rPr>
          <w:rFonts w:cs="Times New Roman"/>
          <w:spacing w:val="-8"/>
          <w:sz w:val="18"/>
          <w:szCs w:val="18"/>
          <w:lang w:val="es-ES_tradnl"/>
        </w:rPr>
        <w:t>í</w:t>
      </w:r>
      <w:r>
        <w:rPr>
          <w:spacing w:val="-8"/>
          <w:sz w:val="18"/>
          <w:szCs w:val="18"/>
          <w:lang w:val="es-ES_tradnl"/>
        </w:rPr>
        <w:t>mites razonables en cuanto al objeto que los accionantes persiguen cuando impugnan determinadas resoluciones judiciales como trasgresoras a la seguridad jur</w:t>
      </w:r>
      <w:r>
        <w:rPr>
          <w:rFonts w:cs="Times New Roman"/>
          <w:spacing w:val="-8"/>
          <w:sz w:val="18"/>
          <w:szCs w:val="18"/>
          <w:lang w:val="es-ES_tradnl"/>
        </w:rPr>
        <w:t>í</w:t>
      </w:r>
      <w:r>
        <w:rPr>
          <w:spacing w:val="-8"/>
          <w:sz w:val="18"/>
          <w:szCs w:val="18"/>
          <w:lang w:val="es-ES_tradnl"/>
        </w:rPr>
        <w:t>dica.</w:t>
      </w:r>
    </w:p>
    <w:p w14:paraId="4F67B9B0" w14:textId="77777777" w:rsidR="00591D54" w:rsidRDefault="00591D54">
      <w:pPr>
        <w:shd w:val="clear" w:color="auto" w:fill="FFFFFF"/>
        <w:spacing w:before="192" w:line="216" w:lineRule="exact"/>
        <w:jc w:val="both"/>
      </w:pPr>
      <w:r>
        <w:rPr>
          <w:spacing w:val="-7"/>
          <w:sz w:val="18"/>
          <w:szCs w:val="18"/>
          <w:lang w:val="es-ES_tradnl"/>
        </w:rPr>
        <w:t>Uno de los l</w:t>
      </w:r>
      <w:r>
        <w:rPr>
          <w:rFonts w:cs="Times New Roman"/>
          <w:spacing w:val="-7"/>
          <w:sz w:val="18"/>
          <w:szCs w:val="18"/>
          <w:lang w:val="es-ES_tradnl"/>
        </w:rPr>
        <w:t>í</w:t>
      </w:r>
      <w:r>
        <w:rPr>
          <w:spacing w:val="-7"/>
          <w:sz w:val="18"/>
          <w:szCs w:val="18"/>
          <w:lang w:val="es-ES_tradnl"/>
        </w:rPr>
        <w:t xml:space="preserve">mites razonables que se ha considerado para </w:t>
      </w:r>
      <w:r>
        <w:rPr>
          <w:spacing w:val="-8"/>
          <w:sz w:val="18"/>
          <w:szCs w:val="18"/>
          <w:lang w:val="es-ES_tradnl"/>
        </w:rPr>
        <w:t xml:space="preserve">el ejercicio de este derecho, se relaciona de modo general </w:t>
      </w:r>
      <w:r>
        <w:rPr>
          <w:spacing w:val="-7"/>
          <w:sz w:val="18"/>
          <w:szCs w:val="18"/>
          <w:lang w:val="es-ES_tradnl"/>
        </w:rPr>
        <w:t>con la naturaleza propia de las garant</w:t>
      </w:r>
      <w:r>
        <w:rPr>
          <w:rFonts w:cs="Times New Roman"/>
          <w:spacing w:val="-7"/>
          <w:sz w:val="18"/>
          <w:szCs w:val="18"/>
          <w:lang w:val="es-ES_tradnl"/>
        </w:rPr>
        <w:t>í</w:t>
      </w:r>
      <w:r>
        <w:rPr>
          <w:spacing w:val="-7"/>
          <w:sz w:val="18"/>
          <w:szCs w:val="18"/>
          <w:lang w:val="es-ES_tradnl"/>
        </w:rPr>
        <w:t xml:space="preserve">as jurisdiccionales, </w:t>
      </w:r>
      <w:r>
        <w:rPr>
          <w:spacing w:val="-11"/>
          <w:sz w:val="18"/>
          <w:szCs w:val="18"/>
          <w:lang w:val="es-ES_tradnl"/>
        </w:rPr>
        <w:t>instrumentos procesales establecidos en la Constituci</w:t>
      </w:r>
      <w:r>
        <w:rPr>
          <w:rFonts w:cs="Times New Roman"/>
          <w:spacing w:val="-11"/>
          <w:sz w:val="18"/>
          <w:szCs w:val="18"/>
          <w:lang w:val="es-ES_tradnl"/>
        </w:rPr>
        <w:t>ó</w:t>
      </w:r>
      <w:r>
        <w:rPr>
          <w:spacing w:val="-11"/>
          <w:sz w:val="18"/>
          <w:szCs w:val="18"/>
          <w:lang w:val="es-ES_tradnl"/>
        </w:rPr>
        <w:t>n de la Rep</w:t>
      </w:r>
      <w:r>
        <w:rPr>
          <w:rFonts w:cs="Times New Roman"/>
          <w:spacing w:val="-11"/>
          <w:sz w:val="18"/>
          <w:szCs w:val="18"/>
          <w:lang w:val="es-ES_tradnl"/>
        </w:rPr>
        <w:t>ú</w:t>
      </w:r>
      <w:r>
        <w:rPr>
          <w:spacing w:val="-11"/>
          <w:sz w:val="18"/>
          <w:szCs w:val="18"/>
          <w:lang w:val="es-ES_tradnl"/>
        </w:rPr>
        <w:t>blica y en la Ley Org</w:t>
      </w:r>
      <w:r>
        <w:rPr>
          <w:rFonts w:cs="Times New Roman"/>
          <w:spacing w:val="-11"/>
          <w:sz w:val="18"/>
          <w:szCs w:val="18"/>
          <w:lang w:val="es-ES_tradnl"/>
        </w:rPr>
        <w:t>á</w:t>
      </w:r>
      <w:r>
        <w:rPr>
          <w:spacing w:val="-11"/>
          <w:sz w:val="18"/>
          <w:szCs w:val="18"/>
          <w:lang w:val="es-ES_tradnl"/>
        </w:rPr>
        <w:t>nica de Garant</w:t>
      </w:r>
      <w:r>
        <w:rPr>
          <w:rFonts w:cs="Times New Roman"/>
          <w:spacing w:val="-11"/>
          <w:sz w:val="18"/>
          <w:szCs w:val="18"/>
          <w:lang w:val="es-ES_tradnl"/>
        </w:rPr>
        <w:t>í</w:t>
      </w:r>
      <w:r>
        <w:rPr>
          <w:spacing w:val="-11"/>
          <w:sz w:val="18"/>
          <w:szCs w:val="18"/>
          <w:lang w:val="es-ES_tradnl"/>
        </w:rPr>
        <w:t xml:space="preserve">as Jurisdiccionales </w:t>
      </w:r>
      <w:r>
        <w:rPr>
          <w:spacing w:val="-5"/>
          <w:sz w:val="18"/>
          <w:szCs w:val="18"/>
          <w:lang w:val="es-ES_tradnl"/>
        </w:rPr>
        <w:t xml:space="preserve">y Control Constitucional; y, que de acuerdo al criterio </w:t>
      </w:r>
      <w:r>
        <w:rPr>
          <w:spacing w:val="-6"/>
          <w:sz w:val="18"/>
          <w:szCs w:val="18"/>
          <w:lang w:val="es-ES_tradnl"/>
        </w:rPr>
        <w:t>formulado por la Corte Constitucional, en sentencia N.</w:t>
      </w:r>
      <w:r>
        <w:rPr>
          <w:rFonts w:cs="Times New Roman"/>
          <w:spacing w:val="-6"/>
          <w:sz w:val="18"/>
          <w:szCs w:val="18"/>
          <w:lang w:val="es-ES_tradnl"/>
        </w:rPr>
        <w:t xml:space="preserve">º </w:t>
      </w:r>
      <w:r>
        <w:rPr>
          <w:spacing w:val="-10"/>
          <w:sz w:val="18"/>
          <w:szCs w:val="18"/>
          <w:lang w:val="es-ES_tradnl"/>
        </w:rPr>
        <w:t>016-13-SP-CC</w:t>
      </w:r>
      <w:r>
        <w:rPr>
          <w:spacing w:val="-10"/>
          <w:sz w:val="18"/>
          <w:szCs w:val="18"/>
          <w:vertAlign w:val="superscript"/>
          <w:lang w:val="es-ES_tradnl"/>
        </w:rPr>
        <w:t>4</w:t>
      </w:r>
      <w:r>
        <w:rPr>
          <w:spacing w:val="-10"/>
          <w:sz w:val="18"/>
          <w:szCs w:val="18"/>
          <w:lang w:val="es-ES_tradnl"/>
        </w:rPr>
        <w:t xml:space="preserve">, no constituyen los mecanismos adecuados </w:t>
      </w:r>
      <w:r>
        <w:rPr>
          <w:spacing w:val="-8"/>
          <w:sz w:val="18"/>
          <w:szCs w:val="18"/>
          <w:lang w:val="es-ES_tradnl"/>
        </w:rPr>
        <w:t xml:space="preserve">para resolver confl ictos que pudieren generarse respecto a </w:t>
      </w:r>
      <w:r>
        <w:rPr>
          <w:spacing w:val="-9"/>
          <w:sz w:val="18"/>
          <w:szCs w:val="18"/>
          <w:lang w:val="es-ES_tradnl"/>
        </w:rPr>
        <w:t>la aplicaci</w:t>
      </w:r>
      <w:r>
        <w:rPr>
          <w:rFonts w:cs="Times New Roman"/>
          <w:spacing w:val="-9"/>
          <w:sz w:val="18"/>
          <w:szCs w:val="18"/>
          <w:lang w:val="es-ES_tradnl"/>
        </w:rPr>
        <w:t>ó</w:t>
      </w:r>
      <w:r>
        <w:rPr>
          <w:spacing w:val="-9"/>
          <w:sz w:val="18"/>
          <w:szCs w:val="18"/>
          <w:lang w:val="es-ES_tradnl"/>
        </w:rPr>
        <w:t>n err</w:t>
      </w:r>
      <w:r>
        <w:rPr>
          <w:rFonts w:cs="Times New Roman"/>
          <w:spacing w:val="-9"/>
          <w:sz w:val="18"/>
          <w:szCs w:val="18"/>
          <w:lang w:val="es-ES_tradnl"/>
        </w:rPr>
        <w:t>ó</w:t>
      </w:r>
      <w:r>
        <w:rPr>
          <w:spacing w:val="-9"/>
          <w:sz w:val="18"/>
          <w:szCs w:val="18"/>
          <w:lang w:val="es-ES_tradnl"/>
        </w:rPr>
        <w:t>nea o mala interpretaci</w:t>
      </w:r>
      <w:r>
        <w:rPr>
          <w:rFonts w:cs="Times New Roman"/>
          <w:spacing w:val="-9"/>
          <w:sz w:val="18"/>
          <w:szCs w:val="18"/>
          <w:lang w:val="es-ES_tradnl"/>
        </w:rPr>
        <w:t>ó</w:t>
      </w:r>
      <w:r>
        <w:rPr>
          <w:spacing w:val="-9"/>
          <w:sz w:val="18"/>
          <w:szCs w:val="18"/>
          <w:lang w:val="es-ES_tradnl"/>
        </w:rPr>
        <w:t xml:space="preserve">n de disposiciones </w:t>
      </w:r>
      <w:r>
        <w:rPr>
          <w:spacing w:val="-8"/>
          <w:sz w:val="18"/>
          <w:szCs w:val="18"/>
          <w:lang w:val="es-ES_tradnl"/>
        </w:rPr>
        <w:t>normativas infraconstitucionales, en efecto se se</w:t>
      </w:r>
      <w:r>
        <w:rPr>
          <w:rFonts w:cs="Times New Roman"/>
          <w:spacing w:val="-8"/>
          <w:sz w:val="18"/>
          <w:szCs w:val="18"/>
          <w:lang w:val="es-ES_tradnl"/>
        </w:rPr>
        <w:t>ñ</w:t>
      </w:r>
      <w:r>
        <w:rPr>
          <w:spacing w:val="-8"/>
          <w:sz w:val="18"/>
          <w:szCs w:val="18"/>
          <w:lang w:val="es-ES_tradnl"/>
        </w:rPr>
        <w:t>al</w:t>
      </w:r>
      <w:r>
        <w:rPr>
          <w:rFonts w:cs="Times New Roman"/>
          <w:spacing w:val="-8"/>
          <w:sz w:val="18"/>
          <w:szCs w:val="18"/>
          <w:lang w:val="es-ES_tradnl"/>
        </w:rPr>
        <w:t>ó</w:t>
      </w:r>
      <w:r>
        <w:rPr>
          <w:spacing w:val="-8"/>
          <w:sz w:val="18"/>
          <w:szCs w:val="18"/>
          <w:lang w:val="es-ES_tradnl"/>
        </w:rPr>
        <w:t>:</w:t>
      </w:r>
    </w:p>
    <w:p w14:paraId="4F67B9B1" w14:textId="77777777" w:rsidR="00591D54" w:rsidRDefault="00591D54">
      <w:pPr>
        <w:shd w:val="clear" w:color="auto" w:fill="FFFFFF"/>
        <w:spacing w:before="202" w:line="216" w:lineRule="exact"/>
        <w:ind w:left="283" w:right="5"/>
        <w:jc w:val="both"/>
      </w:pPr>
      <w:r>
        <w:rPr>
          <w:spacing w:val="-1"/>
          <w:sz w:val="14"/>
          <w:szCs w:val="14"/>
          <w:lang w:val="es-ES_tradnl"/>
        </w:rPr>
        <w:t>Al respecto, la Corte Constitucional para el per</w:t>
      </w:r>
      <w:r>
        <w:rPr>
          <w:rFonts w:cs="Times New Roman"/>
          <w:spacing w:val="-1"/>
          <w:sz w:val="14"/>
          <w:szCs w:val="14"/>
          <w:lang w:val="es-ES_tradnl"/>
        </w:rPr>
        <w:t>í</w:t>
      </w:r>
      <w:r>
        <w:rPr>
          <w:spacing w:val="-1"/>
          <w:sz w:val="14"/>
          <w:szCs w:val="14"/>
          <w:lang w:val="es-ES_tradnl"/>
        </w:rPr>
        <w:t>odo de transici</w:t>
      </w:r>
      <w:r>
        <w:rPr>
          <w:rFonts w:cs="Times New Roman"/>
          <w:spacing w:val="-1"/>
          <w:sz w:val="14"/>
          <w:szCs w:val="14"/>
          <w:lang w:val="es-ES_tradnl"/>
        </w:rPr>
        <w:t>ó</w:t>
      </w:r>
      <w:r>
        <w:rPr>
          <w:spacing w:val="-1"/>
          <w:sz w:val="14"/>
          <w:szCs w:val="14"/>
          <w:lang w:val="es-ES_tradnl"/>
        </w:rPr>
        <w:t>n en reiteradas ocasiones ha se</w:t>
      </w:r>
      <w:r>
        <w:rPr>
          <w:rFonts w:cs="Times New Roman"/>
          <w:spacing w:val="-1"/>
          <w:sz w:val="14"/>
          <w:szCs w:val="14"/>
          <w:lang w:val="es-ES_tradnl"/>
        </w:rPr>
        <w:t>ñ</w:t>
      </w:r>
      <w:r>
        <w:rPr>
          <w:spacing w:val="-1"/>
          <w:sz w:val="14"/>
          <w:szCs w:val="14"/>
          <w:lang w:val="es-ES_tradnl"/>
        </w:rPr>
        <w:t xml:space="preserve">alado que si la controversia versa </w:t>
      </w:r>
      <w:r>
        <w:rPr>
          <w:sz w:val="14"/>
          <w:szCs w:val="14"/>
          <w:lang w:val="es-ES_tradnl"/>
        </w:rPr>
        <w:t>sobre la normativa infraconstitucional aplicable al caso, la persona afectada debe acudir a las instancias jurisdiccionales</w:t>
      </w:r>
    </w:p>
    <w:p w14:paraId="4F67B9B2" w14:textId="77777777" w:rsidR="00591D54" w:rsidRDefault="00591D54">
      <w:pPr>
        <w:shd w:val="clear" w:color="auto" w:fill="FFFFFF"/>
        <w:tabs>
          <w:tab w:val="left" w:pos="144"/>
        </w:tabs>
        <w:spacing w:before="422" w:line="182" w:lineRule="exact"/>
        <w:ind w:left="144" w:hanging="144"/>
      </w:pPr>
      <w:r>
        <w:rPr>
          <w:sz w:val="10"/>
          <w:szCs w:val="10"/>
          <w:vertAlign w:val="superscript"/>
          <w:lang w:val="es-ES_tradnl"/>
        </w:rPr>
        <w:t>3</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º</w:t>
      </w:r>
      <w:r>
        <w:rPr>
          <w:sz w:val="18"/>
          <w:szCs w:val="18"/>
          <w:lang w:val="es-ES_tradnl"/>
        </w:rPr>
        <w:t xml:space="preserve"> </w:t>
      </w:r>
      <w:r>
        <w:rPr>
          <w:sz w:val="14"/>
          <w:szCs w:val="14"/>
          <w:lang w:val="es-ES_tradnl"/>
        </w:rPr>
        <w:t>089-13-SEP-CC, Caso N.</w:t>
      </w:r>
      <w:r>
        <w:rPr>
          <w:rFonts w:cs="Times New Roman"/>
          <w:sz w:val="14"/>
          <w:szCs w:val="14"/>
          <w:lang w:val="es-ES_tradnl"/>
        </w:rPr>
        <w:t>º</w:t>
      </w:r>
      <w:r>
        <w:rPr>
          <w:sz w:val="14"/>
          <w:szCs w:val="14"/>
          <w:lang w:val="es-ES_tradnl"/>
        </w:rPr>
        <w:t xml:space="preserve"> 1203-12-EP</w:t>
      </w:r>
    </w:p>
    <w:p w14:paraId="4F67B9B3" w14:textId="77777777" w:rsidR="00591D54" w:rsidRDefault="00591D54">
      <w:pPr>
        <w:shd w:val="clear" w:color="auto" w:fill="FFFFFF"/>
        <w:tabs>
          <w:tab w:val="left" w:pos="144"/>
        </w:tabs>
        <w:spacing w:before="149" w:line="178" w:lineRule="exact"/>
        <w:ind w:left="144" w:hanging="144"/>
      </w:pPr>
      <w:r>
        <w:rPr>
          <w:sz w:val="10"/>
          <w:szCs w:val="10"/>
          <w:vertAlign w:val="superscript"/>
          <w:lang w:val="es-ES_tradnl"/>
        </w:rPr>
        <w:t>4</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º</w:t>
      </w:r>
      <w:r>
        <w:rPr>
          <w:sz w:val="18"/>
          <w:szCs w:val="18"/>
          <w:lang w:val="es-ES_tradnl"/>
        </w:rPr>
        <w:t xml:space="preserve"> </w:t>
      </w:r>
      <w:r>
        <w:rPr>
          <w:sz w:val="14"/>
          <w:szCs w:val="14"/>
          <w:lang w:val="es-ES_tradnl"/>
        </w:rPr>
        <w:t>016-13-SEP-CC, Caso N.</w:t>
      </w:r>
      <w:r>
        <w:rPr>
          <w:rFonts w:cs="Times New Roman"/>
          <w:sz w:val="14"/>
          <w:szCs w:val="14"/>
          <w:lang w:val="es-ES_tradnl"/>
        </w:rPr>
        <w:t>º</w:t>
      </w:r>
      <w:r>
        <w:rPr>
          <w:sz w:val="14"/>
          <w:szCs w:val="14"/>
          <w:lang w:val="es-ES_tradnl"/>
        </w:rPr>
        <w:t xml:space="preserve"> 1000-12-EP</w:t>
      </w:r>
    </w:p>
    <w:p w14:paraId="4F67B9B4" w14:textId="77777777" w:rsidR="00591D54" w:rsidRDefault="00591D54">
      <w:pPr>
        <w:shd w:val="clear" w:color="auto" w:fill="FFFFFF"/>
        <w:tabs>
          <w:tab w:val="left" w:pos="144"/>
        </w:tabs>
        <w:spacing w:before="149" w:line="178" w:lineRule="exact"/>
        <w:ind w:left="144" w:hanging="144"/>
        <w:sectPr w:rsidR="00591D54">
          <w:type w:val="continuous"/>
          <w:pgSz w:w="11909" w:h="16834"/>
          <w:pgMar w:top="1356" w:right="1304" w:bottom="360" w:left="1308" w:header="720" w:footer="720" w:gutter="0"/>
          <w:cols w:num="2" w:space="720" w:equalWidth="0">
            <w:col w:w="4305" w:space="682"/>
            <w:col w:w="4310"/>
          </w:cols>
          <w:noEndnote/>
        </w:sectPr>
      </w:pPr>
    </w:p>
    <w:p w14:paraId="4F67B9B5" w14:textId="77777777" w:rsidR="00591D54" w:rsidRDefault="00591D54">
      <w:pPr>
        <w:shd w:val="clear" w:color="auto" w:fill="FFFFFF"/>
        <w:tabs>
          <w:tab w:val="left" w:pos="4814"/>
        </w:tabs>
        <w:spacing w:after="230"/>
        <w:ind w:left="5"/>
      </w:pPr>
      <w:r>
        <w:rPr>
          <w:b/>
          <w:bCs/>
          <w:sz w:val="18"/>
          <w:szCs w:val="18"/>
          <w:lang w:val="es-ES_tradnl"/>
        </w:rPr>
        <w:t xml:space="preserve">270 -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9B6" w14:textId="77777777" w:rsidR="00591D54" w:rsidRDefault="00591D54">
      <w:pPr>
        <w:shd w:val="clear" w:color="auto" w:fill="FFFFFF"/>
        <w:tabs>
          <w:tab w:val="left" w:pos="4814"/>
        </w:tabs>
        <w:spacing w:after="230"/>
        <w:ind w:left="5"/>
        <w:sectPr w:rsidR="00591D54">
          <w:pgSz w:w="11909" w:h="16834"/>
          <w:pgMar w:top="1356" w:right="1304" w:bottom="360" w:left="1308" w:header="720" w:footer="720" w:gutter="0"/>
          <w:cols w:space="60"/>
          <w:noEndnote/>
        </w:sectPr>
      </w:pPr>
    </w:p>
    <w:p w14:paraId="4F67B9B7" w14:textId="77777777" w:rsidR="00591D54" w:rsidRDefault="00591D54">
      <w:pPr>
        <w:shd w:val="clear" w:color="auto" w:fill="FFFFFF"/>
        <w:spacing w:line="216" w:lineRule="exact"/>
        <w:ind w:left="283"/>
        <w:jc w:val="both"/>
      </w:pPr>
      <w:r>
        <w:rPr>
          <w:spacing w:val="-6"/>
          <w:sz w:val="16"/>
          <w:szCs w:val="16"/>
          <w:lang w:val="es-ES_tradnl"/>
        </w:rPr>
        <w:t xml:space="preserve">ordinarias competentes y no a la justicia constitucional, pues </w:t>
      </w:r>
      <w:r>
        <w:rPr>
          <w:spacing w:val="-9"/>
          <w:sz w:val="16"/>
          <w:szCs w:val="16"/>
          <w:lang w:val="es-ES_tradnl"/>
        </w:rPr>
        <w:t xml:space="preserve">esta no se encuentra facultada para resolver problemas legales </w:t>
      </w:r>
      <w:r>
        <w:rPr>
          <w:spacing w:val="-7"/>
          <w:sz w:val="16"/>
          <w:szCs w:val="16"/>
          <w:lang w:val="es-ES_tradnl"/>
        </w:rPr>
        <w:t xml:space="preserve">que no acarreen vulneraciones de derechos constitucionales. </w:t>
      </w:r>
      <w:r>
        <w:rPr>
          <w:spacing w:val="-6"/>
          <w:sz w:val="16"/>
          <w:szCs w:val="16"/>
          <w:lang w:val="es-ES_tradnl"/>
        </w:rPr>
        <w:t>(</w:t>
      </w:r>
      <w:r>
        <w:rPr>
          <w:rFonts w:cs="Times New Roman"/>
          <w:spacing w:val="-6"/>
          <w:sz w:val="16"/>
          <w:szCs w:val="16"/>
          <w:lang w:val="es-ES_tradnl"/>
        </w:rPr>
        <w:t>…</w:t>
      </w:r>
      <w:r>
        <w:rPr>
          <w:spacing w:val="-6"/>
          <w:sz w:val="16"/>
          <w:szCs w:val="16"/>
          <w:lang w:val="es-ES_tradnl"/>
        </w:rPr>
        <w:t xml:space="preserve">) Como ya ha quedado establecido, </w:t>
      </w:r>
      <w:r>
        <w:rPr>
          <w:b/>
          <w:bCs/>
          <w:spacing w:val="-6"/>
          <w:sz w:val="16"/>
          <w:szCs w:val="16"/>
          <w:lang w:val="es-ES_tradnl"/>
        </w:rPr>
        <w:t xml:space="preserve">la naturaleza de las </w:t>
      </w:r>
      <w:r>
        <w:rPr>
          <w:b/>
          <w:bCs/>
          <w:spacing w:val="-8"/>
          <w:sz w:val="16"/>
          <w:szCs w:val="16"/>
          <w:lang w:val="es-ES_tradnl"/>
        </w:rPr>
        <w:t>garant</w:t>
      </w:r>
      <w:r>
        <w:rPr>
          <w:rFonts w:cs="Times New Roman"/>
          <w:b/>
          <w:bCs/>
          <w:spacing w:val="-8"/>
          <w:sz w:val="16"/>
          <w:szCs w:val="16"/>
          <w:lang w:val="es-ES_tradnl"/>
        </w:rPr>
        <w:t>í</w:t>
      </w:r>
      <w:r>
        <w:rPr>
          <w:b/>
          <w:bCs/>
          <w:spacing w:val="-8"/>
          <w:sz w:val="16"/>
          <w:szCs w:val="16"/>
          <w:lang w:val="es-ES_tradnl"/>
        </w:rPr>
        <w:t>as jurisdiccionales determina la tutela y protecci</w:t>
      </w:r>
      <w:r>
        <w:rPr>
          <w:rFonts w:cs="Times New Roman"/>
          <w:b/>
          <w:bCs/>
          <w:spacing w:val="-8"/>
          <w:sz w:val="16"/>
          <w:szCs w:val="16"/>
          <w:lang w:val="es-ES_tradnl"/>
        </w:rPr>
        <w:t>ó</w:t>
      </w:r>
      <w:r>
        <w:rPr>
          <w:b/>
          <w:bCs/>
          <w:spacing w:val="-8"/>
          <w:sz w:val="16"/>
          <w:szCs w:val="16"/>
          <w:lang w:val="es-ES_tradnl"/>
        </w:rPr>
        <w:t xml:space="preserve">n </w:t>
      </w:r>
      <w:r>
        <w:rPr>
          <w:b/>
          <w:bCs/>
          <w:spacing w:val="-12"/>
          <w:sz w:val="16"/>
          <w:szCs w:val="16"/>
          <w:lang w:val="es-ES_tradnl"/>
        </w:rPr>
        <w:t xml:space="preserve">de derechos constitucionales y del debido proceso; en aquel </w:t>
      </w:r>
      <w:r>
        <w:rPr>
          <w:b/>
          <w:bCs/>
          <w:spacing w:val="-6"/>
          <w:sz w:val="16"/>
          <w:szCs w:val="16"/>
          <w:lang w:val="es-ES_tradnl"/>
        </w:rPr>
        <w:t>sentido, los confl ictos que pudieren generarse respecto a la aplicaci</w:t>
      </w:r>
      <w:r>
        <w:rPr>
          <w:rFonts w:cs="Times New Roman"/>
          <w:b/>
          <w:bCs/>
          <w:spacing w:val="-6"/>
          <w:sz w:val="16"/>
          <w:szCs w:val="16"/>
          <w:lang w:val="es-ES_tradnl"/>
        </w:rPr>
        <w:t>ó</w:t>
      </w:r>
      <w:r>
        <w:rPr>
          <w:b/>
          <w:bCs/>
          <w:spacing w:val="-6"/>
          <w:sz w:val="16"/>
          <w:szCs w:val="16"/>
          <w:lang w:val="es-ES_tradnl"/>
        </w:rPr>
        <w:t>n err</w:t>
      </w:r>
      <w:r>
        <w:rPr>
          <w:rFonts w:cs="Times New Roman"/>
          <w:b/>
          <w:bCs/>
          <w:spacing w:val="-6"/>
          <w:sz w:val="16"/>
          <w:szCs w:val="16"/>
          <w:lang w:val="es-ES_tradnl"/>
        </w:rPr>
        <w:t>ó</w:t>
      </w:r>
      <w:r>
        <w:rPr>
          <w:b/>
          <w:bCs/>
          <w:spacing w:val="-6"/>
          <w:sz w:val="16"/>
          <w:szCs w:val="16"/>
          <w:lang w:val="es-ES_tradnl"/>
        </w:rPr>
        <w:t>nea o mala interpretaci</w:t>
      </w:r>
      <w:r>
        <w:rPr>
          <w:rFonts w:cs="Times New Roman"/>
          <w:b/>
          <w:bCs/>
          <w:spacing w:val="-6"/>
          <w:sz w:val="16"/>
          <w:szCs w:val="16"/>
          <w:lang w:val="es-ES_tradnl"/>
        </w:rPr>
        <w:t>ó</w:t>
      </w:r>
      <w:r>
        <w:rPr>
          <w:b/>
          <w:bCs/>
          <w:spacing w:val="-6"/>
          <w:sz w:val="16"/>
          <w:szCs w:val="16"/>
          <w:lang w:val="es-ES_tradnl"/>
        </w:rPr>
        <w:t xml:space="preserve">n de las </w:t>
      </w:r>
      <w:r>
        <w:rPr>
          <w:b/>
          <w:bCs/>
          <w:spacing w:val="-9"/>
          <w:sz w:val="16"/>
          <w:szCs w:val="16"/>
          <w:lang w:val="es-ES_tradnl"/>
        </w:rPr>
        <w:t>disposiciones normativas infraconstitucionales no pueden ser objeto de an</w:t>
      </w:r>
      <w:r>
        <w:rPr>
          <w:rFonts w:cs="Times New Roman"/>
          <w:b/>
          <w:bCs/>
          <w:spacing w:val="-9"/>
          <w:sz w:val="16"/>
          <w:szCs w:val="16"/>
          <w:lang w:val="es-ES_tradnl"/>
        </w:rPr>
        <w:t>á</w:t>
      </w:r>
      <w:r>
        <w:rPr>
          <w:b/>
          <w:bCs/>
          <w:spacing w:val="-9"/>
          <w:sz w:val="16"/>
          <w:szCs w:val="16"/>
          <w:lang w:val="es-ES_tradnl"/>
        </w:rPr>
        <w:t xml:space="preserve">lisis por parte de la justicia constitucional </w:t>
      </w:r>
      <w:r>
        <w:rPr>
          <w:b/>
          <w:bCs/>
          <w:spacing w:val="-8"/>
          <w:sz w:val="16"/>
          <w:szCs w:val="16"/>
          <w:lang w:val="es-ES_tradnl"/>
        </w:rPr>
        <w:t>v</w:t>
      </w:r>
      <w:r>
        <w:rPr>
          <w:rFonts w:cs="Times New Roman"/>
          <w:b/>
          <w:bCs/>
          <w:spacing w:val="-8"/>
          <w:sz w:val="16"/>
          <w:szCs w:val="16"/>
          <w:lang w:val="es-ES_tradnl"/>
        </w:rPr>
        <w:t>í</w:t>
      </w:r>
      <w:r>
        <w:rPr>
          <w:b/>
          <w:bCs/>
          <w:spacing w:val="-8"/>
          <w:sz w:val="16"/>
          <w:szCs w:val="16"/>
          <w:lang w:val="es-ES_tradnl"/>
        </w:rPr>
        <w:t>a garant</w:t>
      </w:r>
      <w:r>
        <w:rPr>
          <w:rFonts w:cs="Times New Roman"/>
          <w:b/>
          <w:bCs/>
          <w:spacing w:val="-8"/>
          <w:sz w:val="16"/>
          <w:szCs w:val="16"/>
          <w:lang w:val="es-ES_tradnl"/>
        </w:rPr>
        <w:t>í</w:t>
      </w:r>
      <w:r>
        <w:rPr>
          <w:b/>
          <w:bCs/>
          <w:spacing w:val="-8"/>
          <w:sz w:val="16"/>
          <w:szCs w:val="16"/>
          <w:lang w:val="es-ES_tradnl"/>
        </w:rPr>
        <w:t>as jurisdiccionales de los derechos</w:t>
      </w:r>
      <w:r>
        <w:rPr>
          <w:spacing w:val="-8"/>
          <w:sz w:val="16"/>
          <w:szCs w:val="16"/>
          <w:lang w:val="es-ES_tradnl"/>
        </w:rPr>
        <w:t xml:space="preserve">, puesto que </w:t>
      </w:r>
      <w:r>
        <w:rPr>
          <w:spacing w:val="-5"/>
          <w:sz w:val="16"/>
          <w:szCs w:val="16"/>
          <w:lang w:val="es-ES_tradnl"/>
        </w:rPr>
        <w:t>para ello existen los int</w:t>
      </w:r>
      <w:r>
        <w:rPr>
          <w:rFonts w:cs="Times New Roman"/>
          <w:spacing w:val="-5"/>
          <w:sz w:val="16"/>
          <w:szCs w:val="16"/>
          <w:lang w:val="es-ES_tradnl"/>
        </w:rPr>
        <w:t>é</w:t>
      </w:r>
      <w:r>
        <w:rPr>
          <w:spacing w:val="-5"/>
          <w:sz w:val="16"/>
          <w:szCs w:val="16"/>
          <w:lang w:val="es-ES_tradnl"/>
        </w:rPr>
        <w:t xml:space="preserve">rpretes normativos competentes. </w:t>
      </w:r>
      <w:r>
        <w:rPr>
          <w:sz w:val="16"/>
          <w:szCs w:val="16"/>
          <w:lang w:val="es-ES_tradnl"/>
        </w:rPr>
        <w:t>(Resaltado no forma parte del texto)</w:t>
      </w:r>
    </w:p>
    <w:p w14:paraId="4F67B9B8" w14:textId="77777777" w:rsidR="00591D54" w:rsidRDefault="00591D54">
      <w:pPr>
        <w:shd w:val="clear" w:color="auto" w:fill="FFFFFF"/>
        <w:spacing w:before="202" w:line="216" w:lineRule="exact"/>
        <w:jc w:val="both"/>
      </w:pPr>
      <w:r>
        <w:rPr>
          <w:sz w:val="18"/>
          <w:szCs w:val="18"/>
          <w:lang w:val="es-ES_tradnl"/>
        </w:rPr>
        <w:t>Por tanto, resulta l</w:t>
      </w:r>
      <w:r>
        <w:rPr>
          <w:rFonts w:cs="Times New Roman"/>
          <w:sz w:val="18"/>
          <w:szCs w:val="18"/>
          <w:lang w:val="es-ES_tradnl"/>
        </w:rPr>
        <w:t>ó</w:t>
      </w:r>
      <w:r>
        <w:rPr>
          <w:sz w:val="18"/>
          <w:szCs w:val="18"/>
          <w:lang w:val="es-ES_tradnl"/>
        </w:rPr>
        <w:t>gico que la acci</w:t>
      </w:r>
      <w:r>
        <w:rPr>
          <w:rFonts w:cs="Times New Roman"/>
          <w:sz w:val="18"/>
          <w:szCs w:val="18"/>
          <w:lang w:val="es-ES_tradnl"/>
        </w:rPr>
        <w:t>ó</w:t>
      </w:r>
      <w:r>
        <w:rPr>
          <w:sz w:val="18"/>
          <w:szCs w:val="18"/>
          <w:lang w:val="es-ES_tradnl"/>
        </w:rPr>
        <w:t xml:space="preserve">n extraordinaria </w:t>
      </w:r>
      <w:r>
        <w:rPr>
          <w:spacing w:val="-5"/>
          <w:sz w:val="18"/>
          <w:szCs w:val="18"/>
          <w:lang w:val="es-ES_tradnl"/>
        </w:rPr>
        <w:t>de protecci</w:t>
      </w:r>
      <w:r>
        <w:rPr>
          <w:rFonts w:cs="Times New Roman"/>
          <w:spacing w:val="-5"/>
          <w:sz w:val="18"/>
          <w:szCs w:val="18"/>
          <w:lang w:val="es-ES_tradnl"/>
        </w:rPr>
        <w:t>ó</w:t>
      </w:r>
      <w:r>
        <w:rPr>
          <w:spacing w:val="-5"/>
          <w:sz w:val="18"/>
          <w:szCs w:val="18"/>
          <w:lang w:val="es-ES_tradnl"/>
        </w:rPr>
        <w:t>n, como garant</w:t>
      </w:r>
      <w:r>
        <w:rPr>
          <w:rFonts w:cs="Times New Roman"/>
          <w:spacing w:val="-5"/>
          <w:sz w:val="18"/>
          <w:szCs w:val="18"/>
          <w:lang w:val="es-ES_tradnl"/>
        </w:rPr>
        <w:t>í</w:t>
      </w:r>
      <w:r>
        <w:rPr>
          <w:spacing w:val="-5"/>
          <w:sz w:val="18"/>
          <w:szCs w:val="18"/>
          <w:lang w:val="es-ES_tradnl"/>
        </w:rPr>
        <w:t xml:space="preserve">a jurisdiccional, no es un </w:t>
      </w:r>
      <w:r>
        <w:rPr>
          <w:spacing w:val="-8"/>
          <w:sz w:val="18"/>
          <w:szCs w:val="18"/>
          <w:lang w:val="es-ES_tradnl"/>
        </w:rPr>
        <w:t>mecanismo id</w:t>
      </w:r>
      <w:r>
        <w:rPr>
          <w:rFonts w:cs="Times New Roman"/>
          <w:spacing w:val="-8"/>
          <w:sz w:val="18"/>
          <w:szCs w:val="18"/>
          <w:lang w:val="es-ES_tradnl"/>
        </w:rPr>
        <w:t>ó</w:t>
      </w:r>
      <w:r>
        <w:rPr>
          <w:spacing w:val="-8"/>
          <w:sz w:val="18"/>
          <w:szCs w:val="18"/>
          <w:lang w:val="es-ES_tradnl"/>
        </w:rPr>
        <w:t>neo para corregir el criterio de interpretaci</w:t>
      </w:r>
      <w:r>
        <w:rPr>
          <w:rFonts w:cs="Times New Roman"/>
          <w:spacing w:val="-8"/>
          <w:sz w:val="18"/>
          <w:szCs w:val="18"/>
          <w:lang w:val="es-ES_tradnl"/>
        </w:rPr>
        <w:t>ó</w:t>
      </w:r>
      <w:r>
        <w:rPr>
          <w:spacing w:val="-8"/>
          <w:sz w:val="18"/>
          <w:szCs w:val="18"/>
          <w:lang w:val="es-ES_tradnl"/>
        </w:rPr>
        <w:t xml:space="preserve">n </w:t>
      </w:r>
      <w:r>
        <w:rPr>
          <w:spacing w:val="-7"/>
          <w:sz w:val="18"/>
          <w:szCs w:val="18"/>
          <w:lang w:val="es-ES_tradnl"/>
        </w:rPr>
        <w:t xml:space="preserve">de disposiciones infraconstitucionales, justamente porque </w:t>
      </w:r>
      <w:r>
        <w:rPr>
          <w:spacing w:val="-4"/>
          <w:sz w:val="18"/>
          <w:szCs w:val="18"/>
          <w:lang w:val="es-ES_tradnl"/>
        </w:rPr>
        <w:t>ello excede el alcance de la jurisdicci</w:t>
      </w:r>
      <w:r>
        <w:rPr>
          <w:rFonts w:cs="Times New Roman"/>
          <w:spacing w:val="-4"/>
          <w:sz w:val="18"/>
          <w:szCs w:val="18"/>
          <w:lang w:val="es-ES_tradnl"/>
        </w:rPr>
        <w:t>ó</w:t>
      </w:r>
      <w:r>
        <w:rPr>
          <w:spacing w:val="-4"/>
          <w:sz w:val="18"/>
          <w:szCs w:val="18"/>
          <w:lang w:val="es-ES_tradnl"/>
        </w:rPr>
        <w:t xml:space="preserve">n constitucional. </w:t>
      </w:r>
      <w:r>
        <w:rPr>
          <w:spacing w:val="-8"/>
          <w:sz w:val="18"/>
          <w:szCs w:val="18"/>
          <w:lang w:val="es-ES_tradnl"/>
        </w:rPr>
        <w:t xml:space="preserve">Dicho en otras palabras y haciendo referencia a lo resuelto </w:t>
      </w:r>
      <w:r>
        <w:rPr>
          <w:spacing w:val="-11"/>
          <w:sz w:val="18"/>
          <w:szCs w:val="18"/>
          <w:lang w:val="es-ES_tradnl"/>
        </w:rPr>
        <w:t xml:space="preserve">por esta Corte Constitucional, </w:t>
      </w:r>
      <w:r>
        <w:rPr>
          <w:rFonts w:cs="Times New Roman"/>
          <w:spacing w:val="-11"/>
          <w:sz w:val="18"/>
          <w:szCs w:val="18"/>
          <w:lang w:val="es-ES_tradnl"/>
        </w:rPr>
        <w:t>“</w:t>
      </w:r>
      <w:r>
        <w:rPr>
          <w:spacing w:val="-11"/>
          <w:sz w:val="18"/>
          <w:szCs w:val="18"/>
          <w:lang w:val="es-ES_tradnl"/>
        </w:rPr>
        <w:t xml:space="preserve">cabe advertir que el derecho a </w:t>
      </w:r>
      <w:r>
        <w:rPr>
          <w:spacing w:val="-10"/>
          <w:sz w:val="18"/>
          <w:szCs w:val="18"/>
          <w:lang w:val="es-ES_tradnl"/>
        </w:rPr>
        <w:t>la seguridad jur</w:t>
      </w:r>
      <w:r>
        <w:rPr>
          <w:rFonts w:cs="Times New Roman"/>
          <w:spacing w:val="-10"/>
          <w:sz w:val="18"/>
          <w:szCs w:val="18"/>
          <w:lang w:val="es-ES_tradnl"/>
        </w:rPr>
        <w:t>í</w:t>
      </w:r>
      <w:r>
        <w:rPr>
          <w:spacing w:val="-10"/>
          <w:sz w:val="18"/>
          <w:szCs w:val="18"/>
          <w:lang w:val="es-ES_tradnl"/>
        </w:rPr>
        <w:t xml:space="preserve">dica no puede ni debe ser interpretado como </w:t>
      </w:r>
      <w:r>
        <w:rPr>
          <w:spacing w:val="-7"/>
          <w:sz w:val="18"/>
          <w:szCs w:val="18"/>
          <w:lang w:val="es-ES_tradnl"/>
        </w:rPr>
        <w:t>un recurso tendiente a corregir insatisfacciones subjetivas que hacen relaci</w:t>
      </w:r>
      <w:r>
        <w:rPr>
          <w:rFonts w:cs="Times New Roman"/>
          <w:spacing w:val="-7"/>
          <w:sz w:val="18"/>
          <w:szCs w:val="18"/>
          <w:lang w:val="es-ES_tradnl"/>
        </w:rPr>
        <w:t>ó</w:t>
      </w:r>
      <w:r>
        <w:rPr>
          <w:spacing w:val="-7"/>
          <w:sz w:val="18"/>
          <w:szCs w:val="18"/>
          <w:lang w:val="es-ES_tradnl"/>
        </w:rPr>
        <w:t>n a una indebida o err</w:t>
      </w:r>
      <w:r>
        <w:rPr>
          <w:rFonts w:cs="Times New Roman"/>
          <w:spacing w:val="-7"/>
          <w:sz w:val="18"/>
          <w:szCs w:val="18"/>
          <w:lang w:val="es-ES_tradnl"/>
        </w:rPr>
        <w:t>ó</w:t>
      </w:r>
      <w:r>
        <w:rPr>
          <w:spacing w:val="-7"/>
          <w:sz w:val="18"/>
          <w:szCs w:val="18"/>
          <w:lang w:val="es-ES_tradnl"/>
        </w:rPr>
        <w:t>nea aplicaci</w:t>
      </w:r>
      <w:r>
        <w:rPr>
          <w:rFonts w:cs="Times New Roman"/>
          <w:spacing w:val="-7"/>
          <w:sz w:val="18"/>
          <w:szCs w:val="18"/>
          <w:lang w:val="es-ES_tradnl"/>
        </w:rPr>
        <w:t>ó</w:t>
      </w:r>
      <w:r>
        <w:rPr>
          <w:spacing w:val="-7"/>
          <w:sz w:val="18"/>
          <w:szCs w:val="18"/>
          <w:lang w:val="es-ES_tradnl"/>
        </w:rPr>
        <w:t>n de</w:t>
      </w:r>
    </w:p>
    <w:p w14:paraId="4F67B9B9" w14:textId="77777777" w:rsidR="00591D54" w:rsidRDefault="00591D54">
      <w:pPr>
        <w:shd w:val="clear" w:color="auto" w:fill="FFFFFF"/>
      </w:pPr>
      <w:r>
        <w:rPr>
          <w:spacing w:val="-7"/>
          <w:sz w:val="18"/>
          <w:szCs w:val="18"/>
          <w:lang w:val="es-ES_tradnl"/>
        </w:rPr>
        <w:t>la norma jur</w:t>
      </w:r>
      <w:r>
        <w:rPr>
          <w:rFonts w:cs="Times New Roman"/>
          <w:spacing w:val="-7"/>
          <w:sz w:val="18"/>
          <w:szCs w:val="18"/>
          <w:lang w:val="es-ES_tradnl"/>
        </w:rPr>
        <w:t>í</w:t>
      </w:r>
      <w:r>
        <w:rPr>
          <w:spacing w:val="-7"/>
          <w:sz w:val="18"/>
          <w:szCs w:val="18"/>
          <w:lang w:val="es-ES_tradnl"/>
        </w:rPr>
        <w:t>dica</w:t>
      </w:r>
      <w:r>
        <w:rPr>
          <w:rFonts w:cs="Times New Roman"/>
          <w:spacing w:val="-7"/>
          <w:sz w:val="18"/>
          <w:szCs w:val="18"/>
          <w:lang w:val="es-ES_tradnl"/>
        </w:rPr>
        <w:t>”</w:t>
      </w:r>
      <w:r>
        <w:rPr>
          <w:spacing w:val="-7"/>
          <w:sz w:val="18"/>
          <w:szCs w:val="18"/>
          <w:lang w:val="es-ES_tradnl"/>
        </w:rPr>
        <w:t>.</w:t>
      </w:r>
      <w:r>
        <w:rPr>
          <w:spacing w:val="-7"/>
          <w:sz w:val="18"/>
          <w:szCs w:val="18"/>
          <w:vertAlign w:val="superscript"/>
          <w:lang w:val="es-ES_tradnl"/>
        </w:rPr>
        <w:t>5</w:t>
      </w:r>
    </w:p>
    <w:p w14:paraId="4F67B9BA" w14:textId="77777777" w:rsidR="00591D54" w:rsidRDefault="00591D54">
      <w:pPr>
        <w:shd w:val="clear" w:color="auto" w:fill="FFFFFF"/>
        <w:spacing w:before="197" w:line="216" w:lineRule="exact"/>
        <w:jc w:val="both"/>
      </w:pPr>
      <w:r>
        <w:rPr>
          <w:spacing w:val="-7"/>
          <w:sz w:val="18"/>
          <w:szCs w:val="18"/>
          <w:lang w:val="es-ES_tradnl"/>
        </w:rPr>
        <w:t>En el caso bajo examen, el accionante Jos</w:t>
      </w:r>
      <w:r>
        <w:rPr>
          <w:rFonts w:cs="Times New Roman"/>
          <w:spacing w:val="-7"/>
          <w:sz w:val="18"/>
          <w:szCs w:val="18"/>
          <w:lang w:val="es-ES_tradnl"/>
        </w:rPr>
        <w:t>é</w:t>
      </w:r>
      <w:r>
        <w:rPr>
          <w:spacing w:val="-7"/>
          <w:sz w:val="18"/>
          <w:szCs w:val="18"/>
          <w:lang w:val="es-ES_tradnl"/>
        </w:rPr>
        <w:t xml:space="preserve"> Luis Santos Garc</w:t>
      </w:r>
      <w:r>
        <w:rPr>
          <w:rFonts w:cs="Times New Roman"/>
          <w:spacing w:val="-7"/>
          <w:sz w:val="18"/>
          <w:szCs w:val="18"/>
          <w:lang w:val="es-ES_tradnl"/>
        </w:rPr>
        <w:t>í</w:t>
      </w:r>
      <w:r>
        <w:rPr>
          <w:spacing w:val="-7"/>
          <w:sz w:val="18"/>
          <w:szCs w:val="18"/>
          <w:lang w:val="es-ES_tradnl"/>
        </w:rPr>
        <w:t xml:space="preserve">a como representante de ECAPAG, formula como </w:t>
      </w:r>
      <w:r>
        <w:rPr>
          <w:spacing w:val="-12"/>
          <w:sz w:val="18"/>
          <w:szCs w:val="18"/>
          <w:lang w:val="es-ES_tradnl"/>
        </w:rPr>
        <w:t xml:space="preserve">argumento principal en su demanda que frente a la entrada en </w:t>
      </w:r>
      <w:r>
        <w:rPr>
          <w:spacing w:val="-9"/>
          <w:sz w:val="18"/>
          <w:szCs w:val="18"/>
          <w:lang w:val="es-ES_tradnl"/>
        </w:rPr>
        <w:t>vigencia de la Ley Especial N.</w:t>
      </w:r>
      <w:r>
        <w:rPr>
          <w:rFonts w:cs="Times New Roman"/>
          <w:spacing w:val="-9"/>
          <w:sz w:val="18"/>
          <w:szCs w:val="18"/>
          <w:lang w:val="es-ES_tradnl"/>
        </w:rPr>
        <w:t>º</w:t>
      </w:r>
      <w:r>
        <w:rPr>
          <w:spacing w:val="-9"/>
          <w:sz w:val="18"/>
          <w:szCs w:val="18"/>
          <w:lang w:val="es-ES_tradnl"/>
        </w:rPr>
        <w:t xml:space="preserve"> 121, resultaba jur</w:t>
      </w:r>
      <w:r>
        <w:rPr>
          <w:rFonts w:cs="Times New Roman"/>
          <w:spacing w:val="-9"/>
          <w:sz w:val="18"/>
          <w:szCs w:val="18"/>
          <w:lang w:val="es-ES_tradnl"/>
        </w:rPr>
        <w:t>í</w:t>
      </w:r>
      <w:r>
        <w:rPr>
          <w:spacing w:val="-9"/>
          <w:sz w:val="18"/>
          <w:szCs w:val="18"/>
          <w:lang w:val="es-ES_tradnl"/>
        </w:rPr>
        <w:t xml:space="preserve">dicamente </w:t>
      </w:r>
      <w:r>
        <w:rPr>
          <w:spacing w:val="-7"/>
          <w:sz w:val="18"/>
          <w:szCs w:val="18"/>
          <w:lang w:val="es-ES_tradnl"/>
        </w:rPr>
        <w:t>inviable la configuraci</w:t>
      </w:r>
      <w:r>
        <w:rPr>
          <w:rFonts w:cs="Times New Roman"/>
          <w:spacing w:val="-7"/>
          <w:sz w:val="18"/>
          <w:szCs w:val="18"/>
          <w:lang w:val="es-ES_tradnl"/>
        </w:rPr>
        <w:t>ó</w:t>
      </w:r>
      <w:r>
        <w:rPr>
          <w:spacing w:val="-7"/>
          <w:sz w:val="18"/>
          <w:szCs w:val="18"/>
          <w:lang w:val="es-ES_tradnl"/>
        </w:rPr>
        <w:t>n de un despido intempestivo de la se</w:t>
      </w:r>
      <w:r>
        <w:rPr>
          <w:rFonts w:cs="Times New Roman"/>
          <w:spacing w:val="-7"/>
          <w:sz w:val="18"/>
          <w:szCs w:val="18"/>
          <w:lang w:val="es-ES_tradnl"/>
        </w:rPr>
        <w:t>ñ</w:t>
      </w:r>
      <w:r>
        <w:rPr>
          <w:spacing w:val="-7"/>
          <w:sz w:val="18"/>
          <w:szCs w:val="18"/>
          <w:lang w:val="es-ES_tradnl"/>
        </w:rPr>
        <w:t xml:space="preserve">ora Scarlet Murillo Barcos. Esto puede ser observado </w:t>
      </w:r>
      <w:r>
        <w:rPr>
          <w:sz w:val="18"/>
          <w:szCs w:val="18"/>
          <w:lang w:val="es-ES_tradnl"/>
        </w:rPr>
        <w:t>cuando el accionante expresa:</w:t>
      </w:r>
    </w:p>
    <w:p w14:paraId="4F67B9BB" w14:textId="77777777" w:rsidR="00591D54" w:rsidRDefault="00591D54">
      <w:pPr>
        <w:shd w:val="clear" w:color="auto" w:fill="FFFFFF"/>
        <w:spacing w:before="202" w:line="216" w:lineRule="exact"/>
        <w:ind w:left="283" w:right="5"/>
        <w:jc w:val="both"/>
      </w:pPr>
      <w:r>
        <w:rPr>
          <w:spacing w:val="-12"/>
          <w:sz w:val="16"/>
          <w:szCs w:val="16"/>
          <w:lang w:val="es-ES_tradnl"/>
        </w:rPr>
        <w:t>Para el caso que nos ocupa, al incoar el recurso de casaci</w:t>
      </w:r>
      <w:r>
        <w:rPr>
          <w:rFonts w:cs="Times New Roman"/>
          <w:spacing w:val="-12"/>
          <w:sz w:val="16"/>
          <w:szCs w:val="16"/>
          <w:lang w:val="es-ES_tradnl"/>
        </w:rPr>
        <w:t>ó</w:t>
      </w:r>
      <w:r>
        <w:rPr>
          <w:spacing w:val="-12"/>
          <w:sz w:val="16"/>
          <w:szCs w:val="16"/>
          <w:lang w:val="es-ES_tradnl"/>
        </w:rPr>
        <w:t xml:space="preserve">n en el </w:t>
      </w:r>
      <w:r>
        <w:rPr>
          <w:spacing w:val="-8"/>
          <w:sz w:val="16"/>
          <w:szCs w:val="16"/>
          <w:lang w:val="es-ES_tradnl"/>
        </w:rPr>
        <w:t xml:space="preserve">juicio verbal sumario de trabajo, no hubo despido intempestivo </w:t>
      </w:r>
      <w:r>
        <w:rPr>
          <w:spacing w:val="-6"/>
          <w:sz w:val="16"/>
          <w:szCs w:val="16"/>
          <w:lang w:val="es-ES_tradnl"/>
        </w:rPr>
        <w:t xml:space="preserve">en contra de la trabajadora Scarlet Murillo Barcos, por cuanto </w:t>
      </w:r>
      <w:r>
        <w:rPr>
          <w:spacing w:val="-8"/>
          <w:sz w:val="16"/>
          <w:szCs w:val="16"/>
          <w:lang w:val="es-ES_tradnl"/>
        </w:rPr>
        <w:t>mi representada ECAPAG, dejaba de prestar servicio en raz</w:t>
      </w:r>
      <w:r>
        <w:rPr>
          <w:rFonts w:cs="Times New Roman"/>
          <w:spacing w:val="-8"/>
          <w:sz w:val="16"/>
          <w:szCs w:val="16"/>
          <w:lang w:val="es-ES_tradnl"/>
        </w:rPr>
        <w:t>ó</w:t>
      </w:r>
      <w:r>
        <w:rPr>
          <w:spacing w:val="-8"/>
          <w:sz w:val="16"/>
          <w:szCs w:val="16"/>
          <w:lang w:val="es-ES_tradnl"/>
        </w:rPr>
        <w:t xml:space="preserve">n </w:t>
      </w:r>
      <w:r>
        <w:rPr>
          <w:spacing w:val="-7"/>
          <w:sz w:val="16"/>
          <w:szCs w:val="16"/>
          <w:lang w:val="es-ES_tradnl"/>
        </w:rPr>
        <w:t>del otorgamiento de la concesi</w:t>
      </w:r>
      <w:r>
        <w:rPr>
          <w:rFonts w:cs="Times New Roman"/>
          <w:spacing w:val="-7"/>
          <w:sz w:val="16"/>
          <w:szCs w:val="16"/>
          <w:lang w:val="es-ES_tradnl"/>
        </w:rPr>
        <w:t>ó</w:t>
      </w:r>
      <w:r>
        <w:rPr>
          <w:spacing w:val="-7"/>
          <w:sz w:val="16"/>
          <w:szCs w:val="16"/>
          <w:lang w:val="es-ES_tradnl"/>
        </w:rPr>
        <w:t xml:space="preserve">n del servicio de agua potable </w:t>
      </w:r>
      <w:r>
        <w:rPr>
          <w:spacing w:val="-6"/>
          <w:sz w:val="16"/>
          <w:szCs w:val="16"/>
          <w:lang w:val="es-ES_tradnl"/>
        </w:rPr>
        <w:t xml:space="preserve">y alcantarillado de Guayaquil, a la empresa INTERAGUA, no </w:t>
      </w:r>
      <w:r>
        <w:rPr>
          <w:spacing w:val="-7"/>
          <w:sz w:val="16"/>
          <w:szCs w:val="16"/>
          <w:lang w:val="es-ES_tradnl"/>
        </w:rPr>
        <w:t>requiriendo de cierto personal, sin que por ello, estos hubiese significado despido intempestivo, en raz</w:t>
      </w:r>
      <w:r>
        <w:rPr>
          <w:rFonts w:cs="Times New Roman"/>
          <w:spacing w:val="-7"/>
          <w:sz w:val="16"/>
          <w:szCs w:val="16"/>
          <w:lang w:val="es-ES_tradnl"/>
        </w:rPr>
        <w:t>ó</w:t>
      </w:r>
      <w:r>
        <w:rPr>
          <w:spacing w:val="-7"/>
          <w:sz w:val="16"/>
          <w:szCs w:val="16"/>
          <w:lang w:val="es-ES_tradnl"/>
        </w:rPr>
        <w:t xml:space="preserve">n de la existencia de </w:t>
      </w:r>
      <w:r>
        <w:rPr>
          <w:sz w:val="16"/>
          <w:szCs w:val="16"/>
          <w:lang w:val="es-ES_tradnl"/>
        </w:rPr>
        <w:t>la Ley Especial N.</w:t>
      </w:r>
      <w:r>
        <w:rPr>
          <w:rFonts w:cs="Times New Roman"/>
          <w:sz w:val="16"/>
          <w:szCs w:val="16"/>
          <w:lang w:val="es-ES_tradnl"/>
        </w:rPr>
        <w:t>°</w:t>
      </w:r>
      <w:r>
        <w:rPr>
          <w:sz w:val="16"/>
          <w:szCs w:val="16"/>
          <w:lang w:val="es-ES_tradnl"/>
        </w:rPr>
        <w:t xml:space="preserve"> 121.</w:t>
      </w:r>
    </w:p>
    <w:p w14:paraId="4F67B9BC" w14:textId="77777777" w:rsidR="00591D54" w:rsidRDefault="00591D54">
      <w:pPr>
        <w:shd w:val="clear" w:color="auto" w:fill="FFFFFF"/>
        <w:spacing w:before="197"/>
      </w:pPr>
      <w:r>
        <w:rPr>
          <w:spacing w:val="-8"/>
          <w:sz w:val="18"/>
          <w:szCs w:val="18"/>
          <w:lang w:val="es-ES_tradnl"/>
        </w:rPr>
        <w:t>M</w:t>
      </w:r>
      <w:r>
        <w:rPr>
          <w:rFonts w:cs="Times New Roman"/>
          <w:spacing w:val="-8"/>
          <w:sz w:val="18"/>
          <w:szCs w:val="18"/>
          <w:lang w:val="es-ES_tradnl"/>
        </w:rPr>
        <w:t>á</w:t>
      </w:r>
      <w:r>
        <w:rPr>
          <w:spacing w:val="-8"/>
          <w:sz w:val="18"/>
          <w:szCs w:val="18"/>
          <w:lang w:val="es-ES_tradnl"/>
        </w:rPr>
        <w:t>s adelante, el accionante establece el siguiente criterio:</w:t>
      </w:r>
    </w:p>
    <w:p w14:paraId="4F67B9BD" w14:textId="77777777" w:rsidR="00591D54" w:rsidRDefault="00591D54">
      <w:pPr>
        <w:shd w:val="clear" w:color="auto" w:fill="FFFFFF"/>
        <w:spacing w:before="202" w:line="216" w:lineRule="exact"/>
        <w:ind w:left="283" w:right="5"/>
        <w:jc w:val="both"/>
      </w:pPr>
      <w:r>
        <w:rPr>
          <w:spacing w:val="-9"/>
          <w:sz w:val="16"/>
          <w:szCs w:val="16"/>
          <w:lang w:val="es-ES_tradnl"/>
        </w:rPr>
        <w:t xml:space="preserve">La importancia del debido proceso al que se funde la seguridad </w:t>
      </w:r>
      <w:r>
        <w:rPr>
          <w:spacing w:val="-6"/>
          <w:sz w:val="16"/>
          <w:szCs w:val="16"/>
          <w:lang w:val="es-ES_tradnl"/>
        </w:rPr>
        <w:t>jur</w:t>
      </w:r>
      <w:r>
        <w:rPr>
          <w:rFonts w:cs="Times New Roman"/>
          <w:spacing w:val="-6"/>
          <w:sz w:val="16"/>
          <w:szCs w:val="16"/>
          <w:lang w:val="es-ES_tradnl"/>
        </w:rPr>
        <w:t>í</w:t>
      </w:r>
      <w:r>
        <w:rPr>
          <w:spacing w:val="-6"/>
          <w:sz w:val="16"/>
          <w:szCs w:val="16"/>
          <w:lang w:val="es-ES_tradnl"/>
        </w:rPr>
        <w:t xml:space="preserve">dica son fundamentales porque protegen a los individuos </w:t>
      </w:r>
      <w:r>
        <w:rPr>
          <w:spacing w:val="-7"/>
          <w:sz w:val="16"/>
          <w:szCs w:val="16"/>
          <w:lang w:val="es-ES_tradnl"/>
        </w:rPr>
        <w:t xml:space="preserve">de las arbitrariedades del poder, a tal punto que se ha </w:t>
      </w:r>
      <w:r>
        <w:rPr>
          <w:spacing w:val="-5"/>
          <w:sz w:val="16"/>
          <w:szCs w:val="16"/>
          <w:lang w:val="es-ES_tradnl"/>
        </w:rPr>
        <w:t>constitucionalizado el principio de legalidad, cuya misi</w:t>
      </w:r>
      <w:r>
        <w:rPr>
          <w:rFonts w:cs="Times New Roman"/>
          <w:spacing w:val="-5"/>
          <w:sz w:val="16"/>
          <w:szCs w:val="16"/>
          <w:lang w:val="es-ES_tradnl"/>
        </w:rPr>
        <w:t>ó</w:t>
      </w:r>
      <w:r>
        <w:rPr>
          <w:spacing w:val="-5"/>
          <w:sz w:val="16"/>
          <w:szCs w:val="16"/>
          <w:lang w:val="es-ES_tradnl"/>
        </w:rPr>
        <w:t xml:space="preserve">n es, </w:t>
      </w:r>
      <w:r>
        <w:rPr>
          <w:spacing w:val="-7"/>
          <w:sz w:val="16"/>
          <w:szCs w:val="16"/>
          <w:lang w:val="es-ES_tradnl"/>
        </w:rPr>
        <w:t>precisamente la protecci</w:t>
      </w:r>
      <w:r>
        <w:rPr>
          <w:rFonts w:cs="Times New Roman"/>
          <w:spacing w:val="-7"/>
          <w:sz w:val="16"/>
          <w:szCs w:val="16"/>
          <w:lang w:val="es-ES_tradnl"/>
        </w:rPr>
        <w:t>ó</w:t>
      </w:r>
      <w:r>
        <w:rPr>
          <w:spacing w:val="-7"/>
          <w:sz w:val="16"/>
          <w:szCs w:val="16"/>
          <w:lang w:val="es-ES_tradnl"/>
        </w:rPr>
        <w:t xml:space="preserve">n de los derechos individuales frente a la potestad, absolutismo, preponderancia de los poderes </w:t>
      </w:r>
      <w:r>
        <w:rPr>
          <w:spacing w:val="-4"/>
          <w:sz w:val="16"/>
          <w:szCs w:val="16"/>
          <w:lang w:val="es-ES_tradnl"/>
        </w:rPr>
        <w:t>p</w:t>
      </w:r>
      <w:r>
        <w:rPr>
          <w:rFonts w:cs="Times New Roman"/>
          <w:spacing w:val="-4"/>
          <w:sz w:val="16"/>
          <w:szCs w:val="16"/>
          <w:lang w:val="es-ES_tradnl"/>
        </w:rPr>
        <w:t>ú</w:t>
      </w:r>
      <w:r>
        <w:rPr>
          <w:spacing w:val="-4"/>
          <w:sz w:val="16"/>
          <w:szCs w:val="16"/>
          <w:lang w:val="es-ES_tradnl"/>
        </w:rPr>
        <w:t>blicos, m</w:t>
      </w:r>
      <w:r>
        <w:rPr>
          <w:rFonts w:cs="Times New Roman"/>
          <w:spacing w:val="-4"/>
          <w:sz w:val="16"/>
          <w:szCs w:val="16"/>
          <w:lang w:val="es-ES_tradnl"/>
        </w:rPr>
        <w:t>á</w:t>
      </w:r>
      <w:r>
        <w:rPr>
          <w:spacing w:val="-4"/>
          <w:sz w:val="16"/>
          <w:szCs w:val="16"/>
          <w:lang w:val="es-ES_tradnl"/>
        </w:rPr>
        <w:t>s con la falta de aplicaci</w:t>
      </w:r>
      <w:r>
        <w:rPr>
          <w:rFonts w:cs="Times New Roman"/>
          <w:spacing w:val="-4"/>
          <w:sz w:val="16"/>
          <w:szCs w:val="16"/>
          <w:lang w:val="es-ES_tradnl"/>
        </w:rPr>
        <w:t>ó</w:t>
      </w:r>
      <w:r>
        <w:rPr>
          <w:spacing w:val="-4"/>
          <w:sz w:val="16"/>
          <w:szCs w:val="16"/>
          <w:lang w:val="es-ES_tradnl"/>
        </w:rPr>
        <w:t xml:space="preserve">n de la Ley Especial </w:t>
      </w:r>
      <w:r>
        <w:rPr>
          <w:spacing w:val="-8"/>
          <w:sz w:val="16"/>
          <w:szCs w:val="16"/>
          <w:lang w:val="es-ES_tradnl"/>
        </w:rPr>
        <w:t>N.</w:t>
      </w:r>
      <w:r>
        <w:rPr>
          <w:rFonts w:cs="Times New Roman"/>
          <w:spacing w:val="-8"/>
          <w:sz w:val="16"/>
          <w:szCs w:val="16"/>
          <w:lang w:val="es-ES_tradnl"/>
        </w:rPr>
        <w:t>°</w:t>
      </w:r>
      <w:r>
        <w:rPr>
          <w:spacing w:val="-8"/>
          <w:sz w:val="16"/>
          <w:szCs w:val="16"/>
          <w:lang w:val="es-ES_tradnl"/>
        </w:rPr>
        <w:t xml:space="preserve"> 121 por parte de los jueces nacionales de la Segunda Sala </w:t>
      </w:r>
      <w:r>
        <w:rPr>
          <w:spacing w:val="-7"/>
          <w:sz w:val="16"/>
          <w:szCs w:val="16"/>
          <w:lang w:val="es-ES_tradnl"/>
        </w:rPr>
        <w:t>Especializada de la Corte Nacional de Justicia del Ecuador.</w:t>
      </w:r>
    </w:p>
    <w:p w14:paraId="4F67B9BE" w14:textId="77777777" w:rsidR="00591D54" w:rsidRDefault="00591D54">
      <w:pPr>
        <w:shd w:val="clear" w:color="auto" w:fill="FFFFFF"/>
        <w:spacing w:before="202" w:line="216" w:lineRule="exact"/>
        <w:jc w:val="both"/>
      </w:pPr>
      <w:r>
        <w:rPr>
          <w:spacing w:val="-7"/>
          <w:sz w:val="18"/>
          <w:szCs w:val="18"/>
          <w:lang w:val="es-ES_tradnl"/>
        </w:rPr>
        <w:t>De los p</w:t>
      </w:r>
      <w:r>
        <w:rPr>
          <w:rFonts w:cs="Times New Roman"/>
          <w:spacing w:val="-7"/>
          <w:sz w:val="18"/>
          <w:szCs w:val="18"/>
          <w:lang w:val="es-ES_tradnl"/>
        </w:rPr>
        <w:t>á</w:t>
      </w:r>
      <w:r>
        <w:rPr>
          <w:spacing w:val="-7"/>
          <w:sz w:val="18"/>
          <w:szCs w:val="18"/>
          <w:lang w:val="es-ES_tradnl"/>
        </w:rPr>
        <w:t xml:space="preserve">rrafos citados, se puede colegir que el ingeniero </w:t>
      </w:r>
      <w:r>
        <w:rPr>
          <w:spacing w:val="-10"/>
          <w:sz w:val="18"/>
          <w:szCs w:val="18"/>
          <w:lang w:val="es-ES_tradnl"/>
        </w:rPr>
        <w:t>Jos</w:t>
      </w:r>
      <w:r>
        <w:rPr>
          <w:rFonts w:cs="Times New Roman"/>
          <w:spacing w:val="-10"/>
          <w:sz w:val="18"/>
          <w:szCs w:val="18"/>
          <w:lang w:val="es-ES_tradnl"/>
        </w:rPr>
        <w:t>é</w:t>
      </w:r>
      <w:r>
        <w:rPr>
          <w:spacing w:val="-10"/>
          <w:sz w:val="18"/>
          <w:szCs w:val="18"/>
          <w:lang w:val="es-ES_tradnl"/>
        </w:rPr>
        <w:t xml:space="preserve"> Luis Santos Garc</w:t>
      </w:r>
      <w:r>
        <w:rPr>
          <w:rFonts w:cs="Times New Roman"/>
          <w:spacing w:val="-10"/>
          <w:sz w:val="18"/>
          <w:szCs w:val="18"/>
          <w:lang w:val="es-ES_tradnl"/>
        </w:rPr>
        <w:t>í</w:t>
      </w:r>
      <w:r>
        <w:rPr>
          <w:spacing w:val="-10"/>
          <w:sz w:val="18"/>
          <w:szCs w:val="18"/>
          <w:lang w:val="es-ES_tradnl"/>
        </w:rPr>
        <w:t>a, argumenta la presunta vulneraci</w:t>
      </w:r>
      <w:r>
        <w:rPr>
          <w:rFonts w:cs="Times New Roman"/>
          <w:spacing w:val="-10"/>
          <w:sz w:val="18"/>
          <w:szCs w:val="18"/>
          <w:lang w:val="es-ES_tradnl"/>
        </w:rPr>
        <w:t>ó</w:t>
      </w:r>
      <w:r>
        <w:rPr>
          <w:spacing w:val="-10"/>
          <w:sz w:val="18"/>
          <w:szCs w:val="18"/>
          <w:lang w:val="es-ES_tradnl"/>
        </w:rPr>
        <w:t xml:space="preserve">n </w:t>
      </w:r>
      <w:r>
        <w:rPr>
          <w:spacing w:val="-5"/>
          <w:sz w:val="18"/>
          <w:szCs w:val="18"/>
          <w:lang w:val="es-ES_tradnl"/>
        </w:rPr>
        <w:t>de derechos que incurrir</w:t>
      </w:r>
      <w:r>
        <w:rPr>
          <w:rFonts w:cs="Times New Roman"/>
          <w:spacing w:val="-5"/>
          <w:sz w:val="18"/>
          <w:szCs w:val="18"/>
          <w:lang w:val="es-ES_tradnl"/>
        </w:rPr>
        <w:t>í</w:t>
      </w:r>
      <w:r>
        <w:rPr>
          <w:spacing w:val="-5"/>
          <w:sz w:val="18"/>
          <w:szCs w:val="18"/>
          <w:lang w:val="es-ES_tradnl"/>
        </w:rPr>
        <w:t>a la decisi</w:t>
      </w:r>
      <w:r>
        <w:rPr>
          <w:rFonts w:cs="Times New Roman"/>
          <w:spacing w:val="-5"/>
          <w:sz w:val="18"/>
          <w:szCs w:val="18"/>
          <w:lang w:val="es-ES_tradnl"/>
        </w:rPr>
        <w:t>ó</w:t>
      </w:r>
      <w:r>
        <w:rPr>
          <w:spacing w:val="-5"/>
          <w:sz w:val="18"/>
          <w:szCs w:val="18"/>
          <w:lang w:val="es-ES_tradnl"/>
        </w:rPr>
        <w:t>n judicial impugnada</w:t>
      </w:r>
    </w:p>
    <w:p w14:paraId="4F67B9BF" w14:textId="77777777" w:rsidR="00591D54" w:rsidRDefault="00591D54">
      <w:pPr>
        <w:shd w:val="clear" w:color="auto" w:fill="FFFFFF"/>
        <w:spacing w:before="528" w:line="178" w:lineRule="exact"/>
        <w:ind w:left="139" w:hanging="139"/>
      </w:pPr>
      <w:r>
        <w:rPr>
          <w:sz w:val="16"/>
          <w:szCs w:val="16"/>
          <w:vertAlign w:val="superscript"/>
          <w:lang w:val="es-ES_tradnl"/>
        </w:rPr>
        <w:t>5</w:t>
      </w:r>
      <w:r>
        <w:rPr>
          <w:sz w:val="16"/>
          <w:szCs w:val="16"/>
          <w:lang w:val="es-ES_tradnl"/>
        </w:rPr>
        <w:t xml:space="preserve">  </w:t>
      </w:r>
      <w:r>
        <w:rPr>
          <w:spacing w:val="-8"/>
          <w:sz w:val="16"/>
          <w:szCs w:val="16"/>
          <w:lang w:val="es-ES_tradnl"/>
        </w:rPr>
        <w:t>Corte Constitucional del Ecuador, Sentencia N.</w:t>
      </w:r>
      <w:r>
        <w:rPr>
          <w:rFonts w:cs="Times New Roman"/>
          <w:spacing w:val="-8"/>
          <w:sz w:val="16"/>
          <w:szCs w:val="16"/>
          <w:lang w:val="es-ES_tradnl"/>
        </w:rPr>
        <w:t>º</w:t>
      </w:r>
      <w:r>
        <w:rPr>
          <w:spacing w:val="-8"/>
          <w:sz w:val="16"/>
          <w:szCs w:val="16"/>
          <w:lang w:val="es-ES_tradnl"/>
        </w:rPr>
        <w:t xml:space="preserve"> 018-13-SEP-CC, </w:t>
      </w:r>
      <w:r>
        <w:rPr>
          <w:sz w:val="16"/>
          <w:szCs w:val="16"/>
          <w:lang w:val="es-ES_tradnl"/>
        </w:rPr>
        <w:t>Caso N.</w:t>
      </w:r>
      <w:r>
        <w:rPr>
          <w:rFonts w:cs="Times New Roman"/>
          <w:sz w:val="16"/>
          <w:szCs w:val="16"/>
          <w:lang w:val="es-ES_tradnl"/>
        </w:rPr>
        <w:t>º</w:t>
      </w:r>
      <w:r>
        <w:rPr>
          <w:sz w:val="16"/>
          <w:szCs w:val="16"/>
          <w:lang w:val="es-ES_tradnl"/>
        </w:rPr>
        <w:t xml:space="preserve"> 0201-10-EP</w:t>
      </w:r>
    </w:p>
    <w:p w14:paraId="4F67B9C0" w14:textId="77777777" w:rsidR="00591D54" w:rsidRDefault="00591D54">
      <w:pPr>
        <w:shd w:val="clear" w:color="auto" w:fill="FFFFFF"/>
        <w:spacing w:before="5" w:line="211" w:lineRule="exact"/>
        <w:jc w:val="both"/>
      </w:pPr>
      <w:r>
        <w:br w:type="column"/>
      </w:r>
      <w:r>
        <w:rPr>
          <w:spacing w:val="-7"/>
          <w:sz w:val="18"/>
          <w:szCs w:val="18"/>
          <w:lang w:val="es-ES_tradnl"/>
        </w:rPr>
        <w:t>en la falta de aplicaci</w:t>
      </w:r>
      <w:r>
        <w:rPr>
          <w:rFonts w:cs="Times New Roman"/>
          <w:spacing w:val="-7"/>
          <w:sz w:val="18"/>
          <w:szCs w:val="18"/>
          <w:lang w:val="es-ES_tradnl"/>
        </w:rPr>
        <w:t>ó</w:t>
      </w:r>
      <w:r>
        <w:rPr>
          <w:spacing w:val="-7"/>
          <w:sz w:val="18"/>
          <w:szCs w:val="18"/>
          <w:lang w:val="es-ES_tradnl"/>
        </w:rPr>
        <w:t xml:space="preserve">n de la Ley Especial No. 121 (norma </w:t>
      </w:r>
      <w:r>
        <w:rPr>
          <w:spacing w:val="-9"/>
          <w:sz w:val="18"/>
          <w:szCs w:val="18"/>
          <w:lang w:val="es-ES_tradnl"/>
        </w:rPr>
        <w:t>infraconstitucional) sin que en su criterio se haya tomado en cuenta los antecedentes f</w:t>
      </w:r>
      <w:r>
        <w:rPr>
          <w:rFonts w:cs="Times New Roman"/>
          <w:spacing w:val="-9"/>
          <w:sz w:val="18"/>
          <w:szCs w:val="18"/>
          <w:lang w:val="es-ES_tradnl"/>
        </w:rPr>
        <w:t>á</w:t>
      </w:r>
      <w:r>
        <w:rPr>
          <w:spacing w:val="-9"/>
          <w:sz w:val="18"/>
          <w:szCs w:val="18"/>
          <w:lang w:val="es-ES_tradnl"/>
        </w:rPr>
        <w:t>cticos de la causa, lo cual habr</w:t>
      </w:r>
      <w:r>
        <w:rPr>
          <w:rFonts w:cs="Times New Roman"/>
          <w:spacing w:val="-9"/>
          <w:sz w:val="18"/>
          <w:szCs w:val="18"/>
          <w:lang w:val="es-ES_tradnl"/>
        </w:rPr>
        <w:t>í</w:t>
      </w:r>
      <w:r>
        <w:rPr>
          <w:spacing w:val="-9"/>
          <w:sz w:val="18"/>
          <w:szCs w:val="18"/>
          <w:lang w:val="es-ES_tradnl"/>
        </w:rPr>
        <w:t xml:space="preserve">a </w:t>
      </w:r>
      <w:r>
        <w:rPr>
          <w:spacing w:val="-7"/>
          <w:sz w:val="18"/>
          <w:szCs w:val="18"/>
          <w:lang w:val="es-ES_tradnl"/>
        </w:rPr>
        <w:t>permitido la aplicaci</w:t>
      </w:r>
      <w:r>
        <w:rPr>
          <w:rFonts w:cs="Times New Roman"/>
          <w:spacing w:val="-7"/>
          <w:sz w:val="18"/>
          <w:szCs w:val="18"/>
          <w:lang w:val="es-ES_tradnl"/>
        </w:rPr>
        <w:t>ó</w:t>
      </w:r>
      <w:r>
        <w:rPr>
          <w:spacing w:val="-7"/>
          <w:sz w:val="18"/>
          <w:szCs w:val="18"/>
          <w:lang w:val="es-ES_tradnl"/>
        </w:rPr>
        <w:t xml:space="preserve">n de la norma infra constitucional que </w:t>
      </w:r>
      <w:r>
        <w:rPr>
          <w:spacing w:val="-5"/>
          <w:sz w:val="18"/>
          <w:szCs w:val="18"/>
          <w:lang w:val="es-ES_tradnl"/>
        </w:rPr>
        <w:t>indica, aduciendo que tal inaplicaci</w:t>
      </w:r>
      <w:r>
        <w:rPr>
          <w:rFonts w:cs="Times New Roman"/>
          <w:spacing w:val="-5"/>
          <w:sz w:val="18"/>
          <w:szCs w:val="18"/>
          <w:lang w:val="es-ES_tradnl"/>
        </w:rPr>
        <w:t>ó</w:t>
      </w:r>
      <w:r>
        <w:rPr>
          <w:spacing w:val="-5"/>
          <w:sz w:val="18"/>
          <w:szCs w:val="18"/>
          <w:lang w:val="es-ES_tradnl"/>
        </w:rPr>
        <w:t xml:space="preserve">n indujo a los jueces </w:t>
      </w:r>
      <w:r>
        <w:rPr>
          <w:spacing w:val="-8"/>
          <w:sz w:val="18"/>
          <w:szCs w:val="18"/>
          <w:lang w:val="es-ES_tradnl"/>
        </w:rPr>
        <w:t xml:space="preserve">nacionales a aceptar la existencia del despido intempestivo </w:t>
      </w:r>
      <w:r>
        <w:rPr>
          <w:spacing w:val="-7"/>
          <w:sz w:val="18"/>
          <w:szCs w:val="18"/>
          <w:lang w:val="es-ES_tradnl"/>
        </w:rPr>
        <w:t xml:space="preserve">descrito en su demanda; sin embargo, el accionante no </w:t>
      </w:r>
      <w:r>
        <w:rPr>
          <w:spacing w:val="-5"/>
          <w:sz w:val="18"/>
          <w:szCs w:val="18"/>
          <w:lang w:val="es-ES_tradnl"/>
        </w:rPr>
        <w:t xml:space="preserve">formula argumento constitucional alguno ni preciso que </w:t>
      </w:r>
      <w:r>
        <w:rPr>
          <w:spacing w:val="-9"/>
          <w:sz w:val="18"/>
          <w:szCs w:val="18"/>
          <w:lang w:val="es-ES_tradnl"/>
        </w:rPr>
        <w:t>evidencie la conexi</w:t>
      </w:r>
      <w:r>
        <w:rPr>
          <w:rFonts w:cs="Times New Roman"/>
          <w:spacing w:val="-9"/>
          <w:sz w:val="18"/>
          <w:szCs w:val="18"/>
          <w:lang w:val="es-ES_tradnl"/>
        </w:rPr>
        <w:t>ó</w:t>
      </w:r>
      <w:r>
        <w:rPr>
          <w:spacing w:val="-9"/>
          <w:sz w:val="18"/>
          <w:szCs w:val="18"/>
          <w:lang w:val="es-ES_tradnl"/>
        </w:rPr>
        <w:t>n entre su alegaci</w:t>
      </w:r>
      <w:r>
        <w:rPr>
          <w:rFonts w:cs="Times New Roman"/>
          <w:spacing w:val="-9"/>
          <w:sz w:val="18"/>
          <w:szCs w:val="18"/>
          <w:lang w:val="es-ES_tradnl"/>
        </w:rPr>
        <w:t>ó</w:t>
      </w:r>
      <w:r>
        <w:rPr>
          <w:spacing w:val="-9"/>
          <w:sz w:val="18"/>
          <w:szCs w:val="18"/>
          <w:lang w:val="es-ES_tradnl"/>
        </w:rPr>
        <w:t xml:space="preserve">n con el derecho a la </w:t>
      </w:r>
      <w:r>
        <w:rPr>
          <w:spacing w:val="-7"/>
          <w:sz w:val="18"/>
          <w:szCs w:val="18"/>
          <w:lang w:val="es-ES_tradnl"/>
        </w:rPr>
        <w:t>seguridad jur</w:t>
      </w:r>
      <w:r>
        <w:rPr>
          <w:rFonts w:cs="Times New Roman"/>
          <w:spacing w:val="-7"/>
          <w:sz w:val="18"/>
          <w:szCs w:val="18"/>
          <w:lang w:val="es-ES_tradnl"/>
        </w:rPr>
        <w:t>í</w:t>
      </w:r>
      <w:r>
        <w:rPr>
          <w:spacing w:val="-7"/>
          <w:sz w:val="18"/>
          <w:szCs w:val="18"/>
          <w:lang w:val="es-ES_tradnl"/>
        </w:rPr>
        <w:t>dica. La entrada en vigencia de la referida ley y la concesi</w:t>
      </w:r>
      <w:r>
        <w:rPr>
          <w:rFonts w:cs="Times New Roman"/>
          <w:spacing w:val="-7"/>
          <w:sz w:val="18"/>
          <w:szCs w:val="18"/>
          <w:lang w:val="es-ES_tradnl"/>
        </w:rPr>
        <w:t>ó</w:t>
      </w:r>
      <w:r>
        <w:rPr>
          <w:spacing w:val="-7"/>
          <w:sz w:val="18"/>
          <w:szCs w:val="18"/>
          <w:lang w:val="es-ES_tradnl"/>
        </w:rPr>
        <w:t xml:space="preserve">n del servicio de agua potable y alcantarillado </w:t>
      </w:r>
      <w:r>
        <w:rPr>
          <w:spacing w:val="-6"/>
          <w:sz w:val="18"/>
          <w:szCs w:val="18"/>
          <w:lang w:val="es-ES_tradnl"/>
        </w:rPr>
        <w:t xml:space="preserve">de Guayaquil a la empresa INTERAGUA, no constituyen </w:t>
      </w:r>
      <w:r>
        <w:rPr>
          <w:spacing w:val="-7"/>
          <w:sz w:val="18"/>
          <w:szCs w:val="18"/>
          <w:lang w:val="es-ES_tradnl"/>
        </w:rPr>
        <w:t>elementos de an</w:t>
      </w:r>
      <w:r>
        <w:rPr>
          <w:rFonts w:cs="Times New Roman"/>
          <w:spacing w:val="-7"/>
          <w:sz w:val="18"/>
          <w:szCs w:val="18"/>
          <w:lang w:val="es-ES_tradnl"/>
        </w:rPr>
        <w:t>á</w:t>
      </w:r>
      <w:r>
        <w:rPr>
          <w:spacing w:val="-7"/>
          <w:sz w:val="18"/>
          <w:szCs w:val="18"/>
          <w:lang w:val="es-ES_tradnl"/>
        </w:rPr>
        <w:t xml:space="preserve">lisis suficientes que permitan de modo </w:t>
      </w:r>
      <w:r>
        <w:rPr>
          <w:spacing w:val="-8"/>
          <w:sz w:val="18"/>
          <w:szCs w:val="18"/>
          <w:lang w:val="es-ES_tradnl"/>
        </w:rPr>
        <w:t>claro y contundente observar una afectaci</w:t>
      </w:r>
      <w:r>
        <w:rPr>
          <w:rFonts w:cs="Times New Roman"/>
          <w:spacing w:val="-8"/>
          <w:sz w:val="18"/>
          <w:szCs w:val="18"/>
          <w:lang w:val="es-ES_tradnl"/>
        </w:rPr>
        <w:t>ó</w:t>
      </w:r>
      <w:r>
        <w:rPr>
          <w:spacing w:val="-8"/>
          <w:sz w:val="18"/>
          <w:szCs w:val="18"/>
          <w:lang w:val="es-ES_tradnl"/>
        </w:rPr>
        <w:t xml:space="preserve">n a la seguridad </w:t>
      </w:r>
      <w:r>
        <w:rPr>
          <w:sz w:val="18"/>
          <w:szCs w:val="18"/>
          <w:lang w:val="es-ES_tradnl"/>
        </w:rPr>
        <w:t>jur</w:t>
      </w:r>
      <w:r>
        <w:rPr>
          <w:rFonts w:cs="Times New Roman"/>
          <w:sz w:val="18"/>
          <w:szCs w:val="18"/>
          <w:lang w:val="es-ES_tradnl"/>
        </w:rPr>
        <w:t>í</w:t>
      </w:r>
      <w:r>
        <w:rPr>
          <w:sz w:val="18"/>
          <w:szCs w:val="18"/>
          <w:lang w:val="es-ES_tradnl"/>
        </w:rPr>
        <w:t>dica en perjuicio de ECAPAG.</w:t>
      </w:r>
    </w:p>
    <w:p w14:paraId="4F67B9C1" w14:textId="77777777" w:rsidR="00591D54" w:rsidRDefault="00591D54">
      <w:pPr>
        <w:shd w:val="clear" w:color="auto" w:fill="FFFFFF"/>
        <w:spacing w:before="187" w:line="211" w:lineRule="exact"/>
        <w:jc w:val="both"/>
      </w:pPr>
      <w:r>
        <w:rPr>
          <w:spacing w:val="-6"/>
          <w:sz w:val="18"/>
          <w:szCs w:val="18"/>
          <w:lang w:val="es-ES_tradnl"/>
        </w:rPr>
        <w:t>Como qued</w:t>
      </w:r>
      <w:r>
        <w:rPr>
          <w:rFonts w:cs="Times New Roman"/>
          <w:spacing w:val="-6"/>
          <w:sz w:val="18"/>
          <w:szCs w:val="18"/>
          <w:lang w:val="es-ES_tradnl"/>
        </w:rPr>
        <w:t>ó</w:t>
      </w:r>
      <w:r>
        <w:rPr>
          <w:spacing w:val="-6"/>
          <w:sz w:val="18"/>
          <w:szCs w:val="18"/>
          <w:lang w:val="es-ES_tradnl"/>
        </w:rPr>
        <w:t xml:space="preserve"> indicado en l</w:t>
      </w:r>
      <w:r>
        <w:rPr>
          <w:rFonts w:cs="Times New Roman"/>
          <w:spacing w:val="-6"/>
          <w:sz w:val="18"/>
          <w:szCs w:val="18"/>
          <w:lang w:val="es-ES_tradnl"/>
        </w:rPr>
        <w:t>í</w:t>
      </w:r>
      <w:r>
        <w:rPr>
          <w:spacing w:val="-6"/>
          <w:sz w:val="18"/>
          <w:szCs w:val="18"/>
          <w:lang w:val="es-ES_tradnl"/>
        </w:rPr>
        <w:t xml:space="preserve">neas anteriores, para la Corte </w:t>
      </w:r>
      <w:r>
        <w:rPr>
          <w:spacing w:val="-5"/>
          <w:sz w:val="18"/>
          <w:szCs w:val="18"/>
          <w:lang w:val="es-ES_tradnl"/>
        </w:rPr>
        <w:t xml:space="preserve">Constitucional el argumento sobre el cual se fundamenta </w:t>
      </w:r>
      <w:r>
        <w:rPr>
          <w:spacing w:val="-6"/>
          <w:sz w:val="18"/>
          <w:szCs w:val="18"/>
          <w:lang w:val="es-ES_tradnl"/>
        </w:rPr>
        <w:t>la demanda de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radica </w:t>
      </w:r>
      <w:r>
        <w:rPr>
          <w:spacing w:val="-3"/>
          <w:sz w:val="18"/>
          <w:szCs w:val="18"/>
          <w:lang w:val="es-ES_tradnl"/>
        </w:rPr>
        <w:t xml:space="preserve">en impugnar </w:t>
      </w:r>
      <w:r>
        <w:rPr>
          <w:rFonts w:cs="Times New Roman"/>
          <w:spacing w:val="-3"/>
          <w:sz w:val="18"/>
          <w:szCs w:val="18"/>
          <w:lang w:val="es-ES_tradnl"/>
        </w:rPr>
        <w:t>ú</w:t>
      </w:r>
      <w:r>
        <w:rPr>
          <w:spacing w:val="-3"/>
          <w:sz w:val="18"/>
          <w:szCs w:val="18"/>
          <w:lang w:val="es-ES_tradnl"/>
        </w:rPr>
        <w:t xml:space="preserve">nicamente la sentencia en virtud de la </w:t>
      </w:r>
      <w:r>
        <w:rPr>
          <w:spacing w:val="-4"/>
          <w:sz w:val="18"/>
          <w:szCs w:val="18"/>
          <w:lang w:val="es-ES_tradnl"/>
        </w:rPr>
        <w:t>supuesta falta de aplicaci</w:t>
      </w:r>
      <w:r>
        <w:rPr>
          <w:rFonts w:cs="Times New Roman"/>
          <w:spacing w:val="-4"/>
          <w:sz w:val="18"/>
          <w:szCs w:val="18"/>
          <w:lang w:val="es-ES_tradnl"/>
        </w:rPr>
        <w:t>ó</w:t>
      </w:r>
      <w:r>
        <w:rPr>
          <w:spacing w:val="-4"/>
          <w:sz w:val="18"/>
          <w:szCs w:val="18"/>
          <w:lang w:val="es-ES_tradnl"/>
        </w:rPr>
        <w:t>n de la Ley Especial N.</w:t>
      </w:r>
      <w:r>
        <w:rPr>
          <w:rFonts w:cs="Times New Roman"/>
          <w:spacing w:val="-4"/>
          <w:sz w:val="18"/>
          <w:szCs w:val="18"/>
          <w:lang w:val="es-ES_tradnl"/>
        </w:rPr>
        <w:t>º</w:t>
      </w:r>
      <w:r>
        <w:rPr>
          <w:spacing w:val="-4"/>
          <w:sz w:val="18"/>
          <w:szCs w:val="18"/>
          <w:lang w:val="es-ES_tradnl"/>
        </w:rPr>
        <w:t xml:space="preserve"> 121, </w:t>
      </w:r>
      <w:r>
        <w:rPr>
          <w:spacing w:val="-6"/>
          <w:sz w:val="18"/>
          <w:szCs w:val="18"/>
          <w:lang w:val="es-ES_tradnl"/>
        </w:rPr>
        <w:t xml:space="preserve">que a juicio del accionante regulaba las indemnizaciones </w:t>
      </w:r>
      <w:r>
        <w:rPr>
          <w:sz w:val="18"/>
          <w:szCs w:val="18"/>
          <w:lang w:val="es-ES_tradnl"/>
        </w:rPr>
        <w:t>de los trabajadores que contin</w:t>
      </w:r>
      <w:r>
        <w:rPr>
          <w:rFonts w:cs="Times New Roman"/>
          <w:sz w:val="18"/>
          <w:szCs w:val="18"/>
          <w:lang w:val="es-ES_tradnl"/>
        </w:rPr>
        <w:t>ú</w:t>
      </w:r>
      <w:r>
        <w:rPr>
          <w:sz w:val="18"/>
          <w:szCs w:val="18"/>
          <w:lang w:val="es-ES_tradnl"/>
        </w:rPr>
        <w:t xml:space="preserve">en sus relaciones </w:t>
      </w:r>
      <w:r>
        <w:rPr>
          <w:spacing w:val="-5"/>
          <w:sz w:val="18"/>
          <w:szCs w:val="18"/>
          <w:lang w:val="es-ES_tradnl"/>
        </w:rPr>
        <w:t xml:space="preserve">laborales; por lo que, ratificando el criterio de esta Corte </w:t>
      </w:r>
      <w:r>
        <w:rPr>
          <w:spacing w:val="-4"/>
          <w:sz w:val="18"/>
          <w:szCs w:val="18"/>
          <w:lang w:val="es-ES_tradnl"/>
        </w:rPr>
        <w:t>Constitucional, debe se</w:t>
      </w:r>
      <w:r>
        <w:rPr>
          <w:rFonts w:cs="Times New Roman"/>
          <w:spacing w:val="-4"/>
          <w:sz w:val="18"/>
          <w:szCs w:val="18"/>
          <w:lang w:val="es-ES_tradnl"/>
        </w:rPr>
        <w:t>ñ</w:t>
      </w:r>
      <w:r>
        <w:rPr>
          <w:spacing w:val="-4"/>
          <w:sz w:val="18"/>
          <w:szCs w:val="18"/>
          <w:lang w:val="es-ES_tradnl"/>
        </w:rPr>
        <w:t xml:space="preserve">alarse que </w:t>
      </w:r>
      <w:r>
        <w:rPr>
          <w:rFonts w:cs="Times New Roman"/>
          <w:spacing w:val="-4"/>
          <w:sz w:val="18"/>
          <w:szCs w:val="18"/>
          <w:lang w:val="es-ES_tradnl"/>
        </w:rPr>
        <w:t>“…</w:t>
      </w:r>
      <w:r>
        <w:rPr>
          <w:spacing w:val="-4"/>
          <w:sz w:val="18"/>
          <w:szCs w:val="18"/>
          <w:lang w:val="es-ES_tradnl"/>
        </w:rPr>
        <w:t xml:space="preserve"> la naturaleza de </w:t>
      </w:r>
      <w:r>
        <w:rPr>
          <w:spacing w:val="-6"/>
          <w:sz w:val="18"/>
          <w:szCs w:val="18"/>
          <w:lang w:val="es-ES_tradnl"/>
        </w:rPr>
        <w:t>las garant</w:t>
      </w:r>
      <w:r>
        <w:rPr>
          <w:rFonts w:cs="Times New Roman"/>
          <w:spacing w:val="-6"/>
          <w:sz w:val="18"/>
          <w:szCs w:val="18"/>
          <w:lang w:val="es-ES_tradnl"/>
        </w:rPr>
        <w:t>í</w:t>
      </w:r>
      <w:r>
        <w:rPr>
          <w:spacing w:val="-6"/>
          <w:sz w:val="18"/>
          <w:szCs w:val="18"/>
          <w:lang w:val="es-ES_tradnl"/>
        </w:rPr>
        <w:t xml:space="preserve">as jurisdiccionales se encuentra enmarcada en la tutela de los derechos constitucionales; por lo que, los </w:t>
      </w:r>
      <w:r>
        <w:rPr>
          <w:spacing w:val="-7"/>
          <w:sz w:val="18"/>
          <w:szCs w:val="18"/>
          <w:lang w:val="es-ES_tradnl"/>
        </w:rPr>
        <w:t>confl ictos que pudieren generarse respecto a la err</w:t>
      </w:r>
      <w:r>
        <w:rPr>
          <w:rFonts w:cs="Times New Roman"/>
          <w:spacing w:val="-7"/>
          <w:sz w:val="18"/>
          <w:szCs w:val="18"/>
          <w:lang w:val="es-ES_tradnl"/>
        </w:rPr>
        <w:t>ó</w:t>
      </w:r>
      <w:r>
        <w:rPr>
          <w:spacing w:val="-7"/>
          <w:sz w:val="18"/>
          <w:szCs w:val="18"/>
          <w:lang w:val="es-ES_tradnl"/>
        </w:rPr>
        <w:t>nea aplicaci</w:t>
      </w:r>
      <w:r>
        <w:rPr>
          <w:rFonts w:cs="Times New Roman"/>
          <w:spacing w:val="-7"/>
          <w:sz w:val="18"/>
          <w:szCs w:val="18"/>
          <w:lang w:val="es-ES_tradnl"/>
        </w:rPr>
        <w:t>ó</w:t>
      </w:r>
      <w:r>
        <w:rPr>
          <w:spacing w:val="-7"/>
          <w:sz w:val="18"/>
          <w:szCs w:val="18"/>
          <w:lang w:val="es-ES_tradnl"/>
        </w:rPr>
        <w:t>n o interpretaci</w:t>
      </w:r>
      <w:r>
        <w:rPr>
          <w:rFonts w:cs="Times New Roman"/>
          <w:spacing w:val="-7"/>
          <w:sz w:val="18"/>
          <w:szCs w:val="18"/>
          <w:lang w:val="es-ES_tradnl"/>
        </w:rPr>
        <w:t>ó</w:t>
      </w:r>
      <w:r>
        <w:rPr>
          <w:spacing w:val="-7"/>
          <w:sz w:val="18"/>
          <w:szCs w:val="18"/>
          <w:lang w:val="es-ES_tradnl"/>
        </w:rPr>
        <w:t>n de las disposiciones normativas infraconstitucionales, no pueden ser objeto del an</w:t>
      </w:r>
      <w:r>
        <w:rPr>
          <w:rFonts w:cs="Times New Roman"/>
          <w:spacing w:val="-7"/>
          <w:sz w:val="18"/>
          <w:szCs w:val="18"/>
          <w:lang w:val="es-ES_tradnl"/>
        </w:rPr>
        <w:t>á</w:t>
      </w:r>
      <w:r>
        <w:rPr>
          <w:spacing w:val="-7"/>
          <w:sz w:val="18"/>
          <w:szCs w:val="18"/>
          <w:lang w:val="es-ES_tradnl"/>
        </w:rPr>
        <w:t xml:space="preserve">lisis por </w:t>
      </w:r>
      <w:r>
        <w:rPr>
          <w:spacing w:val="-8"/>
          <w:sz w:val="18"/>
          <w:szCs w:val="18"/>
          <w:lang w:val="es-ES_tradnl"/>
        </w:rPr>
        <w:t xml:space="preserve">parte de la justicia constitucional, pues para ello existen los </w:t>
      </w:r>
      <w:r>
        <w:rPr>
          <w:sz w:val="18"/>
          <w:szCs w:val="18"/>
          <w:lang w:val="es-ES_tradnl"/>
        </w:rPr>
        <w:t>int</w:t>
      </w:r>
      <w:r>
        <w:rPr>
          <w:rFonts w:cs="Times New Roman"/>
          <w:sz w:val="18"/>
          <w:szCs w:val="18"/>
          <w:lang w:val="es-ES_tradnl"/>
        </w:rPr>
        <w:t>é</w:t>
      </w:r>
      <w:r>
        <w:rPr>
          <w:sz w:val="18"/>
          <w:szCs w:val="18"/>
          <w:lang w:val="es-ES_tradnl"/>
        </w:rPr>
        <w:t>rpretes normativos competentes.</w:t>
      </w:r>
      <w:r>
        <w:rPr>
          <w:rFonts w:cs="Times New Roman"/>
          <w:sz w:val="18"/>
          <w:szCs w:val="18"/>
          <w:lang w:val="es-ES_tradnl"/>
        </w:rPr>
        <w:t>”</w:t>
      </w:r>
      <w:r>
        <w:rPr>
          <w:i/>
          <w:iCs/>
          <w:sz w:val="18"/>
          <w:szCs w:val="18"/>
          <w:vertAlign w:val="superscript"/>
          <w:lang w:val="es-ES_tradnl"/>
        </w:rPr>
        <w:t>6</w:t>
      </w:r>
      <w:r>
        <w:rPr>
          <w:sz w:val="18"/>
          <w:szCs w:val="18"/>
          <w:lang w:val="es-ES_tradnl"/>
        </w:rPr>
        <w:t>.</w:t>
      </w:r>
    </w:p>
    <w:p w14:paraId="4F67B9C2" w14:textId="77777777" w:rsidR="00591D54" w:rsidRDefault="00591D54">
      <w:pPr>
        <w:shd w:val="clear" w:color="auto" w:fill="FFFFFF"/>
        <w:spacing w:before="192" w:line="211" w:lineRule="exact"/>
        <w:jc w:val="both"/>
      </w:pPr>
      <w:r>
        <w:rPr>
          <w:spacing w:val="-10"/>
          <w:sz w:val="18"/>
          <w:szCs w:val="18"/>
          <w:lang w:val="es-ES_tradnl"/>
        </w:rPr>
        <w:t xml:space="preserve">Por estas consideraciones, la Corte Constitucional considera </w:t>
      </w:r>
      <w:r>
        <w:rPr>
          <w:spacing w:val="-3"/>
          <w:sz w:val="18"/>
          <w:szCs w:val="18"/>
          <w:lang w:val="es-ES_tradnl"/>
        </w:rPr>
        <w:t>que la sentencia de mayor</w:t>
      </w:r>
      <w:r>
        <w:rPr>
          <w:rFonts w:cs="Times New Roman"/>
          <w:spacing w:val="-3"/>
          <w:sz w:val="18"/>
          <w:szCs w:val="18"/>
          <w:lang w:val="es-ES_tradnl"/>
        </w:rPr>
        <w:t>í</w:t>
      </w:r>
      <w:r>
        <w:rPr>
          <w:spacing w:val="-3"/>
          <w:sz w:val="18"/>
          <w:szCs w:val="18"/>
          <w:lang w:val="es-ES_tradnl"/>
        </w:rPr>
        <w:t xml:space="preserve">a expedida el 25 de octubre </w:t>
      </w:r>
      <w:r>
        <w:rPr>
          <w:spacing w:val="-8"/>
          <w:sz w:val="18"/>
          <w:szCs w:val="18"/>
          <w:lang w:val="es-ES_tradnl"/>
        </w:rPr>
        <w:t>de 2011, por la Segunda Sala de lo Laboral de la Corte Nacional de Justicia no vulner</w:t>
      </w:r>
      <w:r>
        <w:rPr>
          <w:rFonts w:cs="Times New Roman"/>
          <w:spacing w:val="-8"/>
          <w:sz w:val="18"/>
          <w:szCs w:val="18"/>
          <w:lang w:val="es-ES_tradnl"/>
        </w:rPr>
        <w:t>ó</w:t>
      </w:r>
      <w:r>
        <w:rPr>
          <w:spacing w:val="-8"/>
          <w:sz w:val="18"/>
          <w:szCs w:val="18"/>
          <w:lang w:val="es-ES_tradnl"/>
        </w:rPr>
        <w:t xml:space="preserve"> el derecho a la seguridad </w:t>
      </w:r>
      <w:r>
        <w:rPr>
          <w:spacing w:val="-6"/>
          <w:sz w:val="18"/>
          <w:szCs w:val="18"/>
          <w:lang w:val="es-ES_tradnl"/>
        </w:rPr>
        <w:t>jur</w:t>
      </w:r>
      <w:r>
        <w:rPr>
          <w:rFonts w:cs="Times New Roman"/>
          <w:spacing w:val="-6"/>
          <w:sz w:val="18"/>
          <w:szCs w:val="18"/>
          <w:lang w:val="es-ES_tradnl"/>
        </w:rPr>
        <w:t>í</w:t>
      </w:r>
      <w:r>
        <w:rPr>
          <w:spacing w:val="-6"/>
          <w:sz w:val="18"/>
          <w:szCs w:val="18"/>
          <w:lang w:val="es-ES_tradnl"/>
        </w:rPr>
        <w:t>dica establecido en el art</w:t>
      </w:r>
      <w:r>
        <w:rPr>
          <w:rFonts w:cs="Times New Roman"/>
          <w:spacing w:val="-6"/>
          <w:sz w:val="18"/>
          <w:szCs w:val="18"/>
          <w:lang w:val="es-ES_tradnl"/>
        </w:rPr>
        <w:t>í</w:t>
      </w:r>
      <w:r>
        <w:rPr>
          <w:spacing w:val="-6"/>
          <w:sz w:val="18"/>
          <w:szCs w:val="18"/>
          <w:lang w:val="es-ES_tradnl"/>
        </w:rPr>
        <w:t>culo 82 de la Constituci</w:t>
      </w:r>
      <w:r>
        <w:rPr>
          <w:rFonts w:cs="Times New Roman"/>
          <w:spacing w:val="-6"/>
          <w:sz w:val="18"/>
          <w:szCs w:val="18"/>
          <w:lang w:val="es-ES_tradnl"/>
        </w:rPr>
        <w:t>ó</w:t>
      </w:r>
      <w:r>
        <w:rPr>
          <w:spacing w:val="-6"/>
          <w:sz w:val="18"/>
          <w:szCs w:val="18"/>
          <w:lang w:val="es-ES_tradnl"/>
        </w:rPr>
        <w:t xml:space="preserve">n de </w:t>
      </w:r>
      <w:r>
        <w:rPr>
          <w:sz w:val="18"/>
          <w:szCs w:val="18"/>
          <w:lang w:val="es-ES_tradnl"/>
        </w:rPr>
        <w:t>la Rep</w:t>
      </w:r>
      <w:r>
        <w:rPr>
          <w:rFonts w:cs="Times New Roman"/>
          <w:sz w:val="18"/>
          <w:szCs w:val="18"/>
          <w:lang w:val="es-ES_tradnl"/>
        </w:rPr>
        <w:t>ú</w:t>
      </w:r>
      <w:r>
        <w:rPr>
          <w:sz w:val="18"/>
          <w:szCs w:val="18"/>
          <w:lang w:val="es-ES_tradnl"/>
        </w:rPr>
        <w:t>blica.</w:t>
      </w:r>
    </w:p>
    <w:p w14:paraId="4F67B9C3" w14:textId="77777777" w:rsidR="00591D54" w:rsidRDefault="00591D54">
      <w:pPr>
        <w:shd w:val="clear" w:color="auto" w:fill="FFFFFF"/>
        <w:spacing w:before="187"/>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B9C4" w14:textId="77777777" w:rsidR="00591D54" w:rsidRDefault="00591D54">
      <w:pPr>
        <w:shd w:val="clear" w:color="auto" w:fill="FFFFFF"/>
        <w:spacing w:before="192" w:line="211" w:lineRule="exact"/>
        <w:jc w:val="both"/>
      </w:pPr>
      <w:r>
        <w:rPr>
          <w:sz w:val="18"/>
          <w:szCs w:val="18"/>
          <w:lang w:val="es-ES_tradnl"/>
        </w:rPr>
        <w:t>En m</w:t>
      </w:r>
      <w:r>
        <w:rPr>
          <w:rFonts w:cs="Times New Roman"/>
          <w:sz w:val="18"/>
          <w:szCs w:val="18"/>
          <w:lang w:val="es-ES_tradnl"/>
        </w:rPr>
        <w:t>é</w:t>
      </w:r>
      <w:r>
        <w:rPr>
          <w:sz w:val="18"/>
          <w:szCs w:val="18"/>
          <w:lang w:val="es-ES_tradnl"/>
        </w:rPr>
        <w:t xml:space="preserve">rito de lo expuesto, administrando justicia </w:t>
      </w:r>
      <w:r>
        <w:rPr>
          <w:spacing w:val="-5"/>
          <w:sz w:val="18"/>
          <w:szCs w:val="18"/>
          <w:lang w:val="es-ES_tradnl"/>
        </w:rPr>
        <w:t>constitucional y por mandato de la Constituci</w:t>
      </w:r>
      <w:r>
        <w:rPr>
          <w:rFonts w:cs="Times New Roman"/>
          <w:spacing w:val="-5"/>
          <w:sz w:val="18"/>
          <w:szCs w:val="18"/>
          <w:lang w:val="es-ES_tradnl"/>
        </w:rPr>
        <w:t>ó</w:t>
      </w:r>
      <w:r>
        <w:rPr>
          <w:spacing w:val="-5"/>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 xml:space="preserve">blica del Ecuador, el Pleno de la Corte Constitucional </w:t>
      </w:r>
      <w:r>
        <w:rPr>
          <w:sz w:val="18"/>
          <w:szCs w:val="18"/>
          <w:lang w:val="es-ES_tradnl"/>
        </w:rPr>
        <w:t>expide la siguiente:</w:t>
      </w:r>
    </w:p>
    <w:p w14:paraId="4F67B9C5" w14:textId="77777777" w:rsidR="00591D54" w:rsidRDefault="00591D54">
      <w:pPr>
        <w:shd w:val="clear" w:color="auto" w:fill="FFFFFF"/>
        <w:spacing w:before="187"/>
        <w:ind w:left="5"/>
        <w:jc w:val="center"/>
      </w:pPr>
      <w:r>
        <w:rPr>
          <w:b/>
          <w:bCs/>
          <w:sz w:val="18"/>
          <w:szCs w:val="18"/>
          <w:lang w:val="es-ES_tradnl"/>
        </w:rPr>
        <w:t>SENTENCIA</w:t>
      </w:r>
    </w:p>
    <w:p w14:paraId="4F67B9C6" w14:textId="77777777" w:rsidR="00591D54" w:rsidRDefault="00591D54" w:rsidP="00251195">
      <w:pPr>
        <w:numPr>
          <w:ilvl w:val="0"/>
          <w:numId w:val="118"/>
        </w:numPr>
        <w:shd w:val="clear" w:color="auto" w:fill="FFFFFF"/>
        <w:tabs>
          <w:tab w:val="left" w:pos="566"/>
        </w:tabs>
        <w:spacing w:before="187" w:line="211" w:lineRule="exact"/>
        <w:ind w:left="566" w:hanging="283"/>
        <w:rPr>
          <w:spacing w:val="-9"/>
          <w:sz w:val="18"/>
          <w:szCs w:val="18"/>
          <w:lang w:val="es-ES_tradnl"/>
        </w:rPr>
      </w:pPr>
      <w:r>
        <w:rPr>
          <w:spacing w:val="-2"/>
          <w:sz w:val="18"/>
          <w:szCs w:val="18"/>
          <w:lang w:val="es-ES_tradnl"/>
        </w:rPr>
        <w:t>Declarar que no existe vulneraci</w:t>
      </w:r>
      <w:r>
        <w:rPr>
          <w:rFonts w:cs="Times New Roman"/>
          <w:spacing w:val="-2"/>
          <w:sz w:val="18"/>
          <w:szCs w:val="18"/>
          <w:lang w:val="es-ES_tradnl"/>
        </w:rPr>
        <w:t>ó</w:t>
      </w:r>
      <w:r>
        <w:rPr>
          <w:spacing w:val="-2"/>
          <w:sz w:val="18"/>
          <w:szCs w:val="18"/>
          <w:lang w:val="es-ES_tradnl"/>
        </w:rPr>
        <w:t xml:space="preserve">n de derechos </w:t>
      </w:r>
      <w:r>
        <w:rPr>
          <w:sz w:val="18"/>
          <w:szCs w:val="18"/>
          <w:lang w:val="es-ES_tradnl"/>
        </w:rPr>
        <w:t>constitucionales.</w:t>
      </w:r>
    </w:p>
    <w:p w14:paraId="4F67B9C7" w14:textId="77777777" w:rsidR="00591D54" w:rsidRDefault="00591D54" w:rsidP="00251195">
      <w:pPr>
        <w:numPr>
          <w:ilvl w:val="0"/>
          <w:numId w:val="118"/>
        </w:numPr>
        <w:shd w:val="clear" w:color="auto" w:fill="FFFFFF"/>
        <w:tabs>
          <w:tab w:val="left" w:pos="566"/>
        </w:tabs>
        <w:spacing w:before="192" w:line="216" w:lineRule="exact"/>
        <w:ind w:left="566" w:hanging="283"/>
        <w:rPr>
          <w:spacing w:val="-9"/>
          <w:sz w:val="18"/>
          <w:szCs w:val="18"/>
          <w:lang w:val="es-ES_tradnl"/>
        </w:rPr>
      </w:pPr>
      <w:r>
        <w:rPr>
          <w:spacing w:val="-6"/>
          <w:sz w:val="18"/>
          <w:szCs w:val="18"/>
          <w:lang w:val="es-ES_tradnl"/>
        </w:rPr>
        <w:t>Negar   la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w:t>
      </w:r>
      <w:r>
        <w:rPr>
          <w:sz w:val="18"/>
          <w:szCs w:val="18"/>
          <w:lang w:val="es-ES_tradnl"/>
        </w:rPr>
        <w:t>presentada.</w:t>
      </w:r>
    </w:p>
    <w:p w14:paraId="4F67B9C8" w14:textId="77777777" w:rsidR="00591D54" w:rsidRDefault="00591D54">
      <w:pPr>
        <w:shd w:val="clear" w:color="auto" w:fill="FFFFFF"/>
        <w:tabs>
          <w:tab w:val="left" w:pos="566"/>
        </w:tabs>
        <w:spacing w:before="29" w:line="427" w:lineRule="exact"/>
        <w:ind w:right="979" w:firstLine="283"/>
      </w:pPr>
      <w:r>
        <w:rPr>
          <w:spacing w:val="-9"/>
          <w:sz w:val="18"/>
          <w:szCs w:val="18"/>
          <w:lang w:val="es-ES_tradnl"/>
        </w:rPr>
        <w:t>3.</w:t>
      </w:r>
      <w:r>
        <w:rPr>
          <w:sz w:val="18"/>
          <w:szCs w:val="18"/>
          <w:lang w:val="es-ES_tradnl"/>
        </w:rPr>
        <w:tab/>
      </w:r>
      <w:r>
        <w:rPr>
          <w:spacing w:val="-8"/>
          <w:sz w:val="18"/>
          <w:szCs w:val="18"/>
          <w:lang w:val="es-ES_tradnl"/>
        </w:rPr>
        <w:t>Notif</w:t>
      </w:r>
      <w:r>
        <w:rPr>
          <w:rFonts w:cs="Times New Roman"/>
          <w:spacing w:val="-8"/>
          <w:sz w:val="18"/>
          <w:szCs w:val="18"/>
          <w:lang w:val="es-ES_tradnl"/>
        </w:rPr>
        <w:t>í</w:t>
      </w:r>
      <w:r>
        <w:rPr>
          <w:spacing w:val="-8"/>
          <w:sz w:val="18"/>
          <w:szCs w:val="18"/>
          <w:lang w:val="es-ES_tradnl"/>
        </w:rPr>
        <w:t>quese, publ</w:t>
      </w:r>
      <w:r>
        <w:rPr>
          <w:rFonts w:cs="Times New Roman"/>
          <w:spacing w:val="-8"/>
          <w:sz w:val="18"/>
          <w:szCs w:val="18"/>
          <w:lang w:val="es-ES_tradnl"/>
        </w:rPr>
        <w:t>í</w:t>
      </w:r>
      <w:r>
        <w:rPr>
          <w:spacing w:val="-8"/>
          <w:sz w:val="18"/>
          <w:szCs w:val="18"/>
          <w:lang w:val="es-ES_tradnl"/>
        </w:rPr>
        <w:t>quese y c</w:t>
      </w:r>
      <w:r>
        <w:rPr>
          <w:rFonts w:cs="Times New Roman"/>
          <w:spacing w:val="-8"/>
          <w:sz w:val="18"/>
          <w:szCs w:val="18"/>
          <w:lang w:val="es-ES_tradnl"/>
        </w:rPr>
        <w:t>ú</w:t>
      </w:r>
      <w:r>
        <w:rPr>
          <w:spacing w:val="-8"/>
          <w:sz w:val="18"/>
          <w:szCs w:val="18"/>
          <w:lang w:val="es-ES_tradnl"/>
        </w:rPr>
        <w:t>mplase. </w:t>
      </w:r>
      <w:r>
        <w:rPr>
          <w:spacing w:val="-5"/>
          <w:sz w:val="18"/>
          <w:szCs w:val="18"/>
          <w:lang w:val="es-ES_tradnl"/>
        </w:rPr>
        <w:t>f.) Patricio Pazmi</w:t>
      </w:r>
      <w:r>
        <w:rPr>
          <w:rFonts w:cs="Times New Roman"/>
          <w:spacing w:val="-5"/>
          <w:sz w:val="18"/>
          <w:szCs w:val="18"/>
          <w:lang w:val="es-ES_tradnl"/>
        </w:rPr>
        <w:t>ñ</w:t>
      </w:r>
      <w:r>
        <w:rPr>
          <w:spacing w:val="-5"/>
          <w:sz w:val="18"/>
          <w:szCs w:val="18"/>
          <w:lang w:val="es-ES_tradnl"/>
        </w:rPr>
        <w:t xml:space="preserve">o Freire, </w:t>
      </w:r>
      <w:r>
        <w:rPr>
          <w:b/>
          <w:bCs/>
          <w:spacing w:val="-5"/>
          <w:sz w:val="18"/>
          <w:szCs w:val="18"/>
          <w:lang w:val="es-ES_tradnl"/>
        </w:rPr>
        <w:t>PRESIDENTE.</w:t>
      </w:r>
    </w:p>
    <w:p w14:paraId="4F67B9C9" w14:textId="77777777" w:rsidR="00591D54" w:rsidRDefault="00591D54">
      <w:pPr>
        <w:shd w:val="clear" w:color="auto" w:fill="FFFFFF"/>
        <w:spacing w:line="427" w:lineRule="exact"/>
      </w:pPr>
      <w:r>
        <w:rPr>
          <w:spacing w:val="-4"/>
          <w:sz w:val="18"/>
          <w:szCs w:val="18"/>
          <w:lang w:val="es-ES_tradnl"/>
        </w:rPr>
        <w:t>f.) Pa</w:t>
      </w:r>
      <w:r>
        <w:rPr>
          <w:rFonts w:cs="Times New Roman"/>
          <w:spacing w:val="-4"/>
          <w:sz w:val="18"/>
          <w:szCs w:val="18"/>
          <w:lang w:val="es-ES_tradnl"/>
        </w:rPr>
        <w:t>ú</w:t>
      </w:r>
      <w:r>
        <w:rPr>
          <w:spacing w:val="-4"/>
          <w:sz w:val="18"/>
          <w:szCs w:val="18"/>
          <w:lang w:val="es-ES_tradnl"/>
        </w:rPr>
        <w:t xml:space="preserve">l Prado Chiriboga, </w:t>
      </w:r>
      <w:r>
        <w:rPr>
          <w:b/>
          <w:bCs/>
          <w:spacing w:val="-4"/>
          <w:sz w:val="18"/>
          <w:szCs w:val="18"/>
          <w:lang w:val="es-ES_tradnl"/>
        </w:rPr>
        <w:t>SECRETARIO GENERAL (E).</w:t>
      </w:r>
    </w:p>
    <w:p w14:paraId="4F67B9CA" w14:textId="77777777" w:rsidR="00591D54" w:rsidRDefault="00591D54">
      <w:pPr>
        <w:shd w:val="clear" w:color="auto" w:fill="FFFFFF"/>
        <w:spacing w:before="461" w:line="178" w:lineRule="exact"/>
        <w:ind w:left="144" w:hanging="144"/>
      </w:pPr>
      <w:r>
        <w:rPr>
          <w:sz w:val="16"/>
          <w:szCs w:val="16"/>
          <w:vertAlign w:val="superscript"/>
          <w:lang w:val="es-ES_tradnl"/>
        </w:rPr>
        <w:t>6</w:t>
      </w:r>
      <w:r>
        <w:rPr>
          <w:sz w:val="16"/>
          <w:szCs w:val="16"/>
          <w:lang w:val="es-ES_tradnl"/>
        </w:rPr>
        <w:t xml:space="preserve">  </w:t>
      </w:r>
      <w:r>
        <w:rPr>
          <w:spacing w:val="-8"/>
          <w:sz w:val="16"/>
          <w:szCs w:val="16"/>
          <w:lang w:val="es-ES_tradnl"/>
        </w:rPr>
        <w:t>Corte Constitucional del Ecuador, Sentencia N.</w:t>
      </w:r>
      <w:r>
        <w:rPr>
          <w:rFonts w:cs="Times New Roman"/>
          <w:spacing w:val="-8"/>
          <w:sz w:val="16"/>
          <w:szCs w:val="16"/>
          <w:lang w:val="es-ES_tradnl"/>
        </w:rPr>
        <w:t>º</w:t>
      </w:r>
      <w:r>
        <w:rPr>
          <w:spacing w:val="-8"/>
          <w:sz w:val="16"/>
          <w:szCs w:val="16"/>
          <w:lang w:val="es-ES_tradnl"/>
        </w:rPr>
        <w:t xml:space="preserve"> 083-13-SEP-CC, </w:t>
      </w:r>
      <w:r>
        <w:rPr>
          <w:sz w:val="16"/>
          <w:szCs w:val="16"/>
          <w:lang w:val="es-ES_tradnl"/>
        </w:rPr>
        <w:t>Caso N.</w:t>
      </w:r>
      <w:r>
        <w:rPr>
          <w:rFonts w:cs="Times New Roman"/>
          <w:sz w:val="16"/>
          <w:szCs w:val="16"/>
          <w:lang w:val="es-ES_tradnl"/>
        </w:rPr>
        <w:t>º</w:t>
      </w:r>
      <w:r>
        <w:rPr>
          <w:sz w:val="16"/>
          <w:szCs w:val="16"/>
          <w:lang w:val="es-ES_tradnl"/>
        </w:rPr>
        <w:t xml:space="preserve"> 0120-11-EP</w:t>
      </w:r>
    </w:p>
    <w:p w14:paraId="4F67B9CB" w14:textId="77777777" w:rsidR="00591D54" w:rsidRDefault="00591D54">
      <w:pPr>
        <w:shd w:val="clear" w:color="auto" w:fill="FFFFFF"/>
        <w:spacing w:before="461" w:line="178" w:lineRule="exact"/>
        <w:ind w:left="144" w:hanging="144"/>
        <w:sectPr w:rsidR="00591D54">
          <w:type w:val="continuous"/>
          <w:pgSz w:w="11909" w:h="16834"/>
          <w:pgMar w:top="1356" w:right="1304" w:bottom="360" w:left="1308" w:header="720" w:footer="720" w:gutter="0"/>
          <w:cols w:num="2" w:space="720" w:equalWidth="0">
            <w:col w:w="4305" w:space="682"/>
            <w:col w:w="4310"/>
          </w:cols>
          <w:noEndnote/>
        </w:sectPr>
      </w:pPr>
    </w:p>
    <w:p w14:paraId="4F67B9CC" w14:textId="77777777" w:rsidR="00591D54" w:rsidRDefault="00591D54">
      <w:pPr>
        <w:shd w:val="clear" w:color="auto" w:fill="FFFFFF"/>
        <w:tabs>
          <w:tab w:val="left" w:pos="5842"/>
        </w:tabs>
        <w:spacing w:after="230"/>
        <w:ind w:left="14"/>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- 271</w:t>
      </w:r>
    </w:p>
    <w:p w14:paraId="4F67B9CD" w14:textId="77777777" w:rsidR="00591D54" w:rsidRDefault="00591D54">
      <w:pPr>
        <w:shd w:val="clear" w:color="auto" w:fill="FFFFFF"/>
        <w:tabs>
          <w:tab w:val="left" w:pos="5842"/>
        </w:tabs>
        <w:spacing w:after="230"/>
        <w:ind w:left="14"/>
        <w:sectPr w:rsidR="00591D54">
          <w:pgSz w:w="11909" w:h="16834"/>
          <w:pgMar w:top="1354" w:right="1309" w:bottom="360" w:left="1308" w:header="720" w:footer="720" w:gutter="0"/>
          <w:cols w:space="60"/>
          <w:noEndnote/>
        </w:sectPr>
      </w:pPr>
    </w:p>
    <w:p w14:paraId="4F67B9CE" w14:textId="77777777" w:rsidR="00591D54" w:rsidRDefault="00591D54">
      <w:pPr>
        <w:shd w:val="clear" w:color="auto" w:fill="FFFFFF"/>
        <w:spacing w:line="216" w:lineRule="exact"/>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aprobada por el Pleno de la Corte Constitucional, con siete </w:t>
      </w:r>
      <w:r>
        <w:rPr>
          <w:spacing w:val="-10"/>
          <w:sz w:val="18"/>
          <w:szCs w:val="18"/>
          <w:lang w:val="es-ES_tradnl"/>
        </w:rPr>
        <w:t xml:space="preserve">votos a favor, de las juezas y jueces Antonio Gagliardo Loor, </w:t>
      </w:r>
      <w:r>
        <w:rPr>
          <w:spacing w:val="-4"/>
          <w:sz w:val="18"/>
          <w:szCs w:val="18"/>
          <w:lang w:val="es-ES_tradnl"/>
        </w:rPr>
        <w:t>Marcelo Jaramillo Villa, Mar</w:t>
      </w:r>
      <w:r>
        <w:rPr>
          <w:rFonts w:cs="Times New Roman"/>
          <w:spacing w:val="-4"/>
          <w:sz w:val="18"/>
          <w:szCs w:val="18"/>
          <w:lang w:val="es-ES_tradnl"/>
        </w:rPr>
        <w:t>í</w:t>
      </w:r>
      <w:r>
        <w:rPr>
          <w:spacing w:val="-4"/>
          <w:sz w:val="18"/>
          <w:szCs w:val="18"/>
          <w:lang w:val="es-ES_tradnl"/>
        </w:rPr>
        <w:t xml:space="preserve">a del Carmen Maldonado </w:t>
      </w:r>
      <w:r>
        <w:rPr>
          <w:spacing w:val="-5"/>
          <w:sz w:val="18"/>
          <w:szCs w:val="18"/>
          <w:lang w:val="es-ES_tradnl"/>
        </w:rPr>
        <w:t>S</w:t>
      </w:r>
      <w:r>
        <w:rPr>
          <w:rFonts w:cs="Times New Roman"/>
          <w:spacing w:val="-5"/>
          <w:sz w:val="18"/>
          <w:szCs w:val="18"/>
          <w:lang w:val="es-ES_tradnl"/>
        </w:rPr>
        <w:t>á</w:t>
      </w:r>
      <w:r>
        <w:rPr>
          <w:spacing w:val="-5"/>
          <w:sz w:val="18"/>
          <w:szCs w:val="18"/>
          <w:lang w:val="es-ES_tradnl"/>
        </w:rPr>
        <w:t>nchez, Alfredo Ruiz Guzm</w:t>
      </w:r>
      <w:r>
        <w:rPr>
          <w:rFonts w:cs="Times New Roman"/>
          <w:spacing w:val="-5"/>
          <w:sz w:val="18"/>
          <w:szCs w:val="18"/>
          <w:lang w:val="es-ES_tradnl"/>
        </w:rPr>
        <w:t>á</w:t>
      </w:r>
      <w:r>
        <w:rPr>
          <w:spacing w:val="-5"/>
          <w:sz w:val="18"/>
          <w:szCs w:val="18"/>
          <w:lang w:val="es-ES_tradnl"/>
        </w:rPr>
        <w:t xml:space="preserve">n, Ruth Seni Pinoargote, </w:t>
      </w:r>
      <w:r>
        <w:rPr>
          <w:spacing w:val="-6"/>
          <w:sz w:val="18"/>
          <w:szCs w:val="18"/>
          <w:lang w:val="es-ES_tradnl"/>
        </w:rPr>
        <w:t>Manuel Viteri Olvera y Patricio Pazmi</w:t>
      </w:r>
      <w:r>
        <w:rPr>
          <w:rFonts w:cs="Times New Roman"/>
          <w:spacing w:val="-6"/>
          <w:sz w:val="18"/>
          <w:szCs w:val="18"/>
          <w:lang w:val="es-ES_tradnl"/>
        </w:rPr>
        <w:t>ñ</w:t>
      </w:r>
      <w:r>
        <w:rPr>
          <w:spacing w:val="-6"/>
          <w:sz w:val="18"/>
          <w:szCs w:val="18"/>
          <w:lang w:val="es-ES_tradnl"/>
        </w:rPr>
        <w:t xml:space="preserve">o Freire, sin contar </w:t>
      </w:r>
      <w:r>
        <w:rPr>
          <w:spacing w:val="-7"/>
          <w:sz w:val="18"/>
          <w:szCs w:val="18"/>
          <w:lang w:val="es-ES_tradnl"/>
        </w:rPr>
        <w:t xml:space="preserve">con la presencia de las juezas Wendy Molina Andrade y </w:t>
      </w:r>
      <w:r>
        <w:rPr>
          <w:spacing w:val="-12"/>
          <w:sz w:val="18"/>
          <w:szCs w:val="18"/>
          <w:lang w:val="es-ES_tradnl"/>
        </w:rPr>
        <w:t>Tatiana Orde</w:t>
      </w:r>
      <w:r>
        <w:rPr>
          <w:rFonts w:cs="Times New Roman"/>
          <w:spacing w:val="-12"/>
          <w:sz w:val="18"/>
          <w:szCs w:val="18"/>
          <w:lang w:val="es-ES_tradnl"/>
        </w:rPr>
        <w:t>ñ</w:t>
      </w:r>
      <w:r>
        <w:rPr>
          <w:spacing w:val="-12"/>
          <w:sz w:val="18"/>
          <w:szCs w:val="18"/>
          <w:lang w:val="es-ES_tradnl"/>
        </w:rPr>
        <w:t>ana Sierra, en sesi</w:t>
      </w:r>
      <w:r>
        <w:rPr>
          <w:rFonts w:cs="Times New Roman"/>
          <w:spacing w:val="-12"/>
          <w:sz w:val="18"/>
          <w:szCs w:val="18"/>
          <w:lang w:val="es-ES_tradnl"/>
        </w:rPr>
        <w:t>ó</w:t>
      </w:r>
      <w:r>
        <w:rPr>
          <w:spacing w:val="-12"/>
          <w:sz w:val="18"/>
          <w:szCs w:val="18"/>
          <w:lang w:val="es-ES_tradnl"/>
        </w:rPr>
        <w:t xml:space="preserve">n de 26 de agosto del 2015. </w:t>
      </w:r>
      <w:r>
        <w:rPr>
          <w:sz w:val="18"/>
          <w:szCs w:val="18"/>
          <w:lang w:val="es-ES_tradnl"/>
        </w:rPr>
        <w:t>Lo certifico.</w:t>
      </w:r>
    </w:p>
    <w:p w14:paraId="4F67B9CF" w14:textId="77777777" w:rsidR="00591D54" w:rsidRDefault="00591D54">
      <w:pPr>
        <w:shd w:val="clear" w:color="auto" w:fill="FFFFFF"/>
        <w:spacing w:before="187"/>
      </w:pPr>
      <w:r>
        <w:rPr>
          <w:spacing w:val="-4"/>
          <w:sz w:val="18"/>
          <w:szCs w:val="18"/>
          <w:lang w:val="es-ES_tradnl"/>
        </w:rPr>
        <w:t>f.) Pa</w:t>
      </w:r>
      <w:r>
        <w:rPr>
          <w:rFonts w:cs="Times New Roman"/>
          <w:spacing w:val="-4"/>
          <w:sz w:val="18"/>
          <w:szCs w:val="18"/>
          <w:lang w:val="es-ES_tradnl"/>
        </w:rPr>
        <w:t>ú</w:t>
      </w:r>
      <w:r>
        <w:rPr>
          <w:spacing w:val="-4"/>
          <w:sz w:val="18"/>
          <w:szCs w:val="18"/>
          <w:lang w:val="es-ES_tradnl"/>
        </w:rPr>
        <w:t xml:space="preserve">l Prado Chiriboga, </w:t>
      </w:r>
      <w:r>
        <w:rPr>
          <w:b/>
          <w:bCs/>
          <w:spacing w:val="-4"/>
          <w:sz w:val="18"/>
          <w:szCs w:val="18"/>
          <w:lang w:val="es-ES_tradnl"/>
        </w:rPr>
        <w:t>SECRETARIO GENERAL (E).</w:t>
      </w:r>
    </w:p>
    <w:p w14:paraId="4F67B9D0" w14:textId="77777777" w:rsidR="00591D54" w:rsidRDefault="00591D54">
      <w:pPr>
        <w:shd w:val="clear" w:color="auto" w:fill="FFFFFF"/>
        <w:spacing w:before="192"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9D1" w14:textId="77777777" w:rsidR="00591D54" w:rsidRDefault="00591D54">
      <w:pPr>
        <w:shd w:val="clear" w:color="auto" w:fill="FFFFFF"/>
        <w:spacing w:before="192"/>
      </w:pPr>
      <w:r>
        <w:rPr>
          <w:b/>
          <w:bCs/>
          <w:spacing w:val="-6"/>
          <w:sz w:val="18"/>
          <w:szCs w:val="18"/>
          <w:u w:val="single"/>
          <w:lang w:val="es-ES_tradnl"/>
        </w:rPr>
        <w:t>CASO Nro. 2217-11-EP</w:t>
      </w:r>
    </w:p>
    <w:p w14:paraId="4F67B9D2" w14:textId="77777777" w:rsidR="00591D54" w:rsidRDefault="00591D54">
      <w:pPr>
        <w:shd w:val="clear" w:color="auto" w:fill="FFFFFF"/>
        <w:spacing w:before="192" w:line="216" w:lineRule="exact"/>
        <w:ind w:right="5"/>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w:t>
      </w:r>
      <w:r>
        <w:rPr>
          <w:spacing w:val="-7"/>
          <w:sz w:val="18"/>
          <w:szCs w:val="18"/>
          <w:lang w:val="es-ES_tradnl"/>
        </w:rPr>
        <w:t>suscrita por el Juez Patricio Pazmi</w:t>
      </w:r>
      <w:r>
        <w:rPr>
          <w:rFonts w:cs="Times New Roman"/>
          <w:spacing w:val="-7"/>
          <w:sz w:val="18"/>
          <w:szCs w:val="18"/>
          <w:lang w:val="es-ES_tradnl"/>
        </w:rPr>
        <w:t>ñ</w:t>
      </w:r>
      <w:r>
        <w:rPr>
          <w:spacing w:val="-7"/>
          <w:sz w:val="18"/>
          <w:szCs w:val="18"/>
          <w:lang w:val="es-ES_tradnl"/>
        </w:rPr>
        <w:t>o Freire, Presidente de la Corte Constitucional, el d</w:t>
      </w:r>
      <w:r>
        <w:rPr>
          <w:rFonts w:cs="Times New Roman"/>
          <w:spacing w:val="-7"/>
          <w:sz w:val="18"/>
          <w:szCs w:val="18"/>
          <w:lang w:val="es-ES_tradnl"/>
        </w:rPr>
        <w:t>í</w:t>
      </w:r>
      <w:r>
        <w:rPr>
          <w:spacing w:val="-7"/>
          <w:sz w:val="18"/>
          <w:szCs w:val="18"/>
          <w:lang w:val="es-ES_tradnl"/>
        </w:rPr>
        <w:t xml:space="preserve">a lunes 07 de septiembre del </w:t>
      </w:r>
      <w:r>
        <w:rPr>
          <w:sz w:val="18"/>
          <w:szCs w:val="18"/>
          <w:lang w:val="es-ES_tradnl"/>
        </w:rPr>
        <w:t>dos mil quince.- Lo certifico.</w:t>
      </w:r>
    </w:p>
    <w:p w14:paraId="4F67B9D3" w14:textId="77777777" w:rsidR="00591D54" w:rsidRDefault="00591D54">
      <w:pPr>
        <w:shd w:val="clear" w:color="auto" w:fill="FFFFFF"/>
        <w:spacing w:before="192"/>
      </w:pPr>
      <w:r>
        <w:rPr>
          <w:spacing w:val="-4"/>
          <w:sz w:val="18"/>
          <w:szCs w:val="18"/>
          <w:lang w:val="es-ES_tradnl"/>
        </w:rPr>
        <w:t xml:space="preserve">f.) Jaime Pozo Chamorro, </w:t>
      </w:r>
      <w:r>
        <w:rPr>
          <w:b/>
          <w:bCs/>
          <w:spacing w:val="-4"/>
          <w:sz w:val="18"/>
          <w:szCs w:val="18"/>
          <w:lang w:val="es-ES_tradnl"/>
        </w:rPr>
        <w:t>SECRETARIO GENERAL.</w:t>
      </w:r>
    </w:p>
    <w:p w14:paraId="4F67B9D4" w14:textId="77777777" w:rsidR="00591D54" w:rsidRDefault="00591D54">
      <w:pPr>
        <w:shd w:val="clear" w:color="auto" w:fill="FFFFFF"/>
        <w:spacing w:before="192"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9D5" w14:textId="77777777" w:rsidR="00591D54" w:rsidRDefault="00591D54">
      <w:pPr>
        <w:shd w:val="clear" w:color="auto" w:fill="FFFFFF"/>
        <w:spacing w:before="1070" w:line="422" w:lineRule="exact"/>
      </w:pPr>
      <w:r>
        <w:rPr>
          <w:spacing w:val="-7"/>
          <w:sz w:val="18"/>
          <w:szCs w:val="18"/>
          <w:lang w:val="es-ES_tradnl"/>
        </w:rPr>
        <w:t>Quito, D. M., 26 de agosto de 2015</w:t>
      </w:r>
    </w:p>
    <w:p w14:paraId="4F67B9D6" w14:textId="77777777" w:rsidR="00591D54" w:rsidRDefault="00591D54">
      <w:pPr>
        <w:shd w:val="clear" w:color="auto" w:fill="FFFFFF"/>
        <w:spacing w:line="422" w:lineRule="exact"/>
        <w:ind w:left="850"/>
      </w:pPr>
      <w:r>
        <w:rPr>
          <w:b/>
          <w:bCs/>
          <w:spacing w:val="-3"/>
          <w:sz w:val="18"/>
          <w:szCs w:val="18"/>
          <w:u w:val="single"/>
          <w:lang w:val="es-ES_tradnl"/>
        </w:rPr>
        <w:t>SENTENCIA N.</w:t>
      </w:r>
      <w:r>
        <w:rPr>
          <w:rFonts w:cs="Times New Roman"/>
          <w:b/>
          <w:bCs/>
          <w:spacing w:val="-3"/>
          <w:sz w:val="18"/>
          <w:szCs w:val="18"/>
          <w:u w:val="single"/>
          <w:lang w:val="es-ES_tradnl"/>
        </w:rPr>
        <w:t>º</w:t>
      </w:r>
      <w:r>
        <w:rPr>
          <w:b/>
          <w:bCs/>
          <w:spacing w:val="-3"/>
          <w:sz w:val="18"/>
          <w:szCs w:val="18"/>
          <w:u w:val="single"/>
          <w:lang w:val="es-ES_tradnl"/>
        </w:rPr>
        <w:t xml:space="preserve"> 281-15-SEP-CC</w:t>
      </w:r>
    </w:p>
    <w:p w14:paraId="4F67B9D7" w14:textId="77777777" w:rsidR="00591D54" w:rsidRDefault="00591D54">
      <w:pPr>
        <w:shd w:val="clear" w:color="auto" w:fill="FFFFFF"/>
        <w:spacing w:line="422" w:lineRule="exact"/>
        <w:ind w:left="1296"/>
      </w:pPr>
      <w:r>
        <w:rPr>
          <w:b/>
          <w:bCs/>
          <w:spacing w:val="-6"/>
          <w:sz w:val="18"/>
          <w:szCs w:val="18"/>
          <w:u w:val="single"/>
          <w:lang w:val="es-ES_tradnl"/>
        </w:rPr>
        <w:t>CASO N.</w:t>
      </w:r>
      <w:r>
        <w:rPr>
          <w:rFonts w:cs="Times New Roman"/>
          <w:b/>
          <w:bCs/>
          <w:spacing w:val="-6"/>
          <w:sz w:val="18"/>
          <w:szCs w:val="18"/>
          <w:u w:val="single"/>
          <w:lang w:val="es-ES_tradnl"/>
        </w:rPr>
        <w:t>º</w:t>
      </w:r>
      <w:r>
        <w:rPr>
          <w:b/>
          <w:bCs/>
          <w:spacing w:val="-6"/>
          <w:sz w:val="18"/>
          <w:szCs w:val="18"/>
          <w:u w:val="single"/>
          <w:lang w:val="es-ES_tradnl"/>
        </w:rPr>
        <w:t xml:space="preserve"> 1895-11-EP</w:t>
      </w:r>
    </w:p>
    <w:p w14:paraId="4F67B9D8" w14:textId="77777777" w:rsidR="00591D54" w:rsidRDefault="00591D54">
      <w:pPr>
        <w:shd w:val="clear" w:color="auto" w:fill="FFFFFF"/>
        <w:spacing w:line="422" w:lineRule="exact"/>
        <w:ind w:left="293"/>
      </w:pPr>
      <w:r>
        <w:rPr>
          <w:b/>
          <w:bCs/>
          <w:sz w:val="18"/>
          <w:szCs w:val="18"/>
          <w:lang w:val="es-ES_tradnl"/>
        </w:rPr>
        <w:t>CORTE CONSTITUCIONAL DEL ECUADOR</w:t>
      </w:r>
    </w:p>
    <w:p w14:paraId="4F67B9D9" w14:textId="77777777" w:rsidR="00591D54" w:rsidRDefault="00591D54">
      <w:pPr>
        <w:shd w:val="clear" w:color="auto" w:fill="FFFFFF"/>
        <w:spacing w:line="422" w:lineRule="exact"/>
        <w:ind w:left="1080"/>
      </w:pPr>
      <w:r>
        <w:rPr>
          <w:b/>
          <w:bCs/>
          <w:sz w:val="18"/>
          <w:szCs w:val="18"/>
          <w:lang w:val="es-ES_tradnl"/>
        </w:rPr>
        <w:t>I. ANTECEDENTES</w:t>
      </w:r>
    </w:p>
    <w:p w14:paraId="4F67B9DA" w14:textId="77777777" w:rsidR="00591D54" w:rsidRDefault="00591D54">
      <w:pPr>
        <w:shd w:val="clear" w:color="auto" w:fill="FFFFFF"/>
        <w:spacing w:line="422" w:lineRule="exact"/>
      </w:pPr>
      <w:r>
        <w:rPr>
          <w:b/>
          <w:bCs/>
          <w:spacing w:val="-9"/>
          <w:sz w:val="18"/>
          <w:szCs w:val="18"/>
          <w:lang w:val="es-ES_tradnl"/>
        </w:rPr>
        <w:t>Resumen de admisibilidad</w:t>
      </w:r>
    </w:p>
    <w:p w14:paraId="4F67B9DB" w14:textId="77777777" w:rsidR="00591D54" w:rsidRDefault="00591D54">
      <w:pPr>
        <w:shd w:val="clear" w:color="auto" w:fill="FFFFFF"/>
        <w:spacing w:before="158" w:line="206" w:lineRule="exact"/>
        <w:ind w:right="5"/>
        <w:jc w:val="both"/>
      </w:pPr>
      <w:r>
        <w:rPr>
          <w:spacing w:val="-4"/>
          <w:sz w:val="18"/>
          <w:szCs w:val="18"/>
          <w:lang w:val="es-ES_tradnl"/>
        </w:rPr>
        <w:t xml:space="preserve">Comparece el economista Marco Chango Jacho y la </w:t>
      </w:r>
      <w:r>
        <w:rPr>
          <w:spacing w:val="-3"/>
          <w:sz w:val="18"/>
          <w:szCs w:val="18"/>
          <w:lang w:val="es-ES_tradnl"/>
        </w:rPr>
        <w:t>abogada Martha Le</w:t>
      </w:r>
      <w:r>
        <w:rPr>
          <w:rFonts w:cs="Times New Roman"/>
          <w:spacing w:val="-3"/>
          <w:sz w:val="18"/>
          <w:szCs w:val="18"/>
          <w:lang w:val="es-ES_tradnl"/>
        </w:rPr>
        <w:t>ó</w:t>
      </w:r>
      <w:r>
        <w:rPr>
          <w:spacing w:val="-3"/>
          <w:sz w:val="18"/>
          <w:szCs w:val="18"/>
          <w:lang w:val="es-ES_tradnl"/>
        </w:rPr>
        <w:t>n Gonz</w:t>
      </w:r>
      <w:r>
        <w:rPr>
          <w:rFonts w:cs="Times New Roman"/>
          <w:spacing w:val="-3"/>
          <w:sz w:val="18"/>
          <w:szCs w:val="18"/>
          <w:lang w:val="es-ES_tradnl"/>
        </w:rPr>
        <w:t>á</w:t>
      </w:r>
      <w:r>
        <w:rPr>
          <w:spacing w:val="-3"/>
          <w:sz w:val="18"/>
          <w:szCs w:val="18"/>
          <w:lang w:val="es-ES_tradnl"/>
        </w:rPr>
        <w:t xml:space="preserve">lez en sus calidades de </w:t>
      </w:r>
      <w:r>
        <w:rPr>
          <w:spacing w:val="-7"/>
          <w:sz w:val="18"/>
          <w:szCs w:val="18"/>
          <w:lang w:val="es-ES_tradnl"/>
        </w:rPr>
        <w:t>alcalde y procuradora s</w:t>
      </w:r>
      <w:r>
        <w:rPr>
          <w:rFonts w:cs="Times New Roman"/>
          <w:spacing w:val="-7"/>
          <w:sz w:val="18"/>
          <w:szCs w:val="18"/>
          <w:lang w:val="es-ES_tradnl"/>
        </w:rPr>
        <w:t>í</w:t>
      </w:r>
      <w:r>
        <w:rPr>
          <w:spacing w:val="-7"/>
          <w:sz w:val="18"/>
          <w:szCs w:val="18"/>
          <w:lang w:val="es-ES_tradnl"/>
        </w:rPr>
        <w:t>ndica (e) del Gobierno Aut</w:t>
      </w:r>
      <w:r>
        <w:rPr>
          <w:rFonts w:cs="Times New Roman"/>
          <w:spacing w:val="-7"/>
          <w:sz w:val="18"/>
          <w:szCs w:val="18"/>
          <w:lang w:val="es-ES_tradnl"/>
        </w:rPr>
        <w:t>ó</w:t>
      </w:r>
      <w:r>
        <w:rPr>
          <w:spacing w:val="-7"/>
          <w:sz w:val="18"/>
          <w:szCs w:val="18"/>
          <w:lang w:val="es-ES_tradnl"/>
        </w:rPr>
        <w:t xml:space="preserve">nomo </w:t>
      </w:r>
      <w:r>
        <w:rPr>
          <w:spacing w:val="-6"/>
          <w:sz w:val="18"/>
          <w:szCs w:val="18"/>
          <w:lang w:val="es-ES_tradnl"/>
        </w:rPr>
        <w:t>Descentralizado del cant</w:t>
      </w:r>
      <w:r>
        <w:rPr>
          <w:rFonts w:cs="Times New Roman"/>
          <w:spacing w:val="-6"/>
          <w:sz w:val="18"/>
          <w:szCs w:val="18"/>
          <w:lang w:val="es-ES_tradnl"/>
        </w:rPr>
        <w:t>ó</w:t>
      </w:r>
      <w:r>
        <w:rPr>
          <w:spacing w:val="-6"/>
          <w:sz w:val="18"/>
          <w:szCs w:val="18"/>
          <w:lang w:val="es-ES_tradnl"/>
        </w:rPr>
        <w:t xml:space="preserve">n La Libertad, respectivamente, </w:t>
      </w:r>
      <w:r>
        <w:rPr>
          <w:spacing w:val="-7"/>
          <w:sz w:val="18"/>
          <w:szCs w:val="18"/>
          <w:lang w:val="es-ES_tradnl"/>
        </w:rPr>
        <w:t>y presentan acci</w:t>
      </w:r>
      <w:r>
        <w:rPr>
          <w:rFonts w:cs="Times New Roman"/>
          <w:spacing w:val="-7"/>
          <w:sz w:val="18"/>
          <w:szCs w:val="18"/>
          <w:lang w:val="es-ES_tradnl"/>
        </w:rPr>
        <w:t>ó</w:t>
      </w:r>
      <w:r>
        <w:rPr>
          <w:spacing w:val="-7"/>
          <w:sz w:val="18"/>
          <w:szCs w:val="18"/>
          <w:lang w:val="es-ES_tradnl"/>
        </w:rPr>
        <w:t>n extraordinaria de protecci</w:t>
      </w:r>
      <w:r>
        <w:rPr>
          <w:rFonts w:cs="Times New Roman"/>
          <w:spacing w:val="-7"/>
          <w:sz w:val="18"/>
          <w:szCs w:val="18"/>
          <w:lang w:val="es-ES_tradnl"/>
        </w:rPr>
        <w:t>ó</w:t>
      </w:r>
      <w:r>
        <w:rPr>
          <w:spacing w:val="-7"/>
          <w:sz w:val="18"/>
          <w:szCs w:val="18"/>
          <w:lang w:val="es-ES_tradnl"/>
        </w:rPr>
        <w:t xml:space="preserve">n en contra </w:t>
      </w:r>
      <w:r>
        <w:rPr>
          <w:spacing w:val="-10"/>
          <w:sz w:val="18"/>
          <w:szCs w:val="18"/>
          <w:lang w:val="es-ES_tradnl"/>
        </w:rPr>
        <w:t xml:space="preserve">de la sentencia dictada el 31 de agosto de 2011 a las 17h21, </w:t>
      </w:r>
      <w:r>
        <w:rPr>
          <w:spacing w:val="-6"/>
          <w:sz w:val="18"/>
          <w:szCs w:val="18"/>
          <w:lang w:val="es-ES_tradnl"/>
        </w:rPr>
        <w:t xml:space="preserve">por los jueces de la Sala </w:t>
      </w:r>
      <w:r>
        <w:rPr>
          <w:rFonts w:cs="Times New Roman"/>
          <w:spacing w:val="-6"/>
          <w:sz w:val="18"/>
          <w:szCs w:val="18"/>
          <w:lang w:val="es-ES_tradnl"/>
        </w:rPr>
        <w:t>Ú</w:t>
      </w:r>
      <w:r>
        <w:rPr>
          <w:spacing w:val="-6"/>
          <w:sz w:val="18"/>
          <w:szCs w:val="18"/>
          <w:lang w:val="es-ES_tradnl"/>
        </w:rPr>
        <w:t xml:space="preserve">nica de la Corte Provincial de </w:t>
      </w:r>
      <w:r>
        <w:rPr>
          <w:spacing w:val="-7"/>
          <w:sz w:val="18"/>
          <w:szCs w:val="18"/>
          <w:lang w:val="es-ES_tradnl"/>
        </w:rPr>
        <w:t>Justicia de Santa Elena, dentro de la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 xml:space="preserve">n </w:t>
      </w:r>
      <w:r>
        <w:rPr>
          <w:sz w:val="18"/>
          <w:szCs w:val="18"/>
          <w:lang w:val="es-ES_tradnl"/>
        </w:rPr>
        <w:t>N.</w:t>
      </w:r>
      <w:r>
        <w:rPr>
          <w:rFonts w:cs="Times New Roman"/>
          <w:sz w:val="18"/>
          <w:szCs w:val="18"/>
          <w:lang w:val="es-ES_tradnl"/>
        </w:rPr>
        <w:t>º</w:t>
      </w:r>
      <w:r>
        <w:rPr>
          <w:sz w:val="18"/>
          <w:szCs w:val="18"/>
          <w:lang w:val="es-ES_tradnl"/>
        </w:rPr>
        <w:t xml:space="preserve"> 368-2010-2.</w:t>
      </w:r>
    </w:p>
    <w:p w14:paraId="4F67B9DC" w14:textId="77777777" w:rsidR="00591D54" w:rsidRDefault="00591D54">
      <w:pPr>
        <w:shd w:val="clear" w:color="auto" w:fill="FFFFFF"/>
        <w:spacing w:before="187" w:line="206" w:lineRule="exact"/>
        <w:ind w:right="5"/>
        <w:jc w:val="both"/>
      </w:pPr>
      <w:r>
        <w:rPr>
          <w:spacing w:val="-6"/>
          <w:sz w:val="18"/>
          <w:szCs w:val="18"/>
          <w:lang w:val="es-ES_tradnl"/>
        </w:rPr>
        <w:t>La Secretar</w:t>
      </w:r>
      <w:r>
        <w:rPr>
          <w:rFonts w:cs="Times New Roman"/>
          <w:spacing w:val="-6"/>
          <w:sz w:val="18"/>
          <w:szCs w:val="18"/>
          <w:lang w:val="es-ES_tradnl"/>
        </w:rPr>
        <w:t>í</w:t>
      </w:r>
      <w:r>
        <w:rPr>
          <w:spacing w:val="-6"/>
          <w:sz w:val="18"/>
          <w:szCs w:val="18"/>
          <w:lang w:val="es-ES_tradnl"/>
        </w:rPr>
        <w:t xml:space="preserve">a General de la Corte Constitucional de conformidad con lo establecido en el segundo inciso del </w:t>
      </w:r>
      <w:r>
        <w:rPr>
          <w:spacing w:val="-7"/>
          <w:sz w:val="18"/>
          <w:szCs w:val="18"/>
          <w:lang w:val="es-ES_tradnl"/>
        </w:rPr>
        <w:t>art</w:t>
      </w:r>
      <w:r>
        <w:rPr>
          <w:rFonts w:cs="Times New Roman"/>
          <w:spacing w:val="-7"/>
          <w:sz w:val="18"/>
          <w:szCs w:val="18"/>
          <w:lang w:val="es-ES_tradnl"/>
        </w:rPr>
        <w:t>í</w:t>
      </w:r>
      <w:r>
        <w:rPr>
          <w:spacing w:val="-7"/>
          <w:sz w:val="18"/>
          <w:szCs w:val="18"/>
          <w:lang w:val="es-ES_tradnl"/>
        </w:rPr>
        <w:t>culo 17 del Reglamento de Sustanciaci</w:t>
      </w:r>
      <w:r>
        <w:rPr>
          <w:rFonts w:cs="Times New Roman"/>
          <w:spacing w:val="-7"/>
          <w:sz w:val="18"/>
          <w:szCs w:val="18"/>
          <w:lang w:val="es-ES_tradnl"/>
        </w:rPr>
        <w:t>ó</w:t>
      </w:r>
      <w:r>
        <w:rPr>
          <w:spacing w:val="-7"/>
          <w:sz w:val="18"/>
          <w:szCs w:val="18"/>
          <w:lang w:val="es-ES_tradnl"/>
        </w:rPr>
        <w:t xml:space="preserve">n de Procesos </w:t>
      </w:r>
      <w:r>
        <w:rPr>
          <w:spacing w:val="-10"/>
          <w:sz w:val="18"/>
          <w:szCs w:val="18"/>
          <w:lang w:val="es-ES_tradnl"/>
        </w:rPr>
        <w:t xml:space="preserve">de Competencia de la Corte Constitucional, el 25 de octubre </w:t>
      </w:r>
      <w:r>
        <w:rPr>
          <w:spacing w:val="-12"/>
          <w:sz w:val="18"/>
          <w:szCs w:val="18"/>
          <w:lang w:val="es-ES_tradnl"/>
        </w:rPr>
        <w:t>de 2011, certific</w:t>
      </w:r>
      <w:r>
        <w:rPr>
          <w:rFonts w:cs="Times New Roman"/>
          <w:spacing w:val="-12"/>
          <w:sz w:val="18"/>
          <w:szCs w:val="18"/>
          <w:lang w:val="es-ES_tradnl"/>
        </w:rPr>
        <w:t>ó</w:t>
      </w:r>
      <w:r>
        <w:rPr>
          <w:spacing w:val="-12"/>
          <w:sz w:val="18"/>
          <w:szCs w:val="18"/>
          <w:lang w:val="es-ES_tradnl"/>
        </w:rPr>
        <w:t xml:space="preserve"> que no se ha presentado otra demanda con </w:t>
      </w:r>
      <w:r>
        <w:rPr>
          <w:sz w:val="18"/>
          <w:szCs w:val="18"/>
          <w:lang w:val="es-ES_tradnl"/>
        </w:rPr>
        <w:t>identidad de objeto y acci</w:t>
      </w:r>
      <w:r>
        <w:rPr>
          <w:rFonts w:cs="Times New Roman"/>
          <w:sz w:val="18"/>
          <w:szCs w:val="18"/>
          <w:lang w:val="es-ES_tradnl"/>
        </w:rPr>
        <w:t>ó</w:t>
      </w:r>
      <w:r>
        <w:rPr>
          <w:sz w:val="18"/>
          <w:szCs w:val="18"/>
          <w:lang w:val="es-ES_tradnl"/>
        </w:rPr>
        <w:t>n.</w:t>
      </w:r>
    </w:p>
    <w:p w14:paraId="4F67B9DD" w14:textId="77777777" w:rsidR="00591D54" w:rsidRDefault="00591D54">
      <w:pPr>
        <w:shd w:val="clear" w:color="auto" w:fill="FFFFFF"/>
        <w:spacing w:before="5" w:line="216" w:lineRule="exact"/>
        <w:jc w:val="both"/>
      </w:pPr>
      <w:r>
        <w:br w:type="column"/>
      </w:r>
      <w:r>
        <w:rPr>
          <w:sz w:val="18"/>
          <w:szCs w:val="18"/>
          <w:lang w:val="es-ES_tradnl"/>
        </w:rPr>
        <w:t>La Sala de Admisi</w:t>
      </w:r>
      <w:r>
        <w:rPr>
          <w:rFonts w:cs="Times New Roman"/>
          <w:sz w:val="18"/>
          <w:szCs w:val="18"/>
          <w:lang w:val="es-ES_tradnl"/>
        </w:rPr>
        <w:t>ó</w:t>
      </w:r>
      <w:r>
        <w:rPr>
          <w:sz w:val="18"/>
          <w:szCs w:val="18"/>
          <w:lang w:val="es-ES_tradnl"/>
        </w:rPr>
        <w:t xml:space="preserve">n, integrada por los jueces </w:t>
      </w:r>
      <w:r>
        <w:rPr>
          <w:spacing w:val="-8"/>
          <w:sz w:val="18"/>
          <w:szCs w:val="18"/>
          <w:lang w:val="es-ES_tradnl"/>
        </w:rPr>
        <w:t>constitucionales de la Corte Constitucional, para el per</w:t>
      </w:r>
      <w:r>
        <w:rPr>
          <w:rFonts w:cs="Times New Roman"/>
          <w:spacing w:val="-8"/>
          <w:sz w:val="18"/>
          <w:szCs w:val="18"/>
          <w:lang w:val="es-ES_tradnl"/>
        </w:rPr>
        <w:t>í</w:t>
      </w:r>
      <w:r>
        <w:rPr>
          <w:spacing w:val="-8"/>
          <w:sz w:val="18"/>
          <w:szCs w:val="18"/>
          <w:lang w:val="es-ES_tradnl"/>
        </w:rPr>
        <w:t xml:space="preserve">odo </w:t>
      </w:r>
      <w:r>
        <w:rPr>
          <w:spacing w:val="-3"/>
          <w:sz w:val="18"/>
          <w:szCs w:val="18"/>
          <w:lang w:val="es-ES_tradnl"/>
        </w:rPr>
        <w:t>de transici</w:t>
      </w:r>
      <w:r>
        <w:rPr>
          <w:rFonts w:cs="Times New Roman"/>
          <w:spacing w:val="-3"/>
          <w:sz w:val="18"/>
          <w:szCs w:val="18"/>
          <w:lang w:val="es-ES_tradnl"/>
        </w:rPr>
        <w:t>ó</w:t>
      </w:r>
      <w:r>
        <w:rPr>
          <w:spacing w:val="-3"/>
          <w:sz w:val="18"/>
          <w:szCs w:val="18"/>
          <w:lang w:val="es-ES_tradnl"/>
        </w:rPr>
        <w:t xml:space="preserve">n, Nina Pacari Vega, Alfonso Luz Yunes y </w:t>
      </w:r>
      <w:r>
        <w:rPr>
          <w:spacing w:val="-4"/>
          <w:sz w:val="18"/>
          <w:szCs w:val="18"/>
          <w:lang w:val="es-ES_tradnl"/>
        </w:rPr>
        <w:t>Patricio Pazmi</w:t>
      </w:r>
      <w:r>
        <w:rPr>
          <w:rFonts w:cs="Times New Roman"/>
          <w:spacing w:val="-4"/>
          <w:sz w:val="18"/>
          <w:szCs w:val="18"/>
          <w:lang w:val="es-ES_tradnl"/>
        </w:rPr>
        <w:t>ñ</w:t>
      </w:r>
      <w:r>
        <w:rPr>
          <w:spacing w:val="-4"/>
          <w:sz w:val="18"/>
          <w:szCs w:val="18"/>
          <w:lang w:val="es-ES_tradnl"/>
        </w:rPr>
        <w:t xml:space="preserve">o Freire en ejercicio de su competencia, </w:t>
      </w:r>
      <w:r>
        <w:rPr>
          <w:spacing w:val="-1"/>
          <w:sz w:val="18"/>
          <w:szCs w:val="18"/>
          <w:lang w:val="es-ES_tradnl"/>
        </w:rPr>
        <w:t>el 29 de noviembre de 2011, avoc</w:t>
      </w:r>
      <w:r>
        <w:rPr>
          <w:rFonts w:cs="Times New Roman"/>
          <w:spacing w:val="-1"/>
          <w:sz w:val="18"/>
          <w:szCs w:val="18"/>
          <w:lang w:val="es-ES_tradnl"/>
        </w:rPr>
        <w:t>ó</w:t>
      </w:r>
      <w:r>
        <w:rPr>
          <w:spacing w:val="-1"/>
          <w:sz w:val="18"/>
          <w:szCs w:val="18"/>
          <w:lang w:val="es-ES_tradnl"/>
        </w:rPr>
        <w:t xml:space="preserve"> conocimiento y </w:t>
      </w:r>
      <w:r>
        <w:rPr>
          <w:spacing w:val="-3"/>
          <w:sz w:val="18"/>
          <w:szCs w:val="18"/>
          <w:lang w:val="es-ES_tradnl"/>
        </w:rPr>
        <w:t>admiti</w:t>
      </w:r>
      <w:r>
        <w:rPr>
          <w:rFonts w:cs="Times New Roman"/>
          <w:spacing w:val="-3"/>
          <w:sz w:val="18"/>
          <w:szCs w:val="18"/>
          <w:lang w:val="es-ES_tradnl"/>
        </w:rPr>
        <w:t>ó</w:t>
      </w:r>
      <w:r>
        <w:rPr>
          <w:spacing w:val="-3"/>
          <w:sz w:val="18"/>
          <w:szCs w:val="18"/>
          <w:lang w:val="es-ES_tradnl"/>
        </w:rPr>
        <w:t xml:space="preserve"> a tr</w:t>
      </w:r>
      <w:r>
        <w:rPr>
          <w:rFonts w:cs="Times New Roman"/>
          <w:spacing w:val="-3"/>
          <w:sz w:val="18"/>
          <w:szCs w:val="18"/>
          <w:lang w:val="es-ES_tradnl"/>
        </w:rPr>
        <w:t>á</w:t>
      </w:r>
      <w:r>
        <w:rPr>
          <w:spacing w:val="-3"/>
          <w:sz w:val="18"/>
          <w:szCs w:val="18"/>
          <w:lang w:val="es-ES_tradnl"/>
        </w:rPr>
        <w:t>mite la acci</w:t>
      </w:r>
      <w:r>
        <w:rPr>
          <w:rFonts w:cs="Times New Roman"/>
          <w:spacing w:val="-3"/>
          <w:sz w:val="18"/>
          <w:szCs w:val="18"/>
          <w:lang w:val="es-ES_tradnl"/>
        </w:rPr>
        <w:t>ó</w:t>
      </w:r>
      <w:r>
        <w:rPr>
          <w:spacing w:val="-3"/>
          <w:sz w:val="18"/>
          <w:szCs w:val="18"/>
          <w:lang w:val="es-ES_tradnl"/>
        </w:rPr>
        <w:t>n extraordinaria de protecci</w:t>
      </w:r>
      <w:r>
        <w:rPr>
          <w:rFonts w:cs="Times New Roman"/>
          <w:spacing w:val="-3"/>
          <w:sz w:val="18"/>
          <w:szCs w:val="18"/>
          <w:lang w:val="es-ES_tradnl"/>
        </w:rPr>
        <w:t>ó</w:t>
      </w:r>
      <w:r>
        <w:rPr>
          <w:spacing w:val="-3"/>
          <w:sz w:val="18"/>
          <w:szCs w:val="18"/>
          <w:lang w:val="es-ES_tradnl"/>
        </w:rPr>
        <w:t>n N.</w:t>
      </w:r>
      <w:r>
        <w:rPr>
          <w:rFonts w:cs="Times New Roman"/>
          <w:spacing w:val="-3"/>
          <w:sz w:val="18"/>
          <w:szCs w:val="18"/>
          <w:lang w:val="es-ES_tradnl"/>
        </w:rPr>
        <w:t>º</w:t>
      </w:r>
      <w:r>
        <w:rPr>
          <w:spacing w:val="-3"/>
          <w:sz w:val="18"/>
          <w:szCs w:val="18"/>
          <w:lang w:val="es-ES_tradnl"/>
        </w:rPr>
        <w:t xml:space="preserve"> 1895-11-EP, conforme a lo previsto en los art</w:t>
      </w:r>
      <w:r>
        <w:rPr>
          <w:rFonts w:cs="Times New Roman"/>
          <w:spacing w:val="-3"/>
          <w:sz w:val="18"/>
          <w:szCs w:val="18"/>
          <w:lang w:val="es-ES_tradnl"/>
        </w:rPr>
        <w:t>í</w:t>
      </w:r>
      <w:r>
        <w:rPr>
          <w:spacing w:val="-3"/>
          <w:sz w:val="18"/>
          <w:szCs w:val="18"/>
          <w:lang w:val="es-ES_tradnl"/>
        </w:rPr>
        <w:t xml:space="preserve">culos </w:t>
      </w:r>
      <w:r>
        <w:rPr>
          <w:spacing w:val="-4"/>
          <w:sz w:val="18"/>
          <w:szCs w:val="18"/>
          <w:lang w:val="es-ES_tradnl"/>
        </w:rPr>
        <w:t>94 y 437 de la Constituci</w:t>
      </w:r>
      <w:r>
        <w:rPr>
          <w:rFonts w:cs="Times New Roman"/>
          <w:spacing w:val="-4"/>
          <w:sz w:val="18"/>
          <w:szCs w:val="18"/>
          <w:lang w:val="es-ES_tradnl"/>
        </w:rPr>
        <w:t>ó</w:t>
      </w:r>
      <w:r>
        <w:rPr>
          <w:spacing w:val="-4"/>
          <w:sz w:val="18"/>
          <w:szCs w:val="18"/>
          <w:lang w:val="es-ES_tradnl"/>
        </w:rPr>
        <w:t>n de la Rep</w:t>
      </w:r>
      <w:r>
        <w:rPr>
          <w:rFonts w:cs="Times New Roman"/>
          <w:spacing w:val="-4"/>
          <w:sz w:val="18"/>
          <w:szCs w:val="18"/>
          <w:lang w:val="es-ES_tradnl"/>
        </w:rPr>
        <w:t>ú</w:t>
      </w:r>
      <w:r>
        <w:rPr>
          <w:spacing w:val="-4"/>
          <w:sz w:val="18"/>
          <w:szCs w:val="18"/>
          <w:lang w:val="es-ES_tradnl"/>
        </w:rPr>
        <w:t xml:space="preserve">blica; 60, 61, 62, </w:t>
      </w:r>
      <w:r>
        <w:rPr>
          <w:spacing w:val="-6"/>
          <w:sz w:val="18"/>
          <w:szCs w:val="18"/>
          <w:lang w:val="es-ES_tradnl"/>
        </w:rPr>
        <w:t>197 y la disposici</w:t>
      </w:r>
      <w:r>
        <w:rPr>
          <w:rFonts w:cs="Times New Roman"/>
          <w:spacing w:val="-6"/>
          <w:sz w:val="18"/>
          <w:szCs w:val="18"/>
          <w:lang w:val="es-ES_tradnl"/>
        </w:rPr>
        <w:t>ó</w:t>
      </w:r>
      <w:r>
        <w:rPr>
          <w:spacing w:val="-6"/>
          <w:sz w:val="18"/>
          <w:szCs w:val="18"/>
          <w:lang w:val="es-ES_tradnl"/>
        </w:rPr>
        <w:t>n transitoria tercera de la Ley Org</w:t>
      </w:r>
      <w:r>
        <w:rPr>
          <w:rFonts w:cs="Times New Roman"/>
          <w:spacing w:val="-6"/>
          <w:sz w:val="18"/>
          <w:szCs w:val="18"/>
          <w:lang w:val="es-ES_tradnl"/>
        </w:rPr>
        <w:t>á</w:t>
      </w:r>
      <w:r>
        <w:rPr>
          <w:spacing w:val="-6"/>
          <w:sz w:val="18"/>
          <w:szCs w:val="18"/>
          <w:lang w:val="es-ES_tradnl"/>
        </w:rPr>
        <w:t xml:space="preserve">nica </w:t>
      </w:r>
      <w:r>
        <w:rPr>
          <w:spacing w:val="-3"/>
          <w:sz w:val="18"/>
          <w:szCs w:val="18"/>
          <w:lang w:val="es-ES_tradnl"/>
        </w:rPr>
        <w:t>de Garant</w:t>
      </w:r>
      <w:r>
        <w:rPr>
          <w:rFonts w:cs="Times New Roman"/>
          <w:spacing w:val="-3"/>
          <w:sz w:val="18"/>
          <w:szCs w:val="18"/>
          <w:lang w:val="es-ES_tradnl"/>
        </w:rPr>
        <w:t>í</w:t>
      </w:r>
      <w:r>
        <w:rPr>
          <w:spacing w:val="-3"/>
          <w:sz w:val="18"/>
          <w:szCs w:val="18"/>
          <w:lang w:val="es-ES_tradnl"/>
        </w:rPr>
        <w:t>as Jurisdiccionales y Control Constitucional, en los art</w:t>
      </w:r>
      <w:r>
        <w:rPr>
          <w:rFonts w:cs="Times New Roman"/>
          <w:spacing w:val="-3"/>
          <w:sz w:val="18"/>
          <w:szCs w:val="18"/>
          <w:lang w:val="es-ES_tradnl"/>
        </w:rPr>
        <w:t>í</w:t>
      </w:r>
      <w:r>
        <w:rPr>
          <w:spacing w:val="-3"/>
          <w:sz w:val="18"/>
          <w:szCs w:val="18"/>
          <w:lang w:val="es-ES_tradnl"/>
        </w:rPr>
        <w:t xml:space="preserve">culos 9, 10, 11, 12, 34, 35, 36, 37, 38 y 39 del </w:t>
      </w:r>
      <w:r>
        <w:rPr>
          <w:spacing w:val="-10"/>
          <w:sz w:val="18"/>
          <w:szCs w:val="18"/>
          <w:lang w:val="es-ES_tradnl"/>
        </w:rPr>
        <w:t>Reglamento de Sustanciaci</w:t>
      </w:r>
      <w:r>
        <w:rPr>
          <w:rFonts w:cs="Times New Roman"/>
          <w:spacing w:val="-10"/>
          <w:sz w:val="18"/>
          <w:szCs w:val="18"/>
          <w:lang w:val="es-ES_tradnl"/>
        </w:rPr>
        <w:t>ó</w:t>
      </w:r>
      <w:r>
        <w:rPr>
          <w:spacing w:val="-10"/>
          <w:sz w:val="18"/>
          <w:szCs w:val="18"/>
          <w:lang w:val="es-ES_tradnl"/>
        </w:rPr>
        <w:t xml:space="preserve">n de Procesos de Competencia </w:t>
      </w:r>
      <w:r>
        <w:rPr>
          <w:spacing w:val="-4"/>
          <w:sz w:val="18"/>
          <w:szCs w:val="18"/>
          <w:lang w:val="es-ES_tradnl"/>
        </w:rPr>
        <w:t xml:space="preserve">de la Corte Constitucional y del sorteo efectuado por el </w:t>
      </w:r>
      <w:r>
        <w:rPr>
          <w:spacing w:val="-8"/>
          <w:sz w:val="18"/>
          <w:szCs w:val="18"/>
          <w:lang w:val="es-ES_tradnl"/>
        </w:rPr>
        <w:t>Pleno de la Corte Constitucional, en sesi</w:t>
      </w:r>
      <w:r>
        <w:rPr>
          <w:rFonts w:cs="Times New Roman"/>
          <w:spacing w:val="-8"/>
          <w:sz w:val="18"/>
          <w:szCs w:val="18"/>
          <w:lang w:val="es-ES_tradnl"/>
        </w:rPr>
        <w:t>ó</w:t>
      </w:r>
      <w:r>
        <w:rPr>
          <w:spacing w:val="-8"/>
          <w:sz w:val="18"/>
          <w:szCs w:val="18"/>
          <w:lang w:val="es-ES_tradnl"/>
        </w:rPr>
        <w:t xml:space="preserve">n del 26 de mayo </w:t>
      </w:r>
      <w:r>
        <w:rPr>
          <w:sz w:val="18"/>
          <w:szCs w:val="18"/>
          <w:lang w:val="es-ES_tradnl"/>
        </w:rPr>
        <w:t>de 2011.</w:t>
      </w:r>
    </w:p>
    <w:p w14:paraId="4F67B9DE" w14:textId="77777777" w:rsidR="00591D54" w:rsidRDefault="00591D54">
      <w:pPr>
        <w:shd w:val="clear" w:color="auto" w:fill="FFFFFF"/>
        <w:spacing w:before="197" w:line="216" w:lineRule="exact"/>
        <w:jc w:val="both"/>
      </w:pPr>
      <w:r>
        <w:rPr>
          <w:spacing w:val="-8"/>
          <w:sz w:val="18"/>
          <w:szCs w:val="18"/>
          <w:lang w:val="es-ES_tradnl"/>
        </w:rPr>
        <w:t xml:space="preserve">El 6 de noviembre de 2012, se posesionaron ante el Pleno </w:t>
      </w:r>
      <w:r>
        <w:rPr>
          <w:spacing w:val="-7"/>
          <w:sz w:val="18"/>
          <w:szCs w:val="18"/>
          <w:lang w:val="es-ES_tradnl"/>
        </w:rPr>
        <w:t xml:space="preserve">de la Asamblea Nacional los jueces de la Primera Corte </w:t>
      </w:r>
      <w:r>
        <w:rPr>
          <w:spacing w:val="-6"/>
          <w:sz w:val="18"/>
          <w:szCs w:val="18"/>
          <w:lang w:val="es-ES_tradnl"/>
        </w:rPr>
        <w:t>Constitucional, integrada conforme lo dispuesto en los art</w:t>
      </w:r>
      <w:r>
        <w:rPr>
          <w:rFonts w:cs="Times New Roman"/>
          <w:spacing w:val="-6"/>
          <w:sz w:val="18"/>
          <w:szCs w:val="18"/>
          <w:lang w:val="es-ES_tradnl"/>
        </w:rPr>
        <w:t>í</w:t>
      </w:r>
      <w:r>
        <w:rPr>
          <w:spacing w:val="-6"/>
          <w:sz w:val="18"/>
          <w:szCs w:val="18"/>
          <w:lang w:val="es-ES_tradnl"/>
        </w:rPr>
        <w:t>culos 432 y 434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w:t>
      </w:r>
    </w:p>
    <w:p w14:paraId="4F67B9DF" w14:textId="77777777" w:rsidR="00591D54" w:rsidRDefault="00591D54">
      <w:pPr>
        <w:shd w:val="clear" w:color="auto" w:fill="FFFFFF"/>
        <w:spacing w:before="197" w:line="216" w:lineRule="exact"/>
        <w:jc w:val="both"/>
      </w:pPr>
      <w:r>
        <w:rPr>
          <w:spacing w:val="-7"/>
          <w:sz w:val="18"/>
          <w:szCs w:val="18"/>
          <w:lang w:val="es-ES_tradnl"/>
        </w:rPr>
        <w:t>Al tener como antecedente el memorando N.</w:t>
      </w:r>
      <w:r>
        <w:rPr>
          <w:rFonts w:cs="Times New Roman"/>
          <w:spacing w:val="-7"/>
          <w:sz w:val="18"/>
          <w:szCs w:val="18"/>
          <w:lang w:val="es-ES_tradnl"/>
        </w:rPr>
        <w:t>º</w:t>
      </w:r>
      <w:r>
        <w:rPr>
          <w:spacing w:val="-7"/>
          <w:sz w:val="18"/>
          <w:szCs w:val="18"/>
          <w:lang w:val="es-ES_tradnl"/>
        </w:rPr>
        <w:t xml:space="preserve"> 007-CCE-</w:t>
      </w:r>
      <w:r>
        <w:rPr>
          <w:spacing w:val="-9"/>
          <w:sz w:val="18"/>
          <w:szCs w:val="18"/>
          <w:lang w:val="es-ES_tradnl"/>
        </w:rPr>
        <w:t xml:space="preserve">SG-SUS-2013, suscrito por el secretario general de la Corte </w:t>
      </w:r>
      <w:r>
        <w:rPr>
          <w:spacing w:val="-8"/>
          <w:sz w:val="18"/>
          <w:szCs w:val="18"/>
          <w:lang w:val="es-ES_tradnl"/>
        </w:rPr>
        <w:t xml:space="preserve">Constitucional Jaime Pozo Chamorro, mediante el cual, se le hace conocer del sorteo de las causas realizado por el </w:t>
      </w:r>
      <w:r>
        <w:rPr>
          <w:spacing w:val="-7"/>
          <w:sz w:val="18"/>
          <w:szCs w:val="18"/>
          <w:lang w:val="es-ES_tradnl"/>
        </w:rPr>
        <w:t>Pleno del Organismo, en sesi</w:t>
      </w:r>
      <w:r>
        <w:rPr>
          <w:rFonts w:cs="Times New Roman"/>
          <w:spacing w:val="-7"/>
          <w:sz w:val="18"/>
          <w:szCs w:val="18"/>
          <w:lang w:val="es-ES_tradnl"/>
        </w:rPr>
        <w:t>ó</w:t>
      </w:r>
      <w:r>
        <w:rPr>
          <w:spacing w:val="-7"/>
          <w:sz w:val="18"/>
          <w:szCs w:val="18"/>
          <w:lang w:val="es-ES_tradnl"/>
        </w:rPr>
        <w:t xml:space="preserve">n extraordinaria del 03 de </w:t>
      </w:r>
      <w:r>
        <w:rPr>
          <w:spacing w:val="-4"/>
          <w:sz w:val="18"/>
          <w:szCs w:val="18"/>
          <w:lang w:val="es-ES_tradnl"/>
        </w:rPr>
        <w:t>enero de 2013, se remiti</w:t>
      </w:r>
      <w:r>
        <w:rPr>
          <w:rFonts w:cs="Times New Roman"/>
          <w:spacing w:val="-4"/>
          <w:sz w:val="18"/>
          <w:szCs w:val="18"/>
          <w:lang w:val="es-ES_tradnl"/>
        </w:rPr>
        <w:t>ó</w:t>
      </w:r>
      <w:r>
        <w:rPr>
          <w:spacing w:val="-4"/>
          <w:sz w:val="18"/>
          <w:szCs w:val="18"/>
          <w:lang w:val="es-ES_tradnl"/>
        </w:rPr>
        <w:t xml:space="preserve"> al juez constitucional Alfredo </w:t>
      </w:r>
      <w:r>
        <w:rPr>
          <w:spacing w:val="-9"/>
          <w:sz w:val="18"/>
          <w:szCs w:val="18"/>
          <w:lang w:val="es-ES_tradnl"/>
        </w:rPr>
        <w:t>Ruiz Guzm</w:t>
      </w:r>
      <w:r>
        <w:rPr>
          <w:rFonts w:cs="Times New Roman"/>
          <w:spacing w:val="-9"/>
          <w:sz w:val="18"/>
          <w:szCs w:val="18"/>
          <w:lang w:val="es-ES_tradnl"/>
        </w:rPr>
        <w:t>á</w:t>
      </w:r>
      <w:r>
        <w:rPr>
          <w:spacing w:val="-9"/>
          <w:sz w:val="18"/>
          <w:szCs w:val="18"/>
          <w:lang w:val="es-ES_tradnl"/>
        </w:rPr>
        <w:t xml:space="preserve">n, varios expedientes entre los cuales consta el </w:t>
      </w:r>
      <w:r>
        <w:rPr>
          <w:sz w:val="18"/>
          <w:szCs w:val="18"/>
          <w:lang w:val="es-ES_tradnl"/>
        </w:rPr>
        <w:t>caso signado con el N.</w:t>
      </w:r>
      <w:r>
        <w:rPr>
          <w:rFonts w:cs="Times New Roman"/>
          <w:sz w:val="18"/>
          <w:szCs w:val="18"/>
          <w:lang w:val="es-ES_tradnl"/>
        </w:rPr>
        <w:t>º</w:t>
      </w:r>
      <w:r>
        <w:rPr>
          <w:sz w:val="18"/>
          <w:szCs w:val="18"/>
          <w:lang w:val="es-ES_tradnl"/>
        </w:rPr>
        <w:t xml:space="preserve"> 1895-11-EP.</w:t>
      </w:r>
    </w:p>
    <w:p w14:paraId="4F67B9E0" w14:textId="77777777" w:rsidR="00591D54" w:rsidRDefault="00591D54">
      <w:pPr>
        <w:shd w:val="clear" w:color="auto" w:fill="FFFFFF"/>
        <w:spacing w:before="192" w:line="216" w:lineRule="exact"/>
        <w:jc w:val="both"/>
      </w:pPr>
      <w:r>
        <w:rPr>
          <w:spacing w:val="-8"/>
          <w:sz w:val="18"/>
          <w:szCs w:val="18"/>
          <w:lang w:val="es-ES_tradnl"/>
        </w:rPr>
        <w:t>El 14 de julio de 2015 a las las 10h30, el juez constitucional sustanciador Alfredo Ruiz Guzm</w:t>
      </w:r>
      <w:r>
        <w:rPr>
          <w:rFonts w:cs="Times New Roman"/>
          <w:spacing w:val="-8"/>
          <w:sz w:val="18"/>
          <w:szCs w:val="18"/>
          <w:lang w:val="es-ES_tradnl"/>
        </w:rPr>
        <w:t>á</w:t>
      </w:r>
      <w:r>
        <w:rPr>
          <w:spacing w:val="-8"/>
          <w:sz w:val="18"/>
          <w:szCs w:val="18"/>
          <w:lang w:val="es-ES_tradnl"/>
        </w:rPr>
        <w:t>n avoc</w:t>
      </w:r>
      <w:r>
        <w:rPr>
          <w:rFonts w:cs="Times New Roman"/>
          <w:spacing w:val="-8"/>
          <w:sz w:val="18"/>
          <w:szCs w:val="18"/>
          <w:lang w:val="es-ES_tradnl"/>
        </w:rPr>
        <w:t>ó</w:t>
      </w:r>
      <w:r>
        <w:rPr>
          <w:spacing w:val="-8"/>
          <w:sz w:val="18"/>
          <w:szCs w:val="18"/>
          <w:lang w:val="es-ES_tradnl"/>
        </w:rPr>
        <w:t xml:space="preserve"> conocimiento de </w:t>
      </w:r>
      <w:r>
        <w:rPr>
          <w:sz w:val="18"/>
          <w:szCs w:val="18"/>
          <w:lang w:val="es-ES_tradnl"/>
        </w:rPr>
        <w:t>la presente acci</w:t>
      </w:r>
      <w:r>
        <w:rPr>
          <w:rFonts w:cs="Times New Roman"/>
          <w:sz w:val="18"/>
          <w:szCs w:val="18"/>
          <w:lang w:val="es-ES_tradnl"/>
        </w:rPr>
        <w:t>ó</w:t>
      </w:r>
      <w:r>
        <w:rPr>
          <w:sz w:val="18"/>
          <w:szCs w:val="18"/>
          <w:lang w:val="es-ES_tradnl"/>
        </w:rPr>
        <w:t>n constitucional.</w:t>
      </w:r>
    </w:p>
    <w:p w14:paraId="4F67B9E1" w14:textId="77777777" w:rsidR="00591D54" w:rsidRDefault="00591D54">
      <w:pPr>
        <w:shd w:val="clear" w:color="auto" w:fill="FFFFFF"/>
        <w:spacing w:before="192"/>
      </w:pPr>
      <w:r>
        <w:rPr>
          <w:b/>
          <w:bCs/>
          <w:spacing w:val="-10"/>
          <w:sz w:val="18"/>
          <w:szCs w:val="18"/>
          <w:lang w:val="es-ES_tradnl"/>
        </w:rPr>
        <w:t>Argumentos planteados en la demanda</w:t>
      </w:r>
    </w:p>
    <w:p w14:paraId="4F67B9E2" w14:textId="77777777" w:rsidR="00591D54" w:rsidRDefault="00591D54">
      <w:pPr>
        <w:shd w:val="clear" w:color="auto" w:fill="FFFFFF"/>
        <w:spacing w:before="192" w:line="216" w:lineRule="exact"/>
        <w:jc w:val="both"/>
      </w:pPr>
      <w:r>
        <w:rPr>
          <w:spacing w:val="-7"/>
          <w:sz w:val="18"/>
          <w:szCs w:val="18"/>
          <w:lang w:val="es-ES_tradnl"/>
        </w:rPr>
        <w:t>Los legitimados activos, economista Marco Chango Jacho y la abogada Martha Le</w:t>
      </w:r>
      <w:r>
        <w:rPr>
          <w:rFonts w:cs="Times New Roman"/>
          <w:spacing w:val="-7"/>
          <w:sz w:val="18"/>
          <w:szCs w:val="18"/>
          <w:lang w:val="es-ES_tradnl"/>
        </w:rPr>
        <w:t>ó</w:t>
      </w:r>
      <w:r>
        <w:rPr>
          <w:spacing w:val="-7"/>
          <w:sz w:val="18"/>
          <w:szCs w:val="18"/>
          <w:lang w:val="es-ES_tradnl"/>
        </w:rPr>
        <w:t>n Gonz</w:t>
      </w:r>
      <w:r>
        <w:rPr>
          <w:rFonts w:cs="Times New Roman"/>
          <w:spacing w:val="-7"/>
          <w:sz w:val="18"/>
          <w:szCs w:val="18"/>
          <w:lang w:val="es-ES_tradnl"/>
        </w:rPr>
        <w:t>á</w:t>
      </w:r>
      <w:r>
        <w:rPr>
          <w:spacing w:val="-7"/>
          <w:sz w:val="18"/>
          <w:szCs w:val="18"/>
          <w:lang w:val="es-ES_tradnl"/>
        </w:rPr>
        <w:t>lez en sus calidades de alcalde y procuradora s</w:t>
      </w:r>
      <w:r>
        <w:rPr>
          <w:rFonts w:cs="Times New Roman"/>
          <w:spacing w:val="-7"/>
          <w:sz w:val="18"/>
          <w:szCs w:val="18"/>
          <w:lang w:val="es-ES_tradnl"/>
        </w:rPr>
        <w:t>í</w:t>
      </w:r>
      <w:r>
        <w:rPr>
          <w:spacing w:val="-7"/>
          <w:sz w:val="18"/>
          <w:szCs w:val="18"/>
          <w:lang w:val="es-ES_tradnl"/>
        </w:rPr>
        <w:t>ndica (e) del Gobierno Aut</w:t>
      </w:r>
      <w:r>
        <w:rPr>
          <w:rFonts w:cs="Times New Roman"/>
          <w:spacing w:val="-7"/>
          <w:sz w:val="18"/>
          <w:szCs w:val="18"/>
          <w:lang w:val="es-ES_tradnl"/>
        </w:rPr>
        <w:t>ó</w:t>
      </w:r>
      <w:r>
        <w:rPr>
          <w:spacing w:val="-7"/>
          <w:sz w:val="18"/>
          <w:szCs w:val="18"/>
          <w:lang w:val="es-ES_tradnl"/>
        </w:rPr>
        <w:t xml:space="preserve">nomo </w:t>
      </w:r>
      <w:r>
        <w:rPr>
          <w:spacing w:val="-9"/>
          <w:sz w:val="18"/>
          <w:szCs w:val="18"/>
          <w:lang w:val="es-ES_tradnl"/>
        </w:rPr>
        <w:t>Descentralizado del cant</w:t>
      </w:r>
      <w:r>
        <w:rPr>
          <w:rFonts w:cs="Times New Roman"/>
          <w:spacing w:val="-9"/>
          <w:sz w:val="18"/>
          <w:szCs w:val="18"/>
          <w:lang w:val="es-ES_tradnl"/>
        </w:rPr>
        <w:t>ó</w:t>
      </w:r>
      <w:r>
        <w:rPr>
          <w:spacing w:val="-9"/>
          <w:sz w:val="18"/>
          <w:szCs w:val="18"/>
          <w:lang w:val="es-ES_tradnl"/>
        </w:rPr>
        <w:t xml:space="preserve">n La Libertad, respectivamente, a </w:t>
      </w:r>
      <w:r>
        <w:rPr>
          <w:spacing w:val="-6"/>
          <w:sz w:val="18"/>
          <w:szCs w:val="18"/>
          <w:lang w:val="es-ES_tradnl"/>
        </w:rPr>
        <w:t>trav</w:t>
      </w:r>
      <w:r>
        <w:rPr>
          <w:rFonts w:cs="Times New Roman"/>
          <w:spacing w:val="-6"/>
          <w:sz w:val="18"/>
          <w:szCs w:val="18"/>
          <w:lang w:val="es-ES_tradnl"/>
        </w:rPr>
        <w:t>é</w:t>
      </w:r>
      <w:r>
        <w:rPr>
          <w:spacing w:val="-6"/>
          <w:sz w:val="18"/>
          <w:szCs w:val="18"/>
          <w:lang w:val="es-ES_tradnl"/>
        </w:rPr>
        <w:t>s del libelo de la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w:t>
      </w:r>
      <w:r>
        <w:rPr>
          <w:spacing w:val="-7"/>
          <w:sz w:val="18"/>
          <w:szCs w:val="18"/>
          <w:lang w:val="es-ES_tradnl"/>
        </w:rPr>
        <w:t>en lo principal, hacen las siguientes exposiciones:</w:t>
      </w:r>
    </w:p>
    <w:p w14:paraId="4F67B9E3" w14:textId="77777777" w:rsidR="00591D54" w:rsidRDefault="00591D54">
      <w:pPr>
        <w:shd w:val="clear" w:color="auto" w:fill="FFFFFF"/>
        <w:spacing w:before="197" w:line="216" w:lineRule="exact"/>
        <w:jc w:val="both"/>
      </w:pPr>
      <w:r>
        <w:rPr>
          <w:spacing w:val="-9"/>
          <w:sz w:val="18"/>
          <w:szCs w:val="18"/>
          <w:lang w:val="es-ES_tradnl"/>
        </w:rPr>
        <w:t>Que la se</w:t>
      </w:r>
      <w:r>
        <w:rPr>
          <w:rFonts w:cs="Times New Roman"/>
          <w:spacing w:val="-9"/>
          <w:sz w:val="18"/>
          <w:szCs w:val="18"/>
          <w:lang w:val="es-ES_tradnl"/>
        </w:rPr>
        <w:t>ñ</w:t>
      </w:r>
      <w:r>
        <w:rPr>
          <w:spacing w:val="-9"/>
          <w:sz w:val="18"/>
          <w:szCs w:val="18"/>
          <w:lang w:val="es-ES_tradnl"/>
        </w:rPr>
        <w:t>ora Gloria Amanda Calder</w:t>
      </w:r>
      <w:r>
        <w:rPr>
          <w:rFonts w:cs="Times New Roman"/>
          <w:spacing w:val="-9"/>
          <w:sz w:val="18"/>
          <w:szCs w:val="18"/>
          <w:lang w:val="es-ES_tradnl"/>
        </w:rPr>
        <w:t>ó</w:t>
      </w:r>
      <w:r>
        <w:rPr>
          <w:spacing w:val="-9"/>
          <w:sz w:val="18"/>
          <w:szCs w:val="18"/>
          <w:lang w:val="es-ES_tradnl"/>
        </w:rPr>
        <w:t>n S</w:t>
      </w:r>
      <w:r>
        <w:rPr>
          <w:rFonts w:cs="Times New Roman"/>
          <w:spacing w:val="-9"/>
          <w:sz w:val="18"/>
          <w:szCs w:val="18"/>
          <w:lang w:val="es-ES_tradnl"/>
        </w:rPr>
        <w:t>á</w:t>
      </w:r>
      <w:r>
        <w:rPr>
          <w:spacing w:val="-9"/>
          <w:sz w:val="18"/>
          <w:szCs w:val="18"/>
          <w:lang w:val="es-ES_tradnl"/>
        </w:rPr>
        <w:t>nchez present</w:t>
      </w:r>
      <w:r>
        <w:rPr>
          <w:rFonts w:cs="Times New Roman"/>
          <w:spacing w:val="-9"/>
          <w:sz w:val="18"/>
          <w:szCs w:val="18"/>
          <w:lang w:val="es-ES_tradnl"/>
        </w:rPr>
        <w:t xml:space="preserve">ó </w:t>
      </w:r>
      <w:r>
        <w:rPr>
          <w:spacing w:val="-9"/>
          <w:sz w:val="18"/>
          <w:szCs w:val="18"/>
          <w:lang w:val="es-ES_tradnl"/>
        </w:rPr>
        <w:t>acci</w:t>
      </w:r>
      <w:r>
        <w:rPr>
          <w:rFonts w:cs="Times New Roman"/>
          <w:spacing w:val="-9"/>
          <w:sz w:val="18"/>
          <w:szCs w:val="18"/>
          <w:lang w:val="es-ES_tradnl"/>
        </w:rPr>
        <w:t>ó</w:t>
      </w:r>
      <w:r>
        <w:rPr>
          <w:spacing w:val="-9"/>
          <w:sz w:val="18"/>
          <w:szCs w:val="18"/>
          <w:lang w:val="es-ES_tradnl"/>
        </w:rPr>
        <w:t>n de protecci</w:t>
      </w:r>
      <w:r>
        <w:rPr>
          <w:rFonts w:cs="Times New Roman"/>
          <w:spacing w:val="-9"/>
          <w:sz w:val="18"/>
          <w:szCs w:val="18"/>
          <w:lang w:val="es-ES_tradnl"/>
        </w:rPr>
        <w:t>ó</w:t>
      </w:r>
      <w:r>
        <w:rPr>
          <w:spacing w:val="-9"/>
          <w:sz w:val="18"/>
          <w:szCs w:val="18"/>
          <w:lang w:val="es-ES_tradnl"/>
        </w:rPr>
        <w:t xml:space="preserve">n en contra del Municipio de La Libertad, </w:t>
      </w:r>
      <w:r>
        <w:rPr>
          <w:spacing w:val="-7"/>
          <w:sz w:val="18"/>
          <w:szCs w:val="18"/>
          <w:lang w:val="es-ES_tradnl"/>
        </w:rPr>
        <w:t>alegando supuesta vulneraci</w:t>
      </w:r>
      <w:r>
        <w:rPr>
          <w:rFonts w:cs="Times New Roman"/>
          <w:spacing w:val="-7"/>
          <w:sz w:val="18"/>
          <w:szCs w:val="18"/>
          <w:lang w:val="es-ES_tradnl"/>
        </w:rPr>
        <w:t>ó</w:t>
      </w:r>
      <w:r>
        <w:rPr>
          <w:spacing w:val="-7"/>
          <w:sz w:val="18"/>
          <w:szCs w:val="18"/>
          <w:lang w:val="es-ES_tradnl"/>
        </w:rPr>
        <w:t xml:space="preserve">n del derecho al trabajo, al </w:t>
      </w:r>
      <w:r>
        <w:rPr>
          <w:spacing w:val="-8"/>
          <w:sz w:val="18"/>
          <w:szCs w:val="18"/>
          <w:lang w:val="es-ES_tradnl"/>
        </w:rPr>
        <w:t xml:space="preserve">haberse clausurado el local donde funciona su negocio de </w:t>
      </w:r>
      <w:r>
        <w:rPr>
          <w:spacing w:val="-4"/>
          <w:sz w:val="18"/>
          <w:szCs w:val="18"/>
          <w:lang w:val="es-ES_tradnl"/>
        </w:rPr>
        <w:t xml:space="preserve">peladora de pollos, ubicado en el </w:t>
      </w:r>
      <w:r>
        <w:rPr>
          <w:rFonts w:cs="Times New Roman"/>
          <w:spacing w:val="-4"/>
          <w:sz w:val="18"/>
          <w:szCs w:val="18"/>
          <w:lang w:val="es-ES_tradnl"/>
        </w:rPr>
        <w:t>“</w:t>
      </w:r>
      <w:r>
        <w:rPr>
          <w:spacing w:val="-4"/>
          <w:sz w:val="18"/>
          <w:szCs w:val="18"/>
          <w:lang w:val="es-ES_tradnl"/>
        </w:rPr>
        <w:t>Barrio Calder</w:t>
      </w:r>
      <w:r>
        <w:rPr>
          <w:rFonts w:cs="Times New Roman"/>
          <w:spacing w:val="-4"/>
          <w:sz w:val="18"/>
          <w:szCs w:val="18"/>
          <w:lang w:val="es-ES_tradnl"/>
        </w:rPr>
        <w:t>ó</w:t>
      </w:r>
      <w:r>
        <w:rPr>
          <w:spacing w:val="-4"/>
          <w:sz w:val="18"/>
          <w:szCs w:val="18"/>
          <w:lang w:val="es-ES_tradnl"/>
        </w:rPr>
        <w:t>n</w:t>
      </w:r>
      <w:r>
        <w:rPr>
          <w:rFonts w:cs="Times New Roman"/>
          <w:spacing w:val="-4"/>
          <w:sz w:val="18"/>
          <w:szCs w:val="18"/>
          <w:lang w:val="es-ES_tradnl"/>
        </w:rPr>
        <w:t>”</w:t>
      </w:r>
      <w:r>
        <w:rPr>
          <w:spacing w:val="-4"/>
          <w:sz w:val="18"/>
          <w:szCs w:val="18"/>
          <w:lang w:val="es-ES_tradnl"/>
        </w:rPr>
        <w:t>, del cant</w:t>
      </w:r>
      <w:r>
        <w:rPr>
          <w:rFonts w:cs="Times New Roman"/>
          <w:spacing w:val="-4"/>
          <w:sz w:val="18"/>
          <w:szCs w:val="18"/>
          <w:lang w:val="es-ES_tradnl"/>
        </w:rPr>
        <w:t>ó</w:t>
      </w:r>
      <w:r>
        <w:rPr>
          <w:spacing w:val="-4"/>
          <w:sz w:val="18"/>
          <w:szCs w:val="18"/>
          <w:lang w:val="es-ES_tradnl"/>
        </w:rPr>
        <w:t xml:space="preserve">n La Libertad, provincia de Santa Elena, la misma </w:t>
      </w:r>
      <w:r>
        <w:rPr>
          <w:spacing w:val="-8"/>
          <w:sz w:val="18"/>
          <w:szCs w:val="18"/>
          <w:lang w:val="es-ES_tradnl"/>
        </w:rPr>
        <w:t>que fue aceptada por la jueza de la Familia, Mujer, Ni</w:t>
      </w:r>
      <w:r>
        <w:rPr>
          <w:rFonts w:cs="Times New Roman"/>
          <w:spacing w:val="-8"/>
          <w:sz w:val="18"/>
          <w:szCs w:val="18"/>
          <w:lang w:val="es-ES_tradnl"/>
        </w:rPr>
        <w:t>ñ</w:t>
      </w:r>
      <w:r>
        <w:rPr>
          <w:spacing w:val="-8"/>
          <w:sz w:val="18"/>
          <w:szCs w:val="18"/>
          <w:lang w:val="es-ES_tradnl"/>
        </w:rPr>
        <w:t xml:space="preserve">ez y </w:t>
      </w:r>
      <w:r>
        <w:rPr>
          <w:sz w:val="18"/>
          <w:szCs w:val="18"/>
          <w:lang w:val="es-ES_tradnl"/>
        </w:rPr>
        <w:t>Adolescencia de Santa Elena.</w:t>
      </w:r>
    </w:p>
    <w:p w14:paraId="4F67B9E4" w14:textId="77777777" w:rsidR="00591D54" w:rsidRDefault="00591D54">
      <w:pPr>
        <w:shd w:val="clear" w:color="auto" w:fill="FFFFFF"/>
        <w:spacing w:before="197" w:line="216" w:lineRule="exact"/>
        <w:jc w:val="both"/>
      </w:pPr>
      <w:r>
        <w:rPr>
          <w:spacing w:val="-9"/>
          <w:sz w:val="18"/>
          <w:szCs w:val="18"/>
          <w:lang w:val="es-ES_tradnl"/>
        </w:rPr>
        <w:t>Dicen que en apelaci</w:t>
      </w:r>
      <w:r>
        <w:rPr>
          <w:rFonts w:cs="Times New Roman"/>
          <w:spacing w:val="-9"/>
          <w:sz w:val="18"/>
          <w:szCs w:val="18"/>
          <w:lang w:val="es-ES_tradnl"/>
        </w:rPr>
        <w:t>ó</w:t>
      </w:r>
      <w:r>
        <w:rPr>
          <w:spacing w:val="-9"/>
          <w:sz w:val="18"/>
          <w:szCs w:val="18"/>
          <w:lang w:val="es-ES_tradnl"/>
        </w:rPr>
        <w:t xml:space="preserve">n, la Sala </w:t>
      </w:r>
      <w:r>
        <w:rPr>
          <w:rFonts w:cs="Times New Roman"/>
          <w:spacing w:val="-9"/>
          <w:sz w:val="18"/>
          <w:szCs w:val="18"/>
          <w:lang w:val="es-ES_tradnl"/>
        </w:rPr>
        <w:t>Ú</w:t>
      </w:r>
      <w:r>
        <w:rPr>
          <w:spacing w:val="-9"/>
          <w:sz w:val="18"/>
          <w:szCs w:val="18"/>
          <w:lang w:val="es-ES_tradnl"/>
        </w:rPr>
        <w:t xml:space="preserve">nica de la Corte Provincial </w:t>
      </w:r>
      <w:r>
        <w:rPr>
          <w:spacing w:val="-7"/>
          <w:sz w:val="18"/>
          <w:szCs w:val="18"/>
          <w:lang w:val="es-ES_tradnl"/>
        </w:rPr>
        <w:t xml:space="preserve">de Justicia de Santa Elena, el 31 de agosto de 2011 a las </w:t>
      </w:r>
      <w:r>
        <w:rPr>
          <w:spacing w:val="-8"/>
          <w:sz w:val="18"/>
          <w:szCs w:val="18"/>
          <w:lang w:val="es-ES_tradnl"/>
        </w:rPr>
        <w:t>17h21, dict</w:t>
      </w:r>
      <w:r>
        <w:rPr>
          <w:rFonts w:cs="Times New Roman"/>
          <w:spacing w:val="-8"/>
          <w:sz w:val="18"/>
          <w:szCs w:val="18"/>
          <w:lang w:val="es-ES_tradnl"/>
        </w:rPr>
        <w:t>ó</w:t>
      </w:r>
      <w:r>
        <w:rPr>
          <w:spacing w:val="-8"/>
          <w:sz w:val="18"/>
          <w:szCs w:val="18"/>
          <w:lang w:val="es-ES_tradnl"/>
        </w:rPr>
        <w:t xml:space="preserve"> sentencia, mediante la cual, se rechazaron los </w:t>
      </w:r>
      <w:r>
        <w:rPr>
          <w:spacing w:val="-9"/>
          <w:sz w:val="18"/>
          <w:szCs w:val="18"/>
          <w:lang w:val="es-ES_tradnl"/>
        </w:rPr>
        <w:t>recursos interpuestos y se confirm</w:t>
      </w:r>
      <w:r>
        <w:rPr>
          <w:rFonts w:cs="Times New Roman"/>
          <w:spacing w:val="-9"/>
          <w:sz w:val="18"/>
          <w:szCs w:val="18"/>
          <w:lang w:val="es-ES_tradnl"/>
        </w:rPr>
        <w:t>ó</w:t>
      </w:r>
      <w:r>
        <w:rPr>
          <w:spacing w:val="-9"/>
          <w:sz w:val="18"/>
          <w:szCs w:val="18"/>
          <w:lang w:val="es-ES_tradnl"/>
        </w:rPr>
        <w:t xml:space="preserve"> la sentencia emitida en </w:t>
      </w:r>
      <w:r>
        <w:rPr>
          <w:sz w:val="18"/>
          <w:szCs w:val="18"/>
          <w:lang w:val="es-ES_tradnl"/>
        </w:rPr>
        <w:t>primera instancia.</w:t>
      </w:r>
    </w:p>
    <w:p w14:paraId="4F67B9E5" w14:textId="77777777" w:rsidR="00591D54" w:rsidRDefault="00591D54">
      <w:pPr>
        <w:shd w:val="clear" w:color="auto" w:fill="FFFFFF"/>
        <w:spacing w:before="197" w:line="216" w:lineRule="exact"/>
        <w:jc w:val="both"/>
      </w:pPr>
      <w:r>
        <w:rPr>
          <w:spacing w:val="-1"/>
          <w:sz w:val="18"/>
          <w:szCs w:val="18"/>
          <w:lang w:val="es-ES_tradnl"/>
        </w:rPr>
        <w:t xml:space="preserve">Consideran que mediante el suplemento del Registro </w:t>
      </w:r>
      <w:r>
        <w:rPr>
          <w:spacing w:val="-2"/>
          <w:sz w:val="18"/>
          <w:szCs w:val="18"/>
          <w:lang w:val="es-ES_tradnl"/>
        </w:rPr>
        <w:t>Oficial N.</w:t>
      </w:r>
      <w:r>
        <w:rPr>
          <w:rFonts w:cs="Times New Roman"/>
          <w:spacing w:val="-2"/>
          <w:sz w:val="18"/>
          <w:szCs w:val="18"/>
          <w:lang w:val="es-ES_tradnl"/>
        </w:rPr>
        <w:t>º</w:t>
      </w:r>
      <w:r>
        <w:rPr>
          <w:spacing w:val="-2"/>
          <w:sz w:val="18"/>
          <w:szCs w:val="18"/>
          <w:lang w:val="es-ES_tradnl"/>
        </w:rPr>
        <w:t xml:space="preserve"> 316, publicado el 15 de abril de 2008, se </w:t>
      </w:r>
      <w:r>
        <w:rPr>
          <w:spacing w:val="-6"/>
          <w:sz w:val="18"/>
          <w:szCs w:val="18"/>
          <w:lang w:val="es-ES_tradnl"/>
        </w:rPr>
        <w:t>expidi</w:t>
      </w:r>
      <w:r>
        <w:rPr>
          <w:rFonts w:cs="Times New Roman"/>
          <w:spacing w:val="-6"/>
          <w:sz w:val="18"/>
          <w:szCs w:val="18"/>
          <w:lang w:val="es-ES_tradnl"/>
        </w:rPr>
        <w:t>ó</w:t>
      </w:r>
      <w:r>
        <w:rPr>
          <w:spacing w:val="-6"/>
          <w:sz w:val="18"/>
          <w:szCs w:val="18"/>
          <w:lang w:val="es-ES_tradnl"/>
        </w:rPr>
        <w:t xml:space="preserve"> la </w:t>
      </w:r>
      <w:r>
        <w:rPr>
          <w:rFonts w:cs="Times New Roman"/>
          <w:spacing w:val="-6"/>
          <w:sz w:val="18"/>
          <w:szCs w:val="18"/>
          <w:lang w:val="es-ES_tradnl"/>
        </w:rPr>
        <w:t>“</w:t>
      </w:r>
      <w:r>
        <w:rPr>
          <w:spacing w:val="-6"/>
          <w:sz w:val="18"/>
          <w:szCs w:val="18"/>
          <w:lang w:val="es-ES_tradnl"/>
        </w:rPr>
        <w:t>Ordenanza de Higiene y Abasto del Cant</w:t>
      </w:r>
      <w:r>
        <w:rPr>
          <w:rFonts w:cs="Times New Roman"/>
          <w:spacing w:val="-6"/>
          <w:sz w:val="18"/>
          <w:szCs w:val="18"/>
          <w:lang w:val="es-ES_tradnl"/>
        </w:rPr>
        <w:t>ó</w:t>
      </w:r>
      <w:r>
        <w:rPr>
          <w:spacing w:val="-6"/>
          <w:sz w:val="18"/>
          <w:szCs w:val="18"/>
          <w:lang w:val="es-ES_tradnl"/>
        </w:rPr>
        <w:t xml:space="preserve">n La </w:t>
      </w:r>
      <w:r>
        <w:rPr>
          <w:spacing w:val="-5"/>
          <w:sz w:val="18"/>
          <w:szCs w:val="18"/>
          <w:lang w:val="es-ES_tradnl"/>
        </w:rPr>
        <w:t>Libertad</w:t>
      </w:r>
      <w:r>
        <w:rPr>
          <w:rFonts w:cs="Times New Roman"/>
          <w:spacing w:val="-5"/>
          <w:sz w:val="18"/>
          <w:szCs w:val="18"/>
          <w:lang w:val="es-ES_tradnl"/>
        </w:rPr>
        <w:t>”</w:t>
      </w:r>
      <w:r>
        <w:rPr>
          <w:spacing w:val="-5"/>
          <w:sz w:val="18"/>
          <w:szCs w:val="18"/>
          <w:lang w:val="es-ES_tradnl"/>
        </w:rPr>
        <w:t>, cuya finalidad es la de regular la preservaci</w:t>
      </w:r>
      <w:r>
        <w:rPr>
          <w:rFonts w:cs="Times New Roman"/>
          <w:spacing w:val="-5"/>
          <w:sz w:val="18"/>
          <w:szCs w:val="18"/>
          <w:lang w:val="es-ES_tradnl"/>
        </w:rPr>
        <w:t>ó</w:t>
      </w:r>
      <w:r>
        <w:rPr>
          <w:spacing w:val="-5"/>
          <w:sz w:val="18"/>
          <w:szCs w:val="18"/>
          <w:lang w:val="es-ES_tradnl"/>
        </w:rPr>
        <w:t xml:space="preserve">n </w:t>
      </w:r>
      <w:r>
        <w:rPr>
          <w:spacing w:val="-6"/>
          <w:sz w:val="18"/>
          <w:szCs w:val="18"/>
          <w:lang w:val="es-ES_tradnl"/>
        </w:rPr>
        <w:t>de los principios elementales de higiene y salubridad para</w:t>
      </w:r>
    </w:p>
    <w:p w14:paraId="4F67B9E6" w14:textId="77777777" w:rsidR="00591D54" w:rsidRDefault="00591D54">
      <w:pPr>
        <w:shd w:val="clear" w:color="auto" w:fill="FFFFFF"/>
        <w:spacing w:before="197" w:line="216" w:lineRule="exact"/>
        <w:jc w:val="both"/>
        <w:sectPr w:rsidR="00591D54">
          <w:type w:val="continuous"/>
          <w:pgSz w:w="11909" w:h="16834"/>
          <w:pgMar w:top="1354" w:right="1309" w:bottom="360" w:left="1308" w:header="720" w:footer="720" w:gutter="0"/>
          <w:cols w:num="2" w:space="720" w:equalWidth="0">
            <w:col w:w="4305" w:space="682"/>
            <w:col w:w="4305"/>
          </w:cols>
          <w:noEndnote/>
        </w:sectPr>
      </w:pPr>
    </w:p>
    <w:p w14:paraId="4F67B9E7" w14:textId="77777777" w:rsidR="00591D54" w:rsidRDefault="00591D54">
      <w:pPr>
        <w:shd w:val="clear" w:color="auto" w:fill="FFFFFF"/>
        <w:tabs>
          <w:tab w:val="left" w:pos="4814"/>
        </w:tabs>
        <w:spacing w:after="226"/>
        <w:ind w:left="5"/>
      </w:pPr>
      <w:r>
        <w:rPr>
          <w:b/>
          <w:bCs/>
          <w:sz w:val="18"/>
          <w:szCs w:val="18"/>
          <w:lang w:val="es-ES_tradnl"/>
        </w:rPr>
        <w:t xml:space="preserve">272 -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9E8" w14:textId="77777777" w:rsidR="00591D54" w:rsidRDefault="00591D54">
      <w:pPr>
        <w:shd w:val="clear" w:color="auto" w:fill="FFFFFF"/>
        <w:tabs>
          <w:tab w:val="left" w:pos="4814"/>
        </w:tabs>
        <w:spacing w:after="226"/>
        <w:ind w:left="5"/>
        <w:sectPr w:rsidR="00591D54">
          <w:pgSz w:w="11909" w:h="16834"/>
          <w:pgMar w:top="1371" w:right="1309" w:bottom="360" w:left="1308" w:header="720" w:footer="720" w:gutter="0"/>
          <w:cols w:space="60"/>
          <w:noEndnote/>
        </w:sectPr>
      </w:pPr>
    </w:p>
    <w:p w14:paraId="4F67B9E9" w14:textId="77777777" w:rsidR="00591D54" w:rsidRDefault="00591D54">
      <w:pPr>
        <w:shd w:val="clear" w:color="auto" w:fill="FFFFFF"/>
        <w:spacing w:before="10" w:line="226" w:lineRule="exact"/>
        <w:ind w:right="5"/>
        <w:jc w:val="both"/>
      </w:pPr>
      <w:r>
        <w:rPr>
          <w:spacing w:val="-8"/>
          <w:sz w:val="18"/>
          <w:szCs w:val="18"/>
          <w:lang w:val="es-ES_tradnl"/>
        </w:rPr>
        <w:t>la preservaci</w:t>
      </w:r>
      <w:r>
        <w:rPr>
          <w:rFonts w:cs="Times New Roman"/>
          <w:spacing w:val="-8"/>
          <w:sz w:val="18"/>
          <w:szCs w:val="18"/>
          <w:lang w:val="es-ES_tradnl"/>
        </w:rPr>
        <w:t>ó</w:t>
      </w:r>
      <w:r>
        <w:rPr>
          <w:spacing w:val="-8"/>
          <w:sz w:val="18"/>
          <w:szCs w:val="18"/>
          <w:lang w:val="es-ES_tradnl"/>
        </w:rPr>
        <w:t>n de la salud de la ciudadan</w:t>
      </w:r>
      <w:r>
        <w:rPr>
          <w:rFonts w:cs="Times New Roman"/>
          <w:spacing w:val="-8"/>
          <w:sz w:val="18"/>
          <w:szCs w:val="18"/>
          <w:lang w:val="es-ES_tradnl"/>
        </w:rPr>
        <w:t>í</w:t>
      </w:r>
      <w:r>
        <w:rPr>
          <w:spacing w:val="-8"/>
          <w:sz w:val="18"/>
          <w:szCs w:val="18"/>
          <w:lang w:val="es-ES_tradnl"/>
        </w:rPr>
        <w:t>a del cant</w:t>
      </w:r>
      <w:r>
        <w:rPr>
          <w:rFonts w:cs="Times New Roman"/>
          <w:spacing w:val="-8"/>
          <w:sz w:val="18"/>
          <w:szCs w:val="18"/>
          <w:lang w:val="es-ES_tradnl"/>
        </w:rPr>
        <w:t>ó</w:t>
      </w:r>
      <w:r>
        <w:rPr>
          <w:spacing w:val="-8"/>
          <w:sz w:val="18"/>
          <w:szCs w:val="18"/>
          <w:lang w:val="es-ES_tradnl"/>
        </w:rPr>
        <w:t xml:space="preserve">n La </w:t>
      </w:r>
      <w:r>
        <w:rPr>
          <w:spacing w:val="-6"/>
          <w:sz w:val="18"/>
          <w:szCs w:val="18"/>
          <w:lang w:val="es-ES_tradnl"/>
        </w:rPr>
        <w:t>Libertad, es as</w:t>
      </w:r>
      <w:r>
        <w:rPr>
          <w:rFonts w:cs="Times New Roman"/>
          <w:spacing w:val="-6"/>
          <w:sz w:val="18"/>
          <w:szCs w:val="18"/>
          <w:lang w:val="es-ES_tradnl"/>
        </w:rPr>
        <w:t>í</w:t>
      </w:r>
      <w:r>
        <w:rPr>
          <w:spacing w:val="-6"/>
          <w:sz w:val="18"/>
          <w:szCs w:val="18"/>
          <w:lang w:val="es-ES_tradnl"/>
        </w:rPr>
        <w:t xml:space="preserve"> </w:t>
      </w:r>
      <w:r>
        <w:rPr>
          <w:rFonts w:cs="Times New Roman"/>
          <w:spacing w:val="-6"/>
          <w:sz w:val="18"/>
          <w:szCs w:val="18"/>
          <w:lang w:val="es-ES_tradnl"/>
        </w:rPr>
        <w:t>–</w:t>
      </w:r>
      <w:r>
        <w:rPr>
          <w:spacing w:val="-6"/>
          <w:sz w:val="18"/>
          <w:szCs w:val="18"/>
          <w:lang w:val="es-ES_tradnl"/>
        </w:rPr>
        <w:t>dicen</w:t>
      </w:r>
      <w:r>
        <w:rPr>
          <w:rFonts w:ascii="Arial Unicode MS" w:eastAsia="Arial Unicode MS" w:hAnsi="Arial Unicode MS" w:cs="Arial Unicode MS" w:hint="eastAsia"/>
          <w:spacing w:val="-6"/>
          <w:sz w:val="18"/>
          <w:szCs w:val="18"/>
          <w:lang w:val="es-ES_tradnl"/>
        </w:rPr>
        <w:t>‒</w:t>
      </w:r>
      <w:r>
        <w:rPr>
          <w:spacing w:val="-6"/>
          <w:sz w:val="18"/>
          <w:szCs w:val="18"/>
          <w:lang w:val="es-ES_tradnl"/>
        </w:rPr>
        <w:t xml:space="preserve"> que en el art</w:t>
      </w:r>
      <w:r>
        <w:rPr>
          <w:rFonts w:cs="Times New Roman"/>
          <w:spacing w:val="-6"/>
          <w:sz w:val="18"/>
          <w:szCs w:val="18"/>
          <w:lang w:val="es-ES_tradnl"/>
        </w:rPr>
        <w:t>í</w:t>
      </w:r>
      <w:r>
        <w:rPr>
          <w:spacing w:val="-6"/>
          <w:sz w:val="18"/>
          <w:szCs w:val="18"/>
          <w:lang w:val="es-ES_tradnl"/>
        </w:rPr>
        <w:t xml:space="preserve">culo 72 del referido </w:t>
      </w:r>
      <w:r>
        <w:rPr>
          <w:spacing w:val="-8"/>
          <w:sz w:val="18"/>
          <w:szCs w:val="18"/>
          <w:lang w:val="es-ES_tradnl"/>
        </w:rPr>
        <w:t>cuerpo legal, se establece la prohibici</w:t>
      </w:r>
      <w:r>
        <w:rPr>
          <w:rFonts w:cs="Times New Roman"/>
          <w:spacing w:val="-8"/>
          <w:sz w:val="18"/>
          <w:szCs w:val="18"/>
          <w:lang w:val="es-ES_tradnl"/>
        </w:rPr>
        <w:t>ó</w:t>
      </w:r>
      <w:r>
        <w:rPr>
          <w:spacing w:val="-8"/>
          <w:sz w:val="18"/>
          <w:szCs w:val="18"/>
          <w:lang w:val="es-ES_tradnl"/>
        </w:rPr>
        <w:t xml:space="preserve">n del mantenimiento </w:t>
      </w:r>
      <w:r>
        <w:rPr>
          <w:spacing w:val="-10"/>
          <w:sz w:val="18"/>
          <w:szCs w:val="18"/>
          <w:lang w:val="es-ES_tradnl"/>
        </w:rPr>
        <w:t xml:space="preserve">de cerdos, cuyeras, conejeras y aves de corral dentro de las </w:t>
      </w:r>
      <w:r>
        <w:rPr>
          <w:spacing w:val="-7"/>
          <w:sz w:val="18"/>
          <w:szCs w:val="18"/>
          <w:lang w:val="es-ES_tradnl"/>
        </w:rPr>
        <w:t xml:space="preserve">zonas ZC, ZR2, ZMR, ZET, ZEU cuando se trate de fines </w:t>
      </w:r>
      <w:r>
        <w:rPr>
          <w:spacing w:val="-9"/>
          <w:sz w:val="18"/>
          <w:szCs w:val="18"/>
          <w:lang w:val="es-ES_tradnl"/>
        </w:rPr>
        <w:t>comerciales, para lo cual, sus propietarios ser</w:t>
      </w:r>
      <w:r>
        <w:rPr>
          <w:rFonts w:cs="Times New Roman"/>
          <w:spacing w:val="-9"/>
          <w:sz w:val="18"/>
          <w:szCs w:val="18"/>
          <w:lang w:val="es-ES_tradnl"/>
        </w:rPr>
        <w:t>á</w:t>
      </w:r>
      <w:r>
        <w:rPr>
          <w:spacing w:val="-9"/>
          <w:sz w:val="18"/>
          <w:szCs w:val="18"/>
          <w:lang w:val="es-ES_tradnl"/>
        </w:rPr>
        <w:t xml:space="preserve">n notificados </w:t>
      </w:r>
      <w:r>
        <w:rPr>
          <w:spacing w:val="-8"/>
          <w:sz w:val="18"/>
          <w:szCs w:val="18"/>
          <w:lang w:val="es-ES_tradnl"/>
        </w:rPr>
        <w:t>para que en el plazo de 15 d</w:t>
      </w:r>
      <w:r>
        <w:rPr>
          <w:rFonts w:cs="Times New Roman"/>
          <w:spacing w:val="-8"/>
          <w:sz w:val="18"/>
          <w:szCs w:val="18"/>
          <w:lang w:val="es-ES_tradnl"/>
        </w:rPr>
        <w:t>í</w:t>
      </w:r>
      <w:r>
        <w:rPr>
          <w:spacing w:val="-8"/>
          <w:sz w:val="18"/>
          <w:szCs w:val="18"/>
          <w:lang w:val="es-ES_tradnl"/>
        </w:rPr>
        <w:t xml:space="preserve">as reubiquen dichos criaderos </w:t>
      </w:r>
      <w:r>
        <w:rPr>
          <w:spacing w:val="-10"/>
          <w:sz w:val="18"/>
          <w:szCs w:val="18"/>
          <w:lang w:val="es-ES_tradnl"/>
        </w:rPr>
        <w:t>y de no hacerlo, se les sancionar</w:t>
      </w:r>
      <w:r>
        <w:rPr>
          <w:rFonts w:cs="Times New Roman"/>
          <w:spacing w:val="-10"/>
          <w:sz w:val="18"/>
          <w:szCs w:val="18"/>
          <w:lang w:val="es-ES_tradnl"/>
        </w:rPr>
        <w:t>á</w:t>
      </w:r>
      <w:r>
        <w:rPr>
          <w:spacing w:val="-10"/>
          <w:sz w:val="18"/>
          <w:szCs w:val="18"/>
          <w:lang w:val="es-ES_tradnl"/>
        </w:rPr>
        <w:t xml:space="preserve"> con multa del equivalente </w:t>
      </w:r>
      <w:r>
        <w:rPr>
          <w:spacing w:val="-6"/>
          <w:sz w:val="18"/>
          <w:szCs w:val="18"/>
          <w:lang w:val="es-ES_tradnl"/>
        </w:rPr>
        <w:t xml:space="preserve">al 20 % del valor comercial vigente por cada animal y en </w:t>
      </w:r>
      <w:r>
        <w:rPr>
          <w:spacing w:val="-7"/>
          <w:sz w:val="18"/>
          <w:szCs w:val="18"/>
          <w:lang w:val="es-ES_tradnl"/>
        </w:rPr>
        <w:t>caso de reincidencia se proceder</w:t>
      </w:r>
      <w:r>
        <w:rPr>
          <w:rFonts w:cs="Times New Roman"/>
          <w:spacing w:val="-7"/>
          <w:sz w:val="18"/>
          <w:szCs w:val="18"/>
          <w:lang w:val="es-ES_tradnl"/>
        </w:rPr>
        <w:t>á</w:t>
      </w:r>
      <w:r>
        <w:rPr>
          <w:spacing w:val="-7"/>
          <w:sz w:val="18"/>
          <w:szCs w:val="18"/>
          <w:lang w:val="es-ES_tradnl"/>
        </w:rPr>
        <w:t xml:space="preserve"> a la clausura definitiva </w:t>
      </w:r>
      <w:r>
        <w:rPr>
          <w:sz w:val="18"/>
          <w:szCs w:val="18"/>
          <w:lang w:val="es-ES_tradnl"/>
        </w:rPr>
        <w:t>del local.</w:t>
      </w:r>
    </w:p>
    <w:p w14:paraId="4F67B9EA" w14:textId="77777777" w:rsidR="00591D54" w:rsidRDefault="00591D54">
      <w:pPr>
        <w:shd w:val="clear" w:color="auto" w:fill="FFFFFF"/>
        <w:spacing w:before="206" w:line="226" w:lineRule="exact"/>
        <w:ind w:right="10"/>
        <w:jc w:val="both"/>
      </w:pPr>
      <w:r>
        <w:rPr>
          <w:spacing w:val="-1"/>
          <w:sz w:val="18"/>
          <w:szCs w:val="18"/>
          <w:lang w:val="es-ES_tradnl"/>
        </w:rPr>
        <w:t xml:space="preserve">Manifiestan que el lugar donde funcionaba el local de </w:t>
      </w:r>
      <w:r>
        <w:rPr>
          <w:spacing w:val="-6"/>
          <w:sz w:val="18"/>
          <w:szCs w:val="18"/>
          <w:lang w:val="es-ES_tradnl"/>
        </w:rPr>
        <w:t>la se</w:t>
      </w:r>
      <w:r>
        <w:rPr>
          <w:rFonts w:cs="Times New Roman"/>
          <w:spacing w:val="-6"/>
          <w:sz w:val="18"/>
          <w:szCs w:val="18"/>
          <w:lang w:val="es-ES_tradnl"/>
        </w:rPr>
        <w:t>ñ</w:t>
      </w:r>
      <w:r>
        <w:rPr>
          <w:spacing w:val="-6"/>
          <w:sz w:val="18"/>
          <w:szCs w:val="18"/>
          <w:lang w:val="es-ES_tradnl"/>
        </w:rPr>
        <w:t>ora Gloria Calder</w:t>
      </w:r>
      <w:r>
        <w:rPr>
          <w:rFonts w:cs="Times New Roman"/>
          <w:spacing w:val="-6"/>
          <w:sz w:val="18"/>
          <w:szCs w:val="18"/>
          <w:lang w:val="es-ES_tradnl"/>
        </w:rPr>
        <w:t>ó</w:t>
      </w:r>
      <w:r>
        <w:rPr>
          <w:spacing w:val="-6"/>
          <w:sz w:val="18"/>
          <w:szCs w:val="18"/>
          <w:lang w:val="es-ES_tradnl"/>
        </w:rPr>
        <w:t>n S</w:t>
      </w:r>
      <w:r>
        <w:rPr>
          <w:rFonts w:cs="Times New Roman"/>
          <w:spacing w:val="-6"/>
          <w:sz w:val="18"/>
          <w:szCs w:val="18"/>
          <w:lang w:val="es-ES_tradnl"/>
        </w:rPr>
        <w:t>á</w:t>
      </w:r>
      <w:r>
        <w:rPr>
          <w:spacing w:val="-6"/>
          <w:sz w:val="18"/>
          <w:szCs w:val="18"/>
          <w:lang w:val="es-ES_tradnl"/>
        </w:rPr>
        <w:t xml:space="preserve">nchez, esto es, el </w:t>
      </w:r>
      <w:r>
        <w:rPr>
          <w:rFonts w:cs="Times New Roman"/>
          <w:spacing w:val="-6"/>
          <w:sz w:val="18"/>
          <w:szCs w:val="18"/>
          <w:lang w:val="es-ES_tradnl"/>
        </w:rPr>
        <w:t>“</w:t>
      </w:r>
      <w:r>
        <w:rPr>
          <w:spacing w:val="-6"/>
          <w:sz w:val="18"/>
          <w:szCs w:val="18"/>
          <w:lang w:val="es-ES_tradnl"/>
        </w:rPr>
        <w:t>Barrio Calder</w:t>
      </w:r>
      <w:r>
        <w:rPr>
          <w:rFonts w:cs="Times New Roman"/>
          <w:spacing w:val="-6"/>
          <w:sz w:val="18"/>
          <w:szCs w:val="18"/>
          <w:lang w:val="es-ES_tradnl"/>
        </w:rPr>
        <w:t>ó</w:t>
      </w:r>
      <w:r>
        <w:rPr>
          <w:spacing w:val="-6"/>
          <w:sz w:val="18"/>
          <w:szCs w:val="18"/>
          <w:lang w:val="es-ES_tradnl"/>
        </w:rPr>
        <w:t>n</w:t>
      </w:r>
      <w:r>
        <w:rPr>
          <w:rFonts w:cs="Times New Roman"/>
          <w:spacing w:val="-6"/>
          <w:sz w:val="18"/>
          <w:szCs w:val="18"/>
          <w:lang w:val="es-ES_tradnl"/>
        </w:rPr>
        <w:t>”</w:t>
      </w:r>
      <w:r>
        <w:rPr>
          <w:spacing w:val="-6"/>
          <w:sz w:val="18"/>
          <w:szCs w:val="18"/>
          <w:lang w:val="es-ES_tradnl"/>
        </w:rPr>
        <w:t xml:space="preserve">, se encuentra en el sector denominado ZR2 y por lo tanto, contraviene a lo dispuesto en la Ordenanza </w:t>
      </w:r>
      <w:r>
        <w:rPr>
          <w:spacing w:val="-8"/>
          <w:sz w:val="18"/>
          <w:szCs w:val="18"/>
          <w:lang w:val="es-ES_tradnl"/>
        </w:rPr>
        <w:t>antes referida y adem</w:t>
      </w:r>
      <w:r>
        <w:rPr>
          <w:rFonts w:cs="Times New Roman"/>
          <w:spacing w:val="-8"/>
          <w:sz w:val="18"/>
          <w:szCs w:val="18"/>
          <w:lang w:val="es-ES_tradnl"/>
        </w:rPr>
        <w:t>á</w:t>
      </w:r>
      <w:r>
        <w:rPr>
          <w:spacing w:val="-8"/>
          <w:sz w:val="18"/>
          <w:szCs w:val="18"/>
          <w:lang w:val="es-ES_tradnl"/>
        </w:rPr>
        <w:t>s que no pose</w:t>
      </w:r>
      <w:r>
        <w:rPr>
          <w:rFonts w:cs="Times New Roman"/>
          <w:spacing w:val="-8"/>
          <w:sz w:val="18"/>
          <w:szCs w:val="18"/>
          <w:lang w:val="es-ES_tradnl"/>
        </w:rPr>
        <w:t>í</w:t>
      </w:r>
      <w:r>
        <w:rPr>
          <w:spacing w:val="-8"/>
          <w:sz w:val="18"/>
          <w:szCs w:val="18"/>
          <w:lang w:val="es-ES_tradnl"/>
        </w:rPr>
        <w:t xml:space="preserve">a el permiso de </w:t>
      </w:r>
      <w:r>
        <w:rPr>
          <w:spacing w:val="-7"/>
          <w:sz w:val="18"/>
          <w:szCs w:val="18"/>
          <w:lang w:val="es-ES_tradnl"/>
        </w:rPr>
        <w:t xml:space="preserve">funcionamiento, situaciones estas que determinaron la </w:t>
      </w:r>
      <w:r>
        <w:rPr>
          <w:sz w:val="18"/>
          <w:szCs w:val="18"/>
          <w:lang w:val="es-ES_tradnl"/>
        </w:rPr>
        <w:t>clausura del local comercial, no existiendo limitaci</w:t>
      </w:r>
      <w:r>
        <w:rPr>
          <w:rFonts w:cs="Times New Roman"/>
          <w:sz w:val="18"/>
          <w:szCs w:val="18"/>
          <w:lang w:val="es-ES_tradnl"/>
        </w:rPr>
        <w:t>ó</w:t>
      </w:r>
      <w:r>
        <w:rPr>
          <w:sz w:val="18"/>
          <w:szCs w:val="18"/>
          <w:lang w:val="es-ES_tradnl"/>
        </w:rPr>
        <w:t xml:space="preserve">n </w:t>
      </w:r>
      <w:r>
        <w:rPr>
          <w:spacing w:val="-6"/>
          <w:sz w:val="18"/>
          <w:szCs w:val="18"/>
          <w:lang w:val="es-ES_tradnl"/>
        </w:rPr>
        <w:t>de ning</w:t>
      </w:r>
      <w:r>
        <w:rPr>
          <w:rFonts w:cs="Times New Roman"/>
          <w:spacing w:val="-6"/>
          <w:sz w:val="18"/>
          <w:szCs w:val="18"/>
          <w:lang w:val="es-ES_tradnl"/>
        </w:rPr>
        <w:t>ú</w:t>
      </w:r>
      <w:r>
        <w:rPr>
          <w:spacing w:val="-6"/>
          <w:sz w:val="18"/>
          <w:szCs w:val="18"/>
          <w:lang w:val="es-ES_tradnl"/>
        </w:rPr>
        <w:t>n derecho y menos al trabajo de la propietaria, aclarando que la Constituci</w:t>
      </w:r>
      <w:r>
        <w:rPr>
          <w:rFonts w:cs="Times New Roman"/>
          <w:spacing w:val="-6"/>
          <w:sz w:val="18"/>
          <w:szCs w:val="18"/>
          <w:lang w:val="es-ES_tradnl"/>
        </w:rPr>
        <w:t>ó</w:t>
      </w:r>
      <w:r>
        <w:rPr>
          <w:spacing w:val="-6"/>
          <w:sz w:val="18"/>
          <w:szCs w:val="18"/>
          <w:lang w:val="es-ES_tradnl"/>
        </w:rPr>
        <w:t xml:space="preserve">n y el COOTAD les otorgan </w:t>
      </w:r>
      <w:r>
        <w:rPr>
          <w:spacing w:val="-8"/>
          <w:sz w:val="18"/>
          <w:szCs w:val="18"/>
          <w:lang w:val="es-ES_tradnl"/>
        </w:rPr>
        <w:t>facultad a los gobiernos aut</w:t>
      </w:r>
      <w:r>
        <w:rPr>
          <w:rFonts w:cs="Times New Roman"/>
          <w:spacing w:val="-8"/>
          <w:sz w:val="18"/>
          <w:szCs w:val="18"/>
          <w:lang w:val="es-ES_tradnl"/>
        </w:rPr>
        <w:t>ó</w:t>
      </w:r>
      <w:r>
        <w:rPr>
          <w:spacing w:val="-8"/>
          <w:sz w:val="18"/>
          <w:szCs w:val="18"/>
          <w:lang w:val="es-ES_tradnl"/>
        </w:rPr>
        <w:t xml:space="preserve">nomos descentralizados para </w:t>
      </w:r>
      <w:r>
        <w:rPr>
          <w:spacing w:val="-7"/>
          <w:sz w:val="18"/>
          <w:szCs w:val="18"/>
          <w:lang w:val="es-ES_tradnl"/>
        </w:rPr>
        <w:t>ejercer control sobre el uso y ocupaci</w:t>
      </w:r>
      <w:r>
        <w:rPr>
          <w:rFonts w:cs="Times New Roman"/>
          <w:spacing w:val="-7"/>
          <w:sz w:val="18"/>
          <w:szCs w:val="18"/>
          <w:lang w:val="es-ES_tradnl"/>
        </w:rPr>
        <w:t>ó</w:t>
      </w:r>
      <w:r>
        <w:rPr>
          <w:spacing w:val="-7"/>
          <w:sz w:val="18"/>
          <w:szCs w:val="18"/>
          <w:lang w:val="es-ES_tradnl"/>
        </w:rPr>
        <w:t>n del suelo.</w:t>
      </w:r>
    </w:p>
    <w:p w14:paraId="4F67B9EB" w14:textId="77777777" w:rsidR="00591D54" w:rsidRDefault="00591D54">
      <w:pPr>
        <w:shd w:val="clear" w:color="auto" w:fill="FFFFFF"/>
        <w:spacing w:before="206" w:line="226" w:lineRule="exact"/>
        <w:ind w:right="10"/>
        <w:jc w:val="both"/>
      </w:pPr>
      <w:r>
        <w:rPr>
          <w:spacing w:val="-5"/>
          <w:sz w:val="18"/>
          <w:szCs w:val="18"/>
          <w:lang w:val="es-ES_tradnl"/>
        </w:rPr>
        <w:t xml:space="preserve">Sostienen que el fallo expedido por la Sala </w:t>
      </w:r>
      <w:r>
        <w:rPr>
          <w:rFonts w:cs="Times New Roman"/>
          <w:spacing w:val="-5"/>
          <w:sz w:val="18"/>
          <w:szCs w:val="18"/>
          <w:lang w:val="es-ES_tradnl"/>
        </w:rPr>
        <w:t>Ú</w:t>
      </w:r>
      <w:r>
        <w:rPr>
          <w:spacing w:val="-5"/>
          <w:sz w:val="18"/>
          <w:szCs w:val="18"/>
          <w:lang w:val="es-ES_tradnl"/>
        </w:rPr>
        <w:t xml:space="preserve">nica de la </w:t>
      </w:r>
      <w:r>
        <w:rPr>
          <w:spacing w:val="-3"/>
          <w:sz w:val="18"/>
          <w:szCs w:val="18"/>
          <w:lang w:val="es-ES_tradnl"/>
        </w:rPr>
        <w:t xml:space="preserve">Corte Provincial de Justicia de Santa Elena transgrede </w:t>
      </w:r>
      <w:r>
        <w:rPr>
          <w:spacing w:val="-7"/>
          <w:sz w:val="18"/>
          <w:szCs w:val="18"/>
          <w:lang w:val="es-ES_tradnl"/>
        </w:rPr>
        <w:t>los derechos al debido proceso y a la seguridad jur</w:t>
      </w:r>
      <w:r>
        <w:rPr>
          <w:rFonts w:cs="Times New Roman"/>
          <w:spacing w:val="-7"/>
          <w:sz w:val="18"/>
          <w:szCs w:val="18"/>
          <w:lang w:val="es-ES_tradnl"/>
        </w:rPr>
        <w:t>í</w:t>
      </w:r>
      <w:r>
        <w:rPr>
          <w:spacing w:val="-7"/>
          <w:sz w:val="18"/>
          <w:szCs w:val="18"/>
          <w:lang w:val="es-ES_tradnl"/>
        </w:rPr>
        <w:t>dica, consagrados en los art</w:t>
      </w:r>
      <w:r>
        <w:rPr>
          <w:rFonts w:cs="Times New Roman"/>
          <w:spacing w:val="-7"/>
          <w:sz w:val="18"/>
          <w:szCs w:val="18"/>
          <w:lang w:val="es-ES_tradnl"/>
        </w:rPr>
        <w:t>í</w:t>
      </w:r>
      <w:r>
        <w:rPr>
          <w:spacing w:val="-7"/>
          <w:sz w:val="18"/>
          <w:szCs w:val="18"/>
          <w:lang w:val="es-ES_tradnl"/>
        </w:rPr>
        <w:t xml:space="preserve">culos 76 numeral 1 y 82 de la </w:t>
      </w:r>
      <w:r>
        <w:rPr>
          <w:sz w:val="18"/>
          <w:szCs w:val="18"/>
          <w:lang w:val="es-ES_tradnl"/>
        </w:rPr>
        <w:t>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blica.</w:t>
      </w:r>
    </w:p>
    <w:p w14:paraId="4F67B9EC" w14:textId="77777777" w:rsidR="00591D54" w:rsidRDefault="00591D54">
      <w:pPr>
        <w:shd w:val="clear" w:color="auto" w:fill="FFFFFF"/>
        <w:spacing w:before="206"/>
      </w:pPr>
      <w:r>
        <w:rPr>
          <w:b/>
          <w:bCs/>
          <w:spacing w:val="-11"/>
          <w:sz w:val="18"/>
          <w:szCs w:val="18"/>
          <w:lang w:val="es-ES_tradnl"/>
        </w:rPr>
        <w:t>Sentencia o auto que se impugna</w:t>
      </w:r>
    </w:p>
    <w:p w14:paraId="4F67B9ED" w14:textId="77777777" w:rsidR="00591D54" w:rsidRDefault="00591D54">
      <w:pPr>
        <w:shd w:val="clear" w:color="auto" w:fill="FFFFFF"/>
        <w:spacing w:before="206" w:line="226" w:lineRule="exact"/>
        <w:ind w:right="10"/>
        <w:jc w:val="both"/>
      </w:pPr>
      <w:r>
        <w:rPr>
          <w:spacing w:val="-7"/>
          <w:sz w:val="18"/>
          <w:szCs w:val="18"/>
          <w:lang w:val="es-ES_tradnl"/>
        </w:rPr>
        <w:t xml:space="preserve">A criterio de los accionantes, la sentencia que se impugna </w:t>
      </w:r>
      <w:r>
        <w:rPr>
          <w:sz w:val="18"/>
          <w:szCs w:val="18"/>
          <w:lang w:val="es-ES_tradnl"/>
        </w:rPr>
        <w:t>en su parte pertinente, dice:</w:t>
      </w:r>
    </w:p>
    <w:p w14:paraId="4F67B9EE" w14:textId="77777777" w:rsidR="00591D54" w:rsidRDefault="00591D54">
      <w:pPr>
        <w:shd w:val="clear" w:color="auto" w:fill="FFFFFF"/>
        <w:spacing w:before="206" w:line="226" w:lineRule="exact"/>
        <w:ind w:left="283"/>
        <w:jc w:val="both"/>
      </w:pPr>
      <w:r>
        <w:rPr>
          <w:sz w:val="16"/>
          <w:szCs w:val="16"/>
          <w:lang w:val="es-ES_tradnl"/>
        </w:rPr>
        <w:t>(</w:t>
      </w:r>
      <w:r>
        <w:rPr>
          <w:rFonts w:cs="Times New Roman"/>
          <w:sz w:val="16"/>
          <w:szCs w:val="16"/>
          <w:lang w:val="es-ES_tradnl"/>
        </w:rPr>
        <w:t>…</w:t>
      </w:r>
      <w:r>
        <w:rPr>
          <w:sz w:val="16"/>
          <w:szCs w:val="16"/>
          <w:lang w:val="es-ES_tradnl"/>
        </w:rPr>
        <w:t xml:space="preserve">) SALA </w:t>
      </w:r>
      <w:r>
        <w:rPr>
          <w:rFonts w:cs="Times New Roman"/>
          <w:sz w:val="16"/>
          <w:szCs w:val="16"/>
          <w:lang w:val="es-ES_tradnl"/>
        </w:rPr>
        <w:t>Ú</w:t>
      </w:r>
      <w:r>
        <w:rPr>
          <w:sz w:val="16"/>
          <w:szCs w:val="16"/>
          <w:lang w:val="es-ES_tradnl"/>
        </w:rPr>
        <w:t xml:space="preserve">NICA DE LA CORTE PROVINCIAL DE </w:t>
      </w:r>
      <w:r>
        <w:rPr>
          <w:spacing w:val="-3"/>
          <w:sz w:val="16"/>
          <w:szCs w:val="16"/>
          <w:lang w:val="es-ES_tradnl"/>
        </w:rPr>
        <w:t>JUSTICIA DE SANTA ELENA.- (</w:t>
      </w:r>
      <w:r>
        <w:rPr>
          <w:rFonts w:cs="Times New Roman"/>
          <w:spacing w:val="-3"/>
          <w:sz w:val="16"/>
          <w:szCs w:val="16"/>
          <w:lang w:val="es-ES_tradnl"/>
        </w:rPr>
        <w:t>…</w:t>
      </w:r>
      <w:r>
        <w:rPr>
          <w:spacing w:val="-3"/>
          <w:sz w:val="16"/>
          <w:szCs w:val="16"/>
          <w:lang w:val="es-ES_tradnl"/>
        </w:rPr>
        <w:t xml:space="preserve">) Salinas, 31 de agosto </w:t>
      </w:r>
      <w:r>
        <w:rPr>
          <w:spacing w:val="-2"/>
          <w:sz w:val="16"/>
          <w:szCs w:val="16"/>
          <w:lang w:val="es-ES_tradnl"/>
        </w:rPr>
        <w:t>del 2011; a las 17H21.- VISTOS: (</w:t>
      </w:r>
      <w:r>
        <w:rPr>
          <w:rFonts w:cs="Times New Roman"/>
          <w:spacing w:val="-2"/>
          <w:sz w:val="16"/>
          <w:szCs w:val="16"/>
          <w:lang w:val="es-ES_tradnl"/>
        </w:rPr>
        <w:t>…</w:t>
      </w:r>
      <w:r>
        <w:rPr>
          <w:spacing w:val="-2"/>
          <w:sz w:val="16"/>
          <w:szCs w:val="16"/>
          <w:lang w:val="es-ES_tradnl"/>
        </w:rPr>
        <w:t xml:space="preserve">) ADMINISTRANDO </w:t>
      </w:r>
      <w:r>
        <w:rPr>
          <w:spacing w:val="-3"/>
          <w:sz w:val="16"/>
          <w:szCs w:val="16"/>
          <w:lang w:val="es-ES_tradnl"/>
        </w:rPr>
        <w:t>JUSTICIA, EN NOMBRE DEL PUEBLO SOBERANO DEL ECUADOR Y POR AUTORIDAD DE LA CONSTITUCI</w:t>
      </w:r>
      <w:r>
        <w:rPr>
          <w:rFonts w:cs="Times New Roman"/>
          <w:spacing w:val="-3"/>
          <w:sz w:val="16"/>
          <w:szCs w:val="16"/>
          <w:lang w:val="es-ES_tradnl"/>
        </w:rPr>
        <w:t>Ó</w:t>
      </w:r>
      <w:r>
        <w:rPr>
          <w:spacing w:val="-3"/>
          <w:sz w:val="16"/>
          <w:szCs w:val="16"/>
          <w:lang w:val="es-ES_tradnl"/>
        </w:rPr>
        <w:t xml:space="preserve">N </w:t>
      </w:r>
      <w:r>
        <w:rPr>
          <w:spacing w:val="-6"/>
          <w:sz w:val="16"/>
          <w:szCs w:val="16"/>
          <w:lang w:val="es-ES_tradnl"/>
        </w:rPr>
        <w:t>Y LAS LEYES DE LA REP</w:t>
      </w:r>
      <w:r>
        <w:rPr>
          <w:rFonts w:cs="Times New Roman"/>
          <w:spacing w:val="-6"/>
          <w:sz w:val="16"/>
          <w:szCs w:val="16"/>
          <w:lang w:val="es-ES_tradnl"/>
        </w:rPr>
        <w:t>Ú</w:t>
      </w:r>
      <w:r>
        <w:rPr>
          <w:spacing w:val="-6"/>
          <w:sz w:val="16"/>
          <w:szCs w:val="16"/>
          <w:lang w:val="es-ES_tradnl"/>
        </w:rPr>
        <w:t xml:space="preserve">BLICA, rechaza los recursos de </w:t>
      </w:r>
      <w:r>
        <w:rPr>
          <w:spacing w:val="-8"/>
          <w:sz w:val="16"/>
          <w:szCs w:val="16"/>
          <w:lang w:val="es-ES_tradnl"/>
        </w:rPr>
        <w:t>apelaci</w:t>
      </w:r>
      <w:r>
        <w:rPr>
          <w:rFonts w:cs="Times New Roman"/>
          <w:spacing w:val="-8"/>
          <w:sz w:val="16"/>
          <w:szCs w:val="16"/>
          <w:lang w:val="es-ES_tradnl"/>
        </w:rPr>
        <w:t>ó</w:t>
      </w:r>
      <w:r>
        <w:rPr>
          <w:spacing w:val="-8"/>
          <w:sz w:val="16"/>
          <w:szCs w:val="16"/>
          <w:lang w:val="es-ES_tradnl"/>
        </w:rPr>
        <w:t>n presentados por el Abogado Est</w:t>
      </w:r>
      <w:r>
        <w:rPr>
          <w:rFonts w:cs="Times New Roman"/>
          <w:spacing w:val="-8"/>
          <w:sz w:val="16"/>
          <w:szCs w:val="16"/>
          <w:lang w:val="es-ES_tradnl"/>
        </w:rPr>
        <w:t>í</w:t>
      </w:r>
      <w:r>
        <w:rPr>
          <w:spacing w:val="-8"/>
          <w:sz w:val="16"/>
          <w:szCs w:val="16"/>
          <w:lang w:val="es-ES_tradnl"/>
        </w:rPr>
        <w:t>n Cede</w:t>
      </w:r>
      <w:r>
        <w:rPr>
          <w:rFonts w:cs="Times New Roman"/>
          <w:spacing w:val="-8"/>
          <w:sz w:val="16"/>
          <w:szCs w:val="16"/>
          <w:lang w:val="es-ES_tradnl"/>
        </w:rPr>
        <w:t>ñ</w:t>
      </w:r>
      <w:r>
        <w:rPr>
          <w:spacing w:val="-8"/>
          <w:sz w:val="16"/>
          <w:szCs w:val="16"/>
          <w:lang w:val="es-ES_tradnl"/>
        </w:rPr>
        <w:t>o Baja</w:t>
      </w:r>
      <w:r>
        <w:rPr>
          <w:rFonts w:cs="Times New Roman"/>
          <w:spacing w:val="-8"/>
          <w:sz w:val="16"/>
          <w:szCs w:val="16"/>
          <w:lang w:val="es-ES_tradnl"/>
        </w:rPr>
        <w:t>ñ</w:t>
      </w:r>
      <w:r>
        <w:rPr>
          <w:spacing w:val="-8"/>
          <w:sz w:val="16"/>
          <w:szCs w:val="16"/>
          <w:lang w:val="es-ES_tradnl"/>
        </w:rPr>
        <w:t xml:space="preserve">a a </w:t>
      </w:r>
      <w:r>
        <w:rPr>
          <w:spacing w:val="-6"/>
          <w:sz w:val="16"/>
          <w:szCs w:val="16"/>
          <w:lang w:val="es-ES_tradnl"/>
        </w:rPr>
        <w:t>nombre del Doctor Antonio Pazmi</w:t>
      </w:r>
      <w:r>
        <w:rPr>
          <w:rFonts w:cs="Times New Roman"/>
          <w:spacing w:val="-6"/>
          <w:sz w:val="16"/>
          <w:szCs w:val="16"/>
          <w:lang w:val="es-ES_tradnl"/>
        </w:rPr>
        <w:t>ñ</w:t>
      </w:r>
      <w:r>
        <w:rPr>
          <w:spacing w:val="-6"/>
          <w:sz w:val="16"/>
          <w:szCs w:val="16"/>
          <w:lang w:val="es-ES_tradnl"/>
        </w:rPr>
        <w:t xml:space="preserve">o Icaza, Director Regional </w:t>
      </w:r>
      <w:r>
        <w:rPr>
          <w:spacing w:val="-4"/>
          <w:sz w:val="16"/>
          <w:szCs w:val="16"/>
          <w:lang w:val="es-ES_tradnl"/>
        </w:rPr>
        <w:t>1 de la Procuradur</w:t>
      </w:r>
      <w:r>
        <w:rPr>
          <w:rFonts w:cs="Times New Roman"/>
          <w:spacing w:val="-4"/>
          <w:sz w:val="16"/>
          <w:szCs w:val="16"/>
          <w:lang w:val="es-ES_tradnl"/>
        </w:rPr>
        <w:t>í</w:t>
      </w:r>
      <w:r>
        <w:rPr>
          <w:spacing w:val="-4"/>
          <w:sz w:val="16"/>
          <w:szCs w:val="16"/>
          <w:lang w:val="es-ES_tradnl"/>
        </w:rPr>
        <w:t xml:space="preserve">a General del Estado, del Economista </w:t>
      </w:r>
      <w:r>
        <w:rPr>
          <w:spacing w:val="-8"/>
          <w:sz w:val="16"/>
          <w:szCs w:val="16"/>
          <w:lang w:val="es-ES_tradnl"/>
        </w:rPr>
        <w:t xml:space="preserve">Marco Chango Jacho, Vicente Concha Lecaro y Ab. Roosevelt </w:t>
      </w:r>
      <w:r>
        <w:rPr>
          <w:spacing w:val="-5"/>
          <w:sz w:val="16"/>
          <w:szCs w:val="16"/>
          <w:lang w:val="es-ES_tradnl"/>
        </w:rPr>
        <w:t>Serrano Garc</w:t>
      </w:r>
      <w:r>
        <w:rPr>
          <w:rFonts w:cs="Times New Roman"/>
          <w:spacing w:val="-5"/>
          <w:sz w:val="16"/>
          <w:szCs w:val="16"/>
          <w:lang w:val="es-ES_tradnl"/>
        </w:rPr>
        <w:t>í</w:t>
      </w:r>
      <w:r>
        <w:rPr>
          <w:spacing w:val="-5"/>
          <w:sz w:val="16"/>
          <w:szCs w:val="16"/>
          <w:lang w:val="es-ES_tradnl"/>
        </w:rPr>
        <w:t xml:space="preserve">a, Alcalde, Comisario Municipal y Procurador </w:t>
      </w:r>
      <w:r>
        <w:rPr>
          <w:spacing w:val="-6"/>
          <w:sz w:val="16"/>
          <w:szCs w:val="16"/>
          <w:lang w:val="es-ES_tradnl"/>
        </w:rPr>
        <w:t>S</w:t>
      </w:r>
      <w:r>
        <w:rPr>
          <w:rFonts w:cs="Times New Roman"/>
          <w:spacing w:val="-6"/>
          <w:sz w:val="16"/>
          <w:szCs w:val="16"/>
          <w:lang w:val="es-ES_tradnl"/>
        </w:rPr>
        <w:t>í</w:t>
      </w:r>
      <w:r>
        <w:rPr>
          <w:spacing w:val="-6"/>
          <w:sz w:val="16"/>
          <w:szCs w:val="16"/>
          <w:lang w:val="es-ES_tradnl"/>
        </w:rPr>
        <w:t>ndico respectivamente, de la Municipalidad del Cant</w:t>
      </w:r>
      <w:r>
        <w:rPr>
          <w:rFonts w:cs="Times New Roman"/>
          <w:spacing w:val="-6"/>
          <w:sz w:val="16"/>
          <w:szCs w:val="16"/>
          <w:lang w:val="es-ES_tradnl"/>
        </w:rPr>
        <w:t>ó</w:t>
      </w:r>
      <w:r>
        <w:rPr>
          <w:spacing w:val="-6"/>
          <w:sz w:val="16"/>
          <w:szCs w:val="16"/>
          <w:lang w:val="es-ES_tradnl"/>
        </w:rPr>
        <w:t xml:space="preserve">n La Libertad y se confirma la sentencia dictada el 25 de junio del </w:t>
      </w:r>
      <w:r>
        <w:rPr>
          <w:spacing w:val="-5"/>
          <w:sz w:val="16"/>
          <w:szCs w:val="16"/>
          <w:lang w:val="es-ES_tradnl"/>
        </w:rPr>
        <w:t>2010; las 14H45, por la Abogada Ana Mar</w:t>
      </w:r>
      <w:r>
        <w:rPr>
          <w:rFonts w:cs="Times New Roman"/>
          <w:spacing w:val="-5"/>
          <w:sz w:val="16"/>
          <w:szCs w:val="16"/>
          <w:lang w:val="es-ES_tradnl"/>
        </w:rPr>
        <w:t>í</w:t>
      </w:r>
      <w:r>
        <w:rPr>
          <w:spacing w:val="-5"/>
          <w:sz w:val="16"/>
          <w:szCs w:val="16"/>
          <w:lang w:val="es-ES_tradnl"/>
        </w:rPr>
        <w:t xml:space="preserve">a Tapia Blacio, </w:t>
      </w:r>
      <w:r>
        <w:rPr>
          <w:spacing w:val="-8"/>
          <w:sz w:val="16"/>
          <w:szCs w:val="16"/>
          <w:lang w:val="es-ES_tradnl"/>
        </w:rPr>
        <w:t>Jueza de Familia, Mujer, Ni</w:t>
      </w:r>
      <w:r>
        <w:rPr>
          <w:rFonts w:cs="Times New Roman"/>
          <w:spacing w:val="-8"/>
          <w:sz w:val="16"/>
          <w:szCs w:val="16"/>
          <w:lang w:val="es-ES_tradnl"/>
        </w:rPr>
        <w:t>ñ</w:t>
      </w:r>
      <w:r>
        <w:rPr>
          <w:spacing w:val="-8"/>
          <w:sz w:val="16"/>
          <w:szCs w:val="16"/>
          <w:lang w:val="es-ES_tradnl"/>
        </w:rPr>
        <w:t xml:space="preserve">ez y Adolescencia de Santa Elena </w:t>
      </w:r>
      <w:r>
        <w:rPr>
          <w:spacing w:val="-3"/>
          <w:sz w:val="16"/>
          <w:szCs w:val="16"/>
          <w:lang w:val="es-ES_tradnl"/>
        </w:rPr>
        <w:t>venida en grado (</w:t>
      </w:r>
      <w:r>
        <w:rPr>
          <w:rFonts w:cs="Times New Roman"/>
          <w:spacing w:val="-3"/>
          <w:sz w:val="16"/>
          <w:szCs w:val="16"/>
          <w:lang w:val="es-ES_tradnl"/>
        </w:rPr>
        <w:t>…</w:t>
      </w:r>
      <w:r>
        <w:rPr>
          <w:spacing w:val="-3"/>
          <w:sz w:val="16"/>
          <w:szCs w:val="16"/>
          <w:lang w:val="es-ES_tradnl"/>
        </w:rPr>
        <w:t>) NOTIF</w:t>
      </w:r>
      <w:r>
        <w:rPr>
          <w:rFonts w:cs="Times New Roman"/>
          <w:spacing w:val="-3"/>
          <w:sz w:val="16"/>
          <w:szCs w:val="16"/>
          <w:lang w:val="es-ES_tradnl"/>
        </w:rPr>
        <w:t>Í</w:t>
      </w:r>
      <w:r>
        <w:rPr>
          <w:spacing w:val="-3"/>
          <w:sz w:val="16"/>
          <w:szCs w:val="16"/>
          <w:lang w:val="es-ES_tradnl"/>
        </w:rPr>
        <w:t>QUESE Y CUMPLASE.- (</w:t>
      </w:r>
      <w:r>
        <w:rPr>
          <w:rFonts w:cs="Times New Roman"/>
          <w:spacing w:val="-3"/>
          <w:sz w:val="16"/>
          <w:szCs w:val="16"/>
          <w:lang w:val="es-ES_tradnl"/>
        </w:rPr>
        <w:t>…</w:t>
      </w:r>
      <w:r>
        <w:rPr>
          <w:spacing w:val="-3"/>
          <w:sz w:val="16"/>
          <w:szCs w:val="16"/>
          <w:lang w:val="es-ES_tradnl"/>
        </w:rPr>
        <w:t xml:space="preserve">) </w:t>
      </w:r>
      <w:r>
        <w:rPr>
          <w:sz w:val="16"/>
          <w:szCs w:val="16"/>
          <w:lang w:val="es-ES_tradnl"/>
        </w:rPr>
        <w:t>sic.</w:t>
      </w:r>
    </w:p>
    <w:p w14:paraId="4F67B9EF" w14:textId="77777777" w:rsidR="00591D54" w:rsidRDefault="00591D54">
      <w:pPr>
        <w:shd w:val="clear" w:color="auto" w:fill="FFFFFF"/>
        <w:spacing w:before="211"/>
      </w:pPr>
      <w:r>
        <w:rPr>
          <w:b/>
          <w:bCs/>
          <w:spacing w:val="-11"/>
          <w:sz w:val="18"/>
          <w:szCs w:val="18"/>
          <w:lang w:val="es-ES_tradnl"/>
        </w:rPr>
        <w:t>Pretensi</w:t>
      </w:r>
      <w:r>
        <w:rPr>
          <w:rFonts w:cs="Times New Roman"/>
          <w:b/>
          <w:bCs/>
          <w:spacing w:val="-11"/>
          <w:sz w:val="18"/>
          <w:szCs w:val="18"/>
          <w:lang w:val="es-ES_tradnl"/>
        </w:rPr>
        <w:t>ó</w:t>
      </w:r>
      <w:r>
        <w:rPr>
          <w:b/>
          <w:bCs/>
          <w:spacing w:val="-11"/>
          <w:sz w:val="18"/>
          <w:szCs w:val="18"/>
          <w:lang w:val="es-ES_tradnl"/>
        </w:rPr>
        <w:t>n</w:t>
      </w:r>
    </w:p>
    <w:p w14:paraId="4F67B9F0" w14:textId="77777777" w:rsidR="00591D54" w:rsidRDefault="00591D54">
      <w:pPr>
        <w:shd w:val="clear" w:color="auto" w:fill="FFFFFF"/>
        <w:spacing w:before="206" w:line="226" w:lineRule="exact"/>
        <w:ind w:right="10"/>
        <w:jc w:val="both"/>
      </w:pPr>
      <w:r>
        <w:rPr>
          <w:spacing w:val="-9"/>
          <w:sz w:val="18"/>
          <w:szCs w:val="18"/>
          <w:lang w:val="es-ES_tradnl"/>
        </w:rPr>
        <w:t>La pretensi</w:t>
      </w:r>
      <w:r>
        <w:rPr>
          <w:rFonts w:cs="Times New Roman"/>
          <w:spacing w:val="-9"/>
          <w:sz w:val="18"/>
          <w:szCs w:val="18"/>
          <w:lang w:val="es-ES_tradnl"/>
        </w:rPr>
        <w:t>ó</w:t>
      </w:r>
      <w:r>
        <w:rPr>
          <w:spacing w:val="-9"/>
          <w:sz w:val="18"/>
          <w:szCs w:val="18"/>
          <w:lang w:val="es-ES_tradnl"/>
        </w:rPr>
        <w:t xml:space="preserve">n concreta de los legitimados activos es que se </w:t>
      </w:r>
      <w:r>
        <w:rPr>
          <w:spacing w:val="-7"/>
          <w:sz w:val="18"/>
          <w:szCs w:val="18"/>
          <w:lang w:val="es-ES_tradnl"/>
        </w:rPr>
        <w:t xml:space="preserve">deje sin efecto la sentencia dictada por la Sala </w:t>
      </w:r>
      <w:r>
        <w:rPr>
          <w:rFonts w:cs="Times New Roman"/>
          <w:spacing w:val="-7"/>
          <w:sz w:val="18"/>
          <w:szCs w:val="18"/>
          <w:lang w:val="es-ES_tradnl"/>
        </w:rPr>
        <w:t>Ú</w:t>
      </w:r>
      <w:r>
        <w:rPr>
          <w:spacing w:val="-7"/>
          <w:sz w:val="18"/>
          <w:szCs w:val="18"/>
          <w:lang w:val="es-ES_tradnl"/>
        </w:rPr>
        <w:t xml:space="preserve">nica de la </w:t>
      </w:r>
      <w:r>
        <w:rPr>
          <w:spacing w:val="-9"/>
          <w:sz w:val="18"/>
          <w:szCs w:val="18"/>
          <w:lang w:val="es-ES_tradnl"/>
        </w:rPr>
        <w:t xml:space="preserve">Corte Provincial de Justicia de Santa Elena, el 31 de agosto </w:t>
      </w:r>
      <w:r>
        <w:rPr>
          <w:spacing w:val="-8"/>
          <w:sz w:val="18"/>
          <w:szCs w:val="18"/>
          <w:lang w:val="es-ES_tradnl"/>
        </w:rPr>
        <w:t>de 2011 a las 17h21, dentro de la acci</w:t>
      </w:r>
      <w:r>
        <w:rPr>
          <w:rFonts w:cs="Times New Roman"/>
          <w:spacing w:val="-8"/>
          <w:sz w:val="18"/>
          <w:szCs w:val="18"/>
          <w:lang w:val="es-ES_tradnl"/>
        </w:rPr>
        <w:t>ó</w:t>
      </w:r>
      <w:r>
        <w:rPr>
          <w:spacing w:val="-8"/>
          <w:sz w:val="18"/>
          <w:szCs w:val="18"/>
          <w:lang w:val="es-ES_tradnl"/>
        </w:rPr>
        <w:t>n de protecci</w:t>
      </w:r>
      <w:r>
        <w:rPr>
          <w:rFonts w:cs="Times New Roman"/>
          <w:spacing w:val="-8"/>
          <w:sz w:val="18"/>
          <w:szCs w:val="18"/>
          <w:lang w:val="es-ES_tradnl"/>
        </w:rPr>
        <w:t>ó</w:t>
      </w:r>
      <w:r>
        <w:rPr>
          <w:spacing w:val="-8"/>
          <w:sz w:val="18"/>
          <w:szCs w:val="18"/>
          <w:lang w:val="es-ES_tradnl"/>
        </w:rPr>
        <w:t>n N.</w:t>
      </w:r>
      <w:r>
        <w:rPr>
          <w:rFonts w:cs="Times New Roman"/>
          <w:spacing w:val="-8"/>
          <w:sz w:val="18"/>
          <w:szCs w:val="18"/>
          <w:lang w:val="es-ES_tradnl"/>
        </w:rPr>
        <w:t xml:space="preserve">º </w:t>
      </w:r>
      <w:r>
        <w:rPr>
          <w:sz w:val="18"/>
          <w:szCs w:val="18"/>
          <w:lang w:val="es-ES_tradnl"/>
        </w:rPr>
        <w:t>368-2010-2.</w:t>
      </w:r>
    </w:p>
    <w:p w14:paraId="4F67B9F1" w14:textId="77777777" w:rsidR="00591D54" w:rsidRDefault="00591D54">
      <w:pPr>
        <w:shd w:val="clear" w:color="auto" w:fill="FFFFFF"/>
      </w:pPr>
      <w:r>
        <w:br w:type="column"/>
      </w:r>
      <w:r>
        <w:rPr>
          <w:b/>
          <w:bCs/>
          <w:spacing w:val="-11"/>
          <w:sz w:val="18"/>
          <w:szCs w:val="18"/>
          <w:lang w:val="es-ES_tradnl"/>
        </w:rPr>
        <w:t>Contestaciones a la demanda</w:t>
      </w:r>
    </w:p>
    <w:p w14:paraId="4F67B9F2" w14:textId="77777777" w:rsidR="00591D54" w:rsidRDefault="00591D54">
      <w:pPr>
        <w:shd w:val="clear" w:color="auto" w:fill="FFFFFF"/>
        <w:spacing w:before="197" w:line="216" w:lineRule="exact"/>
        <w:jc w:val="both"/>
      </w:pPr>
      <w:r>
        <w:rPr>
          <w:spacing w:val="-8"/>
          <w:sz w:val="18"/>
          <w:szCs w:val="18"/>
          <w:lang w:val="es-ES_tradnl"/>
        </w:rPr>
        <w:t xml:space="preserve">Por una parte, comparecen la doctora Nicolasa Panchana </w:t>
      </w:r>
      <w:r>
        <w:rPr>
          <w:spacing w:val="-9"/>
          <w:sz w:val="18"/>
          <w:szCs w:val="18"/>
          <w:lang w:val="es-ES_tradnl"/>
        </w:rPr>
        <w:t>Su</w:t>
      </w:r>
      <w:r>
        <w:rPr>
          <w:rFonts w:cs="Times New Roman"/>
          <w:spacing w:val="-9"/>
          <w:sz w:val="18"/>
          <w:szCs w:val="18"/>
          <w:lang w:val="es-ES_tradnl"/>
        </w:rPr>
        <w:t>á</w:t>
      </w:r>
      <w:r>
        <w:rPr>
          <w:spacing w:val="-9"/>
          <w:sz w:val="18"/>
          <w:szCs w:val="18"/>
          <w:lang w:val="es-ES_tradnl"/>
        </w:rPr>
        <w:t>rez y el abogado Guido Baja</w:t>
      </w:r>
      <w:r>
        <w:rPr>
          <w:rFonts w:cs="Times New Roman"/>
          <w:spacing w:val="-9"/>
          <w:sz w:val="18"/>
          <w:szCs w:val="18"/>
          <w:lang w:val="es-ES_tradnl"/>
        </w:rPr>
        <w:t>ñ</w:t>
      </w:r>
      <w:r>
        <w:rPr>
          <w:spacing w:val="-9"/>
          <w:sz w:val="18"/>
          <w:szCs w:val="18"/>
          <w:lang w:val="es-ES_tradnl"/>
        </w:rPr>
        <w:t>a C</w:t>
      </w:r>
      <w:r>
        <w:rPr>
          <w:rFonts w:cs="Times New Roman"/>
          <w:spacing w:val="-9"/>
          <w:sz w:val="18"/>
          <w:szCs w:val="18"/>
          <w:lang w:val="es-ES_tradnl"/>
        </w:rPr>
        <w:t>é</w:t>
      </w:r>
      <w:r>
        <w:rPr>
          <w:spacing w:val="-9"/>
          <w:sz w:val="18"/>
          <w:szCs w:val="18"/>
          <w:lang w:val="es-ES_tradnl"/>
        </w:rPr>
        <w:t xml:space="preserve">lleri en sus calidades </w:t>
      </w:r>
      <w:r>
        <w:rPr>
          <w:spacing w:val="-10"/>
          <w:sz w:val="18"/>
          <w:szCs w:val="18"/>
          <w:lang w:val="es-ES_tradnl"/>
        </w:rPr>
        <w:t xml:space="preserve">de jueces provinciales de la Sala </w:t>
      </w:r>
      <w:r>
        <w:rPr>
          <w:rFonts w:cs="Times New Roman"/>
          <w:spacing w:val="-10"/>
          <w:sz w:val="18"/>
          <w:szCs w:val="18"/>
          <w:lang w:val="es-ES_tradnl"/>
        </w:rPr>
        <w:t>Ú</w:t>
      </w:r>
      <w:r>
        <w:rPr>
          <w:spacing w:val="-10"/>
          <w:sz w:val="18"/>
          <w:szCs w:val="18"/>
          <w:lang w:val="es-ES_tradnl"/>
        </w:rPr>
        <w:t xml:space="preserve">nica de la Corte Provincial de Justicia de Santa Elena, quienes aducen que la sentencia </w:t>
      </w:r>
      <w:r>
        <w:rPr>
          <w:spacing w:val="-2"/>
          <w:sz w:val="18"/>
          <w:szCs w:val="18"/>
          <w:lang w:val="es-ES_tradnl"/>
        </w:rPr>
        <w:t>materia de la impugnaci</w:t>
      </w:r>
      <w:r>
        <w:rPr>
          <w:rFonts w:cs="Times New Roman"/>
          <w:spacing w:val="-2"/>
          <w:sz w:val="18"/>
          <w:szCs w:val="18"/>
          <w:lang w:val="es-ES_tradnl"/>
        </w:rPr>
        <w:t>ó</w:t>
      </w:r>
      <w:r>
        <w:rPr>
          <w:spacing w:val="-2"/>
          <w:sz w:val="18"/>
          <w:szCs w:val="18"/>
          <w:lang w:val="es-ES_tradnl"/>
        </w:rPr>
        <w:t>n est</w:t>
      </w:r>
      <w:r>
        <w:rPr>
          <w:rFonts w:cs="Times New Roman"/>
          <w:spacing w:val="-2"/>
          <w:sz w:val="18"/>
          <w:szCs w:val="18"/>
          <w:lang w:val="es-ES_tradnl"/>
        </w:rPr>
        <w:t>á</w:t>
      </w:r>
      <w:r>
        <w:rPr>
          <w:spacing w:val="-2"/>
          <w:sz w:val="18"/>
          <w:szCs w:val="18"/>
          <w:lang w:val="es-ES_tradnl"/>
        </w:rPr>
        <w:t xml:space="preserve"> debidamente motivada </w:t>
      </w:r>
      <w:r>
        <w:rPr>
          <w:spacing w:val="-7"/>
          <w:sz w:val="18"/>
          <w:szCs w:val="18"/>
          <w:lang w:val="es-ES_tradnl"/>
        </w:rPr>
        <w:t>y razonada, porque a trav</w:t>
      </w:r>
      <w:r>
        <w:rPr>
          <w:rFonts w:cs="Times New Roman"/>
          <w:spacing w:val="-7"/>
          <w:sz w:val="18"/>
          <w:szCs w:val="18"/>
          <w:lang w:val="es-ES_tradnl"/>
        </w:rPr>
        <w:t>é</w:t>
      </w:r>
      <w:r>
        <w:rPr>
          <w:spacing w:val="-7"/>
          <w:sz w:val="18"/>
          <w:szCs w:val="18"/>
          <w:lang w:val="es-ES_tradnl"/>
        </w:rPr>
        <w:t>s de su decisi</w:t>
      </w:r>
      <w:r>
        <w:rPr>
          <w:rFonts w:cs="Times New Roman"/>
          <w:spacing w:val="-7"/>
          <w:sz w:val="18"/>
          <w:szCs w:val="18"/>
          <w:lang w:val="es-ES_tradnl"/>
        </w:rPr>
        <w:t>ó</w:t>
      </w:r>
      <w:r>
        <w:rPr>
          <w:spacing w:val="-7"/>
          <w:sz w:val="18"/>
          <w:szCs w:val="18"/>
          <w:lang w:val="es-ES_tradnl"/>
        </w:rPr>
        <w:t>n se enmend</w:t>
      </w:r>
      <w:r>
        <w:rPr>
          <w:rFonts w:cs="Times New Roman"/>
          <w:spacing w:val="-7"/>
          <w:sz w:val="18"/>
          <w:szCs w:val="18"/>
          <w:lang w:val="es-ES_tradnl"/>
        </w:rPr>
        <w:t xml:space="preserve">ó </w:t>
      </w:r>
      <w:r>
        <w:rPr>
          <w:spacing w:val="-8"/>
          <w:sz w:val="18"/>
          <w:szCs w:val="18"/>
          <w:lang w:val="es-ES_tradnl"/>
        </w:rPr>
        <w:t xml:space="preserve">actos atentatorios a los derechos constitucionales al debido </w:t>
      </w:r>
      <w:r>
        <w:rPr>
          <w:spacing w:val="-9"/>
          <w:sz w:val="18"/>
          <w:szCs w:val="18"/>
          <w:lang w:val="es-ES_tradnl"/>
        </w:rPr>
        <w:t>proceso y a la seguridad jur</w:t>
      </w:r>
      <w:r>
        <w:rPr>
          <w:rFonts w:cs="Times New Roman"/>
          <w:spacing w:val="-9"/>
          <w:sz w:val="18"/>
          <w:szCs w:val="18"/>
          <w:lang w:val="es-ES_tradnl"/>
        </w:rPr>
        <w:t>í</w:t>
      </w:r>
      <w:r>
        <w:rPr>
          <w:spacing w:val="-9"/>
          <w:sz w:val="18"/>
          <w:szCs w:val="18"/>
          <w:lang w:val="es-ES_tradnl"/>
        </w:rPr>
        <w:t xml:space="preserve">dica cometidos por el Gobierno </w:t>
      </w:r>
      <w:r>
        <w:rPr>
          <w:spacing w:val="-6"/>
          <w:sz w:val="18"/>
          <w:szCs w:val="18"/>
          <w:lang w:val="es-ES_tradnl"/>
        </w:rPr>
        <w:t>Aut</w:t>
      </w:r>
      <w:r>
        <w:rPr>
          <w:rFonts w:cs="Times New Roman"/>
          <w:spacing w:val="-6"/>
          <w:sz w:val="18"/>
          <w:szCs w:val="18"/>
          <w:lang w:val="es-ES_tradnl"/>
        </w:rPr>
        <w:t>ó</w:t>
      </w:r>
      <w:r>
        <w:rPr>
          <w:spacing w:val="-6"/>
          <w:sz w:val="18"/>
          <w:szCs w:val="18"/>
          <w:lang w:val="es-ES_tradnl"/>
        </w:rPr>
        <w:t>nomo Descentralizado del cant</w:t>
      </w:r>
      <w:r>
        <w:rPr>
          <w:rFonts w:cs="Times New Roman"/>
          <w:spacing w:val="-6"/>
          <w:sz w:val="18"/>
          <w:szCs w:val="18"/>
          <w:lang w:val="es-ES_tradnl"/>
        </w:rPr>
        <w:t>ó</w:t>
      </w:r>
      <w:r>
        <w:rPr>
          <w:spacing w:val="-6"/>
          <w:sz w:val="18"/>
          <w:szCs w:val="18"/>
          <w:lang w:val="es-ES_tradnl"/>
        </w:rPr>
        <w:t>n La Libertad.</w:t>
      </w:r>
    </w:p>
    <w:p w14:paraId="4F67B9F3" w14:textId="77777777" w:rsidR="00591D54" w:rsidRDefault="00591D54">
      <w:pPr>
        <w:shd w:val="clear" w:color="auto" w:fill="FFFFFF"/>
        <w:spacing w:before="197" w:line="216" w:lineRule="exact"/>
        <w:jc w:val="both"/>
      </w:pPr>
      <w:r>
        <w:rPr>
          <w:spacing w:val="-10"/>
          <w:sz w:val="18"/>
          <w:szCs w:val="18"/>
          <w:lang w:val="es-ES_tradnl"/>
        </w:rPr>
        <w:t xml:space="preserve">Manifiestan que los jueces y las autoridades administrativas </w:t>
      </w:r>
      <w:r>
        <w:rPr>
          <w:spacing w:val="-8"/>
          <w:sz w:val="18"/>
          <w:szCs w:val="18"/>
          <w:lang w:val="es-ES_tradnl"/>
        </w:rPr>
        <w:t>est</w:t>
      </w:r>
      <w:r>
        <w:rPr>
          <w:rFonts w:cs="Times New Roman"/>
          <w:spacing w:val="-8"/>
          <w:sz w:val="18"/>
          <w:szCs w:val="18"/>
          <w:lang w:val="es-ES_tradnl"/>
        </w:rPr>
        <w:t>á</w:t>
      </w:r>
      <w:r>
        <w:rPr>
          <w:spacing w:val="-8"/>
          <w:sz w:val="18"/>
          <w:szCs w:val="18"/>
          <w:lang w:val="es-ES_tradnl"/>
        </w:rPr>
        <w:t xml:space="preserve">n obligados a garantizar los derechos de las partes </w:t>
      </w:r>
      <w:r>
        <w:rPr>
          <w:spacing w:val="-6"/>
          <w:sz w:val="18"/>
          <w:szCs w:val="18"/>
          <w:lang w:val="es-ES_tradnl"/>
        </w:rPr>
        <w:t>conforme as</w:t>
      </w:r>
      <w:r>
        <w:rPr>
          <w:rFonts w:cs="Times New Roman"/>
          <w:spacing w:val="-6"/>
          <w:sz w:val="18"/>
          <w:szCs w:val="18"/>
          <w:lang w:val="es-ES_tradnl"/>
        </w:rPr>
        <w:t>í</w:t>
      </w:r>
      <w:r>
        <w:rPr>
          <w:spacing w:val="-6"/>
          <w:sz w:val="18"/>
          <w:szCs w:val="18"/>
          <w:lang w:val="es-ES_tradnl"/>
        </w:rPr>
        <w:t xml:space="preserve"> lo dispone el art</w:t>
      </w:r>
      <w:r>
        <w:rPr>
          <w:rFonts w:cs="Times New Roman"/>
          <w:spacing w:val="-6"/>
          <w:sz w:val="18"/>
          <w:szCs w:val="18"/>
          <w:lang w:val="es-ES_tradnl"/>
        </w:rPr>
        <w:t>í</w:t>
      </w:r>
      <w:r>
        <w:rPr>
          <w:spacing w:val="-6"/>
          <w:sz w:val="18"/>
          <w:szCs w:val="18"/>
          <w:lang w:val="es-ES_tradnl"/>
        </w:rPr>
        <w:t xml:space="preserve">culo 76 numeral 1 de la </w:t>
      </w:r>
      <w:r>
        <w:rPr>
          <w:spacing w:val="-11"/>
          <w:sz w:val="18"/>
          <w:szCs w:val="18"/>
          <w:lang w:val="es-ES_tradnl"/>
        </w:rPr>
        <w:t>Constituci</w:t>
      </w:r>
      <w:r>
        <w:rPr>
          <w:rFonts w:cs="Times New Roman"/>
          <w:spacing w:val="-11"/>
          <w:sz w:val="18"/>
          <w:szCs w:val="18"/>
          <w:lang w:val="es-ES_tradnl"/>
        </w:rPr>
        <w:t>ó</w:t>
      </w:r>
      <w:r>
        <w:rPr>
          <w:spacing w:val="-11"/>
          <w:sz w:val="18"/>
          <w:szCs w:val="18"/>
          <w:lang w:val="es-ES_tradnl"/>
        </w:rPr>
        <w:t>n de la Rep</w:t>
      </w:r>
      <w:r>
        <w:rPr>
          <w:rFonts w:cs="Times New Roman"/>
          <w:spacing w:val="-11"/>
          <w:sz w:val="18"/>
          <w:szCs w:val="18"/>
          <w:lang w:val="es-ES_tradnl"/>
        </w:rPr>
        <w:t>ú</w:t>
      </w:r>
      <w:r>
        <w:rPr>
          <w:spacing w:val="-11"/>
          <w:sz w:val="18"/>
          <w:szCs w:val="18"/>
          <w:lang w:val="es-ES_tradnl"/>
        </w:rPr>
        <w:t>blica del Ecuador, as</w:t>
      </w:r>
      <w:r>
        <w:rPr>
          <w:rFonts w:cs="Times New Roman"/>
          <w:spacing w:val="-11"/>
          <w:sz w:val="18"/>
          <w:szCs w:val="18"/>
          <w:lang w:val="es-ES_tradnl"/>
        </w:rPr>
        <w:t>í</w:t>
      </w:r>
      <w:r>
        <w:rPr>
          <w:spacing w:val="-11"/>
          <w:sz w:val="18"/>
          <w:szCs w:val="18"/>
          <w:lang w:val="es-ES_tradnl"/>
        </w:rPr>
        <w:t xml:space="preserve"> las autoridades </w:t>
      </w:r>
      <w:r>
        <w:rPr>
          <w:spacing w:val="-6"/>
          <w:sz w:val="18"/>
          <w:szCs w:val="18"/>
          <w:lang w:val="es-ES_tradnl"/>
        </w:rPr>
        <w:t>municipales del cant</w:t>
      </w:r>
      <w:r>
        <w:rPr>
          <w:rFonts w:cs="Times New Roman"/>
          <w:spacing w:val="-6"/>
          <w:sz w:val="18"/>
          <w:szCs w:val="18"/>
          <w:lang w:val="es-ES_tradnl"/>
        </w:rPr>
        <w:t>ó</w:t>
      </w:r>
      <w:r>
        <w:rPr>
          <w:spacing w:val="-6"/>
          <w:sz w:val="18"/>
          <w:szCs w:val="18"/>
          <w:lang w:val="es-ES_tradnl"/>
        </w:rPr>
        <w:t xml:space="preserve">n La Libertad al haber clausurado el </w:t>
      </w:r>
      <w:r>
        <w:rPr>
          <w:spacing w:val="-9"/>
          <w:sz w:val="18"/>
          <w:szCs w:val="18"/>
          <w:lang w:val="es-ES_tradnl"/>
        </w:rPr>
        <w:t>negocio de la se</w:t>
      </w:r>
      <w:r>
        <w:rPr>
          <w:rFonts w:cs="Times New Roman"/>
          <w:spacing w:val="-9"/>
          <w:sz w:val="18"/>
          <w:szCs w:val="18"/>
          <w:lang w:val="es-ES_tradnl"/>
        </w:rPr>
        <w:t>ñ</w:t>
      </w:r>
      <w:r>
        <w:rPr>
          <w:spacing w:val="-9"/>
          <w:sz w:val="18"/>
          <w:szCs w:val="18"/>
          <w:lang w:val="es-ES_tradnl"/>
        </w:rPr>
        <w:t>ora Amada Calder</w:t>
      </w:r>
      <w:r>
        <w:rPr>
          <w:rFonts w:cs="Times New Roman"/>
          <w:spacing w:val="-9"/>
          <w:sz w:val="18"/>
          <w:szCs w:val="18"/>
          <w:lang w:val="es-ES_tradnl"/>
        </w:rPr>
        <w:t>ó</w:t>
      </w:r>
      <w:r>
        <w:rPr>
          <w:spacing w:val="-9"/>
          <w:sz w:val="18"/>
          <w:szCs w:val="18"/>
          <w:lang w:val="es-ES_tradnl"/>
        </w:rPr>
        <w:t>n S</w:t>
      </w:r>
      <w:r>
        <w:rPr>
          <w:rFonts w:cs="Times New Roman"/>
          <w:spacing w:val="-9"/>
          <w:sz w:val="18"/>
          <w:szCs w:val="18"/>
          <w:lang w:val="es-ES_tradnl"/>
        </w:rPr>
        <w:t>á</w:t>
      </w:r>
      <w:r>
        <w:rPr>
          <w:spacing w:val="-9"/>
          <w:sz w:val="18"/>
          <w:szCs w:val="18"/>
          <w:lang w:val="es-ES_tradnl"/>
        </w:rPr>
        <w:t xml:space="preserve">nchez, invocando </w:t>
      </w:r>
      <w:r>
        <w:rPr>
          <w:spacing w:val="-1"/>
          <w:sz w:val="18"/>
          <w:szCs w:val="18"/>
          <w:lang w:val="es-ES_tradnl"/>
        </w:rPr>
        <w:t xml:space="preserve">la Ordenanza de Higiene y Abasto, no cumplieron con </w:t>
      </w:r>
      <w:r>
        <w:rPr>
          <w:sz w:val="18"/>
          <w:szCs w:val="18"/>
          <w:lang w:val="es-ES_tradnl"/>
        </w:rPr>
        <w:t>lo previsto en el art</w:t>
      </w:r>
      <w:r>
        <w:rPr>
          <w:rFonts w:cs="Times New Roman"/>
          <w:sz w:val="18"/>
          <w:szCs w:val="18"/>
          <w:lang w:val="es-ES_tradnl"/>
        </w:rPr>
        <w:t>í</w:t>
      </w:r>
      <w:r>
        <w:rPr>
          <w:sz w:val="18"/>
          <w:szCs w:val="18"/>
          <w:lang w:val="es-ES_tradnl"/>
        </w:rPr>
        <w:t xml:space="preserve">culo 64 de la referida ordenanza, </w:t>
      </w:r>
      <w:r>
        <w:rPr>
          <w:spacing w:val="-5"/>
          <w:sz w:val="18"/>
          <w:szCs w:val="18"/>
          <w:lang w:val="es-ES_tradnl"/>
        </w:rPr>
        <w:t>que dispone la citaci</w:t>
      </w:r>
      <w:r>
        <w:rPr>
          <w:rFonts w:cs="Times New Roman"/>
          <w:spacing w:val="-5"/>
          <w:sz w:val="18"/>
          <w:szCs w:val="18"/>
          <w:lang w:val="es-ES_tradnl"/>
        </w:rPr>
        <w:t>ó</w:t>
      </w:r>
      <w:r>
        <w:rPr>
          <w:spacing w:val="-5"/>
          <w:sz w:val="18"/>
          <w:szCs w:val="18"/>
          <w:lang w:val="es-ES_tradnl"/>
        </w:rPr>
        <w:t xml:space="preserve">n a la presunta contraventora para </w:t>
      </w:r>
      <w:r>
        <w:rPr>
          <w:spacing w:val="-9"/>
          <w:sz w:val="18"/>
          <w:szCs w:val="18"/>
          <w:lang w:val="es-ES_tradnl"/>
        </w:rPr>
        <w:t>que pueda ejercer el derecho a la defensa adem</w:t>
      </w:r>
      <w:r>
        <w:rPr>
          <w:rFonts w:cs="Times New Roman"/>
          <w:spacing w:val="-9"/>
          <w:sz w:val="18"/>
          <w:szCs w:val="18"/>
          <w:lang w:val="es-ES_tradnl"/>
        </w:rPr>
        <w:t>á</w:t>
      </w:r>
      <w:r>
        <w:rPr>
          <w:spacing w:val="-9"/>
          <w:sz w:val="18"/>
          <w:szCs w:val="18"/>
          <w:lang w:val="es-ES_tradnl"/>
        </w:rPr>
        <w:t xml:space="preserve">s que el </w:t>
      </w:r>
      <w:r>
        <w:rPr>
          <w:spacing w:val="-7"/>
          <w:sz w:val="18"/>
          <w:szCs w:val="18"/>
          <w:lang w:val="es-ES_tradnl"/>
        </w:rPr>
        <w:t>comisario municipal inform</w:t>
      </w:r>
      <w:r>
        <w:rPr>
          <w:rFonts w:cs="Times New Roman"/>
          <w:spacing w:val="-7"/>
          <w:sz w:val="18"/>
          <w:szCs w:val="18"/>
          <w:lang w:val="es-ES_tradnl"/>
        </w:rPr>
        <w:t>ó</w:t>
      </w:r>
      <w:r>
        <w:rPr>
          <w:spacing w:val="-7"/>
          <w:sz w:val="18"/>
          <w:szCs w:val="18"/>
          <w:lang w:val="es-ES_tradnl"/>
        </w:rPr>
        <w:t xml:space="preserve"> que el establecimiento que se </w:t>
      </w:r>
      <w:r>
        <w:rPr>
          <w:spacing w:val="-8"/>
          <w:sz w:val="18"/>
          <w:szCs w:val="18"/>
          <w:lang w:val="es-ES_tradnl"/>
        </w:rPr>
        <w:t>clausur</w:t>
      </w:r>
      <w:r>
        <w:rPr>
          <w:rFonts w:cs="Times New Roman"/>
          <w:spacing w:val="-8"/>
          <w:sz w:val="18"/>
          <w:szCs w:val="18"/>
          <w:lang w:val="es-ES_tradnl"/>
        </w:rPr>
        <w:t>ó</w:t>
      </w:r>
      <w:r>
        <w:rPr>
          <w:spacing w:val="-8"/>
          <w:sz w:val="18"/>
          <w:szCs w:val="18"/>
          <w:lang w:val="es-ES_tradnl"/>
        </w:rPr>
        <w:t xml:space="preserve"> cumpl</w:t>
      </w:r>
      <w:r>
        <w:rPr>
          <w:rFonts w:cs="Times New Roman"/>
          <w:spacing w:val="-8"/>
          <w:sz w:val="18"/>
          <w:szCs w:val="18"/>
          <w:lang w:val="es-ES_tradnl"/>
        </w:rPr>
        <w:t>í</w:t>
      </w:r>
      <w:r>
        <w:rPr>
          <w:spacing w:val="-8"/>
          <w:sz w:val="18"/>
          <w:szCs w:val="18"/>
          <w:lang w:val="es-ES_tradnl"/>
        </w:rPr>
        <w:t xml:space="preserve">a con las normas de higiene impuestas por </w:t>
      </w:r>
      <w:r>
        <w:rPr>
          <w:sz w:val="18"/>
          <w:szCs w:val="18"/>
          <w:lang w:val="es-ES_tradnl"/>
        </w:rPr>
        <w:t>la entidad municipal.</w:t>
      </w:r>
    </w:p>
    <w:p w14:paraId="4F67B9F4" w14:textId="77777777" w:rsidR="00591D54" w:rsidRDefault="00591D54">
      <w:pPr>
        <w:shd w:val="clear" w:color="auto" w:fill="FFFFFF"/>
        <w:spacing w:before="197" w:line="216" w:lineRule="exact"/>
        <w:jc w:val="both"/>
      </w:pPr>
      <w:r>
        <w:rPr>
          <w:spacing w:val="-7"/>
          <w:sz w:val="18"/>
          <w:szCs w:val="18"/>
          <w:lang w:val="es-ES_tradnl"/>
        </w:rPr>
        <w:t>Asumen que en el fallo de segunda instancia que declar</w:t>
      </w:r>
      <w:r>
        <w:rPr>
          <w:rFonts w:cs="Times New Roman"/>
          <w:spacing w:val="-7"/>
          <w:sz w:val="18"/>
          <w:szCs w:val="18"/>
          <w:lang w:val="es-ES_tradnl"/>
        </w:rPr>
        <w:t xml:space="preserve">ó </w:t>
      </w:r>
      <w:r>
        <w:rPr>
          <w:spacing w:val="-6"/>
          <w:sz w:val="18"/>
          <w:szCs w:val="18"/>
          <w:lang w:val="es-ES_tradnl"/>
        </w:rPr>
        <w:t>con lugar la acci</w:t>
      </w:r>
      <w:r>
        <w:rPr>
          <w:rFonts w:cs="Times New Roman"/>
          <w:spacing w:val="-6"/>
          <w:sz w:val="18"/>
          <w:szCs w:val="18"/>
          <w:lang w:val="es-ES_tradnl"/>
        </w:rPr>
        <w:t>ó</w:t>
      </w:r>
      <w:r>
        <w:rPr>
          <w:spacing w:val="-6"/>
          <w:sz w:val="18"/>
          <w:szCs w:val="18"/>
          <w:lang w:val="es-ES_tradnl"/>
        </w:rPr>
        <w:t>n de protecci</w:t>
      </w:r>
      <w:r>
        <w:rPr>
          <w:rFonts w:cs="Times New Roman"/>
          <w:spacing w:val="-6"/>
          <w:sz w:val="18"/>
          <w:szCs w:val="18"/>
          <w:lang w:val="es-ES_tradnl"/>
        </w:rPr>
        <w:t>ó</w:t>
      </w:r>
      <w:r>
        <w:rPr>
          <w:spacing w:val="-6"/>
          <w:sz w:val="18"/>
          <w:szCs w:val="18"/>
          <w:lang w:val="es-ES_tradnl"/>
        </w:rPr>
        <w:t>n, ratific</w:t>
      </w:r>
      <w:r>
        <w:rPr>
          <w:rFonts w:cs="Times New Roman"/>
          <w:spacing w:val="-6"/>
          <w:sz w:val="18"/>
          <w:szCs w:val="18"/>
          <w:lang w:val="es-ES_tradnl"/>
        </w:rPr>
        <w:t>ó</w:t>
      </w:r>
      <w:r>
        <w:rPr>
          <w:spacing w:val="-6"/>
          <w:sz w:val="18"/>
          <w:szCs w:val="18"/>
          <w:lang w:val="es-ES_tradnl"/>
        </w:rPr>
        <w:t xml:space="preserve"> los derechos de </w:t>
      </w:r>
      <w:r>
        <w:rPr>
          <w:spacing w:val="-4"/>
          <w:sz w:val="18"/>
          <w:szCs w:val="18"/>
          <w:lang w:val="es-ES_tradnl"/>
        </w:rPr>
        <w:t>la se</w:t>
      </w:r>
      <w:r>
        <w:rPr>
          <w:rFonts w:cs="Times New Roman"/>
          <w:spacing w:val="-4"/>
          <w:sz w:val="18"/>
          <w:szCs w:val="18"/>
          <w:lang w:val="es-ES_tradnl"/>
        </w:rPr>
        <w:t>ñ</w:t>
      </w:r>
      <w:r>
        <w:rPr>
          <w:spacing w:val="-4"/>
          <w:sz w:val="18"/>
          <w:szCs w:val="18"/>
          <w:lang w:val="es-ES_tradnl"/>
        </w:rPr>
        <w:t>ora Calder</w:t>
      </w:r>
      <w:r>
        <w:rPr>
          <w:rFonts w:cs="Times New Roman"/>
          <w:spacing w:val="-4"/>
          <w:sz w:val="18"/>
          <w:szCs w:val="18"/>
          <w:lang w:val="es-ES_tradnl"/>
        </w:rPr>
        <w:t>ó</w:t>
      </w:r>
      <w:r>
        <w:rPr>
          <w:spacing w:val="-4"/>
          <w:sz w:val="18"/>
          <w:szCs w:val="18"/>
          <w:lang w:val="es-ES_tradnl"/>
        </w:rPr>
        <w:t>n S</w:t>
      </w:r>
      <w:r>
        <w:rPr>
          <w:rFonts w:cs="Times New Roman"/>
          <w:spacing w:val="-4"/>
          <w:sz w:val="18"/>
          <w:szCs w:val="18"/>
          <w:lang w:val="es-ES_tradnl"/>
        </w:rPr>
        <w:t>á</w:t>
      </w:r>
      <w:r>
        <w:rPr>
          <w:spacing w:val="-4"/>
          <w:sz w:val="18"/>
          <w:szCs w:val="18"/>
          <w:lang w:val="es-ES_tradnl"/>
        </w:rPr>
        <w:t xml:space="preserve">nchez que fueron vulnerados por </w:t>
      </w:r>
      <w:r>
        <w:rPr>
          <w:spacing w:val="-5"/>
          <w:sz w:val="18"/>
          <w:szCs w:val="18"/>
          <w:lang w:val="es-ES_tradnl"/>
        </w:rPr>
        <w:t>las autoridades municipales del cant</w:t>
      </w:r>
      <w:r>
        <w:rPr>
          <w:rFonts w:cs="Times New Roman"/>
          <w:spacing w:val="-5"/>
          <w:sz w:val="18"/>
          <w:szCs w:val="18"/>
          <w:lang w:val="es-ES_tradnl"/>
        </w:rPr>
        <w:t>ó</w:t>
      </w:r>
      <w:r>
        <w:rPr>
          <w:spacing w:val="-5"/>
          <w:sz w:val="18"/>
          <w:szCs w:val="18"/>
          <w:lang w:val="es-ES_tradnl"/>
        </w:rPr>
        <w:t>n La Libertad, en virtud de lo cual se dej</w:t>
      </w:r>
      <w:r>
        <w:rPr>
          <w:rFonts w:cs="Times New Roman"/>
          <w:spacing w:val="-5"/>
          <w:sz w:val="18"/>
          <w:szCs w:val="18"/>
          <w:lang w:val="es-ES_tradnl"/>
        </w:rPr>
        <w:t>ó</w:t>
      </w:r>
      <w:r>
        <w:rPr>
          <w:spacing w:val="-5"/>
          <w:sz w:val="18"/>
          <w:szCs w:val="18"/>
          <w:lang w:val="es-ES_tradnl"/>
        </w:rPr>
        <w:t xml:space="preserve"> sin efecto el acto administrativo </w:t>
      </w:r>
      <w:r>
        <w:rPr>
          <w:spacing w:val="-3"/>
          <w:sz w:val="18"/>
          <w:szCs w:val="18"/>
          <w:lang w:val="es-ES_tradnl"/>
        </w:rPr>
        <w:t xml:space="preserve">impugnado y que de ser el caso, si el Municipio estima </w:t>
      </w:r>
      <w:r>
        <w:rPr>
          <w:spacing w:val="-7"/>
          <w:sz w:val="18"/>
          <w:szCs w:val="18"/>
          <w:lang w:val="es-ES_tradnl"/>
        </w:rPr>
        <w:t>que la se</w:t>
      </w:r>
      <w:r>
        <w:rPr>
          <w:rFonts w:cs="Times New Roman"/>
          <w:spacing w:val="-7"/>
          <w:sz w:val="18"/>
          <w:szCs w:val="18"/>
          <w:lang w:val="es-ES_tradnl"/>
        </w:rPr>
        <w:t>ñ</w:t>
      </w:r>
      <w:r>
        <w:rPr>
          <w:spacing w:val="-7"/>
          <w:sz w:val="18"/>
          <w:szCs w:val="18"/>
          <w:lang w:val="es-ES_tradnl"/>
        </w:rPr>
        <w:t>ora Gloria Calder</w:t>
      </w:r>
      <w:r>
        <w:rPr>
          <w:rFonts w:cs="Times New Roman"/>
          <w:spacing w:val="-7"/>
          <w:sz w:val="18"/>
          <w:szCs w:val="18"/>
          <w:lang w:val="es-ES_tradnl"/>
        </w:rPr>
        <w:t>ó</w:t>
      </w:r>
      <w:r>
        <w:rPr>
          <w:spacing w:val="-7"/>
          <w:sz w:val="18"/>
          <w:szCs w:val="18"/>
          <w:lang w:val="es-ES_tradnl"/>
        </w:rPr>
        <w:t>n S</w:t>
      </w:r>
      <w:r>
        <w:rPr>
          <w:rFonts w:cs="Times New Roman"/>
          <w:spacing w:val="-7"/>
          <w:sz w:val="18"/>
          <w:szCs w:val="18"/>
          <w:lang w:val="es-ES_tradnl"/>
        </w:rPr>
        <w:t>á</w:t>
      </w:r>
      <w:r>
        <w:rPr>
          <w:spacing w:val="-7"/>
          <w:sz w:val="18"/>
          <w:szCs w:val="18"/>
          <w:lang w:val="es-ES_tradnl"/>
        </w:rPr>
        <w:t>nchez transgredi</w:t>
      </w:r>
      <w:r>
        <w:rPr>
          <w:rFonts w:cs="Times New Roman"/>
          <w:spacing w:val="-7"/>
          <w:sz w:val="18"/>
          <w:szCs w:val="18"/>
          <w:lang w:val="es-ES_tradnl"/>
        </w:rPr>
        <w:t>ó</w:t>
      </w:r>
      <w:r>
        <w:rPr>
          <w:spacing w:val="-7"/>
          <w:sz w:val="18"/>
          <w:szCs w:val="18"/>
          <w:lang w:val="es-ES_tradnl"/>
        </w:rPr>
        <w:t xml:space="preserve"> la ordenanza municipal, bien puede imponer las sanciones </w:t>
      </w:r>
      <w:r>
        <w:rPr>
          <w:spacing w:val="-9"/>
          <w:sz w:val="18"/>
          <w:szCs w:val="18"/>
          <w:lang w:val="es-ES_tradnl"/>
        </w:rPr>
        <w:t>correspondientes con sujeci</w:t>
      </w:r>
      <w:r>
        <w:rPr>
          <w:rFonts w:cs="Times New Roman"/>
          <w:spacing w:val="-9"/>
          <w:sz w:val="18"/>
          <w:szCs w:val="18"/>
          <w:lang w:val="es-ES_tradnl"/>
        </w:rPr>
        <w:t>ó</w:t>
      </w:r>
      <w:r>
        <w:rPr>
          <w:spacing w:val="-9"/>
          <w:sz w:val="18"/>
          <w:szCs w:val="18"/>
          <w:lang w:val="es-ES_tradnl"/>
        </w:rPr>
        <w:t>n y respeto a las garant</w:t>
      </w:r>
      <w:r>
        <w:rPr>
          <w:rFonts w:cs="Times New Roman"/>
          <w:spacing w:val="-9"/>
          <w:sz w:val="18"/>
          <w:szCs w:val="18"/>
          <w:lang w:val="es-ES_tradnl"/>
        </w:rPr>
        <w:t>í</w:t>
      </w:r>
      <w:r>
        <w:rPr>
          <w:spacing w:val="-9"/>
          <w:sz w:val="18"/>
          <w:szCs w:val="18"/>
          <w:lang w:val="es-ES_tradnl"/>
        </w:rPr>
        <w:t xml:space="preserve">as del </w:t>
      </w:r>
      <w:r>
        <w:rPr>
          <w:sz w:val="18"/>
          <w:szCs w:val="18"/>
          <w:lang w:val="es-ES_tradnl"/>
        </w:rPr>
        <w:t>debido proceso.</w:t>
      </w:r>
    </w:p>
    <w:p w14:paraId="4F67B9F5" w14:textId="77777777" w:rsidR="00591D54" w:rsidRDefault="00591D54">
      <w:pPr>
        <w:shd w:val="clear" w:color="auto" w:fill="FFFFFF"/>
        <w:spacing w:before="197" w:line="216" w:lineRule="exact"/>
        <w:jc w:val="both"/>
      </w:pPr>
      <w:r>
        <w:rPr>
          <w:spacing w:val="-6"/>
          <w:sz w:val="18"/>
          <w:szCs w:val="18"/>
          <w:lang w:val="es-ES_tradnl"/>
        </w:rPr>
        <w:t>Consideran que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incorpora </w:t>
      </w:r>
      <w:r>
        <w:rPr>
          <w:spacing w:val="-8"/>
          <w:sz w:val="18"/>
          <w:szCs w:val="18"/>
          <w:lang w:val="es-ES_tradnl"/>
        </w:rPr>
        <w:t>de manera clara y sistematizada las garant</w:t>
      </w:r>
      <w:r>
        <w:rPr>
          <w:rFonts w:cs="Times New Roman"/>
          <w:spacing w:val="-8"/>
          <w:sz w:val="18"/>
          <w:szCs w:val="18"/>
          <w:lang w:val="es-ES_tradnl"/>
        </w:rPr>
        <w:t>í</w:t>
      </w:r>
      <w:r>
        <w:rPr>
          <w:spacing w:val="-8"/>
          <w:sz w:val="18"/>
          <w:szCs w:val="18"/>
          <w:lang w:val="es-ES_tradnl"/>
        </w:rPr>
        <w:t xml:space="preserve">as que forman </w:t>
      </w:r>
      <w:r>
        <w:rPr>
          <w:spacing w:val="-7"/>
          <w:sz w:val="18"/>
          <w:szCs w:val="18"/>
          <w:lang w:val="es-ES_tradnl"/>
        </w:rPr>
        <w:t xml:space="preserve">parte del debido proceso para evitar el abuso del poder, </w:t>
      </w:r>
      <w:r>
        <w:rPr>
          <w:spacing w:val="-6"/>
          <w:sz w:val="18"/>
          <w:szCs w:val="18"/>
          <w:lang w:val="es-ES_tradnl"/>
        </w:rPr>
        <w:t xml:space="preserve">enfatizando que el debido proceso es aplicable y exigible </w:t>
      </w:r>
      <w:r>
        <w:rPr>
          <w:spacing w:val="-5"/>
          <w:sz w:val="18"/>
          <w:szCs w:val="18"/>
          <w:lang w:val="es-ES_tradnl"/>
        </w:rPr>
        <w:t>para todo tipo de procedimiento judicial y administrativo.</w:t>
      </w:r>
    </w:p>
    <w:p w14:paraId="4F67B9F6" w14:textId="77777777" w:rsidR="00591D54" w:rsidRDefault="00591D54">
      <w:pPr>
        <w:shd w:val="clear" w:color="auto" w:fill="FFFFFF"/>
        <w:spacing w:before="197" w:line="216" w:lineRule="exact"/>
        <w:jc w:val="both"/>
      </w:pPr>
      <w:r>
        <w:rPr>
          <w:spacing w:val="-7"/>
          <w:sz w:val="18"/>
          <w:szCs w:val="18"/>
          <w:lang w:val="es-ES_tradnl"/>
        </w:rPr>
        <w:t xml:space="preserve">En base a estas consideraciones solicitan que se rechace </w:t>
      </w:r>
      <w:r>
        <w:rPr>
          <w:spacing w:val="-6"/>
          <w:sz w:val="18"/>
          <w:szCs w:val="18"/>
          <w:lang w:val="es-ES_tradnl"/>
        </w:rPr>
        <w:t>la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n propuesta por los representantes del Municipio del cant</w:t>
      </w:r>
      <w:r>
        <w:rPr>
          <w:rFonts w:cs="Times New Roman"/>
          <w:spacing w:val="-6"/>
          <w:sz w:val="18"/>
          <w:szCs w:val="18"/>
          <w:lang w:val="es-ES_tradnl"/>
        </w:rPr>
        <w:t>ó</w:t>
      </w:r>
      <w:r>
        <w:rPr>
          <w:spacing w:val="-6"/>
          <w:sz w:val="18"/>
          <w:szCs w:val="18"/>
          <w:lang w:val="es-ES_tradnl"/>
        </w:rPr>
        <w:t>n La Libertad.</w:t>
      </w:r>
    </w:p>
    <w:p w14:paraId="4F67B9F7" w14:textId="77777777" w:rsidR="00591D54" w:rsidRDefault="00591D54">
      <w:pPr>
        <w:shd w:val="clear" w:color="auto" w:fill="FFFFFF"/>
        <w:spacing w:before="197" w:line="216" w:lineRule="exact"/>
        <w:jc w:val="both"/>
      </w:pPr>
      <w:r>
        <w:rPr>
          <w:spacing w:val="-7"/>
          <w:sz w:val="18"/>
          <w:szCs w:val="18"/>
          <w:lang w:val="es-ES_tradnl"/>
        </w:rPr>
        <w:t xml:space="preserve">Por otra parte, comparece el abogado Marcos Arteaga </w:t>
      </w:r>
      <w:r>
        <w:rPr>
          <w:spacing w:val="-9"/>
          <w:sz w:val="18"/>
          <w:szCs w:val="18"/>
          <w:lang w:val="es-ES_tradnl"/>
        </w:rPr>
        <w:t xml:space="preserve">Valenzuela en su calidad de director nacional de Patrocinio, delegado del procurador general del Estado, quien expresa </w:t>
      </w:r>
      <w:r>
        <w:rPr>
          <w:spacing w:val="-6"/>
          <w:sz w:val="18"/>
          <w:szCs w:val="18"/>
          <w:lang w:val="es-ES_tradnl"/>
        </w:rPr>
        <w:t>que el art</w:t>
      </w:r>
      <w:r>
        <w:rPr>
          <w:rFonts w:cs="Times New Roman"/>
          <w:spacing w:val="-6"/>
          <w:sz w:val="18"/>
          <w:szCs w:val="18"/>
          <w:lang w:val="es-ES_tradnl"/>
        </w:rPr>
        <w:t>í</w:t>
      </w:r>
      <w:r>
        <w:rPr>
          <w:spacing w:val="-6"/>
          <w:sz w:val="18"/>
          <w:szCs w:val="18"/>
          <w:lang w:val="es-ES_tradnl"/>
        </w:rPr>
        <w:t>culo 264 de la Constituci</w:t>
      </w:r>
      <w:r>
        <w:rPr>
          <w:rFonts w:cs="Times New Roman"/>
          <w:spacing w:val="-6"/>
          <w:sz w:val="18"/>
          <w:szCs w:val="18"/>
          <w:lang w:val="es-ES_tradnl"/>
        </w:rPr>
        <w:t>ó</w:t>
      </w:r>
      <w:r>
        <w:rPr>
          <w:spacing w:val="-6"/>
          <w:sz w:val="18"/>
          <w:szCs w:val="18"/>
          <w:lang w:val="es-ES_tradnl"/>
        </w:rPr>
        <w:t xml:space="preserve">n determina que los </w:t>
      </w:r>
      <w:r>
        <w:rPr>
          <w:spacing w:val="-7"/>
          <w:sz w:val="18"/>
          <w:szCs w:val="18"/>
          <w:lang w:val="es-ES_tradnl"/>
        </w:rPr>
        <w:t xml:space="preserve">gobiernos municipales tienen competencia exclusiva para </w:t>
      </w:r>
      <w:r>
        <w:rPr>
          <w:spacing w:val="-5"/>
          <w:sz w:val="18"/>
          <w:szCs w:val="18"/>
          <w:lang w:val="es-ES_tradnl"/>
        </w:rPr>
        <w:t>regular y controlar el uso y ocupaci</w:t>
      </w:r>
      <w:r>
        <w:rPr>
          <w:rFonts w:cs="Times New Roman"/>
          <w:spacing w:val="-5"/>
          <w:sz w:val="18"/>
          <w:szCs w:val="18"/>
          <w:lang w:val="es-ES_tradnl"/>
        </w:rPr>
        <w:t>ó</w:t>
      </w:r>
      <w:r>
        <w:rPr>
          <w:spacing w:val="-5"/>
          <w:sz w:val="18"/>
          <w:szCs w:val="18"/>
          <w:lang w:val="es-ES_tradnl"/>
        </w:rPr>
        <w:t xml:space="preserve">n del suelo con la </w:t>
      </w:r>
      <w:r>
        <w:rPr>
          <w:spacing w:val="-10"/>
          <w:sz w:val="18"/>
          <w:szCs w:val="18"/>
          <w:lang w:val="es-ES_tradnl"/>
        </w:rPr>
        <w:t xml:space="preserve">facultad de expedir ordenanzas cantonales, en concordancia </w:t>
      </w:r>
      <w:r>
        <w:rPr>
          <w:spacing w:val="-8"/>
          <w:sz w:val="18"/>
          <w:szCs w:val="18"/>
          <w:lang w:val="es-ES_tradnl"/>
        </w:rPr>
        <w:t>con el principio de jerarqu</w:t>
      </w:r>
      <w:r>
        <w:rPr>
          <w:rFonts w:cs="Times New Roman"/>
          <w:spacing w:val="-8"/>
          <w:sz w:val="18"/>
          <w:szCs w:val="18"/>
          <w:lang w:val="es-ES_tradnl"/>
        </w:rPr>
        <w:t>í</w:t>
      </w:r>
      <w:r>
        <w:rPr>
          <w:spacing w:val="-8"/>
          <w:sz w:val="18"/>
          <w:szCs w:val="18"/>
          <w:lang w:val="es-ES_tradnl"/>
        </w:rPr>
        <w:t>a normativa que prev</w:t>
      </w:r>
      <w:r>
        <w:rPr>
          <w:rFonts w:cs="Times New Roman"/>
          <w:spacing w:val="-8"/>
          <w:sz w:val="18"/>
          <w:szCs w:val="18"/>
          <w:lang w:val="es-ES_tradnl"/>
        </w:rPr>
        <w:t>é</w:t>
      </w:r>
      <w:r>
        <w:rPr>
          <w:spacing w:val="-8"/>
          <w:sz w:val="18"/>
          <w:szCs w:val="18"/>
          <w:lang w:val="es-ES_tradnl"/>
        </w:rPr>
        <w:t xml:space="preserve"> el art</w:t>
      </w:r>
      <w:r>
        <w:rPr>
          <w:rFonts w:cs="Times New Roman"/>
          <w:spacing w:val="-8"/>
          <w:sz w:val="18"/>
          <w:szCs w:val="18"/>
          <w:lang w:val="es-ES_tradnl"/>
        </w:rPr>
        <w:t>í</w:t>
      </w:r>
      <w:r>
        <w:rPr>
          <w:spacing w:val="-8"/>
          <w:sz w:val="18"/>
          <w:szCs w:val="18"/>
          <w:lang w:val="es-ES_tradnl"/>
        </w:rPr>
        <w:t xml:space="preserve">culo </w:t>
      </w:r>
      <w:r>
        <w:rPr>
          <w:spacing w:val="-6"/>
          <w:sz w:val="18"/>
          <w:szCs w:val="18"/>
          <w:lang w:val="es-ES_tradnl"/>
        </w:rPr>
        <w:t xml:space="preserve">425 de la Carta Magna, respecto de la titularidad de las </w:t>
      </w:r>
      <w:r>
        <w:rPr>
          <w:spacing w:val="-9"/>
          <w:sz w:val="18"/>
          <w:szCs w:val="18"/>
          <w:lang w:val="es-ES_tradnl"/>
        </w:rPr>
        <w:t xml:space="preserve">competencias exclusivas que corresponde a los gobiernos </w:t>
      </w:r>
      <w:r>
        <w:rPr>
          <w:sz w:val="18"/>
          <w:szCs w:val="18"/>
          <w:lang w:val="es-ES_tradnl"/>
        </w:rPr>
        <w:t>municipales.</w:t>
      </w:r>
    </w:p>
    <w:p w14:paraId="4F67B9F8" w14:textId="77777777" w:rsidR="00591D54" w:rsidRDefault="00591D54">
      <w:pPr>
        <w:shd w:val="clear" w:color="auto" w:fill="FFFFFF"/>
        <w:spacing w:before="192" w:line="216" w:lineRule="exact"/>
        <w:jc w:val="both"/>
      </w:pPr>
      <w:r>
        <w:rPr>
          <w:spacing w:val="-5"/>
          <w:sz w:val="18"/>
          <w:szCs w:val="18"/>
          <w:lang w:val="es-ES_tradnl"/>
        </w:rPr>
        <w:t>Dice que de conformidad con el art</w:t>
      </w:r>
      <w:r>
        <w:rPr>
          <w:rFonts w:cs="Times New Roman"/>
          <w:spacing w:val="-5"/>
          <w:sz w:val="18"/>
          <w:szCs w:val="18"/>
          <w:lang w:val="es-ES_tradnl"/>
        </w:rPr>
        <w:t>í</w:t>
      </w:r>
      <w:r>
        <w:rPr>
          <w:spacing w:val="-5"/>
          <w:sz w:val="18"/>
          <w:szCs w:val="18"/>
          <w:lang w:val="es-ES_tradnl"/>
        </w:rPr>
        <w:t xml:space="preserve">culo 76 numeral 3 de </w:t>
      </w:r>
      <w:r>
        <w:rPr>
          <w:spacing w:val="-6"/>
          <w:sz w:val="18"/>
          <w:szCs w:val="18"/>
          <w:lang w:val="es-ES_tradnl"/>
        </w:rPr>
        <w:t>la Constituci</w:t>
      </w:r>
      <w:r>
        <w:rPr>
          <w:rFonts w:cs="Times New Roman"/>
          <w:spacing w:val="-6"/>
          <w:sz w:val="18"/>
          <w:szCs w:val="18"/>
          <w:lang w:val="es-ES_tradnl"/>
        </w:rPr>
        <w:t>ó</w:t>
      </w:r>
      <w:r>
        <w:rPr>
          <w:spacing w:val="-6"/>
          <w:sz w:val="18"/>
          <w:szCs w:val="18"/>
          <w:lang w:val="es-ES_tradnl"/>
        </w:rPr>
        <w:t xml:space="preserve">n, solo se puede juzgar a las personas ante </w:t>
      </w:r>
      <w:r>
        <w:rPr>
          <w:spacing w:val="-7"/>
          <w:sz w:val="18"/>
          <w:szCs w:val="18"/>
          <w:lang w:val="es-ES_tradnl"/>
        </w:rPr>
        <w:t xml:space="preserve">un juez o autoridad competente y con la observancia del </w:t>
      </w:r>
      <w:r>
        <w:rPr>
          <w:sz w:val="18"/>
          <w:szCs w:val="18"/>
          <w:lang w:val="es-ES_tradnl"/>
        </w:rPr>
        <w:t>tr</w:t>
      </w:r>
      <w:r>
        <w:rPr>
          <w:rFonts w:cs="Times New Roman"/>
          <w:sz w:val="18"/>
          <w:szCs w:val="18"/>
          <w:lang w:val="es-ES_tradnl"/>
        </w:rPr>
        <w:t>á</w:t>
      </w:r>
      <w:r>
        <w:rPr>
          <w:sz w:val="18"/>
          <w:szCs w:val="18"/>
          <w:lang w:val="es-ES_tradnl"/>
        </w:rPr>
        <w:t>mite propio de cada procedimiento.</w:t>
      </w:r>
    </w:p>
    <w:p w14:paraId="4F67B9F9" w14:textId="77777777" w:rsidR="00591D54" w:rsidRDefault="00591D54">
      <w:pPr>
        <w:shd w:val="clear" w:color="auto" w:fill="FFFFFF"/>
        <w:spacing w:before="192" w:line="216" w:lineRule="exact"/>
        <w:jc w:val="both"/>
        <w:sectPr w:rsidR="00591D54">
          <w:type w:val="continuous"/>
          <w:pgSz w:w="11909" w:h="16834"/>
          <w:pgMar w:top="1371" w:right="1309" w:bottom="360" w:left="1308" w:header="720" w:footer="720" w:gutter="0"/>
          <w:cols w:num="2" w:space="720" w:equalWidth="0">
            <w:col w:w="4310" w:space="677"/>
            <w:col w:w="4305"/>
          </w:cols>
          <w:noEndnote/>
        </w:sectPr>
      </w:pPr>
    </w:p>
    <w:p w14:paraId="4F67B9FA"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- 273</w:t>
      </w:r>
    </w:p>
    <w:p w14:paraId="4F67B9FB" w14:textId="77777777" w:rsidR="00591D54" w:rsidRDefault="00591D54">
      <w:pPr>
        <w:shd w:val="clear" w:color="auto" w:fill="FFFFFF"/>
        <w:tabs>
          <w:tab w:val="left" w:pos="5842"/>
        </w:tabs>
        <w:spacing w:after="235"/>
        <w:ind w:left="5"/>
        <w:sectPr w:rsidR="00591D54">
          <w:pgSz w:w="11909" w:h="16834"/>
          <w:pgMar w:top="1371" w:right="1309" w:bottom="360" w:left="1308" w:header="720" w:footer="720" w:gutter="0"/>
          <w:cols w:space="60"/>
          <w:noEndnote/>
        </w:sectPr>
      </w:pPr>
    </w:p>
    <w:p w14:paraId="4F67B9FC" w14:textId="77777777" w:rsidR="00591D54" w:rsidRDefault="00591D54">
      <w:pPr>
        <w:shd w:val="clear" w:color="auto" w:fill="FFFFFF"/>
        <w:spacing w:line="216" w:lineRule="exact"/>
        <w:jc w:val="both"/>
      </w:pPr>
      <w:r>
        <w:rPr>
          <w:spacing w:val="-5"/>
          <w:sz w:val="18"/>
          <w:szCs w:val="18"/>
          <w:lang w:val="es-ES_tradnl"/>
        </w:rPr>
        <w:t>Considera que el art</w:t>
      </w:r>
      <w:r>
        <w:rPr>
          <w:rFonts w:cs="Times New Roman"/>
          <w:spacing w:val="-5"/>
          <w:sz w:val="18"/>
          <w:szCs w:val="18"/>
          <w:lang w:val="es-ES_tradnl"/>
        </w:rPr>
        <w:t>í</w:t>
      </w:r>
      <w:r>
        <w:rPr>
          <w:spacing w:val="-5"/>
          <w:sz w:val="18"/>
          <w:szCs w:val="18"/>
          <w:lang w:val="es-ES_tradnl"/>
        </w:rPr>
        <w:t>culo 6 del C</w:t>
      </w:r>
      <w:r>
        <w:rPr>
          <w:rFonts w:cs="Times New Roman"/>
          <w:spacing w:val="-5"/>
          <w:sz w:val="18"/>
          <w:szCs w:val="18"/>
          <w:lang w:val="es-ES_tradnl"/>
        </w:rPr>
        <w:t>ó</w:t>
      </w:r>
      <w:r>
        <w:rPr>
          <w:spacing w:val="-5"/>
          <w:sz w:val="18"/>
          <w:szCs w:val="18"/>
          <w:lang w:val="es-ES_tradnl"/>
        </w:rPr>
        <w:t>digo Org</w:t>
      </w:r>
      <w:r>
        <w:rPr>
          <w:rFonts w:cs="Times New Roman"/>
          <w:spacing w:val="-5"/>
          <w:sz w:val="18"/>
          <w:szCs w:val="18"/>
          <w:lang w:val="es-ES_tradnl"/>
        </w:rPr>
        <w:t>á</w:t>
      </w:r>
      <w:r>
        <w:rPr>
          <w:spacing w:val="-5"/>
          <w:sz w:val="18"/>
          <w:szCs w:val="18"/>
          <w:lang w:val="es-ES_tradnl"/>
        </w:rPr>
        <w:t>nico de Organizaci</w:t>
      </w:r>
      <w:r>
        <w:rPr>
          <w:rFonts w:cs="Times New Roman"/>
          <w:spacing w:val="-5"/>
          <w:sz w:val="18"/>
          <w:szCs w:val="18"/>
          <w:lang w:val="es-ES_tradnl"/>
        </w:rPr>
        <w:t>ó</w:t>
      </w:r>
      <w:r>
        <w:rPr>
          <w:spacing w:val="-5"/>
          <w:sz w:val="18"/>
          <w:szCs w:val="18"/>
          <w:lang w:val="es-ES_tradnl"/>
        </w:rPr>
        <w:t>n Territorial, Autonom</w:t>
      </w:r>
      <w:r>
        <w:rPr>
          <w:rFonts w:cs="Times New Roman"/>
          <w:spacing w:val="-5"/>
          <w:sz w:val="18"/>
          <w:szCs w:val="18"/>
          <w:lang w:val="es-ES_tradnl"/>
        </w:rPr>
        <w:t>í</w:t>
      </w:r>
      <w:r>
        <w:rPr>
          <w:spacing w:val="-5"/>
          <w:sz w:val="18"/>
          <w:szCs w:val="18"/>
          <w:lang w:val="es-ES_tradnl"/>
        </w:rPr>
        <w:t>a y Descentralizaci</w:t>
      </w:r>
      <w:r>
        <w:rPr>
          <w:rFonts w:cs="Times New Roman"/>
          <w:spacing w:val="-5"/>
          <w:sz w:val="18"/>
          <w:szCs w:val="18"/>
          <w:lang w:val="es-ES_tradnl"/>
        </w:rPr>
        <w:t>ó</w:t>
      </w:r>
      <w:r>
        <w:rPr>
          <w:spacing w:val="-5"/>
          <w:sz w:val="18"/>
          <w:szCs w:val="18"/>
          <w:lang w:val="es-ES_tradnl"/>
        </w:rPr>
        <w:t xml:space="preserve">n </w:t>
      </w:r>
      <w:r>
        <w:rPr>
          <w:spacing w:val="-10"/>
          <w:sz w:val="18"/>
          <w:szCs w:val="18"/>
          <w:lang w:val="es-ES_tradnl"/>
        </w:rPr>
        <w:t>se</w:t>
      </w:r>
      <w:r>
        <w:rPr>
          <w:rFonts w:cs="Times New Roman"/>
          <w:spacing w:val="-10"/>
          <w:sz w:val="18"/>
          <w:szCs w:val="18"/>
          <w:lang w:val="es-ES_tradnl"/>
        </w:rPr>
        <w:t>ñ</w:t>
      </w:r>
      <w:r>
        <w:rPr>
          <w:spacing w:val="-10"/>
          <w:sz w:val="18"/>
          <w:szCs w:val="18"/>
          <w:lang w:val="es-ES_tradnl"/>
        </w:rPr>
        <w:t>ala que ninguna funci</w:t>
      </w:r>
      <w:r>
        <w:rPr>
          <w:rFonts w:cs="Times New Roman"/>
          <w:spacing w:val="-10"/>
          <w:sz w:val="18"/>
          <w:szCs w:val="18"/>
          <w:lang w:val="es-ES_tradnl"/>
        </w:rPr>
        <w:t>ó</w:t>
      </w:r>
      <w:r>
        <w:rPr>
          <w:spacing w:val="-10"/>
          <w:sz w:val="18"/>
          <w:szCs w:val="18"/>
          <w:lang w:val="es-ES_tradnl"/>
        </w:rPr>
        <w:t>n del Estado, ni autoridad extra</w:t>
      </w:r>
      <w:r>
        <w:rPr>
          <w:rFonts w:cs="Times New Roman"/>
          <w:spacing w:val="-10"/>
          <w:sz w:val="18"/>
          <w:szCs w:val="18"/>
          <w:lang w:val="es-ES_tradnl"/>
        </w:rPr>
        <w:t>ñ</w:t>
      </w:r>
      <w:r>
        <w:rPr>
          <w:spacing w:val="-10"/>
          <w:sz w:val="18"/>
          <w:szCs w:val="18"/>
          <w:lang w:val="es-ES_tradnl"/>
        </w:rPr>
        <w:t xml:space="preserve">a, </w:t>
      </w:r>
      <w:r>
        <w:rPr>
          <w:spacing w:val="-4"/>
          <w:sz w:val="18"/>
          <w:szCs w:val="18"/>
          <w:lang w:val="es-ES_tradnl"/>
        </w:rPr>
        <w:t>pueden interferir en la autonom</w:t>
      </w:r>
      <w:r>
        <w:rPr>
          <w:rFonts w:cs="Times New Roman"/>
          <w:spacing w:val="-4"/>
          <w:sz w:val="18"/>
          <w:szCs w:val="18"/>
          <w:lang w:val="es-ES_tradnl"/>
        </w:rPr>
        <w:t>í</w:t>
      </w:r>
      <w:r>
        <w:rPr>
          <w:spacing w:val="-4"/>
          <w:sz w:val="18"/>
          <w:szCs w:val="18"/>
          <w:lang w:val="es-ES_tradnl"/>
        </w:rPr>
        <w:t>a pol</w:t>
      </w:r>
      <w:r>
        <w:rPr>
          <w:rFonts w:cs="Times New Roman"/>
          <w:spacing w:val="-4"/>
          <w:sz w:val="18"/>
          <w:szCs w:val="18"/>
          <w:lang w:val="es-ES_tradnl"/>
        </w:rPr>
        <w:t>í</w:t>
      </w:r>
      <w:r>
        <w:rPr>
          <w:spacing w:val="-4"/>
          <w:sz w:val="18"/>
          <w:szCs w:val="18"/>
          <w:lang w:val="es-ES_tradnl"/>
        </w:rPr>
        <w:t xml:space="preserve">tica, administrativa </w:t>
      </w:r>
      <w:r>
        <w:rPr>
          <w:spacing w:val="-3"/>
          <w:sz w:val="18"/>
          <w:szCs w:val="18"/>
          <w:lang w:val="es-ES_tradnl"/>
        </w:rPr>
        <w:t>y financiera propia de los gobiernos aut</w:t>
      </w:r>
      <w:r>
        <w:rPr>
          <w:rFonts w:cs="Times New Roman"/>
          <w:spacing w:val="-3"/>
          <w:sz w:val="18"/>
          <w:szCs w:val="18"/>
          <w:lang w:val="es-ES_tradnl"/>
        </w:rPr>
        <w:t>ó</w:t>
      </w:r>
      <w:r>
        <w:rPr>
          <w:spacing w:val="-3"/>
          <w:sz w:val="18"/>
          <w:szCs w:val="18"/>
          <w:lang w:val="es-ES_tradnl"/>
        </w:rPr>
        <w:t xml:space="preserve">nomos </w:t>
      </w:r>
      <w:r>
        <w:rPr>
          <w:spacing w:val="-10"/>
          <w:sz w:val="18"/>
          <w:szCs w:val="18"/>
          <w:lang w:val="es-ES_tradnl"/>
        </w:rPr>
        <w:t xml:space="preserve">descentralizados, especialmente en lo relacionado a impedir </w:t>
      </w:r>
      <w:r>
        <w:rPr>
          <w:spacing w:val="-7"/>
          <w:sz w:val="18"/>
          <w:szCs w:val="18"/>
          <w:lang w:val="es-ES_tradnl"/>
        </w:rPr>
        <w:t>o retardar de cualquier modo la ejecuci</w:t>
      </w:r>
      <w:r>
        <w:rPr>
          <w:rFonts w:cs="Times New Roman"/>
          <w:spacing w:val="-7"/>
          <w:sz w:val="18"/>
          <w:szCs w:val="18"/>
          <w:lang w:val="es-ES_tradnl"/>
        </w:rPr>
        <w:t>ó</w:t>
      </w:r>
      <w:r>
        <w:rPr>
          <w:spacing w:val="-7"/>
          <w:sz w:val="18"/>
          <w:szCs w:val="18"/>
          <w:lang w:val="es-ES_tradnl"/>
        </w:rPr>
        <w:t xml:space="preserve">n de obras, planes </w:t>
      </w:r>
      <w:r>
        <w:rPr>
          <w:spacing w:val="-9"/>
          <w:sz w:val="18"/>
          <w:szCs w:val="18"/>
          <w:lang w:val="es-ES_tradnl"/>
        </w:rPr>
        <w:t>o programas de competencia de los gobiernos aut</w:t>
      </w:r>
      <w:r>
        <w:rPr>
          <w:rFonts w:cs="Times New Roman"/>
          <w:spacing w:val="-9"/>
          <w:sz w:val="18"/>
          <w:szCs w:val="18"/>
          <w:lang w:val="es-ES_tradnl"/>
        </w:rPr>
        <w:t>ó</w:t>
      </w:r>
      <w:r>
        <w:rPr>
          <w:spacing w:val="-9"/>
          <w:sz w:val="18"/>
          <w:szCs w:val="18"/>
          <w:lang w:val="es-ES_tradnl"/>
        </w:rPr>
        <w:t xml:space="preserve">nomos </w:t>
      </w:r>
      <w:r>
        <w:rPr>
          <w:spacing w:val="-8"/>
          <w:sz w:val="18"/>
          <w:szCs w:val="18"/>
          <w:lang w:val="es-ES_tradnl"/>
        </w:rPr>
        <w:t xml:space="preserve">descentralizados y/o interferir o perturbar el ejercicio de las </w:t>
      </w:r>
      <w:r>
        <w:rPr>
          <w:spacing w:val="-6"/>
          <w:sz w:val="18"/>
          <w:szCs w:val="18"/>
          <w:lang w:val="es-ES_tradnl"/>
        </w:rPr>
        <w:t>competencias previstas en la Constituci</w:t>
      </w:r>
      <w:r>
        <w:rPr>
          <w:rFonts w:cs="Times New Roman"/>
          <w:spacing w:val="-6"/>
          <w:sz w:val="18"/>
          <w:szCs w:val="18"/>
          <w:lang w:val="es-ES_tradnl"/>
        </w:rPr>
        <w:t>ó</w:t>
      </w:r>
      <w:r>
        <w:rPr>
          <w:spacing w:val="-6"/>
          <w:sz w:val="18"/>
          <w:szCs w:val="18"/>
          <w:lang w:val="es-ES_tradnl"/>
        </w:rPr>
        <w:t xml:space="preserve">n, el COOTAD y </w:t>
      </w:r>
      <w:r>
        <w:rPr>
          <w:sz w:val="18"/>
          <w:szCs w:val="18"/>
          <w:lang w:val="es-ES_tradnl"/>
        </w:rPr>
        <w:t>las leyes que correspondan.</w:t>
      </w:r>
    </w:p>
    <w:p w14:paraId="4F67B9FD" w14:textId="77777777" w:rsidR="00591D54" w:rsidRDefault="00591D54">
      <w:pPr>
        <w:shd w:val="clear" w:color="auto" w:fill="FFFFFF"/>
        <w:spacing w:before="197" w:line="216" w:lineRule="exact"/>
        <w:ind w:right="5"/>
        <w:jc w:val="both"/>
      </w:pPr>
      <w:r>
        <w:rPr>
          <w:spacing w:val="-9"/>
          <w:sz w:val="18"/>
          <w:szCs w:val="18"/>
          <w:lang w:val="es-ES_tradnl"/>
        </w:rPr>
        <w:t xml:space="preserve">Que al concejo municipal le corresponde regular y controlar </w:t>
      </w:r>
      <w:r>
        <w:rPr>
          <w:spacing w:val="-4"/>
          <w:sz w:val="18"/>
          <w:szCs w:val="18"/>
          <w:lang w:val="es-ES_tradnl"/>
        </w:rPr>
        <w:t>el uso del suelo dentro de su jurisdicci</w:t>
      </w:r>
      <w:r>
        <w:rPr>
          <w:rFonts w:cs="Times New Roman"/>
          <w:spacing w:val="-4"/>
          <w:sz w:val="18"/>
          <w:szCs w:val="18"/>
          <w:lang w:val="es-ES_tradnl"/>
        </w:rPr>
        <w:t>ó</w:t>
      </w:r>
      <w:r>
        <w:rPr>
          <w:spacing w:val="-4"/>
          <w:sz w:val="18"/>
          <w:szCs w:val="18"/>
          <w:lang w:val="es-ES_tradnl"/>
        </w:rPr>
        <w:t xml:space="preserve">n territorial del </w:t>
      </w:r>
      <w:r>
        <w:rPr>
          <w:sz w:val="18"/>
          <w:szCs w:val="18"/>
          <w:lang w:val="es-ES_tradnl"/>
        </w:rPr>
        <w:t>cant</w:t>
      </w:r>
      <w:r>
        <w:rPr>
          <w:rFonts w:cs="Times New Roman"/>
          <w:sz w:val="18"/>
          <w:szCs w:val="18"/>
          <w:lang w:val="es-ES_tradnl"/>
        </w:rPr>
        <w:t>ó</w:t>
      </w:r>
      <w:r>
        <w:rPr>
          <w:sz w:val="18"/>
          <w:szCs w:val="18"/>
          <w:lang w:val="es-ES_tradnl"/>
        </w:rPr>
        <w:t>n.</w:t>
      </w:r>
    </w:p>
    <w:p w14:paraId="4F67B9FE" w14:textId="77777777" w:rsidR="00591D54" w:rsidRDefault="00591D54">
      <w:pPr>
        <w:shd w:val="clear" w:color="auto" w:fill="FFFFFF"/>
        <w:spacing w:before="197" w:line="216" w:lineRule="exact"/>
        <w:ind w:right="5"/>
        <w:jc w:val="both"/>
      </w:pPr>
      <w:r>
        <w:rPr>
          <w:spacing w:val="-5"/>
          <w:sz w:val="18"/>
          <w:szCs w:val="18"/>
          <w:lang w:val="es-ES_tradnl"/>
        </w:rPr>
        <w:t xml:space="preserve">Manifiesta que los actos normativos de los </w:t>
      </w:r>
      <w:r>
        <w:rPr>
          <w:rFonts w:cs="Times New Roman"/>
          <w:spacing w:val="-5"/>
          <w:sz w:val="18"/>
          <w:szCs w:val="18"/>
          <w:lang w:val="es-ES_tradnl"/>
        </w:rPr>
        <w:t>ó</w:t>
      </w:r>
      <w:r>
        <w:rPr>
          <w:spacing w:val="-5"/>
          <w:sz w:val="18"/>
          <w:szCs w:val="18"/>
          <w:lang w:val="es-ES_tradnl"/>
        </w:rPr>
        <w:t xml:space="preserve">rganos </w:t>
      </w:r>
      <w:r>
        <w:rPr>
          <w:spacing w:val="-8"/>
          <w:sz w:val="18"/>
          <w:szCs w:val="18"/>
          <w:lang w:val="es-ES_tradnl"/>
        </w:rPr>
        <w:t>legislativos que forman parte de los gobiernos aut</w:t>
      </w:r>
      <w:r>
        <w:rPr>
          <w:rFonts w:cs="Times New Roman"/>
          <w:spacing w:val="-8"/>
          <w:sz w:val="18"/>
          <w:szCs w:val="18"/>
          <w:lang w:val="es-ES_tradnl"/>
        </w:rPr>
        <w:t>ó</w:t>
      </w:r>
      <w:r>
        <w:rPr>
          <w:spacing w:val="-8"/>
          <w:sz w:val="18"/>
          <w:szCs w:val="18"/>
          <w:lang w:val="es-ES_tradnl"/>
        </w:rPr>
        <w:t xml:space="preserve">nomos </w:t>
      </w:r>
      <w:r>
        <w:rPr>
          <w:spacing w:val="-4"/>
          <w:sz w:val="18"/>
          <w:szCs w:val="18"/>
          <w:lang w:val="es-ES_tradnl"/>
        </w:rPr>
        <w:t xml:space="preserve">descentralizados causan estado y solo pueden ser </w:t>
      </w:r>
      <w:r>
        <w:rPr>
          <w:sz w:val="18"/>
          <w:szCs w:val="18"/>
          <w:lang w:val="es-ES_tradnl"/>
        </w:rPr>
        <w:t>impugnados ante la Corte Constitucional.</w:t>
      </w:r>
    </w:p>
    <w:p w14:paraId="4F67B9FF" w14:textId="77777777" w:rsidR="00591D54" w:rsidRDefault="00591D54">
      <w:pPr>
        <w:shd w:val="clear" w:color="auto" w:fill="FFFFFF"/>
        <w:spacing w:before="192" w:line="216" w:lineRule="exact"/>
        <w:ind w:right="5"/>
        <w:jc w:val="both"/>
      </w:pPr>
      <w:r>
        <w:rPr>
          <w:spacing w:val="-9"/>
          <w:sz w:val="18"/>
          <w:szCs w:val="18"/>
          <w:lang w:val="es-ES_tradnl"/>
        </w:rPr>
        <w:t>Asume que la sentencia materia de la impugnaci</w:t>
      </w:r>
      <w:r>
        <w:rPr>
          <w:rFonts w:cs="Times New Roman"/>
          <w:spacing w:val="-9"/>
          <w:sz w:val="18"/>
          <w:szCs w:val="18"/>
          <w:lang w:val="es-ES_tradnl"/>
        </w:rPr>
        <w:t>ó</w:t>
      </w:r>
      <w:r>
        <w:rPr>
          <w:spacing w:val="-9"/>
          <w:sz w:val="18"/>
          <w:szCs w:val="18"/>
          <w:lang w:val="es-ES_tradnl"/>
        </w:rPr>
        <w:t xml:space="preserve">n vulnera el derecho al debido proceso, porque los jueces no pueden </w:t>
      </w:r>
      <w:r>
        <w:rPr>
          <w:spacing w:val="-7"/>
          <w:sz w:val="18"/>
          <w:szCs w:val="18"/>
          <w:lang w:val="es-ES_tradnl"/>
        </w:rPr>
        <w:t xml:space="preserve">dejar sin efecto lo dispuesto en la Ordenanza de Higiene y </w:t>
      </w:r>
      <w:r>
        <w:rPr>
          <w:spacing w:val="-5"/>
          <w:sz w:val="18"/>
          <w:szCs w:val="18"/>
          <w:lang w:val="es-ES_tradnl"/>
        </w:rPr>
        <w:t>Abasto del cant</w:t>
      </w:r>
      <w:r>
        <w:rPr>
          <w:rFonts w:cs="Times New Roman"/>
          <w:spacing w:val="-5"/>
          <w:sz w:val="18"/>
          <w:szCs w:val="18"/>
          <w:lang w:val="es-ES_tradnl"/>
        </w:rPr>
        <w:t>ó</w:t>
      </w:r>
      <w:r>
        <w:rPr>
          <w:spacing w:val="-5"/>
          <w:sz w:val="18"/>
          <w:szCs w:val="18"/>
          <w:lang w:val="es-ES_tradnl"/>
        </w:rPr>
        <w:t xml:space="preserve">n La Libertad ya que dicho cometido le </w:t>
      </w:r>
      <w:r>
        <w:rPr>
          <w:spacing w:val="-9"/>
          <w:sz w:val="18"/>
          <w:szCs w:val="18"/>
          <w:lang w:val="es-ES_tradnl"/>
        </w:rPr>
        <w:t xml:space="preserve">corresponde a la Corte Constitucional, por lo que los jueces accionados se han arrogado funciones que no les otorga la </w:t>
      </w:r>
      <w:r>
        <w:rPr>
          <w:sz w:val="18"/>
          <w:szCs w:val="18"/>
          <w:lang w:val="es-ES_tradnl"/>
        </w:rPr>
        <w:t>ley ni la Constituci</w:t>
      </w:r>
      <w:r>
        <w:rPr>
          <w:rFonts w:cs="Times New Roman"/>
          <w:sz w:val="18"/>
          <w:szCs w:val="18"/>
          <w:lang w:val="es-ES_tradnl"/>
        </w:rPr>
        <w:t>ó</w:t>
      </w:r>
      <w:r>
        <w:rPr>
          <w:sz w:val="18"/>
          <w:szCs w:val="18"/>
          <w:lang w:val="es-ES_tradnl"/>
        </w:rPr>
        <w:t>n.</w:t>
      </w:r>
    </w:p>
    <w:p w14:paraId="4F67BA00" w14:textId="77777777" w:rsidR="00591D54" w:rsidRDefault="00591D54">
      <w:pPr>
        <w:shd w:val="clear" w:color="auto" w:fill="FFFFFF"/>
        <w:spacing w:before="192" w:line="216" w:lineRule="exact"/>
        <w:ind w:right="5"/>
        <w:jc w:val="both"/>
      </w:pPr>
      <w:r>
        <w:rPr>
          <w:spacing w:val="-8"/>
          <w:sz w:val="18"/>
          <w:szCs w:val="18"/>
          <w:lang w:val="es-ES_tradnl"/>
        </w:rPr>
        <w:t>Adem</w:t>
      </w:r>
      <w:r>
        <w:rPr>
          <w:rFonts w:cs="Times New Roman"/>
          <w:spacing w:val="-8"/>
          <w:sz w:val="18"/>
          <w:szCs w:val="18"/>
          <w:lang w:val="es-ES_tradnl"/>
        </w:rPr>
        <w:t>á</w:t>
      </w:r>
      <w:r>
        <w:rPr>
          <w:spacing w:val="-8"/>
          <w:sz w:val="18"/>
          <w:szCs w:val="18"/>
          <w:lang w:val="es-ES_tradnl"/>
        </w:rPr>
        <w:t>s, se</w:t>
      </w:r>
      <w:r>
        <w:rPr>
          <w:rFonts w:cs="Times New Roman"/>
          <w:spacing w:val="-8"/>
          <w:sz w:val="18"/>
          <w:szCs w:val="18"/>
          <w:lang w:val="es-ES_tradnl"/>
        </w:rPr>
        <w:t>ñ</w:t>
      </w:r>
      <w:r>
        <w:rPr>
          <w:spacing w:val="-8"/>
          <w:sz w:val="18"/>
          <w:szCs w:val="18"/>
          <w:lang w:val="es-ES_tradnl"/>
        </w:rPr>
        <w:t xml:space="preserve">ala que la sentencia impugnada vulnera el </w:t>
      </w:r>
      <w:r>
        <w:rPr>
          <w:spacing w:val="-7"/>
          <w:sz w:val="18"/>
          <w:szCs w:val="18"/>
          <w:lang w:val="es-ES_tradnl"/>
        </w:rPr>
        <w:t>derecho a la seguridad jur</w:t>
      </w:r>
      <w:r>
        <w:rPr>
          <w:rFonts w:cs="Times New Roman"/>
          <w:spacing w:val="-7"/>
          <w:sz w:val="18"/>
          <w:szCs w:val="18"/>
          <w:lang w:val="es-ES_tradnl"/>
        </w:rPr>
        <w:t>í</w:t>
      </w:r>
      <w:r>
        <w:rPr>
          <w:spacing w:val="-7"/>
          <w:sz w:val="18"/>
          <w:szCs w:val="18"/>
          <w:lang w:val="es-ES_tradnl"/>
        </w:rPr>
        <w:t xml:space="preserve">dica, al no haberse tomado en </w:t>
      </w:r>
      <w:r>
        <w:rPr>
          <w:spacing w:val="-8"/>
          <w:sz w:val="18"/>
          <w:szCs w:val="18"/>
          <w:lang w:val="es-ES_tradnl"/>
        </w:rPr>
        <w:t>cuenta que la Constituci</w:t>
      </w:r>
      <w:r>
        <w:rPr>
          <w:rFonts w:cs="Times New Roman"/>
          <w:spacing w:val="-8"/>
          <w:sz w:val="18"/>
          <w:szCs w:val="18"/>
          <w:lang w:val="es-ES_tradnl"/>
        </w:rPr>
        <w:t>ó</w:t>
      </w:r>
      <w:r>
        <w:rPr>
          <w:spacing w:val="-8"/>
          <w:sz w:val="18"/>
          <w:szCs w:val="18"/>
          <w:lang w:val="es-ES_tradnl"/>
        </w:rPr>
        <w:t xml:space="preserve">n y la ley facultan a los municipios </w:t>
      </w:r>
      <w:r>
        <w:rPr>
          <w:spacing w:val="-3"/>
          <w:sz w:val="18"/>
          <w:szCs w:val="18"/>
          <w:lang w:val="es-ES_tradnl"/>
        </w:rPr>
        <w:t xml:space="preserve">para regular y controlar el uso del suelo, potestad esta </w:t>
      </w:r>
      <w:r>
        <w:rPr>
          <w:spacing w:val="-7"/>
          <w:sz w:val="18"/>
          <w:szCs w:val="18"/>
          <w:lang w:val="es-ES_tradnl"/>
        </w:rPr>
        <w:t xml:space="preserve">que no puede ser estorbada por ninguna otra autoridad ni </w:t>
      </w:r>
      <w:r>
        <w:rPr>
          <w:sz w:val="18"/>
          <w:szCs w:val="18"/>
          <w:lang w:val="es-ES_tradnl"/>
        </w:rPr>
        <w:t>Funci</w:t>
      </w:r>
      <w:r>
        <w:rPr>
          <w:rFonts w:cs="Times New Roman"/>
          <w:sz w:val="18"/>
          <w:szCs w:val="18"/>
          <w:lang w:val="es-ES_tradnl"/>
        </w:rPr>
        <w:t>ó</w:t>
      </w:r>
      <w:r>
        <w:rPr>
          <w:sz w:val="18"/>
          <w:szCs w:val="18"/>
          <w:lang w:val="es-ES_tradnl"/>
        </w:rPr>
        <w:t>n del Estado.</w:t>
      </w:r>
    </w:p>
    <w:p w14:paraId="4F67BA01" w14:textId="77777777" w:rsidR="00591D54" w:rsidRDefault="00591D54">
      <w:pPr>
        <w:shd w:val="clear" w:color="auto" w:fill="FFFFFF"/>
        <w:spacing w:before="192" w:line="216" w:lineRule="exact"/>
        <w:ind w:right="5"/>
        <w:jc w:val="both"/>
      </w:pPr>
      <w:r>
        <w:rPr>
          <w:spacing w:val="-2"/>
          <w:sz w:val="18"/>
          <w:szCs w:val="18"/>
          <w:lang w:val="es-ES_tradnl"/>
        </w:rPr>
        <w:t xml:space="preserve">En estas circunstancias, solicita que se declare la </w:t>
      </w:r>
      <w:r>
        <w:rPr>
          <w:spacing w:val="-5"/>
          <w:sz w:val="18"/>
          <w:szCs w:val="18"/>
          <w:lang w:val="es-ES_tradnl"/>
        </w:rPr>
        <w:t>vulneraci</w:t>
      </w:r>
      <w:r>
        <w:rPr>
          <w:rFonts w:cs="Times New Roman"/>
          <w:spacing w:val="-5"/>
          <w:sz w:val="18"/>
          <w:szCs w:val="18"/>
          <w:lang w:val="es-ES_tradnl"/>
        </w:rPr>
        <w:t>ó</w:t>
      </w:r>
      <w:r>
        <w:rPr>
          <w:spacing w:val="-5"/>
          <w:sz w:val="18"/>
          <w:szCs w:val="18"/>
          <w:lang w:val="es-ES_tradnl"/>
        </w:rPr>
        <w:t xml:space="preserve">n de derechos constitucionales y se deje sin </w:t>
      </w:r>
      <w:r>
        <w:rPr>
          <w:sz w:val="18"/>
          <w:szCs w:val="18"/>
          <w:lang w:val="es-ES_tradnl"/>
        </w:rPr>
        <w:t>efecto la sentencia impugnada.</w:t>
      </w:r>
    </w:p>
    <w:p w14:paraId="4F67BA02" w14:textId="77777777" w:rsidR="00591D54" w:rsidRDefault="00591D54">
      <w:pPr>
        <w:shd w:val="clear" w:color="auto" w:fill="FFFFFF"/>
        <w:spacing w:before="192" w:line="216" w:lineRule="exact"/>
        <w:ind w:right="5"/>
        <w:jc w:val="both"/>
      </w:pPr>
      <w:r>
        <w:rPr>
          <w:spacing w:val="-8"/>
          <w:sz w:val="18"/>
          <w:szCs w:val="18"/>
          <w:lang w:val="es-ES_tradnl"/>
        </w:rPr>
        <w:t>Finalmente comparece la se</w:t>
      </w:r>
      <w:r>
        <w:rPr>
          <w:rFonts w:cs="Times New Roman"/>
          <w:spacing w:val="-8"/>
          <w:sz w:val="18"/>
          <w:szCs w:val="18"/>
          <w:lang w:val="es-ES_tradnl"/>
        </w:rPr>
        <w:t>ñ</w:t>
      </w:r>
      <w:r>
        <w:rPr>
          <w:spacing w:val="-8"/>
          <w:sz w:val="18"/>
          <w:szCs w:val="18"/>
          <w:lang w:val="es-ES_tradnl"/>
        </w:rPr>
        <w:t>ora Gloria Amanda Calder</w:t>
      </w:r>
      <w:r>
        <w:rPr>
          <w:rFonts w:cs="Times New Roman"/>
          <w:spacing w:val="-8"/>
          <w:sz w:val="18"/>
          <w:szCs w:val="18"/>
          <w:lang w:val="es-ES_tradnl"/>
        </w:rPr>
        <w:t>ó</w:t>
      </w:r>
      <w:r>
        <w:rPr>
          <w:spacing w:val="-8"/>
          <w:sz w:val="18"/>
          <w:szCs w:val="18"/>
          <w:lang w:val="es-ES_tradnl"/>
        </w:rPr>
        <w:t xml:space="preserve">n </w:t>
      </w:r>
      <w:r>
        <w:rPr>
          <w:spacing w:val="-14"/>
          <w:sz w:val="18"/>
          <w:szCs w:val="18"/>
          <w:lang w:val="es-ES_tradnl"/>
        </w:rPr>
        <w:t>S</w:t>
      </w:r>
      <w:r>
        <w:rPr>
          <w:rFonts w:cs="Times New Roman"/>
          <w:spacing w:val="-14"/>
          <w:sz w:val="18"/>
          <w:szCs w:val="18"/>
          <w:lang w:val="es-ES_tradnl"/>
        </w:rPr>
        <w:t>á</w:t>
      </w:r>
      <w:r>
        <w:rPr>
          <w:spacing w:val="-14"/>
          <w:sz w:val="18"/>
          <w:szCs w:val="18"/>
          <w:lang w:val="es-ES_tradnl"/>
        </w:rPr>
        <w:t>nchez en calidad de tercera con inter</w:t>
      </w:r>
      <w:r>
        <w:rPr>
          <w:rFonts w:cs="Times New Roman"/>
          <w:spacing w:val="-14"/>
          <w:sz w:val="18"/>
          <w:szCs w:val="18"/>
          <w:lang w:val="es-ES_tradnl"/>
        </w:rPr>
        <w:t>é</w:t>
      </w:r>
      <w:r>
        <w:rPr>
          <w:spacing w:val="-14"/>
          <w:sz w:val="18"/>
          <w:szCs w:val="18"/>
          <w:lang w:val="es-ES_tradnl"/>
        </w:rPr>
        <w:t>s en la presente acci</w:t>
      </w:r>
      <w:r>
        <w:rPr>
          <w:rFonts w:cs="Times New Roman"/>
          <w:spacing w:val="-14"/>
          <w:sz w:val="18"/>
          <w:szCs w:val="18"/>
          <w:lang w:val="es-ES_tradnl"/>
        </w:rPr>
        <w:t>ó</w:t>
      </w:r>
      <w:r>
        <w:rPr>
          <w:spacing w:val="-14"/>
          <w:sz w:val="18"/>
          <w:szCs w:val="18"/>
          <w:lang w:val="es-ES_tradnl"/>
        </w:rPr>
        <w:t xml:space="preserve">n </w:t>
      </w:r>
      <w:r>
        <w:rPr>
          <w:spacing w:val="-5"/>
          <w:sz w:val="18"/>
          <w:szCs w:val="18"/>
          <w:lang w:val="es-ES_tradnl"/>
        </w:rPr>
        <w:t xml:space="preserve">jurisdiccional constitucional, quien, fundamentalmente, </w:t>
      </w:r>
      <w:r>
        <w:rPr>
          <w:spacing w:val="-4"/>
          <w:sz w:val="18"/>
          <w:szCs w:val="18"/>
          <w:lang w:val="es-ES_tradnl"/>
        </w:rPr>
        <w:t>manifiesta que la Municipalidad del cant</w:t>
      </w:r>
      <w:r>
        <w:rPr>
          <w:rFonts w:cs="Times New Roman"/>
          <w:spacing w:val="-4"/>
          <w:sz w:val="18"/>
          <w:szCs w:val="18"/>
          <w:lang w:val="es-ES_tradnl"/>
        </w:rPr>
        <w:t>ó</w:t>
      </w:r>
      <w:r>
        <w:rPr>
          <w:spacing w:val="-4"/>
          <w:sz w:val="18"/>
          <w:szCs w:val="18"/>
          <w:lang w:val="es-ES_tradnl"/>
        </w:rPr>
        <w:t xml:space="preserve">n La Libertad </w:t>
      </w:r>
      <w:r>
        <w:rPr>
          <w:spacing w:val="-3"/>
          <w:sz w:val="18"/>
          <w:szCs w:val="18"/>
          <w:lang w:val="es-ES_tradnl"/>
        </w:rPr>
        <w:t>expidi</w:t>
      </w:r>
      <w:r>
        <w:rPr>
          <w:rFonts w:cs="Times New Roman"/>
          <w:spacing w:val="-3"/>
          <w:sz w:val="18"/>
          <w:szCs w:val="18"/>
          <w:lang w:val="es-ES_tradnl"/>
        </w:rPr>
        <w:t>ó</w:t>
      </w:r>
      <w:r>
        <w:rPr>
          <w:spacing w:val="-3"/>
          <w:sz w:val="18"/>
          <w:szCs w:val="18"/>
          <w:lang w:val="es-ES_tradnl"/>
        </w:rPr>
        <w:t xml:space="preserve"> la Ordenanza de Higiene y Abasto, en vigencia, </w:t>
      </w:r>
      <w:r>
        <w:rPr>
          <w:spacing w:val="-7"/>
          <w:sz w:val="18"/>
          <w:szCs w:val="18"/>
          <w:lang w:val="es-ES_tradnl"/>
        </w:rPr>
        <w:t>la misma que en su art</w:t>
      </w:r>
      <w:r>
        <w:rPr>
          <w:rFonts w:cs="Times New Roman"/>
          <w:spacing w:val="-7"/>
          <w:sz w:val="18"/>
          <w:szCs w:val="18"/>
          <w:lang w:val="es-ES_tradnl"/>
        </w:rPr>
        <w:t>í</w:t>
      </w:r>
      <w:r>
        <w:rPr>
          <w:spacing w:val="-7"/>
          <w:sz w:val="18"/>
          <w:szCs w:val="18"/>
          <w:lang w:val="es-ES_tradnl"/>
        </w:rPr>
        <w:t xml:space="preserve">culo 64 determina que antes de </w:t>
      </w:r>
      <w:r>
        <w:rPr>
          <w:spacing w:val="-6"/>
          <w:sz w:val="18"/>
          <w:szCs w:val="18"/>
          <w:lang w:val="es-ES_tradnl"/>
        </w:rPr>
        <w:t>imponer sanci</w:t>
      </w:r>
      <w:r>
        <w:rPr>
          <w:rFonts w:cs="Times New Roman"/>
          <w:spacing w:val="-6"/>
          <w:sz w:val="18"/>
          <w:szCs w:val="18"/>
          <w:lang w:val="es-ES_tradnl"/>
        </w:rPr>
        <w:t>ó</w:t>
      </w:r>
      <w:r>
        <w:rPr>
          <w:spacing w:val="-6"/>
          <w:sz w:val="18"/>
          <w:szCs w:val="18"/>
          <w:lang w:val="es-ES_tradnl"/>
        </w:rPr>
        <w:t xml:space="preserve">n por las infracciones previstas en dicho </w:t>
      </w:r>
      <w:r>
        <w:rPr>
          <w:spacing w:val="-1"/>
          <w:sz w:val="18"/>
          <w:szCs w:val="18"/>
          <w:lang w:val="es-ES_tradnl"/>
        </w:rPr>
        <w:t xml:space="preserve">cuerpo normativo se debe citar al infractor previo el </w:t>
      </w:r>
      <w:r>
        <w:rPr>
          <w:spacing w:val="-7"/>
          <w:sz w:val="18"/>
          <w:szCs w:val="18"/>
          <w:lang w:val="es-ES_tradnl"/>
        </w:rPr>
        <w:t>tr</w:t>
      </w:r>
      <w:r>
        <w:rPr>
          <w:rFonts w:cs="Times New Roman"/>
          <w:spacing w:val="-7"/>
          <w:sz w:val="18"/>
          <w:szCs w:val="18"/>
          <w:lang w:val="es-ES_tradnl"/>
        </w:rPr>
        <w:t>á</w:t>
      </w:r>
      <w:r>
        <w:rPr>
          <w:spacing w:val="-7"/>
          <w:sz w:val="18"/>
          <w:szCs w:val="18"/>
          <w:lang w:val="es-ES_tradnl"/>
        </w:rPr>
        <w:t>mite previsto en el C</w:t>
      </w:r>
      <w:r>
        <w:rPr>
          <w:rFonts w:cs="Times New Roman"/>
          <w:spacing w:val="-7"/>
          <w:sz w:val="18"/>
          <w:szCs w:val="18"/>
          <w:lang w:val="es-ES_tradnl"/>
        </w:rPr>
        <w:t>ó</w:t>
      </w:r>
      <w:r>
        <w:rPr>
          <w:spacing w:val="-7"/>
          <w:sz w:val="18"/>
          <w:szCs w:val="18"/>
          <w:lang w:val="es-ES_tradnl"/>
        </w:rPr>
        <w:t xml:space="preserve">digo de Procedimiento Penal para </w:t>
      </w:r>
      <w:r>
        <w:rPr>
          <w:spacing w:val="-8"/>
          <w:sz w:val="18"/>
          <w:szCs w:val="18"/>
          <w:lang w:val="es-ES_tradnl"/>
        </w:rPr>
        <w:t xml:space="preserve">el juzgamiento de contravenciones, mandato este que ha </w:t>
      </w:r>
      <w:r>
        <w:rPr>
          <w:spacing w:val="-7"/>
          <w:sz w:val="18"/>
          <w:szCs w:val="18"/>
          <w:lang w:val="es-ES_tradnl"/>
        </w:rPr>
        <w:t xml:space="preserve">sido inobservado, y se la ha privado del derecho a ejercer </w:t>
      </w:r>
      <w:r>
        <w:rPr>
          <w:spacing w:val="-5"/>
          <w:sz w:val="18"/>
          <w:szCs w:val="18"/>
          <w:lang w:val="es-ES_tradnl"/>
        </w:rPr>
        <w:t>su defensa y por lo tanto, implica la vulneraci</w:t>
      </w:r>
      <w:r>
        <w:rPr>
          <w:rFonts w:cs="Times New Roman"/>
          <w:spacing w:val="-5"/>
          <w:sz w:val="18"/>
          <w:szCs w:val="18"/>
          <w:lang w:val="es-ES_tradnl"/>
        </w:rPr>
        <w:t>ó</w:t>
      </w:r>
      <w:r>
        <w:rPr>
          <w:spacing w:val="-5"/>
          <w:sz w:val="18"/>
          <w:szCs w:val="18"/>
          <w:lang w:val="es-ES_tradnl"/>
        </w:rPr>
        <w:t xml:space="preserve">n de las </w:t>
      </w:r>
      <w:r>
        <w:rPr>
          <w:spacing w:val="-7"/>
          <w:sz w:val="18"/>
          <w:szCs w:val="18"/>
          <w:lang w:val="es-ES_tradnl"/>
        </w:rPr>
        <w:t>garant</w:t>
      </w:r>
      <w:r>
        <w:rPr>
          <w:rFonts w:cs="Times New Roman"/>
          <w:spacing w:val="-7"/>
          <w:sz w:val="18"/>
          <w:szCs w:val="18"/>
          <w:lang w:val="es-ES_tradnl"/>
        </w:rPr>
        <w:t>í</w:t>
      </w:r>
      <w:r>
        <w:rPr>
          <w:spacing w:val="-7"/>
          <w:sz w:val="18"/>
          <w:szCs w:val="18"/>
          <w:lang w:val="es-ES_tradnl"/>
        </w:rPr>
        <w:t xml:space="preserve">as del debido proceso en virtud de lo cual, tuvo que </w:t>
      </w:r>
      <w:r>
        <w:rPr>
          <w:sz w:val="18"/>
          <w:szCs w:val="18"/>
          <w:lang w:val="es-ES_tradnl"/>
        </w:rPr>
        <w:t>recurrir a la acci</w:t>
      </w:r>
      <w:r>
        <w:rPr>
          <w:rFonts w:cs="Times New Roman"/>
          <w:sz w:val="18"/>
          <w:szCs w:val="18"/>
          <w:lang w:val="es-ES_tradnl"/>
        </w:rPr>
        <w:t>ó</w:t>
      </w:r>
      <w:r>
        <w:rPr>
          <w:sz w:val="18"/>
          <w:szCs w:val="18"/>
          <w:lang w:val="es-ES_tradnl"/>
        </w:rPr>
        <w:t>n de protecci</w:t>
      </w:r>
      <w:r>
        <w:rPr>
          <w:rFonts w:cs="Times New Roman"/>
          <w:sz w:val="18"/>
          <w:szCs w:val="18"/>
          <w:lang w:val="es-ES_tradnl"/>
        </w:rPr>
        <w:t>ó</w:t>
      </w:r>
      <w:r>
        <w:rPr>
          <w:sz w:val="18"/>
          <w:szCs w:val="18"/>
          <w:lang w:val="es-ES_tradnl"/>
        </w:rPr>
        <w:t>n.</w:t>
      </w:r>
    </w:p>
    <w:p w14:paraId="4F67BA03" w14:textId="77777777" w:rsidR="00591D54" w:rsidRDefault="00591D54">
      <w:pPr>
        <w:shd w:val="clear" w:color="auto" w:fill="FFFFFF"/>
        <w:spacing w:before="197" w:line="216" w:lineRule="exact"/>
        <w:ind w:right="5"/>
        <w:jc w:val="both"/>
      </w:pPr>
      <w:r>
        <w:rPr>
          <w:spacing w:val="-3"/>
          <w:sz w:val="18"/>
          <w:szCs w:val="18"/>
          <w:lang w:val="es-ES_tradnl"/>
        </w:rPr>
        <w:t>Adem</w:t>
      </w:r>
      <w:r>
        <w:rPr>
          <w:rFonts w:cs="Times New Roman"/>
          <w:spacing w:val="-3"/>
          <w:sz w:val="18"/>
          <w:szCs w:val="18"/>
          <w:lang w:val="es-ES_tradnl"/>
        </w:rPr>
        <w:t>á</w:t>
      </w:r>
      <w:r>
        <w:rPr>
          <w:spacing w:val="-3"/>
          <w:sz w:val="18"/>
          <w:szCs w:val="18"/>
          <w:lang w:val="es-ES_tradnl"/>
        </w:rPr>
        <w:t xml:space="preserve">s, expresa que ha obtenido los permisos </w:t>
      </w:r>
      <w:r>
        <w:rPr>
          <w:sz w:val="18"/>
          <w:szCs w:val="18"/>
          <w:lang w:val="es-ES_tradnl"/>
        </w:rPr>
        <w:t xml:space="preserve">correspondientes de las autoridades competentes </w:t>
      </w:r>
      <w:r>
        <w:rPr>
          <w:spacing w:val="-6"/>
          <w:sz w:val="18"/>
          <w:szCs w:val="18"/>
          <w:lang w:val="es-ES_tradnl"/>
        </w:rPr>
        <w:t>durante el a</w:t>
      </w:r>
      <w:r>
        <w:rPr>
          <w:rFonts w:cs="Times New Roman"/>
          <w:spacing w:val="-6"/>
          <w:sz w:val="18"/>
          <w:szCs w:val="18"/>
          <w:lang w:val="es-ES_tradnl"/>
        </w:rPr>
        <w:t>ñ</w:t>
      </w:r>
      <w:r>
        <w:rPr>
          <w:spacing w:val="-6"/>
          <w:sz w:val="18"/>
          <w:szCs w:val="18"/>
          <w:lang w:val="es-ES_tradnl"/>
        </w:rPr>
        <w:t xml:space="preserve">o 2011, citando, por ejemplo, el permiso de </w:t>
      </w:r>
      <w:r>
        <w:rPr>
          <w:spacing w:val="-8"/>
          <w:sz w:val="18"/>
          <w:szCs w:val="18"/>
          <w:lang w:val="es-ES_tradnl"/>
        </w:rPr>
        <w:t>funcionamiento que le confiri</w:t>
      </w:r>
      <w:r>
        <w:rPr>
          <w:rFonts w:cs="Times New Roman"/>
          <w:spacing w:val="-8"/>
          <w:sz w:val="18"/>
          <w:szCs w:val="18"/>
          <w:lang w:val="es-ES_tradnl"/>
        </w:rPr>
        <w:t>ó</w:t>
      </w:r>
      <w:r>
        <w:rPr>
          <w:spacing w:val="-8"/>
          <w:sz w:val="18"/>
          <w:szCs w:val="18"/>
          <w:lang w:val="es-ES_tradnl"/>
        </w:rPr>
        <w:t xml:space="preserve"> la Intendencia de Polic</w:t>
      </w:r>
      <w:r>
        <w:rPr>
          <w:rFonts w:cs="Times New Roman"/>
          <w:spacing w:val="-8"/>
          <w:sz w:val="18"/>
          <w:szCs w:val="18"/>
          <w:lang w:val="es-ES_tradnl"/>
        </w:rPr>
        <w:t>í</w:t>
      </w:r>
      <w:r>
        <w:rPr>
          <w:spacing w:val="-8"/>
          <w:sz w:val="18"/>
          <w:szCs w:val="18"/>
          <w:lang w:val="es-ES_tradnl"/>
        </w:rPr>
        <w:t xml:space="preserve">a de </w:t>
      </w:r>
      <w:r>
        <w:rPr>
          <w:sz w:val="18"/>
          <w:szCs w:val="18"/>
          <w:lang w:val="es-ES_tradnl"/>
        </w:rPr>
        <w:t>la provincia de Santa Elena.</w:t>
      </w:r>
    </w:p>
    <w:p w14:paraId="4F67BA04" w14:textId="77777777" w:rsidR="00591D54" w:rsidRDefault="00591D54">
      <w:pPr>
        <w:shd w:val="clear" w:color="auto" w:fill="FFFFFF"/>
        <w:spacing w:before="197" w:line="216" w:lineRule="exact"/>
        <w:ind w:right="5"/>
        <w:jc w:val="both"/>
      </w:pPr>
      <w:r>
        <w:rPr>
          <w:spacing w:val="-8"/>
          <w:sz w:val="18"/>
          <w:szCs w:val="18"/>
          <w:lang w:val="es-ES_tradnl"/>
        </w:rPr>
        <w:t xml:space="preserve">Conforme a estos criterios, solicita que se declare sin lugar </w:t>
      </w:r>
      <w:r>
        <w:rPr>
          <w:spacing w:val="-3"/>
          <w:sz w:val="18"/>
          <w:szCs w:val="18"/>
          <w:lang w:val="es-ES_tradnl"/>
        </w:rPr>
        <w:t>la demanda de acci</w:t>
      </w:r>
      <w:r>
        <w:rPr>
          <w:rFonts w:cs="Times New Roman"/>
          <w:spacing w:val="-3"/>
          <w:sz w:val="18"/>
          <w:szCs w:val="18"/>
          <w:lang w:val="es-ES_tradnl"/>
        </w:rPr>
        <w:t>ó</w:t>
      </w:r>
      <w:r>
        <w:rPr>
          <w:spacing w:val="-3"/>
          <w:sz w:val="18"/>
          <w:szCs w:val="18"/>
          <w:lang w:val="es-ES_tradnl"/>
        </w:rPr>
        <w:t>n extraordinaria de protecci</w:t>
      </w:r>
      <w:r>
        <w:rPr>
          <w:rFonts w:cs="Times New Roman"/>
          <w:spacing w:val="-3"/>
          <w:sz w:val="18"/>
          <w:szCs w:val="18"/>
          <w:lang w:val="es-ES_tradnl"/>
        </w:rPr>
        <w:t>ó</w:t>
      </w:r>
      <w:r>
        <w:rPr>
          <w:spacing w:val="-3"/>
          <w:sz w:val="18"/>
          <w:szCs w:val="18"/>
          <w:lang w:val="es-ES_tradnl"/>
        </w:rPr>
        <w:t>n y se</w:t>
      </w:r>
    </w:p>
    <w:p w14:paraId="4F67BA05" w14:textId="77777777" w:rsidR="00591D54" w:rsidRDefault="00591D54">
      <w:pPr>
        <w:shd w:val="clear" w:color="auto" w:fill="FFFFFF"/>
        <w:spacing w:line="216" w:lineRule="exact"/>
        <w:jc w:val="both"/>
      </w:pPr>
      <w:r>
        <w:br w:type="column"/>
      </w:r>
      <w:r>
        <w:rPr>
          <w:spacing w:val="-5"/>
          <w:sz w:val="18"/>
          <w:szCs w:val="18"/>
          <w:lang w:val="es-ES_tradnl"/>
        </w:rPr>
        <w:t>ratifique la vigencia de la garant</w:t>
      </w:r>
      <w:r>
        <w:rPr>
          <w:rFonts w:cs="Times New Roman"/>
          <w:spacing w:val="-5"/>
          <w:sz w:val="18"/>
          <w:szCs w:val="18"/>
          <w:lang w:val="es-ES_tradnl"/>
        </w:rPr>
        <w:t>í</w:t>
      </w:r>
      <w:r>
        <w:rPr>
          <w:spacing w:val="-5"/>
          <w:sz w:val="18"/>
          <w:szCs w:val="18"/>
          <w:lang w:val="es-ES_tradnl"/>
        </w:rPr>
        <w:t xml:space="preserve">a al debido proceso, en </w:t>
      </w:r>
      <w:r>
        <w:rPr>
          <w:sz w:val="18"/>
          <w:szCs w:val="18"/>
          <w:lang w:val="es-ES_tradnl"/>
        </w:rPr>
        <w:t>particular, del derecho a la defensa.</w:t>
      </w:r>
    </w:p>
    <w:p w14:paraId="4F67BA06" w14:textId="77777777" w:rsidR="00591D54" w:rsidRDefault="00591D54">
      <w:pPr>
        <w:shd w:val="clear" w:color="auto" w:fill="FFFFFF"/>
        <w:spacing w:before="197" w:line="221" w:lineRule="exact"/>
        <w:ind w:left="686" w:right="326" w:hanging="355"/>
      </w:pPr>
      <w:r>
        <w:rPr>
          <w:b/>
          <w:bCs/>
          <w:spacing w:val="-1"/>
          <w:sz w:val="18"/>
          <w:szCs w:val="18"/>
          <w:lang w:val="es-ES_tradnl"/>
        </w:rPr>
        <w:t xml:space="preserve">II. CONSIDERACIONES Y FUNDAMENTOS </w:t>
      </w:r>
      <w:r>
        <w:rPr>
          <w:b/>
          <w:bCs/>
          <w:sz w:val="18"/>
          <w:szCs w:val="18"/>
          <w:lang w:val="es-ES_tradnl"/>
        </w:rPr>
        <w:t>DE LA CORTE CONSTITUCIONAL</w:t>
      </w:r>
    </w:p>
    <w:p w14:paraId="4F67BA07" w14:textId="77777777" w:rsidR="00591D54" w:rsidRDefault="00591D54">
      <w:pPr>
        <w:shd w:val="clear" w:color="auto" w:fill="FFFFFF"/>
        <w:spacing w:before="197"/>
      </w:pPr>
      <w:r>
        <w:rPr>
          <w:b/>
          <w:bCs/>
          <w:spacing w:val="-11"/>
          <w:sz w:val="18"/>
          <w:szCs w:val="18"/>
          <w:lang w:val="es-ES_tradnl"/>
        </w:rPr>
        <w:t>Competencia</w:t>
      </w:r>
    </w:p>
    <w:p w14:paraId="4F67BA08" w14:textId="77777777" w:rsidR="00591D54" w:rsidRDefault="00591D54">
      <w:pPr>
        <w:shd w:val="clear" w:color="auto" w:fill="FFFFFF"/>
        <w:spacing w:before="202" w:line="216" w:lineRule="exact"/>
        <w:jc w:val="both"/>
      </w:pPr>
      <w:r>
        <w:rPr>
          <w:sz w:val="18"/>
          <w:szCs w:val="18"/>
          <w:lang w:val="es-ES_tradnl"/>
        </w:rPr>
        <w:t xml:space="preserve">La Corte Constitucional es competente para conocer </w:t>
      </w:r>
      <w:r>
        <w:rPr>
          <w:spacing w:val="-6"/>
          <w:sz w:val="18"/>
          <w:szCs w:val="18"/>
          <w:lang w:val="es-ES_tradnl"/>
        </w:rPr>
        <w:t>y pronunciarse sobre las acciones extraordinarias de protecci</w:t>
      </w:r>
      <w:r>
        <w:rPr>
          <w:rFonts w:cs="Times New Roman"/>
          <w:spacing w:val="-6"/>
          <w:sz w:val="18"/>
          <w:szCs w:val="18"/>
          <w:lang w:val="es-ES_tradnl"/>
        </w:rPr>
        <w:t>ó</w:t>
      </w:r>
      <w:r>
        <w:rPr>
          <w:spacing w:val="-6"/>
          <w:sz w:val="18"/>
          <w:szCs w:val="18"/>
          <w:lang w:val="es-ES_tradnl"/>
        </w:rPr>
        <w:t>n en virtud de lo establecido en los art</w:t>
      </w:r>
      <w:r>
        <w:rPr>
          <w:rFonts w:cs="Times New Roman"/>
          <w:spacing w:val="-6"/>
          <w:sz w:val="18"/>
          <w:szCs w:val="18"/>
          <w:lang w:val="es-ES_tradnl"/>
        </w:rPr>
        <w:t>í</w:t>
      </w:r>
      <w:r>
        <w:rPr>
          <w:spacing w:val="-6"/>
          <w:sz w:val="18"/>
          <w:szCs w:val="18"/>
          <w:lang w:val="es-ES_tradnl"/>
        </w:rPr>
        <w:t>culos 94 y 437 de la Constituci</w:t>
      </w:r>
      <w:r>
        <w:rPr>
          <w:rFonts w:cs="Times New Roman"/>
          <w:spacing w:val="-6"/>
          <w:sz w:val="18"/>
          <w:szCs w:val="18"/>
          <w:lang w:val="es-ES_tradnl"/>
        </w:rPr>
        <w:t>ó</w:t>
      </w:r>
      <w:r>
        <w:rPr>
          <w:spacing w:val="-6"/>
          <w:sz w:val="18"/>
          <w:szCs w:val="18"/>
          <w:lang w:val="es-ES_tradnl"/>
        </w:rPr>
        <w:t>n y el art</w:t>
      </w:r>
      <w:r>
        <w:rPr>
          <w:rFonts w:cs="Times New Roman"/>
          <w:spacing w:val="-6"/>
          <w:sz w:val="18"/>
          <w:szCs w:val="18"/>
          <w:lang w:val="es-ES_tradnl"/>
        </w:rPr>
        <w:t>í</w:t>
      </w:r>
      <w:r>
        <w:rPr>
          <w:spacing w:val="-6"/>
          <w:sz w:val="18"/>
          <w:szCs w:val="18"/>
          <w:lang w:val="es-ES_tradnl"/>
        </w:rPr>
        <w:t>culo 63 de la Ley Org</w:t>
      </w:r>
      <w:r>
        <w:rPr>
          <w:rFonts w:cs="Times New Roman"/>
          <w:spacing w:val="-6"/>
          <w:sz w:val="18"/>
          <w:szCs w:val="18"/>
          <w:lang w:val="es-ES_tradnl"/>
        </w:rPr>
        <w:t>á</w:t>
      </w:r>
      <w:r>
        <w:rPr>
          <w:spacing w:val="-6"/>
          <w:sz w:val="18"/>
          <w:szCs w:val="18"/>
          <w:lang w:val="es-ES_tradnl"/>
        </w:rPr>
        <w:t xml:space="preserve">nica </w:t>
      </w:r>
      <w:r>
        <w:rPr>
          <w:spacing w:val="-7"/>
          <w:sz w:val="18"/>
          <w:szCs w:val="18"/>
          <w:lang w:val="es-ES_tradnl"/>
        </w:rPr>
        <w:t>de Garant</w:t>
      </w:r>
      <w:r>
        <w:rPr>
          <w:rFonts w:cs="Times New Roman"/>
          <w:spacing w:val="-7"/>
          <w:sz w:val="18"/>
          <w:szCs w:val="18"/>
          <w:lang w:val="es-ES_tradnl"/>
        </w:rPr>
        <w:t>í</w:t>
      </w:r>
      <w:r>
        <w:rPr>
          <w:spacing w:val="-7"/>
          <w:sz w:val="18"/>
          <w:szCs w:val="18"/>
          <w:lang w:val="es-ES_tradnl"/>
        </w:rPr>
        <w:t xml:space="preserve">as Jurisdiccionales y Control Constitucional. En </w:t>
      </w:r>
      <w:r>
        <w:rPr>
          <w:spacing w:val="-6"/>
          <w:sz w:val="18"/>
          <w:szCs w:val="18"/>
          <w:lang w:val="es-ES_tradnl"/>
        </w:rPr>
        <w:t>el presente caso, de la acci</w:t>
      </w:r>
      <w:r>
        <w:rPr>
          <w:rFonts w:cs="Times New Roman"/>
          <w:spacing w:val="-6"/>
          <w:sz w:val="18"/>
          <w:szCs w:val="18"/>
          <w:lang w:val="es-ES_tradnl"/>
        </w:rPr>
        <w:t>ó</w:t>
      </w:r>
      <w:r>
        <w:rPr>
          <w:spacing w:val="-6"/>
          <w:sz w:val="18"/>
          <w:szCs w:val="18"/>
          <w:lang w:val="es-ES_tradnl"/>
        </w:rPr>
        <w:t xml:space="preserve">n constitucional en contra de </w:t>
      </w:r>
      <w:r>
        <w:rPr>
          <w:spacing w:val="-7"/>
          <w:sz w:val="18"/>
          <w:szCs w:val="18"/>
          <w:lang w:val="es-ES_tradnl"/>
        </w:rPr>
        <w:t xml:space="preserve">la sentencia dictada el 31 de agosto de 2011 a las 17h21, </w:t>
      </w:r>
      <w:r>
        <w:rPr>
          <w:spacing w:val="-6"/>
          <w:sz w:val="18"/>
          <w:szCs w:val="18"/>
          <w:lang w:val="es-ES_tradnl"/>
        </w:rPr>
        <w:t xml:space="preserve">por los jueces de la Sala </w:t>
      </w:r>
      <w:r>
        <w:rPr>
          <w:rFonts w:cs="Times New Roman"/>
          <w:spacing w:val="-6"/>
          <w:sz w:val="18"/>
          <w:szCs w:val="18"/>
          <w:lang w:val="es-ES_tradnl"/>
        </w:rPr>
        <w:t>Ú</w:t>
      </w:r>
      <w:r>
        <w:rPr>
          <w:spacing w:val="-6"/>
          <w:sz w:val="18"/>
          <w:szCs w:val="18"/>
          <w:lang w:val="es-ES_tradnl"/>
        </w:rPr>
        <w:t xml:space="preserve">nica de la Corte Provincial de </w:t>
      </w:r>
      <w:r>
        <w:rPr>
          <w:spacing w:val="-7"/>
          <w:sz w:val="18"/>
          <w:szCs w:val="18"/>
          <w:lang w:val="es-ES_tradnl"/>
        </w:rPr>
        <w:t>Justicia de Santa Elena, dentro de la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 xml:space="preserve">n </w:t>
      </w:r>
      <w:r>
        <w:rPr>
          <w:sz w:val="18"/>
          <w:szCs w:val="18"/>
          <w:lang w:val="es-ES_tradnl"/>
        </w:rPr>
        <w:t>N.</w:t>
      </w:r>
      <w:r>
        <w:rPr>
          <w:rFonts w:cs="Times New Roman"/>
          <w:sz w:val="18"/>
          <w:szCs w:val="18"/>
          <w:lang w:val="es-ES_tradnl"/>
        </w:rPr>
        <w:t>º</w:t>
      </w:r>
      <w:r>
        <w:rPr>
          <w:sz w:val="18"/>
          <w:szCs w:val="18"/>
          <w:lang w:val="es-ES_tradnl"/>
        </w:rPr>
        <w:t xml:space="preserve"> 368-2010-2.</w:t>
      </w:r>
    </w:p>
    <w:p w14:paraId="4F67BA09" w14:textId="77777777" w:rsidR="00591D54" w:rsidRDefault="00591D54">
      <w:pPr>
        <w:shd w:val="clear" w:color="auto" w:fill="FFFFFF"/>
        <w:spacing w:before="197"/>
      </w:pPr>
      <w:r>
        <w:rPr>
          <w:b/>
          <w:bCs/>
          <w:spacing w:val="-8"/>
          <w:sz w:val="18"/>
          <w:szCs w:val="18"/>
          <w:lang w:val="es-ES_tradnl"/>
        </w:rPr>
        <w:t>Legitimaci</w:t>
      </w:r>
      <w:r>
        <w:rPr>
          <w:rFonts w:cs="Times New Roman"/>
          <w:b/>
          <w:bCs/>
          <w:spacing w:val="-8"/>
          <w:sz w:val="18"/>
          <w:szCs w:val="18"/>
          <w:lang w:val="es-ES_tradnl"/>
        </w:rPr>
        <w:t>ó</w:t>
      </w:r>
      <w:r>
        <w:rPr>
          <w:b/>
          <w:bCs/>
          <w:spacing w:val="-8"/>
          <w:sz w:val="18"/>
          <w:szCs w:val="18"/>
          <w:lang w:val="es-ES_tradnl"/>
        </w:rPr>
        <w:t>n activa</w:t>
      </w:r>
    </w:p>
    <w:p w14:paraId="4F67BA0A" w14:textId="77777777" w:rsidR="00591D54" w:rsidRDefault="00591D54">
      <w:pPr>
        <w:shd w:val="clear" w:color="auto" w:fill="FFFFFF"/>
        <w:spacing w:before="197" w:line="216" w:lineRule="exact"/>
        <w:jc w:val="both"/>
      </w:pPr>
      <w:r>
        <w:rPr>
          <w:spacing w:val="-8"/>
          <w:sz w:val="18"/>
          <w:szCs w:val="18"/>
          <w:lang w:val="es-ES_tradnl"/>
        </w:rPr>
        <w:t xml:space="preserve">Los accionantes se encuentran legitimados para interponer </w:t>
      </w:r>
      <w:r>
        <w:rPr>
          <w:spacing w:val="-6"/>
          <w:sz w:val="18"/>
          <w:szCs w:val="18"/>
          <w:lang w:val="es-ES_tradnl"/>
        </w:rPr>
        <w:t>la presente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n, conforme a los requerimientos establecidos en el art</w:t>
      </w:r>
      <w:r>
        <w:rPr>
          <w:rFonts w:cs="Times New Roman"/>
          <w:spacing w:val="-6"/>
          <w:sz w:val="18"/>
          <w:szCs w:val="18"/>
          <w:lang w:val="es-ES_tradnl"/>
        </w:rPr>
        <w:t>í</w:t>
      </w:r>
      <w:r>
        <w:rPr>
          <w:spacing w:val="-6"/>
          <w:sz w:val="18"/>
          <w:szCs w:val="18"/>
          <w:lang w:val="es-ES_tradnl"/>
        </w:rPr>
        <w:t xml:space="preserve">culo 437 de la </w:t>
      </w:r>
      <w:r>
        <w:rPr>
          <w:spacing w:val="-5"/>
          <w:sz w:val="18"/>
          <w:szCs w:val="18"/>
          <w:lang w:val="es-ES_tradnl"/>
        </w:rPr>
        <w:t>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 xml:space="preserve">blica del Ecuador que dispone: </w:t>
      </w:r>
      <w:r>
        <w:rPr>
          <w:rFonts w:cs="Times New Roman"/>
          <w:spacing w:val="-4"/>
          <w:sz w:val="18"/>
          <w:szCs w:val="18"/>
          <w:lang w:val="es-ES_tradnl"/>
        </w:rPr>
        <w:t>“</w:t>
      </w:r>
      <w:r>
        <w:rPr>
          <w:spacing w:val="-4"/>
          <w:sz w:val="18"/>
          <w:szCs w:val="18"/>
          <w:lang w:val="es-ES_tradnl"/>
        </w:rPr>
        <w:t>Los ciudadanos en forma individual o colectiva podr</w:t>
      </w:r>
      <w:r>
        <w:rPr>
          <w:rFonts w:cs="Times New Roman"/>
          <w:spacing w:val="-4"/>
          <w:sz w:val="18"/>
          <w:szCs w:val="18"/>
          <w:lang w:val="es-ES_tradnl"/>
        </w:rPr>
        <w:t>á</w:t>
      </w:r>
      <w:r>
        <w:rPr>
          <w:spacing w:val="-4"/>
          <w:sz w:val="18"/>
          <w:szCs w:val="18"/>
          <w:lang w:val="es-ES_tradnl"/>
        </w:rPr>
        <w:t xml:space="preserve">n </w:t>
      </w:r>
      <w:r>
        <w:rPr>
          <w:spacing w:val="-6"/>
          <w:sz w:val="18"/>
          <w:szCs w:val="18"/>
          <w:lang w:val="es-ES_tradnl"/>
        </w:rPr>
        <w:t>presentar una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contra </w:t>
      </w:r>
      <w:r>
        <w:rPr>
          <w:spacing w:val="-9"/>
          <w:sz w:val="18"/>
          <w:szCs w:val="18"/>
          <w:lang w:val="es-ES_tradnl"/>
        </w:rPr>
        <w:t>sentencias, autos definitivos (</w:t>
      </w:r>
      <w:r>
        <w:rPr>
          <w:rFonts w:cs="Times New Roman"/>
          <w:spacing w:val="-9"/>
          <w:sz w:val="18"/>
          <w:szCs w:val="18"/>
          <w:lang w:val="es-ES_tradnl"/>
        </w:rPr>
        <w:t>…</w:t>
      </w:r>
      <w:r>
        <w:rPr>
          <w:spacing w:val="-9"/>
          <w:sz w:val="18"/>
          <w:szCs w:val="18"/>
          <w:lang w:val="es-ES_tradnl"/>
        </w:rPr>
        <w:t>)</w:t>
      </w:r>
      <w:r>
        <w:rPr>
          <w:rFonts w:cs="Times New Roman"/>
          <w:spacing w:val="-9"/>
          <w:sz w:val="18"/>
          <w:szCs w:val="18"/>
          <w:lang w:val="es-ES_tradnl"/>
        </w:rPr>
        <w:t>”</w:t>
      </w:r>
      <w:r>
        <w:rPr>
          <w:spacing w:val="-9"/>
          <w:sz w:val="18"/>
          <w:szCs w:val="18"/>
          <w:lang w:val="es-ES_tradnl"/>
        </w:rPr>
        <w:t xml:space="preserve"> y del art</w:t>
      </w:r>
      <w:r>
        <w:rPr>
          <w:rFonts w:cs="Times New Roman"/>
          <w:spacing w:val="-9"/>
          <w:sz w:val="18"/>
          <w:szCs w:val="18"/>
          <w:lang w:val="es-ES_tradnl"/>
        </w:rPr>
        <w:t>í</w:t>
      </w:r>
      <w:r>
        <w:rPr>
          <w:spacing w:val="-9"/>
          <w:sz w:val="18"/>
          <w:szCs w:val="18"/>
          <w:lang w:val="es-ES_tradnl"/>
        </w:rPr>
        <w:t>culo 439 ib</w:t>
      </w:r>
      <w:r>
        <w:rPr>
          <w:rFonts w:cs="Times New Roman"/>
          <w:spacing w:val="-9"/>
          <w:sz w:val="18"/>
          <w:szCs w:val="18"/>
          <w:lang w:val="es-ES_tradnl"/>
        </w:rPr>
        <w:t>í</w:t>
      </w:r>
      <w:r>
        <w:rPr>
          <w:spacing w:val="-9"/>
          <w:sz w:val="18"/>
          <w:szCs w:val="18"/>
          <w:lang w:val="es-ES_tradnl"/>
        </w:rPr>
        <w:t xml:space="preserve">dem, </w:t>
      </w:r>
      <w:r>
        <w:rPr>
          <w:spacing w:val="-7"/>
          <w:sz w:val="18"/>
          <w:szCs w:val="18"/>
          <w:lang w:val="es-ES_tradnl"/>
        </w:rPr>
        <w:t xml:space="preserve">que establece: </w:t>
      </w:r>
      <w:r>
        <w:rPr>
          <w:rFonts w:cs="Times New Roman"/>
          <w:spacing w:val="-7"/>
          <w:sz w:val="18"/>
          <w:szCs w:val="18"/>
          <w:lang w:val="es-ES_tradnl"/>
        </w:rPr>
        <w:t>“</w:t>
      </w:r>
      <w:r>
        <w:rPr>
          <w:spacing w:val="-7"/>
          <w:sz w:val="18"/>
          <w:szCs w:val="18"/>
          <w:lang w:val="es-ES_tradnl"/>
        </w:rPr>
        <w:t>Las acciones constitucionales podr</w:t>
      </w:r>
      <w:r>
        <w:rPr>
          <w:rFonts w:cs="Times New Roman"/>
          <w:spacing w:val="-7"/>
          <w:sz w:val="18"/>
          <w:szCs w:val="18"/>
          <w:lang w:val="es-ES_tradnl"/>
        </w:rPr>
        <w:t>á</w:t>
      </w:r>
      <w:r>
        <w:rPr>
          <w:spacing w:val="-7"/>
          <w:sz w:val="18"/>
          <w:szCs w:val="18"/>
          <w:lang w:val="es-ES_tradnl"/>
        </w:rPr>
        <w:t xml:space="preserve">n ser </w:t>
      </w:r>
      <w:r>
        <w:rPr>
          <w:spacing w:val="-9"/>
          <w:sz w:val="18"/>
          <w:szCs w:val="18"/>
          <w:lang w:val="es-ES_tradnl"/>
        </w:rPr>
        <w:t xml:space="preserve">presentadas por cualquier ciudadana o ciudadano individual </w:t>
      </w:r>
      <w:r>
        <w:rPr>
          <w:spacing w:val="-4"/>
          <w:sz w:val="18"/>
          <w:szCs w:val="18"/>
          <w:lang w:val="es-ES_tradnl"/>
        </w:rPr>
        <w:t>o colectivamente</w:t>
      </w:r>
      <w:r>
        <w:rPr>
          <w:rFonts w:cs="Times New Roman"/>
          <w:spacing w:val="-4"/>
          <w:sz w:val="18"/>
          <w:szCs w:val="18"/>
          <w:lang w:val="es-ES_tradnl"/>
        </w:rPr>
        <w:t>”</w:t>
      </w:r>
      <w:r>
        <w:rPr>
          <w:spacing w:val="-4"/>
          <w:sz w:val="18"/>
          <w:szCs w:val="18"/>
          <w:lang w:val="es-ES_tradnl"/>
        </w:rPr>
        <w:t xml:space="preserve"> en concordancia con el art</w:t>
      </w:r>
      <w:r>
        <w:rPr>
          <w:rFonts w:cs="Times New Roman"/>
          <w:spacing w:val="-4"/>
          <w:sz w:val="18"/>
          <w:szCs w:val="18"/>
          <w:lang w:val="es-ES_tradnl"/>
        </w:rPr>
        <w:t>í</w:t>
      </w:r>
      <w:r>
        <w:rPr>
          <w:spacing w:val="-4"/>
          <w:sz w:val="18"/>
          <w:szCs w:val="18"/>
          <w:lang w:val="es-ES_tradnl"/>
        </w:rPr>
        <w:t xml:space="preserve">culo 59 de </w:t>
      </w:r>
      <w:r>
        <w:rPr>
          <w:spacing w:val="-6"/>
          <w:sz w:val="18"/>
          <w:szCs w:val="18"/>
          <w:lang w:val="es-ES_tradnl"/>
        </w:rPr>
        <w:t>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Control </w:t>
      </w:r>
      <w:r>
        <w:rPr>
          <w:spacing w:val="-5"/>
          <w:sz w:val="18"/>
          <w:szCs w:val="18"/>
          <w:lang w:val="es-ES_tradnl"/>
        </w:rPr>
        <w:t>Constitucional que se</w:t>
      </w:r>
      <w:r>
        <w:rPr>
          <w:rFonts w:cs="Times New Roman"/>
          <w:spacing w:val="-5"/>
          <w:sz w:val="18"/>
          <w:szCs w:val="18"/>
          <w:lang w:val="es-ES_tradnl"/>
        </w:rPr>
        <w:t>ñ</w:t>
      </w:r>
      <w:r>
        <w:rPr>
          <w:spacing w:val="-5"/>
          <w:sz w:val="18"/>
          <w:szCs w:val="18"/>
          <w:lang w:val="es-ES_tradnl"/>
        </w:rPr>
        <w:t xml:space="preserve">ala: </w:t>
      </w:r>
      <w:r>
        <w:rPr>
          <w:rFonts w:cs="Times New Roman"/>
          <w:spacing w:val="-5"/>
          <w:sz w:val="18"/>
          <w:szCs w:val="18"/>
          <w:lang w:val="es-ES_tradnl"/>
        </w:rPr>
        <w:t>“</w:t>
      </w:r>
      <w:r>
        <w:rPr>
          <w:spacing w:val="-5"/>
          <w:sz w:val="18"/>
          <w:szCs w:val="18"/>
          <w:lang w:val="es-ES_tradnl"/>
        </w:rPr>
        <w:t>La acci</w:t>
      </w:r>
      <w:r>
        <w:rPr>
          <w:rFonts w:cs="Times New Roman"/>
          <w:spacing w:val="-5"/>
          <w:sz w:val="18"/>
          <w:szCs w:val="18"/>
          <w:lang w:val="es-ES_tradnl"/>
        </w:rPr>
        <w:t>ó</w:t>
      </w:r>
      <w:r>
        <w:rPr>
          <w:spacing w:val="-5"/>
          <w:sz w:val="18"/>
          <w:szCs w:val="18"/>
          <w:lang w:val="es-ES_tradnl"/>
        </w:rPr>
        <w:t xml:space="preserve">n extraordinaria de </w:t>
      </w:r>
      <w:r>
        <w:rPr>
          <w:spacing w:val="-7"/>
          <w:sz w:val="18"/>
          <w:szCs w:val="18"/>
          <w:lang w:val="es-ES_tradnl"/>
        </w:rPr>
        <w:t>protecci</w:t>
      </w:r>
      <w:r>
        <w:rPr>
          <w:rFonts w:cs="Times New Roman"/>
          <w:spacing w:val="-7"/>
          <w:sz w:val="18"/>
          <w:szCs w:val="18"/>
          <w:lang w:val="es-ES_tradnl"/>
        </w:rPr>
        <w:t>ó</w:t>
      </w:r>
      <w:r>
        <w:rPr>
          <w:spacing w:val="-7"/>
          <w:sz w:val="18"/>
          <w:szCs w:val="18"/>
          <w:lang w:val="es-ES_tradnl"/>
        </w:rPr>
        <w:t xml:space="preserve">n puede ser interpuesta por cualquier persona o </w:t>
      </w:r>
      <w:r>
        <w:rPr>
          <w:spacing w:val="-9"/>
          <w:sz w:val="18"/>
          <w:szCs w:val="18"/>
          <w:lang w:val="es-ES_tradnl"/>
        </w:rPr>
        <w:t xml:space="preserve">grupo de personas que han o hayan debido ser parte en un </w:t>
      </w:r>
      <w:r>
        <w:rPr>
          <w:spacing w:val="-8"/>
          <w:sz w:val="18"/>
          <w:szCs w:val="18"/>
          <w:lang w:val="es-ES_tradnl"/>
        </w:rPr>
        <w:t>proceso por s</w:t>
      </w:r>
      <w:r>
        <w:rPr>
          <w:rFonts w:cs="Times New Roman"/>
          <w:spacing w:val="-8"/>
          <w:sz w:val="18"/>
          <w:szCs w:val="18"/>
          <w:lang w:val="es-ES_tradnl"/>
        </w:rPr>
        <w:t>í</w:t>
      </w:r>
      <w:r>
        <w:rPr>
          <w:spacing w:val="-8"/>
          <w:sz w:val="18"/>
          <w:szCs w:val="18"/>
          <w:lang w:val="es-ES_tradnl"/>
        </w:rPr>
        <w:t xml:space="preserve"> mismas o por medio de procurador judicial</w:t>
      </w:r>
      <w:r>
        <w:rPr>
          <w:rFonts w:cs="Times New Roman"/>
          <w:spacing w:val="-8"/>
          <w:sz w:val="18"/>
          <w:szCs w:val="18"/>
          <w:lang w:val="es-ES_tradnl"/>
        </w:rPr>
        <w:t>”</w:t>
      </w:r>
      <w:r>
        <w:rPr>
          <w:spacing w:val="-8"/>
          <w:sz w:val="18"/>
          <w:szCs w:val="18"/>
          <w:lang w:val="es-ES_tradnl"/>
        </w:rPr>
        <w:t>.</w:t>
      </w:r>
    </w:p>
    <w:p w14:paraId="4F67BA0B" w14:textId="77777777" w:rsidR="00591D54" w:rsidRDefault="00591D54">
      <w:pPr>
        <w:shd w:val="clear" w:color="auto" w:fill="FFFFFF"/>
        <w:spacing w:before="197" w:line="216" w:lineRule="exact"/>
        <w:jc w:val="both"/>
      </w:pPr>
      <w:r>
        <w:rPr>
          <w:b/>
          <w:bCs/>
          <w:spacing w:val="-5"/>
          <w:sz w:val="18"/>
          <w:szCs w:val="18"/>
          <w:lang w:val="es-ES_tradnl"/>
        </w:rPr>
        <w:t>Naturaleza jur</w:t>
      </w:r>
      <w:r>
        <w:rPr>
          <w:rFonts w:cs="Times New Roman"/>
          <w:b/>
          <w:bCs/>
          <w:spacing w:val="-5"/>
          <w:sz w:val="18"/>
          <w:szCs w:val="18"/>
          <w:lang w:val="es-ES_tradnl"/>
        </w:rPr>
        <w:t>í</w:t>
      </w:r>
      <w:r>
        <w:rPr>
          <w:b/>
          <w:bCs/>
          <w:spacing w:val="-5"/>
          <w:sz w:val="18"/>
          <w:szCs w:val="18"/>
          <w:lang w:val="es-ES_tradnl"/>
        </w:rPr>
        <w:t>dica de la acci</w:t>
      </w:r>
      <w:r>
        <w:rPr>
          <w:rFonts w:cs="Times New Roman"/>
          <w:b/>
          <w:bCs/>
          <w:spacing w:val="-5"/>
          <w:sz w:val="18"/>
          <w:szCs w:val="18"/>
          <w:lang w:val="es-ES_tradnl"/>
        </w:rPr>
        <w:t>ó</w:t>
      </w:r>
      <w:r>
        <w:rPr>
          <w:b/>
          <w:bCs/>
          <w:spacing w:val="-5"/>
          <w:sz w:val="18"/>
          <w:szCs w:val="18"/>
          <w:lang w:val="es-ES_tradnl"/>
        </w:rPr>
        <w:t xml:space="preserve">n extraordinaria de </w:t>
      </w:r>
      <w:r>
        <w:rPr>
          <w:b/>
          <w:bCs/>
          <w:sz w:val="18"/>
          <w:szCs w:val="18"/>
          <w:lang w:val="es-ES_tradnl"/>
        </w:rPr>
        <w:t>protecci</w:t>
      </w:r>
      <w:r>
        <w:rPr>
          <w:rFonts w:cs="Times New Roman"/>
          <w:b/>
          <w:bCs/>
          <w:sz w:val="18"/>
          <w:szCs w:val="18"/>
          <w:lang w:val="es-ES_tradnl"/>
        </w:rPr>
        <w:t>ó</w:t>
      </w:r>
      <w:r>
        <w:rPr>
          <w:b/>
          <w:bCs/>
          <w:sz w:val="18"/>
          <w:szCs w:val="18"/>
          <w:lang w:val="es-ES_tradnl"/>
        </w:rPr>
        <w:t>n</w:t>
      </w:r>
    </w:p>
    <w:p w14:paraId="4F67BA0C" w14:textId="77777777" w:rsidR="00591D54" w:rsidRDefault="00591D54">
      <w:pPr>
        <w:shd w:val="clear" w:color="auto" w:fill="FFFFFF"/>
        <w:spacing w:before="197" w:line="216" w:lineRule="exact"/>
        <w:jc w:val="both"/>
      </w:pPr>
      <w:r>
        <w:rPr>
          <w:spacing w:val="-5"/>
          <w:sz w:val="18"/>
          <w:szCs w:val="18"/>
          <w:lang w:val="es-ES_tradnl"/>
        </w:rPr>
        <w:t>La acci</w:t>
      </w:r>
      <w:r>
        <w:rPr>
          <w:rFonts w:cs="Times New Roman"/>
          <w:spacing w:val="-5"/>
          <w:sz w:val="18"/>
          <w:szCs w:val="18"/>
          <w:lang w:val="es-ES_tradnl"/>
        </w:rPr>
        <w:t>ó</w:t>
      </w:r>
      <w:r>
        <w:rPr>
          <w:spacing w:val="-5"/>
          <w:sz w:val="18"/>
          <w:szCs w:val="18"/>
          <w:lang w:val="es-ES_tradnl"/>
        </w:rPr>
        <w:t>n extraordinaria de protecci</w:t>
      </w:r>
      <w:r>
        <w:rPr>
          <w:rFonts w:cs="Times New Roman"/>
          <w:spacing w:val="-5"/>
          <w:sz w:val="18"/>
          <w:szCs w:val="18"/>
          <w:lang w:val="es-ES_tradnl"/>
        </w:rPr>
        <w:t>ó</w:t>
      </w:r>
      <w:r>
        <w:rPr>
          <w:spacing w:val="-5"/>
          <w:sz w:val="18"/>
          <w:szCs w:val="18"/>
          <w:lang w:val="es-ES_tradnl"/>
        </w:rPr>
        <w:t xml:space="preserve">n tiene por objeto </w:t>
      </w:r>
      <w:r>
        <w:rPr>
          <w:spacing w:val="-9"/>
          <w:sz w:val="18"/>
          <w:szCs w:val="18"/>
          <w:lang w:val="es-ES_tradnl"/>
        </w:rPr>
        <w:t xml:space="preserve">preservar o restablecer los derechos consagrados en la </w:t>
      </w:r>
      <w:r>
        <w:rPr>
          <w:spacing w:val="-3"/>
          <w:sz w:val="18"/>
          <w:szCs w:val="18"/>
          <w:lang w:val="es-ES_tradnl"/>
        </w:rPr>
        <w:t>Constituci</w:t>
      </w:r>
      <w:r>
        <w:rPr>
          <w:rFonts w:cs="Times New Roman"/>
          <w:spacing w:val="-3"/>
          <w:sz w:val="18"/>
          <w:szCs w:val="18"/>
          <w:lang w:val="es-ES_tradnl"/>
        </w:rPr>
        <w:t>ó</w:t>
      </w:r>
      <w:r>
        <w:rPr>
          <w:spacing w:val="-3"/>
          <w:sz w:val="18"/>
          <w:szCs w:val="18"/>
          <w:lang w:val="es-ES_tradnl"/>
        </w:rPr>
        <w:t>n de la Rep</w:t>
      </w:r>
      <w:r>
        <w:rPr>
          <w:rFonts w:cs="Times New Roman"/>
          <w:spacing w:val="-3"/>
          <w:sz w:val="18"/>
          <w:szCs w:val="18"/>
          <w:lang w:val="es-ES_tradnl"/>
        </w:rPr>
        <w:t>ú</w:t>
      </w:r>
      <w:r>
        <w:rPr>
          <w:spacing w:val="-3"/>
          <w:sz w:val="18"/>
          <w:szCs w:val="18"/>
          <w:lang w:val="es-ES_tradnl"/>
        </w:rPr>
        <w:t xml:space="preserve">blica, en particular, el debido </w:t>
      </w:r>
      <w:r>
        <w:rPr>
          <w:spacing w:val="-7"/>
          <w:sz w:val="18"/>
          <w:szCs w:val="18"/>
          <w:lang w:val="es-ES_tradnl"/>
        </w:rPr>
        <w:t xml:space="preserve">proceso y cuyos requisitos de admisibilidad se encuentran </w:t>
      </w:r>
      <w:r>
        <w:rPr>
          <w:spacing w:val="-8"/>
          <w:sz w:val="18"/>
          <w:szCs w:val="18"/>
          <w:lang w:val="es-ES_tradnl"/>
        </w:rPr>
        <w:t>establecidos en el art</w:t>
      </w:r>
      <w:r>
        <w:rPr>
          <w:rFonts w:cs="Times New Roman"/>
          <w:spacing w:val="-8"/>
          <w:sz w:val="18"/>
          <w:szCs w:val="18"/>
          <w:lang w:val="es-ES_tradnl"/>
        </w:rPr>
        <w:t>í</w:t>
      </w:r>
      <w:r>
        <w:rPr>
          <w:spacing w:val="-8"/>
          <w:sz w:val="18"/>
          <w:szCs w:val="18"/>
          <w:lang w:val="es-ES_tradnl"/>
        </w:rPr>
        <w:t xml:space="preserve">culo 437 de la Carta Magna, a saber: </w:t>
      </w:r>
      <w:r>
        <w:rPr>
          <w:rFonts w:cs="Times New Roman"/>
          <w:spacing w:val="-8"/>
          <w:sz w:val="18"/>
          <w:szCs w:val="18"/>
          <w:lang w:val="es-ES_tradnl"/>
        </w:rPr>
        <w:t>“</w:t>
      </w:r>
      <w:r>
        <w:rPr>
          <w:spacing w:val="-8"/>
          <w:sz w:val="18"/>
          <w:szCs w:val="18"/>
          <w:lang w:val="es-ES_tradnl"/>
        </w:rPr>
        <w:t xml:space="preserve">1) Que se trate de sentencias, autos y resoluciones firmes o ejecutoriados; 2) Que el recurrente demuestre que en el </w:t>
      </w:r>
      <w:r>
        <w:rPr>
          <w:spacing w:val="-7"/>
          <w:sz w:val="18"/>
          <w:szCs w:val="18"/>
          <w:lang w:val="es-ES_tradnl"/>
        </w:rPr>
        <w:t>juzgamiento se ha violado, por acci</w:t>
      </w:r>
      <w:r>
        <w:rPr>
          <w:rFonts w:cs="Times New Roman"/>
          <w:spacing w:val="-7"/>
          <w:sz w:val="18"/>
          <w:szCs w:val="18"/>
          <w:lang w:val="es-ES_tradnl"/>
        </w:rPr>
        <w:t>ó</w:t>
      </w:r>
      <w:r>
        <w:rPr>
          <w:spacing w:val="-7"/>
          <w:sz w:val="18"/>
          <w:szCs w:val="18"/>
          <w:lang w:val="es-ES_tradnl"/>
        </w:rPr>
        <w:t>n u omisi</w:t>
      </w:r>
      <w:r>
        <w:rPr>
          <w:rFonts w:cs="Times New Roman"/>
          <w:spacing w:val="-7"/>
          <w:sz w:val="18"/>
          <w:szCs w:val="18"/>
          <w:lang w:val="es-ES_tradnl"/>
        </w:rPr>
        <w:t>ó</w:t>
      </w:r>
      <w:r>
        <w:rPr>
          <w:spacing w:val="-7"/>
          <w:sz w:val="18"/>
          <w:szCs w:val="18"/>
          <w:lang w:val="es-ES_tradnl"/>
        </w:rPr>
        <w:t xml:space="preserve">n, el debido </w:t>
      </w:r>
      <w:r>
        <w:rPr>
          <w:spacing w:val="-8"/>
          <w:sz w:val="18"/>
          <w:szCs w:val="18"/>
          <w:lang w:val="es-ES_tradnl"/>
        </w:rPr>
        <w:t>proceso u otros derechos reconocidos en la Constituci</w:t>
      </w:r>
      <w:r>
        <w:rPr>
          <w:rFonts w:cs="Times New Roman"/>
          <w:spacing w:val="-8"/>
          <w:sz w:val="18"/>
          <w:szCs w:val="18"/>
          <w:lang w:val="es-ES_tradnl"/>
        </w:rPr>
        <w:t>ó</w:t>
      </w:r>
      <w:r>
        <w:rPr>
          <w:spacing w:val="-8"/>
          <w:sz w:val="18"/>
          <w:szCs w:val="18"/>
          <w:lang w:val="es-ES_tradnl"/>
        </w:rPr>
        <w:t>n</w:t>
      </w:r>
      <w:r>
        <w:rPr>
          <w:rFonts w:cs="Times New Roman"/>
          <w:spacing w:val="-8"/>
          <w:sz w:val="18"/>
          <w:szCs w:val="18"/>
          <w:lang w:val="es-ES_tradnl"/>
        </w:rPr>
        <w:t>”</w:t>
      </w:r>
      <w:r>
        <w:rPr>
          <w:spacing w:val="-8"/>
          <w:sz w:val="18"/>
          <w:szCs w:val="18"/>
          <w:lang w:val="es-ES_tradnl"/>
        </w:rPr>
        <w:t>.</w:t>
      </w:r>
    </w:p>
    <w:p w14:paraId="4F67BA0D" w14:textId="77777777" w:rsidR="00591D54" w:rsidRDefault="00591D54">
      <w:pPr>
        <w:shd w:val="clear" w:color="auto" w:fill="FFFFFF"/>
        <w:spacing w:before="202" w:line="221" w:lineRule="exact"/>
        <w:jc w:val="both"/>
      </w:pPr>
      <w:r>
        <w:rPr>
          <w:spacing w:val="-10"/>
          <w:sz w:val="18"/>
          <w:szCs w:val="18"/>
          <w:lang w:val="es-ES_tradnl"/>
        </w:rPr>
        <w:t>Por su parte, el art</w:t>
      </w:r>
      <w:r>
        <w:rPr>
          <w:rFonts w:cs="Times New Roman"/>
          <w:spacing w:val="-10"/>
          <w:sz w:val="18"/>
          <w:szCs w:val="18"/>
          <w:lang w:val="es-ES_tradnl"/>
        </w:rPr>
        <w:t>í</w:t>
      </w:r>
      <w:r>
        <w:rPr>
          <w:spacing w:val="-10"/>
          <w:sz w:val="18"/>
          <w:szCs w:val="18"/>
          <w:lang w:val="es-ES_tradnl"/>
        </w:rPr>
        <w:t>culo 94 de la Constituci</w:t>
      </w:r>
      <w:r>
        <w:rPr>
          <w:rFonts w:cs="Times New Roman"/>
          <w:spacing w:val="-10"/>
          <w:sz w:val="18"/>
          <w:szCs w:val="18"/>
          <w:lang w:val="es-ES_tradnl"/>
        </w:rPr>
        <w:t>ó</w:t>
      </w:r>
      <w:r>
        <w:rPr>
          <w:spacing w:val="-10"/>
          <w:sz w:val="18"/>
          <w:szCs w:val="18"/>
          <w:lang w:val="es-ES_tradnl"/>
        </w:rPr>
        <w:t>n de la Rep</w:t>
      </w:r>
      <w:r>
        <w:rPr>
          <w:rFonts w:cs="Times New Roman"/>
          <w:spacing w:val="-10"/>
          <w:sz w:val="18"/>
          <w:szCs w:val="18"/>
          <w:lang w:val="es-ES_tradnl"/>
        </w:rPr>
        <w:t>ú</w:t>
      </w:r>
      <w:r>
        <w:rPr>
          <w:spacing w:val="-10"/>
          <w:sz w:val="18"/>
          <w:szCs w:val="18"/>
          <w:lang w:val="es-ES_tradnl"/>
        </w:rPr>
        <w:t xml:space="preserve">blica </w:t>
      </w:r>
      <w:r>
        <w:rPr>
          <w:sz w:val="18"/>
          <w:szCs w:val="18"/>
          <w:lang w:val="es-ES_tradnl"/>
        </w:rPr>
        <w:t>del Ecuador establece que:</w:t>
      </w:r>
    </w:p>
    <w:p w14:paraId="4F67BA0E" w14:textId="77777777" w:rsidR="00591D54" w:rsidRDefault="00591D54">
      <w:pPr>
        <w:shd w:val="clear" w:color="auto" w:fill="FFFFFF"/>
        <w:spacing w:before="206" w:line="216" w:lineRule="exact"/>
        <w:ind w:left="283"/>
        <w:jc w:val="both"/>
      </w:pPr>
      <w:r>
        <w:rPr>
          <w:spacing w:val="-4"/>
          <w:sz w:val="16"/>
          <w:szCs w:val="16"/>
          <w:lang w:val="es-ES_tradnl"/>
        </w:rPr>
        <w:t>Art. 94.- La acci</w:t>
      </w:r>
      <w:r>
        <w:rPr>
          <w:rFonts w:cs="Times New Roman"/>
          <w:spacing w:val="-4"/>
          <w:sz w:val="16"/>
          <w:szCs w:val="16"/>
          <w:lang w:val="es-ES_tradnl"/>
        </w:rPr>
        <w:t>ó</w:t>
      </w:r>
      <w:r>
        <w:rPr>
          <w:spacing w:val="-4"/>
          <w:sz w:val="16"/>
          <w:szCs w:val="16"/>
          <w:lang w:val="es-ES_tradnl"/>
        </w:rPr>
        <w:t>n extraordinaria de protecci</w:t>
      </w:r>
      <w:r>
        <w:rPr>
          <w:rFonts w:cs="Times New Roman"/>
          <w:spacing w:val="-4"/>
          <w:sz w:val="16"/>
          <w:szCs w:val="16"/>
          <w:lang w:val="es-ES_tradnl"/>
        </w:rPr>
        <w:t>ó</w:t>
      </w:r>
      <w:r>
        <w:rPr>
          <w:spacing w:val="-4"/>
          <w:sz w:val="16"/>
          <w:szCs w:val="16"/>
          <w:lang w:val="es-ES_tradnl"/>
        </w:rPr>
        <w:t>n proceder</w:t>
      </w:r>
      <w:r>
        <w:rPr>
          <w:rFonts w:cs="Times New Roman"/>
          <w:spacing w:val="-4"/>
          <w:sz w:val="16"/>
          <w:szCs w:val="16"/>
          <w:lang w:val="es-ES_tradnl"/>
        </w:rPr>
        <w:t xml:space="preserve">á </w:t>
      </w:r>
      <w:r>
        <w:rPr>
          <w:spacing w:val="-9"/>
          <w:sz w:val="16"/>
          <w:szCs w:val="16"/>
          <w:lang w:val="es-ES_tradnl"/>
        </w:rPr>
        <w:t xml:space="preserve">contra sentencias o autos definitivos en los que se haya violado </w:t>
      </w:r>
      <w:r>
        <w:rPr>
          <w:spacing w:val="-7"/>
          <w:sz w:val="16"/>
          <w:szCs w:val="16"/>
          <w:lang w:val="es-ES_tradnl"/>
        </w:rPr>
        <w:t>por acci</w:t>
      </w:r>
      <w:r>
        <w:rPr>
          <w:rFonts w:cs="Times New Roman"/>
          <w:spacing w:val="-7"/>
          <w:sz w:val="16"/>
          <w:szCs w:val="16"/>
          <w:lang w:val="es-ES_tradnl"/>
        </w:rPr>
        <w:t>ó</w:t>
      </w:r>
      <w:r>
        <w:rPr>
          <w:spacing w:val="-7"/>
          <w:sz w:val="16"/>
          <w:szCs w:val="16"/>
          <w:lang w:val="es-ES_tradnl"/>
        </w:rPr>
        <w:t>n u omisi</w:t>
      </w:r>
      <w:r>
        <w:rPr>
          <w:rFonts w:cs="Times New Roman"/>
          <w:spacing w:val="-7"/>
          <w:sz w:val="16"/>
          <w:szCs w:val="16"/>
          <w:lang w:val="es-ES_tradnl"/>
        </w:rPr>
        <w:t>ó</w:t>
      </w:r>
      <w:r>
        <w:rPr>
          <w:spacing w:val="-7"/>
          <w:sz w:val="16"/>
          <w:szCs w:val="16"/>
          <w:lang w:val="es-ES_tradnl"/>
        </w:rPr>
        <w:t>n derechos reconocidos en la Constituci</w:t>
      </w:r>
      <w:r>
        <w:rPr>
          <w:rFonts w:cs="Times New Roman"/>
          <w:spacing w:val="-7"/>
          <w:sz w:val="16"/>
          <w:szCs w:val="16"/>
          <w:lang w:val="es-ES_tradnl"/>
        </w:rPr>
        <w:t>ó</w:t>
      </w:r>
      <w:r>
        <w:rPr>
          <w:spacing w:val="-7"/>
          <w:sz w:val="16"/>
          <w:szCs w:val="16"/>
          <w:lang w:val="es-ES_tradnl"/>
        </w:rPr>
        <w:t xml:space="preserve">n, </w:t>
      </w:r>
      <w:r>
        <w:rPr>
          <w:spacing w:val="-5"/>
          <w:sz w:val="16"/>
          <w:szCs w:val="16"/>
          <w:lang w:val="es-ES_tradnl"/>
        </w:rPr>
        <w:t>y se interpondr</w:t>
      </w:r>
      <w:r>
        <w:rPr>
          <w:rFonts w:cs="Times New Roman"/>
          <w:spacing w:val="-5"/>
          <w:sz w:val="16"/>
          <w:szCs w:val="16"/>
          <w:lang w:val="es-ES_tradnl"/>
        </w:rPr>
        <w:t>á</w:t>
      </w:r>
      <w:r>
        <w:rPr>
          <w:spacing w:val="-5"/>
          <w:sz w:val="16"/>
          <w:szCs w:val="16"/>
          <w:lang w:val="es-ES_tradnl"/>
        </w:rPr>
        <w:t xml:space="preserve"> ante la Corte Constitucional. El recurso proceder</w:t>
      </w:r>
      <w:r>
        <w:rPr>
          <w:rFonts w:cs="Times New Roman"/>
          <w:spacing w:val="-5"/>
          <w:sz w:val="16"/>
          <w:szCs w:val="16"/>
          <w:lang w:val="es-ES_tradnl"/>
        </w:rPr>
        <w:t>á</w:t>
      </w:r>
      <w:r>
        <w:rPr>
          <w:spacing w:val="-5"/>
          <w:sz w:val="16"/>
          <w:szCs w:val="16"/>
          <w:lang w:val="es-ES_tradnl"/>
        </w:rPr>
        <w:t xml:space="preserve"> cuando se hayan agotado los recursos ordinarios </w:t>
      </w:r>
      <w:r>
        <w:rPr>
          <w:spacing w:val="-3"/>
          <w:sz w:val="16"/>
          <w:szCs w:val="16"/>
          <w:lang w:val="es-ES_tradnl"/>
        </w:rPr>
        <w:t>y extraordinarios dentro del t</w:t>
      </w:r>
      <w:r>
        <w:rPr>
          <w:rFonts w:cs="Times New Roman"/>
          <w:spacing w:val="-3"/>
          <w:sz w:val="16"/>
          <w:szCs w:val="16"/>
          <w:lang w:val="es-ES_tradnl"/>
        </w:rPr>
        <w:t>é</w:t>
      </w:r>
      <w:r>
        <w:rPr>
          <w:spacing w:val="-3"/>
          <w:sz w:val="16"/>
          <w:szCs w:val="16"/>
          <w:lang w:val="es-ES_tradnl"/>
        </w:rPr>
        <w:t xml:space="preserve">rmino legal, a menos que la </w:t>
      </w:r>
      <w:r>
        <w:rPr>
          <w:spacing w:val="-4"/>
          <w:sz w:val="16"/>
          <w:szCs w:val="16"/>
          <w:lang w:val="es-ES_tradnl"/>
        </w:rPr>
        <w:t>falta de interposici</w:t>
      </w:r>
      <w:r>
        <w:rPr>
          <w:rFonts w:cs="Times New Roman"/>
          <w:spacing w:val="-4"/>
          <w:sz w:val="16"/>
          <w:szCs w:val="16"/>
          <w:lang w:val="es-ES_tradnl"/>
        </w:rPr>
        <w:t>ó</w:t>
      </w:r>
      <w:r>
        <w:rPr>
          <w:spacing w:val="-4"/>
          <w:sz w:val="16"/>
          <w:szCs w:val="16"/>
          <w:lang w:val="es-ES_tradnl"/>
        </w:rPr>
        <w:t xml:space="preserve">n de estos recursos no fuere atribuible a </w:t>
      </w:r>
      <w:r>
        <w:rPr>
          <w:spacing w:val="-6"/>
          <w:sz w:val="16"/>
          <w:szCs w:val="16"/>
          <w:lang w:val="es-ES_tradnl"/>
        </w:rPr>
        <w:t xml:space="preserve">la negligencia de la persona titular del derecho constitucional </w:t>
      </w:r>
      <w:r>
        <w:rPr>
          <w:sz w:val="16"/>
          <w:szCs w:val="16"/>
          <w:lang w:val="es-ES_tradnl"/>
        </w:rPr>
        <w:t>vulnerado.</w:t>
      </w:r>
    </w:p>
    <w:p w14:paraId="4F67BA0F" w14:textId="77777777" w:rsidR="00591D54" w:rsidRDefault="00591D54">
      <w:pPr>
        <w:shd w:val="clear" w:color="auto" w:fill="FFFFFF"/>
        <w:spacing w:before="206" w:line="216" w:lineRule="exact"/>
        <w:ind w:left="283"/>
        <w:jc w:val="both"/>
        <w:sectPr w:rsidR="00591D54">
          <w:type w:val="continuous"/>
          <w:pgSz w:w="11909" w:h="16834"/>
          <w:pgMar w:top="1371" w:right="1309" w:bottom="360" w:left="1308" w:header="720" w:footer="720" w:gutter="0"/>
          <w:cols w:num="2" w:space="720" w:equalWidth="0">
            <w:col w:w="4305" w:space="682"/>
            <w:col w:w="4305"/>
          </w:cols>
          <w:noEndnote/>
        </w:sectPr>
      </w:pPr>
    </w:p>
    <w:p w14:paraId="4F67BA10" w14:textId="77777777" w:rsidR="00591D54" w:rsidRDefault="00591D54">
      <w:pPr>
        <w:shd w:val="clear" w:color="auto" w:fill="FFFFFF"/>
        <w:tabs>
          <w:tab w:val="left" w:pos="4814"/>
        </w:tabs>
        <w:spacing w:after="226"/>
        <w:ind w:left="5"/>
      </w:pPr>
      <w:r>
        <w:rPr>
          <w:b/>
          <w:bCs/>
          <w:sz w:val="18"/>
          <w:szCs w:val="18"/>
          <w:lang w:val="es-ES_tradnl"/>
        </w:rPr>
        <w:t xml:space="preserve">274 -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A11" w14:textId="77777777" w:rsidR="00591D54" w:rsidRDefault="00591D54">
      <w:pPr>
        <w:shd w:val="clear" w:color="auto" w:fill="FFFFFF"/>
        <w:tabs>
          <w:tab w:val="left" w:pos="4814"/>
        </w:tabs>
        <w:spacing w:after="226"/>
        <w:ind w:left="5"/>
        <w:sectPr w:rsidR="00591D54">
          <w:pgSz w:w="11909" w:h="16834"/>
          <w:pgMar w:top="1368" w:right="1309" w:bottom="360" w:left="1308" w:header="720" w:footer="720" w:gutter="0"/>
          <w:cols w:space="60"/>
          <w:noEndnote/>
        </w:sectPr>
      </w:pPr>
    </w:p>
    <w:p w14:paraId="4F67BA12" w14:textId="77777777" w:rsidR="00591D54" w:rsidRDefault="00591D54">
      <w:pPr>
        <w:shd w:val="clear" w:color="auto" w:fill="FFFFFF"/>
        <w:spacing w:before="10" w:line="226" w:lineRule="exact"/>
        <w:jc w:val="both"/>
      </w:pPr>
      <w:r>
        <w:rPr>
          <w:spacing w:val="-4"/>
          <w:sz w:val="18"/>
          <w:szCs w:val="18"/>
          <w:lang w:val="es-ES_tradnl"/>
        </w:rPr>
        <w:t>Los requisitos formales y de procedibilidad de la acci</w:t>
      </w:r>
      <w:r>
        <w:rPr>
          <w:rFonts w:cs="Times New Roman"/>
          <w:spacing w:val="-4"/>
          <w:sz w:val="18"/>
          <w:szCs w:val="18"/>
          <w:lang w:val="es-ES_tradnl"/>
        </w:rPr>
        <w:t>ó</w:t>
      </w:r>
      <w:r>
        <w:rPr>
          <w:spacing w:val="-4"/>
          <w:sz w:val="18"/>
          <w:szCs w:val="18"/>
          <w:lang w:val="es-ES_tradnl"/>
        </w:rPr>
        <w:t>n extraordinaria de protecci</w:t>
      </w:r>
      <w:r>
        <w:rPr>
          <w:rFonts w:cs="Times New Roman"/>
          <w:spacing w:val="-4"/>
          <w:sz w:val="18"/>
          <w:szCs w:val="18"/>
          <w:lang w:val="es-ES_tradnl"/>
        </w:rPr>
        <w:t>ó</w:t>
      </w:r>
      <w:r>
        <w:rPr>
          <w:spacing w:val="-4"/>
          <w:sz w:val="18"/>
          <w:szCs w:val="18"/>
          <w:lang w:val="es-ES_tradnl"/>
        </w:rPr>
        <w:t xml:space="preserve">n se encuentran previstos a </w:t>
      </w:r>
      <w:r>
        <w:rPr>
          <w:spacing w:val="-6"/>
          <w:sz w:val="18"/>
          <w:szCs w:val="18"/>
          <w:lang w:val="es-ES_tradnl"/>
        </w:rPr>
        <w:t>partir de los art</w:t>
      </w:r>
      <w:r>
        <w:rPr>
          <w:rFonts w:cs="Times New Roman"/>
          <w:spacing w:val="-6"/>
          <w:sz w:val="18"/>
          <w:szCs w:val="18"/>
          <w:lang w:val="es-ES_tradnl"/>
        </w:rPr>
        <w:t>í</w:t>
      </w:r>
      <w:r>
        <w:rPr>
          <w:spacing w:val="-6"/>
          <w:sz w:val="18"/>
          <w:szCs w:val="18"/>
          <w:lang w:val="es-ES_tradnl"/>
        </w:rPr>
        <w:t>culos 58</w:t>
      </w:r>
      <w:r>
        <w:rPr>
          <w:spacing w:val="-6"/>
          <w:sz w:val="18"/>
          <w:szCs w:val="18"/>
          <w:vertAlign w:val="superscript"/>
          <w:lang w:val="es-ES_tradnl"/>
        </w:rPr>
        <w:t>1</w:t>
      </w:r>
      <w:r>
        <w:rPr>
          <w:spacing w:val="-6"/>
          <w:sz w:val="18"/>
          <w:szCs w:val="18"/>
          <w:lang w:val="es-ES_tradnl"/>
        </w:rPr>
        <w:t xml:space="preserve"> y siguientes de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as Jurisdiccionales y Control Constitucional.</w:t>
      </w:r>
    </w:p>
    <w:p w14:paraId="4F67BA13" w14:textId="77777777" w:rsidR="00591D54" w:rsidRDefault="00591D54">
      <w:pPr>
        <w:shd w:val="clear" w:color="auto" w:fill="FFFFFF"/>
        <w:spacing w:before="202" w:line="226" w:lineRule="exact"/>
        <w:jc w:val="both"/>
      </w:pPr>
      <w:r>
        <w:rPr>
          <w:spacing w:val="-6"/>
          <w:sz w:val="18"/>
          <w:szCs w:val="18"/>
          <w:lang w:val="es-ES_tradnl"/>
        </w:rPr>
        <w:t xml:space="preserve">En este contexto, la Corte Constitucional respecto de la </w:t>
      </w:r>
      <w:r>
        <w:rPr>
          <w:spacing w:val="-9"/>
          <w:sz w:val="18"/>
          <w:szCs w:val="18"/>
          <w:lang w:val="es-ES_tradnl"/>
        </w:rPr>
        <w:t>representaci</w:t>
      </w:r>
      <w:r>
        <w:rPr>
          <w:rFonts w:cs="Times New Roman"/>
          <w:spacing w:val="-9"/>
          <w:sz w:val="18"/>
          <w:szCs w:val="18"/>
          <w:lang w:val="es-ES_tradnl"/>
        </w:rPr>
        <w:t>ó</w:t>
      </w:r>
      <w:r>
        <w:rPr>
          <w:spacing w:val="-9"/>
          <w:sz w:val="18"/>
          <w:szCs w:val="18"/>
          <w:lang w:val="es-ES_tradnl"/>
        </w:rPr>
        <w:t>n de la acci</w:t>
      </w:r>
      <w:r>
        <w:rPr>
          <w:rFonts w:cs="Times New Roman"/>
          <w:spacing w:val="-9"/>
          <w:sz w:val="18"/>
          <w:szCs w:val="18"/>
          <w:lang w:val="es-ES_tradnl"/>
        </w:rPr>
        <w:t>ó</w:t>
      </w:r>
      <w:r>
        <w:rPr>
          <w:spacing w:val="-9"/>
          <w:sz w:val="18"/>
          <w:szCs w:val="18"/>
          <w:lang w:val="es-ES_tradnl"/>
        </w:rPr>
        <w:t>n extraordinaria de protecci</w:t>
      </w:r>
      <w:r>
        <w:rPr>
          <w:rFonts w:cs="Times New Roman"/>
          <w:spacing w:val="-9"/>
          <w:sz w:val="18"/>
          <w:szCs w:val="18"/>
          <w:lang w:val="es-ES_tradnl"/>
        </w:rPr>
        <w:t>ó</w:t>
      </w:r>
      <w:r>
        <w:rPr>
          <w:spacing w:val="-9"/>
          <w:sz w:val="18"/>
          <w:szCs w:val="18"/>
          <w:lang w:val="es-ES_tradnl"/>
        </w:rPr>
        <w:t xml:space="preserve">n, ha </w:t>
      </w:r>
      <w:r>
        <w:rPr>
          <w:sz w:val="18"/>
          <w:szCs w:val="18"/>
          <w:lang w:val="es-ES_tradnl"/>
        </w:rPr>
        <w:t>determinado:</w:t>
      </w:r>
    </w:p>
    <w:p w14:paraId="4F67BA14" w14:textId="77777777" w:rsidR="00591D54" w:rsidRDefault="00591D54">
      <w:pPr>
        <w:shd w:val="clear" w:color="auto" w:fill="FFFFFF"/>
        <w:spacing w:before="206" w:line="226" w:lineRule="exact"/>
        <w:ind w:left="283" w:right="5"/>
        <w:jc w:val="both"/>
      </w:pPr>
      <w:r>
        <w:rPr>
          <w:sz w:val="14"/>
          <w:szCs w:val="14"/>
          <w:lang w:val="es-ES_tradnl"/>
        </w:rPr>
        <w:t>La acci</w:t>
      </w:r>
      <w:r>
        <w:rPr>
          <w:rFonts w:cs="Times New Roman"/>
          <w:sz w:val="14"/>
          <w:szCs w:val="14"/>
          <w:lang w:val="es-ES_tradnl"/>
        </w:rPr>
        <w:t>ó</w:t>
      </w:r>
      <w:r>
        <w:rPr>
          <w:sz w:val="14"/>
          <w:szCs w:val="14"/>
          <w:lang w:val="es-ES_tradnl"/>
        </w:rPr>
        <w:t>n extraordinaria de protecci</w:t>
      </w:r>
      <w:r>
        <w:rPr>
          <w:rFonts w:cs="Times New Roman"/>
          <w:sz w:val="14"/>
          <w:szCs w:val="14"/>
          <w:lang w:val="es-ES_tradnl"/>
        </w:rPr>
        <w:t>ó</w:t>
      </w:r>
      <w:r>
        <w:rPr>
          <w:sz w:val="14"/>
          <w:szCs w:val="14"/>
          <w:lang w:val="es-ES_tradnl"/>
        </w:rPr>
        <w:t>n establecida en el art</w:t>
      </w:r>
      <w:r>
        <w:rPr>
          <w:rFonts w:cs="Times New Roman"/>
          <w:sz w:val="14"/>
          <w:szCs w:val="14"/>
          <w:lang w:val="es-ES_tradnl"/>
        </w:rPr>
        <w:t>í</w:t>
      </w:r>
      <w:r>
        <w:rPr>
          <w:sz w:val="14"/>
          <w:szCs w:val="14"/>
          <w:lang w:val="es-ES_tradnl"/>
        </w:rPr>
        <w:t>culo 94 de la Constituci</w:t>
      </w:r>
      <w:r>
        <w:rPr>
          <w:rFonts w:cs="Times New Roman"/>
          <w:sz w:val="14"/>
          <w:szCs w:val="14"/>
          <w:lang w:val="es-ES_tradnl"/>
        </w:rPr>
        <w:t>ó</w:t>
      </w:r>
      <w:r>
        <w:rPr>
          <w:sz w:val="14"/>
          <w:szCs w:val="14"/>
          <w:lang w:val="es-ES_tradnl"/>
        </w:rPr>
        <w:t>n constituye una garant</w:t>
      </w:r>
      <w:r>
        <w:rPr>
          <w:rFonts w:cs="Times New Roman"/>
          <w:sz w:val="14"/>
          <w:szCs w:val="14"/>
          <w:lang w:val="es-ES_tradnl"/>
        </w:rPr>
        <w:t>í</w:t>
      </w:r>
      <w:r>
        <w:rPr>
          <w:sz w:val="14"/>
          <w:szCs w:val="14"/>
          <w:lang w:val="es-ES_tradnl"/>
        </w:rPr>
        <w:t>a jurisdiccional creada por el constituyente para proteger los derechos constitucionales de las personas en contra de cualquier vulneraci</w:t>
      </w:r>
      <w:r>
        <w:rPr>
          <w:rFonts w:cs="Times New Roman"/>
          <w:sz w:val="14"/>
          <w:szCs w:val="14"/>
          <w:lang w:val="es-ES_tradnl"/>
        </w:rPr>
        <w:t>ó</w:t>
      </w:r>
      <w:r>
        <w:rPr>
          <w:sz w:val="14"/>
          <w:szCs w:val="14"/>
          <w:lang w:val="es-ES_tradnl"/>
        </w:rPr>
        <w:t>n que se produzca mediante actos jurisdiccionales. As</w:t>
      </w:r>
      <w:r>
        <w:rPr>
          <w:rFonts w:cs="Times New Roman"/>
          <w:sz w:val="14"/>
          <w:szCs w:val="14"/>
          <w:lang w:val="es-ES_tradnl"/>
        </w:rPr>
        <w:t>í</w:t>
      </w:r>
      <w:r>
        <w:rPr>
          <w:sz w:val="14"/>
          <w:szCs w:val="14"/>
          <w:lang w:val="es-ES_tradnl"/>
        </w:rPr>
        <w:t>, esta acci</w:t>
      </w:r>
      <w:r>
        <w:rPr>
          <w:rFonts w:cs="Times New Roman"/>
          <w:sz w:val="14"/>
          <w:szCs w:val="14"/>
          <w:lang w:val="es-ES_tradnl"/>
        </w:rPr>
        <w:t>ó</w:t>
      </w:r>
      <w:r>
        <w:rPr>
          <w:sz w:val="14"/>
          <w:szCs w:val="14"/>
          <w:lang w:val="es-ES_tradnl"/>
        </w:rPr>
        <w:t>n nace y existe para garantizar y defender el respeto de los derechos constitucionales y el debido proceso. Por consiguiente, tiene como fin proteger, precautelar, tutelar y amparar los derechos de las personas que, por acci</w:t>
      </w:r>
      <w:r>
        <w:rPr>
          <w:rFonts w:cs="Times New Roman"/>
          <w:sz w:val="14"/>
          <w:szCs w:val="14"/>
          <w:lang w:val="es-ES_tradnl"/>
        </w:rPr>
        <w:t>ó</w:t>
      </w:r>
      <w:r>
        <w:rPr>
          <w:sz w:val="14"/>
          <w:szCs w:val="14"/>
          <w:lang w:val="es-ES_tradnl"/>
        </w:rPr>
        <w:t>n u omisi</w:t>
      </w:r>
      <w:r>
        <w:rPr>
          <w:rFonts w:cs="Times New Roman"/>
          <w:sz w:val="14"/>
          <w:szCs w:val="14"/>
          <w:lang w:val="es-ES_tradnl"/>
        </w:rPr>
        <w:t>ó</w:t>
      </w:r>
      <w:r>
        <w:rPr>
          <w:sz w:val="14"/>
          <w:szCs w:val="14"/>
          <w:lang w:val="es-ES_tradnl"/>
        </w:rPr>
        <w:t>n, sean vulnerados en las decisiones judiciales</w:t>
      </w:r>
      <w:r>
        <w:rPr>
          <w:sz w:val="14"/>
          <w:szCs w:val="14"/>
          <w:vertAlign w:val="superscript"/>
          <w:lang w:val="es-ES_tradnl"/>
        </w:rPr>
        <w:t>2</w:t>
      </w:r>
      <w:r>
        <w:rPr>
          <w:sz w:val="14"/>
          <w:szCs w:val="14"/>
          <w:lang w:val="es-ES_tradnl"/>
        </w:rPr>
        <w:t>.</w:t>
      </w:r>
    </w:p>
    <w:p w14:paraId="4F67BA15" w14:textId="77777777" w:rsidR="00591D54" w:rsidRDefault="00591D54">
      <w:pPr>
        <w:shd w:val="clear" w:color="auto" w:fill="FFFFFF"/>
        <w:spacing w:before="211" w:line="226" w:lineRule="exact"/>
        <w:ind w:right="5"/>
        <w:jc w:val="both"/>
      </w:pPr>
      <w:r>
        <w:rPr>
          <w:spacing w:val="-3"/>
          <w:sz w:val="18"/>
          <w:szCs w:val="18"/>
          <w:lang w:val="es-ES_tradnl"/>
        </w:rPr>
        <w:t xml:space="preserve">En este contexto, se ha establecido que por intermedio </w:t>
      </w:r>
      <w:r>
        <w:rPr>
          <w:spacing w:val="-5"/>
          <w:sz w:val="18"/>
          <w:szCs w:val="18"/>
          <w:lang w:val="es-ES_tradnl"/>
        </w:rPr>
        <w:t>de la acci</w:t>
      </w:r>
      <w:r>
        <w:rPr>
          <w:rFonts w:cs="Times New Roman"/>
          <w:spacing w:val="-5"/>
          <w:sz w:val="18"/>
          <w:szCs w:val="18"/>
          <w:lang w:val="es-ES_tradnl"/>
        </w:rPr>
        <w:t>ó</w:t>
      </w:r>
      <w:r>
        <w:rPr>
          <w:spacing w:val="-5"/>
          <w:sz w:val="18"/>
          <w:szCs w:val="18"/>
          <w:lang w:val="es-ES_tradnl"/>
        </w:rPr>
        <w:t>n extraordinaria de protecci</w:t>
      </w:r>
      <w:r>
        <w:rPr>
          <w:rFonts w:cs="Times New Roman"/>
          <w:spacing w:val="-5"/>
          <w:sz w:val="18"/>
          <w:szCs w:val="18"/>
          <w:lang w:val="es-ES_tradnl"/>
        </w:rPr>
        <w:t>ó</w:t>
      </w:r>
      <w:r>
        <w:rPr>
          <w:spacing w:val="-5"/>
          <w:sz w:val="18"/>
          <w:szCs w:val="18"/>
          <w:lang w:val="es-ES_tradnl"/>
        </w:rPr>
        <w:t xml:space="preserve">n: </w:t>
      </w:r>
      <w:r>
        <w:rPr>
          <w:rFonts w:cs="Times New Roman"/>
          <w:spacing w:val="-5"/>
          <w:sz w:val="18"/>
          <w:szCs w:val="18"/>
          <w:lang w:val="es-ES_tradnl"/>
        </w:rPr>
        <w:t>“</w:t>
      </w:r>
      <w:r>
        <w:rPr>
          <w:spacing w:val="-5"/>
          <w:sz w:val="18"/>
          <w:szCs w:val="18"/>
          <w:lang w:val="es-ES_tradnl"/>
        </w:rPr>
        <w:t>(</w:t>
      </w:r>
      <w:r>
        <w:rPr>
          <w:rFonts w:cs="Times New Roman"/>
          <w:spacing w:val="-5"/>
          <w:sz w:val="18"/>
          <w:szCs w:val="18"/>
          <w:lang w:val="es-ES_tradnl"/>
        </w:rPr>
        <w:t>…</w:t>
      </w:r>
      <w:r>
        <w:rPr>
          <w:spacing w:val="-5"/>
          <w:sz w:val="18"/>
          <w:szCs w:val="18"/>
          <w:lang w:val="es-ES_tradnl"/>
        </w:rPr>
        <w:t xml:space="preserve">) el juez </w:t>
      </w:r>
      <w:r>
        <w:rPr>
          <w:spacing w:val="-6"/>
          <w:sz w:val="18"/>
          <w:szCs w:val="18"/>
          <w:lang w:val="es-ES_tradnl"/>
        </w:rPr>
        <w:t>constitucional debe realizar un an</w:t>
      </w:r>
      <w:r>
        <w:rPr>
          <w:rFonts w:cs="Times New Roman"/>
          <w:spacing w:val="-6"/>
          <w:sz w:val="18"/>
          <w:szCs w:val="18"/>
          <w:lang w:val="es-ES_tradnl"/>
        </w:rPr>
        <w:t>á</w:t>
      </w:r>
      <w:r>
        <w:rPr>
          <w:spacing w:val="-6"/>
          <w:sz w:val="18"/>
          <w:szCs w:val="18"/>
          <w:lang w:val="es-ES_tradnl"/>
        </w:rPr>
        <w:t xml:space="preserve">lisis sustancial de la </w:t>
      </w:r>
      <w:r>
        <w:rPr>
          <w:spacing w:val="-8"/>
          <w:sz w:val="18"/>
          <w:szCs w:val="18"/>
          <w:lang w:val="es-ES_tradnl"/>
        </w:rPr>
        <w:t>cuesti</w:t>
      </w:r>
      <w:r>
        <w:rPr>
          <w:rFonts w:cs="Times New Roman"/>
          <w:spacing w:val="-8"/>
          <w:sz w:val="18"/>
          <w:szCs w:val="18"/>
          <w:lang w:val="es-ES_tradnl"/>
        </w:rPr>
        <w:t>ó</w:t>
      </w:r>
      <w:r>
        <w:rPr>
          <w:spacing w:val="-8"/>
          <w:sz w:val="18"/>
          <w:szCs w:val="18"/>
          <w:lang w:val="es-ES_tradnl"/>
        </w:rPr>
        <w:t>n controvertida, luego de lo cual, tiene la obligaci</w:t>
      </w:r>
      <w:r>
        <w:rPr>
          <w:rFonts w:cs="Times New Roman"/>
          <w:spacing w:val="-8"/>
          <w:sz w:val="18"/>
          <w:szCs w:val="18"/>
          <w:lang w:val="es-ES_tradnl"/>
        </w:rPr>
        <w:t>ó</w:t>
      </w:r>
      <w:r>
        <w:rPr>
          <w:spacing w:val="-8"/>
          <w:sz w:val="18"/>
          <w:szCs w:val="18"/>
          <w:lang w:val="es-ES_tradnl"/>
        </w:rPr>
        <w:t xml:space="preserve">n, </w:t>
      </w:r>
      <w:r>
        <w:rPr>
          <w:spacing w:val="-4"/>
          <w:sz w:val="18"/>
          <w:szCs w:val="18"/>
          <w:lang w:val="es-ES_tradnl"/>
        </w:rPr>
        <w:t>si el caso lo amerita, de declarar la violaci</w:t>
      </w:r>
      <w:r>
        <w:rPr>
          <w:rFonts w:cs="Times New Roman"/>
          <w:spacing w:val="-4"/>
          <w:sz w:val="18"/>
          <w:szCs w:val="18"/>
          <w:lang w:val="es-ES_tradnl"/>
        </w:rPr>
        <w:t>ó</w:t>
      </w:r>
      <w:r>
        <w:rPr>
          <w:spacing w:val="-4"/>
          <w:sz w:val="18"/>
          <w:szCs w:val="18"/>
          <w:lang w:val="es-ES_tradnl"/>
        </w:rPr>
        <w:t xml:space="preserve">n de uno o </w:t>
      </w:r>
      <w:r>
        <w:rPr>
          <w:spacing w:val="-9"/>
          <w:sz w:val="18"/>
          <w:szCs w:val="18"/>
          <w:lang w:val="es-ES_tradnl"/>
        </w:rPr>
        <w:t xml:space="preserve">varios derechos constitucionales e inmediatamente ordenar </w:t>
      </w:r>
      <w:r>
        <w:rPr>
          <w:spacing w:val="-4"/>
          <w:sz w:val="18"/>
          <w:szCs w:val="18"/>
          <w:lang w:val="es-ES_tradnl"/>
        </w:rPr>
        <w:t>su reparaci</w:t>
      </w:r>
      <w:r>
        <w:rPr>
          <w:rFonts w:cs="Times New Roman"/>
          <w:spacing w:val="-4"/>
          <w:sz w:val="18"/>
          <w:szCs w:val="18"/>
          <w:lang w:val="es-ES_tradnl"/>
        </w:rPr>
        <w:t>ó</w:t>
      </w:r>
      <w:r>
        <w:rPr>
          <w:spacing w:val="-4"/>
          <w:sz w:val="18"/>
          <w:szCs w:val="18"/>
          <w:lang w:val="es-ES_tradnl"/>
        </w:rPr>
        <w:t>n integral, conforme lo prescribe el art</w:t>
      </w:r>
      <w:r>
        <w:rPr>
          <w:rFonts w:cs="Times New Roman"/>
          <w:spacing w:val="-4"/>
          <w:sz w:val="18"/>
          <w:szCs w:val="18"/>
          <w:lang w:val="es-ES_tradnl"/>
        </w:rPr>
        <w:t>í</w:t>
      </w:r>
      <w:r>
        <w:rPr>
          <w:spacing w:val="-4"/>
          <w:sz w:val="18"/>
          <w:szCs w:val="18"/>
          <w:lang w:val="es-ES_tradnl"/>
        </w:rPr>
        <w:t xml:space="preserve">culo </w:t>
      </w:r>
      <w:r>
        <w:rPr>
          <w:spacing w:val="-6"/>
          <w:sz w:val="18"/>
          <w:szCs w:val="18"/>
          <w:lang w:val="es-ES_tradnl"/>
        </w:rPr>
        <w:t>86, numeral 3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En este </w:t>
      </w:r>
      <w:r>
        <w:rPr>
          <w:spacing w:val="-7"/>
          <w:sz w:val="18"/>
          <w:szCs w:val="18"/>
          <w:lang w:val="es-ES_tradnl"/>
        </w:rPr>
        <w:t>escenario, las garant</w:t>
      </w:r>
      <w:r>
        <w:rPr>
          <w:rFonts w:cs="Times New Roman"/>
          <w:spacing w:val="-7"/>
          <w:sz w:val="18"/>
          <w:szCs w:val="18"/>
          <w:lang w:val="es-ES_tradnl"/>
        </w:rPr>
        <w:t>í</w:t>
      </w:r>
      <w:r>
        <w:rPr>
          <w:spacing w:val="-7"/>
          <w:sz w:val="18"/>
          <w:szCs w:val="18"/>
          <w:lang w:val="es-ES_tradnl"/>
        </w:rPr>
        <w:t xml:space="preserve">as jurisdiccionales determinan la </w:t>
      </w:r>
      <w:r>
        <w:rPr>
          <w:spacing w:val="-2"/>
          <w:sz w:val="18"/>
          <w:szCs w:val="18"/>
          <w:lang w:val="es-ES_tradnl"/>
        </w:rPr>
        <w:t>obligaci</w:t>
      </w:r>
      <w:r>
        <w:rPr>
          <w:rFonts w:cs="Times New Roman"/>
          <w:spacing w:val="-2"/>
          <w:sz w:val="18"/>
          <w:szCs w:val="18"/>
          <w:lang w:val="es-ES_tradnl"/>
        </w:rPr>
        <w:t>ó</w:t>
      </w:r>
      <w:r>
        <w:rPr>
          <w:spacing w:val="-2"/>
          <w:sz w:val="18"/>
          <w:szCs w:val="18"/>
          <w:lang w:val="es-ES_tradnl"/>
        </w:rPr>
        <w:t xml:space="preserve">n que tiene el juez constitucional en el control </w:t>
      </w:r>
      <w:r>
        <w:rPr>
          <w:spacing w:val="-7"/>
          <w:sz w:val="18"/>
          <w:szCs w:val="18"/>
          <w:lang w:val="es-ES_tradnl"/>
        </w:rPr>
        <w:t>de los actos p</w:t>
      </w:r>
      <w:r>
        <w:rPr>
          <w:rFonts w:cs="Times New Roman"/>
          <w:spacing w:val="-7"/>
          <w:sz w:val="18"/>
          <w:szCs w:val="18"/>
          <w:lang w:val="es-ES_tradnl"/>
        </w:rPr>
        <w:t>ú</w:t>
      </w:r>
      <w:r>
        <w:rPr>
          <w:spacing w:val="-7"/>
          <w:sz w:val="18"/>
          <w:szCs w:val="18"/>
          <w:lang w:val="es-ES_tradnl"/>
        </w:rPr>
        <w:t xml:space="preserve">blicos, a efectos de que no se vulneren los </w:t>
      </w:r>
      <w:r>
        <w:rPr>
          <w:spacing w:val="-8"/>
          <w:sz w:val="18"/>
          <w:szCs w:val="18"/>
          <w:lang w:val="es-ES_tradnl"/>
        </w:rPr>
        <w:t>derechos constitucionales; de este modo, las garant</w:t>
      </w:r>
      <w:r>
        <w:rPr>
          <w:rFonts w:cs="Times New Roman"/>
          <w:spacing w:val="-8"/>
          <w:sz w:val="18"/>
          <w:szCs w:val="18"/>
          <w:lang w:val="es-ES_tradnl"/>
        </w:rPr>
        <w:t>í</w:t>
      </w:r>
      <w:r>
        <w:rPr>
          <w:spacing w:val="-8"/>
          <w:sz w:val="18"/>
          <w:szCs w:val="18"/>
          <w:lang w:val="es-ES_tradnl"/>
        </w:rPr>
        <w:t xml:space="preserve">as constitucionales se orientan a dar sustento al Estado </w:t>
      </w:r>
      <w:r>
        <w:rPr>
          <w:sz w:val="18"/>
          <w:szCs w:val="18"/>
          <w:lang w:val="es-ES_tradnl"/>
        </w:rPr>
        <w:t>constitucional de derechos y justicia</w:t>
      </w:r>
      <w:r>
        <w:rPr>
          <w:rFonts w:cs="Times New Roman"/>
          <w:sz w:val="18"/>
          <w:szCs w:val="18"/>
          <w:lang w:val="es-ES_tradnl"/>
        </w:rPr>
        <w:t>”</w:t>
      </w:r>
      <w:r>
        <w:rPr>
          <w:sz w:val="18"/>
          <w:szCs w:val="18"/>
          <w:vertAlign w:val="superscript"/>
          <w:lang w:val="es-ES_tradnl"/>
        </w:rPr>
        <w:t>3</w:t>
      </w:r>
      <w:r>
        <w:rPr>
          <w:sz w:val="18"/>
          <w:szCs w:val="18"/>
          <w:lang w:val="es-ES_tradnl"/>
        </w:rPr>
        <w:t>.</w:t>
      </w:r>
    </w:p>
    <w:p w14:paraId="4F67BA16" w14:textId="77777777" w:rsidR="00591D54" w:rsidRDefault="00591D54">
      <w:pPr>
        <w:shd w:val="clear" w:color="auto" w:fill="FFFFFF"/>
        <w:spacing w:before="202"/>
      </w:pPr>
      <w:r>
        <w:rPr>
          <w:b/>
          <w:bCs/>
          <w:spacing w:val="-9"/>
          <w:sz w:val="18"/>
          <w:szCs w:val="18"/>
          <w:lang w:val="es-ES_tradnl"/>
        </w:rPr>
        <w:t>Determinaci</w:t>
      </w:r>
      <w:r>
        <w:rPr>
          <w:rFonts w:cs="Times New Roman"/>
          <w:b/>
          <w:bCs/>
          <w:spacing w:val="-9"/>
          <w:sz w:val="18"/>
          <w:szCs w:val="18"/>
          <w:lang w:val="es-ES_tradnl"/>
        </w:rPr>
        <w:t>ó</w:t>
      </w:r>
      <w:r>
        <w:rPr>
          <w:b/>
          <w:bCs/>
          <w:spacing w:val="-9"/>
          <w:sz w:val="18"/>
          <w:szCs w:val="18"/>
          <w:lang w:val="es-ES_tradnl"/>
        </w:rPr>
        <w:t>n de los problemas jur</w:t>
      </w:r>
      <w:r>
        <w:rPr>
          <w:rFonts w:cs="Times New Roman"/>
          <w:b/>
          <w:bCs/>
          <w:spacing w:val="-9"/>
          <w:sz w:val="18"/>
          <w:szCs w:val="18"/>
          <w:lang w:val="es-ES_tradnl"/>
        </w:rPr>
        <w:t>í</w:t>
      </w:r>
      <w:r>
        <w:rPr>
          <w:b/>
          <w:bCs/>
          <w:spacing w:val="-9"/>
          <w:sz w:val="18"/>
          <w:szCs w:val="18"/>
          <w:lang w:val="es-ES_tradnl"/>
        </w:rPr>
        <w:t>dicos a resolver</w:t>
      </w:r>
    </w:p>
    <w:p w14:paraId="4F67BA17" w14:textId="77777777" w:rsidR="00591D54" w:rsidRDefault="00591D54">
      <w:pPr>
        <w:shd w:val="clear" w:color="auto" w:fill="FFFFFF"/>
        <w:spacing w:before="206" w:line="226" w:lineRule="exact"/>
        <w:jc w:val="both"/>
      </w:pPr>
      <w:r>
        <w:rPr>
          <w:spacing w:val="-6"/>
          <w:sz w:val="18"/>
          <w:szCs w:val="18"/>
          <w:lang w:val="es-ES_tradnl"/>
        </w:rPr>
        <w:t>En esta oportunidad, la Corte Constitucional examinar</w:t>
      </w:r>
      <w:r>
        <w:rPr>
          <w:rFonts w:cs="Times New Roman"/>
          <w:spacing w:val="-6"/>
          <w:sz w:val="18"/>
          <w:szCs w:val="18"/>
          <w:lang w:val="es-ES_tradnl"/>
        </w:rPr>
        <w:t>á</w:t>
      </w:r>
      <w:r>
        <w:rPr>
          <w:spacing w:val="-6"/>
          <w:sz w:val="18"/>
          <w:szCs w:val="18"/>
          <w:lang w:val="es-ES_tradnl"/>
        </w:rPr>
        <w:t xml:space="preserve"> si </w:t>
      </w:r>
      <w:r>
        <w:rPr>
          <w:spacing w:val="-7"/>
          <w:sz w:val="18"/>
          <w:szCs w:val="18"/>
          <w:lang w:val="es-ES_tradnl"/>
        </w:rPr>
        <w:t xml:space="preserve">la sentencia dictada el 31 de agosto de 2011 a las 17h21, </w:t>
      </w:r>
      <w:r>
        <w:rPr>
          <w:spacing w:val="-6"/>
          <w:sz w:val="18"/>
          <w:szCs w:val="18"/>
          <w:lang w:val="es-ES_tradnl"/>
        </w:rPr>
        <w:t xml:space="preserve">por los jueces de la Sala </w:t>
      </w:r>
      <w:r>
        <w:rPr>
          <w:rFonts w:cs="Times New Roman"/>
          <w:spacing w:val="-6"/>
          <w:sz w:val="18"/>
          <w:szCs w:val="18"/>
          <w:lang w:val="es-ES_tradnl"/>
        </w:rPr>
        <w:t>Ú</w:t>
      </w:r>
      <w:r>
        <w:rPr>
          <w:spacing w:val="-6"/>
          <w:sz w:val="18"/>
          <w:szCs w:val="18"/>
          <w:lang w:val="es-ES_tradnl"/>
        </w:rPr>
        <w:t xml:space="preserve">nica de la Corte Provincial de </w:t>
      </w:r>
      <w:r>
        <w:rPr>
          <w:spacing w:val="-7"/>
          <w:sz w:val="18"/>
          <w:szCs w:val="18"/>
          <w:lang w:val="es-ES_tradnl"/>
        </w:rPr>
        <w:t>Justicia de Santa Elena, dentro de la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 xml:space="preserve">n </w:t>
      </w:r>
      <w:r>
        <w:rPr>
          <w:spacing w:val="-2"/>
          <w:sz w:val="18"/>
          <w:szCs w:val="18"/>
          <w:lang w:val="es-ES_tradnl"/>
        </w:rPr>
        <w:t>N.</w:t>
      </w:r>
      <w:r>
        <w:rPr>
          <w:rFonts w:cs="Times New Roman"/>
          <w:spacing w:val="-2"/>
          <w:sz w:val="18"/>
          <w:szCs w:val="18"/>
          <w:lang w:val="es-ES_tradnl"/>
        </w:rPr>
        <w:t>º</w:t>
      </w:r>
      <w:r>
        <w:rPr>
          <w:spacing w:val="-2"/>
          <w:sz w:val="18"/>
          <w:szCs w:val="18"/>
          <w:lang w:val="es-ES_tradnl"/>
        </w:rPr>
        <w:t xml:space="preserve"> 368-2010-2 tiene sustento constitucional; para ello, </w:t>
      </w:r>
      <w:r>
        <w:rPr>
          <w:spacing w:val="-8"/>
          <w:sz w:val="18"/>
          <w:szCs w:val="18"/>
          <w:lang w:val="es-ES_tradnl"/>
        </w:rPr>
        <w:t>es indispensable determinar cu</w:t>
      </w:r>
      <w:r>
        <w:rPr>
          <w:rFonts w:cs="Times New Roman"/>
          <w:spacing w:val="-8"/>
          <w:sz w:val="18"/>
          <w:szCs w:val="18"/>
          <w:lang w:val="es-ES_tradnl"/>
        </w:rPr>
        <w:t>á</w:t>
      </w:r>
      <w:r>
        <w:rPr>
          <w:spacing w:val="-8"/>
          <w:sz w:val="18"/>
          <w:szCs w:val="18"/>
          <w:lang w:val="es-ES_tradnl"/>
        </w:rPr>
        <w:t xml:space="preserve">les son las cuestiones constitucionales que se plantean en la demanda y sus </w:t>
      </w:r>
      <w:r>
        <w:rPr>
          <w:sz w:val="18"/>
          <w:szCs w:val="18"/>
          <w:lang w:val="es-ES_tradnl"/>
        </w:rPr>
        <w:t>contestaciones.</w:t>
      </w:r>
    </w:p>
    <w:p w14:paraId="4F67BA18" w14:textId="77777777" w:rsidR="00591D54" w:rsidRDefault="00591D54">
      <w:pPr>
        <w:shd w:val="clear" w:color="auto" w:fill="FFFFFF"/>
        <w:spacing w:before="206" w:line="226" w:lineRule="exact"/>
        <w:ind w:right="5"/>
        <w:jc w:val="both"/>
      </w:pPr>
      <w:r>
        <w:rPr>
          <w:spacing w:val="-8"/>
          <w:sz w:val="18"/>
          <w:szCs w:val="18"/>
          <w:lang w:val="es-ES_tradnl"/>
        </w:rPr>
        <w:t>Despu</w:t>
      </w:r>
      <w:r>
        <w:rPr>
          <w:rFonts w:cs="Times New Roman"/>
          <w:spacing w:val="-8"/>
          <w:sz w:val="18"/>
          <w:szCs w:val="18"/>
          <w:lang w:val="es-ES_tradnl"/>
        </w:rPr>
        <w:t>é</w:t>
      </w:r>
      <w:r>
        <w:rPr>
          <w:spacing w:val="-8"/>
          <w:sz w:val="18"/>
          <w:szCs w:val="18"/>
          <w:lang w:val="es-ES_tradnl"/>
        </w:rPr>
        <w:t xml:space="preserve">s de un examen minucioso de los documentos existentes en el expediente, la Corte Constitucional puede </w:t>
      </w:r>
      <w:r>
        <w:rPr>
          <w:spacing w:val="-5"/>
          <w:sz w:val="18"/>
          <w:szCs w:val="18"/>
          <w:lang w:val="es-ES_tradnl"/>
        </w:rPr>
        <w:t>determinar con claridad los problemas jur</w:t>
      </w:r>
      <w:r>
        <w:rPr>
          <w:rFonts w:cs="Times New Roman"/>
          <w:spacing w:val="-5"/>
          <w:sz w:val="18"/>
          <w:szCs w:val="18"/>
          <w:lang w:val="es-ES_tradnl"/>
        </w:rPr>
        <w:t>í</w:t>
      </w:r>
      <w:r>
        <w:rPr>
          <w:spacing w:val="-5"/>
          <w:sz w:val="18"/>
          <w:szCs w:val="18"/>
          <w:lang w:val="es-ES_tradnl"/>
        </w:rPr>
        <w:t xml:space="preserve">dicos cuya </w:t>
      </w:r>
      <w:r>
        <w:rPr>
          <w:spacing w:val="-8"/>
          <w:sz w:val="18"/>
          <w:szCs w:val="18"/>
          <w:lang w:val="es-ES_tradnl"/>
        </w:rPr>
        <w:t>resoluci</w:t>
      </w:r>
      <w:r>
        <w:rPr>
          <w:rFonts w:cs="Times New Roman"/>
          <w:spacing w:val="-8"/>
          <w:sz w:val="18"/>
          <w:szCs w:val="18"/>
          <w:lang w:val="es-ES_tradnl"/>
        </w:rPr>
        <w:t>ó</w:t>
      </w:r>
      <w:r>
        <w:rPr>
          <w:spacing w:val="-8"/>
          <w:sz w:val="18"/>
          <w:szCs w:val="18"/>
          <w:lang w:val="es-ES_tradnl"/>
        </w:rPr>
        <w:t xml:space="preserve">n es necesaria para decidir el presente caso y </w:t>
      </w:r>
      <w:r>
        <w:rPr>
          <w:sz w:val="18"/>
          <w:szCs w:val="18"/>
          <w:lang w:val="es-ES_tradnl"/>
        </w:rPr>
        <w:t>enunciarlos de la siguiente manera:</w:t>
      </w:r>
    </w:p>
    <w:p w14:paraId="4F67BA19" w14:textId="77777777" w:rsidR="00591D54" w:rsidRDefault="00591D54">
      <w:pPr>
        <w:shd w:val="clear" w:color="auto" w:fill="FFFFFF"/>
        <w:tabs>
          <w:tab w:val="left" w:pos="139"/>
        </w:tabs>
        <w:spacing w:before="470" w:line="178" w:lineRule="exact"/>
        <w:ind w:left="139" w:hanging="139"/>
        <w:jc w:val="both"/>
      </w:pPr>
      <w:r>
        <w:rPr>
          <w:sz w:val="16"/>
          <w:szCs w:val="16"/>
          <w:vertAlign w:val="superscript"/>
          <w:lang w:val="es-ES_tradnl"/>
        </w:rPr>
        <w:t>1</w:t>
      </w:r>
      <w:r>
        <w:rPr>
          <w:sz w:val="18"/>
          <w:szCs w:val="18"/>
          <w:lang w:val="es-ES_tradnl"/>
        </w:rPr>
        <w:tab/>
      </w:r>
      <w:r>
        <w:rPr>
          <w:b/>
          <w:bCs/>
          <w:sz w:val="14"/>
          <w:szCs w:val="14"/>
          <w:lang w:val="es-ES_tradnl"/>
        </w:rPr>
        <w:t>Art.</w:t>
      </w:r>
      <w:r>
        <w:rPr>
          <w:b/>
          <w:bCs/>
          <w:sz w:val="18"/>
          <w:szCs w:val="18"/>
          <w:lang w:val="es-ES_tradnl"/>
        </w:rPr>
        <w:t xml:space="preserve"> </w:t>
      </w:r>
      <w:r>
        <w:rPr>
          <w:b/>
          <w:bCs/>
          <w:sz w:val="14"/>
          <w:szCs w:val="14"/>
          <w:lang w:val="es-ES_tradnl"/>
        </w:rPr>
        <w:t>58.-</w:t>
      </w:r>
      <w:r>
        <w:rPr>
          <w:b/>
          <w:bCs/>
          <w:sz w:val="18"/>
          <w:szCs w:val="18"/>
          <w:lang w:val="es-ES_tradnl"/>
        </w:rPr>
        <w:t xml:space="preserve"> </w:t>
      </w:r>
      <w:r>
        <w:rPr>
          <w:b/>
          <w:bCs/>
          <w:sz w:val="14"/>
          <w:szCs w:val="14"/>
          <w:lang w:val="es-ES_tradnl"/>
        </w:rPr>
        <w:t>Objeto</w:t>
      </w:r>
      <w:r>
        <w:rPr>
          <w:sz w:val="14"/>
          <w:szCs w:val="14"/>
          <w:lang w:val="es-ES_tradnl"/>
        </w:rPr>
        <w:t>.-</w:t>
      </w:r>
      <w:r>
        <w:rPr>
          <w:sz w:val="18"/>
          <w:szCs w:val="18"/>
          <w:lang w:val="es-ES_tradnl"/>
        </w:rPr>
        <w:t xml:space="preserve"> </w:t>
      </w:r>
      <w:r>
        <w:rPr>
          <w:sz w:val="14"/>
          <w:szCs w:val="14"/>
          <w:lang w:val="es-ES_tradnl"/>
        </w:rPr>
        <w:t>La</w:t>
      </w:r>
      <w:r>
        <w:rPr>
          <w:sz w:val="18"/>
          <w:szCs w:val="18"/>
          <w:lang w:val="es-ES_tradnl"/>
        </w:rPr>
        <w:t xml:space="preserve"> </w:t>
      </w:r>
      <w:r>
        <w:rPr>
          <w:sz w:val="14"/>
          <w:szCs w:val="14"/>
          <w:lang w:val="es-ES_tradnl"/>
        </w:rPr>
        <w:t>acci</w:t>
      </w:r>
      <w:r>
        <w:rPr>
          <w:rFonts w:cs="Times New Roman"/>
          <w:sz w:val="14"/>
          <w:szCs w:val="14"/>
          <w:lang w:val="es-ES_tradnl"/>
        </w:rPr>
        <w:t>ó</w:t>
      </w:r>
      <w:r>
        <w:rPr>
          <w:sz w:val="14"/>
          <w:szCs w:val="14"/>
          <w:lang w:val="es-ES_tradnl"/>
        </w:rPr>
        <w:t>n</w:t>
      </w:r>
      <w:r>
        <w:rPr>
          <w:sz w:val="18"/>
          <w:szCs w:val="18"/>
          <w:lang w:val="es-ES_tradnl"/>
        </w:rPr>
        <w:t xml:space="preserve"> </w:t>
      </w:r>
      <w:r>
        <w:rPr>
          <w:sz w:val="14"/>
          <w:szCs w:val="14"/>
          <w:lang w:val="es-ES_tradnl"/>
        </w:rPr>
        <w:t>extraordinaria</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protecci</w:t>
      </w:r>
      <w:r>
        <w:rPr>
          <w:rFonts w:cs="Times New Roman"/>
          <w:sz w:val="14"/>
          <w:szCs w:val="14"/>
          <w:lang w:val="es-ES_tradnl"/>
        </w:rPr>
        <w:t>ó</w:t>
      </w:r>
      <w:r>
        <w:rPr>
          <w:sz w:val="14"/>
          <w:szCs w:val="14"/>
          <w:lang w:val="es-ES_tradnl"/>
        </w:rPr>
        <w:t>n</w:t>
      </w:r>
      <w:r>
        <w:rPr>
          <w:sz w:val="18"/>
          <w:szCs w:val="18"/>
          <w:lang w:val="es-ES_tradnl"/>
        </w:rPr>
        <w:t xml:space="preserve"> </w:t>
      </w:r>
      <w:r>
        <w:rPr>
          <w:sz w:val="14"/>
          <w:szCs w:val="14"/>
          <w:lang w:val="es-ES_tradnl"/>
        </w:rPr>
        <w:t>tiene </w:t>
      </w:r>
      <w:r>
        <w:rPr>
          <w:spacing w:val="-1"/>
          <w:sz w:val="14"/>
          <w:szCs w:val="14"/>
          <w:lang w:val="es-ES_tradnl"/>
        </w:rPr>
        <w:t>por objeto la protecci</w:t>
      </w:r>
      <w:r>
        <w:rPr>
          <w:rFonts w:cs="Times New Roman"/>
          <w:spacing w:val="-1"/>
          <w:sz w:val="14"/>
          <w:szCs w:val="14"/>
          <w:lang w:val="es-ES_tradnl"/>
        </w:rPr>
        <w:t>ó</w:t>
      </w:r>
      <w:r>
        <w:rPr>
          <w:spacing w:val="-1"/>
          <w:sz w:val="14"/>
          <w:szCs w:val="14"/>
          <w:lang w:val="es-ES_tradnl"/>
        </w:rPr>
        <w:t>n de los derechos constitucionales y debido </w:t>
      </w:r>
      <w:r>
        <w:rPr>
          <w:spacing w:val="-3"/>
          <w:sz w:val="14"/>
          <w:szCs w:val="14"/>
          <w:lang w:val="es-ES_tradnl"/>
        </w:rPr>
        <w:t>proceso en sentencias, autos definitivos, resoluciones con fuerza de </w:t>
      </w:r>
      <w:r>
        <w:rPr>
          <w:spacing w:val="-4"/>
          <w:sz w:val="14"/>
          <w:szCs w:val="14"/>
          <w:lang w:val="es-ES_tradnl"/>
        </w:rPr>
        <w:t>sentencia, en los que se hayan violado por acci</w:t>
      </w:r>
      <w:r>
        <w:rPr>
          <w:rFonts w:cs="Times New Roman"/>
          <w:spacing w:val="-4"/>
          <w:sz w:val="14"/>
          <w:szCs w:val="14"/>
          <w:lang w:val="es-ES_tradnl"/>
        </w:rPr>
        <w:t>ó</w:t>
      </w:r>
      <w:r>
        <w:rPr>
          <w:spacing w:val="-4"/>
          <w:sz w:val="14"/>
          <w:szCs w:val="14"/>
          <w:lang w:val="es-ES_tradnl"/>
        </w:rPr>
        <w:t>n u omisi</w:t>
      </w:r>
      <w:r>
        <w:rPr>
          <w:rFonts w:cs="Times New Roman"/>
          <w:spacing w:val="-4"/>
          <w:sz w:val="14"/>
          <w:szCs w:val="14"/>
          <w:lang w:val="es-ES_tradnl"/>
        </w:rPr>
        <w:t>ó</w:t>
      </w:r>
      <w:r>
        <w:rPr>
          <w:spacing w:val="-4"/>
          <w:sz w:val="14"/>
          <w:szCs w:val="14"/>
          <w:lang w:val="es-ES_tradnl"/>
        </w:rPr>
        <w:t>n derechos </w:t>
      </w:r>
      <w:r>
        <w:rPr>
          <w:sz w:val="14"/>
          <w:szCs w:val="14"/>
          <w:lang w:val="es-ES_tradnl"/>
        </w:rPr>
        <w:t>reconocidos en la Constituci</w:t>
      </w:r>
      <w:r>
        <w:rPr>
          <w:rFonts w:cs="Times New Roman"/>
          <w:sz w:val="14"/>
          <w:szCs w:val="14"/>
          <w:lang w:val="es-ES_tradnl"/>
        </w:rPr>
        <w:t>ó</w:t>
      </w:r>
      <w:r>
        <w:rPr>
          <w:sz w:val="14"/>
          <w:szCs w:val="14"/>
          <w:lang w:val="es-ES_tradnl"/>
        </w:rPr>
        <w:t>n.</w:t>
      </w:r>
    </w:p>
    <w:p w14:paraId="4F67BA1A" w14:textId="77777777" w:rsidR="00591D54" w:rsidRDefault="00591D54">
      <w:pPr>
        <w:shd w:val="clear" w:color="auto" w:fill="FFFFFF"/>
        <w:tabs>
          <w:tab w:val="left" w:pos="139"/>
        </w:tabs>
        <w:spacing w:before="154"/>
      </w:pPr>
      <w:r>
        <w:rPr>
          <w:sz w:val="10"/>
          <w:szCs w:val="10"/>
          <w:vertAlign w:val="superscript"/>
          <w:lang w:val="es-ES_tradnl"/>
        </w:rPr>
        <w:t>2</w:t>
      </w:r>
      <w:r>
        <w:rPr>
          <w:sz w:val="18"/>
          <w:szCs w:val="18"/>
          <w:lang w:val="es-ES_tradnl"/>
        </w:rPr>
        <w:tab/>
      </w:r>
      <w:r>
        <w:rPr>
          <w:spacing w:val="-1"/>
          <w:sz w:val="14"/>
          <w:szCs w:val="14"/>
          <w:lang w:val="es-ES_tradnl"/>
        </w:rPr>
        <w:t>Corte</w:t>
      </w:r>
      <w:r>
        <w:rPr>
          <w:spacing w:val="-1"/>
          <w:sz w:val="18"/>
          <w:szCs w:val="18"/>
          <w:lang w:val="es-ES_tradnl"/>
        </w:rPr>
        <w:t xml:space="preserve"> </w:t>
      </w:r>
      <w:r>
        <w:rPr>
          <w:spacing w:val="-1"/>
          <w:sz w:val="14"/>
          <w:szCs w:val="14"/>
          <w:lang w:val="es-ES_tradnl"/>
        </w:rPr>
        <w:t>Constitucional</w:t>
      </w:r>
      <w:r>
        <w:rPr>
          <w:spacing w:val="-1"/>
          <w:sz w:val="18"/>
          <w:szCs w:val="18"/>
          <w:lang w:val="es-ES_tradnl"/>
        </w:rPr>
        <w:t xml:space="preserve"> </w:t>
      </w:r>
      <w:r>
        <w:rPr>
          <w:spacing w:val="-1"/>
          <w:sz w:val="14"/>
          <w:szCs w:val="14"/>
          <w:lang w:val="es-ES_tradnl"/>
        </w:rPr>
        <w:t>del</w:t>
      </w:r>
      <w:r>
        <w:rPr>
          <w:spacing w:val="-1"/>
          <w:sz w:val="18"/>
          <w:szCs w:val="18"/>
          <w:lang w:val="es-ES_tradnl"/>
        </w:rPr>
        <w:t xml:space="preserve"> </w:t>
      </w:r>
      <w:r>
        <w:rPr>
          <w:spacing w:val="-1"/>
          <w:sz w:val="14"/>
          <w:szCs w:val="14"/>
          <w:lang w:val="es-ES_tradnl"/>
        </w:rPr>
        <w:t>Ecuador;</w:t>
      </w:r>
      <w:r>
        <w:rPr>
          <w:spacing w:val="-1"/>
          <w:sz w:val="18"/>
          <w:szCs w:val="18"/>
          <w:lang w:val="es-ES_tradnl"/>
        </w:rPr>
        <w:t xml:space="preserve"> </w:t>
      </w:r>
      <w:r>
        <w:rPr>
          <w:spacing w:val="-1"/>
          <w:sz w:val="14"/>
          <w:szCs w:val="14"/>
          <w:lang w:val="es-ES_tradnl"/>
        </w:rPr>
        <w:t>sentencia</w:t>
      </w:r>
      <w:r>
        <w:rPr>
          <w:spacing w:val="-1"/>
          <w:sz w:val="18"/>
          <w:szCs w:val="18"/>
          <w:lang w:val="es-ES_tradnl"/>
        </w:rPr>
        <w:t xml:space="preserve"> </w:t>
      </w:r>
      <w:r>
        <w:rPr>
          <w:spacing w:val="-1"/>
          <w:sz w:val="14"/>
          <w:szCs w:val="14"/>
          <w:lang w:val="es-ES_tradnl"/>
        </w:rPr>
        <w:t>No.</w:t>
      </w:r>
      <w:r>
        <w:rPr>
          <w:spacing w:val="-1"/>
          <w:sz w:val="18"/>
          <w:szCs w:val="18"/>
          <w:lang w:val="es-ES_tradnl"/>
        </w:rPr>
        <w:t xml:space="preserve"> </w:t>
      </w:r>
      <w:r>
        <w:rPr>
          <w:spacing w:val="-1"/>
          <w:sz w:val="14"/>
          <w:szCs w:val="14"/>
          <w:lang w:val="es-ES_tradnl"/>
        </w:rPr>
        <w:t>121-13-SEP-CC.</w:t>
      </w:r>
    </w:p>
    <w:p w14:paraId="4F67BA1B" w14:textId="77777777" w:rsidR="00591D54" w:rsidRDefault="00591D54">
      <w:pPr>
        <w:shd w:val="clear" w:color="auto" w:fill="FFFFFF"/>
        <w:tabs>
          <w:tab w:val="left" w:pos="139"/>
        </w:tabs>
        <w:spacing w:before="154"/>
      </w:pPr>
      <w:r>
        <w:rPr>
          <w:sz w:val="10"/>
          <w:szCs w:val="10"/>
          <w:vertAlign w:val="superscript"/>
          <w:lang w:val="es-ES_tradnl"/>
        </w:rPr>
        <w:t>3</w:t>
      </w:r>
      <w:r>
        <w:rPr>
          <w:sz w:val="18"/>
          <w:szCs w:val="18"/>
          <w:lang w:val="es-ES_tradnl"/>
        </w:rPr>
        <w:tab/>
      </w:r>
      <w:r>
        <w:rPr>
          <w:spacing w:val="-1"/>
          <w:sz w:val="14"/>
          <w:szCs w:val="14"/>
          <w:lang w:val="es-ES_tradnl"/>
        </w:rPr>
        <w:t>Corte</w:t>
      </w:r>
      <w:r>
        <w:rPr>
          <w:spacing w:val="-1"/>
          <w:sz w:val="18"/>
          <w:szCs w:val="18"/>
          <w:lang w:val="es-ES_tradnl"/>
        </w:rPr>
        <w:t xml:space="preserve"> </w:t>
      </w:r>
      <w:r>
        <w:rPr>
          <w:spacing w:val="-1"/>
          <w:sz w:val="14"/>
          <w:szCs w:val="14"/>
          <w:lang w:val="es-ES_tradnl"/>
        </w:rPr>
        <w:t>Constitucional</w:t>
      </w:r>
      <w:r>
        <w:rPr>
          <w:spacing w:val="-1"/>
          <w:sz w:val="18"/>
          <w:szCs w:val="18"/>
          <w:lang w:val="es-ES_tradnl"/>
        </w:rPr>
        <w:t xml:space="preserve"> </w:t>
      </w:r>
      <w:r>
        <w:rPr>
          <w:spacing w:val="-1"/>
          <w:sz w:val="14"/>
          <w:szCs w:val="14"/>
          <w:lang w:val="es-ES_tradnl"/>
        </w:rPr>
        <w:t>del</w:t>
      </w:r>
      <w:r>
        <w:rPr>
          <w:spacing w:val="-1"/>
          <w:sz w:val="18"/>
          <w:szCs w:val="18"/>
          <w:lang w:val="es-ES_tradnl"/>
        </w:rPr>
        <w:t xml:space="preserve"> </w:t>
      </w:r>
      <w:r>
        <w:rPr>
          <w:spacing w:val="-1"/>
          <w:sz w:val="14"/>
          <w:szCs w:val="14"/>
          <w:lang w:val="es-ES_tradnl"/>
        </w:rPr>
        <w:t>Ecuador,</w:t>
      </w:r>
      <w:r>
        <w:rPr>
          <w:spacing w:val="-1"/>
          <w:sz w:val="18"/>
          <w:szCs w:val="18"/>
          <w:lang w:val="es-ES_tradnl"/>
        </w:rPr>
        <w:t xml:space="preserve"> </w:t>
      </w:r>
      <w:r>
        <w:rPr>
          <w:spacing w:val="-1"/>
          <w:sz w:val="14"/>
          <w:szCs w:val="14"/>
          <w:lang w:val="es-ES_tradnl"/>
        </w:rPr>
        <w:t>sentencia</w:t>
      </w:r>
      <w:r>
        <w:rPr>
          <w:spacing w:val="-1"/>
          <w:sz w:val="18"/>
          <w:szCs w:val="18"/>
          <w:lang w:val="es-ES_tradnl"/>
        </w:rPr>
        <w:t xml:space="preserve"> </w:t>
      </w:r>
      <w:r>
        <w:rPr>
          <w:spacing w:val="-1"/>
          <w:sz w:val="14"/>
          <w:szCs w:val="14"/>
          <w:lang w:val="es-ES_tradnl"/>
        </w:rPr>
        <w:t>No.</w:t>
      </w:r>
      <w:r>
        <w:rPr>
          <w:spacing w:val="-1"/>
          <w:sz w:val="18"/>
          <w:szCs w:val="18"/>
          <w:lang w:val="es-ES_tradnl"/>
        </w:rPr>
        <w:t xml:space="preserve"> </w:t>
      </w:r>
      <w:r>
        <w:rPr>
          <w:spacing w:val="-1"/>
          <w:sz w:val="14"/>
          <w:szCs w:val="14"/>
          <w:lang w:val="es-ES_tradnl"/>
        </w:rPr>
        <w:t>049-10-SEP-CC,</w:t>
      </w:r>
    </w:p>
    <w:p w14:paraId="4F67BA1C" w14:textId="77777777" w:rsidR="00591D54" w:rsidRDefault="00591D54">
      <w:pPr>
        <w:rPr>
          <w:rFonts w:cs="Times New Roman"/>
          <w:sz w:val="2"/>
          <w:szCs w:val="2"/>
        </w:rPr>
      </w:pPr>
      <w:r>
        <w:br w:type="column"/>
      </w:r>
    </w:p>
    <w:p w14:paraId="4F67BA1D" w14:textId="77777777" w:rsidR="00591D54" w:rsidRDefault="00591D54" w:rsidP="00251195">
      <w:pPr>
        <w:numPr>
          <w:ilvl w:val="0"/>
          <w:numId w:val="119"/>
        </w:numPr>
        <w:shd w:val="clear" w:color="auto" w:fill="FFFFFF"/>
        <w:tabs>
          <w:tab w:val="left" w:pos="566"/>
        </w:tabs>
        <w:spacing w:line="211" w:lineRule="exact"/>
        <w:ind w:left="566" w:hanging="283"/>
        <w:jc w:val="both"/>
        <w:rPr>
          <w:b/>
          <w:bCs/>
          <w:spacing w:val="-9"/>
          <w:sz w:val="18"/>
          <w:szCs w:val="18"/>
          <w:lang w:val="es-ES_tradnl"/>
        </w:rPr>
      </w:pPr>
      <w:r>
        <w:rPr>
          <w:b/>
          <w:bCs/>
          <w:spacing w:val="-8"/>
          <w:sz w:val="18"/>
          <w:szCs w:val="18"/>
          <w:lang w:val="es-ES_tradnl"/>
        </w:rPr>
        <w:t xml:space="preserve">La sentencia dictada el 31 de agosto de 2011 a las 17h21, por los jueces de la Sala </w:t>
      </w:r>
      <w:r>
        <w:rPr>
          <w:rFonts w:cs="Times New Roman"/>
          <w:b/>
          <w:bCs/>
          <w:spacing w:val="-8"/>
          <w:sz w:val="18"/>
          <w:szCs w:val="18"/>
          <w:lang w:val="es-ES_tradnl"/>
        </w:rPr>
        <w:t>Ú</w:t>
      </w:r>
      <w:r>
        <w:rPr>
          <w:b/>
          <w:bCs/>
          <w:spacing w:val="-8"/>
          <w:sz w:val="18"/>
          <w:szCs w:val="18"/>
          <w:lang w:val="es-ES_tradnl"/>
        </w:rPr>
        <w:t xml:space="preserve">nica de la </w:t>
      </w:r>
      <w:r>
        <w:rPr>
          <w:b/>
          <w:bCs/>
          <w:spacing w:val="-6"/>
          <w:sz w:val="18"/>
          <w:szCs w:val="18"/>
          <w:lang w:val="es-ES_tradnl"/>
        </w:rPr>
        <w:t xml:space="preserve">Corte Provincial de Justicia de Santa Elena, </w:t>
      </w:r>
      <w:r>
        <w:rPr>
          <w:b/>
          <w:bCs/>
          <w:spacing w:val="-8"/>
          <w:sz w:val="18"/>
          <w:szCs w:val="18"/>
          <w:lang w:val="es-ES_tradnl"/>
        </w:rPr>
        <w:t>dentro de la acci</w:t>
      </w:r>
      <w:r>
        <w:rPr>
          <w:rFonts w:cs="Times New Roman"/>
          <w:b/>
          <w:bCs/>
          <w:spacing w:val="-8"/>
          <w:sz w:val="18"/>
          <w:szCs w:val="18"/>
          <w:lang w:val="es-ES_tradnl"/>
        </w:rPr>
        <w:t>ó</w:t>
      </w:r>
      <w:r>
        <w:rPr>
          <w:b/>
          <w:bCs/>
          <w:spacing w:val="-8"/>
          <w:sz w:val="18"/>
          <w:szCs w:val="18"/>
          <w:lang w:val="es-ES_tradnl"/>
        </w:rPr>
        <w:t>n de protecci</w:t>
      </w:r>
      <w:r>
        <w:rPr>
          <w:rFonts w:cs="Times New Roman"/>
          <w:b/>
          <w:bCs/>
          <w:spacing w:val="-8"/>
          <w:sz w:val="18"/>
          <w:szCs w:val="18"/>
          <w:lang w:val="es-ES_tradnl"/>
        </w:rPr>
        <w:t>ó</w:t>
      </w:r>
      <w:r>
        <w:rPr>
          <w:b/>
          <w:bCs/>
          <w:spacing w:val="-8"/>
          <w:sz w:val="18"/>
          <w:szCs w:val="18"/>
          <w:lang w:val="es-ES_tradnl"/>
        </w:rPr>
        <w:t>n N.</w:t>
      </w:r>
      <w:r>
        <w:rPr>
          <w:rFonts w:cs="Times New Roman"/>
          <w:b/>
          <w:bCs/>
          <w:spacing w:val="-8"/>
          <w:sz w:val="18"/>
          <w:szCs w:val="18"/>
          <w:lang w:val="es-ES_tradnl"/>
        </w:rPr>
        <w:t>º</w:t>
      </w:r>
      <w:r>
        <w:rPr>
          <w:b/>
          <w:bCs/>
          <w:spacing w:val="-8"/>
          <w:sz w:val="18"/>
          <w:szCs w:val="18"/>
          <w:lang w:val="es-ES_tradnl"/>
        </w:rPr>
        <w:t xml:space="preserve"> 368-2010-2, </w:t>
      </w:r>
      <w:r>
        <w:rPr>
          <w:rFonts w:cs="Times New Roman"/>
          <w:b/>
          <w:bCs/>
          <w:spacing w:val="-8"/>
          <w:sz w:val="18"/>
          <w:szCs w:val="18"/>
          <w:lang w:val="es-ES_tradnl"/>
        </w:rPr>
        <w:t>¿</w:t>
      </w:r>
      <w:r>
        <w:rPr>
          <w:b/>
          <w:bCs/>
          <w:spacing w:val="-8"/>
          <w:sz w:val="18"/>
          <w:szCs w:val="18"/>
          <w:lang w:val="es-ES_tradnl"/>
        </w:rPr>
        <w:t xml:space="preserve">vulnera el derecho al debido proceso en la </w:t>
      </w:r>
      <w:r>
        <w:rPr>
          <w:b/>
          <w:bCs/>
          <w:spacing w:val="-7"/>
          <w:sz w:val="18"/>
          <w:szCs w:val="18"/>
          <w:lang w:val="es-ES_tradnl"/>
        </w:rPr>
        <w:t>garant</w:t>
      </w:r>
      <w:r>
        <w:rPr>
          <w:rFonts w:cs="Times New Roman"/>
          <w:b/>
          <w:bCs/>
          <w:spacing w:val="-7"/>
          <w:sz w:val="18"/>
          <w:szCs w:val="18"/>
          <w:lang w:val="es-ES_tradnl"/>
        </w:rPr>
        <w:t>í</w:t>
      </w:r>
      <w:r>
        <w:rPr>
          <w:b/>
          <w:bCs/>
          <w:spacing w:val="-7"/>
          <w:sz w:val="18"/>
          <w:szCs w:val="18"/>
          <w:lang w:val="es-ES_tradnl"/>
        </w:rPr>
        <w:t>a establecida en el art</w:t>
      </w:r>
      <w:r>
        <w:rPr>
          <w:rFonts w:cs="Times New Roman"/>
          <w:b/>
          <w:bCs/>
          <w:spacing w:val="-7"/>
          <w:sz w:val="18"/>
          <w:szCs w:val="18"/>
          <w:lang w:val="es-ES_tradnl"/>
        </w:rPr>
        <w:t>í</w:t>
      </w:r>
      <w:r>
        <w:rPr>
          <w:b/>
          <w:bCs/>
          <w:spacing w:val="-7"/>
          <w:sz w:val="18"/>
          <w:szCs w:val="18"/>
          <w:lang w:val="es-ES_tradnl"/>
        </w:rPr>
        <w:t xml:space="preserve">culo 76 numeral 1 </w:t>
      </w:r>
      <w:r>
        <w:rPr>
          <w:b/>
          <w:bCs/>
          <w:spacing w:val="-9"/>
          <w:sz w:val="18"/>
          <w:szCs w:val="18"/>
          <w:lang w:val="es-ES_tradnl"/>
        </w:rPr>
        <w:t>de la Constituci</w:t>
      </w:r>
      <w:r>
        <w:rPr>
          <w:rFonts w:cs="Times New Roman"/>
          <w:b/>
          <w:bCs/>
          <w:spacing w:val="-9"/>
          <w:sz w:val="18"/>
          <w:szCs w:val="18"/>
          <w:lang w:val="es-ES_tradnl"/>
        </w:rPr>
        <w:t>ó</w:t>
      </w:r>
      <w:r>
        <w:rPr>
          <w:b/>
          <w:bCs/>
          <w:spacing w:val="-9"/>
          <w:sz w:val="18"/>
          <w:szCs w:val="18"/>
          <w:lang w:val="es-ES_tradnl"/>
        </w:rPr>
        <w:t>n de la Republica?</w:t>
      </w:r>
    </w:p>
    <w:p w14:paraId="4F67BA1E" w14:textId="77777777" w:rsidR="00591D54" w:rsidRDefault="00591D54" w:rsidP="00251195">
      <w:pPr>
        <w:numPr>
          <w:ilvl w:val="0"/>
          <w:numId w:val="119"/>
        </w:numPr>
        <w:shd w:val="clear" w:color="auto" w:fill="FFFFFF"/>
        <w:tabs>
          <w:tab w:val="left" w:pos="566"/>
        </w:tabs>
        <w:spacing w:before="187" w:line="211" w:lineRule="exact"/>
        <w:ind w:left="566" w:hanging="283"/>
        <w:jc w:val="both"/>
        <w:rPr>
          <w:b/>
          <w:bCs/>
          <w:spacing w:val="-9"/>
          <w:sz w:val="18"/>
          <w:szCs w:val="18"/>
          <w:lang w:val="es-ES_tradnl"/>
        </w:rPr>
      </w:pPr>
      <w:r>
        <w:rPr>
          <w:b/>
          <w:bCs/>
          <w:spacing w:val="-8"/>
          <w:sz w:val="18"/>
          <w:szCs w:val="18"/>
          <w:lang w:val="es-ES_tradnl"/>
        </w:rPr>
        <w:t xml:space="preserve">La sentencia dictada el 31 de agosto de 2011 a las 17h21, por los jueces de la Sala </w:t>
      </w:r>
      <w:r>
        <w:rPr>
          <w:rFonts w:cs="Times New Roman"/>
          <w:b/>
          <w:bCs/>
          <w:spacing w:val="-8"/>
          <w:sz w:val="18"/>
          <w:szCs w:val="18"/>
          <w:lang w:val="es-ES_tradnl"/>
        </w:rPr>
        <w:t>Ú</w:t>
      </w:r>
      <w:r>
        <w:rPr>
          <w:b/>
          <w:bCs/>
          <w:spacing w:val="-8"/>
          <w:sz w:val="18"/>
          <w:szCs w:val="18"/>
          <w:lang w:val="es-ES_tradnl"/>
        </w:rPr>
        <w:t xml:space="preserve">nica de la </w:t>
      </w:r>
      <w:r>
        <w:rPr>
          <w:b/>
          <w:bCs/>
          <w:spacing w:val="-6"/>
          <w:sz w:val="18"/>
          <w:szCs w:val="18"/>
          <w:lang w:val="es-ES_tradnl"/>
        </w:rPr>
        <w:t xml:space="preserve">Corte Provincial de Justicia de Santa Elena, </w:t>
      </w:r>
      <w:r>
        <w:rPr>
          <w:b/>
          <w:bCs/>
          <w:spacing w:val="-10"/>
          <w:sz w:val="18"/>
          <w:szCs w:val="18"/>
          <w:lang w:val="es-ES_tradnl"/>
        </w:rPr>
        <w:t>dentro de la acci</w:t>
      </w:r>
      <w:r>
        <w:rPr>
          <w:rFonts w:cs="Times New Roman"/>
          <w:b/>
          <w:bCs/>
          <w:spacing w:val="-10"/>
          <w:sz w:val="18"/>
          <w:szCs w:val="18"/>
          <w:lang w:val="es-ES_tradnl"/>
        </w:rPr>
        <w:t>ó</w:t>
      </w:r>
      <w:r>
        <w:rPr>
          <w:b/>
          <w:bCs/>
          <w:spacing w:val="-10"/>
          <w:sz w:val="18"/>
          <w:szCs w:val="18"/>
          <w:lang w:val="es-ES_tradnl"/>
        </w:rPr>
        <w:t>n de protecci</w:t>
      </w:r>
      <w:r>
        <w:rPr>
          <w:rFonts w:cs="Times New Roman"/>
          <w:b/>
          <w:bCs/>
          <w:spacing w:val="-10"/>
          <w:sz w:val="18"/>
          <w:szCs w:val="18"/>
          <w:lang w:val="es-ES_tradnl"/>
        </w:rPr>
        <w:t>ó</w:t>
      </w:r>
      <w:r>
        <w:rPr>
          <w:b/>
          <w:bCs/>
          <w:spacing w:val="-10"/>
          <w:sz w:val="18"/>
          <w:szCs w:val="18"/>
          <w:lang w:val="es-ES_tradnl"/>
        </w:rPr>
        <w:t>n N.</w:t>
      </w:r>
      <w:r>
        <w:rPr>
          <w:rFonts w:cs="Times New Roman"/>
          <w:b/>
          <w:bCs/>
          <w:spacing w:val="-10"/>
          <w:sz w:val="18"/>
          <w:szCs w:val="18"/>
          <w:lang w:val="es-ES_tradnl"/>
        </w:rPr>
        <w:t>º</w:t>
      </w:r>
      <w:r>
        <w:rPr>
          <w:b/>
          <w:bCs/>
          <w:spacing w:val="-10"/>
          <w:sz w:val="18"/>
          <w:szCs w:val="18"/>
          <w:lang w:val="es-ES_tradnl"/>
        </w:rPr>
        <w:t xml:space="preserve"> 368-2010-2, </w:t>
      </w:r>
      <w:r>
        <w:rPr>
          <w:rFonts w:cs="Times New Roman"/>
          <w:b/>
          <w:bCs/>
          <w:spacing w:val="-11"/>
          <w:sz w:val="18"/>
          <w:szCs w:val="18"/>
          <w:lang w:val="es-ES_tradnl"/>
        </w:rPr>
        <w:t>¿</w:t>
      </w:r>
      <w:r>
        <w:rPr>
          <w:b/>
          <w:bCs/>
          <w:spacing w:val="-11"/>
          <w:sz w:val="18"/>
          <w:szCs w:val="18"/>
          <w:lang w:val="es-ES_tradnl"/>
        </w:rPr>
        <w:t xml:space="preserve">vulnera el derecho constitucional a la seguridad </w:t>
      </w:r>
      <w:r>
        <w:rPr>
          <w:b/>
          <w:bCs/>
          <w:sz w:val="18"/>
          <w:szCs w:val="18"/>
          <w:lang w:val="es-ES_tradnl"/>
        </w:rPr>
        <w:t>jur</w:t>
      </w:r>
      <w:r>
        <w:rPr>
          <w:rFonts w:cs="Times New Roman"/>
          <w:b/>
          <w:bCs/>
          <w:sz w:val="18"/>
          <w:szCs w:val="18"/>
          <w:lang w:val="es-ES_tradnl"/>
        </w:rPr>
        <w:t>í</w:t>
      </w:r>
      <w:r>
        <w:rPr>
          <w:b/>
          <w:bCs/>
          <w:sz w:val="18"/>
          <w:szCs w:val="18"/>
          <w:lang w:val="es-ES_tradnl"/>
        </w:rPr>
        <w:t>dica?</w:t>
      </w:r>
    </w:p>
    <w:p w14:paraId="4F67BA1F" w14:textId="77777777" w:rsidR="00591D54" w:rsidRDefault="00591D54">
      <w:pPr>
        <w:shd w:val="clear" w:color="auto" w:fill="FFFFFF"/>
        <w:spacing w:before="192"/>
      </w:pPr>
      <w:r>
        <w:rPr>
          <w:b/>
          <w:bCs/>
          <w:spacing w:val="-10"/>
          <w:sz w:val="18"/>
          <w:szCs w:val="18"/>
          <w:lang w:val="es-ES_tradnl"/>
        </w:rPr>
        <w:t>Resoluci</w:t>
      </w:r>
      <w:r>
        <w:rPr>
          <w:rFonts w:cs="Times New Roman"/>
          <w:b/>
          <w:bCs/>
          <w:spacing w:val="-10"/>
          <w:sz w:val="18"/>
          <w:szCs w:val="18"/>
          <w:lang w:val="es-ES_tradnl"/>
        </w:rPr>
        <w:t>ó</w:t>
      </w:r>
      <w:r>
        <w:rPr>
          <w:b/>
          <w:bCs/>
          <w:spacing w:val="-10"/>
          <w:sz w:val="18"/>
          <w:szCs w:val="18"/>
          <w:lang w:val="es-ES_tradnl"/>
        </w:rPr>
        <w:t>n de los problemas jur</w:t>
      </w:r>
      <w:r>
        <w:rPr>
          <w:rFonts w:cs="Times New Roman"/>
          <w:b/>
          <w:bCs/>
          <w:spacing w:val="-10"/>
          <w:sz w:val="18"/>
          <w:szCs w:val="18"/>
          <w:lang w:val="es-ES_tradnl"/>
        </w:rPr>
        <w:t>í</w:t>
      </w:r>
      <w:r>
        <w:rPr>
          <w:b/>
          <w:bCs/>
          <w:spacing w:val="-10"/>
          <w:sz w:val="18"/>
          <w:szCs w:val="18"/>
          <w:lang w:val="es-ES_tradnl"/>
        </w:rPr>
        <w:t>dicos</w:t>
      </w:r>
    </w:p>
    <w:p w14:paraId="4F67BA20" w14:textId="77777777" w:rsidR="00591D54" w:rsidRDefault="00591D54">
      <w:pPr>
        <w:shd w:val="clear" w:color="auto" w:fill="FFFFFF"/>
        <w:spacing w:before="187" w:line="211" w:lineRule="exact"/>
        <w:jc w:val="both"/>
      </w:pPr>
      <w:r>
        <w:rPr>
          <w:spacing w:val="-9"/>
          <w:sz w:val="18"/>
          <w:szCs w:val="18"/>
          <w:lang w:val="es-ES_tradnl"/>
        </w:rPr>
        <w:t>En el presente caso, la pretensi</w:t>
      </w:r>
      <w:r>
        <w:rPr>
          <w:rFonts w:cs="Times New Roman"/>
          <w:spacing w:val="-9"/>
          <w:sz w:val="18"/>
          <w:szCs w:val="18"/>
          <w:lang w:val="es-ES_tradnl"/>
        </w:rPr>
        <w:t>ó</w:t>
      </w:r>
      <w:r>
        <w:rPr>
          <w:spacing w:val="-9"/>
          <w:sz w:val="18"/>
          <w:szCs w:val="18"/>
          <w:lang w:val="es-ES_tradnl"/>
        </w:rPr>
        <w:t xml:space="preserve">n de los legitimados activos se refiere a que se deje sin efecto la sentencia dictada el 31 </w:t>
      </w:r>
      <w:r>
        <w:rPr>
          <w:spacing w:val="-8"/>
          <w:sz w:val="18"/>
          <w:szCs w:val="18"/>
          <w:lang w:val="es-ES_tradnl"/>
        </w:rPr>
        <w:t xml:space="preserve">de agosto de 2011 a las 17h21, por los jueces de la Sala </w:t>
      </w:r>
      <w:r>
        <w:rPr>
          <w:rFonts w:cs="Times New Roman"/>
          <w:spacing w:val="-5"/>
          <w:sz w:val="18"/>
          <w:szCs w:val="18"/>
          <w:lang w:val="es-ES_tradnl"/>
        </w:rPr>
        <w:t>Ú</w:t>
      </w:r>
      <w:r>
        <w:rPr>
          <w:spacing w:val="-5"/>
          <w:sz w:val="18"/>
          <w:szCs w:val="18"/>
          <w:lang w:val="es-ES_tradnl"/>
        </w:rPr>
        <w:t xml:space="preserve">nica de la Corte Provincial de Justicia de Santa Elena, </w:t>
      </w:r>
      <w:r>
        <w:rPr>
          <w:spacing w:val="-6"/>
          <w:sz w:val="18"/>
          <w:szCs w:val="18"/>
          <w:lang w:val="es-ES_tradnl"/>
        </w:rPr>
        <w:t>dentro de la acci</w:t>
      </w:r>
      <w:r>
        <w:rPr>
          <w:rFonts w:cs="Times New Roman"/>
          <w:spacing w:val="-6"/>
          <w:sz w:val="18"/>
          <w:szCs w:val="18"/>
          <w:lang w:val="es-ES_tradnl"/>
        </w:rPr>
        <w:t>ó</w:t>
      </w:r>
      <w:r>
        <w:rPr>
          <w:spacing w:val="-6"/>
          <w:sz w:val="18"/>
          <w:szCs w:val="18"/>
          <w:lang w:val="es-ES_tradnl"/>
        </w:rPr>
        <w:t>n de protecci</w:t>
      </w:r>
      <w:r>
        <w:rPr>
          <w:rFonts w:cs="Times New Roman"/>
          <w:spacing w:val="-6"/>
          <w:sz w:val="18"/>
          <w:szCs w:val="18"/>
          <w:lang w:val="es-ES_tradnl"/>
        </w:rPr>
        <w:t>ó</w:t>
      </w:r>
      <w:r>
        <w:rPr>
          <w:spacing w:val="-6"/>
          <w:sz w:val="18"/>
          <w:szCs w:val="18"/>
          <w:lang w:val="es-ES_tradnl"/>
        </w:rPr>
        <w:t>n N.</w:t>
      </w:r>
      <w:r>
        <w:rPr>
          <w:rFonts w:cs="Times New Roman"/>
          <w:spacing w:val="-6"/>
          <w:sz w:val="18"/>
          <w:szCs w:val="18"/>
          <w:lang w:val="es-ES_tradnl"/>
        </w:rPr>
        <w:t>º</w:t>
      </w:r>
      <w:r>
        <w:rPr>
          <w:spacing w:val="-6"/>
          <w:sz w:val="18"/>
          <w:szCs w:val="18"/>
          <w:lang w:val="es-ES_tradnl"/>
        </w:rPr>
        <w:t xml:space="preserve"> 368-2010-2, porque </w:t>
      </w:r>
      <w:r>
        <w:rPr>
          <w:spacing w:val="-7"/>
          <w:sz w:val="18"/>
          <w:szCs w:val="18"/>
          <w:lang w:val="es-ES_tradnl"/>
        </w:rPr>
        <w:t>a su criterio, al aceptar la referida acci</w:t>
      </w:r>
      <w:r>
        <w:rPr>
          <w:rFonts w:cs="Times New Roman"/>
          <w:spacing w:val="-7"/>
          <w:sz w:val="18"/>
          <w:szCs w:val="18"/>
          <w:lang w:val="es-ES_tradnl"/>
        </w:rPr>
        <w:t>ó</w:t>
      </w:r>
      <w:r>
        <w:rPr>
          <w:spacing w:val="-7"/>
          <w:sz w:val="18"/>
          <w:szCs w:val="18"/>
          <w:lang w:val="es-ES_tradnl"/>
        </w:rPr>
        <w:t>n de protecci</w:t>
      </w:r>
      <w:r>
        <w:rPr>
          <w:rFonts w:cs="Times New Roman"/>
          <w:spacing w:val="-7"/>
          <w:sz w:val="18"/>
          <w:szCs w:val="18"/>
          <w:lang w:val="es-ES_tradnl"/>
        </w:rPr>
        <w:t>ó</w:t>
      </w:r>
      <w:r>
        <w:rPr>
          <w:spacing w:val="-7"/>
          <w:sz w:val="18"/>
          <w:szCs w:val="18"/>
          <w:lang w:val="es-ES_tradnl"/>
        </w:rPr>
        <w:t xml:space="preserve">n, se </w:t>
      </w:r>
      <w:r>
        <w:rPr>
          <w:spacing w:val="-8"/>
          <w:sz w:val="18"/>
          <w:szCs w:val="18"/>
          <w:lang w:val="es-ES_tradnl"/>
        </w:rPr>
        <w:t xml:space="preserve">vulneraron los derechos constitucionales al debido proceso </w:t>
      </w:r>
      <w:r>
        <w:rPr>
          <w:spacing w:val="-11"/>
          <w:sz w:val="18"/>
          <w:szCs w:val="18"/>
          <w:lang w:val="es-ES_tradnl"/>
        </w:rPr>
        <w:t>y a la seguridad jur</w:t>
      </w:r>
      <w:r>
        <w:rPr>
          <w:rFonts w:cs="Times New Roman"/>
          <w:spacing w:val="-11"/>
          <w:sz w:val="18"/>
          <w:szCs w:val="18"/>
          <w:lang w:val="es-ES_tradnl"/>
        </w:rPr>
        <w:t>í</w:t>
      </w:r>
      <w:r>
        <w:rPr>
          <w:spacing w:val="-11"/>
          <w:sz w:val="18"/>
          <w:szCs w:val="18"/>
          <w:lang w:val="es-ES_tradnl"/>
        </w:rPr>
        <w:t>dica, en tanto, no se respet</w:t>
      </w:r>
      <w:r>
        <w:rPr>
          <w:rFonts w:cs="Times New Roman"/>
          <w:spacing w:val="-11"/>
          <w:sz w:val="18"/>
          <w:szCs w:val="18"/>
          <w:lang w:val="es-ES_tradnl"/>
        </w:rPr>
        <w:t>ó</w:t>
      </w:r>
      <w:r>
        <w:rPr>
          <w:spacing w:val="-11"/>
          <w:sz w:val="18"/>
          <w:szCs w:val="18"/>
          <w:lang w:val="es-ES_tradnl"/>
        </w:rPr>
        <w:t xml:space="preserve"> la autonom</w:t>
      </w:r>
      <w:r>
        <w:rPr>
          <w:rFonts w:cs="Times New Roman"/>
          <w:spacing w:val="-11"/>
          <w:sz w:val="18"/>
          <w:szCs w:val="18"/>
          <w:lang w:val="es-ES_tradnl"/>
        </w:rPr>
        <w:t>í</w:t>
      </w:r>
      <w:r>
        <w:rPr>
          <w:spacing w:val="-11"/>
          <w:sz w:val="18"/>
          <w:szCs w:val="18"/>
          <w:lang w:val="es-ES_tradnl"/>
        </w:rPr>
        <w:t xml:space="preserve">a </w:t>
      </w:r>
      <w:r>
        <w:rPr>
          <w:spacing w:val="-8"/>
          <w:sz w:val="18"/>
          <w:szCs w:val="18"/>
          <w:lang w:val="es-ES_tradnl"/>
        </w:rPr>
        <w:t>administrativa del Gobierno Aut</w:t>
      </w:r>
      <w:r>
        <w:rPr>
          <w:rFonts w:cs="Times New Roman"/>
          <w:spacing w:val="-8"/>
          <w:sz w:val="18"/>
          <w:szCs w:val="18"/>
          <w:lang w:val="es-ES_tradnl"/>
        </w:rPr>
        <w:t>ó</w:t>
      </w:r>
      <w:r>
        <w:rPr>
          <w:spacing w:val="-8"/>
          <w:sz w:val="18"/>
          <w:szCs w:val="18"/>
          <w:lang w:val="es-ES_tradnl"/>
        </w:rPr>
        <w:t xml:space="preserve">nomo Descentralizado del </w:t>
      </w:r>
      <w:r>
        <w:rPr>
          <w:spacing w:val="-7"/>
          <w:sz w:val="18"/>
          <w:szCs w:val="18"/>
          <w:lang w:val="es-ES_tradnl"/>
        </w:rPr>
        <w:t>cant</w:t>
      </w:r>
      <w:r>
        <w:rPr>
          <w:rFonts w:cs="Times New Roman"/>
          <w:spacing w:val="-7"/>
          <w:sz w:val="18"/>
          <w:szCs w:val="18"/>
          <w:lang w:val="es-ES_tradnl"/>
        </w:rPr>
        <w:t>ó</w:t>
      </w:r>
      <w:r>
        <w:rPr>
          <w:spacing w:val="-7"/>
          <w:sz w:val="18"/>
          <w:szCs w:val="18"/>
          <w:lang w:val="es-ES_tradnl"/>
        </w:rPr>
        <w:t>n La Libertad en el ejercicio de sus funciones.</w:t>
      </w:r>
    </w:p>
    <w:p w14:paraId="4F67BA21" w14:textId="77777777" w:rsidR="00591D54" w:rsidRDefault="00591D54">
      <w:pPr>
        <w:shd w:val="clear" w:color="auto" w:fill="FFFFFF"/>
        <w:spacing w:before="187" w:line="211" w:lineRule="exact"/>
        <w:ind w:left="283" w:hanging="283"/>
        <w:jc w:val="both"/>
      </w:pPr>
      <w:r>
        <w:rPr>
          <w:b/>
          <w:bCs/>
          <w:spacing w:val="-7"/>
          <w:sz w:val="18"/>
          <w:szCs w:val="18"/>
          <w:lang w:val="es-ES_tradnl"/>
        </w:rPr>
        <w:t xml:space="preserve">1. La sentencia dictada el 31 de agosto de 2011 a las 17h21, por los jueces de la Sala </w:t>
      </w:r>
      <w:r>
        <w:rPr>
          <w:rFonts w:cs="Times New Roman"/>
          <w:b/>
          <w:bCs/>
          <w:spacing w:val="-7"/>
          <w:sz w:val="18"/>
          <w:szCs w:val="18"/>
          <w:lang w:val="es-ES_tradnl"/>
        </w:rPr>
        <w:t>Ú</w:t>
      </w:r>
      <w:r>
        <w:rPr>
          <w:b/>
          <w:bCs/>
          <w:spacing w:val="-7"/>
          <w:sz w:val="18"/>
          <w:szCs w:val="18"/>
          <w:lang w:val="es-ES_tradnl"/>
        </w:rPr>
        <w:t>nica de la Corte Provincial de Justicia de Santa Elena, dentro de la acci</w:t>
      </w:r>
      <w:r>
        <w:rPr>
          <w:rFonts w:cs="Times New Roman"/>
          <w:b/>
          <w:bCs/>
          <w:spacing w:val="-7"/>
          <w:sz w:val="18"/>
          <w:szCs w:val="18"/>
          <w:lang w:val="es-ES_tradnl"/>
        </w:rPr>
        <w:t>ó</w:t>
      </w:r>
      <w:r>
        <w:rPr>
          <w:b/>
          <w:bCs/>
          <w:spacing w:val="-7"/>
          <w:sz w:val="18"/>
          <w:szCs w:val="18"/>
          <w:lang w:val="es-ES_tradnl"/>
        </w:rPr>
        <w:t>n de protecci</w:t>
      </w:r>
      <w:r>
        <w:rPr>
          <w:rFonts w:cs="Times New Roman"/>
          <w:b/>
          <w:bCs/>
          <w:spacing w:val="-7"/>
          <w:sz w:val="18"/>
          <w:szCs w:val="18"/>
          <w:lang w:val="es-ES_tradnl"/>
        </w:rPr>
        <w:t>ó</w:t>
      </w:r>
      <w:r>
        <w:rPr>
          <w:b/>
          <w:bCs/>
          <w:spacing w:val="-7"/>
          <w:sz w:val="18"/>
          <w:szCs w:val="18"/>
          <w:lang w:val="es-ES_tradnl"/>
        </w:rPr>
        <w:t>n N.</w:t>
      </w:r>
      <w:r>
        <w:rPr>
          <w:rFonts w:cs="Times New Roman"/>
          <w:b/>
          <w:bCs/>
          <w:spacing w:val="-7"/>
          <w:sz w:val="18"/>
          <w:szCs w:val="18"/>
          <w:lang w:val="es-ES_tradnl"/>
        </w:rPr>
        <w:t>º</w:t>
      </w:r>
      <w:r>
        <w:rPr>
          <w:b/>
          <w:bCs/>
          <w:spacing w:val="-7"/>
          <w:sz w:val="18"/>
          <w:szCs w:val="18"/>
          <w:lang w:val="es-ES_tradnl"/>
        </w:rPr>
        <w:t xml:space="preserve"> 368-2010-2, </w:t>
      </w:r>
      <w:r>
        <w:rPr>
          <w:rFonts w:cs="Times New Roman"/>
          <w:b/>
          <w:bCs/>
          <w:spacing w:val="-7"/>
          <w:sz w:val="18"/>
          <w:szCs w:val="18"/>
          <w:lang w:val="es-ES_tradnl"/>
        </w:rPr>
        <w:t>¿</w:t>
      </w:r>
      <w:r>
        <w:rPr>
          <w:b/>
          <w:bCs/>
          <w:spacing w:val="-7"/>
          <w:sz w:val="18"/>
          <w:szCs w:val="18"/>
          <w:lang w:val="es-ES_tradnl"/>
        </w:rPr>
        <w:t xml:space="preserve">vulnera el </w:t>
      </w:r>
      <w:r>
        <w:rPr>
          <w:b/>
          <w:bCs/>
          <w:spacing w:val="-11"/>
          <w:sz w:val="18"/>
          <w:szCs w:val="18"/>
          <w:lang w:val="es-ES_tradnl"/>
        </w:rPr>
        <w:t>derecho al debido proceso en la garant</w:t>
      </w:r>
      <w:r>
        <w:rPr>
          <w:rFonts w:cs="Times New Roman"/>
          <w:b/>
          <w:bCs/>
          <w:spacing w:val="-11"/>
          <w:sz w:val="18"/>
          <w:szCs w:val="18"/>
          <w:lang w:val="es-ES_tradnl"/>
        </w:rPr>
        <w:t>í</w:t>
      </w:r>
      <w:r>
        <w:rPr>
          <w:b/>
          <w:bCs/>
          <w:spacing w:val="-11"/>
          <w:sz w:val="18"/>
          <w:szCs w:val="18"/>
          <w:lang w:val="es-ES_tradnl"/>
        </w:rPr>
        <w:t xml:space="preserve">a establecida </w:t>
      </w:r>
      <w:r>
        <w:rPr>
          <w:b/>
          <w:bCs/>
          <w:spacing w:val="-7"/>
          <w:sz w:val="18"/>
          <w:szCs w:val="18"/>
          <w:lang w:val="es-ES_tradnl"/>
        </w:rPr>
        <w:t>en el art</w:t>
      </w:r>
      <w:r>
        <w:rPr>
          <w:rFonts w:cs="Times New Roman"/>
          <w:b/>
          <w:bCs/>
          <w:spacing w:val="-7"/>
          <w:sz w:val="18"/>
          <w:szCs w:val="18"/>
          <w:lang w:val="es-ES_tradnl"/>
        </w:rPr>
        <w:t>í</w:t>
      </w:r>
      <w:r>
        <w:rPr>
          <w:b/>
          <w:bCs/>
          <w:spacing w:val="-7"/>
          <w:sz w:val="18"/>
          <w:szCs w:val="18"/>
          <w:lang w:val="es-ES_tradnl"/>
        </w:rPr>
        <w:t>culo 76 numeral 1 de la Constituci</w:t>
      </w:r>
      <w:r>
        <w:rPr>
          <w:rFonts w:cs="Times New Roman"/>
          <w:b/>
          <w:bCs/>
          <w:spacing w:val="-7"/>
          <w:sz w:val="18"/>
          <w:szCs w:val="18"/>
          <w:lang w:val="es-ES_tradnl"/>
        </w:rPr>
        <w:t>ó</w:t>
      </w:r>
      <w:r>
        <w:rPr>
          <w:b/>
          <w:bCs/>
          <w:spacing w:val="-7"/>
          <w:sz w:val="18"/>
          <w:szCs w:val="18"/>
          <w:lang w:val="es-ES_tradnl"/>
        </w:rPr>
        <w:t xml:space="preserve">n de la </w:t>
      </w:r>
      <w:r>
        <w:rPr>
          <w:b/>
          <w:bCs/>
          <w:sz w:val="18"/>
          <w:szCs w:val="18"/>
          <w:lang w:val="es-ES_tradnl"/>
        </w:rPr>
        <w:t>Republica?</w:t>
      </w:r>
    </w:p>
    <w:p w14:paraId="4F67BA22" w14:textId="77777777" w:rsidR="00591D54" w:rsidRDefault="00591D54">
      <w:pPr>
        <w:shd w:val="clear" w:color="auto" w:fill="FFFFFF"/>
        <w:spacing w:before="192" w:line="211" w:lineRule="exact"/>
        <w:jc w:val="both"/>
      </w:pPr>
      <w:r>
        <w:rPr>
          <w:spacing w:val="-3"/>
          <w:sz w:val="18"/>
          <w:szCs w:val="18"/>
          <w:lang w:val="es-ES_tradnl"/>
        </w:rPr>
        <w:t xml:space="preserve">Los accionantes expresan que en la sentencia materia </w:t>
      </w:r>
      <w:r>
        <w:rPr>
          <w:spacing w:val="-5"/>
          <w:sz w:val="18"/>
          <w:szCs w:val="18"/>
          <w:lang w:val="es-ES_tradnl"/>
        </w:rPr>
        <w:t>de la impugnaci</w:t>
      </w:r>
      <w:r>
        <w:rPr>
          <w:rFonts w:cs="Times New Roman"/>
          <w:spacing w:val="-5"/>
          <w:sz w:val="18"/>
          <w:szCs w:val="18"/>
          <w:lang w:val="es-ES_tradnl"/>
        </w:rPr>
        <w:t>ó</w:t>
      </w:r>
      <w:r>
        <w:rPr>
          <w:spacing w:val="-5"/>
          <w:sz w:val="18"/>
          <w:szCs w:val="18"/>
          <w:lang w:val="es-ES_tradnl"/>
        </w:rPr>
        <w:t xml:space="preserve">n se ha vulnerado el debido proceso </w:t>
      </w:r>
      <w:r>
        <w:rPr>
          <w:spacing w:val="-10"/>
          <w:sz w:val="18"/>
          <w:szCs w:val="18"/>
          <w:lang w:val="es-ES_tradnl"/>
        </w:rPr>
        <w:t>espec</w:t>
      </w:r>
      <w:r>
        <w:rPr>
          <w:rFonts w:cs="Times New Roman"/>
          <w:spacing w:val="-10"/>
          <w:sz w:val="18"/>
          <w:szCs w:val="18"/>
          <w:lang w:val="es-ES_tradnl"/>
        </w:rPr>
        <w:t>í</w:t>
      </w:r>
      <w:r>
        <w:rPr>
          <w:spacing w:val="-10"/>
          <w:sz w:val="18"/>
          <w:szCs w:val="18"/>
          <w:lang w:val="es-ES_tradnl"/>
        </w:rPr>
        <w:t>ficamente, en el derecho establecido en el art</w:t>
      </w:r>
      <w:r>
        <w:rPr>
          <w:rFonts w:cs="Times New Roman"/>
          <w:spacing w:val="-10"/>
          <w:sz w:val="18"/>
          <w:szCs w:val="18"/>
          <w:lang w:val="es-ES_tradnl"/>
        </w:rPr>
        <w:t>í</w:t>
      </w:r>
      <w:r>
        <w:rPr>
          <w:spacing w:val="-10"/>
          <w:sz w:val="18"/>
          <w:szCs w:val="18"/>
          <w:lang w:val="es-ES_tradnl"/>
        </w:rPr>
        <w:t xml:space="preserve">culo 76 </w:t>
      </w:r>
      <w:r>
        <w:rPr>
          <w:spacing w:val="-9"/>
          <w:sz w:val="18"/>
          <w:szCs w:val="18"/>
          <w:lang w:val="es-ES_tradnl"/>
        </w:rPr>
        <w:t>numeral 1 de la Constituci</w:t>
      </w:r>
      <w:r>
        <w:rPr>
          <w:rFonts w:cs="Times New Roman"/>
          <w:spacing w:val="-9"/>
          <w:sz w:val="18"/>
          <w:szCs w:val="18"/>
          <w:lang w:val="es-ES_tradnl"/>
        </w:rPr>
        <w:t>ó</w:t>
      </w:r>
      <w:r>
        <w:rPr>
          <w:spacing w:val="-9"/>
          <w:sz w:val="18"/>
          <w:szCs w:val="18"/>
          <w:lang w:val="es-ES_tradnl"/>
        </w:rPr>
        <w:t>n de la Rep</w:t>
      </w:r>
      <w:r>
        <w:rPr>
          <w:rFonts w:cs="Times New Roman"/>
          <w:spacing w:val="-9"/>
          <w:sz w:val="18"/>
          <w:szCs w:val="18"/>
          <w:lang w:val="es-ES_tradnl"/>
        </w:rPr>
        <w:t>ú</w:t>
      </w:r>
      <w:r>
        <w:rPr>
          <w:spacing w:val="-9"/>
          <w:sz w:val="18"/>
          <w:szCs w:val="18"/>
          <w:lang w:val="es-ES_tradnl"/>
        </w:rPr>
        <w:t xml:space="preserve">blica que establece </w:t>
      </w:r>
      <w:r>
        <w:rPr>
          <w:spacing w:val="-7"/>
          <w:sz w:val="18"/>
          <w:szCs w:val="18"/>
          <w:lang w:val="es-ES_tradnl"/>
        </w:rPr>
        <w:t xml:space="preserve">que corresponde a toda autoridad administrativa o judicial </w:t>
      </w:r>
      <w:r>
        <w:rPr>
          <w:spacing w:val="-9"/>
          <w:sz w:val="18"/>
          <w:szCs w:val="18"/>
          <w:lang w:val="es-ES_tradnl"/>
        </w:rPr>
        <w:t xml:space="preserve">garantizar el cumplimiento de las normas y los derechos de </w:t>
      </w:r>
      <w:r>
        <w:rPr>
          <w:sz w:val="18"/>
          <w:szCs w:val="18"/>
          <w:lang w:val="es-ES_tradnl"/>
        </w:rPr>
        <w:t>las partes.</w:t>
      </w:r>
    </w:p>
    <w:p w14:paraId="4F67BA23" w14:textId="77777777" w:rsidR="00591D54" w:rsidRDefault="00591D54">
      <w:pPr>
        <w:shd w:val="clear" w:color="auto" w:fill="FFFFFF"/>
        <w:spacing w:before="192" w:line="211" w:lineRule="exact"/>
        <w:jc w:val="both"/>
      </w:pPr>
      <w:r>
        <w:rPr>
          <w:spacing w:val="-8"/>
          <w:sz w:val="18"/>
          <w:szCs w:val="18"/>
          <w:lang w:val="es-ES_tradnl"/>
        </w:rPr>
        <w:t>La alegaci</w:t>
      </w:r>
      <w:r>
        <w:rPr>
          <w:rFonts w:cs="Times New Roman"/>
          <w:spacing w:val="-8"/>
          <w:sz w:val="18"/>
          <w:szCs w:val="18"/>
          <w:lang w:val="es-ES_tradnl"/>
        </w:rPr>
        <w:t>ó</w:t>
      </w:r>
      <w:r>
        <w:rPr>
          <w:spacing w:val="-8"/>
          <w:sz w:val="18"/>
          <w:szCs w:val="18"/>
          <w:lang w:val="es-ES_tradnl"/>
        </w:rPr>
        <w:t xml:space="preserve">n realizada por los legitimados activos respecto </w:t>
      </w:r>
      <w:r>
        <w:rPr>
          <w:spacing w:val="-7"/>
          <w:sz w:val="18"/>
          <w:szCs w:val="18"/>
          <w:lang w:val="es-ES_tradnl"/>
        </w:rPr>
        <w:t xml:space="preserve">del derecho constitucional antes enunciado, tiene estricta </w:t>
      </w:r>
      <w:r>
        <w:rPr>
          <w:spacing w:val="-5"/>
          <w:sz w:val="18"/>
          <w:szCs w:val="18"/>
          <w:lang w:val="es-ES_tradnl"/>
        </w:rPr>
        <w:t>relaci</w:t>
      </w:r>
      <w:r>
        <w:rPr>
          <w:rFonts w:cs="Times New Roman"/>
          <w:spacing w:val="-5"/>
          <w:sz w:val="18"/>
          <w:szCs w:val="18"/>
          <w:lang w:val="es-ES_tradnl"/>
        </w:rPr>
        <w:t>ó</w:t>
      </w:r>
      <w:r>
        <w:rPr>
          <w:spacing w:val="-5"/>
          <w:sz w:val="18"/>
          <w:szCs w:val="18"/>
          <w:lang w:val="es-ES_tradnl"/>
        </w:rPr>
        <w:t xml:space="preserve">n con el derecho al debido proceso, en tanto, </w:t>
      </w:r>
      <w:r>
        <w:rPr>
          <w:spacing w:val="-6"/>
          <w:sz w:val="18"/>
          <w:szCs w:val="18"/>
          <w:lang w:val="es-ES_tradnl"/>
        </w:rPr>
        <w:t xml:space="preserve">consideran, que no se ha garantizado el cumplimiento de </w:t>
      </w:r>
      <w:r>
        <w:rPr>
          <w:spacing w:val="-9"/>
          <w:sz w:val="18"/>
          <w:szCs w:val="18"/>
          <w:lang w:val="es-ES_tradnl"/>
        </w:rPr>
        <w:t>las normas preestablecidas para el caso concreto.</w:t>
      </w:r>
    </w:p>
    <w:p w14:paraId="4F67BA24" w14:textId="77777777" w:rsidR="00591D54" w:rsidRDefault="00591D54">
      <w:pPr>
        <w:shd w:val="clear" w:color="auto" w:fill="FFFFFF"/>
        <w:spacing w:before="192" w:line="211" w:lineRule="exact"/>
        <w:jc w:val="both"/>
      </w:pPr>
      <w:r>
        <w:rPr>
          <w:spacing w:val="-5"/>
          <w:sz w:val="18"/>
          <w:szCs w:val="18"/>
          <w:lang w:val="es-ES_tradnl"/>
        </w:rPr>
        <w:t>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blica en su art</w:t>
      </w:r>
      <w:r>
        <w:rPr>
          <w:rFonts w:cs="Times New Roman"/>
          <w:spacing w:val="-5"/>
          <w:sz w:val="18"/>
          <w:szCs w:val="18"/>
          <w:lang w:val="es-ES_tradnl"/>
        </w:rPr>
        <w:t>í</w:t>
      </w:r>
      <w:r>
        <w:rPr>
          <w:spacing w:val="-5"/>
          <w:sz w:val="18"/>
          <w:szCs w:val="18"/>
          <w:lang w:val="es-ES_tradnl"/>
        </w:rPr>
        <w:t xml:space="preserve">culo 76 entre </w:t>
      </w:r>
      <w:r>
        <w:rPr>
          <w:sz w:val="18"/>
          <w:szCs w:val="18"/>
          <w:lang w:val="es-ES_tradnl"/>
        </w:rPr>
        <w:t>otras, establece:</w:t>
      </w:r>
    </w:p>
    <w:p w14:paraId="4F67BA25" w14:textId="77777777" w:rsidR="00591D54" w:rsidRDefault="00591D54">
      <w:pPr>
        <w:shd w:val="clear" w:color="auto" w:fill="FFFFFF"/>
        <w:spacing w:before="202" w:line="211" w:lineRule="exact"/>
        <w:ind w:left="283"/>
        <w:jc w:val="both"/>
      </w:pPr>
      <w:r>
        <w:rPr>
          <w:sz w:val="14"/>
          <w:szCs w:val="14"/>
          <w:lang w:val="es-ES_tradnl"/>
        </w:rPr>
        <w:t>(</w:t>
      </w:r>
      <w:r>
        <w:rPr>
          <w:rFonts w:cs="Times New Roman"/>
          <w:sz w:val="14"/>
          <w:szCs w:val="14"/>
          <w:lang w:val="es-ES_tradnl"/>
        </w:rPr>
        <w:t>…</w:t>
      </w:r>
      <w:r>
        <w:rPr>
          <w:sz w:val="14"/>
          <w:szCs w:val="14"/>
          <w:lang w:val="es-ES_tradnl"/>
        </w:rPr>
        <w:t>) En todo proceso en el que se determinen derechos y obligaciones de cualquier orden, se asegurar</w:t>
      </w:r>
      <w:r>
        <w:rPr>
          <w:rFonts w:cs="Times New Roman"/>
          <w:sz w:val="14"/>
          <w:szCs w:val="14"/>
          <w:lang w:val="es-ES_tradnl"/>
        </w:rPr>
        <w:t>á</w:t>
      </w:r>
      <w:r>
        <w:rPr>
          <w:sz w:val="14"/>
          <w:szCs w:val="14"/>
          <w:lang w:val="es-ES_tradnl"/>
        </w:rPr>
        <w:t xml:space="preserve"> el derecho al debido proceso que incluir</w:t>
      </w:r>
      <w:r>
        <w:rPr>
          <w:rFonts w:cs="Times New Roman"/>
          <w:sz w:val="14"/>
          <w:szCs w:val="14"/>
          <w:lang w:val="es-ES_tradnl"/>
        </w:rPr>
        <w:t>á</w:t>
      </w:r>
      <w:r>
        <w:rPr>
          <w:sz w:val="14"/>
          <w:szCs w:val="14"/>
          <w:lang w:val="es-ES_tradnl"/>
        </w:rPr>
        <w:t xml:space="preserve"> las siguientes garant</w:t>
      </w:r>
      <w:r>
        <w:rPr>
          <w:rFonts w:cs="Times New Roman"/>
          <w:sz w:val="14"/>
          <w:szCs w:val="14"/>
          <w:lang w:val="es-ES_tradnl"/>
        </w:rPr>
        <w:t>í</w:t>
      </w:r>
      <w:r>
        <w:rPr>
          <w:sz w:val="14"/>
          <w:szCs w:val="14"/>
          <w:lang w:val="es-ES_tradnl"/>
        </w:rPr>
        <w:t>as b</w:t>
      </w:r>
      <w:r>
        <w:rPr>
          <w:rFonts w:cs="Times New Roman"/>
          <w:sz w:val="14"/>
          <w:szCs w:val="14"/>
          <w:lang w:val="es-ES_tradnl"/>
        </w:rPr>
        <w:t>á</w:t>
      </w:r>
      <w:r>
        <w:rPr>
          <w:sz w:val="14"/>
          <w:szCs w:val="14"/>
          <w:lang w:val="es-ES_tradnl"/>
        </w:rPr>
        <w:t>sicas:</w:t>
      </w:r>
    </w:p>
    <w:p w14:paraId="4F67BA26" w14:textId="77777777" w:rsidR="00591D54" w:rsidRDefault="00591D54" w:rsidP="00251195">
      <w:pPr>
        <w:numPr>
          <w:ilvl w:val="0"/>
          <w:numId w:val="120"/>
        </w:numPr>
        <w:shd w:val="clear" w:color="auto" w:fill="FFFFFF"/>
        <w:tabs>
          <w:tab w:val="left" w:pos="466"/>
        </w:tabs>
        <w:spacing w:before="206" w:line="211" w:lineRule="exact"/>
        <w:ind w:left="283"/>
        <w:jc w:val="both"/>
        <w:rPr>
          <w:spacing w:val="-2"/>
          <w:sz w:val="14"/>
          <w:szCs w:val="14"/>
          <w:lang w:val="es-ES_tradnl"/>
        </w:rPr>
      </w:pPr>
      <w:r>
        <w:rPr>
          <w:sz w:val="14"/>
          <w:szCs w:val="14"/>
          <w:lang w:val="es-ES_tradnl"/>
        </w:rPr>
        <w:t>Corresponde</w:t>
      </w:r>
      <w:r>
        <w:rPr>
          <w:sz w:val="18"/>
          <w:szCs w:val="18"/>
          <w:lang w:val="es-ES_tradnl"/>
        </w:rPr>
        <w:t xml:space="preserve"> </w:t>
      </w:r>
      <w:r>
        <w:rPr>
          <w:sz w:val="14"/>
          <w:szCs w:val="14"/>
          <w:lang w:val="es-ES_tradnl"/>
        </w:rPr>
        <w:t>a</w:t>
      </w:r>
      <w:r>
        <w:rPr>
          <w:sz w:val="18"/>
          <w:szCs w:val="18"/>
          <w:lang w:val="es-ES_tradnl"/>
        </w:rPr>
        <w:t xml:space="preserve"> </w:t>
      </w:r>
      <w:r>
        <w:rPr>
          <w:sz w:val="14"/>
          <w:szCs w:val="14"/>
          <w:lang w:val="es-ES_tradnl"/>
        </w:rPr>
        <w:t>toda</w:t>
      </w:r>
      <w:r>
        <w:rPr>
          <w:sz w:val="18"/>
          <w:szCs w:val="18"/>
          <w:lang w:val="es-ES_tradnl"/>
        </w:rPr>
        <w:t xml:space="preserve"> </w:t>
      </w:r>
      <w:r>
        <w:rPr>
          <w:sz w:val="14"/>
          <w:szCs w:val="14"/>
          <w:lang w:val="es-ES_tradnl"/>
        </w:rPr>
        <w:t>autoridad</w:t>
      </w:r>
      <w:r>
        <w:rPr>
          <w:sz w:val="18"/>
          <w:szCs w:val="18"/>
          <w:lang w:val="es-ES_tradnl"/>
        </w:rPr>
        <w:t xml:space="preserve"> </w:t>
      </w:r>
      <w:r>
        <w:rPr>
          <w:sz w:val="14"/>
          <w:szCs w:val="14"/>
          <w:lang w:val="es-ES_tradnl"/>
        </w:rPr>
        <w:t>administrativa</w:t>
      </w:r>
      <w:r>
        <w:rPr>
          <w:sz w:val="18"/>
          <w:szCs w:val="18"/>
          <w:lang w:val="es-ES_tradnl"/>
        </w:rPr>
        <w:t xml:space="preserve"> </w:t>
      </w:r>
      <w:r>
        <w:rPr>
          <w:sz w:val="14"/>
          <w:szCs w:val="14"/>
          <w:lang w:val="es-ES_tradnl"/>
        </w:rPr>
        <w:t>o</w:t>
      </w:r>
      <w:r>
        <w:rPr>
          <w:sz w:val="18"/>
          <w:szCs w:val="18"/>
          <w:lang w:val="es-ES_tradnl"/>
        </w:rPr>
        <w:t xml:space="preserve"> </w:t>
      </w:r>
      <w:r>
        <w:rPr>
          <w:sz w:val="14"/>
          <w:szCs w:val="14"/>
          <w:lang w:val="es-ES_tradnl"/>
        </w:rPr>
        <w:t>judicial garantizar el cumplimiento de las normas y los derechos de las partes.</w:t>
      </w:r>
    </w:p>
    <w:p w14:paraId="4F67BA27" w14:textId="77777777" w:rsidR="00591D54" w:rsidRDefault="00591D54" w:rsidP="00251195">
      <w:pPr>
        <w:numPr>
          <w:ilvl w:val="0"/>
          <w:numId w:val="120"/>
        </w:numPr>
        <w:shd w:val="clear" w:color="auto" w:fill="FFFFFF"/>
        <w:tabs>
          <w:tab w:val="left" w:pos="466"/>
        </w:tabs>
        <w:spacing w:before="206" w:line="211" w:lineRule="exact"/>
        <w:ind w:left="283"/>
        <w:jc w:val="both"/>
        <w:rPr>
          <w:spacing w:val="-2"/>
          <w:sz w:val="14"/>
          <w:szCs w:val="14"/>
          <w:lang w:val="es-ES_tradnl"/>
        </w:rPr>
      </w:pPr>
      <w:r>
        <w:rPr>
          <w:sz w:val="14"/>
          <w:szCs w:val="14"/>
          <w:lang w:val="es-ES_tradnl"/>
        </w:rPr>
        <w:t>Se</w:t>
      </w:r>
      <w:r>
        <w:rPr>
          <w:sz w:val="18"/>
          <w:szCs w:val="18"/>
          <w:lang w:val="es-ES_tradnl"/>
        </w:rPr>
        <w:t xml:space="preserve"> </w:t>
      </w:r>
      <w:r>
        <w:rPr>
          <w:sz w:val="14"/>
          <w:szCs w:val="14"/>
          <w:lang w:val="es-ES_tradnl"/>
        </w:rPr>
        <w:t>presumir</w:t>
      </w:r>
      <w:r>
        <w:rPr>
          <w:rFonts w:cs="Times New Roman"/>
          <w:sz w:val="14"/>
          <w:szCs w:val="14"/>
          <w:lang w:val="es-ES_tradnl"/>
        </w:rPr>
        <w:t>á</w:t>
      </w:r>
      <w:r>
        <w:rPr>
          <w:sz w:val="18"/>
          <w:szCs w:val="18"/>
          <w:lang w:val="es-ES_tradnl"/>
        </w:rPr>
        <w:t xml:space="preserve"> </w:t>
      </w:r>
      <w:r>
        <w:rPr>
          <w:sz w:val="14"/>
          <w:szCs w:val="14"/>
          <w:lang w:val="es-ES_tradnl"/>
        </w:rPr>
        <w:t>la</w:t>
      </w:r>
      <w:r>
        <w:rPr>
          <w:sz w:val="18"/>
          <w:szCs w:val="18"/>
          <w:lang w:val="es-ES_tradnl"/>
        </w:rPr>
        <w:t xml:space="preserve"> </w:t>
      </w:r>
      <w:r>
        <w:rPr>
          <w:sz w:val="14"/>
          <w:szCs w:val="14"/>
          <w:lang w:val="es-ES_tradnl"/>
        </w:rPr>
        <w:t>inocencia</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toda</w:t>
      </w:r>
      <w:r>
        <w:rPr>
          <w:sz w:val="18"/>
          <w:szCs w:val="18"/>
          <w:lang w:val="es-ES_tradnl"/>
        </w:rPr>
        <w:t xml:space="preserve"> </w:t>
      </w:r>
      <w:r>
        <w:rPr>
          <w:sz w:val="14"/>
          <w:szCs w:val="14"/>
          <w:lang w:val="es-ES_tradnl"/>
        </w:rPr>
        <w:t>persona,</w:t>
      </w:r>
      <w:r>
        <w:rPr>
          <w:sz w:val="18"/>
          <w:szCs w:val="18"/>
          <w:lang w:val="es-ES_tradnl"/>
        </w:rPr>
        <w:t xml:space="preserve"> </w:t>
      </w:r>
      <w:r>
        <w:rPr>
          <w:sz w:val="14"/>
          <w:szCs w:val="14"/>
          <w:lang w:val="es-ES_tradnl"/>
        </w:rPr>
        <w:t>y</w:t>
      </w:r>
      <w:r>
        <w:rPr>
          <w:sz w:val="18"/>
          <w:szCs w:val="18"/>
          <w:lang w:val="es-ES_tradnl"/>
        </w:rPr>
        <w:t xml:space="preserve"> </w:t>
      </w:r>
      <w:r>
        <w:rPr>
          <w:sz w:val="14"/>
          <w:szCs w:val="14"/>
          <w:lang w:val="es-ES_tradnl"/>
        </w:rPr>
        <w:t>ser</w:t>
      </w:r>
      <w:r>
        <w:rPr>
          <w:rFonts w:cs="Times New Roman"/>
          <w:sz w:val="14"/>
          <w:szCs w:val="14"/>
          <w:lang w:val="es-ES_tradnl"/>
        </w:rPr>
        <w:t>á</w:t>
      </w:r>
      <w:r>
        <w:rPr>
          <w:sz w:val="18"/>
          <w:szCs w:val="18"/>
          <w:lang w:val="es-ES_tradnl"/>
        </w:rPr>
        <w:t xml:space="preserve"> </w:t>
      </w:r>
      <w:r>
        <w:rPr>
          <w:sz w:val="14"/>
          <w:szCs w:val="14"/>
          <w:lang w:val="es-ES_tradnl"/>
        </w:rPr>
        <w:t>tratada como tal, mientras no se declare su responsabilidad mediante resoluci</w:t>
      </w:r>
      <w:r>
        <w:rPr>
          <w:rFonts w:cs="Times New Roman"/>
          <w:sz w:val="14"/>
          <w:szCs w:val="14"/>
          <w:lang w:val="es-ES_tradnl"/>
        </w:rPr>
        <w:t>ó</w:t>
      </w:r>
      <w:r>
        <w:rPr>
          <w:sz w:val="14"/>
          <w:szCs w:val="14"/>
          <w:lang w:val="es-ES_tradnl"/>
        </w:rPr>
        <w:t>n firme o sentencia ejecutoriada.</w:t>
      </w:r>
    </w:p>
    <w:p w14:paraId="4F67BA28" w14:textId="77777777" w:rsidR="00591D54" w:rsidRDefault="00591D54" w:rsidP="00251195">
      <w:pPr>
        <w:numPr>
          <w:ilvl w:val="0"/>
          <w:numId w:val="120"/>
        </w:numPr>
        <w:shd w:val="clear" w:color="auto" w:fill="FFFFFF"/>
        <w:tabs>
          <w:tab w:val="left" w:pos="466"/>
        </w:tabs>
        <w:spacing w:before="206" w:line="211" w:lineRule="exact"/>
        <w:ind w:left="283"/>
        <w:jc w:val="both"/>
        <w:rPr>
          <w:spacing w:val="-2"/>
          <w:sz w:val="14"/>
          <w:szCs w:val="14"/>
          <w:lang w:val="es-ES_tradnl"/>
        </w:rPr>
        <w:sectPr w:rsidR="00591D54">
          <w:type w:val="continuous"/>
          <w:pgSz w:w="11909" w:h="16834"/>
          <w:pgMar w:top="1368" w:right="1309" w:bottom="360" w:left="1308" w:header="720" w:footer="720" w:gutter="0"/>
          <w:cols w:num="2" w:space="720" w:equalWidth="0">
            <w:col w:w="4305" w:space="682"/>
            <w:col w:w="4305"/>
          </w:cols>
          <w:noEndnote/>
        </w:sectPr>
      </w:pPr>
    </w:p>
    <w:p w14:paraId="4F67BA29" w14:textId="77777777" w:rsidR="00591D54" w:rsidRDefault="00591D54">
      <w:pPr>
        <w:shd w:val="clear" w:color="auto" w:fill="FFFFFF"/>
        <w:tabs>
          <w:tab w:val="left" w:pos="5842"/>
        </w:tabs>
        <w:spacing w:after="226"/>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- 275</w:t>
      </w:r>
    </w:p>
    <w:p w14:paraId="4F67BA2A" w14:textId="77777777" w:rsidR="00591D54" w:rsidRDefault="00591D54">
      <w:pPr>
        <w:shd w:val="clear" w:color="auto" w:fill="FFFFFF"/>
        <w:tabs>
          <w:tab w:val="left" w:pos="5842"/>
        </w:tabs>
        <w:spacing w:after="226"/>
        <w:ind w:left="5"/>
        <w:sectPr w:rsidR="00591D54">
          <w:pgSz w:w="11909" w:h="16834"/>
          <w:pgMar w:top="1356" w:right="1309" w:bottom="360" w:left="1308" w:header="720" w:footer="720" w:gutter="0"/>
          <w:cols w:space="60"/>
          <w:noEndnote/>
        </w:sectPr>
      </w:pPr>
    </w:p>
    <w:p w14:paraId="4F67BA2B" w14:textId="77777777" w:rsidR="00591D54" w:rsidRDefault="00591D54" w:rsidP="00251195">
      <w:pPr>
        <w:numPr>
          <w:ilvl w:val="0"/>
          <w:numId w:val="121"/>
        </w:numPr>
        <w:shd w:val="clear" w:color="auto" w:fill="FFFFFF"/>
        <w:tabs>
          <w:tab w:val="left" w:pos="485"/>
        </w:tabs>
        <w:spacing w:line="221" w:lineRule="exact"/>
        <w:ind w:left="283"/>
        <w:jc w:val="both"/>
        <w:rPr>
          <w:spacing w:val="-8"/>
          <w:sz w:val="16"/>
          <w:szCs w:val="16"/>
          <w:lang w:val="es-ES_tradnl"/>
        </w:rPr>
      </w:pPr>
      <w:r>
        <w:rPr>
          <w:spacing w:val="-4"/>
          <w:sz w:val="16"/>
          <w:szCs w:val="16"/>
          <w:lang w:val="es-ES_tradnl"/>
        </w:rPr>
        <w:t>Nadie</w:t>
      </w:r>
      <w:r>
        <w:rPr>
          <w:spacing w:val="-4"/>
          <w:sz w:val="18"/>
          <w:szCs w:val="18"/>
          <w:lang w:val="es-ES_tradnl"/>
        </w:rPr>
        <w:t xml:space="preserve"> </w:t>
      </w:r>
      <w:r>
        <w:rPr>
          <w:spacing w:val="-4"/>
          <w:sz w:val="16"/>
          <w:szCs w:val="16"/>
          <w:lang w:val="es-ES_tradnl"/>
        </w:rPr>
        <w:t>podr</w:t>
      </w:r>
      <w:r>
        <w:rPr>
          <w:rFonts w:cs="Times New Roman"/>
          <w:spacing w:val="-4"/>
          <w:sz w:val="16"/>
          <w:szCs w:val="16"/>
          <w:lang w:val="es-ES_tradnl"/>
        </w:rPr>
        <w:t>á</w:t>
      </w:r>
      <w:r>
        <w:rPr>
          <w:spacing w:val="-4"/>
          <w:sz w:val="18"/>
          <w:szCs w:val="18"/>
          <w:lang w:val="es-ES_tradnl"/>
        </w:rPr>
        <w:t xml:space="preserve"> </w:t>
      </w:r>
      <w:r>
        <w:rPr>
          <w:spacing w:val="-4"/>
          <w:sz w:val="16"/>
          <w:szCs w:val="16"/>
          <w:lang w:val="es-ES_tradnl"/>
        </w:rPr>
        <w:t>ser</w:t>
      </w:r>
      <w:r>
        <w:rPr>
          <w:spacing w:val="-4"/>
          <w:sz w:val="18"/>
          <w:szCs w:val="18"/>
          <w:lang w:val="es-ES_tradnl"/>
        </w:rPr>
        <w:t xml:space="preserve"> </w:t>
      </w:r>
      <w:r>
        <w:rPr>
          <w:spacing w:val="-4"/>
          <w:sz w:val="16"/>
          <w:szCs w:val="16"/>
          <w:lang w:val="es-ES_tradnl"/>
        </w:rPr>
        <w:t>juzgado</w:t>
      </w:r>
      <w:r>
        <w:rPr>
          <w:spacing w:val="-4"/>
          <w:sz w:val="18"/>
          <w:szCs w:val="18"/>
          <w:lang w:val="es-ES_tradnl"/>
        </w:rPr>
        <w:t xml:space="preserve"> </w:t>
      </w:r>
      <w:r>
        <w:rPr>
          <w:spacing w:val="-4"/>
          <w:sz w:val="16"/>
          <w:szCs w:val="16"/>
          <w:lang w:val="es-ES_tradnl"/>
        </w:rPr>
        <w:t>ni</w:t>
      </w:r>
      <w:r>
        <w:rPr>
          <w:spacing w:val="-4"/>
          <w:sz w:val="18"/>
          <w:szCs w:val="18"/>
          <w:lang w:val="es-ES_tradnl"/>
        </w:rPr>
        <w:t xml:space="preserve"> </w:t>
      </w:r>
      <w:r>
        <w:rPr>
          <w:spacing w:val="-4"/>
          <w:sz w:val="16"/>
          <w:szCs w:val="16"/>
          <w:lang w:val="es-ES_tradnl"/>
        </w:rPr>
        <w:t>sancionado</w:t>
      </w:r>
      <w:r>
        <w:rPr>
          <w:spacing w:val="-4"/>
          <w:sz w:val="18"/>
          <w:szCs w:val="18"/>
          <w:lang w:val="es-ES_tradnl"/>
        </w:rPr>
        <w:t xml:space="preserve"> </w:t>
      </w:r>
      <w:r>
        <w:rPr>
          <w:spacing w:val="-4"/>
          <w:sz w:val="16"/>
          <w:szCs w:val="16"/>
          <w:lang w:val="es-ES_tradnl"/>
        </w:rPr>
        <w:t>por</w:t>
      </w:r>
      <w:r>
        <w:rPr>
          <w:spacing w:val="-4"/>
          <w:sz w:val="18"/>
          <w:szCs w:val="18"/>
          <w:lang w:val="es-ES_tradnl"/>
        </w:rPr>
        <w:t xml:space="preserve"> </w:t>
      </w:r>
      <w:r>
        <w:rPr>
          <w:spacing w:val="-4"/>
          <w:sz w:val="16"/>
          <w:szCs w:val="16"/>
          <w:lang w:val="es-ES_tradnl"/>
        </w:rPr>
        <w:t>un</w:t>
      </w:r>
      <w:r>
        <w:rPr>
          <w:spacing w:val="-4"/>
          <w:sz w:val="18"/>
          <w:szCs w:val="18"/>
          <w:lang w:val="es-ES_tradnl"/>
        </w:rPr>
        <w:t xml:space="preserve"> </w:t>
      </w:r>
      <w:r>
        <w:rPr>
          <w:spacing w:val="-4"/>
          <w:sz w:val="16"/>
          <w:szCs w:val="16"/>
          <w:lang w:val="es-ES_tradnl"/>
        </w:rPr>
        <w:t>acto</w:t>
      </w:r>
      <w:r>
        <w:rPr>
          <w:spacing w:val="-4"/>
          <w:sz w:val="18"/>
          <w:szCs w:val="18"/>
          <w:lang w:val="es-ES_tradnl"/>
        </w:rPr>
        <w:t xml:space="preserve"> </w:t>
      </w:r>
      <w:r>
        <w:rPr>
          <w:spacing w:val="-4"/>
          <w:sz w:val="16"/>
          <w:szCs w:val="16"/>
          <w:lang w:val="es-ES_tradnl"/>
        </w:rPr>
        <w:t xml:space="preserve">u </w:t>
      </w:r>
      <w:r>
        <w:rPr>
          <w:spacing w:val="-3"/>
          <w:sz w:val="16"/>
          <w:szCs w:val="16"/>
          <w:lang w:val="es-ES_tradnl"/>
        </w:rPr>
        <w:t>omisi</w:t>
      </w:r>
      <w:r>
        <w:rPr>
          <w:rFonts w:cs="Times New Roman"/>
          <w:spacing w:val="-3"/>
          <w:sz w:val="16"/>
          <w:szCs w:val="16"/>
          <w:lang w:val="es-ES_tradnl"/>
        </w:rPr>
        <w:t>ó</w:t>
      </w:r>
      <w:r>
        <w:rPr>
          <w:spacing w:val="-3"/>
          <w:sz w:val="16"/>
          <w:szCs w:val="16"/>
          <w:lang w:val="es-ES_tradnl"/>
        </w:rPr>
        <w:t>n que, al momento de cometerse, no est</w:t>
      </w:r>
      <w:r>
        <w:rPr>
          <w:rFonts w:cs="Times New Roman"/>
          <w:spacing w:val="-3"/>
          <w:sz w:val="16"/>
          <w:szCs w:val="16"/>
          <w:lang w:val="es-ES_tradnl"/>
        </w:rPr>
        <w:t>é</w:t>
      </w:r>
      <w:r>
        <w:rPr>
          <w:spacing w:val="-3"/>
          <w:sz w:val="16"/>
          <w:szCs w:val="16"/>
          <w:lang w:val="es-ES_tradnl"/>
        </w:rPr>
        <w:t xml:space="preserve"> tipificado en la ley como infracci</w:t>
      </w:r>
      <w:r>
        <w:rPr>
          <w:rFonts w:cs="Times New Roman"/>
          <w:spacing w:val="-3"/>
          <w:sz w:val="16"/>
          <w:szCs w:val="16"/>
          <w:lang w:val="es-ES_tradnl"/>
        </w:rPr>
        <w:t>ó</w:t>
      </w:r>
      <w:r>
        <w:rPr>
          <w:spacing w:val="-3"/>
          <w:sz w:val="16"/>
          <w:szCs w:val="16"/>
          <w:lang w:val="es-ES_tradnl"/>
        </w:rPr>
        <w:t xml:space="preserve">n penal, administrativa o de otra </w:t>
      </w:r>
      <w:r>
        <w:rPr>
          <w:spacing w:val="-4"/>
          <w:sz w:val="16"/>
          <w:szCs w:val="16"/>
          <w:lang w:val="es-ES_tradnl"/>
        </w:rPr>
        <w:t>naturaleza; ni se le aplicar</w:t>
      </w:r>
      <w:r>
        <w:rPr>
          <w:rFonts w:cs="Times New Roman"/>
          <w:spacing w:val="-4"/>
          <w:sz w:val="16"/>
          <w:szCs w:val="16"/>
          <w:lang w:val="es-ES_tradnl"/>
        </w:rPr>
        <w:t>á</w:t>
      </w:r>
      <w:r>
        <w:rPr>
          <w:spacing w:val="-4"/>
          <w:sz w:val="16"/>
          <w:szCs w:val="16"/>
          <w:lang w:val="es-ES_tradnl"/>
        </w:rPr>
        <w:t xml:space="preserve"> una sanci</w:t>
      </w:r>
      <w:r>
        <w:rPr>
          <w:rFonts w:cs="Times New Roman"/>
          <w:spacing w:val="-4"/>
          <w:sz w:val="16"/>
          <w:szCs w:val="16"/>
          <w:lang w:val="es-ES_tradnl"/>
        </w:rPr>
        <w:t>ó</w:t>
      </w:r>
      <w:r>
        <w:rPr>
          <w:spacing w:val="-4"/>
          <w:sz w:val="16"/>
          <w:szCs w:val="16"/>
          <w:lang w:val="es-ES_tradnl"/>
        </w:rPr>
        <w:t xml:space="preserve">n no prevista por la </w:t>
      </w:r>
      <w:r>
        <w:rPr>
          <w:spacing w:val="-7"/>
          <w:sz w:val="16"/>
          <w:szCs w:val="16"/>
          <w:lang w:val="es-ES_tradnl"/>
        </w:rPr>
        <w:t>Constituci</w:t>
      </w:r>
      <w:r>
        <w:rPr>
          <w:rFonts w:cs="Times New Roman"/>
          <w:spacing w:val="-7"/>
          <w:sz w:val="16"/>
          <w:szCs w:val="16"/>
          <w:lang w:val="es-ES_tradnl"/>
        </w:rPr>
        <w:t>ó</w:t>
      </w:r>
      <w:r>
        <w:rPr>
          <w:spacing w:val="-7"/>
          <w:sz w:val="16"/>
          <w:szCs w:val="16"/>
          <w:lang w:val="es-ES_tradnl"/>
        </w:rPr>
        <w:t>n o la ley. S</w:t>
      </w:r>
      <w:r>
        <w:rPr>
          <w:rFonts w:cs="Times New Roman"/>
          <w:spacing w:val="-7"/>
          <w:sz w:val="16"/>
          <w:szCs w:val="16"/>
          <w:lang w:val="es-ES_tradnl"/>
        </w:rPr>
        <w:t>ó</w:t>
      </w:r>
      <w:r>
        <w:rPr>
          <w:spacing w:val="-7"/>
          <w:sz w:val="16"/>
          <w:szCs w:val="16"/>
          <w:lang w:val="es-ES_tradnl"/>
        </w:rPr>
        <w:t>lo se podr</w:t>
      </w:r>
      <w:r>
        <w:rPr>
          <w:rFonts w:cs="Times New Roman"/>
          <w:spacing w:val="-7"/>
          <w:sz w:val="16"/>
          <w:szCs w:val="16"/>
          <w:lang w:val="es-ES_tradnl"/>
        </w:rPr>
        <w:t>á</w:t>
      </w:r>
      <w:r>
        <w:rPr>
          <w:spacing w:val="-7"/>
          <w:sz w:val="16"/>
          <w:szCs w:val="16"/>
          <w:lang w:val="es-ES_tradnl"/>
        </w:rPr>
        <w:t xml:space="preserve"> juzgar a una persona ante un juez o autoridad competente y con observancia del tr</w:t>
      </w:r>
      <w:r>
        <w:rPr>
          <w:rFonts w:cs="Times New Roman"/>
          <w:spacing w:val="-7"/>
          <w:sz w:val="16"/>
          <w:szCs w:val="16"/>
          <w:lang w:val="es-ES_tradnl"/>
        </w:rPr>
        <w:t>á</w:t>
      </w:r>
      <w:r>
        <w:rPr>
          <w:spacing w:val="-7"/>
          <w:sz w:val="16"/>
          <w:szCs w:val="16"/>
          <w:lang w:val="es-ES_tradnl"/>
        </w:rPr>
        <w:t xml:space="preserve">mite </w:t>
      </w:r>
      <w:r>
        <w:rPr>
          <w:sz w:val="16"/>
          <w:szCs w:val="16"/>
          <w:lang w:val="es-ES_tradnl"/>
        </w:rPr>
        <w:t>propio de cada procedimiento.</w:t>
      </w:r>
    </w:p>
    <w:p w14:paraId="4F67BA2C" w14:textId="77777777" w:rsidR="00591D54" w:rsidRDefault="00591D54" w:rsidP="00251195">
      <w:pPr>
        <w:numPr>
          <w:ilvl w:val="0"/>
          <w:numId w:val="121"/>
        </w:numPr>
        <w:shd w:val="clear" w:color="auto" w:fill="FFFFFF"/>
        <w:tabs>
          <w:tab w:val="left" w:pos="485"/>
        </w:tabs>
        <w:spacing w:before="206" w:line="226" w:lineRule="exact"/>
        <w:ind w:left="283"/>
        <w:jc w:val="both"/>
        <w:rPr>
          <w:spacing w:val="-8"/>
          <w:sz w:val="16"/>
          <w:szCs w:val="16"/>
          <w:lang w:val="es-ES_tradnl"/>
        </w:rPr>
      </w:pPr>
      <w:r>
        <w:rPr>
          <w:spacing w:val="-5"/>
          <w:sz w:val="16"/>
          <w:szCs w:val="16"/>
          <w:lang w:val="es-ES_tradnl"/>
        </w:rPr>
        <w:t>Las</w:t>
      </w:r>
      <w:r>
        <w:rPr>
          <w:spacing w:val="-5"/>
          <w:sz w:val="18"/>
          <w:szCs w:val="18"/>
          <w:lang w:val="es-ES_tradnl"/>
        </w:rPr>
        <w:t xml:space="preserve"> </w:t>
      </w:r>
      <w:r>
        <w:rPr>
          <w:spacing w:val="-5"/>
          <w:sz w:val="16"/>
          <w:szCs w:val="16"/>
          <w:lang w:val="es-ES_tradnl"/>
        </w:rPr>
        <w:t>pruebas</w:t>
      </w:r>
      <w:r>
        <w:rPr>
          <w:spacing w:val="-5"/>
          <w:sz w:val="18"/>
          <w:szCs w:val="18"/>
          <w:lang w:val="es-ES_tradnl"/>
        </w:rPr>
        <w:t xml:space="preserve"> </w:t>
      </w:r>
      <w:r>
        <w:rPr>
          <w:spacing w:val="-5"/>
          <w:sz w:val="16"/>
          <w:szCs w:val="16"/>
          <w:lang w:val="es-ES_tradnl"/>
        </w:rPr>
        <w:t>obtenidas</w:t>
      </w:r>
      <w:r>
        <w:rPr>
          <w:spacing w:val="-5"/>
          <w:sz w:val="18"/>
          <w:szCs w:val="18"/>
          <w:lang w:val="es-ES_tradnl"/>
        </w:rPr>
        <w:t xml:space="preserve"> </w:t>
      </w:r>
      <w:r>
        <w:rPr>
          <w:spacing w:val="-5"/>
          <w:sz w:val="16"/>
          <w:szCs w:val="16"/>
          <w:lang w:val="es-ES_tradnl"/>
        </w:rPr>
        <w:t>o</w:t>
      </w:r>
      <w:r>
        <w:rPr>
          <w:spacing w:val="-5"/>
          <w:sz w:val="18"/>
          <w:szCs w:val="18"/>
          <w:lang w:val="es-ES_tradnl"/>
        </w:rPr>
        <w:t xml:space="preserve"> </w:t>
      </w:r>
      <w:r>
        <w:rPr>
          <w:spacing w:val="-5"/>
          <w:sz w:val="16"/>
          <w:szCs w:val="16"/>
          <w:lang w:val="es-ES_tradnl"/>
        </w:rPr>
        <w:t>actuadas</w:t>
      </w:r>
      <w:r>
        <w:rPr>
          <w:spacing w:val="-5"/>
          <w:sz w:val="18"/>
          <w:szCs w:val="18"/>
          <w:lang w:val="es-ES_tradnl"/>
        </w:rPr>
        <w:t xml:space="preserve"> </w:t>
      </w:r>
      <w:r>
        <w:rPr>
          <w:spacing w:val="-5"/>
          <w:sz w:val="16"/>
          <w:szCs w:val="16"/>
          <w:lang w:val="es-ES_tradnl"/>
        </w:rPr>
        <w:t>con</w:t>
      </w:r>
      <w:r>
        <w:rPr>
          <w:spacing w:val="-5"/>
          <w:sz w:val="18"/>
          <w:szCs w:val="18"/>
          <w:lang w:val="es-ES_tradnl"/>
        </w:rPr>
        <w:t xml:space="preserve"> </w:t>
      </w:r>
      <w:r>
        <w:rPr>
          <w:spacing w:val="-5"/>
          <w:sz w:val="16"/>
          <w:szCs w:val="16"/>
          <w:lang w:val="es-ES_tradnl"/>
        </w:rPr>
        <w:t>violaci</w:t>
      </w:r>
      <w:r>
        <w:rPr>
          <w:rFonts w:cs="Times New Roman"/>
          <w:spacing w:val="-5"/>
          <w:sz w:val="16"/>
          <w:szCs w:val="16"/>
          <w:lang w:val="es-ES_tradnl"/>
        </w:rPr>
        <w:t>ó</w:t>
      </w:r>
      <w:r>
        <w:rPr>
          <w:spacing w:val="-5"/>
          <w:sz w:val="16"/>
          <w:szCs w:val="16"/>
          <w:lang w:val="es-ES_tradnl"/>
        </w:rPr>
        <w:t>n</w:t>
      </w:r>
      <w:r>
        <w:rPr>
          <w:spacing w:val="-5"/>
          <w:sz w:val="18"/>
          <w:szCs w:val="18"/>
          <w:lang w:val="es-ES_tradnl"/>
        </w:rPr>
        <w:t xml:space="preserve"> </w:t>
      </w:r>
      <w:r>
        <w:rPr>
          <w:spacing w:val="-5"/>
          <w:sz w:val="16"/>
          <w:szCs w:val="16"/>
          <w:lang w:val="es-ES_tradnl"/>
        </w:rPr>
        <w:t>de</w:t>
      </w:r>
      <w:r>
        <w:rPr>
          <w:spacing w:val="-5"/>
          <w:sz w:val="18"/>
          <w:szCs w:val="18"/>
          <w:lang w:val="es-ES_tradnl"/>
        </w:rPr>
        <w:t xml:space="preserve"> </w:t>
      </w:r>
      <w:r>
        <w:rPr>
          <w:spacing w:val="-5"/>
          <w:sz w:val="16"/>
          <w:szCs w:val="16"/>
          <w:lang w:val="es-ES_tradnl"/>
        </w:rPr>
        <w:t xml:space="preserve">la </w:t>
      </w:r>
      <w:r>
        <w:rPr>
          <w:spacing w:val="-4"/>
          <w:sz w:val="16"/>
          <w:szCs w:val="16"/>
          <w:lang w:val="es-ES_tradnl"/>
        </w:rPr>
        <w:t>Constituci</w:t>
      </w:r>
      <w:r>
        <w:rPr>
          <w:rFonts w:cs="Times New Roman"/>
          <w:spacing w:val="-4"/>
          <w:sz w:val="16"/>
          <w:szCs w:val="16"/>
          <w:lang w:val="es-ES_tradnl"/>
        </w:rPr>
        <w:t>ó</w:t>
      </w:r>
      <w:r>
        <w:rPr>
          <w:spacing w:val="-4"/>
          <w:sz w:val="16"/>
          <w:szCs w:val="16"/>
          <w:lang w:val="es-ES_tradnl"/>
        </w:rPr>
        <w:t>n o la ley no tendr</w:t>
      </w:r>
      <w:r>
        <w:rPr>
          <w:rFonts w:cs="Times New Roman"/>
          <w:spacing w:val="-4"/>
          <w:sz w:val="16"/>
          <w:szCs w:val="16"/>
          <w:lang w:val="es-ES_tradnl"/>
        </w:rPr>
        <w:t>á</w:t>
      </w:r>
      <w:r>
        <w:rPr>
          <w:spacing w:val="-4"/>
          <w:sz w:val="16"/>
          <w:szCs w:val="16"/>
          <w:lang w:val="es-ES_tradnl"/>
        </w:rPr>
        <w:t>n validez alguna y carecer</w:t>
      </w:r>
      <w:r>
        <w:rPr>
          <w:rFonts w:cs="Times New Roman"/>
          <w:spacing w:val="-4"/>
          <w:sz w:val="16"/>
          <w:szCs w:val="16"/>
          <w:lang w:val="es-ES_tradnl"/>
        </w:rPr>
        <w:t>á</w:t>
      </w:r>
      <w:r>
        <w:rPr>
          <w:spacing w:val="-4"/>
          <w:sz w:val="16"/>
          <w:szCs w:val="16"/>
          <w:lang w:val="es-ES_tradnl"/>
        </w:rPr>
        <w:t xml:space="preserve">n </w:t>
      </w:r>
      <w:r>
        <w:rPr>
          <w:sz w:val="16"/>
          <w:szCs w:val="16"/>
          <w:lang w:val="es-ES_tradnl"/>
        </w:rPr>
        <w:t>de eficacia probatoria.</w:t>
      </w:r>
    </w:p>
    <w:p w14:paraId="4F67BA2D" w14:textId="77777777" w:rsidR="00591D54" w:rsidRDefault="00591D54">
      <w:pPr>
        <w:shd w:val="clear" w:color="auto" w:fill="FFFFFF"/>
        <w:spacing w:before="211" w:line="221" w:lineRule="exact"/>
        <w:ind w:left="283"/>
        <w:jc w:val="both"/>
      </w:pPr>
      <w:r>
        <w:rPr>
          <w:spacing w:val="-4"/>
          <w:sz w:val="16"/>
          <w:szCs w:val="16"/>
          <w:lang w:val="es-ES_tradnl"/>
        </w:rPr>
        <w:t>(</w:t>
      </w:r>
      <w:r>
        <w:rPr>
          <w:rFonts w:cs="Times New Roman"/>
          <w:spacing w:val="-4"/>
          <w:sz w:val="16"/>
          <w:szCs w:val="16"/>
          <w:lang w:val="es-ES_tradnl"/>
        </w:rPr>
        <w:t>…</w:t>
      </w:r>
      <w:r>
        <w:rPr>
          <w:spacing w:val="-4"/>
          <w:sz w:val="16"/>
          <w:szCs w:val="16"/>
          <w:lang w:val="es-ES_tradnl"/>
        </w:rPr>
        <w:t>) 6. La Ley establecer</w:t>
      </w:r>
      <w:r>
        <w:rPr>
          <w:rFonts w:cs="Times New Roman"/>
          <w:spacing w:val="-4"/>
          <w:sz w:val="16"/>
          <w:szCs w:val="16"/>
          <w:lang w:val="es-ES_tradnl"/>
        </w:rPr>
        <w:t>á</w:t>
      </w:r>
      <w:r>
        <w:rPr>
          <w:spacing w:val="-4"/>
          <w:sz w:val="16"/>
          <w:szCs w:val="16"/>
          <w:lang w:val="es-ES_tradnl"/>
        </w:rPr>
        <w:t xml:space="preserve"> la debida proporcionalidad entre </w:t>
      </w:r>
      <w:r>
        <w:rPr>
          <w:spacing w:val="-6"/>
          <w:sz w:val="16"/>
          <w:szCs w:val="16"/>
          <w:lang w:val="es-ES_tradnl"/>
        </w:rPr>
        <w:t xml:space="preserve">las infracciones y las sanciones penales, administrativas o de </w:t>
      </w:r>
      <w:r>
        <w:rPr>
          <w:sz w:val="16"/>
          <w:szCs w:val="16"/>
          <w:lang w:val="es-ES_tradnl"/>
        </w:rPr>
        <w:t>otra naturaleza.</w:t>
      </w:r>
    </w:p>
    <w:p w14:paraId="4F67BA2E" w14:textId="77777777" w:rsidR="00591D54" w:rsidRDefault="00591D54">
      <w:pPr>
        <w:shd w:val="clear" w:color="auto" w:fill="FFFFFF"/>
        <w:spacing w:before="206" w:line="221" w:lineRule="exact"/>
        <w:jc w:val="both"/>
      </w:pPr>
      <w:r>
        <w:rPr>
          <w:spacing w:val="-5"/>
          <w:sz w:val="18"/>
          <w:szCs w:val="18"/>
          <w:lang w:val="es-ES_tradnl"/>
        </w:rPr>
        <w:t xml:space="preserve">La norma constitucional precedentemente enunciada establece que el debido proceso representa el concepto </w:t>
      </w:r>
      <w:r>
        <w:rPr>
          <w:spacing w:val="-2"/>
          <w:sz w:val="18"/>
          <w:szCs w:val="18"/>
          <w:lang w:val="es-ES_tradnl"/>
        </w:rPr>
        <w:t>de prevenci</w:t>
      </w:r>
      <w:r>
        <w:rPr>
          <w:rFonts w:cs="Times New Roman"/>
          <w:spacing w:val="-2"/>
          <w:sz w:val="18"/>
          <w:szCs w:val="18"/>
          <w:lang w:val="es-ES_tradnl"/>
        </w:rPr>
        <w:t>ó</w:t>
      </w:r>
      <w:r>
        <w:rPr>
          <w:spacing w:val="-2"/>
          <w:sz w:val="18"/>
          <w:szCs w:val="18"/>
          <w:lang w:val="es-ES_tradnl"/>
        </w:rPr>
        <w:t>n en tanto realiza la funci</w:t>
      </w:r>
      <w:r>
        <w:rPr>
          <w:rFonts w:cs="Times New Roman"/>
          <w:spacing w:val="-2"/>
          <w:sz w:val="18"/>
          <w:szCs w:val="18"/>
          <w:lang w:val="es-ES_tradnl"/>
        </w:rPr>
        <w:t>ó</w:t>
      </w:r>
      <w:r>
        <w:rPr>
          <w:spacing w:val="-2"/>
          <w:sz w:val="18"/>
          <w:szCs w:val="18"/>
          <w:lang w:val="es-ES_tradnl"/>
        </w:rPr>
        <w:t xml:space="preserve">n de examinar </w:t>
      </w:r>
      <w:r>
        <w:rPr>
          <w:spacing w:val="-5"/>
          <w:sz w:val="18"/>
          <w:szCs w:val="18"/>
          <w:lang w:val="es-ES_tradnl"/>
        </w:rPr>
        <w:t>que los actos de la administraci</w:t>
      </w:r>
      <w:r>
        <w:rPr>
          <w:rFonts w:cs="Times New Roman"/>
          <w:spacing w:val="-5"/>
          <w:sz w:val="18"/>
          <w:szCs w:val="18"/>
          <w:lang w:val="es-ES_tradnl"/>
        </w:rPr>
        <w:t>ó</w:t>
      </w:r>
      <w:r>
        <w:rPr>
          <w:spacing w:val="-5"/>
          <w:sz w:val="18"/>
          <w:szCs w:val="18"/>
          <w:lang w:val="es-ES_tradnl"/>
        </w:rPr>
        <w:t xml:space="preserve">n y la judicatura no se </w:t>
      </w:r>
      <w:r>
        <w:rPr>
          <w:spacing w:val="-4"/>
          <w:sz w:val="18"/>
          <w:szCs w:val="18"/>
          <w:lang w:val="es-ES_tradnl"/>
        </w:rPr>
        <w:t xml:space="preserve">remitan a criterios de discrecionalidad sino que sean </w:t>
      </w:r>
      <w:r>
        <w:rPr>
          <w:spacing w:val="-5"/>
          <w:sz w:val="18"/>
          <w:szCs w:val="18"/>
          <w:lang w:val="es-ES_tradnl"/>
        </w:rPr>
        <w:t xml:space="preserve">producto de discernimientos revestidos de razonabilidad. </w:t>
      </w:r>
      <w:r>
        <w:rPr>
          <w:spacing w:val="-6"/>
          <w:sz w:val="18"/>
          <w:szCs w:val="18"/>
          <w:lang w:val="es-ES_tradnl"/>
        </w:rPr>
        <w:t xml:space="preserve">En este sentido, el derecho al debido proceso se instituye </w:t>
      </w:r>
      <w:r>
        <w:rPr>
          <w:spacing w:val="-4"/>
          <w:sz w:val="18"/>
          <w:szCs w:val="18"/>
          <w:lang w:val="es-ES_tradnl"/>
        </w:rPr>
        <w:t>en el l</w:t>
      </w:r>
      <w:r>
        <w:rPr>
          <w:rFonts w:cs="Times New Roman"/>
          <w:spacing w:val="-4"/>
          <w:sz w:val="18"/>
          <w:szCs w:val="18"/>
          <w:lang w:val="es-ES_tradnl"/>
        </w:rPr>
        <w:t>í</w:t>
      </w:r>
      <w:r>
        <w:rPr>
          <w:spacing w:val="-4"/>
          <w:sz w:val="18"/>
          <w:szCs w:val="18"/>
          <w:lang w:val="es-ES_tradnl"/>
        </w:rPr>
        <w:t xml:space="preserve">mite material al eventual ejercicio arbitrario de las </w:t>
      </w:r>
      <w:r>
        <w:rPr>
          <w:spacing w:val="-7"/>
          <w:sz w:val="18"/>
          <w:szCs w:val="18"/>
          <w:lang w:val="es-ES_tradnl"/>
        </w:rPr>
        <w:t>competencias y facultades de las autoridades del Estado.</w:t>
      </w:r>
    </w:p>
    <w:p w14:paraId="4F67BA2F" w14:textId="77777777" w:rsidR="00591D54" w:rsidRDefault="00591D54">
      <w:pPr>
        <w:shd w:val="clear" w:color="auto" w:fill="FFFFFF"/>
        <w:spacing w:before="202" w:line="221" w:lineRule="exact"/>
        <w:jc w:val="both"/>
      </w:pPr>
      <w:r>
        <w:rPr>
          <w:spacing w:val="-2"/>
          <w:sz w:val="18"/>
          <w:szCs w:val="18"/>
          <w:lang w:val="es-ES_tradnl"/>
        </w:rPr>
        <w:t xml:space="preserve">En consonancia con la norma constitucional antes </w:t>
      </w:r>
      <w:r>
        <w:rPr>
          <w:spacing w:val="-3"/>
          <w:sz w:val="18"/>
          <w:szCs w:val="18"/>
          <w:lang w:val="es-ES_tradnl"/>
        </w:rPr>
        <w:t>enunciada, la Corte Constitucional a trav</w:t>
      </w:r>
      <w:r>
        <w:rPr>
          <w:rFonts w:cs="Times New Roman"/>
          <w:spacing w:val="-3"/>
          <w:sz w:val="18"/>
          <w:szCs w:val="18"/>
          <w:lang w:val="es-ES_tradnl"/>
        </w:rPr>
        <w:t>é</w:t>
      </w:r>
      <w:r>
        <w:rPr>
          <w:spacing w:val="-3"/>
          <w:sz w:val="18"/>
          <w:szCs w:val="18"/>
          <w:lang w:val="es-ES_tradnl"/>
        </w:rPr>
        <w:t xml:space="preserve">s de su </w:t>
      </w:r>
      <w:r>
        <w:rPr>
          <w:sz w:val="18"/>
          <w:szCs w:val="18"/>
          <w:lang w:val="es-ES_tradnl"/>
        </w:rPr>
        <w:t>jurisprudencia, en relaci</w:t>
      </w:r>
      <w:r>
        <w:rPr>
          <w:rFonts w:cs="Times New Roman"/>
          <w:sz w:val="18"/>
          <w:szCs w:val="18"/>
          <w:lang w:val="es-ES_tradnl"/>
        </w:rPr>
        <w:t>ó</w:t>
      </w:r>
      <w:r>
        <w:rPr>
          <w:sz w:val="18"/>
          <w:szCs w:val="18"/>
          <w:lang w:val="es-ES_tradnl"/>
        </w:rPr>
        <w:t xml:space="preserve">n al debido proceso, ha manifestado que: </w:t>
      </w:r>
      <w:r>
        <w:rPr>
          <w:rFonts w:cs="Times New Roman"/>
          <w:sz w:val="18"/>
          <w:szCs w:val="18"/>
          <w:lang w:val="es-ES_tradnl"/>
        </w:rPr>
        <w:t>“</w:t>
      </w:r>
      <w:r>
        <w:rPr>
          <w:sz w:val="18"/>
          <w:szCs w:val="18"/>
          <w:lang w:val="es-ES_tradnl"/>
        </w:rPr>
        <w:t>(</w:t>
      </w:r>
      <w:r>
        <w:rPr>
          <w:rFonts w:cs="Times New Roman"/>
          <w:sz w:val="18"/>
          <w:szCs w:val="18"/>
          <w:lang w:val="es-ES_tradnl"/>
        </w:rPr>
        <w:t>…</w:t>
      </w:r>
      <w:r>
        <w:rPr>
          <w:sz w:val="18"/>
          <w:szCs w:val="18"/>
          <w:lang w:val="es-ES_tradnl"/>
        </w:rPr>
        <w:t>) conlleva un m</w:t>
      </w:r>
      <w:r>
        <w:rPr>
          <w:rFonts w:cs="Times New Roman"/>
          <w:sz w:val="18"/>
          <w:szCs w:val="18"/>
          <w:lang w:val="es-ES_tradnl"/>
        </w:rPr>
        <w:t>í</w:t>
      </w:r>
      <w:r>
        <w:rPr>
          <w:sz w:val="18"/>
          <w:szCs w:val="18"/>
          <w:lang w:val="es-ES_tradnl"/>
        </w:rPr>
        <w:t xml:space="preserve">nimo de </w:t>
      </w:r>
      <w:r>
        <w:rPr>
          <w:spacing w:val="-8"/>
          <w:sz w:val="18"/>
          <w:szCs w:val="18"/>
          <w:lang w:val="es-ES_tradnl"/>
        </w:rPr>
        <w:t xml:space="preserve">presupuestos y condiciones para tramitar adecuadamente </w:t>
      </w:r>
      <w:r>
        <w:rPr>
          <w:spacing w:val="-7"/>
          <w:sz w:val="18"/>
          <w:szCs w:val="18"/>
          <w:lang w:val="es-ES_tradnl"/>
        </w:rPr>
        <w:t>un procedimiento y asegurar condiciones m</w:t>
      </w:r>
      <w:r>
        <w:rPr>
          <w:rFonts w:cs="Times New Roman"/>
          <w:spacing w:val="-7"/>
          <w:sz w:val="18"/>
          <w:szCs w:val="18"/>
          <w:lang w:val="es-ES_tradnl"/>
        </w:rPr>
        <w:t>í</w:t>
      </w:r>
      <w:r>
        <w:rPr>
          <w:spacing w:val="-7"/>
          <w:sz w:val="18"/>
          <w:szCs w:val="18"/>
          <w:lang w:val="es-ES_tradnl"/>
        </w:rPr>
        <w:t>nimas para la defensa, constituyendo adem</w:t>
      </w:r>
      <w:r>
        <w:rPr>
          <w:rFonts w:cs="Times New Roman"/>
          <w:spacing w:val="-7"/>
          <w:sz w:val="18"/>
          <w:szCs w:val="18"/>
          <w:lang w:val="es-ES_tradnl"/>
        </w:rPr>
        <w:t>á</w:t>
      </w:r>
      <w:r>
        <w:rPr>
          <w:spacing w:val="-7"/>
          <w:sz w:val="18"/>
          <w:szCs w:val="18"/>
          <w:lang w:val="es-ES_tradnl"/>
        </w:rPr>
        <w:t>s una concreta disposici</w:t>
      </w:r>
      <w:r>
        <w:rPr>
          <w:rFonts w:cs="Times New Roman"/>
          <w:spacing w:val="-7"/>
          <w:sz w:val="18"/>
          <w:szCs w:val="18"/>
          <w:lang w:val="es-ES_tradnl"/>
        </w:rPr>
        <w:t>ó</w:t>
      </w:r>
      <w:r>
        <w:rPr>
          <w:spacing w:val="-7"/>
          <w:sz w:val="18"/>
          <w:szCs w:val="18"/>
          <w:lang w:val="es-ES_tradnl"/>
        </w:rPr>
        <w:t xml:space="preserve">n </w:t>
      </w:r>
      <w:r>
        <w:rPr>
          <w:spacing w:val="-8"/>
          <w:sz w:val="18"/>
          <w:szCs w:val="18"/>
          <w:lang w:val="es-ES_tradnl"/>
        </w:rPr>
        <w:t xml:space="preserve">desde el ingreso al proceso y durante el transcurso de toda </w:t>
      </w:r>
      <w:r>
        <w:rPr>
          <w:spacing w:val="-9"/>
          <w:sz w:val="18"/>
          <w:szCs w:val="18"/>
          <w:lang w:val="es-ES_tradnl"/>
        </w:rPr>
        <w:t>la instancia, para concluir con una decisi</w:t>
      </w:r>
      <w:r>
        <w:rPr>
          <w:rFonts w:cs="Times New Roman"/>
          <w:spacing w:val="-9"/>
          <w:sz w:val="18"/>
          <w:szCs w:val="18"/>
          <w:lang w:val="es-ES_tradnl"/>
        </w:rPr>
        <w:t>ó</w:t>
      </w:r>
      <w:r>
        <w:rPr>
          <w:spacing w:val="-9"/>
          <w:sz w:val="18"/>
          <w:szCs w:val="18"/>
          <w:lang w:val="es-ES_tradnl"/>
        </w:rPr>
        <w:t xml:space="preserve">n adecuadamente </w:t>
      </w:r>
      <w:r>
        <w:rPr>
          <w:sz w:val="18"/>
          <w:szCs w:val="18"/>
          <w:lang w:val="es-ES_tradnl"/>
        </w:rPr>
        <w:t>motivada (</w:t>
      </w:r>
      <w:r>
        <w:rPr>
          <w:rFonts w:cs="Times New Roman"/>
          <w:sz w:val="18"/>
          <w:szCs w:val="18"/>
          <w:lang w:val="es-ES_tradnl"/>
        </w:rPr>
        <w:t>…</w:t>
      </w:r>
      <w:r>
        <w:rPr>
          <w:sz w:val="18"/>
          <w:szCs w:val="18"/>
          <w:lang w:val="es-ES_tradnl"/>
        </w:rPr>
        <w:t>)</w:t>
      </w:r>
      <w:r>
        <w:rPr>
          <w:rFonts w:cs="Times New Roman"/>
          <w:sz w:val="18"/>
          <w:szCs w:val="18"/>
          <w:lang w:val="es-ES_tradnl"/>
        </w:rPr>
        <w:t>”</w:t>
      </w:r>
      <w:r>
        <w:rPr>
          <w:sz w:val="18"/>
          <w:szCs w:val="18"/>
          <w:vertAlign w:val="superscript"/>
          <w:lang w:val="es-ES_tradnl"/>
        </w:rPr>
        <w:t>4</w:t>
      </w:r>
      <w:r>
        <w:rPr>
          <w:sz w:val="18"/>
          <w:szCs w:val="18"/>
          <w:lang w:val="es-ES_tradnl"/>
        </w:rPr>
        <w:t>.</w:t>
      </w:r>
    </w:p>
    <w:p w14:paraId="4F67BA30" w14:textId="77777777" w:rsidR="00591D54" w:rsidRDefault="00591D54">
      <w:pPr>
        <w:shd w:val="clear" w:color="auto" w:fill="FFFFFF"/>
        <w:spacing w:before="206" w:line="221" w:lineRule="exact"/>
        <w:jc w:val="both"/>
      </w:pPr>
      <w:r>
        <w:rPr>
          <w:spacing w:val="-5"/>
          <w:sz w:val="18"/>
          <w:szCs w:val="18"/>
          <w:lang w:val="es-ES_tradnl"/>
        </w:rPr>
        <w:t xml:space="preserve">En el </w:t>
      </w:r>
      <w:r>
        <w:rPr>
          <w:rFonts w:cs="Times New Roman"/>
          <w:spacing w:val="-5"/>
          <w:sz w:val="18"/>
          <w:szCs w:val="18"/>
          <w:lang w:val="es-ES_tradnl"/>
        </w:rPr>
        <w:t>á</w:t>
      </w:r>
      <w:r>
        <w:rPr>
          <w:spacing w:val="-5"/>
          <w:sz w:val="18"/>
          <w:szCs w:val="18"/>
          <w:lang w:val="es-ES_tradnl"/>
        </w:rPr>
        <w:t xml:space="preserve">mbito del Sistema Interamericano de Derechos </w:t>
      </w:r>
      <w:r>
        <w:rPr>
          <w:spacing w:val="-9"/>
          <w:sz w:val="18"/>
          <w:szCs w:val="18"/>
          <w:lang w:val="es-ES_tradnl"/>
        </w:rPr>
        <w:t xml:space="preserve">Humanos, la Corte respectiva se ha pronunciado, mediante </w:t>
      </w:r>
      <w:r>
        <w:rPr>
          <w:spacing w:val="-6"/>
          <w:sz w:val="18"/>
          <w:szCs w:val="18"/>
          <w:lang w:val="es-ES_tradnl"/>
        </w:rPr>
        <w:t>su jurisprudencia, se</w:t>
      </w:r>
      <w:r>
        <w:rPr>
          <w:rFonts w:cs="Times New Roman"/>
          <w:spacing w:val="-6"/>
          <w:sz w:val="18"/>
          <w:szCs w:val="18"/>
          <w:lang w:val="es-ES_tradnl"/>
        </w:rPr>
        <w:t>ñ</w:t>
      </w:r>
      <w:r>
        <w:rPr>
          <w:spacing w:val="-6"/>
          <w:sz w:val="18"/>
          <w:szCs w:val="18"/>
          <w:lang w:val="es-ES_tradnl"/>
        </w:rPr>
        <w:t xml:space="preserve">alando que el derecho al debido </w:t>
      </w:r>
      <w:r>
        <w:rPr>
          <w:spacing w:val="-3"/>
          <w:sz w:val="18"/>
          <w:szCs w:val="18"/>
          <w:lang w:val="es-ES_tradnl"/>
        </w:rPr>
        <w:t>proceso se erige en el l</w:t>
      </w:r>
      <w:r>
        <w:rPr>
          <w:rFonts w:cs="Times New Roman"/>
          <w:spacing w:val="-3"/>
          <w:sz w:val="18"/>
          <w:szCs w:val="18"/>
          <w:lang w:val="es-ES_tradnl"/>
        </w:rPr>
        <w:t>í</w:t>
      </w:r>
      <w:r>
        <w:rPr>
          <w:spacing w:val="-3"/>
          <w:sz w:val="18"/>
          <w:szCs w:val="18"/>
          <w:lang w:val="es-ES_tradnl"/>
        </w:rPr>
        <w:t xml:space="preserve">mite a la actividad estatal y por </w:t>
      </w:r>
      <w:r>
        <w:rPr>
          <w:spacing w:val="-6"/>
          <w:sz w:val="18"/>
          <w:szCs w:val="18"/>
          <w:lang w:val="es-ES_tradnl"/>
        </w:rPr>
        <w:t>lo tanto hace relaci</w:t>
      </w:r>
      <w:r>
        <w:rPr>
          <w:rFonts w:cs="Times New Roman"/>
          <w:spacing w:val="-6"/>
          <w:sz w:val="18"/>
          <w:szCs w:val="18"/>
          <w:lang w:val="es-ES_tradnl"/>
        </w:rPr>
        <w:t>ó</w:t>
      </w:r>
      <w:r>
        <w:rPr>
          <w:spacing w:val="-6"/>
          <w:sz w:val="18"/>
          <w:szCs w:val="18"/>
          <w:lang w:val="es-ES_tradnl"/>
        </w:rPr>
        <w:t xml:space="preserve">n al conjunto de requisitos que deben </w:t>
      </w:r>
      <w:r>
        <w:rPr>
          <w:spacing w:val="-7"/>
          <w:sz w:val="18"/>
          <w:szCs w:val="18"/>
          <w:lang w:val="es-ES_tradnl"/>
        </w:rPr>
        <w:t xml:space="preserve">ser observados en las instancias procesales con el objeto de garantizar a los justiciables las condiciones necesarias </w:t>
      </w:r>
      <w:r>
        <w:rPr>
          <w:spacing w:val="-9"/>
          <w:sz w:val="18"/>
          <w:szCs w:val="18"/>
          <w:lang w:val="es-ES_tradnl"/>
        </w:rPr>
        <w:t xml:space="preserve">para defender adecuadamente sus derechos ante cualquier </w:t>
      </w:r>
      <w:r>
        <w:rPr>
          <w:sz w:val="18"/>
          <w:szCs w:val="18"/>
          <w:lang w:val="es-ES_tradnl"/>
        </w:rPr>
        <w:t>acto del Estado que pueda afectarlos</w:t>
      </w:r>
      <w:r>
        <w:rPr>
          <w:sz w:val="18"/>
          <w:szCs w:val="18"/>
          <w:vertAlign w:val="superscript"/>
          <w:lang w:val="es-ES_tradnl"/>
        </w:rPr>
        <w:t>5</w:t>
      </w:r>
      <w:r>
        <w:rPr>
          <w:sz w:val="18"/>
          <w:szCs w:val="18"/>
          <w:lang w:val="es-ES_tradnl"/>
        </w:rPr>
        <w:t>.</w:t>
      </w:r>
    </w:p>
    <w:p w14:paraId="4F67BA31" w14:textId="77777777" w:rsidR="00591D54" w:rsidRDefault="00591D54">
      <w:pPr>
        <w:shd w:val="clear" w:color="auto" w:fill="FFFFFF"/>
        <w:spacing w:before="206" w:line="221" w:lineRule="exact"/>
        <w:jc w:val="both"/>
      </w:pPr>
      <w:r>
        <w:rPr>
          <w:spacing w:val="-2"/>
          <w:sz w:val="18"/>
          <w:szCs w:val="18"/>
          <w:lang w:val="es-ES_tradnl"/>
        </w:rPr>
        <w:t xml:space="preserve">De acuerdo a lo expuesto anteriormente se colige que </w:t>
      </w:r>
      <w:r>
        <w:rPr>
          <w:spacing w:val="-3"/>
          <w:sz w:val="18"/>
          <w:szCs w:val="18"/>
          <w:lang w:val="es-ES_tradnl"/>
        </w:rPr>
        <w:t>el derecho al debido proceso representa la garant</w:t>
      </w:r>
      <w:r>
        <w:rPr>
          <w:rFonts w:cs="Times New Roman"/>
          <w:spacing w:val="-3"/>
          <w:sz w:val="18"/>
          <w:szCs w:val="18"/>
          <w:lang w:val="es-ES_tradnl"/>
        </w:rPr>
        <w:t>í</w:t>
      </w:r>
      <w:r>
        <w:rPr>
          <w:spacing w:val="-3"/>
          <w:sz w:val="18"/>
          <w:szCs w:val="18"/>
          <w:lang w:val="es-ES_tradnl"/>
        </w:rPr>
        <w:t xml:space="preserve">a </w:t>
      </w:r>
      <w:r>
        <w:rPr>
          <w:spacing w:val="-1"/>
          <w:sz w:val="18"/>
          <w:szCs w:val="18"/>
          <w:lang w:val="es-ES_tradnl"/>
        </w:rPr>
        <w:t xml:space="preserve">destinada a impedir los abusos de poder por parte de </w:t>
      </w:r>
      <w:r>
        <w:rPr>
          <w:spacing w:val="-5"/>
          <w:sz w:val="18"/>
          <w:szCs w:val="18"/>
          <w:lang w:val="es-ES_tradnl"/>
        </w:rPr>
        <w:t>las autoridades, es decir, cumple la funci</w:t>
      </w:r>
      <w:r>
        <w:rPr>
          <w:rFonts w:cs="Times New Roman"/>
          <w:spacing w:val="-5"/>
          <w:sz w:val="18"/>
          <w:szCs w:val="18"/>
          <w:lang w:val="es-ES_tradnl"/>
        </w:rPr>
        <w:t>ó</w:t>
      </w:r>
      <w:r>
        <w:rPr>
          <w:spacing w:val="-5"/>
          <w:sz w:val="18"/>
          <w:szCs w:val="18"/>
          <w:lang w:val="es-ES_tradnl"/>
        </w:rPr>
        <w:t xml:space="preserve">n de controlar </w:t>
      </w:r>
      <w:r>
        <w:rPr>
          <w:spacing w:val="-4"/>
          <w:sz w:val="18"/>
          <w:szCs w:val="18"/>
          <w:lang w:val="es-ES_tradnl"/>
        </w:rPr>
        <w:t xml:space="preserve">que los procedimientos y decisiones jurisdiccionales o </w:t>
      </w:r>
      <w:r>
        <w:rPr>
          <w:spacing w:val="-5"/>
          <w:sz w:val="18"/>
          <w:szCs w:val="18"/>
          <w:lang w:val="es-ES_tradnl"/>
        </w:rPr>
        <w:t xml:space="preserve">administrativas se sometan a las normas y principios </w:t>
      </w:r>
      <w:r>
        <w:rPr>
          <w:spacing w:val="-7"/>
          <w:sz w:val="18"/>
          <w:szCs w:val="18"/>
          <w:lang w:val="es-ES_tradnl"/>
        </w:rPr>
        <w:t>constitucionales, cuya consecuencia es impedir que estas</w:t>
      </w:r>
    </w:p>
    <w:p w14:paraId="4F67BA32" w14:textId="77777777" w:rsidR="00591D54" w:rsidRDefault="00591D54">
      <w:pPr>
        <w:shd w:val="clear" w:color="auto" w:fill="FFFFFF"/>
        <w:tabs>
          <w:tab w:val="left" w:pos="139"/>
        </w:tabs>
        <w:spacing w:before="523" w:line="178" w:lineRule="exact"/>
        <w:ind w:left="139" w:right="5" w:hanging="139"/>
        <w:jc w:val="both"/>
      </w:pPr>
      <w:r>
        <w:rPr>
          <w:sz w:val="10"/>
          <w:szCs w:val="10"/>
          <w:vertAlign w:val="superscript"/>
          <w:lang w:val="es-ES_tradnl"/>
        </w:rPr>
        <w:t>4</w:t>
      </w:r>
      <w:r>
        <w:rPr>
          <w:sz w:val="18"/>
          <w:szCs w:val="18"/>
          <w:lang w:val="es-ES_tradnl"/>
        </w:rPr>
        <w:tab/>
      </w:r>
      <w:r>
        <w:rPr>
          <w:spacing w:val="-9"/>
          <w:sz w:val="16"/>
          <w:szCs w:val="16"/>
          <w:lang w:val="es-ES_tradnl"/>
        </w:rPr>
        <w:t>Corte</w:t>
      </w:r>
      <w:r>
        <w:rPr>
          <w:spacing w:val="-9"/>
          <w:sz w:val="18"/>
          <w:szCs w:val="18"/>
          <w:lang w:val="es-ES_tradnl"/>
        </w:rPr>
        <w:t xml:space="preserve"> </w:t>
      </w:r>
      <w:r>
        <w:rPr>
          <w:spacing w:val="-9"/>
          <w:sz w:val="16"/>
          <w:szCs w:val="16"/>
          <w:lang w:val="es-ES_tradnl"/>
        </w:rPr>
        <w:t>Constitucional</w:t>
      </w:r>
      <w:r>
        <w:rPr>
          <w:spacing w:val="-9"/>
          <w:sz w:val="18"/>
          <w:szCs w:val="18"/>
          <w:lang w:val="es-ES_tradnl"/>
        </w:rPr>
        <w:t xml:space="preserve"> </w:t>
      </w:r>
      <w:r>
        <w:rPr>
          <w:spacing w:val="-9"/>
          <w:sz w:val="16"/>
          <w:szCs w:val="16"/>
          <w:lang w:val="es-ES_tradnl"/>
        </w:rPr>
        <w:t>del</w:t>
      </w:r>
      <w:r>
        <w:rPr>
          <w:spacing w:val="-9"/>
          <w:sz w:val="18"/>
          <w:szCs w:val="18"/>
          <w:lang w:val="es-ES_tradnl"/>
        </w:rPr>
        <w:t xml:space="preserve"> </w:t>
      </w:r>
      <w:r>
        <w:rPr>
          <w:spacing w:val="-9"/>
          <w:sz w:val="16"/>
          <w:szCs w:val="16"/>
          <w:lang w:val="es-ES_tradnl"/>
        </w:rPr>
        <w:t>Ecuador</w:t>
      </w:r>
      <w:r>
        <w:rPr>
          <w:spacing w:val="-9"/>
          <w:sz w:val="18"/>
          <w:szCs w:val="18"/>
          <w:lang w:val="es-ES_tradnl"/>
        </w:rPr>
        <w:t xml:space="preserve"> </w:t>
      </w:r>
      <w:r>
        <w:rPr>
          <w:spacing w:val="-9"/>
          <w:sz w:val="16"/>
          <w:szCs w:val="16"/>
          <w:lang w:val="es-ES_tradnl"/>
        </w:rPr>
        <w:t>para</w:t>
      </w:r>
      <w:r>
        <w:rPr>
          <w:spacing w:val="-9"/>
          <w:sz w:val="18"/>
          <w:szCs w:val="18"/>
          <w:lang w:val="es-ES_tradnl"/>
        </w:rPr>
        <w:t xml:space="preserve"> </w:t>
      </w:r>
      <w:r>
        <w:rPr>
          <w:spacing w:val="-9"/>
          <w:sz w:val="16"/>
          <w:szCs w:val="16"/>
          <w:lang w:val="es-ES_tradnl"/>
        </w:rPr>
        <w:t>el</w:t>
      </w:r>
      <w:r>
        <w:rPr>
          <w:spacing w:val="-9"/>
          <w:sz w:val="18"/>
          <w:szCs w:val="18"/>
          <w:lang w:val="es-ES_tradnl"/>
        </w:rPr>
        <w:t xml:space="preserve"> </w:t>
      </w:r>
      <w:r>
        <w:rPr>
          <w:spacing w:val="-9"/>
          <w:sz w:val="16"/>
          <w:szCs w:val="16"/>
          <w:lang w:val="es-ES_tradnl"/>
        </w:rPr>
        <w:t>per</w:t>
      </w:r>
      <w:r>
        <w:rPr>
          <w:rFonts w:cs="Times New Roman"/>
          <w:spacing w:val="-9"/>
          <w:sz w:val="16"/>
          <w:szCs w:val="16"/>
          <w:lang w:val="es-ES_tradnl"/>
        </w:rPr>
        <w:t>í</w:t>
      </w:r>
      <w:r>
        <w:rPr>
          <w:spacing w:val="-9"/>
          <w:sz w:val="16"/>
          <w:szCs w:val="16"/>
          <w:lang w:val="es-ES_tradnl"/>
        </w:rPr>
        <w:t>odo</w:t>
      </w:r>
      <w:r>
        <w:rPr>
          <w:spacing w:val="-9"/>
          <w:sz w:val="18"/>
          <w:szCs w:val="18"/>
          <w:lang w:val="es-ES_tradnl"/>
        </w:rPr>
        <w:t xml:space="preserve"> </w:t>
      </w:r>
      <w:r>
        <w:rPr>
          <w:spacing w:val="-9"/>
          <w:sz w:val="16"/>
          <w:szCs w:val="16"/>
          <w:lang w:val="es-ES_tradnl"/>
        </w:rPr>
        <w:t>de</w:t>
      </w:r>
      <w:r>
        <w:rPr>
          <w:spacing w:val="-9"/>
          <w:sz w:val="18"/>
          <w:szCs w:val="18"/>
          <w:lang w:val="es-ES_tradnl"/>
        </w:rPr>
        <w:t xml:space="preserve"> </w:t>
      </w:r>
      <w:r>
        <w:rPr>
          <w:spacing w:val="-9"/>
          <w:sz w:val="16"/>
          <w:szCs w:val="16"/>
          <w:lang w:val="es-ES_tradnl"/>
        </w:rPr>
        <w:t>transici</w:t>
      </w:r>
      <w:r>
        <w:rPr>
          <w:rFonts w:cs="Times New Roman"/>
          <w:spacing w:val="-9"/>
          <w:sz w:val="16"/>
          <w:szCs w:val="16"/>
          <w:lang w:val="es-ES_tradnl"/>
        </w:rPr>
        <w:t>ó</w:t>
      </w:r>
      <w:r>
        <w:rPr>
          <w:spacing w:val="-9"/>
          <w:sz w:val="16"/>
          <w:szCs w:val="16"/>
          <w:lang w:val="es-ES_tradnl"/>
        </w:rPr>
        <w:t>n, </w:t>
      </w:r>
      <w:r>
        <w:rPr>
          <w:sz w:val="16"/>
          <w:szCs w:val="16"/>
          <w:lang w:val="es-ES_tradnl"/>
        </w:rPr>
        <w:t>sentencia No. 200-12-SEP-CC.</w:t>
      </w:r>
    </w:p>
    <w:p w14:paraId="4F67BA33" w14:textId="77777777" w:rsidR="00591D54" w:rsidRDefault="00591D54">
      <w:pPr>
        <w:shd w:val="clear" w:color="auto" w:fill="FFFFFF"/>
        <w:tabs>
          <w:tab w:val="left" w:pos="139"/>
        </w:tabs>
        <w:spacing w:before="154" w:line="178" w:lineRule="exact"/>
        <w:ind w:left="139" w:right="5" w:hanging="139"/>
        <w:jc w:val="both"/>
      </w:pPr>
      <w:r>
        <w:rPr>
          <w:sz w:val="10"/>
          <w:szCs w:val="10"/>
          <w:vertAlign w:val="superscript"/>
          <w:lang w:val="es-ES_tradnl"/>
        </w:rPr>
        <w:t>5</w:t>
      </w:r>
      <w:r>
        <w:rPr>
          <w:sz w:val="18"/>
          <w:szCs w:val="18"/>
          <w:lang w:val="es-ES_tradnl"/>
        </w:rPr>
        <w:tab/>
      </w:r>
      <w:r>
        <w:rPr>
          <w:spacing w:val="-14"/>
          <w:sz w:val="16"/>
          <w:szCs w:val="16"/>
          <w:lang w:val="es-ES_tradnl"/>
        </w:rPr>
        <w:t>Cfr.</w:t>
      </w:r>
      <w:r>
        <w:rPr>
          <w:spacing w:val="-14"/>
          <w:sz w:val="18"/>
          <w:szCs w:val="18"/>
          <w:lang w:val="es-ES_tradnl"/>
        </w:rPr>
        <w:t xml:space="preserve"> </w:t>
      </w:r>
      <w:r>
        <w:rPr>
          <w:spacing w:val="-14"/>
          <w:sz w:val="16"/>
          <w:szCs w:val="16"/>
          <w:lang w:val="es-ES_tradnl"/>
        </w:rPr>
        <w:t>Caso</w:t>
      </w:r>
      <w:r>
        <w:rPr>
          <w:spacing w:val="-14"/>
          <w:sz w:val="18"/>
          <w:szCs w:val="18"/>
          <w:lang w:val="es-ES_tradnl"/>
        </w:rPr>
        <w:t xml:space="preserve"> </w:t>
      </w:r>
      <w:r>
        <w:rPr>
          <w:spacing w:val="-14"/>
          <w:sz w:val="16"/>
          <w:szCs w:val="16"/>
          <w:lang w:val="es-ES_tradnl"/>
        </w:rPr>
        <w:t>Baena</w:t>
      </w:r>
      <w:r>
        <w:rPr>
          <w:spacing w:val="-14"/>
          <w:sz w:val="18"/>
          <w:szCs w:val="18"/>
          <w:lang w:val="es-ES_tradnl"/>
        </w:rPr>
        <w:t xml:space="preserve"> </w:t>
      </w:r>
      <w:r>
        <w:rPr>
          <w:spacing w:val="-14"/>
          <w:sz w:val="16"/>
          <w:szCs w:val="16"/>
          <w:lang w:val="es-ES_tradnl"/>
        </w:rPr>
        <w:t>Ricardo</w:t>
      </w:r>
      <w:r>
        <w:rPr>
          <w:spacing w:val="-14"/>
          <w:sz w:val="18"/>
          <w:szCs w:val="18"/>
          <w:lang w:val="es-ES_tradnl"/>
        </w:rPr>
        <w:t xml:space="preserve"> </w:t>
      </w:r>
      <w:r>
        <w:rPr>
          <w:spacing w:val="-14"/>
          <w:sz w:val="16"/>
          <w:szCs w:val="16"/>
          <w:lang w:val="es-ES_tradnl"/>
        </w:rPr>
        <w:t>y</w:t>
      </w:r>
      <w:r>
        <w:rPr>
          <w:spacing w:val="-14"/>
          <w:sz w:val="18"/>
          <w:szCs w:val="18"/>
          <w:lang w:val="es-ES_tradnl"/>
        </w:rPr>
        <w:t xml:space="preserve"> </w:t>
      </w:r>
      <w:r>
        <w:rPr>
          <w:spacing w:val="-14"/>
          <w:sz w:val="16"/>
          <w:szCs w:val="16"/>
          <w:lang w:val="es-ES_tradnl"/>
        </w:rPr>
        <w:t>otros</w:t>
      </w:r>
      <w:r>
        <w:rPr>
          <w:spacing w:val="-14"/>
          <w:sz w:val="18"/>
          <w:szCs w:val="18"/>
          <w:lang w:val="es-ES_tradnl"/>
        </w:rPr>
        <w:t xml:space="preserve"> </w:t>
      </w:r>
      <w:r>
        <w:rPr>
          <w:spacing w:val="-14"/>
          <w:sz w:val="16"/>
          <w:szCs w:val="16"/>
          <w:lang w:val="es-ES_tradnl"/>
        </w:rPr>
        <w:t>(Panam</w:t>
      </w:r>
      <w:r>
        <w:rPr>
          <w:rFonts w:cs="Times New Roman"/>
          <w:spacing w:val="-14"/>
          <w:sz w:val="16"/>
          <w:szCs w:val="16"/>
          <w:lang w:val="es-ES_tradnl"/>
        </w:rPr>
        <w:t>á</w:t>
      </w:r>
      <w:r>
        <w:rPr>
          <w:spacing w:val="-14"/>
          <w:sz w:val="16"/>
          <w:szCs w:val="16"/>
          <w:lang w:val="es-ES_tradnl"/>
        </w:rPr>
        <w:t>).</w:t>
      </w:r>
      <w:r>
        <w:rPr>
          <w:spacing w:val="-14"/>
          <w:sz w:val="18"/>
          <w:szCs w:val="18"/>
          <w:lang w:val="es-ES_tradnl"/>
        </w:rPr>
        <w:t xml:space="preserve"> </w:t>
      </w:r>
      <w:r>
        <w:rPr>
          <w:spacing w:val="-14"/>
          <w:sz w:val="16"/>
          <w:szCs w:val="16"/>
          <w:lang w:val="es-ES_tradnl"/>
        </w:rPr>
        <w:t>Sentencia</w:t>
      </w:r>
      <w:r>
        <w:rPr>
          <w:spacing w:val="-14"/>
          <w:sz w:val="18"/>
          <w:szCs w:val="18"/>
          <w:lang w:val="es-ES_tradnl"/>
        </w:rPr>
        <w:t xml:space="preserve"> </w:t>
      </w:r>
      <w:r>
        <w:rPr>
          <w:spacing w:val="-14"/>
          <w:sz w:val="16"/>
          <w:szCs w:val="16"/>
          <w:lang w:val="es-ES_tradnl"/>
        </w:rPr>
        <w:t>de</w:t>
      </w:r>
      <w:r>
        <w:rPr>
          <w:spacing w:val="-14"/>
          <w:sz w:val="18"/>
          <w:szCs w:val="18"/>
          <w:lang w:val="es-ES_tradnl"/>
        </w:rPr>
        <w:t xml:space="preserve"> </w:t>
      </w:r>
      <w:r>
        <w:rPr>
          <w:spacing w:val="-14"/>
          <w:sz w:val="16"/>
          <w:szCs w:val="16"/>
          <w:lang w:val="es-ES_tradnl"/>
        </w:rPr>
        <w:t>02</w:t>
      </w:r>
      <w:r>
        <w:rPr>
          <w:spacing w:val="-14"/>
          <w:sz w:val="18"/>
          <w:szCs w:val="18"/>
          <w:lang w:val="es-ES_tradnl"/>
        </w:rPr>
        <w:t xml:space="preserve"> </w:t>
      </w:r>
      <w:r>
        <w:rPr>
          <w:spacing w:val="-14"/>
          <w:sz w:val="16"/>
          <w:szCs w:val="16"/>
          <w:lang w:val="es-ES_tradnl"/>
        </w:rPr>
        <w:t>de</w:t>
      </w:r>
      <w:r>
        <w:rPr>
          <w:spacing w:val="-14"/>
          <w:sz w:val="18"/>
          <w:szCs w:val="18"/>
          <w:lang w:val="es-ES_tradnl"/>
        </w:rPr>
        <w:t xml:space="preserve"> </w:t>
      </w:r>
      <w:r>
        <w:rPr>
          <w:spacing w:val="-14"/>
          <w:sz w:val="16"/>
          <w:szCs w:val="16"/>
          <w:lang w:val="es-ES_tradnl"/>
        </w:rPr>
        <w:t>febrero </w:t>
      </w:r>
      <w:r>
        <w:rPr>
          <w:spacing w:val="-13"/>
          <w:sz w:val="16"/>
          <w:szCs w:val="16"/>
          <w:lang w:val="es-ES_tradnl"/>
        </w:rPr>
        <w:t>de 2001. Serie C No. 72. P</w:t>
      </w:r>
      <w:r>
        <w:rPr>
          <w:rFonts w:cs="Times New Roman"/>
          <w:spacing w:val="-13"/>
          <w:sz w:val="16"/>
          <w:szCs w:val="16"/>
          <w:lang w:val="es-ES_tradnl"/>
        </w:rPr>
        <w:t>á</w:t>
      </w:r>
      <w:r>
        <w:rPr>
          <w:spacing w:val="-13"/>
          <w:sz w:val="16"/>
          <w:szCs w:val="16"/>
          <w:lang w:val="es-ES_tradnl"/>
        </w:rPr>
        <w:t>rr.92; Caso Ferm</w:t>
      </w:r>
      <w:r>
        <w:rPr>
          <w:rFonts w:cs="Times New Roman"/>
          <w:spacing w:val="-13"/>
          <w:sz w:val="16"/>
          <w:szCs w:val="16"/>
          <w:lang w:val="es-ES_tradnl"/>
        </w:rPr>
        <w:t>í</w:t>
      </w:r>
      <w:r>
        <w:rPr>
          <w:spacing w:val="-13"/>
          <w:sz w:val="16"/>
          <w:szCs w:val="16"/>
          <w:lang w:val="es-ES_tradnl"/>
        </w:rPr>
        <w:t>n Ram</w:t>
      </w:r>
      <w:r>
        <w:rPr>
          <w:rFonts w:cs="Times New Roman"/>
          <w:spacing w:val="-13"/>
          <w:sz w:val="16"/>
          <w:szCs w:val="16"/>
          <w:lang w:val="es-ES_tradnl"/>
        </w:rPr>
        <w:t>í</w:t>
      </w:r>
      <w:r>
        <w:rPr>
          <w:spacing w:val="-13"/>
          <w:sz w:val="16"/>
          <w:szCs w:val="16"/>
          <w:lang w:val="es-ES_tradnl"/>
        </w:rPr>
        <w:t>rez (Guatemala). </w:t>
      </w:r>
      <w:r>
        <w:rPr>
          <w:spacing w:val="-11"/>
          <w:sz w:val="16"/>
          <w:szCs w:val="16"/>
          <w:lang w:val="es-ES_tradnl"/>
        </w:rPr>
        <w:t>Sentencia de 20 de junio de 2005. Serie C No. 126. P</w:t>
      </w:r>
      <w:r>
        <w:rPr>
          <w:rFonts w:cs="Times New Roman"/>
          <w:spacing w:val="-11"/>
          <w:sz w:val="16"/>
          <w:szCs w:val="16"/>
          <w:lang w:val="es-ES_tradnl"/>
        </w:rPr>
        <w:t>á</w:t>
      </w:r>
      <w:r>
        <w:rPr>
          <w:spacing w:val="-11"/>
          <w:sz w:val="16"/>
          <w:szCs w:val="16"/>
          <w:lang w:val="es-ES_tradnl"/>
        </w:rPr>
        <w:t>rr 78.</w:t>
      </w:r>
    </w:p>
    <w:p w14:paraId="4F67BA34" w14:textId="77777777" w:rsidR="00591D54" w:rsidRDefault="00591D54">
      <w:pPr>
        <w:shd w:val="clear" w:color="auto" w:fill="FFFFFF"/>
        <w:spacing w:before="10" w:line="221" w:lineRule="exact"/>
        <w:jc w:val="both"/>
      </w:pPr>
      <w:r>
        <w:br w:type="column"/>
      </w:r>
      <w:r>
        <w:rPr>
          <w:spacing w:val="-8"/>
          <w:sz w:val="18"/>
          <w:szCs w:val="18"/>
          <w:lang w:val="es-ES_tradnl"/>
        </w:rPr>
        <w:t>decisiones se tornen en ileg</w:t>
      </w:r>
      <w:r>
        <w:rPr>
          <w:rFonts w:cs="Times New Roman"/>
          <w:spacing w:val="-8"/>
          <w:sz w:val="18"/>
          <w:szCs w:val="18"/>
          <w:lang w:val="es-ES_tradnl"/>
        </w:rPr>
        <w:t>í</w:t>
      </w:r>
      <w:r>
        <w:rPr>
          <w:spacing w:val="-8"/>
          <w:sz w:val="18"/>
          <w:szCs w:val="18"/>
          <w:lang w:val="es-ES_tradnl"/>
        </w:rPr>
        <w:t xml:space="preserve">timas, que amenacen, afecten </w:t>
      </w:r>
      <w:r>
        <w:rPr>
          <w:spacing w:val="-7"/>
          <w:sz w:val="18"/>
          <w:szCs w:val="18"/>
          <w:lang w:val="es-ES_tradnl"/>
        </w:rPr>
        <w:t>o lesionen alg</w:t>
      </w:r>
      <w:r>
        <w:rPr>
          <w:rFonts w:cs="Times New Roman"/>
          <w:spacing w:val="-7"/>
          <w:sz w:val="18"/>
          <w:szCs w:val="18"/>
          <w:lang w:val="es-ES_tradnl"/>
        </w:rPr>
        <w:t>ú</w:t>
      </w:r>
      <w:r>
        <w:rPr>
          <w:spacing w:val="-7"/>
          <w:sz w:val="18"/>
          <w:szCs w:val="18"/>
          <w:lang w:val="es-ES_tradnl"/>
        </w:rPr>
        <w:t>n derecho constitucional, espec</w:t>
      </w:r>
      <w:r>
        <w:rPr>
          <w:rFonts w:cs="Times New Roman"/>
          <w:spacing w:val="-7"/>
          <w:sz w:val="18"/>
          <w:szCs w:val="18"/>
          <w:lang w:val="es-ES_tradnl"/>
        </w:rPr>
        <w:t>í</w:t>
      </w:r>
      <w:r>
        <w:rPr>
          <w:spacing w:val="-7"/>
          <w:sz w:val="18"/>
          <w:szCs w:val="18"/>
          <w:lang w:val="es-ES_tradnl"/>
        </w:rPr>
        <w:t>ficamente, como derivaci</w:t>
      </w:r>
      <w:r>
        <w:rPr>
          <w:rFonts w:cs="Times New Roman"/>
          <w:spacing w:val="-7"/>
          <w:sz w:val="18"/>
          <w:szCs w:val="18"/>
          <w:lang w:val="es-ES_tradnl"/>
        </w:rPr>
        <w:t>ó</w:t>
      </w:r>
      <w:r>
        <w:rPr>
          <w:spacing w:val="-7"/>
          <w:sz w:val="18"/>
          <w:szCs w:val="18"/>
          <w:lang w:val="es-ES_tradnl"/>
        </w:rPr>
        <w:t>n de la vulneraci</w:t>
      </w:r>
      <w:r>
        <w:rPr>
          <w:rFonts w:cs="Times New Roman"/>
          <w:spacing w:val="-7"/>
          <w:sz w:val="18"/>
          <w:szCs w:val="18"/>
          <w:lang w:val="es-ES_tradnl"/>
        </w:rPr>
        <w:t>ó</w:t>
      </w:r>
      <w:r>
        <w:rPr>
          <w:spacing w:val="-7"/>
          <w:sz w:val="18"/>
          <w:szCs w:val="18"/>
          <w:lang w:val="es-ES_tradnl"/>
        </w:rPr>
        <w:t xml:space="preserve">n de las reglas del debido </w:t>
      </w:r>
      <w:r>
        <w:rPr>
          <w:sz w:val="18"/>
          <w:szCs w:val="18"/>
          <w:lang w:val="es-ES_tradnl"/>
        </w:rPr>
        <w:t>proceso.</w:t>
      </w:r>
    </w:p>
    <w:p w14:paraId="4F67BA35" w14:textId="77777777" w:rsidR="00591D54" w:rsidRDefault="00591D54">
      <w:pPr>
        <w:shd w:val="clear" w:color="auto" w:fill="FFFFFF"/>
        <w:spacing w:before="197" w:line="216" w:lineRule="exact"/>
        <w:jc w:val="both"/>
      </w:pPr>
      <w:r>
        <w:rPr>
          <w:sz w:val="18"/>
          <w:szCs w:val="18"/>
          <w:lang w:val="es-ES_tradnl"/>
        </w:rPr>
        <w:t xml:space="preserve">En concreto, el debido proceso involucra el concepto </w:t>
      </w:r>
      <w:r>
        <w:rPr>
          <w:spacing w:val="-6"/>
          <w:sz w:val="18"/>
          <w:szCs w:val="18"/>
          <w:lang w:val="es-ES_tradnl"/>
        </w:rPr>
        <w:t>de prevenci</w:t>
      </w:r>
      <w:r>
        <w:rPr>
          <w:rFonts w:cs="Times New Roman"/>
          <w:spacing w:val="-6"/>
          <w:sz w:val="18"/>
          <w:szCs w:val="18"/>
          <w:lang w:val="es-ES_tradnl"/>
        </w:rPr>
        <w:t>ó</w:t>
      </w:r>
      <w:r>
        <w:rPr>
          <w:spacing w:val="-6"/>
          <w:sz w:val="18"/>
          <w:szCs w:val="18"/>
          <w:lang w:val="es-ES_tradnl"/>
        </w:rPr>
        <w:t xml:space="preserve">n, en tanto se orienta a controlar que la </w:t>
      </w:r>
      <w:r>
        <w:rPr>
          <w:spacing w:val="-4"/>
          <w:sz w:val="18"/>
          <w:szCs w:val="18"/>
          <w:lang w:val="es-ES_tradnl"/>
        </w:rPr>
        <w:t>administraci</w:t>
      </w:r>
      <w:r>
        <w:rPr>
          <w:rFonts w:cs="Times New Roman"/>
          <w:spacing w:val="-4"/>
          <w:sz w:val="18"/>
          <w:szCs w:val="18"/>
          <w:lang w:val="es-ES_tradnl"/>
        </w:rPr>
        <w:t>ó</w:t>
      </w:r>
      <w:r>
        <w:rPr>
          <w:spacing w:val="-4"/>
          <w:sz w:val="18"/>
          <w:szCs w:val="18"/>
          <w:lang w:val="es-ES_tradnl"/>
        </w:rPr>
        <w:t>n y legislaci</w:t>
      </w:r>
      <w:r>
        <w:rPr>
          <w:rFonts w:cs="Times New Roman"/>
          <w:spacing w:val="-4"/>
          <w:sz w:val="18"/>
          <w:szCs w:val="18"/>
          <w:lang w:val="es-ES_tradnl"/>
        </w:rPr>
        <w:t>ó</w:t>
      </w:r>
      <w:r>
        <w:rPr>
          <w:spacing w:val="-4"/>
          <w:sz w:val="18"/>
          <w:szCs w:val="18"/>
          <w:lang w:val="es-ES_tradnl"/>
        </w:rPr>
        <w:t xml:space="preserve">n no se circunscriban a los </w:t>
      </w:r>
      <w:r>
        <w:rPr>
          <w:spacing w:val="-3"/>
          <w:sz w:val="18"/>
          <w:szCs w:val="18"/>
          <w:lang w:val="es-ES_tradnl"/>
        </w:rPr>
        <w:t xml:space="preserve">criterios de discrecionalidad, sino que su actividad se </w:t>
      </w:r>
      <w:r>
        <w:rPr>
          <w:spacing w:val="-6"/>
          <w:sz w:val="18"/>
          <w:szCs w:val="18"/>
          <w:lang w:val="es-ES_tradnl"/>
        </w:rPr>
        <w:t xml:space="preserve">justifique mediante discernimientos que garanticen la </w:t>
      </w:r>
      <w:r>
        <w:rPr>
          <w:spacing w:val="-10"/>
          <w:sz w:val="18"/>
          <w:szCs w:val="18"/>
          <w:lang w:val="es-ES_tradnl"/>
        </w:rPr>
        <w:t xml:space="preserve">razonabilidad. En este sentido, el derecho al debido proceso </w:t>
      </w:r>
      <w:r>
        <w:rPr>
          <w:spacing w:val="-7"/>
          <w:sz w:val="18"/>
          <w:szCs w:val="18"/>
          <w:lang w:val="es-ES_tradnl"/>
        </w:rPr>
        <w:t>se constituye en el l</w:t>
      </w:r>
      <w:r>
        <w:rPr>
          <w:rFonts w:cs="Times New Roman"/>
          <w:spacing w:val="-7"/>
          <w:sz w:val="18"/>
          <w:szCs w:val="18"/>
          <w:lang w:val="es-ES_tradnl"/>
        </w:rPr>
        <w:t>í</w:t>
      </w:r>
      <w:r>
        <w:rPr>
          <w:spacing w:val="-7"/>
          <w:sz w:val="18"/>
          <w:szCs w:val="18"/>
          <w:lang w:val="es-ES_tradnl"/>
        </w:rPr>
        <w:t xml:space="preserve">mite material frente al posible ejercicio </w:t>
      </w:r>
      <w:r>
        <w:rPr>
          <w:spacing w:val="-8"/>
          <w:sz w:val="18"/>
          <w:szCs w:val="18"/>
          <w:lang w:val="es-ES_tradnl"/>
        </w:rPr>
        <w:t xml:space="preserve">arbitrario de las facultades por parte de las autoridades del </w:t>
      </w:r>
      <w:r>
        <w:rPr>
          <w:sz w:val="18"/>
          <w:szCs w:val="18"/>
          <w:lang w:val="es-ES_tradnl"/>
        </w:rPr>
        <w:t>Estado.</w:t>
      </w:r>
    </w:p>
    <w:p w14:paraId="4F67BA36" w14:textId="77777777" w:rsidR="00591D54" w:rsidRDefault="00591D54">
      <w:pPr>
        <w:shd w:val="clear" w:color="auto" w:fill="FFFFFF"/>
        <w:spacing w:before="192" w:line="216" w:lineRule="exact"/>
        <w:jc w:val="both"/>
      </w:pPr>
      <w:r>
        <w:rPr>
          <w:spacing w:val="-3"/>
          <w:sz w:val="18"/>
          <w:szCs w:val="18"/>
          <w:lang w:val="es-ES_tradnl"/>
        </w:rPr>
        <w:t>Con relaci</w:t>
      </w:r>
      <w:r>
        <w:rPr>
          <w:rFonts w:cs="Times New Roman"/>
          <w:spacing w:val="-3"/>
          <w:sz w:val="18"/>
          <w:szCs w:val="18"/>
          <w:lang w:val="es-ES_tradnl"/>
        </w:rPr>
        <w:t>ó</w:t>
      </w:r>
      <w:r>
        <w:rPr>
          <w:spacing w:val="-3"/>
          <w:sz w:val="18"/>
          <w:szCs w:val="18"/>
          <w:lang w:val="es-ES_tradnl"/>
        </w:rPr>
        <w:t xml:space="preserve">n al caso </w:t>
      </w:r>
      <w:r>
        <w:rPr>
          <w:i/>
          <w:iCs/>
          <w:spacing w:val="-3"/>
          <w:sz w:val="18"/>
          <w:szCs w:val="18"/>
          <w:lang w:val="es-ES_tradnl"/>
        </w:rPr>
        <w:t>sub judice</w:t>
      </w:r>
      <w:r>
        <w:rPr>
          <w:spacing w:val="-3"/>
          <w:sz w:val="18"/>
          <w:szCs w:val="18"/>
          <w:lang w:val="es-ES_tradnl"/>
        </w:rPr>
        <w:t xml:space="preserve">, el fundamento de la </w:t>
      </w:r>
      <w:r>
        <w:rPr>
          <w:spacing w:val="-6"/>
          <w:sz w:val="18"/>
          <w:szCs w:val="18"/>
          <w:lang w:val="es-ES_tradnl"/>
        </w:rPr>
        <w:t>presente acci</w:t>
      </w:r>
      <w:r>
        <w:rPr>
          <w:rFonts w:cs="Times New Roman"/>
          <w:spacing w:val="-6"/>
          <w:sz w:val="18"/>
          <w:szCs w:val="18"/>
          <w:lang w:val="es-ES_tradnl"/>
        </w:rPr>
        <w:t>ó</w:t>
      </w:r>
      <w:r>
        <w:rPr>
          <w:spacing w:val="-6"/>
          <w:sz w:val="18"/>
          <w:szCs w:val="18"/>
          <w:lang w:val="es-ES_tradnl"/>
        </w:rPr>
        <w:t xml:space="preserve">n jurisdiccional constitucional se refiere </w:t>
      </w:r>
      <w:r>
        <w:rPr>
          <w:spacing w:val="-13"/>
          <w:sz w:val="18"/>
          <w:szCs w:val="18"/>
          <w:lang w:val="es-ES_tradnl"/>
        </w:rPr>
        <w:t>espec</w:t>
      </w:r>
      <w:r>
        <w:rPr>
          <w:rFonts w:cs="Times New Roman"/>
          <w:spacing w:val="-13"/>
          <w:sz w:val="18"/>
          <w:szCs w:val="18"/>
          <w:lang w:val="es-ES_tradnl"/>
        </w:rPr>
        <w:t>í</w:t>
      </w:r>
      <w:r>
        <w:rPr>
          <w:spacing w:val="-13"/>
          <w:sz w:val="18"/>
          <w:szCs w:val="18"/>
          <w:lang w:val="es-ES_tradnl"/>
        </w:rPr>
        <w:t>ficamente a que, seg</w:t>
      </w:r>
      <w:r>
        <w:rPr>
          <w:rFonts w:cs="Times New Roman"/>
          <w:spacing w:val="-13"/>
          <w:sz w:val="18"/>
          <w:szCs w:val="18"/>
          <w:lang w:val="es-ES_tradnl"/>
        </w:rPr>
        <w:t>ú</w:t>
      </w:r>
      <w:r>
        <w:rPr>
          <w:spacing w:val="-13"/>
          <w:sz w:val="18"/>
          <w:szCs w:val="18"/>
          <w:lang w:val="es-ES_tradnl"/>
        </w:rPr>
        <w:t xml:space="preserve">n los accionantes, en la sentencia </w:t>
      </w:r>
      <w:r>
        <w:rPr>
          <w:spacing w:val="-9"/>
          <w:sz w:val="18"/>
          <w:szCs w:val="18"/>
          <w:lang w:val="es-ES_tradnl"/>
        </w:rPr>
        <w:t>materia de la impugnaci</w:t>
      </w:r>
      <w:r>
        <w:rPr>
          <w:rFonts w:cs="Times New Roman"/>
          <w:spacing w:val="-9"/>
          <w:sz w:val="18"/>
          <w:szCs w:val="18"/>
          <w:lang w:val="es-ES_tradnl"/>
        </w:rPr>
        <w:t>ó</w:t>
      </w:r>
      <w:r>
        <w:rPr>
          <w:spacing w:val="-9"/>
          <w:sz w:val="18"/>
          <w:szCs w:val="18"/>
          <w:lang w:val="es-ES_tradnl"/>
        </w:rPr>
        <w:t>n, presuntamente, no se consider</w:t>
      </w:r>
      <w:r>
        <w:rPr>
          <w:rFonts w:cs="Times New Roman"/>
          <w:spacing w:val="-9"/>
          <w:sz w:val="18"/>
          <w:szCs w:val="18"/>
          <w:lang w:val="es-ES_tradnl"/>
        </w:rPr>
        <w:t xml:space="preserve">ó </w:t>
      </w:r>
      <w:r>
        <w:rPr>
          <w:spacing w:val="-8"/>
          <w:sz w:val="18"/>
          <w:szCs w:val="18"/>
          <w:lang w:val="es-ES_tradnl"/>
        </w:rPr>
        <w:t>que el acto administrativo por el cual se clausur</w:t>
      </w:r>
      <w:r>
        <w:rPr>
          <w:rFonts w:cs="Times New Roman"/>
          <w:spacing w:val="-8"/>
          <w:sz w:val="18"/>
          <w:szCs w:val="18"/>
          <w:lang w:val="es-ES_tradnl"/>
        </w:rPr>
        <w:t>ó</w:t>
      </w:r>
      <w:r>
        <w:rPr>
          <w:spacing w:val="-8"/>
          <w:sz w:val="18"/>
          <w:szCs w:val="18"/>
          <w:lang w:val="es-ES_tradnl"/>
        </w:rPr>
        <w:t xml:space="preserve"> el local de </w:t>
      </w:r>
      <w:r>
        <w:rPr>
          <w:spacing w:val="-9"/>
          <w:sz w:val="18"/>
          <w:szCs w:val="18"/>
          <w:lang w:val="es-ES_tradnl"/>
        </w:rPr>
        <w:t>propiedad de la se</w:t>
      </w:r>
      <w:r>
        <w:rPr>
          <w:rFonts w:cs="Times New Roman"/>
          <w:spacing w:val="-9"/>
          <w:sz w:val="18"/>
          <w:szCs w:val="18"/>
          <w:lang w:val="es-ES_tradnl"/>
        </w:rPr>
        <w:t>ñ</w:t>
      </w:r>
      <w:r>
        <w:rPr>
          <w:spacing w:val="-9"/>
          <w:sz w:val="18"/>
          <w:szCs w:val="18"/>
          <w:lang w:val="es-ES_tradnl"/>
        </w:rPr>
        <w:t>ora Gloria Calder</w:t>
      </w:r>
      <w:r>
        <w:rPr>
          <w:rFonts w:cs="Times New Roman"/>
          <w:spacing w:val="-9"/>
          <w:sz w:val="18"/>
          <w:szCs w:val="18"/>
          <w:lang w:val="es-ES_tradnl"/>
        </w:rPr>
        <w:t>ó</w:t>
      </w:r>
      <w:r>
        <w:rPr>
          <w:spacing w:val="-9"/>
          <w:sz w:val="18"/>
          <w:szCs w:val="18"/>
          <w:lang w:val="es-ES_tradnl"/>
        </w:rPr>
        <w:t>n S</w:t>
      </w:r>
      <w:r>
        <w:rPr>
          <w:rFonts w:cs="Times New Roman"/>
          <w:spacing w:val="-9"/>
          <w:sz w:val="18"/>
          <w:szCs w:val="18"/>
          <w:lang w:val="es-ES_tradnl"/>
        </w:rPr>
        <w:t>á</w:t>
      </w:r>
      <w:r>
        <w:rPr>
          <w:spacing w:val="-9"/>
          <w:sz w:val="18"/>
          <w:szCs w:val="18"/>
          <w:lang w:val="es-ES_tradnl"/>
        </w:rPr>
        <w:t>nchez, se realiz</w:t>
      </w:r>
      <w:r>
        <w:rPr>
          <w:rFonts w:cs="Times New Roman"/>
          <w:spacing w:val="-9"/>
          <w:sz w:val="18"/>
          <w:szCs w:val="18"/>
          <w:lang w:val="es-ES_tradnl"/>
        </w:rPr>
        <w:t xml:space="preserve">ó </w:t>
      </w:r>
      <w:r>
        <w:rPr>
          <w:rFonts w:ascii="Arial Unicode MS" w:eastAsia="Arial Unicode MS" w:hAnsi="Arial Unicode MS" w:cs="Arial Unicode MS" w:hint="eastAsia"/>
          <w:spacing w:val="-7"/>
          <w:sz w:val="18"/>
          <w:szCs w:val="18"/>
          <w:lang w:val="es-ES_tradnl"/>
        </w:rPr>
        <w:t>‒</w:t>
      </w:r>
      <w:r>
        <w:rPr>
          <w:spacing w:val="-7"/>
          <w:sz w:val="18"/>
          <w:szCs w:val="18"/>
          <w:lang w:val="es-ES_tradnl"/>
        </w:rPr>
        <w:t>a su criterio</w:t>
      </w:r>
      <w:r>
        <w:rPr>
          <w:rFonts w:ascii="Arial Unicode MS" w:eastAsia="Arial Unicode MS" w:hAnsi="Arial Unicode MS" w:cs="Arial Unicode MS" w:hint="eastAsia"/>
          <w:spacing w:val="-7"/>
          <w:sz w:val="18"/>
          <w:szCs w:val="18"/>
          <w:lang w:val="es-ES_tradnl"/>
        </w:rPr>
        <w:t>‒</w:t>
      </w:r>
      <w:r>
        <w:rPr>
          <w:spacing w:val="-7"/>
          <w:sz w:val="18"/>
          <w:szCs w:val="18"/>
          <w:lang w:val="es-ES_tradnl"/>
        </w:rPr>
        <w:t xml:space="preserve"> porque contravino la Ordenanza Municipal </w:t>
      </w:r>
      <w:r>
        <w:rPr>
          <w:spacing w:val="-8"/>
          <w:sz w:val="18"/>
          <w:szCs w:val="18"/>
          <w:lang w:val="es-ES_tradnl"/>
        </w:rPr>
        <w:t>de Higiene y Abasto del cant</w:t>
      </w:r>
      <w:r>
        <w:rPr>
          <w:rFonts w:cs="Times New Roman"/>
          <w:spacing w:val="-8"/>
          <w:sz w:val="18"/>
          <w:szCs w:val="18"/>
          <w:lang w:val="es-ES_tradnl"/>
        </w:rPr>
        <w:t>ó</w:t>
      </w:r>
      <w:r>
        <w:rPr>
          <w:spacing w:val="-8"/>
          <w:sz w:val="18"/>
          <w:szCs w:val="18"/>
          <w:lang w:val="es-ES_tradnl"/>
        </w:rPr>
        <w:t xml:space="preserve">n La Libertad y por no contar </w:t>
      </w:r>
      <w:r>
        <w:rPr>
          <w:spacing w:val="-7"/>
          <w:sz w:val="18"/>
          <w:szCs w:val="18"/>
          <w:lang w:val="es-ES_tradnl"/>
        </w:rPr>
        <w:t>con el permiso de funcionamiento establecido en la ley.</w:t>
      </w:r>
    </w:p>
    <w:p w14:paraId="4F67BA37" w14:textId="77777777" w:rsidR="00591D54" w:rsidRDefault="00591D54">
      <w:pPr>
        <w:shd w:val="clear" w:color="auto" w:fill="FFFFFF"/>
        <w:spacing w:before="192" w:line="216" w:lineRule="exact"/>
        <w:jc w:val="both"/>
      </w:pPr>
      <w:r>
        <w:rPr>
          <w:spacing w:val="-6"/>
          <w:sz w:val="18"/>
          <w:szCs w:val="18"/>
          <w:lang w:val="es-ES_tradnl"/>
        </w:rPr>
        <w:t>La sentencia impugnada, que ratific</w:t>
      </w:r>
      <w:r>
        <w:rPr>
          <w:rFonts w:cs="Times New Roman"/>
          <w:spacing w:val="-6"/>
          <w:sz w:val="18"/>
          <w:szCs w:val="18"/>
          <w:lang w:val="es-ES_tradnl"/>
        </w:rPr>
        <w:t>ó</w:t>
      </w:r>
      <w:r>
        <w:rPr>
          <w:spacing w:val="-6"/>
          <w:sz w:val="18"/>
          <w:szCs w:val="18"/>
          <w:lang w:val="es-ES_tradnl"/>
        </w:rPr>
        <w:t xml:space="preserve"> la sentencia subida en grado y mediante la cual se dej</w:t>
      </w:r>
      <w:r>
        <w:rPr>
          <w:rFonts w:cs="Times New Roman"/>
          <w:spacing w:val="-6"/>
          <w:sz w:val="18"/>
          <w:szCs w:val="18"/>
          <w:lang w:val="es-ES_tradnl"/>
        </w:rPr>
        <w:t>ó</w:t>
      </w:r>
      <w:r>
        <w:rPr>
          <w:spacing w:val="-6"/>
          <w:sz w:val="18"/>
          <w:szCs w:val="18"/>
          <w:lang w:val="es-ES_tradnl"/>
        </w:rPr>
        <w:t xml:space="preserve"> sin efecto el acto </w:t>
      </w:r>
      <w:r>
        <w:rPr>
          <w:spacing w:val="-4"/>
          <w:sz w:val="18"/>
          <w:szCs w:val="18"/>
          <w:lang w:val="es-ES_tradnl"/>
        </w:rPr>
        <w:t xml:space="preserve">administrativo realizado por el Comisario Municipal del </w:t>
      </w:r>
      <w:r>
        <w:rPr>
          <w:spacing w:val="-3"/>
          <w:sz w:val="18"/>
          <w:szCs w:val="18"/>
          <w:lang w:val="es-ES_tradnl"/>
        </w:rPr>
        <w:t>cant</w:t>
      </w:r>
      <w:r>
        <w:rPr>
          <w:rFonts w:cs="Times New Roman"/>
          <w:spacing w:val="-3"/>
          <w:sz w:val="18"/>
          <w:szCs w:val="18"/>
          <w:lang w:val="es-ES_tradnl"/>
        </w:rPr>
        <w:t>ó</w:t>
      </w:r>
      <w:r>
        <w:rPr>
          <w:spacing w:val="-3"/>
          <w:sz w:val="18"/>
          <w:szCs w:val="18"/>
          <w:lang w:val="es-ES_tradnl"/>
        </w:rPr>
        <w:t>n La Libertad, por el cual se clausur</w:t>
      </w:r>
      <w:r>
        <w:rPr>
          <w:rFonts w:cs="Times New Roman"/>
          <w:spacing w:val="-3"/>
          <w:sz w:val="18"/>
          <w:szCs w:val="18"/>
          <w:lang w:val="es-ES_tradnl"/>
        </w:rPr>
        <w:t>ó</w:t>
      </w:r>
      <w:r>
        <w:rPr>
          <w:spacing w:val="-3"/>
          <w:sz w:val="18"/>
          <w:szCs w:val="18"/>
          <w:lang w:val="es-ES_tradnl"/>
        </w:rPr>
        <w:t xml:space="preserve"> el local de </w:t>
      </w:r>
      <w:r>
        <w:rPr>
          <w:spacing w:val="-7"/>
          <w:sz w:val="18"/>
          <w:szCs w:val="18"/>
          <w:lang w:val="es-ES_tradnl"/>
        </w:rPr>
        <w:t>venta de pollos perteneciente a la se</w:t>
      </w:r>
      <w:r>
        <w:rPr>
          <w:rFonts w:cs="Times New Roman"/>
          <w:spacing w:val="-7"/>
          <w:sz w:val="18"/>
          <w:szCs w:val="18"/>
          <w:lang w:val="es-ES_tradnl"/>
        </w:rPr>
        <w:t>ñ</w:t>
      </w:r>
      <w:r>
        <w:rPr>
          <w:spacing w:val="-7"/>
          <w:sz w:val="18"/>
          <w:szCs w:val="18"/>
          <w:lang w:val="es-ES_tradnl"/>
        </w:rPr>
        <w:t>ora Gloria Calder</w:t>
      </w:r>
      <w:r>
        <w:rPr>
          <w:rFonts w:cs="Times New Roman"/>
          <w:spacing w:val="-7"/>
          <w:sz w:val="18"/>
          <w:szCs w:val="18"/>
          <w:lang w:val="es-ES_tradnl"/>
        </w:rPr>
        <w:t>ó</w:t>
      </w:r>
      <w:r>
        <w:rPr>
          <w:spacing w:val="-7"/>
          <w:sz w:val="18"/>
          <w:szCs w:val="18"/>
          <w:lang w:val="es-ES_tradnl"/>
        </w:rPr>
        <w:t xml:space="preserve">n, </w:t>
      </w:r>
      <w:r>
        <w:rPr>
          <w:spacing w:val="-3"/>
          <w:sz w:val="18"/>
          <w:szCs w:val="18"/>
          <w:lang w:val="es-ES_tradnl"/>
        </w:rPr>
        <w:t>estableci</w:t>
      </w:r>
      <w:r>
        <w:rPr>
          <w:rFonts w:cs="Times New Roman"/>
          <w:spacing w:val="-3"/>
          <w:sz w:val="18"/>
          <w:szCs w:val="18"/>
          <w:lang w:val="es-ES_tradnl"/>
        </w:rPr>
        <w:t>ó</w:t>
      </w:r>
      <w:r>
        <w:rPr>
          <w:spacing w:val="-3"/>
          <w:sz w:val="18"/>
          <w:szCs w:val="18"/>
          <w:lang w:val="es-ES_tradnl"/>
        </w:rPr>
        <w:t xml:space="preserve"> como argumentaci</w:t>
      </w:r>
      <w:r>
        <w:rPr>
          <w:rFonts w:cs="Times New Roman"/>
          <w:spacing w:val="-3"/>
          <w:sz w:val="18"/>
          <w:szCs w:val="18"/>
          <w:lang w:val="es-ES_tradnl"/>
        </w:rPr>
        <w:t>ó</w:t>
      </w:r>
      <w:r>
        <w:rPr>
          <w:spacing w:val="-3"/>
          <w:sz w:val="18"/>
          <w:szCs w:val="18"/>
          <w:lang w:val="es-ES_tradnl"/>
        </w:rPr>
        <w:t xml:space="preserve">n central para confirmar </w:t>
      </w:r>
      <w:r>
        <w:rPr>
          <w:spacing w:val="-6"/>
          <w:sz w:val="18"/>
          <w:szCs w:val="18"/>
          <w:lang w:val="es-ES_tradnl"/>
        </w:rPr>
        <w:t xml:space="preserve">la sentencia de la jueza </w:t>
      </w:r>
      <w:r>
        <w:rPr>
          <w:i/>
          <w:iCs/>
          <w:spacing w:val="-6"/>
          <w:sz w:val="18"/>
          <w:szCs w:val="18"/>
          <w:lang w:val="es-ES_tradnl"/>
        </w:rPr>
        <w:t>a quo</w:t>
      </w:r>
      <w:r>
        <w:rPr>
          <w:spacing w:val="-6"/>
          <w:sz w:val="18"/>
          <w:szCs w:val="18"/>
          <w:lang w:val="es-ES_tradnl"/>
        </w:rPr>
        <w:t xml:space="preserve">, que el referido comisario </w:t>
      </w:r>
      <w:r>
        <w:rPr>
          <w:spacing w:val="-5"/>
          <w:sz w:val="18"/>
          <w:szCs w:val="18"/>
          <w:lang w:val="es-ES_tradnl"/>
        </w:rPr>
        <w:t>municipal inobserv</w:t>
      </w:r>
      <w:r>
        <w:rPr>
          <w:rFonts w:cs="Times New Roman"/>
          <w:spacing w:val="-5"/>
          <w:sz w:val="18"/>
          <w:szCs w:val="18"/>
          <w:lang w:val="es-ES_tradnl"/>
        </w:rPr>
        <w:t>ó</w:t>
      </w:r>
      <w:r>
        <w:rPr>
          <w:spacing w:val="-5"/>
          <w:sz w:val="18"/>
          <w:szCs w:val="18"/>
          <w:lang w:val="es-ES_tradnl"/>
        </w:rPr>
        <w:t xml:space="preserve"> lo dispuesto en el art</w:t>
      </w:r>
      <w:r>
        <w:rPr>
          <w:rFonts w:cs="Times New Roman"/>
          <w:spacing w:val="-5"/>
          <w:sz w:val="18"/>
          <w:szCs w:val="18"/>
          <w:lang w:val="es-ES_tradnl"/>
        </w:rPr>
        <w:t>í</w:t>
      </w:r>
      <w:r>
        <w:rPr>
          <w:spacing w:val="-5"/>
          <w:sz w:val="18"/>
          <w:szCs w:val="18"/>
          <w:lang w:val="es-ES_tradnl"/>
        </w:rPr>
        <w:t xml:space="preserve">culo 64 de la </w:t>
      </w:r>
      <w:r>
        <w:rPr>
          <w:sz w:val="18"/>
          <w:szCs w:val="18"/>
          <w:lang w:val="es-ES_tradnl"/>
        </w:rPr>
        <w:t xml:space="preserve">Ordenanza Municipal de Higiene y Abasto, mediante </w:t>
      </w:r>
      <w:r>
        <w:rPr>
          <w:spacing w:val="-2"/>
          <w:sz w:val="18"/>
          <w:szCs w:val="18"/>
          <w:lang w:val="es-ES_tradnl"/>
        </w:rPr>
        <w:t xml:space="preserve">la cual se ordena citar al contraventor y que previo a </w:t>
      </w:r>
      <w:r>
        <w:rPr>
          <w:spacing w:val="-5"/>
          <w:sz w:val="18"/>
          <w:szCs w:val="18"/>
          <w:lang w:val="es-ES_tradnl"/>
        </w:rPr>
        <w:t>aplicar la pena se debi</w:t>
      </w:r>
      <w:r>
        <w:rPr>
          <w:rFonts w:cs="Times New Roman"/>
          <w:spacing w:val="-5"/>
          <w:sz w:val="18"/>
          <w:szCs w:val="18"/>
          <w:lang w:val="es-ES_tradnl"/>
        </w:rPr>
        <w:t>ó</w:t>
      </w:r>
      <w:r>
        <w:rPr>
          <w:spacing w:val="-5"/>
          <w:sz w:val="18"/>
          <w:szCs w:val="18"/>
          <w:lang w:val="es-ES_tradnl"/>
        </w:rPr>
        <w:t xml:space="preserve"> seguir el tr</w:t>
      </w:r>
      <w:r>
        <w:rPr>
          <w:rFonts w:cs="Times New Roman"/>
          <w:spacing w:val="-5"/>
          <w:sz w:val="18"/>
          <w:szCs w:val="18"/>
          <w:lang w:val="es-ES_tradnl"/>
        </w:rPr>
        <w:t>á</w:t>
      </w:r>
      <w:r>
        <w:rPr>
          <w:spacing w:val="-5"/>
          <w:sz w:val="18"/>
          <w:szCs w:val="18"/>
          <w:lang w:val="es-ES_tradnl"/>
        </w:rPr>
        <w:t xml:space="preserve">mite previsto en el </w:t>
      </w:r>
      <w:r>
        <w:rPr>
          <w:spacing w:val="-4"/>
          <w:sz w:val="18"/>
          <w:szCs w:val="18"/>
          <w:lang w:val="es-ES_tradnl"/>
        </w:rPr>
        <w:t>C</w:t>
      </w:r>
      <w:r>
        <w:rPr>
          <w:rFonts w:cs="Times New Roman"/>
          <w:spacing w:val="-4"/>
          <w:sz w:val="18"/>
          <w:szCs w:val="18"/>
          <w:lang w:val="es-ES_tradnl"/>
        </w:rPr>
        <w:t>ó</w:t>
      </w:r>
      <w:r>
        <w:rPr>
          <w:spacing w:val="-4"/>
          <w:sz w:val="18"/>
          <w:szCs w:val="18"/>
          <w:lang w:val="es-ES_tradnl"/>
        </w:rPr>
        <w:t xml:space="preserve">digo de Procedimiento Penal para el juzgamiento de </w:t>
      </w:r>
      <w:r>
        <w:rPr>
          <w:spacing w:val="-8"/>
          <w:sz w:val="18"/>
          <w:szCs w:val="18"/>
          <w:lang w:val="es-ES_tradnl"/>
        </w:rPr>
        <w:t>las contravenciones de primera clase, raz</w:t>
      </w:r>
      <w:r>
        <w:rPr>
          <w:rFonts w:cs="Times New Roman"/>
          <w:spacing w:val="-8"/>
          <w:sz w:val="18"/>
          <w:szCs w:val="18"/>
          <w:lang w:val="es-ES_tradnl"/>
        </w:rPr>
        <w:t>ó</w:t>
      </w:r>
      <w:r>
        <w:rPr>
          <w:spacing w:val="-8"/>
          <w:sz w:val="18"/>
          <w:szCs w:val="18"/>
          <w:lang w:val="es-ES_tradnl"/>
        </w:rPr>
        <w:t xml:space="preserve">n por la que se </w:t>
      </w:r>
      <w:r>
        <w:rPr>
          <w:spacing w:val="-7"/>
          <w:sz w:val="18"/>
          <w:szCs w:val="18"/>
          <w:lang w:val="es-ES_tradnl"/>
        </w:rPr>
        <w:t>vulner</w:t>
      </w:r>
      <w:r>
        <w:rPr>
          <w:rFonts w:cs="Times New Roman"/>
          <w:spacing w:val="-7"/>
          <w:sz w:val="18"/>
          <w:szCs w:val="18"/>
          <w:lang w:val="es-ES_tradnl"/>
        </w:rPr>
        <w:t>ó</w:t>
      </w:r>
      <w:r>
        <w:rPr>
          <w:spacing w:val="-7"/>
          <w:sz w:val="18"/>
          <w:szCs w:val="18"/>
          <w:lang w:val="es-ES_tradnl"/>
        </w:rPr>
        <w:t xml:space="preserve"> el derecho al debido proceso y otros, en contra de </w:t>
      </w:r>
      <w:r>
        <w:rPr>
          <w:spacing w:val="-6"/>
          <w:sz w:val="18"/>
          <w:szCs w:val="18"/>
          <w:lang w:val="es-ES_tradnl"/>
        </w:rPr>
        <w:t>la propietaria del enunciado local comercial.</w:t>
      </w:r>
    </w:p>
    <w:p w14:paraId="4F67BA38" w14:textId="77777777" w:rsidR="00591D54" w:rsidRDefault="00591D54">
      <w:pPr>
        <w:shd w:val="clear" w:color="auto" w:fill="FFFFFF"/>
        <w:spacing w:before="192" w:line="216" w:lineRule="exact"/>
        <w:jc w:val="both"/>
      </w:pPr>
      <w:r>
        <w:rPr>
          <w:spacing w:val="-7"/>
          <w:sz w:val="18"/>
          <w:szCs w:val="18"/>
          <w:lang w:val="es-ES_tradnl"/>
        </w:rPr>
        <w:t xml:space="preserve">Al respecto conviene precisar que la Corte Constitucional </w:t>
      </w:r>
      <w:r>
        <w:rPr>
          <w:spacing w:val="-9"/>
          <w:sz w:val="18"/>
          <w:szCs w:val="18"/>
          <w:lang w:val="es-ES_tradnl"/>
        </w:rPr>
        <w:t>mediante su jurisprudencia, ha destacado que:</w:t>
      </w:r>
    </w:p>
    <w:p w14:paraId="4F67BA39" w14:textId="77777777" w:rsidR="00591D54" w:rsidRDefault="00591D54">
      <w:pPr>
        <w:shd w:val="clear" w:color="auto" w:fill="FFFFFF"/>
        <w:spacing w:before="202" w:line="211" w:lineRule="exact"/>
        <w:ind w:left="283"/>
        <w:jc w:val="both"/>
      </w:pPr>
      <w:r>
        <w:rPr>
          <w:spacing w:val="-3"/>
          <w:sz w:val="16"/>
          <w:szCs w:val="16"/>
          <w:lang w:val="es-ES_tradnl"/>
        </w:rPr>
        <w:t>El debido proceso, consagrado en el art</w:t>
      </w:r>
      <w:r>
        <w:rPr>
          <w:rFonts w:cs="Times New Roman"/>
          <w:spacing w:val="-3"/>
          <w:sz w:val="16"/>
          <w:szCs w:val="16"/>
          <w:lang w:val="es-ES_tradnl"/>
        </w:rPr>
        <w:t>í</w:t>
      </w:r>
      <w:r>
        <w:rPr>
          <w:spacing w:val="-3"/>
          <w:sz w:val="16"/>
          <w:szCs w:val="16"/>
          <w:lang w:val="es-ES_tradnl"/>
        </w:rPr>
        <w:t xml:space="preserve">culo 76 de la </w:t>
      </w:r>
      <w:r>
        <w:rPr>
          <w:spacing w:val="-4"/>
          <w:sz w:val="16"/>
          <w:szCs w:val="16"/>
          <w:lang w:val="es-ES_tradnl"/>
        </w:rPr>
        <w:t>Constituci</w:t>
      </w:r>
      <w:r>
        <w:rPr>
          <w:rFonts w:cs="Times New Roman"/>
          <w:spacing w:val="-4"/>
          <w:sz w:val="16"/>
          <w:szCs w:val="16"/>
          <w:lang w:val="es-ES_tradnl"/>
        </w:rPr>
        <w:t>ó</w:t>
      </w:r>
      <w:r>
        <w:rPr>
          <w:spacing w:val="-4"/>
          <w:sz w:val="16"/>
          <w:szCs w:val="16"/>
          <w:lang w:val="es-ES_tradnl"/>
        </w:rPr>
        <w:t>n de la Rep</w:t>
      </w:r>
      <w:r>
        <w:rPr>
          <w:rFonts w:cs="Times New Roman"/>
          <w:spacing w:val="-4"/>
          <w:sz w:val="16"/>
          <w:szCs w:val="16"/>
          <w:lang w:val="es-ES_tradnl"/>
        </w:rPr>
        <w:t>ú</w:t>
      </w:r>
      <w:r>
        <w:rPr>
          <w:spacing w:val="-4"/>
          <w:sz w:val="16"/>
          <w:szCs w:val="16"/>
          <w:lang w:val="es-ES_tradnl"/>
        </w:rPr>
        <w:t xml:space="preserve">blica, constituye un derecho de </w:t>
      </w:r>
      <w:r>
        <w:rPr>
          <w:spacing w:val="-5"/>
          <w:sz w:val="16"/>
          <w:szCs w:val="16"/>
          <w:lang w:val="es-ES_tradnl"/>
        </w:rPr>
        <w:t>protecci</w:t>
      </w:r>
      <w:r>
        <w:rPr>
          <w:rFonts w:cs="Times New Roman"/>
          <w:spacing w:val="-5"/>
          <w:sz w:val="16"/>
          <w:szCs w:val="16"/>
          <w:lang w:val="es-ES_tradnl"/>
        </w:rPr>
        <w:t>ó</w:t>
      </w:r>
      <w:r>
        <w:rPr>
          <w:spacing w:val="-5"/>
          <w:sz w:val="16"/>
          <w:szCs w:val="16"/>
          <w:lang w:val="es-ES_tradnl"/>
        </w:rPr>
        <w:t xml:space="preserve">n y un principio constitucional elemental, siendo el </w:t>
      </w:r>
      <w:r>
        <w:rPr>
          <w:spacing w:val="-9"/>
          <w:sz w:val="16"/>
          <w:szCs w:val="16"/>
          <w:lang w:val="es-ES_tradnl"/>
        </w:rPr>
        <w:t>conjunto de derechos y garant</w:t>
      </w:r>
      <w:r>
        <w:rPr>
          <w:rFonts w:cs="Times New Roman"/>
          <w:spacing w:val="-9"/>
          <w:sz w:val="16"/>
          <w:szCs w:val="16"/>
          <w:lang w:val="es-ES_tradnl"/>
        </w:rPr>
        <w:t>í</w:t>
      </w:r>
      <w:r>
        <w:rPr>
          <w:spacing w:val="-9"/>
          <w:sz w:val="16"/>
          <w:szCs w:val="16"/>
          <w:lang w:val="es-ES_tradnl"/>
        </w:rPr>
        <w:t xml:space="preserve">as propias del accionado o parte </w:t>
      </w:r>
      <w:r>
        <w:rPr>
          <w:spacing w:val="-8"/>
          <w:sz w:val="16"/>
          <w:szCs w:val="16"/>
          <w:lang w:val="es-ES_tradnl"/>
        </w:rPr>
        <w:t>demandada, as</w:t>
      </w:r>
      <w:r>
        <w:rPr>
          <w:rFonts w:cs="Times New Roman"/>
          <w:spacing w:val="-8"/>
          <w:sz w:val="16"/>
          <w:szCs w:val="16"/>
          <w:lang w:val="es-ES_tradnl"/>
        </w:rPr>
        <w:t>í</w:t>
      </w:r>
      <w:r>
        <w:rPr>
          <w:spacing w:val="-8"/>
          <w:sz w:val="16"/>
          <w:szCs w:val="16"/>
          <w:lang w:val="es-ES_tradnl"/>
        </w:rPr>
        <w:t xml:space="preserve"> como las condiciones de car</w:t>
      </w:r>
      <w:r>
        <w:rPr>
          <w:rFonts w:cs="Times New Roman"/>
          <w:spacing w:val="-8"/>
          <w:sz w:val="16"/>
          <w:szCs w:val="16"/>
          <w:lang w:val="es-ES_tradnl"/>
        </w:rPr>
        <w:t>á</w:t>
      </w:r>
      <w:r>
        <w:rPr>
          <w:spacing w:val="-8"/>
          <w:sz w:val="16"/>
          <w:szCs w:val="16"/>
          <w:lang w:val="es-ES_tradnl"/>
        </w:rPr>
        <w:t xml:space="preserve">cter sustantivo y procesal, que deben cumplirse en procura de que quienes son </w:t>
      </w:r>
      <w:r>
        <w:rPr>
          <w:spacing w:val="-9"/>
          <w:sz w:val="16"/>
          <w:szCs w:val="16"/>
          <w:lang w:val="es-ES_tradnl"/>
        </w:rPr>
        <w:t>sometidos a procesos en los cuales se determinen derechos y obligaciones, gocen de las garant</w:t>
      </w:r>
      <w:r>
        <w:rPr>
          <w:rFonts w:cs="Times New Roman"/>
          <w:spacing w:val="-9"/>
          <w:sz w:val="16"/>
          <w:szCs w:val="16"/>
          <w:lang w:val="es-ES_tradnl"/>
        </w:rPr>
        <w:t>í</w:t>
      </w:r>
      <w:r>
        <w:rPr>
          <w:spacing w:val="-9"/>
          <w:sz w:val="16"/>
          <w:szCs w:val="16"/>
          <w:lang w:val="es-ES_tradnl"/>
        </w:rPr>
        <w:t xml:space="preserve">as para ejercer su derecho de </w:t>
      </w:r>
      <w:r>
        <w:rPr>
          <w:spacing w:val="-6"/>
          <w:sz w:val="16"/>
          <w:szCs w:val="16"/>
          <w:lang w:val="es-ES_tradnl"/>
        </w:rPr>
        <w:t xml:space="preserve">defensa y obtener de los </w:t>
      </w:r>
      <w:r>
        <w:rPr>
          <w:rFonts w:cs="Times New Roman"/>
          <w:spacing w:val="-6"/>
          <w:sz w:val="16"/>
          <w:szCs w:val="16"/>
          <w:lang w:val="es-ES_tradnl"/>
        </w:rPr>
        <w:t>ó</w:t>
      </w:r>
      <w:r>
        <w:rPr>
          <w:spacing w:val="-6"/>
          <w:sz w:val="16"/>
          <w:szCs w:val="16"/>
          <w:lang w:val="es-ES_tradnl"/>
        </w:rPr>
        <w:t xml:space="preserve">rganos judiciales y administrativos </w:t>
      </w:r>
      <w:r>
        <w:rPr>
          <w:sz w:val="16"/>
          <w:szCs w:val="16"/>
          <w:lang w:val="es-ES_tradnl"/>
        </w:rPr>
        <w:t>un proceso exento de arbitrariedades</w:t>
      </w:r>
      <w:r>
        <w:rPr>
          <w:sz w:val="16"/>
          <w:szCs w:val="16"/>
          <w:vertAlign w:val="superscript"/>
          <w:lang w:val="es-ES_tradnl"/>
        </w:rPr>
        <w:t>6</w:t>
      </w:r>
      <w:r>
        <w:rPr>
          <w:sz w:val="16"/>
          <w:szCs w:val="16"/>
          <w:lang w:val="es-ES_tradnl"/>
        </w:rPr>
        <w:t>.</w:t>
      </w:r>
    </w:p>
    <w:p w14:paraId="4F67BA3A" w14:textId="77777777" w:rsidR="00591D54" w:rsidRDefault="00591D54">
      <w:pPr>
        <w:shd w:val="clear" w:color="auto" w:fill="FFFFFF"/>
        <w:spacing w:before="202" w:line="216" w:lineRule="exact"/>
        <w:jc w:val="both"/>
      </w:pPr>
      <w:r>
        <w:rPr>
          <w:spacing w:val="-5"/>
          <w:sz w:val="18"/>
          <w:szCs w:val="18"/>
          <w:lang w:val="es-ES_tradnl"/>
        </w:rPr>
        <w:t>Para efectos de an</w:t>
      </w:r>
      <w:r>
        <w:rPr>
          <w:rFonts w:cs="Times New Roman"/>
          <w:spacing w:val="-5"/>
          <w:sz w:val="18"/>
          <w:szCs w:val="18"/>
          <w:lang w:val="es-ES_tradnl"/>
        </w:rPr>
        <w:t>á</w:t>
      </w:r>
      <w:r>
        <w:rPr>
          <w:spacing w:val="-5"/>
          <w:sz w:val="18"/>
          <w:szCs w:val="18"/>
          <w:lang w:val="es-ES_tradnl"/>
        </w:rPr>
        <w:t xml:space="preserve">lisis del caso </w:t>
      </w:r>
      <w:r>
        <w:rPr>
          <w:i/>
          <w:iCs/>
          <w:spacing w:val="-5"/>
          <w:sz w:val="18"/>
          <w:szCs w:val="18"/>
          <w:lang w:val="es-ES_tradnl"/>
        </w:rPr>
        <w:t xml:space="preserve">in examine, </w:t>
      </w:r>
      <w:r>
        <w:rPr>
          <w:spacing w:val="-5"/>
          <w:sz w:val="18"/>
          <w:szCs w:val="18"/>
          <w:lang w:val="es-ES_tradnl"/>
        </w:rPr>
        <w:t>conviene referir el texto del art</w:t>
      </w:r>
      <w:r>
        <w:rPr>
          <w:rFonts w:cs="Times New Roman"/>
          <w:spacing w:val="-5"/>
          <w:sz w:val="18"/>
          <w:szCs w:val="18"/>
          <w:lang w:val="es-ES_tradnl"/>
        </w:rPr>
        <w:t>í</w:t>
      </w:r>
      <w:r>
        <w:rPr>
          <w:spacing w:val="-5"/>
          <w:sz w:val="18"/>
          <w:szCs w:val="18"/>
          <w:lang w:val="es-ES_tradnl"/>
        </w:rPr>
        <w:t xml:space="preserve">culo 64 de la Ordenanza de Higiene </w:t>
      </w:r>
      <w:r>
        <w:rPr>
          <w:spacing w:val="-6"/>
          <w:sz w:val="18"/>
          <w:szCs w:val="18"/>
          <w:lang w:val="es-ES_tradnl"/>
        </w:rPr>
        <w:t>y Abasto del cant</w:t>
      </w:r>
      <w:r>
        <w:rPr>
          <w:rFonts w:cs="Times New Roman"/>
          <w:spacing w:val="-6"/>
          <w:sz w:val="18"/>
          <w:szCs w:val="18"/>
          <w:lang w:val="es-ES_tradnl"/>
        </w:rPr>
        <w:t>ó</w:t>
      </w:r>
      <w:r>
        <w:rPr>
          <w:spacing w:val="-6"/>
          <w:sz w:val="18"/>
          <w:szCs w:val="18"/>
          <w:lang w:val="es-ES_tradnl"/>
        </w:rPr>
        <w:t xml:space="preserve">n La Libertad (suplemento del Registro </w:t>
      </w:r>
      <w:r>
        <w:rPr>
          <w:spacing w:val="-7"/>
          <w:sz w:val="18"/>
          <w:szCs w:val="18"/>
          <w:lang w:val="es-ES_tradnl"/>
        </w:rPr>
        <w:t>Oficial N.</w:t>
      </w:r>
      <w:r>
        <w:rPr>
          <w:rFonts w:cs="Times New Roman"/>
          <w:spacing w:val="-7"/>
          <w:sz w:val="18"/>
          <w:szCs w:val="18"/>
          <w:lang w:val="es-ES_tradnl"/>
        </w:rPr>
        <w:t>º</w:t>
      </w:r>
      <w:r>
        <w:rPr>
          <w:spacing w:val="-7"/>
          <w:sz w:val="18"/>
          <w:szCs w:val="18"/>
          <w:lang w:val="es-ES_tradnl"/>
        </w:rPr>
        <w:t xml:space="preserve"> 316 del 15 de abril de 2008) que dispone:</w:t>
      </w:r>
    </w:p>
    <w:p w14:paraId="4F67BA3B" w14:textId="77777777" w:rsidR="00591D54" w:rsidRDefault="00591D54">
      <w:pPr>
        <w:shd w:val="clear" w:color="auto" w:fill="FFFFFF"/>
        <w:spacing w:before="672"/>
      </w:pPr>
      <w:r>
        <w:rPr>
          <w:sz w:val="16"/>
          <w:szCs w:val="16"/>
          <w:vertAlign w:val="superscript"/>
          <w:lang w:val="es-ES_tradnl"/>
        </w:rPr>
        <w:t>6</w:t>
      </w:r>
      <w:r>
        <w:rPr>
          <w:sz w:val="16"/>
          <w:szCs w:val="16"/>
          <w:lang w:val="es-ES_tradnl"/>
        </w:rPr>
        <w:t xml:space="preserve">  </w:t>
      </w:r>
      <w:r>
        <w:rPr>
          <w:spacing w:val="-10"/>
          <w:sz w:val="16"/>
          <w:szCs w:val="16"/>
          <w:lang w:val="es-ES_tradnl"/>
        </w:rPr>
        <w:t>Corte Constitucional del Ecuador; sentencia N.</w:t>
      </w:r>
      <w:r>
        <w:rPr>
          <w:rFonts w:cs="Times New Roman"/>
          <w:spacing w:val="-10"/>
          <w:sz w:val="16"/>
          <w:szCs w:val="16"/>
          <w:lang w:val="es-ES_tradnl"/>
        </w:rPr>
        <w:t>º</w:t>
      </w:r>
      <w:r>
        <w:rPr>
          <w:spacing w:val="-10"/>
          <w:sz w:val="16"/>
          <w:szCs w:val="16"/>
          <w:lang w:val="es-ES_tradnl"/>
        </w:rPr>
        <w:t xml:space="preserve"> 099-13-SEP-CC.</w:t>
      </w:r>
    </w:p>
    <w:p w14:paraId="4F67BA3C" w14:textId="77777777" w:rsidR="00591D54" w:rsidRDefault="00591D54">
      <w:pPr>
        <w:shd w:val="clear" w:color="auto" w:fill="FFFFFF"/>
        <w:spacing w:before="672"/>
        <w:sectPr w:rsidR="00591D54">
          <w:type w:val="continuous"/>
          <w:pgSz w:w="11909" w:h="16834"/>
          <w:pgMar w:top="1356" w:right="1309" w:bottom="360" w:left="1308" w:header="720" w:footer="720" w:gutter="0"/>
          <w:cols w:num="2" w:space="720" w:equalWidth="0">
            <w:col w:w="4305" w:space="682"/>
            <w:col w:w="4305"/>
          </w:cols>
          <w:noEndnote/>
        </w:sectPr>
      </w:pPr>
    </w:p>
    <w:p w14:paraId="4F67BA3D" w14:textId="77777777" w:rsidR="00591D54" w:rsidRDefault="00591D54">
      <w:pPr>
        <w:shd w:val="clear" w:color="auto" w:fill="FFFFFF"/>
        <w:tabs>
          <w:tab w:val="left" w:pos="4814"/>
        </w:tabs>
        <w:spacing w:after="230"/>
        <w:ind w:left="5"/>
      </w:pPr>
      <w:r>
        <w:rPr>
          <w:b/>
          <w:bCs/>
          <w:sz w:val="18"/>
          <w:szCs w:val="18"/>
          <w:lang w:val="es-ES_tradnl"/>
        </w:rPr>
        <w:t xml:space="preserve">276 -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A3E" w14:textId="77777777" w:rsidR="00591D54" w:rsidRDefault="00591D54">
      <w:pPr>
        <w:shd w:val="clear" w:color="auto" w:fill="FFFFFF"/>
        <w:tabs>
          <w:tab w:val="left" w:pos="4814"/>
        </w:tabs>
        <w:spacing w:after="230"/>
        <w:ind w:left="5"/>
        <w:sectPr w:rsidR="00591D54">
          <w:pgSz w:w="11909" w:h="16834"/>
          <w:pgMar w:top="1366" w:right="1309" w:bottom="360" w:left="1308" w:header="720" w:footer="720" w:gutter="0"/>
          <w:cols w:space="60"/>
          <w:noEndnote/>
        </w:sectPr>
      </w:pPr>
    </w:p>
    <w:p w14:paraId="4F67BA3F" w14:textId="77777777" w:rsidR="00591D54" w:rsidRDefault="00591D54">
      <w:pPr>
        <w:shd w:val="clear" w:color="auto" w:fill="FFFFFF"/>
        <w:spacing w:line="216" w:lineRule="exact"/>
        <w:ind w:left="283"/>
        <w:jc w:val="both"/>
      </w:pPr>
      <w:r>
        <w:rPr>
          <w:spacing w:val="-6"/>
          <w:sz w:val="16"/>
          <w:szCs w:val="16"/>
          <w:lang w:val="es-ES_tradnl"/>
        </w:rPr>
        <w:t>Para imponer las sanciones previstas en este cap</w:t>
      </w:r>
      <w:r>
        <w:rPr>
          <w:rFonts w:cs="Times New Roman"/>
          <w:spacing w:val="-6"/>
          <w:sz w:val="16"/>
          <w:szCs w:val="16"/>
          <w:lang w:val="es-ES_tradnl"/>
        </w:rPr>
        <w:t>í</w:t>
      </w:r>
      <w:r>
        <w:rPr>
          <w:spacing w:val="-6"/>
          <w:sz w:val="16"/>
          <w:szCs w:val="16"/>
          <w:lang w:val="es-ES_tradnl"/>
        </w:rPr>
        <w:t xml:space="preserve">tulo, el </w:t>
      </w:r>
      <w:r>
        <w:rPr>
          <w:spacing w:val="-5"/>
          <w:sz w:val="16"/>
          <w:szCs w:val="16"/>
          <w:lang w:val="es-ES_tradnl"/>
        </w:rPr>
        <w:t>Comisario Municipal citar</w:t>
      </w:r>
      <w:r>
        <w:rPr>
          <w:rFonts w:cs="Times New Roman"/>
          <w:spacing w:val="-5"/>
          <w:sz w:val="16"/>
          <w:szCs w:val="16"/>
          <w:lang w:val="es-ES_tradnl"/>
        </w:rPr>
        <w:t>á</w:t>
      </w:r>
      <w:r>
        <w:rPr>
          <w:spacing w:val="-5"/>
          <w:sz w:val="16"/>
          <w:szCs w:val="16"/>
          <w:lang w:val="es-ES_tradnl"/>
        </w:rPr>
        <w:t xml:space="preserve"> al contraventor y seguir</w:t>
      </w:r>
      <w:r>
        <w:rPr>
          <w:rFonts w:cs="Times New Roman"/>
          <w:spacing w:val="-5"/>
          <w:sz w:val="16"/>
          <w:szCs w:val="16"/>
          <w:lang w:val="es-ES_tradnl"/>
        </w:rPr>
        <w:t>á</w:t>
      </w:r>
      <w:r>
        <w:rPr>
          <w:spacing w:val="-5"/>
          <w:sz w:val="16"/>
          <w:szCs w:val="16"/>
          <w:lang w:val="es-ES_tradnl"/>
        </w:rPr>
        <w:t xml:space="preserve"> para aplicarle la pena, el tr</w:t>
      </w:r>
      <w:r>
        <w:rPr>
          <w:rFonts w:cs="Times New Roman"/>
          <w:spacing w:val="-5"/>
          <w:sz w:val="16"/>
          <w:szCs w:val="16"/>
          <w:lang w:val="es-ES_tradnl"/>
        </w:rPr>
        <w:t>á</w:t>
      </w:r>
      <w:r>
        <w:rPr>
          <w:spacing w:val="-5"/>
          <w:sz w:val="16"/>
          <w:szCs w:val="16"/>
          <w:lang w:val="es-ES_tradnl"/>
        </w:rPr>
        <w:t>mite establecido en el C</w:t>
      </w:r>
      <w:r>
        <w:rPr>
          <w:rFonts w:cs="Times New Roman"/>
          <w:spacing w:val="-5"/>
          <w:sz w:val="16"/>
          <w:szCs w:val="16"/>
          <w:lang w:val="es-ES_tradnl"/>
        </w:rPr>
        <w:t>ó</w:t>
      </w:r>
      <w:r>
        <w:rPr>
          <w:spacing w:val="-5"/>
          <w:sz w:val="16"/>
          <w:szCs w:val="16"/>
          <w:lang w:val="es-ES_tradnl"/>
        </w:rPr>
        <w:t xml:space="preserve">digo de </w:t>
      </w:r>
      <w:r>
        <w:rPr>
          <w:spacing w:val="-10"/>
          <w:sz w:val="16"/>
          <w:szCs w:val="16"/>
          <w:lang w:val="es-ES_tradnl"/>
        </w:rPr>
        <w:t xml:space="preserve">Procedimiento Penal para el juzgamiento de las contravenciones </w:t>
      </w:r>
      <w:r>
        <w:rPr>
          <w:spacing w:val="-7"/>
          <w:sz w:val="16"/>
          <w:szCs w:val="16"/>
          <w:lang w:val="es-ES_tradnl"/>
        </w:rPr>
        <w:t>de primera clase. Pero cuando se haya probado la infracci</w:t>
      </w:r>
      <w:r>
        <w:rPr>
          <w:rFonts w:cs="Times New Roman"/>
          <w:spacing w:val="-7"/>
          <w:sz w:val="16"/>
          <w:szCs w:val="16"/>
          <w:lang w:val="es-ES_tradnl"/>
        </w:rPr>
        <w:t>ó</w:t>
      </w:r>
      <w:r>
        <w:rPr>
          <w:spacing w:val="-7"/>
          <w:sz w:val="16"/>
          <w:szCs w:val="16"/>
          <w:lang w:val="es-ES_tradnl"/>
        </w:rPr>
        <w:t xml:space="preserve">n </w:t>
      </w:r>
      <w:r>
        <w:rPr>
          <w:spacing w:val="-6"/>
          <w:sz w:val="16"/>
          <w:szCs w:val="16"/>
          <w:lang w:val="es-ES_tradnl"/>
        </w:rPr>
        <w:t xml:space="preserve">con las declaraciones o partes escritos de un funcionario del </w:t>
      </w:r>
      <w:r>
        <w:rPr>
          <w:spacing w:val="-7"/>
          <w:sz w:val="16"/>
          <w:szCs w:val="16"/>
          <w:lang w:val="es-ES_tradnl"/>
        </w:rPr>
        <w:t>ramo, el Comisario deber</w:t>
      </w:r>
      <w:r>
        <w:rPr>
          <w:rFonts w:cs="Times New Roman"/>
          <w:spacing w:val="-7"/>
          <w:sz w:val="16"/>
          <w:szCs w:val="16"/>
          <w:lang w:val="es-ES_tradnl"/>
        </w:rPr>
        <w:t>á</w:t>
      </w:r>
      <w:r>
        <w:rPr>
          <w:spacing w:val="-7"/>
          <w:sz w:val="16"/>
          <w:szCs w:val="16"/>
          <w:lang w:val="es-ES_tradnl"/>
        </w:rPr>
        <w:t xml:space="preserve"> sentar un acta de juzgamiento sin articular prueba. Este documento ser</w:t>
      </w:r>
      <w:r>
        <w:rPr>
          <w:rFonts w:cs="Times New Roman"/>
          <w:spacing w:val="-7"/>
          <w:sz w:val="16"/>
          <w:szCs w:val="16"/>
          <w:lang w:val="es-ES_tradnl"/>
        </w:rPr>
        <w:t>á</w:t>
      </w:r>
      <w:r>
        <w:rPr>
          <w:spacing w:val="-7"/>
          <w:sz w:val="16"/>
          <w:szCs w:val="16"/>
          <w:lang w:val="es-ES_tradnl"/>
        </w:rPr>
        <w:t xml:space="preserve"> firmado tambi</w:t>
      </w:r>
      <w:r>
        <w:rPr>
          <w:rFonts w:cs="Times New Roman"/>
          <w:spacing w:val="-7"/>
          <w:sz w:val="16"/>
          <w:szCs w:val="16"/>
          <w:lang w:val="es-ES_tradnl"/>
        </w:rPr>
        <w:t>é</w:t>
      </w:r>
      <w:r>
        <w:rPr>
          <w:spacing w:val="-7"/>
          <w:sz w:val="16"/>
          <w:szCs w:val="16"/>
          <w:lang w:val="es-ES_tradnl"/>
        </w:rPr>
        <w:t xml:space="preserve">n por el </w:t>
      </w:r>
      <w:r>
        <w:rPr>
          <w:sz w:val="16"/>
          <w:szCs w:val="16"/>
          <w:lang w:val="es-ES_tradnl"/>
        </w:rPr>
        <w:t>contraventor o por un testigo.</w:t>
      </w:r>
    </w:p>
    <w:p w14:paraId="4F67BA40" w14:textId="77777777" w:rsidR="00591D54" w:rsidRDefault="00591D54">
      <w:pPr>
        <w:shd w:val="clear" w:color="auto" w:fill="FFFFFF"/>
        <w:spacing w:before="206" w:line="216" w:lineRule="exact"/>
        <w:ind w:right="5"/>
        <w:jc w:val="both"/>
      </w:pPr>
      <w:r>
        <w:rPr>
          <w:spacing w:val="-6"/>
          <w:sz w:val="18"/>
          <w:szCs w:val="18"/>
          <w:lang w:val="es-ES_tradnl"/>
        </w:rPr>
        <w:t xml:space="preserve">Cabe recalcar que el derecho al debido proceso garantiza </w:t>
      </w:r>
      <w:r>
        <w:rPr>
          <w:spacing w:val="-7"/>
          <w:sz w:val="18"/>
          <w:szCs w:val="18"/>
          <w:lang w:val="es-ES_tradnl"/>
        </w:rPr>
        <w:t>a los justiciables la aplicaci</w:t>
      </w:r>
      <w:r>
        <w:rPr>
          <w:rFonts w:cs="Times New Roman"/>
          <w:spacing w:val="-7"/>
          <w:sz w:val="18"/>
          <w:szCs w:val="18"/>
          <w:lang w:val="es-ES_tradnl"/>
        </w:rPr>
        <w:t>ó</w:t>
      </w:r>
      <w:r>
        <w:rPr>
          <w:spacing w:val="-7"/>
          <w:sz w:val="18"/>
          <w:szCs w:val="18"/>
          <w:lang w:val="es-ES_tradnl"/>
        </w:rPr>
        <w:t>n adecuada y eficaz de las normas sustantivas y procesales, tendientes a conceder confianza en la sustanciaci</w:t>
      </w:r>
      <w:r>
        <w:rPr>
          <w:rFonts w:cs="Times New Roman"/>
          <w:spacing w:val="-7"/>
          <w:sz w:val="18"/>
          <w:szCs w:val="18"/>
          <w:lang w:val="es-ES_tradnl"/>
        </w:rPr>
        <w:t>ó</w:t>
      </w:r>
      <w:r>
        <w:rPr>
          <w:spacing w:val="-7"/>
          <w:sz w:val="18"/>
          <w:szCs w:val="18"/>
          <w:lang w:val="es-ES_tradnl"/>
        </w:rPr>
        <w:t xml:space="preserve">n procesal libre de toda </w:t>
      </w:r>
      <w:r>
        <w:rPr>
          <w:spacing w:val="-6"/>
          <w:sz w:val="18"/>
          <w:szCs w:val="18"/>
          <w:lang w:val="es-ES_tradnl"/>
        </w:rPr>
        <w:t>arbitrariedad, y tambi</w:t>
      </w:r>
      <w:r>
        <w:rPr>
          <w:rFonts w:cs="Times New Roman"/>
          <w:spacing w:val="-6"/>
          <w:sz w:val="18"/>
          <w:szCs w:val="18"/>
          <w:lang w:val="es-ES_tradnl"/>
        </w:rPr>
        <w:t>é</w:t>
      </w:r>
      <w:r>
        <w:rPr>
          <w:spacing w:val="-6"/>
          <w:sz w:val="18"/>
          <w:szCs w:val="18"/>
          <w:lang w:val="es-ES_tradnl"/>
        </w:rPr>
        <w:t xml:space="preserve">n para otorgarles la seguridad de </w:t>
      </w:r>
      <w:r>
        <w:rPr>
          <w:spacing w:val="-9"/>
          <w:sz w:val="18"/>
          <w:szCs w:val="18"/>
          <w:lang w:val="es-ES_tradnl"/>
        </w:rPr>
        <w:t>ejercer eficientemente el derecho a la defensa.</w:t>
      </w:r>
    </w:p>
    <w:p w14:paraId="4F67BA41" w14:textId="77777777" w:rsidR="00591D54" w:rsidRDefault="00591D54">
      <w:pPr>
        <w:shd w:val="clear" w:color="auto" w:fill="FFFFFF"/>
        <w:spacing w:before="197" w:line="216" w:lineRule="exact"/>
        <w:jc w:val="both"/>
      </w:pPr>
      <w:r>
        <w:rPr>
          <w:spacing w:val="-9"/>
          <w:sz w:val="18"/>
          <w:szCs w:val="18"/>
          <w:lang w:val="es-ES_tradnl"/>
        </w:rPr>
        <w:t xml:space="preserve">Efectivamente, en la sentencia impugnada, el razonamiento </w:t>
      </w:r>
      <w:r>
        <w:rPr>
          <w:spacing w:val="-5"/>
          <w:sz w:val="18"/>
          <w:szCs w:val="18"/>
          <w:lang w:val="es-ES_tradnl"/>
        </w:rPr>
        <w:t>principal sobre el cual se resolvi</w:t>
      </w:r>
      <w:r>
        <w:rPr>
          <w:rFonts w:cs="Times New Roman"/>
          <w:spacing w:val="-5"/>
          <w:sz w:val="18"/>
          <w:szCs w:val="18"/>
          <w:lang w:val="es-ES_tradnl"/>
        </w:rPr>
        <w:t>ó</w:t>
      </w:r>
      <w:r>
        <w:rPr>
          <w:spacing w:val="-5"/>
          <w:sz w:val="18"/>
          <w:szCs w:val="18"/>
          <w:lang w:val="es-ES_tradnl"/>
        </w:rPr>
        <w:t xml:space="preserve"> la acci</w:t>
      </w:r>
      <w:r>
        <w:rPr>
          <w:rFonts w:cs="Times New Roman"/>
          <w:spacing w:val="-5"/>
          <w:sz w:val="18"/>
          <w:szCs w:val="18"/>
          <w:lang w:val="es-ES_tradnl"/>
        </w:rPr>
        <w:t>ó</w:t>
      </w:r>
      <w:r>
        <w:rPr>
          <w:spacing w:val="-5"/>
          <w:sz w:val="18"/>
          <w:szCs w:val="18"/>
          <w:lang w:val="es-ES_tradnl"/>
        </w:rPr>
        <w:t>n de protecci</w:t>
      </w:r>
      <w:r>
        <w:rPr>
          <w:rFonts w:cs="Times New Roman"/>
          <w:spacing w:val="-5"/>
          <w:sz w:val="18"/>
          <w:szCs w:val="18"/>
          <w:lang w:val="es-ES_tradnl"/>
        </w:rPr>
        <w:t>ó</w:t>
      </w:r>
      <w:r>
        <w:rPr>
          <w:spacing w:val="-5"/>
          <w:sz w:val="18"/>
          <w:szCs w:val="18"/>
          <w:lang w:val="es-ES_tradnl"/>
        </w:rPr>
        <w:t xml:space="preserve">n </w:t>
      </w:r>
      <w:r>
        <w:rPr>
          <w:spacing w:val="-8"/>
          <w:sz w:val="18"/>
          <w:szCs w:val="18"/>
          <w:lang w:val="es-ES_tradnl"/>
        </w:rPr>
        <w:t>se remiti</w:t>
      </w:r>
      <w:r>
        <w:rPr>
          <w:rFonts w:cs="Times New Roman"/>
          <w:spacing w:val="-8"/>
          <w:sz w:val="18"/>
          <w:szCs w:val="18"/>
          <w:lang w:val="es-ES_tradnl"/>
        </w:rPr>
        <w:t>ó</w:t>
      </w:r>
      <w:r>
        <w:rPr>
          <w:spacing w:val="-8"/>
          <w:sz w:val="18"/>
          <w:szCs w:val="18"/>
          <w:lang w:val="es-ES_tradnl"/>
        </w:rPr>
        <w:t xml:space="preserve"> al an</w:t>
      </w:r>
      <w:r>
        <w:rPr>
          <w:rFonts w:cs="Times New Roman"/>
          <w:spacing w:val="-8"/>
          <w:sz w:val="18"/>
          <w:szCs w:val="18"/>
          <w:lang w:val="es-ES_tradnl"/>
        </w:rPr>
        <w:t>á</w:t>
      </w:r>
      <w:r>
        <w:rPr>
          <w:spacing w:val="-8"/>
          <w:sz w:val="18"/>
          <w:szCs w:val="18"/>
          <w:lang w:val="es-ES_tradnl"/>
        </w:rPr>
        <w:t>lisis y aplicaci</w:t>
      </w:r>
      <w:r>
        <w:rPr>
          <w:rFonts w:cs="Times New Roman"/>
          <w:spacing w:val="-8"/>
          <w:sz w:val="18"/>
          <w:szCs w:val="18"/>
          <w:lang w:val="es-ES_tradnl"/>
        </w:rPr>
        <w:t>ó</w:t>
      </w:r>
      <w:r>
        <w:rPr>
          <w:spacing w:val="-8"/>
          <w:sz w:val="18"/>
          <w:szCs w:val="18"/>
          <w:lang w:val="es-ES_tradnl"/>
        </w:rPr>
        <w:t xml:space="preserve">n de la norma contemplada </w:t>
      </w:r>
      <w:r>
        <w:rPr>
          <w:spacing w:val="-6"/>
          <w:sz w:val="18"/>
          <w:szCs w:val="18"/>
          <w:lang w:val="es-ES_tradnl"/>
        </w:rPr>
        <w:t>en el art</w:t>
      </w:r>
      <w:r>
        <w:rPr>
          <w:rFonts w:cs="Times New Roman"/>
          <w:spacing w:val="-6"/>
          <w:sz w:val="18"/>
          <w:szCs w:val="18"/>
          <w:lang w:val="es-ES_tradnl"/>
        </w:rPr>
        <w:t>í</w:t>
      </w:r>
      <w:r>
        <w:rPr>
          <w:spacing w:val="-6"/>
          <w:sz w:val="18"/>
          <w:szCs w:val="18"/>
          <w:lang w:val="es-ES_tradnl"/>
        </w:rPr>
        <w:t>culo 64 de la referida ordenanza municipal que taxativa y fundamentalmente dispone que, previo a la aplicaci</w:t>
      </w:r>
      <w:r>
        <w:rPr>
          <w:rFonts w:cs="Times New Roman"/>
          <w:spacing w:val="-6"/>
          <w:sz w:val="18"/>
          <w:szCs w:val="18"/>
          <w:lang w:val="es-ES_tradnl"/>
        </w:rPr>
        <w:t>ó</w:t>
      </w:r>
      <w:r>
        <w:rPr>
          <w:spacing w:val="-6"/>
          <w:sz w:val="18"/>
          <w:szCs w:val="18"/>
          <w:lang w:val="es-ES_tradnl"/>
        </w:rPr>
        <w:t>n de la sanci</w:t>
      </w:r>
      <w:r>
        <w:rPr>
          <w:rFonts w:cs="Times New Roman"/>
          <w:spacing w:val="-6"/>
          <w:sz w:val="18"/>
          <w:szCs w:val="18"/>
          <w:lang w:val="es-ES_tradnl"/>
        </w:rPr>
        <w:t>ó</w:t>
      </w:r>
      <w:r>
        <w:rPr>
          <w:spacing w:val="-6"/>
          <w:sz w:val="18"/>
          <w:szCs w:val="18"/>
          <w:lang w:val="es-ES_tradnl"/>
        </w:rPr>
        <w:t xml:space="preserve">n, se debe citar al/la presunto/a </w:t>
      </w:r>
      <w:r>
        <w:rPr>
          <w:spacing w:val="-7"/>
          <w:sz w:val="18"/>
          <w:szCs w:val="18"/>
          <w:lang w:val="es-ES_tradnl"/>
        </w:rPr>
        <w:t xml:space="preserve">contraventor/a, o en su defecto, que exista una acta de </w:t>
      </w:r>
      <w:r>
        <w:rPr>
          <w:spacing w:val="-5"/>
          <w:sz w:val="18"/>
          <w:szCs w:val="18"/>
          <w:lang w:val="es-ES_tradnl"/>
        </w:rPr>
        <w:t>juzgamiento; mandamientos estos que jam</w:t>
      </w:r>
      <w:r>
        <w:rPr>
          <w:rFonts w:cs="Times New Roman"/>
          <w:spacing w:val="-5"/>
          <w:sz w:val="18"/>
          <w:szCs w:val="18"/>
          <w:lang w:val="es-ES_tradnl"/>
        </w:rPr>
        <w:t>á</w:t>
      </w:r>
      <w:r>
        <w:rPr>
          <w:spacing w:val="-5"/>
          <w:sz w:val="18"/>
          <w:szCs w:val="18"/>
          <w:lang w:val="es-ES_tradnl"/>
        </w:rPr>
        <w:t xml:space="preserve">s fueron </w:t>
      </w:r>
      <w:r>
        <w:rPr>
          <w:spacing w:val="-6"/>
          <w:sz w:val="18"/>
          <w:szCs w:val="18"/>
          <w:lang w:val="es-ES_tradnl"/>
        </w:rPr>
        <w:t>cumplidos por las autoridades municipales del cant</w:t>
      </w:r>
      <w:r>
        <w:rPr>
          <w:rFonts w:cs="Times New Roman"/>
          <w:spacing w:val="-6"/>
          <w:sz w:val="18"/>
          <w:szCs w:val="18"/>
          <w:lang w:val="es-ES_tradnl"/>
        </w:rPr>
        <w:t>ó</w:t>
      </w:r>
      <w:r>
        <w:rPr>
          <w:spacing w:val="-6"/>
          <w:sz w:val="18"/>
          <w:szCs w:val="18"/>
          <w:lang w:val="es-ES_tradnl"/>
        </w:rPr>
        <w:t xml:space="preserve">n La </w:t>
      </w:r>
      <w:r>
        <w:rPr>
          <w:sz w:val="18"/>
          <w:szCs w:val="18"/>
          <w:lang w:val="es-ES_tradnl"/>
        </w:rPr>
        <w:t>Libertad.</w:t>
      </w:r>
    </w:p>
    <w:p w14:paraId="4F67BA42" w14:textId="77777777" w:rsidR="00591D54" w:rsidRDefault="00591D54">
      <w:pPr>
        <w:shd w:val="clear" w:color="auto" w:fill="FFFFFF"/>
        <w:spacing w:before="197" w:line="216" w:lineRule="exact"/>
        <w:ind w:right="5"/>
        <w:jc w:val="both"/>
      </w:pPr>
      <w:r>
        <w:rPr>
          <w:spacing w:val="-5"/>
          <w:sz w:val="18"/>
          <w:szCs w:val="18"/>
          <w:lang w:val="es-ES_tradnl"/>
        </w:rPr>
        <w:t>Es patente que el acto procesal de citaci</w:t>
      </w:r>
      <w:r>
        <w:rPr>
          <w:rFonts w:cs="Times New Roman"/>
          <w:spacing w:val="-5"/>
          <w:sz w:val="18"/>
          <w:szCs w:val="18"/>
          <w:lang w:val="es-ES_tradnl"/>
        </w:rPr>
        <w:t>ó</w:t>
      </w:r>
      <w:r>
        <w:rPr>
          <w:spacing w:val="-5"/>
          <w:sz w:val="18"/>
          <w:szCs w:val="18"/>
          <w:lang w:val="es-ES_tradnl"/>
        </w:rPr>
        <w:t xml:space="preserve">n tiene como </w:t>
      </w:r>
      <w:r>
        <w:rPr>
          <w:spacing w:val="-3"/>
          <w:sz w:val="18"/>
          <w:szCs w:val="18"/>
          <w:lang w:val="es-ES_tradnl"/>
        </w:rPr>
        <w:t>efecto jur</w:t>
      </w:r>
      <w:r>
        <w:rPr>
          <w:rFonts w:cs="Times New Roman"/>
          <w:spacing w:val="-3"/>
          <w:sz w:val="18"/>
          <w:szCs w:val="18"/>
          <w:lang w:val="es-ES_tradnl"/>
        </w:rPr>
        <w:t>í</w:t>
      </w:r>
      <w:r>
        <w:rPr>
          <w:spacing w:val="-3"/>
          <w:sz w:val="18"/>
          <w:szCs w:val="18"/>
          <w:lang w:val="es-ES_tradnl"/>
        </w:rPr>
        <w:t xml:space="preserve">dico esencialmente el de hacer conocer a la </w:t>
      </w:r>
      <w:r>
        <w:rPr>
          <w:spacing w:val="-9"/>
          <w:sz w:val="18"/>
          <w:szCs w:val="18"/>
          <w:lang w:val="es-ES_tradnl"/>
        </w:rPr>
        <w:t xml:space="preserve">parte demandada sobre las pretensiones o imputaciones realizadas por la parte actora en su contra, a efectos de que </w:t>
      </w:r>
      <w:r>
        <w:rPr>
          <w:spacing w:val="-8"/>
          <w:sz w:val="18"/>
          <w:szCs w:val="18"/>
          <w:lang w:val="es-ES_tradnl"/>
        </w:rPr>
        <w:t xml:space="preserve">pueda ejercer su derecho constitucional a la defensa. En el </w:t>
      </w:r>
      <w:r>
        <w:rPr>
          <w:spacing w:val="-6"/>
          <w:sz w:val="18"/>
          <w:szCs w:val="18"/>
          <w:lang w:val="es-ES_tradnl"/>
        </w:rPr>
        <w:t xml:space="preserve">caso </w:t>
      </w:r>
      <w:r>
        <w:rPr>
          <w:i/>
          <w:iCs/>
          <w:spacing w:val="-6"/>
          <w:sz w:val="18"/>
          <w:szCs w:val="18"/>
          <w:lang w:val="es-ES_tradnl"/>
        </w:rPr>
        <w:t>sub judice</w:t>
      </w:r>
      <w:r>
        <w:rPr>
          <w:spacing w:val="-6"/>
          <w:sz w:val="18"/>
          <w:szCs w:val="18"/>
          <w:lang w:val="es-ES_tradnl"/>
        </w:rPr>
        <w:t xml:space="preserve">, queda demostrado que los funcionarios </w:t>
      </w:r>
      <w:r>
        <w:rPr>
          <w:spacing w:val="-4"/>
          <w:sz w:val="18"/>
          <w:szCs w:val="18"/>
          <w:lang w:val="es-ES_tradnl"/>
        </w:rPr>
        <w:t>del Municipio del Cant</w:t>
      </w:r>
      <w:r>
        <w:rPr>
          <w:rFonts w:cs="Times New Roman"/>
          <w:spacing w:val="-4"/>
          <w:sz w:val="18"/>
          <w:szCs w:val="18"/>
          <w:lang w:val="es-ES_tradnl"/>
        </w:rPr>
        <w:t>ó</w:t>
      </w:r>
      <w:r>
        <w:rPr>
          <w:spacing w:val="-4"/>
          <w:sz w:val="18"/>
          <w:szCs w:val="18"/>
          <w:lang w:val="es-ES_tradnl"/>
        </w:rPr>
        <w:t xml:space="preserve">n La Libertad no cumplieron con </w:t>
      </w:r>
      <w:r>
        <w:rPr>
          <w:spacing w:val="-3"/>
          <w:sz w:val="18"/>
          <w:szCs w:val="18"/>
          <w:lang w:val="es-ES_tradnl"/>
        </w:rPr>
        <w:t xml:space="preserve">la solemnidad procesal de citar en legal y debida forma </w:t>
      </w:r>
      <w:r>
        <w:rPr>
          <w:spacing w:val="-8"/>
          <w:sz w:val="18"/>
          <w:szCs w:val="18"/>
          <w:lang w:val="es-ES_tradnl"/>
        </w:rPr>
        <w:t>a la se</w:t>
      </w:r>
      <w:r>
        <w:rPr>
          <w:rFonts w:cs="Times New Roman"/>
          <w:spacing w:val="-8"/>
          <w:sz w:val="18"/>
          <w:szCs w:val="18"/>
          <w:lang w:val="es-ES_tradnl"/>
        </w:rPr>
        <w:t>ñ</w:t>
      </w:r>
      <w:r>
        <w:rPr>
          <w:spacing w:val="-8"/>
          <w:sz w:val="18"/>
          <w:szCs w:val="18"/>
          <w:lang w:val="es-ES_tradnl"/>
        </w:rPr>
        <w:t>ora Gloria Calder</w:t>
      </w:r>
      <w:r>
        <w:rPr>
          <w:rFonts w:cs="Times New Roman"/>
          <w:spacing w:val="-8"/>
          <w:sz w:val="18"/>
          <w:szCs w:val="18"/>
          <w:lang w:val="es-ES_tradnl"/>
        </w:rPr>
        <w:t>ó</w:t>
      </w:r>
      <w:r>
        <w:rPr>
          <w:spacing w:val="-8"/>
          <w:sz w:val="18"/>
          <w:szCs w:val="18"/>
          <w:lang w:val="es-ES_tradnl"/>
        </w:rPr>
        <w:t>n S</w:t>
      </w:r>
      <w:r>
        <w:rPr>
          <w:rFonts w:cs="Times New Roman"/>
          <w:spacing w:val="-8"/>
          <w:sz w:val="18"/>
          <w:szCs w:val="18"/>
          <w:lang w:val="es-ES_tradnl"/>
        </w:rPr>
        <w:t>á</w:t>
      </w:r>
      <w:r>
        <w:rPr>
          <w:spacing w:val="-8"/>
          <w:sz w:val="18"/>
          <w:szCs w:val="18"/>
          <w:lang w:val="es-ES_tradnl"/>
        </w:rPr>
        <w:t>nchez (due</w:t>
      </w:r>
      <w:r>
        <w:rPr>
          <w:rFonts w:cs="Times New Roman"/>
          <w:spacing w:val="-8"/>
          <w:sz w:val="18"/>
          <w:szCs w:val="18"/>
          <w:lang w:val="es-ES_tradnl"/>
        </w:rPr>
        <w:t>ñ</w:t>
      </w:r>
      <w:r>
        <w:rPr>
          <w:spacing w:val="-8"/>
          <w:sz w:val="18"/>
          <w:szCs w:val="18"/>
          <w:lang w:val="es-ES_tradnl"/>
        </w:rPr>
        <w:t xml:space="preserve">a del local de </w:t>
      </w:r>
      <w:r>
        <w:rPr>
          <w:spacing w:val="-7"/>
          <w:sz w:val="18"/>
          <w:szCs w:val="18"/>
          <w:lang w:val="es-ES_tradnl"/>
        </w:rPr>
        <w:t>venta de pollos) conforme as</w:t>
      </w:r>
      <w:r>
        <w:rPr>
          <w:rFonts w:cs="Times New Roman"/>
          <w:spacing w:val="-7"/>
          <w:sz w:val="18"/>
          <w:szCs w:val="18"/>
          <w:lang w:val="es-ES_tradnl"/>
        </w:rPr>
        <w:t>í</w:t>
      </w:r>
      <w:r>
        <w:rPr>
          <w:spacing w:val="-7"/>
          <w:sz w:val="18"/>
          <w:szCs w:val="18"/>
          <w:lang w:val="es-ES_tradnl"/>
        </w:rPr>
        <w:t xml:space="preserve"> lo disponen las reglas del </w:t>
      </w:r>
      <w:r>
        <w:rPr>
          <w:spacing w:val="-4"/>
          <w:sz w:val="18"/>
          <w:szCs w:val="18"/>
          <w:lang w:val="es-ES_tradnl"/>
        </w:rPr>
        <w:t>debido proceso contenidas en parte en el art</w:t>
      </w:r>
      <w:r>
        <w:rPr>
          <w:rFonts w:cs="Times New Roman"/>
          <w:spacing w:val="-4"/>
          <w:sz w:val="18"/>
          <w:szCs w:val="18"/>
          <w:lang w:val="es-ES_tradnl"/>
        </w:rPr>
        <w:t>í</w:t>
      </w:r>
      <w:r>
        <w:rPr>
          <w:spacing w:val="-4"/>
          <w:sz w:val="18"/>
          <w:szCs w:val="18"/>
          <w:lang w:val="es-ES_tradnl"/>
        </w:rPr>
        <w:t xml:space="preserve">culo 64 de </w:t>
      </w:r>
      <w:r>
        <w:rPr>
          <w:spacing w:val="-6"/>
          <w:sz w:val="18"/>
          <w:szCs w:val="18"/>
          <w:lang w:val="es-ES_tradnl"/>
        </w:rPr>
        <w:t>la Ordenanza de Higiene y Abasto del cant</w:t>
      </w:r>
      <w:r>
        <w:rPr>
          <w:rFonts w:cs="Times New Roman"/>
          <w:spacing w:val="-6"/>
          <w:sz w:val="18"/>
          <w:szCs w:val="18"/>
          <w:lang w:val="es-ES_tradnl"/>
        </w:rPr>
        <w:t>ó</w:t>
      </w:r>
      <w:r>
        <w:rPr>
          <w:spacing w:val="-6"/>
          <w:sz w:val="18"/>
          <w:szCs w:val="18"/>
          <w:lang w:val="es-ES_tradnl"/>
        </w:rPr>
        <w:t xml:space="preserve">n La Libertad y por lo tanto, impidieron que la presunta contraventora </w:t>
      </w:r>
      <w:r>
        <w:rPr>
          <w:spacing w:val="-8"/>
          <w:sz w:val="18"/>
          <w:szCs w:val="18"/>
          <w:lang w:val="es-ES_tradnl"/>
        </w:rPr>
        <w:t xml:space="preserve">ejerza el derecho constitucional a la defensa y todas las </w:t>
      </w:r>
      <w:r>
        <w:rPr>
          <w:sz w:val="18"/>
          <w:szCs w:val="18"/>
          <w:lang w:val="es-ES_tradnl"/>
        </w:rPr>
        <w:t>garant</w:t>
      </w:r>
      <w:r>
        <w:rPr>
          <w:rFonts w:cs="Times New Roman"/>
          <w:sz w:val="18"/>
          <w:szCs w:val="18"/>
          <w:lang w:val="es-ES_tradnl"/>
        </w:rPr>
        <w:t>í</w:t>
      </w:r>
      <w:r>
        <w:rPr>
          <w:sz w:val="18"/>
          <w:szCs w:val="18"/>
          <w:lang w:val="es-ES_tradnl"/>
        </w:rPr>
        <w:t>as que este ofrece.</w:t>
      </w:r>
    </w:p>
    <w:p w14:paraId="4F67BA43" w14:textId="77777777" w:rsidR="00591D54" w:rsidRDefault="00591D54">
      <w:pPr>
        <w:shd w:val="clear" w:color="auto" w:fill="FFFFFF"/>
        <w:spacing w:before="202" w:line="221" w:lineRule="exact"/>
        <w:ind w:right="5"/>
        <w:jc w:val="both"/>
      </w:pPr>
      <w:r>
        <w:rPr>
          <w:spacing w:val="-4"/>
          <w:sz w:val="18"/>
          <w:szCs w:val="18"/>
          <w:lang w:val="es-ES_tradnl"/>
        </w:rPr>
        <w:t xml:space="preserve">Los jueces de la Sala </w:t>
      </w:r>
      <w:r>
        <w:rPr>
          <w:rFonts w:cs="Times New Roman"/>
          <w:spacing w:val="-4"/>
          <w:sz w:val="18"/>
          <w:szCs w:val="18"/>
          <w:lang w:val="es-ES_tradnl"/>
        </w:rPr>
        <w:t>Ú</w:t>
      </w:r>
      <w:r>
        <w:rPr>
          <w:spacing w:val="-4"/>
          <w:sz w:val="18"/>
          <w:szCs w:val="18"/>
          <w:lang w:val="es-ES_tradnl"/>
        </w:rPr>
        <w:t xml:space="preserve">nica de la Corte Provincial de </w:t>
      </w:r>
      <w:r>
        <w:rPr>
          <w:spacing w:val="-10"/>
          <w:sz w:val="18"/>
          <w:szCs w:val="18"/>
          <w:lang w:val="es-ES_tradnl"/>
        </w:rPr>
        <w:t>Justicia de Santa Elena a trav</w:t>
      </w:r>
      <w:r>
        <w:rPr>
          <w:rFonts w:cs="Times New Roman"/>
          <w:spacing w:val="-10"/>
          <w:sz w:val="18"/>
          <w:szCs w:val="18"/>
          <w:lang w:val="es-ES_tradnl"/>
        </w:rPr>
        <w:t>é</w:t>
      </w:r>
      <w:r>
        <w:rPr>
          <w:spacing w:val="-10"/>
          <w:sz w:val="18"/>
          <w:szCs w:val="18"/>
          <w:lang w:val="es-ES_tradnl"/>
        </w:rPr>
        <w:t xml:space="preserve">s de la sentencia impugnada, </w:t>
      </w:r>
      <w:r>
        <w:rPr>
          <w:spacing w:val="-7"/>
          <w:sz w:val="18"/>
          <w:szCs w:val="18"/>
          <w:lang w:val="es-ES_tradnl"/>
        </w:rPr>
        <w:t>consideraron que el actuar del Gobierno Aut</w:t>
      </w:r>
      <w:r>
        <w:rPr>
          <w:rFonts w:cs="Times New Roman"/>
          <w:spacing w:val="-7"/>
          <w:sz w:val="18"/>
          <w:szCs w:val="18"/>
          <w:lang w:val="es-ES_tradnl"/>
        </w:rPr>
        <w:t>ó</w:t>
      </w:r>
      <w:r>
        <w:rPr>
          <w:spacing w:val="-7"/>
          <w:sz w:val="18"/>
          <w:szCs w:val="18"/>
          <w:lang w:val="es-ES_tradnl"/>
        </w:rPr>
        <w:t xml:space="preserve">nomo </w:t>
      </w:r>
      <w:r>
        <w:rPr>
          <w:spacing w:val="-4"/>
          <w:sz w:val="18"/>
          <w:szCs w:val="18"/>
          <w:lang w:val="es-ES_tradnl"/>
        </w:rPr>
        <w:t>Descentralizado Municipal del cant</w:t>
      </w:r>
      <w:r>
        <w:rPr>
          <w:rFonts w:cs="Times New Roman"/>
          <w:spacing w:val="-4"/>
          <w:sz w:val="18"/>
          <w:szCs w:val="18"/>
          <w:lang w:val="es-ES_tradnl"/>
        </w:rPr>
        <w:t>ó</w:t>
      </w:r>
      <w:r>
        <w:rPr>
          <w:spacing w:val="-4"/>
          <w:sz w:val="18"/>
          <w:szCs w:val="18"/>
          <w:lang w:val="es-ES_tradnl"/>
        </w:rPr>
        <w:t xml:space="preserve">n La Libertad para </w:t>
      </w:r>
      <w:r>
        <w:rPr>
          <w:spacing w:val="-8"/>
          <w:sz w:val="18"/>
          <w:szCs w:val="18"/>
          <w:lang w:val="es-ES_tradnl"/>
        </w:rPr>
        <w:t>clausurar el local de venta de pollos, vulner</w:t>
      </w:r>
      <w:r>
        <w:rPr>
          <w:rFonts w:cs="Times New Roman"/>
          <w:spacing w:val="-8"/>
          <w:sz w:val="18"/>
          <w:szCs w:val="18"/>
          <w:lang w:val="es-ES_tradnl"/>
        </w:rPr>
        <w:t>ó</w:t>
      </w:r>
      <w:r>
        <w:rPr>
          <w:spacing w:val="-8"/>
          <w:sz w:val="18"/>
          <w:szCs w:val="18"/>
          <w:lang w:val="es-ES_tradnl"/>
        </w:rPr>
        <w:t xml:space="preserve"> efectivamente </w:t>
      </w:r>
      <w:r>
        <w:rPr>
          <w:sz w:val="18"/>
          <w:szCs w:val="18"/>
          <w:lang w:val="es-ES_tradnl"/>
        </w:rPr>
        <w:t xml:space="preserve">el derecho al debido proceso al no haberse seguido </w:t>
      </w:r>
      <w:r>
        <w:rPr>
          <w:spacing w:val="-3"/>
          <w:sz w:val="18"/>
          <w:szCs w:val="18"/>
          <w:lang w:val="es-ES_tradnl"/>
        </w:rPr>
        <w:t>el procedimiento establecido en el art</w:t>
      </w:r>
      <w:r>
        <w:rPr>
          <w:rFonts w:cs="Times New Roman"/>
          <w:spacing w:val="-3"/>
          <w:sz w:val="18"/>
          <w:szCs w:val="18"/>
          <w:lang w:val="es-ES_tradnl"/>
        </w:rPr>
        <w:t>í</w:t>
      </w:r>
      <w:r>
        <w:rPr>
          <w:spacing w:val="-3"/>
          <w:sz w:val="18"/>
          <w:szCs w:val="18"/>
          <w:lang w:val="es-ES_tradnl"/>
        </w:rPr>
        <w:t xml:space="preserve">culo 64 de la </w:t>
      </w:r>
      <w:r>
        <w:rPr>
          <w:spacing w:val="-8"/>
          <w:sz w:val="18"/>
          <w:szCs w:val="18"/>
          <w:lang w:val="es-ES_tradnl"/>
        </w:rPr>
        <w:t xml:space="preserve">Ordenanza de Higiene y Abasto para el juzgamiento de las </w:t>
      </w:r>
      <w:r>
        <w:rPr>
          <w:sz w:val="18"/>
          <w:szCs w:val="18"/>
          <w:lang w:val="es-ES_tradnl"/>
        </w:rPr>
        <w:t>contravenciones.</w:t>
      </w:r>
    </w:p>
    <w:p w14:paraId="4F67BA44" w14:textId="77777777" w:rsidR="00591D54" w:rsidRDefault="00591D54">
      <w:pPr>
        <w:shd w:val="clear" w:color="auto" w:fill="FFFFFF"/>
        <w:spacing w:before="202" w:line="221" w:lineRule="exact"/>
        <w:ind w:right="5"/>
        <w:jc w:val="both"/>
      </w:pPr>
      <w:r>
        <w:rPr>
          <w:spacing w:val="-6"/>
          <w:sz w:val="18"/>
          <w:szCs w:val="18"/>
          <w:lang w:val="es-ES_tradnl"/>
        </w:rPr>
        <w:t xml:space="preserve">Cabe insistir que el derecho al debido proceso exige de </w:t>
      </w:r>
      <w:r>
        <w:rPr>
          <w:spacing w:val="-8"/>
          <w:sz w:val="18"/>
          <w:szCs w:val="18"/>
          <w:lang w:val="es-ES_tradnl"/>
        </w:rPr>
        <w:t xml:space="preserve">todas las autoridades judiciales y administrativas respetar y </w:t>
      </w:r>
      <w:r>
        <w:rPr>
          <w:spacing w:val="-11"/>
          <w:sz w:val="18"/>
          <w:szCs w:val="18"/>
          <w:lang w:val="es-ES_tradnl"/>
        </w:rPr>
        <w:t>garantizar los derechos y que su materializaci</w:t>
      </w:r>
      <w:r>
        <w:rPr>
          <w:rFonts w:cs="Times New Roman"/>
          <w:spacing w:val="-11"/>
          <w:sz w:val="18"/>
          <w:szCs w:val="18"/>
          <w:lang w:val="es-ES_tradnl"/>
        </w:rPr>
        <w:t>ó</w:t>
      </w:r>
      <w:r>
        <w:rPr>
          <w:spacing w:val="-11"/>
          <w:sz w:val="18"/>
          <w:szCs w:val="18"/>
          <w:lang w:val="es-ES_tradnl"/>
        </w:rPr>
        <w:t>n sea a trav</w:t>
      </w:r>
      <w:r>
        <w:rPr>
          <w:rFonts w:cs="Times New Roman"/>
          <w:spacing w:val="-11"/>
          <w:sz w:val="18"/>
          <w:szCs w:val="18"/>
          <w:lang w:val="es-ES_tradnl"/>
        </w:rPr>
        <w:t>é</w:t>
      </w:r>
      <w:r>
        <w:rPr>
          <w:spacing w:val="-11"/>
          <w:sz w:val="18"/>
          <w:szCs w:val="18"/>
          <w:lang w:val="es-ES_tradnl"/>
        </w:rPr>
        <w:t xml:space="preserve">s de los procedimientos previamente establecidos, capaces de </w:t>
      </w:r>
      <w:r>
        <w:rPr>
          <w:spacing w:val="-6"/>
          <w:sz w:val="18"/>
          <w:szCs w:val="18"/>
          <w:lang w:val="es-ES_tradnl"/>
        </w:rPr>
        <w:t>evitar la consumaci</w:t>
      </w:r>
      <w:r>
        <w:rPr>
          <w:rFonts w:cs="Times New Roman"/>
          <w:spacing w:val="-6"/>
          <w:sz w:val="18"/>
          <w:szCs w:val="18"/>
          <w:lang w:val="es-ES_tradnl"/>
        </w:rPr>
        <w:t>ó</w:t>
      </w:r>
      <w:r>
        <w:rPr>
          <w:spacing w:val="-6"/>
          <w:sz w:val="18"/>
          <w:szCs w:val="18"/>
          <w:lang w:val="es-ES_tradnl"/>
        </w:rPr>
        <w:t xml:space="preserve">n de la arbitrariedad, como en efecto </w:t>
      </w:r>
      <w:r>
        <w:rPr>
          <w:spacing w:val="-7"/>
          <w:sz w:val="18"/>
          <w:szCs w:val="18"/>
          <w:lang w:val="es-ES_tradnl"/>
        </w:rPr>
        <w:t xml:space="preserve">ha ocurrido en el caso </w:t>
      </w:r>
      <w:r>
        <w:rPr>
          <w:i/>
          <w:iCs/>
          <w:spacing w:val="-7"/>
          <w:sz w:val="18"/>
          <w:szCs w:val="18"/>
          <w:lang w:val="es-ES_tradnl"/>
        </w:rPr>
        <w:t xml:space="preserve">in examine, </w:t>
      </w:r>
      <w:r>
        <w:rPr>
          <w:spacing w:val="-7"/>
          <w:sz w:val="18"/>
          <w:szCs w:val="18"/>
          <w:lang w:val="es-ES_tradnl"/>
        </w:rPr>
        <w:t xml:space="preserve">donde las autoridades </w:t>
      </w:r>
      <w:r>
        <w:rPr>
          <w:spacing w:val="-5"/>
          <w:sz w:val="18"/>
          <w:szCs w:val="18"/>
          <w:lang w:val="es-ES_tradnl"/>
        </w:rPr>
        <w:t>del Gobierno Aut</w:t>
      </w:r>
      <w:r>
        <w:rPr>
          <w:rFonts w:cs="Times New Roman"/>
          <w:spacing w:val="-5"/>
          <w:sz w:val="18"/>
          <w:szCs w:val="18"/>
          <w:lang w:val="es-ES_tradnl"/>
        </w:rPr>
        <w:t>ó</w:t>
      </w:r>
      <w:r>
        <w:rPr>
          <w:spacing w:val="-5"/>
          <w:sz w:val="18"/>
          <w:szCs w:val="18"/>
          <w:lang w:val="es-ES_tradnl"/>
        </w:rPr>
        <w:t>nomo Descentralizado Municipal del cant</w:t>
      </w:r>
      <w:r>
        <w:rPr>
          <w:rFonts w:cs="Times New Roman"/>
          <w:spacing w:val="-5"/>
          <w:sz w:val="18"/>
          <w:szCs w:val="18"/>
          <w:lang w:val="es-ES_tradnl"/>
        </w:rPr>
        <w:t>ó</w:t>
      </w:r>
      <w:r>
        <w:rPr>
          <w:spacing w:val="-5"/>
          <w:sz w:val="18"/>
          <w:szCs w:val="18"/>
          <w:lang w:val="es-ES_tradnl"/>
        </w:rPr>
        <w:t>n  La  Libertad extralimit</w:t>
      </w:r>
      <w:r>
        <w:rPr>
          <w:rFonts w:cs="Times New Roman"/>
          <w:spacing w:val="-5"/>
          <w:sz w:val="18"/>
          <w:szCs w:val="18"/>
          <w:lang w:val="es-ES_tradnl"/>
        </w:rPr>
        <w:t>á</w:t>
      </w:r>
      <w:r>
        <w:rPr>
          <w:spacing w:val="-5"/>
          <w:sz w:val="18"/>
          <w:szCs w:val="18"/>
          <w:lang w:val="es-ES_tradnl"/>
        </w:rPr>
        <w:t>ndose  en  su  facultades,</w:t>
      </w:r>
    </w:p>
    <w:p w14:paraId="4F67BA45" w14:textId="77777777" w:rsidR="00591D54" w:rsidRDefault="00591D54">
      <w:pPr>
        <w:shd w:val="clear" w:color="auto" w:fill="FFFFFF"/>
        <w:spacing w:line="216" w:lineRule="exact"/>
        <w:jc w:val="both"/>
      </w:pPr>
      <w:r>
        <w:br w:type="column"/>
      </w:r>
      <w:r>
        <w:rPr>
          <w:spacing w:val="-5"/>
          <w:sz w:val="18"/>
          <w:szCs w:val="18"/>
          <w:lang w:val="es-ES_tradnl"/>
        </w:rPr>
        <w:t xml:space="preserve">han irrespetado procedimientos normativos municipales </w:t>
      </w:r>
      <w:r>
        <w:rPr>
          <w:spacing w:val="-7"/>
          <w:sz w:val="18"/>
          <w:szCs w:val="18"/>
          <w:lang w:val="es-ES_tradnl"/>
        </w:rPr>
        <w:t xml:space="preserve">que a la postre han producido vulneraciones del derecho </w:t>
      </w:r>
      <w:r>
        <w:rPr>
          <w:sz w:val="18"/>
          <w:szCs w:val="18"/>
          <w:lang w:val="es-ES_tradnl"/>
        </w:rPr>
        <w:t>constitucional al debido proceso.</w:t>
      </w:r>
    </w:p>
    <w:p w14:paraId="4F67BA46" w14:textId="77777777" w:rsidR="00591D54" w:rsidRDefault="00591D54">
      <w:pPr>
        <w:shd w:val="clear" w:color="auto" w:fill="FFFFFF"/>
        <w:spacing w:before="197" w:line="216" w:lineRule="exact"/>
        <w:jc w:val="both"/>
      </w:pPr>
      <w:r>
        <w:rPr>
          <w:spacing w:val="-3"/>
          <w:sz w:val="18"/>
          <w:szCs w:val="18"/>
          <w:lang w:val="es-ES_tradnl"/>
        </w:rPr>
        <w:t>En este contexto, la impugnaci</w:t>
      </w:r>
      <w:r>
        <w:rPr>
          <w:rFonts w:cs="Times New Roman"/>
          <w:spacing w:val="-3"/>
          <w:sz w:val="18"/>
          <w:szCs w:val="18"/>
          <w:lang w:val="es-ES_tradnl"/>
        </w:rPr>
        <w:t>ó</w:t>
      </w:r>
      <w:r>
        <w:rPr>
          <w:spacing w:val="-3"/>
          <w:sz w:val="18"/>
          <w:szCs w:val="18"/>
          <w:lang w:val="es-ES_tradnl"/>
        </w:rPr>
        <w:t xml:space="preserve">n realizada por los </w:t>
      </w:r>
      <w:r>
        <w:rPr>
          <w:spacing w:val="-8"/>
          <w:sz w:val="18"/>
          <w:szCs w:val="18"/>
          <w:lang w:val="es-ES_tradnl"/>
        </w:rPr>
        <w:t>accionantes respecto de que, a trav</w:t>
      </w:r>
      <w:r>
        <w:rPr>
          <w:rFonts w:cs="Times New Roman"/>
          <w:spacing w:val="-8"/>
          <w:sz w:val="18"/>
          <w:szCs w:val="18"/>
          <w:lang w:val="es-ES_tradnl"/>
        </w:rPr>
        <w:t>é</w:t>
      </w:r>
      <w:r>
        <w:rPr>
          <w:spacing w:val="-8"/>
          <w:sz w:val="18"/>
          <w:szCs w:val="18"/>
          <w:lang w:val="es-ES_tradnl"/>
        </w:rPr>
        <w:t xml:space="preserve">s de la sentencia impugnada, se ha vulnerado el derecho al debido proceso </w:t>
      </w:r>
      <w:r>
        <w:rPr>
          <w:spacing w:val="-6"/>
          <w:sz w:val="18"/>
          <w:szCs w:val="18"/>
          <w:lang w:val="es-ES_tradnl"/>
        </w:rPr>
        <w:t xml:space="preserve">porque </w:t>
      </w:r>
      <w:r>
        <w:rPr>
          <w:rFonts w:cs="Times New Roman"/>
          <w:spacing w:val="-6"/>
          <w:sz w:val="18"/>
          <w:szCs w:val="18"/>
          <w:lang w:val="es-ES_tradnl"/>
        </w:rPr>
        <w:t>–</w:t>
      </w:r>
      <w:r>
        <w:rPr>
          <w:spacing w:val="-6"/>
          <w:sz w:val="18"/>
          <w:szCs w:val="18"/>
          <w:lang w:val="es-ES_tradnl"/>
        </w:rPr>
        <w:t>a su criterio</w:t>
      </w:r>
      <w:r>
        <w:rPr>
          <w:rFonts w:ascii="Arial Unicode MS" w:eastAsia="Arial Unicode MS" w:hAnsi="Arial Unicode MS" w:cs="Arial Unicode MS" w:hint="eastAsia"/>
          <w:spacing w:val="-6"/>
          <w:sz w:val="18"/>
          <w:szCs w:val="18"/>
          <w:lang w:val="es-ES_tradnl"/>
        </w:rPr>
        <w:t>‒</w:t>
      </w:r>
      <w:r>
        <w:rPr>
          <w:spacing w:val="-6"/>
          <w:sz w:val="18"/>
          <w:szCs w:val="18"/>
          <w:lang w:val="es-ES_tradnl"/>
        </w:rPr>
        <w:t xml:space="preserve">, no se respetaron las normas que </w:t>
      </w:r>
      <w:r>
        <w:rPr>
          <w:sz w:val="18"/>
          <w:szCs w:val="18"/>
          <w:lang w:val="es-ES_tradnl"/>
        </w:rPr>
        <w:t>rigen la materia y se afect</w:t>
      </w:r>
      <w:r>
        <w:rPr>
          <w:rFonts w:cs="Times New Roman"/>
          <w:sz w:val="18"/>
          <w:szCs w:val="18"/>
          <w:lang w:val="es-ES_tradnl"/>
        </w:rPr>
        <w:t>ó</w:t>
      </w:r>
      <w:r>
        <w:rPr>
          <w:sz w:val="18"/>
          <w:szCs w:val="18"/>
          <w:lang w:val="es-ES_tradnl"/>
        </w:rPr>
        <w:t xml:space="preserve"> su capacidad legislativa </w:t>
      </w:r>
      <w:r>
        <w:rPr>
          <w:spacing w:val="-8"/>
          <w:sz w:val="18"/>
          <w:szCs w:val="18"/>
          <w:lang w:val="es-ES_tradnl"/>
        </w:rPr>
        <w:t xml:space="preserve">para dictar leyes (ordenanzas), carece de todo sustento </w:t>
      </w:r>
      <w:r>
        <w:rPr>
          <w:spacing w:val="-6"/>
          <w:sz w:val="18"/>
          <w:szCs w:val="18"/>
          <w:lang w:val="es-ES_tradnl"/>
        </w:rPr>
        <w:t>constitucional, porque en la decisi</w:t>
      </w:r>
      <w:r>
        <w:rPr>
          <w:rFonts w:cs="Times New Roman"/>
          <w:spacing w:val="-6"/>
          <w:sz w:val="18"/>
          <w:szCs w:val="18"/>
          <w:lang w:val="es-ES_tradnl"/>
        </w:rPr>
        <w:t>ó</w:t>
      </w:r>
      <w:r>
        <w:rPr>
          <w:spacing w:val="-6"/>
          <w:sz w:val="18"/>
          <w:szCs w:val="18"/>
          <w:lang w:val="es-ES_tradnl"/>
        </w:rPr>
        <w:t xml:space="preserve">n objetada no consta </w:t>
      </w:r>
      <w:r>
        <w:rPr>
          <w:spacing w:val="-7"/>
          <w:sz w:val="18"/>
          <w:szCs w:val="18"/>
          <w:lang w:val="es-ES_tradnl"/>
        </w:rPr>
        <w:t>ninguna disposici</w:t>
      </w:r>
      <w:r>
        <w:rPr>
          <w:rFonts w:cs="Times New Roman"/>
          <w:spacing w:val="-7"/>
          <w:sz w:val="18"/>
          <w:szCs w:val="18"/>
          <w:lang w:val="es-ES_tradnl"/>
        </w:rPr>
        <w:t>ó</w:t>
      </w:r>
      <w:r>
        <w:rPr>
          <w:spacing w:val="-7"/>
          <w:sz w:val="18"/>
          <w:szCs w:val="18"/>
          <w:lang w:val="es-ES_tradnl"/>
        </w:rPr>
        <w:t xml:space="preserve">n que pudiere alterar tales refutaciones, </w:t>
      </w:r>
      <w:r>
        <w:rPr>
          <w:spacing w:val="-8"/>
          <w:sz w:val="18"/>
          <w:szCs w:val="18"/>
          <w:lang w:val="es-ES_tradnl"/>
        </w:rPr>
        <w:t>m</w:t>
      </w:r>
      <w:r>
        <w:rPr>
          <w:rFonts w:cs="Times New Roman"/>
          <w:spacing w:val="-8"/>
          <w:sz w:val="18"/>
          <w:szCs w:val="18"/>
          <w:lang w:val="es-ES_tradnl"/>
        </w:rPr>
        <w:t>á</w:t>
      </w:r>
      <w:r>
        <w:rPr>
          <w:spacing w:val="-8"/>
          <w:sz w:val="18"/>
          <w:szCs w:val="18"/>
          <w:lang w:val="es-ES_tradnl"/>
        </w:rPr>
        <w:t xml:space="preserve">s bien, inversamente, los jueces han evidenciado serias </w:t>
      </w:r>
      <w:r>
        <w:rPr>
          <w:spacing w:val="-7"/>
          <w:sz w:val="18"/>
          <w:szCs w:val="18"/>
          <w:lang w:val="es-ES_tradnl"/>
        </w:rPr>
        <w:t>afectaciones al debido proceso y por lo tanto, as</w:t>
      </w:r>
      <w:r>
        <w:rPr>
          <w:rFonts w:cs="Times New Roman"/>
          <w:spacing w:val="-7"/>
          <w:sz w:val="18"/>
          <w:szCs w:val="18"/>
          <w:lang w:val="es-ES_tradnl"/>
        </w:rPr>
        <w:t>í</w:t>
      </w:r>
      <w:r>
        <w:rPr>
          <w:spacing w:val="-7"/>
          <w:sz w:val="18"/>
          <w:szCs w:val="18"/>
          <w:lang w:val="es-ES_tradnl"/>
        </w:rPr>
        <w:t xml:space="preserve"> lo han </w:t>
      </w:r>
      <w:r>
        <w:rPr>
          <w:sz w:val="18"/>
          <w:szCs w:val="18"/>
          <w:lang w:val="es-ES_tradnl"/>
        </w:rPr>
        <w:t>declarado.</w:t>
      </w:r>
    </w:p>
    <w:p w14:paraId="4F67BA47" w14:textId="77777777" w:rsidR="00591D54" w:rsidRDefault="00591D54">
      <w:pPr>
        <w:shd w:val="clear" w:color="auto" w:fill="FFFFFF"/>
        <w:spacing w:before="197" w:line="216" w:lineRule="exact"/>
        <w:jc w:val="both"/>
      </w:pPr>
      <w:r>
        <w:rPr>
          <w:spacing w:val="-7"/>
          <w:sz w:val="18"/>
          <w:szCs w:val="18"/>
          <w:lang w:val="es-ES_tradnl"/>
        </w:rPr>
        <w:t>As</w:t>
      </w:r>
      <w:r>
        <w:rPr>
          <w:rFonts w:cs="Times New Roman"/>
          <w:spacing w:val="-7"/>
          <w:sz w:val="18"/>
          <w:szCs w:val="18"/>
          <w:lang w:val="es-ES_tradnl"/>
        </w:rPr>
        <w:t>í</w:t>
      </w:r>
      <w:r>
        <w:rPr>
          <w:spacing w:val="-7"/>
          <w:sz w:val="18"/>
          <w:szCs w:val="18"/>
          <w:lang w:val="es-ES_tradnl"/>
        </w:rPr>
        <w:t xml:space="preserve">, de la sentencia impugnada, no se advierte ninguna </w:t>
      </w:r>
      <w:r>
        <w:rPr>
          <w:spacing w:val="-6"/>
          <w:sz w:val="18"/>
          <w:szCs w:val="18"/>
          <w:lang w:val="es-ES_tradnl"/>
        </w:rPr>
        <w:t>vulneraci</w:t>
      </w:r>
      <w:r>
        <w:rPr>
          <w:rFonts w:cs="Times New Roman"/>
          <w:spacing w:val="-6"/>
          <w:sz w:val="18"/>
          <w:szCs w:val="18"/>
          <w:lang w:val="es-ES_tradnl"/>
        </w:rPr>
        <w:t>ó</w:t>
      </w:r>
      <w:r>
        <w:rPr>
          <w:spacing w:val="-6"/>
          <w:sz w:val="18"/>
          <w:szCs w:val="18"/>
          <w:lang w:val="es-ES_tradnl"/>
        </w:rPr>
        <w:t>n del derecho al debido proceso en la garant</w:t>
      </w:r>
      <w:r>
        <w:rPr>
          <w:rFonts w:cs="Times New Roman"/>
          <w:spacing w:val="-6"/>
          <w:sz w:val="18"/>
          <w:szCs w:val="18"/>
          <w:lang w:val="es-ES_tradnl"/>
        </w:rPr>
        <w:t>í</w:t>
      </w:r>
      <w:r>
        <w:rPr>
          <w:spacing w:val="-6"/>
          <w:sz w:val="18"/>
          <w:szCs w:val="18"/>
          <w:lang w:val="es-ES_tradnl"/>
        </w:rPr>
        <w:t xml:space="preserve">a </w:t>
      </w:r>
      <w:r>
        <w:rPr>
          <w:spacing w:val="-9"/>
          <w:sz w:val="18"/>
          <w:szCs w:val="18"/>
          <w:lang w:val="es-ES_tradnl"/>
        </w:rPr>
        <w:t>de aplicaci</w:t>
      </w:r>
      <w:r>
        <w:rPr>
          <w:rFonts w:cs="Times New Roman"/>
          <w:spacing w:val="-9"/>
          <w:sz w:val="18"/>
          <w:szCs w:val="18"/>
          <w:lang w:val="es-ES_tradnl"/>
        </w:rPr>
        <w:t>ó</w:t>
      </w:r>
      <w:r>
        <w:rPr>
          <w:spacing w:val="-9"/>
          <w:sz w:val="18"/>
          <w:szCs w:val="18"/>
          <w:lang w:val="es-ES_tradnl"/>
        </w:rPr>
        <w:t xml:space="preserve">n del derecho de las partes, al contrario, ha sido </w:t>
      </w:r>
      <w:r>
        <w:rPr>
          <w:spacing w:val="-11"/>
          <w:sz w:val="18"/>
          <w:szCs w:val="18"/>
          <w:lang w:val="es-ES_tradnl"/>
        </w:rPr>
        <w:t>respetado y garantizado a trav</w:t>
      </w:r>
      <w:r>
        <w:rPr>
          <w:rFonts w:cs="Times New Roman"/>
          <w:spacing w:val="-11"/>
          <w:sz w:val="18"/>
          <w:szCs w:val="18"/>
          <w:lang w:val="es-ES_tradnl"/>
        </w:rPr>
        <w:t>é</w:t>
      </w:r>
      <w:r>
        <w:rPr>
          <w:spacing w:val="-11"/>
          <w:sz w:val="18"/>
          <w:szCs w:val="18"/>
          <w:lang w:val="es-ES_tradnl"/>
        </w:rPr>
        <w:t>s de la sentencia impugnada.</w:t>
      </w:r>
    </w:p>
    <w:p w14:paraId="4F67BA48" w14:textId="77777777" w:rsidR="00591D54" w:rsidRDefault="00591D54">
      <w:pPr>
        <w:shd w:val="clear" w:color="auto" w:fill="FFFFFF"/>
        <w:spacing w:before="192" w:line="216" w:lineRule="exact"/>
        <w:ind w:left="283" w:hanging="283"/>
        <w:jc w:val="both"/>
      </w:pPr>
      <w:r>
        <w:rPr>
          <w:b/>
          <w:bCs/>
          <w:spacing w:val="-7"/>
          <w:sz w:val="18"/>
          <w:szCs w:val="18"/>
          <w:lang w:val="es-ES_tradnl"/>
        </w:rPr>
        <w:t xml:space="preserve">2. La sentencia dictada el 31 de agosto de 2011 a las </w:t>
      </w:r>
      <w:r>
        <w:rPr>
          <w:b/>
          <w:bCs/>
          <w:spacing w:val="-6"/>
          <w:sz w:val="18"/>
          <w:szCs w:val="18"/>
          <w:lang w:val="es-ES_tradnl"/>
        </w:rPr>
        <w:t xml:space="preserve">17h21, por los jueces de la Sala </w:t>
      </w:r>
      <w:r>
        <w:rPr>
          <w:rFonts w:cs="Times New Roman"/>
          <w:b/>
          <w:bCs/>
          <w:spacing w:val="-6"/>
          <w:sz w:val="18"/>
          <w:szCs w:val="18"/>
          <w:lang w:val="es-ES_tradnl"/>
        </w:rPr>
        <w:t>Ú</w:t>
      </w:r>
      <w:r>
        <w:rPr>
          <w:b/>
          <w:bCs/>
          <w:spacing w:val="-6"/>
          <w:sz w:val="18"/>
          <w:szCs w:val="18"/>
          <w:lang w:val="es-ES_tradnl"/>
        </w:rPr>
        <w:t xml:space="preserve">nica de la Corte </w:t>
      </w:r>
      <w:r>
        <w:rPr>
          <w:b/>
          <w:bCs/>
          <w:spacing w:val="-7"/>
          <w:sz w:val="18"/>
          <w:szCs w:val="18"/>
          <w:lang w:val="es-ES_tradnl"/>
        </w:rPr>
        <w:t>Provincial de Justicia de Santa Elena, dentro de la acci</w:t>
      </w:r>
      <w:r>
        <w:rPr>
          <w:rFonts w:cs="Times New Roman"/>
          <w:b/>
          <w:bCs/>
          <w:spacing w:val="-7"/>
          <w:sz w:val="18"/>
          <w:szCs w:val="18"/>
          <w:lang w:val="es-ES_tradnl"/>
        </w:rPr>
        <w:t>ó</w:t>
      </w:r>
      <w:r>
        <w:rPr>
          <w:b/>
          <w:bCs/>
          <w:spacing w:val="-7"/>
          <w:sz w:val="18"/>
          <w:szCs w:val="18"/>
          <w:lang w:val="es-ES_tradnl"/>
        </w:rPr>
        <w:t>n de protecci</w:t>
      </w:r>
      <w:r>
        <w:rPr>
          <w:rFonts w:cs="Times New Roman"/>
          <w:b/>
          <w:bCs/>
          <w:spacing w:val="-7"/>
          <w:sz w:val="18"/>
          <w:szCs w:val="18"/>
          <w:lang w:val="es-ES_tradnl"/>
        </w:rPr>
        <w:t>ó</w:t>
      </w:r>
      <w:r>
        <w:rPr>
          <w:b/>
          <w:bCs/>
          <w:spacing w:val="-7"/>
          <w:sz w:val="18"/>
          <w:szCs w:val="18"/>
          <w:lang w:val="es-ES_tradnl"/>
        </w:rPr>
        <w:t>n N.</w:t>
      </w:r>
      <w:r>
        <w:rPr>
          <w:rFonts w:cs="Times New Roman"/>
          <w:b/>
          <w:bCs/>
          <w:spacing w:val="-7"/>
          <w:sz w:val="18"/>
          <w:szCs w:val="18"/>
          <w:lang w:val="es-ES_tradnl"/>
        </w:rPr>
        <w:t>º</w:t>
      </w:r>
      <w:r>
        <w:rPr>
          <w:b/>
          <w:bCs/>
          <w:spacing w:val="-7"/>
          <w:sz w:val="18"/>
          <w:szCs w:val="18"/>
          <w:lang w:val="es-ES_tradnl"/>
        </w:rPr>
        <w:t xml:space="preserve"> 368-2010-2, </w:t>
      </w:r>
      <w:r>
        <w:rPr>
          <w:rFonts w:cs="Times New Roman"/>
          <w:b/>
          <w:bCs/>
          <w:spacing w:val="-7"/>
          <w:sz w:val="18"/>
          <w:szCs w:val="18"/>
          <w:lang w:val="es-ES_tradnl"/>
        </w:rPr>
        <w:t>¿</w:t>
      </w:r>
      <w:r>
        <w:rPr>
          <w:b/>
          <w:bCs/>
          <w:spacing w:val="-7"/>
          <w:sz w:val="18"/>
          <w:szCs w:val="18"/>
          <w:lang w:val="es-ES_tradnl"/>
        </w:rPr>
        <w:t xml:space="preserve">vulnera el </w:t>
      </w:r>
      <w:r>
        <w:rPr>
          <w:b/>
          <w:bCs/>
          <w:spacing w:val="-9"/>
          <w:sz w:val="18"/>
          <w:szCs w:val="18"/>
          <w:lang w:val="es-ES_tradnl"/>
        </w:rPr>
        <w:t>derecho constitucional a la seguridad jur</w:t>
      </w:r>
      <w:r>
        <w:rPr>
          <w:rFonts w:cs="Times New Roman"/>
          <w:b/>
          <w:bCs/>
          <w:spacing w:val="-9"/>
          <w:sz w:val="18"/>
          <w:szCs w:val="18"/>
          <w:lang w:val="es-ES_tradnl"/>
        </w:rPr>
        <w:t>í</w:t>
      </w:r>
      <w:r>
        <w:rPr>
          <w:b/>
          <w:bCs/>
          <w:spacing w:val="-9"/>
          <w:sz w:val="18"/>
          <w:szCs w:val="18"/>
          <w:lang w:val="es-ES_tradnl"/>
        </w:rPr>
        <w:t>dica?</w:t>
      </w:r>
    </w:p>
    <w:p w14:paraId="4F67BA49" w14:textId="77777777" w:rsidR="00591D54" w:rsidRDefault="00591D54">
      <w:pPr>
        <w:shd w:val="clear" w:color="auto" w:fill="FFFFFF"/>
        <w:spacing w:before="197" w:line="216" w:lineRule="exact"/>
        <w:jc w:val="both"/>
      </w:pPr>
      <w:r>
        <w:rPr>
          <w:spacing w:val="-6"/>
          <w:sz w:val="18"/>
          <w:szCs w:val="18"/>
          <w:lang w:val="es-ES_tradnl"/>
        </w:rPr>
        <w:t>Al respecto,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 en el art</w:t>
      </w:r>
      <w:r>
        <w:rPr>
          <w:rFonts w:cs="Times New Roman"/>
          <w:spacing w:val="-6"/>
          <w:sz w:val="18"/>
          <w:szCs w:val="18"/>
          <w:lang w:val="es-ES_tradnl"/>
        </w:rPr>
        <w:t>í</w:t>
      </w:r>
      <w:r>
        <w:rPr>
          <w:spacing w:val="-6"/>
          <w:sz w:val="18"/>
          <w:szCs w:val="18"/>
          <w:lang w:val="es-ES_tradnl"/>
        </w:rPr>
        <w:t xml:space="preserve">culo </w:t>
      </w:r>
      <w:r>
        <w:rPr>
          <w:spacing w:val="-5"/>
          <w:sz w:val="18"/>
          <w:szCs w:val="18"/>
          <w:lang w:val="es-ES_tradnl"/>
        </w:rPr>
        <w:t xml:space="preserve">82, establece: </w:t>
      </w:r>
      <w:r>
        <w:rPr>
          <w:rFonts w:cs="Times New Roman"/>
          <w:spacing w:val="-5"/>
          <w:sz w:val="18"/>
          <w:szCs w:val="18"/>
          <w:lang w:val="es-ES_tradnl"/>
        </w:rPr>
        <w:t>“</w:t>
      </w:r>
      <w:r>
        <w:rPr>
          <w:spacing w:val="-5"/>
          <w:sz w:val="18"/>
          <w:szCs w:val="18"/>
          <w:lang w:val="es-ES_tradnl"/>
        </w:rPr>
        <w:t>El derecho a la seguridad jur</w:t>
      </w:r>
      <w:r>
        <w:rPr>
          <w:rFonts w:cs="Times New Roman"/>
          <w:spacing w:val="-5"/>
          <w:sz w:val="18"/>
          <w:szCs w:val="18"/>
          <w:lang w:val="es-ES_tradnl"/>
        </w:rPr>
        <w:t>í</w:t>
      </w:r>
      <w:r>
        <w:rPr>
          <w:spacing w:val="-5"/>
          <w:sz w:val="18"/>
          <w:szCs w:val="18"/>
          <w:lang w:val="es-ES_tradnl"/>
        </w:rPr>
        <w:t xml:space="preserve">dica se </w:t>
      </w:r>
      <w:r>
        <w:rPr>
          <w:spacing w:val="-10"/>
          <w:sz w:val="18"/>
          <w:szCs w:val="18"/>
          <w:lang w:val="es-ES_tradnl"/>
        </w:rPr>
        <w:t>fundamenta en el respeto a la Constituci</w:t>
      </w:r>
      <w:r>
        <w:rPr>
          <w:rFonts w:cs="Times New Roman"/>
          <w:spacing w:val="-10"/>
          <w:sz w:val="18"/>
          <w:szCs w:val="18"/>
          <w:lang w:val="es-ES_tradnl"/>
        </w:rPr>
        <w:t>ó</w:t>
      </w:r>
      <w:r>
        <w:rPr>
          <w:spacing w:val="-10"/>
          <w:sz w:val="18"/>
          <w:szCs w:val="18"/>
          <w:lang w:val="es-ES_tradnl"/>
        </w:rPr>
        <w:t xml:space="preserve">n y en la existencia </w:t>
      </w:r>
      <w:r>
        <w:rPr>
          <w:spacing w:val="-9"/>
          <w:sz w:val="18"/>
          <w:szCs w:val="18"/>
          <w:lang w:val="es-ES_tradnl"/>
        </w:rPr>
        <w:t>de normas jur</w:t>
      </w:r>
      <w:r>
        <w:rPr>
          <w:rFonts w:cs="Times New Roman"/>
          <w:spacing w:val="-9"/>
          <w:sz w:val="18"/>
          <w:szCs w:val="18"/>
          <w:lang w:val="es-ES_tradnl"/>
        </w:rPr>
        <w:t>í</w:t>
      </w:r>
      <w:r>
        <w:rPr>
          <w:spacing w:val="-9"/>
          <w:sz w:val="18"/>
          <w:szCs w:val="18"/>
          <w:lang w:val="es-ES_tradnl"/>
        </w:rPr>
        <w:t>dicas previas, claras, p</w:t>
      </w:r>
      <w:r>
        <w:rPr>
          <w:rFonts w:cs="Times New Roman"/>
          <w:spacing w:val="-9"/>
          <w:sz w:val="18"/>
          <w:szCs w:val="18"/>
          <w:lang w:val="es-ES_tradnl"/>
        </w:rPr>
        <w:t>ú</w:t>
      </w:r>
      <w:r>
        <w:rPr>
          <w:spacing w:val="-9"/>
          <w:sz w:val="18"/>
          <w:szCs w:val="18"/>
          <w:lang w:val="es-ES_tradnl"/>
        </w:rPr>
        <w:t xml:space="preserve">blicas y aplicadas por </w:t>
      </w:r>
      <w:r>
        <w:rPr>
          <w:sz w:val="18"/>
          <w:szCs w:val="18"/>
          <w:lang w:val="es-ES_tradnl"/>
        </w:rPr>
        <w:t>las autoridades competentes</w:t>
      </w:r>
      <w:r>
        <w:rPr>
          <w:rFonts w:cs="Times New Roman"/>
          <w:sz w:val="18"/>
          <w:szCs w:val="18"/>
          <w:lang w:val="es-ES_tradnl"/>
        </w:rPr>
        <w:t>”</w:t>
      </w:r>
      <w:r>
        <w:rPr>
          <w:sz w:val="18"/>
          <w:szCs w:val="18"/>
          <w:lang w:val="es-ES_tradnl"/>
        </w:rPr>
        <w:t>.</w:t>
      </w:r>
    </w:p>
    <w:p w14:paraId="4F67BA4A" w14:textId="77777777" w:rsidR="00591D54" w:rsidRDefault="00591D54">
      <w:pPr>
        <w:shd w:val="clear" w:color="auto" w:fill="FFFFFF"/>
        <w:spacing w:before="192" w:line="216" w:lineRule="exact"/>
        <w:jc w:val="both"/>
      </w:pPr>
      <w:r>
        <w:rPr>
          <w:spacing w:val="-4"/>
          <w:sz w:val="18"/>
          <w:szCs w:val="18"/>
          <w:lang w:val="es-ES_tradnl"/>
        </w:rPr>
        <w:t xml:space="preserve">En concordancia con la norma constitucional antes </w:t>
      </w:r>
      <w:r>
        <w:rPr>
          <w:sz w:val="18"/>
          <w:szCs w:val="18"/>
          <w:lang w:val="es-ES_tradnl"/>
        </w:rPr>
        <w:t xml:space="preserve">puntualizada la Corte Constitucional mediante </w:t>
      </w:r>
      <w:r>
        <w:rPr>
          <w:spacing w:val="-7"/>
          <w:sz w:val="18"/>
          <w:szCs w:val="18"/>
          <w:lang w:val="es-ES_tradnl"/>
        </w:rPr>
        <w:t>jurisprudencia y respecto de la seguridad jur</w:t>
      </w:r>
      <w:r>
        <w:rPr>
          <w:rFonts w:cs="Times New Roman"/>
          <w:spacing w:val="-7"/>
          <w:sz w:val="18"/>
          <w:szCs w:val="18"/>
          <w:lang w:val="es-ES_tradnl"/>
        </w:rPr>
        <w:t>í</w:t>
      </w:r>
      <w:r>
        <w:rPr>
          <w:spacing w:val="-7"/>
          <w:sz w:val="18"/>
          <w:szCs w:val="18"/>
          <w:lang w:val="es-ES_tradnl"/>
        </w:rPr>
        <w:t xml:space="preserve">dica, se ha </w:t>
      </w:r>
      <w:r>
        <w:rPr>
          <w:sz w:val="18"/>
          <w:szCs w:val="18"/>
          <w:lang w:val="es-ES_tradnl"/>
        </w:rPr>
        <w:t>pronunciado en los siguientes t</w:t>
      </w:r>
      <w:r>
        <w:rPr>
          <w:rFonts w:cs="Times New Roman"/>
          <w:sz w:val="18"/>
          <w:szCs w:val="18"/>
          <w:lang w:val="es-ES_tradnl"/>
        </w:rPr>
        <w:t>é</w:t>
      </w:r>
      <w:r>
        <w:rPr>
          <w:sz w:val="18"/>
          <w:szCs w:val="18"/>
          <w:lang w:val="es-ES_tradnl"/>
        </w:rPr>
        <w:t>rminos:</w:t>
      </w:r>
    </w:p>
    <w:p w14:paraId="4F67BA4B" w14:textId="77777777" w:rsidR="00591D54" w:rsidRDefault="00591D54">
      <w:pPr>
        <w:shd w:val="clear" w:color="auto" w:fill="FFFFFF"/>
        <w:spacing w:before="206" w:line="211" w:lineRule="exact"/>
        <w:ind w:left="283"/>
        <w:jc w:val="both"/>
      </w:pPr>
      <w:r>
        <w:rPr>
          <w:sz w:val="16"/>
          <w:szCs w:val="16"/>
          <w:lang w:val="es-ES_tradnl"/>
        </w:rPr>
        <w:t>(</w:t>
      </w:r>
      <w:r>
        <w:rPr>
          <w:rFonts w:cs="Times New Roman"/>
          <w:sz w:val="16"/>
          <w:szCs w:val="16"/>
          <w:lang w:val="es-ES_tradnl"/>
        </w:rPr>
        <w:t>…</w:t>
      </w:r>
      <w:r>
        <w:rPr>
          <w:sz w:val="16"/>
          <w:szCs w:val="16"/>
          <w:lang w:val="es-ES_tradnl"/>
        </w:rPr>
        <w:t>) es un valor jur</w:t>
      </w:r>
      <w:r>
        <w:rPr>
          <w:rFonts w:cs="Times New Roman"/>
          <w:sz w:val="16"/>
          <w:szCs w:val="16"/>
          <w:lang w:val="es-ES_tradnl"/>
        </w:rPr>
        <w:t>í</w:t>
      </w:r>
      <w:r>
        <w:rPr>
          <w:sz w:val="16"/>
          <w:szCs w:val="16"/>
          <w:lang w:val="es-ES_tradnl"/>
        </w:rPr>
        <w:t>dico impl</w:t>
      </w:r>
      <w:r>
        <w:rPr>
          <w:rFonts w:cs="Times New Roman"/>
          <w:sz w:val="16"/>
          <w:szCs w:val="16"/>
          <w:lang w:val="es-ES_tradnl"/>
        </w:rPr>
        <w:t>í</w:t>
      </w:r>
      <w:r>
        <w:rPr>
          <w:sz w:val="16"/>
          <w:szCs w:val="16"/>
          <w:lang w:val="es-ES_tradnl"/>
        </w:rPr>
        <w:t xml:space="preserve">cito en nuestro orden </w:t>
      </w:r>
      <w:r>
        <w:rPr>
          <w:spacing w:val="-4"/>
          <w:sz w:val="16"/>
          <w:szCs w:val="16"/>
          <w:lang w:val="es-ES_tradnl"/>
        </w:rPr>
        <w:t xml:space="preserve">constitucional y legal vigente en virtud del cual, el Estado provee a los individuos del conocimiento de las conductas </w:t>
      </w:r>
      <w:r>
        <w:rPr>
          <w:spacing w:val="-9"/>
          <w:sz w:val="16"/>
          <w:szCs w:val="16"/>
          <w:lang w:val="es-ES_tradnl"/>
        </w:rPr>
        <w:t xml:space="preserve">que son permitidas, y dentro de las cuales las personas pueden </w:t>
      </w:r>
      <w:r>
        <w:rPr>
          <w:spacing w:val="-5"/>
          <w:sz w:val="16"/>
          <w:szCs w:val="16"/>
          <w:lang w:val="es-ES_tradnl"/>
        </w:rPr>
        <w:t xml:space="preserve">actuar. Si no existiera este principio en una sociedad, las </w:t>
      </w:r>
      <w:r>
        <w:rPr>
          <w:spacing w:val="-8"/>
          <w:sz w:val="16"/>
          <w:szCs w:val="16"/>
          <w:lang w:val="es-ES_tradnl"/>
        </w:rPr>
        <w:t>personas no podr</w:t>
      </w:r>
      <w:r>
        <w:rPr>
          <w:rFonts w:cs="Times New Roman"/>
          <w:spacing w:val="-8"/>
          <w:sz w:val="16"/>
          <w:szCs w:val="16"/>
          <w:lang w:val="es-ES_tradnl"/>
        </w:rPr>
        <w:t>í</w:t>
      </w:r>
      <w:r>
        <w:rPr>
          <w:spacing w:val="-8"/>
          <w:sz w:val="16"/>
          <w:szCs w:val="16"/>
          <w:lang w:val="es-ES_tradnl"/>
        </w:rPr>
        <w:t xml:space="preserve">an establecer un conocimiento certero de las </w:t>
      </w:r>
      <w:r>
        <w:rPr>
          <w:sz w:val="16"/>
          <w:szCs w:val="16"/>
          <w:lang w:val="es-ES_tradnl"/>
        </w:rPr>
        <w:t>actuaciones permitidas (</w:t>
      </w:r>
      <w:r>
        <w:rPr>
          <w:rFonts w:cs="Times New Roman"/>
          <w:sz w:val="16"/>
          <w:szCs w:val="16"/>
          <w:lang w:val="es-ES_tradnl"/>
        </w:rPr>
        <w:t>…</w:t>
      </w:r>
      <w:r>
        <w:rPr>
          <w:sz w:val="16"/>
          <w:szCs w:val="16"/>
          <w:lang w:val="es-ES_tradnl"/>
        </w:rPr>
        <w:t>)</w:t>
      </w:r>
      <w:r>
        <w:rPr>
          <w:sz w:val="16"/>
          <w:szCs w:val="16"/>
          <w:vertAlign w:val="superscript"/>
          <w:lang w:val="es-ES_tradnl"/>
        </w:rPr>
        <w:t>7</w:t>
      </w:r>
      <w:r>
        <w:rPr>
          <w:sz w:val="16"/>
          <w:szCs w:val="16"/>
          <w:lang w:val="es-ES_tradnl"/>
        </w:rPr>
        <w:t>.</w:t>
      </w:r>
    </w:p>
    <w:p w14:paraId="4F67BA4C" w14:textId="77777777" w:rsidR="00591D54" w:rsidRDefault="00591D54">
      <w:pPr>
        <w:shd w:val="clear" w:color="auto" w:fill="FFFFFF"/>
        <w:spacing w:before="211" w:line="216" w:lineRule="exact"/>
        <w:ind w:left="283"/>
        <w:jc w:val="both"/>
      </w:pPr>
      <w:r>
        <w:rPr>
          <w:spacing w:val="-10"/>
          <w:sz w:val="16"/>
          <w:szCs w:val="16"/>
          <w:lang w:val="es-ES_tradnl"/>
        </w:rPr>
        <w:t>(</w:t>
      </w:r>
      <w:r>
        <w:rPr>
          <w:rFonts w:cs="Times New Roman"/>
          <w:spacing w:val="-10"/>
          <w:sz w:val="16"/>
          <w:szCs w:val="16"/>
          <w:lang w:val="es-ES_tradnl"/>
        </w:rPr>
        <w:t>…</w:t>
      </w:r>
      <w:r>
        <w:rPr>
          <w:spacing w:val="-10"/>
          <w:sz w:val="16"/>
          <w:szCs w:val="16"/>
          <w:lang w:val="es-ES_tradnl"/>
        </w:rPr>
        <w:t>) la seguridad jur</w:t>
      </w:r>
      <w:r>
        <w:rPr>
          <w:rFonts w:cs="Times New Roman"/>
          <w:spacing w:val="-10"/>
          <w:sz w:val="16"/>
          <w:szCs w:val="16"/>
          <w:lang w:val="es-ES_tradnl"/>
        </w:rPr>
        <w:t>í</w:t>
      </w:r>
      <w:r>
        <w:rPr>
          <w:spacing w:val="-10"/>
          <w:sz w:val="16"/>
          <w:szCs w:val="16"/>
          <w:lang w:val="es-ES_tradnl"/>
        </w:rPr>
        <w:t xml:space="preserve">dica se constituye en un derecho transversal </w:t>
      </w:r>
      <w:r>
        <w:rPr>
          <w:spacing w:val="-6"/>
          <w:sz w:val="16"/>
          <w:szCs w:val="16"/>
          <w:lang w:val="es-ES_tradnl"/>
        </w:rPr>
        <w:t>a todo el ordenamiento jur</w:t>
      </w:r>
      <w:r>
        <w:rPr>
          <w:rFonts w:cs="Times New Roman"/>
          <w:spacing w:val="-6"/>
          <w:sz w:val="16"/>
          <w:szCs w:val="16"/>
          <w:lang w:val="es-ES_tradnl"/>
        </w:rPr>
        <w:t>í</w:t>
      </w:r>
      <w:r>
        <w:rPr>
          <w:spacing w:val="-6"/>
          <w:sz w:val="16"/>
          <w:szCs w:val="16"/>
          <w:lang w:val="es-ES_tradnl"/>
        </w:rPr>
        <w:t xml:space="preserve">dico, por cuanto implica el respeto </w:t>
      </w:r>
      <w:r>
        <w:rPr>
          <w:spacing w:val="-3"/>
          <w:sz w:val="16"/>
          <w:szCs w:val="16"/>
          <w:lang w:val="es-ES_tradnl"/>
        </w:rPr>
        <w:t>a la Constituci</w:t>
      </w:r>
      <w:r>
        <w:rPr>
          <w:rFonts w:cs="Times New Roman"/>
          <w:spacing w:val="-3"/>
          <w:sz w:val="16"/>
          <w:szCs w:val="16"/>
          <w:lang w:val="es-ES_tradnl"/>
        </w:rPr>
        <w:t>ó</w:t>
      </w:r>
      <w:r>
        <w:rPr>
          <w:spacing w:val="-3"/>
          <w:sz w:val="16"/>
          <w:szCs w:val="16"/>
          <w:lang w:val="es-ES_tradnl"/>
        </w:rPr>
        <w:t>n como la norma jer</w:t>
      </w:r>
      <w:r>
        <w:rPr>
          <w:rFonts w:cs="Times New Roman"/>
          <w:spacing w:val="-3"/>
          <w:sz w:val="16"/>
          <w:szCs w:val="16"/>
          <w:lang w:val="es-ES_tradnl"/>
        </w:rPr>
        <w:t>á</w:t>
      </w:r>
      <w:r>
        <w:rPr>
          <w:spacing w:val="-3"/>
          <w:sz w:val="16"/>
          <w:szCs w:val="16"/>
          <w:lang w:val="es-ES_tradnl"/>
        </w:rPr>
        <w:t xml:space="preserve">rquicamente superior </w:t>
      </w:r>
      <w:r>
        <w:rPr>
          <w:spacing w:val="-8"/>
          <w:sz w:val="16"/>
          <w:szCs w:val="16"/>
          <w:lang w:val="es-ES_tradnl"/>
        </w:rPr>
        <w:t xml:space="preserve">que consagra los derechos constitucionales reconocidos por el </w:t>
      </w:r>
      <w:r>
        <w:rPr>
          <w:spacing w:val="-9"/>
          <w:sz w:val="16"/>
          <w:szCs w:val="16"/>
          <w:lang w:val="es-ES_tradnl"/>
        </w:rPr>
        <w:t>Estado; prev</w:t>
      </w:r>
      <w:r>
        <w:rPr>
          <w:rFonts w:cs="Times New Roman"/>
          <w:spacing w:val="-9"/>
          <w:sz w:val="16"/>
          <w:szCs w:val="16"/>
          <w:lang w:val="es-ES_tradnl"/>
        </w:rPr>
        <w:t>é</w:t>
      </w:r>
      <w:r>
        <w:rPr>
          <w:spacing w:val="-9"/>
          <w:sz w:val="16"/>
          <w:szCs w:val="16"/>
          <w:lang w:val="es-ES_tradnl"/>
        </w:rPr>
        <w:t xml:space="preserve"> la existencia de normas jur</w:t>
      </w:r>
      <w:r>
        <w:rPr>
          <w:rFonts w:cs="Times New Roman"/>
          <w:spacing w:val="-9"/>
          <w:sz w:val="16"/>
          <w:szCs w:val="16"/>
          <w:lang w:val="es-ES_tradnl"/>
        </w:rPr>
        <w:t>í</w:t>
      </w:r>
      <w:r>
        <w:rPr>
          <w:spacing w:val="-9"/>
          <w:sz w:val="16"/>
          <w:szCs w:val="16"/>
          <w:lang w:val="es-ES_tradnl"/>
        </w:rPr>
        <w:t xml:space="preserve">dicas, previas, claras, </w:t>
      </w:r>
      <w:r>
        <w:rPr>
          <w:spacing w:val="-7"/>
          <w:sz w:val="16"/>
          <w:szCs w:val="16"/>
          <w:lang w:val="es-ES_tradnl"/>
        </w:rPr>
        <w:t>p</w:t>
      </w:r>
      <w:r>
        <w:rPr>
          <w:rFonts w:cs="Times New Roman"/>
          <w:spacing w:val="-7"/>
          <w:sz w:val="16"/>
          <w:szCs w:val="16"/>
          <w:lang w:val="es-ES_tradnl"/>
        </w:rPr>
        <w:t>ú</w:t>
      </w:r>
      <w:r>
        <w:rPr>
          <w:spacing w:val="-7"/>
          <w:sz w:val="16"/>
          <w:szCs w:val="16"/>
          <w:lang w:val="es-ES_tradnl"/>
        </w:rPr>
        <w:t>blicas y aplicadas por las autoridades competentes, con lo cual se logra la certeza del derecho en cuanto a la aplicaci</w:t>
      </w:r>
      <w:r>
        <w:rPr>
          <w:rFonts w:cs="Times New Roman"/>
          <w:spacing w:val="-7"/>
          <w:sz w:val="16"/>
          <w:szCs w:val="16"/>
          <w:lang w:val="es-ES_tradnl"/>
        </w:rPr>
        <w:t>ó</w:t>
      </w:r>
      <w:r>
        <w:rPr>
          <w:spacing w:val="-7"/>
          <w:sz w:val="16"/>
          <w:szCs w:val="16"/>
          <w:lang w:val="es-ES_tradnl"/>
        </w:rPr>
        <w:t xml:space="preserve">n </w:t>
      </w:r>
      <w:r>
        <w:rPr>
          <w:sz w:val="16"/>
          <w:szCs w:val="16"/>
          <w:lang w:val="es-ES_tradnl"/>
        </w:rPr>
        <w:t>normativa.</w:t>
      </w:r>
    </w:p>
    <w:p w14:paraId="4F67BA4D" w14:textId="77777777" w:rsidR="00591D54" w:rsidRDefault="00591D54">
      <w:pPr>
        <w:shd w:val="clear" w:color="auto" w:fill="FFFFFF"/>
        <w:spacing w:before="202" w:line="216" w:lineRule="exact"/>
        <w:jc w:val="both"/>
      </w:pPr>
      <w:r>
        <w:rPr>
          <w:spacing w:val="-9"/>
          <w:sz w:val="18"/>
          <w:szCs w:val="18"/>
          <w:lang w:val="es-ES_tradnl"/>
        </w:rPr>
        <w:t>De lo enunciado en l</w:t>
      </w:r>
      <w:r>
        <w:rPr>
          <w:rFonts w:cs="Times New Roman"/>
          <w:spacing w:val="-9"/>
          <w:sz w:val="18"/>
          <w:szCs w:val="18"/>
          <w:lang w:val="es-ES_tradnl"/>
        </w:rPr>
        <w:t>í</w:t>
      </w:r>
      <w:r>
        <w:rPr>
          <w:spacing w:val="-9"/>
          <w:sz w:val="18"/>
          <w:szCs w:val="18"/>
          <w:lang w:val="es-ES_tradnl"/>
        </w:rPr>
        <w:t xml:space="preserve">neas antecedentes se deduce que la </w:t>
      </w:r>
      <w:r>
        <w:rPr>
          <w:spacing w:val="-5"/>
          <w:sz w:val="18"/>
          <w:szCs w:val="18"/>
          <w:lang w:val="es-ES_tradnl"/>
        </w:rPr>
        <w:t>seguridad jur</w:t>
      </w:r>
      <w:r>
        <w:rPr>
          <w:rFonts w:cs="Times New Roman"/>
          <w:spacing w:val="-5"/>
          <w:sz w:val="18"/>
          <w:szCs w:val="18"/>
          <w:lang w:val="es-ES_tradnl"/>
        </w:rPr>
        <w:t>í</w:t>
      </w:r>
      <w:r>
        <w:rPr>
          <w:spacing w:val="-5"/>
          <w:sz w:val="18"/>
          <w:szCs w:val="18"/>
          <w:lang w:val="es-ES_tradnl"/>
        </w:rPr>
        <w:t xml:space="preserve">dica tiene como cometido principal el de </w:t>
      </w:r>
      <w:r>
        <w:rPr>
          <w:spacing w:val="-8"/>
          <w:sz w:val="18"/>
          <w:szCs w:val="18"/>
          <w:lang w:val="es-ES_tradnl"/>
        </w:rPr>
        <w:t xml:space="preserve">garantizar a las personas la certidumbre de contar con </w:t>
      </w:r>
      <w:r>
        <w:rPr>
          <w:spacing w:val="-9"/>
          <w:sz w:val="18"/>
          <w:szCs w:val="18"/>
          <w:lang w:val="es-ES_tradnl"/>
        </w:rPr>
        <w:t>operadores jur</w:t>
      </w:r>
      <w:r>
        <w:rPr>
          <w:rFonts w:cs="Times New Roman"/>
          <w:spacing w:val="-9"/>
          <w:sz w:val="18"/>
          <w:szCs w:val="18"/>
          <w:lang w:val="es-ES_tradnl"/>
        </w:rPr>
        <w:t>í</w:t>
      </w:r>
      <w:r>
        <w:rPr>
          <w:spacing w:val="-9"/>
          <w:sz w:val="18"/>
          <w:szCs w:val="18"/>
          <w:lang w:val="es-ES_tradnl"/>
        </w:rPr>
        <w:t>dicos competentes que act</w:t>
      </w:r>
      <w:r>
        <w:rPr>
          <w:rFonts w:cs="Times New Roman"/>
          <w:spacing w:val="-9"/>
          <w:sz w:val="18"/>
          <w:szCs w:val="18"/>
          <w:lang w:val="es-ES_tradnl"/>
        </w:rPr>
        <w:t>ú</w:t>
      </w:r>
      <w:r>
        <w:rPr>
          <w:spacing w:val="-9"/>
          <w:sz w:val="18"/>
          <w:szCs w:val="18"/>
          <w:lang w:val="es-ES_tradnl"/>
        </w:rPr>
        <w:t>en en defensa, protecci</w:t>
      </w:r>
      <w:r>
        <w:rPr>
          <w:rFonts w:cs="Times New Roman"/>
          <w:spacing w:val="-9"/>
          <w:sz w:val="18"/>
          <w:szCs w:val="18"/>
          <w:lang w:val="es-ES_tradnl"/>
        </w:rPr>
        <w:t>ó</w:t>
      </w:r>
      <w:r>
        <w:rPr>
          <w:spacing w:val="-9"/>
          <w:sz w:val="18"/>
          <w:szCs w:val="18"/>
          <w:lang w:val="es-ES_tradnl"/>
        </w:rPr>
        <w:t>n y tutela de sus derechos, lo cual se traduce en el</w:t>
      </w:r>
    </w:p>
    <w:p w14:paraId="4F67BA4E" w14:textId="77777777" w:rsidR="00591D54" w:rsidRDefault="00591D54">
      <w:pPr>
        <w:shd w:val="clear" w:color="auto" w:fill="FFFFFF"/>
        <w:spacing w:before="480"/>
      </w:pPr>
      <w:r>
        <w:rPr>
          <w:sz w:val="16"/>
          <w:szCs w:val="16"/>
          <w:vertAlign w:val="superscript"/>
          <w:lang w:val="es-ES_tradnl"/>
        </w:rPr>
        <w:t>7</w:t>
      </w:r>
      <w:r>
        <w:rPr>
          <w:sz w:val="16"/>
          <w:szCs w:val="16"/>
          <w:lang w:val="es-ES_tradnl"/>
        </w:rPr>
        <w:t xml:space="preserve">  </w:t>
      </w:r>
      <w:r>
        <w:rPr>
          <w:spacing w:val="-11"/>
          <w:sz w:val="16"/>
          <w:szCs w:val="16"/>
          <w:lang w:val="es-ES_tradnl"/>
        </w:rPr>
        <w:t>Corte Constitucional del Ecuador. Sentencia No. 0001-11-SEP-CC.</w:t>
      </w:r>
    </w:p>
    <w:p w14:paraId="4F67BA4F" w14:textId="77777777" w:rsidR="00591D54" w:rsidRDefault="00591D54">
      <w:pPr>
        <w:shd w:val="clear" w:color="auto" w:fill="FFFFFF"/>
        <w:spacing w:before="480"/>
        <w:sectPr w:rsidR="00591D54">
          <w:type w:val="continuous"/>
          <w:pgSz w:w="11909" w:h="16834"/>
          <w:pgMar w:top="1366" w:right="1309" w:bottom="360" w:left="1308" w:header="720" w:footer="720" w:gutter="0"/>
          <w:cols w:num="2" w:space="720" w:equalWidth="0">
            <w:col w:w="4305" w:space="682"/>
            <w:col w:w="4305"/>
          </w:cols>
          <w:noEndnote/>
        </w:sectPr>
      </w:pPr>
    </w:p>
    <w:p w14:paraId="4F67BA50"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- 277</w:t>
      </w:r>
    </w:p>
    <w:p w14:paraId="4F67BA51" w14:textId="77777777" w:rsidR="00591D54" w:rsidRDefault="00591D54">
      <w:pPr>
        <w:shd w:val="clear" w:color="auto" w:fill="FFFFFF"/>
        <w:tabs>
          <w:tab w:val="left" w:pos="5842"/>
        </w:tabs>
        <w:spacing w:after="235"/>
        <w:ind w:left="5"/>
        <w:sectPr w:rsidR="00591D54">
          <w:pgSz w:w="11909" w:h="16834"/>
          <w:pgMar w:top="1366" w:right="1309" w:bottom="360" w:left="1308" w:header="720" w:footer="720" w:gutter="0"/>
          <w:cols w:space="60"/>
          <w:noEndnote/>
        </w:sectPr>
      </w:pPr>
    </w:p>
    <w:p w14:paraId="4F67BA52" w14:textId="77777777" w:rsidR="00591D54" w:rsidRDefault="00591D54">
      <w:pPr>
        <w:shd w:val="clear" w:color="auto" w:fill="FFFFFF"/>
        <w:spacing w:line="216" w:lineRule="exact"/>
        <w:jc w:val="both"/>
      </w:pPr>
      <w:r>
        <w:rPr>
          <w:spacing w:val="-10"/>
          <w:sz w:val="18"/>
          <w:szCs w:val="18"/>
          <w:lang w:val="es-ES_tradnl"/>
        </w:rPr>
        <w:t xml:space="preserve">derecho del que todas las personas estamos investidas para </w:t>
      </w:r>
      <w:r>
        <w:rPr>
          <w:spacing w:val="-7"/>
          <w:sz w:val="18"/>
          <w:szCs w:val="18"/>
          <w:lang w:val="es-ES_tradnl"/>
        </w:rPr>
        <w:t>conocer y tener certeza del ordenamiento jur</w:t>
      </w:r>
      <w:r>
        <w:rPr>
          <w:rFonts w:cs="Times New Roman"/>
          <w:spacing w:val="-7"/>
          <w:sz w:val="18"/>
          <w:szCs w:val="18"/>
          <w:lang w:val="es-ES_tradnl"/>
        </w:rPr>
        <w:t>í</w:t>
      </w:r>
      <w:r>
        <w:rPr>
          <w:spacing w:val="-7"/>
          <w:sz w:val="18"/>
          <w:szCs w:val="18"/>
          <w:lang w:val="es-ES_tradnl"/>
        </w:rPr>
        <w:t xml:space="preserve">dico que nos rige, en el desarrollo de nuestras actividades cotidianas en </w:t>
      </w:r>
      <w:r>
        <w:rPr>
          <w:sz w:val="18"/>
          <w:szCs w:val="18"/>
          <w:lang w:val="es-ES_tradnl"/>
        </w:rPr>
        <w:t>sociedad.</w:t>
      </w:r>
    </w:p>
    <w:p w14:paraId="4F67BA53" w14:textId="77777777" w:rsidR="00591D54" w:rsidRDefault="00591D54">
      <w:pPr>
        <w:shd w:val="clear" w:color="auto" w:fill="FFFFFF"/>
        <w:spacing w:before="197" w:line="216" w:lineRule="exact"/>
        <w:jc w:val="both"/>
      </w:pPr>
      <w:r>
        <w:rPr>
          <w:spacing w:val="-6"/>
          <w:sz w:val="18"/>
          <w:szCs w:val="18"/>
          <w:lang w:val="es-ES_tradnl"/>
        </w:rPr>
        <w:t>Es decir, la seguridad jur</w:t>
      </w:r>
      <w:r>
        <w:rPr>
          <w:rFonts w:cs="Times New Roman"/>
          <w:spacing w:val="-6"/>
          <w:sz w:val="18"/>
          <w:szCs w:val="18"/>
          <w:lang w:val="es-ES_tradnl"/>
        </w:rPr>
        <w:t>í</w:t>
      </w:r>
      <w:r>
        <w:rPr>
          <w:spacing w:val="-6"/>
          <w:sz w:val="18"/>
          <w:szCs w:val="18"/>
          <w:lang w:val="es-ES_tradnl"/>
        </w:rPr>
        <w:t>dica representa la garant</w:t>
      </w:r>
      <w:r>
        <w:rPr>
          <w:rFonts w:cs="Times New Roman"/>
          <w:spacing w:val="-6"/>
          <w:sz w:val="18"/>
          <w:szCs w:val="18"/>
          <w:lang w:val="es-ES_tradnl"/>
        </w:rPr>
        <w:t>í</w:t>
      </w:r>
      <w:r>
        <w:rPr>
          <w:spacing w:val="-6"/>
          <w:sz w:val="18"/>
          <w:szCs w:val="18"/>
          <w:lang w:val="es-ES_tradnl"/>
        </w:rPr>
        <w:t xml:space="preserve">a que </w:t>
      </w:r>
      <w:r>
        <w:rPr>
          <w:spacing w:val="-7"/>
          <w:sz w:val="18"/>
          <w:szCs w:val="18"/>
          <w:lang w:val="es-ES_tradnl"/>
        </w:rPr>
        <w:t xml:space="preserve">permite disponer de claros y precisos modelos normativos </w:t>
      </w:r>
      <w:r>
        <w:rPr>
          <w:spacing w:val="-6"/>
          <w:sz w:val="18"/>
          <w:szCs w:val="18"/>
          <w:lang w:val="es-ES_tradnl"/>
        </w:rPr>
        <w:t xml:space="preserve">de conducta, capaces de otorgar seguridad y viabilidad a </w:t>
      </w:r>
      <w:r>
        <w:rPr>
          <w:sz w:val="18"/>
          <w:szCs w:val="18"/>
          <w:lang w:val="es-ES_tradnl"/>
        </w:rPr>
        <w:t>las previsiones normativas.</w:t>
      </w:r>
    </w:p>
    <w:p w14:paraId="4F67BA54" w14:textId="77777777" w:rsidR="00591D54" w:rsidRDefault="00591D54">
      <w:pPr>
        <w:shd w:val="clear" w:color="auto" w:fill="FFFFFF"/>
        <w:spacing w:before="197" w:line="216" w:lineRule="exact"/>
        <w:jc w:val="both"/>
      </w:pPr>
      <w:r>
        <w:rPr>
          <w:spacing w:val="-5"/>
          <w:sz w:val="18"/>
          <w:szCs w:val="18"/>
          <w:lang w:val="es-ES_tradnl"/>
        </w:rPr>
        <w:t>Para sintetizar, la seguridad jur</w:t>
      </w:r>
      <w:r>
        <w:rPr>
          <w:rFonts w:cs="Times New Roman"/>
          <w:spacing w:val="-5"/>
          <w:sz w:val="18"/>
          <w:szCs w:val="18"/>
          <w:lang w:val="es-ES_tradnl"/>
        </w:rPr>
        <w:t>í</w:t>
      </w:r>
      <w:r>
        <w:rPr>
          <w:spacing w:val="-5"/>
          <w:sz w:val="18"/>
          <w:szCs w:val="18"/>
          <w:lang w:val="es-ES_tradnl"/>
        </w:rPr>
        <w:t xml:space="preserve">dica simboliza el derecho </w:t>
      </w:r>
      <w:r>
        <w:rPr>
          <w:spacing w:val="-7"/>
          <w:sz w:val="18"/>
          <w:szCs w:val="18"/>
          <w:lang w:val="es-ES_tradnl"/>
        </w:rPr>
        <w:t xml:space="preserve">que tenemos todos los justiciables para tener certeza y </w:t>
      </w:r>
      <w:r>
        <w:rPr>
          <w:spacing w:val="-5"/>
          <w:sz w:val="18"/>
          <w:szCs w:val="18"/>
          <w:lang w:val="es-ES_tradnl"/>
        </w:rPr>
        <w:t>conocer con anticipaci</w:t>
      </w:r>
      <w:r>
        <w:rPr>
          <w:rFonts w:cs="Times New Roman"/>
          <w:spacing w:val="-5"/>
          <w:sz w:val="18"/>
          <w:szCs w:val="18"/>
          <w:lang w:val="es-ES_tradnl"/>
        </w:rPr>
        <w:t>ó</w:t>
      </w:r>
      <w:r>
        <w:rPr>
          <w:spacing w:val="-5"/>
          <w:sz w:val="18"/>
          <w:szCs w:val="18"/>
          <w:lang w:val="es-ES_tradnl"/>
        </w:rPr>
        <w:t xml:space="preserve">n la normativa pertinente a la que </w:t>
      </w:r>
      <w:r>
        <w:rPr>
          <w:sz w:val="18"/>
          <w:szCs w:val="18"/>
          <w:lang w:val="es-ES_tradnl"/>
        </w:rPr>
        <w:t>debemos sujetarnos.</w:t>
      </w:r>
    </w:p>
    <w:p w14:paraId="4F67BA55" w14:textId="77777777" w:rsidR="00591D54" w:rsidRDefault="00591D54">
      <w:pPr>
        <w:shd w:val="clear" w:color="auto" w:fill="FFFFFF"/>
        <w:spacing w:before="192" w:line="216" w:lineRule="exact"/>
        <w:jc w:val="both"/>
      </w:pPr>
      <w:r>
        <w:rPr>
          <w:sz w:val="18"/>
          <w:szCs w:val="18"/>
          <w:lang w:val="es-ES_tradnl"/>
        </w:rPr>
        <w:t>Acorde a lo expuesto en l</w:t>
      </w:r>
      <w:r>
        <w:rPr>
          <w:rFonts w:cs="Times New Roman"/>
          <w:sz w:val="18"/>
          <w:szCs w:val="18"/>
          <w:lang w:val="es-ES_tradnl"/>
        </w:rPr>
        <w:t>í</w:t>
      </w:r>
      <w:r>
        <w:rPr>
          <w:sz w:val="18"/>
          <w:szCs w:val="18"/>
          <w:lang w:val="es-ES_tradnl"/>
        </w:rPr>
        <w:t xml:space="preserve">neas precedentes y </w:t>
      </w:r>
      <w:r>
        <w:rPr>
          <w:spacing w:val="-3"/>
          <w:sz w:val="18"/>
          <w:szCs w:val="18"/>
          <w:lang w:val="es-ES_tradnl"/>
        </w:rPr>
        <w:t>remiti</w:t>
      </w:r>
      <w:r>
        <w:rPr>
          <w:rFonts w:cs="Times New Roman"/>
          <w:spacing w:val="-3"/>
          <w:sz w:val="18"/>
          <w:szCs w:val="18"/>
          <w:lang w:val="es-ES_tradnl"/>
        </w:rPr>
        <w:t>é</w:t>
      </w:r>
      <w:r>
        <w:rPr>
          <w:spacing w:val="-3"/>
          <w:sz w:val="18"/>
          <w:szCs w:val="18"/>
          <w:lang w:val="es-ES_tradnl"/>
        </w:rPr>
        <w:t xml:space="preserve">ndonos al caso </w:t>
      </w:r>
      <w:r>
        <w:rPr>
          <w:i/>
          <w:iCs/>
          <w:spacing w:val="-3"/>
          <w:sz w:val="18"/>
          <w:szCs w:val="18"/>
          <w:lang w:val="es-ES_tradnl"/>
        </w:rPr>
        <w:t>sub judice</w:t>
      </w:r>
      <w:r>
        <w:rPr>
          <w:spacing w:val="-3"/>
          <w:sz w:val="18"/>
          <w:szCs w:val="18"/>
          <w:lang w:val="es-ES_tradnl"/>
        </w:rPr>
        <w:t xml:space="preserve">, puede advertirse que </w:t>
      </w:r>
      <w:r>
        <w:rPr>
          <w:spacing w:val="-5"/>
          <w:sz w:val="18"/>
          <w:szCs w:val="18"/>
          <w:lang w:val="es-ES_tradnl"/>
        </w:rPr>
        <w:t>la sentencia materia de la impugnaci</w:t>
      </w:r>
      <w:r>
        <w:rPr>
          <w:rFonts w:cs="Times New Roman"/>
          <w:spacing w:val="-5"/>
          <w:sz w:val="18"/>
          <w:szCs w:val="18"/>
          <w:lang w:val="es-ES_tradnl"/>
        </w:rPr>
        <w:t>ó</w:t>
      </w:r>
      <w:r>
        <w:rPr>
          <w:spacing w:val="-5"/>
          <w:sz w:val="18"/>
          <w:szCs w:val="18"/>
          <w:lang w:val="es-ES_tradnl"/>
        </w:rPr>
        <w:t xml:space="preserve">n, dictada por los jueces de la Sala </w:t>
      </w:r>
      <w:r>
        <w:rPr>
          <w:rFonts w:cs="Times New Roman"/>
          <w:spacing w:val="-5"/>
          <w:sz w:val="18"/>
          <w:szCs w:val="18"/>
          <w:lang w:val="es-ES_tradnl"/>
        </w:rPr>
        <w:t>Ú</w:t>
      </w:r>
      <w:r>
        <w:rPr>
          <w:spacing w:val="-5"/>
          <w:sz w:val="18"/>
          <w:szCs w:val="18"/>
          <w:lang w:val="es-ES_tradnl"/>
        </w:rPr>
        <w:t xml:space="preserve">nica de la Corte Provincial de Santa </w:t>
      </w:r>
      <w:r>
        <w:rPr>
          <w:spacing w:val="-3"/>
          <w:sz w:val="18"/>
          <w:szCs w:val="18"/>
          <w:lang w:val="es-ES_tradnl"/>
        </w:rPr>
        <w:t>Elena, garantiz</w:t>
      </w:r>
      <w:r>
        <w:rPr>
          <w:rFonts w:cs="Times New Roman"/>
          <w:spacing w:val="-3"/>
          <w:sz w:val="18"/>
          <w:szCs w:val="18"/>
          <w:lang w:val="es-ES_tradnl"/>
        </w:rPr>
        <w:t>ó</w:t>
      </w:r>
      <w:r>
        <w:rPr>
          <w:spacing w:val="-3"/>
          <w:sz w:val="18"/>
          <w:szCs w:val="18"/>
          <w:lang w:val="es-ES_tradnl"/>
        </w:rPr>
        <w:t xml:space="preserve"> el derecho a la seguridad jur</w:t>
      </w:r>
      <w:r>
        <w:rPr>
          <w:rFonts w:cs="Times New Roman"/>
          <w:spacing w:val="-3"/>
          <w:sz w:val="18"/>
          <w:szCs w:val="18"/>
          <w:lang w:val="es-ES_tradnl"/>
        </w:rPr>
        <w:t>í</w:t>
      </w:r>
      <w:r>
        <w:rPr>
          <w:spacing w:val="-3"/>
          <w:sz w:val="18"/>
          <w:szCs w:val="18"/>
          <w:lang w:val="es-ES_tradnl"/>
        </w:rPr>
        <w:t>dica en tanto, del an</w:t>
      </w:r>
      <w:r>
        <w:rPr>
          <w:rFonts w:cs="Times New Roman"/>
          <w:spacing w:val="-3"/>
          <w:sz w:val="18"/>
          <w:szCs w:val="18"/>
          <w:lang w:val="es-ES_tradnl"/>
        </w:rPr>
        <w:t>á</w:t>
      </w:r>
      <w:r>
        <w:rPr>
          <w:spacing w:val="-3"/>
          <w:sz w:val="18"/>
          <w:szCs w:val="18"/>
          <w:lang w:val="es-ES_tradnl"/>
        </w:rPr>
        <w:t>lisis f</w:t>
      </w:r>
      <w:r>
        <w:rPr>
          <w:rFonts w:cs="Times New Roman"/>
          <w:spacing w:val="-3"/>
          <w:sz w:val="18"/>
          <w:szCs w:val="18"/>
          <w:lang w:val="es-ES_tradnl"/>
        </w:rPr>
        <w:t>á</w:t>
      </w:r>
      <w:r>
        <w:rPr>
          <w:spacing w:val="-3"/>
          <w:sz w:val="18"/>
          <w:szCs w:val="18"/>
          <w:lang w:val="es-ES_tradnl"/>
        </w:rPr>
        <w:t xml:space="preserve">ctico y normativo del caso concreto </w:t>
      </w:r>
      <w:r>
        <w:rPr>
          <w:spacing w:val="-7"/>
          <w:sz w:val="18"/>
          <w:szCs w:val="18"/>
          <w:lang w:val="es-ES_tradnl"/>
        </w:rPr>
        <w:t xml:space="preserve">se evidenciaron arbitrariedades normativas cometidas por </w:t>
      </w:r>
      <w:r>
        <w:rPr>
          <w:spacing w:val="-8"/>
          <w:sz w:val="18"/>
          <w:szCs w:val="18"/>
          <w:lang w:val="es-ES_tradnl"/>
        </w:rPr>
        <w:t>los funcionarios municipales, espec</w:t>
      </w:r>
      <w:r>
        <w:rPr>
          <w:rFonts w:cs="Times New Roman"/>
          <w:spacing w:val="-8"/>
          <w:sz w:val="18"/>
          <w:szCs w:val="18"/>
          <w:lang w:val="es-ES_tradnl"/>
        </w:rPr>
        <w:t>í</w:t>
      </w:r>
      <w:r>
        <w:rPr>
          <w:spacing w:val="-8"/>
          <w:sz w:val="18"/>
          <w:szCs w:val="18"/>
          <w:lang w:val="es-ES_tradnl"/>
        </w:rPr>
        <w:t xml:space="preserve">ficamente, al no haber </w:t>
      </w:r>
      <w:r>
        <w:rPr>
          <w:spacing w:val="-2"/>
          <w:sz w:val="18"/>
          <w:szCs w:val="18"/>
          <w:lang w:val="es-ES_tradnl"/>
        </w:rPr>
        <w:t>otorgado estricto cumplimiento a la normativa (art</w:t>
      </w:r>
      <w:r>
        <w:rPr>
          <w:rFonts w:cs="Times New Roman"/>
          <w:spacing w:val="-2"/>
          <w:sz w:val="18"/>
          <w:szCs w:val="18"/>
          <w:lang w:val="es-ES_tradnl"/>
        </w:rPr>
        <w:t>í</w:t>
      </w:r>
      <w:r>
        <w:rPr>
          <w:spacing w:val="-2"/>
          <w:sz w:val="18"/>
          <w:szCs w:val="18"/>
          <w:lang w:val="es-ES_tradnl"/>
        </w:rPr>
        <w:t xml:space="preserve">culo </w:t>
      </w:r>
      <w:r>
        <w:rPr>
          <w:spacing w:val="-5"/>
          <w:sz w:val="18"/>
          <w:szCs w:val="18"/>
          <w:lang w:val="es-ES_tradnl"/>
        </w:rPr>
        <w:t>64 de la Ordenanza de Higiene y Abasto del cant</w:t>
      </w:r>
      <w:r>
        <w:rPr>
          <w:rFonts w:cs="Times New Roman"/>
          <w:spacing w:val="-5"/>
          <w:sz w:val="18"/>
          <w:szCs w:val="18"/>
          <w:lang w:val="es-ES_tradnl"/>
        </w:rPr>
        <w:t>ó</w:t>
      </w:r>
      <w:r>
        <w:rPr>
          <w:spacing w:val="-5"/>
          <w:sz w:val="18"/>
          <w:szCs w:val="18"/>
          <w:lang w:val="es-ES_tradnl"/>
        </w:rPr>
        <w:t>n La Libertad) que rige el procedimiento previo a la aplicaci</w:t>
      </w:r>
      <w:r>
        <w:rPr>
          <w:rFonts w:cs="Times New Roman"/>
          <w:spacing w:val="-5"/>
          <w:sz w:val="18"/>
          <w:szCs w:val="18"/>
          <w:lang w:val="es-ES_tradnl"/>
        </w:rPr>
        <w:t>ó</w:t>
      </w:r>
      <w:r>
        <w:rPr>
          <w:spacing w:val="-5"/>
          <w:sz w:val="18"/>
          <w:szCs w:val="18"/>
          <w:lang w:val="es-ES_tradnl"/>
        </w:rPr>
        <w:t xml:space="preserve">n </w:t>
      </w:r>
      <w:r>
        <w:rPr>
          <w:spacing w:val="-6"/>
          <w:sz w:val="18"/>
          <w:szCs w:val="18"/>
          <w:lang w:val="es-ES_tradnl"/>
        </w:rPr>
        <w:t>de las sanciones (clausura), lo cual, ciertamente, deviene en una desatenci</w:t>
      </w:r>
      <w:r>
        <w:rPr>
          <w:rFonts w:cs="Times New Roman"/>
          <w:spacing w:val="-6"/>
          <w:sz w:val="18"/>
          <w:szCs w:val="18"/>
          <w:lang w:val="es-ES_tradnl"/>
        </w:rPr>
        <w:t>ó</w:t>
      </w:r>
      <w:r>
        <w:rPr>
          <w:spacing w:val="-6"/>
          <w:sz w:val="18"/>
          <w:szCs w:val="18"/>
          <w:lang w:val="es-ES_tradnl"/>
        </w:rPr>
        <w:t xml:space="preserve">n a la certeza normativa anunciada </w:t>
      </w:r>
      <w:r>
        <w:rPr>
          <w:sz w:val="18"/>
          <w:szCs w:val="18"/>
          <w:lang w:val="es-ES_tradnl"/>
        </w:rPr>
        <w:t>previamente.</w:t>
      </w:r>
    </w:p>
    <w:p w14:paraId="4F67BA56" w14:textId="77777777" w:rsidR="00591D54" w:rsidRDefault="00591D54">
      <w:pPr>
        <w:shd w:val="clear" w:color="auto" w:fill="FFFFFF"/>
        <w:spacing w:before="192" w:line="216" w:lineRule="exact"/>
        <w:jc w:val="both"/>
      </w:pPr>
      <w:r>
        <w:rPr>
          <w:spacing w:val="-6"/>
          <w:sz w:val="18"/>
          <w:szCs w:val="18"/>
          <w:lang w:val="es-ES_tradnl"/>
        </w:rPr>
        <w:t>El principio de seguridad jur</w:t>
      </w:r>
      <w:r>
        <w:rPr>
          <w:rFonts w:cs="Times New Roman"/>
          <w:spacing w:val="-6"/>
          <w:sz w:val="18"/>
          <w:szCs w:val="18"/>
          <w:lang w:val="es-ES_tradnl"/>
        </w:rPr>
        <w:t>í</w:t>
      </w:r>
      <w:r>
        <w:rPr>
          <w:spacing w:val="-6"/>
          <w:sz w:val="18"/>
          <w:szCs w:val="18"/>
          <w:lang w:val="es-ES_tradnl"/>
        </w:rPr>
        <w:t xml:space="preserve">dica demanda la observancia </w:t>
      </w:r>
      <w:r>
        <w:rPr>
          <w:spacing w:val="-2"/>
          <w:sz w:val="18"/>
          <w:szCs w:val="18"/>
          <w:lang w:val="es-ES_tradnl"/>
        </w:rPr>
        <w:t>de las normas constitucionales y tambi</w:t>
      </w:r>
      <w:r>
        <w:rPr>
          <w:rFonts w:cs="Times New Roman"/>
          <w:spacing w:val="-2"/>
          <w:sz w:val="18"/>
          <w:szCs w:val="18"/>
          <w:lang w:val="es-ES_tradnl"/>
        </w:rPr>
        <w:t>é</w:t>
      </w:r>
      <w:r>
        <w:rPr>
          <w:spacing w:val="-2"/>
          <w:sz w:val="18"/>
          <w:szCs w:val="18"/>
          <w:lang w:val="es-ES_tradnl"/>
        </w:rPr>
        <w:t xml:space="preserve">n la existencia </w:t>
      </w:r>
      <w:r>
        <w:rPr>
          <w:spacing w:val="-7"/>
          <w:sz w:val="18"/>
          <w:szCs w:val="18"/>
          <w:lang w:val="es-ES_tradnl"/>
        </w:rPr>
        <w:t>de normas previas, claras y p</w:t>
      </w:r>
      <w:r>
        <w:rPr>
          <w:rFonts w:cs="Times New Roman"/>
          <w:spacing w:val="-7"/>
          <w:sz w:val="18"/>
          <w:szCs w:val="18"/>
          <w:lang w:val="es-ES_tradnl"/>
        </w:rPr>
        <w:t>ú</w:t>
      </w:r>
      <w:r>
        <w:rPr>
          <w:spacing w:val="-7"/>
          <w:sz w:val="18"/>
          <w:szCs w:val="18"/>
          <w:lang w:val="es-ES_tradnl"/>
        </w:rPr>
        <w:t xml:space="preserve">blicas destinadas a regular </w:t>
      </w:r>
      <w:r>
        <w:rPr>
          <w:spacing w:val="-1"/>
          <w:sz w:val="18"/>
          <w:szCs w:val="18"/>
          <w:lang w:val="es-ES_tradnl"/>
        </w:rPr>
        <w:t xml:space="preserve">las actividades de la sociedad y que rigen para todos </w:t>
      </w:r>
      <w:r>
        <w:rPr>
          <w:spacing w:val="-6"/>
          <w:sz w:val="18"/>
          <w:szCs w:val="18"/>
          <w:lang w:val="es-ES_tradnl"/>
        </w:rPr>
        <w:t xml:space="preserve">los actores sociales en particular, para las autoridades encargadas de administrar justicia, tendientes a otorgar </w:t>
      </w:r>
      <w:r>
        <w:rPr>
          <w:spacing w:val="-3"/>
          <w:sz w:val="18"/>
          <w:szCs w:val="18"/>
          <w:lang w:val="es-ES_tradnl"/>
        </w:rPr>
        <w:t xml:space="preserve">seguridad normativa a los justiciables, responsabilidad </w:t>
      </w:r>
      <w:r>
        <w:rPr>
          <w:spacing w:val="-6"/>
          <w:sz w:val="18"/>
          <w:szCs w:val="18"/>
          <w:lang w:val="es-ES_tradnl"/>
        </w:rPr>
        <w:t xml:space="preserve">esta que precisamente, ha sido acreditada mediante la </w:t>
      </w:r>
      <w:r>
        <w:rPr>
          <w:spacing w:val="-5"/>
          <w:sz w:val="18"/>
          <w:szCs w:val="18"/>
          <w:lang w:val="es-ES_tradnl"/>
        </w:rPr>
        <w:t>sentencia impugnada, toda vez que del an</w:t>
      </w:r>
      <w:r>
        <w:rPr>
          <w:rFonts w:cs="Times New Roman"/>
          <w:spacing w:val="-5"/>
          <w:sz w:val="18"/>
          <w:szCs w:val="18"/>
          <w:lang w:val="es-ES_tradnl"/>
        </w:rPr>
        <w:t>á</w:t>
      </w:r>
      <w:r>
        <w:rPr>
          <w:spacing w:val="-5"/>
          <w:sz w:val="18"/>
          <w:szCs w:val="18"/>
          <w:lang w:val="es-ES_tradnl"/>
        </w:rPr>
        <w:t xml:space="preserve">lisis procesal </w:t>
      </w:r>
      <w:r>
        <w:rPr>
          <w:spacing w:val="-4"/>
          <w:sz w:val="18"/>
          <w:szCs w:val="18"/>
          <w:lang w:val="es-ES_tradnl"/>
        </w:rPr>
        <w:t>se ha podido comprobar la omisi</w:t>
      </w:r>
      <w:r>
        <w:rPr>
          <w:rFonts w:cs="Times New Roman"/>
          <w:spacing w:val="-4"/>
          <w:sz w:val="18"/>
          <w:szCs w:val="18"/>
          <w:lang w:val="es-ES_tradnl"/>
        </w:rPr>
        <w:t>ó</w:t>
      </w:r>
      <w:r>
        <w:rPr>
          <w:spacing w:val="-4"/>
          <w:sz w:val="18"/>
          <w:szCs w:val="18"/>
          <w:lang w:val="es-ES_tradnl"/>
        </w:rPr>
        <w:t>n en la aplicaci</w:t>
      </w:r>
      <w:r>
        <w:rPr>
          <w:rFonts w:cs="Times New Roman"/>
          <w:spacing w:val="-4"/>
          <w:sz w:val="18"/>
          <w:szCs w:val="18"/>
          <w:lang w:val="es-ES_tradnl"/>
        </w:rPr>
        <w:t>ó</w:t>
      </w:r>
      <w:r>
        <w:rPr>
          <w:spacing w:val="-4"/>
          <w:sz w:val="18"/>
          <w:szCs w:val="18"/>
          <w:lang w:val="es-ES_tradnl"/>
        </w:rPr>
        <w:t xml:space="preserve">n de </w:t>
      </w:r>
      <w:r>
        <w:rPr>
          <w:spacing w:val="-9"/>
          <w:sz w:val="18"/>
          <w:szCs w:val="18"/>
          <w:lang w:val="es-ES_tradnl"/>
        </w:rPr>
        <w:t xml:space="preserve">normas previas que gobiernan los procesos administrativos </w:t>
      </w:r>
      <w:r>
        <w:rPr>
          <w:sz w:val="18"/>
          <w:szCs w:val="18"/>
          <w:lang w:val="es-ES_tradnl"/>
        </w:rPr>
        <w:t>del Municipio del cant</w:t>
      </w:r>
      <w:r>
        <w:rPr>
          <w:rFonts w:cs="Times New Roman"/>
          <w:sz w:val="18"/>
          <w:szCs w:val="18"/>
          <w:lang w:val="es-ES_tradnl"/>
        </w:rPr>
        <w:t>ó</w:t>
      </w:r>
      <w:r>
        <w:rPr>
          <w:sz w:val="18"/>
          <w:szCs w:val="18"/>
          <w:lang w:val="es-ES_tradnl"/>
        </w:rPr>
        <w:t xml:space="preserve">n La Libertad especialmente, </w:t>
      </w:r>
      <w:r>
        <w:rPr>
          <w:spacing w:val="-5"/>
          <w:sz w:val="18"/>
          <w:szCs w:val="18"/>
          <w:lang w:val="es-ES_tradnl"/>
        </w:rPr>
        <w:t>para la aplicaci</w:t>
      </w:r>
      <w:r>
        <w:rPr>
          <w:rFonts w:cs="Times New Roman"/>
          <w:spacing w:val="-5"/>
          <w:sz w:val="18"/>
          <w:szCs w:val="18"/>
          <w:lang w:val="es-ES_tradnl"/>
        </w:rPr>
        <w:t>ó</w:t>
      </w:r>
      <w:r>
        <w:rPr>
          <w:spacing w:val="-5"/>
          <w:sz w:val="18"/>
          <w:szCs w:val="18"/>
          <w:lang w:val="es-ES_tradnl"/>
        </w:rPr>
        <w:t>n de una determinada sanci</w:t>
      </w:r>
      <w:r>
        <w:rPr>
          <w:rFonts w:cs="Times New Roman"/>
          <w:spacing w:val="-5"/>
          <w:sz w:val="18"/>
          <w:szCs w:val="18"/>
          <w:lang w:val="es-ES_tradnl"/>
        </w:rPr>
        <w:t>ó</w:t>
      </w:r>
      <w:r>
        <w:rPr>
          <w:spacing w:val="-5"/>
          <w:sz w:val="18"/>
          <w:szCs w:val="18"/>
          <w:lang w:val="es-ES_tradnl"/>
        </w:rPr>
        <w:t xml:space="preserve">n, lo cual </w:t>
      </w:r>
      <w:r>
        <w:rPr>
          <w:spacing w:val="-6"/>
          <w:sz w:val="18"/>
          <w:szCs w:val="18"/>
          <w:lang w:val="es-ES_tradnl"/>
        </w:rPr>
        <w:t>necesariamente ocasion</w:t>
      </w:r>
      <w:r>
        <w:rPr>
          <w:rFonts w:cs="Times New Roman"/>
          <w:spacing w:val="-6"/>
          <w:sz w:val="18"/>
          <w:szCs w:val="18"/>
          <w:lang w:val="es-ES_tradnl"/>
        </w:rPr>
        <w:t>ó</w:t>
      </w:r>
      <w:r>
        <w:rPr>
          <w:spacing w:val="-6"/>
          <w:sz w:val="18"/>
          <w:szCs w:val="18"/>
          <w:lang w:val="es-ES_tradnl"/>
        </w:rPr>
        <w:t xml:space="preserve"> inseguridad jur</w:t>
      </w:r>
      <w:r>
        <w:rPr>
          <w:rFonts w:cs="Times New Roman"/>
          <w:spacing w:val="-6"/>
          <w:sz w:val="18"/>
          <w:szCs w:val="18"/>
          <w:lang w:val="es-ES_tradnl"/>
        </w:rPr>
        <w:t>í</w:t>
      </w:r>
      <w:r>
        <w:rPr>
          <w:spacing w:val="-6"/>
          <w:sz w:val="18"/>
          <w:szCs w:val="18"/>
          <w:lang w:val="es-ES_tradnl"/>
        </w:rPr>
        <w:t>dica.</w:t>
      </w:r>
    </w:p>
    <w:p w14:paraId="4F67BA57" w14:textId="77777777" w:rsidR="00591D54" w:rsidRDefault="00591D54">
      <w:pPr>
        <w:shd w:val="clear" w:color="auto" w:fill="FFFFFF"/>
        <w:spacing w:before="192" w:line="216" w:lineRule="exact"/>
        <w:jc w:val="both"/>
      </w:pPr>
      <w:r>
        <w:rPr>
          <w:spacing w:val="-7"/>
          <w:sz w:val="18"/>
          <w:szCs w:val="18"/>
          <w:lang w:val="es-ES_tradnl"/>
        </w:rPr>
        <w:t xml:space="preserve">De acuerdo a las consideraciones antes explicadas, se </w:t>
      </w:r>
      <w:r>
        <w:rPr>
          <w:spacing w:val="-6"/>
          <w:sz w:val="18"/>
          <w:szCs w:val="18"/>
          <w:lang w:val="es-ES_tradnl"/>
        </w:rPr>
        <w:t xml:space="preserve">establece que los jueces de la Sala </w:t>
      </w:r>
      <w:r>
        <w:rPr>
          <w:rFonts w:cs="Times New Roman"/>
          <w:spacing w:val="-6"/>
          <w:sz w:val="18"/>
          <w:szCs w:val="18"/>
          <w:lang w:val="es-ES_tradnl"/>
        </w:rPr>
        <w:t>Ú</w:t>
      </w:r>
      <w:r>
        <w:rPr>
          <w:spacing w:val="-6"/>
          <w:sz w:val="18"/>
          <w:szCs w:val="18"/>
          <w:lang w:val="es-ES_tradnl"/>
        </w:rPr>
        <w:t xml:space="preserve">nica de la Corte </w:t>
      </w:r>
      <w:r>
        <w:rPr>
          <w:spacing w:val="-3"/>
          <w:sz w:val="18"/>
          <w:szCs w:val="18"/>
          <w:lang w:val="es-ES_tradnl"/>
        </w:rPr>
        <w:t xml:space="preserve">Provincial de Justicia de Santa Elena, quienes dictaron </w:t>
      </w:r>
      <w:r>
        <w:rPr>
          <w:spacing w:val="-4"/>
          <w:sz w:val="18"/>
          <w:szCs w:val="18"/>
          <w:lang w:val="es-ES_tradnl"/>
        </w:rPr>
        <w:t>la sentencia materia de la impugnaci</w:t>
      </w:r>
      <w:r>
        <w:rPr>
          <w:rFonts w:cs="Times New Roman"/>
          <w:spacing w:val="-4"/>
          <w:sz w:val="18"/>
          <w:szCs w:val="18"/>
          <w:lang w:val="es-ES_tradnl"/>
        </w:rPr>
        <w:t>ó</w:t>
      </w:r>
      <w:r>
        <w:rPr>
          <w:spacing w:val="-4"/>
          <w:sz w:val="18"/>
          <w:szCs w:val="18"/>
          <w:lang w:val="es-ES_tradnl"/>
        </w:rPr>
        <w:t>n acorde a los principios y normas constitucionales, determinaron la vulneraci</w:t>
      </w:r>
      <w:r>
        <w:rPr>
          <w:rFonts w:cs="Times New Roman"/>
          <w:spacing w:val="-4"/>
          <w:sz w:val="18"/>
          <w:szCs w:val="18"/>
          <w:lang w:val="es-ES_tradnl"/>
        </w:rPr>
        <w:t>ó</w:t>
      </w:r>
      <w:r>
        <w:rPr>
          <w:spacing w:val="-4"/>
          <w:sz w:val="18"/>
          <w:szCs w:val="18"/>
          <w:lang w:val="es-ES_tradnl"/>
        </w:rPr>
        <w:t>n del derecho a la seguridad jur</w:t>
      </w:r>
      <w:r>
        <w:rPr>
          <w:rFonts w:cs="Times New Roman"/>
          <w:spacing w:val="-4"/>
          <w:sz w:val="18"/>
          <w:szCs w:val="18"/>
          <w:lang w:val="es-ES_tradnl"/>
        </w:rPr>
        <w:t>í</w:t>
      </w:r>
      <w:r>
        <w:rPr>
          <w:spacing w:val="-4"/>
          <w:sz w:val="18"/>
          <w:szCs w:val="18"/>
          <w:lang w:val="es-ES_tradnl"/>
        </w:rPr>
        <w:t xml:space="preserve">dica porque </w:t>
      </w:r>
      <w:r>
        <w:rPr>
          <w:sz w:val="18"/>
          <w:szCs w:val="18"/>
          <w:lang w:val="es-ES_tradnl"/>
        </w:rPr>
        <w:t xml:space="preserve">efectivamente, a la propietaria del local comercial no </w:t>
      </w:r>
      <w:r>
        <w:rPr>
          <w:spacing w:val="-3"/>
          <w:sz w:val="18"/>
          <w:szCs w:val="18"/>
          <w:lang w:val="es-ES_tradnl"/>
        </w:rPr>
        <w:t>se le respet</w:t>
      </w:r>
      <w:r>
        <w:rPr>
          <w:rFonts w:cs="Times New Roman"/>
          <w:spacing w:val="-3"/>
          <w:sz w:val="18"/>
          <w:szCs w:val="18"/>
          <w:lang w:val="es-ES_tradnl"/>
        </w:rPr>
        <w:t>ó</w:t>
      </w:r>
      <w:r>
        <w:rPr>
          <w:spacing w:val="-3"/>
          <w:sz w:val="18"/>
          <w:szCs w:val="18"/>
          <w:lang w:val="es-ES_tradnl"/>
        </w:rPr>
        <w:t xml:space="preserve"> y garantiz</w:t>
      </w:r>
      <w:r>
        <w:rPr>
          <w:rFonts w:cs="Times New Roman"/>
          <w:spacing w:val="-3"/>
          <w:sz w:val="18"/>
          <w:szCs w:val="18"/>
          <w:lang w:val="es-ES_tradnl"/>
        </w:rPr>
        <w:t>ó</w:t>
      </w:r>
      <w:r>
        <w:rPr>
          <w:spacing w:val="-3"/>
          <w:sz w:val="18"/>
          <w:szCs w:val="18"/>
          <w:lang w:val="es-ES_tradnl"/>
        </w:rPr>
        <w:t xml:space="preserve"> la aplicaci</w:t>
      </w:r>
      <w:r>
        <w:rPr>
          <w:rFonts w:cs="Times New Roman"/>
          <w:spacing w:val="-3"/>
          <w:sz w:val="18"/>
          <w:szCs w:val="18"/>
          <w:lang w:val="es-ES_tradnl"/>
        </w:rPr>
        <w:t>ó</w:t>
      </w:r>
      <w:r>
        <w:rPr>
          <w:spacing w:val="-3"/>
          <w:sz w:val="18"/>
          <w:szCs w:val="18"/>
          <w:lang w:val="es-ES_tradnl"/>
        </w:rPr>
        <w:t xml:space="preserve">n de las normas </w:t>
      </w:r>
      <w:r>
        <w:rPr>
          <w:spacing w:val="-8"/>
          <w:sz w:val="18"/>
          <w:szCs w:val="18"/>
          <w:lang w:val="es-ES_tradnl"/>
        </w:rPr>
        <w:t>previas, claras y p</w:t>
      </w:r>
      <w:r>
        <w:rPr>
          <w:rFonts w:cs="Times New Roman"/>
          <w:spacing w:val="-8"/>
          <w:sz w:val="18"/>
          <w:szCs w:val="18"/>
          <w:lang w:val="es-ES_tradnl"/>
        </w:rPr>
        <w:t>ú</w:t>
      </w:r>
      <w:r>
        <w:rPr>
          <w:spacing w:val="-8"/>
          <w:sz w:val="18"/>
          <w:szCs w:val="18"/>
          <w:lang w:val="es-ES_tradnl"/>
        </w:rPr>
        <w:t xml:space="preserve">blicas establecidas en la Ordenanza de </w:t>
      </w:r>
      <w:r>
        <w:rPr>
          <w:spacing w:val="-7"/>
          <w:sz w:val="18"/>
          <w:szCs w:val="18"/>
          <w:lang w:val="es-ES_tradnl"/>
        </w:rPr>
        <w:t>Higiene y Abasto del cant</w:t>
      </w:r>
      <w:r>
        <w:rPr>
          <w:rFonts w:cs="Times New Roman"/>
          <w:spacing w:val="-7"/>
          <w:sz w:val="18"/>
          <w:szCs w:val="18"/>
          <w:lang w:val="es-ES_tradnl"/>
        </w:rPr>
        <w:t>ó</w:t>
      </w:r>
      <w:r>
        <w:rPr>
          <w:spacing w:val="-7"/>
          <w:sz w:val="18"/>
          <w:szCs w:val="18"/>
          <w:lang w:val="es-ES_tradnl"/>
        </w:rPr>
        <w:t xml:space="preserve">n La Libertad, que es el cuerpo </w:t>
      </w:r>
      <w:r>
        <w:rPr>
          <w:spacing w:val="-5"/>
          <w:sz w:val="18"/>
          <w:szCs w:val="18"/>
          <w:lang w:val="es-ES_tradnl"/>
        </w:rPr>
        <w:t xml:space="preserve">normativo que establece el procedimiento previo a dictar </w:t>
      </w:r>
      <w:r>
        <w:rPr>
          <w:spacing w:val="-6"/>
          <w:sz w:val="18"/>
          <w:szCs w:val="18"/>
          <w:lang w:val="es-ES_tradnl"/>
        </w:rPr>
        <w:t>la sanci</w:t>
      </w:r>
      <w:r>
        <w:rPr>
          <w:rFonts w:cs="Times New Roman"/>
          <w:spacing w:val="-6"/>
          <w:sz w:val="18"/>
          <w:szCs w:val="18"/>
          <w:lang w:val="es-ES_tradnl"/>
        </w:rPr>
        <w:t>ó</w:t>
      </w:r>
      <w:r>
        <w:rPr>
          <w:spacing w:val="-6"/>
          <w:sz w:val="18"/>
          <w:szCs w:val="18"/>
          <w:lang w:val="es-ES_tradnl"/>
        </w:rPr>
        <w:t>n correspondiente, raz</w:t>
      </w:r>
      <w:r>
        <w:rPr>
          <w:rFonts w:cs="Times New Roman"/>
          <w:spacing w:val="-6"/>
          <w:sz w:val="18"/>
          <w:szCs w:val="18"/>
          <w:lang w:val="es-ES_tradnl"/>
        </w:rPr>
        <w:t>ó</w:t>
      </w:r>
      <w:r>
        <w:rPr>
          <w:spacing w:val="-6"/>
          <w:sz w:val="18"/>
          <w:szCs w:val="18"/>
          <w:lang w:val="es-ES_tradnl"/>
        </w:rPr>
        <w:t>n por la que se vulner</w:t>
      </w:r>
      <w:r>
        <w:rPr>
          <w:rFonts w:cs="Times New Roman"/>
          <w:spacing w:val="-6"/>
          <w:sz w:val="18"/>
          <w:szCs w:val="18"/>
          <w:lang w:val="es-ES_tradnl"/>
        </w:rPr>
        <w:t>ó</w:t>
      </w:r>
      <w:r>
        <w:rPr>
          <w:spacing w:val="-6"/>
          <w:sz w:val="18"/>
          <w:szCs w:val="18"/>
          <w:lang w:val="es-ES_tradnl"/>
        </w:rPr>
        <w:t xml:space="preserve"> el </w:t>
      </w:r>
      <w:r>
        <w:rPr>
          <w:spacing w:val="-5"/>
          <w:sz w:val="18"/>
          <w:szCs w:val="18"/>
          <w:lang w:val="es-ES_tradnl"/>
        </w:rPr>
        <w:t>derecho constitucional a la seguridad jur</w:t>
      </w:r>
      <w:r>
        <w:rPr>
          <w:rFonts w:cs="Times New Roman"/>
          <w:spacing w:val="-5"/>
          <w:sz w:val="18"/>
          <w:szCs w:val="18"/>
          <w:lang w:val="es-ES_tradnl"/>
        </w:rPr>
        <w:t>í</w:t>
      </w:r>
      <w:r>
        <w:rPr>
          <w:spacing w:val="-5"/>
          <w:sz w:val="18"/>
          <w:szCs w:val="18"/>
          <w:lang w:val="es-ES_tradnl"/>
        </w:rPr>
        <w:t>dica.</w:t>
      </w:r>
    </w:p>
    <w:p w14:paraId="4F67BA58" w14:textId="77777777" w:rsidR="00591D54" w:rsidRDefault="00591D54">
      <w:pPr>
        <w:shd w:val="clear" w:color="auto" w:fill="FFFFFF"/>
        <w:spacing w:before="192" w:line="216" w:lineRule="exact"/>
        <w:jc w:val="both"/>
      </w:pPr>
      <w:r>
        <w:rPr>
          <w:sz w:val="18"/>
          <w:szCs w:val="18"/>
          <w:lang w:val="es-ES_tradnl"/>
        </w:rPr>
        <w:t xml:space="preserve">Finalmente, es menester precisar que la Corte </w:t>
      </w:r>
      <w:r>
        <w:rPr>
          <w:spacing w:val="-8"/>
          <w:sz w:val="18"/>
          <w:szCs w:val="18"/>
          <w:lang w:val="es-ES_tradnl"/>
        </w:rPr>
        <w:t xml:space="preserve">Constitucional ha expresado que no cabe limitar o restringir </w:t>
      </w:r>
      <w:r>
        <w:rPr>
          <w:spacing w:val="-4"/>
          <w:sz w:val="18"/>
          <w:szCs w:val="18"/>
          <w:lang w:val="es-ES_tradnl"/>
        </w:rPr>
        <w:t>la eficacia de la acci</w:t>
      </w:r>
      <w:r>
        <w:rPr>
          <w:rFonts w:cs="Times New Roman"/>
          <w:spacing w:val="-4"/>
          <w:sz w:val="18"/>
          <w:szCs w:val="18"/>
          <w:lang w:val="es-ES_tradnl"/>
        </w:rPr>
        <w:t>ó</w:t>
      </w:r>
      <w:r>
        <w:rPr>
          <w:spacing w:val="-4"/>
          <w:sz w:val="18"/>
          <w:szCs w:val="18"/>
          <w:lang w:val="es-ES_tradnl"/>
        </w:rPr>
        <w:t>n de protecci</w:t>
      </w:r>
      <w:r>
        <w:rPr>
          <w:rFonts w:cs="Times New Roman"/>
          <w:spacing w:val="-4"/>
          <w:sz w:val="18"/>
          <w:szCs w:val="18"/>
          <w:lang w:val="es-ES_tradnl"/>
        </w:rPr>
        <w:t>ó</w:t>
      </w:r>
      <w:r>
        <w:rPr>
          <w:spacing w:val="-4"/>
          <w:sz w:val="18"/>
          <w:szCs w:val="18"/>
          <w:lang w:val="es-ES_tradnl"/>
        </w:rPr>
        <w:t xml:space="preserve">n a la existencia de </w:t>
      </w:r>
      <w:r>
        <w:rPr>
          <w:sz w:val="18"/>
          <w:szCs w:val="18"/>
          <w:lang w:val="es-ES_tradnl"/>
        </w:rPr>
        <w:t>recursos judiciales y administrativos de defensa, toda</w:t>
      </w:r>
    </w:p>
    <w:p w14:paraId="4F67BA59" w14:textId="77777777" w:rsidR="00591D54" w:rsidRDefault="00591D54">
      <w:pPr>
        <w:shd w:val="clear" w:color="auto" w:fill="FFFFFF"/>
        <w:spacing w:line="216" w:lineRule="exact"/>
        <w:jc w:val="both"/>
      </w:pPr>
      <w:r>
        <w:br w:type="column"/>
      </w:r>
      <w:r>
        <w:rPr>
          <w:spacing w:val="-7"/>
          <w:sz w:val="18"/>
          <w:szCs w:val="18"/>
          <w:lang w:val="es-ES_tradnl"/>
        </w:rPr>
        <w:t xml:space="preserve">vez que el condicionamiento para su procedencia radica </w:t>
      </w:r>
      <w:r>
        <w:rPr>
          <w:spacing w:val="-9"/>
          <w:sz w:val="18"/>
          <w:szCs w:val="18"/>
          <w:lang w:val="es-ES_tradnl"/>
        </w:rPr>
        <w:t>fundamentalmente en la existencia de vulneraci</w:t>
      </w:r>
      <w:r>
        <w:rPr>
          <w:rFonts w:cs="Times New Roman"/>
          <w:spacing w:val="-9"/>
          <w:sz w:val="18"/>
          <w:szCs w:val="18"/>
          <w:lang w:val="es-ES_tradnl"/>
        </w:rPr>
        <w:t>ó</w:t>
      </w:r>
      <w:r>
        <w:rPr>
          <w:spacing w:val="-9"/>
          <w:sz w:val="18"/>
          <w:szCs w:val="18"/>
          <w:lang w:val="es-ES_tradnl"/>
        </w:rPr>
        <w:t xml:space="preserve">n de uno o </w:t>
      </w:r>
      <w:r>
        <w:rPr>
          <w:sz w:val="18"/>
          <w:szCs w:val="18"/>
          <w:lang w:val="es-ES_tradnl"/>
        </w:rPr>
        <w:t>varios derechos constitucionales.</w:t>
      </w:r>
    </w:p>
    <w:p w14:paraId="4F67BA5A" w14:textId="77777777" w:rsidR="00591D54" w:rsidRDefault="00591D54">
      <w:pPr>
        <w:shd w:val="clear" w:color="auto" w:fill="FFFFFF"/>
        <w:spacing w:before="197" w:line="216" w:lineRule="exact"/>
        <w:jc w:val="both"/>
      </w:pPr>
      <w:r>
        <w:rPr>
          <w:spacing w:val="-1"/>
          <w:sz w:val="18"/>
          <w:szCs w:val="18"/>
          <w:lang w:val="es-ES_tradnl"/>
        </w:rPr>
        <w:t xml:space="preserve">En efecto, la Corte Constitucional al respecto, ha </w:t>
      </w:r>
      <w:r>
        <w:rPr>
          <w:sz w:val="18"/>
          <w:szCs w:val="18"/>
          <w:lang w:val="es-ES_tradnl"/>
        </w:rPr>
        <w:t>manifestado que:</w:t>
      </w:r>
    </w:p>
    <w:p w14:paraId="4F67BA5B" w14:textId="77777777" w:rsidR="00591D54" w:rsidRDefault="00591D54">
      <w:pPr>
        <w:shd w:val="clear" w:color="auto" w:fill="FFFFFF"/>
        <w:spacing w:before="202" w:line="211" w:lineRule="exact"/>
        <w:ind w:left="283"/>
        <w:jc w:val="both"/>
      </w:pPr>
      <w:r>
        <w:rPr>
          <w:spacing w:val="-4"/>
          <w:sz w:val="16"/>
          <w:szCs w:val="16"/>
          <w:lang w:val="es-ES_tradnl"/>
        </w:rPr>
        <w:t>(</w:t>
      </w:r>
      <w:r>
        <w:rPr>
          <w:rFonts w:cs="Times New Roman"/>
          <w:spacing w:val="-4"/>
          <w:sz w:val="16"/>
          <w:szCs w:val="16"/>
          <w:lang w:val="es-ES_tradnl"/>
        </w:rPr>
        <w:t>…</w:t>
      </w:r>
      <w:r>
        <w:rPr>
          <w:spacing w:val="-4"/>
          <w:sz w:val="16"/>
          <w:szCs w:val="16"/>
          <w:lang w:val="es-ES_tradnl"/>
        </w:rPr>
        <w:t>) la acci</w:t>
      </w:r>
      <w:r>
        <w:rPr>
          <w:rFonts w:cs="Times New Roman"/>
          <w:spacing w:val="-4"/>
          <w:sz w:val="16"/>
          <w:szCs w:val="16"/>
          <w:lang w:val="es-ES_tradnl"/>
        </w:rPr>
        <w:t>ó</w:t>
      </w:r>
      <w:r>
        <w:rPr>
          <w:spacing w:val="-4"/>
          <w:sz w:val="16"/>
          <w:szCs w:val="16"/>
          <w:lang w:val="es-ES_tradnl"/>
        </w:rPr>
        <w:t>n de protecci</w:t>
      </w:r>
      <w:r>
        <w:rPr>
          <w:rFonts w:cs="Times New Roman"/>
          <w:spacing w:val="-4"/>
          <w:sz w:val="16"/>
          <w:szCs w:val="16"/>
          <w:lang w:val="es-ES_tradnl"/>
        </w:rPr>
        <w:t>ó</w:t>
      </w:r>
      <w:r>
        <w:rPr>
          <w:spacing w:val="-4"/>
          <w:sz w:val="16"/>
          <w:szCs w:val="16"/>
          <w:lang w:val="es-ES_tradnl"/>
        </w:rPr>
        <w:t>n es la garant</w:t>
      </w:r>
      <w:r>
        <w:rPr>
          <w:rFonts w:cs="Times New Roman"/>
          <w:spacing w:val="-4"/>
          <w:sz w:val="16"/>
          <w:szCs w:val="16"/>
          <w:lang w:val="es-ES_tradnl"/>
        </w:rPr>
        <w:t>í</w:t>
      </w:r>
      <w:r>
        <w:rPr>
          <w:spacing w:val="-4"/>
          <w:sz w:val="16"/>
          <w:szCs w:val="16"/>
          <w:lang w:val="es-ES_tradnl"/>
        </w:rPr>
        <w:t>a id</w:t>
      </w:r>
      <w:r>
        <w:rPr>
          <w:rFonts w:cs="Times New Roman"/>
          <w:spacing w:val="-4"/>
          <w:sz w:val="16"/>
          <w:szCs w:val="16"/>
          <w:lang w:val="es-ES_tradnl"/>
        </w:rPr>
        <w:t>ó</w:t>
      </w:r>
      <w:r>
        <w:rPr>
          <w:spacing w:val="-4"/>
          <w:sz w:val="16"/>
          <w:szCs w:val="16"/>
          <w:lang w:val="es-ES_tradnl"/>
        </w:rPr>
        <w:t xml:space="preserve">nea y eficaz </w:t>
      </w:r>
      <w:r>
        <w:rPr>
          <w:spacing w:val="-6"/>
          <w:sz w:val="16"/>
          <w:szCs w:val="16"/>
          <w:lang w:val="es-ES_tradnl"/>
        </w:rPr>
        <w:t xml:space="preserve">que procede cuando el juez efectivamente verifica una real </w:t>
      </w:r>
      <w:r>
        <w:rPr>
          <w:spacing w:val="-7"/>
          <w:sz w:val="16"/>
          <w:szCs w:val="16"/>
          <w:lang w:val="es-ES_tradnl"/>
        </w:rPr>
        <w:t>vulneraci</w:t>
      </w:r>
      <w:r>
        <w:rPr>
          <w:rFonts w:cs="Times New Roman"/>
          <w:spacing w:val="-7"/>
          <w:sz w:val="16"/>
          <w:szCs w:val="16"/>
          <w:lang w:val="es-ES_tradnl"/>
        </w:rPr>
        <w:t>ó</w:t>
      </w:r>
      <w:r>
        <w:rPr>
          <w:spacing w:val="-7"/>
          <w:sz w:val="16"/>
          <w:szCs w:val="16"/>
          <w:lang w:val="es-ES_tradnl"/>
        </w:rPr>
        <w:t xml:space="preserve">n a derechos constitucionales, con lo cual, no existe </w:t>
      </w:r>
      <w:r>
        <w:rPr>
          <w:spacing w:val="-11"/>
          <w:sz w:val="16"/>
          <w:szCs w:val="16"/>
          <w:lang w:val="es-ES_tradnl"/>
        </w:rPr>
        <w:t>otra v</w:t>
      </w:r>
      <w:r>
        <w:rPr>
          <w:rFonts w:cs="Times New Roman"/>
          <w:spacing w:val="-11"/>
          <w:sz w:val="16"/>
          <w:szCs w:val="16"/>
          <w:lang w:val="es-ES_tradnl"/>
        </w:rPr>
        <w:t>í</w:t>
      </w:r>
      <w:r>
        <w:rPr>
          <w:spacing w:val="-11"/>
          <w:sz w:val="16"/>
          <w:szCs w:val="16"/>
          <w:lang w:val="es-ES_tradnl"/>
        </w:rPr>
        <w:t>a para la tutela de esos derechos que no sean las garant</w:t>
      </w:r>
      <w:r>
        <w:rPr>
          <w:rFonts w:cs="Times New Roman"/>
          <w:spacing w:val="-11"/>
          <w:sz w:val="16"/>
          <w:szCs w:val="16"/>
          <w:lang w:val="es-ES_tradnl"/>
        </w:rPr>
        <w:t>í</w:t>
      </w:r>
      <w:r>
        <w:rPr>
          <w:spacing w:val="-11"/>
          <w:sz w:val="16"/>
          <w:szCs w:val="16"/>
          <w:lang w:val="es-ES_tradnl"/>
        </w:rPr>
        <w:t xml:space="preserve">as </w:t>
      </w:r>
      <w:r>
        <w:rPr>
          <w:spacing w:val="-6"/>
          <w:sz w:val="16"/>
          <w:szCs w:val="16"/>
          <w:lang w:val="es-ES_tradnl"/>
        </w:rPr>
        <w:t xml:space="preserve">jurisdiccionales. No todas las vulneraciones al ordenamiento </w:t>
      </w:r>
      <w:r>
        <w:rPr>
          <w:spacing w:val="-11"/>
          <w:sz w:val="16"/>
          <w:szCs w:val="16"/>
          <w:lang w:val="es-ES_tradnl"/>
        </w:rPr>
        <w:t>jur</w:t>
      </w:r>
      <w:r>
        <w:rPr>
          <w:rFonts w:cs="Times New Roman"/>
          <w:spacing w:val="-11"/>
          <w:sz w:val="16"/>
          <w:szCs w:val="16"/>
          <w:lang w:val="es-ES_tradnl"/>
        </w:rPr>
        <w:t>í</w:t>
      </w:r>
      <w:r>
        <w:rPr>
          <w:spacing w:val="-11"/>
          <w:sz w:val="16"/>
          <w:szCs w:val="16"/>
          <w:lang w:val="es-ES_tradnl"/>
        </w:rPr>
        <w:t xml:space="preserve">dico necesariamente tienen cabida para el debate en la esfera </w:t>
      </w:r>
      <w:r>
        <w:rPr>
          <w:spacing w:val="-6"/>
          <w:sz w:val="16"/>
          <w:szCs w:val="16"/>
          <w:lang w:val="es-ES_tradnl"/>
        </w:rPr>
        <w:t>constitucional ya que para confl ictos en materia de legalidad existen las v</w:t>
      </w:r>
      <w:r>
        <w:rPr>
          <w:rFonts w:cs="Times New Roman"/>
          <w:spacing w:val="-6"/>
          <w:sz w:val="16"/>
          <w:szCs w:val="16"/>
          <w:lang w:val="es-ES_tradnl"/>
        </w:rPr>
        <w:t>í</w:t>
      </w:r>
      <w:r>
        <w:rPr>
          <w:spacing w:val="-6"/>
          <w:sz w:val="16"/>
          <w:szCs w:val="16"/>
          <w:lang w:val="es-ES_tradnl"/>
        </w:rPr>
        <w:t>as id</w:t>
      </w:r>
      <w:r>
        <w:rPr>
          <w:rFonts w:cs="Times New Roman"/>
          <w:spacing w:val="-6"/>
          <w:sz w:val="16"/>
          <w:szCs w:val="16"/>
          <w:lang w:val="es-ES_tradnl"/>
        </w:rPr>
        <w:t>ó</w:t>
      </w:r>
      <w:r>
        <w:rPr>
          <w:spacing w:val="-6"/>
          <w:sz w:val="16"/>
          <w:szCs w:val="16"/>
          <w:lang w:val="es-ES_tradnl"/>
        </w:rPr>
        <w:t>neas y eficaces dentro de la jurisdicci</w:t>
      </w:r>
      <w:r>
        <w:rPr>
          <w:rFonts w:cs="Times New Roman"/>
          <w:spacing w:val="-6"/>
          <w:sz w:val="16"/>
          <w:szCs w:val="16"/>
          <w:lang w:val="es-ES_tradnl"/>
        </w:rPr>
        <w:t>ó</w:t>
      </w:r>
      <w:r>
        <w:rPr>
          <w:spacing w:val="-6"/>
          <w:sz w:val="16"/>
          <w:szCs w:val="16"/>
          <w:lang w:val="es-ES_tradnl"/>
        </w:rPr>
        <w:t xml:space="preserve">n </w:t>
      </w:r>
      <w:r>
        <w:rPr>
          <w:spacing w:val="-7"/>
          <w:sz w:val="16"/>
          <w:szCs w:val="16"/>
          <w:lang w:val="es-ES_tradnl"/>
        </w:rPr>
        <w:t>ordinaria. El juez constitucional cuando de la sustanciaci</w:t>
      </w:r>
      <w:r>
        <w:rPr>
          <w:rFonts w:cs="Times New Roman"/>
          <w:spacing w:val="-7"/>
          <w:sz w:val="16"/>
          <w:szCs w:val="16"/>
          <w:lang w:val="es-ES_tradnl"/>
        </w:rPr>
        <w:t>ó</w:t>
      </w:r>
      <w:r>
        <w:rPr>
          <w:spacing w:val="-7"/>
          <w:sz w:val="16"/>
          <w:szCs w:val="16"/>
          <w:lang w:val="es-ES_tradnl"/>
        </w:rPr>
        <w:t>n de la garant</w:t>
      </w:r>
      <w:r>
        <w:rPr>
          <w:rFonts w:cs="Times New Roman"/>
          <w:spacing w:val="-7"/>
          <w:sz w:val="16"/>
          <w:szCs w:val="16"/>
          <w:lang w:val="es-ES_tradnl"/>
        </w:rPr>
        <w:t>í</w:t>
      </w:r>
      <w:r>
        <w:rPr>
          <w:spacing w:val="-7"/>
          <w:sz w:val="16"/>
          <w:szCs w:val="16"/>
          <w:lang w:val="es-ES_tradnl"/>
        </w:rPr>
        <w:t>a jurisdiccional establezca que no existe vulneraci</w:t>
      </w:r>
      <w:r>
        <w:rPr>
          <w:rFonts w:cs="Times New Roman"/>
          <w:spacing w:val="-7"/>
          <w:sz w:val="16"/>
          <w:szCs w:val="16"/>
          <w:lang w:val="es-ES_tradnl"/>
        </w:rPr>
        <w:t>ó</w:t>
      </w:r>
      <w:r>
        <w:rPr>
          <w:spacing w:val="-7"/>
          <w:sz w:val="16"/>
          <w:szCs w:val="16"/>
          <w:lang w:val="es-ES_tradnl"/>
        </w:rPr>
        <w:t xml:space="preserve">n </w:t>
      </w:r>
      <w:r>
        <w:rPr>
          <w:spacing w:val="-6"/>
          <w:sz w:val="16"/>
          <w:szCs w:val="16"/>
          <w:lang w:val="es-ES_tradnl"/>
        </w:rPr>
        <w:t xml:space="preserve">de derechos constitucionales, sino </w:t>
      </w:r>
      <w:r>
        <w:rPr>
          <w:rFonts w:cs="Times New Roman"/>
          <w:spacing w:val="-6"/>
          <w:sz w:val="16"/>
          <w:szCs w:val="16"/>
          <w:lang w:val="es-ES_tradnl"/>
        </w:rPr>
        <w:t>ú</w:t>
      </w:r>
      <w:r>
        <w:rPr>
          <w:spacing w:val="-6"/>
          <w:sz w:val="16"/>
          <w:szCs w:val="16"/>
          <w:lang w:val="es-ES_tradnl"/>
        </w:rPr>
        <w:t xml:space="preserve">nicamente posibles controversias de </w:t>
      </w:r>
      <w:r>
        <w:rPr>
          <w:rFonts w:cs="Times New Roman"/>
          <w:spacing w:val="-6"/>
          <w:sz w:val="16"/>
          <w:szCs w:val="16"/>
          <w:lang w:val="es-ES_tradnl"/>
        </w:rPr>
        <w:t>í</w:t>
      </w:r>
      <w:r>
        <w:rPr>
          <w:spacing w:val="-6"/>
          <w:sz w:val="16"/>
          <w:szCs w:val="16"/>
          <w:lang w:val="es-ES_tradnl"/>
        </w:rPr>
        <w:t>ndole infraconstitucional puede se</w:t>
      </w:r>
      <w:r>
        <w:rPr>
          <w:rFonts w:cs="Times New Roman"/>
          <w:spacing w:val="-6"/>
          <w:sz w:val="16"/>
          <w:szCs w:val="16"/>
          <w:lang w:val="es-ES_tradnl"/>
        </w:rPr>
        <w:t>ñ</w:t>
      </w:r>
      <w:r>
        <w:rPr>
          <w:spacing w:val="-6"/>
          <w:sz w:val="16"/>
          <w:szCs w:val="16"/>
          <w:lang w:val="es-ES_tradnl"/>
        </w:rPr>
        <w:t xml:space="preserve">alar la </w:t>
      </w:r>
      <w:r>
        <w:rPr>
          <w:spacing w:val="-4"/>
          <w:sz w:val="16"/>
          <w:szCs w:val="16"/>
          <w:lang w:val="es-ES_tradnl"/>
        </w:rPr>
        <w:t>existencia de otras v</w:t>
      </w:r>
      <w:r>
        <w:rPr>
          <w:rFonts w:cs="Times New Roman"/>
          <w:spacing w:val="-4"/>
          <w:sz w:val="16"/>
          <w:szCs w:val="16"/>
          <w:lang w:val="es-ES_tradnl"/>
        </w:rPr>
        <w:t>í</w:t>
      </w:r>
      <w:r>
        <w:rPr>
          <w:spacing w:val="-4"/>
          <w:sz w:val="16"/>
          <w:szCs w:val="16"/>
          <w:lang w:val="es-ES_tradnl"/>
        </w:rPr>
        <w:t xml:space="preserve">as. El razonamiento que desarrolla la </w:t>
      </w:r>
      <w:r>
        <w:rPr>
          <w:spacing w:val="-5"/>
          <w:sz w:val="16"/>
          <w:szCs w:val="16"/>
          <w:lang w:val="es-ES_tradnl"/>
        </w:rPr>
        <w:t>Ley de Garant</w:t>
      </w:r>
      <w:r>
        <w:rPr>
          <w:rFonts w:cs="Times New Roman"/>
          <w:spacing w:val="-5"/>
          <w:sz w:val="16"/>
          <w:szCs w:val="16"/>
          <w:lang w:val="es-ES_tradnl"/>
        </w:rPr>
        <w:t>í</w:t>
      </w:r>
      <w:r>
        <w:rPr>
          <w:spacing w:val="-5"/>
          <w:sz w:val="16"/>
          <w:szCs w:val="16"/>
          <w:lang w:val="es-ES_tradnl"/>
        </w:rPr>
        <w:t xml:space="preserve">as Jurisdiccionales y Control Constitucional </w:t>
      </w:r>
      <w:r>
        <w:rPr>
          <w:spacing w:val="-10"/>
          <w:sz w:val="16"/>
          <w:szCs w:val="16"/>
          <w:lang w:val="es-ES_tradnl"/>
        </w:rPr>
        <w:t>establece que la acci</w:t>
      </w:r>
      <w:r>
        <w:rPr>
          <w:rFonts w:cs="Times New Roman"/>
          <w:spacing w:val="-10"/>
          <w:sz w:val="16"/>
          <w:szCs w:val="16"/>
          <w:lang w:val="es-ES_tradnl"/>
        </w:rPr>
        <w:t>ó</w:t>
      </w:r>
      <w:r>
        <w:rPr>
          <w:spacing w:val="-10"/>
          <w:sz w:val="16"/>
          <w:szCs w:val="16"/>
          <w:lang w:val="es-ES_tradnl"/>
        </w:rPr>
        <w:t>n de protecci</w:t>
      </w:r>
      <w:r>
        <w:rPr>
          <w:rFonts w:cs="Times New Roman"/>
          <w:spacing w:val="-10"/>
          <w:sz w:val="16"/>
          <w:szCs w:val="16"/>
          <w:lang w:val="es-ES_tradnl"/>
        </w:rPr>
        <w:t>ó</w:t>
      </w:r>
      <w:r>
        <w:rPr>
          <w:spacing w:val="-10"/>
          <w:sz w:val="16"/>
          <w:szCs w:val="16"/>
          <w:lang w:val="es-ES_tradnl"/>
        </w:rPr>
        <w:t xml:space="preserve">n procede cuando no exista </w:t>
      </w:r>
      <w:r>
        <w:rPr>
          <w:spacing w:val="-6"/>
          <w:sz w:val="16"/>
          <w:szCs w:val="16"/>
          <w:lang w:val="es-ES_tradnl"/>
        </w:rPr>
        <w:t xml:space="preserve">otro mecanismo de defensa judicial adecuado y eficaz para </w:t>
      </w:r>
      <w:r>
        <w:rPr>
          <w:sz w:val="16"/>
          <w:szCs w:val="16"/>
          <w:lang w:val="es-ES_tradnl"/>
        </w:rPr>
        <w:t>proteger el derecho violado (</w:t>
      </w:r>
      <w:r>
        <w:rPr>
          <w:rFonts w:cs="Times New Roman"/>
          <w:sz w:val="16"/>
          <w:szCs w:val="16"/>
          <w:lang w:val="es-ES_tradnl"/>
        </w:rPr>
        <w:t>…</w:t>
      </w:r>
      <w:r>
        <w:rPr>
          <w:sz w:val="16"/>
          <w:szCs w:val="16"/>
          <w:lang w:val="es-ES_tradnl"/>
        </w:rPr>
        <w:t>)</w:t>
      </w:r>
      <w:r>
        <w:rPr>
          <w:sz w:val="16"/>
          <w:szCs w:val="16"/>
          <w:vertAlign w:val="superscript"/>
          <w:lang w:val="es-ES_tradnl"/>
        </w:rPr>
        <w:t>8</w:t>
      </w:r>
      <w:r>
        <w:rPr>
          <w:sz w:val="16"/>
          <w:szCs w:val="16"/>
          <w:lang w:val="es-ES_tradnl"/>
        </w:rPr>
        <w:t xml:space="preserve"> sic.</w:t>
      </w:r>
    </w:p>
    <w:p w14:paraId="4F67BA5C" w14:textId="77777777" w:rsidR="00591D54" w:rsidRDefault="00591D54">
      <w:pPr>
        <w:shd w:val="clear" w:color="auto" w:fill="FFFFFF"/>
        <w:spacing w:before="197" w:line="216" w:lineRule="exact"/>
        <w:jc w:val="both"/>
      </w:pPr>
      <w:r>
        <w:rPr>
          <w:spacing w:val="-3"/>
          <w:sz w:val="18"/>
          <w:szCs w:val="18"/>
          <w:lang w:val="es-ES_tradnl"/>
        </w:rPr>
        <w:t>En conclusi</w:t>
      </w:r>
      <w:r>
        <w:rPr>
          <w:rFonts w:cs="Times New Roman"/>
          <w:spacing w:val="-3"/>
          <w:sz w:val="18"/>
          <w:szCs w:val="18"/>
          <w:lang w:val="es-ES_tradnl"/>
        </w:rPr>
        <w:t>ó</w:t>
      </w:r>
      <w:r>
        <w:rPr>
          <w:spacing w:val="-3"/>
          <w:sz w:val="18"/>
          <w:szCs w:val="18"/>
          <w:lang w:val="es-ES_tradnl"/>
        </w:rPr>
        <w:t xml:space="preserve">n cabe enfatizar que es justificada la </w:t>
      </w:r>
      <w:r>
        <w:rPr>
          <w:spacing w:val="-7"/>
          <w:sz w:val="18"/>
          <w:szCs w:val="18"/>
          <w:lang w:val="es-ES_tradnl"/>
        </w:rPr>
        <w:t>intervenci</w:t>
      </w:r>
      <w:r>
        <w:rPr>
          <w:rFonts w:cs="Times New Roman"/>
          <w:spacing w:val="-7"/>
          <w:sz w:val="18"/>
          <w:szCs w:val="18"/>
          <w:lang w:val="es-ES_tradnl"/>
        </w:rPr>
        <w:t>ó</w:t>
      </w:r>
      <w:r>
        <w:rPr>
          <w:spacing w:val="-7"/>
          <w:sz w:val="18"/>
          <w:szCs w:val="18"/>
          <w:lang w:val="es-ES_tradnl"/>
        </w:rPr>
        <w:t>n de la Corte Constitucional mediante la acci</w:t>
      </w:r>
      <w:r>
        <w:rPr>
          <w:rFonts w:cs="Times New Roman"/>
          <w:spacing w:val="-7"/>
          <w:sz w:val="18"/>
          <w:szCs w:val="18"/>
          <w:lang w:val="es-ES_tradnl"/>
        </w:rPr>
        <w:t>ó</w:t>
      </w:r>
      <w:r>
        <w:rPr>
          <w:spacing w:val="-7"/>
          <w:sz w:val="18"/>
          <w:szCs w:val="18"/>
          <w:lang w:val="es-ES_tradnl"/>
        </w:rPr>
        <w:t>n extraordinaria de protecci</w:t>
      </w:r>
      <w:r>
        <w:rPr>
          <w:rFonts w:cs="Times New Roman"/>
          <w:spacing w:val="-7"/>
          <w:sz w:val="18"/>
          <w:szCs w:val="18"/>
          <w:lang w:val="es-ES_tradnl"/>
        </w:rPr>
        <w:t>ó</w:t>
      </w:r>
      <w:r>
        <w:rPr>
          <w:spacing w:val="-7"/>
          <w:sz w:val="18"/>
          <w:szCs w:val="18"/>
          <w:lang w:val="es-ES_tradnl"/>
        </w:rPr>
        <w:t xml:space="preserve">n, cuando se comprueba la </w:t>
      </w:r>
      <w:r>
        <w:rPr>
          <w:spacing w:val="-8"/>
          <w:sz w:val="18"/>
          <w:szCs w:val="18"/>
          <w:lang w:val="es-ES_tradnl"/>
        </w:rPr>
        <w:t>vulneraci</w:t>
      </w:r>
      <w:r>
        <w:rPr>
          <w:rFonts w:cs="Times New Roman"/>
          <w:spacing w:val="-8"/>
          <w:sz w:val="18"/>
          <w:szCs w:val="18"/>
          <w:lang w:val="es-ES_tradnl"/>
        </w:rPr>
        <w:t>ó</w:t>
      </w:r>
      <w:r>
        <w:rPr>
          <w:spacing w:val="-8"/>
          <w:sz w:val="18"/>
          <w:szCs w:val="18"/>
          <w:lang w:val="es-ES_tradnl"/>
        </w:rPr>
        <w:t xml:space="preserve">n de derechos constitucionales en los diferentes </w:t>
      </w:r>
      <w:r>
        <w:rPr>
          <w:spacing w:val="-3"/>
          <w:sz w:val="18"/>
          <w:szCs w:val="18"/>
          <w:lang w:val="es-ES_tradnl"/>
        </w:rPr>
        <w:t>procedimientos jurisdiccionales, intervenci</w:t>
      </w:r>
      <w:r>
        <w:rPr>
          <w:rFonts w:cs="Times New Roman"/>
          <w:spacing w:val="-3"/>
          <w:sz w:val="18"/>
          <w:szCs w:val="18"/>
          <w:lang w:val="es-ES_tradnl"/>
        </w:rPr>
        <w:t>ó</w:t>
      </w:r>
      <w:r>
        <w:rPr>
          <w:spacing w:val="-3"/>
          <w:sz w:val="18"/>
          <w:szCs w:val="18"/>
          <w:lang w:val="es-ES_tradnl"/>
        </w:rPr>
        <w:t xml:space="preserve">n que no </w:t>
      </w:r>
      <w:r>
        <w:rPr>
          <w:spacing w:val="-2"/>
          <w:sz w:val="18"/>
          <w:szCs w:val="18"/>
          <w:lang w:val="es-ES_tradnl"/>
        </w:rPr>
        <w:t xml:space="preserve">procede en el caso </w:t>
      </w:r>
      <w:r>
        <w:rPr>
          <w:i/>
          <w:iCs/>
          <w:spacing w:val="-2"/>
          <w:sz w:val="18"/>
          <w:szCs w:val="18"/>
          <w:lang w:val="es-ES_tradnl"/>
        </w:rPr>
        <w:t>sub judice</w:t>
      </w:r>
      <w:r>
        <w:rPr>
          <w:spacing w:val="-2"/>
          <w:sz w:val="18"/>
          <w:szCs w:val="18"/>
          <w:lang w:val="es-ES_tradnl"/>
        </w:rPr>
        <w:t xml:space="preserve">, por cuanto, luego del </w:t>
      </w:r>
      <w:r>
        <w:rPr>
          <w:spacing w:val="-7"/>
          <w:sz w:val="18"/>
          <w:szCs w:val="18"/>
          <w:lang w:val="es-ES_tradnl"/>
        </w:rPr>
        <w:t>an</w:t>
      </w:r>
      <w:r>
        <w:rPr>
          <w:rFonts w:cs="Times New Roman"/>
          <w:spacing w:val="-7"/>
          <w:sz w:val="18"/>
          <w:szCs w:val="18"/>
          <w:lang w:val="es-ES_tradnl"/>
        </w:rPr>
        <w:t>á</w:t>
      </w:r>
      <w:r>
        <w:rPr>
          <w:spacing w:val="-7"/>
          <w:sz w:val="18"/>
          <w:szCs w:val="18"/>
          <w:lang w:val="es-ES_tradnl"/>
        </w:rPr>
        <w:t>lisis efectuado, no se advierte ninguna vulneraci</w:t>
      </w:r>
      <w:r>
        <w:rPr>
          <w:rFonts w:cs="Times New Roman"/>
          <w:spacing w:val="-7"/>
          <w:sz w:val="18"/>
          <w:szCs w:val="18"/>
          <w:lang w:val="es-ES_tradnl"/>
        </w:rPr>
        <w:t>ó</w:t>
      </w:r>
      <w:r>
        <w:rPr>
          <w:spacing w:val="-7"/>
          <w:sz w:val="18"/>
          <w:szCs w:val="18"/>
          <w:lang w:val="es-ES_tradnl"/>
        </w:rPr>
        <w:t xml:space="preserve">n de </w:t>
      </w:r>
      <w:r>
        <w:rPr>
          <w:spacing w:val="-8"/>
          <w:sz w:val="18"/>
          <w:szCs w:val="18"/>
          <w:lang w:val="es-ES_tradnl"/>
        </w:rPr>
        <w:t xml:space="preserve">los derechos constitucionales alegados por los legitimados </w:t>
      </w:r>
      <w:r>
        <w:rPr>
          <w:sz w:val="18"/>
          <w:szCs w:val="18"/>
          <w:lang w:val="es-ES_tradnl"/>
        </w:rPr>
        <w:t>activos.</w:t>
      </w:r>
    </w:p>
    <w:p w14:paraId="4F67BA5D" w14:textId="77777777" w:rsidR="00591D54" w:rsidRDefault="00591D54">
      <w:pPr>
        <w:shd w:val="clear" w:color="auto" w:fill="FFFFFF"/>
        <w:spacing w:before="192"/>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BA5E" w14:textId="77777777" w:rsidR="00591D54" w:rsidRDefault="00591D54">
      <w:pPr>
        <w:shd w:val="clear" w:color="auto" w:fill="FFFFFF"/>
        <w:spacing w:before="192" w:line="216" w:lineRule="exact"/>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5"/>
          <w:sz w:val="18"/>
          <w:szCs w:val="18"/>
          <w:lang w:val="es-ES_tradnl"/>
        </w:rPr>
        <w:t>constitucional y por mandato de la Constituci</w:t>
      </w:r>
      <w:r>
        <w:rPr>
          <w:rFonts w:cs="Times New Roman"/>
          <w:spacing w:val="-5"/>
          <w:sz w:val="18"/>
          <w:szCs w:val="18"/>
          <w:lang w:val="es-ES_tradnl"/>
        </w:rPr>
        <w:t>ó</w:t>
      </w:r>
      <w:r>
        <w:rPr>
          <w:spacing w:val="-5"/>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 xml:space="preserve">blica del Ecuador, el Pleno de la Corte Constitucional </w:t>
      </w:r>
      <w:r>
        <w:rPr>
          <w:sz w:val="18"/>
          <w:szCs w:val="18"/>
          <w:lang w:val="es-ES_tradnl"/>
        </w:rPr>
        <w:t>expide la siguiente:</w:t>
      </w:r>
    </w:p>
    <w:p w14:paraId="4F67BA5F" w14:textId="77777777" w:rsidR="00591D54" w:rsidRDefault="00591D54">
      <w:pPr>
        <w:shd w:val="clear" w:color="auto" w:fill="FFFFFF"/>
        <w:spacing w:before="187"/>
        <w:ind w:left="10"/>
        <w:jc w:val="center"/>
      </w:pPr>
      <w:r>
        <w:rPr>
          <w:b/>
          <w:bCs/>
          <w:sz w:val="18"/>
          <w:szCs w:val="18"/>
          <w:lang w:val="es-ES_tradnl"/>
        </w:rPr>
        <w:t>SENTENCIA</w:t>
      </w:r>
    </w:p>
    <w:p w14:paraId="4F67BA60" w14:textId="77777777" w:rsidR="00591D54" w:rsidRDefault="00591D54" w:rsidP="00251195">
      <w:pPr>
        <w:numPr>
          <w:ilvl w:val="0"/>
          <w:numId w:val="122"/>
        </w:numPr>
        <w:shd w:val="clear" w:color="auto" w:fill="FFFFFF"/>
        <w:tabs>
          <w:tab w:val="left" w:pos="566"/>
        </w:tabs>
        <w:spacing w:before="197" w:line="216" w:lineRule="exact"/>
        <w:ind w:left="566" w:hanging="283"/>
        <w:rPr>
          <w:spacing w:val="-9"/>
          <w:sz w:val="18"/>
          <w:szCs w:val="18"/>
          <w:lang w:val="es-ES_tradnl"/>
        </w:rPr>
      </w:pPr>
      <w:r>
        <w:rPr>
          <w:spacing w:val="-3"/>
          <w:sz w:val="18"/>
          <w:szCs w:val="18"/>
          <w:lang w:val="es-ES_tradnl"/>
        </w:rPr>
        <w:t>Declarar que no existe vulneraci</w:t>
      </w:r>
      <w:r>
        <w:rPr>
          <w:rFonts w:cs="Times New Roman"/>
          <w:spacing w:val="-3"/>
          <w:sz w:val="18"/>
          <w:szCs w:val="18"/>
          <w:lang w:val="es-ES_tradnl"/>
        </w:rPr>
        <w:t>ó</w:t>
      </w:r>
      <w:r>
        <w:rPr>
          <w:spacing w:val="-3"/>
          <w:sz w:val="18"/>
          <w:szCs w:val="18"/>
          <w:lang w:val="es-ES_tradnl"/>
        </w:rPr>
        <w:t xml:space="preserve">n de derechos </w:t>
      </w:r>
      <w:r>
        <w:rPr>
          <w:sz w:val="18"/>
          <w:szCs w:val="18"/>
          <w:lang w:val="es-ES_tradnl"/>
        </w:rPr>
        <w:t>constitucionales.</w:t>
      </w:r>
    </w:p>
    <w:p w14:paraId="4F67BA61" w14:textId="77777777" w:rsidR="00591D54" w:rsidRDefault="00591D54" w:rsidP="00251195">
      <w:pPr>
        <w:numPr>
          <w:ilvl w:val="0"/>
          <w:numId w:val="122"/>
        </w:numPr>
        <w:shd w:val="clear" w:color="auto" w:fill="FFFFFF"/>
        <w:tabs>
          <w:tab w:val="left" w:pos="566"/>
        </w:tabs>
        <w:spacing w:before="34" w:line="427" w:lineRule="exact"/>
        <w:ind w:left="283"/>
        <w:rPr>
          <w:spacing w:val="-9"/>
          <w:sz w:val="18"/>
          <w:szCs w:val="18"/>
          <w:lang w:val="es-ES_tradnl"/>
        </w:rPr>
      </w:pPr>
      <w:r>
        <w:rPr>
          <w:spacing w:val="-7"/>
          <w:sz w:val="18"/>
          <w:szCs w:val="18"/>
          <w:lang w:val="es-ES_tradnl"/>
        </w:rPr>
        <w:t>Negar la acci</w:t>
      </w:r>
      <w:r>
        <w:rPr>
          <w:rFonts w:cs="Times New Roman"/>
          <w:spacing w:val="-7"/>
          <w:sz w:val="18"/>
          <w:szCs w:val="18"/>
          <w:lang w:val="es-ES_tradnl"/>
        </w:rPr>
        <w:t>ó</w:t>
      </w:r>
      <w:r>
        <w:rPr>
          <w:spacing w:val="-7"/>
          <w:sz w:val="18"/>
          <w:szCs w:val="18"/>
          <w:lang w:val="es-ES_tradnl"/>
        </w:rPr>
        <w:t>n extraordinaria de protecci</w:t>
      </w:r>
      <w:r>
        <w:rPr>
          <w:rFonts w:cs="Times New Roman"/>
          <w:spacing w:val="-7"/>
          <w:sz w:val="18"/>
          <w:szCs w:val="18"/>
          <w:lang w:val="es-ES_tradnl"/>
        </w:rPr>
        <w:t>ó</w:t>
      </w:r>
      <w:r>
        <w:rPr>
          <w:spacing w:val="-7"/>
          <w:sz w:val="18"/>
          <w:szCs w:val="18"/>
          <w:lang w:val="es-ES_tradnl"/>
        </w:rPr>
        <w:t>n.</w:t>
      </w:r>
    </w:p>
    <w:p w14:paraId="4F67BA62" w14:textId="77777777" w:rsidR="00591D54" w:rsidRDefault="00591D54" w:rsidP="00251195">
      <w:pPr>
        <w:numPr>
          <w:ilvl w:val="0"/>
          <w:numId w:val="122"/>
        </w:numPr>
        <w:shd w:val="clear" w:color="auto" w:fill="FFFFFF"/>
        <w:tabs>
          <w:tab w:val="left" w:pos="566"/>
        </w:tabs>
        <w:spacing w:line="427" w:lineRule="exact"/>
        <w:ind w:left="283"/>
        <w:rPr>
          <w:spacing w:val="-9"/>
          <w:sz w:val="18"/>
          <w:szCs w:val="18"/>
          <w:lang w:val="es-ES_tradnl"/>
        </w:rPr>
      </w:pPr>
      <w:r>
        <w:rPr>
          <w:spacing w:val="-7"/>
          <w:sz w:val="18"/>
          <w:szCs w:val="18"/>
          <w:lang w:val="es-ES_tradnl"/>
        </w:rPr>
        <w:t>Notif</w:t>
      </w:r>
      <w:r>
        <w:rPr>
          <w:rFonts w:cs="Times New Roman"/>
          <w:spacing w:val="-7"/>
          <w:sz w:val="18"/>
          <w:szCs w:val="18"/>
          <w:lang w:val="es-ES_tradnl"/>
        </w:rPr>
        <w:t>í</w:t>
      </w:r>
      <w:r>
        <w:rPr>
          <w:spacing w:val="-7"/>
          <w:sz w:val="18"/>
          <w:szCs w:val="18"/>
          <w:lang w:val="es-ES_tradnl"/>
        </w:rPr>
        <w:t>quese, publ</w:t>
      </w:r>
      <w:r>
        <w:rPr>
          <w:rFonts w:cs="Times New Roman"/>
          <w:spacing w:val="-7"/>
          <w:sz w:val="18"/>
          <w:szCs w:val="18"/>
          <w:lang w:val="es-ES_tradnl"/>
        </w:rPr>
        <w:t>í</w:t>
      </w:r>
      <w:r>
        <w:rPr>
          <w:spacing w:val="-7"/>
          <w:sz w:val="18"/>
          <w:szCs w:val="18"/>
          <w:lang w:val="es-ES_tradnl"/>
        </w:rPr>
        <w:t>quese y c</w:t>
      </w:r>
      <w:r>
        <w:rPr>
          <w:rFonts w:cs="Times New Roman"/>
          <w:spacing w:val="-7"/>
          <w:sz w:val="18"/>
          <w:szCs w:val="18"/>
          <w:lang w:val="es-ES_tradnl"/>
        </w:rPr>
        <w:t>ú</w:t>
      </w:r>
      <w:r>
        <w:rPr>
          <w:spacing w:val="-7"/>
          <w:sz w:val="18"/>
          <w:szCs w:val="18"/>
          <w:lang w:val="es-ES_tradnl"/>
        </w:rPr>
        <w:t>mplase.</w:t>
      </w:r>
    </w:p>
    <w:p w14:paraId="4F67BA63" w14:textId="77777777" w:rsidR="00591D54" w:rsidRDefault="00591D54">
      <w:pPr>
        <w:shd w:val="clear" w:color="auto" w:fill="FFFFFF"/>
        <w:spacing w:line="427" w:lineRule="exact"/>
      </w:pPr>
      <w:r>
        <w:rPr>
          <w:spacing w:val="-4"/>
          <w:sz w:val="18"/>
          <w:szCs w:val="18"/>
          <w:lang w:val="es-ES_tradnl"/>
        </w:rPr>
        <w:t>f.) Patricio Pazmi</w:t>
      </w:r>
      <w:r>
        <w:rPr>
          <w:rFonts w:cs="Times New Roman"/>
          <w:spacing w:val="-4"/>
          <w:sz w:val="18"/>
          <w:szCs w:val="18"/>
          <w:lang w:val="es-ES_tradnl"/>
        </w:rPr>
        <w:t>ñ</w:t>
      </w:r>
      <w:r>
        <w:rPr>
          <w:spacing w:val="-4"/>
          <w:sz w:val="18"/>
          <w:szCs w:val="18"/>
          <w:lang w:val="es-ES_tradnl"/>
        </w:rPr>
        <w:t xml:space="preserve">o Freire, </w:t>
      </w:r>
      <w:r>
        <w:rPr>
          <w:b/>
          <w:bCs/>
          <w:spacing w:val="-4"/>
          <w:sz w:val="18"/>
          <w:szCs w:val="18"/>
          <w:lang w:val="es-ES_tradnl"/>
        </w:rPr>
        <w:t>PRESIDENTE.</w:t>
      </w:r>
    </w:p>
    <w:p w14:paraId="4F67BA64" w14:textId="77777777" w:rsidR="00591D54" w:rsidRDefault="00591D54">
      <w:pPr>
        <w:shd w:val="clear" w:color="auto" w:fill="FFFFFF"/>
        <w:spacing w:before="163" w:line="216" w:lineRule="exact"/>
        <w:jc w:val="both"/>
      </w:pPr>
      <w:r>
        <w:rPr>
          <w:spacing w:val="-1"/>
          <w:sz w:val="18"/>
          <w:szCs w:val="18"/>
          <w:lang w:val="es-ES_tradnl"/>
        </w:rPr>
        <w:t>f.) Pa</w:t>
      </w:r>
      <w:r>
        <w:rPr>
          <w:rFonts w:cs="Times New Roman"/>
          <w:spacing w:val="-1"/>
          <w:sz w:val="18"/>
          <w:szCs w:val="18"/>
          <w:lang w:val="es-ES_tradnl"/>
        </w:rPr>
        <w:t>ú</w:t>
      </w:r>
      <w:r>
        <w:rPr>
          <w:spacing w:val="-1"/>
          <w:sz w:val="18"/>
          <w:szCs w:val="18"/>
          <w:lang w:val="es-ES_tradnl"/>
        </w:rPr>
        <w:t xml:space="preserve">l Emilio Prado Chiriboga, </w:t>
      </w:r>
      <w:r>
        <w:rPr>
          <w:b/>
          <w:bCs/>
          <w:spacing w:val="-1"/>
          <w:sz w:val="18"/>
          <w:szCs w:val="18"/>
          <w:lang w:val="es-ES_tradnl"/>
        </w:rPr>
        <w:t xml:space="preserve">SECRETARIO </w:t>
      </w:r>
      <w:r>
        <w:rPr>
          <w:b/>
          <w:bCs/>
          <w:sz w:val="18"/>
          <w:szCs w:val="18"/>
          <w:lang w:val="es-ES_tradnl"/>
        </w:rPr>
        <w:t>GENERAL (E).</w:t>
      </w:r>
    </w:p>
    <w:p w14:paraId="4F67BA65" w14:textId="77777777" w:rsidR="00591D54" w:rsidRDefault="00591D54">
      <w:pPr>
        <w:shd w:val="clear" w:color="auto" w:fill="FFFFFF"/>
        <w:spacing w:before="192" w:line="216" w:lineRule="exact"/>
        <w:jc w:val="both"/>
      </w:pPr>
      <w:r>
        <w:rPr>
          <w:b/>
          <w:bCs/>
          <w:spacing w:val="-7"/>
          <w:sz w:val="18"/>
          <w:szCs w:val="18"/>
          <w:lang w:val="es-ES_tradnl"/>
        </w:rPr>
        <w:t>Raz</w:t>
      </w:r>
      <w:r>
        <w:rPr>
          <w:rFonts w:cs="Times New Roman"/>
          <w:b/>
          <w:bCs/>
          <w:spacing w:val="-7"/>
          <w:sz w:val="18"/>
          <w:szCs w:val="18"/>
          <w:lang w:val="es-ES_tradnl"/>
        </w:rPr>
        <w:t>ó</w:t>
      </w:r>
      <w:r>
        <w:rPr>
          <w:b/>
          <w:bCs/>
          <w:spacing w:val="-7"/>
          <w:sz w:val="18"/>
          <w:szCs w:val="18"/>
          <w:lang w:val="es-ES_tradnl"/>
        </w:rPr>
        <w:t xml:space="preserve">n: </w:t>
      </w:r>
      <w:r>
        <w:rPr>
          <w:spacing w:val="-7"/>
          <w:sz w:val="18"/>
          <w:szCs w:val="18"/>
          <w:lang w:val="es-ES_tradnl"/>
        </w:rPr>
        <w:t xml:space="preserve">Siento por tal, que la sentencia que antecede fue </w:t>
      </w:r>
      <w:r>
        <w:rPr>
          <w:spacing w:val="-2"/>
          <w:sz w:val="18"/>
          <w:szCs w:val="18"/>
          <w:lang w:val="es-ES_tradnl"/>
        </w:rPr>
        <w:t xml:space="preserve">aprobada por el Pleno de la Corte Constitucional, con </w:t>
      </w:r>
      <w:r>
        <w:rPr>
          <w:spacing w:val="-9"/>
          <w:sz w:val="18"/>
          <w:szCs w:val="18"/>
          <w:lang w:val="es-ES_tradnl"/>
        </w:rPr>
        <w:t>seis votos de las se</w:t>
      </w:r>
      <w:r>
        <w:rPr>
          <w:rFonts w:cs="Times New Roman"/>
          <w:spacing w:val="-9"/>
          <w:sz w:val="18"/>
          <w:szCs w:val="18"/>
          <w:lang w:val="es-ES_tradnl"/>
        </w:rPr>
        <w:t>ñ</w:t>
      </w:r>
      <w:r>
        <w:rPr>
          <w:spacing w:val="-9"/>
          <w:sz w:val="18"/>
          <w:szCs w:val="18"/>
          <w:lang w:val="es-ES_tradnl"/>
        </w:rPr>
        <w:t>oras juezas y se</w:t>
      </w:r>
      <w:r>
        <w:rPr>
          <w:rFonts w:cs="Times New Roman"/>
          <w:spacing w:val="-9"/>
          <w:sz w:val="18"/>
          <w:szCs w:val="18"/>
          <w:lang w:val="es-ES_tradnl"/>
        </w:rPr>
        <w:t>ñ</w:t>
      </w:r>
      <w:r>
        <w:rPr>
          <w:spacing w:val="-9"/>
          <w:sz w:val="18"/>
          <w:szCs w:val="18"/>
          <w:lang w:val="es-ES_tradnl"/>
        </w:rPr>
        <w:t xml:space="preserve">ores jueces: Antonio </w:t>
      </w:r>
      <w:r>
        <w:rPr>
          <w:spacing w:val="-4"/>
          <w:sz w:val="18"/>
          <w:szCs w:val="18"/>
          <w:lang w:val="es-ES_tradnl"/>
        </w:rPr>
        <w:t>Gagliardo Loor, Mar</w:t>
      </w:r>
      <w:r>
        <w:rPr>
          <w:rFonts w:cs="Times New Roman"/>
          <w:spacing w:val="-4"/>
          <w:sz w:val="18"/>
          <w:szCs w:val="18"/>
          <w:lang w:val="es-ES_tradnl"/>
        </w:rPr>
        <w:t>í</w:t>
      </w:r>
      <w:r>
        <w:rPr>
          <w:spacing w:val="-4"/>
          <w:sz w:val="18"/>
          <w:szCs w:val="18"/>
          <w:lang w:val="es-ES_tradnl"/>
        </w:rPr>
        <w:t>a del Carmen Maldonado S</w:t>
      </w:r>
      <w:r>
        <w:rPr>
          <w:rFonts w:cs="Times New Roman"/>
          <w:spacing w:val="-4"/>
          <w:sz w:val="18"/>
          <w:szCs w:val="18"/>
          <w:lang w:val="es-ES_tradnl"/>
        </w:rPr>
        <w:t>á</w:t>
      </w:r>
      <w:r>
        <w:rPr>
          <w:spacing w:val="-4"/>
          <w:sz w:val="18"/>
          <w:szCs w:val="18"/>
          <w:lang w:val="es-ES_tradnl"/>
        </w:rPr>
        <w:t>nchez,</w:t>
      </w:r>
    </w:p>
    <w:p w14:paraId="4F67BA66" w14:textId="77777777" w:rsidR="00591D54" w:rsidRDefault="00591D54">
      <w:pPr>
        <w:shd w:val="clear" w:color="auto" w:fill="FFFFFF"/>
        <w:spacing w:before="480"/>
      </w:pPr>
      <w:r>
        <w:rPr>
          <w:sz w:val="16"/>
          <w:szCs w:val="16"/>
          <w:vertAlign w:val="superscript"/>
          <w:lang w:val="es-ES_tradnl"/>
        </w:rPr>
        <w:t>8</w:t>
      </w:r>
      <w:r>
        <w:rPr>
          <w:sz w:val="16"/>
          <w:szCs w:val="16"/>
          <w:lang w:val="es-ES_tradnl"/>
        </w:rPr>
        <w:t xml:space="preserve">  </w:t>
      </w:r>
      <w:r>
        <w:rPr>
          <w:spacing w:val="-11"/>
          <w:sz w:val="16"/>
          <w:szCs w:val="16"/>
          <w:lang w:val="es-ES_tradnl"/>
        </w:rPr>
        <w:t>Corte Constitucional del Ecuador; Sentencia No. 016-13-SEP-CC.</w:t>
      </w:r>
    </w:p>
    <w:p w14:paraId="4F67BA67" w14:textId="77777777" w:rsidR="00591D54" w:rsidRDefault="00591D54">
      <w:pPr>
        <w:shd w:val="clear" w:color="auto" w:fill="FFFFFF"/>
        <w:spacing w:before="480"/>
        <w:sectPr w:rsidR="00591D54">
          <w:type w:val="continuous"/>
          <w:pgSz w:w="11909" w:h="16834"/>
          <w:pgMar w:top="1366" w:right="1309" w:bottom="360" w:left="1308" w:header="720" w:footer="720" w:gutter="0"/>
          <w:cols w:num="2" w:space="720" w:equalWidth="0">
            <w:col w:w="4305" w:space="682"/>
            <w:col w:w="4305"/>
          </w:cols>
          <w:noEndnote/>
        </w:sectPr>
      </w:pPr>
    </w:p>
    <w:p w14:paraId="4F67BA68" w14:textId="77777777" w:rsidR="00591D54" w:rsidRDefault="00591D54">
      <w:pPr>
        <w:shd w:val="clear" w:color="auto" w:fill="FFFFFF"/>
        <w:tabs>
          <w:tab w:val="left" w:pos="4814"/>
        </w:tabs>
        <w:spacing w:after="235"/>
        <w:ind w:left="5"/>
      </w:pPr>
      <w:r>
        <w:rPr>
          <w:b/>
          <w:bCs/>
          <w:sz w:val="18"/>
          <w:szCs w:val="18"/>
          <w:lang w:val="es-ES_tradnl"/>
        </w:rPr>
        <w:t xml:space="preserve">278 -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A69" w14:textId="77777777" w:rsidR="00591D54" w:rsidRDefault="00591D54">
      <w:pPr>
        <w:shd w:val="clear" w:color="auto" w:fill="FFFFFF"/>
        <w:tabs>
          <w:tab w:val="left" w:pos="4814"/>
        </w:tabs>
        <w:spacing w:after="235"/>
        <w:ind w:left="5"/>
        <w:sectPr w:rsidR="00591D54">
          <w:pgSz w:w="11909" w:h="16834"/>
          <w:pgMar w:top="1363" w:right="1309" w:bottom="360" w:left="1308" w:header="720" w:footer="720" w:gutter="0"/>
          <w:cols w:space="60"/>
          <w:noEndnote/>
        </w:sectPr>
      </w:pPr>
    </w:p>
    <w:p w14:paraId="4F67BA6A" w14:textId="77777777" w:rsidR="00591D54" w:rsidRDefault="00591D54">
      <w:pPr>
        <w:shd w:val="clear" w:color="auto" w:fill="FFFFFF"/>
        <w:spacing w:line="216" w:lineRule="exact"/>
        <w:jc w:val="both"/>
      </w:pPr>
      <w:r>
        <w:rPr>
          <w:spacing w:val="-2"/>
          <w:sz w:val="18"/>
          <w:szCs w:val="18"/>
          <w:lang w:val="es-ES_tradnl"/>
        </w:rPr>
        <w:t>Alfredo Ruiz Guzm</w:t>
      </w:r>
      <w:r>
        <w:rPr>
          <w:rFonts w:cs="Times New Roman"/>
          <w:spacing w:val="-2"/>
          <w:sz w:val="18"/>
          <w:szCs w:val="18"/>
          <w:lang w:val="es-ES_tradnl"/>
        </w:rPr>
        <w:t>á</w:t>
      </w:r>
      <w:r>
        <w:rPr>
          <w:spacing w:val="-2"/>
          <w:sz w:val="18"/>
          <w:szCs w:val="18"/>
          <w:lang w:val="es-ES_tradnl"/>
        </w:rPr>
        <w:t xml:space="preserve">n, Ruth Seni Pinoargote, Manuel </w:t>
      </w:r>
      <w:r>
        <w:rPr>
          <w:spacing w:val="-4"/>
          <w:sz w:val="18"/>
          <w:szCs w:val="18"/>
          <w:lang w:val="es-ES_tradnl"/>
        </w:rPr>
        <w:t>Viteri Olvera y Patricio Pazmi</w:t>
      </w:r>
      <w:r>
        <w:rPr>
          <w:rFonts w:cs="Times New Roman"/>
          <w:spacing w:val="-4"/>
          <w:sz w:val="18"/>
          <w:szCs w:val="18"/>
          <w:lang w:val="es-ES_tradnl"/>
        </w:rPr>
        <w:t>ñ</w:t>
      </w:r>
      <w:r>
        <w:rPr>
          <w:spacing w:val="-4"/>
          <w:sz w:val="18"/>
          <w:szCs w:val="18"/>
          <w:lang w:val="es-ES_tradnl"/>
        </w:rPr>
        <w:t xml:space="preserve">o Freire, sin contar con la </w:t>
      </w:r>
      <w:r>
        <w:rPr>
          <w:spacing w:val="-6"/>
          <w:sz w:val="18"/>
          <w:szCs w:val="18"/>
          <w:lang w:val="es-ES_tradnl"/>
        </w:rPr>
        <w:t xml:space="preserve">presencia de los jueces Marcelo Jaramillo Villa, Wendy </w:t>
      </w:r>
      <w:r>
        <w:rPr>
          <w:spacing w:val="-7"/>
          <w:sz w:val="18"/>
          <w:szCs w:val="18"/>
          <w:lang w:val="es-ES_tradnl"/>
        </w:rPr>
        <w:t>Molina Andrade y Tatiana Orde</w:t>
      </w:r>
      <w:r>
        <w:rPr>
          <w:rFonts w:cs="Times New Roman"/>
          <w:spacing w:val="-7"/>
          <w:sz w:val="18"/>
          <w:szCs w:val="18"/>
          <w:lang w:val="es-ES_tradnl"/>
        </w:rPr>
        <w:t>ñ</w:t>
      </w:r>
      <w:r>
        <w:rPr>
          <w:spacing w:val="-7"/>
          <w:sz w:val="18"/>
          <w:szCs w:val="18"/>
          <w:lang w:val="es-ES_tradnl"/>
        </w:rPr>
        <w:t>ana Sierra, en sesi</w:t>
      </w:r>
      <w:r>
        <w:rPr>
          <w:rFonts w:cs="Times New Roman"/>
          <w:spacing w:val="-7"/>
          <w:sz w:val="18"/>
          <w:szCs w:val="18"/>
          <w:lang w:val="es-ES_tradnl"/>
        </w:rPr>
        <w:t>ó</w:t>
      </w:r>
      <w:r>
        <w:rPr>
          <w:spacing w:val="-7"/>
          <w:sz w:val="18"/>
          <w:szCs w:val="18"/>
          <w:lang w:val="es-ES_tradnl"/>
        </w:rPr>
        <w:t xml:space="preserve">n del </w:t>
      </w:r>
      <w:r>
        <w:rPr>
          <w:sz w:val="18"/>
          <w:szCs w:val="18"/>
          <w:lang w:val="es-ES_tradnl"/>
        </w:rPr>
        <w:t>26 de agosto del 2015. Lo certifico.</w:t>
      </w:r>
    </w:p>
    <w:p w14:paraId="4F67BA6B" w14:textId="77777777" w:rsidR="00591D54" w:rsidRDefault="00591D54">
      <w:pPr>
        <w:shd w:val="clear" w:color="auto" w:fill="FFFFFF"/>
        <w:spacing w:before="187" w:line="211" w:lineRule="exact"/>
        <w:ind w:right="5"/>
        <w:jc w:val="both"/>
      </w:pPr>
      <w:r>
        <w:rPr>
          <w:spacing w:val="-1"/>
          <w:sz w:val="18"/>
          <w:szCs w:val="18"/>
          <w:lang w:val="es-ES_tradnl"/>
        </w:rPr>
        <w:t>f.) Pa</w:t>
      </w:r>
      <w:r>
        <w:rPr>
          <w:rFonts w:cs="Times New Roman"/>
          <w:spacing w:val="-1"/>
          <w:sz w:val="18"/>
          <w:szCs w:val="18"/>
          <w:lang w:val="es-ES_tradnl"/>
        </w:rPr>
        <w:t>ú</w:t>
      </w:r>
      <w:r>
        <w:rPr>
          <w:spacing w:val="-1"/>
          <w:sz w:val="18"/>
          <w:szCs w:val="18"/>
          <w:lang w:val="es-ES_tradnl"/>
        </w:rPr>
        <w:t xml:space="preserve">l Emilio Prado Chiriboga, </w:t>
      </w:r>
      <w:r>
        <w:rPr>
          <w:b/>
          <w:bCs/>
          <w:spacing w:val="-1"/>
          <w:sz w:val="18"/>
          <w:szCs w:val="18"/>
          <w:lang w:val="es-ES_tradnl"/>
        </w:rPr>
        <w:t xml:space="preserve">SECRETARIO </w:t>
      </w:r>
      <w:r>
        <w:rPr>
          <w:b/>
          <w:bCs/>
          <w:sz w:val="18"/>
          <w:szCs w:val="18"/>
          <w:lang w:val="es-ES_tradnl"/>
        </w:rPr>
        <w:t>GENERAL (E).</w:t>
      </w:r>
    </w:p>
    <w:p w14:paraId="4F67BA6C" w14:textId="77777777" w:rsidR="00591D54" w:rsidRDefault="00591D54">
      <w:pPr>
        <w:shd w:val="clear" w:color="auto" w:fill="FFFFFF"/>
        <w:spacing w:before="192"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A6D" w14:textId="77777777" w:rsidR="00591D54" w:rsidRDefault="00591D54">
      <w:pPr>
        <w:shd w:val="clear" w:color="auto" w:fill="FFFFFF"/>
        <w:spacing w:before="192"/>
      </w:pPr>
      <w:r>
        <w:rPr>
          <w:b/>
          <w:bCs/>
          <w:spacing w:val="-6"/>
          <w:sz w:val="18"/>
          <w:szCs w:val="18"/>
          <w:u w:val="single"/>
          <w:lang w:val="es-ES_tradnl"/>
        </w:rPr>
        <w:t>CASO Nro. 1895-11-EP</w:t>
      </w:r>
    </w:p>
    <w:p w14:paraId="4F67BA6E" w14:textId="77777777" w:rsidR="00591D54" w:rsidRDefault="00591D54">
      <w:pPr>
        <w:shd w:val="clear" w:color="auto" w:fill="FFFFFF"/>
        <w:spacing w:before="192" w:line="216" w:lineRule="exact"/>
        <w:ind w:right="5"/>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w:t>
      </w:r>
      <w:r>
        <w:rPr>
          <w:spacing w:val="-7"/>
          <w:sz w:val="18"/>
          <w:szCs w:val="18"/>
          <w:lang w:val="es-ES_tradnl"/>
        </w:rPr>
        <w:t>suscrita por el Juez Patricio Pazmi</w:t>
      </w:r>
      <w:r>
        <w:rPr>
          <w:rFonts w:cs="Times New Roman"/>
          <w:spacing w:val="-7"/>
          <w:sz w:val="18"/>
          <w:szCs w:val="18"/>
          <w:lang w:val="es-ES_tradnl"/>
        </w:rPr>
        <w:t>ñ</w:t>
      </w:r>
      <w:r>
        <w:rPr>
          <w:spacing w:val="-7"/>
          <w:sz w:val="18"/>
          <w:szCs w:val="18"/>
          <w:lang w:val="es-ES_tradnl"/>
        </w:rPr>
        <w:t>o Freire, Presidente de la Corte Constitucional, el d</w:t>
      </w:r>
      <w:r>
        <w:rPr>
          <w:rFonts w:cs="Times New Roman"/>
          <w:spacing w:val="-7"/>
          <w:sz w:val="18"/>
          <w:szCs w:val="18"/>
          <w:lang w:val="es-ES_tradnl"/>
        </w:rPr>
        <w:t>í</w:t>
      </w:r>
      <w:r>
        <w:rPr>
          <w:spacing w:val="-7"/>
          <w:sz w:val="18"/>
          <w:szCs w:val="18"/>
          <w:lang w:val="es-ES_tradnl"/>
        </w:rPr>
        <w:t xml:space="preserve">a lunes 07 de septiembre del </w:t>
      </w:r>
      <w:r>
        <w:rPr>
          <w:sz w:val="18"/>
          <w:szCs w:val="18"/>
          <w:lang w:val="es-ES_tradnl"/>
        </w:rPr>
        <w:t>dos mil quince.- Lo certifico.</w:t>
      </w:r>
    </w:p>
    <w:p w14:paraId="4F67BA6F" w14:textId="77777777" w:rsidR="00591D54" w:rsidRDefault="00591D54">
      <w:pPr>
        <w:shd w:val="clear" w:color="auto" w:fill="FFFFFF"/>
        <w:spacing w:before="192"/>
      </w:pPr>
      <w:r>
        <w:rPr>
          <w:spacing w:val="-7"/>
          <w:sz w:val="18"/>
          <w:szCs w:val="18"/>
          <w:lang w:val="es-ES_tradnl"/>
        </w:rPr>
        <w:t xml:space="preserve">f.) Jaime Pozo Chamorro, </w:t>
      </w:r>
      <w:r>
        <w:rPr>
          <w:b/>
          <w:bCs/>
          <w:spacing w:val="-7"/>
          <w:sz w:val="18"/>
          <w:szCs w:val="18"/>
          <w:lang w:val="es-ES_tradnl"/>
        </w:rPr>
        <w:t>Secretario General.</w:t>
      </w:r>
    </w:p>
    <w:p w14:paraId="4F67BA70" w14:textId="77777777" w:rsidR="00591D54" w:rsidRDefault="00591D54">
      <w:pPr>
        <w:shd w:val="clear" w:color="auto" w:fill="FFFFFF"/>
        <w:spacing w:before="192"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A71" w14:textId="77777777" w:rsidR="00591D54" w:rsidRDefault="00591D54">
      <w:pPr>
        <w:shd w:val="clear" w:color="auto" w:fill="FFFFFF"/>
        <w:spacing w:before="1138" w:line="427" w:lineRule="exact"/>
      </w:pPr>
      <w:r>
        <w:rPr>
          <w:spacing w:val="-6"/>
          <w:sz w:val="18"/>
          <w:szCs w:val="18"/>
          <w:lang w:val="es-ES_tradnl"/>
        </w:rPr>
        <w:t>Quito, D. M., 02 de septiembre del 2015</w:t>
      </w:r>
    </w:p>
    <w:p w14:paraId="4F67BA72" w14:textId="77777777" w:rsidR="00591D54" w:rsidRDefault="00591D54">
      <w:pPr>
        <w:shd w:val="clear" w:color="auto" w:fill="FFFFFF"/>
        <w:spacing w:line="427" w:lineRule="exact"/>
        <w:ind w:left="850"/>
      </w:pPr>
      <w:r>
        <w:rPr>
          <w:b/>
          <w:bCs/>
          <w:spacing w:val="-3"/>
          <w:sz w:val="18"/>
          <w:szCs w:val="18"/>
          <w:u w:val="single"/>
          <w:lang w:val="es-ES_tradnl"/>
        </w:rPr>
        <w:t>SENTENCIA N.</w:t>
      </w:r>
      <w:r>
        <w:rPr>
          <w:rFonts w:cs="Times New Roman"/>
          <w:b/>
          <w:bCs/>
          <w:spacing w:val="-3"/>
          <w:sz w:val="18"/>
          <w:szCs w:val="18"/>
          <w:u w:val="single"/>
          <w:lang w:val="es-ES_tradnl"/>
        </w:rPr>
        <w:t>º</w:t>
      </w:r>
      <w:r>
        <w:rPr>
          <w:b/>
          <w:bCs/>
          <w:spacing w:val="-3"/>
          <w:sz w:val="18"/>
          <w:szCs w:val="18"/>
          <w:u w:val="single"/>
          <w:lang w:val="es-ES_tradnl"/>
        </w:rPr>
        <w:t xml:space="preserve"> 285-15-SEP-CC</w:t>
      </w:r>
    </w:p>
    <w:p w14:paraId="4F67BA73" w14:textId="77777777" w:rsidR="00591D54" w:rsidRDefault="00591D54">
      <w:pPr>
        <w:shd w:val="clear" w:color="auto" w:fill="FFFFFF"/>
        <w:spacing w:line="427" w:lineRule="exact"/>
        <w:ind w:left="1291"/>
      </w:pPr>
      <w:r>
        <w:rPr>
          <w:b/>
          <w:bCs/>
          <w:spacing w:val="-5"/>
          <w:sz w:val="18"/>
          <w:szCs w:val="18"/>
          <w:u w:val="single"/>
          <w:lang w:val="es-ES_tradnl"/>
        </w:rPr>
        <w:t>CASO N.</w:t>
      </w:r>
      <w:r>
        <w:rPr>
          <w:rFonts w:cs="Times New Roman"/>
          <w:b/>
          <w:bCs/>
          <w:spacing w:val="-5"/>
          <w:sz w:val="18"/>
          <w:szCs w:val="18"/>
          <w:u w:val="single"/>
          <w:lang w:val="es-ES_tradnl"/>
        </w:rPr>
        <w:t>º</w:t>
      </w:r>
      <w:r>
        <w:rPr>
          <w:b/>
          <w:bCs/>
          <w:spacing w:val="-5"/>
          <w:sz w:val="18"/>
          <w:szCs w:val="18"/>
          <w:u w:val="single"/>
          <w:lang w:val="es-ES_tradnl"/>
        </w:rPr>
        <w:t xml:space="preserve"> 0097-15-EP</w:t>
      </w:r>
    </w:p>
    <w:p w14:paraId="4F67BA74" w14:textId="77777777" w:rsidR="00591D54" w:rsidRDefault="00591D54">
      <w:pPr>
        <w:shd w:val="clear" w:color="auto" w:fill="FFFFFF"/>
        <w:spacing w:line="427" w:lineRule="exact"/>
        <w:ind w:left="293"/>
      </w:pPr>
      <w:r>
        <w:rPr>
          <w:b/>
          <w:bCs/>
          <w:sz w:val="18"/>
          <w:szCs w:val="18"/>
          <w:lang w:val="es-ES_tradnl"/>
        </w:rPr>
        <w:t>CORTE CONSTITUCIONAL DEL ECUADOR</w:t>
      </w:r>
    </w:p>
    <w:p w14:paraId="4F67BA75" w14:textId="77777777" w:rsidR="00591D54" w:rsidRDefault="00591D54">
      <w:pPr>
        <w:shd w:val="clear" w:color="auto" w:fill="FFFFFF"/>
        <w:spacing w:line="427" w:lineRule="exact"/>
        <w:ind w:left="1334"/>
      </w:pPr>
      <w:r>
        <w:rPr>
          <w:b/>
          <w:bCs/>
          <w:sz w:val="18"/>
          <w:szCs w:val="18"/>
          <w:lang w:val="es-ES_tradnl"/>
        </w:rPr>
        <w:t>I. ANTECEDENTES</w:t>
      </w:r>
    </w:p>
    <w:p w14:paraId="4F67BA76" w14:textId="77777777" w:rsidR="00591D54" w:rsidRDefault="00591D54">
      <w:pPr>
        <w:shd w:val="clear" w:color="auto" w:fill="FFFFFF"/>
        <w:spacing w:line="427" w:lineRule="exact"/>
      </w:pPr>
      <w:r>
        <w:rPr>
          <w:b/>
          <w:bCs/>
          <w:spacing w:val="-9"/>
          <w:sz w:val="18"/>
          <w:szCs w:val="18"/>
          <w:lang w:val="es-ES_tradnl"/>
        </w:rPr>
        <w:t>Resumen de admisibilidad</w:t>
      </w:r>
    </w:p>
    <w:p w14:paraId="4F67BA77" w14:textId="77777777" w:rsidR="00591D54" w:rsidRDefault="00591D54">
      <w:pPr>
        <w:shd w:val="clear" w:color="auto" w:fill="FFFFFF"/>
        <w:spacing w:before="163" w:line="216" w:lineRule="exact"/>
        <w:jc w:val="both"/>
      </w:pPr>
      <w:r>
        <w:rPr>
          <w:spacing w:val="-5"/>
          <w:sz w:val="18"/>
          <w:szCs w:val="18"/>
          <w:lang w:val="es-ES_tradnl"/>
        </w:rPr>
        <w:t>El ciudadano Mario Bol</w:t>
      </w:r>
      <w:r>
        <w:rPr>
          <w:rFonts w:cs="Times New Roman"/>
          <w:spacing w:val="-5"/>
          <w:sz w:val="18"/>
          <w:szCs w:val="18"/>
          <w:lang w:val="es-ES_tradnl"/>
        </w:rPr>
        <w:t>í</w:t>
      </w:r>
      <w:r>
        <w:rPr>
          <w:spacing w:val="-5"/>
          <w:sz w:val="18"/>
          <w:szCs w:val="18"/>
          <w:lang w:val="es-ES_tradnl"/>
        </w:rPr>
        <w:t xml:space="preserve">var Juca Cabrera, en calidad de </w:t>
      </w:r>
      <w:r>
        <w:rPr>
          <w:spacing w:val="-10"/>
          <w:sz w:val="18"/>
          <w:szCs w:val="18"/>
          <w:lang w:val="es-ES_tradnl"/>
        </w:rPr>
        <w:t>gerente y representante legal de la Compa</w:t>
      </w:r>
      <w:r>
        <w:rPr>
          <w:rFonts w:cs="Times New Roman"/>
          <w:spacing w:val="-10"/>
          <w:sz w:val="18"/>
          <w:szCs w:val="18"/>
          <w:lang w:val="es-ES_tradnl"/>
        </w:rPr>
        <w:t>ñí</w:t>
      </w:r>
      <w:r>
        <w:rPr>
          <w:spacing w:val="-10"/>
          <w:sz w:val="18"/>
          <w:szCs w:val="18"/>
          <w:lang w:val="es-ES_tradnl"/>
        </w:rPr>
        <w:t xml:space="preserve">a de Laminados </w:t>
      </w:r>
      <w:r>
        <w:rPr>
          <w:spacing w:val="-5"/>
          <w:sz w:val="18"/>
          <w:szCs w:val="18"/>
          <w:lang w:val="es-ES_tradnl"/>
        </w:rPr>
        <w:t>Textiles Lamitex S.A. present</w:t>
      </w:r>
      <w:r>
        <w:rPr>
          <w:rFonts w:cs="Times New Roman"/>
          <w:spacing w:val="-5"/>
          <w:sz w:val="18"/>
          <w:szCs w:val="18"/>
          <w:lang w:val="es-ES_tradnl"/>
        </w:rPr>
        <w:t>ó</w:t>
      </w:r>
      <w:r>
        <w:rPr>
          <w:spacing w:val="-5"/>
          <w:sz w:val="18"/>
          <w:szCs w:val="18"/>
          <w:lang w:val="es-ES_tradnl"/>
        </w:rPr>
        <w:t xml:space="preserve"> acci</w:t>
      </w:r>
      <w:r>
        <w:rPr>
          <w:rFonts w:cs="Times New Roman"/>
          <w:spacing w:val="-5"/>
          <w:sz w:val="18"/>
          <w:szCs w:val="18"/>
          <w:lang w:val="es-ES_tradnl"/>
        </w:rPr>
        <w:t>ó</w:t>
      </w:r>
      <w:r>
        <w:rPr>
          <w:spacing w:val="-5"/>
          <w:sz w:val="18"/>
          <w:szCs w:val="18"/>
          <w:lang w:val="es-ES_tradnl"/>
        </w:rPr>
        <w:t xml:space="preserve">n extraordinaria de </w:t>
      </w:r>
      <w:r>
        <w:rPr>
          <w:spacing w:val="-8"/>
          <w:sz w:val="18"/>
          <w:szCs w:val="18"/>
          <w:lang w:val="es-ES_tradnl"/>
        </w:rPr>
        <w:t>protecci</w:t>
      </w:r>
      <w:r>
        <w:rPr>
          <w:rFonts w:cs="Times New Roman"/>
          <w:spacing w:val="-8"/>
          <w:sz w:val="18"/>
          <w:szCs w:val="18"/>
          <w:lang w:val="es-ES_tradnl"/>
        </w:rPr>
        <w:t>ó</w:t>
      </w:r>
      <w:r>
        <w:rPr>
          <w:spacing w:val="-8"/>
          <w:sz w:val="18"/>
          <w:szCs w:val="18"/>
          <w:lang w:val="es-ES_tradnl"/>
        </w:rPr>
        <w:t xml:space="preserve">n en contra de la sentencia de 19 de diciembre de 2014, dictada por la Sala Especializada de lo Contencioso </w:t>
      </w:r>
      <w:r>
        <w:rPr>
          <w:spacing w:val="-3"/>
          <w:sz w:val="18"/>
          <w:szCs w:val="18"/>
          <w:lang w:val="es-ES_tradnl"/>
        </w:rPr>
        <w:t xml:space="preserve">Tributario de la Corte Nacional de Justicia dentro del </w:t>
      </w:r>
      <w:r>
        <w:rPr>
          <w:sz w:val="18"/>
          <w:szCs w:val="18"/>
          <w:lang w:val="es-ES_tradnl"/>
        </w:rPr>
        <w:t>proceso N.</w:t>
      </w:r>
      <w:r>
        <w:rPr>
          <w:rFonts w:cs="Times New Roman"/>
          <w:sz w:val="18"/>
          <w:szCs w:val="18"/>
          <w:lang w:val="es-ES_tradnl"/>
        </w:rPr>
        <w:t>°</w:t>
      </w:r>
      <w:r>
        <w:rPr>
          <w:sz w:val="18"/>
          <w:szCs w:val="18"/>
          <w:lang w:val="es-ES_tradnl"/>
        </w:rPr>
        <w:t xml:space="preserve"> 441-2012.</w:t>
      </w:r>
    </w:p>
    <w:p w14:paraId="4F67BA78" w14:textId="77777777" w:rsidR="00591D54" w:rsidRDefault="00591D54">
      <w:pPr>
        <w:shd w:val="clear" w:color="auto" w:fill="FFFFFF"/>
        <w:spacing w:before="192" w:line="216" w:lineRule="exact"/>
        <w:ind w:right="5"/>
        <w:jc w:val="both"/>
      </w:pPr>
      <w:r>
        <w:rPr>
          <w:spacing w:val="-6"/>
          <w:sz w:val="18"/>
          <w:szCs w:val="18"/>
          <w:lang w:val="es-ES_tradnl"/>
        </w:rPr>
        <w:t>La Secretar</w:t>
      </w:r>
      <w:r>
        <w:rPr>
          <w:rFonts w:cs="Times New Roman"/>
          <w:spacing w:val="-6"/>
          <w:sz w:val="18"/>
          <w:szCs w:val="18"/>
          <w:lang w:val="es-ES_tradnl"/>
        </w:rPr>
        <w:t>í</w:t>
      </w:r>
      <w:r>
        <w:rPr>
          <w:spacing w:val="-6"/>
          <w:sz w:val="18"/>
          <w:szCs w:val="18"/>
          <w:lang w:val="es-ES_tradnl"/>
        </w:rPr>
        <w:t>a General de la Corte Constitucional certific</w:t>
      </w:r>
      <w:r>
        <w:rPr>
          <w:rFonts w:cs="Times New Roman"/>
          <w:spacing w:val="-6"/>
          <w:sz w:val="18"/>
          <w:szCs w:val="18"/>
          <w:lang w:val="es-ES_tradnl"/>
        </w:rPr>
        <w:t xml:space="preserve">ó </w:t>
      </w:r>
      <w:r>
        <w:rPr>
          <w:spacing w:val="-8"/>
          <w:sz w:val="18"/>
          <w:szCs w:val="18"/>
          <w:lang w:val="es-ES_tradnl"/>
        </w:rPr>
        <w:t xml:space="preserve">de conformidad con lo establecido en el inciso segundo del </w:t>
      </w:r>
      <w:r>
        <w:rPr>
          <w:spacing w:val="-6"/>
          <w:sz w:val="18"/>
          <w:szCs w:val="18"/>
          <w:lang w:val="es-ES_tradnl"/>
        </w:rPr>
        <w:t>cuarto art</w:t>
      </w:r>
      <w:r>
        <w:rPr>
          <w:rFonts w:cs="Times New Roman"/>
          <w:spacing w:val="-6"/>
          <w:sz w:val="18"/>
          <w:szCs w:val="18"/>
          <w:lang w:val="es-ES_tradnl"/>
        </w:rPr>
        <w:t>í</w:t>
      </w:r>
      <w:r>
        <w:rPr>
          <w:spacing w:val="-6"/>
          <w:sz w:val="18"/>
          <w:szCs w:val="18"/>
          <w:lang w:val="es-ES_tradnl"/>
        </w:rPr>
        <w:t>culo innumerado agregado a continuaci</w:t>
      </w:r>
      <w:r>
        <w:rPr>
          <w:rFonts w:cs="Times New Roman"/>
          <w:spacing w:val="-6"/>
          <w:sz w:val="18"/>
          <w:szCs w:val="18"/>
          <w:lang w:val="es-ES_tradnl"/>
        </w:rPr>
        <w:t>ó</w:t>
      </w:r>
      <w:r>
        <w:rPr>
          <w:spacing w:val="-6"/>
          <w:sz w:val="18"/>
          <w:szCs w:val="18"/>
          <w:lang w:val="es-ES_tradnl"/>
        </w:rPr>
        <w:t xml:space="preserve">n del </w:t>
      </w:r>
      <w:r>
        <w:rPr>
          <w:spacing w:val="-9"/>
          <w:sz w:val="18"/>
          <w:szCs w:val="18"/>
          <w:lang w:val="es-ES_tradnl"/>
        </w:rPr>
        <w:t>art</w:t>
      </w:r>
      <w:r>
        <w:rPr>
          <w:rFonts w:cs="Times New Roman"/>
          <w:spacing w:val="-9"/>
          <w:sz w:val="18"/>
          <w:szCs w:val="18"/>
          <w:lang w:val="es-ES_tradnl"/>
        </w:rPr>
        <w:t>í</w:t>
      </w:r>
      <w:r>
        <w:rPr>
          <w:spacing w:val="-9"/>
          <w:sz w:val="18"/>
          <w:szCs w:val="18"/>
          <w:lang w:val="es-ES_tradnl"/>
        </w:rPr>
        <w:t>culo 8 del Reglamento de Sustanciaci</w:t>
      </w:r>
      <w:r>
        <w:rPr>
          <w:rFonts w:cs="Times New Roman"/>
          <w:spacing w:val="-9"/>
          <w:sz w:val="18"/>
          <w:szCs w:val="18"/>
          <w:lang w:val="es-ES_tradnl"/>
        </w:rPr>
        <w:t>ó</w:t>
      </w:r>
      <w:r>
        <w:rPr>
          <w:spacing w:val="-9"/>
          <w:sz w:val="18"/>
          <w:szCs w:val="18"/>
          <w:lang w:val="es-ES_tradnl"/>
        </w:rPr>
        <w:t xml:space="preserve">n de Procesos de </w:t>
      </w:r>
      <w:r>
        <w:rPr>
          <w:spacing w:val="-7"/>
          <w:sz w:val="18"/>
          <w:szCs w:val="18"/>
          <w:lang w:val="es-ES_tradnl"/>
        </w:rPr>
        <w:t xml:space="preserve">Competencia de la Corte Constitucional, que en referencia </w:t>
      </w:r>
      <w:r>
        <w:rPr>
          <w:spacing w:val="-6"/>
          <w:sz w:val="18"/>
          <w:szCs w:val="18"/>
          <w:lang w:val="es-ES_tradnl"/>
        </w:rPr>
        <w:t>a la acci</w:t>
      </w:r>
      <w:r>
        <w:rPr>
          <w:rFonts w:cs="Times New Roman"/>
          <w:spacing w:val="-6"/>
          <w:sz w:val="18"/>
          <w:szCs w:val="18"/>
          <w:lang w:val="es-ES_tradnl"/>
        </w:rPr>
        <w:t>ó</w:t>
      </w:r>
      <w:r>
        <w:rPr>
          <w:spacing w:val="-6"/>
          <w:sz w:val="18"/>
          <w:szCs w:val="18"/>
          <w:lang w:val="es-ES_tradnl"/>
        </w:rPr>
        <w:t>n N.</w:t>
      </w:r>
      <w:r>
        <w:rPr>
          <w:rFonts w:cs="Times New Roman"/>
          <w:spacing w:val="-6"/>
          <w:sz w:val="18"/>
          <w:szCs w:val="18"/>
          <w:lang w:val="es-ES_tradnl"/>
        </w:rPr>
        <w:t>°</w:t>
      </w:r>
      <w:r>
        <w:rPr>
          <w:spacing w:val="-6"/>
          <w:sz w:val="18"/>
          <w:szCs w:val="18"/>
          <w:lang w:val="es-ES_tradnl"/>
        </w:rPr>
        <w:t xml:space="preserve"> 0097-15-EP, no se ha presentado otra </w:t>
      </w:r>
      <w:r>
        <w:rPr>
          <w:spacing w:val="-8"/>
          <w:sz w:val="18"/>
          <w:szCs w:val="18"/>
          <w:lang w:val="es-ES_tradnl"/>
        </w:rPr>
        <w:t>demanda con identidad de objeto y acci</w:t>
      </w:r>
      <w:r>
        <w:rPr>
          <w:rFonts w:cs="Times New Roman"/>
          <w:spacing w:val="-8"/>
          <w:sz w:val="18"/>
          <w:szCs w:val="18"/>
          <w:lang w:val="es-ES_tradnl"/>
        </w:rPr>
        <w:t>ó</w:t>
      </w:r>
      <w:r>
        <w:rPr>
          <w:spacing w:val="-8"/>
          <w:sz w:val="18"/>
          <w:szCs w:val="18"/>
          <w:lang w:val="es-ES_tradnl"/>
        </w:rPr>
        <w:t>n.</w:t>
      </w:r>
    </w:p>
    <w:p w14:paraId="4F67BA79" w14:textId="77777777" w:rsidR="00591D54" w:rsidRDefault="00591D54">
      <w:pPr>
        <w:shd w:val="clear" w:color="auto" w:fill="FFFFFF"/>
        <w:spacing w:before="197" w:line="216" w:lineRule="exact"/>
        <w:ind w:right="5"/>
        <w:jc w:val="both"/>
      </w:pPr>
      <w:r>
        <w:rPr>
          <w:spacing w:val="-8"/>
          <w:sz w:val="18"/>
          <w:szCs w:val="18"/>
          <w:lang w:val="es-ES_tradnl"/>
        </w:rPr>
        <w:t>Mediante auto de 09 de abril de 2015, la Sala de Admisi</w:t>
      </w:r>
      <w:r>
        <w:rPr>
          <w:rFonts w:cs="Times New Roman"/>
          <w:spacing w:val="-8"/>
          <w:sz w:val="18"/>
          <w:szCs w:val="18"/>
          <w:lang w:val="es-ES_tradnl"/>
        </w:rPr>
        <w:t>ó</w:t>
      </w:r>
      <w:r>
        <w:rPr>
          <w:spacing w:val="-8"/>
          <w:sz w:val="18"/>
          <w:szCs w:val="18"/>
          <w:lang w:val="es-ES_tradnl"/>
        </w:rPr>
        <w:t xml:space="preserve">n </w:t>
      </w:r>
      <w:r>
        <w:rPr>
          <w:spacing w:val="-5"/>
          <w:sz w:val="18"/>
          <w:szCs w:val="18"/>
          <w:lang w:val="es-ES_tradnl"/>
        </w:rPr>
        <w:t>de la Corte Constitucional del Ecuador, integrada por las</w:t>
      </w:r>
    </w:p>
    <w:p w14:paraId="4F67BA7A" w14:textId="77777777" w:rsidR="00591D54" w:rsidRDefault="00591D54">
      <w:pPr>
        <w:shd w:val="clear" w:color="auto" w:fill="FFFFFF"/>
        <w:spacing w:line="211" w:lineRule="exact"/>
        <w:jc w:val="both"/>
      </w:pPr>
      <w:r>
        <w:br w:type="column"/>
      </w:r>
      <w:r>
        <w:rPr>
          <w:spacing w:val="-7"/>
          <w:sz w:val="18"/>
          <w:szCs w:val="18"/>
          <w:lang w:val="es-ES_tradnl"/>
        </w:rPr>
        <w:t xml:space="preserve">juezas constitucionales Wendy Molina Andrade, Tatiana </w:t>
      </w:r>
      <w:r>
        <w:rPr>
          <w:spacing w:val="-4"/>
          <w:sz w:val="18"/>
          <w:szCs w:val="18"/>
          <w:lang w:val="es-ES_tradnl"/>
        </w:rPr>
        <w:t>Orde</w:t>
      </w:r>
      <w:r>
        <w:rPr>
          <w:rFonts w:cs="Times New Roman"/>
          <w:spacing w:val="-4"/>
          <w:sz w:val="18"/>
          <w:szCs w:val="18"/>
          <w:lang w:val="es-ES_tradnl"/>
        </w:rPr>
        <w:t>ñ</w:t>
      </w:r>
      <w:r>
        <w:rPr>
          <w:spacing w:val="-4"/>
          <w:sz w:val="18"/>
          <w:szCs w:val="18"/>
          <w:lang w:val="es-ES_tradnl"/>
        </w:rPr>
        <w:t xml:space="preserve">ana Sierra y el juez constitucional Alfredo Ruiz </w:t>
      </w:r>
      <w:r>
        <w:rPr>
          <w:spacing w:val="-5"/>
          <w:sz w:val="18"/>
          <w:szCs w:val="18"/>
          <w:lang w:val="es-ES_tradnl"/>
        </w:rPr>
        <w:t>Guzm</w:t>
      </w:r>
      <w:r>
        <w:rPr>
          <w:rFonts w:cs="Times New Roman"/>
          <w:spacing w:val="-5"/>
          <w:sz w:val="18"/>
          <w:szCs w:val="18"/>
          <w:lang w:val="es-ES_tradnl"/>
        </w:rPr>
        <w:t>á</w:t>
      </w:r>
      <w:r>
        <w:rPr>
          <w:spacing w:val="-5"/>
          <w:sz w:val="18"/>
          <w:szCs w:val="18"/>
          <w:lang w:val="es-ES_tradnl"/>
        </w:rPr>
        <w:t>n, admiti</w:t>
      </w:r>
      <w:r>
        <w:rPr>
          <w:rFonts w:cs="Times New Roman"/>
          <w:spacing w:val="-5"/>
          <w:sz w:val="18"/>
          <w:szCs w:val="18"/>
          <w:lang w:val="es-ES_tradnl"/>
        </w:rPr>
        <w:t>ó</w:t>
      </w:r>
      <w:r>
        <w:rPr>
          <w:spacing w:val="-5"/>
          <w:sz w:val="18"/>
          <w:szCs w:val="18"/>
          <w:lang w:val="es-ES_tradnl"/>
        </w:rPr>
        <w:t xml:space="preserve"> a tr</w:t>
      </w:r>
      <w:r>
        <w:rPr>
          <w:rFonts w:cs="Times New Roman"/>
          <w:spacing w:val="-5"/>
          <w:sz w:val="18"/>
          <w:szCs w:val="18"/>
          <w:lang w:val="es-ES_tradnl"/>
        </w:rPr>
        <w:t>á</w:t>
      </w:r>
      <w:r>
        <w:rPr>
          <w:spacing w:val="-5"/>
          <w:sz w:val="18"/>
          <w:szCs w:val="18"/>
          <w:lang w:val="es-ES_tradnl"/>
        </w:rPr>
        <w:t>mite la acci</w:t>
      </w:r>
      <w:r>
        <w:rPr>
          <w:rFonts w:cs="Times New Roman"/>
          <w:spacing w:val="-5"/>
          <w:sz w:val="18"/>
          <w:szCs w:val="18"/>
          <w:lang w:val="es-ES_tradnl"/>
        </w:rPr>
        <w:t>ó</w:t>
      </w:r>
      <w:r>
        <w:rPr>
          <w:spacing w:val="-5"/>
          <w:sz w:val="18"/>
          <w:szCs w:val="18"/>
          <w:lang w:val="es-ES_tradnl"/>
        </w:rPr>
        <w:t xml:space="preserve">n extraordinaria de </w:t>
      </w:r>
      <w:r>
        <w:rPr>
          <w:sz w:val="18"/>
          <w:szCs w:val="18"/>
          <w:lang w:val="es-ES_tradnl"/>
        </w:rPr>
        <w:t>protecci</w:t>
      </w:r>
      <w:r>
        <w:rPr>
          <w:rFonts w:cs="Times New Roman"/>
          <w:sz w:val="18"/>
          <w:szCs w:val="18"/>
          <w:lang w:val="es-ES_tradnl"/>
        </w:rPr>
        <w:t>ó</w:t>
      </w:r>
      <w:r>
        <w:rPr>
          <w:sz w:val="18"/>
          <w:szCs w:val="18"/>
          <w:lang w:val="es-ES_tradnl"/>
        </w:rPr>
        <w:t>n N.</w:t>
      </w:r>
      <w:r>
        <w:rPr>
          <w:rFonts w:cs="Times New Roman"/>
          <w:sz w:val="18"/>
          <w:szCs w:val="18"/>
          <w:lang w:val="es-ES_tradnl"/>
        </w:rPr>
        <w:t>°</w:t>
      </w:r>
      <w:r>
        <w:rPr>
          <w:sz w:val="18"/>
          <w:szCs w:val="18"/>
          <w:lang w:val="es-ES_tradnl"/>
        </w:rPr>
        <w:t xml:space="preserve"> 0097-15-EP.</w:t>
      </w:r>
    </w:p>
    <w:p w14:paraId="4F67BA7B" w14:textId="77777777" w:rsidR="00591D54" w:rsidRDefault="00591D54">
      <w:pPr>
        <w:shd w:val="clear" w:color="auto" w:fill="FFFFFF"/>
        <w:spacing w:before="187" w:line="211" w:lineRule="exact"/>
        <w:jc w:val="both"/>
      </w:pPr>
      <w:r>
        <w:rPr>
          <w:spacing w:val="-6"/>
          <w:sz w:val="18"/>
          <w:szCs w:val="18"/>
          <w:lang w:val="es-ES_tradnl"/>
        </w:rPr>
        <w:t xml:space="preserve">Mediante providencia de 23 de junio de 2015, el juez </w:t>
      </w:r>
      <w:r>
        <w:rPr>
          <w:spacing w:val="-2"/>
          <w:sz w:val="18"/>
          <w:szCs w:val="18"/>
          <w:lang w:val="es-ES_tradnl"/>
        </w:rPr>
        <w:t>constitucional Alfredo Ruiz Guzm</w:t>
      </w:r>
      <w:r>
        <w:rPr>
          <w:rFonts w:cs="Times New Roman"/>
          <w:spacing w:val="-2"/>
          <w:sz w:val="18"/>
          <w:szCs w:val="18"/>
          <w:lang w:val="es-ES_tradnl"/>
        </w:rPr>
        <w:t>á</w:t>
      </w:r>
      <w:r>
        <w:rPr>
          <w:spacing w:val="-2"/>
          <w:sz w:val="18"/>
          <w:szCs w:val="18"/>
          <w:lang w:val="es-ES_tradnl"/>
        </w:rPr>
        <w:t xml:space="preserve">n, juez sustanciador </w:t>
      </w:r>
      <w:r>
        <w:rPr>
          <w:spacing w:val="-3"/>
          <w:sz w:val="18"/>
          <w:szCs w:val="18"/>
          <w:lang w:val="es-ES_tradnl"/>
        </w:rPr>
        <w:t xml:space="preserve">de la causa en virtud del sorteo efectuado por el Pleno </w:t>
      </w:r>
      <w:r>
        <w:rPr>
          <w:spacing w:val="-7"/>
          <w:sz w:val="18"/>
          <w:szCs w:val="18"/>
          <w:lang w:val="es-ES_tradnl"/>
        </w:rPr>
        <w:t>del Organismo en sesi</w:t>
      </w:r>
      <w:r>
        <w:rPr>
          <w:rFonts w:cs="Times New Roman"/>
          <w:spacing w:val="-7"/>
          <w:sz w:val="18"/>
          <w:szCs w:val="18"/>
          <w:lang w:val="es-ES_tradnl"/>
        </w:rPr>
        <w:t>ó</w:t>
      </w:r>
      <w:r>
        <w:rPr>
          <w:spacing w:val="-7"/>
          <w:sz w:val="18"/>
          <w:szCs w:val="18"/>
          <w:lang w:val="es-ES_tradnl"/>
        </w:rPr>
        <w:t xml:space="preserve">n ordinaria de 29 de abril de 2015, </w:t>
      </w:r>
      <w:r>
        <w:rPr>
          <w:spacing w:val="-8"/>
          <w:sz w:val="18"/>
          <w:szCs w:val="18"/>
          <w:lang w:val="es-ES_tradnl"/>
        </w:rPr>
        <w:t>avoc</w:t>
      </w:r>
      <w:r>
        <w:rPr>
          <w:rFonts w:cs="Times New Roman"/>
          <w:spacing w:val="-8"/>
          <w:sz w:val="18"/>
          <w:szCs w:val="18"/>
          <w:lang w:val="es-ES_tradnl"/>
        </w:rPr>
        <w:t>ó</w:t>
      </w:r>
      <w:r>
        <w:rPr>
          <w:spacing w:val="-8"/>
          <w:sz w:val="18"/>
          <w:szCs w:val="18"/>
          <w:lang w:val="es-ES_tradnl"/>
        </w:rPr>
        <w:t xml:space="preserve"> conocimiento de la causa N</w:t>
      </w:r>
      <w:r>
        <w:rPr>
          <w:rFonts w:cs="Times New Roman"/>
          <w:spacing w:val="-8"/>
          <w:sz w:val="18"/>
          <w:szCs w:val="18"/>
          <w:lang w:val="es-ES_tradnl"/>
        </w:rPr>
        <w:t>°</w:t>
      </w:r>
      <w:r>
        <w:rPr>
          <w:spacing w:val="-8"/>
          <w:sz w:val="18"/>
          <w:szCs w:val="18"/>
          <w:lang w:val="es-ES_tradnl"/>
        </w:rPr>
        <w:t xml:space="preserve"> 0097-15-EP.</w:t>
      </w:r>
    </w:p>
    <w:p w14:paraId="4F67BA7C" w14:textId="77777777" w:rsidR="00591D54" w:rsidRDefault="00591D54">
      <w:pPr>
        <w:shd w:val="clear" w:color="auto" w:fill="FFFFFF"/>
        <w:spacing w:before="187"/>
      </w:pPr>
      <w:r>
        <w:rPr>
          <w:b/>
          <w:bCs/>
          <w:spacing w:val="-10"/>
          <w:sz w:val="18"/>
          <w:szCs w:val="18"/>
          <w:lang w:val="es-ES_tradnl"/>
        </w:rPr>
        <w:t>De la solicitud y sus argumentos</w:t>
      </w:r>
    </w:p>
    <w:p w14:paraId="4F67BA7D" w14:textId="77777777" w:rsidR="00591D54" w:rsidRDefault="00591D54">
      <w:pPr>
        <w:shd w:val="clear" w:color="auto" w:fill="FFFFFF"/>
        <w:spacing w:before="192" w:line="211" w:lineRule="exact"/>
        <w:jc w:val="both"/>
      </w:pPr>
      <w:r>
        <w:rPr>
          <w:spacing w:val="-6"/>
          <w:sz w:val="18"/>
          <w:szCs w:val="18"/>
          <w:lang w:val="es-ES_tradnl"/>
        </w:rPr>
        <w:t>Manifiesta el legitimado activo que la segunda sala del Tribunal Distrital de lo Fiscal N.</w:t>
      </w:r>
      <w:r>
        <w:rPr>
          <w:rFonts w:cs="Times New Roman"/>
          <w:spacing w:val="-6"/>
          <w:sz w:val="18"/>
          <w:szCs w:val="18"/>
          <w:lang w:val="es-ES_tradnl"/>
        </w:rPr>
        <w:t>°</w:t>
      </w:r>
      <w:r>
        <w:rPr>
          <w:spacing w:val="-6"/>
          <w:sz w:val="18"/>
          <w:szCs w:val="18"/>
          <w:lang w:val="es-ES_tradnl"/>
        </w:rPr>
        <w:t xml:space="preserve"> 2 con sede en Guayaquil </w:t>
      </w:r>
      <w:r>
        <w:rPr>
          <w:spacing w:val="-5"/>
          <w:sz w:val="18"/>
          <w:szCs w:val="18"/>
          <w:lang w:val="es-ES_tradnl"/>
        </w:rPr>
        <w:t>dentro del juicio de impugnaci</w:t>
      </w:r>
      <w:r>
        <w:rPr>
          <w:rFonts w:cs="Times New Roman"/>
          <w:spacing w:val="-5"/>
          <w:sz w:val="18"/>
          <w:szCs w:val="18"/>
          <w:lang w:val="es-ES_tradnl"/>
        </w:rPr>
        <w:t>ó</w:t>
      </w:r>
      <w:r>
        <w:rPr>
          <w:spacing w:val="-5"/>
          <w:sz w:val="18"/>
          <w:szCs w:val="18"/>
          <w:lang w:val="es-ES_tradnl"/>
        </w:rPr>
        <w:t>n N.</w:t>
      </w:r>
      <w:r>
        <w:rPr>
          <w:rFonts w:cs="Times New Roman"/>
          <w:spacing w:val="-5"/>
          <w:sz w:val="18"/>
          <w:szCs w:val="18"/>
          <w:lang w:val="es-ES_tradnl"/>
        </w:rPr>
        <w:t>°</w:t>
      </w:r>
      <w:r>
        <w:rPr>
          <w:spacing w:val="-5"/>
          <w:sz w:val="18"/>
          <w:szCs w:val="18"/>
          <w:lang w:val="es-ES_tradnl"/>
        </w:rPr>
        <w:t xml:space="preserve"> 09502-2010-150 </w:t>
      </w:r>
      <w:r>
        <w:rPr>
          <w:spacing w:val="-4"/>
          <w:sz w:val="18"/>
          <w:szCs w:val="18"/>
          <w:lang w:val="es-ES_tradnl"/>
        </w:rPr>
        <w:t>resolvi</w:t>
      </w:r>
      <w:r>
        <w:rPr>
          <w:rFonts w:cs="Times New Roman"/>
          <w:spacing w:val="-4"/>
          <w:sz w:val="18"/>
          <w:szCs w:val="18"/>
          <w:lang w:val="es-ES_tradnl"/>
        </w:rPr>
        <w:t>ó</w:t>
      </w:r>
      <w:r>
        <w:rPr>
          <w:spacing w:val="-4"/>
          <w:sz w:val="18"/>
          <w:szCs w:val="18"/>
          <w:lang w:val="es-ES_tradnl"/>
        </w:rPr>
        <w:t xml:space="preserve"> mediante sentencia de 18 de mayo de 2012, </w:t>
      </w:r>
      <w:r>
        <w:rPr>
          <w:spacing w:val="-5"/>
          <w:sz w:val="18"/>
          <w:szCs w:val="18"/>
          <w:lang w:val="es-ES_tradnl"/>
        </w:rPr>
        <w:t>declarar parcialmente con lugar la demanda presentada en contra de la resoluci</w:t>
      </w:r>
      <w:r>
        <w:rPr>
          <w:rFonts w:cs="Times New Roman"/>
          <w:spacing w:val="-5"/>
          <w:sz w:val="18"/>
          <w:szCs w:val="18"/>
          <w:lang w:val="es-ES_tradnl"/>
        </w:rPr>
        <w:t>ó</w:t>
      </w:r>
      <w:r>
        <w:rPr>
          <w:spacing w:val="-5"/>
          <w:sz w:val="18"/>
          <w:szCs w:val="18"/>
          <w:lang w:val="es-ES_tradnl"/>
        </w:rPr>
        <w:t>n de 14 de octubre de 2010, N</w:t>
      </w:r>
      <w:r>
        <w:rPr>
          <w:rFonts w:cs="Times New Roman"/>
          <w:spacing w:val="-5"/>
          <w:sz w:val="18"/>
          <w:szCs w:val="18"/>
          <w:lang w:val="es-ES_tradnl"/>
        </w:rPr>
        <w:t xml:space="preserve">° </w:t>
      </w:r>
      <w:r>
        <w:rPr>
          <w:spacing w:val="-7"/>
          <w:sz w:val="18"/>
          <w:szCs w:val="18"/>
          <w:lang w:val="es-ES_tradnl"/>
        </w:rPr>
        <w:t xml:space="preserve">109012010RREC026725 dictada por el Director Regional </w:t>
      </w:r>
      <w:r>
        <w:rPr>
          <w:spacing w:val="-6"/>
          <w:sz w:val="18"/>
          <w:szCs w:val="18"/>
          <w:lang w:val="es-ES_tradnl"/>
        </w:rPr>
        <w:t>del Servicio de Rentas Internas del Litoral Sur.</w:t>
      </w:r>
    </w:p>
    <w:p w14:paraId="4F67BA7E" w14:textId="77777777" w:rsidR="00591D54" w:rsidRDefault="00591D54">
      <w:pPr>
        <w:shd w:val="clear" w:color="auto" w:fill="FFFFFF"/>
        <w:spacing w:before="192" w:line="211" w:lineRule="exact"/>
        <w:jc w:val="both"/>
      </w:pPr>
      <w:r>
        <w:rPr>
          <w:spacing w:val="-10"/>
          <w:sz w:val="18"/>
          <w:szCs w:val="18"/>
          <w:lang w:val="es-ES_tradnl"/>
        </w:rPr>
        <w:t xml:space="preserve">Expone que el Servicio de Rentas Internas interpuso recurso </w:t>
      </w:r>
      <w:r>
        <w:rPr>
          <w:spacing w:val="-11"/>
          <w:sz w:val="18"/>
          <w:szCs w:val="18"/>
          <w:lang w:val="es-ES_tradnl"/>
        </w:rPr>
        <w:t>extraordinario de casaci</w:t>
      </w:r>
      <w:r>
        <w:rPr>
          <w:rFonts w:cs="Times New Roman"/>
          <w:spacing w:val="-11"/>
          <w:sz w:val="18"/>
          <w:szCs w:val="18"/>
          <w:lang w:val="es-ES_tradnl"/>
        </w:rPr>
        <w:t>ó</w:t>
      </w:r>
      <w:r>
        <w:rPr>
          <w:spacing w:val="-11"/>
          <w:sz w:val="18"/>
          <w:szCs w:val="18"/>
          <w:lang w:val="es-ES_tradnl"/>
        </w:rPr>
        <w:t xml:space="preserve">n en contra de la sentencia de 14 de </w:t>
      </w:r>
      <w:r>
        <w:rPr>
          <w:spacing w:val="-10"/>
          <w:sz w:val="18"/>
          <w:szCs w:val="18"/>
          <w:lang w:val="es-ES_tradnl"/>
        </w:rPr>
        <w:t xml:space="preserve">octubre de 2010, dictada por la segunda sala del Tribunal de </w:t>
      </w:r>
      <w:r>
        <w:rPr>
          <w:spacing w:val="-7"/>
          <w:sz w:val="18"/>
          <w:szCs w:val="18"/>
          <w:lang w:val="es-ES_tradnl"/>
        </w:rPr>
        <w:t>lo Fiscal dentro del juicio de impugnaci</w:t>
      </w:r>
      <w:r>
        <w:rPr>
          <w:rFonts w:cs="Times New Roman"/>
          <w:spacing w:val="-7"/>
          <w:sz w:val="18"/>
          <w:szCs w:val="18"/>
          <w:lang w:val="es-ES_tradnl"/>
        </w:rPr>
        <w:t>ó</w:t>
      </w:r>
      <w:r>
        <w:rPr>
          <w:spacing w:val="-7"/>
          <w:sz w:val="18"/>
          <w:szCs w:val="18"/>
          <w:lang w:val="es-ES_tradnl"/>
        </w:rPr>
        <w:t>n N.</w:t>
      </w:r>
      <w:r>
        <w:rPr>
          <w:rFonts w:cs="Times New Roman"/>
          <w:spacing w:val="-7"/>
          <w:sz w:val="18"/>
          <w:szCs w:val="18"/>
          <w:lang w:val="es-ES_tradnl"/>
        </w:rPr>
        <w:t>°</w:t>
      </w:r>
      <w:r>
        <w:rPr>
          <w:spacing w:val="-7"/>
          <w:sz w:val="18"/>
          <w:szCs w:val="18"/>
          <w:lang w:val="es-ES_tradnl"/>
        </w:rPr>
        <w:t xml:space="preserve"> 09502-2010-</w:t>
      </w:r>
      <w:r>
        <w:rPr>
          <w:spacing w:val="-8"/>
          <w:sz w:val="18"/>
          <w:szCs w:val="18"/>
          <w:lang w:val="es-ES_tradnl"/>
        </w:rPr>
        <w:t>150. Se</w:t>
      </w:r>
      <w:r>
        <w:rPr>
          <w:rFonts w:cs="Times New Roman"/>
          <w:spacing w:val="-8"/>
          <w:sz w:val="18"/>
          <w:szCs w:val="18"/>
          <w:lang w:val="es-ES_tradnl"/>
        </w:rPr>
        <w:t>ñ</w:t>
      </w:r>
      <w:r>
        <w:rPr>
          <w:spacing w:val="-8"/>
          <w:sz w:val="18"/>
          <w:szCs w:val="18"/>
          <w:lang w:val="es-ES_tradnl"/>
        </w:rPr>
        <w:t xml:space="preserve">ala que el referido recurso fue conocido y resuelto </w:t>
      </w:r>
      <w:r>
        <w:rPr>
          <w:spacing w:val="-9"/>
          <w:sz w:val="18"/>
          <w:szCs w:val="18"/>
          <w:lang w:val="es-ES_tradnl"/>
        </w:rPr>
        <w:t xml:space="preserve">por la Sala Especializada de lo Contencioso Tributario de la </w:t>
      </w:r>
      <w:r>
        <w:rPr>
          <w:spacing w:val="-8"/>
          <w:sz w:val="18"/>
          <w:szCs w:val="18"/>
          <w:lang w:val="es-ES_tradnl"/>
        </w:rPr>
        <w:t xml:space="preserve">Corte Nacional de Justicia del Ecuador mediante sentencia </w:t>
      </w:r>
      <w:r>
        <w:rPr>
          <w:sz w:val="18"/>
          <w:szCs w:val="18"/>
          <w:lang w:val="es-ES_tradnl"/>
        </w:rPr>
        <w:t>de 19 de diciembre de 2015.</w:t>
      </w:r>
    </w:p>
    <w:p w14:paraId="4F67BA7F" w14:textId="77777777" w:rsidR="00591D54" w:rsidRDefault="00591D54">
      <w:pPr>
        <w:shd w:val="clear" w:color="auto" w:fill="FFFFFF"/>
        <w:spacing w:before="192" w:line="211" w:lineRule="exact"/>
        <w:jc w:val="both"/>
      </w:pPr>
      <w:r>
        <w:rPr>
          <w:spacing w:val="-6"/>
          <w:sz w:val="18"/>
          <w:szCs w:val="18"/>
          <w:lang w:val="es-ES_tradnl"/>
        </w:rPr>
        <w:t xml:space="preserve">Indica el accionante que la Sala de la Corte Nacional de </w:t>
      </w:r>
      <w:r>
        <w:rPr>
          <w:spacing w:val="-10"/>
          <w:sz w:val="18"/>
          <w:szCs w:val="18"/>
          <w:lang w:val="es-ES_tradnl"/>
        </w:rPr>
        <w:t>Justicia se encontraba en la obligaci</w:t>
      </w:r>
      <w:r>
        <w:rPr>
          <w:rFonts w:cs="Times New Roman"/>
          <w:spacing w:val="-10"/>
          <w:sz w:val="18"/>
          <w:szCs w:val="18"/>
          <w:lang w:val="es-ES_tradnl"/>
        </w:rPr>
        <w:t>ó</w:t>
      </w:r>
      <w:r>
        <w:rPr>
          <w:spacing w:val="-10"/>
          <w:sz w:val="18"/>
          <w:szCs w:val="18"/>
          <w:lang w:val="es-ES_tradnl"/>
        </w:rPr>
        <w:t>n de realizar su an</w:t>
      </w:r>
      <w:r>
        <w:rPr>
          <w:rFonts w:cs="Times New Roman"/>
          <w:spacing w:val="-10"/>
          <w:sz w:val="18"/>
          <w:szCs w:val="18"/>
          <w:lang w:val="es-ES_tradnl"/>
        </w:rPr>
        <w:t>á</w:t>
      </w:r>
      <w:r>
        <w:rPr>
          <w:spacing w:val="-10"/>
          <w:sz w:val="18"/>
          <w:szCs w:val="18"/>
          <w:lang w:val="es-ES_tradnl"/>
        </w:rPr>
        <w:t xml:space="preserve">lisis </w:t>
      </w:r>
      <w:r>
        <w:rPr>
          <w:spacing w:val="-8"/>
          <w:sz w:val="18"/>
          <w:szCs w:val="18"/>
          <w:lang w:val="es-ES_tradnl"/>
        </w:rPr>
        <w:t xml:space="preserve">exclusivamente en el marco de las alegaciones realizadas </w:t>
      </w:r>
      <w:r>
        <w:rPr>
          <w:spacing w:val="-9"/>
          <w:sz w:val="18"/>
          <w:szCs w:val="18"/>
          <w:lang w:val="es-ES_tradnl"/>
        </w:rPr>
        <w:t>por el casacionista, as</w:t>
      </w:r>
      <w:r>
        <w:rPr>
          <w:rFonts w:cs="Times New Roman"/>
          <w:spacing w:val="-9"/>
          <w:sz w:val="18"/>
          <w:szCs w:val="18"/>
          <w:lang w:val="es-ES_tradnl"/>
        </w:rPr>
        <w:t>í</w:t>
      </w:r>
      <w:r>
        <w:rPr>
          <w:spacing w:val="-9"/>
          <w:sz w:val="18"/>
          <w:szCs w:val="18"/>
          <w:lang w:val="es-ES_tradnl"/>
        </w:rPr>
        <w:t xml:space="preserve"> tambi</w:t>
      </w:r>
      <w:r>
        <w:rPr>
          <w:rFonts w:cs="Times New Roman"/>
          <w:spacing w:val="-9"/>
          <w:sz w:val="18"/>
          <w:szCs w:val="18"/>
          <w:lang w:val="es-ES_tradnl"/>
        </w:rPr>
        <w:t>é</w:t>
      </w:r>
      <w:r>
        <w:rPr>
          <w:spacing w:val="-9"/>
          <w:sz w:val="18"/>
          <w:szCs w:val="18"/>
          <w:lang w:val="es-ES_tradnl"/>
        </w:rPr>
        <w:t xml:space="preserve">n manifiesta que la judicatura referida no se encontraba facultada para realizar una nueva </w:t>
      </w:r>
      <w:r>
        <w:rPr>
          <w:spacing w:val="-7"/>
          <w:sz w:val="18"/>
          <w:szCs w:val="18"/>
          <w:lang w:val="es-ES_tradnl"/>
        </w:rPr>
        <w:t>valoraci</w:t>
      </w:r>
      <w:r>
        <w:rPr>
          <w:rFonts w:cs="Times New Roman"/>
          <w:spacing w:val="-7"/>
          <w:sz w:val="18"/>
          <w:szCs w:val="18"/>
          <w:lang w:val="es-ES_tradnl"/>
        </w:rPr>
        <w:t>ó</w:t>
      </w:r>
      <w:r>
        <w:rPr>
          <w:spacing w:val="-7"/>
          <w:sz w:val="18"/>
          <w:szCs w:val="18"/>
          <w:lang w:val="es-ES_tradnl"/>
        </w:rPr>
        <w:t xml:space="preserve">n probatoria respecto de asuntos que ya fueron resueltos por parte de la segunda sala del Tribunal Distrital </w:t>
      </w:r>
      <w:r>
        <w:rPr>
          <w:sz w:val="18"/>
          <w:szCs w:val="18"/>
          <w:lang w:val="es-ES_tradnl"/>
        </w:rPr>
        <w:t>de lo Fiscal N.</w:t>
      </w:r>
      <w:r>
        <w:rPr>
          <w:rFonts w:cs="Times New Roman"/>
          <w:sz w:val="18"/>
          <w:szCs w:val="18"/>
          <w:lang w:val="es-ES_tradnl"/>
        </w:rPr>
        <w:t>°</w:t>
      </w:r>
      <w:r>
        <w:rPr>
          <w:sz w:val="18"/>
          <w:szCs w:val="18"/>
          <w:lang w:val="es-ES_tradnl"/>
        </w:rPr>
        <w:t xml:space="preserve"> 2 con sede en Guayaquil.</w:t>
      </w:r>
    </w:p>
    <w:p w14:paraId="4F67BA80" w14:textId="77777777" w:rsidR="00591D54" w:rsidRDefault="00591D54">
      <w:pPr>
        <w:shd w:val="clear" w:color="auto" w:fill="FFFFFF"/>
        <w:spacing w:before="192" w:line="211" w:lineRule="exact"/>
        <w:jc w:val="both"/>
      </w:pPr>
      <w:r>
        <w:rPr>
          <w:spacing w:val="-4"/>
          <w:sz w:val="18"/>
          <w:szCs w:val="18"/>
          <w:lang w:val="es-ES_tradnl"/>
        </w:rPr>
        <w:t>Se</w:t>
      </w:r>
      <w:r>
        <w:rPr>
          <w:rFonts w:cs="Times New Roman"/>
          <w:spacing w:val="-4"/>
          <w:sz w:val="18"/>
          <w:szCs w:val="18"/>
          <w:lang w:val="es-ES_tradnl"/>
        </w:rPr>
        <w:t>ñ</w:t>
      </w:r>
      <w:r>
        <w:rPr>
          <w:spacing w:val="-4"/>
          <w:sz w:val="18"/>
          <w:szCs w:val="18"/>
          <w:lang w:val="es-ES_tradnl"/>
        </w:rPr>
        <w:t xml:space="preserve">ala el legitimado activo que el Servicio de Rentas </w:t>
      </w:r>
      <w:r>
        <w:rPr>
          <w:spacing w:val="-8"/>
          <w:sz w:val="18"/>
          <w:szCs w:val="18"/>
          <w:lang w:val="es-ES_tradnl"/>
        </w:rPr>
        <w:t>Internas fundament</w:t>
      </w:r>
      <w:r>
        <w:rPr>
          <w:rFonts w:cs="Times New Roman"/>
          <w:spacing w:val="-8"/>
          <w:sz w:val="18"/>
          <w:szCs w:val="18"/>
          <w:lang w:val="es-ES_tradnl"/>
        </w:rPr>
        <w:t>ó</w:t>
      </w:r>
      <w:r>
        <w:rPr>
          <w:spacing w:val="-8"/>
          <w:sz w:val="18"/>
          <w:szCs w:val="18"/>
          <w:lang w:val="es-ES_tradnl"/>
        </w:rPr>
        <w:t xml:space="preserve"> el recurso extraordinario de casaci</w:t>
      </w:r>
      <w:r>
        <w:rPr>
          <w:rFonts w:cs="Times New Roman"/>
          <w:spacing w:val="-8"/>
          <w:sz w:val="18"/>
          <w:szCs w:val="18"/>
          <w:lang w:val="es-ES_tradnl"/>
        </w:rPr>
        <w:t>ó</w:t>
      </w:r>
      <w:r>
        <w:rPr>
          <w:spacing w:val="-8"/>
          <w:sz w:val="18"/>
          <w:szCs w:val="18"/>
          <w:lang w:val="es-ES_tradnl"/>
        </w:rPr>
        <w:t>n en las causales primera, cuarta y quinta del art</w:t>
      </w:r>
      <w:r>
        <w:rPr>
          <w:rFonts w:cs="Times New Roman"/>
          <w:spacing w:val="-8"/>
          <w:sz w:val="18"/>
          <w:szCs w:val="18"/>
          <w:lang w:val="es-ES_tradnl"/>
        </w:rPr>
        <w:t>í</w:t>
      </w:r>
      <w:r>
        <w:rPr>
          <w:spacing w:val="-8"/>
          <w:sz w:val="18"/>
          <w:szCs w:val="18"/>
          <w:lang w:val="es-ES_tradnl"/>
        </w:rPr>
        <w:t xml:space="preserve">culo 3 de la </w:t>
      </w:r>
      <w:r>
        <w:rPr>
          <w:spacing w:val="-10"/>
          <w:sz w:val="18"/>
          <w:szCs w:val="18"/>
          <w:lang w:val="es-ES_tradnl"/>
        </w:rPr>
        <w:t>Ley de Casaci</w:t>
      </w:r>
      <w:r>
        <w:rPr>
          <w:rFonts w:cs="Times New Roman"/>
          <w:spacing w:val="-10"/>
          <w:sz w:val="18"/>
          <w:szCs w:val="18"/>
          <w:lang w:val="es-ES_tradnl"/>
        </w:rPr>
        <w:t>ó</w:t>
      </w:r>
      <w:r>
        <w:rPr>
          <w:spacing w:val="-10"/>
          <w:sz w:val="18"/>
          <w:szCs w:val="18"/>
          <w:lang w:val="es-ES_tradnl"/>
        </w:rPr>
        <w:t xml:space="preserve">n y que es respecto de aquellas alegaciones </w:t>
      </w:r>
      <w:r>
        <w:rPr>
          <w:spacing w:val="-9"/>
          <w:sz w:val="18"/>
          <w:szCs w:val="18"/>
          <w:lang w:val="es-ES_tradnl"/>
        </w:rPr>
        <w:t xml:space="preserve">que la Sala Especializada de lo Contencioso Tributario de la </w:t>
      </w:r>
      <w:r>
        <w:rPr>
          <w:spacing w:val="-6"/>
          <w:sz w:val="18"/>
          <w:szCs w:val="18"/>
          <w:lang w:val="es-ES_tradnl"/>
        </w:rPr>
        <w:t>Corte Nacional de Justicia debi</w:t>
      </w:r>
      <w:r>
        <w:rPr>
          <w:rFonts w:cs="Times New Roman"/>
          <w:spacing w:val="-6"/>
          <w:sz w:val="18"/>
          <w:szCs w:val="18"/>
          <w:lang w:val="es-ES_tradnl"/>
        </w:rPr>
        <w:t>ó</w:t>
      </w:r>
      <w:r>
        <w:rPr>
          <w:spacing w:val="-6"/>
          <w:sz w:val="18"/>
          <w:szCs w:val="18"/>
          <w:lang w:val="es-ES_tradnl"/>
        </w:rPr>
        <w:t xml:space="preserve"> limitar su an</w:t>
      </w:r>
      <w:r>
        <w:rPr>
          <w:rFonts w:cs="Times New Roman"/>
          <w:spacing w:val="-6"/>
          <w:sz w:val="18"/>
          <w:szCs w:val="18"/>
          <w:lang w:val="es-ES_tradnl"/>
        </w:rPr>
        <w:t>á</w:t>
      </w:r>
      <w:r>
        <w:rPr>
          <w:spacing w:val="-6"/>
          <w:sz w:val="18"/>
          <w:szCs w:val="18"/>
          <w:lang w:val="es-ES_tradnl"/>
        </w:rPr>
        <w:t>lisis.</w:t>
      </w:r>
    </w:p>
    <w:p w14:paraId="4F67BA81" w14:textId="77777777" w:rsidR="00591D54" w:rsidRDefault="00591D54">
      <w:pPr>
        <w:shd w:val="clear" w:color="auto" w:fill="FFFFFF"/>
        <w:spacing w:before="192" w:line="211" w:lineRule="exact"/>
        <w:jc w:val="both"/>
      </w:pPr>
      <w:r>
        <w:rPr>
          <w:spacing w:val="-10"/>
          <w:sz w:val="18"/>
          <w:szCs w:val="18"/>
          <w:lang w:val="es-ES_tradnl"/>
        </w:rPr>
        <w:t xml:space="preserve">Manifiesta el accionante que las autoridades jurisdiccionales </w:t>
      </w:r>
      <w:r>
        <w:rPr>
          <w:spacing w:val="-7"/>
          <w:sz w:val="18"/>
          <w:szCs w:val="18"/>
          <w:lang w:val="es-ES_tradnl"/>
        </w:rPr>
        <w:t xml:space="preserve">integrantes de la Sala Especializada de lo Contencioso </w:t>
      </w:r>
      <w:r>
        <w:rPr>
          <w:spacing w:val="-5"/>
          <w:sz w:val="18"/>
          <w:szCs w:val="18"/>
          <w:lang w:val="es-ES_tradnl"/>
        </w:rPr>
        <w:t xml:space="preserve">Tributario de la Corte Nacional de Justicia valoraron la </w:t>
      </w:r>
      <w:r>
        <w:rPr>
          <w:spacing w:val="-6"/>
          <w:sz w:val="18"/>
          <w:szCs w:val="18"/>
          <w:lang w:val="es-ES_tradnl"/>
        </w:rPr>
        <w:t>prueba en franca contradicci</w:t>
      </w:r>
      <w:r>
        <w:rPr>
          <w:rFonts w:cs="Times New Roman"/>
          <w:spacing w:val="-6"/>
          <w:sz w:val="18"/>
          <w:szCs w:val="18"/>
          <w:lang w:val="es-ES_tradnl"/>
        </w:rPr>
        <w:t>ó</w:t>
      </w:r>
      <w:r>
        <w:rPr>
          <w:spacing w:val="-6"/>
          <w:sz w:val="18"/>
          <w:szCs w:val="18"/>
          <w:lang w:val="es-ES_tradnl"/>
        </w:rPr>
        <w:t xml:space="preserve">n con lo determinado en el </w:t>
      </w:r>
      <w:r>
        <w:rPr>
          <w:spacing w:val="-5"/>
          <w:sz w:val="18"/>
          <w:szCs w:val="18"/>
          <w:lang w:val="es-ES_tradnl"/>
        </w:rPr>
        <w:t>ordenamiento jur</w:t>
      </w:r>
      <w:r>
        <w:rPr>
          <w:rFonts w:cs="Times New Roman"/>
          <w:spacing w:val="-5"/>
          <w:sz w:val="18"/>
          <w:szCs w:val="18"/>
          <w:lang w:val="es-ES_tradnl"/>
        </w:rPr>
        <w:t>í</w:t>
      </w:r>
      <w:r>
        <w:rPr>
          <w:spacing w:val="-5"/>
          <w:sz w:val="18"/>
          <w:szCs w:val="18"/>
          <w:lang w:val="es-ES_tradnl"/>
        </w:rPr>
        <w:t>dico ecuatoriano as</w:t>
      </w:r>
      <w:r>
        <w:rPr>
          <w:rFonts w:cs="Times New Roman"/>
          <w:spacing w:val="-5"/>
          <w:sz w:val="18"/>
          <w:szCs w:val="18"/>
          <w:lang w:val="es-ES_tradnl"/>
        </w:rPr>
        <w:t>í</w:t>
      </w:r>
      <w:r>
        <w:rPr>
          <w:spacing w:val="-5"/>
          <w:sz w:val="18"/>
          <w:szCs w:val="18"/>
          <w:lang w:val="es-ES_tradnl"/>
        </w:rPr>
        <w:t xml:space="preserve"> como tambi</w:t>
      </w:r>
      <w:r>
        <w:rPr>
          <w:rFonts w:cs="Times New Roman"/>
          <w:spacing w:val="-5"/>
          <w:sz w:val="18"/>
          <w:szCs w:val="18"/>
          <w:lang w:val="es-ES_tradnl"/>
        </w:rPr>
        <w:t>é</w:t>
      </w:r>
      <w:r>
        <w:rPr>
          <w:spacing w:val="-5"/>
          <w:sz w:val="18"/>
          <w:szCs w:val="18"/>
          <w:lang w:val="es-ES_tradnl"/>
        </w:rPr>
        <w:t xml:space="preserve">n con </w:t>
      </w:r>
      <w:r>
        <w:rPr>
          <w:spacing w:val="-7"/>
          <w:sz w:val="18"/>
          <w:szCs w:val="18"/>
          <w:lang w:val="es-ES_tradnl"/>
        </w:rPr>
        <w:t>lo establecido en la diversa jurisprudencia, por lo que a su criterio se extralimitaron en sus competencias.</w:t>
      </w:r>
    </w:p>
    <w:p w14:paraId="4F67BA82" w14:textId="77777777" w:rsidR="00591D54" w:rsidRDefault="00591D54">
      <w:pPr>
        <w:shd w:val="clear" w:color="auto" w:fill="FFFFFF"/>
        <w:spacing w:before="192" w:line="211" w:lineRule="exact"/>
        <w:jc w:val="both"/>
      </w:pPr>
      <w:r>
        <w:rPr>
          <w:spacing w:val="-5"/>
          <w:sz w:val="18"/>
          <w:szCs w:val="18"/>
          <w:lang w:val="es-ES_tradnl"/>
        </w:rPr>
        <w:t xml:space="preserve">Expone que la autoridad jurisdiccional de instancia de </w:t>
      </w:r>
      <w:r>
        <w:rPr>
          <w:spacing w:val="-2"/>
          <w:sz w:val="18"/>
          <w:szCs w:val="18"/>
          <w:lang w:val="es-ES_tradnl"/>
        </w:rPr>
        <w:t>conformidad con las reglas de la sana cr</w:t>
      </w:r>
      <w:r>
        <w:rPr>
          <w:rFonts w:cs="Times New Roman"/>
          <w:spacing w:val="-2"/>
          <w:sz w:val="18"/>
          <w:szCs w:val="18"/>
          <w:lang w:val="es-ES_tradnl"/>
        </w:rPr>
        <w:t>í</w:t>
      </w:r>
      <w:r>
        <w:rPr>
          <w:spacing w:val="-2"/>
          <w:sz w:val="18"/>
          <w:szCs w:val="18"/>
          <w:lang w:val="es-ES_tradnl"/>
        </w:rPr>
        <w:t>tica apreci</w:t>
      </w:r>
      <w:r>
        <w:rPr>
          <w:rFonts w:cs="Times New Roman"/>
          <w:spacing w:val="-2"/>
          <w:sz w:val="18"/>
          <w:szCs w:val="18"/>
          <w:lang w:val="es-ES_tradnl"/>
        </w:rPr>
        <w:t>ó</w:t>
      </w:r>
      <w:r>
        <w:rPr>
          <w:spacing w:val="-2"/>
          <w:sz w:val="18"/>
          <w:szCs w:val="18"/>
          <w:lang w:val="es-ES_tradnl"/>
        </w:rPr>
        <w:t xml:space="preserve"> y </w:t>
      </w:r>
      <w:r>
        <w:rPr>
          <w:spacing w:val="-8"/>
          <w:sz w:val="18"/>
          <w:szCs w:val="18"/>
          <w:lang w:val="es-ES_tradnl"/>
        </w:rPr>
        <w:t>se pronunci</w:t>
      </w:r>
      <w:r>
        <w:rPr>
          <w:rFonts w:cs="Times New Roman"/>
          <w:spacing w:val="-8"/>
          <w:sz w:val="18"/>
          <w:szCs w:val="18"/>
          <w:lang w:val="es-ES_tradnl"/>
        </w:rPr>
        <w:t>ó</w:t>
      </w:r>
      <w:r>
        <w:rPr>
          <w:spacing w:val="-8"/>
          <w:sz w:val="18"/>
          <w:szCs w:val="18"/>
          <w:lang w:val="es-ES_tradnl"/>
        </w:rPr>
        <w:t xml:space="preserve"> sobre la prueba actuada dentro del proceso, </w:t>
      </w:r>
      <w:r>
        <w:rPr>
          <w:spacing w:val="-7"/>
          <w:sz w:val="18"/>
          <w:szCs w:val="18"/>
          <w:lang w:val="es-ES_tradnl"/>
        </w:rPr>
        <w:t xml:space="preserve">por lo que considera que la Sala de la Corte Nacional de </w:t>
      </w:r>
      <w:r>
        <w:rPr>
          <w:spacing w:val="-6"/>
          <w:sz w:val="18"/>
          <w:szCs w:val="18"/>
          <w:lang w:val="es-ES_tradnl"/>
        </w:rPr>
        <w:t xml:space="preserve">Justicia no se encontraba facultada para emitir un nuevo </w:t>
      </w:r>
      <w:r>
        <w:rPr>
          <w:spacing w:val="-10"/>
          <w:sz w:val="18"/>
          <w:szCs w:val="18"/>
          <w:lang w:val="es-ES_tradnl"/>
        </w:rPr>
        <w:t xml:space="preserve">pronunciamiento respecto a diligencias que fueron atendidas </w:t>
      </w:r>
      <w:r>
        <w:rPr>
          <w:spacing w:val="-8"/>
          <w:sz w:val="18"/>
          <w:szCs w:val="18"/>
          <w:lang w:val="es-ES_tradnl"/>
        </w:rPr>
        <w:t>previamente y menos aun cuando el casacionista no aleg</w:t>
      </w:r>
      <w:r>
        <w:rPr>
          <w:rFonts w:cs="Times New Roman"/>
          <w:spacing w:val="-8"/>
          <w:sz w:val="18"/>
          <w:szCs w:val="18"/>
          <w:lang w:val="es-ES_tradnl"/>
        </w:rPr>
        <w:t xml:space="preserve">ó </w:t>
      </w:r>
      <w:r>
        <w:rPr>
          <w:spacing w:val="-7"/>
          <w:sz w:val="18"/>
          <w:szCs w:val="18"/>
          <w:lang w:val="es-ES_tradnl"/>
        </w:rPr>
        <w:t xml:space="preserve">en la demanda contentiva del recurso extraordinario de </w:t>
      </w:r>
      <w:r>
        <w:rPr>
          <w:sz w:val="18"/>
          <w:szCs w:val="18"/>
          <w:lang w:val="es-ES_tradnl"/>
        </w:rPr>
        <w:t>casaci</w:t>
      </w:r>
      <w:r>
        <w:rPr>
          <w:rFonts w:cs="Times New Roman"/>
          <w:sz w:val="18"/>
          <w:szCs w:val="18"/>
          <w:lang w:val="es-ES_tradnl"/>
        </w:rPr>
        <w:t>ó</w:t>
      </w:r>
      <w:r>
        <w:rPr>
          <w:sz w:val="18"/>
          <w:szCs w:val="18"/>
          <w:lang w:val="es-ES_tradnl"/>
        </w:rPr>
        <w:t>n la causal tercera.</w:t>
      </w:r>
    </w:p>
    <w:p w14:paraId="4F67BA83" w14:textId="77777777" w:rsidR="00591D54" w:rsidRDefault="00591D54">
      <w:pPr>
        <w:shd w:val="clear" w:color="auto" w:fill="FFFFFF"/>
        <w:spacing w:before="192" w:line="211" w:lineRule="exact"/>
        <w:jc w:val="both"/>
        <w:sectPr w:rsidR="00591D54">
          <w:type w:val="continuous"/>
          <w:pgSz w:w="11909" w:h="16834"/>
          <w:pgMar w:top="1363" w:right="1309" w:bottom="360" w:left="1308" w:header="720" w:footer="720" w:gutter="0"/>
          <w:cols w:num="2" w:space="720" w:equalWidth="0">
            <w:col w:w="4305" w:space="682"/>
            <w:col w:w="4305"/>
          </w:cols>
          <w:noEndnote/>
        </w:sectPr>
      </w:pPr>
    </w:p>
    <w:p w14:paraId="4F67BA84" w14:textId="77777777" w:rsidR="00591D54" w:rsidRDefault="00591D54">
      <w:pPr>
        <w:shd w:val="clear" w:color="auto" w:fill="FFFFFF"/>
        <w:tabs>
          <w:tab w:val="left" w:pos="5842"/>
        </w:tabs>
        <w:spacing w:after="221"/>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- 279</w:t>
      </w:r>
    </w:p>
    <w:p w14:paraId="4F67BA85" w14:textId="77777777" w:rsidR="00591D54" w:rsidRDefault="00591D54">
      <w:pPr>
        <w:shd w:val="clear" w:color="auto" w:fill="FFFFFF"/>
        <w:tabs>
          <w:tab w:val="left" w:pos="5842"/>
        </w:tabs>
        <w:spacing w:after="221"/>
        <w:ind w:left="5"/>
        <w:sectPr w:rsidR="00591D54">
          <w:pgSz w:w="11909" w:h="16834"/>
          <w:pgMar w:top="1383" w:right="1309" w:bottom="360" w:left="1308" w:header="720" w:footer="720" w:gutter="0"/>
          <w:cols w:space="60"/>
          <w:noEndnote/>
        </w:sectPr>
      </w:pPr>
    </w:p>
    <w:p w14:paraId="4F67BA86" w14:textId="77777777" w:rsidR="00591D54" w:rsidRDefault="00591D54">
      <w:pPr>
        <w:shd w:val="clear" w:color="auto" w:fill="FFFFFF"/>
        <w:spacing w:before="14" w:line="216" w:lineRule="exact"/>
        <w:ind w:right="5"/>
        <w:jc w:val="both"/>
      </w:pPr>
      <w:r>
        <w:rPr>
          <w:spacing w:val="-7"/>
          <w:sz w:val="18"/>
          <w:szCs w:val="18"/>
          <w:lang w:val="es-ES_tradnl"/>
        </w:rPr>
        <w:t>Considera que la decisi</w:t>
      </w:r>
      <w:r>
        <w:rPr>
          <w:rFonts w:cs="Times New Roman"/>
          <w:spacing w:val="-7"/>
          <w:sz w:val="18"/>
          <w:szCs w:val="18"/>
          <w:lang w:val="es-ES_tradnl"/>
        </w:rPr>
        <w:t>ó</w:t>
      </w:r>
      <w:r>
        <w:rPr>
          <w:spacing w:val="-7"/>
          <w:sz w:val="18"/>
          <w:szCs w:val="18"/>
          <w:lang w:val="es-ES_tradnl"/>
        </w:rPr>
        <w:t>n objeto de la presente garant</w:t>
      </w:r>
      <w:r>
        <w:rPr>
          <w:rFonts w:cs="Times New Roman"/>
          <w:spacing w:val="-7"/>
          <w:sz w:val="18"/>
          <w:szCs w:val="18"/>
          <w:lang w:val="es-ES_tradnl"/>
        </w:rPr>
        <w:t>í</w:t>
      </w:r>
      <w:r>
        <w:rPr>
          <w:spacing w:val="-7"/>
          <w:sz w:val="18"/>
          <w:szCs w:val="18"/>
          <w:lang w:val="es-ES_tradnl"/>
        </w:rPr>
        <w:t xml:space="preserve">a </w:t>
      </w:r>
      <w:r>
        <w:rPr>
          <w:spacing w:val="-6"/>
          <w:sz w:val="18"/>
          <w:szCs w:val="18"/>
          <w:lang w:val="es-ES_tradnl"/>
        </w:rPr>
        <w:t xml:space="preserve">jurisdiccional no se encuentra debidamente motivada ya </w:t>
      </w:r>
      <w:r>
        <w:rPr>
          <w:spacing w:val="-7"/>
          <w:sz w:val="18"/>
          <w:szCs w:val="18"/>
          <w:lang w:val="es-ES_tradnl"/>
        </w:rPr>
        <w:t>que no se sustenta en fundamentos jur</w:t>
      </w:r>
      <w:r>
        <w:rPr>
          <w:rFonts w:cs="Times New Roman"/>
          <w:spacing w:val="-7"/>
          <w:sz w:val="18"/>
          <w:szCs w:val="18"/>
          <w:lang w:val="es-ES_tradnl"/>
        </w:rPr>
        <w:t>í</w:t>
      </w:r>
      <w:r>
        <w:rPr>
          <w:spacing w:val="-7"/>
          <w:sz w:val="18"/>
          <w:szCs w:val="18"/>
          <w:lang w:val="es-ES_tradnl"/>
        </w:rPr>
        <w:t>dicos v</w:t>
      </w:r>
      <w:r>
        <w:rPr>
          <w:rFonts w:cs="Times New Roman"/>
          <w:spacing w:val="-7"/>
          <w:sz w:val="18"/>
          <w:szCs w:val="18"/>
          <w:lang w:val="es-ES_tradnl"/>
        </w:rPr>
        <w:t>á</w:t>
      </w:r>
      <w:r>
        <w:rPr>
          <w:spacing w:val="-7"/>
          <w:sz w:val="18"/>
          <w:szCs w:val="18"/>
          <w:lang w:val="es-ES_tradnl"/>
        </w:rPr>
        <w:t>lidos as</w:t>
      </w:r>
      <w:r>
        <w:rPr>
          <w:rFonts w:cs="Times New Roman"/>
          <w:spacing w:val="-7"/>
          <w:sz w:val="18"/>
          <w:szCs w:val="18"/>
          <w:lang w:val="es-ES_tradnl"/>
        </w:rPr>
        <w:t xml:space="preserve">í </w:t>
      </w:r>
      <w:r>
        <w:rPr>
          <w:spacing w:val="-7"/>
          <w:sz w:val="18"/>
          <w:szCs w:val="18"/>
          <w:lang w:val="es-ES_tradnl"/>
        </w:rPr>
        <w:t>como tambi</w:t>
      </w:r>
      <w:r>
        <w:rPr>
          <w:rFonts w:cs="Times New Roman"/>
          <w:spacing w:val="-7"/>
          <w:sz w:val="18"/>
          <w:szCs w:val="18"/>
          <w:lang w:val="es-ES_tradnl"/>
        </w:rPr>
        <w:t>é</w:t>
      </w:r>
      <w:r>
        <w:rPr>
          <w:spacing w:val="-7"/>
          <w:sz w:val="18"/>
          <w:szCs w:val="18"/>
          <w:lang w:val="es-ES_tradnl"/>
        </w:rPr>
        <w:t>n por cuanto la Sala de la Corte Nacional de Justicia se pronunci</w:t>
      </w:r>
      <w:r>
        <w:rPr>
          <w:rFonts w:cs="Times New Roman"/>
          <w:spacing w:val="-7"/>
          <w:sz w:val="18"/>
          <w:szCs w:val="18"/>
          <w:lang w:val="es-ES_tradnl"/>
        </w:rPr>
        <w:t>ó</w:t>
      </w:r>
      <w:r>
        <w:rPr>
          <w:spacing w:val="-7"/>
          <w:sz w:val="18"/>
          <w:szCs w:val="18"/>
          <w:lang w:val="es-ES_tradnl"/>
        </w:rPr>
        <w:t xml:space="preserve"> respecto a asuntos que no fueron alegados por parte del Servicio de Rentas Internas en su </w:t>
      </w:r>
      <w:r>
        <w:rPr>
          <w:sz w:val="18"/>
          <w:szCs w:val="18"/>
          <w:lang w:val="es-ES_tradnl"/>
        </w:rPr>
        <w:t>recurso extraordinario de casaci</w:t>
      </w:r>
      <w:r>
        <w:rPr>
          <w:rFonts w:cs="Times New Roman"/>
          <w:sz w:val="18"/>
          <w:szCs w:val="18"/>
          <w:lang w:val="es-ES_tradnl"/>
        </w:rPr>
        <w:t>ó</w:t>
      </w:r>
      <w:r>
        <w:rPr>
          <w:sz w:val="18"/>
          <w:szCs w:val="18"/>
          <w:lang w:val="es-ES_tradnl"/>
        </w:rPr>
        <w:t>n.</w:t>
      </w:r>
    </w:p>
    <w:p w14:paraId="4F67BA87" w14:textId="77777777" w:rsidR="00591D54" w:rsidRDefault="00591D54">
      <w:pPr>
        <w:shd w:val="clear" w:color="auto" w:fill="FFFFFF"/>
        <w:spacing w:before="192" w:line="216" w:lineRule="exact"/>
        <w:ind w:right="10"/>
        <w:jc w:val="both"/>
      </w:pPr>
      <w:r>
        <w:rPr>
          <w:b/>
          <w:bCs/>
          <w:spacing w:val="-13"/>
          <w:sz w:val="18"/>
          <w:szCs w:val="18"/>
          <w:lang w:val="es-ES_tradnl"/>
        </w:rPr>
        <w:t>Identificaci</w:t>
      </w:r>
      <w:r>
        <w:rPr>
          <w:rFonts w:cs="Times New Roman"/>
          <w:b/>
          <w:bCs/>
          <w:spacing w:val="-13"/>
          <w:sz w:val="18"/>
          <w:szCs w:val="18"/>
          <w:lang w:val="es-ES_tradnl"/>
        </w:rPr>
        <w:t>ó</w:t>
      </w:r>
      <w:r>
        <w:rPr>
          <w:b/>
          <w:bCs/>
          <w:spacing w:val="-13"/>
          <w:sz w:val="18"/>
          <w:szCs w:val="18"/>
          <w:lang w:val="es-ES_tradnl"/>
        </w:rPr>
        <w:t xml:space="preserve">n de los derechos presuntamente vulnerados </w:t>
      </w:r>
      <w:r>
        <w:rPr>
          <w:b/>
          <w:bCs/>
          <w:sz w:val="18"/>
          <w:szCs w:val="18"/>
          <w:lang w:val="es-ES_tradnl"/>
        </w:rPr>
        <w:t>por la decisi</w:t>
      </w:r>
      <w:r>
        <w:rPr>
          <w:rFonts w:cs="Times New Roman"/>
          <w:b/>
          <w:bCs/>
          <w:sz w:val="18"/>
          <w:szCs w:val="18"/>
          <w:lang w:val="es-ES_tradnl"/>
        </w:rPr>
        <w:t>ó</w:t>
      </w:r>
      <w:r>
        <w:rPr>
          <w:b/>
          <w:bCs/>
          <w:sz w:val="18"/>
          <w:szCs w:val="18"/>
          <w:lang w:val="es-ES_tradnl"/>
        </w:rPr>
        <w:t>n judicial.</w:t>
      </w:r>
    </w:p>
    <w:p w14:paraId="4F67BA88" w14:textId="77777777" w:rsidR="00591D54" w:rsidRDefault="00591D54">
      <w:pPr>
        <w:shd w:val="clear" w:color="auto" w:fill="FFFFFF"/>
        <w:spacing w:before="197" w:line="216" w:lineRule="exact"/>
        <w:ind w:right="10"/>
        <w:jc w:val="both"/>
      </w:pPr>
      <w:r>
        <w:rPr>
          <w:spacing w:val="-4"/>
          <w:sz w:val="18"/>
          <w:szCs w:val="18"/>
          <w:lang w:val="es-ES_tradnl"/>
        </w:rPr>
        <w:t xml:space="preserve">El legitimado activo manifiesta que los derechos </w:t>
      </w:r>
      <w:r>
        <w:rPr>
          <w:spacing w:val="-6"/>
          <w:sz w:val="18"/>
          <w:szCs w:val="18"/>
          <w:lang w:val="es-ES_tradnl"/>
        </w:rPr>
        <w:t>constitucionales vulnerados mediante la expedici</w:t>
      </w:r>
      <w:r>
        <w:rPr>
          <w:rFonts w:cs="Times New Roman"/>
          <w:spacing w:val="-6"/>
          <w:sz w:val="18"/>
          <w:szCs w:val="18"/>
          <w:lang w:val="es-ES_tradnl"/>
        </w:rPr>
        <w:t>ó</w:t>
      </w:r>
      <w:r>
        <w:rPr>
          <w:spacing w:val="-6"/>
          <w:sz w:val="18"/>
          <w:szCs w:val="18"/>
          <w:lang w:val="es-ES_tradnl"/>
        </w:rPr>
        <w:t xml:space="preserve">n de la </w:t>
      </w:r>
      <w:r>
        <w:rPr>
          <w:spacing w:val="-7"/>
          <w:sz w:val="18"/>
          <w:szCs w:val="18"/>
          <w:lang w:val="es-ES_tradnl"/>
        </w:rPr>
        <w:t>sentencia impugnada son los establecidos en los art</w:t>
      </w:r>
      <w:r>
        <w:rPr>
          <w:rFonts w:cs="Times New Roman"/>
          <w:spacing w:val="-7"/>
          <w:sz w:val="18"/>
          <w:szCs w:val="18"/>
          <w:lang w:val="es-ES_tradnl"/>
        </w:rPr>
        <w:t>í</w:t>
      </w:r>
      <w:r>
        <w:rPr>
          <w:spacing w:val="-7"/>
          <w:sz w:val="18"/>
          <w:szCs w:val="18"/>
          <w:lang w:val="es-ES_tradnl"/>
        </w:rPr>
        <w:t xml:space="preserve">culos </w:t>
      </w:r>
      <w:r>
        <w:rPr>
          <w:spacing w:val="-8"/>
          <w:sz w:val="18"/>
          <w:szCs w:val="18"/>
          <w:lang w:val="es-ES_tradnl"/>
        </w:rPr>
        <w:t>11 numeral 2; 76 numeral 7 literal l) y 82 de la Constituci</w:t>
      </w:r>
      <w:r>
        <w:rPr>
          <w:rFonts w:cs="Times New Roman"/>
          <w:spacing w:val="-8"/>
          <w:sz w:val="18"/>
          <w:szCs w:val="18"/>
          <w:lang w:val="es-ES_tradnl"/>
        </w:rPr>
        <w:t>ó</w:t>
      </w:r>
      <w:r>
        <w:rPr>
          <w:spacing w:val="-8"/>
          <w:sz w:val="18"/>
          <w:szCs w:val="18"/>
          <w:lang w:val="es-ES_tradnl"/>
        </w:rPr>
        <w:t xml:space="preserve">n </w:t>
      </w:r>
      <w:r>
        <w:rPr>
          <w:sz w:val="18"/>
          <w:szCs w:val="18"/>
          <w:lang w:val="es-ES_tradnl"/>
        </w:rPr>
        <w:t>de la Rep</w:t>
      </w:r>
      <w:r>
        <w:rPr>
          <w:rFonts w:cs="Times New Roman"/>
          <w:sz w:val="18"/>
          <w:szCs w:val="18"/>
          <w:lang w:val="es-ES_tradnl"/>
        </w:rPr>
        <w:t>ú</w:t>
      </w:r>
      <w:r>
        <w:rPr>
          <w:sz w:val="18"/>
          <w:szCs w:val="18"/>
          <w:lang w:val="es-ES_tradnl"/>
        </w:rPr>
        <w:t>blica.</w:t>
      </w:r>
    </w:p>
    <w:p w14:paraId="4F67BA89" w14:textId="77777777" w:rsidR="00591D54" w:rsidRDefault="00591D54">
      <w:pPr>
        <w:shd w:val="clear" w:color="auto" w:fill="FFFFFF"/>
        <w:spacing w:before="192"/>
      </w:pPr>
      <w:r>
        <w:rPr>
          <w:b/>
          <w:bCs/>
          <w:spacing w:val="-11"/>
          <w:sz w:val="18"/>
          <w:szCs w:val="18"/>
          <w:lang w:val="es-ES_tradnl"/>
        </w:rPr>
        <w:t>Pretensi</w:t>
      </w:r>
      <w:r>
        <w:rPr>
          <w:rFonts w:cs="Times New Roman"/>
          <w:b/>
          <w:bCs/>
          <w:spacing w:val="-11"/>
          <w:sz w:val="18"/>
          <w:szCs w:val="18"/>
          <w:lang w:val="es-ES_tradnl"/>
        </w:rPr>
        <w:t>ó</w:t>
      </w:r>
      <w:r>
        <w:rPr>
          <w:b/>
          <w:bCs/>
          <w:spacing w:val="-11"/>
          <w:sz w:val="18"/>
          <w:szCs w:val="18"/>
          <w:lang w:val="es-ES_tradnl"/>
        </w:rPr>
        <w:t>n concreta</w:t>
      </w:r>
    </w:p>
    <w:p w14:paraId="4F67BA8A" w14:textId="77777777" w:rsidR="00591D54" w:rsidRDefault="00591D54">
      <w:pPr>
        <w:shd w:val="clear" w:color="auto" w:fill="FFFFFF"/>
        <w:spacing w:before="192"/>
      </w:pPr>
      <w:r>
        <w:rPr>
          <w:spacing w:val="-7"/>
          <w:sz w:val="18"/>
          <w:szCs w:val="18"/>
          <w:lang w:val="es-ES_tradnl"/>
        </w:rPr>
        <w:t>En atenci</w:t>
      </w:r>
      <w:r>
        <w:rPr>
          <w:rFonts w:cs="Times New Roman"/>
          <w:spacing w:val="-7"/>
          <w:sz w:val="18"/>
          <w:szCs w:val="18"/>
          <w:lang w:val="es-ES_tradnl"/>
        </w:rPr>
        <w:t>ó</w:t>
      </w:r>
      <w:r>
        <w:rPr>
          <w:spacing w:val="-7"/>
          <w:sz w:val="18"/>
          <w:szCs w:val="18"/>
          <w:lang w:val="es-ES_tradnl"/>
        </w:rPr>
        <w:t>n a lo mencionado solicita el accionante:</w:t>
      </w:r>
    </w:p>
    <w:p w14:paraId="4F67BA8B" w14:textId="77777777" w:rsidR="00591D54" w:rsidRDefault="00591D54">
      <w:pPr>
        <w:shd w:val="clear" w:color="auto" w:fill="FFFFFF"/>
        <w:spacing w:before="202" w:line="216" w:lineRule="exact"/>
        <w:ind w:left="283"/>
        <w:jc w:val="both"/>
      </w:pPr>
      <w:r>
        <w:rPr>
          <w:sz w:val="16"/>
          <w:szCs w:val="16"/>
          <w:lang w:val="es-ES_tradnl"/>
        </w:rPr>
        <w:t>Por lo aqu</w:t>
      </w:r>
      <w:r>
        <w:rPr>
          <w:rFonts w:cs="Times New Roman"/>
          <w:sz w:val="16"/>
          <w:szCs w:val="16"/>
          <w:lang w:val="es-ES_tradnl"/>
        </w:rPr>
        <w:t>í</w:t>
      </w:r>
      <w:r>
        <w:rPr>
          <w:sz w:val="16"/>
          <w:szCs w:val="16"/>
          <w:lang w:val="es-ES_tradnl"/>
        </w:rPr>
        <w:t xml:space="preserve"> se</w:t>
      </w:r>
      <w:r>
        <w:rPr>
          <w:rFonts w:cs="Times New Roman"/>
          <w:sz w:val="16"/>
          <w:szCs w:val="16"/>
          <w:lang w:val="es-ES_tradnl"/>
        </w:rPr>
        <w:t>ñ</w:t>
      </w:r>
      <w:r>
        <w:rPr>
          <w:sz w:val="16"/>
          <w:szCs w:val="16"/>
          <w:lang w:val="es-ES_tradnl"/>
        </w:rPr>
        <w:t xml:space="preserve">alado, solicito a la Corte Constitucional, </w:t>
      </w:r>
      <w:r>
        <w:rPr>
          <w:spacing w:val="-6"/>
          <w:sz w:val="16"/>
          <w:szCs w:val="16"/>
          <w:lang w:val="es-ES_tradnl"/>
        </w:rPr>
        <w:t>que en aras de una correcta administraci</w:t>
      </w:r>
      <w:r>
        <w:rPr>
          <w:rFonts w:cs="Times New Roman"/>
          <w:spacing w:val="-6"/>
          <w:sz w:val="16"/>
          <w:szCs w:val="16"/>
          <w:lang w:val="es-ES_tradnl"/>
        </w:rPr>
        <w:t>ó</w:t>
      </w:r>
      <w:r>
        <w:rPr>
          <w:spacing w:val="-6"/>
          <w:sz w:val="16"/>
          <w:szCs w:val="16"/>
          <w:lang w:val="es-ES_tradnl"/>
        </w:rPr>
        <w:t>n de justicia y en consecuencia con los postulados y principios del Estado Constitucional de derechos y justicia, disponga la reparaci</w:t>
      </w:r>
      <w:r>
        <w:rPr>
          <w:rFonts w:cs="Times New Roman"/>
          <w:spacing w:val="-6"/>
          <w:sz w:val="16"/>
          <w:szCs w:val="16"/>
          <w:lang w:val="es-ES_tradnl"/>
        </w:rPr>
        <w:t>ó</w:t>
      </w:r>
      <w:r>
        <w:rPr>
          <w:spacing w:val="-6"/>
          <w:sz w:val="16"/>
          <w:szCs w:val="16"/>
          <w:lang w:val="es-ES_tradnl"/>
        </w:rPr>
        <w:t xml:space="preserve">n </w:t>
      </w:r>
      <w:r>
        <w:rPr>
          <w:sz w:val="16"/>
          <w:szCs w:val="16"/>
          <w:lang w:val="es-ES_tradnl"/>
        </w:rPr>
        <w:t xml:space="preserve">integral de los derechos constitucionales vulnerados por </w:t>
      </w:r>
      <w:r>
        <w:rPr>
          <w:spacing w:val="-5"/>
          <w:sz w:val="16"/>
          <w:szCs w:val="16"/>
          <w:lang w:val="es-ES_tradnl"/>
        </w:rPr>
        <w:t>la decisi</w:t>
      </w:r>
      <w:r>
        <w:rPr>
          <w:rFonts w:cs="Times New Roman"/>
          <w:spacing w:val="-5"/>
          <w:sz w:val="16"/>
          <w:szCs w:val="16"/>
          <w:lang w:val="es-ES_tradnl"/>
        </w:rPr>
        <w:t>ó</w:t>
      </w:r>
      <w:r>
        <w:rPr>
          <w:spacing w:val="-5"/>
          <w:sz w:val="16"/>
          <w:szCs w:val="16"/>
          <w:lang w:val="es-ES_tradnl"/>
        </w:rPr>
        <w:t xml:space="preserve">n inconstitucional de la Sala Especializada de lo </w:t>
      </w:r>
      <w:r>
        <w:rPr>
          <w:sz w:val="16"/>
          <w:szCs w:val="16"/>
          <w:lang w:val="es-ES_tradnl"/>
        </w:rPr>
        <w:t xml:space="preserve">Contencioso Tributario de la Corte Nacional de Justicia </w:t>
      </w:r>
      <w:r>
        <w:rPr>
          <w:spacing w:val="-4"/>
          <w:sz w:val="16"/>
          <w:szCs w:val="16"/>
          <w:lang w:val="es-ES_tradnl"/>
        </w:rPr>
        <w:t xml:space="preserve">del Ecuador, </w:t>
      </w:r>
      <w:r>
        <w:rPr>
          <w:rFonts w:cs="Times New Roman"/>
          <w:spacing w:val="-4"/>
          <w:sz w:val="16"/>
          <w:szCs w:val="16"/>
          <w:lang w:val="es-ES_tradnl"/>
        </w:rPr>
        <w:t>ó</w:t>
      </w:r>
      <w:r>
        <w:rPr>
          <w:spacing w:val="-4"/>
          <w:sz w:val="16"/>
          <w:szCs w:val="16"/>
          <w:lang w:val="es-ES_tradnl"/>
        </w:rPr>
        <w:t xml:space="preserve">rgano jurisdiccional que ha efectuado una </w:t>
      </w:r>
      <w:r>
        <w:rPr>
          <w:spacing w:val="-5"/>
          <w:sz w:val="16"/>
          <w:szCs w:val="16"/>
          <w:lang w:val="es-ES_tradnl"/>
        </w:rPr>
        <w:t>evidente transgresi</w:t>
      </w:r>
      <w:r>
        <w:rPr>
          <w:rFonts w:cs="Times New Roman"/>
          <w:spacing w:val="-5"/>
          <w:sz w:val="16"/>
          <w:szCs w:val="16"/>
          <w:lang w:val="es-ES_tradnl"/>
        </w:rPr>
        <w:t>ó</w:t>
      </w:r>
      <w:r>
        <w:rPr>
          <w:spacing w:val="-5"/>
          <w:sz w:val="16"/>
          <w:szCs w:val="16"/>
          <w:lang w:val="es-ES_tradnl"/>
        </w:rPr>
        <w:t>n de los derechos constitucionales (</w:t>
      </w:r>
      <w:r>
        <w:rPr>
          <w:rFonts w:cs="Times New Roman"/>
          <w:spacing w:val="-5"/>
          <w:sz w:val="16"/>
          <w:szCs w:val="16"/>
          <w:lang w:val="es-ES_tradnl"/>
        </w:rPr>
        <w:t>…</w:t>
      </w:r>
      <w:r>
        <w:rPr>
          <w:spacing w:val="-5"/>
          <w:sz w:val="16"/>
          <w:szCs w:val="16"/>
          <w:lang w:val="es-ES_tradnl"/>
        </w:rPr>
        <w:t>) Con la intenci</w:t>
      </w:r>
      <w:r>
        <w:rPr>
          <w:rFonts w:cs="Times New Roman"/>
          <w:spacing w:val="-5"/>
          <w:sz w:val="16"/>
          <w:szCs w:val="16"/>
          <w:lang w:val="es-ES_tradnl"/>
        </w:rPr>
        <w:t>ó</w:t>
      </w:r>
      <w:r>
        <w:rPr>
          <w:spacing w:val="-5"/>
          <w:sz w:val="16"/>
          <w:szCs w:val="16"/>
          <w:lang w:val="es-ES_tradnl"/>
        </w:rPr>
        <w:t xml:space="preserve">n de reparar mis derechos constitucionales vulnerados, solicito se deje sin efecto la sentencia expedida </w:t>
      </w:r>
      <w:r>
        <w:rPr>
          <w:spacing w:val="-4"/>
          <w:sz w:val="16"/>
          <w:szCs w:val="16"/>
          <w:lang w:val="es-ES_tradnl"/>
        </w:rPr>
        <w:t>el d</w:t>
      </w:r>
      <w:r>
        <w:rPr>
          <w:rFonts w:cs="Times New Roman"/>
          <w:spacing w:val="-4"/>
          <w:sz w:val="16"/>
          <w:szCs w:val="16"/>
          <w:lang w:val="es-ES_tradnl"/>
        </w:rPr>
        <w:t>í</w:t>
      </w:r>
      <w:r>
        <w:rPr>
          <w:spacing w:val="-4"/>
          <w:sz w:val="16"/>
          <w:szCs w:val="16"/>
          <w:lang w:val="es-ES_tradnl"/>
        </w:rPr>
        <w:t xml:space="preserve">a 19 de Diciembre del 2014, a las 12H37, por la SALA </w:t>
      </w:r>
      <w:r>
        <w:rPr>
          <w:spacing w:val="-1"/>
          <w:sz w:val="16"/>
          <w:szCs w:val="16"/>
          <w:lang w:val="es-ES_tradnl"/>
        </w:rPr>
        <w:t xml:space="preserve">ESPECIALIZADA DE LO CONTENCIOSO TRIBUTARIO </w:t>
      </w:r>
      <w:r>
        <w:rPr>
          <w:spacing w:val="-5"/>
          <w:sz w:val="16"/>
          <w:szCs w:val="16"/>
          <w:lang w:val="es-ES_tradnl"/>
        </w:rPr>
        <w:t xml:space="preserve">DE LA CORTE NACIONAL DE JUSTICIA DEL ECUADOR, </w:t>
      </w:r>
      <w:r>
        <w:rPr>
          <w:spacing w:val="-7"/>
          <w:sz w:val="16"/>
          <w:szCs w:val="16"/>
          <w:lang w:val="es-ES_tradnl"/>
        </w:rPr>
        <w:t xml:space="preserve">dentro del Proceso N.ᵒ 17751-2012-0411, hasta que la Corte </w:t>
      </w:r>
      <w:r>
        <w:rPr>
          <w:spacing w:val="-6"/>
          <w:sz w:val="16"/>
          <w:szCs w:val="16"/>
          <w:lang w:val="es-ES_tradnl"/>
        </w:rPr>
        <w:t>Constitucional emita su resoluci</w:t>
      </w:r>
      <w:r>
        <w:rPr>
          <w:rFonts w:cs="Times New Roman"/>
          <w:spacing w:val="-6"/>
          <w:sz w:val="16"/>
          <w:szCs w:val="16"/>
          <w:lang w:val="es-ES_tradnl"/>
        </w:rPr>
        <w:t>ó</w:t>
      </w:r>
      <w:r>
        <w:rPr>
          <w:spacing w:val="-6"/>
          <w:sz w:val="16"/>
          <w:szCs w:val="16"/>
          <w:lang w:val="es-ES_tradnl"/>
        </w:rPr>
        <w:t xml:space="preserve">n, y consecuentemente se </w:t>
      </w:r>
      <w:r>
        <w:rPr>
          <w:spacing w:val="-3"/>
          <w:sz w:val="16"/>
          <w:szCs w:val="16"/>
          <w:lang w:val="es-ES_tradnl"/>
        </w:rPr>
        <w:t xml:space="preserve">deje con validez la sentencia dictada por la Segunda Sala </w:t>
      </w:r>
      <w:r>
        <w:rPr>
          <w:spacing w:val="-6"/>
          <w:sz w:val="16"/>
          <w:szCs w:val="16"/>
          <w:lang w:val="es-ES_tradnl"/>
        </w:rPr>
        <w:t xml:space="preserve">del Tribunal Distrital de lo Fiscal N.ᵒ 2 con sede en la ciudad </w:t>
      </w:r>
      <w:r>
        <w:rPr>
          <w:spacing w:val="-5"/>
          <w:sz w:val="16"/>
          <w:szCs w:val="16"/>
          <w:lang w:val="es-ES_tradnl"/>
        </w:rPr>
        <w:t xml:space="preserve">de Guayaquil, fallo expedido con estricto apego a la Norma </w:t>
      </w:r>
      <w:r>
        <w:rPr>
          <w:sz w:val="16"/>
          <w:szCs w:val="16"/>
          <w:lang w:val="es-ES_tradnl"/>
        </w:rPr>
        <w:t>Constitucional.</w:t>
      </w:r>
    </w:p>
    <w:p w14:paraId="4F67BA8C" w14:textId="77777777" w:rsidR="00591D54" w:rsidRDefault="00591D54">
      <w:pPr>
        <w:shd w:val="clear" w:color="auto" w:fill="FFFFFF"/>
        <w:spacing w:before="197"/>
      </w:pPr>
      <w:r>
        <w:rPr>
          <w:b/>
          <w:bCs/>
          <w:spacing w:val="-8"/>
          <w:sz w:val="18"/>
          <w:szCs w:val="18"/>
          <w:lang w:val="es-ES_tradnl"/>
        </w:rPr>
        <w:t>Decisi</w:t>
      </w:r>
      <w:r>
        <w:rPr>
          <w:rFonts w:cs="Times New Roman"/>
          <w:b/>
          <w:bCs/>
          <w:spacing w:val="-8"/>
          <w:sz w:val="18"/>
          <w:szCs w:val="18"/>
          <w:lang w:val="es-ES_tradnl"/>
        </w:rPr>
        <w:t>ó</w:t>
      </w:r>
      <w:r>
        <w:rPr>
          <w:b/>
          <w:bCs/>
          <w:spacing w:val="-8"/>
          <w:sz w:val="18"/>
          <w:szCs w:val="18"/>
          <w:lang w:val="es-ES_tradnl"/>
        </w:rPr>
        <w:t>n judicial impugnada</w:t>
      </w:r>
    </w:p>
    <w:p w14:paraId="4F67BA8D" w14:textId="77777777" w:rsidR="00591D54" w:rsidRDefault="00591D54">
      <w:pPr>
        <w:shd w:val="clear" w:color="auto" w:fill="FFFFFF"/>
        <w:spacing w:before="192" w:line="216" w:lineRule="exact"/>
        <w:ind w:right="5"/>
        <w:jc w:val="both"/>
      </w:pPr>
      <w:r>
        <w:rPr>
          <w:b/>
          <w:bCs/>
          <w:spacing w:val="-7"/>
          <w:sz w:val="18"/>
          <w:szCs w:val="18"/>
          <w:lang w:val="es-ES_tradnl"/>
        </w:rPr>
        <w:t xml:space="preserve">Sentencia de 19 de diciembre de 2014, dictada por la Sala Especializada de lo Contencioso Tributario de la </w:t>
      </w:r>
      <w:r>
        <w:rPr>
          <w:b/>
          <w:bCs/>
          <w:spacing w:val="-8"/>
          <w:sz w:val="18"/>
          <w:szCs w:val="18"/>
          <w:lang w:val="es-ES_tradnl"/>
        </w:rPr>
        <w:t>Corte Nacional de Justicia dentro del proceso N.</w:t>
      </w:r>
      <w:r>
        <w:rPr>
          <w:rFonts w:cs="Times New Roman"/>
          <w:b/>
          <w:bCs/>
          <w:spacing w:val="-8"/>
          <w:sz w:val="18"/>
          <w:szCs w:val="18"/>
          <w:lang w:val="es-ES_tradnl"/>
        </w:rPr>
        <w:t>°</w:t>
      </w:r>
      <w:r>
        <w:rPr>
          <w:b/>
          <w:bCs/>
          <w:spacing w:val="-8"/>
          <w:sz w:val="18"/>
          <w:szCs w:val="18"/>
          <w:lang w:val="es-ES_tradnl"/>
        </w:rPr>
        <w:t xml:space="preserve"> 441-</w:t>
      </w:r>
      <w:r>
        <w:rPr>
          <w:b/>
          <w:bCs/>
          <w:sz w:val="18"/>
          <w:szCs w:val="18"/>
          <w:lang w:val="es-ES_tradnl"/>
        </w:rPr>
        <w:t>2012.</w:t>
      </w:r>
    </w:p>
    <w:p w14:paraId="4F67BA8E" w14:textId="77777777" w:rsidR="00591D54" w:rsidRDefault="00591D54">
      <w:pPr>
        <w:shd w:val="clear" w:color="auto" w:fill="FFFFFF"/>
        <w:spacing w:before="206" w:line="216" w:lineRule="exact"/>
        <w:ind w:left="283" w:right="5"/>
        <w:jc w:val="both"/>
      </w:pPr>
      <w:r>
        <w:rPr>
          <w:spacing w:val="-4"/>
          <w:sz w:val="16"/>
          <w:szCs w:val="16"/>
          <w:lang w:val="es-ES_tradnl"/>
        </w:rPr>
        <w:t>Quito, viernes 19 de diciembre del 2014, las 12h37.- (</w:t>
      </w:r>
      <w:r>
        <w:rPr>
          <w:rFonts w:cs="Times New Roman"/>
          <w:spacing w:val="-4"/>
          <w:sz w:val="16"/>
          <w:szCs w:val="16"/>
          <w:lang w:val="es-ES_tradnl"/>
        </w:rPr>
        <w:t>…</w:t>
      </w:r>
      <w:r>
        <w:rPr>
          <w:spacing w:val="-4"/>
          <w:sz w:val="16"/>
          <w:szCs w:val="16"/>
          <w:lang w:val="es-ES_tradnl"/>
        </w:rPr>
        <w:t xml:space="preserve">) III </w:t>
      </w:r>
      <w:r>
        <w:rPr>
          <w:spacing w:val="-8"/>
          <w:sz w:val="16"/>
          <w:szCs w:val="16"/>
          <w:lang w:val="es-ES_tradnl"/>
        </w:rPr>
        <w:t xml:space="preserve">COMPETENCIA 3.1.- Esta Sala Especializada es competente </w:t>
      </w:r>
      <w:r>
        <w:rPr>
          <w:spacing w:val="-6"/>
          <w:sz w:val="16"/>
          <w:szCs w:val="16"/>
          <w:lang w:val="es-ES_tradnl"/>
        </w:rPr>
        <w:t xml:space="preserve">para conocer y resolver el presente recurso, de conformidad </w:t>
      </w:r>
      <w:r>
        <w:rPr>
          <w:spacing w:val="-8"/>
          <w:sz w:val="16"/>
          <w:szCs w:val="16"/>
          <w:lang w:val="es-ES_tradnl"/>
        </w:rPr>
        <w:t>con lo dispuesto en el numeral 1 del art. 184 de la Constituci</w:t>
      </w:r>
      <w:r>
        <w:rPr>
          <w:rFonts w:cs="Times New Roman"/>
          <w:spacing w:val="-8"/>
          <w:sz w:val="16"/>
          <w:szCs w:val="16"/>
          <w:lang w:val="es-ES_tradnl"/>
        </w:rPr>
        <w:t>ó</w:t>
      </w:r>
      <w:r>
        <w:rPr>
          <w:spacing w:val="-8"/>
          <w:sz w:val="16"/>
          <w:szCs w:val="16"/>
          <w:lang w:val="es-ES_tradnl"/>
        </w:rPr>
        <w:t xml:space="preserve">n </w:t>
      </w:r>
      <w:r>
        <w:rPr>
          <w:spacing w:val="-6"/>
          <w:sz w:val="16"/>
          <w:szCs w:val="16"/>
          <w:lang w:val="es-ES_tradnl"/>
        </w:rPr>
        <w:t>de la Rep</w:t>
      </w:r>
      <w:r>
        <w:rPr>
          <w:rFonts w:cs="Times New Roman"/>
          <w:spacing w:val="-6"/>
          <w:sz w:val="16"/>
          <w:szCs w:val="16"/>
          <w:lang w:val="es-ES_tradnl"/>
        </w:rPr>
        <w:t>ú</w:t>
      </w:r>
      <w:r>
        <w:rPr>
          <w:spacing w:val="-6"/>
          <w:sz w:val="16"/>
          <w:szCs w:val="16"/>
          <w:lang w:val="es-ES_tradnl"/>
        </w:rPr>
        <w:t xml:space="preserve">blica del Ecuador en concordancia con el art. 1 de </w:t>
      </w:r>
      <w:r>
        <w:rPr>
          <w:spacing w:val="-8"/>
          <w:sz w:val="16"/>
          <w:szCs w:val="16"/>
          <w:lang w:val="es-ES_tradnl"/>
        </w:rPr>
        <w:t>la Codificaci</w:t>
      </w:r>
      <w:r>
        <w:rPr>
          <w:rFonts w:cs="Times New Roman"/>
          <w:spacing w:val="-8"/>
          <w:sz w:val="16"/>
          <w:szCs w:val="16"/>
          <w:lang w:val="es-ES_tradnl"/>
        </w:rPr>
        <w:t>ó</w:t>
      </w:r>
      <w:r>
        <w:rPr>
          <w:spacing w:val="-8"/>
          <w:sz w:val="16"/>
          <w:szCs w:val="16"/>
          <w:lang w:val="es-ES_tradnl"/>
        </w:rPr>
        <w:t>n de la Ley de Casaci</w:t>
      </w:r>
      <w:r>
        <w:rPr>
          <w:rFonts w:cs="Times New Roman"/>
          <w:spacing w:val="-8"/>
          <w:sz w:val="16"/>
          <w:szCs w:val="16"/>
          <w:lang w:val="es-ES_tradnl"/>
        </w:rPr>
        <w:t>ó</w:t>
      </w:r>
      <w:r>
        <w:rPr>
          <w:spacing w:val="-8"/>
          <w:sz w:val="16"/>
          <w:szCs w:val="16"/>
          <w:lang w:val="es-ES_tradnl"/>
        </w:rPr>
        <w:t xml:space="preserve">n y el numeral 1, segunda </w:t>
      </w:r>
      <w:r>
        <w:rPr>
          <w:spacing w:val="-7"/>
          <w:sz w:val="16"/>
          <w:szCs w:val="16"/>
          <w:lang w:val="es-ES_tradnl"/>
        </w:rPr>
        <w:t>parte, del art. 185 del C</w:t>
      </w:r>
      <w:r>
        <w:rPr>
          <w:rFonts w:cs="Times New Roman"/>
          <w:spacing w:val="-7"/>
          <w:sz w:val="16"/>
          <w:szCs w:val="16"/>
          <w:lang w:val="es-ES_tradnl"/>
        </w:rPr>
        <w:t>ó</w:t>
      </w:r>
      <w:r>
        <w:rPr>
          <w:spacing w:val="-7"/>
          <w:sz w:val="16"/>
          <w:szCs w:val="16"/>
          <w:lang w:val="es-ES_tradnl"/>
        </w:rPr>
        <w:t>digo Org</w:t>
      </w:r>
      <w:r>
        <w:rPr>
          <w:rFonts w:cs="Times New Roman"/>
          <w:spacing w:val="-7"/>
          <w:sz w:val="16"/>
          <w:szCs w:val="16"/>
          <w:lang w:val="es-ES_tradnl"/>
        </w:rPr>
        <w:t>á</w:t>
      </w:r>
      <w:r>
        <w:rPr>
          <w:spacing w:val="-7"/>
          <w:sz w:val="16"/>
          <w:szCs w:val="16"/>
          <w:lang w:val="es-ES_tradnl"/>
        </w:rPr>
        <w:t>nico de la Funci</w:t>
      </w:r>
      <w:r>
        <w:rPr>
          <w:rFonts w:cs="Times New Roman"/>
          <w:spacing w:val="-7"/>
          <w:sz w:val="16"/>
          <w:szCs w:val="16"/>
          <w:lang w:val="es-ES_tradnl"/>
        </w:rPr>
        <w:t>ó</w:t>
      </w:r>
      <w:r>
        <w:rPr>
          <w:spacing w:val="-7"/>
          <w:sz w:val="16"/>
          <w:szCs w:val="16"/>
          <w:lang w:val="es-ES_tradnl"/>
        </w:rPr>
        <w:t xml:space="preserve">n Judicial. </w:t>
      </w:r>
      <w:r>
        <w:rPr>
          <w:spacing w:val="-3"/>
          <w:sz w:val="16"/>
          <w:szCs w:val="16"/>
          <w:lang w:val="es-ES_tradnl"/>
        </w:rPr>
        <w:t>(</w:t>
      </w:r>
      <w:r>
        <w:rPr>
          <w:rFonts w:cs="Times New Roman"/>
          <w:spacing w:val="-3"/>
          <w:sz w:val="16"/>
          <w:szCs w:val="16"/>
          <w:lang w:val="es-ES_tradnl"/>
        </w:rPr>
        <w:t>…</w:t>
      </w:r>
      <w:r>
        <w:rPr>
          <w:spacing w:val="-3"/>
          <w:sz w:val="16"/>
          <w:szCs w:val="16"/>
          <w:lang w:val="es-ES_tradnl"/>
        </w:rPr>
        <w:t>) V.- PLANTEAMIENTOS JUR</w:t>
      </w:r>
      <w:r>
        <w:rPr>
          <w:rFonts w:cs="Times New Roman"/>
          <w:spacing w:val="-3"/>
          <w:sz w:val="16"/>
          <w:szCs w:val="16"/>
          <w:lang w:val="es-ES_tradnl"/>
        </w:rPr>
        <w:t>Í</w:t>
      </w:r>
      <w:r>
        <w:rPr>
          <w:spacing w:val="-3"/>
          <w:sz w:val="16"/>
          <w:szCs w:val="16"/>
          <w:lang w:val="es-ES_tradnl"/>
        </w:rPr>
        <w:t xml:space="preserve">DICOS DEL RECURSO </w:t>
      </w:r>
      <w:r>
        <w:rPr>
          <w:spacing w:val="-5"/>
          <w:sz w:val="16"/>
          <w:szCs w:val="16"/>
          <w:lang w:val="es-ES_tradnl"/>
        </w:rPr>
        <w:t xml:space="preserve">5.1.- El recurrente formula los siguiente cargos, en contra de </w:t>
      </w:r>
      <w:r>
        <w:rPr>
          <w:spacing w:val="-7"/>
          <w:sz w:val="16"/>
          <w:szCs w:val="16"/>
          <w:lang w:val="es-ES_tradnl"/>
        </w:rPr>
        <w:t xml:space="preserve">la sentencia dictada por la Segunda Sala del Tribunal Distrital </w:t>
      </w:r>
      <w:r>
        <w:rPr>
          <w:spacing w:val="-8"/>
          <w:sz w:val="16"/>
          <w:szCs w:val="16"/>
          <w:lang w:val="es-ES_tradnl"/>
        </w:rPr>
        <w:t>de lo Fiscal N</w:t>
      </w:r>
      <w:r>
        <w:rPr>
          <w:rFonts w:cs="Times New Roman"/>
          <w:spacing w:val="-8"/>
          <w:sz w:val="16"/>
          <w:szCs w:val="16"/>
          <w:lang w:val="es-ES_tradnl"/>
        </w:rPr>
        <w:t>°</w:t>
      </w:r>
      <w:r>
        <w:rPr>
          <w:spacing w:val="-8"/>
          <w:sz w:val="16"/>
          <w:szCs w:val="16"/>
          <w:lang w:val="es-ES_tradnl"/>
        </w:rPr>
        <w:t xml:space="preserve"> 2 con sede en la ciudad de Guayaquil. Cargo 1: </w:t>
      </w:r>
      <w:r>
        <w:rPr>
          <w:rFonts w:cs="Times New Roman"/>
          <w:spacing w:val="-7"/>
          <w:sz w:val="16"/>
          <w:szCs w:val="16"/>
          <w:lang w:val="es-ES_tradnl"/>
        </w:rPr>
        <w:t>“</w:t>
      </w:r>
      <w:r>
        <w:rPr>
          <w:spacing w:val="-7"/>
          <w:sz w:val="16"/>
          <w:szCs w:val="16"/>
          <w:lang w:val="es-ES_tradnl"/>
        </w:rPr>
        <w:t>falta de aplicaci</w:t>
      </w:r>
      <w:r>
        <w:rPr>
          <w:rFonts w:cs="Times New Roman"/>
          <w:spacing w:val="-7"/>
          <w:sz w:val="16"/>
          <w:szCs w:val="16"/>
          <w:lang w:val="es-ES_tradnl"/>
        </w:rPr>
        <w:t>ó</w:t>
      </w:r>
      <w:r>
        <w:rPr>
          <w:spacing w:val="-7"/>
          <w:sz w:val="16"/>
          <w:szCs w:val="16"/>
          <w:lang w:val="es-ES_tradnl"/>
        </w:rPr>
        <w:t>n</w:t>
      </w:r>
      <w:r>
        <w:rPr>
          <w:rFonts w:cs="Times New Roman"/>
          <w:spacing w:val="-7"/>
          <w:sz w:val="16"/>
          <w:szCs w:val="16"/>
          <w:lang w:val="es-ES_tradnl"/>
        </w:rPr>
        <w:t>”</w:t>
      </w:r>
      <w:r>
        <w:rPr>
          <w:spacing w:val="-7"/>
          <w:sz w:val="16"/>
          <w:szCs w:val="16"/>
          <w:lang w:val="es-ES_tradnl"/>
        </w:rPr>
        <w:t xml:space="preserve"> del art. 10 numerales 1, 3 y 9; 21 numeral 1, 64 de la Ley de R</w:t>
      </w:r>
      <w:r>
        <w:rPr>
          <w:rFonts w:cs="Times New Roman"/>
          <w:spacing w:val="-7"/>
          <w:sz w:val="16"/>
          <w:szCs w:val="16"/>
          <w:lang w:val="es-ES_tradnl"/>
        </w:rPr>
        <w:t>é</w:t>
      </w:r>
      <w:r>
        <w:rPr>
          <w:spacing w:val="-7"/>
          <w:sz w:val="16"/>
          <w:szCs w:val="16"/>
          <w:lang w:val="es-ES_tradnl"/>
        </w:rPr>
        <w:t xml:space="preserve">gimen Tributario Interno; art. 26 numeral </w:t>
      </w:r>
      <w:r>
        <w:rPr>
          <w:spacing w:val="-3"/>
          <w:sz w:val="16"/>
          <w:szCs w:val="16"/>
          <w:lang w:val="es-ES_tradnl"/>
        </w:rPr>
        <w:t>7, arts. 27, 31, 32 y 151 del Reglamento para la Aplicaci</w:t>
      </w:r>
      <w:r>
        <w:rPr>
          <w:rFonts w:cs="Times New Roman"/>
          <w:spacing w:val="-3"/>
          <w:sz w:val="16"/>
          <w:szCs w:val="16"/>
          <w:lang w:val="es-ES_tradnl"/>
        </w:rPr>
        <w:t>ó</w:t>
      </w:r>
      <w:r>
        <w:rPr>
          <w:spacing w:val="-3"/>
          <w:sz w:val="16"/>
          <w:szCs w:val="16"/>
          <w:lang w:val="es-ES_tradnl"/>
        </w:rPr>
        <w:t>n</w:t>
      </w:r>
    </w:p>
    <w:p w14:paraId="4F67BA8F" w14:textId="77777777" w:rsidR="00591D54" w:rsidRDefault="00591D54">
      <w:pPr>
        <w:shd w:val="clear" w:color="auto" w:fill="FFFFFF"/>
        <w:spacing w:line="226" w:lineRule="exact"/>
        <w:jc w:val="both"/>
      </w:pPr>
      <w:r>
        <w:br w:type="column"/>
      </w:r>
      <w:r>
        <w:rPr>
          <w:sz w:val="16"/>
          <w:szCs w:val="16"/>
          <w:lang w:val="es-ES_tradnl"/>
        </w:rPr>
        <w:t>de la Ley de R</w:t>
      </w:r>
      <w:r>
        <w:rPr>
          <w:rFonts w:cs="Times New Roman"/>
          <w:sz w:val="16"/>
          <w:szCs w:val="16"/>
          <w:lang w:val="es-ES_tradnl"/>
        </w:rPr>
        <w:t>é</w:t>
      </w:r>
      <w:r>
        <w:rPr>
          <w:sz w:val="16"/>
          <w:szCs w:val="16"/>
          <w:lang w:val="es-ES_tradnl"/>
        </w:rPr>
        <w:t>gimen Tributario Interno, Disposici</w:t>
      </w:r>
      <w:r>
        <w:rPr>
          <w:rFonts w:cs="Times New Roman"/>
          <w:sz w:val="16"/>
          <w:szCs w:val="16"/>
          <w:lang w:val="es-ES_tradnl"/>
        </w:rPr>
        <w:t>ó</w:t>
      </w:r>
      <w:r>
        <w:rPr>
          <w:sz w:val="16"/>
          <w:szCs w:val="16"/>
          <w:lang w:val="es-ES_tradnl"/>
        </w:rPr>
        <w:t xml:space="preserve">n </w:t>
      </w:r>
      <w:r>
        <w:rPr>
          <w:spacing w:val="-6"/>
          <w:sz w:val="16"/>
          <w:szCs w:val="16"/>
          <w:lang w:val="es-ES_tradnl"/>
        </w:rPr>
        <w:t xml:space="preserve">General Primera del Reglamento de Comprobantes de Venta </w:t>
      </w:r>
      <w:r>
        <w:rPr>
          <w:spacing w:val="-7"/>
          <w:sz w:val="16"/>
          <w:szCs w:val="16"/>
          <w:lang w:val="es-ES_tradnl"/>
        </w:rPr>
        <w:t>y Retenci</w:t>
      </w:r>
      <w:r>
        <w:rPr>
          <w:rFonts w:cs="Times New Roman"/>
          <w:spacing w:val="-7"/>
          <w:sz w:val="16"/>
          <w:szCs w:val="16"/>
          <w:lang w:val="es-ES_tradnl"/>
        </w:rPr>
        <w:t>ó</w:t>
      </w:r>
      <w:r>
        <w:rPr>
          <w:spacing w:val="-7"/>
          <w:sz w:val="16"/>
          <w:szCs w:val="16"/>
          <w:lang w:val="es-ES_tradnl"/>
        </w:rPr>
        <w:t>n (vigente 2005); aplicaci</w:t>
      </w:r>
      <w:r>
        <w:rPr>
          <w:rFonts w:cs="Times New Roman"/>
          <w:spacing w:val="-7"/>
          <w:sz w:val="16"/>
          <w:szCs w:val="16"/>
          <w:lang w:val="es-ES_tradnl"/>
        </w:rPr>
        <w:t>ó</w:t>
      </w:r>
      <w:r>
        <w:rPr>
          <w:spacing w:val="-7"/>
          <w:sz w:val="16"/>
          <w:szCs w:val="16"/>
          <w:lang w:val="es-ES_tradnl"/>
        </w:rPr>
        <w:t xml:space="preserve">n indebida de normas de </w:t>
      </w:r>
      <w:r>
        <w:rPr>
          <w:spacing w:val="-9"/>
          <w:sz w:val="16"/>
          <w:szCs w:val="16"/>
          <w:lang w:val="es-ES_tradnl"/>
        </w:rPr>
        <w:t>derecho, art</w:t>
      </w:r>
      <w:r>
        <w:rPr>
          <w:rFonts w:cs="Times New Roman"/>
          <w:spacing w:val="-9"/>
          <w:sz w:val="16"/>
          <w:szCs w:val="16"/>
          <w:lang w:val="es-ES_tradnl"/>
        </w:rPr>
        <w:t>í</w:t>
      </w:r>
      <w:r>
        <w:rPr>
          <w:spacing w:val="-9"/>
          <w:sz w:val="16"/>
          <w:szCs w:val="16"/>
          <w:lang w:val="es-ES_tradnl"/>
        </w:rPr>
        <w:t>culo 10 numeral 9 de la Ley de R</w:t>
      </w:r>
      <w:r>
        <w:rPr>
          <w:rFonts w:cs="Times New Roman"/>
          <w:spacing w:val="-9"/>
          <w:sz w:val="16"/>
          <w:szCs w:val="16"/>
          <w:lang w:val="es-ES_tradnl"/>
        </w:rPr>
        <w:t>é</w:t>
      </w:r>
      <w:r>
        <w:rPr>
          <w:spacing w:val="-9"/>
          <w:sz w:val="16"/>
          <w:szCs w:val="16"/>
          <w:lang w:val="es-ES_tradnl"/>
        </w:rPr>
        <w:t xml:space="preserve">gimen Tributario </w:t>
      </w:r>
      <w:r>
        <w:rPr>
          <w:spacing w:val="-5"/>
          <w:sz w:val="16"/>
          <w:szCs w:val="16"/>
          <w:lang w:val="es-ES_tradnl"/>
        </w:rPr>
        <w:t xml:space="preserve">Interno, art. 11 de la Ley de Seguridad Social (vigente 2005) </w:t>
      </w:r>
      <w:r>
        <w:rPr>
          <w:spacing w:val="-3"/>
          <w:sz w:val="16"/>
          <w:szCs w:val="16"/>
          <w:lang w:val="es-ES_tradnl"/>
        </w:rPr>
        <w:t>(causal primera). Cargo 2.- Resoluci</w:t>
      </w:r>
      <w:r>
        <w:rPr>
          <w:rFonts w:cs="Times New Roman"/>
          <w:spacing w:val="-3"/>
          <w:sz w:val="16"/>
          <w:szCs w:val="16"/>
          <w:lang w:val="es-ES_tradnl"/>
        </w:rPr>
        <w:t>ó</w:t>
      </w:r>
      <w:r>
        <w:rPr>
          <w:spacing w:val="-3"/>
          <w:sz w:val="16"/>
          <w:szCs w:val="16"/>
          <w:lang w:val="es-ES_tradnl"/>
        </w:rPr>
        <w:t xml:space="preserve">n en sentencia de lo </w:t>
      </w:r>
      <w:r>
        <w:rPr>
          <w:spacing w:val="-2"/>
          <w:sz w:val="16"/>
          <w:szCs w:val="16"/>
          <w:lang w:val="es-ES_tradnl"/>
        </w:rPr>
        <w:t>que no fuera materia del litigio; omisi</w:t>
      </w:r>
      <w:r>
        <w:rPr>
          <w:rFonts w:cs="Times New Roman"/>
          <w:spacing w:val="-2"/>
          <w:sz w:val="16"/>
          <w:szCs w:val="16"/>
          <w:lang w:val="es-ES_tradnl"/>
        </w:rPr>
        <w:t>ó</w:t>
      </w:r>
      <w:r>
        <w:rPr>
          <w:spacing w:val="-2"/>
          <w:sz w:val="16"/>
          <w:szCs w:val="16"/>
          <w:lang w:val="es-ES_tradnl"/>
        </w:rPr>
        <w:t xml:space="preserve">n de resolver en </w:t>
      </w:r>
      <w:r>
        <w:rPr>
          <w:spacing w:val="-5"/>
          <w:sz w:val="16"/>
          <w:szCs w:val="16"/>
          <w:lang w:val="es-ES_tradnl"/>
        </w:rPr>
        <w:t xml:space="preserve">sentencia todos los puntos de la litis, (causal cuarta). Cargo 3.- cuando la sentencia no contuviere los requisitos exigidos </w:t>
      </w:r>
      <w:r>
        <w:rPr>
          <w:spacing w:val="-4"/>
          <w:sz w:val="16"/>
          <w:szCs w:val="16"/>
          <w:lang w:val="es-ES_tradnl"/>
        </w:rPr>
        <w:t>en la Ley; letra l del numeral 7 del art. 76 de la Constituci</w:t>
      </w:r>
      <w:r>
        <w:rPr>
          <w:rFonts w:cs="Times New Roman"/>
          <w:spacing w:val="-4"/>
          <w:sz w:val="16"/>
          <w:szCs w:val="16"/>
          <w:lang w:val="es-ES_tradnl"/>
        </w:rPr>
        <w:t>ó</w:t>
      </w:r>
      <w:r>
        <w:rPr>
          <w:spacing w:val="-4"/>
          <w:sz w:val="16"/>
          <w:szCs w:val="16"/>
          <w:lang w:val="es-ES_tradnl"/>
        </w:rPr>
        <w:t>n de la Rep</w:t>
      </w:r>
      <w:r>
        <w:rPr>
          <w:rFonts w:cs="Times New Roman"/>
          <w:spacing w:val="-4"/>
          <w:sz w:val="16"/>
          <w:szCs w:val="16"/>
          <w:lang w:val="es-ES_tradnl"/>
        </w:rPr>
        <w:t>ú</w:t>
      </w:r>
      <w:r>
        <w:rPr>
          <w:spacing w:val="-4"/>
          <w:sz w:val="16"/>
          <w:szCs w:val="16"/>
          <w:lang w:val="es-ES_tradnl"/>
        </w:rPr>
        <w:t>blica, art. 273 del C</w:t>
      </w:r>
      <w:r>
        <w:rPr>
          <w:rFonts w:cs="Times New Roman"/>
          <w:spacing w:val="-4"/>
          <w:sz w:val="16"/>
          <w:szCs w:val="16"/>
          <w:lang w:val="es-ES_tradnl"/>
        </w:rPr>
        <w:t>ó</w:t>
      </w:r>
      <w:r>
        <w:rPr>
          <w:spacing w:val="-4"/>
          <w:sz w:val="16"/>
          <w:szCs w:val="16"/>
          <w:lang w:val="es-ES_tradnl"/>
        </w:rPr>
        <w:t xml:space="preserve">digo Tributario y art 274 del </w:t>
      </w:r>
      <w:r>
        <w:rPr>
          <w:spacing w:val="-1"/>
          <w:sz w:val="16"/>
          <w:szCs w:val="16"/>
          <w:lang w:val="es-ES_tradnl"/>
        </w:rPr>
        <w:t>C</w:t>
      </w:r>
      <w:r>
        <w:rPr>
          <w:rFonts w:cs="Times New Roman"/>
          <w:spacing w:val="-1"/>
          <w:sz w:val="16"/>
          <w:szCs w:val="16"/>
          <w:lang w:val="es-ES_tradnl"/>
        </w:rPr>
        <w:t>ó</w:t>
      </w:r>
      <w:r>
        <w:rPr>
          <w:spacing w:val="-1"/>
          <w:sz w:val="16"/>
          <w:szCs w:val="16"/>
          <w:lang w:val="es-ES_tradnl"/>
        </w:rPr>
        <w:t>digo de Procedimiento Civil, (causal quinta). (</w:t>
      </w:r>
      <w:r>
        <w:rPr>
          <w:rFonts w:cs="Times New Roman"/>
          <w:spacing w:val="-1"/>
          <w:sz w:val="16"/>
          <w:szCs w:val="16"/>
          <w:lang w:val="es-ES_tradnl"/>
        </w:rPr>
        <w:t>…</w:t>
      </w:r>
      <w:r>
        <w:rPr>
          <w:spacing w:val="-1"/>
          <w:sz w:val="16"/>
          <w:szCs w:val="16"/>
          <w:lang w:val="es-ES_tradnl"/>
        </w:rPr>
        <w:t xml:space="preserve">) 6.1. </w:t>
      </w:r>
      <w:r>
        <w:rPr>
          <w:spacing w:val="-2"/>
          <w:sz w:val="16"/>
          <w:szCs w:val="16"/>
          <w:lang w:val="es-ES_tradnl"/>
        </w:rPr>
        <w:t>(</w:t>
      </w:r>
      <w:r>
        <w:rPr>
          <w:rFonts w:cs="Times New Roman"/>
          <w:spacing w:val="-2"/>
          <w:sz w:val="16"/>
          <w:szCs w:val="16"/>
          <w:lang w:val="es-ES_tradnl"/>
        </w:rPr>
        <w:t>…</w:t>
      </w:r>
      <w:r>
        <w:rPr>
          <w:spacing w:val="-2"/>
          <w:sz w:val="16"/>
          <w:szCs w:val="16"/>
          <w:lang w:val="es-ES_tradnl"/>
        </w:rPr>
        <w:t>) La actividad del organismo jurisdiccional de casaci</w:t>
      </w:r>
      <w:r>
        <w:rPr>
          <w:rFonts w:cs="Times New Roman"/>
          <w:spacing w:val="-2"/>
          <w:sz w:val="16"/>
          <w:szCs w:val="16"/>
          <w:lang w:val="es-ES_tradnl"/>
        </w:rPr>
        <w:t>ó</w:t>
      </w:r>
      <w:r>
        <w:rPr>
          <w:spacing w:val="-2"/>
          <w:sz w:val="16"/>
          <w:szCs w:val="16"/>
          <w:lang w:val="es-ES_tradnl"/>
        </w:rPr>
        <w:t xml:space="preserve">n </w:t>
      </w:r>
      <w:r>
        <w:rPr>
          <w:spacing w:val="-1"/>
          <w:sz w:val="16"/>
          <w:szCs w:val="16"/>
          <w:lang w:val="es-ES_tradnl"/>
        </w:rPr>
        <w:t xml:space="preserve">se mueve, por el impulso de la voluntad del recurrente; y </w:t>
      </w:r>
      <w:r>
        <w:rPr>
          <w:spacing w:val="-7"/>
          <w:sz w:val="16"/>
          <w:szCs w:val="16"/>
          <w:lang w:val="es-ES_tradnl"/>
        </w:rPr>
        <w:t xml:space="preserve">es </w:t>
      </w:r>
      <w:r>
        <w:rPr>
          <w:rFonts w:cs="Times New Roman"/>
          <w:spacing w:val="-7"/>
          <w:sz w:val="16"/>
          <w:szCs w:val="16"/>
          <w:lang w:val="es-ES_tradnl"/>
        </w:rPr>
        <w:t>é</w:t>
      </w:r>
      <w:r>
        <w:rPr>
          <w:spacing w:val="-7"/>
          <w:sz w:val="16"/>
          <w:szCs w:val="16"/>
          <w:lang w:val="es-ES_tradnl"/>
        </w:rPr>
        <w:t xml:space="preserve">l quien, en los fundamentos en que se apoya el recurso, </w:t>
      </w:r>
      <w:r>
        <w:rPr>
          <w:spacing w:val="-5"/>
          <w:sz w:val="16"/>
          <w:szCs w:val="16"/>
          <w:lang w:val="es-ES_tradnl"/>
        </w:rPr>
        <w:t>cristaliza y condiciona la actividad del Tribunal de casaci</w:t>
      </w:r>
      <w:r>
        <w:rPr>
          <w:rFonts w:cs="Times New Roman"/>
          <w:spacing w:val="-5"/>
          <w:sz w:val="16"/>
          <w:szCs w:val="16"/>
          <w:lang w:val="es-ES_tradnl"/>
        </w:rPr>
        <w:t>ó</w:t>
      </w:r>
      <w:r>
        <w:rPr>
          <w:spacing w:val="-5"/>
          <w:sz w:val="16"/>
          <w:szCs w:val="16"/>
          <w:lang w:val="es-ES_tradnl"/>
        </w:rPr>
        <w:t xml:space="preserve">n y </w:t>
      </w:r>
      <w:r>
        <w:rPr>
          <w:spacing w:val="-9"/>
          <w:sz w:val="16"/>
          <w:szCs w:val="16"/>
          <w:lang w:val="es-ES_tradnl"/>
        </w:rPr>
        <w:t>se</w:t>
      </w:r>
      <w:r>
        <w:rPr>
          <w:rFonts w:cs="Times New Roman"/>
          <w:spacing w:val="-9"/>
          <w:sz w:val="16"/>
          <w:szCs w:val="16"/>
          <w:lang w:val="es-ES_tradnl"/>
        </w:rPr>
        <w:t>ñ</w:t>
      </w:r>
      <w:r>
        <w:rPr>
          <w:spacing w:val="-9"/>
          <w:sz w:val="16"/>
          <w:szCs w:val="16"/>
          <w:lang w:val="es-ES_tradnl"/>
        </w:rPr>
        <w:t>ala, de antemano, los l</w:t>
      </w:r>
      <w:r>
        <w:rPr>
          <w:rFonts w:cs="Times New Roman"/>
          <w:spacing w:val="-9"/>
          <w:sz w:val="16"/>
          <w:szCs w:val="16"/>
          <w:lang w:val="es-ES_tradnl"/>
        </w:rPr>
        <w:t>í</w:t>
      </w:r>
      <w:r>
        <w:rPr>
          <w:spacing w:val="-9"/>
          <w:sz w:val="16"/>
          <w:szCs w:val="16"/>
          <w:lang w:val="es-ES_tradnl"/>
        </w:rPr>
        <w:t xml:space="preserve">mites que no pueden ser rebasados. </w:t>
      </w:r>
      <w:r>
        <w:rPr>
          <w:spacing w:val="-1"/>
          <w:sz w:val="16"/>
          <w:szCs w:val="16"/>
          <w:lang w:val="es-ES_tradnl"/>
        </w:rPr>
        <w:t>(</w:t>
      </w:r>
      <w:r>
        <w:rPr>
          <w:rFonts w:cs="Times New Roman"/>
          <w:spacing w:val="-1"/>
          <w:sz w:val="16"/>
          <w:szCs w:val="16"/>
          <w:lang w:val="es-ES_tradnl"/>
        </w:rPr>
        <w:t>…</w:t>
      </w:r>
      <w:r>
        <w:rPr>
          <w:spacing w:val="-1"/>
          <w:sz w:val="16"/>
          <w:szCs w:val="16"/>
          <w:lang w:val="es-ES_tradnl"/>
        </w:rPr>
        <w:t xml:space="preserve">) 6.4.1.- GLOSAS: SUELDOS, SALARIOS Y DEMAS REMUNERACIONES Y BENEFICIOS SOCIALES E </w:t>
      </w:r>
      <w:r>
        <w:rPr>
          <w:spacing w:val="-8"/>
          <w:sz w:val="16"/>
          <w:szCs w:val="16"/>
          <w:lang w:val="es-ES_tradnl"/>
        </w:rPr>
        <w:t>INDEMNIZACIONES.- (</w:t>
      </w:r>
      <w:r>
        <w:rPr>
          <w:rFonts w:cs="Times New Roman"/>
          <w:spacing w:val="-8"/>
          <w:sz w:val="16"/>
          <w:szCs w:val="16"/>
          <w:lang w:val="es-ES_tradnl"/>
        </w:rPr>
        <w:t>…</w:t>
      </w:r>
      <w:r>
        <w:rPr>
          <w:spacing w:val="-8"/>
          <w:sz w:val="16"/>
          <w:szCs w:val="16"/>
          <w:lang w:val="es-ES_tradnl"/>
        </w:rPr>
        <w:t xml:space="preserve">) 6.4.2.2.- En el caso de la subglosa </w:t>
      </w:r>
      <w:r>
        <w:rPr>
          <w:spacing w:val="-5"/>
          <w:sz w:val="16"/>
          <w:szCs w:val="16"/>
          <w:lang w:val="es-ES_tradnl"/>
        </w:rPr>
        <w:t>IMPUESTO AL VALOR AGREGADO POR IMPORTACI</w:t>
      </w:r>
      <w:r>
        <w:rPr>
          <w:rFonts w:cs="Times New Roman"/>
          <w:spacing w:val="-5"/>
          <w:sz w:val="16"/>
          <w:szCs w:val="16"/>
          <w:lang w:val="es-ES_tradnl"/>
        </w:rPr>
        <w:t>Ó</w:t>
      </w:r>
      <w:r>
        <w:rPr>
          <w:spacing w:val="-5"/>
          <w:sz w:val="16"/>
          <w:szCs w:val="16"/>
          <w:lang w:val="es-ES_tradnl"/>
        </w:rPr>
        <w:t xml:space="preserve">N </w:t>
      </w:r>
      <w:r>
        <w:rPr>
          <w:spacing w:val="-1"/>
          <w:sz w:val="16"/>
          <w:szCs w:val="16"/>
          <w:lang w:val="es-ES_tradnl"/>
        </w:rPr>
        <w:t>DE MATERIA PRIMA (</w:t>
      </w:r>
      <w:r>
        <w:rPr>
          <w:rFonts w:cs="Times New Roman"/>
          <w:spacing w:val="-1"/>
          <w:sz w:val="16"/>
          <w:szCs w:val="16"/>
          <w:lang w:val="es-ES_tradnl"/>
        </w:rPr>
        <w:t>…</w:t>
      </w:r>
      <w:r>
        <w:rPr>
          <w:spacing w:val="-1"/>
          <w:sz w:val="16"/>
          <w:szCs w:val="16"/>
          <w:lang w:val="es-ES_tradnl"/>
        </w:rPr>
        <w:t xml:space="preserve">) El Tribunal de Instancia, en la </w:t>
      </w:r>
      <w:r>
        <w:rPr>
          <w:spacing w:val="-5"/>
          <w:sz w:val="16"/>
          <w:szCs w:val="16"/>
          <w:lang w:val="es-ES_tradnl"/>
        </w:rPr>
        <w:t xml:space="preserve">sentencia recurrida, sostiene que </w:t>
      </w:r>
      <w:r>
        <w:rPr>
          <w:rFonts w:cs="Times New Roman"/>
          <w:spacing w:val="-5"/>
          <w:sz w:val="16"/>
          <w:szCs w:val="16"/>
          <w:lang w:val="es-ES_tradnl"/>
        </w:rPr>
        <w:t>“…</w:t>
      </w:r>
      <w:r>
        <w:rPr>
          <w:spacing w:val="-5"/>
          <w:sz w:val="16"/>
          <w:szCs w:val="16"/>
          <w:lang w:val="es-ES_tradnl"/>
        </w:rPr>
        <w:t xml:space="preserve"> el informe del perito de la autoridad demandada es quien manifiesta que al analizar </w:t>
      </w:r>
      <w:r>
        <w:rPr>
          <w:spacing w:val="-7"/>
          <w:sz w:val="16"/>
          <w:szCs w:val="16"/>
          <w:lang w:val="es-ES_tradnl"/>
        </w:rPr>
        <w:t>la documentaci</w:t>
      </w:r>
      <w:r>
        <w:rPr>
          <w:rFonts w:cs="Times New Roman"/>
          <w:spacing w:val="-7"/>
          <w:sz w:val="16"/>
          <w:szCs w:val="16"/>
          <w:lang w:val="es-ES_tradnl"/>
        </w:rPr>
        <w:t>ó</w:t>
      </w:r>
      <w:r>
        <w:rPr>
          <w:spacing w:val="-7"/>
          <w:sz w:val="16"/>
          <w:szCs w:val="16"/>
          <w:lang w:val="es-ES_tradnl"/>
        </w:rPr>
        <w:t>n entregada no permite dar una aseveraci</w:t>
      </w:r>
      <w:r>
        <w:rPr>
          <w:rFonts w:cs="Times New Roman"/>
          <w:spacing w:val="-7"/>
          <w:sz w:val="16"/>
          <w:szCs w:val="16"/>
          <w:lang w:val="es-ES_tradnl"/>
        </w:rPr>
        <w:t>ó</w:t>
      </w:r>
      <w:r>
        <w:rPr>
          <w:spacing w:val="-7"/>
          <w:sz w:val="16"/>
          <w:szCs w:val="16"/>
          <w:lang w:val="es-ES_tradnl"/>
        </w:rPr>
        <w:t xml:space="preserve">n </w:t>
      </w:r>
      <w:r>
        <w:rPr>
          <w:spacing w:val="-4"/>
          <w:sz w:val="16"/>
          <w:szCs w:val="16"/>
          <w:lang w:val="es-ES_tradnl"/>
        </w:rPr>
        <w:t>exacta al respecto; mientras que el perito de la parte actora es categ</w:t>
      </w:r>
      <w:r>
        <w:rPr>
          <w:rFonts w:cs="Times New Roman"/>
          <w:spacing w:val="-4"/>
          <w:sz w:val="16"/>
          <w:szCs w:val="16"/>
          <w:lang w:val="es-ES_tradnl"/>
        </w:rPr>
        <w:t>ó</w:t>
      </w:r>
      <w:r>
        <w:rPr>
          <w:spacing w:val="-4"/>
          <w:sz w:val="16"/>
          <w:szCs w:val="16"/>
          <w:lang w:val="es-ES_tradnl"/>
        </w:rPr>
        <w:t>rico al se</w:t>
      </w:r>
      <w:r>
        <w:rPr>
          <w:rFonts w:cs="Times New Roman"/>
          <w:spacing w:val="-4"/>
          <w:sz w:val="16"/>
          <w:szCs w:val="16"/>
          <w:lang w:val="es-ES_tradnl"/>
        </w:rPr>
        <w:t>ñ</w:t>
      </w:r>
      <w:r>
        <w:rPr>
          <w:spacing w:val="-4"/>
          <w:sz w:val="16"/>
          <w:szCs w:val="16"/>
          <w:lang w:val="es-ES_tradnl"/>
        </w:rPr>
        <w:t>alar que no existe en la utilizaci</w:t>
      </w:r>
      <w:r>
        <w:rPr>
          <w:rFonts w:cs="Times New Roman"/>
          <w:spacing w:val="-4"/>
          <w:sz w:val="16"/>
          <w:szCs w:val="16"/>
          <w:lang w:val="es-ES_tradnl"/>
        </w:rPr>
        <w:t>ó</w:t>
      </w:r>
      <w:r>
        <w:rPr>
          <w:spacing w:val="-4"/>
          <w:sz w:val="16"/>
          <w:szCs w:val="16"/>
          <w:lang w:val="es-ES_tradnl"/>
        </w:rPr>
        <w:t>n del doble beneficio antes indicado (</w:t>
      </w:r>
      <w:r>
        <w:rPr>
          <w:rFonts w:cs="Times New Roman"/>
          <w:spacing w:val="-4"/>
          <w:sz w:val="16"/>
          <w:szCs w:val="16"/>
          <w:lang w:val="es-ES_tradnl"/>
        </w:rPr>
        <w:t>…</w:t>
      </w:r>
      <w:r>
        <w:rPr>
          <w:spacing w:val="-4"/>
          <w:sz w:val="16"/>
          <w:szCs w:val="16"/>
          <w:lang w:val="es-ES_tradnl"/>
        </w:rPr>
        <w:t>)</w:t>
      </w:r>
      <w:r>
        <w:rPr>
          <w:rFonts w:cs="Times New Roman"/>
          <w:spacing w:val="-4"/>
          <w:sz w:val="16"/>
          <w:szCs w:val="16"/>
          <w:lang w:val="es-ES_tradnl"/>
        </w:rPr>
        <w:t>”</w:t>
      </w:r>
      <w:r>
        <w:rPr>
          <w:spacing w:val="-4"/>
          <w:sz w:val="16"/>
          <w:szCs w:val="16"/>
          <w:lang w:val="es-ES_tradnl"/>
        </w:rPr>
        <w:t xml:space="preserve">. Consecuentemente, </w:t>
      </w:r>
      <w:r>
        <w:rPr>
          <w:spacing w:val="-9"/>
          <w:sz w:val="16"/>
          <w:szCs w:val="16"/>
          <w:lang w:val="es-ES_tradnl"/>
        </w:rPr>
        <w:t>para esta Sala Especializada est</w:t>
      </w:r>
      <w:r>
        <w:rPr>
          <w:rFonts w:cs="Times New Roman"/>
          <w:spacing w:val="-9"/>
          <w:sz w:val="16"/>
          <w:szCs w:val="16"/>
          <w:lang w:val="es-ES_tradnl"/>
        </w:rPr>
        <w:t>á</w:t>
      </w:r>
      <w:r>
        <w:rPr>
          <w:spacing w:val="-9"/>
          <w:sz w:val="16"/>
          <w:szCs w:val="16"/>
          <w:lang w:val="es-ES_tradnl"/>
        </w:rPr>
        <w:t xml:space="preserve"> demostrado que la compa</w:t>
      </w:r>
      <w:r>
        <w:rPr>
          <w:rFonts w:cs="Times New Roman"/>
          <w:spacing w:val="-9"/>
          <w:sz w:val="16"/>
          <w:szCs w:val="16"/>
          <w:lang w:val="es-ES_tradnl"/>
        </w:rPr>
        <w:t>ñí</w:t>
      </w:r>
      <w:r>
        <w:rPr>
          <w:spacing w:val="-9"/>
          <w:sz w:val="16"/>
          <w:szCs w:val="16"/>
          <w:lang w:val="es-ES_tradnl"/>
        </w:rPr>
        <w:t xml:space="preserve">a </w:t>
      </w:r>
      <w:r>
        <w:rPr>
          <w:spacing w:val="-6"/>
          <w:sz w:val="16"/>
          <w:szCs w:val="16"/>
          <w:lang w:val="es-ES_tradnl"/>
        </w:rPr>
        <w:t>LAMITEX S.A. declar</w:t>
      </w:r>
      <w:r>
        <w:rPr>
          <w:rFonts w:cs="Times New Roman"/>
          <w:spacing w:val="-6"/>
          <w:sz w:val="16"/>
          <w:szCs w:val="16"/>
          <w:lang w:val="es-ES_tradnl"/>
        </w:rPr>
        <w:t>ó</w:t>
      </w:r>
      <w:r>
        <w:rPr>
          <w:spacing w:val="-6"/>
          <w:sz w:val="16"/>
          <w:szCs w:val="16"/>
          <w:lang w:val="es-ES_tradnl"/>
        </w:rPr>
        <w:t xml:space="preserve"> los valores pagados por concepto de </w:t>
      </w:r>
      <w:r>
        <w:rPr>
          <w:spacing w:val="-3"/>
          <w:sz w:val="16"/>
          <w:szCs w:val="16"/>
          <w:lang w:val="es-ES_tradnl"/>
        </w:rPr>
        <w:t>Advalorem y Fodinfa, en forma duplicada, esto es tanto en el casillero N</w:t>
      </w:r>
      <w:r>
        <w:rPr>
          <w:rFonts w:cs="Times New Roman"/>
          <w:spacing w:val="-3"/>
          <w:sz w:val="16"/>
          <w:szCs w:val="16"/>
          <w:lang w:val="es-ES_tradnl"/>
        </w:rPr>
        <w:t>°</w:t>
      </w:r>
      <w:r>
        <w:rPr>
          <w:spacing w:val="-3"/>
          <w:sz w:val="16"/>
          <w:szCs w:val="16"/>
          <w:lang w:val="es-ES_tradnl"/>
        </w:rPr>
        <w:t xml:space="preserve"> 717 </w:t>
      </w:r>
      <w:r>
        <w:rPr>
          <w:rFonts w:cs="Times New Roman"/>
          <w:spacing w:val="-3"/>
          <w:sz w:val="16"/>
          <w:szCs w:val="16"/>
          <w:lang w:val="es-ES_tradnl"/>
        </w:rPr>
        <w:t>“</w:t>
      </w:r>
      <w:r>
        <w:rPr>
          <w:spacing w:val="-3"/>
          <w:sz w:val="16"/>
          <w:szCs w:val="16"/>
          <w:lang w:val="es-ES_tradnl"/>
        </w:rPr>
        <w:t>Importaciones de materia prima</w:t>
      </w:r>
      <w:r>
        <w:rPr>
          <w:rFonts w:cs="Times New Roman"/>
          <w:spacing w:val="-3"/>
          <w:sz w:val="16"/>
          <w:szCs w:val="16"/>
          <w:lang w:val="es-ES_tradnl"/>
        </w:rPr>
        <w:t>”</w:t>
      </w:r>
      <w:r>
        <w:rPr>
          <w:spacing w:val="-3"/>
          <w:sz w:val="16"/>
          <w:szCs w:val="16"/>
          <w:lang w:val="es-ES_tradnl"/>
        </w:rPr>
        <w:t xml:space="preserve"> como </w:t>
      </w:r>
      <w:r>
        <w:rPr>
          <w:spacing w:val="-5"/>
          <w:sz w:val="16"/>
          <w:szCs w:val="16"/>
          <w:lang w:val="es-ES_tradnl"/>
        </w:rPr>
        <w:t>en el casillero N</w:t>
      </w:r>
      <w:r>
        <w:rPr>
          <w:rFonts w:cs="Times New Roman"/>
          <w:spacing w:val="-5"/>
          <w:sz w:val="16"/>
          <w:szCs w:val="16"/>
          <w:lang w:val="es-ES_tradnl"/>
        </w:rPr>
        <w:t>°</w:t>
      </w:r>
      <w:r>
        <w:rPr>
          <w:spacing w:val="-5"/>
          <w:sz w:val="16"/>
          <w:szCs w:val="16"/>
          <w:lang w:val="es-ES_tradnl"/>
        </w:rPr>
        <w:t xml:space="preserve"> 761 </w:t>
      </w:r>
      <w:r>
        <w:rPr>
          <w:rFonts w:cs="Times New Roman"/>
          <w:spacing w:val="-5"/>
          <w:sz w:val="16"/>
          <w:szCs w:val="16"/>
          <w:lang w:val="es-ES_tradnl"/>
        </w:rPr>
        <w:t>“</w:t>
      </w:r>
      <w:r>
        <w:rPr>
          <w:spacing w:val="-5"/>
          <w:sz w:val="16"/>
          <w:szCs w:val="16"/>
          <w:lang w:val="es-ES_tradnl"/>
        </w:rPr>
        <w:t>Otros Gastos Locales</w:t>
      </w:r>
      <w:r>
        <w:rPr>
          <w:rFonts w:cs="Times New Roman"/>
          <w:spacing w:val="-5"/>
          <w:sz w:val="16"/>
          <w:szCs w:val="16"/>
          <w:lang w:val="es-ES_tradnl"/>
        </w:rPr>
        <w:t>”</w:t>
      </w:r>
      <w:r>
        <w:rPr>
          <w:spacing w:val="-5"/>
          <w:sz w:val="16"/>
          <w:szCs w:val="16"/>
          <w:lang w:val="es-ES_tradnl"/>
        </w:rPr>
        <w:t xml:space="preserve">, gasto que fue </w:t>
      </w:r>
      <w:r>
        <w:rPr>
          <w:spacing w:val="-3"/>
          <w:sz w:val="16"/>
          <w:szCs w:val="16"/>
          <w:lang w:val="es-ES_tradnl"/>
        </w:rPr>
        <w:t>utilizado como cr</w:t>
      </w:r>
      <w:r>
        <w:rPr>
          <w:rFonts w:cs="Times New Roman"/>
          <w:spacing w:val="-3"/>
          <w:sz w:val="16"/>
          <w:szCs w:val="16"/>
          <w:lang w:val="es-ES_tradnl"/>
        </w:rPr>
        <w:t>é</w:t>
      </w:r>
      <w:r>
        <w:rPr>
          <w:spacing w:val="-3"/>
          <w:sz w:val="16"/>
          <w:szCs w:val="16"/>
          <w:lang w:val="es-ES_tradnl"/>
        </w:rPr>
        <w:t>dito tributario de I VA para la liquidaci</w:t>
      </w:r>
      <w:r>
        <w:rPr>
          <w:rFonts w:cs="Times New Roman"/>
          <w:spacing w:val="-3"/>
          <w:sz w:val="16"/>
          <w:szCs w:val="16"/>
          <w:lang w:val="es-ES_tradnl"/>
        </w:rPr>
        <w:t>ó</w:t>
      </w:r>
      <w:r>
        <w:rPr>
          <w:spacing w:val="-3"/>
          <w:sz w:val="16"/>
          <w:szCs w:val="16"/>
          <w:lang w:val="es-ES_tradnl"/>
        </w:rPr>
        <w:t xml:space="preserve">n </w:t>
      </w:r>
      <w:r>
        <w:rPr>
          <w:spacing w:val="-5"/>
          <w:sz w:val="16"/>
          <w:szCs w:val="16"/>
          <w:lang w:val="es-ES_tradnl"/>
        </w:rPr>
        <w:t>del impuesto a la renta, en la declaraci</w:t>
      </w:r>
      <w:r>
        <w:rPr>
          <w:rFonts w:cs="Times New Roman"/>
          <w:spacing w:val="-5"/>
          <w:sz w:val="16"/>
          <w:szCs w:val="16"/>
          <w:lang w:val="es-ES_tradnl"/>
        </w:rPr>
        <w:t>ó</w:t>
      </w:r>
      <w:r>
        <w:rPr>
          <w:spacing w:val="-5"/>
          <w:sz w:val="16"/>
          <w:szCs w:val="16"/>
          <w:lang w:val="es-ES_tradnl"/>
        </w:rPr>
        <w:t>n sustitutiva del a</w:t>
      </w:r>
      <w:r>
        <w:rPr>
          <w:rFonts w:cs="Times New Roman"/>
          <w:spacing w:val="-5"/>
          <w:sz w:val="16"/>
          <w:szCs w:val="16"/>
          <w:lang w:val="es-ES_tradnl"/>
        </w:rPr>
        <w:t>ñ</w:t>
      </w:r>
      <w:r>
        <w:rPr>
          <w:spacing w:val="-5"/>
          <w:sz w:val="16"/>
          <w:szCs w:val="16"/>
          <w:lang w:val="es-ES_tradnl"/>
        </w:rPr>
        <w:t xml:space="preserve">o </w:t>
      </w:r>
      <w:r>
        <w:rPr>
          <w:spacing w:val="-7"/>
          <w:sz w:val="16"/>
          <w:szCs w:val="16"/>
          <w:lang w:val="es-ES_tradnl"/>
        </w:rPr>
        <w:t>2005, configur</w:t>
      </w:r>
      <w:r>
        <w:rPr>
          <w:rFonts w:cs="Times New Roman"/>
          <w:spacing w:val="-7"/>
          <w:sz w:val="16"/>
          <w:szCs w:val="16"/>
          <w:lang w:val="es-ES_tradnl"/>
        </w:rPr>
        <w:t>á</w:t>
      </w:r>
      <w:r>
        <w:rPr>
          <w:spacing w:val="-7"/>
          <w:sz w:val="16"/>
          <w:szCs w:val="16"/>
          <w:lang w:val="es-ES_tradnl"/>
        </w:rPr>
        <w:t>ndose el vicio de falta de aplicaci</w:t>
      </w:r>
      <w:r>
        <w:rPr>
          <w:rFonts w:cs="Times New Roman"/>
          <w:spacing w:val="-7"/>
          <w:sz w:val="16"/>
          <w:szCs w:val="16"/>
          <w:lang w:val="es-ES_tradnl"/>
        </w:rPr>
        <w:t>ó</w:t>
      </w:r>
      <w:r>
        <w:rPr>
          <w:spacing w:val="-7"/>
          <w:sz w:val="16"/>
          <w:szCs w:val="16"/>
          <w:lang w:val="es-ES_tradnl"/>
        </w:rPr>
        <w:t xml:space="preserve">n del art. 10 </w:t>
      </w:r>
      <w:r>
        <w:rPr>
          <w:spacing w:val="-5"/>
          <w:sz w:val="16"/>
          <w:szCs w:val="16"/>
          <w:lang w:val="es-ES_tradnl"/>
        </w:rPr>
        <w:t>numeral 3 de la Ley de R</w:t>
      </w:r>
      <w:r>
        <w:rPr>
          <w:rFonts w:cs="Times New Roman"/>
          <w:spacing w:val="-5"/>
          <w:sz w:val="16"/>
          <w:szCs w:val="16"/>
          <w:lang w:val="es-ES_tradnl"/>
        </w:rPr>
        <w:t>é</w:t>
      </w:r>
      <w:r>
        <w:rPr>
          <w:spacing w:val="-5"/>
          <w:sz w:val="16"/>
          <w:szCs w:val="16"/>
          <w:lang w:val="es-ES_tradnl"/>
        </w:rPr>
        <w:t xml:space="preserve">gimen Tributario Interno, sin que </w:t>
      </w:r>
      <w:r>
        <w:rPr>
          <w:spacing w:val="-8"/>
          <w:sz w:val="16"/>
          <w:szCs w:val="16"/>
          <w:lang w:val="es-ES_tradnl"/>
        </w:rPr>
        <w:t xml:space="preserve">corresponda a esta Sala a ni a la de instancia aplicar el art. 151 </w:t>
      </w:r>
      <w:r>
        <w:rPr>
          <w:spacing w:val="-5"/>
          <w:sz w:val="16"/>
          <w:szCs w:val="16"/>
          <w:lang w:val="es-ES_tradnl"/>
        </w:rPr>
        <w:t>del Reglamento a la Ley de R</w:t>
      </w:r>
      <w:r>
        <w:rPr>
          <w:rFonts w:cs="Times New Roman"/>
          <w:spacing w:val="-5"/>
          <w:sz w:val="16"/>
          <w:szCs w:val="16"/>
          <w:lang w:val="es-ES_tradnl"/>
        </w:rPr>
        <w:t>é</w:t>
      </w:r>
      <w:r>
        <w:rPr>
          <w:spacing w:val="-5"/>
          <w:sz w:val="16"/>
          <w:szCs w:val="16"/>
          <w:lang w:val="es-ES_tradnl"/>
        </w:rPr>
        <w:t xml:space="preserve">gimen Tributario Interno. Por </w:t>
      </w:r>
      <w:r>
        <w:rPr>
          <w:spacing w:val="-7"/>
          <w:sz w:val="16"/>
          <w:szCs w:val="16"/>
          <w:lang w:val="es-ES_tradnl"/>
        </w:rPr>
        <w:t xml:space="preserve">lo tanto, se desconoce el gasto como deducible y se confirma </w:t>
      </w:r>
      <w:r>
        <w:rPr>
          <w:spacing w:val="-8"/>
          <w:sz w:val="16"/>
          <w:szCs w:val="16"/>
          <w:lang w:val="es-ES_tradnl"/>
        </w:rPr>
        <w:t xml:space="preserve">la subglosa: Impuesto al Valor Agregado por importaciones de </w:t>
      </w:r>
      <w:r>
        <w:rPr>
          <w:spacing w:val="-5"/>
          <w:sz w:val="16"/>
          <w:szCs w:val="16"/>
          <w:lang w:val="es-ES_tradnl"/>
        </w:rPr>
        <w:t>materia prima (</w:t>
      </w:r>
      <w:r>
        <w:rPr>
          <w:rFonts w:cs="Times New Roman"/>
          <w:spacing w:val="-5"/>
          <w:sz w:val="16"/>
          <w:szCs w:val="16"/>
          <w:lang w:val="es-ES_tradnl"/>
        </w:rPr>
        <w:t>…</w:t>
      </w:r>
      <w:r>
        <w:rPr>
          <w:spacing w:val="-5"/>
          <w:sz w:val="16"/>
          <w:szCs w:val="16"/>
          <w:lang w:val="es-ES_tradnl"/>
        </w:rPr>
        <w:t>) VII.- DECISI</w:t>
      </w:r>
      <w:r>
        <w:rPr>
          <w:rFonts w:cs="Times New Roman"/>
          <w:spacing w:val="-5"/>
          <w:sz w:val="16"/>
          <w:szCs w:val="16"/>
          <w:lang w:val="es-ES_tradnl"/>
        </w:rPr>
        <w:t>Ó</w:t>
      </w:r>
      <w:r>
        <w:rPr>
          <w:spacing w:val="-5"/>
          <w:sz w:val="16"/>
          <w:szCs w:val="16"/>
          <w:lang w:val="es-ES_tradnl"/>
        </w:rPr>
        <w:t xml:space="preserve">N 7.1.- Como se evidencia, </w:t>
      </w:r>
      <w:r>
        <w:rPr>
          <w:spacing w:val="-7"/>
          <w:sz w:val="16"/>
          <w:szCs w:val="16"/>
          <w:lang w:val="es-ES_tradnl"/>
        </w:rPr>
        <w:t>existe de parte de la Administraci</w:t>
      </w:r>
      <w:r>
        <w:rPr>
          <w:rFonts w:cs="Times New Roman"/>
          <w:spacing w:val="-7"/>
          <w:sz w:val="16"/>
          <w:szCs w:val="16"/>
          <w:lang w:val="es-ES_tradnl"/>
        </w:rPr>
        <w:t>ó</w:t>
      </w:r>
      <w:r>
        <w:rPr>
          <w:spacing w:val="-7"/>
          <w:sz w:val="16"/>
          <w:szCs w:val="16"/>
          <w:lang w:val="es-ES_tradnl"/>
        </w:rPr>
        <w:t>n recurrente la justificaci</w:t>
      </w:r>
      <w:r>
        <w:rPr>
          <w:rFonts w:cs="Times New Roman"/>
          <w:spacing w:val="-7"/>
          <w:sz w:val="16"/>
          <w:szCs w:val="16"/>
          <w:lang w:val="es-ES_tradnl"/>
        </w:rPr>
        <w:t>ó</w:t>
      </w:r>
      <w:r>
        <w:rPr>
          <w:spacing w:val="-7"/>
          <w:sz w:val="16"/>
          <w:szCs w:val="16"/>
          <w:lang w:val="es-ES_tradnl"/>
        </w:rPr>
        <w:t xml:space="preserve">n </w:t>
      </w:r>
      <w:r>
        <w:rPr>
          <w:spacing w:val="-6"/>
          <w:sz w:val="16"/>
          <w:szCs w:val="16"/>
          <w:lang w:val="es-ES_tradnl"/>
        </w:rPr>
        <w:t>l</w:t>
      </w:r>
      <w:r>
        <w:rPr>
          <w:rFonts w:cs="Times New Roman"/>
          <w:spacing w:val="-6"/>
          <w:sz w:val="16"/>
          <w:szCs w:val="16"/>
          <w:lang w:val="es-ES_tradnl"/>
        </w:rPr>
        <w:t>ó</w:t>
      </w:r>
      <w:r>
        <w:rPr>
          <w:spacing w:val="-6"/>
          <w:sz w:val="16"/>
          <w:szCs w:val="16"/>
          <w:lang w:val="es-ES_tradnl"/>
        </w:rPr>
        <w:t>gica y coherente que demuestra la violaci</w:t>
      </w:r>
      <w:r>
        <w:rPr>
          <w:rFonts w:cs="Times New Roman"/>
          <w:spacing w:val="-6"/>
          <w:sz w:val="16"/>
          <w:szCs w:val="16"/>
          <w:lang w:val="es-ES_tradnl"/>
        </w:rPr>
        <w:t>ó</w:t>
      </w:r>
      <w:r>
        <w:rPr>
          <w:spacing w:val="-6"/>
          <w:sz w:val="16"/>
          <w:szCs w:val="16"/>
          <w:lang w:val="es-ES_tradnl"/>
        </w:rPr>
        <w:t>n de las normas de derecho que se consideran transgredidas en relaci</w:t>
      </w:r>
      <w:r>
        <w:rPr>
          <w:rFonts w:cs="Times New Roman"/>
          <w:spacing w:val="-6"/>
          <w:sz w:val="16"/>
          <w:szCs w:val="16"/>
          <w:lang w:val="es-ES_tradnl"/>
        </w:rPr>
        <w:t>ó</w:t>
      </w:r>
      <w:r>
        <w:rPr>
          <w:spacing w:val="-6"/>
          <w:sz w:val="16"/>
          <w:szCs w:val="16"/>
          <w:lang w:val="es-ES_tradnl"/>
        </w:rPr>
        <w:t xml:space="preserve">n con </w:t>
      </w:r>
      <w:r>
        <w:rPr>
          <w:spacing w:val="-3"/>
          <w:sz w:val="16"/>
          <w:szCs w:val="16"/>
          <w:lang w:val="es-ES_tradnl"/>
        </w:rPr>
        <w:t>la causal primera del art. 3 de la Ley de Casaci</w:t>
      </w:r>
      <w:r>
        <w:rPr>
          <w:rFonts w:cs="Times New Roman"/>
          <w:spacing w:val="-3"/>
          <w:sz w:val="16"/>
          <w:szCs w:val="16"/>
          <w:lang w:val="es-ES_tradnl"/>
        </w:rPr>
        <w:t>ó</w:t>
      </w:r>
      <w:r>
        <w:rPr>
          <w:spacing w:val="-3"/>
          <w:sz w:val="16"/>
          <w:szCs w:val="16"/>
          <w:lang w:val="es-ES_tradnl"/>
        </w:rPr>
        <w:t xml:space="preserve">n. Es por </w:t>
      </w:r>
      <w:r>
        <w:rPr>
          <w:spacing w:val="-7"/>
          <w:sz w:val="16"/>
          <w:szCs w:val="16"/>
          <w:lang w:val="es-ES_tradnl"/>
        </w:rPr>
        <w:t>esta raz</w:t>
      </w:r>
      <w:r>
        <w:rPr>
          <w:rFonts w:cs="Times New Roman"/>
          <w:spacing w:val="-7"/>
          <w:sz w:val="16"/>
          <w:szCs w:val="16"/>
          <w:lang w:val="es-ES_tradnl"/>
        </w:rPr>
        <w:t>ó</w:t>
      </w:r>
      <w:r>
        <w:rPr>
          <w:spacing w:val="-7"/>
          <w:sz w:val="16"/>
          <w:szCs w:val="16"/>
          <w:lang w:val="es-ES_tradnl"/>
        </w:rPr>
        <w:t>n, que el fundamento del recurso de casaci</w:t>
      </w:r>
      <w:r>
        <w:rPr>
          <w:rFonts w:cs="Times New Roman"/>
          <w:spacing w:val="-7"/>
          <w:sz w:val="16"/>
          <w:szCs w:val="16"/>
          <w:lang w:val="es-ES_tradnl"/>
        </w:rPr>
        <w:t>ó</w:t>
      </w:r>
      <w:r>
        <w:rPr>
          <w:spacing w:val="-7"/>
          <w:sz w:val="16"/>
          <w:szCs w:val="16"/>
          <w:lang w:val="es-ES_tradnl"/>
        </w:rPr>
        <w:t xml:space="preserve">n, es el </w:t>
      </w:r>
      <w:r>
        <w:rPr>
          <w:spacing w:val="-5"/>
          <w:sz w:val="16"/>
          <w:szCs w:val="16"/>
          <w:lang w:val="es-ES_tradnl"/>
        </w:rPr>
        <w:t xml:space="preserve">correcto. 7.2.- Por las razones expuestas, la Corte Nacional </w:t>
      </w:r>
      <w:r>
        <w:rPr>
          <w:spacing w:val="-6"/>
          <w:sz w:val="16"/>
          <w:szCs w:val="16"/>
          <w:lang w:val="es-ES_tradnl"/>
        </w:rPr>
        <w:t>de Justicia, Sala de lo Contencioso Tributario, Administrando justicia, en nombre del pueblo soberano del Ecuador, y por autoridad de la Constituci</w:t>
      </w:r>
      <w:r>
        <w:rPr>
          <w:rFonts w:cs="Times New Roman"/>
          <w:spacing w:val="-6"/>
          <w:sz w:val="16"/>
          <w:szCs w:val="16"/>
          <w:lang w:val="es-ES_tradnl"/>
        </w:rPr>
        <w:t>ó</w:t>
      </w:r>
      <w:r>
        <w:rPr>
          <w:spacing w:val="-6"/>
          <w:sz w:val="16"/>
          <w:szCs w:val="16"/>
          <w:lang w:val="es-ES_tradnl"/>
        </w:rPr>
        <w:t>n y las leyes de la Rep</w:t>
      </w:r>
      <w:r>
        <w:rPr>
          <w:rFonts w:cs="Times New Roman"/>
          <w:spacing w:val="-6"/>
          <w:sz w:val="16"/>
          <w:szCs w:val="16"/>
          <w:lang w:val="es-ES_tradnl"/>
        </w:rPr>
        <w:t>ú</w:t>
      </w:r>
      <w:r>
        <w:rPr>
          <w:spacing w:val="-6"/>
          <w:sz w:val="16"/>
          <w:szCs w:val="16"/>
          <w:lang w:val="es-ES_tradnl"/>
        </w:rPr>
        <w:t>blica. VIII.-</w:t>
      </w:r>
      <w:r>
        <w:rPr>
          <w:spacing w:val="-3"/>
          <w:sz w:val="16"/>
          <w:szCs w:val="16"/>
          <w:lang w:val="es-ES_tradnl"/>
        </w:rPr>
        <w:t xml:space="preserve">RESUELVE: 8.1 CASAR la sentencia de 18 de mayo del </w:t>
      </w:r>
      <w:r>
        <w:rPr>
          <w:spacing w:val="-6"/>
          <w:sz w:val="16"/>
          <w:szCs w:val="16"/>
          <w:lang w:val="es-ES_tradnl"/>
        </w:rPr>
        <w:t xml:space="preserve">2012 las 10H58, expedida por la Segunda Sala del Tribunal </w:t>
      </w:r>
      <w:r>
        <w:rPr>
          <w:spacing w:val="-7"/>
          <w:sz w:val="16"/>
          <w:szCs w:val="16"/>
          <w:lang w:val="es-ES_tradnl"/>
        </w:rPr>
        <w:t>Distrital de lo Fiscal N.ᵒ 2 con sede en la ciudad de Guayaquil y declara v</w:t>
      </w:r>
      <w:r>
        <w:rPr>
          <w:rFonts w:cs="Times New Roman"/>
          <w:spacing w:val="-7"/>
          <w:sz w:val="16"/>
          <w:szCs w:val="16"/>
          <w:lang w:val="es-ES_tradnl"/>
        </w:rPr>
        <w:t>á</w:t>
      </w:r>
      <w:r>
        <w:rPr>
          <w:spacing w:val="-7"/>
          <w:sz w:val="16"/>
          <w:szCs w:val="16"/>
          <w:lang w:val="es-ES_tradnl"/>
        </w:rPr>
        <w:t>lida y reconoce la legitimidad de la Resoluci</w:t>
      </w:r>
      <w:r>
        <w:rPr>
          <w:rFonts w:cs="Times New Roman"/>
          <w:spacing w:val="-7"/>
          <w:sz w:val="16"/>
          <w:szCs w:val="16"/>
          <w:lang w:val="es-ES_tradnl"/>
        </w:rPr>
        <w:t>ó</w:t>
      </w:r>
      <w:r>
        <w:rPr>
          <w:spacing w:val="-7"/>
          <w:sz w:val="16"/>
          <w:szCs w:val="16"/>
          <w:lang w:val="es-ES_tradnl"/>
        </w:rPr>
        <w:t>n N</w:t>
      </w:r>
      <w:r>
        <w:rPr>
          <w:rFonts w:cs="Times New Roman"/>
          <w:spacing w:val="-7"/>
          <w:sz w:val="16"/>
          <w:szCs w:val="16"/>
          <w:lang w:val="es-ES_tradnl"/>
        </w:rPr>
        <w:t xml:space="preserve">° </w:t>
      </w:r>
      <w:r>
        <w:rPr>
          <w:spacing w:val="-9"/>
          <w:sz w:val="16"/>
          <w:szCs w:val="16"/>
          <w:lang w:val="es-ES_tradnl"/>
        </w:rPr>
        <w:t xml:space="preserve">109012010RREC026725, de 14 de octubre del 2010, expedida </w:t>
      </w:r>
      <w:r>
        <w:rPr>
          <w:spacing w:val="-4"/>
          <w:sz w:val="16"/>
          <w:szCs w:val="16"/>
          <w:lang w:val="es-ES_tradnl"/>
        </w:rPr>
        <w:t>por el Director Regional (e) del Servicio de Rentas Internas del Litoral Sur y su antecedente Acta de Determinaci</w:t>
      </w:r>
      <w:r>
        <w:rPr>
          <w:rFonts w:cs="Times New Roman"/>
          <w:spacing w:val="-4"/>
          <w:sz w:val="16"/>
          <w:szCs w:val="16"/>
          <w:lang w:val="es-ES_tradnl"/>
        </w:rPr>
        <w:t>ó</w:t>
      </w:r>
      <w:r>
        <w:rPr>
          <w:spacing w:val="-4"/>
          <w:sz w:val="16"/>
          <w:szCs w:val="16"/>
          <w:lang w:val="es-ES_tradnl"/>
        </w:rPr>
        <w:t>n N</w:t>
      </w:r>
      <w:r>
        <w:rPr>
          <w:rFonts w:cs="Times New Roman"/>
          <w:spacing w:val="-4"/>
          <w:sz w:val="16"/>
          <w:szCs w:val="16"/>
          <w:lang w:val="es-ES_tradnl"/>
        </w:rPr>
        <w:t xml:space="preserve">° </w:t>
      </w:r>
      <w:r>
        <w:rPr>
          <w:spacing w:val="-7"/>
          <w:sz w:val="16"/>
          <w:szCs w:val="16"/>
          <w:lang w:val="es-ES_tradnl"/>
        </w:rPr>
        <w:t xml:space="preserve">0920100100121, con sustento en las consideraciones que </w:t>
      </w:r>
      <w:r>
        <w:rPr>
          <w:spacing w:val="-6"/>
          <w:sz w:val="16"/>
          <w:szCs w:val="16"/>
          <w:lang w:val="es-ES_tradnl"/>
        </w:rPr>
        <w:t>constan en el ac</w:t>
      </w:r>
      <w:r>
        <w:rPr>
          <w:rFonts w:cs="Times New Roman"/>
          <w:spacing w:val="-6"/>
          <w:sz w:val="16"/>
          <w:szCs w:val="16"/>
          <w:lang w:val="es-ES_tradnl"/>
        </w:rPr>
        <w:t>á</w:t>
      </w:r>
      <w:r>
        <w:rPr>
          <w:spacing w:val="-6"/>
          <w:sz w:val="16"/>
          <w:szCs w:val="16"/>
          <w:lang w:val="es-ES_tradnl"/>
        </w:rPr>
        <w:t>pite VI del presente fallo (</w:t>
      </w:r>
      <w:r>
        <w:rPr>
          <w:rFonts w:cs="Times New Roman"/>
          <w:spacing w:val="-6"/>
          <w:sz w:val="16"/>
          <w:szCs w:val="16"/>
          <w:lang w:val="es-ES_tradnl"/>
        </w:rPr>
        <w:t>…</w:t>
      </w:r>
      <w:r>
        <w:rPr>
          <w:spacing w:val="-6"/>
          <w:sz w:val="16"/>
          <w:szCs w:val="16"/>
          <w:lang w:val="es-ES_tradnl"/>
        </w:rPr>
        <w:t>).</w:t>
      </w:r>
    </w:p>
    <w:p w14:paraId="4F67BA90" w14:textId="77777777" w:rsidR="00591D54" w:rsidRDefault="00591D54">
      <w:pPr>
        <w:shd w:val="clear" w:color="auto" w:fill="FFFFFF"/>
        <w:spacing w:line="226" w:lineRule="exact"/>
        <w:jc w:val="both"/>
        <w:sectPr w:rsidR="00591D54">
          <w:type w:val="continuous"/>
          <w:pgSz w:w="11909" w:h="16834"/>
          <w:pgMar w:top="1383" w:right="1309" w:bottom="360" w:left="1308" w:header="720" w:footer="720" w:gutter="0"/>
          <w:cols w:num="2" w:space="720" w:equalWidth="0">
            <w:col w:w="4310" w:space="960"/>
            <w:col w:w="4022"/>
          </w:cols>
          <w:noEndnote/>
        </w:sectPr>
      </w:pPr>
    </w:p>
    <w:p w14:paraId="4F67BA91" w14:textId="77777777" w:rsidR="00591D54" w:rsidRDefault="00591D54">
      <w:pPr>
        <w:shd w:val="clear" w:color="auto" w:fill="FFFFFF"/>
        <w:tabs>
          <w:tab w:val="left" w:pos="4814"/>
        </w:tabs>
        <w:ind w:left="5"/>
      </w:pPr>
      <w:r>
        <w:rPr>
          <w:b/>
          <w:bCs/>
          <w:sz w:val="18"/>
          <w:szCs w:val="18"/>
          <w:lang w:val="es-ES_tradnl"/>
        </w:rPr>
        <w:t xml:space="preserve">280 -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A92" w14:textId="77777777" w:rsidR="00591D54" w:rsidRDefault="00591D54">
      <w:pPr>
        <w:shd w:val="clear" w:color="auto" w:fill="FFFFFF"/>
        <w:spacing w:before="226"/>
      </w:pPr>
      <w:r>
        <w:rPr>
          <w:b/>
          <w:bCs/>
          <w:spacing w:val="-10"/>
          <w:sz w:val="18"/>
          <w:szCs w:val="18"/>
          <w:lang w:val="es-ES_tradnl"/>
        </w:rPr>
        <w:t>De la contestaci</w:t>
      </w:r>
      <w:r>
        <w:rPr>
          <w:rFonts w:cs="Times New Roman"/>
          <w:b/>
          <w:bCs/>
          <w:spacing w:val="-10"/>
          <w:sz w:val="18"/>
          <w:szCs w:val="18"/>
          <w:lang w:val="es-ES_tradnl"/>
        </w:rPr>
        <w:t>ó</w:t>
      </w:r>
      <w:r>
        <w:rPr>
          <w:b/>
          <w:bCs/>
          <w:spacing w:val="-10"/>
          <w:sz w:val="18"/>
          <w:szCs w:val="18"/>
          <w:lang w:val="es-ES_tradnl"/>
        </w:rPr>
        <w:t>n a la demanda y sus argumentos</w:t>
      </w:r>
    </w:p>
    <w:p w14:paraId="4F67BA93" w14:textId="77777777" w:rsidR="00591D54" w:rsidRDefault="00591D54">
      <w:pPr>
        <w:shd w:val="clear" w:color="auto" w:fill="FFFFFF"/>
        <w:spacing w:before="197" w:line="221" w:lineRule="exact"/>
        <w:ind w:right="4987"/>
        <w:jc w:val="both"/>
      </w:pPr>
      <w:r>
        <w:rPr>
          <w:b/>
          <w:bCs/>
          <w:spacing w:val="-8"/>
          <w:sz w:val="18"/>
          <w:szCs w:val="18"/>
          <w:lang w:val="es-ES_tradnl"/>
        </w:rPr>
        <w:t xml:space="preserve">Sala de lo Contencioso Tributario de la Corte Nacional </w:t>
      </w:r>
      <w:r>
        <w:rPr>
          <w:b/>
          <w:bCs/>
          <w:sz w:val="18"/>
          <w:szCs w:val="18"/>
          <w:lang w:val="es-ES_tradnl"/>
        </w:rPr>
        <w:t>de Justicia</w:t>
      </w:r>
    </w:p>
    <w:p w14:paraId="4F67BA94" w14:textId="77777777" w:rsidR="00591D54" w:rsidRDefault="00591D54">
      <w:pPr>
        <w:shd w:val="clear" w:color="auto" w:fill="FFFFFF"/>
        <w:spacing w:before="202" w:line="221" w:lineRule="exact"/>
        <w:ind w:right="4987"/>
        <w:jc w:val="both"/>
      </w:pPr>
      <w:r>
        <w:rPr>
          <w:spacing w:val="-8"/>
          <w:sz w:val="18"/>
          <w:szCs w:val="18"/>
          <w:lang w:val="es-ES_tradnl"/>
        </w:rPr>
        <w:t xml:space="preserve">Comparecen mediante escrito las doctoras Maritza Tatiana </w:t>
      </w:r>
      <w:r>
        <w:rPr>
          <w:spacing w:val="-9"/>
          <w:sz w:val="18"/>
          <w:szCs w:val="18"/>
          <w:lang w:val="es-ES_tradnl"/>
        </w:rPr>
        <w:t>P</w:t>
      </w:r>
      <w:r>
        <w:rPr>
          <w:rFonts w:cs="Times New Roman"/>
          <w:spacing w:val="-9"/>
          <w:sz w:val="18"/>
          <w:szCs w:val="18"/>
          <w:lang w:val="es-ES_tradnl"/>
        </w:rPr>
        <w:t>é</w:t>
      </w:r>
      <w:r>
        <w:rPr>
          <w:spacing w:val="-9"/>
          <w:sz w:val="18"/>
          <w:szCs w:val="18"/>
          <w:lang w:val="es-ES_tradnl"/>
        </w:rPr>
        <w:t>rez Valencia, Ana Mar</w:t>
      </w:r>
      <w:r>
        <w:rPr>
          <w:rFonts w:cs="Times New Roman"/>
          <w:spacing w:val="-9"/>
          <w:sz w:val="18"/>
          <w:szCs w:val="18"/>
          <w:lang w:val="es-ES_tradnl"/>
        </w:rPr>
        <w:t>í</w:t>
      </w:r>
      <w:r>
        <w:rPr>
          <w:spacing w:val="-9"/>
          <w:sz w:val="18"/>
          <w:szCs w:val="18"/>
          <w:lang w:val="es-ES_tradnl"/>
        </w:rPr>
        <w:t>a Crespo Santos y el doctor Jos</w:t>
      </w:r>
      <w:r>
        <w:rPr>
          <w:rFonts w:cs="Times New Roman"/>
          <w:spacing w:val="-9"/>
          <w:sz w:val="18"/>
          <w:szCs w:val="18"/>
          <w:lang w:val="es-ES_tradnl"/>
        </w:rPr>
        <w:t xml:space="preserve">é </w:t>
      </w:r>
      <w:r>
        <w:rPr>
          <w:spacing w:val="-8"/>
          <w:sz w:val="18"/>
          <w:szCs w:val="18"/>
          <w:lang w:val="es-ES_tradnl"/>
        </w:rPr>
        <w:t>Luis Ter</w:t>
      </w:r>
      <w:r>
        <w:rPr>
          <w:rFonts w:cs="Times New Roman"/>
          <w:spacing w:val="-8"/>
          <w:sz w:val="18"/>
          <w:szCs w:val="18"/>
          <w:lang w:val="es-ES_tradnl"/>
        </w:rPr>
        <w:t>á</w:t>
      </w:r>
      <w:r>
        <w:rPr>
          <w:spacing w:val="-8"/>
          <w:sz w:val="18"/>
          <w:szCs w:val="18"/>
          <w:lang w:val="es-ES_tradnl"/>
        </w:rPr>
        <w:t>n S</w:t>
      </w:r>
      <w:r>
        <w:rPr>
          <w:rFonts w:cs="Times New Roman"/>
          <w:spacing w:val="-8"/>
          <w:sz w:val="18"/>
          <w:szCs w:val="18"/>
          <w:lang w:val="es-ES_tradnl"/>
        </w:rPr>
        <w:t>á</w:t>
      </w:r>
      <w:r>
        <w:rPr>
          <w:spacing w:val="-8"/>
          <w:sz w:val="18"/>
          <w:szCs w:val="18"/>
          <w:lang w:val="es-ES_tradnl"/>
        </w:rPr>
        <w:t xml:space="preserve">nchez en calidad de jueces nacionales de la </w:t>
      </w:r>
      <w:r>
        <w:rPr>
          <w:spacing w:val="-9"/>
          <w:sz w:val="18"/>
          <w:szCs w:val="18"/>
          <w:lang w:val="es-ES_tradnl"/>
        </w:rPr>
        <w:t xml:space="preserve">Sala Especializada de lo Contencioso Tributario de la Corte </w:t>
      </w:r>
      <w:r>
        <w:rPr>
          <w:spacing w:val="-6"/>
          <w:sz w:val="18"/>
          <w:szCs w:val="18"/>
          <w:lang w:val="es-ES_tradnl"/>
        </w:rPr>
        <w:t xml:space="preserve">Nacional de Justicia mediante escrito constante a foja 29 </w:t>
      </w:r>
      <w:r>
        <w:rPr>
          <w:spacing w:val="-8"/>
          <w:sz w:val="18"/>
          <w:szCs w:val="18"/>
          <w:lang w:val="es-ES_tradnl"/>
        </w:rPr>
        <w:t>del expediente constitucional, manifestando en lo principal:</w:t>
      </w:r>
    </w:p>
    <w:p w14:paraId="4F67BA95" w14:textId="77777777" w:rsidR="00591D54" w:rsidRDefault="00591D54">
      <w:pPr>
        <w:shd w:val="clear" w:color="auto" w:fill="FFFFFF"/>
        <w:spacing w:before="197" w:line="221" w:lineRule="exact"/>
        <w:ind w:right="4987"/>
        <w:jc w:val="both"/>
      </w:pPr>
      <w:r>
        <w:rPr>
          <w:spacing w:val="-10"/>
          <w:sz w:val="18"/>
          <w:szCs w:val="18"/>
          <w:lang w:val="es-ES_tradnl"/>
        </w:rPr>
        <w:t>Que la sentencia objeto de la presente garant</w:t>
      </w:r>
      <w:r>
        <w:rPr>
          <w:rFonts w:cs="Times New Roman"/>
          <w:spacing w:val="-10"/>
          <w:sz w:val="18"/>
          <w:szCs w:val="18"/>
          <w:lang w:val="es-ES_tradnl"/>
        </w:rPr>
        <w:t>í</w:t>
      </w:r>
      <w:r>
        <w:rPr>
          <w:spacing w:val="-10"/>
          <w:sz w:val="18"/>
          <w:szCs w:val="18"/>
          <w:lang w:val="es-ES_tradnl"/>
        </w:rPr>
        <w:t xml:space="preserve">a jurisdiccional </w:t>
      </w:r>
      <w:r>
        <w:rPr>
          <w:spacing w:val="-7"/>
          <w:sz w:val="18"/>
          <w:szCs w:val="18"/>
          <w:lang w:val="es-ES_tradnl"/>
        </w:rPr>
        <w:t xml:space="preserve">fue dictada en observancia al derecho al debido proceso; </w:t>
      </w:r>
      <w:r>
        <w:rPr>
          <w:spacing w:val="-5"/>
          <w:sz w:val="18"/>
          <w:szCs w:val="18"/>
          <w:lang w:val="es-ES_tradnl"/>
        </w:rPr>
        <w:t>seguridad jur</w:t>
      </w:r>
      <w:r>
        <w:rPr>
          <w:rFonts w:cs="Times New Roman"/>
          <w:spacing w:val="-5"/>
          <w:sz w:val="18"/>
          <w:szCs w:val="18"/>
          <w:lang w:val="es-ES_tradnl"/>
        </w:rPr>
        <w:t>í</w:t>
      </w:r>
      <w:r>
        <w:rPr>
          <w:spacing w:val="-5"/>
          <w:sz w:val="18"/>
          <w:szCs w:val="18"/>
          <w:lang w:val="es-ES_tradnl"/>
        </w:rPr>
        <w:t xml:space="preserve">dica y a una tutela judicial efectiva. Indican </w:t>
      </w:r>
      <w:r>
        <w:rPr>
          <w:spacing w:val="-8"/>
          <w:sz w:val="18"/>
          <w:szCs w:val="18"/>
          <w:lang w:val="es-ES_tradnl"/>
        </w:rPr>
        <w:t>tambi</w:t>
      </w:r>
      <w:r>
        <w:rPr>
          <w:rFonts w:cs="Times New Roman"/>
          <w:spacing w:val="-8"/>
          <w:sz w:val="18"/>
          <w:szCs w:val="18"/>
          <w:lang w:val="es-ES_tradnl"/>
        </w:rPr>
        <w:t>é</w:t>
      </w:r>
      <w:r>
        <w:rPr>
          <w:spacing w:val="-8"/>
          <w:sz w:val="18"/>
          <w:szCs w:val="18"/>
          <w:lang w:val="es-ES_tradnl"/>
        </w:rPr>
        <w:t>n los comparecientes que la decisi</w:t>
      </w:r>
      <w:r>
        <w:rPr>
          <w:rFonts w:cs="Times New Roman"/>
          <w:spacing w:val="-8"/>
          <w:sz w:val="18"/>
          <w:szCs w:val="18"/>
          <w:lang w:val="es-ES_tradnl"/>
        </w:rPr>
        <w:t>ó</w:t>
      </w:r>
      <w:r>
        <w:rPr>
          <w:spacing w:val="-8"/>
          <w:sz w:val="18"/>
          <w:szCs w:val="18"/>
          <w:lang w:val="es-ES_tradnl"/>
        </w:rPr>
        <w:t xml:space="preserve">n objetada se </w:t>
      </w:r>
      <w:r>
        <w:rPr>
          <w:sz w:val="18"/>
          <w:szCs w:val="18"/>
          <w:lang w:val="es-ES_tradnl"/>
        </w:rPr>
        <w:t>encuentra debidamente motivada.</w:t>
      </w:r>
    </w:p>
    <w:p w14:paraId="4F67BA96" w14:textId="77777777" w:rsidR="00591D54" w:rsidRDefault="00591D54">
      <w:pPr>
        <w:shd w:val="clear" w:color="auto" w:fill="FFFFFF"/>
        <w:spacing w:before="197" w:line="221" w:lineRule="exact"/>
        <w:ind w:right="4987"/>
        <w:jc w:val="both"/>
      </w:pPr>
      <w:r>
        <w:rPr>
          <w:spacing w:val="-10"/>
          <w:sz w:val="18"/>
          <w:szCs w:val="18"/>
          <w:lang w:val="es-ES_tradnl"/>
        </w:rPr>
        <w:t>Finalmente, solicitan que se rechace la acci</w:t>
      </w:r>
      <w:r>
        <w:rPr>
          <w:rFonts w:cs="Times New Roman"/>
          <w:spacing w:val="-10"/>
          <w:sz w:val="18"/>
          <w:szCs w:val="18"/>
          <w:lang w:val="es-ES_tradnl"/>
        </w:rPr>
        <w:t>ó</w:t>
      </w:r>
      <w:r>
        <w:rPr>
          <w:spacing w:val="-10"/>
          <w:sz w:val="18"/>
          <w:szCs w:val="18"/>
          <w:lang w:val="es-ES_tradnl"/>
        </w:rPr>
        <w:t xml:space="preserve">n extraordinaria </w:t>
      </w:r>
      <w:r>
        <w:rPr>
          <w:spacing w:val="-7"/>
          <w:sz w:val="18"/>
          <w:szCs w:val="18"/>
          <w:lang w:val="es-ES_tradnl"/>
        </w:rPr>
        <w:t>de protecci</w:t>
      </w:r>
      <w:r>
        <w:rPr>
          <w:rFonts w:cs="Times New Roman"/>
          <w:spacing w:val="-7"/>
          <w:sz w:val="18"/>
          <w:szCs w:val="18"/>
          <w:lang w:val="es-ES_tradnl"/>
        </w:rPr>
        <w:t>ó</w:t>
      </w:r>
      <w:r>
        <w:rPr>
          <w:spacing w:val="-7"/>
          <w:sz w:val="18"/>
          <w:szCs w:val="18"/>
          <w:lang w:val="es-ES_tradnl"/>
        </w:rPr>
        <w:t>n presentada por la compa</w:t>
      </w:r>
      <w:r>
        <w:rPr>
          <w:rFonts w:cs="Times New Roman"/>
          <w:spacing w:val="-7"/>
          <w:sz w:val="18"/>
          <w:szCs w:val="18"/>
          <w:lang w:val="es-ES_tradnl"/>
        </w:rPr>
        <w:t>ñí</w:t>
      </w:r>
      <w:r>
        <w:rPr>
          <w:spacing w:val="-7"/>
          <w:sz w:val="18"/>
          <w:szCs w:val="18"/>
          <w:lang w:val="es-ES_tradnl"/>
        </w:rPr>
        <w:t xml:space="preserve">a de Laminados </w:t>
      </w:r>
      <w:r>
        <w:rPr>
          <w:spacing w:val="-6"/>
          <w:sz w:val="18"/>
          <w:szCs w:val="18"/>
          <w:lang w:val="es-ES_tradnl"/>
        </w:rPr>
        <w:t xml:space="preserve">Textiles Lamitex S.A. en contra de la sentencia de 19 de </w:t>
      </w:r>
      <w:r>
        <w:rPr>
          <w:spacing w:val="-7"/>
          <w:sz w:val="18"/>
          <w:szCs w:val="18"/>
          <w:lang w:val="es-ES_tradnl"/>
        </w:rPr>
        <w:t xml:space="preserve">diciembre de 2014, dictada por la Sala Especializada de lo </w:t>
      </w:r>
      <w:r>
        <w:rPr>
          <w:spacing w:val="-6"/>
          <w:sz w:val="18"/>
          <w:szCs w:val="18"/>
          <w:lang w:val="es-ES_tradnl"/>
        </w:rPr>
        <w:t>Contencioso Tributario de la Corte Nacional de Justicia.</w:t>
      </w:r>
    </w:p>
    <w:p w14:paraId="4F67BA97" w14:textId="77777777" w:rsidR="00591D54" w:rsidRDefault="00591D54">
      <w:pPr>
        <w:shd w:val="clear" w:color="auto" w:fill="FFFFFF"/>
        <w:spacing w:before="197"/>
      </w:pPr>
      <w:r>
        <w:rPr>
          <w:b/>
          <w:bCs/>
          <w:spacing w:val="-7"/>
          <w:sz w:val="18"/>
          <w:szCs w:val="18"/>
          <w:lang w:val="es-ES_tradnl"/>
        </w:rPr>
        <w:t>Procuradur</w:t>
      </w:r>
      <w:r>
        <w:rPr>
          <w:rFonts w:cs="Times New Roman"/>
          <w:b/>
          <w:bCs/>
          <w:spacing w:val="-7"/>
          <w:sz w:val="18"/>
          <w:szCs w:val="18"/>
          <w:lang w:val="es-ES_tradnl"/>
        </w:rPr>
        <w:t>í</w:t>
      </w:r>
      <w:r>
        <w:rPr>
          <w:b/>
          <w:bCs/>
          <w:spacing w:val="-7"/>
          <w:sz w:val="18"/>
          <w:szCs w:val="18"/>
          <w:lang w:val="es-ES_tradnl"/>
        </w:rPr>
        <w:t>a General del Estado</w:t>
      </w:r>
    </w:p>
    <w:p w14:paraId="4F67BA98" w14:textId="77777777" w:rsidR="00591D54" w:rsidRDefault="00591D54">
      <w:pPr>
        <w:shd w:val="clear" w:color="auto" w:fill="FFFFFF"/>
        <w:spacing w:before="202" w:line="221" w:lineRule="exact"/>
        <w:ind w:right="4987"/>
        <w:jc w:val="both"/>
      </w:pPr>
      <w:r>
        <w:rPr>
          <w:spacing w:val="-8"/>
          <w:sz w:val="18"/>
          <w:szCs w:val="18"/>
          <w:lang w:val="es-ES_tradnl"/>
        </w:rPr>
        <w:t xml:space="preserve">Comparece el abogado Marcos Arteaga Valenzuela, en </w:t>
      </w:r>
      <w:r>
        <w:rPr>
          <w:spacing w:val="-6"/>
          <w:sz w:val="18"/>
          <w:szCs w:val="18"/>
          <w:lang w:val="es-ES_tradnl"/>
        </w:rPr>
        <w:t xml:space="preserve">calidad de director nacional de patrocinio, delegado del </w:t>
      </w:r>
      <w:r>
        <w:rPr>
          <w:spacing w:val="-9"/>
          <w:sz w:val="18"/>
          <w:szCs w:val="18"/>
          <w:lang w:val="es-ES_tradnl"/>
        </w:rPr>
        <w:t xml:space="preserve">Procurador General del Estado, conforme obra a foja 31 del </w:t>
      </w:r>
      <w:r>
        <w:rPr>
          <w:spacing w:val="-7"/>
          <w:sz w:val="18"/>
          <w:szCs w:val="18"/>
          <w:lang w:val="es-ES_tradnl"/>
        </w:rPr>
        <w:t>expediente constitucional se</w:t>
      </w:r>
      <w:r>
        <w:rPr>
          <w:rFonts w:cs="Times New Roman"/>
          <w:spacing w:val="-7"/>
          <w:sz w:val="18"/>
          <w:szCs w:val="18"/>
          <w:lang w:val="es-ES_tradnl"/>
        </w:rPr>
        <w:t>ñ</w:t>
      </w:r>
      <w:r>
        <w:rPr>
          <w:spacing w:val="-7"/>
          <w:sz w:val="18"/>
          <w:szCs w:val="18"/>
          <w:lang w:val="es-ES_tradnl"/>
        </w:rPr>
        <w:t xml:space="preserve">alando casilla constitucional </w:t>
      </w:r>
      <w:r>
        <w:rPr>
          <w:sz w:val="18"/>
          <w:szCs w:val="18"/>
          <w:lang w:val="es-ES_tradnl"/>
        </w:rPr>
        <w:t>para los fines pertinentes.</w:t>
      </w:r>
    </w:p>
    <w:p w14:paraId="4F67BA99" w14:textId="77777777" w:rsidR="00591D54" w:rsidRDefault="00591D54">
      <w:pPr>
        <w:shd w:val="clear" w:color="auto" w:fill="FFFFFF"/>
        <w:spacing w:before="197"/>
      </w:pPr>
      <w:r>
        <w:rPr>
          <w:b/>
          <w:bCs/>
          <w:spacing w:val="-11"/>
          <w:sz w:val="18"/>
          <w:szCs w:val="18"/>
          <w:lang w:val="es-ES_tradnl"/>
        </w:rPr>
        <w:t>Terceros Interesados</w:t>
      </w:r>
    </w:p>
    <w:p w14:paraId="4F67BA9A" w14:textId="77777777" w:rsidR="00591D54" w:rsidRDefault="00591D54">
      <w:pPr>
        <w:shd w:val="clear" w:color="auto" w:fill="FFFFFF"/>
        <w:spacing w:before="202" w:line="221" w:lineRule="exact"/>
        <w:ind w:right="4987"/>
        <w:jc w:val="both"/>
      </w:pPr>
      <w:r>
        <w:rPr>
          <w:spacing w:val="-7"/>
          <w:sz w:val="18"/>
          <w:szCs w:val="18"/>
          <w:lang w:val="es-ES_tradnl"/>
        </w:rPr>
        <w:t xml:space="preserve">Mediante escrito constante a fojas 34 a 39 del expediente </w:t>
      </w:r>
      <w:r>
        <w:rPr>
          <w:spacing w:val="-6"/>
          <w:sz w:val="18"/>
          <w:szCs w:val="18"/>
          <w:lang w:val="es-ES_tradnl"/>
        </w:rPr>
        <w:t>constitucional comparece el economista Antonio Avil</w:t>
      </w:r>
      <w:r>
        <w:rPr>
          <w:rFonts w:cs="Times New Roman"/>
          <w:spacing w:val="-6"/>
          <w:sz w:val="18"/>
          <w:szCs w:val="18"/>
          <w:lang w:val="es-ES_tradnl"/>
        </w:rPr>
        <w:t>é</w:t>
      </w:r>
      <w:r>
        <w:rPr>
          <w:spacing w:val="-6"/>
          <w:sz w:val="18"/>
          <w:szCs w:val="18"/>
          <w:lang w:val="es-ES_tradnl"/>
        </w:rPr>
        <w:t>s Sanmart</w:t>
      </w:r>
      <w:r>
        <w:rPr>
          <w:rFonts w:cs="Times New Roman"/>
          <w:spacing w:val="-6"/>
          <w:sz w:val="18"/>
          <w:szCs w:val="18"/>
          <w:lang w:val="es-ES_tradnl"/>
        </w:rPr>
        <w:t>í</w:t>
      </w:r>
      <w:r>
        <w:rPr>
          <w:spacing w:val="-6"/>
          <w:sz w:val="18"/>
          <w:szCs w:val="18"/>
          <w:lang w:val="es-ES_tradnl"/>
        </w:rPr>
        <w:t xml:space="preserve">n, en calidad de Director Zonal 8 del Servicio de </w:t>
      </w:r>
      <w:r>
        <w:rPr>
          <w:spacing w:val="-7"/>
          <w:sz w:val="18"/>
          <w:szCs w:val="18"/>
          <w:lang w:val="es-ES_tradnl"/>
        </w:rPr>
        <w:t>Rentas Internas, manifestando en lo principal:</w:t>
      </w:r>
    </w:p>
    <w:p w14:paraId="4F67BA9B" w14:textId="77777777" w:rsidR="00591D54" w:rsidRDefault="00591D54">
      <w:pPr>
        <w:shd w:val="clear" w:color="auto" w:fill="FFFFFF"/>
        <w:spacing w:before="202" w:line="221" w:lineRule="exact"/>
        <w:ind w:right="4987"/>
        <w:jc w:val="both"/>
      </w:pPr>
      <w:r>
        <w:rPr>
          <w:sz w:val="18"/>
          <w:szCs w:val="18"/>
          <w:lang w:val="es-ES_tradnl"/>
        </w:rPr>
        <w:t>Que el art</w:t>
      </w:r>
      <w:r>
        <w:rPr>
          <w:rFonts w:cs="Times New Roman"/>
          <w:sz w:val="18"/>
          <w:szCs w:val="18"/>
          <w:lang w:val="es-ES_tradnl"/>
        </w:rPr>
        <w:t>í</w:t>
      </w:r>
      <w:r>
        <w:rPr>
          <w:sz w:val="18"/>
          <w:szCs w:val="18"/>
          <w:lang w:val="es-ES_tradnl"/>
        </w:rPr>
        <w:t>culo 94 de la Constituci</w:t>
      </w:r>
      <w:r>
        <w:rPr>
          <w:rFonts w:cs="Times New Roman"/>
          <w:sz w:val="18"/>
          <w:szCs w:val="18"/>
          <w:lang w:val="es-ES_tradnl"/>
        </w:rPr>
        <w:t>ó</w:t>
      </w:r>
      <w:r>
        <w:rPr>
          <w:sz w:val="18"/>
          <w:szCs w:val="18"/>
          <w:lang w:val="es-ES_tradnl"/>
        </w:rPr>
        <w:t>n de la Rep</w:t>
      </w:r>
      <w:r>
        <w:rPr>
          <w:rFonts w:cs="Times New Roman"/>
          <w:sz w:val="18"/>
          <w:szCs w:val="18"/>
          <w:lang w:val="es-ES_tradnl"/>
        </w:rPr>
        <w:t>ú</w:t>
      </w:r>
      <w:r>
        <w:rPr>
          <w:sz w:val="18"/>
          <w:szCs w:val="18"/>
          <w:lang w:val="es-ES_tradnl"/>
        </w:rPr>
        <w:t xml:space="preserve">blica </w:t>
      </w:r>
      <w:r>
        <w:rPr>
          <w:spacing w:val="-7"/>
          <w:sz w:val="18"/>
          <w:szCs w:val="18"/>
          <w:lang w:val="es-ES_tradnl"/>
        </w:rPr>
        <w:t>del Ecuador establece que la acci</w:t>
      </w:r>
      <w:r>
        <w:rPr>
          <w:rFonts w:cs="Times New Roman"/>
          <w:spacing w:val="-7"/>
          <w:sz w:val="18"/>
          <w:szCs w:val="18"/>
          <w:lang w:val="es-ES_tradnl"/>
        </w:rPr>
        <w:t>ó</w:t>
      </w:r>
      <w:r>
        <w:rPr>
          <w:spacing w:val="-7"/>
          <w:sz w:val="18"/>
          <w:szCs w:val="18"/>
          <w:lang w:val="es-ES_tradnl"/>
        </w:rPr>
        <w:t xml:space="preserve">n extraordinaria de </w:t>
      </w:r>
      <w:r>
        <w:rPr>
          <w:sz w:val="18"/>
          <w:szCs w:val="18"/>
          <w:lang w:val="es-ES_tradnl"/>
        </w:rPr>
        <w:t>protecci</w:t>
      </w:r>
      <w:r>
        <w:rPr>
          <w:rFonts w:cs="Times New Roman"/>
          <w:sz w:val="18"/>
          <w:szCs w:val="18"/>
          <w:lang w:val="es-ES_tradnl"/>
        </w:rPr>
        <w:t>ó</w:t>
      </w:r>
      <w:r>
        <w:rPr>
          <w:sz w:val="18"/>
          <w:szCs w:val="18"/>
          <w:lang w:val="es-ES_tradnl"/>
        </w:rPr>
        <w:t xml:space="preserve">n procede en contra de sentencias o autos </w:t>
      </w:r>
      <w:r>
        <w:rPr>
          <w:spacing w:val="-8"/>
          <w:sz w:val="18"/>
          <w:szCs w:val="18"/>
          <w:lang w:val="es-ES_tradnl"/>
        </w:rPr>
        <w:t>definitivos en los que se haya violado por acci</w:t>
      </w:r>
      <w:r>
        <w:rPr>
          <w:rFonts w:cs="Times New Roman"/>
          <w:spacing w:val="-8"/>
          <w:sz w:val="18"/>
          <w:szCs w:val="18"/>
          <w:lang w:val="es-ES_tradnl"/>
        </w:rPr>
        <w:t>ó</w:t>
      </w:r>
      <w:r>
        <w:rPr>
          <w:spacing w:val="-8"/>
          <w:sz w:val="18"/>
          <w:szCs w:val="18"/>
          <w:lang w:val="es-ES_tradnl"/>
        </w:rPr>
        <w:t>n u omisi</w:t>
      </w:r>
      <w:r>
        <w:rPr>
          <w:rFonts w:cs="Times New Roman"/>
          <w:spacing w:val="-8"/>
          <w:sz w:val="18"/>
          <w:szCs w:val="18"/>
          <w:lang w:val="es-ES_tradnl"/>
        </w:rPr>
        <w:t>ó</w:t>
      </w:r>
      <w:r>
        <w:rPr>
          <w:spacing w:val="-8"/>
          <w:sz w:val="18"/>
          <w:szCs w:val="18"/>
          <w:lang w:val="es-ES_tradnl"/>
        </w:rPr>
        <w:t xml:space="preserve">n derechos constitucionales en concordancia con lo prescrito </w:t>
      </w:r>
      <w:r>
        <w:rPr>
          <w:spacing w:val="-6"/>
          <w:sz w:val="18"/>
          <w:szCs w:val="18"/>
          <w:lang w:val="es-ES_tradnl"/>
        </w:rPr>
        <w:t>en los art</w:t>
      </w:r>
      <w:r>
        <w:rPr>
          <w:rFonts w:cs="Times New Roman"/>
          <w:spacing w:val="-6"/>
          <w:sz w:val="18"/>
          <w:szCs w:val="18"/>
          <w:lang w:val="es-ES_tradnl"/>
        </w:rPr>
        <w:t>í</w:t>
      </w:r>
      <w:r>
        <w:rPr>
          <w:spacing w:val="-6"/>
          <w:sz w:val="18"/>
          <w:szCs w:val="18"/>
          <w:lang w:val="es-ES_tradnl"/>
        </w:rPr>
        <w:t>culos 6 y 58 de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w:t>
      </w:r>
      <w:r>
        <w:rPr>
          <w:spacing w:val="-5"/>
          <w:sz w:val="18"/>
          <w:szCs w:val="18"/>
          <w:lang w:val="es-ES_tradnl"/>
        </w:rPr>
        <w:t>Jurisdiccionales y Control Constitucional.</w:t>
      </w:r>
    </w:p>
    <w:p w14:paraId="4F67BA9C" w14:textId="77777777" w:rsidR="00591D54" w:rsidRDefault="00591D54">
      <w:pPr>
        <w:shd w:val="clear" w:color="auto" w:fill="FFFFFF"/>
        <w:spacing w:before="202" w:line="221" w:lineRule="exact"/>
        <w:ind w:right="4992"/>
        <w:jc w:val="both"/>
      </w:pPr>
      <w:r>
        <w:rPr>
          <w:spacing w:val="-9"/>
          <w:sz w:val="18"/>
          <w:szCs w:val="18"/>
          <w:lang w:val="es-ES_tradnl"/>
        </w:rPr>
        <w:t>Manifiesta el compareciente que del contenido de la acci</w:t>
      </w:r>
      <w:r>
        <w:rPr>
          <w:rFonts w:cs="Times New Roman"/>
          <w:spacing w:val="-9"/>
          <w:sz w:val="18"/>
          <w:szCs w:val="18"/>
          <w:lang w:val="es-ES_tradnl"/>
        </w:rPr>
        <w:t>ó</w:t>
      </w:r>
      <w:r>
        <w:rPr>
          <w:spacing w:val="-9"/>
          <w:sz w:val="18"/>
          <w:szCs w:val="18"/>
          <w:lang w:val="es-ES_tradnl"/>
        </w:rPr>
        <w:t xml:space="preserve">n </w:t>
      </w:r>
      <w:r>
        <w:rPr>
          <w:spacing w:val="-6"/>
          <w:sz w:val="18"/>
          <w:szCs w:val="18"/>
          <w:lang w:val="es-ES_tradnl"/>
        </w:rPr>
        <w:t>extraordinaria de protecci</w:t>
      </w:r>
      <w:r>
        <w:rPr>
          <w:rFonts w:cs="Times New Roman"/>
          <w:spacing w:val="-6"/>
          <w:sz w:val="18"/>
          <w:szCs w:val="18"/>
          <w:lang w:val="es-ES_tradnl"/>
        </w:rPr>
        <w:t>ó</w:t>
      </w:r>
      <w:r>
        <w:rPr>
          <w:spacing w:val="-6"/>
          <w:sz w:val="18"/>
          <w:szCs w:val="18"/>
          <w:lang w:val="es-ES_tradnl"/>
        </w:rPr>
        <w:t xml:space="preserve">n presentada no se desprende </w:t>
      </w:r>
      <w:r>
        <w:rPr>
          <w:spacing w:val="-7"/>
          <w:sz w:val="18"/>
          <w:szCs w:val="18"/>
          <w:lang w:val="es-ES_tradnl"/>
        </w:rPr>
        <w:t>la configuraci</w:t>
      </w:r>
      <w:r>
        <w:rPr>
          <w:rFonts w:cs="Times New Roman"/>
          <w:spacing w:val="-7"/>
          <w:sz w:val="18"/>
          <w:szCs w:val="18"/>
          <w:lang w:val="es-ES_tradnl"/>
        </w:rPr>
        <w:t>ó</w:t>
      </w:r>
      <w:r>
        <w:rPr>
          <w:spacing w:val="-7"/>
          <w:sz w:val="18"/>
          <w:szCs w:val="18"/>
          <w:lang w:val="es-ES_tradnl"/>
        </w:rPr>
        <w:t>n de vulneraci</w:t>
      </w:r>
      <w:r>
        <w:rPr>
          <w:rFonts w:cs="Times New Roman"/>
          <w:spacing w:val="-7"/>
          <w:sz w:val="18"/>
          <w:szCs w:val="18"/>
          <w:lang w:val="es-ES_tradnl"/>
        </w:rPr>
        <w:t>ó</w:t>
      </w:r>
      <w:r>
        <w:rPr>
          <w:spacing w:val="-7"/>
          <w:sz w:val="18"/>
          <w:szCs w:val="18"/>
          <w:lang w:val="es-ES_tradnl"/>
        </w:rPr>
        <w:t xml:space="preserve">n de derecho constitucional </w:t>
      </w:r>
      <w:r>
        <w:rPr>
          <w:spacing w:val="-5"/>
          <w:sz w:val="18"/>
          <w:szCs w:val="18"/>
          <w:lang w:val="es-ES_tradnl"/>
        </w:rPr>
        <w:t>alguno, toda vez que indica que la decisi</w:t>
      </w:r>
      <w:r>
        <w:rPr>
          <w:rFonts w:cs="Times New Roman"/>
          <w:spacing w:val="-5"/>
          <w:sz w:val="18"/>
          <w:szCs w:val="18"/>
          <w:lang w:val="es-ES_tradnl"/>
        </w:rPr>
        <w:t>ó</w:t>
      </w:r>
      <w:r>
        <w:rPr>
          <w:spacing w:val="-5"/>
          <w:sz w:val="18"/>
          <w:szCs w:val="18"/>
          <w:lang w:val="es-ES_tradnl"/>
        </w:rPr>
        <w:t xml:space="preserve">n cuestionada </w:t>
      </w:r>
      <w:r>
        <w:rPr>
          <w:spacing w:val="-9"/>
          <w:sz w:val="18"/>
          <w:szCs w:val="18"/>
          <w:lang w:val="es-ES_tradnl"/>
        </w:rPr>
        <w:t xml:space="preserve">fue dictada en estricto respeto a las solemnidades previstas </w:t>
      </w:r>
      <w:r>
        <w:rPr>
          <w:spacing w:val="-8"/>
          <w:sz w:val="18"/>
          <w:szCs w:val="18"/>
          <w:lang w:val="es-ES_tradnl"/>
        </w:rPr>
        <w:t xml:space="preserve">para el efecto y en observancia a los derechos de los </w:t>
      </w:r>
      <w:r>
        <w:rPr>
          <w:sz w:val="18"/>
          <w:szCs w:val="18"/>
          <w:lang w:val="es-ES_tradnl"/>
        </w:rPr>
        <w:t>intervinientes en el proceso.</w:t>
      </w:r>
    </w:p>
    <w:p w14:paraId="4F67BA9D" w14:textId="77777777" w:rsidR="00591D54" w:rsidRDefault="00591D54">
      <w:pPr>
        <w:shd w:val="clear" w:color="auto" w:fill="FFFFFF"/>
        <w:spacing w:before="197" w:line="221" w:lineRule="exact"/>
        <w:ind w:right="4992"/>
        <w:jc w:val="both"/>
      </w:pPr>
      <w:r>
        <w:rPr>
          <w:spacing w:val="-11"/>
          <w:sz w:val="18"/>
          <w:szCs w:val="18"/>
          <w:lang w:val="es-ES_tradnl"/>
        </w:rPr>
        <w:t xml:space="preserve">Expone que la sentencia objetada se encuentra debidamente </w:t>
      </w:r>
      <w:r>
        <w:rPr>
          <w:spacing w:val="-8"/>
          <w:sz w:val="18"/>
          <w:szCs w:val="18"/>
          <w:lang w:val="es-ES_tradnl"/>
        </w:rPr>
        <w:t xml:space="preserve">motivada y que las autoridades jurisdiccionales integrantes </w:t>
      </w:r>
      <w:r>
        <w:rPr>
          <w:spacing w:val="-5"/>
          <w:sz w:val="18"/>
          <w:szCs w:val="18"/>
          <w:lang w:val="es-ES_tradnl"/>
        </w:rPr>
        <w:t xml:space="preserve">de la Sala Especializada de lo Contencioso Tributario de </w:t>
      </w:r>
      <w:r>
        <w:rPr>
          <w:spacing w:val="-8"/>
          <w:sz w:val="18"/>
          <w:szCs w:val="18"/>
          <w:lang w:val="es-ES_tradnl"/>
        </w:rPr>
        <w:t xml:space="preserve">la Corte Nacional de Justicia se pronunciaron en sentencia respecto de las alegaciones realizadas por el Servicio de </w:t>
      </w:r>
      <w:r>
        <w:rPr>
          <w:spacing w:val="-7"/>
          <w:sz w:val="18"/>
          <w:szCs w:val="18"/>
          <w:lang w:val="es-ES_tradnl"/>
        </w:rPr>
        <w:t>Rentas Internas en el recurso extraordinario de casaci</w:t>
      </w:r>
      <w:r>
        <w:rPr>
          <w:rFonts w:cs="Times New Roman"/>
          <w:spacing w:val="-7"/>
          <w:sz w:val="18"/>
          <w:szCs w:val="18"/>
          <w:lang w:val="es-ES_tradnl"/>
        </w:rPr>
        <w:t>ó</w:t>
      </w:r>
      <w:r>
        <w:rPr>
          <w:spacing w:val="-7"/>
          <w:sz w:val="18"/>
          <w:szCs w:val="18"/>
          <w:lang w:val="es-ES_tradnl"/>
        </w:rPr>
        <w:t xml:space="preserve">n </w:t>
      </w:r>
      <w:r>
        <w:rPr>
          <w:sz w:val="18"/>
          <w:szCs w:val="18"/>
          <w:lang w:val="es-ES_tradnl"/>
        </w:rPr>
        <w:t>interpuesto.</w:t>
      </w:r>
    </w:p>
    <w:p w14:paraId="4F67BA9E" w14:textId="77777777" w:rsidR="00591D54" w:rsidRDefault="00591D54">
      <w:pPr>
        <w:shd w:val="clear" w:color="auto" w:fill="FFFFFF"/>
        <w:spacing w:before="197" w:line="221" w:lineRule="exact"/>
        <w:ind w:right="4992"/>
        <w:jc w:val="both"/>
        <w:sectPr w:rsidR="00591D54">
          <w:pgSz w:w="11909" w:h="16834"/>
          <w:pgMar w:top="1354" w:right="1309" w:bottom="360" w:left="1308" w:header="720" w:footer="720" w:gutter="0"/>
          <w:cols w:space="60"/>
          <w:noEndnote/>
        </w:sectPr>
      </w:pPr>
    </w:p>
    <w:p w14:paraId="4F67BA9F"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- 281</w:t>
      </w:r>
    </w:p>
    <w:p w14:paraId="4F67BAA0" w14:textId="77777777" w:rsidR="00591D54" w:rsidRDefault="00591D54">
      <w:pPr>
        <w:shd w:val="clear" w:color="auto" w:fill="FFFFFF"/>
        <w:tabs>
          <w:tab w:val="left" w:pos="5842"/>
        </w:tabs>
        <w:spacing w:after="235"/>
        <w:ind w:left="5"/>
        <w:sectPr w:rsidR="00591D54">
          <w:pgSz w:w="11909" w:h="16834"/>
          <w:pgMar w:top="1371" w:right="1309" w:bottom="360" w:left="1308" w:header="720" w:footer="720" w:gutter="0"/>
          <w:cols w:space="60"/>
          <w:noEndnote/>
        </w:sectPr>
      </w:pPr>
    </w:p>
    <w:p w14:paraId="4F67BAA1" w14:textId="77777777" w:rsidR="00591D54" w:rsidRDefault="00591D54">
      <w:pPr>
        <w:shd w:val="clear" w:color="auto" w:fill="FFFFFF"/>
        <w:spacing w:line="216" w:lineRule="exact"/>
        <w:ind w:right="5"/>
        <w:jc w:val="both"/>
      </w:pPr>
      <w:r>
        <w:rPr>
          <w:spacing w:val="-6"/>
          <w:sz w:val="18"/>
          <w:szCs w:val="18"/>
          <w:lang w:val="es-ES_tradnl"/>
        </w:rPr>
        <w:t xml:space="preserve">En este sentido, el Pleno de la Corte Constitucional del </w:t>
      </w:r>
      <w:r>
        <w:rPr>
          <w:spacing w:val="-7"/>
          <w:sz w:val="18"/>
          <w:szCs w:val="18"/>
          <w:lang w:val="es-ES_tradnl"/>
        </w:rPr>
        <w:t>Ecuador determin</w:t>
      </w:r>
      <w:r>
        <w:rPr>
          <w:rFonts w:cs="Times New Roman"/>
          <w:spacing w:val="-7"/>
          <w:sz w:val="18"/>
          <w:szCs w:val="18"/>
          <w:lang w:val="es-ES_tradnl"/>
        </w:rPr>
        <w:t>ó</w:t>
      </w:r>
      <w:r>
        <w:rPr>
          <w:spacing w:val="-7"/>
          <w:sz w:val="18"/>
          <w:szCs w:val="18"/>
          <w:lang w:val="es-ES_tradnl"/>
        </w:rPr>
        <w:t xml:space="preserve"> en su sentencia N.</w:t>
      </w:r>
      <w:r>
        <w:rPr>
          <w:rFonts w:cs="Times New Roman"/>
          <w:spacing w:val="-7"/>
          <w:sz w:val="18"/>
          <w:szCs w:val="18"/>
          <w:lang w:val="es-ES_tradnl"/>
        </w:rPr>
        <w:t>°</w:t>
      </w:r>
      <w:r>
        <w:rPr>
          <w:spacing w:val="-7"/>
          <w:sz w:val="18"/>
          <w:szCs w:val="18"/>
          <w:lang w:val="es-ES_tradnl"/>
        </w:rPr>
        <w:t xml:space="preserve"> 092-13-SEP-CC </w:t>
      </w:r>
      <w:r>
        <w:rPr>
          <w:spacing w:val="-4"/>
          <w:sz w:val="18"/>
          <w:szCs w:val="18"/>
          <w:lang w:val="es-ES_tradnl"/>
        </w:rPr>
        <w:t>dictada dentro del caso N.</w:t>
      </w:r>
      <w:r>
        <w:rPr>
          <w:rFonts w:cs="Times New Roman"/>
          <w:spacing w:val="-4"/>
          <w:sz w:val="18"/>
          <w:szCs w:val="18"/>
          <w:lang w:val="es-ES_tradnl"/>
        </w:rPr>
        <w:t>°</w:t>
      </w:r>
      <w:r>
        <w:rPr>
          <w:spacing w:val="-4"/>
          <w:sz w:val="18"/>
          <w:szCs w:val="18"/>
          <w:lang w:val="es-ES_tradnl"/>
        </w:rPr>
        <w:t xml:space="preserve"> 0538-13-EP que la garant</w:t>
      </w:r>
      <w:r>
        <w:rPr>
          <w:rFonts w:cs="Times New Roman"/>
          <w:spacing w:val="-4"/>
          <w:sz w:val="18"/>
          <w:szCs w:val="18"/>
          <w:lang w:val="es-ES_tradnl"/>
        </w:rPr>
        <w:t>í</w:t>
      </w:r>
      <w:r>
        <w:rPr>
          <w:spacing w:val="-4"/>
          <w:sz w:val="18"/>
          <w:szCs w:val="18"/>
          <w:lang w:val="es-ES_tradnl"/>
        </w:rPr>
        <w:t xml:space="preserve">a </w:t>
      </w:r>
      <w:r>
        <w:rPr>
          <w:spacing w:val="-7"/>
          <w:sz w:val="18"/>
          <w:szCs w:val="18"/>
          <w:lang w:val="es-ES_tradnl"/>
        </w:rPr>
        <w:t>de motivaci</w:t>
      </w:r>
      <w:r>
        <w:rPr>
          <w:rFonts w:cs="Times New Roman"/>
          <w:spacing w:val="-7"/>
          <w:sz w:val="18"/>
          <w:szCs w:val="18"/>
          <w:lang w:val="es-ES_tradnl"/>
        </w:rPr>
        <w:t>ó</w:t>
      </w:r>
      <w:r>
        <w:rPr>
          <w:spacing w:val="-7"/>
          <w:sz w:val="18"/>
          <w:szCs w:val="18"/>
          <w:lang w:val="es-ES_tradnl"/>
        </w:rPr>
        <w:t xml:space="preserve">n cuenta con determinados requisitos a ser </w:t>
      </w:r>
      <w:r>
        <w:rPr>
          <w:spacing w:val="-9"/>
          <w:sz w:val="18"/>
          <w:szCs w:val="18"/>
          <w:lang w:val="es-ES_tradnl"/>
        </w:rPr>
        <w:t>observados por las autoridades, encontr</w:t>
      </w:r>
      <w:r>
        <w:rPr>
          <w:rFonts w:cs="Times New Roman"/>
          <w:spacing w:val="-9"/>
          <w:sz w:val="18"/>
          <w:szCs w:val="18"/>
          <w:lang w:val="es-ES_tradnl"/>
        </w:rPr>
        <w:t>á</w:t>
      </w:r>
      <w:r>
        <w:rPr>
          <w:spacing w:val="-9"/>
          <w:sz w:val="18"/>
          <w:szCs w:val="18"/>
          <w:lang w:val="es-ES_tradnl"/>
        </w:rPr>
        <w:t xml:space="preserve">ndose entre estos </w:t>
      </w:r>
      <w:r>
        <w:rPr>
          <w:spacing w:val="-6"/>
          <w:sz w:val="18"/>
          <w:szCs w:val="18"/>
          <w:lang w:val="es-ES_tradnl"/>
        </w:rPr>
        <w:t>la razonabilidad, l</w:t>
      </w:r>
      <w:r>
        <w:rPr>
          <w:rFonts w:cs="Times New Roman"/>
          <w:spacing w:val="-6"/>
          <w:sz w:val="18"/>
          <w:szCs w:val="18"/>
          <w:lang w:val="es-ES_tradnl"/>
        </w:rPr>
        <w:t>ó</w:t>
      </w:r>
      <w:r>
        <w:rPr>
          <w:spacing w:val="-6"/>
          <w:sz w:val="18"/>
          <w:szCs w:val="18"/>
          <w:lang w:val="es-ES_tradnl"/>
        </w:rPr>
        <w:t>gica y finalmente la comprensibilidad.</w:t>
      </w:r>
    </w:p>
    <w:p w14:paraId="4F67BAA2" w14:textId="77777777" w:rsidR="00591D54" w:rsidRDefault="00591D54">
      <w:pPr>
        <w:shd w:val="clear" w:color="auto" w:fill="FFFFFF"/>
        <w:spacing w:before="202" w:line="216" w:lineRule="exact"/>
        <w:ind w:right="5"/>
        <w:jc w:val="both"/>
      </w:pPr>
      <w:r>
        <w:rPr>
          <w:spacing w:val="-8"/>
          <w:sz w:val="18"/>
          <w:szCs w:val="18"/>
          <w:lang w:val="es-ES_tradnl"/>
        </w:rPr>
        <w:t>Respecto a los par</w:t>
      </w:r>
      <w:r>
        <w:rPr>
          <w:rFonts w:cs="Times New Roman"/>
          <w:spacing w:val="-8"/>
          <w:sz w:val="18"/>
          <w:szCs w:val="18"/>
          <w:lang w:val="es-ES_tradnl"/>
        </w:rPr>
        <w:t>á</w:t>
      </w:r>
      <w:r>
        <w:rPr>
          <w:spacing w:val="-8"/>
          <w:sz w:val="18"/>
          <w:szCs w:val="18"/>
          <w:lang w:val="es-ES_tradnl"/>
        </w:rPr>
        <w:t xml:space="preserve">metros referidos, este Organismo en la </w:t>
      </w:r>
      <w:r>
        <w:rPr>
          <w:spacing w:val="-9"/>
          <w:sz w:val="18"/>
          <w:szCs w:val="18"/>
          <w:lang w:val="es-ES_tradnl"/>
        </w:rPr>
        <w:t>sentencia N.</w:t>
      </w:r>
      <w:r>
        <w:rPr>
          <w:rFonts w:cs="Times New Roman"/>
          <w:spacing w:val="-9"/>
          <w:sz w:val="18"/>
          <w:szCs w:val="18"/>
          <w:lang w:val="es-ES_tradnl"/>
        </w:rPr>
        <w:t>°</w:t>
      </w:r>
      <w:r>
        <w:rPr>
          <w:spacing w:val="-9"/>
          <w:sz w:val="18"/>
          <w:szCs w:val="18"/>
          <w:lang w:val="es-ES_tradnl"/>
        </w:rPr>
        <w:t xml:space="preserve"> 225-14-SEP-C emitida dentro de la causa N.</w:t>
      </w:r>
      <w:r>
        <w:rPr>
          <w:rFonts w:cs="Times New Roman"/>
          <w:spacing w:val="-9"/>
          <w:sz w:val="18"/>
          <w:szCs w:val="18"/>
          <w:lang w:val="es-ES_tradnl"/>
        </w:rPr>
        <w:t xml:space="preserve">° </w:t>
      </w:r>
      <w:r>
        <w:rPr>
          <w:spacing w:val="-8"/>
          <w:sz w:val="18"/>
          <w:szCs w:val="18"/>
          <w:lang w:val="es-ES_tradnl"/>
        </w:rPr>
        <w:t>0289-13-EP, determin</w:t>
      </w:r>
      <w:r>
        <w:rPr>
          <w:rFonts w:cs="Times New Roman"/>
          <w:spacing w:val="-8"/>
          <w:sz w:val="18"/>
          <w:szCs w:val="18"/>
          <w:lang w:val="es-ES_tradnl"/>
        </w:rPr>
        <w:t>ó</w:t>
      </w:r>
      <w:r>
        <w:rPr>
          <w:spacing w:val="-8"/>
          <w:sz w:val="18"/>
          <w:szCs w:val="18"/>
          <w:lang w:val="es-ES_tradnl"/>
        </w:rPr>
        <w:t xml:space="preserve"> que el requisito de la razonabilidad </w:t>
      </w:r>
      <w:r>
        <w:rPr>
          <w:rFonts w:cs="Times New Roman"/>
          <w:spacing w:val="-5"/>
          <w:sz w:val="18"/>
          <w:szCs w:val="18"/>
          <w:lang w:val="es-ES_tradnl"/>
        </w:rPr>
        <w:t>“…</w:t>
      </w:r>
      <w:r>
        <w:rPr>
          <w:spacing w:val="-5"/>
          <w:sz w:val="18"/>
          <w:szCs w:val="18"/>
          <w:lang w:val="es-ES_tradnl"/>
        </w:rPr>
        <w:t>implica la fundamentaci</w:t>
      </w:r>
      <w:r>
        <w:rPr>
          <w:rFonts w:cs="Times New Roman"/>
          <w:spacing w:val="-5"/>
          <w:sz w:val="18"/>
          <w:szCs w:val="18"/>
          <w:lang w:val="es-ES_tradnl"/>
        </w:rPr>
        <w:t>ó</w:t>
      </w:r>
      <w:r>
        <w:rPr>
          <w:spacing w:val="-5"/>
          <w:sz w:val="18"/>
          <w:szCs w:val="18"/>
          <w:lang w:val="es-ES_tradnl"/>
        </w:rPr>
        <w:t>n de la decisi</w:t>
      </w:r>
      <w:r>
        <w:rPr>
          <w:rFonts w:cs="Times New Roman"/>
          <w:spacing w:val="-5"/>
          <w:sz w:val="18"/>
          <w:szCs w:val="18"/>
          <w:lang w:val="es-ES_tradnl"/>
        </w:rPr>
        <w:t>ó</w:t>
      </w:r>
      <w:r>
        <w:rPr>
          <w:spacing w:val="-5"/>
          <w:sz w:val="18"/>
          <w:szCs w:val="18"/>
          <w:lang w:val="es-ES_tradnl"/>
        </w:rPr>
        <w:t xml:space="preserve">n del juez y la </w:t>
      </w:r>
      <w:r>
        <w:rPr>
          <w:spacing w:val="-10"/>
          <w:sz w:val="18"/>
          <w:szCs w:val="18"/>
          <w:lang w:val="es-ES_tradnl"/>
        </w:rPr>
        <w:t>construcci</w:t>
      </w:r>
      <w:r>
        <w:rPr>
          <w:rFonts w:cs="Times New Roman"/>
          <w:spacing w:val="-10"/>
          <w:sz w:val="18"/>
          <w:szCs w:val="18"/>
          <w:lang w:val="es-ES_tradnl"/>
        </w:rPr>
        <w:t>ó</w:t>
      </w:r>
      <w:r>
        <w:rPr>
          <w:spacing w:val="-10"/>
          <w:sz w:val="18"/>
          <w:szCs w:val="18"/>
          <w:lang w:val="es-ES_tradnl"/>
        </w:rPr>
        <w:t xml:space="preserve">n de que su criterio debe realizarse sobre la base </w:t>
      </w:r>
      <w:r>
        <w:rPr>
          <w:spacing w:val="-9"/>
          <w:sz w:val="18"/>
          <w:szCs w:val="18"/>
          <w:lang w:val="es-ES_tradnl"/>
        </w:rPr>
        <w:t xml:space="preserve">de las fuentes del derecho que en el caso concreto, resultan </w:t>
      </w:r>
      <w:r>
        <w:rPr>
          <w:spacing w:val="-4"/>
          <w:sz w:val="18"/>
          <w:szCs w:val="18"/>
          <w:lang w:val="es-ES_tradnl"/>
        </w:rPr>
        <w:t>aplicables y pertinentes</w:t>
      </w:r>
      <w:r>
        <w:rPr>
          <w:rFonts w:cs="Times New Roman"/>
          <w:spacing w:val="-4"/>
          <w:sz w:val="18"/>
          <w:szCs w:val="18"/>
          <w:lang w:val="es-ES_tradnl"/>
        </w:rPr>
        <w:t>”</w:t>
      </w:r>
      <w:r>
        <w:rPr>
          <w:spacing w:val="-4"/>
          <w:sz w:val="18"/>
          <w:szCs w:val="18"/>
          <w:lang w:val="es-ES_tradnl"/>
        </w:rPr>
        <w:t xml:space="preserve">; en lo que respecta al requisito </w:t>
      </w:r>
      <w:r>
        <w:rPr>
          <w:spacing w:val="-8"/>
          <w:sz w:val="18"/>
          <w:szCs w:val="18"/>
          <w:lang w:val="es-ES_tradnl"/>
        </w:rPr>
        <w:t>de la l</w:t>
      </w:r>
      <w:r>
        <w:rPr>
          <w:rFonts w:cs="Times New Roman"/>
          <w:spacing w:val="-8"/>
          <w:sz w:val="18"/>
          <w:szCs w:val="18"/>
          <w:lang w:val="es-ES_tradnl"/>
        </w:rPr>
        <w:t>ó</w:t>
      </w:r>
      <w:r>
        <w:rPr>
          <w:spacing w:val="-8"/>
          <w:sz w:val="18"/>
          <w:szCs w:val="18"/>
          <w:lang w:val="es-ES_tradnl"/>
        </w:rPr>
        <w:t>gica se</w:t>
      </w:r>
      <w:r>
        <w:rPr>
          <w:rFonts w:cs="Times New Roman"/>
          <w:spacing w:val="-8"/>
          <w:sz w:val="18"/>
          <w:szCs w:val="18"/>
          <w:lang w:val="es-ES_tradnl"/>
        </w:rPr>
        <w:t>ñ</w:t>
      </w:r>
      <w:r>
        <w:rPr>
          <w:spacing w:val="-8"/>
          <w:sz w:val="18"/>
          <w:szCs w:val="18"/>
          <w:lang w:val="es-ES_tradnl"/>
        </w:rPr>
        <w:t>al</w:t>
      </w:r>
      <w:r>
        <w:rPr>
          <w:rFonts w:cs="Times New Roman"/>
          <w:spacing w:val="-8"/>
          <w:sz w:val="18"/>
          <w:szCs w:val="18"/>
          <w:lang w:val="es-ES_tradnl"/>
        </w:rPr>
        <w:t>ó</w:t>
      </w:r>
      <w:r>
        <w:rPr>
          <w:spacing w:val="-8"/>
          <w:sz w:val="18"/>
          <w:szCs w:val="18"/>
          <w:lang w:val="es-ES_tradnl"/>
        </w:rPr>
        <w:t xml:space="preserve"> que se refiere a que la resoluci</w:t>
      </w:r>
      <w:r>
        <w:rPr>
          <w:rFonts w:cs="Times New Roman"/>
          <w:spacing w:val="-8"/>
          <w:sz w:val="18"/>
          <w:szCs w:val="18"/>
          <w:lang w:val="es-ES_tradnl"/>
        </w:rPr>
        <w:t>ó</w:t>
      </w:r>
      <w:r>
        <w:rPr>
          <w:spacing w:val="-8"/>
          <w:sz w:val="18"/>
          <w:szCs w:val="18"/>
          <w:lang w:val="es-ES_tradnl"/>
        </w:rPr>
        <w:t xml:space="preserve">n debe </w:t>
      </w:r>
      <w:r>
        <w:rPr>
          <w:spacing w:val="-9"/>
          <w:sz w:val="18"/>
          <w:szCs w:val="18"/>
          <w:lang w:val="es-ES_tradnl"/>
        </w:rPr>
        <w:t xml:space="preserve">ser construida </w:t>
      </w:r>
      <w:r>
        <w:rPr>
          <w:rFonts w:cs="Times New Roman"/>
          <w:spacing w:val="-9"/>
          <w:sz w:val="18"/>
          <w:szCs w:val="18"/>
          <w:lang w:val="es-ES_tradnl"/>
        </w:rPr>
        <w:t>“…</w:t>
      </w:r>
      <w:r>
        <w:rPr>
          <w:spacing w:val="-9"/>
          <w:sz w:val="18"/>
          <w:szCs w:val="18"/>
          <w:lang w:val="es-ES_tradnl"/>
        </w:rPr>
        <w:t xml:space="preserve"> sobre la base de premisas debidamente </w:t>
      </w:r>
      <w:r>
        <w:rPr>
          <w:spacing w:val="-11"/>
          <w:sz w:val="18"/>
          <w:szCs w:val="18"/>
          <w:lang w:val="es-ES_tradnl"/>
        </w:rPr>
        <w:t>coherentes y concatenadas entre s</w:t>
      </w:r>
      <w:r>
        <w:rPr>
          <w:rFonts w:cs="Times New Roman"/>
          <w:spacing w:val="-11"/>
          <w:sz w:val="18"/>
          <w:szCs w:val="18"/>
          <w:lang w:val="es-ES_tradnl"/>
        </w:rPr>
        <w:t>í</w:t>
      </w:r>
      <w:r>
        <w:rPr>
          <w:spacing w:val="-11"/>
          <w:sz w:val="18"/>
          <w:szCs w:val="18"/>
          <w:lang w:val="es-ES_tradnl"/>
        </w:rPr>
        <w:t xml:space="preserve">, pero principalmente con </w:t>
      </w:r>
      <w:r>
        <w:rPr>
          <w:spacing w:val="-6"/>
          <w:sz w:val="18"/>
          <w:szCs w:val="18"/>
          <w:lang w:val="es-ES_tradnl"/>
        </w:rPr>
        <w:t>la conclusi</w:t>
      </w:r>
      <w:r>
        <w:rPr>
          <w:rFonts w:cs="Times New Roman"/>
          <w:spacing w:val="-6"/>
          <w:sz w:val="18"/>
          <w:szCs w:val="18"/>
          <w:lang w:val="es-ES_tradnl"/>
        </w:rPr>
        <w:t>ó</w:t>
      </w:r>
      <w:r>
        <w:rPr>
          <w:spacing w:val="-6"/>
          <w:sz w:val="18"/>
          <w:szCs w:val="18"/>
          <w:lang w:val="es-ES_tradnl"/>
        </w:rPr>
        <w:t>n que de ellas se obtiene</w:t>
      </w:r>
      <w:r>
        <w:rPr>
          <w:rFonts w:cs="Times New Roman"/>
          <w:spacing w:val="-6"/>
          <w:sz w:val="18"/>
          <w:szCs w:val="18"/>
          <w:lang w:val="es-ES_tradnl"/>
        </w:rPr>
        <w:t>”</w:t>
      </w:r>
      <w:r>
        <w:rPr>
          <w:spacing w:val="-6"/>
          <w:sz w:val="18"/>
          <w:szCs w:val="18"/>
          <w:lang w:val="es-ES_tradnl"/>
        </w:rPr>
        <w:t>; y finalmente sobre el par</w:t>
      </w:r>
      <w:r>
        <w:rPr>
          <w:rFonts w:cs="Times New Roman"/>
          <w:spacing w:val="-6"/>
          <w:sz w:val="18"/>
          <w:szCs w:val="18"/>
          <w:lang w:val="es-ES_tradnl"/>
        </w:rPr>
        <w:t>á</w:t>
      </w:r>
      <w:r>
        <w:rPr>
          <w:spacing w:val="-6"/>
          <w:sz w:val="18"/>
          <w:szCs w:val="18"/>
          <w:lang w:val="es-ES_tradnl"/>
        </w:rPr>
        <w:t>metro de la comprensibilidad indic</w:t>
      </w:r>
      <w:r>
        <w:rPr>
          <w:rFonts w:cs="Times New Roman"/>
          <w:spacing w:val="-6"/>
          <w:sz w:val="18"/>
          <w:szCs w:val="18"/>
          <w:lang w:val="es-ES_tradnl"/>
        </w:rPr>
        <w:t>ó</w:t>
      </w:r>
      <w:r>
        <w:rPr>
          <w:spacing w:val="-6"/>
          <w:sz w:val="18"/>
          <w:szCs w:val="18"/>
          <w:lang w:val="es-ES_tradnl"/>
        </w:rPr>
        <w:t xml:space="preserve"> que se vincula </w:t>
      </w:r>
      <w:r>
        <w:rPr>
          <w:spacing w:val="-4"/>
          <w:sz w:val="18"/>
          <w:szCs w:val="18"/>
          <w:lang w:val="es-ES_tradnl"/>
        </w:rPr>
        <w:t xml:space="preserve">con la </w:t>
      </w:r>
      <w:r>
        <w:rPr>
          <w:rFonts w:cs="Times New Roman"/>
          <w:spacing w:val="-4"/>
          <w:sz w:val="18"/>
          <w:szCs w:val="18"/>
          <w:lang w:val="es-ES_tradnl"/>
        </w:rPr>
        <w:t>“…</w:t>
      </w:r>
      <w:r>
        <w:rPr>
          <w:spacing w:val="-4"/>
          <w:sz w:val="18"/>
          <w:szCs w:val="18"/>
          <w:lang w:val="es-ES_tradnl"/>
        </w:rPr>
        <w:t xml:space="preserve"> claridad del lenguaje utilizado por el juzgador </w:t>
      </w:r>
      <w:r>
        <w:rPr>
          <w:spacing w:val="-7"/>
          <w:sz w:val="18"/>
          <w:szCs w:val="18"/>
          <w:lang w:val="es-ES_tradnl"/>
        </w:rPr>
        <w:t xml:space="preserve">para exponer su argumento y garantizar que el fallo sea </w:t>
      </w:r>
      <w:r>
        <w:rPr>
          <w:spacing w:val="-9"/>
          <w:sz w:val="18"/>
          <w:szCs w:val="18"/>
          <w:lang w:val="es-ES_tradnl"/>
        </w:rPr>
        <w:t xml:space="preserve">adecuadamente entendido, tanto por las partes procesales </w:t>
      </w:r>
      <w:r>
        <w:rPr>
          <w:sz w:val="18"/>
          <w:szCs w:val="18"/>
          <w:lang w:val="es-ES_tradnl"/>
        </w:rPr>
        <w:t>como por el gran auditorio social</w:t>
      </w:r>
      <w:r>
        <w:rPr>
          <w:rFonts w:cs="Times New Roman"/>
          <w:sz w:val="18"/>
          <w:szCs w:val="18"/>
          <w:lang w:val="es-ES_tradnl"/>
        </w:rPr>
        <w:t>”</w:t>
      </w:r>
      <w:r>
        <w:rPr>
          <w:sz w:val="18"/>
          <w:szCs w:val="18"/>
          <w:lang w:val="es-ES_tradnl"/>
        </w:rPr>
        <w:t>.</w:t>
      </w:r>
    </w:p>
    <w:p w14:paraId="4F67BAA3" w14:textId="77777777" w:rsidR="00591D54" w:rsidRDefault="00591D54">
      <w:pPr>
        <w:shd w:val="clear" w:color="auto" w:fill="FFFFFF"/>
        <w:spacing w:before="202" w:line="216" w:lineRule="exact"/>
        <w:ind w:right="5"/>
        <w:jc w:val="both"/>
      </w:pPr>
      <w:r>
        <w:rPr>
          <w:spacing w:val="-10"/>
          <w:sz w:val="18"/>
          <w:szCs w:val="18"/>
          <w:lang w:val="es-ES_tradnl"/>
        </w:rPr>
        <w:t>Previo a continuar, este Organismo estima oportuno se</w:t>
      </w:r>
      <w:r>
        <w:rPr>
          <w:rFonts w:cs="Times New Roman"/>
          <w:spacing w:val="-10"/>
          <w:sz w:val="18"/>
          <w:szCs w:val="18"/>
          <w:lang w:val="es-ES_tradnl"/>
        </w:rPr>
        <w:t>ñ</w:t>
      </w:r>
      <w:r>
        <w:rPr>
          <w:spacing w:val="-10"/>
          <w:sz w:val="18"/>
          <w:szCs w:val="18"/>
          <w:lang w:val="es-ES_tradnl"/>
        </w:rPr>
        <w:t xml:space="preserve">alar </w:t>
      </w:r>
      <w:r>
        <w:rPr>
          <w:spacing w:val="-7"/>
          <w:sz w:val="18"/>
          <w:szCs w:val="18"/>
          <w:lang w:val="es-ES_tradnl"/>
        </w:rPr>
        <w:t>que la decisi</w:t>
      </w:r>
      <w:r>
        <w:rPr>
          <w:rFonts w:cs="Times New Roman"/>
          <w:spacing w:val="-7"/>
          <w:sz w:val="18"/>
          <w:szCs w:val="18"/>
          <w:lang w:val="es-ES_tradnl"/>
        </w:rPr>
        <w:t>ó</w:t>
      </w:r>
      <w:r>
        <w:rPr>
          <w:spacing w:val="-7"/>
          <w:sz w:val="18"/>
          <w:szCs w:val="18"/>
          <w:lang w:val="es-ES_tradnl"/>
        </w:rPr>
        <w:t>n objeto de la presente acci</w:t>
      </w:r>
      <w:r>
        <w:rPr>
          <w:rFonts w:cs="Times New Roman"/>
          <w:spacing w:val="-7"/>
          <w:sz w:val="18"/>
          <w:szCs w:val="18"/>
          <w:lang w:val="es-ES_tradnl"/>
        </w:rPr>
        <w:t>ó</w:t>
      </w:r>
      <w:r>
        <w:rPr>
          <w:spacing w:val="-7"/>
          <w:sz w:val="18"/>
          <w:szCs w:val="18"/>
          <w:lang w:val="es-ES_tradnl"/>
        </w:rPr>
        <w:t xml:space="preserve">n extraordinaria </w:t>
      </w:r>
      <w:r>
        <w:rPr>
          <w:sz w:val="18"/>
          <w:szCs w:val="18"/>
          <w:lang w:val="es-ES_tradnl"/>
        </w:rPr>
        <w:t>de protecci</w:t>
      </w:r>
      <w:r>
        <w:rPr>
          <w:rFonts w:cs="Times New Roman"/>
          <w:sz w:val="18"/>
          <w:szCs w:val="18"/>
          <w:lang w:val="es-ES_tradnl"/>
        </w:rPr>
        <w:t>ó</w:t>
      </w:r>
      <w:r>
        <w:rPr>
          <w:sz w:val="18"/>
          <w:szCs w:val="18"/>
          <w:lang w:val="es-ES_tradnl"/>
        </w:rPr>
        <w:t xml:space="preserve">n es proveniente de la justicia ordinaria, </w:t>
      </w:r>
      <w:r>
        <w:rPr>
          <w:spacing w:val="-7"/>
          <w:sz w:val="18"/>
          <w:szCs w:val="18"/>
          <w:lang w:val="es-ES_tradnl"/>
        </w:rPr>
        <w:t xml:space="preserve">toda vez que fue dictada por la Sala Especializada de lo </w:t>
      </w:r>
      <w:r>
        <w:rPr>
          <w:spacing w:val="-6"/>
          <w:sz w:val="18"/>
          <w:szCs w:val="18"/>
          <w:lang w:val="es-ES_tradnl"/>
        </w:rPr>
        <w:t xml:space="preserve">Contencioso Tributario dela Corte Nacional de Justicia en el marco del conocimiento del recurso extraordinario de </w:t>
      </w:r>
      <w:r>
        <w:rPr>
          <w:spacing w:val="-7"/>
          <w:sz w:val="18"/>
          <w:szCs w:val="18"/>
          <w:lang w:val="es-ES_tradnl"/>
        </w:rPr>
        <w:t>casaci</w:t>
      </w:r>
      <w:r>
        <w:rPr>
          <w:rFonts w:cs="Times New Roman"/>
          <w:spacing w:val="-7"/>
          <w:sz w:val="18"/>
          <w:szCs w:val="18"/>
          <w:lang w:val="es-ES_tradnl"/>
        </w:rPr>
        <w:t>ó</w:t>
      </w:r>
      <w:r>
        <w:rPr>
          <w:spacing w:val="-7"/>
          <w:sz w:val="18"/>
          <w:szCs w:val="18"/>
          <w:lang w:val="es-ES_tradnl"/>
        </w:rPr>
        <w:t xml:space="preserve">n interpuesto por el Servicio de Rentas Internas en </w:t>
      </w:r>
      <w:r>
        <w:rPr>
          <w:spacing w:val="-8"/>
          <w:sz w:val="18"/>
          <w:szCs w:val="18"/>
          <w:lang w:val="es-ES_tradnl"/>
        </w:rPr>
        <w:t xml:space="preserve">contra de la sentencia de 18 de mayo de 2012, dictado por </w:t>
      </w:r>
      <w:r>
        <w:rPr>
          <w:spacing w:val="-7"/>
          <w:sz w:val="18"/>
          <w:szCs w:val="18"/>
          <w:lang w:val="es-ES_tradnl"/>
        </w:rPr>
        <w:t>la segunda sala del Tribunal Distrital de lo Fiscal N.</w:t>
      </w:r>
      <w:r>
        <w:rPr>
          <w:rFonts w:cs="Times New Roman"/>
          <w:spacing w:val="-7"/>
          <w:sz w:val="18"/>
          <w:szCs w:val="18"/>
          <w:lang w:val="es-ES_tradnl"/>
        </w:rPr>
        <w:t>°</w:t>
      </w:r>
      <w:r>
        <w:rPr>
          <w:spacing w:val="-7"/>
          <w:sz w:val="18"/>
          <w:szCs w:val="18"/>
          <w:lang w:val="es-ES_tradnl"/>
        </w:rPr>
        <w:t xml:space="preserve"> 2 con </w:t>
      </w:r>
      <w:r>
        <w:rPr>
          <w:sz w:val="18"/>
          <w:szCs w:val="18"/>
          <w:lang w:val="es-ES_tradnl"/>
        </w:rPr>
        <w:t>sede en la ciudad de Guayaquil.</w:t>
      </w:r>
    </w:p>
    <w:p w14:paraId="4F67BAA4" w14:textId="77777777" w:rsidR="00591D54" w:rsidRDefault="00591D54">
      <w:pPr>
        <w:shd w:val="clear" w:color="auto" w:fill="FFFFFF"/>
        <w:spacing w:before="202" w:line="216" w:lineRule="exact"/>
        <w:jc w:val="both"/>
      </w:pPr>
      <w:r>
        <w:rPr>
          <w:spacing w:val="-9"/>
          <w:sz w:val="18"/>
          <w:szCs w:val="18"/>
          <w:lang w:val="es-ES_tradnl"/>
        </w:rPr>
        <w:t xml:space="preserve">En este orden de ideas, esta Corte estima oportuno referirse </w:t>
      </w:r>
      <w:r>
        <w:rPr>
          <w:spacing w:val="-2"/>
          <w:sz w:val="18"/>
          <w:szCs w:val="18"/>
          <w:lang w:val="es-ES_tradnl"/>
        </w:rPr>
        <w:t>a la naturaleza del recurso extraordinario de casaci</w:t>
      </w:r>
      <w:r>
        <w:rPr>
          <w:rFonts w:cs="Times New Roman"/>
          <w:spacing w:val="-2"/>
          <w:sz w:val="18"/>
          <w:szCs w:val="18"/>
          <w:lang w:val="es-ES_tradnl"/>
        </w:rPr>
        <w:t>ó</w:t>
      </w:r>
      <w:r>
        <w:rPr>
          <w:spacing w:val="-2"/>
          <w:sz w:val="18"/>
          <w:szCs w:val="18"/>
          <w:lang w:val="es-ES_tradnl"/>
        </w:rPr>
        <w:t xml:space="preserve">n. </w:t>
      </w:r>
      <w:r>
        <w:rPr>
          <w:spacing w:val="-6"/>
          <w:sz w:val="18"/>
          <w:szCs w:val="18"/>
          <w:lang w:val="es-ES_tradnl"/>
        </w:rPr>
        <w:t>Al respecto, el Pleno del Organismo en su sentencia N</w:t>
      </w:r>
      <w:r>
        <w:rPr>
          <w:rFonts w:cs="Times New Roman"/>
          <w:spacing w:val="-6"/>
          <w:sz w:val="18"/>
          <w:szCs w:val="18"/>
          <w:lang w:val="es-ES_tradnl"/>
        </w:rPr>
        <w:t xml:space="preserve">° </w:t>
      </w:r>
      <w:r>
        <w:rPr>
          <w:spacing w:val="-9"/>
          <w:sz w:val="18"/>
          <w:szCs w:val="18"/>
          <w:lang w:val="es-ES_tradnl"/>
        </w:rPr>
        <w:t>001-13-SEP-CC emitida dentro de la causa N</w:t>
      </w:r>
      <w:r>
        <w:rPr>
          <w:rFonts w:cs="Times New Roman"/>
          <w:spacing w:val="-9"/>
          <w:sz w:val="18"/>
          <w:szCs w:val="18"/>
          <w:lang w:val="es-ES_tradnl"/>
        </w:rPr>
        <w:t>°</w:t>
      </w:r>
      <w:r>
        <w:rPr>
          <w:spacing w:val="-9"/>
          <w:sz w:val="18"/>
          <w:szCs w:val="18"/>
          <w:lang w:val="es-ES_tradnl"/>
        </w:rPr>
        <w:t xml:space="preserve"> 1647-11-EP </w:t>
      </w:r>
      <w:r>
        <w:rPr>
          <w:spacing w:val="-8"/>
          <w:sz w:val="18"/>
          <w:szCs w:val="18"/>
          <w:lang w:val="es-ES_tradnl"/>
        </w:rPr>
        <w:t>se</w:t>
      </w:r>
      <w:r>
        <w:rPr>
          <w:rFonts w:cs="Times New Roman"/>
          <w:spacing w:val="-8"/>
          <w:sz w:val="18"/>
          <w:szCs w:val="18"/>
          <w:lang w:val="es-ES_tradnl"/>
        </w:rPr>
        <w:t>ñ</w:t>
      </w:r>
      <w:r>
        <w:rPr>
          <w:spacing w:val="-8"/>
          <w:sz w:val="18"/>
          <w:szCs w:val="18"/>
          <w:lang w:val="es-ES_tradnl"/>
        </w:rPr>
        <w:t>al</w:t>
      </w:r>
      <w:r>
        <w:rPr>
          <w:rFonts w:cs="Times New Roman"/>
          <w:spacing w:val="-8"/>
          <w:sz w:val="18"/>
          <w:szCs w:val="18"/>
          <w:lang w:val="es-ES_tradnl"/>
        </w:rPr>
        <w:t>ó</w:t>
      </w:r>
      <w:r>
        <w:rPr>
          <w:spacing w:val="-8"/>
          <w:sz w:val="18"/>
          <w:szCs w:val="18"/>
          <w:lang w:val="es-ES_tradnl"/>
        </w:rPr>
        <w:t xml:space="preserve"> que las autoridades jurisdiccionales que conocen y </w:t>
      </w:r>
      <w:r>
        <w:rPr>
          <w:spacing w:val="-7"/>
          <w:sz w:val="18"/>
          <w:szCs w:val="18"/>
          <w:lang w:val="es-ES_tradnl"/>
        </w:rPr>
        <w:t>resuelven un recurso de casaci</w:t>
      </w:r>
      <w:r>
        <w:rPr>
          <w:rFonts w:cs="Times New Roman"/>
          <w:spacing w:val="-7"/>
          <w:sz w:val="18"/>
          <w:szCs w:val="18"/>
          <w:lang w:val="es-ES_tradnl"/>
        </w:rPr>
        <w:t>ó</w:t>
      </w:r>
      <w:r>
        <w:rPr>
          <w:spacing w:val="-7"/>
          <w:sz w:val="18"/>
          <w:szCs w:val="18"/>
          <w:lang w:val="es-ES_tradnl"/>
        </w:rPr>
        <w:t xml:space="preserve">n no tienen competencia </w:t>
      </w:r>
      <w:r>
        <w:rPr>
          <w:sz w:val="18"/>
          <w:szCs w:val="18"/>
          <w:lang w:val="es-ES_tradnl"/>
        </w:rPr>
        <w:t>para:</w:t>
      </w:r>
    </w:p>
    <w:p w14:paraId="4F67BAA5" w14:textId="77777777" w:rsidR="00591D54" w:rsidRDefault="00591D54">
      <w:pPr>
        <w:shd w:val="clear" w:color="auto" w:fill="FFFFFF"/>
        <w:spacing w:before="211" w:line="216" w:lineRule="exact"/>
        <w:ind w:left="283" w:right="10"/>
        <w:jc w:val="both"/>
      </w:pPr>
      <w:r>
        <w:rPr>
          <w:rFonts w:cs="Times New Roman"/>
          <w:spacing w:val="-5"/>
          <w:sz w:val="16"/>
          <w:szCs w:val="16"/>
          <w:lang w:val="es-ES_tradnl"/>
        </w:rPr>
        <w:t>…</w:t>
      </w:r>
      <w:r>
        <w:rPr>
          <w:spacing w:val="-5"/>
          <w:sz w:val="16"/>
          <w:szCs w:val="16"/>
          <w:lang w:val="es-ES_tradnl"/>
        </w:rPr>
        <w:t xml:space="preserve">analizar temas de mera legalidad, que ya fueron resueltos </w:t>
      </w:r>
      <w:r>
        <w:rPr>
          <w:spacing w:val="-6"/>
          <w:sz w:val="16"/>
          <w:szCs w:val="16"/>
          <w:lang w:val="es-ES_tradnl"/>
        </w:rPr>
        <w:t>y discutidos en las instancias inferiores, como por ejemplo el an</w:t>
      </w:r>
      <w:r>
        <w:rPr>
          <w:rFonts w:cs="Times New Roman"/>
          <w:spacing w:val="-6"/>
          <w:sz w:val="16"/>
          <w:szCs w:val="16"/>
          <w:lang w:val="es-ES_tradnl"/>
        </w:rPr>
        <w:t>á</w:t>
      </w:r>
      <w:r>
        <w:rPr>
          <w:spacing w:val="-6"/>
          <w:sz w:val="16"/>
          <w:szCs w:val="16"/>
          <w:lang w:val="es-ES_tradnl"/>
        </w:rPr>
        <w:t>lisis de informes periciales, o la procedencia y valoraci</w:t>
      </w:r>
      <w:r>
        <w:rPr>
          <w:rFonts w:cs="Times New Roman"/>
          <w:spacing w:val="-6"/>
          <w:sz w:val="16"/>
          <w:szCs w:val="16"/>
          <w:lang w:val="es-ES_tradnl"/>
        </w:rPr>
        <w:t>ó</w:t>
      </w:r>
      <w:r>
        <w:rPr>
          <w:spacing w:val="-6"/>
          <w:sz w:val="16"/>
          <w:szCs w:val="16"/>
          <w:lang w:val="es-ES_tradnl"/>
        </w:rPr>
        <w:t xml:space="preserve">n </w:t>
      </w:r>
      <w:r>
        <w:rPr>
          <w:spacing w:val="-7"/>
          <w:sz w:val="16"/>
          <w:szCs w:val="16"/>
          <w:lang w:val="es-ES_tradnl"/>
        </w:rPr>
        <w:t>de pruebas, ya que si esto fuera as</w:t>
      </w:r>
      <w:r>
        <w:rPr>
          <w:rFonts w:cs="Times New Roman"/>
          <w:spacing w:val="-7"/>
          <w:sz w:val="16"/>
          <w:szCs w:val="16"/>
          <w:lang w:val="es-ES_tradnl"/>
        </w:rPr>
        <w:t>í</w:t>
      </w:r>
      <w:r>
        <w:rPr>
          <w:spacing w:val="-7"/>
          <w:sz w:val="16"/>
          <w:szCs w:val="16"/>
          <w:lang w:val="es-ES_tradnl"/>
        </w:rPr>
        <w:t xml:space="preserve"> se desconocer</w:t>
      </w:r>
      <w:r>
        <w:rPr>
          <w:rFonts w:cs="Times New Roman"/>
          <w:spacing w:val="-7"/>
          <w:sz w:val="16"/>
          <w:szCs w:val="16"/>
          <w:lang w:val="es-ES_tradnl"/>
        </w:rPr>
        <w:t>í</w:t>
      </w:r>
      <w:r>
        <w:rPr>
          <w:spacing w:val="-7"/>
          <w:sz w:val="16"/>
          <w:szCs w:val="16"/>
          <w:lang w:val="es-ES_tradnl"/>
        </w:rPr>
        <w:t xml:space="preserve">a la </w:t>
      </w:r>
      <w:r>
        <w:rPr>
          <w:spacing w:val="-8"/>
          <w:sz w:val="16"/>
          <w:szCs w:val="16"/>
          <w:lang w:val="es-ES_tradnl"/>
        </w:rPr>
        <w:t>independencia interna de los jueces y tribunales</w:t>
      </w:r>
      <w:r>
        <w:rPr>
          <w:rFonts w:cs="Times New Roman"/>
          <w:spacing w:val="-8"/>
          <w:sz w:val="16"/>
          <w:szCs w:val="16"/>
          <w:lang w:val="es-ES_tradnl"/>
        </w:rPr>
        <w:t>…</w:t>
      </w:r>
      <w:r>
        <w:rPr>
          <w:spacing w:val="-8"/>
          <w:sz w:val="16"/>
          <w:szCs w:val="16"/>
          <w:lang w:val="es-ES_tradnl"/>
        </w:rPr>
        <w:t xml:space="preserve"> garantizada </w:t>
      </w:r>
      <w:r>
        <w:rPr>
          <w:spacing w:val="-5"/>
          <w:sz w:val="16"/>
          <w:szCs w:val="16"/>
          <w:lang w:val="es-ES_tradnl"/>
        </w:rPr>
        <w:t>en la Constituci</w:t>
      </w:r>
      <w:r>
        <w:rPr>
          <w:rFonts w:cs="Times New Roman"/>
          <w:spacing w:val="-5"/>
          <w:sz w:val="16"/>
          <w:szCs w:val="16"/>
          <w:lang w:val="es-ES_tradnl"/>
        </w:rPr>
        <w:t>ó</w:t>
      </w:r>
      <w:r>
        <w:rPr>
          <w:spacing w:val="-5"/>
          <w:sz w:val="16"/>
          <w:szCs w:val="16"/>
          <w:lang w:val="es-ES_tradnl"/>
        </w:rPr>
        <w:t>n de la Rep</w:t>
      </w:r>
      <w:r>
        <w:rPr>
          <w:rFonts w:cs="Times New Roman"/>
          <w:spacing w:val="-5"/>
          <w:sz w:val="16"/>
          <w:szCs w:val="16"/>
          <w:lang w:val="es-ES_tradnl"/>
        </w:rPr>
        <w:t>ú</w:t>
      </w:r>
      <w:r>
        <w:rPr>
          <w:spacing w:val="-5"/>
          <w:sz w:val="16"/>
          <w:szCs w:val="16"/>
          <w:lang w:val="es-ES_tradnl"/>
        </w:rPr>
        <w:t>blica en el art</w:t>
      </w:r>
      <w:r>
        <w:rPr>
          <w:rFonts w:cs="Times New Roman"/>
          <w:spacing w:val="-5"/>
          <w:sz w:val="16"/>
          <w:szCs w:val="16"/>
          <w:lang w:val="es-ES_tradnl"/>
        </w:rPr>
        <w:t>í</w:t>
      </w:r>
      <w:r>
        <w:rPr>
          <w:spacing w:val="-5"/>
          <w:sz w:val="16"/>
          <w:szCs w:val="16"/>
          <w:lang w:val="es-ES_tradnl"/>
        </w:rPr>
        <w:t xml:space="preserve">culo 168 numeral </w:t>
      </w:r>
      <w:r>
        <w:rPr>
          <w:spacing w:val="-6"/>
          <w:sz w:val="16"/>
          <w:szCs w:val="16"/>
          <w:lang w:val="es-ES_tradnl"/>
        </w:rPr>
        <w:t xml:space="preserve">1 que reza: Los </w:t>
      </w:r>
      <w:r>
        <w:rPr>
          <w:rFonts w:cs="Times New Roman"/>
          <w:spacing w:val="-6"/>
          <w:sz w:val="16"/>
          <w:szCs w:val="16"/>
          <w:lang w:val="es-ES_tradnl"/>
        </w:rPr>
        <w:t>ó</w:t>
      </w:r>
      <w:r>
        <w:rPr>
          <w:spacing w:val="-6"/>
          <w:sz w:val="16"/>
          <w:szCs w:val="16"/>
          <w:lang w:val="es-ES_tradnl"/>
        </w:rPr>
        <w:t>rganos de la Funci</w:t>
      </w:r>
      <w:r>
        <w:rPr>
          <w:rFonts w:cs="Times New Roman"/>
          <w:spacing w:val="-6"/>
          <w:sz w:val="16"/>
          <w:szCs w:val="16"/>
          <w:lang w:val="es-ES_tradnl"/>
        </w:rPr>
        <w:t>ó</w:t>
      </w:r>
      <w:r>
        <w:rPr>
          <w:spacing w:val="-6"/>
          <w:sz w:val="16"/>
          <w:szCs w:val="16"/>
          <w:lang w:val="es-ES_tradnl"/>
        </w:rPr>
        <w:t>n Judicial gozar</w:t>
      </w:r>
      <w:r>
        <w:rPr>
          <w:rFonts w:cs="Times New Roman"/>
          <w:spacing w:val="-6"/>
          <w:sz w:val="16"/>
          <w:szCs w:val="16"/>
          <w:lang w:val="es-ES_tradnl"/>
        </w:rPr>
        <w:t>á</w:t>
      </w:r>
      <w:r>
        <w:rPr>
          <w:spacing w:val="-6"/>
          <w:sz w:val="16"/>
          <w:szCs w:val="16"/>
          <w:lang w:val="es-ES_tradnl"/>
        </w:rPr>
        <w:t xml:space="preserve">n de </w:t>
      </w:r>
      <w:r>
        <w:rPr>
          <w:sz w:val="16"/>
          <w:szCs w:val="16"/>
          <w:lang w:val="es-ES_tradnl"/>
        </w:rPr>
        <w:t>independencia interna y externa</w:t>
      </w:r>
      <w:r>
        <w:rPr>
          <w:rFonts w:cs="Times New Roman"/>
          <w:sz w:val="16"/>
          <w:szCs w:val="16"/>
          <w:lang w:val="es-ES_tradnl"/>
        </w:rPr>
        <w:t>…</w:t>
      </w:r>
    </w:p>
    <w:p w14:paraId="4F67BAA6" w14:textId="77777777" w:rsidR="00591D54" w:rsidRDefault="00591D54">
      <w:pPr>
        <w:shd w:val="clear" w:color="auto" w:fill="FFFFFF"/>
        <w:spacing w:before="202" w:line="216" w:lineRule="exact"/>
        <w:ind w:right="10"/>
        <w:jc w:val="both"/>
      </w:pPr>
      <w:r>
        <w:rPr>
          <w:spacing w:val="-4"/>
          <w:sz w:val="18"/>
          <w:szCs w:val="18"/>
          <w:lang w:val="es-ES_tradnl"/>
        </w:rPr>
        <w:t>Junto con lo mencionado y en armon</w:t>
      </w:r>
      <w:r>
        <w:rPr>
          <w:rFonts w:cs="Times New Roman"/>
          <w:spacing w:val="-4"/>
          <w:sz w:val="18"/>
          <w:szCs w:val="18"/>
          <w:lang w:val="es-ES_tradnl"/>
        </w:rPr>
        <w:t>í</w:t>
      </w:r>
      <w:r>
        <w:rPr>
          <w:spacing w:val="-4"/>
          <w:sz w:val="18"/>
          <w:szCs w:val="18"/>
          <w:lang w:val="es-ES_tradnl"/>
        </w:rPr>
        <w:t>a con lo se</w:t>
      </w:r>
      <w:r>
        <w:rPr>
          <w:rFonts w:cs="Times New Roman"/>
          <w:spacing w:val="-4"/>
          <w:sz w:val="18"/>
          <w:szCs w:val="18"/>
          <w:lang w:val="es-ES_tradnl"/>
        </w:rPr>
        <w:t>ñ</w:t>
      </w:r>
      <w:r>
        <w:rPr>
          <w:spacing w:val="-4"/>
          <w:sz w:val="18"/>
          <w:szCs w:val="18"/>
          <w:lang w:val="es-ES_tradnl"/>
        </w:rPr>
        <w:t>alado por la Corte Constitucional en su fallo N.</w:t>
      </w:r>
      <w:r>
        <w:rPr>
          <w:rFonts w:cs="Times New Roman"/>
          <w:spacing w:val="-4"/>
          <w:sz w:val="18"/>
          <w:szCs w:val="18"/>
          <w:lang w:val="es-ES_tradnl"/>
        </w:rPr>
        <w:t>°</w:t>
      </w:r>
      <w:r>
        <w:rPr>
          <w:spacing w:val="-4"/>
          <w:sz w:val="18"/>
          <w:szCs w:val="18"/>
          <w:lang w:val="es-ES_tradnl"/>
        </w:rPr>
        <w:t xml:space="preserve"> 094-15-SEP-</w:t>
      </w:r>
      <w:r>
        <w:rPr>
          <w:spacing w:val="-6"/>
          <w:sz w:val="18"/>
          <w:szCs w:val="18"/>
          <w:lang w:val="es-ES_tradnl"/>
        </w:rPr>
        <w:t>CC dictado dentro del caso N.</w:t>
      </w:r>
      <w:r>
        <w:rPr>
          <w:rFonts w:cs="Times New Roman"/>
          <w:spacing w:val="-6"/>
          <w:sz w:val="18"/>
          <w:szCs w:val="18"/>
          <w:lang w:val="es-ES_tradnl"/>
        </w:rPr>
        <w:t>°</w:t>
      </w:r>
      <w:r>
        <w:rPr>
          <w:spacing w:val="-6"/>
          <w:sz w:val="18"/>
          <w:szCs w:val="18"/>
          <w:lang w:val="es-ES_tradnl"/>
        </w:rPr>
        <w:t xml:space="preserve"> 1013-14-EP, se recuerda </w:t>
      </w:r>
      <w:r>
        <w:rPr>
          <w:spacing w:val="-8"/>
          <w:sz w:val="18"/>
          <w:szCs w:val="18"/>
          <w:lang w:val="es-ES_tradnl"/>
        </w:rPr>
        <w:t xml:space="preserve">que las autoridades jurisdiccionales competentes para el </w:t>
      </w:r>
      <w:r>
        <w:rPr>
          <w:spacing w:val="-7"/>
          <w:sz w:val="18"/>
          <w:szCs w:val="18"/>
          <w:lang w:val="es-ES_tradnl"/>
        </w:rPr>
        <w:t>conocimiento y resoluci</w:t>
      </w:r>
      <w:r>
        <w:rPr>
          <w:rFonts w:cs="Times New Roman"/>
          <w:spacing w:val="-7"/>
          <w:sz w:val="18"/>
          <w:szCs w:val="18"/>
          <w:lang w:val="es-ES_tradnl"/>
        </w:rPr>
        <w:t>ó</w:t>
      </w:r>
      <w:r>
        <w:rPr>
          <w:spacing w:val="-7"/>
          <w:sz w:val="18"/>
          <w:szCs w:val="18"/>
          <w:lang w:val="es-ES_tradnl"/>
        </w:rPr>
        <w:t xml:space="preserve">n de un recurso extraordinario de </w:t>
      </w:r>
      <w:r>
        <w:rPr>
          <w:spacing w:val="-8"/>
          <w:sz w:val="18"/>
          <w:szCs w:val="18"/>
          <w:lang w:val="es-ES_tradnl"/>
        </w:rPr>
        <w:t>casaci</w:t>
      </w:r>
      <w:r>
        <w:rPr>
          <w:rFonts w:cs="Times New Roman"/>
          <w:spacing w:val="-8"/>
          <w:sz w:val="18"/>
          <w:szCs w:val="18"/>
          <w:lang w:val="es-ES_tradnl"/>
        </w:rPr>
        <w:t>ó</w:t>
      </w:r>
      <w:r>
        <w:rPr>
          <w:spacing w:val="-8"/>
          <w:sz w:val="18"/>
          <w:szCs w:val="18"/>
          <w:lang w:val="es-ES_tradnl"/>
        </w:rPr>
        <w:t>n tienen como universo de an</w:t>
      </w:r>
      <w:r>
        <w:rPr>
          <w:rFonts w:cs="Times New Roman"/>
          <w:spacing w:val="-8"/>
          <w:sz w:val="18"/>
          <w:szCs w:val="18"/>
          <w:lang w:val="es-ES_tradnl"/>
        </w:rPr>
        <w:t>á</w:t>
      </w:r>
      <w:r>
        <w:rPr>
          <w:spacing w:val="-8"/>
          <w:sz w:val="18"/>
          <w:szCs w:val="18"/>
          <w:lang w:val="es-ES_tradnl"/>
        </w:rPr>
        <w:t xml:space="preserve">lisis las alegaciones </w:t>
      </w:r>
      <w:r>
        <w:rPr>
          <w:sz w:val="18"/>
          <w:szCs w:val="18"/>
          <w:lang w:val="es-ES_tradnl"/>
        </w:rPr>
        <w:t>realizadas por el o los recurrentes</w:t>
      </w:r>
    </w:p>
    <w:p w14:paraId="4F67BAA7" w14:textId="77777777" w:rsidR="00591D54" w:rsidRDefault="00591D54">
      <w:pPr>
        <w:shd w:val="clear" w:color="auto" w:fill="FFFFFF"/>
        <w:spacing w:before="197" w:line="221" w:lineRule="exact"/>
        <w:ind w:right="10"/>
        <w:jc w:val="both"/>
      </w:pPr>
      <w:r>
        <w:rPr>
          <w:spacing w:val="-10"/>
          <w:sz w:val="18"/>
          <w:szCs w:val="18"/>
          <w:lang w:val="es-ES_tradnl"/>
        </w:rPr>
        <w:t xml:space="preserve">Ahora bien, una vez que se ha hecho referencia a que se ha </w:t>
      </w:r>
      <w:r>
        <w:rPr>
          <w:spacing w:val="-7"/>
          <w:sz w:val="18"/>
          <w:szCs w:val="18"/>
          <w:lang w:val="es-ES_tradnl"/>
        </w:rPr>
        <w:t>de entender por la garant</w:t>
      </w:r>
      <w:r>
        <w:rPr>
          <w:rFonts w:cs="Times New Roman"/>
          <w:spacing w:val="-7"/>
          <w:sz w:val="18"/>
          <w:szCs w:val="18"/>
          <w:lang w:val="es-ES_tradnl"/>
        </w:rPr>
        <w:t>í</w:t>
      </w:r>
      <w:r>
        <w:rPr>
          <w:spacing w:val="-7"/>
          <w:sz w:val="18"/>
          <w:szCs w:val="18"/>
          <w:lang w:val="es-ES_tradnl"/>
        </w:rPr>
        <w:t>a en cuesti</w:t>
      </w:r>
      <w:r>
        <w:rPr>
          <w:rFonts w:cs="Times New Roman"/>
          <w:spacing w:val="-7"/>
          <w:sz w:val="18"/>
          <w:szCs w:val="18"/>
          <w:lang w:val="es-ES_tradnl"/>
        </w:rPr>
        <w:t>ó</w:t>
      </w:r>
      <w:r>
        <w:rPr>
          <w:spacing w:val="-7"/>
          <w:sz w:val="18"/>
          <w:szCs w:val="18"/>
          <w:lang w:val="es-ES_tradnl"/>
        </w:rPr>
        <w:t>n as</w:t>
      </w:r>
      <w:r>
        <w:rPr>
          <w:rFonts w:cs="Times New Roman"/>
          <w:spacing w:val="-7"/>
          <w:sz w:val="18"/>
          <w:szCs w:val="18"/>
          <w:lang w:val="es-ES_tradnl"/>
        </w:rPr>
        <w:t>í</w:t>
      </w:r>
      <w:r>
        <w:rPr>
          <w:spacing w:val="-7"/>
          <w:sz w:val="18"/>
          <w:szCs w:val="18"/>
          <w:lang w:val="es-ES_tradnl"/>
        </w:rPr>
        <w:t xml:space="preserve"> como tambi</w:t>
      </w:r>
      <w:r>
        <w:rPr>
          <w:rFonts w:cs="Times New Roman"/>
          <w:spacing w:val="-7"/>
          <w:sz w:val="18"/>
          <w:szCs w:val="18"/>
          <w:lang w:val="es-ES_tradnl"/>
        </w:rPr>
        <w:t>é</w:t>
      </w:r>
      <w:r>
        <w:rPr>
          <w:spacing w:val="-7"/>
          <w:sz w:val="18"/>
          <w:szCs w:val="18"/>
          <w:lang w:val="es-ES_tradnl"/>
        </w:rPr>
        <w:t>n</w:t>
      </w:r>
    </w:p>
    <w:p w14:paraId="4F67BAA8" w14:textId="77777777" w:rsidR="00591D54" w:rsidRDefault="00591D54">
      <w:pPr>
        <w:shd w:val="clear" w:color="auto" w:fill="FFFFFF"/>
        <w:spacing w:line="216" w:lineRule="exact"/>
        <w:jc w:val="both"/>
      </w:pPr>
      <w:r>
        <w:br w:type="column"/>
      </w:r>
      <w:r>
        <w:rPr>
          <w:spacing w:val="-7"/>
          <w:sz w:val="18"/>
          <w:szCs w:val="18"/>
          <w:lang w:val="es-ES_tradnl"/>
        </w:rPr>
        <w:t>sobre la naturaleza de la decisi</w:t>
      </w:r>
      <w:r>
        <w:rPr>
          <w:rFonts w:cs="Times New Roman"/>
          <w:spacing w:val="-7"/>
          <w:sz w:val="18"/>
          <w:szCs w:val="18"/>
          <w:lang w:val="es-ES_tradnl"/>
        </w:rPr>
        <w:t>ó</w:t>
      </w:r>
      <w:r>
        <w:rPr>
          <w:spacing w:val="-7"/>
          <w:sz w:val="18"/>
          <w:szCs w:val="18"/>
          <w:lang w:val="es-ES_tradnl"/>
        </w:rPr>
        <w:t xml:space="preserve">n objeto de la presente </w:t>
      </w:r>
      <w:r>
        <w:rPr>
          <w:spacing w:val="-8"/>
          <w:sz w:val="18"/>
          <w:szCs w:val="18"/>
          <w:lang w:val="es-ES_tradnl"/>
        </w:rPr>
        <w:t>garant</w:t>
      </w:r>
      <w:r>
        <w:rPr>
          <w:rFonts w:cs="Times New Roman"/>
          <w:spacing w:val="-8"/>
          <w:sz w:val="18"/>
          <w:szCs w:val="18"/>
          <w:lang w:val="es-ES_tradnl"/>
        </w:rPr>
        <w:t>í</w:t>
      </w:r>
      <w:r>
        <w:rPr>
          <w:spacing w:val="-8"/>
          <w:sz w:val="18"/>
          <w:szCs w:val="18"/>
          <w:lang w:val="es-ES_tradnl"/>
        </w:rPr>
        <w:t>a jurisdiccional, esta Corte proceder</w:t>
      </w:r>
      <w:r>
        <w:rPr>
          <w:rFonts w:cs="Times New Roman"/>
          <w:spacing w:val="-8"/>
          <w:sz w:val="18"/>
          <w:szCs w:val="18"/>
          <w:lang w:val="es-ES_tradnl"/>
        </w:rPr>
        <w:t>á</w:t>
      </w:r>
      <w:r>
        <w:rPr>
          <w:spacing w:val="-8"/>
          <w:sz w:val="18"/>
          <w:szCs w:val="18"/>
          <w:lang w:val="es-ES_tradnl"/>
        </w:rPr>
        <w:t xml:space="preserve"> a dar soluci</w:t>
      </w:r>
      <w:r>
        <w:rPr>
          <w:rFonts w:cs="Times New Roman"/>
          <w:spacing w:val="-8"/>
          <w:sz w:val="18"/>
          <w:szCs w:val="18"/>
          <w:lang w:val="es-ES_tradnl"/>
        </w:rPr>
        <w:t>ó</w:t>
      </w:r>
      <w:r>
        <w:rPr>
          <w:spacing w:val="-8"/>
          <w:sz w:val="18"/>
          <w:szCs w:val="18"/>
          <w:lang w:val="es-ES_tradnl"/>
        </w:rPr>
        <w:t xml:space="preserve">n </w:t>
      </w:r>
      <w:r>
        <w:rPr>
          <w:sz w:val="18"/>
          <w:szCs w:val="18"/>
          <w:lang w:val="es-ES_tradnl"/>
        </w:rPr>
        <w:t>al problema jur</w:t>
      </w:r>
      <w:r>
        <w:rPr>
          <w:rFonts w:cs="Times New Roman"/>
          <w:sz w:val="18"/>
          <w:szCs w:val="18"/>
          <w:lang w:val="es-ES_tradnl"/>
        </w:rPr>
        <w:t>í</w:t>
      </w:r>
      <w:r>
        <w:rPr>
          <w:sz w:val="18"/>
          <w:szCs w:val="18"/>
          <w:lang w:val="es-ES_tradnl"/>
        </w:rPr>
        <w:t>dico planteado.</w:t>
      </w:r>
    </w:p>
    <w:p w14:paraId="4F67BAA9" w14:textId="77777777" w:rsidR="00591D54" w:rsidRDefault="00591D54">
      <w:pPr>
        <w:shd w:val="clear" w:color="auto" w:fill="FFFFFF"/>
        <w:spacing w:before="192"/>
      </w:pPr>
      <w:r>
        <w:rPr>
          <w:b/>
          <w:bCs/>
          <w:spacing w:val="-7"/>
          <w:sz w:val="18"/>
          <w:szCs w:val="18"/>
          <w:lang w:val="es-ES_tradnl"/>
        </w:rPr>
        <w:t>Razonabilidad</w:t>
      </w:r>
    </w:p>
    <w:p w14:paraId="4F67BAAA" w14:textId="77777777" w:rsidR="00591D54" w:rsidRDefault="00591D54">
      <w:pPr>
        <w:shd w:val="clear" w:color="auto" w:fill="FFFFFF"/>
        <w:spacing w:before="202" w:line="216" w:lineRule="exact"/>
        <w:jc w:val="both"/>
      </w:pPr>
      <w:r>
        <w:rPr>
          <w:sz w:val="18"/>
          <w:szCs w:val="18"/>
          <w:lang w:val="es-ES_tradnl"/>
        </w:rPr>
        <w:t xml:space="preserve">En lo que respecta al requisito de razonabilidad, </w:t>
      </w:r>
      <w:r>
        <w:rPr>
          <w:rFonts w:cs="Times New Roman"/>
          <w:sz w:val="18"/>
          <w:szCs w:val="18"/>
          <w:lang w:val="es-ES_tradnl"/>
        </w:rPr>
        <w:t>é</w:t>
      </w:r>
      <w:r>
        <w:rPr>
          <w:sz w:val="18"/>
          <w:szCs w:val="18"/>
          <w:lang w:val="es-ES_tradnl"/>
        </w:rPr>
        <w:t xml:space="preserve">ste </w:t>
      </w:r>
      <w:r>
        <w:rPr>
          <w:spacing w:val="-5"/>
          <w:sz w:val="18"/>
          <w:szCs w:val="18"/>
          <w:lang w:val="es-ES_tradnl"/>
        </w:rPr>
        <w:t xml:space="preserve">se encuentra relacionado de modo principal con la </w:t>
      </w:r>
      <w:r>
        <w:rPr>
          <w:spacing w:val="-9"/>
          <w:sz w:val="18"/>
          <w:szCs w:val="18"/>
          <w:lang w:val="es-ES_tradnl"/>
        </w:rPr>
        <w:t>determinaci</w:t>
      </w:r>
      <w:r>
        <w:rPr>
          <w:rFonts w:cs="Times New Roman"/>
          <w:spacing w:val="-9"/>
          <w:sz w:val="18"/>
          <w:szCs w:val="18"/>
          <w:lang w:val="es-ES_tradnl"/>
        </w:rPr>
        <w:t>ó</w:t>
      </w:r>
      <w:r>
        <w:rPr>
          <w:spacing w:val="-9"/>
          <w:sz w:val="18"/>
          <w:szCs w:val="18"/>
          <w:lang w:val="es-ES_tradnl"/>
        </w:rPr>
        <w:t>n de las fuentes de derecho -indistintamente la jerarqu</w:t>
      </w:r>
      <w:r>
        <w:rPr>
          <w:rFonts w:cs="Times New Roman"/>
          <w:spacing w:val="-9"/>
          <w:sz w:val="18"/>
          <w:szCs w:val="18"/>
          <w:lang w:val="es-ES_tradnl"/>
        </w:rPr>
        <w:t>í</w:t>
      </w:r>
      <w:r>
        <w:rPr>
          <w:spacing w:val="-9"/>
          <w:sz w:val="18"/>
          <w:szCs w:val="18"/>
          <w:lang w:val="es-ES_tradnl"/>
        </w:rPr>
        <w:t xml:space="preserve">a que ostenten- en las que la autoridad jurisdiccional </w:t>
      </w:r>
      <w:r>
        <w:rPr>
          <w:sz w:val="18"/>
          <w:szCs w:val="18"/>
          <w:lang w:val="es-ES_tradnl"/>
        </w:rPr>
        <w:t>funda su decisi</w:t>
      </w:r>
      <w:r>
        <w:rPr>
          <w:rFonts w:cs="Times New Roman"/>
          <w:sz w:val="18"/>
          <w:szCs w:val="18"/>
          <w:lang w:val="es-ES_tradnl"/>
        </w:rPr>
        <w:t>ó</w:t>
      </w:r>
      <w:r>
        <w:rPr>
          <w:sz w:val="18"/>
          <w:szCs w:val="18"/>
          <w:lang w:val="es-ES_tradnl"/>
        </w:rPr>
        <w:t>n.</w:t>
      </w:r>
    </w:p>
    <w:p w14:paraId="4F67BAAB" w14:textId="77777777" w:rsidR="00591D54" w:rsidRDefault="00591D54">
      <w:pPr>
        <w:shd w:val="clear" w:color="auto" w:fill="FFFFFF"/>
        <w:spacing w:before="202" w:line="216" w:lineRule="exact"/>
        <w:jc w:val="both"/>
      </w:pPr>
      <w:r>
        <w:rPr>
          <w:spacing w:val="-8"/>
          <w:sz w:val="18"/>
          <w:szCs w:val="18"/>
          <w:lang w:val="es-ES_tradnl"/>
        </w:rPr>
        <w:t xml:space="preserve">En este sentido, este Organismo observa que la primera la </w:t>
      </w:r>
      <w:r>
        <w:rPr>
          <w:spacing w:val="-9"/>
          <w:sz w:val="18"/>
          <w:szCs w:val="18"/>
          <w:lang w:val="es-ES_tradnl"/>
        </w:rPr>
        <w:t xml:space="preserve">Sala Especializada de lo Contencioso Tributario de la Corte </w:t>
      </w:r>
      <w:r>
        <w:rPr>
          <w:spacing w:val="-7"/>
          <w:sz w:val="18"/>
          <w:szCs w:val="18"/>
          <w:lang w:val="es-ES_tradnl"/>
        </w:rPr>
        <w:t>Nacional de Justicia radic</w:t>
      </w:r>
      <w:r>
        <w:rPr>
          <w:rFonts w:cs="Times New Roman"/>
          <w:spacing w:val="-7"/>
          <w:sz w:val="18"/>
          <w:szCs w:val="18"/>
          <w:lang w:val="es-ES_tradnl"/>
        </w:rPr>
        <w:t>ó</w:t>
      </w:r>
      <w:r>
        <w:rPr>
          <w:spacing w:val="-7"/>
          <w:sz w:val="18"/>
          <w:szCs w:val="18"/>
          <w:lang w:val="es-ES_tradnl"/>
        </w:rPr>
        <w:t xml:space="preserve"> su competencia principalmente </w:t>
      </w:r>
      <w:r>
        <w:rPr>
          <w:spacing w:val="-9"/>
          <w:sz w:val="18"/>
          <w:szCs w:val="18"/>
          <w:lang w:val="es-ES_tradnl"/>
        </w:rPr>
        <w:t>en atenci</w:t>
      </w:r>
      <w:r>
        <w:rPr>
          <w:rFonts w:cs="Times New Roman"/>
          <w:spacing w:val="-9"/>
          <w:sz w:val="18"/>
          <w:szCs w:val="18"/>
          <w:lang w:val="es-ES_tradnl"/>
        </w:rPr>
        <w:t>ó</w:t>
      </w:r>
      <w:r>
        <w:rPr>
          <w:spacing w:val="-9"/>
          <w:sz w:val="18"/>
          <w:szCs w:val="18"/>
          <w:lang w:val="es-ES_tradnl"/>
        </w:rPr>
        <w:t>n a lo establecido en el art</w:t>
      </w:r>
      <w:r>
        <w:rPr>
          <w:rFonts w:cs="Times New Roman"/>
          <w:spacing w:val="-9"/>
          <w:sz w:val="18"/>
          <w:szCs w:val="18"/>
          <w:lang w:val="es-ES_tradnl"/>
        </w:rPr>
        <w:t>í</w:t>
      </w:r>
      <w:r>
        <w:rPr>
          <w:spacing w:val="-9"/>
          <w:sz w:val="18"/>
          <w:szCs w:val="18"/>
          <w:lang w:val="es-ES_tradnl"/>
        </w:rPr>
        <w:t>culo 184 numeral 1 de la Constituci</w:t>
      </w:r>
      <w:r>
        <w:rPr>
          <w:rFonts w:cs="Times New Roman"/>
          <w:spacing w:val="-9"/>
          <w:sz w:val="18"/>
          <w:szCs w:val="18"/>
          <w:lang w:val="es-ES_tradnl"/>
        </w:rPr>
        <w:t>ó</w:t>
      </w:r>
      <w:r>
        <w:rPr>
          <w:spacing w:val="-9"/>
          <w:sz w:val="18"/>
          <w:szCs w:val="18"/>
          <w:lang w:val="es-ES_tradnl"/>
        </w:rPr>
        <w:t>n de la Rep</w:t>
      </w:r>
      <w:r>
        <w:rPr>
          <w:rFonts w:cs="Times New Roman"/>
          <w:spacing w:val="-9"/>
          <w:sz w:val="18"/>
          <w:szCs w:val="18"/>
          <w:lang w:val="es-ES_tradnl"/>
        </w:rPr>
        <w:t>ú</w:t>
      </w:r>
      <w:r>
        <w:rPr>
          <w:spacing w:val="-9"/>
          <w:sz w:val="18"/>
          <w:szCs w:val="18"/>
          <w:lang w:val="es-ES_tradnl"/>
        </w:rPr>
        <w:t xml:space="preserve">blica del Ecuador y en lo prescrito </w:t>
      </w:r>
      <w:r>
        <w:rPr>
          <w:spacing w:val="-6"/>
          <w:sz w:val="18"/>
          <w:szCs w:val="18"/>
          <w:lang w:val="es-ES_tradnl"/>
        </w:rPr>
        <w:t>en el art</w:t>
      </w:r>
      <w:r>
        <w:rPr>
          <w:rFonts w:cs="Times New Roman"/>
          <w:spacing w:val="-6"/>
          <w:sz w:val="18"/>
          <w:szCs w:val="18"/>
          <w:lang w:val="es-ES_tradnl"/>
        </w:rPr>
        <w:t>í</w:t>
      </w:r>
      <w:r>
        <w:rPr>
          <w:spacing w:val="-6"/>
          <w:sz w:val="18"/>
          <w:szCs w:val="18"/>
          <w:lang w:val="es-ES_tradnl"/>
        </w:rPr>
        <w:t>culo 1 de la Ley de Casaci</w:t>
      </w:r>
      <w:r>
        <w:rPr>
          <w:rFonts w:cs="Times New Roman"/>
          <w:spacing w:val="-6"/>
          <w:sz w:val="18"/>
          <w:szCs w:val="18"/>
          <w:lang w:val="es-ES_tradnl"/>
        </w:rPr>
        <w:t>ó</w:t>
      </w:r>
      <w:r>
        <w:rPr>
          <w:spacing w:val="-6"/>
          <w:sz w:val="18"/>
          <w:szCs w:val="18"/>
          <w:lang w:val="es-ES_tradnl"/>
        </w:rPr>
        <w:t xml:space="preserve">n y finalmente en lo </w:t>
      </w:r>
      <w:r>
        <w:rPr>
          <w:spacing w:val="-7"/>
          <w:sz w:val="18"/>
          <w:szCs w:val="18"/>
          <w:lang w:val="es-ES_tradnl"/>
        </w:rPr>
        <w:t>establecido en el art</w:t>
      </w:r>
      <w:r>
        <w:rPr>
          <w:rFonts w:cs="Times New Roman"/>
          <w:spacing w:val="-7"/>
          <w:sz w:val="18"/>
          <w:szCs w:val="18"/>
          <w:lang w:val="es-ES_tradnl"/>
        </w:rPr>
        <w:t>í</w:t>
      </w:r>
      <w:r>
        <w:rPr>
          <w:spacing w:val="-7"/>
          <w:sz w:val="18"/>
          <w:szCs w:val="18"/>
          <w:lang w:val="es-ES_tradnl"/>
        </w:rPr>
        <w:t xml:space="preserve">culo 185 numeral uno segundo inciso </w:t>
      </w:r>
      <w:r>
        <w:rPr>
          <w:spacing w:val="-6"/>
          <w:sz w:val="18"/>
          <w:szCs w:val="18"/>
          <w:lang w:val="es-ES_tradnl"/>
        </w:rPr>
        <w:t>del C</w:t>
      </w:r>
      <w:r>
        <w:rPr>
          <w:rFonts w:cs="Times New Roman"/>
          <w:spacing w:val="-6"/>
          <w:sz w:val="18"/>
          <w:szCs w:val="18"/>
          <w:lang w:val="es-ES_tradnl"/>
        </w:rPr>
        <w:t>ó</w:t>
      </w:r>
      <w:r>
        <w:rPr>
          <w:spacing w:val="-6"/>
          <w:sz w:val="18"/>
          <w:szCs w:val="18"/>
          <w:lang w:val="es-ES_tradnl"/>
        </w:rPr>
        <w:t>digo Org</w:t>
      </w:r>
      <w:r>
        <w:rPr>
          <w:rFonts w:cs="Times New Roman"/>
          <w:spacing w:val="-6"/>
          <w:sz w:val="18"/>
          <w:szCs w:val="18"/>
          <w:lang w:val="es-ES_tradnl"/>
        </w:rPr>
        <w:t>á</w:t>
      </w:r>
      <w:r>
        <w:rPr>
          <w:spacing w:val="-6"/>
          <w:sz w:val="18"/>
          <w:szCs w:val="18"/>
          <w:lang w:val="es-ES_tradnl"/>
        </w:rPr>
        <w:t>nico de la Funci</w:t>
      </w:r>
      <w:r>
        <w:rPr>
          <w:rFonts w:cs="Times New Roman"/>
          <w:spacing w:val="-6"/>
          <w:sz w:val="18"/>
          <w:szCs w:val="18"/>
          <w:lang w:val="es-ES_tradnl"/>
        </w:rPr>
        <w:t>ó</w:t>
      </w:r>
      <w:r>
        <w:rPr>
          <w:spacing w:val="-6"/>
          <w:sz w:val="18"/>
          <w:szCs w:val="18"/>
          <w:lang w:val="es-ES_tradnl"/>
        </w:rPr>
        <w:t>n Judicial, conforme se desprende del contenido del numeral 3.1 de la decisi</w:t>
      </w:r>
      <w:r>
        <w:rPr>
          <w:rFonts w:cs="Times New Roman"/>
          <w:spacing w:val="-6"/>
          <w:sz w:val="18"/>
          <w:szCs w:val="18"/>
          <w:lang w:val="es-ES_tradnl"/>
        </w:rPr>
        <w:t>ó</w:t>
      </w:r>
      <w:r>
        <w:rPr>
          <w:spacing w:val="-6"/>
          <w:sz w:val="18"/>
          <w:szCs w:val="18"/>
          <w:lang w:val="es-ES_tradnl"/>
        </w:rPr>
        <w:t xml:space="preserve">n </w:t>
      </w:r>
      <w:r>
        <w:rPr>
          <w:spacing w:val="-7"/>
          <w:sz w:val="18"/>
          <w:szCs w:val="18"/>
          <w:lang w:val="es-ES_tradnl"/>
        </w:rPr>
        <w:t>objeto de la presente acci</w:t>
      </w:r>
      <w:r>
        <w:rPr>
          <w:rFonts w:cs="Times New Roman"/>
          <w:spacing w:val="-7"/>
          <w:sz w:val="18"/>
          <w:szCs w:val="18"/>
          <w:lang w:val="es-ES_tradnl"/>
        </w:rPr>
        <w:t>ó</w:t>
      </w:r>
      <w:r>
        <w:rPr>
          <w:spacing w:val="-7"/>
          <w:sz w:val="18"/>
          <w:szCs w:val="18"/>
          <w:lang w:val="es-ES_tradnl"/>
        </w:rPr>
        <w:t>n extraordinaria de protecci</w:t>
      </w:r>
      <w:r>
        <w:rPr>
          <w:rFonts w:cs="Times New Roman"/>
          <w:spacing w:val="-7"/>
          <w:sz w:val="18"/>
          <w:szCs w:val="18"/>
          <w:lang w:val="es-ES_tradnl"/>
        </w:rPr>
        <w:t>ó</w:t>
      </w:r>
      <w:r>
        <w:rPr>
          <w:spacing w:val="-7"/>
          <w:sz w:val="18"/>
          <w:szCs w:val="18"/>
          <w:lang w:val="es-ES_tradnl"/>
        </w:rPr>
        <w:t>n.</w:t>
      </w:r>
    </w:p>
    <w:p w14:paraId="4F67BAAC" w14:textId="77777777" w:rsidR="00591D54" w:rsidRDefault="00591D54">
      <w:pPr>
        <w:shd w:val="clear" w:color="auto" w:fill="FFFFFF"/>
        <w:spacing w:before="197" w:line="216" w:lineRule="exact"/>
        <w:jc w:val="both"/>
      </w:pPr>
      <w:r>
        <w:rPr>
          <w:spacing w:val="-3"/>
          <w:sz w:val="18"/>
          <w:szCs w:val="18"/>
          <w:lang w:val="es-ES_tradnl"/>
        </w:rPr>
        <w:t>As</w:t>
      </w:r>
      <w:r>
        <w:rPr>
          <w:rFonts w:cs="Times New Roman"/>
          <w:spacing w:val="-3"/>
          <w:sz w:val="18"/>
          <w:szCs w:val="18"/>
          <w:lang w:val="es-ES_tradnl"/>
        </w:rPr>
        <w:t>í</w:t>
      </w:r>
      <w:r>
        <w:rPr>
          <w:spacing w:val="-3"/>
          <w:sz w:val="18"/>
          <w:szCs w:val="18"/>
          <w:lang w:val="es-ES_tradnl"/>
        </w:rPr>
        <w:t xml:space="preserve"> tambi</w:t>
      </w:r>
      <w:r>
        <w:rPr>
          <w:rFonts w:cs="Times New Roman"/>
          <w:spacing w:val="-3"/>
          <w:sz w:val="18"/>
          <w:szCs w:val="18"/>
          <w:lang w:val="es-ES_tradnl"/>
        </w:rPr>
        <w:t>é</w:t>
      </w:r>
      <w:r>
        <w:rPr>
          <w:spacing w:val="-3"/>
          <w:sz w:val="18"/>
          <w:szCs w:val="18"/>
          <w:lang w:val="es-ES_tradnl"/>
        </w:rPr>
        <w:t xml:space="preserve">n, esta Corte advierte que en el numeral 5.1, </w:t>
      </w:r>
      <w:r>
        <w:rPr>
          <w:spacing w:val="-5"/>
          <w:sz w:val="18"/>
          <w:szCs w:val="18"/>
          <w:lang w:val="es-ES_tradnl"/>
        </w:rPr>
        <w:t>la judicatura procede a identificar la decisi</w:t>
      </w:r>
      <w:r>
        <w:rPr>
          <w:rFonts w:cs="Times New Roman"/>
          <w:spacing w:val="-5"/>
          <w:sz w:val="18"/>
          <w:szCs w:val="18"/>
          <w:lang w:val="es-ES_tradnl"/>
        </w:rPr>
        <w:t>ó</w:t>
      </w:r>
      <w:r>
        <w:rPr>
          <w:spacing w:val="-5"/>
          <w:sz w:val="18"/>
          <w:szCs w:val="18"/>
          <w:lang w:val="es-ES_tradnl"/>
        </w:rPr>
        <w:t xml:space="preserve">n objeto del </w:t>
      </w:r>
      <w:r>
        <w:rPr>
          <w:spacing w:val="-7"/>
          <w:sz w:val="18"/>
          <w:szCs w:val="18"/>
          <w:lang w:val="es-ES_tradnl"/>
        </w:rPr>
        <w:t>recurso extraordinario de casaci</w:t>
      </w:r>
      <w:r>
        <w:rPr>
          <w:rFonts w:cs="Times New Roman"/>
          <w:spacing w:val="-7"/>
          <w:sz w:val="18"/>
          <w:szCs w:val="18"/>
          <w:lang w:val="es-ES_tradnl"/>
        </w:rPr>
        <w:t>ó</w:t>
      </w:r>
      <w:r>
        <w:rPr>
          <w:spacing w:val="-7"/>
          <w:sz w:val="18"/>
          <w:szCs w:val="18"/>
          <w:lang w:val="es-ES_tradnl"/>
        </w:rPr>
        <w:t>n as</w:t>
      </w:r>
      <w:r>
        <w:rPr>
          <w:rFonts w:cs="Times New Roman"/>
          <w:spacing w:val="-7"/>
          <w:sz w:val="18"/>
          <w:szCs w:val="18"/>
          <w:lang w:val="es-ES_tradnl"/>
        </w:rPr>
        <w:t>í</w:t>
      </w:r>
      <w:r>
        <w:rPr>
          <w:spacing w:val="-7"/>
          <w:sz w:val="18"/>
          <w:szCs w:val="18"/>
          <w:lang w:val="es-ES_tradnl"/>
        </w:rPr>
        <w:t xml:space="preserve"> como tambi</w:t>
      </w:r>
      <w:r>
        <w:rPr>
          <w:rFonts w:cs="Times New Roman"/>
          <w:spacing w:val="-7"/>
          <w:sz w:val="18"/>
          <w:szCs w:val="18"/>
          <w:lang w:val="es-ES_tradnl"/>
        </w:rPr>
        <w:t>é</w:t>
      </w:r>
      <w:r>
        <w:rPr>
          <w:spacing w:val="-7"/>
          <w:sz w:val="18"/>
          <w:szCs w:val="18"/>
          <w:lang w:val="es-ES_tradnl"/>
        </w:rPr>
        <w:t xml:space="preserve">n a </w:t>
      </w:r>
      <w:r>
        <w:rPr>
          <w:spacing w:val="-9"/>
          <w:sz w:val="18"/>
          <w:szCs w:val="18"/>
          <w:lang w:val="es-ES_tradnl"/>
        </w:rPr>
        <w:t>referirse al contenido del recurso en cuesti</w:t>
      </w:r>
      <w:r>
        <w:rPr>
          <w:rFonts w:cs="Times New Roman"/>
          <w:spacing w:val="-9"/>
          <w:sz w:val="18"/>
          <w:szCs w:val="18"/>
          <w:lang w:val="es-ES_tradnl"/>
        </w:rPr>
        <w:t>ó</w:t>
      </w:r>
      <w:r>
        <w:rPr>
          <w:spacing w:val="-9"/>
          <w:sz w:val="18"/>
          <w:szCs w:val="18"/>
          <w:lang w:val="es-ES_tradnl"/>
        </w:rPr>
        <w:t>n, se</w:t>
      </w:r>
      <w:r>
        <w:rPr>
          <w:rFonts w:cs="Times New Roman"/>
          <w:spacing w:val="-9"/>
          <w:sz w:val="18"/>
          <w:szCs w:val="18"/>
          <w:lang w:val="es-ES_tradnl"/>
        </w:rPr>
        <w:t>ñ</w:t>
      </w:r>
      <w:r>
        <w:rPr>
          <w:spacing w:val="-9"/>
          <w:sz w:val="18"/>
          <w:szCs w:val="18"/>
          <w:lang w:val="es-ES_tradnl"/>
        </w:rPr>
        <w:t xml:space="preserve">alando en </w:t>
      </w:r>
      <w:r>
        <w:rPr>
          <w:sz w:val="18"/>
          <w:szCs w:val="18"/>
          <w:lang w:val="es-ES_tradnl"/>
        </w:rPr>
        <w:t>lo principal que:</w:t>
      </w:r>
    </w:p>
    <w:p w14:paraId="4F67BAAD" w14:textId="77777777" w:rsidR="00591D54" w:rsidRDefault="00591D54">
      <w:pPr>
        <w:shd w:val="clear" w:color="auto" w:fill="FFFFFF"/>
        <w:spacing w:before="206" w:line="216" w:lineRule="exact"/>
        <w:ind w:left="283"/>
        <w:jc w:val="both"/>
      </w:pPr>
      <w:r>
        <w:rPr>
          <w:spacing w:val="-5"/>
          <w:sz w:val="16"/>
          <w:szCs w:val="16"/>
          <w:lang w:val="es-ES_tradnl"/>
        </w:rPr>
        <w:t xml:space="preserve">5.1.- El recurrente formula los siguiente cargos, en contra de </w:t>
      </w:r>
      <w:r>
        <w:rPr>
          <w:spacing w:val="-7"/>
          <w:sz w:val="16"/>
          <w:szCs w:val="16"/>
          <w:lang w:val="es-ES_tradnl"/>
        </w:rPr>
        <w:t xml:space="preserve">la sentencia dictada por la Segunda Sala del Tribunal Distrital </w:t>
      </w:r>
      <w:r>
        <w:rPr>
          <w:spacing w:val="-8"/>
          <w:sz w:val="16"/>
          <w:szCs w:val="16"/>
          <w:lang w:val="es-ES_tradnl"/>
        </w:rPr>
        <w:t>de lo Fiscal N</w:t>
      </w:r>
      <w:r>
        <w:rPr>
          <w:rFonts w:cs="Times New Roman"/>
          <w:spacing w:val="-8"/>
          <w:sz w:val="16"/>
          <w:szCs w:val="16"/>
          <w:lang w:val="es-ES_tradnl"/>
        </w:rPr>
        <w:t>°</w:t>
      </w:r>
      <w:r>
        <w:rPr>
          <w:spacing w:val="-8"/>
          <w:sz w:val="16"/>
          <w:szCs w:val="16"/>
          <w:lang w:val="es-ES_tradnl"/>
        </w:rPr>
        <w:t xml:space="preserve"> 2 con sede en la ciudad de Guayaquil. Cargo 1: </w:t>
      </w:r>
      <w:r>
        <w:rPr>
          <w:rFonts w:cs="Times New Roman"/>
          <w:spacing w:val="-7"/>
          <w:sz w:val="16"/>
          <w:szCs w:val="16"/>
          <w:lang w:val="es-ES_tradnl"/>
        </w:rPr>
        <w:t>“</w:t>
      </w:r>
      <w:r>
        <w:rPr>
          <w:spacing w:val="-7"/>
          <w:sz w:val="16"/>
          <w:szCs w:val="16"/>
          <w:lang w:val="es-ES_tradnl"/>
        </w:rPr>
        <w:t>falta de aplicaci</w:t>
      </w:r>
      <w:r>
        <w:rPr>
          <w:rFonts w:cs="Times New Roman"/>
          <w:spacing w:val="-7"/>
          <w:sz w:val="16"/>
          <w:szCs w:val="16"/>
          <w:lang w:val="es-ES_tradnl"/>
        </w:rPr>
        <w:t>ó</w:t>
      </w:r>
      <w:r>
        <w:rPr>
          <w:spacing w:val="-7"/>
          <w:sz w:val="16"/>
          <w:szCs w:val="16"/>
          <w:lang w:val="es-ES_tradnl"/>
        </w:rPr>
        <w:t>n</w:t>
      </w:r>
      <w:r>
        <w:rPr>
          <w:rFonts w:cs="Times New Roman"/>
          <w:spacing w:val="-7"/>
          <w:sz w:val="16"/>
          <w:szCs w:val="16"/>
          <w:lang w:val="es-ES_tradnl"/>
        </w:rPr>
        <w:t>”</w:t>
      </w:r>
      <w:r>
        <w:rPr>
          <w:spacing w:val="-7"/>
          <w:sz w:val="16"/>
          <w:szCs w:val="16"/>
          <w:lang w:val="es-ES_tradnl"/>
        </w:rPr>
        <w:t xml:space="preserve"> del art. 10 numerales 1, 3 y 9; 21 numeral 1, 64 de la Ley de R</w:t>
      </w:r>
      <w:r>
        <w:rPr>
          <w:rFonts w:cs="Times New Roman"/>
          <w:spacing w:val="-7"/>
          <w:sz w:val="16"/>
          <w:szCs w:val="16"/>
          <w:lang w:val="es-ES_tradnl"/>
        </w:rPr>
        <w:t>é</w:t>
      </w:r>
      <w:r>
        <w:rPr>
          <w:spacing w:val="-7"/>
          <w:sz w:val="16"/>
          <w:szCs w:val="16"/>
          <w:lang w:val="es-ES_tradnl"/>
        </w:rPr>
        <w:t xml:space="preserve">gimen Tributario Interno; art. 26 numeral </w:t>
      </w:r>
      <w:r>
        <w:rPr>
          <w:spacing w:val="-3"/>
          <w:sz w:val="16"/>
          <w:szCs w:val="16"/>
          <w:lang w:val="es-ES_tradnl"/>
        </w:rPr>
        <w:t>7, arts. 27, 31, 32 y 151 del Reglamento para la Aplicaci</w:t>
      </w:r>
      <w:r>
        <w:rPr>
          <w:rFonts w:cs="Times New Roman"/>
          <w:spacing w:val="-3"/>
          <w:sz w:val="16"/>
          <w:szCs w:val="16"/>
          <w:lang w:val="es-ES_tradnl"/>
        </w:rPr>
        <w:t>ó</w:t>
      </w:r>
      <w:r>
        <w:rPr>
          <w:spacing w:val="-3"/>
          <w:sz w:val="16"/>
          <w:szCs w:val="16"/>
          <w:lang w:val="es-ES_tradnl"/>
        </w:rPr>
        <w:t xml:space="preserve">n </w:t>
      </w:r>
      <w:r>
        <w:rPr>
          <w:sz w:val="16"/>
          <w:szCs w:val="16"/>
          <w:lang w:val="es-ES_tradnl"/>
        </w:rPr>
        <w:t>de la Ley de R</w:t>
      </w:r>
      <w:r>
        <w:rPr>
          <w:rFonts w:cs="Times New Roman"/>
          <w:sz w:val="16"/>
          <w:szCs w:val="16"/>
          <w:lang w:val="es-ES_tradnl"/>
        </w:rPr>
        <w:t>é</w:t>
      </w:r>
      <w:r>
        <w:rPr>
          <w:sz w:val="16"/>
          <w:szCs w:val="16"/>
          <w:lang w:val="es-ES_tradnl"/>
        </w:rPr>
        <w:t>gimen Tributario Interno, Disposici</w:t>
      </w:r>
      <w:r>
        <w:rPr>
          <w:rFonts w:cs="Times New Roman"/>
          <w:sz w:val="16"/>
          <w:szCs w:val="16"/>
          <w:lang w:val="es-ES_tradnl"/>
        </w:rPr>
        <w:t>ó</w:t>
      </w:r>
      <w:r>
        <w:rPr>
          <w:sz w:val="16"/>
          <w:szCs w:val="16"/>
          <w:lang w:val="es-ES_tradnl"/>
        </w:rPr>
        <w:t xml:space="preserve">n </w:t>
      </w:r>
      <w:r>
        <w:rPr>
          <w:spacing w:val="-6"/>
          <w:sz w:val="16"/>
          <w:szCs w:val="16"/>
          <w:lang w:val="es-ES_tradnl"/>
        </w:rPr>
        <w:t xml:space="preserve">General Primera del Reglamento de Comprobantes de Venta </w:t>
      </w:r>
      <w:r>
        <w:rPr>
          <w:spacing w:val="-7"/>
          <w:sz w:val="16"/>
          <w:szCs w:val="16"/>
          <w:lang w:val="es-ES_tradnl"/>
        </w:rPr>
        <w:t>y Retenci</w:t>
      </w:r>
      <w:r>
        <w:rPr>
          <w:rFonts w:cs="Times New Roman"/>
          <w:spacing w:val="-7"/>
          <w:sz w:val="16"/>
          <w:szCs w:val="16"/>
          <w:lang w:val="es-ES_tradnl"/>
        </w:rPr>
        <w:t>ó</w:t>
      </w:r>
      <w:r>
        <w:rPr>
          <w:spacing w:val="-7"/>
          <w:sz w:val="16"/>
          <w:szCs w:val="16"/>
          <w:lang w:val="es-ES_tradnl"/>
        </w:rPr>
        <w:t>n (vigente 2005); aplicaci</w:t>
      </w:r>
      <w:r>
        <w:rPr>
          <w:rFonts w:cs="Times New Roman"/>
          <w:spacing w:val="-7"/>
          <w:sz w:val="16"/>
          <w:szCs w:val="16"/>
          <w:lang w:val="es-ES_tradnl"/>
        </w:rPr>
        <w:t>ó</w:t>
      </w:r>
      <w:r>
        <w:rPr>
          <w:spacing w:val="-7"/>
          <w:sz w:val="16"/>
          <w:szCs w:val="16"/>
          <w:lang w:val="es-ES_tradnl"/>
        </w:rPr>
        <w:t xml:space="preserve">n indebida de normas de </w:t>
      </w:r>
      <w:r>
        <w:rPr>
          <w:spacing w:val="-9"/>
          <w:sz w:val="16"/>
          <w:szCs w:val="16"/>
          <w:lang w:val="es-ES_tradnl"/>
        </w:rPr>
        <w:t>derecho, art</w:t>
      </w:r>
      <w:r>
        <w:rPr>
          <w:rFonts w:cs="Times New Roman"/>
          <w:spacing w:val="-9"/>
          <w:sz w:val="16"/>
          <w:szCs w:val="16"/>
          <w:lang w:val="es-ES_tradnl"/>
        </w:rPr>
        <w:t>í</w:t>
      </w:r>
      <w:r>
        <w:rPr>
          <w:spacing w:val="-9"/>
          <w:sz w:val="16"/>
          <w:szCs w:val="16"/>
          <w:lang w:val="es-ES_tradnl"/>
        </w:rPr>
        <w:t>culo 10 numeral 9 de la Ley de R</w:t>
      </w:r>
      <w:r>
        <w:rPr>
          <w:rFonts w:cs="Times New Roman"/>
          <w:spacing w:val="-9"/>
          <w:sz w:val="16"/>
          <w:szCs w:val="16"/>
          <w:lang w:val="es-ES_tradnl"/>
        </w:rPr>
        <w:t>é</w:t>
      </w:r>
      <w:r>
        <w:rPr>
          <w:spacing w:val="-9"/>
          <w:sz w:val="16"/>
          <w:szCs w:val="16"/>
          <w:lang w:val="es-ES_tradnl"/>
        </w:rPr>
        <w:t xml:space="preserve">gimen Tributario </w:t>
      </w:r>
      <w:r>
        <w:rPr>
          <w:spacing w:val="-5"/>
          <w:sz w:val="16"/>
          <w:szCs w:val="16"/>
          <w:lang w:val="es-ES_tradnl"/>
        </w:rPr>
        <w:t xml:space="preserve">Interno, art. 11 de la Ley de Seguridad Social (vigente 2005) </w:t>
      </w:r>
      <w:r>
        <w:rPr>
          <w:spacing w:val="-7"/>
          <w:sz w:val="16"/>
          <w:szCs w:val="16"/>
          <w:lang w:val="es-ES_tradnl"/>
        </w:rPr>
        <w:t>(causal primera). Cargo 2.- Resoluci</w:t>
      </w:r>
      <w:r>
        <w:rPr>
          <w:rFonts w:cs="Times New Roman"/>
          <w:spacing w:val="-7"/>
          <w:sz w:val="16"/>
          <w:szCs w:val="16"/>
          <w:lang w:val="es-ES_tradnl"/>
        </w:rPr>
        <w:t>ó</w:t>
      </w:r>
      <w:r>
        <w:rPr>
          <w:spacing w:val="-7"/>
          <w:sz w:val="16"/>
          <w:szCs w:val="16"/>
          <w:lang w:val="es-ES_tradnl"/>
        </w:rPr>
        <w:t xml:space="preserve">n en sentencia de lo que </w:t>
      </w:r>
      <w:r>
        <w:rPr>
          <w:spacing w:val="-5"/>
          <w:sz w:val="16"/>
          <w:szCs w:val="16"/>
          <w:lang w:val="es-ES_tradnl"/>
        </w:rPr>
        <w:t>no fuera materia del litigio; omisi</w:t>
      </w:r>
      <w:r>
        <w:rPr>
          <w:rFonts w:cs="Times New Roman"/>
          <w:spacing w:val="-5"/>
          <w:sz w:val="16"/>
          <w:szCs w:val="16"/>
          <w:lang w:val="es-ES_tradnl"/>
        </w:rPr>
        <w:t>ó</w:t>
      </w:r>
      <w:r>
        <w:rPr>
          <w:spacing w:val="-5"/>
          <w:sz w:val="16"/>
          <w:szCs w:val="16"/>
          <w:lang w:val="es-ES_tradnl"/>
        </w:rPr>
        <w:t xml:space="preserve">n de resolver en sentencia todos los puntos de la litis, (causal cuarta). Cargo 3.- cuando la sentencia no contuviere los requisitos exigidos en la Ley; </w:t>
      </w:r>
      <w:r>
        <w:rPr>
          <w:spacing w:val="-3"/>
          <w:sz w:val="16"/>
          <w:szCs w:val="16"/>
          <w:lang w:val="es-ES_tradnl"/>
        </w:rPr>
        <w:t>letra l del numeral 7 del art. 76 de la Constituci</w:t>
      </w:r>
      <w:r>
        <w:rPr>
          <w:rFonts w:cs="Times New Roman"/>
          <w:spacing w:val="-3"/>
          <w:sz w:val="16"/>
          <w:szCs w:val="16"/>
          <w:lang w:val="es-ES_tradnl"/>
        </w:rPr>
        <w:t>ó</w:t>
      </w:r>
      <w:r>
        <w:rPr>
          <w:spacing w:val="-3"/>
          <w:sz w:val="16"/>
          <w:szCs w:val="16"/>
          <w:lang w:val="es-ES_tradnl"/>
        </w:rPr>
        <w:t xml:space="preserve">n de la </w:t>
      </w:r>
      <w:r>
        <w:rPr>
          <w:spacing w:val="-6"/>
          <w:sz w:val="16"/>
          <w:szCs w:val="16"/>
          <w:lang w:val="es-ES_tradnl"/>
        </w:rPr>
        <w:t>Rep</w:t>
      </w:r>
      <w:r>
        <w:rPr>
          <w:rFonts w:cs="Times New Roman"/>
          <w:spacing w:val="-6"/>
          <w:sz w:val="16"/>
          <w:szCs w:val="16"/>
          <w:lang w:val="es-ES_tradnl"/>
        </w:rPr>
        <w:t>ú</w:t>
      </w:r>
      <w:r>
        <w:rPr>
          <w:spacing w:val="-6"/>
          <w:sz w:val="16"/>
          <w:szCs w:val="16"/>
          <w:lang w:val="es-ES_tradnl"/>
        </w:rPr>
        <w:t>blica, art. 273 del C</w:t>
      </w:r>
      <w:r>
        <w:rPr>
          <w:rFonts w:cs="Times New Roman"/>
          <w:spacing w:val="-6"/>
          <w:sz w:val="16"/>
          <w:szCs w:val="16"/>
          <w:lang w:val="es-ES_tradnl"/>
        </w:rPr>
        <w:t>ó</w:t>
      </w:r>
      <w:r>
        <w:rPr>
          <w:spacing w:val="-6"/>
          <w:sz w:val="16"/>
          <w:szCs w:val="16"/>
          <w:lang w:val="es-ES_tradnl"/>
        </w:rPr>
        <w:t>digo Tributario y art 274 del C</w:t>
      </w:r>
      <w:r>
        <w:rPr>
          <w:rFonts w:cs="Times New Roman"/>
          <w:spacing w:val="-6"/>
          <w:sz w:val="16"/>
          <w:szCs w:val="16"/>
          <w:lang w:val="es-ES_tradnl"/>
        </w:rPr>
        <w:t>ó</w:t>
      </w:r>
      <w:r>
        <w:rPr>
          <w:spacing w:val="-6"/>
          <w:sz w:val="16"/>
          <w:szCs w:val="16"/>
          <w:lang w:val="es-ES_tradnl"/>
        </w:rPr>
        <w:t xml:space="preserve">digo </w:t>
      </w:r>
      <w:r>
        <w:rPr>
          <w:sz w:val="16"/>
          <w:szCs w:val="16"/>
          <w:lang w:val="es-ES_tradnl"/>
        </w:rPr>
        <w:t>de Procedimiento Civil, (causal quinta)</w:t>
      </w:r>
      <w:r>
        <w:rPr>
          <w:rFonts w:cs="Times New Roman"/>
          <w:sz w:val="16"/>
          <w:szCs w:val="16"/>
          <w:lang w:val="es-ES_tradnl"/>
        </w:rPr>
        <w:t>…</w:t>
      </w:r>
    </w:p>
    <w:p w14:paraId="4F67BAAE" w14:textId="77777777" w:rsidR="00591D54" w:rsidRDefault="00591D54">
      <w:pPr>
        <w:shd w:val="clear" w:color="auto" w:fill="FFFFFF"/>
        <w:spacing w:before="206" w:line="216" w:lineRule="exact"/>
        <w:jc w:val="both"/>
      </w:pPr>
      <w:r>
        <w:rPr>
          <w:spacing w:val="-7"/>
          <w:sz w:val="18"/>
          <w:szCs w:val="18"/>
          <w:lang w:val="es-ES_tradnl"/>
        </w:rPr>
        <w:t xml:space="preserve">De lo manifestado, se desprende con claridad que Sala </w:t>
      </w:r>
      <w:r>
        <w:rPr>
          <w:spacing w:val="-6"/>
          <w:sz w:val="18"/>
          <w:szCs w:val="18"/>
          <w:lang w:val="es-ES_tradnl"/>
        </w:rPr>
        <w:t xml:space="preserve">Especializada de lo Contencioso Tributario de la Corte </w:t>
      </w:r>
      <w:r>
        <w:rPr>
          <w:spacing w:val="-8"/>
          <w:sz w:val="18"/>
          <w:szCs w:val="18"/>
          <w:lang w:val="es-ES_tradnl"/>
        </w:rPr>
        <w:t>Nacional de Justicia estableci</w:t>
      </w:r>
      <w:r>
        <w:rPr>
          <w:rFonts w:cs="Times New Roman"/>
          <w:spacing w:val="-8"/>
          <w:sz w:val="18"/>
          <w:szCs w:val="18"/>
          <w:lang w:val="es-ES_tradnl"/>
        </w:rPr>
        <w:t>ó</w:t>
      </w:r>
      <w:r>
        <w:rPr>
          <w:spacing w:val="-8"/>
          <w:sz w:val="18"/>
          <w:szCs w:val="18"/>
          <w:lang w:val="es-ES_tradnl"/>
        </w:rPr>
        <w:t xml:space="preserve"> de manera clara las fuentes </w:t>
      </w:r>
      <w:r>
        <w:rPr>
          <w:spacing w:val="-9"/>
          <w:sz w:val="18"/>
          <w:szCs w:val="18"/>
          <w:lang w:val="es-ES_tradnl"/>
        </w:rPr>
        <w:t>de derecho por medio de las cuales fund</w:t>
      </w:r>
      <w:r>
        <w:rPr>
          <w:rFonts w:cs="Times New Roman"/>
          <w:spacing w:val="-9"/>
          <w:sz w:val="18"/>
          <w:szCs w:val="18"/>
          <w:lang w:val="es-ES_tradnl"/>
        </w:rPr>
        <w:t>ó</w:t>
      </w:r>
      <w:r>
        <w:rPr>
          <w:spacing w:val="-9"/>
          <w:sz w:val="18"/>
          <w:szCs w:val="18"/>
          <w:lang w:val="es-ES_tradnl"/>
        </w:rPr>
        <w:t xml:space="preserve"> su razonamiento </w:t>
      </w:r>
      <w:r>
        <w:rPr>
          <w:spacing w:val="-10"/>
          <w:sz w:val="18"/>
          <w:szCs w:val="18"/>
          <w:lang w:val="es-ES_tradnl"/>
        </w:rPr>
        <w:t>respecto del recurso extraordinario de casaci</w:t>
      </w:r>
      <w:r>
        <w:rPr>
          <w:rFonts w:cs="Times New Roman"/>
          <w:spacing w:val="-10"/>
          <w:sz w:val="18"/>
          <w:szCs w:val="18"/>
          <w:lang w:val="es-ES_tradnl"/>
        </w:rPr>
        <w:t>ó</w:t>
      </w:r>
      <w:r>
        <w:rPr>
          <w:spacing w:val="-10"/>
          <w:sz w:val="18"/>
          <w:szCs w:val="18"/>
          <w:lang w:val="es-ES_tradnl"/>
        </w:rPr>
        <w:t xml:space="preserve">n puesto en su </w:t>
      </w:r>
      <w:r>
        <w:rPr>
          <w:spacing w:val="-8"/>
          <w:sz w:val="18"/>
          <w:szCs w:val="18"/>
          <w:lang w:val="es-ES_tradnl"/>
        </w:rPr>
        <w:t>conocimiento, se</w:t>
      </w:r>
      <w:r>
        <w:rPr>
          <w:rFonts w:cs="Times New Roman"/>
          <w:spacing w:val="-8"/>
          <w:sz w:val="18"/>
          <w:szCs w:val="18"/>
          <w:lang w:val="es-ES_tradnl"/>
        </w:rPr>
        <w:t>ñ</w:t>
      </w:r>
      <w:r>
        <w:rPr>
          <w:spacing w:val="-8"/>
          <w:sz w:val="18"/>
          <w:szCs w:val="18"/>
          <w:lang w:val="es-ES_tradnl"/>
        </w:rPr>
        <w:t>alando de esta manera aquellas relativas a la competencia de la Sala as</w:t>
      </w:r>
      <w:r>
        <w:rPr>
          <w:rFonts w:cs="Times New Roman"/>
          <w:spacing w:val="-8"/>
          <w:sz w:val="18"/>
          <w:szCs w:val="18"/>
          <w:lang w:val="es-ES_tradnl"/>
        </w:rPr>
        <w:t>í</w:t>
      </w:r>
      <w:r>
        <w:rPr>
          <w:spacing w:val="-8"/>
          <w:sz w:val="18"/>
          <w:szCs w:val="18"/>
          <w:lang w:val="es-ES_tradnl"/>
        </w:rPr>
        <w:t xml:space="preserve"> como tambi</w:t>
      </w:r>
      <w:r>
        <w:rPr>
          <w:rFonts w:cs="Times New Roman"/>
          <w:spacing w:val="-8"/>
          <w:sz w:val="18"/>
          <w:szCs w:val="18"/>
          <w:lang w:val="es-ES_tradnl"/>
        </w:rPr>
        <w:t>é</w:t>
      </w:r>
      <w:r>
        <w:rPr>
          <w:spacing w:val="-8"/>
          <w:sz w:val="18"/>
          <w:szCs w:val="18"/>
          <w:lang w:val="es-ES_tradnl"/>
        </w:rPr>
        <w:t>n los cargos alegados por el casacionista al igual que la decisi</w:t>
      </w:r>
      <w:r>
        <w:rPr>
          <w:rFonts w:cs="Times New Roman"/>
          <w:spacing w:val="-8"/>
          <w:sz w:val="18"/>
          <w:szCs w:val="18"/>
          <w:lang w:val="es-ES_tradnl"/>
        </w:rPr>
        <w:t>ó</w:t>
      </w:r>
      <w:r>
        <w:rPr>
          <w:spacing w:val="-8"/>
          <w:sz w:val="18"/>
          <w:szCs w:val="18"/>
          <w:lang w:val="es-ES_tradnl"/>
        </w:rPr>
        <w:t xml:space="preserve">n judicial </w:t>
      </w:r>
      <w:r>
        <w:rPr>
          <w:sz w:val="18"/>
          <w:szCs w:val="18"/>
          <w:lang w:val="es-ES_tradnl"/>
        </w:rPr>
        <w:t>objeto de estudio.</w:t>
      </w:r>
    </w:p>
    <w:p w14:paraId="4F67BAAF" w14:textId="77777777" w:rsidR="00591D54" w:rsidRDefault="00591D54">
      <w:pPr>
        <w:shd w:val="clear" w:color="auto" w:fill="FFFFFF"/>
        <w:spacing w:before="197" w:line="221" w:lineRule="exact"/>
        <w:jc w:val="both"/>
      </w:pPr>
      <w:r>
        <w:rPr>
          <w:spacing w:val="-5"/>
          <w:sz w:val="18"/>
          <w:szCs w:val="18"/>
          <w:lang w:val="es-ES_tradnl"/>
        </w:rPr>
        <w:t xml:space="preserve">En tal virtud, esta Corte Constitucional una vez que ha </w:t>
      </w:r>
      <w:r>
        <w:rPr>
          <w:spacing w:val="-8"/>
          <w:sz w:val="18"/>
          <w:szCs w:val="18"/>
          <w:lang w:val="es-ES_tradnl"/>
        </w:rPr>
        <w:t>constatado la existencia de una determinaci</w:t>
      </w:r>
      <w:r>
        <w:rPr>
          <w:rFonts w:cs="Times New Roman"/>
          <w:spacing w:val="-8"/>
          <w:sz w:val="18"/>
          <w:szCs w:val="18"/>
          <w:lang w:val="es-ES_tradnl"/>
        </w:rPr>
        <w:t>ó</w:t>
      </w:r>
      <w:r>
        <w:rPr>
          <w:spacing w:val="-8"/>
          <w:sz w:val="18"/>
          <w:szCs w:val="18"/>
          <w:lang w:val="es-ES_tradnl"/>
        </w:rPr>
        <w:t xml:space="preserve">n clara de las disposiciones normativas constitucionales y legales en las </w:t>
      </w:r>
      <w:r>
        <w:rPr>
          <w:spacing w:val="-6"/>
          <w:sz w:val="18"/>
          <w:szCs w:val="18"/>
          <w:lang w:val="es-ES_tradnl"/>
        </w:rPr>
        <w:t>que la Sala Especializada de lo Contencioso Tributario de</w:t>
      </w:r>
    </w:p>
    <w:p w14:paraId="4F67BAB0" w14:textId="77777777" w:rsidR="00591D54" w:rsidRDefault="00591D54">
      <w:pPr>
        <w:shd w:val="clear" w:color="auto" w:fill="FFFFFF"/>
        <w:spacing w:before="197" w:line="221" w:lineRule="exact"/>
        <w:jc w:val="both"/>
        <w:sectPr w:rsidR="00591D54">
          <w:type w:val="continuous"/>
          <w:pgSz w:w="11909" w:h="16834"/>
          <w:pgMar w:top="1371" w:right="1309" w:bottom="360" w:left="1308" w:header="720" w:footer="720" w:gutter="0"/>
          <w:cols w:num="2" w:space="720" w:equalWidth="0">
            <w:col w:w="4310" w:space="677"/>
            <w:col w:w="4305"/>
          </w:cols>
          <w:noEndnote/>
        </w:sectPr>
      </w:pPr>
    </w:p>
    <w:p w14:paraId="4F67BAB1" w14:textId="77777777" w:rsidR="00591D54" w:rsidRDefault="00591D54">
      <w:pPr>
        <w:shd w:val="clear" w:color="auto" w:fill="FFFFFF"/>
        <w:tabs>
          <w:tab w:val="left" w:pos="4814"/>
        </w:tabs>
        <w:spacing w:after="235"/>
        <w:ind w:left="5"/>
      </w:pPr>
      <w:r>
        <w:rPr>
          <w:b/>
          <w:bCs/>
          <w:sz w:val="18"/>
          <w:szCs w:val="18"/>
          <w:lang w:val="es-ES_tradnl"/>
        </w:rPr>
        <w:t xml:space="preserve">282 -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AB2" w14:textId="77777777" w:rsidR="00591D54" w:rsidRDefault="00591D54">
      <w:pPr>
        <w:shd w:val="clear" w:color="auto" w:fill="FFFFFF"/>
        <w:tabs>
          <w:tab w:val="left" w:pos="4814"/>
        </w:tabs>
        <w:spacing w:after="235"/>
        <w:ind w:left="5"/>
        <w:sectPr w:rsidR="00591D54">
          <w:pgSz w:w="11909" w:h="16834"/>
          <w:pgMar w:top="1373" w:right="1309" w:bottom="360" w:left="1308" w:header="720" w:footer="720" w:gutter="0"/>
          <w:cols w:space="60"/>
          <w:noEndnote/>
        </w:sectPr>
      </w:pPr>
    </w:p>
    <w:p w14:paraId="4F67BAB3" w14:textId="77777777" w:rsidR="00591D54" w:rsidRDefault="00591D54">
      <w:pPr>
        <w:shd w:val="clear" w:color="auto" w:fill="FFFFFF"/>
        <w:spacing w:line="216" w:lineRule="exact"/>
        <w:jc w:val="both"/>
      </w:pPr>
      <w:r>
        <w:rPr>
          <w:spacing w:val="-6"/>
          <w:sz w:val="18"/>
          <w:szCs w:val="18"/>
          <w:lang w:val="es-ES_tradnl"/>
        </w:rPr>
        <w:t>la Corte Nacional de Justicia fund</w:t>
      </w:r>
      <w:r>
        <w:rPr>
          <w:rFonts w:cs="Times New Roman"/>
          <w:spacing w:val="-6"/>
          <w:sz w:val="18"/>
          <w:szCs w:val="18"/>
          <w:lang w:val="es-ES_tradnl"/>
        </w:rPr>
        <w:t>ó</w:t>
      </w:r>
      <w:r>
        <w:rPr>
          <w:spacing w:val="-6"/>
          <w:sz w:val="18"/>
          <w:szCs w:val="18"/>
          <w:lang w:val="es-ES_tradnl"/>
        </w:rPr>
        <w:t xml:space="preserve"> su decisi</w:t>
      </w:r>
      <w:r>
        <w:rPr>
          <w:rFonts w:cs="Times New Roman"/>
          <w:spacing w:val="-6"/>
          <w:sz w:val="18"/>
          <w:szCs w:val="18"/>
          <w:lang w:val="es-ES_tradnl"/>
        </w:rPr>
        <w:t>ó</w:t>
      </w:r>
      <w:r>
        <w:rPr>
          <w:spacing w:val="-6"/>
          <w:sz w:val="18"/>
          <w:szCs w:val="18"/>
          <w:lang w:val="es-ES_tradnl"/>
        </w:rPr>
        <w:t xml:space="preserve">n, concluye </w:t>
      </w:r>
      <w:r>
        <w:rPr>
          <w:spacing w:val="-8"/>
          <w:sz w:val="18"/>
          <w:szCs w:val="18"/>
          <w:lang w:val="es-ES_tradnl"/>
        </w:rPr>
        <w:t xml:space="preserve">que ha tenido lugar una debida observancia al requisito de </w:t>
      </w:r>
      <w:r>
        <w:rPr>
          <w:sz w:val="18"/>
          <w:szCs w:val="18"/>
          <w:lang w:val="es-ES_tradnl"/>
        </w:rPr>
        <w:t>razonabilidad.</w:t>
      </w:r>
    </w:p>
    <w:p w14:paraId="4F67BAB4" w14:textId="77777777" w:rsidR="00591D54" w:rsidRDefault="00591D54">
      <w:pPr>
        <w:shd w:val="clear" w:color="auto" w:fill="FFFFFF"/>
        <w:spacing w:before="192"/>
      </w:pPr>
      <w:r>
        <w:rPr>
          <w:b/>
          <w:bCs/>
          <w:spacing w:val="-8"/>
          <w:sz w:val="18"/>
          <w:szCs w:val="18"/>
          <w:lang w:val="es-ES_tradnl"/>
        </w:rPr>
        <w:t>L</w:t>
      </w:r>
      <w:r>
        <w:rPr>
          <w:rFonts w:cs="Times New Roman"/>
          <w:b/>
          <w:bCs/>
          <w:spacing w:val="-8"/>
          <w:sz w:val="18"/>
          <w:szCs w:val="18"/>
          <w:lang w:val="es-ES_tradnl"/>
        </w:rPr>
        <w:t>ó</w:t>
      </w:r>
      <w:r>
        <w:rPr>
          <w:b/>
          <w:bCs/>
          <w:spacing w:val="-8"/>
          <w:sz w:val="18"/>
          <w:szCs w:val="18"/>
          <w:lang w:val="es-ES_tradnl"/>
        </w:rPr>
        <w:t>gica:</w:t>
      </w:r>
    </w:p>
    <w:p w14:paraId="4F67BAB5" w14:textId="77777777" w:rsidR="00591D54" w:rsidRDefault="00591D54">
      <w:pPr>
        <w:shd w:val="clear" w:color="auto" w:fill="FFFFFF"/>
        <w:spacing w:before="197" w:line="216" w:lineRule="exact"/>
        <w:jc w:val="both"/>
      </w:pPr>
      <w:r>
        <w:rPr>
          <w:spacing w:val="-8"/>
          <w:sz w:val="18"/>
          <w:szCs w:val="18"/>
          <w:lang w:val="es-ES_tradnl"/>
        </w:rPr>
        <w:t>El par</w:t>
      </w:r>
      <w:r>
        <w:rPr>
          <w:rFonts w:cs="Times New Roman"/>
          <w:spacing w:val="-8"/>
          <w:sz w:val="18"/>
          <w:szCs w:val="18"/>
          <w:lang w:val="es-ES_tradnl"/>
        </w:rPr>
        <w:t>á</w:t>
      </w:r>
      <w:r>
        <w:rPr>
          <w:spacing w:val="-8"/>
          <w:sz w:val="18"/>
          <w:szCs w:val="18"/>
          <w:lang w:val="es-ES_tradnl"/>
        </w:rPr>
        <w:t>metro de la l</w:t>
      </w:r>
      <w:r>
        <w:rPr>
          <w:rFonts w:cs="Times New Roman"/>
          <w:spacing w:val="-8"/>
          <w:sz w:val="18"/>
          <w:szCs w:val="18"/>
          <w:lang w:val="es-ES_tradnl"/>
        </w:rPr>
        <w:t>ó</w:t>
      </w:r>
      <w:r>
        <w:rPr>
          <w:spacing w:val="-8"/>
          <w:sz w:val="18"/>
          <w:szCs w:val="18"/>
          <w:lang w:val="es-ES_tradnl"/>
        </w:rPr>
        <w:t>gica se encuentra relacionado no s</w:t>
      </w:r>
      <w:r>
        <w:rPr>
          <w:rFonts w:cs="Times New Roman"/>
          <w:spacing w:val="-8"/>
          <w:sz w:val="18"/>
          <w:szCs w:val="18"/>
          <w:lang w:val="es-ES_tradnl"/>
        </w:rPr>
        <w:t>ó</w:t>
      </w:r>
      <w:r>
        <w:rPr>
          <w:spacing w:val="-8"/>
          <w:sz w:val="18"/>
          <w:szCs w:val="18"/>
          <w:lang w:val="es-ES_tradnl"/>
        </w:rPr>
        <w:t xml:space="preserve">lo </w:t>
      </w:r>
      <w:r>
        <w:rPr>
          <w:spacing w:val="-9"/>
          <w:sz w:val="18"/>
          <w:szCs w:val="18"/>
          <w:lang w:val="es-ES_tradnl"/>
        </w:rPr>
        <w:t xml:space="preserve">con la coherencia que debe existir entre las premisas con la </w:t>
      </w:r>
      <w:r>
        <w:rPr>
          <w:spacing w:val="-7"/>
          <w:sz w:val="18"/>
          <w:szCs w:val="18"/>
          <w:lang w:val="es-ES_tradnl"/>
        </w:rPr>
        <w:t>conclusi</w:t>
      </w:r>
      <w:r>
        <w:rPr>
          <w:rFonts w:cs="Times New Roman"/>
          <w:spacing w:val="-7"/>
          <w:sz w:val="18"/>
          <w:szCs w:val="18"/>
          <w:lang w:val="es-ES_tradnl"/>
        </w:rPr>
        <w:t>ó</w:t>
      </w:r>
      <w:r>
        <w:rPr>
          <w:spacing w:val="-7"/>
          <w:sz w:val="18"/>
          <w:szCs w:val="18"/>
          <w:lang w:val="es-ES_tradnl"/>
        </w:rPr>
        <w:t>n final, sino tambi</w:t>
      </w:r>
      <w:r>
        <w:rPr>
          <w:rFonts w:cs="Times New Roman"/>
          <w:spacing w:val="-7"/>
          <w:sz w:val="18"/>
          <w:szCs w:val="18"/>
          <w:lang w:val="es-ES_tradnl"/>
        </w:rPr>
        <w:t>é</w:t>
      </w:r>
      <w:r>
        <w:rPr>
          <w:spacing w:val="-7"/>
          <w:sz w:val="18"/>
          <w:szCs w:val="18"/>
          <w:lang w:val="es-ES_tradnl"/>
        </w:rPr>
        <w:t xml:space="preserve">n con la carga argumentativa </w:t>
      </w:r>
      <w:r>
        <w:rPr>
          <w:spacing w:val="-10"/>
          <w:sz w:val="18"/>
          <w:szCs w:val="18"/>
          <w:lang w:val="es-ES_tradnl"/>
        </w:rPr>
        <w:t xml:space="preserve">que debe existir por parte de las autoridades jurisdiccionales </w:t>
      </w:r>
      <w:r>
        <w:rPr>
          <w:spacing w:val="-6"/>
          <w:sz w:val="18"/>
          <w:szCs w:val="18"/>
          <w:lang w:val="es-ES_tradnl"/>
        </w:rPr>
        <w:t xml:space="preserve">en los razonamientos, afirmaciones y finalmente con la </w:t>
      </w:r>
      <w:r>
        <w:rPr>
          <w:sz w:val="18"/>
          <w:szCs w:val="18"/>
          <w:lang w:val="es-ES_tradnl"/>
        </w:rPr>
        <w:t>decisi</w:t>
      </w:r>
      <w:r>
        <w:rPr>
          <w:rFonts w:cs="Times New Roman"/>
          <w:sz w:val="18"/>
          <w:szCs w:val="18"/>
          <w:lang w:val="es-ES_tradnl"/>
        </w:rPr>
        <w:t>ó</w:t>
      </w:r>
      <w:r>
        <w:rPr>
          <w:sz w:val="18"/>
          <w:szCs w:val="18"/>
          <w:lang w:val="es-ES_tradnl"/>
        </w:rPr>
        <w:t>n que vaya a adoptar.</w:t>
      </w:r>
    </w:p>
    <w:p w14:paraId="4F67BAB6" w14:textId="77777777" w:rsidR="00591D54" w:rsidRDefault="00591D54">
      <w:pPr>
        <w:shd w:val="clear" w:color="auto" w:fill="FFFFFF"/>
        <w:spacing w:before="192" w:line="216" w:lineRule="exact"/>
        <w:jc w:val="both"/>
      </w:pPr>
      <w:r>
        <w:rPr>
          <w:spacing w:val="-7"/>
          <w:sz w:val="18"/>
          <w:szCs w:val="18"/>
          <w:lang w:val="es-ES_tradnl"/>
        </w:rPr>
        <w:t>Resalta del contenido de la decisi</w:t>
      </w:r>
      <w:r>
        <w:rPr>
          <w:rFonts w:cs="Times New Roman"/>
          <w:spacing w:val="-7"/>
          <w:sz w:val="18"/>
          <w:szCs w:val="18"/>
          <w:lang w:val="es-ES_tradnl"/>
        </w:rPr>
        <w:t>ó</w:t>
      </w:r>
      <w:r>
        <w:rPr>
          <w:spacing w:val="-7"/>
          <w:sz w:val="18"/>
          <w:szCs w:val="18"/>
          <w:lang w:val="es-ES_tradnl"/>
        </w:rPr>
        <w:t>n objeto de la presente acci</w:t>
      </w:r>
      <w:r>
        <w:rPr>
          <w:rFonts w:cs="Times New Roman"/>
          <w:spacing w:val="-7"/>
          <w:sz w:val="18"/>
          <w:szCs w:val="18"/>
          <w:lang w:val="es-ES_tradnl"/>
        </w:rPr>
        <w:t>ó</w:t>
      </w:r>
      <w:r>
        <w:rPr>
          <w:spacing w:val="-7"/>
          <w:sz w:val="18"/>
          <w:szCs w:val="18"/>
          <w:lang w:val="es-ES_tradnl"/>
        </w:rPr>
        <w:t>n extraordinaria de protecci</w:t>
      </w:r>
      <w:r>
        <w:rPr>
          <w:rFonts w:cs="Times New Roman"/>
          <w:spacing w:val="-7"/>
          <w:sz w:val="18"/>
          <w:szCs w:val="18"/>
          <w:lang w:val="es-ES_tradnl"/>
        </w:rPr>
        <w:t>ó</w:t>
      </w:r>
      <w:r>
        <w:rPr>
          <w:spacing w:val="-7"/>
          <w:sz w:val="18"/>
          <w:szCs w:val="18"/>
          <w:lang w:val="es-ES_tradnl"/>
        </w:rPr>
        <w:t>n lo se</w:t>
      </w:r>
      <w:r>
        <w:rPr>
          <w:rFonts w:cs="Times New Roman"/>
          <w:spacing w:val="-7"/>
          <w:sz w:val="18"/>
          <w:szCs w:val="18"/>
          <w:lang w:val="es-ES_tradnl"/>
        </w:rPr>
        <w:t>ñ</w:t>
      </w:r>
      <w:r>
        <w:rPr>
          <w:spacing w:val="-7"/>
          <w:sz w:val="18"/>
          <w:szCs w:val="18"/>
          <w:lang w:val="es-ES_tradnl"/>
        </w:rPr>
        <w:t xml:space="preserve">alado por la Sala </w:t>
      </w:r>
      <w:r>
        <w:rPr>
          <w:spacing w:val="-6"/>
          <w:sz w:val="18"/>
          <w:szCs w:val="18"/>
          <w:lang w:val="es-ES_tradnl"/>
        </w:rPr>
        <w:t xml:space="preserve">Especializada de lo Contencioso Tributario de la Corte </w:t>
      </w:r>
      <w:r>
        <w:rPr>
          <w:spacing w:val="-8"/>
          <w:sz w:val="18"/>
          <w:szCs w:val="18"/>
          <w:lang w:val="es-ES_tradnl"/>
        </w:rPr>
        <w:t>Nacional de Justicia del Ecuador en su considerando 6.1.</w:t>
      </w:r>
    </w:p>
    <w:p w14:paraId="4F67BAB7" w14:textId="77777777" w:rsidR="00591D54" w:rsidRDefault="00591D54">
      <w:pPr>
        <w:shd w:val="clear" w:color="auto" w:fill="FFFFFF"/>
        <w:spacing w:before="202" w:line="216" w:lineRule="exact"/>
        <w:ind w:left="283"/>
        <w:jc w:val="both"/>
      </w:pPr>
      <w:r>
        <w:rPr>
          <w:spacing w:val="-4"/>
          <w:sz w:val="16"/>
          <w:szCs w:val="16"/>
          <w:lang w:val="es-ES_tradnl"/>
        </w:rPr>
        <w:t>La casaci</w:t>
      </w:r>
      <w:r>
        <w:rPr>
          <w:rFonts w:cs="Times New Roman"/>
          <w:spacing w:val="-4"/>
          <w:sz w:val="16"/>
          <w:szCs w:val="16"/>
          <w:lang w:val="es-ES_tradnl"/>
        </w:rPr>
        <w:t>ó</w:t>
      </w:r>
      <w:r>
        <w:rPr>
          <w:spacing w:val="-4"/>
          <w:sz w:val="16"/>
          <w:szCs w:val="16"/>
          <w:lang w:val="es-ES_tradnl"/>
        </w:rPr>
        <w:t>n es un recurso extraordinario, de alta t</w:t>
      </w:r>
      <w:r>
        <w:rPr>
          <w:rFonts w:cs="Times New Roman"/>
          <w:spacing w:val="-4"/>
          <w:sz w:val="16"/>
          <w:szCs w:val="16"/>
          <w:lang w:val="es-ES_tradnl"/>
        </w:rPr>
        <w:t>é</w:t>
      </w:r>
      <w:r>
        <w:rPr>
          <w:spacing w:val="-4"/>
          <w:sz w:val="16"/>
          <w:szCs w:val="16"/>
          <w:lang w:val="es-ES_tradnl"/>
        </w:rPr>
        <w:t>cnica jur</w:t>
      </w:r>
      <w:r>
        <w:rPr>
          <w:rFonts w:cs="Times New Roman"/>
          <w:spacing w:val="-4"/>
          <w:sz w:val="16"/>
          <w:szCs w:val="16"/>
          <w:lang w:val="es-ES_tradnl"/>
        </w:rPr>
        <w:t>í</w:t>
      </w:r>
      <w:r>
        <w:rPr>
          <w:spacing w:val="-4"/>
          <w:sz w:val="16"/>
          <w:szCs w:val="16"/>
          <w:lang w:val="es-ES_tradnl"/>
        </w:rPr>
        <w:t xml:space="preserve">dica, formal y excepcional, cuyo principal objetivo es la </w:t>
      </w:r>
      <w:r>
        <w:rPr>
          <w:spacing w:val="-7"/>
          <w:sz w:val="16"/>
          <w:szCs w:val="16"/>
          <w:lang w:val="es-ES_tradnl"/>
        </w:rPr>
        <w:t>defensa del ordenamiento jur</w:t>
      </w:r>
      <w:r>
        <w:rPr>
          <w:rFonts w:cs="Times New Roman"/>
          <w:spacing w:val="-7"/>
          <w:sz w:val="16"/>
          <w:szCs w:val="16"/>
          <w:lang w:val="es-ES_tradnl"/>
        </w:rPr>
        <w:t>í</w:t>
      </w:r>
      <w:r>
        <w:rPr>
          <w:spacing w:val="-7"/>
          <w:sz w:val="16"/>
          <w:szCs w:val="16"/>
          <w:lang w:val="es-ES_tradnl"/>
        </w:rPr>
        <w:t xml:space="preserve">dico imperante, precautelando y </w:t>
      </w:r>
      <w:r>
        <w:rPr>
          <w:spacing w:val="-6"/>
          <w:sz w:val="16"/>
          <w:szCs w:val="16"/>
          <w:lang w:val="es-ES_tradnl"/>
        </w:rPr>
        <w:t xml:space="preserve">conservando la unidad e integridad de la jurisprudencia. </w:t>
      </w:r>
      <w:r>
        <w:rPr>
          <w:spacing w:val="-3"/>
          <w:sz w:val="16"/>
          <w:szCs w:val="16"/>
          <w:lang w:val="es-ES_tradnl"/>
        </w:rPr>
        <w:t>La actividad del organismo jurisdiccional de casaci</w:t>
      </w:r>
      <w:r>
        <w:rPr>
          <w:rFonts w:cs="Times New Roman"/>
          <w:spacing w:val="-3"/>
          <w:sz w:val="16"/>
          <w:szCs w:val="16"/>
          <w:lang w:val="es-ES_tradnl"/>
        </w:rPr>
        <w:t>ó</w:t>
      </w:r>
      <w:r>
        <w:rPr>
          <w:spacing w:val="-3"/>
          <w:sz w:val="16"/>
          <w:szCs w:val="16"/>
          <w:lang w:val="es-ES_tradnl"/>
        </w:rPr>
        <w:t xml:space="preserve">n se </w:t>
      </w:r>
      <w:r>
        <w:rPr>
          <w:spacing w:val="-5"/>
          <w:sz w:val="16"/>
          <w:szCs w:val="16"/>
          <w:lang w:val="es-ES_tradnl"/>
        </w:rPr>
        <w:t xml:space="preserve">mueve, por el impulso de la voluntad del recurrente; y es </w:t>
      </w:r>
      <w:r>
        <w:rPr>
          <w:rFonts w:cs="Times New Roman"/>
          <w:spacing w:val="-5"/>
          <w:sz w:val="16"/>
          <w:szCs w:val="16"/>
          <w:lang w:val="es-ES_tradnl"/>
        </w:rPr>
        <w:t>é</w:t>
      </w:r>
      <w:r>
        <w:rPr>
          <w:spacing w:val="-5"/>
          <w:sz w:val="16"/>
          <w:szCs w:val="16"/>
          <w:lang w:val="es-ES_tradnl"/>
        </w:rPr>
        <w:t xml:space="preserve">l </w:t>
      </w:r>
      <w:r>
        <w:rPr>
          <w:spacing w:val="-9"/>
          <w:sz w:val="16"/>
          <w:szCs w:val="16"/>
          <w:lang w:val="es-ES_tradnl"/>
        </w:rPr>
        <w:t xml:space="preserve">quien, en los fundamentos en que se apoya el recurso, cristaliza </w:t>
      </w:r>
      <w:r>
        <w:rPr>
          <w:spacing w:val="-7"/>
          <w:sz w:val="16"/>
          <w:szCs w:val="16"/>
          <w:lang w:val="es-ES_tradnl"/>
        </w:rPr>
        <w:t>y condiciona la actividad del Tribunal de casaci</w:t>
      </w:r>
      <w:r>
        <w:rPr>
          <w:rFonts w:cs="Times New Roman"/>
          <w:spacing w:val="-7"/>
          <w:sz w:val="16"/>
          <w:szCs w:val="16"/>
          <w:lang w:val="es-ES_tradnl"/>
        </w:rPr>
        <w:t>ó</w:t>
      </w:r>
      <w:r>
        <w:rPr>
          <w:spacing w:val="-7"/>
          <w:sz w:val="16"/>
          <w:szCs w:val="16"/>
          <w:lang w:val="es-ES_tradnl"/>
        </w:rPr>
        <w:t>n y se</w:t>
      </w:r>
      <w:r>
        <w:rPr>
          <w:rFonts w:cs="Times New Roman"/>
          <w:spacing w:val="-7"/>
          <w:sz w:val="16"/>
          <w:szCs w:val="16"/>
          <w:lang w:val="es-ES_tradnl"/>
        </w:rPr>
        <w:t>ñ</w:t>
      </w:r>
      <w:r>
        <w:rPr>
          <w:spacing w:val="-7"/>
          <w:sz w:val="16"/>
          <w:szCs w:val="16"/>
          <w:lang w:val="es-ES_tradnl"/>
        </w:rPr>
        <w:t xml:space="preserve">ala, de </w:t>
      </w:r>
      <w:r>
        <w:rPr>
          <w:spacing w:val="-8"/>
          <w:sz w:val="16"/>
          <w:szCs w:val="16"/>
          <w:lang w:val="es-ES_tradnl"/>
        </w:rPr>
        <w:t>antemano, los l</w:t>
      </w:r>
      <w:r>
        <w:rPr>
          <w:rFonts w:cs="Times New Roman"/>
          <w:spacing w:val="-8"/>
          <w:sz w:val="16"/>
          <w:szCs w:val="16"/>
          <w:lang w:val="es-ES_tradnl"/>
        </w:rPr>
        <w:t>í</w:t>
      </w:r>
      <w:r>
        <w:rPr>
          <w:spacing w:val="-8"/>
          <w:sz w:val="16"/>
          <w:szCs w:val="16"/>
          <w:lang w:val="es-ES_tradnl"/>
        </w:rPr>
        <w:t>mites que no pueden ser rebasados.</w:t>
      </w:r>
    </w:p>
    <w:p w14:paraId="4F67BAB8" w14:textId="77777777" w:rsidR="00591D54" w:rsidRDefault="00591D54">
      <w:pPr>
        <w:shd w:val="clear" w:color="auto" w:fill="FFFFFF"/>
        <w:spacing w:before="202" w:line="216" w:lineRule="exact"/>
        <w:jc w:val="both"/>
      </w:pPr>
      <w:r>
        <w:rPr>
          <w:spacing w:val="-11"/>
          <w:sz w:val="18"/>
          <w:szCs w:val="18"/>
          <w:lang w:val="es-ES_tradnl"/>
        </w:rPr>
        <w:t xml:space="preserve">Posteriormente, resalta lo manifestado por la Sala de la Corte </w:t>
      </w:r>
      <w:r>
        <w:rPr>
          <w:spacing w:val="-9"/>
          <w:sz w:val="18"/>
          <w:szCs w:val="18"/>
          <w:lang w:val="es-ES_tradnl"/>
        </w:rPr>
        <w:t>Nacional de Justicia en el considerando 6.4 y subsiguientes en el marco del an</w:t>
      </w:r>
      <w:r>
        <w:rPr>
          <w:rFonts w:cs="Times New Roman"/>
          <w:spacing w:val="-9"/>
          <w:sz w:val="18"/>
          <w:szCs w:val="18"/>
          <w:lang w:val="es-ES_tradnl"/>
        </w:rPr>
        <w:t>á</w:t>
      </w:r>
      <w:r>
        <w:rPr>
          <w:spacing w:val="-9"/>
          <w:sz w:val="18"/>
          <w:szCs w:val="18"/>
          <w:lang w:val="es-ES_tradnl"/>
        </w:rPr>
        <w:t>lisis de la alegaci</w:t>
      </w:r>
      <w:r>
        <w:rPr>
          <w:rFonts w:cs="Times New Roman"/>
          <w:spacing w:val="-9"/>
          <w:sz w:val="18"/>
          <w:szCs w:val="18"/>
          <w:lang w:val="es-ES_tradnl"/>
        </w:rPr>
        <w:t>ó</w:t>
      </w:r>
      <w:r>
        <w:rPr>
          <w:spacing w:val="-9"/>
          <w:sz w:val="18"/>
          <w:szCs w:val="18"/>
          <w:lang w:val="es-ES_tradnl"/>
        </w:rPr>
        <w:t xml:space="preserve">n referente a la causal </w:t>
      </w:r>
      <w:r>
        <w:rPr>
          <w:spacing w:val="-5"/>
          <w:sz w:val="18"/>
          <w:szCs w:val="18"/>
          <w:lang w:val="es-ES_tradnl"/>
        </w:rPr>
        <w:t>primera del art</w:t>
      </w:r>
      <w:r>
        <w:rPr>
          <w:rFonts w:cs="Times New Roman"/>
          <w:spacing w:val="-5"/>
          <w:sz w:val="18"/>
          <w:szCs w:val="18"/>
          <w:lang w:val="es-ES_tradnl"/>
        </w:rPr>
        <w:t>í</w:t>
      </w:r>
      <w:r>
        <w:rPr>
          <w:spacing w:val="-5"/>
          <w:sz w:val="18"/>
          <w:szCs w:val="18"/>
          <w:lang w:val="es-ES_tradnl"/>
        </w:rPr>
        <w:t>culo 3 de la Ley de Casaci</w:t>
      </w:r>
      <w:r>
        <w:rPr>
          <w:rFonts w:cs="Times New Roman"/>
          <w:spacing w:val="-5"/>
          <w:sz w:val="18"/>
          <w:szCs w:val="18"/>
          <w:lang w:val="es-ES_tradnl"/>
        </w:rPr>
        <w:t>ó</w:t>
      </w:r>
      <w:r>
        <w:rPr>
          <w:spacing w:val="-5"/>
          <w:sz w:val="18"/>
          <w:szCs w:val="18"/>
          <w:lang w:val="es-ES_tradnl"/>
        </w:rPr>
        <w:t xml:space="preserve">n. Ahora bien, </w:t>
      </w:r>
      <w:r>
        <w:rPr>
          <w:spacing w:val="-6"/>
          <w:sz w:val="18"/>
          <w:szCs w:val="18"/>
          <w:lang w:val="es-ES_tradnl"/>
        </w:rPr>
        <w:t>la Sala Especializada de lo Contencioso Tributario de la Corte Nacional de Justicia en el considerando N</w:t>
      </w:r>
      <w:r>
        <w:rPr>
          <w:rFonts w:cs="Times New Roman"/>
          <w:spacing w:val="-6"/>
          <w:sz w:val="18"/>
          <w:szCs w:val="18"/>
          <w:lang w:val="es-ES_tradnl"/>
        </w:rPr>
        <w:t>°</w:t>
      </w:r>
      <w:r>
        <w:rPr>
          <w:spacing w:val="-6"/>
          <w:sz w:val="18"/>
          <w:szCs w:val="18"/>
          <w:lang w:val="es-ES_tradnl"/>
        </w:rPr>
        <w:t xml:space="preserve"> 6.4.2.1 </w:t>
      </w:r>
      <w:r>
        <w:rPr>
          <w:spacing w:val="-9"/>
          <w:sz w:val="18"/>
          <w:szCs w:val="18"/>
          <w:lang w:val="es-ES_tradnl"/>
        </w:rPr>
        <w:t>se</w:t>
      </w:r>
      <w:r>
        <w:rPr>
          <w:rFonts w:cs="Times New Roman"/>
          <w:spacing w:val="-9"/>
          <w:sz w:val="18"/>
          <w:szCs w:val="18"/>
          <w:lang w:val="es-ES_tradnl"/>
        </w:rPr>
        <w:t>ñ</w:t>
      </w:r>
      <w:r>
        <w:rPr>
          <w:spacing w:val="-9"/>
          <w:sz w:val="18"/>
          <w:szCs w:val="18"/>
          <w:lang w:val="es-ES_tradnl"/>
        </w:rPr>
        <w:t>al</w:t>
      </w:r>
      <w:r>
        <w:rPr>
          <w:rFonts w:cs="Times New Roman"/>
          <w:spacing w:val="-9"/>
          <w:sz w:val="18"/>
          <w:szCs w:val="18"/>
          <w:lang w:val="es-ES_tradnl"/>
        </w:rPr>
        <w:t>ó</w:t>
      </w:r>
      <w:r>
        <w:rPr>
          <w:spacing w:val="-9"/>
          <w:sz w:val="18"/>
          <w:szCs w:val="18"/>
          <w:lang w:val="es-ES_tradnl"/>
        </w:rPr>
        <w:t xml:space="preserve"> </w:t>
      </w:r>
      <w:r>
        <w:rPr>
          <w:rFonts w:cs="Times New Roman"/>
          <w:spacing w:val="-9"/>
          <w:sz w:val="18"/>
          <w:szCs w:val="18"/>
          <w:lang w:val="es-ES_tradnl"/>
        </w:rPr>
        <w:t>“</w:t>
      </w:r>
      <w:r>
        <w:rPr>
          <w:spacing w:val="-9"/>
          <w:sz w:val="18"/>
          <w:szCs w:val="18"/>
          <w:lang w:val="es-ES_tradnl"/>
        </w:rPr>
        <w:t xml:space="preserve">El recurrente, respecto a la subglosa REEMBOLSO </w:t>
      </w:r>
      <w:r>
        <w:rPr>
          <w:spacing w:val="-7"/>
          <w:sz w:val="18"/>
          <w:szCs w:val="18"/>
          <w:lang w:val="es-ES_tradnl"/>
        </w:rPr>
        <w:t>DE GASTOS se</w:t>
      </w:r>
      <w:r>
        <w:rPr>
          <w:rFonts w:cs="Times New Roman"/>
          <w:spacing w:val="-7"/>
          <w:sz w:val="18"/>
          <w:szCs w:val="18"/>
          <w:lang w:val="es-ES_tradnl"/>
        </w:rPr>
        <w:t>ñ</w:t>
      </w:r>
      <w:r>
        <w:rPr>
          <w:spacing w:val="-7"/>
          <w:sz w:val="18"/>
          <w:szCs w:val="18"/>
          <w:lang w:val="es-ES_tradnl"/>
        </w:rPr>
        <w:t xml:space="preserve">ala que, en la sentencia recurrida se ha </w:t>
      </w:r>
      <w:r>
        <w:rPr>
          <w:spacing w:val="-4"/>
          <w:sz w:val="18"/>
          <w:szCs w:val="18"/>
          <w:lang w:val="es-ES_tradnl"/>
        </w:rPr>
        <w:t>producido la falta de aplicaci</w:t>
      </w:r>
      <w:r>
        <w:rPr>
          <w:rFonts w:cs="Times New Roman"/>
          <w:spacing w:val="-4"/>
          <w:sz w:val="18"/>
          <w:szCs w:val="18"/>
          <w:lang w:val="es-ES_tradnl"/>
        </w:rPr>
        <w:t>ó</w:t>
      </w:r>
      <w:r>
        <w:rPr>
          <w:spacing w:val="-4"/>
          <w:sz w:val="18"/>
          <w:szCs w:val="18"/>
          <w:lang w:val="es-ES_tradnl"/>
        </w:rPr>
        <w:t>n de los arts. 10 n</w:t>
      </w:r>
      <w:r>
        <w:rPr>
          <w:rFonts w:cs="Times New Roman"/>
          <w:spacing w:val="-4"/>
          <w:sz w:val="18"/>
          <w:szCs w:val="18"/>
          <w:lang w:val="es-ES_tradnl"/>
        </w:rPr>
        <w:t>ú</w:t>
      </w:r>
      <w:r>
        <w:rPr>
          <w:spacing w:val="-4"/>
          <w:sz w:val="18"/>
          <w:szCs w:val="18"/>
          <w:lang w:val="es-ES_tradnl"/>
        </w:rPr>
        <w:t>mero 9 y 7 a la Ley de R</w:t>
      </w:r>
      <w:r>
        <w:rPr>
          <w:rFonts w:cs="Times New Roman"/>
          <w:spacing w:val="-4"/>
          <w:sz w:val="18"/>
          <w:szCs w:val="18"/>
          <w:lang w:val="es-ES_tradnl"/>
        </w:rPr>
        <w:t>é</w:t>
      </w:r>
      <w:r>
        <w:rPr>
          <w:spacing w:val="-4"/>
          <w:sz w:val="18"/>
          <w:szCs w:val="18"/>
          <w:lang w:val="es-ES_tradnl"/>
        </w:rPr>
        <w:t>gimen Tributario Interno y Disposici</w:t>
      </w:r>
      <w:r>
        <w:rPr>
          <w:rFonts w:cs="Times New Roman"/>
          <w:spacing w:val="-4"/>
          <w:sz w:val="18"/>
          <w:szCs w:val="18"/>
          <w:lang w:val="es-ES_tradnl"/>
        </w:rPr>
        <w:t>ó</w:t>
      </w:r>
      <w:r>
        <w:rPr>
          <w:spacing w:val="-4"/>
          <w:sz w:val="18"/>
          <w:szCs w:val="18"/>
          <w:lang w:val="es-ES_tradnl"/>
        </w:rPr>
        <w:t xml:space="preserve">n </w:t>
      </w:r>
      <w:r>
        <w:rPr>
          <w:spacing w:val="-5"/>
          <w:sz w:val="18"/>
          <w:szCs w:val="18"/>
          <w:lang w:val="es-ES_tradnl"/>
        </w:rPr>
        <w:t xml:space="preserve">General Primera del Reglamento de Comprobantes de </w:t>
      </w:r>
      <w:r>
        <w:rPr>
          <w:sz w:val="18"/>
          <w:szCs w:val="18"/>
          <w:lang w:val="es-ES_tradnl"/>
        </w:rPr>
        <w:t>Venta y Retenci</w:t>
      </w:r>
      <w:r>
        <w:rPr>
          <w:rFonts w:cs="Times New Roman"/>
          <w:sz w:val="18"/>
          <w:szCs w:val="18"/>
          <w:lang w:val="es-ES_tradnl"/>
        </w:rPr>
        <w:t>ó</w:t>
      </w:r>
      <w:r>
        <w:rPr>
          <w:sz w:val="18"/>
          <w:szCs w:val="18"/>
          <w:lang w:val="es-ES_tradnl"/>
        </w:rPr>
        <w:t>n</w:t>
      </w:r>
      <w:r>
        <w:rPr>
          <w:rFonts w:cs="Times New Roman"/>
          <w:sz w:val="18"/>
          <w:szCs w:val="18"/>
          <w:lang w:val="es-ES_tradnl"/>
        </w:rPr>
        <w:t>…”</w:t>
      </w:r>
      <w:r>
        <w:rPr>
          <w:sz w:val="18"/>
          <w:szCs w:val="18"/>
          <w:lang w:val="es-ES_tradnl"/>
        </w:rPr>
        <w:t>.</w:t>
      </w:r>
    </w:p>
    <w:p w14:paraId="4F67BAB9" w14:textId="77777777" w:rsidR="00591D54" w:rsidRDefault="00591D54">
      <w:pPr>
        <w:shd w:val="clear" w:color="auto" w:fill="FFFFFF"/>
        <w:spacing w:before="197" w:line="216" w:lineRule="exact"/>
        <w:jc w:val="both"/>
      </w:pPr>
      <w:r>
        <w:rPr>
          <w:spacing w:val="-2"/>
          <w:sz w:val="18"/>
          <w:szCs w:val="18"/>
          <w:lang w:val="es-ES_tradnl"/>
        </w:rPr>
        <w:t xml:space="preserve">Luego de transcribir las prescripciones normativas </w:t>
      </w:r>
      <w:r>
        <w:rPr>
          <w:spacing w:val="-4"/>
          <w:sz w:val="18"/>
          <w:szCs w:val="18"/>
          <w:lang w:val="es-ES_tradnl"/>
        </w:rPr>
        <w:t>contenidas en los art</w:t>
      </w:r>
      <w:r>
        <w:rPr>
          <w:rFonts w:cs="Times New Roman"/>
          <w:spacing w:val="-4"/>
          <w:sz w:val="18"/>
          <w:szCs w:val="18"/>
          <w:lang w:val="es-ES_tradnl"/>
        </w:rPr>
        <w:t>í</w:t>
      </w:r>
      <w:r>
        <w:rPr>
          <w:spacing w:val="-4"/>
          <w:sz w:val="18"/>
          <w:szCs w:val="18"/>
          <w:lang w:val="es-ES_tradnl"/>
        </w:rPr>
        <w:t xml:space="preserve">culos referidos, la judicatura en </w:t>
      </w:r>
      <w:r>
        <w:rPr>
          <w:sz w:val="18"/>
          <w:szCs w:val="18"/>
          <w:lang w:val="es-ES_tradnl"/>
        </w:rPr>
        <w:t>cuesti</w:t>
      </w:r>
      <w:r>
        <w:rPr>
          <w:rFonts w:cs="Times New Roman"/>
          <w:sz w:val="18"/>
          <w:szCs w:val="18"/>
          <w:lang w:val="es-ES_tradnl"/>
        </w:rPr>
        <w:t>ó</w:t>
      </w:r>
      <w:r>
        <w:rPr>
          <w:sz w:val="18"/>
          <w:szCs w:val="18"/>
          <w:lang w:val="es-ES_tradnl"/>
        </w:rPr>
        <w:t>n, se</w:t>
      </w:r>
      <w:r>
        <w:rPr>
          <w:rFonts w:cs="Times New Roman"/>
          <w:sz w:val="18"/>
          <w:szCs w:val="18"/>
          <w:lang w:val="es-ES_tradnl"/>
        </w:rPr>
        <w:t>ñ</w:t>
      </w:r>
      <w:r>
        <w:rPr>
          <w:sz w:val="18"/>
          <w:szCs w:val="18"/>
          <w:lang w:val="es-ES_tradnl"/>
        </w:rPr>
        <w:t>al</w:t>
      </w:r>
      <w:r>
        <w:rPr>
          <w:rFonts w:cs="Times New Roman"/>
          <w:sz w:val="18"/>
          <w:szCs w:val="18"/>
          <w:lang w:val="es-ES_tradnl"/>
        </w:rPr>
        <w:t>ó</w:t>
      </w:r>
      <w:r>
        <w:rPr>
          <w:sz w:val="18"/>
          <w:szCs w:val="18"/>
          <w:lang w:val="es-ES_tradnl"/>
        </w:rPr>
        <w:t>:</w:t>
      </w:r>
    </w:p>
    <w:p w14:paraId="4F67BABA" w14:textId="77777777" w:rsidR="00591D54" w:rsidRDefault="00591D54">
      <w:pPr>
        <w:shd w:val="clear" w:color="auto" w:fill="FFFFFF"/>
        <w:spacing w:before="206" w:line="216" w:lineRule="exact"/>
        <w:ind w:left="283"/>
        <w:jc w:val="both"/>
      </w:pPr>
      <w:r>
        <w:rPr>
          <w:spacing w:val="-4"/>
          <w:sz w:val="16"/>
          <w:szCs w:val="16"/>
          <w:lang w:val="es-ES_tradnl"/>
        </w:rPr>
        <w:t>El Tribunal de instancia se</w:t>
      </w:r>
      <w:r>
        <w:rPr>
          <w:rFonts w:cs="Times New Roman"/>
          <w:spacing w:val="-4"/>
          <w:sz w:val="16"/>
          <w:szCs w:val="16"/>
          <w:lang w:val="es-ES_tradnl"/>
        </w:rPr>
        <w:t>ñ</w:t>
      </w:r>
      <w:r>
        <w:rPr>
          <w:spacing w:val="-4"/>
          <w:sz w:val="16"/>
          <w:szCs w:val="16"/>
          <w:lang w:val="es-ES_tradnl"/>
        </w:rPr>
        <w:t xml:space="preserve">ala que </w:t>
      </w:r>
      <w:r>
        <w:rPr>
          <w:rFonts w:cs="Times New Roman"/>
          <w:spacing w:val="-4"/>
          <w:sz w:val="16"/>
          <w:szCs w:val="16"/>
          <w:lang w:val="es-ES_tradnl"/>
        </w:rPr>
        <w:t>“…</w:t>
      </w:r>
      <w:r>
        <w:rPr>
          <w:spacing w:val="-4"/>
          <w:sz w:val="16"/>
          <w:szCs w:val="16"/>
          <w:lang w:val="es-ES_tradnl"/>
        </w:rPr>
        <w:t xml:space="preserve"> conforme a la </w:t>
      </w:r>
      <w:r>
        <w:rPr>
          <w:spacing w:val="-7"/>
          <w:sz w:val="16"/>
          <w:szCs w:val="16"/>
          <w:lang w:val="es-ES_tradnl"/>
        </w:rPr>
        <w:t>documentaci</w:t>
      </w:r>
      <w:r>
        <w:rPr>
          <w:rFonts w:cs="Times New Roman"/>
          <w:spacing w:val="-7"/>
          <w:sz w:val="16"/>
          <w:szCs w:val="16"/>
          <w:lang w:val="es-ES_tradnl"/>
        </w:rPr>
        <w:t>ó</w:t>
      </w:r>
      <w:r>
        <w:rPr>
          <w:spacing w:val="-7"/>
          <w:sz w:val="16"/>
          <w:szCs w:val="16"/>
          <w:lang w:val="es-ES_tradnl"/>
        </w:rPr>
        <w:t xml:space="preserve">n presentada producto de la diligencia realizada </w:t>
      </w:r>
      <w:r>
        <w:rPr>
          <w:spacing w:val="-6"/>
          <w:sz w:val="16"/>
          <w:szCs w:val="16"/>
          <w:lang w:val="es-ES_tradnl"/>
        </w:rPr>
        <w:t xml:space="preserve">en el domicilio de la actora, esta glosa ha sido desvirtuada en </w:t>
      </w:r>
      <w:r>
        <w:rPr>
          <w:spacing w:val="-7"/>
          <w:sz w:val="16"/>
          <w:szCs w:val="16"/>
          <w:lang w:val="es-ES_tradnl"/>
        </w:rPr>
        <w:t>su totalidad, situaci</w:t>
      </w:r>
      <w:r>
        <w:rPr>
          <w:rFonts w:cs="Times New Roman"/>
          <w:spacing w:val="-7"/>
          <w:sz w:val="16"/>
          <w:szCs w:val="16"/>
          <w:lang w:val="es-ES_tradnl"/>
        </w:rPr>
        <w:t>ó</w:t>
      </w:r>
      <w:r>
        <w:rPr>
          <w:spacing w:val="-7"/>
          <w:sz w:val="16"/>
          <w:szCs w:val="16"/>
          <w:lang w:val="es-ES_tradnl"/>
        </w:rPr>
        <w:t xml:space="preserve">n que coinciden los dos peritos actuantes </w:t>
      </w:r>
      <w:r>
        <w:rPr>
          <w:spacing w:val="-3"/>
          <w:sz w:val="16"/>
          <w:szCs w:val="16"/>
          <w:lang w:val="es-ES_tradnl"/>
        </w:rPr>
        <w:t>por la informaci</w:t>
      </w:r>
      <w:r>
        <w:rPr>
          <w:rFonts w:cs="Times New Roman"/>
          <w:spacing w:val="-3"/>
          <w:sz w:val="16"/>
          <w:szCs w:val="16"/>
          <w:lang w:val="es-ES_tradnl"/>
        </w:rPr>
        <w:t>ó</w:t>
      </w:r>
      <w:r>
        <w:rPr>
          <w:spacing w:val="-3"/>
          <w:sz w:val="16"/>
          <w:szCs w:val="16"/>
          <w:lang w:val="es-ES_tradnl"/>
        </w:rPr>
        <w:t xml:space="preserve">n adicional presentada producto de la </w:t>
      </w:r>
      <w:r>
        <w:rPr>
          <w:spacing w:val="-6"/>
          <w:sz w:val="16"/>
          <w:szCs w:val="16"/>
          <w:lang w:val="es-ES_tradnl"/>
        </w:rPr>
        <w:t>diligencia de exhibici</w:t>
      </w:r>
      <w:r>
        <w:rPr>
          <w:rFonts w:cs="Times New Roman"/>
          <w:spacing w:val="-6"/>
          <w:sz w:val="16"/>
          <w:szCs w:val="16"/>
          <w:lang w:val="es-ES_tradnl"/>
        </w:rPr>
        <w:t>ó</w:t>
      </w:r>
      <w:r>
        <w:rPr>
          <w:spacing w:val="-6"/>
          <w:sz w:val="16"/>
          <w:szCs w:val="16"/>
          <w:lang w:val="es-ES_tradnl"/>
        </w:rPr>
        <w:t xml:space="preserve">n de documentos solicitada por la parte </w:t>
      </w:r>
      <w:r>
        <w:rPr>
          <w:spacing w:val="-8"/>
          <w:sz w:val="16"/>
          <w:szCs w:val="16"/>
          <w:lang w:val="es-ES_tradnl"/>
        </w:rPr>
        <w:t>actora</w:t>
      </w:r>
      <w:r>
        <w:rPr>
          <w:rFonts w:cs="Times New Roman"/>
          <w:spacing w:val="-8"/>
          <w:sz w:val="16"/>
          <w:szCs w:val="16"/>
          <w:lang w:val="es-ES_tradnl"/>
        </w:rPr>
        <w:t>…”</w:t>
      </w:r>
      <w:r>
        <w:rPr>
          <w:i/>
          <w:iCs/>
          <w:spacing w:val="-8"/>
          <w:sz w:val="16"/>
          <w:szCs w:val="16"/>
          <w:lang w:val="es-ES_tradnl"/>
        </w:rPr>
        <w:t xml:space="preserve">. </w:t>
      </w:r>
      <w:r>
        <w:rPr>
          <w:spacing w:val="-8"/>
          <w:sz w:val="16"/>
          <w:szCs w:val="16"/>
          <w:lang w:val="es-ES_tradnl"/>
        </w:rPr>
        <w:t xml:space="preserve">Tal como se desprende del acto impugnado (fs. 22), </w:t>
      </w:r>
      <w:r>
        <w:rPr>
          <w:spacing w:val="-7"/>
          <w:sz w:val="16"/>
          <w:szCs w:val="16"/>
          <w:lang w:val="es-ES_tradnl"/>
        </w:rPr>
        <w:t xml:space="preserve">las facturas presentadas por el contribuyente, fueron emitidas con fecha anterior a la fecha en que fueron otorgadas las </w:t>
      </w:r>
      <w:r>
        <w:rPr>
          <w:spacing w:val="-8"/>
          <w:sz w:val="16"/>
          <w:szCs w:val="16"/>
          <w:lang w:val="es-ES_tradnl"/>
        </w:rPr>
        <w:t>autorizaciones, a las compa</w:t>
      </w:r>
      <w:r>
        <w:rPr>
          <w:rFonts w:cs="Times New Roman"/>
          <w:spacing w:val="-8"/>
          <w:sz w:val="16"/>
          <w:szCs w:val="16"/>
          <w:lang w:val="es-ES_tradnl"/>
        </w:rPr>
        <w:t>ñí</w:t>
      </w:r>
      <w:r>
        <w:rPr>
          <w:spacing w:val="-8"/>
          <w:sz w:val="16"/>
          <w:szCs w:val="16"/>
          <w:lang w:val="es-ES_tradnl"/>
        </w:rPr>
        <w:t xml:space="preserve">as tercerizadoras para emitir los </w:t>
      </w:r>
      <w:r>
        <w:rPr>
          <w:spacing w:val="-10"/>
          <w:sz w:val="16"/>
          <w:szCs w:val="16"/>
          <w:lang w:val="es-ES_tradnl"/>
        </w:rPr>
        <w:t>mencionados comprobantes (</w:t>
      </w:r>
      <w:r>
        <w:rPr>
          <w:rFonts w:cs="Times New Roman"/>
          <w:spacing w:val="-10"/>
          <w:sz w:val="16"/>
          <w:szCs w:val="16"/>
          <w:lang w:val="es-ES_tradnl"/>
        </w:rPr>
        <w:t>…</w:t>
      </w:r>
      <w:r>
        <w:rPr>
          <w:spacing w:val="-10"/>
          <w:sz w:val="16"/>
          <w:szCs w:val="16"/>
          <w:lang w:val="es-ES_tradnl"/>
        </w:rPr>
        <w:t xml:space="preserve">); esta sumado al hecho de que </w:t>
      </w:r>
      <w:r>
        <w:rPr>
          <w:spacing w:val="-9"/>
          <w:sz w:val="16"/>
          <w:szCs w:val="16"/>
          <w:lang w:val="es-ES_tradnl"/>
        </w:rPr>
        <w:t xml:space="preserve">los gastos (reembolsos) no se ven refl ejados en las planillas de </w:t>
      </w:r>
      <w:r>
        <w:rPr>
          <w:sz w:val="16"/>
          <w:szCs w:val="16"/>
          <w:lang w:val="es-ES_tradnl"/>
        </w:rPr>
        <w:t>aportes al IESS</w:t>
      </w:r>
      <w:r>
        <w:rPr>
          <w:rFonts w:cs="Times New Roman"/>
          <w:sz w:val="16"/>
          <w:szCs w:val="16"/>
          <w:lang w:val="es-ES_tradnl"/>
        </w:rPr>
        <w:t>…</w:t>
      </w:r>
    </w:p>
    <w:p w14:paraId="4F67BABB" w14:textId="77777777" w:rsidR="00591D54" w:rsidRDefault="00591D54">
      <w:pPr>
        <w:shd w:val="clear" w:color="auto" w:fill="FFFFFF"/>
        <w:spacing w:before="202" w:line="216" w:lineRule="exact"/>
        <w:jc w:val="both"/>
      </w:pPr>
      <w:r>
        <w:rPr>
          <w:spacing w:val="-3"/>
          <w:sz w:val="18"/>
          <w:szCs w:val="18"/>
          <w:lang w:val="es-ES_tradnl"/>
        </w:rPr>
        <w:t>Continuando con el estudio de la decisi</w:t>
      </w:r>
      <w:r>
        <w:rPr>
          <w:rFonts w:cs="Times New Roman"/>
          <w:spacing w:val="-3"/>
          <w:sz w:val="18"/>
          <w:szCs w:val="18"/>
          <w:lang w:val="es-ES_tradnl"/>
        </w:rPr>
        <w:t>ó</w:t>
      </w:r>
      <w:r>
        <w:rPr>
          <w:spacing w:val="-3"/>
          <w:sz w:val="18"/>
          <w:szCs w:val="18"/>
          <w:lang w:val="es-ES_tradnl"/>
        </w:rPr>
        <w:t xml:space="preserve">n objetada, </w:t>
      </w:r>
      <w:r>
        <w:rPr>
          <w:spacing w:val="-7"/>
          <w:sz w:val="18"/>
          <w:szCs w:val="18"/>
          <w:lang w:val="es-ES_tradnl"/>
        </w:rPr>
        <w:t xml:space="preserve">sobresale lo determinado por la Sala de la Corte Nacional </w:t>
      </w:r>
      <w:r>
        <w:rPr>
          <w:spacing w:val="-6"/>
          <w:sz w:val="18"/>
          <w:szCs w:val="18"/>
          <w:lang w:val="es-ES_tradnl"/>
        </w:rPr>
        <w:t xml:space="preserve">de Justicia en el considerando 6.4.2.2.- </w:t>
      </w:r>
      <w:r>
        <w:rPr>
          <w:rFonts w:cs="Times New Roman"/>
          <w:spacing w:val="-6"/>
          <w:sz w:val="18"/>
          <w:szCs w:val="18"/>
          <w:lang w:val="es-ES_tradnl"/>
        </w:rPr>
        <w:t>“</w:t>
      </w:r>
      <w:r>
        <w:rPr>
          <w:spacing w:val="-6"/>
          <w:sz w:val="18"/>
          <w:szCs w:val="18"/>
          <w:lang w:val="es-ES_tradnl"/>
        </w:rPr>
        <w:t xml:space="preserve">En el caso de la </w:t>
      </w:r>
      <w:r>
        <w:rPr>
          <w:sz w:val="18"/>
          <w:szCs w:val="18"/>
          <w:lang w:val="es-ES_tradnl"/>
        </w:rPr>
        <w:t>subglosa  IMPUESTO AL VALOR AGREGADO  POR</w:t>
      </w:r>
    </w:p>
    <w:p w14:paraId="4F67BABC" w14:textId="77777777" w:rsidR="00591D54" w:rsidRDefault="00591D54">
      <w:pPr>
        <w:shd w:val="clear" w:color="auto" w:fill="FFFFFF"/>
        <w:spacing w:line="216" w:lineRule="exact"/>
        <w:jc w:val="both"/>
      </w:pPr>
      <w:r>
        <w:br w:type="column"/>
      </w:r>
      <w:r>
        <w:rPr>
          <w:spacing w:val="-5"/>
          <w:sz w:val="18"/>
          <w:szCs w:val="18"/>
          <w:lang w:val="es-ES_tradnl"/>
        </w:rPr>
        <w:t>IMPORTACI</w:t>
      </w:r>
      <w:r>
        <w:rPr>
          <w:rFonts w:cs="Times New Roman"/>
          <w:spacing w:val="-5"/>
          <w:sz w:val="18"/>
          <w:szCs w:val="18"/>
          <w:lang w:val="es-ES_tradnl"/>
        </w:rPr>
        <w:t>Ó</w:t>
      </w:r>
      <w:r>
        <w:rPr>
          <w:spacing w:val="-5"/>
          <w:sz w:val="18"/>
          <w:szCs w:val="18"/>
          <w:lang w:val="es-ES_tradnl"/>
        </w:rPr>
        <w:t>N DE MATERIA PRIMA, la Administraci</w:t>
      </w:r>
      <w:r>
        <w:rPr>
          <w:rFonts w:cs="Times New Roman"/>
          <w:spacing w:val="-5"/>
          <w:sz w:val="18"/>
          <w:szCs w:val="18"/>
          <w:lang w:val="es-ES_tradnl"/>
        </w:rPr>
        <w:t>ó</w:t>
      </w:r>
      <w:r>
        <w:rPr>
          <w:spacing w:val="-5"/>
          <w:sz w:val="18"/>
          <w:szCs w:val="18"/>
          <w:lang w:val="es-ES_tradnl"/>
        </w:rPr>
        <w:t xml:space="preserve">n </w:t>
      </w:r>
      <w:r>
        <w:rPr>
          <w:sz w:val="18"/>
          <w:szCs w:val="18"/>
          <w:lang w:val="es-ES_tradnl"/>
        </w:rPr>
        <w:t>argumenta la falta de aplicaci</w:t>
      </w:r>
      <w:r>
        <w:rPr>
          <w:rFonts w:cs="Times New Roman"/>
          <w:sz w:val="18"/>
          <w:szCs w:val="18"/>
          <w:lang w:val="es-ES_tradnl"/>
        </w:rPr>
        <w:t>ó</w:t>
      </w:r>
      <w:r>
        <w:rPr>
          <w:sz w:val="18"/>
          <w:szCs w:val="18"/>
          <w:lang w:val="es-ES_tradnl"/>
        </w:rPr>
        <w:t xml:space="preserve">n del art. 10 numeral 3 </w:t>
      </w:r>
      <w:r>
        <w:rPr>
          <w:spacing w:val="-4"/>
          <w:sz w:val="18"/>
          <w:szCs w:val="18"/>
          <w:lang w:val="es-ES_tradnl"/>
        </w:rPr>
        <w:t>de la Ley de R</w:t>
      </w:r>
      <w:r>
        <w:rPr>
          <w:rFonts w:cs="Times New Roman"/>
          <w:spacing w:val="-4"/>
          <w:sz w:val="18"/>
          <w:szCs w:val="18"/>
          <w:lang w:val="es-ES_tradnl"/>
        </w:rPr>
        <w:t>é</w:t>
      </w:r>
      <w:r>
        <w:rPr>
          <w:spacing w:val="-4"/>
          <w:sz w:val="18"/>
          <w:szCs w:val="18"/>
          <w:lang w:val="es-ES_tradnl"/>
        </w:rPr>
        <w:t xml:space="preserve">gimen Tributario Interno y art. 151 del </w:t>
      </w:r>
      <w:r>
        <w:rPr>
          <w:sz w:val="18"/>
          <w:szCs w:val="18"/>
          <w:lang w:val="es-ES_tradnl"/>
        </w:rPr>
        <w:t>Reglamento a la referida Ley</w:t>
      </w:r>
      <w:r>
        <w:rPr>
          <w:rFonts w:cs="Times New Roman"/>
          <w:sz w:val="18"/>
          <w:szCs w:val="18"/>
          <w:lang w:val="es-ES_tradnl"/>
        </w:rPr>
        <w:t>”</w:t>
      </w:r>
      <w:r>
        <w:rPr>
          <w:sz w:val="18"/>
          <w:szCs w:val="18"/>
          <w:lang w:val="es-ES_tradnl"/>
        </w:rPr>
        <w:t>.</w:t>
      </w:r>
    </w:p>
    <w:p w14:paraId="4F67BABD" w14:textId="77777777" w:rsidR="00591D54" w:rsidRDefault="00591D54">
      <w:pPr>
        <w:shd w:val="clear" w:color="auto" w:fill="FFFFFF"/>
        <w:spacing w:before="197"/>
      </w:pPr>
      <w:r>
        <w:rPr>
          <w:spacing w:val="-7"/>
          <w:sz w:val="18"/>
          <w:szCs w:val="18"/>
          <w:lang w:val="es-ES_tradnl"/>
        </w:rPr>
        <w:t>As</w:t>
      </w:r>
      <w:r>
        <w:rPr>
          <w:rFonts w:cs="Times New Roman"/>
          <w:spacing w:val="-7"/>
          <w:sz w:val="18"/>
          <w:szCs w:val="18"/>
          <w:lang w:val="es-ES_tradnl"/>
        </w:rPr>
        <w:t>í</w:t>
      </w:r>
      <w:r>
        <w:rPr>
          <w:spacing w:val="-7"/>
          <w:sz w:val="18"/>
          <w:szCs w:val="18"/>
          <w:lang w:val="es-ES_tradnl"/>
        </w:rPr>
        <w:t xml:space="preserve"> tambi</w:t>
      </w:r>
      <w:r>
        <w:rPr>
          <w:rFonts w:cs="Times New Roman"/>
          <w:spacing w:val="-7"/>
          <w:sz w:val="18"/>
          <w:szCs w:val="18"/>
          <w:lang w:val="es-ES_tradnl"/>
        </w:rPr>
        <w:t>é</w:t>
      </w:r>
      <w:r>
        <w:rPr>
          <w:spacing w:val="-7"/>
          <w:sz w:val="18"/>
          <w:szCs w:val="18"/>
          <w:lang w:val="es-ES_tradnl"/>
        </w:rPr>
        <w:t>n se</w:t>
      </w:r>
      <w:r>
        <w:rPr>
          <w:rFonts w:cs="Times New Roman"/>
          <w:spacing w:val="-7"/>
          <w:sz w:val="18"/>
          <w:szCs w:val="18"/>
          <w:lang w:val="es-ES_tradnl"/>
        </w:rPr>
        <w:t>ñ</w:t>
      </w:r>
      <w:r>
        <w:rPr>
          <w:spacing w:val="-7"/>
          <w:sz w:val="18"/>
          <w:szCs w:val="18"/>
          <w:lang w:val="es-ES_tradnl"/>
        </w:rPr>
        <w:t>ala lo siguiente:</w:t>
      </w:r>
    </w:p>
    <w:p w14:paraId="4F67BABE" w14:textId="77777777" w:rsidR="00591D54" w:rsidRDefault="00591D54">
      <w:pPr>
        <w:shd w:val="clear" w:color="auto" w:fill="FFFFFF"/>
        <w:spacing w:before="202" w:line="216" w:lineRule="exact"/>
        <w:ind w:left="283"/>
        <w:jc w:val="both"/>
      </w:pPr>
      <w:r>
        <w:rPr>
          <w:spacing w:val="-4"/>
          <w:sz w:val="16"/>
          <w:szCs w:val="16"/>
          <w:lang w:val="es-ES_tradnl"/>
        </w:rPr>
        <w:t xml:space="preserve">El tribunal de instancia, en la sentencia recurrida, sostiene </w:t>
      </w:r>
      <w:r>
        <w:rPr>
          <w:spacing w:val="-5"/>
          <w:sz w:val="16"/>
          <w:szCs w:val="16"/>
          <w:lang w:val="es-ES_tradnl"/>
        </w:rPr>
        <w:t xml:space="preserve">que </w:t>
      </w:r>
      <w:r>
        <w:rPr>
          <w:rFonts w:cs="Times New Roman"/>
          <w:spacing w:val="-5"/>
          <w:sz w:val="16"/>
          <w:szCs w:val="16"/>
          <w:lang w:val="es-ES_tradnl"/>
        </w:rPr>
        <w:t>“…</w:t>
      </w:r>
      <w:r>
        <w:rPr>
          <w:spacing w:val="-5"/>
          <w:sz w:val="16"/>
          <w:szCs w:val="16"/>
          <w:lang w:val="es-ES_tradnl"/>
        </w:rPr>
        <w:t xml:space="preserve">el informe del perito de la autoridad demandada es </w:t>
      </w:r>
      <w:r>
        <w:rPr>
          <w:spacing w:val="-7"/>
          <w:sz w:val="16"/>
          <w:szCs w:val="16"/>
          <w:lang w:val="es-ES_tradnl"/>
        </w:rPr>
        <w:t>quien manifiesta que al analizar la documentaci</w:t>
      </w:r>
      <w:r>
        <w:rPr>
          <w:rFonts w:cs="Times New Roman"/>
          <w:spacing w:val="-7"/>
          <w:sz w:val="16"/>
          <w:szCs w:val="16"/>
          <w:lang w:val="es-ES_tradnl"/>
        </w:rPr>
        <w:t>ó</w:t>
      </w:r>
      <w:r>
        <w:rPr>
          <w:spacing w:val="-7"/>
          <w:sz w:val="16"/>
          <w:szCs w:val="16"/>
          <w:lang w:val="es-ES_tradnl"/>
        </w:rPr>
        <w:t xml:space="preserve">n entregada </w:t>
      </w:r>
      <w:r>
        <w:rPr>
          <w:spacing w:val="-6"/>
          <w:sz w:val="16"/>
          <w:szCs w:val="16"/>
          <w:lang w:val="es-ES_tradnl"/>
        </w:rPr>
        <w:t>no permite dar una aseveraci</w:t>
      </w:r>
      <w:r>
        <w:rPr>
          <w:rFonts w:cs="Times New Roman"/>
          <w:spacing w:val="-6"/>
          <w:sz w:val="16"/>
          <w:szCs w:val="16"/>
          <w:lang w:val="es-ES_tradnl"/>
        </w:rPr>
        <w:t>ó</w:t>
      </w:r>
      <w:r>
        <w:rPr>
          <w:spacing w:val="-6"/>
          <w:sz w:val="16"/>
          <w:szCs w:val="16"/>
          <w:lang w:val="es-ES_tradnl"/>
        </w:rPr>
        <w:t xml:space="preserve">n exacta al respecto; mientras </w:t>
      </w:r>
      <w:r>
        <w:rPr>
          <w:spacing w:val="-4"/>
          <w:sz w:val="16"/>
          <w:szCs w:val="16"/>
          <w:lang w:val="es-ES_tradnl"/>
        </w:rPr>
        <w:t>que el perito de la parte actora es categ</w:t>
      </w:r>
      <w:r>
        <w:rPr>
          <w:rFonts w:cs="Times New Roman"/>
          <w:spacing w:val="-4"/>
          <w:sz w:val="16"/>
          <w:szCs w:val="16"/>
          <w:lang w:val="es-ES_tradnl"/>
        </w:rPr>
        <w:t>ó</w:t>
      </w:r>
      <w:r>
        <w:rPr>
          <w:spacing w:val="-4"/>
          <w:sz w:val="16"/>
          <w:szCs w:val="16"/>
          <w:lang w:val="es-ES_tradnl"/>
        </w:rPr>
        <w:t>rico al se</w:t>
      </w:r>
      <w:r>
        <w:rPr>
          <w:rFonts w:cs="Times New Roman"/>
          <w:spacing w:val="-4"/>
          <w:sz w:val="16"/>
          <w:szCs w:val="16"/>
          <w:lang w:val="es-ES_tradnl"/>
        </w:rPr>
        <w:t>ñ</w:t>
      </w:r>
      <w:r>
        <w:rPr>
          <w:spacing w:val="-4"/>
          <w:sz w:val="16"/>
          <w:szCs w:val="16"/>
          <w:lang w:val="es-ES_tradnl"/>
        </w:rPr>
        <w:t xml:space="preserve">alar que </w:t>
      </w:r>
      <w:r>
        <w:rPr>
          <w:spacing w:val="-6"/>
          <w:sz w:val="16"/>
          <w:szCs w:val="16"/>
          <w:lang w:val="es-ES_tradnl"/>
        </w:rPr>
        <w:t>no existe en la utilizaci</w:t>
      </w:r>
      <w:r>
        <w:rPr>
          <w:rFonts w:cs="Times New Roman"/>
          <w:spacing w:val="-6"/>
          <w:sz w:val="16"/>
          <w:szCs w:val="16"/>
          <w:lang w:val="es-ES_tradnl"/>
        </w:rPr>
        <w:t>ó</w:t>
      </w:r>
      <w:r>
        <w:rPr>
          <w:spacing w:val="-6"/>
          <w:sz w:val="16"/>
          <w:szCs w:val="16"/>
          <w:lang w:val="es-ES_tradnl"/>
        </w:rPr>
        <w:t xml:space="preserve">n del doble beneficio antes indicado; </w:t>
      </w:r>
      <w:r>
        <w:rPr>
          <w:spacing w:val="-7"/>
          <w:sz w:val="16"/>
          <w:szCs w:val="16"/>
          <w:lang w:val="es-ES_tradnl"/>
        </w:rPr>
        <w:t>por lo expuesto y sumado a que en el Acta de Determinaci</w:t>
      </w:r>
      <w:r>
        <w:rPr>
          <w:rFonts w:cs="Times New Roman"/>
          <w:spacing w:val="-7"/>
          <w:sz w:val="16"/>
          <w:szCs w:val="16"/>
          <w:lang w:val="es-ES_tradnl"/>
        </w:rPr>
        <w:t>ó</w:t>
      </w:r>
      <w:r>
        <w:rPr>
          <w:spacing w:val="-7"/>
          <w:sz w:val="16"/>
          <w:szCs w:val="16"/>
          <w:lang w:val="es-ES_tradnl"/>
        </w:rPr>
        <w:t xml:space="preserve">n </w:t>
      </w:r>
      <w:r>
        <w:rPr>
          <w:spacing w:val="-3"/>
          <w:sz w:val="16"/>
          <w:szCs w:val="16"/>
          <w:lang w:val="es-ES_tradnl"/>
        </w:rPr>
        <w:t xml:space="preserve">no hay un detalle de pago de IVA que presente duplicidad </w:t>
      </w:r>
      <w:r>
        <w:rPr>
          <w:spacing w:val="-5"/>
          <w:sz w:val="16"/>
          <w:szCs w:val="16"/>
          <w:lang w:val="es-ES_tradnl"/>
        </w:rPr>
        <w:t>de cargo, esta glosa ha sido desvirtuada en su totalidad</w:t>
      </w:r>
      <w:r>
        <w:rPr>
          <w:rFonts w:cs="Times New Roman"/>
          <w:spacing w:val="-5"/>
          <w:sz w:val="16"/>
          <w:szCs w:val="16"/>
          <w:lang w:val="es-ES_tradnl"/>
        </w:rPr>
        <w:t>…”</w:t>
      </w:r>
      <w:r>
        <w:rPr>
          <w:spacing w:val="-5"/>
          <w:sz w:val="16"/>
          <w:szCs w:val="16"/>
          <w:lang w:val="es-ES_tradnl"/>
        </w:rPr>
        <w:t>. Consecuentemente, para esta Sala Especializada est</w:t>
      </w:r>
      <w:r>
        <w:rPr>
          <w:rFonts w:cs="Times New Roman"/>
          <w:spacing w:val="-5"/>
          <w:sz w:val="16"/>
          <w:szCs w:val="16"/>
          <w:lang w:val="es-ES_tradnl"/>
        </w:rPr>
        <w:t xml:space="preserve">á </w:t>
      </w:r>
      <w:r>
        <w:rPr>
          <w:spacing w:val="-3"/>
          <w:sz w:val="16"/>
          <w:szCs w:val="16"/>
          <w:lang w:val="es-ES_tradnl"/>
        </w:rPr>
        <w:t>demostrado que la compa</w:t>
      </w:r>
      <w:r>
        <w:rPr>
          <w:rFonts w:cs="Times New Roman"/>
          <w:spacing w:val="-3"/>
          <w:sz w:val="16"/>
          <w:szCs w:val="16"/>
          <w:lang w:val="es-ES_tradnl"/>
        </w:rPr>
        <w:t>ñí</w:t>
      </w:r>
      <w:r>
        <w:rPr>
          <w:spacing w:val="-3"/>
          <w:sz w:val="16"/>
          <w:szCs w:val="16"/>
          <w:lang w:val="es-ES_tradnl"/>
        </w:rPr>
        <w:t>a LAMITEX S.A. declar</w:t>
      </w:r>
      <w:r>
        <w:rPr>
          <w:rFonts w:cs="Times New Roman"/>
          <w:spacing w:val="-3"/>
          <w:sz w:val="16"/>
          <w:szCs w:val="16"/>
          <w:lang w:val="es-ES_tradnl"/>
        </w:rPr>
        <w:t>ó</w:t>
      </w:r>
      <w:r>
        <w:rPr>
          <w:spacing w:val="-3"/>
          <w:sz w:val="16"/>
          <w:szCs w:val="16"/>
          <w:lang w:val="es-ES_tradnl"/>
        </w:rPr>
        <w:t xml:space="preserve"> los </w:t>
      </w:r>
      <w:r>
        <w:rPr>
          <w:spacing w:val="-6"/>
          <w:sz w:val="16"/>
          <w:szCs w:val="16"/>
          <w:lang w:val="es-ES_tradnl"/>
        </w:rPr>
        <w:t xml:space="preserve">valores pagados por concepto de Advalorem y Fondinfa, en </w:t>
      </w:r>
      <w:r>
        <w:rPr>
          <w:spacing w:val="-8"/>
          <w:sz w:val="16"/>
          <w:szCs w:val="16"/>
          <w:lang w:val="es-ES_tradnl"/>
        </w:rPr>
        <w:t>forma duplicada (</w:t>
      </w:r>
      <w:r>
        <w:rPr>
          <w:rFonts w:cs="Times New Roman"/>
          <w:spacing w:val="-8"/>
          <w:sz w:val="16"/>
          <w:szCs w:val="16"/>
          <w:lang w:val="es-ES_tradnl"/>
        </w:rPr>
        <w:t>…</w:t>
      </w:r>
      <w:r>
        <w:rPr>
          <w:spacing w:val="-8"/>
          <w:sz w:val="16"/>
          <w:szCs w:val="16"/>
          <w:lang w:val="es-ES_tradnl"/>
        </w:rPr>
        <w:t xml:space="preserve">). Por lo tanto, se desconoce el gasto como </w:t>
      </w:r>
      <w:r>
        <w:rPr>
          <w:sz w:val="16"/>
          <w:szCs w:val="16"/>
          <w:lang w:val="es-ES_tradnl"/>
        </w:rPr>
        <w:t>deducible y se confirma la subglosa</w:t>
      </w:r>
      <w:r>
        <w:rPr>
          <w:rFonts w:cs="Times New Roman"/>
          <w:sz w:val="16"/>
          <w:szCs w:val="16"/>
          <w:lang w:val="es-ES_tradnl"/>
        </w:rPr>
        <w:t>…</w:t>
      </w:r>
    </w:p>
    <w:p w14:paraId="4F67BABF" w14:textId="77777777" w:rsidR="00591D54" w:rsidRDefault="00591D54">
      <w:pPr>
        <w:shd w:val="clear" w:color="auto" w:fill="FFFFFF"/>
        <w:spacing w:before="197" w:line="216" w:lineRule="exact"/>
        <w:jc w:val="both"/>
      </w:pPr>
      <w:r>
        <w:rPr>
          <w:spacing w:val="-9"/>
          <w:sz w:val="18"/>
          <w:szCs w:val="18"/>
          <w:lang w:val="es-ES_tradnl"/>
        </w:rPr>
        <w:t>Finalmente, lo manifestado en el numeral 7.1 de la decisi</w:t>
      </w:r>
      <w:r>
        <w:rPr>
          <w:rFonts w:cs="Times New Roman"/>
          <w:spacing w:val="-9"/>
          <w:sz w:val="18"/>
          <w:szCs w:val="18"/>
          <w:lang w:val="es-ES_tradnl"/>
        </w:rPr>
        <w:t>ó</w:t>
      </w:r>
      <w:r>
        <w:rPr>
          <w:spacing w:val="-9"/>
          <w:sz w:val="18"/>
          <w:szCs w:val="18"/>
          <w:lang w:val="es-ES_tradnl"/>
        </w:rPr>
        <w:t xml:space="preserve">n </w:t>
      </w:r>
      <w:r>
        <w:rPr>
          <w:spacing w:val="-8"/>
          <w:sz w:val="18"/>
          <w:szCs w:val="18"/>
          <w:lang w:val="es-ES_tradnl"/>
        </w:rPr>
        <w:t xml:space="preserve">sostiene </w:t>
      </w:r>
      <w:r>
        <w:rPr>
          <w:rFonts w:cs="Times New Roman"/>
          <w:spacing w:val="-8"/>
          <w:sz w:val="18"/>
          <w:szCs w:val="18"/>
          <w:lang w:val="es-ES_tradnl"/>
        </w:rPr>
        <w:t>“</w:t>
      </w:r>
      <w:r>
        <w:rPr>
          <w:spacing w:val="-8"/>
          <w:sz w:val="18"/>
          <w:szCs w:val="18"/>
          <w:lang w:val="es-ES_tradnl"/>
        </w:rPr>
        <w:t xml:space="preserve">Como se puede evidenciar, existe de parte de la </w:t>
      </w:r>
      <w:r>
        <w:rPr>
          <w:spacing w:val="-9"/>
          <w:sz w:val="18"/>
          <w:szCs w:val="18"/>
          <w:lang w:val="es-ES_tradnl"/>
        </w:rPr>
        <w:t>Administraci</w:t>
      </w:r>
      <w:r>
        <w:rPr>
          <w:rFonts w:cs="Times New Roman"/>
          <w:spacing w:val="-9"/>
          <w:sz w:val="18"/>
          <w:szCs w:val="18"/>
          <w:lang w:val="es-ES_tradnl"/>
        </w:rPr>
        <w:t>ó</w:t>
      </w:r>
      <w:r>
        <w:rPr>
          <w:spacing w:val="-9"/>
          <w:sz w:val="18"/>
          <w:szCs w:val="18"/>
          <w:lang w:val="es-ES_tradnl"/>
        </w:rPr>
        <w:t>n recurrente la justificaci</w:t>
      </w:r>
      <w:r>
        <w:rPr>
          <w:rFonts w:cs="Times New Roman"/>
          <w:spacing w:val="-9"/>
          <w:sz w:val="18"/>
          <w:szCs w:val="18"/>
          <w:lang w:val="es-ES_tradnl"/>
        </w:rPr>
        <w:t>ó</w:t>
      </w:r>
      <w:r>
        <w:rPr>
          <w:spacing w:val="-9"/>
          <w:sz w:val="18"/>
          <w:szCs w:val="18"/>
          <w:lang w:val="es-ES_tradnl"/>
        </w:rPr>
        <w:t>n l</w:t>
      </w:r>
      <w:r>
        <w:rPr>
          <w:rFonts w:cs="Times New Roman"/>
          <w:spacing w:val="-9"/>
          <w:sz w:val="18"/>
          <w:szCs w:val="18"/>
          <w:lang w:val="es-ES_tradnl"/>
        </w:rPr>
        <w:t>ó</w:t>
      </w:r>
      <w:r>
        <w:rPr>
          <w:spacing w:val="-9"/>
          <w:sz w:val="18"/>
          <w:szCs w:val="18"/>
          <w:lang w:val="es-ES_tradnl"/>
        </w:rPr>
        <w:t xml:space="preserve">gica y coherente </w:t>
      </w:r>
      <w:r>
        <w:rPr>
          <w:spacing w:val="-11"/>
          <w:sz w:val="18"/>
          <w:szCs w:val="18"/>
          <w:lang w:val="es-ES_tradnl"/>
        </w:rPr>
        <w:t>que demuestra la violaci</w:t>
      </w:r>
      <w:r>
        <w:rPr>
          <w:rFonts w:cs="Times New Roman"/>
          <w:spacing w:val="-11"/>
          <w:sz w:val="18"/>
          <w:szCs w:val="18"/>
          <w:lang w:val="es-ES_tradnl"/>
        </w:rPr>
        <w:t>ó</w:t>
      </w:r>
      <w:r>
        <w:rPr>
          <w:spacing w:val="-11"/>
          <w:sz w:val="18"/>
          <w:szCs w:val="18"/>
          <w:lang w:val="es-ES_tradnl"/>
        </w:rPr>
        <w:t xml:space="preserve">n de las normas de derecho que se </w:t>
      </w:r>
      <w:r>
        <w:rPr>
          <w:spacing w:val="-8"/>
          <w:sz w:val="18"/>
          <w:szCs w:val="18"/>
          <w:lang w:val="es-ES_tradnl"/>
        </w:rPr>
        <w:t>consideran transgredidas en relaci</w:t>
      </w:r>
      <w:r>
        <w:rPr>
          <w:rFonts w:cs="Times New Roman"/>
          <w:spacing w:val="-8"/>
          <w:sz w:val="18"/>
          <w:szCs w:val="18"/>
          <w:lang w:val="es-ES_tradnl"/>
        </w:rPr>
        <w:t>ó</w:t>
      </w:r>
      <w:r>
        <w:rPr>
          <w:spacing w:val="-8"/>
          <w:sz w:val="18"/>
          <w:szCs w:val="18"/>
          <w:lang w:val="es-ES_tradnl"/>
        </w:rPr>
        <w:t xml:space="preserve">n con la causal primera </w:t>
      </w:r>
      <w:r>
        <w:rPr>
          <w:spacing w:val="-7"/>
          <w:sz w:val="18"/>
          <w:szCs w:val="18"/>
          <w:lang w:val="es-ES_tradnl"/>
        </w:rPr>
        <w:t>del art. 3 de la Ley de Casaci</w:t>
      </w:r>
      <w:r>
        <w:rPr>
          <w:rFonts w:cs="Times New Roman"/>
          <w:spacing w:val="-7"/>
          <w:sz w:val="18"/>
          <w:szCs w:val="18"/>
          <w:lang w:val="es-ES_tradnl"/>
        </w:rPr>
        <w:t>ó</w:t>
      </w:r>
      <w:r>
        <w:rPr>
          <w:spacing w:val="-7"/>
          <w:sz w:val="18"/>
          <w:szCs w:val="18"/>
          <w:lang w:val="es-ES_tradnl"/>
        </w:rPr>
        <w:t>n. Es por esta raz</w:t>
      </w:r>
      <w:r>
        <w:rPr>
          <w:rFonts w:cs="Times New Roman"/>
          <w:spacing w:val="-7"/>
          <w:sz w:val="18"/>
          <w:szCs w:val="18"/>
          <w:lang w:val="es-ES_tradnl"/>
        </w:rPr>
        <w:t>ó</w:t>
      </w:r>
      <w:r>
        <w:rPr>
          <w:spacing w:val="-7"/>
          <w:sz w:val="18"/>
          <w:szCs w:val="18"/>
          <w:lang w:val="es-ES_tradnl"/>
        </w:rPr>
        <w:t xml:space="preserve">n, que el </w:t>
      </w:r>
      <w:r>
        <w:rPr>
          <w:spacing w:val="-8"/>
          <w:sz w:val="18"/>
          <w:szCs w:val="18"/>
          <w:lang w:val="es-ES_tradnl"/>
        </w:rPr>
        <w:t>fundamento del recurso de casaci</w:t>
      </w:r>
      <w:r>
        <w:rPr>
          <w:rFonts w:cs="Times New Roman"/>
          <w:spacing w:val="-8"/>
          <w:sz w:val="18"/>
          <w:szCs w:val="18"/>
          <w:lang w:val="es-ES_tradnl"/>
        </w:rPr>
        <w:t>ó</w:t>
      </w:r>
      <w:r>
        <w:rPr>
          <w:spacing w:val="-8"/>
          <w:sz w:val="18"/>
          <w:szCs w:val="18"/>
          <w:lang w:val="es-ES_tradnl"/>
        </w:rPr>
        <w:t>n, es el correcto</w:t>
      </w:r>
      <w:r>
        <w:rPr>
          <w:rFonts w:cs="Times New Roman"/>
          <w:spacing w:val="-8"/>
          <w:sz w:val="18"/>
          <w:szCs w:val="18"/>
          <w:lang w:val="es-ES_tradnl"/>
        </w:rPr>
        <w:t>”</w:t>
      </w:r>
      <w:r>
        <w:rPr>
          <w:spacing w:val="-8"/>
          <w:sz w:val="18"/>
          <w:szCs w:val="18"/>
          <w:lang w:val="es-ES_tradnl"/>
        </w:rPr>
        <w:t>.</w:t>
      </w:r>
    </w:p>
    <w:p w14:paraId="4F67BAC0" w14:textId="77777777" w:rsidR="00591D54" w:rsidRDefault="00591D54">
      <w:pPr>
        <w:shd w:val="clear" w:color="auto" w:fill="FFFFFF"/>
        <w:spacing w:before="192" w:line="216" w:lineRule="exact"/>
        <w:jc w:val="both"/>
      </w:pPr>
      <w:r>
        <w:rPr>
          <w:spacing w:val="-9"/>
          <w:sz w:val="18"/>
          <w:szCs w:val="18"/>
          <w:lang w:val="es-ES_tradnl"/>
        </w:rPr>
        <w:t xml:space="preserve">De las transcripciones realizadas, este Organismo observa principalmente que la Sala Especializada de lo Contencioso </w:t>
      </w:r>
      <w:r>
        <w:rPr>
          <w:spacing w:val="-4"/>
          <w:sz w:val="18"/>
          <w:szCs w:val="18"/>
          <w:lang w:val="es-ES_tradnl"/>
        </w:rPr>
        <w:t>Tributario de la Corte Nacional de Justicia procedi</w:t>
      </w:r>
      <w:r>
        <w:rPr>
          <w:rFonts w:cs="Times New Roman"/>
          <w:spacing w:val="-4"/>
          <w:sz w:val="18"/>
          <w:szCs w:val="18"/>
          <w:lang w:val="es-ES_tradnl"/>
        </w:rPr>
        <w:t>ó</w:t>
      </w:r>
      <w:r>
        <w:rPr>
          <w:spacing w:val="-4"/>
          <w:sz w:val="18"/>
          <w:szCs w:val="18"/>
          <w:lang w:val="es-ES_tradnl"/>
        </w:rPr>
        <w:t xml:space="preserve"> a </w:t>
      </w:r>
      <w:r>
        <w:rPr>
          <w:spacing w:val="-7"/>
          <w:sz w:val="18"/>
          <w:szCs w:val="18"/>
          <w:lang w:val="es-ES_tradnl"/>
        </w:rPr>
        <w:t xml:space="preserve">referirse y pronunciarse nuevamente respecto a informes periciales, actuaciones procesales que fueron resueltos y </w:t>
      </w:r>
      <w:r>
        <w:rPr>
          <w:spacing w:val="-6"/>
          <w:sz w:val="18"/>
          <w:szCs w:val="18"/>
          <w:lang w:val="es-ES_tradnl"/>
        </w:rPr>
        <w:t xml:space="preserve">discutidos en instancias inferiores, siendo en el presente </w:t>
      </w:r>
      <w:r>
        <w:rPr>
          <w:spacing w:val="-3"/>
          <w:sz w:val="18"/>
          <w:szCs w:val="18"/>
          <w:lang w:val="es-ES_tradnl"/>
        </w:rPr>
        <w:t xml:space="preserve">caso, la segunda sala del Tribunal Distrital de lo Fiscal </w:t>
      </w:r>
      <w:r>
        <w:rPr>
          <w:spacing w:val="-7"/>
          <w:sz w:val="18"/>
          <w:szCs w:val="18"/>
          <w:lang w:val="es-ES_tradnl"/>
        </w:rPr>
        <w:t>N.</w:t>
      </w:r>
      <w:r>
        <w:rPr>
          <w:rFonts w:cs="Times New Roman"/>
          <w:spacing w:val="-7"/>
          <w:sz w:val="18"/>
          <w:szCs w:val="18"/>
          <w:lang w:val="es-ES_tradnl"/>
        </w:rPr>
        <w:t>°</w:t>
      </w:r>
      <w:r>
        <w:rPr>
          <w:spacing w:val="-7"/>
          <w:sz w:val="18"/>
          <w:szCs w:val="18"/>
          <w:lang w:val="es-ES_tradnl"/>
        </w:rPr>
        <w:t xml:space="preserve"> 2 con sede en la ciudad de Guayaquil, as</w:t>
      </w:r>
      <w:r>
        <w:rPr>
          <w:rFonts w:cs="Times New Roman"/>
          <w:spacing w:val="-7"/>
          <w:sz w:val="18"/>
          <w:szCs w:val="18"/>
          <w:lang w:val="es-ES_tradnl"/>
        </w:rPr>
        <w:t>í</w:t>
      </w:r>
      <w:r>
        <w:rPr>
          <w:spacing w:val="-7"/>
          <w:sz w:val="18"/>
          <w:szCs w:val="18"/>
          <w:lang w:val="es-ES_tradnl"/>
        </w:rPr>
        <w:t xml:space="preserve"> por ejemplo </w:t>
      </w:r>
      <w:r>
        <w:rPr>
          <w:spacing w:val="-6"/>
          <w:sz w:val="18"/>
          <w:szCs w:val="18"/>
          <w:lang w:val="es-ES_tradnl"/>
        </w:rPr>
        <w:t xml:space="preserve">respecto a lo actuado tanto en la diligencia que tuvo lugar </w:t>
      </w:r>
      <w:r>
        <w:rPr>
          <w:spacing w:val="-7"/>
          <w:sz w:val="18"/>
          <w:szCs w:val="18"/>
          <w:lang w:val="es-ES_tradnl"/>
        </w:rPr>
        <w:t xml:space="preserve">en el domicilio de la actora como respecto de los informes </w:t>
      </w:r>
      <w:r>
        <w:rPr>
          <w:sz w:val="18"/>
          <w:szCs w:val="18"/>
          <w:lang w:val="es-ES_tradnl"/>
        </w:rPr>
        <w:t>periciales.</w:t>
      </w:r>
    </w:p>
    <w:p w14:paraId="4F67BAC1" w14:textId="77777777" w:rsidR="00591D54" w:rsidRDefault="00591D54">
      <w:pPr>
        <w:shd w:val="clear" w:color="auto" w:fill="FFFFFF"/>
        <w:spacing w:before="192" w:line="216" w:lineRule="exact"/>
        <w:jc w:val="both"/>
      </w:pPr>
      <w:r>
        <w:rPr>
          <w:sz w:val="18"/>
          <w:szCs w:val="18"/>
          <w:lang w:val="es-ES_tradnl"/>
        </w:rPr>
        <w:t>En este orden de ideas, se estima oportuno retomar lo expuesto en p</w:t>
      </w:r>
      <w:r>
        <w:rPr>
          <w:rFonts w:cs="Times New Roman"/>
          <w:sz w:val="18"/>
          <w:szCs w:val="18"/>
          <w:lang w:val="es-ES_tradnl"/>
        </w:rPr>
        <w:t>á</w:t>
      </w:r>
      <w:r>
        <w:rPr>
          <w:sz w:val="18"/>
          <w:szCs w:val="18"/>
          <w:lang w:val="es-ES_tradnl"/>
        </w:rPr>
        <w:t xml:space="preserve">rrafos precedentes respecto a que </w:t>
      </w:r>
      <w:r>
        <w:rPr>
          <w:spacing w:val="-7"/>
          <w:sz w:val="18"/>
          <w:szCs w:val="18"/>
          <w:lang w:val="es-ES_tradnl"/>
        </w:rPr>
        <w:t xml:space="preserve">las autoridades jurisdiccionales competentes para el </w:t>
      </w:r>
      <w:r>
        <w:rPr>
          <w:spacing w:val="-3"/>
          <w:sz w:val="18"/>
          <w:szCs w:val="18"/>
          <w:lang w:val="es-ES_tradnl"/>
        </w:rPr>
        <w:t>conocimiento y resoluci</w:t>
      </w:r>
      <w:r>
        <w:rPr>
          <w:rFonts w:cs="Times New Roman"/>
          <w:spacing w:val="-3"/>
          <w:sz w:val="18"/>
          <w:szCs w:val="18"/>
          <w:lang w:val="es-ES_tradnl"/>
        </w:rPr>
        <w:t>ó</w:t>
      </w:r>
      <w:r>
        <w:rPr>
          <w:spacing w:val="-3"/>
          <w:sz w:val="18"/>
          <w:szCs w:val="18"/>
          <w:lang w:val="es-ES_tradnl"/>
        </w:rPr>
        <w:t xml:space="preserve">n de un recurso extraordinario </w:t>
      </w:r>
      <w:r>
        <w:rPr>
          <w:spacing w:val="-9"/>
          <w:sz w:val="18"/>
          <w:szCs w:val="18"/>
          <w:lang w:val="es-ES_tradnl"/>
        </w:rPr>
        <w:t>de casaci</w:t>
      </w:r>
      <w:r>
        <w:rPr>
          <w:rFonts w:cs="Times New Roman"/>
          <w:spacing w:val="-9"/>
          <w:sz w:val="18"/>
          <w:szCs w:val="18"/>
          <w:lang w:val="es-ES_tradnl"/>
        </w:rPr>
        <w:t>ó</w:t>
      </w:r>
      <w:r>
        <w:rPr>
          <w:spacing w:val="-9"/>
          <w:sz w:val="18"/>
          <w:szCs w:val="18"/>
          <w:lang w:val="es-ES_tradnl"/>
        </w:rPr>
        <w:t xml:space="preserve">n no se encuentran facultados para pronunciarse </w:t>
      </w:r>
      <w:r>
        <w:rPr>
          <w:spacing w:val="-10"/>
          <w:sz w:val="18"/>
          <w:szCs w:val="18"/>
          <w:lang w:val="es-ES_tradnl"/>
        </w:rPr>
        <w:t xml:space="preserve">nuevamente sobre asuntos que fueron resueltos y discutidos </w:t>
      </w:r>
      <w:r>
        <w:rPr>
          <w:spacing w:val="-8"/>
          <w:sz w:val="18"/>
          <w:szCs w:val="18"/>
          <w:lang w:val="es-ES_tradnl"/>
        </w:rPr>
        <w:t>en instancias inferiores as</w:t>
      </w:r>
      <w:r>
        <w:rPr>
          <w:rFonts w:cs="Times New Roman"/>
          <w:spacing w:val="-8"/>
          <w:sz w:val="18"/>
          <w:szCs w:val="18"/>
          <w:lang w:val="es-ES_tradnl"/>
        </w:rPr>
        <w:t>í</w:t>
      </w:r>
      <w:r>
        <w:rPr>
          <w:spacing w:val="-8"/>
          <w:sz w:val="18"/>
          <w:szCs w:val="18"/>
          <w:lang w:val="es-ES_tradnl"/>
        </w:rPr>
        <w:t xml:space="preserve"> por ejemplo an</w:t>
      </w:r>
      <w:r>
        <w:rPr>
          <w:rFonts w:cs="Times New Roman"/>
          <w:spacing w:val="-8"/>
          <w:sz w:val="18"/>
          <w:szCs w:val="18"/>
          <w:lang w:val="es-ES_tradnl"/>
        </w:rPr>
        <w:t>á</w:t>
      </w:r>
      <w:r>
        <w:rPr>
          <w:spacing w:val="-8"/>
          <w:sz w:val="18"/>
          <w:szCs w:val="18"/>
          <w:lang w:val="es-ES_tradnl"/>
        </w:rPr>
        <w:t xml:space="preserve">lisis de informes </w:t>
      </w:r>
      <w:r>
        <w:rPr>
          <w:spacing w:val="-7"/>
          <w:sz w:val="18"/>
          <w:szCs w:val="18"/>
          <w:lang w:val="es-ES_tradnl"/>
        </w:rPr>
        <w:t>periciales, procedencia y valoraci</w:t>
      </w:r>
      <w:r>
        <w:rPr>
          <w:rFonts w:cs="Times New Roman"/>
          <w:spacing w:val="-7"/>
          <w:sz w:val="18"/>
          <w:szCs w:val="18"/>
          <w:lang w:val="es-ES_tradnl"/>
        </w:rPr>
        <w:t>ó</w:t>
      </w:r>
      <w:r>
        <w:rPr>
          <w:spacing w:val="-7"/>
          <w:sz w:val="18"/>
          <w:szCs w:val="18"/>
          <w:lang w:val="es-ES_tradnl"/>
        </w:rPr>
        <w:t>n de pruebas.</w:t>
      </w:r>
    </w:p>
    <w:p w14:paraId="4F67BAC2" w14:textId="77777777" w:rsidR="00591D54" w:rsidRDefault="00591D54">
      <w:pPr>
        <w:shd w:val="clear" w:color="auto" w:fill="FFFFFF"/>
        <w:spacing w:before="192" w:line="216" w:lineRule="exact"/>
        <w:jc w:val="both"/>
      </w:pPr>
      <w:r>
        <w:rPr>
          <w:spacing w:val="-8"/>
          <w:sz w:val="18"/>
          <w:szCs w:val="18"/>
          <w:lang w:val="es-ES_tradnl"/>
        </w:rPr>
        <w:t xml:space="preserve">En este sentido, este Organismo evidencia la existencia de una falta de coherencia entre lo manifestado y actuado por parte de la Sala Especializada de lo Contencioso Tributario </w:t>
      </w:r>
      <w:r>
        <w:rPr>
          <w:spacing w:val="-6"/>
          <w:sz w:val="18"/>
          <w:szCs w:val="18"/>
          <w:lang w:val="es-ES_tradnl"/>
        </w:rPr>
        <w:t xml:space="preserve">de la Corte Nacional de Justicia, en tanto tuvo lugar una </w:t>
      </w:r>
      <w:r>
        <w:rPr>
          <w:spacing w:val="-7"/>
          <w:sz w:val="18"/>
          <w:szCs w:val="18"/>
          <w:lang w:val="es-ES_tradnl"/>
        </w:rPr>
        <w:t>nueva valoraci</w:t>
      </w:r>
      <w:r>
        <w:rPr>
          <w:rFonts w:cs="Times New Roman"/>
          <w:spacing w:val="-7"/>
          <w:sz w:val="18"/>
          <w:szCs w:val="18"/>
          <w:lang w:val="es-ES_tradnl"/>
        </w:rPr>
        <w:t>ó</w:t>
      </w:r>
      <w:r>
        <w:rPr>
          <w:spacing w:val="-7"/>
          <w:sz w:val="18"/>
          <w:szCs w:val="18"/>
          <w:lang w:val="es-ES_tradnl"/>
        </w:rPr>
        <w:t xml:space="preserve">n de pruebas por parte de la judicatura referida, contrario a lo manifestado en el numeral 7.1 en el </w:t>
      </w:r>
      <w:r>
        <w:rPr>
          <w:spacing w:val="-8"/>
          <w:sz w:val="18"/>
          <w:szCs w:val="18"/>
          <w:lang w:val="es-ES_tradnl"/>
        </w:rPr>
        <w:t xml:space="preserve">que hizo referencia a que fueron correctas las alegaciones realizadas por el casacionista en el marco de lo establecido </w:t>
      </w:r>
      <w:r>
        <w:rPr>
          <w:spacing w:val="-7"/>
          <w:sz w:val="18"/>
          <w:szCs w:val="18"/>
          <w:lang w:val="es-ES_tradnl"/>
        </w:rPr>
        <w:t>en la causal primera del art</w:t>
      </w:r>
      <w:r>
        <w:rPr>
          <w:rFonts w:cs="Times New Roman"/>
          <w:spacing w:val="-7"/>
          <w:sz w:val="18"/>
          <w:szCs w:val="18"/>
          <w:lang w:val="es-ES_tradnl"/>
        </w:rPr>
        <w:t>í</w:t>
      </w:r>
      <w:r>
        <w:rPr>
          <w:spacing w:val="-7"/>
          <w:sz w:val="18"/>
          <w:szCs w:val="18"/>
          <w:lang w:val="es-ES_tradnl"/>
        </w:rPr>
        <w:t>culo 3 de la Ley de Casaci</w:t>
      </w:r>
      <w:r>
        <w:rPr>
          <w:rFonts w:cs="Times New Roman"/>
          <w:spacing w:val="-7"/>
          <w:sz w:val="18"/>
          <w:szCs w:val="18"/>
          <w:lang w:val="es-ES_tradnl"/>
        </w:rPr>
        <w:t>ó</w:t>
      </w:r>
      <w:r>
        <w:rPr>
          <w:spacing w:val="-7"/>
          <w:sz w:val="18"/>
          <w:szCs w:val="18"/>
          <w:lang w:val="es-ES_tradnl"/>
        </w:rPr>
        <w:t xml:space="preserve">n </w:t>
      </w:r>
      <w:r>
        <w:rPr>
          <w:rFonts w:cs="Times New Roman"/>
          <w:spacing w:val="-7"/>
          <w:sz w:val="18"/>
          <w:szCs w:val="18"/>
          <w:lang w:val="es-ES_tradnl"/>
        </w:rPr>
        <w:t xml:space="preserve">– </w:t>
      </w:r>
      <w:r>
        <w:rPr>
          <w:spacing w:val="-8"/>
          <w:sz w:val="18"/>
          <w:szCs w:val="18"/>
          <w:lang w:val="es-ES_tradnl"/>
        </w:rPr>
        <w:t>falta de aplicaci</w:t>
      </w:r>
      <w:r>
        <w:rPr>
          <w:rFonts w:cs="Times New Roman"/>
          <w:spacing w:val="-8"/>
          <w:sz w:val="18"/>
          <w:szCs w:val="18"/>
          <w:lang w:val="es-ES_tradnl"/>
        </w:rPr>
        <w:t>ó</w:t>
      </w:r>
      <w:r>
        <w:rPr>
          <w:spacing w:val="-8"/>
          <w:sz w:val="18"/>
          <w:szCs w:val="18"/>
          <w:lang w:val="es-ES_tradnl"/>
        </w:rPr>
        <w:t>n del art</w:t>
      </w:r>
      <w:r>
        <w:rPr>
          <w:rFonts w:cs="Times New Roman"/>
          <w:spacing w:val="-8"/>
          <w:sz w:val="18"/>
          <w:szCs w:val="18"/>
          <w:lang w:val="es-ES_tradnl"/>
        </w:rPr>
        <w:t>í</w:t>
      </w:r>
      <w:r>
        <w:rPr>
          <w:spacing w:val="-8"/>
          <w:sz w:val="18"/>
          <w:szCs w:val="18"/>
          <w:lang w:val="es-ES_tradnl"/>
        </w:rPr>
        <w:t>culo 10 numerales 1, 3 y 9; 20, 21 numeral 1, 64 de la Ley de R</w:t>
      </w:r>
      <w:r>
        <w:rPr>
          <w:rFonts w:cs="Times New Roman"/>
          <w:spacing w:val="-8"/>
          <w:sz w:val="18"/>
          <w:szCs w:val="18"/>
          <w:lang w:val="es-ES_tradnl"/>
        </w:rPr>
        <w:t>é</w:t>
      </w:r>
      <w:r>
        <w:rPr>
          <w:spacing w:val="-8"/>
          <w:sz w:val="18"/>
          <w:szCs w:val="18"/>
          <w:lang w:val="es-ES_tradnl"/>
        </w:rPr>
        <w:t xml:space="preserve">gimen Tributario Interno- art. </w:t>
      </w:r>
      <w:r>
        <w:rPr>
          <w:spacing w:val="-4"/>
          <w:sz w:val="18"/>
          <w:szCs w:val="18"/>
          <w:lang w:val="es-ES_tradnl"/>
        </w:rPr>
        <w:t>26 numeral 7, art</w:t>
      </w:r>
      <w:r>
        <w:rPr>
          <w:rFonts w:cs="Times New Roman"/>
          <w:spacing w:val="-4"/>
          <w:sz w:val="18"/>
          <w:szCs w:val="18"/>
          <w:lang w:val="es-ES_tradnl"/>
        </w:rPr>
        <w:t>í</w:t>
      </w:r>
      <w:r>
        <w:rPr>
          <w:spacing w:val="-4"/>
          <w:sz w:val="18"/>
          <w:szCs w:val="18"/>
          <w:lang w:val="es-ES_tradnl"/>
        </w:rPr>
        <w:t>culos 27, 31, 32 y 151 del Reglamento</w:t>
      </w:r>
    </w:p>
    <w:p w14:paraId="4F67BAC3" w14:textId="77777777" w:rsidR="00591D54" w:rsidRDefault="00591D54">
      <w:pPr>
        <w:shd w:val="clear" w:color="auto" w:fill="FFFFFF"/>
        <w:spacing w:before="192" w:line="216" w:lineRule="exact"/>
        <w:jc w:val="both"/>
        <w:sectPr w:rsidR="00591D54">
          <w:type w:val="continuous"/>
          <w:pgSz w:w="11909" w:h="16834"/>
          <w:pgMar w:top="1373" w:right="1309" w:bottom="360" w:left="1308" w:header="720" w:footer="720" w:gutter="0"/>
          <w:cols w:num="2" w:space="720" w:equalWidth="0">
            <w:col w:w="4305" w:space="682"/>
            <w:col w:w="4305"/>
          </w:cols>
          <w:noEndnote/>
        </w:sectPr>
      </w:pPr>
    </w:p>
    <w:p w14:paraId="4F67BAC4" w14:textId="77777777" w:rsidR="00591D54" w:rsidRDefault="00591D54">
      <w:pPr>
        <w:shd w:val="clear" w:color="auto" w:fill="FFFFFF"/>
        <w:tabs>
          <w:tab w:val="left" w:pos="584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- 283</w:t>
      </w:r>
    </w:p>
    <w:p w14:paraId="4F67BAC5" w14:textId="77777777" w:rsidR="00591D54" w:rsidRDefault="00591D54">
      <w:pPr>
        <w:shd w:val="clear" w:color="auto" w:fill="FFFFFF"/>
        <w:tabs>
          <w:tab w:val="left" w:pos="5842"/>
        </w:tabs>
        <w:spacing w:after="230"/>
        <w:ind w:left="5"/>
        <w:sectPr w:rsidR="00591D54">
          <w:pgSz w:w="11909" w:h="16834"/>
          <w:pgMar w:top="1371" w:right="1309" w:bottom="360" w:left="1308" w:header="720" w:footer="720" w:gutter="0"/>
          <w:cols w:space="60"/>
          <w:noEndnote/>
        </w:sectPr>
      </w:pPr>
    </w:p>
    <w:p w14:paraId="4F67BAC6" w14:textId="77777777" w:rsidR="00591D54" w:rsidRDefault="00591D54">
      <w:pPr>
        <w:shd w:val="clear" w:color="auto" w:fill="FFFFFF"/>
        <w:spacing w:before="5" w:line="216" w:lineRule="exact"/>
        <w:jc w:val="both"/>
      </w:pPr>
      <w:r>
        <w:rPr>
          <w:sz w:val="18"/>
          <w:szCs w:val="18"/>
          <w:lang w:val="es-ES_tradnl"/>
        </w:rPr>
        <w:t>para la Aplicaci</w:t>
      </w:r>
      <w:r>
        <w:rPr>
          <w:rFonts w:cs="Times New Roman"/>
          <w:sz w:val="18"/>
          <w:szCs w:val="18"/>
          <w:lang w:val="es-ES_tradnl"/>
        </w:rPr>
        <w:t>ó</w:t>
      </w:r>
      <w:r>
        <w:rPr>
          <w:sz w:val="18"/>
          <w:szCs w:val="18"/>
          <w:lang w:val="es-ES_tradnl"/>
        </w:rPr>
        <w:t>n de la Ley de R</w:t>
      </w:r>
      <w:r>
        <w:rPr>
          <w:rFonts w:cs="Times New Roman"/>
          <w:sz w:val="18"/>
          <w:szCs w:val="18"/>
          <w:lang w:val="es-ES_tradnl"/>
        </w:rPr>
        <w:t>é</w:t>
      </w:r>
      <w:r>
        <w:rPr>
          <w:sz w:val="18"/>
          <w:szCs w:val="18"/>
          <w:lang w:val="es-ES_tradnl"/>
        </w:rPr>
        <w:t xml:space="preserve">gimen Tributario </w:t>
      </w:r>
      <w:r>
        <w:rPr>
          <w:spacing w:val="-1"/>
          <w:sz w:val="18"/>
          <w:szCs w:val="18"/>
          <w:lang w:val="es-ES_tradnl"/>
        </w:rPr>
        <w:t>Interno, Disposici</w:t>
      </w:r>
      <w:r>
        <w:rPr>
          <w:rFonts w:cs="Times New Roman"/>
          <w:spacing w:val="-1"/>
          <w:sz w:val="18"/>
          <w:szCs w:val="18"/>
          <w:lang w:val="es-ES_tradnl"/>
        </w:rPr>
        <w:t>ó</w:t>
      </w:r>
      <w:r>
        <w:rPr>
          <w:spacing w:val="-1"/>
          <w:sz w:val="18"/>
          <w:szCs w:val="18"/>
          <w:lang w:val="es-ES_tradnl"/>
        </w:rPr>
        <w:t xml:space="preserve">n General Primera del Reglamento </w:t>
      </w:r>
      <w:r>
        <w:rPr>
          <w:spacing w:val="-7"/>
          <w:sz w:val="18"/>
          <w:szCs w:val="18"/>
          <w:lang w:val="es-ES_tradnl"/>
        </w:rPr>
        <w:t>de Comprobantes de Venta y Retenci</w:t>
      </w:r>
      <w:r>
        <w:rPr>
          <w:rFonts w:cs="Times New Roman"/>
          <w:spacing w:val="-7"/>
          <w:sz w:val="18"/>
          <w:szCs w:val="18"/>
          <w:lang w:val="es-ES_tradnl"/>
        </w:rPr>
        <w:t>ó</w:t>
      </w:r>
      <w:r>
        <w:rPr>
          <w:spacing w:val="-7"/>
          <w:sz w:val="18"/>
          <w:szCs w:val="18"/>
          <w:lang w:val="es-ES_tradnl"/>
        </w:rPr>
        <w:t xml:space="preserve">n (vigente 2005); </w:t>
      </w:r>
      <w:r>
        <w:rPr>
          <w:spacing w:val="-6"/>
          <w:sz w:val="18"/>
          <w:szCs w:val="18"/>
          <w:lang w:val="es-ES_tradnl"/>
        </w:rPr>
        <w:t>aplicaci</w:t>
      </w:r>
      <w:r>
        <w:rPr>
          <w:rFonts w:cs="Times New Roman"/>
          <w:spacing w:val="-6"/>
          <w:sz w:val="18"/>
          <w:szCs w:val="18"/>
          <w:lang w:val="es-ES_tradnl"/>
        </w:rPr>
        <w:t>ó</w:t>
      </w:r>
      <w:r>
        <w:rPr>
          <w:spacing w:val="-6"/>
          <w:sz w:val="18"/>
          <w:szCs w:val="18"/>
          <w:lang w:val="es-ES_tradnl"/>
        </w:rPr>
        <w:t>n indebida de normas de derecho, art</w:t>
      </w:r>
      <w:r>
        <w:rPr>
          <w:rFonts w:cs="Times New Roman"/>
          <w:spacing w:val="-6"/>
          <w:sz w:val="18"/>
          <w:szCs w:val="18"/>
          <w:lang w:val="es-ES_tradnl"/>
        </w:rPr>
        <w:t>í</w:t>
      </w:r>
      <w:r>
        <w:rPr>
          <w:spacing w:val="-6"/>
          <w:sz w:val="18"/>
          <w:szCs w:val="18"/>
          <w:lang w:val="es-ES_tradnl"/>
        </w:rPr>
        <w:t xml:space="preserve">culo 10 </w:t>
      </w:r>
      <w:r>
        <w:rPr>
          <w:spacing w:val="-3"/>
          <w:sz w:val="18"/>
          <w:szCs w:val="18"/>
          <w:lang w:val="es-ES_tradnl"/>
        </w:rPr>
        <w:t>numeral 9 de la Ley de R</w:t>
      </w:r>
      <w:r>
        <w:rPr>
          <w:rFonts w:cs="Times New Roman"/>
          <w:spacing w:val="-3"/>
          <w:sz w:val="18"/>
          <w:szCs w:val="18"/>
          <w:lang w:val="es-ES_tradnl"/>
        </w:rPr>
        <w:t>é</w:t>
      </w:r>
      <w:r>
        <w:rPr>
          <w:spacing w:val="-3"/>
          <w:sz w:val="18"/>
          <w:szCs w:val="18"/>
          <w:lang w:val="es-ES_tradnl"/>
        </w:rPr>
        <w:t xml:space="preserve">gimen Tributario Interno, Art. </w:t>
      </w:r>
      <w:r>
        <w:rPr>
          <w:spacing w:val="-6"/>
          <w:sz w:val="18"/>
          <w:szCs w:val="18"/>
          <w:lang w:val="es-ES_tradnl"/>
        </w:rPr>
        <w:t xml:space="preserve">11 de la Ley de Seguridad Social (vigente 2005) (causal </w:t>
      </w:r>
      <w:r>
        <w:rPr>
          <w:sz w:val="18"/>
          <w:szCs w:val="18"/>
          <w:lang w:val="es-ES_tradnl"/>
        </w:rPr>
        <w:t>primera).</w:t>
      </w:r>
    </w:p>
    <w:p w14:paraId="4F67BAC7" w14:textId="77777777" w:rsidR="00591D54" w:rsidRDefault="00591D54">
      <w:pPr>
        <w:shd w:val="clear" w:color="auto" w:fill="FFFFFF"/>
        <w:spacing w:before="197" w:line="216" w:lineRule="exact"/>
        <w:jc w:val="both"/>
      </w:pPr>
      <w:r>
        <w:rPr>
          <w:spacing w:val="-8"/>
          <w:sz w:val="18"/>
          <w:szCs w:val="18"/>
          <w:lang w:val="es-ES_tradnl"/>
        </w:rPr>
        <w:t xml:space="preserve">A su vez, esta Corte constata que la Sala Especializada de </w:t>
      </w:r>
      <w:r>
        <w:rPr>
          <w:spacing w:val="-6"/>
          <w:sz w:val="18"/>
          <w:szCs w:val="18"/>
          <w:lang w:val="es-ES_tradnl"/>
        </w:rPr>
        <w:t xml:space="preserve">lo Contencioso Tributario de la Corte Nacional de Justicia </w:t>
      </w:r>
      <w:r>
        <w:rPr>
          <w:spacing w:val="-10"/>
          <w:sz w:val="18"/>
          <w:szCs w:val="18"/>
          <w:lang w:val="es-ES_tradnl"/>
        </w:rPr>
        <w:t>se alej</w:t>
      </w:r>
      <w:r>
        <w:rPr>
          <w:rFonts w:cs="Times New Roman"/>
          <w:spacing w:val="-10"/>
          <w:sz w:val="18"/>
          <w:szCs w:val="18"/>
          <w:lang w:val="es-ES_tradnl"/>
        </w:rPr>
        <w:t>ó</w:t>
      </w:r>
      <w:r>
        <w:rPr>
          <w:spacing w:val="-10"/>
          <w:sz w:val="18"/>
          <w:szCs w:val="18"/>
          <w:lang w:val="es-ES_tradnl"/>
        </w:rPr>
        <w:t xml:space="preserve"> de sus competencias as</w:t>
      </w:r>
      <w:r>
        <w:rPr>
          <w:rFonts w:cs="Times New Roman"/>
          <w:spacing w:val="-10"/>
          <w:sz w:val="18"/>
          <w:szCs w:val="18"/>
          <w:lang w:val="es-ES_tradnl"/>
        </w:rPr>
        <w:t>í</w:t>
      </w:r>
      <w:r>
        <w:rPr>
          <w:spacing w:val="-10"/>
          <w:sz w:val="18"/>
          <w:szCs w:val="18"/>
          <w:lang w:val="es-ES_tradnl"/>
        </w:rPr>
        <w:t xml:space="preserve"> como tambi</w:t>
      </w:r>
      <w:r>
        <w:rPr>
          <w:rFonts w:cs="Times New Roman"/>
          <w:spacing w:val="-10"/>
          <w:sz w:val="18"/>
          <w:szCs w:val="18"/>
          <w:lang w:val="es-ES_tradnl"/>
        </w:rPr>
        <w:t>é</w:t>
      </w:r>
      <w:r>
        <w:rPr>
          <w:spacing w:val="-10"/>
          <w:sz w:val="18"/>
          <w:szCs w:val="18"/>
          <w:lang w:val="es-ES_tradnl"/>
        </w:rPr>
        <w:t>n desconoci</w:t>
      </w:r>
      <w:r>
        <w:rPr>
          <w:rFonts w:cs="Times New Roman"/>
          <w:spacing w:val="-10"/>
          <w:sz w:val="18"/>
          <w:szCs w:val="18"/>
          <w:lang w:val="es-ES_tradnl"/>
        </w:rPr>
        <w:t xml:space="preserve">ó </w:t>
      </w:r>
      <w:r>
        <w:rPr>
          <w:spacing w:val="-6"/>
          <w:sz w:val="18"/>
          <w:szCs w:val="18"/>
          <w:lang w:val="es-ES_tradnl"/>
        </w:rPr>
        <w:t xml:space="preserve">lo establecido por el Pleno de la Corte Constitucional del </w:t>
      </w:r>
      <w:r>
        <w:rPr>
          <w:spacing w:val="-7"/>
          <w:sz w:val="18"/>
          <w:szCs w:val="18"/>
          <w:lang w:val="es-ES_tradnl"/>
        </w:rPr>
        <w:t>Ecuador en sus decisiones N.</w:t>
      </w:r>
      <w:r>
        <w:rPr>
          <w:rFonts w:cs="Times New Roman"/>
          <w:spacing w:val="-7"/>
          <w:sz w:val="18"/>
          <w:szCs w:val="18"/>
          <w:lang w:val="es-ES_tradnl"/>
        </w:rPr>
        <w:t>°</w:t>
      </w:r>
      <w:r>
        <w:rPr>
          <w:spacing w:val="-7"/>
          <w:sz w:val="18"/>
          <w:szCs w:val="18"/>
          <w:lang w:val="es-ES_tradnl"/>
        </w:rPr>
        <w:t xml:space="preserve"> 001-13-SEP-CC emitida dentro de la causa N.</w:t>
      </w:r>
      <w:r>
        <w:rPr>
          <w:rFonts w:cs="Times New Roman"/>
          <w:spacing w:val="-7"/>
          <w:sz w:val="18"/>
          <w:szCs w:val="18"/>
          <w:lang w:val="es-ES_tradnl"/>
        </w:rPr>
        <w:t>°</w:t>
      </w:r>
      <w:r>
        <w:rPr>
          <w:spacing w:val="-7"/>
          <w:sz w:val="18"/>
          <w:szCs w:val="18"/>
          <w:lang w:val="es-ES_tradnl"/>
        </w:rPr>
        <w:t xml:space="preserve"> 1647-11-EP y N.</w:t>
      </w:r>
      <w:r>
        <w:rPr>
          <w:rFonts w:cs="Times New Roman"/>
          <w:spacing w:val="-7"/>
          <w:sz w:val="18"/>
          <w:szCs w:val="18"/>
          <w:lang w:val="es-ES_tradnl"/>
        </w:rPr>
        <w:t>°</w:t>
      </w:r>
      <w:r>
        <w:rPr>
          <w:spacing w:val="-7"/>
          <w:sz w:val="18"/>
          <w:szCs w:val="18"/>
          <w:lang w:val="es-ES_tradnl"/>
        </w:rPr>
        <w:t xml:space="preserve"> 132-13-SEP-CC </w:t>
      </w:r>
      <w:r>
        <w:rPr>
          <w:spacing w:val="-11"/>
          <w:sz w:val="18"/>
          <w:szCs w:val="18"/>
          <w:lang w:val="es-ES_tradnl"/>
        </w:rPr>
        <w:t>dictada dentro del caso N.</w:t>
      </w:r>
      <w:r>
        <w:rPr>
          <w:rFonts w:cs="Times New Roman"/>
          <w:spacing w:val="-11"/>
          <w:sz w:val="18"/>
          <w:szCs w:val="18"/>
          <w:lang w:val="es-ES_tradnl"/>
        </w:rPr>
        <w:t>°</w:t>
      </w:r>
      <w:r>
        <w:rPr>
          <w:spacing w:val="-11"/>
          <w:sz w:val="18"/>
          <w:szCs w:val="18"/>
          <w:lang w:val="es-ES_tradnl"/>
        </w:rPr>
        <w:t xml:space="preserve"> 1735-13-EP en relaci</w:t>
      </w:r>
      <w:r>
        <w:rPr>
          <w:rFonts w:cs="Times New Roman"/>
          <w:spacing w:val="-11"/>
          <w:sz w:val="18"/>
          <w:szCs w:val="18"/>
          <w:lang w:val="es-ES_tradnl"/>
        </w:rPr>
        <w:t>ó</w:t>
      </w:r>
      <w:r>
        <w:rPr>
          <w:spacing w:val="-11"/>
          <w:sz w:val="18"/>
          <w:szCs w:val="18"/>
          <w:lang w:val="es-ES_tradnl"/>
        </w:rPr>
        <w:t xml:space="preserve">n a que las </w:t>
      </w:r>
      <w:r>
        <w:rPr>
          <w:spacing w:val="-8"/>
          <w:sz w:val="18"/>
          <w:szCs w:val="18"/>
          <w:lang w:val="es-ES_tradnl"/>
        </w:rPr>
        <w:t>autoridades jurisdiccionales en conocimiento de un recurso extraordinario de casaci</w:t>
      </w:r>
      <w:r>
        <w:rPr>
          <w:rFonts w:cs="Times New Roman"/>
          <w:spacing w:val="-8"/>
          <w:sz w:val="18"/>
          <w:szCs w:val="18"/>
          <w:lang w:val="es-ES_tradnl"/>
        </w:rPr>
        <w:t>ó</w:t>
      </w:r>
      <w:r>
        <w:rPr>
          <w:spacing w:val="-8"/>
          <w:sz w:val="18"/>
          <w:szCs w:val="18"/>
          <w:lang w:val="es-ES_tradnl"/>
        </w:rPr>
        <w:t xml:space="preserve">n no se encuentran </w:t>
      </w:r>
      <w:r>
        <w:rPr>
          <w:rFonts w:cs="Times New Roman"/>
          <w:spacing w:val="-8"/>
          <w:sz w:val="18"/>
          <w:szCs w:val="18"/>
          <w:lang w:val="es-ES_tradnl"/>
        </w:rPr>
        <w:t>“…</w:t>
      </w:r>
      <w:r>
        <w:rPr>
          <w:spacing w:val="-8"/>
          <w:sz w:val="18"/>
          <w:szCs w:val="18"/>
          <w:lang w:val="es-ES_tradnl"/>
        </w:rPr>
        <w:t xml:space="preserve"> facultados para valorar la prueba aportada en instancia, ya que dicha </w:t>
      </w:r>
      <w:r>
        <w:rPr>
          <w:spacing w:val="-6"/>
          <w:sz w:val="18"/>
          <w:szCs w:val="18"/>
          <w:lang w:val="es-ES_tradnl"/>
        </w:rPr>
        <w:t>valoraci</w:t>
      </w:r>
      <w:r>
        <w:rPr>
          <w:rFonts w:cs="Times New Roman"/>
          <w:spacing w:val="-6"/>
          <w:sz w:val="18"/>
          <w:szCs w:val="18"/>
          <w:lang w:val="es-ES_tradnl"/>
        </w:rPr>
        <w:t>ó</w:t>
      </w:r>
      <w:r>
        <w:rPr>
          <w:spacing w:val="-6"/>
          <w:sz w:val="18"/>
          <w:szCs w:val="18"/>
          <w:lang w:val="es-ES_tradnl"/>
        </w:rPr>
        <w:t>n es privativa de los juzgadores de instancia</w:t>
      </w:r>
      <w:r>
        <w:rPr>
          <w:rFonts w:cs="Times New Roman"/>
          <w:spacing w:val="-6"/>
          <w:sz w:val="18"/>
          <w:szCs w:val="18"/>
          <w:lang w:val="es-ES_tradnl"/>
        </w:rPr>
        <w:t>…”</w:t>
      </w:r>
      <w:r>
        <w:rPr>
          <w:spacing w:val="-6"/>
          <w:sz w:val="18"/>
          <w:szCs w:val="18"/>
          <w:lang w:val="es-ES_tradnl"/>
        </w:rPr>
        <w:t>.</w:t>
      </w:r>
    </w:p>
    <w:p w14:paraId="4F67BAC8" w14:textId="77777777" w:rsidR="00591D54" w:rsidRDefault="00591D54">
      <w:pPr>
        <w:shd w:val="clear" w:color="auto" w:fill="FFFFFF"/>
        <w:spacing w:before="197" w:line="216" w:lineRule="exact"/>
        <w:jc w:val="both"/>
      </w:pPr>
      <w:r>
        <w:rPr>
          <w:spacing w:val="-7"/>
          <w:sz w:val="18"/>
          <w:szCs w:val="18"/>
          <w:lang w:val="es-ES_tradnl"/>
        </w:rPr>
        <w:t xml:space="preserve">En este sentido, y una vez que esta Corte ha determinado </w:t>
      </w:r>
      <w:r>
        <w:rPr>
          <w:spacing w:val="-8"/>
          <w:sz w:val="18"/>
          <w:szCs w:val="18"/>
          <w:lang w:val="es-ES_tradnl"/>
        </w:rPr>
        <w:t>la existencia de afirmaciones dis</w:t>
      </w:r>
      <w:r>
        <w:rPr>
          <w:rFonts w:cs="Times New Roman"/>
          <w:spacing w:val="-8"/>
          <w:sz w:val="18"/>
          <w:szCs w:val="18"/>
          <w:lang w:val="es-ES_tradnl"/>
        </w:rPr>
        <w:t>í</w:t>
      </w:r>
      <w:r>
        <w:rPr>
          <w:spacing w:val="-8"/>
          <w:sz w:val="18"/>
          <w:szCs w:val="18"/>
          <w:lang w:val="es-ES_tradnl"/>
        </w:rPr>
        <w:t xml:space="preserve">miles y contradictorias en </w:t>
      </w:r>
      <w:r>
        <w:rPr>
          <w:spacing w:val="-6"/>
          <w:sz w:val="18"/>
          <w:szCs w:val="18"/>
          <w:lang w:val="es-ES_tradnl"/>
        </w:rPr>
        <w:t>la decisi</w:t>
      </w:r>
      <w:r>
        <w:rPr>
          <w:rFonts w:cs="Times New Roman"/>
          <w:spacing w:val="-6"/>
          <w:sz w:val="18"/>
          <w:szCs w:val="18"/>
          <w:lang w:val="es-ES_tradnl"/>
        </w:rPr>
        <w:t>ó</w:t>
      </w:r>
      <w:r>
        <w:rPr>
          <w:spacing w:val="-6"/>
          <w:sz w:val="18"/>
          <w:szCs w:val="18"/>
          <w:lang w:val="es-ES_tradnl"/>
        </w:rPr>
        <w:t>n objeto de la presente garant</w:t>
      </w:r>
      <w:r>
        <w:rPr>
          <w:rFonts w:cs="Times New Roman"/>
          <w:spacing w:val="-6"/>
          <w:sz w:val="18"/>
          <w:szCs w:val="18"/>
          <w:lang w:val="es-ES_tradnl"/>
        </w:rPr>
        <w:t>í</w:t>
      </w:r>
      <w:r>
        <w:rPr>
          <w:spacing w:val="-6"/>
          <w:sz w:val="18"/>
          <w:szCs w:val="18"/>
          <w:lang w:val="es-ES_tradnl"/>
        </w:rPr>
        <w:t xml:space="preserve">a jurisdiccional; y </w:t>
      </w:r>
      <w:r>
        <w:rPr>
          <w:spacing w:val="-7"/>
          <w:sz w:val="18"/>
          <w:szCs w:val="18"/>
          <w:lang w:val="es-ES_tradnl"/>
        </w:rPr>
        <w:t>toda vez que el requisito sujeto a an</w:t>
      </w:r>
      <w:r>
        <w:rPr>
          <w:rFonts w:cs="Times New Roman"/>
          <w:spacing w:val="-7"/>
          <w:sz w:val="18"/>
          <w:szCs w:val="18"/>
          <w:lang w:val="es-ES_tradnl"/>
        </w:rPr>
        <w:t>á</w:t>
      </w:r>
      <w:r>
        <w:rPr>
          <w:spacing w:val="-7"/>
          <w:sz w:val="18"/>
          <w:szCs w:val="18"/>
          <w:lang w:val="es-ES_tradnl"/>
        </w:rPr>
        <w:t xml:space="preserve">lisis encuentra como </w:t>
      </w:r>
      <w:r>
        <w:rPr>
          <w:spacing w:val="-8"/>
          <w:sz w:val="18"/>
          <w:szCs w:val="18"/>
          <w:lang w:val="es-ES_tradnl"/>
        </w:rPr>
        <w:t xml:space="preserve">uno de sus pilares la existencia de una debida coherencia </w:t>
      </w:r>
      <w:r>
        <w:rPr>
          <w:spacing w:val="-9"/>
          <w:sz w:val="18"/>
          <w:szCs w:val="18"/>
          <w:lang w:val="es-ES_tradnl"/>
        </w:rPr>
        <w:t xml:space="preserve">entre premisas, razonamientos, actuaciones y conclusiones </w:t>
      </w:r>
      <w:r>
        <w:rPr>
          <w:spacing w:val="-6"/>
          <w:sz w:val="18"/>
          <w:szCs w:val="18"/>
          <w:lang w:val="es-ES_tradnl"/>
        </w:rPr>
        <w:t xml:space="preserve">realizadas por la autoridad jurisdiccional, concluye que la </w:t>
      </w:r>
      <w:r>
        <w:rPr>
          <w:spacing w:val="-7"/>
          <w:sz w:val="18"/>
          <w:szCs w:val="18"/>
          <w:lang w:val="es-ES_tradnl"/>
        </w:rPr>
        <w:t xml:space="preserve">Sala de lo Contencioso Tributario de la Corte Nacional de </w:t>
      </w:r>
      <w:r>
        <w:rPr>
          <w:spacing w:val="-6"/>
          <w:sz w:val="18"/>
          <w:szCs w:val="18"/>
          <w:lang w:val="es-ES_tradnl"/>
        </w:rPr>
        <w:t>Justicia inobserv</w:t>
      </w:r>
      <w:r>
        <w:rPr>
          <w:rFonts w:cs="Times New Roman"/>
          <w:spacing w:val="-6"/>
          <w:sz w:val="18"/>
          <w:szCs w:val="18"/>
          <w:lang w:val="es-ES_tradnl"/>
        </w:rPr>
        <w:t>ó</w:t>
      </w:r>
      <w:r>
        <w:rPr>
          <w:spacing w:val="-6"/>
          <w:sz w:val="18"/>
          <w:szCs w:val="18"/>
          <w:lang w:val="es-ES_tradnl"/>
        </w:rPr>
        <w:t xml:space="preserve"> el requisito sujeto a an</w:t>
      </w:r>
      <w:r>
        <w:rPr>
          <w:rFonts w:cs="Times New Roman"/>
          <w:spacing w:val="-6"/>
          <w:sz w:val="18"/>
          <w:szCs w:val="18"/>
          <w:lang w:val="es-ES_tradnl"/>
        </w:rPr>
        <w:t>á</w:t>
      </w:r>
      <w:r>
        <w:rPr>
          <w:spacing w:val="-6"/>
          <w:sz w:val="18"/>
          <w:szCs w:val="18"/>
          <w:lang w:val="es-ES_tradnl"/>
        </w:rPr>
        <w:t>lisis.</w:t>
      </w:r>
    </w:p>
    <w:p w14:paraId="4F67BAC9" w14:textId="77777777" w:rsidR="00591D54" w:rsidRDefault="00591D54">
      <w:pPr>
        <w:shd w:val="clear" w:color="auto" w:fill="FFFFFF"/>
        <w:spacing w:before="192"/>
      </w:pPr>
      <w:r>
        <w:rPr>
          <w:b/>
          <w:bCs/>
          <w:spacing w:val="-8"/>
          <w:sz w:val="18"/>
          <w:szCs w:val="18"/>
          <w:lang w:val="es-ES_tradnl"/>
        </w:rPr>
        <w:t>Comprensibilidad</w:t>
      </w:r>
    </w:p>
    <w:p w14:paraId="4F67BACA" w14:textId="77777777" w:rsidR="00591D54" w:rsidRDefault="00591D54">
      <w:pPr>
        <w:shd w:val="clear" w:color="auto" w:fill="FFFFFF"/>
        <w:spacing w:before="192" w:line="216" w:lineRule="exact"/>
        <w:ind w:right="5"/>
        <w:jc w:val="both"/>
      </w:pPr>
      <w:r>
        <w:rPr>
          <w:spacing w:val="-9"/>
          <w:sz w:val="18"/>
          <w:szCs w:val="18"/>
          <w:lang w:val="es-ES_tradnl"/>
        </w:rPr>
        <w:t xml:space="preserve">En lo referente al requisito de comprensibilidad, relacionado </w:t>
      </w:r>
      <w:r>
        <w:rPr>
          <w:spacing w:val="-6"/>
          <w:sz w:val="18"/>
          <w:szCs w:val="18"/>
          <w:lang w:val="es-ES_tradnl"/>
        </w:rPr>
        <w:t>con la claridad del lenguaje empleado por la autoridad jurisdiccional en su decisi</w:t>
      </w:r>
      <w:r>
        <w:rPr>
          <w:rFonts w:cs="Times New Roman"/>
          <w:spacing w:val="-6"/>
          <w:sz w:val="18"/>
          <w:szCs w:val="18"/>
          <w:lang w:val="es-ES_tradnl"/>
        </w:rPr>
        <w:t>ó</w:t>
      </w:r>
      <w:r>
        <w:rPr>
          <w:spacing w:val="-6"/>
          <w:sz w:val="18"/>
          <w:szCs w:val="18"/>
          <w:lang w:val="es-ES_tradnl"/>
        </w:rPr>
        <w:t>n, as</w:t>
      </w:r>
      <w:r>
        <w:rPr>
          <w:rFonts w:cs="Times New Roman"/>
          <w:spacing w:val="-6"/>
          <w:sz w:val="18"/>
          <w:szCs w:val="18"/>
          <w:lang w:val="es-ES_tradnl"/>
        </w:rPr>
        <w:t>í</w:t>
      </w:r>
      <w:r>
        <w:rPr>
          <w:spacing w:val="-6"/>
          <w:sz w:val="18"/>
          <w:szCs w:val="18"/>
          <w:lang w:val="es-ES_tradnl"/>
        </w:rPr>
        <w:t xml:space="preserve"> como tambi</w:t>
      </w:r>
      <w:r>
        <w:rPr>
          <w:rFonts w:cs="Times New Roman"/>
          <w:spacing w:val="-6"/>
          <w:sz w:val="18"/>
          <w:szCs w:val="18"/>
          <w:lang w:val="es-ES_tradnl"/>
        </w:rPr>
        <w:t>é</w:t>
      </w:r>
      <w:r>
        <w:rPr>
          <w:spacing w:val="-6"/>
          <w:sz w:val="18"/>
          <w:szCs w:val="18"/>
          <w:lang w:val="es-ES_tradnl"/>
        </w:rPr>
        <w:t xml:space="preserve">n vinculado </w:t>
      </w:r>
      <w:r>
        <w:rPr>
          <w:spacing w:val="-8"/>
          <w:sz w:val="18"/>
          <w:szCs w:val="18"/>
          <w:lang w:val="es-ES_tradnl"/>
        </w:rPr>
        <w:t xml:space="preserve">con la manera en que </w:t>
      </w:r>
      <w:r>
        <w:rPr>
          <w:rFonts w:cs="Times New Roman"/>
          <w:spacing w:val="-8"/>
          <w:sz w:val="18"/>
          <w:szCs w:val="18"/>
          <w:lang w:val="es-ES_tradnl"/>
        </w:rPr>
        <w:t>é</w:t>
      </w:r>
      <w:r>
        <w:rPr>
          <w:spacing w:val="-8"/>
          <w:sz w:val="18"/>
          <w:szCs w:val="18"/>
          <w:lang w:val="es-ES_tradnl"/>
        </w:rPr>
        <w:t>sta realizada la exposici</w:t>
      </w:r>
      <w:r>
        <w:rPr>
          <w:rFonts w:cs="Times New Roman"/>
          <w:spacing w:val="-8"/>
          <w:sz w:val="18"/>
          <w:szCs w:val="18"/>
          <w:lang w:val="es-ES_tradnl"/>
        </w:rPr>
        <w:t>ó</w:t>
      </w:r>
      <w:r>
        <w:rPr>
          <w:spacing w:val="-8"/>
          <w:sz w:val="18"/>
          <w:szCs w:val="18"/>
          <w:lang w:val="es-ES_tradnl"/>
        </w:rPr>
        <w:t>n de sus ideas, este Organismo observa lo siguiente:</w:t>
      </w:r>
    </w:p>
    <w:p w14:paraId="4F67BACB" w14:textId="77777777" w:rsidR="00591D54" w:rsidRDefault="00591D54">
      <w:pPr>
        <w:shd w:val="clear" w:color="auto" w:fill="FFFFFF"/>
        <w:spacing w:before="192" w:line="216" w:lineRule="exact"/>
        <w:jc w:val="both"/>
      </w:pPr>
      <w:r>
        <w:rPr>
          <w:spacing w:val="-3"/>
          <w:sz w:val="18"/>
          <w:szCs w:val="18"/>
          <w:lang w:val="es-ES_tradnl"/>
        </w:rPr>
        <w:t>Que la Sala Especializada de lo Contencioso Tributario de la Corte Nacional de Justicia determin</w:t>
      </w:r>
      <w:r>
        <w:rPr>
          <w:rFonts w:cs="Times New Roman"/>
          <w:spacing w:val="-3"/>
          <w:sz w:val="18"/>
          <w:szCs w:val="18"/>
          <w:lang w:val="es-ES_tradnl"/>
        </w:rPr>
        <w:t>ó</w:t>
      </w:r>
      <w:r>
        <w:rPr>
          <w:spacing w:val="-3"/>
          <w:sz w:val="18"/>
          <w:szCs w:val="18"/>
          <w:lang w:val="es-ES_tradnl"/>
        </w:rPr>
        <w:t xml:space="preserve"> inicialmente </w:t>
      </w:r>
      <w:r>
        <w:rPr>
          <w:spacing w:val="-9"/>
          <w:sz w:val="18"/>
          <w:szCs w:val="18"/>
          <w:lang w:val="es-ES_tradnl"/>
        </w:rPr>
        <w:t>en su an</w:t>
      </w:r>
      <w:r>
        <w:rPr>
          <w:rFonts w:cs="Times New Roman"/>
          <w:spacing w:val="-9"/>
          <w:sz w:val="18"/>
          <w:szCs w:val="18"/>
          <w:lang w:val="es-ES_tradnl"/>
        </w:rPr>
        <w:t>á</w:t>
      </w:r>
      <w:r>
        <w:rPr>
          <w:spacing w:val="-9"/>
          <w:sz w:val="18"/>
          <w:szCs w:val="18"/>
          <w:lang w:val="es-ES_tradnl"/>
        </w:rPr>
        <w:t xml:space="preserve">lisis que los cargos 2 </w:t>
      </w:r>
      <w:r>
        <w:rPr>
          <w:rFonts w:cs="Times New Roman"/>
          <w:spacing w:val="-9"/>
          <w:sz w:val="18"/>
          <w:szCs w:val="18"/>
          <w:lang w:val="es-ES_tradnl"/>
        </w:rPr>
        <w:t>–</w:t>
      </w:r>
      <w:r>
        <w:rPr>
          <w:spacing w:val="-9"/>
          <w:sz w:val="18"/>
          <w:szCs w:val="18"/>
          <w:lang w:val="es-ES_tradnl"/>
        </w:rPr>
        <w:t xml:space="preserve">causal cuarta- y 3 </w:t>
      </w:r>
      <w:r>
        <w:rPr>
          <w:rFonts w:cs="Times New Roman"/>
          <w:spacing w:val="-9"/>
          <w:sz w:val="18"/>
          <w:szCs w:val="18"/>
          <w:lang w:val="es-ES_tradnl"/>
        </w:rPr>
        <w:t>–</w:t>
      </w:r>
      <w:r>
        <w:rPr>
          <w:spacing w:val="-9"/>
          <w:sz w:val="18"/>
          <w:szCs w:val="18"/>
          <w:lang w:val="es-ES_tradnl"/>
        </w:rPr>
        <w:t xml:space="preserve">causal </w:t>
      </w:r>
      <w:r>
        <w:rPr>
          <w:spacing w:val="-1"/>
          <w:sz w:val="18"/>
          <w:szCs w:val="18"/>
          <w:lang w:val="es-ES_tradnl"/>
        </w:rPr>
        <w:t>quinta- del art</w:t>
      </w:r>
      <w:r>
        <w:rPr>
          <w:rFonts w:cs="Times New Roman"/>
          <w:spacing w:val="-1"/>
          <w:sz w:val="18"/>
          <w:szCs w:val="18"/>
          <w:lang w:val="es-ES_tradnl"/>
        </w:rPr>
        <w:t>í</w:t>
      </w:r>
      <w:r>
        <w:rPr>
          <w:spacing w:val="-1"/>
          <w:sz w:val="18"/>
          <w:szCs w:val="18"/>
          <w:lang w:val="es-ES_tradnl"/>
        </w:rPr>
        <w:t>culo 3 de la Ley de Casaci</w:t>
      </w:r>
      <w:r>
        <w:rPr>
          <w:rFonts w:cs="Times New Roman"/>
          <w:spacing w:val="-1"/>
          <w:sz w:val="18"/>
          <w:szCs w:val="18"/>
          <w:lang w:val="es-ES_tradnl"/>
        </w:rPr>
        <w:t>ó</w:t>
      </w:r>
      <w:r>
        <w:rPr>
          <w:spacing w:val="-1"/>
          <w:sz w:val="18"/>
          <w:szCs w:val="18"/>
          <w:lang w:val="es-ES_tradnl"/>
        </w:rPr>
        <w:t xml:space="preserve">n alegados </w:t>
      </w:r>
      <w:r>
        <w:rPr>
          <w:spacing w:val="-8"/>
          <w:sz w:val="18"/>
          <w:szCs w:val="18"/>
          <w:lang w:val="es-ES_tradnl"/>
        </w:rPr>
        <w:t xml:space="preserve">por el casacionista no eran procedentes. Al respecto, esta </w:t>
      </w:r>
      <w:r>
        <w:rPr>
          <w:spacing w:val="-4"/>
          <w:sz w:val="18"/>
          <w:szCs w:val="18"/>
          <w:lang w:val="es-ES_tradnl"/>
        </w:rPr>
        <w:t>Corte no constata del contenido de la decisi</w:t>
      </w:r>
      <w:r>
        <w:rPr>
          <w:rFonts w:cs="Times New Roman"/>
          <w:spacing w:val="-4"/>
          <w:sz w:val="18"/>
          <w:szCs w:val="18"/>
          <w:lang w:val="es-ES_tradnl"/>
        </w:rPr>
        <w:t>ó</w:t>
      </w:r>
      <w:r>
        <w:rPr>
          <w:spacing w:val="-4"/>
          <w:sz w:val="18"/>
          <w:szCs w:val="18"/>
          <w:lang w:val="es-ES_tradnl"/>
        </w:rPr>
        <w:t xml:space="preserve">n objeto de </w:t>
      </w:r>
      <w:r>
        <w:rPr>
          <w:spacing w:val="-7"/>
          <w:sz w:val="18"/>
          <w:szCs w:val="18"/>
          <w:lang w:val="es-ES_tradnl"/>
        </w:rPr>
        <w:t>la presente acci</w:t>
      </w:r>
      <w:r>
        <w:rPr>
          <w:rFonts w:cs="Times New Roman"/>
          <w:spacing w:val="-7"/>
          <w:sz w:val="18"/>
          <w:szCs w:val="18"/>
          <w:lang w:val="es-ES_tradnl"/>
        </w:rPr>
        <w:t>ó</w:t>
      </w:r>
      <w:r>
        <w:rPr>
          <w:spacing w:val="-7"/>
          <w:sz w:val="18"/>
          <w:szCs w:val="18"/>
          <w:lang w:val="es-ES_tradnl"/>
        </w:rPr>
        <w:t>n extraordinaria de protecci</w:t>
      </w:r>
      <w:r>
        <w:rPr>
          <w:rFonts w:cs="Times New Roman"/>
          <w:spacing w:val="-7"/>
          <w:sz w:val="18"/>
          <w:szCs w:val="18"/>
          <w:lang w:val="es-ES_tradnl"/>
        </w:rPr>
        <w:t>ó</w:t>
      </w:r>
      <w:r>
        <w:rPr>
          <w:spacing w:val="-7"/>
          <w:sz w:val="18"/>
          <w:szCs w:val="18"/>
          <w:lang w:val="es-ES_tradnl"/>
        </w:rPr>
        <w:t xml:space="preserve">n que exista </w:t>
      </w:r>
      <w:r>
        <w:rPr>
          <w:spacing w:val="-5"/>
          <w:sz w:val="18"/>
          <w:szCs w:val="18"/>
          <w:lang w:val="es-ES_tradnl"/>
        </w:rPr>
        <w:t>pronunciamiento o una determinaci</w:t>
      </w:r>
      <w:r>
        <w:rPr>
          <w:rFonts w:cs="Times New Roman"/>
          <w:spacing w:val="-5"/>
          <w:sz w:val="18"/>
          <w:szCs w:val="18"/>
          <w:lang w:val="es-ES_tradnl"/>
        </w:rPr>
        <w:t>ó</w:t>
      </w:r>
      <w:r>
        <w:rPr>
          <w:spacing w:val="-5"/>
          <w:sz w:val="18"/>
          <w:szCs w:val="18"/>
          <w:lang w:val="es-ES_tradnl"/>
        </w:rPr>
        <w:t xml:space="preserve">n clara respecto de </w:t>
      </w:r>
      <w:r>
        <w:rPr>
          <w:spacing w:val="-8"/>
          <w:sz w:val="18"/>
          <w:szCs w:val="18"/>
          <w:lang w:val="es-ES_tradnl"/>
        </w:rPr>
        <w:t>las consecuencias que esto conlleva en la adopci</w:t>
      </w:r>
      <w:r>
        <w:rPr>
          <w:rFonts w:cs="Times New Roman"/>
          <w:spacing w:val="-8"/>
          <w:sz w:val="18"/>
          <w:szCs w:val="18"/>
          <w:lang w:val="es-ES_tradnl"/>
        </w:rPr>
        <w:t>ó</w:t>
      </w:r>
      <w:r>
        <w:rPr>
          <w:spacing w:val="-8"/>
          <w:sz w:val="18"/>
          <w:szCs w:val="18"/>
          <w:lang w:val="es-ES_tradnl"/>
        </w:rPr>
        <w:t xml:space="preserve">n de la </w:t>
      </w:r>
      <w:r>
        <w:rPr>
          <w:spacing w:val="-6"/>
          <w:sz w:val="18"/>
          <w:szCs w:val="18"/>
          <w:lang w:val="es-ES_tradnl"/>
        </w:rPr>
        <w:t>decisi</w:t>
      </w:r>
      <w:r>
        <w:rPr>
          <w:rFonts w:cs="Times New Roman"/>
          <w:spacing w:val="-6"/>
          <w:sz w:val="18"/>
          <w:szCs w:val="18"/>
          <w:lang w:val="es-ES_tradnl"/>
        </w:rPr>
        <w:t>ó</w:t>
      </w:r>
      <w:r>
        <w:rPr>
          <w:spacing w:val="-6"/>
          <w:sz w:val="18"/>
          <w:szCs w:val="18"/>
          <w:lang w:val="es-ES_tradnl"/>
        </w:rPr>
        <w:t xml:space="preserve">n final, que fue la de casar la sentencia de 18 de </w:t>
      </w:r>
      <w:r>
        <w:rPr>
          <w:spacing w:val="-7"/>
          <w:sz w:val="18"/>
          <w:szCs w:val="18"/>
          <w:lang w:val="es-ES_tradnl"/>
        </w:rPr>
        <w:t xml:space="preserve">mayo de 2012 dictada por la segunda sala del Tribunal </w:t>
      </w:r>
      <w:r>
        <w:rPr>
          <w:spacing w:val="-4"/>
          <w:sz w:val="18"/>
          <w:szCs w:val="18"/>
          <w:lang w:val="es-ES_tradnl"/>
        </w:rPr>
        <w:t>Distrital de lo Fiscal N</w:t>
      </w:r>
      <w:r>
        <w:rPr>
          <w:rFonts w:cs="Times New Roman"/>
          <w:spacing w:val="-4"/>
          <w:sz w:val="18"/>
          <w:szCs w:val="18"/>
          <w:lang w:val="es-ES_tradnl"/>
        </w:rPr>
        <w:t>°</w:t>
      </w:r>
      <w:r>
        <w:rPr>
          <w:spacing w:val="-4"/>
          <w:sz w:val="18"/>
          <w:szCs w:val="18"/>
          <w:lang w:val="es-ES_tradnl"/>
        </w:rPr>
        <w:t xml:space="preserve"> 2 con sede en Guayaquil, por lo </w:t>
      </w:r>
      <w:r>
        <w:rPr>
          <w:spacing w:val="-5"/>
          <w:sz w:val="18"/>
          <w:szCs w:val="18"/>
          <w:lang w:val="es-ES_tradnl"/>
        </w:rPr>
        <w:t xml:space="preserve">que concluye que ha tenido lugar un incumplimiento al </w:t>
      </w:r>
      <w:r>
        <w:rPr>
          <w:spacing w:val="-8"/>
          <w:sz w:val="18"/>
          <w:szCs w:val="18"/>
          <w:lang w:val="es-ES_tradnl"/>
        </w:rPr>
        <w:t>par</w:t>
      </w:r>
      <w:r>
        <w:rPr>
          <w:rFonts w:cs="Times New Roman"/>
          <w:spacing w:val="-8"/>
          <w:sz w:val="18"/>
          <w:szCs w:val="18"/>
          <w:lang w:val="es-ES_tradnl"/>
        </w:rPr>
        <w:t>á</w:t>
      </w:r>
      <w:r>
        <w:rPr>
          <w:spacing w:val="-8"/>
          <w:sz w:val="18"/>
          <w:szCs w:val="18"/>
          <w:lang w:val="es-ES_tradnl"/>
        </w:rPr>
        <w:t xml:space="preserve">metro sujeto a estudio por parte de la Sala de la Corte </w:t>
      </w:r>
      <w:r>
        <w:rPr>
          <w:sz w:val="18"/>
          <w:szCs w:val="18"/>
          <w:lang w:val="es-ES_tradnl"/>
        </w:rPr>
        <w:t>Nacional de Justicia.</w:t>
      </w:r>
    </w:p>
    <w:p w14:paraId="4F67BACC" w14:textId="77777777" w:rsidR="00591D54" w:rsidRDefault="00591D54">
      <w:pPr>
        <w:shd w:val="clear" w:color="auto" w:fill="FFFFFF"/>
        <w:spacing w:before="192" w:line="216" w:lineRule="exact"/>
        <w:jc w:val="both"/>
      </w:pPr>
      <w:r>
        <w:rPr>
          <w:spacing w:val="-10"/>
          <w:sz w:val="18"/>
          <w:szCs w:val="18"/>
          <w:lang w:val="es-ES_tradnl"/>
        </w:rPr>
        <w:t>Con todas las consideraciones hasta aqu</w:t>
      </w:r>
      <w:r>
        <w:rPr>
          <w:rFonts w:cs="Times New Roman"/>
          <w:spacing w:val="-10"/>
          <w:sz w:val="18"/>
          <w:szCs w:val="18"/>
          <w:lang w:val="es-ES_tradnl"/>
        </w:rPr>
        <w:t>í</w:t>
      </w:r>
      <w:r>
        <w:rPr>
          <w:spacing w:val="-10"/>
          <w:sz w:val="18"/>
          <w:szCs w:val="18"/>
          <w:lang w:val="es-ES_tradnl"/>
        </w:rPr>
        <w:t xml:space="preserve"> se</w:t>
      </w:r>
      <w:r>
        <w:rPr>
          <w:rFonts w:cs="Times New Roman"/>
          <w:spacing w:val="-10"/>
          <w:sz w:val="18"/>
          <w:szCs w:val="18"/>
          <w:lang w:val="es-ES_tradnl"/>
        </w:rPr>
        <w:t>ñ</w:t>
      </w:r>
      <w:r>
        <w:rPr>
          <w:spacing w:val="-10"/>
          <w:sz w:val="18"/>
          <w:szCs w:val="18"/>
          <w:lang w:val="es-ES_tradnl"/>
        </w:rPr>
        <w:t xml:space="preserve">aladas y toda </w:t>
      </w:r>
      <w:r>
        <w:rPr>
          <w:spacing w:val="-4"/>
          <w:sz w:val="18"/>
          <w:szCs w:val="18"/>
          <w:lang w:val="es-ES_tradnl"/>
        </w:rPr>
        <w:t xml:space="preserve">vez que la Corte Constitucional ha determinado por un </w:t>
      </w:r>
      <w:r>
        <w:rPr>
          <w:spacing w:val="-7"/>
          <w:sz w:val="18"/>
          <w:szCs w:val="18"/>
          <w:lang w:val="es-ES_tradnl"/>
        </w:rPr>
        <w:t xml:space="preserve">lado la observancia del requisito de la razonabilidad y por </w:t>
      </w:r>
      <w:r>
        <w:rPr>
          <w:spacing w:val="-6"/>
          <w:sz w:val="18"/>
          <w:szCs w:val="18"/>
          <w:lang w:val="es-ES_tradnl"/>
        </w:rPr>
        <w:t>otro el incumplimiento de los par</w:t>
      </w:r>
      <w:r>
        <w:rPr>
          <w:rFonts w:cs="Times New Roman"/>
          <w:spacing w:val="-6"/>
          <w:sz w:val="18"/>
          <w:szCs w:val="18"/>
          <w:lang w:val="es-ES_tradnl"/>
        </w:rPr>
        <w:t>á</w:t>
      </w:r>
      <w:r>
        <w:rPr>
          <w:spacing w:val="-6"/>
          <w:sz w:val="18"/>
          <w:szCs w:val="18"/>
          <w:lang w:val="es-ES_tradnl"/>
        </w:rPr>
        <w:t>metros de la l</w:t>
      </w:r>
      <w:r>
        <w:rPr>
          <w:rFonts w:cs="Times New Roman"/>
          <w:spacing w:val="-6"/>
          <w:sz w:val="18"/>
          <w:szCs w:val="18"/>
          <w:lang w:val="es-ES_tradnl"/>
        </w:rPr>
        <w:t>ó</w:t>
      </w:r>
      <w:r>
        <w:rPr>
          <w:spacing w:val="-6"/>
          <w:sz w:val="18"/>
          <w:szCs w:val="18"/>
          <w:lang w:val="es-ES_tradnl"/>
        </w:rPr>
        <w:t xml:space="preserve">gica y la </w:t>
      </w:r>
      <w:r>
        <w:rPr>
          <w:spacing w:val="-5"/>
          <w:sz w:val="18"/>
          <w:szCs w:val="18"/>
          <w:lang w:val="es-ES_tradnl"/>
        </w:rPr>
        <w:t xml:space="preserve">comprensibilidad, concluye que la Sala Especializada de </w:t>
      </w:r>
      <w:r>
        <w:rPr>
          <w:spacing w:val="-6"/>
          <w:sz w:val="18"/>
          <w:szCs w:val="18"/>
          <w:lang w:val="es-ES_tradnl"/>
        </w:rPr>
        <w:t xml:space="preserve">lo Contencioso Tributario de la Corte Nacional de Justicia </w:t>
      </w:r>
      <w:r>
        <w:rPr>
          <w:spacing w:val="-7"/>
          <w:sz w:val="18"/>
          <w:szCs w:val="18"/>
          <w:lang w:val="es-ES_tradnl"/>
        </w:rPr>
        <w:t>vulner</w:t>
      </w:r>
      <w:r>
        <w:rPr>
          <w:rFonts w:cs="Times New Roman"/>
          <w:spacing w:val="-7"/>
          <w:sz w:val="18"/>
          <w:szCs w:val="18"/>
          <w:lang w:val="es-ES_tradnl"/>
        </w:rPr>
        <w:t>ó</w:t>
      </w:r>
      <w:r>
        <w:rPr>
          <w:spacing w:val="-7"/>
          <w:sz w:val="18"/>
          <w:szCs w:val="18"/>
          <w:lang w:val="es-ES_tradnl"/>
        </w:rPr>
        <w:t xml:space="preserve"> el derecho al debido proceso en su garant</w:t>
      </w:r>
      <w:r>
        <w:rPr>
          <w:rFonts w:cs="Times New Roman"/>
          <w:spacing w:val="-7"/>
          <w:sz w:val="18"/>
          <w:szCs w:val="18"/>
          <w:lang w:val="es-ES_tradnl"/>
        </w:rPr>
        <w:t>í</w:t>
      </w:r>
      <w:r>
        <w:rPr>
          <w:spacing w:val="-7"/>
          <w:sz w:val="18"/>
          <w:szCs w:val="18"/>
          <w:lang w:val="es-ES_tradnl"/>
        </w:rPr>
        <w:t>a de motivaci</w:t>
      </w:r>
      <w:r>
        <w:rPr>
          <w:rFonts w:cs="Times New Roman"/>
          <w:spacing w:val="-7"/>
          <w:sz w:val="18"/>
          <w:szCs w:val="18"/>
          <w:lang w:val="es-ES_tradnl"/>
        </w:rPr>
        <w:t>ó</w:t>
      </w:r>
      <w:r>
        <w:rPr>
          <w:spacing w:val="-7"/>
          <w:sz w:val="18"/>
          <w:szCs w:val="18"/>
          <w:lang w:val="es-ES_tradnl"/>
        </w:rPr>
        <w:t>n previsto en el art</w:t>
      </w:r>
      <w:r>
        <w:rPr>
          <w:rFonts w:cs="Times New Roman"/>
          <w:spacing w:val="-7"/>
          <w:sz w:val="18"/>
          <w:szCs w:val="18"/>
          <w:lang w:val="es-ES_tradnl"/>
        </w:rPr>
        <w:t>í</w:t>
      </w:r>
      <w:r>
        <w:rPr>
          <w:spacing w:val="-7"/>
          <w:sz w:val="18"/>
          <w:szCs w:val="18"/>
          <w:lang w:val="es-ES_tradnl"/>
        </w:rPr>
        <w:t>culo 76 numeral 7) literal l) de 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blica del Ecuador.</w:t>
      </w:r>
    </w:p>
    <w:p w14:paraId="4F67BACD" w14:textId="77777777" w:rsidR="00591D54" w:rsidRDefault="00591D54">
      <w:pPr>
        <w:shd w:val="clear" w:color="auto" w:fill="FFFFFF"/>
        <w:jc w:val="center"/>
      </w:pPr>
      <w:r>
        <w:br w:type="column"/>
      </w: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BACE" w14:textId="77777777" w:rsidR="00591D54" w:rsidRDefault="00591D54">
      <w:pPr>
        <w:shd w:val="clear" w:color="auto" w:fill="FFFFFF"/>
        <w:spacing w:before="192" w:line="216" w:lineRule="exact"/>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5"/>
          <w:sz w:val="18"/>
          <w:szCs w:val="18"/>
          <w:lang w:val="es-ES_tradnl"/>
        </w:rPr>
        <w:t>constitucional y por mandato de la Constituci</w:t>
      </w:r>
      <w:r>
        <w:rPr>
          <w:rFonts w:cs="Times New Roman"/>
          <w:spacing w:val="-5"/>
          <w:sz w:val="18"/>
          <w:szCs w:val="18"/>
          <w:lang w:val="es-ES_tradnl"/>
        </w:rPr>
        <w:t>ó</w:t>
      </w:r>
      <w:r>
        <w:rPr>
          <w:spacing w:val="-5"/>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 xml:space="preserve">blica del Ecuador, el Pleno de la Corte Constitucional </w:t>
      </w:r>
      <w:r>
        <w:rPr>
          <w:sz w:val="18"/>
          <w:szCs w:val="18"/>
          <w:lang w:val="es-ES_tradnl"/>
        </w:rPr>
        <w:t>expide la siguiente</w:t>
      </w:r>
    </w:p>
    <w:p w14:paraId="4F67BACF" w14:textId="77777777" w:rsidR="00591D54" w:rsidRDefault="00591D54">
      <w:pPr>
        <w:shd w:val="clear" w:color="auto" w:fill="FFFFFF"/>
        <w:spacing w:before="192"/>
        <w:jc w:val="center"/>
      </w:pPr>
      <w:r>
        <w:rPr>
          <w:b/>
          <w:bCs/>
          <w:sz w:val="18"/>
          <w:szCs w:val="18"/>
          <w:lang w:val="es-ES_tradnl"/>
        </w:rPr>
        <w:t>SENTENCIA</w:t>
      </w:r>
    </w:p>
    <w:p w14:paraId="4F67BAD0" w14:textId="77777777" w:rsidR="00591D54" w:rsidRDefault="00591D54" w:rsidP="00251195">
      <w:pPr>
        <w:numPr>
          <w:ilvl w:val="0"/>
          <w:numId w:val="123"/>
        </w:numPr>
        <w:shd w:val="clear" w:color="auto" w:fill="FFFFFF"/>
        <w:tabs>
          <w:tab w:val="left" w:pos="566"/>
        </w:tabs>
        <w:spacing w:before="197" w:line="216" w:lineRule="exact"/>
        <w:ind w:left="566" w:hanging="283"/>
        <w:jc w:val="both"/>
        <w:rPr>
          <w:spacing w:val="-9"/>
          <w:sz w:val="18"/>
          <w:szCs w:val="18"/>
          <w:lang w:val="es-ES_tradnl"/>
        </w:rPr>
      </w:pPr>
      <w:r>
        <w:rPr>
          <w:spacing w:val="-3"/>
          <w:sz w:val="18"/>
          <w:szCs w:val="18"/>
          <w:lang w:val="es-ES_tradnl"/>
        </w:rPr>
        <w:t>Declarar la vulneraci</w:t>
      </w:r>
      <w:r>
        <w:rPr>
          <w:rFonts w:cs="Times New Roman"/>
          <w:spacing w:val="-3"/>
          <w:sz w:val="18"/>
          <w:szCs w:val="18"/>
          <w:lang w:val="es-ES_tradnl"/>
        </w:rPr>
        <w:t>ó</w:t>
      </w:r>
      <w:r>
        <w:rPr>
          <w:spacing w:val="-3"/>
          <w:sz w:val="18"/>
          <w:szCs w:val="18"/>
          <w:lang w:val="es-ES_tradnl"/>
        </w:rPr>
        <w:t xml:space="preserve">n del derecho al debido </w:t>
      </w:r>
      <w:r>
        <w:rPr>
          <w:spacing w:val="-8"/>
          <w:sz w:val="18"/>
          <w:szCs w:val="18"/>
          <w:lang w:val="es-ES_tradnl"/>
        </w:rPr>
        <w:t>proceso en la garant</w:t>
      </w:r>
      <w:r>
        <w:rPr>
          <w:rFonts w:cs="Times New Roman"/>
          <w:spacing w:val="-8"/>
          <w:sz w:val="18"/>
          <w:szCs w:val="18"/>
          <w:lang w:val="es-ES_tradnl"/>
        </w:rPr>
        <w:t>í</w:t>
      </w:r>
      <w:r>
        <w:rPr>
          <w:spacing w:val="-8"/>
          <w:sz w:val="18"/>
          <w:szCs w:val="18"/>
          <w:lang w:val="es-ES_tradnl"/>
        </w:rPr>
        <w:t>a de motivaci</w:t>
      </w:r>
      <w:r>
        <w:rPr>
          <w:rFonts w:cs="Times New Roman"/>
          <w:spacing w:val="-8"/>
          <w:sz w:val="18"/>
          <w:szCs w:val="18"/>
          <w:lang w:val="es-ES_tradnl"/>
        </w:rPr>
        <w:t>ó</w:t>
      </w:r>
      <w:r>
        <w:rPr>
          <w:spacing w:val="-8"/>
          <w:sz w:val="18"/>
          <w:szCs w:val="18"/>
          <w:lang w:val="es-ES_tradnl"/>
        </w:rPr>
        <w:t xml:space="preserve">n previsto en el </w:t>
      </w:r>
      <w:r>
        <w:rPr>
          <w:spacing w:val="-7"/>
          <w:sz w:val="18"/>
          <w:szCs w:val="18"/>
          <w:lang w:val="es-ES_tradnl"/>
        </w:rPr>
        <w:t>art</w:t>
      </w:r>
      <w:r>
        <w:rPr>
          <w:rFonts w:cs="Times New Roman"/>
          <w:spacing w:val="-7"/>
          <w:sz w:val="18"/>
          <w:szCs w:val="18"/>
          <w:lang w:val="es-ES_tradnl"/>
        </w:rPr>
        <w:t>í</w:t>
      </w:r>
      <w:r>
        <w:rPr>
          <w:spacing w:val="-7"/>
          <w:sz w:val="18"/>
          <w:szCs w:val="18"/>
          <w:lang w:val="es-ES_tradnl"/>
        </w:rPr>
        <w:t>culo 76 numeral 7 literal l) de la Constituci</w:t>
      </w:r>
      <w:r>
        <w:rPr>
          <w:rFonts w:cs="Times New Roman"/>
          <w:spacing w:val="-7"/>
          <w:sz w:val="18"/>
          <w:szCs w:val="18"/>
          <w:lang w:val="es-ES_tradnl"/>
        </w:rPr>
        <w:t>ó</w:t>
      </w:r>
      <w:r>
        <w:rPr>
          <w:spacing w:val="-7"/>
          <w:sz w:val="18"/>
          <w:szCs w:val="18"/>
          <w:lang w:val="es-ES_tradnl"/>
        </w:rPr>
        <w:t xml:space="preserve">n de </w:t>
      </w:r>
      <w:r>
        <w:rPr>
          <w:sz w:val="18"/>
          <w:szCs w:val="18"/>
          <w:lang w:val="es-ES_tradnl"/>
        </w:rPr>
        <w:t>la Rep</w:t>
      </w:r>
      <w:r>
        <w:rPr>
          <w:rFonts w:cs="Times New Roman"/>
          <w:sz w:val="18"/>
          <w:szCs w:val="18"/>
          <w:lang w:val="es-ES_tradnl"/>
        </w:rPr>
        <w:t>ú</w:t>
      </w:r>
      <w:r>
        <w:rPr>
          <w:sz w:val="18"/>
          <w:szCs w:val="18"/>
          <w:lang w:val="es-ES_tradnl"/>
        </w:rPr>
        <w:t>blica.</w:t>
      </w:r>
    </w:p>
    <w:p w14:paraId="4F67BAD1" w14:textId="77777777" w:rsidR="00591D54" w:rsidRDefault="00591D54" w:rsidP="00251195">
      <w:pPr>
        <w:numPr>
          <w:ilvl w:val="0"/>
          <w:numId w:val="123"/>
        </w:numPr>
        <w:shd w:val="clear" w:color="auto" w:fill="FFFFFF"/>
        <w:tabs>
          <w:tab w:val="left" w:pos="566"/>
        </w:tabs>
        <w:spacing w:before="197" w:line="216" w:lineRule="exact"/>
        <w:ind w:left="566" w:hanging="283"/>
        <w:jc w:val="both"/>
        <w:rPr>
          <w:spacing w:val="-9"/>
          <w:sz w:val="18"/>
          <w:szCs w:val="18"/>
          <w:lang w:val="es-ES_tradnl"/>
        </w:rPr>
      </w:pPr>
      <w:r>
        <w:rPr>
          <w:spacing w:val="-5"/>
          <w:sz w:val="18"/>
          <w:szCs w:val="18"/>
          <w:lang w:val="es-ES_tradnl"/>
        </w:rPr>
        <w:t>Aceptar la acci</w:t>
      </w:r>
      <w:r>
        <w:rPr>
          <w:rFonts w:cs="Times New Roman"/>
          <w:spacing w:val="-5"/>
          <w:sz w:val="18"/>
          <w:szCs w:val="18"/>
          <w:lang w:val="es-ES_tradnl"/>
        </w:rPr>
        <w:t>ó</w:t>
      </w:r>
      <w:r>
        <w:rPr>
          <w:spacing w:val="-5"/>
          <w:sz w:val="18"/>
          <w:szCs w:val="18"/>
          <w:lang w:val="es-ES_tradnl"/>
        </w:rPr>
        <w:t>n extraordinaria de protecci</w:t>
      </w:r>
      <w:r>
        <w:rPr>
          <w:rFonts w:cs="Times New Roman"/>
          <w:spacing w:val="-5"/>
          <w:sz w:val="18"/>
          <w:szCs w:val="18"/>
          <w:lang w:val="es-ES_tradnl"/>
        </w:rPr>
        <w:t>ó</w:t>
      </w:r>
      <w:r>
        <w:rPr>
          <w:spacing w:val="-5"/>
          <w:sz w:val="18"/>
          <w:szCs w:val="18"/>
          <w:lang w:val="es-ES_tradnl"/>
        </w:rPr>
        <w:t xml:space="preserve">n </w:t>
      </w:r>
      <w:r>
        <w:rPr>
          <w:sz w:val="18"/>
          <w:szCs w:val="18"/>
          <w:lang w:val="es-ES_tradnl"/>
        </w:rPr>
        <w:t>presentada.</w:t>
      </w:r>
    </w:p>
    <w:p w14:paraId="4F67BAD2" w14:textId="77777777" w:rsidR="00591D54" w:rsidRDefault="00591D54" w:rsidP="00251195">
      <w:pPr>
        <w:numPr>
          <w:ilvl w:val="0"/>
          <w:numId w:val="123"/>
        </w:numPr>
        <w:shd w:val="clear" w:color="auto" w:fill="FFFFFF"/>
        <w:tabs>
          <w:tab w:val="left" w:pos="566"/>
        </w:tabs>
        <w:spacing w:before="197" w:line="216" w:lineRule="exact"/>
        <w:ind w:left="566" w:hanging="283"/>
        <w:jc w:val="both"/>
        <w:rPr>
          <w:spacing w:val="-9"/>
          <w:sz w:val="18"/>
          <w:szCs w:val="18"/>
          <w:lang w:val="es-ES_tradnl"/>
        </w:rPr>
      </w:pPr>
      <w:r>
        <w:rPr>
          <w:spacing w:val="-9"/>
          <w:sz w:val="18"/>
          <w:szCs w:val="18"/>
          <w:lang w:val="es-ES_tradnl"/>
        </w:rPr>
        <w:t>Como medidas de reparaci</w:t>
      </w:r>
      <w:r>
        <w:rPr>
          <w:rFonts w:cs="Times New Roman"/>
          <w:spacing w:val="-9"/>
          <w:sz w:val="18"/>
          <w:szCs w:val="18"/>
          <w:lang w:val="es-ES_tradnl"/>
        </w:rPr>
        <w:t>ó</w:t>
      </w:r>
      <w:r>
        <w:rPr>
          <w:spacing w:val="-9"/>
          <w:sz w:val="18"/>
          <w:szCs w:val="18"/>
          <w:lang w:val="es-ES_tradnl"/>
        </w:rPr>
        <w:t xml:space="preserve">n integral, se dispone lo </w:t>
      </w:r>
      <w:r>
        <w:rPr>
          <w:sz w:val="18"/>
          <w:szCs w:val="18"/>
          <w:lang w:val="es-ES_tradnl"/>
        </w:rPr>
        <w:t>siguiente:</w:t>
      </w:r>
    </w:p>
    <w:p w14:paraId="4F67BAD3" w14:textId="77777777" w:rsidR="00591D54" w:rsidRDefault="00591D54">
      <w:pPr>
        <w:rPr>
          <w:rFonts w:cs="Times New Roman"/>
          <w:sz w:val="2"/>
          <w:szCs w:val="2"/>
        </w:rPr>
      </w:pPr>
    </w:p>
    <w:p w14:paraId="4F67BAD4" w14:textId="77777777" w:rsidR="00591D54" w:rsidRDefault="00591D54" w:rsidP="00251195">
      <w:pPr>
        <w:numPr>
          <w:ilvl w:val="0"/>
          <w:numId w:val="124"/>
        </w:numPr>
        <w:shd w:val="clear" w:color="auto" w:fill="FFFFFF"/>
        <w:tabs>
          <w:tab w:val="left" w:pos="850"/>
        </w:tabs>
        <w:spacing w:before="197" w:line="216" w:lineRule="exact"/>
        <w:ind w:left="850" w:hanging="283"/>
        <w:jc w:val="both"/>
        <w:rPr>
          <w:spacing w:val="-9"/>
          <w:sz w:val="18"/>
          <w:szCs w:val="18"/>
          <w:lang w:val="es-ES_tradnl"/>
        </w:rPr>
      </w:pPr>
      <w:r>
        <w:rPr>
          <w:spacing w:val="-10"/>
          <w:sz w:val="18"/>
          <w:szCs w:val="18"/>
          <w:lang w:val="es-ES_tradnl"/>
        </w:rPr>
        <w:t xml:space="preserve">Dejar sin efecto la sentencia de 19 de diciembre </w:t>
      </w:r>
      <w:r>
        <w:rPr>
          <w:spacing w:val="-6"/>
          <w:sz w:val="18"/>
          <w:szCs w:val="18"/>
          <w:lang w:val="es-ES_tradnl"/>
        </w:rPr>
        <w:t xml:space="preserve">de 2014, dictada por la Sala Especializada de lo Contencioso Tributario de la Corte Nacional </w:t>
      </w:r>
      <w:r>
        <w:rPr>
          <w:spacing w:val="-7"/>
          <w:sz w:val="18"/>
          <w:szCs w:val="18"/>
          <w:lang w:val="es-ES_tradnl"/>
        </w:rPr>
        <w:t xml:space="preserve">de Justicia dentro del recurso extraordinario de </w:t>
      </w:r>
      <w:r>
        <w:rPr>
          <w:spacing w:val="-8"/>
          <w:sz w:val="18"/>
          <w:szCs w:val="18"/>
          <w:lang w:val="es-ES_tradnl"/>
        </w:rPr>
        <w:t>casaci</w:t>
      </w:r>
      <w:r>
        <w:rPr>
          <w:rFonts w:cs="Times New Roman"/>
          <w:spacing w:val="-8"/>
          <w:sz w:val="18"/>
          <w:szCs w:val="18"/>
          <w:lang w:val="es-ES_tradnl"/>
        </w:rPr>
        <w:t>ó</w:t>
      </w:r>
      <w:r>
        <w:rPr>
          <w:spacing w:val="-8"/>
          <w:sz w:val="18"/>
          <w:szCs w:val="18"/>
          <w:lang w:val="es-ES_tradnl"/>
        </w:rPr>
        <w:t>n signado con el n</w:t>
      </w:r>
      <w:r>
        <w:rPr>
          <w:rFonts w:cs="Times New Roman"/>
          <w:spacing w:val="-8"/>
          <w:sz w:val="18"/>
          <w:szCs w:val="18"/>
          <w:lang w:val="es-ES_tradnl"/>
        </w:rPr>
        <w:t>ú</w:t>
      </w:r>
      <w:r>
        <w:rPr>
          <w:spacing w:val="-8"/>
          <w:sz w:val="18"/>
          <w:szCs w:val="18"/>
          <w:lang w:val="es-ES_tradnl"/>
        </w:rPr>
        <w:t>mero 411-2012.</w:t>
      </w:r>
    </w:p>
    <w:p w14:paraId="4F67BAD5" w14:textId="77777777" w:rsidR="00591D54" w:rsidRDefault="00591D54" w:rsidP="00251195">
      <w:pPr>
        <w:numPr>
          <w:ilvl w:val="0"/>
          <w:numId w:val="124"/>
        </w:numPr>
        <w:shd w:val="clear" w:color="auto" w:fill="FFFFFF"/>
        <w:tabs>
          <w:tab w:val="left" w:pos="850"/>
        </w:tabs>
        <w:spacing w:before="192" w:line="216" w:lineRule="exact"/>
        <w:ind w:left="850" w:hanging="283"/>
        <w:jc w:val="both"/>
        <w:rPr>
          <w:spacing w:val="-9"/>
          <w:sz w:val="18"/>
          <w:szCs w:val="18"/>
          <w:lang w:val="es-ES_tradnl"/>
        </w:rPr>
      </w:pPr>
      <w:r>
        <w:rPr>
          <w:sz w:val="18"/>
          <w:szCs w:val="18"/>
          <w:lang w:val="es-ES_tradnl"/>
        </w:rPr>
        <w:t xml:space="preserve">Disponer que otros jueces de la Sala </w:t>
      </w:r>
      <w:r>
        <w:rPr>
          <w:spacing w:val="-1"/>
          <w:sz w:val="18"/>
          <w:szCs w:val="18"/>
          <w:lang w:val="es-ES_tradnl"/>
        </w:rPr>
        <w:t xml:space="preserve">Especializada de lo Contencioso Tributario </w:t>
      </w:r>
      <w:r>
        <w:rPr>
          <w:spacing w:val="-6"/>
          <w:sz w:val="18"/>
          <w:szCs w:val="18"/>
          <w:lang w:val="es-ES_tradnl"/>
        </w:rPr>
        <w:t xml:space="preserve">de la Corte Nacional de Justicia, conozcan y </w:t>
      </w:r>
      <w:r>
        <w:rPr>
          <w:spacing w:val="-7"/>
          <w:sz w:val="18"/>
          <w:szCs w:val="18"/>
          <w:lang w:val="es-ES_tradnl"/>
        </w:rPr>
        <w:t>resuelvan en los t</w:t>
      </w:r>
      <w:r>
        <w:rPr>
          <w:rFonts w:cs="Times New Roman"/>
          <w:spacing w:val="-7"/>
          <w:sz w:val="18"/>
          <w:szCs w:val="18"/>
          <w:lang w:val="es-ES_tradnl"/>
        </w:rPr>
        <w:t>é</w:t>
      </w:r>
      <w:r>
        <w:rPr>
          <w:spacing w:val="-7"/>
          <w:sz w:val="18"/>
          <w:szCs w:val="18"/>
          <w:lang w:val="es-ES_tradnl"/>
        </w:rPr>
        <w:t>rminos de esta decisi</w:t>
      </w:r>
      <w:r>
        <w:rPr>
          <w:rFonts w:cs="Times New Roman"/>
          <w:spacing w:val="-7"/>
          <w:sz w:val="18"/>
          <w:szCs w:val="18"/>
          <w:lang w:val="es-ES_tradnl"/>
        </w:rPr>
        <w:t>ó</w:t>
      </w:r>
      <w:r>
        <w:rPr>
          <w:spacing w:val="-7"/>
          <w:sz w:val="18"/>
          <w:szCs w:val="18"/>
          <w:lang w:val="es-ES_tradnl"/>
        </w:rPr>
        <w:t>n el recurso extraordinario de casaci</w:t>
      </w:r>
      <w:r>
        <w:rPr>
          <w:rFonts w:cs="Times New Roman"/>
          <w:spacing w:val="-7"/>
          <w:sz w:val="18"/>
          <w:szCs w:val="18"/>
          <w:lang w:val="es-ES_tradnl"/>
        </w:rPr>
        <w:t>ó</w:t>
      </w:r>
      <w:r>
        <w:rPr>
          <w:spacing w:val="-7"/>
          <w:sz w:val="18"/>
          <w:szCs w:val="18"/>
          <w:lang w:val="es-ES_tradnl"/>
        </w:rPr>
        <w:t xml:space="preserve">n interpuesto </w:t>
      </w:r>
      <w:r>
        <w:rPr>
          <w:spacing w:val="-4"/>
          <w:sz w:val="18"/>
          <w:szCs w:val="18"/>
          <w:lang w:val="es-ES_tradnl"/>
        </w:rPr>
        <w:t>por el economista Juan Miguel Avil</w:t>
      </w:r>
      <w:r>
        <w:rPr>
          <w:rFonts w:cs="Times New Roman"/>
          <w:spacing w:val="-4"/>
          <w:sz w:val="18"/>
          <w:szCs w:val="18"/>
          <w:lang w:val="es-ES_tradnl"/>
        </w:rPr>
        <w:t>é</w:t>
      </w:r>
      <w:r>
        <w:rPr>
          <w:spacing w:val="-4"/>
          <w:sz w:val="18"/>
          <w:szCs w:val="18"/>
          <w:lang w:val="es-ES_tradnl"/>
        </w:rPr>
        <w:t xml:space="preserve">s Murillo, </w:t>
      </w:r>
      <w:r>
        <w:rPr>
          <w:spacing w:val="-6"/>
          <w:sz w:val="18"/>
          <w:szCs w:val="18"/>
          <w:lang w:val="es-ES_tradnl"/>
        </w:rPr>
        <w:t xml:space="preserve">en calidad de director regional del Servicio de Rentas Internas del Litoral Sur en contra de la </w:t>
      </w:r>
      <w:r>
        <w:rPr>
          <w:spacing w:val="-7"/>
          <w:sz w:val="18"/>
          <w:szCs w:val="18"/>
          <w:lang w:val="es-ES_tradnl"/>
        </w:rPr>
        <w:t xml:space="preserve">sentencia de 18 de mayo de 2012, dictada por </w:t>
      </w:r>
      <w:r>
        <w:rPr>
          <w:spacing w:val="-2"/>
          <w:sz w:val="18"/>
          <w:szCs w:val="18"/>
          <w:lang w:val="es-ES_tradnl"/>
        </w:rPr>
        <w:t xml:space="preserve">la segunda sala del Tribunal Distrital de lo </w:t>
      </w:r>
      <w:r>
        <w:rPr>
          <w:spacing w:val="-9"/>
          <w:sz w:val="18"/>
          <w:szCs w:val="18"/>
          <w:lang w:val="es-ES_tradnl"/>
        </w:rPr>
        <w:t>Fiscal N.</w:t>
      </w:r>
      <w:r>
        <w:rPr>
          <w:rFonts w:cs="Times New Roman"/>
          <w:spacing w:val="-9"/>
          <w:sz w:val="18"/>
          <w:szCs w:val="18"/>
          <w:lang w:val="es-ES_tradnl"/>
        </w:rPr>
        <w:t>°</w:t>
      </w:r>
      <w:r>
        <w:rPr>
          <w:spacing w:val="-9"/>
          <w:sz w:val="18"/>
          <w:szCs w:val="18"/>
          <w:lang w:val="es-ES_tradnl"/>
        </w:rPr>
        <w:t xml:space="preserve"> 2 con sede en la ciudad de Guayaquil </w:t>
      </w:r>
      <w:r>
        <w:rPr>
          <w:spacing w:val="-2"/>
          <w:sz w:val="18"/>
          <w:szCs w:val="18"/>
          <w:lang w:val="es-ES_tradnl"/>
        </w:rPr>
        <w:t>dentro del juicio de impugnaci</w:t>
      </w:r>
      <w:r>
        <w:rPr>
          <w:rFonts w:cs="Times New Roman"/>
          <w:spacing w:val="-2"/>
          <w:sz w:val="18"/>
          <w:szCs w:val="18"/>
          <w:lang w:val="es-ES_tradnl"/>
        </w:rPr>
        <w:t>ó</w:t>
      </w:r>
      <w:r>
        <w:rPr>
          <w:spacing w:val="-2"/>
          <w:sz w:val="18"/>
          <w:szCs w:val="18"/>
          <w:lang w:val="es-ES_tradnl"/>
        </w:rPr>
        <w:t>n N</w:t>
      </w:r>
      <w:r>
        <w:rPr>
          <w:rFonts w:cs="Times New Roman"/>
          <w:spacing w:val="-2"/>
          <w:sz w:val="18"/>
          <w:szCs w:val="18"/>
          <w:lang w:val="es-ES_tradnl"/>
        </w:rPr>
        <w:t>°</w:t>
      </w:r>
      <w:r>
        <w:rPr>
          <w:spacing w:val="-2"/>
          <w:sz w:val="18"/>
          <w:szCs w:val="18"/>
          <w:lang w:val="es-ES_tradnl"/>
        </w:rPr>
        <w:t xml:space="preserve"> 2010-</w:t>
      </w:r>
      <w:r>
        <w:rPr>
          <w:spacing w:val="-1"/>
          <w:sz w:val="18"/>
          <w:szCs w:val="18"/>
          <w:lang w:val="es-ES_tradnl"/>
        </w:rPr>
        <w:t xml:space="preserve">0150 seguido por LAMINADOS TEXTILES </w:t>
      </w:r>
      <w:r>
        <w:rPr>
          <w:sz w:val="18"/>
          <w:szCs w:val="18"/>
          <w:lang w:val="es-ES_tradnl"/>
        </w:rPr>
        <w:t>LAMITEX S.A.</w:t>
      </w:r>
    </w:p>
    <w:p w14:paraId="4F67BAD6" w14:textId="77777777" w:rsidR="00591D54" w:rsidRDefault="00591D54">
      <w:pPr>
        <w:shd w:val="clear" w:color="auto" w:fill="FFFFFF"/>
        <w:tabs>
          <w:tab w:val="left" w:pos="566"/>
        </w:tabs>
        <w:spacing w:before="29" w:line="432" w:lineRule="exact"/>
        <w:ind w:left="283"/>
      </w:pPr>
      <w:r>
        <w:rPr>
          <w:spacing w:val="-9"/>
          <w:sz w:val="18"/>
          <w:szCs w:val="18"/>
          <w:lang w:val="es-ES_tradnl"/>
        </w:rPr>
        <w:t>4.</w:t>
      </w:r>
      <w:r>
        <w:rPr>
          <w:sz w:val="18"/>
          <w:szCs w:val="18"/>
          <w:lang w:val="es-ES_tradnl"/>
        </w:rPr>
        <w:tab/>
      </w:r>
      <w:r>
        <w:rPr>
          <w:spacing w:val="-7"/>
          <w:sz w:val="18"/>
          <w:szCs w:val="18"/>
          <w:lang w:val="es-ES_tradnl"/>
        </w:rPr>
        <w:t>Notif</w:t>
      </w:r>
      <w:r>
        <w:rPr>
          <w:rFonts w:cs="Times New Roman"/>
          <w:spacing w:val="-7"/>
          <w:sz w:val="18"/>
          <w:szCs w:val="18"/>
          <w:lang w:val="es-ES_tradnl"/>
        </w:rPr>
        <w:t>í</w:t>
      </w:r>
      <w:r>
        <w:rPr>
          <w:spacing w:val="-7"/>
          <w:sz w:val="18"/>
          <w:szCs w:val="18"/>
          <w:lang w:val="es-ES_tradnl"/>
        </w:rPr>
        <w:t>quese, publ</w:t>
      </w:r>
      <w:r>
        <w:rPr>
          <w:rFonts w:cs="Times New Roman"/>
          <w:spacing w:val="-7"/>
          <w:sz w:val="18"/>
          <w:szCs w:val="18"/>
          <w:lang w:val="es-ES_tradnl"/>
        </w:rPr>
        <w:t>í</w:t>
      </w:r>
      <w:r>
        <w:rPr>
          <w:spacing w:val="-7"/>
          <w:sz w:val="18"/>
          <w:szCs w:val="18"/>
          <w:lang w:val="es-ES_tradnl"/>
        </w:rPr>
        <w:t>quese y c</w:t>
      </w:r>
      <w:r>
        <w:rPr>
          <w:rFonts w:cs="Times New Roman"/>
          <w:spacing w:val="-7"/>
          <w:sz w:val="18"/>
          <w:szCs w:val="18"/>
          <w:lang w:val="es-ES_tradnl"/>
        </w:rPr>
        <w:t>ú</w:t>
      </w:r>
      <w:r>
        <w:rPr>
          <w:spacing w:val="-7"/>
          <w:sz w:val="18"/>
          <w:szCs w:val="18"/>
          <w:lang w:val="es-ES_tradnl"/>
        </w:rPr>
        <w:t>mplase.</w:t>
      </w:r>
    </w:p>
    <w:p w14:paraId="4F67BAD7" w14:textId="77777777" w:rsidR="00591D54" w:rsidRDefault="00591D54">
      <w:pPr>
        <w:shd w:val="clear" w:color="auto" w:fill="FFFFFF"/>
        <w:spacing w:line="432" w:lineRule="exact"/>
      </w:pPr>
      <w:r>
        <w:rPr>
          <w:spacing w:val="-4"/>
          <w:sz w:val="18"/>
          <w:szCs w:val="18"/>
          <w:lang w:val="es-ES_tradnl"/>
        </w:rPr>
        <w:t>f.) Patricio Pazmi</w:t>
      </w:r>
      <w:r>
        <w:rPr>
          <w:rFonts w:cs="Times New Roman"/>
          <w:spacing w:val="-4"/>
          <w:sz w:val="18"/>
          <w:szCs w:val="18"/>
          <w:lang w:val="es-ES_tradnl"/>
        </w:rPr>
        <w:t>ñ</w:t>
      </w:r>
      <w:r>
        <w:rPr>
          <w:spacing w:val="-4"/>
          <w:sz w:val="18"/>
          <w:szCs w:val="18"/>
          <w:lang w:val="es-ES_tradnl"/>
        </w:rPr>
        <w:t xml:space="preserve">o Freire, </w:t>
      </w:r>
      <w:r>
        <w:rPr>
          <w:b/>
          <w:bCs/>
          <w:spacing w:val="-4"/>
          <w:sz w:val="18"/>
          <w:szCs w:val="18"/>
          <w:lang w:val="es-ES_tradnl"/>
        </w:rPr>
        <w:t>PRESIDENTE.</w:t>
      </w:r>
    </w:p>
    <w:p w14:paraId="4F67BAD8" w14:textId="77777777" w:rsidR="00591D54" w:rsidRDefault="00591D54">
      <w:pPr>
        <w:shd w:val="clear" w:color="auto" w:fill="FFFFFF"/>
        <w:spacing w:line="432" w:lineRule="exact"/>
      </w:pPr>
      <w:r>
        <w:rPr>
          <w:spacing w:val="-4"/>
          <w:sz w:val="18"/>
          <w:szCs w:val="18"/>
          <w:lang w:val="es-ES_tradnl"/>
        </w:rPr>
        <w:t xml:space="preserve">f.) Jaime Pozo Chamorro, </w:t>
      </w:r>
      <w:r>
        <w:rPr>
          <w:b/>
          <w:bCs/>
          <w:spacing w:val="-4"/>
          <w:sz w:val="18"/>
          <w:szCs w:val="18"/>
          <w:lang w:val="es-ES_tradnl"/>
        </w:rPr>
        <w:t>SECRETARIO GENERAL.</w:t>
      </w:r>
    </w:p>
    <w:p w14:paraId="4F67BAD9" w14:textId="77777777" w:rsidR="00591D54" w:rsidRDefault="00591D54">
      <w:pPr>
        <w:shd w:val="clear" w:color="auto" w:fill="FFFFFF"/>
        <w:spacing w:before="158" w:line="216" w:lineRule="exact"/>
        <w:jc w:val="both"/>
      </w:pPr>
      <w:r>
        <w:rPr>
          <w:b/>
          <w:bCs/>
          <w:spacing w:val="-7"/>
          <w:sz w:val="18"/>
          <w:szCs w:val="18"/>
          <w:lang w:val="es-ES_tradnl"/>
        </w:rPr>
        <w:t>Raz</w:t>
      </w:r>
      <w:r>
        <w:rPr>
          <w:rFonts w:cs="Times New Roman"/>
          <w:b/>
          <w:bCs/>
          <w:spacing w:val="-7"/>
          <w:sz w:val="18"/>
          <w:szCs w:val="18"/>
          <w:lang w:val="es-ES_tradnl"/>
        </w:rPr>
        <w:t>ó</w:t>
      </w:r>
      <w:r>
        <w:rPr>
          <w:b/>
          <w:bCs/>
          <w:spacing w:val="-7"/>
          <w:sz w:val="18"/>
          <w:szCs w:val="18"/>
          <w:lang w:val="es-ES_tradnl"/>
        </w:rPr>
        <w:t xml:space="preserve">n: </w:t>
      </w:r>
      <w:r>
        <w:rPr>
          <w:spacing w:val="-7"/>
          <w:sz w:val="18"/>
          <w:szCs w:val="18"/>
          <w:lang w:val="es-ES_tradnl"/>
        </w:rPr>
        <w:t xml:space="preserve">Siento por tal, que la sentencia que antecede fue </w:t>
      </w:r>
      <w:r>
        <w:rPr>
          <w:spacing w:val="-8"/>
          <w:sz w:val="18"/>
          <w:szCs w:val="18"/>
          <w:lang w:val="es-ES_tradnl"/>
        </w:rPr>
        <w:t xml:space="preserve">aprobada por el Pleno de la Corte Constitucional, con cinco </w:t>
      </w:r>
      <w:r>
        <w:rPr>
          <w:spacing w:val="-11"/>
          <w:sz w:val="18"/>
          <w:szCs w:val="18"/>
          <w:lang w:val="es-ES_tradnl"/>
        </w:rPr>
        <w:t>votos de las se</w:t>
      </w:r>
      <w:r>
        <w:rPr>
          <w:rFonts w:cs="Times New Roman"/>
          <w:spacing w:val="-11"/>
          <w:sz w:val="18"/>
          <w:szCs w:val="18"/>
          <w:lang w:val="es-ES_tradnl"/>
        </w:rPr>
        <w:t>ñ</w:t>
      </w:r>
      <w:r>
        <w:rPr>
          <w:spacing w:val="-11"/>
          <w:sz w:val="18"/>
          <w:szCs w:val="18"/>
          <w:lang w:val="es-ES_tradnl"/>
        </w:rPr>
        <w:t>oras juezas y se</w:t>
      </w:r>
      <w:r>
        <w:rPr>
          <w:rFonts w:cs="Times New Roman"/>
          <w:spacing w:val="-11"/>
          <w:sz w:val="18"/>
          <w:szCs w:val="18"/>
          <w:lang w:val="es-ES_tradnl"/>
        </w:rPr>
        <w:t>ñ</w:t>
      </w:r>
      <w:r>
        <w:rPr>
          <w:spacing w:val="-11"/>
          <w:sz w:val="18"/>
          <w:szCs w:val="18"/>
          <w:lang w:val="es-ES_tradnl"/>
        </w:rPr>
        <w:t xml:space="preserve">ores jueces: Wendy Molina </w:t>
      </w:r>
      <w:r>
        <w:rPr>
          <w:spacing w:val="-7"/>
          <w:sz w:val="18"/>
          <w:szCs w:val="18"/>
          <w:lang w:val="es-ES_tradnl"/>
        </w:rPr>
        <w:t>Andrade, Tatiana Orde</w:t>
      </w:r>
      <w:r>
        <w:rPr>
          <w:rFonts w:cs="Times New Roman"/>
          <w:spacing w:val="-7"/>
          <w:sz w:val="18"/>
          <w:szCs w:val="18"/>
          <w:lang w:val="es-ES_tradnl"/>
        </w:rPr>
        <w:t>ñ</w:t>
      </w:r>
      <w:r>
        <w:rPr>
          <w:spacing w:val="-7"/>
          <w:sz w:val="18"/>
          <w:szCs w:val="18"/>
          <w:lang w:val="es-ES_tradnl"/>
        </w:rPr>
        <w:t>ana Sierra, Alfredo Ruiz Guzm</w:t>
      </w:r>
      <w:r>
        <w:rPr>
          <w:rFonts w:cs="Times New Roman"/>
          <w:spacing w:val="-7"/>
          <w:sz w:val="18"/>
          <w:szCs w:val="18"/>
          <w:lang w:val="es-ES_tradnl"/>
        </w:rPr>
        <w:t>á</w:t>
      </w:r>
      <w:r>
        <w:rPr>
          <w:spacing w:val="-7"/>
          <w:sz w:val="18"/>
          <w:szCs w:val="18"/>
          <w:lang w:val="es-ES_tradnl"/>
        </w:rPr>
        <w:t xml:space="preserve">n, </w:t>
      </w:r>
      <w:r>
        <w:rPr>
          <w:spacing w:val="-8"/>
          <w:sz w:val="18"/>
          <w:szCs w:val="18"/>
          <w:lang w:val="es-ES_tradnl"/>
        </w:rPr>
        <w:t>Ruth Seni Pinoargote, y Patricio Pazmi</w:t>
      </w:r>
      <w:r>
        <w:rPr>
          <w:rFonts w:cs="Times New Roman"/>
          <w:spacing w:val="-8"/>
          <w:sz w:val="18"/>
          <w:szCs w:val="18"/>
          <w:lang w:val="es-ES_tradnl"/>
        </w:rPr>
        <w:t>ñ</w:t>
      </w:r>
      <w:r>
        <w:rPr>
          <w:spacing w:val="-8"/>
          <w:sz w:val="18"/>
          <w:szCs w:val="18"/>
          <w:lang w:val="es-ES_tradnl"/>
        </w:rPr>
        <w:t xml:space="preserve">o Freire, sin contar </w:t>
      </w:r>
      <w:r>
        <w:rPr>
          <w:spacing w:val="-6"/>
          <w:sz w:val="18"/>
          <w:szCs w:val="18"/>
          <w:lang w:val="es-ES_tradnl"/>
        </w:rPr>
        <w:t xml:space="preserve">con la presencia de los jueces Antonio Gagliardo Loor, </w:t>
      </w:r>
      <w:r>
        <w:rPr>
          <w:spacing w:val="-4"/>
          <w:sz w:val="18"/>
          <w:szCs w:val="18"/>
          <w:lang w:val="es-ES_tradnl"/>
        </w:rPr>
        <w:t>Marcelo Jaramillo Villa, Mar</w:t>
      </w:r>
      <w:r>
        <w:rPr>
          <w:rFonts w:cs="Times New Roman"/>
          <w:spacing w:val="-4"/>
          <w:sz w:val="18"/>
          <w:szCs w:val="18"/>
          <w:lang w:val="es-ES_tradnl"/>
        </w:rPr>
        <w:t>í</w:t>
      </w:r>
      <w:r>
        <w:rPr>
          <w:spacing w:val="-4"/>
          <w:sz w:val="18"/>
          <w:szCs w:val="18"/>
          <w:lang w:val="es-ES_tradnl"/>
        </w:rPr>
        <w:t xml:space="preserve">a del Carmen Maldonado </w:t>
      </w:r>
      <w:r>
        <w:rPr>
          <w:spacing w:val="-5"/>
          <w:sz w:val="18"/>
          <w:szCs w:val="18"/>
          <w:lang w:val="es-ES_tradnl"/>
        </w:rPr>
        <w:t>S</w:t>
      </w:r>
      <w:r>
        <w:rPr>
          <w:rFonts w:cs="Times New Roman"/>
          <w:spacing w:val="-5"/>
          <w:sz w:val="18"/>
          <w:szCs w:val="18"/>
          <w:lang w:val="es-ES_tradnl"/>
        </w:rPr>
        <w:t>á</w:t>
      </w:r>
      <w:r>
        <w:rPr>
          <w:spacing w:val="-5"/>
          <w:sz w:val="18"/>
          <w:szCs w:val="18"/>
          <w:lang w:val="es-ES_tradnl"/>
        </w:rPr>
        <w:t>nchez y Manuel Viteri Olvera, en sesi</w:t>
      </w:r>
      <w:r>
        <w:rPr>
          <w:rFonts w:cs="Times New Roman"/>
          <w:spacing w:val="-5"/>
          <w:sz w:val="18"/>
          <w:szCs w:val="18"/>
          <w:lang w:val="es-ES_tradnl"/>
        </w:rPr>
        <w:t>ó</w:t>
      </w:r>
      <w:r>
        <w:rPr>
          <w:spacing w:val="-5"/>
          <w:sz w:val="18"/>
          <w:szCs w:val="18"/>
          <w:lang w:val="es-ES_tradnl"/>
        </w:rPr>
        <w:t xml:space="preserve">n del 02 de </w:t>
      </w:r>
      <w:r>
        <w:rPr>
          <w:sz w:val="18"/>
          <w:szCs w:val="18"/>
          <w:lang w:val="es-ES_tradnl"/>
        </w:rPr>
        <w:t>septiembre del 2015. Lo certifico.</w:t>
      </w:r>
    </w:p>
    <w:p w14:paraId="4F67BADA" w14:textId="77777777" w:rsidR="00591D54" w:rsidRDefault="00591D54">
      <w:pPr>
        <w:shd w:val="clear" w:color="auto" w:fill="FFFFFF"/>
        <w:spacing w:before="192"/>
      </w:pPr>
      <w:r>
        <w:rPr>
          <w:spacing w:val="-4"/>
          <w:sz w:val="18"/>
          <w:szCs w:val="18"/>
          <w:lang w:val="es-ES_tradnl"/>
        </w:rPr>
        <w:t xml:space="preserve">f.) Jaime Pozo Chamorro, </w:t>
      </w:r>
      <w:r>
        <w:rPr>
          <w:b/>
          <w:bCs/>
          <w:spacing w:val="-4"/>
          <w:sz w:val="18"/>
          <w:szCs w:val="18"/>
          <w:lang w:val="es-ES_tradnl"/>
        </w:rPr>
        <w:t>SECRETARIO GENERAL.</w:t>
      </w:r>
    </w:p>
    <w:p w14:paraId="4F67BADB" w14:textId="77777777" w:rsidR="00591D54" w:rsidRDefault="00591D54">
      <w:pPr>
        <w:shd w:val="clear" w:color="auto" w:fill="FFFFFF"/>
        <w:spacing w:before="192"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ADC" w14:textId="77777777" w:rsidR="00591D54" w:rsidRDefault="00591D54">
      <w:pPr>
        <w:shd w:val="clear" w:color="auto" w:fill="FFFFFF"/>
        <w:spacing w:before="192" w:line="216" w:lineRule="exact"/>
        <w:jc w:val="both"/>
        <w:sectPr w:rsidR="00591D54">
          <w:type w:val="continuous"/>
          <w:pgSz w:w="11909" w:h="16834"/>
          <w:pgMar w:top="1371" w:right="1309" w:bottom="360" w:left="1308" w:header="720" w:footer="720" w:gutter="0"/>
          <w:cols w:num="2" w:space="720" w:equalWidth="0">
            <w:col w:w="4305" w:space="682"/>
            <w:col w:w="4305"/>
          </w:cols>
          <w:noEndnote/>
        </w:sectPr>
      </w:pPr>
    </w:p>
    <w:p w14:paraId="4F67BADD" w14:textId="77777777" w:rsidR="00591D54" w:rsidRDefault="00591D54">
      <w:pPr>
        <w:shd w:val="clear" w:color="auto" w:fill="FFFFFF"/>
        <w:tabs>
          <w:tab w:val="left" w:pos="4814"/>
        </w:tabs>
        <w:spacing w:after="221"/>
        <w:ind w:left="5"/>
      </w:pPr>
      <w:r>
        <w:rPr>
          <w:b/>
          <w:bCs/>
          <w:sz w:val="18"/>
          <w:szCs w:val="18"/>
          <w:lang w:val="es-ES_tradnl"/>
        </w:rPr>
        <w:t xml:space="preserve">284 -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ADE" w14:textId="77777777" w:rsidR="00591D54" w:rsidRDefault="00591D54">
      <w:pPr>
        <w:shd w:val="clear" w:color="auto" w:fill="FFFFFF"/>
        <w:tabs>
          <w:tab w:val="left" w:pos="4814"/>
        </w:tabs>
        <w:spacing w:after="221"/>
        <w:ind w:left="5"/>
        <w:sectPr w:rsidR="00591D54">
          <w:pgSz w:w="11909" w:h="16834"/>
          <w:pgMar w:top="1366" w:right="1304" w:bottom="360" w:left="1308" w:header="720" w:footer="720" w:gutter="0"/>
          <w:cols w:space="60"/>
          <w:noEndnote/>
        </w:sectPr>
      </w:pPr>
    </w:p>
    <w:p w14:paraId="4F67BADF" w14:textId="77777777" w:rsidR="00591D54" w:rsidRDefault="00591D54">
      <w:pPr>
        <w:shd w:val="clear" w:color="auto" w:fill="FFFFFF"/>
        <w:spacing w:before="5"/>
      </w:pPr>
      <w:r>
        <w:rPr>
          <w:b/>
          <w:bCs/>
          <w:spacing w:val="-5"/>
          <w:sz w:val="18"/>
          <w:szCs w:val="18"/>
          <w:u w:val="single"/>
          <w:lang w:val="es-ES_tradnl"/>
        </w:rPr>
        <w:t>CASO Nro. 0097-15-EP</w:t>
      </w:r>
    </w:p>
    <w:p w14:paraId="4F67BAE0" w14:textId="77777777" w:rsidR="00591D54" w:rsidRDefault="00591D54">
      <w:pPr>
        <w:shd w:val="clear" w:color="auto" w:fill="FFFFFF"/>
        <w:spacing w:before="192" w:line="216" w:lineRule="exact"/>
        <w:ind w:right="5"/>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w:t>
      </w:r>
      <w:r>
        <w:rPr>
          <w:spacing w:val="-7"/>
          <w:sz w:val="18"/>
          <w:szCs w:val="18"/>
          <w:lang w:val="es-ES_tradnl"/>
        </w:rPr>
        <w:t>suscrita por el Juez Patricio Pazmi</w:t>
      </w:r>
      <w:r>
        <w:rPr>
          <w:rFonts w:cs="Times New Roman"/>
          <w:spacing w:val="-7"/>
          <w:sz w:val="18"/>
          <w:szCs w:val="18"/>
          <w:lang w:val="es-ES_tradnl"/>
        </w:rPr>
        <w:t>ñ</w:t>
      </w:r>
      <w:r>
        <w:rPr>
          <w:spacing w:val="-7"/>
          <w:sz w:val="18"/>
          <w:szCs w:val="18"/>
          <w:lang w:val="es-ES_tradnl"/>
        </w:rPr>
        <w:t>o Freire, Presidente de la Corte Constitucional, el d</w:t>
      </w:r>
      <w:r>
        <w:rPr>
          <w:rFonts w:cs="Times New Roman"/>
          <w:spacing w:val="-7"/>
          <w:sz w:val="18"/>
          <w:szCs w:val="18"/>
          <w:lang w:val="es-ES_tradnl"/>
        </w:rPr>
        <w:t>í</w:t>
      </w:r>
      <w:r>
        <w:rPr>
          <w:spacing w:val="-7"/>
          <w:sz w:val="18"/>
          <w:szCs w:val="18"/>
          <w:lang w:val="es-ES_tradnl"/>
        </w:rPr>
        <w:t xml:space="preserve">a lunes 07 de septiembre del </w:t>
      </w:r>
      <w:r>
        <w:rPr>
          <w:sz w:val="18"/>
          <w:szCs w:val="18"/>
          <w:lang w:val="es-ES_tradnl"/>
        </w:rPr>
        <w:t>dos mil quince.- Lo certifico.</w:t>
      </w:r>
    </w:p>
    <w:p w14:paraId="4F67BAE1" w14:textId="77777777" w:rsidR="00591D54" w:rsidRDefault="00591D54">
      <w:pPr>
        <w:shd w:val="clear" w:color="auto" w:fill="FFFFFF"/>
        <w:spacing w:before="192"/>
      </w:pPr>
      <w:r>
        <w:rPr>
          <w:spacing w:val="-7"/>
          <w:sz w:val="18"/>
          <w:szCs w:val="18"/>
          <w:lang w:val="es-ES_tradnl"/>
        </w:rPr>
        <w:t xml:space="preserve">f.) Jaime Pozo Chamorro, </w:t>
      </w:r>
      <w:r>
        <w:rPr>
          <w:b/>
          <w:bCs/>
          <w:spacing w:val="-7"/>
          <w:sz w:val="18"/>
          <w:szCs w:val="18"/>
          <w:lang w:val="es-ES_tradnl"/>
        </w:rPr>
        <w:t>Secretario General.</w:t>
      </w:r>
    </w:p>
    <w:p w14:paraId="4F67BAE2" w14:textId="77777777" w:rsidR="00591D54" w:rsidRDefault="00591D54">
      <w:pPr>
        <w:shd w:val="clear" w:color="auto" w:fill="FFFFFF"/>
        <w:spacing w:before="192" w:line="216"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AE3" w14:textId="77777777" w:rsidR="00591D54" w:rsidRDefault="00591D54">
      <w:pPr>
        <w:shd w:val="clear" w:color="auto" w:fill="FFFFFF"/>
        <w:spacing w:before="1066" w:line="499" w:lineRule="exact"/>
      </w:pPr>
      <w:r>
        <w:rPr>
          <w:spacing w:val="-6"/>
          <w:sz w:val="18"/>
          <w:szCs w:val="18"/>
          <w:lang w:val="es-ES_tradnl"/>
        </w:rPr>
        <w:t>Quito, D. M., 02 de septiembre del 2015</w:t>
      </w:r>
    </w:p>
    <w:p w14:paraId="4F67BAE4" w14:textId="77777777" w:rsidR="00591D54" w:rsidRDefault="00591D54">
      <w:pPr>
        <w:shd w:val="clear" w:color="auto" w:fill="FFFFFF"/>
        <w:spacing w:line="499" w:lineRule="exact"/>
        <w:ind w:left="850"/>
      </w:pPr>
      <w:r>
        <w:rPr>
          <w:b/>
          <w:bCs/>
          <w:spacing w:val="-3"/>
          <w:sz w:val="18"/>
          <w:szCs w:val="18"/>
          <w:u w:val="single"/>
          <w:lang w:val="es-ES_tradnl"/>
        </w:rPr>
        <w:t>SENTENCIA N.</w:t>
      </w:r>
      <w:r>
        <w:rPr>
          <w:rFonts w:cs="Times New Roman"/>
          <w:b/>
          <w:bCs/>
          <w:spacing w:val="-3"/>
          <w:sz w:val="18"/>
          <w:szCs w:val="18"/>
          <w:u w:val="single"/>
          <w:lang w:val="es-ES_tradnl"/>
        </w:rPr>
        <w:t>º</w:t>
      </w:r>
      <w:r>
        <w:rPr>
          <w:b/>
          <w:bCs/>
          <w:spacing w:val="-3"/>
          <w:sz w:val="18"/>
          <w:szCs w:val="18"/>
          <w:u w:val="single"/>
          <w:lang w:val="es-ES_tradnl"/>
        </w:rPr>
        <w:t xml:space="preserve"> 287-15-SEP-CC</w:t>
      </w:r>
    </w:p>
    <w:p w14:paraId="4F67BAE5" w14:textId="77777777" w:rsidR="00591D54" w:rsidRDefault="00591D54">
      <w:pPr>
        <w:shd w:val="clear" w:color="auto" w:fill="FFFFFF"/>
        <w:spacing w:line="499" w:lineRule="exact"/>
        <w:ind w:left="1296"/>
      </w:pPr>
      <w:r>
        <w:rPr>
          <w:b/>
          <w:bCs/>
          <w:spacing w:val="-6"/>
          <w:sz w:val="18"/>
          <w:szCs w:val="18"/>
          <w:u w:val="single"/>
          <w:lang w:val="es-ES_tradnl"/>
        </w:rPr>
        <w:t>CASO N.</w:t>
      </w:r>
      <w:r>
        <w:rPr>
          <w:rFonts w:cs="Times New Roman"/>
          <w:b/>
          <w:bCs/>
          <w:spacing w:val="-6"/>
          <w:sz w:val="18"/>
          <w:szCs w:val="18"/>
          <w:u w:val="single"/>
          <w:lang w:val="es-ES_tradnl"/>
        </w:rPr>
        <w:t>º</w:t>
      </w:r>
      <w:r>
        <w:rPr>
          <w:b/>
          <w:bCs/>
          <w:spacing w:val="-6"/>
          <w:sz w:val="18"/>
          <w:szCs w:val="18"/>
          <w:u w:val="single"/>
          <w:lang w:val="es-ES_tradnl"/>
        </w:rPr>
        <w:t xml:space="preserve"> 1990-11-EP</w:t>
      </w:r>
    </w:p>
    <w:p w14:paraId="4F67BAE6" w14:textId="77777777" w:rsidR="00591D54" w:rsidRDefault="00591D54">
      <w:pPr>
        <w:shd w:val="clear" w:color="auto" w:fill="FFFFFF"/>
        <w:spacing w:line="499" w:lineRule="exact"/>
        <w:ind w:left="293"/>
      </w:pPr>
      <w:r>
        <w:rPr>
          <w:b/>
          <w:bCs/>
          <w:sz w:val="18"/>
          <w:szCs w:val="18"/>
          <w:lang w:val="es-ES_tradnl"/>
        </w:rPr>
        <w:t>CORTE CONSTITUCIONAL DEL ECUADOR</w:t>
      </w:r>
    </w:p>
    <w:p w14:paraId="4F67BAE7" w14:textId="77777777" w:rsidR="00591D54" w:rsidRDefault="00591D54">
      <w:pPr>
        <w:shd w:val="clear" w:color="auto" w:fill="FFFFFF"/>
        <w:spacing w:line="499" w:lineRule="exact"/>
        <w:ind w:left="1334"/>
      </w:pPr>
      <w:r>
        <w:rPr>
          <w:b/>
          <w:bCs/>
          <w:sz w:val="18"/>
          <w:szCs w:val="18"/>
          <w:lang w:val="es-ES_tradnl"/>
        </w:rPr>
        <w:t>I. ANTECEDENTES</w:t>
      </w:r>
    </w:p>
    <w:p w14:paraId="4F67BAE8" w14:textId="77777777" w:rsidR="00591D54" w:rsidRDefault="00591D54">
      <w:pPr>
        <w:shd w:val="clear" w:color="auto" w:fill="FFFFFF"/>
        <w:spacing w:line="499" w:lineRule="exact"/>
      </w:pPr>
      <w:r>
        <w:rPr>
          <w:b/>
          <w:bCs/>
          <w:spacing w:val="-9"/>
          <w:sz w:val="18"/>
          <w:szCs w:val="18"/>
          <w:lang w:val="es-ES_tradnl"/>
        </w:rPr>
        <w:t>Resumen de admisibilidad</w:t>
      </w:r>
    </w:p>
    <w:p w14:paraId="4F67BAE9" w14:textId="77777777" w:rsidR="00591D54" w:rsidRDefault="00591D54">
      <w:pPr>
        <w:shd w:val="clear" w:color="auto" w:fill="FFFFFF"/>
        <w:spacing w:before="211" w:line="240" w:lineRule="exact"/>
        <w:ind w:right="5"/>
        <w:jc w:val="both"/>
      </w:pPr>
      <w:r>
        <w:rPr>
          <w:spacing w:val="-1"/>
          <w:sz w:val="18"/>
          <w:szCs w:val="18"/>
          <w:lang w:val="es-ES_tradnl"/>
        </w:rPr>
        <w:t>La presente demanda de acci</w:t>
      </w:r>
      <w:r>
        <w:rPr>
          <w:rFonts w:cs="Times New Roman"/>
          <w:spacing w:val="-1"/>
          <w:sz w:val="18"/>
          <w:szCs w:val="18"/>
          <w:lang w:val="es-ES_tradnl"/>
        </w:rPr>
        <w:t>ó</w:t>
      </w:r>
      <w:r>
        <w:rPr>
          <w:spacing w:val="-1"/>
          <w:sz w:val="18"/>
          <w:szCs w:val="18"/>
          <w:lang w:val="es-ES_tradnl"/>
        </w:rPr>
        <w:t xml:space="preserve">n extraordinaria de </w:t>
      </w:r>
      <w:r>
        <w:rPr>
          <w:spacing w:val="-7"/>
          <w:sz w:val="18"/>
          <w:szCs w:val="18"/>
          <w:lang w:val="es-ES_tradnl"/>
        </w:rPr>
        <w:t>protecci</w:t>
      </w:r>
      <w:r>
        <w:rPr>
          <w:rFonts w:cs="Times New Roman"/>
          <w:spacing w:val="-7"/>
          <w:sz w:val="18"/>
          <w:szCs w:val="18"/>
          <w:lang w:val="es-ES_tradnl"/>
        </w:rPr>
        <w:t>ó</w:t>
      </w:r>
      <w:r>
        <w:rPr>
          <w:spacing w:val="-7"/>
          <w:sz w:val="18"/>
          <w:szCs w:val="18"/>
          <w:lang w:val="es-ES_tradnl"/>
        </w:rPr>
        <w:t xml:space="preserve">n fue presentada por el economista Carlos Marx </w:t>
      </w:r>
      <w:r>
        <w:rPr>
          <w:spacing w:val="-9"/>
          <w:sz w:val="18"/>
          <w:szCs w:val="18"/>
          <w:lang w:val="es-ES_tradnl"/>
        </w:rPr>
        <w:t>Carrasco Vicu</w:t>
      </w:r>
      <w:r>
        <w:rPr>
          <w:rFonts w:cs="Times New Roman"/>
          <w:spacing w:val="-9"/>
          <w:sz w:val="18"/>
          <w:szCs w:val="18"/>
          <w:lang w:val="es-ES_tradnl"/>
        </w:rPr>
        <w:t>ñ</w:t>
      </w:r>
      <w:r>
        <w:rPr>
          <w:spacing w:val="-9"/>
          <w:sz w:val="18"/>
          <w:szCs w:val="18"/>
          <w:lang w:val="es-ES_tradnl"/>
        </w:rPr>
        <w:t xml:space="preserve">a, en calidad de director general del Servicio </w:t>
      </w:r>
      <w:r>
        <w:rPr>
          <w:spacing w:val="-7"/>
          <w:sz w:val="18"/>
          <w:szCs w:val="18"/>
          <w:lang w:val="es-ES_tradnl"/>
        </w:rPr>
        <w:t xml:space="preserve">de Rentas Internas, en contra de los autos dictados por el </w:t>
      </w:r>
      <w:r>
        <w:rPr>
          <w:spacing w:val="-5"/>
          <w:sz w:val="18"/>
          <w:szCs w:val="18"/>
          <w:lang w:val="es-ES_tradnl"/>
        </w:rPr>
        <w:t>Juzgado Sexto de Garant</w:t>
      </w:r>
      <w:r>
        <w:rPr>
          <w:rFonts w:cs="Times New Roman"/>
          <w:spacing w:val="-5"/>
          <w:sz w:val="18"/>
          <w:szCs w:val="18"/>
          <w:lang w:val="es-ES_tradnl"/>
        </w:rPr>
        <w:t>í</w:t>
      </w:r>
      <w:r>
        <w:rPr>
          <w:spacing w:val="-5"/>
          <w:sz w:val="18"/>
          <w:szCs w:val="18"/>
          <w:lang w:val="es-ES_tradnl"/>
        </w:rPr>
        <w:t xml:space="preserve">as Penales del Guayas del 04 </w:t>
      </w:r>
      <w:r>
        <w:rPr>
          <w:spacing w:val="-7"/>
          <w:sz w:val="18"/>
          <w:szCs w:val="18"/>
          <w:lang w:val="es-ES_tradnl"/>
        </w:rPr>
        <w:t xml:space="preserve">de agosto de 2011, y 11 de agosto de 2011, dentro de la </w:t>
      </w:r>
      <w:r>
        <w:rPr>
          <w:spacing w:val="-6"/>
          <w:sz w:val="18"/>
          <w:szCs w:val="18"/>
          <w:lang w:val="es-ES_tradnl"/>
        </w:rPr>
        <w:t>indagaci</w:t>
      </w:r>
      <w:r>
        <w:rPr>
          <w:rFonts w:cs="Times New Roman"/>
          <w:spacing w:val="-6"/>
          <w:sz w:val="18"/>
          <w:szCs w:val="18"/>
          <w:lang w:val="es-ES_tradnl"/>
        </w:rPr>
        <w:t>ó</w:t>
      </w:r>
      <w:r>
        <w:rPr>
          <w:spacing w:val="-6"/>
          <w:sz w:val="18"/>
          <w:szCs w:val="18"/>
          <w:lang w:val="es-ES_tradnl"/>
        </w:rPr>
        <w:t>n previa N.</w:t>
      </w:r>
      <w:r>
        <w:rPr>
          <w:rFonts w:cs="Times New Roman"/>
          <w:spacing w:val="-6"/>
          <w:sz w:val="18"/>
          <w:szCs w:val="18"/>
          <w:lang w:val="es-ES_tradnl"/>
        </w:rPr>
        <w:t>°</w:t>
      </w:r>
      <w:r>
        <w:rPr>
          <w:spacing w:val="-6"/>
          <w:sz w:val="18"/>
          <w:szCs w:val="18"/>
          <w:lang w:val="es-ES_tradnl"/>
        </w:rPr>
        <w:t xml:space="preserve"> 088-2011 (10-12-13121).</w:t>
      </w:r>
    </w:p>
    <w:p w14:paraId="4F67BAEA" w14:textId="77777777" w:rsidR="00591D54" w:rsidRDefault="00591D54">
      <w:pPr>
        <w:shd w:val="clear" w:color="auto" w:fill="FFFFFF"/>
        <w:spacing w:before="254" w:line="240" w:lineRule="exact"/>
        <w:jc w:val="both"/>
      </w:pPr>
      <w:r>
        <w:rPr>
          <w:spacing w:val="-9"/>
          <w:sz w:val="18"/>
          <w:szCs w:val="18"/>
          <w:lang w:val="es-ES_tradnl"/>
        </w:rPr>
        <w:t xml:space="preserve">De conformidad con lo establecido en el segundo inciso del </w:t>
      </w:r>
      <w:r>
        <w:rPr>
          <w:spacing w:val="-7"/>
          <w:sz w:val="18"/>
          <w:szCs w:val="18"/>
          <w:lang w:val="es-ES_tradnl"/>
        </w:rPr>
        <w:t>art</w:t>
      </w:r>
      <w:r>
        <w:rPr>
          <w:rFonts w:cs="Times New Roman"/>
          <w:spacing w:val="-7"/>
          <w:sz w:val="18"/>
          <w:szCs w:val="18"/>
          <w:lang w:val="es-ES_tradnl"/>
        </w:rPr>
        <w:t>í</w:t>
      </w:r>
      <w:r>
        <w:rPr>
          <w:spacing w:val="-7"/>
          <w:sz w:val="18"/>
          <w:szCs w:val="18"/>
          <w:lang w:val="es-ES_tradnl"/>
        </w:rPr>
        <w:t>culo 17 del Reglamento de Sustanciaci</w:t>
      </w:r>
      <w:r>
        <w:rPr>
          <w:rFonts w:cs="Times New Roman"/>
          <w:spacing w:val="-7"/>
          <w:sz w:val="18"/>
          <w:szCs w:val="18"/>
          <w:lang w:val="es-ES_tradnl"/>
        </w:rPr>
        <w:t>ó</w:t>
      </w:r>
      <w:r>
        <w:rPr>
          <w:spacing w:val="-7"/>
          <w:sz w:val="18"/>
          <w:szCs w:val="18"/>
          <w:lang w:val="es-ES_tradnl"/>
        </w:rPr>
        <w:t xml:space="preserve">n de Procesos </w:t>
      </w:r>
      <w:r>
        <w:rPr>
          <w:spacing w:val="-6"/>
          <w:sz w:val="18"/>
          <w:szCs w:val="18"/>
          <w:lang w:val="es-ES_tradnl"/>
        </w:rPr>
        <w:t>de Competencia de la Corte Constitucional, el secretario general de la Corte Constitucional, para el per</w:t>
      </w:r>
      <w:r>
        <w:rPr>
          <w:rFonts w:cs="Times New Roman"/>
          <w:spacing w:val="-6"/>
          <w:sz w:val="18"/>
          <w:szCs w:val="18"/>
          <w:lang w:val="es-ES_tradnl"/>
        </w:rPr>
        <w:t>í</w:t>
      </w:r>
      <w:r>
        <w:rPr>
          <w:spacing w:val="-6"/>
          <w:sz w:val="18"/>
          <w:szCs w:val="18"/>
          <w:lang w:val="es-ES_tradnl"/>
        </w:rPr>
        <w:t xml:space="preserve">odo de </w:t>
      </w:r>
      <w:r>
        <w:rPr>
          <w:spacing w:val="-8"/>
          <w:sz w:val="18"/>
          <w:szCs w:val="18"/>
          <w:lang w:val="es-ES_tradnl"/>
        </w:rPr>
        <w:t>transici</w:t>
      </w:r>
      <w:r>
        <w:rPr>
          <w:rFonts w:cs="Times New Roman"/>
          <w:spacing w:val="-8"/>
          <w:sz w:val="18"/>
          <w:szCs w:val="18"/>
          <w:lang w:val="es-ES_tradnl"/>
        </w:rPr>
        <w:t>ó</w:t>
      </w:r>
      <w:r>
        <w:rPr>
          <w:spacing w:val="-8"/>
          <w:sz w:val="18"/>
          <w:szCs w:val="18"/>
          <w:lang w:val="es-ES_tradnl"/>
        </w:rPr>
        <w:t>n, certific</w:t>
      </w:r>
      <w:r>
        <w:rPr>
          <w:rFonts w:cs="Times New Roman"/>
          <w:spacing w:val="-8"/>
          <w:sz w:val="18"/>
          <w:szCs w:val="18"/>
          <w:lang w:val="es-ES_tradnl"/>
        </w:rPr>
        <w:t>ó</w:t>
      </w:r>
      <w:r>
        <w:rPr>
          <w:spacing w:val="-8"/>
          <w:sz w:val="18"/>
          <w:szCs w:val="18"/>
          <w:lang w:val="es-ES_tradnl"/>
        </w:rPr>
        <w:t xml:space="preserve"> que en referencia a la acci</w:t>
      </w:r>
      <w:r>
        <w:rPr>
          <w:rFonts w:cs="Times New Roman"/>
          <w:spacing w:val="-8"/>
          <w:sz w:val="18"/>
          <w:szCs w:val="18"/>
          <w:lang w:val="es-ES_tradnl"/>
        </w:rPr>
        <w:t>ó</w:t>
      </w:r>
      <w:r>
        <w:rPr>
          <w:spacing w:val="-8"/>
          <w:sz w:val="18"/>
          <w:szCs w:val="18"/>
          <w:lang w:val="es-ES_tradnl"/>
        </w:rPr>
        <w:t>n N.</w:t>
      </w:r>
      <w:r>
        <w:rPr>
          <w:rFonts w:cs="Times New Roman"/>
          <w:spacing w:val="-8"/>
          <w:sz w:val="18"/>
          <w:szCs w:val="18"/>
          <w:lang w:val="es-ES_tradnl"/>
        </w:rPr>
        <w:t>°</w:t>
      </w:r>
      <w:r>
        <w:rPr>
          <w:spacing w:val="-8"/>
          <w:sz w:val="18"/>
          <w:szCs w:val="18"/>
          <w:lang w:val="es-ES_tradnl"/>
        </w:rPr>
        <w:t xml:space="preserve"> 1990-</w:t>
      </w:r>
      <w:r>
        <w:rPr>
          <w:spacing w:val="-9"/>
          <w:sz w:val="18"/>
          <w:szCs w:val="18"/>
          <w:lang w:val="es-ES_tradnl"/>
        </w:rPr>
        <w:t xml:space="preserve">11-EP, no se ha presentado otra demanda con identidad de </w:t>
      </w:r>
      <w:r>
        <w:rPr>
          <w:sz w:val="18"/>
          <w:szCs w:val="18"/>
          <w:lang w:val="es-ES_tradnl"/>
        </w:rPr>
        <w:t>objeto y acci</w:t>
      </w:r>
      <w:r>
        <w:rPr>
          <w:rFonts w:cs="Times New Roman"/>
          <w:sz w:val="18"/>
          <w:szCs w:val="18"/>
          <w:lang w:val="es-ES_tradnl"/>
        </w:rPr>
        <w:t>ó</w:t>
      </w:r>
      <w:r>
        <w:rPr>
          <w:sz w:val="18"/>
          <w:szCs w:val="18"/>
          <w:lang w:val="es-ES_tradnl"/>
        </w:rPr>
        <w:t>n.</w:t>
      </w:r>
    </w:p>
    <w:p w14:paraId="4F67BAEB" w14:textId="77777777" w:rsidR="00591D54" w:rsidRDefault="00591D54">
      <w:pPr>
        <w:shd w:val="clear" w:color="auto" w:fill="FFFFFF"/>
        <w:spacing w:before="250" w:line="240" w:lineRule="exact"/>
        <w:jc w:val="both"/>
      </w:pPr>
      <w:r>
        <w:rPr>
          <w:sz w:val="18"/>
          <w:szCs w:val="18"/>
          <w:lang w:val="es-ES_tradnl"/>
        </w:rPr>
        <w:t>La Sala de Admisi</w:t>
      </w:r>
      <w:r>
        <w:rPr>
          <w:rFonts w:cs="Times New Roman"/>
          <w:sz w:val="18"/>
          <w:szCs w:val="18"/>
          <w:lang w:val="es-ES_tradnl"/>
        </w:rPr>
        <w:t>ó</w:t>
      </w:r>
      <w:r>
        <w:rPr>
          <w:sz w:val="18"/>
          <w:szCs w:val="18"/>
          <w:lang w:val="es-ES_tradnl"/>
        </w:rPr>
        <w:t xml:space="preserve">n de la Corte Constitucional, para </w:t>
      </w:r>
      <w:r>
        <w:rPr>
          <w:spacing w:val="-7"/>
          <w:sz w:val="18"/>
          <w:szCs w:val="18"/>
          <w:lang w:val="es-ES_tradnl"/>
        </w:rPr>
        <w:t>el per</w:t>
      </w:r>
      <w:r>
        <w:rPr>
          <w:rFonts w:cs="Times New Roman"/>
          <w:spacing w:val="-7"/>
          <w:sz w:val="18"/>
          <w:szCs w:val="18"/>
          <w:lang w:val="es-ES_tradnl"/>
        </w:rPr>
        <w:t>í</w:t>
      </w:r>
      <w:r>
        <w:rPr>
          <w:spacing w:val="-7"/>
          <w:sz w:val="18"/>
          <w:szCs w:val="18"/>
          <w:lang w:val="es-ES_tradnl"/>
        </w:rPr>
        <w:t>odo de transici</w:t>
      </w:r>
      <w:r>
        <w:rPr>
          <w:rFonts w:cs="Times New Roman"/>
          <w:spacing w:val="-7"/>
          <w:sz w:val="18"/>
          <w:szCs w:val="18"/>
          <w:lang w:val="es-ES_tradnl"/>
        </w:rPr>
        <w:t>ó</w:t>
      </w:r>
      <w:r>
        <w:rPr>
          <w:spacing w:val="-7"/>
          <w:sz w:val="18"/>
          <w:szCs w:val="18"/>
          <w:lang w:val="es-ES_tradnl"/>
        </w:rPr>
        <w:t xml:space="preserve">n, conformada por los jueces </w:t>
      </w:r>
      <w:r>
        <w:rPr>
          <w:spacing w:val="-5"/>
          <w:sz w:val="18"/>
          <w:szCs w:val="18"/>
          <w:lang w:val="es-ES_tradnl"/>
        </w:rPr>
        <w:t xml:space="preserve">constitucionales Ruth Seni Pinoargote, Roberto Bhrunis </w:t>
      </w:r>
      <w:r>
        <w:rPr>
          <w:sz w:val="18"/>
          <w:szCs w:val="18"/>
          <w:lang w:val="es-ES_tradnl"/>
        </w:rPr>
        <w:t xml:space="preserve">Lemarie y Hernando Morales Vinueza, mediante </w:t>
      </w:r>
      <w:r>
        <w:rPr>
          <w:spacing w:val="-7"/>
          <w:sz w:val="18"/>
          <w:szCs w:val="18"/>
          <w:lang w:val="es-ES_tradnl"/>
        </w:rPr>
        <w:t>providencia del 17 de enero de 2012, avoc</w:t>
      </w:r>
      <w:r>
        <w:rPr>
          <w:rFonts w:cs="Times New Roman"/>
          <w:spacing w:val="-7"/>
          <w:sz w:val="18"/>
          <w:szCs w:val="18"/>
          <w:lang w:val="es-ES_tradnl"/>
        </w:rPr>
        <w:t>ó</w:t>
      </w:r>
      <w:r>
        <w:rPr>
          <w:spacing w:val="-7"/>
          <w:sz w:val="18"/>
          <w:szCs w:val="18"/>
          <w:lang w:val="es-ES_tradnl"/>
        </w:rPr>
        <w:t xml:space="preserve"> conocimiento </w:t>
      </w:r>
      <w:r>
        <w:rPr>
          <w:sz w:val="18"/>
          <w:szCs w:val="18"/>
          <w:lang w:val="es-ES_tradnl"/>
        </w:rPr>
        <w:t>de la causa y admiti</w:t>
      </w:r>
      <w:r>
        <w:rPr>
          <w:rFonts w:cs="Times New Roman"/>
          <w:sz w:val="18"/>
          <w:szCs w:val="18"/>
          <w:lang w:val="es-ES_tradnl"/>
        </w:rPr>
        <w:t>ó</w:t>
      </w:r>
      <w:r>
        <w:rPr>
          <w:sz w:val="18"/>
          <w:szCs w:val="18"/>
          <w:lang w:val="es-ES_tradnl"/>
        </w:rPr>
        <w:t xml:space="preserve"> a tr</w:t>
      </w:r>
      <w:r>
        <w:rPr>
          <w:rFonts w:cs="Times New Roman"/>
          <w:sz w:val="18"/>
          <w:szCs w:val="18"/>
          <w:lang w:val="es-ES_tradnl"/>
        </w:rPr>
        <w:t>á</w:t>
      </w:r>
      <w:r>
        <w:rPr>
          <w:sz w:val="18"/>
          <w:szCs w:val="18"/>
          <w:lang w:val="es-ES_tradnl"/>
        </w:rPr>
        <w:t>mite la acci</w:t>
      </w:r>
      <w:r>
        <w:rPr>
          <w:rFonts w:cs="Times New Roman"/>
          <w:sz w:val="18"/>
          <w:szCs w:val="18"/>
          <w:lang w:val="es-ES_tradnl"/>
        </w:rPr>
        <w:t>ó</w:t>
      </w:r>
      <w:r>
        <w:rPr>
          <w:sz w:val="18"/>
          <w:szCs w:val="18"/>
          <w:lang w:val="es-ES_tradnl"/>
        </w:rPr>
        <w:t>n.</w:t>
      </w:r>
    </w:p>
    <w:p w14:paraId="4F67BAEC" w14:textId="77777777" w:rsidR="00591D54" w:rsidRDefault="00591D54">
      <w:pPr>
        <w:shd w:val="clear" w:color="auto" w:fill="FFFFFF"/>
        <w:spacing w:before="254" w:line="240" w:lineRule="exact"/>
        <w:jc w:val="both"/>
      </w:pPr>
      <w:r>
        <w:rPr>
          <w:spacing w:val="-6"/>
          <w:sz w:val="18"/>
          <w:szCs w:val="18"/>
          <w:lang w:val="es-ES_tradnl"/>
        </w:rPr>
        <w:t xml:space="preserve">De conformidad con el sorteo efectuado por el Pleno del </w:t>
      </w:r>
      <w:r>
        <w:rPr>
          <w:spacing w:val="-7"/>
          <w:sz w:val="18"/>
          <w:szCs w:val="18"/>
          <w:lang w:val="es-ES_tradnl"/>
        </w:rPr>
        <w:t>Organismo en sesi</w:t>
      </w:r>
      <w:r>
        <w:rPr>
          <w:rFonts w:cs="Times New Roman"/>
          <w:spacing w:val="-7"/>
          <w:sz w:val="18"/>
          <w:szCs w:val="18"/>
          <w:lang w:val="es-ES_tradnl"/>
        </w:rPr>
        <w:t>ó</w:t>
      </w:r>
      <w:r>
        <w:rPr>
          <w:spacing w:val="-7"/>
          <w:sz w:val="18"/>
          <w:szCs w:val="18"/>
          <w:lang w:val="es-ES_tradnl"/>
        </w:rPr>
        <w:t>n extraordinaria del 28 de febrero de 2011, correspondi</w:t>
      </w:r>
      <w:r>
        <w:rPr>
          <w:rFonts w:cs="Times New Roman"/>
          <w:spacing w:val="-7"/>
          <w:sz w:val="18"/>
          <w:szCs w:val="18"/>
          <w:lang w:val="es-ES_tradnl"/>
        </w:rPr>
        <w:t>ó</w:t>
      </w:r>
      <w:r>
        <w:rPr>
          <w:spacing w:val="-7"/>
          <w:sz w:val="18"/>
          <w:szCs w:val="18"/>
          <w:lang w:val="es-ES_tradnl"/>
        </w:rPr>
        <w:t xml:space="preserve"> al juez constitucional Patricio Pazmi</w:t>
      </w:r>
      <w:r>
        <w:rPr>
          <w:rFonts w:cs="Times New Roman"/>
          <w:spacing w:val="-7"/>
          <w:sz w:val="18"/>
          <w:szCs w:val="18"/>
          <w:lang w:val="es-ES_tradnl"/>
        </w:rPr>
        <w:t>ñ</w:t>
      </w:r>
      <w:r>
        <w:rPr>
          <w:spacing w:val="-7"/>
          <w:sz w:val="18"/>
          <w:szCs w:val="18"/>
          <w:lang w:val="es-ES_tradnl"/>
        </w:rPr>
        <w:t xml:space="preserve">o </w:t>
      </w:r>
      <w:r>
        <w:rPr>
          <w:sz w:val="18"/>
          <w:szCs w:val="18"/>
          <w:lang w:val="es-ES_tradnl"/>
        </w:rPr>
        <w:t>Freire, sustanciar la presente causa.</w:t>
      </w:r>
    </w:p>
    <w:p w14:paraId="4F67BAED" w14:textId="77777777" w:rsidR="00591D54" w:rsidRDefault="00591D54">
      <w:pPr>
        <w:shd w:val="clear" w:color="auto" w:fill="FFFFFF"/>
        <w:spacing w:line="235" w:lineRule="exact"/>
        <w:ind w:right="5"/>
        <w:jc w:val="both"/>
      </w:pPr>
      <w:r>
        <w:br w:type="column"/>
      </w:r>
      <w:r>
        <w:rPr>
          <w:spacing w:val="-8"/>
          <w:sz w:val="18"/>
          <w:szCs w:val="18"/>
          <w:lang w:val="es-ES_tradnl"/>
        </w:rPr>
        <w:t xml:space="preserve">El juez sustanciador, mediante providencia del 29 de mayo </w:t>
      </w:r>
      <w:r>
        <w:rPr>
          <w:spacing w:val="-4"/>
          <w:sz w:val="18"/>
          <w:szCs w:val="18"/>
          <w:lang w:val="es-ES_tradnl"/>
        </w:rPr>
        <w:t>de 2012, avoc</w:t>
      </w:r>
      <w:r>
        <w:rPr>
          <w:rFonts w:cs="Times New Roman"/>
          <w:spacing w:val="-4"/>
          <w:sz w:val="18"/>
          <w:szCs w:val="18"/>
          <w:lang w:val="es-ES_tradnl"/>
        </w:rPr>
        <w:t>ó</w:t>
      </w:r>
      <w:r>
        <w:rPr>
          <w:spacing w:val="-4"/>
          <w:sz w:val="18"/>
          <w:szCs w:val="18"/>
          <w:lang w:val="es-ES_tradnl"/>
        </w:rPr>
        <w:t xml:space="preserve"> conocimiento de la causa y dispuso la </w:t>
      </w:r>
      <w:r>
        <w:rPr>
          <w:spacing w:val="-7"/>
          <w:sz w:val="18"/>
          <w:szCs w:val="18"/>
          <w:lang w:val="es-ES_tradnl"/>
        </w:rPr>
        <w:t>notificaci</w:t>
      </w:r>
      <w:r>
        <w:rPr>
          <w:rFonts w:cs="Times New Roman"/>
          <w:spacing w:val="-7"/>
          <w:sz w:val="18"/>
          <w:szCs w:val="18"/>
          <w:lang w:val="es-ES_tradnl"/>
        </w:rPr>
        <w:t>ó</w:t>
      </w:r>
      <w:r>
        <w:rPr>
          <w:spacing w:val="-7"/>
          <w:sz w:val="18"/>
          <w:szCs w:val="18"/>
          <w:lang w:val="es-ES_tradnl"/>
        </w:rPr>
        <w:t xml:space="preserve">n con el contenido de la demanda y providencia </w:t>
      </w:r>
      <w:r>
        <w:rPr>
          <w:spacing w:val="-10"/>
          <w:sz w:val="18"/>
          <w:szCs w:val="18"/>
          <w:lang w:val="es-ES_tradnl"/>
        </w:rPr>
        <w:t>al juez sexto de garant</w:t>
      </w:r>
      <w:r>
        <w:rPr>
          <w:rFonts w:cs="Times New Roman"/>
          <w:spacing w:val="-10"/>
          <w:sz w:val="18"/>
          <w:szCs w:val="18"/>
          <w:lang w:val="es-ES_tradnl"/>
        </w:rPr>
        <w:t>í</w:t>
      </w:r>
      <w:r>
        <w:rPr>
          <w:spacing w:val="-10"/>
          <w:sz w:val="18"/>
          <w:szCs w:val="18"/>
          <w:lang w:val="es-ES_tradnl"/>
        </w:rPr>
        <w:t>as penales del Guayas; a los se</w:t>
      </w:r>
      <w:r>
        <w:rPr>
          <w:rFonts w:cs="Times New Roman"/>
          <w:spacing w:val="-10"/>
          <w:sz w:val="18"/>
          <w:szCs w:val="18"/>
          <w:lang w:val="es-ES_tradnl"/>
        </w:rPr>
        <w:t>ñ</w:t>
      </w:r>
      <w:r>
        <w:rPr>
          <w:spacing w:val="-10"/>
          <w:sz w:val="18"/>
          <w:szCs w:val="18"/>
          <w:lang w:val="es-ES_tradnl"/>
        </w:rPr>
        <w:t xml:space="preserve">ores </w:t>
      </w:r>
      <w:r>
        <w:rPr>
          <w:spacing w:val="-7"/>
          <w:sz w:val="18"/>
          <w:szCs w:val="18"/>
          <w:lang w:val="es-ES_tradnl"/>
        </w:rPr>
        <w:t>Francisco Eduardo Rend</w:t>
      </w:r>
      <w:r>
        <w:rPr>
          <w:rFonts w:cs="Times New Roman"/>
          <w:spacing w:val="-7"/>
          <w:sz w:val="18"/>
          <w:szCs w:val="18"/>
          <w:lang w:val="es-ES_tradnl"/>
        </w:rPr>
        <w:t>ó</w:t>
      </w:r>
      <w:r>
        <w:rPr>
          <w:spacing w:val="-7"/>
          <w:sz w:val="18"/>
          <w:szCs w:val="18"/>
          <w:lang w:val="es-ES_tradnl"/>
        </w:rPr>
        <w:t>n Pantale</w:t>
      </w:r>
      <w:r>
        <w:rPr>
          <w:rFonts w:cs="Times New Roman"/>
          <w:spacing w:val="-7"/>
          <w:sz w:val="18"/>
          <w:szCs w:val="18"/>
          <w:lang w:val="es-ES_tradnl"/>
        </w:rPr>
        <w:t>ó</w:t>
      </w:r>
      <w:r>
        <w:rPr>
          <w:spacing w:val="-7"/>
          <w:sz w:val="18"/>
          <w:szCs w:val="18"/>
          <w:lang w:val="es-ES_tradnl"/>
        </w:rPr>
        <w:t>n y Ra</w:t>
      </w:r>
      <w:r>
        <w:rPr>
          <w:rFonts w:cs="Times New Roman"/>
          <w:spacing w:val="-7"/>
          <w:sz w:val="18"/>
          <w:szCs w:val="18"/>
          <w:lang w:val="es-ES_tradnl"/>
        </w:rPr>
        <w:t>ú</w:t>
      </w:r>
      <w:r>
        <w:rPr>
          <w:spacing w:val="-7"/>
          <w:sz w:val="18"/>
          <w:szCs w:val="18"/>
          <w:lang w:val="es-ES_tradnl"/>
        </w:rPr>
        <w:t xml:space="preserve">l Fernando </w:t>
      </w:r>
      <w:r>
        <w:rPr>
          <w:spacing w:val="-6"/>
          <w:sz w:val="18"/>
          <w:szCs w:val="18"/>
          <w:lang w:val="es-ES_tradnl"/>
        </w:rPr>
        <w:t xml:space="preserve">Acurio del Pino, en calidad de ex representantes de </w:t>
      </w:r>
      <w:r>
        <w:rPr>
          <w:spacing w:val="-3"/>
          <w:sz w:val="18"/>
          <w:szCs w:val="18"/>
          <w:lang w:val="es-ES_tradnl"/>
        </w:rPr>
        <w:t>ECUAVITAL S. A.; al se</w:t>
      </w:r>
      <w:r>
        <w:rPr>
          <w:rFonts w:cs="Times New Roman"/>
          <w:spacing w:val="-3"/>
          <w:sz w:val="18"/>
          <w:szCs w:val="18"/>
          <w:lang w:val="es-ES_tradnl"/>
        </w:rPr>
        <w:t>ñ</w:t>
      </w:r>
      <w:r>
        <w:rPr>
          <w:spacing w:val="-3"/>
          <w:sz w:val="18"/>
          <w:szCs w:val="18"/>
          <w:lang w:val="es-ES_tradnl"/>
        </w:rPr>
        <w:t xml:space="preserve">or Diego Aveiga del Pino, en </w:t>
      </w:r>
      <w:r>
        <w:rPr>
          <w:spacing w:val="-9"/>
          <w:sz w:val="18"/>
          <w:szCs w:val="18"/>
          <w:lang w:val="es-ES_tradnl"/>
        </w:rPr>
        <w:t>calidad de representante actual de esta compa</w:t>
      </w:r>
      <w:r>
        <w:rPr>
          <w:rFonts w:cs="Times New Roman"/>
          <w:spacing w:val="-9"/>
          <w:sz w:val="18"/>
          <w:szCs w:val="18"/>
          <w:lang w:val="es-ES_tradnl"/>
        </w:rPr>
        <w:t>ñí</w:t>
      </w:r>
      <w:r>
        <w:rPr>
          <w:spacing w:val="-9"/>
          <w:sz w:val="18"/>
          <w:szCs w:val="18"/>
          <w:lang w:val="es-ES_tradnl"/>
        </w:rPr>
        <w:t>a; al se</w:t>
      </w:r>
      <w:r>
        <w:rPr>
          <w:rFonts w:cs="Times New Roman"/>
          <w:spacing w:val="-9"/>
          <w:sz w:val="18"/>
          <w:szCs w:val="18"/>
          <w:lang w:val="es-ES_tradnl"/>
        </w:rPr>
        <w:t>ñ</w:t>
      </w:r>
      <w:r>
        <w:rPr>
          <w:spacing w:val="-9"/>
          <w:sz w:val="18"/>
          <w:szCs w:val="18"/>
          <w:lang w:val="es-ES_tradnl"/>
        </w:rPr>
        <w:t xml:space="preserve">or </w:t>
      </w:r>
      <w:r>
        <w:rPr>
          <w:spacing w:val="-10"/>
          <w:sz w:val="18"/>
          <w:szCs w:val="18"/>
          <w:lang w:val="es-ES_tradnl"/>
        </w:rPr>
        <w:t>Bol</w:t>
      </w:r>
      <w:r>
        <w:rPr>
          <w:rFonts w:cs="Times New Roman"/>
          <w:spacing w:val="-10"/>
          <w:sz w:val="18"/>
          <w:szCs w:val="18"/>
          <w:lang w:val="es-ES_tradnl"/>
        </w:rPr>
        <w:t>í</w:t>
      </w:r>
      <w:r>
        <w:rPr>
          <w:spacing w:val="-10"/>
          <w:sz w:val="18"/>
          <w:szCs w:val="18"/>
          <w:lang w:val="es-ES_tradnl"/>
        </w:rPr>
        <w:t>var Escobar Rodr</w:t>
      </w:r>
      <w:r>
        <w:rPr>
          <w:rFonts w:cs="Times New Roman"/>
          <w:spacing w:val="-10"/>
          <w:sz w:val="18"/>
          <w:szCs w:val="18"/>
          <w:lang w:val="es-ES_tradnl"/>
        </w:rPr>
        <w:t>í</w:t>
      </w:r>
      <w:r>
        <w:rPr>
          <w:spacing w:val="-10"/>
          <w:sz w:val="18"/>
          <w:szCs w:val="18"/>
          <w:lang w:val="es-ES_tradnl"/>
        </w:rPr>
        <w:t xml:space="preserve">guez, en calidad de fiscal segundo de </w:t>
      </w:r>
      <w:r>
        <w:rPr>
          <w:spacing w:val="-8"/>
          <w:sz w:val="18"/>
          <w:szCs w:val="18"/>
          <w:lang w:val="es-ES_tradnl"/>
        </w:rPr>
        <w:t>la Fiscal</w:t>
      </w:r>
      <w:r>
        <w:rPr>
          <w:rFonts w:cs="Times New Roman"/>
          <w:spacing w:val="-8"/>
          <w:sz w:val="18"/>
          <w:szCs w:val="18"/>
          <w:lang w:val="es-ES_tradnl"/>
        </w:rPr>
        <w:t>í</w:t>
      </w:r>
      <w:r>
        <w:rPr>
          <w:spacing w:val="-8"/>
          <w:sz w:val="18"/>
          <w:szCs w:val="18"/>
          <w:lang w:val="es-ES_tradnl"/>
        </w:rPr>
        <w:t>a Especializada en Delitos contra la Fe P</w:t>
      </w:r>
      <w:r>
        <w:rPr>
          <w:rFonts w:cs="Times New Roman"/>
          <w:spacing w:val="-8"/>
          <w:sz w:val="18"/>
          <w:szCs w:val="18"/>
          <w:lang w:val="es-ES_tradnl"/>
        </w:rPr>
        <w:t>ú</w:t>
      </w:r>
      <w:r>
        <w:rPr>
          <w:spacing w:val="-8"/>
          <w:sz w:val="18"/>
          <w:szCs w:val="18"/>
          <w:lang w:val="es-ES_tradnl"/>
        </w:rPr>
        <w:t xml:space="preserve">blica del </w:t>
      </w:r>
      <w:r>
        <w:rPr>
          <w:spacing w:val="-9"/>
          <w:sz w:val="18"/>
          <w:szCs w:val="18"/>
          <w:lang w:val="es-ES_tradnl"/>
        </w:rPr>
        <w:t xml:space="preserve">Guayas, y al procurador general del Estado, a fin de que en </w:t>
      </w:r>
      <w:r>
        <w:rPr>
          <w:spacing w:val="-10"/>
          <w:sz w:val="18"/>
          <w:szCs w:val="18"/>
          <w:lang w:val="es-ES_tradnl"/>
        </w:rPr>
        <w:t>el t</w:t>
      </w:r>
      <w:r>
        <w:rPr>
          <w:rFonts w:cs="Times New Roman"/>
          <w:spacing w:val="-10"/>
          <w:sz w:val="18"/>
          <w:szCs w:val="18"/>
          <w:lang w:val="es-ES_tradnl"/>
        </w:rPr>
        <w:t>é</w:t>
      </w:r>
      <w:r>
        <w:rPr>
          <w:spacing w:val="-10"/>
          <w:sz w:val="18"/>
          <w:szCs w:val="18"/>
          <w:lang w:val="es-ES_tradnl"/>
        </w:rPr>
        <w:t>rmino de quince d</w:t>
      </w:r>
      <w:r>
        <w:rPr>
          <w:rFonts w:cs="Times New Roman"/>
          <w:spacing w:val="-10"/>
          <w:sz w:val="18"/>
          <w:szCs w:val="18"/>
          <w:lang w:val="es-ES_tradnl"/>
        </w:rPr>
        <w:t>í</w:t>
      </w:r>
      <w:r>
        <w:rPr>
          <w:spacing w:val="-10"/>
          <w:sz w:val="18"/>
          <w:szCs w:val="18"/>
          <w:lang w:val="es-ES_tradnl"/>
        </w:rPr>
        <w:t xml:space="preserve">as, presenten un informe de descargo </w:t>
      </w:r>
      <w:r>
        <w:rPr>
          <w:sz w:val="18"/>
          <w:szCs w:val="18"/>
          <w:lang w:val="es-ES_tradnl"/>
        </w:rPr>
        <w:t>sobre los argumentos de la demanda.</w:t>
      </w:r>
    </w:p>
    <w:p w14:paraId="4F67BAEE" w14:textId="77777777" w:rsidR="00591D54" w:rsidRDefault="00591D54">
      <w:pPr>
        <w:shd w:val="clear" w:color="auto" w:fill="FFFFFF"/>
        <w:spacing w:before="250" w:line="235" w:lineRule="exact"/>
        <w:ind w:right="5"/>
        <w:jc w:val="both"/>
      </w:pPr>
      <w:r>
        <w:rPr>
          <w:spacing w:val="-8"/>
          <w:sz w:val="18"/>
          <w:szCs w:val="18"/>
          <w:lang w:val="es-ES_tradnl"/>
        </w:rPr>
        <w:t xml:space="preserve">El 06 de noviembre de 2012 se posesionaron ante el Pleno </w:t>
      </w:r>
      <w:r>
        <w:rPr>
          <w:spacing w:val="-7"/>
          <w:sz w:val="18"/>
          <w:szCs w:val="18"/>
          <w:lang w:val="es-ES_tradnl"/>
        </w:rPr>
        <w:t xml:space="preserve">de la Asamblea Nacional los jueces de la Primera Corte </w:t>
      </w:r>
      <w:r>
        <w:rPr>
          <w:spacing w:val="-6"/>
          <w:sz w:val="18"/>
          <w:szCs w:val="18"/>
          <w:lang w:val="es-ES_tradnl"/>
        </w:rPr>
        <w:t>Constitucional, integrada conforme lo dispuesto en los art</w:t>
      </w:r>
      <w:r>
        <w:rPr>
          <w:rFonts w:cs="Times New Roman"/>
          <w:spacing w:val="-6"/>
          <w:sz w:val="18"/>
          <w:szCs w:val="18"/>
          <w:lang w:val="es-ES_tradnl"/>
        </w:rPr>
        <w:t>í</w:t>
      </w:r>
      <w:r>
        <w:rPr>
          <w:spacing w:val="-6"/>
          <w:sz w:val="18"/>
          <w:szCs w:val="18"/>
          <w:lang w:val="es-ES_tradnl"/>
        </w:rPr>
        <w:t>culos 432 y 434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w:t>
      </w:r>
    </w:p>
    <w:p w14:paraId="4F67BAEF" w14:textId="77777777" w:rsidR="00591D54" w:rsidRDefault="00591D54">
      <w:pPr>
        <w:shd w:val="clear" w:color="auto" w:fill="FFFFFF"/>
        <w:spacing w:before="250" w:line="235" w:lineRule="exact"/>
        <w:ind w:right="5"/>
        <w:jc w:val="both"/>
      </w:pPr>
      <w:r>
        <w:rPr>
          <w:spacing w:val="-4"/>
          <w:sz w:val="18"/>
          <w:szCs w:val="18"/>
          <w:lang w:val="es-ES_tradnl"/>
        </w:rPr>
        <w:t xml:space="preserve">De conformidad con el sorteo efectuado por el Pleno de </w:t>
      </w:r>
      <w:r>
        <w:rPr>
          <w:spacing w:val="-6"/>
          <w:sz w:val="18"/>
          <w:szCs w:val="18"/>
          <w:lang w:val="es-ES_tradnl"/>
        </w:rPr>
        <w:t>la Corte Constitucional, en sesi</w:t>
      </w:r>
      <w:r>
        <w:rPr>
          <w:rFonts w:cs="Times New Roman"/>
          <w:spacing w:val="-6"/>
          <w:sz w:val="18"/>
          <w:szCs w:val="18"/>
          <w:lang w:val="es-ES_tradnl"/>
        </w:rPr>
        <w:t>ó</w:t>
      </w:r>
      <w:r>
        <w:rPr>
          <w:spacing w:val="-6"/>
          <w:sz w:val="18"/>
          <w:szCs w:val="18"/>
          <w:lang w:val="es-ES_tradnl"/>
        </w:rPr>
        <w:t xml:space="preserve">n extraordinaria del 3 de </w:t>
      </w:r>
      <w:r>
        <w:rPr>
          <w:spacing w:val="-9"/>
          <w:sz w:val="18"/>
          <w:szCs w:val="18"/>
          <w:lang w:val="es-ES_tradnl"/>
        </w:rPr>
        <w:t>enero de 2013, correspondi</w:t>
      </w:r>
      <w:r>
        <w:rPr>
          <w:rFonts w:cs="Times New Roman"/>
          <w:spacing w:val="-9"/>
          <w:sz w:val="18"/>
          <w:szCs w:val="18"/>
          <w:lang w:val="es-ES_tradnl"/>
        </w:rPr>
        <w:t>ó</w:t>
      </w:r>
      <w:r>
        <w:rPr>
          <w:spacing w:val="-9"/>
          <w:sz w:val="18"/>
          <w:szCs w:val="18"/>
          <w:lang w:val="es-ES_tradnl"/>
        </w:rPr>
        <w:t xml:space="preserve"> a la jueza constitucional Mar</w:t>
      </w:r>
      <w:r>
        <w:rPr>
          <w:rFonts w:cs="Times New Roman"/>
          <w:spacing w:val="-9"/>
          <w:sz w:val="18"/>
          <w:szCs w:val="18"/>
          <w:lang w:val="es-ES_tradnl"/>
        </w:rPr>
        <w:t>í</w:t>
      </w:r>
      <w:r>
        <w:rPr>
          <w:spacing w:val="-9"/>
          <w:sz w:val="18"/>
          <w:szCs w:val="18"/>
          <w:lang w:val="es-ES_tradnl"/>
        </w:rPr>
        <w:t xml:space="preserve">a </w:t>
      </w:r>
      <w:r>
        <w:rPr>
          <w:spacing w:val="-8"/>
          <w:sz w:val="18"/>
          <w:szCs w:val="18"/>
          <w:lang w:val="es-ES_tradnl"/>
        </w:rPr>
        <w:t>del Carmen Maldonado S</w:t>
      </w:r>
      <w:r>
        <w:rPr>
          <w:rFonts w:cs="Times New Roman"/>
          <w:spacing w:val="-8"/>
          <w:sz w:val="18"/>
          <w:szCs w:val="18"/>
          <w:lang w:val="es-ES_tradnl"/>
        </w:rPr>
        <w:t>á</w:t>
      </w:r>
      <w:r>
        <w:rPr>
          <w:spacing w:val="-8"/>
          <w:sz w:val="18"/>
          <w:szCs w:val="18"/>
          <w:lang w:val="es-ES_tradnl"/>
        </w:rPr>
        <w:t xml:space="preserve">nchez, sustanciar la presente </w:t>
      </w:r>
      <w:r>
        <w:rPr>
          <w:sz w:val="18"/>
          <w:szCs w:val="18"/>
          <w:lang w:val="es-ES_tradnl"/>
        </w:rPr>
        <w:t>causa.</w:t>
      </w:r>
    </w:p>
    <w:p w14:paraId="4F67BAF0" w14:textId="77777777" w:rsidR="00591D54" w:rsidRDefault="00591D54">
      <w:pPr>
        <w:shd w:val="clear" w:color="auto" w:fill="FFFFFF"/>
        <w:spacing w:before="250" w:line="235" w:lineRule="exact"/>
        <w:ind w:right="5"/>
        <w:jc w:val="both"/>
      </w:pPr>
      <w:r>
        <w:rPr>
          <w:spacing w:val="-6"/>
          <w:sz w:val="18"/>
          <w:szCs w:val="18"/>
          <w:lang w:val="es-ES_tradnl"/>
        </w:rPr>
        <w:t xml:space="preserve">La jueza sustanciadora, mediante providencia del 12 de </w:t>
      </w:r>
      <w:r>
        <w:rPr>
          <w:spacing w:val="-7"/>
          <w:sz w:val="18"/>
          <w:szCs w:val="18"/>
          <w:lang w:val="es-ES_tradnl"/>
        </w:rPr>
        <w:t>junio de 2015, avoc</w:t>
      </w:r>
      <w:r>
        <w:rPr>
          <w:rFonts w:cs="Times New Roman"/>
          <w:spacing w:val="-7"/>
          <w:sz w:val="18"/>
          <w:szCs w:val="18"/>
          <w:lang w:val="es-ES_tradnl"/>
        </w:rPr>
        <w:t>ó</w:t>
      </w:r>
      <w:r>
        <w:rPr>
          <w:spacing w:val="-7"/>
          <w:sz w:val="18"/>
          <w:szCs w:val="18"/>
          <w:lang w:val="es-ES_tradnl"/>
        </w:rPr>
        <w:t xml:space="preserve"> conocimiento de la causa.</w:t>
      </w:r>
    </w:p>
    <w:p w14:paraId="4F67BAF1" w14:textId="77777777" w:rsidR="00591D54" w:rsidRDefault="00591D54">
      <w:pPr>
        <w:shd w:val="clear" w:color="auto" w:fill="FFFFFF"/>
        <w:spacing w:before="254"/>
      </w:pPr>
      <w:r>
        <w:rPr>
          <w:b/>
          <w:bCs/>
          <w:spacing w:val="-10"/>
          <w:sz w:val="18"/>
          <w:szCs w:val="18"/>
          <w:lang w:val="es-ES_tradnl"/>
        </w:rPr>
        <w:t>Breve descripci</w:t>
      </w:r>
      <w:r>
        <w:rPr>
          <w:rFonts w:cs="Times New Roman"/>
          <w:b/>
          <w:bCs/>
          <w:spacing w:val="-10"/>
          <w:sz w:val="18"/>
          <w:szCs w:val="18"/>
          <w:lang w:val="es-ES_tradnl"/>
        </w:rPr>
        <w:t>ó</w:t>
      </w:r>
      <w:r>
        <w:rPr>
          <w:b/>
          <w:bCs/>
          <w:spacing w:val="-10"/>
          <w:sz w:val="18"/>
          <w:szCs w:val="18"/>
          <w:lang w:val="es-ES_tradnl"/>
        </w:rPr>
        <w:t>n del caso y detalle de la demanda</w:t>
      </w:r>
    </w:p>
    <w:p w14:paraId="4F67BAF2" w14:textId="77777777" w:rsidR="00591D54" w:rsidRDefault="00591D54">
      <w:pPr>
        <w:shd w:val="clear" w:color="auto" w:fill="FFFFFF"/>
        <w:spacing w:before="250" w:line="235" w:lineRule="exact"/>
        <w:ind w:right="5"/>
        <w:jc w:val="both"/>
      </w:pPr>
      <w:r>
        <w:rPr>
          <w:spacing w:val="-4"/>
          <w:sz w:val="18"/>
          <w:szCs w:val="18"/>
          <w:lang w:val="es-ES_tradnl"/>
        </w:rPr>
        <w:t>El economista Carlos Marx Carrasco Vicu</w:t>
      </w:r>
      <w:r>
        <w:rPr>
          <w:rFonts w:cs="Times New Roman"/>
          <w:spacing w:val="-4"/>
          <w:sz w:val="18"/>
          <w:szCs w:val="18"/>
          <w:lang w:val="es-ES_tradnl"/>
        </w:rPr>
        <w:t>ñ</w:t>
      </w:r>
      <w:r>
        <w:rPr>
          <w:spacing w:val="-4"/>
          <w:sz w:val="18"/>
          <w:szCs w:val="18"/>
          <w:lang w:val="es-ES_tradnl"/>
        </w:rPr>
        <w:t xml:space="preserve">a, en ese </w:t>
      </w:r>
      <w:r>
        <w:rPr>
          <w:spacing w:val="-6"/>
          <w:sz w:val="18"/>
          <w:szCs w:val="18"/>
          <w:lang w:val="es-ES_tradnl"/>
        </w:rPr>
        <w:t xml:space="preserve">entonces en calidad de director general del Servicio de </w:t>
      </w:r>
      <w:r>
        <w:rPr>
          <w:spacing w:val="-7"/>
          <w:sz w:val="18"/>
          <w:szCs w:val="18"/>
          <w:lang w:val="es-ES_tradnl"/>
        </w:rPr>
        <w:t>Rentas Internas, present</w:t>
      </w:r>
      <w:r>
        <w:rPr>
          <w:rFonts w:cs="Times New Roman"/>
          <w:spacing w:val="-7"/>
          <w:sz w:val="18"/>
          <w:szCs w:val="18"/>
          <w:lang w:val="es-ES_tradnl"/>
        </w:rPr>
        <w:t>ó</w:t>
      </w:r>
      <w:r>
        <w:rPr>
          <w:spacing w:val="-7"/>
          <w:sz w:val="18"/>
          <w:szCs w:val="18"/>
          <w:lang w:val="es-ES_tradnl"/>
        </w:rPr>
        <w:t xml:space="preserve"> una acci</w:t>
      </w:r>
      <w:r>
        <w:rPr>
          <w:rFonts w:cs="Times New Roman"/>
          <w:spacing w:val="-7"/>
          <w:sz w:val="18"/>
          <w:szCs w:val="18"/>
          <w:lang w:val="es-ES_tradnl"/>
        </w:rPr>
        <w:t>ó</w:t>
      </w:r>
      <w:r>
        <w:rPr>
          <w:spacing w:val="-7"/>
          <w:sz w:val="18"/>
          <w:szCs w:val="18"/>
          <w:lang w:val="es-ES_tradnl"/>
        </w:rPr>
        <w:t>n extraordinaria de protecci</w:t>
      </w:r>
      <w:r>
        <w:rPr>
          <w:rFonts w:cs="Times New Roman"/>
          <w:spacing w:val="-7"/>
          <w:sz w:val="18"/>
          <w:szCs w:val="18"/>
          <w:lang w:val="es-ES_tradnl"/>
        </w:rPr>
        <w:t>ó</w:t>
      </w:r>
      <w:r>
        <w:rPr>
          <w:spacing w:val="-7"/>
          <w:sz w:val="18"/>
          <w:szCs w:val="18"/>
          <w:lang w:val="es-ES_tradnl"/>
        </w:rPr>
        <w:t>n en contra del auto del 04 de agosto de 2011, a trav</w:t>
      </w:r>
      <w:r>
        <w:rPr>
          <w:rFonts w:cs="Times New Roman"/>
          <w:spacing w:val="-7"/>
          <w:sz w:val="18"/>
          <w:szCs w:val="18"/>
          <w:lang w:val="es-ES_tradnl"/>
        </w:rPr>
        <w:t>é</w:t>
      </w:r>
      <w:r>
        <w:rPr>
          <w:spacing w:val="-7"/>
          <w:sz w:val="18"/>
          <w:szCs w:val="18"/>
          <w:lang w:val="es-ES_tradnl"/>
        </w:rPr>
        <w:t>s del cual se orden</w:t>
      </w:r>
      <w:r>
        <w:rPr>
          <w:rFonts w:cs="Times New Roman"/>
          <w:spacing w:val="-7"/>
          <w:sz w:val="18"/>
          <w:szCs w:val="18"/>
          <w:lang w:val="es-ES_tradnl"/>
        </w:rPr>
        <w:t>ó</w:t>
      </w:r>
      <w:r>
        <w:rPr>
          <w:spacing w:val="-7"/>
          <w:sz w:val="18"/>
          <w:szCs w:val="18"/>
          <w:lang w:val="es-ES_tradnl"/>
        </w:rPr>
        <w:t xml:space="preserve"> el archivo del procedimiento, as</w:t>
      </w:r>
      <w:r>
        <w:rPr>
          <w:rFonts w:cs="Times New Roman"/>
          <w:spacing w:val="-7"/>
          <w:sz w:val="18"/>
          <w:szCs w:val="18"/>
          <w:lang w:val="es-ES_tradnl"/>
        </w:rPr>
        <w:t xml:space="preserve">í </w:t>
      </w:r>
      <w:r>
        <w:rPr>
          <w:spacing w:val="-7"/>
          <w:sz w:val="18"/>
          <w:szCs w:val="18"/>
          <w:lang w:val="es-ES_tradnl"/>
        </w:rPr>
        <w:t>como del auto del 11 de agosto de 2011, a trav</w:t>
      </w:r>
      <w:r>
        <w:rPr>
          <w:rFonts w:cs="Times New Roman"/>
          <w:spacing w:val="-7"/>
          <w:sz w:val="18"/>
          <w:szCs w:val="18"/>
          <w:lang w:val="es-ES_tradnl"/>
        </w:rPr>
        <w:t>é</w:t>
      </w:r>
      <w:r>
        <w:rPr>
          <w:spacing w:val="-7"/>
          <w:sz w:val="18"/>
          <w:szCs w:val="18"/>
          <w:lang w:val="es-ES_tradnl"/>
        </w:rPr>
        <w:t xml:space="preserve">s del cual </w:t>
      </w:r>
      <w:r>
        <w:rPr>
          <w:spacing w:val="-6"/>
          <w:sz w:val="18"/>
          <w:szCs w:val="18"/>
          <w:lang w:val="es-ES_tradnl"/>
        </w:rPr>
        <w:t>se neg</w:t>
      </w:r>
      <w:r>
        <w:rPr>
          <w:rFonts w:cs="Times New Roman"/>
          <w:spacing w:val="-6"/>
          <w:sz w:val="18"/>
          <w:szCs w:val="18"/>
          <w:lang w:val="es-ES_tradnl"/>
        </w:rPr>
        <w:t>ó</w:t>
      </w:r>
      <w:r>
        <w:rPr>
          <w:spacing w:val="-6"/>
          <w:sz w:val="18"/>
          <w:szCs w:val="18"/>
          <w:lang w:val="es-ES_tradnl"/>
        </w:rPr>
        <w:t xml:space="preserve"> el pedido de revocatoria del primer auto citado, </w:t>
      </w:r>
      <w:r>
        <w:rPr>
          <w:spacing w:val="-9"/>
          <w:sz w:val="18"/>
          <w:szCs w:val="18"/>
          <w:lang w:val="es-ES_tradnl"/>
        </w:rPr>
        <w:t>dictado por el juez sexto de Garant</w:t>
      </w:r>
      <w:r>
        <w:rPr>
          <w:rFonts w:cs="Times New Roman"/>
          <w:spacing w:val="-9"/>
          <w:sz w:val="18"/>
          <w:szCs w:val="18"/>
          <w:lang w:val="es-ES_tradnl"/>
        </w:rPr>
        <w:t>í</w:t>
      </w:r>
      <w:r>
        <w:rPr>
          <w:spacing w:val="-9"/>
          <w:sz w:val="18"/>
          <w:szCs w:val="18"/>
          <w:lang w:val="es-ES_tradnl"/>
        </w:rPr>
        <w:t xml:space="preserve">as Penales del Guayas, </w:t>
      </w:r>
      <w:r>
        <w:rPr>
          <w:spacing w:val="-8"/>
          <w:sz w:val="18"/>
          <w:szCs w:val="18"/>
          <w:lang w:val="es-ES_tradnl"/>
        </w:rPr>
        <w:t>dentro del proceso de indagaci</w:t>
      </w:r>
      <w:r>
        <w:rPr>
          <w:rFonts w:cs="Times New Roman"/>
          <w:spacing w:val="-8"/>
          <w:sz w:val="18"/>
          <w:szCs w:val="18"/>
          <w:lang w:val="es-ES_tradnl"/>
        </w:rPr>
        <w:t>ó</w:t>
      </w:r>
      <w:r>
        <w:rPr>
          <w:spacing w:val="-8"/>
          <w:sz w:val="18"/>
          <w:szCs w:val="18"/>
          <w:lang w:val="es-ES_tradnl"/>
        </w:rPr>
        <w:t>n previa N.</w:t>
      </w:r>
      <w:r>
        <w:rPr>
          <w:rFonts w:cs="Times New Roman"/>
          <w:spacing w:val="-8"/>
          <w:sz w:val="18"/>
          <w:szCs w:val="18"/>
          <w:lang w:val="es-ES_tradnl"/>
        </w:rPr>
        <w:t>°</w:t>
      </w:r>
      <w:r>
        <w:rPr>
          <w:spacing w:val="-8"/>
          <w:sz w:val="18"/>
          <w:szCs w:val="18"/>
          <w:lang w:val="es-ES_tradnl"/>
        </w:rPr>
        <w:t xml:space="preserve"> 088-2011 (10-</w:t>
      </w:r>
      <w:r>
        <w:rPr>
          <w:sz w:val="18"/>
          <w:szCs w:val="18"/>
          <w:lang w:val="es-ES_tradnl"/>
        </w:rPr>
        <w:t>12-13121).</w:t>
      </w:r>
    </w:p>
    <w:p w14:paraId="4F67BAF3" w14:textId="77777777" w:rsidR="00591D54" w:rsidRDefault="00591D54">
      <w:pPr>
        <w:shd w:val="clear" w:color="auto" w:fill="FFFFFF"/>
        <w:spacing w:before="250" w:line="235" w:lineRule="exact"/>
        <w:jc w:val="both"/>
      </w:pPr>
      <w:r>
        <w:rPr>
          <w:spacing w:val="-5"/>
          <w:sz w:val="18"/>
          <w:szCs w:val="18"/>
          <w:lang w:val="es-ES_tradnl"/>
        </w:rPr>
        <w:t xml:space="preserve">Mediante informe efectuado por el Servicio de Rentas </w:t>
      </w:r>
      <w:r>
        <w:rPr>
          <w:spacing w:val="-6"/>
          <w:sz w:val="18"/>
          <w:szCs w:val="18"/>
          <w:lang w:val="es-ES_tradnl"/>
        </w:rPr>
        <w:t>Internas del 12 de noviembre de 2009, se inici</w:t>
      </w:r>
      <w:r>
        <w:rPr>
          <w:rFonts w:cs="Times New Roman"/>
          <w:spacing w:val="-6"/>
          <w:sz w:val="18"/>
          <w:szCs w:val="18"/>
          <w:lang w:val="es-ES_tradnl"/>
        </w:rPr>
        <w:t>ó</w:t>
      </w:r>
      <w:r>
        <w:rPr>
          <w:spacing w:val="-6"/>
          <w:sz w:val="18"/>
          <w:szCs w:val="18"/>
          <w:lang w:val="es-ES_tradnl"/>
        </w:rPr>
        <w:t xml:space="preserve"> el control de las obligaciones tributarias a la compa</w:t>
      </w:r>
      <w:r>
        <w:rPr>
          <w:rFonts w:cs="Times New Roman"/>
          <w:spacing w:val="-6"/>
          <w:sz w:val="18"/>
          <w:szCs w:val="18"/>
          <w:lang w:val="es-ES_tradnl"/>
        </w:rPr>
        <w:t>ñí</w:t>
      </w:r>
      <w:r>
        <w:rPr>
          <w:spacing w:val="-6"/>
          <w:sz w:val="18"/>
          <w:szCs w:val="18"/>
          <w:lang w:val="es-ES_tradnl"/>
        </w:rPr>
        <w:t xml:space="preserve">a ECUAVITAL </w:t>
      </w:r>
      <w:r>
        <w:rPr>
          <w:spacing w:val="-3"/>
          <w:sz w:val="18"/>
          <w:szCs w:val="18"/>
          <w:lang w:val="es-ES_tradnl"/>
        </w:rPr>
        <w:t>S. A., correspondiente al impuesto a la renta por el a</w:t>
      </w:r>
      <w:r>
        <w:rPr>
          <w:rFonts w:cs="Times New Roman"/>
          <w:spacing w:val="-3"/>
          <w:sz w:val="18"/>
          <w:szCs w:val="18"/>
          <w:lang w:val="es-ES_tradnl"/>
        </w:rPr>
        <w:t>ñ</w:t>
      </w:r>
      <w:r>
        <w:rPr>
          <w:spacing w:val="-3"/>
          <w:sz w:val="18"/>
          <w:szCs w:val="18"/>
          <w:lang w:val="es-ES_tradnl"/>
        </w:rPr>
        <w:t xml:space="preserve">o </w:t>
      </w:r>
      <w:r>
        <w:rPr>
          <w:spacing w:val="-7"/>
          <w:sz w:val="18"/>
          <w:szCs w:val="18"/>
          <w:lang w:val="es-ES_tradnl"/>
        </w:rPr>
        <w:t>fiscal 2005, siendo los responsables tributarios el se</w:t>
      </w:r>
      <w:r>
        <w:rPr>
          <w:rFonts w:cs="Times New Roman"/>
          <w:spacing w:val="-7"/>
          <w:sz w:val="18"/>
          <w:szCs w:val="18"/>
          <w:lang w:val="es-ES_tradnl"/>
        </w:rPr>
        <w:t>ñ</w:t>
      </w:r>
      <w:r>
        <w:rPr>
          <w:spacing w:val="-7"/>
          <w:sz w:val="18"/>
          <w:szCs w:val="18"/>
          <w:lang w:val="es-ES_tradnl"/>
        </w:rPr>
        <w:t xml:space="preserve">or </w:t>
      </w:r>
      <w:r>
        <w:rPr>
          <w:spacing w:val="-10"/>
          <w:sz w:val="18"/>
          <w:szCs w:val="18"/>
          <w:lang w:val="es-ES_tradnl"/>
        </w:rPr>
        <w:t>Francisco Rend</w:t>
      </w:r>
      <w:r>
        <w:rPr>
          <w:rFonts w:cs="Times New Roman"/>
          <w:spacing w:val="-10"/>
          <w:sz w:val="18"/>
          <w:szCs w:val="18"/>
          <w:lang w:val="es-ES_tradnl"/>
        </w:rPr>
        <w:t>ó</w:t>
      </w:r>
      <w:r>
        <w:rPr>
          <w:spacing w:val="-10"/>
          <w:sz w:val="18"/>
          <w:szCs w:val="18"/>
          <w:lang w:val="es-ES_tradnl"/>
        </w:rPr>
        <w:t>n Pantale</w:t>
      </w:r>
      <w:r>
        <w:rPr>
          <w:rFonts w:cs="Times New Roman"/>
          <w:spacing w:val="-10"/>
          <w:sz w:val="18"/>
          <w:szCs w:val="18"/>
          <w:lang w:val="es-ES_tradnl"/>
        </w:rPr>
        <w:t>ó</w:t>
      </w:r>
      <w:r>
        <w:rPr>
          <w:spacing w:val="-10"/>
          <w:sz w:val="18"/>
          <w:szCs w:val="18"/>
          <w:lang w:val="es-ES_tradnl"/>
        </w:rPr>
        <w:t xml:space="preserve">n, en calidad de gerente general, </w:t>
      </w:r>
      <w:r>
        <w:rPr>
          <w:spacing w:val="-4"/>
          <w:sz w:val="18"/>
          <w:szCs w:val="18"/>
          <w:lang w:val="es-ES_tradnl"/>
        </w:rPr>
        <w:t>y el se</w:t>
      </w:r>
      <w:r>
        <w:rPr>
          <w:rFonts w:cs="Times New Roman"/>
          <w:spacing w:val="-4"/>
          <w:sz w:val="18"/>
          <w:szCs w:val="18"/>
          <w:lang w:val="es-ES_tradnl"/>
        </w:rPr>
        <w:t>ñ</w:t>
      </w:r>
      <w:r>
        <w:rPr>
          <w:spacing w:val="-4"/>
          <w:sz w:val="18"/>
          <w:szCs w:val="18"/>
          <w:lang w:val="es-ES_tradnl"/>
        </w:rPr>
        <w:t>or Ra</w:t>
      </w:r>
      <w:r>
        <w:rPr>
          <w:rFonts w:cs="Times New Roman"/>
          <w:spacing w:val="-4"/>
          <w:sz w:val="18"/>
          <w:szCs w:val="18"/>
          <w:lang w:val="es-ES_tradnl"/>
        </w:rPr>
        <w:t>ú</w:t>
      </w:r>
      <w:r>
        <w:rPr>
          <w:spacing w:val="-4"/>
          <w:sz w:val="18"/>
          <w:szCs w:val="18"/>
          <w:lang w:val="es-ES_tradnl"/>
        </w:rPr>
        <w:t xml:space="preserve">l Acurio del Pino, en calidad de contador. </w:t>
      </w:r>
      <w:r>
        <w:rPr>
          <w:spacing w:val="-5"/>
          <w:sz w:val="18"/>
          <w:szCs w:val="18"/>
          <w:lang w:val="es-ES_tradnl"/>
        </w:rPr>
        <w:t>En ese sentido, el Servicio de Rentas Internas notific</w:t>
      </w:r>
      <w:r>
        <w:rPr>
          <w:rFonts w:cs="Times New Roman"/>
          <w:spacing w:val="-5"/>
          <w:sz w:val="18"/>
          <w:szCs w:val="18"/>
          <w:lang w:val="es-ES_tradnl"/>
        </w:rPr>
        <w:t>ó</w:t>
      </w:r>
      <w:r>
        <w:rPr>
          <w:spacing w:val="-5"/>
          <w:sz w:val="18"/>
          <w:szCs w:val="18"/>
          <w:lang w:val="es-ES_tradnl"/>
        </w:rPr>
        <w:t xml:space="preserve"> a </w:t>
      </w:r>
      <w:r>
        <w:rPr>
          <w:spacing w:val="-1"/>
          <w:sz w:val="18"/>
          <w:szCs w:val="18"/>
          <w:lang w:val="es-ES_tradnl"/>
        </w:rPr>
        <w:t>la compa</w:t>
      </w:r>
      <w:r>
        <w:rPr>
          <w:rFonts w:cs="Times New Roman"/>
          <w:spacing w:val="-1"/>
          <w:sz w:val="18"/>
          <w:szCs w:val="18"/>
          <w:lang w:val="es-ES_tradnl"/>
        </w:rPr>
        <w:t>ñí</w:t>
      </w:r>
      <w:r>
        <w:rPr>
          <w:spacing w:val="-1"/>
          <w:sz w:val="18"/>
          <w:szCs w:val="18"/>
          <w:lang w:val="es-ES_tradnl"/>
        </w:rPr>
        <w:t xml:space="preserve">a ECUAVITAL S. A., sobre requerimientos </w:t>
      </w:r>
      <w:r>
        <w:rPr>
          <w:spacing w:val="-5"/>
          <w:sz w:val="18"/>
          <w:szCs w:val="18"/>
          <w:lang w:val="es-ES_tradnl"/>
        </w:rPr>
        <w:t>de informaci</w:t>
      </w:r>
      <w:r>
        <w:rPr>
          <w:rFonts w:cs="Times New Roman"/>
          <w:spacing w:val="-5"/>
          <w:sz w:val="18"/>
          <w:szCs w:val="18"/>
          <w:lang w:val="es-ES_tradnl"/>
        </w:rPr>
        <w:t>ó</w:t>
      </w:r>
      <w:r>
        <w:rPr>
          <w:spacing w:val="-5"/>
          <w:sz w:val="18"/>
          <w:szCs w:val="18"/>
          <w:lang w:val="es-ES_tradnl"/>
        </w:rPr>
        <w:t xml:space="preserve">n y su comparecencia, con la finalidad de </w:t>
      </w:r>
      <w:r>
        <w:rPr>
          <w:spacing w:val="-7"/>
          <w:sz w:val="18"/>
          <w:szCs w:val="18"/>
          <w:lang w:val="es-ES_tradnl"/>
        </w:rPr>
        <w:t>practicar un eficaz control de las obligaciones tributarias.</w:t>
      </w:r>
    </w:p>
    <w:p w14:paraId="4F67BAF4" w14:textId="77777777" w:rsidR="00591D54" w:rsidRDefault="00591D54">
      <w:pPr>
        <w:shd w:val="clear" w:color="auto" w:fill="FFFFFF"/>
        <w:spacing w:before="250" w:line="235" w:lineRule="exact"/>
        <w:ind w:right="5"/>
        <w:jc w:val="both"/>
      </w:pPr>
      <w:r>
        <w:rPr>
          <w:spacing w:val="-3"/>
          <w:sz w:val="18"/>
          <w:szCs w:val="18"/>
          <w:lang w:val="es-ES_tradnl"/>
        </w:rPr>
        <w:t>De la informaci</w:t>
      </w:r>
      <w:r>
        <w:rPr>
          <w:rFonts w:cs="Times New Roman"/>
          <w:spacing w:val="-3"/>
          <w:sz w:val="18"/>
          <w:szCs w:val="18"/>
          <w:lang w:val="es-ES_tradnl"/>
        </w:rPr>
        <w:t>ó</w:t>
      </w:r>
      <w:r>
        <w:rPr>
          <w:spacing w:val="-3"/>
          <w:sz w:val="18"/>
          <w:szCs w:val="18"/>
          <w:lang w:val="es-ES_tradnl"/>
        </w:rPr>
        <w:t>n presentada por esta compa</w:t>
      </w:r>
      <w:r>
        <w:rPr>
          <w:rFonts w:cs="Times New Roman"/>
          <w:spacing w:val="-3"/>
          <w:sz w:val="18"/>
          <w:szCs w:val="18"/>
          <w:lang w:val="es-ES_tradnl"/>
        </w:rPr>
        <w:t>ñí</w:t>
      </w:r>
      <w:r>
        <w:rPr>
          <w:spacing w:val="-3"/>
          <w:sz w:val="18"/>
          <w:szCs w:val="18"/>
          <w:lang w:val="es-ES_tradnl"/>
        </w:rPr>
        <w:t xml:space="preserve">a, la </w:t>
      </w:r>
      <w:r>
        <w:rPr>
          <w:spacing w:val="-6"/>
          <w:sz w:val="18"/>
          <w:szCs w:val="18"/>
          <w:lang w:val="es-ES_tradnl"/>
        </w:rPr>
        <w:t>autoridad tributaria nacional observ</w:t>
      </w:r>
      <w:r>
        <w:rPr>
          <w:rFonts w:cs="Times New Roman"/>
          <w:spacing w:val="-6"/>
          <w:sz w:val="18"/>
          <w:szCs w:val="18"/>
          <w:lang w:val="es-ES_tradnl"/>
        </w:rPr>
        <w:t>ó</w:t>
      </w:r>
      <w:r>
        <w:rPr>
          <w:spacing w:val="-6"/>
          <w:sz w:val="18"/>
          <w:szCs w:val="18"/>
          <w:lang w:val="es-ES_tradnl"/>
        </w:rPr>
        <w:t xml:space="preserve"> inconsistencias con </w:t>
      </w:r>
      <w:r>
        <w:rPr>
          <w:spacing w:val="-9"/>
          <w:sz w:val="18"/>
          <w:szCs w:val="18"/>
          <w:lang w:val="es-ES_tradnl"/>
        </w:rPr>
        <w:t>relaci</w:t>
      </w:r>
      <w:r>
        <w:rPr>
          <w:rFonts w:cs="Times New Roman"/>
          <w:spacing w:val="-9"/>
          <w:sz w:val="18"/>
          <w:szCs w:val="18"/>
          <w:lang w:val="es-ES_tradnl"/>
        </w:rPr>
        <w:t>ó</w:t>
      </w:r>
      <w:r>
        <w:rPr>
          <w:spacing w:val="-9"/>
          <w:sz w:val="18"/>
          <w:szCs w:val="18"/>
          <w:lang w:val="es-ES_tradnl"/>
        </w:rPr>
        <w:t xml:space="preserve">n a transacciones comerciales que supuestamente </w:t>
      </w:r>
      <w:r>
        <w:rPr>
          <w:sz w:val="18"/>
          <w:szCs w:val="18"/>
          <w:lang w:val="es-ES_tradnl"/>
        </w:rPr>
        <w:t>hab</w:t>
      </w:r>
      <w:r>
        <w:rPr>
          <w:rFonts w:cs="Times New Roman"/>
          <w:sz w:val="18"/>
          <w:szCs w:val="18"/>
          <w:lang w:val="es-ES_tradnl"/>
        </w:rPr>
        <w:t>í</w:t>
      </w:r>
      <w:r>
        <w:rPr>
          <w:sz w:val="18"/>
          <w:szCs w:val="18"/>
          <w:lang w:val="es-ES_tradnl"/>
        </w:rPr>
        <w:t>a mantenido con su proveedor, ALLQUALITY S.</w:t>
      </w:r>
    </w:p>
    <w:p w14:paraId="4F67BAF5" w14:textId="77777777" w:rsidR="00591D54" w:rsidRDefault="00591D54">
      <w:pPr>
        <w:shd w:val="clear" w:color="auto" w:fill="FFFFFF"/>
        <w:spacing w:before="250" w:line="235" w:lineRule="exact"/>
        <w:ind w:right="5"/>
        <w:jc w:val="both"/>
        <w:sectPr w:rsidR="00591D54">
          <w:type w:val="continuous"/>
          <w:pgSz w:w="11909" w:h="16834"/>
          <w:pgMar w:top="1366" w:right="1304" w:bottom="360" w:left="1308" w:header="720" w:footer="720" w:gutter="0"/>
          <w:cols w:num="2" w:space="720" w:equalWidth="0">
            <w:col w:w="4305" w:space="682"/>
            <w:col w:w="4310"/>
          </w:cols>
          <w:noEndnote/>
        </w:sectPr>
      </w:pPr>
    </w:p>
    <w:p w14:paraId="4F67BAF6" w14:textId="77777777" w:rsidR="00591D54" w:rsidRDefault="00591D54">
      <w:pPr>
        <w:shd w:val="clear" w:color="auto" w:fill="FFFFFF"/>
        <w:tabs>
          <w:tab w:val="left" w:pos="584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- 285</w:t>
      </w:r>
    </w:p>
    <w:p w14:paraId="4F67BAF7" w14:textId="77777777" w:rsidR="00591D54" w:rsidRDefault="00591D54">
      <w:pPr>
        <w:shd w:val="clear" w:color="auto" w:fill="FFFFFF"/>
        <w:tabs>
          <w:tab w:val="left" w:pos="5842"/>
        </w:tabs>
        <w:spacing w:after="230"/>
        <w:ind w:left="5"/>
        <w:sectPr w:rsidR="00591D54">
          <w:pgSz w:w="11909" w:h="16834"/>
          <w:pgMar w:top="1375" w:right="1304" w:bottom="360" w:left="1308" w:header="720" w:footer="720" w:gutter="0"/>
          <w:cols w:space="60"/>
          <w:noEndnote/>
        </w:sectPr>
      </w:pPr>
    </w:p>
    <w:p w14:paraId="4F67BAF8" w14:textId="77777777" w:rsidR="00591D54" w:rsidRDefault="00591D54">
      <w:pPr>
        <w:shd w:val="clear" w:color="auto" w:fill="FFFFFF"/>
        <w:spacing w:before="5" w:line="226" w:lineRule="exact"/>
        <w:jc w:val="both"/>
      </w:pPr>
      <w:r>
        <w:rPr>
          <w:spacing w:val="-9"/>
          <w:sz w:val="18"/>
          <w:szCs w:val="18"/>
          <w:lang w:val="es-ES_tradnl"/>
        </w:rPr>
        <w:t xml:space="preserve">A., y que se encontraban estampadas en las facturas que </w:t>
      </w:r>
      <w:r>
        <w:rPr>
          <w:spacing w:val="-7"/>
          <w:sz w:val="18"/>
          <w:szCs w:val="18"/>
          <w:lang w:val="es-ES_tradnl"/>
        </w:rPr>
        <w:t>supuestamente hab</w:t>
      </w:r>
      <w:r>
        <w:rPr>
          <w:rFonts w:cs="Times New Roman"/>
          <w:spacing w:val="-7"/>
          <w:sz w:val="18"/>
          <w:szCs w:val="18"/>
          <w:lang w:val="es-ES_tradnl"/>
        </w:rPr>
        <w:t>í</w:t>
      </w:r>
      <w:r>
        <w:rPr>
          <w:spacing w:val="-7"/>
          <w:sz w:val="18"/>
          <w:szCs w:val="18"/>
          <w:lang w:val="es-ES_tradnl"/>
        </w:rPr>
        <w:t xml:space="preserve">a emitido esta </w:t>
      </w:r>
      <w:r>
        <w:rPr>
          <w:rFonts w:cs="Times New Roman"/>
          <w:spacing w:val="-7"/>
          <w:sz w:val="18"/>
          <w:szCs w:val="18"/>
          <w:lang w:val="es-ES_tradnl"/>
        </w:rPr>
        <w:t>ú</w:t>
      </w:r>
      <w:r>
        <w:rPr>
          <w:spacing w:val="-7"/>
          <w:sz w:val="18"/>
          <w:szCs w:val="18"/>
          <w:lang w:val="es-ES_tradnl"/>
        </w:rPr>
        <w:t xml:space="preserve">ltima a favor de la </w:t>
      </w:r>
      <w:r>
        <w:rPr>
          <w:spacing w:val="-9"/>
          <w:sz w:val="18"/>
          <w:szCs w:val="18"/>
          <w:lang w:val="es-ES_tradnl"/>
        </w:rPr>
        <w:t>compa</w:t>
      </w:r>
      <w:r>
        <w:rPr>
          <w:rFonts w:cs="Times New Roman"/>
          <w:spacing w:val="-9"/>
          <w:sz w:val="18"/>
          <w:szCs w:val="18"/>
          <w:lang w:val="es-ES_tradnl"/>
        </w:rPr>
        <w:t>ñí</w:t>
      </w:r>
      <w:r>
        <w:rPr>
          <w:spacing w:val="-9"/>
          <w:sz w:val="18"/>
          <w:szCs w:val="18"/>
          <w:lang w:val="es-ES_tradnl"/>
        </w:rPr>
        <w:t xml:space="preserve">a ECUAVITAL S. A., las cuales fueron presentadas </w:t>
      </w:r>
      <w:r>
        <w:rPr>
          <w:spacing w:val="-4"/>
          <w:sz w:val="18"/>
          <w:szCs w:val="18"/>
          <w:lang w:val="es-ES_tradnl"/>
        </w:rPr>
        <w:t>a la administraci</w:t>
      </w:r>
      <w:r>
        <w:rPr>
          <w:rFonts w:cs="Times New Roman"/>
          <w:spacing w:val="-4"/>
          <w:sz w:val="18"/>
          <w:szCs w:val="18"/>
          <w:lang w:val="es-ES_tradnl"/>
        </w:rPr>
        <w:t>ó</w:t>
      </w:r>
      <w:r>
        <w:rPr>
          <w:spacing w:val="-4"/>
          <w:sz w:val="18"/>
          <w:szCs w:val="18"/>
          <w:lang w:val="es-ES_tradnl"/>
        </w:rPr>
        <w:t xml:space="preserve">n tributaria durante la diligencia de </w:t>
      </w:r>
      <w:r>
        <w:rPr>
          <w:sz w:val="18"/>
          <w:szCs w:val="18"/>
          <w:lang w:val="es-ES_tradnl"/>
        </w:rPr>
        <w:t>inspecci</w:t>
      </w:r>
      <w:r>
        <w:rPr>
          <w:rFonts w:cs="Times New Roman"/>
          <w:sz w:val="18"/>
          <w:szCs w:val="18"/>
          <w:lang w:val="es-ES_tradnl"/>
        </w:rPr>
        <w:t>ó</w:t>
      </w:r>
      <w:r>
        <w:rPr>
          <w:sz w:val="18"/>
          <w:szCs w:val="18"/>
          <w:lang w:val="es-ES_tradnl"/>
        </w:rPr>
        <w:t>n contable.</w:t>
      </w:r>
    </w:p>
    <w:p w14:paraId="4F67BAF9" w14:textId="77777777" w:rsidR="00591D54" w:rsidRDefault="00591D54">
      <w:pPr>
        <w:shd w:val="clear" w:color="auto" w:fill="FFFFFF"/>
        <w:spacing w:before="250" w:line="226" w:lineRule="exact"/>
        <w:ind w:right="5"/>
        <w:jc w:val="both"/>
      </w:pPr>
      <w:r>
        <w:rPr>
          <w:sz w:val="18"/>
          <w:szCs w:val="18"/>
          <w:lang w:val="es-ES_tradnl"/>
        </w:rPr>
        <w:t>El Servicio de Rentas Internas manifiesta que seg</w:t>
      </w:r>
      <w:r>
        <w:rPr>
          <w:rFonts w:cs="Times New Roman"/>
          <w:sz w:val="18"/>
          <w:szCs w:val="18"/>
          <w:lang w:val="es-ES_tradnl"/>
        </w:rPr>
        <w:t>ú</w:t>
      </w:r>
      <w:r>
        <w:rPr>
          <w:sz w:val="18"/>
          <w:szCs w:val="18"/>
          <w:lang w:val="es-ES_tradnl"/>
        </w:rPr>
        <w:t xml:space="preserve">n </w:t>
      </w:r>
      <w:r>
        <w:rPr>
          <w:spacing w:val="-7"/>
          <w:sz w:val="18"/>
          <w:szCs w:val="18"/>
          <w:lang w:val="es-ES_tradnl"/>
        </w:rPr>
        <w:t>lo reiterado por esta compa</w:t>
      </w:r>
      <w:r>
        <w:rPr>
          <w:rFonts w:cs="Times New Roman"/>
          <w:spacing w:val="-7"/>
          <w:sz w:val="18"/>
          <w:szCs w:val="18"/>
          <w:lang w:val="es-ES_tradnl"/>
        </w:rPr>
        <w:t>ñí</w:t>
      </w:r>
      <w:r>
        <w:rPr>
          <w:spacing w:val="-7"/>
          <w:sz w:val="18"/>
          <w:szCs w:val="18"/>
          <w:lang w:val="es-ES_tradnl"/>
        </w:rPr>
        <w:t xml:space="preserve">a, los pagos por servicios </w:t>
      </w:r>
      <w:r>
        <w:rPr>
          <w:spacing w:val="-4"/>
          <w:sz w:val="18"/>
          <w:szCs w:val="18"/>
          <w:lang w:val="es-ES_tradnl"/>
        </w:rPr>
        <w:t>prestados a ALLQUALITY, hab</w:t>
      </w:r>
      <w:r>
        <w:rPr>
          <w:rFonts w:cs="Times New Roman"/>
          <w:spacing w:val="-4"/>
          <w:sz w:val="18"/>
          <w:szCs w:val="18"/>
          <w:lang w:val="es-ES_tradnl"/>
        </w:rPr>
        <w:t>í</w:t>
      </w:r>
      <w:r>
        <w:rPr>
          <w:spacing w:val="-4"/>
          <w:sz w:val="18"/>
          <w:szCs w:val="18"/>
          <w:lang w:val="es-ES_tradnl"/>
        </w:rPr>
        <w:t xml:space="preserve">an sido efectuados por </w:t>
      </w:r>
      <w:r>
        <w:rPr>
          <w:spacing w:val="-8"/>
          <w:sz w:val="18"/>
          <w:szCs w:val="18"/>
          <w:lang w:val="es-ES_tradnl"/>
        </w:rPr>
        <w:t xml:space="preserve">una empresa extranjera, de acuerdo a contratos suscritos. </w:t>
      </w:r>
      <w:r>
        <w:rPr>
          <w:spacing w:val="-6"/>
          <w:sz w:val="18"/>
          <w:szCs w:val="18"/>
          <w:lang w:val="es-ES_tradnl"/>
        </w:rPr>
        <w:t xml:space="preserve">De esta forma, el Servicio de Rentas Internas hizo un </w:t>
      </w:r>
      <w:r>
        <w:rPr>
          <w:sz w:val="18"/>
          <w:szCs w:val="18"/>
          <w:lang w:val="es-ES_tradnl"/>
        </w:rPr>
        <w:t>requerimiento de informaci</w:t>
      </w:r>
      <w:r>
        <w:rPr>
          <w:rFonts w:cs="Times New Roman"/>
          <w:sz w:val="18"/>
          <w:szCs w:val="18"/>
          <w:lang w:val="es-ES_tradnl"/>
        </w:rPr>
        <w:t>ó</w:t>
      </w:r>
      <w:r>
        <w:rPr>
          <w:sz w:val="18"/>
          <w:szCs w:val="18"/>
          <w:lang w:val="es-ES_tradnl"/>
        </w:rPr>
        <w:t xml:space="preserve">n a ALLQUALITY con </w:t>
      </w:r>
      <w:r>
        <w:rPr>
          <w:spacing w:val="-8"/>
          <w:sz w:val="18"/>
          <w:szCs w:val="18"/>
          <w:lang w:val="es-ES_tradnl"/>
        </w:rPr>
        <w:t xml:space="preserve">el objeto de determinar la verdadera naturaleza de las </w:t>
      </w:r>
      <w:r>
        <w:rPr>
          <w:sz w:val="18"/>
          <w:szCs w:val="18"/>
          <w:lang w:val="es-ES_tradnl"/>
        </w:rPr>
        <w:t>transacciones comerciales.</w:t>
      </w:r>
    </w:p>
    <w:p w14:paraId="4F67BAFA" w14:textId="77777777" w:rsidR="00591D54" w:rsidRDefault="00591D54">
      <w:pPr>
        <w:shd w:val="clear" w:color="auto" w:fill="FFFFFF"/>
        <w:spacing w:before="250" w:line="226" w:lineRule="exact"/>
        <w:ind w:right="5"/>
        <w:jc w:val="both"/>
      </w:pPr>
      <w:r>
        <w:rPr>
          <w:spacing w:val="-1"/>
          <w:sz w:val="18"/>
          <w:szCs w:val="18"/>
          <w:lang w:val="es-ES_tradnl"/>
        </w:rPr>
        <w:t>Una vez presentada la informaci</w:t>
      </w:r>
      <w:r>
        <w:rPr>
          <w:rFonts w:cs="Times New Roman"/>
          <w:spacing w:val="-1"/>
          <w:sz w:val="18"/>
          <w:szCs w:val="18"/>
          <w:lang w:val="es-ES_tradnl"/>
        </w:rPr>
        <w:t>ó</w:t>
      </w:r>
      <w:r>
        <w:rPr>
          <w:spacing w:val="-1"/>
          <w:sz w:val="18"/>
          <w:szCs w:val="18"/>
          <w:lang w:val="es-ES_tradnl"/>
        </w:rPr>
        <w:t xml:space="preserve">n solicitada, la </w:t>
      </w:r>
      <w:r>
        <w:rPr>
          <w:spacing w:val="-6"/>
          <w:sz w:val="18"/>
          <w:szCs w:val="18"/>
          <w:lang w:val="es-ES_tradnl"/>
        </w:rPr>
        <w:t>administraci</w:t>
      </w:r>
      <w:r>
        <w:rPr>
          <w:rFonts w:cs="Times New Roman"/>
          <w:spacing w:val="-6"/>
          <w:sz w:val="18"/>
          <w:szCs w:val="18"/>
          <w:lang w:val="es-ES_tradnl"/>
        </w:rPr>
        <w:t>ó</w:t>
      </w:r>
      <w:r>
        <w:rPr>
          <w:spacing w:val="-6"/>
          <w:sz w:val="18"/>
          <w:szCs w:val="18"/>
          <w:lang w:val="es-ES_tradnl"/>
        </w:rPr>
        <w:t>n tributaria verific</w:t>
      </w:r>
      <w:r>
        <w:rPr>
          <w:rFonts w:cs="Times New Roman"/>
          <w:spacing w:val="-6"/>
          <w:sz w:val="18"/>
          <w:szCs w:val="18"/>
          <w:lang w:val="es-ES_tradnl"/>
        </w:rPr>
        <w:t>ó</w:t>
      </w:r>
      <w:r>
        <w:rPr>
          <w:spacing w:val="-6"/>
          <w:sz w:val="18"/>
          <w:szCs w:val="18"/>
          <w:lang w:val="es-ES_tradnl"/>
        </w:rPr>
        <w:t xml:space="preserve"> que </w:t>
      </w:r>
      <w:r>
        <w:rPr>
          <w:rFonts w:cs="Times New Roman"/>
          <w:spacing w:val="-6"/>
          <w:sz w:val="18"/>
          <w:szCs w:val="18"/>
          <w:lang w:val="es-ES_tradnl"/>
        </w:rPr>
        <w:t>“</w:t>
      </w:r>
      <w:r>
        <w:rPr>
          <w:spacing w:val="-6"/>
          <w:sz w:val="18"/>
          <w:szCs w:val="18"/>
          <w:lang w:val="es-ES_tradnl"/>
        </w:rPr>
        <w:t>(</w:t>
      </w:r>
      <w:r>
        <w:rPr>
          <w:rFonts w:cs="Times New Roman"/>
          <w:spacing w:val="-6"/>
          <w:sz w:val="18"/>
          <w:szCs w:val="18"/>
          <w:lang w:val="es-ES_tradnl"/>
        </w:rPr>
        <w:t>…</w:t>
      </w:r>
      <w:r>
        <w:rPr>
          <w:spacing w:val="-6"/>
          <w:sz w:val="18"/>
          <w:szCs w:val="18"/>
          <w:lang w:val="es-ES_tradnl"/>
        </w:rPr>
        <w:t>) no se encontr</w:t>
      </w:r>
      <w:r>
        <w:rPr>
          <w:rFonts w:cs="Times New Roman"/>
          <w:spacing w:val="-6"/>
          <w:sz w:val="18"/>
          <w:szCs w:val="18"/>
          <w:lang w:val="es-ES_tradnl"/>
        </w:rPr>
        <w:t xml:space="preserve">ó </w:t>
      </w:r>
      <w:r>
        <w:rPr>
          <w:spacing w:val="-2"/>
          <w:sz w:val="18"/>
          <w:szCs w:val="18"/>
          <w:lang w:val="es-ES_tradnl"/>
        </w:rPr>
        <w:t>como cliente al sujeto pasivo ECUAVITAL S. A.</w:t>
      </w:r>
      <w:r>
        <w:rPr>
          <w:rFonts w:cs="Times New Roman"/>
          <w:spacing w:val="-2"/>
          <w:sz w:val="18"/>
          <w:szCs w:val="18"/>
          <w:lang w:val="es-ES_tradnl"/>
        </w:rPr>
        <w:t>”</w:t>
      </w:r>
      <w:r>
        <w:rPr>
          <w:spacing w:val="-2"/>
          <w:sz w:val="18"/>
          <w:szCs w:val="18"/>
          <w:lang w:val="es-ES_tradnl"/>
        </w:rPr>
        <w:t xml:space="preserve">. Por </w:t>
      </w:r>
      <w:r>
        <w:rPr>
          <w:spacing w:val="-4"/>
          <w:sz w:val="18"/>
          <w:szCs w:val="18"/>
          <w:lang w:val="es-ES_tradnl"/>
        </w:rPr>
        <w:t>ello, solicit</w:t>
      </w:r>
      <w:r>
        <w:rPr>
          <w:rFonts w:cs="Times New Roman"/>
          <w:spacing w:val="-4"/>
          <w:sz w:val="18"/>
          <w:szCs w:val="18"/>
          <w:lang w:val="es-ES_tradnl"/>
        </w:rPr>
        <w:t>ó</w:t>
      </w:r>
      <w:r>
        <w:rPr>
          <w:spacing w:val="-4"/>
          <w:sz w:val="18"/>
          <w:szCs w:val="18"/>
          <w:lang w:val="es-ES_tradnl"/>
        </w:rPr>
        <w:t xml:space="preserve"> la comparecencia del representante legal y </w:t>
      </w:r>
      <w:r>
        <w:rPr>
          <w:spacing w:val="-6"/>
          <w:sz w:val="18"/>
          <w:szCs w:val="18"/>
          <w:lang w:val="es-ES_tradnl"/>
        </w:rPr>
        <w:t>del contador de ALLQUALITY. Cabe se</w:t>
      </w:r>
      <w:r>
        <w:rPr>
          <w:rFonts w:cs="Times New Roman"/>
          <w:spacing w:val="-6"/>
          <w:sz w:val="18"/>
          <w:szCs w:val="18"/>
          <w:lang w:val="es-ES_tradnl"/>
        </w:rPr>
        <w:t>ñ</w:t>
      </w:r>
      <w:r>
        <w:rPr>
          <w:spacing w:val="-6"/>
          <w:sz w:val="18"/>
          <w:szCs w:val="18"/>
          <w:lang w:val="es-ES_tradnl"/>
        </w:rPr>
        <w:t xml:space="preserve">alar que a esta </w:t>
      </w:r>
      <w:r>
        <w:rPr>
          <w:spacing w:val="-7"/>
          <w:sz w:val="18"/>
          <w:szCs w:val="18"/>
          <w:lang w:val="es-ES_tradnl"/>
        </w:rPr>
        <w:t>diligencia compareci</w:t>
      </w:r>
      <w:r>
        <w:rPr>
          <w:rFonts w:cs="Times New Roman"/>
          <w:spacing w:val="-7"/>
          <w:sz w:val="18"/>
          <w:szCs w:val="18"/>
          <w:lang w:val="es-ES_tradnl"/>
        </w:rPr>
        <w:t>ó</w:t>
      </w:r>
      <w:r>
        <w:rPr>
          <w:spacing w:val="-7"/>
          <w:sz w:val="18"/>
          <w:szCs w:val="18"/>
          <w:lang w:val="es-ES_tradnl"/>
        </w:rPr>
        <w:t xml:space="preserve"> un delegado en representaci</w:t>
      </w:r>
      <w:r>
        <w:rPr>
          <w:rFonts w:cs="Times New Roman"/>
          <w:spacing w:val="-7"/>
          <w:sz w:val="18"/>
          <w:szCs w:val="18"/>
          <w:lang w:val="es-ES_tradnl"/>
        </w:rPr>
        <w:t>ó</w:t>
      </w:r>
      <w:r>
        <w:rPr>
          <w:spacing w:val="-7"/>
          <w:sz w:val="18"/>
          <w:szCs w:val="18"/>
          <w:lang w:val="es-ES_tradnl"/>
        </w:rPr>
        <w:t xml:space="preserve">n del representante legal y del contador de esta </w:t>
      </w:r>
      <w:r>
        <w:rPr>
          <w:rFonts w:cs="Times New Roman"/>
          <w:spacing w:val="-7"/>
          <w:sz w:val="18"/>
          <w:szCs w:val="18"/>
          <w:lang w:val="es-ES_tradnl"/>
        </w:rPr>
        <w:t>ú</w:t>
      </w:r>
      <w:r>
        <w:rPr>
          <w:spacing w:val="-7"/>
          <w:sz w:val="18"/>
          <w:szCs w:val="18"/>
          <w:lang w:val="es-ES_tradnl"/>
        </w:rPr>
        <w:t xml:space="preserve">ltima, quien </w:t>
      </w:r>
      <w:r>
        <w:rPr>
          <w:spacing w:val="-8"/>
          <w:sz w:val="18"/>
          <w:szCs w:val="18"/>
          <w:lang w:val="es-ES_tradnl"/>
        </w:rPr>
        <w:t>manifest</w:t>
      </w:r>
      <w:r>
        <w:rPr>
          <w:rFonts w:cs="Times New Roman"/>
          <w:spacing w:val="-8"/>
          <w:sz w:val="18"/>
          <w:szCs w:val="18"/>
          <w:lang w:val="es-ES_tradnl"/>
        </w:rPr>
        <w:t>ó</w:t>
      </w:r>
      <w:r>
        <w:rPr>
          <w:spacing w:val="-8"/>
          <w:sz w:val="18"/>
          <w:szCs w:val="18"/>
          <w:lang w:val="es-ES_tradnl"/>
        </w:rPr>
        <w:t xml:space="preserve">, conforme consta en el acta de comparecencia, </w:t>
      </w:r>
      <w:r>
        <w:rPr>
          <w:spacing w:val="-7"/>
          <w:sz w:val="18"/>
          <w:szCs w:val="18"/>
          <w:lang w:val="es-ES_tradnl"/>
        </w:rPr>
        <w:t>que no conoce a la compa</w:t>
      </w:r>
      <w:r>
        <w:rPr>
          <w:rFonts w:cs="Times New Roman"/>
          <w:spacing w:val="-7"/>
          <w:sz w:val="18"/>
          <w:szCs w:val="18"/>
          <w:lang w:val="es-ES_tradnl"/>
        </w:rPr>
        <w:t>ñí</w:t>
      </w:r>
      <w:r>
        <w:rPr>
          <w:spacing w:val="-7"/>
          <w:sz w:val="18"/>
          <w:szCs w:val="18"/>
          <w:lang w:val="es-ES_tradnl"/>
        </w:rPr>
        <w:t>a ECUAVITAL S. A.</w:t>
      </w:r>
    </w:p>
    <w:p w14:paraId="4F67BAFB" w14:textId="77777777" w:rsidR="00591D54" w:rsidRDefault="00591D54">
      <w:pPr>
        <w:shd w:val="clear" w:color="auto" w:fill="FFFFFF"/>
        <w:spacing w:before="250" w:line="226" w:lineRule="exact"/>
        <w:jc w:val="both"/>
      </w:pPr>
      <w:r>
        <w:rPr>
          <w:spacing w:val="-5"/>
          <w:sz w:val="18"/>
          <w:szCs w:val="18"/>
          <w:lang w:val="es-ES_tradnl"/>
        </w:rPr>
        <w:t xml:space="preserve">Expresan que </w:t>
      </w:r>
      <w:r>
        <w:rPr>
          <w:rFonts w:cs="Times New Roman"/>
          <w:spacing w:val="-5"/>
          <w:sz w:val="18"/>
          <w:szCs w:val="18"/>
          <w:lang w:val="es-ES_tradnl"/>
        </w:rPr>
        <w:t>“</w:t>
      </w:r>
      <w:r>
        <w:rPr>
          <w:spacing w:val="-5"/>
          <w:sz w:val="18"/>
          <w:szCs w:val="18"/>
          <w:lang w:val="es-ES_tradnl"/>
        </w:rPr>
        <w:t>(</w:t>
      </w:r>
      <w:r>
        <w:rPr>
          <w:rFonts w:cs="Times New Roman"/>
          <w:spacing w:val="-5"/>
          <w:sz w:val="18"/>
          <w:szCs w:val="18"/>
          <w:lang w:val="es-ES_tradnl"/>
        </w:rPr>
        <w:t>…</w:t>
      </w:r>
      <w:r>
        <w:rPr>
          <w:spacing w:val="-5"/>
          <w:sz w:val="18"/>
          <w:szCs w:val="18"/>
          <w:lang w:val="es-ES_tradnl"/>
        </w:rPr>
        <w:t xml:space="preserve">) al comparar las facturas entregadas </w:t>
      </w:r>
      <w:r>
        <w:rPr>
          <w:spacing w:val="-6"/>
          <w:sz w:val="18"/>
          <w:szCs w:val="18"/>
          <w:lang w:val="es-ES_tradnl"/>
        </w:rPr>
        <w:t>por ECUAVITAL S.A. as</w:t>
      </w:r>
      <w:r>
        <w:rPr>
          <w:rFonts w:cs="Times New Roman"/>
          <w:spacing w:val="-6"/>
          <w:sz w:val="18"/>
          <w:szCs w:val="18"/>
          <w:lang w:val="es-ES_tradnl"/>
        </w:rPr>
        <w:t>í</w:t>
      </w:r>
      <w:r>
        <w:rPr>
          <w:spacing w:val="-6"/>
          <w:sz w:val="18"/>
          <w:szCs w:val="18"/>
          <w:lang w:val="es-ES_tradnl"/>
        </w:rPr>
        <w:t xml:space="preserve"> como las entregadas por ALLQUALITY S.A se encontraron importantes diferencias entre las mismas.</w:t>
      </w:r>
      <w:r>
        <w:rPr>
          <w:rFonts w:cs="Times New Roman"/>
          <w:spacing w:val="-6"/>
          <w:sz w:val="18"/>
          <w:szCs w:val="18"/>
          <w:lang w:val="es-ES_tradnl"/>
        </w:rPr>
        <w:t>”</w:t>
      </w:r>
      <w:r>
        <w:rPr>
          <w:spacing w:val="-6"/>
          <w:sz w:val="18"/>
          <w:szCs w:val="18"/>
          <w:lang w:val="es-ES_tradnl"/>
        </w:rPr>
        <w:t xml:space="preserve"> En base a ello, el Servicio de Rentas </w:t>
      </w:r>
      <w:r>
        <w:rPr>
          <w:spacing w:val="-8"/>
          <w:sz w:val="18"/>
          <w:szCs w:val="18"/>
          <w:lang w:val="es-ES_tradnl"/>
        </w:rPr>
        <w:t>Internas present</w:t>
      </w:r>
      <w:r>
        <w:rPr>
          <w:rFonts w:cs="Times New Roman"/>
          <w:spacing w:val="-8"/>
          <w:sz w:val="18"/>
          <w:szCs w:val="18"/>
          <w:lang w:val="es-ES_tradnl"/>
        </w:rPr>
        <w:t>ó</w:t>
      </w:r>
      <w:r>
        <w:rPr>
          <w:spacing w:val="-8"/>
          <w:sz w:val="18"/>
          <w:szCs w:val="18"/>
          <w:lang w:val="es-ES_tradnl"/>
        </w:rPr>
        <w:t xml:space="preserve"> una denuncia contra los responsables </w:t>
      </w:r>
      <w:r>
        <w:rPr>
          <w:spacing w:val="-9"/>
          <w:sz w:val="18"/>
          <w:szCs w:val="18"/>
          <w:lang w:val="es-ES_tradnl"/>
        </w:rPr>
        <w:t>tributarios de ECUAVITAL S. A., por part</w:t>
      </w:r>
      <w:r>
        <w:rPr>
          <w:rFonts w:cs="Times New Roman"/>
          <w:spacing w:val="-9"/>
          <w:sz w:val="18"/>
          <w:szCs w:val="18"/>
          <w:lang w:val="es-ES_tradnl"/>
        </w:rPr>
        <w:t>í</w:t>
      </w:r>
      <w:r>
        <w:rPr>
          <w:spacing w:val="-9"/>
          <w:sz w:val="18"/>
          <w:szCs w:val="18"/>
          <w:lang w:val="es-ES_tradnl"/>
        </w:rPr>
        <w:t xml:space="preserve">cipes del presunto </w:t>
      </w:r>
      <w:r>
        <w:rPr>
          <w:spacing w:val="-6"/>
          <w:sz w:val="18"/>
          <w:szCs w:val="18"/>
          <w:lang w:val="es-ES_tradnl"/>
        </w:rPr>
        <w:t>delito contra la fe p</w:t>
      </w:r>
      <w:r>
        <w:rPr>
          <w:rFonts w:cs="Times New Roman"/>
          <w:spacing w:val="-6"/>
          <w:sz w:val="18"/>
          <w:szCs w:val="18"/>
          <w:lang w:val="es-ES_tradnl"/>
        </w:rPr>
        <w:t>ú</w:t>
      </w:r>
      <w:r>
        <w:rPr>
          <w:spacing w:val="-6"/>
          <w:sz w:val="18"/>
          <w:szCs w:val="18"/>
          <w:lang w:val="es-ES_tradnl"/>
        </w:rPr>
        <w:t xml:space="preserve">blica de uso doloso de documentos </w:t>
      </w:r>
      <w:r>
        <w:rPr>
          <w:spacing w:val="-4"/>
          <w:sz w:val="18"/>
          <w:szCs w:val="18"/>
          <w:lang w:val="es-ES_tradnl"/>
        </w:rPr>
        <w:t xml:space="preserve">falsos, presuntamente consumado al haber presentado </w:t>
      </w:r>
      <w:r>
        <w:rPr>
          <w:spacing w:val="-6"/>
          <w:sz w:val="18"/>
          <w:szCs w:val="18"/>
          <w:lang w:val="es-ES_tradnl"/>
        </w:rPr>
        <w:t>y/o usado dolosamente ante la administraci</w:t>
      </w:r>
      <w:r>
        <w:rPr>
          <w:rFonts w:cs="Times New Roman"/>
          <w:spacing w:val="-6"/>
          <w:sz w:val="18"/>
          <w:szCs w:val="18"/>
          <w:lang w:val="es-ES_tradnl"/>
        </w:rPr>
        <w:t>ó</w:t>
      </w:r>
      <w:r>
        <w:rPr>
          <w:spacing w:val="-6"/>
          <w:sz w:val="18"/>
          <w:szCs w:val="18"/>
          <w:lang w:val="es-ES_tradnl"/>
        </w:rPr>
        <w:t xml:space="preserve">n tributaria facturas falsificadas por un valor de USD 3.021,430 (tres </w:t>
      </w:r>
      <w:r>
        <w:rPr>
          <w:spacing w:val="-4"/>
          <w:sz w:val="18"/>
          <w:szCs w:val="18"/>
          <w:lang w:val="es-ES_tradnl"/>
        </w:rPr>
        <w:t>millones veinte y un mil cuatrocientos treinta d</w:t>
      </w:r>
      <w:r>
        <w:rPr>
          <w:rFonts w:cs="Times New Roman"/>
          <w:spacing w:val="-4"/>
          <w:sz w:val="18"/>
          <w:szCs w:val="18"/>
          <w:lang w:val="es-ES_tradnl"/>
        </w:rPr>
        <w:t>ó</w:t>
      </w:r>
      <w:r>
        <w:rPr>
          <w:spacing w:val="-4"/>
          <w:sz w:val="18"/>
          <w:szCs w:val="18"/>
          <w:lang w:val="es-ES_tradnl"/>
        </w:rPr>
        <w:t>lares de los Estados Unidos de Norteam</w:t>
      </w:r>
      <w:r>
        <w:rPr>
          <w:rFonts w:cs="Times New Roman"/>
          <w:spacing w:val="-4"/>
          <w:sz w:val="18"/>
          <w:szCs w:val="18"/>
          <w:lang w:val="es-ES_tradnl"/>
        </w:rPr>
        <w:t>é</w:t>
      </w:r>
      <w:r>
        <w:rPr>
          <w:spacing w:val="-4"/>
          <w:sz w:val="18"/>
          <w:szCs w:val="18"/>
          <w:lang w:val="es-ES_tradnl"/>
        </w:rPr>
        <w:t>rica), infracci</w:t>
      </w:r>
      <w:r>
        <w:rPr>
          <w:rFonts w:cs="Times New Roman"/>
          <w:spacing w:val="-4"/>
          <w:sz w:val="18"/>
          <w:szCs w:val="18"/>
          <w:lang w:val="es-ES_tradnl"/>
        </w:rPr>
        <w:t>ó</w:t>
      </w:r>
      <w:r>
        <w:rPr>
          <w:spacing w:val="-4"/>
          <w:sz w:val="18"/>
          <w:szCs w:val="18"/>
          <w:lang w:val="es-ES_tradnl"/>
        </w:rPr>
        <w:t xml:space="preserve">n penal </w:t>
      </w:r>
      <w:r>
        <w:rPr>
          <w:spacing w:val="-9"/>
          <w:sz w:val="18"/>
          <w:szCs w:val="18"/>
          <w:lang w:val="es-ES_tradnl"/>
        </w:rPr>
        <w:t>tipificada en el art</w:t>
      </w:r>
      <w:r>
        <w:rPr>
          <w:rFonts w:cs="Times New Roman"/>
          <w:spacing w:val="-9"/>
          <w:sz w:val="18"/>
          <w:szCs w:val="18"/>
          <w:lang w:val="es-ES_tradnl"/>
        </w:rPr>
        <w:t>í</w:t>
      </w:r>
      <w:r>
        <w:rPr>
          <w:spacing w:val="-9"/>
          <w:sz w:val="18"/>
          <w:szCs w:val="18"/>
          <w:lang w:val="es-ES_tradnl"/>
        </w:rPr>
        <w:t>culo 341, en concordancia con el art</w:t>
      </w:r>
      <w:r>
        <w:rPr>
          <w:rFonts w:cs="Times New Roman"/>
          <w:spacing w:val="-9"/>
          <w:sz w:val="18"/>
          <w:szCs w:val="18"/>
          <w:lang w:val="es-ES_tradnl"/>
        </w:rPr>
        <w:t>í</w:t>
      </w:r>
      <w:r>
        <w:rPr>
          <w:spacing w:val="-9"/>
          <w:sz w:val="18"/>
          <w:szCs w:val="18"/>
          <w:lang w:val="es-ES_tradnl"/>
        </w:rPr>
        <w:t>culo 339 del C</w:t>
      </w:r>
      <w:r>
        <w:rPr>
          <w:rFonts w:cs="Times New Roman"/>
          <w:spacing w:val="-9"/>
          <w:sz w:val="18"/>
          <w:szCs w:val="18"/>
          <w:lang w:val="es-ES_tradnl"/>
        </w:rPr>
        <w:t>ó</w:t>
      </w:r>
      <w:r>
        <w:rPr>
          <w:spacing w:val="-9"/>
          <w:sz w:val="18"/>
          <w:szCs w:val="18"/>
          <w:lang w:val="es-ES_tradnl"/>
        </w:rPr>
        <w:t xml:space="preserve">digo Penal vigente a esa </w:t>
      </w:r>
      <w:r>
        <w:rPr>
          <w:rFonts w:cs="Times New Roman"/>
          <w:spacing w:val="-9"/>
          <w:sz w:val="18"/>
          <w:szCs w:val="18"/>
          <w:lang w:val="es-ES_tradnl"/>
        </w:rPr>
        <w:t>é</w:t>
      </w:r>
      <w:r>
        <w:rPr>
          <w:spacing w:val="-9"/>
          <w:sz w:val="18"/>
          <w:szCs w:val="18"/>
          <w:lang w:val="es-ES_tradnl"/>
        </w:rPr>
        <w:t>poca.</w:t>
      </w:r>
    </w:p>
    <w:p w14:paraId="4F67BAFC" w14:textId="77777777" w:rsidR="00591D54" w:rsidRDefault="00591D54">
      <w:pPr>
        <w:shd w:val="clear" w:color="auto" w:fill="FFFFFF"/>
        <w:spacing w:before="250" w:line="226" w:lineRule="exact"/>
        <w:jc w:val="both"/>
      </w:pPr>
      <w:r>
        <w:rPr>
          <w:spacing w:val="-8"/>
          <w:sz w:val="18"/>
          <w:szCs w:val="18"/>
          <w:lang w:val="es-ES_tradnl"/>
        </w:rPr>
        <w:t>Ante ello, el fiscal segundo de la Fiscal</w:t>
      </w:r>
      <w:r>
        <w:rPr>
          <w:rFonts w:cs="Times New Roman"/>
          <w:spacing w:val="-8"/>
          <w:sz w:val="18"/>
          <w:szCs w:val="18"/>
          <w:lang w:val="es-ES_tradnl"/>
        </w:rPr>
        <w:t>í</w:t>
      </w:r>
      <w:r>
        <w:rPr>
          <w:spacing w:val="-8"/>
          <w:sz w:val="18"/>
          <w:szCs w:val="18"/>
          <w:lang w:val="es-ES_tradnl"/>
        </w:rPr>
        <w:t xml:space="preserve">a Especializada en </w:t>
      </w:r>
      <w:r>
        <w:rPr>
          <w:spacing w:val="-6"/>
          <w:sz w:val="18"/>
          <w:szCs w:val="18"/>
          <w:lang w:val="es-ES_tradnl"/>
        </w:rPr>
        <w:t>Delitos contra la Fe P</w:t>
      </w:r>
      <w:r>
        <w:rPr>
          <w:rFonts w:cs="Times New Roman"/>
          <w:spacing w:val="-6"/>
          <w:sz w:val="18"/>
          <w:szCs w:val="18"/>
          <w:lang w:val="es-ES_tradnl"/>
        </w:rPr>
        <w:t>ú</w:t>
      </w:r>
      <w:r>
        <w:rPr>
          <w:spacing w:val="-6"/>
          <w:sz w:val="18"/>
          <w:szCs w:val="18"/>
          <w:lang w:val="es-ES_tradnl"/>
        </w:rPr>
        <w:t xml:space="preserve">blica, apertura la correspondiente </w:t>
      </w:r>
      <w:r>
        <w:rPr>
          <w:spacing w:val="-12"/>
          <w:sz w:val="18"/>
          <w:szCs w:val="18"/>
          <w:lang w:val="es-ES_tradnl"/>
        </w:rPr>
        <w:t>fase pre procesal de indagaci</w:t>
      </w:r>
      <w:r>
        <w:rPr>
          <w:rFonts w:cs="Times New Roman"/>
          <w:spacing w:val="-12"/>
          <w:sz w:val="18"/>
          <w:szCs w:val="18"/>
          <w:lang w:val="es-ES_tradnl"/>
        </w:rPr>
        <w:t>ó</w:t>
      </w:r>
      <w:r>
        <w:rPr>
          <w:spacing w:val="-12"/>
          <w:sz w:val="18"/>
          <w:szCs w:val="18"/>
          <w:lang w:val="es-ES_tradnl"/>
        </w:rPr>
        <w:t>n previa, ordenando adem</w:t>
      </w:r>
      <w:r>
        <w:rPr>
          <w:rFonts w:cs="Times New Roman"/>
          <w:spacing w:val="-12"/>
          <w:sz w:val="18"/>
          <w:szCs w:val="18"/>
          <w:lang w:val="es-ES_tradnl"/>
        </w:rPr>
        <w:t>á</w:t>
      </w:r>
      <w:r>
        <w:rPr>
          <w:spacing w:val="-12"/>
          <w:sz w:val="18"/>
          <w:szCs w:val="18"/>
          <w:lang w:val="es-ES_tradnl"/>
        </w:rPr>
        <w:t xml:space="preserve">s la </w:t>
      </w:r>
      <w:r>
        <w:rPr>
          <w:spacing w:val="-10"/>
          <w:sz w:val="18"/>
          <w:szCs w:val="18"/>
          <w:lang w:val="es-ES_tradnl"/>
        </w:rPr>
        <w:t>pr</w:t>
      </w:r>
      <w:r>
        <w:rPr>
          <w:rFonts w:cs="Times New Roman"/>
          <w:spacing w:val="-10"/>
          <w:sz w:val="18"/>
          <w:szCs w:val="18"/>
          <w:lang w:val="es-ES_tradnl"/>
        </w:rPr>
        <w:t>á</w:t>
      </w:r>
      <w:r>
        <w:rPr>
          <w:spacing w:val="-10"/>
          <w:sz w:val="18"/>
          <w:szCs w:val="18"/>
          <w:lang w:val="es-ES_tradnl"/>
        </w:rPr>
        <w:t xml:space="preserve">ctica de algunas diligencias con la finalidad de establecer </w:t>
      </w:r>
      <w:r>
        <w:rPr>
          <w:spacing w:val="-6"/>
          <w:sz w:val="18"/>
          <w:szCs w:val="18"/>
          <w:lang w:val="es-ES_tradnl"/>
        </w:rPr>
        <w:t>la existencia de la infracci</w:t>
      </w:r>
      <w:r>
        <w:rPr>
          <w:rFonts w:cs="Times New Roman"/>
          <w:spacing w:val="-6"/>
          <w:sz w:val="18"/>
          <w:szCs w:val="18"/>
          <w:lang w:val="es-ES_tradnl"/>
        </w:rPr>
        <w:t>ó</w:t>
      </w:r>
      <w:r>
        <w:rPr>
          <w:spacing w:val="-6"/>
          <w:sz w:val="18"/>
          <w:szCs w:val="18"/>
          <w:lang w:val="es-ES_tradnl"/>
        </w:rPr>
        <w:t>n, as</w:t>
      </w:r>
      <w:r>
        <w:rPr>
          <w:rFonts w:cs="Times New Roman"/>
          <w:spacing w:val="-6"/>
          <w:sz w:val="18"/>
          <w:szCs w:val="18"/>
          <w:lang w:val="es-ES_tradnl"/>
        </w:rPr>
        <w:t>í</w:t>
      </w:r>
      <w:r>
        <w:rPr>
          <w:spacing w:val="-6"/>
          <w:sz w:val="18"/>
          <w:szCs w:val="18"/>
          <w:lang w:val="es-ES_tradnl"/>
        </w:rPr>
        <w:t xml:space="preserve"> como la responsabilidad </w:t>
      </w:r>
      <w:r>
        <w:rPr>
          <w:spacing w:val="-8"/>
          <w:sz w:val="18"/>
          <w:szCs w:val="18"/>
          <w:lang w:val="es-ES_tradnl"/>
        </w:rPr>
        <w:t>de los denunciados. Dentro de la investigaci</w:t>
      </w:r>
      <w:r>
        <w:rPr>
          <w:rFonts w:cs="Times New Roman"/>
          <w:spacing w:val="-8"/>
          <w:sz w:val="18"/>
          <w:szCs w:val="18"/>
          <w:lang w:val="es-ES_tradnl"/>
        </w:rPr>
        <w:t>ó</w:t>
      </w:r>
      <w:r>
        <w:rPr>
          <w:spacing w:val="-8"/>
          <w:sz w:val="18"/>
          <w:szCs w:val="18"/>
          <w:lang w:val="es-ES_tradnl"/>
        </w:rPr>
        <w:t>n, aduce que solicitaron al fiscal que practique la recepci</w:t>
      </w:r>
      <w:r>
        <w:rPr>
          <w:rFonts w:cs="Times New Roman"/>
          <w:spacing w:val="-8"/>
          <w:sz w:val="18"/>
          <w:szCs w:val="18"/>
          <w:lang w:val="es-ES_tradnl"/>
        </w:rPr>
        <w:t>ó</w:t>
      </w:r>
      <w:r>
        <w:rPr>
          <w:spacing w:val="-8"/>
          <w:sz w:val="18"/>
          <w:szCs w:val="18"/>
          <w:lang w:val="es-ES_tradnl"/>
        </w:rPr>
        <w:t>n de la versi</w:t>
      </w:r>
      <w:r>
        <w:rPr>
          <w:rFonts w:cs="Times New Roman"/>
          <w:spacing w:val="-8"/>
          <w:sz w:val="18"/>
          <w:szCs w:val="18"/>
          <w:lang w:val="es-ES_tradnl"/>
        </w:rPr>
        <w:t>ó</w:t>
      </w:r>
      <w:r>
        <w:rPr>
          <w:spacing w:val="-8"/>
          <w:sz w:val="18"/>
          <w:szCs w:val="18"/>
          <w:lang w:val="es-ES_tradnl"/>
        </w:rPr>
        <w:t xml:space="preserve">n </w:t>
      </w:r>
      <w:r>
        <w:rPr>
          <w:spacing w:val="-7"/>
          <w:sz w:val="18"/>
          <w:szCs w:val="18"/>
          <w:lang w:val="es-ES_tradnl"/>
        </w:rPr>
        <w:t xml:space="preserve">de los denunciados, no obstante, nunca llegaron a rendir </w:t>
      </w:r>
      <w:r>
        <w:rPr>
          <w:spacing w:val="-9"/>
          <w:sz w:val="18"/>
          <w:szCs w:val="18"/>
          <w:lang w:val="es-ES_tradnl"/>
        </w:rPr>
        <w:t>testimonio respecto a los hechos denunciados.</w:t>
      </w:r>
    </w:p>
    <w:p w14:paraId="4F67BAFD" w14:textId="77777777" w:rsidR="00591D54" w:rsidRDefault="00591D54">
      <w:pPr>
        <w:shd w:val="clear" w:color="auto" w:fill="FFFFFF"/>
        <w:spacing w:before="250" w:line="226" w:lineRule="exact"/>
        <w:ind w:right="5"/>
        <w:jc w:val="both"/>
      </w:pPr>
      <w:r>
        <w:rPr>
          <w:spacing w:val="-9"/>
          <w:sz w:val="18"/>
          <w:szCs w:val="18"/>
          <w:lang w:val="es-ES_tradnl"/>
        </w:rPr>
        <w:t>As</w:t>
      </w:r>
      <w:r>
        <w:rPr>
          <w:rFonts w:cs="Times New Roman"/>
          <w:spacing w:val="-9"/>
          <w:sz w:val="18"/>
          <w:szCs w:val="18"/>
          <w:lang w:val="es-ES_tradnl"/>
        </w:rPr>
        <w:t>í</w:t>
      </w:r>
      <w:r>
        <w:rPr>
          <w:spacing w:val="-9"/>
          <w:sz w:val="18"/>
          <w:szCs w:val="18"/>
          <w:lang w:val="es-ES_tradnl"/>
        </w:rPr>
        <w:t>, se</w:t>
      </w:r>
      <w:r>
        <w:rPr>
          <w:rFonts w:cs="Times New Roman"/>
          <w:spacing w:val="-9"/>
          <w:sz w:val="18"/>
          <w:szCs w:val="18"/>
          <w:lang w:val="es-ES_tradnl"/>
        </w:rPr>
        <w:t>ñ</w:t>
      </w:r>
      <w:r>
        <w:rPr>
          <w:spacing w:val="-9"/>
          <w:sz w:val="18"/>
          <w:szCs w:val="18"/>
          <w:lang w:val="es-ES_tradnl"/>
        </w:rPr>
        <w:t xml:space="preserve">ala que a pesar de que se encontraba pendiente la </w:t>
      </w:r>
      <w:r>
        <w:rPr>
          <w:spacing w:val="-8"/>
          <w:sz w:val="18"/>
          <w:szCs w:val="18"/>
          <w:lang w:val="es-ES_tradnl"/>
        </w:rPr>
        <w:t>evacuaci</w:t>
      </w:r>
      <w:r>
        <w:rPr>
          <w:rFonts w:cs="Times New Roman"/>
          <w:spacing w:val="-8"/>
          <w:sz w:val="18"/>
          <w:szCs w:val="18"/>
          <w:lang w:val="es-ES_tradnl"/>
        </w:rPr>
        <w:t>ó</w:t>
      </w:r>
      <w:r>
        <w:rPr>
          <w:spacing w:val="-8"/>
          <w:sz w:val="18"/>
          <w:szCs w:val="18"/>
          <w:lang w:val="es-ES_tradnl"/>
        </w:rPr>
        <w:t xml:space="preserve">n de varias diligencias investigativas ordenadas </w:t>
      </w:r>
      <w:r>
        <w:rPr>
          <w:spacing w:val="-6"/>
          <w:sz w:val="18"/>
          <w:szCs w:val="18"/>
          <w:lang w:val="es-ES_tradnl"/>
        </w:rPr>
        <w:t>mediante impulso fiscal del 27 de junio de 2011, el se</w:t>
      </w:r>
      <w:r>
        <w:rPr>
          <w:rFonts w:cs="Times New Roman"/>
          <w:spacing w:val="-6"/>
          <w:sz w:val="18"/>
          <w:szCs w:val="18"/>
          <w:lang w:val="es-ES_tradnl"/>
        </w:rPr>
        <w:t>ñ</w:t>
      </w:r>
      <w:r>
        <w:rPr>
          <w:spacing w:val="-6"/>
          <w:sz w:val="18"/>
          <w:szCs w:val="18"/>
          <w:lang w:val="es-ES_tradnl"/>
        </w:rPr>
        <w:t xml:space="preserve">or </w:t>
      </w:r>
      <w:r>
        <w:rPr>
          <w:spacing w:val="-3"/>
          <w:sz w:val="18"/>
          <w:szCs w:val="18"/>
          <w:lang w:val="es-ES_tradnl"/>
        </w:rPr>
        <w:t>fiscal emiti</w:t>
      </w:r>
      <w:r>
        <w:rPr>
          <w:rFonts w:cs="Times New Roman"/>
          <w:spacing w:val="-3"/>
          <w:sz w:val="18"/>
          <w:szCs w:val="18"/>
          <w:lang w:val="es-ES_tradnl"/>
        </w:rPr>
        <w:t>ó</w:t>
      </w:r>
      <w:r>
        <w:rPr>
          <w:spacing w:val="-3"/>
          <w:sz w:val="18"/>
          <w:szCs w:val="18"/>
          <w:lang w:val="es-ES_tradnl"/>
        </w:rPr>
        <w:t xml:space="preserve"> una resoluci</w:t>
      </w:r>
      <w:r>
        <w:rPr>
          <w:rFonts w:cs="Times New Roman"/>
          <w:spacing w:val="-3"/>
          <w:sz w:val="18"/>
          <w:szCs w:val="18"/>
          <w:lang w:val="es-ES_tradnl"/>
        </w:rPr>
        <w:t>ó</w:t>
      </w:r>
      <w:r>
        <w:rPr>
          <w:spacing w:val="-3"/>
          <w:sz w:val="18"/>
          <w:szCs w:val="18"/>
          <w:lang w:val="es-ES_tradnl"/>
        </w:rPr>
        <w:t xml:space="preserve">n del 14 de julio de 2011, por </w:t>
      </w:r>
      <w:r>
        <w:rPr>
          <w:spacing w:val="-6"/>
          <w:sz w:val="18"/>
          <w:szCs w:val="18"/>
          <w:lang w:val="es-ES_tradnl"/>
        </w:rPr>
        <w:t>la cual desestimaba la indagaci</w:t>
      </w:r>
      <w:r>
        <w:rPr>
          <w:rFonts w:cs="Times New Roman"/>
          <w:spacing w:val="-6"/>
          <w:sz w:val="18"/>
          <w:szCs w:val="18"/>
          <w:lang w:val="es-ES_tradnl"/>
        </w:rPr>
        <w:t>ó</w:t>
      </w:r>
      <w:r>
        <w:rPr>
          <w:spacing w:val="-6"/>
          <w:sz w:val="18"/>
          <w:szCs w:val="18"/>
          <w:lang w:val="es-ES_tradnl"/>
        </w:rPr>
        <w:t>n previa N.</w:t>
      </w:r>
      <w:r>
        <w:rPr>
          <w:rFonts w:cs="Times New Roman"/>
          <w:spacing w:val="-6"/>
          <w:sz w:val="18"/>
          <w:szCs w:val="18"/>
          <w:lang w:val="es-ES_tradnl"/>
        </w:rPr>
        <w:t>°</w:t>
      </w:r>
      <w:r>
        <w:rPr>
          <w:spacing w:val="-6"/>
          <w:sz w:val="18"/>
          <w:szCs w:val="18"/>
          <w:lang w:val="es-ES_tradnl"/>
        </w:rPr>
        <w:t xml:space="preserve"> 088-2011 y </w:t>
      </w:r>
      <w:r>
        <w:rPr>
          <w:spacing w:val="-9"/>
          <w:sz w:val="18"/>
          <w:szCs w:val="18"/>
          <w:lang w:val="es-ES_tradnl"/>
        </w:rPr>
        <w:t>adem</w:t>
      </w:r>
      <w:r>
        <w:rPr>
          <w:rFonts w:cs="Times New Roman"/>
          <w:spacing w:val="-9"/>
          <w:sz w:val="18"/>
          <w:szCs w:val="18"/>
          <w:lang w:val="es-ES_tradnl"/>
        </w:rPr>
        <w:t>á</w:t>
      </w:r>
      <w:r>
        <w:rPr>
          <w:spacing w:val="-9"/>
          <w:sz w:val="18"/>
          <w:szCs w:val="18"/>
          <w:lang w:val="es-ES_tradnl"/>
        </w:rPr>
        <w:t xml:space="preserve">s dispuso que se remita el expediente a la sala de </w:t>
      </w:r>
      <w:r>
        <w:rPr>
          <w:spacing w:val="-8"/>
          <w:sz w:val="18"/>
          <w:szCs w:val="18"/>
          <w:lang w:val="es-ES_tradnl"/>
        </w:rPr>
        <w:t>sorteos de la Corte Provincial de Justicia del Guayas para que el juez de garant</w:t>
      </w:r>
      <w:r>
        <w:rPr>
          <w:rFonts w:cs="Times New Roman"/>
          <w:spacing w:val="-8"/>
          <w:sz w:val="18"/>
          <w:szCs w:val="18"/>
          <w:lang w:val="es-ES_tradnl"/>
        </w:rPr>
        <w:t>í</w:t>
      </w:r>
      <w:r>
        <w:rPr>
          <w:spacing w:val="-8"/>
          <w:sz w:val="18"/>
          <w:szCs w:val="18"/>
          <w:lang w:val="es-ES_tradnl"/>
        </w:rPr>
        <w:t xml:space="preserve">as penales avoque conocimiento de </w:t>
      </w:r>
      <w:r>
        <w:rPr>
          <w:spacing w:val="-7"/>
          <w:sz w:val="18"/>
          <w:szCs w:val="18"/>
          <w:lang w:val="es-ES_tradnl"/>
        </w:rPr>
        <w:t>dicha resoluci</w:t>
      </w:r>
      <w:r>
        <w:rPr>
          <w:rFonts w:cs="Times New Roman"/>
          <w:spacing w:val="-7"/>
          <w:sz w:val="18"/>
          <w:szCs w:val="18"/>
          <w:lang w:val="es-ES_tradnl"/>
        </w:rPr>
        <w:t>ó</w:t>
      </w:r>
      <w:r>
        <w:rPr>
          <w:spacing w:val="-7"/>
          <w:sz w:val="18"/>
          <w:szCs w:val="18"/>
          <w:lang w:val="es-ES_tradnl"/>
        </w:rPr>
        <w:t>n y ordene el archivo de la indagaci</w:t>
      </w:r>
      <w:r>
        <w:rPr>
          <w:rFonts w:cs="Times New Roman"/>
          <w:spacing w:val="-7"/>
          <w:sz w:val="18"/>
          <w:szCs w:val="18"/>
          <w:lang w:val="es-ES_tradnl"/>
        </w:rPr>
        <w:t>ó</w:t>
      </w:r>
      <w:r>
        <w:rPr>
          <w:spacing w:val="-7"/>
          <w:sz w:val="18"/>
          <w:szCs w:val="18"/>
          <w:lang w:val="es-ES_tradnl"/>
        </w:rPr>
        <w:t>n.</w:t>
      </w:r>
    </w:p>
    <w:p w14:paraId="4F67BAFE" w14:textId="77777777" w:rsidR="00591D54" w:rsidRDefault="00591D54">
      <w:pPr>
        <w:shd w:val="clear" w:color="auto" w:fill="FFFFFF"/>
        <w:spacing w:line="230" w:lineRule="exact"/>
        <w:ind w:right="5"/>
        <w:jc w:val="both"/>
      </w:pPr>
      <w:r>
        <w:br w:type="column"/>
      </w:r>
      <w:r>
        <w:rPr>
          <w:spacing w:val="-3"/>
          <w:sz w:val="18"/>
          <w:szCs w:val="18"/>
          <w:lang w:val="es-ES_tradnl"/>
        </w:rPr>
        <w:t>De esta forma, el Servicio de Rentas Internas, a trav</w:t>
      </w:r>
      <w:r>
        <w:rPr>
          <w:rFonts w:cs="Times New Roman"/>
          <w:spacing w:val="-3"/>
          <w:sz w:val="18"/>
          <w:szCs w:val="18"/>
          <w:lang w:val="es-ES_tradnl"/>
        </w:rPr>
        <w:t>é</w:t>
      </w:r>
      <w:r>
        <w:rPr>
          <w:spacing w:val="-3"/>
          <w:sz w:val="18"/>
          <w:szCs w:val="18"/>
          <w:lang w:val="es-ES_tradnl"/>
        </w:rPr>
        <w:t xml:space="preserve">s </w:t>
      </w:r>
      <w:r>
        <w:rPr>
          <w:spacing w:val="-8"/>
          <w:sz w:val="18"/>
          <w:szCs w:val="18"/>
          <w:lang w:val="es-ES_tradnl"/>
        </w:rPr>
        <w:t xml:space="preserve">de su entonces representante legal, expresa que el fiscal </w:t>
      </w:r>
      <w:r>
        <w:rPr>
          <w:spacing w:val="-5"/>
          <w:sz w:val="18"/>
          <w:szCs w:val="18"/>
          <w:lang w:val="es-ES_tradnl"/>
        </w:rPr>
        <w:t>desestim</w:t>
      </w:r>
      <w:r>
        <w:rPr>
          <w:rFonts w:cs="Times New Roman"/>
          <w:spacing w:val="-5"/>
          <w:sz w:val="18"/>
          <w:szCs w:val="18"/>
          <w:lang w:val="es-ES_tradnl"/>
        </w:rPr>
        <w:t>ó</w:t>
      </w:r>
      <w:r>
        <w:rPr>
          <w:spacing w:val="-5"/>
          <w:sz w:val="18"/>
          <w:szCs w:val="18"/>
          <w:lang w:val="es-ES_tradnl"/>
        </w:rPr>
        <w:t xml:space="preserve"> la indagaci</w:t>
      </w:r>
      <w:r>
        <w:rPr>
          <w:rFonts w:cs="Times New Roman"/>
          <w:spacing w:val="-5"/>
          <w:sz w:val="18"/>
          <w:szCs w:val="18"/>
          <w:lang w:val="es-ES_tradnl"/>
        </w:rPr>
        <w:t>ó</w:t>
      </w:r>
      <w:r>
        <w:rPr>
          <w:spacing w:val="-5"/>
          <w:sz w:val="18"/>
          <w:szCs w:val="18"/>
          <w:lang w:val="es-ES_tradnl"/>
        </w:rPr>
        <w:t>n previa cuando a</w:t>
      </w:r>
      <w:r>
        <w:rPr>
          <w:rFonts w:cs="Times New Roman"/>
          <w:spacing w:val="-5"/>
          <w:sz w:val="18"/>
          <w:szCs w:val="18"/>
          <w:lang w:val="es-ES_tradnl"/>
        </w:rPr>
        <w:t>ú</w:t>
      </w:r>
      <w:r>
        <w:rPr>
          <w:spacing w:val="-5"/>
          <w:sz w:val="18"/>
          <w:szCs w:val="18"/>
          <w:lang w:val="es-ES_tradnl"/>
        </w:rPr>
        <w:t xml:space="preserve">n faltaban </w:t>
      </w:r>
      <w:r>
        <w:rPr>
          <w:spacing w:val="-7"/>
          <w:sz w:val="18"/>
          <w:szCs w:val="18"/>
          <w:lang w:val="es-ES_tradnl"/>
        </w:rPr>
        <w:t>diligencias por evacuarse, as</w:t>
      </w:r>
      <w:r>
        <w:rPr>
          <w:rFonts w:cs="Times New Roman"/>
          <w:spacing w:val="-7"/>
          <w:sz w:val="18"/>
          <w:szCs w:val="18"/>
          <w:lang w:val="es-ES_tradnl"/>
        </w:rPr>
        <w:t>í</w:t>
      </w:r>
      <w:r>
        <w:rPr>
          <w:spacing w:val="-7"/>
          <w:sz w:val="18"/>
          <w:szCs w:val="18"/>
          <w:lang w:val="es-ES_tradnl"/>
        </w:rPr>
        <w:t xml:space="preserve"> como el hecho que no les </w:t>
      </w:r>
      <w:r>
        <w:rPr>
          <w:spacing w:val="-5"/>
          <w:sz w:val="18"/>
          <w:szCs w:val="18"/>
          <w:lang w:val="es-ES_tradnl"/>
        </w:rPr>
        <w:t>notific</w:t>
      </w:r>
      <w:r>
        <w:rPr>
          <w:rFonts w:cs="Times New Roman"/>
          <w:spacing w:val="-5"/>
          <w:sz w:val="18"/>
          <w:szCs w:val="18"/>
          <w:lang w:val="es-ES_tradnl"/>
        </w:rPr>
        <w:t>ó</w:t>
      </w:r>
      <w:r>
        <w:rPr>
          <w:spacing w:val="-5"/>
          <w:sz w:val="18"/>
          <w:szCs w:val="18"/>
          <w:lang w:val="es-ES_tradnl"/>
        </w:rPr>
        <w:t xml:space="preserve"> que ECUAVITAL S. A., present</w:t>
      </w:r>
      <w:r>
        <w:rPr>
          <w:rFonts w:cs="Times New Roman"/>
          <w:spacing w:val="-5"/>
          <w:sz w:val="18"/>
          <w:szCs w:val="18"/>
          <w:lang w:val="es-ES_tradnl"/>
        </w:rPr>
        <w:t>ó</w:t>
      </w:r>
      <w:r>
        <w:rPr>
          <w:spacing w:val="-5"/>
          <w:sz w:val="18"/>
          <w:szCs w:val="18"/>
          <w:lang w:val="es-ES_tradnl"/>
        </w:rPr>
        <w:t xml:space="preserve"> como medio de </w:t>
      </w:r>
      <w:r>
        <w:rPr>
          <w:spacing w:val="-7"/>
          <w:sz w:val="18"/>
          <w:szCs w:val="18"/>
          <w:lang w:val="es-ES_tradnl"/>
        </w:rPr>
        <w:t>prueba un convenio de cesi</w:t>
      </w:r>
      <w:r>
        <w:rPr>
          <w:rFonts w:cs="Times New Roman"/>
          <w:spacing w:val="-7"/>
          <w:sz w:val="18"/>
          <w:szCs w:val="18"/>
          <w:lang w:val="es-ES_tradnl"/>
        </w:rPr>
        <w:t>ó</w:t>
      </w:r>
      <w:r>
        <w:rPr>
          <w:spacing w:val="-7"/>
          <w:sz w:val="18"/>
          <w:szCs w:val="18"/>
          <w:lang w:val="es-ES_tradnl"/>
        </w:rPr>
        <w:t xml:space="preserve">n de derechos de cobro de </w:t>
      </w:r>
      <w:r>
        <w:rPr>
          <w:spacing w:val="-11"/>
          <w:sz w:val="18"/>
          <w:szCs w:val="18"/>
          <w:lang w:val="es-ES_tradnl"/>
        </w:rPr>
        <w:t>saldos de facturas suscrito supuestamente entre la compa</w:t>
      </w:r>
      <w:r>
        <w:rPr>
          <w:rFonts w:cs="Times New Roman"/>
          <w:spacing w:val="-11"/>
          <w:sz w:val="18"/>
          <w:szCs w:val="18"/>
          <w:lang w:val="es-ES_tradnl"/>
        </w:rPr>
        <w:t>ñí</w:t>
      </w:r>
      <w:r>
        <w:rPr>
          <w:spacing w:val="-11"/>
          <w:sz w:val="18"/>
          <w:szCs w:val="18"/>
          <w:lang w:val="es-ES_tradnl"/>
        </w:rPr>
        <w:t xml:space="preserve">a </w:t>
      </w:r>
      <w:r>
        <w:rPr>
          <w:spacing w:val="-3"/>
          <w:sz w:val="18"/>
          <w:szCs w:val="18"/>
          <w:lang w:val="es-ES_tradnl"/>
        </w:rPr>
        <w:t xml:space="preserve">ALLQUALITY y el representante de INVERSIONES </w:t>
      </w:r>
      <w:r>
        <w:rPr>
          <w:spacing w:val="-5"/>
          <w:sz w:val="18"/>
          <w:szCs w:val="18"/>
          <w:lang w:val="es-ES_tradnl"/>
        </w:rPr>
        <w:t xml:space="preserve">TRIAKON S.A. y ECUAVITAL S. A., cuando, de acuerdo </w:t>
      </w:r>
      <w:r>
        <w:rPr>
          <w:spacing w:val="-4"/>
          <w:sz w:val="18"/>
          <w:szCs w:val="18"/>
          <w:lang w:val="es-ES_tradnl"/>
        </w:rPr>
        <w:t xml:space="preserve">a su criterio, </w:t>
      </w:r>
      <w:r>
        <w:rPr>
          <w:rFonts w:cs="Times New Roman"/>
          <w:spacing w:val="-4"/>
          <w:sz w:val="18"/>
          <w:szCs w:val="18"/>
          <w:lang w:val="es-ES_tradnl"/>
        </w:rPr>
        <w:t>“</w:t>
      </w:r>
      <w:r>
        <w:rPr>
          <w:spacing w:val="-4"/>
          <w:sz w:val="18"/>
          <w:szCs w:val="18"/>
          <w:lang w:val="es-ES_tradnl"/>
        </w:rPr>
        <w:t xml:space="preserve">era manifiesta la falsedad de la firma del </w:t>
      </w:r>
      <w:r>
        <w:rPr>
          <w:sz w:val="18"/>
          <w:szCs w:val="18"/>
          <w:lang w:val="es-ES_tradnl"/>
        </w:rPr>
        <w:t>representante de ALLQUALITY</w:t>
      </w:r>
      <w:r>
        <w:rPr>
          <w:rFonts w:cs="Times New Roman"/>
          <w:sz w:val="18"/>
          <w:szCs w:val="18"/>
          <w:lang w:val="es-ES_tradnl"/>
        </w:rPr>
        <w:t>”</w:t>
      </w:r>
      <w:r>
        <w:rPr>
          <w:sz w:val="18"/>
          <w:szCs w:val="18"/>
          <w:lang w:val="es-ES_tradnl"/>
        </w:rPr>
        <w:t>.</w:t>
      </w:r>
    </w:p>
    <w:p w14:paraId="4F67BAFF" w14:textId="77777777" w:rsidR="00591D54" w:rsidRDefault="00591D54">
      <w:pPr>
        <w:shd w:val="clear" w:color="auto" w:fill="FFFFFF"/>
        <w:spacing w:before="250" w:line="230" w:lineRule="exact"/>
        <w:jc w:val="both"/>
      </w:pPr>
      <w:r>
        <w:rPr>
          <w:spacing w:val="-4"/>
          <w:sz w:val="18"/>
          <w:szCs w:val="18"/>
          <w:lang w:val="es-ES_tradnl"/>
        </w:rPr>
        <w:t>Se</w:t>
      </w:r>
      <w:r>
        <w:rPr>
          <w:rFonts w:cs="Times New Roman"/>
          <w:spacing w:val="-4"/>
          <w:sz w:val="18"/>
          <w:szCs w:val="18"/>
          <w:lang w:val="es-ES_tradnl"/>
        </w:rPr>
        <w:t>ñ</w:t>
      </w:r>
      <w:r>
        <w:rPr>
          <w:spacing w:val="-4"/>
          <w:sz w:val="18"/>
          <w:szCs w:val="18"/>
          <w:lang w:val="es-ES_tradnl"/>
        </w:rPr>
        <w:t>ala que, dentro del proceso, se llev</w:t>
      </w:r>
      <w:r>
        <w:rPr>
          <w:rFonts w:cs="Times New Roman"/>
          <w:spacing w:val="-4"/>
          <w:sz w:val="18"/>
          <w:szCs w:val="18"/>
          <w:lang w:val="es-ES_tradnl"/>
        </w:rPr>
        <w:t>ó</w:t>
      </w:r>
      <w:r>
        <w:rPr>
          <w:spacing w:val="-4"/>
          <w:sz w:val="18"/>
          <w:szCs w:val="18"/>
          <w:lang w:val="es-ES_tradnl"/>
        </w:rPr>
        <w:t xml:space="preserve"> a cabo una </w:t>
      </w:r>
      <w:r>
        <w:rPr>
          <w:spacing w:val="-9"/>
          <w:sz w:val="18"/>
          <w:szCs w:val="18"/>
          <w:lang w:val="es-ES_tradnl"/>
        </w:rPr>
        <w:t>audiencia de desestimaci</w:t>
      </w:r>
      <w:r>
        <w:rPr>
          <w:rFonts w:cs="Times New Roman"/>
          <w:spacing w:val="-9"/>
          <w:sz w:val="18"/>
          <w:szCs w:val="18"/>
          <w:lang w:val="es-ES_tradnl"/>
        </w:rPr>
        <w:t>ó</w:t>
      </w:r>
      <w:r>
        <w:rPr>
          <w:spacing w:val="-9"/>
          <w:sz w:val="18"/>
          <w:szCs w:val="18"/>
          <w:lang w:val="es-ES_tradnl"/>
        </w:rPr>
        <w:t xml:space="preserve">n convocada por el juez sexto de </w:t>
      </w:r>
      <w:r>
        <w:rPr>
          <w:spacing w:val="-8"/>
          <w:sz w:val="18"/>
          <w:szCs w:val="18"/>
          <w:lang w:val="es-ES_tradnl"/>
        </w:rPr>
        <w:t>Garant</w:t>
      </w:r>
      <w:r>
        <w:rPr>
          <w:rFonts w:cs="Times New Roman"/>
          <w:spacing w:val="-8"/>
          <w:sz w:val="18"/>
          <w:szCs w:val="18"/>
          <w:lang w:val="es-ES_tradnl"/>
        </w:rPr>
        <w:t>í</w:t>
      </w:r>
      <w:r>
        <w:rPr>
          <w:spacing w:val="-8"/>
          <w:sz w:val="18"/>
          <w:szCs w:val="18"/>
          <w:lang w:val="es-ES_tradnl"/>
        </w:rPr>
        <w:t>as Penales del Guayas, en la que se cont</w:t>
      </w:r>
      <w:r>
        <w:rPr>
          <w:rFonts w:cs="Times New Roman"/>
          <w:spacing w:val="-8"/>
          <w:sz w:val="18"/>
          <w:szCs w:val="18"/>
          <w:lang w:val="es-ES_tradnl"/>
        </w:rPr>
        <w:t>ó</w:t>
      </w:r>
      <w:r>
        <w:rPr>
          <w:spacing w:val="-8"/>
          <w:sz w:val="18"/>
          <w:szCs w:val="18"/>
          <w:lang w:val="es-ES_tradnl"/>
        </w:rPr>
        <w:t xml:space="preserve"> con la </w:t>
      </w:r>
      <w:r>
        <w:rPr>
          <w:spacing w:val="-7"/>
          <w:sz w:val="18"/>
          <w:szCs w:val="18"/>
          <w:lang w:val="es-ES_tradnl"/>
        </w:rPr>
        <w:t xml:space="preserve">presencia del fiscal el representante legal de ECUAVITAL </w:t>
      </w:r>
      <w:r>
        <w:rPr>
          <w:spacing w:val="-2"/>
          <w:sz w:val="18"/>
          <w:szCs w:val="18"/>
          <w:lang w:val="es-ES_tradnl"/>
        </w:rPr>
        <w:t>S. A., y el representante de ALLQUALITY, quien volvi</w:t>
      </w:r>
      <w:r>
        <w:rPr>
          <w:rFonts w:cs="Times New Roman"/>
          <w:spacing w:val="-2"/>
          <w:sz w:val="18"/>
          <w:szCs w:val="18"/>
          <w:lang w:val="es-ES_tradnl"/>
        </w:rPr>
        <w:t xml:space="preserve">ó </w:t>
      </w:r>
      <w:r>
        <w:rPr>
          <w:spacing w:val="-9"/>
          <w:sz w:val="18"/>
          <w:szCs w:val="18"/>
          <w:lang w:val="es-ES_tradnl"/>
        </w:rPr>
        <w:t>a sostener que jam</w:t>
      </w:r>
      <w:r>
        <w:rPr>
          <w:rFonts w:cs="Times New Roman"/>
          <w:spacing w:val="-9"/>
          <w:sz w:val="18"/>
          <w:szCs w:val="18"/>
          <w:lang w:val="es-ES_tradnl"/>
        </w:rPr>
        <w:t>á</w:t>
      </w:r>
      <w:r>
        <w:rPr>
          <w:spacing w:val="-9"/>
          <w:sz w:val="18"/>
          <w:szCs w:val="18"/>
          <w:lang w:val="es-ES_tradnl"/>
        </w:rPr>
        <w:t xml:space="preserve">s ha tenido relaciones comerciales con </w:t>
      </w:r>
      <w:r>
        <w:rPr>
          <w:spacing w:val="-7"/>
          <w:sz w:val="18"/>
          <w:szCs w:val="18"/>
          <w:lang w:val="es-ES_tradnl"/>
        </w:rPr>
        <w:t>ECUAVITAL S. A., y que no hab</w:t>
      </w:r>
      <w:r>
        <w:rPr>
          <w:rFonts w:cs="Times New Roman"/>
          <w:spacing w:val="-7"/>
          <w:sz w:val="18"/>
          <w:szCs w:val="18"/>
          <w:lang w:val="es-ES_tradnl"/>
        </w:rPr>
        <w:t>í</w:t>
      </w:r>
      <w:r>
        <w:rPr>
          <w:spacing w:val="-7"/>
          <w:sz w:val="18"/>
          <w:szCs w:val="18"/>
          <w:lang w:val="es-ES_tradnl"/>
        </w:rPr>
        <w:t xml:space="preserve">a suscrito el convenio de </w:t>
      </w:r>
      <w:r>
        <w:rPr>
          <w:spacing w:val="-10"/>
          <w:sz w:val="18"/>
          <w:szCs w:val="18"/>
          <w:lang w:val="es-ES_tradnl"/>
        </w:rPr>
        <w:t>cesi</w:t>
      </w:r>
      <w:r>
        <w:rPr>
          <w:rFonts w:cs="Times New Roman"/>
          <w:spacing w:val="-10"/>
          <w:sz w:val="18"/>
          <w:szCs w:val="18"/>
          <w:lang w:val="es-ES_tradnl"/>
        </w:rPr>
        <w:t>ó</w:t>
      </w:r>
      <w:r>
        <w:rPr>
          <w:spacing w:val="-10"/>
          <w:sz w:val="18"/>
          <w:szCs w:val="18"/>
          <w:lang w:val="es-ES_tradnl"/>
        </w:rPr>
        <w:t>n de derechos presentado en la fiscal</w:t>
      </w:r>
      <w:r>
        <w:rPr>
          <w:rFonts w:cs="Times New Roman"/>
          <w:spacing w:val="-10"/>
          <w:sz w:val="18"/>
          <w:szCs w:val="18"/>
          <w:lang w:val="es-ES_tradnl"/>
        </w:rPr>
        <w:t>í</w:t>
      </w:r>
      <w:r>
        <w:rPr>
          <w:spacing w:val="-10"/>
          <w:sz w:val="18"/>
          <w:szCs w:val="18"/>
          <w:lang w:val="es-ES_tradnl"/>
        </w:rPr>
        <w:t>a.</w:t>
      </w:r>
    </w:p>
    <w:p w14:paraId="4F67BB00" w14:textId="77777777" w:rsidR="00591D54" w:rsidRDefault="00591D54">
      <w:pPr>
        <w:shd w:val="clear" w:color="auto" w:fill="FFFFFF"/>
        <w:spacing w:before="250" w:line="230" w:lineRule="exact"/>
        <w:ind w:right="5"/>
        <w:jc w:val="both"/>
      </w:pPr>
      <w:r>
        <w:rPr>
          <w:spacing w:val="-7"/>
          <w:sz w:val="18"/>
          <w:szCs w:val="18"/>
          <w:lang w:val="es-ES_tradnl"/>
        </w:rPr>
        <w:t>A pesar de esto, el juez sexto de Garant</w:t>
      </w:r>
      <w:r>
        <w:rPr>
          <w:rFonts w:cs="Times New Roman"/>
          <w:spacing w:val="-7"/>
          <w:sz w:val="18"/>
          <w:szCs w:val="18"/>
          <w:lang w:val="es-ES_tradnl"/>
        </w:rPr>
        <w:t>í</w:t>
      </w:r>
      <w:r>
        <w:rPr>
          <w:spacing w:val="-7"/>
          <w:sz w:val="18"/>
          <w:szCs w:val="18"/>
          <w:lang w:val="es-ES_tradnl"/>
        </w:rPr>
        <w:t xml:space="preserve">as Penales del </w:t>
      </w:r>
      <w:r>
        <w:rPr>
          <w:spacing w:val="-3"/>
          <w:sz w:val="18"/>
          <w:szCs w:val="18"/>
          <w:lang w:val="es-ES_tradnl"/>
        </w:rPr>
        <w:t>Guayas resolvi</w:t>
      </w:r>
      <w:r>
        <w:rPr>
          <w:rFonts w:cs="Times New Roman"/>
          <w:spacing w:val="-3"/>
          <w:sz w:val="18"/>
          <w:szCs w:val="18"/>
          <w:lang w:val="es-ES_tradnl"/>
        </w:rPr>
        <w:t>ó</w:t>
      </w:r>
      <w:r>
        <w:rPr>
          <w:spacing w:val="-3"/>
          <w:sz w:val="18"/>
          <w:szCs w:val="18"/>
          <w:lang w:val="es-ES_tradnl"/>
        </w:rPr>
        <w:t xml:space="preserve"> acoger el pedido de desestimaci</w:t>
      </w:r>
      <w:r>
        <w:rPr>
          <w:rFonts w:cs="Times New Roman"/>
          <w:spacing w:val="-3"/>
          <w:sz w:val="18"/>
          <w:szCs w:val="18"/>
          <w:lang w:val="es-ES_tradnl"/>
        </w:rPr>
        <w:t>ó</w:t>
      </w:r>
      <w:r>
        <w:rPr>
          <w:spacing w:val="-3"/>
          <w:sz w:val="18"/>
          <w:szCs w:val="18"/>
          <w:lang w:val="es-ES_tradnl"/>
        </w:rPr>
        <w:t xml:space="preserve">n del </w:t>
      </w:r>
      <w:r>
        <w:rPr>
          <w:spacing w:val="-4"/>
          <w:sz w:val="18"/>
          <w:szCs w:val="18"/>
          <w:lang w:val="es-ES_tradnl"/>
        </w:rPr>
        <w:t>fiscal y orden</w:t>
      </w:r>
      <w:r>
        <w:rPr>
          <w:rFonts w:cs="Times New Roman"/>
          <w:spacing w:val="-4"/>
          <w:sz w:val="18"/>
          <w:szCs w:val="18"/>
          <w:lang w:val="es-ES_tradnl"/>
        </w:rPr>
        <w:t>ó</w:t>
      </w:r>
      <w:r>
        <w:rPr>
          <w:spacing w:val="-4"/>
          <w:sz w:val="18"/>
          <w:szCs w:val="18"/>
          <w:lang w:val="es-ES_tradnl"/>
        </w:rPr>
        <w:t xml:space="preserve"> el archivo de la indagaci</w:t>
      </w:r>
      <w:r>
        <w:rPr>
          <w:rFonts w:cs="Times New Roman"/>
          <w:spacing w:val="-4"/>
          <w:sz w:val="18"/>
          <w:szCs w:val="18"/>
          <w:lang w:val="es-ES_tradnl"/>
        </w:rPr>
        <w:t>ó</w:t>
      </w:r>
      <w:r>
        <w:rPr>
          <w:spacing w:val="-4"/>
          <w:sz w:val="18"/>
          <w:szCs w:val="18"/>
          <w:lang w:val="es-ES_tradnl"/>
        </w:rPr>
        <w:t>n previa N.</w:t>
      </w:r>
      <w:r>
        <w:rPr>
          <w:rFonts w:cs="Times New Roman"/>
          <w:spacing w:val="-4"/>
          <w:sz w:val="18"/>
          <w:szCs w:val="18"/>
          <w:lang w:val="es-ES_tradnl"/>
        </w:rPr>
        <w:t xml:space="preserve">° </w:t>
      </w:r>
      <w:r>
        <w:rPr>
          <w:spacing w:val="-5"/>
          <w:sz w:val="18"/>
          <w:szCs w:val="18"/>
          <w:lang w:val="es-ES_tradnl"/>
        </w:rPr>
        <w:t>088-2011 (10-12-13121), sin efectuar un an</w:t>
      </w:r>
      <w:r>
        <w:rPr>
          <w:rFonts w:cs="Times New Roman"/>
          <w:spacing w:val="-5"/>
          <w:sz w:val="18"/>
          <w:szCs w:val="18"/>
          <w:lang w:val="es-ES_tradnl"/>
        </w:rPr>
        <w:t>á</w:t>
      </w:r>
      <w:r>
        <w:rPr>
          <w:spacing w:val="-5"/>
          <w:sz w:val="18"/>
          <w:szCs w:val="18"/>
          <w:lang w:val="es-ES_tradnl"/>
        </w:rPr>
        <w:t xml:space="preserve">lisis prolijo y </w:t>
      </w:r>
      <w:r>
        <w:rPr>
          <w:spacing w:val="-7"/>
          <w:sz w:val="18"/>
          <w:szCs w:val="18"/>
          <w:lang w:val="es-ES_tradnl"/>
        </w:rPr>
        <w:t>motivado, ante lo cual la administraci</w:t>
      </w:r>
      <w:r>
        <w:rPr>
          <w:rFonts w:cs="Times New Roman"/>
          <w:spacing w:val="-7"/>
          <w:sz w:val="18"/>
          <w:szCs w:val="18"/>
          <w:lang w:val="es-ES_tradnl"/>
        </w:rPr>
        <w:t>ó</w:t>
      </w:r>
      <w:r>
        <w:rPr>
          <w:spacing w:val="-7"/>
          <w:sz w:val="18"/>
          <w:szCs w:val="18"/>
          <w:lang w:val="es-ES_tradnl"/>
        </w:rPr>
        <w:t>n tributaria solicit</w:t>
      </w:r>
      <w:r>
        <w:rPr>
          <w:rFonts w:cs="Times New Roman"/>
          <w:spacing w:val="-7"/>
          <w:sz w:val="18"/>
          <w:szCs w:val="18"/>
          <w:lang w:val="es-ES_tradnl"/>
        </w:rPr>
        <w:t>ó</w:t>
      </w:r>
      <w:r>
        <w:rPr>
          <w:spacing w:val="-7"/>
          <w:sz w:val="18"/>
          <w:szCs w:val="18"/>
          <w:lang w:val="es-ES_tradnl"/>
        </w:rPr>
        <w:t xml:space="preserve"> la revocatoria del auto resolutorio, pedido que fue rechazado </w:t>
      </w:r>
      <w:r>
        <w:rPr>
          <w:spacing w:val="-8"/>
          <w:sz w:val="18"/>
          <w:szCs w:val="18"/>
          <w:lang w:val="es-ES_tradnl"/>
        </w:rPr>
        <w:t>mediante providencia del 11 de agosto de 2011.</w:t>
      </w:r>
    </w:p>
    <w:p w14:paraId="4F67BB01" w14:textId="77777777" w:rsidR="00591D54" w:rsidRDefault="00591D54">
      <w:pPr>
        <w:shd w:val="clear" w:color="auto" w:fill="FFFFFF"/>
        <w:spacing w:before="250" w:line="230" w:lineRule="exact"/>
        <w:ind w:right="5"/>
        <w:jc w:val="both"/>
      </w:pPr>
      <w:r>
        <w:rPr>
          <w:spacing w:val="-9"/>
          <w:sz w:val="18"/>
          <w:szCs w:val="18"/>
          <w:lang w:val="es-ES_tradnl"/>
        </w:rPr>
        <w:t>En ese sentido, se</w:t>
      </w:r>
      <w:r>
        <w:rPr>
          <w:rFonts w:cs="Times New Roman"/>
          <w:spacing w:val="-9"/>
          <w:sz w:val="18"/>
          <w:szCs w:val="18"/>
          <w:lang w:val="es-ES_tradnl"/>
        </w:rPr>
        <w:t>ñ</w:t>
      </w:r>
      <w:r>
        <w:rPr>
          <w:spacing w:val="-9"/>
          <w:sz w:val="18"/>
          <w:szCs w:val="18"/>
          <w:lang w:val="es-ES_tradnl"/>
        </w:rPr>
        <w:t xml:space="preserve">ala que los autos impugnados mediante </w:t>
      </w:r>
      <w:r>
        <w:rPr>
          <w:spacing w:val="-4"/>
          <w:sz w:val="18"/>
          <w:szCs w:val="18"/>
          <w:lang w:val="es-ES_tradnl"/>
        </w:rPr>
        <w:t>la presente acci</w:t>
      </w:r>
      <w:r>
        <w:rPr>
          <w:rFonts w:cs="Times New Roman"/>
          <w:spacing w:val="-4"/>
          <w:sz w:val="18"/>
          <w:szCs w:val="18"/>
          <w:lang w:val="es-ES_tradnl"/>
        </w:rPr>
        <w:t>ó</w:t>
      </w:r>
      <w:r>
        <w:rPr>
          <w:spacing w:val="-4"/>
          <w:sz w:val="18"/>
          <w:szCs w:val="18"/>
          <w:lang w:val="es-ES_tradnl"/>
        </w:rPr>
        <w:t>n extraordinaria de protecci</w:t>
      </w:r>
      <w:r>
        <w:rPr>
          <w:rFonts w:cs="Times New Roman"/>
          <w:spacing w:val="-4"/>
          <w:sz w:val="18"/>
          <w:szCs w:val="18"/>
          <w:lang w:val="es-ES_tradnl"/>
        </w:rPr>
        <w:t>ó</w:t>
      </w:r>
      <w:r>
        <w:rPr>
          <w:spacing w:val="-4"/>
          <w:sz w:val="18"/>
          <w:szCs w:val="18"/>
          <w:lang w:val="es-ES_tradnl"/>
        </w:rPr>
        <w:t xml:space="preserve">n vulneran el derecho a la tutela judicial efectiva, ya que se ha </w:t>
      </w:r>
      <w:r>
        <w:rPr>
          <w:spacing w:val="-10"/>
          <w:sz w:val="18"/>
          <w:szCs w:val="18"/>
          <w:lang w:val="es-ES_tradnl"/>
        </w:rPr>
        <w:t>desestimado una indagaci</w:t>
      </w:r>
      <w:r>
        <w:rPr>
          <w:rFonts w:cs="Times New Roman"/>
          <w:spacing w:val="-10"/>
          <w:sz w:val="18"/>
          <w:szCs w:val="18"/>
          <w:lang w:val="es-ES_tradnl"/>
        </w:rPr>
        <w:t>ó</w:t>
      </w:r>
      <w:r>
        <w:rPr>
          <w:spacing w:val="-10"/>
          <w:sz w:val="18"/>
          <w:szCs w:val="18"/>
          <w:lang w:val="es-ES_tradnl"/>
        </w:rPr>
        <w:t xml:space="preserve">n previa de manera arbitraria, sin </w:t>
      </w:r>
      <w:r>
        <w:rPr>
          <w:spacing w:val="-6"/>
          <w:sz w:val="18"/>
          <w:szCs w:val="18"/>
          <w:lang w:val="es-ES_tradnl"/>
        </w:rPr>
        <w:t xml:space="preserve">observar derechos y principios constitucionales, dejando </w:t>
      </w:r>
      <w:r>
        <w:rPr>
          <w:spacing w:val="-7"/>
          <w:sz w:val="18"/>
          <w:szCs w:val="18"/>
          <w:lang w:val="es-ES_tradnl"/>
        </w:rPr>
        <w:t xml:space="preserve">sin posibilidad de que se haga efectiva la responsabilidad </w:t>
      </w:r>
      <w:r>
        <w:rPr>
          <w:spacing w:val="-9"/>
          <w:sz w:val="18"/>
          <w:szCs w:val="18"/>
          <w:lang w:val="es-ES_tradnl"/>
        </w:rPr>
        <w:t>penal de los denunciados. Adem</w:t>
      </w:r>
      <w:r>
        <w:rPr>
          <w:rFonts w:cs="Times New Roman"/>
          <w:spacing w:val="-9"/>
          <w:sz w:val="18"/>
          <w:szCs w:val="18"/>
          <w:lang w:val="es-ES_tradnl"/>
        </w:rPr>
        <w:t>á</w:t>
      </w:r>
      <w:r>
        <w:rPr>
          <w:spacing w:val="-9"/>
          <w:sz w:val="18"/>
          <w:szCs w:val="18"/>
          <w:lang w:val="es-ES_tradnl"/>
        </w:rPr>
        <w:t xml:space="preserve">s, sostiene que se ha </w:t>
      </w:r>
      <w:r>
        <w:rPr>
          <w:spacing w:val="-10"/>
          <w:sz w:val="18"/>
          <w:szCs w:val="18"/>
          <w:lang w:val="es-ES_tradnl"/>
        </w:rPr>
        <w:t xml:space="preserve">vulnerado el derecho al debido proceso, por cuanto no se ha </w:t>
      </w:r>
      <w:r>
        <w:rPr>
          <w:spacing w:val="-9"/>
          <w:sz w:val="18"/>
          <w:szCs w:val="18"/>
          <w:lang w:val="es-ES_tradnl"/>
        </w:rPr>
        <w:t>garantizado las normas procesales penales y los derechos.</w:t>
      </w:r>
    </w:p>
    <w:p w14:paraId="4F67BB02" w14:textId="77777777" w:rsidR="00591D54" w:rsidRDefault="00591D54">
      <w:pPr>
        <w:shd w:val="clear" w:color="auto" w:fill="FFFFFF"/>
        <w:spacing w:before="254"/>
      </w:pPr>
      <w:r>
        <w:rPr>
          <w:b/>
          <w:bCs/>
          <w:spacing w:val="-11"/>
          <w:sz w:val="18"/>
          <w:szCs w:val="18"/>
          <w:lang w:val="es-ES_tradnl"/>
        </w:rPr>
        <w:t>Decisiones judiciales impugnadas</w:t>
      </w:r>
    </w:p>
    <w:p w14:paraId="4F67BB03" w14:textId="77777777" w:rsidR="00591D54" w:rsidRDefault="00591D54">
      <w:pPr>
        <w:shd w:val="clear" w:color="auto" w:fill="FFFFFF"/>
        <w:spacing w:before="250" w:line="230" w:lineRule="exact"/>
        <w:ind w:right="5"/>
        <w:jc w:val="both"/>
      </w:pPr>
      <w:r>
        <w:rPr>
          <w:b/>
          <w:bCs/>
          <w:spacing w:val="-11"/>
          <w:sz w:val="18"/>
          <w:szCs w:val="18"/>
          <w:lang w:val="es-ES_tradnl"/>
        </w:rPr>
        <w:t>Auto dictado por el Juzgado Sexto de Garant</w:t>
      </w:r>
      <w:r>
        <w:rPr>
          <w:rFonts w:cs="Times New Roman"/>
          <w:b/>
          <w:bCs/>
          <w:spacing w:val="-11"/>
          <w:sz w:val="18"/>
          <w:szCs w:val="18"/>
          <w:lang w:val="es-ES_tradnl"/>
        </w:rPr>
        <w:t>í</w:t>
      </w:r>
      <w:r>
        <w:rPr>
          <w:b/>
          <w:bCs/>
          <w:spacing w:val="-11"/>
          <w:sz w:val="18"/>
          <w:szCs w:val="18"/>
          <w:lang w:val="es-ES_tradnl"/>
        </w:rPr>
        <w:t xml:space="preserve">as Penales </w:t>
      </w:r>
      <w:r>
        <w:rPr>
          <w:b/>
          <w:bCs/>
          <w:sz w:val="18"/>
          <w:szCs w:val="18"/>
          <w:lang w:val="es-ES_tradnl"/>
        </w:rPr>
        <w:t>del Guayas del 04 de agosto de 2011</w:t>
      </w:r>
    </w:p>
    <w:p w14:paraId="4F67BB04" w14:textId="77777777" w:rsidR="00591D54" w:rsidRDefault="00591D54">
      <w:pPr>
        <w:shd w:val="clear" w:color="auto" w:fill="FFFFFF"/>
        <w:spacing w:before="245" w:line="230" w:lineRule="exact"/>
        <w:ind w:left="283"/>
        <w:jc w:val="both"/>
      </w:pPr>
      <w:r>
        <w:rPr>
          <w:spacing w:val="-5"/>
          <w:sz w:val="16"/>
          <w:szCs w:val="16"/>
          <w:lang w:val="es-ES_tradnl"/>
        </w:rPr>
        <w:t xml:space="preserve">La parte denunciante ha presentado en esta audiencia </w:t>
      </w:r>
      <w:r>
        <w:rPr>
          <w:spacing w:val="-4"/>
          <w:sz w:val="16"/>
          <w:szCs w:val="16"/>
          <w:lang w:val="es-ES_tradnl"/>
        </w:rPr>
        <w:t xml:space="preserve">documentos que a su criterio constituyen pruebas que </w:t>
      </w:r>
      <w:r>
        <w:rPr>
          <w:spacing w:val="-6"/>
          <w:sz w:val="16"/>
          <w:szCs w:val="16"/>
          <w:lang w:val="es-ES_tradnl"/>
        </w:rPr>
        <w:t>demuestran el il</w:t>
      </w:r>
      <w:r>
        <w:rPr>
          <w:rFonts w:cs="Times New Roman"/>
          <w:spacing w:val="-6"/>
          <w:sz w:val="16"/>
          <w:szCs w:val="16"/>
          <w:lang w:val="es-ES_tradnl"/>
        </w:rPr>
        <w:t>í</w:t>
      </w:r>
      <w:r>
        <w:rPr>
          <w:spacing w:val="-6"/>
          <w:sz w:val="16"/>
          <w:szCs w:val="16"/>
          <w:lang w:val="es-ES_tradnl"/>
        </w:rPr>
        <w:t>cito denunciado, documentos que deber</w:t>
      </w:r>
      <w:r>
        <w:rPr>
          <w:rFonts w:cs="Times New Roman"/>
          <w:spacing w:val="-6"/>
          <w:sz w:val="16"/>
          <w:szCs w:val="16"/>
          <w:lang w:val="es-ES_tradnl"/>
        </w:rPr>
        <w:t>í</w:t>
      </w:r>
      <w:r>
        <w:rPr>
          <w:spacing w:val="-6"/>
          <w:sz w:val="16"/>
          <w:szCs w:val="16"/>
          <w:lang w:val="es-ES_tradnl"/>
        </w:rPr>
        <w:t xml:space="preserve">an </w:t>
      </w:r>
      <w:r>
        <w:rPr>
          <w:spacing w:val="-10"/>
          <w:sz w:val="16"/>
          <w:szCs w:val="16"/>
          <w:lang w:val="es-ES_tradnl"/>
        </w:rPr>
        <w:t>haber sido presentados dentro de la etapa de Indagaci</w:t>
      </w:r>
      <w:r>
        <w:rPr>
          <w:rFonts w:cs="Times New Roman"/>
          <w:spacing w:val="-10"/>
          <w:sz w:val="16"/>
          <w:szCs w:val="16"/>
          <w:lang w:val="es-ES_tradnl"/>
        </w:rPr>
        <w:t>ó</w:t>
      </w:r>
      <w:r>
        <w:rPr>
          <w:spacing w:val="-10"/>
          <w:sz w:val="16"/>
          <w:szCs w:val="16"/>
          <w:lang w:val="es-ES_tradnl"/>
        </w:rPr>
        <w:t xml:space="preserve">n Fiscal, </w:t>
      </w:r>
      <w:r>
        <w:rPr>
          <w:spacing w:val="-6"/>
          <w:sz w:val="16"/>
          <w:szCs w:val="16"/>
          <w:lang w:val="es-ES_tradnl"/>
        </w:rPr>
        <w:t xml:space="preserve">para que el Fiscal investigue los hechos presumiblemente </w:t>
      </w:r>
      <w:r>
        <w:rPr>
          <w:spacing w:val="-3"/>
          <w:sz w:val="16"/>
          <w:szCs w:val="16"/>
          <w:lang w:val="es-ES_tradnl"/>
        </w:rPr>
        <w:t>constitutivos de infracci</w:t>
      </w:r>
      <w:r>
        <w:rPr>
          <w:rFonts w:cs="Times New Roman"/>
          <w:spacing w:val="-3"/>
          <w:sz w:val="16"/>
          <w:szCs w:val="16"/>
          <w:lang w:val="es-ES_tradnl"/>
        </w:rPr>
        <w:t>ó</w:t>
      </w:r>
      <w:r>
        <w:rPr>
          <w:spacing w:val="-3"/>
          <w:sz w:val="16"/>
          <w:szCs w:val="16"/>
          <w:lang w:val="es-ES_tradnl"/>
        </w:rPr>
        <w:t>n penal. El Art. 39 del C</w:t>
      </w:r>
      <w:r>
        <w:rPr>
          <w:rFonts w:cs="Times New Roman"/>
          <w:spacing w:val="-3"/>
          <w:sz w:val="16"/>
          <w:szCs w:val="16"/>
          <w:lang w:val="es-ES_tradnl"/>
        </w:rPr>
        <w:t>ó</w:t>
      </w:r>
      <w:r>
        <w:rPr>
          <w:spacing w:val="-3"/>
          <w:sz w:val="16"/>
          <w:szCs w:val="16"/>
          <w:lang w:val="es-ES_tradnl"/>
        </w:rPr>
        <w:t xml:space="preserve">digo de </w:t>
      </w:r>
      <w:r>
        <w:rPr>
          <w:spacing w:val="-8"/>
          <w:sz w:val="16"/>
          <w:szCs w:val="16"/>
          <w:lang w:val="es-ES_tradnl"/>
        </w:rPr>
        <w:t xml:space="preserve">Procedimiento Penal claramente establece que </w:t>
      </w:r>
      <w:r>
        <w:rPr>
          <w:rFonts w:cs="Times New Roman"/>
          <w:spacing w:val="-8"/>
          <w:sz w:val="16"/>
          <w:szCs w:val="16"/>
          <w:lang w:val="es-ES_tradnl"/>
        </w:rPr>
        <w:t>“</w:t>
      </w:r>
      <w:r>
        <w:rPr>
          <w:spacing w:val="-8"/>
          <w:sz w:val="16"/>
          <w:szCs w:val="16"/>
          <w:lang w:val="es-ES_tradnl"/>
        </w:rPr>
        <w:t xml:space="preserve">El Juez, previo </w:t>
      </w:r>
      <w:r>
        <w:rPr>
          <w:spacing w:val="-6"/>
          <w:sz w:val="16"/>
          <w:szCs w:val="16"/>
          <w:lang w:val="es-ES_tradnl"/>
        </w:rPr>
        <w:t>a resolver, deber</w:t>
      </w:r>
      <w:r>
        <w:rPr>
          <w:rFonts w:cs="Times New Roman"/>
          <w:spacing w:val="-6"/>
          <w:sz w:val="16"/>
          <w:szCs w:val="16"/>
          <w:lang w:val="es-ES_tradnl"/>
        </w:rPr>
        <w:t>á</w:t>
      </w:r>
      <w:r>
        <w:rPr>
          <w:spacing w:val="-6"/>
          <w:sz w:val="16"/>
          <w:szCs w:val="16"/>
          <w:lang w:val="es-ES_tradnl"/>
        </w:rPr>
        <w:t xml:space="preserve"> o</w:t>
      </w:r>
      <w:r>
        <w:rPr>
          <w:rFonts w:cs="Times New Roman"/>
          <w:spacing w:val="-6"/>
          <w:sz w:val="16"/>
          <w:szCs w:val="16"/>
          <w:lang w:val="es-ES_tradnl"/>
        </w:rPr>
        <w:t>í</w:t>
      </w:r>
      <w:r>
        <w:rPr>
          <w:spacing w:val="-6"/>
          <w:sz w:val="16"/>
          <w:szCs w:val="16"/>
          <w:lang w:val="es-ES_tradnl"/>
        </w:rPr>
        <w:t>r al denunciante</w:t>
      </w:r>
      <w:r>
        <w:rPr>
          <w:rFonts w:cs="Times New Roman"/>
          <w:spacing w:val="-6"/>
          <w:sz w:val="16"/>
          <w:szCs w:val="16"/>
          <w:lang w:val="es-ES_tradnl"/>
        </w:rPr>
        <w:t>”</w:t>
      </w:r>
      <w:r>
        <w:rPr>
          <w:spacing w:val="-6"/>
          <w:sz w:val="16"/>
          <w:szCs w:val="16"/>
          <w:lang w:val="es-ES_tradnl"/>
        </w:rPr>
        <w:t>, situaci</w:t>
      </w:r>
      <w:r>
        <w:rPr>
          <w:rFonts w:cs="Times New Roman"/>
          <w:spacing w:val="-6"/>
          <w:sz w:val="16"/>
          <w:szCs w:val="16"/>
          <w:lang w:val="es-ES_tradnl"/>
        </w:rPr>
        <w:t>ó</w:t>
      </w:r>
      <w:r>
        <w:rPr>
          <w:spacing w:val="-6"/>
          <w:sz w:val="16"/>
          <w:szCs w:val="16"/>
          <w:lang w:val="es-ES_tradnl"/>
        </w:rPr>
        <w:t xml:space="preserve">n que ha sido </w:t>
      </w:r>
      <w:r>
        <w:rPr>
          <w:spacing w:val="-3"/>
          <w:sz w:val="16"/>
          <w:szCs w:val="16"/>
          <w:lang w:val="es-ES_tradnl"/>
        </w:rPr>
        <w:t xml:space="preserve">cumplida por este juzgador, permitiendo en esta audiencia </w:t>
      </w:r>
      <w:r>
        <w:rPr>
          <w:sz w:val="16"/>
          <w:szCs w:val="16"/>
          <w:lang w:val="es-ES_tradnl"/>
        </w:rPr>
        <w:t>la intervenci</w:t>
      </w:r>
      <w:r>
        <w:rPr>
          <w:rFonts w:cs="Times New Roman"/>
          <w:sz w:val="16"/>
          <w:szCs w:val="16"/>
          <w:lang w:val="es-ES_tradnl"/>
        </w:rPr>
        <w:t>ó</w:t>
      </w:r>
      <w:r>
        <w:rPr>
          <w:sz w:val="16"/>
          <w:szCs w:val="16"/>
          <w:lang w:val="es-ES_tradnl"/>
        </w:rPr>
        <w:t>n del Ab. EDUARDO BENAVIDES LE</w:t>
      </w:r>
      <w:r>
        <w:rPr>
          <w:rFonts w:cs="Times New Roman"/>
          <w:sz w:val="16"/>
          <w:szCs w:val="16"/>
          <w:lang w:val="es-ES_tradnl"/>
        </w:rPr>
        <w:t>Ó</w:t>
      </w:r>
      <w:r>
        <w:rPr>
          <w:sz w:val="16"/>
          <w:szCs w:val="16"/>
          <w:lang w:val="es-ES_tradnl"/>
        </w:rPr>
        <w:t xml:space="preserve">N, </w:t>
      </w:r>
      <w:r>
        <w:rPr>
          <w:spacing w:val="-4"/>
          <w:sz w:val="16"/>
          <w:szCs w:val="16"/>
          <w:lang w:val="es-ES_tradnl"/>
        </w:rPr>
        <w:t>en representaci</w:t>
      </w:r>
      <w:r>
        <w:rPr>
          <w:rFonts w:cs="Times New Roman"/>
          <w:spacing w:val="-4"/>
          <w:sz w:val="16"/>
          <w:szCs w:val="16"/>
          <w:lang w:val="es-ES_tradnl"/>
        </w:rPr>
        <w:t>ó</w:t>
      </w:r>
      <w:r>
        <w:rPr>
          <w:spacing w:val="-4"/>
          <w:sz w:val="16"/>
          <w:szCs w:val="16"/>
          <w:lang w:val="es-ES_tradnl"/>
        </w:rPr>
        <w:t xml:space="preserve">n del SRI, y del Ab. DIEGO AVEIGA DEL </w:t>
      </w:r>
      <w:r>
        <w:rPr>
          <w:spacing w:val="-1"/>
          <w:sz w:val="16"/>
          <w:szCs w:val="16"/>
          <w:lang w:val="es-ES_tradnl"/>
        </w:rPr>
        <w:t xml:space="preserve">PINO, por los derechos que representa de ECUAVITAL </w:t>
      </w:r>
      <w:r>
        <w:rPr>
          <w:spacing w:val="-5"/>
          <w:sz w:val="16"/>
          <w:szCs w:val="16"/>
          <w:lang w:val="es-ES_tradnl"/>
        </w:rPr>
        <w:t>S.A. No es facultad del Juez, la valoraci</w:t>
      </w:r>
      <w:r>
        <w:rPr>
          <w:rFonts w:cs="Times New Roman"/>
          <w:spacing w:val="-5"/>
          <w:sz w:val="16"/>
          <w:szCs w:val="16"/>
          <w:lang w:val="es-ES_tradnl"/>
        </w:rPr>
        <w:t>ó</w:t>
      </w:r>
      <w:r>
        <w:rPr>
          <w:spacing w:val="-5"/>
          <w:sz w:val="16"/>
          <w:szCs w:val="16"/>
          <w:lang w:val="es-ES_tradnl"/>
        </w:rPr>
        <w:t xml:space="preserve">n de las distintas </w:t>
      </w:r>
      <w:r>
        <w:rPr>
          <w:spacing w:val="-7"/>
          <w:sz w:val="16"/>
          <w:szCs w:val="16"/>
          <w:lang w:val="es-ES_tradnl"/>
        </w:rPr>
        <w:t>pruebas presentadas en esta Audiencia que tiene la finalidad</w:t>
      </w:r>
    </w:p>
    <w:p w14:paraId="4F67BB05" w14:textId="77777777" w:rsidR="00591D54" w:rsidRDefault="00591D54">
      <w:pPr>
        <w:shd w:val="clear" w:color="auto" w:fill="FFFFFF"/>
        <w:spacing w:before="245" w:line="230" w:lineRule="exact"/>
        <w:ind w:left="283"/>
        <w:jc w:val="both"/>
        <w:sectPr w:rsidR="00591D54">
          <w:type w:val="continuous"/>
          <w:pgSz w:w="11909" w:h="16834"/>
          <w:pgMar w:top="1375" w:right="1304" w:bottom="360" w:left="1308" w:header="720" w:footer="720" w:gutter="0"/>
          <w:cols w:num="2" w:space="720" w:equalWidth="0">
            <w:col w:w="4305" w:space="682"/>
            <w:col w:w="4310"/>
          </w:cols>
          <w:noEndnote/>
        </w:sectPr>
      </w:pPr>
    </w:p>
    <w:p w14:paraId="4F67BB06" w14:textId="77777777" w:rsidR="00591D54" w:rsidRDefault="00591D54">
      <w:pPr>
        <w:shd w:val="clear" w:color="auto" w:fill="FFFFFF"/>
        <w:tabs>
          <w:tab w:val="left" w:pos="4814"/>
        </w:tabs>
        <w:spacing w:after="216"/>
        <w:ind w:left="5"/>
      </w:pPr>
      <w:r>
        <w:rPr>
          <w:b/>
          <w:bCs/>
          <w:sz w:val="18"/>
          <w:szCs w:val="18"/>
          <w:lang w:val="es-ES_tradnl"/>
        </w:rPr>
        <w:t xml:space="preserve">286 -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B07" w14:textId="77777777" w:rsidR="00591D54" w:rsidRDefault="00591D54">
      <w:pPr>
        <w:shd w:val="clear" w:color="auto" w:fill="FFFFFF"/>
        <w:tabs>
          <w:tab w:val="left" w:pos="4814"/>
        </w:tabs>
        <w:spacing w:after="216"/>
        <w:ind w:left="5"/>
        <w:sectPr w:rsidR="00591D54">
          <w:pgSz w:w="11909" w:h="16834"/>
          <w:pgMar w:top="1359" w:right="1304" w:bottom="360" w:left="1308" w:header="720" w:footer="720" w:gutter="0"/>
          <w:cols w:space="60"/>
          <w:noEndnote/>
        </w:sectPr>
      </w:pPr>
    </w:p>
    <w:p w14:paraId="4F67BB08" w14:textId="77777777" w:rsidR="00591D54" w:rsidRDefault="00591D54">
      <w:pPr>
        <w:shd w:val="clear" w:color="auto" w:fill="FFFFFF"/>
        <w:spacing w:line="230" w:lineRule="exact"/>
        <w:ind w:left="283"/>
        <w:jc w:val="both"/>
      </w:pPr>
      <w:r>
        <w:rPr>
          <w:spacing w:val="-6"/>
          <w:sz w:val="16"/>
          <w:szCs w:val="16"/>
          <w:lang w:val="es-ES_tradnl"/>
        </w:rPr>
        <w:t>de conocer los argumentos en los que se basa el se</w:t>
      </w:r>
      <w:r>
        <w:rPr>
          <w:rFonts w:cs="Times New Roman"/>
          <w:spacing w:val="-6"/>
          <w:sz w:val="16"/>
          <w:szCs w:val="16"/>
          <w:lang w:val="es-ES_tradnl"/>
        </w:rPr>
        <w:t>ñ</w:t>
      </w:r>
      <w:r>
        <w:rPr>
          <w:spacing w:val="-6"/>
          <w:sz w:val="16"/>
          <w:szCs w:val="16"/>
          <w:lang w:val="es-ES_tradnl"/>
        </w:rPr>
        <w:t>or representante del Ministerio P</w:t>
      </w:r>
      <w:r>
        <w:rPr>
          <w:rFonts w:cs="Times New Roman"/>
          <w:spacing w:val="-6"/>
          <w:sz w:val="16"/>
          <w:szCs w:val="16"/>
          <w:lang w:val="es-ES_tradnl"/>
        </w:rPr>
        <w:t>ú</w:t>
      </w:r>
      <w:r>
        <w:rPr>
          <w:spacing w:val="-6"/>
          <w:sz w:val="16"/>
          <w:szCs w:val="16"/>
          <w:lang w:val="es-ES_tradnl"/>
        </w:rPr>
        <w:t xml:space="preserve">blico para solicitar al Juez de </w:t>
      </w:r>
      <w:r>
        <w:rPr>
          <w:spacing w:val="-7"/>
          <w:sz w:val="16"/>
          <w:szCs w:val="16"/>
          <w:lang w:val="es-ES_tradnl"/>
        </w:rPr>
        <w:t>Garant</w:t>
      </w:r>
      <w:r>
        <w:rPr>
          <w:rFonts w:cs="Times New Roman"/>
          <w:spacing w:val="-7"/>
          <w:sz w:val="16"/>
          <w:szCs w:val="16"/>
          <w:lang w:val="es-ES_tradnl"/>
        </w:rPr>
        <w:t>í</w:t>
      </w:r>
      <w:r>
        <w:rPr>
          <w:spacing w:val="-7"/>
          <w:sz w:val="16"/>
          <w:szCs w:val="16"/>
          <w:lang w:val="es-ES_tradnl"/>
        </w:rPr>
        <w:t xml:space="preserve">as Penales, el archivo definitivo de las investigaciones </w:t>
      </w:r>
      <w:r>
        <w:rPr>
          <w:spacing w:val="-8"/>
          <w:sz w:val="16"/>
          <w:szCs w:val="16"/>
          <w:lang w:val="es-ES_tradnl"/>
        </w:rPr>
        <w:t xml:space="preserve">y evidentemente conocer el criterio de las partes intervinientes. </w:t>
      </w:r>
      <w:r>
        <w:rPr>
          <w:spacing w:val="-5"/>
          <w:sz w:val="16"/>
          <w:szCs w:val="16"/>
          <w:lang w:val="es-ES_tradnl"/>
        </w:rPr>
        <w:t>Con estos antecedentes y una vez que han sido analizadas las intervenciones efectuadas en la presente audiencia (</w:t>
      </w:r>
      <w:r>
        <w:rPr>
          <w:rFonts w:cs="Times New Roman"/>
          <w:spacing w:val="-5"/>
          <w:sz w:val="16"/>
          <w:szCs w:val="16"/>
          <w:lang w:val="es-ES_tradnl"/>
        </w:rPr>
        <w:t>…</w:t>
      </w:r>
      <w:r>
        <w:rPr>
          <w:spacing w:val="-5"/>
          <w:sz w:val="16"/>
          <w:szCs w:val="16"/>
          <w:lang w:val="es-ES_tradnl"/>
        </w:rPr>
        <w:t xml:space="preserve">) </w:t>
      </w:r>
      <w:r>
        <w:rPr>
          <w:spacing w:val="-8"/>
          <w:sz w:val="16"/>
          <w:szCs w:val="16"/>
          <w:lang w:val="es-ES_tradnl"/>
        </w:rPr>
        <w:t>este Juzgador acoge en todas sus partes la resoluci</w:t>
      </w:r>
      <w:r>
        <w:rPr>
          <w:rFonts w:cs="Times New Roman"/>
          <w:spacing w:val="-8"/>
          <w:sz w:val="16"/>
          <w:szCs w:val="16"/>
          <w:lang w:val="es-ES_tradnl"/>
        </w:rPr>
        <w:t>ó</w:t>
      </w:r>
      <w:r>
        <w:rPr>
          <w:spacing w:val="-8"/>
          <w:sz w:val="16"/>
          <w:szCs w:val="16"/>
          <w:lang w:val="es-ES_tradnl"/>
        </w:rPr>
        <w:t xml:space="preserve">n que </w:t>
      </w:r>
      <w:r>
        <w:rPr>
          <w:spacing w:val="-7"/>
          <w:sz w:val="16"/>
          <w:szCs w:val="16"/>
          <w:lang w:val="es-ES_tradnl"/>
        </w:rPr>
        <w:t>contiene la desestimaci</w:t>
      </w:r>
      <w:r>
        <w:rPr>
          <w:rFonts w:cs="Times New Roman"/>
          <w:spacing w:val="-7"/>
          <w:sz w:val="16"/>
          <w:szCs w:val="16"/>
          <w:lang w:val="es-ES_tradnl"/>
        </w:rPr>
        <w:t>ó</w:t>
      </w:r>
      <w:r>
        <w:rPr>
          <w:spacing w:val="-7"/>
          <w:sz w:val="16"/>
          <w:szCs w:val="16"/>
          <w:lang w:val="es-ES_tradnl"/>
        </w:rPr>
        <w:t>n y el pedido de archivo del presente expediente solicitado por el se</w:t>
      </w:r>
      <w:r>
        <w:rPr>
          <w:rFonts w:cs="Times New Roman"/>
          <w:spacing w:val="-7"/>
          <w:sz w:val="16"/>
          <w:szCs w:val="16"/>
          <w:lang w:val="es-ES_tradnl"/>
        </w:rPr>
        <w:t>ñ</w:t>
      </w:r>
      <w:r>
        <w:rPr>
          <w:spacing w:val="-7"/>
          <w:sz w:val="16"/>
          <w:szCs w:val="16"/>
          <w:lang w:val="es-ES_tradnl"/>
        </w:rPr>
        <w:t xml:space="preserve">or Fiscal tal como determinan </w:t>
      </w:r>
      <w:r>
        <w:rPr>
          <w:spacing w:val="-9"/>
          <w:sz w:val="16"/>
          <w:szCs w:val="16"/>
          <w:lang w:val="es-ES_tradnl"/>
        </w:rPr>
        <w:t>los Arts. 38 y 39 del C</w:t>
      </w:r>
      <w:r>
        <w:rPr>
          <w:rFonts w:cs="Times New Roman"/>
          <w:spacing w:val="-9"/>
          <w:sz w:val="16"/>
          <w:szCs w:val="16"/>
          <w:lang w:val="es-ES_tradnl"/>
        </w:rPr>
        <w:t>ó</w:t>
      </w:r>
      <w:r>
        <w:rPr>
          <w:spacing w:val="-9"/>
          <w:sz w:val="16"/>
          <w:szCs w:val="16"/>
          <w:lang w:val="es-ES_tradnl"/>
        </w:rPr>
        <w:t xml:space="preserve">digo de Procedimiento Penal. Con estas </w:t>
      </w:r>
      <w:r>
        <w:rPr>
          <w:spacing w:val="-8"/>
          <w:sz w:val="16"/>
          <w:szCs w:val="16"/>
          <w:lang w:val="es-ES_tradnl"/>
        </w:rPr>
        <w:t>consideraciones se ordena que se ARCHIVE el proceso</w:t>
      </w:r>
      <w:r>
        <w:rPr>
          <w:rFonts w:cs="Times New Roman"/>
          <w:spacing w:val="-8"/>
          <w:sz w:val="16"/>
          <w:szCs w:val="16"/>
          <w:lang w:val="es-ES_tradnl"/>
        </w:rPr>
        <w:t>…</w:t>
      </w:r>
    </w:p>
    <w:p w14:paraId="4F67BB09" w14:textId="77777777" w:rsidR="00591D54" w:rsidRDefault="00591D54">
      <w:pPr>
        <w:shd w:val="clear" w:color="auto" w:fill="FFFFFF"/>
        <w:spacing w:before="259" w:line="230" w:lineRule="exact"/>
        <w:jc w:val="both"/>
      </w:pPr>
      <w:r>
        <w:rPr>
          <w:b/>
          <w:bCs/>
          <w:spacing w:val="-11"/>
          <w:sz w:val="18"/>
          <w:szCs w:val="18"/>
          <w:lang w:val="es-ES_tradnl"/>
        </w:rPr>
        <w:t>Auto dictado por el Juzgado Sexto de Garant</w:t>
      </w:r>
      <w:r>
        <w:rPr>
          <w:rFonts w:cs="Times New Roman"/>
          <w:b/>
          <w:bCs/>
          <w:spacing w:val="-11"/>
          <w:sz w:val="18"/>
          <w:szCs w:val="18"/>
          <w:lang w:val="es-ES_tradnl"/>
        </w:rPr>
        <w:t>í</w:t>
      </w:r>
      <w:r>
        <w:rPr>
          <w:b/>
          <w:bCs/>
          <w:spacing w:val="-11"/>
          <w:sz w:val="18"/>
          <w:szCs w:val="18"/>
          <w:lang w:val="es-ES_tradnl"/>
        </w:rPr>
        <w:t xml:space="preserve">as Penales </w:t>
      </w:r>
      <w:r>
        <w:rPr>
          <w:b/>
          <w:bCs/>
          <w:sz w:val="18"/>
          <w:szCs w:val="18"/>
          <w:lang w:val="es-ES_tradnl"/>
        </w:rPr>
        <w:t>del Guayas de 11 de agosto de 2011</w:t>
      </w:r>
    </w:p>
    <w:p w14:paraId="4F67BB0A" w14:textId="77777777" w:rsidR="00591D54" w:rsidRDefault="00591D54">
      <w:pPr>
        <w:shd w:val="clear" w:color="auto" w:fill="FFFFFF"/>
        <w:spacing w:before="250" w:line="230" w:lineRule="exact"/>
        <w:jc w:val="both"/>
      </w:pPr>
      <w:r>
        <w:rPr>
          <w:spacing w:val="-4"/>
          <w:sz w:val="18"/>
          <w:szCs w:val="18"/>
          <w:lang w:val="es-ES_tradnl"/>
        </w:rPr>
        <w:t>El economista Juan Miguel Avil</w:t>
      </w:r>
      <w:r>
        <w:rPr>
          <w:rFonts w:cs="Times New Roman"/>
          <w:spacing w:val="-4"/>
          <w:sz w:val="18"/>
          <w:szCs w:val="18"/>
          <w:lang w:val="es-ES_tradnl"/>
        </w:rPr>
        <w:t>é</w:t>
      </w:r>
      <w:r>
        <w:rPr>
          <w:spacing w:val="-4"/>
          <w:sz w:val="18"/>
          <w:szCs w:val="18"/>
          <w:lang w:val="es-ES_tradnl"/>
        </w:rPr>
        <w:t xml:space="preserve">s Murillo, en su calidad </w:t>
      </w:r>
      <w:r>
        <w:rPr>
          <w:spacing w:val="-6"/>
          <w:sz w:val="18"/>
          <w:szCs w:val="18"/>
          <w:lang w:val="es-ES_tradnl"/>
        </w:rPr>
        <w:t xml:space="preserve">de director general del Servicio de Rentas Internas Litoral </w:t>
      </w:r>
      <w:r>
        <w:rPr>
          <w:spacing w:val="-9"/>
          <w:sz w:val="18"/>
          <w:szCs w:val="18"/>
          <w:lang w:val="es-ES_tradnl"/>
        </w:rPr>
        <w:t xml:space="preserve">Sur, ha solicitado revocar el auto en el que el exjuez de esta </w:t>
      </w:r>
      <w:r>
        <w:rPr>
          <w:spacing w:val="-5"/>
          <w:sz w:val="18"/>
          <w:szCs w:val="18"/>
          <w:lang w:val="es-ES_tradnl"/>
        </w:rPr>
        <w:t xml:space="preserve">judicatura, Dr. Gabriel Manzur Albuja, dispone el archivo </w:t>
      </w:r>
      <w:r>
        <w:rPr>
          <w:spacing w:val="-7"/>
          <w:sz w:val="18"/>
          <w:szCs w:val="18"/>
          <w:lang w:val="es-ES_tradnl"/>
        </w:rPr>
        <w:t>del expediente en base a la solicitud de desestimaci</w:t>
      </w:r>
      <w:r>
        <w:rPr>
          <w:rFonts w:cs="Times New Roman"/>
          <w:spacing w:val="-7"/>
          <w:sz w:val="18"/>
          <w:szCs w:val="18"/>
          <w:lang w:val="es-ES_tradnl"/>
        </w:rPr>
        <w:t>ó</w:t>
      </w:r>
      <w:r>
        <w:rPr>
          <w:spacing w:val="-7"/>
          <w:sz w:val="18"/>
          <w:szCs w:val="18"/>
          <w:lang w:val="es-ES_tradnl"/>
        </w:rPr>
        <w:t xml:space="preserve">n </w:t>
      </w:r>
      <w:r>
        <w:rPr>
          <w:spacing w:val="-6"/>
          <w:sz w:val="18"/>
          <w:szCs w:val="18"/>
          <w:lang w:val="es-ES_tradnl"/>
        </w:rPr>
        <w:t>solicitada por el doctor Bol</w:t>
      </w:r>
      <w:r>
        <w:rPr>
          <w:rFonts w:cs="Times New Roman"/>
          <w:spacing w:val="-6"/>
          <w:sz w:val="18"/>
          <w:szCs w:val="18"/>
          <w:lang w:val="es-ES_tradnl"/>
        </w:rPr>
        <w:t>í</w:t>
      </w:r>
      <w:r>
        <w:rPr>
          <w:spacing w:val="-6"/>
          <w:sz w:val="18"/>
          <w:szCs w:val="18"/>
          <w:lang w:val="es-ES_tradnl"/>
        </w:rPr>
        <w:t>var Escobar Rodr</w:t>
      </w:r>
      <w:r>
        <w:rPr>
          <w:rFonts w:cs="Times New Roman"/>
          <w:spacing w:val="-6"/>
          <w:sz w:val="18"/>
          <w:szCs w:val="18"/>
          <w:lang w:val="es-ES_tradnl"/>
        </w:rPr>
        <w:t>í</w:t>
      </w:r>
      <w:r>
        <w:rPr>
          <w:spacing w:val="-6"/>
          <w:sz w:val="18"/>
          <w:szCs w:val="18"/>
          <w:lang w:val="es-ES_tradnl"/>
        </w:rPr>
        <w:t xml:space="preserve">guez, fiscal </w:t>
      </w:r>
      <w:r>
        <w:rPr>
          <w:spacing w:val="-9"/>
          <w:sz w:val="18"/>
          <w:szCs w:val="18"/>
          <w:lang w:val="es-ES_tradnl"/>
        </w:rPr>
        <w:t xml:space="preserve">de lo penal del Guayas. Al respecto, indica que de este auto </w:t>
      </w:r>
      <w:r>
        <w:rPr>
          <w:spacing w:val="-2"/>
          <w:sz w:val="18"/>
          <w:szCs w:val="18"/>
          <w:lang w:val="es-ES_tradnl"/>
        </w:rPr>
        <w:t>no hay ning</w:t>
      </w:r>
      <w:r>
        <w:rPr>
          <w:rFonts w:cs="Times New Roman"/>
          <w:spacing w:val="-2"/>
          <w:sz w:val="18"/>
          <w:szCs w:val="18"/>
          <w:lang w:val="es-ES_tradnl"/>
        </w:rPr>
        <w:t>ú</w:t>
      </w:r>
      <w:r>
        <w:rPr>
          <w:spacing w:val="-2"/>
          <w:sz w:val="18"/>
          <w:szCs w:val="18"/>
          <w:lang w:val="es-ES_tradnl"/>
        </w:rPr>
        <w:t xml:space="preserve">n recurso ni tampoco revocatoria, y que si </w:t>
      </w:r>
      <w:r>
        <w:rPr>
          <w:spacing w:val="-8"/>
          <w:sz w:val="18"/>
          <w:szCs w:val="18"/>
          <w:lang w:val="es-ES_tradnl"/>
        </w:rPr>
        <w:t>el juez estaba en funciones en ese momento consider</w:t>
      </w:r>
      <w:r>
        <w:rPr>
          <w:rFonts w:cs="Times New Roman"/>
          <w:spacing w:val="-8"/>
          <w:sz w:val="18"/>
          <w:szCs w:val="18"/>
          <w:lang w:val="es-ES_tradnl"/>
        </w:rPr>
        <w:t>ó</w:t>
      </w:r>
      <w:r>
        <w:rPr>
          <w:spacing w:val="-8"/>
          <w:sz w:val="18"/>
          <w:szCs w:val="18"/>
          <w:lang w:val="es-ES_tradnl"/>
        </w:rPr>
        <w:t xml:space="preserve"> no elevar a consulta, por cuanto a su criterio, la desestimaci</w:t>
      </w:r>
      <w:r>
        <w:rPr>
          <w:rFonts w:cs="Times New Roman"/>
          <w:spacing w:val="-8"/>
          <w:sz w:val="18"/>
          <w:szCs w:val="18"/>
          <w:lang w:val="es-ES_tradnl"/>
        </w:rPr>
        <w:t>ó</w:t>
      </w:r>
      <w:r>
        <w:rPr>
          <w:spacing w:val="-8"/>
          <w:sz w:val="18"/>
          <w:szCs w:val="18"/>
          <w:lang w:val="es-ES_tradnl"/>
        </w:rPr>
        <w:t xml:space="preserve">n </w:t>
      </w:r>
      <w:r>
        <w:rPr>
          <w:spacing w:val="-9"/>
          <w:sz w:val="18"/>
          <w:szCs w:val="18"/>
          <w:lang w:val="es-ES_tradnl"/>
        </w:rPr>
        <w:t xml:space="preserve">efectuada por el fiscal estaba debidamente fundamentada. </w:t>
      </w:r>
      <w:r>
        <w:rPr>
          <w:spacing w:val="-7"/>
          <w:sz w:val="18"/>
          <w:szCs w:val="18"/>
          <w:lang w:val="es-ES_tradnl"/>
        </w:rPr>
        <w:t xml:space="preserve">Por lo antes expuesto, se niega la revocatoria y la solicitud </w:t>
      </w:r>
      <w:r>
        <w:rPr>
          <w:sz w:val="18"/>
          <w:szCs w:val="18"/>
          <w:lang w:val="es-ES_tradnl"/>
        </w:rPr>
        <w:t>de consulta.</w:t>
      </w:r>
    </w:p>
    <w:p w14:paraId="4F67BB0B" w14:textId="77777777" w:rsidR="00591D54" w:rsidRDefault="00591D54">
      <w:pPr>
        <w:shd w:val="clear" w:color="auto" w:fill="FFFFFF"/>
        <w:spacing w:before="254"/>
      </w:pPr>
      <w:r>
        <w:rPr>
          <w:b/>
          <w:bCs/>
          <w:spacing w:val="-11"/>
          <w:sz w:val="18"/>
          <w:szCs w:val="18"/>
          <w:lang w:val="es-ES_tradnl"/>
        </w:rPr>
        <w:t>Derechos presuntamente vulnerados</w:t>
      </w:r>
    </w:p>
    <w:p w14:paraId="4F67BB0C" w14:textId="77777777" w:rsidR="00591D54" w:rsidRDefault="00591D54">
      <w:pPr>
        <w:shd w:val="clear" w:color="auto" w:fill="FFFFFF"/>
        <w:spacing w:before="250" w:line="230" w:lineRule="exact"/>
        <w:ind w:right="5"/>
        <w:jc w:val="both"/>
      </w:pPr>
      <w:r>
        <w:rPr>
          <w:spacing w:val="-7"/>
          <w:sz w:val="18"/>
          <w:szCs w:val="18"/>
          <w:lang w:val="es-ES_tradnl"/>
        </w:rPr>
        <w:t xml:space="preserve">El accionante alega como principal derecho constitucional </w:t>
      </w:r>
      <w:r>
        <w:rPr>
          <w:spacing w:val="-10"/>
          <w:sz w:val="18"/>
          <w:szCs w:val="18"/>
          <w:lang w:val="es-ES_tradnl"/>
        </w:rPr>
        <w:t xml:space="preserve">vulnerado, el derecho a la tutela judicial efectiva, consagrado </w:t>
      </w:r>
      <w:r>
        <w:rPr>
          <w:spacing w:val="-6"/>
          <w:sz w:val="18"/>
          <w:szCs w:val="18"/>
          <w:lang w:val="es-ES_tradnl"/>
        </w:rPr>
        <w:t>en el art</w:t>
      </w:r>
      <w:r>
        <w:rPr>
          <w:rFonts w:cs="Times New Roman"/>
          <w:spacing w:val="-6"/>
          <w:sz w:val="18"/>
          <w:szCs w:val="18"/>
          <w:lang w:val="es-ES_tradnl"/>
        </w:rPr>
        <w:t>í</w:t>
      </w:r>
      <w:r>
        <w:rPr>
          <w:spacing w:val="-6"/>
          <w:sz w:val="18"/>
          <w:szCs w:val="18"/>
          <w:lang w:val="es-ES_tradnl"/>
        </w:rPr>
        <w:t>culo 75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w:t>
      </w:r>
    </w:p>
    <w:p w14:paraId="4F67BB0D" w14:textId="77777777" w:rsidR="00591D54" w:rsidRDefault="00591D54">
      <w:pPr>
        <w:shd w:val="clear" w:color="auto" w:fill="FFFFFF"/>
        <w:spacing w:before="254"/>
      </w:pPr>
      <w:r>
        <w:rPr>
          <w:b/>
          <w:bCs/>
          <w:spacing w:val="-10"/>
          <w:sz w:val="18"/>
          <w:szCs w:val="18"/>
          <w:lang w:val="es-ES_tradnl"/>
        </w:rPr>
        <w:t>Pretensi</w:t>
      </w:r>
      <w:r>
        <w:rPr>
          <w:rFonts w:cs="Times New Roman"/>
          <w:b/>
          <w:bCs/>
          <w:spacing w:val="-10"/>
          <w:sz w:val="18"/>
          <w:szCs w:val="18"/>
          <w:lang w:val="es-ES_tradnl"/>
        </w:rPr>
        <w:t>ó</w:t>
      </w:r>
      <w:r>
        <w:rPr>
          <w:b/>
          <w:bCs/>
          <w:spacing w:val="-10"/>
          <w:sz w:val="18"/>
          <w:szCs w:val="18"/>
          <w:lang w:val="es-ES_tradnl"/>
        </w:rPr>
        <w:t>n y pedido de reparaci</w:t>
      </w:r>
      <w:r>
        <w:rPr>
          <w:rFonts w:cs="Times New Roman"/>
          <w:b/>
          <w:bCs/>
          <w:spacing w:val="-10"/>
          <w:sz w:val="18"/>
          <w:szCs w:val="18"/>
          <w:lang w:val="es-ES_tradnl"/>
        </w:rPr>
        <w:t>ó</w:t>
      </w:r>
      <w:r>
        <w:rPr>
          <w:b/>
          <w:bCs/>
          <w:spacing w:val="-10"/>
          <w:sz w:val="18"/>
          <w:szCs w:val="18"/>
          <w:lang w:val="es-ES_tradnl"/>
        </w:rPr>
        <w:t>n concreto</w:t>
      </w:r>
    </w:p>
    <w:p w14:paraId="4F67BB0E" w14:textId="77777777" w:rsidR="00591D54" w:rsidRDefault="00591D54">
      <w:pPr>
        <w:shd w:val="clear" w:color="auto" w:fill="FFFFFF"/>
        <w:spacing w:before="250" w:line="230" w:lineRule="exact"/>
        <w:ind w:right="5"/>
        <w:jc w:val="both"/>
      </w:pPr>
      <w:r>
        <w:rPr>
          <w:spacing w:val="-5"/>
          <w:sz w:val="18"/>
          <w:szCs w:val="18"/>
          <w:lang w:val="es-ES_tradnl"/>
        </w:rPr>
        <w:t xml:space="preserve">El legitimado activo, dentro de su demanda, solicita lo </w:t>
      </w:r>
      <w:r>
        <w:rPr>
          <w:sz w:val="18"/>
          <w:szCs w:val="18"/>
          <w:lang w:val="es-ES_tradnl"/>
        </w:rPr>
        <w:t>siguiente:</w:t>
      </w:r>
    </w:p>
    <w:p w14:paraId="4F67BB0F" w14:textId="77777777" w:rsidR="00591D54" w:rsidRDefault="00591D54">
      <w:pPr>
        <w:shd w:val="clear" w:color="auto" w:fill="FFFFFF"/>
        <w:spacing w:before="250" w:line="230" w:lineRule="exact"/>
        <w:ind w:left="283" w:right="5"/>
        <w:jc w:val="both"/>
      </w:pPr>
      <w:r>
        <w:rPr>
          <w:spacing w:val="-9"/>
          <w:sz w:val="16"/>
          <w:szCs w:val="16"/>
          <w:lang w:val="es-ES_tradnl"/>
        </w:rPr>
        <w:t>(</w:t>
      </w:r>
      <w:r>
        <w:rPr>
          <w:rFonts w:cs="Times New Roman"/>
          <w:spacing w:val="-9"/>
          <w:sz w:val="16"/>
          <w:szCs w:val="16"/>
          <w:lang w:val="es-ES_tradnl"/>
        </w:rPr>
        <w:t>…</w:t>
      </w:r>
      <w:r>
        <w:rPr>
          <w:spacing w:val="-9"/>
          <w:sz w:val="16"/>
          <w:szCs w:val="16"/>
          <w:lang w:val="es-ES_tradnl"/>
        </w:rPr>
        <w:t>) que se declare la vulneraci</w:t>
      </w:r>
      <w:r>
        <w:rPr>
          <w:rFonts w:cs="Times New Roman"/>
          <w:spacing w:val="-9"/>
          <w:sz w:val="16"/>
          <w:szCs w:val="16"/>
          <w:lang w:val="es-ES_tradnl"/>
        </w:rPr>
        <w:t>ó</w:t>
      </w:r>
      <w:r>
        <w:rPr>
          <w:spacing w:val="-9"/>
          <w:sz w:val="16"/>
          <w:szCs w:val="16"/>
          <w:lang w:val="es-ES_tradnl"/>
        </w:rPr>
        <w:t xml:space="preserve">n de derechos, y con lugar a la </w:t>
      </w:r>
      <w:r>
        <w:rPr>
          <w:spacing w:val="-6"/>
          <w:sz w:val="16"/>
          <w:szCs w:val="16"/>
          <w:lang w:val="es-ES_tradnl"/>
        </w:rPr>
        <w:t>reparaci</w:t>
      </w:r>
      <w:r>
        <w:rPr>
          <w:rFonts w:cs="Times New Roman"/>
          <w:spacing w:val="-6"/>
          <w:sz w:val="16"/>
          <w:szCs w:val="16"/>
          <w:lang w:val="es-ES_tradnl"/>
        </w:rPr>
        <w:t>ó</w:t>
      </w:r>
      <w:r>
        <w:rPr>
          <w:spacing w:val="-6"/>
          <w:sz w:val="16"/>
          <w:szCs w:val="16"/>
          <w:lang w:val="es-ES_tradnl"/>
        </w:rPr>
        <w:t xml:space="preserve">n integral de los mismos, dejando sin efecto el auto </w:t>
      </w:r>
      <w:r>
        <w:rPr>
          <w:spacing w:val="-9"/>
          <w:sz w:val="16"/>
          <w:szCs w:val="16"/>
          <w:lang w:val="es-ES_tradnl"/>
        </w:rPr>
        <w:t xml:space="preserve">resolutorio dictado el jueves 11 de agosto del 2011, a las 11h07 </w:t>
      </w:r>
      <w:r>
        <w:rPr>
          <w:spacing w:val="-7"/>
          <w:sz w:val="16"/>
          <w:szCs w:val="16"/>
          <w:lang w:val="es-ES_tradnl"/>
        </w:rPr>
        <w:t xml:space="preserve">y notificado en esa misma fecha, dentro del expediente penal </w:t>
      </w:r>
      <w:r>
        <w:rPr>
          <w:spacing w:val="-8"/>
          <w:sz w:val="16"/>
          <w:szCs w:val="16"/>
          <w:lang w:val="es-ES_tradnl"/>
        </w:rPr>
        <w:t>de desestimaci</w:t>
      </w:r>
      <w:r>
        <w:rPr>
          <w:rFonts w:cs="Times New Roman"/>
          <w:spacing w:val="-8"/>
          <w:sz w:val="16"/>
          <w:szCs w:val="16"/>
          <w:lang w:val="es-ES_tradnl"/>
        </w:rPr>
        <w:t>ó</w:t>
      </w:r>
      <w:r>
        <w:rPr>
          <w:spacing w:val="-8"/>
          <w:sz w:val="16"/>
          <w:szCs w:val="16"/>
          <w:lang w:val="es-ES_tradnl"/>
        </w:rPr>
        <w:t xml:space="preserve">n y archivo identificado en esta judicatura con </w:t>
      </w:r>
      <w:r>
        <w:rPr>
          <w:spacing w:val="-6"/>
          <w:sz w:val="16"/>
          <w:szCs w:val="16"/>
          <w:lang w:val="es-ES_tradnl"/>
        </w:rPr>
        <w:t>el N.</w:t>
      </w:r>
      <w:r>
        <w:rPr>
          <w:rFonts w:cs="Times New Roman"/>
          <w:spacing w:val="-6"/>
          <w:sz w:val="16"/>
          <w:szCs w:val="16"/>
          <w:lang w:val="es-ES_tradnl"/>
        </w:rPr>
        <w:t>º</w:t>
      </w:r>
      <w:r>
        <w:rPr>
          <w:spacing w:val="-6"/>
          <w:sz w:val="16"/>
          <w:szCs w:val="16"/>
          <w:lang w:val="es-ES_tradnl"/>
        </w:rPr>
        <w:t xml:space="preserve"> 09256-2011-1005; a trav</w:t>
      </w:r>
      <w:r>
        <w:rPr>
          <w:rFonts w:cs="Times New Roman"/>
          <w:spacing w:val="-6"/>
          <w:sz w:val="16"/>
          <w:szCs w:val="16"/>
          <w:lang w:val="es-ES_tradnl"/>
        </w:rPr>
        <w:t>é</w:t>
      </w:r>
      <w:r>
        <w:rPr>
          <w:spacing w:val="-6"/>
          <w:sz w:val="16"/>
          <w:szCs w:val="16"/>
          <w:lang w:val="es-ES_tradnl"/>
        </w:rPr>
        <w:t xml:space="preserve">s del cual se niega el pedido </w:t>
      </w:r>
      <w:r>
        <w:rPr>
          <w:spacing w:val="-5"/>
          <w:sz w:val="16"/>
          <w:szCs w:val="16"/>
          <w:lang w:val="es-ES_tradnl"/>
        </w:rPr>
        <w:t>de revocatoria formulado por esta Administraci</w:t>
      </w:r>
      <w:r>
        <w:rPr>
          <w:rFonts w:cs="Times New Roman"/>
          <w:spacing w:val="-5"/>
          <w:sz w:val="16"/>
          <w:szCs w:val="16"/>
          <w:lang w:val="es-ES_tradnl"/>
        </w:rPr>
        <w:t>ó</w:t>
      </w:r>
      <w:r>
        <w:rPr>
          <w:spacing w:val="-5"/>
          <w:sz w:val="16"/>
          <w:szCs w:val="16"/>
          <w:lang w:val="es-ES_tradnl"/>
        </w:rPr>
        <w:t xml:space="preserve">n Tributaria </w:t>
      </w:r>
      <w:r>
        <w:rPr>
          <w:spacing w:val="-7"/>
          <w:sz w:val="16"/>
          <w:szCs w:val="16"/>
          <w:lang w:val="es-ES_tradnl"/>
        </w:rPr>
        <w:t xml:space="preserve">mediante escrito presentado el 10 de agosto de 2011, a las 17h25, contra el auto dictado el viernes 05 de agosto de 2011, a las 11h30 en donde se resuelve ordenar el archivo de la </w:t>
      </w:r>
      <w:r>
        <w:rPr>
          <w:spacing w:val="-6"/>
          <w:sz w:val="16"/>
          <w:szCs w:val="16"/>
          <w:lang w:val="es-ES_tradnl"/>
        </w:rPr>
        <w:t>indagaci</w:t>
      </w:r>
      <w:r>
        <w:rPr>
          <w:rFonts w:cs="Times New Roman"/>
          <w:spacing w:val="-6"/>
          <w:sz w:val="16"/>
          <w:szCs w:val="16"/>
          <w:lang w:val="es-ES_tradnl"/>
        </w:rPr>
        <w:t>ó</w:t>
      </w:r>
      <w:r>
        <w:rPr>
          <w:spacing w:val="-6"/>
          <w:sz w:val="16"/>
          <w:szCs w:val="16"/>
          <w:lang w:val="es-ES_tradnl"/>
        </w:rPr>
        <w:t>n previa N.</w:t>
      </w:r>
      <w:r>
        <w:rPr>
          <w:rFonts w:cs="Times New Roman"/>
          <w:spacing w:val="-6"/>
          <w:sz w:val="16"/>
          <w:szCs w:val="16"/>
          <w:lang w:val="es-ES_tradnl"/>
        </w:rPr>
        <w:t>º</w:t>
      </w:r>
      <w:r>
        <w:rPr>
          <w:spacing w:val="-6"/>
          <w:sz w:val="16"/>
          <w:szCs w:val="16"/>
          <w:lang w:val="es-ES_tradnl"/>
        </w:rPr>
        <w:t xml:space="preserve"> 088-2011 (10-12-13121).</w:t>
      </w:r>
    </w:p>
    <w:p w14:paraId="4F67BB10" w14:textId="77777777" w:rsidR="00591D54" w:rsidRDefault="00591D54">
      <w:pPr>
        <w:shd w:val="clear" w:color="auto" w:fill="FFFFFF"/>
        <w:spacing w:before="211"/>
      </w:pPr>
      <w:r>
        <w:rPr>
          <w:b/>
          <w:bCs/>
          <w:spacing w:val="-10"/>
          <w:sz w:val="18"/>
          <w:szCs w:val="18"/>
          <w:lang w:val="es-ES_tradnl"/>
        </w:rPr>
        <w:t>Informes de descargo</w:t>
      </w:r>
    </w:p>
    <w:p w14:paraId="4F67BB11" w14:textId="77777777" w:rsidR="00591D54" w:rsidRDefault="00591D54">
      <w:pPr>
        <w:shd w:val="clear" w:color="auto" w:fill="FFFFFF"/>
        <w:spacing w:before="250" w:line="230" w:lineRule="exact"/>
        <w:jc w:val="both"/>
      </w:pPr>
      <w:r>
        <w:rPr>
          <w:spacing w:val="-5"/>
          <w:sz w:val="18"/>
          <w:szCs w:val="18"/>
          <w:lang w:val="es-ES_tradnl"/>
        </w:rPr>
        <w:t>De la revisi</w:t>
      </w:r>
      <w:r>
        <w:rPr>
          <w:rFonts w:cs="Times New Roman"/>
          <w:spacing w:val="-5"/>
          <w:sz w:val="18"/>
          <w:szCs w:val="18"/>
          <w:lang w:val="es-ES_tradnl"/>
        </w:rPr>
        <w:t>ó</w:t>
      </w:r>
      <w:r>
        <w:rPr>
          <w:spacing w:val="-5"/>
          <w:sz w:val="18"/>
          <w:szCs w:val="18"/>
          <w:lang w:val="es-ES_tradnl"/>
        </w:rPr>
        <w:t xml:space="preserve">n del expediente constitucional no se ha </w:t>
      </w:r>
      <w:r>
        <w:rPr>
          <w:spacing w:val="-7"/>
          <w:sz w:val="18"/>
          <w:szCs w:val="18"/>
          <w:lang w:val="es-ES_tradnl"/>
        </w:rPr>
        <w:t>encontrado aparejado al mismo, el informe que deb</w:t>
      </w:r>
      <w:r>
        <w:rPr>
          <w:rFonts w:cs="Times New Roman"/>
          <w:spacing w:val="-7"/>
          <w:sz w:val="18"/>
          <w:szCs w:val="18"/>
          <w:lang w:val="es-ES_tradnl"/>
        </w:rPr>
        <w:t>í</w:t>
      </w:r>
      <w:r>
        <w:rPr>
          <w:spacing w:val="-7"/>
          <w:sz w:val="18"/>
          <w:szCs w:val="18"/>
          <w:lang w:val="es-ES_tradnl"/>
        </w:rPr>
        <w:t xml:space="preserve">an </w:t>
      </w:r>
      <w:r>
        <w:rPr>
          <w:spacing w:val="-5"/>
          <w:sz w:val="18"/>
          <w:szCs w:val="18"/>
          <w:lang w:val="es-ES_tradnl"/>
        </w:rPr>
        <w:t>presentar el juez sexto de garant</w:t>
      </w:r>
      <w:r>
        <w:rPr>
          <w:rFonts w:cs="Times New Roman"/>
          <w:spacing w:val="-5"/>
          <w:sz w:val="18"/>
          <w:szCs w:val="18"/>
          <w:lang w:val="es-ES_tradnl"/>
        </w:rPr>
        <w:t>í</w:t>
      </w:r>
      <w:r>
        <w:rPr>
          <w:spacing w:val="-5"/>
          <w:sz w:val="18"/>
          <w:szCs w:val="18"/>
          <w:lang w:val="es-ES_tradnl"/>
        </w:rPr>
        <w:t xml:space="preserve">as penales del Guayas </w:t>
      </w:r>
      <w:r>
        <w:rPr>
          <w:spacing w:val="-6"/>
          <w:sz w:val="18"/>
          <w:szCs w:val="18"/>
          <w:lang w:val="es-ES_tradnl"/>
        </w:rPr>
        <w:t>los se</w:t>
      </w:r>
      <w:r>
        <w:rPr>
          <w:rFonts w:cs="Times New Roman"/>
          <w:spacing w:val="-6"/>
          <w:sz w:val="18"/>
          <w:szCs w:val="18"/>
          <w:lang w:val="es-ES_tradnl"/>
        </w:rPr>
        <w:t>ñ</w:t>
      </w:r>
      <w:r>
        <w:rPr>
          <w:spacing w:val="-6"/>
          <w:sz w:val="18"/>
          <w:szCs w:val="18"/>
          <w:lang w:val="es-ES_tradnl"/>
        </w:rPr>
        <w:t>ores Francisco Eduardo Rend</w:t>
      </w:r>
      <w:r>
        <w:rPr>
          <w:rFonts w:cs="Times New Roman"/>
          <w:spacing w:val="-6"/>
          <w:sz w:val="18"/>
          <w:szCs w:val="18"/>
          <w:lang w:val="es-ES_tradnl"/>
        </w:rPr>
        <w:t>ó</w:t>
      </w:r>
      <w:r>
        <w:rPr>
          <w:spacing w:val="-6"/>
          <w:sz w:val="18"/>
          <w:szCs w:val="18"/>
          <w:lang w:val="es-ES_tradnl"/>
        </w:rPr>
        <w:t>n Pantale</w:t>
      </w:r>
      <w:r>
        <w:rPr>
          <w:rFonts w:cs="Times New Roman"/>
          <w:spacing w:val="-6"/>
          <w:sz w:val="18"/>
          <w:szCs w:val="18"/>
          <w:lang w:val="es-ES_tradnl"/>
        </w:rPr>
        <w:t>ó</w:t>
      </w:r>
      <w:r>
        <w:rPr>
          <w:spacing w:val="-6"/>
          <w:sz w:val="18"/>
          <w:szCs w:val="18"/>
          <w:lang w:val="es-ES_tradnl"/>
        </w:rPr>
        <w:t>n y Ra</w:t>
      </w:r>
      <w:r>
        <w:rPr>
          <w:rFonts w:cs="Times New Roman"/>
          <w:spacing w:val="-6"/>
          <w:sz w:val="18"/>
          <w:szCs w:val="18"/>
          <w:lang w:val="es-ES_tradnl"/>
        </w:rPr>
        <w:t>ú</w:t>
      </w:r>
      <w:r>
        <w:rPr>
          <w:spacing w:val="-6"/>
          <w:sz w:val="18"/>
          <w:szCs w:val="18"/>
          <w:lang w:val="es-ES_tradnl"/>
        </w:rPr>
        <w:t>l</w:t>
      </w:r>
    </w:p>
    <w:p w14:paraId="4F67BB12" w14:textId="77777777" w:rsidR="00591D54" w:rsidRDefault="00591D54">
      <w:pPr>
        <w:shd w:val="clear" w:color="auto" w:fill="FFFFFF"/>
        <w:spacing w:before="14" w:line="230" w:lineRule="exact"/>
        <w:ind w:right="5"/>
        <w:jc w:val="both"/>
      </w:pPr>
      <w:r>
        <w:br w:type="column"/>
      </w:r>
      <w:r>
        <w:rPr>
          <w:spacing w:val="-8"/>
          <w:sz w:val="18"/>
          <w:szCs w:val="18"/>
          <w:lang w:val="es-ES_tradnl"/>
        </w:rPr>
        <w:t xml:space="preserve">Fernando Acurio del Pino, en calidad de ex representantes </w:t>
      </w:r>
      <w:r>
        <w:rPr>
          <w:spacing w:val="-4"/>
          <w:sz w:val="18"/>
          <w:szCs w:val="18"/>
          <w:lang w:val="es-ES_tradnl"/>
        </w:rPr>
        <w:t>de ECUAVITAL S. A.; y, el se</w:t>
      </w:r>
      <w:r>
        <w:rPr>
          <w:rFonts w:cs="Times New Roman"/>
          <w:spacing w:val="-4"/>
          <w:sz w:val="18"/>
          <w:szCs w:val="18"/>
          <w:lang w:val="es-ES_tradnl"/>
        </w:rPr>
        <w:t>ñ</w:t>
      </w:r>
      <w:r>
        <w:rPr>
          <w:spacing w:val="-4"/>
          <w:sz w:val="18"/>
          <w:szCs w:val="18"/>
          <w:lang w:val="es-ES_tradnl"/>
        </w:rPr>
        <w:t xml:space="preserve">or Diego Aveiga del Pino, </w:t>
      </w:r>
      <w:r>
        <w:rPr>
          <w:spacing w:val="-7"/>
          <w:sz w:val="18"/>
          <w:szCs w:val="18"/>
          <w:lang w:val="es-ES_tradnl"/>
        </w:rPr>
        <w:t xml:space="preserve">en calidad de representante actual de esta, pese a haber </w:t>
      </w:r>
      <w:r>
        <w:rPr>
          <w:spacing w:val="-8"/>
          <w:sz w:val="18"/>
          <w:szCs w:val="18"/>
          <w:lang w:val="es-ES_tradnl"/>
        </w:rPr>
        <w:t>sido debidamente notificados durante la sustanciaci</w:t>
      </w:r>
      <w:r>
        <w:rPr>
          <w:rFonts w:cs="Times New Roman"/>
          <w:spacing w:val="-8"/>
          <w:sz w:val="18"/>
          <w:szCs w:val="18"/>
          <w:lang w:val="es-ES_tradnl"/>
        </w:rPr>
        <w:t>ó</w:t>
      </w:r>
      <w:r>
        <w:rPr>
          <w:spacing w:val="-8"/>
          <w:sz w:val="18"/>
          <w:szCs w:val="18"/>
          <w:lang w:val="es-ES_tradnl"/>
        </w:rPr>
        <w:t xml:space="preserve">n del </w:t>
      </w:r>
      <w:r>
        <w:rPr>
          <w:sz w:val="18"/>
          <w:szCs w:val="18"/>
          <w:lang w:val="es-ES_tradnl"/>
        </w:rPr>
        <w:t>proceso.</w:t>
      </w:r>
    </w:p>
    <w:p w14:paraId="4F67BB13" w14:textId="77777777" w:rsidR="00591D54" w:rsidRDefault="00591D54">
      <w:pPr>
        <w:shd w:val="clear" w:color="auto" w:fill="FFFFFF"/>
        <w:spacing w:before="250" w:line="230" w:lineRule="exact"/>
        <w:ind w:right="5"/>
        <w:jc w:val="both"/>
      </w:pPr>
      <w:r>
        <w:rPr>
          <w:spacing w:val="-10"/>
          <w:sz w:val="18"/>
          <w:szCs w:val="18"/>
          <w:lang w:val="es-ES_tradnl"/>
        </w:rPr>
        <w:t>Por su parte, el se</w:t>
      </w:r>
      <w:r>
        <w:rPr>
          <w:rFonts w:cs="Times New Roman"/>
          <w:spacing w:val="-10"/>
          <w:sz w:val="18"/>
          <w:szCs w:val="18"/>
          <w:lang w:val="es-ES_tradnl"/>
        </w:rPr>
        <w:t>ñ</w:t>
      </w:r>
      <w:r>
        <w:rPr>
          <w:spacing w:val="-10"/>
          <w:sz w:val="18"/>
          <w:szCs w:val="18"/>
          <w:lang w:val="es-ES_tradnl"/>
        </w:rPr>
        <w:t>or Bol</w:t>
      </w:r>
      <w:r>
        <w:rPr>
          <w:rFonts w:cs="Times New Roman"/>
          <w:spacing w:val="-10"/>
          <w:sz w:val="18"/>
          <w:szCs w:val="18"/>
          <w:lang w:val="es-ES_tradnl"/>
        </w:rPr>
        <w:t>í</w:t>
      </w:r>
      <w:r>
        <w:rPr>
          <w:spacing w:val="-10"/>
          <w:sz w:val="18"/>
          <w:szCs w:val="18"/>
          <w:lang w:val="es-ES_tradnl"/>
        </w:rPr>
        <w:t>var Escobar Rodr</w:t>
      </w:r>
      <w:r>
        <w:rPr>
          <w:rFonts w:cs="Times New Roman"/>
          <w:spacing w:val="-10"/>
          <w:sz w:val="18"/>
          <w:szCs w:val="18"/>
          <w:lang w:val="es-ES_tradnl"/>
        </w:rPr>
        <w:t>í</w:t>
      </w:r>
      <w:r>
        <w:rPr>
          <w:spacing w:val="-10"/>
          <w:sz w:val="18"/>
          <w:szCs w:val="18"/>
          <w:lang w:val="es-ES_tradnl"/>
        </w:rPr>
        <w:t xml:space="preserve">guez, en calidad </w:t>
      </w:r>
      <w:r>
        <w:rPr>
          <w:spacing w:val="-7"/>
          <w:sz w:val="18"/>
          <w:szCs w:val="18"/>
          <w:lang w:val="es-ES_tradnl"/>
        </w:rPr>
        <w:t>de fiscal segundo de la Fiscal</w:t>
      </w:r>
      <w:r>
        <w:rPr>
          <w:rFonts w:cs="Times New Roman"/>
          <w:spacing w:val="-7"/>
          <w:sz w:val="18"/>
          <w:szCs w:val="18"/>
          <w:lang w:val="es-ES_tradnl"/>
        </w:rPr>
        <w:t>í</w:t>
      </w:r>
      <w:r>
        <w:rPr>
          <w:spacing w:val="-7"/>
          <w:sz w:val="18"/>
          <w:szCs w:val="18"/>
          <w:lang w:val="es-ES_tradnl"/>
        </w:rPr>
        <w:t>a Especializada en Delitos contra la Fe P</w:t>
      </w:r>
      <w:r>
        <w:rPr>
          <w:rFonts w:cs="Times New Roman"/>
          <w:spacing w:val="-7"/>
          <w:sz w:val="18"/>
          <w:szCs w:val="18"/>
          <w:lang w:val="es-ES_tradnl"/>
        </w:rPr>
        <w:t>ú</w:t>
      </w:r>
      <w:r>
        <w:rPr>
          <w:spacing w:val="-7"/>
          <w:sz w:val="18"/>
          <w:szCs w:val="18"/>
          <w:lang w:val="es-ES_tradnl"/>
        </w:rPr>
        <w:t xml:space="preserve">blica del Guayas presenta un escrito del 28 </w:t>
      </w:r>
      <w:r>
        <w:rPr>
          <w:spacing w:val="-8"/>
          <w:sz w:val="18"/>
          <w:szCs w:val="18"/>
          <w:lang w:val="es-ES_tradnl"/>
        </w:rPr>
        <w:t xml:space="preserve">de junio de 2012, por el cual comunica a esta Corte que no </w:t>
      </w:r>
      <w:r>
        <w:rPr>
          <w:spacing w:val="-7"/>
          <w:sz w:val="18"/>
          <w:szCs w:val="18"/>
          <w:lang w:val="es-ES_tradnl"/>
        </w:rPr>
        <w:t xml:space="preserve">puede cumplir con lo dispuesto en la providencia del 29 de </w:t>
      </w:r>
      <w:r>
        <w:rPr>
          <w:spacing w:val="-9"/>
          <w:sz w:val="18"/>
          <w:szCs w:val="18"/>
          <w:lang w:val="es-ES_tradnl"/>
        </w:rPr>
        <w:t xml:space="preserve">mayo de 2012, por cuanto el expediente se encuentra en la </w:t>
      </w:r>
      <w:r>
        <w:rPr>
          <w:spacing w:val="-7"/>
          <w:sz w:val="18"/>
          <w:szCs w:val="18"/>
          <w:lang w:val="es-ES_tradnl"/>
        </w:rPr>
        <w:t>ciudad de Quito, como se desprende de la raz</w:t>
      </w:r>
      <w:r>
        <w:rPr>
          <w:rFonts w:cs="Times New Roman"/>
          <w:spacing w:val="-7"/>
          <w:sz w:val="18"/>
          <w:szCs w:val="18"/>
          <w:lang w:val="es-ES_tradnl"/>
        </w:rPr>
        <w:t>ó</w:t>
      </w:r>
      <w:r>
        <w:rPr>
          <w:spacing w:val="-7"/>
          <w:sz w:val="18"/>
          <w:szCs w:val="18"/>
          <w:lang w:val="es-ES_tradnl"/>
        </w:rPr>
        <w:t xml:space="preserve">n sentada </w:t>
      </w:r>
      <w:r>
        <w:rPr>
          <w:spacing w:val="-11"/>
          <w:sz w:val="18"/>
          <w:szCs w:val="18"/>
          <w:lang w:val="es-ES_tradnl"/>
        </w:rPr>
        <w:t>por el secretario del Juzgado Sexto de Garant</w:t>
      </w:r>
      <w:r>
        <w:rPr>
          <w:rFonts w:cs="Times New Roman"/>
          <w:spacing w:val="-11"/>
          <w:sz w:val="18"/>
          <w:szCs w:val="18"/>
          <w:lang w:val="es-ES_tradnl"/>
        </w:rPr>
        <w:t>í</w:t>
      </w:r>
      <w:r>
        <w:rPr>
          <w:spacing w:val="-11"/>
          <w:sz w:val="18"/>
          <w:szCs w:val="18"/>
          <w:lang w:val="es-ES_tradnl"/>
        </w:rPr>
        <w:t xml:space="preserve">as Penales del </w:t>
      </w:r>
      <w:r>
        <w:rPr>
          <w:sz w:val="18"/>
          <w:szCs w:val="18"/>
          <w:lang w:val="es-ES_tradnl"/>
        </w:rPr>
        <w:t>Guayas, que adjunta al mismo.</w:t>
      </w:r>
    </w:p>
    <w:p w14:paraId="4F67BB14" w14:textId="77777777" w:rsidR="00591D54" w:rsidRDefault="00591D54">
      <w:pPr>
        <w:shd w:val="clear" w:color="auto" w:fill="FFFFFF"/>
        <w:spacing w:before="254"/>
      </w:pPr>
      <w:r>
        <w:rPr>
          <w:b/>
          <w:bCs/>
          <w:spacing w:val="-7"/>
          <w:sz w:val="18"/>
          <w:szCs w:val="18"/>
          <w:lang w:val="es-ES_tradnl"/>
        </w:rPr>
        <w:t>Procuradur</w:t>
      </w:r>
      <w:r>
        <w:rPr>
          <w:rFonts w:cs="Times New Roman"/>
          <w:b/>
          <w:bCs/>
          <w:spacing w:val="-7"/>
          <w:sz w:val="18"/>
          <w:szCs w:val="18"/>
          <w:lang w:val="es-ES_tradnl"/>
        </w:rPr>
        <w:t>í</w:t>
      </w:r>
      <w:r>
        <w:rPr>
          <w:b/>
          <w:bCs/>
          <w:spacing w:val="-7"/>
          <w:sz w:val="18"/>
          <w:szCs w:val="18"/>
          <w:lang w:val="es-ES_tradnl"/>
        </w:rPr>
        <w:t>a General del Estado</w:t>
      </w:r>
    </w:p>
    <w:p w14:paraId="4F67BB15" w14:textId="77777777" w:rsidR="00591D54" w:rsidRDefault="00591D54">
      <w:pPr>
        <w:shd w:val="clear" w:color="auto" w:fill="FFFFFF"/>
        <w:spacing w:before="250" w:line="230" w:lineRule="exact"/>
        <w:ind w:right="5"/>
        <w:jc w:val="both"/>
      </w:pPr>
      <w:r>
        <w:rPr>
          <w:spacing w:val="-6"/>
          <w:sz w:val="18"/>
          <w:szCs w:val="18"/>
          <w:lang w:val="es-ES_tradnl"/>
        </w:rPr>
        <w:t xml:space="preserve">A fs. 16 del expediente constitucional consta el escrito </w:t>
      </w:r>
      <w:r>
        <w:rPr>
          <w:spacing w:val="-8"/>
          <w:sz w:val="18"/>
          <w:szCs w:val="18"/>
          <w:lang w:val="es-ES_tradnl"/>
        </w:rPr>
        <w:t xml:space="preserve">presentado por el abogado Marcos Arteaga Valenzuela, </w:t>
      </w:r>
      <w:r>
        <w:rPr>
          <w:spacing w:val="-6"/>
          <w:sz w:val="18"/>
          <w:szCs w:val="18"/>
          <w:lang w:val="es-ES_tradnl"/>
        </w:rPr>
        <w:t xml:space="preserve">director nacional de Patrocinio, delegado del Procurador </w:t>
      </w:r>
      <w:r>
        <w:rPr>
          <w:spacing w:val="-4"/>
          <w:sz w:val="18"/>
          <w:szCs w:val="18"/>
          <w:lang w:val="es-ES_tradnl"/>
        </w:rPr>
        <w:t>General del Estado, a trav</w:t>
      </w:r>
      <w:r>
        <w:rPr>
          <w:rFonts w:cs="Times New Roman"/>
          <w:spacing w:val="-4"/>
          <w:sz w:val="18"/>
          <w:szCs w:val="18"/>
          <w:lang w:val="es-ES_tradnl"/>
        </w:rPr>
        <w:t>é</w:t>
      </w:r>
      <w:r>
        <w:rPr>
          <w:spacing w:val="-4"/>
          <w:sz w:val="18"/>
          <w:szCs w:val="18"/>
          <w:lang w:val="es-ES_tradnl"/>
        </w:rPr>
        <w:t xml:space="preserve">s del cual expone que luego </w:t>
      </w:r>
      <w:r>
        <w:rPr>
          <w:spacing w:val="-7"/>
          <w:sz w:val="18"/>
          <w:szCs w:val="18"/>
          <w:lang w:val="es-ES_tradnl"/>
        </w:rPr>
        <w:t>del an</w:t>
      </w:r>
      <w:r>
        <w:rPr>
          <w:rFonts w:cs="Times New Roman"/>
          <w:spacing w:val="-7"/>
          <w:sz w:val="18"/>
          <w:szCs w:val="18"/>
          <w:lang w:val="es-ES_tradnl"/>
        </w:rPr>
        <w:t>á</w:t>
      </w:r>
      <w:r>
        <w:rPr>
          <w:spacing w:val="-7"/>
          <w:sz w:val="18"/>
          <w:szCs w:val="18"/>
          <w:lang w:val="es-ES_tradnl"/>
        </w:rPr>
        <w:t>lisis del caso, la Procuradur</w:t>
      </w:r>
      <w:r>
        <w:rPr>
          <w:rFonts w:cs="Times New Roman"/>
          <w:spacing w:val="-7"/>
          <w:sz w:val="18"/>
          <w:szCs w:val="18"/>
          <w:lang w:val="es-ES_tradnl"/>
        </w:rPr>
        <w:t>í</w:t>
      </w:r>
      <w:r>
        <w:rPr>
          <w:spacing w:val="-7"/>
          <w:sz w:val="18"/>
          <w:szCs w:val="18"/>
          <w:lang w:val="es-ES_tradnl"/>
        </w:rPr>
        <w:t xml:space="preserve">a General del Estado </w:t>
      </w:r>
      <w:r>
        <w:rPr>
          <w:spacing w:val="-5"/>
          <w:sz w:val="18"/>
          <w:szCs w:val="18"/>
          <w:lang w:val="es-ES_tradnl"/>
        </w:rPr>
        <w:t>considera que el fiscal llev</w:t>
      </w:r>
      <w:r>
        <w:rPr>
          <w:rFonts w:cs="Times New Roman"/>
          <w:spacing w:val="-5"/>
          <w:sz w:val="18"/>
          <w:szCs w:val="18"/>
          <w:lang w:val="es-ES_tradnl"/>
        </w:rPr>
        <w:t>ó</w:t>
      </w:r>
      <w:r>
        <w:rPr>
          <w:spacing w:val="-5"/>
          <w:sz w:val="18"/>
          <w:szCs w:val="18"/>
          <w:lang w:val="es-ES_tradnl"/>
        </w:rPr>
        <w:t xml:space="preserve"> a cabo la indagaci</w:t>
      </w:r>
      <w:r>
        <w:rPr>
          <w:rFonts w:cs="Times New Roman"/>
          <w:spacing w:val="-5"/>
          <w:sz w:val="18"/>
          <w:szCs w:val="18"/>
          <w:lang w:val="es-ES_tradnl"/>
        </w:rPr>
        <w:t>ó</w:t>
      </w:r>
      <w:r>
        <w:rPr>
          <w:spacing w:val="-5"/>
          <w:sz w:val="18"/>
          <w:szCs w:val="18"/>
          <w:lang w:val="es-ES_tradnl"/>
        </w:rPr>
        <w:t xml:space="preserve">n previa </w:t>
      </w:r>
      <w:r>
        <w:rPr>
          <w:spacing w:val="-8"/>
          <w:sz w:val="18"/>
          <w:szCs w:val="18"/>
          <w:lang w:val="es-ES_tradnl"/>
        </w:rPr>
        <w:t xml:space="preserve">sin haber cumplido con el deber de investigar y evacuar las </w:t>
      </w:r>
      <w:r>
        <w:rPr>
          <w:spacing w:val="-7"/>
          <w:sz w:val="18"/>
          <w:szCs w:val="18"/>
          <w:lang w:val="es-ES_tradnl"/>
        </w:rPr>
        <w:t xml:space="preserve">diligencias solicitadas por la autoridad tributaria, y resuelve </w:t>
      </w:r>
      <w:r>
        <w:rPr>
          <w:spacing w:val="-6"/>
          <w:sz w:val="18"/>
          <w:szCs w:val="18"/>
          <w:lang w:val="es-ES_tradnl"/>
        </w:rPr>
        <w:t>la desestimaci</w:t>
      </w:r>
      <w:r>
        <w:rPr>
          <w:rFonts w:cs="Times New Roman"/>
          <w:spacing w:val="-6"/>
          <w:sz w:val="18"/>
          <w:szCs w:val="18"/>
          <w:lang w:val="es-ES_tradnl"/>
        </w:rPr>
        <w:t>ó</w:t>
      </w:r>
      <w:r>
        <w:rPr>
          <w:spacing w:val="-6"/>
          <w:sz w:val="18"/>
          <w:szCs w:val="18"/>
          <w:lang w:val="es-ES_tradnl"/>
        </w:rPr>
        <w:t xml:space="preserve">n y pedido de archivo, ante lo cual el juez </w:t>
      </w:r>
      <w:r>
        <w:rPr>
          <w:spacing w:val="-8"/>
          <w:sz w:val="18"/>
          <w:szCs w:val="18"/>
          <w:lang w:val="es-ES_tradnl"/>
        </w:rPr>
        <w:t>sexto de Garant</w:t>
      </w:r>
      <w:r>
        <w:rPr>
          <w:rFonts w:cs="Times New Roman"/>
          <w:spacing w:val="-8"/>
          <w:sz w:val="18"/>
          <w:szCs w:val="18"/>
          <w:lang w:val="es-ES_tradnl"/>
        </w:rPr>
        <w:t>í</w:t>
      </w:r>
      <w:r>
        <w:rPr>
          <w:spacing w:val="-8"/>
          <w:sz w:val="18"/>
          <w:szCs w:val="18"/>
          <w:lang w:val="es-ES_tradnl"/>
        </w:rPr>
        <w:t xml:space="preserve">as Penales del Guayas acepta mediante </w:t>
      </w:r>
      <w:r>
        <w:rPr>
          <w:spacing w:val="-7"/>
          <w:sz w:val="18"/>
          <w:szCs w:val="18"/>
          <w:lang w:val="es-ES_tradnl"/>
        </w:rPr>
        <w:t xml:space="preserve">auto resolutorio, mismo que vulnera expresos derechos </w:t>
      </w:r>
      <w:r>
        <w:rPr>
          <w:spacing w:val="-8"/>
          <w:sz w:val="18"/>
          <w:szCs w:val="18"/>
          <w:lang w:val="es-ES_tradnl"/>
        </w:rPr>
        <w:t>constitucionales del accionante, espec</w:t>
      </w:r>
      <w:r>
        <w:rPr>
          <w:rFonts w:cs="Times New Roman"/>
          <w:spacing w:val="-8"/>
          <w:sz w:val="18"/>
          <w:szCs w:val="18"/>
          <w:lang w:val="es-ES_tradnl"/>
        </w:rPr>
        <w:t>í</w:t>
      </w:r>
      <w:r>
        <w:rPr>
          <w:spacing w:val="-8"/>
          <w:sz w:val="18"/>
          <w:szCs w:val="18"/>
          <w:lang w:val="es-ES_tradnl"/>
        </w:rPr>
        <w:t xml:space="preserve">ficamente la tutela </w:t>
      </w:r>
      <w:r>
        <w:rPr>
          <w:spacing w:val="-7"/>
          <w:sz w:val="18"/>
          <w:szCs w:val="18"/>
          <w:lang w:val="es-ES_tradnl"/>
        </w:rPr>
        <w:t>efectiva y concomitantemente la seguridad jur</w:t>
      </w:r>
      <w:r>
        <w:rPr>
          <w:rFonts w:cs="Times New Roman"/>
          <w:spacing w:val="-7"/>
          <w:sz w:val="18"/>
          <w:szCs w:val="18"/>
          <w:lang w:val="es-ES_tradnl"/>
        </w:rPr>
        <w:t>í</w:t>
      </w:r>
      <w:r>
        <w:rPr>
          <w:spacing w:val="-7"/>
          <w:sz w:val="18"/>
          <w:szCs w:val="18"/>
          <w:lang w:val="es-ES_tradnl"/>
        </w:rPr>
        <w:t>dica</w:t>
      </w:r>
    </w:p>
    <w:p w14:paraId="4F67BB16" w14:textId="77777777" w:rsidR="00591D54" w:rsidRDefault="00591D54">
      <w:pPr>
        <w:shd w:val="clear" w:color="auto" w:fill="FFFFFF"/>
        <w:spacing w:before="250" w:line="230" w:lineRule="exact"/>
        <w:ind w:left="686" w:right="326" w:hanging="355"/>
      </w:pPr>
      <w:r>
        <w:rPr>
          <w:b/>
          <w:bCs/>
          <w:spacing w:val="-1"/>
          <w:sz w:val="18"/>
          <w:szCs w:val="18"/>
          <w:lang w:val="es-ES_tradnl"/>
        </w:rPr>
        <w:t xml:space="preserve">II. CONSIDERACIONES Y FUNDAMENTOS </w:t>
      </w:r>
      <w:r>
        <w:rPr>
          <w:b/>
          <w:bCs/>
          <w:sz w:val="18"/>
          <w:szCs w:val="18"/>
          <w:lang w:val="es-ES_tradnl"/>
        </w:rPr>
        <w:t>DE LA CORTE CONSTITUCIONAL</w:t>
      </w:r>
    </w:p>
    <w:p w14:paraId="4F67BB17" w14:textId="77777777" w:rsidR="00591D54" w:rsidRDefault="00591D54">
      <w:pPr>
        <w:shd w:val="clear" w:color="auto" w:fill="FFFFFF"/>
        <w:spacing w:before="250"/>
      </w:pPr>
      <w:r>
        <w:rPr>
          <w:b/>
          <w:bCs/>
          <w:spacing w:val="-8"/>
          <w:sz w:val="18"/>
          <w:szCs w:val="18"/>
          <w:lang w:val="es-ES_tradnl"/>
        </w:rPr>
        <w:t>Competencia de la Corte</w:t>
      </w:r>
    </w:p>
    <w:p w14:paraId="4F67BB18" w14:textId="77777777" w:rsidR="00591D54" w:rsidRDefault="00591D54">
      <w:pPr>
        <w:shd w:val="clear" w:color="auto" w:fill="FFFFFF"/>
        <w:spacing w:before="250" w:line="230" w:lineRule="exact"/>
        <w:jc w:val="both"/>
      </w:pPr>
      <w:r>
        <w:rPr>
          <w:spacing w:val="-6"/>
          <w:sz w:val="18"/>
          <w:szCs w:val="18"/>
          <w:lang w:val="es-ES_tradnl"/>
        </w:rPr>
        <w:t xml:space="preserve">La Corte Constitucional es competente para conocer y </w:t>
      </w:r>
      <w:r>
        <w:rPr>
          <w:spacing w:val="-4"/>
          <w:sz w:val="18"/>
          <w:szCs w:val="18"/>
          <w:lang w:val="es-ES_tradnl"/>
        </w:rPr>
        <w:t>resolver las acciones extraordinarias de protecci</w:t>
      </w:r>
      <w:r>
        <w:rPr>
          <w:rFonts w:cs="Times New Roman"/>
          <w:spacing w:val="-4"/>
          <w:sz w:val="18"/>
          <w:szCs w:val="18"/>
          <w:lang w:val="es-ES_tradnl"/>
        </w:rPr>
        <w:t>ó</w:t>
      </w:r>
      <w:r>
        <w:rPr>
          <w:spacing w:val="-4"/>
          <w:sz w:val="18"/>
          <w:szCs w:val="18"/>
          <w:lang w:val="es-ES_tradnl"/>
        </w:rPr>
        <w:t xml:space="preserve">n en </w:t>
      </w:r>
      <w:r>
        <w:rPr>
          <w:spacing w:val="-7"/>
          <w:sz w:val="18"/>
          <w:szCs w:val="18"/>
          <w:lang w:val="es-ES_tradnl"/>
        </w:rPr>
        <w:t xml:space="preserve">contra de sentencias, autos definitivos y resoluciones con fuerza de sentencia, de conformidad con lo previsto en los </w:t>
      </w:r>
      <w:r>
        <w:rPr>
          <w:spacing w:val="-5"/>
          <w:sz w:val="18"/>
          <w:szCs w:val="18"/>
          <w:lang w:val="es-ES_tradnl"/>
        </w:rPr>
        <w:t>art</w:t>
      </w:r>
      <w:r>
        <w:rPr>
          <w:rFonts w:cs="Times New Roman"/>
          <w:spacing w:val="-5"/>
          <w:sz w:val="18"/>
          <w:szCs w:val="18"/>
          <w:lang w:val="es-ES_tradnl"/>
        </w:rPr>
        <w:t>í</w:t>
      </w:r>
      <w:r>
        <w:rPr>
          <w:spacing w:val="-5"/>
          <w:sz w:val="18"/>
          <w:szCs w:val="18"/>
          <w:lang w:val="es-ES_tradnl"/>
        </w:rPr>
        <w:t>culos 94 y 437 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 xml:space="preserve">blica, en </w:t>
      </w:r>
      <w:r>
        <w:rPr>
          <w:spacing w:val="-8"/>
          <w:sz w:val="18"/>
          <w:szCs w:val="18"/>
          <w:lang w:val="es-ES_tradnl"/>
        </w:rPr>
        <w:t>concordancia con los art</w:t>
      </w:r>
      <w:r>
        <w:rPr>
          <w:rFonts w:cs="Times New Roman"/>
          <w:spacing w:val="-8"/>
          <w:sz w:val="18"/>
          <w:szCs w:val="18"/>
          <w:lang w:val="es-ES_tradnl"/>
        </w:rPr>
        <w:t>í</w:t>
      </w:r>
      <w:r>
        <w:rPr>
          <w:spacing w:val="-8"/>
          <w:sz w:val="18"/>
          <w:szCs w:val="18"/>
          <w:lang w:val="es-ES_tradnl"/>
        </w:rPr>
        <w:t xml:space="preserve">culos 63 y 191, numeral 2 literal </w:t>
      </w:r>
      <w:r>
        <w:rPr>
          <w:b/>
          <w:bCs/>
          <w:spacing w:val="-8"/>
          <w:sz w:val="18"/>
          <w:szCs w:val="18"/>
          <w:lang w:val="es-ES_tradnl"/>
        </w:rPr>
        <w:t xml:space="preserve">d </w:t>
      </w:r>
      <w:r>
        <w:rPr>
          <w:spacing w:val="-8"/>
          <w:sz w:val="18"/>
          <w:szCs w:val="18"/>
          <w:lang w:val="es-ES_tradnl"/>
        </w:rPr>
        <w:t>de la Ley Org</w:t>
      </w:r>
      <w:r>
        <w:rPr>
          <w:rFonts w:cs="Times New Roman"/>
          <w:spacing w:val="-8"/>
          <w:sz w:val="18"/>
          <w:szCs w:val="18"/>
          <w:lang w:val="es-ES_tradnl"/>
        </w:rPr>
        <w:t>á</w:t>
      </w:r>
      <w:r>
        <w:rPr>
          <w:spacing w:val="-8"/>
          <w:sz w:val="18"/>
          <w:szCs w:val="18"/>
          <w:lang w:val="es-ES_tradnl"/>
        </w:rPr>
        <w:t>nica de Garant</w:t>
      </w:r>
      <w:r>
        <w:rPr>
          <w:rFonts w:cs="Times New Roman"/>
          <w:spacing w:val="-8"/>
          <w:sz w:val="18"/>
          <w:szCs w:val="18"/>
          <w:lang w:val="es-ES_tradnl"/>
        </w:rPr>
        <w:t>í</w:t>
      </w:r>
      <w:r>
        <w:rPr>
          <w:spacing w:val="-8"/>
          <w:sz w:val="18"/>
          <w:szCs w:val="18"/>
          <w:lang w:val="es-ES_tradnl"/>
        </w:rPr>
        <w:t xml:space="preserve">as Jurisdiccionales y Control </w:t>
      </w:r>
      <w:r>
        <w:rPr>
          <w:sz w:val="18"/>
          <w:szCs w:val="18"/>
          <w:lang w:val="es-ES_tradnl"/>
        </w:rPr>
        <w:t>Constitucional.</w:t>
      </w:r>
    </w:p>
    <w:p w14:paraId="4F67BB19" w14:textId="77777777" w:rsidR="00591D54" w:rsidRDefault="00591D54">
      <w:pPr>
        <w:shd w:val="clear" w:color="auto" w:fill="FFFFFF"/>
        <w:spacing w:before="250" w:line="230" w:lineRule="exact"/>
        <w:ind w:right="5"/>
        <w:jc w:val="both"/>
      </w:pPr>
      <w:r>
        <w:rPr>
          <w:b/>
          <w:bCs/>
          <w:spacing w:val="-5"/>
          <w:sz w:val="18"/>
          <w:szCs w:val="18"/>
          <w:lang w:val="es-ES_tradnl"/>
        </w:rPr>
        <w:t>Naturaleza jur</w:t>
      </w:r>
      <w:r>
        <w:rPr>
          <w:rFonts w:cs="Times New Roman"/>
          <w:b/>
          <w:bCs/>
          <w:spacing w:val="-5"/>
          <w:sz w:val="18"/>
          <w:szCs w:val="18"/>
          <w:lang w:val="es-ES_tradnl"/>
        </w:rPr>
        <w:t>í</w:t>
      </w:r>
      <w:r>
        <w:rPr>
          <w:b/>
          <w:bCs/>
          <w:spacing w:val="-5"/>
          <w:sz w:val="18"/>
          <w:szCs w:val="18"/>
          <w:lang w:val="es-ES_tradnl"/>
        </w:rPr>
        <w:t>dica de la acci</w:t>
      </w:r>
      <w:r>
        <w:rPr>
          <w:rFonts w:cs="Times New Roman"/>
          <w:b/>
          <w:bCs/>
          <w:spacing w:val="-5"/>
          <w:sz w:val="18"/>
          <w:szCs w:val="18"/>
          <w:lang w:val="es-ES_tradnl"/>
        </w:rPr>
        <w:t>ó</w:t>
      </w:r>
      <w:r>
        <w:rPr>
          <w:b/>
          <w:bCs/>
          <w:spacing w:val="-5"/>
          <w:sz w:val="18"/>
          <w:szCs w:val="18"/>
          <w:lang w:val="es-ES_tradnl"/>
        </w:rPr>
        <w:t xml:space="preserve">n extraordinaria de </w:t>
      </w:r>
      <w:r>
        <w:rPr>
          <w:b/>
          <w:bCs/>
          <w:sz w:val="18"/>
          <w:szCs w:val="18"/>
          <w:lang w:val="es-ES_tradnl"/>
        </w:rPr>
        <w:t>protecci</w:t>
      </w:r>
      <w:r>
        <w:rPr>
          <w:rFonts w:cs="Times New Roman"/>
          <w:b/>
          <w:bCs/>
          <w:sz w:val="18"/>
          <w:szCs w:val="18"/>
          <w:lang w:val="es-ES_tradnl"/>
        </w:rPr>
        <w:t>ó</w:t>
      </w:r>
      <w:r>
        <w:rPr>
          <w:b/>
          <w:bCs/>
          <w:sz w:val="18"/>
          <w:szCs w:val="18"/>
          <w:lang w:val="es-ES_tradnl"/>
        </w:rPr>
        <w:t>n</w:t>
      </w:r>
    </w:p>
    <w:p w14:paraId="4F67BB1A" w14:textId="77777777" w:rsidR="00591D54" w:rsidRDefault="00591D54">
      <w:pPr>
        <w:shd w:val="clear" w:color="auto" w:fill="FFFFFF"/>
        <w:spacing w:before="250" w:line="230" w:lineRule="exact"/>
        <w:ind w:right="5"/>
        <w:jc w:val="both"/>
      </w:pPr>
      <w:r>
        <w:rPr>
          <w:sz w:val="18"/>
          <w:szCs w:val="18"/>
          <w:lang w:val="es-ES_tradnl"/>
        </w:rPr>
        <w:t>La acci</w:t>
      </w:r>
      <w:r>
        <w:rPr>
          <w:rFonts w:cs="Times New Roman"/>
          <w:sz w:val="18"/>
          <w:szCs w:val="18"/>
          <w:lang w:val="es-ES_tradnl"/>
        </w:rPr>
        <w:t>ó</w:t>
      </w:r>
      <w:r>
        <w:rPr>
          <w:sz w:val="18"/>
          <w:szCs w:val="18"/>
          <w:lang w:val="es-ES_tradnl"/>
        </w:rPr>
        <w:t>n extraordinaria de protecci</w:t>
      </w:r>
      <w:r>
        <w:rPr>
          <w:rFonts w:cs="Times New Roman"/>
          <w:sz w:val="18"/>
          <w:szCs w:val="18"/>
          <w:lang w:val="es-ES_tradnl"/>
        </w:rPr>
        <w:t>ó</w:t>
      </w:r>
      <w:r>
        <w:rPr>
          <w:sz w:val="18"/>
          <w:szCs w:val="18"/>
          <w:lang w:val="es-ES_tradnl"/>
        </w:rPr>
        <w:t xml:space="preserve">n procede </w:t>
      </w:r>
      <w:r>
        <w:rPr>
          <w:spacing w:val="-6"/>
          <w:sz w:val="18"/>
          <w:szCs w:val="18"/>
          <w:lang w:val="es-ES_tradnl"/>
        </w:rPr>
        <w:t>exclusivamente en contra de sentencias o autos en firme o ejecutoriados en los que se haya violado, por acci</w:t>
      </w:r>
      <w:r>
        <w:rPr>
          <w:rFonts w:cs="Times New Roman"/>
          <w:spacing w:val="-6"/>
          <w:sz w:val="18"/>
          <w:szCs w:val="18"/>
          <w:lang w:val="es-ES_tradnl"/>
        </w:rPr>
        <w:t>ó</w:t>
      </w:r>
      <w:r>
        <w:rPr>
          <w:spacing w:val="-6"/>
          <w:sz w:val="18"/>
          <w:szCs w:val="18"/>
          <w:lang w:val="es-ES_tradnl"/>
        </w:rPr>
        <w:t>n u omisi</w:t>
      </w:r>
      <w:r>
        <w:rPr>
          <w:rFonts w:cs="Times New Roman"/>
          <w:spacing w:val="-6"/>
          <w:sz w:val="18"/>
          <w:szCs w:val="18"/>
          <w:lang w:val="es-ES_tradnl"/>
        </w:rPr>
        <w:t>ó</w:t>
      </w:r>
      <w:r>
        <w:rPr>
          <w:spacing w:val="-6"/>
          <w:sz w:val="18"/>
          <w:szCs w:val="18"/>
          <w:lang w:val="es-ES_tradnl"/>
        </w:rPr>
        <w:t>n, derechos reconocidos en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 xml:space="preserve">blica; en esencia, la Corte Constitucional, por medio </w:t>
      </w:r>
      <w:r>
        <w:rPr>
          <w:spacing w:val="-5"/>
          <w:sz w:val="18"/>
          <w:szCs w:val="18"/>
          <w:lang w:val="es-ES_tradnl"/>
        </w:rPr>
        <w:t>de esta acci</w:t>
      </w:r>
      <w:r>
        <w:rPr>
          <w:rFonts w:cs="Times New Roman"/>
          <w:spacing w:val="-5"/>
          <w:sz w:val="18"/>
          <w:szCs w:val="18"/>
          <w:lang w:val="es-ES_tradnl"/>
        </w:rPr>
        <w:t>ó</w:t>
      </w:r>
      <w:r>
        <w:rPr>
          <w:spacing w:val="-5"/>
          <w:sz w:val="18"/>
          <w:szCs w:val="18"/>
          <w:lang w:val="es-ES_tradnl"/>
        </w:rPr>
        <w:t>n excepcional, solo se pronunciar</w:t>
      </w:r>
      <w:r>
        <w:rPr>
          <w:rFonts w:cs="Times New Roman"/>
          <w:spacing w:val="-5"/>
          <w:sz w:val="18"/>
          <w:szCs w:val="18"/>
          <w:lang w:val="es-ES_tradnl"/>
        </w:rPr>
        <w:t>á</w:t>
      </w:r>
      <w:r>
        <w:rPr>
          <w:spacing w:val="-5"/>
          <w:sz w:val="18"/>
          <w:szCs w:val="18"/>
          <w:lang w:val="es-ES_tradnl"/>
        </w:rPr>
        <w:t xml:space="preserve"> respecto </w:t>
      </w:r>
      <w:r>
        <w:rPr>
          <w:spacing w:val="-7"/>
          <w:sz w:val="18"/>
          <w:szCs w:val="18"/>
          <w:lang w:val="es-ES_tradnl"/>
        </w:rPr>
        <w:t>a dos cuestiones principales: la vulneraci</w:t>
      </w:r>
      <w:r>
        <w:rPr>
          <w:rFonts w:cs="Times New Roman"/>
          <w:spacing w:val="-7"/>
          <w:sz w:val="18"/>
          <w:szCs w:val="18"/>
          <w:lang w:val="es-ES_tradnl"/>
        </w:rPr>
        <w:t>ó</w:t>
      </w:r>
      <w:r>
        <w:rPr>
          <w:spacing w:val="-7"/>
          <w:sz w:val="18"/>
          <w:szCs w:val="18"/>
          <w:lang w:val="es-ES_tradnl"/>
        </w:rPr>
        <w:t xml:space="preserve">n de derechos </w:t>
      </w:r>
      <w:r>
        <w:rPr>
          <w:spacing w:val="-3"/>
          <w:sz w:val="18"/>
          <w:szCs w:val="18"/>
          <w:lang w:val="es-ES_tradnl"/>
        </w:rPr>
        <w:t>constitucionales o la violaci</w:t>
      </w:r>
      <w:r>
        <w:rPr>
          <w:rFonts w:cs="Times New Roman"/>
          <w:spacing w:val="-3"/>
          <w:sz w:val="18"/>
          <w:szCs w:val="18"/>
          <w:lang w:val="es-ES_tradnl"/>
        </w:rPr>
        <w:t>ó</w:t>
      </w:r>
      <w:r>
        <w:rPr>
          <w:spacing w:val="-3"/>
          <w:sz w:val="18"/>
          <w:szCs w:val="18"/>
          <w:lang w:val="es-ES_tradnl"/>
        </w:rPr>
        <w:t xml:space="preserve">n de normas del debido </w:t>
      </w:r>
      <w:r>
        <w:rPr>
          <w:sz w:val="18"/>
          <w:szCs w:val="18"/>
          <w:lang w:val="es-ES_tradnl"/>
        </w:rPr>
        <w:t>proceso.</w:t>
      </w:r>
    </w:p>
    <w:p w14:paraId="4F67BB1B" w14:textId="77777777" w:rsidR="00591D54" w:rsidRDefault="00591D54">
      <w:pPr>
        <w:shd w:val="clear" w:color="auto" w:fill="FFFFFF"/>
        <w:spacing w:before="250" w:line="230" w:lineRule="exact"/>
        <w:ind w:right="5"/>
        <w:jc w:val="both"/>
        <w:sectPr w:rsidR="00591D54">
          <w:type w:val="continuous"/>
          <w:pgSz w:w="11909" w:h="16834"/>
          <w:pgMar w:top="1359" w:right="1304" w:bottom="360" w:left="1308" w:header="720" w:footer="720" w:gutter="0"/>
          <w:cols w:num="2" w:space="720" w:equalWidth="0">
            <w:col w:w="4305" w:space="682"/>
            <w:col w:w="4310"/>
          </w:cols>
          <w:noEndnote/>
        </w:sectPr>
      </w:pPr>
    </w:p>
    <w:p w14:paraId="4F67BB1C" w14:textId="77777777" w:rsidR="00591D54" w:rsidRDefault="00591D54">
      <w:pPr>
        <w:shd w:val="clear" w:color="auto" w:fill="FFFFFF"/>
        <w:tabs>
          <w:tab w:val="left" w:pos="5842"/>
        </w:tabs>
        <w:spacing w:after="226"/>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- 287</w:t>
      </w:r>
    </w:p>
    <w:p w14:paraId="4F67BB1D" w14:textId="77777777" w:rsidR="00591D54" w:rsidRDefault="00591D54">
      <w:pPr>
        <w:shd w:val="clear" w:color="auto" w:fill="FFFFFF"/>
        <w:tabs>
          <w:tab w:val="left" w:pos="5842"/>
        </w:tabs>
        <w:spacing w:after="226"/>
        <w:ind w:left="5"/>
        <w:sectPr w:rsidR="00591D54">
          <w:pgSz w:w="11909" w:h="16834"/>
          <w:pgMar w:top="1356" w:right="1304" w:bottom="360" w:left="1308" w:header="720" w:footer="720" w:gutter="0"/>
          <w:cols w:space="60"/>
          <w:noEndnote/>
        </w:sectPr>
      </w:pPr>
    </w:p>
    <w:p w14:paraId="4F67BB1E" w14:textId="77777777" w:rsidR="00591D54" w:rsidRDefault="00591D54">
      <w:pPr>
        <w:shd w:val="clear" w:color="auto" w:fill="FFFFFF"/>
        <w:spacing w:line="235" w:lineRule="exact"/>
        <w:ind w:right="5"/>
        <w:jc w:val="both"/>
      </w:pPr>
      <w:r>
        <w:rPr>
          <w:spacing w:val="-9"/>
          <w:sz w:val="18"/>
          <w:szCs w:val="18"/>
          <w:lang w:val="es-ES_tradnl"/>
        </w:rPr>
        <w:t>La acci</w:t>
      </w:r>
      <w:r>
        <w:rPr>
          <w:rFonts w:cs="Times New Roman"/>
          <w:spacing w:val="-9"/>
          <w:sz w:val="18"/>
          <w:szCs w:val="18"/>
          <w:lang w:val="es-ES_tradnl"/>
        </w:rPr>
        <w:t>ó</w:t>
      </w:r>
      <w:r>
        <w:rPr>
          <w:spacing w:val="-9"/>
          <w:sz w:val="18"/>
          <w:szCs w:val="18"/>
          <w:lang w:val="es-ES_tradnl"/>
        </w:rPr>
        <w:t>n extraordinaria de protecci</w:t>
      </w:r>
      <w:r>
        <w:rPr>
          <w:rFonts w:cs="Times New Roman"/>
          <w:spacing w:val="-9"/>
          <w:sz w:val="18"/>
          <w:szCs w:val="18"/>
          <w:lang w:val="es-ES_tradnl"/>
        </w:rPr>
        <w:t>ó</w:t>
      </w:r>
      <w:r>
        <w:rPr>
          <w:spacing w:val="-9"/>
          <w:sz w:val="18"/>
          <w:szCs w:val="18"/>
          <w:lang w:val="es-ES_tradnl"/>
        </w:rPr>
        <w:t xml:space="preserve">n tiene como finalidad </w:t>
      </w:r>
      <w:r>
        <w:rPr>
          <w:spacing w:val="-4"/>
          <w:sz w:val="18"/>
          <w:szCs w:val="18"/>
          <w:lang w:val="es-ES_tradnl"/>
        </w:rPr>
        <w:t>que la vulneraci</w:t>
      </w:r>
      <w:r>
        <w:rPr>
          <w:rFonts w:cs="Times New Roman"/>
          <w:spacing w:val="-4"/>
          <w:sz w:val="18"/>
          <w:szCs w:val="18"/>
          <w:lang w:val="es-ES_tradnl"/>
        </w:rPr>
        <w:t>ó</w:t>
      </w:r>
      <w:r>
        <w:rPr>
          <w:spacing w:val="-4"/>
          <w:sz w:val="18"/>
          <w:szCs w:val="18"/>
          <w:lang w:val="es-ES_tradnl"/>
        </w:rPr>
        <w:t xml:space="preserve">n de derechos constitucionales o la </w:t>
      </w:r>
      <w:r>
        <w:rPr>
          <w:spacing w:val="-7"/>
          <w:sz w:val="18"/>
          <w:szCs w:val="18"/>
          <w:lang w:val="es-ES_tradnl"/>
        </w:rPr>
        <w:t>violaci</w:t>
      </w:r>
      <w:r>
        <w:rPr>
          <w:rFonts w:cs="Times New Roman"/>
          <w:spacing w:val="-7"/>
          <w:sz w:val="18"/>
          <w:szCs w:val="18"/>
          <w:lang w:val="es-ES_tradnl"/>
        </w:rPr>
        <w:t>ó</w:t>
      </w:r>
      <w:r>
        <w:rPr>
          <w:spacing w:val="-7"/>
          <w:sz w:val="18"/>
          <w:szCs w:val="18"/>
          <w:lang w:val="es-ES_tradnl"/>
        </w:rPr>
        <w:t xml:space="preserve">n de normas del debido proceso no queden en la </w:t>
      </w:r>
      <w:r>
        <w:rPr>
          <w:spacing w:val="-6"/>
          <w:sz w:val="18"/>
          <w:szCs w:val="18"/>
          <w:lang w:val="es-ES_tradnl"/>
        </w:rPr>
        <w:t>impunidad, por lo que asumiendo el esp</w:t>
      </w:r>
      <w:r>
        <w:rPr>
          <w:rFonts w:cs="Times New Roman"/>
          <w:spacing w:val="-6"/>
          <w:sz w:val="18"/>
          <w:szCs w:val="18"/>
          <w:lang w:val="es-ES_tradnl"/>
        </w:rPr>
        <w:t>í</w:t>
      </w:r>
      <w:r>
        <w:rPr>
          <w:spacing w:val="-6"/>
          <w:sz w:val="18"/>
          <w:szCs w:val="18"/>
          <w:lang w:val="es-ES_tradnl"/>
        </w:rPr>
        <w:t xml:space="preserve">ritu garantista de </w:t>
      </w:r>
      <w:r>
        <w:rPr>
          <w:spacing w:val="-7"/>
          <w:sz w:val="18"/>
          <w:szCs w:val="18"/>
          <w:lang w:val="es-ES_tradnl"/>
        </w:rPr>
        <w:t>la vigente Constituci</w:t>
      </w:r>
      <w:r>
        <w:rPr>
          <w:rFonts w:cs="Times New Roman"/>
          <w:spacing w:val="-7"/>
          <w:sz w:val="18"/>
          <w:szCs w:val="18"/>
          <w:lang w:val="es-ES_tradnl"/>
        </w:rPr>
        <w:t>ó</w:t>
      </w:r>
      <w:r>
        <w:rPr>
          <w:spacing w:val="-7"/>
          <w:sz w:val="18"/>
          <w:szCs w:val="18"/>
          <w:lang w:val="es-ES_tradnl"/>
        </w:rPr>
        <w:t>n, mediante esta acci</w:t>
      </w:r>
      <w:r>
        <w:rPr>
          <w:rFonts w:cs="Times New Roman"/>
          <w:spacing w:val="-7"/>
          <w:sz w:val="18"/>
          <w:szCs w:val="18"/>
          <w:lang w:val="es-ES_tradnl"/>
        </w:rPr>
        <w:t>ó</w:t>
      </w:r>
      <w:r>
        <w:rPr>
          <w:spacing w:val="-7"/>
          <w:sz w:val="18"/>
          <w:szCs w:val="18"/>
          <w:lang w:val="es-ES_tradnl"/>
        </w:rPr>
        <w:t xml:space="preserve">n excepcional </w:t>
      </w:r>
      <w:r>
        <w:rPr>
          <w:spacing w:val="-8"/>
          <w:sz w:val="18"/>
          <w:szCs w:val="18"/>
          <w:lang w:val="es-ES_tradnl"/>
        </w:rPr>
        <w:t xml:space="preserve">se permite que las sentencias, autos y resoluciones firmes </w:t>
      </w:r>
      <w:r>
        <w:rPr>
          <w:spacing w:val="-7"/>
          <w:sz w:val="18"/>
          <w:szCs w:val="18"/>
          <w:lang w:val="es-ES_tradnl"/>
        </w:rPr>
        <w:t>y ejecutoriados puedan ser objeto de revisi</w:t>
      </w:r>
      <w:r>
        <w:rPr>
          <w:rFonts w:cs="Times New Roman"/>
          <w:spacing w:val="-7"/>
          <w:sz w:val="18"/>
          <w:szCs w:val="18"/>
          <w:lang w:val="es-ES_tradnl"/>
        </w:rPr>
        <w:t>ó</w:t>
      </w:r>
      <w:r>
        <w:rPr>
          <w:spacing w:val="-7"/>
          <w:sz w:val="18"/>
          <w:szCs w:val="18"/>
          <w:lang w:val="es-ES_tradnl"/>
        </w:rPr>
        <w:t xml:space="preserve">n por parte del </w:t>
      </w:r>
      <w:r>
        <w:rPr>
          <w:spacing w:val="-8"/>
          <w:sz w:val="18"/>
          <w:szCs w:val="18"/>
          <w:lang w:val="es-ES_tradnl"/>
        </w:rPr>
        <w:t>m</w:t>
      </w:r>
      <w:r>
        <w:rPr>
          <w:rFonts w:cs="Times New Roman"/>
          <w:spacing w:val="-8"/>
          <w:sz w:val="18"/>
          <w:szCs w:val="18"/>
          <w:lang w:val="es-ES_tradnl"/>
        </w:rPr>
        <w:t>á</w:t>
      </w:r>
      <w:r>
        <w:rPr>
          <w:spacing w:val="-8"/>
          <w:sz w:val="18"/>
          <w:szCs w:val="18"/>
          <w:lang w:val="es-ES_tradnl"/>
        </w:rPr>
        <w:t xml:space="preserve">s alto </w:t>
      </w:r>
      <w:r>
        <w:rPr>
          <w:rFonts w:cs="Times New Roman"/>
          <w:spacing w:val="-8"/>
          <w:sz w:val="18"/>
          <w:szCs w:val="18"/>
          <w:lang w:val="es-ES_tradnl"/>
        </w:rPr>
        <w:t>ó</w:t>
      </w:r>
      <w:r>
        <w:rPr>
          <w:spacing w:val="-8"/>
          <w:sz w:val="18"/>
          <w:szCs w:val="18"/>
          <w:lang w:val="es-ES_tradnl"/>
        </w:rPr>
        <w:t>rgano de control de constitucionalidad en el pa</w:t>
      </w:r>
      <w:r>
        <w:rPr>
          <w:rFonts w:cs="Times New Roman"/>
          <w:spacing w:val="-8"/>
          <w:sz w:val="18"/>
          <w:szCs w:val="18"/>
          <w:lang w:val="es-ES_tradnl"/>
        </w:rPr>
        <w:t>í</w:t>
      </w:r>
      <w:r>
        <w:rPr>
          <w:spacing w:val="-8"/>
          <w:sz w:val="18"/>
          <w:szCs w:val="18"/>
          <w:lang w:val="es-ES_tradnl"/>
        </w:rPr>
        <w:t xml:space="preserve">s, </w:t>
      </w:r>
      <w:r>
        <w:rPr>
          <w:sz w:val="18"/>
          <w:szCs w:val="18"/>
          <w:lang w:val="es-ES_tradnl"/>
        </w:rPr>
        <w:t>que es la Corte Constitucional.</w:t>
      </w:r>
    </w:p>
    <w:p w14:paraId="4F67BB1F" w14:textId="77777777" w:rsidR="00591D54" w:rsidRDefault="00591D54">
      <w:pPr>
        <w:shd w:val="clear" w:color="auto" w:fill="FFFFFF"/>
        <w:spacing w:before="259"/>
      </w:pPr>
      <w:r>
        <w:rPr>
          <w:b/>
          <w:bCs/>
          <w:spacing w:val="-7"/>
          <w:sz w:val="18"/>
          <w:szCs w:val="18"/>
          <w:lang w:val="es-ES_tradnl"/>
        </w:rPr>
        <w:t>Determinaci</w:t>
      </w:r>
      <w:r>
        <w:rPr>
          <w:rFonts w:cs="Times New Roman"/>
          <w:b/>
          <w:bCs/>
          <w:spacing w:val="-7"/>
          <w:sz w:val="18"/>
          <w:szCs w:val="18"/>
          <w:lang w:val="es-ES_tradnl"/>
        </w:rPr>
        <w:t>ó</w:t>
      </w:r>
      <w:r>
        <w:rPr>
          <w:b/>
          <w:bCs/>
          <w:spacing w:val="-7"/>
          <w:sz w:val="18"/>
          <w:szCs w:val="18"/>
          <w:lang w:val="es-ES_tradnl"/>
        </w:rPr>
        <w:t>n del problema jur</w:t>
      </w:r>
      <w:r>
        <w:rPr>
          <w:rFonts w:cs="Times New Roman"/>
          <w:b/>
          <w:bCs/>
          <w:spacing w:val="-7"/>
          <w:sz w:val="18"/>
          <w:szCs w:val="18"/>
          <w:lang w:val="es-ES_tradnl"/>
        </w:rPr>
        <w:t>í</w:t>
      </w:r>
      <w:r>
        <w:rPr>
          <w:b/>
          <w:bCs/>
          <w:spacing w:val="-7"/>
          <w:sz w:val="18"/>
          <w:szCs w:val="18"/>
          <w:lang w:val="es-ES_tradnl"/>
        </w:rPr>
        <w:t>dico</w:t>
      </w:r>
    </w:p>
    <w:p w14:paraId="4F67BB20" w14:textId="77777777" w:rsidR="00591D54" w:rsidRDefault="00591D54">
      <w:pPr>
        <w:shd w:val="clear" w:color="auto" w:fill="FFFFFF"/>
        <w:spacing w:before="250" w:line="235" w:lineRule="exact"/>
        <w:ind w:right="5"/>
        <w:jc w:val="both"/>
      </w:pPr>
      <w:r>
        <w:rPr>
          <w:spacing w:val="-6"/>
          <w:sz w:val="18"/>
          <w:szCs w:val="18"/>
          <w:lang w:val="es-ES_tradnl"/>
        </w:rPr>
        <w:t>Con las consideraciones anotadas, con la finalidad de resolver la presente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w:t>
      </w:r>
      <w:r>
        <w:rPr>
          <w:spacing w:val="-7"/>
          <w:sz w:val="18"/>
          <w:szCs w:val="18"/>
          <w:lang w:val="es-ES_tradnl"/>
        </w:rPr>
        <w:t xml:space="preserve">esta Corte Constitucional establece el siguiente problema </w:t>
      </w:r>
      <w:r>
        <w:rPr>
          <w:sz w:val="18"/>
          <w:szCs w:val="18"/>
          <w:lang w:val="es-ES_tradnl"/>
        </w:rPr>
        <w:t>jur</w:t>
      </w:r>
      <w:r>
        <w:rPr>
          <w:rFonts w:cs="Times New Roman"/>
          <w:sz w:val="18"/>
          <w:szCs w:val="18"/>
          <w:lang w:val="es-ES_tradnl"/>
        </w:rPr>
        <w:t>í</w:t>
      </w:r>
      <w:r>
        <w:rPr>
          <w:sz w:val="18"/>
          <w:szCs w:val="18"/>
          <w:lang w:val="es-ES_tradnl"/>
        </w:rPr>
        <w:t>dico:</w:t>
      </w:r>
    </w:p>
    <w:p w14:paraId="4F67BB21" w14:textId="77777777" w:rsidR="00591D54" w:rsidRDefault="00591D54">
      <w:pPr>
        <w:shd w:val="clear" w:color="auto" w:fill="FFFFFF"/>
        <w:spacing w:before="254" w:line="235" w:lineRule="exact"/>
        <w:ind w:right="5"/>
        <w:jc w:val="both"/>
      </w:pPr>
      <w:r>
        <w:rPr>
          <w:spacing w:val="-6"/>
          <w:sz w:val="18"/>
          <w:szCs w:val="18"/>
          <w:lang w:val="es-ES_tradnl"/>
        </w:rPr>
        <w:t xml:space="preserve">Los autos del 04 y 11 de agosto de 2011, dictados por el </w:t>
      </w:r>
      <w:r>
        <w:rPr>
          <w:spacing w:val="-13"/>
          <w:sz w:val="18"/>
          <w:szCs w:val="18"/>
          <w:lang w:val="es-ES_tradnl"/>
        </w:rPr>
        <w:t>Juzgado Sexto de Garant</w:t>
      </w:r>
      <w:r>
        <w:rPr>
          <w:rFonts w:cs="Times New Roman"/>
          <w:spacing w:val="-13"/>
          <w:sz w:val="18"/>
          <w:szCs w:val="18"/>
          <w:lang w:val="es-ES_tradnl"/>
        </w:rPr>
        <w:t>í</w:t>
      </w:r>
      <w:r>
        <w:rPr>
          <w:spacing w:val="-13"/>
          <w:sz w:val="18"/>
          <w:szCs w:val="18"/>
          <w:lang w:val="es-ES_tradnl"/>
        </w:rPr>
        <w:t xml:space="preserve">as Penales del Guayas, </w:t>
      </w:r>
      <w:r>
        <w:rPr>
          <w:rFonts w:cs="Times New Roman"/>
          <w:spacing w:val="-13"/>
          <w:sz w:val="18"/>
          <w:szCs w:val="18"/>
          <w:lang w:val="es-ES_tradnl"/>
        </w:rPr>
        <w:t>¿</w:t>
      </w:r>
      <w:r>
        <w:rPr>
          <w:spacing w:val="-13"/>
          <w:sz w:val="18"/>
          <w:szCs w:val="18"/>
          <w:lang w:val="es-ES_tradnl"/>
        </w:rPr>
        <w:t xml:space="preserve">vulneraron </w:t>
      </w:r>
      <w:r>
        <w:rPr>
          <w:spacing w:val="-6"/>
          <w:sz w:val="18"/>
          <w:szCs w:val="18"/>
          <w:lang w:val="es-ES_tradnl"/>
        </w:rPr>
        <w:t>el derecho a la tutela judicial efectiva, consagrado en el art</w:t>
      </w:r>
      <w:r>
        <w:rPr>
          <w:rFonts w:cs="Times New Roman"/>
          <w:spacing w:val="-6"/>
          <w:sz w:val="18"/>
          <w:szCs w:val="18"/>
          <w:lang w:val="es-ES_tradnl"/>
        </w:rPr>
        <w:t>í</w:t>
      </w:r>
      <w:r>
        <w:rPr>
          <w:spacing w:val="-6"/>
          <w:sz w:val="18"/>
          <w:szCs w:val="18"/>
          <w:lang w:val="es-ES_tradnl"/>
        </w:rPr>
        <w:t>culo 75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w:t>
      </w:r>
    </w:p>
    <w:p w14:paraId="4F67BB22" w14:textId="77777777" w:rsidR="00591D54" w:rsidRDefault="00591D54">
      <w:pPr>
        <w:shd w:val="clear" w:color="auto" w:fill="FFFFFF"/>
        <w:spacing w:before="259"/>
      </w:pPr>
      <w:r>
        <w:rPr>
          <w:b/>
          <w:bCs/>
          <w:spacing w:val="-8"/>
          <w:sz w:val="18"/>
          <w:szCs w:val="18"/>
          <w:lang w:val="es-ES_tradnl"/>
        </w:rPr>
        <w:t>Resoluci</w:t>
      </w:r>
      <w:r>
        <w:rPr>
          <w:rFonts w:cs="Times New Roman"/>
          <w:b/>
          <w:bCs/>
          <w:spacing w:val="-8"/>
          <w:sz w:val="18"/>
          <w:szCs w:val="18"/>
          <w:lang w:val="es-ES_tradnl"/>
        </w:rPr>
        <w:t>ó</w:t>
      </w:r>
      <w:r>
        <w:rPr>
          <w:b/>
          <w:bCs/>
          <w:spacing w:val="-8"/>
          <w:sz w:val="18"/>
          <w:szCs w:val="18"/>
          <w:lang w:val="es-ES_tradnl"/>
        </w:rPr>
        <w:t>n del problema jur</w:t>
      </w:r>
      <w:r>
        <w:rPr>
          <w:rFonts w:cs="Times New Roman"/>
          <w:b/>
          <w:bCs/>
          <w:spacing w:val="-8"/>
          <w:sz w:val="18"/>
          <w:szCs w:val="18"/>
          <w:lang w:val="es-ES_tradnl"/>
        </w:rPr>
        <w:t>í</w:t>
      </w:r>
      <w:r>
        <w:rPr>
          <w:b/>
          <w:bCs/>
          <w:spacing w:val="-8"/>
          <w:sz w:val="18"/>
          <w:szCs w:val="18"/>
          <w:lang w:val="es-ES_tradnl"/>
        </w:rPr>
        <w:t>dico</w:t>
      </w:r>
    </w:p>
    <w:p w14:paraId="4F67BB23" w14:textId="77777777" w:rsidR="00591D54" w:rsidRDefault="00591D54">
      <w:pPr>
        <w:shd w:val="clear" w:color="auto" w:fill="FFFFFF"/>
        <w:spacing w:before="250" w:line="235" w:lineRule="exact"/>
        <w:jc w:val="both"/>
      </w:pPr>
      <w:r>
        <w:rPr>
          <w:b/>
          <w:bCs/>
          <w:spacing w:val="-7"/>
          <w:sz w:val="18"/>
          <w:szCs w:val="18"/>
          <w:lang w:val="es-ES_tradnl"/>
        </w:rPr>
        <w:t xml:space="preserve">Los autos del 04 y 11 de agosto de 2011, dictados por </w:t>
      </w:r>
      <w:r>
        <w:rPr>
          <w:b/>
          <w:bCs/>
          <w:spacing w:val="-9"/>
          <w:sz w:val="18"/>
          <w:szCs w:val="18"/>
          <w:lang w:val="es-ES_tradnl"/>
        </w:rPr>
        <w:t>el Juzgado Sexto de Garant</w:t>
      </w:r>
      <w:r>
        <w:rPr>
          <w:rFonts w:cs="Times New Roman"/>
          <w:b/>
          <w:bCs/>
          <w:spacing w:val="-9"/>
          <w:sz w:val="18"/>
          <w:szCs w:val="18"/>
          <w:lang w:val="es-ES_tradnl"/>
        </w:rPr>
        <w:t>í</w:t>
      </w:r>
      <w:r>
        <w:rPr>
          <w:b/>
          <w:bCs/>
          <w:spacing w:val="-9"/>
          <w:sz w:val="18"/>
          <w:szCs w:val="18"/>
          <w:lang w:val="es-ES_tradnl"/>
        </w:rPr>
        <w:t xml:space="preserve">as Penales del Guayas, </w:t>
      </w:r>
      <w:r>
        <w:rPr>
          <w:rFonts w:cs="Times New Roman"/>
          <w:b/>
          <w:bCs/>
          <w:spacing w:val="-7"/>
          <w:sz w:val="18"/>
          <w:szCs w:val="18"/>
          <w:lang w:val="es-ES_tradnl"/>
        </w:rPr>
        <w:t>¿</w:t>
      </w:r>
      <w:r>
        <w:rPr>
          <w:b/>
          <w:bCs/>
          <w:spacing w:val="-7"/>
          <w:sz w:val="18"/>
          <w:szCs w:val="18"/>
          <w:lang w:val="es-ES_tradnl"/>
        </w:rPr>
        <w:t xml:space="preserve">vulneraron el derecho a la tutela judicial efectiva, </w:t>
      </w:r>
      <w:r>
        <w:rPr>
          <w:b/>
          <w:bCs/>
          <w:spacing w:val="-8"/>
          <w:sz w:val="18"/>
          <w:szCs w:val="18"/>
          <w:lang w:val="es-ES_tradnl"/>
        </w:rPr>
        <w:t>consagrado en el art</w:t>
      </w:r>
      <w:r>
        <w:rPr>
          <w:rFonts w:cs="Times New Roman"/>
          <w:b/>
          <w:bCs/>
          <w:spacing w:val="-8"/>
          <w:sz w:val="18"/>
          <w:szCs w:val="18"/>
          <w:lang w:val="es-ES_tradnl"/>
        </w:rPr>
        <w:t>í</w:t>
      </w:r>
      <w:r>
        <w:rPr>
          <w:b/>
          <w:bCs/>
          <w:spacing w:val="-8"/>
          <w:sz w:val="18"/>
          <w:szCs w:val="18"/>
          <w:lang w:val="es-ES_tradnl"/>
        </w:rPr>
        <w:t>culo 75 de la Constituci</w:t>
      </w:r>
      <w:r>
        <w:rPr>
          <w:rFonts w:cs="Times New Roman"/>
          <w:b/>
          <w:bCs/>
          <w:spacing w:val="-8"/>
          <w:sz w:val="18"/>
          <w:szCs w:val="18"/>
          <w:lang w:val="es-ES_tradnl"/>
        </w:rPr>
        <w:t>ó</w:t>
      </w:r>
      <w:r>
        <w:rPr>
          <w:b/>
          <w:bCs/>
          <w:spacing w:val="-8"/>
          <w:sz w:val="18"/>
          <w:szCs w:val="18"/>
          <w:lang w:val="es-ES_tradnl"/>
        </w:rPr>
        <w:t xml:space="preserve">n de la </w:t>
      </w:r>
      <w:r>
        <w:rPr>
          <w:b/>
          <w:bCs/>
          <w:sz w:val="18"/>
          <w:szCs w:val="18"/>
          <w:lang w:val="es-ES_tradnl"/>
        </w:rPr>
        <w:t>Rep</w:t>
      </w:r>
      <w:r>
        <w:rPr>
          <w:rFonts w:cs="Times New Roman"/>
          <w:b/>
          <w:bCs/>
          <w:sz w:val="18"/>
          <w:szCs w:val="18"/>
          <w:lang w:val="es-ES_tradnl"/>
        </w:rPr>
        <w:t>ú</w:t>
      </w:r>
      <w:r>
        <w:rPr>
          <w:b/>
          <w:bCs/>
          <w:sz w:val="18"/>
          <w:szCs w:val="18"/>
          <w:lang w:val="es-ES_tradnl"/>
        </w:rPr>
        <w:t>blica?</w:t>
      </w:r>
    </w:p>
    <w:p w14:paraId="4F67BB24" w14:textId="77777777" w:rsidR="00591D54" w:rsidRDefault="00591D54">
      <w:pPr>
        <w:shd w:val="clear" w:color="auto" w:fill="FFFFFF"/>
        <w:spacing w:before="250" w:line="240" w:lineRule="exact"/>
        <w:ind w:right="5"/>
        <w:jc w:val="both"/>
      </w:pPr>
      <w:r>
        <w:rPr>
          <w:spacing w:val="-6"/>
          <w:sz w:val="18"/>
          <w:szCs w:val="18"/>
          <w:lang w:val="es-ES_tradnl"/>
        </w:rPr>
        <w:t>El art</w:t>
      </w:r>
      <w:r>
        <w:rPr>
          <w:rFonts w:cs="Times New Roman"/>
          <w:spacing w:val="-6"/>
          <w:sz w:val="18"/>
          <w:szCs w:val="18"/>
          <w:lang w:val="es-ES_tradnl"/>
        </w:rPr>
        <w:t>í</w:t>
      </w:r>
      <w:r>
        <w:rPr>
          <w:spacing w:val="-6"/>
          <w:sz w:val="18"/>
          <w:szCs w:val="18"/>
          <w:lang w:val="es-ES_tradnl"/>
        </w:rPr>
        <w:t>culo 75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 consagra el derecho a la tutela judicial efectiva al se</w:t>
      </w:r>
      <w:r>
        <w:rPr>
          <w:rFonts w:cs="Times New Roman"/>
          <w:spacing w:val="-6"/>
          <w:sz w:val="18"/>
          <w:szCs w:val="18"/>
          <w:lang w:val="es-ES_tradnl"/>
        </w:rPr>
        <w:t>ñ</w:t>
      </w:r>
      <w:r>
        <w:rPr>
          <w:spacing w:val="-6"/>
          <w:sz w:val="18"/>
          <w:szCs w:val="18"/>
          <w:lang w:val="es-ES_tradnl"/>
        </w:rPr>
        <w:t>alar que:</w:t>
      </w:r>
    </w:p>
    <w:p w14:paraId="4F67BB25" w14:textId="77777777" w:rsidR="00591D54" w:rsidRDefault="00591D54">
      <w:pPr>
        <w:shd w:val="clear" w:color="auto" w:fill="FFFFFF"/>
        <w:spacing w:before="254" w:line="235" w:lineRule="exact"/>
        <w:ind w:left="283" w:right="5"/>
        <w:jc w:val="both"/>
      </w:pPr>
      <w:r>
        <w:rPr>
          <w:sz w:val="14"/>
          <w:szCs w:val="14"/>
          <w:lang w:val="es-ES_tradnl"/>
        </w:rPr>
        <w:t>Toda persona tiene derecho al acceso gratuito a la justicia y a la tutela efectiva, imparcial y expedita de sus derechos e intereses, con sujeci</w:t>
      </w:r>
      <w:r>
        <w:rPr>
          <w:rFonts w:cs="Times New Roman"/>
          <w:sz w:val="14"/>
          <w:szCs w:val="14"/>
          <w:lang w:val="es-ES_tradnl"/>
        </w:rPr>
        <w:t>ó</w:t>
      </w:r>
      <w:r>
        <w:rPr>
          <w:sz w:val="14"/>
          <w:szCs w:val="14"/>
          <w:lang w:val="es-ES_tradnl"/>
        </w:rPr>
        <w:t>n a los principios de inmediaci</w:t>
      </w:r>
      <w:r>
        <w:rPr>
          <w:rFonts w:cs="Times New Roman"/>
          <w:sz w:val="14"/>
          <w:szCs w:val="14"/>
          <w:lang w:val="es-ES_tradnl"/>
        </w:rPr>
        <w:t>ó</w:t>
      </w:r>
      <w:r>
        <w:rPr>
          <w:sz w:val="14"/>
          <w:szCs w:val="14"/>
          <w:lang w:val="es-ES_tradnl"/>
        </w:rPr>
        <w:t>n y celeridad; en ning</w:t>
      </w:r>
      <w:r>
        <w:rPr>
          <w:rFonts w:cs="Times New Roman"/>
          <w:sz w:val="14"/>
          <w:szCs w:val="14"/>
          <w:lang w:val="es-ES_tradnl"/>
        </w:rPr>
        <w:t>ú</w:t>
      </w:r>
      <w:r>
        <w:rPr>
          <w:sz w:val="14"/>
          <w:szCs w:val="14"/>
          <w:lang w:val="es-ES_tradnl"/>
        </w:rPr>
        <w:t>n caso quedar</w:t>
      </w:r>
      <w:r>
        <w:rPr>
          <w:rFonts w:cs="Times New Roman"/>
          <w:sz w:val="14"/>
          <w:szCs w:val="14"/>
          <w:lang w:val="es-ES_tradnl"/>
        </w:rPr>
        <w:t>á</w:t>
      </w:r>
      <w:r>
        <w:rPr>
          <w:sz w:val="14"/>
          <w:szCs w:val="14"/>
          <w:lang w:val="es-ES_tradnl"/>
        </w:rPr>
        <w:t xml:space="preserve"> en indefensi</w:t>
      </w:r>
      <w:r>
        <w:rPr>
          <w:rFonts w:cs="Times New Roman"/>
          <w:sz w:val="14"/>
          <w:szCs w:val="14"/>
          <w:lang w:val="es-ES_tradnl"/>
        </w:rPr>
        <w:t>ó</w:t>
      </w:r>
      <w:r>
        <w:rPr>
          <w:sz w:val="14"/>
          <w:szCs w:val="14"/>
          <w:lang w:val="es-ES_tradnl"/>
        </w:rPr>
        <w:t>n.</w:t>
      </w:r>
    </w:p>
    <w:p w14:paraId="4F67BB26" w14:textId="77777777" w:rsidR="00591D54" w:rsidRDefault="00591D54">
      <w:pPr>
        <w:shd w:val="clear" w:color="auto" w:fill="FFFFFF"/>
        <w:spacing w:before="211" w:line="235" w:lineRule="exact"/>
        <w:ind w:right="5"/>
        <w:jc w:val="both"/>
      </w:pPr>
      <w:r>
        <w:rPr>
          <w:spacing w:val="-6"/>
          <w:sz w:val="18"/>
          <w:szCs w:val="18"/>
          <w:lang w:val="es-ES_tradnl"/>
        </w:rPr>
        <w:t xml:space="preserve">En esta medida, el derecho a la tutela judicial efectiva </w:t>
      </w:r>
      <w:r>
        <w:rPr>
          <w:spacing w:val="-1"/>
          <w:sz w:val="18"/>
          <w:szCs w:val="18"/>
          <w:lang w:val="es-ES_tradnl"/>
        </w:rPr>
        <w:t>comporta el derecho de la ciudadan</w:t>
      </w:r>
      <w:r>
        <w:rPr>
          <w:rFonts w:cs="Times New Roman"/>
          <w:spacing w:val="-1"/>
          <w:sz w:val="18"/>
          <w:szCs w:val="18"/>
          <w:lang w:val="es-ES_tradnl"/>
        </w:rPr>
        <w:t>í</w:t>
      </w:r>
      <w:r>
        <w:rPr>
          <w:spacing w:val="-1"/>
          <w:sz w:val="18"/>
          <w:szCs w:val="18"/>
          <w:lang w:val="es-ES_tradnl"/>
        </w:rPr>
        <w:t xml:space="preserve">a para acceder a </w:t>
      </w:r>
      <w:r>
        <w:rPr>
          <w:spacing w:val="-6"/>
          <w:sz w:val="18"/>
          <w:szCs w:val="18"/>
          <w:lang w:val="es-ES_tradnl"/>
        </w:rPr>
        <w:t xml:space="preserve">los </w:t>
      </w:r>
      <w:r>
        <w:rPr>
          <w:rFonts w:cs="Times New Roman"/>
          <w:spacing w:val="-6"/>
          <w:sz w:val="18"/>
          <w:szCs w:val="18"/>
          <w:lang w:val="es-ES_tradnl"/>
        </w:rPr>
        <w:t>ó</w:t>
      </w:r>
      <w:r>
        <w:rPr>
          <w:spacing w:val="-6"/>
          <w:sz w:val="18"/>
          <w:szCs w:val="18"/>
          <w:lang w:val="es-ES_tradnl"/>
        </w:rPr>
        <w:t>rganos jurisdiccionales, eliminando los obst</w:t>
      </w:r>
      <w:r>
        <w:rPr>
          <w:rFonts w:cs="Times New Roman"/>
          <w:spacing w:val="-6"/>
          <w:sz w:val="18"/>
          <w:szCs w:val="18"/>
          <w:lang w:val="es-ES_tradnl"/>
        </w:rPr>
        <w:t>á</w:t>
      </w:r>
      <w:r>
        <w:rPr>
          <w:spacing w:val="-6"/>
          <w:sz w:val="18"/>
          <w:szCs w:val="18"/>
          <w:lang w:val="es-ES_tradnl"/>
        </w:rPr>
        <w:t xml:space="preserve">culos </w:t>
      </w:r>
      <w:r>
        <w:rPr>
          <w:spacing w:val="-9"/>
          <w:sz w:val="18"/>
          <w:szCs w:val="18"/>
          <w:lang w:val="es-ES_tradnl"/>
        </w:rPr>
        <w:t>procesales que lo impidan, as</w:t>
      </w:r>
      <w:r>
        <w:rPr>
          <w:rFonts w:cs="Times New Roman"/>
          <w:spacing w:val="-9"/>
          <w:sz w:val="18"/>
          <w:szCs w:val="18"/>
          <w:lang w:val="es-ES_tradnl"/>
        </w:rPr>
        <w:t>í</w:t>
      </w:r>
      <w:r>
        <w:rPr>
          <w:spacing w:val="-9"/>
          <w:sz w:val="18"/>
          <w:szCs w:val="18"/>
          <w:lang w:val="es-ES_tradnl"/>
        </w:rPr>
        <w:t xml:space="preserve"> como el deber de los jueces </w:t>
      </w:r>
      <w:r>
        <w:rPr>
          <w:spacing w:val="-7"/>
          <w:sz w:val="18"/>
          <w:szCs w:val="18"/>
          <w:lang w:val="es-ES_tradnl"/>
        </w:rPr>
        <w:t xml:space="preserve">de ajustar sus actuaciones dentro del marco constitucional </w:t>
      </w:r>
      <w:r>
        <w:rPr>
          <w:spacing w:val="-8"/>
          <w:sz w:val="18"/>
          <w:szCs w:val="18"/>
          <w:lang w:val="es-ES_tradnl"/>
        </w:rPr>
        <w:t>y legal pertinente al obtener una sentencia debidamente motivada y dentro de un plazo razonable</w:t>
      </w:r>
      <w:r>
        <w:rPr>
          <w:spacing w:val="-8"/>
          <w:sz w:val="18"/>
          <w:szCs w:val="18"/>
          <w:vertAlign w:val="superscript"/>
          <w:lang w:val="es-ES_tradnl"/>
        </w:rPr>
        <w:t>1</w:t>
      </w:r>
      <w:r>
        <w:rPr>
          <w:spacing w:val="-8"/>
          <w:sz w:val="18"/>
          <w:szCs w:val="18"/>
          <w:lang w:val="es-ES_tradnl"/>
        </w:rPr>
        <w:t>.</w:t>
      </w:r>
    </w:p>
    <w:p w14:paraId="4F67BB27" w14:textId="77777777" w:rsidR="00591D54" w:rsidRDefault="00591D54">
      <w:pPr>
        <w:shd w:val="clear" w:color="auto" w:fill="FFFFFF"/>
        <w:spacing w:before="259" w:line="230" w:lineRule="exact"/>
        <w:ind w:right="5"/>
        <w:jc w:val="both"/>
      </w:pPr>
      <w:r>
        <w:rPr>
          <w:spacing w:val="-5"/>
          <w:sz w:val="18"/>
          <w:szCs w:val="18"/>
          <w:lang w:val="es-ES_tradnl"/>
        </w:rPr>
        <w:t>As</w:t>
      </w:r>
      <w:r>
        <w:rPr>
          <w:rFonts w:cs="Times New Roman"/>
          <w:spacing w:val="-5"/>
          <w:sz w:val="18"/>
          <w:szCs w:val="18"/>
          <w:lang w:val="es-ES_tradnl"/>
        </w:rPr>
        <w:t>í</w:t>
      </w:r>
      <w:r>
        <w:rPr>
          <w:spacing w:val="-5"/>
          <w:sz w:val="18"/>
          <w:szCs w:val="18"/>
          <w:lang w:val="es-ES_tradnl"/>
        </w:rPr>
        <w:t xml:space="preserve"> lo ha manifestado este organismo constitucional al </w:t>
      </w:r>
      <w:r>
        <w:rPr>
          <w:sz w:val="18"/>
          <w:szCs w:val="18"/>
          <w:lang w:val="es-ES_tradnl"/>
        </w:rPr>
        <w:t>se</w:t>
      </w:r>
      <w:r>
        <w:rPr>
          <w:rFonts w:cs="Times New Roman"/>
          <w:sz w:val="18"/>
          <w:szCs w:val="18"/>
          <w:lang w:val="es-ES_tradnl"/>
        </w:rPr>
        <w:t>ñ</w:t>
      </w:r>
      <w:r>
        <w:rPr>
          <w:sz w:val="18"/>
          <w:szCs w:val="18"/>
          <w:lang w:val="es-ES_tradnl"/>
        </w:rPr>
        <w:t>alar que</w:t>
      </w:r>
      <w:r>
        <w:rPr>
          <w:i/>
          <w:iCs/>
          <w:sz w:val="18"/>
          <w:szCs w:val="18"/>
          <w:vertAlign w:val="superscript"/>
          <w:lang w:val="es-ES_tradnl"/>
        </w:rPr>
        <w:t>2</w:t>
      </w:r>
    </w:p>
    <w:p w14:paraId="4F67BB28" w14:textId="77777777" w:rsidR="00591D54" w:rsidRDefault="00591D54">
      <w:pPr>
        <w:shd w:val="clear" w:color="auto" w:fill="FFFFFF"/>
        <w:spacing w:before="250" w:line="240" w:lineRule="exact"/>
        <w:ind w:left="283" w:right="5"/>
        <w:jc w:val="both"/>
      </w:pPr>
      <w:r>
        <w:rPr>
          <w:spacing w:val="-13"/>
          <w:sz w:val="18"/>
          <w:szCs w:val="18"/>
          <w:lang w:val="es-ES_tradnl"/>
        </w:rPr>
        <w:t>el derecho a la tutela judicial efectiva incluye la garant</w:t>
      </w:r>
      <w:r>
        <w:rPr>
          <w:rFonts w:cs="Times New Roman"/>
          <w:spacing w:val="-13"/>
          <w:sz w:val="18"/>
          <w:szCs w:val="18"/>
          <w:lang w:val="es-ES_tradnl"/>
        </w:rPr>
        <w:t>í</w:t>
      </w:r>
      <w:r>
        <w:rPr>
          <w:spacing w:val="-13"/>
          <w:sz w:val="18"/>
          <w:szCs w:val="18"/>
          <w:lang w:val="es-ES_tradnl"/>
        </w:rPr>
        <w:t xml:space="preserve">a del acceso a los </w:t>
      </w:r>
      <w:r>
        <w:rPr>
          <w:rFonts w:cs="Times New Roman"/>
          <w:spacing w:val="-13"/>
          <w:sz w:val="18"/>
          <w:szCs w:val="18"/>
          <w:lang w:val="es-ES_tradnl"/>
        </w:rPr>
        <w:t>ó</w:t>
      </w:r>
      <w:r>
        <w:rPr>
          <w:spacing w:val="-13"/>
          <w:sz w:val="18"/>
          <w:szCs w:val="18"/>
          <w:lang w:val="es-ES_tradnl"/>
        </w:rPr>
        <w:t>rganos judiciales, en los cuales las personas</w:t>
      </w:r>
    </w:p>
    <w:p w14:paraId="4F67BB29" w14:textId="77777777" w:rsidR="00591D54" w:rsidRDefault="00591D54">
      <w:pPr>
        <w:shd w:val="clear" w:color="auto" w:fill="FFFFFF"/>
        <w:tabs>
          <w:tab w:val="left" w:pos="139"/>
        </w:tabs>
        <w:spacing w:before="432" w:line="182" w:lineRule="exact"/>
        <w:ind w:left="139" w:hanging="139"/>
      </w:pPr>
      <w:r>
        <w:rPr>
          <w:sz w:val="16"/>
          <w:szCs w:val="16"/>
          <w:vertAlign w:val="superscript"/>
          <w:lang w:val="es-ES_tradnl"/>
        </w:rPr>
        <w:t>1</w:t>
      </w:r>
      <w:r>
        <w:rPr>
          <w:lang w:val="es-ES_tradnl"/>
        </w:rPr>
        <w:tab/>
      </w:r>
      <w:r>
        <w:rPr>
          <w:sz w:val="14"/>
          <w:szCs w:val="14"/>
          <w:lang w:val="es-ES_tradnl"/>
        </w:rPr>
        <w:t>Corte</w:t>
      </w:r>
      <w:r>
        <w:rPr>
          <w:lang w:val="es-ES_tradnl"/>
        </w:rPr>
        <w:t xml:space="preserve"> </w:t>
      </w:r>
      <w:r>
        <w:rPr>
          <w:sz w:val="14"/>
          <w:szCs w:val="14"/>
          <w:lang w:val="es-ES_tradnl"/>
        </w:rPr>
        <w:t>Constitucional</w:t>
      </w:r>
      <w:r>
        <w:rPr>
          <w:lang w:val="es-ES_tradnl"/>
        </w:rPr>
        <w:t xml:space="preserve"> </w:t>
      </w:r>
      <w:r>
        <w:rPr>
          <w:sz w:val="14"/>
          <w:szCs w:val="14"/>
          <w:lang w:val="es-ES_tradnl"/>
        </w:rPr>
        <w:t>del</w:t>
      </w:r>
      <w:r>
        <w:rPr>
          <w:lang w:val="es-ES_tradnl"/>
        </w:rPr>
        <w:t xml:space="preserve"> </w:t>
      </w:r>
      <w:r>
        <w:rPr>
          <w:sz w:val="14"/>
          <w:szCs w:val="14"/>
          <w:lang w:val="es-ES_tradnl"/>
        </w:rPr>
        <w:t>Ecuador,</w:t>
      </w:r>
      <w:r>
        <w:rPr>
          <w:lang w:val="es-ES_tradnl"/>
        </w:rPr>
        <w:t xml:space="preserve"> </w:t>
      </w:r>
      <w:r>
        <w:rPr>
          <w:sz w:val="14"/>
          <w:szCs w:val="14"/>
          <w:lang w:val="es-ES_tradnl"/>
        </w:rPr>
        <w:t>sentencia</w:t>
      </w:r>
      <w:r>
        <w:rPr>
          <w:lang w:val="es-ES_tradnl"/>
        </w:rPr>
        <w:t xml:space="preserve"> </w:t>
      </w:r>
      <w:r>
        <w:rPr>
          <w:sz w:val="14"/>
          <w:szCs w:val="14"/>
          <w:lang w:val="es-ES_tradnl"/>
        </w:rPr>
        <w:t>N.</w:t>
      </w:r>
      <w:r>
        <w:rPr>
          <w:rFonts w:cs="Times New Roman"/>
          <w:sz w:val="14"/>
          <w:szCs w:val="14"/>
          <w:lang w:val="es-ES_tradnl"/>
        </w:rPr>
        <w:t>°</w:t>
      </w:r>
      <w:r>
        <w:rPr>
          <w:lang w:val="es-ES_tradnl"/>
        </w:rPr>
        <w:t xml:space="preserve"> </w:t>
      </w:r>
      <w:r>
        <w:rPr>
          <w:sz w:val="14"/>
          <w:szCs w:val="14"/>
          <w:lang w:val="es-ES_tradnl"/>
        </w:rPr>
        <w:t>224-14-SEP</w:t>
      </w:r>
      <w:r>
        <w:rPr>
          <w:lang w:val="es-ES_tradnl"/>
        </w:rPr>
        <w:t xml:space="preserve"> </w:t>
      </w:r>
      <w:r>
        <w:rPr>
          <w:sz w:val="14"/>
          <w:szCs w:val="14"/>
          <w:lang w:val="es-ES_tradnl"/>
        </w:rPr>
        <w:t>CC, caso N.</w:t>
      </w:r>
      <w:r>
        <w:rPr>
          <w:rFonts w:cs="Times New Roman"/>
          <w:sz w:val="14"/>
          <w:szCs w:val="14"/>
          <w:lang w:val="es-ES_tradnl"/>
        </w:rPr>
        <w:t>°</w:t>
      </w:r>
      <w:r>
        <w:rPr>
          <w:sz w:val="14"/>
          <w:szCs w:val="14"/>
          <w:lang w:val="es-ES_tradnl"/>
        </w:rPr>
        <w:t xml:space="preserve"> 1836-12-EP</w:t>
      </w:r>
    </w:p>
    <w:p w14:paraId="4F67BB2A" w14:textId="77777777" w:rsidR="00591D54" w:rsidRDefault="00591D54">
      <w:pPr>
        <w:shd w:val="clear" w:color="auto" w:fill="FFFFFF"/>
        <w:tabs>
          <w:tab w:val="left" w:pos="139"/>
        </w:tabs>
        <w:spacing w:before="149" w:line="178" w:lineRule="exact"/>
        <w:ind w:left="139" w:hanging="139"/>
      </w:pPr>
      <w:r>
        <w:rPr>
          <w:sz w:val="10"/>
          <w:szCs w:val="10"/>
          <w:vertAlign w:val="superscript"/>
          <w:lang w:val="es-ES_tradnl"/>
        </w:rPr>
        <w:t>2</w:t>
      </w:r>
      <w:r>
        <w:rPr>
          <w:lang w:val="es-ES_tradnl"/>
        </w:rPr>
        <w:tab/>
      </w:r>
      <w:r>
        <w:rPr>
          <w:sz w:val="14"/>
          <w:szCs w:val="14"/>
          <w:lang w:val="es-ES_tradnl"/>
        </w:rPr>
        <w:t>Corte</w:t>
      </w:r>
      <w:r>
        <w:rPr>
          <w:lang w:val="es-ES_tradnl"/>
        </w:rPr>
        <w:t xml:space="preserve"> </w:t>
      </w:r>
      <w:r>
        <w:rPr>
          <w:sz w:val="14"/>
          <w:szCs w:val="14"/>
          <w:lang w:val="es-ES_tradnl"/>
        </w:rPr>
        <w:t>Constitucional</w:t>
      </w:r>
      <w:r>
        <w:rPr>
          <w:lang w:val="es-ES_tradnl"/>
        </w:rPr>
        <w:t xml:space="preserve"> </w:t>
      </w:r>
      <w:r>
        <w:rPr>
          <w:sz w:val="14"/>
          <w:szCs w:val="14"/>
          <w:lang w:val="es-ES_tradnl"/>
        </w:rPr>
        <w:t>del</w:t>
      </w:r>
      <w:r>
        <w:rPr>
          <w:lang w:val="es-ES_tradnl"/>
        </w:rPr>
        <w:t xml:space="preserve"> </w:t>
      </w:r>
      <w:r>
        <w:rPr>
          <w:sz w:val="14"/>
          <w:szCs w:val="14"/>
          <w:lang w:val="es-ES_tradnl"/>
        </w:rPr>
        <w:t>Ecuador,</w:t>
      </w:r>
      <w:r>
        <w:rPr>
          <w:lang w:val="es-ES_tradnl"/>
        </w:rPr>
        <w:t xml:space="preserve"> </w:t>
      </w:r>
      <w:r>
        <w:rPr>
          <w:sz w:val="14"/>
          <w:szCs w:val="14"/>
          <w:lang w:val="es-ES_tradnl"/>
        </w:rPr>
        <w:t>sentencia</w:t>
      </w:r>
      <w:r>
        <w:rPr>
          <w:lang w:val="es-ES_tradnl"/>
        </w:rPr>
        <w:t xml:space="preserve"> </w:t>
      </w:r>
      <w:r>
        <w:rPr>
          <w:sz w:val="14"/>
          <w:szCs w:val="14"/>
          <w:lang w:val="es-ES_tradnl"/>
        </w:rPr>
        <w:t>N.</w:t>
      </w:r>
      <w:r>
        <w:rPr>
          <w:rFonts w:cs="Times New Roman"/>
          <w:sz w:val="14"/>
          <w:szCs w:val="14"/>
          <w:lang w:val="es-ES_tradnl"/>
        </w:rPr>
        <w:t>°</w:t>
      </w:r>
      <w:r>
        <w:rPr>
          <w:lang w:val="es-ES_tradnl"/>
        </w:rPr>
        <w:t xml:space="preserve"> </w:t>
      </w:r>
      <w:r>
        <w:rPr>
          <w:sz w:val="14"/>
          <w:szCs w:val="14"/>
          <w:lang w:val="es-ES_tradnl"/>
        </w:rPr>
        <w:t>129-14-SEP-CC, caso N.</w:t>
      </w:r>
      <w:r>
        <w:rPr>
          <w:rFonts w:cs="Times New Roman"/>
          <w:sz w:val="14"/>
          <w:szCs w:val="14"/>
          <w:lang w:val="es-ES_tradnl"/>
        </w:rPr>
        <w:t>°</w:t>
      </w:r>
      <w:r>
        <w:rPr>
          <w:sz w:val="14"/>
          <w:szCs w:val="14"/>
          <w:lang w:val="es-ES_tradnl"/>
        </w:rPr>
        <w:t xml:space="preserve"> 2232-13-EP</w:t>
      </w:r>
    </w:p>
    <w:p w14:paraId="4F67BB2B" w14:textId="77777777" w:rsidR="00591D54" w:rsidRDefault="00591D54">
      <w:pPr>
        <w:shd w:val="clear" w:color="auto" w:fill="FFFFFF"/>
        <w:spacing w:before="5" w:line="216" w:lineRule="exact"/>
        <w:ind w:left="283" w:right="5"/>
        <w:jc w:val="both"/>
      </w:pPr>
      <w:r>
        <w:br w:type="column"/>
      </w:r>
      <w:r>
        <w:rPr>
          <w:sz w:val="14"/>
          <w:szCs w:val="14"/>
          <w:lang w:val="es-ES_tradnl"/>
        </w:rPr>
        <w:t>encuentren la sustanciaci</w:t>
      </w:r>
      <w:r>
        <w:rPr>
          <w:rFonts w:cs="Times New Roman"/>
          <w:sz w:val="14"/>
          <w:szCs w:val="14"/>
          <w:lang w:val="es-ES_tradnl"/>
        </w:rPr>
        <w:t>ó</w:t>
      </w:r>
      <w:r>
        <w:rPr>
          <w:sz w:val="14"/>
          <w:szCs w:val="14"/>
          <w:lang w:val="es-ES_tradnl"/>
        </w:rPr>
        <w:t>n de procesos apegados a derecho, donde se respeten los derechos de las partes, en igualdad de condiciones, bajo los principios de inmediaci</w:t>
      </w:r>
      <w:r>
        <w:rPr>
          <w:rFonts w:cs="Times New Roman"/>
          <w:sz w:val="14"/>
          <w:szCs w:val="14"/>
          <w:lang w:val="es-ES_tradnl"/>
        </w:rPr>
        <w:t>ó</w:t>
      </w:r>
      <w:r>
        <w:rPr>
          <w:sz w:val="14"/>
          <w:szCs w:val="14"/>
          <w:lang w:val="es-ES_tradnl"/>
        </w:rPr>
        <w:t>n y celeridad.</w:t>
      </w:r>
    </w:p>
    <w:p w14:paraId="4F67BB2C" w14:textId="77777777" w:rsidR="00591D54" w:rsidRDefault="00591D54">
      <w:pPr>
        <w:shd w:val="clear" w:color="auto" w:fill="FFFFFF"/>
        <w:spacing w:before="197" w:line="240" w:lineRule="exact"/>
        <w:ind w:right="5"/>
        <w:jc w:val="both"/>
      </w:pPr>
      <w:r>
        <w:rPr>
          <w:spacing w:val="-9"/>
          <w:sz w:val="18"/>
          <w:szCs w:val="18"/>
          <w:lang w:val="es-ES_tradnl"/>
        </w:rPr>
        <w:t>En esta misma l</w:t>
      </w:r>
      <w:r>
        <w:rPr>
          <w:rFonts w:cs="Times New Roman"/>
          <w:spacing w:val="-9"/>
          <w:sz w:val="18"/>
          <w:szCs w:val="18"/>
          <w:lang w:val="es-ES_tradnl"/>
        </w:rPr>
        <w:t>í</w:t>
      </w:r>
      <w:r>
        <w:rPr>
          <w:spacing w:val="-9"/>
          <w:sz w:val="18"/>
          <w:szCs w:val="18"/>
          <w:lang w:val="es-ES_tradnl"/>
        </w:rPr>
        <w:t>nea, la Corte Constitucional</w:t>
      </w:r>
      <w:r>
        <w:rPr>
          <w:spacing w:val="-9"/>
          <w:sz w:val="18"/>
          <w:szCs w:val="18"/>
          <w:vertAlign w:val="superscript"/>
          <w:lang w:val="es-ES_tradnl"/>
        </w:rPr>
        <w:t>3</w:t>
      </w:r>
      <w:r>
        <w:rPr>
          <w:spacing w:val="-9"/>
          <w:sz w:val="18"/>
          <w:szCs w:val="18"/>
          <w:lang w:val="es-ES_tradnl"/>
        </w:rPr>
        <w:t xml:space="preserve"> ha precisado, </w:t>
      </w:r>
      <w:r>
        <w:rPr>
          <w:sz w:val="18"/>
          <w:szCs w:val="18"/>
          <w:lang w:val="es-ES_tradnl"/>
        </w:rPr>
        <w:t>respecto al mismo que:</w:t>
      </w:r>
    </w:p>
    <w:p w14:paraId="4F67BB2D" w14:textId="77777777" w:rsidR="00591D54" w:rsidRDefault="00591D54">
      <w:pPr>
        <w:shd w:val="clear" w:color="auto" w:fill="FFFFFF"/>
        <w:spacing w:before="250" w:line="216" w:lineRule="exact"/>
        <w:ind w:left="283" w:right="5"/>
        <w:jc w:val="both"/>
      </w:pPr>
      <w:r>
        <w:rPr>
          <w:sz w:val="14"/>
          <w:szCs w:val="14"/>
          <w:lang w:val="es-ES_tradnl"/>
        </w:rPr>
        <w:t xml:space="preserve">Constituye un derecho mediante el cual se garantiza a toda persona el acceso oportuno y efectivo a los </w:t>
      </w:r>
      <w:r>
        <w:rPr>
          <w:rFonts w:cs="Times New Roman"/>
          <w:sz w:val="14"/>
          <w:szCs w:val="14"/>
          <w:lang w:val="es-ES_tradnl"/>
        </w:rPr>
        <w:t>ó</w:t>
      </w:r>
      <w:r>
        <w:rPr>
          <w:sz w:val="14"/>
          <w:szCs w:val="14"/>
          <w:lang w:val="es-ES_tradnl"/>
        </w:rPr>
        <w:t>rganos jurisdiccionales para reclamar sus derechos y obtener de ellos, a trav</w:t>
      </w:r>
      <w:r>
        <w:rPr>
          <w:rFonts w:cs="Times New Roman"/>
          <w:sz w:val="14"/>
          <w:szCs w:val="14"/>
          <w:lang w:val="es-ES_tradnl"/>
        </w:rPr>
        <w:t>é</w:t>
      </w:r>
      <w:r>
        <w:rPr>
          <w:sz w:val="14"/>
          <w:szCs w:val="14"/>
          <w:lang w:val="es-ES_tradnl"/>
        </w:rPr>
        <w:t>s de los debidos cauces procesales y con unas garant</w:t>
      </w:r>
      <w:r>
        <w:rPr>
          <w:rFonts w:cs="Times New Roman"/>
          <w:sz w:val="14"/>
          <w:szCs w:val="14"/>
          <w:lang w:val="es-ES_tradnl"/>
        </w:rPr>
        <w:t>í</w:t>
      </w:r>
      <w:r>
        <w:rPr>
          <w:sz w:val="14"/>
          <w:szCs w:val="14"/>
          <w:lang w:val="es-ES_tradnl"/>
        </w:rPr>
        <w:t>as m</w:t>
      </w:r>
      <w:r>
        <w:rPr>
          <w:rFonts w:cs="Times New Roman"/>
          <w:sz w:val="14"/>
          <w:szCs w:val="14"/>
          <w:lang w:val="es-ES_tradnl"/>
        </w:rPr>
        <w:t>í</w:t>
      </w:r>
      <w:r>
        <w:rPr>
          <w:sz w:val="14"/>
          <w:szCs w:val="14"/>
          <w:lang w:val="es-ES_tradnl"/>
        </w:rPr>
        <w:t>nimas, una decisi</w:t>
      </w:r>
      <w:r>
        <w:rPr>
          <w:rFonts w:cs="Times New Roman"/>
          <w:sz w:val="14"/>
          <w:szCs w:val="14"/>
          <w:lang w:val="es-ES_tradnl"/>
        </w:rPr>
        <w:t>ó</w:t>
      </w:r>
      <w:r>
        <w:rPr>
          <w:sz w:val="14"/>
          <w:szCs w:val="14"/>
          <w:lang w:val="es-ES_tradnl"/>
        </w:rPr>
        <w:t>n fundada en derecho sobre las pretensiones propuestas, respetando las condiciones y principios procesales seg</w:t>
      </w:r>
      <w:r>
        <w:rPr>
          <w:rFonts w:cs="Times New Roman"/>
          <w:sz w:val="14"/>
          <w:szCs w:val="14"/>
          <w:lang w:val="es-ES_tradnl"/>
        </w:rPr>
        <w:t>ú</w:t>
      </w:r>
      <w:r>
        <w:rPr>
          <w:sz w:val="14"/>
          <w:szCs w:val="14"/>
          <w:lang w:val="es-ES_tradnl"/>
        </w:rPr>
        <w:t>n cada caso.</w:t>
      </w:r>
    </w:p>
    <w:p w14:paraId="4F67BB2E" w14:textId="77777777" w:rsidR="00591D54" w:rsidRDefault="00591D54">
      <w:pPr>
        <w:shd w:val="clear" w:color="auto" w:fill="FFFFFF"/>
        <w:spacing w:before="211" w:line="230" w:lineRule="exact"/>
        <w:jc w:val="both"/>
      </w:pPr>
      <w:r>
        <w:rPr>
          <w:spacing w:val="-8"/>
          <w:sz w:val="18"/>
          <w:szCs w:val="18"/>
          <w:lang w:val="es-ES_tradnl"/>
        </w:rPr>
        <w:t xml:space="preserve">Consecuentemente, el derecho a la tutela judicial implica el acceso efectivo a la justicia y obtener de ella una respuesta en base a los preceptos constitucionales y legales vigentes </w:t>
      </w:r>
      <w:r>
        <w:rPr>
          <w:spacing w:val="-2"/>
          <w:sz w:val="18"/>
          <w:szCs w:val="18"/>
          <w:lang w:val="es-ES_tradnl"/>
        </w:rPr>
        <w:t>en el ordenamiento jur</w:t>
      </w:r>
      <w:r>
        <w:rPr>
          <w:rFonts w:cs="Times New Roman"/>
          <w:spacing w:val="-2"/>
          <w:sz w:val="18"/>
          <w:szCs w:val="18"/>
          <w:lang w:val="es-ES_tradnl"/>
        </w:rPr>
        <w:t>í</w:t>
      </w:r>
      <w:r>
        <w:rPr>
          <w:spacing w:val="-2"/>
          <w:sz w:val="18"/>
          <w:szCs w:val="18"/>
          <w:lang w:val="es-ES_tradnl"/>
        </w:rPr>
        <w:t xml:space="preserve">dico nacional. En este sentido, </w:t>
      </w:r>
      <w:r>
        <w:rPr>
          <w:spacing w:val="-7"/>
          <w:sz w:val="18"/>
          <w:szCs w:val="18"/>
          <w:lang w:val="es-ES_tradnl"/>
        </w:rPr>
        <w:t xml:space="preserve">este derecho contempla un enfoque integral, a efectos de </w:t>
      </w:r>
      <w:r>
        <w:rPr>
          <w:spacing w:val="-6"/>
          <w:sz w:val="18"/>
          <w:szCs w:val="18"/>
          <w:lang w:val="es-ES_tradnl"/>
        </w:rPr>
        <w:t xml:space="preserve">garantizar la vigencia de derechos constitucionales. En consecuencia, la tutela judicial efectiva requiere de la </w:t>
      </w:r>
      <w:r>
        <w:rPr>
          <w:spacing w:val="-7"/>
          <w:sz w:val="18"/>
          <w:szCs w:val="18"/>
          <w:lang w:val="es-ES_tradnl"/>
        </w:rPr>
        <w:t xml:space="preserve">existencia de operadores de justicia, quienes deben velar </w:t>
      </w:r>
      <w:r>
        <w:rPr>
          <w:spacing w:val="-6"/>
          <w:sz w:val="18"/>
          <w:szCs w:val="18"/>
          <w:lang w:val="es-ES_tradnl"/>
        </w:rPr>
        <w:t xml:space="preserve">por el cumplimiento de la normativa constitucional y legal </w:t>
      </w:r>
      <w:r>
        <w:rPr>
          <w:spacing w:val="-7"/>
          <w:sz w:val="18"/>
          <w:szCs w:val="18"/>
          <w:lang w:val="es-ES_tradnl"/>
        </w:rPr>
        <w:t xml:space="preserve">dentro de un caso concreto, con el objeto de alcanzar la </w:t>
      </w:r>
      <w:r>
        <w:rPr>
          <w:spacing w:val="-9"/>
          <w:sz w:val="18"/>
          <w:szCs w:val="18"/>
          <w:lang w:val="es-ES_tradnl"/>
        </w:rPr>
        <w:t>justicia. As</w:t>
      </w:r>
      <w:r>
        <w:rPr>
          <w:rFonts w:cs="Times New Roman"/>
          <w:spacing w:val="-9"/>
          <w:sz w:val="18"/>
          <w:szCs w:val="18"/>
          <w:lang w:val="es-ES_tradnl"/>
        </w:rPr>
        <w:t>í</w:t>
      </w:r>
      <w:r>
        <w:rPr>
          <w:spacing w:val="-9"/>
          <w:sz w:val="18"/>
          <w:szCs w:val="18"/>
          <w:lang w:val="es-ES_tradnl"/>
        </w:rPr>
        <w:t xml:space="preserve"> lo ha establecido este organismo constitucional</w:t>
      </w:r>
      <w:r>
        <w:rPr>
          <w:spacing w:val="-9"/>
          <w:sz w:val="18"/>
          <w:szCs w:val="18"/>
          <w:vertAlign w:val="superscript"/>
          <w:lang w:val="es-ES_tradnl"/>
        </w:rPr>
        <w:t xml:space="preserve">4 </w:t>
      </w:r>
      <w:r>
        <w:rPr>
          <w:sz w:val="18"/>
          <w:szCs w:val="18"/>
          <w:lang w:val="es-ES_tradnl"/>
        </w:rPr>
        <w:t>al se</w:t>
      </w:r>
      <w:r>
        <w:rPr>
          <w:rFonts w:cs="Times New Roman"/>
          <w:sz w:val="18"/>
          <w:szCs w:val="18"/>
          <w:lang w:val="es-ES_tradnl"/>
        </w:rPr>
        <w:t>ñ</w:t>
      </w:r>
      <w:r>
        <w:rPr>
          <w:sz w:val="18"/>
          <w:szCs w:val="18"/>
          <w:lang w:val="es-ES_tradnl"/>
        </w:rPr>
        <w:t>alar que:</w:t>
      </w:r>
    </w:p>
    <w:p w14:paraId="4F67BB2F" w14:textId="77777777" w:rsidR="00591D54" w:rsidRDefault="00591D54">
      <w:pPr>
        <w:shd w:val="clear" w:color="auto" w:fill="FFFFFF"/>
        <w:spacing w:before="250" w:line="216" w:lineRule="exact"/>
        <w:ind w:left="283" w:right="5"/>
        <w:jc w:val="both"/>
      </w:pPr>
      <w:r>
        <w:rPr>
          <w:sz w:val="14"/>
          <w:szCs w:val="14"/>
          <w:lang w:val="es-ES_tradnl"/>
        </w:rPr>
        <w:t xml:space="preserve">La tutela judicial tiene como objetivo una justicia efectiva, en tanto permite que las personas puedan acceder a los </w:t>
      </w:r>
      <w:r>
        <w:rPr>
          <w:rFonts w:cs="Times New Roman"/>
          <w:sz w:val="14"/>
          <w:szCs w:val="14"/>
          <w:lang w:val="es-ES_tradnl"/>
        </w:rPr>
        <w:t>ó</w:t>
      </w:r>
      <w:r>
        <w:rPr>
          <w:sz w:val="14"/>
          <w:szCs w:val="14"/>
          <w:lang w:val="es-ES_tradnl"/>
        </w:rPr>
        <w:t>rganos judiciales y que en la tramitaci</w:t>
      </w:r>
      <w:r>
        <w:rPr>
          <w:rFonts w:cs="Times New Roman"/>
          <w:sz w:val="14"/>
          <w:szCs w:val="14"/>
          <w:lang w:val="es-ES_tradnl"/>
        </w:rPr>
        <w:t>ó</w:t>
      </w:r>
      <w:r>
        <w:rPr>
          <w:sz w:val="14"/>
          <w:szCs w:val="14"/>
          <w:lang w:val="es-ES_tradnl"/>
        </w:rPr>
        <w:t xml:space="preserve">n del juicio se cumplan reglas </w:t>
      </w:r>
      <w:r>
        <w:rPr>
          <w:spacing w:val="-1"/>
          <w:sz w:val="14"/>
          <w:szCs w:val="14"/>
          <w:lang w:val="es-ES_tradnl"/>
        </w:rPr>
        <w:t xml:space="preserve">del debido proceso y que puedan obtener una sentencia basada </w:t>
      </w:r>
      <w:r>
        <w:rPr>
          <w:sz w:val="14"/>
          <w:szCs w:val="14"/>
          <w:lang w:val="es-ES_tradnl"/>
        </w:rPr>
        <w:t>en derecho, es decir, libre de arbitrariedad.</w:t>
      </w:r>
    </w:p>
    <w:p w14:paraId="4F67BB30" w14:textId="77777777" w:rsidR="00591D54" w:rsidRDefault="00591D54">
      <w:pPr>
        <w:shd w:val="clear" w:color="auto" w:fill="FFFFFF"/>
        <w:spacing w:before="211" w:line="230" w:lineRule="exact"/>
        <w:ind w:right="5"/>
        <w:jc w:val="both"/>
      </w:pPr>
      <w:r>
        <w:rPr>
          <w:spacing w:val="-8"/>
          <w:sz w:val="18"/>
          <w:szCs w:val="18"/>
          <w:lang w:val="es-ES_tradnl"/>
        </w:rPr>
        <w:t>En este mismo sentido, la Corte Constitucional</w:t>
      </w:r>
      <w:r>
        <w:rPr>
          <w:i/>
          <w:iCs/>
          <w:sz w:val="18"/>
          <w:szCs w:val="18"/>
          <w:vertAlign w:val="superscript"/>
          <w:lang w:val="es-ES_tradnl"/>
        </w:rPr>
        <w:t>5</w:t>
      </w:r>
      <w:r>
        <w:rPr>
          <w:i/>
          <w:iCs/>
          <w:sz w:val="18"/>
          <w:szCs w:val="18"/>
          <w:lang w:val="es-ES_tradnl"/>
        </w:rPr>
        <w:t xml:space="preserve"> </w:t>
      </w:r>
      <w:r>
        <w:rPr>
          <w:spacing w:val="-16"/>
          <w:sz w:val="18"/>
          <w:szCs w:val="18"/>
          <w:lang w:val="es-ES_tradnl"/>
        </w:rPr>
        <w:t xml:space="preserve">ha </w:t>
      </w:r>
      <w:r>
        <w:rPr>
          <w:sz w:val="18"/>
          <w:szCs w:val="18"/>
          <w:lang w:val="es-ES_tradnl"/>
        </w:rPr>
        <w:t>manifestado que:</w:t>
      </w:r>
    </w:p>
    <w:p w14:paraId="4F67BB31" w14:textId="77777777" w:rsidR="00591D54" w:rsidRDefault="00591D54">
      <w:pPr>
        <w:shd w:val="clear" w:color="auto" w:fill="FFFFFF"/>
        <w:spacing w:before="250" w:line="216" w:lineRule="exact"/>
        <w:ind w:left="283" w:right="5"/>
        <w:jc w:val="both"/>
      </w:pPr>
      <w:r>
        <w:rPr>
          <w:sz w:val="14"/>
          <w:szCs w:val="14"/>
          <w:lang w:val="es-ES_tradnl"/>
        </w:rPr>
        <w:t>Se requiere que los operadores judiciales realicen una labor diligente en donde se plasme la defensa de los derechos sin evidenciar sesgos o prerrogativas a favor de ninguna de las partes procesales, manteni</w:t>
      </w:r>
      <w:r>
        <w:rPr>
          <w:rFonts w:cs="Times New Roman"/>
          <w:sz w:val="14"/>
          <w:szCs w:val="14"/>
          <w:lang w:val="es-ES_tradnl"/>
        </w:rPr>
        <w:t>é</w:t>
      </w:r>
      <w:r>
        <w:rPr>
          <w:sz w:val="14"/>
          <w:szCs w:val="14"/>
          <w:lang w:val="es-ES_tradnl"/>
        </w:rPr>
        <w:t xml:space="preserve">ndose de este modo un justo equilibrio que a su vez garantiza la confianza de las personas de acudir a estos </w:t>
      </w:r>
      <w:r>
        <w:rPr>
          <w:rFonts w:cs="Times New Roman"/>
          <w:sz w:val="14"/>
          <w:szCs w:val="14"/>
          <w:lang w:val="es-ES_tradnl"/>
        </w:rPr>
        <w:t>ó</w:t>
      </w:r>
      <w:r>
        <w:rPr>
          <w:sz w:val="14"/>
          <w:szCs w:val="14"/>
          <w:lang w:val="es-ES_tradnl"/>
        </w:rPr>
        <w:t>rganos jurisdiccionales para hacer valer sus derechos.</w:t>
      </w:r>
    </w:p>
    <w:p w14:paraId="4F67BB32" w14:textId="77777777" w:rsidR="00591D54" w:rsidRDefault="00591D54">
      <w:pPr>
        <w:shd w:val="clear" w:color="auto" w:fill="FFFFFF"/>
        <w:spacing w:before="211" w:line="230" w:lineRule="exact"/>
        <w:ind w:right="5"/>
        <w:jc w:val="both"/>
      </w:pPr>
      <w:r>
        <w:rPr>
          <w:spacing w:val="-11"/>
          <w:sz w:val="18"/>
          <w:szCs w:val="18"/>
          <w:lang w:val="es-ES_tradnl"/>
        </w:rPr>
        <w:t>De este modo, la tutela, adem</w:t>
      </w:r>
      <w:r>
        <w:rPr>
          <w:rFonts w:cs="Times New Roman"/>
          <w:spacing w:val="-11"/>
          <w:sz w:val="18"/>
          <w:szCs w:val="18"/>
          <w:lang w:val="es-ES_tradnl"/>
        </w:rPr>
        <w:t>á</w:t>
      </w:r>
      <w:r>
        <w:rPr>
          <w:spacing w:val="-11"/>
          <w:sz w:val="18"/>
          <w:szCs w:val="18"/>
          <w:lang w:val="es-ES_tradnl"/>
        </w:rPr>
        <w:t xml:space="preserve">s del acceso a los </w:t>
      </w:r>
      <w:r>
        <w:rPr>
          <w:rFonts w:cs="Times New Roman"/>
          <w:spacing w:val="-11"/>
          <w:sz w:val="18"/>
          <w:szCs w:val="18"/>
          <w:lang w:val="es-ES_tradnl"/>
        </w:rPr>
        <w:t>ó</w:t>
      </w:r>
      <w:r>
        <w:rPr>
          <w:spacing w:val="-11"/>
          <w:sz w:val="18"/>
          <w:szCs w:val="18"/>
          <w:lang w:val="es-ES_tradnl"/>
        </w:rPr>
        <w:t xml:space="preserve">rganos de </w:t>
      </w:r>
      <w:r>
        <w:rPr>
          <w:spacing w:val="-9"/>
          <w:sz w:val="18"/>
          <w:szCs w:val="18"/>
          <w:lang w:val="es-ES_tradnl"/>
        </w:rPr>
        <w:t xml:space="preserve">justicia, implica que los operadores de justicia velen por que sus actuaciones se enmarquen dentro de las disposiciones </w:t>
      </w:r>
      <w:r>
        <w:rPr>
          <w:spacing w:val="-7"/>
          <w:sz w:val="18"/>
          <w:szCs w:val="18"/>
          <w:lang w:val="es-ES_tradnl"/>
        </w:rPr>
        <w:t xml:space="preserve">constitucionales y legales, a fin de brindar una respuesta </w:t>
      </w:r>
      <w:r>
        <w:rPr>
          <w:spacing w:val="-4"/>
          <w:sz w:val="18"/>
          <w:szCs w:val="18"/>
          <w:lang w:val="es-ES_tradnl"/>
        </w:rPr>
        <w:t>pertinente y oportuna a los usuarios de la justicia. As</w:t>
      </w:r>
      <w:r>
        <w:rPr>
          <w:rFonts w:cs="Times New Roman"/>
          <w:spacing w:val="-4"/>
          <w:sz w:val="18"/>
          <w:szCs w:val="18"/>
          <w:lang w:val="es-ES_tradnl"/>
        </w:rPr>
        <w:t>í</w:t>
      </w:r>
      <w:r>
        <w:rPr>
          <w:spacing w:val="-4"/>
          <w:sz w:val="18"/>
          <w:szCs w:val="18"/>
          <w:lang w:val="es-ES_tradnl"/>
        </w:rPr>
        <w:t xml:space="preserve"> lo </w:t>
      </w:r>
      <w:r>
        <w:rPr>
          <w:spacing w:val="-9"/>
          <w:sz w:val="18"/>
          <w:szCs w:val="18"/>
          <w:lang w:val="es-ES_tradnl"/>
        </w:rPr>
        <w:t>ha expresado esta Corte Constitucional, al determinar que:</w:t>
      </w:r>
    </w:p>
    <w:p w14:paraId="4F67BB33" w14:textId="77777777" w:rsidR="00591D54" w:rsidRDefault="00591D54">
      <w:pPr>
        <w:shd w:val="clear" w:color="auto" w:fill="FFFFFF"/>
        <w:tabs>
          <w:tab w:val="left" w:pos="144"/>
        </w:tabs>
        <w:spacing w:before="710" w:line="182" w:lineRule="exact"/>
        <w:ind w:left="144" w:hanging="144"/>
      </w:pPr>
      <w:r>
        <w:rPr>
          <w:sz w:val="10"/>
          <w:szCs w:val="10"/>
          <w:vertAlign w:val="superscript"/>
          <w:lang w:val="es-ES_tradnl"/>
        </w:rPr>
        <w:t>3</w:t>
      </w:r>
      <w:r>
        <w:rPr>
          <w:lang w:val="es-ES_tradnl"/>
        </w:rPr>
        <w:tab/>
      </w:r>
      <w:r>
        <w:rPr>
          <w:sz w:val="14"/>
          <w:szCs w:val="14"/>
          <w:lang w:val="es-ES_tradnl"/>
        </w:rPr>
        <w:t>Corte</w:t>
      </w:r>
      <w:r>
        <w:rPr>
          <w:lang w:val="es-ES_tradnl"/>
        </w:rPr>
        <w:t xml:space="preserve"> </w:t>
      </w:r>
      <w:r>
        <w:rPr>
          <w:sz w:val="14"/>
          <w:szCs w:val="14"/>
          <w:lang w:val="es-ES_tradnl"/>
        </w:rPr>
        <w:t>Constitucional</w:t>
      </w:r>
      <w:r>
        <w:rPr>
          <w:lang w:val="es-ES_tradnl"/>
        </w:rPr>
        <w:t xml:space="preserve"> </w:t>
      </w:r>
      <w:r>
        <w:rPr>
          <w:sz w:val="14"/>
          <w:szCs w:val="14"/>
          <w:lang w:val="es-ES_tradnl"/>
        </w:rPr>
        <w:t>del</w:t>
      </w:r>
      <w:r>
        <w:rPr>
          <w:lang w:val="es-ES_tradnl"/>
        </w:rPr>
        <w:t xml:space="preserve"> </w:t>
      </w:r>
      <w:r>
        <w:rPr>
          <w:sz w:val="14"/>
          <w:szCs w:val="14"/>
          <w:lang w:val="es-ES_tradnl"/>
        </w:rPr>
        <w:t>Ecuador,</w:t>
      </w:r>
      <w:r>
        <w:rPr>
          <w:lang w:val="es-ES_tradnl"/>
        </w:rPr>
        <w:t xml:space="preserve"> </w:t>
      </w:r>
      <w:r>
        <w:rPr>
          <w:sz w:val="14"/>
          <w:szCs w:val="14"/>
          <w:lang w:val="es-ES_tradnl"/>
        </w:rPr>
        <w:t>sentencia</w:t>
      </w:r>
      <w:r>
        <w:rPr>
          <w:lang w:val="es-ES_tradnl"/>
        </w:rPr>
        <w:t xml:space="preserve"> </w:t>
      </w:r>
      <w:r>
        <w:rPr>
          <w:sz w:val="14"/>
          <w:szCs w:val="14"/>
          <w:lang w:val="es-ES_tradnl"/>
        </w:rPr>
        <w:t>N.</w:t>
      </w:r>
      <w:r>
        <w:rPr>
          <w:rFonts w:cs="Times New Roman"/>
          <w:sz w:val="14"/>
          <w:szCs w:val="14"/>
          <w:lang w:val="es-ES_tradnl"/>
        </w:rPr>
        <w:t>°</w:t>
      </w:r>
      <w:r>
        <w:rPr>
          <w:lang w:val="es-ES_tradnl"/>
        </w:rPr>
        <w:t xml:space="preserve"> </w:t>
      </w:r>
      <w:r>
        <w:rPr>
          <w:sz w:val="14"/>
          <w:szCs w:val="14"/>
          <w:lang w:val="es-ES_tradnl"/>
        </w:rPr>
        <w:t>031-14-SEP-CC, caso N.</w:t>
      </w:r>
      <w:r>
        <w:rPr>
          <w:rFonts w:cs="Times New Roman"/>
          <w:sz w:val="14"/>
          <w:szCs w:val="14"/>
          <w:lang w:val="es-ES_tradnl"/>
        </w:rPr>
        <w:t>°</w:t>
      </w:r>
      <w:r>
        <w:rPr>
          <w:sz w:val="14"/>
          <w:szCs w:val="14"/>
          <w:lang w:val="es-ES_tradnl"/>
        </w:rPr>
        <w:t xml:space="preserve"> 0868-10-EP.</w:t>
      </w:r>
    </w:p>
    <w:p w14:paraId="4F67BB34" w14:textId="77777777" w:rsidR="00591D54" w:rsidRDefault="00591D54">
      <w:pPr>
        <w:shd w:val="clear" w:color="auto" w:fill="FFFFFF"/>
        <w:tabs>
          <w:tab w:val="left" w:pos="144"/>
        </w:tabs>
        <w:spacing w:before="154" w:line="182" w:lineRule="exact"/>
        <w:ind w:left="144" w:hanging="144"/>
      </w:pPr>
      <w:r>
        <w:rPr>
          <w:sz w:val="10"/>
          <w:szCs w:val="10"/>
          <w:vertAlign w:val="superscript"/>
          <w:lang w:val="es-ES_tradnl"/>
        </w:rPr>
        <w:t>4</w:t>
      </w:r>
      <w:r>
        <w:rPr>
          <w:lang w:val="es-ES_tradnl"/>
        </w:rPr>
        <w:tab/>
      </w:r>
      <w:r>
        <w:rPr>
          <w:sz w:val="14"/>
          <w:szCs w:val="14"/>
          <w:lang w:val="es-ES_tradnl"/>
        </w:rPr>
        <w:t>Corte</w:t>
      </w:r>
      <w:r>
        <w:rPr>
          <w:lang w:val="es-ES_tradnl"/>
        </w:rPr>
        <w:t xml:space="preserve"> </w:t>
      </w:r>
      <w:r>
        <w:rPr>
          <w:sz w:val="14"/>
          <w:szCs w:val="14"/>
          <w:lang w:val="es-ES_tradnl"/>
        </w:rPr>
        <w:t>Constitucional</w:t>
      </w:r>
      <w:r>
        <w:rPr>
          <w:lang w:val="es-ES_tradnl"/>
        </w:rPr>
        <w:t xml:space="preserve"> </w:t>
      </w:r>
      <w:r>
        <w:rPr>
          <w:sz w:val="14"/>
          <w:szCs w:val="14"/>
          <w:lang w:val="es-ES_tradnl"/>
        </w:rPr>
        <w:t>del</w:t>
      </w:r>
      <w:r>
        <w:rPr>
          <w:lang w:val="es-ES_tradnl"/>
        </w:rPr>
        <w:t xml:space="preserve"> </w:t>
      </w:r>
      <w:r>
        <w:rPr>
          <w:sz w:val="14"/>
          <w:szCs w:val="14"/>
          <w:lang w:val="es-ES_tradnl"/>
        </w:rPr>
        <w:t>Ecuador</w:t>
      </w:r>
      <w:r>
        <w:rPr>
          <w:lang w:val="es-ES_tradnl"/>
        </w:rPr>
        <w:t xml:space="preserve"> </w:t>
      </w:r>
      <w:r>
        <w:rPr>
          <w:sz w:val="14"/>
          <w:szCs w:val="14"/>
          <w:lang w:val="es-ES_tradnl"/>
        </w:rPr>
        <w:t>sentencia</w:t>
      </w:r>
      <w:r>
        <w:rPr>
          <w:lang w:val="es-ES_tradnl"/>
        </w:rPr>
        <w:t xml:space="preserve"> </w:t>
      </w:r>
      <w:r>
        <w:rPr>
          <w:sz w:val="14"/>
          <w:szCs w:val="14"/>
          <w:lang w:val="es-ES_tradnl"/>
        </w:rPr>
        <w:t>N.</w:t>
      </w:r>
      <w:r>
        <w:rPr>
          <w:rFonts w:cs="Times New Roman"/>
          <w:sz w:val="14"/>
          <w:szCs w:val="14"/>
          <w:lang w:val="es-ES_tradnl"/>
        </w:rPr>
        <w:t>°</w:t>
      </w:r>
      <w:r>
        <w:rPr>
          <w:lang w:val="es-ES_tradnl"/>
        </w:rPr>
        <w:t xml:space="preserve"> </w:t>
      </w:r>
      <w:r>
        <w:rPr>
          <w:sz w:val="14"/>
          <w:szCs w:val="14"/>
          <w:lang w:val="es-ES_tradnl"/>
        </w:rPr>
        <w:t>028-15-SEP-CC, caso N.</w:t>
      </w:r>
      <w:r>
        <w:rPr>
          <w:rFonts w:cs="Times New Roman"/>
          <w:sz w:val="14"/>
          <w:szCs w:val="14"/>
          <w:lang w:val="es-ES_tradnl"/>
        </w:rPr>
        <w:t>°</w:t>
      </w:r>
      <w:r>
        <w:rPr>
          <w:sz w:val="14"/>
          <w:szCs w:val="14"/>
          <w:lang w:val="es-ES_tradnl"/>
        </w:rPr>
        <w:t xml:space="preserve"> 1491-12-EP</w:t>
      </w:r>
    </w:p>
    <w:p w14:paraId="4F67BB35" w14:textId="77777777" w:rsidR="00591D54" w:rsidRDefault="00591D54">
      <w:pPr>
        <w:shd w:val="clear" w:color="auto" w:fill="FFFFFF"/>
        <w:tabs>
          <w:tab w:val="left" w:pos="144"/>
        </w:tabs>
        <w:spacing w:before="149" w:line="178" w:lineRule="exact"/>
        <w:ind w:left="144" w:hanging="144"/>
      </w:pPr>
      <w:r>
        <w:rPr>
          <w:sz w:val="10"/>
          <w:szCs w:val="10"/>
          <w:vertAlign w:val="superscript"/>
          <w:lang w:val="es-ES_tradnl"/>
        </w:rPr>
        <w:t>5</w:t>
      </w:r>
      <w:r>
        <w:rPr>
          <w:lang w:val="es-ES_tradnl"/>
        </w:rPr>
        <w:tab/>
      </w:r>
      <w:r>
        <w:rPr>
          <w:sz w:val="14"/>
          <w:szCs w:val="14"/>
          <w:lang w:val="es-ES_tradnl"/>
        </w:rPr>
        <w:t>Corte</w:t>
      </w:r>
      <w:r>
        <w:rPr>
          <w:lang w:val="es-ES_tradnl"/>
        </w:rPr>
        <w:t xml:space="preserve"> </w:t>
      </w:r>
      <w:r>
        <w:rPr>
          <w:sz w:val="14"/>
          <w:szCs w:val="14"/>
          <w:lang w:val="es-ES_tradnl"/>
        </w:rPr>
        <w:t>Constitucional</w:t>
      </w:r>
      <w:r>
        <w:rPr>
          <w:lang w:val="es-ES_tradnl"/>
        </w:rPr>
        <w:t xml:space="preserve"> </w:t>
      </w:r>
      <w:r>
        <w:rPr>
          <w:sz w:val="14"/>
          <w:szCs w:val="14"/>
          <w:lang w:val="es-ES_tradnl"/>
        </w:rPr>
        <w:t>del</w:t>
      </w:r>
      <w:r>
        <w:rPr>
          <w:lang w:val="es-ES_tradnl"/>
        </w:rPr>
        <w:t xml:space="preserve"> </w:t>
      </w:r>
      <w:r>
        <w:rPr>
          <w:sz w:val="14"/>
          <w:szCs w:val="14"/>
          <w:lang w:val="es-ES_tradnl"/>
        </w:rPr>
        <w:t>Ecuador,</w:t>
      </w:r>
      <w:r>
        <w:rPr>
          <w:lang w:val="es-ES_tradnl"/>
        </w:rPr>
        <w:t xml:space="preserve"> </w:t>
      </w:r>
      <w:r>
        <w:rPr>
          <w:sz w:val="14"/>
          <w:szCs w:val="14"/>
          <w:lang w:val="es-ES_tradnl"/>
        </w:rPr>
        <w:t>sentencia</w:t>
      </w:r>
      <w:r>
        <w:rPr>
          <w:lang w:val="es-ES_tradnl"/>
        </w:rPr>
        <w:t xml:space="preserve"> </w:t>
      </w:r>
      <w:r>
        <w:rPr>
          <w:sz w:val="14"/>
          <w:szCs w:val="14"/>
          <w:lang w:val="es-ES_tradnl"/>
        </w:rPr>
        <w:t>N.</w:t>
      </w:r>
      <w:r>
        <w:rPr>
          <w:rFonts w:cs="Times New Roman"/>
          <w:sz w:val="14"/>
          <w:szCs w:val="14"/>
          <w:lang w:val="es-ES_tradnl"/>
        </w:rPr>
        <w:t>°</w:t>
      </w:r>
      <w:r>
        <w:rPr>
          <w:lang w:val="es-ES_tradnl"/>
        </w:rPr>
        <w:t xml:space="preserve"> </w:t>
      </w:r>
      <w:r>
        <w:rPr>
          <w:sz w:val="14"/>
          <w:szCs w:val="14"/>
          <w:lang w:val="es-ES_tradnl"/>
        </w:rPr>
        <w:t>016-13-SEP-CC, caso N.</w:t>
      </w:r>
      <w:r>
        <w:rPr>
          <w:rFonts w:cs="Times New Roman"/>
          <w:sz w:val="14"/>
          <w:szCs w:val="14"/>
          <w:lang w:val="es-ES_tradnl"/>
        </w:rPr>
        <w:t>°</w:t>
      </w:r>
      <w:r>
        <w:rPr>
          <w:sz w:val="14"/>
          <w:szCs w:val="14"/>
          <w:lang w:val="es-ES_tradnl"/>
        </w:rPr>
        <w:t xml:space="preserve"> 1000-12-EP</w:t>
      </w:r>
    </w:p>
    <w:p w14:paraId="4F67BB36" w14:textId="77777777" w:rsidR="00591D54" w:rsidRDefault="00591D54">
      <w:pPr>
        <w:shd w:val="clear" w:color="auto" w:fill="FFFFFF"/>
        <w:tabs>
          <w:tab w:val="left" w:pos="144"/>
        </w:tabs>
        <w:spacing w:before="149" w:line="178" w:lineRule="exact"/>
        <w:ind w:left="144" w:hanging="144"/>
        <w:sectPr w:rsidR="00591D54">
          <w:type w:val="continuous"/>
          <w:pgSz w:w="11909" w:h="16834"/>
          <w:pgMar w:top="1356" w:right="1304" w:bottom="360" w:left="1308" w:header="720" w:footer="720" w:gutter="0"/>
          <w:cols w:num="2" w:space="720" w:equalWidth="0">
            <w:col w:w="4305" w:space="682"/>
            <w:col w:w="4310"/>
          </w:cols>
          <w:noEndnote/>
        </w:sectPr>
      </w:pPr>
    </w:p>
    <w:p w14:paraId="4F67BB37" w14:textId="77777777" w:rsidR="00591D54" w:rsidRDefault="00591D54">
      <w:pPr>
        <w:shd w:val="clear" w:color="auto" w:fill="FFFFFF"/>
        <w:tabs>
          <w:tab w:val="left" w:pos="4814"/>
        </w:tabs>
        <w:spacing w:after="235"/>
        <w:ind w:left="5"/>
      </w:pPr>
      <w:r>
        <w:rPr>
          <w:b/>
          <w:bCs/>
          <w:sz w:val="18"/>
          <w:szCs w:val="18"/>
          <w:lang w:val="es-ES_tradnl"/>
        </w:rPr>
        <w:t xml:space="preserve">288 -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B38" w14:textId="77777777" w:rsidR="00591D54" w:rsidRDefault="00591D54">
      <w:pPr>
        <w:shd w:val="clear" w:color="auto" w:fill="FFFFFF"/>
        <w:tabs>
          <w:tab w:val="left" w:pos="4814"/>
        </w:tabs>
        <w:spacing w:after="235"/>
        <w:ind w:left="5"/>
        <w:sectPr w:rsidR="00591D54">
          <w:pgSz w:w="11909" w:h="16834"/>
          <w:pgMar w:top="1356" w:right="1309" w:bottom="360" w:left="1308" w:header="720" w:footer="720" w:gutter="0"/>
          <w:cols w:space="60"/>
          <w:noEndnote/>
        </w:sectPr>
      </w:pPr>
    </w:p>
    <w:p w14:paraId="4F67BB39" w14:textId="77777777" w:rsidR="00591D54" w:rsidRDefault="00591D54">
      <w:pPr>
        <w:shd w:val="clear" w:color="auto" w:fill="FFFFFF"/>
        <w:spacing w:before="5" w:line="202" w:lineRule="exact"/>
        <w:ind w:left="283"/>
        <w:jc w:val="both"/>
      </w:pPr>
      <w:r>
        <w:rPr>
          <w:sz w:val="14"/>
          <w:szCs w:val="14"/>
          <w:lang w:val="es-ES_tradnl"/>
        </w:rPr>
        <w:t xml:space="preserve">El contenido de este derecho (tutela judicial efectiva) implica garantizar tanto el acceso a los </w:t>
      </w:r>
      <w:r>
        <w:rPr>
          <w:rFonts w:cs="Times New Roman"/>
          <w:sz w:val="14"/>
          <w:szCs w:val="14"/>
          <w:lang w:val="es-ES_tradnl"/>
        </w:rPr>
        <w:t>ó</w:t>
      </w:r>
      <w:r>
        <w:rPr>
          <w:sz w:val="14"/>
          <w:szCs w:val="14"/>
          <w:lang w:val="es-ES_tradnl"/>
        </w:rPr>
        <w:t>rganos de justicia, como el derecho al debido proceso de la peticionaria, el que incluye que la decisi</w:t>
      </w:r>
      <w:r>
        <w:rPr>
          <w:rFonts w:cs="Times New Roman"/>
          <w:sz w:val="14"/>
          <w:szCs w:val="14"/>
          <w:lang w:val="es-ES_tradnl"/>
        </w:rPr>
        <w:t>ó</w:t>
      </w:r>
      <w:r>
        <w:rPr>
          <w:sz w:val="14"/>
          <w:szCs w:val="14"/>
          <w:lang w:val="es-ES_tradnl"/>
        </w:rPr>
        <w:t>n se encuentre debidamente motivada, as</w:t>
      </w:r>
      <w:r>
        <w:rPr>
          <w:rFonts w:cs="Times New Roman"/>
          <w:sz w:val="14"/>
          <w:szCs w:val="14"/>
          <w:lang w:val="es-ES_tradnl"/>
        </w:rPr>
        <w:t>í</w:t>
      </w:r>
      <w:r>
        <w:rPr>
          <w:sz w:val="14"/>
          <w:szCs w:val="14"/>
          <w:lang w:val="es-ES_tradnl"/>
        </w:rPr>
        <w:t xml:space="preserve"> como la observancia de procedimientos m</w:t>
      </w:r>
      <w:r>
        <w:rPr>
          <w:rFonts w:cs="Times New Roman"/>
          <w:sz w:val="14"/>
          <w:szCs w:val="14"/>
          <w:lang w:val="es-ES_tradnl"/>
        </w:rPr>
        <w:t>í</w:t>
      </w:r>
      <w:r>
        <w:rPr>
          <w:sz w:val="14"/>
          <w:szCs w:val="14"/>
          <w:lang w:val="es-ES_tradnl"/>
        </w:rPr>
        <w:t>nimos, y que se convierte en el derecho a la justicia obtenida en un procedimiento</w:t>
      </w:r>
      <w:r>
        <w:rPr>
          <w:sz w:val="14"/>
          <w:szCs w:val="14"/>
          <w:vertAlign w:val="superscript"/>
          <w:lang w:val="es-ES_tradnl"/>
        </w:rPr>
        <w:t>6</w:t>
      </w:r>
      <w:r>
        <w:rPr>
          <w:sz w:val="14"/>
          <w:szCs w:val="14"/>
          <w:lang w:val="es-ES_tradnl"/>
        </w:rPr>
        <w:t>.</w:t>
      </w:r>
    </w:p>
    <w:p w14:paraId="4F67BB3A" w14:textId="77777777" w:rsidR="00591D54" w:rsidRDefault="00591D54">
      <w:pPr>
        <w:shd w:val="clear" w:color="auto" w:fill="FFFFFF"/>
        <w:spacing w:before="192" w:line="202" w:lineRule="exact"/>
        <w:ind w:right="5"/>
        <w:jc w:val="both"/>
      </w:pPr>
      <w:r>
        <w:rPr>
          <w:spacing w:val="-6"/>
          <w:sz w:val="18"/>
          <w:szCs w:val="18"/>
          <w:lang w:val="es-ES_tradnl"/>
        </w:rPr>
        <w:t>En esta l</w:t>
      </w:r>
      <w:r>
        <w:rPr>
          <w:rFonts w:cs="Times New Roman"/>
          <w:spacing w:val="-6"/>
          <w:sz w:val="18"/>
          <w:szCs w:val="18"/>
          <w:lang w:val="es-ES_tradnl"/>
        </w:rPr>
        <w:t>í</w:t>
      </w:r>
      <w:r>
        <w:rPr>
          <w:spacing w:val="-6"/>
          <w:sz w:val="18"/>
          <w:szCs w:val="18"/>
          <w:lang w:val="es-ES_tradnl"/>
        </w:rPr>
        <w:t xml:space="preserve">nea, el derecho a la tutela judicial efectiva se </w:t>
      </w:r>
      <w:r>
        <w:rPr>
          <w:spacing w:val="-9"/>
          <w:sz w:val="18"/>
          <w:szCs w:val="18"/>
          <w:lang w:val="es-ES_tradnl"/>
        </w:rPr>
        <w:t xml:space="preserve">presenta en tres momentos: en primer lugar, el derecho de </w:t>
      </w:r>
      <w:r>
        <w:rPr>
          <w:spacing w:val="-6"/>
          <w:sz w:val="18"/>
          <w:szCs w:val="18"/>
          <w:lang w:val="es-ES_tradnl"/>
        </w:rPr>
        <w:t xml:space="preserve">acceder a los </w:t>
      </w:r>
      <w:r>
        <w:rPr>
          <w:rFonts w:cs="Times New Roman"/>
          <w:spacing w:val="-6"/>
          <w:sz w:val="18"/>
          <w:szCs w:val="18"/>
          <w:lang w:val="es-ES_tradnl"/>
        </w:rPr>
        <w:t>ó</w:t>
      </w:r>
      <w:r>
        <w:rPr>
          <w:spacing w:val="-6"/>
          <w:sz w:val="18"/>
          <w:szCs w:val="18"/>
          <w:lang w:val="es-ES_tradnl"/>
        </w:rPr>
        <w:t>rganos jurisdiccionales; en segundo lugar, la actitud diligente del juez en un proceso a trav</w:t>
      </w:r>
      <w:r>
        <w:rPr>
          <w:rFonts w:cs="Times New Roman"/>
          <w:spacing w:val="-6"/>
          <w:sz w:val="18"/>
          <w:szCs w:val="18"/>
          <w:lang w:val="es-ES_tradnl"/>
        </w:rPr>
        <w:t>é</w:t>
      </w:r>
      <w:r>
        <w:rPr>
          <w:spacing w:val="-6"/>
          <w:sz w:val="18"/>
          <w:szCs w:val="18"/>
          <w:lang w:val="es-ES_tradnl"/>
        </w:rPr>
        <w:t xml:space="preserve">s de la </w:t>
      </w:r>
      <w:r>
        <w:rPr>
          <w:spacing w:val="-9"/>
          <w:sz w:val="18"/>
          <w:szCs w:val="18"/>
          <w:lang w:val="es-ES_tradnl"/>
        </w:rPr>
        <w:t>aplicaci</w:t>
      </w:r>
      <w:r>
        <w:rPr>
          <w:rFonts w:cs="Times New Roman"/>
          <w:spacing w:val="-9"/>
          <w:sz w:val="18"/>
          <w:szCs w:val="18"/>
          <w:lang w:val="es-ES_tradnl"/>
        </w:rPr>
        <w:t>ó</w:t>
      </w:r>
      <w:r>
        <w:rPr>
          <w:spacing w:val="-9"/>
          <w:sz w:val="18"/>
          <w:szCs w:val="18"/>
          <w:lang w:val="es-ES_tradnl"/>
        </w:rPr>
        <w:t>n de la Constituci</w:t>
      </w:r>
      <w:r>
        <w:rPr>
          <w:rFonts w:cs="Times New Roman"/>
          <w:spacing w:val="-9"/>
          <w:sz w:val="18"/>
          <w:szCs w:val="18"/>
          <w:lang w:val="es-ES_tradnl"/>
        </w:rPr>
        <w:t>ó</w:t>
      </w:r>
      <w:r>
        <w:rPr>
          <w:spacing w:val="-9"/>
          <w:sz w:val="18"/>
          <w:szCs w:val="18"/>
          <w:lang w:val="es-ES_tradnl"/>
        </w:rPr>
        <w:t>n y dem</w:t>
      </w:r>
      <w:r>
        <w:rPr>
          <w:rFonts w:cs="Times New Roman"/>
          <w:spacing w:val="-9"/>
          <w:sz w:val="18"/>
          <w:szCs w:val="18"/>
          <w:lang w:val="es-ES_tradnl"/>
        </w:rPr>
        <w:t>á</w:t>
      </w:r>
      <w:r>
        <w:rPr>
          <w:spacing w:val="-9"/>
          <w:sz w:val="18"/>
          <w:szCs w:val="18"/>
          <w:lang w:val="es-ES_tradnl"/>
        </w:rPr>
        <w:t xml:space="preserve">s leyes que conforman </w:t>
      </w:r>
      <w:r>
        <w:rPr>
          <w:spacing w:val="-6"/>
          <w:sz w:val="18"/>
          <w:szCs w:val="18"/>
          <w:lang w:val="es-ES_tradnl"/>
        </w:rPr>
        <w:t>el ordenamiento jur</w:t>
      </w:r>
      <w:r>
        <w:rPr>
          <w:rFonts w:cs="Times New Roman"/>
          <w:spacing w:val="-6"/>
          <w:sz w:val="18"/>
          <w:szCs w:val="18"/>
          <w:lang w:val="es-ES_tradnl"/>
        </w:rPr>
        <w:t>í</w:t>
      </w:r>
      <w:r>
        <w:rPr>
          <w:spacing w:val="-6"/>
          <w:sz w:val="18"/>
          <w:szCs w:val="18"/>
          <w:lang w:val="es-ES_tradnl"/>
        </w:rPr>
        <w:t>dico, y, finalmente, el rol del juez una vez dictada la resoluci</w:t>
      </w:r>
      <w:r>
        <w:rPr>
          <w:rFonts w:cs="Times New Roman"/>
          <w:spacing w:val="-6"/>
          <w:sz w:val="18"/>
          <w:szCs w:val="18"/>
          <w:lang w:val="es-ES_tradnl"/>
        </w:rPr>
        <w:t>ó</w:t>
      </w:r>
      <w:r>
        <w:rPr>
          <w:spacing w:val="-6"/>
          <w:sz w:val="18"/>
          <w:szCs w:val="18"/>
          <w:lang w:val="es-ES_tradnl"/>
        </w:rPr>
        <w:t>n, en t</w:t>
      </w:r>
      <w:r>
        <w:rPr>
          <w:rFonts w:cs="Times New Roman"/>
          <w:spacing w:val="-6"/>
          <w:sz w:val="18"/>
          <w:szCs w:val="18"/>
          <w:lang w:val="es-ES_tradnl"/>
        </w:rPr>
        <w:t>é</w:t>
      </w:r>
      <w:r>
        <w:rPr>
          <w:spacing w:val="-6"/>
          <w:sz w:val="18"/>
          <w:szCs w:val="18"/>
          <w:lang w:val="es-ES_tradnl"/>
        </w:rPr>
        <w:t>rminos de su ejecuci</w:t>
      </w:r>
      <w:r>
        <w:rPr>
          <w:rFonts w:cs="Times New Roman"/>
          <w:spacing w:val="-6"/>
          <w:sz w:val="18"/>
          <w:szCs w:val="18"/>
          <w:lang w:val="es-ES_tradnl"/>
        </w:rPr>
        <w:t>ó</w:t>
      </w:r>
      <w:r>
        <w:rPr>
          <w:spacing w:val="-6"/>
          <w:sz w:val="18"/>
          <w:szCs w:val="18"/>
          <w:lang w:val="es-ES_tradnl"/>
        </w:rPr>
        <w:t xml:space="preserve">n y </w:t>
      </w:r>
      <w:r>
        <w:rPr>
          <w:sz w:val="18"/>
          <w:szCs w:val="18"/>
          <w:lang w:val="es-ES_tradnl"/>
        </w:rPr>
        <w:t>efectividad.</w:t>
      </w:r>
    </w:p>
    <w:p w14:paraId="4F67BB3B" w14:textId="77777777" w:rsidR="00591D54" w:rsidRDefault="00591D54">
      <w:pPr>
        <w:shd w:val="clear" w:color="auto" w:fill="FFFFFF"/>
        <w:spacing w:before="230" w:line="202" w:lineRule="exact"/>
        <w:ind w:right="5"/>
        <w:jc w:val="both"/>
      </w:pPr>
      <w:r>
        <w:rPr>
          <w:spacing w:val="-9"/>
          <w:sz w:val="18"/>
          <w:szCs w:val="18"/>
          <w:lang w:val="es-ES_tradnl"/>
        </w:rPr>
        <w:t xml:space="preserve">De esta forma corresponde a este organismo constitucional </w:t>
      </w:r>
      <w:r>
        <w:rPr>
          <w:spacing w:val="-8"/>
          <w:sz w:val="18"/>
          <w:szCs w:val="18"/>
          <w:lang w:val="es-ES_tradnl"/>
        </w:rPr>
        <w:t xml:space="preserve">determinar si en el caso </w:t>
      </w:r>
      <w:r>
        <w:rPr>
          <w:i/>
          <w:iCs/>
          <w:spacing w:val="-8"/>
          <w:sz w:val="18"/>
          <w:szCs w:val="18"/>
          <w:lang w:val="es-ES_tradnl"/>
        </w:rPr>
        <w:t xml:space="preserve">sub examine </w:t>
      </w:r>
      <w:r>
        <w:rPr>
          <w:spacing w:val="-8"/>
          <w:sz w:val="18"/>
          <w:szCs w:val="18"/>
          <w:lang w:val="es-ES_tradnl"/>
        </w:rPr>
        <w:t>se le garantiz</w:t>
      </w:r>
      <w:r>
        <w:rPr>
          <w:rFonts w:cs="Times New Roman"/>
          <w:spacing w:val="-8"/>
          <w:sz w:val="18"/>
          <w:szCs w:val="18"/>
          <w:lang w:val="es-ES_tradnl"/>
        </w:rPr>
        <w:t>ó</w:t>
      </w:r>
      <w:r>
        <w:rPr>
          <w:spacing w:val="-8"/>
          <w:sz w:val="18"/>
          <w:szCs w:val="18"/>
          <w:lang w:val="es-ES_tradnl"/>
        </w:rPr>
        <w:t xml:space="preserve"> al </w:t>
      </w:r>
      <w:r>
        <w:rPr>
          <w:spacing w:val="-7"/>
          <w:sz w:val="18"/>
          <w:szCs w:val="18"/>
          <w:lang w:val="es-ES_tradnl"/>
        </w:rPr>
        <w:t xml:space="preserve">legitimado activo el acceso a los </w:t>
      </w:r>
      <w:r>
        <w:rPr>
          <w:rFonts w:cs="Times New Roman"/>
          <w:spacing w:val="-7"/>
          <w:sz w:val="18"/>
          <w:szCs w:val="18"/>
          <w:lang w:val="es-ES_tradnl"/>
        </w:rPr>
        <w:t>ó</w:t>
      </w:r>
      <w:r>
        <w:rPr>
          <w:spacing w:val="-7"/>
          <w:sz w:val="18"/>
          <w:szCs w:val="18"/>
          <w:lang w:val="es-ES_tradnl"/>
        </w:rPr>
        <w:t xml:space="preserve">rganos jurisdiccionales </w:t>
      </w:r>
      <w:r>
        <w:rPr>
          <w:spacing w:val="-5"/>
          <w:sz w:val="18"/>
          <w:szCs w:val="18"/>
          <w:lang w:val="es-ES_tradnl"/>
        </w:rPr>
        <w:t xml:space="preserve">pertinentes para hacer valer sus pretensiones y se le </w:t>
      </w:r>
      <w:r>
        <w:rPr>
          <w:spacing w:val="-7"/>
          <w:sz w:val="18"/>
          <w:szCs w:val="18"/>
          <w:lang w:val="es-ES_tradnl"/>
        </w:rPr>
        <w:t>concedi</w:t>
      </w:r>
      <w:r>
        <w:rPr>
          <w:rFonts w:cs="Times New Roman"/>
          <w:spacing w:val="-7"/>
          <w:sz w:val="18"/>
          <w:szCs w:val="18"/>
          <w:lang w:val="es-ES_tradnl"/>
        </w:rPr>
        <w:t>ó</w:t>
      </w:r>
      <w:r>
        <w:rPr>
          <w:spacing w:val="-7"/>
          <w:sz w:val="18"/>
          <w:szCs w:val="18"/>
          <w:lang w:val="es-ES_tradnl"/>
        </w:rPr>
        <w:t xml:space="preserve"> un debido proceso y una decisi</w:t>
      </w:r>
      <w:r>
        <w:rPr>
          <w:rFonts w:cs="Times New Roman"/>
          <w:spacing w:val="-7"/>
          <w:sz w:val="18"/>
          <w:szCs w:val="18"/>
          <w:lang w:val="es-ES_tradnl"/>
        </w:rPr>
        <w:t>ó</w:t>
      </w:r>
      <w:r>
        <w:rPr>
          <w:spacing w:val="-7"/>
          <w:sz w:val="18"/>
          <w:szCs w:val="18"/>
          <w:lang w:val="es-ES_tradnl"/>
        </w:rPr>
        <w:t>n fundada en derecho. En lo que respecta a la ejecuci</w:t>
      </w:r>
      <w:r>
        <w:rPr>
          <w:rFonts w:cs="Times New Roman"/>
          <w:spacing w:val="-7"/>
          <w:sz w:val="18"/>
          <w:szCs w:val="18"/>
          <w:lang w:val="es-ES_tradnl"/>
        </w:rPr>
        <w:t>ó</w:t>
      </w:r>
      <w:r>
        <w:rPr>
          <w:spacing w:val="-7"/>
          <w:sz w:val="18"/>
          <w:szCs w:val="18"/>
          <w:lang w:val="es-ES_tradnl"/>
        </w:rPr>
        <w:t>n de la decisi</w:t>
      </w:r>
      <w:r>
        <w:rPr>
          <w:rFonts w:cs="Times New Roman"/>
          <w:spacing w:val="-7"/>
          <w:sz w:val="18"/>
          <w:szCs w:val="18"/>
          <w:lang w:val="es-ES_tradnl"/>
        </w:rPr>
        <w:t>ó</w:t>
      </w:r>
      <w:r>
        <w:rPr>
          <w:spacing w:val="-7"/>
          <w:sz w:val="18"/>
          <w:szCs w:val="18"/>
          <w:lang w:val="es-ES_tradnl"/>
        </w:rPr>
        <w:t xml:space="preserve">n, este aspecto, al no encontrarse alegado en el libelo de </w:t>
      </w:r>
      <w:r>
        <w:rPr>
          <w:spacing w:val="-9"/>
          <w:sz w:val="18"/>
          <w:szCs w:val="18"/>
          <w:lang w:val="es-ES_tradnl"/>
        </w:rPr>
        <w:t>demanda, no corresponde al presente an</w:t>
      </w:r>
      <w:r>
        <w:rPr>
          <w:rFonts w:cs="Times New Roman"/>
          <w:spacing w:val="-9"/>
          <w:sz w:val="18"/>
          <w:szCs w:val="18"/>
          <w:lang w:val="es-ES_tradnl"/>
        </w:rPr>
        <w:t>á</w:t>
      </w:r>
      <w:r>
        <w:rPr>
          <w:spacing w:val="-9"/>
          <w:sz w:val="18"/>
          <w:szCs w:val="18"/>
          <w:lang w:val="es-ES_tradnl"/>
        </w:rPr>
        <w:t>lisis.</w:t>
      </w:r>
    </w:p>
    <w:p w14:paraId="4F67BB3C" w14:textId="77777777" w:rsidR="00591D54" w:rsidRDefault="00591D54">
      <w:pPr>
        <w:shd w:val="clear" w:color="auto" w:fill="FFFFFF"/>
        <w:spacing w:before="226" w:line="202" w:lineRule="exact"/>
        <w:ind w:right="5"/>
        <w:jc w:val="both"/>
      </w:pPr>
      <w:r>
        <w:rPr>
          <w:spacing w:val="-7"/>
          <w:sz w:val="18"/>
          <w:szCs w:val="18"/>
          <w:lang w:val="es-ES_tradnl"/>
        </w:rPr>
        <w:t xml:space="preserve">En lo que respecta al primer momento, es decir, el acceso </w:t>
      </w:r>
      <w:r>
        <w:rPr>
          <w:spacing w:val="-6"/>
          <w:sz w:val="18"/>
          <w:szCs w:val="18"/>
          <w:lang w:val="es-ES_tradnl"/>
        </w:rPr>
        <w:t xml:space="preserve">a los </w:t>
      </w:r>
      <w:r>
        <w:rPr>
          <w:rFonts w:cs="Times New Roman"/>
          <w:spacing w:val="-6"/>
          <w:sz w:val="18"/>
          <w:szCs w:val="18"/>
          <w:lang w:val="es-ES_tradnl"/>
        </w:rPr>
        <w:t>ó</w:t>
      </w:r>
      <w:r>
        <w:rPr>
          <w:spacing w:val="-6"/>
          <w:sz w:val="18"/>
          <w:szCs w:val="18"/>
          <w:lang w:val="es-ES_tradnl"/>
        </w:rPr>
        <w:t>rganos judiciales, de la revisi</w:t>
      </w:r>
      <w:r>
        <w:rPr>
          <w:rFonts w:cs="Times New Roman"/>
          <w:spacing w:val="-6"/>
          <w:sz w:val="18"/>
          <w:szCs w:val="18"/>
          <w:lang w:val="es-ES_tradnl"/>
        </w:rPr>
        <w:t>ó</w:t>
      </w:r>
      <w:r>
        <w:rPr>
          <w:spacing w:val="-6"/>
          <w:sz w:val="18"/>
          <w:szCs w:val="18"/>
          <w:lang w:val="es-ES_tradnl"/>
        </w:rPr>
        <w:t xml:space="preserve">n del expediente del </w:t>
      </w:r>
      <w:r>
        <w:rPr>
          <w:spacing w:val="-8"/>
          <w:sz w:val="18"/>
          <w:szCs w:val="18"/>
          <w:lang w:val="es-ES_tradnl"/>
        </w:rPr>
        <w:t>Juzgado Sexto de Garant</w:t>
      </w:r>
      <w:r>
        <w:rPr>
          <w:rFonts w:cs="Times New Roman"/>
          <w:spacing w:val="-8"/>
          <w:sz w:val="18"/>
          <w:szCs w:val="18"/>
          <w:lang w:val="es-ES_tradnl"/>
        </w:rPr>
        <w:t>í</w:t>
      </w:r>
      <w:r>
        <w:rPr>
          <w:spacing w:val="-8"/>
          <w:sz w:val="18"/>
          <w:szCs w:val="18"/>
          <w:lang w:val="es-ES_tradnl"/>
        </w:rPr>
        <w:t xml:space="preserve">as Penales del Guayas, a fs. 1 </w:t>
      </w:r>
      <w:r>
        <w:rPr>
          <w:spacing w:val="-7"/>
          <w:sz w:val="18"/>
          <w:szCs w:val="18"/>
          <w:lang w:val="es-ES_tradnl"/>
        </w:rPr>
        <w:t>consta la denuncia presentada por el se</w:t>
      </w:r>
      <w:r>
        <w:rPr>
          <w:rFonts w:cs="Times New Roman"/>
          <w:spacing w:val="-7"/>
          <w:sz w:val="18"/>
          <w:szCs w:val="18"/>
          <w:lang w:val="es-ES_tradnl"/>
        </w:rPr>
        <w:t>ñ</w:t>
      </w:r>
      <w:r>
        <w:rPr>
          <w:spacing w:val="-7"/>
          <w:sz w:val="18"/>
          <w:szCs w:val="18"/>
          <w:lang w:val="es-ES_tradnl"/>
        </w:rPr>
        <w:t xml:space="preserve">or Juan Miguel </w:t>
      </w:r>
      <w:r>
        <w:rPr>
          <w:spacing w:val="-6"/>
          <w:sz w:val="18"/>
          <w:szCs w:val="18"/>
          <w:lang w:val="es-ES_tradnl"/>
        </w:rPr>
        <w:t>Avil</w:t>
      </w:r>
      <w:r>
        <w:rPr>
          <w:rFonts w:cs="Times New Roman"/>
          <w:spacing w:val="-6"/>
          <w:sz w:val="18"/>
          <w:szCs w:val="18"/>
          <w:lang w:val="es-ES_tradnl"/>
        </w:rPr>
        <w:t>é</w:t>
      </w:r>
      <w:r>
        <w:rPr>
          <w:spacing w:val="-6"/>
          <w:sz w:val="18"/>
          <w:szCs w:val="18"/>
          <w:lang w:val="es-ES_tradnl"/>
        </w:rPr>
        <w:t xml:space="preserve">s Murillo, en su calidad de director regional litoral sur </w:t>
      </w:r>
      <w:r>
        <w:rPr>
          <w:spacing w:val="-7"/>
          <w:sz w:val="18"/>
          <w:szCs w:val="18"/>
          <w:lang w:val="es-ES_tradnl"/>
        </w:rPr>
        <w:t xml:space="preserve">del Servicio de Rentas Internas, ante el fiscal de lo Penal </w:t>
      </w:r>
      <w:r>
        <w:rPr>
          <w:spacing w:val="-8"/>
          <w:sz w:val="18"/>
          <w:szCs w:val="18"/>
          <w:lang w:val="es-ES_tradnl"/>
        </w:rPr>
        <w:t>del Guayas, a trav</w:t>
      </w:r>
      <w:r>
        <w:rPr>
          <w:rFonts w:cs="Times New Roman"/>
          <w:spacing w:val="-8"/>
          <w:sz w:val="18"/>
          <w:szCs w:val="18"/>
          <w:lang w:val="es-ES_tradnl"/>
        </w:rPr>
        <w:t>é</w:t>
      </w:r>
      <w:r>
        <w:rPr>
          <w:spacing w:val="-8"/>
          <w:sz w:val="18"/>
          <w:szCs w:val="18"/>
          <w:lang w:val="es-ES_tradnl"/>
        </w:rPr>
        <w:t>s de la cual establece a los se</w:t>
      </w:r>
      <w:r>
        <w:rPr>
          <w:rFonts w:cs="Times New Roman"/>
          <w:spacing w:val="-8"/>
          <w:sz w:val="18"/>
          <w:szCs w:val="18"/>
          <w:lang w:val="es-ES_tradnl"/>
        </w:rPr>
        <w:t>ñ</w:t>
      </w:r>
      <w:r>
        <w:rPr>
          <w:spacing w:val="-8"/>
          <w:sz w:val="18"/>
          <w:szCs w:val="18"/>
          <w:lang w:val="es-ES_tradnl"/>
        </w:rPr>
        <w:t xml:space="preserve">ores </w:t>
      </w:r>
      <w:r>
        <w:rPr>
          <w:spacing w:val="-6"/>
          <w:sz w:val="18"/>
          <w:szCs w:val="18"/>
          <w:lang w:val="es-ES_tradnl"/>
        </w:rPr>
        <w:t>Francisco Eduardo Rend</w:t>
      </w:r>
      <w:r>
        <w:rPr>
          <w:rFonts w:cs="Times New Roman"/>
          <w:spacing w:val="-6"/>
          <w:sz w:val="18"/>
          <w:szCs w:val="18"/>
          <w:lang w:val="es-ES_tradnl"/>
        </w:rPr>
        <w:t>ó</w:t>
      </w:r>
      <w:r>
        <w:rPr>
          <w:spacing w:val="-6"/>
          <w:sz w:val="18"/>
          <w:szCs w:val="18"/>
          <w:lang w:val="es-ES_tradnl"/>
        </w:rPr>
        <w:t>n Pantale</w:t>
      </w:r>
      <w:r>
        <w:rPr>
          <w:rFonts w:cs="Times New Roman"/>
          <w:spacing w:val="-6"/>
          <w:sz w:val="18"/>
          <w:szCs w:val="18"/>
          <w:lang w:val="es-ES_tradnl"/>
        </w:rPr>
        <w:t>ó</w:t>
      </w:r>
      <w:r>
        <w:rPr>
          <w:spacing w:val="-6"/>
          <w:sz w:val="18"/>
          <w:szCs w:val="18"/>
          <w:lang w:val="es-ES_tradnl"/>
        </w:rPr>
        <w:t>n y Ra</w:t>
      </w:r>
      <w:r>
        <w:rPr>
          <w:rFonts w:cs="Times New Roman"/>
          <w:spacing w:val="-6"/>
          <w:sz w:val="18"/>
          <w:szCs w:val="18"/>
          <w:lang w:val="es-ES_tradnl"/>
        </w:rPr>
        <w:t>ú</w:t>
      </w:r>
      <w:r>
        <w:rPr>
          <w:spacing w:val="-6"/>
          <w:sz w:val="18"/>
          <w:szCs w:val="18"/>
          <w:lang w:val="es-ES_tradnl"/>
        </w:rPr>
        <w:t xml:space="preserve">l Acurio del </w:t>
      </w:r>
      <w:r>
        <w:rPr>
          <w:spacing w:val="-4"/>
          <w:sz w:val="18"/>
          <w:szCs w:val="18"/>
          <w:lang w:val="es-ES_tradnl"/>
        </w:rPr>
        <w:t xml:space="preserve">Pino, en calidades de representante legal y contador de </w:t>
      </w:r>
      <w:r>
        <w:rPr>
          <w:spacing w:val="-5"/>
          <w:sz w:val="18"/>
          <w:szCs w:val="18"/>
          <w:lang w:val="es-ES_tradnl"/>
        </w:rPr>
        <w:t>la compa</w:t>
      </w:r>
      <w:r>
        <w:rPr>
          <w:rFonts w:cs="Times New Roman"/>
          <w:spacing w:val="-5"/>
          <w:sz w:val="18"/>
          <w:szCs w:val="18"/>
          <w:lang w:val="es-ES_tradnl"/>
        </w:rPr>
        <w:t>ñí</w:t>
      </w:r>
      <w:r>
        <w:rPr>
          <w:spacing w:val="-5"/>
          <w:sz w:val="18"/>
          <w:szCs w:val="18"/>
          <w:lang w:val="es-ES_tradnl"/>
        </w:rPr>
        <w:t xml:space="preserve">a ECUAVITAL S. A., respectivamente, como </w:t>
      </w:r>
      <w:r>
        <w:rPr>
          <w:spacing w:val="-6"/>
          <w:sz w:val="18"/>
          <w:szCs w:val="18"/>
          <w:lang w:val="es-ES_tradnl"/>
        </w:rPr>
        <w:t>presuntos part</w:t>
      </w:r>
      <w:r>
        <w:rPr>
          <w:rFonts w:cs="Times New Roman"/>
          <w:spacing w:val="-6"/>
          <w:sz w:val="18"/>
          <w:szCs w:val="18"/>
          <w:lang w:val="es-ES_tradnl"/>
        </w:rPr>
        <w:t>í</w:t>
      </w:r>
      <w:r>
        <w:rPr>
          <w:spacing w:val="-6"/>
          <w:sz w:val="18"/>
          <w:szCs w:val="18"/>
          <w:lang w:val="es-ES_tradnl"/>
        </w:rPr>
        <w:t>cipes del delito contra la fe p</w:t>
      </w:r>
      <w:r>
        <w:rPr>
          <w:rFonts w:cs="Times New Roman"/>
          <w:spacing w:val="-6"/>
          <w:sz w:val="18"/>
          <w:szCs w:val="18"/>
          <w:lang w:val="es-ES_tradnl"/>
        </w:rPr>
        <w:t>ú</w:t>
      </w:r>
      <w:r>
        <w:rPr>
          <w:spacing w:val="-6"/>
          <w:sz w:val="18"/>
          <w:szCs w:val="18"/>
          <w:lang w:val="es-ES_tradnl"/>
        </w:rPr>
        <w:t xml:space="preserve">blica por uso </w:t>
      </w:r>
      <w:r>
        <w:rPr>
          <w:spacing w:val="-9"/>
          <w:sz w:val="18"/>
          <w:szCs w:val="18"/>
          <w:lang w:val="es-ES_tradnl"/>
        </w:rPr>
        <w:t xml:space="preserve">doloso de documentos falsos, al haber presentado facturas </w:t>
      </w:r>
      <w:r>
        <w:rPr>
          <w:spacing w:val="-4"/>
          <w:sz w:val="18"/>
          <w:szCs w:val="18"/>
          <w:lang w:val="es-ES_tradnl"/>
        </w:rPr>
        <w:t>falsificadas, infracci</w:t>
      </w:r>
      <w:r>
        <w:rPr>
          <w:rFonts w:cs="Times New Roman"/>
          <w:spacing w:val="-4"/>
          <w:sz w:val="18"/>
          <w:szCs w:val="18"/>
          <w:lang w:val="es-ES_tradnl"/>
        </w:rPr>
        <w:t>ó</w:t>
      </w:r>
      <w:r>
        <w:rPr>
          <w:spacing w:val="-4"/>
          <w:sz w:val="18"/>
          <w:szCs w:val="18"/>
          <w:lang w:val="es-ES_tradnl"/>
        </w:rPr>
        <w:t xml:space="preserve">n que se encontraba tipificada en </w:t>
      </w:r>
      <w:r>
        <w:rPr>
          <w:spacing w:val="-6"/>
          <w:sz w:val="18"/>
          <w:szCs w:val="18"/>
          <w:lang w:val="es-ES_tradnl"/>
        </w:rPr>
        <w:t>los art</w:t>
      </w:r>
      <w:r>
        <w:rPr>
          <w:rFonts w:cs="Times New Roman"/>
          <w:spacing w:val="-6"/>
          <w:sz w:val="18"/>
          <w:szCs w:val="18"/>
          <w:lang w:val="es-ES_tradnl"/>
        </w:rPr>
        <w:t>í</w:t>
      </w:r>
      <w:r>
        <w:rPr>
          <w:spacing w:val="-6"/>
          <w:sz w:val="18"/>
          <w:szCs w:val="18"/>
          <w:lang w:val="es-ES_tradnl"/>
        </w:rPr>
        <w:t>culos 341 y 339 del C</w:t>
      </w:r>
      <w:r>
        <w:rPr>
          <w:rFonts w:cs="Times New Roman"/>
          <w:spacing w:val="-6"/>
          <w:sz w:val="18"/>
          <w:szCs w:val="18"/>
          <w:lang w:val="es-ES_tradnl"/>
        </w:rPr>
        <w:t>ó</w:t>
      </w:r>
      <w:r>
        <w:rPr>
          <w:spacing w:val="-6"/>
          <w:sz w:val="18"/>
          <w:szCs w:val="18"/>
          <w:lang w:val="es-ES_tradnl"/>
        </w:rPr>
        <w:t xml:space="preserve">digo Penal vigente en ese </w:t>
      </w:r>
      <w:r>
        <w:rPr>
          <w:sz w:val="18"/>
          <w:szCs w:val="18"/>
          <w:lang w:val="es-ES_tradnl"/>
        </w:rPr>
        <w:t>entonces.</w:t>
      </w:r>
    </w:p>
    <w:p w14:paraId="4F67BB3D" w14:textId="77777777" w:rsidR="00591D54" w:rsidRDefault="00591D54">
      <w:pPr>
        <w:shd w:val="clear" w:color="auto" w:fill="FFFFFF"/>
        <w:spacing w:before="230" w:line="202" w:lineRule="exact"/>
        <w:jc w:val="both"/>
      </w:pPr>
      <w:r>
        <w:rPr>
          <w:spacing w:val="-8"/>
          <w:sz w:val="18"/>
          <w:szCs w:val="18"/>
          <w:lang w:val="es-ES_tradnl"/>
        </w:rPr>
        <w:t>El mencionado juzgado avoc</w:t>
      </w:r>
      <w:r>
        <w:rPr>
          <w:rFonts w:cs="Times New Roman"/>
          <w:spacing w:val="-8"/>
          <w:sz w:val="18"/>
          <w:szCs w:val="18"/>
          <w:lang w:val="es-ES_tradnl"/>
        </w:rPr>
        <w:t>ó</w:t>
      </w:r>
      <w:r>
        <w:rPr>
          <w:spacing w:val="-8"/>
          <w:sz w:val="18"/>
          <w:szCs w:val="18"/>
          <w:lang w:val="es-ES_tradnl"/>
        </w:rPr>
        <w:t xml:space="preserve"> conocimiento de la causa y dispuso la realizaci</w:t>
      </w:r>
      <w:r>
        <w:rPr>
          <w:rFonts w:cs="Times New Roman"/>
          <w:spacing w:val="-8"/>
          <w:sz w:val="18"/>
          <w:szCs w:val="18"/>
          <w:lang w:val="es-ES_tradnl"/>
        </w:rPr>
        <w:t>ó</w:t>
      </w:r>
      <w:r>
        <w:rPr>
          <w:spacing w:val="-8"/>
          <w:sz w:val="18"/>
          <w:szCs w:val="18"/>
          <w:lang w:val="es-ES_tradnl"/>
        </w:rPr>
        <w:t>n de una audiencia de desestimaci</w:t>
      </w:r>
      <w:r>
        <w:rPr>
          <w:rFonts w:cs="Times New Roman"/>
          <w:spacing w:val="-8"/>
          <w:sz w:val="18"/>
          <w:szCs w:val="18"/>
          <w:lang w:val="es-ES_tradnl"/>
        </w:rPr>
        <w:t>ó</w:t>
      </w:r>
      <w:r>
        <w:rPr>
          <w:spacing w:val="-8"/>
          <w:sz w:val="18"/>
          <w:szCs w:val="18"/>
          <w:lang w:val="es-ES_tradnl"/>
        </w:rPr>
        <w:t xml:space="preserve">n. </w:t>
      </w:r>
      <w:r>
        <w:rPr>
          <w:spacing w:val="-7"/>
          <w:sz w:val="18"/>
          <w:szCs w:val="18"/>
          <w:lang w:val="es-ES_tradnl"/>
        </w:rPr>
        <w:t>Cabe se</w:t>
      </w:r>
      <w:r>
        <w:rPr>
          <w:rFonts w:cs="Times New Roman"/>
          <w:spacing w:val="-7"/>
          <w:sz w:val="18"/>
          <w:szCs w:val="18"/>
          <w:lang w:val="es-ES_tradnl"/>
        </w:rPr>
        <w:t>ñ</w:t>
      </w:r>
      <w:r>
        <w:rPr>
          <w:spacing w:val="-7"/>
          <w:sz w:val="18"/>
          <w:szCs w:val="18"/>
          <w:lang w:val="es-ES_tradnl"/>
        </w:rPr>
        <w:t>alar que en ella particip</w:t>
      </w:r>
      <w:r>
        <w:rPr>
          <w:rFonts w:cs="Times New Roman"/>
          <w:spacing w:val="-7"/>
          <w:sz w:val="18"/>
          <w:szCs w:val="18"/>
          <w:lang w:val="es-ES_tradnl"/>
        </w:rPr>
        <w:t>ó</w:t>
      </w:r>
      <w:r>
        <w:rPr>
          <w:spacing w:val="-7"/>
          <w:sz w:val="18"/>
          <w:szCs w:val="18"/>
          <w:lang w:val="es-ES_tradnl"/>
        </w:rPr>
        <w:t xml:space="preserve"> un representante del </w:t>
      </w:r>
      <w:r>
        <w:rPr>
          <w:spacing w:val="-4"/>
          <w:sz w:val="18"/>
          <w:szCs w:val="18"/>
          <w:lang w:val="es-ES_tradnl"/>
        </w:rPr>
        <w:t>accionante, en cumplimiento de la norma legal. Esta diligencia se efectu</w:t>
      </w:r>
      <w:r>
        <w:rPr>
          <w:rFonts w:cs="Times New Roman"/>
          <w:spacing w:val="-4"/>
          <w:sz w:val="18"/>
          <w:szCs w:val="18"/>
          <w:lang w:val="es-ES_tradnl"/>
        </w:rPr>
        <w:t>ó</w:t>
      </w:r>
      <w:r>
        <w:rPr>
          <w:spacing w:val="-4"/>
          <w:sz w:val="18"/>
          <w:szCs w:val="18"/>
          <w:lang w:val="es-ES_tradnl"/>
        </w:rPr>
        <w:t xml:space="preserve"> el 04 de agosto de 2011, en la que </w:t>
      </w:r>
      <w:r>
        <w:rPr>
          <w:spacing w:val="-7"/>
          <w:sz w:val="18"/>
          <w:szCs w:val="18"/>
          <w:lang w:val="es-ES_tradnl"/>
        </w:rPr>
        <w:t>se resolvi</w:t>
      </w:r>
      <w:r>
        <w:rPr>
          <w:rFonts w:cs="Times New Roman"/>
          <w:spacing w:val="-7"/>
          <w:sz w:val="18"/>
          <w:szCs w:val="18"/>
          <w:lang w:val="es-ES_tradnl"/>
        </w:rPr>
        <w:t>ó</w:t>
      </w:r>
      <w:r>
        <w:rPr>
          <w:spacing w:val="-7"/>
          <w:sz w:val="18"/>
          <w:szCs w:val="18"/>
          <w:lang w:val="es-ES_tradnl"/>
        </w:rPr>
        <w:t xml:space="preserve"> acoger el pedido de archivo del expediente </w:t>
      </w:r>
      <w:r>
        <w:rPr>
          <w:spacing w:val="-4"/>
          <w:sz w:val="18"/>
          <w:szCs w:val="18"/>
          <w:lang w:val="es-ES_tradnl"/>
        </w:rPr>
        <w:t xml:space="preserve">solicitado por el fiscal. Ante ello, el Servicio de Rentas </w:t>
      </w:r>
      <w:r>
        <w:rPr>
          <w:sz w:val="18"/>
          <w:szCs w:val="18"/>
          <w:lang w:val="es-ES_tradnl"/>
        </w:rPr>
        <w:t>Internas solicit</w:t>
      </w:r>
      <w:r>
        <w:rPr>
          <w:rFonts w:cs="Times New Roman"/>
          <w:sz w:val="18"/>
          <w:szCs w:val="18"/>
          <w:lang w:val="es-ES_tradnl"/>
        </w:rPr>
        <w:t>ó</w:t>
      </w:r>
      <w:r>
        <w:rPr>
          <w:sz w:val="18"/>
          <w:szCs w:val="18"/>
          <w:lang w:val="es-ES_tradnl"/>
        </w:rPr>
        <w:t xml:space="preserve"> la revocatoria del citado auto; no </w:t>
      </w:r>
      <w:r>
        <w:rPr>
          <w:spacing w:val="-3"/>
          <w:sz w:val="18"/>
          <w:szCs w:val="18"/>
          <w:lang w:val="es-ES_tradnl"/>
        </w:rPr>
        <w:t xml:space="preserve">obstante, mediante auto del 11 de agosto de 2011, la </w:t>
      </w:r>
      <w:r>
        <w:rPr>
          <w:spacing w:val="-8"/>
          <w:sz w:val="18"/>
          <w:szCs w:val="18"/>
          <w:lang w:val="es-ES_tradnl"/>
        </w:rPr>
        <w:t>jueza determin</w:t>
      </w:r>
      <w:r>
        <w:rPr>
          <w:rFonts w:cs="Times New Roman"/>
          <w:spacing w:val="-8"/>
          <w:sz w:val="18"/>
          <w:szCs w:val="18"/>
          <w:lang w:val="es-ES_tradnl"/>
        </w:rPr>
        <w:t>ó</w:t>
      </w:r>
      <w:r>
        <w:rPr>
          <w:spacing w:val="-8"/>
          <w:sz w:val="18"/>
          <w:szCs w:val="18"/>
          <w:lang w:val="es-ES_tradnl"/>
        </w:rPr>
        <w:t xml:space="preserve"> que sobre este no cabe ning</w:t>
      </w:r>
      <w:r>
        <w:rPr>
          <w:rFonts w:cs="Times New Roman"/>
          <w:spacing w:val="-8"/>
          <w:sz w:val="18"/>
          <w:szCs w:val="18"/>
          <w:lang w:val="es-ES_tradnl"/>
        </w:rPr>
        <w:t>ú</w:t>
      </w:r>
      <w:r>
        <w:rPr>
          <w:spacing w:val="-8"/>
          <w:sz w:val="18"/>
          <w:szCs w:val="18"/>
          <w:lang w:val="es-ES_tradnl"/>
        </w:rPr>
        <w:t xml:space="preserve">n recurso ni </w:t>
      </w:r>
      <w:r>
        <w:rPr>
          <w:spacing w:val="-6"/>
          <w:sz w:val="18"/>
          <w:szCs w:val="18"/>
          <w:lang w:val="es-ES_tradnl"/>
        </w:rPr>
        <w:t>tampoco revocatoria, de conformidad con lo dispuesto en el art</w:t>
      </w:r>
      <w:r>
        <w:rPr>
          <w:rFonts w:cs="Times New Roman"/>
          <w:spacing w:val="-6"/>
          <w:sz w:val="18"/>
          <w:szCs w:val="18"/>
          <w:lang w:val="es-ES_tradnl"/>
        </w:rPr>
        <w:t>í</w:t>
      </w:r>
      <w:r>
        <w:rPr>
          <w:spacing w:val="-6"/>
          <w:sz w:val="18"/>
          <w:szCs w:val="18"/>
          <w:lang w:val="es-ES_tradnl"/>
        </w:rPr>
        <w:t>culo 39 del ex C</w:t>
      </w:r>
      <w:r>
        <w:rPr>
          <w:rFonts w:cs="Times New Roman"/>
          <w:spacing w:val="-6"/>
          <w:sz w:val="18"/>
          <w:szCs w:val="18"/>
          <w:lang w:val="es-ES_tradnl"/>
        </w:rPr>
        <w:t>ó</w:t>
      </w:r>
      <w:r>
        <w:rPr>
          <w:spacing w:val="-6"/>
          <w:sz w:val="18"/>
          <w:szCs w:val="18"/>
          <w:lang w:val="es-ES_tradnl"/>
        </w:rPr>
        <w:t xml:space="preserve">digo de Procedimiento Penal. Ante </w:t>
      </w:r>
      <w:r>
        <w:rPr>
          <w:spacing w:val="-5"/>
          <w:sz w:val="18"/>
          <w:szCs w:val="18"/>
          <w:lang w:val="es-ES_tradnl"/>
        </w:rPr>
        <w:t xml:space="preserve">la inexistencia de recurso ordinario o extraordinario que </w:t>
      </w:r>
      <w:r>
        <w:rPr>
          <w:spacing w:val="-7"/>
          <w:sz w:val="18"/>
          <w:szCs w:val="18"/>
          <w:lang w:val="es-ES_tradnl"/>
        </w:rPr>
        <w:t>permita recurrir la decisi</w:t>
      </w:r>
      <w:r>
        <w:rPr>
          <w:rFonts w:cs="Times New Roman"/>
          <w:spacing w:val="-7"/>
          <w:sz w:val="18"/>
          <w:szCs w:val="18"/>
          <w:lang w:val="es-ES_tradnl"/>
        </w:rPr>
        <w:t>ó</w:t>
      </w:r>
      <w:r>
        <w:rPr>
          <w:spacing w:val="-7"/>
          <w:sz w:val="18"/>
          <w:szCs w:val="18"/>
          <w:lang w:val="es-ES_tradnl"/>
        </w:rPr>
        <w:t xml:space="preserve">n que pone fin al procedimiento, </w:t>
      </w:r>
      <w:r>
        <w:rPr>
          <w:spacing w:val="-9"/>
          <w:sz w:val="18"/>
          <w:szCs w:val="18"/>
          <w:lang w:val="es-ES_tradnl"/>
        </w:rPr>
        <w:t>el Servicio de Rentas Internas, en ese entonces, a trav</w:t>
      </w:r>
      <w:r>
        <w:rPr>
          <w:rFonts w:cs="Times New Roman"/>
          <w:spacing w:val="-9"/>
          <w:sz w:val="18"/>
          <w:szCs w:val="18"/>
          <w:lang w:val="es-ES_tradnl"/>
        </w:rPr>
        <w:t>é</w:t>
      </w:r>
      <w:r>
        <w:rPr>
          <w:spacing w:val="-9"/>
          <w:sz w:val="18"/>
          <w:szCs w:val="18"/>
          <w:lang w:val="es-ES_tradnl"/>
        </w:rPr>
        <w:t xml:space="preserve">s de </w:t>
      </w:r>
      <w:r>
        <w:rPr>
          <w:spacing w:val="-7"/>
          <w:sz w:val="18"/>
          <w:szCs w:val="18"/>
          <w:lang w:val="es-ES_tradnl"/>
        </w:rPr>
        <w:t>su representante legal, present</w:t>
      </w:r>
      <w:r>
        <w:rPr>
          <w:rFonts w:cs="Times New Roman"/>
          <w:spacing w:val="-7"/>
          <w:sz w:val="18"/>
          <w:szCs w:val="18"/>
          <w:lang w:val="es-ES_tradnl"/>
        </w:rPr>
        <w:t>ó</w:t>
      </w:r>
      <w:r>
        <w:rPr>
          <w:spacing w:val="-7"/>
          <w:sz w:val="18"/>
          <w:szCs w:val="18"/>
          <w:lang w:val="es-ES_tradnl"/>
        </w:rPr>
        <w:t xml:space="preserve"> acci</w:t>
      </w:r>
      <w:r>
        <w:rPr>
          <w:rFonts w:cs="Times New Roman"/>
          <w:spacing w:val="-7"/>
          <w:sz w:val="18"/>
          <w:szCs w:val="18"/>
          <w:lang w:val="es-ES_tradnl"/>
        </w:rPr>
        <w:t>ó</w:t>
      </w:r>
      <w:r>
        <w:rPr>
          <w:spacing w:val="-7"/>
          <w:sz w:val="18"/>
          <w:szCs w:val="18"/>
          <w:lang w:val="es-ES_tradnl"/>
        </w:rPr>
        <w:t xml:space="preserve">n extraordinaria de </w:t>
      </w:r>
      <w:r>
        <w:rPr>
          <w:sz w:val="18"/>
          <w:szCs w:val="18"/>
          <w:lang w:val="es-ES_tradnl"/>
        </w:rPr>
        <w:t>protecci</w:t>
      </w:r>
      <w:r>
        <w:rPr>
          <w:rFonts w:cs="Times New Roman"/>
          <w:sz w:val="18"/>
          <w:szCs w:val="18"/>
          <w:lang w:val="es-ES_tradnl"/>
        </w:rPr>
        <w:t>ó</w:t>
      </w:r>
      <w:r>
        <w:rPr>
          <w:sz w:val="18"/>
          <w:szCs w:val="18"/>
          <w:lang w:val="es-ES_tradnl"/>
        </w:rPr>
        <w:t>n.</w:t>
      </w:r>
    </w:p>
    <w:p w14:paraId="4F67BB3E" w14:textId="77777777" w:rsidR="00591D54" w:rsidRDefault="00591D54">
      <w:pPr>
        <w:shd w:val="clear" w:color="auto" w:fill="FFFFFF"/>
        <w:spacing w:before="230" w:line="206" w:lineRule="exact"/>
        <w:jc w:val="both"/>
      </w:pPr>
      <w:r>
        <w:rPr>
          <w:spacing w:val="-6"/>
          <w:sz w:val="18"/>
          <w:szCs w:val="18"/>
          <w:lang w:val="es-ES_tradnl"/>
        </w:rPr>
        <w:t xml:space="preserve">De lo expuesto se colige que la parte legitimada activa </w:t>
      </w:r>
      <w:r>
        <w:rPr>
          <w:spacing w:val="-9"/>
          <w:sz w:val="18"/>
          <w:szCs w:val="18"/>
          <w:lang w:val="es-ES_tradnl"/>
        </w:rPr>
        <w:t>accedi</w:t>
      </w:r>
      <w:r>
        <w:rPr>
          <w:rFonts w:cs="Times New Roman"/>
          <w:spacing w:val="-9"/>
          <w:sz w:val="18"/>
          <w:szCs w:val="18"/>
          <w:lang w:val="es-ES_tradnl"/>
        </w:rPr>
        <w:t>ó</w:t>
      </w:r>
      <w:r>
        <w:rPr>
          <w:spacing w:val="-9"/>
          <w:sz w:val="18"/>
          <w:szCs w:val="18"/>
          <w:lang w:val="es-ES_tradnl"/>
        </w:rPr>
        <w:t xml:space="preserve">   a   los   </w:t>
      </w:r>
      <w:r>
        <w:rPr>
          <w:rFonts w:cs="Times New Roman"/>
          <w:spacing w:val="-9"/>
          <w:sz w:val="18"/>
          <w:szCs w:val="18"/>
          <w:lang w:val="es-ES_tradnl"/>
        </w:rPr>
        <w:t>ó</w:t>
      </w:r>
      <w:r>
        <w:rPr>
          <w:spacing w:val="-9"/>
          <w:sz w:val="18"/>
          <w:szCs w:val="18"/>
          <w:lang w:val="es-ES_tradnl"/>
        </w:rPr>
        <w:t>rganos   de   justicia   para   exponer   sus</w:t>
      </w:r>
    </w:p>
    <w:p w14:paraId="4F67BB3F" w14:textId="77777777" w:rsidR="00591D54" w:rsidRDefault="00591D54">
      <w:pPr>
        <w:shd w:val="clear" w:color="auto" w:fill="FFFFFF"/>
        <w:spacing w:before="576" w:line="178" w:lineRule="exact"/>
        <w:ind w:left="139" w:hanging="139"/>
      </w:pPr>
      <w:r>
        <w:rPr>
          <w:sz w:val="14"/>
          <w:szCs w:val="14"/>
          <w:vertAlign w:val="superscript"/>
          <w:lang w:val="es-ES_tradnl"/>
        </w:rPr>
        <w:t>6</w:t>
      </w:r>
      <w:r>
        <w:rPr>
          <w:sz w:val="14"/>
          <w:szCs w:val="14"/>
          <w:lang w:val="es-ES_tradnl"/>
        </w:rPr>
        <w:t xml:space="preserve">  Corte Constitucional del Ecuador, sentencia N.</w:t>
      </w:r>
      <w:r>
        <w:rPr>
          <w:rFonts w:cs="Times New Roman"/>
          <w:sz w:val="14"/>
          <w:szCs w:val="14"/>
          <w:lang w:val="es-ES_tradnl"/>
        </w:rPr>
        <w:t>º</w:t>
      </w:r>
      <w:r>
        <w:rPr>
          <w:sz w:val="14"/>
          <w:szCs w:val="14"/>
          <w:lang w:val="es-ES_tradnl"/>
        </w:rPr>
        <w:t xml:space="preserve"> 102-13-SEP-CC, caso N.</w:t>
      </w:r>
      <w:r>
        <w:rPr>
          <w:rFonts w:cs="Times New Roman"/>
          <w:sz w:val="14"/>
          <w:szCs w:val="14"/>
          <w:lang w:val="es-ES_tradnl"/>
        </w:rPr>
        <w:t>°</w:t>
      </w:r>
      <w:r>
        <w:rPr>
          <w:sz w:val="14"/>
          <w:szCs w:val="14"/>
          <w:lang w:val="es-ES_tradnl"/>
        </w:rPr>
        <w:t xml:space="preserve"> 0380-10-EP.</w:t>
      </w:r>
    </w:p>
    <w:p w14:paraId="4F67BB40" w14:textId="77777777" w:rsidR="00591D54" w:rsidRDefault="00591D54">
      <w:pPr>
        <w:shd w:val="clear" w:color="auto" w:fill="FFFFFF"/>
        <w:spacing w:line="202" w:lineRule="exact"/>
        <w:jc w:val="both"/>
      </w:pPr>
      <w:r>
        <w:br w:type="column"/>
      </w:r>
      <w:r>
        <w:rPr>
          <w:spacing w:val="-6"/>
          <w:sz w:val="18"/>
          <w:szCs w:val="18"/>
          <w:lang w:val="es-ES_tradnl"/>
        </w:rPr>
        <w:t>argumentos y evidencias durante la sustanciaci</w:t>
      </w:r>
      <w:r>
        <w:rPr>
          <w:rFonts w:cs="Times New Roman"/>
          <w:spacing w:val="-6"/>
          <w:sz w:val="18"/>
          <w:szCs w:val="18"/>
          <w:lang w:val="es-ES_tradnl"/>
        </w:rPr>
        <w:t>ó</w:t>
      </w:r>
      <w:r>
        <w:rPr>
          <w:spacing w:val="-6"/>
          <w:sz w:val="18"/>
          <w:szCs w:val="18"/>
          <w:lang w:val="es-ES_tradnl"/>
        </w:rPr>
        <w:t xml:space="preserve">n de </w:t>
      </w:r>
      <w:r>
        <w:rPr>
          <w:spacing w:val="-7"/>
          <w:sz w:val="18"/>
          <w:szCs w:val="18"/>
          <w:lang w:val="es-ES_tradnl"/>
        </w:rPr>
        <w:t>indagaci</w:t>
      </w:r>
      <w:r>
        <w:rPr>
          <w:rFonts w:cs="Times New Roman"/>
          <w:spacing w:val="-7"/>
          <w:sz w:val="18"/>
          <w:szCs w:val="18"/>
          <w:lang w:val="es-ES_tradnl"/>
        </w:rPr>
        <w:t>ó</w:t>
      </w:r>
      <w:r>
        <w:rPr>
          <w:spacing w:val="-7"/>
          <w:sz w:val="18"/>
          <w:szCs w:val="18"/>
          <w:lang w:val="es-ES_tradnl"/>
        </w:rPr>
        <w:t xml:space="preserve">n previa, con toda facultad para ejercer todos los </w:t>
      </w:r>
      <w:r>
        <w:rPr>
          <w:spacing w:val="-9"/>
          <w:sz w:val="18"/>
          <w:szCs w:val="18"/>
          <w:lang w:val="es-ES_tradnl"/>
        </w:rPr>
        <w:t>derechos inherentes a su condici</w:t>
      </w:r>
      <w:r>
        <w:rPr>
          <w:rFonts w:cs="Times New Roman"/>
          <w:spacing w:val="-9"/>
          <w:sz w:val="18"/>
          <w:szCs w:val="18"/>
          <w:lang w:val="es-ES_tradnl"/>
        </w:rPr>
        <w:t>ó</w:t>
      </w:r>
      <w:r>
        <w:rPr>
          <w:spacing w:val="-9"/>
          <w:sz w:val="18"/>
          <w:szCs w:val="18"/>
          <w:lang w:val="es-ES_tradnl"/>
        </w:rPr>
        <w:t xml:space="preserve">n de parte procesal como </w:t>
      </w:r>
      <w:r>
        <w:rPr>
          <w:sz w:val="18"/>
          <w:szCs w:val="18"/>
          <w:lang w:val="es-ES_tradnl"/>
        </w:rPr>
        <w:t>denunciante dentro de la causa penal.</w:t>
      </w:r>
    </w:p>
    <w:p w14:paraId="4F67BB41" w14:textId="77777777" w:rsidR="00591D54" w:rsidRDefault="00591D54">
      <w:pPr>
        <w:shd w:val="clear" w:color="auto" w:fill="FFFFFF"/>
        <w:spacing w:before="226" w:line="202" w:lineRule="exact"/>
        <w:jc w:val="both"/>
      </w:pPr>
      <w:r>
        <w:rPr>
          <w:spacing w:val="-11"/>
          <w:sz w:val="18"/>
          <w:szCs w:val="18"/>
          <w:lang w:val="es-ES_tradnl"/>
        </w:rPr>
        <w:t>Respecto al segundo momento, que se refiere a la aplicaci</w:t>
      </w:r>
      <w:r>
        <w:rPr>
          <w:rFonts w:cs="Times New Roman"/>
          <w:spacing w:val="-11"/>
          <w:sz w:val="18"/>
          <w:szCs w:val="18"/>
          <w:lang w:val="es-ES_tradnl"/>
        </w:rPr>
        <w:t>ó</w:t>
      </w:r>
      <w:r>
        <w:rPr>
          <w:spacing w:val="-11"/>
          <w:sz w:val="18"/>
          <w:szCs w:val="18"/>
          <w:lang w:val="es-ES_tradnl"/>
        </w:rPr>
        <w:t xml:space="preserve">n </w:t>
      </w:r>
      <w:r>
        <w:rPr>
          <w:spacing w:val="-8"/>
          <w:sz w:val="18"/>
          <w:szCs w:val="18"/>
          <w:lang w:val="es-ES_tradnl"/>
        </w:rPr>
        <w:t>de un debido proceso, es pertinente se</w:t>
      </w:r>
      <w:r>
        <w:rPr>
          <w:rFonts w:cs="Times New Roman"/>
          <w:spacing w:val="-8"/>
          <w:sz w:val="18"/>
          <w:szCs w:val="18"/>
          <w:lang w:val="es-ES_tradnl"/>
        </w:rPr>
        <w:t>ñ</w:t>
      </w:r>
      <w:r>
        <w:rPr>
          <w:spacing w:val="-8"/>
          <w:sz w:val="18"/>
          <w:szCs w:val="18"/>
          <w:lang w:val="es-ES_tradnl"/>
        </w:rPr>
        <w:t>alar que el C</w:t>
      </w:r>
      <w:r>
        <w:rPr>
          <w:rFonts w:cs="Times New Roman"/>
          <w:spacing w:val="-8"/>
          <w:sz w:val="18"/>
          <w:szCs w:val="18"/>
          <w:lang w:val="es-ES_tradnl"/>
        </w:rPr>
        <w:t>ó</w:t>
      </w:r>
      <w:r>
        <w:rPr>
          <w:spacing w:val="-8"/>
          <w:sz w:val="18"/>
          <w:szCs w:val="18"/>
          <w:lang w:val="es-ES_tradnl"/>
        </w:rPr>
        <w:t xml:space="preserve">digo </w:t>
      </w:r>
      <w:r>
        <w:rPr>
          <w:sz w:val="18"/>
          <w:szCs w:val="18"/>
          <w:lang w:val="es-ES_tradnl"/>
        </w:rPr>
        <w:t xml:space="preserve">de Procedimiento Penal vigente a la </w:t>
      </w:r>
      <w:r>
        <w:rPr>
          <w:rFonts w:cs="Times New Roman"/>
          <w:sz w:val="18"/>
          <w:szCs w:val="18"/>
          <w:lang w:val="es-ES_tradnl"/>
        </w:rPr>
        <w:t>é</w:t>
      </w:r>
      <w:r>
        <w:rPr>
          <w:sz w:val="18"/>
          <w:szCs w:val="18"/>
          <w:lang w:val="es-ES_tradnl"/>
        </w:rPr>
        <w:t>poca establec</w:t>
      </w:r>
      <w:r>
        <w:rPr>
          <w:rFonts w:cs="Times New Roman"/>
          <w:sz w:val="18"/>
          <w:szCs w:val="18"/>
          <w:lang w:val="es-ES_tradnl"/>
        </w:rPr>
        <w:t>í</w:t>
      </w:r>
      <w:r>
        <w:rPr>
          <w:sz w:val="18"/>
          <w:szCs w:val="18"/>
          <w:lang w:val="es-ES_tradnl"/>
        </w:rPr>
        <w:t xml:space="preserve">a </w:t>
      </w:r>
      <w:r>
        <w:rPr>
          <w:spacing w:val="-7"/>
          <w:sz w:val="18"/>
          <w:szCs w:val="18"/>
          <w:lang w:val="es-ES_tradnl"/>
        </w:rPr>
        <w:t>a la indagaci</w:t>
      </w:r>
      <w:r>
        <w:rPr>
          <w:rFonts w:cs="Times New Roman"/>
          <w:spacing w:val="-7"/>
          <w:sz w:val="18"/>
          <w:szCs w:val="18"/>
          <w:lang w:val="es-ES_tradnl"/>
        </w:rPr>
        <w:t>ó</w:t>
      </w:r>
      <w:r>
        <w:rPr>
          <w:spacing w:val="-7"/>
          <w:sz w:val="18"/>
          <w:szCs w:val="18"/>
          <w:lang w:val="es-ES_tradnl"/>
        </w:rPr>
        <w:t xml:space="preserve">n previa como una etapa pre procesal de </w:t>
      </w:r>
      <w:r>
        <w:rPr>
          <w:spacing w:val="-5"/>
          <w:sz w:val="18"/>
          <w:szCs w:val="18"/>
          <w:lang w:val="es-ES_tradnl"/>
        </w:rPr>
        <w:t>car</w:t>
      </w:r>
      <w:r>
        <w:rPr>
          <w:rFonts w:cs="Times New Roman"/>
          <w:spacing w:val="-5"/>
          <w:sz w:val="18"/>
          <w:szCs w:val="18"/>
          <w:lang w:val="es-ES_tradnl"/>
        </w:rPr>
        <w:t>á</w:t>
      </w:r>
      <w:r>
        <w:rPr>
          <w:spacing w:val="-5"/>
          <w:sz w:val="18"/>
          <w:szCs w:val="18"/>
          <w:lang w:val="es-ES_tradnl"/>
        </w:rPr>
        <w:t xml:space="preserve">cter investigativa dentro de la cual el fiscal recopila </w:t>
      </w:r>
      <w:r>
        <w:rPr>
          <w:spacing w:val="-8"/>
          <w:sz w:val="18"/>
          <w:szCs w:val="18"/>
          <w:lang w:val="es-ES_tradnl"/>
        </w:rPr>
        <w:t xml:space="preserve">todas las evidencias que le permitan analizar el supuesto </w:t>
      </w:r>
      <w:r>
        <w:rPr>
          <w:spacing w:val="-6"/>
          <w:sz w:val="18"/>
          <w:szCs w:val="18"/>
          <w:lang w:val="es-ES_tradnl"/>
        </w:rPr>
        <w:t>cometimiento de una infracci</w:t>
      </w:r>
      <w:r>
        <w:rPr>
          <w:rFonts w:cs="Times New Roman"/>
          <w:spacing w:val="-6"/>
          <w:sz w:val="18"/>
          <w:szCs w:val="18"/>
          <w:lang w:val="es-ES_tradnl"/>
        </w:rPr>
        <w:t>ó</w:t>
      </w:r>
      <w:r>
        <w:rPr>
          <w:spacing w:val="-6"/>
          <w:sz w:val="18"/>
          <w:szCs w:val="18"/>
          <w:lang w:val="es-ES_tradnl"/>
        </w:rPr>
        <w:t xml:space="preserve">n penal. En ese sentido, la </w:t>
      </w:r>
      <w:r>
        <w:rPr>
          <w:spacing w:val="-3"/>
          <w:sz w:val="18"/>
          <w:szCs w:val="18"/>
          <w:lang w:val="es-ES_tradnl"/>
        </w:rPr>
        <w:t xml:space="preserve">norma infra constitucional faculta al fiscal a solicitar al </w:t>
      </w:r>
      <w:r>
        <w:rPr>
          <w:spacing w:val="-5"/>
          <w:sz w:val="18"/>
          <w:szCs w:val="18"/>
          <w:lang w:val="es-ES_tradnl"/>
        </w:rPr>
        <w:t>juez la desestimaci</w:t>
      </w:r>
      <w:r>
        <w:rPr>
          <w:rFonts w:cs="Times New Roman"/>
          <w:spacing w:val="-5"/>
          <w:sz w:val="18"/>
          <w:szCs w:val="18"/>
          <w:lang w:val="es-ES_tradnl"/>
        </w:rPr>
        <w:t>ó</w:t>
      </w:r>
      <w:r>
        <w:rPr>
          <w:spacing w:val="-5"/>
          <w:sz w:val="18"/>
          <w:szCs w:val="18"/>
          <w:lang w:val="es-ES_tradnl"/>
        </w:rPr>
        <w:t xml:space="preserve">n, el archivo provisional y el archivo </w:t>
      </w:r>
      <w:r>
        <w:rPr>
          <w:sz w:val="18"/>
          <w:szCs w:val="18"/>
          <w:lang w:val="es-ES_tradnl"/>
        </w:rPr>
        <w:t>definitivo de las investigaciones</w:t>
      </w:r>
      <w:r>
        <w:rPr>
          <w:sz w:val="18"/>
          <w:szCs w:val="18"/>
          <w:vertAlign w:val="superscript"/>
          <w:lang w:val="es-ES_tradnl"/>
        </w:rPr>
        <w:t>7</w:t>
      </w:r>
      <w:r>
        <w:rPr>
          <w:sz w:val="18"/>
          <w:szCs w:val="18"/>
          <w:lang w:val="es-ES_tradnl"/>
        </w:rPr>
        <w:t>.</w:t>
      </w:r>
    </w:p>
    <w:p w14:paraId="4F67BB42" w14:textId="77777777" w:rsidR="00591D54" w:rsidRDefault="00591D54">
      <w:pPr>
        <w:shd w:val="clear" w:color="auto" w:fill="FFFFFF"/>
        <w:spacing w:before="226" w:line="202" w:lineRule="exact"/>
        <w:jc w:val="both"/>
      </w:pPr>
      <w:r>
        <w:rPr>
          <w:spacing w:val="-3"/>
          <w:sz w:val="18"/>
          <w:szCs w:val="18"/>
          <w:lang w:val="es-ES_tradnl"/>
        </w:rPr>
        <w:t>En esta l</w:t>
      </w:r>
      <w:r>
        <w:rPr>
          <w:rFonts w:cs="Times New Roman"/>
          <w:spacing w:val="-3"/>
          <w:sz w:val="18"/>
          <w:szCs w:val="18"/>
          <w:lang w:val="es-ES_tradnl"/>
        </w:rPr>
        <w:t>í</w:t>
      </w:r>
      <w:r>
        <w:rPr>
          <w:spacing w:val="-3"/>
          <w:sz w:val="18"/>
          <w:szCs w:val="18"/>
          <w:lang w:val="es-ES_tradnl"/>
        </w:rPr>
        <w:t>nea, el fiscal pod</w:t>
      </w:r>
      <w:r>
        <w:rPr>
          <w:rFonts w:cs="Times New Roman"/>
          <w:spacing w:val="-3"/>
          <w:sz w:val="18"/>
          <w:szCs w:val="18"/>
          <w:lang w:val="es-ES_tradnl"/>
        </w:rPr>
        <w:t>í</w:t>
      </w:r>
      <w:r>
        <w:rPr>
          <w:spacing w:val="-3"/>
          <w:sz w:val="18"/>
          <w:szCs w:val="18"/>
          <w:lang w:val="es-ES_tradnl"/>
        </w:rPr>
        <w:t xml:space="preserve">a solicitar al juez </w:t>
      </w:r>
      <w:r>
        <w:rPr>
          <w:rFonts w:cs="Times New Roman"/>
          <w:spacing w:val="-3"/>
          <w:sz w:val="18"/>
          <w:szCs w:val="18"/>
          <w:lang w:val="es-ES_tradnl"/>
        </w:rPr>
        <w:t>“</w:t>
      </w:r>
      <w:r>
        <w:rPr>
          <w:spacing w:val="-3"/>
          <w:sz w:val="18"/>
          <w:szCs w:val="18"/>
          <w:lang w:val="es-ES_tradnl"/>
        </w:rPr>
        <w:t xml:space="preserve">el archivo </w:t>
      </w:r>
      <w:r>
        <w:rPr>
          <w:spacing w:val="-7"/>
          <w:sz w:val="18"/>
          <w:szCs w:val="18"/>
          <w:lang w:val="es-ES_tradnl"/>
        </w:rPr>
        <w:t xml:space="preserve">de la denuncia, cuando sea manifiesto que el acto no </w:t>
      </w:r>
      <w:r>
        <w:rPr>
          <w:spacing w:val="-6"/>
          <w:sz w:val="18"/>
          <w:szCs w:val="18"/>
          <w:lang w:val="es-ES_tradnl"/>
        </w:rPr>
        <w:t>constituye delito o cuando exista alg</w:t>
      </w:r>
      <w:r>
        <w:rPr>
          <w:rFonts w:cs="Times New Roman"/>
          <w:spacing w:val="-6"/>
          <w:sz w:val="18"/>
          <w:szCs w:val="18"/>
          <w:lang w:val="es-ES_tradnl"/>
        </w:rPr>
        <w:t>ú</w:t>
      </w:r>
      <w:r>
        <w:rPr>
          <w:spacing w:val="-6"/>
          <w:sz w:val="18"/>
          <w:szCs w:val="18"/>
          <w:lang w:val="es-ES_tradnl"/>
        </w:rPr>
        <w:t>n obst</w:t>
      </w:r>
      <w:r>
        <w:rPr>
          <w:rFonts w:cs="Times New Roman"/>
          <w:spacing w:val="-6"/>
          <w:sz w:val="18"/>
          <w:szCs w:val="18"/>
          <w:lang w:val="es-ES_tradnl"/>
        </w:rPr>
        <w:t>á</w:t>
      </w:r>
      <w:r>
        <w:rPr>
          <w:spacing w:val="-6"/>
          <w:sz w:val="18"/>
          <w:szCs w:val="18"/>
          <w:lang w:val="es-ES_tradnl"/>
        </w:rPr>
        <w:t>culo legal insubsanable para el desarrollo del proceso</w:t>
      </w:r>
      <w:r>
        <w:rPr>
          <w:rFonts w:cs="Times New Roman"/>
          <w:spacing w:val="-6"/>
          <w:sz w:val="18"/>
          <w:szCs w:val="18"/>
          <w:lang w:val="es-ES_tradnl"/>
        </w:rPr>
        <w:t>”</w:t>
      </w:r>
      <w:r>
        <w:rPr>
          <w:spacing w:val="-6"/>
          <w:sz w:val="18"/>
          <w:szCs w:val="18"/>
          <w:vertAlign w:val="superscript"/>
          <w:lang w:val="es-ES_tradnl"/>
        </w:rPr>
        <w:t>8</w:t>
      </w:r>
      <w:r>
        <w:rPr>
          <w:spacing w:val="-6"/>
          <w:sz w:val="18"/>
          <w:szCs w:val="18"/>
          <w:lang w:val="es-ES_tradnl"/>
        </w:rPr>
        <w:t xml:space="preserve">. En este </w:t>
      </w:r>
      <w:r>
        <w:rPr>
          <w:spacing w:val="-5"/>
          <w:sz w:val="18"/>
          <w:szCs w:val="18"/>
          <w:lang w:val="es-ES_tradnl"/>
        </w:rPr>
        <w:t>sentido, el fiscal, al determinar que exist</w:t>
      </w:r>
      <w:r>
        <w:rPr>
          <w:rFonts w:cs="Times New Roman"/>
          <w:spacing w:val="-5"/>
          <w:sz w:val="18"/>
          <w:szCs w:val="18"/>
          <w:lang w:val="es-ES_tradnl"/>
        </w:rPr>
        <w:t>í</w:t>
      </w:r>
      <w:r>
        <w:rPr>
          <w:spacing w:val="-5"/>
          <w:sz w:val="18"/>
          <w:szCs w:val="18"/>
          <w:lang w:val="es-ES_tradnl"/>
        </w:rPr>
        <w:t>an particulares que constitu</w:t>
      </w:r>
      <w:r>
        <w:rPr>
          <w:rFonts w:cs="Times New Roman"/>
          <w:spacing w:val="-5"/>
          <w:sz w:val="18"/>
          <w:szCs w:val="18"/>
          <w:lang w:val="es-ES_tradnl"/>
        </w:rPr>
        <w:t>í</w:t>
      </w:r>
      <w:r>
        <w:rPr>
          <w:spacing w:val="-5"/>
          <w:sz w:val="18"/>
          <w:szCs w:val="18"/>
          <w:lang w:val="es-ES_tradnl"/>
        </w:rPr>
        <w:t>an obst</w:t>
      </w:r>
      <w:r>
        <w:rPr>
          <w:rFonts w:cs="Times New Roman"/>
          <w:spacing w:val="-5"/>
          <w:sz w:val="18"/>
          <w:szCs w:val="18"/>
          <w:lang w:val="es-ES_tradnl"/>
        </w:rPr>
        <w:t>á</w:t>
      </w:r>
      <w:r>
        <w:rPr>
          <w:spacing w:val="-5"/>
          <w:sz w:val="18"/>
          <w:szCs w:val="18"/>
          <w:lang w:val="es-ES_tradnl"/>
        </w:rPr>
        <w:t xml:space="preserve">culo legal que impiden el desarrollo </w:t>
      </w:r>
      <w:r>
        <w:rPr>
          <w:spacing w:val="-6"/>
          <w:sz w:val="18"/>
          <w:szCs w:val="18"/>
          <w:lang w:val="es-ES_tradnl"/>
        </w:rPr>
        <w:t>y conclusi</w:t>
      </w:r>
      <w:r>
        <w:rPr>
          <w:rFonts w:cs="Times New Roman"/>
          <w:spacing w:val="-6"/>
          <w:sz w:val="18"/>
          <w:szCs w:val="18"/>
          <w:lang w:val="es-ES_tradnl"/>
        </w:rPr>
        <w:t>ó</w:t>
      </w:r>
      <w:r>
        <w:rPr>
          <w:spacing w:val="-6"/>
          <w:sz w:val="18"/>
          <w:szCs w:val="18"/>
          <w:lang w:val="es-ES_tradnl"/>
        </w:rPr>
        <w:t>n normal del proceso, resolvi</w:t>
      </w:r>
      <w:r>
        <w:rPr>
          <w:rFonts w:cs="Times New Roman"/>
          <w:spacing w:val="-6"/>
          <w:sz w:val="18"/>
          <w:szCs w:val="18"/>
          <w:lang w:val="es-ES_tradnl"/>
        </w:rPr>
        <w:t>ó</w:t>
      </w:r>
      <w:r>
        <w:rPr>
          <w:spacing w:val="-6"/>
          <w:sz w:val="18"/>
          <w:szCs w:val="18"/>
          <w:lang w:val="es-ES_tradnl"/>
        </w:rPr>
        <w:t xml:space="preserve"> desestimar la </w:t>
      </w:r>
      <w:r>
        <w:rPr>
          <w:spacing w:val="-4"/>
          <w:sz w:val="18"/>
          <w:szCs w:val="18"/>
          <w:lang w:val="es-ES_tradnl"/>
        </w:rPr>
        <w:t>indagaci</w:t>
      </w:r>
      <w:r>
        <w:rPr>
          <w:rFonts w:cs="Times New Roman"/>
          <w:spacing w:val="-4"/>
          <w:sz w:val="18"/>
          <w:szCs w:val="18"/>
          <w:lang w:val="es-ES_tradnl"/>
        </w:rPr>
        <w:t>ó</w:t>
      </w:r>
      <w:r>
        <w:rPr>
          <w:spacing w:val="-4"/>
          <w:sz w:val="18"/>
          <w:szCs w:val="18"/>
          <w:lang w:val="es-ES_tradnl"/>
        </w:rPr>
        <w:t>n previa. Posterior a ello, remiti</w:t>
      </w:r>
      <w:r>
        <w:rPr>
          <w:rFonts w:cs="Times New Roman"/>
          <w:spacing w:val="-4"/>
          <w:sz w:val="18"/>
          <w:szCs w:val="18"/>
          <w:lang w:val="es-ES_tradnl"/>
        </w:rPr>
        <w:t>ó</w:t>
      </w:r>
      <w:r>
        <w:rPr>
          <w:spacing w:val="-4"/>
          <w:sz w:val="18"/>
          <w:szCs w:val="18"/>
          <w:lang w:val="es-ES_tradnl"/>
        </w:rPr>
        <w:t xml:space="preserve"> el expediente </w:t>
      </w:r>
      <w:r>
        <w:rPr>
          <w:spacing w:val="-5"/>
          <w:sz w:val="18"/>
          <w:szCs w:val="18"/>
          <w:lang w:val="es-ES_tradnl"/>
        </w:rPr>
        <w:t xml:space="preserve">a la Corte Provincial de Justicia, y luego del respectivo </w:t>
      </w:r>
      <w:r>
        <w:rPr>
          <w:spacing w:val="-9"/>
          <w:sz w:val="18"/>
          <w:szCs w:val="18"/>
          <w:lang w:val="es-ES_tradnl"/>
        </w:rPr>
        <w:t>sorteo correspondi</w:t>
      </w:r>
      <w:r>
        <w:rPr>
          <w:rFonts w:cs="Times New Roman"/>
          <w:spacing w:val="-9"/>
          <w:sz w:val="18"/>
          <w:szCs w:val="18"/>
          <w:lang w:val="es-ES_tradnl"/>
        </w:rPr>
        <w:t>ó</w:t>
      </w:r>
      <w:r>
        <w:rPr>
          <w:spacing w:val="-9"/>
          <w:sz w:val="18"/>
          <w:szCs w:val="18"/>
          <w:lang w:val="es-ES_tradnl"/>
        </w:rPr>
        <w:t xml:space="preserve"> conocer la causa al Juzgado Sexto de </w:t>
      </w:r>
      <w:r>
        <w:rPr>
          <w:spacing w:val="-7"/>
          <w:sz w:val="18"/>
          <w:szCs w:val="18"/>
          <w:lang w:val="es-ES_tradnl"/>
        </w:rPr>
        <w:t>Garant</w:t>
      </w:r>
      <w:r>
        <w:rPr>
          <w:rFonts w:cs="Times New Roman"/>
          <w:spacing w:val="-7"/>
          <w:sz w:val="18"/>
          <w:szCs w:val="18"/>
          <w:lang w:val="es-ES_tradnl"/>
        </w:rPr>
        <w:t>í</w:t>
      </w:r>
      <w:r>
        <w:rPr>
          <w:spacing w:val="-7"/>
          <w:sz w:val="18"/>
          <w:szCs w:val="18"/>
          <w:lang w:val="es-ES_tradnl"/>
        </w:rPr>
        <w:t xml:space="preserve">as Penales del Guayas. Dentro de esta judicatura, </w:t>
      </w:r>
      <w:r>
        <w:rPr>
          <w:spacing w:val="-5"/>
          <w:sz w:val="18"/>
          <w:szCs w:val="18"/>
          <w:lang w:val="es-ES_tradnl"/>
        </w:rPr>
        <w:t>el juez convoc</w:t>
      </w:r>
      <w:r>
        <w:rPr>
          <w:rFonts w:cs="Times New Roman"/>
          <w:spacing w:val="-5"/>
          <w:sz w:val="18"/>
          <w:szCs w:val="18"/>
          <w:lang w:val="es-ES_tradnl"/>
        </w:rPr>
        <w:t>ó</w:t>
      </w:r>
      <w:r>
        <w:rPr>
          <w:spacing w:val="-5"/>
          <w:sz w:val="18"/>
          <w:szCs w:val="18"/>
          <w:lang w:val="es-ES_tradnl"/>
        </w:rPr>
        <w:t xml:space="preserve"> a las partes procesales para escuchar a </w:t>
      </w:r>
      <w:r>
        <w:rPr>
          <w:spacing w:val="-7"/>
          <w:sz w:val="18"/>
          <w:szCs w:val="18"/>
          <w:lang w:val="es-ES_tradnl"/>
        </w:rPr>
        <w:t>las partes y confirmar o denegar la desestimaci</w:t>
      </w:r>
      <w:r>
        <w:rPr>
          <w:rFonts w:cs="Times New Roman"/>
          <w:spacing w:val="-7"/>
          <w:sz w:val="18"/>
          <w:szCs w:val="18"/>
          <w:lang w:val="es-ES_tradnl"/>
        </w:rPr>
        <w:t>ó</w:t>
      </w:r>
      <w:r>
        <w:rPr>
          <w:spacing w:val="-7"/>
          <w:sz w:val="18"/>
          <w:szCs w:val="18"/>
          <w:lang w:val="es-ES_tradnl"/>
        </w:rPr>
        <w:t xml:space="preserve">n de la </w:t>
      </w:r>
      <w:r>
        <w:rPr>
          <w:spacing w:val="-10"/>
          <w:sz w:val="18"/>
          <w:szCs w:val="18"/>
          <w:lang w:val="es-ES_tradnl"/>
        </w:rPr>
        <w:t>indagaci</w:t>
      </w:r>
      <w:r>
        <w:rPr>
          <w:rFonts w:cs="Times New Roman"/>
          <w:spacing w:val="-10"/>
          <w:sz w:val="18"/>
          <w:szCs w:val="18"/>
          <w:lang w:val="es-ES_tradnl"/>
        </w:rPr>
        <w:t>ó</w:t>
      </w:r>
      <w:r>
        <w:rPr>
          <w:spacing w:val="-10"/>
          <w:sz w:val="18"/>
          <w:szCs w:val="18"/>
          <w:lang w:val="es-ES_tradnl"/>
        </w:rPr>
        <w:t>n previa expedida por el fiscal de la causa. En este sentido, es pertinente se</w:t>
      </w:r>
      <w:r>
        <w:rPr>
          <w:rFonts w:cs="Times New Roman"/>
          <w:spacing w:val="-10"/>
          <w:sz w:val="18"/>
          <w:szCs w:val="18"/>
          <w:lang w:val="es-ES_tradnl"/>
        </w:rPr>
        <w:t>ñ</w:t>
      </w:r>
      <w:r>
        <w:rPr>
          <w:spacing w:val="-10"/>
          <w:sz w:val="18"/>
          <w:szCs w:val="18"/>
          <w:lang w:val="es-ES_tradnl"/>
        </w:rPr>
        <w:t xml:space="preserve">alar que si bien la norma, entonces </w:t>
      </w:r>
      <w:r>
        <w:rPr>
          <w:spacing w:val="-6"/>
          <w:sz w:val="18"/>
          <w:szCs w:val="18"/>
          <w:lang w:val="es-ES_tradnl"/>
        </w:rPr>
        <w:t>vigente, permit</w:t>
      </w:r>
      <w:r>
        <w:rPr>
          <w:rFonts w:cs="Times New Roman"/>
          <w:spacing w:val="-6"/>
          <w:sz w:val="18"/>
          <w:szCs w:val="18"/>
          <w:lang w:val="es-ES_tradnl"/>
        </w:rPr>
        <w:t>í</w:t>
      </w:r>
      <w:r>
        <w:rPr>
          <w:spacing w:val="-6"/>
          <w:sz w:val="18"/>
          <w:szCs w:val="18"/>
          <w:lang w:val="es-ES_tradnl"/>
        </w:rPr>
        <w:t xml:space="preserve">a al juez acoger el informe proporcionado </w:t>
      </w:r>
      <w:r>
        <w:rPr>
          <w:spacing w:val="-5"/>
          <w:sz w:val="18"/>
          <w:szCs w:val="18"/>
          <w:lang w:val="es-ES_tradnl"/>
        </w:rPr>
        <w:t>por la Fiscal</w:t>
      </w:r>
      <w:r>
        <w:rPr>
          <w:rFonts w:cs="Times New Roman"/>
          <w:spacing w:val="-5"/>
          <w:sz w:val="18"/>
          <w:szCs w:val="18"/>
          <w:lang w:val="es-ES_tradnl"/>
        </w:rPr>
        <w:t>í</w:t>
      </w:r>
      <w:r>
        <w:rPr>
          <w:spacing w:val="-5"/>
          <w:sz w:val="18"/>
          <w:szCs w:val="18"/>
          <w:lang w:val="es-ES_tradnl"/>
        </w:rPr>
        <w:t xml:space="preserve">a General del Estado y en consecuencia, </w:t>
      </w:r>
      <w:r>
        <w:rPr>
          <w:spacing w:val="-6"/>
          <w:sz w:val="18"/>
          <w:szCs w:val="18"/>
          <w:lang w:val="es-ES_tradnl"/>
        </w:rPr>
        <w:t>ordenar el archivo de la causa, tambi</w:t>
      </w:r>
      <w:r>
        <w:rPr>
          <w:rFonts w:cs="Times New Roman"/>
          <w:spacing w:val="-6"/>
          <w:sz w:val="18"/>
          <w:szCs w:val="18"/>
          <w:lang w:val="es-ES_tradnl"/>
        </w:rPr>
        <w:t>é</w:t>
      </w:r>
      <w:r>
        <w:rPr>
          <w:spacing w:val="-6"/>
          <w:sz w:val="18"/>
          <w:szCs w:val="18"/>
          <w:lang w:val="es-ES_tradnl"/>
        </w:rPr>
        <w:t>n deb</w:t>
      </w:r>
      <w:r>
        <w:rPr>
          <w:rFonts w:cs="Times New Roman"/>
          <w:spacing w:val="-6"/>
          <w:sz w:val="18"/>
          <w:szCs w:val="18"/>
          <w:lang w:val="es-ES_tradnl"/>
        </w:rPr>
        <w:t>í</w:t>
      </w:r>
      <w:r>
        <w:rPr>
          <w:spacing w:val="-6"/>
          <w:sz w:val="18"/>
          <w:szCs w:val="18"/>
          <w:lang w:val="es-ES_tradnl"/>
        </w:rPr>
        <w:t xml:space="preserve">a considerar </w:t>
      </w:r>
      <w:r>
        <w:rPr>
          <w:spacing w:val="-8"/>
          <w:sz w:val="18"/>
          <w:szCs w:val="18"/>
          <w:lang w:val="es-ES_tradnl"/>
        </w:rPr>
        <w:t xml:space="preserve">los argumentos y evidencias presentados por la parte </w:t>
      </w:r>
      <w:r>
        <w:rPr>
          <w:spacing w:val="-10"/>
          <w:sz w:val="18"/>
          <w:szCs w:val="18"/>
          <w:lang w:val="es-ES_tradnl"/>
        </w:rPr>
        <w:t xml:space="preserve">denunciante, y de encontrar elementos que indiquen indicios </w:t>
      </w:r>
      <w:r>
        <w:rPr>
          <w:spacing w:val="-6"/>
          <w:sz w:val="18"/>
          <w:szCs w:val="18"/>
          <w:lang w:val="es-ES_tradnl"/>
        </w:rPr>
        <w:t>de la existencia de la infracci</w:t>
      </w:r>
      <w:r>
        <w:rPr>
          <w:rFonts w:cs="Times New Roman"/>
          <w:spacing w:val="-6"/>
          <w:sz w:val="18"/>
          <w:szCs w:val="18"/>
          <w:lang w:val="es-ES_tradnl"/>
        </w:rPr>
        <w:t>ó</w:t>
      </w:r>
      <w:r>
        <w:rPr>
          <w:spacing w:val="-6"/>
          <w:sz w:val="18"/>
          <w:szCs w:val="18"/>
          <w:lang w:val="es-ES_tradnl"/>
        </w:rPr>
        <w:t>n penal y la responsabilidad del sospechoso, solicitar al fiscal superior la continuaci</w:t>
      </w:r>
      <w:r>
        <w:rPr>
          <w:rFonts w:cs="Times New Roman"/>
          <w:spacing w:val="-6"/>
          <w:sz w:val="18"/>
          <w:szCs w:val="18"/>
          <w:lang w:val="es-ES_tradnl"/>
        </w:rPr>
        <w:t>ó</w:t>
      </w:r>
      <w:r>
        <w:rPr>
          <w:spacing w:val="-6"/>
          <w:sz w:val="18"/>
          <w:szCs w:val="18"/>
          <w:lang w:val="es-ES_tradnl"/>
        </w:rPr>
        <w:t xml:space="preserve">n </w:t>
      </w:r>
      <w:r>
        <w:rPr>
          <w:sz w:val="18"/>
          <w:szCs w:val="18"/>
          <w:lang w:val="es-ES_tradnl"/>
        </w:rPr>
        <w:t>de la investigaci</w:t>
      </w:r>
      <w:r>
        <w:rPr>
          <w:rFonts w:cs="Times New Roman"/>
          <w:sz w:val="18"/>
          <w:szCs w:val="18"/>
          <w:lang w:val="es-ES_tradnl"/>
        </w:rPr>
        <w:t>ó</w:t>
      </w:r>
      <w:r>
        <w:rPr>
          <w:sz w:val="18"/>
          <w:szCs w:val="18"/>
          <w:lang w:val="es-ES_tradnl"/>
        </w:rPr>
        <w:t>n.</w:t>
      </w:r>
    </w:p>
    <w:p w14:paraId="4F67BB43" w14:textId="77777777" w:rsidR="00591D54" w:rsidRDefault="00591D54">
      <w:pPr>
        <w:shd w:val="clear" w:color="auto" w:fill="FFFFFF"/>
        <w:spacing w:before="226" w:line="202" w:lineRule="exact"/>
        <w:jc w:val="both"/>
      </w:pPr>
      <w:r>
        <w:rPr>
          <w:spacing w:val="-5"/>
          <w:sz w:val="18"/>
          <w:szCs w:val="18"/>
          <w:lang w:val="es-ES_tradnl"/>
        </w:rPr>
        <w:t>De la revisi</w:t>
      </w:r>
      <w:r>
        <w:rPr>
          <w:rFonts w:cs="Times New Roman"/>
          <w:spacing w:val="-5"/>
          <w:sz w:val="18"/>
          <w:szCs w:val="18"/>
          <w:lang w:val="es-ES_tradnl"/>
        </w:rPr>
        <w:t>ó</w:t>
      </w:r>
      <w:r>
        <w:rPr>
          <w:spacing w:val="-5"/>
          <w:sz w:val="18"/>
          <w:szCs w:val="18"/>
          <w:lang w:val="es-ES_tradnl"/>
        </w:rPr>
        <w:t>n del expediente y de la decisi</w:t>
      </w:r>
      <w:r>
        <w:rPr>
          <w:rFonts w:cs="Times New Roman"/>
          <w:spacing w:val="-5"/>
          <w:sz w:val="18"/>
          <w:szCs w:val="18"/>
          <w:lang w:val="es-ES_tradnl"/>
        </w:rPr>
        <w:t>ó</w:t>
      </w:r>
      <w:r>
        <w:rPr>
          <w:spacing w:val="-5"/>
          <w:sz w:val="18"/>
          <w:szCs w:val="18"/>
          <w:lang w:val="es-ES_tradnl"/>
        </w:rPr>
        <w:t xml:space="preserve">n judicial impugnada se observa que tanto el fiscal como el juez </w:t>
      </w:r>
      <w:r>
        <w:rPr>
          <w:spacing w:val="-9"/>
          <w:sz w:val="18"/>
          <w:szCs w:val="18"/>
          <w:lang w:val="es-ES_tradnl"/>
        </w:rPr>
        <w:t>sexto de Garant</w:t>
      </w:r>
      <w:r>
        <w:rPr>
          <w:rFonts w:cs="Times New Roman"/>
          <w:spacing w:val="-9"/>
          <w:sz w:val="18"/>
          <w:szCs w:val="18"/>
          <w:lang w:val="es-ES_tradnl"/>
        </w:rPr>
        <w:t>í</w:t>
      </w:r>
      <w:r>
        <w:rPr>
          <w:spacing w:val="-9"/>
          <w:sz w:val="18"/>
          <w:szCs w:val="18"/>
          <w:lang w:val="es-ES_tradnl"/>
        </w:rPr>
        <w:t xml:space="preserve">as Penales de Guayas no tomaron en </w:t>
      </w:r>
      <w:r>
        <w:rPr>
          <w:spacing w:val="-10"/>
          <w:sz w:val="18"/>
          <w:szCs w:val="18"/>
          <w:lang w:val="es-ES_tradnl"/>
        </w:rPr>
        <w:t>consideraci</w:t>
      </w:r>
      <w:r>
        <w:rPr>
          <w:rFonts w:cs="Times New Roman"/>
          <w:spacing w:val="-10"/>
          <w:sz w:val="18"/>
          <w:szCs w:val="18"/>
          <w:lang w:val="es-ES_tradnl"/>
        </w:rPr>
        <w:t>ó</w:t>
      </w:r>
      <w:r>
        <w:rPr>
          <w:spacing w:val="-10"/>
          <w:sz w:val="18"/>
          <w:szCs w:val="18"/>
          <w:lang w:val="es-ES_tradnl"/>
        </w:rPr>
        <w:t xml:space="preserve">n la evidencia documental presentada por parte </w:t>
      </w:r>
      <w:r>
        <w:rPr>
          <w:spacing w:val="-6"/>
          <w:sz w:val="18"/>
          <w:szCs w:val="18"/>
          <w:lang w:val="es-ES_tradnl"/>
        </w:rPr>
        <w:t>del Servicio de Rentas Internas al concluir su resoluci</w:t>
      </w:r>
      <w:r>
        <w:rPr>
          <w:rFonts w:cs="Times New Roman"/>
          <w:spacing w:val="-6"/>
          <w:sz w:val="18"/>
          <w:szCs w:val="18"/>
          <w:lang w:val="es-ES_tradnl"/>
        </w:rPr>
        <w:t>ó</w:t>
      </w:r>
      <w:r>
        <w:rPr>
          <w:spacing w:val="-6"/>
          <w:sz w:val="18"/>
          <w:szCs w:val="18"/>
          <w:lang w:val="es-ES_tradnl"/>
        </w:rPr>
        <w:t>n, sin haber efectuado ning</w:t>
      </w:r>
      <w:r>
        <w:rPr>
          <w:rFonts w:cs="Times New Roman"/>
          <w:spacing w:val="-6"/>
          <w:sz w:val="18"/>
          <w:szCs w:val="18"/>
          <w:lang w:val="es-ES_tradnl"/>
        </w:rPr>
        <w:t>ú</w:t>
      </w:r>
      <w:r>
        <w:rPr>
          <w:spacing w:val="-6"/>
          <w:sz w:val="18"/>
          <w:szCs w:val="18"/>
          <w:lang w:val="es-ES_tradnl"/>
        </w:rPr>
        <w:t>n tipo de verificaci</w:t>
      </w:r>
      <w:r>
        <w:rPr>
          <w:rFonts w:cs="Times New Roman"/>
          <w:spacing w:val="-6"/>
          <w:sz w:val="18"/>
          <w:szCs w:val="18"/>
          <w:lang w:val="es-ES_tradnl"/>
        </w:rPr>
        <w:t>ó</w:t>
      </w:r>
      <w:r>
        <w:rPr>
          <w:spacing w:val="-6"/>
          <w:sz w:val="18"/>
          <w:szCs w:val="18"/>
          <w:lang w:val="es-ES_tradnl"/>
        </w:rPr>
        <w:t xml:space="preserve">n razonable </w:t>
      </w:r>
      <w:r>
        <w:rPr>
          <w:spacing w:val="-7"/>
          <w:sz w:val="18"/>
          <w:szCs w:val="18"/>
          <w:lang w:val="es-ES_tradnl"/>
        </w:rPr>
        <w:t xml:space="preserve">al determinar la existencia de </w:t>
      </w:r>
      <w:r>
        <w:rPr>
          <w:rFonts w:cs="Times New Roman"/>
          <w:spacing w:val="-7"/>
          <w:sz w:val="18"/>
          <w:szCs w:val="18"/>
          <w:lang w:val="es-ES_tradnl"/>
        </w:rPr>
        <w:t>“</w:t>
      </w:r>
      <w:r>
        <w:rPr>
          <w:spacing w:val="-7"/>
          <w:sz w:val="18"/>
          <w:szCs w:val="18"/>
          <w:lang w:val="es-ES_tradnl"/>
        </w:rPr>
        <w:t>(</w:t>
      </w:r>
      <w:r>
        <w:rPr>
          <w:rFonts w:cs="Times New Roman"/>
          <w:spacing w:val="-7"/>
          <w:sz w:val="18"/>
          <w:szCs w:val="18"/>
          <w:lang w:val="es-ES_tradnl"/>
        </w:rPr>
        <w:t>…</w:t>
      </w:r>
      <w:r>
        <w:rPr>
          <w:spacing w:val="-7"/>
          <w:sz w:val="18"/>
          <w:szCs w:val="18"/>
          <w:lang w:val="es-ES_tradnl"/>
        </w:rPr>
        <w:t>) obst</w:t>
      </w:r>
      <w:r>
        <w:rPr>
          <w:rFonts w:cs="Times New Roman"/>
          <w:spacing w:val="-7"/>
          <w:sz w:val="18"/>
          <w:szCs w:val="18"/>
          <w:lang w:val="es-ES_tradnl"/>
        </w:rPr>
        <w:t>á</w:t>
      </w:r>
      <w:r>
        <w:rPr>
          <w:spacing w:val="-7"/>
          <w:sz w:val="18"/>
          <w:szCs w:val="18"/>
          <w:lang w:val="es-ES_tradnl"/>
        </w:rPr>
        <w:t xml:space="preserve">culos legales que </w:t>
      </w:r>
      <w:r>
        <w:rPr>
          <w:spacing w:val="-3"/>
          <w:sz w:val="18"/>
          <w:szCs w:val="18"/>
          <w:lang w:val="es-ES_tradnl"/>
        </w:rPr>
        <w:t>impiden el desarrollo y conclusi</w:t>
      </w:r>
      <w:r>
        <w:rPr>
          <w:rFonts w:cs="Times New Roman"/>
          <w:spacing w:val="-3"/>
          <w:sz w:val="18"/>
          <w:szCs w:val="18"/>
          <w:lang w:val="es-ES_tradnl"/>
        </w:rPr>
        <w:t>ó</w:t>
      </w:r>
      <w:r>
        <w:rPr>
          <w:spacing w:val="-3"/>
          <w:sz w:val="18"/>
          <w:szCs w:val="18"/>
          <w:lang w:val="es-ES_tradnl"/>
        </w:rPr>
        <w:t>n normal del proceso</w:t>
      </w:r>
      <w:r>
        <w:rPr>
          <w:rFonts w:cs="Times New Roman"/>
          <w:spacing w:val="-3"/>
          <w:sz w:val="18"/>
          <w:szCs w:val="18"/>
          <w:lang w:val="es-ES_tradnl"/>
        </w:rPr>
        <w:t>”</w:t>
      </w:r>
      <w:r>
        <w:rPr>
          <w:spacing w:val="-3"/>
          <w:sz w:val="18"/>
          <w:szCs w:val="18"/>
          <w:lang w:val="es-ES_tradnl"/>
        </w:rPr>
        <w:t xml:space="preserve">, </w:t>
      </w:r>
      <w:r>
        <w:rPr>
          <w:spacing w:val="-7"/>
          <w:sz w:val="18"/>
          <w:szCs w:val="18"/>
          <w:lang w:val="es-ES_tradnl"/>
        </w:rPr>
        <w:t>al no haberse realizado el an</w:t>
      </w:r>
      <w:r>
        <w:rPr>
          <w:rFonts w:cs="Times New Roman"/>
          <w:spacing w:val="-7"/>
          <w:sz w:val="18"/>
          <w:szCs w:val="18"/>
          <w:lang w:val="es-ES_tradnl"/>
        </w:rPr>
        <w:t>á</w:t>
      </w:r>
      <w:r>
        <w:rPr>
          <w:spacing w:val="-7"/>
          <w:sz w:val="18"/>
          <w:szCs w:val="18"/>
          <w:lang w:val="es-ES_tradnl"/>
        </w:rPr>
        <w:t>lisis documentol</w:t>
      </w:r>
      <w:r>
        <w:rPr>
          <w:rFonts w:cs="Times New Roman"/>
          <w:spacing w:val="-7"/>
          <w:sz w:val="18"/>
          <w:szCs w:val="18"/>
          <w:lang w:val="es-ES_tradnl"/>
        </w:rPr>
        <w:t>ó</w:t>
      </w:r>
      <w:r>
        <w:rPr>
          <w:spacing w:val="-7"/>
          <w:sz w:val="18"/>
          <w:szCs w:val="18"/>
          <w:lang w:val="es-ES_tradnl"/>
        </w:rPr>
        <w:t xml:space="preserve">gico a las </w:t>
      </w:r>
      <w:r>
        <w:rPr>
          <w:spacing w:val="-10"/>
          <w:sz w:val="18"/>
          <w:szCs w:val="18"/>
          <w:lang w:val="es-ES_tradnl"/>
        </w:rPr>
        <w:t>evidencias presentadas que deb</w:t>
      </w:r>
      <w:r>
        <w:rPr>
          <w:rFonts w:cs="Times New Roman"/>
          <w:spacing w:val="-10"/>
          <w:sz w:val="18"/>
          <w:szCs w:val="18"/>
          <w:lang w:val="es-ES_tradnl"/>
        </w:rPr>
        <w:t>í</w:t>
      </w:r>
      <w:r>
        <w:rPr>
          <w:spacing w:val="-10"/>
          <w:sz w:val="18"/>
          <w:szCs w:val="18"/>
          <w:lang w:val="es-ES_tradnl"/>
        </w:rPr>
        <w:t xml:space="preserve">an haber sido un elemento </w:t>
      </w:r>
      <w:r>
        <w:rPr>
          <w:spacing w:val="-2"/>
          <w:sz w:val="18"/>
          <w:szCs w:val="18"/>
          <w:lang w:val="es-ES_tradnl"/>
        </w:rPr>
        <w:t xml:space="preserve">fundamental de convencimiento de las autoridades </w:t>
      </w:r>
      <w:r>
        <w:rPr>
          <w:spacing w:val="-6"/>
          <w:sz w:val="18"/>
          <w:szCs w:val="18"/>
          <w:lang w:val="es-ES_tradnl"/>
        </w:rPr>
        <w:t>judiciales para la desestimaci</w:t>
      </w:r>
      <w:r>
        <w:rPr>
          <w:rFonts w:cs="Times New Roman"/>
          <w:spacing w:val="-6"/>
          <w:sz w:val="18"/>
          <w:szCs w:val="18"/>
          <w:lang w:val="es-ES_tradnl"/>
        </w:rPr>
        <w:t>ó</w:t>
      </w:r>
      <w:r>
        <w:rPr>
          <w:spacing w:val="-6"/>
          <w:sz w:val="18"/>
          <w:szCs w:val="18"/>
          <w:lang w:val="es-ES_tradnl"/>
        </w:rPr>
        <w:t>n de la indagaci</w:t>
      </w:r>
      <w:r>
        <w:rPr>
          <w:rFonts w:cs="Times New Roman"/>
          <w:spacing w:val="-6"/>
          <w:sz w:val="18"/>
          <w:szCs w:val="18"/>
          <w:lang w:val="es-ES_tradnl"/>
        </w:rPr>
        <w:t>ó</w:t>
      </w:r>
      <w:r>
        <w:rPr>
          <w:spacing w:val="-6"/>
          <w:sz w:val="18"/>
          <w:szCs w:val="18"/>
          <w:lang w:val="es-ES_tradnl"/>
        </w:rPr>
        <w:t xml:space="preserve">n previa </w:t>
      </w:r>
      <w:r>
        <w:rPr>
          <w:spacing w:val="-8"/>
          <w:sz w:val="18"/>
          <w:szCs w:val="18"/>
          <w:lang w:val="es-ES_tradnl"/>
        </w:rPr>
        <w:t>iniciada en los exrepresentantes legales de la compa</w:t>
      </w:r>
      <w:r>
        <w:rPr>
          <w:rFonts w:cs="Times New Roman"/>
          <w:spacing w:val="-8"/>
          <w:sz w:val="18"/>
          <w:szCs w:val="18"/>
          <w:lang w:val="es-ES_tradnl"/>
        </w:rPr>
        <w:t>ñí</w:t>
      </w:r>
      <w:r>
        <w:rPr>
          <w:spacing w:val="-8"/>
          <w:sz w:val="18"/>
          <w:szCs w:val="18"/>
          <w:lang w:val="es-ES_tradnl"/>
        </w:rPr>
        <w:t xml:space="preserve">a </w:t>
      </w:r>
      <w:r>
        <w:rPr>
          <w:spacing w:val="-6"/>
          <w:sz w:val="18"/>
          <w:szCs w:val="18"/>
          <w:lang w:val="es-ES_tradnl"/>
        </w:rPr>
        <w:t xml:space="preserve">ECUAVITAL S. A., por lo que se evidencia que los autos </w:t>
      </w:r>
      <w:r>
        <w:rPr>
          <w:spacing w:val="-7"/>
          <w:sz w:val="18"/>
          <w:szCs w:val="18"/>
          <w:lang w:val="es-ES_tradnl"/>
        </w:rPr>
        <w:t>objeto de la presente acci</w:t>
      </w:r>
      <w:r>
        <w:rPr>
          <w:rFonts w:cs="Times New Roman"/>
          <w:spacing w:val="-7"/>
          <w:sz w:val="18"/>
          <w:szCs w:val="18"/>
          <w:lang w:val="es-ES_tradnl"/>
        </w:rPr>
        <w:t>ó</w:t>
      </w:r>
      <w:r>
        <w:rPr>
          <w:spacing w:val="-7"/>
          <w:sz w:val="18"/>
          <w:szCs w:val="18"/>
          <w:lang w:val="es-ES_tradnl"/>
        </w:rPr>
        <w:t>n han generado vulneraci</w:t>
      </w:r>
      <w:r>
        <w:rPr>
          <w:rFonts w:cs="Times New Roman"/>
          <w:spacing w:val="-7"/>
          <w:sz w:val="18"/>
          <w:szCs w:val="18"/>
          <w:lang w:val="es-ES_tradnl"/>
        </w:rPr>
        <w:t>ó</w:t>
      </w:r>
      <w:r>
        <w:rPr>
          <w:spacing w:val="-7"/>
          <w:sz w:val="18"/>
          <w:szCs w:val="18"/>
          <w:lang w:val="es-ES_tradnl"/>
        </w:rPr>
        <w:t xml:space="preserve">n al </w:t>
      </w:r>
      <w:r>
        <w:rPr>
          <w:spacing w:val="-4"/>
          <w:sz w:val="18"/>
          <w:szCs w:val="18"/>
          <w:lang w:val="es-ES_tradnl"/>
        </w:rPr>
        <w:t xml:space="preserve">derecho a la tutela judicial efectiva del legitimado activo, </w:t>
      </w:r>
      <w:r>
        <w:rPr>
          <w:sz w:val="18"/>
          <w:szCs w:val="18"/>
          <w:lang w:val="es-ES_tradnl"/>
        </w:rPr>
        <w:t>al no permitirse la continuaci</w:t>
      </w:r>
      <w:r>
        <w:rPr>
          <w:rFonts w:cs="Times New Roman"/>
          <w:sz w:val="18"/>
          <w:szCs w:val="18"/>
          <w:lang w:val="es-ES_tradnl"/>
        </w:rPr>
        <w:t>ó</w:t>
      </w:r>
      <w:r>
        <w:rPr>
          <w:sz w:val="18"/>
          <w:szCs w:val="18"/>
          <w:lang w:val="es-ES_tradnl"/>
        </w:rPr>
        <w:t>n de la investigaci</w:t>
      </w:r>
      <w:r>
        <w:rPr>
          <w:rFonts w:cs="Times New Roman"/>
          <w:sz w:val="18"/>
          <w:szCs w:val="18"/>
          <w:lang w:val="es-ES_tradnl"/>
        </w:rPr>
        <w:t>ó</w:t>
      </w:r>
      <w:r>
        <w:rPr>
          <w:sz w:val="18"/>
          <w:szCs w:val="18"/>
          <w:lang w:val="es-ES_tradnl"/>
        </w:rPr>
        <w:t xml:space="preserve">n </w:t>
      </w:r>
      <w:r>
        <w:rPr>
          <w:spacing w:val="-4"/>
          <w:sz w:val="18"/>
          <w:szCs w:val="18"/>
          <w:lang w:val="es-ES_tradnl"/>
        </w:rPr>
        <w:t>y la sustanciaci</w:t>
      </w:r>
      <w:r>
        <w:rPr>
          <w:rFonts w:cs="Times New Roman"/>
          <w:spacing w:val="-4"/>
          <w:sz w:val="18"/>
          <w:szCs w:val="18"/>
          <w:lang w:val="es-ES_tradnl"/>
        </w:rPr>
        <w:t>ó</w:t>
      </w:r>
      <w:r>
        <w:rPr>
          <w:spacing w:val="-4"/>
          <w:sz w:val="18"/>
          <w:szCs w:val="18"/>
          <w:lang w:val="es-ES_tradnl"/>
        </w:rPr>
        <w:t xml:space="preserve">n de un procedimiento en el que se </w:t>
      </w:r>
      <w:r>
        <w:rPr>
          <w:spacing w:val="-10"/>
          <w:sz w:val="18"/>
          <w:szCs w:val="18"/>
          <w:lang w:val="es-ES_tradnl"/>
        </w:rPr>
        <w:t xml:space="preserve">contrasten todos los elementos que permitan determinar, en </w:t>
      </w:r>
      <w:r>
        <w:rPr>
          <w:spacing w:val="-8"/>
          <w:sz w:val="18"/>
          <w:szCs w:val="18"/>
          <w:lang w:val="es-ES_tradnl"/>
        </w:rPr>
        <w:t xml:space="preserve">cumplimiento de la juridicidad, una respuesta que tutele los </w:t>
      </w:r>
      <w:r>
        <w:rPr>
          <w:sz w:val="18"/>
          <w:szCs w:val="18"/>
          <w:lang w:val="es-ES_tradnl"/>
        </w:rPr>
        <w:t>derechos expresados en la denuncia.</w:t>
      </w:r>
    </w:p>
    <w:p w14:paraId="4F67BB44" w14:textId="77777777" w:rsidR="00591D54" w:rsidRDefault="00591D54">
      <w:pPr>
        <w:shd w:val="clear" w:color="auto" w:fill="FFFFFF"/>
        <w:tabs>
          <w:tab w:val="left" w:pos="144"/>
        </w:tabs>
        <w:spacing w:before="461"/>
      </w:pPr>
      <w:r>
        <w:rPr>
          <w:sz w:val="10"/>
          <w:szCs w:val="10"/>
          <w:vertAlign w:val="superscript"/>
          <w:lang w:val="es-ES_tradnl"/>
        </w:rPr>
        <w:t>7</w:t>
      </w:r>
      <w:r>
        <w:rPr>
          <w:sz w:val="18"/>
          <w:szCs w:val="18"/>
          <w:lang w:val="es-ES_tradnl"/>
        </w:rPr>
        <w:tab/>
      </w:r>
      <w:r>
        <w:rPr>
          <w:spacing w:val="-1"/>
          <w:sz w:val="14"/>
          <w:szCs w:val="14"/>
          <w:lang w:val="es-ES_tradnl"/>
        </w:rPr>
        <w:t>Ex</w:t>
      </w:r>
      <w:r>
        <w:rPr>
          <w:spacing w:val="-1"/>
          <w:sz w:val="18"/>
          <w:szCs w:val="18"/>
          <w:lang w:val="es-ES_tradnl"/>
        </w:rPr>
        <w:t xml:space="preserve"> </w:t>
      </w:r>
      <w:r>
        <w:rPr>
          <w:spacing w:val="-1"/>
          <w:sz w:val="14"/>
          <w:szCs w:val="14"/>
          <w:lang w:val="es-ES_tradnl"/>
        </w:rPr>
        <w:t>-</w:t>
      </w:r>
      <w:r>
        <w:rPr>
          <w:spacing w:val="-1"/>
          <w:sz w:val="18"/>
          <w:szCs w:val="18"/>
          <w:lang w:val="es-ES_tradnl"/>
        </w:rPr>
        <w:t xml:space="preserve"> </w:t>
      </w:r>
      <w:r>
        <w:rPr>
          <w:spacing w:val="-1"/>
          <w:sz w:val="14"/>
          <w:szCs w:val="14"/>
          <w:lang w:val="es-ES_tradnl"/>
        </w:rPr>
        <w:t>C</w:t>
      </w:r>
      <w:r>
        <w:rPr>
          <w:rFonts w:cs="Times New Roman"/>
          <w:spacing w:val="-1"/>
          <w:sz w:val="14"/>
          <w:szCs w:val="14"/>
          <w:lang w:val="es-ES_tradnl"/>
        </w:rPr>
        <w:t>ó</w:t>
      </w:r>
      <w:r>
        <w:rPr>
          <w:spacing w:val="-1"/>
          <w:sz w:val="14"/>
          <w:szCs w:val="14"/>
          <w:lang w:val="es-ES_tradnl"/>
        </w:rPr>
        <w:t>digo</w:t>
      </w:r>
      <w:r>
        <w:rPr>
          <w:spacing w:val="-1"/>
          <w:sz w:val="18"/>
          <w:szCs w:val="18"/>
          <w:lang w:val="es-ES_tradnl"/>
        </w:rPr>
        <w:t xml:space="preserve"> </w:t>
      </w:r>
      <w:r>
        <w:rPr>
          <w:spacing w:val="-1"/>
          <w:sz w:val="14"/>
          <w:szCs w:val="14"/>
          <w:lang w:val="es-ES_tradnl"/>
        </w:rPr>
        <w:t>de</w:t>
      </w:r>
      <w:r>
        <w:rPr>
          <w:spacing w:val="-1"/>
          <w:sz w:val="18"/>
          <w:szCs w:val="18"/>
          <w:lang w:val="es-ES_tradnl"/>
        </w:rPr>
        <w:t xml:space="preserve"> </w:t>
      </w:r>
      <w:r>
        <w:rPr>
          <w:spacing w:val="-1"/>
          <w:sz w:val="14"/>
          <w:szCs w:val="14"/>
          <w:lang w:val="es-ES_tradnl"/>
        </w:rPr>
        <w:t>Procedimiento</w:t>
      </w:r>
      <w:r>
        <w:rPr>
          <w:spacing w:val="-1"/>
          <w:sz w:val="18"/>
          <w:szCs w:val="18"/>
          <w:lang w:val="es-ES_tradnl"/>
        </w:rPr>
        <w:t xml:space="preserve"> </w:t>
      </w:r>
      <w:r>
        <w:rPr>
          <w:spacing w:val="-1"/>
          <w:sz w:val="14"/>
          <w:szCs w:val="14"/>
          <w:lang w:val="es-ES_tradnl"/>
        </w:rPr>
        <w:t>Penal,</w:t>
      </w:r>
      <w:r>
        <w:rPr>
          <w:spacing w:val="-1"/>
          <w:sz w:val="18"/>
          <w:szCs w:val="18"/>
          <w:lang w:val="es-ES_tradnl"/>
        </w:rPr>
        <w:t xml:space="preserve"> </w:t>
      </w:r>
      <w:r>
        <w:rPr>
          <w:spacing w:val="-1"/>
          <w:sz w:val="14"/>
          <w:szCs w:val="14"/>
          <w:lang w:val="es-ES_tradnl"/>
        </w:rPr>
        <w:t>art</w:t>
      </w:r>
      <w:r>
        <w:rPr>
          <w:rFonts w:cs="Times New Roman"/>
          <w:spacing w:val="-1"/>
          <w:sz w:val="14"/>
          <w:szCs w:val="14"/>
          <w:lang w:val="es-ES_tradnl"/>
        </w:rPr>
        <w:t>í</w:t>
      </w:r>
      <w:r>
        <w:rPr>
          <w:spacing w:val="-1"/>
          <w:sz w:val="14"/>
          <w:szCs w:val="14"/>
          <w:lang w:val="es-ES_tradnl"/>
        </w:rPr>
        <w:t>culo</w:t>
      </w:r>
      <w:r>
        <w:rPr>
          <w:spacing w:val="-1"/>
          <w:sz w:val="18"/>
          <w:szCs w:val="18"/>
          <w:lang w:val="es-ES_tradnl"/>
        </w:rPr>
        <w:t xml:space="preserve"> </w:t>
      </w:r>
      <w:r>
        <w:rPr>
          <w:spacing w:val="-1"/>
          <w:sz w:val="14"/>
          <w:szCs w:val="14"/>
          <w:lang w:val="es-ES_tradnl"/>
        </w:rPr>
        <w:t>38.</w:t>
      </w:r>
    </w:p>
    <w:p w14:paraId="4F67BB45" w14:textId="77777777" w:rsidR="00591D54" w:rsidRDefault="00591D54">
      <w:pPr>
        <w:shd w:val="clear" w:color="auto" w:fill="FFFFFF"/>
        <w:tabs>
          <w:tab w:val="left" w:pos="144"/>
        </w:tabs>
        <w:spacing w:before="154"/>
      </w:pPr>
      <w:r>
        <w:rPr>
          <w:sz w:val="10"/>
          <w:szCs w:val="10"/>
          <w:vertAlign w:val="superscript"/>
          <w:lang w:val="es-ES_tradnl"/>
        </w:rPr>
        <w:t>8</w:t>
      </w:r>
      <w:r>
        <w:rPr>
          <w:sz w:val="18"/>
          <w:szCs w:val="18"/>
          <w:lang w:val="es-ES_tradnl"/>
        </w:rPr>
        <w:tab/>
      </w:r>
      <w:r>
        <w:rPr>
          <w:sz w:val="14"/>
          <w:szCs w:val="14"/>
          <w:lang w:val="es-ES_tradnl"/>
        </w:rPr>
        <w:t>Ib</w:t>
      </w:r>
      <w:r>
        <w:rPr>
          <w:rFonts w:cs="Times New Roman"/>
          <w:sz w:val="14"/>
          <w:szCs w:val="14"/>
          <w:lang w:val="es-ES_tradnl"/>
        </w:rPr>
        <w:t>í</w:t>
      </w:r>
      <w:r>
        <w:rPr>
          <w:sz w:val="14"/>
          <w:szCs w:val="14"/>
          <w:lang w:val="es-ES_tradnl"/>
        </w:rPr>
        <w:t>dem,</w:t>
      </w:r>
      <w:r>
        <w:rPr>
          <w:sz w:val="18"/>
          <w:szCs w:val="18"/>
          <w:lang w:val="es-ES_tradnl"/>
        </w:rPr>
        <w:t xml:space="preserve"> </w:t>
      </w:r>
      <w:r>
        <w:rPr>
          <w:sz w:val="14"/>
          <w:szCs w:val="14"/>
          <w:lang w:val="es-ES_tradnl"/>
        </w:rPr>
        <w:t>art</w:t>
      </w:r>
      <w:r>
        <w:rPr>
          <w:rFonts w:cs="Times New Roman"/>
          <w:sz w:val="14"/>
          <w:szCs w:val="14"/>
          <w:lang w:val="es-ES_tradnl"/>
        </w:rPr>
        <w:t>í</w:t>
      </w:r>
      <w:r>
        <w:rPr>
          <w:sz w:val="14"/>
          <w:szCs w:val="14"/>
          <w:lang w:val="es-ES_tradnl"/>
        </w:rPr>
        <w:t>culo</w:t>
      </w:r>
      <w:r>
        <w:rPr>
          <w:sz w:val="18"/>
          <w:szCs w:val="18"/>
          <w:lang w:val="es-ES_tradnl"/>
        </w:rPr>
        <w:t xml:space="preserve"> </w:t>
      </w:r>
      <w:r>
        <w:rPr>
          <w:sz w:val="14"/>
          <w:szCs w:val="14"/>
          <w:lang w:val="es-ES_tradnl"/>
        </w:rPr>
        <w:t>39</w:t>
      </w:r>
    </w:p>
    <w:p w14:paraId="4F67BB46" w14:textId="77777777" w:rsidR="00591D54" w:rsidRDefault="00591D54">
      <w:pPr>
        <w:shd w:val="clear" w:color="auto" w:fill="FFFFFF"/>
        <w:tabs>
          <w:tab w:val="left" w:pos="144"/>
        </w:tabs>
        <w:spacing w:before="154"/>
        <w:sectPr w:rsidR="00591D54">
          <w:type w:val="continuous"/>
          <w:pgSz w:w="11909" w:h="16834"/>
          <w:pgMar w:top="1356" w:right="1309" w:bottom="360" w:left="1308" w:header="720" w:footer="720" w:gutter="0"/>
          <w:cols w:num="2" w:space="720" w:equalWidth="0">
            <w:col w:w="4305" w:space="682"/>
            <w:col w:w="4305"/>
          </w:cols>
          <w:noEndnote/>
        </w:sectPr>
      </w:pPr>
    </w:p>
    <w:p w14:paraId="4F67BB47" w14:textId="77777777" w:rsidR="00591D54" w:rsidRDefault="00591D54">
      <w:pPr>
        <w:shd w:val="clear" w:color="auto" w:fill="FFFFFF"/>
        <w:tabs>
          <w:tab w:val="left" w:pos="5856"/>
        </w:tabs>
        <w:spacing w:after="245"/>
        <w:ind w:left="19"/>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- 289</w:t>
      </w:r>
    </w:p>
    <w:p w14:paraId="4F67BB48" w14:textId="77777777" w:rsidR="00591D54" w:rsidRDefault="00591D54">
      <w:pPr>
        <w:shd w:val="clear" w:color="auto" w:fill="FFFFFF"/>
        <w:tabs>
          <w:tab w:val="left" w:pos="5856"/>
        </w:tabs>
        <w:spacing w:after="245"/>
        <w:ind w:left="19"/>
        <w:sectPr w:rsidR="00591D54">
          <w:pgSz w:w="11909" w:h="16834"/>
          <w:pgMar w:top="1395" w:right="1304" w:bottom="360" w:left="1293" w:header="720" w:footer="720" w:gutter="0"/>
          <w:cols w:space="60"/>
          <w:noEndnote/>
        </w:sectPr>
      </w:pPr>
    </w:p>
    <w:p w14:paraId="4F67BB49" w14:textId="77777777" w:rsidR="00591D54" w:rsidRDefault="00591D54">
      <w:pPr>
        <w:shd w:val="clear" w:color="auto" w:fill="FFFFFF"/>
        <w:spacing w:line="211" w:lineRule="exact"/>
        <w:jc w:val="both"/>
      </w:pPr>
      <w:r>
        <w:rPr>
          <w:spacing w:val="-3"/>
          <w:sz w:val="16"/>
          <w:szCs w:val="16"/>
          <w:lang w:val="es-ES_tradnl"/>
        </w:rPr>
        <w:t xml:space="preserve">En base a todo lo expuesto </w:t>
      </w:r>
      <w:r>
        <w:rPr>
          <w:i/>
          <w:iCs/>
          <w:spacing w:val="-3"/>
          <w:sz w:val="16"/>
          <w:szCs w:val="16"/>
          <w:lang w:val="es-ES_tradnl"/>
        </w:rPr>
        <w:t xml:space="preserve">ut supra, </w:t>
      </w:r>
      <w:r>
        <w:rPr>
          <w:spacing w:val="-3"/>
          <w:sz w:val="16"/>
          <w:szCs w:val="16"/>
          <w:lang w:val="es-ES_tradnl"/>
        </w:rPr>
        <w:t xml:space="preserve">esta Corte Constitucional </w:t>
      </w:r>
      <w:r>
        <w:rPr>
          <w:sz w:val="16"/>
          <w:szCs w:val="16"/>
          <w:lang w:val="es-ES_tradnl"/>
        </w:rPr>
        <w:t>considera que en el presente caso se ha vulnerado la tutela judicial efectiva, dado que las autoridades judiciales, de manera arbitraria, imposibilitaron la continuaci</w:t>
      </w:r>
      <w:r>
        <w:rPr>
          <w:rFonts w:cs="Times New Roman"/>
          <w:sz w:val="16"/>
          <w:szCs w:val="16"/>
          <w:lang w:val="es-ES_tradnl"/>
        </w:rPr>
        <w:t>ó</w:t>
      </w:r>
      <w:r>
        <w:rPr>
          <w:sz w:val="16"/>
          <w:szCs w:val="16"/>
          <w:lang w:val="es-ES_tradnl"/>
        </w:rPr>
        <w:t>n de las investigaciones de la presunta infracci</w:t>
      </w:r>
      <w:r>
        <w:rPr>
          <w:rFonts w:cs="Times New Roman"/>
          <w:sz w:val="16"/>
          <w:szCs w:val="16"/>
          <w:lang w:val="es-ES_tradnl"/>
        </w:rPr>
        <w:t>ó</w:t>
      </w:r>
      <w:r>
        <w:rPr>
          <w:sz w:val="16"/>
          <w:szCs w:val="16"/>
          <w:lang w:val="es-ES_tradnl"/>
        </w:rPr>
        <w:t xml:space="preserve">n penal cometida en contra de la autoridad tributaria nacional, vulnerando de esa manera su derecho de acceder a la justicia, con un debido proceso que permita al legitimado activo obtener </w:t>
      </w:r>
      <w:r>
        <w:rPr>
          <w:spacing w:val="-1"/>
          <w:sz w:val="16"/>
          <w:szCs w:val="16"/>
          <w:lang w:val="es-ES_tradnl"/>
        </w:rPr>
        <w:t>una respuesta fundada en derecho a sus denuncias.</w:t>
      </w:r>
    </w:p>
    <w:p w14:paraId="4F67BB4A" w14:textId="77777777" w:rsidR="00591D54" w:rsidRDefault="00591D54">
      <w:pPr>
        <w:shd w:val="clear" w:color="auto" w:fill="FFFFFF"/>
        <w:spacing w:before="274"/>
        <w:ind w:left="10"/>
        <w:jc w:val="center"/>
      </w:pPr>
      <w:r>
        <w:rPr>
          <w:b/>
          <w:bCs/>
          <w:sz w:val="16"/>
          <w:szCs w:val="16"/>
          <w:lang w:val="en-US"/>
        </w:rPr>
        <w:t xml:space="preserve">III. </w:t>
      </w:r>
      <w:r>
        <w:rPr>
          <w:b/>
          <w:bCs/>
          <w:sz w:val="16"/>
          <w:szCs w:val="16"/>
          <w:lang w:val="es-ES_tradnl"/>
        </w:rPr>
        <w:t>DECISI</w:t>
      </w:r>
      <w:r>
        <w:rPr>
          <w:rFonts w:cs="Times New Roman"/>
          <w:b/>
          <w:bCs/>
          <w:sz w:val="16"/>
          <w:szCs w:val="16"/>
          <w:lang w:val="es-ES_tradnl"/>
        </w:rPr>
        <w:t>Ó</w:t>
      </w:r>
      <w:r>
        <w:rPr>
          <w:b/>
          <w:bCs/>
          <w:sz w:val="16"/>
          <w:szCs w:val="16"/>
          <w:lang w:val="es-ES_tradnl"/>
        </w:rPr>
        <w:t>N</w:t>
      </w:r>
    </w:p>
    <w:p w14:paraId="4F67BB4B" w14:textId="77777777" w:rsidR="00591D54" w:rsidRDefault="00591D54">
      <w:pPr>
        <w:shd w:val="clear" w:color="auto" w:fill="FFFFFF"/>
        <w:spacing w:before="264" w:line="211" w:lineRule="exact"/>
        <w:ind w:left="14"/>
        <w:jc w:val="both"/>
      </w:pPr>
      <w:r>
        <w:rPr>
          <w:sz w:val="16"/>
          <w:szCs w:val="16"/>
          <w:lang w:val="es-ES_tradnl"/>
        </w:rPr>
        <w:t>En m</w:t>
      </w:r>
      <w:r>
        <w:rPr>
          <w:rFonts w:cs="Times New Roman"/>
          <w:sz w:val="16"/>
          <w:szCs w:val="16"/>
          <w:lang w:val="es-ES_tradnl"/>
        </w:rPr>
        <w:t>é</w:t>
      </w:r>
      <w:r>
        <w:rPr>
          <w:sz w:val="16"/>
          <w:szCs w:val="16"/>
          <w:lang w:val="es-ES_tradnl"/>
        </w:rPr>
        <w:t>rito de lo expuesto, administrando justicia constitucional y por mandato de la Constituci</w:t>
      </w:r>
      <w:r>
        <w:rPr>
          <w:rFonts w:cs="Times New Roman"/>
          <w:sz w:val="16"/>
          <w:szCs w:val="16"/>
          <w:lang w:val="es-ES_tradnl"/>
        </w:rPr>
        <w:t>ó</w:t>
      </w:r>
      <w:r>
        <w:rPr>
          <w:sz w:val="16"/>
          <w:szCs w:val="16"/>
          <w:lang w:val="es-ES_tradnl"/>
        </w:rPr>
        <w:t>n de la Rep</w:t>
      </w:r>
      <w:r>
        <w:rPr>
          <w:rFonts w:cs="Times New Roman"/>
          <w:sz w:val="16"/>
          <w:szCs w:val="16"/>
          <w:lang w:val="es-ES_tradnl"/>
        </w:rPr>
        <w:t>ú</w:t>
      </w:r>
      <w:r>
        <w:rPr>
          <w:sz w:val="16"/>
          <w:szCs w:val="16"/>
          <w:lang w:val="es-ES_tradnl"/>
        </w:rPr>
        <w:t>blica del Ecuador, el Pleno de la Corte Constitucional expide la siguiente:</w:t>
      </w:r>
    </w:p>
    <w:p w14:paraId="4F67BB4C" w14:textId="77777777" w:rsidR="00591D54" w:rsidRDefault="00591D54">
      <w:pPr>
        <w:shd w:val="clear" w:color="auto" w:fill="FFFFFF"/>
        <w:spacing w:before="283"/>
        <w:ind w:left="29"/>
        <w:jc w:val="center"/>
      </w:pPr>
      <w:r>
        <w:rPr>
          <w:b/>
          <w:bCs/>
          <w:sz w:val="16"/>
          <w:szCs w:val="16"/>
          <w:lang w:val="es-ES_tradnl"/>
        </w:rPr>
        <w:t>SENTENCIA</w:t>
      </w:r>
    </w:p>
    <w:p w14:paraId="4F67BB4D" w14:textId="77777777" w:rsidR="00591D54" w:rsidRDefault="00591D54" w:rsidP="00251195">
      <w:pPr>
        <w:numPr>
          <w:ilvl w:val="0"/>
          <w:numId w:val="125"/>
        </w:numPr>
        <w:shd w:val="clear" w:color="auto" w:fill="FFFFFF"/>
        <w:tabs>
          <w:tab w:val="left" w:pos="576"/>
        </w:tabs>
        <w:spacing w:before="264" w:line="211" w:lineRule="exact"/>
        <w:ind w:left="576" w:right="5" w:hanging="278"/>
        <w:jc w:val="both"/>
        <w:rPr>
          <w:spacing w:val="-16"/>
          <w:sz w:val="16"/>
          <w:szCs w:val="16"/>
          <w:lang w:val="es-ES_tradnl"/>
        </w:rPr>
      </w:pPr>
      <w:r>
        <w:rPr>
          <w:sz w:val="16"/>
          <w:szCs w:val="16"/>
          <w:lang w:val="es-ES_tradnl"/>
        </w:rPr>
        <w:t>Declarar la vulneraci</w:t>
      </w:r>
      <w:r>
        <w:rPr>
          <w:rFonts w:cs="Times New Roman"/>
          <w:sz w:val="16"/>
          <w:szCs w:val="16"/>
          <w:lang w:val="es-ES_tradnl"/>
        </w:rPr>
        <w:t>ó</w:t>
      </w:r>
      <w:r>
        <w:rPr>
          <w:sz w:val="16"/>
          <w:szCs w:val="16"/>
          <w:lang w:val="es-ES_tradnl"/>
        </w:rPr>
        <w:t>n del derecho constitucional a la tutela judicial efectiva, consagrado en el art</w:t>
      </w:r>
      <w:r>
        <w:rPr>
          <w:rFonts w:cs="Times New Roman"/>
          <w:sz w:val="16"/>
          <w:szCs w:val="16"/>
          <w:lang w:val="es-ES_tradnl"/>
        </w:rPr>
        <w:t>í</w:t>
      </w:r>
      <w:r>
        <w:rPr>
          <w:sz w:val="16"/>
          <w:szCs w:val="16"/>
          <w:lang w:val="es-ES_tradnl"/>
        </w:rPr>
        <w:t>culo 75 de la Constituci</w:t>
      </w:r>
      <w:r>
        <w:rPr>
          <w:rFonts w:cs="Times New Roman"/>
          <w:sz w:val="16"/>
          <w:szCs w:val="16"/>
          <w:lang w:val="es-ES_tradnl"/>
        </w:rPr>
        <w:t>ó</w:t>
      </w:r>
      <w:r>
        <w:rPr>
          <w:sz w:val="16"/>
          <w:szCs w:val="16"/>
          <w:lang w:val="es-ES_tradnl"/>
        </w:rPr>
        <w:t>n de la Rep</w:t>
      </w:r>
      <w:r>
        <w:rPr>
          <w:rFonts w:cs="Times New Roman"/>
          <w:sz w:val="16"/>
          <w:szCs w:val="16"/>
          <w:lang w:val="es-ES_tradnl"/>
        </w:rPr>
        <w:t>ú</w:t>
      </w:r>
      <w:r>
        <w:rPr>
          <w:sz w:val="16"/>
          <w:szCs w:val="16"/>
          <w:lang w:val="es-ES_tradnl"/>
        </w:rPr>
        <w:t>blica.</w:t>
      </w:r>
    </w:p>
    <w:p w14:paraId="4F67BB4E" w14:textId="77777777" w:rsidR="00591D54" w:rsidRDefault="00591D54" w:rsidP="00251195">
      <w:pPr>
        <w:numPr>
          <w:ilvl w:val="0"/>
          <w:numId w:val="125"/>
        </w:numPr>
        <w:shd w:val="clear" w:color="auto" w:fill="FFFFFF"/>
        <w:tabs>
          <w:tab w:val="left" w:pos="576"/>
        </w:tabs>
        <w:spacing w:before="259" w:line="211" w:lineRule="exact"/>
        <w:ind w:left="576" w:hanging="278"/>
        <w:jc w:val="both"/>
        <w:rPr>
          <w:spacing w:val="-8"/>
          <w:sz w:val="16"/>
          <w:szCs w:val="16"/>
          <w:lang w:val="es-ES_tradnl"/>
        </w:rPr>
      </w:pPr>
      <w:r>
        <w:rPr>
          <w:sz w:val="16"/>
          <w:szCs w:val="16"/>
          <w:lang w:val="es-ES_tradnl"/>
        </w:rPr>
        <w:t>Aceptar la acci</w:t>
      </w:r>
      <w:r>
        <w:rPr>
          <w:rFonts w:cs="Times New Roman"/>
          <w:sz w:val="16"/>
          <w:szCs w:val="16"/>
          <w:lang w:val="es-ES_tradnl"/>
        </w:rPr>
        <w:t>ó</w:t>
      </w:r>
      <w:r>
        <w:rPr>
          <w:sz w:val="16"/>
          <w:szCs w:val="16"/>
          <w:lang w:val="es-ES_tradnl"/>
        </w:rPr>
        <w:t>n extraordinaria de protecci</w:t>
      </w:r>
      <w:r>
        <w:rPr>
          <w:rFonts w:cs="Times New Roman"/>
          <w:sz w:val="16"/>
          <w:szCs w:val="16"/>
          <w:lang w:val="es-ES_tradnl"/>
        </w:rPr>
        <w:t>ó</w:t>
      </w:r>
      <w:r>
        <w:rPr>
          <w:sz w:val="16"/>
          <w:szCs w:val="16"/>
          <w:lang w:val="es-ES_tradnl"/>
        </w:rPr>
        <w:t>n planteada.</w:t>
      </w:r>
    </w:p>
    <w:p w14:paraId="4F67BB4F" w14:textId="77777777" w:rsidR="00591D54" w:rsidRDefault="00591D54" w:rsidP="00251195">
      <w:pPr>
        <w:numPr>
          <w:ilvl w:val="0"/>
          <w:numId w:val="125"/>
        </w:numPr>
        <w:shd w:val="clear" w:color="auto" w:fill="FFFFFF"/>
        <w:tabs>
          <w:tab w:val="left" w:pos="576"/>
        </w:tabs>
        <w:spacing w:before="283"/>
        <w:ind w:left="298"/>
        <w:rPr>
          <w:spacing w:val="-12"/>
          <w:sz w:val="16"/>
          <w:szCs w:val="16"/>
          <w:lang w:val="es-ES_tradnl"/>
        </w:rPr>
      </w:pPr>
      <w:r>
        <w:rPr>
          <w:sz w:val="16"/>
          <w:szCs w:val="16"/>
          <w:lang w:val="es-ES_tradnl"/>
        </w:rPr>
        <w:t>Como medidas de reparaci</w:t>
      </w:r>
      <w:r>
        <w:rPr>
          <w:rFonts w:cs="Times New Roman"/>
          <w:sz w:val="16"/>
          <w:szCs w:val="16"/>
          <w:lang w:val="es-ES_tradnl"/>
        </w:rPr>
        <w:t>ó</w:t>
      </w:r>
      <w:r>
        <w:rPr>
          <w:sz w:val="16"/>
          <w:szCs w:val="16"/>
          <w:lang w:val="es-ES_tradnl"/>
        </w:rPr>
        <w:t>n se dispone:</w:t>
      </w:r>
    </w:p>
    <w:p w14:paraId="4F67BB50" w14:textId="77777777" w:rsidR="00591D54" w:rsidRDefault="00591D54">
      <w:pPr>
        <w:rPr>
          <w:rFonts w:cs="Times New Roman"/>
          <w:sz w:val="2"/>
          <w:szCs w:val="2"/>
        </w:rPr>
      </w:pPr>
    </w:p>
    <w:p w14:paraId="4F67BB51" w14:textId="77777777" w:rsidR="00591D54" w:rsidRDefault="00591D54" w:rsidP="00251195">
      <w:pPr>
        <w:numPr>
          <w:ilvl w:val="0"/>
          <w:numId w:val="126"/>
        </w:numPr>
        <w:shd w:val="clear" w:color="auto" w:fill="FFFFFF"/>
        <w:tabs>
          <w:tab w:val="left" w:pos="1171"/>
        </w:tabs>
        <w:spacing w:before="264" w:line="211" w:lineRule="exact"/>
        <w:ind w:left="864" w:right="5"/>
        <w:jc w:val="both"/>
        <w:rPr>
          <w:spacing w:val="-10"/>
          <w:sz w:val="16"/>
          <w:szCs w:val="16"/>
          <w:lang w:val="es-ES_tradnl"/>
        </w:rPr>
      </w:pPr>
      <w:r>
        <w:rPr>
          <w:sz w:val="16"/>
          <w:szCs w:val="16"/>
          <w:lang w:val="es-ES_tradnl"/>
        </w:rPr>
        <w:t xml:space="preserve">Dejar sin efecto los autos del 4 y 11 de </w:t>
      </w:r>
      <w:r>
        <w:rPr>
          <w:spacing w:val="-1"/>
          <w:sz w:val="16"/>
          <w:szCs w:val="16"/>
          <w:lang w:val="es-ES_tradnl"/>
        </w:rPr>
        <w:t xml:space="preserve">agosto de 2011, expedidos por el Juzgado Sexto </w:t>
      </w:r>
      <w:r>
        <w:rPr>
          <w:spacing w:val="-2"/>
          <w:sz w:val="16"/>
          <w:szCs w:val="16"/>
          <w:lang w:val="es-ES_tradnl"/>
        </w:rPr>
        <w:t>de Garant</w:t>
      </w:r>
      <w:r>
        <w:rPr>
          <w:rFonts w:cs="Times New Roman"/>
          <w:spacing w:val="-2"/>
          <w:sz w:val="16"/>
          <w:szCs w:val="16"/>
          <w:lang w:val="es-ES_tradnl"/>
        </w:rPr>
        <w:t>í</w:t>
      </w:r>
      <w:r>
        <w:rPr>
          <w:spacing w:val="-2"/>
          <w:sz w:val="16"/>
          <w:szCs w:val="16"/>
          <w:lang w:val="es-ES_tradnl"/>
        </w:rPr>
        <w:t xml:space="preserve">as Penales de la provincia de Guayas, </w:t>
      </w:r>
      <w:r>
        <w:rPr>
          <w:sz w:val="16"/>
          <w:szCs w:val="16"/>
          <w:lang w:val="es-ES_tradnl"/>
        </w:rPr>
        <w:t>dentro de la indagaci</w:t>
      </w:r>
      <w:r>
        <w:rPr>
          <w:rFonts w:cs="Times New Roman"/>
          <w:sz w:val="16"/>
          <w:szCs w:val="16"/>
          <w:lang w:val="es-ES_tradnl"/>
        </w:rPr>
        <w:t>ó</w:t>
      </w:r>
      <w:r>
        <w:rPr>
          <w:sz w:val="16"/>
          <w:szCs w:val="16"/>
          <w:lang w:val="es-ES_tradnl"/>
        </w:rPr>
        <w:t>n previa N.</w:t>
      </w:r>
      <w:r>
        <w:rPr>
          <w:rFonts w:cs="Times New Roman"/>
          <w:sz w:val="16"/>
          <w:szCs w:val="16"/>
          <w:lang w:val="es-ES_tradnl"/>
        </w:rPr>
        <w:t>º</w:t>
      </w:r>
      <w:r>
        <w:rPr>
          <w:sz w:val="16"/>
          <w:szCs w:val="16"/>
          <w:lang w:val="es-ES_tradnl"/>
        </w:rPr>
        <w:t xml:space="preserve"> 088-2011.</w:t>
      </w:r>
    </w:p>
    <w:p w14:paraId="4F67BB52" w14:textId="77777777" w:rsidR="00591D54" w:rsidRDefault="00591D54" w:rsidP="00251195">
      <w:pPr>
        <w:numPr>
          <w:ilvl w:val="0"/>
          <w:numId w:val="126"/>
        </w:numPr>
        <w:shd w:val="clear" w:color="auto" w:fill="FFFFFF"/>
        <w:tabs>
          <w:tab w:val="left" w:pos="1171"/>
        </w:tabs>
        <w:spacing w:before="259" w:line="211" w:lineRule="exact"/>
        <w:ind w:left="864"/>
        <w:jc w:val="both"/>
        <w:rPr>
          <w:spacing w:val="-5"/>
          <w:sz w:val="16"/>
          <w:szCs w:val="16"/>
          <w:lang w:val="es-ES_tradnl"/>
        </w:rPr>
      </w:pPr>
      <w:r>
        <w:rPr>
          <w:sz w:val="16"/>
          <w:szCs w:val="16"/>
          <w:lang w:val="es-ES_tradnl"/>
        </w:rPr>
        <w:t>Disponer que previo sorteo, otro juez resuelva respecto de la desestimaci</w:t>
      </w:r>
      <w:r>
        <w:rPr>
          <w:rFonts w:cs="Times New Roman"/>
          <w:sz w:val="16"/>
          <w:szCs w:val="16"/>
          <w:lang w:val="es-ES_tradnl"/>
        </w:rPr>
        <w:t>ó</w:t>
      </w:r>
      <w:r>
        <w:rPr>
          <w:sz w:val="16"/>
          <w:szCs w:val="16"/>
          <w:lang w:val="es-ES_tradnl"/>
        </w:rPr>
        <w:t>n de la indagaci</w:t>
      </w:r>
      <w:r>
        <w:rPr>
          <w:rFonts w:cs="Times New Roman"/>
          <w:sz w:val="16"/>
          <w:szCs w:val="16"/>
          <w:lang w:val="es-ES_tradnl"/>
        </w:rPr>
        <w:t>ó</w:t>
      </w:r>
      <w:r>
        <w:rPr>
          <w:sz w:val="16"/>
          <w:szCs w:val="16"/>
          <w:lang w:val="es-ES_tradnl"/>
        </w:rPr>
        <w:t>n previa N.</w:t>
      </w:r>
      <w:r>
        <w:rPr>
          <w:rFonts w:cs="Times New Roman"/>
          <w:sz w:val="16"/>
          <w:szCs w:val="16"/>
          <w:lang w:val="es-ES_tradnl"/>
        </w:rPr>
        <w:t>º</w:t>
      </w:r>
      <w:r>
        <w:rPr>
          <w:sz w:val="16"/>
          <w:szCs w:val="16"/>
          <w:lang w:val="es-ES_tradnl"/>
        </w:rPr>
        <w:t xml:space="preserve"> 088-2011, acatando las consideraciones se</w:t>
      </w:r>
      <w:r>
        <w:rPr>
          <w:rFonts w:cs="Times New Roman"/>
          <w:sz w:val="16"/>
          <w:szCs w:val="16"/>
          <w:lang w:val="es-ES_tradnl"/>
        </w:rPr>
        <w:t>ñ</w:t>
      </w:r>
      <w:r>
        <w:rPr>
          <w:sz w:val="16"/>
          <w:szCs w:val="16"/>
          <w:lang w:val="es-ES_tradnl"/>
        </w:rPr>
        <w:t>aladas por esta Corte Constitucional en el presente fallo.</w:t>
      </w:r>
    </w:p>
    <w:p w14:paraId="4F67BB53" w14:textId="77777777" w:rsidR="00591D54" w:rsidRDefault="00591D54">
      <w:pPr>
        <w:shd w:val="clear" w:color="auto" w:fill="FFFFFF"/>
        <w:tabs>
          <w:tab w:val="left" w:pos="576"/>
        </w:tabs>
        <w:spacing w:before="48" w:line="475" w:lineRule="exact"/>
        <w:ind w:left="19" w:right="1037" w:firstLine="278"/>
      </w:pPr>
      <w:r>
        <w:rPr>
          <w:spacing w:val="-8"/>
          <w:sz w:val="16"/>
          <w:szCs w:val="16"/>
          <w:lang w:val="es-ES_tradnl"/>
        </w:rPr>
        <w:t>4.</w:t>
      </w:r>
      <w:r>
        <w:rPr>
          <w:sz w:val="16"/>
          <w:szCs w:val="16"/>
          <w:lang w:val="es-ES_tradnl"/>
        </w:rPr>
        <w:tab/>
        <w:t>Notif</w:t>
      </w:r>
      <w:r>
        <w:rPr>
          <w:rFonts w:cs="Times New Roman"/>
          <w:sz w:val="16"/>
          <w:szCs w:val="16"/>
          <w:lang w:val="es-ES_tradnl"/>
        </w:rPr>
        <w:t>í</w:t>
      </w:r>
      <w:r>
        <w:rPr>
          <w:sz w:val="16"/>
          <w:szCs w:val="16"/>
          <w:lang w:val="es-ES_tradnl"/>
        </w:rPr>
        <w:t>quese, publ</w:t>
      </w:r>
      <w:r>
        <w:rPr>
          <w:rFonts w:cs="Times New Roman"/>
          <w:sz w:val="16"/>
          <w:szCs w:val="16"/>
          <w:lang w:val="es-ES_tradnl"/>
        </w:rPr>
        <w:t>í</w:t>
      </w:r>
      <w:r>
        <w:rPr>
          <w:sz w:val="16"/>
          <w:szCs w:val="16"/>
          <w:lang w:val="es-ES_tradnl"/>
        </w:rPr>
        <w:t>quese y c</w:t>
      </w:r>
      <w:r>
        <w:rPr>
          <w:rFonts w:cs="Times New Roman"/>
          <w:sz w:val="16"/>
          <w:szCs w:val="16"/>
          <w:lang w:val="es-ES_tradnl"/>
        </w:rPr>
        <w:t>ú</w:t>
      </w:r>
      <w:r>
        <w:rPr>
          <w:sz w:val="16"/>
          <w:szCs w:val="16"/>
          <w:lang w:val="es-ES_tradnl"/>
        </w:rPr>
        <w:t>mplase. f.) Patricio Pazmi</w:t>
      </w:r>
      <w:r>
        <w:rPr>
          <w:rFonts w:cs="Times New Roman"/>
          <w:sz w:val="16"/>
          <w:szCs w:val="16"/>
          <w:lang w:val="es-ES_tradnl"/>
        </w:rPr>
        <w:t>ñ</w:t>
      </w:r>
      <w:r>
        <w:rPr>
          <w:sz w:val="16"/>
          <w:szCs w:val="16"/>
          <w:lang w:val="es-ES_tradnl"/>
        </w:rPr>
        <w:t xml:space="preserve">o Freire, </w:t>
      </w:r>
      <w:r>
        <w:rPr>
          <w:b/>
          <w:bCs/>
          <w:sz w:val="16"/>
          <w:szCs w:val="16"/>
          <w:lang w:val="es-ES_tradnl"/>
        </w:rPr>
        <w:t>PRESIDENTE.</w:t>
      </w:r>
    </w:p>
    <w:p w14:paraId="4F67BB54" w14:textId="77777777" w:rsidR="00591D54" w:rsidRDefault="00591D54">
      <w:pPr>
        <w:shd w:val="clear" w:color="auto" w:fill="FFFFFF"/>
        <w:spacing w:before="187"/>
        <w:ind w:left="19"/>
      </w:pPr>
      <w:r>
        <w:rPr>
          <w:sz w:val="16"/>
          <w:szCs w:val="16"/>
          <w:lang w:val="es-ES_tradnl"/>
        </w:rPr>
        <w:t xml:space="preserve">f.) Jaime Pozo Chamorro, </w:t>
      </w:r>
      <w:r>
        <w:rPr>
          <w:b/>
          <w:bCs/>
          <w:sz w:val="16"/>
          <w:szCs w:val="16"/>
          <w:lang w:val="es-ES_tradnl"/>
        </w:rPr>
        <w:t>SECRETARIO GENERAL.</w:t>
      </w:r>
    </w:p>
    <w:p w14:paraId="4F67BB55" w14:textId="77777777" w:rsidR="00591D54" w:rsidRDefault="00591D54">
      <w:pPr>
        <w:shd w:val="clear" w:color="auto" w:fill="FFFFFF"/>
        <w:spacing w:before="216" w:line="211" w:lineRule="exact"/>
        <w:ind w:left="14" w:right="5"/>
        <w:jc w:val="both"/>
      </w:pPr>
      <w:r>
        <w:rPr>
          <w:b/>
          <w:bCs/>
          <w:sz w:val="16"/>
          <w:szCs w:val="16"/>
          <w:lang w:val="es-ES_tradnl"/>
        </w:rPr>
        <w:t>RAZ</w:t>
      </w:r>
      <w:r>
        <w:rPr>
          <w:rFonts w:cs="Times New Roman"/>
          <w:b/>
          <w:bCs/>
          <w:sz w:val="16"/>
          <w:szCs w:val="16"/>
          <w:lang w:val="es-ES_tradnl"/>
        </w:rPr>
        <w:t>Ó</w:t>
      </w:r>
      <w:r>
        <w:rPr>
          <w:b/>
          <w:bCs/>
          <w:sz w:val="16"/>
          <w:szCs w:val="16"/>
          <w:lang w:val="es-ES_tradnl"/>
        </w:rPr>
        <w:t xml:space="preserve">N.- </w:t>
      </w:r>
      <w:r>
        <w:rPr>
          <w:sz w:val="16"/>
          <w:szCs w:val="16"/>
          <w:lang w:val="es-ES_tradnl"/>
        </w:rPr>
        <w:t xml:space="preserve">Siento por tal, que la sentencia que antecede fue aprobada por el Pleno de la Corte Constitucional, con ocho </w:t>
      </w:r>
      <w:r>
        <w:rPr>
          <w:spacing w:val="-1"/>
          <w:sz w:val="16"/>
          <w:szCs w:val="16"/>
          <w:lang w:val="es-ES_tradnl"/>
        </w:rPr>
        <w:t xml:space="preserve">votos a favor, de las juezas y jueces Antonio Gagliardo Loor, </w:t>
      </w:r>
      <w:r>
        <w:rPr>
          <w:sz w:val="16"/>
          <w:szCs w:val="16"/>
          <w:lang w:val="es-ES_tradnl"/>
        </w:rPr>
        <w:t>Marcelo Jaramillo Villa, Mar</w:t>
      </w:r>
      <w:r>
        <w:rPr>
          <w:rFonts w:cs="Times New Roman"/>
          <w:sz w:val="16"/>
          <w:szCs w:val="16"/>
          <w:lang w:val="es-ES_tradnl"/>
        </w:rPr>
        <w:t>í</w:t>
      </w:r>
      <w:r>
        <w:rPr>
          <w:sz w:val="16"/>
          <w:szCs w:val="16"/>
          <w:lang w:val="es-ES_tradnl"/>
        </w:rPr>
        <w:t>a del Carmen Maldonado S</w:t>
      </w:r>
      <w:r>
        <w:rPr>
          <w:rFonts w:cs="Times New Roman"/>
          <w:sz w:val="16"/>
          <w:szCs w:val="16"/>
          <w:lang w:val="es-ES_tradnl"/>
        </w:rPr>
        <w:t>á</w:t>
      </w:r>
      <w:r>
        <w:rPr>
          <w:sz w:val="16"/>
          <w:szCs w:val="16"/>
          <w:lang w:val="es-ES_tradnl"/>
        </w:rPr>
        <w:t>nchez, Tatiana Orde</w:t>
      </w:r>
      <w:r>
        <w:rPr>
          <w:rFonts w:cs="Times New Roman"/>
          <w:sz w:val="16"/>
          <w:szCs w:val="16"/>
          <w:lang w:val="es-ES_tradnl"/>
        </w:rPr>
        <w:t>ñ</w:t>
      </w:r>
      <w:r>
        <w:rPr>
          <w:sz w:val="16"/>
          <w:szCs w:val="16"/>
          <w:lang w:val="es-ES_tradnl"/>
        </w:rPr>
        <w:t>ana Sierra, Alfredo Ruiz Guzm</w:t>
      </w:r>
      <w:r>
        <w:rPr>
          <w:rFonts w:cs="Times New Roman"/>
          <w:sz w:val="16"/>
          <w:szCs w:val="16"/>
          <w:lang w:val="es-ES_tradnl"/>
        </w:rPr>
        <w:t>á</w:t>
      </w:r>
      <w:r>
        <w:rPr>
          <w:sz w:val="16"/>
          <w:szCs w:val="16"/>
          <w:lang w:val="es-ES_tradnl"/>
        </w:rPr>
        <w:t>n, Ruth Seni Pinoargote, Manuel Viteri Olvera y Patricio Pazmi</w:t>
      </w:r>
      <w:r>
        <w:rPr>
          <w:rFonts w:cs="Times New Roman"/>
          <w:sz w:val="16"/>
          <w:szCs w:val="16"/>
          <w:lang w:val="es-ES_tradnl"/>
        </w:rPr>
        <w:t>ñ</w:t>
      </w:r>
      <w:r>
        <w:rPr>
          <w:sz w:val="16"/>
          <w:szCs w:val="16"/>
          <w:lang w:val="es-ES_tradnl"/>
        </w:rPr>
        <w:t>o Freire, sin contar con la presencia de la jueza Wendy Molina Andrade, en sesi</w:t>
      </w:r>
      <w:r>
        <w:rPr>
          <w:rFonts w:cs="Times New Roman"/>
          <w:sz w:val="16"/>
          <w:szCs w:val="16"/>
          <w:lang w:val="es-ES_tradnl"/>
        </w:rPr>
        <w:t>ó</w:t>
      </w:r>
      <w:r>
        <w:rPr>
          <w:sz w:val="16"/>
          <w:szCs w:val="16"/>
          <w:lang w:val="es-ES_tradnl"/>
        </w:rPr>
        <w:t>n de 02 de septiembre del 2015. Lo certifico.</w:t>
      </w:r>
    </w:p>
    <w:p w14:paraId="4F67BB56" w14:textId="77777777" w:rsidR="00591D54" w:rsidRDefault="00591D54">
      <w:pPr>
        <w:shd w:val="clear" w:color="auto" w:fill="FFFFFF"/>
        <w:spacing w:before="283"/>
        <w:ind w:left="19"/>
      </w:pPr>
      <w:r>
        <w:rPr>
          <w:sz w:val="16"/>
          <w:szCs w:val="16"/>
          <w:lang w:val="es-ES_tradnl"/>
        </w:rPr>
        <w:t xml:space="preserve">f.) Jaime Pozo Chamorro, </w:t>
      </w:r>
      <w:r>
        <w:rPr>
          <w:b/>
          <w:bCs/>
          <w:sz w:val="16"/>
          <w:szCs w:val="16"/>
          <w:lang w:val="es-ES_tradnl"/>
        </w:rPr>
        <w:t>SECRETARIO GENERAL.</w:t>
      </w:r>
    </w:p>
    <w:p w14:paraId="4F67BB57" w14:textId="77777777" w:rsidR="00591D54" w:rsidRDefault="00591D54">
      <w:pPr>
        <w:shd w:val="clear" w:color="auto" w:fill="FFFFFF"/>
        <w:spacing w:before="216" w:line="211" w:lineRule="exact"/>
        <w:ind w:left="24"/>
      </w:pPr>
      <w:r>
        <w:rPr>
          <w:b/>
          <w:bCs/>
          <w:sz w:val="16"/>
          <w:szCs w:val="16"/>
          <w:lang w:val="es-ES_tradnl"/>
        </w:rPr>
        <w:t xml:space="preserve">CORTE  CONSTITUCIONAL DEL ECUADOR.- </w:t>
      </w:r>
      <w:r>
        <w:rPr>
          <w:sz w:val="16"/>
          <w:szCs w:val="16"/>
          <w:lang w:val="es-ES_tradnl"/>
        </w:rPr>
        <w:t>Es</w:t>
      </w:r>
    </w:p>
    <w:p w14:paraId="4F67BB58" w14:textId="77777777" w:rsidR="00591D54" w:rsidRDefault="00591D54">
      <w:pPr>
        <w:shd w:val="clear" w:color="auto" w:fill="FFFFFF"/>
        <w:spacing w:line="211" w:lineRule="exact"/>
        <w:ind w:left="19"/>
        <w:jc w:val="both"/>
      </w:pPr>
      <w:r>
        <w:rPr>
          <w:sz w:val="16"/>
          <w:szCs w:val="16"/>
          <w:lang w:val="es-ES_tradnl"/>
        </w:rPr>
        <w:t xml:space="preserve">fiel copia del original.- Revisado por </w:t>
      </w:r>
      <w:r>
        <w:rPr>
          <w:rFonts w:cs="Times New Roman"/>
          <w:sz w:val="16"/>
          <w:szCs w:val="16"/>
          <w:lang w:val="es-ES_tradnl"/>
        </w:rPr>
        <w:t>…</w:t>
      </w:r>
      <w:r>
        <w:rPr>
          <w:sz w:val="16"/>
          <w:szCs w:val="16"/>
          <w:lang w:val="es-ES_tradnl"/>
        </w:rPr>
        <w:t xml:space="preserve"> f.) Ilegible.-Quito, a 05 de octubre de 2015.- f.) Ilegible, Secretar</w:t>
      </w:r>
      <w:r>
        <w:rPr>
          <w:rFonts w:cs="Times New Roman"/>
          <w:sz w:val="16"/>
          <w:szCs w:val="16"/>
          <w:lang w:val="es-ES_tradnl"/>
        </w:rPr>
        <w:t>í</w:t>
      </w:r>
      <w:r>
        <w:rPr>
          <w:sz w:val="16"/>
          <w:szCs w:val="16"/>
          <w:lang w:val="es-ES_tradnl"/>
        </w:rPr>
        <w:t>a General.</w:t>
      </w:r>
    </w:p>
    <w:p w14:paraId="4F67BB59" w14:textId="77777777" w:rsidR="00591D54" w:rsidRDefault="00591D54">
      <w:pPr>
        <w:shd w:val="clear" w:color="auto" w:fill="FFFFFF"/>
        <w:spacing w:before="19"/>
        <w:ind w:left="14"/>
      </w:pPr>
      <w:r>
        <w:br w:type="column"/>
      </w:r>
      <w:r>
        <w:rPr>
          <w:b/>
          <w:bCs/>
          <w:sz w:val="16"/>
          <w:szCs w:val="16"/>
          <w:u w:val="single"/>
          <w:lang w:val="es-ES_tradnl"/>
        </w:rPr>
        <w:t>CASO Nro. 1990-11-EP</w:t>
      </w:r>
    </w:p>
    <w:p w14:paraId="4F67BB5A" w14:textId="77777777" w:rsidR="00591D54" w:rsidRDefault="00591D54">
      <w:pPr>
        <w:shd w:val="clear" w:color="auto" w:fill="FFFFFF"/>
        <w:spacing w:before="216" w:line="202" w:lineRule="exact"/>
        <w:ind w:left="10" w:right="5"/>
        <w:jc w:val="both"/>
      </w:pPr>
      <w:r>
        <w:rPr>
          <w:b/>
          <w:bCs/>
          <w:sz w:val="16"/>
          <w:szCs w:val="16"/>
          <w:lang w:val="es-ES_tradnl"/>
        </w:rPr>
        <w:t>RAZ</w:t>
      </w:r>
      <w:r>
        <w:rPr>
          <w:rFonts w:cs="Times New Roman"/>
          <w:b/>
          <w:bCs/>
          <w:sz w:val="16"/>
          <w:szCs w:val="16"/>
          <w:lang w:val="es-ES_tradnl"/>
        </w:rPr>
        <w:t>Ó</w:t>
      </w:r>
      <w:r>
        <w:rPr>
          <w:b/>
          <w:bCs/>
          <w:sz w:val="16"/>
          <w:szCs w:val="16"/>
          <w:lang w:val="es-ES_tradnl"/>
        </w:rPr>
        <w:t xml:space="preserve">N.- </w:t>
      </w:r>
      <w:r>
        <w:rPr>
          <w:sz w:val="16"/>
          <w:szCs w:val="16"/>
          <w:lang w:val="es-ES_tradnl"/>
        </w:rPr>
        <w:t>Siento por tal, que la sentencia que antecede fue suscrita por el Juez Patricio Pazmi</w:t>
      </w:r>
      <w:r>
        <w:rPr>
          <w:rFonts w:cs="Times New Roman"/>
          <w:sz w:val="16"/>
          <w:szCs w:val="16"/>
          <w:lang w:val="es-ES_tradnl"/>
        </w:rPr>
        <w:t>ñ</w:t>
      </w:r>
      <w:r>
        <w:rPr>
          <w:sz w:val="16"/>
          <w:szCs w:val="16"/>
          <w:lang w:val="es-ES_tradnl"/>
        </w:rPr>
        <w:t>o Freire, Presidente de la Corte Constitucional, el d</w:t>
      </w:r>
      <w:r>
        <w:rPr>
          <w:rFonts w:cs="Times New Roman"/>
          <w:sz w:val="16"/>
          <w:szCs w:val="16"/>
          <w:lang w:val="es-ES_tradnl"/>
        </w:rPr>
        <w:t>í</w:t>
      </w:r>
      <w:r>
        <w:rPr>
          <w:sz w:val="16"/>
          <w:szCs w:val="16"/>
          <w:lang w:val="es-ES_tradnl"/>
        </w:rPr>
        <w:t>a lunes 07 de septiembre del dos mil quince.- Lo certifico.</w:t>
      </w:r>
    </w:p>
    <w:p w14:paraId="4F67BB5B" w14:textId="77777777" w:rsidR="00591D54" w:rsidRDefault="00591D54">
      <w:pPr>
        <w:shd w:val="clear" w:color="auto" w:fill="FFFFFF"/>
        <w:spacing w:before="226"/>
        <w:ind w:left="10"/>
      </w:pPr>
      <w:r>
        <w:rPr>
          <w:sz w:val="16"/>
          <w:szCs w:val="16"/>
          <w:lang w:val="es-ES_tradnl"/>
        </w:rPr>
        <w:t xml:space="preserve">f.) Jaime Pozo Chamorro, </w:t>
      </w:r>
      <w:r>
        <w:rPr>
          <w:b/>
          <w:bCs/>
          <w:sz w:val="16"/>
          <w:szCs w:val="16"/>
          <w:lang w:val="es-ES_tradnl"/>
        </w:rPr>
        <w:t>Secretario General.</w:t>
      </w:r>
    </w:p>
    <w:p w14:paraId="4F67BB5C" w14:textId="77777777" w:rsidR="00591D54" w:rsidRDefault="00591D54">
      <w:pPr>
        <w:shd w:val="clear" w:color="auto" w:fill="FFFFFF"/>
        <w:spacing w:before="221" w:line="202" w:lineRule="exact"/>
        <w:ind w:left="14"/>
      </w:pPr>
      <w:r>
        <w:rPr>
          <w:b/>
          <w:bCs/>
          <w:sz w:val="16"/>
          <w:szCs w:val="16"/>
          <w:lang w:val="es-ES_tradnl"/>
        </w:rPr>
        <w:t xml:space="preserve">CORTE CONSTITUCIONAL DEL ECUADOR.- </w:t>
      </w:r>
      <w:r>
        <w:rPr>
          <w:sz w:val="16"/>
          <w:szCs w:val="16"/>
          <w:lang w:val="es-ES_tradnl"/>
        </w:rPr>
        <w:t>Es</w:t>
      </w:r>
    </w:p>
    <w:p w14:paraId="4F67BB5D" w14:textId="77777777" w:rsidR="00591D54" w:rsidRDefault="00591D54">
      <w:pPr>
        <w:shd w:val="clear" w:color="auto" w:fill="FFFFFF"/>
        <w:spacing w:line="202" w:lineRule="exact"/>
        <w:ind w:left="10"/>
        <w:jc w:val="both"/>
      </w:pPr>
      <w:r>
        <w:rPr>
          <w:sz w:val="16"/>
          <w:szCs w:val="16"/>
          <w:lang w:val="es-ES_tradnl"/>
        </w:rPr>
        <w:t xml:space="preserve">fiel copia del original.- Revisado por </w:t>
      </w:r>
      <w:r>
        <w:rPr>
          <w:rFonts w:cs="Times New Roman"/>
          <w:sz w:val="16"/>
          <w:szCs w:val="16"/>
          <w:lang w:val="es-ES_tradnl"/>
        </w:rPr>
        <w:t>…</w:t>
      </w:r>
      <w:r>
        <w:rPr>
          <w:sz w:val="16"/>
          <w:szCs w:val="16"/>
          <w:lang w:val="es-ES_tradnl"/>
        </w:rPr>
        <w:t xml:space="preserve"> f.) Ilegible.-Quito, a 05 de octubre de 2015.- f.) Ilegible, Secretar</w:t>
      </w:r>
      <w:r>
        <w:rPr>
          <w:rFonts w:cs="Times New Roman"/>
          <w:sz w:val="16"/>
          <w:szCs w:val="16"/>
          <w:lang w:val="es-ES_tradnl"/>
        </w:rPr>
        <w:t>í</w:t>
      </w:r>
      <w:r>
        <w:rPr>
          <w:sz w:val="16"/>
          <w:szCs w:val="16"/>
          <w:lang w:val="es-ES_tradnl"/>
        </w:rPr>
        <w:t>a General.</w:t>
      </w:r>
    </w:p>
    <w:p w14:paraId="4F67BB5E" w14:textId="77777777" w:rsidR="00591D54" w:rsidRDefault="00591D54">
      <w:pPr>
        <w:shd w:val="clear" w:color="auto" w:fill="FFFFFF"/>
        <w:spacing w:before="1238" w:line="437" w:lineRule="exact"/>
        <w:ind w:left="10"/>
      </w:pPr>
      <w:r>
        <w:rPr>
          <w:sz w:val="16"/>
          <w:szCs w:val="16"/>
          <w:lang w:val="es-ES_tradnl"/>
        </w:rPr>
        <w:t>Quito, D. M., 02 de septiembre de 2015</w:t>
      </w:r>
    </w:p>
    <w:p w14:paraId="4F67BB5F" w14:textId="77777777" w:rsidR="00591D54" w:rsidRDefault="00591D54">
      <w:pPr>
        <w:shd w:val="clear" w:color="auto" w:fill="FFFFFF"/>
        <w:spacing w:line="437" w:lineRule="exact"/>
        <w:ind w:left="840"/>
      </w:pPr>
      <w:r>
        <w:rPr>
          <w:b/>
          <w:bCs/>
          <w:sz w:val="16"/>
          <w:szCs w:val="16"/>
          <w:u w:val="single"/>
          <w:lang w:val="es-ES_tradnl"/>
        </w:rPr>
        <w:t>SENTENCIA N.</w:t>
      </w:r>
      <w:r>
        <w:rPr>
          <w:rFonts w:cs="Times New Roman"/>
          <w:b/>
          <w:bCs/>
          <w:sz w:val="16"/>
          <w:szCs w:val="16"/>
          <w:u w:val="single"/>
          <w:lang w:val="es-ES_tradnl"/>
        </w:rPr>
        <w:t>º</w:t>
      </w:r>
      <w:r>
        <w:rPr>
          <w:b/>
          <w:bCs/>
          <w:sz w:val="16"/>
          <w:szCs w:val="16"/>
          <w:u w:val="single"/>
          <w:lang w:val="es-ES_tradnl"/>
        </w:rPr>
        <w:t xml:space="preserve"> 289-15-SEP-CC</w:t>
      </w:r>
    </w:p>
    <w:p w14:paraId="4F67BB60" w14:textId="77777777" w:rsidR="00591D54" w:rsidRDefault="00591D54">
      <w:pPr>
        <w:shd w:val="clear" w:color="auto" w:fill="FFFFFF"/>
        <w:spacing w:line="437" w:lineRule="exact"/>
        <w:ind w:left="1291"/>
      </w:pPr>
      <w:r>
        <w:rPr>
          <w:b/>
          <w:bCs/>
          <w:sz w:val="16"/>
          <w:szCs w:val="16"/>
          <w:u w:val="single"/>
          <w:lang w:val="es-ES_tradnl"/>
        </w:rPr>
        <w:t>CASO N.</w:t>
      </w:r>
      <w:r>
        <w:rPr>
          <w:rFonts w:cs="Times New Roman"/>
          <w:b/>
          <w:bCs/>
          <w:sz w:val="16"/>
          <w:szCs w:val="16"/>
          <w:u w:val="single"/>
          <w:lang w:val="es-ES_tradnl"/>
        </w:rPr>
        <w:t>º</w:t>
      </w:r>
      <w:r>
        <w:rPr>
          <w:b/>
          <w:bCs/>
          <w:sz w:val="16"/>
          <w:szCs w:val="16"/>
          <w:u w:val="single"/>
          <w:lang w:val="es-ES_tradnl"/>
        </w:rPr>
        <w:t xml:space="preserve"> 0774-12-EP</w:t>
      </w:r>
    </w:p>
    <w:p w14:paraId="4F67BB61" w14:textId="77777777" w:rsidR="00591D54" w:rsidRDefault="00591D54">
      <w:pPr>
        <w:shd w:val="clear" w:color="auto" w:fill="FFFFFF"/>
        <w:spacing w:line="437" w:lineRule="exact"/>
        <w:ind w:left="283"/>
      </w:pPr>
      <w:r>
        <w:rPr>
          <w:b/>
          <w:bCs/>
          <w:sz w:val="16"/>
          <w:szCs w:val="16"/>
          <w:lang w:val="es-ES_tradnl"/>
        </w:rPr>
        <w:t>CORTE CONSTITUCIONAL DEL ECUADOR</w:t>
      </w:r>
    </w:p>
    <w:p w14:paraId="4F67BB62" w14:textId="77777777" w:rsidR="00591D54" w:rsidRDefault="00591D54">
      <w:pPr>
        <w:shd w:val="clear" w:color="auto" w:fill="FFFFFF"/>
        <w:spacing w:line="437" w:lineRule="exact"/>
        <w:ind w:left="1334"/>
      </w:pPr>
      <w:r>
        <w:rPr>
          <w:b/>
          <w:bCs/>
          <w:sz w:val="16"/>
          <w:szCs w:val="16"/>
          <w:lang w:val="en-US"/>
        </w:rPr>
        <w:t xml:space="preserve">I. </w:t>
      </w:r>
      <w:r>
        <w:rPr>
          <w:b/>
          <w:bCs/>
          <w:sz w:val="16"/>
          <w:szCs w:val="16"/>
          <w:lang w:val="es-ES_tradnl"/>
        </w:rPr>
        <w:t>ANTECEDENTES</w:t>
      </w:r>
    </w:p>
    <w:p w14:paraId="4F67BB63" w14:textId="77777777" w:rsidR="00591D54" w:rsidRDefault="00591D54">
      <w:pPr>
        <w:shd w:val="clear" w:color="auto" w:fill="FFFFFF"/>
        <w:spacing w:line="437" w:lineRule="exact"/>
        <w:ind w:left="5"/>
      </w:pPr>
      <w:r>
        <w:rPr>
          <w:b/>
          <w:bCs/>
          <w:sz w:val="16"/>
          <w:szCs w:val="16"/>
          <w:lang w:val="es-ES_tradnl"/>
        </w:rPr>
        <w:t>Resumen de admisibilidad</w:t>
      </w:r>
    </w:p>
    <w:p w14:paraId="4F67BB64" w14:textId="77777777" w:rsidR="00591D54" w:rsidRDefault="00591D54">
      <w:pPr>
        <w:shd w:val="clear" w:color="auto" w:fill="FFFFFF"/>
        <w:spacing w:before="173" w:line="221" w:lineRule="exact"/>
        <w:ind w:left="5"/>
        <w:jc w:val="both"/>
      </w:pPr>
      <w:r>
        <w:rPr>
          <w:sz w:val="16"/>
          <w:szCs w:val="16"/>
          <w:lang w:val="es-ES_tradnl"/>
        </w:rPr>
        <w:t>El se</w:t>
      </w:r>
      <w:r>
        <w:rPr>
          <w:rFonts w:cs="Times New Roman"/>
          <w:sz w:val="16"/>
          <w:szCs w:val="16"/>
          <w:lang w:val="es-ES_tradnl"/>
        </w:rPr>
        <w:t>ñ</w:t>
      </w:r>
      <w:r>
        <w:rPr>
          <w:sz w:val="16"/>
          <w:szCs w:val="16"/>
          <w:lang w:val="es-ES_tradnl"/>
        </w:rPr>
        <w:t>or Jorge Antonio Burbano Muriel, present</w:t>
      </w:r>
      <w:r>
        <w:rPr>
          <w:rFonts w:cs="Times New Roman"/>
          <w:sz w:val="16"/>
          <w:szCs w:val="16"/>
          <w:lang w:val="es-ES_tradnl"/>
        </w:rPr>
        <w:t>ó</w:t>
      </w:r>
      <w:r>
        <w:rPr>
          <w:sz w:val="16"/>
          <w:szCs w:val="16"/>
          <w:lang w:val="es-ES_tradnl"/>
        </w:rPr>
        <w:t xml:space="preserve"> acci</w:t>
      </w:r>
      <w:r>
        <w:rPr>
          <w:rFonts w:cs="Times New Roman"/>
          <w:sz w:val="16"/>
          <w:szCs w:val="16"/>
          <w:lang w:val="es-ES_tradnl"/>
        </w:rPr>
        <w:t>ó</w:t>
      </w:r>
      <w:r>
        <w:rPr>
          <w:sz w:val="16"/>
          <w:szCs w:val="16"/>
          <w:lang w:val="es-ES_tradnl"/>
        </w:rPr>
        <w:t>n extraordinaria de protecci</w:t>
      </w:r>
      <w:r>
        <w:rPr>
          <w:rFonts w:cs="Times New Roman"/>
          <w:sz w:val="16"/>
          <w:szCs w:val="16"/>
          <w:lang w:val="es-ES_tradnl"/>
        </w:rPr>
        <w:t>ó</w:t>
      </w:r>
      <w:r>
        <w:rPr>
          <w:sz w:val="16"/>
          <w:szCs w:val="16"/>
          <w:lang w:val="es-ES_tradnl"/>
        </w:rPr>
        <w:t>n el 03 de mayo de 2012, en contra de la sentencia emitida el 16 de abril de 2012 a las 14h26, por los jueces del Tercer Tribunal de Garant</w:t>
      </w:r>
      <w:r>
        <w:rPr>
          <w:rFonts w:cs="Times New Roman"/>
          <w:sz w:val="16"/>
          <w:szCs w:val="16"/>
          <w:lang w:val="es-ES_tradnl"/>
        </w:rPr>
        <w:t>í</w:t>
      </w:r>
      <w:r>
        <w:rPr>
          <w:sz w:val="16"/>
          <w:szCs w:val="16"/>
          <w:lang w:val="es-ES_tradnl"/>
        </w:rPr>
        <w:t>as Penales de Pichincha, dentro del juicio penal por el delito de estafa N.</w:t>
      </w:r>
      <w:r>
        <w:rPr>
          <w:rFonts w:cs="Times New Roman"/>
          <w:sz w:val="16"/>
          <w:szCs w:val="16"/>
          <w:lang w:val="es-ES_tradnl"/>
        </w:rPr>
        <w:t>º</w:t>
      </w:r>
      <w:r>
        <w:rPr>
          <w:sz w:val="16"/>
          <w:szCs w:val="16"/>
          <w:lang w:val="es-ES_tradnl"/>
        </w:rPr>
        <w:t xml:space="preserve"> 020-2012.</w:t>
      </w:r>
    </w:p>
    <w:p w14:paraId="4F67BB65" w14:textId="77777777" w:rsidR="00591D54" w:rsidRDefault="00591D54">
      <w:pPr>
        <w:shd w:val="clear" w:color="auto" w:fill="FFFFFF"/>
        <w:spacing w:before="211" w:line="221" w:lineRule="exact"/>
        <w:ind w:left="5"/>
        <w:jc w:val="both"/>
      </w:pPr>
      <w:r>
        <w:rPr>
          <w:sz w:val="16"/>
          <w:szCs w:val="16"/>
          <w:lang w:val="es-ES_tradnl"/>
        </w:rPr>
        <w:t>Mediante oficio N.</w:t>
      </w:r>
      <w:r>
        <w:rPr>
          <w:rFonts w:cs="Times New Roman"/>
          <w:sz w:val="16"/>
          <w:szCs w:val="16"/>
          <w:lang w:val="es-ES_tradnl"/>
        </w:rPr>
        <w:t>º</w:t>
      </w:r>
      <w:r>
        <w:rPr>
          <w:sz w:val="16"/>
          <w:szCs w:val="16"/>
          <w:lang w:val="es-ES_tradnl"/>
        </w:rPr>
        <w:t xml:space="preserve"> 1235-2012-3.T.G.P.P 0020-2012-C.P de 15 de mayo de 2012, suscrito por el secretario del Tribunal Tercero de Garant</w:t>
      </w:r>
      <w:r>
        <w:rPr>
          <w:rFonts w:cs="Times New Roman"/>
          <w:sz w:val="16"/>
          <w:szCs w:val="16"/>
          <w:lang w:val="es-ES_tradnl"/>
        </w:rPr>
        <w:t>í</w:t>
      </w:r>
      <w:r>
        <w:rPr>
          <w:sz w:val="16"/>
          <w:szCs w:val="16"/>
          <w:lang w:val="es-ES_tradnl"/>
        </w:rPr>
        <w:t>as Penales de Pichincha, se remite a la Corte Constitucional, para el per</w:t>
      </w:r>
      <w:r>
        <w:rPr>
          <w:rFonts w:cs="Times New Roman"/>
          <w:sz w:val="16"/>
          <w:szCs w:val="16"/>
          <w:lang w:val="es-ES_tradnl"/>
        </w:rPr>
        <w:t>í</w:t>
      </w:r>
      <w:r>
        <w:rPr>
          <w:sz w:val="16"/>
          <w:szCs w:val="16"/>
          <w:lang w:val="es-ES_tradnl"/>
        </w:rPr>
        <w:t>odo de transici</w:t>
      </w:r>
      <w:r>
        <w:rPr>
          <w:rFonts w:cs="Times New Roman"/>
          <w:sz w:val="16"/>
          <w:szCs w:val="16"/>
          <w:lang w:val="es-ES_tradnl"/>
        </w:rPr>
        <w:t>ó</w:t>
      </w:r>
      <w:r>
        <w:rPr>
          <w:sz w:val="16"/>
          <w:szCs w:val="16"/>
          <w:lang w:val="es-ES_tradnl"/>
        </w:rPr>
        <w:t>n, el proceso N.</w:t>
      </w:r>
      <w:r>
        <w:rPr>
          <w:rFonts w:cs="Times New Roman"/>
          <w:sz w:val="16"/>
          <w:szCs w:val="16"/>
          <w:lang w:val="es-ES_tradnl"/>
        </w:rPr>
        <w:t>º</w:t>
      </w:r>
      <w:r>
        <w:rPr>
          <w:sz w:val="16"/>
          <w:szCs w:val="16"/>
          <w:lang w:val="es-ES_tradnl"/>
        </w:rPr>
        <w:t xml:space="preserve"> 0020-2012 (Juzgado Primero de Garant</w:t>
      </w:r>
      <w:r>
        <w:rPr>
          <w:rFonts w:cs="Times New Roman"/>
          <w:sz w:val="16"/>
          <w:szCs w:val="16"/>
          <w:lang w:val="es-ES_tradnl"/>
        </w:rPr>
        <w:t>í</w:t>
      </w:r>
      <w:r>
        <w:rPr>
          <w:sz w:val="16"/>
          <w:szCs w:val="16"/>
          <w:lang w:val="es-ES_tradnl"/>
        </w:rPr>
        <w:t>as Penales causa signada con el N.</w:t>
      </w:r>
      <w:r>
        <w:rPr>
          <w:rFonts w:cs="Times New Roman"/>
          <w:i/>
          <w:iCs/>
          <w:sz w:val="16"/>
          <w:szCs w:val="16"/>
          <w:lang w:val="es-ES_tradnl"/>
        </w:rPr>
        <w:t>º</w:t>
      </w:r>
      <w:r>
        <w:rPr>
          <w:i/>
          <w:iCs/>
          <w:sz w:val="16"/>
          <w:szCs w:val="16"/>
          <w:lang w:val="es-ES_tradnl"/>
        </w:rPr>
        <w:t xml:space="preserve"> </w:t>
      </w:r>
      <w:r>
        <w:rPr>
          <w:sz w:val="16"/>
          <w:szCs w:val="16"/>
          <w:lang w:val="es-ES_tradnl"/>
        </w:rPr>
        <w:t>703-2011, primera instancia) por el delito de estafa seguido por El</w:t>
      </w:r>
      <w:r>
        <w:rPr>
          <w:rFonts w:cs="Times New Roman"/>
          <w:sz w:val="16"/>
          <w:szCs w:val="16"/>
          <w:lang w:val="es-ES_tradnl"/>
        </w:rPr>
        <w:t>í</w:t>
      </w:r>
      <w:r>
        <w:rPr>
          <w:sz w:val="16"/>
          <w:szCs w:val="16"/>
          <w:lang w:val="es-ES_tradnl"/>
        </w:rPr>
        <w:t>as Daniel Gordillo Villavicencio en contra de Fabi</w:t>
      </w:r>
      <w:r>
        <w:rPr>
          <w:rFonts w:cs="Times New Roman"/>
          <w:sz w:val="16"/>
          <w:szCs w:val="16"/>
          <w:lang w:val="es-ES_tradnl"/>
        </w:rPr>
        <w:t>á</w:t>
      </w:r>
      <w:r>
        <w:rPr>
          <w:sz w:val="16"/>
          <w:szCs w:val="16"/>
          <w:lang w:val="es-ES_tradnl"/>
        </w:rPr>
        <w:t>n Wladimir Silva Tumipamba (Fojas 02 del expediente).</w:t>
      </w:r>
    </w:p>
    <w:p w14:paraId="4F67BB66" w14:textId="77777777" w:rsidR="00591D54" w:rsidRDefault="00591D54">
      <w:pPr>
        <w:shd w:val="clear" w:color="auto" w:fill="FFFFFF"/>
        <w:spacing w:before="211" w:line="221" w:lineRule="exact"/>
        <w:ind w:left="5" w:right="5"/>
        <w:jc w:val="both"/>
      </w:pPr>
      <w:r>
        <w:rPr>
          <w:sz w:val="16"/>
          <w:szCs w:val="16"/>
          <w:lang w:val="es-ES_tradnl"/>
        </w:rPr>
        <w:t>La Secretar</w:t>
      </w:r>
      <w:r>
        <w:rPr>
          <w:rFonts w:cs="Times New Roman"/>
          <w:sz w:val="16"/>
          <w:szCs w:val="16"/>
          <w:lang w:val="es-ES_tradnl"/>
        </w:rPr>
        <w:t>í</w:t>
      </w:r>
      <w:r>
        <w:rPr>
          <w:sz w:val="16"/>
          <w:szCs w:val="16"/>
          <w:lang w:val="es-ES_tradnl"/>
        </w:rPr>
        <w:t>a General de la Corte Constitucional, para el per</w:t>
      </w:r>
      <w:r>
        <w:rPr>
          <w:rFonts w:cs="Times New Roman"/>
          <w:sz w:val="16"/>
          <w:szCs w:val="16"/>
          <w:lang w:val="es-ES_tradnl"/>
        </w:rPr>
        <w:t>í</w:t>
      </w:r>
      <w:r>
        <w:rPr>
          <w:sz w:val="16"/>
          <w:szCs w:val="16"/>
          <w:lang w:val="es-ES_tradnl"/>
        </w:rPr>
        <w:t>odo de transici</w:t>
      </w:r>
      <w:r>
        <w:rPr>
          <w:rFonts w:cs="Times New Roman"/>
          <w:sz w:val="16"/>
          <w:szCs w:val="16"/>
          <w:lang w:val="es-ES_tradnl"/>
        </w:rPr>
        <w:t>ó</w:t>
      </w:r>
      <w:r>
        <w:rPr>
          <w:sz w:val="16"/>
          <w:szCs w:val="16"/>
          <w:lang w:val="es-ES_tradnl"/>
        </w:rPr>
        <w:t>n, el 21 de mayo de 2012, certific</w:t>
      </w:r>
      <w:r>
        <w:rPr>
          <w:rFonts w:cs="Times New Roman"/>
          <w:sz w:val="16"/>
          <w:szCs w:val="16"/>
          <w:lang w:val="es-ES_tradnl"/>
        </w:rPr>
        <w:t>ó</w:t>
      </w:r>
      <w:r>
        <w:rPr>
          <w:sz w:val="16"/>
          <w:szCs w:val="16"/>
          <w:lang w:val="es-ES_tradnl"/>
        </w:rPr>
        <w:t xml:space="preserve"> que </w:t>
      </w:r>
      <w:r>
        <w:rPr>
          <w:rFonts w:cs="Times New Roman"/>
          <w:sz w:val="16"/>
          <w:szCs w:val="16"/>
          <w:lang w:val="es-ES_tradnl"/>
        </w:rPr>
        <w:t>“</w:t>
      </w:r>
      <w:r>
        <w:rPr>
          <w:sz w:val="16"/>
          <w:szCs w:val="16"/>
          <w:lang w:val="es-ES_tradnl"/>
        </w:rPr>
        <w:t>(</w:t>
      </w:r>
      <w:r>
        <w:rPr>
          <w:rFonts w:cs="Times New Roman"/>
          <w:sz w:val="16"/>
          <w:szCs w:val="16"/>
          <w:lang w:val="es-ES_tradnl"/>
        </w:rPr>
        <w:t>…</w:t>
      </w:r>
      <w:r>
        <w:rPr>
          <w:sz w:val="16"/>
          <w:szCs w:val="16"/>
          <w:lang w:val="es-ES_tradnl"/>
        </w:rPr>
        <w:t>) en referencia a la acci</w:t>
      </w:r>
      <w:r>
        <w:rPr>
          <w:rFonts w:cs="Times New Roman"/>
          <w:sz w:val="16"/>
          <w:szCs w:val="16"/>
          <w:lang w:val="es-ES_tradnl"/>
        </w:rPr>
        <w:t>ó</w:t>
      </w:r>
      <w:r>
        <w:rPr>
          <w:sz w:val="16"/>
          <w:szCs w:val="16"/>
          <w:lang w:val="es-ES_tradnl"/>
        </w:rPr>
        <w:t xml:space="preserve">n </w:t>
      </w:r>
      <w:r>
        <w:rPr>
          <w:b/>
          <w:bCs/>
          <w:sz w:val="16"/>
          <w:szCs w:val="16"/>
          <w:lang w:val="es-ES_tradnl"/>
        </w:rPr>
        <w:t xml:space="preserve">No. 0774-12-EP </w:t>
      </w:r>
      <w:r>
        <w:rPr>
          <w:sz w:val="16"/>
          <w:szCs w:val="16"/>
          <w:lang w:val="es-ES_tradnl"/>
        </w:rPr>
        <w:t>(</w:t>
      </w:r>
      <w:r>
        <w:rPr>
          <w:rFonts w:cs="Times New Roman"/>
          <w:sz w:val="16"/>
          <w:szCs w:val="16"/>
          <w:lang w:val="es-ES_tradnl"/>
        </w:rPr>
        <w:t>…</w:t>
      </w:r>
      <w:r>
        <w:rPr>
          <w:sz w:val="16"/>
          <w:szCs w:val="16"/>
          <w:lang w:val="es-ES_tradnl"/>
        </w:rPr>
        <w:t xml:space="preserve">) </w:t>
      </w:r>
      <w:r>
        <w:rPr>
          <w:b/>
          <w:bCs/>
          <w:sz w:val="16"/>
          <w:szCs w:val="16"/>
          <w:u w:val="single"/>
          <w:lang w:val="es-ES_tradnl"/>
        </w:rPr>
        <w:t>no se ha presentado</w:t>
      </w:r>
      <w:r>
        <w:rPr>
          <w:b/>
          <w:bCs/>
          <w:sz w:val="16"/>
          <w:szCs w:val="16"/>
          <w:lang w:val="es-ES_tradnl"/>
        </w:rPr>
        <w:t xml:space="preserve"> </w:t>
      </w:r>
      <w:r>
        <w:rPr>
          <w:sz w:val="16"/>
          <w:szCs w:val="16"/>
          <w:lang w:val="es-ES_tradnl"/>
        </w:rPr>
        <w:t>otra demanda con identidad de objeto y acci</w:t>
      </w:r>
      <w:r>
        <w:rPr>
          <w:rFonts w:cs="Times New Roman"/>
          <w:sz w:val="16"/>
          <w:szCs w:val="16"/>
          <w:lang w:val="es-ES_tradnl"/>
        </w:rPr>
        <w:t>ó</w:t>
      </w:r>
      <w:r>
        <w:rPr>
          <w:sz w:val="16"/>
          <w:szCs w:val="16"/>
          <w:lang w:val="es-ES_tradnl"/>
        </w:rPr>
        <w:t>n (</w:t>
      </w:r>
      <w:r>
        <w:rPr>
          <w:rFonts w:cs="Times New Roman"/>
          <w:sz w:val="16"/>
          <w:szCs w:val="16"/>
          <w:lang w:val="es-ES_tradnl"/>
        </w:rPr>
        <w:t>…</w:t>
      </w:r>
      <w:r>
        <w:rPr>
          <w:sz w:val="16"/>
          <w:szCs w:val="16"/>
          <w:lang w:val="es-ES_tradnl"/>
        </w:rPr>
        <w:t>)</w:t>
      </w:r>
      <w:r>
        <w:rPr>
          <w:rFonts w:cs="Times New Roman"/>
          <w:sz w:val="16"/>
          <w:szCs w:val="16"/>
          <w:lang w:val="es-ES_tradnl"/>
        </w:rPr>
        <w:t>”</w:t>
      </w:r>
      <w:r>
        <w:rPr>
          <w:sz w:val="16"/>
          <w:szCs w:val="16"/>
          <w:lang w:val="es-ES_tradnl"/>
        </w:rPr>
        <w:t xml:space="preserve"> (Fojas 03 del expediente constitucional)</w:t>
      </w:r>
      <w:r>
        <w:rPr>
          <w:i/>
          <w:iCs/>
          <w:sz w:val="16"/>
          <w:szCs w:val="16"/>
          <w:lang w:val="es-ES_tradnl"/>
        </w:rPr>
        <w:t>.</w:t>
      </w:r>
    </w:p>
    <w:p w14:paraId="4F67BB67" w14:textId="77777777" w:rsidR="00591D54" w:rsidRDefault="00591D54">
      <w:pPr>
        <w:shd w:val="clear" w:color="auto" w:fill="FFFFFF"/>
        <w:spacing w:before="206" w:line="221" w:lineRule="exact"/>
        <w:ind w:left="10" w:right="5"/>
        <w:jc w:val="both"/>
      </w:pPr>
      <w:r>
        <w:rPr>
          <w:sz w:val="16"/>
          <w:szCs w:val="16"/>
          <w:lang w:val="es-ES_tradnl"/>
        </w:rPr>
        <w:t>El 06 de noviembre de 2012, se posesionaron ante el Pleno de la Asamblea Nacional los jueces de la primera Corte Constitucional integrada conforme lo dispuesto en los art</w:t>
      </w:r>
      <w:r>
        <w:rPr>
          <w:rFonts w:cs="Times New Roman"/>
          <w:sz w:val="16"/>
          <w:szCs w:val="16"/>
          <w:lang w:val="es-ES_tradnl"/>
        </w:rPr>
        <w:t>í</w:t>
      </w:r>
      <w:r>
        <w:rPr>
          <w:sz w:val="16"/>
          <w:szCs w:val="16"/>
          <w:lang w:val="es-ES_tradnl"/>
        </w:rPr>
        <w:t>culos 432 y 434 de la Constituci</w:t>
      </w:r>
      <w:r>
        <w:rPr>
          <w:rFonts w:cs="Times New Roman"/>
          <w:sz w:val="16"/>
          <w:szCs w:val="16"/>
          <w:lang w:val="es-ES_tradnl"/>
        </w:rPr>
        <w:t>ó</w:t>
      </w:r>
      <w:r>
        <w:rPr>
          <w:sz w:val="16"/>
          <w:szCs w:val="16"/>
          <w:lang w:val="es-ES_tradnl"/>
        </w:rPr>
        <w:t>n de la Rep</w:t>
      </w:r>
      <w:r>
        <w:rPr>
          <w:rFonts w:cs="Times New Roman"/>
          <w:sz w:val="16"/>
          <w:szCs w:val="16"/>
          <w:lang w:val="es-ES_tradnl"/>
        </w:rPr>
        <w:t>ú</w:t>
      </w:r>
      <w:r>
        <w:rPr>
          <w:sz w:val="16"/>
          <w:szCs w:val="16"/>
          <w:lang w:val="es-ES_tradnl"/>
        </w:rPr>
        <w:t>blica.</w:t>
      </w:r>
    </w:p>
    <w:p w14:paraId="4F67BB68" w14:textId="77777777" w:rsidR="00591D54" w:rsidRDefault="00591D54">
      <w:pPr>
        <w:shd w:val="clear" w:color="auto" w:fill="FFFFFF"/>
        <w:spacing w:before="211" w:line="221" w:lineRule="exact"/>
        <w:jc w:val="both"/>
      </w:pPr>
      <w:r>
        <w:rPr>
          <w:sz w:val="16"/>
          <w:szCs w:val="16"/>
          <w:lang w:val="es-ES_tradnl"/>
        </w:rPr>
        <w:t>La Sala de Admisi</w:t>
      </w:r>
      <w:r>
        <w:rPr>
          <w:rFonts w:cs="Times New Roman"/>
          <w:sz w:val="16"/>
          <w:szCs w:val="16"/>
          <w:lang w:val="es-ES_tradnl"/>
        </w:rPr>
        <w:t>ó</w:t>
      </w:r>
      <w:r>
        <w:rPr>
          <w:sz w:val="16"/>
          <w:szCs w:val="16"/>
          <w:lang w:val="es-ES_tradnl"/>
        </w:rPr>
        <w:t>n de la Corte Constitucional, conformada por los jueces constitucionales Wendy Molina Andrade, Patricio Pazmi</w:t>
      </w:r>
      <w:r>
        <w:rPr>
          <w:rFonts w:cs="Times New Roman"/>
          <w:sz w:val="16"/>
          <w:szCs w:val="16"/>
          <w:lang w:val="es-ES_tradnl"/>
        </w:rPr>
        <w:t>ñ</w:t>
      </w:r>
      <w:r>
        <w:rPr>
          <w:sz w:val="16"/>
          <w:szCs w:val="16"/>
          <w:lang w:val="es-ES_tradnl"/>
        </w:rPr>
        <w:t>o Freire y Manuel Viteri Olvera,</w:t>
      </w:r>
    </w:p>
    <w:p w14:paraId="4F67BB69" w14:textId="77777777" w:rsidR="00591D54" w:rsidRDefault="00591D54">
      <w:pPr>
        <w:shd w:val="clear" w:color="auto" w:fill="FFFFFF"/>
        <w:spacing w:before="211" w:line="221" w:lineRule="exact"/>
        <w:jc w:val="both"/>
        <w:sectPr w:rsidR="00591D54">
          <w:type w:val="continuous"/>
          <w:pgSz w:w="11909" w:h="16834"/>
          <w:pgMar w:top="1395" w:right="1304" w:bottom="360" w:left="1293" w:header="720" w:footer="720" w:gutter="0"/>
          <w:cols w:num="2" w:space="720" w:equalWidth="0">
            <w:col w:w="4324" w:space="672"/>
            <w:col w:w="4315"/>
          </w:cols>
          <w:noEndnote/>
        </w:sectPr>
      </w:pPr>
    </w:p>
    <w:p w14:paraId="4F67BB6A" w14:textId="77777777" w:rsidR="00591D54" w:rsidRDefault="00591D54">
      <w:pPr>
        <w:shd w:val="clear" w:color="auto" w:fill="FFFFFF"/>
        <w:tabs>
          <w:tab w:val="left" w:pos="4814"/>
        </w:tabs>
        <w:spacing w:after="226"/>
        <w:ind w:left="5"/>
      </w:pPr>
      <w:r>
        <w:rPr>
          <w:b/>
          <w:bCs/>
          <w:sz w:val="18"/>
          <w:szCs w:val="18"/>
          <w:lang w:val="es-ES_tradnl"/>
        </w:rPr>
        <w:t xml:space="preserve">290 -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B6B" w14:textId="77777777" w:rsidR="00591D54" w:rsidRDefault="00591D54">
      <w:pPr>
        <w:shd w:val="clear" w:color="auto" w:fill="FFFFFF"/>
        <w:tabs>
          <w:tab w:val="left" w:pos="4814"/>
        </w:tabs>
        <w:spacing w:after="226"/>
        <w:ind w:left="5"/>
        <w:sectPr w:rsidR="00591D54">
          <w:pgSz w:w="11909" w:h="16834"/>
          <w:pgMar w:top="1368" w:right="1309" w:bottom="360" w:left="1308" w:header="720" w:footer="720" w:gutter="0"/>
          <w:cols w:space="60"/>
          <w:noEndnote/>
        </w:sectPr>
      </w:pPr>
    </w:p>
    <w:p w14:paraId="4F67BB6C" w14:textId="77777777" w:rsidR="00591D54" w:rsidRDefault="00591D54">
      <w:pPr>
        <w:shd w:val="clear" w:color="auto" w:fill="FFFFFF"/>
        <w:spacing w:before="10" w:line="221" w:lineRule="exact"/>
        <w:ind w:right="5"/>
        <w:jc w:val="both"/>
      </w:pPr>
      <w:r>
        <w:rPr>
          <w:spacing w:val="-7"/>
          <w:sz w:val="18"/>
          <w:szCs w:val="18"/>
          <w:lang w:val="es-ES_tradnl"/>
        </w:rPr>
        <w:t xml:space="preserve">en ejercicio de sus competencias mediante auto expedido </w:t>
      </w:r>
      <w:r>
        <w:rPr>
          <w:spacing w:val="-4"/>
          <w:sz w:val="18"/>
          <w:szCs w:val="18"/>
          <w:lang w:val="es-ES_tradnl"/>
        </w:rPr>
        <w:t>el 13 de mayo de 2013 a las 17h04, admiti</w:t>
      </w:r>
      <w:r>
        <w:rPr>
          <w:rFonts w:cs="Times New Roman"/>
          <w:spacing w:val="-4"/>
          <w:sz w:val="18"/>
          <w:szCs w:val="18"/>
          <w:lang w:val="es-ES_tradnl"/>
        </w:rPr>
        <w:t>ó</w:t>
      </w:r>
      <w:r>
        <w:rPr>
          <w:spacing w:val="-4"/>
          <w:sz w:val="18"/>
          <w:szCs w:val="18"/>
          <w:lang w:val="es-ES_tradnl"/>
        </w:rPr>
        <w:t xml:space="preserve"> a tr</w:t>
      </w:r>
      <w:r>
        <w:rPr>
          <w:rFonts w:cs="Times New Roman"/>
          <w:spacing w:val="-4"/>
          <w:sz w:val="18"/>
          <w:szCs w:val="18"/>
          <w:lang w:val="es-ES_tradnl"/>
        </w:rPr>
        <w:t>á</w:t>
      </w:r>
      <w:r>
        <w:rPr>
          <w:spacing w:val="-4"/>
          <w:sz w:val="18"/>
          <w:szCs w:val="18"/>
          <w:lang w:val="es-ES_tradnl"/>
        </w:rPr>
        <w:t xml:space="preserve">mite la </w:t>
      </w:r>
      <w:r>
        <w:rPr>
          <w:spacing w:val="-5"/>
          <w:sz w:val="18"/>
          <w:szCs w:val="18"/>
          <w:lang w:val="es-ES_tradnl"/>
        </w:rPr>
        <w:t>acci</w:t>
      </w:r>
      <w:r>
        <w:rPr>
          <w:rFonts w:cs="Times New Roman"/>
          <w:spacing w:val="-5"/>
          <w:sz w:val="18"/>
          <w:szCs w:val="18"/>
          <w:lang w:val="es-ES_tradnl"/>
        </w:rPr>
        <w:t>ó</w:t>
      </w:r>
      <w:r>
        <w:rPr>
          <w:spacing w:val="-5"/>
          <w:sz w:val="18"/>
          <w:szCs w:val="18"/>
          <w:lang w:val="es-ES_tradnl"/>
        </w:rPr>
        <w:t>n extraordinaria de protecci</w:t>
      </w:r>
      <w:r>
        <w:rPr>
          <w:rFonts w:cs="Times New Roman"/>
          <w:spacing w:val="-5"/>
          <w:sz w:val="18"/>
          <w:szCs w:val="18"/>
          <w:lang w:val="es-ES_tradnl"/>
        </w:rPr>
        <w:t>ó</w:t>
      </w:r>
      <w:r>
        <w:rPr>
          <w:spacing w:val="-5"/>
          <w:sz w:val="18"/>
          <w:szCs w:val="18"/>
          <w:lang w:val="es-ES_tradnl"/>
        </w:rPr>
        <w:t>n N.</w:t>
      </w:r>
      <w:r>
        <w:rPr>
          <w:rFonts w:cs="Times New Roman"/>
          <w:spacing w:val="-5"/>
          <w:sz w:val="18"/>
          <w:szCs w:val="18"/>
          <w:lang w:val="es-ES_tradnl"/>
        </w:rPr>
        <w:t>°</w:t>
      </w:r>
      <w:r>
        <w:rPr>
          <w:spacing w:val="-5"/>
          <w:sz w:val="18"/>
          <w:szCs w:val="18"/>
          <w:lang w:val="es-ES_tradnl"/>
        </w:rPr>
        <w:t xml:space="preserve"> 0774-12-EP.</w:t>
      </w:r>
    </w:p>
    <w:p w14:paraId="4F67BB6D" w14:textId="77777777" w:rsidR="00591D54" w:rsidRDefault="00591D54">
      <w:pPr>
        <w:shd w:val="clear" w:color="auto" w:fill="FFFFFF"/>
        <w:spacing w:before="206" w:line="221" w:lineRule="exact"/>
        <w:ind w:right="5"/>
        <w:jc w:val="both"/>
      </w:pPr>
      <w:r>
        <w:rPr>
          <w:spacing w:val="-3"/>
          <w:sz w:val="18"/>
          <w:szCs w:val="18"/>
          <w:lang w:val="es-ES_tradnl"/>
        </w:rPr>
        <w:t xml:space="preserve">De conformidad con el sorteo realizado por el Pleno de </w:t>
      </w:r>
      <w:r>
        <w:rPr>
          <w:spacing w:val="-1"/>
          <w:sz w:val="18"/>
          <w:szCs w:val="18"/>
          <w:lang w:val="es-ES_tradnl"/>
        </w:rPr>
        <w:t>la Corte Constitucional en sesi</w:t>
      </w:r>
      <w:r>
        <w:rPr>
          <w:rFonts w:cs="Times New Roman"/>
          <w:spacing w:val="-1"/>
          <w:sz w:val="18"/>
          <w:szCs w:val="18"/>
          <w:lang w:val="es-ES_tradnl"/>
        </w:rPr>
        <w:t>ó</w:t>
      </w:r>
      <w:r>
        <w:rPr>
          <w:spacing w:val="-1"/>
          <w:sz w:val="18"/>
          <w:szCs w:val="18"/>
          <w:lang w:val="es-ES_tradnl"/>
        </w:rPr>
        <w:t xml:space="preserve">n extraordinaria de 03 de julio de 2013, como se desprende del memorando </w:t>
      </w:r>
      <w:r>
        <w:rPr>
          <w:spacing w:val="-4"/>
          <w:sz w:val="18"/>
          <w:szCs w:val="18"/>
          <w:lang w:val="es-ES_tradnl"/>
        </w:rPr>
        <w:t>N.</w:t>
      </w:r>
      <w:r>
        <w:rPr>
          <w:rFonts w:cs="Times New Roman"/>
          <w:spacing w:val="-4"/>
          <w:sz w:val="18"/>
          <w:szCs w:val="18"/>
          <w:lang w:val="es-ES_tradnl"/>
        </w:rPr>
        <w:t>º</w:t>
      </w:r>
      <w:r>
        <w:rPr>
          <w:spacing w:val="-4"/>
          <w:sz w:val="18"/>
          <w:szCs w:val="18"/>
          <w:lang w:val="es-ES_tradnl"/>
        </w:rPr>
        <w:t xml:space="preserve"> 264-CCE-SG-SUS-2013 de 04 de julio de 2013, le </w:t>
      </w:r>
      <w:r>
        <w:rPr>
          <w:spacing w:val="-2"/>
          <w:sz w:val="18"/>
          <w:szCs w:val="18"/>
          <w:lang w:val="es-ES_tradnl"/>
        </w:rPr>
        <w:t>correspondi</w:t>
      </w:r>
      <w:r>
        <w:rPr>
          <w:rFonts w:cs="Times New Roman"/>
          <w:spacing w:val="-2"/>
          <w:sz w:val="18"/>
          <w:szCs w:val="18"/>
          <w:lang w:val="es-ES_tradnl"/>
        </w:rPr>
        <w:t>ó</w:t>
      </w:r>
      <w:r>
        <w:rPr>
          <w:spacing w:val="-2"/>
          <w:sz w:val="18"/>
          <w:szCs w:val="18"/>
          <w:lang w:val="es-ES_tradnl"/>
        </w:rPr>
        <w:t xml:space="preserve"> al juez constitucional Antonio Gagliardo </w:t>
      </w:r>
      <w:r>
        <w:rPr>
          <w:spacing w:val="-6"/>
          <w:sz w:val="18"/>
          <w:szCs w:val="18"/>
          <w:lang w:val="es-ES_tradnl"/>
        </w:rPr>
        <w:t>Loor la sustanciaci</w:t>
      </w:r>
      <w:r>
        <w:rPr>
          <w:rFonts w:cs="Times New Roman"/>
          <w:spacing w:val="-6"/>
          <w:sz w:val="18"/>
          <w:szCs w:val="18"/>
          <w:lang w:val="es-ES_tradnl"/>
        </w:rPr>
        <w:t>ó</w:t>
      </w:r>
      <w:r>
        <w:rPr>
          <w:spacing w:val="-6"/>
          <w:sz w:val="18"/>
          <w:szCs w:val="18"/>
          <w:lang w:val="es-ES_tradnl"/>
        </w:rPr>
        <w:t>n del presente expediente.</w:t>
      </w:r>
    </w:p>
    <w:p w14:paraId="4F67BB6E" w14:textId="77777777" w:rsidR="00591D54" w:rsidRDefault="00591D54">
      <w:pPr>
        <w:shd w:val="clear" w:color="auto" w:fill="FFFFFF"/>
        <w:spacing w:before="202" w:line="221" w:lineRule="exact"/>
        <w:ind w:right="5"/>
        <w:jc w:val="both"/>
      </w:pPr>
      <w:r>
        <w:rPr>
          <w:spacing w:val="-4"/>
          <w:sz w:val="18"/>
          <w:szCs w:val="18"/>
          <w:lang w:val="es-ES_tradnl"/>
        </w:rPr>
        <w:t xml:space="preserve">El juez sustanciador mediante providencia emitida el 18 </w:t>
      </w:r>
      <w:r>
        <w:rPr>
          <w:spacing w:val="-5"/>
          <w:sz w:val="18"/>
          <w:szCs w:val="18"/>
          <w:lang w:val="es-ES_tradnl"/>
        </w:rPr>
        <w:t>de marzo de 2014 avoc</w:t>
      </w:r>
      <w:r>
        <w:rPr>
          <w:rFonts w:cs="Times New Roman"/>
          <w:spacing w:val="-5"/>
          <w:sz w:val="18"/>
          <w:szCs w:val="18"/>
          <w:lang w:val="es-ES_tradnl"/>
        </w:rPr>
        <w:t>ó</w:t>
      </w:r>
      <w:r>
        <w:rPr>
          <w:spacing w:val="-5"/>
          <w:sz w:val="18"/>
          <w:szCs w:val="18"/>
          <w:lang w:val="es-ES_tradnl"/>
        </w:rPr>
        <w:t xml:space="preserve"> conocimiento de la causa N.</w:t>
      </w:r>
      <w:r>
        <w:rPr>
          <w:rFonts w:cs="Times New Roman"/>
          <w:spacing w:val="-5"/>
          <w:sz w:val="18"/>
          <w:szCs w:val="18"/>
          <w:lang w:val="es-ES_tradnl"/>
        </w:rPr>
        <w:t xml:space="preserve">º </w:t>
      </w:r>
      <w:r>
        <w:rPr>
          <w:spacing w:val="-4"/>
          <w:sz w:val="18"/>
          <w:szCs w:val="18"/>
          <w:lang w:val="es-ES_tradnl"/>
        </w:rPr>
        <w:t xml:space="preserve">0774-12-EP y dispuso se notifique con el contenido de </w:t>
      </w:r>
      <w:r>
        <w:rPr>
          <w:spacing w:val="-7"/>
          <w:sz w:val="18"/>
          <w:szCs w:val="18"/>
          <w:lang w:val="es-ES_tradnl"/>
        </w:rPr>
        <w:t>este auto y la demanda respectiva a las partes procesales, a los jueces del Tercer Tribunal de Garant</w:t>
      </w:r>
      <w:r>
        <w:rPr>
          <w:rFonts w:cs="Times New Roman"/>
          <w:spacing w:val="-7"/>
          <w:sz w:val="18"/>
          <w:szCs w:val="18"/>
          <w:lang w:val="es-ES_tradnl"/>
        </w:rPr>
        <w:t>í</w:t>
      </w:r>
      <w:r>
        <w:rPr>
          <w:spacing w:val="-7"/>
          <w:sz w:val="18"/>
          <w:szCs w:val="18"/>
          <w:lang w:val="es-ES_tradnl"/>
        </w:rPr>
        <w:t xml:space="preserve">as Penales de </w:t>
      </w:r>
      <w:r>
        <w:rPr>
          <w:spacing w:val="-4"/>
          <w:sz w:val="18"/>
          <w:szCs w:val="18"/>
          <w:lang w:val="es-ES_tradnl"/>
        </w:rPr>
        <w:t xml:space="preserve">Pichincha con la finalidad de que presenten un informe </w:t>
      </w:r>
      <w:r>
        <w:rPr>
          <w:spacing w:val="-6"/>
          <w:sz w:val="18"/>
          <w:szCs w:val="18"/>
          <w:lang w:val="es-ES_tradnl"/>
        </w:rPr>
        <w:t>de descargo dentro del plazo de siete d</w:t>
      </w:r>
      <w:r>
        <w:rPr>
          <w:rFonts w:cs="Times New Roman"/>
          <w:spacing w:val="-6"/>
          <w:sz w:val="18"/>
          <w:szCs w:val="18"/>
          <w:lang w:val="es-ES_tradnl"/>
        </w:rPr>
        <w:t>í</w:t>
      </w:r>
      <w:r>
        <w:rPr>
          <w:spacing w:val="-6"/>
          <w:sz w:val="18"/>
          <w:szCs w:val="18"/>
          <w:lang w:val="es-ES_tradnl"/>
        </w:rPr>
        <w:t xml:space="preserve">as (Fojas 56 del </w:t>
      </w:r>
      <w:r>
        <w:rPr>
          <w:sz w:val="18"/>
          <w:szCs w:val="18"/>
          <w:lang w:val="es-ES_tradnl"/>
        </w:rPr>
        <w:t>expediente constitucional).</w:t>
      </w:r>
    </w:p>
    <w:p w14:paraId="4F67BB6F" w14:textId="77777777" w:rsidR="00591D54" w:rsidRDefault="00591D54">
      <w:pPr>
        <w:shd w:val="clear" w:color="auto" w:fill="FFFFFF"/>
        <w:spacing w:before="202"/>
      </w:pPr>
      <w:r>
        <w:rPr>
          <w:b/>
          <w:bCs/>
          <w:spacing w:val="-6"/>
          <w:sz w:val="18"/>
          <w:szCs w:val="18"/>
          <w:lang w:val="es-ES_tradnl"/>
        </w:rPr>
        <w:t>Decisi</w:t>
      </w:r>
      <w:r>
        <w:rPr>
          <w:rFonts w:cs="Times New Roman"/>
          <w:b/>
          <w:bCs/>
          <w:spacing w:val="-6"/>
          <w:sz w:val="18"/>
          <w:szCs w:val="18"/>
          <w:lang w:val="es-ES_tradnl"/>
        </w:rPr>
        <w:t>ó</w:t>
      </w:r>
      <w:r>
        <w:rPr>
          <w:b/>
          <w:bCs/>
          <w:spacing w:val="-6"/>
          <w:sz w:val="18"/>
          <w:szCs w:val="18"/>
          <w:lang w:val="es-ES_tradnl"/>
        </w:rPr>
        <w:t>n judicial impugnada</w:t>
      </w:r>
    </w:p>
    <w:p w14:paraId="4F67BB70" w14:textId="77777777" w:rsidR="00591D54" w:rsidRDefault="00591D54">
      <w:pPr>
        <w:shd w:val="clear" w:color="auto" w:fill="FFFFFF"/>
        <w:spacing w:before="202" w:line="221" w:lineRule="exact"/>
        <w:ind w:right="5"/>
        <w:jc w:val="both"/>
      </w:pPr>
      <w:r>
        <w:rPr>
          <w:spacing w:val="-3"/>
          <w:sz w:val="18"/>
          <w:szCs w:val="18"/>
          <w:lang w:val="es-ES_tradnl"/>
        </w:rPr>
        <w:t xml:space="preserve">La sentencia objetada es la expedida el 16 de abril de </w:t>
      </w:r>
      <w:r>
        <w:rPr>
          <w:spacing w:val="-6"/>
          <w:sz w:val="18"/>
          <w:szCs w:val="18"/>
          <w:lang w:val="es-ES_tradnl"/>
        </w:rPr>
        <w:t xml:space="preserve">2012 a las 14h26, por los jueces del Tercer Tribunal de </w:t>
      </w:r>
      <w:r>
        <w:rPr>
          <w:spacing w:val="-9"/>
          <w:sz w:val="18"/>
          <w:szCs w:val="18"/>
          <w:lang w:val="es-ES_tradnl"/>
        </w:rPr>
        <w:t>Garant</w:t>
      </w:r>
      <w:r>
        <w:rPr>
          <w:rFonts w:cs="Times New Roman"/>
          <w:spacing w:val="-9"/>
          <w:sz w:val="18"/>
          <w:szCs w:val="18"/>
          <w:lang w:val="es-ES_tradnl"/>
        </w:rPr>
        <w:t>í</w:t>
      </w:r>
      <w:r>
        <w:rPr>
          <w:spacing w:val="-9"/>
          <w:sz w:val="18"/>
          <w:szCs w:val="18"/>
          <w:lang w:val="es-ES_tradnl"/>
        </w:rPr>
        <w:t xml:space="preserve">as Penales de Pichincha, que en su parte pertinente </w:t>
      </w:r>
      <w:r>
        <w:rPr>
          <w:sz w:val="18"/>
          <w:szCs w:val="18"/>
          <w:lang w:val="es-ES_tradnl"/>
        </w:rPr>
        <w:t>dice lo siguiente:</w:t>
      </w:r>
    </w:p>
    <w:p w14:paraId="4F67BB71" w14:textId="77777777" w:rsidR="00591D54" w:rsidRDefault="00591D54">
      <w:pPr>
        <w:shd w:val="clear" w:color="auto" w:fill="FFFFFF"/>
        <w:spacing w:before="211" w:line="221" w:lineRule="exact"/>
        <w:ind w:left="283"/>
        <w:jc w:val="both"/>
      </w:pPr>
      <w:r>
        <w:rPr>
          <w:b/>
          <w:bCs/>
          <w:sz w:val="16"/>
          <w:szCs w:val="16"/>
          <w:lang w:val="es-ES_tradnl"/>
        </w:rPr>
        <w:t>TERCER TRIBUNAL DE GARANT</w:t>
      </w:r>
      <w:r>
        <w:rPr>
          <w:rFonts w:cs="Times New Roman"/>
          <w:b/>
          <w:bCs/>
          <w:sz w:val="16"/>
          <w:szCs w:val="16"/>
          <w:lang w:val="es-ES_tradnl"/>
        </w:rPr>
        <w:t>Í</w:t>
      </w:r>
      <w:r>
        <w:rPr>
          <w:b/>
          <w:bCs/>
          <w:sz w:val="16"/>
          <w:szCs w:val="16"/>
          <w:lang w:val="es-ES_tradnl"/>
        </w:rPr>
        <w:t xml:space="preserve">AS PENALES DE </w:t>
      </w:r>
      <w:r>
        <w:rPr>
          <w:b/>
          <w:bCs/>
          <w:spacing w:val="-3"/>
          <w:sz w:val="16"/>
          <w:szCs w:val="16"/>
          <w:lang w:val="es-ES_tradnl"/>
        </w:rPr>
        <w:t xml:space="preserve">PICHINCHA. </w:t>
      </w:r>
      <w:r>
        <w:rPr>
          <w:spacing w:val="-3"/>
          <w:sz w:val="16"/>
          <w:szCs w:val="16"/>
          <w:lang w:val="es-ES_tradnl"/>
        </w:rPr>
        <w:t xml:space="preserve">Quito, lunes 16 de abril de 2012, las 14h26. </w:t>
      </w:r>
      <w:r>
        <w:rPr>
          <w:spacing w:val="-4"/>
          <w:sz w:val="16"/>
          <w:szCs w:val="16"/>
          <w:lang w:val="es-ES_tradnl"/>
        </w:rPr>
        <w:t>VISTOS: (</w:t>
      </w:r>
      <w:r>
        <w:rPr>
          <w:rFonts w:cs="Times New Roman"/>
          <w:spacing w:val="-4"/>
          <w:sz w:val="16"/>
          <w:szCs w:val="16"/>
          <w:lang w:val="es-ES_tradnl"/>
        </w:rPr>
        <w:t>…</w:t>
      </w:r>
      <w:r>
        <w:rPr>
          <w:spacing w:val="-4"/>
          <w:sz w:val="16"/>
          <w:szCs w:val="16"/>
          <w:lang w:val="es-ES_tradnl"/>
        </w:rPr>
        <w:t xml:space="preserve">) </w:t>
      </w:r>
      <w:r>
        <w:rPr>
          <w:b/>
          <w:bCs/>
          <w:spacing w:val="-4"/>
          <w:sz w:val="16"/>
          <w:szCs w:val="16"/>
          <w:lang w:val="es-ES_tradnl"/>
        </w:rPr>
        <w:t xml:space="preserve">QUINTO.- </w:t>
      </w:r>
      <w:r>
        <w:rPr>
          <w:spacing w:val="-4"/>
          <w:sz w:val="16"/>
          <w:szCs w:val="16"/>
          <w:lang w:val="es-ES_tradnl"/>
        </w:rPr>
        <w:t>(</w:t>
      </w:r>
      <w:r>
        <w:rPr>
          <w:rFonts w:cs="Times New Roman"/>
          <w:spacing w:val="-4"/>
          <w:sz w:val="16"/>
          <w:szCs w:val="16"/>
          <w:lang w:val="es-ES_tradnl"/>
        </w:rPr>
        <w:t>…</w:t>
      </w:r>
      <w:r>
        <w:rPr>
          <w:spacing w:val="-4"/>
          <w:sz w:val="16"/>
          <w:szCs w:val="16"/>
          <w:lang w:val="es-ES_tradnl"/>
        </w:rPr>
        <w:t xml:space="preserve">) acogiendo el pronunciamiento </w:t>
      </w:r>
      <w:r>
        <w:rPr>
          <w:spacing w:val="-6"/>
          <w:sz w:val="16"/>
          <w:szCs w:val="16"/>
          <w:lang w:val="es-ES_tradnl"/>
        </w:rPr>
        <w:t>del Dr. Juan Carlos N</w:t>
      </w:r>
      <w:r>
        <w:rPr>
          <w:rFonts w:cs="Times New Roman"/>
          <w:spacing w:val="-6"/>
          <w:sz w:val="16"/>
          <w:szCs w:val="16"/>
          <w:lang w:val="es-ES_tradnl"/>
        </w:rPr>
        <w:t>úñ</w:t>
      </w:r>
      <w:r>
        <w:rPr>
          <w:spacing w:val="-6"/>
          <w:sz w:val="16"/>
          <w:szCs w:val="16"/>
          <w:lang w:val="es-ES_tradnl"/>
        </w:rPr>
        <w:t>ez, en representaci</w:t>
      </w:r>
      <w:r>
        <w:rPr>
          <w:rFonts w:cs="Times New Roman"/>
          <w:spacing w:val="-6"/>
          <w:sz w:val="16"/>
          <w:szCs w:val="16"/>
          <w:lang w:val="es-ES_tradnl"/>
        </w:rPr>
        <w:t>ó</w:t>
      </w:r>
      <w:r>
        <w:rPr>
          <w:spacing w:val="-6"/>
          <w:sz w:val="16"/>
          <w:szCs w:val="16"/>
          <w:lang w:val="es-ES_tradnl"/>
        </w:rPr>
        <w:t>n de la Fiscal</w:t>
      </w:r>
      <w:r>
        <w:rPr>
          <w:rFonts w:cs="Times New Roman"/>
          <w:spacing w:val="-6"/>
          <w:sz w:val="16"/>
          <w:szCs w:val="16"/>
          <w:lang w:val="es-ES_tradnl"/>
        </w:rPr>
        <w:t>í</w:t>
      </w:r>
      <w:r>
        <w:rPr>
          <w:spacing w:val="-6"/>
          <w:sz w:val="16"/>
          <w:szCs w:val="16"/>
          <w:lang w:val="es-ES_tradnl"/>
        </w:rPr>
        <w:t xml:space="preserve">a General del Estado, y del Dr. Washington Andrade, en </w:t>
      </w:r>
      <w:r>
        <w:rPr>
          <w:sz w:val="16"/>
          <w:szCs w:val="16"/>
          <w:lang w:val="es-ES_tradnl"/>
        </w:rPr>
        <w:t>representaci</w:t>
      </w:r>
      <w:r>
        <w:rPr>
          <w:rFonts w:cs="Times New Roman"/>
          <w:sz w:val="16"/>
          <w:szCs w:val="16"/>
          <w:lang w:val="es-ES_tradnl"/>
        </w:rPr>
        <w:t>ó</w:t>
      </w:r>
      <w:r>
        <w:rPr>
          <w:sz w:val="16"/>
          <w:szCs w:val="16"/>
          <w:lang w:val="es-ES_tradnl"/>
        </w:rPr>
        <w:t>n de la Acusaci</w:t>
      </w:r>
      <w:r>
        <w:rPr>
          <w:rFonts w:cs="Times New Roman"/>
          <w:sz w:val="16"/>
          <w:szCs w:val="16"/>
          <w:lang w:val="es-ES_tradnl"/>
        </w:rPr>
        <w:t>ó</w:t>
      </w:r>
      <w:r>
        <w:rPr>
          <w:sz w:val="16"/>
          <w:szCs w:val="16"/>
          <w:lang w:val="es-ES_tradnl"/>
        </w:rPr>
        <w:t>n Particular, en aplicaci</w:t>
      </w:r>
      <w:r>
        <w:rPr>
          <w:rFonts w:cs="Times New Roman"/>
          <w:sz w:val="16"/>
          <w:szCs w:val="16"/>
          <w:lang w:val="es-ES_tradnl"/>
        </w:rPr>
        <w:t>ó</w:t>
      </w:r>
      <w:r>
        <w:rPr>
          <w:sz w:val="16"/>
          <w:szCs w:val="16"/>
          <w:lang w:val="es-ES_tradnl"/>
        </w:rPr>
        <w:t xml:space="preserve">n </w:t>
      </w:r>
      <w:r>
        <w:rPr>
          <w:spacing w:val="-5"/>
          <w:sz w:val="16"/>
          <w:szCs w:val="16"/>
          <w:lang w:val="es-ES_tradnl"/>
        </w:rPr>
        <w:t>a lo dispuesto en los Arts. 312, 304-A y 370 del C</w:t>
      </w:r>
      <w:r>
        <w:rPr>
          <w:rFonts w:cs="Times New Roman"/>
          <w:spacing w:val="-5"/>
          <w:sz w:val="16"/>
          <w:szCs w:val="16"/>
          <w:lang w:val="es-ES_tradnl"/>
        </w:rPr>
        <w:t>ó</w:t>
      </w:r>
      <w:r>
        <w:rPr>
          <w:spacing w:val="-5"/>
          <w:sz w:val="16"/>
          <w:szCs w:val="16"/>
          <w:lang w:val="es-ES_tradnl"/>
        </w:rPr>
        <w:t xml:space="preserve">digo de </w:t>
      </w:r>
      <w:r>
        <w:rPr>
          <w:spacing w:val="-2"/>
          <w:sz w:val="16"/>
          <w:szCs w:val="16"/>
          <w:lang w:val="es-ES_tradnl"/>
        </w:rPr>
        <w:t xml:space="preserve">Procedimiento Penal, ADMINISTRANDO JUSTICIA, EN </w:t>
      </w:r>
      <w:r>
        <w:rPr>
          <w:sz w:val="16"/>
          <w:szCs w:val="16"/>
          <w:lang w:val="es-ES_tradnl"/>
        </w:rPr>
        <w:t>NOMBRE DEL PUEBLO SOBERANO DEL ECUADOR, Y POR AUTORIDAD DE LA CONSTITUCI</w:t>
      </w:r>
      <w:r>
        <w:rPr>
          <w:rFonts w:cs="Times New Roman"/>
          <w:sz w:val="16"/>
          <w:szCs w:val="16"/>
          <w:lang w:val="es-ES_tradnl"/>
        </w:rPr>
        <w:t>Ó</w:t>
      </w:r>
      <w:r>
        <w:rPr>
          <w:sz w:val="16"/>
          <w:szCs w:val="16"/>
          <w:lang w:val="es-ES_tradnl"/>
        </w:rPr>
        <w:t xml:space="preserve">N Y LAS </w:t>
      </w:r>
      <w:r>
        <w:rPr>
          <w:spacing w:val="-6"/>
          <w:sz w:val="16"/>
          <w:szCs w:val="16"/>
          <w:lang w:val="es-ES_tradnl"/>
        </w:rPr>
        <w:t>LEYES DE LA REP</w:t>
      </w:r>
      <w:r>
        <w:rPr>
          <w:rFonts w:cs="Times New Roman"/>
          <w:spacing w:val="-6"/>
          <w:sz w:val="16"/>
          <w:szCs w:val="16"/>
          <w:lang w:val="es-ES_tradnl"/>
        </w:rPr>
        <w:t>Ú</w:t>
      </w:r>
      <w:r>
        <w:rPr>
          <w:spacing w:val="-6"/>
          <w:sz w:val="16"/>
          <w:szCs w:val="16"/>
          <w:lang w:val="es-ES_tradnl"/>
        </w:rPr>
        <w:t>BLICA, el Tercer Tribunal de Garant</w:t>
      </w:r>
      <w:r>
        <w:rPr>
          <w:rFonts w:cs="Times New Roman"/>
          <w:spacing w:val="-6"/>
          <w:sz w:val="16"/>
          <w:szCs w:val="16"/>
          <w:lang w:val="es-ES_tradnl"/>
        </w:rPr>
        <w:t>í</w:t>
      </w:r>
      <w:r>
        <w:rPr>
          <w:spacing w:val="-6"/>
          <w:sz w:val="16"/>
          <w:szCs w:val="16"/>
          <w:lang w:val="es-ES_tradnl"/>
        </w:rPr>
        <w:t xml:space="preserve">as </w:t>
      </w:r>
      <w:r>
        <w:rPr>
          <w:spacing w:val="-4"/>
          <w:sz w:val="16"/>
          <w:szCs w:val="16"/>
          <w:lang w:val="es-ES_tradnl"/>
        </w:rPr>
        <w:t>Penales de Pichincha declara a FABI</w:t>
      </w:r>
      <w:r>
        <w:rPr>
          <w:rFonts w:cs="Times New Roman"/>
          <w:spacing w:val="-4"/>
          <w:sz w:val="16"/>
          <w:szCs w:val="16"/>
          <w:lang w:val="es-ES_tradnl"/>
        </w:rPr>
        <w:t>Á</w:t>
      </w:r>
      <w:r>
        <w:rPr>
          <w:spacing w:val="-4"/>
          <w:sz w:val="16"/>
          <w:szCs w:val="16"/>
          <w:lang w:val="es-ES_tradnl"/>
        </w:rPr>
        <w:t xml:space="preserve">N WLADIMIR SILVA </w:t>
      </w:r>
      <w:r>
        <w:rPr>
          <w:spacing w:val="-2"/>
          <w:sz w:val="16"/>
          <w:szCs w:val="16"/>
          <w:lang w:val="es-ES_tradnl"/>
        </w:rPr>
        <w:t>TUMIPAMBA, (</w:t>
      </w:r>
      <w:r>
        <w:rPr>
          <w:rFonts w:cs="Times New Roman"/>
          <w:spacing w:val="-2"/>
          <w:sz w:val="16"/>
          <w:szCs w:val="16"/>
          <w:lang w:val="es-ES_tradnl"/>
        </w:rPr>
        <w:t>…</w:t>
      </w:r>
      <w:r>
        <w:rPr>
          <w:spacing w:val="-2"/>
          <w:sz w:val="16"/>
          <w:szCs w:val="16"/>
          <w:lang w:val="es-ES_tradnl"/>
        </w:rPr>
        <w:t xml:space="preserve">) CULPABLE como autor del delito de </w:t>
      </w:r>
      <w:r>
        <w:rPr>
          <w:spacing w:val="-6"/>
          <w:sz w:val="16"/>
          <w:szCs w:val="16"/>
          <w:lang w:val="es-ES_tradnl"/>
        </w:rPr>
        <w:t>estafa previsto y sancionado en el Art. 563 del C</w:t>
      </w:r>
      <w:r>
        <w:rPr>
          <w:rFonts w:cs="Times New Roman"/>
          <w:spacing w:val="-6"/>
          <w:sz w:val="16"/>
          <w:szCs w:val="16"/>
          <w:lang w:val="es-ES_tradnl"/>
        </w:rPr>
        <w:t>ó</w:t>
      </w:r>
      <w:r>
        <w:rPr>
          <w:spacing w:val="-6"/>
          <w:sz w:val="16"/>
          <w:szCs w:val="16"/>
          <w:lang w:val="es-ES_tradnl"/>
        </w:rPr>
        <w:t xml:space="preserve">digo Penal </w:t>
      </w:r>
      <w:r>
        <w:rPr>
          <w:spacing w:val="-3"/>
          <w:sz w:val="16"/>
          <w:szCs w:val="16"/>
          <w:lang w:val="es-ES_tradnl"/>
        </w:rPr>
        <w:t>(</w:t>
      </w:r>
      <w:r>
        <w:rPr>
          <w:rFonts w:cs="Times New Roman"/>
          <w:spacing w:val="-3"/>
          <w:sz w:val="16"/>
          <w:szCs w:val="16"/>
          <w:lang w:val="es-ES_tradnl"/>
        </w:rPr>
        <w:t>…</w:t>
      </w:r>
      <w:r>
        <w:rPr>
          <w:spacing w:val="-3"/>
          <w:sz w:val="16"/>
          <w:szCs w:val="16"/>
          <w:lang w:val="es-ES_tradnl"/>
        </w:rPr>
        <w:t>) se le impone la pena de DIEZ MESES DE PRISI</w:t>
      </w:r>
      <w:r>
        <w:rPr>
          <w:rFonts w:cs="Times New Roman"/>
          <w:spacing w:val="-3"/>
          <w:sz w:val="16"/>
          <w:szCs w:val="16"/>
          <w:lang w:val="es-ES_tradnl"/>
        </w:rPr>
        <w:t>Ó</w:t>
      </w:r>
      <w:r>
        <w:rPr>
          <w:spacing w:val="-3"/>
          <w:sz w:val="16"/>
          <w:szCs w:val="16"/>
          <w:lang w:val="es-ES_tradnl"/>
        </w:rPr>
        <w:t xml:space="preserve">N </w:t>
      </w:r>
      <w:r>
        <w:rPr>
          <w:spacing w:val="-2"/>
          <w:sz w:val="16"/>
          <w:szCs w:val="16"/>
          <w:lang w:val="es-ES_tradnl"/>
        </w:rPr>
        <w:t>CORRECCIONAL y en concepto de multa veinte d</w:t>
      </w:r>
      <w:r>
        <w:rPr>
          <w:rFonts w:cs="Times New Roman"/>
          <w:spacing w:val="-2"/>
          <w:sz w:val="16"/>
          <w:szCs w:val="16"/>
          <w:lang w:val="es-ES_tradnl"/>
        </w:rPr>
        <w:t>ó</w:t>
      </w:r>
      <w:r>
        <w:rPr>
          <w:spacing w:val="-2"/>
          <w:sz w:val="16"/>
          <w:szCs w:val="16"/>
          <w:lang w:val="es-ES_tradnl"/>
        </w:rPr>
        <w:t xml:space="preserve">lares </w:t>
      </w:r>
      <w:r>
        <w:rPr>
          <w:spacing w:val="-6"/>
          <w:sz w:val="16"/>
          <w:szCs w:val="16"/>
          <w:lang w:val="es-ES_tradnl"/>
        </w:rPr>
        <w:t>de los Estados Unidos de Norteam</w:t>
      </w:r>
      <w:r>
        <w:rPr>
          <w:rFonts w:cs="Times New Roman"/>
          <w:spacing w:val="-6"/>
          <w:sz w:val="16"/>
          <w:szCs w:val="16"/>
          <w:lang w:val="es-ES_tradnl"/>
        </w:rPr>
        <w:t>é</w:t>
      </w:r>
      <w:r>
        <w:rPr>
          <w:spacing w:val="-6"/>
          <w:sz w:val="16"/>
          <w:szCs w:val="16"/>
          <w:lang w:val="es-ES_tradnl"/>
        </w:rPr>
        <w:t>rica (</w:t>
      </w:r>
      <w:r>
        <w:rPr>
          <w:rFonts w:cs="Times New Roman"/>
          <w:spacing w:val="-6"/>
          <w:sz w:val="16"/>
          <w:szCs w:val="16"/>
          <w:lang w:val="es-ES_tradnl"/>
        </w:rPr>
        <w:t>…</w:t>
      </w:r>
      <w:r>
        <w:rPr>
          <w:spacing w:val="-6"/>
          <w:sz w:val="16"/>
          <w:szCs w:val="16"/>
          <w:lang w:val="es-ES_tradnl"/>
        </w:rPr>
        <w:t xml:space="preserve">) al no haberse </w:t>
      </w:r>
      <w:r>
        <w:rPr>
          <w:spacing w:val="-4"/>
          <w:sz w:val="16"/>
          <w:szCs w:val="16"/>
          <w:lang w:val="es-ES_tradnl"/>
        </w:rPr>
        <w:t>establecido par</w:t>
      </w:r>
      <w:r>
        <w:rPr>
          <w:rFonts w:cs="Times New Roman"/>
          <w:spacing w:val="-4"/>
          <w:sz w:val="16"/>
          <w:szCs w:val="16"/>
          <w:lang w:val="es-ES_tradnl"/>
        </w:rPr>
        <w:t>á</w:t>
      </w:r>
      <w:r>
        <w:rPr>
          <w:spacing w:val="-4"/>
          <w:sz w:val="16"/>
          <w:szCs w:val="16"/>
          <w:lang w:val="es-ES_tradnl"/>
        </w:rPr>
        <w:t>metros para establecer una indemnizaci</w:t>
      </w:r>
      <w:r>
        <w:rPr>
          <w:rFonts w:cs="Times New Roman"/>
          <w:spacing w:val="-4"/>
          <w:sz w:val="16"/>
          <w:szCs w:val="16"/>
          <w:lang w:val="es-ES_tradnl"/>
        </w:rPr>
        <w:t>ó</w:t>
      </w:r>
      <w:r>
        <w:rPr>
          <w:spacing w:val="-4"/>
          <w:sz w:val="16"/>
          <w:szCs w:val="16"/>
          <w:lang w:val="es-ES_tradnl"/>
        </w:rPr>
        <w:t xml:space="preserve">n </w:t>
      </w:r>
      <w:r>
        <w:rPr>
          <w:spacing w:val="-6"/>
          <w:sz w:val="16"/>
          <w:szCs w:val="16"/>
          <w:lang w:val="es-ES_tradnl"/>
        </w:rPr>
        <w:t>de da</w:t>
      </w:r>
      <w:r>
        <w:rPr>
          <w:rFonts w:cs="Times New Roman"/>
          <w:spacing w:val="-6"/>
          <w:sz w:val="16"/>
          <w:szCs w:val="16"/>
          <w:lang w:val="es-ES_tradnl"/>
        </w:rPr>
        <w:t>ñ</w:t>
      </w:r>
      <w:r>
        <w:rPr>
          <w:spacing w:val="-6"/>
          <w:sz w:val="16"/>
          <w:szCs w:val="16"/>
          <w:lang w:val="es-ES_tradnl"/>
        </w:rPr>
        <w:t xml:space="preserve">os y perjuicios, por ser un requisito de la sentencia y </w:t>
      </w:r>
      <w:r>
        <w:rPr>
          <w:spacing w:val="-5"/>
          <w:sz w:val="16"/>
          <w:szCs w:val="16"/>
          <w:lang w:val="es-ES_tradnl"/>
        </w:rPr>
        <w:t>obligaci</w:t>
      </w:r>
      <w:r>
        <w:rPr>
          <w:rFonts w:cs="Times New Roman"/>
          <w:spacing w:val="-5"/>
          <w:sz w:val="16"/>
          <w:szCs w:val="16"/>
          <w:lang w:val="es-ES_tradnl"/>
        </w:rPr>
        <w:t>ó</w:t>
      </w:r>
      <w:r>
        <w:rPr>
          <w:spacing w:val="-5"/>
          <w:sz w:val="16"/>
          <w:szCs w:val="16"/>
          <w:lang w:val="es-ES_tradnl"/>
        </w:rPr>
        <w:t>n del sentenciado reparar los da</w:t>
      </w:r>
      <w:r>
        <w:rPr>
          <w:rFonts w:cs="Times New Roman"/>
          <w:spacing w:val="-5"/>
          <w:sz w:val="16"/>
          <w:szCs w:val="16"/>
          <w:lang w:val="es-ES_tradnl"/>
        </w:rPr>
        <w:t>ñ</w:t>
      </w:r>
      <w:r>
        <w:rPr>
          <w:spacing w:val="-5"/>
          <w:sz w:val="16"/>
          <w:szCs w:val="16"/>
          <w:lang w:val="es-ES_tradnl"/>
        </w:rPr>
        <w:t xml:space="preserve">os y perjuicios por </w:t>
      </w:r>
      <w:r>
        <w:rPr>
          <w:spacing w:val="-8"/>
          <w:sz w:val="16"/>
          <w:szCs w:val="16"/>
          <w:lang w:val="es-ES_tradnl"/>
        </w:rPr>
        <w:t>el mal causado, se determina como indemnizaci</w:t>
      </w:r>
      <w:r>
        <w:rPr>
          <w:rFonts w:cs="Times New Roman"/>
          <w:spacing w:val="-8"/>
          <w:sz w:val="16"/>
          <w:szCs w:val="16"/>
          <w:lang w:val="es-ES_tradnl"/>
        </w:rPr>
        <w:t>ó</w:t>
      </w:r>
      <w:r>
        <w:rPr>
          <w:spacing w:val="-8"/>
          <w:sz w:val="16"/>
          <w:szCs w:val="16"/>
          <w:lang w:val="es-ES_tradnl"/>
        </w:rPr>
        <w:t xml:space="preserve">n la cantidad </w:t>
      </w:r>
      <w:r>
        <w:rPr>
          <w:spacing w:val="-2"/>
          <w:sz w:val="16"/>
          <w:szCs w:val="16"/>
          <w:lang w:val="es-ES_tradnl"/>
        </w:rPr>
        <w:t>de TREINTA Y CINCO MIL QUINIENTOS D</w:t>
      </w:r>
      <w:r>
        <w:rPr>
          <w:rFonts w:cs="Times New Roman"/>
          <w:spacing w:val="-2"/>
          <w:sz w:val="16"/>
          <w:szCs w:val="16"/>
          <w:lang w:val="es-ES_tradnl"/>
        </w:rPr>
        <w:t>Ó</w:t>
      </w:r>
      <w:r>
        <w:rPr>
          <w:spacing w:val="-2"/>
          <w:sz w:val="16"/>
          <w:szCs w:val="16"/>
          <w:lang w:val="es-ES_tradnl"/>
        </w:rPr>
        <w:t xml:space="preserve">LARES DE </w:t>
      </w:r>
      <w:r>
        <w:rPr>
          <w:spacing w:val="-1"/>
          <w:sz w:val="16"/>
          <w:szCs w:val="16"/>
          <w:lang w:val="es-ES_tradnl"/>
        </w:rPr>
        <w:t>LOS ESTADOS UNIDOS DE AM</w:t>
      </w:r>
      <w:r>
        <w:rPr>
          <w:rFonts w:cs="Times New Roman"/>
          <w:spacing w:val="-1"/>
          <w:sz w:val="16"/>
          <w:szCs w:val="16"/>
          <w:lang w:val="es-ES_tradnl"/>
        </w:rPr>
        <w:t>É</w:t>
      </w:r>
      <w:r>
        <w:rPr>
          <w:spacing w:val="-1"/>
          <w:sz w:val="16"/>
          <w:szCs w:val="16"/>
          <w:lang w:val="es-ES_tradnl"/>
        </w:rPr>
        <w:t xml:space="preserve">RICA (US$ 35.500), </w:t>
      </w:r>
      <w:r>
        <w:rPr>
          <w:spacing w:val="-4"/>
          <w:sz w:val="16"/>
          <w:szCs w:val="16"/>
          <w:lang w:val="es-ES_tradnl"/>
        </w:rPr>
        <w:t xml:space="preserve">monto constante en la escritura de compraventa celebrada </w:t>
      </w:r>
      <w:r>
        <w:rPr>
          <w:spacing w:val="-3"/>
          <w:sz w:val="16"/>
          <w:szCs w:val="16"/>
          <w:lang w:val="es-ES_tradnl"/>
        </w:rPr>
        <w:t>el 19 de diciembre del 2008 entre el se</w:t>
      </w:r>
      <w:r>
        <w:rPr>
          <w:rFonts w:cs="Times New Roman"/>
          <w:spacing w:val="-3"/>
          <w:sz w:val="16"/>
          <w:szCs w:val="16"/>
          <w:lang w:val="es-ES_tradnl"/>
        </w:rPr>
        <w:t>ñ</w:t>
      </w:r>
      <w:r>
        <w:rPr>
          <w:spacing w:val="-3"/>
          <w:sz w:val="16"/>
          <w:szCs w:val="16"/>
          <w:lang w:val="es-ES_tradnl"/>
        </w:rPr>
        <w:t>or El</w:t>
      </w:r>
      <w:r>
        <w:rPr>
          <w:rFonts w:cs="Times New Roman"/>
          <w:spacing w:val="-3"/>
          <w:sz w:val="16"/>
          <w:szCs w:val="16"/>
          <w:lang w:val="es-ES_tradnl"/>
        </w:rPr>
        <w:t>í</w:t>
      </w:r>
      <w:r>
        <w:rPr>
          <w:spacing w:val="-3"/>
          <w:sz w:val="16"/>
          <w:szCs w:val="16"/>
          <w:lang w:val="es-ES_tradnl"/>
        </w:rPr>
        <w:t>as Daniel Gordillo Villavicencio y el acusado, que deber</w:t>
      </w:r>
      <w:r>
        <w:rPr>
          <w:rFonts w:cs="Times New Roman"/>
          <w:spacing w:val="-3"/>
          <w:sz w:val="16"/>
          <w:szCs w:val="16"/>
          <w:lang w:val="es-ES_tradnl"/>
        </w:rPr>
        <w:t>á</w:t>
      </w:r>
      <w:r>
        <w:rPr>
          <w:spacing w:val="-3"/>
          <w:sz w:val="16"/>
          <w:szCs w:val="16"/>
          <w:lang w:val="es-ES_tradnl"/>
        </w:rPr>
        <w:t xml:space="preserve"> ser pagado </w:t>
      </w:r>
      <w:r>
        <w:rPr>
          <w:spacing w:val="-6"/>
          <w:sz w:val="16"/>
          <w:szCs w:val="16"/>
          <w:lang w:val="es-ES_tradnl"/>
        </w:rPr>
        <w:t>a los herederos del causante se</w:t>
      </w:r>
      <w:r>
        <w:rPr>
          <w:rFonts w:cs="Times New Roman"/>
          <w:spacing w:val="-6"/>
          <w:sz w:val="16"/>
          <w:szCs w:val="16"/>
          <w:lang w:val="es-ES_tradnl"/>
        </w:rPr>
        <w:t>ñ</w:t>
      </w:r>
      <w:r>
        <w:rPr>
          <w:spacing w:val="-6"/>
          <w:sz w:val="16"/>
          <w:szCs w:val="16"/>
          <w:lang w:val="es-ES_tradnl"/>
        </w:rPr>
        <w:t>or El</w:t>
      </w:r>
      <w:r>
        <w:rPr>
          <w:rFonts w:cs="Times New Roman"/>
          <w:spacing w:val="-6"/>
          <w:sz w:val="16"/>
          <w:szCs w:val="16"/>
          <w:lang w:val="es-ES_tradnl"/>
        </w:rPr>
        <w:t>í</w:t>
      </w:r>
      <w:r>
        <w:rPr>
          <w:spacing w:val="-6"/>
          <w:sz w:val="16"/>
          <w:szCs w:val="16"/>
          <w:lang w:val="es-ES_tradnl"/>
        </w:rPr>
        <w:t xml:space="preserve">as Gordillo.- Conforme </w:t>
      </w:r>
      <w:r>
        <w:rPr>
          <w:spacing w:val="-4"/>
          <w:sz w:val="16"/>
          <w:szCs w:val="16"/>
          <w:lang w:val="es-ES_tradnl"/>
        </w:rPr>
        <w:t>el Art. 478 del C</w:t>
      </w:r>
      <w:r>
        <w:rPr>
          <w:rFonts w:cs="Times New Roman"/>
          <w:spacing w:val="-4"/>
          <w:sz w:val="16"/>
          <w:szCs w:val="16"/>
          <w:lang w:val="es-ES_tradnl"/>
        </w:rPr>
        <w:t>ó</w:t>
      </w:r>
      <w:r>
        <w:rPr>
          <w:spacing w:val="-4"/>
          <w:sz w:val="16"/>
          <w:szCs w:val="16"/>
          <w:lang w:val="es-ES_tradnl"/>
        </w:rPr>
        <w:t xml:space="preserve">digo de Procedimiento Civil se ordena el </w:t>
      </w:r>
      <w:r>
        <w:rPr>
          <w:spacing w:val="-3"/>
          <w:sz w:val="16"/>
          <w:szCs w:val="16"/>
          <w:lang w:val="es-ES_tradnl"/>
        </w:rPr>
        <w:t xml:space="preserve">embargo del remanente perteneciente al acusado que ha </w:t>
      </w:r>
      <w:r>
        <w:rPr>
          <w:spacing w:val="-8"/>
          <w:sz w:val="16"/>
          <w:szCs w:val="16"/>
          <w:lang w:val="es-ES_tradnl"/>
        </w:rPr>
        <w:t>sido sentenciado en esta causa, dinero que corresponde a la diferencia del remate efectuado por el se</w:t>
      </w:r>
      <w:r>
        <w:rPr>
          <w:rFonts w:cs="Times New Roman"/>
          <w:spacing w:val="-8"/>
          <w:sz w:val="16"/>
          <w:szCs w:val="16"/>
          <w:lang w:val="es-ES_tradnl"/>
        </w:rPr>
        <w:t>ñ</w:t>
      </w:r>
      <w:r>
        <w:rPr>
          <w:spacing w:val="-8"/>
          <w:sz w:val="16"/>
          <w:szCs w:val="16"/>
          <w:lang w:val="es-ES_tradnl"/>
        </w:rPr>
        <w:t xml:space="preserve">or Juez Octavo de lo </w:t>
      </w:r>
      <w:r>
        <w:rPr>
          <w:spacing w:val="-4"/>
          <w:sz w:val="16"/>
          <w:szCs w:val="16"/>
          <w:lang w:val="es-ES_tradnl"/>
        </w:rPr>
        <w:t xml:space="preserve">Civil de Pichincha, en el Juicio Ejecutivo No. 18-2010-Lcdo. </w:t>
      </w:r>
      <w:r>
        <w:rPr>
          <w:spacing w:val="-5"/>
          <w:sz w:val="16"/>
          <w:szCs w:val="16"/>
          <w:lang w:val="es-ES_tradnl"/>
        </w:rPr>
        <w:t>WZ, seguido por el se</w:t>
      </w:r>
      <w:r>
        <w:rPr>
          <w:rFonts w:cs="Times New Roman"/>
          <w:spacing w:val="-5"/>
          <w:sz w:val="16"/>
          <w:szCs w:val="16"/>
          <w:lang w:val="es-ES_tradnl"/>
        </w:rPr>
        <w:t>ñ</w:t>
      </w:r>
      <w:r>
        <w:rPr>
          <w:spacing w:val="-5"/>
          <w:sz w:val="16"/>
          <w:szCs w:val="16"/>
          <w:lang w:val="es-ES_tradnl"/>
        </w:rPr>
        <w:t xml:space="preserve">or Jorge Antonio Burbano Mariel en </w:t>
      </w:r>
      <w:r>
        <w:rPr>
          <w:spacing w:val="-6"/>
          <w:sz w:val="16"/>
          <w:szCs w:val="16"/>
          <w:lang w:val="es-ES_tradnl"/>
        </w:rPr>
        <w:t>contra del se</w:t>
      </w:r>
      <w:r>
        <w:rPr>
          <w:rFonts w:cs="Times New Roman"/>
          <w:spacing w:val="-6"/>
          <w:sz w:val="16"/>
          <w:szCs w:val="16"/>
          <w:lang w:val="es-ES_tradnl"/>
        </w:rPr>
        <w:t>ñ</w:t>
      </w:r>
      <w:r>
        <w:rPr>
          <w:spacing w:val="-6"/>
          <w:sz w:val="16"/>
          <w:szCs w:val="16"/>
          <w:lang w:val="es-ES_tradnl"/>
        </w:rPr>
        <w:t>or Fabi</w:t>
      </w:r>
      <w:r>
        <w:rPr>
          <w:rFonts w:cs="Times New Roman"/>
          <w:spacing w:val="-6"/>
          <w:sz w:val="16"/>
          <w:szCs w:val="16"/>
          <w:lang w:val="es-ES_tradnl"/>
        </w:rPr>
        <w:t>á</w:t>
      </w:r>
      <w:r>
        <w:rPr>
          <w:spacing w:val="-6"/>
          <w:sz w:val="16"/>
          <w:szCs w:val="16"/>
          <w:lang w:val="es-ES_tradnl"/>
        </w:rPr>
        <w:t>n Wladimir Silva Tumipamba (</w:t>
      </w:r>
      <w:r>
        <w:rPr>
          <w:rFonts w:cs="Times New Roman"/>
          <w:spacing w:val="-6"/>
          <w:sz w:val="16"/>
          <w:szCs w:val="16"/>
          <w:lang w:val="es-ES_tradnl"/>
        </w:rPr>
        <w:t>…</w:t>
      </w:r>
      <w:r>
        <w:rPr>
          <w:spacing w:val="-6"/>
          <w:sz w:val="16"/>
          <w:szCs w:val="16"/>
          <w:lang w:val="es-ES_tradnl"/>
        </w:rPr>
        <w:t>) (sic)</w:t>
      </w:r>
    </w:p>
    <w:p w14:paraId="4F67BB72" w14:textId="77777777" w:rsidR="00591D54" w:rsidRDefault="00591D54">
      <w:pPr>
        <w:shd w:val="clear" w:color="auto" w:fill="FFFFFF"/>
        <w:spacing w:line="216" w:lineRule="exact"/>
        <w:jc w:val="both"/>
      </w:pPr>
      <w:r>
        <w:br w:type="column"/>
      </w:r>
      <w:r>
        <w:rPr>
          <w:b/>
          <w:bCs/>
          <w:sz w:val="18"/>
          <w:szCs w:val="18"/>
          <w:lang w:val="es-ES_tradnl"/>
        </w:rPr>
        <w:t>Antecedentes que originaron esta garant</w:t>
      </w:r>
      <w:r>
        <w:rPr>
          <w:rFonts w:cs="Times New Roman"/>
          <w:b/>
          <w:bCs/>
          <w:sz w:val="18"/>
          <w:szCs w:val="18"/>
          <w:lang w:val="es-ES_tradnl"/>
        </w:rPr>
        <w:t>í</w:t>
      </w:r>
      <w:r>
        <w:rPr>
          <w:b/>
          <w:bCs/>
          <w:sz w:val="18"/>
          <w:szCs w:val="18"/>
          <w:lang w:val="es-ES_tradnl"/>
        </w:rPr>
        <w:t>a jurisdiccional</w:t>
      </w:r>
    </w:p>
    <w:p w14:paraId="4F67BB73" w14:textId="77777777" w:rsidR="00591D54" w:rsidRDefault="00591D54">
      <w:pPr>
        <w:shd w:val="clear" w:color="auto" w:fill="FFFFFF"/>
        <w:spacing w:before="197" w:line="216" w:lineRule="exact"/>
        <w:jc w:val="both"/>
      </w:pPr>
      <w:r>
        <w:rPr>
          <w:spacing w:val="-2"/>
          <w:sz w:val="18"/>
          <w:szCs w:val="18"/>
          <w:lang w:val="es-ES_tradnl"/>
        </w:rPr>
        <w:t>El se</w:t>
      </w:r>
      <w:r>
        <w:rPr>
          <w:rFonts w:cs="Times New Roman"/>
          <w:spacing w:val="-2"/>
          <w:sz w:val="18"/>
          <w:szCs w:val="18"/>
          <w:lang w:val="es-ES_tradnl"/>
        </w:rPr>
        <w:t>ñ</w:t>
      </w:r>
      <w:r>
        <w:rPr>
          <w:spacing w:val="-2"/>
          <w:sz w:val="18"/>
          <w:szCs w:val="18"/>
          <w:lang w:val="es-ES_tradnl"/>
        </w:rPr>
        <w:t>or El</w:t>
      </w:r>
      <w:r>
        <w:rPr>
          <w:rFonts w:cs="Times New Roman"/>
          <w:spacing w:val="-2"/>
          <w:sz w:val="18"/>
          <w:szCs w:val="18"/>
          <w:lang w:val="es-ES_tradnl"/>
        </w:rPr>
        <w:t>í</w:t>
      </w:r>
      <w:r>
        <w:rPr>
          <w:spacing w:val="-2"/>
          <w:sz w:val="18"/>
          <w:szCs w:val="18"/>
          <w:lang w:val="es-ES_tradnl"/>
        </w:rPr>
        <w:t xml:space="preserve">as Daniel Gordillo Villavicencio deseaba </w:t>
      </w:r>
      <w:r>
        <w:rPr>
          <w:spacing w:val="-6"/>
          <w:sz w:val="18"/>
          <w:szCs w:val="18"/>
          <w:lang w:val="es-ES_tradnl"/>
        </w:rPr>
        <w:t>solicitar un pr</w:t>
      </w:r>
      <w:r>
        <w:rPr>
          <w:rFonts w:cs="Times New Roman"/>
          <w:spacing w:val="-6"/>
          <w:sz w:val="18"/>
          <w:szCs w:val="18"/>
          <w:lang w:val="es-ES_tradnl"/>
        </w:rPr>
        <w:t>é</w:t>
      </w:r>
      <w:r>
        <w:rPr>
          <w:spacing w:val="-6"/>
          <w:sz w:val="18"/>
          <w:szCs w:val="18"/>
          <w:lang w:val="es-ES_tradnl"/>
        </w:rPr>
        <w:t>stamo, pero al encontrarse en la central de riesgos no pudo realizarlo, es as</w:t>
      </w:r>
      <w:r>
        <w:rPr>
          <w:rFonts w:cs="Times New Roman"/>
          <w:spacing w:val="-6"/>
          <w:sz w:val="18"/>
          <w:szCs w:val="18"/>
          <w:lang w:val="es-ES_tradnl"/>
        </w:rPr>
        <w:t>í</w:t>
      </w:r>
      <w:r>
        <w:rPr>
          <w:spacing w:val="-6"/>
          <w:sz w:val="18"/>
          <w:szCs w:val="18"/>
          <w:lang w:val="es-ES_tradnl"/>
        </w:rPr>
        <w:t xml:space="preserve"> que por sugerencia del abogado Marco O</w:t>
      </w:r>
      <w:r>
        <w:rPr>
          <w:rFonts w:cs="Times New Roman"/>
          <w:spacing w:val="-6"/>
          <w:sz w:val="18"/>
          <w:szCs w:val="18"/>
          <w:lang w:val="es-ES_tradnl"/>
        </w:rPr>
        <w:t>ñ</w:t>
      </w:r>
      <w:r>
        <w:rPr>
          <w:spacing w:val="-6"/>
          <w:sz w:val="18"/>
          <w:szCs w:val="18"/>
          <w:lang w:val="es-ES_tradnl"/>
        </w:rPr>
        <w:t xml:space="preserve">ate Castro le dijo que el sobrino de su </w:t>
      </w:r>
      <w:r>
        <w:rPr>
          <w:spacing w:val="-5"/>
          <w:sz w:val="18"/>
          <w:szCs w:val="18"/>
          <w:lang w:val="es-ES_tradnl"/>
        </w:rPr>
        <w:t>esposa de nombres Fabi</w:t>
      </w:r>
      <w:r>
        <w:rPr>
          <w:rFonts w:cs="Times New Roman"/>
          <w:spacing w:val="-5"/>
          <w:sz w:val="18"/>
          <w:szCs w:val="18"/>
          <w:lang w:val="es-ES_tradnl"/>
        </w:rPr>
        <w:t>á</w:t>
      </w:r>
      <w:r>
        <w:rPr>
          <w:spacing w:val="-5"/>
          <w:sz w:val="18"/>
          <w:szCs w:val="18"/>
          <w:lang w:val="es-ES_tradnl"/>
        </w:rPr>
        <w:t xml:space="preserve">n Wladimir Silva Tumipamba, </w:t>
      </w:r>
      <w:r>
        <w:rPr>
          <w:spacing w:val="-3"/>
          <w:sz w:val="18"/>
          <w:szCs w:val="18"/>
          <w:lang w:val="es-ES_tradnl"/>
        </w:rPr>
        <w:t>quien ten</w:t>
      </w:r>
      <w:r>
        <w:rPr>
          <w:rFonts w:cs="Times New Roman"/>
          <w:spacing w:val="-3"/>
          <w:sz w:val="18"/>
          <w:szCs w:val="18"/>
          <w:lang w:val="es-ES_tradnl"/>
        </w:rPr>
        <w:t>í</w:t>
      </w:r>
      <w:r>
        <w:rPr>
          <w:spacing w:val="-3"/>
          <w:sz w:val="18"/>
          <w:szCs w:val="18"/>
          <w:lang w:val="es-ES_tradnl"/>
        </w:rPr>
        <w:t>a un negocio pod</w:t>
      </w:r>
      <w:r>
        <w:rPr>
          <w:rFonts w:cs="Times New Roman"/>
          <w:spacing w:val="-3"/>
          <w:sz w:val="18"/>
          <w:szCs w:val="18"/>
          <w:lang w:val="es-ES_tradnl"/>
        </w:rPr>
        <w:t>í</w:t>
      </w:r>
      <w:r>
        <w:rPr>
          <w:spacing w:val="-3"/>
          <w:sz w:val="18"/>
          <w:szCs w:val="18"/>
          <w:lang w:val="es-ES_tradnl"/>
        </w:rPr>
        <w:t xml:space="preserve">a solicitarlo, pero a su vez </w:t>
      </w:r>
      <w:r>
        <w:rPr>
          <w:spacing w:val="-7"/>
          <w:sz w:val="18"/>
          <w:szCs w:val="18"/>
          <w:lang w:val="es-ES_tradnl"/>
        </w:rPr>
        <w:t>ten</w:t>
      </w:r>
      <w:r>
        <w:rPr>
          <w:rFonts w:cs="Times New Roman"/>
          <w:spacing w:val="-7"/>
          <w:sz w:val="18"/>
          <w:szCs w:val="18"/>
          <w:lang w:val="es-ES_tradnl"/>
        </w:rPr>
        <w:t>í</w:t>
      </w:r>
      <w:r>
        <w:rPr>
          <w:spacing w:val="-7"/>
          <w:sz w:val="18"/>
          <w:szCs w:val="18"/>
          <w:lang w:val="es-ES_tradnl"/>
        </w:rPr>
        <w:t xml:space="preserve">a que transferir el inmueble de su propiedad a nombre </w:t>
      </w:r>
      <w:r>
        <w:rPr>
          <w:sz w:val="18"/>
          <w:szCs w:val="18"/>
          <w:lang w:val="es-ES_tradnl"/>
        </w:rPr>
        <w:t>del mencionado sobrino.</w:t>
      </w:r>
    </w:p>
    <w:p w14:paraId="4F67BB74" w14:textId="77777777" w:rsidR="00591D54" w:rsidRDefault="00591D54">
      <w:pPr>
        <w:shd w:val="clear" w:color="auto" w:fill="FFFFFF"/>
        <w:spacing w:before="197" w:line="216" w:lineRule="exact"/>
        <w:jc w:val="both"/>
      </w:pPr>
      <w:r>
        <w:rPr>
          <w:spacing w:val="-6"/>
          <w:sz w:val="18"/>
          <w:szCs w:val="18"/>
          <w:lang w:val="es-ES_tradnl"/>
        </w:rPr>
        <w:t xml:space="preserve">Con los antecedentes expuestos, el 16 de diciembre de </w:t>
      </w:r>
      <w:r>
        <w:rPr>
          <w:spacing w:val="-4"/>
          <w:sz w:val="18"/>
          <w:szCs w:val="18"/>
          <w:lang w:val="es-ES_tradnl"/>
        </w:rPr>
        <w:t>2008, el se</w:t>
      </w:r>
      <w:r>
        <w:rPr>
          <w:rFonts w:cs="Times New Roman"/>
          <w:spacing w:val="-4"/>
          <w:sz w:val="18"/>
          <w:szCs w:val="18"/>
          <w:lang w:val="es-ES_tradnl"/>
        </w:rPr>
        <w:t>ñ</w:t>
      </w:r>
      <w:r>
        <w:rPr>
          <w:spacing w:val="-4"/>
          <w:sz w:val="18"/>
          <w:szCs w:val="18"/>
          <w:lang w:val="es-ES_tradnl"/>
        </w:rPr>
        <w:t>or El</w:t>
      </w:r>
      <w:r>
        <w:rPr>
          <w:rFonts w:cs="Times New Roman"/>
          <w:spacing w:val="-4"/>
          <w:sz w:val="18"/>
          <w:szCs w:val="18"/>
          <w:lang w:val="es-ES_tradnl"/>
        </w:rPr>
        <w:t>í</w:t>
      </w:r>
      <w:r>
        <w:rPr>
          <w:spacing w:val="-4"/>
          <w:sz w:val="18"/>
          <w:szCs w:val="18"/>
          <w:lang w:val="es-ES_tradnl"/>
        </w:rPr>
        <w:t>as Gordillo acudi</w:t>
      </w:r>
      <w:r>
        <w:rPr>
          <w:rFonts w:cs="Times New Roman"/>
          <w:spacing w:val="-4"/>
          <w:sz w:val="18"/>
          <w:szCs w:val="18"/>
          <w:lang w:val="es-ES_tradnl"/>
        </w:rPr>
        <w:t>ó</w:t>
      </w:r>
      <w:r>
        <w:rPr>
          <w:spacing w:val="-4"/>
          <w:sz w:val="18"/>
          <w:szCs w:val="18"/>
          <w:lang w:val="es-ES_tradnl"/>
        </w:rPr>
        <w:t xml:space="preserve"> a la Notar</w:t>
      </w:r>
      <w:r>
        <w:rPr>
          <w:rFonts w:cs="Times New Roman"/>
          <w:spacing w:val="-4"/>
          <w:sz w:val="18"/>
          <w:szCs w:val="18"/>
          <w:lang w:val="es-ES_tradnl"/>
        </w:rPr>
        <w:t>í</w:t>
      </w:r>
      <w:r>
        <w:rPr>
          <w:spacing w:val="-4"/>
          <w:sz w:val="18"/>
          <w:szCs w:val="18"/>
          <w:lang w:val="es-ES_tradnl"/>
        </w:rPr>
        <w:t xml:space="preserve">a Cuarta </w:t>
      </w:r>
      <w:r>
        <w:rPr>
          <w:spacing w:val="-3"/>
          <w:sz w:val="18"/>
          <w:szCs w:val="18"/>
          <w:lang w:val="es-ES_tradnl"/>
        </w:rPr>
        <w:t>del cant</w:t>
      </w:r>
      <w:r>
        <w:rPr>
          <w:rFonts w:cs="Times New Roman"/>
          <w:spacing w:val="-3"/>
          <w:sz w:val="18"/>
          <w:szCs w:val="18"/>
          <w:lang w:val="es-ES_tradnl"/>
        </w:rPr>
        <w:t>ó</w:t>
      </w:r>
      <w:r>
        <w:rPr>
          <w:spacing w:val="-3"/>
          <w:sz w:val="18"/>
          <w:szCs w:val="18"/>
          <w:lang w:val="es-ES_tradnl"/>
        </w:rPr>
        <w:t xml:space="preserve">n Quito para formalizar la compraventa de su </w:t>
      </w:r>
      <w:r>
        <w:rPr>
          <w:spacing w:val="-8"/>
          <w:sz w:val="18"/>
          <w:szCs w:val="18"/>
          <w:lang w:val="es-ES_tradnl"/>
        </w:rPr>
        <w:t>bien inmueble a nombre del se</w:t>
      </w:r>
      <w:r>
        <w:rPr>
          <w:rFonts w:cs="Times New Roman"/>
          <w:spacing w:val="-8"/>
          <w:sz w:val="18"/>
          <w:szCs w:val="18"/>
          <w:lang w:val="es-ES_tradnl"/>
        </w:rPr>
        <w:t>ñ</w:t>
      </w:r>
      <w:r>
        <w:rPr>
          <w:spacing w:val="-8"/>
          <w:sz w:val="18"/>
          <w:szCs w:val="18"/>
          <w:lang w:val="es-ES_tradnl"/>
        </w:rPr>
        <w:t>or Fabi</w:t>
      </w:r>
      <w:r>
        <w:rPr>
          <w:rFonts w:cs="Times New Roman"/>
          <w:spacing w:val="-8"/>
          <w:sz w:val="18"/>
          <w:szCs w:val="18"/>
          <w:lang w:val="es-ES_tradnl"/>
        </w:rPr>
        <w:t>á</w:t>
      </w:r>
      <w:r>
        <w:rPr>
          <w:spacing w:val="-8"/>
          <w:sz w:val="18"/>
          <w:szCs w:val="18"/>
          <w:lang w:val="es-ES_tradnl"/>
        </w:rPr>
        <w:t xml:space="preserve">n Silva, esperando </w:t>
      </w:r>
      <w:r>
        <w:rPr>
          <w:spacing w:val="-5"/>
          <w:sz w:val="18"/>
          <w:szCs w:val="18"/>
          <w:lang w:val="es-ES_tradnl"/>
        </w:rPr>
        <w:t xml:space="preserve">que </w:t>
      </w:r>
      <w:r>
        <w:rPr>
          <w:rFonts w:cs="Times New Roman"/>
          <w:spacing w:val="-5"/>
          <w:sz w:val="18"/>
          <w:szCs w:val="18"/>
          <w:lang w:val="es-ES_tradnl"/>
        </w:rPr>
        <w:t>é</w:t>
      </w:r>
      <w:r>
        <w:rPr>
          <w:spacing w:val="-5"/>
          <w:sz w:val="18"/>
          <w:szCs w:val="18"/>
          <w:lang w:val="es-ES_tradnl"/>
        </w:rPr>
        <w:t>ste realice el pr</w:t>
      </w:r>
      <w:r>
        <w:rPr>
          <w:rFonts w:cs="Times New Roman"/>
          <w:spacing w:val="-5"/>
          <w:sz w:val="18"/>
          <w:szCs w:val="18"/>
          <w:lang w:val="es-ES_tradnl"/>
        </w:rPr>
        <w:t>é</w:t>
      </w:r>
      <w:r>
        <w:rPr>
          <w:spacing w:val="-5"/>
          <w:sz w:val="18"/>
          <w:szCs w:val="18"/>
          <w:lang w:val="es-ES_tradnl"/>
        </w:rPr>
        <w:t xml:space="preserve">stamo en el Banco del Pichincha, </w:t>
      </w:r>
      <w:r>
        <w:rPr>
          <w:spacing w:val="-4"/>
          <w:sz w:val="18"/>
          <w:szCs w:val="18"/>
          <w:lang w:val="es-ES_tradnl"/>
        </w:rPr>
        <w:t>cosa que no ocurri</w:t>
      </w:r>
      <w:r>
        <w:rPr>
          <w:rFonts w:cs="Times New Roman"/>
          <w:spacing w:val="-4"/>
          <w:sz w:val="18"/>
          <w:szCs w:val="18"/>
          <w:lang w:val="es-ES_tradnl"/>
        </w:rPr>
        <w:t>ó</w:t>
      </w:r>
      <w:r>
        <w:rPr>
          <w:spacing w:val="-4"/>
          <w:sz w:val="18"/>
          <w:szCs w:val="18"/>
          <w:lang w:val="es-ES_tradnl"/>
        </w:rPr>
        <w:t xml:space="preserve"> pues el sentenciado tampoco era </w:t>
      </w:r>
      <w:r>
        <w:rPr>
          <w:spacing w:val="-5"/>
          <w:sz w:val="18"/>
          <w:szCs w:val="18"/>
          <w:lang w:val="es-ES_tradnl"/>
        </w:rPr>
        <w:t>sujeto de cr</w:t>
      </w:r>
      <w:r>
        <w:rPr>
          <w:rFonts w:cs="Times New Roman"/>
          <w:spacing w:val="-5"/>
          <w:sz w:val="18"/>
          <w:szCs w:val="18"/>
          <w:lang w:val="es-ES_tradnl"/>
        </w:rPr>
        <w:t>é</w:t>
      </w:r>
      <w:r>
        <w:rPr>
          <w:spacing w:val="-5"/>
          <w:sz w:val="18"/>
          <w:szCs w:val="18"/>
          <w:lang w:val="es-ES_tradnl"/>
        </w:rPr>
        <w:t>dito; por esta raz</w:t>
      </w:r>
      <w:r>
        <w:rPr>
          <w:rFonts w:cs="Times New Roman"/>
          <w:spacing w:val="-5"/>
          <w:sz w:val="18"/>
          <w:szCs w:val="18"/>
          <w:lang w:val="es-ES_tradnl"/>
        </w:rPr>
        <w:t>ó</w:t>
      </w:r>
      <w:r>
        <w:rPr>
          <w:spacing w:val="-5"/>
          <w:sz w:val="18"/>
          <w:szCs w:val="18"/>
          <w:lang w:val="es-ES_tradnl"/>
        </w:rPr>
        <w:t>n, suscribieron la escritura de resciliaci</w:t>
      </w:r>
      <w:r>
        <w:rPr>
          <w:rFonts w:cs="Times New Roman"/>
          <w:spacing w:val="-5"/>
          <w:sz w:val="18"/>
          <w:szCs w:val="18"/>
          <w:lang w:val="es-ES_tradnl"/>
        </w:rPr>
        <w:t>ó</w:t>
      </w:r>
      <w:r>
        <w:rPr>
          <w:spacing w:val="-5"/>
          <w:sz w:val="18"/>
          <w:szCs w:val="18"/>
          <w:lang w:val="es-ES_tradnl"/>
        </w:rPr>
        <w:t>n del contrato de compraventa dejando sin efecto la transferencia de dominio, comprometi</w:t>
      </w:r>
      <w:r>
        <w:rPr>
          <w:rFonts w:cs="Times New Roman"/>
          <w:spacing w:val="-5"/>
          <w:sz w:val="18"/>
          <w:szCs w:val="18"/>
          <w:lang w:val="es-ES_tradnl"/>
        </w:rPr>
        <w:t>é</w:t>
      </w:r>
      <w:r>
        <w:rPr>
          <w:spacing w:val="-5"/>
          <w:sz w:val="18"/>
          <w:szCs w:val="18"/>
          <w:lang w:val="es-ES_tradnl"/>
        </w:rPr>
        <w:t xml:space="preserve">ndose </w:t>
      </w:r>
      <w:r>
        <w:rPr>
          <w:sz w:val="18"/>
          <w:szCs w:val="18"/>
          <w:lang w:val="es-ES_tradnl"/>
        </w:rPr>
        <w:t>Fabi</w:t>
      </w:r>
      <w:r>
        <w:rPr>
          <w:rFonts w:cs="Times New Roman"/>
          <w:sz w:val="18"/>
          <w:szCs w:val="18"/>
          <w:lang w:val="es-ES_tradnl"/>
        </w:rPr>
        <w:t>á</w:t>
      </w:r>
      <w:r>
        <w:rPr>
          <w:sz w:val="18"/>
          <w:szCs w:val="18"/>
          <w:lang w:val="es-ES_tradnl"/>
        </w:rPr>
        <w:t>n Silva a realizar los tr</w:t>
      </w:r>
      <w:r>
        <w:rPr>
          <w:rFonts w:cs="Times New Roman"/>
          <w:sz w:val="18"/>
          <w:szCs w:val="18"/>
          <w:lang w:val="es-ES_tradnl"/>
        </w:rPr>
        <w:t>á</w:t>
      </w:r>
      <w:r>
        <w:rPr>
          <w:sz w:val="18"/>
          <w:szCs w:val="18"/>
          <w:lang w:val="es-ES_tradnl"/>
        </w:rPr>
        <w:t xml:space="preserve">mites correspondientes </w:t>
      </w:r>
      <w:r>
        <w:rPr>
          <w:spacing w:val="-4"/>
          <w:sz w:val="18"/>
          <w:szCs w:val="18"/>
          <w:lang w:val="es-ES_tradnl"/>
        </w:rPr>
        <w:t>en el Registro de la Propiedad del cant</w:t>
      </w:r>
      <w:r>
        <w:rPr>
          <w:rFonts w:cs="Times New Roman"/>
          <w:spacing w:val="-4"/>
          <w:sz w:val="18"/>
          <w:szCs w:val="18"/>
          <w:lang w:val="es-ES_tradnl"/>
        </w:rPr>
        <w:t>ó</w:t>
      </w:r>
      <w:r>
        <w:rPr>
          <w:spacing w:val="-4"/>
          <w:sz w:val="18"/>
          <w:szCs w:val="18"/>
          <w:lang w:val="es-ES_tradnl"/>
        </w:rPr>
        <w:t>n Quito para la devoluci</w:t>
      </w:r>
      <w:r>
        <w:rPr>
          <w:rFonts w:cs="Times New Roman"/>
          <w:spacing w:val="-4"/>
          <w:sz w:val="18"/>
          <w:szCs w:val="18"/>
          <w:lang w:val="es-ES_tradnl"/>
        </w:rPr>
        <w:t>ó</w:t>
      </w:r>
      <w:r>
        <w:rPr>
          <w:spacing w:val="-4"/>
          <w:sz w:val="18"/>
          <w:szCs w:val="18"/>
          <w:lang w:val="es-ES_tradnl"/>
        </w:rPr>
        <w:t>n del inmueble, situaci</w:t>
      </w:r>
      <w:r>
        <w:rPr>
          <w:rFonts w:cs="Times New Roman"/>
          <w:spacing w:val="-4"/>
          <w:sz w:val="18"/>
          <w:szCs w:val="18"/>
          <w:lang w:val="es-ES_tradnl"/>
        </w:rPr>
        <w:t>ó</w:t>
      </w:r>
      <w:r>
        <w:rPr>
          <w:spacing w:val="-4"/>
          <w:sz w:val="18"/>
          <w:szCs w:val="18"/>
          <w:lang w:val="es-ES_tradnl"/>
        </w:rPr>
        <w:t>n que no ocurri</w:t>
      </w:r>
      <w:r>
        <w:rPr>
          <w:rFonts w:cs="Times New Roman"/>
          <w:spacing w:val="-4"/>
          <w:sz w:val="18"/>
          <w:szCs w:val="18"/>
          <w:lang w:val="es-ES_tradnl"/>
        </w:rPr>
        <w:t>ó</w:t>
      </w:r>
      <w:r>
        <w:rPr>
          <w:spacing w:val="-4"/>
          <w:sz w:val="18"/>
          <w:szCs w:val="18"/>
          <w:lang w:val="es-ES_tradnl"/>
        </w:rPr>
        <w:t>.</w:t>
      </w:r>
    </w:p>
    <w:p w14:paraId="4F67BB75" w14:textId="77777777" w:rsidR="00591D54" w:rsidRDefault="00591D54">
      <w:pPr>
        <w:shd w:val="clear" w:color="auto" w:fill="FFFFFF"/>
        <w:spacing w:before="197" w:line="216" w:lineRule="exact"/>
        <w:jc w:val="both"/>
      </w:pPr>
      <w:r>
        <w:rPr>
          <w:spacing w:val="-5"/>
          <w:sz w:val="18"/>
          <w:szCs w:val="18"/>
          <w:lang w:val="es-ES_tradnl"/>
        </w:rPr>
        <w:t>Como el se</w:t>
      </w:r>
      <w:r>
        <w:rPr>
          <w:rFonts w:cs="Times New Roman"/>
          <w:spacing w:val="-5"/>
          <w:sz w:val="18"/>
          <w:szCs w:val="18"/>
          <w:lang w:val="es-ES_tradnl"/>
        </w:rPr>
        <w:t>ñ</w:t>
      </w:r>
      <w:r>
        <w:rPr>
          <w:spacing w:val="-5"/>
          <w:sz w:val="18"/>
          <w:szCs w:val="18"/>
          <w:lang w:val="es-ES_tradnl"/>
        </w:rPr>
        <w:t>or Fabi</w:t>
      </w:r>
      <w:r>
        <w:rPr>
          <w:rFonts w:cs="Times New Roman"/>
          <w:spacing w:val="-5"/>
          <w:sz w:val="18"/>
          <w:szCs w:val="18"/>
          <w:lang w:val="es-ES_tradnl"/>
        </w:rPr>
        <w:t>á</w:t>
      </w:r>
      <w:r>
        <w:rPr>
          <w:spacing w:val="-5"/>
          <w:sz w:val="18"/>
          <w:szCs w:val="18"/>
          <w:lang w:val="es-ES_tradnl"/>
        </w:rPr>
        <w:t>n Silva Tumipamba ten</w:t>
      </w:r>
      <w:r>
        <w:rPr>
          <w:rFonts w:cs="Times New Roman"/>
          <w:spacing w:val="-5"/>
          <w:sz w:val="18"/>
          <w:szCs w:val="18"/>
          <w:lang w:val="es-ES_tradnl"/>
        </w:rPr>
        <w:t>í</w:t>
      </w:r>
      <w:r>
        <w:rPr>
          <w:spacing w:val="-5"/>
          <w:sz w:val="18"/>
          <w:szCs w:val="18"/>
          <w:lang w:val="es-ES_tradnl"/>
        </w:rPr>
        <w:t xml:space="preserve">a el bien </w:t>
      </w:r>
      <w:r>
        <w:rPr>
          <w:spacing w:val="-6"/>
          <w:sz w:val="18"/>
          <w:szCs w:val="18"/>
          <w:lang w:val="es-ES_tradnl"/>
        </w:rPr>
        <w:t>inmueble a su nombre, celebr</w:t>
      </w:r>
      <w:r>
        <w:rPr>
          <w:rFonts w:cs="Times New Roman"/>
          <w:spacing w:val="-6"/>
          <w:sz w:val="18"/>
          <w:szCs w:val="18"/>
          <w:lang w:val="es-ES_tradnl"/>
        </w:rPr>
        <w:t>ó</w:t>
      </w:r>
      <w:r>
        <w:rPr>
          <w:spacing w:val="-6"/>
          <w:sz w:val="18"/>
          <w:szCs w:val="18"/>
          <w:lang w:val="es-ES_tradnl"/>
        </w:rPr>
        <w:t xml:space="preserve"> una escritura de hipoteca </w:t>
      </w:r>
      <w:r>
        <w:rPr>
          <w:spacing w:val="-5"/>
          <w:sz w:val="18"/>
          <w:szCs w:val="18"/>
          <w:lang w:val="es-ES_tradnl"/>
        </w:rPr>
        <w:t>abierta en favor del se</w:t>
      </w:r>
      <w:r>
        <w:rPr>
          <w:rFonts w:cs="Times New Roman"/>
          <w:spacing w:val="-5"/>
          <w:sz w:val="18"/>
          <w:szCs w:val="18"/>
          <w:lang w:val="es-ES_tradnl"/>
        </w:rPr>
        <w:t>ñ</w:t>
      </w:r>
      <w:r>
        <w:rPr>
          <w:spacing w:val="-5"/>
          <w:sz w:val="18"/>
          <w:szCs w:val="18"/>
          <w:lang w:val="es-ES_tradnl"/>
        </w:rPr>
        <w:t xml:space="preserve">or Jorge Antonio Burbano Muriel, </w:t>
      </w:r>
      <w:r>
        <w:rPr>
          <w:spacing w:val="-6"/>
          <w:sz w:val="18"/>
          <w:szCs w:val="18"/>
          <w:lang w:val="es-ES_tradnl"/>
        </w:rPr>
        <w:t>quien le otorg</w:t>
      </w:r>
      <w:r>
        <w:rPr>
          <w:rFonts w:cs="Times New Roman"/>
          <w:spacing w:val="-6"/>
          <w:sz w:val="18"/>
          <w:szCs w:val="18"/>
          <w:lang w:val="es-ES_tradnl"/>
        </w:rPr>
        <w:t>ó</w:t>
      </w:r>
      <w:r>
        <w:rPr>
          <w:spacing w:val="-6"/>
          <w:sz w:val="18"/>
          <w:szCs w:val="18"/>
          <w:lang w:val="es-ES_tradnl"/>
        </w:rPr>
        <w:t xml:space="preserve"> un cr</w:t>
      </w:r>
      <w:r>
        <w:rPr>
          <w:rFonts w:cs="Times New Roman"/>
          <w:spacing w:val="-6"/>
          <w:sz w:val="18"/>
          <w:szCs w:val="18"/>
          <w:lang w:val="es-ES_tradnl"/>
        </w:rPr>
        <w:t>é</w:t>
      </w:r>
      <w:r>
        <w:rPr>
          <w:spacing w:val="-6"/>
          <w:sz w:val="18"/>
          <w:szCs w:val="18"/>
          <w:lang w:val="es-ES_tradnl"/>
        </w:rPr>
        <w:t xml:space="preserve">dito de $10.320,00 USD, que no fue </w:t>
      </w:r>
      <w:r>
        <w:rPr>
          <w:spacing w:val="-5"/>
          <w:sz w:val="18"/>
          <w:szCs w:val="18"/>
          <w:lang w:val="es-ES_tradnl"/>
        </w:rPr>
        <w:t>cancelado; por estas circunstancias, le iniciaron un juicio ejecutivo que recay</w:t>
      </w:r>
      <w:r>
        <w:rPr>
          <w:rFonts w:cs="Times New Roman"/>
          <w:spacing w:val="-5"/>
          <w:sz w:val="18"/>
          <w:szCs w:val="18"/>
          <w:lang w:val="es-ES_tradnl"/>
        </w:rPr>
        <w:t>ó</w:t>
      </w:r>
      <w:r>
        <w:rPr>
          <w:spacing w:val="-5"/>
          <w:sz w:val="18"/>
          <w:szCs w:val="18"/>
          <w:lang w:val="es-ES_tradnl"/>
        </w:rPr>
        <w:t xml:space="preserve"> en el Juzgado Octavo de lo Civil de </w:t>
      </w:r>
      <w:r>
        <w:rPr>
          <w:sz w:val="18"/>
          <w:szCs w:val="18"/>
          <w:lang w:val="es-ES_tradnl"/>
        </w:rPr>
        <w:t>Pichincha.</w:t>
      </w:r>
    </w:p>
    <w:p w14:paraId="4F67BB76" w14:textId="77777777" w:rsidR="00591D54" w:rsidRDefault="00591D54">
      <w:pPr>
        <w:shd w:val="clear" w:color="auto" w:fill="FFFFFF"/>
        <w:spacing w:before="197" w:line="216" w:lineRule="exact"/>
        <w:jc w:val="both"/>
      </w:pPr>
      <w:r>
        <w:rPr>
          <w:spacing w:val="-4"/>
          <w:sz w:val="18"/>
          <w:szCs w:val="18"/>
          <w:lang w:val="es-ES_tradnl"/>
        </w:rPr>
        <w:t xml:space="preserve">El 22 de octubre de 2010 a las 09h25, el juez octavo de </w:t>
      </w:r>
      <w:r>
        <w:rPr>
          <w:spacing w:val="-5"/>
          <w:sz w:val="18"/>
          <w:szCs w:val="18"/>
          <w:lang w:val="es-ES_tradnl"/>
        </w:rPr>
        <w:t>lo civil de Pichincha acept</w:t>
      </w:r>
      <w:r>
        <w:rPr>
          <w:rFonts w:cs="Times New Roman"/>
          <w:spacing w:val="-5"/>
          <w:sz w:val="18"/>
          <w:szCs w:val="18"/>
          <w:lang w:val="es-ES_tradnl"/>
        </w:rPr>
        <w:t>ó</w:t>
      </w:r>
      <w:r>
        <w:rPr>
          <w:spacing w:val="-5"/>
          <w:sz w:val="18"/>
          <w:szCs w:val="18"/>
          <w:lang w:val="es-ES_tradnl"/>
        </w:rPr>
        <w:t xml:space="preserve"> la demanda del se</w:t>
      </w:r>
      <w:r>
        <w:rPr>
          <w:rFonts w:cs="Times New Roman"/>
          <w:spacing w:val="-5"/>
          <w:sz w:val="18"/>
          <w:szCs w:val="18"/>
          <w:lang w:val="es-ES_tradnl"/>
        </w:rPr>
        <w:t>ñ</w:t>
      </w:r>
      <w:r>
        <w:rPr>
          <w:spacing w:val="-5"/>
          <w:sz w:val="18"/>
          <w:szCs w:val="18"/>
          <w:lang w:val="es-ES_tradnl"/>
        </w:rPr>
        <w:t xml:space="preserve">or Jorge </w:t>
      </w:r>
      <w:r>
        <w:rPr>
          <w:spacing w:val="-8"/>
          <w:sz w:val="18"/>
          <w:szCs w:val="18"/>
          <w:lang w:val="es-ES_tradnl"/>
        </w:rPr>
        <w:t>Burbano y orden</w:t>
      </w:r>
      <w:r>
        <w:rPr>
          <w:rFonts w:cs="Times New Roman"/>
          <w:spacing w:val="-8"/>
          <w:sz w:val="18"/>
          <w:szCs w:val="18"/>
          <w:lang w:val="es-ES_tradnl"/>
        </w:rPr>
        <w:t>ó</w:t>
      </w:r>
      <w:r>
        <w:rPr>
          <w:spacing w:val="-8"/>
          <w:sz w:val="18"/>
          <w:szCs w:val="18"/>
          <w:lang w:val="es-ES_tradnl"/>
        </w:rPr>
        <w:t xml:space="preserve"> que Fabi</w:t>
      </w:r>
      <w:r>
        <w:rPr>
          <w:rFonts w:cs="Times New Roman"/>
          <w:spacing w:val="-8"/>
          <w:sz w:val="18"/>
          <w:szCs w:val="18"/>
          <w:lang w:val="es-ES_tradnl"/>
        </w:rPr>
        <w:t>á</w:t>
      </w:r>
      <w:r>
        <w:rPr>
          <w:spacing w:val="-8"/>
          <w:sz w:val="18"/>
          <w:szCs w:val="18"/>
          <w:lang w:val="es-ES_tradnl"/>
        </w:rPr>
        <w:t xml:space="preserve">n Silva pague inmediatamente </w:t>
      </w:r>
      <w:r>
        <w:rPr>
          <w:spacing w:val="-10"/>
          <w:sz w:val="18"/>
          <w:szCs w:val="18"/>
          <w:lang w:val="es-ES_tradnl"/>
        </w:rPr>
        <w:t>la cantidad adeudada m</w:t>
      </w:r>
      <w:r>
        <w:rPr>
          <w:rFonts w:cs="Times New Roman"/>
          <w:spacing w:val="-10"/>
          <w:sz w:val="18"/>
          <w:szCs w:val="18"/>
          <w:lang w:val="es-ES_tradnl"/>
        </w:rPr>
        <w:t>á</w:t>
      </w:r>
      <w:r>
        <w:rPr>
          <w:spacing w:val="-10"/>
          <w:sz w:val="18"/>
          <w:szCs w:val="18"/>
          <w:lang w:val="es-ES_tradnl"/>
        </w:rPr>
        <w:t xml:space="preserve">s los intereses de ley; sin embargo, </w:t>
      </w:r>
      <w:r>
        <w:rPr>
          <w:spacing w:val="-4"/>
          <w:sz w:val="18"/>
          <w:szCs w:val="18"/>
          <w:lang w:val="es-ES_tradnl"/>
        </w:rPr>
        <w:t xml:space="preserve">como no lo hizo, la vivienda fue rematada por el referido </w:t>
      </w:r>
      <w:r>
        <w:rPr>
          <w:sz w:val="18"/>
          <w:szCs w:val="18"/>
          <w:lang w:val="es-ES_tradnl"/>
        </w:rPr>
        <w:t>Juzgado.</w:t>
      </w:r>
    </w:p>
    <w:p w14:paraId="4F67BB77" w14:textId="77777777" w:rsidR="00591D54" w:rsidRDefault="00591D54">
      <w:pPr>
        <w:shd w:val="clear" w:color="auto" w:fill="FFFFFF"/>
        <w:spacing w:before="197" w:line="216" w:lineRule="exact"/>
        <w:jc w:val="both"/>
      </w:pPr>
      <w:r>
        <w:rPr>
          <w:spacing w:val="-4"/>
          <w:sz w:val="18"/>
          <w:szCs w:val="18"/>
          <w:lang w:val="es-ES_tradnl"/>
        </w:rPr>
        <w:t>El 12 de octubre de 2010, el se</w:t>
      </w:r>
      <w:r>
        <w:rPr>
          <w:rFonts w:cs="Times New Roman"/>
          <w:spacing w:val="-4"/>
          <w:sz w:val="18"/>
          <w:szCs w:val="18"/>
          <w:lang w:val="es-ES_tradnl"/>
        </w:rPr>
        <w:t>ñ</w:t>
      </w:r>
      <w:r>
        <w:rPr>
          <w:spacing w:val="-4"/>
          <w:sz w:val="18"/>
          <w:szCs w:val="18"/>
          <w:lang w:val="es-ES_tradnl"/>
        </w:rPr>
        <w:t>or El</w:t>
      </w:r>
      <w:r>
        <w:rPr>
          <w:rFonts w:cs="Times New Roman"/>
          <w:spacing w:val="-4"/>
          <w:sz w:val="18"/>
          <w:szCs w:val="18"/>
          <w:lang w:val="es-ES_tradnl"/>
        </w:rPr>
        <w:t>í</w:t>
      </w:r>
      <w:r>
        <w:rPr>
          <w:spacing w:val="-4"/>
          <w:sz w:val="18"/>
          <w:szCs w:val="18"/>
          <w:lang w:val="es-ES_tradnl"/>
        </w:rPr>
        <w:t xml:space="preserve">as Daniel Gordillo </w:t>
      </w:r>
      <w:r>
        <w:rPr>
          <w:sz w:val="18"/>
          <w:szCs w:val="18"/>
          <w:lang w:val="es-ES_tradnl"/>
        </w:rPr>
        <w:t>Villavicencio denunci</w:t>
      </w:r>
      <w:r>
        <w:rPr>
          <w:rFonts w:cs="Times New Roman"/>
          <w:sz w:val="18"/>
          <w:szCs w:val="18"/>
          <w:lang w:val="es-ES_tradnl"/>
        </w:rPr>
        <w:t>ó</w:t>
      </w:r>
      <w:r>
        <w:rPr>
          <w:sz w:val="18"/>
          <w:szCs w:val="18"/>
          <w:lang w:val="es-ES_tradnl"/>
        </w:rPr>
        <w:t xml:space="preserve"> en la Fiscal</w:t>
      </w:r>
      <w:r>
        <w:rPr>
          <w:rFonts w:cs="Times New Roman"/>
          <w:sz w:val="18"/>
          <w:szCs w:val="18"/>
          <w:lang w:val="es-ES_tradnl"/>
        </w:rPr>
        <w:t>í</w:t>
      </w:r>
      <w:r>
        <w:rPr>
          <w:sz w:val="18"/>
          <w:szCs w:val="18"/>
          <w:lang w:val="es-ES_tradnl"/>
        </w:rPr>
        <w:t xml:space="preserve">a Provincial de </w:t>
      </w:r>
      <w:r>
        <w:rPr>
          <w:spacing w:val="-5"/>
          <w:sz w:val="18"/>
          <w:szCs w:val="18"/>
          <w:lang w:val="es-ES_tradnl"/>
        </w:rPr>
        <w:t>Pichincha al se</w:t>
      </w:r>
      <w:r>
        <w:rPr>
          <w:rFonts w:cs="Times New Roman"/>
          <w:spacing w:val="-5"/>
          <w:sz w:val="18"/>
          <w:szCs w:val="18"/>
          <w:lang w:val="es-ES_tradnl"/>
        </w:rPr>
        <w:t>ñ</w:t>
      </w:r>
      <w:r>
        <w:rPr>
          <w:spacing w:val="-5"/>
          <w:sz w:val="18"/>
          <w:szCs w:val="18"/>
          <w:lang w:val="es-ES_tradnl"/>
        </w:rPr>
        <w:t>or Fabi</w:t>
      </w:r>
      <w:r>
        <w:rPr>
          <w:rFonts w:cs="Times New Roman"/>
          <w:spacing w:val="-5"/>
          <w:sz w:val="18"/>
          <w:szCs w:val="18"/>
          <w:lang w:val="es-ES_tradnl"/>
        </w:rPr>
        <w:t>á</w:t>
      </w:r>
      <w:r>
        <w:rPr>
          <w:spacing w:val="-5"/>
          <w:sz w:val="18"/>
          <w:szCs w:val="18"/>
          <w:lang w:val="es-ES_tradnl"/>
        </w:rPr>
        <w:t xml:space="preserve">n Silva Tumipamba por el delito </w:t>
      </w:r>
      <w:r>
        <w:rPr>
          <w:spacing w:val="-6"/>
          <w:sz w:val="18"/>
          <w:szCs w:val="18"/>
          <w:lang w:val="es-ES_tradnl"/>
        </w:rPr>
        <w:t xml:space="preserve">de estafa, avocando conocimiento del caso el juez del </w:t>
      </w:r>
      <w:r>
        <w:rPr>
          <w:spacing w:val="-4"/>
          <w:sz w:val="18"/>
          <w:szCs w:val="18"/>
          <w:lang w:val="es-ES_tradnl"/>
        </w:rPr>
        <w:t>Juzgado Primero de Garant</w:t>
      </w:r>
      <w:r>
        <w:rPr>
          <w:rFonts w:cs="Times New Roman"/>
          <w:spacing w:val="-4"/>
          <w:sz w:val="18"/>
          <w:szCs w:val="18"/>
          <w:lang w:val="es-ES_tradnl"/>
        </w:rPr>
        <w:t>í</w:t>
      </w:r>
      <w:r>
        <w:rPr>
          <w:spacing w:val="-4"/>
          <w:sz w:val="18"/>
          <w:szCs w:val="18"/>
          <w:lang w:val="es-ES_tradnl"/>
        </w:rPr>
        <w:t xml:space="preserve">as Penales de Pichincha, </w:t>
      </w:r>
      <w:r>
        <w:rPr>
          <w:spacing w:val="-5"/>
          <w:sz w:val="18"/>
          <w:szCs w:val="18"/>
          <w:lang w:val="es-ES_tradnl"/>
        </w:rPr>
        <w:t>quien el 12 de enero de 2012 a las 12h58, dict</w:t>
      </w:r>
      <w:r>
        <w:rPr>
          <w:rFonts w:cs="Times New Roman"/>
          <w:spacing w:val="-5"/>
          <w:sz w:val="18"/>
          <w:szCs w:val="18"/>
          <w:lang w:val="es-ES_tradnl"/>
        </w:rPr>
        <w:t>ó</w:t>
      </w:r>
      <w:r>
        <w:rPr>
          <w:spacing w:val="-5"/>
          <w:sz w:val="18"/>
          <w:szCs w:val="18"/>
          <w:lang w:val="es-ES_tradnl"/>
        </w:rPr>
        <w:t xml:space="preserve"> auto de llamamiento a juicio en contra de Fabi</w:t>
      </w:r>
      <w:r>
        <w:rPr>
          <w:rFonts w:cs="Times New Roman"/>
          <w:spacing w:val="-5"/>
          <w:sz w:val="18"/>
          <w:szCs w:val="18"/>
          <w:lang w:val="es-ES_tradnl"/>
        </w:rPr>
        <w:t>á</w:t>
      </w:r>
      <w:r>
        <w:rPr>
          <w:spacing w:val="-5"/>
          <w:sz w:val="18"/>
          <w:szCs w:val="18"/>
          <w:lang w:val="es-ES_tradnl"/>
        </w:rPr>
        <w:t xml:space="preserve">n Silva en calidad </w:t>
      </w:r>
      <w:r>
        <w:rPr>
          <w:spacing w:val="-4"/>
          <w:sz w:val="18"/>
          <w:szCs w:val="18"/>
          <w:lang w:val="es-ES_tradnl"/>
        </w:rPr>
        <w:t>de autor del delito tipificado y sancionado en el art</w:t>
      </w:r>
      <w:r>
        <w:rPr>
          <w:rFonts w:cs="Times New Roman"/>
          <w:spacing w:val="-4"/>
          <w:sz w:val="18"/>
          <w:szCs w:val="18"/>
          <w:lang w:val="es-ES_tradnl"/>
        </w:rPr>
        <w:t>í</w:t>
      </w:r>
      <w:r>
        <w:rPr>
          <w:spacing w:val="-4"/>
          <w:sz w:val="18"/>
          <w:szCs w:val="18"/>
          <w:lang w:val="es-ES_tradnl"/>
        </w:rPr>
        <w:t xml:space="preserve">culo </w:t>
      </w:r>
      <w:r>
        <w:rPr>
          <w:sz w:val="18"/>
          <w:szCs w:val="18"/>
          <w:lang w:val="es-ES_tradnl"/>
        </w:rPr>
        <w:t>563 del C</w:t>
      </w:r>
      <w:r>
        <w:rPr>
          <w:rFonts w:cs="Times New Roman"/>
          <w:sz w:val="18"/>
          <w:szCs w:val="18"/>
          <w:lang w:val="es-ES_tradnl"/>
        </w:rPr>
        <w:t>ó</w:t>
      </w:r>
      <w:r>
        <w:rPr>
          <w:sz w:val="18"/>
          <w:szCs w:val="18"/>
          <w:lang w:val="es-ES_tradnl"/>
        </w:rPr>
        <w:t>digo Penal.</w:t>
      </w:r>
    </w:p>
    <w:p w14:paraId="4F67BB78" w14:textId="77777777" w:rsidR="00591D54" w:rsidRDefault="00591D54">
      <w:pPr>
        <w:shd w:val="clear" w:color="auto" w:fill="FFFFFF"/>
        <w:spacing w:before="197" w:line="216" w:lineRule="exact"/>
        <w:jc w:val="both"/>
      </w:pPr>
      <w:r>
        <w:rPr>
          <w:spacing w:val="-2"/>
          <w:sz w:val="18"/>
          <w:szCs w:val="18"/>
          <w:lang w:val="es-ES_tradnl"/>
        </w:rPr>
        <w:t>El 29 de enero de 2012, falleci</w:t>
      </w:r>
      <w:r>
        <w:rPr>
          <w:rFonts w:cs="Times New Roman"/>
          <w:spacing w:val="-2"/>
          <w:sz w:val="18"/>
          <w:szCs w:val="18"/>
          <w:lang w:val="es-ES_tradnl"/>
        </w:rPr>
        <w:t>ó</w:t>
      </w:r>
      <w:r>
        <w:rPr>
          <w:spacing w:val="-2"/>
          <w:sz w:val="18"/>
          <w:szCs w:val="18"/>
          <w:lang w:val="es-ES_tradnl"/>
        </w:rPr>
        <w:t xml:space="preserve"> en la ciudad de Quito </w:t>
      </w:r>
      <w:r>
        <w:rPr>
          <w:spacing w:val="-3"/>
          <w:sz w:val="18"/>
          <w:szCs w:val="18"/>
          <w:lang w:val="es-ES_tradnl"/>
        </w:rPr>
        <w:t xml:space="preserve">por aneurisma cerebral (hemorragia cerebral masiva), </w:t>
      </w:r>
      <w:r>
        <w:rPr>
          <w:spacing w:val="-1"/>
          <w:sz w:val="18"/>
          <w:szCs w:val="18"/>
          <w:lang w:val="es-ES_tradnl"/>
        </w:rPr>
        <w:t>El</w:t>
      </w:r>
      <w:r>
        <w:rPr>
          <w:rFonts w:cs="Times New Roman"/>
          <w:spacing w:val="-1"/>
          <w:sz w:val="18"/>
          <w:szCs w:val="18"/>
          <w:lang w:val="es-ES_tradnl"/>
        </w:rPr>
        <w:t>í</w:t>
      </w:r>
      <w:r>
        <w:rPr>
          <w:spacing w:val="-1"/>
          <w:sz w:val="18"/>
          <w:szCs w:val="18"/>
          <w:lang w:val="es-ES_tradnl"/>
        </w:rPr>
        <w:t xml:space="preserve">as Daniel Gordillo Villavicencio, acusador particular </w:t>
      </w:r>
      <w:r>
        <w:rPr>
          <w:spacing w:val="-7"/>
          <w:sz w:val="18"/>
          <w:szCs w:val="18"/>
          <w:lang w:val="es-ES_tradnl"/>
        </w:rPr>
        <w:t>en el proceso signado con el N.</w:t>
      </w:r>
      <w:r>
        <w:rPr>
          <w:rFonts w:cs="Times New Roman"/>
          <w:i/>
          <w:iCs/>
          <w:spacing w:val="-7"/>
          <w:sz w:val="18"/>
          <w:szCs w:val="18"/>
          <w:lang w:val="es-ES_tradnl"/>
        </w:rPr>
        <w:t>º</w:t>
      </w:r>
      <w:r>
        <w:rPr>
          <w:i/>
          <w:iCs/>
          <w:spacing w:val="-7"/>
          <w:sz w:val="18"/>
          <w:szCs w:val="18"/>
          <w:lang w:val="es-ES_tradnl"/>
        </w:rPr>
        <w:t xml:space="preserve"> </w:t>
      </w:r>
      <w:r>
        <w:rPr>
          <w:spacing w:val="-7"/>
          <w:sz w:val="18"/>
          <w:szCs w:val="18"/>
          <w:lang w:val="es-ES_tradnl"/>
        </w:rPr>
        <w:t xml:space="preserve">0703-2011 en el Juzgado </w:t>
      </w:r>
      <w:r>
        <w:rPr>
          <w:spacing w:val="-10"/>
          <w:sz w:val="18"/>
          <w:szCs w:val="18"/>
          <w:lang w:val="es-ES_tradnl"/>
        </w:rPr>
        <w:t>Primero de Garant</w:t>
      </w:r>
      <w:r>
        <w:rPr>
          <w:rFonts w:cs="Times New Roman"/>
          <w:spacing w:val="-10"/>
          <w:sz w:val="18"/>
          <w:szCs w:val="18"/>
          <w:lang w:val="es-ES_tradnl"/>
        </w:rPr>
        <w:t>í</w:t>
      </w:r>
      <w:r>
        <w:rPr>
          <w:spacing w:val="-10"/>
          <w:sz w:val="18"/>
          <w:szCs w:val="18"/>
          <w:lang w:val="es-ES_tradnl"/>
        </w:rPr>
        <w:t xml:space="preserve">as Penales de Pichincha, compareciendo </w:t>
      </w:r>
      <w:r>
        <w:rPr>
          <w:spacing w:val="-5"/>
          <w:sz w:val="18"/>
          <w:szCs w:val="18"/>
          <w:lang w:val="es-ES_tradnl"/>
        </w:rPr>
        <w:t>m</w:t>
      </w:r>
      <w:r>
        <w:rPr>
          <w:rFonts w:cs="Times New Roman"/>
          <w:spacing w:val="-5"/>
          <w:sz w:val="18"/>
          <w:szCs w:val="18"/>
          <w:lang w:val="es-ES_tradnl"/>
        </w:rPr>
        <w:t>á</w:t>
      </w:r>
      <w:r>
        <w:rPr>
          <w:spacing w:val="-5"/>
          <w:sz w:val="18"/>
          <w:szCs w:val="18"/>
          <w:lang w:val="es-ES_tradnl"/>
        </w:rPr>
        <w:t>s adelante su hija Elisa Gordillo Tumipamba.</w:t>
      </w:r>
    </w:p>
    <w:p w14:paraId="4F67BB79" w14:textId="77777777" w:rsidR="00591D54" w:rsidRDefault="00591D54">
      <w:pPr>
        <w:shd w:val="clear" w:color="auto" w:fill="FFFFFF"/>
        <w:spacing w:before="192" w:line="216" w:lineRule="exact"/>
        <w:jc w:val="both"/>
      </w:pPr>
      <w:r>
        <w:rPr>
          <w:spacing w:val="-5"/>
          <w:sz w:val="18"/>
          <w:szCs w:val="18"/>
          <w:lang w:val="es-ES_tradnl"/>
        </w:rPr>
        <w:t xml:space="preserve">Mediante escrito presentado ante el Tercer Tribunal de </w:t>
      </w:r>
      <w:r>
        <w:rPr>
          <w:spacing w:val="-6"/>
          <w:sz w:val="18"/>
          <w:szCs w:val="18"/>
          <w:lang w:val="es-ES_tradnl"/>
        </w:rPr>
        <w:t>Garant</w:t>
      </w:r>
      <w:r>
        <w:rPr>
          <w:rFonts w:cs="Times New Roman"/>
          <w:spacing w:val="-6"/>
          <w:sz w:val="18"/>
          <w:szCs w:val="18"/>
          <w:lang w:val="es-ES_tradnl"/>
        </w:rPr>
        <w:t>í</w:t>
      </w:r>
      <w:r>
        <w:rPr>
          <w:spacing w:val="-6"/>
          <w:sz w:val="18"/>
          <w:szCs w:val="18"/>
          <w:lang w:val="es-ES_tradnl"/>
        </w:rPr>
        <w:t xml:space="preserve">as Penales de Pichincha el 23 de marzo de 2012, </w:t>
      </w:r>
      <w:r>
        <w:rPr>
          <w:spacing w:val="-7"/>
          <w:sz w:val="18"/>
          <w:szCs w:val="18"/>
          <w:lang w:val="es-ES_tradnl"/>
        </w:rPr>
        <w:t>el procesado Fabi</w:t>
      </w:r>
      <w:r>
        <w:rPr>
          <w:rFonts w:cs="Times New Roman"/>
          <w:spacing w:val="-7"/>
          <w:sz w:val="18"/>
          <w:szCs w:val="18"/>
          <w:lang w:val="es-ES_tradnl"/>
        </w:rPr>
        <w:t>á</w:t>
      </w:r>
      <w:r>
        <w:rPr>
          <w:spacing w:val="-7"/>
          <w:sz w:val="18"/>
          <w:szCs w:val="18"/>
          <w:lang w:val="es-ES_tradnl"/>
        </w:rPr>
        <w:t>n Silva Tumipamba solicit</w:t>
      </w:r>
      <w:r>
        <w:rPr>
          <w:rFonts w:cs="Times New Roman"/>
          <w:spacing w:val="-7"/>
          <w:sz w:val="18"/>
          <w:szCs w:val="18"/>
          <w:lang w:val="es-ES_tradnl"/>
        </w:rPr>
        <w:t>ó</w:t>
      </w:r>
      <w:r>
        <w:rPr>
          <w:spacing w:val="-7"/>
          <w:sz w:val="18"/>
          <w:szCs w:val="18"/>
          <w:lang w:val="es-ES_tradnl"/>
        </w:rPr>
        <w:t xml:space="preserve"> a los jueces </w:t>
      </w:r>
      <w:r>
        <w:rPr>
          <w:sz w:val="18"/>
          <w:szCs w:val="18"/>
          <w:lang w:val="es-ES_tradnl"/>
        </w:rPr>
        <w:t>la aplicaci</w:t>
      </w:r>
      <w:r>
        <w:rPr>
          <w:rFonts w:cs="Times New Roman"/>
          <w:sz w:val="18"/>
          <w:szCs w:val="18"/>
          <w:lang w:val="es-ES_tradnl"/>
        </w:rPr>
        <w:t>ó</w:t>
      </w:r>
      <w:r>
        <w:rPr>
          <w:sz w:val="18"/>
          <w:szCs w:val="18"/>
          <w:lang w:val="es-ES_tradnl"/>
        </w:rPr>
        <w:t xml:space="preserve">n del procedimiento abreviado, quienes el </w:t>
      </w:r>
      <w:r>
        <w:rPr>
          <w:spacing w:val="-5"/>
          <w:sz w:val="18"/>
          <w:szCs w:val="18"/>
          <w:lang w:val="es-ES_tradnl"/>
        </w:rPr>
        <w:t xml:space="preserve">16 de abril de 2012 a las 14h26 dictaron sentencia en el </w:t>
      </w:r>
      <w:r>
        <w:rPr>
          <w:spacing w:val="-4"/>
          <w:sz w:val="18"/>
          <w:szCs w:val="18"/>
          <w:lang w:val="es-ES_tradnl"/>
        </w:rPr>
        <w:t>referido procedimiento, declar</w:t>
      </w:r>
      <w:r>
        <w:rPr>
          <w:rFonts w:cs="Times New Roman"/>
          <w:spacing w:val="-4"/>
          <w:sz w:val="18"/>
          <w:szCs w:val="18"/>
          <w:lang w:val="es-ES_tradnl"/>
        </w:rPr>
        <w:t>á</w:t>
      </w:r>
      <w:r>
        <w:rPr>
          <w:spacing w:val="-4"/>
          <w:sz w:val="18"/>
          <w:szCs w:val="18"/>
          <w:lang w:val="es-ES_tradnl"/>
        </w:rPr>
        <w:t>ndolo  culpable del delito</w:t>
      </w:r>
    </w:p>
    <w:p w14:paraId="4F67BB7A" w14:textId="77777777" w:rsidR="00591D54" w:rsidRDefault="00591D54">
      <w:pPr>
        <w:shd w:val="clear" w:color="auto" w:fill="FFFFFF"/>
        <w:spacing w:before="192" w:line="216" w:lineRule="exact"/>
        <w:jc w:val="both"/>
        <w:sectPr w:rsidR="00591D54">
          <w:type w:val="continuous"/>
          <w:pgSz w:w="11909" w:h="16834"/>
          <w:pgMar w:top="1368" w:right="1309" w:bottom="360" w:left="1308" w:header="720" w:footer="720" w:gutter="0"/>
          <w:cols w:num="2" w:space="720" w:equalWidth="0">
            <w:col w:w="4310" w:space="677"/>
            <w:col w:w="4305"/>
          </w:cols>
          <w:noEndnote/>
        </w:sectPr>
      </w:pPr>
    </w:p>
    <w:p w14:paraId="4F67BB7B" w14:textId="77777777" w:rsidR="00591D54" w:rsidRDefault="00591D54">
      <w:pPr>
        <w:shd w:val="clear" w:color="auto" w:fill="FFFFFF"/>
        <w:tabs>
          <w:tab w:val="left" w:pos="584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- 291</w:t>
      </w:r>
    </w:p>
    <w:p w14:paraId="4F67BB7C" w14:textId="77777777" w:rsidR="00591D54" w:rsidRDefault="00591D54">
      <w:pPr>
        <w:shd w:val="clear" w:color="auto" w:fill="FFFFFF"/>
        <w:tabs>
          <w:tab w:val="left" w:pos="5842"/>
        </w:tabs>
        <w:spacing w:after="230"/>
        <w:ind w:left="5"/>
        <w:sectPr w:rsidR="00591D54">
          <w:pgSz w:w="11909" w:h="16834"/>
          <w:pgMar w:top="1368" w:right="1309" w:bottom="360" w:left="1308" w:header="720" w:footer="720" w:gutter="0"/>
          <w:cols w:space="60"/>
          <w:noEndnote/>
        </w:sectPr>
      </w:pPr>
    </w:p>
    <w:p w14:paraId="4F67BB7D" w14:textId="77777777" w:rsidR="00591D54" w:rsidRDefault="00591D54">
      <w:pPr>
        <w:shd w:val="clear" w:color="auto" w:fill="FFFFFF"/>
        <w:spacing w:before="5" w:line="216" w:lineRule="exact"/>
        <w:jc w:val="both"/>
      </w:pPr>
      <w:r>
        <w:rPr>
          <w:spacing w:val="-8"/>
          <w:sz w:val="18"/>
          <w:szCs w:val="18"/>
          <w:lang w:val="es-ES_tradnl"/>
        </w:rPr>
        <w:t>de estafa e imponi</w:t>
      </w:r>
      <w:r>
        <w:rPr>
          <w:rFonts w:cs="Times New Roman"/>
          <w:spacing w:val="-8"/>
          <w:sz w:val="18"/>
          <w:szCs w:val="18"/>
          <w:lang w:val="es-ES_tradnl"/>
        </w:rPr>
        <w:t>é</w:t>
      </w:r>
      <w:r>
        <w:rPr>
          <w:spacing w:val="-8"/>
          <w:sz w:val="18"/>
          <w:szCs w:val="18"/>
          <w:lang w:val="es-ES_tradnl"/>
        </w:rPr>
        <w:t>ndole la pena de diez meses de prisi</w:t>
      </w:r>
      <w:r>
        <w:rPr>
          <w:rFonts w:cs="Times New Roman"/>
          <w:spacing w:val="-8"/>
          <w:sz w:val="18"/>
          <w:szCs w:val="18"/>
          <w:lang w:val="es-ES_tradnl"/>
        </w:rPr>
        <w:t>ó</w:t>
      </w:r>
      <w:r>
        <w:rPr>
          <w:spacing w:val="-8"/>
          <w:sz w:val="18"/>
          <w:szCs w:val="18"/>
          <w:lang w:val="es-ES_tradnl"/>
        </w:rPr>
        <w:t xml:space="preserve">n </w:t>
      </w:r>
      <w:r>
        <w:rPr>
          <w:spacing w:val="-7"/>
          <w:sz w:val="18"/>
          <w:szCs w:val="18"/>
          <w:lang w:val="es-ES_tradnl"/>
        </w:rPr>
        <w:t>correccional, adem</w:t>
      </w:r>
      <w:r>
        <w:rPr>
          <w:rFonts w:cs="Times New Roman"/>
          <w:spacing w:val="-7"/>
          <w:sz w:val="18"/>
          <w:szCs w:val="18"/>
          <w:lang w:val="es-ES_tradnl"/>
        </w:rPr>
        <w:t>á</w:t>
      </w:r>
      <w:r>
        <w:rPr>
          <w:spacing w:val="-7"/>
          <w:sz w:val="18"/>
          <w:szCs w:val="18"/>
          <w:lang w:val="es-ES_tradnl"/>
        </w:rPr>
        <w:t xml:space="preserve">s de indemnizar con $35.500,00 USD </w:t>
      </w:r>
      <w:r>
        <w:rPr>
          <w:spacing w:val="-5"/>
          <w:sz w:val="18"/>
          <w:szCs w:val="18"/>
          <w:lang w:val="es-ES_tradnl"/>
        </w:rPr>
        <w:t>a los herederos del causante El</w:t>
      </w:r>
      <w:r>
        <w:rPr>
          <w:rFonts w:cs="Times New Roman"/>
          <w:spacing w:val="-5"/>
          <w:sz w:val="18"/>
          <w:szCs w:val="18"/>
          <w:lang w:val="es-ES_tradnl"/>
        </w:rPr>
        <w:t>í</w:t>
      </w:r>
      <w:r>
        <w:rPr>
          <w:spacing w:val="-5"/>
          <w:sz w:val="18"/>
          <w:szCs w:val="18"/>
          <w:lang w:val="es-ES_tradnl"/>
        </w:rPr>
        <w:t>as Gordillo Villavicencio.</w:t>
      </w:r>
    </w:p>
    <w:p w14:paraId="4F67BB7E" w14:textId="77777777" w:rsidR="00591D54" w:rsidRDefault="00591D54">
      <w:pPr>
        <w:shd w:val="clear" w:color="auto" w:fill="FFFFFF"/>
        <w:spacing w:before="197" w:line="216" w:lineRule="exact"/>
        <w:jc w:val="both"/>
      </w:pPr>
      <w:r>
        <w:rPr>
          <w:spacing w:val="-4"/>
          <w:sz w:val="18"/>
          <w:szCs w:val="18"/>
          <w:lang w:val="es-ES_tradnl"/>
        </w:rPr>
        <w:t>De la decisi</w:t>
      </w:r>
      <w:r>
        <w:rPr>
          <w:rFonts w:cs="Times New Roman"/>
          <w:spacing w:val="-4"/>
          <w:sz w:val="18"/>
          <w:szCs w:val="18"/>
          <w:lang w:val="es-ES_tradnl"/>
        </w:rPr>
        <w:t>ó</w:t>
      </w:r>
      <w:r>
        <w:rPr>
          <w:spacing w:val="-4"/>
          <w:sz w:val="18"/>
          <w:szCs w:val="18"/>
          <w:lang w:val="es-ES_tradnl"/>
        </w:rPr>
        <w:t xml:space="preserve">n </w:t>
      </w:r>
      <w:r>
        <w:rPr>
          <w:i/>
          <w:iCs/>
          <w:spacing w:val="-4"/>
          <w:sz w:val="18"/>
          <w:szCs w:val="18"/>
          <w:lang w:val="es-ES_tradnl"/>
        </w:rPr>
        <w:t>ut supra</w:t>
      </w:r>
      <w:r>
        <w:rPr>
          <w:spacing w:val="-4"/>
          <w:sz w:val="18"/>
          <w:szCs w:val="18"/>
          <w:lang w:val="es-ES_tradnl"/>
        </w:rPr>
        <w:t>, el se</w:t>
      </w:r>
      <w:r>
        <w:rPr>
          <w:rFonts w:cs="Times New Roman"/>
          <w:spacing w:val="-4"/>
          <w:sz w:val="18"/>
          <w:szCs w:val="18"/>
          <w:lang w:val="es-ES_tradnl"/>
        </w:rPr>
        <w:t>ñ</w:t>
      </w:r>
      <w:r>
        <w:rPr>
          <w:spacing w:val="-4"/>
          <w:sz w:val="18"/>
          <w:szCs w:val="18"/>
          <w:lang w:val="es-ES_tradnl"/>
        </w:rPr>
        <w:t>or Jorge Burbano Muriel (actor en el juicio ejecutivo N.</w:t>
      </w:r>
      <w:r>
        <w:rPr>
          <w:rFonts w:cs="Times New Roman"/>
          <w:spacing w:val="-4"/>
          <w:sz w:val="18"/>
          <w:szCs w:val="18"/>
          <w:lang w:val="es-ES_tradnl"/>
        </w:rPr>
        <w:t>º</w:t>
      </w:r>
      <w:r>
        <w:rPr>
          <w:spacing w:val="-4"/>
          <w:sz w:val="18"/>
          <w:szCs w:val="18"/>
          <w:lang w:val="es-ES_tradnl"/>
        </w:rPr>
        <w:t xml:space="preserve"> 018-2010 del Juzgado </w:t>
      </w:r>
      <w:r>
        <w:rPr>
          <w:spacing w:val="-3"/>
          <w:sz w:val="18"/>
          <w:szCs w:val="18"/>
          <w:lang w:val="es-ES_tradnl"/>
        </w:rPr>
        <w:t>Octavo de lo Civil de Pichincha), present</w:t>
      </w:r>
      <w:r>
        <w:rPr>
          <w:rFonts w:cs="Times New Roman"/>
          <w:spacing w:val="-3"/>
          <w:sz w:val="18"/>
          <w:szCs w:val="18"/>
          <w:lang w:val="es-ES_tradnl"/>
        </w:rPr>
        <w:t>ó</w:t>
      </w:r>
      <w:r>
        <w:rPr>
          <w:spacing w:val="-3"/>
          <w:sz w:val="18"/>
          <w:szCs w:val="18"/>
          <w:lang w:val="es-ES_tradnl"/>
        </w:rPr>
        <w:t xml:space="preserve"> acci</w:t>
      </w:r>
      <w:r>
        <w:rPr>
          <w:rFonts w:cs="Times New Roman"/>
          <w:spacing w:val="-3"/>
          <w:sz w:val="18"/>
          <w:szCs w:val="18"/>
          <w:lang w:val="es-ES_tradnl"/>
        </w:rPr>
        <w:t>ó</w:t>
      </w:r>
      <w:r>
        <w:rPr>
          <w:spacing w:val="-3"/>
          <w:sz w:val="18"/>
          <w:szCs w:val="18"/>
          <w:lang w:val="es-ES_tradnl"/>
        </w:rPr>
        <w:t xml:space="preserve">n </w:t>
      </w:r>
      <w:r>
        <w:rPr>
          <w:sz w:val="18"/>
          <w:szCs w:val="18"/>
          <w:lang w:val="es-ES_tradnl"/>
        </w:rPr>
        <w:t>extraordinaria de protecci</w:t>
      </w:r>
      <w:r>
        <w:rPr>
          <w:rFonts w:cs="Times New Roman"/>
          <w:sz w:val="18"/>
          <w:szCs w:val="18"/>
          <w:lang w:val="es-ES_tradnl"/>
        </w:rPr>
        <w:t>ó</w:t>
      </w:r>
      <w:r>
        <w:rPr>
          <w:sz w:val="18"/>
          <w:szCs w:val="18"/>
          <w:lang w:val="es-ES_tradnl"/>
        </w:rPr>
        <w:t>n.</w:t>
      </w:r>
    </w:p>
    <w:p w14:paraId="4F67BB7F" w14:textId="77777777" w:rsidR="00591D54" w:rsidRDefault="00591D54">
      <w:pPr>
        <w:shd w:val="clear" w:color="auto" w:fill="FFFFFF"/>
        <w:spacing w:before="197"/>
      </w:pPr>
      <w:r>
        <w:rPr>
          <w:b/>
          <w:bCs/>
          <w:spacing w:val="-7"/>
          <w:sz w:val="18"/>
          <w:szCs w:val="18"/>
          <w:lang w:val="es-ES_tradnl"/>
        </w:rPr>
        <w:t>Detalle y fundamento de la demanda</w:t>
      </w:r>
    </w:p>
    <w:p w14:paraId="4F67BB80" w14:textId="77777777" w:rsidR="00591D54" w:rsidRDefault="00591D54">
      <w:pPr>
        <w:shd w:val="clear" w:color="auto" w:fill="FFFFFF"/>
        <w:spacing w:before="197" w:line="216" w:lineRule="exact"/>
        <w:jc w:val="both"/>
      </w:pPr>
      <w:r>
        <w:rPr>
          <w:sz w:val="18"/>
          <w:szCs w:val="18"/>
          <w:lang w:val="es-ES_tradnl"/>
        </w:rPr>
        <w:t xml:space="preserve">En lo principal, el legitimado activo expresa que el </w:t>
      </w:r>
      <w:r>
        <w:rPr>
          <w:spacing w:val="-3"/>
          <w:sz w:val="18"/>
          <w:szCs w:val="18"/>
          <w:lang w:val="es-ES_tradnl"/>
        </w:rPr>
        <w:t>art</w:t>
      </w:r>
      <w:r>
        <w:rPr>
          <w:rFonts w:cs="Times New Roman"/>
          <w:spacing w:val="-3"/>
          <w:sz w:val="18"/>
          <w:szCs w:val="18"/>
          <w:lang w:val="es-ES_tradnl"/>
        </w:rPr>
        <w:t>í</w:t>
      </w:r>
      <w:r>
        <w:rPr>
          <w:spacing w:val="-3"/>
          <w:sz w:val="18"/>
          <w:szCs w:val="18"/>
          <w:lang w:val="es-ES_tradnl"/>
        </w:rPr>
        <w:t>culo 75 de la Constituci</w:t>
      </w:r>
      <w:r>
        <w:rPr>
          <w:rFonts w:cs="Times New Roman"/>
          <w:spacing w:val="-3"/>
          <w:sz w:val="18"/>
          <w:szCs w:val="18"/>
          <w:lang w:val="es-ES_tradnl"/>
        </w:rPr>
        <w:t>ó</w:t>
      </w:r>
      <w:r>
        <w:rPr>
          <w:spacing w:val="-3"/>
          <w:sz w:val="18"/>
          <w:szCs w:val="18"/>
          <w:lang w:val="es-ES_tradnl"/>
        </w:rPr>
        <w:t xml:space="preserve">n, establece el principio de </w:t>
      </w:r>
      <w:r>
        <w:rPr>
          <w:spacing w:val="-8"/>
          <w:sz w:val="18"/>
          <w:szCs w:val="18"/>
          <w:lang w:val="es-ES_tradnl"/>
        </w:rPr>
        <w:t>que ninguna persona debe quedar en la indefensi</w:t>
      </w:r>
      <w:r>
        <w:rPr>
          <w:rFonts w:cs="Times New Roman"/>
          <w:spacing w:val="-8"/>
          <w:sz w:val="18"/>
          <w:szCs w:val="18"/>
          <w:lang w:val="es-ES_tradnl"/>
        </w:rPr>
        <w:t>ó</w:t>
      </w:r>
      <w:r>
        <w:rPr>
          <w:spacing w:val="-8"/>
          <w:sz w:val="18"/>
          <w:szCs w:val="18"/>
          <w:lang w:val="es-ES_tradnl"/>
        </w:rPr>
        <w:t xml:space="preserve">n dentro </w:t>
      </w:r>
      <w:r>
        <w:rPr>
          <w:spacing w:val="-5"/>
          <w:sz w:val="18"/>
          <w:szCs w:val="18"/>
          <w:lang w:val="es-ES_tradnl"/>
        </w:rPr>
        <w:t>de un proceso judicial y que el estado de indefensi</w:t>
      </w:r>
      <w:r>
        <w:rPr>
          <w:rFonts w:cs="Times New Roman"/>
          <w:spacing w:val="-5"/>
          <w:sz w:val="18"/>
          <w:szCs w:val="18"/>
          <w:lang w:val="es-ES_tradnl"/>
        </w:rPr>
        <w:t>ó</w:t>
      </w:r>
      <w:r>
        <w:rPr>
          <w:spacing w:val="-5"/>
          <w:sz w:val="18"/>
          <w:szCs w:val="18"/>
          <w:lang w:val="es-ES_tradnl"/>
        </w:rPr>
        <w:t xml:space="preserve">n se </w:t>
      </w:r>
      <w:r>
        <w:rPr>
          <w:spacing w:val="-6"/>
          <w:sz w:val="18"/>
          <w:szCs w:val="18"/>
          <w:lang w:val="es-ES_tradnl"/>
        </w:rPr>
        <w:t>considerar</w:t>
      </w:r>
      <w:r>
        <w:rPr>
          <w:rFonts w:cs="Times New Roman"/>
          <w:spacing w:val="-6"/>
          <w:sz w:val="18"/>
          <w:szCs w:val="18"/>
          <w:lang w:val="es-ES_tradnl"/>
        </w:rPr>
        <w:t>á</w:t>
      </w:r>
      <w:r>
        <w:rPr>
          <w:spacing w:val="-6"/>
          <w:sz w:val="18"/>
          <w:szCs w:val="18"/>
          <w:lang w:val="es-ES_tradnl"/>
        </w:rPr>
        <w:t xml:space="preserve"> con la falta de citaci</w:t>
      </w:r>
      <w:r>
        <w:rPr>
          <w:rFonts w:cs="Times New Roman"/>
          <w:spacing w:val="-6"/>
          <w:sz w:val="18"/>
          <w:szCs w:val="18"/>
          <w:lang w:val="es-ES_tradnl"/>
        </w:rPr>
        <w:t>ó</w:t>
      </w:r>
      <w:r>
        <w:rPr>
          <w:spacing w:val="-6"/>
          <w:sz w:val="18"/>
          <w:szCs w:val="18"/>
          <w:lang w:val="es-ES_tradnl"/>
        </w:rPr>
        <w:t xml:space="preserve">n a un individuo, cuando </w:t>
      </w:r>
      <w:r>
        <w:rPr>
          <w:spacing w:val="-7"/>
          <w:sz w:val="18"/>
          <w:szCs w:val="18"/>
          <w:lang w:val="es-ES_tradnl"/>
        </w:rPr>
        <w:t xml:space="preserve">por ley es indispensable la comparecencia a juicio de esa </w:t>
      </w:r>
      <w:r>
        <w:rPr>
          <w:spacing w:val="-10"/>
          <w:sz w:val="18"/>
          <w:szCs w:val="18"/>
          <w:lang w:val="es-ES_tradnl"/>
        </w:rPr>
        <w:t xml:space="preserve">persona, a fin de que pueda ejercer su derecho a la defensa </w:t>
      </w:r>
      <w:r>
        <w:rPr>
          <w:spacing w:val="-4"/>
          <w:sz w:val="18"/>
          <w:szCs w:val="18"/>
          <w:lang w:val="es-ES_tradnl"/>
        </w:rPr>
        <w:t xml:space="preserve">y aportar al proceso sus elementos de descargo, sin </w:t>
      </w:r>
      <w:r>
        <w:rPr>
          <w:spacing w:val="-6"/>
          <w:sz w:val="18"/>
          <w:szCs w:val="18"/>
          <w:lang w:val="es-ES_tradnl"/>
        </w:rPr>
        <w:t>embargo el agente fiscal no pidi</w:t>
      </w:r>
      <w:r>
        <w:rPr>
          <w:rFonts w:cs="Times New Roman"/>
          <w:spacing w:val="-6"/>
          <w:sz w:val="18"/>
          <w:szCs w:val="18"/>
          <w:lang w:val="es-ES_tradnl"/>
        </w:rPr>
        <w:t>ó</w:t>
      </w:r>
      <w:r>
        <w:rPr>
          <w:spacing w:val="-6"/>
          <w:sz w:val="18"/>
          <w:szCs w:val="18"/>
          <w:lang w:val="es-ES_tradnl"/>
        </w:rPr>
        <w:t xml:space="preserve"> su versi</w:t>
      </w:r>
      <w:r>
        <w:rPr>
          <w:rFonts w:cs="Times New Roman"/>
          <w:spacing w:val="-6"/>
          <w:sz w:val="18"/>
          <w:szCs w:val="18"/>
          <w:lang w:val="es-ES_tradnl"/>
        </w:rPr>
        <w:t>ó</w:t>
      </w:r>
      <w:r>
        <w:rPr>
          <w:spacing w:val="-6"/>
          <w:sz w:val="18"/>
          <w:szCs w:val="18"/>
          <w:lang w:val="es-ES_tradnl"/>
        </w:rPr>
        <w:t xml:space="preserve">n o testimonio </w:t>
      </w:r>
      <w:r>
        <w:rPr>
          <w:spacing w:val="-3"/>
          <w:sz w:val="18"/>
          <w:szCs w:val="18"/>
          <w:lang w:val="es-ES_tradnl"/>
        </w:rPr>
        <w:t>en la artificiosa investigaci</w:t>
      </w:r>
      <w:r>
        <w:rPr>
          <w:rFonts w:cs="Times New Roman"/>
          <w:spacing w:val="-3"/>
          <w:sz w:val="18"/>
          <w:szCs w:val="18"/>
          <w:lang w:val="es-ES_tradnl"/>
        </w:rPr>
        <w:t>ó</w:t>
      </w:r>
      <w:r>
        <w:rPr>
          <w:spacing w:val="-3"/>
          <w:sz w:val="18"/>
          <w:szCs w:val="18"/>
          <w:lang w:val="es-ES_tradnl"/>
        </w:rPr>
        <w:t xml:space="preserve">n, siendo imprescindible su </w:t>
      </w:r>
      <w:r>
        <w:rPr>
          <w:spacing w:val="-7"/>
          <w:sz w:val="18"/>
          <w:szCs w:val="18"/>
          <w:lang w:val="es-ES_tradnl"/>
        </w:rPr>
        <w:t xml:space="preserve">comparecencia al proceso; por estas circunstancias al no </w:t>
      </w:r>
      <w:r>
        <w:rPr>
          <w:spacing w:val="-8"/>
          <w:sz w:val="18"/>
          <w:szCs w:val="18"/>
          <w:lang w:val="es-ES_tradnl"/>
        </w:rPr>
        <w:t>hab</w:t>
      </w:r>
      <w:r>
        <w:rPr>
          <w:rFonts w:cs="Times New Roman"/>
          <w:spacing w:val="-8"/>
          <w:sz w:val="18"/>
          <w:szCs w:val="18"/>
          <w:lang w:val="es-ES_tradnl"/>
        </w:rPr>
        <w:t>é</w:t>
      </w:r>
      <w:r>
        <w:rPr>
          <w:spacing w:val="-8"/>
          <w:sz w:val="18"/>
          <w:szCs w:val="18"/>
          <w:lang w:val="es-ES_tradnl"/>
        </w:rPr>
        <w:t>rsele citado se le dej</w:t>
      </w:r>
      <w:r>
        <w:rPr>
          <w:rFonts w:cs="Times New Roman"/>
          <w:spacing w:val="-8"/>
          <w:sz w:val="18"/>
          <w:szCs w:val="18"/>
          <w:lang w:val="es-ES_tradnl"/>
        </w:rPr>
        <w:t>ó</w:t>
      </w:r>
      <w:r>
        <w:rPr>
          <w:spacing w:val="-8"/>
          <w:sz w:val="18"/>
          <w:szCs w:val="18"/>
          <w:lang w:val="es-ES_tradnl"/>
        </w:rPr>
        <w:t xml:space="preserve"> en estado de indefensi</w:t>
      </w:r>
      <w:r>
        <w:rPr>
          <w:rFonts w:cs="Times New Roman"/>
          <w:i/>
          <w:iCs/>
          <w:spacing w:val="-8"/>
          <w:sz w:val="18"/>
          <w:szCs w:val="18"/>
          <w:lang w:val="es-ES_tradnl"/>
        </w:rPr>
        <w:t>ó</w:t>
      </w:r>
      <w:r>
        <w:rPr>
          <w:i/>
          <w:iCs/>
          <w:spacing w:val="-8"/>
          <w:sz w:val="18"/>
          <w:szCs w:val="18"/>
          <w:lang w:val="es-ES_tradnl"/>
        </w:rPr>
        <w:t xml:space="preserve">n, </w:t>
      </w:r>
      <w:r>
        <w:rPr>
          <w:spacing w:val="-8"/>
          <w:sz w:val="18"/>
          <w:szCs w:val="18"/>
          <w:lang w:val="es-ES_tradnl"/>
        </w:rPr>
        <w:t xml:space="preserve">dado </w:t>
      </w:r>
      <w:r>
        <w:rPr>
          <w:spacing w:val="-4"/>
          <w:sz w:val="18"/>
          <w:szCs w:val="18"/>
          <w:lang w:val="es-ES_tradnl"/>
        </w:rPr>
        <w:t xml:space="preserve">que la falta de la misma en este proceso penal, supone </w:t>
      </w:r>
      <w:r>
        <w:rPr>
          <w:spacing w:val="-5"/>
          <w:sz w:val="18"/>
          <w:szCs w:val="18"/>
          <w:lang w:val="es-ES_tradnl"/>
        </w:rPr>
        <w:t>una vulneraci</w:t>
      </w:r>
      <w:r>
        <w:rPr>
          <w:rFonts w:cs="Times New Roman"/>
          <w:spacing w:val="-5"/>
          <w:sz w:val="18"/>
          <w:szCs w:val="18"/>
          <w:lang w:val="es-ES_tradnl"/>
        </w:rPr>
        <w:t>ó</w:t>
      </w:r>
      <w:r>
        <w:rPr>
          <w:spacing w:val="-5"/>
          <w:sz w:val="18"/>
          <w:szCs w:val="18"/>
          <w:lang w:val="es-ES_tradnl"/>
        </w:rPr>
        <w:t>n fl agrante a los art</w:t>
      </w:r>
      <w:r>
        <w:rPr>
          <w:rFonts w:cs="Times New Roman"/>
          <w:spacing w:val="-5"/>
          <w:sz w:val="18"/>
          <w:szCs w:val="18"/>
          <w:lang w:val="es-ES_tradnl"/>
        </w:rPr>
        <w:t>í</w:t>
      </w:r>
      <w:r>
        <w:rPr>
          <w:spacing w:val="-5"/>
          <w:sz w:val="18"/>
          <w:szCs w:val="18"/>
          <w:lang w:val="es-ES_tradnl"/>
        </w:rPr>
        <w:t xml:space="preserve">culos 75 y 76 numeral 7 literal </w:t>
      </w:r>
      <w:r>
        <w:rPr>
          <w:b/>
          <w:bCs/>
          <w:spacing w:val="-5"/>
          <w:sz w:val="18"/>
          <w:szCs w:val="18"/>
          <w:lang w:val="es-ES_tradnl"/>
        </w:rPr>
        <w:t xml:space="preserve">a </w:t>
      </w:r>
      <w:r>
        <w:rPr>
          <w:spacing w:val="-5"/>
          <w:sz w:val="18"/>
          <w:szCs w:val="18"/>
          <w:lang w:val="es-ES_tradnl"/>
        </w:rPr>
        <w:t xml:space="preserve">de la Norma Suprema, que establece como </w:t>
      </w:r>
      <w:r>
        <w:rPr>
          <w:spacing w:val="-7"/>
          <w:sz w:val="18"/>
          <w:szCs w:val="18"/>
          <w:lang w:val="es-ES_tradnl"/>
        </w:rPr>
        <w:t>garant</w:t>
      </w:r>
      <w:r>
        <w:rPr>
          <w:rFonts w:cs="Times New Roman"/>
          <w:spacing w:val="-7"/>
          <w:sz w:val="18"/>
          <w:szCs w:val="18"/>
          <w:lang w:val="es-ES_tradnl"/>
        </w:rPr>
        <w:t>í</w:t>
      </w:r>
      <w:r>
        <w:rPr>
          <w:spacing w:val="-7"/>
          <w:sz w:val="18"/>
          <w:szCs w:val="18"/>
          <w:lang w:val="es-ES_tradnl"/>
        </w:rPr>
        <w:t xml:space="preserve">a constitucional del debido proceso el derecho a la </w:t>
      </w:r>
      <w:r>
        <w:rPr>
          <w:sz w:val="18"/>
          <w:szCs w:val="18"/>
          <w:lang w:val="es-ES_tradnl"/>
        </w:rPr>
        <w:t>defensa.</w:t>
      </w:r>
    </w:p>
    <w:p w14:paraId="4F67BB81" w14:textId="77777777" w:rsidR="00591D54" w:rsidRDefault="00591D54">
      <w:pPr>
        <w:shd w:val="clear" w:color="auto" w:fill="FFFFFF"/>
        <w:spacing w:before="197" w:line="216" w:lineRule="exact"/>
        <w:jc w:val="both"/>
      </w:pPr>
      <w:r>
        <w:rPr>
          <w:spacing w:val="-1"/>
          <w:sz w:val="18"/>
          <w:szCs w:val="18"/>
          <w:lang w:val="es-ES_tradnl"/>
        </w:rPr>
        <w:t>Manifiesta el accionante que el art</w:t>
      </w:r>
      <w:r>
        <w:rPr>
          <w:rFonts w:cs="Times New Roman"/>
          <w:spacing w:val="-1"/>
          <w:sz w:val="18"/>
          <w:szCs w:val="18"/>
          <w:lang w:val="es-ES_tradnl"/>
        </w:rPr>
        <w:t>í</w:t>
      </w:r>
      <w:r>
        <w:rPr>
          <w:spacing w:val="-1"/>
          <w:sz w:val="18"/>
          <w:szCs w:val="18"/>
          <w:lang w:val="es-ES_tradnl"/>
        </w:rPr>
        <w:t xml:space="preserve">culo 82 de la </w:t>
      </w:r>
      <w:r>
        <w:rPr>
          <w:spacing w:val="-6"/>
          <w:sz w:val="18"/>
          <w:szCs w:val="18"/>
          <w:lang w:val="es-ES_tradnl"/>
        </w:rPr>
        <w:t>Constituci</w:t>
      </w:r>
      <w:r>
        <w:rPr>
          <w:rFonts w:cs="Times New Roman"/>
          <w:spacing w:val="-6"/>
          <w:sz w:val="18"/>
          <w:szCs w:val="18"/>
          <w:lang w:val="es-ES_tradnl"/>
        </w:rPr>
        <w:t>ó</w:t>
      </w:r>
      <w:r>
        <w:rPr>
          <w:spacing w:val="-6"/>
          <w:sz w:val="18"/>
          <w:szCs w:val="18"/>
          <w:lang w:val="es-ES_tradnl"/>
        </w:rPr>
        <w:t>n, establece el derecho a la seguridad jur</w:t>
      </w:r>
      <w:r>
        <w:rPr>
          <w:rFonts w:cs="Times New Roman"/>
          <w:spacing w:val="-6"/>
          <w:sz w:val="18"/>
          <w:szCs w:val="18"/>
          <w:lang w:val="es-ES_tradnl"/>
        </w:rPr>
        <w:t>í</w:t>
      </w:r>
      <w:r>
        <w:rPr>
          <w:spacing w:val="-6"/>
          <w:sz w:val="18"/>
          <w:szCs w:val="18"/>
          <w:lang w:val="es-ES_tradnl"/>
        </w:rPr>
        <w:t xml:space="preserve">dica, sustentado en el respeto a la Norma Suprema y en la </w:t>
      </w:r>
      <w:r>
        <w:rPr>
          <w:spacing w:val="-5"/>
          <w:sz w:val="18"/>
          <w:szCs w:val="18"/>
          <w:lang w:val="es-ES_tradnl"/>
        </w:rPr>
        <w:t>existencia de normas jur</w:t>
      </w:r>
      <w:r>
        <w:rPr>
          <w:rFonts w:cs="Times New Roman"/>
          <w:spacing w:val="-5"/>
          <w:sz w:val="18"/>
          <w:szCs w:val="18"/>
          <w:lang w:val="es-ES_tradnl"/>
        </w:rPr>
        <w:t>í</w:t>
      </w:r>
      <w:r>
        <w:rPr>
          <w:spacing w:val="-5"/>
          <w:sz w:val="18"/>
          <w:szCs w:val="18"/>
          <w:lang w:val="es-ES_tradnl"/>
        </w:rPr>
        <w:t>dicas previas, claras, p</w:t>
      </w:r>
      <w:r>
        <w:rPr>
          <w:rFonts w:cs="Times New Roman"/>
          <w:spacing w:val="-5"/>
          <w:sz w:val="18"/>
          <w:szCs w:val="18"/>
          <w:lang w:val="es-ES_tradnl"/>
        </w:rPr>
        <w:t>ú</w:t>
      </w:r>
      <w:r>
        <w:rPr>
          <w:spacing w:val="-5"/>
          <w:sz w:val="18"/>
          <w:szCs w:val="18"/>
          <w:lang w:val="es-ES_tradnl"/>
        </w:rPr>
        <w:t xml:space="preserve">blicas y </w:t>
      </w:r>
      <w:r>
        <w:rPr>
          <w:spacing w:val="-9"/>
          <w:sz w:val="18"/>
          <w:szCs w:val="18"/>
          <w:lang w:val="es-ES_tradnl"/>
        </w:rPr>
        <w:t xml:space="preserve">aplicadas por las autoridades competentes, lo que lo lleva a </w:t>
      </w:r>
      <w:r>
        <w:rPr>
          <w:spacing w:val="-8"/>
          <w:sz w:val="18"/>
          <w:szCs w:val="18"/>
          <w:lang w:val="es-ES_tradnl"/>
        </w:rPr>
        <w:t>efectuar un an</w:t>
      </w:r>
      <w:r>
        <w:rPr>
          <w:rFonts w:cs="Times New Roman"/>
          <w:spacing w:val="-8"/>
          <w:sz w:val="18"/>
          <w:szCs w:val="18"/>
          <w:lang w:val="es-ES_tradnl"/>
        </w:rPr>
        <w:t>á</w:t>
      </w:r>
      <w:r>
        <w:rPr>
          <w:spacing w:val="-8"/>
          <w:sz w:val="18"/>
          <w:szCs w:val="18"/>
          <w:lang w:val="es-ES_tradnl"/>
        </w:rPr>
        <w:t xml:space="preserve">lisis de los errores de fondo existentes en la </w:t>
      </w:r>
      <w:r>
        <w:rPr>
          <w:spacing w:val="-7"/>
          <w:sz w:val="18"/>
          <w:szCs w:val="18"/>
          <w:lang w:val="es-ES_tradnl"/>
        </w:rPr>
        <w:t xml:space="preserve">sentencia ejecutoriada de 16 de abril de 2012 a las 14h26, </w:t>
      </w:r>
      <w:r>
        <w:rPr>
          <w:spacing w:val="-6"/>
          <w:sz w:val="18"/>
          <w:szCs w:val="18"/>
          <w:lang w:val="es-ES_tradnl"/>
        </w:rPr>
        <w:t>dictada por los jueces del Tercer Tribunal de Garant</w:t>
      </w:r>
      <w:r>
        <w:rPr>
          <w:rFonts w:cs="Times New Roman"/>
          <w:spacing w:val="-6"/>
          <w:sz w:val="18"/>
          <w:szCs w:val="18"/>
          <w:lang w:val="es-ES_tradnl"/>
        </w:rPr>
        <w:t>í</w:t>
      </w:r>
      <w:r>
        <w:rPr>
          <w:spacing w:val="-6"/>
          <w:sz w:val="18"/>
          <w:szCs w:val="18"/>
          <w:lang w:val="es-ES_tradnl"/>
        </w:rPr>
        <w:t xml:space="preserve">as </w:t>
      </w:r>
      <w:r>
        <w:rPr>
          <w:spacing w:val="-5"/>
          <w:sz w:val="18"/>
          <w:szCs w:val="18"/>
          <w:lang w:val="es-ES_tradnl"/>
        </w:rPr>
        <w:t>Penales de Pichincha; y en este punto, es su obligaci</w:t>
      </w:r>
      <w:r>
        <w:rPr>
          <w:rFonts w:cs="Times New Roman"/>
          <w:spacing w:val="-5"/>
          <w:sz w:val="18"/>
          <w:szCs w:val="18"/>
          <w:lang w:val="es-ES_tradnl"/>
        </w:rPr>
        <w:t>ó</w:t>
      </w:r>
      <w:r>
        <w:rPr>
          <w:spacing w:val="-5"/>
          <w:sz w:val="18"/>
          <w:szCs w:val="18"/>
          <w:lang w:val="es-ES_tradnl"/>
        </w:rPr>
        <w:t xml:space="preserve">n </w:t>
      </w:r>
      <w:r>
        <w:rPr>
          <w:spacing w:val="-4"/>
          <w:sz w:val="18"/>
          <w:szCs w:val="18"/>
          <w:lang w:val="es-ES_tradnl"/>
        </w:rPr>
        <w:t xml:space="preserve">denunciar la forma arbitraria y abusiva, mediante la cual </w:t>
      </w:r>
      <w:r>
        <w:rPr>
          <w:spacing w:val="-7"/>
          <w:sz w:val="18"/>
          <w:szCs w:val="18"/>
          <w:lang w:val="es-ES_tradnl"/>
        </w:rPr>
        <w:t xml:space="preserve">le han denegado el acceso a la justicia, aduciendo que no </w:t>
      </w:r>
      <w:r>
        <w:rPr>
          <w:sz w:val="18"/>
          <w:szCs w:val="18"/>
          <w:lang w:val="es-ES_tradnl"/>
        </w:rPr>
        <w:t>es parte procesal.</w:t>
      </w:r>
    </w:p>
    <w:p w14:paraId="4F67BB82" w14:textId="77777777" w:rsidR="00591D54" w:rsidRDefault="00591D54">
      <w:pPr>
        <w:shd w:val="clear" w:color="auto" w:fill="FFFFFF"/>
        <w:spacing w:before="202" w:line="216" w:lineRule="exact"/>
        <w:jc w:val="both"/>
      </w:pPr>
      <w:r>
        <w:rPr>
          <w:spacing w:val="-5"/>
          <w:sz w:val="18"/>
          <w:szCs w:val="18"/>
          <w:lang w:val="es-ES_tradnl"/>
        </w:rPr>
        <w:t xml:space="preserve">Menciona el legitimado activo que la sentencia de 16 de </w:t>
      </w:r>
      <w:r>
        <w:rPr>
          <w:spacing w:val="-7"/>
          <w:sz w:val="18"/>
          <w:szCs w:val="18"/>
          <w:lang w:val="es-ES_tradnl"/>
        </w:rPr>
        <w:t xml:space="preserve">abril de 2012, tanto el fiscal como los jueces intervinientes </w:t>
      </w:r>
      <w:r>
        <w:rPr>
          <w:i/>
          <w:iCs/>
          <w:spacing w:val="-8"/>
          <w:sz w:val="18"/>
          <w:szCs w:val="18"/>
          <w:lang w:val="es-ES_tradnl"/>
        </w:rPr>
        <w:t>a quo y ad quem</w:t>
      </w:r>
      <w:r>
        <w:rPr>
          <w:spacing w:val="-8"/>
          <w:sz w:val="18"/>
          <w:szCs w:val="18"/>
          <w:lang w:val="es-ES_tradnl"/>
        </w:rPr>
        <w:t xml:space="preserve">, parece que han rebuscado el atajo de la </w:t>
      </w:r>
      <w:r>
        <w:rPr>
          <w:spacing w:val="-7"/>
          <w:sz w:val="18"/>
          <w:szCs w:val="18"/>
          <w:lang w:val="es-ES_tradnl"/>
        </w:rPr>
        <w:t>ignominia, tratando de crear una jurisprudencia aut</w:t>
      </w:r>
      <w:r>
        <w:rPr>
          <w:rFonts w:cs="Times New Roman"/>
          <w:spacing w:val="-7"/>
          <w:sz w:val="18"/>
          <w:szCs w:val="18"/>
          <w:lang w:val="es-ES_tradnl"/>
        </w:rPr>
        <w:t>ó</w:t>
      </w:r>
      <w:r>
        <w:rPr>
          <w:spacing w:val="-7"/>
          <w:sz w:val="18"/>
          <w:szCs w:val="18"/>
          <w:lang w:val="es-ES_tradnl"/>
        </w:rPr>
        <w:t xml:space="preserve">noma, </w:t>
      </w:r>
      <w:r>
        <w:rPr>
          <w:spacing w:val="-5"/>
          <w:sz w:val="18"/>
          <w:szCs w:val="18"/>
          <w:lang w:val="es-ES_tradnl"/>
        </w:rPr>
        <w:t xml:space="preserve">basada en las viejas costumbres inquisitivas, como de </w:t>
      </w:r>
      <w:r>
        <w:rPr>
          <w:spacing w:val="-4"/>
          <w:sz w:val="18"/>
          <w:szCs w:val="18"/>
          <w:lang w:val="es-ES_tradnl"/>
        </w:rPr>
        <w:t>otorgarle un protagonismo al acusador particular El</w:t>
      </w:r>
      <w:r>
        <w:rPr>
          <w:rFonts w:cs="Times New Roman"/>
          <w:spacing w:val="-4"/>
          <w:sz w:val="18"/>
          <w:szCs w:val="18"/>
          <w:lang w:val="es-ES_tradnl"/>
        </w:rPr>
        <w:t>í</w:t>
      </w:r>
      <w:r>
        <w:rPr>
          <w:spacing w:val="-4"/>
          <w:sz w:val="18"/>
          <w:szCs w:val="18"/>
          <w:lang w:val="es-ES_tradnl"/>
        </w:rPr>
        <w:t xml:space="preserve">as Gordillo Villavicencio; y sin tomar en cuenta las pruebas </w:t>
      </w:r>
      <w:r>
        <w:rPr>
          <w:spacing w:val="-7"/>
          <w:sz w:val="18"/>
          <w:szCs w:val="18"/>
          <w:lang w:val="es-ES_tradnl"/>
        </w:rPr>
        <w:t>certeras que present</w:t>
      </w:r>
      <w:r>
        <w:rPr>
          <w:rFonts w:cs="Times New Roman"/>
          <w:spacing w:val="-7"/>
          <w:sz w:val="18"/>
          <w:szCs w:val="18"/>
          <w:lang w:val="es-ES_tradnl"/>
        </w:rPr>
        <w:t>ó</w:t>
      </w:r>
      <w:r>
        <w:rPr>
          <w:spacing w:val="-7"/>
          <w:sz w:val="18"/>
          <w:szCs w:val="18"/>
          <w:lang w:val="es-ES_tradnl"/>
        </w:rPr>
        <w:t xml:space="preserve">, pese a no ser considerado parte </w:t>
      </w:r>
      <w:r>
        <w:rPr>
          <w:spacing w:val="-5"/>
          <w:sz w:val="18"/>
          <w:szCs w:val="18"/>
          <w:lang w:val="es-ES_tradnl"/>
        </w:rPr>
        <w:t xml:space="preserve">procesal, pero si directamente ofendido y agraviado con </w:t>
      </w:r>
      <w:r>
        <w:rPr>
          <w:spacing w:val="-4"/>
          <w:sz w:val="18"/>
          <w:szCs w:val="18"/>
          <w:lang w:val="es-ES_tradnl"/>
        </w:rPr>
        <w:t>una serie de injurias, sin sustento jur</w:t>
      </w:r>
      <w:r>
        <w:rPr>
          <w:rFonts w:cs="Times New Roman"/>
          <w:spacing w:val="-4"/>
          <w:sz w:val="18"/>
          <w:szCs w:val="18"/>
          <w:lang w:val="es-ES_tradnl"/>
        </w:rPr>
        <w:t>í</w:t>
      </w:r>
      <w:r>
        <w:rPr>
          <w:spacing w:val="-4"/>
          <w:sz w:val="18"/>
          <w:szCs w:val="18"/>
          <w:lang w:val="es-ES_tradnl"/>
        </w:rPr>
        <w:t xml:space="preserve">dico, puedan ser </w:t>
      </w:r>
      <w:r>
        <w:rPr>
          <w:spacing w:val="-6"/>
          <w:sz w:val="18"/>
          <w:szCs w:val="18"/>
          <w:lang w:val="es-ES_tradnl"/>
        </w:rPr>
        <w:t xml:space="preserve">soslayadas por los operadores de justicia con falta de </w:t>
      </w:r>
      <w:r>
        <w:rPr>
          <w:sz w:val="18"/>
          <w:szCs w:val="18"/>
          <w:lang w:val="es-ES_tradnl"/>
        </w:rPr>
        <w:t>motivaci</w:t>
      </w:r>
      <w:r>
        <w:rPr>
          <w:rFonts w:cs="Times New Roman"/>
          <w:sz w:val="18"/>
          <w:szCs w:val="18"/>
          <w:lang w:val="es-ES_tradnl"/>
        </w:rPr>
        <w:t>ó</w:t>
      </w:r>
      <w:r>
        <w:rPr>
          <w:sz w:val="18"/>
          <w:szCs w:val="18"/>
          <w:lang w:val="es-ES_tradnl"/>
        </w:rPr>
        <w:t>n en el fallo cuestionado.</w:t>
      </w:r>
    </w:p>
    <w:p w14:paraId="4F67BB83" w14:textId="77777777" w:rsidR="00591D54" w:rsidRDefault="00591D54">
      <w:pPr>
        <w:shd w:val="clear" w:color="auto" w:fill="FFFFFF"/>
        <w:spacing w:before="197" w:line="221" w:lineRule="exact"/>
        <w:jc w:val="both"/>
      </w:pPr>
      <w:r>
        <w:rPr>
          <w:b/>
          <w:bCs/>
          <w:spacing w:val="-9"/>
          <w:sz w:val="18"/>
          <w:szCs w:val="18"/>
          <w:lang w:val="es-ES_tradnl"/>
        </w:rPr>
        <w:t xml:space="preserve">Derechos constitucionales presuntamente vulnerados </w:t>
      </w:r>
      <w:r>
        <w:rPr>
          <w:b/>
          <w:bCs/>
          <w:sz w:val="18"/>
          <w:szCs w:val="18"/>
          <w:lang w:val="es-ES_tradnl"/>
        </w:rPr>
        <w:t>por la decisi</w:t>
      </w:r>
      <w:r>
        <w:rPr>
          <w:rFonts w:cs="Times New Roman"/>
          <w:b/>
          <w:bCs/>
          <w:sz w:val="18"/>
          <w:szCs w:val="18"/>
          <w:lang w:val="es-ES_tradnl"/>
        </w:rPr>
        <w:t>ó</w:t>
      </w:r>
      <w:r>
        <w:rPr>
          <w:b/>
          <w:bCs/>
          <w:sz w:val="18"/>
          <w:szCs w:val="18"/>
          <w:lang w:val="es-ES_tradnl"/>
        </w:rPr>
        <w:t>n judicial impugnada</w:t>
      </w:r>
    </w:p>
    <w:p w14:paraId="4F67BB84" w14:textId="77777777" w:rsidR="00591D54" w:rsidRDefault="00591D54">
      <w:pPr>
        <w:shd w:val="clear" w:color="auto" w:fill="FFFFFF"/>
        <w:spacing w:before="197" w:line="216" w:lineRule="exact"/>
        <w:jc w:val="both"/>
      </w:pPr>
      <w:r>
        <w:rPr>
          <w:spacing w:val="-7"/>
          <w:sz w:val="18"/>
          <w:szCs w:val="18"/>
          <w:lang w:val="es-ES_tradnl"/>
        </w:rPr>
        <w:t>A criterio del accionante, a trav</w:t>
      </w:r>
      <w:r>
        <w:rPr>
          <w:rFonts w:cs="Times New Roman"/>
          <w:spacing w:val="-7"/>
          <w:sz w:val="18"/>
          <w:szCs w:val="18"/>
          <w:lang w:val="es-ES_tradnl"/>
        </w:rPr>
        <w:t>é</w:t>
      </w:r>
      <w:r>
        <w:rPr>
          <w:spacing w:val="-7"/>
          <w:sz w:val="18"/>
          <w:szCs w:val="18"/>
          <w:lang w:val="es-ES_tradnl"/>
        </w:rPr>
        <w:t xml:space="preserve">s de la sentencia objetada </w:t>
      </w:r>
      <w:r>
        <w:rPr>
          <w:spacing w:val="-6"/>
          <w:sz w:val="18"/>
          <w:szCs w:val="18"/>
          <w:lang w:val="es-ES_tradnl"/>
        </w:rPr>
        <w:t>supuestamente se le ha vulnerado: art</w:t>
      </w:r>
      <w:r>
        <w:rPr>
          <w:rFonts w:cs="Times New Roman"/>
          <w:spacing w:val="-6"/>
          <w:sz w:val="18"/>
          <w:szCs w:val="18"/>
          <w:lang w:val="es-ES_tradnl"/>
        </w:rPr>
        <w:t>í</w:t>
      </w:r>
      <w:r>
        <w:rPr>
          <w:spacing w:val="-6"/>
          <w:sz w:val="18"/>
          <w:szCs w:val="18"/>
          <w:lang w:val="es-ES_tradnl"/>
        </w:rPr>
        <w:t xml:space="preserve">culo 11 numeral 9; </w:t>
      </w:r>
      <w:r>
        <w:rPr>
          <w:spacing w:val="-5"/>
          <w:sz w:val="18"/>
          <w:szCs w:val="18"/>
          <w:lang w:val="es-ES_tradnl"/>
        </w:rPr>
        <w:t>la tutela judicial efectiva determinada en el art</w:t>
      </w:r>
      <w:r>
        <w:rPr>
          <w:rFonts w:cs="Times New Roman"/>
          <w:spacing w:val="-5"/>
          <w:sz w:val="18"/>
          <w:szCs w:val="18"/>
          <w:lang w:val="es-ES_tradnl"/>
        </w:rPr>
        <w:t>í</w:t>
      </w:r>
      <w:r>
        <w:rPr>
          <w:spacing w:val="-5"/>
          <w:sz w:val="18"/>
          <w:szCs w:val="18"/>
          <w:lang w:val="es-ES_tradnl"/>
        </w:rPr>
        <w:t xml:space="preserve">culo 75; el </w:t>
      </w:r>
      <w:r>
        <w:rPr>
          <w:spacing w:val="-6"/>
          <w:sz w:val="18"/>
          <w:szCs w:val="18"/>
          <w:lang w:val="es-ES_tradnl"/>
        </w:rPr>
        <w:t>debido proceso se</w:t>
      </w:r>
      <w:r>
        <w:rPr>
          <w:rFonts w:cs="Times New Roman"/>
          <w:spacing w:val="-6"/>
          <w:sz w:val="18"/>
          <w:szCs w:val="18"/>
          <w:lang w:val="es-ES_tradnl"/>
        </w:rPr>
        <w:t>ñ</w:t>
      </w:r>
      <w:r>
        <w:rPr>
          <w:spacing w:val="-6"/>
          <w:sz w:val="18"/>
          <w:szCs w:val="18"/>
          <w:lang w:val="es-ES_tradnl"/>
        </w:rPr>
        <w:t>alado en el art</w:t>
      </w:r>
      <w:r>
        <w:rPr>
          <w:rFonts w:cs="Times New Roman"/>
          <w:spacing w:val="-6"/>
          <w:sz w:val="18"/>
          <w:szCs w:val="18"/>
          <w:lang w:val="es-ES_tradnl"/>
        </w:rPr>
        <w:t>í</w:t>
      </w:r>
      <w:r>
        <w:rPr>
          <w:spacing w:val="-6"/>
          <w:sz w:val="18"/>
          <w:szCs w:val="18"/>
          <w:lang w:val="es-ES_tradnl"/>
        </w:rPr>
        <w:t>culo 76 numerales 1, 3</w:t>
      </w:r>
    </w:p>
    <w:p w14:paraId="4F67BB85" w14:textId="77777777" w:rsidR="00591D54" w:rsidRDefault="00591D54">
      <w:pPr>
        <w:shd w:val="clear" w:color="auto" w:fill="FFFFFF"/>
        <w:spacing w:line="216" w:lineRule="exact"/>
        <w:jc w:val="both"/>
      </w:pPr>
      <w:r>
        <w:br w:type="column"/>
      </w:r>
      <w:r>
        <w:rPr>
          <w:spacing w:val="-3"/>
          <w:sz w:val="18"/>
          <w:szCs w:val="18"/>
          <w:lang w:val="es-ES_tradnl"/>
        </w:rPr>
        <w:t>y 7 literales a, k, l y m; la seguridad jur</w:t>
      </w:r>
      <w:r>
        <w:rPr>
          <w:rFonts w:cs="Times New Roman"/>
          <w:spacing w:val="-3"/>
          <w:sz w:val="18"/>
          <w:szCs w:val="18"/>
          <w:lang w:val="es-ES_tradnl"/>
        </w:rPr>
        <w:t>í</w:t>
      </w:r>
      <w:r>
        <w:rPr>
          <w:spacing w:val="-3"/>
          <w:sz w:val="18"/>
          <w:szCs w:val="18"/>
          <w:lang w:val="es-ES_tradnl"/>
        </w:rPr>
        <w:t>dica establecida en el art</w:t>
      </w:r>
      <w:r>
        <w:rPr>
          <w:rFonts w:cs="Times New Roman"/>
          <w:spacing w:val="-3"/>
          <w:sz w:val="18"/>
          <w:szCs w:val="18"/>
          <w:lang w:val="es-ES_tradnl"/>
        </w:rPr>
        <w:t>í</w:t>
      </w:r>
      <w:r>
        <w:rPr>
          <w:spacing w:val="-3"/>
          <w:sz w:val="18"/>
          <w:szCs w:val="18"/>
          <w:lang w:val="es-ES_tradnl"/>
        </w:rPr>
        <w:t>culo 82; art</w:t>
      </w:r>
      <w:r>
        <w:rPr>
          <w:rFonts w:cs="Times New Roman"/>
          <w:spacing w:val="-3"/>
          <w:sz w:val="18"/>
          <w:szCs w:val="18"/>
          <w:lang w:val="es-ES_tradnl"/>
        </w:rPr>
        <w:t>í</w:t>
      </w:r>
      <w:r>
        <w:rPr>
          <w:spacing w:val="-3"/>
          <w:sz w:val="18"/>
          <w:szCs w:val="18"/>
          <w:lang w:val="es-ES_tradnl"/>
        </w:rPr>
        <w:t>culos 169 de la Constituci</w:t>
      </w:r>
      <w:r>
        <w:rPr>
          <w:rFonts w:cs="Times New Roman"/>
          <w:spacing w:val="-3"/>
          <w:sz w:val="18"/>
          <w:szCs w:val="18"/>
          <w:lang w:val="es-ES_tradnl"/>
        </w:rPr>
        <w:t>ó</w:t>
      </w:r>
      <w:r>
        <w:rPr>
          <w:spacing w:val="-3"/>
          <w:sz w:val="18"/>
          <w:szCs w:val="18"/>
          <w:lang w:val="es-ES_tradnl"/>
        </w:rPr>
        <w:t xml:space="preserve">n de la </w:t>
      </w:r>
      <w:r>
        <w:rPr>
          <w:sz w:val="18"/>
          <w:szCs w:val="18"/>
          <w:lang w:val="es-ES_tradnl"/>
        </w:rPr>
        <w:t>Rep</w:t>
      </w:r>
      <w:r>
        <w:rPr>
          <w:rFonts w:cs="Times New Roman"/>
          <w:sz w:val="18"/>
          <w:szCs w:val="18"/>
          <w:lang w:val="es-ES_tradnl"/>
        </w:rPr>
        <w:t>ú</w:t>
      </w:r>
      <w:r>
        <w:rPr>
          <w:sz w:val="18"/>
          <w:szCs w:val="18"/>
          <w:lang w:val="es-ES_tradnl"/>
        </w:rPr>
        <w:t>blica.</w:t>
      </w:r>
    </w:p>
    <w:p w14:paraId="4F67BB86" w14:textId="77777777" w:rsidR="00591D54" w:rsidRDefault="00591D54">
      <w:pPr>
        <w:shd w:val="clear" w:color="auto" w:fill="FFFFFF"/>
        <w:spacing w:before="192"/>
      </w:pPr>
      <w:r>
        <w:rPr>
          <w:b/>
          <w:bCs/>
          <w:spacing w:val="-9"/>
          <w:sz w:val="18"/>
          <w:szCs w:val="18"/>
          <w:lang w:val="es-ES_tradnl"/>
        </w:rPr>
        <w:t>Pretensi</w:t>
      </w:r>
      <w:r>
        <w:rPr>
          <w:rFonts w:cs="Times New Roman"/>
          <w:b/>
          <w:bCs/>
          <w:spacing w:val="-9"/>
          <w:sz w:val="18"/>
          <w:szCs w:val="18"/>
          <w:lang w:val="es-ES_tradnl"/>
        </w:rPr>
        <w:t>ó</w:t>
      </w:r>
      <w:r>
        <w:rPr>
          <w:b/>
          <w:bCs/>
          <w:spacing w:val="-9"/>
          <w:sz w:val="18"/>
          <w:szCs w:val="18"/>
          <w:lang w:val="es-ES_tradnl"/>
        </w:rPr>
        <w:t>n</w:t>
      </w:r>
    </w:p>
    <w:p w14:paraId="4F67BB87" w14:textId="77777777" w:rsidR="00591D54" w:rsidRDefault="00591D54">
      <w:pPr>
        <w:shd w:val="clear" w:color="auto" w:fill="FFFFFF"/>
        <w:spacing w:before="192" w:line="216" w:lineRule="exact"/>
        <w:jc w:val="both"/>
      </w:pPr>
      <w:r>
        <w:rPr>
          <w:spacing w:val="-7"/>
          <w:sz w:val="18"/>
          <w:szCs w:val="18"/>
          <w:lang w:val="es-ES_tradnl"/>
        </w:rPr>
        <w:t xml:space="preserve">Con estos antecedentes y fundamentos expuestos solicita </w:t>
      </w:r>
      <w:r>
        <w:rPr>
          <w:sz w:val="18"/>
          <w:szCs w:val="18"/>
          <w:lang w:val="es-ES_tradnl"/>
        </w:rPr>
        <w:t>a la Corte Constitucional:</w:t>
      </w:r>
    </w:p>
    <w:p w14:paraId="4F67BB88" w14:textId="77777777" w:rsidR="00591D54" w:rsidRDefault="00591D54">
      <w:pPr>
        <w:shd w:val="clear" w:color="auto" w:fill="FFFFFF"/>
        <w:spacing w:before="206" w:line="216" w:lineRule="exact"/>
        <w:ind w:left="283"/>
        <w:jc w:val="both"/>
      </w:pPr>
      <w:r>
        <w:rPr>
          <w:spacing w:val="-9"/>
          <w:sz w:val="16"/>
          <w:szCs w:val="16"/>
          <w:lang w:val="es-ES_tradnl"/>
        </w:rPr>
        <w:t>(</w:t>
      </w:r>
      <w:r>
        <w:rPr>
          <w:rFonts w:cs="Times New Roman"/>
          <w:spacing w:val="-9"/>
          <w:sz w:val="16"/>
          <w:szCs w:val="16"/>
          <w:lang w:val="es-ES_tradnl"/>
        </w:rPr>
        <w:t>…</w:t>
      </w:r>
      <w:r>
        <w:rPr>
          <w:spacing w:val="-9"/>
          <w:sz w:val="16"/>
          <w:szCs w:val="16"/>
          <w:lang w:val="es-ES_tradnl"/>
        </w:rPr>
        <w:t xml:space="preserve">) dejar sin efecto la sentencia dictada el 16 de abril de 2012 a las 14h26, por el Presidente encargado y jueces temporales del </w:t>
      </w:r>
      <w:r>
        <w:rPr>
          <w:spacing w:val="-8"/>
          <w:sz w:val="16"/>
          <w:szCs w:val="16"/>
          <w:lang w:val="es-ES_tradnl"/>
        </w:rPr>
        <w:t>Tercer Tribunal de Garant</w:t>
      </w:r>
      <w:r>
        <w:rPr>
          <w:rFonts w:cs="Times New Roman"/>
          <w:spacing w:val="-8"/>
          <w:sz w:val="16"/>
          <w:szCs w:val="16"/>
          <w:lang w:val="es-ES_tradnl"/>
        </w:rPr>
        <w:t>í</w:t>
      </w:r>
      <w:r>
        <w:rPr>
          <w:spacing w:val="-8"/>
          <w:sz w:val="16"/>
          <w:szCs w:val="16"/>
          <w:lang w:val="es-ES_tradnl"/>
        </w:rPr>
        <w:t xml:space="preserve">as Penales de Pichincha, dentro del </w:t>
      </w:r>
      <w:r>
        <w:rPr>
          <w:spacing w:val="-6"/>
          <w:sz w:val="16"/>
          <w:szCs w:val="16"/>
          <w:lang w:val="es-ES_tradnl"/>
        </w:rPr>
        <w:t>proceso penal n</w:t>
      </w:r>
      <w:r>
        <w:rPr>
          <w:rFonts w:cs="Times New Roman"/>
          <w:spacing w:val="-6"/>
          <w:sz w:val="16"/>
          <w:szCs w:val="16"/>
          <w:lang w:val="es-ES_tradnl"/>
        </w:rPr>
        <w:t>ú</w:t>
      </w:r>
      <w:r>
        <w:rPr>
          <w:spacing w:val="-6"/>
          <w:sz w:val="16"/>
          <w:szCs w:val="16"/>
          <w:lang w:val="es-ES_tradnl"/>
        </w:rPr>
        <w:t xml:space="preserve">mero 20-2012 ejecutoriado por el Ministerio </w:t>
      </w:r>
      <w:r>
        <w:rPr>
          <w:spacing w:val="-8"/>
          <w:sz w:val="16"/>
          <w:szCs w:val="16"/>
          <w:lang w:val="es-ES_tradnl"/>
        </w:rPr>
        <w:t>de la Ley (</w:t>
      </w:r>
      <w:r>
        <w:rPr>
          <w:rFonts w:cs="Times New Roman"/>
          <w:spacing w:val="-8"/>
          <w:sz w:val="16"/>
          <w:szCs w:val="16"/>
          <w:lang w:val="es-ES_tradnl"/>
        </w:rPr>
        <w:t>…</w:t>
      </w:r>
      <w:r>
        <w:rPr>
          <w:spacing w:val="-8"/>
          <w:sz w:val="16"/>
          <w:szCs w:val="16"/>
          <w:lang w:val="es-ES_tradnl"/>
        </w:rPr>
        <w:t xml:space="preserve">) por existir suficientemente pruebas e indicios de </w:t>
      </w:r>
      <w:r>
        <w:rPr>
          <w:spacing w:val="-7"/>
          <w:sz w:val="16"/>
          <w:szCs w:val="16"/>
          <w:lang w:val="es-ES_tradnl"/>
        </w:rPr>
        <w:t xml:space="preserve">violaciones a expresas normas del debido proceso y de otros </w:t>
      </w:r>
      <w:r>
        <w:rPr>
          <w:spacing w:val="-6"/>
          <w:sz w:val="16"/>
          <w:szCs w:val="16"/>
          <w:lang w:val="es-ES_tradnl"/>
        </w:rPr>
        <w:t>derechos reconocidos en nuestra Constituci</w:t>
      </w:r>
      <w:r>
        <w:rPr>
          <w:rFonts w:cs="Times New Roman"/>
          <w:spacing w:val="-6"/>
          <w:sz w:val="16"/>
          <w:szCs w:val="16"/>
          <w:lang w:val="es-ES_tradnl"/>
        </w:rPr>
        <w:t>ó</w:t>
      </w:r>
      <w:r>
        <w:rPr>
          <w:spacing w:val="-6"/>
          <w:sz w:val="16"/>
          <w:szCs w:val="16"/>
          <w:lang w:val="es-ES_tradnl"/>
        </w:rPr>
        <w:t>n (</w:t>
      </w:r>
      <w:r>
        <w:rPr>
          <w:rFonts w:cs="Times New Roman"/>
          <w:spacing w:val="-6"/>
          <w:sz w:val="16"/>
          <w:szCs w:val="16"/>
          <w:lang w:val="es-ES_tradnl"/>
        </w:rPr>
        <w:t>…</w:t>
      </w:r>
      <w:r>
        <w:rPr>
          <w:spacing w:val="-6"/>
          <w:sz w:val="16"/>
          <w:szCs w:val="16"/>
          <w:lang w:val="es-ES_tradnl"/>
        </w:rPr>
        <w:t>) (sic)</w:t>
      </w:r>
    </w:p>
    <w:p w14:paraId="4F67BB89" w14:textId="77777777" w:rsidR="00591D54" w:rsidRDefault="00591D54">
      <w:pPr>
        <w:shd w:val="clear" w:color="auto" w:fill="FFFFFF"/>
        <w:spacing w:before="202"/>
      </w:pPr>
      <w:r>
        <w:rPr>
          <w:b/>
          <w:bCs/>
          <w:spacing w:val="-8"/>
          <w:sz w:val="18"/>
          <w:szCs w:val="18"/>
          <w:lang w:val="es-ES_tradnl"/>
        </w:rPr>
        <w:t>Contestaci</w:t>
      </w:r>
      <w:r>
        <w:rPr>
          <w:rFonts w:cs="Times New Roman"/>
          <w:b/>
          <w:bCs/>
          <w:spacing w:val="-8"/>
          <w:sz w:val="18"/>
          <w:szCs w:val="18"/>
          <w:lang w:val="es-ES_tradnl"/>
        </w:rPr>
        <w:t>ó</w:t>
      </w:r>
      <w:r>
        <w:rPr>
          <w:b/>
          <w:bCs/>
          <w:spacing w:val="-8"/>
          <w:sz w:val="18"/>
          <w:szCs w:val="18"/>
          <w:lang w:val="es-ES_tradnl"/>
        </w:rPr>
        <w:t>n a la demanda</w:t>
      </w:r>
    </w:p>
    <w:p w14:paraId="4F67BB8A" w14:textId="77777777" w:rsidR="00591D54" w:rsidRDefault="00591D54">
      <w:pPr>
        <w:shd w:val="clear" w:color="auto" w:fill="FFFFFF"/>
        <w:spacing w:before="192" w:line="216" w:lineRule="exact"/>
        <w:jc w:val="both"/>
      </w:pPr>
      <w:r>
        <w:rPr>
          <w:b/>
          <w:bCs/>
          <w:spacing w:val="-6"/>
          <w:sz w:val="18"/>
          <w:szCs w:val="18"/>
          <w:lang w:val="es-ES_tradnl"/>
        </w:rPr>
        <w:t>Jueces del Tercer Tribunal de Garant</w:t>
      </w:r>
      <w:r>
        <w:rPr>
          <w:rFonts w:cs="Times New Roman"/>
          <w:b/>
          <w:bCs/>
          <w:spacing w:val="-6"/>
          <w:sz w:val="18"/>
          <w:szCs w:val="18"/>
          <w:lang w:val="es-ES_tradnl"/>
        </w:rPr>
        <w:t>í</w:t>
      </w:r>
      <w:r>
        <w:rPr>
          <w:b/>
          <w:bCs/>
          <w:spacing w:val="-6"/>
          <w:sz w:val="18"/>
          <w:szCs w:val="18"/>
          <w:lang w:val="es-ES_tradnl"/>
        </w:rPr>
        <w:t xml:space="preserve">as Penales de </w:t>
      </w:r>
      <w:r>
        <w:rPr>
          <w:b/>
          <w:bCs/>
          <w:sz w:val="18"/>
          <w:szCs w:val="18"/>
          <w:lang w:val="es-ES_tradnl"/>
        </w:rPr>
        <w:t>Pichincha (Legitimados Pasivos)</w:t>
      </w:r>
    </w:p>
    <w:p w14:paraId="4F67BB8B" w14:textId="77777777" w:rsidR="00591D54" w:rsidRDefault="00591D54">
      <w:pPr>
        <w:shd w:val="clear" w:color="auto" w:fill="FFFFFF"/>
        <w:spacing w:before="192" w:line="216" w:lineRule="exact"/>
        <w:jc w:val="both"/>
      </w:pPr>
      <w:r>
        <w:rPr>
          <w:spacing w:val="-3"/>
          <w:sz w:val="18"/>
          <w:szCs w:val="18"/>
          <w:lang w:val="es-ES_tradnl"/>
        </w:rPr>
        <w:t xml:space="preserve">Mediante escrito presentado el 31 de marzo de 2014 a </w:t>
      </w:r>
      <w:r>
        <w:rPr>
          <w:spacing w:val="-4"/>
          <w:sz w:val="18"/>
          <w:szCs w:val="18"/>
          <w:lang w:val="es-ES_tradnl"/>
        </w:rPr>
        <w:t>las 15h58 por la doctora Ivon V</w:t>
      </w:r>
      <w:r>
        <w:rPr>
          <w:rFonts w:cs="Times New Roman"/>
          <w:spacing w:val="-4"/>
          <w:sz w:val="18"/>
          <w:szCs w:val="18"/>
          <w:lang w:val="es-ES_tradnl"/>
        </w:rPr>
        <w:t>á</w:t>
      </w:r>
      <w:r>
        <w:rPr>
          <w:spacing w:val="-4"/>
          <w:sz w:val="18"/>
          <w:szCs w:val="18"/>
          <w:lang w:val="es-ES_tradnl"/>
        </w:rPr>
        <w:t>squez Revelo y por los doctores Julio Obando Guzm</w:t>
      </w:r>
      <w:r>
        <w:rPr>
          <w:rFonts w:cs="Times New Roman"/>
          <w:spacing w:val="-4"/>
          <w:sz w:val="18"/>
          <w:szCs w:val="18"/>
          <w:lang w:val="es-ES_tradnl"/>
        </w:rPr>
        <w:t>á</w:t>
      </w:r>
      <w:r>
        <w:rPr>
          <w:spacing w:val="-4"/>
          <w:sz w:val="18"/>
          <w:szCs w:val="18"/>
          <w:lang w:val="es-ES_tradnl"/>
        </w:rPr>
        <w:t xml:space="preserve">n y Vladimir Jhayya Flor, </w:t>
      </w:r>
      <w:r>
        <w:rPr>
          <w:spacing w:val="-9"/>
          <w:sz w:val="18"/>
          <w:szCs w:val="18"/>
          <w:lang w:val="es-ES_tradnl"/>
        </w:rPr>
        <w:t>jueza y jueces del Tercer Tribunal de Garant</w:t>
      </w:r>
      <w:r>
        <w:rPr>
          <w:rFonts w:cs="Times New Roman"/>
          <w:spacing w:val="-9"/>
          <w:sz w:val="18"/>
          <w:szCs w:val="18"/>
          <w:lang w:val="es-ES_tradnl"/>
        </w:rPr>
        <w:t>í</w:t>
      </w:r>
      <w:r>
        <w:rPr>
          <w:spacing w:val="-9"/>
          <w:sz w:val="18"/>
          <w:szCs w:val="18"/>
          <w:lang w:val="es-ES_tradnl"/>
        </w:rPr>
        <w:t xml:space="preserve">as Penales de </w:t>
      </w:r>
      <w:r>
        <w:rPr>
          <w:sz w:val="18"/>
          <w:szCs w:val="18"/>
          <w:lang w:val="es-ES_tradnl"/>
        </w:rPr>
        <w:t>Pichincha, manifiestan en lo principal:</w:t>
      </w:r>
    </w:p>
    <w:p w14:paraId="4F67BB8C" w14:textId="77777777" w:rsidR="00591D54" w:rsidRDefault="00591D54">
      <w:pPr>
        <w:shd w:val="clear" w:color="auto" w:fill="FFFFFF"/>
        <w:spacing w:before="206" w:line="216" w:lineRule="exact"/>
        <w:ind w:left="283"/>
        <w:jc w:val="both"/>
      </w:pPr>
      <w:r>
        <w:rPr>
          <w:spacing w:val="-5"/>
          <w:sz w:val="16"/>
          <w:szCs w:val="16"/>
          <w:lang w:val="es-ES_tradnl"/>
        </w:rPr>
        <w:t>Que Fabi</w:t>
      </w:r>
      <w:r>
        <w:rPr>
          <w:rFonts w:cs="Times New Roman"/>
          <w:spacing w:val="-5"/>
          <w:sz w:val="16"/>
          <w:szCs w:val="16"/>
          <w:lang w:val="es-ES_tradnl"/>
        </w:rPr>
        <w:t>á</w:t>
      </w:r>
      <w:r>
        <w:rPr>
          <w:spacing w:val="-5"/>
          <w:sz w:val="16"/>
          <w:szCs w:val="16"/>
          <w:lang w:val="es-ES_tradnl"/>
        </w:rPr>
        <w:t xml:space="preserve">n Wladimir Silva Tumipamba, sentenciado por el </w:t>
      </w:r>
      <w:r>
        <w:rPr>
          <w:spacing w:val="-6"/>
          <w:sz w:val="16"/>
          <w:szCs w:val="16"/>
          <w:lang w:val="es-ES_tradnl"/>
        </w:rPr>
        <w:t>delito de estafa, cumpli</w:t>
      </w:r>
      <w:r>
        <w:rPr>
          <w:rFonts w:cs="Times New Roman"/>
          <w:spacing w:val="-6"/>
          <w:sz w:val="16"/>
          <w:szCs w:val="16"/>
          <w:lang w:val="es-ES_tradnl"/>
        </w:rPr>
        <w:t>ó</w:t>
      </w:r>
      <w:r>
        <w:rPr>
          <w:spacing w:val="-6"/>
          <w:sz w:val="16"/>
          <w:szCs w:val="16"/>
          <w:lang w:val="es-ES_tradnl"/>
        </w:rPr>
        <w:t xml:space="preserve"> la pena y obtuvo inmediatamente su libertad. Que el 23 de octubre de 2013, la se</w:t>
      </w:r>
      <w:r>
        <w:rPr>
          <w:rFonts w:cs="Times New Roman"/>
          <w:spacing w:val="-6"/>
          <w:sz w:val="16"/>
          <w:szCs w:val="16"/>
          <w:lang w:val="es-ES_tradnl"/>
        </w:rPr>
        <w:t>ñ</w:t>
      </w:r>
      <w:r>
        <w:rPr>
          <w:spacing w:val="-6"/>
          <w:sz w:val="16"/>
          <w:szCs w:val="16"/>
          <w:lang w:val="es-ES_tradnl"/>
        </w:rPr>
        <w:t xml:space="preserve">ora Consuelo </w:t>
      </w:r>
      <w:r>
        <w:rPr>
          <w:spacing w:val="-7"/>
          <w:sz w:val="16"/>
          <w:szCs w:val="16"/>
          <w:lang w:val="es-ES_tradnl"/>
        </w:rPr>
        <w:t>Tumipamba Su</w:t>
      </w:r>
      <w:r>
        <w:rPr>
          <w:rFonts w:cs="Times New Roman"/>
          <w:spacing w:val="-7"/>
          <w:sz w:val="16"/>
          <w:szCs w:val="16"/>
          <w:lang w:val="es-ES_tradnl"/>
        </w:rPr>
        <w:t>á</w:t>
      </w:r>
      <w:r>
        <w:rPr>
          <w:spacing w:val="-7"/>
          <w:sz w:val="16"/>
          <w:szCs w:val="16"/>
          <w:lang w:val="es-ES_tradnl"/>
        </w:rPr>
        <w:t xml:space="preserve">rez, mediante escrito dirigido a este Tribunal, </w:t>
      </w:r>
      <w:r>
        <w:rPr>
          <w:spacing w:val="-9"/>
          <w:sz w:val="16"/>
          <w:szCs w:val="16"/>
          <w:lang w:val="es-ES_tradnl"/>
        </w:rPr>
        <w:t>ha manifestado que el se</w:t>
      </w:r>
      <w:r>
        <w:rPr>
          <w:rFonts w:cs="Times New Roman"/>
          <w:spacing w:val="-9"/>
          <w:sz w:val="16"/>
          <w:szCs w:val="16"/>
          <w:lang w:val="es-ES_tradnl"/>
        </w:rPr>
        <w:t>ñ</w:t>
      </w:r>
      <w:r>
        <w:rPr>
          <w:spacing w:val="-9"/>
          <w:sz w:val="16"/>
          <w:szCs w:val="16"/>
          <w:lang w:val="es-ES_tradnl"/>
        </w:rPr>
        <w:t>or Fabi</w:t>
      </w:r>
      <w:r>
        <w:rPr>
          <w:rFonts w:cs="Times New Roman"/>
          <w:spacing w:val="-9"/>
          <w:sz w:val="16"/>
          <w:szCs w:val="16"/>
          <w:lang w:val="es-ES_tradnl"/>
        </w:rPr>
        <w:t>á</w:t>
      </w:r>
      <w:r>
        <w:rPr>
          <w:spacing w:val="-9"/>
          <w:sz w:val="16"/>
          <w:szCs w:val="16"/>
          <w:lang w:val="es-ES_tradnl"/>
        </w:rPr>
        <w:t>n Wladimir Silva Tumipamba ha reparado los da</w:t>
      </w:r>
      <w:r>
        <w:rPr>
          <w:rFonts w:cs="Times New Roman"/>
          <w:spacing w:val="-9"/>
          <w:sz w:val="16"/>
          <w:szCs w:val="16"/>
          <w:lang w:val="es-ES_tradnl"/>
        </w:rPr>
        <w:t>ñ</w:t>
      </w:r>
      <w:r>
        <w:rPr>
          <w:spacing w:val="-9"/>
          <w:sz w:val="16"/>
          <w:szCs w:val="16"/>
          <w:lang w:val="es-ES_tradnl"/>
        </w:rPr>
        <w:t>os y perjuicios establecidos en la sentencia, esto es, los treinta y cinco mil quinientos d</w:t>
      </w:r>
      <w:r>
        <w:rPr>
          <w:rFonts w:cs="Times New Roman"/>
          <w:spacing w:val="-9"/>
          <w:sz w:val="16"/>
          <w:szCs w:val="16"/>
          <w:lang w:val="es-ES_tradnl"/>
        </w:rPr>
        <w:t>ó</w:t>
      </w:r>
      <w:r>
        <w:rPr>
          <w:spacing w:val="-9"/>
          <w:sz w:val="16"/>
          <w:szCs w:val="16"/>
          <w:lang w:val="es-ES_tradnl"/>
        </w:rPr>
        <w:t xml:space="preserve">lares de los Estados </w:t>
      </w:r>
      <w:r>
        <w:rPr>
          <w:spacing w:val="-4"/>
          <w:sz w:val="16"/>
          <w:szCs w:val="16"/>
          <w:lang w:val="es-ES_tradnl"/>
        </w:rPr>
        <w:t>Unidos de Am</w:t>
      </w:r>
      <w:r>
        <w:rPr>
          <w:rFonts w:cs="Times New Roman"/>
          <w:spacing w:val="-4"/>
          <w:sz w:val="16"/>
          <w:szCs w:val="16"/>
          <w:lang w:val="es-ES_tradnl"/>
        </w:rPr>
        <w:t>é</w:t>
      </w:r>
      <w:r>
        <w:rPr>
          <w:spacing w:val="-4"/>
          <w:sz w:val="16"/>
          <w:szCs w:val="16"/>
          <w:lang w:val="es-ES_tradnl"/>
        </w:rPr>
        <w:t xml:space="preserve">rica. En consecuencia, el referido juicio No. </w:t>
      </w:r>
      <w:r>
        <w:rPr>
          <w:spacing w:val="-5"/>
          <w:sz w:val="16"/>
          <w:szCs w:val="16"/>
          <w:lang w:val="es-ES_tradnl"/>
        </w:rPr>
        <w:t>17243-2012-0020, que por el delito de estafa, se sigui</w:t>
      </w:r>
      <w:r>
        <w:rPr>
          <w:rFonts w:cs="Times New Roman"/>
          <w:spacing w:val="-5"/>
          <w:sz w:val="16"/>
          <w:szCs w:val="16"/>
          <w:lang w:val="es-ES_tradnl"/>
        </w:rPr>
        <w:t>ó</w:t>
      </w:r>
      <w:r>
        <w:rPr>
          <w:spacing w:val="-5"/>
          <w:sz w:val="16"/>
          <w:szCs w:val="16"/>
          <w:lang w:val="es-ES_tradnl"/>
        </w:rPr>
        <w:t xml:space="preserve"> en </w:t>
      </w:r>
      <w:r>
        <w:rPr>
          <w:spacing w:val="-3"/>
          <w:sz w:val="16"/>
          <w:szCs w:val="16"/>
          <w:lang w:val="es-ES_tradnl"/>
        </w:rPr>
        <w:t>contra de Fabi</w:t>
      </w:r>
      <w:r>
        <w:rPr>
          <w:rFonts w:cs="Times New Roman"/>
          <w:spacing w:val="-3"/>
          <w:sz w:val="16"/>
          <w:szCs w:val="16"/>
          <w:lang w:val="es-ES_tradnl"/>
        </w:rPr>
        <w:t>á</w:t>
      </w:r>
      <w:r>
        <w:rPr>
          <w:spacing w:val="-3"/>
          <w:sz w:val="16"/>
          <w:szCs w:val="16"/>
          <w:lang w:val="es-ES_tradnl"/>
        </w:rPr>
        <w:t xml:space="preserve">n Wladimir Silva Tumipamba ha culminado </w:t>
      </w:r>
      <w:r>
        <w:rPr>
          <w:spacing w:val="-6"/>
          <w:sz w:val="16"/>
          <w:szCs w:val="16"/>
          <w:lang w:val="es-ES_tradnl"/>
        </w:rPr>
        <w:t xml:space="preserve">a la presente fecha, por cuanto la sentencia se encuentra </w:t>
      </w:r>
      <w:r>
        <w:rPr>
          <w:sz w:val="16"/>
          <w:szCs w:val="16"/>
          <w:lang w:val="es-ES_tradnl"/>
        </w:rPr>
        <w:t>ejecutada en su totalidad.</w:t>
      </w:r>
    </w:p>
    <w:p w14:paraId="4F67BB8D" w14:textId="77777777" w:rsidR="00591D54" w:rsidRDefault="00591D54">
      <w:pPr>
        <w:shd w:val="clear" w:color="auto" w:fill="FFFFFF"/>
        <w:spacing w:before="197" w:line="216" w:lineRule="exact"/>
        <w:ind w:left="667" w:hanging="365"/>
      </w:pPr>
      <w:r>
        <w:rPr>
          <w:b/>
          <w:bCs/>
          <w:sz w:val="18"/>
          <w:szCs w:val="18"/>
          <w:lang w:val="es-ES_tradnl"/>
        </w:rPr>
        <w:t>II. CONSIDERACIONES Y FUNDAMENTOS DE LA CORTE CONSTITUCIONAL</w:t>
      </w:r>
    </w:p>
    <w:p w14:paraId="4F67BB8E" w14:textId="77777777" w:rsidR="00591D54" w:rsidRDefault="00591D54">
      <w:pPr>
        <w:shd w:val="clear" w:color="auto" w:fill="FFFFFF"/>
        <w:spacing w:before="192"/>
      </w:pPr>
      <w:r>
        <w:rPr>
          <w:b/>
          <w:bCs/>
          <w:spacing w:val="-6"/>
          <w:sz w:val="18"/>
          <w:szCs w:val="18"/>
          <w:lang w:val="es-ES_tradnl"/>
        </w:rPr>
        <w:t>Competencia de la Corte</w:t>
      </w:r>
    </w:p>
    <w:p w14:paraId="4F67BB8F" w14:textId="77777777" w:rsidR="00591D54" w:rsidRDefault="00591D54">
      <w:pPr>
        <w:shd w:val="clear" w:color="auto" w:fill="FFFFFF"/>
        <w:spacing w:before="197" w:line="216" w:lineRule="exact"/>
        <w:jc w:val="both"/>
      </w:pPr>
      <w:r>
        <w:rPr>
          <w:spacing w:val="-5"/>
          <w:sz w:val="18"/>
          <w:szCs w:val="18"/>
          <w:lang w:val="es-ES_tradnl"/>
        </w:rPr>
        <w:t xml:space="preserve">El Pleno de la Corte Constitucional, es competente para </w:t>
      </w:r>
      <w:r>
        <w:rPr>
          <w:spacing w:val="-1"/>
          <w:sz w:val="18"/>
          <w:szCs w:val="18"/>
          <w:lang w:val="es-ES_tradnl"/>
        </w:rPr>
        <w:t xml:space="preserve">conocer y resolver sobre las acciones extraordinarias </w:t>
      </w:r>
      <w:r>
        <w:rPr>
          <w:spacing w:val="-4"/>
          <w:sz w:val="18"/>
          <w:szCs w:val="18"/>
          <w:lang w:val="es-ES_tradnl"/>
        </w:rPr>
        <w:t>de protecci</w:t>
      </w:r>
      <w:r>
        <w:rPr>
          <w:rFonts w:cs="Times New Roman"/>
          <w:spacing w:val="-4"/>
          <w:sz w:val="18"/>
          <w:szCs w:val="18"/>
          <w:lang w:val="es-ES_tradnl"/>
        </w:rPr>
        <w:t>ó</w:t>
      </w:r>
      <w:r>
        <w:rPr>
          <w:spacing w:val="-4"/>
          <w:sz w:val="18"/>
          <w:szCs w:val="18"/>
          <w:lang w:val="es-ES_tradnl"/>
        </w:rPr>
        <w:t xml:space="preserve">n contra sentencias, autos definitivos y </w:t>
      </w:r>
      <w:r>
        <w:rPr>
          <w:spacing w:val="-7"/>
          <w:sz w:val="18"/>
          <w:szCs w:val="18"/>
          <w:lang w:val="es-ES_tradnl"/>
        </w:rPr>
        <w:t xml:space="preserve">resoluciones con fuerza de sentencia, de conformidad con </w:t>
      </w:r>
      <w:r>
        <w:rPr>
          <w:spacing w:val="-1"/>
          <w:sz w:val="18"/>
          <w:szCs w:val="18"/>
          <w:lang w:val="es-ES_tradnl"/>
        </w:rPr>
        <w:t>lo previsto en los art</w:t>
      </w:r>
      <w:r>
        <w:rPr>
          <w:rFonts w:cs="Times New Roman"/>
          <w:spacing w:val="-1"/>
          <w:sz w:val="18"/>
          <w:szCs w:val="18"/>
          <w:lang w:val="es-ES_tradnl"/>
        </w:rPr>
        <w:t>í</w:t>
      </w:r>
      <w:r>
        <w:rPr>
          <w:spacing w:val="-1"/>
          <w:sz w:val="18"/>
          <w:szCs w:val="18"/>
          <w:lang w:val="es-ES_tradnl"/>
        </w:rPr>
        <w:t>culos 94 y 437 de la Constituci</w:t>
      </w:r>
      <w:r>
        <w:rPr>
          <w:rFonts w:cs="Times New Roman"/>
          <w:spacing w:val="-1"/>
          <w:sz w:val="18"/>
          <w:szCs w:val="18"/>
          <w:lang w:val="es-ES_tradnl"/>
        </w:rPr>
        <w:t>ó</w:t>
      </w:r>
      <w:r>
        <w:rPr>
          <w:spacing w:val="-1"/>
          <w:sz w:val="18"/>
          <w:szCs w:val="18"/>
          <w:lang w:val="es-ES_tradnl"/>
        </w:rPr>
        <w:t xml:space="preserve">n </w:t>
      </w:r>
      <w:r>
        <w:rPr>
          <w:spacing w:val="-4"/>
          <w:sz w:val="18"/>
          <w:szCs w:val="18"/>
          <w:lang w:val="es-ES_tradnl"/>
        </w:rPr>
        <w:t>de la Rep</w:t>
      </w:r>
      <w:r>
        <w:rPr>
          <w:rFonts w:cs="Times New Roman"/>
          <w:spacing w:val="-4"/>
          <w:sz w:val="18"/>
          <w:szCs w:val="18"/>
          <w:lang w:val="es-ES_tradnl"/>
        </w:rPr>
        <w:t>ú</w:t>
      </w:r>
      <w:r>
        <w:rPr>
          <w:spacing w:val="-4"/>
          <w:sz w:val="18"/>
          <w:szCs w:val="18"/>
          <w:lang w:val="es-ES_tradnl"/>
        </w:rPr>
        <w:t>blica, en concordancia con los art</w:t>
      </w:r>
      <w:r>
        <w:rPr>
          <w:rFonts w:cs="Times New Roman"/>
          <w:spacing w:val="-4"/>
          <w:sz w:val="18"/>
          <w:szCs w:val="18"/>
          <w:lang w:val="es-ES_tradnl"/>
        </w:rPr>
        <w:t>í</w:t>
      </w:r>
      <w:r>
        <w:rPr>
          <w:spacing w:val="-4"/>
          <w:sz w:val="18"/>
          <w:szCs w:val="18"/>
          <w:lang w:val="es-ES_tradnl"/>
        </w:rPr>
        <w:t xml:space="preserve">culos 63 y </w:t>
      </w:r>
      <w:r>
        <w:rPr>
          <w:spacing w:val="-5"/>
          <w:sz w:val="18"/>
          <w:szCs w:val="18"/>
          <w:lang w:val="es-ES_tradnl"/>
        </w:rPr>
        <w:t xml:space="preserve">191 numeral 2 literal </w:t>
      </w:r>
      <w:r>
        <w:rPr>
          <w:b/>
          <w:bCs/>
          <w:spacing w:val="-5"/>
          <w:sz w:val="18"/>
          <w:szCs w:val="18"/>
          <w:lang w:val="es-ES_tradnl"/>
        </w:rPr>
        <w:t xml:space="preserve">d </w:t>
      </w:r>
      <w:r>
        <w:rPr>
          <w:spacing w:val="-5"/>
          <w:sz w:val="18"/>
          <w:szCs w:val="18"/>
          <w:lang w:val="es-ES_tradnl"/>
        </w:rPr>
        <w:t>de la Ley Org</w:t>
      </w:r>
      <w:r>
        <w:rPr>
          <w:rFonts w:cs="Times New Roman"/>
          <w:spacing w:val="-5"/>
          <w:sz w:val="18"/>
          <w:szCs w:val="18"/>
          <w:lang w:val="es-ES_tradnl"/>
        </w:rPr>
        <w:t>á</w:t>
      </w:r>
      <w:r>
        <w:rPr>
          <w:spacing w:val="-5"/>
          <w:sz w:val="18"/>
          <w:szCs w:val="18"/>
          <w:lang w:val="es-ES_tradnl"/>
        </w:rPr>
        <w:t>nica de Garant</w:t>
      </w:r>
      <w:r>
        <w:rPr>
          <w:rFonts w:cs="Times New Roman"/>
          <w:spacing w:val="-5"/>
          <w:sz w:val="18"/>
          <w:szCs w:val="18"/>
          <w:lang w:val="es-ES_tradnl"/>
        </w:rPr>
        <w:t>í</w:t>
      </w:r>
      <w:r>
        <w:rPr>
          <w:spacing w:val="-5"/>
          <w:sz w:val="18"/>
          <w:szCs w:val="18"/>
          <w:lang w:val="es-ES_tradnl"/>
        </w:rPr>
        <w:t xml:space="preserve">as </w:t>
      </w:r>
      <w:r>
        <w:rPr>
          <w:spacing w:val="-3"/>
          <w:sz w:val="18"/>
          <w:szCs w:val="18"/>
          <w:lang w:val="es-ES_tradnl"/>
        </w:rPr>
        <w:t xml:space="preserve">Jurisdiccionales y Control Constitucional, y de acuerdo </w:t>
      </w:r>
      <w:r>
        <w:rPr>
          <w:spacing w:val="-4"/>
          <w:sz w:val="18"/>
          <w:szCs w:val="18"/>
          <w:lang w:val="es-ES_tradnl"/>
        </w:rPr>
        <w:t>con el art</w:t>
      </w:r>
      <w:r>
        <w:rPr>
          <w:rFonts w:cs="Times New Roman"/>
          <w:spacing w:val="-4"/>
          <w:sz w:val="18"/>
          <w:szCs w:val="18"/>
          <w:lang w:val="es-ES_tradnl"/>
        </w:rPr>
        <w:t>í</w:t>
      </w:r>
      <w:r>
        <w:rPr>
          <w:spacing w:val="-4"/>
          <w:sz w:val="18"/>
          <w:szCs w:val="18"/>
          <w:lang w:val="es-ES_tradnl"/>
        </w:rPr>
        <w:t xml:space="preserve">culo 3 numeral 8 literal </w:t>
      </w:r>
      <w:r>
        <w:rPr>
          <w:b/>
          <w:bCs/>
          <w:spacing w:val="-4"/>
          <w:sz w:val="18"/>
          <w:szCs w:val="18"/>
          <w:lang w:val="es-ES_tradnl"/>
        </w:rPr>
        <w:t xml:space="preserve">b </w:t>
      </w:r>
      <w:r>
        <w:rPr>
          <w:spacing w:val="-4"/>
          <w:sz w:val="18"/>
          <w:szCs w:val="18"/>
          <w:lang w:val="es-ES_tradnl"/>
        </w:rPr>
        <w:t xml:space="preserve">y el tercer inciso del </w:t>
      </w:r>
      <w:r>
        <w:rPr>
          <w:spacing w:val="-7"/>
          <w:sz w:val="18"/>
          <w:szCs w:val="18"/>
          <w:lang w:val="es-ES_tradnl"/>
        </w:rPr>
        <w:t>art</w:t>
      </w:r>
      <w:r>
        <w:rPr>
          <w:rFonts w:cs="Times New Roman"/>
          <w:spacing w:val="-7"/>
          <w:sz w:val="18"/>
          <w:szCs w:val="18"/>
          <w:lang w:val="es-ES_tradnl"/>
        </w:rPr>
        <w:t>í</w:t>
      </w:r>
      <w:r>
        <w:rPr>
          <w:spacing w:val="-7"/>
          <w:sz w:val="18"/>
          <w:szCs w:val="18"/>
          <w:lang w:val="es-ES_tradnl"/>
        </w:rPr>
        <w:t>culo 35 del Reglamento de Sustanciaci</w:t>
      </w:r>
      <w:r>
        <w:rPr>
          <w:rFonts w:cs="Times New Roman"/>
          <w:spacing w:val="-7"/>
          <w:sz w:val="18"/>
          <w:szCs w:val="18"/>
          <w:lang w:val="es-ES_tradnl"/>
        </w:rPr>
        <w:t>ó</w:t>
      </w:r>
      <w:r>
        <w:rPr>
          <w:spacing w:val="-7"/>
          <w:sz w:val="18"/>
          <w:szCs w:val="18"/>
          <w:lang w:val="es-ES_tradnl"/>
        </w:rPr>
        <w:t xml:space="preserve">n de Procesos </w:t>
      </w:r>
      <w:r>
        <w:rPr>
          <w:spacing w:val="-5"/>
          <w:sz w:val="18"/>
          <w:szCs w:val="18"/>
          <w:lang w:val="es-ES_tradnl"/>
        </w:rPr>
        <w:t>de Competencia de la Corte Constitucional.</w:t>
      </w:r>
    </w:p>
    <w:p w14:paraId="4F67BB90" w14:textId="77777777" w:rsidR="00591D54" w:rsidRDefault="00591D54">
      <w:pPr>
        <w:shd w:val="clear" w:color="auto" w:fill="FFFFFF"/>
        <w:spacing w:before="192"/>
      </w:pPr>
      <w:r>
        <w:rPr>
          <w:b/>
          <w:bCs/>
          <w:spacing w:val="-6"/>
          <w:sz w:val="18"/>
          <w:szCs w:val="18"/>
          <w:lang w:val="es-ES_tradnl"/>
        </w:rPr>
        <w:t>Legitimaci</w:t>
      </w:r>
      <w:r>
        <w:rPr>
          <w:rFonts w:cs="Times New Roman"/>
          <w:b/>
          <w:bCs/>
          <w:spacing w:val="-6"/>
          <w:sz w:val="18"/>
          <w:szCs w:val="18"/>
          <w:lang w:val="es-ES_tradnl"/>
        </w:rPr>
        <w:t>ó</w:t>
      </w:r>
      <w:r>
        <w:rPr>
          <w:b/>
          <w:bCs/>
          <w:spacing w:val="-6"/>
          <w:sz w:val="18"/>
          <w:szCs w:val="18"/>
          <w:lang w:val="es-ES_tradnl"/>
        </w:rPr>
        <w:t>n activa</w:t>
      </w:r>
    </w:p>
    <w:p w14:paraId="4F67BB91" w14:textId="77777777" w:rsidR="00591D54" w:rsidRDefault="00591D54">
      <w:pPr>
        <w:shd w:val="clear" w:color="auto" w:fill="FFFFFF"/>
        <w:spacing w:before="192" w:line="216" w:lineRule="exact"/>
        <w:jc w:val="both"/>
      </w:pPr>
      <w:r>
        <w:rPr>
          <w:spacing w:val="-6"/>
          <w:sz w:val="18"/>
          <w:szCs w:val="18"/>
          <w:lang w:val="es-ES_tradnl"/>
        </w:rPr>
        <w:t xml:space="preserve">El accionante Jorge Antonio Burbano Muriel se encuentra </w:t>
      </w:r>
      <w:r>
        <w:rPr>
          <w:spacing w:val="-8"/>
          <w:sz w:val="18"/>
          <w:szCs w:val="18"/>
          <w:lang w:val="es-ES_tradnl"/>
        </w:rPr>
        <w:t>legitimado para interponer la presente acci</w:t>
      </w:r>
      <w:r>
        <w:rPr>
          <w:rFonts w:cs="Times New Roman"/>
          <w:spacing w:val="-8"/>
          <w:sz w:val="18"/>
          <w:szCs w:val="18"/>
          <w:lang w:val="es-ES_tradnl"/>
        </w:rPr>
        <w:t>ó</w:t>
      </w:r>
      <w:r>
        <w:rPr>
          <w:spacing w:val="-8"/>
          <w:sz w:val="18"/>
          <w:szCs w:val="18"/>
          <w:lang w:val="es-ES_tradnl"/>
        </w:rPr>
        <w:t xml:space="preserve">n extraordinaria </w:t>
      </w:r>
      <w:r>
        <w:rPr>
          <w:spacing w:val="-7"/>
          <w:sz w:val="18"/>
          <w:szCs w:val="18"/>
          <w:lang w:val="es-ES_tradnl"/>
        </w:rPr>
        <w:t>de protecci</w:t>
      </w:r>
      <w:r>
        <w:rPr>
          <w:rFonts w:cs="Times New Roman"/>
          <w:spacing w:val="-7"/>
          <w:sz w:val="18"/>
          <w:szCs w:val="18"/>
          <w:lang w:val="es-ES_tradnl"/>
        </w:rPr>
        <w:t>ó</w:t>
      </w:r>
      <w:r>
        <w:rPr>
          <w:spacing w:val="-7"/>
          <w:sz w:val="18"/>
          <w:szCs w:val="18"/>
          <w:lang w:val="es-ES_tradnl"/>
        </w:rPr>
        <w:t>n, conforme a los requerimientos establecidos</w:t>
      </w:r>
    </w:p>
    <w:p w14:paraId="4F67BB92" w14:textId="77777777" w:rsidR="00591D54" w:rsidRDefault="00591D54">
      <w:pPr>
        <w:shd w:val="clear" w:color="auto" w:fill="FFFFFF"/>
        <w:spacing w:before="192" w:line="216" w:lineRule="exact"/>
        <w:jc w:val="both"/>
        <w:sectPr w:rsidR="00591D54">
          <w:type w:val="continuous"/>
          <w:pgSz w:w="11909" w:h="16834"/>
          <w:pgMar w:top="1368" w:right="1309" w:bottom="360" w:left="1308" w:header="720" w:footer="720" w:gutter="0"/>
          <w:cols w:num="2" w:space="720" w:equalWidth="0">
            <w:col w:w="4305" w:space="682"/>
            <w:col w:w="4305"/>
          </w:cols>
          <w:noEndnote/>
        </w:sectPr>
      </w:pPr>
    </w:p>
    <w:p w14:paraId="4F67BB93" w14:textId="77777777" w:rsidR="00591D54" w:rsidRDefault="00591D54">
      <w:pPr>
        <w:shd w:val="clear" w:color="auto" w:fill="FFFFFF"/>
        <w:tabs>
          <w:tab w:val="left" w:pos="4814"/>
        </w:tabs>
        <w:spacing w:after="235"/>
        <w:ind w:left="5"/>
      </w:pPr>
      <w:r>
        <w:rPr>
          <w:b/>
          <w:bCs/>
          <w:sz w:val="18"/>
          <w:szCs w:val="18"/>
          <w:lang w:val="es-ES_tradnl"/>
        </w:rPr>
        <w:t xml:space="preserve">292 -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B94" w14:textId="77777777" w:rsidR="00591D54" w:rsidRDefault="00591D54">
      <w:pPr>
        <w:shd w:val="clear" w:color="auto" w:fill="FFFFFF"/>
        <w:tabs>
          <w:tab w:val="left" w:pos="4814"/>
        </w:tabs>
        <w:spacing w:after="235"/>
        <w:ind w:left="5"/>
        <w:sectPr w:rsidR="00591D54">
          <w:pgSz w:w="11909" w:h="16834"/>
          <w:pgMar w:top="1366" w:right="1304" w:bottom="360" w:left="1308" w:header="720" w:footer="720" w:gutter="0"/>
          <w:cols w:space="60"/>
          <w:noEndnote/>
        </w:sectPr>
      </w:pPr>
    </w:p>
    <w:p w14:paraId="4F67BB95" w14:textId="77777777" w:rsidR="00591D54" w:rsidRDefault="00591D54">
      <w:pPr>
        <w:shd w:val="clear" w:color="auto" w:fill="FFFFFF"/>
        <w:spacing w:line="216" w:lineRule="exact"/>
        <w:jc w:val="both"/>
      </w:pPr>
      <w:r>
        <w:rPr>
          <w:sz w:val="18"/>
          <w:szCs w:val="18"/>
          <w:lang w:val="es-ES_tradnl"/>
        </w:rPr>
        <w:t>en el art</w:t>
      </w:r>
      <w:r>
        <w:rPr>
          <w:rFonts w:cs="Times New Roman"/>
          <w:sz w:val="18"/>
          <w:szCs w:val="18"/>
          <w:lang w:val="es-ES_tradnl"/>
        </w:rPr>
        <w:t>í</w:t>
      </w:r>
      <w:r>
        <w:rPr>
          <w:sz w:val="18"/>
          <w:szCs w:val="18"/>
          <w:lang w:val="es-ES_tradnl"/>
        </w:rPr>
        <w:t>culo 437 de la Constituci</w:t>
      </w:r>
      <w:r>
        <w:rPr>
          <w:rFonts w:cs="Times New Roman"/>
          <w:sz w:val="18"/>
          <w:szCs w:val="18"/>
          <w:lang w:val="es-ES_tradnl"/>
        </w:rPr>
        <w:t>ó</w:t>
      </w:r>
      <w:r>
        <w:rPr>
          <w:sz w:val="18"/>
          <w:szCs w:val="18"/>
          <w:lang w:val="es-ES_tradnl"/>
        </w:rPr>
        <w:t xml:space="preserve">n que determina: </w:t>
      </w:r>
      <w:r>
        <w:rPr>
          <w:rFonts w:cs="Times New Roman"/>
          <w:spacing w:val="-3"/>
          <w:sz w:val="18"/>
          <w:szCs w:val="18"/>
          <w:lang w:val="es-ES_tradnl"/>
        </w:rPr>
        <w:t>“</w:t>
      </w:r>
      <w:r>
        <w:rPr>
          <w:spacing w:val="-3"/>
          <w:sz w:val="18"/>
          <w:szCs w:val="18"/>
          <w:lang w:val="es-ES_tradnl"/>
        </w:rPr>
        <w:t>Los ciudadanos en forma individual o colectiva podr</w:t>
      </w:r>
      <w:r>
        <w:rPr>
          <w:rFonts w:cs="Times New Roman"/>
          <w:spacing w:val="-3"/>
          <w:sz w:val="18"/>
          <w:szCs w:val="18"/>
          <w:lang w:val="es-ES_tradnl"/>
        </w:rPr>
        <w:t>á</w:t>
      </w:r>
      <w:r>
        <w:rPr>
          <w:spacing w:val="-3"/>
          <w:sz w:val="18"/>
          <w:szCs w:val="18"/>
          <w:lang w:val="es-ES_tradnl"/>
        </w:rPr>
        <w:t xml:space="preserve">n </w:t>
      </w:r>
      <w:r>
        <w:rPr>
          <w:spacing w:val="-5"/>
          <w:sz w:val="18"/>
          <w:szCs w:val="18"/>
          <w:lang w:val="es-ES_tradnl"/>
        </w:rPr>
        <w:t>presentar una acci</w:t>
      </w:r>
      <w:r>
        <w:rPr>
          <w:rFonts w:cs="Times New Roman"/>
          <w:spacing w:val="-5"/>
          <w:sz w:val="18"/>
          <w:szCs w:val="18"/>
          <w:lang w:val="es-ES_tradnl"/>
        </w:rPr>
        <w:t>ó</w:t>
      </w:r>
      <w:r>
        <w:rPr>
          <w:spacing w:val="-5"/>
          <w:sz w:val="18"/>
          <w:szCs w:val="18"/>
          <w:lang w:val="es-ES_tradnl"/>
        </w:rPr>
        <w:t>n extraordinaria de protecci</w:t>
      </w:r>
      <w:r>
        <w:rPr>
          <w:rFonts w:cs="Times New Roman"/>
          <w:spacing w:val="-5"/>
          <w:sz w:val="18"/>
          <w:szCs w:val="18"/>
          <w:lang w:val="es-ES_tradnl"/>
        </w:rPr>
        <w:t>ó</w:t>
      </w:r>
      <w:r>
        <w:rPr>
          <w:spacing w:val="-5"/>
          <w:sz w:val="18"/>
          <w:szCs w:val="18"/>
          <w:lang w:val="es-ES_tradnl"/>
        </w:rPr>
        <w:t xml:space="preserve">n contra </w:t>
      </w:r>
      <w:r>
        <w:rPr>
          <w:spacing w:val="-1"/>
          <w:sz w:val="18"/>
          <w:szCs w:val="18"/>
          <w:lang w:val="es-ES_tradnl"/>
        </w:rPr>
        <w:t>sentencias, autos definitivos (</w:t>
      </w:r>
      <w:r>
        <w:rPr>
          <w:rFonts w:cs="Times New Roman"/>
          <w:spacing w:val="-1"/>
          <w:sz w:val="18"/>
          <w:szCs w:val="18"/>
          <w:lang w:val="es-ES_tradnl"/>
        </w:rPr>
        <w:t>…</w:t>
      </w:r>
      <w:r>
        <w:rPr>
          <w:spacing w:val="-1"/>
          <w:sz w:val="18"/>
          <w:szCs w:val="18"/>
          <w:lang w:val="es-ES_tradnl"/>
        </w:rPr>
        <w:t>)</w:t>
      </w:r>
      <w:r>
        <w:rPr>
          <w:rFonts w:cs="Times New Roman"/>
          <w:spacing w:val="-1"/>
          <w:sz w:val="18"/>
          <w:szCs w:val="18"/>
          <w:lang w:val="es-ES_tradnl"/>
        </w:rPr>
        <w:t>”</w:t>
      </w:r>
      <w:r>
        <w:rPr>
          <w:spacing w:val="-1"/>
          <w:sz w:val="18"/>
          <w:szCs w:val="18"/>
          <w:lang w:val="es-ES_tradnl"/>
        </w:rPr>
        <w:t xml:space="preserve"> y del art</w:t>
      </w:r>
      <w:r>
        <w:rPr>
          <w:rFonts w:cs="Times New Roman"/>
          <w:spacing w:val="-1"/>
          <w:sz w:val="18"/>
          <w:szCs w:val="18"/>
          <w:lang w:val="es-ES_tradnl"/>
        </w:rPr>
        <w:t>í</w:t>
      </w:r>
      <w:r>
        <w:rPr>
          <w:spacing w:val="-1"/>
          <w:sz w:val="18"/>
          <w:szCs w:val="18"/>
          <w:lang w:val="es-ES_tradnl"/>
        </w:rPr>
        <w:t xml:space="preserve">culo 439 </w:t>
      </w:r>
      <w:r>
        <w:rPr>
          <w:i/>
          <w:iCs/>
          <w:spacing w:val="-4"/>
          <w:sz w:val="18"/>
          <w:szCs w:val="18"/>
          <w:lang w:val="es-ES_tradnl"/>
        </w:rPr>
        <w:t>ib</w:t>
      </w:r>
      <w:r>
        <w:rPr>
          <w:rFonts w:cs="Times New Roman"/>
          <w:i/>
          <w:iCs/>
          <w:spacing w:val="-4"/>
          <w:sz w:val="18"/>
          <w:szCs w:val="18"/>
          <w:lang w:val="es-ES_tradnl"/>
        </w:rPr>
        <w:t>í</w:t>
      </w:r>
      <w:r>
        <w:rPr>
          <w:i/>
          <w:iCs/>
          <w:spacing w:val="-4"/>
          <w:sz w:val="18"/>
          <w:szCs w:val="18"/>
          <w:lang w:val="es-ES_tradnl"/>
        </w:rPr>
        <w:t>dem</w:t>
      </w:r>
      <w:r>
        <w:rPr>
          <w:spacing w:val="-4"/>
          <w:sz w:val="18"/>
          <w:szCs w:val="18"/>
          <w:lang w:val="es-ES_tradnl"/>
        </w:rPr>
        <w:t xml:space="preserve">, que prescribe: </w:t>
      </w:r>
      <w:r>
        <w:rPr>
          <w:rFonts w:cs="Times New Roman"/>
          <w:spacing w:val="-4"/>
          <w:sz w:val="18"/>
          <w:szCs w:val="18"/>
          <w:lang w:val="es-ES_tradnl"/>
        </w:rPr>
        <w:t>“</w:t>
      </w:r>
      <w:r>
        <w:rPr>
          <w:spacing w:val="-4"/>
          <w:sz w:val="18"/>
          <w:szCs w:val="18"/>
          <w:lang w:val="es-ES_tradnl"/>
        </w:rPr>
        <w:t xml:space="preserve">Las acciones constitucionales </w:t>
      </w:r>
      <w:r>
        <w:rPr>
          <w:spacing w:val="-2"/>
          <w:sz w:val="18"/>
          <w:szCs w:val="18"/>
          <w:lang w:val="es-ES_tradnl"/>
        </w:rPr>
        <w:t>podr</w:t>
      </w:r>
      <w:r>
        <w:rPr>
          <w:rFonts w:cs="Times New Roman"/>
          <w:spacing w:val="-2"/>
          <w:sz w:val="18"/>
          <w:szCs w:val="18"/>
          <w:lang w:val="es-ES_tradnl"/>
        </w:rPr>
        <w:t>á</w:t>
      </w:r>
      <w:r>
        <w:rPr>
          <w:spacing w:val="-2"/>
          <w:sz w:val="18"/>
          <w:szCs w:val="18"/>
          <w:lang w:val="es-ES_tradnl"/>
        </w:rPr>
        <w:t xml:space="preserve">n ser presentadas por cualquier ciudadana o </w:t>
      </w:r>
      <w:r>
        <w:rPr>
          <w:spacing w:val="-3"/>
          <w:sz w:val="18"/>
          <w:szCs w:val="18"/>
          <w:lang w:val="es-ES_tradnl"/>
        </w:rPr>
        <w:t>ciudadano individual o colectivamente</w:t>
      </w:r>
      <w:r>
        <w:rPr>
          <w:rFonts w:cs="Times New Roman"/>
          <w:spacing w:val="-3"/>
          <w:sz w:val="18"/>
          <w:szCs w:val="18"/>
          <w:lang w:val="es-ES_tradnl"/>
        </w:rPr>
        <w:t>”</w:t>
      </w:r>
      <w:r>
        <w:rPr>
          <w:spacing w:val="-3"/>
          <w:sz w:val="18"/>
          <w:szCs w:val="18"/>
          <w:lang w:val="es-ES_tradnl"/>
        </w:rPr>
        <w:t xml:space="preserve">. En tal virtud, le </w:t>
      </w:r>
      <w:r>
        <w:rPr>
          <w:spacing w:val="-6"/>
          <w:sz w:val="18"/>
          <w:szCs w:val="18"/>
          <w:lang w:val="es-ES_tradnl"/>
        </w:rPr>
        <w:t>asiste la legitimaci</w:t>
      </w:r>
      <w:r>
        <w:rPr>
          <w:rFonts w:cs="Times New Roman"/>
          <w:spacing w:val="-6"/>
          <w:sz w:val="18"/>
          <w:szCs w:val="18"/>
          <w:lang w:val="es-ES_tradnl"/>
        </w:rPr>
        <w:t>ó</w:t>
      </w:r>
      <w:r>
        <w:rPr>
          <w:spacing w:val="-6"/>
          <w:sz w:val="18"/>
          <w:szCs w:val="18"/>
          <w:lang w:val="es-ES_tradnl"/>
        </w:rPr>
        <w:t>n activa en esta acci</w:t>
      </w:r>
      <w:r>
        <w:rPr>
          <w:rFonts w:cs="Times New Roman"/>
          <w:spacing w:val="-6"/>
          <w:sz w:val="18"/>
          <w:szCs w:val="18"/>
          <w:lang w:val="es-ES_tradnl"/>
        </w:rPr>
        <w:t>ó</w:t>
      </w:r>
      <w:r>
        <w:rPr>
          <w:spacing w:val="-6"/>
          <w:sz w:val="18"/>
          <w:szCs w:val="18"/>
          <w:lang w:val="es-ES_tradnl"/>
        </w:rPr>
        <w:t>n constitucional.</w:t>
      </w:r>
    </w:p>
    <w:p w14:paraId="4F67BB96" w14:textId="77777777" w:rsidR="00591D54" w:rsidRDefault="00591D54">
      <w:pPr>
        <w:shd w:val="clear" w:color="auto" w:fill="FFFFFF"/>
        <w:spacing w:before="192"/>
      </w:pPr>
      <w:r>
        <w:rPr>
          <w:b/>
          <w:bCs/>
          <w:spacing w:val="-8"/>
          <w:sz w:val="18"/>
          <w:szCs w:val="18"/>
          <w:lang w:val="es-ES_tradnl"/>
        </w:rPr>
        <w:t>An</w:t>
      </w:r>
      <w:r>
        <w:rPr>
          <w:rFonts w:cs="Times New Roman"/>
          <w:b/>
          <w:bCs/>
          <w:spacing w:val="-8"/>
          <w:sz w:val="18"/>
          <w:szCs w:val="18"/>
          <w:lang w:val="es-ES_tradnl"/>
        </w:rPr>
        <w:t>á</w:t>
      </w:r>
      <w:r>
        <w:rPr>
          <w:b/>
          <w:bCs/>
          <w:spacing w:val="-8"/>
          <w:sz w:val="18"/>
          <w:szCs w:val="18"/>
          <w:lang w:val="es-ES_tradnl"/>
        </w:rPr>
        <w:t>lisis constitucional</w:t>
      </w:r>
    </w:p>
    <w:p w14:paraId="4F67BB97" w14:textId="77777777" w:rsidR="00591D54" w:rsidRDefault="00591D54">
      <w:pPr>
        <w:shd w:val="clear" w:color="auto" w:fill="FFFFFF"/>
        <w:spacing w:before="192"/>
      </w:pPr>
      <w:r>
        <w:rPr>
          <w:b/>
          <w:bCs/>
          <w:spacing w:val="-6"/>
          <w:sz w:val="18"/>
          <w:szCs w:val="18"/>
          <w:lang w:val="es-ES_tradnl"/>
        </w:rPr>
        <w:t>Finalidad de la acci</w:t>
      </w:r>
      <w:r>
        <w:rPr>
          <w:rFonts w:cs="Times New Roman"/>
          <w:b/>
          <w:bCs/>
          <w:spacing w:val="-6"/>
          <w:sz w:val="18"/>
          <w:szCs w:val="18"/>
          <w:lang w:val="es-ES_tradnl"/>
        </w:rPr>
        <w:t>ó</w:t>
      </w:r>
      <w:r>
        <w:rPr>
          <w:b/>
          <w:bCs/>
          <w:spacing w:val="-6"/>
          <w:sz w:val="18"/>
          <w:szCs w:val="18"/>
          <w:lang w:val="es-ES_tradnl"/>
        </w:rPr>
        <w:t>n extraordinaria de protecci</w:t>
      </w:r>
      <w:r>
        <w:rPr>
          <w:rFonts w:cs="Times New Roman"/>
          <w:b/>
          <w:bCs/>
          <w:spacing w:val="-6"/>
          <w:sz w:val="18"/>
          <w:szCs w:val="18"/>
          <w:lang w:val="es-ES_tradnl"/>
        </w:rPr>
        <w:t>ó</w:t>
      </w:r>
      <w:r>
        <w:rPr>
          <w:b/>
          <w:bCs/>
          <w:spacing w:val="-6"/>
          <w:sz w:val="18"/>
          <w:szCs w:val="18"/>
          <w:lang w:val="es-ES_tradnl"/>
        </w:rPr>
        <w:t>n</w:t>
      </w:r>
    </w:p>
    <w:p w14:paraId="4F67BB98" w14:textId="77777777" w:rsidR="00591D54" w:rsidRDefault="00591D54">
      <w:pPr>
        <w:shd w:val="clear" w:color="auto" w:fill="FFFFFF"/>
        <w:spacing w:before="192" w:line="216" w:lineRule="exact"/>
        <w:jc w:val="both"/>
      </w:pPr>
      <w:r>
        <w:rPr>
          <w:spacing w:val="-5"/>
          <w:sz w:val="18"/>
          <w:szCs w:val="18"/>
          <w:lang w:val="es-ES_tradnl"/>
        </w:rPr>
        <w:t>Dentro de las garant</w:t>
      </w:r>
      <w:r>
        <w:rPr>
          <w:rFonts w:cs="Times New Roman"/>
          <w:spacing w:val="-5"/>
          <w:sz w:val="18"/>
          <w:szCs w:val="18"/>
          <w:lang w:val="es-ES_tradnl"/>
        </w:rPr>
        <w:t>í</w:t>
      </w:r>
      <w:r>
        <w:rPr>
          <w:spacing w:val="-5"/>
          <w:sz w:val="18"/>
          <w:szCs w:val="18"/>
          <w:lang w:val="es-ES_tradnl"/>
        </w:rPr>
        <w:t xml:space="preserve">as jurisdiccionales constantes en la </w:t>
      </w:r>
      <w:r>
        <w:rPr>
          <w:spacing w:val="-4"/>
          <w:sz w:val="18"/>
          <w:szCs w:val="18"/>
          <w:lang w:val="es-ES_tradnl"/>
        </w:rPr>
        <w:t>Norma Suprema, se ha instituido entre otras, la referida acci</w:t>
      </w:r>
      <w:r>
        <w:rPr>
          <w:rFonts w:cs="Times New Roman"/>
          <w:spacing w:val="-4"/>
          <w:sz w:val="18"/>
          <w:szCs w:val="18"/>
          <w:lang w:val="es-ES_tradnl"/>
        </w:rPr>
        <w:t>ó</w:t>
      </w:r>
      <w:r>
        <w:rPr>
          <w:spacing w:val="-4"/>
          <w:sz w:val="18"/>
          <w:szCs w:val="18"/>
          <w:lang w:val="es-ES_tradnl"/>
        </w:rPr>
        <w:t>n extraordinaria de protecci</w:t>
      </w:r>
      <w:r>
        <w:rPr>
          <w:rFonts w:cs="Times New Roman"/>
          <w:spacing w:val="-4"/>
          <w:sz w:val="18"/>
          <w:szCs w:val="18"/>
          <w:lang w:val="es-ES_tradnl"/>
        </w:rPr>
        <w:t>ó</w:t>
      </w:r>
      <w:r>
        <w:rPr>
          <w:spacing w:val="-4"/>
          <w:sz w:val="18"/>
          <w:szCs w:val="18"/>
          <w:lang w:val="es-ES_tradnl"/>
        </w:rPr>
        <w:t xml:space="preserve">n, con la finalidad de </w:t>
      </w:r>
      <w:r>
        <w:rPr>
          <w:spacing w:val="-1"/>
          <w:sz w:val="18"/>
          <w:szCs w:val="18"/>
          <w:lang w:val="es-ES_tradnl"/>
        </w:rPr>
        <w:t xml:space="preserve">revisar el debido cumplimiento, observancia y respeto </w:t>
      </w:r>
      <w:r>
        <w:rPr>
          <w:spacing w:val="-2"/>
          <w:sz w:val="18"/>
          <w:szCs w:val="18"/>
          <w:lang w:val="es-ES_tradnl"/>
        </w:rPr>
        <w:t>de los derechos determinados en la Constituci</w:t>
      </w:r>
      <w:r>
        <w:rPr>
          <w:rFonts w:cs="Times New Roman"/>
          <w:spacing w:val="-2"/>
          <w:sz w:val="18"/>
          <w:szCs w:val="18"/>
          <w:lang w:val="es-ES_tradnl"/>
        </w:rPr>
        <w:t>ó</w:t>
      </w:r>
      <w:r>
        <w:rPr>
          <w:spacing w:val="-2"/>
          <w:sz w:val="18"/>
          <w:szCs w:val="18"/>
          <w:lang w:val="es-ES_tradnl"/>
        </w:rPr>
        <w:t xml:space="preserve">n y en </w:t>
      </w:r>
      <w:r>
        <w:rPr>
          <w:spacing w:val="-4"/>
          <w:sz w:val="18"/>
          <w:szCs w:val="18"/>
          <w:lang w:val="es-ES_tradnl"/>
        </w:rPr>
        <w:t xml:space="preserve">los instrumentos internacionales de derechos humanos, </w:t>
      </w:r>
      <w:r>
        <w:rPr>
          <w:spacing w:val="-2"/>
          <w:sz w:val="18"/>
          <w:szCs w:val="18"/>
          <w:lang w:val="es-ES_tradnl"/>
        </w:rPr>
        <w:t>en lo que respecta al debido proceso y a la prestaci</w:t>
      </w:r>
      <w:r>
        <w:rPr>
          <w:rFonts w:cs="Times New Roman"/>
          <w:spacing w:val="-2"/>
          <w:sz w:val="18"/>
          <w:szCs w:val="18"/>
          <w:lang w:val="es-ES_tradnl"/>
        </w:rPr>
        <w:t>ó</w:t>
      </w:r>
      <w:r>
        <w:rPr>
          <w:spacing w:val="-2"/>
          <w:sz w:val="18"/>
          <w:szCs w:val="18"/>
          <w:lang w:val="es-ES_tradnl"/>
        </w:rPr>
        <w:t xml:space="preserve">n de una tutela efectiva en los procesos judiciales sean </w:t>
      </w:r>
      <w:r>
        <w:rPr>
          <w:spacing w:val="-5"/>
          <w:sz w:val="18"/>
          <w:szCs w:val="18"/>
          <w:lang w:val="es-ES_tradnl"/>
        </w:rPr>
        <w:t xml:space="preserve">estos ordinarios o constitucionales; en tal virtud, se debe </w:t>
      </w:r>
      <w:r>
        <w:rPr>
          <w:spacing w:val="-6"/>
          <w:sz w:val="18"/>
          <w:szCs w:val="18"/>
          <w:lang w:val="es-ES_tradnl"/>
        </w:rPr>
        <w:t>tener presente que la naturaleza de esta acci</w:t>
      </w:r>
      <w:r>
        <w:rPr>
          <w:rFonts w:cs="Times New Roman"/>
          <w:spacing w:val="-6"/>
          <w:sz w:val="18"/>
          <w:szCs w:val="18"/>
          <w:lang w:val="es-ES_tradnl"/>
        </w:rPr>
        <w:t>ó</w:t>
      </w:r>
      <w:r>
        <w:rPr>
          <w:spacing w:val="-6"/>
          <w:sz w:val="18"/>
          <w:szCs w:val="18"/>
          <w:lang w:val="es-ES_tradnl"/>
        </w:rPr>
        <w:t xml:space="preserve">n persigue </w:t>
      </w:r>
      <w:r>
        <w:rPr>
          <w:spacing w:val="-5"/>
          <w:sz w:val="18"/>
          <w:szCs w:val="18"/>
          <w:lang w:val="es-ES_tradnl"/>
        </w:rPr>
        <w:t xml:space="preserve">dos finalidades; por un lado, corrige los posibles errores </w:t>
      </w:r>
      <w:r>
        <w:rPr>
          <w:spacing w:val="-3"/>
          <w:sz w:val="18"/>
          <w:szCs w:val="18"/>
          <w:lang w:val="es-ES_tradnl"/>
        </w:rPr>
        <w:t xml:space="preserve">judiciales cometidos dentro de un proceso; y por otro, </w:t>
      </w:r>
      <w:r>
        <w:rPr>
          <w:sz w:val="18"/>
          <w:szCs w:val="18"/>
          <w:lang w:val="es-ES_tradnl"/>
        </w:rPr>
        <w:t>sirve como herramienta jur</w:t>
      </w:r>
      <w:r>
        <w:rPr>
          <w:rFonts w:cs="Times New Roman"/>
          <w:sz w:val="18"/>
          <w:szCs w:val="18"/>
          <w:lang w:val="es-ES_tradnl"/>
        </w:rPr>
        <w:t>í</w:t>
      </w:r>
      <w:r>
        <w:rPr>
          <w:sz w:val="18"/>
          <w:szCs w:val="18"/>
          <w:lang w:val="es-ES_tradnl"/>
        </w:rPr>
        <w:t xml:space="preserve">dica que permita alcanzar </w:t>
      </w:r>
      <w:r>
        <w:rPr>
          <w:spacing w:val="-5"/>
          <w:sz w:val="18"/>
          <w:szCs w:val="18"/>
          <w:lang w:val="es-ES_tradnl"/>
        </w:rPr>
        <w:t xml:space="preserve">la uniformidad constitucional, sentando precedentes </w:t>
      </w:r>
      <w:r>
        <w:rPr>
          <w:spacing w:val="-1"/>
          <w:sz w:val="18"/>
          <w:szCs w:val="18"/>
          <w:lang w:val="es-ES_tradnl"/>
        </w:rPr>
        <w:t xml:space="preserve">indispensables para precautelar la plena y efectiva </w:t>
      </w:r>
      <w:r>
        <w:rPr>
          <w:spacing w:val="-7"/>
          <w:sz w:val="18"/>
          <w:szCs w:val="18"/>
          <w:lang w:val="es-ES_tradnl"/>
        </w:rPr>
        <w:t>vigencia de los derechos garantizados en la Constituci</w:t>
      </w:r>
      <w:r>
        <w:rPr>
          <w:rFonts w:cs="Times New Roman"/>
          <w:spacing w:val="-7"/>
          <w:sz w:val="18"/>
          <w:szCs w:val="18"/>
          <w:lang w:val="es-ES_tradnl"/>
        </w:rPr>
        <w:t>ó</w:t>
      </w:r>
      <w:r>
        <w:rPr>
          <w:spacing w:val="-7"/>
          <w:sz w:val="18"/>
          <w:szCs w:val="18"/>
          <w:lang w:val="es-ES_tradnl"/>
        </w:rPr>
        <w:t>n.</w:t>
      </w:r>
    </w:p>
    <w:p w14:paraId="4F67BB99" w14:textId="77777777" w:rsidR="00591D54" w:rsidRDefault="00591D54">
      <w:pPr>
        <w:shd w:val="clear" w:color="auto" w:fill="FFFFFF"/>
        <w:spacing w:before="192" w:line="216" w:lineRule="exact"/>
        <w:jc w:val="both"/>
      </w:pPr>
      <w:r>
        <w:rPr>
          <w:spacing w:val="-5"/>
          <w:sz w:val="18"/>
          <w:szCs w:val="18"/>
          <w:lang w:val="es-ES_tradnl"/>
        </w:rPr>
        <w:t xml:space="preserve">En un Estado constitucional de derechos y justicia como </w:t>
      </w:r>
      <w:r>
        <w:rPr>
          <w:spacing w:val="-8"/>
          <w:sz w:val="18"/>
          <w:szCs w:val="18"/>
          <w:lang w:val="es-ES_tradnl"/>
        </w:rPr>
        <w:t>es el caso del Ecuador, el juez ordinario tambi</w:t>
      </w:r>
      <w:r>
        <w:rPr>
          <w:rFonts w:cs="Times New Roman"/>
          <w:spacing w:val="-8"/>
          <w:sz w:val="18"/>
          <w:szCs w:val="18"/>
          <w:lang w:val="es-ES_tradnl"/>
        </w:rPr>
        <w:t>é</w:t>
      </w:r>
      <w:r>
        <w:rPr>
          <w:spacing w:val="-8"/>
          <w:sz w:val="18"/>
          <w:szCs w:val="18"/>
          <w:lang w:val="es-ES_tradnl"/>
        </w:rPr>
        <w:t xml:space="preserve">n es un juez </w:t>
      </w:r>
      <w:r>
        <w:rPr>
          <w:spacing w:val="-7"/>
          <w:sz w:val="18"/>
          <w:szCs w:val="18"/>
          <w:lang w:val="es-ES_tradnl"/>
        </w:rPr>
        <w:t xml:space="preserve">garantista, en la medida que debe respetar los derechos </w:t>
      </w:r>
      <w:r>
        <w:rPr>
          <w:spacing w:val="-4"/>
          <w:sz w:val="18"/>
          <w:szCs w:val="18"/>
          <w:lang w:val="es-ES_tradnl"/>
        </w:rPr>
        <w:t>garantizados por la Constituci</w:t>
      </w:r>
      <w:r>
        <w:rPr>
          <w:rFonts w:cs="Times New Roman"/>
          <w:spacing w:val="-4"/>
          <w:sz w:val="18"/>
          <w:szCs w:val="18"/>
          <w:lang w:val="es-ES_tradnl"/>
        </w:rPr>
        <w:t>ó</w:t>
      </w:r>
      <w:r>
        <w:rPr>
          <w:spacing w:val="-4"/>
          <w:sz w:val="18"/>
          <w:szCs w:val="18"/>
          <w:lang w:val="es-ES_tradnl"/>
        </w:rPr>
        <w:t>n y aplicarlos de forma inmediata y directa tal como lo establece el art</w:t>
      </w:r>
      <w:r>
        <w:rPr>
          <w:rFonts w:cs="Times New Roman"/>
          <w:spacing w:val="-4"/>
          <w:sz w:val="18"/>
          <w:szCs w:val="18"/>
          <w:lang w:val="es-ES_tradnl"/>
        </w:rPr>
        <w:t>í</w:t>
      </w:r>
      <w:r>
        <w:rPr>
          <w:spacing w:val="-4"/>
          <w:sz w:val="18"/>
          <w:szCs w:val="18"/>
          <w:lang w:val="es-ES_tradnl"/>
        </w:rPr>
        <w:t xml:space="preserve">culo 11 </w:t>
      </w:r>
      <w:r>
        <w:rPr>
          <w:spacing w:val="-5"/>
          <w:sz w:val="18"/>
          <w:szCs w:val="18"/>
          <w:lang w:val="es-ES_tradnl"/>
        </w:rPr>
        <w:t xml:space="preserve">numeral 3 que prescribe: </w:t>
      </w:r>
      <w:r>
        <w:rPr>
          <w:rFonts w:cs="Times New Roman"/>
          <w:spacing w:val="-5"/>
          <w:sz w:val="18"/>
          <w:szCs w:val="18"/>
          <w:lang w:val="es-ES_tradnl"/>
        </w:rPr>
        <w:t>“</w:t>
      </w:r>
      <w:r>
        <w:rPr>
          <w:spacing w:val="-5"/>
          <w:sz w:val="18"/>
          <w:szCs w:val="18"/>
          <w:lang w:val="es-ES_tradnl"/>
        </w:rPr>
        <w:t xml:space="preserve">El ejercicio de los derechos se </w:t>
      </w:r>
      <w:r>
        <w:rPr>
          <w:spacing w:val="-3"/>
          <w:sz w:val="18"/>
          <w:szCs w:val="18"/>
          <w:lang w:val="es-ES_tradnl"/>
        </w:rPr>
        <w:t>regir</w:t>
      </w:r>
      <w:r>
        <w:rPr>
          <w:rFonts w:cs="Times New Roman"/>
          <w:spacing w:val="-3"/>
          <w:sz w:val="18"/>
          <w:szCs w:val="18"/>
          <w:lang w:val="es-ES_tradnl"/>
        </w:rPr>
        <w:t>á</w:t>
      </w:r>
      <w:r>
        <w:rPr>
          <w:spacing w:val="-3"/>
          <w:sz w:val="18"/>
          <w:szCs w:val="18"/>
          <w:lang w:val="es-ES_tradnl"/>
        </w:rPr>
        <w:t xml:space="preserve"> por los siguientes principios: (</w:t>
      </w:r>
      <w:r>
        <w:rPr>
          <w:rFonts w:cs="Times New Roman"/>
          <w:spacing w:val="-3"/>
          <w:sz w:val="18"/>
          <w:szCs w:val="18"/>
          <w:lang w:val="es-ES_tradnl"/>
        </w:rPr>
        <w:t>…</w:t>
      </w:r>
      <w:r>
        <w:rPr>
          <w:spacing w:val="-3"/>
          <w:sz w:val="18"/>
          <w:szCs w:val="18"/>
          <w:lang w:val="es-ES_tradnl"/>
        </w:rPr>
        <w:t xml:space="preserve">) 3. Los derechos </w:t>
      </w:r>
      <w:r>
        <w:rPr>
          <w:spacing w:val="-5"/>
          <w:sz w:val="18"/>
          <w:szCs w:val="18"/>
          <w:lang w:val="es-ES_tradnl"/>
        </w:rPr>
        <w:t>y garant</w:t>
      </w:r>
      <w:r>
        <w:rPr>
          <w:rFonts w:cs="Times New Roman"/>
          <w:spacing w:val="-5"/>
          <w:sz w:val="18"/>
          <w:szCs w:val="18"/>
          <w:lang w:val="es-ES_tradnl"/>
        </w:rPr>
        <w:t>í</w:t>
      </w:r>
      <w:r>
        <w:rPr>
          <w:spacing w:val="-5"/>
          <w:sz w:val="18"/>
          <w:szCs w:val="18"/>
          <w:lang w:val="es-ES_tradnl"/>
        </w:rPr>
        <w:t>as establecidos en la Constituci</w:t>
      </w:r>
      <w:r>
        <w:rPr>
          <w:rFonts w:cs="Times New Roman"/>
          <w:spacing w:val="-5"/>
          <w:sz w:val="18"/>
          <w:szCs w:val="18"/>
          <w:lang w:val="es-ES_tradnl"/>
        </w:rPr>
        <w:t>ó</w:t>
      </w:r>
      <w:r>
        <w:rPr>
          <w:spacing w:val="-5"/>
          <w:sz w:val="18"/>
          <w:szCs w:val="18"/>
          <w:lang w:val="es-ES_tradnl"/>
        </w:rPr>
        <w:t xml:space="preserve">n y en los </w:t>
      </w:r>
      <w:r>
        <w:rPr>
          <w:spacing w:val="-7"/>
          <w:sz w:val="18"/>
          <w:szCs w:val="18"/>
          <w:lang w:val="es-ES_tradnl"/>
        </w:rPr>
        <w:t>instrumentos internacionales de derechos humanos ser</w:t>
      </w:r>
      <w:r>
        <w:rPr>
          <w:rFonts w:cs="Times New Roman"/>
          <w:spacing w:val="-7"/>
          <w:sz w:val="18"/>
          <w:szCs w:val="18"/>
          <w:lang w:val="es-ES_tradnl"/>
        </w:rPr>
        <w:t>á</w:t>
      </w:r>
      <w:r>
        <w:rPr>
          <w:spacing w:val="-7"/>
          <w:sz w:val="18"/>
          <w:szCs w:val="18"/>
          <w:lang w:val="es-ES_tradnl"/>
        </w:rPr>
        <w:t xml:space="preserve">n </w:t>
      </w:r>
      <w:r>
        <w:rPr>
          <w:spacing w:val="-4"/>
          <w:sz w:val="18"/>
          <w:szCs w:val="18"/>
          <w:lang w:val="es-ES_tradnl"/>
        </w:rPr>
        <w:t>de directa e inmediata aplicaci</w:t>
      </w:r>
      <w:r>
        <w:rPr>
          <w:rFonts w:cs="Times New Roman"/>
          <w:spacing w:val="-4"/>
          <w:sz w:val="18"/>
          <w:szCs w:val="18"/>
          <w:lang w:val="es-ES_tradnl"/>
        </w:rPr>
        <w:t>ó</w:t>
      </w:r>
      <w:r>
        <w:rPr>
          <w:spacing w:val="-4"/>
          <w:sz w:val="18"/>
          <w:szCs w:val="18"/>
          <w:lang w:val="es-ES_tradnl"/>
        </w:rPr>
        <w:t xml:space="preserve">n por y ante cualquier </w:t>
      </w:r>
      <w:r>
        <w:rPr>
          <w:sz w:val="18"/>
          <w:szCs w:val="18"/>
          <w:lang w:val="es-ES_tradnl"/>
        </w:rPr>
        <w:t>servidora o servidor p</w:t>
      </w:r>
      <w:r>
        <w:rPr>
          <w:rFonts w:cs="Times New Roman"/>
          <w:sz w:val="18"/>
          <w:szCs w:val="18"/>
          <w:lang w:val="es-ES_tradnl"/>
        </w:rPr>
        <w:t>ú</w:t>
      </w:r>
      <w:r>
        <w:rPr>
          <w:sz w:val="18"/>
          <w:szCs w:val="18"/>
          <w:lang w:val="es-ES_tradnl"/>
        </w:rPr>
        <w:t xml:space="preserve">blico, administrativo o judicial, </w:t>
      </w:r>
      <w:r>
        <w:rPr>
          <w:spacing w:val="-4"/>
          <w:sz w:val="18"/>
          <w:szCs w:val="18"/>
          <w:lang w:val="es-ES_tradnl"/>
        </w:rPr>
        <w:t>de oficio o a petici</w:t>
      </w:r>
      <w:r>
        <w:rPr>
          <w:rFonts w:cs="Times New Roman"/>
          <w:spacing w:val="-4"/>
          <w:sz w:val="18"/>
          <w:szCs w:val="18"/>
          <w:lang w:val="es-ES_tradnl"/>
        </w:rPr>
        <w:t>ó</w:t>
      </w:r>
      <w:r>
        <w:rPr>
          <w:spacing w:val="-4"/>
          <w:sz w:val="18"/>
          <w:szCs w:val="18"/>
          <w:lang w:val="es-ES_tradnl"/>
        </w:rPr>
        <w:t>n de parte (</w:t>
      </w:r>
      <w:r>
        <w:rPr>
          <w:rFonts w:cs="Times New Roman"/>
          <w:spacing w:val="-4"/>
          <w:sz w:val="18"/>
          <w:szCs w:val="18"/>
          <w:lang w:val="es-ES_tradnl"/>
        </w:rPr>
        <w:t>…</w:t>
      </w:r>
      <w:r>
        <w:rPr>
          <w:spacing w:val="-4"/>
          <w:sz w:val="18"/>
          <w:szCs w:val="18"/>
          <w:lang w:val="es-ES_tradnl"/>
        </w:rPr>
        <w:t>)</w:t>
      </w:r>
      <w:r>
        <w:rPr>
          <w:rFonts w:cs="Times New Roman"/>
          <w:spacing w:val="-4"/>
          <w:sz w:val="18"/>
          <w:szCs w:val="18"/>
          <w:lang w:val="es-ES_tradnl"/>
        </w:rPr>
        <w:t>”</w:t>
      </w:r>
      <w:r>
        <w:rPr>
          <w:spacing w:val="-4"/>
          <w:sz w:val="18"/>
          <w:szCs w:val="18"/>
          <w:lang w:val="es-ES_tradnl"/>
        </w:rPr>
        <w:t xml:space="preserve">; en este sentido, las </w:t>
      </w:r>
      <w:r>
        <w:rPr>
          <w:spacing w:val="-7"/>
          <w:sz w:val="18"/>
          <w:szCs w:val="18"/>
          <w:lang w:val="es-ES_tradnl"/>
        </w:rPr>
        <w:t xml:space="preserve">normas constitucionales se deben respetar en todas las </w:t>
      </w:r>
      <w:r>
        <w:rPr>
          <w:spacing w:val="-6"/>
          <w:sz w:val="18"/>
          <w:szCs w:val="18"/>
          <w:lang w:val="es-ES_tradnl"/>
        </w:rPr>
        <w:t>instancias y etapas de los procesos judiciales tanto en materias ordinarias como en los procesos de garant</w:t>
      </w:r>
      <w:r>
        <w:rPr>
          <w:rFonts w:cs="Times New Roman"/>
          <w:spacing w:val="-6"/>
          <w:sz w:val="18"/>
          <w:szCs w:val="18"/>
          <w:lang w:val="es-ES_tradnl"/>
        </w:rPr>
        <w:t>í</w:t>
      </w:r>
      <w:r>
        <w:rPr>
          <w:spacing w:val="-6"/>
          <w:sz w:val="18"/>
          <w:szCs w:val="18"/>
          <w:lang w:val="es-ES_tradnl"/>
        </w:rPr>
        <w:t xml:space="preserve">as </w:t>
      </w:r>
      <w:r>
        <w:rPr>
          <w:spacing w:val="-5"/>
          <w:sz w:val="18"/>
          <w:szCs w:val="18"/>
          <w:lang w:val="es-ES_tradnl"/>
        </w:rPr>
        <w:t>jurisdiccionales, de naturaleza netamente constitucional.</w:t>
      </w:r>
    </w:p>
    <w:p w14:paraId="4F67BB9A" w14:textId="77777777" w:rsidR="00591D54" w:rsidRDefault="00591D54">
      <w:pPr>
        <w:shd w:val="clear" w:color="auto" w:fill="FFFFFF"/>
        <w:spacing w:before="192" w:line="216" w:lineRule="exact"/>
        <w:jc w:val="both"/>
      </w:pPr>
      <w:r>
        <w:rPr>
          <w:spacing w:val="-4"/>
          <w:sz w:val="18"/>
          <w:szCs w:val="18"/>
          <w:lang w:val="es-ES_tradnl"/>
        </w:rPr>
        <w:t>En efecto, el art</w:t>
      </w:r>
      <w:r>
        <w:rPr>
          <w:rFonts w:cs="Times New Roman"/>
          <w:spacing w:val="-4"/>
          <w:sz w:val="18"/>
          <w:szCs w:val="18"/>
          <w:lang w:val="es-ES_tradnl"/>
        </w:rPr>
        <w:t>í</w:t>
      </w:r>
      <w:r>
        <w:rPr>
          <w:spacing w:val="-4"/>
          <w:sz w:val="18"/>
          <w:szCs w:val="18"/>
          <w:lang w:val="es-ES_tradnl"/>
        </w:rPr>
        <w:t>culo 6 de la Ley Org</w:t>
      </w:r>
      <w:r>
        <w:rPr>
          <w:rFonts w:cs="Times New Roman"/>
          <w:spacing w:val="-4"/>
          <w:sz w:val="18"/>
          <w:szCs w:val="18"/>
          <w:lang w:val="es-ES_tradnl"/>
        </w:rPr>
        <w:t>á</w:t>
      </w:r>
      <w:r>
        <w:rPr>
          <w:spacing w:val="-4"/>
          <w:sz w:val="18"/>
          <w:szCs w:val="18"/>
          <w:lang w:val="es-ES_tradnl"/>
        </w:rPr>
        <w:t>nica de Garant</w:t>
      </w:r>
      <w:r>
        <w:rPr>
          <w:rFonts w:cs="Times New Roman"/>
          <w:spacing w:val="-4"/>
          <w:sz w:val="18"/>
          <w:szCs w:val="18"/>
          <w:lang w:val="es-ES_tradnl"/>
        </w:rPr>
        <w:t>í</w:t>
      </w:r>
      <w:r>
        <w:rPr>
          <w:spacing w:val="-4"/>
          <w:sz w:val="18"/>
          <w:szCs w:val="18"/>
          <w:lang w:val="es-ES_tradnl"/>
        </w:rPr>
        <w:t xml:space="preserve">as </w:t>
      </w:r>
      <w:r>
        <w:rPr>
          <w:spacing w:val="-2"/>
          <w:sz w:val="18"/>
          <w:szCs w:val="18"/>
          <w:lang w:val="es-ES_tradnl"/>
        </w:rPr>
        <w:t xml:space="preserve">Jurisdiccionales y Control Constitucional, manifiesta: </w:t>
      </w:r>
      <w:r>
        <w:rPr>
          <w:rFonts w:cs="Times New Roman"/>
          <w:spacing w:val="-4"/>
          <w:sz w:val="18"/>
          <w:szCs w:val="18"/>
          <w:lang w:val="es-ES_tradnl"/>
        </w:rPr>
        <w:t>“</w:t>
      </w:r>
      <w:r>
        <w:rPr>
          <w:spacing w:val="-4"/>
          <w:sz w:val="18"/>
          <w:szCs w:val="18"/>
          <w:lang w:val="es-ES_tradnl"/>
        </w:rPr>
        <w:t>Las garant</w:t>
      </w:r>
      <w:r>
        <w:rPr>
          <w:rFonts w:cs="Times New Roman"/>
          <w:spacing w:val="-4"/>
          <w:sz w:val="18"/>
          <w:szCs w:val="18"/>
          <w:lang w:val="es-ES_tradnl"/>
        </w:rPr>
        <w:t>í</w:t>
      </w:r>
      <w:r>
        <w:rPr>
          <w:spacing w:val="-4"/>
          <w:sz w:val="18"/>
          <w:szCs w:val="18"/>
          <w:lang w:val="es-ES_tradnl"/>
        </w:rPr>
        <w:t xml:space="preserve">as jurisdiccionales tienen como finalidad la </w:t>
      </w:r>
      <w:r>
        <w:rPr>
          <w:spacing w:val="-8"/>
          <w:sz w:val="18"/>
          <w:szCs w:val="18"/>
          <w:lang w:val="es-ES_tradnl"/>
        </w:rPr>
        <w:t>protecci</w:t>
      </w:r>
      <w:r>
        <w:rPr>
          <w:rFonts w:cs="Times New Roman"/>
          <w:spacing w:val="-8"/>
          <w:sz w:val="18"/>
          <w:szCs w:val="18"/>
          <w:lang w:val="es-ES_tradnl"/>
        </w:rPr>
        <w:t>ó</w:t>
      </w:r>
      <w:r>
        <w:rPr>
          <w:spacing w:val="-8"/>
          <w:sz w:val="18"/>
          <w:szCs w:val="18"/>
          <w:lang w:val="es-ES_tradnl"/>
        </w:rPr>
        <w:t xml:space="preserve">n eficaz e inmediata de los derechos reconocidos </w:t>
      </w:r>
      <w:r>
        <w:rPr>
          <w:spacing w:val="-4"/>
          <w:sz w:val="18"/>
          <w:szCs w:val="18"/>
          <w:lang w:val="es-ES_tradnl"/>
        </w:rPr>
        <w:t>en la Constituci</w:t>
      </w:r>
      <w:r>
        <w:rPr>
          <w:rFonts w:cs="Times New Roman"/>
          <w:spacing w:val="-4"/>
          <w:sz w:val="18"/>
          <w:szCs w:val="18"/>
          <w:lang w:val="es-ES_tradnl"/>
        </w:rPr>
        <w:t>ó</w:t>
      </w:r>
      <w:r>
        <w:rPr>
          <w:spacing w:val="-4"/>
          <w:sz w:val="18"/>
          <w:szCs w:val="18"/>
          <w:lang w:val="es-ES_tradnl"/>
        </w:rPr>
        <w:t xml:space="preserve">n y en los instrumentos internacionales </w:t>
      </w:r>
      <w:r>
        <w:rPr>
          <w:spacing w:val="-5"/>
          <w:sz w:val="18"/>
          <w:szCs w:val="18"/>
          <w:lang w:val="es-ES_tradnl"/>
        </w:rPr>
        <w:t>de derechos humanos, la declaraci</w:t>
      </w:r>
      <w:r>
        <w:rPr>
          <w:rFonts w:cs="Times New Roman"/>
          <w:spacing w:val="-5"/>
          <w:sz w:val="18"/>
          <w:szCs w:val="18"/>
          <w:lang w:val="es-ES_tradnl"/>
        </w:rPr>
        <w:t>ó</w:t>
      </w:r>
      <w:r>
        <w:rPr>
          <w:spacing w:val="-5"/>
          <w:sz w:val="18"/>
          <w:szCs w:val="18"/>
          <w:lang w:val="es-ES_tradnl"/>
        </w:rPr>
        <w:t>n de la violaci</w:t>
      </w:r>
      <w:r>
        <w:rPr>
          <w:rFonts w:cs="Times New Roman"/>
          <w:spacing w:val="-5"/>
          <w:sz w:val="18"/>
          <w:szCs w:val="18"/>
          <w:lang w:val="es-ES_tradnl"/>
        </w:rPr>
        <w:t>ó</w:t>
      </w:r>
      <w:r>
        <w:rPr>
          <w:spacing w:val="-5"/>
          <w:sz w:val="18"/>
          <w:szCs w:val="18"/>
          <w:lang w:val="es-ES_tradnl"/>
        </w:rPr>
        <w:t xml:space="preserve">n de </w:t>
      </w:r>
      <w:r>
        <w:rPr>
          <w:spacing w:val="-6"/>
          <w:sz w:val="18"/>
          <w:szCs w:val="18"/>
          <w:lang w:val="es-ES_tradnl"/>
        </w:rPr>
        <w:t>uno o varios derechos, as</w:t>
      </w:r>
      <w:r>
        <w:rPr>
          <w:rFonts w:cs="Times New Roman"/>
          <w:spacing w:val="-6"/>
          <w:sz w:val="18"/>
          <w:szCs w:val="18"/>
          <w:lang w:val="es-ES_tradnl"/>
        </w:rPr>
        <w:t>í</w:t>
      </w:r>
      <w:r>
        <w:rPr>
          <w:spacing w:val="-6"/>
          <w:sz w:val="18"/>
          <w:szCs w:val="18"/>
          <w:lang w:val="es-ES_tradnl"/>
        </w:rPr>
        <w:t xml:space="preserve"> como la reparaci</w:t>
      </w:r>
      <w:r>
        <w:rPr>
          <w:rFonts w:cs="Times New Roman"/>
          <w:spacing w:val="-6"/>
          <w:sz w:val="18"/>
          <w:szCs w:val="18"/>
          <w:lang w:val="es-ES_tradnl"/>
        </w:rPr>
        <w:t>ó</w:t>
      </w:r>
      <w:r>
        <w:rPr>
          <w:spacing w:val="-6"/>
          <w:sz w:val="18"/>
          <w:szCs w:val="18"/>
          <w:lang w:val="es-ES_tradnl"/>
        </w:rPr>
        <w:t xml:space="preserve">n integral de </w:t>
      </w:r>
      <w:r>
        <w:rPr>
          <w:spacing w:val="-3"/>
          <w:sz w:val="18"/>
          <w:szCs w:val="18"/>
          <w:lang w:val="es-ES_tradnl"/>
        </w:rPr>
        <w:t>los da</w:t>
      </w:r>
      <w:r>
        <w:rPr>
          <w:rFonts w:cs="Times New Roman"/>
          <w:spacing w:val="-3"/>
          <w:sz w:val="18"/>
          <w:szCs w:val="18"/>
          <w:lang w:val="es-ES_tradnl"/>
        </w:rPr>
        <w:t>ñ</w:t>
      </w:r>
      <w:r>
        <w:rPr>
          <w:spacing w:val="-3"/>
          <w:sz w:val="18"/>
          <w:szCs w:val="18"/>
          <w:lang w:val="es-ES_tradnl"/>
        </w:rPr>
        <w:t>os causados por su violaci</w:t>
      </w:r>
      <w:r>
        <w:rPr>
          <w:rFonts w:cs="Times New Roman"/>
          <w:spacing w:val="-3"/>
          <w:sz w:val="18"/>
          <w:szCs w:val="18"/>
          <w:lang w:val="es-ES_tradnl"/>
        </w:rPr>
        <w:t>ó</w:t>
      </w:r>
      <w:r>
        <w:rPr>
          <w:spacing w:val="-3"/>
          <w:sz w:val="18"/>
          <w:szCs w:val="18"/>
          <w:lang w:val="es-ES_tradnl"/>
        </w:rPr>
        <w:t>n (</w:t>
      </w:r>
      <w:r>
        <w:rPr>
          <w:rFonts w:cs="Times New Roman"/>
          <w:spacing w:val="-3"/>
          <w:sz w:val="18"/>
          <w:szCs w:val="18"/>
          <w:lang w:val="es-ES_tradnl"/>
        </w:rPr>
        <w:t>…</w:t>
      </w:r>
      <w:r>
        <w:rPr>
          <w:spacing w:val="-3"/>
          <w:sz w:val="18"/>
          <w:szCs w:val="18"/>
          <w:lang w:val="es-ES_tradnl"/>
        </w:rPr>
        <w:t>)</w:t>
      </w:r>
      <w:r>
        <w:rPr>
          <w:rFonts w:cs="Times New Roman"/>
          <w:spacing w:val="-3"/>
          <w:sz w:val="18"/>
          <w:szCs w:val="18"/>
          <w:lang w:val="es-ES_tradnl"/>
        </w:rPr>
        <w:t>”</w:t>
      </w:r>
      <w:r>
        <w:rPr>
          <w:spacing w:val="-3"/>
          <w:sz w:val="18"/>
          <w:szCs w:val="18"/>
          <w:lang w:val="es-ES_tradnl"/>
        </w:rPr>
        <w:t>, vulneraci</w:t>
      </w:r>
      <w:r>
        <w:rPr>
          <w:rFonts w:cs="Times New Roman"/>
          <w:spacing w:val="-3"/>
          <w:sz w:val="18"/>
          <w:szCs w:val="18"/>
          <w:lang w:val="es-ES_tradnl"/>
        </w:rPr>
        <w:t>ó</w:t>
      </w:r>
      <w:r>
        <w:rPr>
          <w:spacing w:val="-3"/>
          <w:sz w:val="18"/>
          <w:szCs w:val="18"/>
          <w:lang w:val="es-ES_tradnl"/>
        </w:rPr>
        <w:t xml:space="preserve">n </w:t>
      </w:r>
      <w:r>
        <w:rPr>
          <w:spacing w:val="-2"/>
          <w:sz w:val="18"/>
          <w:szCs w:val="18"/>
          <w:lang w:val="es-ES_tradnl"/>
        </w:rPr>
        <w:t xml:space="preserve">que puede presentarse dentro de cualquier proceso </w:t>
      </w:r>
      <w:r>
        <w:rPr>
          <w:spacing w:val="-3"/>
          <w:sz w:val="18"/>
          <w:szCs w:val="18"/>
          <w:lang w:val="es-ES_tradnl"/>
        </w:rPr>
        <w:t xml:space="preserve">judicial ordinario o constitucional sin importar la materia </w:t>
      </w:r>
      <w:r>
        <w:rPr>
          <w:spacing w:val="-6"/>
          <w:sz w:val="18"/>
          <w:szCs w:val="18"/>
          <w:lang w:val="es-ES_tradnl"/>
        </w:rPr>
        <w:t>de que se trate. Por tanto, la protecci</w:t>
      </w:r>
      <w:r>
        <w:rPr>
          <w:rFonts w:cs="Times New Roman"/>
          <w:spacing w:val="-6"/>
          <w:sz w:val="18"/>
          <w:szCs w:val="18"/>
          <w:lang w:val="es-ES_tradnl"/>
        </w:rPr>
        <w:t>ó</w:t>
      </w:r>
      <w:r>
        <w:rPr>
          <w:spacing w:val="-6"/>
          <w:sz w:val="18"/>
          <w:szCs w:val="18"/>
          <w:lang w:val="es-ES_tradnl"/>
        </w:rPr>
        <w:t xml:space="preserve">n de los derechos </w:t>
      </w:r>
      <w:r>
        <w:rPr>
          <w:sz w:val="18"/>
          <w:szCs w:val="18"/>
          <w:lang w:val="es-ES_tradnl"/>
        </w:rPr>
        <w:t>constitucionales dentro de una acci</w:t>
      </w:r>
      <w:r>
        <w:rPr>
          <w:rFonts w:cs="Times New Roman"/>
          <w:sz w:val="18"/>
          <w:szCs w:val="18"/>
          <w:lang w:val="es-ES_tradnl"/>
        </w:rPr>
        <w:t>ó</w:t>
      </w:r>
      <w:r>
        <w:rPr>
          <w:sz w:val="18"/>
          <w:szCs w:val="18"/>
          <w:lang w:val="es-ES_tradnl"/>
        </w:rPr>
        <w:t xml:space="preserve">n extraordinaria </w:t>
      </w:r>
      <w:r>
        <w:rPr>
          <w:spacing w:val="-5"/>
          <w:sz w:val="18"/>
          <w:szCs w:val="18"/>
          <w:lang w:val="es-ES_tradnl"/>
        </w:rPr>
        <w:t>de protecci</w:t>
      </w:r>
      <w:r>
        <w:rPr>
          <w:rFonts w:cs="Times New Roman"/>
          <w:spacing w:val="-5"/>
          <w:sz w:val="18"/>
          <w:szCs w:val="18"/>
          <w:lang w:val="es-ES_tradnl"/>
        </w:rPr>
        <w:t>ó</w:t>
      </w:r>
      <w:r>
        <w:rPr>
          <w:spacing w:val="-5"/>
          <w:sz w:val="18"/>
          <w:szCs w:val="18"/>
          <w:lang w:val="es-ES_tradnl"/>
        </w:rPr>
        <w:t xml:space="preserve">n, que materialmente revisa cuestiones de </w:t>
      </w:r>
      <w:r>
        <w:rPr>
          <w:spacing w:val="-4"/>
          <w:sz w:val="18"/>
          <w:szCs w:val="18"/>
          <w:lang w:val="es-ES_tradnl"/>
        </w:rPr>
        <w:t xml:space="preserve">constitucionalidad mal puede realizarse sobre aspectos </w:t>
      </w:r>
      <w:r>
        <w:rPr>
          <w:spacing w:val="-8"/>
          <w:sz w:val="18"/>
          <w:szCs w:val="18"/>
          <w:lang w:val="es-ES_tradnl"/>
        </w:rPr>
        <w:t xml:space="preserve">de mera legalidad, ya que son observados por los </w:t>
      </w:r>
      <w:r>
        <w:rPr>
          <w:rFonts w:cs="Times New Roman"/>
          <w:spacing w:val="-8"/>
          <w:sz w:val="18"/>
          <w:szCs w:val="18"/>
          <w:lang w:val="es-ES_tradnl"/>
        </w:rPr>
        <w:t>ó</w:t>
      </w:r>
      <w:r>
        <w:rPr>
          <w:spacing w:val="-8"/>
          <w:sz w:val="18"/>
          <w:szCs w:val="18"/>
          <w:lang w:val="es-ES_tradnl"/>
        </w:rPr>
        <w:t xml:space="preserve">rganos </w:t>
      </w:r>
      <w:r>
        <w:rPr>
          <w:sz w:val="18"/>
          <w:szCs w:val="18"/>
          <w:lang w:val="es-ES_tradnl"/>
        </w:rPr>
        <w:t>jurisdiccionales competentes dentro de las materias y</w:t>
      </w:r>
    </w:p>
    <w:p w14:paraId="4F67BB9B" w14:textId="77777777" w:rsidR="00591D54" w:rsidRDefault="00591D54">
      <w:pPr>
        <w:shd w:val="clear" w:color="auto" w:fill="FFFFFF"/>
        <w:spacing w:line="216" w:lineRule="exact"/>
        <w:ind w:right="5"/>
        <w:jc w:val="both"/>
      </w:pPr>
      <w:r>
        <w:br w:type="column"/>
      </w:r>
      <w:r>
        <w:rPr>
          <w:spacing w:val="-5"/>
          <w:sz w:val="18"/>
          <w:szCs w:val="18"/>
          <w:lang w:val="es-ES_tradnl"/>
        </w:rPr>
        <w:t>en las instancias correspondientes, e incurrir en este desprop</w:t>
      </w:r>
      <w:r>
        <w:rPr>
          <w:rFonts w:cs="Times New Roman"/>
          <w:spacing w:val="-5"/>
          <w:sz w:val="18"/>
          <w:szCs w:val="18"/>
          <w:lang w:val="es-ES_tradnl"/>
        </w:rPr>
        <w:t>ó</w:t>
      </w:r>
      <w:r>
        <w:rPr>
          <w:spacing w:val="-5"/>
          <w:sz w:val="18"/>
          <w:szCs w:val="18"/>
          <w:lang w:val="es-ES_tradnl"/>
        </w:rPr>
        <w:t>sito supondr</w:t>
      </w:r>
      <w:r>
        <w:rPr>
          <w:rFonts w:cs="Times New Roman"/>
          <w:spacing w:val="-5"/>
          <w:sz w:val="18"/>
          <w:szCs w:val="18"/>
          <w:lang w:val="es-ES_tradnl"/>
        </w:rPr>
        <w:t>í</w:t>
      </w:r>
      <w:r>
        <w:rPr>
          <w:spacing w:val="-5"/>
          <w:sz w:val="18"/>
          <w:szCs w:val="18"/>
          <w:lang w:val="es-ES_tradnl"/>
        </w:rPr>
        <w:t>a convertir a esta garant</w:t>
      </w:r>
      <w:r>
        <w:rPr>
          <w:rFonts w:cs="Times New Roman"/>
          <w:spacing w:val="-5"/>
          <w:sz w:val="18"/>
          <w:szCs w:val="18"/>
          <w:lang w:val="es-ES_tradnl"/>
        </w:rPr>
        <w:t>í</w:t>
      </w:r>
      <w:r>
        <w:rPr>
          <w:spacing w:val="-5"/>
          <w:sz w:val="18"/>
          <w:szCs w:val="18"/>
          <w:lang w:val="es-ES_tradnl"/>
        </w:rPr>
        <w:t xml:space="preserve">a en otra </w:t>
      </w:r>
      <w:r>
        <w:rPr>
          <w:spacing w:val="-6"/>
          <w:sz w:val="18"/>
          <w:szCs w:val="18"/>
          <w:lang w:val="es-ES_tradnl"/>
        </w:rPr>
        <w:t>instancia ordinaria, lo cual a toda costa se debe evitar.</w:t>
      </w:r>
    </w:p>
    <w:p w14:paraId="4F67BB9C" w14:textId="77777777" w:rsidR="00591D54" w:rsidRDefault="00591D54">
      <w:pPr>
        <w:shd w:val="clear" w:color="auto" w:fill="FFFFFF"/>
        <w:spacing w:before="197" w:line="216" w:lineRule="exact"/>
        <w:ind w:right="5"/>
        <w:jc w:val="both"/>
      </w:pPr>
      <w:r>
        <w:rPr>
          <w:spacing w:val="-5"/>
          <w:sz w:val="18"/>
          <w:szCs w:val="18"/>
          <w:lang w:val="es-ES_tradnl"/>
        </w:rPr>
        <w:t>En resumen, la intervenci</w:t>
      </w:r>
      <w:r>
        <w:rPr>
          <w:rFonts w:cs="Times New Roman"/>
          <w:spacing w:val="-5"/>
          <w:sz w:val="18"/>
          <w:szCs w:val="18"/>
          <w:lang w:val="es-ES_tradnl"/>
        </w:rPr>
        <w:t>ó</w:t>
      </w:r>
      <w:r>
        <w:rPr>
          <w:spacing w:val="-5"/>
          <w:sz w:val="18"/>
          <w:szCs w:val="18"/>
          <w:lang w:val="es-ES_tradnl"/>
        </w:rPr>
        <w:t>n de este Organismo est</w:t>
      </w:r>
      <w:r>
        <w:rPr>
          <w:rFonts w:cs="Times New Roman"/>
          <w:spacing w:val="-5"/>
          <w:sz w:val="18"/>
          <w:szCs w:val="18"/>
          <w:lang w:val="es-ES_tradnl"/>
        </w:rPr>
        <w:t xml:space="preserve">á </w:t>
      </w:r>
      <w:r>
        <w:rPr>
          <w:spacing w:val="-8"/>
          <w:sz w:val="18"/>
          <w:szCs w:val="18"/>
          <w:lang w:val="es-ES_tradnl"/>
        </w:rPr>
        <w:t>destinada a conocer asuntos de car</w:t>
      </w:r>
      <w:r>
        <w:rPr>
          <w:rFonts w:cs="Times New Roman"/>
          <w:spacing w:val="-8"/>
          <w:sz w:val="18"/>
          <w:szCs w:val="18"/>
          <w:lang w:val="es-ES_tradnl"/>
        </w:rPr>
        <w:t>á</w:t>
      </w:r>
      <w:r>
        <w:rPr>
          <w:spacing w:val="-8"/>
          <w:sz w:val="18"/>
          <w:szCs w:val="18"/>
          <w:lang w:val="es-ES_tradnl"/>
        </w:rPr>
        <w:t xml:space="preserve">cter netamente </w:t>
      </w:r>
      <w:r>
        <w:rPr>
          <w:spacing w:val="-5"/>
          <w:sz w:val="18"/>
          <w:szCs w:val="18"/>
          <w:lang w:val="es-ES_tradnl"/>
        </w:rPr>
        <w:t>constitucionales; en estas circunstancias, su actuaci</w:t>
      </w:r>
      <w:r>
        <w:rPr>
          <w:rFonts w:cs="Times New Roman"/>
          <w:spacing w:val="-5"/>
          <w:sz w:val="18"/>
          <w:szCs w:val="18"/>
          <w:lang w:val="es-ES_tradnl"/>
        </w:rPr>
        <w:t>ó</w:t>
      </w:r>
      <w:r>
        <w:rPr>
          <w:spacing w:val="-5"/>
          <w:sz w:val="18"/>
          <w:szCs w:val="18"/>
          <w:lang w:val="es-ES_tradnl"/>
        </w:rPr>
        <w:t xml:space="preserve">n </w:t>
      </w:r>
      <w:r>
        <w:rPr>
          <w:spacing w:val="-6"/>
          <w:sz w:val="18"/>
          <w:szCs w:val="18"/>
          <w:lang w:val="es-ES_tradnl"/>
        </w:rPr>
        <w:t>queda proscrita para el estudio de cuestiones que ata</w:t>
      </w:r>
      <w:r>
        <w:rPr>
          <w:rFonts w:cs="Times New Roman"/>
          <w:spacing w:val="-6"/>
          <w:sz w:val="18"/>
          <w:szCs w:val="18"/>
          <w:lang w:val="es-ES_tradnl"/>
        </w:rPr>
        <w:t>ñ</w:t>
      </w:r>
      <w:r>
        <w:rPr>
          <w:spacing w:val="-6"/>
          <w:sz w:val="18"/>
          <w:szCs w:val="18"/>
          <w:lang w:val="es-ES_tradnl"/>
        </w:rPr>
        <w:t xml:space="preserve">en a la legalidad, cuya competencia corresponde a la justicia </w:t>
      </w:r>
      <w:r>
        <w:rPr>
          <w:spacing w:val="-7"/>
          <w:sz w:val="18"/>
          <w:szCs w:val="18"/>
          <w:lang w:val="es-ES_tradnl"/>
        </w:rPr>
        <w:t>ordinaria. Vale decir, que la interposici</w:t>
      </w:r>
      <w:r>
        <w:rPr>
          <w:rFonts w:cs="Times New Roman"/>
          <w:spacing w:val="-7"/>
          <w:sz w:val="18"/>
          <w:szCs w:val="18"/>
          <w:lang w:val="es-ES_tradnl"/>
        </w:rPr>
        <w:t>ó</w:t>
      </w:r>
      <w:r>
        <w:rPr>
          <w:spacing w:val="-7"/>
          <w:sz w:val="18"/>
          <w:szCs w:val="18"/>
          <w:lang w:val="es-ES_tradnl"/>
        </w:rPr>
        <w:t>n de la garant</w:t>
      </w:r>
      <w:r>
        <w:rPr>
          <w:rFonts w:cs="Times New Roman"/>
          <w:spacing w:val="-7"/>
          <w:sz w:val="18"/>
          <w:szCs w:val="18"/>
          <w:lang w:val="es-ES_tradnl"/>
        </w:rPr>
        <w:t>í</w:t>
      </w:r>
      <w:r>
        <w:rPr>
          <w:spacing w:val="-7"/>
          <w:sz w:val="18"/>
          <w:szCs w:val="18"/>
          <w:lang w:val="es-ES_tradnl"/>
        </w:rPr>
        <w:t xml:space="preserve">a de </w:t>
      </w:r>
      <w:r>
        <w:rPr>
          <w:spacing w:val="-9"/>
          <w:sz w:val="18"/>
          <w:szCs w:val="18"/>
          <w:lang w:val="es-ES_tradnl"/>
        </w:rPr>
        <w:t>acci</w:t>
      </w:r>
      <w:r>
        <w:rPr>
          <w:rFonts w:cs="Times New Roman"/>
          <w:spacing w:val="-9"/>
          <w:sz w:val="18"/>
          <w:szCs w:val="18"/>
          <w:lang w:val="es-ES_tradnl"/>
        </w:rPr>
        <w:t>ó</w:t>
      </w:r>
      <w:r>
        <w:rPr>
          <w:spacing w:val="-9"/>
          <w:sz w:val="18"/>
          <w:szCs w:val="18"/>
          <w:lang w:val="es-ES_tradnl"/>
        </w:rPr>
        <w:t>n extraordinaria de protecci</w:t>
      </w:r>
      <w:r>
        <w:rPr>
          <w:rFonts w:cs="Times New Roman"/>
          <w:spacing w:val="-9"/>
          <w:sz w:val="18"/>
          <w:szCs w:val="18"/>
          <w:lang w:val="es-ES_tradnl"/>
        </w:rPr>
        <w:t>ó</w:t>
      </w:r>
      <w:r>
        <w:rPr>
          <w:spacing w:val="-9"/>
          <w:sz w:val="18"/>
          <w:szCs w:val="18"/>
          <w:lang w:val="es-ES_tradnl"/>
        </w:rPr>
        <w:t xml:space="preserve">n, no debe ser pretendida </w:t>
      </w:r>
      <w:r>
        <w:rPr>
          <w:spacing w:val="-1"/>
          <w:sz w:val="18"/>
          <w:szCs w:val="18"/>
          <w:lang w:val="es-ES_tradnl"/>
        </w:rPr>
        <w:t xml:space="preserve">como una recurrencia a </w:t>
      </w:r>
      <w:r>
        <w:rPr>
          <w:rFonts w:cs="Times New Roman"/>
          <w:spacing w:val="-1"/>
          <w:sz w:val="18"/>
          <w:szCs w:val="18"/>
          <w:lang w:val="es-ES_tradnl"/>
        </w:rPr>
        <w:t>“</w:t>
      </w:r>
      <w:r>
        <w:rPr>
          <w:spacing w:val="-1"/>
          <w:sz w:val="18"/>
          <w:szCs w:val="18"/>
          <w:lang w:val="es-ES_tradnl"/>
        </w:rPr>
        <w:t>nueva instancia judicial</w:t>
      </w:r>
      <w:r>
        <w:rPr>
          <w:rFonts w:cs="Times New Roman"/>
          <w:spacing w:val="-1"/>
          <w:sz w:val="18"/>
          <w:szCs w:val="18"/>
          <w:lang w:val="es-ES_tradnl"/>
        </w:rPr>
        <w:t>”</w:t>
      </w:r>
      <w:r>
        <w:rPr>
          <w:spacing w:val="-1"/>
          <w:sz w:val="18"/>
          <w:szCs w:val="18"/>
          <w:lang w:val="es-ES_tradnl"/>
        </w:rPr>
        <w:t xml:space="preserve">. En </w:t>
      </w:r>
      <w:r>
        <w:rPr>
          <w:spacing w:val="-3"/>
          <w:sz w:val="18"/>
          <w:szCs w:val="18"/>
          <w:lang w:val="es-ES_tradnl"/>
        </w:rPr>
        <w:t xml:space="preserve">este contexto, la Corte Constitucional tiene la facultad </w:t>
      </w:r>
      <w:r>
        <w:rPr>
          <w:spacing w:val="-4"/>
          <w:sz w:val="18"/>
          <w:szCs w:val="18"/>
          <w:lang w:val="es-ES_tradnl"/>
        </w:rPr>
        <w:t>para examinar en forma directa la supuesta vulneraci</w:t>
      </w:r>
      <w:r>
        <w:rPr>
          <w:rFonts w:cs="Times New Roman"/>
          <w:spacing w:val="-4"/>
          <w:sz w:val="18"/>
          <w:szCs w:val="18"/>
          <w:lang w:val="es-ES_tradnl"/>
        </w:rPr>
        <w:t>ó</w:t>
      </w:r>
      <w:r>
        <w:rPr>
          <w:spacing w:val="-4"/>
          <w:sz w:val="18"/>
          <w:szCs w:val="18"/>
          <w:lang w:val="es-ES_tradnl"/>
        </w:rPr>
        <w:t xml:space="preserve">n de derechos y normas del debido proceso constitucional </w:t>
      </w:r>
      <w:r>
        <w:rPr>
          <w:sz w:val="18"/>
          <w:szCs w:val="18"/>
          <w:lang w:val="es-ES_tradnl"/>
        </w:rPr>
        <w:t>y de otros derechos garantizados en la Constituci</w:t>
      </w:r>
      <w:r>
        <w:rPr>
          <w:rFonts w:cs="Times New Roman"/>
          <w:sz w:val="18"/>
          <w:szCs w:val="18"/>
          <w:lang w:val="es-ES_tradnl"/>
        </w:rPr>
        <w:t>ó</w:t>
      </w:r>
      <w:r>
        <w:rPr>
          <w:sz w:val="18"/>
          <w:szCs w:val="18"/>
          <w:lang w:val="es-ES_tradnl"/>
        </w:rPr>
        <w:t xml:space="preserve">n </w:t>
      </w:r>
      <w:r>
        <w:rPr>
          <w:spacing w:val="-1"/>
          <w:sz w:val="18"/>
          <w:szCs w:val="18"/>
          <w:lang w:val="es-ES_tradnl"/>
        </w:rPr>
        <w:t>de la Rep</w:t>
      </w:r>
      <w:r>
        <w:rPr>
          <w:rFonts w:cs="Times New Roman"/>
          <w:spacing w:val="-1"/>
          <w:sz w:val="18"/>
          <w:szCs w:val="18"/>
          <w:lang w:val="es-ES_tradnl"/>
        </w:rPr>
        <w:t>ú</w:t>
      </w:r>
      <w:r>
        <w:rPr>
          <w:spacing w:val="-1"/>
          <w:sz w:val="18"/>
          <w:szCs w:val="18"/>
          <w:lang w:val="es-ES_tradnl"/>
        </w:rPr>
        <w:t xml:space="preserve">blica y en los Instrumentos Internacionales </w:t>
      </w:r>
      <w:r>
        <w:rPr>
          <w:sz w:val="18"/>
          <w:szCs w:val="18"/>
          <w:lang w:val="es-ES_tradnl"/>
        </w:rPr>
        <w:t>de Protecci</w:t>
      </w:r>
      <w:r>
        <w:rPr>
          <w:rFonts w:cs="Times New Roman"/>
          <w:sz w:val="18"/>
          <w:szCs w:val="18"/>
          <w:lang w:val="es-ES_tradnl"/>
        </w:rPr>
        <w:t>ó</w:t>
      </w:r>
      <w:r>
        <w:rPr>
          <w:sz w:val="18"/>
          <w:szCs w:val="18"/>
          <w:lang w:val="es-ES_tradnl"/>
        </w:rPr>
        <w:t xml:space="preserve">n de los Derechos Humanos, es decir, </w:t>
      </w:r>
      <w:r>
        <w:rPr>
          <w:spacing w:val="-6"/>
          <w:sz w:val="18"/>
          <w:szCs w:val="18"/>
          <w:lang w:val="es-ES_tradnl"/>
        </w:rPr>
        <w:t xml:space="preserve">le corresponde sustancialmente a esta Magistratura </w:t>
      </w:r>
      <w:r>
        <w:rPr>
          <w:spacing w:val="-7"/>
          <w:sz w:val="18"/>
          <w:szCs w:val="18"/>
          <w:lang w:val="es-ES_tradnl"/>
        </w:rPr>
        <w:t>Constitucional verificar y asegurar que en los procesos se respeten los derechos y garant</w:t>
      </w:r>
      <w:r>
        <w:rPr>
          <w:rFonts w:cs="Times New Roman"/>
          <w:spacing w:val="-7"/>
          <w:sz w:val="18"/>
          <w:szCs w:val="18"/>
          <w:lang w:val="es-ES_tradnl"/>
        </w:rPr>
        <w:t>í</w:t>
      </w:r>
      <w:r>
        <w:rPr>
          <w:spacing w:val="-7"/>
          <w:sz w:val="18"/>
          <w:szCs w:val="18"/>
          <w:lang w:val="es-ES_tradnl"/>
        </w:rPr>
        <w:t>as constitucionales.</w:t>
      </w:r>
    </w:p>
    <w:p w14:paraId="4F67BB9D" w14:textId="77777777" w:rsidR="00591D54" w:rsidRDefault="00591D54">
      <w:pPr>
        <w:shd w:val="clear" w:color="auto" w:fill="FFFFFF"/>
        <w:spacing w:before="192"/>
      </w:pPr>
      <w:r>
        <w:rPr>
          <w:b/>
          <w:bCs/>
          <w:spacing w:val="-7"/>
          <w:sz w:val="18"/>
          <w:szCs w:val="18"/>
          <w:lang w:val="es-ES_tradnl"/>
        </w:rPr>
        <w:t>Determinaci</w:t>
      </w:r>
      <w:r>
        <w:rPr>
          <w:rFonts w:cs="Times New Roman"/>
          <w:b/>
          <w:bCs/>
          <w:spacing w:val="-7"/>
          <w:sz w:val="18"/>
          <w:szCs w:val="18"/>
          <w:lang w:val="es-ES_tradnl"/>
        </w:rPr>
        <w:t>ó</w:t>
      </w:r>
      <w:r>
        <w:rPr>
          <w:b/>
          <w:bCs/>
          <w:spacing w:val="-7"/>
          <w:sz w:val="18"/>
          <w:szCs w:val="18"/>
          <w:lang w:val="es-ES_tradnl"/>
        </w:rPr>
        <w:t>n de los problemas jur</w:t>
      </w:r>
      <w:r>
        <w:rPr>
          <w:rFonts w:cs="Times New Roman"/>
          <w:b/>
          <w:bCs/>
          <w:spacing w:val="-7"/>
          <w:sz w:val="18"/>
          <w:szCs w:val="18"/>
          <w:lang w:val="es-ES_tradnl"/>
        </w:rPr>
        <w:t>í</w:t>
      </w:r>
      <w:r>
        <w:rPr>
          <w:b/>
          <w:bCs/>
          <w:spacing w:val="-7"/>
          <w:sz w:val="18"/>
          <w:szCs w:val="18"/>
          <w:lang w:val="es-ES_tradnl"/>
        </w:rPr>
        <w:t>dicos</w:t>
      </w:r>
    </w:p>
    <w:p w14:paraId="4F67BB9E" w14:textId="77777777" w:rsidR="00591D54" w:rsidRDefault="00591D54">
      <w:pPr>
        <w:shd w:val="clear" w:color="auto" w:fill="FFFFFF"/>
        <w:spacing w:before="197" w:line="216" w:lineRule="exact"/>
        <w:ind w:right="5"/>
        <w:jc w:val="both"/>
      </w:pPr>
      <w:r>
        <w:rPr>
          <w:spacing w:val="-4"/>
          <w:sz w:val="18"/>
          <w:szCs w:val="18"/>
          <w:lang w:val="es-ES_tradnl"/>
        </w:rPr>
        <w:t>La Corte Constitucional en el presente caso, deber</w:t>
      </w:r>
      <w:r>
        <w:rPr>
          <w:rFonts w:cs="Times New Roman"/>
          <w:spacing w:val="-4"/>
          <w:sz w:val="18"/>
          <w:szCs w:val="18"/>
          <w:lang w:val="es-ES_tradnl"/>
        </w:rPr>
        <w:t xml:space="preserve">á </w:t>
      </w:r>
      <w:r>
        <w:rPr>
          <w:spacing w:val="-6"/>
          <w:sz w:val="18"/>
          <w:szCs w:val="18"/>
          <w:lang w:val="es-ES_tradnl"/>
        </w:rPr>
        <w:t xml:space="preserve">establecer si la sentencia impugnada ha vulnerado los </w:t>
      </w:r>
      <w:r>
        <w:rPr>
          <w:spacing w:val="-3"/>
          <w:sz w:val="18"/>
          <w:szCs w:val="18"/>
          <w:lang w:val="es-ES_tradnl"/>
        </w:rPr>
        <w:t xml:space="preserve">derechos constitucionales alegados por el legitimado </w:t>
      </w:r>
      <w:r>
        <w:rPr>
          <w:spacing w:val="-6"/>
          <w:sz w:val="18"/>
          <w:szCs w:val="18"/>
          <w:lang w:val="es-ES_tradnl"/>
        </w:rPr>
        <w:t xml:space="preserve">activo en su demanda, ante lo cual, plantea los siguientes </w:t>
      </w:r>
      <w:r>
        <w:rPr>
          <w:sz w:val="18"/>
          <w:szCs w:val="18"/>
          <w:lang w:val="es-ES_tradnl"/>
        </w:rPr>
        <w:t>problemas jur</w:t>
      </w:r>
      <w:r>
        <w:rPr>
          <w:rFonts w:cs="Times New Roman"/>
          <w:sz w:val="18"/>
          <w:szCs w:val="18"/>
          <w:lang w:val="es-ES_tradnl"/>
        </w:rPr>
        <w:t>í</w:t>
      </w:r>
      <w:r>
        <w:rPr>
          <w:sz w:val="18"/>
          <w:szCs w:val="18"/>
          <w:lang w:val="es-ES_tradnl"/>
        </w:rPr>
        <w:t>dicos:</w:t>
      </w:r>
    </w:p>
    <w:p w14:paraId="4F67BB9F" w14:textId="77777777" w:rsidR="00591D54" w:rsidRDefault="00591D54">
      <w:pPr>
        <w:shd w:val="clear" w:color="auto" w:fill="FFFFFF"/>
        <w:spacing w:before="192" w:line="216" w:lineRule="exact"/>
        <w:jc w:val="both"/>
      </w:pPr>
      <w:r>
        <w:rPr>
          <w:spacing w:val="-4"/>
          <w:sz w:val="18"/>
          <w:szCs w:val="18"/>
          <w:lang w:val="es-ES_tradnl"/>
        </w:rPr>
        <w:t xml:space="preserve">1.- La sentencia expedida dentro del procedimiento </w:t>
      </w:r>
      <w:r>
        <w:rPr>
          <w:spacing w:val="-7"/>
          <w:sz w:val="18"/>
          <w:szCs w:val="18"/>
          <w:lang w:val="es-ES_tradnl"/>
        </w:rPr>
        <w:t>abreviado, por los jueces del Tercer Tribunal de Garant</w:t>
      </w:r>
      <w:r>
        <w:rPr>
          <w:rFonts w:cs="Times New Roman"/>
          <w:spacing w:val="-7"/>
          <w:sz w:val="18"/>
          <w:szCs w:val="18"/>
          <w:lang w:val="es-ES_tradnl"/>
        </w:rPr>
        <w:t>í</w:t>
      </w:r>
      <w:r>
        <w:rPr>
          <w:spacing w:val="-7"/>
          <w:sz w:val="18"/>
          <w:szCs w:val="18"/>
          <w:lang w:val="es-ES_tradnl"/>
        </w:rPr>
        <w:t xml:space="preserve">as </w:t>
      </w:r>
      <w:r>
        <w:rPr>
          <w:spacing w:val="-11"/>
          <w:sz w:val="18"/>
          <w:szCs w:val="18"/>
          <w:lang w:val="es-ES_tradnl"/>
        </w:rPr>
        <w:t xml:space="preserve">Penales de Pichincha el 16 de abril de 2012 a las 14h26, que </w:t>
      </w:r>
      <w:r>
        <w:rPr>
          <w:spacing w:val="-7"/>
          <w:sz w:val="18"/>
          <w:szCs w:val="18"/>
          <w:lang w:val="es-ES_tradnl"/>
        </w:rPr>
        <w:t>no permiti</w:t>
      </w:r>
      <w:r>
        <w:rPr>
          <w:rFonts w:cs="Times New Roman"/>
          <w:spacing w:val="-7"/>
          <w:sz w:val="18"/>
          <w:szCs w:val="18"/>
          <w:lang w:val="es-ES_tradnl"/>
        </w:rPr>
        <w:t>ó</w:t>
      </w:r>
      <w:r>
        <w:rPr>
          <w:spacing w:val="-7"/>
          <w:sz w:val="18"/>
          <w:szCs w:val="18"/>
          <w:lang w:val="es-ES_tradnl"/>
        </w:rPr>
        <w:t xml:space="preserve"> rendir testimonio a la persona que se present</w:t>
      </w:r>
      <w:r>
        <w:rPr>
          <w:rFonts w:cs="Times New Roman"/>
          <w:spacing w:val="-7"/>
          <w:sz w:val="18"/>
          <w:szCs w:val="18"/>
          <w:lang w:val="es-ES_tradnl"/>
        </w:rPr>
        <w:t xml:space="preserve">ó </w:t>
      </w:r>
      <w:r>
        <w:rPr>
          <w:spacing w:val="-6"/>
          <w:sz w:val="18"/>
          <w:szCs w:val="18"/>
          <w:lang w:val="es-ES_tradnl"/>
        </w:rPr>
        <w:t xml:space="preserve">como tercero en dicho proceso penal </w:t>
      </w:r>
      <w:r>
        <w:rPr>
          <w:rFonts w:cs="Times New Roman"/>
          <w:spacing w:val="-6"/>
          <w:sz w:val="18"/>
          <w:szCs w:val="18"/>
          <w:lang w:val="es-ES_tradnl"/>
        </w:rPr>
        <w:t>¿</w:t>
      </w:r>
      <w:r>
        <w:rPr>
          <w:spacing w:val="-6"/>
          <w:sz w:val="18"/>
          <w:szCs w:val="18"/>
          <w:lang w:val="es-ES_tradnl"/>
        </w:rPr>
        <w:t>vulner</w:t>
      </w:r>
      <w:r>
        <w:rPr>
          <w:rFonts w:cs="Times New Roman"/>
          <w:spacing w:val="-6"/>
          <w:sz w:val="18"/>
          <w:szCs w:val="18"/>
          <w:lang w:val="es-ES_tradnl"/>
        </w:rPr>
        <w:t>ó</w:t>
      </w:r>
      <w:r>
        <w:rPr>
          <w:spacing w:val="-6"/>
          <w:sz w:val="18"/>
          <w:szCs w:val="18"/>
          <w:lang w:val="es-ES_tradnl"/>
        </w:rPr>
        <w:t xml:space="preserve"> el derecho </w:t>
      </w:r>
      <w:r>
        <w:rPr>
          <w:spacing w:val="-4"/>
          <w:sz w:val="18"/>
          <w:szCs w:val="18"/>
          <w:lang w:val="es-ES_tradnl"/>
        </w:rPr>
        <w:t>al debido proceso en la garant</w:t>
      </w:r>
      <w:r>
        <w:rPr>
          <w:rFonts w:cs="Times New Roman"/>
          <w:spacing w:val="-4"/>
          <w:sz w:val="18"/>
          <w:szCs w:val="18"/>
          <w:lang w:val="es-ES_tradnl"/>
        </w:rPr>
        <w:t>í</w:t>
      </w:r>
      <w:r>
        <w:rPr>
          <w:spacing w:val="-4"/>
          <w:sz w:val="18"/>
          <w:szCs w:val="18"/>
          <w:lang w:val="es-ES_tradnl"/>
        </w:rPr>
        <w:t xml:space="preserve">a de la defensa, previsto </w:t>
      </w:r>
      <w:r>
        <w:rPr>
          <w:spacing w:val="-1"/>
          <w:sz w:val="18"/>
          <w:szCs w:val="18"/>
          <w:lang w:val="es-ES_tradnl"/>
        </w:rPr>
        <w:t>en el art</w:t>
      </w:r>
      <w:r>
        <w:rPr>
          <w:rFonts w:cs="Times New Roman"/>
          <w:spacing w:val="-1"/>
          <w:sz w:val="18"/>
          <w:szCs w:val="18"/>
          <w:lang w:val="es-ES_tradnl"/>
        </w:rPr>
        <w:t>í</w:t>
      </w:r>
      <w:r>
        <w:rPr>
          <w:spacing w:val="-1"/>
          <w:sz w:val="18"/>
          <w:szCs w:val="18"/>
          <w:lang w:val="es-ES_tradnl"/>
        </w:rPr>
        <w:t>culo 76 numeral 7 literal a de la Constituci</w:t>
      </w:r>
      <w:r>
        <w:rPr>
          <w:rFonts w:cs="Times New Roman"/>
          <w:spacing w:val="-1"/>
          <w:sz w:val="18"/>
          <w:szCs w:val="18"/>
          <w:lang w:val="es-ES_tradnl"/>
        </w:rPr>
        <w:t>ó</w:t>
      </w:r>
      <w:r>
        <w:rPr>
          <w:spacing w:val="-1"/>
          <w:sz w:val="18"/>
          <w:szCs w:val="18"/>
          <w:lang w:val="es-ES_tradnl"/>
        </w:rPr>
        <w:t xml:space="preserve">n, </w:t>
      </w:r>
      <w:r>
        <w:rPr>
          <w:spacing w:val="-4"/>
          <w:sz w:val="18"/>
          <w:szCs w:val="18"/>
          <w:lang w:val="es-ES_tradnl"/>
        </w:rPr>
        <w:t xml:space="preserve">en conexidad con el derecho a la tutela judicial efectiva </w:t>
      </w:r>
      <w:r>
        <w:rPr>
          <w:sz w:val="18"/>
          <w:szCs w:val="18"/>
          <w:lang w:val="es-ES_tradnl"/>
        </w:rPr>
        <w:t>determinada en el art</w:t>
      </w:r>
      <w:r>
        <w:rPr>
          <w:rFonts w:cs="Times New Roman"/>
          <w:sz w:val="18"/>
          <w:szCs w:val="18"/>
          <w:lang w:val="es-ES_tradnl"/>
        </w:rPr>
        <w:t>í</w:t>
      </w:r>
      <w:r>
        <w:rPr>
          <w:sz w:val="18"/>
          <w:szCs w:val="18"/>
          <w:lang w:val="es-ES_tradnl"/>
        </w:rPr>
        <w:t xml:space="preserve">culo 75 </w:t>
      </w:r>
      <w:r>
        <w:rPr>
          <w:i/>
          <w:iCs/>
          <w:sz w:val="18"/>
          <w:szCs w:val="18"/>
          <w:lang w:val="es-ES_tradnl"/>
        </w:rPr>
        <w:t>ib</w:t>
      </w:r>
      <w:r>
        <w:rPr>
          <w:rFonts w:cs="Times New Roman"/>
          <w:i/>
          <w:iCs/>
          <w:sz w:val="18"/>
          <w:szCs w:val="18"/>
          <w:lang w:val="es-ES_tradnl"/>
        </w:rPr>
        <w:t>í</w:t>
      </w:r>
      <w:r>
        <w:rPr>
          <w:i/>
          <w:iCs/>
          <w:sz w:val="18"/>
          <w:szCs w:val="18"/>
          <w:lang w:val="es-ES_tradnl"/>
        </w:rPr>
        <w:t>dem?</w:t>
      </w:r>
    </w:p>
    <w:p w14:paraId="4F67BBA0" w14:textId="77777777" w:rsidR="00591D54" w:rsidRDefault="00591D54">
      <w:pPr>
        <w:shd w:val="clear" w:color="auto" w:fill="FFFFFF"/>
        <w:spacing w:before="192" w:line="216" w:lineRule="exact"/>
        <w:jc w:val="both"/>
      </w:pPr>
      <w:r>
        <w:rPr>
          <w:spacing w:val="-3"/>
          <w:sz w:val="18"/>
          <w:szCs w:val="18"/>
          <w:lang w:val="es-ES_tradnl"/>
        </w:rPr>
        <w:t>2.- La decisi</w:t>
      </w:r>
      <w:r>
        <w:rPr>
          <w:rFonts w:cs="Times New Roman"/>
          <w:spacing w:val="-3"/>
          <w:sz w:val="18"/>
          <w:szCs w:val="18"/>
          <w:lang w:val="es-ES_tradnl"/>
        </w:rPr>
        <w:t>ó</w:t>
      </w:r>
      <w:r>
        <w:rPr>
          <w:spacing w:val="-3"/>
          <w:sz w:val="18"/>
          <w:szCs w:val="18"/>
          <w:lang w:val="es-ES_tradnl"/>
        </w:rPr>
        <w:t xml:space="preserve">n judicial impugnada, dictada dentro del </w:t>
      </w:r>
      <w:r>
        <w:rPr>
          <w:spacing w:val="-8"/>
          <w:sz w:val="18"/>
          <w:szCs w:val="18"/>
          <w:lang w:val="es-ES_tradnl"/>
        </w:rPr>
        <w:t xml:space="preserve">procedimiento abreviado, al no considerar los fundamentos </w:t>
      </w:r>
      <w:r>
        <w:rPr>
          <w:spacing w:val="-6"/>
          <w:sz w:val="18"/>
          <w:szCs w:val="18"/>
          <w:lang w:val="es-ES_tradnl"/>
        </w:rPr>
        <w:t xml:space="preserve">y los anexos presentados por un tercero interesado en el </w:t>
      </w:r>
      <w:r>
        <w:rPr>
          <w:spacing w:val="-5"/>
          <w:sz w:val="18"/>
          <w:szCs w:val="18"/>
          <w:lang w:val="es-ES_tradnl"/>
        </w:rPr>
        <w:t xml:space="preserve">proceso penal </w:t>
      </w:r>
      <w:r>
        <w:rPr>
          <w:rFonts w:cs="Times New Roman"/>
          <w:spacing w:val="-5"/>
          <w:sz w:val="18"/>
          <w:szCs w:val="18"/>
          <w:lang w:val="es-ES_tradnl"/>
        </w:rPr>
        <w:t>¿</w:t>
      </w:r>
      <w:r>
        <w:rPr>
          <w:spacing w:val="-5"/>
          <w:sz w:val="18"/>
          <w:szCs w:val="18"/>
          <w:lang w:val="es-ES_tradnl"/>
        </w:rPr>
        <w:t>vulner</w:t>
      </w:r>
      <w:r>
        <w:rPr>
          <w:rFonts w:cs="Times New Roman"/>
          <w:spacing w:val="-5"/>
          <w:sz w:val="18"/>
          <w:szCs w:val="18"/>
          <w:lang w:val="es-ES_tradnl"/>
        </w:rPr>
        <w:t>ó</w:t>
      </w:r>
      <w:r>
        <w:rPr>
          <w:spacing w:val="-5"/>
          <w:sz w:val="18"/>
          <w:szCs w:val="18"/>
          <w:lang w:val="es-ES_tradnl"/>
        </w:rPr>
        <w:t xml:space="preserve"> el derecho al debido proceso en </w:t>
      </w:r>
      <w:r>
        <w:rPr>
          <w:spacing w:val="-3"/>
          <w:sz w:val="18"/>
          <w:szCs w:val="18"/>
          <w:lang w:val="es-ES_tradnl"/>
        </w:rPr>
        <w:t>la garant</w:t>
      </w:r>
      <w:r>
        <w:rPr>
          <w:rFonts w:cs="Times New Roman"/>
          <w:spacing w:val="-3"/>
          <w:sz w:val="18"/>
          <w:szCs w:val="18"/>
          <w:lang w:val="es-ES_tradnl"/>
        </w:rPr>
        <w:t>í</w:t>
      </w:r>
      <w:r>
        <w:rPr>
          <w:spacing w:val="-3"/>
          <w:sz w:val="18"/>
          <w:szCs w:val="18"/>
          <w:lang w:val="es-ES_tradnl"/>
        </w:rPr>
        <w:t>a de la motivaci</w:t>
      </w:r>
      <w:r>
        <w:rPr>
          <w:rFonts w:cs="Times New Roman"/>
          <w:spacing w:val="-3"/>
          <w:sz w:val="18"/>
          <w:szCs w:val="18"/>
          <w:lang w:val="es-ES_tradnl"/>
        </w:rPr>
        <w:t>ó</w:t>
      </w:r>
      <w:r>
        <w:rPr>
          <w:spacing w:val="-3"/>
          <w:sz w:val="18"/>
          <w:szCs w:val="18"/>
          <w:lang w:val="es-ES_tradnl"/>
        </w:rPr>
        <w:t>n, previsto en el art</w:t>
      </w:r>
      <w:r>
        <w:rPr>
          <w:rFonts w:cs="Times New Roman"/>
          <w:spacing w:val="-3"/>
          <w:sz w:val="18"/>
          <w:szCs w:val="18"/>
          <w:lang w:val="es-ES_tradnl"/>
        </w:rPr>
        <w:t>í</w:t>
      </w:r>
      <w:r>
        <w:rPr>
          <w:spacing w:val="-3"/>
          <w:sz w:val="18"/>
          <w:szCs w:val="18"/>
          <w:lang w:val="es-ES_tradnl"/>
        </w:rPr>
        <w:t xml:space="preserve">culo 76 </w:t>
      </w:r>
      <w:r>
        <w:rPr>
          <w:sz w:val="18"/>
          <w:szCs w:val="18"/>
          <w:lang w:val="es-ES_tradnl"/>
        </w:rPr>
        <w:t>numeral 7 literal l de la Constituci</w:t>
      </w:r>
      <w:r>
        <w:rPr>
          <w:rFonts w:cs="Times New Roman"/>
          <w:sz w:val="18"/>
          <w:szCs w:val="18"/>
          <w:lang w:val="es-ES_tradnl"/>
        </w:rPr>
        <w:t>ó</w:t>
      </w:r>
      <w:r>
        <w:rPr>
          <w:sz w:val="18"/>
          <w:szCs w:val="18"/>
          <w:lang w:val="es-ES_tradnl"/>
        </w:rPr>
        <w:t>n?</w:t>
      </w:r>
    </w:p>
    <w:p w14:paraId="4F67BBA1" w14:textId="77777777" w:rsidR="00591D54" w:rsidRDefault="00591D54">
      <w:pPr>
        <w:shd w:val="clear" w:color="auto" w:fill="FFFFFF"/>
        <w:spacing w:before="187"/>
      </w:pPr>
      <w:r>
        <w:rPr>
          <w:b/>
          <w:bCs/>
          <w:spacing w:val="-8"/>
          <w:sz w:val="18"/>
          <w:szCs w:val="18"/>
          <w:lang w:val="es-ES_tradnl"/>
        </w:rPr>
        <w:t>Resoluci</w:t>
      </w:r>
      <w:r>
        <w:rPr>
          <w:rFonts w:cs="Times New Roman"/>
          <w:b/>
          <w:bCs/>
          <w:spacing w:val="-8"/>
          <w:sz w:val="18"/>
          <w:szCs w:val="18"/>
          <w:lang w:val="es-ES_tradnl"/>
        </w:rPr>
        <w:t>ó</w:t>
      </w:r>
      <w:r>
        <w:rPr>
          <w:b/>
          <w:bCs/>
          <w:spacing w:val="-8"/>
          <w:sz w:val="18"/>
          <w:szCs w:val="18"/>
          <w:lang w:val="es-ES_tradnl"/>
        </w:rPr>
        <w:t>n de los problemas jur</w:t>
      </w:r>
      <w:r>
        <w:rPr>
          <w:rFonts w:cs="Times New Roman"/>
          <w:b/>
          <w:bCs/>
          <w:spacing w:val="-8"/>
          <w:sz w:val="18"/>
          <w:szCs w:val="18"/>
          <w:lang w:val="es-ES_tradnl"/>
        </w:rPr>
        <w:t>í</w:t>
      </w:r>
      <w:r>
        <w:rPr>
          <w:b/>
          <w:bCs/>
          <w:spacing w:val="-8"/>
          <w:sz w:val="18"/>
          <w:szCs w:val="18"/>
          <w:lang w:val="es-ES_tradnl"/>
        </w:rPr>
        <w:t>dicos</w:t>
      </w:r>
    </w:p>
    <w:p w14:paraId="4F67BBA2" w14:textId="77777777" w:rsidR="00591D54" w:rsidRDefault="00591D54">
      <w:pPr>
        <w:shd w:val="clear" w:color="auto" w:fill="FFFFFF"/>
        <w:spacing w:before="192" w:line="216" w:lineRule="exact"/>
        <w:ind w:right="5"/>
        <w:jc w:val="both"/>
      </w:pPr>
      <w:r>
        <w:rPr>
          <w:b/>
          <w:bCs/>
          <w:spacing w:val="-6"/>
          <w:sz w:val="18"/>
          <w:szCs w:val="18"/>
          <w:lang w:val="es-ES_tradnl"/>
        </w:rPr>
        <w:t xml:space="preserve">1.- La sentencia expedida dentro del procedimiento </w:t>
      </w:r>
      <w:r>
        <w:rPr>
          <w:b/>
          <w:bCs/>
          <w:spacing w:val="-4"/>
          <w:sz w:val="18"/>
          <w:szCs w:val="18"/>
          <w:lang w:val="es-ES_tradnl"/>
        </w:rPr>
        <w:t xml:space="preserve">abreviado, por los jueces del Tercer Tribunal de </w:t>
      </w:r>
      <w:r>
        <w:rPr>
          <w:b/>
          <w:bCs/>
          <w:sz w:val="18"/>
          <w:szCs w:val="18"/>
          <w:lang w:val="es-ES_tradnl"/>
        </w:rPr>
        <w:t>Garant</w:t>
      </w:r>
      <w:r>
        <w:rPr>
          <w:rFonts w:cs="Times New Roman"/>
          <w:b/>
          <w:bCs/>
          <w:sz w:val="18"/>
          <w:szCs w:val="18"/>
          <w:lang w:val="es-ES_tradnl"/>
        </w:rPr>
        <w:t>í</w:t>
      </w:r>
      <w:r>
        <w:rPr>
          <w:b/>
          <w:bCs/>
          <w:sz w:val="18"/>
          <w:szCs w:val="18"/>
          <w:lang w:val="es-ES_tradnl"/>
        </w:rPr>
        <w:t xml:space="preserve">as Penales de Pichincha el 16 de abril de </w:t>
      </w:r>
      <w:r>
        <w:rPr>
          <w:b/>
          <w:bCs/>
          <w:spacing w:val="-2"/>
          <w:sz w:val="18"/>
          <w:szCs w:val="18"/>
          <w:lang w:val="es-ES_tradnl"/>
        </w:rPr>
        <w:t>2012 a las 14h26, que no permiti</w:t>
      </w:r>
      <w:r>
        <w:rPr>
          <w:rFonts w:cs="Times New Roman"/>
          <w:b/>
          <w:bCs/>
          <w:spacing w:val="-2"/>
          <w:sz w:val="18"/>
          <w:szCs w:val="18"/>
          <w:lang w:val="es-ES_tradnl"/>
        </w:rPr>
        <w:t>ó</w:t>
      </w:r>
      <w:r>
        <w:rPr>
          <w:b/>
          <w:bCs/>
          <w:spacing w:val="-2"/>
          <w:sz w:val="18"/>
          <w:szCs w:val="18"/>
          <w:lang w:val="es-ES_tradnl"/>
        </w:rPr>
        <w:t xml:space="preserve"> rendir testimonio </w:t>
      </w:r>
      <w:r>
        <w:rPr>
          <w:b/>
          <w:bCs/>
          <w:spacing w:val="-8"/>
          <w:sz w:val="18"/>
          <w:szCs w:val="18"/>
          <w:lang w:val="es-ES_tradnl"/>
        </w:rPr>
        <w:t>a la persona que se present</w:t>
      </w:r>
      <w:r>
        <w:rPr>
          <w:rFonts w:cs="Times New Roman"/>
          <w:b/>
          <w:bCs/>
          <w:spacing w:val="-8"/>
          <w:sz w:val="18"/>
          <w:szCs w:val="18"/>
          <w:lang w:val="es-ES_tradnl"/>
        </w:rPr>
        <w:t>ó</w:t>
      </w:r>
      <w:r>
        <w:rPr>
          <w:b/>
          <w:bCs/>
          <w:spacing w:val="-8"/>
          <w:sz w:val="18"/>
          <w:szCs w:val="18"/>
          <w:lang w:val="es-ES_tradnl"/>
        </w:rPr>
        <w:t xml:space="preserve"> como tercero en dicho </w:t>
      </w:r>
      <w:r>
        <w:rPr>
          <w:b/>
          <w:bCs/>
          <w:spacing w:val="-7"/>
          <w:sz w:val="18"/>
          <w:szCs w:val="18"/>
          <w:lang w:val="es-ES_tradnl"/>
        </w:rPr>
        <w:t xml:space="preserve">proceso penal </w:t>
      </w:r>
      <w:r>
        <w:rPr>
          <w:rFonts w:cs="Times New Roman"/>
          <w:b/>
          <w:bCs/>
          <w:spacing w:val="-7"/>
          <w:sz w:val="18"/>
          <w:szCs w:val="18"/>
          <w:lang w:val="es-ES_tradnl"/>
        </w:rPr>
        <w:t>¿</w:t>
      </w:r>
      <w:r>
        <w:rPr>
          <w:b/>
          <w:bCs/>
          <w:spacing w:val="-7"/>
          <w:sz w:val="18"/>
          <w:szCs w:val="18"/>
          <w:lang w:val="es-ES_tradnl"/>
        </w:rPr>
        <w:t>vulner</w:t>
      </w:r>
      <w:r>
        <w:rPr>
          <w:rFonts w:cs="Times New Roman"/>
          <w:b/>
          <w:bCs/>
          <w:spacing w:val="-7"/>
          <w:sz w:val="18"/>
          <w:szCs w:val="18"/>
          <w:lang w:val="es-ES_tradnl"/>
        </w:rPr>
        <w:t>ó</w:t>
      </w:r>
      <w:r>
        <w:rPr>
          <w:b/>
          <w:bCs/>
          <w:spacing w:val="-7"/>
          <w:sz w:val="18"/>
          <w:szCs w:val="18"/>
          <w:lang w:val="es-ES_tradnl"/>
        </w:rPr>
        <w:t xml:space="preserve"> el derecho al debido proceso </w:t>
      </w:r>
      <w:r>
        <w:rPr>
          <w:b/>
          <w:bCs/>
          <w:spacing w:val="-6"/>
          <w:sz w:val="18"/>
          <w:szCs w:val="18"/>
          <w:lang w:val="es-ES_tradnl"/>
        </w:rPr>
        <w:t>en la garant</w:t>
      </w:r>
      <w:r>
        <w:rPr>
          <w:rFonts w:cs="Times New Roman"/>
          <w:b/>
          <w:bCs/>
          <w:spacing w:val="-6"/>
          <w:sz w:val="18"/>
          <w:szCs w:val="18"/>
          <w:lang w:val="es-ES_tradnl"/>
        </w:rPr>
        <w:t>í</w:t>
      </w:r>
      <w:r>
        <w:rPr>
          <w:b/>
          <w:bCs/>
          <w:spacing w:val="-6"/>
          <w:sz w:val="18"/>
          <w:szCs w:val="18"/>
          <w:lang w:val="es-ES_tradnl"/>
        </w:rPr>
        <w:t>a de la defensa, previsto en el art</w:t>
      </w:r>
      <w:r>
        <w:rPr>
          <w:rFonts w:cs="Times New Roman"/>
          <w:b/>
          <w:bCs/>
          <w:spacing w:val="-6"/>
          <w:sz w:val="18"/>
          <w:szCs w:val="18"/>
          <w:lang w:val="es-ES_tradnl"/>
        </w:rPr>
        <w:t>í</w:t>
      </w:r>
      <w:r>
        <w:rPr>
          <w:b/>
          <w:bCs/>
          <w:spacing w:val="-6"/>
          <w:sz w:val="18"/>
          <w:szCs w:val="18"/>
          <w:lang w:val="es-ES_tradnl"/>
        </w:rPr>
        <w:t xml:space="preserve">culo 76 </w:t>
      </w:r>
      <w:r>
        <w:rPr>
          <w:b/>
          <w:bCs/>
          <w:spacing w:val="-4"/>
          <w:sz w:val="18"/>
          <w:szCs w:val="18"/>
          <w:lang w:val="es-ES_tradnl"/>
        </w:rPr>
        <w:t>numeral 7 literal a de la Constituci</w:t>
      </w:r>
      <w:r>
        <w:rPr>
          <w:rFonts w:cs="Times New Roman"/>
          <w:b/>
          <w:bCs/>
          <w:spacing w:val="-4"/>
          <w:sz w:val="18"/>
          <w:szCs w:val="18"/>
          <w:lang w:val="es-ES_tradnl"/>
        </w:rPr>
        <w:t>ó</w:t>
      </w:r>
      <w:r>
        <w:rPr>
          <w:b/>
          <w:bCs/>
          <w:spacing w:val="-4"/>
          <w:sz w:val="18"/>
          <w:szCs w:val="18"/>
          <w:lang w:val="es-ES_tradnl"/>
        </w:rPr>
        <w:t xml:space="preserve">n, en conexidad </w:t>
      </w:r>
      <w:r>
        <w:rPr>
          <w:b/>
          <w:bCs/>
          <w:spacing w:val="-7"/>
          <w:sz w:val="18"/>
          <w:szCs w:val="18"/>
          <w:lang w:val="es-ES_tradnl"/>
        </w:rPr>
        <w:t xml:space="preserve">con el derecho a la tutela judicial efectiva determinada </w:t>
      </w:r>
      <w:r>
        <w:rPr>
          <w:b/>
          <w:bCs/>
          <w:sz w:val="18"/>
          <w:szCs w:val="18"/>
          <w:lang w:val="es-ES_tradnl"/>
        </w:rPr>
        <w:t>en el art</w:t>
      </w:r>
      <w:r>
        <w:rPr>
          <w:rFonts w:cs="Times New Roman"/>
          <w:b/>
          <w:bCs/>
          <w:sz w:val="18"/>
          <w:szCs w:val="18"/>
          <w:lang w:val="es-ES_tradnl"/>
        </w:rPr>
        <w:t>í</w:t>
      </w:r>
      <w:r>
        <w:rPr>
          <w:b/>
          <w:bCs/>
          <w:sz w:val="18"/>
          <w:szCs w:val="18"/>
          <w:lang w:val="es-ES_tradnl"/>
        </w:rPr>
        <w:t xml:space="preserve">culo 75 </w:t>
      </w:r>
      <w:r>
        <w:rPr>
          <w:b/>
          <w:bCs/>
          <w:i/>
          <w:iCs/>
          <w:sz w:val="18"/>
          <w:szCs w:val="18"/>
          <w:lang w:val="es-ES_tradnl"/>
        </w:rPr>
        <w:t>ib</w:t>
      </w:r>
      <w:r>
        <w:rPr>
          <w:rFonts w:cs="Times New Roman"/>
          <w:b/>
          <w:bCs/>
          <w:i/>
          <w:iCs/>
          <w:sz w:val="18"/>
          <w:szCs w:val="18"/>
          <w:lang w:val="es-ES_tradnl"/>
        </w:rPr>
        <w:t>í</w:t>
      </w:r>
      <w:r>
        <w:rPr>
          <w:b/>
          <w:bCs/>
          <w:i/>
          <w:iCs/>
          <w:sz w:val="18"/>
          <w:szCs w:val="18"/>
          <w:lang w:val="es-ES_tradnl"/>
        </w:rPr>
        <w:t>dem</w:t>
      </w:r>
      <w:r>
        <w:rPr>
          <w:b/>
          <w:bCs/>
          <w:sz w:val="18"/>
          <w:szCs w:val="18"/>
          <w:lang w:val="es-ES_tradnl"/>
        </w:rPr>
        <w:t>?</w:t>
      </w:r>
    </w:p>
    <w:p w14:paraId="4F67BBA3" w14:textId="77777777" w:rsidR="00591D54" w:rsidRDefault="00591D54">
      <w:pPr>
        <w:shd w:val="clear" w:color="auto" w:fill="FFFFFF"/>
        <w:spacing w:before="197" w:line="216" w:lineRule="exact"/>
        <w:jc w:val="both"/>
      </w:pPr>
      <w:r>
        <w:rPr>
          <w:spacing w:val="-4"/>
          <w:sz w:val="18"/>
          <w:szCs w:val="18"/>
          <w:lang w:val="es-ES_tradnl"/>
        </w:rPr>
        <w:t xml:space="preserve">Alega el legitimado activo, que ninguna persona debe </w:t>
      </w:r>
      <w:r>
        <w:rPr>
          <w:spacing w:val="-6"/>
          <w:sz w:val="18"/>
          <w:szCs w:val="18"/>
          <w:lang w:val="es-ES_tradnl"/>
        </w:rPr>
        <w:t>quedar en estado de indefensi</w:t>
      </w:r>
      <w:r>
        <w:rPr>
          <w:rFonts w:cs="Times New Roman"/>
          <w:spacing w:val="-6"/>
          <w:sz w:val="18"/>
          <w:szCs w:val="18"/>
          <w:lang w:val="es-ES_tradnl"/>
        </w:rPr>
        <w:t>ó</w:t>
      </w:r>
      <w:r>
        <w:rPr>
          <w:spacing w:val="-6"/>
          <w:sz w:val="18"/>
          <w:szCs w:val="18"/>
          <w:lang w:val="es-ES_tradnl"/>
        </w:rPr>
        <w:t xml:space="preserve">n dentro de un proceso </w:t>
      </w:r>
      <w:r>
        <w:rPr>
          <w:spacing w:val="-8"/>
          <w:sz w:val="18"/>
          <w:szCs w:val="18"/>
          <w:lang w:val="es-ES_tradnl"/>
        </w:rPr>
        <w:t>judicial, a fin de que pueda ejercer su derecho a la defensa</w:t>
      </w:r>
    </w:p>
    <w:p w14:paraId="4F67BBA4" w14:textId="77777777" w:rsidR="00591D54" w:rsidRDefault="00591D54">
      <w:pPr>
        <w:shd w:val="clear" w:color="auto" w:fill="FFFFFF"/>
        <w:spacing w:before="197" w:line="216" w:lineRule="exact"/>
        <w:jc w:val="both"/>
        <w:sectPr w:rsidR="00591D54">
          <w:type w:val="continuous"/>
          <w:pgSz w:w="11909" w:h="16834"/>
          <w:pgMar w:top="1366" w:right="1304" w:bottom="360" w:left="1308" w:header="720" w:footer="720" w:gutter="0"/>
          <w:cols w:num="2" w:space="720" w:equalWidth="0">
            <w:col w:w="4305" w:space="682"/>
            <w:col w:w="4310"/>
          </w:cols>
          <w:noEndnote/>
        </w:sectPr>
      </w:pPr>
    </w:p>
    <w:p w14:paraId="4F67BBA5"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- 293</w:t>
      </w:r>
    </w:p>
    <w:p w14:paraId="4F67BBA6" w14:textId="77777777" w:rsidR="00591D54" w:rsidRDefault="00591D54">
      <w:pPr>
        <w:shd w:val="clear" w:color="auto" w:fill="FFFFFF"/>
        <w:tabs>
          <w:tab w:val="left" w:pos="5842"/>
        </w:tabs>
        <w:spacing w:after="235"/>
        <w:ind w:left="5"/>
        <w:sectPr w:rsidR="00591D54">
          <w:pgSz w:w="11909" w:h="16834"/>
          <w:pgMar w:top="1356" w:right="1309" w:bottom="360" w:left="1308" w:header="720" w:footer="720" w:gutter="0"/>
          <w:cols w:space="60"/>
          <w:noEndnote/>
        </w:sectPr>
      </w:pPr>
    </w:p>
    <w:p w14:paraId="4F67BBA7" w14:textId="77777777" w:rsidR="00591D54" w:rsidRDefault="00591D54">
      <w:pPr>
        <w:shd w:val="clear" w:color="auto" w:fill="FFFFFF"/>
        <w:spacing w:line="216" w:lineRule="exact"/>
        <w:ind w:right="5"/>
        <w:jc w:val="both"/>
      </w:pPr>
      <w:r>
        <w:rPr>
          <w:spacing w:val="-7"/>
          <w:sz w:val="18"/>
          <w:szCs w:val="18"/>
          <w:lang w:val="es-ES_tradnl"/>
        </w:rPr>
        <w:t xml:space="preserve">y aportar al proceso sus elementos de descargo; que los </w:t>
      </w:r>
      <w:r>
        <w:rPr>
          <w:spacing w:val="-5"/>
          <w:sz w:val="18"/>
          <w:szCs w:val="18"/>
          <w:lang w:val="es-ES_tradnl"/>
        </w:rPr>
        <w:t>se</w:t>
      </w:r>
      <w:r>
        <w:rPr>
          <w:rFonts w:cs="Times New Roman"/>
          <w:spacing w:val="-5"/>
          <w:sz w:val="18"/>
          <w:szCs w:val="18"/>
          <w:lang w:val="es-ES_tradnl"/>
        </w:rPr>
        <w:t>ñ</w:t>
      </w:r>
      <w:r>
        <w:rPr>
          <w:spacing w:val="-5"/>
          <w:sz w:val="18"/>
          <w:szCs w:val="18"/>
          <w:lang w:val="es-ES_tradnl"/>
        </w:rPr>
        <w:t>ores jueces no permitieron que rinda testimonio, por estas circunstancias al no hab</w:t>
      </w:r>
      <w:r>
        <w:rPr>
          <w:rFonts w:cs="Times New Roman"/>
          <w:spacing w:val="-5"/>
          <w:sz w:val="18"/>
          <w:szCs w:val="18"/>
          <w:lang w:val="es-ES_tradnl"/>
        </w:rPr>
        <w:t>é</w:t>
      </w:r>
      <w:r>
        <w:rPr>
          <w:spacing w:val="-5"/>
          <w:sz w:val="18"/>
          <w:szCs w:val="18"/>
          <w:lang w:val="es-ES_tradnl"/>
        </w:rPr>
        <w:t>rseme citado se me dej</w:t>
      </w:r>
      <w:r>
        <w:rPr>
          <w:rFonts w:cs="Times New Roman"/>
          <w:spacing w:val="-5"/>
          <w:sz w:val="18"/>
          <w:szCs w:val="18"/>
          <w:lang w:val="es-ES_tradnl"/>
        </w:rPr>
        <w:t xml:space="preserve">ó </w:t>
      </w:r>
      <w:r>
        <w:rPr>
          <w:spacing w:val="-6"/>
          <w:sz w:val="18"/>
          <w:szCs w:val="18"/>
          <w:lang w:val="es-ES_tradnl"/>
        </w:rPr>
        <w:t>en indefensi</w:t>
      </w:r>
      <w:r>
        <w:rPr>
          <w:rFonts w:cs="Times New Roman"/>
          <w:spacing w:val="-6"/>
          <w:sz w:val="18"/>
          <w:szCs w:val="18"/>
          <w:lang w:val="es-ES_tradnl"/>
        </w:rPr>
        <w:t>ó</w:t>
      </w:r>
      <w:r>
        <w:rPr>
          <w:spacing w:val="-6"/>
          <w:sz w:val="18"/>
          <w:szCs w:val="18"/>
          <w:lang w:val="es-ES_tradnl"/>
        </w:rPr>
        <w:t xml:space="preserve">n, pues la falta de la misma en este proceso </w:t>
      </w:r>
      <w:r>
        <w:rPr>
          <w:spacing w:val="-7"/>
          <w:sz w:val="18"/>
          <w:szCs w:val="18"/>
          <w:lang w:val="es-ES_tradnl"/>
        </w:rPr>
        <w:t>penal, supone una vulneraci</w:t>
      </w:r>
      <w:r>
        <w:rPr>
          <w:rFonts w:cs="Times New Roman"/>
          <w:spacing w:val="-7"/>
          <w:sz w:val="18"/>
          <w:szCs w:val="18"/>
          <w:lang w:val="es-ES_tradnl"/>
        </w:rPr>
        <w:t>ó</w:t>
      </w:r>
      <w:r>
        <w:rPr>
          <w:spacing w:val="-7"/>
          <w:sz w:val="18"/>
          <w:szCs w:val="18"/>
          <w:lang w:val="es-ES_tradnl"/>
        </w:rPr>
        <w:t>n fl agrante a los art</w:t>
      </w:r>
      <w:r>
        <w:rPr>
          <w:rFonts w:cs="Times New Roman"/>
          <w:spacing w:val="-7"/>
          <w:sz w:val="18"/>
          <w:szCs w:val="18"/>
          <w:lang w:val="es-ES_tradnl"/>
        </w:rPr>
        <w:t>í</w:t>
      </w:r>
      <w:r>
        <w:rPr>
          <w:spacing w:val="-7"/>
          <w:sz w:val="18"/>
          <w:szCs w:val="18"/>
          <w:lang w:val="es-ES_tradnl"/>
        </w:rPr>
        <w:t xml:space="preserve">culos 76 </w:t>
      </w:r>
      <w:r>
        <w:rPr>
          <w:spacing w:val="-5"/>
          <w:sz w:val="18"/>
          <w:szCs w:val="18"/>
          <w:lang w:val="es-ES_tradnl"/>
        </w:rPr>
        <w:t>numeral 7 literal a y 75 de la Norma Suprema.</w:t>
      </w:r>
    </w:p>
    <w:p w14:paraId="4F67BBA8" w14:textId="77777777" w:rsidR="00591D54" w:rsidRDefault="00591D54">
      <w:pPr>
        <w:shd w:val="clear" w:color="auto" w:fill="FFFFFF"/>
        <w:spacing w:before="197" w:line="216" w:lineRule="exact"/>
        <w:ind w:right="5"/>
        <w:jc w:val="both"/>
      </w:pPr>
      <w:r>
        <w:rPr>
          <w:spacing w:val="-6"/>
          <w:sz w:val="18"/>
          <w:szCs w:val="18"/>
          <w:lang w:val="es-ES_tradnl"/>
        </w:rPr>
        <w:t>Dentro de los derechos denominados por la Constituci</w:t>
      </w:r>
      <w:r>
        <w:rPr>
          <w:rFonts w:cs="Times New Roman"/>
          <w:spacing w:val="-6"/>
          <w:sz w:val="18"/>
          <w:szCs w:val="18"/>
          <w:lang w:val="es-ES_tradnl"/>
        </w:rPr>
        <w:t>ó</w:t>
      </w:r>
      <w:r>
        <w:rPr>
          <w:spacing w:val="-6"/>
          <w:sz w:val="18"/>
          <w:szCs w:val="18"/>
          <w:lang w:val="es-ES_tradnl"/>
        </w:rPr>
        <w:t xml:space="preserve">n </w:t>
      </w:r>
      <w:r>
        <w:rPr>
          <w:sz w:val="18"/>
          <w:szCs w:val="18"/>
          <w:lang w:val="es-ES_tradnl"/>
        </w:rPr>
        <w:t>de la Rep</w:t>
      </w:r>
      <w:r>
        <w:rPr>
          <w:rFonts w:cs="Times New Roman"/>
          <w:sz w:val="18"/>
          <w:szCs w:val="18"/>
          <w:lang w:val="es-ES_tradnl"/>
        </w:rPr>
        <w:t>ú</w:t>
      </w:r>
      <w:r>
        <w:rPr>
          <w:sz w:val="18"/>
          <w:szCs w:val="18"/>
          <w:lang w:val="es-ES_tradnl"/>
        </w:rPr>
        <w:t xml:space="preserve">blica como de </w:t>
      </w:r>
      <w:r>
        <w:rPr>
          <w:rFonts w:cs="Times New Roman"/>
          <w:sz w:val="18"/>
          <w:szCs w:val="18"/>
          <w:lang w:val="es-ES_tradnl"/>
        </w:rPr>
        <w:t>“</w:t>
      </w:r>
      <w:r>
        <w:rPr>
          <w:sz w:val="18"/>
          <w:szCs w:val="18"/>
          <w:lang w:val="es-ES_tradnl"/>
        </w:rPr>
        <w:t>protecci</w:t>
      </w:r>
      <w:r>
        <w:rPr>
          <w:rFonts w:cs="Times New Roman"/>
          <w:sz w:val="18"/>
          <w:szCs w:val="18"/>
          <w:lang w:val="es-ES_tradnl"/>
        </w:rPr>
        <w:t>ó</w:t>
      </w:r>
      <w:r>
        <w:rPr>
          <w:sz w:val="18"/>
          <w:szCs w:val="18"/>
          <w:lang w:val="es-ES_tradnl"/>
        </w:rPr>
        <w:t>n</w:t>
      </w:r>
      <w:r>
        <w:rPr>
          <w:rFonts w:cs="Times New Roman"/>
          <w:sz w:val="18"/>
          <w:szCs w:val="18"/>
          <w:lang w:val="es-ES_tradnl"/>
        </w:rPr>
        <w:t>”</w:t>
      </w:r>
      <w:r>
        <w:rPr>
          <w:sz w:val="18"/>
          <w:szCs w:val="18"/>
          <w:lang w:val="es-ES_tradnl"/>
        </w:rPr>
        <w:t xml:space="preserve">, se encuentran </w:t>
      </w:r>
      <w:r>
        <w:rPr>
          <w:spacing w:val="-3"/>
          <w:sz w:val="18"/>
          <w:szCs w:val="18"/>
          <w:lang w:val="es-ES_tradnl"/>
        </w:rPr>
        <w:t xml:space="preserve">la tutela judicial efectiva, el debido proceso, el debido </w:t>
      </w:r>
      <w:r>
        <w:rPr>
          <w:spacing w:val="-10"/>
          <w:sz w:val="18"/>
          <w:szCs w:val="18"/>
          <w:lang w:val="es-ES_tradnl"/>
        </w:rPr>
        <w:t xml:space="preserve">proceso penal, mismos que configuran el </w:t>
      </w:r>
      <w:r>
        <w:rPr>
          <w:rFonts w:cs="Times New Roman"/>
          <w:spacing w:val="-10"/>
          <w:sz w:val="18"/>
          <w:szCs w:val="18"/>
          <w:lang w:val="es-ES_tradnl"/>
        </w:rPr>
        <w:t>á</w:t>
      </w:r>
      <w:r>
        <w:rPr>
          <w:spacing w:val="-10"/>
          <w:sz w:val="18"/>
          <w:szCs w:val="18"/>
          <w:lang w:val="es-ES_tradnl"/>
        </w:rPr>
        <w:t xml:space="preserve">mbito de amparo </w:t>
      </w:r>
      <w:r>
        <w:rPr>
          <w:spacing w:val="-6"/>
          <w:sz w:val="18"/>
          <w:szCs w:val="18"/>
          <w:lang w:val="es-ES_tradnl"/>
        </w:rPr>
        <w:t>al que se sujetar</w:t>
      </w:r>
      <w:r>
        <w:rPr>
          <w:rFonts w:cs="Times New Roman"/>
          <w:spacing w:val="-6"/>
          <w:sz w:val="18"/>
          <w:szCs w:val="18"/>
          <w:lang w:val="es-ES_tradnl"/>
        </w:rPr>
        <w:t>á</w:t>
      </w:r>
      <w:r>
        <w:rPr>
          <w:spacing w:val="-6"/>
          <w:sz w:val="18"/>
          <w:szCs w:val="18"/>
          <w:lang w:val="es-ES_tradnl"/>
        </w:rPr>
        <w:t xml:space="preserve">n todos los organismos jurisdiccionales </w:t>
      </w:r>
      <w:r>
        <w:rPr>
          <w:sz w:val="18"/>
          <w:szCs w:val="18"/>
          <w:lang w:val="es-ES_tradnl"/>
        </w:rPr>
        <w:t>para garantizar una correcta aplicaci</w:t>
      </w:r>
      <w:r>
        <w:rPr>
          <w:rFonts w:cs="Times New Roman"/>
          <w:sz w:val="18"/>
          <w:szCs w:val="18"/>
          <w:lang w:val="es-ES_tradnl"/>
        </w:rPr>
        <w:t>ó</w:t>
      </w:r>
      <w:r>
        <w:rPr>
          <w:sz w:val="18"/>
          <w:szCs w:val="18"/>
          <w:lang w:val="es-ES_tradnl"/>
        </w:rPr>
        <w:t xml:space="preserve">n y desarrollo </w:t>
      </w:r>
      <w:r>
        <w:rPr>
          <w:spacing w:val="-4"/>
          <w:sz w:val="18"/>
          <w:szCs w:val="18"/>
          <w:lang w:val="es-ES_tradnl"/>
        </w:rPr>
        <w:t xml:space="preserve">de los procedimientos judiciales y administrativos </w:t>
      </w:r>
      <w:r>
        <w:rPr>
          <w:spacing w:val="-7"/>
          <w:sz w:val="18"/>
          <w:szCs w:val="18"/>
          <w:lang w:val="es-ES_tradnl"/>
        </w:rPr>
        <w:t xml:space="preserve">preestablecidos para cada caso. El debido proceso se </w:t>
      </w:r>
      <w:r>
        <w:rPr>
          <w:spacing w:val="-6"/>
          <w:sz w:val="18"/>
          <w:szCs w:val="18"/>
          <w:lang w:val="es-ES_tradnl"/>
        </w:rPr>
        <w:t>encuentra consagrado en el art</w:t>
      </w:r>
      <w:r>
        <w:rPr>
          <w:rFonts w:cs="Times New Roman"/>
          <w:spacing w:val="-6"/>
          <w:sz w:val="18"/>
          <w:szCs w:val="18"/>
          <w:lang w:val="es-ES_tradnl"/>
        </w:rPr>
        <w:t>í</w:t>
      </w:r>
      <w:r>
        <w:rPr>
          <w:spacing w:val="-6"/>
          <w:sz w:val="18"/>
          <w:szCs w:val="18"/>
          <w:lang w:val="es-ES_tradnl"/>
        </w:rPr>
        <w:t>culo 76 de la Constituci</w:t>
      </w:r>
      <w:r>
        <w:rPr>
          <w:rFonts w:cs="Times New Roman"/>
          <w:spacing w:val="-6"/>
          <w:sz w:val="18"/>
          <w:szCs w:val="18"/>
          <w:lang w:val="es-ES_tradnl"/>
        </w:rPr>
        <w:t>ó</w:t>
      </w:r>
      <w:r>
        <w:rPr>
          <w:spacing w:val="-6"/>
          <w:sz w:val="18"/>
          <w:szCs w:val="18"/>
          <w:lang w:val="es-ES_tradnl"/>
        </w:rPr>
        <w:t xml:space="preserve">n </w:t>
      </w:r>
      <w:r>
        <w:rPr>
          <w:spacing w:val="-8"/>
          <w:sz w:val="18"/>
          <w:szCs w:val="18"/>
          <w:lang w:val="es-ES_tradnl"/>
        </w:rPr>
        <w:t>de la Rep</w:t>
      </w:r>
      <w:r>
        <w:rPr>
          <w:rFonts w:cs="Times New Roman"/>
          <w:spacing w:val="-8"/>
          <w:sz w:val="18"/>
          <w:szCs w:val="18"/>
          <w:lang w:val="es-ES_tradnl"/>
        </w:rPr>
        <w:t>ú</w:t>
      </w:r>
      <w:r>
        <w:rPr>
          <w:spacing w:val="-8"/>
          <w:sz w:val="18"/>
          <w:szCs w:val="18"/>
          <w:lang w:val="es-ES_tradnl"/>
        </w:rPr>
        <w:t xml:space="preserve">blica que determina: </w:t>
      </w:r>
      <w:r>
        <w:rPr>
          <w:rFonts w:cs="Times New Roman"/>
          <w:spacing w:val="-8"/>
          <w:sz w:val="18"/>
          <w:szCs w:val="18"/>
          <w:lang w:val="es-ES_tradnl"/>
        </w:rPr>
        <w:t>“</w:t>
      </w:r>
      <w:r>
        <w:rPr>
          <w:spacing w:val="-8"/>
          <w:sz w:val="18"/>
          <w:szCs w:val="18"/>
          <w:lang w:val="es-ES_tradnl"/>
        </w:rPr>
        <w:t xml:space="preserve">En todo proceso en el que se determinen derechos y obligaciones de cualquier orden, </w:t>
      </w:r>
      <w:r>
        <w:rPr>
          <w:spacing w:val="-6"/>
          <w:sz w:val="18"/>
          <w:szCs w:val="18"/>
          <w:lang w:val="es-ES_tradnl"/>
        </w:rPr>
        <w:t>se asegurar</w:t>
      </w:r>
      <w:r>
        <w:rPr>
          <w:rFonts w:cs="Times New Roman"/>
          <w:spacing w:val="-6"/>
          <w:sz w:val="18"/>
          <w:szCs w:val="18"/>
          <w:lang w:val="es-ES_tradnl"/>
        </w:rPr>
        <w:t>á</w:t>
      </w:r>
      <w:r>
        <w:rPr>
          <w:spacing w:val="-6"/>
          <w:sz w:val="18"/>
          <w:szCs w:val="18"/>
          <w:lang w:val="es-ES_tradnl"/>
        </w:rPr>
        <w:t xml:space="preserve"> el derecho al debido proceso (</w:t>
      </w:r>
      <w:r>
        <w:rPr>
          <w:rFonts w:cs="Times New Roman"/>
          <w:spacing w:val="-6"/>
          <w:sz w:val="18"/>
          <w:szCs w:val="18"/>
          <w:lang w:val="es-ES_tradnl"/>
        </w:rPr>
        <w:t>…</w:t>
      </w:r>
      <w:r>
        <w:rPr>
          <w:spacing w:val="-6"/>
          <w:sz w:val="18"/>
          <w:szCs w:val="18"/>
          <w:lang w:val="es-ES_tradnl"/>
        </w:rPr>
        <w:t>)</w:t>
      </w:r>
      <w:r>
        <w:rPr>
          <w:rFonts w:cs="Times New Roman"/>
          <w:spacing w:val="-6"/>
          <w:sz w:val="18"/>
          <w:szCs w:val="18"/>
          <w:lang w:val="es-ES_tradnl"/>
        </w:rPr>
        <w:t>”</w:t>
      </w:r>
      <w:r>
        <w:rPr>
          <w:spacing w:val="-6"/>
          <w:sz w:val="18"/>
          <w:szCs w:val="18"/>
          <w:lang w:val="es-ES_tradnl"/>
        </w:rPr>
        <w:t>.</w:t>
      </w:r>
    </w:p>
    <w:p w14:paraId="4F67BBA9" w14:textId="77777777" w:rsidR="00591D54" w:rsidRDefault="00591D54">
      <w:pPr>
        <w:shd w:val="clear" w:color="auto" w:fill="FFFFFF"/>
        <w:spacing w:before="197" w:line="216" w:lineRule="exact"/>
        <w:ind w:right="5"/>
        <w:jc w:val="both"/>
      </w:pPr>
      <w:r>
        <w:rPr>
          <w:spacing w:val="-3"/>
          <w:sz w:val="18"/>
          <w:szCs w:val="18"/>
          <w:lang w:val="es-ES_tradnl"/>
        </w:rPr>
        <w:t>As</w:t>
      </w:r>
      <w:r>
        <w:rPr>
          <w:rFonts w:cs="Times New Roman"/>
          <w:spacing w:val="-3"/>
          <w:sz w:val="18"/>
          <w:szCs w:val="18"/>
          <w:lang w:val="es-ES_tradnl"/>
        </w:rPr>
        <w:t>í</w:t>
      </w:r>
      <w:r>
        <w:rPr>
          <w:spacing w:val="-3"/>
          <w:sz w:val="18"/>
          <w:szCs w:val="18"/>
          <w:lang w:val="es-ES_tradnl"/>
        </w:rPr>
        <w:t xml:space="preserve">, el debido proceso se lo define como el </w:t>
      </w:r>
      <w:r>
        <w:rPr>
          <w:rFonts w:cs="Times New Roman"/>
          <w:spacing w:val="-3"/>
          <w:sz w:val="18"/>
          <w:szCs w:val="18"/>
          <w:lang w:val="es-ES_tradnl"/>
        </w:rPr>
        <w:t>“</w:t>
      </w:r>
      <w:r>
        <w:rPr>
          <w:spacing w:val="-3"/>
          <w:sz w:val="18"/>
          <w:szCs w:val="18"/>
          <w:lang w:val="es-ES_tradnl"/>
        </w:rPr>
        <w:t xml:space="preserve">derecho a </w:t>
      </w:r>
      <w:r>
        <w:rPr>
          <w:spacing w:val="-4"/>
          <w:sz w:val="18"/>
          <w:szCs w:val="18"/>
          <w:lang w:val="es-ES_tradnl"/>
        </w:rPr>
        <w:t>un juicio justo</w:t>
      </w:r>
      <w:r>
        <w:rPr>
          <w:rFonts w:cs="Times New Roman"/>
          <w:spacing w:val="-4"/>
          <w:sz w:val="18"/>
          <w:szCs w:val="18"/>
          <w:lang w:val="es-ES_tradnl"/>
        </w:rPr>
        <w:t>”</w:t>
      </w:r>
      <w:r>
        <w:rPr>
          <w:spacing w:val="-4"/>
          <w:sz w:val="18"/>
          <w:szCs w:val="18"/>
          <w:lang w:val="es-ES_tradnl"/>
        </w:rPr>
        <w:t xml:space="preserve"> que se traduce en la exigencia de que el </w:t>
      </w:r>
      <w:r>
        <w:rPr>
          <w:spacing w:val="-6"/>
          <w:sz w:val="18"/>
          <w:szCs w:val="18"/>
          <w:lang w:val="es-ES_tradnl"/>
        </w:rPr>
        <w:t>tribunal, jueza o juez, as</w:t>
      </w:r>
      <w:r>
        <w:rPr>
          <w:rFonts w:cs="Times New Roman"/>
          <w:spacing w:val="-6"/>
          <w:sz w:val="18"/>
          <w:szCs w:val="18"/>
          <w:lang w:val="es-ES_tradnl"/>
        </w:rPr>
        <w:t>í</w:t>
      </w:r>
      <w:r>
        <w:rPr>
          <w:spacing w:val="-6"/>
          <w:sz w:val="18"/>
          <w:szCs w:val="18"/>
          <w:lang w:val="es-ES_tradnl"/>
        </w:rPr>
        <w:t xml:space="preserve"> como las partes en el proceso, </w:t>
      </w:r>
      <w:r>
        <w:rPr>
          <w:spacing w:val="-3"/>
          <w:sz w:val="18"/>
          <w:szCs w:val="18"/>
          <w:lang w:val="es-ES_tradnl"/>
        </w:rPr>
        <w:t xml:space="preserve">conozcan previamente las reglas o normas que deben </w:t>
      </w:r>
      <w:r>
        <w:rPr>
          <w:spacing w:val="-8"/>
          <w:sz w:val="18"/>
          <w:szCs w:val="18"/>
          <w:lang w:val="es-ES_tradnl"/>
        </w:rPr>
        <w:t>ser cumplidas en las diferentes fases procesales, para as</w:t>
      </w:r>
      <w:r>
        <w:rPr>
          <w:rFonts w:cs="Times New Roman"/>
          <w:spacing w:val="-8"/>
          <w:sz w:val="18"/>
          <w:szCs w:val="18"/>
          <w:lang w:val="es-ES_tradnl"/>
        </w:rPr>
        <w:t xml:space="preserve">í </w:t>
      </w:r>
      <w:r>
        <w:rPr>
          <w:spacing w:val="-4"/>
          <w:sz w:val="18"/>
          <w:szCs w:val="18"/>
          <w:lang w:val="es-ES_tradnl"/>
        </w:rPr>
        <w:t xml:space="preserve">evitar el posible ejercicio arbitrario de las autoridades </w:t>
      </w:r>
      <w:r>
        <w:rPr>
          <w:spacing w:val="-5"/>
          <w:sz w:val="18"/>
          <w:szCs w:val="18"/>
          <w:lang w:val="es-ES_tradnl"/>
        </w:rPr>
        <w:t>p</w:t>
      </w:r>
      <w:r>
        <w:rPr>
          <w:rFonts w:cs="Times New Roman"/>
          <w:spacing w:val="-5"/>
          <w:sz w:val="18"/>
          <w:szCs w:val="18"/>
          <w:lang w:val="es-ES_tradnl"/>
        </w:rPr>
        <w:t>ú</w:t>
      </w:r>
      <w:r>
        <w:rPr>
          <w:spacing w:val="-5"/>
          <w:sz w:val="18"/>
          <w:szCs w:val="18"/>
          <w:lang w:val="es-ES_tradnl"/>
        </w:rPr>
        <w:t>blicas y privadas, nacionales y extranjeras.</w:t>
      </w:r>
    </w:p>
    <w:p w14:paraId="4F67BBAA" w14:textId="77777777" w:rsidR="00591D54" w:rsidRDefault="00591D54">
      <w:pPr>
        <w:shd w:val="clear" w:color="auto" w:fill="FFFFFF"/>
        <w:spacing w:before="192" w:line="216" w:lineRule="exact"/>
        <w:jc w:val="both"/>
      </w:pPr>
      <w:r>
        <w:rPr>
          <w:spacing w:val="-5"/>
          <w:sz w:val="18"/>
          <w:szCs w:val="18"/>
          <w:lang w:val="es-ES_tradnl"/>
        </w:rPr>
        <w:t xml:space="preserve">De forma concordante, se establece constitucionalmente </w:t>
      </w:r>
      <w:r>
        <w:rPr>
          <w:spacing w:val="-6"/>
          <w:sz w:val="18"/>
          <w:szCs w:val="18"/>
          <w:lang w:val="es-ES_tradnl"/>
        </w:rPr>
        <w:t xml:space="preserve">el derecho a la defensa de toda persona, definido en el </w:t>
      </w:r>
      <w:r>
        <w:rPr>
          <w:spacing w:val="-1"/>
          <w:sz w:val="18"/>
          <w:szCs w:val="18"/>
          <w:lang w:val="es-ES_tradnl"/>
        </w:rPr>
        <w:t xml:space="preserve">numeral 7 </w:t>
      </w:r>
      <w:r>
        <w:rPr>
          <w:i/>
          <w:iCs/>
          <w:spacing w:val="-1"/>
          <w:sz w:val="18"/>
          <w:szCs w:val="18"/>
          <w:lang w:val="es-ES_tradnl"/>
        </w:rPr>
        <w:t>ib</w:t>
      </w:r>
      <w:r>
        <w:rPr>
          <w:rFonts w:cs="Times New Roman"/>
          <w:i/>
          <w:iCs/>
          <w:spacing w:val="-1"/>
          <w:sz w:val="18"/>
          <w:szCs w:val="18"/>
          <w:lang w:val="es-ES_tradnl"/>
        </w:rPr>
        <w:t>í</w:t>
      </w:r>
      <w:r>
        <w:rPr>
          <w:i/>
          <w:iCs/>
          <w:spacing w:val="-1"/>
          <w:sz w:val="18"/>
          <w:szCs w:val="18"/>
          <w:lang w:val="es-ES_tradnl"/>
        </w:rPr>
        <w:t>dem</w:t>
      </w:r>
      <w:r>
        <w:rPr>
          <w:spacing w:val="-1"/>
          <w:sz w:val="18"/>
          <w:szCs w:val="18"/>
          <w:lang w:val="es-ES_tradnl"/>
        </w:rPr>
        <w:t>, que se</w:t>
      </w:r>
      <w:r>
        <w:rPr>
          <w:rFonts w:cs="Times New Roman"/>
          <w:spacing w:val="-1"/>
          <w:sz w:val="18"/>
          <w:szCs w:val="18"/>
          <w:lang w:val="es-ES_tradnl"/>
        </w:rPr>
        <w:t>ñ</w:t>
      </w:r>
      <w:r>
        <w:rPr>
          <w:spacing w:val="-1"/>
          <w:sz w:val="18"/>
          <w:szCs w:val="18"/>
          <w:lang w:val="es-ES_tradnl"/>
        </w:rPr>
        <w:t xml:space="preserve">ala: </w:t>
      </w:r>
      <w:r>
        <w:rPr>
          <w:rFonts w:cs="Times New Roman"/>
          <w:spacing w:val="-1"/>
          <w:sz w:val="18"/>
          <w:szCs w:val="18"/>
          <w:lang w:val="es-ES_tradnl"/>
        </w:rPr>
        <w:t>“</w:t>
      </w:r>
      <w:r>
        <w:rPr>
          <w:spacing w:val="-1"/>
          <w:sz w:val="18"/>
          <w:szCs w:val="18"/>
          <w:lang w:val="es-ES_tradnl"/>
        </w:rPr>
        <w:t>a). Nadie podr</w:t>
      </w:r>
      <w:r>
        <w:rPr>
          <w:rFonts w:cs="Times New Roman"/>
          <w:spacing w:val="-1"/>
          <w:sz w:val="18"/>
          <w:szCs w:val="18"/>
          <w:lang w:val="es-ES_tradnl"/>
        </w:rPr>
        <w:t>á</w:t>
      </w:r>
      <w:r>
        <w:rPr>
          <w:spacing w:val="-1"/>
          <w:sz w:val="18"/>
          <w:szCs w:val="18"/>
          <w:lang w:val="es-ES_tradnl"/>
        </w:rPr>
        <w:t xml:space="preserve"> ser </w:t>
      </w:r>
      <w:r>
        <w:rPr>
          <w:spacing w:val="-2"/>
          <w:sz w:val="18"/>
          <w:szCs w:val="18"/>
          <w:lang w:val="es-ES_tradnl"/>
        </w:rPr>
        <w:t xml:space="preserve">privado del derecho a la defensa en ninguna etapa o </w:t>
      </w:r>
      <w:r>
        <w:rPr>
          <w:spacing w:val="-3"/>
          <w:sz w:val="18"/>
          <w:szCs w:val="18"/>
          <w:lang w:val="es-ES_tradnl"/>
        </w:rPr>
        <w:t>grado del procedimiento</w:t>
      </w:r>
      <w:r>
        <w:rPr>
          <w:rFonts w:cs="Times New Roman"/>
          <w:spacing w:val="-3"/>
          <w:sz w:val="18"/>
          <w:szCs w:val="18"/>
          <w:lang w:val="es-ES_tradnl"/>
        </w:rPr>
        <w:t>”</w:t>
      </w:r>
      <w:r>
        <w:rPr>
          <w:spacing w:val="-3"/>
          <w:sz w:val="18"/>
          <w:szCs w:val="18"/>
          <w:lang w:val="es-ES_tradnl"/>
        </w:rPr>
        <w:t xml:space="preserve">, y en tal sentido, todo tipo de </w:t>
      </w:r>
      <w:r>
        <w:rPr>
          <w:spacing w:val="-4"/>
          <w:sz w:val="18"/>
          <w:szCs w:val="18"/>
          <w:lang w:val="es-ES_tradnl"/>
        </w:rPr>
        <w:t>actos que conlleven la privaci</w:t>
      </w:r>
      <w:r>
        <w:rPr>
          <w:rFonts w:cs="Times New Roman"/>
          <w:spacing w:val="-4"/>
          <w:sz w:val="18"/>
          <w:szCs w:val="18"/>
          <w:lang w:val="es-ES_tradnl"/>
        </w:rPr>
        <w:t>ó</w:t>
      </w:r>
      <w:r>
        <w:rPr>
          <w:spacing w:val="-4"/>
          <w:sz w:val="18"/>
          <w:szCs w:val="18"/>
          <w:lang w:val="es-ES_tradnl"/>
        </w:rPr>
        <w:t>n o limitaci</w:t>
      </w:r>
      <w:r>
        <w:rPr>
          <w:rFonts w:cs="Times New Roman"/>
          <w:spacing w:val="-4"/>
          <w:sz w:val="18"/>
          <w:szCs w:val="18"/>
          <w:lang w:val="es-ES_tradnl"/>
        </w:rPr>
        <w:t>ó</w:t>
      </w:r>
      <w:r>
        <w:rPr>
          <w:spacing w:val="-4"/>
          <w:sz w:val="18"/>
          <w:szCs w:val="18"/>
          <w:lang w:val="es-ES_tradnl"/>
        </w:rPr>
        <w:t xml:space="preserve">n del referido </w:t>
      </w:r>
      <w:r>
        <w:rPr>
          <w:spacing w:val="-6"/>
          <w:sz w:val="18"/>
          <w:szCs w:val="18"/>
          <w:lang w:val="es-ES_tradnl"/>
        </w:rPr>
        <w:t>derecho producir</w:t>
      </w:r>
      <w:r>
        <w:rPr>
          <w:rFonts w:cs="Times New Roman"/>
          <w:spacing w:val="-6"/>
          <w:sz w:val="18"/>
          <w:szCs w:val="18"/>
          <w:lang w:val="es-ES_tradnl"/>
        </w:rPr>
        <w:t>á</w:t>
      </w:r>
      <w:r>
        <w:rPr>
          <w:spacing w:val="-6"/>
          <w:sz w:val="18"/>
          <w:szCs w:val="18"/>
          <w:lang w:val="es-ES_tradnl"/>
        </w:rPr>
        <w:t xml:space="preserve">, en </w:t>
      </w:r>
      <w:r>
        <w:rPr>
          <w:rFonts w:cs="Times New Roman"/>
          <w:spacing w:val="-6"/>
          <w:sz w:val="18"/>
          <w:szCs w:val="18"/>
          <w:lang w:val="es-ES_tradnl"/>
        </w:rPr>
        <w:t>ú</w:t>
      </w:r>
      <w:r>
        <w:rPr>
          <w:spacing w:val="-6"/>
          <w:sz w:val="18"/>
          <w:szCs w:val="18"/>
          <w:lang w:val="es-ES_tradnl"/>
        </w:rPr>
        <w:t>ltima instancia, indefensi</w:t>
      </w:r>
      <w:r>
        <w:rPr>
          <w:rFonts w:cs="Times New Roman"/>
          <w:spacing w:val="-6"/>
          <w:sz w:val="18"/>
          <w:szCs w:val="18"/>
          <w:lang w:val="es-ES_tradnl"/>
        </w:rPr>
        <w:t>ó</w:t>
      </w:r>
      <w:r>
        <w:rPr>
          <w:spacing w:val="-6"/>
          <w:sz w:val="18"/>
          <w:szCs w:val="18"/>
          <w:lang w:val="es-ES_tradnl"/>
        </w:rPr>
        <w:t>n. En tal virtud, esta garant</w:t>
      </w:r>
      <w:r>
        <w:rPr>
          <w:rFonts w:cs="Times New Roman"/>
          <w:spacing w:val="-6"/>
          <w:sz w:val="18"/>
          <w:szCs w:val="18"/>
          <w:lang w:val="es-ES_tradnl"/>
        </w:rPr>
        <w:t>í</w:t>
      </w:r>
      <w:r>
        <w:rPr>
          <w:spacing w:val="-6"/>
          <w:sz w:val="18"/>
          <w:szCs w:val="18"/>
          <w:lang w:val="es-ES_tradnl"/>
        </w:rPr>
        <w:t xml:space="preserve">a esencial es un sustento fundamental </w:t>
      </w:r>
      <w:r>
        <w:rPr>
          <w:sz w:val="18"/>
          <w:szCs w:val="18"/>
          <w:lang w:val="es-ES_tradnl"/>
        </w:rPr>
        <w:t>del debido proceso, por lo que tiene relaci</w:t>
      </w:r>
      <w:r>
        <w:rPr>
          <w:rFonts w:cs="Times New Roman"/>
          <w:sz w:val="18"/>
          <w:szCs w:val="18"/>
          <w:lang w:val="es-ES_tradnl"/>
        </w:rPr>
        <w:t>ó</w:t>
      </w:r>
      <w:r>
        <w:rPr>
          <w:sz w:val="18"/>
          <w:szCs w:val="18"/>
          <w:lang w:val="es-ES_tradnl"/>
        </w:rPr>
        <w:t xml:space="preserve">n con la tutela judicial efectiva que determina </w:t>
      </w:r>
      <w:r>
        <w:rPr>
          <w:rFonts w:cs="Times New Roman"/>
          <w:sz w:val="18"/>
          <w:szCs w:val="18"/>
          <w:lang w:val="es-ES_tradnl"/>
        </w:rPr>
        <w:t>“</w:t>
      </w:r>
      <w:r>
        <w:rPr>
          <w:sz w:val="18"/>
          <w:szCs w:val="18"/>
          <w:lang w:val="es-ES_tradnl"/>
        </w:rPr>
        <w:t xml:space="preserve">Toda persona </w:t>
      </w:r>
      <w:r>
        <w:rPr>
          <w:spacing w:val="-5"/>
          <w:sz w:val="18"/>
          <w:szCs w:val="18"/>
          <w:lang w:val="es-ES_tradnl"/>
        </w:rPr>
        <w:t xml:space="preserve">tiene derecho al acceso gratuito a la justicia y a la tutela </w:t>
      </w:r>
      <w:r>
        <w:rPr>
          <w:spacing w:val="-7"/>
          <w:sz w:val="18"/>
          <w:szCs w:val="18"/>
          <w:lang w:val="es-ES_tradnl"/>
        </w:rPr>
        <w:t xml:space="preserve">efectiva, imparcial y expedita de sus derechos e intereses, </w:t>
      </w:r>
      <w:r>
        <w:rPr>
          <w:spacing w:val="-4"/>
          <w:sz w:val="18"/>
          <w:szCs w:val="18"/>
          <w:lang w:val="es-ES_tradnl"/>
        </w:rPr>
        <w:t>con sujeci</w:t>
      </w:r>
      <w:r>
        <w:rPr>
          <w:rFonts w:cs="Times New Roman"/>
          <w:spacing w:val="-4"/>
          <w:sz w:val="18"/>
          <w:szCs w:val="18"/>
          <w:lang w:val="es-ES_tradnl"/>
        </w:rPr>
        <w:t>ó</w:t>
      </w:r>
      <w:r>
        <w:rPr>
          <w:spacing w:val="-4"/>
          <w:sz w:val="18"/>
          <w:szCs w:val="18"/>
          <w:lang w:val="es-ES_tradnl"/>
        </w:rPr>
        <w:t>n a los principios de inmediaci</w:t>
      </w:r>
      <w:r>
        <w:rPr>
          <w:rFonts w:cs="Times New Roman"/>
          <w:spacing w:val="-4"/>
          <w:sz w:val="18"/>
          <w:szCs w:val="18"/>
          <w:lang w:val="es-ES_tradnl"/>
        </w:rPr>
        <w:t>ó</w:t>
      </w:r>
      <w:r>
        <w:rPr>
          <w:spacing w:val="-4"/>
          <w:sz w:val="18"/>
          <w:szCs w:val="18"/>
          <w:lang w:val="es-ES_tradnl"/>
        </w:rPr>
        <w:t xml:space="preserve">n y celeridad; </w:t>
      </w:r>
      <w:r>
        <w:rPr>
          <w:spacing w:val="-7"/>
          <w:sz w:val="18"/>
          <w:szCs w:val="18"/>
          <w:lang w:val="es-ES_tradnl"/>
        </w:rPr>
        <w:t>en ning</w:t>
      </w:r>
      <w:r>
        <w:rPr>
          <w:rFonts w:cs="Times New Roman"/>
          <w:spacing w:val="-7"/>
          <w:sz w:val="18"/>
          <w:szCs w:val="18"/>
          <w:lang w:val="es-ES_tradnl"/>
        </w:rPr>
        <w:t>ú</w:t>
      </w:r>
      <w:r>
        <w:rPr>
          <w:spacing w:val="-7"/>
          <w:sz w:val="18"/>
          <w:szCs w:val="18"/>
          <w:lang w:val="es-ES_tradnl"/>
        </w:rPr>
        <w:t>n caso quedar</w:t>
      </w:r>
      <w:r>
        <w:rPr>
          <w:rFonts w:cs="Times New Roman"/>
          <w:spacing w:val="-7"/>
          <w:sz w:val="18"/>
          <w:szCs w:val="18"/>
          <w:lang w:val="es-ES_tradnl"/>
        </w:rPr>
        <w:t>á</w:t>
      </w:r>
      <w:r>
        <w:rPr>
          <w:spacing w:val="-7"/>
          <w:sz w:val="18"/>
          <w:szCs w:val="18"/>
          <w:lang w:val="es-ES_tradnl"/>
        </w:rPr>
        <w:t xml:space="preserve"> en indefensi</w:t>
      </w:r>
      <w:r>
        <w:rPr>
          <w:rFonts w:cs="Times New Roman"/>
          <w:spacing w:val="-7"/>
          <w:sz w:val="18"/>
          <w:szCs w:val="18"/>
          <w:lang w:val="es-ES_tradnl"/>
        </w:rPr>
        <w:t>ó</w:t>
      </w:r>
      <w:r>
        <w:rPr>
          <w:spacing w:val="-7"/>
          <w:sz w:val="18"/>
          <w:szCs w:val="18"/>
          <w:lang w:val="es-ES_tradnl"/>
        </w:rPr>
        <w:t xml:space="preserve">n. El incumplimiento </w:t>
      </w:r>
      <w:r>
        <w:rPr>
          <w:spacing w:val="-1"/>
          <w:sz w:val="18"/>
          <w:szCs w:val="18"/>
          <w:lang w:val="es-ES_tradnl"/>
        </w:rPr>
        <w:t>de las resoluciones judiciales ser</w:t>
      </w:r>
      <w:r>
        <w:rPr>
          <w:rFonts w:cs="Times New Roman"/>
          <w:spacing w:val="-1"/>
          <w:sz w:val="18"/>
          <w:szCs w:val="18"/>
          <w:lang w:val="es-ES_tradnl"/>
        </w:rPr>
        <w:t>á</w:t>
      </w:r>
      <w:r>
        <w:rPr>
          <w:spacing w:val="-1"/>
          <w:sz w:val="18"/>
          <w:szCs w:val="18"/>
          <w:lang w:val="es-ES_tradnl"/>
        </w:rPr>
        <w:t xml:space="preserve"> sancionado por la </w:t>
      </w:r>
      <w:r>
        <w:rPr>
          <w:spacing w:val="-5"/>
          <w:sz w:val="18"/>
          <w:szCs w:val="18"/>
          <w:lang w:val="es-ES_tradnl"/>
        </w:rPr>
        <w:t>ley</w:t>
      </w:r>
      <w:r>
        <w:rPr>
          <w:rFonts w:cs="Times New Roman"/>
          <w:spacing w:val="-5"/>
          <w:sz w:val="18"/>
          <w:szCs w:val="18"/>
          <w:lang w:val="es-ES_tradnl"/>
        </w:rPr>
        <w:t>”</w:t>
      </w:r>
      <w:r>
        <w:rPr>
          <w:spacing w:val="-5"/>
          <w:sz w:val="18"/>
          <w:szCs w:val="18"/>
          <w:lang w:val="es-ES_tradnl"/>
        </w:rPr>
        <w:t>. As</w:t>
      </w:r>
      <w:r>
        <w:rPr>
          <w:rFonts w:cs="Times New Roman"/>
          <w:spacing w:val="-5"/>
          <w:sz w:val="18"/>
          <w:szCs w:val="18"/>
          <w:lang w:val="es-ES_tradnl"/>
        </w:rPr>
        <w:t>í</w:t>
      </w:r>
      <w:r>
        <w:rPr>
          <w:spacing w:val="-5"/>
          <w:sz w:val="18"/>
          <w:szCs w:val="18"/>
          <w:lang w:val="es-ES_tradnl"/>
        </w:rPr>
        <w:t>, ambos derechos proh</w:t>
      </w:r>
      <w:r>
        <w:rPr>
          <w:rFonts w:cs="Times New Roman"/>
          <w:spacing w:val="-5"/>
          <w:sz w:val="18"/>
          <w:szCs w:val="18"/>
          <w:lang w:val="es-ES_tradnl"/>
        </w:rPr>
        <w:t>í</w:t>
      </w:r>
      <w:r>
        <w:rPr>
          <w:spacing w:val="-5"/>
          <w:sz w:val="18"/>
          <w:szCs w:val="18"/>
          <w:lang w:val="es-ES_tradnl"/>
        </w:rPr>
        <w:t xml:space="preserve">ben al juzgador no dejar </w:t>
      </w:r>
      <w:r>
        <w:rPr>
          <w:spacing w:val="-6"/>
          <w:sz w:val="18"/>
          <w:szCs w:val="18"/>
          <w:lang w:val="es-ES_tradnl"/>
        </w:rPr>
        <w:t>en indefensi</w:t>
      </w:r>
      <w:r>
        <w:rPr>
          <w:rFonts w:cs="Times New Roman"/>
          <w:spacing w:val="-6"/>
          <w:sz w:val="18"/>
          <w:szCs w:val="18"/>
          <w:lang w:val="es-ES_tradnl"/>
        </w:rPr>
        <w:t>ó</w:t>
      </w:r>
      <w:r>
        <w:rPr>
          <w:spacing w:val="-6"/>
          <w:sz w:val="18"/>
          <w:szCs w:val="18"/>
          <w:lang w:val="es-ES_tradnl"/>
        </w:rPr>
        <w:t xml:space="preserve">n a los sujetos procesales, garantizando el </w:t>
      </w:r>
      <w:r>
        <w:rPr>
          <w:spacing w:val="-3"/>
          <w:sz w:val="18"/>
          <w:szCs w:val="18"/>
          <w:lang w:val="es-ES_tradnl"/>
        </w:rPr>
        <w:t>derecho a la tutela judicial efectiva sin indefensi</w:t>
      </w:r>
      <w:r>
        <w:rPr>
          <w:rFonts w:cs="Times New Roman"/>
          <w:spacing w:val="-3"/>
          <w:sz w:val="18"/>
          <w:szCs w:val="18"/>
          <w:lang w:val="es-ES_tradnl"/>
        </w:rPr>
        <w:t>ó</w:t>
      </w:r>
      <w:r>
        <w:rPr>
          <w:spacing w:val="-3"/>
          <w:sz w:val="18"/>
          <w:szCs w:val="18"/>
          <w:lang w:val="es-ES_tradnl"/>
        </w:rPr>
        <w:t xml:space="preserve">n. Al </w:t>
      </w:r>
      <w:r>
        <w:rPr>
          <w:spacing w:val="-6"/>
          <w:sz w:val="18"/>
          <w:szCs w:val="18"/>
          <w:lang w:val="es-ES_tradnl"/>
        </w:rPr>
        <w:t>respecto, este Organismo en sentencia N.</w:t>
      </w:r>
      <w:r>
        <w:rPr>
          <w:rFonts w:cs="Times New Roman"/>
          <w:spacing w:val="-6"/>
          <w:sz w:val="18"/>
          <w:szCs w:val="18"/>
          <w:lang w:val="es-ES_tradnl"/>
        </w:rPr>
        <w:t>º</w:t>
      </w:r>
      <w:r>
        <w:rPr>
          <w:spacing w:val="-6"/>
          <w:sz w:val="18"/>
          <w:szCs w:val="18"/>
          <w:lang w:val="es-ES_tradnl"/>
        </w:rPr>
        <w:t xml:space="preserve"> 165-15-SEP-CC emitida el 20 de mayo de 2015, caso N.</w:t>
      </w:r>
      <w:r>
        <w:rPr>
          <w:rFonts w:cs="Times New Roman"/>
          <w:spacing w:val="-6"/>
          <w:sz w:val="18"/>
          <w:szCs w:val="18"/>
          <w:lang w:val="es-ES_tradnl"/>
        </w:rPr>
        <w:t>º</w:t>
      </w:r>
      <w:r>
        <w:rPr>
          <w:spacing w:val="-6"/>
          <w:sz w:val="18"/>
          <w:szCs w:val="18"/>
          <w:lang w:val="es-ES_tradnl"/>
        </w:rPr>
        <w:t xml:space="preserve"> 0665-11-EP </w:t>
      </w:r>
      <w:r>
        <w:rPr>
          <w:sz w:val="18"/>
          <w:szCs w:val="18"/>
          <w:lang w:val="es-ES_tradnl"/>
        </w:rPr>
        <w:t>se pronunci</w:t>
      </w:r>
      <w:r>
        <w:rPr>
          <w:rFonts w:cs="Times New Roman"/>
          <w:sz w:val="18"/>
          <w:szCs w:val="18"/>
          <w:lang w:val="es-ES_tradnl"/>
        </w:rPr>
        <w:t>ó</w:t>
      </w:r>
      <w:r>
        <w:rPr>
          <w:sz w:val="18"/>
          <w:szCs w:val="18"/>
          <w:lang w:val="es-ES_tradnl"/>
        </w:rPr>
        <w:t xml:space="preserve"> manifestando que:</w:t>
      </w:r>
    </w:p>
    <w:p w14:paraId="4F67BBAB" w14:textId="77777777" w:rsidR="00591D54" w:rsidRDefault="00591D54">
      <w:pPr>
        <w:shd w:val="clear" w:color="auto" w:fill="FFFFFF"/>
        <w:spacing w:before="202" w:line="211" w:lineRule="exact"/>
        <w:ind w:left="283" w:right="10"/>
        <w:jc w:val="both"/>
      </w:pPr>
      <w:r>
        <w:rPr>
          <w:sz w:val="14"/>
          <w:szCs w:val="14"/>
          <w:lang w:val="es-ES_tradnl"/>
        </w:rPr>
        <w:t>La interdependencia conlleva que los derechos configuran un sistema en el cual est</w:t>
      </w:r>
      <w:r>
        <w:rPr>
          <w:rFonts w:cs="Times New Roman"/>
          <w:sz w:val="14"/>
          <w:szCs w:val="14"/>
          <w:lang w:val="es-ES_tradnl"/>
        </w:rPr>
        <w:t>á</w:t>
      </w:r>
      <w:r>
        <w:rPr>
          <w:sz w:val="14"/>
          <w:szCs w:val="14"/>
          <w:lang w:val="es-ES_tradnl"/>
        </w:rPr>
        <w:t>n relacionados, lo cual implica que una vulneraci</w:t>
      </w:r>
      <w:r>
        <w:rPr>
          <w:rFonts w:cs="Times New Roman"/>
          <w:sz w:val="14"/>
          <w:szCs w:val="14"/>
          <w:lang w:val="es-ES_tradnl"/>
        </w:rPr>
        <w:t>ó</w:t>
      </w:r>
      <w:r>
        <w:rPr>
          <w:sz w:val="14"/>
          <w:szCs w:val="14"/>
          <w:lang w:val="es-ES_tradnl"/>
        </w:rPr>
        <w:t>n a un derecho puede lesionar a otros. Como se ha expuesto, el contenido del derecho a la tutela judicial efectiva contempla tambi</w:t>
      </w:r>
      <w:r>
        <w:rPr>
          <w:rFonts w:cs="Times New Roman"/>
          <w:sz w:val="14"/>
          <w:szCs w:val="14"/>
          <w:lang w:val="es-ES_tradnl"/>
        </w:rPr>
        <w:t>é</w:t>
      </w:r>
      <w:r>
        <w:rPr>
          <w:sz w:val="14"/>
          <w:szCs w:val="14"/>
          <w:lang w:val="es-ES_tradnl"/>
        </w:rPr>
        <w:t>n una tramitaci</w:t>
      </w:r>
      <w:r>
        <w:rPr>
          <w:rFonts w:cs="Times New Roman"/>
          <w:sz w:val="14"/>
          <w:szCs w:val="14"/>
          <w:lang w:val="es-ES_tradnl"/>
        </w:rPr>
        <w:t>ó</w:t>
      </w:r>
      <w:r>
        <w:rPr>
          <w:sz w:val="14"/>
          <w:szCs w:val="14"/>
          <w:lang w:val="es-ES_tradnl"/>
        </w:rPr>
        <w:t>n en observancia del debido proceso (</w:t>
      </w:r>
      <w:r>
        <w:rPr>
          <w:rFonts w:cs="Times New Roman"/>
          <w:sz w:val="14"/>
          <w:szCs w:val="14"/>
          <w:lang w:val="es-ES_tradnl"/>
        </w:rPr>
        <w:t>…</w:t>
      </w:r>
      <w:r>
        <w:rPr>
          <w:sz w:val="14"/>
          <w:szCs w:val="14"/>
          <w:lang w:val="es-ES_tradnl"/>
        </w:rPr>
        <w:t>)</w:t>
      </w:r>
      <w:r>
        <w:rPr>
          <w:sz w:val="14"/>
          <w:szCs w:val="14"/>
          <w:vertAlign w:val="superscript"/>
          <w:lang w:val="es-ES_tradnl"/>
        </w:rPr>
        <w:t>1</w:t>
      </w:r>
    </w:p>
    <w:p w14:paraId="4F67BBAC" w14:textId="77777777" w:rsidR="00591D54" w:rsidRDefault="00591D54">
      <w:pPr>
        <w:shd w:val="clear" w:color="auto" w:fill="FFFFFF"/>
        <w:spacing w:before="202" w:line="216" w:lineRule="exact"/>
        <w:ind w:right="5"/>
        <w:jc w:val="both"/>
      </w:pPr>
      <w:r>
        <w:rPr>
          <w:spacing w:val="-7"/>
          <w:sz w:val="18"/>
          <w:szCs w:val="18"/>
          <w:lang w:val="es-ES_tradnl"/>
        </w:rPr>
        <w:t>En este contexto, corresponde a esta Corte Constitucional analizar si la sentencia impugnada, efectivamente vulner</w:t>
      </w:r>
      <w:r>
        <w:rPr>
          <w:rFonts w:cs="Times New Roman"/>
          <w:spacing w:val="-7"/>
          <w:sz w:val="18"/>
          <w:szCs w:val="18"/>
          <w:lang w:val="es-ES_tradnl"/>
        </w:rPr>
        <w:t>ó</w:t>
      </w:r>
    </w:p>
    <w:p w14:paraId="4F67BBAD" w14:textId="77777777" w:rsidR="00591D54" w:rsidRDefault="00591D54">
      <w:pPr>
        <w:shd w:val="clear" w:color="auto" w:fill="FFFFFF"/>
        <w:spacing w:before="514" w:line="178" w:lineRule="exact"/>
        <w:ind w:left="139" w:hanging="139"/>
      </w:pPr>
      <w:r>
        <w:rPr>
          <w:sz w:val="14"/>
          <w:szCs w:val="14"/>
          <w:vertAlign w:val="superscript"/>
          <w:lang w:val="es-ES_tradnl"/>
        </w:rPr>
        <w:t>1</w:t>
      </w:r>
      <w:r>
        <w:rPr>
          <w:sz w:val="14"/>
          <w:szCs w:val="14"/>
          <w:lang w:val="es-ES_tradnl"/>
        </w:rPr>
        <w:t xml:space="preserve">  Corte Constitucional del Ecuador. Sentencia N.</w:t>
      </w:r>
      <w:r>
        <w:rPr>
          <w:rFonts w:cs="Times New Roman"/>
          <w:sz w:val="14"/>
          <w:szCs w:val="14"/>
          <w:lang w:val="es-ES_tradnl"/>
        </w:rPr>
        <w:t>°</w:t>
      </w:r>
      <w:r>
        <w:rPr>
          <w:sz w:val="14"/>
          <w:szCs w:val="14"/>
          <w:lang w:val="es-ES_tradnl"/>
        </w:rPr>
        <w:t xml:space="preserve"> 165-15-SEP-CC, caso N.</w:t>
      </w:r>
      <w:r>
        <w:rPr>
          <w:rFonts w:cs="Times New Roman"/>
          <w:sz w:val="14"/>
          <w:szCs w:val="14"/>
          <w:lang w:val="es-ES_tradnl"/>
        </w:rPr>
        <w:t>°</w:t>
      </w:r>
      <w:r>
        <w:rPr>
          <w:sz w:val="14"/>
          <w:szCs w:val="14"/>
          <w:lang w:val="es-ES_tradnl"/>
        </w:rPr>
        <w:t xml:space="preserve"> 0665-11-EP, p. 8</w:t>
      </w:r>
    </w:p>
    <w:p w14:paraId="4F67BBAE" w14:textId="77777777" w:rsidR="00591D54" w:rsidRDefault="00591D54">
      <w:pPr>
        <w:shd w:val="clear" w:color="auto" w:fill="FFFFFF"/>
        <w:spacing w:line="216" w:lineRule="exact"/>
        <w:jc w:val="both"/>
      </w:pPr>
      <w:r>
        <w:br w:type="column"/>
      </w:r>
      <w:r>
        <w:rPr>
          <w:spacing w:val="-11"/>
          <w:sz w:val="18"/>
          <w:szCs w:val="18"/>
          <w:lang w:val="es-ES_tradnl"/>
        </w:rPr>
        <w:t>o no el derecho al debido proceso en la garant</w:t>
      </w:r>
      <w:r>
        <w:rPr>
          <w:rFonts w:cs="Times New Roman"/>
          <w:spacing w:val="-11"/>
          <w:sz w:val="18"/>
          <w:szCs w:val="18"/>
          <w:lang w:val="es-ES_tradnl"/>
        </w:rPr>
        <w:t>í</w:t>
      </w:r>
      <w:r>
        <w:rPr>
          <w:spacing w:val="-11"/>
          <w:sz w:val="18"/>
          <w:szCs w:val="18"/>
          <w:lang w:val="es-ES_tradnl"/>
        </w:rPr>
        <w:t xml:space="preserve">a a la defensa, </w:t>
      </w:r>
      <w:r>
        <w:rPr>
          <w:spacing w:val="-5"/>
          <w:sz w:val="18"/>
          <w:szCs w:val="18"/>
          <w:lang w:val="es-ES_tradnl"/>
        </w:rPr>
        <w:t xml:space="preserve">supuestamente por no permitirle rendir testimonio dentro </w:t>
      </w:r>
      <w:r>
        <w:rPr>
          <w:sz w:val="18"/>
          <w:szCs w:val="18"/>
          <w:lang w:val="es-ES_tradnl"/>
        </w:rPr>
        <w:t>del procedimiento abreviado.</w:t>
      </w:r>
    </w:p>
    <w:p w14:paraId="4F67BBAF" w14:textId="77777777" w:rsidR="00591D54" w:rsidRDefault="00591D54">
      <w:pPr>
        <w:shd w:val="clear" w:color="auto" w:fill="FFFFFF"/>
        <w:spacing w:before="197" w:line="216" w:lineRule="exact"/>
        <w:jc w:val="both"/>
      </w:pPr>
      <w:r>
        <w:rPr>
          <w:spacing w:val="-6"/>
          <w:sz w:val="18"/>
          <w:szCs w:val="18"/>
          <w:lang w:val="es-ES_tradnl"/>
        </w:rPr>
        <w:t>En lo concerniente al tema, cabe indicar que la aplicaci</w:t>
      </w:r>
      <w:r>
        <w:rPr>
          <w:rFonts w:cs="Times New Roman"/>
          <w:spacing w:val="-6"/>
          <w:sz w:val="18"/>
          <w:szCs w:val="18"/>
          <w:lang w:val="es-ES_tradnl"/>
        </w:rPr>
        <w:t>ó</w:t>
      </w:r>
      <w:r>
        <w:rPr>
          <w:spacing w:val="-6"/>
          <w:sz w:val="18"/>
          <w:szCs w:val="18"/>
          <w:lang w:val="es-ES_tradnl"/>
        </w:rPr>
        <w:t xml:space="preserve">n </w:t>
      </w:r>
      <w:r>
        <w:rPr>
          <w:spacing w:val="-5"/>
          <w:sz w:val="18"/>
          <w:szCs w:val="18"/>
          <w:lang w:val="es-ES_tradnl"/>
        </w:rPr>
        <w:t>del procedimiento abreviado estuvo vigente en el C</w:t>
      </w:r>
      <w:r>
        <w:rPr>
          <w:rFonts w:cs="Times New Roman"/>
          <w:spacing w:val="-5"/>
          <w:sz w:val="18"/>
          <w:szCs w:val="18"/>
          <w:lang w:val="es-ES_tradnl"/>
        </w:rPr>
        <w:t>ó</w:t>
      </w:r>
      <w:r>
        <w:rPr>
          <w:spacing w:val="-5"/>
          <w:sz w:val="18"/>
          <w:szCs w:val="18"/>
          <w:lang w:val="es-ES_tradnl"/>
        </w:rPr>
        <w:t xml:space="preserve">digo </w:t>
      </w:r>
      <w:r>
        <w:rPr>
          <w:spacing w:val="-6"/>
          <w:sz w:val="18"/>
          <w:szCs w:val="18"/>
          <w:lang w:val="es-ES_tradnl"/>
        </w:rPr>
        <w:t xml:space="preserve">de Procedimiento Penal y actualmente se encuentra </w:t>
      </w:r>
      <w:r>
        <w:rPr>
          <w:spacing w:val="-5"/>
          <w:sz w:val="18"/>
          <w:szCs w:val="18"/>
          <w:lang w:val="es-ES_tradnl"/>
        </w:rPr>
        <w:t>reproducido en el C</w:t>
      </w:r>
      <w:r>
        <w:rPr>
          <w:rFonts w:cs="Times New Roman"/>
          <w:spacing w:val="-5"/>
          <w:sz w:val="18"/>
          <w:szCs w:val="18"/>
          <w:lang w:val="es-ES_tradnl"/>
        </w:rPr>
        <w:t>ó</w:t>
      </w:r>
      <w:r>
        <w:rPr>
          <w:spacing w:val="-5"/>
          <w:sz w:val="18"/>
          <w:szCs w:val="18"/>
          <w:lang w:val="es-ES_tradnl"/>
        </w:rPr>
        <w:t>digo Org</w:t>
      </w:r>
      <w:r>
        <w:rPr>
          <w:rFonts w:cs="Times New Roman"/>
          <w:spacing w:val="-5"/>
          <w:sz w:val="18"/>
          <w:szCs w:val="18"/>
          <w:lang w:val="es-ES_tradnl"/>
        </w:rPr>
        <w:t>á</w:t>
      </w:r>
      <w:r>
        <w:rPr>
          <w:spacing w:val="-5"/>
          <w:sz w:val="18"/>
          <w:szCs w:val="18"/>
          <w:lang w:val="es-ES_tradnl"/>
        </w:rPr>
        <w:t xml:space="preserve">nico Integral Penal a partir </w:t>
      </w:r>
      <w:r>
        <w:rPr>
          <w:spacing w:val="-8"/>
          <w:sz w:val="18"/>
          <w:szCs w:val="18"/>
          <w:lang w:val="es-ES_tradnl"/>
        </w:rPr>
        <w:t>del art</w:t>
      </w:r>
      <w:r>
        <w:rPr>
          <w:rFonts w:cs="Times New Roman"/>
          <w:spacing w:val="-8"/>
          <w:sz w:val="18"/>
          <w:szCs w:val="18"/>
          <w:lang w:val="es-ES_tradnl"/>
        </w:rPr>
        <w:t>í</w:t>
      </w:r>
      <w:r>
        <w:rPr>
          <w:spacing w:val="-8"/>
          <w:sz w:val="18"/>
          <w:szCs w:val="18"/>
          <w:lang w:val="es-ES_tradnl"/>
        </w:rPr>
        <w:t>culo 635, con la finalidad de humanizar la actuaci</w:t>
      </w:r>
      <w:r>
        <w:rPr>
          <w:rFonts w:cs="Times New Roman"/>
          <w:spacing w:val="-8"/>
          <w:sz w:val="18"/>
          <w:szCs w:val="18"/>
          <w:lang w:val="es-ES_tradnl"/>
        </w:rPr>
        <w:t>ó</w:t>
      </w:r>
      <w:r>
        <w:rPr>
          <w:spacing w:val="-8"/>
          <w:sz w:val="18"/>
          <w:szCs w:val="18"/>
          <w:lang w:val="es-ES_tradnl"/>
        </w:rPr>
        <w:t xml:space="preserve">n </w:t>
      </w:r>
      <w:r>
        <w:rPr>
          <w:spacing w:val="-6"/>
          <w:sz w:val="18"/>
          <w:szCs w:val="18"/>
          <w:lang w:val="es-ES_tradnl"/>
        </w:rPr>
        <w:t xml:space="preserve">procesal y la pena, y de esta manera obtener de ella una </w:t>
      </w:r>
      <w:r>
        <w:rPr>
          <w:spacing w:val="-5"/>
          <w:sz w:val="18"/>
          <w:szCs w:val="18"/>
          <w:lang w:val="es-ES_tradnl"/>
        </w:rPr>
        <w:t>pronta y cumplida justicia que coadyuve a la soluci</w:t>
      </w:r>
      <w:r>
        <w:rPr>
          <w:rFonts w:cs="Times New Roman"/>
          <w:spacing w:val="-5"/>
          <w:sz w:val="18"/>
          <w:szCs w:val="18"/>
          <w:lang w:val="es-ES_tradnl"/>
        </w:rPr>
        <w:t>ó</w:t>
      </w:r>
      <w:r>
        <w:rPr>
          <w:spacing w:val="-5"/>
          <w:sz w:val="18"/>
          <w:szCs w:val="18"/>
          <w:lang w:val="es-ES_tradnl"/>
        </w:rPr>
        <w:t xml:space="preserve">n de </w:t>
      </w:r>
      <w:r>
        <w:rPr>
          <w:spacing w:val="-7"/>
          <w:sz w:val="18"/>
          <w:szCs w:val="18"/>
          <w:lang w:val="es-ES_tradnl"/>
        </w:rPr>
        <w:t>los litigios que se encuentran sustanci</w:t>
      </w:r>
      <w:r>
        <w:rPr>
          <w:rFonts w:cs="Times New Roman"/>
          <w:spacing w:val="-7"/>
          <w:sz w:val="18"/>
          <w:szCs w:val="18"/>
          <w:lang w:val="es-ES_tradnl"/>
        </w:rPr>
        <w:t>á</w:t>
      </w:r>
      <w:r>
        <w:rPr>
          <w:spacing w:val="-7"/>
          <w:sz w:val="18"/>
          <w:szCs w:val="18"/>
          <w:lang w:val="es-ES_tradnl"/>
        </w:rPr>
        <w:t xml:space="preserve">ndose en la etapa </w:t>
      </w:r>
      <w:r>
        <w:rPr>
          <w:spacing w:val="-2"/>
          <w:sz w:val="18"/>
          <w:szCs w:val="18"/>
          <w:lang w:val="es-ES_tradnl"/>
        </w:rPr>
        <w:t>intermedia o del juicio, a fin de propiciar la reparaci</w:t>
      </w:r>
      <w:r>
        <w:rPr>
          <w:rFonts w:cs="Times New Roman"/>
          <w:spacing w:val="-2"/>
          <w:sz w:val="18"/>
          <w:szCs w:val="18"/>
          <w:lang w:val="es-ES_tradnl"/>
        </w:rPr>
        <w:t>ó</w:t>
      </w:r>
      <w:r>
        <w:rPr>
          <w:spacing w:val="-2"/>
          <w:sz w:val="18"/>
          <w:szCs w:val="18"/>
          <w:lang w:val="es-ES_tradnl"/>
        </w:rPr>
        <w:t xml:space="preserve">n </w:t>
      </w:r>
      <w:r>
        <w:rPr>
          <w:spacing w:val="-6"/>
          <w:sz w:val="18"/>
          <w:szCs w:val="18"/>
          <w:lang w:val="es-ES_tradnl"/>
        </w:rPr>
        <w:t>integral de los perjuicios ocasionados a la v</w:t>
      </w:r>
      <w:r>
        <w:rPr>
          <w:rFonts w:cs="Times New Roman"/>
          <w:spacing w:val="-6"/>
          <w:sz w:val="18"/>
          <w:szCs w:val="18"/>
          <w:lang w:val="es-ES_tradnl"/>
        </w:rPr>
        <w:t>í</w:t>
      </w:r>
      <w:r>
        <w:rPr>
          <w:spacing w:val="-6"/>
          <w:sz w:val="18"/>
          <w:szCs w:val="18"/>
          <w:lang w:val="es-ES_tradnl"/>
        </w:rPr>
        <w:t xml:space="preserve">ctima y lograr </w:t>
      </w:r>
      <w:r>
        <w:rPr>
          <w:spacing w:val="-7"/>
          <w:sz w:val="18"/>
          <w:szCs w:val="18"/>
          <w:lang w:val="es-ES_tradnl"/>
        </w:rPr>
        <w:t>la participaci</w:t>
      </w:r>
      <w:r>
        <w:rPr>
          <w:rFonts w:cs="Times New Roman"/>
          <w:spacing w:val="-7"/>
          <w:sz w:val="18"/>
          <w:szCs w:val="18"/>
          <w:lang w:val="es-ES_tradnl"/>
        </w:rPr>
        <w:t>ó</w:t>
      </w:r>
      <w:r>
        <w:rPr>
          <w:spacing w:val="-7"/>
          <w:sz w:val="18"/>
          <w:szCs w:val="18"/>
          <w:lang w:val="es-ES_tradnl"/>
        </w:rPr>
        <w:t>n del procesado en la definici</w:t>
      </w:r>
      <w:r>
        <w:rPr>
          <w:rFonts w:cs="Times New Roman"/>
          <w:spacing w:val="-7"/>
          <w:sz w:val="18"/>
          <w:szCs w:val="18"/>
          <w:lang w:val="es-ES_tradnl"/>
        </w:rPr>
        <w:t>ó</w:t>
      </w:r>
      <w:r>
        <w:rPr>
          <w:spacing w:val="-7"/>
          <w:sz w:val="18"/>
          <w:szCs w:val="18"/>
          <w:lang w:val="es-ES_tradnl"/>
        </w:rPr>
        <w:t>n de su caso.</w:t>
      </w:r>
    </w:p>
    <w:p w14:paraId="4F67BBB0" w14:textId="77777777" w:rsidR="00591D54" w:rsidRDefault="00591D54">
      <w:pPr>
        <w:shd w:val="clear" w:color="auto" w:fill="FFFFFF"/>
        <w:spacing w:before="197" w:line="216" w:lineRule="exact"/>
        <w:jc w:val="both"/>
      </w:pPr>
      <w:r>
        <w:rPr>
          <w:spacing w:val="-5"/>
          <w:sz w:val="18"/>
          <w:szCs w:val="18"/>
          <w:lang w:val="es-ES_tradnl"/>
        </w:rPr>
        <w:t>Una vez adoptado este procedimiento, tanto la Fiscal</w:t>
      </w:r>
      <w:r>
        <w:rPr>
          <w:rFonts w:cs="Times New Roman"/>
          <w:spacing w:val="-5"/>
          <w:sz w:val="18"/>
          <w:szCs w:val="18"/>
          <w:lang w:val="es-ES_tradnl"/>
        </w:rPr>
        <w:t>í</w:t>
      </w:r>
      <w:r>
        <w:rPr>
          <w:spacing w:val="-5"/>
          <w:sz w:val="18"/>
          <w:szCs w:val="18"/>
          <w:lang w:val="es-ES_tradnl"/>
        </w:rPr>
        <w:t>a y el procesado podr</w:t>
      </w:r>
      <w:r>
        <w:rPr>
          <w:rFonts w:cs="Times New Roman"/>
          <w:spacing w:val="-5"/>
          <w:sz w:val="18"/>
          <w:szCs w:val="18"/>
          <w:lang w:val="es-ES_tradnl"/>
        </w:rPr>
        <w:t>á</w:t>
      </w:r>
      <w:r>
        <w:rPr>
          <w:spacing w:val="-5"/>
          <w:sz w:val="18"/>
          <w:szCs w:val="18"/>
          <w:lang w:val="es-ES_tradnl"/>
        </w:rPr>
        <w:t>n llegar a preacuerdos que impliquen la terminaci</w:t>
      </w:r>
      <w:r>
        <w:rPr>
          <w:rFonts w:cs="Times New Roman"/>
          <w:spacing w:val="-5"/>
          <w:sz w:val="18"/>
          <w:szCs w:val="18"/>
          <w:lang w:val="es-ES_tradnl"/>
        </w:rPr>
        <w:t>ó</w:t>
      </w:r>
      <w:r>
        <w:rPr>
          <w:spacing w:val="-5"/>
          <w:sz w:val="18"/>
          <w:szCs w:val="18"/>
          <w:lang w:val="es-ES_tradnl"/>
        </w:rPr>
        <w:t>n del proceso. En t</w:t>
      </w:r>
      <w:r>
        <w:rPr>
          <w:rFonts w:cs="Times New Roman"/>
          <w:spacing w:val="-5"/>
          <w:sz w:val="18"/>
          <w:szCs w:val="18"/>
          <w:lang w:val="es-ES_tradnl"/>
        </w:rPr>
        <w:t>é</w:t>
      </w:r>
      <w:r>
        <w:rPr>
          <w:spacing w:val="-5"/>
          <w:sz w:val="18"/>
          <w:szCs w:val="18"/>
          <w:lang w:val="es-ES_tradnl"/>
        </w:rPr>
        <w:t xml:space="preserve">rminos generales, se </w:t>
      </w:r>
      <w:r>
        <w:rPr>
          <w:spacing w:val="-3"/>
          <w:sz w:val="18"/>
          <w:szCs w:val="18"/>
          <w:lang w:val="es-ES_tradnl"/>
        </w:rPr>
        <w:t>considera como la aplicaci</w:t>
      </w:r>
      <w:r>
        <w:rPr>
          <w:rFonts w:cs="Times New Roman"/>
          <w:spacing w:val="-3"/>
          <w:sz w:val="18"/>
          <w:szCs w:val="18"/>
          <w:lang w:val="es-ES_tradnl"/>
        </w:rPr>
        <w:t>ó</w:t>
      </w:r>
      <w:r>
        <w:rPr>
          <w:spacing w:val="-3"/>
          <w:sz w:val="18"/>
          <w:szCs w:val="18"/>
          <w:lang w:val="es-ES_tradnl"/>
        </w:rPr>
        <w:t xml:space="preserve">n de la pena al justiciable, </w:t>
      </w:r>
      <w:r>
        <w:rPr>
          <w:spacing w:val="-2"/>
          <w:sz w:val="18"/>
          <w:szCs w:val="18"/>
          <w:lang w:val="es-ES_tradnl"/>
        </w:rPr>
        <w:t>pero utilizando un procedimiento m</w:t>
      </w:r>
      <w:r>
        <w:rPr>
          <w:rFonts w:cs="Times New Roman"/>
          <w:spacing w:val="-2"/>
          <w:sz w:val="18"/>
          <w:szCs w:val="18"/>
          <w:lang w:val="es-ES_tradnl"/>
        </w:rPr>
        <w:t>á</w:t>
      </w:r>
      <w:r>
        <w:rPr>
          <w:spacing w:val="-2"/>
          <w:sz w:val="18"/>
          <w:szCs w:val="18"/>
          <w:lang w:val="es-ES_tradnl"/>
        </w:rPr>
        <w:t>s r</w:t>
      </w:r>
      <w:r>
        <w:rPr>
          <w:rFonts w:cs="Times New Roman"/>
          <w:spacing w:val="-2"/>
          <w:sz w:val="18"/>
          <w:szCs w:val="18"/>
          <w:lang w:val="es-ES_tradnl"/>
        </w:rPr>
        <w:t>á</w:t>
      </w:r>
      <w:r>
        <w:rPr>
          <w:spacing w:val="-2"/>
          <w:sz w:val="18"/>
          <w:szCs w:val="18"/>
          <w:lang w:val="es-ES_tradnl"/>
        </w:rPr>
        <w:t xml:space="preserve">pido y eficaz, </w:t>
      </w:r>
      <w:r>
        <w:rPr>
          <w:spacing w:val="-6"/>
          <w:sz w:val="18"/>
          <w:szCs w:val="18"/>
          <w:lang w:val="es-ES_tradnl"/>
        </w:rPr>
        <w:t xml:space="preserve">que determine la existencia del delito y la responsabilidad </w:t>
      </w:r>
      <w:r>
        <w:rPr>
          <w:spacing w:val="-5"/>
          <w:sz w:val="18"/>
          <w:szCs w:val="18"/>
          <w:lang w:val="es-ES_tradnl"/>
        </w:rPr>
        <w:t xml:space="preserve">del procesado, pero ya no recurriendo o empleando los </w:t>
      </w:r>
      <w:r>
        <w:rPr>
          <w:spacing w:val="-4"/>
          <w:sz w:val="18"/>
          <w:szCs w:val="18"/>
          <w:lang w:val="es-ES_tradnl"/>
        </w:rPr>
        <w:t xml:space="preserve">medios probatorios que determina la normativa adjetiva </w:t>
      </w:r>
      <w:r>
        <w:rPr>
          <w:spacing w:val="-5"/>
          <w:sz w:val="18"/>
          <w:szCs w:val="18"/>
          <w:lang w:val="es-ES_tradnl"/>
        </w:rPr>
        <w:t>penal, pues es condici</w:t>
      </w:r>
      <w:r>
        <w:rPr>
          <w:rFonts w:cs="Times New Roman"/>
          <w:spacing w:val="-5"/>
          <w:sz w:val="18"/>
          <w:szCs w:val="18"/>
          <w:lang w:val="es-ES_tradnl"/>
        </w:rPr>
        <w:t>ó</w:t>
      </w:r>
      <w:r>
        <w:rPr>
          <w:spacing w:val="-5"/>
          <w:sz w:val="18"/>
          <w:szCs w:val="18"/>
          <w:lang w:val="es-ES_tradnl"/>
        </w:rPr>
        <w:t xml:space="preserve">n </w:t>
      </w:r>
      <w:r>
        <w:rPr>
          <w:i/>
          <w:iCs/>
          <w:spacing w:val="-5"/>
          <w:sz w:val="18"/>
          <w:szCs w:val="18"/>
          <w:lang w:val="es-ES_tradnl"/>
        </w:rPr>
        <w:t xml:space="preserve">sine qua non </w:t>
      </w:r>
      <w:r>
        <w:rPr>
          <w:spacing w:val="-5"/>
          <w:sz w:val="18"/>
          <w:szCs w:val="18"/>
          <w:lang w:val="es-ES_tradnl"/>
        </w:rPr>
        <w:t xml:space="preserve">que el acusado </w:t>
      </w:r>
      <w:r>
        <w:rPr>
          <w:spacing w:val="-6"/>
          <w:sz w:val="18"/>
          <w:szCs w:val="18"/>
          <w:lang w:val="es-ES_tradnl"/>
        </w:rPr>
        <w:t xml:space="preserve">acepte o consienta expresamente el cometimiento o </w:t>
      </w:r>
      <w:r>
        <w:rPr>
          <w:spacing w:val="-7"/>
          <w:sz w:val="18"/>
          <w:szCs w:val="18"/>
          <w:lang w:val="es-ES_tradnl"/>
        </w:rPr>
        <w:t>participaci</w:t>
      </w:r>
      <w:r>
        <w:rPr>
          <w:rFonts w:cs="Times New Roman"/>
          <w:spacing w:val="-7"/>
          <w:sz w:val="18"/>
          <w:szCs w:val="18"/>
          <w:lang w:val="es-ES_tradnl"/>
        </w:rPr>
        <w:t>ó</w:t>
      </w:r>
      <w:r>
        <w:rPr>
          <w:spacing w:val="-7"/>
          <w:sz w:val="18"/>
          <w:szCs w:val="18"/>
          <w:lang w:val="es-ES_tradnl"/>
        </w:rPr>
        <w:t>n en el delito, es decir, el acusado debe admitir los hechos materia de la imputaci</w:t>
      </w:r>
      <w:r>
        <w:rPr>
          <w:rFonts w:cs="Times New Roman"/>
          <w:spacing w:val="-7"/>
          <w:sz w:val="18"/>
          <w:szCs w:val="18"/>
          <w:lang w:val="es-ES_tradnl"/>
        </w:rPr>
        <w:t>ó</w:t>
      </w:r>
      <w:r>
        <w:rPr>
          <w:spacing w:val="-7"/>
          <w:sz w:val="18"/>
          <w:szCs w:val="18"/>
          <w:lang w:val="es-ES_tradnl"/>
        </w:rPr>
        <w:t>n o acusaci</w:t>
      </w:r>
      <w:r>
        <w:rPr>
          <w:rFonts w:cs="Times New Roman"/>
          <w:spacing w:val="-7"/>
          <w:sz w:val="18"/>
          <w:szCs w:val="18"/>
          <w:lang w:val="es-ES_tradnl"/>
        </w:rPr>
        <w:t>ó</w:t>
      </w:r>
      <w:r>
        <w:rPr>
          <w:spacing w:val="-7"/>
          <w:sz w:val="18"/>
          <w:szCs w:val="18"/>
          <w:lang w:val="es-ES_tradnl"/>
        </w:rPr>
        <w:t>n y aceptar ser juzgado por los jueces de garant</w:t>
      </w:r>
      <w:r>
        <w:rPr>
          <w:rFonts w:cs="Times New Roman"/>
          <w:spacing w:val="-7"/>
          <w:sz w:val="18"/>
          <w:szCs w:val="18"/>
          <w:lang w:val="es-ES_tradnl"/>
        </w:rPr>
        <w:t>í</w:t>
      </w:r>
      <w:r>
        <w:rPr>
          <w:spacing w:val="-7"/>
          <w:sz w:val="18"/>
          <w:szCs w:val="18"/>
          <w:lang w:val="es-ES_tradnl"/>
        </w:rPr>
        <w:t xml:space="preserve">as penales, conforme </w:t>
      </w:r>
      <w:r>
        <w:rPr>
          <w:spacing w:val="-1"/>
          <w:sz w:val="18"/>
          <w:szCs w:val="18"/>
          <w:lang w:val="es-ES_tradnl"/>
        </w:rPr>
        <w:t>a los antecedentes de la investigaci</w:t>
      </w:r>
      <w:r>
        <w:rPr>
          <w:rFonts w:cs="Times New Roman"/>
          <w:spacing w:val="-1"/>
          <w:sz w:val="18"/>
          <w:szCs w:val="18"/>
          <w:lang w:val="es-ES_tradnl"/>
        </w:rPr>
        <w:t>ó</w:t>
      </w:r>
      <w:r>
        <w:rPr>
          <w:spacing w:val="-1"/>
          <w:sz w:val="18"/>
          <w:szCs w:val="18"/>
          <w:lang w:val="es-ES_tradnl"/>
        </w:rPr>
        <w:t xml:space="preserve">n que la fundan. </w:t>
      </w:r>
      <w:r>
        <w:rPr>
          <w:spacing w:val="-4"/>
          <w:sz w:val="18"/>
          <w:szCs w:val="18"/>
          <w:lang w:val="es-ES_tradnl"/>
        </w:rPr>
        <w:t>Por otra parte, en la jurisdicci</w:t>
      </w:r>
      <w:r>
        <w:rPr>
          <w:rFonts w:cs="Times New Roman"/>
          <w:spacing w:val="-4"/>
          <w:sz w:val="18"/>
          <w:szCs w:val="18"/>
          <w:lang w:val="es-ES_tradnl"/>
        </w:rPr>
        <w:t>ó</w:t>
      </w:r>
      <w:r>
        <w:rPr>
          <w:spacing w:val="-4"/>
          <w:sz w:val="18"/>
          <w:szCs w:val="18"/>
          <w:lang w:val="es-ES_tradnl"/>
        </w:rPr>
        <w:t>n penal todo delito est</w:t>
      </w:r>
      <w:r>
        <w:rPr>
          <w:rFonts w:cs="Times New Roman"/>
          <w:spacing w:val="-4"/>
          <w:sz w:val="18"/>
          <w:szCs w:val="18"/>
          <w:lang w:val="es-ES_tradnl"/>
        </w:rPr>
        <w:t xml:space="preserve">á </w:t>
      </w:r>
      <w:r>
        <w:rPr>
          <w:spacing w:val="-4"/>
          <w:sz w:val="18"/>
          <w:szCs w:val="18"/>
          <w:lang w:val="es-ES_tradnl"/>
        </w:rPr>
        <w:t>sujeto a una sanci</w:t>
      </w:r>
      <w:r>
        <w:rPr>
          <w:rFonts w:cs="Times New Roman"/>
          <w:spacing w:val="-4"/>
          <w:sz w:val="18"/>
          <w:szCs w:val="18"/>
          <w:lang w:val="es-ES_tradnl"/>
        </w:rPr>
        <w:t>ó</w:t>
      </w:r>
      <w:r>
        <w:rPr>
          <w:spacing w:val="-4"/>
          <w:sz w:val="18"/>
          <w:szCs w:val="18"/>
          <w:lang w:val="es-ES_tradnl"/>
        </w:rPr>
        <w:t xml:space="preserve">n, por ende el fin </w:t>
      </w:r>
      <w:r>
        <w:rPr>
          <w:rFonts w:cs="Times New Roman"/>
          <w:spacing w:val="-4"/>
          <w:sz w:val="18"/>
          <w:szCs w:val="18"/>
          <w:lang w:val="es-ES_tradnl"/>
        </w:rPr>
        <w:t>ú</w:t>
      </w:r>
      <w:r>
        <w:rPr>
          <w:spacing w:val="-4"/>
          <w:sz w:val="18"/>
          <w:szCs w:val="18"/>
          <w:lang w:val="es-ES_tradnl"/>
        </w:rPr>
        <w:t xml:space="preserve">ltimo del Derecho </w:t>
      </w:r>
      <w:r>
        <w:rPr>
          <w:spacing w:val="-6"/>
          <w:sz w:val="18"/>
          <w:szCs w:val="18"/>
          <w:lang w:val="es-ES_tradnl"/>
        </w:rPr>
        <w:t xml:space="preserve">Penal y del procedimiento abreviado es la de procesar al </w:t>
      </w:r>
      <w:r>
        <w:rPr>
          <w:spacing w:val="-8"/>
          <w:sz w:val="18"/>
          <w:szCs w:val="18"/>
          <w:lang w:val="es-ES_tradnl"/>
        </w:rPr>
        <w:t xml:space="preserve">culpable buscando resarcir de alguna manera los derechos </w:t>
      </w:r>
      <w:r>
        <w:rPr>
          <w:spacing w:val="-2"/>
          <w:sz w:val="18"/>
          <w:szCs w:val="18"/>
          <w:lang w:val="es-ES_tradnl"/>
        </w:rPr>
        <w:t>infringidos a la v</w:t>
      </w:r>
      <w:r>
        <w:rPr>
          <w:rFonts w:cs="Times New Roman"/>
          <w:spacing w:val="-2"/>
          <w:sz w:val="18"/>
          <w:szCs w:val="18"/>
          <w:lang w:val="es-ES_tradnl"/>
        </w:rPr>
        <w:t>í</w:t>
      </w:r>
      <w:r>
        <w:rPr>
          <w:spacing w:val="-2"/>
          <w:sz w:val="18"/>
          <w:szCs w:val="18"/>
          <w:lang w:val="es-ES_tradnl"/>
        </w:rPr>
        <w:t xml:space="preserve">ctima. Este recurso es el principal </w:t>
      </w:r>
      <w:r>
        <w:rPr>
          <w:sz w:val="18"/>
          <w:szCs w:val="18"/>
          <w:lang w:val="es-ES_tradnl"/>
        </w:rPr>
        <w:t>procedimiento adoptado por la Fiscal</w:t>
      </w:r>
      <w:r>
        <w:rPr>
          <w:rFonts w:cs="Times New Roman"/>
          <w:sz w:val="18"/>
          <w:szCs w:val="18"/>
          <w:lang w:val="es-ES_tradnl"/>
        </w:rPr>
        <w:t>í</w:t>
      </w:r>
      <w:r>
        <w:rPr>
          <w:sz w:val="18"/>
          <w:szCs w:val="18"/>
          <w:lang w:val="es-ES_tradnl"/>
        </w:rPr>
        <w:t xml:space="preserve">a para acortar </w:t>
      </w:r>
      <w:r>
        <w:rPr>
          <w:spacing w:val="-4"/>
          <w:sz w:val="18"/>
          <w:szCs w:val="18"/>
          <w:lang w:val="es-ES_tradnl"/>
        </w:rPr>
        <w:t xml:space="preserve">los plazos ordinarios de un proceso judicial y obtener </w:t>
      </w:r>
      <w:r>
        <w:rPr>
          <w:spacing w:val="-6"/>
          <w:sz w:val="18"/>
          <w:szCs w:val="18"/>
          <w:lang w:val="es-ES_tradnl"/>
        </w:rPr>
        <w:t>sentencias en pro de una justicia oportuna.</w:t>
      </w:r>
    </w:p>
    <w:p w14:paraId="4F67BBB1" w14:textId="77777777" w:rsidR="00591D54" w:rsidRDefault="00591D54">
      <w:pPr>
        <w:shd w:val="clear" w:color="auto" w:fill="FFFFFF"/>
        <w:spacing w:before="192" w:line="216" w:lineRule="exact"/>
        <w:jc w:val="both"/>
      </w:pPr>
      <w:r>
        <w:rPr>
          <w:spacing w:val="-5"/>
          <w:sz w:val="18"/>
          <w:szCs w:val="18"/>
          <w:lang w:val="es-ES_tradnl"/>
        </w:rPr>
        <w:t xml:space="preserve">En tal virtud, en el procedimiento abreviado no se aporta </w:t>
      </w:r>
      <w:r>
        <w:rPr>
          <w:spacing w:val="-9"/>
          <w:sz w:val="18"/>
          <w:szCs w:val="18"/>
          <w:lang w:val="es-ES_tradnl"/>
        </w:rPr>
        <w:t xml:space="preserve">prueba alguna, tampoco se realiza una audiencia en donde </w:t>
      </w:r>
      <w:r>
        <w:rPr>
          <w:sz w:val="18"/>
          <w:szCs w:val="18"/>
          <w:lang w:val="es-ES_tradnl"/>
        </w:rPr>
        <w:t xml:space="preserve">se exponen las alegaciones pertinentes como ocurre </w:t>
      </w:r>
      <w:r>
        <w:rPr>
          <w:spacing w:val="-4"/>
          <w:sz w:val="18"/>
          <w:szCs w:val="18"/>
          <w:lang w:val="es-ES_tradnl"/>
        </w:rPr>
        <w:t>en un proceso ordinario, ya que l</w:t>
      </w:r>
      <w:r>
        <w:rPr>
          <w:rFonts w:cs="Times New Roman"/>
          <w:spacing w:val="-4"/>
          <w:sz w:val="18"/>
          <w:szCs w:val="18"/>
          <w:lang w:val="es-ES_tradnl"/>
        </w:rPr>
        <w:t>ó</w:t>
      </w:r>
      <w:r>
        <w:rPr>
          <w:spacing w:val="-4"/>
          <w:sz w:val="18"/>
          <w:szCs w:val="18"/>
          <w:lang w:val="es-ES_tradnl"/>
        </w:rPr>
        <w:t xml:space="preserve">gicamente existe un </w:t>
      </w:r>
      <w:r>
        <w:rPr>
          <w:spacing w:val="-5"/>
          <w:sz w:val="18"/>
          <w:szCs w:val="18"/>
          <w:lang w:val="es-ES_tradnl"/>
        </w:rPr>
        <w:t xml:space="preserve">consenso entre el agente fiscal y procesado, y al existir </w:t>
      </w:r>
      <w:r>
        <w:rPr>
          <w:spacing w:val="-6"/>
          <w:sz w:val="18"/>
          <w:szCs w:val="18"/>
          <w:lang w:val="es-ES_tradnl"/>
        </w:rPr>
        <w:t>este acuerdo, ser</w:t>
      </w:r>
      <w:r>
        <w:rPr>
          <w:rFonts w:cs="Times New Roman"/>
          <w:spacing w:val="-6"/>
          <w:sz w:val="18"/>
          <w:szCs w:val="18"/>
          <w:lang w:val="es-ES_tradnl"/>
        </w:rPr>
        <w:t>í</w:t>
      </w:r>
      <w:r>
        <w:rPr>
          <w:spacing w:val="-6"/>
          <w:sz w:val="18"/>
          <w:szCs w:val="18"/>
          <w:lang w:val="es-ES_tradnl"/>
        </w:rPr>
        <w:t>a il</w:t>
      </w:r>
      <w:r>
        <w:rPr>
          <w:rFonts w:cs="Times New Roman"/>
          <w:spacing w:val="-6"/>
          <w:sz w:val="18"/>
          <w:szCs w:val="18"/>
          <w:lang w:val="es-ES_tradnl"/>
        </w:rPr>
        <w:t>ó</w:t>
      </w:r>
      <w:r>
        <w:rPr>
          <w:spacing w:val="-6"/>
          <w:sz w:val="18"/>
          <w:szCs w:val="18"/>
          <w:lang w:val="es-ES_tradnl"/>
        </w:rPr>
        <w:t xml:space="preserve">gico pensar que los mencionados </w:t>
      </w:r>
      <w:r>
        <w:rPr>
          <w:spacing w:val="-5"/>
          <w:sz w:val="18"/>
          <w:szCs w:val="18"/>
          <w:lang w:val="es-ES_tradnl"/>
        </w:rPr>
        <w:t xml:space="preserve">sujetos procesales puedan llegarlas a contradecir dentro de la audiencia. Esta herramienta legal cumple con los </w:t>
      </w:r>
      <w:r>
        <w:rPr>
          <w:spacing w:val="-2"/>
          <w:sz w:val="18"/>
          <w:szCs w:val="18"/>
          <w:lang w:val="es-ES_tradnl"/>
        </w:rPr>
        <w:t>principios de m</w:t>
      </w:r>
      <w:r>
        <w:rPr>
          <w:rFonts w:cs="Times New Roman"/>
          <w:spacing w:val="-2"/>
          <w:sz w:val="18"/>
          <w:szCs w:val="18"/>
          <w:lang w:val="es-ES_tradnl"/>
        </w:rPr>
        <w:t>í</w:t>
      </w:r>
      <w:r>
        <w:rPr>
          <w:spacing w:val="-2"/>
          <w:sz w:val="18"/>
          <w:szCs w:val="18"/>
          <w:lang w:val="es-ES_tradnl"/>
        </w:rPr>
        <w:t>nima intervenci</w:t>
      </w:r>
      <w:r>
        <w:rPr>
          <w:rFonts w:cs="Times New Roman"/>
          <w:spacing w:val="-2"/>
          <w:sz w:val="18"/>
          <w:szCs w:val="18"/>
          <w:lang w:val="es-ES_tradnl"/>
        </w:rPr>
        <w:t>ó</w:t>
      </w:r>
      <w:r>
        <w:rPr>
          <w:spacing w:val="-2"/>
          <w:sz w:val="18"/>
          <w:szCs w:val="18"/>
          <w:lang w:val="es-ES_tradnl"/>
        </w:rPr>
        <w:t xml:space="preserve">n penal y celeridad </w:t>
      </w:r>
      <w:r>
        <w:rPr>
          <w:spacing w:val="-3"/>
          <w:sz w:val="18"/>
          <w:szCs w:val="18"/>
          <w:lang w:val="es-ES_tradnl"/>
        </w:rPr>
        <w:t>establecidos en la Constituci</w:t>
      </w:r>
      <w:r>
        <w:rPr>
          <w:rFonts w:cs="Times New Roman"/>
          <w:spacing w:val="-3"/>
          <w:sz w:val="18"/>
          <w:szCs w:val="18"/>
          <w:lang w:val="es-ES_tradnl"/>
        </w:rPr>
        <w:t>ó</w:t>
      </w:r>
      <w:r>
        <w:rPr>
          <w:spacing w:val="-3"/>
          <w:sz w:val="18"/>
          <w:szCs w:val="18"/>
          <w:lang w:val="es-ES_tradnl"/>
        </w:rPr>
        <w:t>n de la Rep</w:t>
      </w:r>
      <w:r>
        <w:rPr>
          <w:rFonts w:cs="Times New Roman"/>
          <w:spacing w:val="-3"/>
          <w:sz w:val="18"/>
          <w:szCs w:val="18"/>
          <w:lang w:val="es-ES_tradnl"/>
        </w:rPr>
        <w:t>ú</w:t>
      </w:r>
      <w:r>
        <w:rPr>
          <w:spacing w:val="-3"/>
          <w:sz w:val="18"/>
          <w:szCs w:val="18"/>
          <w:lang w:val="es-ES_tradnl"/>
        </w:rPr>
        <w:t xml:space="preserve">blica, por lo </w:t>
      </w:r>
      <w:r>
        <w:rPr>
          <w:spacing w:val="-8"/>
          <w:sz w:val="18"/>
          <w:szCs w:val="18"/>
          <w:lang w:val="es-ES_tradnl"/>
        </w:rPr>
        <w:t>que asegura un juzgamiento r</w:t>
      </w:r>
      <w:r>
        <w:rPr>
          <w:rFonts w:cs="Times New Roman"/>
          <w:spacing w:val="-8"/>
          <w:sz w:val="18"/>
          <w:szCs w:val="18"/>
          <w:lang w:val="es-ES_tradnl"/>
        </w:rPr>
        <w:t>á</w:t>
      </w:r>
      <w:r>
        <w:rPr>
          <w:spacing w:val="-8"/>
          <w:sz w:val="18"/>
          <w:szCs w:val="18"/>
          <w:lang w:val="es-ES_tradnl"/>
        </w:rPr>
        <w:t>pido y sin retardos; adem</w:t>
      </w:r>
      <w:r>
        <w:rPr>
          <w:rFonts w:cs="Times New Roman"/>
          <w:spacing w:val="-8"/>
          <w:sz w:val="18"/>
          <w:szCs w:val="18"/>
          <w:lang w:val="es-ES_tradnl"/>
        </w:rPr>
        <w:t>á</w:t>
      </w:r>
      <w:r>
        <w:rPr>
          <w:spacing w:val="-8"/>
          <w:sz w:val="18"/>
          <w:szCs w:val="18"/>
          <w:lang w:val="es-ES_tradnl"/>
        </w:rPr>
        <w:t xml:space="preserve">s </w:t>
      </w:r>
      <w:r>
        <w:rPr>
          <w:spacing w:val="-6"/>
          <w:sz w:val="18"/>
          <w:szCs w:val="18"/>
          <w:lang w:val="es-ES_tradnl"/>
        </w:rPr>
        <w:t xml:space="preserve">de ahorrarle al Estado y a las partes procesales recursos </w:t>
      </w:r>
      <w:r>
        <w:rPr>
          <w:sz w:val="18"/>
          <w:szCs w:val="18"/>
          <w:lang w:val="es-ES_tradnl"/>
        </w:rPr>
        <w:t>econ</w:t>
      </w:r>
      <w:r>
        <w:rPr>
          <w:rFonts w:cs="Times New Roman"/>
          <w:sz w:val="18"/>
          <w:szCs w:val="18"/>
          <w:lang w:val="es-ES_tradnl"/>
        </w:rPr>
        <w:t>ó</w:t>
      </w:r>
      <w:r>
        <w:rPr>
          <w:sz w:val="18"/>
          <w:szCs w:val="18"/>
          <w:lang w:val="es-ES_tradnl"/>
        </w:rPr>
        <w:t>micos.</w:t>
      </w:r>
    </w:p>
    <w:p w14:paraId="4F67BBB2" w14:textId="77777777" w:rsidR="00591D54" w:rsidRDefault="00591D54">
      <w:pPr>
        <w:shd w:val="clear" w:color="auto" w:fill="FFFFFF"/>
        <w:spacing w:before="192" w:line="211" w:lineRule="exact"/>
        <w:jc w:val="both"/>
      </w:pPr>
      <w:r>
        <w:rPr>
          <w:spacing w:val="-4"/>
          <w:sz w:val="18"/>
          <w:szCs w:val="18"/>
          <w:lang w:val="es-ES_tradnl"/>
        </w:rPr>
        <w:t>En el presente caso, el acusado Fabi</w:t>
      </w:r>
      <w:r>
        <w:rPr>
          <w:rFonts w:cs="Times New Roman"/>
          <w:spacing w:val="-4"/>
          <w:sz w:val="18"/>
          <w:szCs w:val="18"/>
          <w:lang w:val="es-ES_tradnl"/>
        </w:rPr>
        <w:t>á</w:t>
      </w:r>
      <w:r>
        <w:rPr>
          <w:spacing w:val="-4"/>
          <w:sz w:val="18"/>
          <w:szCs w:val="18"/>
          <w:lang w:val="es-ES_tradnl"/>
        </w:rPr>
        <w:t>n Wladimir Silva Tumipamba present</w:t>
      </w:r>
      <w:r>
        <w:rPr>
          <w:rFonts w:cs="Times New Roman"/>
          <w:spacing w:val="-4"/>
          <w:sz w:val="18"/>
          <w:szCs w:val="18"/>
          <w:lang w:val="es-ES_tradnl"/>
        </w:rPr>
        <w:t>ó</w:t>
      </w:r>
      <w:r>
        <w:rPr>
          <w:spacing w:val="-4"/>
          <w:sz w:val="18"/>
          <w:szCs w:val="18"/>
          <w:lang w:val="es-ES_tradnl"/>
        </w:rPr>
        <w:t xml:space="preserve"> la solicitud para la aplicaci</w:t>
      </w:r>
      <w:r>
        <w:rPr>
          <w:rFonts w:cs="Times New Roman"/>
          <w:spacing w:val="-4"/>
          <w:sz w:val="18"/>
          <w:szCs w:val="18"/>
          <w:lang w:val="es-ES_tradnl"/>
        </w:rPr>
        <w:t>ó</w:t>
      </w:r>
      <w:r>
        <w:rPr>
          <w:spacing w:val="-4"/>
          <w:sz w:val="18"/>
          <w:szCs w:val="18"/>
          <w:lang w:val="es-ES_tradnl"/>
        </w:rPr>
        <w:t xml:space="preserve">n del </w:t>
      </w:r>
      <w:r>
        <w:rPr>
          <w:spacing w:val="-5"/>
          <w:sz w:val="18"/>
          <w:szCs w:val="18"/>
          <w:lang w:val="es-ES_tradnl"/>
        </w:rPr>
        <w:t xml:space="preserve">procedimiento abreviado, de acuerdo a lo prescrito en el </w:t>
      </w:r>
      <w:r>
        <w:rPr>
          <w:spacing w:val="-3"/>
          <w:sz w:val="18"/>
          <w:szCs w:val="18"/>
          <w:lang w:val="es-ES_tradnl"/>
        </w:rPr>
        <w:t>art</w:t>
      </w:r>
      <w:r>
        <w:rPr>
          <w:rFonts w:cs="Times New Roman"/>
          <w:spacing w:val="-3"/>
          <w:sz w:val="18"/>
          <w:szCs w:val="18"/>
          <w:lang w:val="es-ES_tradnl"/>
        </w:rPr>
        <w:t>í</w:t>
      </w:r>
      <w:r>
        <w:rPr>
          <w:spacing w:val="-3"/>
          <w:sz w:val="18"/>
          <w:szCs w:val="18"/>
          <w:lang w:val="es-ES_tradnl"/>
        </w:rPr>
        <w:t>culo 370 del C</w:t>
      </w:r>
      <w:r>
        <w:rPr>
          <w:rFonts w:cs="Times New Roman"/>
          <w:spacing w:val="-3"/>
          <w:sz w:val="18"/>
          <w:szCs w:val="18"/>
          <w:lang w:val="es-ES_tradnl"/>
        </w:rPr>
        <w:t>ó</w:t>
      </w:r>
      <w:r>
        <w:rPr>
          <w:spacing w:val="-3"/>
          <w:sz w:val="18"/>
          <w:szCs w:val="18"/>
          <w:lang w:val="es-ES_tradnl"/>
        </w:rPr>
        <w:t>digo de Procedimiento Penal</w:t>
      </w:r>
      <w:r>
        <w:rPr>
          <w:spacing w:val="-3"/>
          <w:sz w:val="18"/>
          <w:szCs w:val="18"/>
          <w:vertAlign w:val="superscript"/>
          <w:lang w:val="es-ES_tradnl"/>
        </w:rPr>
        <w:t>2</w:t>
      </w:r>
      <w:r>
        <w:rPr>
          <w:spacing w:val="-3"/>
          <w:sz w:val="18"/>
          <w:szCs w:val="18"/>
          <w:lang w:val="es-ES_tradnl"/>
        </w:rPr>
        <w:t xml:space="preserve"> (fojas</w:t>
      </w:r>
    </w:p>
    <w:p w14:paraId="4F67BBB3" w14:textId="77777777" w:rsidR="00591D54" w:rsidRDefault="00591D54">
      <w:pPr>
        <w:shd w:val="clear" w:color="auto" w:fill="FFFFFF"/>
        <w:spacing w:before="403" w:line="178" w:lineRule="exact"/>
        <w:ind w:left="144" w:hanging="144"/>
        <w:jc w:val="both"/>
      </w:pPr>
      <w:r>
        <w:rPr>
          <w:sz w:val="14"/>
          <w:szCs w:val="14"/>
          <w:vertAlign w:val="superscript"/>
          <w:lang w:val="es-ES_tradnl"/>
        </w:rPr>
        <w:t>2</w:t>
      </w:r>
      <w:r>
        <w:rPr>
          <w:sz w:val="14"/>
          <w:szCs w:val="14"/>
          <w:lang w:val="es-ES_tradnl"/>
        </w:rPr>
        <w:t xml:space="preserve"> C</w:t>
      </w:r>
      <w:r>
        <w:rPr>
          <w:rFonts w:cs="Times New Roman"/>
          <w:sz w:val="14"/>
          <w:szCs w:val="14"/>
          <w:lang w:val="es-ES_tradnl"/>
        </w:rPr>
        <w:t>ó</w:t>
      </w:r>
      <w:r>
        <w:rPr>
          <w:sz w:val="14"/>
          <w:szCs w:val="14"/>
          <w:lang w:val="es-ES_tradnl"/>
        </w:rPr>
        <w:t>digo de Procedimiento Penal, Art</w:t>
      </w:r>
      <w:r>
        <w:rPr>
          <w:rFonts w:cs="Times New Roman"/>
          <w:sz w:val="14"/>
          <w:szCs w:val="14"/>
          <w:lang w:val="es-ES_tradnl"/>
        </w:rPr>
        <w:t>í</w:t>
      </w:r>
      <w:r>
        <w:rPr>
          <w:sz w:val="14"/>
          <w:szCs w:val="14"/>
          <w:lang w:val="es-ES_tradnl"/>
        </w:rPr>
        <w:t>culo 370.- Tr</w:t>
      </w:r>
      <w:r>
        <w:rPr>
          <w:rFonts w:cs="Times New Roman"/>
          <w:sz w:val="14"/>
          <w:szCs w:val="14"/>
          <w:lang w:val="es-ES_tradnl"/>
        </w:rPr>
        <w:t>á</w:t>
      </w:r>
      <w:r>
        <w:rPr>
          <w:sz w:val="14"/>
          <w:szCs w:val="14"/>
          <w:lang w:val="es-ES_tradnl"/>
        </w:rPr>
        <w:t xml:space="preserve">mite. (Sustituido por el Art. 113 de la Ley s/n, R.O. 555-S, 24-III-2009).- El fiscal </w:t>
      </w:r>
      <w:r>
        <w:rPr>
          <w:spacing w:val="-1"/>
          <w:sz w:val="14"/>
          <w:szCs w:val="14"/>
          <w:lang w:val="es-ES_tradnl"/>
        </w:rPr>
        <w:t xml:space="preserve">o el procesado deben presentar por escrito el sometimiento a procedimiento abreviado, acreditando todos los requisitos previstos </w:t>
      </w:r>
      <w:r>
        <w:rPr>
          <w:sz w:val="14"/>
          <w:szCs w:val="14"/>
          <w:lang w:val="es-ES_tradnl"/>
        </w:rPr>
        <w:t>en el art</w:t>
      </w:r>
      <w:r>
        <w:rPr>
          <w:rFonts w:cs="Times New Roman"/>
          <w:sz w:val="14"/>
          <w:szCs w:val="14"/>
          <w:lang w:val="es-ES_tradnl"/>
        </w:rPr>
        <w:t>í</w:t>
      </w:r>
      <w:r>
        <w:rPr>
          <w:sz w:val="14"/>
          <w:szCs w:val="14"/>
          <w:lang w:val="es-ES_tradnl"/>
        </w:rPr>
        <w:t>culo precedente.</w:t>
      </w:r>
    </w:p>
    <w:p w14:paraId="4F67BBB4" w14:textId="77777777" w:rsidR="00591D54" w:rsidRDefault="00591D54">
      <w:pPr>
        <w:shd w:val="clear" w:color="auto" w:fill="FFFFFF"/>
        <w:spacing w:before="403" w:line="178" w:lineRule="exact"/>
        <w:ind w:left="144" w:hanging="144"/>
        <w:jc w:val="both"/>
        <w:sectPr w:rsidR="00591D54">
          <w:type w:val="continuous"/>
          <w:pgSz w:w="11909" w:h="16834"/>
          <w:pgMar w:top="1356" w:right="1309" w:bottom="360" w:left="1308" w:header="720" w:footer="720" w:gutter="0"/>
          <w:cols w:num="2" w:space="720" w:equalWidth="0">
            <w:col w:w="4310" w:space="677"/>
            <w:col w:w="4305"/>
          </w:cols>
          <w:noEndnote/>
        </w:sectPr>
      </w:pPr>
    </w:p>
    <w:p w14:paraId="4F67BBB5" w14:textId="77777777" w:rsidR="00591D54" w:rsidRDefault="00591D54">
      <w:pPr>
        <w:shd w:val="clear" w:color="auto" w:fill="FFFFFF"/>
        <w:tabs>
          <w:tab w:val="left" w:pos="4814"/>
        </w:tabs>
        <w:spacing w:after="235"/>
        <w:ind w:left="5"/>
      </w:pPr>
      <w:r>
        <w:rPr>
          <w:b/>
          <w:bCs/>
          <w:sz w:val="18"/>
          <w:szCs w:val="18"/>
          <w:lang w:val="es-ES_tradnl"/>
        </w:rPr>
        <w:t xml:space="preserve">294 -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BB6" w14:textId="77777777" w:rsidR="00591D54" w:rsidRDefault="00591D54">
      <w:pPr>
        <w:shd w:val="clear" w:color="auto" w:fill="FFFFFF"/>
        <w:tabs>
          <w:tab w:val="left" w:pos="4814"/>
        </w:tabs>
        <w:spacing w:after="235"/>
        <w:ind w:left="5"/>
        <w:sectPr w:rsidR="00591D54">
          <w:pgSz w:w="11909" w:h="16834"/>
          <w:pgMar w:top="1337" w:right="1309" w:bottom="360" w:left="1308" w:header="720" w:footer="720" w:gutter="0"/>
          <w:cols w:space="60"/>
          <w:noEndnote/>
        </w:sectPr>
      </w:pPr>
    </w:p>
    <w:p w14:paraId="4F67BBB7" w14:textId="77777777" w:rsidR="00591D54" w:rsidRDefault="00591D54">
      <w:pPr>
        <w:shd w:val="clear" w:color="auto" w:fill="FFFFFF"/>
        <w:spacing w:line="226" w:lineRule="exact"/>
        <w:jc w:val="both"/>
      </w:pPr>
      <w:r>
        <w:rPr>
          <w:spacing w:val="-5"/>
          <w:sz w:val="18"/>
          <w:szCs w:val="18"/>
          <w:lang w:val="es-ES_tradnl"/>
        </w:rPr>
        <w:t xml:space="preserve">335 del cuarto cuerpo de instancia), ante los jueces del </w:t>
      </w:r>
      <w:r>
        <w:rPr>
          <w:spacing w:val="-10"/>
          <w:sz w:val="18"/>
          <w:szCs w:val="18"/>
          <w:lang w:val="es-ES_tradnl"/>
        </w:rPr>
        <w:t>Tercer Tribunal de Garant</w:t>
      </w:r>
      <w:r>
        <w:rPr>
          <w:rFonts w:cs="Times New Roman"/>
          <w:spacing w:val="-10"/>
          <w:sz w:val="18"/>
          <w:szCs w:val="18"/>
          <w:lang w:val="es-ES_tradnl"/>
        </w:rPr>
        <w:t>í</w:t>
      </w:r>
      <w:r>
        <w:rPr>
          <w:spacing w:val="-10"/>
          <w:sz w:val="18"/>
          <w:szCs w:val="18"/>
          <w:lang w:val="es-ES_tradnl"/>
        </w:rPr>
        <w:t xml:space="preserve">as Penales de Pichincha, quienes </w:t>
      </w:r>
      <w:r>
        <w:rPr>
          <w:spacing w:val="-9"/>
          <w:sz w:val="18"/>
          <w:szCs w:val="18"/>
          <w:lang w:val="es-ES_tradnl"/>
        </w:rPr>
        <w:t xml:space="preserve">mediante providencia de 26 de marzo de 2012 a las 15h56, </w:t>
      </w:r>
      <w:r>
        <w:rPr>
          <w:spacing w:val="-5"/>
          <w:sz w:val="18"/>
          <w:szCs w:val="18"/>
          <w:lang w:val="es-ES_tradnl"/>
        </w:rPr>
        <w:t xml:space="preserve">corrieron traslado a las partes procesales, conformados </w:t>
      </w:r>
      <w:r>
        <w:rPr>
          <w:spacing w:val="-3"/>
          <w:sz w:val="18"/>
          <w:szCs w:val="18"/>
          <w:lang w:val="es-ES_tradnl"/>
        </w:rPr>
        <w:t xml:space="preserve">por: </w:t>
      </w:r>
      <w:r>
        <w:rPr>
          <w:b/>
          <w:bCs/>
          <w:spacing w:val="-3"/>
          <w:sz w:val="18"/>
          <w:szCs w:val="18"/>
          <w:lang w:val="es-ES_tradnl"/>
        </w:rPr>
        <w:t xml:space="preserve">a. </w:t>
      </w:r>
      <w:r>
        <w:rPr>
          <w:spacing w:val="-3"/>
          <w:sz w:val="18"/>
          <w:szCs w:val="18"/>
          <w:lang w:val="es-ES_tradnl"/>
        </w:rPr>
        <w:t xml:space="preserve">El agente fiscal; </w:t>
      </w:r>
      <w:r>
        <w:rPr>
          <w:b/>
          <w:bCs/>
          <w:spacing w:val="-3"/>
          <w:sz w:val="18"/>
          <w:szCs w:val="18"/>
          <w:lang w:val="es-ES_tradnl"/>
        </w:rPr>
        <w:t xml:space="preserve">b. </w:t>
      </w:r>
      <w:r>
        <w:rPr>
          <w:spacing w:val="-3"/>
          <w:sz w:val="18"/>
          <w:szCs w:val="18"/>
          <w:lang w:val="es-ES_tradnl"/>
        </w:rPr>
        <w:t>El ofendido, esto es, El</w:t>
      </w:r>
      <w:r>
        <w:rPr>
          <w:rFonts w:cs="Times New Roman"/>
          <w:spacing w:val="-3"/>
          <w:sz w:val="18"/>
          <w:szCs w:val="18"/>
          <w:lang w:val="es-ES_tradnl"/>
        </w:rPr>
        <w:t>í</w:t>
      </w:r>
      <w:r>
        <w:rPr>
          <w:spacing w:val="-3"/>
          <w:sz w:val="18"/>
          <w:szCs w:val="18"/>
          <w:lang w:val="es-ES_tradnl"/>
        </w:rPr>
        <w:t xml:space="preserve">as </w:t>
      </w:r>
      <w:r>
        <w:rPr>
          <w:spacing w:val="-2"/>
          <w:sz w:val="18"/>
          <w:szCs w:val="18"/>
          <w:lang w:val="es-ES_tradnl"/>
        </w:rPr>
        <w:t xml:space="preserve">Daniel Gordillo Villavicencio como acusador particular; </w:t>
      </w:r>
      <w:r>
        <w:rPr>
          <w:b/>
          <w:bCs/>
          <w:spacing w:val="-4"/>
          <w:sz w:val="18"/>
          <w:szCs w:val="18"/>
          <w:lang w:val="es-ES_tradnl"/>
        </w:rPr>
        <w:t xml:space="preserve">c. </w:t>
      </w:r>
      <w:r>
        <w:rPr>
          <w:spacing w:val="-4"/>
          <w:sz w:val="18"/>
          <w:szCs w:val="18"/>
          <w:lang w:val="es-ES_tradnl"/>
        </w:rPr>
        <w:t>El procesado Fabi</w:t>
      </w:r>
      <w:r>
        <w:rPr>
          <w:rFonts w:cs="Times New Roman"/>
          <w:spacing w:val="-4"/>
          <w:sz w:val="18"/>
          <w:szCs w:val="18"/>
          <w:lang w:val="es-ES_tradnl"/>
        </w:rPr>
        <w:t>á</w:t>
      </w:r>
      <w:r>
        <w:rPr>
          <w:spacing w:val="-4"/>
          <w:sz w:val="18"/>
          <w:szCs w:val="18"/>
          <w:lang w:val="es-ES_tradnl"/>
        </w:rPr>
        <w:t xml:space="preserve">n Wladimir Silva Tumipamba; y, </w:t>
      </w:r>
      <w:r>
        <w:rPr>
          <w:b/>
          <w:bCs/>
          <w:spacing w:val="-4"/>
          <w:sz w:val="18"/>
          <w:szCs w:val="18"/>
          <w:lang w:val="es-ES_tradnl"/>
        </w:rPr>
        <w:t xml:space="preserve">d. </w:t>
      </w:r>
      <w:r>
        <w:rPr>
          <w:spacing w:val="-4"/>
          <w:sz w:val="18"/>
          <w:szCs w:val="18"/>
          <w:lang w:val="es-ES_tradnl"/>
        </w:rPr>
        <w:t>El defensor p</w:t>
      </w:r>
      <w:r>
        <w:rPr>
          <w:rFonts w:cs="Times New Roman"/>
          <w:spacing w:val="-4"/>
          <w:sz w:val="18"/>
          <w:szCs w:val="18"/>
          <w:lang w:val="es-ES_tradnl"/>
        </w:rPr>
        <w:t>ú</w:t>
      </w:r>
      <w:r>
        <w:rPr>
          <w:spacing w:val="-4"/>
          <w:sz w:val="18"/>
          <w:szCs w:val="18"/>
          <w:lang w:val="es-ES_tradnl"/>
        </w:rPr>
        <w:t>blico. (No corri</w:t>
      </w:r>
      <w:r>
        <w:rPr>
          <w:rFonts w:cs="Times New Roman"/>
          <w:spacing w:val="-4"/>
          <w:sz w:val="18"/>
          <w:szCs w:val="18"/>
          <w:lang w:val="es-ES_tradnl"/>
        </w:rPr>
        <w:t>ó</w:t>
      </w:r>
      <w:r>
        <w:rPr>
          <w:spacing w:val="-4"/>
          <w:sz w:val="18"/>
          <w:szCs w:val="18"/>
          <w:lang w:val="es-ES_tradnl"/>
        </w:rPr>
        <w:t xml:space="preserve"> traslado al se</w:t>
      </w:r>
      <w:r>
        <w:rPr>
          <w:rFonts w:cs="Times New Roman"/>
          <w:spacing w:val="-4"/>
          <w:sz w:val="18"/>
          <w:szCs w:val="18"/>
          <w:lang w:val="es-ES_tradnl"/>
        </w:rPr>
        <w:t>ñ</w:t>
      </w:r>
      <w:r>
        <w:rPr>
          <w:spacing w:val="-4"/>
          <w:sz w:val="18"/>
          <w:szCs w:val="18"/>
          <w:lang w:val="es-ES_tradnl"/>
        </w:rPr>
        <w:t xml:space="preserve">or Jorge </w:t>
      </w:r>
      <w:r>
        <w:rPr>
          <w:spacing w:val="-3"/>
          <w:sz w:val="18"/>
          <w:szCs w:val="18"/>
          <w:lang w:val="es-ES_tradnl"/>
        </w:rPr>
        <w:t xml:space="preserve">Antonio Burbano Muriel </w:t>
      </w:r>
      <w:r>
        <w:rPr>
          <w:rFonts w:cs="Times New Roman"/>
          <w:spacing w:val="-3"/>
          <w:sz w:val="18"/>
          <w:szCs w:val="18"/>
          <w:lang w:val="es-ES_tradnl"/>
        </w:rPr>
        <w:t>–</w:t>
      </w:r>
      <w:r>
        <w:rPr>
          <w:spacing w:val="-3"/>
          <w:sz w:val="18"/>
          <w:szCs w:val="18"/>
          <w:lang w:val="es-ES_tradnl"/>
        </w:rPr>
        <w:t xml:space="preserve">ahora accionante- por no ser </w:t>
      </w:r>
      <w:r>
        <w:rPr>
          <w:sz w:val="18"/>
          <w:szCs w:val="18"/>
          <w:lang w:val="es-ES_tradnl"/>
        </w:rPr>
        <w:t>parte procesal)</w:t>
      </w:r>
    </w:p>
    <w:p w14:paraId="4F67BBB8" w14:textId="77777777" w:rsidR="00591D54" w:rsidRDefault="00591D54">
      <w:pPr>
        <w:shd w:val="clear" w:color="auto" w:fill="FFFFFF"/>
        <w:spacing w:before="206" w:line="226" w:lineRule="exact"/>
        <w:jc w:val="both"/>
      </w:pPr>
      <w:r>
        <w:rPr>
          <w:spacing w:val="-7"/>
          <w:sz w:val="18"/>
          <w:szCs w:val="18"/>
          <w:lang w:val="es-ES_tradnl"/>
        </w:rPr>
        <w:t xml:space="preserve">Ahora bien, ninguno de los sujetos procesales se opuso a </w:t>
      </w:r>
      <w:r>
        <w:rPr>
          <w:spacing w:val="-5"/>
          <w:sz w:val="18"/>
          <w:szCs w:val="18"/>
          <w:lang w:val="es-ES_tradnl"/>
        </w:rPr>
        <w:t>la petici</w:t>
      </w:r>
      <w:r>
        <w:rPr>
          <w:rFonts w:cs="Times New Roman"/>
          <w:spacing w:val="-5"/>
          <w:sz w:val="18"/>
          <w:szCs w:val="18"/>
          <w:lang w:val="es-ES_tradnl"/>
        </w:rPr>
        <w:t>ó</w:t>
      </w:r>
      <w:r>
        <w:rPr>
          <w:spacing w:val="-5"/>
          <w:sz w:val="18"/>
          <w:szCs w:val="18"/>
          <w:lang w:val="es-ES_tradnl"/>
        </w:rPr>
        <w:t xml:space="preserve">n realizada por el acusado, (fojas 359 y 360 de </w:t>
      </w:r>
      <w:r>
        <w:rPr>
          <w:spacing w:val="-6"/>
          <w:sz w:val="18"/>
          <w:szCs w:val="18"/>
          <w:lang w:val="es-ES_tradnl"/>
        </w:rPr>
        <w:t>del cuarto cuerpo de instancia), pues el procesado hab</w:t>
      </w:r>
      <w:r>
        <w:rPr>
          <w:rFonts w:cs="Times New Roman"/>
          <w:spacing w:val="-6"/>
          <w:sz w:val="18"/>
          <w:szCs w:val="18"/>
          <w:lang w:val="es-ES_tradnl"/>
        </w:rPr>
        <w:t>í</w:t>
      </w:r>
      <w:r>
        <w:rPr>
          <w:spacing w:val="-6"/>
          <w:sz w:val="18"/>
          <w:szCs w:val="18"/>
          <w:lang w:val="es-ES_tradnl"/>
        </w:rPr>
        <w:t>a llegado a un acuerdo con el agente fiscal, declar</w:t>
      </w:r>
      <w:r>
        <w:rPr>
          <w:rFonts w:cs="Times New Roman"/>
          <w:spacing w:val="-6"/>
          <w:sz w:val="18"/>
          <w:szCs w:val="18"/>
          <w:lang w:val="es-ES_tradnl"/>
        </w:rPr>
        <w:t>á</w:t>
      </w:r>
      <w:r>
        <w:rPr>
          <w:spacing w:val="-6"/>
          <w:sz w:val="18"/>
          <w:szCs w:val="18"/>
          <w:lang w:val="es-ES_tradnl"/>
        </w:rPr>
        <w:t xml:space="preserve">ndose </w:t>
      </w:r>
      <w:r>
        <w:rPr>
          <w:spacing w:val="-7"/>
          <w:sz w:val="18"/>
          <w:szCs w:val="18"/>
          <w:lang w:val="es-ES_tradnl"/>
        </w:rPr>
        <w:t>autor del delito de estafa, el cual est</w:t>
      </w:r>
      <w:r>
        <w:rPr>
          <w:rFonts w:cs="Times New Roman"/>
          <w:spacing w:val="-7"/>
          <w:sz w:val="18"/>
          <w:szCs w:val="18"/>
          <w:lang w:val="es-ES_tradnl"/>
        </w:rPr>
        <w:t>á</w:t>
      </w:r>
      <w:r>
        <w:rPr>
          <w:spacing w:val="-7"/>
          <w:sz w:val="18"/>
          <w:szCs w:val="18"/>
          <w:lang w:val="es-ES_tradnl"/>
        </w:rPr>
        <w:t xml:space="preserve"> sancionado con una </w:t>
      </w:r>
      <w:r>
        <w:rPr>
          <w:spacing w:val="-4"/>
          <w:sz w:val="18"/>
          <w:szCs w:val="18"/>
          <w:lang w:val="es-ES_tradnl"/>
        </w:rPr>
        <w:t>pena privativa de libertad menor a cinco a</w:t>
      </w:r>
      <w:r>
        <w:rPr>
          <w:rFonts w:cs="Times New Roman"/>
          <w:spacing w:val="-4"/>
          <w:sz w:val="18"/>
          <w:szCs w:val="18"/>
          <w:lang w:val="es-ES_tradnl"/>
        </w:rPr>
        <w:t>ñ</w:t>
      </w:r>
      <w:r>
        <w:rPr>
          <w:spacing w:val="-4"/>
          <w:sz w:val="18"/>
          <w:szCs w:val="18"/>
          <w:lang w:val="es-ES_tradnl"/>
        </w:rPr>
        <w:t xml:space="preserve">os; es decir, </w:t>
      </w:r>
      <w:r>
        <w:rPr>
          <w:spacing w:val="-8"/>
          <w:sz w:val="18"/>
          <w:szCs w:val="18"/>
          <w:lang w:val="es-ES_tradnl"/>
        </w:rPr>
        <w:t>acept</w:t>
      </w:r>
      <w:r>
        <w:rPr>
          <w:rFonts w:cs="Times New Roman"/>
          <w:spacing w:val="-8"/>
          <w:sz w:val="18"/>
          <w:szCs w:val="18"/>
          <w:lang w:val="es-ES_tradnl"/>
        </w:rPr>
        <w:t>ó</w:t>
      </w:r>
      <w:r>
        <w:rPr>
          <w:spacing w:val="-8"/>
          <w:sz w:val="18"/>
          <w:szCs w:val="18"/>
          <w:lang w:val="es-ES_tradnl"/>
        </w:rPr>
        <w:t xml:space="preserve"> el hecho f</w:t>
      </w:r>
      <w:r>
        <w:rPr>
          <w:rFonts w:cs="Times New Roman"/>
          <w:spacing w:val="-8"/>
          <w:sz w:val="18"/>
          <w:szCs w:val="18"/>
          <w:lang w:val="es-ES_tradnl"/>
        </w:rPr>
        <w:t>á</w:t>
      </w:r>
      <w:r>
        <w:rPr>
          <w:spacing w:val="-8"/>
          <w:sz w:val="18"/>
          <w:szCs w:val="18"/>
          <w:lang w:val="es-ES_tradnl"/>
        </w:rPr>
        <w:t>ctico por lo que accedi</w:t>
      </w:r>
      <w:r>
        <w:rPr>
          <w:rFonts w:cs="Times New Roman"/>
          <w:spacing w:val="-8"/>
          <w:sz w:val="18"/>
          <w:szCs w:val="18"/>
          <w:lang w:val="es-ES_tradnl"/>
        </w:rPr>
        <w:t>ó</w:t>
      </w:r>
      <w:r>
        <w:rPr>
          <w:spacing w:val="-8"/>
          <w:sz w:val="18"/>
          <w:szCs w:val="18"/>
          <w:lang w:val="es-ES_tradnl"/>
        </w:rPr>
        <w:t xml:space="preserve"> al procedimiento </w:t>
      </w:r>
      <w:r>
        <w:rPr>
          <w:spacing w:val="-4"/>
          <w:sz w:val="18"/>
          <w:szCs w:val="18"/>
          <w:lang w:val="es-ES_tradnl"/>
        </w:rPr>
        <w:t>abreviado de forma voluntaria, sin coacci</w:t>
      </w:r>
      <w:r>
        <w:rPr>
          <w:rFonts w:cs="Times New Roman"/>
          <w:spacing w:val="-4"/>
          <w:sz w:val="18"/>
          <w:szCs w:val="18"/>
          <w:lang w:val="es-ES_tradnl"/>
        </w:rPr>
        <w:t>ó</w:t>
      </w:r>
      <w:r>
        <w:rPr>
          <w:spacing w:val="-4"/>
          <w:sz w:val="18"/>
          <w:szCs w:val="18"/>
          <w:lang w:val="es-ES_tradnl"/>
        </w:rPr>
        <w:t xml:space="preserve">n de ninguna </w:t>
      </w:r>
      <w:r>
        <w:rPr>
          <w:spacing w:val="-5"/>
          <w:sz w:val="18"/>
          <w:szCs w:val="18"/>
          <w:lang w:val="es-ES_tradnl"/>
        </w:rPr>
        <w:t>clase y sin vulneraci</w:t>
      </w:r>
      <w:r>
        <w:rPr>
          <w:rFonts w:cs="Times New Roman"/>
          <w:spacing w:val="-5"/>
          <w:sz w:val="18"/>
          <w:szCs w:val="18"/>
          <w:lang w:val="es-ES_tradnl"/>
        </w:rPr>
        <w:t>ó</w:t>
      </w:r>
      <w:r>
        <w:rPr>
          <w:spacing w:val="-5"/>
          <w:sz w:val="18"/>
          <w:szCs w:val="18"/>
          <w:lang w:val="es-ES_tradnl"/>
        </w:rPr>
        <w:t xml:space="preserve">n a sus derechos constitucionales; </w:t>
      </w:r>
      <w:r>
        <w:rPr>
          <w:spacing w:val="-3"/>
          <w:sz w:val="18"/>
          <w:szCs w:val="18"/>
          <w:lang w:val="es-ES_tradnl"/>
        </w:rPr>
        <w:t xml:space="preserve">asimismo el acusado dio su consentimiento libremente </w:t>
      </w:r>
      <w:r>
        <w:rPr>
          <w:spacing w:val="-2"/>
          <w:sz w:val="18"/>
          <w:szCs w:val="18"/>
          <w:lang w:val="es-ES_tradnl"/>
        </w:rPr>
        <w:t>en la aplicaci</w:t>
      </w:r>
      <w:r>
        <w:rPr>
          <w:rFonts w:cs="Times New Roman"/>
          <w:spacing w:val="-2"/>
          <w:sz w:val="18"/>
          <w:szCs w:val="18"/>
          <w:lang w:val="es-ES_tradnl"/>
        </w:rPr>
        <w:t>ó</w:t>
      </w:r>
      <w:r>
        <w:rPr>
          <w:spacing w:val="-2"/>
          <w:sz w:val="18"/>
          <w:szCs w:val="18"/>
          <w:lang w:val="es-ES_tradnl"/>
        </w:rPr>
        <w:t xml:space="preserve">n de este procedimiento firmando </w:t>
      </w:r>
      <w:r>
        <w:rPr>
          <w:spacing w:val="-6"/>
          <w:sz w:val="18"/>
          <w:szCs w:val="18"/>
          <w:lang w:val="es-ES_tradnl"/>
        </w:rPr>
        <w:t>conjuntamente con la defensora p</w:t>
      </w:r>
      <w:r>
        <w:rPr>
          <w:rFonts w:cs="Times New Roman"/>
          <w:spacing w:val="-6"/>
          <w:sz w:val="18"/>
          <w:szCs w:val="18"/>
          <w:lang w:val="es-ES_tradnl"/>
        </w:rPr>
        <w:t>ú</w:t>
      </w:r>
      <w:r>
        <w:rPr>
          <w:spacing w:val="-6"/>
          <w:sz w:val="18"/>
          <w:szCs w:val="18"/>
          <w:lang w:val="es-ES_tradnl"/>
        </w:rPr>
        <w:t xml:space="preserve">blica cumpliendo con </w:t>
      </w:r>
      <w:r>
        <w:rPr>
          <w:spacing w:val="-3"/>
          <w:sz w:val="18"/>
          <w:szCs w:val="18"/>
          <w:lang w:val="es-ES_tradnl"/>
        </w:rPr>
        <w:t>los requisitos exigidos en el art</w:t>
      </w:r>
      <w:r>
        <w:rPr>
          <w:rFonts w:cs="Times New Roman"/>
          <w:spacing w:val="-3"/>
          <w:sz w:val="18"/>
          <w:szCs w:val="18"/>
          <w:lang w:val="es-ES_tradnl"/>
        </w:rPr>
        <w:t>í</w:t>
      </w:r>
      <w:r>
        <w:rPr>
          <w:spacing w:val="-3"/>
          <w:sz w:val="18"/>
          <w:szCs w:val="18"/>
          <w:lang w:val="es-ES_tradnl"/>
        </w:rPr>
        <w:t>culo 369 del C</w:t>
      </w:r>
      <w:r>
        <w:rPr>
          <w:rFonts w:cs="Times New Roman"/>
          <w:spacing w:val="-3"/>
          <w:sz w:val="18"/>
          <w:szCs w:val="18"/>
          <w:lang w:val="es-ES_tradnl"/>
        </w:rPr>
        <w:t>ó</w:t>
      </w:r>
      <w:r>
        <w:rPr>
          <w:spacing w:val="-3"/>
          <w:sz w:val="18"/>
          <w:szCs w:val="18"/>
          <w:lang w:val="es-ES_tradnl"/>
        </w:rPr>
        <w:t xml:space="preserve">digo de </w:t>
      </w:r>
      <w:r>
        <w:rPr>
          <w:sz w:val="18"/>
          <w:szCs w:val="18"/>
          <w:lang w:val="es-ES_tradnl"/>
        </w:rPr>
        <w:t>Procedimiento Penal</w:t>
      </w:r>
      <w:r>
        <w:rPr>
          <w:sz w:val="18"/>
          <w:szCs w:val="18"/>
          <w:vertAlign w:val="superscript"/>
          <w:lang w:val="es-ES_tradnl"/>
        </w:rPr>
        <w:t>3</w:t>
      </w:r>
      <w:r>
        <w:rPr>
          <w:sz w:val="18"/>
          <w:szCs w:val="18"/>
          <w:lang w:val="es-ES_tradnl"/>
        </w:rPr>
        <w:t>.</w:t>
      </w:r>
    </w:p>
    <w:p w14:paraId="4F67BBB9" w14:textId="77777777" w:rsidR="00591D54" w:rsidRDefault="00591D54">
      <w:pPr>
        <w:shd w:val="clear" w:color="auto" w:fill="FFFFFF"/>
        <w:spacing w:before="202" w:line="226" w:lineRule="exact"/>
        <w:jc w:val="both"/>
      </w:pPr>
      <w:r>
        <w:rPr>
          <w:spacing w:val="-6"/>
          <w:sz w:val="18"/>
          <w:szCs w:val="18"/>
          <w:lang w:val="es-ES_tradnl"/>
        </w:rPr>
        <w:t>De esta manera, los juzgadores resolvieron en m</w:t>
      </w:r>
      <w:r>
        <w:rPr>
          <w:rFonts w:cs="Times New Roman"/>
          <w:spacing w:val="-6"/>
          <w:sz w:val="18"/>
          <w:szCs w:val="18"/>
          <w:lang w:val="es-ES_tradnl"/>
        </w:rPr>
        <w:t>é</w:t>
      </w:r>
      <w:r>
        <w:rPr>
          <w:spacing w:val="-6"/>
          <w:sz w:val="18"/>
          <w:szCs w:val="18"/>
          <w:lang w:val="es-ES_tradnl"/>
        </w:rPr>
        <w:t xml:space="preserve">rito de </w:t>
      </w:r>
      <w:r>
        <w:rPr>
          <w:spacing w:val="-7"/>
          <w:sz w:val="18"/>
          <w:szCs w:val="18"/>
          <w:lang w:val="es-ES_tradnl"/>
        </w:rPr>
        <w:t xml:space="preserve">los elementos investigativos actuados por el agente fiscal </w:t>
      </w:r>
      <w:r>
        <w:rPr>
          <w:spacing w:val="-6"/>
          <w:sz w:val="18"/>
          <w:szCs w:val="18"/>
          <w:lang w:val="es-ES_tradnl"/>
        </w:rPr>
        <w:t xml:space="preserve">que constan en el expediente y que el procesado los ha </w:t>
      </w:r>
      <w:r>
        <w:rPr>
          <w:spacing w:val="-7"/>
          <w:sz w:val="18"/>
          <w:szCs w:val="18"/>
          <w:lang w:val="es-ES_tradnl"/>
        </w:rPr>
        <w:t>aceptado como ciertos y v</w:t>
      </w:r>
      <w:r>
        <w:rPr>
          <w:rFonts w:cs="Times New Roman"/>
          <w:spacing w:val="-7"/>
          <w:sz w:val="18"/>
          <w:szCs w:val="18"/>
          <w:lang w:val="es-ES_tradnl"/>
        </w:rPr>
        <w:t>á</w:t>
      </w:r>
      <w:r>
        <w:rPr>
          <w:spacing w:val="-7"/>
          <w:sz w:val="18"/>
          <w:szCs w:val="18"/>
          <w:lang w:val="es-ES_tradnl"/>
        </w:rPr>
        <w:t xml:space="preserve">lidos, por lo cual se infiere que </w:t>
      </w:r>
      <w:r>
        <w:rPr>
          <w:spacing w:val="-5"/>
          <w:sz w:val="18"/>
          <w:szCs w:val="18"/>
          <w:lang w:val="es-ES_tradnl"/>
        </w:rPr>
        <w:t>no hay lugar a la contradicci</w:t>
      </w:r>
      <w:r>
        <w:rPr>
          <w:rFonts w:cs="Times New Roman"/>
          <w:spacing w:val="-5"/>
          <w:sz w:val="18"/>
          <w:szCs w:val="18"/>
          <w:lang w:val="es-ES_tradnl"/>
        </w:rPr>
        <w:t>ó</w:t>
      </w:r>
      <w:r>
        <w:rPr>
          <w:spacing w:val="-5"/>
          <w:sz w:val="18"/>
          <w:szCs w:val="18"/>
          <w:lang w:val="es-ES_tradnl"/>
        </w:rPr>
        <w:t xml:space="preserve">n de estos elementos que </w:t>
      </w:r>
      <w:r>
        <w:rPr>
          <w:spacing w:val="-9"/>
          <w:sz w:val="18"/>
          <w:szCs w:val="18"/>
          <w:lang w:val="es-ES_tradnl"/>
        </w:rPr>
        <w:t>sirvieron de sustento, por lo que el Tribunal Penal consider</w:t>
      </w:r>
      <w:r>
        <w:rPr>
          <w:rFonts w:cs="Times New Roman"/>
          <w:spacing w:val="-9"/>
          <w:sz w:val="18"/>
          <w:szCs w:val="18"/>
          <w:lang w:val="es-ES_tradnl"/>
        </w:rPr>
        <w:t xml:space="preserve">ó </w:t>
      </w:r>
      <w:r>
        <w:rPr>
          <w:spacing w:val="-6"/>
          <w:sz w:val="18"/>
          <w:szCs w:val="18"/>
          <w:lang w:val="es-ES_tradnl"/>
        </w:rPr>
        <w:t>que eran suficientes para establecer la materialidad de la</w:t>
      </w:r>
    </w:p>
    <w:p w14:paraId="4F67BBBA" w14:textId="77777777" w:rsidR="00591D54" w:rsidRDefault="00591D54">
      <w:pPr>
        <w:shd w:val="clear" w:color="auto" w:fill="FFFFFF"/>
        <w:spacing w:before="557" w:line="178" w:lineRule="exact"/>
        <w:ind w:left="139"/>
      </w:pPr>
      <w:r>
        <w:rPr>
          <w:spacing w:val="-3"/>
          <w:sz w:val="14"/>
          <w:szCs w:val="14"/>
          <w:lang w:val="es-ES_tradnl"/>
        </w:rPr>
        <w:t>El juez de garant</w:t>
      </w:r>
      <w:r>
        <w:rPr>
          <w:rFonts w:cs="Times New Roman"/>
          <w:spacing w:val="-3"/>
          <w:sz w:val="14"/>
          <w:szCs w:val="14"/>
          <w:lang w:val="es-ES_tradnl"/>
        </w:rPr>
        <w:t>í</w:t>
      </w:r>
      <w:r>
        <w:rPr>
          <w:spacing w:val="-3"/>
          <w:sz w:val="14"/>
          <w:szCs w:val="14"/>
          <w:lang w:val="es-ES_tradnl"/>
        </w:rPr>
        <w:t>as penales debe o</w:t>
      </w:r>
      <w:r>
        <w:rPr>
          <w:rFonts w:cs="Times New Roman"/>
          <w:spacing w:val="-3"/>
          <w:sz w:val="14"/>
          <w:szCs w:val="14"/>
          <w:lang w:val="es-ES_tradnl"/>
        </w:rPr>
        <w:t>í</w:t>
      </w:r>
      <w:r>
        <w:rPr>
          <w:spacing w:val="-3"/>
          <w:sz w:val="14"/>
          <w:szCs w:val="14"/>
          <w:lang w:val="es-ES_tradnl"/>
        </w:rPr>
        <w:t>r al procesado, insistiendo sobre</w:t>
      </w:r>
    </w:p>
    <w:p w14:paraId="4F67BBBB" w14:textId="77777777" w:rsidR="00591D54" w:rsidRDefault="00591D54">
      <w:pPr>
        <w:shd w:val="clear" w:color="auto" w:fill="FFFFFF"/>
        <w:spacing w:line="178" w:lineRule="exact"/>
        <w:ind w:left="139"/>
      </w:pPr>
      <w:r>
        <w:rPr>
          <w:sz w:val="14"/>
          <w:szCs w:val="14"/>
          <w:lang w:val="es-ES_tradnl"/>
        </w:rPr>
        <w:t>las consecuencias del presente procedimiento al procesado. Si lo</w:t>
      </w:r>
    </w:p>
    <w:p w14:paraId="4F67BBBC" w14:textId="77777777" w:rsidR="00591D54" w:rsidRDefault="00591D54">
      <w:pPr>
        <w:shd w:val="clear" w:color="auto" w:fill="FFFFFF"/>
        <w:spacing w:line="178" w:lineRule="exact"/>
        <w:ind w:left="139"/>
      </w:pPr>
      <w:r>
        <w:rPr>
          <w:spacing w:val="-2"/>
          <w:sz w:val="14"/>
          <w:szCs w:val="14"/>
          <w:lang w:val="es-ES_tradnl"/>
        </w:rPr>
        <w:t>considera necesario puede o</w:t>
      </w:r>
      <w:r>
        <w:rPr>
          <w:rFonts w:cs="Times New Roman"/>
          <w:spacing w:val="-2"/>
          <w:sz w:val="14"/>
          <w:szCs w:val="14"/>
          <w:lang w:val="es-ES_tradnl"/>
        </w:rPr>
        <w:t>í</w:t>
      </w:r>
      <w:r>
        <w:rPr>
          <w:spacing w:val="-2"/>
          <w:sz w:val="14"/>
          <w:szCs w:val="14"/>
          <w:lang w:val="es-ES_tradnl"/>
        </w:rPr>
        <w:t>r al ofendido.</w:t>
      </w:r>
    </w:p>
    <w:p w14:paraId="4F67BBBD" w14:textId="77777777" w:rsidR="00591D54" w:rsidRDefault="00591D54">
      <w:pPr>
        <w:shd w:val="clear" w:color="auto" w:fill="FFFFFF"/>
        <w:spacing w:line="178" w:lineRule="exact"/>
        <w:ind w:left="139"/>
      </w:pPr>
      <w:r>
        <w:rPr>
          <w:spacing w:val="-3"/>
          <w:sz w:val="14"/>
          <w:szCs w:val="14"/>
          <w:lang w:val="es-ES_tradnl"/>
        </w:rPr>
        <w:t>Si el juez de garant</w:t>
      </w:r>
      <w:r>
        <w:rPr>
          <w:rFonts w:cs="Times New Roman"/>
          <w:spacing w:val="-3"/>
          <w:sz w:val="14"/>
          <w:szCs w:val="14"/>
          <w:lang w:val="es-ES_tradnl"/>
        </w:rPr>
        <w:t>í</w:t>
      </w:r>
      <w:r>
        <w:rPr>
          <w:spacing w:val="-3"/>
          <w:sz w:val="14"/>
          <w:szCs w:val="14"/>
          <w:lang w:val="es-ES_tradnl"/>
        </w:rPr>
        <w:t>as penales rechaza la solicitud del procedimiento</w:t>
      </w:r>
    </w:p>
    <w:p w14:paraId="4F67BBBE" w14:textId="77777777" w:rsidR="00591D54" w:rsidRDefault="00591D54">
      <w:pPr>
        <w:shd w:val="clear" w:color="auto" w:fill="FFFFFF"/>
        <w:spacing w:line="178" w:lineRule="exact"/>
        <w:ind w:left="139"/>
      </w:pPr>
      <w:r>
        <w:rPr>
          <w:sz w:val="14"/>
          <w:szCs w:val="14"/>
          <w:lang w:val="es-ES_tradnl"/>
        </w:rPr>
        <w:t>abreviado, el fiscal superior podr</w:t>
      </w:r>
      <w:r>
        <w:rPr>
          <w:rFonts w:cs="Times New Roman"/>
          <w:sz w:val="14"/>
          <w:szCs w:val="14"/>
          <w:lang w:val="es-ES_tradnl"/>
        </w:rPr>
        <w:t>á</w:t>
      </w:r>
      <w:r>
        <w:rPr>
          <w:sz w:val="14"/>
          <w:szCs w:val="14"/>
          <w:lang w:val="es-ES_tradnl"/>
        </w:rPr>
        <w:t xml:space="preserve"> insistir y enviar</w:t>
      </w:r>
      <w:r>
        <w:rPr>
          <w:rFonts w:cs="Times New Roman"/>
          <w:sz w:val="14"/>
          <w:szCs w:val="14"/>
          <w:lang w:val="es-ES_tradnl"/>
        </w:rPr>
        <w:t>á</w:t>
      </w:r>
      <w:r>
        <w:rPr>
          <w:sz w:val="14"/>
          <w:szCs w:val="14"/>
          <w:lang w:val="es-ES_tradnl"/>
        </w:rPr>
        <w:t xml:space="preserve"> esta solicitud</w:t>
      </w:r>
    </w:p>
    <w:p w14:paraId="4F67BBBF" w14:textId="77777777" w:rsidR="00591D54" w:rsidRDefault="00591D54">
      <w:pPr>
        <w:shd w:val="clear" w:color="auto" w:fill="FFFFFF"/>
        <w:spacing w:line="178" w:lineRule="exact"/>
        <w:ind w:left="139"/>
      </w:pPr>
      <w:r>
        <w:rPr>
          <w:spacing w:val="-2"/>
          <w:sz w:val="14"/>
          <w:szCs w:val="14"/>
          <w:lang w:val="es-ES_tradnl"/>
        </w:rPr>
        <w:t>directamente al tribunal de garant</w:t>
      </w:r>
      <w:r>
        <w:rPr>
          <w:rFonts w:cs="Times New Roman"/>
          <w:spacing w:val="-2"/>
          <w:sz w:val="14"/>
          <w:szCs w:val="14"/>
          <w:lang w:val="es-ES_tradnl"/>
        </w:rPr>
        <w:t>í</w:t>
      </w:r>
      <w:r>
        <w:rPr>
          <w:spacing w:val="-2"/>
          <w:sz w:val="14"/>
          <w:szCs w:val="14"/>
          <w:lang w:val="es-ES_tradnl"/>
        </w:rPr>
        <w:t>as penales.</w:t>
      </w:r>
    </w:p>
    <w:p w14:paraId="4F67BBC0" w14:textId="77777777" w:rsidR="00591D54" w:rsidRDefault="00591D54">
      <w:pPr>
        <w:shd w:val="clear" w:color="auto" w:fill="FFFFFF"/>
        <w:spacing w:line="178" w:lineRule="exact"/>
        <w:ind w:left="139"/>
      </w:pPr>
      <w:r>
        <w:rPr>
          <w:spacing w:val="-1"/>
          <w:sz w:val="14"/>
          <w:szCs w:val="14"/>
          <w:lang w:val="es-ES_tradnl"/>
        </w:rPr>
        <w:t>Si la resoluci</w:t>
      </w:r>
      <w:r>
        <w:rPr>
          <w:rFonts w:cs="Times New Roman"/>
          <w:spacing w:val="-1"/>
          <w:sz w:val="14"/>
          <w:szCs w:val="14"/>
          <w:lang w:val="es-ES_tradnl"/>
        </w:rPr>
        <w:t>ó</w:t>
      </w:r>
      <w:r>
        <w:rPr>
          <w:spacing w:val="-1"/>
          <w:sz w:val="14"/>
          <w:szCs w:val="14"/>
          <w:lang w:val="es-ES_tradnl"/>
        </w:rPr>
        <w:t>n es conforme a la petici</w:t>
      </w:r>
      <w:r>
        <w:rPr>
          <w:rFonts w:cs="Times New Roman"/>
          <w:spacing w:val="-1"/>
          <w:sz w:val="14"/>
          <w:szCs w:val="14"/>
          <w:lang w:val="es-ES_tradnl"/>
        </w:rPr>
        <w:t>ó</w:t>
      </w:r>
      <w:r>
        <w:rPr>
          <w:spacing w:val="-1"/>
          <w:sz w:val="14"/>
          <w:szCs w:val="14"/>
          <w:lang w:val="es-ES_tradnl"/>
        </w:rPr>
        <w:t>n del procesado, el juez de</w:t>
      </w:r>
    </w:p>
    <w:p w14:paraId="4F67BBC1" w14:textId="77777777" w:rsidR="00591D54" w:rsidRDefault="00591D54">
      <w:pPr>
        <w:shd w:val="clear" w:color="auto" w:fill="FFFFFF"/>
        <w:spacing w:line="178" w:lineRule="exact"/>
        <w:ind w:left="139"/>
      </w:pPr>
      <w:r>
        <w:rPr>
          <w:sz w:val="14"/>
          <w:szCs w:val="14"/>
          <w:lang w:val="es-ES_tradnl"/>
        </w:rPr>
        <w:t>garant</w:t>
      </w:r>
      <w:r>
        <w:rPr>
          <w:rFonts w:cs="Times New Roman"/>
          <w:sz w:val="14"/>
          <w:szCs w:val="14"/>
          <w:lang w:val="es-ES_tradnl"/>
        </w:rPr>
        <w:t>í</w:t>
      </w:r>
      <w:r>
        <w:rPr>
          <w:sz w:val="14"/>
          <w:szCs w:val="14"/>
          <w:lang w:val="es-ES_tradnl"/>
        </w:rPr>
        <w:t>as penales enviar</w:t>
      </w:r>
      <w:r>
        <w:rPr>
          <w:rFonts w:cs="Times New Roman"/>
          <w:sz w:val="14"/>
          <w:szCs w:val="14"/>
          <w:lang w:val="es-ES_tradnl"/>
        </w:rPr>
        <w:t>á</w:t>
      </w:r>
      <w:r>
        <w:rPr>
          <w:sz w:val="14"/>
          <w:szCs w:val="14"/>
          <w:lang w:val="es-ES_tradnl"/>
        </w:rPr>
        <w:t xml:space="preserve"> inmediatamente al tribunal de garant</w:t>
      </w:r>
      <w:r>
        <w:rPr>
          <w:rFonts w:cs="Times New Roman"/>
          <w:sz w:val="14"/>
          <w:szCs w:val="14"/>
          <w:lang w:val="es-ES_tradnl"/>
        </w:rPr>
        <w:t>í</w:t>
      </w:r>
      <w:r>
        <w:rPr>
          <w:sz w:val="14"/>
          <w:szCs w:val="14"/>
          <w:lang w:val="es-ES_tradnl"/>
        </w:rPr>
        <w:t>as</w:t>
      </w:r>
    </w:p>
    <w:p w14:paraId="4F67BBC2" w14:textId="77777777" w:rsidR="00591D54" w:rsidRDefault="00591D54">
      <w:pPr>
        <w:shd w:val="clear" w:color="auto" w:fill="FFFFFF"/>
        <w:spacing w:line="178" w:lineRule="exact"/>
        <w:ind w:left="139"/>
      </w:pPr>
      <w:r>
        <w:rPr>
          <w:spacing w:val="-1"/>
          <w:sz w:val="14"/>
          <w:szCs w:val="14"/>
          <w:lang w:val="es-ES_tradnl"/>
        </w:rPr>
        <w:t>penales para que avoque conocimiento y resuelva la adopci</w:t>
      </w:r>
      <w:r>
        <w:rPr>
          <w:rFonts w:cs="Times New Roman"/>
          <w:spacing w:val="-1"/>
          <w:sz w:val="14"/>
          <w:szCs w:val="14"/>
          <w:lang w:val="es-ES_tradnl"/>
        </w:rPr>
        <w:t>ó</w:t>
      </w:r>
      <w:r>
        <w:rPr>
          <w:spacing w:val="-1"/>
          <w:sz w:val="14"/>
          <w:szCs w:val="14"/>
          <w:lang w:val="es-ES_tradnl"/>
        </w:rPr>
        <w:t>n o no</w:t>
      </w:r>
    </w:p>
    <w:p w14:paraId="4F67BBC3" w14:textId="77777777" w:rsidR="00591D54" w:rsidRDefault="00591D54">
      <w:pPr>
        <w:shd w:val="clear" w:color="auto" w:fill="FFFFFF"/>
        <w:spacing w:line="178" w:lineRule="exact"/>
        <w:ind w:left="139"/>
      </w:pPr>
      <w:r>
        <w:rPr>
          <w:spacing w:val="-3"/>
          <w:sz w:val="14"/>
          <w:szCs w:val="14"/>
          <w:lang w:val="es-ES_tradnl"/>
        </w:rPr>
        <w:t>de la pena como consecuencia del procedimiento abreviado. La pena</w:t>
      </w:r>
    </w:p>
    <w:p w14:paraId="4F67BBC4" w14:textId="77777777" w:rsidR="00591D54" w:rsidRDefault="00591D54">
      <w:pPr>
        <w:shd w:val="clear" w:color="auto" w:fill="FFFFFF"/>
        <w:spacing w:line="178" w:lineRule="exact"/>
        <w:ind w:left="139"/>
      </w:pPr>
      <w:r>
        <w:rPr>
          <w:spacing w:val="-3"/>
          <w:sz w:val="14"/>
          <w:szCs w:val="14"/>
          <w:lang w:val="es-ES_tradnl"/>
        </w:rPr>
        <w:t>en ning</w:t>
      </w:r>
      <w:r>
        <w:rPr>
          <w:rFonts w:cs="Times New Roman"/>
          <w:spacing w:val="-3"/>
          <w:sz w:val="14"/>
          <w:szCs w:val="14"/>
          <w:lang w:val="es-ES_tradnl"/>
        </w:rPr>
        <w:t>ú</w:t>
      </w:r>
      <w:r>
        <w:rPr>
          <w:spacing w:val="-3"/>
          <w:sz w:val="14"/>
          <w:szCs w:val="14"/>
          <w:lang w:val="es-ES_tradnl"/>
        </w:rPr>
        <w:t>n caso ser</w:t>
      </w:r>
      <w:r>
        <w:rPr>
          <w:rFonts w:cs="Times New Roman"/>
          <w:spacing w:val="-3"/>
          <w:sz w:val="14"/>
          <w:szCs w:val="14"/>
          <w:lang w:val="es-ES_tradnl"/>
        </w:rPr>
        <w:t>á</w:t>
      </w:r>
      <w:r>
        <w:rPr>
          <w:spacing w:val="-3"/>
          <w:sz w:val="14"/>
          <w:szCs w:val="14"/>
          <w:lang w:val="es-ES_tradnl"/>
        </w:rPr>
        <w:t xml:space="preserve"> superior a la sugerida por el fiscal.</w:t>
      </w:r>
    </w:p>
    <w:p w14:paraId="4F67BBC5" w14:textId="77777777" w:rsidR="00591D54" w:rsidRDefault="00591D54">
      <w:pPr>
        <w:shd w:val="clear" w:color="auto" w:fill="FFFFFF"/>
        <w:spacing w:line="178" w:lineRule="exact"/>
        <w:ind w:left="139"/>
      </w:pPr>
      <w:r>
        <w:rPr>
          <w:spacing w:val="-5"/>
          <w:sz w:val="14"/>
          <w:szCs w:val="14"/>
          <w:lang w:val="es-ES_tradnl"/>
        </w:rPr>
        <w:t>Si el tribunal de garant</w:t>
      </w:r>
      <w:r>
        <w:rPr>
          <w:rFonts w:cs="Times New Roman"/>
          <w:spacing w:val="-5"/>
          <w:sz w:val="14"/>
          <w:szCs w:val="14"/>
          <w:lang w:val="es-ES_tradnl"/>
        </w:rPr>
        <w:t>í</w:t>
      </w:r>
      <w:r>
        <w:rPr>
          <w:spacing w:val="-5"/>
          <w:sz w:val="14"/>
          <w:szCs w:val="14"/>
          <w:lang w:val="es-ES_tradnl"/>
        </w:rPr>
        <w:t>as penales rechaza el acuerdo de procedimiento</w:t>
      </w:r>
    </w:p>
    <w:p w14:paraId="4F67BBC6" w14:textId="77777777" w:rsidR="00591D54" w:rsidRDefault="00591D54">
      <w:pPr>
        <w:shd w:val="clear" w:color="auto" w:fill="FFFFFF"/>
        <w:spacing w:line="178" w:lineRule="exact"/>
        <w:ind w:left="139"/>
      </w:pPr>
      <w:r>
        <w:rPr>
          <w:spacing w:val="-4"/>
          <w:sz w:val="14"/>
          <w:szCs w:val="14"/>
          <w:lang w:val="es-ES_tradnl"/>
        </w:rPr>
        <w:t>abreviado, devolver</w:t>
      </w:r>
      <w:r>
        <w:rPr>
          <w:rFonts w:cs="Times New Roman"/>
          <w:spacing w:val="-4"/>
          <w:sz w:val="14"/>
          <w:szCs w:val="14"/>
          <w:lang w:val="es-ES_tradnl"/>
        </w:rPr>
        <w:t>á</w:t>
      </w:r>
      <w:r>
        <w:rPr>
          <w:spacing w:val="-4"/>
          <w:sz w:val="14"/>
          <w:szCs w:val="14"/>
          <w:lang w:val="es-ES_tradnl"/>
        </w:rPr>
        <w:t xml:space="preserve"> el proceso al juez de garant</w:t>
      </w:r>
      <w:r>
        <w:rPr>
          <w:rFonts w:cs="Times New Roman"/>
          <w:spacing w:val="-4"/>
          <w:sz w:val="14"/>
          <w:szCs w:val="14"/>
          <w:lang w:val="es-ES_tradnl"/>
        </w:rPr>
        <w:t>í</w:t>
      </w:r>
      <w:r>
        <w:rPr>
          <w:spacing w:val="-4"/>
          <w:sz w:val="14"/>
          <w:szCs w:val="14"/>
          <w:lang w:val="es-ES_tradnl"/>
        </w:rPr>
        <w:t>as penales para que</w:t>
      </w:r>
    </w:p>
    <w:p w14:paraId="4F67BBC7" w14:textId="77777777" w:rsidR="00591D54" w:rsidRDefault="00591D54">
      <w:pPr>
        <w:shd w:val="clear" w:color="auto" w:fill="FFFFFF"/>
        <w:spacing w:line="178" w:lineRule="exact"/>
        <w:ind w:left="139"/>
      </w:pPr>
      <w:r>
        <w:rPr>
          <w:sz w:val="14"/>
          <w:szCs w:val="14"/>
          <w:lang w:val="es-ES_tradnl"/>
        </w:rPr>
        <w:t>prosiga con el tr</w:t>
      </w:r>
      <w:r>
        <w:rPr>
          <w:rFonts w:cs="Times New Roman"/>
          <w:sz w:val="14"/>
          <w:szCs w:val="14"/>
          <w:lang w:val="es-ES_tradnl"/>
        </w:rPr>
        <w:t>á</w:t>
      </w:r>
      <w:r>
        <w:rPr>
          <w:sz w:val="14"/>
          <w:szCs w:val="14"/>
          <w:lang w:val="es-ES_tradnl"/>
        </w:rPr>
        <w:t>mite ordinario.</w:t>
      </w:r>
    </w:p>
    <w:p w14:paraId="4F67BBC8" w14:textId="77777777" w:rsidR="00591D54" w:rsidRDefault="00591D54">
      <w:pPr>
        <w:shd w:val="clear" w:color="auto" w:fill="FFFFFF"/>
        <w:spacing w:line="178" w:lineRule="exact"/>
        <w:ind w:left="139"/>
      </w:pPr>
      <w:r>
        <w:rPr>
          <w:spacing w:val="-3"/>
          <w:sz w:val="14"/>
          <w:szCs w:val="14"/>
          <w:lang w:val="es-ES_tradnl"/>
        </w:rPr>
        <w:t>Cualquiera de las partes podr</w:t>
      </w:r>
      <w:r>
        <w:rPr>
          <w:rFonts w:cs="Times New Roman"/>
          <w:spacing w:val="-3"/>
          <w:sz w:val="14"/>
          <w:szCs w:val="14"/>
          <w:lang w:val="es-ES_tradnl"/>
        </w:rPr>
        <w:t>á</w:t>
      </w:r>
      <w:r>
        <w:rPr>
          <w:spacing w:val="-3"/>
          <w:sz w:val="14"/>
          <w:szCs w:val="14"/>
          <w:lang w:val="es-ES_tradnl"/>
        </w:rPr>
        <w:t xml:space="preserve"> apelar del fallo que admita o niegue el</w:t>
      </w:r>
    </w:p>
    <w:p w14:paraId="4F67BBC9" w14:textId="77777777" w:rsidR="00591D54" w:rsidRDefault="00591D54">
      <w:pPr>
        <w:shd w:val="clear" w:color="auto" w:fill="FFFFFF"/>
        <w:spacing w:line="178" w:lineRule="exact"/>
        <w:ind w:left="139"/>
      </w:pPr>
      <w:r>
        <w:rPr>
          <w:spacing w:val="-1"/>
          <w:sz w:val="14"/>
          <w:szCs w:val="14"/>
          <w:lang w:val="es-ES_tradnl"/>
        </w:rPr>
        <w:t>procedimiento abreviado.</w:t>
      </w:r>
    </w:p>
    <w:p w14:paraId="4F67BBCA" w14:textId="77777777" w:rsidR="00591D54" w:rsidRDefault="00591D54">
      <w:pPr>
        <w:shd w:val="clear" w:color="auto" w:fill="FFFFFF"/>
        <w:spacing w:before="149" w:line="178" w:lineRule="exact"/>
        <w:ind w:left="139" w:right="5" w:hanging="139"/>
        <w:jc w:val="both"/>
      </w:pPr>
      <w:r>
        <w:rPr>
          <w:sz w:val="14"/>
          <w:szCs w:val="14"/>
          <w:vertAlign w:val="superscript"/>
          <w:lang w:val="es-ES_tradnl"/>
        </w:rPr>
        <w:t>3</w:t>
      </w:r>
      <w:r>
        <w:rPr>
          <w:sz w:val="14"/>
          <w:szCs w:val="14"/>
          <w:lang w:val="es-ES_tradnl"/>
        </w:rPr>
        <w:t xml:space="preserve"> C</w:t>
      </w:r>
      <w:r>
        <w:rPr>
          <w:rFonts w:cs="Times New Roman"/>
          <w:sz w:val="14"/>
          <w:szCs w:val="14"/>
          <w:lang w:val="es-ES_tradnl"/>
        </w:rPr>
        <w:t>ó</w:t>
      </w:r>
      <w:r>
        <w:rPr>
          <w:sz w:val="14"/>
          <w:szCs w:val="14"/>
          <w:lang w:val="es-ES_tradnl"/>
        </w:rPr>
        <w:t>digo de Procedimiento Penal. Art</w:t>
      </w:r>
      <w:r>
        <w:rPr>
          <w:rFonts w:cs="Times New Roman"/>
          <w:sz w:val="14"/>
          <w:szCs w:val="14"/>
          <w:lang w:val="es-ES_tradnl"/>
        </w:rPr>
        <w:t>í</w:t>
      </w:r>
      <w:r>
        <w:rPr>
          <w:sz w:val="14"/>
          <w:szCs w:val="14"/>
          <w:lang w:val="es-ES_tradnl"/>
        </w:rPr>
        <w:t xml:space="preserve">culo 369.- Admisibilidad.-(Sustituido por el Art. 112 de la Ley s/n, R.O. 555S, 24III2009). </w:t>
      </w:r>
      <w:r>
        <w:rPr>
          <w:spacing w:val="-3"/>
          <w:sz w:val="14"/>
          <w:szCs w:val="14"/>
          <w:lang w:val="es-ES_tradnl"/>
        </w:rPr>
        <w:t>Desde el inicio de la instrucci</w:t>
      </w:r>
      <w:r>
        <w:rPr>
          <w:rFonts w:cs="Times New Roman"/>
          <w:spacing w:val="-3"/>
          <w:sz w:val="14"/>
          <w:szCs w:val="14"/>
          <w:lang w:val="es-ES_tradnl"/>
        </w:rPr>
        <w:t>ó</w:t>
      </w:r>
      <w:r>
        <w:rPr>
          <w:spacing w:val="-3"/>
          <w:sz w:val="14"/>
          <w:szCs w:val="14"/>
          <w:lang w:val="es-ES_tradnl"/>
        </w:rPr>
        <w:t xml:space="preserve">n fiscal hasta antes de la audiencia de </w:t>
      </w:r>
      <w:r>
        <w:rPr>
          <w:spacing w:val="-1"/>
          <w:sz w:val="14"/>
          <w:szCs w:val="14"/>
          <w:lang w:val="es-ES_tradnl"/>
        </w:rPr>
        <w:t>juicio, se puede proponer la aplicaci</w:t>
      </w:r>
      <w:r>
        <w:rPr>
          <w:rFonts w:cs="Times New Roman"/>
          <w:spacing w:val="-1"/>
          <w:sz w:val="14"/>
          <w:szCs w:val="14"/>
          <w:lang w:val="es-ES_tradnl"/>
        </w:rPr>
        <w:t>ó</w:t>
      </w:r>
      <w:r>
        <w:rPr>
          <w:spacing w:val="-1"/>
          <w:sz w:val="14"/>
          <w:szCs w:val="14"/>
          <w:lang w:val="es-ES_tradnl"/>
        </w:rPr>
        <w:t xml:space="preserve">n del procedimiento abreviado </w:t>
      </w:r>
      <w:r>
        <w:rPr>
          <w:sz w:val="14"/>
          <w:szCs w:val="14"/>
          <w:lang w:val="es-ES_tradnl"/>
        </w:rPr>
        <w:t>previsto en este T</w:t>
      </w:r>
      <w:r>
        <w:rPr>
          <w:rFonts w:cs="Times New Roman"/>
          <w:sz w:val="14"/>
          <w:szCs w:val="14"/>
          <w:lang w:val="es-ES_tradnl"/>
        </w:rPr>
        <w:t>í</w:t>
      </w:r>
      <w:r>
        <w:rPr>
          <w:sz w:val="14"/>
          <w:szCs w:val="14"/>
          <w:lang w:val="es-ES_tradnl"/>
        </w:rPr>
        <w:t>tulo, cuando:</w:t>
      </w:r>
    </w:p>
    <w:p w14:paraId="4F67BBCB" w14:textId="77777777" w:rsidR="00591D54" w:rsidRDefault="00591D54">
      <w:pPr>
        <w:shd w:val="clear" w:color="auto" w:fill="FFFFFF"/>
        <w:tabs>
          <w:tab w:val="left" w:pos="326"/>
        </w:tabs>
        <w:spacing w:line="178" w:lineRule="exact"/>
        <w:ind w:left="139" w:right="5"/>
        <w:jc w:val="both"/>
      </w:pPr>
      <w:r>
        <w:rPr>
          <w:spacing w:val="-4"/>
          <w:sz w:val="14"/>
          <w:szCs w:val="14"/>
          <w:lang w:val="es-ES_tradnl"/>
        </w:rPr>
        <w:t>1.</w:t>
      </w:r>
      <w:r>
        <w:rPr>
          <w:sz w:val="18"/>
          <w:szCs w:val="18"/>
          <w:lang w:val="es-ES_tradnl"/>
        </w:rPr>
        <w:tab/>
      </w:r>
      <w:r>
        <w:rPr>
          <w:spacing w:val="-1"/>
          <w:sz w:val="14"/>
          <w:szCs w:val="14"/>
          <w:lang w:val="es-ES_tradnl"/>
        </w:rPr>
        <w:t>Se</w:t>
      </w:r>
      <w:r>
        <w:rPr>
          <w:spacing w:val="-1"/>
          <w:sz w:val="18"/>
          <w:szCs w:val="18"/>
          <w:lang w:val="es-ES_tradnl"/>
        </w:rPr>
        <w:t xml:space="preserve"> </w:t>
      </w:r>
      <w:r>
        <w:rPr>
          <w:spacing w:val="-1"/>
          <w:sz w:val="14"/>
          <w:szCs w:val="14"/>
          <w:lang w:val="es-ES_tradnl"/>
        </w:rPr>
        <w:t>trate</w:t>
      </w:r>
      <w:r>
        <w:rPr>
          <w:spacing w:val="-1"/>
          <w:sz w:val="18"/>
          <w:szCs w:val="18"/>
          <w:lang w:val="es-ES_tradnl"/>
        </w:rPr>
        <w:t xml:space="preserve"> </w:t>
      </w:r>
      <w:r>
        <w:rPr>
          <w:spacing w:val="-1"/>
          <w:sz w:val="14"/>
          <w:szCs w:val="14"/>
          <w:lang w:val="es-ES_tradnl"/>
        </w:rPr>
        <w:t>de</w:t>
      </w:r>
      <w:r>
        <w:rPr>
          <w:spacing w:val="-1"/>
          <w:sz w:val="18"/>
          <w:szCs w:val="18"/>
          <w:lang w:val="es-ES_tradnl"/>
        </w:rPr>
        <w:t xml:space="preserve"> </w:t>
      </w:r>
      <w:r>
        <w:rPr>
          <w:spacing w:val="-1"/>
          <w:sz w:val="14"/>
          <w:szCs w:val="14"/>
          <w:lang w:val="es-ES_tradnl"/>
        </w:rPr>
        <w:t>un</w:t>
      </w:r>
      <w:r>
        <w:rPr>
          <w:spacing w:val="-1"/>
          <w:sz w:val="18"/>
          <w:szCs w:val="18"/>
          <w:lang w:val="es-ES_tradnl"/>
        </w:rPr>
        <w:t xml:space="preserve"> </w:t>
      </w:r>
      <w:r>
        <w:rPr>
          <w:spacing w:val="-1"/>
          <w:sz w:val="14"/>
          <w:szCs w:val="14"/>
          <w:lang w:val="es-ES_tradnl"/>
        </w:rPr>
        <w:t>delito</w:t>
      </w:r>
      <w:r>
        <w:rPr>
          <w:spacing w:val="-1"/>
          <w:sz w:val="18"/>
          <w:szCs w:val="18"/>
          <w:lang w:val="es-ES_tradnl"/>
        </w:rPr>
        <w:t xml:space="preserve"> </w:t>
      </w:r>
      <w:r>
        <w:rPr>
          <w:spacing w:val="-1"/>
          <w:sz w:val="14"/>
          <w:szCs w:val="14"/>
          <w:lang w:val="es-ES_tradnl"/>
        </w:rPr>
        <w:t>o</w:t>
      </w:r>
      <w:r>
        <w:rPr>
          <w:spacing w:val="-1"/>
          <w:sz w:val="18"/>
          <w:szCs w:val="18"/>
          <w:lang w:val="es-ES_tradnl"/>
        </w:rPr>
        <w:t xml:space="preserve"> </w:t>
      </w:r>
      <w:r>
        <w:rPr>
          <w:spacing w:val="-1"/>
          <w:sz w:val="14"/>
          <w:szCs w:val="14"/>
          <w:lang w:val="es-ES_tradnl"/>
        </w:rPr>
        <w:t>tentativa</w:t>
      </w:r>
      <w:r>
        <w:rPr>
          <w:spacing w:val="-1"/>
          <w:sz w:val="18"/>
          <w:szCs w:val="18"/>
          <w:lang w:val="es-ES_tradnl"/>
        </w:rPr>
        <w:t xml:space="preserve"> </w:t>
      </w:r>
      <w:r>
        <w:rPr>
          <w:spacing w:val="-1"/>
          <w:sz w:val="14"/>
          <w:szCs w:val="14"/>
          <w:lang w:val="es-ES_tradnl"/>
        </w:rPr>
        <w:t>que</w:t>
      </w:r>
      <w:r>
        <w:rPr>
          <w:spacing w:val="-1"/>
          <w:sz w:val="18"/>
          <w:szCs w:val="18"/>
          <w:lang w:val="es-ES_tradnl"/>
        </w:rPr>
        <w:t xml:space="preserve"> </w:t>
      </w:r>
      <w:r>
        <w:rPr>
          <w:spacing w:val="-1"/>
          <w:sz w:val="14"/>
          <w:szCs w:val="14"/>
          <w:lang w:val="es-ES_tradnl"/>
        </w:rPr>
        <w:t>tenga</w:t>
      </w:r>
      <w:r>
        <w:rPr>
          <w:spacing w:val="-1"/>
          <w:sz w:val="18"/>
          <w:szCs w:val="18"/>
          <w:lang w:val="es-ES_tradnl"/>
        </w:rPr>
        <w:t xml:space="preserve"> </w:t>
      </w:r>
      <w:r>
        <w:rPr>
          <w:spacing w:val="-1"/>
          <w:sz w:val="14"/>
          <w:szCs w:val="14"/>
          <w:lang w:val="es-ES_tradnl"/>
        </w:rPr>
        <w:t>prevista</w:t>
      </w:r>
      <w:r>
        <w:rPr>
          <w:spacing w:val="-1"/>
          <w:sz w:val="18"/>
          <w:szCs w:val="18"/>
          <w:lang w:val="es-ES_tradnl"/>
        </w:rPr>
        <w:t xml:space="preserve"> </w:t>
      </w:r>
      <w:r>
        <w:rPr>
          <w:spacing w:val="-1"/>
          <w:sz w:val="14"/>
          <w:szCs w:val="14"/>
          <w:lang w:val="es-ES_tradnl"/>
        </w:rPr>
        <w:t>una</w:t>
      </w:r>
      <w:r>
        <w:rPr>
          <w:spacing w:val="-1"/>
          <w:sz w:val="18"/>
          <w:szCs w:val="18"/>
          <w:lang w:val="es-ES_tradnl"/>
        </w:rPr>
        <w:t xml:space="preserve"> </w:t>
      </w:r>
      <w:r>
        <w:rPr>
          <w:spacing w:val="-1"/>
          <w:sz w:val="14"/>
          <w:szCs w:val="14"/>
          <w:lang w:val="es-ES_tradnl"/>
        </w:rPr>
        <w:t>pena </w:t>
      </w:r>
      <w:r>
        <w:rPr>
          <w:sz w:val="14"/>
          <w:szCs w:val="14"/>
          <w:lang w:val="es-ES_tradnl"/>
        </w:rPr>
        <w:t>privativa de libertad, de hasta cinco a</w:t>
      </w:r>
      <w:r>
        <w:rPr>
          <w:rFonts w:cs="Times New Roman"/>
          <w:sz w:val="14"/>
          <w:szCs w:val="14"/>
          <w:lang w:val="es-ES_tradnl"/>
        </w:rPr>
        <w:t>ñ</w:t>
      </w:r>
      <w:r>
        <w:rPr>
          <w:sz w:val="14"/>
          <w:szCs w:val="14"/>
          <w:lang w:val="es-ES_tradnl"/>
        </w:rPr>
        <w:t>os;</w:t>
      </w:r>
    </w:p>
    <w:p w14:paraId="4F67BBCC" w14:textId="77777777" w:rsidR="00591D54" w:rsidRDefault="00591D54" w:rsidP="00251195">
      <w:pPr>
        <w:numPr>
          <w:ilvl w:val="0"/>
          <w:numId w:val="127"/>
        </w:numPr>
        <w:shd w:val="clear" w:color="auto" w:fill="FFFFFF"/>
        <w:tabs>
          <w:tab w:val="left" w:pos="288"/>
        </w:tabs>
        <w:spacing w:line="178" w:lineRule="exact"/>
        <w:ind w:left="139" w:right="5"/>
        <w:jc w:val="both"/>
        <w:rPr>
          <w:spacing w:val="-4"/>
          <w:sz w:val="14"/>
          <w:szCs w:val="14"/>
          <w:lang w:val="es-ES_tradnl"/>
        </w:rPr>
      </w:pPr>
      <w:r>
        <w:rPr>
          <w:spacing w:val="-3"/>
          <w:sz w:val="14"/>
          <w:szCs w:val="14"/>
          <w:lang w:val="es-ES_tradnl"/>
        </w:rPr>
        <w:t>El</w:t>
      </w:r>
      <w:r>
        <w:rPr>
          <w:spacing w:val="-3"/>
          <w:sz w:val="18"/>
          <w:szCs w:val="18"/>
          <w:lang w:val="es-ES_tradnl"/>
        </w:rPr>
        <w:t xml:space="preserve"> </w:t>
      </w:r>
      <w:r>
        <w:rPr>
          <w:spacing w:val="-3"/>
          <w:sz w:val="14"/>
          <w:szCs w:val="14"/>
          <w:lang w:val="es-ES_tradnl"/>
        </w:rPr>
        <w:t>procesado</w:t>
      </w:r>
      <w:r>
        <w:rPr>
          <w:spacing w:val="-3"/>
          <w:sz w:val="18"/>
          <w:szCs w:val="18"/>
          <w:lang w:val="es-ES_tradnl"/>
        </w:rPr>
        <w:t xml:space="preserve"> </w:t>
      </w:r>
      <w:r>
        <w:rPr>
          <w:spacing w:val="-3"/>
          <w:sz w:val="14"/>
          <w:szCs w:val="14"/>
          <w:lang w:val="es-ES_tradnl"/>
        </w:rPr>
        <w:t>admita</w:t>
      </w:r>
      <w:r>
        <w:rPr>
          <w:spacing w:val="-3"/>
          <w:sz w:val="18"/>
          <w:szCs w:val="18"/>
          <w:lang w:val="es-ES_tradnl"/>
        </w:rPr>
        <w:t xml:space="preserve"> </w:t>
      </w:r>
      <w:r>
        <w:rPr>
          <w:spacing w:val="-3"/>
          <w:sz w:val="14"/>
          <w:szCs w:val="14"/>
          <w:lang w:val="es-ES_tradnl"/>
        </w:rPr>
        <w:t>el</w:t>
      </w:r>
      <w:r>
        <w:rPr>
          <w:spacing w:val="-3"/>
          <w:sz w:val="18"/>
          <w:szCs w:val="18"/>
          <w:lang w:val="es-ES_tradnl"/>
        </w:rPr>
        <w:t xml:space="preserve"> </w:t>
      </w:r>
      <w:r>
        <w:rPr>
          <w:spacing w:val="-3"/>
          <w:sz w:val="14"/>
          <w:szCs w:val="14"/>
          <w:lang w:val="es-ES_tradnl"/>
        </w:rPr>
        <w:t>hecho</w:t>
      </w:r>
      <w:r>
        <w:rPr>
          <w:spacing w:val="-3"/>
          <w:sz w:val="18"/>
          <w:szCs w:val="18"/>
          <w:lang w:val="es-ES_tradnl"/>
        </w:rPr>
        <w:t xml:space="preserve"> </w:t>
      </w:r>
      <w:r>
        <w:rPr>
          <w:spacing w:val="-3"/>
          <w:sz w:val="14"/>
          <w:szCs w:val="14"/>
          <w:lang w:val="es-ES_tradnl"/>
        </w:rPr>
        <w:t>f</w:t>
      </w:r>
      <w:r>
        <w:rPr>
          <w:rFonts w:cs="Times New Roman"/>
          <w:spacing w:val="-3"/>
          <w:sz w:val="14"/>
          <w:szCs w:val="14"/>
          <w:lang w:val="es-ES_tradnl"/>
        </w:rPr>
        <w:t>á</w:t>
      </w:r>
      <w:r>
        <w:rPr>
          <w:spacing w:val="-3"/>
          <w:sz w:val="14"/>
          <w:szCs w:val="14"/>
          <w:lang w:val="es-ES_tradnl"/>
        </w:rPr>
        <w:t>ctico</w:t>
      </w:r>
      <w:r>
        <w:rPr>
          <w:spacing w:val="-3"/>
          <w:sz w:val="18"/>
          <w:szCs w:val="18"/>
          <w:lang w:val="es-ES_tradnl"/>
        </w:rPr>
        <w:t xml:space="preserve"> </w:t>
      </w:r>
      <w:r>
        <w:rPr>
          <w:spacing w:val="-3"/>
          <w:sz w:val="14"/>
          <w:szCs w:val="14"/>
          <w:lang w:val="es-ES_tradnl"/>
        </w:rPr>
        <w:t>que</w:t>
      </w:r>
      <w:r>
        <w:rPr>
          <w:spacing w:val="-3"/>
          <w:sz w:val="18"/>
          <w:szCs w:val="18"/>
          <w:lang w:val="es-ES_tradnl"/>
        </w:rPr>
        <w:t xml:space="preserve"> </w:t>
      </w:r>
      <w:r>
        <w:rPr>
          <w:spacing w:val="-3"/>
          <w:sz w:val="14"/>
          <w:szCs w:val="14"/>
          <w:lang w:val="es-ES_tradnl"/>
        </w:rPr>
        <w:t>se</w:t>
      </w:r>
      <w:r>
        <w:rPr>
          <w:spacing w:val="-3"/>
          <w:sz w:val="18"/>
          <w:szCs w:val="18"/>
          <w:lang w:val="es-ES_tradnl"/>
        </w:rPr>
        <w:t xml:space="preserve"> </w:t>
      </w:r>
      <w:r>
        <w:rPr>
          <w:spacing w:val="-3"/>
          <w:sz w:val="14"/>
          <w:szCs w:val="14"/>
          <w:lang w:val="es-ES_tradnl"/>
        </w:rPr>
        <w:t>le</w:t>
      </w:r>
      <w:r>
        <w:rPr>
          <w:spacing w:val="-3"/>
          <w:sz w:val="18"/>
          <w:szCs w:val="18"/>
          <w:lang w:val="es-ES_tradnl"/>
        </w:rPr>
        <w:t xml:space="preserve"> </w:t>
      </w:r>
      <w:r>
        <w:rPr>
          <w:spacing w:val="-3"/>
          <w:sz w:val="14"/>
          <w:szCs w:val="14"/>
          <w:lang w:val="es-ES_tradnl"/>
        </w:rPr>
        <w:t>atribuye</w:t>
      </w:r>
      <w:r>
        <w:rPr>
          <w:spacing w:val="-3"/>
          <w:sz w:val="18"/>
          <w:szCs w:val="18"/>
          <w:lang w:val="es-ES_tradnl"/>
        </w:rPr>
        <w:t xml:space="preserve"> </w:t>
      </w:r>
      <w:r>
        <w:rPr>
          <w:spacing w:val="-3"/>
          <w:sz w:val="14"/>
          <w:szCs w:val="14"/>
          <w:lang w:val="es-ES_tradnl"/>
        </w:rPr>
        <w:t>y</w:t>
      </w:r>
      <w:r>
        <w:rPr>
          <w:spacing w:val="-3"/>
          <w:sz w:val="18"/>
          <w:szCs w:val="18"/>
          <w:lang w:val="es-ES_tradnl"/>
        </w:rPr>
        <w:t xml:space="preserve"> </w:t>
      </w:r>
      <w:r>
        <w:rPr>
          <w:spacing w:val="-3"/>
          <w:sz w:val="14"/>
          <w:szCs w:val="14"/>
          <w:lang w:val="es-ES_tradnl"/>
        </w:rPr>
        <w:t xml:space="preserve">consienta </w:t>
      </w:r>
      <w:r>
        <w:rPr>
          <w:sz w:val="14"/>
          <w:szCs w:val="14"/>
          <w:lang w:val="es-ES_tradnl"/>
        </w:rPr>
        <w:t>en la aplicaci</w:t>
      </w:r>
      <w:r>
        <w:rPr>
          <w:rFonts w:cs="Times New Roman"/>
          <w:sz w:val="14"/>
          <w:szCs w:val="14"/>
          <w:lang w:val="es-ES_tradnl"/>
        </w:rPr>
        <w:t>ó</w:t>
      </w:r>
      <w:r>
        <w:rPr>
          <w:sz w:val="14"/>
          <w:szCs w:val="14"/>
          <w:lang w:val="es-ES_tradnl"/>
        </w:rPr>
        <w:t>n de este procedimiento; y,</w:t>
      </w:r>
    </w:p>
    <w:p w14:paraId="4F67BBCD" w14:textId="77777777" w:rsidR="00591D54" w:rsidRDefault="00591D54" w:rsidP="00251195">
      <w:pPr>
        <w:numPr>
          <w:ilvl w:val="0"/>
          <w:numId w:val="127"/>
        </w:numPr>
        <w:shd w:val="clear" w:color="auto" w:fill="FFFFFF"/>
        <w:tabs>
          <w:tab w:val="left" w:pos="288"/>
        </w:tabs>
        <w:spacing w:line="178" w:lineRule="exact"/>
        <w:ind w:left="139" w:right="5"/>
        <w:jc w:val="both"/>
        <w:rPr>
          <w:spacing w:val="-4"/>
          <w:sz w:val="14"/>
          <w:szCs w:val="14"/>
          <w:lang w:val="es-ES_tradnl"/>
        </w:rPr>
      </w:pPr>
      <w:r>
        <w:rPr>
          <w:spacing w:val="-1"/>
          <w:sz w:val="14"/>
          <w:szCs w:val="14"/>
          <w:lang w:val="es-ES_tradnl"/>
        </w:rPr>
        <w:t>El</w:t>
      </w:r>
      <w:r>
        <w:rPr>
          <w:spacing w:val="-1"/>
          <w:sz w:val="18"/>
          <w:szCs w:val="18"/>
          <w:lang w:val="es-ES_tradnl"/>
        </w:rPr>
        <w:t xml:space="preserve"> </w:t>
      </w:r>
      <w:r>
        <w:rPr>
          <w:spacing w:val="-1"/>
          <w:sz w:val="14"/>
          <w:szCs w:val="14"/>
          <w:lang w:val="es-ES_tradnl"/>
        </w:rPr>
        <w:t>defensor</w:t>
      </w:r>
      <w:r>
        <w:rPr>
          <w:spacing w:val="-1"/>
          <w:sz w:val="18"/>
          <w:szCs w:val="18"/>
          <w:lang w:val="es-ES_tradnl"/>
        </w:rPr>
        <w:t xml:space="preserve"> </w:t>
      </w:r>
      <w:r>
        <w:rPr>
          <w:spacing w:val="-1"/>
          <w:sz w:val="14"/>
          <w:szCs w:val="14"/>
          <w:lang w:val="es-ES_tradnl"/>
        </w:rPr>
        <w:t>acredite</w:t>
      </w:r>
      <w:r>
        <w:rPr>
          <w:spacing w:val="-1"/>
          <w:sz w:val="18"/>
          <w:szCs w:val="18"/>
          <w:lang w:val="es-ES_tradnl"/>
        </w:rPr>
        <w:t xml:space="preserve"> </w:t>
      </w:r>
      <w:r>
        <w:rPr>
          <w:spacing w:val="-1"/>
          <w:sz w:val="14"/>
          <w:szCs w:val="14"/>
          <w:lang w:val="es-ES_tradnl"/>
        </w:rPr>
        <w:t>con</w:t>
      </w:r>
      <w:r>
        <w:rPr>
          <w:spacing w:val="-1"/>
          <w:sz w:val="18"/>
          <w:szCs w:val="18"/>
          <w:lang w:val="es-ES_tradnl"/>
        </w:rPr>
        <w:t xml:space="preserve"> </w:t>
      </w:r>
      <w:r>
        <w:rPr>
          <w:spacing w:val="-1"/>
          <w:sz w:val="14"/>
          <w:szCs w:val="14"/>
          <w:lang w:val="es-ES_tradnl"/>
        </w:rPr>
        <w:t>su</w:t>
      </w:r>
      <w:r>
        <w:rPr>
          <w:spacing w:val="-1"/>
          <w:sz w:val="18"/>
          <w:szCs w:val="18"/>
          <w:lang w:val="es-ES_tradnl"/>
        </w:rPr>
        <w:t xml:space="preserve"> </w:t>
      </w:r>
      <w:r>
        <w:rPr>
          <w:spacing w:val="-1"/>
          <w:sz w:val="14"/>
          <w:szCs w:val="14"/>
          <w:lang w:val="es-ES_tradnl"/>
        </w:rPr>
        <w:t>firma</w:t>
      </w:r>
      <w:r>
        <w:rPr>
          <w:spacing w:val="-1"/>
          <w:sz w:val="18"/>
          <w:szCs w:val="18"/>
          <w:lang w:val="es-ES_tradnl"/>
        </w:rPr>
        <w:t xml:space="preserve"> </w:t>
      </w:r>
      <w:r>
        <w:rPr>
          <w:spacing w:val="-1"/>
          <w:sz w:val="14"/>
          <w:szCs w:val="14"/>
          <w:lang w:val="es-ES_tradnl"/>
        </w:rPr>
        <w:t>que</w:t>
      </w:r>
      <w:r>
        <w:rPr>
          <w:spacing w:val="-1"/>
          <w:sz w:val="18"/>
          <w:szCs w:val="18"/>
          <w:lang w:val="es-ES_tradnl"/>
        </w:rPr>
        <w:t xml:space="preserve"> </w:t>
      </w:r>
      <w:r>
        <w:rPr>
          <w:spacing w:val="-1"/>
          <w:sz w:val="14"/>
          <w:szCs w:val="14"/>
          <w:lang w:val="es-ES_tradnl"/>
        </w:rPr>
        <w:t>el</w:t>
      </w:r>
      <w:r>
        <w:rPr>
          <w:spacing w:val="-1"/>
          <w:sz w:val="18"/>
          <w:szCs w:val="18"/>
          <w:lang w:val="es-ES_tradnl"/>
        </w:rPr>
        <w:t xml:space="preserve"> </w:t>
      </w:r>
      <w:r>
        <w:rPr>
          <w:spacing w:val="-1"/>
          <w:sz w:val="14"/>
          <w:szCs w:val="14"/>
          <w:lang w:val="es-ES_tradnl"/>
        </w:rPr>
        <w:t>procesado</w:t>
      </w:r>
      <w:r>
        <w:rPr>
          <w:spacing w:val="-1"/>
          <w:sz w:val="18"/>
          <w:szCs w:val="18"/>
          <w:lang w:val="es-ES_tradnl"/>
        </w:rPr>
        <w:t xml:space="preserve"> </w:t>
      </w:r>
      <w:r>
        <w:rPr>
          <w:spacing w:val="-1"/>
          <w:sz w:val="14"/>
          <w:szCs w:val="14"/>
          <w:lang w:val="es-ES_tradnl"/>
        </w:rPr>
        <w:t>ha</w:t>
      </w:r>
      <w:r>
        <w:rPr>
          <w:spacing w:val="-1"/>
          <w:sz w:val="18"/>
          <w:szCs w:val="18"/>
          <w:lang w:val="es-ES_tradnl"/>
        </w:rPr>
        <w:t xml:space="preserve"> </w:t>
      </w:r>
      <w:r>
        <w:rPr>
          <w:spacing w:val="-1"/>
          <w:sz w:val="14"/>
          <w:szCs w:val="14"/>
          <w:lang w:val="es-ES_tradnl"/>
        </w:rPr>
        <w:t xml:space="preserve">prestado </w:t>
      </w:r>
      <w:r>
        <w:rPr>
          <w:sz w:val="14"/>
          <w:szCs w:val="14"/>
          <w:lang w:val="es-ES_tradnl"/>
        </w:rPr>
        <w:t>su consentimiento libremente, sin violaci</w:t>
      </w:r>
      <w:r>
        <w:rPr>
          <w:rFonts w:cs="Times New Roman"/>
          <w:sz w:val="14"/>
          <w:szCs w:val="14"/>
          <w:lang w:val="es-ES_tradnl"/>
        </w:rPr>
        <w:t>ó</w:t>
      </w:r>
      <w:r>
        <w:rPr>
          <w:sz w:val="14"/>
          <w:szCs w:val="14"/>
          <w:lang w:val="es-ES_tradnl"/>
        </w:rPr>
        <w:t>n a sus derechos fundamentales.</w:t>
      </w:r>
    </w:p>
    <w:p w14:paraId="4F67BBCE" w14:textId="77777777" w:rsidR="00591D54" w:rsidRDefault="00591D54">
      <w:pPr>
        <w:shd w:val="clear" w:color="auto" w:fill="FFFFFF"/>
        <w:spacing w:line="178" w:lineRule="exact"/>
        <w:ind w:left="139"/>
        <w:jc w:val="both"/>
      </w:pPr>
      <w:r>
        <w:rPr>
          <w:spacing w:val="-3"/>
          <w:sz w:val="14"/>
          <w:szCs w:val="14"/>
          <w:lang w:val="es-ES_tradnl"/>
        </w:rPr>
        <w:t>La existencia de coprocesados no impide la aplicaci</w:t>
      </w:r>
      <w:r>
        <w:rPr>
          <w:rFonts w:cs="Times New Roman"/>
          <w:spacing w:val="-3"/>
          <w:sz w:val="14"/>
          <w:szCs w:val="14"/>
          <w:lang w:val="es-ES_tradnl"/>
        </w:rPr>
        <w:t>ó</w:t>
      </w:r>
      <w:r>
        <w:rPr>
          <w:spacing w:val="-3"/>
          <w:sz w:val="14"/>
          <w:szCs w:val="14"/>
          <w:lang w:val="es-ES_tradnl"/>
        </w:rPr>
        <w:t xml:space="preserve">n de estas reglas </w:t>
      </w:r>
      <w:r>
        <w:rPr>
          <w:sz w:val="14"/>
          <w:szCs w:val="14"/>
          <w:lang w:val="es-ES_tradnl"/>
        </w:rPr>
        <w:t>a alguno de ellos.</w:t>
      </w:r>
    </w:p>
    <w:p w14:paraId="4F67BBCF" w14:textId="77777777" w:rsidR="00591D54" w:rsidRDefault="00591D54">
      <w:pPr>
        <w:shd w:val="clear" w:color="auto" w:fill="FFFFFF"/>
        <w:spacing w:line="216" w:lineRule="exact"/>
        <w:jc w:val="both"/>
      </w:pPr>
      <w:r>
        <w:br w:type="column"/>
      </w:r>
      <w:r>
        <w:rPr>
          <w:spacing w:val="-5"/>
          <w:sz w:val="18"/>
          <w:szCs w:val="18"/>
          <w:lang w:val="es-ES_tradnl"/>
        </w:rPr>
        <w:t>infracci</w:t>
      </w:r>
      <w:r>
        <w:rPr>
          <w:rFonts w:cs="Times New Roman"/>
          <w:spacing w:val="-5"/>
          <w:sz w:val="18"/>
          <w:szCs w:val="18"/>
          <w:lang w:val="es-ES_tradnl"/>
        </w:rPr>
        <w:t>ó</w:t>
      </w:r>
      <w:r>
        <w:rPr>
          <w:spacing w:val="-5"/>
          <w:sz w:val="18"/>
          <w:szCs w:val="18"/>
          <w:lang w:val="es-ES_tradnl"/>
        </w:rPr>
        <w:t>n y la responsabilidad del acusado Fabi</w:t>
      </w:r>
      <w:r>
        <w:rPr>
          <w:rFonts w:cs="Times New Roman"/>
          <w:spacing w:val="-5"/>
          <w:sz w:val="18"/>
          <w:szCs w:val="18"/>
          <w:lang w:val="es-ES_tradnl"/>
        </w:rPr>
        <w:t>á</w:t>
      </w:r>
      <w:r>
        <w:rPr>
          <w:spacing w:val="-5"/>
          <w:sz w:val="18"/>
          <w:szCs w:val="18"/>
          <w:lang w:val="es-ES_tradnl"/>
        </w:rPr>
        <w:t xml:space="preserve">n Silva </w:t>
      </w:r>
      <w:r>
        <w:rPr>
          <w:spacing w:val="-6"/>
          <w:sz w:val="18"/>
          <w:szCs w:val="18"/>
          <w:lang w:val="es-ES_tradnl"/>
        </w:rPr>
        <w:t>Tumipamba, para expedir la sentencia condenatoria declar</w:t>
      </w:r>
      <w:r>
        <w:rPr>
          <w:rFonts w:cs="Times New Roman"/>
          <w:spacing w:val="-6"/>
          <w:sz w:val="18"/>
          <w:szCs w:val="18"/>
          <w:lang w:val="es-ES_tradnl"/>
        </w:rPr>
        <w:t>á</w:t>
      </w:r>
      <w:r>
        <w:rPr>
          <w:spacing w:val="-6"/>
          <w:sz w:val="18"/>
          <w:szCs w:val="18"/>
          <w:lang w:val="es-ES_tradnl"/>
        </w:rPr>
        <w:t>ndolo culpable del delito de estafa e imponi</w:t>
      </w:r>
      <w:r>
        <w:rPr>
          <w:rFonts w:cs="Times New Roman"/>
          <w:spacing w:val="-6"/>
          <w:sz w:val="18"/>
          <w:szCs w:val="18"/>
          <w:lang w:val="es-ES_tradnl"/>
        </w:rPr>
        <w:t>é</w:t>
      </w:r>
      <w:r>
        <w:rPr>
          <w:spacing w:val="-6"/>
          <w:sz w:val="18"/>
          <w:szCs w:val="18"/>
          <w:lang w:val="es-ES_tradnl"/>
        </w:rPr>
        <w:t xml:space="preserve">ndole </w:t>
      </w:r>
      <w:r>
        <w:rPr>
          <w:spacing w:val="-7"/>
          <w:sz w:val="18"/>
          <w:szCs w:val="18"/>
          <w:lang w:val="es-ES_tradnl"/>
        </w:rPr>
        <w:t>una pena de diez meses de prisi</w:t>
      </w:r>
      <w:r>
        <w:rPr>
          <w:rFonts w:cs="Times New Roman"/>
          <w:spacing w:val="-7"/>
          <w:sz w:val="18"/>
          <w:szCs w:val="18"/>
          <w:lang w:val="es-ES_tradnl"/>
        </w:rPr>
        <w:t>ó</w:t>
      </w:r>
      <w:r>
        <w:rPr>
          <w:spacing w:val="-7"/>
          <w:sz w:val="18"/>
          <w:szCs w:val="18"/>
          <w:lang w:val="es-ES_tradnl"/>
        </w:rPr>
        <w:t>n correccional.</w:t>
      </w:r>
    </w:p>
    <w:p w14:paraId="4F67BBD0" w14:textId="77777777" w:rsidR="00591D54" w:rsidRDefault="00591D54">
      <w:pPr>
        <w:shd w:val="clear" w:color="auto" w:fill="FFFFFF"/>
        <w:spacing w:before="192" w:line="216" w:lineRule="exact"/>
        <w:jc w:val="both"/>
      </w:pPr>
      <w:r>
        <w:rPr>
          <w:spacing w:val="-3"/>
          <w:sz w:val="18"/>
          <w:szCs w:val="18"/>
          <w:lang w:val="es-ES_tradnl"/>
        </w:rPr>
        <w:t xml:space="preserve">En lo concerniente a lo manifestado por el legitimado </w:t>
      </w:r>
      <w:r>
        <w:rPr>
          <w:spacing w:val="-4"/>
          <w:sz w:val="18"/>
          <w:szCs w:val="18"/>
          <w:lang w:val="es-ES_tradnl"/>
        </w:rPr>
        <w:t>activo (quien se present</w:t>
      </w:r>
      <w:r>
        <w:rPr>
          <w:rFonts w:cs="Times New Roman"/>
          <w:spacing w:val="-4"/>
          <w:sz w:val="18"/>
          <w:szCs w:val="18"/>
          <w:lang w:val="es-ES_tradnl"/>
        </w:rPr>
        <w:t>ó</w:t>
      </w:r>
      <w:r>
        <w:rPr>
          <w:spacing w:val="-4"/>
          <w:sz w:val="18"/>
          <w:szCs w:val="18"/>
          <w:lang w:val="es-ES_tradnl"/>
        </w:rPr>
        <w:t xml:space="preserve"> como tercero en el proceso </w:t>
      </w:r>
      <w:r>
        <w:rPr>
          <w:sz w:val="18"/>
          <w:szCs w:val="18"/>
          <w:lang w:val="es-ES_tradnl"/>
        </w:rPr>
        <w:t xml:space="preserve">penal), aduce que los juzgadores no le permitieron </w:t>
      </w:r>
      <w:r>
        <w:rPr>
          <w:spacing w:val="-2"/>
          <w:sz w:val="18"/>
          <w:szCs w:val="18"/>
          <w:lang w:val="es-ES_tradnl"/>
        </w:rPr>
        <w:t xml:space="preserve">rendir testimonio en el caso </w:t>
      </w:r>
      <w:r>
        <w:rPr>
          <w:i/>
          <w:iCs/>
          <w:spacing w:val="-2"/>
          <w:sz w:val="18"/>
          <w:szCs w:val="18"/>
          <w:lang w:val="es-ES_tradnl"/>
        </w:rPr>
        <w:t>sub j</w:t>
      </w:r>
      <w:r>
        <w:rPr>
          <w:rFonts w:cs="Times New Roman"/>
          <w:i/>
          <w:iCs/>
          <w:spacing w:val="-2"/>
          <w:sz w:val="18"/>
          <w:szCs w:val="18"/>
          <w:lang w:val="es-ES_tradnl"/>
        </w:rPr>
        <w:t>ú</w:t>
      </w:r>
      <w:r>
        <w:rPr>
          <w:i/>
          <w:iCs/>
          <w:spacing w:val="-2"/>
          <w:sz w:val="18"/>
          <w:szCs w:val="18"/>
          <w:lang w:val="es-ES_tradnl"/>
        </w:rPr>
        <w:t>dice</w:t>
      </w:r>
      <w:r>
        <w:rPr>
          <w:spacing w:val="-2"/>
          <w:sz w:val="18"/>
          <w:szCs w:val="18"/>
          <w:lang w:val="es-ES_tradnl"/>
        </w:rPr>
        <w:t xml:space="preserve">, circunstancias </w:t>
      </w:r>
      <w:r>
        <w:rPr>
          <w:sz w:val="18"/>
          <w:szCs w:val="18"/>
          <w:lang w:val="es-ES_tradnl"/>
        </w:rPr>
        <w:t xml:space="preserve">que amerita aclarar lo siguiente: </w:t>
      </w:r>
      <w:r>
        <w:rPr>
          <w:b/>
          <w:bCs/>
          <w:sz w:val="18"/>
          <w:szCs w:val="18"/>
          <w:lang w:val="es-ES_tradnl"/>
        </w:rPr>
        <w:t xml:space="preserve">a. </w:t>
      </w:r>
      <w:r>
        <w:rPr>
          <w:sz w:val="18"/>
          <w:szCs w:val="18"/>
          <w:lang w:val="es-ES_tradnl"/>
        </w:rPr>
        <w:t xml:space="preserve">El agente fiscal, </w:t>
      </w:r>
      <w:r>
        <w:rPr>
          <w:spacing w:val="-5"/>
          <w:sz w:val="18"/>
          <w:szCs w:val="18"/>
          <w:lang w:val="es-ES_tradnl"/>
        </w:rPr>
        <w:t>hab</w:t>
      </w:r>
      <w:r>
        <w:rPr>
          <w:rFonts w:cs="Times New Roman"/>
          <w:spacing w:val="-5"/>
          <w:sz w:val="18"/>
          <w:szCs w:val="18"/>
          <w:lang w:val="es-ES_tradnl"/>
        </w:rPr>
        <w:t>í</w:t>
      </w:r>
      <w:r>
        <w:rPr>
          <w:spacing w:val="-5"/>
          <w:sz w:val="18"/>
          <w:szCs w:val="18"/>
          <w:lang w:val="es-ES_tradnl"/>
        </w:rPr>
        <w:t>a solicitado al juez primero de garant</w:t>
      </w:r>
      <w:r>
        <w:rPr>
          <w:rFonts w:cs="Times New Roman"/>
          <w:spacing w:val="-5"/>
          <w:sz w:val="18"/>
          <w:szCs w:val="18"/>
          <w:lang w:val="es-ES_tradnl"/>
        </w:rPr>
        <w:t>í</w:t>
      </w:r>
      <w:r>
        <w:rPr>
          <w:spacing w:val="-5"/>
          <w:sz w:val="18"/>
          <w:szCs w:val="18"/>
          <w:lang w:val="es-ES_tradnl"/>
        </w:rPr>
        <w:t xml:space="preserve">as penales de </w:t>
      </w:r>
      <w:r>
        <w:rPr>
          <w:spacing w:val="-2"/>
          <w:sz w:val="18"/>
          <w:szCs w:val="18"/>
          <w:lang w:val="es-ES_tradnl"/>
        </w:rPr>
        <w:t xml:space="preserve">Pichincha la comparecencia entre otras personas del </w:t>
      </w:r>
      <w:r>
        <w:rPr>
          <w:spacing w:val="-4"/>
          <w:sz w:val="18"/>
          <w:szCs w:val="18"/>
          <w:lang w:val="es-ES_tradnl"/>
        </w:rPr>
        <w:t>se</w:t>
      </w:r>
      <w:r>
        <w:rPr>
          <w:rFonts w:cs="Times New Roman"/>
          <w:spacing w:val="-4"/>
          <w:sz w:val="18"/>
          <w:szCs w:val="18"/>
          <w:lang w:val="es-ES_tradnl"/>
        </w:rPr>
        <w:t>ñ</w:t>
      </w:r>
      <w:r>
        <w:rPr>
          <w:spacing w:val="-4"/>
          <w:sz w:val="18"/>
          <w:szCs w:val="18"/>
          <w:lang w:val="es-ES_tradnl"/>
        </w:rPr>
        <w:t xml:space="preserve">or Jorge Antonio Burbano Muriel-ahora accionante </w:t>
      </w:r>
      <w:r>
        <w:rPr>
          <w:spacing w:val="-6"/>
          <w:sz w:val="18"/>
          <w:szCs w:val="18"/>
          <w:lang w:val="es-ES_tradnl"/>
        </w:rPr>
        <w:t xml:space="preserve">(fojas 23 del primer cuerpo); </w:t>
      </w:r>
      <w:r>
        <w:rPr>
          <w:b/>
          <w:bCs/>
          <w:spacing w:val="-6"/>
          <w:sz w:val="18"/>
          <w:szCs w:val="18"/>
          <w:lang w:val="es-ES_tradnl"/>
        </w:rPr>
        <w:t xml:space="preserve">b. </w:t>
      </w:r>
      <w:r>
        <w:rPr>
          <w:spacing w:val="-6"/>
          <w:sz w:val="18"/>
          <w:szCs w:val="18"/>
          <w:lang w:val="es-ES_tradnl"/>
        </w:rPr>
        <w:t xml:space="preserve">La causa mediante sorteo </w:t>
      </w:r>
      <w:r>
        <w:rPr>
          <w:spacing w:val="-5"/>
          <w:sz w:val="18"/>
          <w:szCs w:val="18"/>
          <w:lang w:val="es-ES_tradnl"/>
        </w:rPr>
        <w:t>lleg</w:t>
      </w:r>
      <w:r>
        <w:rPr>
          <w:rFonts w:cs="Times New Roman"/>
          <w:spacing w:val="-5"/>
          <w:sz w:val="18"/>
          <w:szCs w:val="18"/>
          <w:lang w:val="es-ES_tradnl"/>
        </w:rPr>
        <w:t>ó</w:t>
      </w:r>
      <w:r>
        <w:rPr>
          <w:spacing w:val="-5"/>
          <w:sz w:val="18"/>
          <w:szCs w:val="18"/>
          <w:lang w:val="es-ES_tradnl"/>
        </w:rPr>
        <w:t xml:space="preserve"> a conocimiento del Tercer Tribunal de Garant</w:t>
      </w:r>
      <w:r>
        <w:rPr>
          <w:rFonts w:cs="Times New Roman"/>
          <w:spacing w:val="-5"/>
          <w:sz w:val="18"/>
          <w:szCs w:val="18"/>
          <w:lang w:val="es-ES_tradnl"/>
        </w:rPr>
        <w:t>í</w:t>
      </w:r>
      <w:r>
        <w:rPr>
          <w:spacing w:val="-5"/>
          <w:sz w:val="18"/>
          <w:szCs w:val="18"/>
          <w:lang w:val="es-ES_tradnl"/>
        </w:rPr>
        <w:t xml:space="preserve">as Penales de Pichincha; </w:t>
      </w:r>
      <w:r>
        <w:rPr>
          <w:b/>
          <w:bCs/>
          <w:spacing w:val="-5"/>
          <w:sz w:val="18"/>
          <w:szCs w:val="18"/>
          <w:lang w:val="es-ES_tradnl"/>
        </w:rPr>
        <w:t xml:space="preserve">c. </w:t>
      </w:r>
      <w:r>
        <w:rPr>
          <w:spacing w:val="-5"/>
          <w:sz w:val="18"/>
          <w:szCs w:val="18"/>
          <w:lang w:val="es-ES_tradnl"/>
        </w:rPr>
        <w:t xml:space="preserve">El 07 de marzo de 2012 a las </w:t>
      </w:r>
      <w:r>
        <w:rPr>
          <w:spacing w:val="-7"/>
          <w:sz w:val="18"/>
          <w:szCs w:val="18"/>
          <w:lang w:val="es-ES_tradnl"/>
        </w:rPr>
        <w:t>09h27, los jueces mediante providencia se</w:t>
      </w:r>
      <w:r>
        <w:rPr>
          <w:rFonts w:cs="Times New Roman"/>
          <w:spacing w:val="-7"/>
          <w:sz w:val="18"/>
          <w:szCs w:val="18"/>
          <w:lang w:val="es-ES_tradnl"/>
        </w:rPr>
        <w:t>ñ</w:t>
      </w:r>
      <w:r>
        <w:rPr>
          <w:spacing w:val="-7"/>
          <w:sz w:val="18"/>
          <w:szCs w:val="18"/>
          <w:lang w:val="es-ES_tradnl"/>
        </w:rPr>
        <w:t>alan d</w:t>
      </w:r>
      <w:r>
        <w:rPr>
          <w:rFonts w:cs="Times New Roman"/>
          <w:spacing w:val="-7"/>
          <w:sz w:val="18"/>
          <w:szCs w:val="18"/>
          <w:lang w:val="es-ES_tradnl"/>
        </w:rPr>
        <w:t>í</w:t>
      </w:r>
      <w:r>
        <w:rPr>
          <w:spacing w:val="-7"/>
          <w:sz w:val="18"/>
          <w:szCs w:val="18"/>
          <w:lang w:val="es-ES_tradnl"/>
        </w:rPr>
        <w:t xml:space="preserve">a, fecha </w:t>
      </w:r>
      <w:r>
        <w:rPr>
          <w:spacing w:val="-5"/>
          <w:sz w:val="18"/>
          <w:szCs w:val="18"/>
          <w:lang w:val="es-ES_tradnl"/>
        </w:rPr>
        <w:t xml:space="preserve">y hora, para la audiencia de juzgamiento y en la misma </w:t>
      </w:r>
      <w:r>
        <w:rPr>
          <w:spacing w:val="-6"/>
          <w:sz w:val="18"/>
          <w:szCs w:val="18"/>
          <w:lang w:val="es-ES_tradnl"/>
        </w:rPr>
        <w:t xml:space="preserve">disponen los testimonios entre ellos el de Jorge Burbano; </w:t>
      </w:r>
      <w:r>
        <w:rPr>
          <w:b/>
          <w:bCs/>
          <w:spacing w:val="-5"/>
          <w:sz w:val="18"/>
          <w:szCs w:val="18"/>
          <w:lang w:val="es-ES_tradnl"/>
        </w:rPr>
        <w:t xml:space="preserve">d. </w:t>
      </w:r>
      <w:r>
        <w:rPr>
          <w:spacing w:val="-5"/>
          <w:sz w:val="18"/>
          <w:szCs w:val="18"/>
          <w:lang w:val="es-ES_tradnl"/>
        </w:rPr>
        <w:t>Con fecha 21 de marzo de 2012, el ahora accionante present</w:t>
      </w:r>
      <w:r>
        <w:rPr>
          <w:rFonts w:cs="Times New Roman"/>
          <w:spacing w:val="-5"/>
          <w:sz w:val="18"/>
          <w:szCs w:val="18"/>
          <w:lang w:val="es-ES_tradnl"/>
        </w:rPr>
        <w:t>ó</w:t>
      </w:r>
      <w:r>
        <w:rPr>
          <w:spacing w:val="-5"/>
          <w:sz w:val="18"/>
          <w:szCs w:val="18"/>
          <w:lang w:val="es-ES_tradnl"/>
        </w:rPr>
        <w:t xml:space="preserve"> un escrito con anexos al mismo (fojas 40 a 332 </w:t>
      </w:r>
      <w:r>
        <w:rPr>
          <w:spacing w:val="-4"/>
          <w:sz w:val="18"/>
          <w:szCs w:val="18"/>
          <w:lang w:val="es-ES_tradnl"/>
        </w:rPr>
        <w:t xml:space="preserve">del expediente de instancia); </w:t>
      </w:r>
      <w:r>
        <w:rPr>
          <w:b/>
          <w:bCs/>
          <w:spacing w:val="-4"/>
          <w:sz w:val="18"/>
          <w:szCs w:val="18"/>
          <w:lang w:val="es-ES_tradnl"/>
        </w:rPr>
        <w:t xml:space="preserve">e. </w:t>
      </w:r>
      <w:r>
        <w:rPr>
          <w:spacing w:val="-4"/>
          <w:sz w:val="18"/>
          <w:szCs w:val="18"/>
          <w:lang w:val="es-ES_tradnl"/>
        </w:rPr>
        <w:t xml:space="preserve">Mediante decreto de 21 </w:t>
      </w:r>
      <w:r>
        <w:rPr>
          <w:spacing w:val="-5"/>
          <w:sz w:val="18"/>
          <w:szCs w:val="18"/>
          <w:lang w:val="es-ES_tradnl"/>
        </w:rPr>
        <w:t xml:space="preserve">de marzo de 2012 a las 17h26, los jueces en lo principal </w:t>
      </w:r>
      <w:r>
        <w:rPr>
          <w:spacing w:val="-9"/>
          <w:sz w:val="18"/>
          <w:szCs w:val="18"/>
          <w:lang w:val="es-ES_tradnl"/>
        </w:rPr>
        <w:t xml:space="preserve">expresan que por esta </w:t>
      </w:r>
      <w:r>
        <w:rPr>
          <w:rFonts w:cs="Times New Roman"/>
          <w:spacing w:val="-9"/>
          <w:sz w:val="18"/>
          <w:szCs w:val="18"/>
          <w:lang w:val="es-ES_tradnl"/>
        </w:rPr>
        <w:t>ú</w:t>
      </w:r>
      <w:r>
        <w:rPr>
          <w:spacing w:val="-9"/>
          <w:sz w:val="18"/>
          <w:szCs w:val="18"/>
          <w:lang w:val="es-ES_tradnl"/>
        </w:rPr>
        <w:t>nica vez se notifique al se</w:t>
      </w:r>
      <w:r>
        <w:rPr>
          <w:rFonts w:cs="Times New Roman"/>
          <w:spacing w:val="-9"/>
          <w:sz w:val="18"/>
          <w:szCs w:val="18"/>
          <w:lang w:val="es-ES_tradnl"/>
        </w:rPr>
        <w:t>ñ</w:t>
      </w:r>
      <w:r>
        <w:rPr>
          <w:spacing w:val="-9"/>
          <w:sz w:val="18"/>
          <w:szCs w:val="18"/>
          <w:lang w:val="es-ES_tradnl"/>
        </w:rPr>
        <w:t xml:space="preserve">or Jorge Burbano, pues el mismo no es parte procesal; </w:t>
      </w:r>
      <w:r>
        <w:rPr>
          <w:b/>
          <w:bCs/>
          <w:spacing w:val="-9"/>
          <w:sz w:val="18"/>
          <w:szCs w:val="18"/>
          <w:lang w:val="es-ES_tradnl"/>
        </w:rPr>
        <w:t xml:space="preserve">f. </w:t>
      </w:r>
      <w:r>
        <w:rPr>
          <w:spacing w:val="-9"/>
          <w:sz w:val="18"/>
          <w:szCs w:val="18"/>
          <w:lang w:val="es-ES_tradnl"/>
        </w:rPr>
        <w:t xml:space="preserve">El acusado </w:t>
      </w:r>
      <w:r>
        <w:rPr>
          <w:spacing w:val="-4"/>
          <w:sz w:val="18"/>
          <w:szCs w:val="18"/>
          <w:lang w:val="es-ES_tradnl"/>
        </w:rPr>
        <w:t>mediante escrito solicit</w:t>
      </w:r>
      <w:r>
        <w:rPr>
          <w:rFonts w:cs="Times New Roman"/>
          <w:spacing w:val="-4"/>
          <w:sz w:val="18"/>
          <w:szCs w:val="18"/>
          <w:lang w:val="es-ES_tradnl"/>
        </w:rPr>
        <w:t>ó</w:t>
      </w:r>
      <w:r>
        <w:rPr>
          <w:spacing w:val="-4"/>
          <w:sz w:val="18"/>
          <w:szCs w:val="18"/>
          <w:lang w:val="es-ES_tradnl"/>
        </w:rPr>
        <w:t xml:space="preserve"> a los jueces la aplicaci</w:t>
      </w:r>
      <w:r>
        <w:rPr>
          <w:rFonts w:cs="Times New Roman"/>
          <w:spacing w:val="-4"/>
          <w:sz w:val="18"/>
          <w:szCs w:val="18"/>
          <w:lang w:val="es-ES_tradnl"/>
        </w:rPr>
        <w:t>ó</w:t>
      </w:r>
      <w:r>
        <w:rPr>
          <w:spacing w:val="-4"/>
          <w:sz w:val="18"/>
          <w:szCs w:val="18"/>
          <w:lang w:val="es-ES_tradnl"/>
        </w:rPr>
        <w:t xml:space="preserve">n del </w:t>
      </w:r>
      <w:r>
        <w:rPr>
          <w:spacing w:val="-6"/>
          <w:sz w:val="18"/>
          <w:szCs w:val="18"/>
          <w:lang w:val="es-ES_tradnl"/>
        </w:rPr>
        <w:t>procedimiento abreviado, el mismo que fue aceptado.</w:t>
      </w:r>
    </w:p>
    <w:p w14:paraId="4F67BBD1" w14:textId="77777777" w:rsidR="00591D54" w:rsidRDefault="00591D54">
      <w:pPr>
        <w:shd w:val="clear" w:color="auto" w:fill="FFFFFF"/>
        <w:spacing w:before="197" w:line="216" w:lineRule="exact"/>
        <w:jc w:val="both"/>
      </w:pPr>
      <w:r>
        <w:rPr>
          <w:sz w:val="18"/>
          <w:szCs w:val="18"/>
          <w:lang w:val="es-ES_tradnl"/>
        </w:rPr>
        <w:t xml:space="preserve">Con los argumentos y circunstancias expuestas en </w:t>
      </w:r>
      <w:r>
        <w:rPr>
          <w:spacing w:val="-7"/>
          <w:sz w:val="18"/>
          <w:szCs w:val="18"/>
          <w:lang w:val="es-ES_tradnl"/>
        </w:rPr>
        <w:t>l</w:t>
      </w:r>
      <w:r>
        <w:rPr>
          <w:rFonts w:cs="Times New Roman"/>
          <w:spacing w:val="-7"/>
          <w:sz w:val="18"/>
          <w:szCs w:val="18"/>
          <w:lang w:val="es-ES_tradnl"/>
        </w:rPr>
        <w:t>í</w:t>
      </w:r>
      <w:r>
        <w:rPr>
          <w:spacing w:val="-7"/>
          <w:sz w:val="18"/>
          <w:szCs w:val="18"/>
          <w:lang w:val="es-ES_tradnl"/>
        </w:rPr>
        <w:t>neas anteriores, se puede observar que si no se llam</w:t>
      </w:r>
      <w:r>
        <w:rPr>
          <w:rFonts w:cs="Times New Roman"/>
          <w:spacing w:val="-7"/>
          <w:sz w:val="18"/>
          <w:szCs w:val="18"/>
          <w:lang w:val="es-ES_tradnl"/>
        </w:rPr>
        <w:t>ó</w:t>
      </w:r>
      <w:r>
        <w:rPr>
          <w:spacing w:val="-7"/>
          <w:sz w:val="18"/>
          <w:szCs w:val="18"/>
          <w:lang w:val="es-ES_tradnl"/>
        </w:rPr>
        <w:t xml:space="preserve"> a </w:t>
      </w:r>
      <w:r>
        <w:rPr>
          <w:spacing w:val="-5"/>
          <w:sz w:val="18"/>
          <w:szCs w:val="18"/>
          <w:lang w:val="es-ES_tradnl"/>
        </w:rPr>
        <w:t>rendir testimonio a la audiencia de juzgamiento al se</w:t>
      </w:r>
      <w:r>
        <w:rPr>
          <w:rFonts w:cs="Times New Roman"/>
          <w:spacing w:val="-5"/>
          <w:sz w:val="18"/>
          <w:szCs w:val="18"/>
          <w:lang w:val="es-ES_tradnl"/>
        </w:rPr>
        <w:t>ñ</w:t>
      </w:r>
      <w:r>
        <w:rPr>
          <w:spacing w:val="-5"/>
          <w:sz w:val="18"/>
          <w:szCs w:val="18"/>
          <w:lang w:val="es-ES_tradnl"/>
        </w:rPr>
        <w:t xml:space="preserve">or </w:t>
      </w:r>
      <w:r>
        <w:rPr>
          <w:spacing w:val="-4"/>
          <w:sz w:val="18"/>
          <w:szCs w:val="18"/>
          <w:lang w:val="es-ES_tradnl"/>
        </w:rPr>
        <w:t>Jorge Antonio Burbano Muriel fue porque el acusado solicit</w:t>
      </w:r>
      <w:r>
        <w:rPr>
          <w:rFonts w:cs="Times New Roman"/>
          <w:spacing w:val="-4"/>
          <w:sz w:val="18"/>
          <w:szCs w:val="18"/>
          <w:lang w:val="es-ES_tradnl"/>
        </w:rPr>
        <w:t>ó</w:t>
      </w:r>
      <w:r>
        <w:rPr>
          <w:spacing w:val="-4"/>
          <w:sz w:val="18"/>
          <w:szCs w:val="18"/>
          <w:lang w:val="es-ES_tradnl"/>
        </w:rPr>
        <w:t xml:space="preserve"> a los jueces del Tribunal Penal la aplicaci</w:t>
      </w:r>
      <w:r>
        <w:rPr>
          <w:rFonts w:cs="Times New Roman"/>
          <w:spacing w:val="-4"/>
          <w:sz w:val="18"/>
          <w:szCs w:val="18"/>
          <w:lang w:val="es-ES_tradnl"/>
        </w:rPr>
        <w:t>ó</w:t>
      </w:r>
      <w:r>
        <w:rPr>
          <w:spacing w:val="-4"/>
          <w:sz w:val="18"/>
          <w:szCs w:val="18"/>
          <w:lang w:val="es-ES_tradnl"/>
        </w:rPr>
        <w:t xml:space="preserve">n del </w:t>
      </w:r>
      <w:r>
        <w:rPr>
          <w:spacing w:val="-3"/>
          <w:sz w:val="18"/>
          <w:szCs w:val="18"/>
          <w:lang w:val="es-ES_tradnl"/>
        </w:rPr>
        <w:t>procedimiento abreviado, el cual fue admitido a tr</w:t>
      </w:r>
      <w:r>
        <w:rPr>
          <w:rFonts w:cs="Times New Roman"/>
          <w:spacing w:val="-3"/>
          <w:sz w:val="18"/>
          <w:szCs w:val="18"/>
          <w:lang w:val="es-ES_tradnl"/>
        </w:rPr>
        <w:t>á</w:t>
      </w:r>
      <w:r>
        <w:rPr>
          <w:spacing w:val="-3"/>
          <w:sz w:val="18"/>
          <w:szCs w:val="18"/>
          <w:lang w:val="es-ES_tradnl"/>
        </w:rPr>
        <w:t xml:space="preserve">mite </w:t>
      </w:r>
      <w:r>
        <w:rPr>
          <w:spacing w:val="-5"/>
          <w:sz w:val="18"/>
          <w:szCs w:val="18"/>
          <w:lang w:val="es-ES_tradnl"/>
        </w:rPr>
        <w:t xml:space="preserve">por los administradores de justicia y el referido escrito no </w:t>
      </w:r>
      <w:r>
        <w:rPr>
          <w:spacing w:val="-9"/>
          <w:sz w:val="18"/>
          <w:szCs w:val="18"/>
          <w:lang w:val="es-ES_tradnl"/>
        </w:rPr>
        <w:t>recibi</w:t>
      </w:r>
      <w:r>
        <w:rPr>
          <w:rFonts w:cs="Times New Roman"/>
          <w:spacing w:val="-9"/>
          <w:sz w:val="18"/>
          <w:szCs w:val="18"/>
          <w:lang w:val="es-ES_tradnl"/>
        </w:rPr>
        <w:t>ó</w:t>
      </w:r>
      <w:r>
        <w:rPr>
          <w:spacing w:val="-9"/>
          <w:sz w:val="18"/>
          <w:szCs w:val="18"/>
          <w:lang w:val="es-ES_tradnl"/>
        </w:rPr>
        <w:t xml:space="preserve"> oposici</w:t>
      </w:r>
      <w:r>
        <w:rPr>
          <w:rFonts w:cs="Times New Roman"/>
          <w:spacing w:val="-9"/>
          <w:sz w:val="18"/>
          <w:szCs w:val="18"/>
          <w:lang w:val="es-ES_tradnl"/>
        </w:rPr>
        <w:t>ó</w:t>
      </w:r>
      <w:r>
        <w:rPr>
          <w:spacing w:val="-9"/>
          <w:sz w:val="18"/>
          <w:szCs w:val="18"/>
          <w:lang w:val="es-ES_tradnl"/>
        </w:rPr>
        <w:t xml:space="preserve">n alguna del agente fiscal ni por el acusador </w:t>
      </w:r>
      <w:r>
        <w:rPr>
          <w:spacing w:val="-5"/>
          <w:sz w:val="18"/>
          <w:szCs w:val="18"/>
          <w:lang w:val="es-ES_tradnl"/>
        </w:rPr>
        <w:t>particular. Por tanto, los juzgadores como conclusi</w:t>
      </w:r>
      <w:r>
        <w:rPr>
          <w:rFonts w:cs="Times New Roman"/>
          <w:spacing w:val="-5"/>
          <w:sz w:val="18"/>
          <w:szCs w:val="18"/>
          <w:lang w:val="es-ES_tradnl"/>
        </w:rPr>
        <w:t>ó</w:t>
      </w:r>
      <w:r>
        <w:rPr>
          <w:spacing w:val="-5"/>
          <w:sz w:val="18"/>
          <w:szCs w:val="18"/>
          <w:lang w:val="es-ES_tradnl"/>
        </w:rPr>
        <w:t>n del respectivo procedimiento y en virtud de los elementos de convicci</w:t>
      </w:r>
      <w:r>
        <w:rPr>
          <w:rFonts w:cs="Times New Roman"/>
          <w:spacing w:val="-5"/>
          <w:sz w:val="18"/>
          <w:szCs w:val="18"/>
          <w:lang w:val="es-ES_tradnl"/>
        </w:rPr>
        <w:t>ó</w:t>
      </w:r>
      <w:r>
        <w:rPr>
          <w:spacing w:val="-5"/>
          <w:sz w:val="18"/>
          <w:szCs w:val="18"/>
          <w:lang w:val="es-ES_tradnl"/>
        </w:rPr>
        <w:t xml:space="preserve">n investigados por el agente fiscal y que fueron </w:t>
      </w:r>
      <w:r>
        <w:rPr>
          <w:spacing w:val="-6"/>
          <w:sz w:val="18"/>
          <w:szCs w:val="18"/>
          <w:lang w:val="es-ES_tradnl"/>
        </w:rPr>
        <w:t>aceptados por el acusado, en la cual se declar</w:t>
      </w:r>
      <w:r>
        <w:rPr>
          <w:rFonts w:cs="Times New Roman"/>
          <w:spacing w:val="-6"/>
          <w:sz w:val="18"/>
          <w:szCs w:val="18"/>
          <w:lang w:val="es-ES_tradnl"/>
        </w:rPr>
        <w:t>ó</w:t>
      </w:r>
      <w:r>
        <w:rPr>
          <w:spacing w:val="-6"/>
          <w:sz w:val="18"/>
          <w:szCs w:val="18"/>
          <w:lang w:val="es-ES_tradnl"/>
        </w:rPr>
        <w:t xml:space="preserve"> culpable del delito de estafa, por esta situaci</w:t>
      </w:r>
      <w:r>
        <w:rPr>
          <w:rFonts w:cs="Times New Roman"/>
          <w:spacing w:val="-6"/>
          <w:sz w:val="18"/>
          <w:szCs w:val="18"/>
          <w:lang w:val="es-ES_tradnl"/>
        </w:rPr>
        <w:t>ó</w:t>
      </w:r>
      <w:r>
        <w:rPr>
          <w:spacing w:val="-6"/>
          <w:sz w:val="18"/>
          <w:szCs w:val="18"/>
          <w:lang w:val="es-ES_tradnl"/>
        </w:rPr>
        <w:t xml:space="preserve">n dictaron sentencia, </w:t>
      </w:r>
      <w:r>
        <w:rPr>
          <w:spacing w:val="-8"/>
          <w:sz w:val="18"/>
          <w:szCs w:val="18"/>
          <w:lang w:val="es-ES_tradnl"/>
        </w:rPr>
        <w:t xml:space="preserve">observando los presupuestos pertinentes contenidos en el </w:t>
      </w:r>
      <w:r>
        <w:rPr>
          <w:spacing w:val="-5"/>
          <w:sz w:val="18"/>
          <w:szCs w:val="18"/>
          <w:lang w:val="es-ES_tradnl"/>
        </w:rPr>
        <w:t>art</w:t>
      </w:r>
      <w:r>
        <w:rPr>
          <w:rFonts w:cs="Times New Roman"/>
          <w:spacing w:val="-5"/>
          <w:sz w:val="18"/>
          <w:szCs w:val="18"/>
          <w:lang w:val="es-ES_tradnl"/>
        </w:rPr>
        <w:t>í</w:t>
      </w:r>
      <w:r>
        <w:rPr>
          <w:spacing w:val="-5"/>
          <w:sz w:val="18"/>
          <w:szCs w:val="18"/>
          <w:lang w:val="es-ES_tradnl"/>
        </w:rPr>
        <w:t>culo 309 del C</w:t>
      </w:r>
      <w:r>
        <w:rPr>
          <w:rFonts w:cs="Times New Roman"/>
          <w:spacing w:val="-5"/>
          <w:sz w:val="18"/>
          <w:szCs w:val="18"/>
          <w:lang w:val="es-ES_tradnl"/>
        </w:rPr>
        <w:t>ó</w:t>
      </w:r>
      <w:r>
        <w:rPr>
          <w:spacing w:val="-5"/>
          <w:sz w:val="18"/>
          <w:szCs w:val="18"/>
          <w:lang w:val="es-ES_tradnl"/>
        </w:rPr>
        <w:t xml:space="preserve">digo de Procedimiento Penal, vigente </w:t>
      </w:r>
      <w:r>
        <w:rPr>
          <w:spacing w:val="-9"/>
          <w:sz w:val="18"/>
          <w:szCs w:val="18"/>
          <w:lang w:val="es-ES_tradnl"/>
        </w:rPr>
        <w:t>al momento de expedir la sentencia materia de esta acci</w:t>
      </w:r>
      <w:r>
        <w:rPr>
          <w:rFonts w:cs="Times New Roman"/>
          <w:spacing w:val="-9"/>
          <w:sz w:val="18"/>
          <w:szCs w:val="18"/>
          <w:lang w:val="es-ES_tradnl"/>
        </w:rPr>
        <w:t>ó</w:t>
      </w:r>
      <w:r>
        <w:rPr>
          <w:spacing w:val="-9"/>
          <w:sz w:val="18"/>
          <w:szCs w:val="18"/>
          <w:lang w:val="es-ES_tradnl"/>
        </w:rPr>
        <w:t xml:space="preserve">n, </w:t>
      </w:r>
      <w:r>
        <w:rPr>
          <w:spacing w:val="-8"/>
          <w:sz w:val="18"/>
          <w:szCs w:val="18"/>
          <w:lang w:val="es-ES_tradnl"/>
        </w:rPr>
        <w:t>por lo que en vista de haberse declarado culpable del delito de estafa el se</w:t>
      </w:r>
      <w:r>
        <w:rPr>
          <w:rFonts w:cs="Times New Roman"/>
          <w:spacing w:val="-8"/>
          <w:sz w:val="18"/>
          <w:szCs w:val="18"/>
          <w:lang w:val="es-ES_tradnl"/>
        </w:rPr>
        <w:t>ñ</w:t>
      </w:r>
      <w:r>
        <w:rPr>
          <w:spacing w:val="-8"/>
          <w:sz w:val="18"/>
          <w:szCs w:val="18"/>
          <w:lang w:val="es-ES_tradnl"/>
        </w:rPr>
        <w:t>or Fabi</w:t>
      </w:r>
      <w:r>
        <w:rPr>
          <w:rFonts w:cs="Times New Roman"/>
          <w:spacing w:val="-8"/>
          <w:sz w:val="18"/>
          <w:szCs w:val="18"/>
          <w:lang w:val="es-ES_tradnl"/>
        </w:rPr>
        <w:t>á</w:t>
      </w:r>
      <w:r>
        <w:rPr>
          <w:spacing w:val="-8"/>
          <w:sz w:val="18"/>
          <w:szCs w:val="18"/>
          <w:lang w:val="es-ES_tradnl"/>
        </w:rPr>
        <w:t xml:space="preserve">n Silva Tumipamba, los juzgadores </w:t>
      </w:r>
      <w:r>
        <w:rPr>
          <w:spacing w:val="-5"/>
          <w:sz w:val="18"/>
          <w:szCs w:val="18"/>
          <w:lang w:val="es-ES_tradnl"/>
        </w:rPr>
        <w:t>no requirieron del testimonio del ahora accionante.</w:t>
      </w:r>
    </w:p>
    <w:p w14:paraId="4F67BBD2" w14:textId="77777777" w:rsidR="00591D54" w:rsidRDefault="00591D54">
      <w:pPr>
        <w:shd w:val="clear" w:color="auto" w:fill="FFFFFF"/>
        <w:spacing w:before="197" w:line="216" w:lineRule="exact"/>
        <w:jc w:val="both"/>
      </w:pPr>
      <w:r>
        <w:rPr>
          <w:spacing w:val="-6"/>
          <w:sz w:val="18"/>
          <w:szCs w:val="18"/>
          <w:lang w:val="es-ES_tradnl"/>
        </w:rPr>
        <w:t xml:space="preserve">En este punto, cabe resaltar lo manifestado por el doctor Jorge Zavala Baquerizo en su obra </w:t>
      </w:r>
      <w:r>
        <w:rPr>
          <w:rFonts w:cs="Times New Roman"/>
          <w:spacing w:val="-6"/>
          <w:sz w:val="18"/>
          <w:szCs w:val="18"/>
          <w:lang w:val="es-ES_tradnl"/>
        </w:rPr>
        <w:t>“</w:t>
      </w:r>
      <w:r>
        <w:rPr>
          <w:spacing w:val="-6"/>
          <w:sz w:val="18"/>
          <w:szCs w:val="18"/>
          <w:lang w:val="es-ES_tradnl"/>
        </w:rPr>
        <w:t xml:space="preserve">Tratado de Derecho </w:t>
      </w:r>
      <w:r>
        <w:rPr>
          <w:sz w:val="18"/>
          <w:szCs w:val="18"/>
          <w:lang w:val="es-ES_tradnl"/>
        </w:rPr>
        <w:t>Procesal Penal</w:t>
      </w:r>
      <w:r>
        <w:rPr>
          <w:rFonts w:cs="Times New Roman"/>
          <w:sz w:val="18"/>
          <w:szCs w:val="18"/>
          <w:lang w:val="es-ES_tradnl"/>
        </w:rPr>
        <w:t>”</w:t>
      </w:r>
      <w:r>
        <w:rPr>
          <w:sz w:val="18"/>
          <w:szCs w:val="18"/>
          <w:lang w:val="es-ES_tradnl"/>
        </w:rPr>
        <w:t>, que dice:</w:t>
      </w:r>
    </w:p>
    <w:p w14:paraId="4F67BBD3" w14:textId="77777777" w:rsidR="00591D54" w:rsidRDefault="00591D54">
      <w:pPr>
        <w:shd w:val="clear" w:color="auto" w:fill="FFFFFF"/>
        <w:spacing w:before="206" w:line="216" w:lineRule="exact"/>
        <w:ind w:left="283"/>
        <w:jc w:val="both"/>
      </w:pPr>
      <w:r>
        <w:rPr>
          <w:sz w:val="14"/>
          <w:szCs w:val="14"/>
          <w:lang w:val="es-ES_tradnl"/>
        </w:rPr>
        <w:t>La sentencia que dicte el juez como conclusi</w:t>
      </w:r>
      <w:r>
        <w:rPr>
          <w:rFonts w:cs="Times New Roman"/>
          <w:sz w:val="14"/>
          <w:szCs w:val="14"/>
          <w:lang w:val="es-ES_tradnl"/>
        </w:rPr>
        <w:t>ó</w:t>
      </w:r>
      <w:r>
        <w:rPr>
          <w:sz w:val="14"/>
          <w:szCs w:val="14"/>
          <w:lang w:val="es-ES_tradnl"/>
        </w:rPr>
        <w:t xml:space="preserve">n del procedimiento abreviado debe contener los requisitos de forma exigidos para la sentencia en general en el art. 309. Este es un mandato imposible de cumplir en su totalidad por parte del juez que admite el procedimiento abreviado, pues, el predicho mandato procesal exige que la sentencia contenga </w:t>
      </w:r>
      <w:r>
        <w:rPr>
          <w:rFonts w:cs="Times New Roman"/>
          <w:sz w:val="14"/>
          <w:szCs w:val="14"/>
          <w:lang w:val="es-ES_tradnl"/>
        </w:rPr>
        <w:t>“</w:t>
      </w:r>
      <w:r>
        <w:rPr>
          <w:sz w:val="14"/>
          <w:szCs w:val="14"/>
          <w:lang w:val="es-ES_tradnl"/>
        </w:rPr>
        <w:t>la enunciaci</w:t>
      </w:r>
      <w:r>
        <w:rPr>
          <w:rFonts w:cs="Times New Roman"/>
          <w:sz w:val="14"/>
          <w:szCs w:val="14"/>
          <w:lang w:val="es-ES_tradnl"/>
        </w:rPr>
        <w:t>ó</w:t>
      </w:r>
      <w:r>
        <w:rPr>
          <w:sz w:val="14"/>
          <w:szCs w:val="14"/>
          <w:lang w:val="es-ES_tradnl"/>
        </w:rPr>
        <w:t>n de las pruebas practicadas</w:t>
      </w:r>
      <w:r>
        <w:rPr>
          <w:rFonts w:cs="Times New Roman"/>
          <w:sz w:val="14"/>
          <w:szCs w:val="14"/>
          <w:lang w:val="es-ES_tradnl"/>
        </w:rPr>
        <w:t>”</w:t>
      </w:r>
      <w:r>
        <w:rPr>
          <w:sz w:val="14"/>
          <w:szCs w:val="14"/>
          <w:lang w:val="es-ES_tradnl"/>
        </w:rPr>
        <w:t xml:space="preserve">, lo que es imposible de cumplir en tanto cuanto </w:t>
      </w:r>
      <w:r>
        <w:rPr>
          <w:b/>
          <w:bCs/>
          <w:sz w:val="14"/>
          <w:szCs w:val="14"/>
          <w:lang w:val="es-ES_tradnl"/>
        </w:rPr>
        <w:t xml:space="preserve">dentro del procedimiento abreviado no se practican pruebas </w:t>
      </w:r>
      <w:r>
        <w:rPr>
          <w:sz w:val="14"/>
          <w:szCs w:val="14"/>
          <w:lang w:val="es-ES_tradnl"/>
        </w:rPr>
        <w:t xml:space="preserve">pues, como hemos explicado, </w:t>
      </w:r>
      <w:r>
        <w:rPr>
          <w:b/>
          <w:bCs/>
          <w:sz w:val="14"/>
          <w:szCs w:val="14"/>
          <w:lang w:val="es-ES_tradnl"/>
        </w:rPr>
        <w:t xml:space="preserve">el fundamento de la sentencia condenatoria en el indicado </w:t>
      </w:r>
      <w:r>
        <w:rPr>
          <w:b/>
          <w:bCs/>
          <w:spacing w:val="-1"/>
          <w:sz w:val="14"/>
          <w:szCs w:val="14"/>
          <w:lang w:val="es-ES_tradnl"/>
        </w:rPr>
        <w:t>procedimiento, se encuentra exclusivamente en la confesi</w:t>
      </w:r>
      <w:r>
        <w:rPr>
          <w:rFonts w:cs="Times New Roman"/>
          <w:b/>
          <w:bCs/>
          <w:spacing w:val="-1"/>
          <w:sz w:val="14"/>
          <w:szCs w:val="14"/>
          <w:lang w:val="es-ES_tradnl"/>
        </w:rPr>
        <w:t>ó</w:t>
      </w:r>
      <w:r>
        <w:rPr>
          <w:b/>
          <w:bCs/>
          <w:spacing w:val="-1"/>
          <w:sz w:val="14"/>
          <w:szCs w:val="14"/>
          <w:lang w:val="es-ES_tradnl"/>
        </w:rPr>
        <w:t>n</w:t>
      </w:r>
    </w:p>
    <w:p w14:paraId="4F67BBD4" w14:textId="77777777" w:rsidR="00591D54" w:rsidRDefault="00591D54">
      <w:pPr>
        <w:shd w:val="clear" w:color="auto" w:fill="FFFFFF"/>
        <w:spacing w:before="206" w:line="216" w:lineRule="exact"/>
        <w:ind w:left="283"/>
        <w:jc w:val="both"/>
        <w:sectPr w:rsidR="00591D54">
          <w:type w:val="continuous"/>
          <w:pgSz w:w="11909" w:h="16834"/>
          <w:pgMar w:top="1337" w:right="1309" w:bottom="360" w:left="1308" w:header="720" w:footer="720" w:gutter="0"/>
          <w:cols w:num="2" w:space="720" w:equalWidth="0">
            <w:col w:w="4305" w:space="682"/>
            <w:col w:w="4305"/>
          </w:cols>
          <w:noEndnote/>
        </w:sectPr>
      </w:pPr>
    </w:p>
    <w:p w14:paraId="4F67BBD5" w14:textId="77777777" w:rsidR="00591D54" w:rsidRDefault="00591D54">
      <w:pPr>
        <w:shd w:val="clear" w:color="auto" w:fill="FFFFFF"/>
        <w:tabs>
          <w:tab w:val="left" w:pos="5842"/>
        </w:tabs>
        <w:spacing w:after="230"/>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- 295</w:t>
      </w:r>
    </w:p>
    <w:p w14:paraId="4F67BBD6" w14:textId="77777777" w:rsidR="00591D54" w:rsidRDefault="00591D54">
      <w:pPr>
        <w:shd w:val="clear" w:color="auto" w:fill="FFFFFF"/>
        <w:tabs>
          <w:tab w:val="left" w:pos="5842"/>
        </w:tabs>
        <w:spacing w:after="230"/>
        <w:ind w:left="5"/>
        <w:sectPr w:rsidR="00591D54">
          <w:pgSz w:w="11909" w:h="16834"/>
          <w:pgMar w:top="1356" w:right="1309" w:bottom="360" w:left="1308" w:header="720" w:footer="720" w:gutter="0"/>
          <w:cols w:space="60"/>
          <w:noEndnote/>
        </w:sectPr>
      </w:pPr>
    </w:p>
    <w:p w14:paraId="4F67BBD7" w14:textId="77777777" w:rsidR="00591D54" w:rsidRDefault="00591D54">
      <w:pPr>
        <w:shd w:val="clear" w:color="auto" w:fill="FFFFFF"/>
        <w:spacing w:line="216" w:lineRule="exact"/>
        <w:ind w:left="283"/>
        <w:jc w:val="both"/>
      </w:pPr>
      <w:r>
        <w:rPr>
          <w:b/>
          <w:bCs/>
          <w:sz w:val="12"/>
          <w:szCs w:val="12"/>
          <w:lang w:val="es-ES_tradnl"/>
        </w:rPr>
        <w:t>del condenado</w:t>
      </w:r>
      <w:r>
        <w:rPr>
          <w:sz w:val="12"/>
          <w:szCs w:val="12"/>
          <w:lang w:val="es-ES_tradnl"/>
        </w:rPr>
        <w:t>. Por lo tanto, lo que debe contener la sentencia del procedimiento especial al que nos estamos refiriendo, es la relaci</w:t>
      </w:r>
      <w:r>
        <w:rPr>
          <w:rFonts w:cs="Times New Roman"/>
          <w:sz w:val="12"/>
          <w:szCs w:val="12"/>
          <w:lang w:val="es-ES_tradnl"/>
        </w:rPr>
        <w:t>ó</w:t>
      </w:r>
      <w:r>
        <w:rPr>
          <w:sz w:val="12"/>
          <w:szCs w:val="12"/>
          <w:lang w:val="es-ES_tradnl"/>
        </w:rPr>
        <w:t>n de lo dicho en la confesi</w:t>
      </w:r>
      <w:r>
        <w:rPr>
          <w:rFonts w:cs="Times New Roman"/>
          <w:sz w:val="12"/>
          <w:szCs w:val="12"/>
          <w:lang w:val="es-ES_tradnl"/>
        </w:rPr>
        <w:t>ó</w:t>
      </w:r>
      <w:r>
        <w:rPr>
          <w:sz w:val="12"/>
          <w:szCs w:val="12"/>
          <w:lang w:val="es-ES_tradnl"/>
        </w:rPr>
        <w:t>n por parte del acusado, am</w:t>
      </w:r>
      <w:r>
        <w:rPr>
          <w:rFonts w:cs="Times New Roman"/>
          <w:sz w:val="12"/>
          <w:szCs w:val="12"/>
          <w:lang w:val="es-ES_tradnl"/>
        </w:rPr>
        <w:t>é</w:t>
      </w:r>
      <w:r>
        <w:rPr>
          <w:sz w:val="12"/>
          <w:szCs w:val="12"/>
          <w:lang w:val="es-ES_tradnl"/>
        </w:rPr>
        <w:t>n de cumplir con las dem</w:t>
      </w:r>
      <w:r>
        <w:rPr>
          <w:rFonts w:cs="Times New Roman"/>
          <w:sz w:val="12"/>
          <w:szCs w:val="12"/>
          <w:lang w:val="es-ES_tradnl"/>
        </w:rPr>
        <w:t>á</w:t>
      </w:r>
      <w:r>
        <w:rPr>
          <w:sz w:val="12"/>
          <w:szCs w:val="12"/>
          <w:lang w:val="es-ES_tradnl"/>
        </w:rPr>
        <w:t>s exigencias contenidas en el mencionado art</w:t>
      </w:r>
      <w:r>
        <w:rPr>
          <w:rFonts w:cs="Times New Roman"/>
          <w:sz w:val="12"/>
          <w:szCs w:val="12"/>
          <w:lang w:val="es-ES_tradnl"/>
        </w:rPr>
        <w:t>í</w:t>
      </w:r>
      <w:r>
        <w:rPr>
          <w:sz w:val="12"/>
          <w:szCs w:val="12"/>
          <w:lang w:val="es-ES_tradnl"/>
        </w:rPr>
        <w:t>culo del CPP, haciendo especial hincapi</w:t>
      </w:r>
      <w:r>
        <w:rPr>
          <w:rFonts w:cs="Times New Roman"/>
          <w:sz w:val="12"/>
          <w:szCs w:val="12"/>
          <w:lang w:val="es-ES_tradnl"/>
        </w:rPr>
        <w:t xml:space="preserve">é </w:t>
      </w:r>
      <w:r>
        <w:rPr>
          <w:sz w:val="12"/>
          <w:szCs w:val="12"/>
          <w:lang w:val="es-ES_tradnl"/>
        </w:rPr>
        <w:t>que impone la pena pedida por el fiscal, o una inferior a ella, explicando los motivos en que se fundamenta para imponer dicha pena o una inferior</w:t>
      </w:r>
      <w:r>
        <w:rPr>
          <w:sz w:val="12"/>
          <w:szCs w:val="12"/>
          <w:vertAlign w:val="superscript"/>
          <w:lang w:val="es-ES_tradnl"/>
        </w:rPr>
        <w:t>4</w:t>
      </w:r>
      <w:r>
        <w:rPr>
          <w:sz w:val="12"/>
          <w:szCs w:val="12"/>
          <w:lang w:val="es-ES_tradnl"/>
        </w:rPr>
        <w:t xml:space="preserve"> (las negrillas son nuestras)</w:t>
      </w:r>
    </w:p>
    <w:p w14:paraId="4F67BBD8" w14:textId="77777777" w:rsidR="00591D54" w:rsidRDefault="00591D54">
      <w:pPr>
        <w:shd w:val="clear" w:color="auto" w:fill="FFFFFF"/>
        <w:spacing w:before="216" w:line="216" w:lineRule="exact"/>
        <w:jc w:val="both"/>
      </w:pPr>
      <w:r>
        <w:rPr>
          <w:sz w:val="16"/>
          <w:szCs w:val="16"/>
          <w:lang w:val="es-ES_tradnl"/>
        </w:rPr>
        <w:t>Del an</w:t>
      </w:r>
      <w:r>
        <w:rPr>
          <w:rFonts w:cs="Times New Roman"/>
          <w:sz w:val="16"/>
          <w:szCs w:val="16"/>
          <w:lang w:val="es-ES_tradnl"/>
        </w:rPr>
        <w:t>á</w:t>
      </w:r>
      <w:r>
        <w:rPr>
          <w:sz w:val="16"/>
          <w:szCs w:val="16"/>
          <w:lang w:val="es-ES_tradnl"/>
        </w:rPr>
        <w:t>lisis de estos hechos y de las puntualizaciones que anteceden, se concluye que en este tipo de procedimientos especiales, cuando el juzgador descarta los medios de prueba como el testimonio de un tercero en el juicio penal, fue porque lo consider</w:t>
      </w:r>
      <w:r>
        <w:rPr>
          <w:rFonts w:cs="Times New Roman"/>
          <w:sz w:val="16"/>
          <w:szCs w:val="16"/>
          <w:lang w:val="es-ES_tradnl"/>
        </w:rPr>
        <w:t>ó</w:t>
      </w:r>
      <w:r>
        <w:rPr>
          <w:sz w:val="16"/>
          <w:szCs w:val="16"/>
          <w:lang w:val="es-ES_tradnl"/>
        </w:rPr>
        <w:t xml:space="preserve"> jur</w:t>
      </w:r>
      <w:r>
        <w:rPr>
          <w:rFonts w:cs="Times New Roman"/>
          <w:sz w:val="16"/>
          <w:szCs w:val="16"/>
          <w:lang w:val="es-ES_tradnl"/>
        </w:rPr>
        <w:t>í</w:t>
      </w:r>
      <w:r>
        <w:rPr>
          <w:sz w:val="16"/>
          <w:szCs w:val="16"/>
          <w:lang w:val="es-ES_tradnl"/>
        </w:rPr>
        <w:t>dicamente ineficaz e improcedente, ya que dichos medios de prueba en legal y debida forma operan dentro del tr</w:t>
      </w:r>
      <w:r>
        <w:rPr>
          <w:rFonts w:cs="Times New Roman"/>
          <w:sz w:val="16"/>
          <w:szCs w:val="16"/>
          <w:lang w:val="es-ES_tradnl"/>
        </w:rPr>
        <w:t>á</w:t>
      </w:r>
      <w:r>
        <w:rPr>
          <w:sz w:val="16"/>
          <w:szCs w:val="16"/>
          <w:lang w:val="es-ES_tradnl"/>
        </w:rPr>
        <w:t>mite ordinario para demostrar la responsabilidad y culpabilidad del autor del delito. De ah</w:t>
      </w:r>
      <w:r>
        <w:rPr>
          <w:rFonts w:cs="Times New Roman"/>
          <w:sz w:val="16"/>
          <w:szCs w:val="16"/>
          <w:lang w:val="es-ES_tradnl"/>
        </w:rPr>
        <w:t>í</w:t>
      </w:r>
      <w:r>
        <w:rPr>
          <w:sz w:val="16"/>
          <w:szCs w:val="16"/>
          <w:lang w:val="es-ES_tradnl"/>
        </w:rPr>
        <w:t xml:space="preserve"> que al haber aceptado el acusado de forma libre y voluntaria ser culpable de la infracci</w:t>
      </w:r>
      <w:r>
        <w:rPr>
          <w:rFonts w:cs="Times New Roman"/>
          <w:sz w:val="16"/>
          <w:szCs w:val="16"/>
          <w:lang w:val="es-ES_tradnl"/>
        </w:rPr>
        <w:t>ó</w:t>
      </w:r>
      <w:r>
        <w:rPr>
          <w:sz w:val="16"/>
          <w:szCs w:val="16"/>
          <w:lang w:val="es-ES_tradnl"/>
        </w:rPr>
        <w:t>n penal que se juzga, la cual implica la conciencia de la antijuricidad de la conducta, es decir que la persona procesada tiene claro que el hecho cometido est</w:t>
      </w:r>
      <w:r>
        <w:rPr>
          <w:rFonts w:cs="Times New Roman"/>
          <w:sz w:val="16"/>
          <w:szCs w:val="16"/>
          <w:lang w:val="es-ES_tradnl"/>
        </w:rPr>
        <w:t>á</w:t>
      </w:r>
      <w:r>
        <w:rPr>
          <w:sz w:val="16"/>
          <w:szCs w:val="16"/>
          <w:lang w:val="es-ES_tradnl"/>
        </w:rPr>
        <w:t xml:space="preserve"> destinado a la censura social y esa conducta se encuentra registrada como t</w:t>
      </w:r>
      <w:r>
        <w:rPr>
          <w:rFonts w:cs="Times New Roman"/>
          <w:sz w:val="16"/>
          <w:szCs w:val="16"/>
          <w:lang w:val="es-ES_tradnl"/>
        </w:rPr>
        <w:t>í</w:t>
      </w:r>
      <w:r>
        <w:rPr>
          <w:sz w:val="16"/>
          <w:szCs w:val="16"/>
          <w:lang w:val="es-ES_tradnl"/>
        </w:rPr>
        <w:t>pica y antijur</w:t>
      </w:r>
      <w:r>
        <w:rPr>
          <w:rFonts w:cs="Times New Roman"/>
          <w:sz w:val="16"/>
          <w:szCs w:val="16"/>
          <w:lang w:val="es-ES_tradnl"/>
        </w:rPr>
        <w:t>í</w:t>
      </w:r>
      <w:r>
        <w:rPr>
          <w:sz w:val="16"/>
          <w:szCs w:val="16"/>
          <w:lang w:val="es-ES_tradnl"/>
        </w:rPr>
        <w:t>dica en el cat</w:t>
      </w:r>
      <w:r>
        <w:rPr>
          <w:rFonts w:cs="Times New Roman"/>
          <w:sz w:val="16"/>
          <w:szCs w:val="16"/>
          <w:lang w:val="es-ES_tradnl"/>
        </w:rPr>
        <w:t>á</w:t>
      </w:r>
      <w:r>
        <w:rPr>
          <w:sz w:val="16"/>
          <w:szCs w:val="16"/>
          <w:lang w:val="es-ES_tradnl"/>
        </w:rPr>
        <w:t>logo de delitos, por lo que resultar</w:t>
      </w:r>
      <w:r>
        <w:rPr>
          <w:rFonts w:cs="Times New Roman"/>
          <w:sz w:val="16"/>
          <w:szCs w:val="16"/>
          <w:lang w:val="es-ES_tradnl"/>
        </w:rPr>
        <w:t>í</w:t>
      </w:r>
      <w:r>
        <w:rPr>
          <w:sz w:val="16"/>
          <w:szCs w:val="16"/>
          <w:lang w:val="es-ES_tradnl"/>
        </w:rPr>
        <w:t>a innecesario recurrir a las pr</w:t>
      </w:r>
      <w:r>
        <w:rPr>
          <w:rFonts w:cs="Times New Roman"/>
          <w:sz w:val="16"/>
          <w:szCs w:val="16"/>
          <w:lang w:val="es-ES_tradnl"/>
        </w:rPr>
        <w:t>á</w:t>
      </w:r>
      <w:r>
        <w:rPr>
          <w:sz w:val="16"/>
          <w:szCs w:val="16"/>
          <w:lang w:val="es-ES_tradnl"/>
        </w:rPr>
        <w:t>cticas de los medios probatorios, lo cual no implica quebrantamiento del derecho constitucional al debido proceso como incurrir en la indefensi</w:t>
      </w:r>
      <w:r>
        <w:rPr>
          <w:rFonts w:cs="Times New Roman"/>
          <w:sz w:val="16"/>
          <w:szCs w:val="16"/>
          <w:lang w:val="es-ES_tradnl"/>
        </w:rPr>
        <w:t>ó</w:t>
      </w:r>
      <w:r>
        <w:rPr>
          <w:sz w:val="16"/>
          <w:szCs w:val="16"/>
          <w:lang w:val="es-ES_tradnl"/>
        </w:rPr>
        <w:t xml:space="preserve">n de otras partes procesales ni vulnerar la tutela efectiva, imparcial, expedita de los derechos e intereses de </w:t>
      </w:r>
      <w:r>
        <w:rPr>
          <w:rFonts w:cs="Times New Roman"/>
          <w:sz w:val="16"/>
          <w:szCs w:val="16"/>
          <w:lang w:val="es-ES_tradnl"/>
        </w:rPr>
        <w:t>é</w:t>
      </w:r>
      <w:r>
        <w:rPr>
          <w:sz w:val="16"/>
          <w:szCs w:val="16"/>
          <w:lang w:val="es-ES_tradnl"/>
        </w:rPr>
        <w:t>stos.</w:t>
      </w:r>
    </w:p>
    <w:p w14:paraId="4F67BBD9" w14:textId="77777777" w:rsidR="00591D54" w:rsidRDefault="00591D54">
      <w:pPr>
        <w:shd w:val="clear" w:color="auto" w:fill="FFFFFF"/>
        <w:spacing w:before="211" w:line="216" w:lineRule="exact"/>
        <w:jc w:val="both"/>
      </w:pPr>
      <w:r>
        <w:rPr>
          <w:sz w:val="16"/>
          <w:szCs w:val="16"/>
          <w:lang w:val="es-ES_tradnl"/>
        </w:rPr>
        <w:t>Concordante con este razonamiento, conviene reiterar el criterio adoptado por este Organismo en sentencia N.</w:t>
      </w:r>
      <w:r>
        <w:rPr>
          <w:rFonts w:cs="Times New Roman"/>
          <w:sz w:val="16"/>
          <w:szCs w:val="16"/>
          <w:lang w:val="es-ES_tradnl"/>
        </w:rPr>
        <w:t xml:space="preserve">º </w:t>
      </w:r>
      <w:r>
        <w:rPr>
          <w:sz w:val="16"/>
          <w:szCs w:val="16"/>
          <w:lang w:val="es-ES_tradnl"/>
        </w:rPr>
        <w:t>210-14-SEP-CC, caso N.</w:t>
      </w:r>
      <w:r>
        <w:rPr>
          <w:rFonts w:cs="Times New Roman"/>
          <w:b/>
          <w:bCs/>
          <w:sz w:val="16"/>
          <w:szCs w:val="16"/>
          <w:lang w:val="es-ES_tradnl"/>
        </w:rPr>
        <w:t>º</w:t>
      </w:r>
      <w:r>
        <w:rPr>
          <w:b/>
          <w:bCs/>
          <w:sz w:val="16"/>
          <w:szCs w:val="16"/>
          <w:lang w:val="es-ES_tradnl"/>
        </w:rPr>
        <w:t xml:space="preserve"> </w:t>
      </w:r>
      <w:r>
        <w:rPr>
          <w:sz w:val="16"/>
          <w:szCs w:val="16"/>
          <w:lang w:val="es-ES_tradnl"/>
        </w:rPr>
        <w:t>0943-12-EP, expedida el 20 de noviembre de 2014, que dice:</w:t>
      </w:r>
    </w:p>
    <w:p w14:paraId="4F67BBDA" w14:textId="77777777" w:rsidR="00591D54" w:rsidRDefault="00591D54">
      <w:pPr>
        <w:shd w:val="clear" w:color="auto" w:fill="FFFFFF"/>
        <w:spacing w:before="216" w:line="216" w:lineRule="exact"/>
        <w:ind w:left="269" w:right="5"/>
        <w:jc w:val="both"/>
      </w:pPr>
      <w:r>
        <w:rPr>
          <w:sz w:val="12"/>
          <w:szCs w:val="12"/>
          <w:lang w:val="es-ES_tradnl"/>
        </w:rPr>
        <w:t>(</w:t>
      </w:r>
      <w:r>
        <w:rPr>
          <w:rFonts w:cs="Times New Roman"/>
          <w:sz w:val="12"/>
          <w:szCs w:val="12"/>
          <w:lang w:val="es-ES_tradnl"/>
        </w:rPr>
        <w:t>…</w:t>
      </w:r>
      <w:r>
        <w:rPr>
          <w:sz w:val="12"/>
          <w:szCs w:val="12"/>
          <w:lang w:val="es-ES_tradnl"/>
        </w:rPr>
        <w:t>) es claro que la confesi</w:t>
      </w:r>
      <w:r>
        <w:rPr>
          <w:rFonts w:cs="Times New Roman"/>
          <w:sz w:val="12"/>
          <w:szCs w:val="12"/>
          <w:lang w:val="es-ES_tradnl"/>
        </w:rPr>
        <w:t>ó</w:t>
      </w:r>
      <w:r>
        <w:rPr>
          <w:sz w:val="12"/>
          <w:szCs w:val="12"/>
          <w:lang w:val="es-ES_tradnl"/>
        </w:rPr>
        <w:t>n judicial solicitada por el accionante, no genera un efecto gravitacional en la decisi</w:t>
      </w:r>
      <w:r>
        <w:rPr>
          <w:rFonts w:cs="Times New Roman"/>
          <w:sz w:val="12"/>
          <w:szCs w:val="12"/>
          <w:lang w:val="es-ES_tradnl"/>
        </w:rPr>
        <w:t>ó</w:t>
      </w:r>
      <w:r>
        <w:rPr>
          <w:sz w:val="12"/>
          <w:szCs w:val="12"/>
          <w:lang w:val="es-ES_tradnl"/>
        </w:rPr>
        <w:t>n, ya que el hecho que buscaba probarse, se encuentra plenamente justificado de autos en este sentido, no era necesaria la pr</w:t>
      </w:r>
      <w:r>
        <w:rPr>
          <w:rFonts w:cs="Times New Roman"/>
          <w:sz w:val="12"/>
          <w:szCs w:val="12"/>
          <w:lang w:val="es-ES_tradnl"/>
        </w:rPr>
        <w:t>á</w:t>
      </w:r>
      <w:r>
        <w:rPr>
          <w:sz w:val="12"/>
          <w:szCs w:val="12"/>
          <w:lang w:val="es-ES_tradnl"/>
        </w:rPr>
        <w:t>ctica de otras pruebas, ya que con las pruebas actuadas dentro del proceso, la jueza quinta de garant</w:t>
      </w:r>
      <w:r>
        <w:rPr>
          <w:rFonts w:cs="Times New Roman"/>
          <w:sz w:val="12"/>
          <w:szCs w:val="12"/>
          <w:lang w:val="es-ES_tradnl"/>
        </w:rPr>
        <w:t>í</w:t>
      </w:r>
      <w:r>
        <w:rPr>
          <w:sz w:val="12"/>
          <w:szCs w:val="12"/>
          <w:lang w:val="es-ES_tradnl"/>
        </w:rPr>
        <w:t>as penales de Pichincha contaba con los elementos de convicci</w:t>
      </w:r>
      <w:r>
        <w:rPr>
          <w:rFonts w:cs="Times New Roman"/>
          <w:sz w:val="12"/>
          <w:szCs w:val="12"/>
          <w:lang w:val="es-ES_tradnl"/>
        </w:rPr>
        <w:t>ó</w:t>
      </w:r>
      <w:r>
        <w:rPr>
          <w:sz w:val="12"/>
          <w:szCs w:val="12"/>
          <w:lang w:val="es-ES_tradnl"/>
        </w:rPr>
        <w:t>n suficientes para dictar sentencia, como efectivamente lo hizo.</w:t>
      </w:r>
    </w:p>
    <w:p w14:paraId="4F67BBDB" w14:textId="77777777" w:rsidR="00591D54" w:rsidRDefault="00591D54">
      <w:pPr>
        <w:shd w:val="clear" w:color="auto" w:fill="FFFFFF"/>
        <w:spacing w:before="216" w:line="216" w:lineRule="exact"/>
        <w:ind w:left="283"/>
        <w:jc w:val="both"/>
      </w:pPr>
      <w:r>
        <w:rPr>
          <w:sz w:val="12"/>
          <w:szCs w:val="12"/>
          <w:lang w:val="es-ES_tradnl"/>
        </w:rPr>
        <w:t>Conforme ya fue se</w:t>
      </w:r>
      <w:r>
        <w:rPr>
          <w:rFonts w:cs="Times New Roman"/>
          <w:sz w:val="12"/>
          <w:szCs w:val="12"/>
          <w:lang w:val="es-ES_tradnl"/>
        </w:rPr>
        <w:t>ñ</w:t>
      </w:r>
      <w:r>
        <w:rPr>
          <w:sz w:val="12"/>
          <w:szCs w:val="12"/>
          <w:lang w:val="es-ES_tradnl"/>
        </w:rPr>
        <w:t>alado, el derecho a la defensa espec</w:t>
      </w:r>
      <w:r>
        <w:rPr>
          <w:rFonts w:cs="Times New Roman"/>
          <w:sz w:val="12"/>
          <w:szCs w:val="12"/>
          <w:lang w:val="es-ES_tradnl"/>
        </w:rPr>
        <w:t>í</w:t>
      </w:r>
      <w:r>
        <w:rPr>
          <w:sz w:val="12"/>
          <w:szCs w:val="12"/>
          <w:lang w:val="es-ES_tradnl"/>
        </w:rPr>
        <w:t>ficamente en la garant</w:t>
      </w:r>
      <w:r>
        <w:rPr>
          <w:rFonts w:cs="Times New Roman"/>
          <w:sz w:val="12"/>
          <w:szCs w:val="12"/>
          <w:lang w:val="es-ES_tradnl"/>
        </w:rPr>
        <w:t>í</w:t>
      </w:r>
      <w:r>
        <w:rPr>
          <w:sz w:val="12"/>
          <w:szCs w:val="12"/>
          <w:lang w:val="es-ES_tradnl"/>
        </w:rPr>
        <w:t>a a no ser privado del derecho a la defensa en ninguna etapa o grado del procedimiento adem</w:t>
      </w:r>
      <w:r>
        <w:rPr>
          <w:rFonts w:cs="Times New Roman"/>
          <w:sz w:val="12"/>
          <w:szCs w:val="12"/>
          <w:lang w:val="es-ES_tradnl"/>
        </w:rPr>
        <w:t>á</w:t>
      </w:r>
      <w:r>
        <w:rPr>
          <w:sz w:val="12"/>
          <w:szCs w:val="12"/>
          <w:lang w:val="es-ES_tradnl"/>
        </w:rPr>
        <w:t>s de garantizar el derecho de las partes para afrontar el debate judicial haciendo valer sus derechos en condiciones de igualdad, obliga a la autoridad jurisdiccional a respetar las formalidades propias de cada juicio; en este sentido, queda claro que la jueza quinta de garant</w:t>
      </w:r>
      <w:r>
        <w:rPr>
          <w:rFonts w:cs="Times New Roman"/>
          <w:sz w:val="12"/>
          <w:szCs w:val="12"/>
          <w:lang w:val="es-ES_tradnl"/>
        </w:rPr>
        <w:t>í</w:t>
      </w:r>
      <w:r>
        <w:rPr>
          <w:sz w:val="12"/>
          <w:szCs w:val="12"/>
          <w:lang w:val="es-ES_tradnl"/>
        </w:rPr>
        <w:t>as penales de Pichincha actu</w:t>
      </w:r>
      <w:r>
        <w:rPr>
          <w:rFonts w:cs="Times New Roman"/>
          <w:sz w:val="12"/>
          <w:szCs w:val="12"/>
          <w:lang w:val="es-ES_tradnl"/>
        </w:rPr>
        <w:t>ó</w:t>
      </w:r>
      <w:r>
        <w:rPr>
          <w:sz w:val="12"/>
          <w:szCs w:val="12"/>
          <w:lang w:val="es-ES_tradnl"/>
        </w:rPr>
        <w:t xml:space="preserve"> con la debida diligencia y observando en todo momento el derecho a la defensa del accionante, ya que la sentencia dictada atiende a la realidad procesal y a las formalidades propias de este tipo de procedimiento</w:t>
      </w:r>
      <w:r>
        <w:rPr>
          <w:sz w:val="12"/>
          <w:szCs w:val="12"/>
          <w:vertAlign w:val="superscript"/>
          <w:lang w:val="es-ES_tradnl"/>
        </w:rPr>
        <w:t>5</w:t>
      </w:r>
      <w:r>
        <w:rPr>
          <w:sz w:val="12"/>
          <w:szCs w:val="12"/>
          <w:lang w:val="es-ES_tradnl"/>
        </w:rPr>
        <w:t>.</w:t>
      </w:r>
    </w:p>
    <w:p w14:paraId="4F67BBDC" w14:textId="77777777" w:rsidR="00591D54" w:rsidRDefault="00591D54">
      <w:pPr>
        <w:shd w:val="clear" w:color="auto" w:fill="FFFFFF"/>
        <w:tabs>
          <w:tab w:val="left" w:pos="139"/>
        </w:tabs>
        <w:spacing w:before="442" w:line="182" w:lineRule="exact"/>
        <w:ind w:left="139" w:hanging="139"/>
      </w:pPr>
      <w:r>
        <w:rPr>
          <w:sz w:val="12"/>
          <w:szCs w:val="12"/>
          <w:vertAlign w:val="superscript"/>
          <w:lang w:val="es-ES_tradnl"/>
        </w:rPr>
        <w:t>4</w:t>
      </w:r>
      <w:r>
        <w:rPr>
          <w:sz w:val="12"/>
          <w:szCs w:val="12"/>
          <w:lang w:val="es-ES_tradnl"/>
        </w:rPr>
        <w:tab/>
        <w:t xml:space="preserve">Zavala Baquerizo Jorge, </w:t>
      </w:r>
      <w:r>
        <w:rPr>
          <w:rFonts w:cs="Times New Roman"/>
          <w:sz w:val="12"/>
          <w:szCs w:val="12"/>
          <w:lang w:val="es-ES_tradnl"/>
        </w:rPr>
        <w:t>“</w:t>
      </w:r>
      <w:r>
        <w:rPr>
          <w:sz w:val="12"/>
          <w:szCs w:val="12"/>
          <w:lang w:val="es-ES_tradnl"/>
        </w:rPr>
        <w:t>Tratado de Derecho Procesal Penal</w:t>
      </w:r>
      <w:r>
        <w:rPr>
          <w:rFonts w:cs="Times New Roman"/>
          <w:sz w:val="12"/>
          <w:szCs w:val="12"/>
          <w:lang w:val="es-ES_tradnl"/>
        </w:rPr>
        <w:t>”</w:t>
      </w:r>
      <w:r>
        <w:rPr>
          <w:sz w:val="12"/>
          <w:szCs w:val="12"/>
          <w:lang w:val="es-ES_tradnl"/>
        </w:rPr>
        <w:t>, tomo </w:t>
      </w:r>
      <w:r>
        <w:rPr>
          <w:sz w:val="12"/>
          <w:szCs w:val="12"/>
          <w:lang w:val="en-US"/>
        </w:rPr>
        <w:t xml:space="preserve">X, </w:t>
      </w:r>
      <w:r>
        <w:rPr>
          <w:sz w:val="12"/>
          <w:szCs w:val="12"/>
          <w:lang w:val="es-ES_tradnl"/>
        </w:rPr>
        <w:t>Guayaquil, Edino, 2007, p. 325</w:t>
      </w:r>
    </w:p>
    <w:p w14:paraId="4F67BBDD" w14:textId="77777777" w:rsidR="00591D54" w:rsidRDefault="00591D54">
      <w:pPr>
        <w:shd w:val="clear" w:color="auto" w:fill="FFFFFF"/>
        <w:tabs>
          <w:tab w:val="left" w:pos="139"/>
        </w:tabs>
        <w:spacing w:before="168" w:line="178" w:lineRule="exact"/>
        <w:ind w:left="139" w:hanging="139"/>
      </w:pPr>
      <w:r>
        <w:rPr>
          <w:sz w:val="12"/>
          <w:szCs w:val="12"/>
          <w:vertAlign w:val="superscript"/>
          <w:lang w:val="es-ES_tradnl"/>
        </w:rPr>
        <w:t>5</w:t>
      </w:r>
      <w:r>
        <w:rPr>
          <w:sz w:val="12"/>
          <w:szCs w:val="12"/>
          <w:lang w:val="es-ES_tradnl"/>
        </w:rPr>
        <w:tab/>
        <w:t>Corte Constitucional del Ecuador, Sentencia N.</w:t>
      </w:r>
      <w:r>
        <w:rPr>
          <w:rFonts w:cs="Times New Roman"/>
          <w:sz w:val="12"/>
          <w:szCs w:val="12"/>
          <w:lang w:val="es-ES_tradnl"/>
        </w:rPr>
        <w:t>°</w:t>
      </w:r>
      <w:r>
        <w:rPr>
          <w:sz w:val="12"/>
          <w:szCs w:val="12"/>
          <w:lang w:val="es-ES_tradnl"/>
        </w:rPr>
        <w:t xml:space="preserve"> 210-14-SEP-CC, Caso N.</w:t>
      </w:r>
      <w:r>
        <w:rPr>
          <w:rFonts w:cs="Times New Roman"/>
          <w:sz w:val="12"/>
          <w:szCs w:val="12"/>
          <w:lang w:val="es-ES_tradnl"/>
        </w:rPr>
        <w:t>°</w:t>
      </w:r>
      <w:r>
        <w:rPr>
          <w:sz w:val="12"/>
          <w:szCs w:val="12"/>
          <w:lang w:val="es-ES_tradnl"/>
        </w:rPr>
        <w:t xml:space="preserve"> 0943-12-EP, p. 8</w:t>
      </w:r>
    </w:p>
    <w:p w14:paraId="4F67BBDE" w14:textId="77777777" w:rsidR="00591D54" w:rsidRDefault="00591D54">
      <w:pPr>
        <w:shd w:val="clear" w:color="auto" w:fill="FFFFFF"/>
        <w:spacing w:before="5" w:line="221" w:lineRule="exact"/>
        <w:jc w:val="both"/>
      </w:pPr>
      <w:r>
        <w:br w:type="column"/>
      </w:r>
      <w:r>
        <w:rPr>
          <w:spacing w:val="-7"/>
          <w:sz w:val="18"/>
          <w:szCs w:val="18"/>
          <w:lang w:val="es-ES_tradnl"/>
        </w:rPr>
        <w:t xml:space="preserve">Por las consideraciones expuestas, esta Magistratura </w:t>
      </w:r>
      <w:r>
        <w:rPr>
          <w:sz w:val="18"/>
          <w:szCs w:val="18"/>
          <w:lang w:val="es-ES_tradnl"/>
        </w:rPr>
        <w:t xml:space="preserve">Constitucional observa que la sentencia expedida </w:t>
      </w:r>
      <w:r>
        <w:rPr>
          <w:spacing w:val="-5"/>
          <w:sz w:val="18"/>
          <w:szCs w:val="18"/>
          <w:lang w:val="es-ES_tradnl"/>
        </w:rPr>
        <w:t xml:space="preserve">dentro del procedimiento abreviado, por los jueces del </w:t>
      </w:r>
      <w:r>
        <w:rPr>
          <w:spacing w:val="-2"/>
          <w:sz w:val="18"/>
          <w:szCs w:val="18"/>
          <w:lang w:val="es-ES_tradnl"/>
        </w:rPr>
        <w:t>Tercer Tribunal de Garant</w:t>
      </w:r>
      <w:r>
        <w:rPr>
          <w:rFonts w:cs="Times New Roman"/>
          <w:spacing w:val="-2"/>
          <w:sz w:val="18"/>
          <w:szCs w:val="18"/>
          <w:lang w:val="es-ES_tradnl"/>
        </w:rPr>
        <w:t>í</w:t>
      </w:r>
      <w:r>
        <w:rPr>
          <w:spacing w:val="-2"/>
          <w:sz w:val="18"/>
          <w:szCs w:val="18"/>
          <w:lang w:val="es-ES_tradnl"/>
        </w:rPr>
        <w:t xml:space="preserve">as Penales de Pichincha, el </w:t>
      </w:r>
      <w:r>
        <w:rPr>
          <w:spacing w:val="-3"/>
          <w:sz w:val="18"/>
          <w:szCs w:val="18"/>
          <w:lang w:val="es-ES_tradnl"/>
        </w:rPr>
        <w:t xml:space="preserve">16 de abril de 2012 a las 14h26, al no permitirle rendir </w:t>
      </w:r>
      <w:r>
        <w:rPr>
          <w:spacing w:val="-2"/>
          <w:sz w:val="18"/>
          <w:szCs w:val="18"/>
          <w:lang w:val="es-ES_tradnl"/>
        </w:rPr>
        <w:t>testimonio a la persona que se present</w:t>
      </w:r>
      <w:r>
        <w:rPr>
          <w:rFonts w:cs="Times New Roman"/>
          <w:spacing w:val="-2"/>
          <w:sz w:val="18"/>
          <w:szCs w:val="18"/>
          <w:lang w:val="es-ES_tradnl"/>
        </w:rPr>
        <w:t>ó</w:t>
      </w:r>
      <w:r>
        <w:rPr>
          <w:spacing w:val="-2"/>
          <w:sz w:val="18"/>
          <w:szCs w:val="18"/>
          <w:lang w:val="es-ES_tradnl"/>
        </w:rPr>
        <w:t xml:space="preserve"> como tercero </w:t>
      </w:r>
      <w:r>
        <w:rPr>
          <w:spacing w:val="-5"/>
          <w:sz w:val="18"/>
          <w:szCs w:val="18"/>
          <w:lang w:val="es-ES_tradnl"/>
        </w:rPr>
        <w:t>en dicho proceso penal -ahora legitimado activo en esta garant</w:t>
      </w:r>
      <w:r>
        <w:rPr>
          <w:rFonts w:cs="Times New Roman"/>
          <w:spacing w:val="-5"/>
          <w:sz w:val="18"/>
          <w:szCs w:val="18"/>
          <w:lang w:val="es-ES_tradnl"/>
        </w:rPr>
        <w:t>í</w:t>
      </w:r>
      <w:r>
        <w:rPr>
          <w:spacing w:val="-5"/>
          <w:sz w:val="18"/>
          <w:szCs w:val="18"/>
          <w:lang w:val="es-ES_tradnl"/>
        </w:rPr>
        <w:t xml:space="preserve">a jurisdiccional- no ha vulnerado los derechos </w:t>
      </w:r>
      <w:r>
        <w:rPr>
          <w:sz w:val="18"/>
          <w:szCs w:val="18"/>
          <w:lang w:val="es-ES_tradnl"/>
        </w:rPr>
        <w:t>constitucionales alegados en esta acci</w:t>
      </w:r>
      <w:r>
        <w:rPr>
          <w:rFonts w:cs="Times New Roman"/>
          <w:sz w:val="18"/>
          <w:szCs w:val="18"/>
          <w:lang w:val="es-ES_tradnl"/>
        </w:rPr>
        <w:t>ó</w:t>
      </w:r>
      <w:r>
        <w:rPr>
          <w:sz w:val="18"/>
          <w:szCs w:val="18"/>
          <w:lang w:val="es-ES_tradnl"/>
        </w:rPr>
        <w:t>n.</w:t>
      </w:r>
    </w:p>
    <w:p w14:paraId="4F67BBDF" w14:textId="77777777" w:rsidR="00591D54" w:rsidRDefault="00591D54">
      <w:pPr>
        <w:shd w:val="clear" w:color="auto" w:fill="FFFFFF"/>
        <w:spacing w:before="202" w:line="221" w:lineRule="exact"/>
        <w:jc w:val="both"/>
      </w:pPr>
      <w:r>
        <w:rPr>
          <w:b/>
          <w:bCs/>
          <w:spacing w:val="-2"/>
          <w:sz w:val="18"/>
          <w:szCs w:val="18"/>
          <w:lang w:val="es-ES_tradnl"/>
        </w:rPr>
        <w:t>2.- La decisi</w:t>
      </w:r>
      <w:r>
        <w:rPr>
          <w:rFonts w:cs="Times New Roman"/>
          <w:b/>
          <w:bCs/>
          <w:spacing w:val="-2"/>
          <w:sz w:val="18"/>
          <w:szCs w:val="18"/>
          <w:lang w:val="es-ES_tradnl"/>
        </w:rPr>
        <w:t>ó</w:t>
      </w:r>
      <w:r>
        <w:rPr>
          <w:b/>
          <w:bCs/>
          <w:spacing w:val="-2"/>
          <w:sz w:val="18"/>
          <w:szCs w:val="18"/>
          <w:lang w:val="es-ES_tradnl"/>
        </w:rPr>
        <w:t xml:space="preserve">n judicial impugnada, dictada dentro </w:t>
      </w:r>
      <w:r>
        <w:rPr>
          <w:b/>
          <w:bCs/>
          <w:spacing w:val="-6"/>
          <w:sz w:val="18"/>
          <w:szCs w:val="18"/>
          <w:lang w:val="es-ES_tradnl"/>
        </w:rPr>
        <w:t xml:space="preserve">del procedimiento abreviado, al no considerar los </w:t>
      </w:r>
      <w:r>
        <w:rPr>
          <w:b/>
          <w:bCs/>
          <w:spacing w:val="-9"/>
          <w:sz w:val="18"/>
          <w:szCs w:val="18"/>
          <w:lang w:val="es-ES_tradnl"/>
        </w:rPr>
        <w:t xml:space="preserve">fundamentos y los anexos presentados por un tercero </w:t>
      </w:r>
      <w:r>
        <w:rPr>
          <w:b/>
          <w:bCs/>
          <w:spacing w:val="-8"/>
          <w:sz w:val="18"/>
          <w:szCs w:val="18"/>
          <w:lang w:val="es-ES_tradnl"/>
        </w:rPr>
        <w:t xml:space="preserve">interesado en el proceso penal </w:t>
      </w:r>
      <w:r>
        <w:rPr>
          <w:rFonts w:cs="Times New Roman"/>
          <w:b/>
          <w:bCs/>
          <w:spacing w:val="-8"/>
          <w:sz w:val="18"/>
          <w:szCs w:val="18"/>
          <w:lang w:val="es-ES_tradnl"/>
        </w:rPr>
        <w:t>¿</w:t>
      </w:r>
      <w:r>
        <w:rPr>
          <w:b/>
          <w:bCs/>
          <w:spacing w:val="-8"/>
          <w:sz w:val="18"/>
          <w:szCs w:val="18"/>
          <w:lang w:val="es-ES_tradnl"/>
        </w:rPr>
        <w:t>vulner</w:t>
      </w:r>
      <w:r>
        <w:rPr>
          <w:rFonts w:cs="Times New Roman"/>
          <w:b/>
          <w:bCs/>
          <w:spacing w:val="-8"/>
          <w:sz w:val="18"/>
          <w:szCs w:val="18"/>
          <w:lang w:val="es-ES_tradnl"/>
        </w:rPr>
        <w:t>ó</w:t>
      </w:r>
      <w:r>
        <w:rPr>
          <w:b/>
          <w:bCs/>
          <w:spacing w:val="-8"/>
          <w:sz w:val="18"/>
          <w:szCs w:val="18"/>
          <w:lang w:val="es-ES_tradnl"/>
        </w:rPr>
        <w:t xml:space="preserve"> el derecho al </w:t>
      </w:r>
      <w:r>
        <w:rPr>
          <w:b/>
          <w:bCs/>
          <w:spacing w:val="-10"/>
          <w:sz w:val="18"/>
          <w:szCs w:val="18"/>
          <w:lang w:val="es-ES_tradnl"/>
        </w:rPr>
        <w:t>debido proceso en la garant</w:t>
      </w:r>
      <w:r>
        <w:rPr>
          <w:rFonts w:cs="Times New Roman"/>
          <w:b/>
          <w:bCs/>
          <w:spacing w:val="-10"/>
          <w:sz w:val="18"/>
          <w:szCs w:val="18"/>
          <w:lang w:val="es-ES_tradnl"/>
        </w:rPr>
        <w:t>í</w:t>
      </w:r>
      <w:r>
        <w:rPr>
          <w:b/>
          <w:bCs/>
          <w:spacing w:val="-10"/>
          <w:sz w:val="18"/>
          <w:szCs w:val="18"/>
          <w:lang w:val="es-ES_tradnl"/>
        </w:rPr>
        <w:t>a de la motivaci</w:t>
      </w:r>
      <w:r>
        <w:rPr>
          <w:rFonts w:cs="Times New Roman"/>
          <w:b/>
          <w:bCs/>
          <w:spacing w:val="-10"/>
          <w:sz w:val="18"/>
          <w:szCs w:val="18"/>
          <w:lang w:val="es-ES_tradnl"/>
        </w:rPr>
        <w:t>ó</w:t>
      </w:r>
      <w:r>
        <w:rPr>
          <w:b/>
          <w:bCs/>
          <w:spacing w:val="-10"/>
          <w:sz w:val="18"/>
          <w:szCs w:val="18"/>
          <w:lang w:val="es-ES_tradnl"/>
        </w:rPr>
        <w:t xml:space="preserve">n, previsto </w:t>
      </w:r>
      <w:r>
        <w:rPr>
          <w:b/>
          <w:bCs/>
          <w:spacing w:val="-6"/>
          <w:sz w:val="18"/>
          <w:szCs w:val="18"/>
          <w:lang w:val="es-ES_tradnl"/>
        </w:rPr>
        <w:t>en el art</w:t>
      </w:r>
      <w:r>
        <w:rPr>
          <w:rFonts w:cs="Times New Roman"/>
          <w:b/>
          <w:bCs/>
          <w:spacing w:val="-6"/>
          <w:sz w:val="18"/>
          <w:szCs w:val="18"/>
          <w:lang w:val="es-ES_tradnl"/>
        </w:rPr>
        <w:t>í</w:t>
      </w:r>
      <w:r>
        <w:rPr>
          <w:b/>
          <w:bCs/>
          <w:spacing w:val="-6"/>
          <w:sz w:val="18"/>
          <w:szCs w:val="18"/>
          <w:lang w:val="es-ES_tradnl"/>
        </w:rPr>
        <w:t>culo 76 numeral 7 literal l de la Constituci</w:t>
      </w:r>
      <w:r>
        <w:rPr>
          <w:rFonts w:cs="Times New Roman"/>
          <w:b/>
          <w:bCs/>
          <w:spacing w:val="-6"/>
          <w:sz w:val="18"/>
          <w:szCs w:val="18"/>
          <w:lang w:val="es-ES_tradnl"/>
        </w:rPr>
        <w:t>ó</w:t>
      </w:r>
      <w:r>
        <w:rPr>
          <w:b/>
          <w:bCs/>
          <w:spacing w:val="-6"/>
          <w:sz w:val="18"/>
          <w:szCs w:val="18"/>
          <w:lang w:val="es-ES_tradnl"/>
        </w:rPr>
        <w:t>n?</w:t>
      </w:r>
    </w:p>
    <w:p w14:paraId="4F67BBE0" w14:textId="77777777" w:rsidR="00591D54" w:rsidRDefault="00591D54">
      <w:pPr>
        <w:shd w:val="clear" w:color="auto" w:fill="FFFFFF"/>
        <w:spacing w:before="202" w:line="221" w:lineRule="exact"/>
        <w:jc w:val="both"/>
      </w:pPr>
      <w:r>
        <w:rPr>
          <w:spacing w:val="-8"/>
          <w:sz w:val="18"/>
          <w:szCs w:val="18"/>
          <w:lang w:val="es-ES_tradnl"/>
        </w:rPr>
        <w:t xml:space="preserve">Aduce el accionante que en el fallo cuestionado, los jueces </w:t>
      </w:r>
      <w:r>
        <w:rPr>
          <w:i/>
          <w:iCs/>
          <w:spacing w:val="-6"/>
          <w:sz w:val="18"/>
          <w:szCs w:val="18"/>
          <w:lang w:val="es-ES_tradnl"/>
        </w:rPr>
        <w:t>ad quem</w:t>
      </w:r>
      <w:r>
        <w:rPr>
          <w:spacing w:val="-6"/>
          <w:sz w:val="18"/>
          <w:szCs w:val="18"/>
          <w:lang w:val="es-ES_tradnl"/>
        </w:rPr>
        <w:t>, parece que rebuscaron el atajo de la ignominia, tratando de crear una jurisprudencia aut</w:t>
      </w:r>
      <w:r>
        <w:rPr>
          <w:rFonts w:cs="Times New Roman"/>
          <w:spacing w:val="-6"/>
          <w:sz w:val="18"/>
          <w:szCs w:val="18"/>
          <w:lang w:val="es-ES_tradnl"/>
        </w:rPr>
        <w:t>ó</w:t>
      </w:r>
      <w:r>
        <w:rPr>
          <w:spacing w:val="-6"/>
          <w:sz w:val="18"/>
          <w:szCs w:val="18"/>
          <w:lang w:val="es-ES_tradnl"/>
        </w:rPr>
        <w:t xml:space="preserve">noma, sin tomar </w:t>
      </w:r>
      <w:r>
        <w:rPr>
          <w:spacing w:val="-5"/>
          <w:sz w:val="18"/>
          <w:szCs w:val="18"/>
          <w:lang w:val="es-ES_tradnl"/>
        </w:rPr>
        <w:t>en consideraci</w:t>
      </w:r>
      <w:r>
        <w:rPr>
          <w:rFonts w:cs="Times New Roman"/>
          <w:spacing w:val="-5"/>
          <w:sz w:val="18"/>
          <w:szCs w:val="18"/>
          <w:lang w:val="es-ES_tradnl"/>
        </w:rPr>
        <w:t>ó</w:t>
      </w:r>
      <w:r>
        <w:rPr>
          <w:spacing w:val="-5"/>
          <w:sz w:val="18"/>
          <w:szCs w:val="18"/>
          <w:lang w:val="es-ES_tradnl"/>
        </w:rPr>
        <w:t>n las pruebas que present</w:t>
      </w:r>
      <w:r>
        <w:rPr>
          <w:rFonts w:cs="Times New Roman"/>
          <w:spacing w:val="-5"/>
          <w:sz w:val="18"/>
          <w:szCs w:val="18"/>
          <w:lang w:val="es-ES_tradnl"/>
        </w:rPr>
        <w:t>ó</w:t>
      </w:r>
      <w:r>
        <w:rPr>
          <w:spacing w:val="-5"/>
          <w:sz w:val="18"/>
          <w:szCs w:val="18"/>
          <w:lang w:val="es-ES_tradnl"/>
        </w:rPr>
        <w:t>, las cuales fueron soslayadas por los operadores de justicia al dictar la sentencia impugnada sin motivaci</w:t>
      </w:r>
      <w:r>
        <w:rPr>
          <w:rFonts w:cs="Times New Roman"/>
          <w:spacing w:val="-5"/>
          <w:sz w:val="18"/>
          <w:szCs w:val="18"/>
          <w:lang w:val="es-ES_tradnl"/>
        </w:rPr>
        <w:t>ó</w:t>
      </w:r>
      <w:r>
        <w:rPr>
          <w:spacing w:val="-5"/>
          <w:sz w:val="18"/>
          <w:szCs w:val="18"/>
          <w:lang w:val="es-ES_tradnl"/>
        </w:rPr>
        <w:t>n alguna.</w:t>
      </w:r>
    </w:p>
    <w:p w14:paraId="4F67BBE1" w14:textId="77777777" w:rsidR="00591D54" w:rsidRDefault="00591D54">
      <w:pPr>
        <w:shd w:val="clear" w:color="auto" w:fill="FFFFFF"/>
        <w:spacing w:before="202" w:line="221" w:lineRule="exact"/>
        <w:jc w:val="both"/>
      </w:pPr>
      <w:r>
        <w:rPr>
          <w:spacing w:val="-2"/>
          <w:sz w:val="18"/>
          <w:szCs w:val="18"/>
          <w:lang w:val="es-ES_tradnl"/>
        </w:rPr>
        <w:t>El art</w:t>
      </w:r>
      <w:r>
        <w:rPr>
          <w:rFonts w:cs="Times New Roman"/>
          <w:spacing w:val="-2"/>
          <w:sz w:val="18"/>
          <w:szCs w:val="18"/>
          <w:lang w:val="es-ES_tradnl"/>
        </w:rPr>
        <w:t>í</w:t>
      </w:r>
      <w:r>
        <w:rPr>
          <w:spacing w:val="-2"/>
          <w:sz w:val="18"/>
          <w:szCs w:val="18"/>
          <w:lang w:val="es-ES_tradnl"/>
        </w:rPr>
        <w:t>culo 76 de la Constituci</w:t>
      </w:r>
      <w:r>
        <w:rPr>
          <w:rFonts w:cs="Times New Roman"/>
          <w:spacing w:val="-2"/>
          <w:sz w:val="18"/>
          <w:szCs w:val="18"/>
          <w:lang w:val="es-ES_tradnl"/>
        </w:rPr>
        <w:t>ó</w:t>
      </w:r>
      <w:r>
        <w:rPr>
          <w:spacing w:val="-2"/>
          <w:sz w:val="18"/>
          <w:szCs w:val="18"/>
          <w:lang w:val="es-ES_tradnl"/>
        </w:rPr>
        <w:t>n de la Rep</w:t>
      </w:r>
      <w:r>
        <w:rPr>
          <w:rFonts w:cs="Times New Roman"/>
          <w:spacing w:val="-2"/>
          <w:sz w:val="18"/>
          <w:szCs w:val="18"/>
          <w:lang w:val="es-ES_tradnl"/>
        </w:rPr>
        <w:t>ú</w:t>
      </w:r>
      <w:r>
        <w:rPr>
          <w:spacing w:val="-2"/>
          <w:sz w:val="18"/>
          <w:szCs w:val="18"/>
          <w:lang w:val="es-ES_tradnl"/>
        </w:rPr>
        <w:t xml:space="preserve">blica del </w:t>
      </w:r>
      <w:r>
        <w:rPr>
          <w:spacing w:val="-7"/>
          <w:sz w:val="18"/>
          <w:szCs w:val="18"/>
          <w:lang w:val="es-ES_tradnl"/>
        </w:rPr>
        <w:t>Ecuador determina que en todo proceso deber</w:t>
      </w:r>
      <w:r>
        <w:rPr>
          <w:rFonts w:cs="Times New Roman"/>
          <w:spacing w:val="-7"/>
          <w:sz w:val="18"/>
          <w:szCs w:val="18"/>
          <w:lang w:val="es-ES_tradnl"/>
        </w:rPr>
        <w:t>á</w:t>
      </w:r>
      <w:r>
        <w:rPr>
          <w:spacing w:val="-7"/>
          <w:sz w:val="18"/>
          <w:szCs w:val="18"/>
          <w:lang w:val="es-ES_tradnl"/>
        </w:rPr>
        <w:t xml:space="preserve"> cumplirse </w:t>
      </w:r>
      <w:r>
        <w:rPr>
          <w:spacing w:val="-9"/>
          <w:sz w:val="18"/>
          <w:szCs w:val="18"/>
          <w:lang w:val="es-ES_tradnl"/>
        </w:rPr>
        <w:t>con las garant</w:t>
      </w:r>
      <w:r>
        <w:rPr>
          <w:rFonts w:cs="Times New Roman"/>
          <w:spacing w:val="-9"/>
          <w:sz w:val="18"/>
          <w:szCs w:val="18"/>
          <w:lang w:val="es-ES_tradnl"/>
        </w:rPr>
        <w:t>í</w:t>
      </w:r>
      <w:r>
        <w:rPr>
          <w:spacing w:val="-9"/>
          <w:sz w:val="18"/>
          <w:szCs w:val="18"/>
          <w:lang w:val="es-ES_tradnl"/>
        </w:rPr>
        <w:t>as b</w:t>
      </w:r>
      <w:r>
        <w:rPr>
          <w:rFonts w:cs="Times New Roman"/>
          <w:spacing w:val="-9"/>
          <w:sz w:val="18"/>
          <w:szCs w:val="18"/>
          <w:lang w:val="es-ES_tradnl"/>
        </w:rPr>
        <w:t>á</w:t>
      </w:r>
      <w:r>
        <w:rPr>
          <w:spacing w:val="-9"/>
          <w:sz w:val="18"/>
          <w:szCs w:val="18"/>
          <w:lang w:val="es-ES_tradnl"/>
        </w:rPr>
        <w:t xml:space="preserve">sicas respecto del debido proceso. Una </w:t>
      </w:r>
      <w:r>
        <w:rPr>
          <w:spacing w:val="-7"/>
          <w:sz w:val="18"/>
          <w:szCs w:val="18"/>
          <w:lang w:val="es-ES_tradnl"/>
        </w:rPr>
        <w:t>de estas garant</w:t>
      </w:r>
      <w:r>
        <w:rPr>
          <w:rFonts w:cs="Times New Roman"/>
          <w:spacing w:val="-7"/>
          <w:sz w:val="18"/>
          <w:szCs w:val="18"/>
          <w:lang w:val="es-ES_tradnl"/>
        </w:rPr>
        <w:t>í</w:t>
      </w:r>
      <w:r>
        <w:rPr>
          <w:spacing w:val="-7"/>
          <w:sz w:val="18"/>
          <w:szCs w:val="18"/>
          <w:lang w:val="es-ES_tradnl"/>
        </w:rPr>
        <w:t>as es la motivaci</w:t>
      </w:r>
      <w:r>
        <w:rPr>
          <w:rFonts w:cs="Times New Roman"/>
          <w:spacing w:val="-7"/>
          <w:sz w:val="18"/>
          <w:szCs w:val="18"/>
          <w:lang w:val="es-ES_tradnl"/>
        </w:rPr>
        <w:t>ó</w:t>
      </w:r>
      <w:r>
        <w:rPr>
          <w:spacing w:val="-7"/>
          <w:sz w:val="18"/>
          <w:szCs w:val="18"/>
          <w:lang w:val="es-ES_tradnl"/>
        </w:rPr>
        <w:t>n, de la que se se</w:t>
      </w:r>
      <w:r>
        <w:rPr>
          <w:rFonts w:cs="Times New Roman"/>
          <w:spacing w:val="-7"/>
          <w:sz w:val="18"/>
          <w:szCs w:val="18"/>
          <w:lang w:val="es-ES_tradnl"/>
        </w:rPr>
        <w:t>ñ</w:t>
      </w:r>
      <w:r>
        <w:rPr>
          <w:spacing w:val="-7"/>
          <w:sz w:val="18"/>
          <w:szCs w:val="18"/>
          <w:lang w:val="es-ES_tradnl"/>
        </w:rPr>
        <w:t xml:space="preserve">ala </w:t>
      </w:r>
      <w:r>
        <w:rPr>
          <w:sz w:val="18"/>
          <w:szCs w:val="18"/>
          <w:lang w:val="es-ES_tradnl"/>
        </w:rPr>
        <w:t>textualmente:</w:t>
      </w:r>
    </w:p>
    <w:p w14:paraId="4F67BBE2" w14:textId="77777777" w:rsidR="00591D54" w:rsidRDefault="00591D54">
      <w:pPr>
        <w:shd w:val="clear" w:color="auto" w:fill="FFFFFF"/>
        <w:spacing w:before="206" w:line="221" w:lineRule="exact"/>
        <w:ind w:left="283"/>
        <w:jc w:val="both"/>
      </w:pPr>
      <w:r>
        <w:rPr>
          <w:spacing w:val="-5"/>
          <w:sz w:val="16"/>
          <w:szCs w:val="16"/>
          <w:lang w:val="es-ES_tradnl"/>
        </w:rPr>
        <w:t>l) Las resoluciones de los poderes p</w:t>
      </w:r>
      <w:r>
        <w:rPr>
          <w:rFonts w:cs="Times New Roman"/>
          <w:spacing w:val="-5"/>
          <w:sz w:val="16"/>
          <w:szCs w:val="16"/>
          <w:lang w:val="es-ES_tradnl"/>
        </w:rPr>
        <w:t>ú</w:t>
      </w:r>
      <w:r>
        <w:rPr>
          <w:spacing w:val="-5"/>
          <w:sz w:val="16"/>
          <w:szCs w:val="16"/>
          <w:lang w:val="es-ES_tradnl"/>
        </w:rPr>
        <w:t>blicos deber</w:t>
      </w:r>
      <w:r>
        <w:rPr>
          <w:rFonts w:cs="Times New Roman"/>
          <w:spacing w:val="-5"/>
          <w:sz w:val="16"/>
          <w:szCs w:val="16"/>
          <w:lang w:val="es-ES_tradnl"/>
        </w:rPr>
        <w:t>á</w:t>
      </w:r>
      <w:r>
        <w:rPr>
          <w:spacing w:val="-5"/>
          <w:sz w:val="16"/>
          <w:szCs w:val="16"/>
          <w:lang w:val="es-ES_tradnl"/>
        </w:rPr>
        <w:t xml:space="preserve">n ser </w:t>
      </w:r>
      <w:r>
        <w:rPr>
          <w:spacing w:val="-4"/>
          <w:sz w:val="16"/>
          <w:szCs w:val="16"/>
          <w:lang w:val="es-ES_tradnl"/>
        </w:rPr>
        <w:t>motivadas. No habr</w:t>
      </w:r>
      <w:r>
        <w:rPr>
          <w:rFonts w:cs="Times New Roman"/>
          <w:spacing w:val="-4"/>
          <w:sz w:val="16"/>
          <w:szCs w:val="16"/>
          <w:lang w:val="es-ES_tradnl"/>
        </w:rPr>
        <w:t>á</w:t>
      </w:r>
      <w:r>
        <w:rPr>
          <w:spacing w:val="-4"/>
          <w:sz w:val="16"/>
          <w:szCs w:val="16"/>
          <w:lang w:val="es-ES_tradnl"/>
        </w:rPr>
        <w:t xml:space="preserve"> motivaci</w:t>
      </w:r>
      <w:r>
        <w:rPr>
          <w:rFonts w:cs="Times New Roman"/>
          <w:spacing w:val="-4"/>
          <w:sz w:val="16"/>
          <w:szCs w:val="16"/>
          <w:lang w:val="es-ES_tradnl"/>
        </w:rPr>
        <w:t>ó</w:t>
      </w:r>
      <w:r>
        <w:rPr>
          <w:spacing w:val="-4"/>
          <w:sz w:val="16"/>
          <w:szCs w:val="16"/>
          <w:lang w:val="es-ES_tradnl"/>
        </w:rPr>
        <w:t>n si en la resoluci</w:t>
      </w:r>
      <w:r>
        <w:rPr>
          <w:rFonts w:cs="Times New Roman"/>
          <w:spacing w:val="-4"/>
          <w:sz w:val="16"/>
          <w:szCs w:val="16"/>
          <w:lang w:val="es-ES_tradnl"/>
        </w:rPr>
        <w:t>ó</w:t>
      </w:r>
      <w:r>
        <w:rPr>
          <w:spacing w:val="-4"/>
          <w:sz w:val="16"/>
          <w:szCs w:val="16"/>
          <w:lang w:val="es-ES_tradnl"/>
        </w:rPr>
        <w:t xml:space="preserve">n no se </w:t>
      </w:r>
      <w:r>
        <w:rPr>
          <w:spacing w:val="-9"/>
          <w:sz w:val="16"/>
          <w:szCs w:val="16"/>
          <w:lang w:val="es-ES_tradnl"/>
        </w:rPr>
        <w:t>enuncian las normas o principios jur</w:t>
      </w:r>
      <w:r>
        <w:rPr>
          <w:rFonts w:cs="Times New Roman"/>
          <w:spacing w:val="-9"/>
          <w:sz w:val="16"/>
          <w:szCs w:val="16"/>
          <w:lang w:val="es-ES_tradnl"/>
        </w:rPr>
        <w:t>í</w:t>
      </w:r>
      <w:r>
        <w:rPr>
          <w:spacing w:val="-9"/>
          <w:sz w:val="16"/>
          <w:szCs w:val="16"/>
          <w:lang w:val="es-ES_tradnl"/>
        </w:rPr>
        <w:t>dicos en que se funda y no se explica la pertinencia de su aplicaci</w:t>
      </w:r>
      <w:r>
        <w:rPr>
          <w:rFonts w:cs="Times New Roman"/>
          <w:spacing w:val="-9"/>
          <w:sz w:val="16"/>
          <w:szCs w:val="16"/>
          <w:lang w:val="es-ES_tradnl"/>
        </w:rPr>
        <w:t>ó</w:t>
      </w:r>
      <w:r>
        <w:rPr>
          <w:spacing w:val="-9"/>
          <w:sz w:val="16"/>
          <w:szCs w:val="16"/>
          <w:lang w:val="es-ES_tradnl"/>
        </w:rPr>
        <w:t xml:space="preserve">n a los antecedentes de </w:t>
      </w:r>
      <w:r>
        <w:rPr>
          <w:spacing w:val="-7"/>
          <w:sz w:val="16"/>
          <w:szCs w:val="16"/>
          <w:lang w:val="es-ES_tradnl"/>
        </w:rPr>
        <w:t xml:space="preserve">hecho. Los actos administrativos, resoluciones o fallos que no </w:t>
      </w:r>
      <w:r>
        <w:rPr>
          <w:spacing w:val="-8"/>
          <w:sz w:val="16"/>
          <w:szCs w:val="16"/>
          <w:lang w:val="es-ES_tradnl"/>
        </w:rPr>
        <w:t>se encuentren debidamente motivados se considerar</w:t>
      </w:r>
      <w:r>
        <w:rPr>
          <w:rFonts w:cs="Times New Roman"/>
          <w:spacing w:val="-8"/>
          <w:sz w:val="16"/>
          <w:szCs w:val="16"/>
          <w:lang w:val="es-ES_tradnl"/>
        </w:rPr>
        <w:t>á</w:t>
      </w:r>
      <w:r>
        <w:rPr>
          <w:spacing w:val="-8"/>
          <w:sz w:val="16"/>
          <w:szCs w:val="16"/>
          <w:lang w:val="es-ES_tradnl"/>
        </w:rPr>
        <w:t>n nulos. Las servidoras o servidores responsables ser</w:t>
      </w:r>
      <w:r>
        <w:rPr>
          <w:rFonts w:cs="Times New Roman"/>
          <w:spacing w:val="-8"/>
          <w:sz w:val="16"/>
          <w:szCs w:val="16"/>
          <w:lang w:val="es-ES_tradnl"/>
        </w:rPr>
        <w:t>á</w:t>
      </w:r>
      <w:r>
        <w:rPr>
          <w:spacing w:val="-8"/>
          <w:sz w:val="16"/>
          <w:szCs w:val="16"/>
          <w:lang w:val="es-ES_tradnl"/>
        </w:rPr>
        <w:t>n sancionados.</w:t>
      </w:r>
    </w:p>
    <w:p w14:paraId="4F67BBE3" w14:textId="77777777" w:rsidR="00591D54" w:rsidRDefault="00591D54">
      <w:pPr>
        <w:shd w:val="clear" w:color="auto" w:fill="FFFFFF"/>
        <w:spacing w:before="206" w:line="221" w:lineRule="exact"/>
        <w:jc w:val="both"/>
      </w:pPr>
      <w:r>
        <w:rPr>
          <w:spacing w:val="-4"/>
          <w:sz w:val="18"/>
          <w:szCs w:val="18"/>
          <w:lang w:val="es-ES_tradnl"/>
        </w:rPr>
        <w:t xml:space="preserve">Por su parte, la Corte Constitucional del Ecuador en </w:t>
      </w:r>
      <w:r>
        <w:rPr>
          <w:spacing w:val="-6"/>
          <w:sz w:val="18"/>
          <w:szCs w:val="18"/>
          <w:lang w:val="es-ES_tradnl"/>
        </w:rPr>
        <w:t>sentencia N.</w:t>
      </w:r>
      <w:r>
        <w:rPr>
          <w:rFonts w:cs="Times New Roman"/>
          <w:spacing w:val="-6"/>
          <w:sz w:val="18"/>
          <w:szCs w:val="18"/>
          <w:lang w:val="es-ES_tradnl"/>
        </w:rPr>
        <w:t>°</w:t>
      </w:r>
      <w:r>
        <w:rPr>
          <w:spacing w:val="-6"/>
          <w:sz w:val="18"/>
          <w:szCs w:val="18"/>
          <w:lang w:val="es-ES_tradnl"/>
        </w:rPr>
        <w:t xml:space="preserve"> 211-15-SEP-CC del caso N.</w:t>
      </w:r>
      <w:r>
        <w:rPr>
          <w:rFonts w:cs="Times New Roman"/>
          <w:spacing w:val="-6"/>
          <w:sz w:val="18"/>
          <w:szCs w:val="18"/>
          <w:lang w:val="es-ES_tradnl"/>
        </w:rPr>
        <w:t>°</w:t>
      </w:r>
      <w:r>
        <w:rPr>
          <w:spacing w:val="-6"/>
          <w:sz w:val="18"/>
          <w:szCs w:val="18"/>
          <w:lang w:val="es-ES_tradnl"/>
        </w:rPr>
        <w:t xml:space="preserve"> 0704-12-EP, </w:t>
      </w:r>
      <w:r>
        <w:rPr>
          <w:spacing w:val="-8"/>
          <w:sz w:val="18"/>
          <w:szCs w:val="18"/>
          <w:lang w:val="es-ES_tradnl"/>
        </w:rPr>
        <w:t>expedida el 24 de junio de 2015, respecto de la motivaci</w:t>
      </w:r>
      <w:r>
        <w:rPr>
          <w:rFonts w:cs="Times New Roman"/>
          <w:spacing w:val="-8"/>
          <w:sz w:val="18"/>
          <w:szCs w:val="18"/>
          <w:lang w:val="es-ES_tradnl"/>
        </w:rPr>
        <w:t>ó</w:t>
      </w:r>
      <w:r>
        <w:rPr>
          <w:spacing w:val="-8"/>
          <w:sz w:val="18"/>
          <w:szCs w:val="18"/>
          <w:lang w:val="es-ES_tradnl"/>
        </w:rPr>
        <w:t xml:space="preserve">n </w:t>
      </w:r>
      <w:r>
        <w:rPr>
          <w:sz w:val="18"/>
          <w:szCs w:val="18"/>
          <w:lang w:val="es-ES_tradnl"/>
        </w:rPr>
        <w:t>ha se</w:t>
      </w:r>
      <w:r>
        <w:rPr>
          <w:rFonts w:cs="Times New Roman"/>
          <w:sz w:val="18"/>
          <w:szCs w:val="18"/>
          <w:lang w:val="es-ES_tradnl"/>
        </w:rPr>
        <w:t>ñ</w:t>
      </w:r>
      <w:r>
        <w:rPr>
          <w:sz w:val="18"/>
          <w:szCs w:val="18"/>
          <w:lang w:val="es-ES_tradnl"/>
        </w:rPr>
        <w:t>alado que:</w:t>
      </w:r>
    </w:p>
    <w:p w14:paraId="4F67BBE4" w14:textId="77777777" w:rsidR="00591D54" w:rsidRDefault="00591D54">
      <w:pPr>
        <w:shd w:val="clear" w:color="auto" w:fill="FFFFFF"/>
        <w:spacing w:before="211" w:line="221" w:lineRule="exact"/>
        <w:ind w:left="283"/>
        <w:jc w:val="both"/>
      </w:pPr>
      <w:r>
        <w:rPr>
          <w:sz w:val="16"/>
          <w:szCs w:val="16"/>
          <w:lang w:val="es-ES_tradnl"/>
        </w:rPr>
        <w:t>(</w:t>
      </w:r>
      <w:r>
        <w:rPr>
          <w:rFonts w:cs="Times New Roman"/>
          <w:sz w:val="16"/>
          <w:szCs w:val="16"/>
          <w:lang w:val="es-ES_tradnl"/>
        </w:rPr>
        <w:t>…</w:t>
      </w:r>
      <w:r>
        <w:rPr>
          <w:sz w:val="16"/>
          <w:szCs w:val="16"/>
          <w:lang w:val="es-ES_tradnl"/>
        </w:rPr>
        <w:t xml:space="preserve">) permite a los individuos conocer de manera clara </w:t>
      </w:r>
      <w:r>
        <w:rPr>
          <w:spacing w:val="-6"/>
          <w:sz w:val="16"/>
          <w:szCs w:val="16"/>
          <w:lang w:val="es-ES_tradnl"/>
        </w:rPr>
        <w:t>la explicaci</w:t>
      </w:r>
      <w:r>
        <w:rPr>
          <w:rFonts w:cs="Times New Roman"/>
          <w:spacing w:val="-6"/>
          <w:sz w:val="16"/>
          <w:szCs w:val="16"/>
          <w:lang w:val="es-ES_tradnl"/>
        </w:rPr>
        <w:t>ó</w:t>
      </w:r>
      <w:r>
        <w:rPr>
          <w:spacing w:val="-6"/>
          <w:sz w:val="16"/>
          <w:szCs w:val="16"/>
          <w:lang w:val="es-ES_tradnl"/>
        </w:rPr>
        <w:t xml:space="preserve">n de los argumentos y las razones que tuvo </w:t>
      </w:r>
      <w:r>
        <w:rPr>
          <w:spacing w:val="-3"/>
          <w:sz w:val="16"/>
          <w:szCs w:val="16"/>
          <w:lang w:val="es-ES_tradnl"/>
        </w:rPr>
        <w:t>determinada autoridad p</w:t>
      </w:r>
      <w:r>
        <w:rPr>
          <w:rFonts w:cs="Times New Roman"/>
          <w:spacing w:val="-3"/>
          <w:sz w:val="16"/>
          <w:szCs w:val="16"/>
          <w:lang w:val="es-ES_tradnl"/>
        </w:rPr>
        <w:t>ú</w:t>
      </w:r>
      <w:r>
        <w:rPr>
          <w:spacing w:val="-3"/>
          <w:sz w:val="16"/>
          <w:szCs w:val="16"/>
          <w:lang w:val="es-ES_tradnl"/>
        </w:rPr>
        <w:t>blica para tomar una decisi</w:t>
      </w:r>
      <w:r>
        <w:rPr>
          <w:rFonts w:cs="Times New Roman"/>
          <w:spacing w:val="-3"/>
          <w:sz w:val="16"/>
          <w:szCs w:val="16"/>
          <w:lang w:val="es-ES_tradnl"/>
        </w:rPr>
        <w:t>ó</w:t>
      </w:r>
      <w:r>
        <w:rPr>
          <w:spacing w:val="-3"/>
          <w:sz w:val="16"/>
          <w:szCs w:val="16"/>
          <w:lang w:val="es-ES_tradnl"/>
        </w:rPr>
        <w:t xml:space="preserve">n en </w:t>
      </w:r>
      <w:r>
        <w:rPr>
          <w:spacing w:val="-5"/>
          <w:sz w:val="16"/>
          <w:szCs w:val="16"/>
          <w:lang w:val="es-ES_tradnl"/>
        </w:rPr>
        <w:t>el sentido que lo ha hecho, por eso, la motivaci</w:t>
      </w:r>
      <w:r>
        <w:rPr>
          <w:rFonts w:cs="Times New Roman"/>
          <w:spacing w:val="-5"/>
          <w:sz w:val="16"/>
          <w:szCs w:val="16"/>
          <w:lang w:val="es-ES_tradnl"/>
        </w:rPr>
        <w:t>ó</w:t>
      </w:r>
      <w:r>
        <w:rPr>
          <w:spacing w:val="-5"/>
          <w:sz w:val="16"/>
          <w:szCs w:val="16"/>
          <w:lang w:val="es-ES_tradnl"/>
        </w:rPr>
        <w:t xml:space="preserve">n de las </w:t>
      </w:r>
      <w:r>
        <w:rPr>
          <w:spacing w:val="-7"/>
          <w:sz w:val="16"/>
          <w:szCs w:val="16"/>
          <w:lang w:val="es-ES_tradnl"/>
        </w:rPr>
        <w:t xml:space="preserve">resoluciones judiciales debe expresar las razones de hecho y </w:t>
      </w:r>
      <w:r>
        <w:rPr>
          <w:spacing w:val="-6"/>
          <w:sz w:val="16"/>
          <w:szCs w:val="16"/>
          <w:lang w:val="es-ES_tradnl"/>
        </w:rPr>
        <w:t xml:space="preserve">de derecho que condujeron al </w:t>
      </w:r>
      <w:r>
        <w:rPr>
          <w:rFonts w:cs="Times New Roman"/>
          <w:spacing w:val="-6"/>
          <w:sz w:val="16"/>
          <w:szCs w:val="16"/>
          <w:lang w:val="es-ES_tradnl"/>
        </w:rPr>
        <w:t>ó</w:t>
      </w:r>
      <w:r>
        <w:rPr>
          <w:spacing w:val="-6"/>
          <w:sz w:val="16"/>
          <w:szCs w:val="16"/>
          <w:lang w:val="es-ES_tradnl"/>
        </w:rPr>
        <w:t xml:space="preserve">rgano jurisdiccional a tomar </w:t>
      </w:r>
      <w:r>
        <w:rPr>
          <w:spacing w:val="-7"/>
          <w:sz w:val="16"/>
          <w:szCs w:val="16"/>
          <w:lang w:val="es-ES_tradnl"/>
        </w:rPr>
        <w:t>determinada resoluci</w:t>
      </w:r>
      <w:r>
        <w:rPr>
          <w:rFonts w:cs="Times New Roman"/>
          <w:spacing w:val="-7"/>
          <w:sz w:val="16"/>
          <w:szCs w:val="16"/>
          <w:lang w:val="es-ES_tradnl"/>
        </w:rPr>
        <w:t>ó</w:t>
      </w:r>
      <w:r>
        <w:rPr>
          <w:spacing w:val="-7"/>
          <w:sz w:val="16"/>
          <w:szCs w:val="16"/>
          <w:lang w:val="es-ES_tradnl"/>
        </w:rPr>
        <w:t xml:space="preserve">n, en la cual no cabe la arbitrariedad del </w:t>
      </w:r>
      <w:r>
        <w:rPr>
          <w:spacing w:val="-4"/>
          <w:sz w:val="16"/>
          <w:szCs w:val="16"/>
          <w:lang w:val="es-ES_tradnl"/>
        </w:rPr>
        <w:t>juzgador, que est</w:t>
      </w:r>
      <w:r>
        <w:rPr>
          <w:rFonts w:cs="Times New Roman"/>
          <w:spacing w:val="-4"/>
          <w:sz w:val="16"/>
          <w:szCs w:val="16"/>
          <w:lang w:val="es-ES_tradnl"/>
        </w:rPr>
        <w:t>á</w:t>
      </w:r>
      <w:r>
        <w:rPr>
          <w:spacing w:val="-4"/>
          <w:sz w:val="16"/>
          <w:szCs w:val="16"/>
          <w:lang w:val="es-ES_tradnl"/>
        </w:rPr>
        <w:t xml:space="preserve"> obligado a interpretar y aplicar las leyes de acuerdo con los preceptos y principios constitucionales. La motivaci</w:t>
      </w:r>
      <w:r>
        <w:rPr>
          <w:rFonts w:cs="Times New Roman"/>
          <w:spacing w:val="-4"/>
          <w:sz w:val="16"/>
          <w:szCs w:val="16"/>
          <w:lang w:val="es-ES_tradnl"/>
        </w:rPr>
        <w:t>ó</w:t>
      </w:r>
      <w:r>
        <w:rPr>
          <w:spacing w:val="-4"/>
          <w:sz w:val="16"/>
          <w:szCs w:val="16"/>
          <w:lang w:val="es-ES_tradnl"/>
        </w:rPr>
        <w:t xml:space="preserve">n tiene como fin garantizar el control de las </w:t>
      </w:r>
      <w:r>
        <w:rPr>
          <w:spacing w:val="-5"/>
          <w:sz w:val="16"/>
          <w:szCs w:val="16"/>
          <w:lang w:val="es-ES_tradnl"/>
        </w:rPr>
        <w:t>resoluciones de los poderes p</w:t>
      </w:r>
      <w:r>
        <w:rPr>
          <w:rFonts w:cs="Times New Roman"/>
          <w:spacing w:val="-5"/>
          <w:sz w:val="16"/>
          <w:szCs w:val="16"/>
          <w:lang w:val="es-ES_tradnl"/>
        </w:rPr>
        <w:t>ú</w:t>
      </w:r>
      <w:r>
        <w:rPr>
          <w:spacing w:val="-5"/>
          <w:sz w:val="16"/>
          <w:szCs w:val="16"/>
          <w:lang w:val="es-ES_tradnl"/>
        </w:rPr>
        <w:t xml:space="preserve">blicos, para persuadir a las </w:t>
      </w:r>
      <w:r>
        <w:rPr>
          <w:spacing w:val="-7"/>
          <w:sz w:val="16"/>
          <w:szCs w:val="16"/>
          <w:lang w:val="es-ES_tradnl"/>
        </w:rPr>
        <w:t xml:space="preserve">partes de un proceso y a la sociedad en general la correcta </w:t>
      </w:r>
      <w:r>
        <w:rPr>
          <w:spacing w:val="-5"/>
          <w:sz w:val="16"/>
          <w:szCs w:val="16"/>
          <w:lang w:val="es-ES_tradnl"/>
        </w:rPr>
        <w:t>administraci</w:t>
      </w:r>
      <w:r>
        <w:rPr>
          <w:rFonts w:cs="Times New Roman"/>
          <w:spacing w:val="-5"/>
          <w:sz w:val="16"/>
          <w:szCs w:val="16"/>
          <w:lang w:val="es-ES_tradnl"/>
        </w:rPr>
        <w:t>ó</w:t>
      </w:r>
      <w:r>
        <w:rPr>
          <w:spacing w:val="-5"/>
          <w:sz w:val="16"/>
          <w:szCs w:val="16"/>
          <w:lang w:val="es-ES_tradnl"/>
        </w:rPr>
        <w:t>n de justicia y verificar que la sentencia no sea</w:t>
      </w:r>
    </w:p>
    <w:p w14:paraId="4F67BBE5" w14:textId="77777777" w:rsidR="00591D54" w:rsidRDefault="00591D54">
      <w:pPr>
        <w:shd w:val="clear" w:color="auto" w:fill="FFFFFF"/>
        <w:ind w:left="283"/>
      </w:pPr>
      <w:r>
        <w:rPr>
          <w:spacing w:val="-7"/>
          <w:sz w:val="16"/>
          <w:szCs w:val="16"/>
          <w:lang w:val="es-ES_tradnl"/>
        </w:rPr>
        <w:t>arbitraria</w:t>
      </w:r>
      <w:r>
        <w:rPr>
          <w:spacing w:val="-7"/>
          <w:sz w:val="16"/>
          <w:szCs w:val="16"/>
          <w:vertAlign w:val="superscript"/>
          <w:lang w:val="es-ES_tradnl"/>
        </w:rPr>
        <w:t>6</w:t>
      </w:r>
    </w:p>
    <w:p w14:paraId="4F67BBE6" w14:textId="77777777" w:rsidR="00591D54" w:rsidRDefault="00591D54">
      <w:pPr>
        <w:shd w:val="clear" w:color="auto" w:fill="FFFFFF"/>
        <w:spacing w:before="552" w:line="178" w:lineRule="exact"/>
        <w:ind w:left="144" w:hanging="144"/>
      </w:pPr>
      <w:r>
        <w:rPr>
          <w:sz w:val="16"/>
          <w:szCs w:val="16"/>
          <w:vertAlign w:val="superscript"/>
          <w:lang w:val="es-ES_tradnl"/>
        </w:rPr>
        <w:t>6</w:t>
      </w:r>
      <w:r>
        <w:rPr>
          <w:sz w:val="16"/>
          <w:szCs w:val="16"/>
          <w:lang w:val="es-ES_tradnl"/>
        </w:rPr>
        <w:t xml:space="preserve">  </w:t>
      </w:r>
      <w:r>
        <w:rPr>
          <w:spacing w:val="-8"/>
          <w:sz w:val="16"/>
          <w:szCs w:val="16"/>
          <w:lang w:val="es-ES_tradnl"/>
        </w:rPr>
        <w:t>Corte Constitucional del Ecuador, Sentencia N.</w:t>
      </w:r>
      <w:r>
        <w:rPr>
          <w:rFonts w:cs="Times New Roman"/>
          <w:spacing w:val="-8"/>
          <w:sz w:val="16"/>
          <w:szCs w:val="16"/>
          <w:lang w:val="es-ES_tradnl"/>
        </w:rPr>
        <w:t>°</w:t>
      </w:r>
      <w:r>
        <w:rPr>
          <w:spacing w:val="-8"/>
          <w:sz w:val="16"/>
          <w:szCs w:val="16"/>
          <w:lang w:val="es-ES_tradnl"/>
        </w:rPr>
        <w:t xml:space="preserve"> 211-15-SEP-CC, </w:t>
      </w:r>
      <w:r>
        <w:rPr>
          <w:sz w:val="16"/>
          <w:szCs w:val="16"/>
          <w:lang w:val="es-ES_tradnl"/>
        </w:rPr>
        <w:t>Caso N.</w:t>
      </w:r>
      <w:r>
        <w:rPr>
          <w:rFonts w:cs="Times New Roman"/>
          <w:sz w:val="16"/>
          <w:szCs w:val="16"/>
          <w:lang w:val="es-ES_tradnl"/>
        </w:rPr>
        <w:t>°</w:t>
      </w:r>
      <w:r>
        <w:rPr>
          <w:sz w:val="16"/>
          <w:szCs w:val="16"/>
          <w:lang w:val="es-ES_tradnl"/>
        </w:rPr>
        <w:t xml:space="preserve"> 0704-12-EP, p 9.</w:t>
      </w:r>
    </w:p>
    <w:p w14:paraId="4F67BBE7" w14:textId="77777777" w:rsidR="00591D54" w:rsidRDefault="00591D54">
      <w:pPr>
        <w:shd w:val="clear" w:color="auto" w:fill="FFFFFF"/>
        <w:spacing w:before="552" w:line="178" w:lineRule="exact"/>
        <w:ind w:left="144" w:hanging="144"/>
        <w:sectPr w:rsidR="00591D54">
          <w:type w:val="continuous"/>
          <w:pgSz w:w="11909" w:h="16834"/>
          <w:pgMar w:top="1356" w:right="1309" w:bottom="360" w:left="1308" w:header="720" w:footer="720" w:gutter="0"/>
          <w:cols w:num="2" w:space="720" w:equalWidth="0">
            <w:col w:w="4310" w:space="677"/>
            <w:col w:w="4305"/>
          </w:cols>
          <w:noEndnote/>
        </w:sectPr>
      </w:pPr>
    </w:p>
    <w:p w14:paraId="4F67BBE8" w14:textId="77777777" w:rsidR="00591D54" w:rsidRDefault="00591D54">
      <w:pPr>
        <w:shd w:val="clear" w:color="auto" w:fill="FFFFFF"/>
        <w:tabs>
          <w:tab w:val="left" w:pos="4814"/>
        </w:tabs>
        <w:spacing w:after="235"/>
        <w:ind w:left="5"/>
      </w:pPr>
      <w:r>
        <w:rPr>
          <w:b/>
          <w:bCs/>
          <w:sz w:val="18"/>
          <w:szCs w:val="18"/>
          <w:lang w:val="es-ES_tradnl"/>
        </w:rPr>
        <w:t xml:space="preserve">296 -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BE9" w14:textId="77777777" w:rsidR="00591D54" w:rsidRDefault="00591D54">
      <w:pPr>
        <w:shd w:val="clear" w:color="auto" w:fill="FFFFFF"/>
        <w:tabs>
          <w:tab w:val="left" w:pos="4814"/>
        </w:tabs>
        <w:spacing w:after="235"/>
        <w:ind w:left="5"/>
        <w:sectPr w:rsidR="00591D54">
          <w:pgSz w:w="11909" w:h="16834"/>
          <w:pgMar w:top="1337" w:right="1304" w:bottom="360" w:left="1308" w:header="720" w:footer="720" w:gutter="0"/>
          <w:cols w:space="60"/>
          <w:noEndnote/>
        </w:sectPr>
      </w:pPr>
    </w:p>
    <w:p w14:paraId="4F67BBEA" w14:textId="77777777" w:rsidR="00591D54" w:rsidRDefault="00591D54">
      <w:pPr>
        <w:shd w:val="clear" w:color="auto" w:fill="FFFFFF"/>
        <w:spacing w:line="216" w:lineRule="exact"/>
        <w:jc w:val="both"/>
      </w:pPr>
      <w:r>
        <w:rPr>
          <w:spacing w:val="-4"/>
          <w:sz w:val="18"/>
          <w:szCs w:val="18"/>
          <w:lang w:val="es-ES_tradnl"/>
        </w:rPr>
        <w:t xml:space="preserve">De acuerdo a la norma constitucional y jurisprudencia </w:t>
      </w:r>
      <w:r>
        <w:rPr>
          <w:sz w:val="18"/>
          <w:szCs w:val="18"/>
          <w:lang w:val="es-ES_tradnl"/>
        </w:rPr>
        <w:t>transcrita, la garant</w:t>
      </w:r>
      <w:r>
        <w:rPr>
          <w:rFonts w:cs="Times New Roman"/>
          <w:sz w:val="18"/>
          <w:szCs w:val="18"/>
          <w:lang w:val="es-ES_tradnl"/>
        </w:rPr>
        <w:t>í</w:t>
      </w:r>
      <w:r>
        <w:rPr>
          <w:sz w:val="18"/>
          <w:szCs w:val="18"/>
          <w:lang w:val="es-ES_tradnl"/>
        </w:rPr>
        <w:t xml:space="preserve">a que establece el derecho de recibir resoluciones debidamente motivadas, implica </w:t>
      </w:r>
      <w:r>
        <w:rPr>
          <w:spacing w:val="-2"/>
          <w:sz w:val="18"/>
          <w:szCs w:val="18"/>
          <w:lang w:val="es-ES_tradnl"/>
        </w:rPr>
        <w:t>el correlativo deber de las autoridades p</w:t>
      </w:r>
      <w:r>
        <w:rPr>
          <w:rFonts w:cs="Times New Roman"/>
          <w:spacing w:val="-2"/>
          <w:sz w:val="18"/>
          <w:szCs w:val="18"/>
          <w:lang w:val="es-ES_tradnl"/>
        </w:rPr>
        <w:t>ú</w:t>
      </w:r>
      <w:r>
        <w:rPr>
          <w:spacing w:val="-2"/>
          <w:sz w:val="18"/>
          <w:szCs w:val="18"/>
          <w:lang w:val="es-ES_tradnl"/>
        </w:rPr>
        <w:t xml:space="preserve">blicas de </w:t>
      </w:r>
      <w:r>
        <w:rPr>
          <w:spacing w:val="-6"/>
          <w:sz w:val="18"/>
          <w:szCs w:val="18"/>
          <w:lang w:val="es-ES_tradnl"/>
        </w:rPr>
        <w:t xml:space="preserve">argumentar suficientemente sus resoluciones; asimismo </w:t>
      </w:r>
      <w:r>
        <w:rPr>
          <w:sz w:val="18"/>
          <w:szCs w:val="18"/>
          <w:lang w:val="es-ES_tradnl"/>
        </w:rPr>
        <w:t>busca asegurar que en cada decisi</w:t>
      </w:r>
      <w:r>
        <w:rPr>
          <w:rFonts w:cs="Times New Roman"/>
          <w:sz w:val="18"/>
          <w:szCs w:val="18"/>
          <w:lang w:val="es-ES_tradnl"/>
        </w:rPr>
        <w:t>ó</w:t>
      </w:r>
      <w:r>
        <w:rPr>
          <w:sz w:val="18"/>
          <w:szCs w:val="18"/>
          <w:lang w:val="es-ES_tradnl"/>
        </w:rPr>
        <w:t xml:space="preserve">n los operadores </w:t>
      </w:r>
      <w:r>
        <w:rPr>
          <w:spacing w:val="-4"/>
          <w:sz w:val="18"/>
          <w:szCs w:val="18"/>
          <w:lang w:val="es-ES_tradnl"/>
        </w:rPr>
        <w:t xml:space="preserve">de justicia establezcan de forma clara y suficiente los </w:t>
      </w:r>
      <w:r>
        <w:rPr>
          <w:spacing w:val="-3"/>
          <w:sz w:val="18"/>
          <w:szCs w:val="18"/>
          <w:lang w:val="es-ES_tradnl"/>
        </w:rPr>
        <w:t>argumentos jur</w:t>
      </w:r>
      <w:r>
        <w:rPr>
          <w:rFonts w:cs="Times New Roman"/>
          <w:spacing w:val="-3"/>
          <w:sz w:val="18"/>
          <w:szCs w:val="18"/>
          <w:lang w:val="es-ES_tradnl"/>
        </w:rPr>
        <w:t>í</w:t>
      </w:r>
      <w:r>
        <w:rPr>
          <w:spacing w:val="-3"/>
          <w:sz w:val="18"/>
          <w:szCs w:val="18"/>
          <w:lang w:val="es-ES_tradnl"/>
        </w:rPr>
        <w:t xml:space="preserve">dicos de su criterio, con la finalidad de evitar la discrecionalidad o la arbitrariedad, por lo que </w:t>
      </w:r>
      <w:r>
        <w:rPr>
          <w:spacing w:val="-1"/>
          <w:sz w:val="18"/>
          <w:szCs w:val="18"/>
          <w:lang w:val="es-ES_tradnl"/>
        </w:rPr>
        <w:t xml:space="preserve">tiene por objeto transmitir a las partes involucradas en </w:t>
      </w:r>
      <w:r>
        <w:rPr>
          <w:spacing w:val="-6"/>
          <w:sz w:val="18"/>
          <w:szCs w:val="18"/>
          <w:lang w:val="es-ES_tradnl"/>
        </w:rPr>
        <w:t xml:space="preserve">el proceso y al ciudadano en general las razones tanto </w:t>
      </w:r>
      <w:r>
        <w:rPr>
          <w:spacing w:val="-5"/>
          <w:sz w:val="18"/>
          <w:szCs w:val="18"/>
          <w:lang w:val="es-ES_tradnl"/>
        </w:rPr>
        <w:t>f</w:t>
      </w:r>
      <w:r>
        <w:rPr>
          <w:rFonts w:cs="Times New Roman"/>
          <w:spacing w:val="-5"/>
          <w:sz w:val="18"/>
          <w:szCs w:val="18"/>
          <w:lang w:val="es-ES_tradnl"/>
        </w:rPr>
        <w:t>á</w:t>
      </w:r>
      <w:r>
        <w:rPr>
          <w:spacing w:val="-5"/>
          <w:sz w:val="18"/>
          <w:szCs w:val="18"/>
          <w:lang w:val="es-ES_tradnl"/>
        </w:rPr>
        <w:t>cticas como normativas que garantizan el fallo.</w:t>
      </w:r>
    </w:p>
    <w:p w14:paraId="4F67BBEB" w14:textId="77777777" w:rsidR="00591D54" w:rsidRDefault="00591D54">
      <w:pPr>
        <w:shd w:val="clear" w:color="auto" w:fill="FFFFFF"/>
        <w:spacing w:before="197" w:line="216" w:lineRule="exact"/>
        <w:jc w:val="both"/>
      </w:pPr>
      <w:r>
        <w:rPr>
          <w:spacing w:val="-6"/>
          <w:sz w:val="18"/>
          <w:szCs w:val="18"/>
          <w:lang w:val="es-ES_tradnl"/>
        </w:rPr>
        <w:t>Ahora bien, es necesario referirnos a los par</w:t>
      </w:r>
      <w:r>
        <w:rPr>
          <w:rFonts w:cs="Times New Roman"/>
          <w:spacing w:val="-6"/>
          <w:sz w:val="18"/>
          <w:szCs w:val="18"/>
          <w:lang w:val="es-ES_tradnl"/>
        </w:rPr>
        <w:t>á</w:t>
      </w:r>
      <w:r>
        <w:rPr>
          <w:spacing w:val="-6"/>
          <w:sz w:val="18"/>
          <w:szCs w:val="18"/>
          <w:lang w:val="es-ES_tradnl"/>
        </w:rPr>
        <w:t xml:space="preserve">metros que </w:t>
      </w:r>
      <w:r>
        <w:rPr>
          <w:spacing w:val="-7"/>
          <w:sz w:val="18"/>
          <w:szCs w:val="18"/>
          <w:lang w:val="es-ES_tradnl"/>
        </w:rPr>
        <w:t xml:space="preserve">ha determinado este Organismo, para que una sentencia, </w:t>
      </w:r>
      <w:r>
        <w:rPr>
          <w:spacing w:val="-4"/>
          <w:sz w:val="18"/>
          <w:szCs w:val="18"/>
          <w:lang w:val="es-ES_tradnl"/>
        </w:rPr>
        <w:t>auto o resoluci</w:t>
      </w:r>
      <w:r>
        <w:rPr>
          <w:rFonts w:cs="Times New Roman"/>
          <w:spacing w:val="-4"/>
          <w:sz w:val="18"/>
          <w:szCs w:val="18"/>
          <w:lang w:val="es-ES_tradnl"/>
        </w:rPr>
        <w:t>ó</w:t>
      </w:r>
      <w:r>
        <w:rPr>
          <w:spacing w:val="-4"/>
          <w:sz w:val="18"/>
          <w:szCs w:val="18"/>
          <w:lang w:val="es-ES_tradnl"/>
        </w:rPr>
        <w:t xml:space="preserve">n se encuentre debidamente motivada, </w:t>
      </w:r>
      <w:r>
        <w:rPr>
          <w:spacing w:val="-5"/>
          <w:sz w:val="18"/>
          <w:szCs w:val="18"/>
          <w:lang w:val="es-ES_tradnl"/>
        </w:rPr>
        <w:t>los cuales son: razonabilidad, l</w:t>
      </w:r>
      <w:r>
        <w:rPr>
          <w:rFonts w:cs="Times New Roman"/>
          <w:spacing w:val="-5"/>
          <w:sz w:val="18"/>
          <w:szCs w:val="18"/>
          <w:lang w:val="es-ES_tradnl"/>
        </w:rPr>
        <w:t>ó</w:t>
      </w:r>
      <w:r>
        <w:rPr>
          <w:spacing w:val="-5"/>
          <w:sz w:val="18"/>
          <w:szCs w:val="18"/>
          <w:lang w:val="es-ES_tradnl"/>
        </w:rPr>
        <w:t xml:space="preserve">gica y comprensibilidad. </w:t>
      </w:r>
      <w:r>
        <w:rPr>
          <w:spacing w:val="-2"/>
          <w:sz w:val="18"/>
          <w:szCs w:val="18"/>
          <w:lang w:val="es-ES_tradnl"/>
        </w:rPr>
        <w:t>As</w:t>
      </w:r>
      <w:r>
        <w:rPr>
          <w:rFonts w:cs="Times New Roman"/>
          <w:spacing w:val="-2"/>
          <w:sz w:val="18"/>
          <w:szCs w:val="18"/>
          <w:lang w:val="es-ES_tradnl"/>
        </w:rPr>
        <w:t>í</w:t>
      </w:r>
      <w:r>
        <w:rPr>
          <w:spacing w:val="-2"/>
          <w:sz w:val="18"/>
          <w:szCs w:val="18"/>
          <w:lang w:val="es-ES_tradnl"/>
        </w:rPr>
        <w:t>, en sentencia N.</w:t>
      </w:r>
      <w:r>
        <w:rPr>
          <w:rFonts w:cs="Times New Roman"/>
          <w:spacing w:val="-2"/>
          <w:sz w:val="18"/>
          <w:szCs w:val="18"/>
          <w:lang w:val="es-ES_tradnl"/>
        </w:rPr>
        <w:t>º</w:t>
      </w:r>
      <w:r>
        <w:rPr>
          <w:spacing w:val="-2"/>
          <w:sz w:val="18"/>
          <w:szCs w:val="18"/>
          <w:lang w:val="es-ES_tradnl"/>
        </w:rPr>
        <w:t xml:space="preserve"> 056-15-SEP-CC dentro del caso </w:t>
      </w:r>
      <w:r>
        <w:rPr>
          <w:spacing w:val="-5"/>
          <w:sz w:val="18"/>
          <w:szCs w:val="18"/>
          <w:lang w:val="es-ES_tradnl"/>
        </w:rPr>
        <w:t>N.</w:t>
      </w:r>
      <w:r>
        <w:rPr>
          <w:rFonts w:cs="Times New Roman"/>
          <w:spacing w:val="-5"/>
          <w:sz w:val="18"/>
          <w:szCs w:val="18"/>
          <w:lang w:val="es-ES_tradnl"/>
        </w:rPr>
        <w:t>º</w:t>
      </w:r>
      <w:r>
        <w:rPr>
          <w:spacing w:val="-5"/>
          <w:sz w:val="18"/>
          <w:szCs w:val="18"/>
          <w:lang w:val="es-ES_tradnl"/>
        </w:rPr>
        <w:t xml:space="preserve"> 0378-11-EP, expedida el 04 de marzo de 2015, esta </w:t>
      </w:r>
      <w:r>
        <w:rPr>
          <w:sz w:val="18"/>
          <w:szCs w:val="18"/>
          <w:lang w:val="es-ES_tradnl"/>
        </w:rPr>
        <w:t>Magistratura Constitucional, precis</w:t>
      </w:r>
      <w:r>
        <w:rPr>
          <w:rFonts w:cs="Times New Roman"/>
          <w:sz w:val="18"/>
          <w:szCs w:val="18"/>
          <w:lang w:val="es-ES_tradnl"/>
        </w:rPr>
        <w:t>ó</w:t>
      </w:r>
      <w:r>
        <w:rPr>
          <w:sz w:val="18"/>
          <w:szCs w:val="18"/>
          <w:lang w:val="es-ES_tradnl"/>
        </w:rPr>
        <w:t>:</w:t>
      </w:r>
    </w:p>
    <w:p w14:paraId="4F67BBEC" w14:textId="77777777" w:rsidR="00591D54" w:rsidRDefault="00591D54">
      <w:pPr>
        <w:shd w:val="clear" w:color="auto" w:fill="FFFFFF"/>
        <w:spacing w:before="202" w:line="211" w:lineRule="exact"/>
        <w:ind w:left="283"/>
        <w:jc w:val="both"/>
      </w:pPr>
      <w:r>
        <w:rPr>
          <w:sz w:val="14"/>
          <w:szCs w:val="14"/>
          <w:lang w:val="es-ES_tradnl"/>
        </w:rPr>
        <w:t>Una decisi</w:t>
      </w:r>
      <w:r>
        <w:rPr>
          <w:rFonts w:cs="Times New Roman"/>
          <w:sz w:val="14"/>
          <w:szCs w:val="14"/>
          <w:lang w:val="es-ES_tradnl"/>
        </w:rPr>
        <w:t>ó</w:t>
      </w:r>
      <w:r>
        <w:rPr>
          <w:sz w:val="14"/>
          <w:szCs w:val="14"/>
          <w:lang w:val="es-ES_tradnl"/>
        </w:rPr>
        <w:t xml:space="preserve">n </w:t>
      </w:r>
      <w:r>
        <w:rPr>
          <w:b/>
          <w:bCs/>
          <w:sz w:val="14"/>
          <w:szCs w:val="14"/>
          <w:lang w:val="es-ES_tradnl"/>
        </w:rPr>
        <w:t xml:space="preserve">razonable </w:t>
      </w:r>
      <w:r>
        <w:rPr>
          <w:sz w:val="14"/>
          <w:szCs w:val="14"/>
          <w:lang w:val="es-ES_tradnl"/>
        </w:rPr>
        <w:t>est</w:t>
      </w:r>
      <w:r>
        <w:rPr>
          <w:rFonts w:cs="Times New Roman"/>
          <w:sz w:val="14"/>
          <w:szCs w:val="14"/>
          <w:lang w:val="es-ES_tradnl"/>
        </w:rPr>
        <w:t>á</w:t>
      </w:r>
      <w:r>
        <w:rPr>
          <w:sz w:val="14"/>
          <w:szCs w:val="14"/>
          <w:lang w:val="es-ES_tradnl"/>
        </w:rPr>
        <w:t xml:space="preserve"> fundamentada en los principios constitucionales y normativa relacionada al caso en concreto. La decisi</w:t>
      </w:r>
      <w:r>
        <w:rPr>
          <w:rFonts w:cs="Times New Roman"/>
          <w:sz w:val="14"/>
          <w:szCs w:val="14"/>
          <w:lang w:val="es-ES_tradnl"/>
        </w:rPr>
        <w:t>ó</w:t>
      </w:r>
      <w:r>
        <w:rPr>
          <w:sz w:val="14"/>
          <w:szCs w:val="14"/>
          <w:lang w:val="es-ES_tradnl"/>
        </w:rPr>
        <w:t xml:space="preserve">n </w:t>
      </w:r>
      <w:r>
        <w:rPr>
          <w:b/>
          <w:bCs/>
          <w:sz w:val="14"/>
          <w:szCs w:val="14"/>
          <w:lang w:val="es-ES_tradnl"/>
        </w:rPr>
        <w:t>l</w:t>
      </w:r>
      <w:r>
        <w:rPr>
          <w:rFonts w:cs="Times New Roman"/>
          <w:b/>
          <w:bCs/>
          <w:sz w:val="14"/>
          <w:szCs w:val="14"/>
          <w:lang w:val="es-ES_tradnl"/>
        </w:rPr>
        <w:t>ó</w:t>
      </w:r>
      <w:r>
        <w:rPr>
          <w:b/>
          <w:bCs/>
          <w:sz w:val="14"/>
          <w:szCs w:val="14"/>
          <w:lang w:val="es-ES_tradnl"/>
        </w:rPr>
        <w:t xml:space="preserve">gica </w:t>
      </w:r>
      <w:r>
        <w:rPr>
          <w:sz w:val="14"/>
          <w:szCs w:val="14"/>
          <w:lang w:val="es-ES_tradnl"/>
        </w:rPr>
        <w:t>tiene relaci</w:t>
      </w:r>
      <w:r>
        <w:rPr>
          <w:rFonts w:cs="Times New Roman"/>
          <w:sz w:val="14"/>
          <w:szCs w:val="14"/>
          <w:lang w:val="es-ES_tradnl"/>
        </w:rPr>
        <w:t>ó</w:t>
      </w:r>
      <w:r>
        <w:rPr>
          <w:sz w:val="14"/>
          <w:szCs w:val="14"/>
          <w:lang w:val="es-ES_tradnl"/>
        </w:rPr>
        <w:t>n con la coherencia entre las premisas y la conclusi</w:t>
      </w:r>
      <w:r>
        <w:rPr>
          <w:rFonts w:cs="Times New Roman"/>
          <w:sz w:val="14"/>
          <w:szCs w:val="14"/>
          <w:lang w:val="es-ES_tradnl"/>
        </w:rPr>
        <w:t>ó</w:t>
      </w:r>
      <w:r>
        <w:rPr>
          <w:sz w:val="14"/>
          <w:szCs w:val="14"/>
          <w:lang w:val="es-ES_tradnl"/>
        </w:rPr>
        <w:t>n, as</w:t>
      </w:r>
      <w:r>
        <w:rPr>
          <w:rFonts w:cs="Times New Roman"/>
          <w:sz w:val="14"/>
          <w:szCs w:val="14"/>
          <w:lang w:val="es-ES_tradnl"/>
        </w:rPr>
        <w:t>í</w:t>
      </w:r>
      <w:r>
        <w:rPr>
          <w:sz w:val="14"/>
          <w:szCs w:val="14"/>
          <w:lang w:val="es-ES_tradnl"/>
        </w:rPr>
        <w:t xml:space="preserve"> como entre esta y la decisi</w:t>
      </w:r>
      <w:r>
        <w:rPr>
          <w:rFonts w:cs="Times New Roman"/>
          <w:sz w:val="14"/>
          <w:szCs w:val="14"/>
          <w:lang w:val="es-ES_tradnl"/>
        </w:rPr>
        <w:t>ó</w:t>
      </w:r>
      <w:r>
        <w:rPr>
          <w:sz w:val="14"/>
          <w:szCs w:val="14"/>
          <w:lang w:val="es-ES_tradnl"/>
        </w:rPr>
        <w:t>n. Una decisi</w:t>
      </w:r>
      <w:r>
        <w:rPr>
          <w:rFonts w:cs="Times New Roman"/>
          <w:sz w:val="14"/>
          <w:szCs w:val="14"/>
          <w:lang w:val="es-ES_tradnl"/>
        </w:rPr>
        <w:t>ó</w:t>
      </w:r>
      <w:r>
        <w:rPr>
          <w:sz w:val="14"/>
          <w:szCs w:val="14"/>
          <w:lang w:val="es-ES_tradnl"/>
        </w:rPr>
        <w:t xml:space="preserve">n </w:t>
      </w:r>
      <w:r>
        <w:rPr>
          <w:b/>
          <w:bCs/>
          <w:sz w:val="14"/>
          <w:szCs w:val="14"/>
          <w:lang w:val="es-ES_tradnl"/>
        </w:rPr>
        <w:t xml:space="preserve">comprensible </w:t>
      </w:r>
      <w:r>
        <w:rPr>
          <w:sz w:val="14"/>
          <w:szCs w:val="14"/>
          <w:lang w:val="es-ES_tradnl"/>
        </w:rPr>
        <w:t>debe tener claridad en el lenguaje, para que sea entendida por el auditorio social, m</w:t>
      </w:r>
      <w:r>
        <w:rPr>
          <w:rFonts w:cs="Times New Roman"/>
          <w:sz w:val="14"/>
          <w:szCs w:val="14"/>
          <w:lang w:val="es-ES_tradnl"/>
        </w:rPr>
        <w:t>á</w:t>
      </w:r>
      <w:r>
        <w:rPr>
          <w:sz w:val="14"/>
          <w:szCs w:val="14"/>
          <w:lang w:val="es-ES_tradnl"/>
        </w:rPr>
        <w:t>s all</w:t>
      </w:r>
      <w:r>
        <w:rPr>
          <w:rFonts w:cs="Times New Roman"/>
          <w:sz w:val="14"/>
          <w:szCs w:val="14"/>
          <w:lang w:val="es-ES_tradnl"/>
        </w:rPr>
        <w:t>á</w:t>
      </w:r>
      <w:r>
        <w:rPr>
          <w:sz w:val="14"/>
          <w:szCs w:val="14"/>
          <w:lang w:val="es-ES_tradnl"/>
        </w:rPr>
        <w:t xml:space="preserve"> de las partes procesales</w:t>
      </w:r>
      <w:r>
        <w:rPr>
          <w:sz w:val="14"/>
          <w:szCs w:val="14"/>
          <w:vertAlign w:val="superscript"/>
          <w:lang w:val="es-ES_tradnl"/>
        </w:rPr>
        <w:t>7</w:t>
      </w:r>
      <w:r>
        <w:rPr>
          <w:sz w:val="14"/>
          <w:szCs w:val="14"/>
          <w:lang w:val="es-ES_tradnl"/>
        </w:rPr>
        <w:t>.</w:t>
      </w:r>
    </w:p>
    <w:p w14:paraId="4F67BBED" w14:textId="77777777" w:rsidR="00591D54" w:rsidRDefault="00591D54">
      <w:pPr>
        <w:shd w:val="clear" w:color="auto" w:fill="FFFFFF"/>
        <w:spacing w:before="197" w:line="216" w:lineRule="exact"/>
        <w:jc w:val="both"/>
      </w:pPr>
      <w:r>
        <w:rPr>
          <w:spacing w:val="-8"/>
          <w:sz w:val="18"/>
          <w:szCs w:val="18"/>
          <w:lang w:val="es-ES_tradnl"/>
        </w:rPr>
        <w:t>En atenci</w:t>
      </w:r>
      <w:r>
        <w:rPr>
          <w:rFonts w:cs="Times New Roman"/>
          <w:spacing w:val="-8"/>
          <w:sz w:val="18"/>
          <w:szCs w:val="18"/>
          <w:lang w:val="es-ES_tradnl"/>
        </w:rPr>
        <w:t>ó</w:t>
      </w:r>
      <w:r>
        <w:rPr>
          <w:spacing w:val="-8"/>
          <w:sz w:val="18"/>
          <w:szCs w:val="18"/>
          <w:lang w:val="es-ES_tradnl"/>
        </w:rPr>
        <w:t>n al test de motivaci</w:t>
      </w:r>
      <w:r>
        <w:rPr>
          <w:rFonts w:cs="Times New Roman"/>
          <w:spacing w:val="-8"/>
          <w:sz w:val="18"/>
          <w:szCs w:val="18"/>
          <w:lang w:val="es-ES_tradnl"/>
        </w:rPr>
        <w:t>ó</w:t>
      </w:r>
      <w:r>
        <w:rPr>
          <w:spacing w:val="-8"/>
          <w:sz w:val="18"/>
          <w:szCs w:val="18"/>
          <w:lang w:val="es-ES_tradnl"/>
        </w:rPr>
        <w:t xml:space="preserve">n, esta Corte Constitucional </w:t>
      </w:r>
      <w:r>
        <w:rPr>
          <w:spacing w:val="-4"/>
          <w:sz w:val="18"/>
          <w:szCs w:val="18"/>
          <w:lang w:val="es-ES_tradnl"/>
        </w:rPr>
        <w:t>examinar</w:t>
      </w:r>
      <w:r>
        <w:rPr>
          <w:rFonts w:cs="Times New Roman"/>
          <w:spacing w:val="-4"/>
          <w:sz w:val="18"/>
          <w:szCs w:val="18"/>
          <w:lang w:val="es-ES_tradnl"/>
        </w:rPr>
        <w:t>á</w:t>
      </w:r>
      <w:r>
        <w:rPr>
          <w:spacing w:val="-4"/>
          <w:sz w:val="18"/>
          <w:szCs w:val="18"/>
          <w:lang w:val="es-ES_tradnl"/>
        </w:rPr>
        <w:t xml:space="preserve"> la sentencia emitida el 16 de abril de 2012 a </w:t>
      </w:r>
      <w:r>
        <w:rPr>
          <w:spacing w:val="-7"/>
          <w:sz w:val="18"/>
          <w:szCs w:val="18"/>
          <w:lang w:val="es-ES_tradnl"/>
        </w:rPr>
        <w:t>las 14h26, por los jueces del Tercer Tribunal de Garant</w:t>
      </w:r>
      <w:r>
        <w:rPr>
          <w:rFonts w:cs="Times New Roman"/>
          <w:spacing w:val="-7"/>
          <w:sz w:val="18"/>
          <w:szCs w:val="18"/>
          <w:lang w:val="es-ES_tradnl"/>
        </w:rPr>
        <w:t>í</w:t>
      </w:r>
      <w:r>
        <w:rPr>
          <w:spacing w:val="-7"/>
          <w:sz w:val="18"/>
          <w:szCs w:val="18"/>
          <w:lang w:val="es-ES_tradnl"/>
        </w:rPr>
        <w:t>as Penales de Pichincha, a fin de determinar si cumpli</w:t>
      </w:r>
      <w:r>
        <w:rPr>
          <w:rFonts w:cs="Times New Roman"/>
          <w:spacing w:val="-7"/>
          <w:sz w:val="18"/>
          <w:szCs w:val="18"/>
          <w:lang w:val="es-ES_tradnl"/>
        </w:rPr>
        <w:t>ó</w:t>
      </w:r>
      <w:r>
        <w:rPr>
          <w:spacing w:val="-7"/>
          <w:sz w:val="18"/>
          <w:szCs w:val="18"/>
          <w:lang w:val="es-ES_tradnl"/>
        </w:rPr>
        <w:t xml:space="preserve"> o no </w:t>
      </w:r>
      <w:r>
        <w:rPr>
          <w:sz w:val="18"/>
          <w:szCs w:val="18"/>
          <w:lang w:val="es-ES_tradnl"/>
        </w:rPr>
        <w:t>con los par</w:t>
      </w:r>
      <w:r>
        <w:rPr>
          <w:rFonts w:cs="Times New Roman"/>
          <w:sz w:val="18"/>
          <w:szCs w:val="18"/>
          <w:lang w:val="es-ES_tradnl"/>
        </w:rPr>
        <w:t>á</w:t>
      </w:r>
      <w:r>
        <w:rPr>
          <w:sz w:val="18"/>
          <w:szCs w:val="18"/>
          <w:lang w:val="es-ES_tradnl"/>
        </w:rPr>
        <w:t>metros mencionados.</w:t>
      </w:r>
    </w:p>
    <w:p w14:paraId="4F67BBEE" w14:textId="77777777" w:rsidR="00591D54" w:rsidRDefault="00591D54">
      <w:pPr>
        <w:shd w:val="clear" w:color="auto" w:fill="FFFFFF"/>
        <w:spacing w:before="192" w:line="216" w:lineRule="exact"/>
        <w:jc w:val="both"/>
      </w:pPr>
      <w:r>
        <w:rPr>
          <w:spacing w:val="-9"/>
          <w:sz w:val="18"/>
          <w:szCs w:val="18"/>
          <w:lang w:val="es-ES_tradnl"/>
        </w:rPr>
        <w:t xml:space="preserve">En cuanto a la </w:t>
      </w:r>
      <w:r>
        <w:rPr>
          <w:b/>
          <w:bCs/>
          <w:spacing w:val="-9"/>
          <w:sz w:val="18"/>
          <w:szCs w:val="18"/>
          <w:lang w:val="es-ES_tradnl"/>
        </w:rPr>
        <w:t xml:space="preserve">razonabilidad, </w:t>
      </w:r>
      <w:r>
        <w:rPr>
          <w:spacing w:val="-9"/>
          <w:sz w:val="18"/>
          <w:szCs w:val="18"/>
          <w:lang w:val="es-ES_tradnl"/>
        </w:rPr>
        <w:t xml:space="preserve">consiste en que la sentencia, </w:t>
      </w:r>
      <w:r>
        <w:rPr>
          <w:spacing w:val="-6"/>
          <w:sz w:val="18"/>
          <w:szCs w:val="18"/>
          <w:lang w:val="es-ES_tradnl"/>
        </w:rPr>
        <w:t>auto o resoluci</w:t>
      </w:r>
      <w:r>
        <w:rPr>
          <w:rFonts w:cs="Times New Roman"/>
          <w:spacing w:val="-6"/>
          <w:sz w:val="18"/>
          <w:szCs w:val="18"/>
          <w:lang w:val="es-ES_tradnl"/>
        </w:rPr>
        <w:t>ó</w:t>
      </w:r>
      <w:r>
        <w:rPr>
          <w:spacing w:val="-6"/>
          <w:sz w:val="18"/>
          <w:szCs w:val="18"/>
          <w:lang w:val="es-ES_tradnl"/>
        </w:rPr>
        <w:t>n debe ser expedida en armon</w:t>
      </w:r>
      <w:r>
        <w:rPr>
          <w:rFonts w:cs="Times New Roman"/>
          <w:spacing w:val="-6"/>
          <w:sz w:val="18"/>
          <w:szCs w:val="18"/>
          <w:lang w:val="es-ES_tradnl"/>
        </w:rPr>
        <w:t>í</w:t>
      </w:r>
      <w:r>
        <w:rPr>
          <w:spacing w:val="-6"/>
          <w:sz w:val="18"/>
          <w:szCs w:val="18"/>
          <w:lang w:val="es-ES_tradnl"/>
        </w:rPr>
        <w:t xml:space="preserve">a a los </w:t>
      </w:r>
      <w:r>
        <w:rPr>
          <w:spacing w:val="-3"/>
          <w:sz w:val="18"/>
          <w:szCs w:val="18"/>
          <w:lang w:val="es-ES_tradnl"/>
        </w:rPr>
        <w:t xml:space="preserve">preceptos constitucionales, legales o jurisprudenciales </w:t>
      </w:r>
      <w:r>
        <w:rPr>
          <w:sz w:val="18"/>
          <w:szCs w:val="18"/>
          <w:lang w:val="es-ES_tradnl"/>
        </w:rPr>
        <w:t>que integran nuestro ordenamiento jur</w:t>
      </w:r>
      <w:r>
        <w:rPr>
          <w:rFonts w:cs="Times New Roman"/>
          <w:sz w:val="18"/>
          <w:szCs w:val="18"/>
          <w:lang w:val="es-ES_tradnl"/>
        </w:rPr>
        <w:t>í</w:t>
      </w:r>
      <w:r>
        <w:rPr>
          <w:sz w:val="18"/>
          <w:szCs w:val="18"/>
          <w:lang w:val="es-ES_tradnl"/>
        </w:rPr>
        <w:t xml:space="preserve">dico y que </w:t>
      </w:r>
      <w:r>
        <w:rPr>
          <w:spacing w:val="-6"/>
          <w:sz w:val="18"/>
          <w:szCs w:val="18"/>
          <w:lang w:val="es-ES_tradnl"/>
        </w:rPr>
        <w:t xml:space="preserve">sean pertinentes al caso puesto a conocimiento de los </w:t>
      </w:r>
      <w:r>
        <w:rPr>
          <w:spacing w:val="-5"/>
          <w:sz w:val="18"/>
          <w:szCs w:val="18"/>
          <w:lang w:val="es-ES_tradnl"/>
        </w:rPr>
        <w:t>administradores de justicia, es decir, que la decisi</w:t>
      </w:r>
      <w:r>
        <w:rPr>
          <w:rFonts w:cs="Times New Roman"/>
          <w:spacing w:val="-5"/>
          <w:sz w:val="18"/>
          <w:szCs w:val="18"/>
          <w:lang w:val="es-ES_tradnl"/>
        </w:rPr>
        <w:t>ó</w:t>
      </w:r>
      <w:r>
        <w:rPr>
          <w:spacing w:val="-5"/>
          <w:sz w:val="18"/>
          <w:szCs w:val="18"/>
          <w:lang w:val="es-ES_tradnl"/>
        </w:rPr>
        <w:t xml:space="preserve">n se </w:t>
      </w:r>
      <w:r>
        <w:rPr>
          <w:spacing w:val="-7"/>
          <w:sz w:val="18"/>
          <w:szCs w:val="18"/>
          <w:lang w:val="es-ES_tradnl"/>
        </w:rPr>
        <w:t xml:space="preserve">encuentre fundamentada en disposiciones que guarden </w:t>
      </w:r>
      <w:r>
        <w:rPr>
          <w:sz w:val="18"/>
          <w:szCs w:val="18"/>
          <w:lang w:val="es-ES_tradnl"/>
        </w:rPr>
        <w:t>relaci</w:t>
      </w:r>
      <w:r>
        <w:rPr>
          <w:rFonts w:cs="Times New Roman"/>
          <w:sz w:val="18"/>
          <w:szCs w:val="18"/>
          <w:lang w:val="es-ES_tradnl"/>
        </w:rPr>
        <w:t>ó</w:t>
      </w:r>
      <w:r>
        <w:rPr>
          <w:sz w:val="18"/>
          <w:szCs w:val="18"/>
          <w:lang w:val="es-ES_tradnl"/>
        </w:rPr>
        <w:t xml:space="preserve">n con la naturaleza del </w:t>
      </w:r>
      <w:r>
        <w:rPr>
          <w:i/>
          <w:iCs/>
          <w:sz w:val="18"/>
          <w:szCs w:val="18"/>
          <w:lang w:val="es-ES_tradnl"/>
        </w:rPr>
        <w:t>thema decidendum</w:t>
      </w:r>
      <w:r>
        <w:rPr>
          <w:sz w:val="18"/>
          <w:szCs w:val="18"/>
          <w:lang w:val="es-ES_tradnl"/>
        </w:rPr>
        <w:t xml:space="preserve">, en la especie del procedimiento abreviado. Asimismo, </w:t>
      </w:r>
      <w:r>
        <w:rPr>
          <w:spacing w:val="-6"/>
          <w:sz w:val="18"/>
          <w:szCs w:val="18"/>
          <w:lang w:val="es-ES_tradnl"/>
        </w:rPr>
        <w:t>implica que en su argumentaci</w:t>
      </w:r>
      <w:r>
        <w:rPr>
          <w:rFonts w:cs="Times New Roman"/>
          <w:spacing w:val="-6"/>
          <w:sz w:val="18"/>
          <w:szCs w:val="18"/>
          <w:lang w:val="es-ES_tradnl"/>
        </w:rPr>
        <w:t>ó</w:t>
      </w:r>
      <w:r>
        <w:rPr>
          <w:spacing w:val="-6"/>
          <w:sz w:val="18"/>
          <w:szCs w:val="18"/>
          <w:lang w:val="es-ES_tradnl"/>
        </w:rPr>
        <w:t xml:space="preserve">n no se desprendan </w:t>
      </w:r>
      <w:r>
        <w:rPr>
          <w:spacing w:val="-3"/>
          <w:sz w:val="18"/>
          <w:szCs w:val="18"/>
          <w:lang w:val="es-ES_tradnl"/>
        </w:rPr>
        <w:t xml:space="preserve">contradicciones a las normativas que regulan el objeto </w:t>
      </w:r>
      <w:r>
        <w:rPr>
          <w:spacing w:val="-9"/>
          <w:sz w:val="18"/>
          <w:szCs w:val="18"/>
          <w:lang w:val="es-ES_tradnl"/>
        </w:rPr>
        <w:t xml:space="preserve">del proceso. De esta manera, en el caso </w:t>
      </w:r>
      <w:r>
        <w:rPr>
          <w:i/>
          <w:iCs/>
          <w:spacing w:val="-9"/>
          <w:sz w:val="18"/>
          <w:szCs w:val="18"/>
          <w:lang w:val="es-ES_tradnl"/>
        </w:rPr>
        <w:t>sub examine</w:t>
      </w:r>
      <w:r>
        <w:rPr>
          <w:spacing w:val="-9"/>
          <w:sz w:val="18"/>
          <w:szCs w:val="18"/>
          <w:lang w:val="es-ES_tradnl"/>
        </w:rPr>
        <w:t xml:space="preserve">, este </w:t>
      </w:r>
      <w:r>
        <w:rPr>
          <w:spacing w:val="-6"/>
          <w:sz w:val="18"/>
          <w:szCs w:val="18"/>
          <w:lang w:val="es-ES_tradnl"/>
        </w:rPr>
        <w:t xml:space="preserve">Organismo observa que el fallo objeto de examen consta </w:t>
      </w:r>
      <w:r>
        <w:rPr>
          <w:spacing w:val="-7"/>
          <w:sz w:val="18"/>
          <w:szCs w:val="18"/>
          <w:lang w:val="es-ES_tradnl"/>
        </w:rPr>
        <w:t>de cinco considerandos</w:t>
      </w:r>
      <w:r>
        <w:rPr>
          <w:i/>
          <w:iCs/>
          <w:spacing w:val="-7"/>
          <w:sz w:val="18"/>
          <w:szCs w:val="18"/>
          <w:lang w:val="es-ES_tradnl"/>
        </w:rPr>
        <w:t xml:space="preserve">, </w:t>
      </w:r>
      <w:r>
        <w:rPr>
          <w:spacing w:val="-7"/>
          <w:sz w:val="18"/>
          <w:szCs w:val="18"/>
          <w:lang w:val="es-ES_tradnl"/>
        </w:rPr>
        <w:t xml:space="preserve">cuyos contenidos se encuentran </w:t>
      </w:r>
      <w:r>
        <w:rPr>
          <w:sz w:val="18"/>
          <w:szCs w:val="18"/>
          <w:lang w:val="es-ES_tradnl"/>
        </w:rPr>
        <w:t>organizados de la siguiente manera:</w:t>
      </w:r>
    </w:p>
    <w:p w14:paraId="4F67BBEF" w14:textId="77777777" w:rsidR="00591D54" w:rsidRDefault="00591D54">
      <w:pPr>
        <w:shd w:val="clear" w:color="auto" w:fill="FFFFFF"/>
        <w:spacing w:before="192" w:line="216" w:lineRule="exact"/>
        <w:jc w:val="both"/>
      </w:pPr>
      <w:r>
        <w:rPr>
          <w:spacing w:val="-5"/>
          <w:sz w:val="18"/>
          <w:szCs w:val="18"/>
          <w:lang w:val="es-ES_tradnl"/>
        </w:rPr>
        <w:t>En primer lugar, como pre</w:t>
      </w:r>
      <w:r>
        <w:rPr>
          <w:rFonts w:cs="Times New Roman"/>
          <w:spacing w:val="-5"/>
          <w:sz w:val="18"/>
          <w:szCs w:val="18"/>
          <w:lang w:val="es-ES_tradnl"/>
        </w:rPr>
        <w:t>á</w:t>
      </w:r>
      <w:r>
        <w:rPr>
          <w:spacing w:val="-5"/>
          <w:sz w:val="18"/>
          <w:szCs w:val="18"/>
          <w:lang w:val="es-ES_tradnl"/>
        </w:rPr>
        <w:t>mbulo los jueces del Tercer Tribunal de Garant</w:t>
      </w:r>
      <w:r>
        <w:rPr>
          <w:rFonts w:cs="Times New Roman"/>
          <w:spacing w:val="-5"/>
          <w:sz w:val="18"/>
          <w:szCs w:val="18"/>
          <w:lang w:val="es-ES_tradnl"/>
        </w:rPr>
        <w:t>í</w:t>
      </w:r>
      <w:r>
        <w:rPr>
          <w:spacing w:val="-5"/>
          <w:sz w:val="18"/>
          <w:szCs w:val="18"/>
          <w:lang w:val="es-ES_tradnl"/>
        </w:rPr>
        <w:t xml:space="preserve">as Penales de Pichincha establecen </w:t>
      </w:r>
      <w:r>
        <w:rPr>
          <w:spacing w:val="-8"/>
          <w:sz w:val="18"/>
          <w:szCs w:val="18"/>
          <w:lang w:val="es-ES_tradnl"/>
        </w:rPr>
        <w:t xml:space="preserve">los antecedentes de la causa. En el considerando primero, </w:t>
      </w:r>
      <w:r>
        <w:rPr>
          <w:spacing w:val="-4"/>
          <w:sz w:val="18"/>
          <w:szCs w:val="18"/>
          <w:lang w:val="es-ES_tradnl"/>
        </w:rPr>
        <w:t xml:space="preserve">consta la declaratoria de la validez procesal. En el considerando segundo, dan a conocer su competencia </w:t>
      </w:r>
      <w:r>
        <w:rPr>
          <w:spacing w:val="-3"/>
          <w:sz w:val="18"/>
          <w:szCs w:val="18"/>
          <w:lang w:val="es-ES_tradnl"/>
        </w:rPr>
        <w:t>por as</w:t>
      </w:r>
      <w:r>
        <w:rPr>
          <w:rFonts w:cs="Times New Roman"/>
          <w:spacing w:val="-3"/>
          <w:sz w:val="18"/>
          <w:szCs w:val="18"/>
          <w:lang w:val="es-ES_tradnl"/>
        </w:rPr>
        <w:t>í</w:t>
      </w:r>
      <w:r>
        <w:rPr>
          <w:spacing w:val="-3"/>
          <w:sz w:val="18"/>
          <w:szCs w:val="18"/>
          <w:lang w:val="es-ES_tradnl"/>
        </w:rPr>
        <w:t xml:space="preserve"> disponerlo el art</w:t>
      </w:r>
      <w:r>
        <w:rPr>
          <w:rFonts w:cs="Times New Roman"/>
          <w:spacing w:val="-3"/>
          <w:sz w:val="18"/>
          <w:szCs w:val="18"/>
          <w:lang w:val="es-ES_tradnl"/>
        </w:rPr>
        <w:t>í</w:t>
      </w:r>
      <w:r>
        <w:rPr>
          <w:spacing w:val="-3"/>
          <w:sz w:val="18"/>
          <w:szCs w:val="18"/>
          <w:lang w:val="es-ES_tradnl"/>
        </w:rPr>
        <w:t>culo 221 numeral 2 del C</w:t>
      </w:r>
      <w:r>
        <w:rPr>
          <w:rFonts w:cs="Times New Roman"/>
          <w:spacing w:val="-3"/>
          <w:sz w:val="18"/>
          <w:szCs w:val="18"/>
          <w:lang w:val="es-ES_tradnl"/>
        </w:rPr>
        <w:t>ó</w:t>
      </w:r>
      <w:r>
        <w:rPr>
          <w:spacing w:val="-3"/>
          <w:sz w:val="18"/>
          <w:szCs w:val="18"/>
          <w:lang w:val="es-ES_tradnl"/>
        </w:rPr>
        <w:t xml:space="preserve">digo </w:t>
      </w:r>
      <w:r>
        <w:rPr>
          <w:sz w:val="18"/>
          <w:szCs w:val="18"/>
          <w:lang w:val="es-ES_tradnl"/>
        </w:rPr>
        <w:t>Org</w:t>
      </w:r>
      <w:r>
        <w:rPr>
          <w:rFonts w:cs="Times New Roman"/>
          <w:sz w:val="18"/>
          <w:szCs w:val="18"/>
          <w:lang w:val="es-ES_tradnl"/>
        </w:rPr>
        <w:t>á</w:t>
      </w:r>
      <w:r>
        <w:rPr>
          <w:sz w:val="18"/>
          <w:szCs w:val="18"/>
          <w:lang w:val="es-ES_tradnl"/>
        </w:rPr>
        <w:t>nico de la Funci</w:t>
      </w:r>
      <w:r>
        <w:rPr>
          <w:rFonts w:cs="Times New Roman"/>
          <w:sz w:val="18"/>
          <w:szCs w:val="18"/>
          <w:lang w:val="es-ES_tradnl"/>
        </w:rPr>
        <w:t>ó</w:t>
      </w:r>
      <w:r>
        <w:rPr>
          <w:sz w:val="18"/>
          <w:szCs w:val="18"/>
          <w:lang w:val="es-ES_tradnl"/>
        </w:rPr>
        <w:t>n Judicial en concordancia con los art</w:t>
      </w:r>
      <w:r>
        <w:rPr>
          <w:rFonts w:cs="Times New Roman"/>
          <w:sz w:val="18"/>
          <w:szCs w:val="18"/>
          <w:lang w:val="es-ES_tradnl"/>
        </w:rPr>
        <w:t>í</w:t>
      </w:r>
      <w:r>
        <w:rPr>
          <w:sz w:val="18"/>
          <w:szCs w:val="18"/>
          <w:lang w:val="es-ES_tradnl"/>
        </w:rPr>
        <w:t>culos 17 numeral 5; 28 numeral 2; 369 y 370</w:t>
      </w:r>
    </w:p>
    <w:p w14:paraId="4F67BBF0" w14:textId="77777777" w:rsidR="00591D54" w:rsidRDefault="00591D54">
      <w:pPr>
        <w:shd w:val="clear" w:color="auto" w:fill="FFFFFF"/>
        <w:spacing w:before="514" w:line="178" w:lineRule="exact"/>
        <w:ind w:left="139" w:hanging="139"/>
      </w:pPr>
      <w:r>
        <w:rPr>
          <w:sz w:val="14"/>
          <w:szCs w:val="14"/>
          <w:vertAlign w:val="superscript"/>
          <w:lang w:val="es-ES_tradnl"/>
        </w:rPr>
        <w:t>7</w:t>
      </w:r>
      <w:r>
        <w:rPr>
          <w:sz w:val="14"/>
          <w:szCs w:val="14"/>
          <w:lang w:val="es-ES_tradnl"/>
        </w:rPr>
        <w:t xml:space="preserve">  Corte Constitucional del Ecuador, Sentencia N.</w:t>
      </w:r>
      <w:r>
        <w:rPr>
          <w:rFonts w:cs="Times New Roman"/>
          <w:sz w:val="14"/>
          <w:szCs w:val="14"/>
          <w:lang w:val="es-ES_tradnl"/>
        </w:rPr>
        <w:t>°</w:t>
      </w:r>
      <w:r>
        <w:rPr>
          <w:sz w:val="14"/>
          <w:szCs w:val="14"/>
          <w:lang w:val="es-ES_tradnl"/>
        </w:rPr>
        <w:t xml:space="preserve"> 056-15-SEP-CC, Caso N.</w:t>
      </w:r>
      <w:r>
        <w:rPr>
          <w:rFonts w:cs="Times New Roman"/>
          <w:sz w:val="14"/>
          <w:szCs w:val="14"/>
          <w:lang w:val="es-ES_tradnl"/>
        </w:rPr>
        <w:t>°</w:t>
      </w:r>
      <w:r>
        <w:rPr>
          <w:sz w:val="14"/>
          <w:szCs w:val="14"/>
          <w:lang w:val="es-ES_tradnl"/>
        </w:rPr>
        <w:t xml:space="preserve"> 0378-11-EP, p. 10</w:t>
      </w:r>
    </w:p>
    <w:p w14:paraId="4F67BBF1" w14:textId="77777777" w:rsidR="00591D54" w:rsidRDefault="00591D54">
      <w:pPr>
        <w:shd w:val="clear" w:color="auto" w:fill="FFFFFF"/>
        <w:spacing w:line="216" w:lineRule="exact"/>
        <w:ind w:right="5"/>
        <w:jc w:val="both"/>
      </w:pPr>
      <w:r>
        <w:br w:type="column"/>
      </w:r>
      <w:r>
        <w:rPr>
          <w:spacing w:val="-5"/>
          <w:sz w:val="18"/>
          <w:szCs w:val="18"/>
          <w:lang w:val="es-ES_tradnl"/>
        </w:rPr>
        <w:t>del C</w:t>
      </w:r>
      <w:r>
        <w:rPr>
          <w:rFonts w:cs="Times New Roman"/>
          <w:spacing w:val="-5"/>
          <w:sz w:val="18"/>
          <w:szCs w:val="18"/>
          <w:lang w:val="es-ES_tradnl"/>
        </w:rPr>
        <w:t>ó</w:t>
      </w:r>
      <w:r>
        <w:rPr>
          <w:spacing w:val="-5"/>
          <w:sz w:val="18"/>
          <w:szCs w:val="18"/>
          <w:lang w:val="es-ES_tradnl"/>
        </w:rPr>
        <w:t xml:space="preserve">digo de Procedimiento Penal. En el considerando </w:t>
      </w:r>
      <w:r>
        <w:rPr>
          <w:spacing w:val="-6"/>
          <w:sz w:val="18"/>
          <w:szCs w:val="18"/>
          <w:lang w:val="es-ES_tradnl"/>
        </w:rPr>
        <w:t xml:space="preserve">tercero los operadores de justicia expresan que por la </w:t>
      </w:r>
      <w:r>
        <w:rPr>
          <w:spacing w:val="-5"/>
          <w:sz w:val="18"/>
          <w:szCs w:val="18"/>
          <w:lang w:val="es-ES_tradnl"/>
        </w:rPr>
        <w:t xml:space="preserve">naturaleza del procedimiento abreviado, establecen que </w:t>
      </w:r>
      <w:r>
        <w:rPr>
          <w:spacing w:val="-4"/>
          <w:sz w:val="18"/>
          <w:szCs w:val="18"/>
          <w:lang w:val="es-ES_tradnl"/>
        </w:rPr>
        <w:t>los elementos de convicci</w:t>
      </w:r>
      <w:r>
        <w:rPr>
          <w:rFonts w:cs="Times New Roman"/>
          <w:spacing w:val="-4"/>
          <w:sz w:val="18"/>
          <w:szCs w:val="18"/>
          <w:lang w:val="es-ES_tradnl"/>
        </w:rPr>
        <w:t>ó</w:t>
      </w:r>
      <w:r>
        <w:rPr>
          <w:spacing w:val="-4"/>
          <w:sz w:val="18"/>
          <w:szCs w:val="18"/>
          <w:lang w:val="es-ES_tradnl"/>
        </w:rPr>
        <w:t>n acopiados en la instrucci</w:t>
      </w:r>
      <w:r>
        <w:rPr>
          <w:rFonts w:cs="Times New Roman"/>
          <w:spacing w:val="-4"/>
          <w:sz w:val="18"/>
          <w:szCs w:val="18"/>
          <w:lang w:val="es-ES_tradnl"/>
        </w:rPr>
        <w:t>ó</w:t>
      </w:r>
      <w:r>
        <w:rPr>
          <w:spacing w:val="-4"/>
          <w:sz w:val="18"/>
          <w:szCs w:val="18"/>
          <w:lang w:val="es-ES_tradnl"/>
        </w:rPr>
        <w:t xml:space="preserve">n </w:t>
      </w:r>
      <w:r>
        <w:rPr>
          <w:spacing w:val="-9"/>
          <w:sz w:val="18"/>
          <w:szCs w:val="18"/>
          <w:lang w:val="es-ES_tradnl"/>
        </w:rPr>
        <w:t xml:space="preserve">fiscal, han alcanzado la calidad de prueba, por lo que dejan </w:t>
      </w:r>
      <w:r>
        <w:rPr>
          <w:sz w:val="18"/>
          <w:szCs w:val="18"/>
          <w:lang w:val="es-ES_tradnl"/>
        </w:rPr>
        <w:t>de ser controvertidos.</w:t>
      </w:r>
    </w:p>
    <w:p w14:paraId="4F67BBF2" w14:textId="77777777" w:rsidR="00591D54" w:rsidRDefault="00591D54">
      <w:pPr>
        <w:shd w:val="clear" w:color="auto" w:fill="FFFFFF"/>
        <w:spacing w:before="197" w:line="216" w:lineRule="exact"/>
        <w:jc w:val="both"/>
      </w:pPr>
      <w:r>
        <w:rPr>
          <w:spacing w:val="-6"/>
          <w:sz w:val="18"/>
          <w:szCs w:val="18"/>
          <w:lang w:val="es-ES_tradnl"/>
        </w:rPr>
        <w:t xml:space="preserve">En el considerando cuarto, le reconocen al acusado las </w:t>
      </w:r>
      <w:r>
        <w:rPr>
          <w:spacing w:val="-5"/>
          <w:sz w:val="18"/>
          <w:szCs w:val="18"/>
          <w:lang w:val="es-ES_tradnl"/>
        </w:rPr>
        <w:t xml:space="preserve">atenuantes de conformidad con los numerales 6 y 7 del </w:t>
      </w:r>
      <w:r>
        <w:rPr>
          <w:spacing w:val="-7"/>
          <w:sz w:val="18"/>
          <w:szCs w:val="18"/>
          <w:lang w:val="es-ES_tradnl"/>
        </w:rPr>
        <w:t>art</w:t>
      </w:r>
      <w:r>
        <w:rPr>
          <w:rFonts w:cs="Times New Roman"/>
          <w:spacing w:val="-7"/>
          <w:sz w:val="18"/>
          <w:szCs w:val="18"/>
          <w:lang w:val="es-ES_tradnl"/>
        </w:rPr>
        <w:t>í</w:t>
      </w:r>
      <w:r>
        <w:rPr>
          <w:spacing w:val="-7"/>
          <w:sz w:val="18"/>
          <w:szCs w:val="18"/>
          <w:lang w:val="es-ES_tradnl"/>
        </w:rPr>
        <w:t>culo 29 del C</w:t>
      </w:r>
      <w:r>
        <w:rPr>
          <w:rFonts w:cs="Times New Roman"/>
          <w:spacing w:val="-7"/>
          <w:sz w:val="18"/>
          <w:szCs w:val="18"/>
          <w:lang w:val="es-ES_tradnl"/>
        </w:rPr>
        <w:t>ó</w:t>
      </w:r>
      <w:r>
        <w:rPr>
          <w:spacing w:val="-7"/>
          <w:sz w:val="18"/>
          <w:szCs w:val="18"/>
          <w:lang w:val="es-ES_tradnl"/>
        </w:rPr>
        <w:t xml:space="preserve">digo Penal, a fin de modificarle la pena. </w:t>
      </w:r>
      <w:r>
        <w:rPr>
          <w:spacing w:val="-6"/>
          <w:sz w:val="18"/>
          <w:szCs w:val="18"/>
          <w:lang w:val="es-ES_tradnl"/>
        </w:rPr>
        <w:t xml:space="preserve">En el quinto considerando se encuentra la </w:t>
      </w:r>
      <w:r>
        <w:rPr>
          <w:i/>
          <w:iCs/>
          <w:spacing w:val="-6"/>
          <w:sz w:val="18"/>
          <w:szCs w:val="18"/>
          <w:lang w:val="es-ES_tradnl"/>
        </w:rPr>
        <w:t xml:space="preserve">ratio decidendi </w:t>
      </w:r>
      <w:r>
        <w:rPr>
          <w:spacing w:val="-5"/>
          <w:sz w:val="18"/>
          <w:szCs w:val="18"/>
          <w:lang w:val="es-ES_tradnl"/>
        </w:rPr>
        <w:t>del caso, donde est</w:t>
      </w:r>
      <w:r>
        <w:rPr>
          <w:rFonts w:cs="Times New Roman"/>
          <w:spacing w:val="-5"/>
          <w:sz w:val="18"/>
          <w:szCs w:val="18"/>
          <w:lang w:val="es-ES_tradnl"/>
        </w:rPr>
        <w:t>á</w:t>
      </w:r>
      <w:r>
        <w:rPr>
          <w:spacing w:val="-5"/>
          <w:sz w:val="18"/>
          <w:szCs w:val="18"/>
          <w:lang w:val="es-ES_tradnl"/>
        </w:rPr>
        <w:t xml:space="preserve"> la argumentaci</w:t>
      </w:r>
      <w:r>
        <w:rPr>
          <w:rFonts w:cs="Times New Roman"/>
          <w:spacing w:val="-5"/>
          <w:sz w:val="18"/>
          <w:szCs w:val="18"/>
          <w:lang w:val="es-ES_tradnl"/>
        </w:rPr>
        <w:t>ó</w:t>
      </w:r>
      <w:r>
        <w:rPr>
          <w:spacing w:val="-5"/>
          <w:sz w:val="18"/>
          <w:szCs w:val="18"/>
          <w:lang w:val="es-ES_tradnl"/>
        </w:rPr>
        <w:t xml:space="preserve">n de la causa y en </w:t>
      </w:r>
      <w:r>
        <w:rPr>
          <w:spacing w:val="-2"/>
          <w:sz w:val="18"/>
          <w:szCs w:val="18"/>
          <w:lang w:val="es-ES_tradnl"/>
        </w:rPr>
        <w:t xml:space="preserve">ella manifiestan lo siguiente: </w:t>
      </w:r>
      <w:r>
        <w:rPr>
          <w:b/>
          <w:bCs/>
          <w:spacing w:val="-2"/>
          <w:sz w:val="18"/>
          <w:szCs w:val="18"/>
          <w:lang w:val="es-ES_tradnl"/>
        </w:rPr>
        <w:t xml:space="preserve">a. </w:t>
      </w:r>
      <w:r>
        <w:rPr>
          <w:spacing w:val="-2"/>
          <w:sz w:val="18"/>
          <w:szCs w:val="18"/>
          <w:lang w:val="es-ES_tradnl"/>
        </w:rPr>
        <w:t xml:space="preserve">Que el proceso penal </w:t>
      </w:r>
      <w:r>
        <w:rPr>
          <w:spacing w:val="-4"/>
          <w:sz w:val="18"/>
          <w:szCs w:val="18"/>
          <w:lang w:val="es-ES_tradnl"/>
        </w:rPr>
        <w:t xml:space="preserve">fue sometido al procedimiento abreviado conforme lo </w:t>
      </w:r>
      <w:r>
        <w:rPr>
          <w:spacing w:val="-7"/>
          <w:sz w:val="18"/>
          <w:szCs w:val="18"/>
          <w:lang w:val="es-ES_tradnl"/>
        </w:rPr>
        <w:t xml:space="preserve">solicitado por el acusado. </w:t>
      </w:r>
      <w:r>
        <w:rPr>
          <w:b/>
          <w:bCs/>
          <w:spacing w:val="-7"/>
          <w:sz w:val="18"/>
          <w:szCs w:val="18"/>
          <w:lang w:val="es-ES_tradnl"/>
        </w:rPr>
        <w:t xml:space="preserve">b. </w:t>
      </w:r>
      <w:r>
        <w:rPr>
          <w:spacing w:val="-7"/>
          <w:sz w:val="18"/>
          <w:szCs w:val="18"/>
          <w:lang w:val="es-ES_tradnl"/>
        </w:rPr>
        <w:t xml:space="preserve">Que el procesado fue llamado </w:t>
      </w:r>
      <w:r>
        <w:rPr>
          <w:spacing w:val="-1"/>
          <w:sz w:val="18"/>
          <w:szCs w:val="18"/>
          <w:lang w:val="es-ES_tradnl"/>
        </w:rPr>
        <w:t xml:space="preserve">a juicio por el delito de estafa, tipificado y sancionado </w:t>
      </w:r>
      <w:r>
        <w:rPr>
          <w:spacing w:val="-5"/>
          <w:sz w:val="18"/>
          <w:szCs w:val="18"/>
          <w:lang w:val="es-ES_tradnl"/>
        </w:rPr>
        <w:t>en el art</w:t>
      </w:r>
      <w:r>
        <w:rPr>
          <w:rFonts w:cs="Times New Roman"/>
          <w:spacing w:val="-5"/>
          <w:sz w:val="18"/>
          <w:szCs w:val="18"/>
          <w:lang w:val="es-ES_tradnl"/>
        </w:rPr>
        <w:t>í</w:t>
      </w:r>
      <w:r>
        <w:rPr>
          <w:spacing w:val="-5"/>
          <w:sz w:val="18"/>
          <w:szCs w:val="18"/>
          <w:lang w:val="es-ES_tradnl"/>
        </w:rPr>
        <w:t>culo 563 del C</w:t>
      </w:r>
      <w:r>
        <w:rPr>
          <w:rFonts w:cs="Times New Roman"/>
          <w:spacing w:val="-5"/>
          <w:sz w:val="18"/>
          <w:szCs w:val="18"/>
          <w:lang w:val="es-ES_tradnl"/>
        </w:rPr>
        <w:t>ó</w:t>
      </w:r>
      <w:r>
        <w:rPr>
          <w:spacing w:val="-5"/>
          <w:sz w:val="18"/>
          <w:szCs w:val="18"/>
          <w:lang w:val="es-ES_tradnl"/>
        </w:rPr>
        <w:t xml:space="preserve">digo Penal. </w:t>
      </w:r>
      <w:r>
        <w:rPr>
          <w:b/>
          <w:bCs/>
          <w:spacing w:val="-5"/>
          <w:sz w:val="18"/>
          <w:szCs w:val="18"/>
          <w:lang w:val="es-ES_tradnl"/>
        </w:rPr>
        <w:t xml:space="preserve">c. </w:t>
      </w:r>
      <w:r>
        <w:rPr>
          <w:spacing w:val="-5"/>
          <w:sz w:val="18"/>
          <w:szCs w:val="18"/>
          <w:lang w:val="es-ES_tradnl"/>
        </w:rPr>
        <w:t xml:space="preserve">Los jueces del Tribunal se respaldan con doctrina nacional y extranjera, </w:t>
      </w:r>
      <w:r>
        <w:rPr>
          <w:sz w:val="18"/>
          <w:szCs w:val="18"/>
          <w:lang w:val="es-ES_tradnl"/>
        </w:rPr>
        <w:t xml:space="preserve">sobre el delito de estafa. </w:t>
      </w:r>
      <w:r>
        <w:rPr>
          <w:b/>
          <w:bCs/>
          <w:sz w:val="18"/>
          <w:szCs w:val="18"/>
          <w:lang w:val="es-ES_tradnl"/>
        </w:rPr>
        <w:t xml:space="preserve">d. </w:t>
      </w:r>
      <w:r>
        <w:rPr>
          <w:sz w:val="18"/>
          <w:szCs w:val="18"/>
          <w:lang w:val="es-ES_tradnl"/>
        </w:rPr>
        <w:t xml:space="preserve">Narran sobre el juicio </w:t>
      </w:r>
      <w:r>
        <w:rPr>
          <w:spacing w:val="-8"/>
          <w:sz w:val="18"/>
          <w:szCs w:val="18"/>
          <w:lang w:val="es-ES_tradnl"/>
        </w:rPr>
        <w:t>ejecutivo que tuvo el acusado con el se</w:t>
      </w:r>
      <w:r>
        <w:rPr>
          <w:rFonts w:cs="Times New Roman"/>
          <w:spacing w:val="-8"/>
          <w:sz w:val="18"/>
          <w:szCs w:val="18"/>
          <w:lang w:val="es-ES_tradnl"/>
        </w:rPr>
        <w:t>ñ</w:t>
      </w:r>
      <w:r>
        <w:rPr>
          <w:spacing w:val="-8"/>
          <w:sz w:val="18"/>
          <w:szCs w:val="18"/>
          <w:lang w:val="es-ES_tradnl"/>
        </w:rPr>
        <w:t>or Jorge Burbano, en el cual embargan y rematan el bien inmueble que hab</w:t>
      </w:r>
      <w:r>
        <w:rPr>
          <w:rFonts w:cs="Times New Roman"/>
          <w:spacing w:val="-8"/>
          <w:sz w:val="18"/>
          <w:szCs w:val="18"/>
          <w:lang w:val="es-ES_tradnl"/>
        </w:rPr>
        <w:t>í</w:t>
      </w:r>
      <w:r>
        <w:rPr>
          <w:spacing w:val="-8"/>
          <w:sz w:val="18"/>
          <w:szCs w:val="18"/>
          <w:lang w:val="es-ES_tradnl"/>
        </w:rPr>
        <w:t xml:space="preserve">a </w:t>
      </w:r>
      <w:r>
        <w:rPr>
          <w:sz w:val="18"/>
          <w:szCs w:val="18"/>
          <w:lang w:val="es-ES_tradnl"/>
        </w:rPr>
        <w:t>sido propiedad del se</w:t>
      </w:r>
      <w:r>
        <w:rPr>
          <w:rFonts w:cs="Times New Roman"/>
          <w:sz w:val="18"/>
          <w:szCs w:val="18"/>
          <w:lang w:val="es-ES_tradnl"/>
        </w:rPr>
        <w:t>ñ</w:t>
      </w:r>
      <w:r>
        <w:rPr>
          <w:sz w:val="18"/>
          <w:szCs w:val="18"/>
          <w:lang w:val="es-ES_tradnl"/>
        </w:rPr>
        <w:t>or El</w:t>
      </w:r>
      <w:r>
        <w:rPr>
          <w:rFonts w:cs="Times New Roman"/>
          <w:sz w:val="18"/>
          <w:szCs w:val="18"/>
          <w:lang w:val="es-ES_tradnl"/>
        </w:rPr>
        <w:t>í</w:t>
      </w:r>
      <w:r>
        <w:rPr>
          <w:sz w:val="18"/>
          <w:szCs w:val="18"/>
          <w:lang w:val="es-ES_tradnl"/>
        </w:rPr>
        <w:t xml:space="preserve">as Gordillo Villavicencio. </w:t>
      </w:r>
      <w:r>
        <w:rPr>
          <w:b/>
          <w:bCs/>
          <w:spacing w:val="-5"/>
          <w:sz w:val="18"/>
          <w:szCs w:val="18"/>
          <w:lang w:val="es-ES_tradnl"/>
        </w:rPr>
        <w:t xml:space="preserve">e. </w:t>
      </w:r>
      <w:r>
        <w:rPr>
          <w:spacing w:val="-5"/>
          <w:sz w:val="18"/>
          <w:szCs w:val="18"/>
          <w:lang w:val="es-ES_tradnl"/>
        </w:rPr>
        <w:t xml:space="preserve">Que en la audiencia de procedimiento abreviado, el </w:t>
      </w:r>
      <w:r>
        <w:rPr>
          <w:spacing w:val="-6"/>
          <w:sz w:val="18"/>
          <w:szCs w:val="18"/>
          <w:lang w:val="es-ES_tradnl"/>
        </w:rPr>
        <w:t>acusado acept</w:t>
      </w:r>
      <w:r>
        <w:rPr>
          <w:rFonts w:cs="Times New Roman"/>
          <w:spacing w:val="-6"/>
          <w:sz w:val="18"/>
          <w:szCs w:val="18"/>
          <w:lang w:val="es-ES_tradnl"/>
        </w:rPr>
        <w:t>ó</w:t>
      </w:r>
      <w:r>
        <w:rPr>
          <w:spacing w:val="-6"/>
          <w:sz w:val="18"/>
          <w:szCs w:val="18"/>
          <w:lang w:val="es-ES_tradnl"/>
        </w:rPr>
        <w:t xml:space="preserve"> haber estafado al se</w:t>
      </w:r>
      <w:r>
        <w:rPr>
          <w:rFonts w:cs="Times New Roman"/>
          <w:spacing w:val="-6"/>
          <w:sz w:val="18"/>
          <w:szCs w:val="18"/>
          <w:lang w:val="es-ES_tradnl"/>
        </w:rPr>
        <w:t>ñ</w:t>
      </w:r>
      <w:r>
        <w:rPr>
          <w:spacing w:val="-6"/>
          <w:sz w:val="18"/>
          <w:szCs w:val="18"/>
          <w:lang w:val="es-ES_tradnl"/>
        </w:rPr>
        <w:t>or El</w:t>
      </w:r>
      <w:r>
        <w:rPr>
          <w:rFonts w:cs="Times New Roman"/>
          <w:spacing w:val="-6"/>
          <w:sz w:val="18"/>
          <w:szCs w:val="18"/>
          <w:lang w:val="es-ES_tradnl"/>
        </w:rPr>
        <w:t>í</w:t>
      </w:r>
      <w:r>
        <w:rPr>
          <w:spacing w:val="-6"/>
          <w:sz w:val="18"/>
          <w:szCs w:val="18"/>
          <w:lang w:val="es-ES_tradnl"/>
        </w:rPr>
        <w:t xml:space="preserve">as Gordillo </w:t>
      </w:r>
      <w:r>
        <w:rPr>
          <w:spacing w:val="-3"/>
          <w:sz w:val="18"/>
          <w:szCs w:val="18"/>
          <w:lang w:val="es-ES_tradnl"/>
        </w:rPr>
        <w:t>Villavicencio, por lo que de conformidad con el art</w:t>
      </w:r>
      <w:r>
        <w:rPr>
          <w:rFonts w:cs="Times New Roman"/>
          <w:spacing w:val="-3"/>
          <w:sz w:val="18"/>
          <w:szCs w:val="18"/>
          <w:lang w:val="es-ES_tradnl"/>
        </w:rPr>
        <w:t>í</w:t>
      </w:r>
      <w:r>
        <w:rPr>
          <w:spacing w:val="-3"/>
          <w:sz w:val="18"/>
          <w:szCs w:val="18"/>
          <w:lang w:val="es-ES_tradnl"/>
        </w:rPr>
        <w:t xml:space="preserve">culo </w:t>
      </w:r>
      <w:r>
        <w:rPr>
          <w:sz w:val="18"/>
          <w:szCs w:val="18"/>
          <w:lang w:val="es-ES_tradnl"/>
        </w:rPr>
        <w:t>143 del C</w:t>
      </w:r>
      <w:r>
        <w:rPr>
          <w:rFonts w:cs="Times New Roman"/>
          <w:sz w:val="18"/>
          <w:szCs w:val="18"/>
          <w:lang w:val="es-ES_tradnl"/>
        </w:rPr>
        <w:t>ó</w:t>
      </w:r>
      <w:r>
        <w:rPr>
          <w:sz w:val="18"/>
          <w:szCs w:val="18"/>
          <w:lang w:val="es-ES_tradnl"/>
        </w:rPr>
        <w:t>digo de Procedimiento Penal, se le otorg</w:t>
      </w:r>
      <w:r>
        <w:rPr>
          <w:rFonts w:cs="Times New Roman"/>
          <w:sz w:val="18"/>
          <w:szCs w:val="18"/>
          <w:lang w:val="es-ES_tradnl"/>
        </w:rPr>
        <w:t xml:space="preserve">ó </w:t>
      </w:r>
      <w:r>
        <w:rPr>
          <w:spacing w:val="-5"/>
          <w:sz w:val="18"/>
          <w:szCs w:val="18"/>
          <w:lang w:val="es-ES_tradnl"/>
        </w:rPr>
        <w:t xml:space="preserve">el valor de prueba. </w:t>
      </w:r>
      <w:r>
        <w:rPr>
          <w:b/>
          <w:bCs/>
          <w:spacing w:val="-5"/>
          <w:sz w:val="18"/>
          <w:szCs w:val="18"/>
          <w:lang w:val="es-ES_tradnl"/>
        </w:rPr>
        <w:t xml:space="preserve">f. </w:t>
      </w:r>
      <w:r>
        <w:rPr>
          <w:spacing w:val="-5"/>
          <w:sz w:val="18"/>
          <w:szCs w:val="18"/>
          <w:lang w:val="es-ES_tradnl"/>
        </w:rPr>
        <w:t>Que de acuerdo al art</w:t>
      </w:r>
      <w:r>
        <w:rPr>
          <w:rFonts w:cs="Times New Roman"/>
          <w:spacing w:val="-5"/>
          <w:sz w:val="18"/>
          <w:szCs w:val="18"/>
          <w:lang w:val="es-ES_tradnl"/>
        </w:rPr>
        <w:t>í</w:t>
      </w:r>
      <w:r>
        <w:rPr>
          <w:spacing w:val="-5"/>
          <w:sz w:val="18"/>
          <w:szCs w:val="18"/>
          <w:lang w:val="es-ES_tradnl"/>
        </w:rPr>
        <w:t>culo 42 del C</w:t>
      </w:r>
      <w:r>
        <w:rPr>
          <w:rFonts w:cs="Times New Roman"/>
          <w:spacing w:val="-5"/>
          <w:sz w:val="18"/>
          <w:szCs w:val="18"/>
          <w:lang w:val="es-ES_tradnl"/>
        </w:rPr>
        <w:t>ó</w:t>
      </w:r>
      <w:r>
        <w:rPr>
          <w:spacing w:val="-5"/>
          <w:sz w:val="18"/>
          <w:szCs w:val="18"/>
          <w:lang w:val="es-ES_tradnl"/>
        </w:rPr>
        <w:t>digo Penal lo declaran autor de la infracci</w:t>
      </w:r>
      <w:r>
        <w:rPr>
          <w:rFonts w:cs="Times New Roman"/>
          <w:spacing w:val="-5"/>
          <w:sz w:val="18"/>
          <w:szCs w:val="18"/>
          <w:lang w:val="es-ES_tradnl"/>
        </w:rPr>
        <w:t>ó</w:t>
      </w:r>
      <w:r>
        <w:rPr>
          <w:spacing w:val="-5"/>
          <w:sz w:val="18"/>
          <w:szCs w:val="18"/>
          <w:lang w:val="es-ES_tradnl"/>
        </w:rPr>
        <w:t xml:space="preserve">n de estafa </w:t>
      </w:r>
      <w:r>
        <w:rPr>
          <w:spacing w:val="-6"/>
          <w:sz w:val="18"/>
          <w:szCs w:val="18"/>
          <w:lang w:val="es-ES_tradnl"/>
        </w:rPr>
        <w:t xml:space="preserve">al procesado. </w:t>
      </w:r>
      <w:r>
        <w:rPr>
          <w:b/>
          <w:bCs/>
          <w:spacing w:val="-6"/>
          <w:sz w:val="18"/>
          <w:szCs w:val="18"/>
          <w:lang w:val="es-ES_tradnl"/>
        </w:rPr>
        <w:t xml:space="preserve">g. </w:t>
      </w:r>
      <w:r>
        <w:rPr>
          <w:spacing w:val="-6"/>
          <w:sz w:val="18"/>
          <w:szCs w:val="18"/>
          <w:lang w:val="es-ES_tradnl"/>
        </w:rPr>
        <w:t>Los jueces del Tribunal Penal expresan que el acusado actu</w:t>
      </w:r>
      <w:r>
        <w:rPr>
          <w:rFonts w:cs="Times New Roman"/>
          <w:spacing w:val="-6"/>
          <w:sz w:val="18"/>
          <w:szCs w:val="18"/>
          <w:lang w:val="es-ES_tradnl"/>
        </w:rPr>
        <w:t>ó</w:t>
      </w:r>
      <w:r>
        <w:rPr>
          <w:spacing w:val="-6"/>
          <w:sz w:val="18"/>
          <w:szCs w:val="18"/>
          <w:lang w:val="es-ES_tradnl"/>
        </w:rPr>
        <w:t xml:space="preserve"> con enga</w:t>
      </w:r>
      <w:r>
        <w:rPr>
          <w:rFonts w:cs="Times New Roman"/>
          <w:spacing w:val="-6"/>
          <w:sz w:val="18"/>
          <w:szCs w:val="18"/>
          <w:lang w:val="es-ES_tradnl"/>
        </w:rPr>
        <w:t>ñ</w:t>
      </w:r>
      <w:r>
        <w:rPr>
          <w:spacing w:val="-6"/>
          <w:sz w:val="18"/>
          <w:szCs w:val="18"/>
          <w:lang w:val="es-ES_tradnl"/>
        </w:rPr>
        <w:t xml:space="preserve">o y dolo, en perjuicio del </w:t>
      </w:r>
      <w:r>
        <w:rPr>
          <w:spacing w:val="-4"/>
          <w:sz w:val="18"/>
          <w:szCs w:val="18"/>
          <w:lang w:val="es-ES_tradnl"/>
        </w:rPr>
        <w:t>denunciante El</w:t>
      </w:r>
      <w:r>
        <w:rPr>
          <w:rFonts w:cs="Times New Roman"/>
          <w:spacing w:val="-4"/>
          <w:sz w:val="18"/>
          <w:szCs w:val="18"/>
          <w:lang w:val="es-ES_tradnl"/>
        </w:rPr>
        <w:t>í</w:t>
      </w:r>
      <w:r>
        <w:rPr>
          <w:spacing w:val="-4"/>
          <w:sz w:val="18"/>
          <w:szCs w:val="18"/>
          <w:lang w:val="es-ES_tradnl"/>
        </w:rPr>
        <w:t>as Gordillo, por lo que ha enervado su presunci</w:t>
      </w:r>
      <w:r>
        <w:rPr>
          <w:rFonts w:cs="Times New Roman"/>
          <w:spacing w:val="-4"/>
          <w:sz w:val="18"/>
          <w:szCs w:val="18"/>
          <w:lang w:val="es-ES_tradnl"/>
        </w:rPr>
        <w:t>ó</w:t>
      </w:r>
      <w:r>
        <w:rPr>
          <w:spacing w:val="-4"/>
          <w:sz w:val="18"/>
          <w:szCs w:val="18"/>
          <w:lang w:val="es-ES_tradnl"/>
        </w:rPr>
        <w:t>n de inocencia, garantizado en el art</w:t>
      </w:r>
      <w:r>
        <w:rPr>
          <w:rFonts w:cs="Times New Roman"/>
          <w:spacing w:val="-4"/>
          <w:sz w:val="18"/>
          <w:szCs w:val="18"/>
          <w:lang w:val="es-ES_tradnl"/>
        </w:rPr>
        <w:t>í</w:t>
      </w:r>
      <w:r>
        <w:rPr>
          <w:spacing w:val="-4"/>
          <w:sz w:val="18"/>
          <w:szCs w:val="18"/>
          <w:lang w:val="es-ES_tradnl"/>
        </w:rPr>
        <w:t xml:space="preserve">culo 76 </w:t>
      </w:r>
      <w:r>
        <w:rPr>
          <w:spacing w:val="-5"/>
          <w:sz w:val="18"/>
          <w:szCs w:val="18"/>
          <w:lang w:val="es-ES_tradnl"/>
        </w:rPr>
        <w:t>numeral 2 de la Constituci</w:t>
      </w:r>
      <w:r>
        <w:rPr>
          <w:rFonts w:cs="Times New Roman"/>
          <w:spacing w:val="-5"/>
          <w:sz w:val="18"/>
          <w:szCs w:val="18"/>
          <w:lang w:val="es-ES_tradnl"/>
        </w:rPr>
        <w:t>ó</w:t>
      </w:r>
      <w:r>
        <w:rPr>
          <w:spacing w:val="-5"/>
          <w:sz w:val="18"/>
          <w:szCs w:val="18"/>
          <w:lang w:val="es-ES_tradnl"/>
        </w:rPr>
        <w:t xml:space="preserve">n. </w:t>
      </w:r>
      <w:r>
        <w:rPr>
          <w:b/>
          <w:bCs/>
          <w:spacing w:val="-5"/>
          <w:sz w:val="18"/>
          <w:szCs w:val="18"/>
          <w:lang w:val="es-ES_tradnl"/>
        </w:rPr>
        <w:t xml:space="preserve">h. </w:t>
      </w:r>
      <w:r>
        <w:rPr>
          <w:spacing w:val="-5"/>
          <w:sz w:val="18"/>
          <w:szCs w:val="18"/>
          <w:lang w:val="es-ES_tradnl"/>
        </w:rPr>
        <w:t>Que en aplicaci</w:t>
      </w:r>
      <w:r>
        <w:rPr>
          <w:rFonts w:cs="Times New Roman"/>
          <w:spacing w:val="-5"/>
          <w:sz w:val="18"/>
          <w:szCs w:val="18"/>
          <w:lang w:val="es-ES_tradnl"/>
        </w:rPr>
        <w:t>ó</w:t>
      </w:r>
      <w:r>
        <w:rPr>
          <w:spacing w:val="-5"/>
          <w:sz w:val="18"/>
          <w:szCs w:val="18"/>
          <w:lang w:val="es-ES_tradnl"/>
        </w:rPr>
        <w:t xml:space="preserve">n de los </w:t>
      </w:r>
      <w:r>
        <w:rPr>
          <w:spacing w:val="-4"/>
          <w:sz w:val="18"/>
          <w:szCs w:val="18"/>
          <w:lang w:val="es-ES_tradnl"/>
        </w:rPr>
        <w:t>art</w:t>
      </w:r>
      <w:r>
        <w:rPr>
          <w:rFonts w:cs="Times New Roman"/>
          <w:spacing w:val="-4"/>
          <w:sz w:val="18"/>
          <w:szCs w:val="18"/>
          <w:lang w:val="es-ES_tradnl"/>
        </w:rPr>
        <w:t>í</w:t>
      </w:r>
      <w:r>
        <w:rPr>
          <w:spacing w:val="-4"/>
          <w:sz w:val="18"/>
          <w:szCs w:val="18"/>
          <w:lang w:val="es-ES_tradnl"/>
        </w:rPr>
        <w:t>culos 312; 304 A y 370 del C</w:t>
      </w:r>
      <w:r>
        <w:rPr>
          <w:rFonts w:cs="Times New Roman"/>
          <w:spacing w:val="-4"/>
          <w:sz w:val="18"/>
          <w:szCs w:val="18"/>
          <w:lang w:val="es-ES_tradnl"/>
        </w:rPr>
        <w:t>ó</w:t>
      </w:r>
      <w:r>
        <w:rPr>
          <w:spacing w:val="-4"/>
          <w:sz w:val="18"/>
          <w:szCs w:val="18"/>
          <w:lang w:val="es-ES_tradnl"/>
        </w:rPr>
        <w:t xml:space="preserve">digo de Procedimiento </w:t>
      </w:r>
      <w:r>
        <w:rPr>
          <w:sz w:val="18"/>
          <w:szCs w:val="18"/>
          <w:lang w:val="es-ES_tradnl"/>
        </w:rPr>
        <w:t xml:space="preserve">Penal, los jueces del Tribunal declaran culpable del </w:t>
      </w:r>
      <w:r>
        <w:rPr>
          <w:spacing w:val="-3"/>
          <w:sz w:val="18"/>
          <w:szCs w:val="18"/>
          <w:lang w:val="es-ES_tradnl"/>
        </w:rPr>
        <w:t>delito de estafa a Fabi</w:t>
      </w:r>
      <w:r>
        <w:rPr>
          <w:rFonts w:cs="Times New Roman"/>
          <w:spacing w:val="-3"/>
          <w:sz w:val="18"/>
          <w:szCs w:val="18"/>
          <w:lang w:val="es-ES_tradnl"/>
        </w:rPr>
        <w:t>á</w:t>
      </w:r>
      <w:r>
        <w:rPr>
          <w:spacing w:val="-3"/>
          <w:sz w:val="18"/>
          <w:szCs w:val="18"/>
          <w:lang w:val="es-ES_tradnl"/>
        </w:rPr>
        <w:t xml:space="preserve">n Silva Tumipamba y por existir </w:t>
      </w:r>
      <w:r>
        <w:rPr>
          <w:spacing w:val="-10"/>
          <w:sz w:val="18"/>
          <w:szCs w:val="18"/>
          <w:lang w:val="es-ES_tradnl"/>
        </w:rPr>
        <w:t>atenuantes modifican la pena a diez meses de prisi</w:t>
      </w:r>
      <w:r>
        <w:rPr>
          <w:rFonts w:cs="Times New Roman"/>
          <w:spacing w:val="-10"/>
          <w:sz w:val="18"/>
          <w:szCs w:val="18"/>
          <w:lang w:val="es-ES_tradnl"/>
        </w:rPr>
        <w:t>ó</w:t>
      </w:r>
      <w:r>
        <w:rPr>
          <w:spacing w:val="-10"/>
          <w:sz w:val="18"/>
          <w:szCs w:val="18"/>
          <w:lang w:val="es-ES_tradnl"/>
        </w:rPr>
        <w:t xml:space="preserve">n y una </w:t>
      </w:r>
      <w:r>
        <w:rPr>
          <w:spacing w:val="-6"/>
          <w:sz w:val="18"/>
          <w:szCs w:val="18"/>
          <w:lang w:val="es-ES_tradnl"/>
        </w:rPr>
        <w:t xml:space="preserve">multa de $20,00 USD. </w:t>
      </w:r>
      <w:r>
        <w:rPr>
          <w:b/>
          <w:bCs/>
          <w:spacing w:val="-6"/>
          <w:sz w:val="18"/>
          <w:szCs w:val="18"/>
          <w:lang w:val="es-ES_tradnl"/>
        </w:rPr>
        <w:t xml:space="preserve">i. </w:t>
      </w:r>
      <w:r>
        <w:rPr>
          <w:spacing w:val="-6"/>
          <w:sz w:val="18"/>
          <w:szCs w:val="18"/>
          <w:lang w:val="es-ES_tradnl"/>
        </w:rPr>
        <w:t>Que en cumplimiento del art</w:t>
      </w:r>
      <w:r>
        <w:rPr>
          <w:rFonts w:cs="Times New Roman"/>
          <w:spacing w:val="-6"/>
          <w:sz w:val="18"/>
          <w:szCs w:val="18"/>
          <w:lang w:val="es-ES_tradnl"/>
        </w:rPr>
        <w:t>í</w:t>
      </w:r>
      <w:r>
        <w:rPr>
          <w:spacing w:val="-6"/>
          <w:sz w:val="18"/>
          <w:szCs w:val="18"/>
          <w:lang w:val="es-ES_tradnl"/>
        </w:rPr>
        <w:t xml:space="preserve">culo </w:t>
      </w:r>
      <w:r>
        <w:rPr>
          <w:spacing w:val="-5"/>
          <w:sz w:val="18"/>
          <w:szCs w:val="18"/>
          <w:lang w:val="es-ES_tradnl"/>
        </w:rPr>
        <w:t>309 numeral 5 del C</w:t>
      </w:r>
      <w:r>
        <w:rPr>
          <w:rFonts w:cs="Times New Roman"/>
          <w:spacing w:val="-5"/>
          <w:sz w:val="18"/>
          <w:szCs w:val="18"/>
          <w:lang w:val="es-ES_tradnl"/>
        </w:rPr>
        <w:t>ó</w:t>
      </w:r>
      <w:r>
        <w:rPr>
          <w:spacing w:val="-5"/>
          <w:sz w:val="18"/>
          <w:szCs w:val="18"/>
          <w:lang w:val="es-ES_tradnl"/>
        </w:rPr>
        <w:t>digo de Procedimiento Penal</w:t>
      </w:r>
      <w:r>
        <w:rPr>
          <w:spacing w:val="-5"/>
          <w:sz w:val="18"/>
          <w:szCs w:val="18"/>
          <w:vertAlign w:val="superscript"/>
          <w:lang w:val="es-ES_tradnl"/>
        </w:rPr>
        <w:t>8</w:t>
      </w:r>
      <w:r>
        <w:rPr>
          <w:spacing w:val="-5"/>
          <w:sz w:val="18"/>
          <w:szCs w:val="18"/>
          <w:lang w:val="es-ES_tradnl"/>
        </w:rPr>
        <w:t xml:space="preserve">, en </w:t>
      </w:r>
      <w:r>
        <w:rPr>
          <w:spacing w:val="-2"/>
          <w:sz w:val="18"/>
          <w:szCs w:val="18"/>
          <w:lang w:val="es-ES_tradnl"/>
        </w:rPr>
        <w:t>concordancia con el art</w:t>
      </w:r>
      <w:r>
        <w:rPr>
          <w:rFonts w:cs="Times New Roman"/>
          <w:spacing w:val="-2"/>
          <w:sz w:val="18"/>
          <w:szCs w:val="18"/>
          <w:lang w:val="es-ES_tradnl"/>
        </w:rPr>
        <w:t>í</w:t>
      </w:r>
      <w:r>
        <w:rPr>
          <w:spacing w:val="-2"/>
          <w:sz w:val="18"/>
          <w:szCs w:val="18"/>
          <w:lang w:val="es-ES_tradnl"/>
        </w:rPr>
        <w:t>culo 78 de la Constituci</w:t>
      </w:r>
      <w:r>
        <w:rPr>
          <w:rFonts w:cs="Times New Roman"/>
          <w:spacing w:val="-2"/>
          <w:sz w:val="18"/>
          <w:szCs w:val="18"/>
          <w:lang w:val="es-ES_tradnl"/>
        </w:rPr>
        <w:t>ó</w:t>
      </w:r>
      <w:r>
        <w:rPr>
          <w:spacing w:val="-2"/>
          <w:sz w:val="18"/>
          <w:szCs w:val="18"/>
          <w:lang w:val="es-ES_tradnl"/>
        </w:rPr>
        <w:t>n</w:t>
      </w:r>
      <w:r>
        <w:rPr>
          <w:spacing w:val="-2"/>
          <w:sz w:val="18"/>
          <w:szCs w:val="18"/>
          <w:vertAlign w:val="superscript"/>
          <w:lang w:val="es-ES_tradnl"/>
        </w:rPr>
        <w:t>9</w:t>
      </w:r>
      <w:r>
        <w:rPr>
          <w:spacing w:val="-2"/>
          <w:sz w:val="18"/>
          <w:szCs w:val="18"/>
          <w:lang w:val="es-ES_tradnl"/>
        </w:rPr>
        <w:t xml:space="preserve">, </w:t>
      </w:r>
      <w:r>
        <w:rPr>
          <w:sz w:val="18"/>
          <w:szCs w:val="18"/>
          <w:lang w:val="es-ES_tradnl"/>
        </w:rPr>
        <w:t>ordenan indemnizar al ofendido.</w:t>
      </w:r>
    </w:p>
    <w:p w14:paraId="4F67BBF3" w14:textId="77777777" w:rsidR="00591D54" w:rsidRDefault="00591D54">
      <w:pPr>
        <w:shd w:val="clear" w:color="auto" w:fill="FFFFFF"/>
        <w:spacing w:before="197" w:line="216" w:lineRule="exact"/>
        <w:ind w:right="5"/>
        <w:jc w:val="both"/>
      </w:pPr>
      <w:r>
        <w:rPr>
          <w:spacing w:val="-6"/>
          <w:sz w:val="18"/>
          <w:szCs w:val="18"/>
          <w:lang w:val="es-ES_tradnl"/>
        </w:rPr>
        <w:t>Expuestos as</w:t>
      </w:r>
      <w:r>
        <w:rPr>
          <w:rFonts w:cs="Times New Roman"/>
          <w:spacing w:val="-6"/>
          <w:sz w:val="18"/>
          <w:szCs w:val="18"/>
          <w:lang w:val="es-ES_tradnl"/>
        </w:rPr>
        <w:t>í</w:t>
      </w:r>
      <w:r>
        <w:rPr>
          <w:spacing w:val="-6"/>
          <w:sz w:val="18"/>
          <w:szCs w:val="18"/>
          <w:lang w:val="es-ES_tradnl"/>
        </w:rPr>
        <w:t xml:space="preserve"> los argumentos del Tribunal Penal en la </w:t>
      </w:r>
      <w:r>
        <w:rPr>
          <w:spacing w:val="-5"/>
          <w:sz w:val="18"/>
          <w:szCs w:val="18"/>
          <w:lang w:val="es-ES_tradnl"/>
        </w:rPr>
        <w:t>decisi</w:t>
      </w:r>
      <w:r>
        <w:rPr>
          <w:rFonts w:cs="Times New Roman"/>
          <w:spacing w:val="-5"/>
          <w:sz w:val="18"/>
          <w:szCs w:val="18"/>
          <w:lang w:val="es-ES_tradnl"/>
        </w:rPr>
        <w:t>ó</w:t>
      </w:r>
      <w:r>
        <w:rPr>
          <w:spacing w:val="-5"/>
          <w:sz w:val="18"/>
          <w:szCs w:val="18"/>
          <w:lang w:val="es-ES_tradnl"/>
        </w:rPr>
        <w:t>n impugnada, se deduce que la no consideraci</w:t>
      </w:r>
      <w:r>
        <w:rPr>
          <w:rFonts w:cs="Times New Roman"/>
          <w:spacing w:val="-5"/>
          <w:sz w:val="18"/>
          <w:szCs w:val="18"/>
          <w:lang w:val="es-ES_tradnl"/>
        </w:rPr>
        <w:t>ó</w:t>
      </w:r>
      <w:r>
        <w:rPr>
          <w:spacing w:val="-5"/>
          <w:sz w:val="18"/>
          <w:szCs w:val="18"/>
          <w:lang w:val="es-ES_tradnl"/>
        </w:rPr>
        <w:t xml:space="preserve">n </w:t>
      </w:r>
      <w:r>
        <w:rPr>
          <w:spacing w:val="-7"/>
          <w:sz w:val="18"/>
          <w:szCs w:val="18"/>
          <w:lang w:val="es-ES_tradnl"/>
        </w:rPr>
        <w:t xml:space="preserve">de los fundamentos y los anexos presentados por Jorge </w:t>
      </w:r>
      <w:r>
        <w:rPr>
          <w:spacing w:val="-4"/>
          <w:sz w:val="18"/>
          <w:szCs w:val="18"/>
          <w:lang w:val="es-ES_tradnl"/>
        </w:rPr>
        <w:t>Burbano Muriel (tercero interesado en el proceso penal)</w:t>
      </w:r>
    </w:p>
    <w:p w14:paraId="4F67BBF4" w14:textId="77777777" w:rsidR="00591D54" w:rsidRDefault="00591D54">
      <w:pPr>
        <w:shd w:val="clear" w:color="auto" w:fill="FFFFFF"/>
        <w:tabs>
          <w:tab w:val="left" w:pos="144"/>
        </w:tabs>
        <w:spacing w:before="451" w:line="178" w:lineRule="exact"/>
        <w:ind w:left="144" w:right="5" w:hanging="144"/>
        <w:jc w:val="both"/>
      </w:pPr>
      <w:r>
        <w:rPr>
          <w:sz w:val="10"/>
          <w:szCs w:val="10"/>
          <w:vertAlign w:val="superscript"/>
          <w:lang w:val="es-ES_tradnl"/>
        </w:rPr>
        <w:t>8</w:t>
      </w:r>
      <w:r>
        <w:rPr>
          <w:sz w:val="18"/>
          <w:szCs w:val="18"/>
          <w:lang w:val="es-ES_tradnl"/>
        </w:rPr>
        <w:tab/>
      </w:r>
      <w:r>
        <w:rPr>
          <w:sz w:val="14"/>
          <w:szCs w:val="14"/>
          <w:lang w:val="es-ES_tradnl"/>
        </w:rPr>
        <w:t>C</w:t>
      </w:r>
      <w:r>
        <w:rPr>
          <w:rFonts w:cs="Times New Roman"/>
          <w:sz w:val="14"/>
          <w:szCs w:val="14"/>
          <w:lang w:val="es-ES_tradnl"/>
        </w:rPr>
        <w:t>ó</w:t>
      </w:r>
      <w:r>
        <w:rPr>
          <w:sz w:val="14"/>
          <w:szCs w:val="14"/>
          <w:lang w:val="es-ES_tradnl"/>
        </w:rPr>
        <w:t>digo</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Procedimiento</w:t>
      </w:r>
      <w:r>
        <w:rPr>
          <w:sz w:val="18"/>
          <w:szCs w:val="18"/>
          <w:lang w:val="es-ES_tradnl"/>
        </w:rPr>
        <w:t xml:space="preserve"> </w:t>
      </w:r>
      <w:r>
        <w:rPr>
          <w:sz w:val="14"/>
          <w:szCs w:val="14"/>
          <w:lang w:val="es-ES_tradnl"/>
        </w:rPr>
        <w:t>Penal.</w:t>
      </w:r>
      <w:r>
        <w:rPr>
          <w:sz w:val="18"/>
          <w:szCs w:val="18"/>
          <w:lang w:val="es-ES_tradnl"/>
        </w:rPr>
        <w:t xml:space="preserve"> </w:t>
      </w:r>
      <w:r>
        <w:rPr>
          <w:sz w:val="14"/>
          <w:szCs w:val="14"/>
          <w:lang w:val="es-ES_tradnl"/>
        </w:rPr>
        <w:t>Art</w:t>
      </w:r>
      <w:r>
        <w:rPr>
          <w:rFonts w:cs="Times New Roman"/>
          <w:sz w:val="14"/>
          <w:szCs w:val="14"/>
          <w:lang w:val="es-ES_tradnl"/>
        </w:rPr>
        <w:t>í</w:t>
      </w:r>
      <w:r>
        <w:rPr>
          <w:sz w:val="14"/>
          <w:szCs w:val="14"/>
          <w:lang w:val="es-ES_tradnl"/>
        </w:rPr>
        <w:t>culo.</w:t>
      </w:r>
      <w:r>
        <w:rPr>
          <w:sz w:val="18"/>
          <w:szCs w:val="18"/>
          <w:lang w:val="es-ES_tradnl"/>
        </w:rPr>
        <w:t xml:space="preserve"> </w:t>
      </w:r>
      <w:r>
        <w:rPr>
          <w:sz w:val="14"/>
          <w:szCs w:val="14"/>
          <w:lang w:val="es-ES_tradnl"/>
        </w:rPr>
        <w:t>309.-</w:t>
      </w:r>
      <w:r>
        <w:rPr>
          <w:sz w:val="18"/>
          <w:szCs w:val="18"/>
          <w:lang w:val="es-ES_tradnl"/>
        </w:rPr>
        <w:t xml:space="preserve"> </w:t>
      </w:r>
      <w:r>
        <w:rPr>
          <w:sz w:val="14"/>
          <w:szCs w:val="14"/>
          <w:lang w:val="es-ES_tradnl"/>
        </w:rPr>
        <w:t>Requisitos</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la sentencia.- (Reformado por el Art. 86 de la Ley s/n, R.O. 555S, </w:t>
      </w:r>
      <w:r>
        <w:rPr>
          <w:spacing w:val="-2"/>
          <w:sz w:val="14"/>
          <w:szCs w:val="14"/>
          <w:lang w:val="es-ES_tradnl"/>
        </w:rPr>
        <w:t>24III2009). La sentencia reducida a escrito, deber</w:t>
      </w:r>
      <w:r>
        <w:rPr>
          <w:rFonts w:cs="Times New Roman"/>
          <w:spacing w:val="-2"/>
          <w:sz w:val="14"/>
          <w:szCs w:val="14"/>
          <w:lang w:val="es-ES_tradnl"/>
        </w:rPr>
        <w:t>á</w:t>
      </w:r>
      <w:r>
        <w:rPr>
          <w:spacing w:val="-2"/>
          <w:sz w:val="14"/>
          <w:szCs w:val="14"/>
          <w:lang w:val="es-ES_tradnl"/>
        </w:rPr>
        <w:t xml:space="preserve"> contener: (</w:t>
      </w:r>
      <w:r>
        <w:rPr>
          <w:rFonts w:cs="Times New Roman"/>
          <w:spacing w:val="-2"/>
          <w:sz w:val="14"/>
          <w:szCs w:val="14"/>
          <w:lang w:val="es-ES_tradnl"/>
        </w:rPr>
        <w:t>…</w:t>
      </w:r>
      <w:r>
        <w:rPr>
          <w:spacing w:val="-2"/>
          <w:sz w:val="14"/>
          <w:szCs w:val="14"/>
          <w:lang w:val="es-ES_tradnl"/>
        </w:rPr>
        <w:t>) 5. </w:t>
      </w:r>
      <w:r>
        <w:rPr>
          <w:sz w:val="14"/>
          <w:szCs w:val="14"/>
          <w:lang w:val="es-ES_tradnl"/>
        </w:rPr>
        <w:t>(Sustituido por el Art. 86 de la Ley s/n, R.O. 555S, 24III2009) La </w:t>
      </w:r>
      <w:r>
        <w:rPr>
          <w:spacing w:val="-3"/>
          <w:sz w:val="14"/>
          <w:szCs w:val="14"/>
          <w:lang w:val="es-ES_tradnl"/>
        </w:rPr>
        <w:t>condena a pagar los da</w:t>
      </w:r>
      <w:r>
        <w:rPr>
          <w:rFonts w:cs="Times New Roman"/>
          <w:spacing w:val="-3"/>
          <w:sz w:val="14"/>
          <w:szCs w:val="14"/>
          <w:lang w:val="es-ES_tradnl"/>
        </w:rPr>
        <w:t>ñ</w:t>
      </w:r>
      <w:r>
        <w:rPr>
          <w:spacing w:val="-3"/>
          <w:sz w:val="14"/>
          <w:szCs w:val="14"/>
          <w:lang w:val="es-ES_tradnl"/>
        </w:rPr>
        <w:t>os y perjuicios ocasionados por la infracci</w:t>
      </w:r>
      <w:r>
        <w:rPr>
          <w:rFonts w:cs="Times New Roman"/>
          <w:spacing w:val="-3"/>
          <w:sz w:val="14"/>
          <w:szCs w:val="14"/>
          <w:lang w:val="es-ES_tradnl"/>
        </w:rPr>
        <w:t>ó</w:t>
      </w:r>
      <w:r>
        <w:rPr>
          <w:spacing w:val="-3"/>
          <w:sz w:val="14"/>
          <w:szCs w:val="14"/>
          <w:lang w:val="es-ES_tradnl"/>
        </w:rPr>
        <w:t>n </w:t>
      </w:r>
      <w:r>
        <w:rPr>
          <w:spacing w:val="-1"/>
          <w:sz w:val="14"/>
          <w:szCs w:val="14"/>
          <w:lang w:val="es-ES_tradnl"/>
        </w:rPr>
        <w:t>en la determinaci</w:t>
      </w:r>
      <w:r>
        <w:rPr>
          <w:rFonts w:cs="Times New Roman"/>
          <w:spacing w:val="-1"/>
          <w:sz w:val="14"/>
          <w:szCs w:val="14"/>
          <w:lang w:val="es-ES_tradnl"/>
        </w:rPr>
        <w:t>ó</w:t>
      </w:r>
      <w:r>
        <w:rPr>
          <w:spacing w:val="-1"/>
          <w:sz w:val="14"/>
          <w:szCs w:val="14"/>
          <w:lang w:val="es-ES_tradnl"/>
        </w:rPr>
        <w:t>n del monto econ</w:t>
      </w:r>
      <w:r>
        <w:rPr>
          <w:rFonts w:cs="Times New Roman"/>
          <w:spacing w:val="-1"/>
          <w:sz w:val="14"/>
          <w:szCs w:val="14"/>
          <w:lang w:val="es-ES_tradnl"/>
        </w:rPr>
        <w:t>ó</w:t>
      </w:r>
      <w:r>
        <w:rPr>
          <w:spacing w:val="-1"/>
          <w:sz w:val="14"/>
          <w:szCs w:val="14"/>
          <w:lang w:val="es-ES_tradnl"/>
        </w:rPr>
        <w:t>mico a ser pagado por el </w:t>
      </w:r>
      <w:r>
        <w:rPr>
          <w:spacing w:val="-2"/>
          <w:sz w:val="14"/>
          <w:szCs w:val="14"/>
          <w:lang w:val="es-ES_tradnl"/>
        </w:rPr>
        <w:t>sentenciado al ofendido haya o no presentado acusaci</w:t>
      </w:r>
      <w:r>
        <w:rPr>
          <w:rFonts w:cs="Times New Roman"/>
          <w:spacing w:val="-2"/>
          <w:sz w:val="14"/>
          <w:szCs w:val="14"/>
          <w:lang w:val="es-ES_tradnl"/>
        </w:rPr>
        <w:t>ó</w:t>
      </w:r>
      <w:r>
        <w:rPr>
          <w:spacing w:val="-2"/>
          <w:sz w:val="14"/>
          <w:szCs w:val="14"/>
          <w:lang w:val="es-ES_tradnl"/>
        </w:rPr>
        <w:t>n particular;</w:t>
      </w:r>
    </w:p>
    <w:p w14:paraId="4F67BBF5" w14:textId="77777777" w:rsidR="00591D54" w:rsidRDefault="00591D54">
      <w:pPr>
        <w:shd w:val="clear" w:color="auto" w:fill="FFFFFF"/>
        <w:tabs>
          <w:tab w:val="left" w:pos="144"/>
        </w:tabs>
        <w:spacing w:before="149" w:line="178" w:lineRule="exact"/>
        <w:ind w:left="144" w:right="5" w:hanging="144"/>
        <w:jc w:val="both"/>
      </w:pPr>
      <w:r>
        <w:rPr>
          <w:sz w:val="10"/>
          <w:szCs w:val="10"/>
          <w:vertAlign w:val="superscript"/>
          <w:lang w:val="es-ES_tradnl"/>
        </w:rPr>
        <w:t>9</w:t>
      </w:r>
      <w:r>
        <w:rPr>
          <w:sz w:val="18"/>
          <w:szCs w:val="18"/>
          <w:lang w:val="es-ES_tradnl"/>
        </w:rPr>
        <w:tab/>
      </w:r>
      <w:r>
        <w:rPr>
          <w:sz w:val="14"/>
          <w:szCs w:val="14"/>
          <w:lang w:val="es-ES_tradnl"/>
        </w:rPr>
        <w:t>Constituci</w:t>
      </w:r>
      <w:r>
        <w:rPr>
          <w:rFonts w:cs="Times New Roman"/>
          <w:sz w:val="14"/>
          <w:szCs w:val="14"/>
          <w:lang w:val="es-ES_tradnl"/>
        </w:rPr>
        <w:t>ó</w:t>
      </w:r>
      <w:r>
        <w:rPr>
          <w:sz w:val="14"/>
          <w:szCs w:val="14"/>
          <w:lang w:val="es-ES_tradnl"/>
        </w:rPr>
        <w:t>n</w:t>
      </w:r>
      <w:r>
        <w:rPr>
          <w:sz w:val="18"/>
          <w:szCs w:val="18"/>
          <w:lang w:val="es-ES_tradnl"/>
        </w:rPr>
        <w:t xml:space="preserve"> </w:t>
      </w:r>
      <w:r>
        <w:rPr>
          <w:sz w:val="14"/>
          <w:szCs w:val="14"/>
          <w:lang w:val="es-ES_tradnl"/>
        </w:rPr>
        <w:t>de</w:t>
      </w:r>
      <w:r>
        <w:rPr>
          <w:sz w:val="18"/>
          <w:szCs w:val="18"/>
          <w:lang w:val="es-ES_tradnl"/>
        </w:rPr>
        <w:t xml:space="preserve"> </w:t>
      </w:r>
      <w:r>
        <w:rPr>
          <w:sz w:val="14"/>
          <w:szCs w:val="14"/>
          <w:lang w:val="es-ES_tradnl"/>
        </w:rPr>
        <w:t>la</w:t>
      </w:r>
      <w:r>
        <w:rPr>
          <w:sz w:val="18"/>
          <w:szCs w:val="18"/>
          <w:lang w:val="es-ES_tradnl"/>
        </w:rPr>
        <w:t xml:space="preserve"> </w:t>
      </w:r>
      <w:r>
        <w:rPr>
          <w:sz w:val="14"/>
          <w:szCs w:val="14"/>
          <w:lang w:val="es-ES_tradnl"/>
        </w:rPr>
        <w:t>Rep</w:t>
      </w:r>
      <w:r>
        <w:rPr>
          <w:rFonts w:cs="Times New Roman"/>
          <w:sz w:val="14"/>
          <w:szCs w:val="14"/>
          <w:lang w:val="es-ES_tradnl"/>
        </w:rPr>
        <w:t>ú</w:t>
      </w:r>
      <w:r>
        <w:rPr>
          <w:sz w:val="14"/>
          <w:szCs w:val="14"/>
          <w:lang w:val="es-ES_tradnl"/>
        </w:rPr>
        <w:t>blica.</w:t>
      </w:r>
      <w:r>
        <w:rPr>
          <w:sz w:val="18"/>
          <w:szCs w:val="18"/>
          <w:lang w:val="es-ES_tradnl"/>
        </w:rPr>
        <w:t xml:space="preserve"> </w:t>
      </w:r>
      <w:r>
        <w:rPr>
          <w:sz w:val="14"/>
          <w:szCs w:val="14"/>
          <w:lang w:val="es-ES_tradnl"/>
        </w:rPr>
        <w:t>Art</w:t>
      </w:r>
      <w:r>
        <w:rPr>
          <w:rFonts w:cs="Times New Roman"/>
          <w:sz w:val="14"/>
          <w:szCs w:val="14"/>
          <w:lang w:val="es-ES_tradnl"/>
        </w:rPr>
        <w:t>í</w:t>
      </w:r>
      <w:r>
        <w:rPr>
          <w:sz w:val="14"/>
          <w:szCs w:val="14"/>
          <w:lang w:val="es-ES_tradnl"/>
        </w:rPr>
        <w:t>culo.</w:t>
      </w:r>
      <w:r>
        <w:rPr>
          <w:sz w:val="18"/>
          <w:szCs w:val="18"/>
          <w:lang w:val="es-ES_tradnl"/>
        </w:rPr>
        <w:t xml:space="preserve"> </w:t>
      </w:r>
      <w:r>
        <w:rPr>
          <w:sz w:val="14"/>
          <w:szCs w:val="14"/>
          <w:lang w:val="es-ES_tradnl"/>
        </w:rPr>
        <w:t>78.-</w:t>
      </w:r>
      <w:r>
        <w:rPr>
          <w:sz w:val="18"/>
          <w:szCs w:val="18"/>
          <w:lang w:val="es-ES_tradnl"/>
        </w:rPr>
        <w:t xml:space="preserve"> </w:t>
      </w:r>
      <w:r>
        <w:rPr>
          <w:sz w:val="14"/>
          <w:szCs w:val="14"/>
          <w:lang w:val="es-ES_tradnl"/>
        </w:rPr>
        <w:t>Las</w:t>
      </w:r>
      <w:r>
        <w:rPr>
          <w:sz w:val="18"/>
          <w:szCs w:val="18"/>
          <w:lang w:val="es-ES_tradnl"/>
        </w:rPr>
        <w:t xml:space="preserve"> </w:t>
      </w:r>
      <w:r>
        <w:rPr>
          <w:sz w:val="14"/>
          <w:szCs w:val="14"/>
          <w:lang w:val="es-ES_tradnl"/>
        </w:rPr>
        <w:t>v</w:t>
      </w:r>
      <w:r>
        <w:rPr>
          <w:rFonts w:cs="Times New Roman"/>
          <w:sz w:val="14"/>
          <w:szCs w:val="14"/>
          <w:lang w:val="es-ES_tradnl"/>
        </w:rPr>
        <w:t>í</w:t>
      </w:r>
      <w:r>
        <w:rPr>
          <w:sz w:val="14"/>
          <w:szCs w:val="14"/>
          <w:lang w:val="es-ES_tradnl"/>
        </w:rPr>
        <w:t>ctimas</w:t>
      </w:r>
      <w:r>
        <w:rPr>
          <w:sz w:val="18"/>
          <w:szCs w:val="18"/>
          <w:lang w:val="es-ES_tradnl"/>
        </w:rPr>
        <w:t xml:space="preserve"> </w:t>
      </w:r>
      <w:r>
        <w:rPr>
          <w:sz w:val="14"/>
          <w:szCs w:val="14"/>
          <w:lang w:val="es-ES_tradnl"/>
        </w:rPr>
        <w:t>de infracciones penales gozar</w:t>
      </w:r>
      <w:r>
        <w:rPr>
          <w:rFonts w:cs="Times New Roman"/>
          <w:sz w:val="14"/>
          <w:szCs w:val="14"/>
          <w:lang w:val="es-ES_tradnl"/>
        </w:rPr>
        <w:t>á</w:t>
      </w:r>
      <w:r>
        <w:rPr>
          <w:sz w:val="14"/>
          <w:szCs w:val="14"/>
          <w:lang w:val="es-ES_tradnl"/>
        </w:rPr>
        <w:t>n de protecci</w:t>
      </w:r>
      <w:r>
        <w:rPr>
          <w:rFonts w:cs="Times New Roman"/>
          <w:sz w:val="14"/>
          <w:szCs w:val="14"/>
          <w:lang w:val="es-ES_tradnl"/>
        </w:rPr>
        <w:t>ó</w:t>
      </w:r>
      <w:r>
        <w:rPr>
          <w:sz w:val="14"/>
          <w:szCs w:val="14"/>
          <w:lang w:val="es-ES_tradnl"/>
        </w:rPr>
        <w:t>n especial, se les garantizar</w:t>
      </w:r>
      <w:r>
        <w:rPr>
          <w:rFonts w:cs="Times New Roman"/>
          <w:sz w:val="14"/>
          <w:szCs w:val="14"/>
          <w:lang w:val="es-ES_tradnl"/>
        </w:rPr>
        <w:t>á</w:t>
      </w:r>
      <w:r>
        <w:rPr>
          <w:sz w:val="14"/>
          <w:szCs w:val="14"/>
          <w:lang w:val="es-ES_tradnl"/>
        </w:rPr>
        <w:t xml:space="preserve"> su no revictimizaci</w:t>
      </w:r>
      <w:r>
        <w:rPr>
          <w:rFonts w:cs="Times New Roman"/>
          <w:sz w:val="14"/>
          <w:szCs w:val="14"/>
          <w:lang w:val="es-ES_tradnl"/>
        </w:rPr>
        <w:t>ó</w:t>
      </w:r>
      <w:r>
        <w:rPr>
          <w:sz w:val="14"/>
          <w:szCs w:val="14"/>
          <w:lang w:val="es-ES_tradnl"/>
        </w:rPr>
        <w:t>n, particularmente en la obtenci</w:t>
      </w:r>
      <w:r>
        <w:rPr>
          <w:rFonts w:cs="Times New Roman"/>
          <w:sz w:val="14"/>
          <w:szCs w:val="14"/>
          <w:lang w:val="es-ES_tradnl"/>
        </w:rPr>
        <w:t>ó</w:t>
      </w:r>
      <w:r>
        <w:rPr>
          <w:sz w:val="14"/>
          <w:szCs w:val="14"/>
          <w:lang w:val="es-ES_tradnl"/>
        </w:rPr>
        <w:t>n </w:t>
      </w:r>
      <w:r>
        <w:rPr>
          <w:spacing w:val="-3"/>
          <w:sz w:val="14"/>
          <w:szCs w:val="14"/>
          <w:lang w:val="es-ES_tradnl"/>
        </w:rPr>
        <w:t>y valoraci</w:t>
      </w:r>
      <w:r>
        <w:rPr>
          <w:rFonts w:cs="Times New Roman"/>
          <w:spacing w:val="-3"/>
          <w:sz w:val="14"/>
          <w:szCs w:val="14"/>
          <w:lang w:val="es-ES_tradnl"/>
        </w:rPr>
        <w:t>ó</w:t>
      </w:r>
      <w:r>
        <w:rPr>
          <w:spacing w:val="-3"/>
          <w:sz w:val="14"/>
          <w:szCs w:val="14"/>
          <w:lang w:val="es-ES_tradnl"/>
        </w:rPr>
        <w:t>n de las pruebas, y se las proteger</w:t>
      </w:r>
      <w:r>
        <w:rPr>
          <w:rFonts w:cs="Times New Roman"/>
          <w:spacing w:val="-3"/>
          <w:sz w:val="14"/>
          <w:szCs w:val="14"/>
          <w:lang w:val="es-ES_tradnl"/>
        </w:rPr>
        <w:t>á</w:t>
      </w:r>
      <w:r>
        <w:rPr>
          <w:spacing w:val="-3"/>
          <w:sz w:val="14"/>
          <w:szCs w:val="14"/>
          <w:lang w:val="es-ES_tradnl"/>
        </w:rPr>
        <w:t xml:space="preserve"> de cualquier amenaza </w:t>
      </w:r>
      <w:r>
        <w:rPr>
          <w:spacing w:val="-2"/>
          <w:sz w:val="14"/>
          <w:szCs w:val="14"/>
          <w:lang w:val="es-ES_tradnl"/>
        </w:rPr>
        <w:t>u otras formas de intimidaci</w:t>
      </w:r>
      <w:r>
        <w:rPr>
          <w:rFonts w:cs="Times New Roman"/>
          <w:spacing w:val="-2"/>
          <w:sz w:val="14"/>
          <w:szCs w:val="14"/>
          <w:lang w:val="es-ES_tradnl"/>
        </w:rPr>
        <w:t>ó</w:t>
      </w:r>
      <w:r>
        <w:rPr>
          <w:spacing w:val="-2"/>
          <w:sz w:val="14"/>
          <w:szCs w:val="14"/>
          <w:lang w:val="es-ES_tradnl"/>
        </w:rPr>
        <w:t>n. Se adoptar</w:t>
      </w:r>
      <w:r>
        <w:rPr>
          <w:rFonts w:cs="Times New Roman"/>
          <w:spacing w:val="-2"/>
          <w:sz w:val="14"/>
          <w:szCs w:val="14"/>
          <w:lang w:val="es-ES_tradnl"/>
        </w:rPr>
        <w:t>á</w:t>
      </w:r>
      <w:r>
        <w:rPr>
          <w:spacing w:val="-2"/>
          <w:sz w:val="14"/>
          <w:szCs w:val="14"/>
          <w:lang w:val="es-ES_tradnl"/>
        </w:rPr>
        <w:t>n mecanismos para una reparaci</w:t>
      </w:r>
      <w:r>
        <w:rPr>
          <w:rFonts w:cs="Times New Roman"/>
          <w:spacing w:val="-2"/>
          <w:sz w:val="14"/>
          <w:szCs w:val="14"/>
          <w:lang w:val="es-ES_tradnl"/>
        </w:rPr>
        <w:t>ó</w:t>
      </w:r>
      <w:r>
        <w:rPr>
          <w:spacing w:val="-2"/>
          <w:sz w:val="14"/>
          <w:szCs w:val="14"/>
          <w:lang w:val="es-ES_tradnl"/>
        </w:rPr>
        <w:t>n integral que incluir</w:t>
      </w:r>
      <w:r>
        <w:rPr>
          <w:rFonts w:cs="Times New Roman"/>
          <w:spacing w:val="-2"/>
          <w:sz w:val="14"/>
          <w:szCs w:val="14"/>
          <w:lang w:val="es-ES_tradnl"/>
        </w:rPr>
        <w:t>á</w:t>
      </w:r>
      <w:r>
        <w:rPr>
          <w:spacing w:val="-2"/>
          <w:sz w:val="14"/>
          <w:szCs w:val="14"/>
          <w:lang w:val="es-ES_tradnl"/>
        </w:rPr>
        <w:t>, sin dilaciones, el conocimiento de la </w:t>
      </w:r>
      <w:r>
        <w:rPr>
          <w:spacing w:val="-1"/>
          <w:sz w:val="14"/>
          <w:szCs w:val="14"/>
          <w:lang w:val="es-ES_tradnl"/>
        </w:rPr>
        <w:t>verdad de los hechos y la restituci</w:t>
      </w:r>
      <w:r>
        <w:rPr>
          <w:rFonts w:cs="Times New Roman"/>
          <w:spacing w:val="-1"/>
          <w:sz w:val="14"/>
          <w:szCs w:val="14"/>
          <w:lang w:val="es-ES_tradnl"/>
        </w:rPr>
        <w:t>ó</w:t>
      </w:r>
      <w:r>
        <w:rPr>
          <w:spacing w:val="-1"/>
          <w:sz w:val="14"/>
          <w:szCs w:val="14"/>
          <w:lang w:val="es-ES_tradnl"/>
        </w:rPr>
        <w:t>n, indemnizaci</w:t>
      </w:r>
      <w:r>
        <w:rPr>
          <w:rFonts w:cs="Times New Roman"/>
          <w:spacing w:val="-1"/>
          <w:sz w:val="14"/>
          <w:szCs w:val="14"/>
          <w:lang w:val="es-ES_tradnl"/>
        </w:rPr>
        <w:t>ó</w:t>
      </w:r>
      <w:r>
        <w:rPr>
          <w:spacing w:val="-1"/>
          <w:sz w:val="14"/>
          <w:szCs w:val="14"/>
          <w:lang w:val="es-ES_tradnl"/>
        </w:rPr>
        <w:t>n, rehabilitaci</w:t>
      </w:r>
      <w:r>
        <w:rPr>
          <w:rFonts w:cs="Times New Roman"/>
          <w:spacing w:val="-1"/>
          <w:sz w:val="14"/>
          <w:szCs w:val="14"/>
          <w:lang w:val="es-ES_tradnl"/>
        </w:rPr>
        <w:t>ó</w:t>
      </w:r>
      <w:r>
        <w:rPr>
          <w:spacing w:val="-1"/>
          <w:sz w:val="14"/>
          <w:szCs w:val="14"/>
          <w:lang w:val="es-ES_tradnl"/>
        </w:rPr>
        <w:t>n, garant</w:t>
      </w:r>
      <w:r>
        <w:rPr>
          <w:rFonts w:cs="Times New Roman"/>
          <w:spacing w:val="-1"/>
          <w:sz w:val="14"/>
          <w:szCs w:val="14"/>
          <w:lang w:val="es-ES_tradnl"/>
        </w:rPr>
        <w:t>í</w:t>
      </w:r>
      <w:r>
        <w:rPr>
          <w:spacing w:val="-1"/>
          <w:sz w:val="14"/>
          <w:szCs w:val="14"/>
          <w:lang w:val="es-ES_tradnl"/>
        </w:rPr>
        <w:t>a de no repetici</w:t>
      </w:r>
      <w:r>
        <w:rPr>
          <w:rFonts w:cs="Times New Roman"/>
          <w:spacing w:val="-1"/>
          <w:sz w:val="14"/>
          <w:szCs w:val="14"/>
          <w:lang w:val="es-ES_tradnl"/>
        </w:rPr>
        <w:t>ó</w:t>
      </w:r>
      <w:r>
        <w:rPr>
          <w:spacing w:val="-1"/>
          <w:sz w:val="14"/>
          <w:szCs w:val="14"/>
          <w:lang w:val="es-ES_tradnl"/>
        </w:rPr>
        <w:t>n y satisfacci</w:t>
      </w:r>
      <w:r>
        <w:rPr>
          <w:rFonts w:cs="Times New Roman"/>
          <w:spacing w:val="-1"/>
          <w:sz w:val="14"/>
          <w:szCs w:val="14"/>
          <w:lang w:val="es-ES_tradnl"/>
        </w:rPr>
        <w:t>ó</w:t>
      </w:r>
      <w:r>
        <w:rPr>
          <w:spacing w:val="-1"/>
          <w:sz w:val="14"/>
          <w:szCs w:val="14"/>
          <w:lang w:val="es-ES_tradnl"/>
        </w:rPr>
        <w:t>n del derecho violado.</w:t>
      </w:r>
    </w:p>
    <w:p w14:paraId="4F67BBF6" w14:textId="77777777" w:rsidR="00591D54" w:rsidRDefault="00591D54">
      <w:pPr>
        <w:shd w:val="clear" w:color="auto" w:fill="FFFFFF"/>
        <w:spacing w:line="178" w:lineRule="exact"/>
        <w:ind w:left="144"/>
      </w:pPr>
      <w:r>
        <w:rPr>
          <w:sz w:val="14"/>
          <w:szCs w:val="14"/>
          <w:lang w:val="es-ES_tradnl"/>
        </w:rPr>
        <w:t>Se establecer</w:t>
      </w:r>
      <w:r>
        <w:rPr>
          <w:rFonts w:cs="Times New Roman"/>
          <w:sz w:val="14"/>
          <w:szCs w:val="14"/>
          <w:lang w:val="es-ES_tradnl"/>
        </w:rPr>
        <w:t>á</w:t>
      </w:r>
      <w:r>
        <w:rPr>
          <w:sz w:val="14"/>
          <w:szCs w:val="14"/>
          <w:lang w:val="es-ES_tradnl"/>
        </w:rPr>
        <w:t xml:space="preserve"> un sistema de protecci</w:t>
      </w:r>
      <w:r>
        <w:rPr>
          <w:rFonts w:cs="Times New Roman"/>
          <w:sz w:val="14"/>
          <w:szCs w:val="14"/>
          <w:lang w:val="es-ES_tradnl"/>
        </w:rPr>
        <w:t>ó</w:t>
      </w:r>
      <w:r>
        <w:rPr>
          <w:sz w:val="14"/>
          <w:szCs w:val="14"/>
          <w:lang w:val="es-ES_tradnl"/>
        </w:rPr>
        <w:t>n y asistencia a v</w:t>
      </w:r>
      <w:r>
        <w:rPr>
          <w:rFonts w:cs="Times New Roman"/>
          <w:sz w:val="14"/>
          <w:szCs w:val="14"/>
          <w:lang w:val="es-ES_tradnl"/>
        </w:rPr>
        <w:t>í</w:t>
      </w:r>
      <w:r>
        <w:rPr>
          <w:sz w:val="14"/>
          <w:szCs w:val="14"/>
          <w:lang w:val="es-ES_tradnl"/>
        </w:rPr>
        <w:t>ctimas, testigos y participantes procesales.</w:t>
      </w:r>
    </w:p>
    <w:p w14:paraId="4F67BBF7" w14:textId="77777777" w:rsidR="00591D54" w:rsidRDefault="00591D54">
      <w:pPr>
        <w:shd w:val="clear" w:color="auto" w:fill="FFFFFF"/>
        <w:spacing w:line="178" w:lineRule="exact"/>
        <w:ind w:left="144"/>
        <w:sectPr w:rsidR="00591D54">
          <w:type w:val="continuous"/>
          <w:pgSz w:w="11909" w:h="16834"/>
          <w:pgMar w:top="1337" w:right="1304" w:bottom="360" w:left="1308" w:header="720" w:footer="720" w:gutter="0"/>
          <w:cols w:num="2" w:space="720" w:equalWidth="0">
            <w:col w:w="4305" w:space="682"/>
            <w:col w:w="4310"/>
          </w:cols>
          <w:noEndnote/>
        </w:sectPr>
      </w:pPr>
    </w:p>
    <w:p w14:paraId="4F67BBF8" w14:textId="77777777" w:rsidR="00591D54" w:rsidRDefault="00591D54">
      <w:pPr>
        <w:shd w:val="clear" w:color="auto" w:fill="FFFFFF"/>
        <w:tabs>
          <w:tab w:val="left" w:pos="5842"/>
        </w:tabs>
        <w:spacing w:after="235"/>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- 297</w:t>
      </w:r>
    </w:p>
    <w:p w14:paraId="4F67BBF9" w14:textId="77777777" w:rsidR="00591D54" w:rsidRDefault="00591D54">
      <w:pPr>
        <w:shd w:val="clear" w:color="auto" w:fill="FFFFFF"/>
        <w:tabs>
          <w:tab w:val="left" w:pos="5842"/>
        </w:tabs>
        <w:spacing w:after="235"/>
        <w:ind w:left="5"/>
        <w:sectPr w:rsidR="00591D54">
          <w:pgSz w:w="11909" w:h="16834"/>
          <w:pgMar w:top="1366" w:right="1309" w:bottom="360" w:left="1308" w:header="720" w:footer="720" w:gutter="0"/>
          <w:cols w:space="60"/>
          <w:noEndnote/>
        </w:sectPr>
      </w:pPr>
    </w:p>
    <w:p w14:paraId="4F67BBFA" w14:textId="77777777" w:rsidR="00591D54" w:rsidRDefault="00591D54">
      <w:pPr>
        <w:shd w:val="clear" w:color="auto" w:fill="FFFFFF"/>
        <w:spacing w:line="216" w:lineRule="exact"/>
        <w:jc w:val="both"/>
      </w:pPr>
      <w:r>
        <w:rPr>
          <w:spacing w:val="-5"/>
          <w:sz w:val="18"/>
          <w:szCs w:val="18"/>
          <w:lang w:val="es-ES_tradnl"/>
        </w:rPr>
        <w:t>obedece a los mandatos del art</w:t>
      </w:r>
      <w:r>
        <w:rPr>
          <w:rFonts w:cs="Times New Roman"/>
          <w:spacing w:val="-5"/>
          <w:sz w:val="18"/>
          <w:szCs w:val="18"/>
          <w:lang w:val="es-ES_tradnl"/>
        </w:rPr>
        <w:t>í</w:t>
      </w:r>
      <w:r>
        <w:rPr>
          <w:spacing w:val="-5"/>
          <w:sz w:val="18"/>
          <w:szCs w:val="18"/>
          <w:lang w:val="es-ES_tradnl"/>
        </w:rPr>
        <w:t>culo 42 del C</w:t>
      </w:r>
      <w:r>
        <w:rPr>
          <w:rFonts w:cs="Times New Roman"/>
          <w:spacing w:val="-5"/>
          <w:sz w:val="18"/>
          <w:szCs w:val="18"/>
          <w:lang w:val="es-ES_tradnl"/>
        </w:rPr>
        <w:t>ó</w:t>
      </w:r>
      <w:r>
        <w:rPr>
          <w:spacing w:val="-5"/>
          <w:sz w:val="18"/>
          <w:szCs w:val="18"/>
          <w:lang w:val="es-ES_tradnl"/>
        </w:rPr>
        <w:t xml:space="preserve">digo Penal </w:t>
      </w:r>
      <w:r>
        <w:rPr>
          <w:spacing w:val="-4"/>
          <w:sz w:val="18"/>
          <w:szCs w:val="18"/>
          <w:lang w:val="es-ES_tradnl"/>
        </w:rPr>
        <w:t>y los art</w:t>
      </w:r>
      <w:r>
        <w:rPr>
          <w:rFonts w:cs="Times New Roman"/>
          <w:spacing w:val="-4"/>
          <w:sz w:val="18"/>
          <w:szCs w:val="18"/>
          <w:lang w:val="es-ES_tradnl"/>
        </w:rPr>
        <w:t>í</w:t>
      </w:r>
      <w:r>
        <w:rPr>
          <w:spacing w:val="-4"/>
          <w:sz w:val="18"/>
          <w:szCs w:val="18"/>
          <w:lang w:val="es-ES_tradnl"/>
        </w:rPr>
        <w:t>culos 143; 304 A; 309; 312 y 370 del C</w:t>
      </w:r>
      <w:r>
        <w:rPr>
          <w:rFonts w:cs="Times New Roman"/>
          <w:spacing w:val="-4"/>
          <w:sz w:val="18"/>
          <w:szCs w:val="18"/>
          <w:lang w:val="es-ES_tradnl"/>
        </w:rPr>
        <w:t>ó</w:t>
      </w:r>
      <w:r>
        <w:rPr>
          <w:spacing w:val="-4"/>
          <w:sz w:val="18"/>
          <w:szCs w:val="18"/>
          <w:lang w:val="es-ES_tradnl"/>
        </w:rPr>
        <w:t xml:space="preserve">digo de </w:t>
      </w:r>
      <w:r>
        <w:rPr>
          <w:spacing w:val="-5"/>
          <w:sz w:val="18"/>
          <w:szCs w:val="18"/>
          <w:lang w:val="es-ES_tradnl"/>
        </w:rPr>
        <w:t>Procedimiento Penal vigentes al momento de la emisi</w:t>
      </w:r>
      <w:r>
        <w:rPr>
          <w:rFonts w:cs="Times New Roman"/>
          <w:spacing w:val="-5"/>
          <w:sz w:val="18"/>
          <w:szCs w:val="18"/>
          <w:lang w:val="es-ES_tradnl"/>
        </w:rPr>
        <w:t>ó</w:t>
      </w:r>
      <w:r>
        <w:rPr>
          <w:spacing w:val="-5"/>
          <w:sz w:val="18"/>
          <w:szCs w:val="18"/>
          <w:lang w:val="es-ES_tradnl"/>
        </w:rPr>
        <w:t xml:space="preserve">n </w:t>
      </w:r>
      <w:r>
        <w:rPr>
          <w:spacing w:val="-7"/>
          <w:sz w:val="18"/>
          <w:szCs w:val="18"/>
          <w:lang w:val="es-ES_tradnl"/>
        </w:rPr>
        <w:t>de la resoluci</w:t>
      </w:r>
      <w:r>
        <w:rPr>
          <w:rFonts w:cs="Times New Roman"/>
          <w:spacing w:val="-7"/>
          <w:sz w:val="18"/>
          <w:szCs w:val="18"/>
          <w:lang w:val="es-ES_tradnl"/>
        </w:rPr>
        <w:t>ó</w:t>
      </w:r>
      <w:r>
        <w:rPr>
          <w:spacing w:val="-7"/>
          <w:sz w:val="18"/>
          <w:szCs w:val="18"/>
          <w:lang w:val="es-ES_tradnl"/>
        </w:rPr>
        <w:t xml:space="preserve">n; toda vez que asumida la responsabilidad </w:t>
      </w:r>
      <w:r>
        <w:rPr>
          <w:spacing w:val="-6"/>
          <w:sz w:val="18"/>
          <w:szCs w:val="18"/>
          <w:lang w:val="es-ES_tradnl"/>
        </w:rPr>
        <w:t xml:space="preserve">penal por el propio acusado, resultaba innecesario que el </w:t>
      </w:r>
      <w:r>
        <w:rPr>
          <w:spacing w:val="-8"/>
          <w:sz w:val="18"/>
          <w:szCs w:val="18"/>
          <w:lang w:val="es-ES_tradnl"/>
        </w:rPr>
        <w:t xml:space="preserve">fallo se refiera a las alegaciones de Burbano Muriel (ahora </w:t>
      </w:r>
      <w:r>
        <w:rPr>
          <w:spacing w:val="-7"/>
          <w:sz w:val="18"/>
          <w:szCs w:val="18"/>
          <w:lang w:val="es-ES_tradnl"/>
        </w:rPr>
        <w:t>legitimado activo), pues de hacerlo ciertamente contrar</w:t>
      </w:r>
      <w:r>
        <w:rPr>
          <w:rFonts w:cs="Times New Roman"/>
          <w:spacing w:val="-7"/>
          <w:sz w:val="18"/>
          <w:szCs w:val="18"/>
          <w:lang w:val="es-ES_tradnl"/>
        </w:rPr>
        <w:t>í</w:t>
      </w:r>
      <w:r>
        <w:rPr>
          <w:spacing w:val="-7"/>
          <w:sz w:val="18"/>
          <w:szCs w:val="18"/>
          <w:lang w:val="es-ES_tradnl"/>
        </w:rPr>
        <w:t xml:space="preserve">a a </w:t>
      </w:r>
      <w:r>
        <w:rPr>
          <w:spacing w:val="-6"/>
          <w:sz w:val="18"/>
          <w:szCs w:val="18"/>
          <w:lang w:val="es-ES_tradnl"/>
        </w:rPr>
        <w:t>la naturaleza y objeto del procedimiento abreviado, raz</w:t>
      </w:r>
      <w:r>
        <w:rPr>
          <w:rFonts w:cs="Times New Roman"/>
          <w:spacing w:val="-6"/>
          <w:sz w:val="18"/>
          <w:szCs w:val="18"/>
          <w:lang w:val="es-ES_tradnl"/>
        </w:rPr>
        <w:t>ó</w:t>
      </w:r>
      <w:r>
        <w:rPr>
          <w:spacing w:val="-6"/>
          <w:sz w:val="18"/>
          <w:szCs w:val="18"/>
          <w:lang w:val="es-ES_tradnl"/>
        </w:rPr>
        <w:t xml:space="preserve">n </w:t>
      </w:r>
      <w:r>
        <w:rPr>
          <w:spacing w:val="-3"/>
          <w:sz w:val="18"/>
          <w:szCs w:val="18"/>
          <w:lang w:val="es-ES_tradnl"/>
        </w:rPr>
        <w:t>por la cual la supuesta omisi</w:t>
      </w:r>
      <w:r>
        <w:rPr>
          <w:rFonts w:cs="Times New Roman"/>
          <w:spacing w:val="-3"/>
          <w:sz w:val="18"/>
          <w:szCs w:val="18"/>
          <w:lang w:val="es-ES_tradnl"/>
        </w:rPr>
        <w:t>ó</w:t>
      </w:r>
      <w:r>
        <w:rPr>
          <w:spacing w:val="-3"/>
          <w:sz w:val="18"/>
          <w:szCs w:val="18"/>
          <w:lang w:val="es-ES_tradnl"/>
        </w:rPr>
        <w:t xml:space="preserve">n en los puntos referidos, </w:t>
      </w:r>
      <w:r>
        <w:rPr>
          <w:spacing w:val="-1"/>
          <w:sz w:val="18"/>
          <w:szCs w:val="18"/>
          <w:lang w:val="es-ES_tradnl"/>
        </w:rPr>
        <w:t xml:space="preserve">no inobserva el elemento llamado razonabilidad que </w:t>
      </w:r>
      <w:r>
        <w:rPr>
          <w:spacing w:val="-6"/>
          <w:sz w:val="18"/>
          <w:szCs w:val="18"/>
          <w:lang w:val="es-ES_tradnl"/>
        </w:rPr>
        <w:t>forma parte del derecho al debido proceso en la garant</w:t>
      </w:r>
      <w:r>
        <w:rPr>
          <w:rFonts w:cs="Times New Roman"/>
          <w:spacing w:val="-6"/>
          <w:sz w:val="18"/>
          <w:szCs w:val="18"/>
          <w:lang w:val="es-ES_tradnl"/>
        </w:rPr>
        <w:t>í</w:t>
      </w:r>
      <w:r>
        <w:rPr>
          <w:spacing w:val="-6"/>
          <w:sz w:val="18"/>
          <w:szCs w:val="18"/>
          <w:lang w:val="es-ES_tradnl"/>
        </w:rPr>
        <w:t xml:space="preserve">a </w:t>
      </w:r>
      <w:r>
        <w:rPr>
          <w:spacing w:val="-2"/>
          <w:sz w:val="18"/>
          <w:szCs w:val="18"/>
          <w:lang w:val="es-ES_tradnl"/>
        </w:rPr>
        <w:t>de la motivaci</w:t>
      </w:r>
      <w:r>
        <w:rPr>
          <w:rFonts w:cs="Times New Roman"/>
          <w:spacing w:val="-2"/>
          <w:sz w:val="18"/>
          <w:szCs w:val="18"/>
          <w:lang w:val="es-ES_tradnl"/>
        </w:rPr>
        <w:t>ó</w:t>
      </w:r>
      <w:r>
        <w:rPr>
          <w:spacing w:val="-2"/>
          <w:sz w:val="18"/>
          <w:szCs w:val="18"/>
          <w:lang w:val="es-ES_tradnl"/>
        </w:rPr>
        <w:t>n, previsto en el art</w:t>
      </w:r>
      <w:r>
        <w:rPr>
          <w:rFonts w:cs="Times New Roman"/>
          <w:spacing w:val="-2"/>
          <w:sz w:val="18"/>
          <w:szCs w:val="18"/>
          <w:lang w:val="es-ES_tradnl"/>
        </w:rPr>
        <w:t>í</w:t>
      </w:r>
      <w:r>
        <w:rPr>
          <w:spacing w:val="-2"/>
          <w:sz w:val="18"/>
          <w:szCs w:val="18"/>
          <w:lang w:val="es-ES_tradnl"/>
        </w:rPr>
        <w:t xml:space="preserve">culo 76 numeral 7 </w:t>
      </w:r>
      <w:r>
        <w:rPr>
          <w:spacing w:val="-5"/>
          <w:sz w:val="18"/>
          <w:szCs w:val="18"/>
          <w:lang w:val="es-ES_tradnl"/>
        </w:rPr>
        <w:t>literal l de la Constituci</w:t>
      </w:r>
      <w:r>
        <w:rPr>
          <w:rFonts w:cs="Times New Roman"/>
          <w:spacing w:val="-5"/>
          <w:sz w:val="18"/>
          <w:szCs w:val="18"/>
          <w:lang w:val="es-ES_tradnl"/>
        </w:rPr>
        <w:t>ó</w:t>
      </w:r>
      <w:r>
        <w:rPr>
          <w:spacing w:val="-5"/>
          <w:sz w:val="18"/>
          <w:szCs w:val="18"/>
          <w:lang w:val="es-ES_tradnl"/>
        </w:rPr>
        <w:t xml:space="preserve">n, en consecuencia, la sentencia </w:t>
      </w:r>
      <w:r>
        <w:rPr>
          <w:sz w:val="18"/>
          <w:szCs w:val="18"/>
          <w:lang w:val="es-ES_tradnl"/>
        </w:rPr>
        <w:t>objetada cumple con dicho par</w:t>
      </w:r>
      <w:r>
        <w:rPr>
          <w:rFonts w:cs="Times New Roman"/>
          <w:sz w:val="18"/>
          <w:szCs w:val="18"/>
          <w:lang w:val="es-ES_tradnl"/>
        </w:rPr>
        <w:t>á</w:t>
      </w:r>
      <w:r>
        <w:rPr>
          <w:sz w:val="18"/>
          <w:szCs w:val="18"/>
          <w:lang w:val="es-ES_tradnl"/>
        </w:rPr>
        <w:t xml:space="preserve">metro, ya que, como </w:t>
      </w:r>
      <w:r>
        <w:rPr>
          <w:spacing w:val="-5"/>
          <w:sz w:val="18"/>
          <w:szCs w:val="18"/>
          <w:lang w:val="es-ES_tradnl"/>
        </w:rPr>
        <w:t>se puede apreciar la resoluci</w:t>
      </w:r>
      <w:r>
        <w:rPr>
          <w:rFonts w:cs="Times New Roman"/>
          <w:spacing w:val="-5"/>
          <w:sz w:val="18"/>
          <w:szCs w:val="18"/>
          <w:lang w:val="es-ES_tradnl"/>
        </w:rPr>
        <w:t>ó</w:t>
      </w:r>
      <w:r>
        <w:rPr>
          <w:spacing w:val="-5"/>
          <w:sz w:val="18"/>
          <w:szCs w:val="18"/>
          <w:lang w:val="es-ES_tradnl"/>
        </w:rPr>
        <w:t xml:space="preserve">n se fundamenta en las normas sustantivas y adjetivas previstas para el referido </w:t>
      </w:r>
      <w:r>
        <w:rPr>
          <w:spacing w:val="-4"/>
          <w:sz w:val="18"/>
          <w:szCs w:val="18"/>
          <w:lang w:val="es-ES_tradnl"/>
        </w:rPr>
        <w:t>juzgamiento, en tal virtud, contiene la correspondiente explicaci</w:t>
      </w:r>
      <w:r>
        <w:rPr>
          <w:rFonts w:cs="Times New Roman"/>
          <w:spacing w:val="-4"/>
          <w:sz w:val="18"/>
          <w:szCs w:val="18"/>
          <w:lang w:val="es-ES_tradnl"/>
        </w:rPr>
        <w:t>ó</w:t>
      </w:r>
      <w:r>
        <w:rPr>
          <w:spacing w:val="-4"/>
          <w:sz w:val="18"/>
          <w:szCs w:val="18"/>
          <w:lang w:val="es-ES_tradnl"/>
        </w:rPr>
        <w:t>n pertinente de la aplicaci</w:t>
      </w:r>
      <w:r>
        <w:rPr>
          <w:rFonts w:cs="Times New Roman"/>
          <w:spacing w:val="-4"/>
          <w:sz w:val="18"/>
          <w:szCs w:val="18"/>
          <w:lang w:val="es-ES_tradnl"/>
        </w:rPr>
        <w:t>ó</w:t>
      </w:r>
      <w:r>
        <w:rPr>
          <w:spacing w:val="-4"/>
          <w:sz w:val="18"/>
          <w:szCs w:val="18"/>
          <w:lang w:val="es-ES_tradnl"/>
        </w:rPr>
        <w:t xml:space="preserve">n de las normas procedimentales relacionadas con el procedimiento </w:t>
      </w:r>
      <w:r>
        <w:rPr>
          <w:sz w:val="18"/>
          <w:szCs w:val="18"/>
          <w:lang w:val="es-ES_tradnl"/>
        </w:rPr>
        <w:t>abreviado.</w:t>
      </w:r>
    </w:p>
    <w:p w14:paraId="4F67BBFB" w14:textId="77777777" w:rsidR="00591D54" w:rsidRDefault="00591D54">
      <w:pPr>
        <w:shd w:val="clear" w:color="auto" w:fill="FFFFFF"/>
        <w:spacing w:before="192" w:line="216" w:lineRule="exact"/>
        <w:jc w:val="both"/>
      </w:pPr>
      <w:r>
        <w:rPr>
          <w:spacing w:val="-8"/>
          <w:sz w:val="18"/>
          <w:szCs w:val="18"/>
          <w:lang w:val="es-ES_tradnl"/>
        </w:rPr>
        <w:t>En cuanto al par</w:t>
      </w:r>
      <w:r>
        <w:rPr>
          <w:rFonts w:cs="Times New Roman"/>
          <w:spacing w:val="-8"/>
          <w:sz w:val="18"/>
          <w:szCs w:val="18"/>
          <w:lang w:val="es-ES_tradnl"/>
        </w:rPr>
        <w:t>á</w:t>
      </w:r>
      <w:r>
        <w:rPr>
          <w:spacing w:val="-8"/>
          <w:sz w:val="18"/>
          <w:szCs w:val="18"/>
          <w:lang w:val="es-ES_tradnl"/>
        </w:rPr>
        <w:t xml:space="preserve">metro de la </w:t>
      </w:r>
      <w:r>
        <w:rPr>
          <w:b/>
          <w:bCs/>
          <w:spacing w:val="-8"/>
          <w:sz w:val="18"/>
          <w:szCs w:val="18"/>
          <w:lang w:val="es-ES_tradnl"/>
        </w:rPr>
        <w:t>l</w:t>
      </w:r>
      <w:r>
        <w:rPr>
          <w:rFonts w:cs="Times New Roman"/>
          <w:b/>
          <w:bCs/>
          <w:spacing w:val="-8"/>
          <w:sz w:val="18"/>
          <w:szCs w:val="18"/>
          <w:lang w:val="es-ES_tradnl"/>
        </w:rPr>
        <w:t>ó</w:t>
      </w:r>
      <w:r>
        <w:rPr>
          <w:b/>
          <w:bCs/>
          <w:spacing w:val="-8"/>
          <w:sz w:val="18"/>
          <w:szCs w:val="18"/>
          <w:lang w:val="es-ES_tradnl"/>
        </w:rPr>
        <w:t xml:space="preserve">gica </w:t>
      </w:r>
      <w:r>
        <w:rPr>
          <w:spacing w:val="-8"/>
          <w:sz w:val="18"/>
          <w:szCs w:val="18"/>
          <w:lang w:val="es-ES_tradnl"/>
        </w:rPr>
        <w:t xml:space="preserve">la Corte Constitucional </w:t>
      </w:r>
      <w:r>
        <w:rPr>
          <w:spacing w:val="-5"/>
          <w:sz w:val="18"/>
          <w:szCs w:val="18"/>
          <w:lang w:val="es-ES_tradnl"/>
        </w:rPr>
        <w:t>tiene a bien considerar que este elemento tiene relaci</w:t>
      </w:r>
      <w:r>
        <w:rPr>
          <w:rFonts w:cs="Times New Roman"/>
          <w:spacing w:val="-5"/>
          <w:sz w:val="18"/>
          <w:szCs w:val="18"/>
          <w:lang w:val="es-ES_tradnl"/>
        </w:rPr>
        <w:t>ó</w:t>
      </w:r>
      <w:r>
        <w:rPr>
          <w:spacing w:val="-5"/>
          <w:sz w:val="18"/>
          <w:szCs w:val="18"/>
          <w:lang w:val="es-ES_tradnl"/>
        </w:rPr>
        <w:t xml:space="preserve">n </w:t>
      </w:r>
      <w:r>
        <w:rPr>
          <w:spacing w:val="-9"/>
          <w:sz w:val="18"/>
          <w:szCs w:val="18"/>
          <w:lang w:val="es-ES_tradnl"/>
        </w:rPr>
        <w:t>directa con la coherencia entre las premisas y la conclusi</w:t>
      </w:r>
      <w:r>
        <w:rPr>
          <w:rFonts w:cs="Times New Roman"/>
          <w:spacing w:val="-9"/>
          <w:sz w:val="18"/>
          <w:szCs w:val="18"/>
          <w:lang w:val="es-ES_tradnl"/>
        </w:rPr>
        <w:t>ó</w:t>
      </w:r>
      <w:r>
        <w:rPr>
          <w:spacing w:val="-9"/>
          <w:sz w:val="18"/>
          <w:szCs w:val="18"/>
          <w:lang w:val="es-ES_tradnl"/>
        </w:rPr>
        <w:t xml:space="preserve">n, </w:t>
      </w:r>
      <w:r>
        <w:rPr>
          <w:spacing w:val="-1"/>
          <w:sz w:val="18"/>
          <w:szCs w:val="18"/>
          <w:lang w:val="es-ES_tradnl"/>
        </w:rPr>
        <w:t>as</w:t>
      </w:r>
      <w:r>
        <w:rPr>
          <w:rFonts w:cs="Times New Roman"/>
          <w:spacing w:val="-1"/>
          <w:sz w:val="18"/>
          <w:szCs w:val="18"/>
          <w:lang w:val="es-ES_tradnl"/>
        </w:rPr>
        <w:t>í</w:t>
      </w:r>
      <w:r>
        <w:rPr>
          <w:spacing w:val="-1"/>
          <w:sz w:val="18"/>
          <w:szCs w:val="18"/>
          <w:lang w:val="es-ES_tradnl"/>
        </w:rPr>
        <w:t xml:space="preserve"> como entre esta y la decisi</w:t>
      </w:r>
      <w:r>
        <w:rPr>
          <w:rFonts w:cs="Times New Roman"/>
          <w:spacing w:val="-1"/>
          <w:sz w:val="18"/>
          <w:szCs w:val="18"/>
          <w:lang w:val="es-ES_tradnl"/>
        </w:rPr>
        <w:t>ó</w:t>
      </w:r>
      <w:r>
        <w:rPr>
          <w:spacing w:val="-1"/>
          <w:sz w:val="18"/>
          <w:szCs w:val="18"/>
          <w:lang w:val="es-ES_tradnl"/>
        </w:rPr>
        <w:t>n; es decir, que est</w:t>
      </w:r>
      <w:r>
        <w:rPr>
          <w:rFonts w:cs="Times New Roman"/>
          <w:spacing w:val="-1"/>
          <w:sz w:val="18"/>
          <w:szCs w:val="18"/>
          <w:lang w:val="es-ES_tradnl"/>
        </w:rPr>
        <w:t>é</w:t>
      </w:r>
      <w:r>
        <w:rPr>
          <w:spacing w:val="-1"/>
          <w:sz w:val="18"/>
          <w:szCs w:val="18"/>
          <w:lang w:val="es-ES_tradnl"/>
        </w:rPr>
        <w:t xml:space="preserve">n </w:t>
      </w:r>
      <w:r>
        <w:rPr>
          <w:spacing w:val="-7"/>
          <w:sz w:val="18"/>
          <w:szCs w:val="18"/>
          <w:lang w:val="es-ES_tradnl"/>
        </w:rPr>
        <w:t xml:space="preserve">los elementos ordenados y concatenados que permitan </w:t>
      </w:r>
      <w:r>
        <w:rPr>
          <w:spacing w:val="-1"/>
          <w:sz w:val="18"/>
          <w:szCs w:val="18"/>
          <w:lang w:val="es-ES_tradnl"/>
        </w:rPr>
        <w:t xml:space="preserve">construir un juicio de valor en el juzgador al momento </w:t>
      </w:r>
      <w:r>
        <w:rPr>
          <w:spacing w:val="-3"/>
          <w:sz w:val="18"/>
          <w:szCs w:val="18"/>
          <w:lang w:val="es-ES_tradnl"/>
        </w:rPr>
        <w:t>de emitir una resoluci</w:t>
      </w:r>
      <w:r>
        <w:rPr>
          <w:rFonts w:cs="Times New Roman"/>
          <w:spacing w:val="-3"/>
          <w:sz w:val="18"/>
          <w:szCs w:val="18"/>
          <w:lang w:val="es-ES_tradnl"/>
        </w:rPr>
        <w:t>ó</w:t>
      </w:r>
      <w:r>
        <w:rPr>
          <w:spacing w:val="-3"/>
          <w:sz w:val="18"/>
          <w:szCs w:val="18"/>
          <w:lang w:val="es-ES_tradnl"/>
        </w:rPr>
        <w:t xml:space="preserve">n. En efecto, los elementos </w:t>
      </w:r>
      <w:r>
        <w:rPr>
          <w:spacing w:val="-10"/>
          <w:sz w:val="18"/>
          <w:szCs w:val="18"/>
          <w:lang w:val="es-ES_tradnl"/>
        </w:rPr>
        <w:t>mencionados en l</w:t>
      </w:r>
      <w:r>
        <w:rPr>
          <w:rFonts w:cs="Times New Roman"/>
          <w:spacing w:val="-10"/>
          <w:sz w:val="18"/>
          <w:szCs w:val="18"/>
          <w:lang w:val="es-ES_tradnl"/>
        </w:rPr>
        <w:t>í</w:t>
      </w:r>
      <w:r>
        <w:rPr>
          <w:spacing w:val="-10"/>
          <w:sz w:val="18"/>
          <w:szCs w:val="18"/>
          <w:lang w:val="es-ES_tradnl"/>
        </w:rPr>
        <w:t xml:space="preserve">neas anteriores deben estar estructurados </w:t>
      </w:r>
      <w:r>
        <w:rPr>
          <w:spacing w:val="-4"/>
          <w:sz w:val="18"/>
          <w:szCs w:val="18"/>
          <w:lang w:val="es-ES_tradnl"/>
        </w:rPr>
        <w:t>de forma sistem</w:t>
      </w:r>
      <w:r>
        <w:rPr>
          <w:rFonts w:cs="Times New Roman"/>
          <w:spacing w:val="-4"/>
          <w:sz w:val="18"/>
          <w:szCs w:val="18"/>
          <w:lang w:val="es-ES_tradnl"/>
        </w:rPr>
        <w:t>á</w:t>
      </w:r>
      <w:r>
        <w:rPr>
          <w:spacing w:val="-4"/>
          <w:sz w:val="18"/>
          <w:szCs w:val="18"/>
          <w:lang w:val="es-ES_tradnl"/>
        </w:rPr>
        <w:t>tica y ordenada, para permitirle al administrador de justicia, tener razones jur</w:t>
      </w:r>
      <w:r>
        <w:rPr>
          <w:rFonts w:cs="Times New Roman"/>
          <w:spacing w:val="-4"/>
          <w:sz w:val="18"/>
          <w:szCs w:val="18"/>
          <w:lang w:val="es-ES_tradnl"/>
        </w:rPr>
        <w:t>í</w:t>
      </w:r>
      <w:r>
        <w:rPr>
          <w:spacing w:val="-4"/>
          <w:sz w:val="18"/>
          <w:szCs w:val="18"/>
          <w:lang w:val="es-ES_tradnl"/>
        </w:rPr>
        <w:t xml:space="preserve">dicamente </w:t>
      </w:r>
      <w:r>
        <w:rPr>
          <w:spacing w:val="-8"/>
          <w:sz w:val="18"/>
          <w:szCs w:val="18"/>
          <w:lang w:val="es-ES_tradnl"/>
        </w:rPr>
        <w:t>v</w:t>
      </w:r>
      <w:r>
        <w:rPr>
          <w:rFonts w:cs="Times New Roman"/>
          <w:spacing w:val="-8"/>
          <w:sz w:val="18"/>
          <w:szCs w:val="18"/>
          <w:lang w:val="es-ES_tradnl"/>
        </w:rPr>
        <w:t>á</w:t>
      </w:r>
      <w:r>
        <w:rPr>
          <w:spacing w:val="-8"/>
          <w:sz w:val="18"/>
          <w:szCs w:val="18"/>
          <w:lang w:val="es-ES_tradnl"/>
        </w:rPr>
        <w:t>lidas que guarden coherencia con los elementos f</w:t>
      </w:r>
      <w:r>
        <w:rPr>
          <w:rFonts w:cs="Times New Roman"/>
          <w:spacing w:val="-8"/>
          <w:sz w:val="18"/>
          <w:szCs w:val="18"/>
          <w:lang w:val="es-ES_tradnl"/>
        </w:rPr>
        <w:t>á</w:t>
      </w:r>
      <w:r>
        <w:rPr>
          <w:spacing w:val="-8"/>
          <w:sz w:val="18"/>
          <w:szCs w:val="18"/>
          <w:lang w:val="es-ES_tradnl"/>
        </w:rPr>
        <w:t>cticos y jur</w:t>
      </w:r>
      <w:r>
        <w:rPr>
          <w:rFonts w:cs="Times New Roman"/>
          <w:spacing w:val="-8"/>
          <w:sz w:val="18"/>
          <w:szCs w:val="18"/>
          <w:lang w:val="es-ES_tradnl"/>
        </w:rPr>
        <w:t>í</w:t>
      </w:r>
      <w:r>
        <w:rPr>
          <w:spacing w:val="-8"/>
          <w:sz w:val="18"/>
          <w:szCs w:val="18"/>
          <w:lang w:val="es-ES_tradnl"/>
        </w:rPr>
        <w:t>dicos, y as</w:t>
      </w:r>
      <w:r>
        <w:rPr>
          <w:rFonts w:cs="Times New Roman"/>
          <w:spacing w:val="-8"/>
          <w:sz w:val="18"/>
          <w:szCs w:val="18"/>
          <w:lang w:val="es-ES_tradnl"/>
        </w:rPr>
        <w:t>í</w:t>
      </w:r>
      <w:r>
        <w:rPr>
          <w:spacing w:val="-8"/>
          <w:sz w:val="18"/>
          <w:szCs w:val="18"/>
          <w:lang w:val="es-ES_tradnl"/>
        </w:rPr>
        <w:t xml:space="preserve"> llegar a una conclusi</w:t>
      </w:r>
      <w:r>
        <w:rPr>
          <w:rFonts w:cs="Times New Roman"/>
          <w:spacing w:val="-8"/>
          <w:sz w:val="18"/>
          <w:szCs w:val="18"/>
          <w:lang w:val="es-ES_tradnl"/>
        </w:rPr>
        <w:t>ó</w:t>
      </w:r>
      <w:r>
        <w:rPr>
          <w:spacing w:val="-8"/>
          <w:sz w:val="18"/>
          <w:szCs w:val="18"/>
          <w:lang w:val="es-ES_tradnl"/>
        </w:rPr>
        <w:t xml:space="preserve">n, que se traduce en </w:t>
      </w:r>
      <w:r>
        <w:rPr>
          <w:sz w:val="18"/>
          <w:szCs w:val="18"/>
          <w:lang w:val="es-ES_tradnl"/>
        </w:rPr>
        <w:t>la decisi</w:t>
      </w:r>
      <w:r>
        <w:rPr>
          <w:rFonts w:cs="Times New Roman"/>
          <w:sz w:val="18"/>
          <w:szCs w:val="18"/>
          <w:lang w:val="es-ES_tradnl"/>
        </w:rPr>
        <w:t>ó</w:t>
      </w:r>
      <w:r>
        <w:rPr>
          <w:sz w:val="18"/>
          <w:szCs w:val="18"/>
          <w:lang w:val="es-ES_tradnl"/>
        </w:rPr>
        <w:t>n final del proceso.</w:t>
      </w:r>
    </w:p>
    <w:p w14:paraId="4F67BBFC" w14:textId="77777777" w:rsidR="00591D54" w:rsidRDefault="00591D54">
      <w:pPr>
        <w:shd w:val="clear" w:color="auto" w:fill="FFFFFF"/>
        <w:spacing w:before="197" w:line="216" w:lineRule="exact"/>
        <w:jc w:val="both"/>
      </w:pPr>
      <w:r>
        <w:rPr>
          <w:spacing w:val="-6"/>
          <w:sz w:val="18"/>
          <w:szCs w:val="18"/>
          <w:lang w:val="es-ES_tradnl"/>
        </w:rPr>
        <w:t>Desde este punto de vista, los jueces del Tribunal Penal como primer punto indican que esta causa est</w:t>
      </w:r>
      <w:r>
        <w:rPr>
          <w:rFonts w:cs="Times New Roman"/>
          <w:spacing w:val="-6"/>
          <w:sz w:val="18"/>
          <w:szCs w:val="18"/>
          <w:lang w:val="es-ES_tradnl"/>
        </w:rPr>
        <w:t>á</w:t>
      </w:r>
      <w:r>
        <w:rPr>
          <w:spacing w:val="-6"/>
          <w:sz w:val="18"/>
          <w:szCs w:val="18"/>
          <w:lang w:val="es-ES_tradnl"/>
        </w:rPr>
        <w:t xml:space="preserve"> sometida </w:t>
      </w:r>
      <w:r>
        <w:rPr>
          <w:spacing w:val="-4"/>
          <w:sz w:val="18"/>
          <w:szCs w:val="18"/>
          <w:lang w:val="es-ES_tradnl"/>
        </w:rPr>
        <w:t xml:space="preserve">al procedimiento abreviado, el cual fue solicitado por el </w:t>
      </w:r>
      <w:r>
        <w:rPr>
          <w:spacing w:val="-6"/>
          <w:sz w:val="18"/>
          <w:szCs w:val="18"/>
          <w:lang w:val="es-ES_tradnl"/>
        </w:rPr>
        <w:t xml:space="preserve">acusado y aceptado por los jueces, por cumplir con los </w:t>
      </w:r>
      <w:r>
        <w:rPr>
          <w:spacing w:val="-9"/>
          <w:sz w:val="18"/>
          <w:szCs w:val="18"/>
          <w:lang w:val="es-ES_tradnl"/>
        </w:rPr>
        <w:t xml:space="preserve">requisitos que se solicitan para este tipo de procedimientos, </w:t>
      </w:r>
      <w:r>
        <w:rPr>
          <w:spacing w:val="-2"/>
          <w:sz w:val="18"/>
          <w:szCs w:val="18"/>
          <w:lang w:val="es-ES_tradnl"/>
        </w:rPr>
        <w:t>de conformidad con los art</w:t>
      </w:r>
      <w:r>
        <w:rPr>
          <w:rFonts w:cs="Times New Roman"/>
          <w:spacing w:val="-2"/>
          <w:sz w:val="18"/>
          <w:szCs w:val="18"/>
          <w:lang w:val="es-ES_tradnl"/>
        </w:rPr>
        <w:t>í</w:t>
      </w:r>
      <w:r>
        <w:rPr>
          <w:spacing w:val="-2"/>
          <w:sz w:val="18"/>
          <w:szCs w:val="18"/>
          <w:lang w:val="es-ES_tradnl"/>
        </w:rPr>
        <w:t>culos 369 y 370 del C</w:t>
      </w:r>
      <w:r>
        <w:rPr>
          <w:rFonts w:cs="Times New Roman"/>
          <w:spacing w:val="-2"/>
          <w:sz w:val="18"/>
          <w:szCs w:val="18"/>
          <w:lang w:val="es-ES_tradnl"/>
        </w:rPr>
        <w:t>ó</w:t>
      </w:r>
      <w:r>
        <w:rPr>
          <w:spacing w:val="-2"/>
          <w:sz w:val="18"/>
          <w:szCs w:val="18"/>
          <w:lang w:val="es-ES_tradnl"/>
        </w:rPr>
        <w:t xml:space="preserve">digo </w:t>
      </w:r>
      <w:r>
        <w:rPr>
          <w:spacing w:val="-4"/>
          <w:sz w:val="18"/>
          <w:szCs w:val="18"/>
          <w:lang w:val="es-ES_tradnl"/>
        </w:rPr>
        <w:t xml:space="preserve">de Procedimiento Penal. Asimismo, en la audiencia oral </w:t>
      </w:r>
      <w:r>
        <w:rPr>
          <w:spacing w:val="-5"/>
          <w:sz w:val="18"/>
          <w:szCs w:val="18"/>
          <w:lang w:val="es-ES_tradnl"/>
        </w:rPr>
        <w:t>el procesado admiti</w:t>
      </w:r>
      <w:r>
        <w:rPr>
          <w:rFonts w:cs="Times New Roman"/>
          <w:spacing w:val="-5"/>
          <w:sz w:val="18"/>
          <w:szCs w:val="18"/>
          <w:lang w:val="es-ES_tradnl"/>
        </w:rPr>
        <w:t>ó</w:t>
      </w:r>
      <w:r>
        <w:rPr>
          <w:spacing w:val="-5"/>
          <w:sz w:val="18"/>
          <w:szCs w:val="18"/>
          <w:lang w:val="es-ES_tradnl"/>
        </w:rPr>
        <w:t xml:space="preserve"> que hipotec</w:t>
      </w:r>
      <w:r>
        <w:rPr>
          <w:rFonts w:cs="Times New Roman"/>
          <w:spacing w:val="-5"/>
          <w:sz w:val="18"/>
          <w:szCs w:val="18"/>
          <w:lang w:val="es-ES_tradnl"/>
        </w:rPr>
        <w:t>ó</w:t>
      </w:r>
      <w:r>
        <w:rPr>
          <w:spacing w:val="-5"/>
          <w:sz w:val="18"/>
          <w:szCs w:val="18"/>
          <w:lang w:val="es-ES_tradnl"/>
        </w:rPr>
        <w:t xml:space="preserve"> el bien inmueble que </w:t>
      </w:r>
      <w:r>
        <w:rPr>
          <w:spacing w:val="-2"/>
          <w:sz w:val="18"/>
          <w:szCs w:val="18"/>
          <w:lang w:val="es-ES_tradnl"/>
        </w:rPr>
        <w:t>pertenec</w:t>
      </w:r>
      <w:r>
        <w:rPr>
          <w:rFonts w:cs="Times New Roman"/>
          <w:spacing w:val="-2"/>
          <w:sz w:val="18"/>
          <w:szCs w:val="18"/>
          <w:lang w:val="es-ES_tradnl"/>
        </w:rPr>
        <w:t>í</w:t>
      </w:r>
      <w:r>
        <w:rPr>
          <w:spacing w:val="-2"/>
          <w:sz w:val="18"/>
          <w:szCs w:val="18"/>
          <w:lang w:val="es-ES_tradnl"/>
        </w:rPr>
        <w:t>a al se</w:t>
      </w:r>
      <w:r>
        <w:rPr>
          <w:rFonts w:cs="Times New Roman"/>
          <w:spacing w:val="-2"/>
          <w:sz w:val="18"/>
          <w:szCs w:val="18"/>
          <w:lang w:val="es-ES_tradnl"/>
        </w:rPr>
        <w:t>ñ</w:t>
      </w:r>
      <w:r>
        <w:rPr>
          <w:spacing w:val="-2"/>
          <w:sz w:val="18"/>
          <w:szCs w:val="18"/>
          <w:lang w:val="es-ES_tradnl"/>
        </w:rPr>
        <w:t>or El</w:t>
      </w:r>
      <w:r>
        <w:rPr>
          <w:rFonts w:cs="Times New Roman"/>
          <w:spacing w:val="-2"/>
          <w:sz w:val="18"/>
          <w:szCs w:val="18"/>
          <w:lang w:val="es-ES_tradnl"/>
        </w:rPr>
        <w:t>í</w:t>
      </w:r>
      <w:r>
        <w:rPr>
          <w:spacing w:val="-2"/>
          <w:sz w:val="18"/>
          <w:szCs w:val="18"/>
          <w:lang w:val="es-ES_tradnl"/>
        </w:rPr>
        <w:t xml:space="preserve">as Gordillo Villavicencio, por el </w:t>
      </w:r>
      <w:r>
        <w:rPr>
          <w:spacing w:val="-9"/>
          <w:sz w:val="18"/>
          <w:szCs w:val="18"/>
          <w:lang w:val="es-ES_tradnl"/>
        </w:rPr>
        <w:t xml:space="preserve">cual obtuvo un dinero que fue aprovechado por </w:t>
      </w:r>
      <w:r>
        <w:rPr>
          <w:rFonts w:cs="Times New Roman"/>
          <w:spacing w:val="-9"/>
          <w:sz w:val="18"/>
          <w:szCs w:val="18"/>
          <w:lang w:val="es-ES_tradnl"/>
        </w:rPr>
        <w:t>é</w:t>
      </w:r>
      <w:r>
        <w:rPr>
          <w:spacing w:val="-9"/>
          <w:sz w:val="18"/>
          <w:szCs w:val="18"/>
          <w:lang w:val="es-ES_tradnl"/>
        </w:rPr>
        <w:t xml:space="preserve">l acusado, </w:t>
      </w:r>
      <w:r>
        <w:rPr>
          <w:spacing w:val="-4"/>
          <w:sz w:val="18"/>
          <w:szCs w:val="18"/>
          <w:lang w:val="es-ES_tradnl"/>
        </w:rPr>
        <w:t>enga</w:t>
      </w:r>
      <w:r>
        <w:rPr>
          <w:rFonts w:cs="Times New Roman"/>
          <w:spacing w:val="-4"/>
          <w:sz w:val="18"/>
          <w:szCs w:val="18"/>
          <w:lang w:val="es-ES_tradnl"/>
        </w:rPr>
        <w:t>ñ</w:t>
      </w:r>
      <w:r>
        <w:rPr>
          <w:spacing w:val="-4"/>
          <w:sz w:val="18"/>
          <w:szCs w:val="18"/>
          <w:lang w:val="es-ES_tradnl"/>
        </w:rPr>
        <w:t xml:space="preserve">ando de esta manera al ofendido, por lo que con </w:t>
      </w:r>
      <w:r>
        <w:rPr>
          <w:spacing w:val="-7"/>
          <w:sz w:val="18"/>
          <w:szCs w:val="18"/>
          <w:lang w:val="es-ES_tradnl"/>
        </w:rPr>
        <w:t xml:space="preserve">esos antecedentes los jueces manifestaron que era autor </w:t>
      </w:r>
      <w:r>
        <w:rPr>
          <w:spacing w:val="-4"/>
          <w:sz w:val="18"/>
          <w:szCs w:val="18"/>
          <w:lang w:val="es-ES_tradnl"/>
        </w:rPr>
        <w:t>del delito de estafa, aplicando los art</w:t>
      </w:r>
      <w:r>
        <w:rPr>
          <w:rFonts w:cs="Times New Roman"/>
          <w:spacing w:val="-4"/>
          <w:sz w:val="18"/>
          <w:szCs w:val="18"/>
          <w:lang w:val="es-ES_tradnl"/>
        </w:rPr>
        <w:t>í</w:t>
      </w:r>
      <w:r>
        <w:rPr>
          <w:spacing w:val="-4"/>
          <w:sz w:val="18"/>
          <w:szCs w:val="18"/>
          <w:lang w:val="es-ES_tradnl"/>
        </w:rPr>
        <w:t xml:space="preserve">culos 42 y 563 del </w:t>
      </w:r>
      <w:r>
        <w:rPr>
          <w:spacing w:val="-5"/>
          <w:sz w:val="18"/>
          <w:szCs w:val="18"/>
          <w:lang w:val="es-ES_tradnl"/>
        </w:rPr>
        <w:t>C</w:t>
      </w:r>
      <w:r>
        <w:rPr>
          <w:rFonts w:cs="Times New Roman"/>
          <w:spacing w:val="-5"/>
          <w:sz w:val="18"/>
          <w:szCs w:val="18"/>
          <w:lang w:val="es-ES_tradnl"/>
        </w:rPr>
        <w:t>ó</w:t>
      </w:r>
      <w:r>
        <w:rPr>
          <w:spacing w:val="-5"/>
          <w:sz w:val="18"/>
          <w:szCs w:val="18"/>
          <w:lang w:val="es-ES_tradnl"/>
        </w:rPr>
        <w:t>digo Penal. Tambi</w:t>
      </w:r>
      <w:r>
        <w:rPr>
          <w:rFonts w:cs="Times New Roman"/>
          <w:spacing w:val="-5"/>
          <w:sz w:val="18"/>
          <w:szCs w:val="18"/>
          <w:lang w:val="es-ES_tradnl"/>
        </w:rPr>
        <w:t>é</w:t>
      </w:r>
      <w:r>
        <w:rPr>
          <w:spacing w:val="-5"/>
          <w:sz w:val="18"/>
          <w:szCs w:val="18"/>
          <w:lang w:val="es-ES_tradnl"/>
        </w:rPr>
        <w:t xml:space="preserve">n los jueces del Tribunal utilizaron </w:t>
      </w:r>
      <w:r>
        <w:rPr>
          <w:spacing w:val="-6"/>
          <w:sz w:val="18"/>
          <w:szCs w:val="18"/>
          <w:lang w:val="es-ES_tradnl"/>
        </w:rPr>
        <w:t>doctrina nacional y extranjera, en lo que tiene que ver con la estafa y los elementos que conforman dicha infracci</w:t>
      </w:r>
      <w:r>
        <w:rPr>
          <w:rFonts w:cs="Times New Roman"/>
          <w:spacing w:val="-6"/>
          <w:sz w:val="18"/>
          <w:szCs w:val="18"/>
          <w:lang w:val="es-ES_tradnl"/>
        </w:rPr>
        <w:t>ó</w:t>
      </w:r>
      <w:r>
        <w:rPr>
          <w:spacing w:val="-6"/>
          <w:sz w:val="18"/>
          <w:szCs w:val="18"/>
          <w:lang w:val="es-ES_tradnl"/>
        </w:rPr>
        <w:t xml:space="preserve">n. </w:t>
      </w:r>
      <w:r>
        <w:rPr>
          <w:spacing w:val="-5"/>
          <w:sz w:val="18"/>
          <w:szCs w:val="18"/>
          <w:lang w:val="es-ES_tradnl"/>
        </w:rPr>
        <w:t>Finalmente concluyen, declar</w:t>
      </w:r>
      <w:r>
        <w:rPr>
          <w:rFonts w:cs="Times New Roman"/>
          <w:spacing w:val="-5"/>
          <w:sz w:val="18"/>
          <w:szCs w:val="18"/>
          <w:lang w:val="es-ES_tradnl"/>
        </w:rPr>
        <w:t>á</w:t>
      </w:r>
      <w:r>
        <w:rPr>
          <w:spacing w:val="-5"/>
          <w:sz w:val="18"/>
          <w:szCs w:val="18"/>
          <w:lang w:val="es-ES_tradnl"/>
        </w:rPr>
        <w:t xml:space="preserve">ndolo culpable en calidad </w:t>
      </w:r>
      <w:r>
        <w:rPr>
          <w:spacing w:val="-2"/>
          <w:sz w:val="18"/>
          <w:szCs w:val="18"/>
          <w:lang w:val="es-ES_tradnl"/>
        </w:rPr>
        <w:t>de autor del delito de estafa, imponi</w:t>
      </w:r>
      <w:r>
        <w:rPr>
          <w:rFonts w:cs="Times New Roman"/>
          <w:spacing w:val="-2"/>
          <w:sz w:val="18"/>
          <w:szCs w:val="18"/>
          <w:lang w:val="es-ES_tradnl"/>
        </w:rPr>
        <w:t>é</w:t>
      </w:r>
      <w:r>
        <w:rPr>
          <w:spacing w:val="-2"/>
          <w:sz w:val="18"/>
          <w:szCs w:val="18"/>
          <w:lang w:val="es-ES_tradnl"/>
        </w:rPr>
        <w:t xml:space="preserve">ndole la pena de </w:t>
      </w:r>
      <w:r>
        <w:rPr>
          <w:spacing w:val="-5"/>
          <w:sz w:val="18"/>
          <w:szCs w:val="18"/>
          <w:lang w:val="es-ES_tradnl"/>
        </w:rPr>
        <w:t>diez meses de prisi</w:t>
      </w:r>
      <w:r>
        <w:rPr>
          <w:rFonts w:cs="Times New Roman"/>
          <w:spacing w:val="-5"/>
          <w:sz w:val="18"/>
          <w:szCs w:val="18"/>
          <w:lang w:val="es-ES_tradnl"/>
        </w:rPr>
        <w:t>ó</w:t>
      </w:r>
      <w:r>
        <w:rPr>
          <w:spacing w:val="-5"/>
          <w:sz w:val="18"/>
          <w:szCs w:val="18"/>
          <w:lang w:val="es-ES_tradnl"/>
        </w:rPr>
        <w:t>n, adem</w:t>
      </w:r>
      <w:r>
        <w:rPr>
          <w:rFonts w:cs="Times New Roman"/>
          <w:spacing w:val="-5"/>
          <w:sz w:val="18"/>
          <w:szCs w:val="18"/>
          <w:lang w:val="es-ES_tradnl"/>
        </w:rPr>
        <w:t>á</w:t>
      </w:r>
      <w:r>
        <w:rPr>
          <w:spacing w:val="-5"/>
          <w:sz w:val="18"/>
          <w:szCs w:val="18"/>
          <w:lang w:val="es-ES_tradnl"/>
        </w:rPr>
        <w:t>s de indemnizar por da</w:t>
      </w:r>
      <w:r>
        <w:rPr>
          <w:rFonts w:cs="Times New Roman"/>
          <w:spacing w:val="-5"/>
          <w:sz w:val="18"/>
          <w:szCs w:val="18"/>
          <w:lang w:val="es-ES_tradnl"/>
        </w:rPr>
        <w:t>ñ</w:t>
      </w:r>
      <w:r>
        <w:rPr>
          <w:spacing w:val="-5"/>
          <w:sz w:val="18"/>
          <w:szCs w:val="18"/>
          <w:lang w:val="es-ES_tradnl"/>
        </w:rPr>
        <w:t xml:space="preserve">os </w:t>
      </w:r>
      <w:r>
        <w:rPr>
          <w:spacing w:val="-4"/>
          <w:sz w:val="18"/>
          <w:szCs w:val="18"/>
          <w:lang w:val="es-ES_tradnl"/>
        </w:rPr>
        <w:t>y perjuicios a los herederos del se</w:t>
      </w:r>
      <w:r>
        <w:rPr>
          <w:rFonts w:cs="Times New Roman"/>
          <w:spacing w:val="-4"/>
          <w:sz w:val="18"/>
          <w:szCs w:val="18"/>
          <w:lang w:val="es-ES_tradnl"/>
        </w:rPr>
        <w:t>ñ</w:t>
      </w:r>
      <w:r>
        <w:rPr>
          <w:spacing w:val="-4"/>
          <w:sz w:val="18"/>
          <w:szCs w:val="18"/>
          <w:lang w:val="es-ES_tradnl"/>
        </w:rPr>
        <w:t>or El</w:t>
      </w:r>
      <w:r>
        <w:rPr>
          <w:rFonts w:cs="Times New Roman"/>
          <w:spacing w:val="-4"/>
          <w:sz w:val="18"/>
          <w:szCs w:val="18"/>
          <w:lang w:val="es-ES_tradnl"/>
        </w:rPr>
        <w:t>í</w:t>
      </w:r>
      <w:r>
        <w:rPr>
          <w:spacing w:val="-4"/>
          <w:sz w:val="18"/>
          <w:szCs w:val="18"/>
          <w:lang w:val="es-ES_tradnl"/>
        </w:rPr>
        <w:t xml:space="preserve">as Gordillo, de </w:t>
      </w:r>
      <w:r>
        <w:rPr>
          <w:spacing w:val="-6"/>
          <w:sz w:val="18"/>
          <w:szCs w:val="18"/>
          <w:lang w:val="es-ES_tradnl"/>
        </w:rPr>
        <w:t>acuerdo a lo determinado en el art</w:t>
      </w:r>
      <w:r>
        <w:rPr>
          <w:rFonts w:cs="Times New Roman"/>
          <w:spacing w:val="-6"/>
          <w:sz w:val="18"/>
          <w:szCs w:val="18"/>
          <w:lang w:val="es-ES_tradnl"/>
        </w:rPr>
        <w:t>í</w:t>
      </w:r>
      <w:r>
        <w:rPr>
          <w:spacing w:val="-6"/>
          <w:sz w:val="18"/>
          <w:szCs w:val="18"/>
          <w:lang w:val="es-ES_tradnl"/>
        </w:rPr>
        <w:t xml:space="preserve">culo 309 numeral 5 del </w:t>
      </w:r>
      <w:r>
        <w:rPr>
          <w:spacing w:val="-8"/>
          <w:sz w:val="18"/>
          <w:szCs w:val="18"/>
          <w:lang w:val="es-ES_tradnl"/>
        </w:rPr>
        <w:t>C</w:t>
      </w:r>
      <w:r>
        <w:rPr>
          <w:rFonts w:cs="Times New Roman"/>
          <w:spacing w:val="-8"/>
          <w:sz w:val="18"/>
          <w:szCs w:val="18"/>
          <w:lang w:val="es-ES_tradnl"/>
        </w:rPr>
        <w:t>ó</w:t>
      </w:r>
      <w:r>
        <w:rPr>
          <w:spacing w:val="-8"/>
          <w:sz w:val="18"/>
          <w:szCs w:val="18"/>
          <w:lang w:val="es-ES_tradnl"/>
        </w:rPr>
        <w:t xml:space="preserve">digo de Procedimiento Penal en concordancia con el 78 </w:t>
      </w:r>
      <w:r>
        <w:rPr>
          <w:spacing w:val="-6"/>
          <w:sz w:val="18"/>
          <w:szCs w:val="18"/>
          <w:lang w:val="es-ES_tradnl"/>
        </w:rPr>
        <w:t>de la Norma Suprema; es decir, concatenando todos los elementos que hab</w:t>
      </w:r>
      <w:r>
        <w:rPr>
          <w:rFonts w:cs="Times New Roman"/>
          <w:spacing w:val="-6"/>
          <w:sz w:val="18"/>
          <w:szCs w:val="18"/>
          <w:lang w:val="es-ES_tradnl"/>
        </w:rPr>
        <w:t>í</w:t>
      </w:r>
      <w:r>
        <w:rPr>
          <w:spacing w:val="-6"/>
          <w:sz w:val="18"/>
          <w:szCs w:val="18"/>
          <w:lang w:val="es-ES_tradnl"/>
        </w:rPr>
        <w:t xml:space="preserve">an en el proceso, por lo cual arribaron </w:t>
      </w:r>
      <w:r>
        <w:rPr>
          <w:sz w:val="18"/>
          <w:szCs w:val="18"/>
          <w:lang w:val="es-ES_tradnl"/>
        </w:rPr>
        <w:t>a una decisi</w:t>
      </w:r>
      <w:r>
        <w:rPr>
          <w:rFonts w:cs="Times New Roman"/>
          <w:sz w:val="18"/>
          <w:szCs w:val="18"/>
          <w:lang w:val="es-ES_tradnl"/>
        </w:rPr>
        <w:t>ó</w:t>
      </w:r>
      <w:r>
        <w:rPr>
          <w:sz w:val="18"/>
          <w:szCs w:val="18"/>
          <w:lang w:val="es-ES_tradnl"/>
        </w:rPr>
        <w:t>n l</w:t>
      </w:r>
      <w:r>
        <w:rPr>
          <w:rFonts w:cs="Times New Roman"/>
          <w:sz w:val="18"/>
          <w:szCs w:val="18"/>
          <w:lang w:val="es-ES_tradnl"/>
        </w:rPr>
        <w:t>ó</w:t>
      </w:r>
      <w:r>
        <w:rPr>
          <w:sz w:val="18"/>
          <w:szCs w:val="18"/>
          <w:lang w:val="es-ES_tradnl"/>
        </w:rPr>
        <w:t>gica.</w:t>
      </w:r>
    </w:p>
    <w:p w14:paraId="4F67BBFD" w14:textId="77777777" w:rsidR="00591D54" w:rsidRDefault="00591D54">
      <w:pPr>
        <w:shd w:val="clear" w:color="auto" w:fill="FFFFFF"/>
        <w:spacing w:before="192" w:line="216" w:lineRule="exact"/>
        <w:jc w:val="both"/>
      </w:pPr>
      <w:r>
        <w:rPr>
          <w:spacing w:val="-5"/>
          <w:sz w:val="18"/>
          <w:szCs w:val="18"/>
          <w:lang w:val="es-ES_tradnl"/>
        </w:rPr>
        <w:t xml:space="preserve">Sin embargo, en el caso </w:t>
      </w:r>
      <w:r>
        <w:rPr>
          <w:i/>
          <w:iCs/>
          <w:spacing w:val="-5"/>
          <w:sz w:val="18"/>
          <w:szCs w:val="18"/>
          <w:lang w:val="es-ES_tradnl"/>
        </w:rPr>
        <w:t>sub j</w:t>
      </w:r>
      <w:r>
        <w:rPr>
          <w:rFonts w:cs="Times New Roman"/>
          <w:i/>
          <w:iCs/>
          <w:spacing w:val="-5"/>
          <w:sz w:val="18"/>
          <w:szCs w:val="18"/>
          <w:lang w:val="es-ES_tradnl"/>
        </w:rPr>
        <w:t>ú</w:t>
      </w:r>
      <w:r>
        <w:rPr>
          <w:i/>
          <w:iCs/>
          <w:spacing w:val="-5"/>
          <w:sz w:val="18"/>
          <w:szCs w:val="18"/>
          <w:lang w:val="es-ES_tradnl"/>
        </w:rPr>
        <w:t>dice</w:t>
      </w:r>
      <w:r>
        <w:rPr>
          <w:spacing w:val="-5"/>
          <w:sz w:val="18"/>
          <w:szCs w:val="18"/>
          <w:lang w:val="es-ES_tradnl"/>
        </w:rPr>
        <w:t xml:space="preserve">, el problema central </w:t>
      </w:r>
      <w:r>
        <w:rPr>
          <w:spacing w:val="-3"/>
          <w:sz w:val="18"/>
          <w:szCs w:val="18"/>
          <w:lang w:val="es-ES_tradnl"/>
        </w:rPr>
        <w:t>radica en que la decisi</w:t>
      </w:r>
      <w:r>
        <w:rPr>
          <w:rFonts w:cs="Times New Roman"/>
          <w:spacing w:val="-3"/>
          <w:sz w:val="18"/>
          <w:szCs w:val="18"/>
          <w:lang w:val="es-ES_tradnl"/>
        </w:rPr>
        <w:t>ó</w:t>
      </w:r>
      <w:r>
        <w:rPr>
          <w:spacing w:val="-3"/>
          <w:sz w:val="18"/>
          <w:szCs w:val="18"/>
          <w:lang w:val="es-ES_tradnl"/>
        </w:rPr>
        <w:t>n judicial impugnada, no habr</w:t>
      </w:r>
      <w:r>
        <w:rPr>
          <w:rFonts w:cs="Times New Roman"/>
          <w:spacing w:val="-3"/>
          <w:sz w:val="18"/>
          <w:szCs w:val="18"/>
          <w:lang w:val="es-ES_tradnl"/>
        </w:rPr>
        <w:t>í</w:t>
      </w:r>
      <w:r>
        <w:rPr>
          <w:spacing w:val="-3"/>
          <w:sz w:val="18"/>
          <w:szCs w:val="18"/>
          <w:lang w:val="es-ES_tradnl"/>
        </w:rPr>
        <w:t>a</w:t>
      </w:r>
    </w:p>
    <w:p w14:paraId="4F67BBFE" w14:textId="77777777" w:rsidR="00591D54" w:rsidRDefault="00591D54">
      <w:pPr>
        <w:shd w:val="clear" w:color="auto" w:fill="FFFFFF"/>
        <w:spacing w:line="216" w:lineRule="exact"/>
        <w:jc w:val="both"/>
      </w:pPr>
      <w:r>
        <w:br w:type="column"/>
      </w:r>
      <w:r>
        <w:rPr>
          <w:spacing w:val="-8"/>
          <w:sz w:val="18"/>
          <w:szCs w:val="18"/>
          <w:lang w:val="es-ES_tradnl"/>
        </w:rPr>
        <w:t>considerado los fundamentos y anexos presentados por el tercero interesado en el proceso penal abreviado, situaci</w:t>
      </w:r>
      <w:r>
        <w:rPr>
          <w:rFonts w:cs="Times New Roman"/>
          <w:spacing w:val="-8"/>
          <w:sz w:val="18"/>
          <w:szCs w:val="18"/>
          <w:lang w:val="es-ES_tradnl"/>
        </w:rPr>
        <w:t>ó</w:t>
      </w:r>
      <w:r>
        <w:rPr>
          <w:spacing w:val="-8"/>
          <w:sz w:val="18"/>
          <w:szCs w:val="18"/>
          <w:lang w:val="es-ES_tradnl"/>
        </w:rPr>
        <w:t xml:space="preserve">n </w:t>
      </w:r>
      <w:r>
        <w:rPr>
          <w:spacing w:val="-4"/>
          <w:sz w:val="18"/>
          <w:szCs w:val="18"/>
          <w:lang w:val="es-ES_tradnl"/>
        </w:rPr>
        <w:t xml:space="preserve">que amerita dilucidar si los razonamientos expuestos en </w:t>
      </w:r>
      <w:r>
        <w:rPr>
          <w:spacing w:val="-5"/>
          <w:sz w:val="18"/>
          <w:szCs w:val="18"/>
          <w:lang w:val="es-ES_tradnl"/>
        </w:rPr>
        <w:t>la resoluci</w:t>
      </w:r>
      <w:r>
        <w:rPr>
          <w:rFonts w:cs="Times New Roman"/>
          <w:spacing w:val="-5"/>
          <w:sz w:val="18"/>
          <w:szCs w:val="18"/>
          <w:lang w:val="es-ES_tradnl"/>
        </w:rPr>
        <w:t>ó</w:t>
      </w:r>
      <w:r>
        <w:rPr>
          <w:spacing w:val="-5"/>
          <w:sz w:val="18"/>
          <w:szCs w:val="18"/>
          <w:lang w:val="es-ES_tradnl"/>
        </w:rPr>
        <w:t xml:space="preserve">n guardan coherencia con las premisas y la </w:t>
      </w:r>
      <w:r>
        <w:rPr>
          <w:spacing w:val="-7"/>
          <w:sz w:val="18"/>
          <w:szCs w:val="18"/>
          <w:lang w:val="es-ES_tradnl"/>
        </w:rPr>
        <w:t>conclusi</w:t>
      </w:r>
      <w:r>
        <w:rPr>
          <w:rFonts w:cs="Times New Roman"/>
          <w:spacing w:val="-7"/>
          <w:sz w:val="18"/>
          <w:szCs w:val="18"/>
          <w:lang w:val="es-ES_tradnl"/>
        </w:rPr>
        <w:t>ó</w:t>
      </w:r>
      <w:r>
        <w:rPr>
          <w:spacing w:val="-7"/>
          <w:sz w:val="18"/>
          <w:szCs w:val="18"/>
          <w:lang w:val="es-ES_tradnl"/>
        </w:rPr>
        <w:t>n. Al respecto, conforme se expone en el p</w:t>
      </w:r>
      <w:r>
        <w:rPr>
          <w:rFonts w:cs="Times New Roman"/>
          <w:spacing w:val="-7"/>
          <w:sz w:val="18"/>
          <w:szCs w:val="18"/>
          <w:lang w:val="es-ES_tradnl"/>
        </w:rPr>
        <w:t>á</w:t>
      </w:r>
      <w:r>
        <w:rPr>
          <w:spacing w:val="-7"/>
          <w:sz w:val="18"/>
          <w:szCs w:val="18"/>
          <w:lang w:val="es-ES_tradnl"/>
        </w:rPr>
        <w:t xml:space="preserve">rrafo </w:t>
      </w:r>
      <w:r>
        <w:rPr>
          <w:spacing w:val="-10"/>
          <w:sz w:val="18"/>
          <w:szCs w:val="18"/>
          <w:lang w:val="es-ES_tradnl"/>
        </w:rPr>
        <w:t>anterior de esta sentencia, la decisi</w:t>
      </w:r>
      <w:r>
        <w:rPr>
          <w:rFonts w:cs="Times New Roman"/>
          <w:spacing w:val="-10"/>
          <w:sz w:val="18"/>
          <w:szCs w:val="18"/>
          <w:lang w:val="es-ES_tradnl"/>
        </w:rPr>
        <w:t>ó</w:t>
      </w:r>
      <w:r>
        <w:rPr>
          <w:spacing w:val="-10"/>
          <w:sz w:val="18"/>
          <w:szCs w:val="18"/>
          <w:lang w:val="es-ES_tradnl"/>
        </w:rPr>
        <w:t xml:space="preserve">n se basa en elementos </w:t>
      </w:r>
      <w:r>
        <w:rPr>
          <w:spacing w:val="-4"/>
          <w:sz w:val="18"/>
          <w:szCs w:val="18"/>
          <w:lang w:val="es-ES_tradnl"/>
        </w:rPr>
        <w:t>rectores del objetivo y naturaleza del procedimiento abreviado, lo que permiti</w:t>
      </w:r>
      <w:r>
        <w:rPr>
          <w:rFonts w:cs="Times New Roman"/>
          <w:spacing w:val="-4"/>
          <w:sz w:val="18"/>
          <w:szCs w:val="18"/>
          <w:lang w:val="es-ES_tradnl"/>
        </w:rPr>
        <w:t>ó</w:t>
      </w:r>
      <w:r>
        <w:rPr>
          <w:spacing w:val="-4"/>
          <w:sz w:val="18"/>
          <w:szCs w:val="18"/>
          <w:lang w:val="es-ES_tradnl"/>
        </w:rPr>
        <w:t xml:space="preserve"> construir el correspondiente juicio de valor, manifestando lo siguiente:</w:t>
      </w:r>
    </w:p>
    <w:p w14:paraId="4F67BBFF" w14:textId="77777777" w:rsidR="00591D54" w:rsidRDefault="00591D54">
      <w:pPr>
        <w:shd w:val="clear" w:color="auto" w:fill="FFFFFF"/>
        <w:spacing w:before="202" w:line="216" w:lineRule="exact"/>
        <w:ind w:left="283"/>
        <w:jc w:val="both"/>
      </w:pPr>
      <w:r>
        <w:rPr>
          <w:spacing w:val="-3"/>
          <w:sz w:val="16"/>
          <w:szCs w:val="16"/>
          <w:lang w:val="es-ES_tradnl"/>
        </w:rPr>
        <w:t>(</w:t>
      </w:r>
      <w:r>
        <w:rPr>
          <w:rFonts w:cs="Times New Roman"/>
          <w:spacing w:val="-3"/>
          <w:sz w:val="16"/>
          <w:szCs w:val="16"/>
          <w:lang w:val="es-ES_tradnl"/>
        </w:rPr>
        <w:t>…</w:t>
      </w:r>
      <w:r>
        <w:rPr>
          <w:spacing w:val="-3"/>
          <w:sz w:val="16"/>
          <w:szCs w:val="16"/>
          <w:lang w:val="es-ES_tradnl"/>
        </w:rPr>
        <w:t xml:space="preserve">) TERCERO.- A fin de establecer la existencia material </w:t>
      </w:r>
      <w:r>
        <w:rPr>
          <w:spacing w:val="-4"/>
          <w:sz w:val="16"/>
          <w:szCs w:val="16"/>
          <w:lang w:val="es-ES_tradnl"/>
        </w:rPr>
        <w:t>de la infracci</w:t>
      </w:r>
      <w:r>
        <w:rPr>
          <w:rFonts w:cs="Times New Roman"/>
          <w:spacing w:val="-4"/>
          <w:sz w:val="16"/>
          <w:szCs w:val="16"/>
          <w:lang w:val="es-ES_tradnl"/>
        </w:rPr>
        <w:t>ó</w:t>
      </w:r>
      <w:r>
        <w:rPr>
          <w:spacing w:val="-4"/>
          <w:sz w:val="16"/>
          <w:szCs w:val="16"/>
          <w:lang w:val="es-ES_tradnl"/>
        </w:rPr>
        <w:t xml:space="preserve">n, la responsabilidad del procesado, por los </w:t>
      </w:r>
      <w:r>
        <w:rPr>
          <w:spacing w:val="-2"/>
          <w:sz w:val="16"/>
          <w:szCs w:val="16"/>
          <w:lang w:val="es-ES_tradnl"/>
        </w:rPr>
        <w:t>principios de celeridad, simplificaci</w:t>
      </w:r>
      <w:r>
        <w:rPr>
          <w:rFonts w:cs="Times New Roman"/>
          <w:spacing w:val="-2"/>
          <w:sz w:val="16"/>
          <w:szCs w:val="16"/>
          <w:lang w:val="es-ES_tradnl"/>
        </w:rPr>
        <w:t>ó</w:t>
      </w:r>
      <w:r>
        <w:rPr>
          <w:spacing w:val="-2"/>
          <w:sz w:val="16"/>
          <w:szCs w:val="16"/>
          <w:lang w:val="es-ES_tradnl"/>
        </w:rPr>
        <w:t>n, sustituci</w:t>
      </w:r>
      <w:r>
        <w:rPr>
          <w:rFonts w:cs="Times New Roman"/>
          <w:spacing w:val="-2"/>
          <w:sz w:val="16"/>
          <w:szCs w:val="16"/>
          <w:lang w:val="es-ES_tradnl"/>
        </w:rPr>
        <w:t>ó</w:t>
      </w:r>
      <w:r>
        <w:rPr>
          <w:spacing w:val="-2"/>
          <w:sz w:val="16"/>
          <w:szCs w:val="16"/>
          <w:lang w:val="es-ES_tradnl"/>
        </w:rPr>
        <w:t xml:space="preserve">n y por la </w:t>
      </w:r>
      <w:r>
        <w:rPr>
          <w:spacing w:val="-7"/>
          <w:sz w:val="16"/>
          <w:szCs w:val="16"/>
          <w:lang w:val="es-ES_tradnl"/>
        </w:rPr>
        <w:t xml:space="preserve">naturaleza del procedimiento abreviado, el juzgador considera </w:t>
      </w:r>
      <w:r>
        <w:rPr>
          <w:spacing w:val="-5"/>
          <w:sz w:val="16"/>
          <w:szCs w:val="16"/>
          <w:lang w:val="es-ES_tradnl"/>
        </w:rPr>
        <w:t>que los elementos de convicci</w:t>
      </w:r>
      <w:r>
        <w:rPr>
          <w:rFonts w:cs="Times New Roman"/>
          <w:spacing w:val="-5"/>
          <w:sz w:val="16"/>
          <w:szCs w:val="16"/>
          <w:lang w:val="es-ES_tradnl"/>
        </w:rPr>
        <w:t>ó</w:t>
      </w:r>
      <w:r>
        <w:rPr>
          <w:spacing w:val="-5"/>
          <w:sz w:val="16"/>
          <w:szCs w:val="16"/>
          <w:lang w:val="es-ES_tradnl"/>
        </w:rPr>
        <w:t>n acopiados en la instrucci</w:t>
      </w:r>
      <w:r>
        <w:rPr>
          <w:rFonts w:cs="Times New Roman"/>
          <w:spacing w:val="-5"/>
          <w:sz w:val="16"/>
          <w:szCs w:val="16"/>
          <w:lang w:val="es-ES_tradnl"/>
        </w:rPr>
        <w:t>ó</w:t>
      </w:r>
      <w:r>
        <w:rPr>
          <w:spacing w:val="-5"/>
          <w:sz w:val="16"/>
          <w:szCs w:val="16"/>
          <w:lang w:val="es-ES_tradnl"/>
        </w:rPr>
        <w:t>n fiscal, pueden entenderse que han alcanzado la calidad de prueba, toda vez que han dejado de ser controvertidos (</w:t>
      </w:r>
      <w:r>
        <w:rPr>
          <w:rFonts w:cs="Times New Roman"/>
          <w:spacing w:val="-5"/>
          <w:sz w:val="16"/>
          <w:szCs w:val="16"/>
          <w:lang w:val="es-ES_tradnl"/>
        </w:rPr>
        <w:t>…</w:t>
      </w:r>
      <w:r>
        <w:rPr>
          <w:spacing w:val="-5"/>
          <w:sz w:val="16"/>
          <w:szCs w:val="16"/>
          <w:lang w:val="es-ES_tradnl"/>
        </w:rPr>
        <w:t xml:space="preserve">) </w:t>
      </w:r>
      <w:r>
        <w:rPr>
          <w:spacing w:val="-2"/>
          <w:sz w:val="16"/>
          <w:szCs w:val="16"/>
          <w:lang w:val="es-ES_tradnl"/>
        </w:rPr>
        <w:t>QUINTO.- FUNDAMENTACI</w:t>
      </w:r>
      <w:r>
        <w:rPr>
          <w:rFonts w:cs="Times New Roman"/>
          <w:spacing w:val="-2"/>
          <w:sz w:val="16"/>
          <w:szCs w:val="16"/>
          <w:lang w:val="es-ES_tradnl"/>
        </w:rPr>
        <w:t>Ó</w:t>
      </w:r>
      <w:r>
        <w:rPr>
          <w:spacing w:val="-2"/>
          <w:sz w:val="16"/>
          <w:szCs w:val="16"/>
          <w:lang w:val="es-ES_tradnl"/>
        </w:rPr>
        <w:t xml:space="preserve">N.- Siendo este el universo </w:t>
      </w:r>
      <w:r>
        <w:rPr>
          <w:spacing w:val="-6"/>
          <w:sz w:val="16"/>
          <w:szCs w:val="16"/>
          <w:lang w:val="es-ES_tradnl"/>
        </w:rPr>
        <w:t xml:space="preserve">probatorio aportado por las partes dentro del proceso penal y </w:t>
      </w:r>
      <w:r>
        <w:rPr>
          <w:spacing w:val="-4"/>
          <w:sz w:val="16"/>
          <w:szCs w:val="16"/>
          <w:lang w:val="es-ES_tradnl"/>
        </w:rPr>
        <w:t xml:space="preserve">sometido al procedimiento abreviado conforme lo solicitado </w:t>
      </w:r>
      <w:r>
        <w:rPr>
          <w:spacing w:val="-6"/>
          <w:sz w:val="16"/>
          <w:szCs w:val="16"/>
          <w:lang w:val="es-ES_tradnl"/>
        </w:rPr>
        <w:t>por el acusado con la acreditaci</w:t>
      </w:r>
      <w:r>
        <w:rPr>
          <w:rFonts w:cs="Times New Roman"/>
          <w:spacing w:val="-6"/>
          <w:sz w:val="16"/>
          <w:szCs w:val="16"/>
          <w:lang w:val="es-ES_tradnl"/>
        </w:rPr>
        <w:t>ó</w:t>
      </w:r>
      <w:r>
        <w:rPr>
          <w:spacing w:val="-6"/>
          <w:sz w:val="16"/>
          <w:szCs w:val="16"/>
          <w:lang w:val="es-ES_tradnl"/>
        </w:rPr>
        <w:t>n de su abogada defensora, el Tribunal considera que son suficientes para establecer la materialidad de la infracci</w:t>
      </w:r>
      <w:r>
        <w:rPr>
          <w:rFonts w:cs="Times New Roman"/>
          <w:spacing w:val="-6"/>
          <w:sz w:val="16"/>
          <w:szCs w:val="16"/>
          <w:lang w:val="es-ES_tradnl"/>
        </w:rPr>
        <w:t>ó</w:t>
      </w:r>
      <w:r>
        <w:rPr>
          <w:spacing w:val="-6"/>
          <w:sz w:val="16"/>
          <w:szCs w:val="16"/>
          <w:lang w:val="es-ES_tradnl"/>
        </w:rPr>
        <w:t xml:space="preserve">n y la responsabilidad del acusado </w:t>
      </w:r>
      <w:r>
        <w:rPr>
          <w:spacing w:val="-5"/>
          <w:sz w:val="16"/>
          <w:szCs w:val="16"/>
          <w:lang w:val="es-ES_tradnl"/>
        </w:rPr>
        <w:t xml:space="preserve">en el delito de estafa que motiva el presente enjuiciamiento, </w:t>
      </w:r>
      <w:r>
        <w:rPr>
          <w:sz w:val="16"/>
          <w:szCs w:val="16"/>
          <w:lang w:val="es-ES_tradnl"/>
        </w:rPr>
        <w:t>por lo que empezaremos con analizar el tipo penal por el cual ha sido tra</w:t>
      </w:r>
      <w:r>
        <w:rPr>
          <w:rFonts w:cs="Times New Roman"/>
          <w:sz w:val="16"/>
          <w:szCs w:val="16"/>
          <w:lang w:val="es-ES_tradnl"/>
        </w:rPr>
        <w:t>í</w:t>
      </w:r>
      <w:r>
        <w:rPr>
          <w:sz w:val="16"/>
          <w:szCs w:val="16"/>
          <w:lang w:val="es-ES_tradnl"/>
        </w:rPr>
        <w:t xml:space="preserve">do a juicio el procesado, esto es, el </w:t>
      </w:r>
      <w:r>
        <w:rPr>
          <w:spacing w:val="-3"/>
          <w:sz w:val="16"/>
          <w:szCs w:val="16"/>
          <w:lang w:val="es-ES_tradnl"/>
        </w:rPr>
        <w:t xml:space="preserve">delito de estafa, tipificado y sancionado en el Art. 563 del </w:t>
      </w:r>
      <w:r>
        <w:rPr>
          <w:spacing w:val="-1"/>
          <w:sz w:val="16"/>
          <w:szCs w:val="16"/>
          <w:lang w:val="es-ES_tradnl"/>
        </w:rPr>
        <w:t>C</w:t>
      </w:r>
      <w:r>
        <w:rPr>
          <w:rFonts w:cs="Times New Roman"/>
          <w:spacing w:val="-1"/>
          <w:sz w:val="16"/>
          <w:szCs w:val="16"/>
          <w:lang w:val="es-ES_tradnl"/>
        </w:rPr>
        <w:t>ó</w:t>
      </w:r>
      <w:r>
        <w:rPr>
          <w:spacing w:val="-1"/>
          <w:sz w:val="16"/>
          <w:szCs w:val="16"/>
          <w:lang w:val="es-ES_tradnl"/>
        </w:rPr>
        <w:t>digo Penal (</w:t>
      </w:r>
      <w:r>
        <w:rPr>
          <w:rFonts w:cs="Times New Roman"/>
          <w:spacing w:val="-1"/>
          <w:sz w:val="16"/>
          <w:szCs w:val="16"/>
          <w:lang w:val="es-ES_tradnl"/>
        </w:rPr>
        <w:t>…</w:t>
      </w:r>
      <w:r>
        <w:rPr>
          <w:spacing w:val="-1"/>
          <w:sz w:val="16"/>
          <w:szCs w:val="16"/>
          <w:lang w:val="es-ES_tradnl"/>
        </w:rPr>
        <w:t>) el se</w:t>
      </w:r>
      <w:r>
        <w:rPr>
          <w:rFonts w:cs="Times New Roman"/>
          <w:spacing w:val="-1"/>
          <w:sz w:val="16"/>
          <w:szCs w:val="16"/>
          <w:lang w:val="es-ES_tradnl"/>
        </w:rPr>
        <w:t>ñ</w:t>
      </w:r>
      <w:r>
        <w:rPr>
          <w:spacing w:val="-1"/>
          <w:sz w:val="16"/>
          <w:szCs w:val="16"/>
          <w:lang w:val="es-ES_tradnl"/>
        </w:rPr>
        <w:t>or El</w:t>
      </w:r>
      <w:r>
        <w:rPr>
          <w:rFonts w:cs="Times New Roman"/>
          <w:spacing w:val="-1"/>
          <w:sz w:val="16"/>
          <w:szCs w:val="16"/>
          <w:lang w:val="es-ES_tradnl"/>
        </w:rPr>
        <w:t>í</w:t>
      </w:r>
      <w:r>
        <w:rPr>
          <w:spacing w:val="-1"/>
          <w:sz w:val="16"/>
          <w:szCs w:val="16"/>
          <w:lang w:val="es-ES_tradnl"/>
        </w:rPr>
        <w:t xml:space="preserve">as Gordillo al no ser sujeto </w:t>
      </w:r>
      <w:r>
        <w:rPr>
          <w:spacing w:val="-5"/>
          <w:sz w:val="16"/>
          <w:szCs w:val="16"/>
          <w:lang w:val="es-ES_tradnl"/>
        </w:rPr>
        <w:t>de cr</w:t>
      </w:r>
      <w:r>
        <w:rPr>
          <w:rFonts w:cs="Times New Roman"/>
          <w:spacing w:val="-5"/>
          <w:sz w:val="16"/>
          <w:szCs w:val="16"/>
          <w:lang w:val="es-ES_tradnl"/>
        </w:rPr>
        <w:t>é</w:t>
      </w:r>
      <w:r>
        <w:rPr>
          <w:spacing w:val="-5"/>
          <w:sz w:val="16"/>
          <w:szCs w:val="16"/>
          <w:lang w:val="es-ES_tradnl"/>
        </w:rPr>
        <w:t xml:space="preserve">dito por estar registrado en la Central de Riesgos se </w:t>
      </w:r>
      <w:r>
        <w:rPr>
          <w:spacing w:val="-4"/>
          <w:sz w:val="16"/>
          <w:szCs w:val="16"/>
          <w:lang w:val="es-ES_tradnl"/>
        </w:rPr>
        <w:t>hab</w:t>
      </w:r>
      <w:r>
        <w:rPr>
          <w:rFonts w:cs="Times New Roman"/>
          <w:spacing w:val="-4"/>
          <w:sz w:val="16"/>
          <w:szCs w:val="16"/>
          <w:lang w:val="es-ES_tradnl"/>
        </w:rPr>
        <w:t>í</w:t>
      </w:r>
      <w:r>
        <w:rPr>
          <w:spacing w:val="-4"/>
          <w:sz w:val="16"/>
          <w:szCs w:val="16"/>
          <w:lang w:val="es-ES_tradnl"/>
        </w:rPr>
        <w:t>an reunido con el acusado (</w:t>
      </w:r>
      <w:r>
        <w:rPr>
          <w:rFonts w:cs="Times New Roman"/>
          <w:spacing w:val="-4"/>
          <w:sz w:val="16"/>
          <w:szCs w:val="16"/>
          <w:lang w:val="es-ES_tradnl"/>
        </w:rPr>
        <w:t>…</w:t>
      </w:r>
      <w:r>
        <w:rPr>
          <w:spacing w:val="-4"/>
          <w:sz w:val="16"/>
          <w:szCs w:val="16"/>
          <w:lang w:val="es-ES_tradnl"/>
        </w:rPr>
        <w:t>) quien le hab</w:t>
      </w:r>
      <w:r>
        <w:rPr>
          <w:rFonts w:cs="Times New Roman"/>
          <w:spacing w:val="-4"/>
          <w:sz w:val="16"/>
          <w:szCs w:val="16"/>
          <w:lang w:val="es-ES_tradnl"/>
        </w:rPr>
        <w:t>í</w:t>
      </w:r>
      <w:r>
        <w:rPr>
          <w:spacing w:val="-4"/>
          <w:sz w:val="16"/>
          <w:szCs w:val="16"/>
          <w:lang w:val="es-ES_tradnl"/>
        </w:rPr>
        <w:t xml:space="preserve">a ofrecido </w:t>
      </w:r>
      <w:r>
        <w:rPr>
          <w:spacing w:val="-5"/>
          <w:sz w:val="16"/>
          <w:szCs w:val="16"/>
          <w:lang w:val="es-ES_tradnl"/>
        </w:rPr>
        <w:t>efectuar el tr</w:t>
      </w:r>
      <w:r>
        <w:rPr>
          <w:rFonts w:cs="Times New Roman"/>
          <w:spacing w:val="-5"/>
          <w:sz w:val="16"/>
          <w:szCs w:val="16"/>
          <w:lang w:val="es-ES_tradnl"/>
        </w:rPr>
        <w:t>á</w:t>
      </w:r>
      <w:r>
        <w:rPr>
          <w:spacing w:val="-5"/>
          <w:sz w:val="16"/>
          <w:szCs w:val="16"/>
          <w:lang w:val="es-ES_tradnl"/>
        </w:rPr>
        <w:t>mite de pr</w:t>
      </w:r>
      <w:r>
        <w:rPr>
          <w:rFonts w:cs="Times New Roman"/>
          <w:spacing w:val="-5"/>
          <w:sz w:val="16"/>
          <w:szCs w:val="16"/>
          <w:lang w:val="es-ES_tradnl"/>
        </w:rPr>
        <w:t>é</w:t>
      </w:r>
      <w:r>
        <w:rPr>
          <w:spacing w:val="-5"/>
          <w:sz w:val="16"/>
          <w:szCs w:val="16"/>
          <w:lang w:val="es-ES_tradnl"/>
        </w:rPr>
        <w:t xml:space="preserve">stamo para conseguir el dinero y </w:t>
      </w:r>
      <w:r>
        <w:rPr>
          <w:spacing w:val="-4"/>
          <w:sz w:val="16"/>
          <w:szCs w:val="16"/>
          <w:lang w:val="es-ES_tradnl"/>
        </w:rPr>
        <w:t>entreg</w:t>
      </w:r>
      <w:r>
        <w:rPr>
          <w:rFonts w:cs="Times New Roman"/>
          <w:spacing w:val="-4"/>
          <w:sz w:val="16"/>
          <w:szCs w:val="16"/>
          <w:lang w:val="es-ES_tradnl"/>
        </w:rPr>
        <w:t>á</w:t>
      </w:r>
      <w:r>
        <w:rPr>
          <w:spacing w:val="-4"/>
          <w:sz w:val="16"/>
          <w:szCs w:val="16"/>
          <w:lang w:val="es-ES_tradnl"/>
        </w:rPr>
        <w:t xml:space="preserve">rselo, celebrando una escritura de compraventa de </w:t>
      </w:r>
      <w:r>
        <w:rPr>
          <w:spacing w:val="-3"/>
          <w:sz w:val="16"/>
          <w:szCs w:val="16"/>
          <w:lang w:val="es-ES_tradnl"/>
        </w:rPr>
        <w:t>su inmueble ubicado en Cotocollao pero como no hab</w:t>
      </w:r>
      <w:r>
        <w:rPr>
          <w:rFonts w:cs="Times New Roman"/>
          <w:spacing w:val="-3"/>
          <w:sz w:val="16"/>
          <w:szCs w:val="16"/>
          <w:lang w:val="es-ES_tradnl"/>
        </w:rPr>
        <w:t>í</w:t>
      </w:r>
      <w:r>
        <w:rPr>
          <w:spacing w:val="-3"/>
          <w:sz w:val="16"/>
          <w:szCs w:val="16"/>
          <w:lang w:val="es-ES_tradnl"/>
        </w:rPr>
        <w:t>a llegado (</w:t>
      </w:r>
      <w:r>
        <w:rPr>
          <w:rFonts w:cs="Times New Roman"/>
          <w:spacing w:val="-3"/>
          <w:sz w:val="16"/>
          <w:szCs w:val="16"/>
          <w:lang w:val="es-ES_tradnl"/>
        </w:rPr>
        <w:t>…</w:t>
      </w:r>
      <w:r>
        <w:rPr>
          <w:spacing w:val="-3"/>
          <w:sz w:val="16"/>
          <w:szCs w:val="16"/>
          <w:lang w:val="es-ES_tradnl"/>
        </w:rPr>
        <w:t>) con el dinero hab</w:t>
      </w:r>
      <w:r>
        <w:rPr>
          <w:rFonts w:cs="Times New Roman"/>
          <w:spacing w:val="-3"/>
          <w:sz w:val="16"/>
          <w:szCs w:val="16"/>
          <w:lang w:val="es-ES_tradnl"/>
        </w:rPr>
        <w:t>í</w:t>
      </w:r>
      <w:r>
        <w:rPr>
          <w:spacing w:val="-3"/>
          <w:sz w:val="16"/>
          <w:szCs w:val="16"/>
          <w:lang w:val="es-ES_tradnl"/>
        </w:rPr>
        <w:t xml:space="preserve">an preguntado en el Banco </w:t>
      </w:r>
      <w:r>
        <w:rPr>
          <w:spacing w:val="-4"/>
          <w:sz w:val="16"/>
          <w:szCs w:val="16"/>
          <w:lang w:val="es-ES_tradnl"/>
        </w:rPr>
        <w:t>del Pichincha (</w:t>
      </w:r>
      <w:r>
        <w:rPr>
          <w:rFonts w:cs="Times New Roman"/>
          <w:spacing w:val="-4"/>
          <w:sz w:val="16"/>
          <w:szCs w:val="16"/>
          <w:lang w:val="es-ES_tradnl"/>
        </w:rPr>
        <w:t>…</w:t>
      </w:r>
      <w:r>
        <w:rPr>
          <w:spacing w:val="-4"/>
          <w:sz w:val="16"/>
          <w:szCs w:val="16"/>
          <w:lang w:val="es-ES_tradnl"/>
        </w:rPr>
        <w:t>) que el acusado no era sujeto de cr</w:t>
      </w:r>
      <w:r>
        <w:rPr>
          <w:rFonts w:cs="Times New Roman"/>
          <w:spacing w:val="-4"/>
          <w:sz w:val="16"/>
          <w:szCs w:val="16"/>
          <w:lang w:val="es-ES_tradnl"/>
        </w:rPr>
        <w:t>é</w:t>
      </w:r>
      <w:r>
        <w:rPr>
          <w:spacing w:val="-4"/>
          <w:sz w:val="16"/>
          <w:szCs w:val="16"/>
          <w:lang w:val="es-ES_tradnl"/>
        </w:rPr>
        <w:t xml:space="preserve">dito, </w:t>
      </w:r>
      <w:r>
        <w:rPr>
          <w:spacing w:val="-3"/>
          <w:sz w:val="16"/>
          <w:szCs w:val="16"/>
          <w:lang w:val="es-ES_tradnl"/>
        </w:rPr>
        <w:t>ante lo cual hab</w:t>
      </w:r>
      <w:r>
        <w:rPr>
          <w:rFonts w:cs="Times New Roman"/>
          <w:spacing w:val="-3"/>
          <w:sz w:val="16"/>
          <w:szCs w:val="16"/>
          <w:lang w:val="es-ES_tradnl"/>
        </w:rPr>
        <w:t>í</w:t>
      </w:r>
      <w:r>
        <w:rPr>
          <w:spacing w:val="-3"/>
          <w:sz w:val="16"/>
          <w:szCs w:val="16"/>
          <w:lang w:val="es-ES_tradnl"/>
        </w:rPr>
        <w:t>an hecho una escritura de resciliaci</w:t>
      </w:r>
      <w:r>
        <w:rPr>
          <w:rFonts w:cs="Times New Roman"/>
          <w:spacing w:val="-3"/>
          <w:sz w:val="16"/>
          <w:szCs w:val="16"/>
          <w:lang w:val="es-ES_tradnl"/>
        </w:rPr>
        <w:t>ó</w:t>
      </w:r>
      <w:r>
        <w:rPr>
          <w:spacing w:val="-3"/>
          <w:sz w:val="16"/>
          <w:szCs w:val="16"/>
          <w:lang w:val="es-ES_tradnl"/>
        </w:rPr>
        <w:t xml:space="preserve">n con </w:t>
      </w:r>
      <w:r>
        <w:rPr>
          <w:spacing w:val="-5"/>
          <w:sz w:val="16"/>
          <w:szCs w:val="16"/>
          <w:lang w:val="es-ES_tradnl"/>
        </w:rPr>
        <w:t xml:space="preserve">la esperanza que vuelva el inmueble de su propiedad a su </w:t>
      </w:r>
      <w:r>
        <w:rPr>
          <w:spacing w:val="-7"/>
          <w:sz w:val="16"/>
          <w:szCs w:val="16"/>
          <w:lang w:val="es-ES_tradnl"/>
        </w:rPr>
        <w:t>dominio, pero el procesado no hab</w:t>
      </w:r>
      <w:r>
        <w:rPr>
          <w:rFonts w:cs="Times New Roman"/>
          <w:spacing w:val="-7"/>
          <w:sz w:val="16"/>
          <w:szCs w:val="16"/>
          <w:lang w:val="es-ES_tradnl"/>
        </w:rPr>
        <w:t>í</w:t>
      </w:r>
      <w:r>
        <w:rPr>
          <w:spacing w:val="-7"/>
          <w:sz w:val="16"/>
          <w:szCs w:val="16"/>
          <w:lang w:val="es-ES_tradnl"/>
        </w:rPr>
        <w:t xml:space="preserve">a registrado en el Registro </w:t>
      </w:r>
      <w:r>
        <w:rPr>
          <w:spacing w:val="-6"/>
          <w:sz w:val="16"/>
          <w:szCs w:val="16"/>
          <w:lang w:val="es-ES_tradnl"/>
        </w:rPr>
        <w:t>de la Propiedad, por el contrario se hab</w:t>
      </w:r>
      <w:r>
        <w:rPr>
          <w:rFonts w:cs="Times New Roman"/>
          <w:spacing w:val="-6"/>
          <w:sz w:val="16"/>
          <w:szCs w:val="16"/>
          <w:lang w:val="es-ES_tradnl"/>
        </w:rPr>
        <w:t>í</w:t>
      </w:r>
      <w:r>
        <w:rPr>
          <w:spacing w:val="-6"/>
          <w:sz w:val="16"/>
          <w:szCs w:val="16"/>
          <w:lang w:val="es-ES_tradnl"/>
        </w:rPr>
        <w:t xml:space="preserve">a endeudado con el </w:t>
      </w:r>
      <w:r>
        <w:rPr>
          <w:spacing w:val="-7"/>
          <w:sz w:val="16"/>
          <w:szCs w:val="16"/>
          <w:lang w:val="es-ES_tradnl"/>
        </w:rPr>
        <w:t>Dr. Jorge Burbano, a quien como no le hab</w:t>
      </w:r>
      <w:r>
        <w:rPr>
          <w:rFonts w:cs="Times New Roman"/>
          <w:spacing w:val="-7"/>
          <w:sz w:val="16"/>
          <w:szCs w:val="16"/>
          <w:lang w:val="es-ES_tradnl"/>
        </w:rPr>
        <w:t>í</w:t>
      </w:r>
      <w:r>
        <w:rPr>
          <w:spacing w:val="-7"/>
          <w:sz w:val="16"/>
          <w:szCs w:val="16"/>
          <w:lang w:val="es-ES_tradnl"/>
        </w:rPr>
        <w:t>a pagado le hab</w:t>
      </w:r>
      <w:r>
        <w:rPr>
          <w:rFonts w:cs="Times New Roman"/>
          <w:spacing w:val="-7"/>
          <w:sz w:val="16"/>
          <w:szCs w:val="16"/>
          <w:lang w:val="es-ES_tradnl"/>
        </w:rPr>
        <w:t>í</w:t>
      </w:r>
      <w:r>
        <w:rPr>
          <w:spacing w:val="-7"/>
          <w:sz w:val="16"/>
          <w:szCs w:val="16"/>
          <w:lang w:val="es-ES_tradnl"/>
        </w:rPr>
        <w:t xml:space="preserve">a </w:t>
      </w:r>
      <w:r>
        <w:rPr>
          <w:spacing w:val="-4"/>
          <w:sz w:val="16"/>
          <w:szCs w:val="16"/>
          <w:lang w:val="es-ES_tradnl"/>
        </w:rPr>
        <w:t xml:space="preserve">seguido un juicio ejecutivo en el Juzgado Octavo de lo Civil </w:t>
      </w:r>
      <w:r>
        <w:rPr>
          <w:spacing w:val="-5"/>
          <w:sz w:val="16"/>
          <w:szCs w:val="16"/>
          <w:lang w:val="es-ES_tradnl"/>
        </w:rPr>
        <w:t xml:space="preserve">de Pichincha; todo lo que resulta coherente con lo indicado </w:t>
      </w:r>
      <w:r>
        <w:rPr>
          <w:spacing w:val="-4"/>
          <w:sz w:val="16"/>
          <w:szCs w:val="16"/>
          <w:lang w:val="es-ES_tradnl"/>
        </w:rPr>
        <w:t>por el propio acusado quien acept</w:t>
      </w:r>
      <w:r>
        <w:rPr>
          <w:rFonts w:cs="Times New Roman"/>
          <w:spacing w:val="-4"/>
          <w:sz w:val="16"/>
          <w:szCs w:val="16"/>
          <w:lang w:val="es-ES_tradnl"/>
        </w:rPr>
        <w:t>ó</w:t>
      </w:r>
      <w:r>
        <w:rPr>
          <w:spacing w:val="-4"/>
          <w:sz w:val="16"/>
          <w:szCs w:val="16"/>
          <w:lang w:val="es-ES_tradnl"/>
        </w:rPr>
        <w:t xml:space="preserve"> el hecho f</w:t>
      </w:r>
      <w:r>
        <w:rPr>
          <w:rFonts w:cs="Times New Roman"/>
          <w:spacing w:val="-4"/>
          <w:sz w:val="16"/>
          <w:szCs w:val="16"/>
          <w:lang w:val="es-ES_tradnl"/>
        </w:rPr>
        <w:t>á</w:t>
      </w:r>
      <w:r>
        <w:rPr>
          <w:spacing w:val="-4"/>
          <w:sz w:val="16"/>
          <w:szCs w:val="16"/>
          <w:lang w:val="es-ES_tradnl"/>
        </w:rPr>
        <w:t xml:space="preserve">ctico en la </w:t>
      </w:r>
      <w:r>
        <w:rPr>
          <w:spacing w:val="-5"/>
          <w:sz w:val="16"/>
          <w:szCs w:val="16"/>
          <w:lang w:val="es-ES_tradnl"/>
        </w:rPr>
        <w:t>audiencia de procedimiento abreviado afirmando que hab</w:t>
      </w:r>
      <w:r>
        <w:rPr>
          <w:rFonts w:cs="Times New Roman"/>
          <w:spacing w:val="-5"/>
          <w:sz w:val="16"/>
          <w:szCs w:val="16"/>
          <w:lang w:val="es-ES_tradnl"/>
        </w:rPr>
        <w:t>í</w:t>
      </w:r>
      <w:r>
        <w:rPr>
          <w:spacing w:val="-5"/>
          <w:sz w:val="16"/>
          <w:szCs w:val="16"/>
          <w:lang w:val="es-ES_tradnl"/>
        </w:rPr>
        <w:t xml:space="preserve">a </w:t>
      </w:r>
      <w:r>
        <w:rPr>
          <w:spacing w:val="-4"/>
          <w:sz w:val="16"/>
          <w:szCs w:val="16"/>
          <w:lang w:val="es-ES_tradnl"/>
        </w:rPr>
        <w:t>estafado al se</w:t>
      </w:r>
      <w:r>
        <w:rPr>
          <w:rFonts w:cs="Times New Roman"/>
          <w:spacing w:val="-4"/>
          <w:sz w:val="16"/>
          <w:szCs w:val="16"/>
          <w:lang w:val="es-ES_tradnl"/>
        </w:rPr>
        <w:t>ñ</w:t>
      </w:r>
      <w:r>
        <w:rPr>
          <w:spacing w:val="-4"/>
          <w:sz w:val="16"/>
          <w:szCs w:val="16"/>
          <w:lang w:val="es-ES_tradnl"/>
        </w:rPr>
        <w:t>or El</w:t>
      </w:r>
      <w:r>
        <w:rPr>
          <w:rFonts w:cs="Times New Roman"/>
          <w:spacing w:val="-4"/>
          <w:sz w:val="16"/>
          <w:szCs w:val="16"/>
          <w:lang w:val="es-ES_tradnl"/>
        </w:rPr>
        <w:t>í</w:t>
      </w:r>
      <w:r>
        <w:rPr>
          <w:spacing w:val="-4"/>
          <w:sz w:val="16"/>
          <w:szCs w:val="16"/>
          <w:lang w:val="es-ES_tradnl"/>
        </w:rPr>
        <w:t>as Gordillo y usado el dinero para sus necesidades personales, por lo que de conformidad con lo que dispone el Art. 143 del C</w:t>
      </w:r>
      <w:r>
        <w:rPr>
          <w:rFonts w:cs="Times New Roman"/>
          <w:spacing w:val="-4"/>
          <w:sz w:val="16"/>
          <w:szCs w:val="16"/>
          <w:lang w:val="es-ES_tradnl"/>
        </w:rPr>
        <w:t>ó</w:t>
      </w:r>
      <w:r>
        <w:rPr>
          <w:spacing w:val="-4"/>
          <w:sz w:val="16"/>
          <w:szCs w:val="16"/>
          <w:lang w:val="es-ES_tradnl"/>
        </w:rPr>
        <w:t xml:space="preserve">digo de Procedimiento Penal </w:t>
      </w:r>
      <w:r>
        <w:rPr>
          <w:spacing w:val="-2"/>
          <w:sz w:val="16"/>
          <w:szCs w:val="16"/>
          <w:lang w:val="es-ES_tradnl"/>
        </w:rPr>
        <w:t xml:space="preserve">se le otorga el valor de prueba contra </w:t>
      </w:r>
      <w:r>
        <w:rPr>
          <w:rFonts w:cs="Times New Roman"/>
          <w:spacing w:val="-2"/>
          <w:sz w:val="16"/>
          <w:szCs w:val="16"/>
          <w:lang w:val="es-ES_tradnl"/>
        </w:rPr>
        <w:t>é</w:t>
      </w:r>
      <w:r>
        <w:rPr>
          <w:spacing w:val="-2"/>
          <w:sz w:val="16"/>
          <w:szCs w:val="16"/>
          <w:lang w:val="es-ES_tradnl"/>
        </w:rPr>
        <w:t xml:space="preserve">l. En este sentido, </w:t>
      </w:r>
      <w:r>
        <w:rPr>
          <w:spacing w:val="-3"/>
          <w:sz w:val="16"/>
          <w:szCs w:val="16"/>
          <w:lang w:val="es-ES_tradnl"/>
        </w:rPr>
        <w:t>su conducta se ajusta a lo determinado en el Art. 42 del C</w:t>
      </w:r>
      <w:r>
        <w:rPr>
          <w:rFonts w:cs="Times New Roman"/>
          <w:spacing w:val="-3"/>
          <w:sz w:val="16"/>
          <w:szCs w:val="16"/>
          <w:lang w:val="es-ES_tradnl"/>
        </w:rPr>
        <w:t>ó</w:t>
      </w:r>
      <w:r>
        <w:rPr>
          <w:spacing w:val="-3"/>
          <w:sz w:val="16"/>
          <w:szCs w:val="16"/>
          <w:lang w:val="es-ES_tradnl"/>
        </w:rPr>
        <w:t>digo Penal (</w:t>
      </w:r>
      <w:r>
        <w:rPr>
          <w:rFonts w:cs="Times New Roman"/>
          <w:spacing w:val="-3"/>
          <w:sz w:val="16"/>
          <w:szCs w:val="16"/>
          <w:lang w:val="es-ES_tradnl"/>
        </w:rPr>
        <w:t>…</w:t>
      </w:r>
      <w:r>
        <w:rPr>
          <w:spacing w:val="-3"/>
          <w:sz w:val="16"/>
          <w:szCs w:val="16"/>
          <w:lang w:val="es-ES_tradnl"/>
        </w:rPr>
        <w:t>) pues el acusado Fabi</w:t>
      </w:r>
      <w:r>
        <w:rPr>
          <w:rFonts w:cs="Times New Roman"/>
          <w:spacing w:val="-3"/>
          <w:sz w:val="16"/>
          <w:szCs w:val="16"/>
          <w:lang w:val="es-ES_tradnl"/>
        </w:rPr>
        <w:t>á</w:t>
      </w:r>
      <w:r>
        <w:rPr>
          <w:spacing w:val="-3"/>
          <w:sz w:val="16"/>
          <w:szCs w:val="16"/>
          <w:lang w:val="es-ES_tradnl"/>
        </w:rPr>
        <w:t>n Wladimir Silva Tumipamba, ejecut</w:t>
      </w:r>
      <w:r>
        <w:rPr>
          <w:rFonts w:cs="Times New Roman"/>
          <w:spacing w:val="-3"/>
          <w:sz w:val="16"/>
          <w:szCs w:val="16"/>
          <w:lang w:val="es-ES_tradnl"/>
        </w:rPr>
        <w:t>ó</w:t>
      </w:r>
      <w:r>
        <w:rPr>
          <w:spacing w:val="-3"/>
          <w:sz w:val="16"/>
          <w:szCs w:val="16"/>
          <w:lang w:val="es-ES_tradnl"/>
        </w:rPr>
        <w:t xml:space="preserve"> actos conducentes de manera directa </w:t>
      </w:r>
      <w:r>
        <w:rPr>
          <w:spacing w:val="-1"/>
          <w:sz w:val="16"/>
          <w:szCs w:val="16"/>
          <w:lang w:val="es-ES_tradnl"/>
        </w:rPr>
        <w:t>e inmediata a la ejecuci</w:t>
      </w:r>
      <w:r>
        <w:rPr>
          <w:rFonts w:cs="Times New Roman"/>
          <w:spacing w:val="-1"/>
          <w:sz w:val="16"/>
          <w:szCs w:val="16"/>
          <w:lang w:val="es-ES_tradnl"/>
        </w:rPr>
        <w:t>ó</w:t>
      </w:r>
      <w:r>
        <w:rPr>
          <w:spacing w:val="-1"/>
          <w:sz w:val="16"/>
          <w:szCs w:val="16"/>
          <w:lang w:val="es-ES_tradnl"/>
        </w:rPr>
        <w:t>n del delito, ya que cumpli</w:t>
      </w:r>
      <w:r>
        <w:rPr>
          <w:rFonts w:cs="Times New Roman"/>
          <w:spacing w:val="-1"/>
          <w:sz w:val="16"/>
          <w:szCs w:val="16"/>
          <w:lang w:val="es-ES_tradnl"/>
        </w:rPr>
        <w:t>ó</w:t>
      </w:r>
      <w:r>
        <w:rPr>
          <w:spacing w:val="-1"/>
          <w:sz w:val="16"/>
          <w:szCs w:val="16"/>
          <w:lang w:val="es-ES_tradnl"/>
        </w:rPr>
        <w:t xml:space="preserve"> con </w:t>
      </w:r>
      <w:r>
        <w:rPr>
          <w:spacing w:val="-2"/>
          <w:sz w:val="16"/>
          <w:szCs w:val="16"/>
          <w:lang w:val="es-ES_tradnl"/>
        </w:rPr>
        <w:t>los elementos objetivos del tipo penal al inducir al enga</w:t>
      </w:r>
      <w:r>
        <w:rPr>
          <w:rFonts w:cs="Times New Roman"/>
          <w:spacing w:val="-2"/>
          <w:sz w:val="16"/>
          <w:szCs w:val="16"/>
          <w:lang w:val="es-ES_tradnl"/>
        </w:rPr>
        <w:t>ñ</w:t>
      </w:r>
      <w:r>
        <w:rPr>
          <w:spacing w:val="-2"/>
          <w:sz w:val="16"/>
          <w:szCs w:val="16"/>
          <w:lang w:val="es-ES_tradnl"/>
        </w:rPr>
        <w:t xml:space="preserve">o </w:t>
      </w:r>
      <w:r>
        <w:rPr>
          <w:spacing w:val="-3"/>
          <w:sz w:val="16"/>
          <w:szCs w:val="16"/>
          <w:lang w:val="es-ES_tradnl"/>
        </w:rPr>
        <w:t>al se</w:t>
      </w:r>
      <w:r>
        <w:rPr>
          <w:rFonts w:cs="Times New Roman"/>
          <w:spacing w:val="-3"/>
          <w:sz w:val="16"/>
          <w:szCs w:val="16"/>
          <w:lang w:val="es-ES_tradnl"/>
        </w:rPr>
        <w:t>ñ</w:t>
      </w:r>
      <w:r>
        <w:rPr>
          <w:spacing w:val="-3"/>
          <w:sz w:val="16"/>
          <w:szCs w:val="16"/>
          <w:lang w:val="es-ES_tradnl"/>
        </w:rPr>
        <w:t>or El</w:t>
      </w:r>
      <w:r>
        <w:rPr>
          <w:rFonts w:cs="Times New Roman"/>
          <w:spacing w:val="-3"/>
          <w:sz w:val="16"/>
          <w:szCs w:val="16"/>
          <w:lang w:val="es-ES_tradnl"/>
        </w:rPr>
        <w:t>í</w:t>
      </w:r>
      <w:r>
        <w:rPr>
          <w:spacing w:val="-3"/>
          <w:sz w:val="16"/>
          <w:szCs w:val="16"/>
          <w:lang w:val="es-ES_tradnl"/>
        </w:rPr>
        <w:t xml:space="preserve">as Gordillo utilizando para el efecto maniobras </w:t>
      </w:r>
      <w:r>
        <w:rPr>
          <w:spacing w:val="-4"/>
          <w:sz w:val="16"/>
          <w:szCs w:val="16"/>
          <w:lang w:val="es-ES_tradnl"/>
        </w:rPr>
        <w:t>fraudulentas con el fin de hacerle creer que pod</w:t>
      </w:r>
      <w:r>
        <w:rPr>
          <w:rFonts w:cs="Times New Roman"/>
          <w:spacing w:val="-4"/>
          <w:sz w:val="16"/>
          <w:szCs w:val="16"/>
          <w:lang w:val="es-ES_tradnl"/>
        </w:rPr>
        <w:t>í</w:t>
      </w:r>
      <w:r>
        <w:rPr>
          <w:spacing w:val="-4"/>
          <w:sz w:val="16"/>
          <w:szCs w:val="16"/>
          <w:lang w:val="es-ES_tradnl"/>
        </w:rPr>
        <w:t xml:space="preserve">a hacer el </w:t>
      </w:r>
      <w:r>
        <w:rPr>
          <w:spacing w:val="-3"/>
          <w:sz w:val="16"/>
          <w:szCs w:val="16"/>
          <w:lang w:val="es-ES_tradnl"/>
        </w:rPr>
        <w:t>pr</w:t>
      </w:r>
      <w:r>
        <w:rPr>
          <w:rFonts w:cs="Times New Roman"/>
          <w:spacing w:val="-3"/>
          <w:sz w:val="16"/>
          <w:szCs w:val="16"/>
          <w:lang w:val="es-ES_tradnl"/>
        </w:rPr>
        <w:t>é</w:t>
      </w:r>
      <w:r>
        <w:rPr>
          <w:spacing w:val="-3"/>
          <w:sz w:val="16"/>
          <w:szCs w:val="16"/>
          <w:lang w:val="es-ES_tradnl"/>
        </w:rPr>
        <w:t xml:space="preserve">stamo en el Banco del Pichincha y conseguir el dinero </w:t>
      </w:r>
      <w:r>
        <w:rPr>
          <w:spacing w:val="-7"/>
          <w:sz w:val="16"/>
          <w:szCs w:val="16"/>
          <w:lang w:val="es-ES_tradnl"/>
        </w:rPr>
        <w:t>que posteriormente deb</w:t>
      </w:r>
      <w:r>
        <w:rPr>
          <w:rFonts w:cs="Times New Roman"/>
          <w:spacing w:val="-7"/>
          <w:sz w:val="16"/>
          <w:szCs w:val="16"/>
          <w:lang w:val="es-ES_tradnl"/>
        </w:rPr>
        <w:t>í</w:t>
      </w:r>
      <w:r>
        <w:rPr>
          <w:spacing w:val="-7"/>
          <w:sz w:val="16"/>
          <w:szCs w:val="16"/>
          <w:lang w:val="es-ES_tradnl"/>
        </w:rPr>
        <w:t>a ser entregado al ofendido, es decir, se hizo entregar la propiedad en su provecho, la que adem</w:t>
      </w:r>
      <w:r>
        <w:rPr>
          <w:rFonts w:cs="Times New Roman"/>
          <w:spacing w:val="-7"/>
          <w:sz w:val="16"/>
          <w:szCs w:val="16"/>
          <w:lang w:val="es-ES_tradnl"/>
        </w:rPr>
        <w:t>á</w:t>
      </w:r>
      <w:r>
        <w:rPr>
          <w:spacing w:val="-7"/>
          <w:sz w:val="16"/>
          <w:szCs w:val="16"/>
          <w:lang w:val="es-ES_tradnl"/>
        </w:rPr>
        <w:t>s hipotec</w:t>
      </w:r>
      <w:r>
        <w:rPr>
          <w:rFonts w:cs="Times New Roman"/>
          <w:spacing w:val="-7"/>
          <w:sz w:val="16"/>
          <w:szCs w:val="16"/>
          <w:lang w:val="es-ES_tradnl"/>
        </w:rPr>
        <w:t>ó</w:t>
      </w:r>
      <w:r>
        <w:rPr>
          <w:spacing w:val="-7"/>
          <w:sz w:val="16"/>
          <w:szCs w:val="16"/>
          <w:lang w:val="es-ES_tradnl"/>
        </w:rPr>
        <w:t xml:space="preserve"> a nombre de otra persona, obteniendo un dinero que us</w:t>
      </w:r>
      <w:r>
        <w:rPr>
          <w:rFonts w:cs="Times New Roman"/>
          <w:spacing w:val="-7"/>
          <w:sz w:val="16"/>
          <w:szCs w:val="16"/>
          <w:lang w:val="es-ES_tradnl"/>
        </w:rPr>
        <w:t>ó</w:t>
      </w:r>
      <w:r>
        <w:rPr>
          <w:spacing w:val="-7"/>
          <w:sz w:val="16"/>
          <w:szCs w:val="16"/>
          <w:lang w:val="es-ES_tradnl"/>
        </w:rPr>
        <w:t xml:space="preserve"> para sus asuntos personales, evidenci</w:t>
      </w:r>
      <w:r>
        <w:rPr>
          <w:rFonts w:cs="Times New Roman"/>
          <w:spacing w:val="-7"/>
          <w:sz w:val="16"/>
          <w:szCs w:val="16"/>
          <w:lang w:val="es-ES_tradnl"/>
        </w:rPr>
        <w:t>á</w:t>
      </w:r>
      <w:r>
        <w:rPr>
          <w:spacing w:val="-7"/>
          <w:sz w:val="16"/>
          <w:szCs w:val="16"/>
          <w:lang w:val="es-ES_tradnl"/>
        </w:rPr>
        <w:t>ndose un perjuicio para el se</w:t>
      </w:r>
      <w:r>
        <w:rPr>
          <w:rFonts w:cs="Times New Roman"/>
          <w:spacing w:val="-7"/>
          <w:sz w:val="16"/>
          <w:szCs w:val="16"/>
          <w:lang w:val="es-ES_tradnl"/>
        </w:rPr>
        <w:t>ñ</w:t>
      </w:r>
      <w:r>
        <w:rPr>
          <w:spacing w:val="-7"/>
          <w:sz w:val="16"/>
          <w:szCs w:val="16"/>
          <w:lang w:val="es-ES_tradnl"/>
        </w:rPr>
        <w:t>or El</w:t>
      </w:r>
      <w:r>
        <w:rPr>
          <w:rFonts w:cs="Times New Roman"/>
          <w:spacing w:val="-7"/>
          <w:sz w:val="16"/>
          <w:szCs w:val="16"/>
          <w:lang w:val="es-ES_tradnl"/>
        </w:rPr>
        <w:t>í</w:t>
      </w:r>
      <w:r>
        <w:rPr>
          <w:spacing w:val="-7"/>
          <w:sz w:val="16"/>
          <w:szCs w:val="16"/>
          <w:lang w:val="es-ES_tradnl"/>
        </w:rPr>
        <w:t>as Gordillo y un beneficio para el procesado. Tambi</w:t>
      </w:r>
      <w:r>
        <w:rPr>
          <w:rFonts w:cs="Times New Roman"/>
          <w:spacing w:val="-7"/>
          <w:sz w:val="16"/>
          <w:szCs w:val="16"/>
          <w:lang w:val="es-ES_tradnl"/>
        </w:rPr>
        <w:t>é</w:t>
      </w:r>
      <w:r>
        <w:rPr>
          <w:spacing w:val="-7"/>
          <w:sz w:val="16"/>
          <w:szCs w:val="16"/>
          <w:lang w:val="es-ES_tradnl"/>
        </w:rPr>
        <w:t>n actu</w:t>
      </w:r>
      <w:r>
        <w:rPr>
          <w:rFonts w:cs="Times New Roman"/>
          <w:spacing w:val="-7"/>
          <w:sz w:val="16"/>
          <w:szCs w:val="16"/>
          <w:lang w:val="es-ES_tradnl"/>
        </w:rPr>
        <w:t>ó</w:t>
      </w:r>
      <w:r>
        <w:rPr>
          <w:spacing w:val="-7"/>
          <w:sz w:val="16"/>
          <w:szCs w:val="16"/>
          <w:lang w:val="es-ES_tradnl"/>
        </w:rPr>
        <w:t xml:space="preserve"> con dolo pues de las pruebas actuadas por la </w:t>
      </w:r>
      <w:r>
        <w:rPr>
          <w:spacing w:val="-4"/>
          <w:sz w:val="16"/>
          <w:szCs w:val="16"/>
          <w:lang w:val="es-ES_tradnl"/>
        </w:rPr>
        <w:t>Fiscal</w:t>
      </w:r>
      <w:r>
        <w:rPr>
          <w:rFonts w:cs="Times New Roman"/>
          <w:spacing w:val="-4"/>
          <w:sz w:val="16"/>
          <w:szCs w:val="16"/>
          <w:lang w:val="es-ES_tradnl"/>
        </w:rPr>
        <w:t>í</w:t>
      </w:r>
      <w:r>
        <w:rPr>
          <w:spacing w:val="-4"/>
          <w:sz w:val="16"/>
          <w:szCs w:val="16"/>
          <w:lang w:val="es-ES_tradnl"/>
        </w:rPr>
        <w:t>a, la Acusaci</w:t>
      </w:r>
      <w:r>
        <w:rPr>
          <w:rFonts w:cs="Times New Roman"/>
          <w:spacing w:val="-4"/>
          <w:sz w:val="16"/>
          <w:szCs w:val="16"/>
          <w:lang w:val="es-ES_tradnl"/>
        </w:rPr>
        <w:t>ó</w:t>
      </w:r>
      <w:r>
        <w:rPr>
          <w:spacing w:val="-4"/>
          <w:sz w:val="16"/>
          <w:szCs w:val="16"/>
          <w:lang w:val="es-ES_tradnl"/>
        </w:rPr>
        <w:t>n Particular y su propia declaraci</w:t>
      </w:r>
      <w:r>
        <w:rPr>
          <w:rFonts w:cs="Times New Roman"/>
          <w:spacing w:val="-4"/>
          <w:sz w:val="16"/>
          <w:szCs w:val="16"/>
          <w:lang w:val="es-ES_tradnl"/>
        </w:rPr>
        <w:t>ó</w:t>
      </w:r>
      <w:r>
        <w:rPr>
          <w:spacing w:val="-4"/>
          <w:sz w:val="16"/>
          <w:szCs w:val="16"/>
          <w:lang w:val="es-ES_tradnl"/>
        </w:rPr>
        <w:t>n, se</w:t>
      </w:r>
    </w:p>
    <w:p w14:paraId="4F67BC00" w14:textId="77777777" w:rsidR="00591D54" w:rsidRDefault="00591D54">
      <w:pPr>
        <w:shd w:val="clear" w:color="auto" w:fill="FFFFFF"/>
        <w:spacing w:before="202" w:line="216" w:lineRule="exact"/>
        <w:ind w:left="283"/>
        <w:jc w:val="both"/>
        <w:sectPr w:rsidR="00591D54">
          <w:type w:val="continuous"/>
          <w:pgSz w:w="11909" w:h="16834"/>
          <w:pgMar w:top="1366" w:right="1309" w:bottom="360" w:left="1308" w:header="720" w:footer="720" w:gutter="0"/>
          <w:cols w:num="2" w:space="720" w:equalWidth="0">
            <w:col w:w="4305" w:space="682"/>
            <w:col w:w="4305"/>
          </w:cols>
          <w:noEndnote/>
        </w:sectPr>
      </w:pPr>
    </w:p>
    <w:p w14:paraId="4F67BC01" w14:textId="77777777" w:rsidR="00591D54" w:rsidRDefault="00591D54">
      <w:pPr>
        <w:shd w:val="clear" w:color="auto" w:fill="FFFFFF"/>
        <w:tabs>
          <w:tab w:val="left" w:pos="4814"/>
        </w:tabs>
        <w:spacing w:after="226"/>
        <w:ind w:left="5"/>
      </w:pPr>
      <w:r>
        <w:rPr>
          <w:b/>
          <w:bCs/>
          <w:sz w:val="18"/>
          <w:szCs w:val="18"/>
          <w:lang w:val="es-ES_tradnl"/>
        </w:rPr>
        <w:t xml:space="preserve">298 -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C02" w14:textId="77777777" w:rsidR="00591D54" w:rsidRDefault="00591D54">
      <w:pPr>
        <w:shd w:val="clear" w:color="auto" w:fill="FFFFFF"/>
        <w:tabs>
          <w:tab w:val="left" w:pos="4814"/>
        </w:tabs>
        <w:spacing w:after="226"/>
        <w:ind w:left="5"/>
        <w:sectPr w:rsidR="00591D54">
          <w:pgSz w:w="11909" w:h="16834"/>
          <w:pgMar w:top="1356" w:right="1309" w:bottom="360" w:left="1308" w:header="720" w:footer="720" w:gutter="0"/>
          <w:cols w:space="60"/>
          <w:noEndnote/>
        </w:sectPr>
      </w:pPr>
    </w:p>
    <w:p w14:paraId="4F67BC03" w14:textId="77777777" w:rsidR="00591D54" w:rsidRDefault="00591D54">
      <w:pPr>
        <w:shd w:val="clear" w:color="auto" w:fill="FFFFFF"/>
        <w:spacing w:before="5" w:line="216" w:lineRule="exact"/>
        <w:ind w:left="283"/>
        <w:jc w:val="both"/>
      </w:pPr>
      <w:r>
        <w:rPr>
          <w:spacing w:val="-4"/>
          <w:sz w:val="16"/>
          <w:szCs w:val="16"/>
          <w:lang w:val="es-ES_tradnl"/>
        </w:rPr>
        <w:t>evidenci</w:t>
      </w:r>
      <w:r>
        <w:rPr>
          <w:rFonts w:cs="Times New Roman"/>
          <w:spacing w:val="-4"/>
          <w:sz w:val="16"/>
          <w:szCs w:val="16"/>
          <w:lang w:val="es-ES_tradnl"/>
        </w:rPr>
        <w:t>ó</w:t>
      </w:r>
      <w:r>
        <w:rPr>
          <w:spacing w:val="-4"/>
          <w:sz w:val="16"/>
          <w:szCs w:val="16"/>
          <w:lang w:val="es-ES_tradnl"/>
        </w:rPr>
        <w:t xml:space="preserve"> que procedi</w:t>
      </w:r>
      <w:r>
        <w:rPr>
          <w:rFonts w:cs="Times New Roman"/>
          <w:spacing w:val="-4"/>
          <w:sz w:val="16"/>
          <w:szCs w:val="16"/>
          <w:lang w:val="es-ES_tradnl"/>
        </w:rPr>
        <w:t>ó</w:t>
      </w:r>
      <w:r>
        <w:rPr>
          <w:spacing w:val="-4"/>
          <w:sz w:val="16"/>
          <w:szCs w:val="16"/>
          <w:lang w:val="es-ES_tradnl"/>
        </w:rPr>
        <w:t xml:space="preserve"> con plena voluntad y conciencia, lo </w:t>
      </w:r>
      <w:r>
        <w:rPr>
          <w:spacing w:val="-8"/>
          <w:sz w:val="16"/>
          <w:szCs w:val="16"/>
          <w:lang w:val="es-ES_tradnl"/>
        </w:rPr>
        <w:t>que ha enervado su presunci</w:t>
      </w:r>
      <w:r>
        <w:rPr>
          <w:rFonts w:cs="Times New Roman"/>
          <w:spacing w:val="-8"/>
          <w:sz w:val="16"/>
          <w:szCs w:val="16"/>
          <w:lang w:val="es-ES_tradnl"/>
        </w:rPr>
        <w:t>ó</w:t>
      </w:r>
      <w:r>
        <w:rPr>
          <w:spacing w:val="-8"/>
          <w:sz w:val="16"/>
          <w:szCs w:val="16"/>
          <w:lang w:val="es-ES_tradnl"/>
        </w:rPr>
        <w:t xml:space="preserve">n de inocencia garantizada en el </w:t>
      </w:r>
      <w:r>
        <w:rPr>
          <w:spacing w:val="-3"/>
          <w:sz w:val="16"/>
          <w:szCs w:val="16"/>
          <w:lang w:val="es-ES_tradnl"/>
        </w:rPr>
        <w:t>Art. 76.2 de la Constituci</w:t>
      </w:r>
      <w:r>
        <w:rPr>
          <w:rFonts w:cs="Times New Roman"/>
          <w:spacing w:val="-3"/>
          <w:sz w:val="16"/>
          <w:szCs w:val="16"/>
          <w:lang w:val="es-ES_tradnl"/>
        </w:rPr>
        <w:t>ó</w:t>
      </w:r>
      <w:r>
        <w:rPr>
          <w:spacing w:val="-3"/>
          <w:sz w:val="16"/>
          <w:szCs w:val="16"/>
          <w:lang w:val="es-ES_tradnl"/>
        </w:rPr>
        <w:t>n de la Rep</w:t>
      </w:r>
      <w:r>
        <w:rPr>
          <w:rFonts w:cs="Times New Roman"/>
          <w:spacing w:val="-3"/>
          <w:sz w:val="16"/>
          <w:szCs w:val="16"/>
          <w:lang w:val="es-ES_tradnl"/>
        </w:rPr>
        <w:t>ú</w:t>
      </w:r>
      <w:r>
        <w:rPr>
          <w:spacing w:val="-3"/>
          <w:sz w:val="16"/>
          <w:szCs w:val="16"/>
          <w:lang w:val="es-ES_tradnl"/>
        </w:rPr>
        <w:t>blica.</w:t>
      </w:r>
    </w:p>
    <w:p w14:paraId="4F67BC04" w14:textId="77777777" w:rsidR="00591D54" w:rsidRDefault="00591D54">
      <w:pPr>
        <w:shd w:val="clear" w:color="auto" w:fill="FFFFFF"/>
        <w:spacing w:before="202" w:line="216" w:lineRule="exact"/>
        <w:jc w:val="both"/>
      </w:pPr>
      <w:r>
        <w:rPr>
          <w:spacing w:val="-9"/>
          <w:sz w:val="18"/>
          <w:szCs w:val="18"/>
          <w:lang w:val="es-ES_tradnl"/>
        </w:rPr>
        <w:t>En atenci</w:t>
      </w:r>
      <w:r>
        <w:rPr>
          <w:rFonts w:cs="Times New Roman"/>
          <w:spacing w:val="-9"/>
          <w:sz w:val="18"/>
          <w:szCs w:val="18"/>
          <w:lang w:val="es-ES_tradnl"/>
        </w:rPr>
        <w:t>ó</w:t>
      </w:r>
      <w:r>
        <w:rPr>
          <w:spacing w:val="-9"/>
          <w:sz w:val="18"/>
          <w:szCs w:val="18"/>
          <w:lang w:val="es-ES_tradnl"/>
        </w:rPr>
        <w:t xml:space="preserve">n a los razonamientos expuestos, los juzgadores </w:t>
      </w:r>
      <w:r>
        <w:rPr>
          <w:spacing w:val="-4"/>
          <w:sz w:val="18"/>
          <w:szCs w:val="18"/>
          <w:lang w:val="es-ES_tradnl"/>
        </w:rPr>
        <w:t xml:space="preserve">deciden concluir, declarar culpable y autor del delito de </w:t>
      </w:r>
      <w:r>
        <w:rPr>
          <w:spacing w:val="-6"/>
          <w:sz w:val="18"/>
          <w:szCs w:val="18"/>
          <w:lang w:val="es-ES_tradnl"/>
        </w:rPr>
        <w:t>estafa al se</w:t>
      </w:r>
      <w:r>
        <w:rPr>
          <w:rFonts w:cs="Times New Roman"/>
          <w:spacing w:val="-6"/>
          <w:sz w:val="18"/>
          <w:szCs w:val="18"/>
          <w:lang w:val="es-ES_tradnl"/>
        </w:rPr>
        <w:t>ñ</w:t>
      </w:r>
      <w:r>
        <w:rPr>
          <w:spacing w:val="-6"/>
          <w:sz w:val="18"/>
          <w:szCs w:val="18"/>
          <w:lang w:val="es-ES_tradnl"/>
        </w:rPr>
        <w:t>or Fabi</w:t>
      </w:r>
      <w:r>
        <w:rPr>
          <w:rFonts w:cs="Times New Roman"/>
          <w:spacing w:val="-6"/>
          <w:sz w:val="18"/>
          <w:szCs w:val="18"/>
          <w:lang w:val="es-ES_tradnl"/>
        </w:rPr>
        <w:t>á</w:t>
      </w:r>
      <w:r>
        <w:rPr>
          <w:spacing w:val="-6"/>
          <w:sz w:val="18"/>
          <w:szCs w:val="18"/>
          <w:lang w:val="es-ES_tradnl"/>
        </w:rPr>
        <w:t xml:space="preserve">n Wladimir Silva Tumipamba. Como </w:t>
      </w:r>
      <w:r>
        <w:rPr>
          <w:spacing w:val="-7"/>
          <w:sz w:val="18"/>
          <w:szCs w:val="18"/>
          <w:lang w:val="es-ES_tradnl"/>
        </w:rPr>
        <w:t xml:space="preserve">se puede apreciar, los argumentos que sustentaron el fallo </w:t>
      </w:r>
      <w:r>
        <w:rPr>
          <w:spacing w:val="-10"/>
          <w:sz w:val="18"/>
          <w:szCs w:val="18"/>
          <w:lang w:val="es-ES_tradnl"/>
        </w:rPr>
        <w:t>cuestionado, est</w:t>
      </w:r>
      <w:r>
        <w:rPr>
          <w:rFonts w:cs="Times New Roman"/>
          <w:spacing w:val="-10"/>
          <w:sz w:val="18"/>
          <w:szCs w:val="18"/>
          <w:lang w:val="es-ES_tradnl"/>
        </w:rPr>
        <w:t>á</w:t>
      </w:r>
      <w:r>
        <w:rPr>
          <w:spacing w:val="-10"/>
          <w:sz w:val="18"/>
          <w:szCs w:val="18"/>
          <w:lang w:val="es-ES_tradnl"/>
        </w:rPr>
        <w:t xml:space="preserve">n estructurados de una manera coherente, </w:t>
      </w:r>
      <w:r>
        <w:rPr>
          <w:spacing w:val="-6"/>
          <w:sz w:val="18"/>
          <w:szCs w:val="18"/>
          <w:lang w:val="es-ES_tradnl"/>
        </w:rPr>
        <w:t>adecuada y mediante un razonamiento sistem</w:t>
      </w:r>
      <w:r>
        <w:rPr>
          <w:rFonts w:cs="Times New Roman"/>
          <w:spacing w:val="-6"/>
          <w:sz w:val="18"/>
          <w:szCs w:val="18"/>
          <w:lang w:val="es-ES_tradnl"/>
        </w:rPr>
        <w:t>á</w:t>
      </w:r>
      <w:r>
        <w:rPr>
          <w:spacing w:val="-6"/>
          <w:sz w:val="18"/>
          <w:szCs w:val="18"/>
          <w:lang w:val="es-ES_tradnl"/>
        </w:rPr>
        <w:t xml:space="preserve">tico que </w:t>
      </w:r>
      <w:r>
        <w:rPr>
          <w:spacing w:val="-9"/>
          <w:sz w:val="18"/>
          <w:szCs w:val="18"/>
          <w:lang w:val="es-ES_tradnl"/>
        </w:rPr>
        <w:t xml:space="preserve">permite comprender el camino que condujo a los jueces del </w:t>
      </w:r>
      <w:r>
        <w:rPr>
          <w:spacing w:val="-6"/>
          <w:sz w:val="18"/>
          <w:szCs w:val="18"/>
          <w:lang w:val="es-ES_tradnl"/>
        </w:rPr>
        <w:t xml:space="preserve">Tribunal Penal a emitir dicha sentencia, lo cual no implica </w:t>
      </w:r>
      <w:r>
        <w:rPr>
          <w:spacing w:val="-5"/>
          <w:sz w:val="18"/>
          <w:szCs w:val="18"/>
          <w:lang w:val="es-ES_tradnl"/>
        </w:rPr>
        <w:t>una actuaci</w:t>
      </w:r>
      <w:r>
        <w:rPr>
          <w:rFonts w:cs="Times New Roman"/>
          <w:spacing w:val="-5"/>
          <w:sz w:val="18"/>
          <w:szCs w:val="18"/>
          <w:lang w:val="es-ES_tradnl"/>
        </w:rPr>
        <w:t>ó</w:t>
      </w:r>
      <w:r>
        <w:rPr>
          <w:spacing w:val="-5"/>
          <w:sz w:val="18"/>
          <w:szCs w:val="18"/>
          <w:lang w:val="es-ES_tradnl"/>
        </w:rPr>
        <w:t xml:space="preserve">n arbitraria por parte de los operadores de </w:t>
      </w:r>
      <w:r>
        <w:rPr>
          <w:spacing w:val="-8"/>
          <w:sz w:val="18"/>
          <w:szCs w:val="18"/>
          <w:lang w:val="es-ES_tradnl"/>
        </w:rPr>
        <w:t xml:space="preserve">justicia, puesto que se basaron en normas constitucionales </w:t>
      </w:r>
      <w:r>
        <w:rPr>
          <w:spacing w:val="-5"/>
          <w:sz w:val="18"/>
          <w:szCs w:val="18"/>
          <w:lang w:val="es-ES_tradnl"/>
        </w:rPr>
        <w:t>y legales acordes con la situaci</w:t>
      </w:r>
      <w:r>
        <w:rPr>
          <w:rFonts w:cs="Times New Roman"/>
          <w:spacing w:val="-5"/>
          <w:sz w:val="18"/>
          <w:szCs w:val="18"/>
          <w:lang w:val="es-ES_tradnl"/>
        </w:rPr>
        <w:t>ó</w:t>
      </w:r>
      <w:r>
        <w:rPr>
          <w:spacing w:val="-5"/>
          <w:sz w:val="18"/>
          <w:szCs w:val="18"/>
          <w:lang w:val="es-ES_tradnl"/>
        </w:rPr>
        <w:t>n f</w:t>
      </w:r>
      <w:r>
        <w:rPr>
          <w:rFonts w:cs="Times New Roman"/>
          <w:spacing w:val="-5"/>
          <w:sz w:val="18"/>
          <w:szCs w:val="18"/>
          <w:lang w:val="es-ES_tradnl"/>
        </w:rPr>
        <w:t>á</w:t>
      </w:r>
      <w:r>
        <w:rPr>
          <w:spacing w:val="-5"/>
          <w:sz w:val="18"/>
          <w:szCs w:val="18"/>
          <w:lang w:val="es-ES_tradnl"/>
        </w:rPr>
        <w:t xml:space="preserve">ctica detallada. Por </w:t>
      </w:r>
      <w:r>
        <w:rPr>
          <w:spacing w:val="-6"/>
          <w:sz w:val="18"/>
          <w:szCs w:val="18"/>
          <w:lang w:val="es-ES_tradnl"/>
        </w:rPr>
        <w:t>tanto, esta Corte Constitucional determina que la decisi</w:t>
      </w:r>
      <w:r>
        <w:rPr>
          <w:rFonts w:cs="Times New Roman"/>
          <w:spacing w:val="-6"/>
          <w:sz w:val="18"/>
          <w:szCs w:val="18"/>
          <w:lang w:val="es-ES_tradnl"/>
        </w:rPr>
        <w:t>ó</w:t>
      </w:r>
      <w:r>
        <w:rPr>
          <w:spacing w:val="-6"/>
          <w:sz w:val="18"/>
          <w:szCs w:val="18"/>
          <w:lang w:val="es-ES_tradnl"/>
        </w:rPr>
        <w:t>n impugnada cumple con el par</w:t>
      </w:r>
      <w:r>
        <w:rPr>
          <w:rFonts w:cs="Times New Roman"/>
          <w:spacing w:val="-6"/>
          <w:sz w:val="18"/>
          <w:szCs w:val="18"/>
          <w:lang w:val="es-ES_tradnl"/>
        </w:rPr>
        <w:t>á</w:t>
      </w:r>
      <w:r>
        <w:rPr>
          <w:spacing w:val="-6"/>
          <w:sz w:val="18"/>
          <w:szCs w:val="18"/>
          <w:lang w:val="es-ES_tradnl"/>
        </w:rPr>
        <w:t>metro de la l</w:t>
      </w:r>
      <w:r>
        <w:rPr>
          <w:rFonts w:cs="Times New Roman"/>
          <w:spacing w:val="-6"/>
          <w:sz w:val="18"/>
          <w:szCs w:val="18"/>
          <w:lang w:val="es-ES_tradnl"/>
        </w:rPr>
        <w:t>ó</w:t>
      </w:r>
      <w:r>
        <w:rPr>
          <w:spacing w:val="-6"/>
          <w:sz w:val="18"/>
          <w:szCs w:val="18"/>
          <w:lang w:val="es-ES_tradnl"/>
        </w:rPr>
        <w:t>gica.</w:t>
      </w:r>
    </w:p>
    <w:p w14:paraId="4F67BC05" w14:textId="77777777" w:rsidR="00591D54" w:rsidRDefault="00591D54">
      <w:pPr>
        <w:shd w:val="clear" w:color="auto" w:fill="FFFFFF"/>
        <w:spacing w:before="192" w:line="216" w:lineRule="exact"/>
        <w:jc w:val="both"/>
      </w:pPr>
      <w:r>
        <w:rPr>
          <w:spacing w:val="-8"/>
          <w:sz w:val="18"/>
          <w:szCs w:val="18"/>
          <w:lang w:val="es-ES_tradnl"/>
        </w:rPr>
        <w:t>Finalmente, en cuanto al par</w:t>
      </w:r>
      <w:r>
        <w:rPr>
          <w:rFonts w:cs="Times New Roman"/>
          <w:spacing w:val="-8"/>
          <w:sz w:val="18"/>
          <w:szCs w:val="18"/>
          <w:lang w:val="es-ES_tradnl"/>
        </w:rPr>
        <w:t>á</w:t>
      </w:r>
      <w:r>
        <w:rPr>
          <w:spacing w:val="-8"/>
          <w:sz w:val="18"/>
          <w:szCs w:val="18"/>
          <w:lang w:val="es-ES_tradnl"/>
        </w:rPr>
        <w:t xml:space="preserve">metro de </w:t>
      </w:r>
      <w:r>
        <w:rPr>
          <w:b/>
          <w:bCs/>
          <w:spacing w:val="-8"/>
          <w:sz w:val="18"/>
          <w:szCs w:val="18"/>
          <w:lang w:val="es-ES_tradnl"/>
        </w:rPr>
        <w:t xml:space="preserve">comprensibilidad, </w:t>
      </w:r>
      <w:r>
        <w:rPr>
          <w:spacing w:val="-1"/>
          <w:sz w:val="18"/>
          <w:szCs w:val="18"/>
          <w:lang w:val="es-ES_tradnl"/>
        </w:rPr>
        <w:t xml:space="preserve">como </w:t>
      </w:r>
      <w:r>
        <w:rPr>
          <w:rFonts w:cs="Times New Roman"/>
          <w:spacing w:val="-1"/>
          <w:sz w:val="18"/>
          <w:szCs w:val="18"/>
          <w:lang w:val="es-ES_tradnl"/>
        </w:rPr>
        <w:t>ú</w:t>
      </w:r>
      <w:r>
        <w:rPr>
          <w:spacing w:val="-1"/>
          <w:sz w:val="18"/>
          <w:szCs w:val="18"/>
          <w:lang w:val="es-ES_tradnl"/>
        </w:rPr>
        <w:t>ltimo requisito del test de motivaci</w:t>
      </w:r>
      <w:r>
        <w:rPr>
          <w:rFonts w:cs="Times New Roman"/>
          <w:spacing w:val="-1"/>
          <w:sz w:val="18"/>
          <w:szCs w:val="18"/>
          <w:lang w:val="es-ES_tradnl"/>
        </w:rPr>
        <w:t>ó</w:t>
      </w:r>
      <w:r>
        <w:rPr>
          <w:spacing w:val="-1"/>
          <w:sz w:val="18"/>
          <w:szCs w:val="18"/>
          <w:lang w:val="es-ES_tradnl"/>
        </w:rPr>
        <w:t xml:space="preserve">n es aquel </w:t>
      </w:r>
      <w:r>
        <w:rPr>
          <w:spacing w:val="-6"/>
          <w:sz w:val="18"/>
          <w:szCs w:val="18"/>
          <w:lang w:val="es-ES_tradnl"/>
        </w:rPr>
        <w:t xml:space="preserve">que se refiere a la necesidad de entender y comprender </w:t>
      </w:r>
      <w:r>
        <w:rPr>
          <w:spacing w:val="-5"/>
          <w:sz w:val="18"/>
          <w:szCs w:val="18"/>
          <w:lang w:val="es-ES_tradnl"/>
        </w:rPr>
        <w:t>con claridad y precisi</w:t>
      </w:r>
      <w:r>
        <w:rPr>
          <w:rFonts w:cs="Times New Roman"/>
          <w:spacing w:val="-5"/>
          <w:sz w:val="18"/>
          <w:szCs w:val="18"/>
          <w:lang w:val="es-ES_tradnl"/>
        </w:rPr>
        <w:t>ó</w:t>
      </w:r>
      <w:r>
        <w:rPr>
          <w:spacing w:val="-5"/>
          <w:sz w:val="18"/>
          <w:szCs w:val="18"/>
          <w:lang w:val="es-ES_tradnl"/>
        </w:rPr>
        <w:t xml:space="preserve">n el contenido de las resoluciones </w:t>
      </w:r>
      <w:r>
        <w:rPr>
          <w:spacing w:val="-7"/>
          <w:sz w:val="18"/>
          <w:szCs w:val="18"/>
          <w:lang w:val="es-ES_tradnl"/>
        </w:rPr>
        <w:t xml:space="preserve">judiciales, esto es, tanto para las partes que intervienen en </w:t>
      </w:r>
      <w:r>
        <w:rPr>
          <w:spacing w:val="-6"/>
          <w:sz w:val="18"/>
          <w:szCs w:val="18"/>
          <w:lang w:val="es-ES_tradnl"/>
        </w:rPr>
        <w:t>el proceso como para la comunidad en general. As</w:t>
      </w:r>
      <w:r>
        <w:rPr>
          <w:rFonts w:cs="Times New Roman"/>
          <w:spacing w:val="-6"/>
          <w:sz w:val="18"/>
          <w:szCs w:val="18"/>
          <w:lang w:val="es-ES_tradnl"/>
        </w:rPr>
        <w:t>í</w:t>
      </w:r>
      <w:r>
        <w:rPr>
          <w:spacing w:val="-6"/>
          <w:sz w:val="18"/>
          <w:szCs w:val="18"/>
          <w:lang w:val="es-ES_tradnl"/>
        </w:rPr>
        <w:t xml:space="preserve"> lo ha </w:t>
      </w:r>
      <w:r>
        <w:rPr>
          <w:spacing w:val="-8"/>
          <w:sz w:val="18"/>
          <w:szCs w:val="18"/>
          <w:lang w:val="es-ES_tradnl"/>
        </w:rPr>
        <w:t>expresado este Organismo en sentencia N.</w:t>
      </w:r>
      <w:r>
        <w:rPr>
          <w:rFonts w:cs="Times New Roman"/>
          <w:spacing w:val="-8"/>
          <w:sz w:val="18"/>
          <w:szCs w:val="18"/>
          <w:lang w:val="es-ES_tradnl"/>
        </w:rPr>
        <w:t>º</w:t>
      </w:r>
      <w:r>
        <w:rPr>
          <w:spacing w:val="-8"/>
          <w:sz w:val="18"/>
          <w:szCs w:val="18"/>
          <w:lang w:val="es-ES_tradnl"/>
        </w:rPr>
        <w:t xml:space="preserve"> 211-15-SEP-</w:t>
      </w:r>
      <w:r>
        <w:rPr>
          <w:spacing w:val="-5"/>
          <w:sz w:val="18"/>
          <w:szCs w:val="18"/>
          <w:lang w:val="es-ES_tradnl"/>
        </w:rPr>
        <w:t>CC, expedida el 24 de junio de 2015 dentro del caso N.</w:t>
      </w:r>
      <w:r>
        <w:rPr>
          <w:rFonts w:cs="Times New Roman"/>
          <w:spacing w:val="-5"/>
          <w:sz w:val="18"/>
          <w:szCs w:val="18"/>
          <w:lang w:val="es-ES_tradnl"/>
        </w:rPr>
        <w:t xml:space="preserve">º </w:t>
      </w:r>
      <w:r>
        <w:rPr>
          <w:sz w:val="18"/>
          <w:szCs w:val="18"/>
          <w:lang w:val="es-ES_tradnl"/>
        </w:rPr>
        <w:t>0704-12-EP de la siguiente manera:</w:t>
      </w:r>
    </w:p>
    <w:p w14:paraId="4F67BC06" w14:textId="77777777" w:rsidR="00591D54" w:rsidRDefault="00591D54">
      <w:pPr>
        <w:shd w:val="clear" w:color="auto" w:fill="FFFFFF"/>
        <w:spacing w:before="202" w:line="211" w:lineRule="exact"/>
        <w:ind w:left="283" w:right="5"/>
        <w:jc w:val="both"/>
      </w:pPr>
      <w:r>
        <w:rPr>
          <w:spacing w:val="-5"/>
          <w:sz w:val="16"/>
          <w:szCs w:val="16"/>
          <w:lang w:val="es-ES_tradnl"/>
        </w:rPr>
        <w:t>(..) que es un instrumento eficaz, un mecanismo id</w:t>
      </w:r>
      <w:r>
        <w:rPr>
          <w:rFonts w:cs="Times New Roman"/>
          <w:spacing w:val="-5"/>
          <w:sz w:val="16"/>
          <w:szCs w:val="16"/>
          <w:lang w:val="es-ES_tradnl"/>
        </w:rPr>
        <w:t>ó</w:t>
      </w:r>
      <w:r>
        <w:rPr>
          <w:spacing w:val="-5"/>
          <w:sz w:val="16"/>
          <w:szCs w:val="16"/>
          <w:lang w:val="es-ES_tradnl"/>
        </w:rPr>
        <w:t>neo y primordial para que el juez efect</w:t>
      </w:r>
      <w:r>
        <w:rPr>
          <w:rFonts w:cs="Times New Roman"/>
          <w:spacing w:val="-5"/>
          <w:sz w:val="16"/>
          <w:szCs w:val="16"/>
          <w:lang w:val="es-ES_tradnl"/>
        </w:rPr>
        <w:t>ú</w:t>
      </w:r>
      <w:r>
        <w:rPr>
          <w:spacing w:val="-5"/>
          <w:sz w:val="16"/>
          <w:szCs w:val="16"/>
          <w:lang w:val="es-ES_tradnl"/>
        </w:rPr>
        <w:t>e una labor pedag</w:t>
      </w:r>
      <w:r>
        <w:rPr>
          <w:rFonts w:cs="Times New Roman"/>
          <w:spacing w:val="-5"/>
          <w:sz w:val="16"/>
          <w:szCs w:val="16"/>
          <w:lang w:val="es-ES_tradnl"/>
        </w:rPr>
        <w:t>ó</w:t>
      </w:r>
      <w:r>
        <w:rPr>
          <w:spacing w:val="-5"/>
          <w:sz w:val="16"/>
          <w:szCs w:val="16"/>
          <w:lang w:val="es-ES_tradnl"/>
        </w:rPr>
        <w:t xml:space="preserve">gica, y </w:t>
      </w:r>
      <w:r>
        <w:rPr>
          <w:spacing w:val="-7"/>
          <w:sz w:val="16"/>
          <w:szCs w:val="16"/>
          <w:lang w:val="es-ES_tradnl"/>
        </w:rPr>
        <w:t xml:space="preserve">que en sus resoluciones explique de manera clara, concreta, </w:t>
      </w:r>
      <w:r>
        <w:rPr>
          <w:spacing w:val="-6"/>
          <w:sz w:val="16"/>
          <w:szCs w:val="16"/>
          <w:lang w:val="es-ES_tradnl"/>
        </w:rPr>
        <w:t>inteligible, asequible y sint</w:t>
      </w:r>
      <w:r>
        <w:rPr>
          <w:rFonts w:cs="Times New Roman"/>
          <w:spacing w:val="-6"/>
          <w:sz w:val="16"/>
          <w:szCs w:val="16"/>
          <w:lang w:val="es-ES_tradnl"/>
        </w:rPr>
        <w:t>é</w:t>
      </w:r>
      <w:r>
        <w:rPr>
          <w:spacing w:val="-6"/>
          <w:sz w:val="16"/>
          <w:szCs w:val="16"/>
          <w:lang w:val="es-ES_tradnl"/>
        </w:rPr>
        <w:t xml:space="preserve">tica, narrando de modo global los </w:t>
      </w:r>
      <w:r>
        <w:rPr>
          <w:spacing w:val="-8"/>
          <w:sz w:val="16"/>
          <w:szCs w:val="16"/>
          <w:lang w:val="es-ES_tradnl"/>
        </w:rPr>
        <w:t>hechos y el derecho involucrado y as</w:t>
      </w:r>
      <w:r>
        <w:rPr>
          <w:rFonts w:cs="Times New Roman"/>
          <w:spacing w:val="-8"/>
          <w:sz w:val="16"/>
          <w:szCs w:val="16"/>
          <w:lang w:val="es-ES_tradnl"/>
        </w:rPr>
        <w:t>í</w:t>
      </w:r>
      <w:r>
        <w:rPr>
          <w:spacing w:val="-8"/>
          <w:sz w:val="16"/>
          <w:szCs w:val="16"/>
          <w:lang w:val="es-ES_tradnl"/>
        </w:rPr>
        <w:t xml:space="preserve"> pueda tomar la decisi</w:t>
      </w:r>
      <w:r>
        <w:rPr>
          <w:rFonts w:cs="Times New Roman"/>
          <w:spacing w:val="-8"/>
          <w:sz w:val="16"/>
          <w:szCs w:val="16"/>
          <w:lang w:val="es-ES_tradnl"/>
        </w:rPr>
        <w:t>ó</w:t>
      </w:r>
      <w:r>
        <w:rPr>
          <w:spacing w:val="-8"/>
          <w:sz w:val="16"/>
          <w:szCs w:val="16"/>
          <w:lang w:val="es-ES_tradnl"/>
        </w:rPr>
        <w:t xml:space="preserve">n </w:t>
      </w:r>
      <w:r>
        <w:rPr>
          <w:sz w:val="16"/>
          <w:szCs w:val="16"/>
          <w:lang w:val="es-ES_tradnl"/>
        </w:rPr>
        <w:t>correcta en su sentencia</w:t>
      </w:r>
      <w:r>
        <w:rPr>
          <w:sz w:val="16"/>
          <w:szCs w:val="16"/>
          <w:vertAlign w:val="superscript"/>
          <w:lang w:val="es-ES_tradnl"/>
        </w:rPr>
        <w:t>10</w:t>
      </w:r>
      <w:r>
        <w:rPr>
          <w:sz w:val="16"/>
          <w:szCs w:val="16"/>
          <w:lang w:val="es-ES_tradnl"/>
        </w:rPr>
        <w:t>.</w:t>
      </w:r>
    </w:p>
    <w:p w14:paraId="4F67BC07" w14:textId="77777777" w:rsidR="00591D54" w:rsidRDefault="00591D54">
      <w:pPr>
        <w:shd w:val="clear" w:color="auto" w:fill="FFFFFF"/>
        <w:spacing w:before="197" w:line="216" w:lineRule="exact"/>
        <w:jc w:val="both"/>
      </w:pPr>
      <w:r>
        <w:rPr>
          <w:spacing w:val="-3"/>
          <w:sz w:val="18"/>
          <w:szCs w:val="18"/>
          <w:lang w:val="es-ES_tradnl"/>
        </w:rPr>
        <w:t xml:space="preserve">Este requisito de comprensibilidad es parte esencial de </w:t>
      </w:r>
      <w:r>
        <w:rPr>
          <w:spacing w:val="-5"/>
          <w:sz w:val="18"/>
          <w:szCs w:val="18"/>
          <w:lang w:val="es-ES_tradnl"/>
        </w:rPr>
        <w:t>la garant</w:t>
      </w:r>
      <w:r>
        <w:rPr>
          <w:rFonts w:cs="Times New Roman"/>
          <w:spacing w:val="-5"/>
          <w:sz w:val="18"/>
          <w:szCs w:val="18"/>
          <w:lang w:val="es-ES_tradnl"/>
        </w:rPr>
        <w:t>í</w:t>
      </w:r>
      <w:r>
        <w:rPr>
          <w:spacing w:val="-5"/>
          <w:sz w:val="18"/>
          <w:szCs w:val="18"/>
          <w:lang w:val="es-ES_tradnl"/>
        </w:rPr>
        <w:t>a a la motivaci</w:t>
      </w:r>
      <w:r>
        <w:rPr>
          <w:rFonts w:cs="Times New Roman"/>
          <w:spacing w:val="-5"/>
          <w:sz w:val="18"/>
          <w:szCs w:val="18"/>
          <w:lang w:val="es-ES_tradnl"/>
        </w:rPr>
        <w:t>ó</w:t>
      </w:r>
      <w:r>
        <w:rPr>
          <w:spacing w:val="-5"/>
          <w:sz w:val="18"/>
          <w:szCs w:val="18"/>
          <w:lang w:val="es-ES_tradnl"/>
        </w:rPr>
        <w:t xml:space="preserve">n, dado que una sentencia se </w:t>
      </w:r>
      <w:r>
        <w:rPr>
          <w:spacing w:val="-4"/>
          <w:sz w:val="18"/>
          <w:szCs w:val="18"/>
          <w:lang w:val="es-ES_tradnl"/>
        </w:rPr>
        <w:t xml:space="preserve">dirige principalmente a una o varias personas que no </w:t>
      </w:r>
      <w:r>
        <w:rPr>
          <w:spacing w:val="-7"/>
          <w:sz w:val="18"/>
          <w:szCs w:val="18"/>
          <w:lang w:val="es-ES_tradnl"/>
        </w:rPr>
        <w:t>necesariamente tienen la preparaci</w:t>
      </w:r>
      <w:r>
        <w:rPr>
          <w:rFonts w:cs="Times New Roman"/>
          <w:spacing w:val="-7"/>
          <w:sz w:val="18"/>
          <w:szCs w:val="18"/>
          <w:lang w:val="es-ES_tradnl"/>
        </w:rPr>
        <w:t>ó</w:t>
      </w:r>
      <w:r>
        <w:rPr>
          <w:spacing w:val="-7"/>
          <w:sz w:val="18"/>
          <w:szCs w:val="18"/>
          <w:lang w:val="es-ES_tradnl"/>
        </w:rPr>
        <w:t>n t</w:t>
      </w:r>
      <w:r>
        <w:rPr>
          <w:rFonts w:cs="Times New Roman"/>
          <w:spacing w:val="-7"/>
          <w:sz w:val="18"/>
          <w:szCs w:val="18"/>
          <w:lang w:val="es-ES_tradnl"/>
        </w:rPr>
        <w:t>é</w:t>
      </w:r>
      <w:r>
        <w:rPr>
          <w:spacing w:val="-7"/>
          <w:sz w:val="18"/>
          <w:szCs w:val="18"/>
          <w:lang w:val="es-ES_tradnl"/>
        </w:rPr>
        <w:t xml:space="preserve">cnica en derecho, </w:t>
      </w:r>
      <w:r>
        <w:rPr>
          <w:spacing w:val="-9"/>
          <w:sz w:val="18"/>
          <w:szCs w:val="18"/>
          <w:lang w:val="es-ES_tradnl"/>
        </w:rPr>
        <w:t xml:space="preserve">por lo que la misma debe ser clara, asequible, comprensible </w:t>
      </w:r>
      <w:r>
        <w:rPr>
          <w:spacing w:val="-10"/>
          <w:sz w:val="18"/>
          <w:szCs w:val="18"/>
          <w:lang w:val="es-ES_tradnl"/>
        </w:rPr>
        <w:t>para el lector, adem</w:t>
      </w:r>
      <w:r>
        <w:rPr>
          <w:rFonts w:cs="Times New Roman"/>
          <w:spacing w:val="-10"/>
          <w:sz w:val="18"/>
          <w:szCs w:val="18"/>
          <w:lang w:val="es-ES_tradnl"/>
        </w:rPr>
        <w:t>á</w:t>
      </w:r>
      <w:r>
        <w:rPr>
          <w:spacing w:val="-10"/>
          <w:sz w:val="18"/>
          <w:szCs w:val="18"/>
          <w:lang w:val="es-ES_tradnl"/>
        </w:rPr>
        <w:t xml:space="preserve">s de contener los argumentos de hecho </w:t>
      </w:r>
      <w:r>
        <w:rPr>
          <w:spacing w:val="-7"/>
          <w:sz w:val="18"/>
          <w:szCs w:val="18"/>
          <w:lang w:val="es-ES_tradnl"/>
        </w:rPr>
        <w:t>y de derecho como fundamento de la decisi</w:t>
      </w:r>
      <w:r>
        <w:rPr>
          <w:rFonts w:cs="Times New Roman"/>
          <w:spacing w:val="-7"/>
          <w:sz w:val="18"/>
          <w:szCs w:val="18"/>
          <w:lang w:val="es-ES_tradnl"/>
        </w:rPr>
        <w:t>ó</w:t>
      </w:r>
      <w:r>
        <w:rPr>
          <w:spacing w:val="-7"/>
          <w:sz w:val="18"/>
          <w:szCs w:val="18"/>
          <w:lang w:val="es-ES_tradnl"/>
        </w:rPr>
        <w:t xml:space="preserve">n judicial a la </w:t>
      </w:r>
      <w:r>
        <w:rPr>
          <w:sz w:val="18"/>
          <w:szCs w:val="18"/>
          <w:lang w:val="es-ES_tradnl"/>
        </w:rPr>
        <w:t>que arriba el juzgador.</w:t>
      </w:r>
    </w:p>
    <w:p w14:paraId="4F67BC08" w14:textId="77777777" w:rsidR="00591D54" w:rsidRDefault="00591D54">
      <w:pPr>
        <w:shd w:val="clear" w:color="auto" w:fill="FFFFFF"/>
        <w:spacing w:before="192" w:line="216" w:lineRule="exact"/>
        <w:jc w:val="both"/>
      </w:pPr>
      <w:r>
        <w:rPr>
          <w:spacing w:val="-8"/>
          <w:sz w:val="18"/>
          <w:szCs w:val="18"/>
          <w:lang w:val="es-ES_tradnl"/>
        </w:rPr>
        <w:t xml:space="preserve">En el caso </w:t>
      </w:r>
      <w:r>
        <w:rPr>
          <w:i/>
          <w:iCs/>
          <w:spacing w:val="-8"/>
          <w:sz w:val="18"/>
          <w:szCs w:val="18"/>
          <w:lang w:val="es-ES_tradnl"/>
        </w:rPr>
        <w:t>sub j</w:t>
      </w:r>
      <w:r>
        <w:rPr>
          <w:rFonts w:cs="Times New Roman"/>
          <w:i/>
          <w:iCs/>
          <w:spacing w:val="-8"/>
          <w:sz w:val="18"/>
          <w:szCs w:val="18"/>
          <w:lang w:val="es-ES_tradnl"/>
        </w:rPr>
        <w:t>ú</w:t>
      </w:r>
      <w:r>
        <w:rPr>
          <w:i/>
          <w:iCs/>
          <w:spacing w:val="-8"/>
          <w:sz w:val="18"/>
          <w:szCs w:val="18"/>
          <w:lang w:val="es-ES_tradnl"/>
        </w:rPr>
        <w:t>dice</w:t>
      </w:r>
      <w:r>
        <w:rPr>
          <w:spacing w:val="-8"/>
          <w:sz w:val="18"/>
          <w:szCs w:val="18"/>
          <w:lang w:val="es-ES_tradnl"/>
        </w:rPr>
        <w:t xml:space="preserve">, los jueces del Tribunal Penal utilizan </w:t>
      </w:r>
      <w:r>
        <w:rPr>
          <w:spacing w:val="-1"/>
          <w:sz w:val="18"/>
          <w:szCs w:val="18"/>
          <w:lang w:val="es-ES_tradnl"/>
        </w:rPr>
        <w:t xml:space="preserve">un lenguaje claro y comprensible en el desarrollo del </w:t>
      </w:r>
      <w:r>
        <w:rPr>
          <w:spacing w:val="-7"/>
          <w:sz w:val="18"/>
          <w:szCs w:val="18"/>
          <w:lang w:val="es-ES_tradnl"/>
        </w:rPr>
        <w:t xml:space="preserve">texto de la sentencia y lo hacen de una manera concreta, </w:t>
      </w:r>
      <w:r>
        <w:rPr>
          <w:spacing w:val="-6"/>
          <w:sz w:val="18"/>
          <w:szCs w:val="18"/>
          <w:lang w:val="es-ES_tradnl"/>
        </w:rPr>
        <w:t>inteligible, asequible y sint</w:t>
      </w:r>
      <w:r>
        <w:rPr>
          <w:rFonts w:cs="Times New Roman"/>
          <w:spacing w:val="-6"/>
          <w:sz w:val="18"/>
          <w:szCs w:val="18"/>
          <w:lang w:val="es-ES_tradnl"/>
        </w:rPr>
        <w:t>é</w:t>
      </w:r>
      <w:r>
        <w:rPr>
          <w:spacing w:val="-6"/>
          <w:sz w:val="18"/>
          <w:szCs w:val="18"/>
          <w:lang w:val="es-ES_tradnl"/>
        </w:rPr>
        <w:t xml:space="preserve">tica, incluyendo las cuestiones </w:t>
      </w:r>
      <w:r>
        <w:rPr>
          <w:spacing w:val="-8"/>
          <w:sz w:val="18"/>
          <w:szCs w:val="18"/>
          <w:lang w:val="es-ES_tradnl"/>
        </w:rPr>
        <w:t xml:space="preserve">de hecho y de derecho planteadas; y todo el razonamiento </w:t>
      </w:r>
      <w:r>
        <w:rPr>
          <w:spacing w:val="-5"/>
          <w:sz w:val="18"/>
          <w:szCs w:val="18"/>
          <w:lang w:val="es-ES_tradnl"/>
        </w:rPr>
        <w:t>seguido se lo puede apreciar dentro de la misma, para tomar la decisi</w:t>
      </w:r>
      <w:r>
        <w:rPr>
          <w:rFonts w:cs="Times New Roman"/>
          <w:spacing w:val="-5"/>
          <w:sz w:val="18"/>
          <w:szCs w:val="18"/>
          <w:lang w:val="es-ES_tradnl"/>
        </w:rPr>
        <w:t>ó</w:t>
      </w:r>
      <w:r>
        <w:rPr>
          <w:spacing w:val="-5"/>
          <w:sz w:val="18"/>
          <w:szCs w:val="18"/>
          <w:lang w:val="es-ES_tradnl"/>
        </w:rPr>
        <w:t xml:space="preserve">n que adoptaron tal como lo verificamos </w:t>
      </w:r>
      <w:r>
        <w:rPr>
          <w:spacing w:val="-8"/>
          <w:sz w:val="18"/>
          <w:szCs w:val="18"/>
          <w:lang w:val="es-ES_tradnl"/>
        </w:rPr>
        <w:t>en los p</w:t>
      </w:r>
      <w:r>
        <w:rPr>
          <w:rFonts w:cs="Times New Roman"/>
          <w:spacing w:val="-8"/>
          <w:sz w:val="18"/>
          <w:szCs w:val="18"/>
          <w:lang w:val="es-ES_tradnl"/>
        </w:rPr>
        <w:t>á</w:t>
      </w:r>
      <w:r>
        <w:rPr>
          <w:spacing w:val="-8"/>
          <w:sz w:val="18"/>
          <w:szCs w:val="18"/>
          <w:lang w:val="es-ES_tradnl"/>
        </w:rPr>
        <w:t xml:space="preserve">rrafos precedentes, de esta manera, se ha dado </w:t>
      </w:r>
      <w:r>
        <w:rPr>
          <w:spacing w:val="-2"/>
          <w:sz w:val="18"/>
          <w:szCs w:val="18"/>
          <w:lang w:val="es-ES_tradnl"/>
        </w:rPr>
        <w:t>cumplimiento con el par</w:t>
      </w:r>
      <w:r>
        <w:rPr>
          <w:rFonts w:cs="Times New Roman"/>
          <w:spacing w:val="-2"/>
          <w:sz w:val="18"/>
          <w:szCs w:val="18"/>
          <w:lang w:val="es-ES_tradnl"/>
        </w:rPr>
        <w:t>á</w:t>
      </w:r>
      <w:r>
        <w:rPr>
          <w:spacing w:val="-2"/>
          <w:sz w:val="18"/>
          <w:szCs w:val="18"/>
          <w:lang w:val="es-ES_tradnl"/>
        </w:rPr>
        <w:t xml:space="preserve">metro de la comprensibilidad </w:t>
      </w:r>
      <w:r>
        <w:rPr>
          <w:spacing w:val="-5"/>
          <w:sz w:val="18"/>
          <w:szCs w:val="18"/>
          <w:lang w:val="es-ES_tradnl"/>
        </w:rPr>
        <w:t>que forma parte integrante de la motivaci</w:t>
      </w:r>
      <w:r>
        <w:rPr>
          <w:rFonts w:cs="Times New Roman"/>
          <w:spacing w:val="-5"/>
          <w:sz w:val="18"/>
          <w:szCs w:val="18"/>
          <w:lang w:val="es-ES_tradnl"/>
        </w:rPr>
        <w:t>ó</w:t>
      </w:r>
      <w:r>
        <w:rPr>
          <w:spacing w:val="-5"/>
          <w:sz w:val="18"/>
          <w:szCs w:val="18"/>
          <w:lang w:val="es-ES_tradnl"/>
        </w:rPr>
        <w:t>n.</w:t>
      </w:r>
    </w:p>
    <w:p w14:paraId="4F67BC09" w14:textId="77777777" w:rsidR="00591D54" w:rsidRDefault="00591D54">
      <w:pPr>
        <w:shd w:val="clear" w:color="auto" w:fill="FFFFFF"/>
        <w:spacing w:before="192" w:line="216" w:lineRule="exact"/>
        <w:jc w:val="both"/>
      </w:pPr>
      <w:r>
        <w:rPr>
          <w:spacing w:val="-7"/>
          <w:sz w:val="18"/>
          <w:szCs w:val="18"/>
          <w:lang w:val="es-ES_tradnl"/>
        </w:rPr>
        <w:t>Por las consideraciones expuestas en los par</w:t>
      </w:r>
      <w:r>
        <w:rPr>
          <w:rFonts w:cs="Times New Roman"/>
          <w:spacing w:val="-7"/>
          <w:sz w:val="18"/>
          <w:szCs w:val="18"/>
          <w:lang w:val="es-ES_tradnl"/>
        </w:rPr>
        <w:t>á</w:t>
      </w:r>
      <w:r>
        <w:rPr>
          <w:spacing w:val="-7"/>
          <w:sz w:val="18"/>
          <w:szCs w:val="18"/>
          <w:lang w:val="es-ES_tradnl"/>
        </w:rPr>
        <w:t xml:space="preserve">metros de </w:t>
      </w:r>
      <w:r>
        <w:rPr>
          <w:spacing w:val="-5"/>
          <w:sz w:val="18"/>
          <w:szCs w:val="18"/>
          <w:lang w:val="es-ES_tradnl"/>
        </w:rPr>
        <w:t>razonabilidad, l</w:t>
      </w:r>
      <w:r>
        <w:rPr>
          <w:rFonts w:cs="Times New Roman"/>
          <w:spacing w:val="-5"/>
          <w:sz w:val="18"/>
          <w:szCs w:val="18"/>
          <w:lang w:val="es-ES_tradnl"/>
        </w:rPr>
        <w:t>ó</w:t>
      </w:r>
      <w:r>
        <w:rPr>
          <w:spacing w:val="-5"/>
          <w:sz w:val="18"/>
          <w:szCs w:val="18"/>
          <w:lang w:val="es-ES_tradnl"/>
        </w:rPr>
        <w:t xml:space="preserve">gica y comprensibilidad, este Organismo </w:t>
      </w:r>
      <w:r>
        <w:rPr>
          <w:spacing w:val="-9"/>
          <w:sz w:val="18"/>
          <w:szCs w:val="18"/>
          <w:lang w:val="es-ES_tradnl"/>
        </w:rPr>
        <w:t xml:space="preserve">determina que la sentencia emitida por los jueces del Tercer </w:t>
      </w:r>
      <w:r>
        <w:rPr>
          <w:spacing w:val="-6"/>
          <w:sz w:val="18"/>
          <w:szCs w:val="18"/>
          <w:lang w:val="es-ES_tradnl"/>
        </w:rPr>
        <w:t>Tribunal de Garant</w:t>
      </w:r>
      <w:r>
        <w:rPr>
          <w:rFonts w:cs="Times New Roman"/>
          <w:spacing w:val="-6"/>
          <w:sz w:val="18"/>
          <w:szCs w:val="18"/>
          <w:lang w:val="es-ES_tradnl"/>
        </w:rPr>
        <w:t>í</w:t>
      </w:r>
      <w:r>
        <w:rPr>
          <w:spacing w:val="-6"/>
          <w:sz w:val="18"/>
          <w:szCs w:val="18"/>
          <w:lang w:val="es-ES_tradnl"/>
        </w:rPr>
        <w:t>as Penales de Pichincha el 16 de abril</w:t>
      </w:r>
    </w:p>
    <w:p w14:paraId="4F67BC0A" w14:textId="77777777" w:rsidR="00591D54" w:rsidRDefault="00591D54">
      <w:pPr>
        <w:shd w:val="clear" w:color="auto" w:fill="FFFFFF"/>
        <w:spacing w:before="528" w:line="178" w:lineRule="exact"/>
        <w:ind w:left="139" w:hanging="139"/>
      </w:pPr>
      <w:r>
        <w:rPr>
          <w:spacing w:val="-4"/>
          <w:sz w:val="16"/>
          <w:szCs w:val="16"/>
          <w:vertAlign w:val="superscript"/>
          <w:lang w:val="es-ES_tradnl"/>
        </w:rPr>
        <w:t>10</w:t>
      </w:r>
      <w:r>
        <w:rPr>
          <w:spacing w:val="-4"/>
          <w:sz w:val="16"/>
          <w:szCs w:val="16"/>
          <w:lang w:val="es-ES_tradnl"/>
        </w:rPr>
        <w:t xml:space="preserve"> </w:t>
      </w:r>
      <w:r>
        <w:rPr>
          <w:spacing w:val="-9"/>
          <w:sz w:val="16"/>
          <w:szCs w:val="16"/>
          <w:lang w:val="es-ES_tradnl"/>
        </w:rPr>
        <w:t>Corte Constitucional del Ecuador, Sentencia N.</w:t>
      </w:r>
      <w:r>
        <w:rPr>
          <w:rFonts w:cs="Times New Roman"/>
          <w:spacing w:val="-9"/>
          <w:sz w:val="16"/>
          <w:szCs w:val="16"/>
          <w:lang w:val="es-ES_tradnl"/>
        </w:rPr>
        <w:t>°</w:t>
      </w:r>
      <w:r>
        <w:rPr>
          <w:spacing w:val="-9"/>
          <w:sz w:val="16"/>
          <w:szCs w:val="16"/>
          <w:lang w:val="es-ES_tradnl"/>
        </w:rPr>
        <w:t xml:space="preserve"> 211-15-SEP-CC, </w:t>
      </w:r>
      <w:r>
        <w:rPr>
          <w:sz w:val="16"/>
          <w:szCs w:val="16"/>
          <w:lang w:val="es-ES_tradnl"/>
        </w:rPr>
        <w:t>Caso N.</w:t>
      </w:r>
      <w:r>
        <w:rPr>
          <w:rFonts w:cs="Times New Roman"/>
          <w:sz w:val="16"/>
          <w:szCs w:val="16"/>
          <w:lang w:val="es-ES_tradnl"/>
        </w:rPr>
        <w:t>°</w:t>
      </w:r>
      <w:r>
        <w:rPr>
          <w:sz w:val="16"/>
          <w:szCs w:val="16"/>
          <w:lang w:val="es-ES_tradnl"/>
        </w:rPr>
        <w:t xml:space="preserve"> 0704-12-EP, p. 13.</w:t>
      </w:r>
    </w:p>
    <w:p w14:paraId="4F67BC0B" w14:textId="77777777" w:rsidR="00591D54" w:rsidRDefault="00591D54">
      <w:pPr>
        <w:shd w:val="clear" w:color="auto" w:fill="FFFFFF"/>
        <w:spacing w:line="235" w:lineRule="exact"/>
        <w:jc w:val="both"/>
      </w:pPr>
      <w:r>
        <w:br w:type="column"/>
      </w:r>
      <w:r>
        <w:rPr>
          <w:spacing w:val="-5"/>
          <w:sz w:val="18"/>
          <w:szCs w:val="18"/>
          <w:lang w:val="es-ES_tradnl"/>
        </w:rPr>
        <w:t xml:space="preserve">de 2012 a las 14h26; dictada dentro del procedimiento </w:t>
      </w:r>
      <w:r>
        <w:rPr>
          <w:spacing w:val="-6"/>
          <w:sz w:val="18"/>
          <w:szCs w:val="18"/>
          <w:lang w:val="es-ES_tradnl"/>
        </w:rPr>
        <w:t>abreviado, no vulner</w:t>
      </w:r>
      <w:r>
        <w:rPr>
          <w:rFonts w:cs="Times New Roman"/>
          <w:spacing w:val="-6"/>
          <w:sz w:val="18"/>
          <w:szCs w:val="18"/>
          <w:lang w:val="es-ES_tradnl"/>
        </w:rPr>
        <w:t>ó</w:t>
      </w:r>
      <w:r>
        <w:rPr>
          <w:spacing w:val="-6"/>
          <w:sz w:val="18"/>
          <w:szCs w:val="18"/>
          <w:lang w:val="es-ES_tradnl"/>
        </w:rPr>
        <w:t xml:space="preserve"> el derecho al debido proceso en la </w:t>
      </w:r>
      <w:r>
        <w:rPr>
          <w:sz w:val="18"/>
          <w:szCs w:val="18"/>
          <w:lang w:val="es-ES_tradnl"/>
        </w:rPr>
        <w:t>garant</w:t>
      </w:r>
      <w:r>
        <w:rPr>
          <w:rFonts w:cs="Times New Roman"/>
          <w:sz w:val="18"/>
          <w:szCs w:val="18"/>
          <w:lang w:val="es-ES_tradnl"/>
        </w:rPr>
        <w:t>í</w:t>
      </w:r>
      <w:r>
        <w:rPr>
          <w:sz w:val="18"/>
          <w:szCs w:val="18"/>
          <w:lang w:val="es-ES_tradnl"/>
        </w:rPr>
        <w:t>a de la motivaci</w:t>
      </w:r>
      <w:r>
        <w:rPr>
          <w:rFonts w:cs="Times New Roman"/>
          <w:sz w:val="18"/>
          <w:szCs w:val="18"/>
          <w:lang w:val="es-ES_tradnl"/>
        </w:rPr>
        <w:t>ó</w:t>
      </w:r>
      <w:r>
        <w:rPr>
          <w:sz w:val="18"/>
          <w:szCs w:val="18"/>
          <w:lang w:val="es-ES_tradnl"/>
        </w:rPr>
        <w:t>n.</w:t>
      </w:r>
    </w:p>
    <w:p w14:paraId="4F67BC0C" w14:textId="77777777" w:rsidR="00591D54" w:rsidRDefault="00591D54">
      <w:pPr>
        <w:shd w:val="clear" w:color="auto" w:fill="FFFFFF"/>
        <w:spacing w:before="221"/>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BC0D" w14:textId="77777777" w:rsidR="00591D54" w:rsidRDefault="00591D54">
      <w:pPr>
        <w:shd w:val="clear" w:color="auto" w:fill="FFFFFF"/>
        <w:spacing w:before="216" w:line="235" w:lineRule="exact"/>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4"/>
          <w:sz w:val="18"/>
          <w:szCs w:val="18"/>
          <w:lang w:val="es-ES_tradnl"/>
        </w:rPr>
        <w:t>constitucional y por mandato de la Constituci</w:t>
      </w:r>
      <w:r>
        <w:rPr>
          <w:rFonts w:cs="Times New Roman"/>
          <w:spacing w:val="-4"/>
          <w:sz w:val="18"/>
          <w:szCs w:val="18"/>
          <w:lang w:val="es-ES_tradnl"/>
        </w:rPr>
        <w:t>ó</w:t>
      </w:r>
      <w:r>
        <w:rPr>
          <w:spacing w:val="-4"/>
          <w:sz w:val="18"/>
          <w:szCs w:val="18"/>
          <w:lang w:val="es-ES_tradnl"/>
        </w:rPr>
        <w:t xml:space="preserve">n de la </w:t>
      </w:r>
      <w:r>
        <w:rPr>
          <w:spacing w:val="-8"/>
          <w:sz w:val="18"/>
          <w:szCs w:val="18"/>
          <w:lang w:val="es-ES_tradnl"/>
        </w:rPr>
        <w:t>Rep</w:t>
      </w:r>
      <w:r>
        <w:rPr>
          <w:rFonts w:cs="Times New Roman"/>
          <w:spacing w:val="-8"/>
          <w:sz w:val="18"/>
          <w:szCs w:val="18"/>
          <w:lang w:val="es-ES_tradnl"/>
        </w:rPr>
        <w:t>ú</w:t>
      </w:r>
      <w:r>
        <w:rPr>
          <w:spacing w:val="-8"/>
          <w:sz w:val="18"/>
          <w:szCs w:val="18"/>
          <w:lang w:val="es-ES_tradnl"/>
        </w:rPr>
        <w:t xml:space="preserve">blica del Ecuador, el Pleno de la Corte Constitucional, </w:t>
      </w:r>
      <w:r>
        <w:rPr>
          <w:sz w:val="18"/>
          <w:szCs w:val="18"/>
          <w:lang w:val="es-ES_tradnl"/>
        </w:rPr>
        <w:t>expide la siguiente:</w:t>
      </w:r>
    </w:p>
    <w:p w14:paraId="4F67BC0E" w14:textId="77777777" w:rsidR="00591D54" w:rsidRDefault="00591D54">
      <w:pPr>
        <w:shd w:val="clear" w:color="auto" w:fill="FFFFFF"/>
        <w:spacing w:before="221"/>
        <w:ind w:left="10"/>
        <w:jc w:val="center"/>
      </w:pPr>
      <w:r>
        <w:rPr>
          <w:b/>
          <w:bCs/>
          <w:sz w:val="18"/>
          <w:szCs w:val="18"/>
          <w:lang w:val="es-ES_tradnl"/>
        </w:rPr>
        <w:t>SENTENCIA</w:t>
      </w:r>
    </w:p>
    <w:p w14:paraId="4F67BC0F" w14:textId="77777777" w:rsidR="00591D54" w:rsidRDefault="00591D54" w:rsidP="00251195">
      <w:pPr>
        <w:numPr>
          <w:ilvl w:val="0"/>
          <w:numId w:val="128"/>
        </w:numPr>
        <w:shd w:val="clear" w:color="auto" w:fill="FFFFFF"/>
        <w:tabs>
          <w:tab w:val="left" w:pos="566"/>
        </w:tabs>
        <w:spacing w:before="216" w:line="235" w:lineRule="exact"/>
        <w:ind w:left="566" w:hanging="283"/>
        <w:rPr>
          <w:spacing w:val="-9"/>
          <w:sz w:val="18"/>
          <w:szCs w:val="18"/>
          <w:lang w:val="es-ES_tradnl"/>
        </w:rPr>
      </w:pPr>
      <w:r>
        <w:rPr>
          <w:spacing w:val="-8"/>
          <w:sz w:val="18"/>
          <w:szCs w:val="18"/>
          <w:lang w:val="es-ES_tradnl"/>
        </w:rPr>
        <w:t>Declarar que no existe vulneraci</w:t>
      </w:r>
      <w:r>
        <w:rPr>
          <w:rFonts w:cs="Times New Roman"/>
          <w:spacing w:val="-8"/>
          <w:sz w:val="18"/>
          <w:szCs w:val="18"/>
          <w:lang w:val="es-ES_tradnl"/>
        </w:rPr>
        <w:t>ó</w:t>
      </w:r>
      <w:r>
        <w:rPr>
          <w:spacing w:val="-8"/>
          <w:sz w:val="18"/>
          <w:szCs w:val="18"/>
          <w:lang w:val="es-ES_tradnl"/>
        </w:rPr>
        <w:t xml:space="preserve">n de los derechos </w:t>
      </w:r>
      <w:r>
        <w:rPr>
          <w:sz w:val="18"/>
          <w:szCs w:val="18"/>
          <w:lang w:val="es-ES_tradnl"/>
        </w:rPr>
        <w:t>constitucionales.</w:t>
      </w:r>
    </w:p>
    <w:p w14:paraId="4F67BC10" w14:textId="77777777" w:rsidR="00591D54" w:rsidRDefault="00591D54" w:rsidP="00251195">
      <w:pPr>
        <w:numPr>
          <w:ilvl w:val="0"/>
          <w:numId w:val="128"/>
        </w:numPr>
        <w:shd w:val="clear" w:color="auto" w:fill="FFFFFF"/>
        <w:tabs>
          <w:tab w:val="left" w:pos="566"/>
        </w:tabs>
        <w:spacing w:before="216" w:line="235" w:lineRule="exact"/>
        <w:ind w:left="566" w:hanging="283"/>
        <w:rPr>
          <w:spacing w:val="-9"/>
          <w:sz w:val="18"/>
          <w:szCs w:val="18"/>
          <w:lang w:val="es-ES_tradnl"/>
        </w:rPr>
      </w:pPr>
      <w:r>
        <w:rPr>
          <w:spacing w:val="-6"/>
          <w:sz w:val="18"/>
          <w:szCs w:val="18"/>
          <w:lang w:val="es-ES_tradnl"/>
        </w:rPr>
        <w:t>Negar   la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w:t>
      </w:r>
      <w:r>
        <w:rPr>
          <w:sz w:val="18"/>
          <w:szCs w:val="18"/>
          <w:lang w:val="es-ES_tradnl"/>
        </w:rPr>
        <w:t>planteada.</w:t>
      </w:r>
    </w:p>
    <w:p w14:paraId="4F67BC11" w14:textId="77777777" w:rsidR="00591D54" w:rsidRDefault="00591D54">
      <w:pPr>
        <w:shd w:val="clear" w:color="auto" w:fill="FFFFFF"/>
        <w:tabs>
          <w:tab w:val="left" w:pos="566"/>
        </w:tabs>
        <w:spacing w:before="38" w:line="461" w:lineRule="exact"/>
        <w:ind w:right="653" w:firstLine="283"/>
      </w:pPr>
      <w:r>
        <w:rPr>
          <w:spacing w:val="-9"/>
          <w:sz w:val="18"/>
          <w:szCs w:val="18"/>
          <w:lang w:val="es-ES_tradnl"/>
        </w:rPr>
        <w:t>3.</w:t>
      </w:r>
      <w:r>
        <w:rPr>
          <w:sz w:val="18"/>
          <w:szCs w:val="18"/>
          <w:lang w:val="es-ES_tradnl"/>
        </w:rPr>
        <w:tab/>
      </w:r>
      <w:r>
        <w:rPr>
          <w:spacing w:val="-7"/>
          <w:sz w:val="18"/>
          <w:szCs w:val="18"/>
          <w:lang w:val="es-ES_tradnl"/>
        </w:rPr>
        <w:t>Notif</w:t>
      </w:r>
      <w:r>
        <w:rPr>
          <w:rFonts w:cs="Times New Roman"/>
          <w:spacing w:val="-7"/>
          <w:sz w:val="18"/>
          <w:szCs w:val="18"/>
          <w:lang w:val="es-ES_tradnl"/>
        </w:rPr>
        <w:t>í</w:t>
      </w:r>
      <w:r>
        <w:rPr>
          <w:spacing w:val="-7"/>
          <w:sz w:val="18"/>
          <w:szCs w:val="18"/>
          <w:lang w:val="es-ES_tradnl"/>
        </w:rPr>
        <w:t>quese, publ</w:t>
      </w:r>
      <w:r>
        <w:rPr>
          <w:rFonts w:cs="Times New Roman"/>
          <w:spacing w:val="-7"/>
          <w:sz w:val="18"/>
          <w:szCs w:val="18"/>
          <w:lang w:val="es-ES_tradnl"/>
        </w:rPr>
        <w:t>í</w:t>
      </w:r>
      <w:r>
        <w:rPr>
          <w:spacing w:val="-7"/>
          <w:sz w:val="18"/>
          <w:szCs w:val="18"/>
          <w:lang w:val="es-ES_tradnl"/>
        </w:rPr>
        <w:t>quese y devu</w:t>
      </w:r>
      <w:r>
        <w:rPr>
          <w:rFonts w:cs="Times New Roman"/>
          <w:spacing w:val="-7"/>
          <w:sz w:val="18"/>
          <w:szCs w:val="18"/>
          <w:lang w:val="es-ES_tradnl"/>
        </w:rPr>
        <w:t>é</w:t>
      </w:r>
      <w:r>
        <w:rPr>
          <w:spacing w:val="-7"/>
          <w:sz w:val="18"/>
          <w:szCs w:val="18"/>
          <w:lang w:val="es-ES_tradnl"/>
        </w:rPr>
        <w:t>lvase. </w:t>
      </w:r>
      <w:r>
        <w:rPr>
          <w:spacing w:val="-4"/>
          <w:sz w:val="18"/>
          <w:szCs w:val="18"/>
          <w:lang w:val="es-ES_tradnl"/>
        </w:rPr>
        <w:t>f.) Patricio Pazmi</w:t>
      </w:r>
      <w:r>
        <w:rPr>
          <w:rFonts w:cs="Times New Roman"/>
          <w:spacing w:val="-4"/>
          <w:sz w:val="18"/>
          <w:szCs w:val="18"/>
          <w:lang w:val="es-ES_tradnl"/>
        </w:rPr>
        <w:t>ñ</w:t>
      </w:r>
      <w:r>
        <w:rPr>
          <w:spacing w:val="-4"/>
          <w:sz w:val="18"/>
          <w:szCs w:val="18"/>
          <w:lang w:val="es-ES_tradnl"/>
        </w:rPr>
        <w:t xml:space="preserve">o Freire, </w:t>
      </w:r>
      <w:r>
        <w:rPr>
          <w:b/>
          <w:bCs/>
          <w:spacing w:val="-4"/>
          <w:sz w:val="18"/>
          <w:szCs w:val="18"/>
          <w:lang w:val="es-ES_tradnl"/>
        </w:rPr>
        <w:t>PRESIDENTE.</w:t>
      </w:r>
    </w:p>
    <w:p w14:paraId="4F67BC12" w14:textId="77777777" w:rsidR="00591D54" w:rsidRDefault="00591D54">
      <w:pPr>
        <w:shd w:val="clear" w:color="auto" w:fill="FFFFFF"/>
        <w:spacing w:line="461" w:lineRule="exact"/>
      </w:pPr>
      <w:r>
        <w:rPr>
          <w:spacing w:val="-4"/>
          <w:sz w:val="18"/>
          <w:szCs w:val="18"/>
          <w:lang w:val="es-ES_tradnl"/>
        </w:rPr>
        <w:t xml:space="preserve">f.) Jaime Pozo Chamorro, </w:t>
      </w:r>
      <w:r>
        <w:rPr>
          <w:b/>
          <w:bCs/>
          <w:spacing w:val="-4"/>
          <w:sz w:val="18"/>
          <w:szCs w:val="18"/>
          <w:lang w:val="es-ES_tradnl"/>
        </w:rPr>
        <w:t>SECRETARIO GENERAL.</w:t>
      </w:r>
    </w:p>
    <w:p w14:paraId="4F67BC13" w14:textId="77777777" w:rsidR="00591D54" w:rsidRDefault="00591D54">
      <w:pPr>
        <w:shd w:val="clear" w:color="auto" w:fill="FFFFFF"/>
        <w:spacing w:before="173" w:line="235" w:lineRule="exact"/>
        <w:jc w:val="both"/>
      </w:pPr>
      <w:r>
        <w:rPr>
          <w:b/>
          <w:bCs/>
          <w:spacing w:val="-4"/>
          <w:sz w:val="18"/>
          <w:szCs w:val="18"/>
          <w:lang w:val="es-ES_tradnl"/>
        </w:rPr>
        <w:t>RAZ</w:t>
      </w:r>
      <w:r>
        <w:rPr>
          <w:rFonts w:cs="Times New Roman"/>
          <w:b/>
          <w:bCs/>
          <w:spacing w:val="-4"/>
          <w:sz w:val="18"/>
          <w:szCs w:val="18"/>
          <w:lang w:val="es-ES_tradnl"/>
        </w:rPr>
        <w:t>Ó</w:t>
      </w:r>
      <w:r>
        <w:rPr>
          <w:b/>
          <w:bCs/>
          <w:spacing w:val="-4"/>
          <w:sz w:val="18"/>
          <w:szCs w:val="18"/>
          <w:lang w:val="es-ES_tradnl"/>
        </w:rPr>
        <w:t xml:space="preserve">N.- </w:t>
      </w:r>
      <w:r>
        <w:rPr>
          <w:spacing w:val="-4"/>
          <w:sz w:val="18"/>
          <w:szCs w:val="18"/>
          <w:lang w:val="es-ES_tradnl"/>
        </w:rPr>
        <w:t xml:space="preserve">Siento por tal, que la sentencia que antecede </w:t>
      </w:r>
      <w:r>
        <w:rPr>
          <w:spacing w:val="-1"/>
          <w:sz w:val="18"/>
          <w:szCs w:val="18"/>
          <w:lang w:val="es-ES_tradnl"/>
        </w:rPr>
        <w:t xml:space="preserve">fue aprobada por el Pleno de la Corte Constitucional, </w:t>
      </w:r>
      <w:r>
        <w:rPr>
          <w:spacing w:val="-5"/>
          <w:sz w:val="18"/>
          <w:szCs w:val="18"/>
          <w:lang w:val="es-ES_tradnl"/>
        </w:rPr>
        <w:t xml:space="preserve">con ocho votos a favor, de las juezas y jueces Antonio </w:t>
      </w:r>
      <w:r>
        <w:rPr>
          <w:spacing w:val="-2"/>
          <w:sz w:val="18"/>
          <w:szCs w:val="18"/>
          <w:lang w:val="es-ES_tradnl"/>
        </w:rPr>
        <w:t xml:space="preserve">Gagliardo Loor, Marcelo Jaramillo Villa, Wendy Molina </w:t>
      </w:r>
      <w:r>
        <w:rPr>
          <w:spacing w:val="-7"/>
          <w:sz w:val="18"/>
          <w:szCs w:val="18"/>
          <w:lang w:val="es-ES_tradnl"/>
        </w:rPr>
        <w:t>Andrade, Tatiana Orde</w:t>
      </w:r>
      <w:r>
        <w:rPr>
          <w:rFonts w:cs="Times New Roman"/>
          <w:spacing w:val="-7"/>
          <w:sz w:val="18"/>
          <w:szCs w:val="18"/>
          <w:lang w:val="es-ES_tradnl"/>
        </w:rPr>
        <w:t>ñ</w:t>
      </w:r>
      <w:r>
        <w:rPr>
          <w:spacing w:val="-7"/>
          <w:sz w:val="18"/>
          <w:szCs w:val="18"/>
          <w:lang w:val="es-ES_tradnl"/>
        </w:rPr>
        <w:t>ana Sierra, Alfredo Ruiz Guzm</w:t>
      </w:r>
      <w:r>
        <w:rPr>
          <w:rFonts w:cs="Times New Roman"/>
          <w:spacing w:val="-7"/>
          <w:sz w:val="18"/>
          <w:szCs w:val="18"/>
          <w:lang w:val="es-ES_tradnl"/>
        </w:rPr>
        <w:t>á</w:t>
      </w:r>
      <w:r>
        <w:rPr>
          <w:spacing w:val="-7"/>
          <w:sz w:val="18"/>
          <w:szCs w:val="18"/>
          <w:lang w:val="es-ES_tradnl"/>
        </w:rPr>
        <w:t xml:space="preserve">n, </w:t>
      </w:r>
      <w:r>
        <w:rPr>
          <w:spacing w:val="-2"/>
          <w:sz w:val="18"/>
          <w:szCs w:val="18"/>
          <w:lang w:val="es-ES_tradnl"/>
        </w:rPr>
        <w:t xml:space="preserve">Ruth Seni Pinoargote, Manuel Viteri Olvera y Patricio </w:t>
      </w:r>
      <w:r>
        <w:rPr>
          <w:spacing w:val="-5"/>
          <w:sz w:val="18"/>
          <w:szCs w:val="18"/>
          <w:lang w:val="es-ES_tradnl"/>
        </w:rPr>
        <w:t>Pazmi</w:t>
      </w:r>
      <w:r>
        <w:rPr>
          <w:rFonts w:cs="Times New Roman"/>
          <w:spacing w:val="-5"/>
          <w:sz w:val="18"/>
          <w:szCs w:val="18"/>
          <w:lang w:val="es-ES_tradnl"/>
        </w:rPr>
        <w:t>ñ</w:t>
      </w:r>
      <w:r>
        <w:rPr>
          <w:spacing w:val="-5"/>
          <w:sz w:val="18"/>
          <w:szCs w:val="18"/>
          <w:lang w:val="es-ES_tradnl"/>
        </w:rPr>
        <w:t xml:space="preserve">o Freire, sin contar con la presencia de la jueza </w:t>
      </w:r>
      <w:r>
        <w:rPr>
          <w:spacing w:val="-9"/>
          <w:sz w:val="18"/>
          <w:szCs w:val="18"/>
          <w:lang w:val="es-ES_tradnl"/>
        </w:rPr>
        <w:t>Mar</w:t>
      </w:r>
      <w:r>
        <w:rPr>
          <w:rFonts w:cs="Times New Roman"/>
          <w:spacing w:val="-9"/>
          <w:sz w:val="18"/>
          <w:szCs w:val="18"/>
          <w:lang w:val="es-ES_tradnl"/>
        </w:rPr>
        <w:t>í</w:t>
      </w:r>
      <w:r>
        <w:rPr>
          <w:spacing w:val="-9"/>
          <w:sz w:val="18"/>
          <w:szCs w:val="18"/>
          <w:lang w:val="es-ES_tradnl"/>
        </w:rPr>
        <w:t>a del Carmen Maldonado S</w:t>
      </w:r>
      <w:r>
        <w:rPr>
          <w:rFonts w:cs="Times New Roman"/>
          <w:spacing w:val="-9"/>
          <w:sz w:val="18"/>
          <w:szCs w:val="18"/>
          <w:lang w:val="es-ES_tradnl"/>
        </w:rPr>
        <w:t>á</w:t>
      </w:r>
      <w:r>
        <w:rPr>
          <w:spacing w:val="-9"/>
          <w:sz w:val="18"/>
          <w:szCs w:val="18"/>
          <w:lang w:val="es-ES_tradnl"/>
        </w:rPr>
        <w:t>nchez, en sesi</w:t>
      </w:r>
      <w:r>
        <w:rPr>
          <w:rFonts w:cs="Times New Roman"/>
          <w:spacing w:val="-9"/>
          <w:sz w:val="18"/>
          <w:szCs w:val="18"/>
          <w:lang w:val="es-ES_tradnl"/>
        </w:rPr>
        <w:t>ó</w:t>
      </w:r>
      <w:r>
        <w:rPr>
          <w:spacing w:val="-9"/>
          <w:sz w:val="18"/>
          <w:szCs w:val="18"/>
          <w:lang w:val="es-ES_tradnl"/>
        </w:rPr>
        <w:t xml:space="preserve">n de 02 de </w:t>
      </w:r>
      <w:r>
        <w:rPr>
          <w:sz w:val="18"/>
          <w:szCs w:val="18"/>
          <w:lang w:val="es-ES_tradnl"/>
        </w:rPr>
        <w:t>septiembre del 2015. Lo certifico.</w:t>
      </w:r>
    </w:p>
    <w:p w14:paraId="4F67BC14" w14:textId="77777777" w:rsidR="00591D54" w:rsidRDefault="00591D54">
      <w:pPr>
        <w:shd w:val="clear" w:color="auto" w:fill="FFFFFF"/>
        <w:spacing w:before="226"/>
      </w:pPr>
      <w:r>
        <w:rPr>
          <w:spacing w:val="-4"/>
          <w:sz w:val="18"/>
          <w:szCs w:val="18"/>
          <w:lang w:val="es-ES_tradnl"/>
        </w:rPr>
        <w:t xml:space="preserve">f.) Jaime Pozo Chamorro, </w:t>
      </w:r>
      <w:r>
        <w:rPr>
          <w:b/>
          <w:bCs/>
          <w:spacing w:val="-4"/>
          <w:sz w:val="18"/>
          <w:szCs w:val="18"/>
          <w:lang w:val="es-ES_tradnl"/>
        </w:rPr>
        <w:t>SECRETARIO GENERAL.</w:t>
      </w:r>
    </w:p>
    <w:p w14:paraId="4F67BC15" w14:textId="77777777" w:rsidR="00591D54" w:rsidRDefault="00591D54">
      <w:pPr>
        <w:shd w:val="clear" w:color="auto" w:fill="FFFFFF"/>
        <w:spacing w:before="216" w:line="235"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C16" w14:textId="77777777" w:rsidR="00591D54" w:rsidRDefault="00591D54">
      <w:pPr>
        <w:shd w:val="clear" w:color="auto" w:fill="FFFFFF"/>
        <w:spacing w:before="226"/>
      </w:pPr>
      <w:r>
        <w:rPr>
          <w:b/>
          <w:bCs/>
          <w:spacing w:val="-5"/>
          <w:sz w:val="18"/>
          <w:szCs w:val="18"/>
          <w:u w:val="single"/>
          <w:lang w:val="es-ES_tradnl"/>
        </w:rPr>
        <w:t>CASO Nro. 0774-12-EP</w:t>
      </w:r>
    </w:p>
    <w:p w14:paraId="4F67BC17" w14:textId="77777777" w:rsidR="00591D54" w:rsidRDefault="00591D54">
      <w:pPr>
        <w:shd w:val="clear" w:color="auto" w:fill="FFFFFF"/>
        <w:spacing w:before="216" w:line="235" w:lineRule="exact"/>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w:t>
      </w:r>
      <w:r>
        <w:rPr>
          <w:spacing w:val="-7"/>
          <w:sz w:val="18"/>
          <w:szCs w:val="18"/>
          <w:lang w:val="es-ES_tradnl"/>
        </w:rPr>
        <w:t>suscrita por el Juez Patricio Pazmi</w:t>
      </w:r>
      <w:r>
        <w:rPr>
          <w:rFonts w:cs="Times New Roman"/>
          <w:spacing w:val="-7"/>
          <w:sz w:val="18"/>
          <w:szCs w:val="18"/>
          <w:lang w:val="es-ES_tradnl"/>
        </w:rPr>
        <w:t>ñ</w:t>
      </w:r>
      <w:r>
        <w:rPr>
          <w:spacing w:val="-7"/>
          <w:sz w:val="18"/>
          <w:szCs w:val="18"/>
          <w:lang w:val="es-ES_tradnl"/>
        </w:rPr>
        <w:t xml:space="preserve">o Freire, Presidente de </w:t>
      </w:r>
      <w:r>
        <w:rPr>
          <w:spacing w:val="-6"/>
          <w:sz w:val="18"/>
          <w:szCs w:val="18"/>
          <w:lang w:val="es-ES_tradnl"/>
        </w:rPr>
        <w:t>la Corte Constitucional, el d</w:t>
      </w:r>
      <w:r>
        <w:rPr>
          <w:rFonts w:cs="Times New Roman"/>
          <w:spacing w:val="-6"/>
          <w:sz w:val="18"/>
          <w:szCs w:val="18"/>
          <w:lang w:val="es-ES_tradnl"/>
        </w:rPr>
        <w:t>í</w:t>
      </w:r>
      <w:r>
        <w:rPr>
          <w:spacing w:val="-6"/>
          <w:sz w:val="18"/>
          <w:szCs w:val="18"/>
          <w:lang w:val="es-ES_tradnl"/>
        </w:rPr>
        <w:t xml:space="preserve">a lunes 07 de septiembre del </w:t>
      </w:r>
      <w:r>
        <w:rPr>
          <w:sz w:val="18"/>
          <w:szCs w:val="18"/>
          <w:lang w:val="es-ES_tradnl"/>
        </w:rPr>
        <w:t>dos mil quince.- Lo certifico.</w:t>
      </w:r>
    </w:p>
    <w:p w14:paraId="4F67BC18" w14:textId="77777777" w:rsidR="00591D54" w:rsidRDefault="00591D54">
      <w:pPr>
        <w:shd w:val="clear" w:color="auto" w:fill="FFFFFF"/>
        <w:spacing w:before="221"/>
      </w:pPr>
      <w:r>
        <w:rPr>
          <w:spacing w:val="-7"/>
          <w:sz w:val="18"/>
          <w:szCs w:val="18"/>
          <w:lang w:val="es-ES_tradnl"/>
        </w:rPr>
        <w:t xml:space="preserve">f.) Jaime Pozo Chamorro, </w:t>
      </w:r>
      <w:r>
        <w:rPr>
          <w:b/>
          <w:bCs/>
          <w:spacing w:val="-7"/>
          <w:sz w:val="18"/>
          <w:szCs w:val="18"/>
          <w:lang w:val="es-ES_tradnl"/>
        </w:rPr>
        <w:t>Secretario General.</w:t>
      </w:r>
    </w:p>
    <w:p w14:paraId="4F67BC19" w14:textId="77777777" w:rsidR="00591D54" w:rsidRDefault="00591D54">
      <w:pPr>
        <w:shd w:val="clear" w:color="auto" w:fill="FFFFFF"/>
        <w:spacing w:before="216" w:line="235"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C1A" w14:textId="77777777" w:rsidR="00591D54" w:rsidRDefault="00591D54">
      <w:pPr>
        <w:shd w:val="clear" w:color="auto" w:fill="FFFFFF"/>
        <w:spacing w:before="216" w:line="235" w:lineRule="exact"/>
        <w:jc w:val="both"/>
        <w:sectPr w:rsidR="00591D54">
          <w:type w:val="continuous"/>
          <w:pgSz w:w="11909" w:h="16834"/>
          <w:pgMar w:top="1356" w:right="1309" w:bottom="360" w:left="1308" w:header="720" w:footer="720" w:gutter="0"/>
          <w:cols w:num="2" w:space="720" w:equalWidth="0">
            <w:col w:w="4305" w:space="682"/>
            <w:col w:w="4305"/>
          </w:cols>
          <w:noEndnote/>
        </w:sectPr>
      </w:pPr>
    </w:p>
    <w:p w14:paraId="4F67BC1B" w14:textId="77777777" w:rsidR="00591D54" w:rsidRDefault="00591D54">
      <w:pPr>
        <w:shd w:val="clear" w:color="auto" w:fill="FFFFFF"/>
        <w:tabs>
          <w:tab w:val="left" w:pos="5842"/>
        </w:tabs>
        <w:spacing w:after="72"/>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- 299</w:t>
      </w:r>
    </w:p>
    <w:p w14:paraId="4F67BC1C" w14:textId="77777777" w:rsidR="00591D54" w:rsidRDefault="00591D54">
      <w:pPr>
        <w:shd w:val="clear" w:color="auto" w:fill="FFFFFF"/>
        <w:tabs>
          <w:tab w:val="left" w:pos="5842"/>
        </w:tabs>
        <w:spacing w:after="72"/>
        <w:ind w:left="5"/>
        <w:sectPr w:rsidR="00591D54">
          <w:pgSz w:w="11909" w:h="16834"/>
          <w:pgMar w:top="1371" w:right="1304" w:bottom="360" w:left="1308" w:header="720" w:footer="720" w:gutter="0"/>
          <w:cols w:space="60"/>
          <w:noEndnote/>
        </w:sectPr>
      </w:pPr>
    </w:p>
    <w:p w14:paraId="4F67BC1D" w14:textId="77777777" w:rsidR="00591D54" w:rsidRDefault="00591D54">
      <w:pPr>
        <w:shd w:val="clear" w:color="auto" w:fill="FFFFFF"/>
        <w:spacing w:line="427" w:lineRule="exact"/>
      </w:pPr>
      <w:r>
        <w:rPr>
          <w:spacing w:val="-6"/>
          <w:sz w:val="18"/>
          <w:szCs w:val="18"/>
          <w:lang w:val="es-ES_tradnl"/>
        </w:rPr>
        <w:t>Quito, D. M., 02 de septiembre del 2015</w:t>
      </w:r>
    </w:p>
    <w:p w14:paraId="4F67BC1E" w14:textId="77777777" w:rsidR="00591D54" w:rsidRDefault="00591D54">
      <w:pPr>
        <w:shd w:val="clear" w:color="auto" w:fill="FFFFFF"/>
        <w:spacing w:line="427" w:lineRule="exact"/>
        <w:ind w:left="850"/>
      </w:pPr>
      <w:r>
        <w:rPr>
          <w:b/>
          <w:bCs/>
          <w:spacing w:val="-3"/>
          <w:sz w:val="18"/>
          <w:szCs w:val="18"/>
          <w:u w:val="single"/>
          <w:lang w:val="es-ES_tradnl"/>
        </w:rPr>
        <w:t>SENTENCIA N.</w:t>
      </w:r>
      <w:r>
        <w:rPr>
          <w:rFonts w:cs="Times New Roman"/>
          <w:b/>
          <w:bCs/>
          <w:spacing w:val="-3"/>
          <w:sz w:val="18"/>
          <w:szCs w:val="18"/>
          <w:u w:val="single"/>
          <w:lang w:val="es-ES_tradnl"/>
        </w:rPr>
        <w:t>º</w:t>
      </w:r>
      <w:r>
        <w:rPr>
          <w:b/>
          <w:bCs/>
          <w:spacing w:val="-3"/>
          <w:sz w:val="18"/>
          <w:szCs w:val="18"/>
          <w:u w:val="single"/>
          <w:lang w:val="es-ES_tradnl"/>
        </w:rPr>
        <w:t xml:space="preserve"> 292-15-SEP-CC</w:t>
      </w:r>
    </w:p>
    <w:p w14:paraId="4F67BC1F" w14:textId="77777777" w:rsidR="00591D54" w:rsidRDefault="00591D54">
      <w:pPr>
        <w:shd w:val="clear" w:color="auto" w:fill="FFFFFF"/>
        <w:spacing w:line="427" w:lineRule="exact"/>
        <w:ind w:left="1291"/>
      </w:pPr>
      <w:r>
        <w:rPr>
          <w:b/>
          <w:bCs/>
          <w:spacing w:val="-5"/>
          <w:sz w:val="18"/>
          <w:szCs w:val="18"/>
          <w:u w:val="single"/>
          <w:lang w:val="es-ES_tradnl"/>
        </w:rPr>
        <w:t>CASO N.</w:t>
      </w:r>
      <w:r>
        <w:rPr>
          <w:rFonts w:cs="Times New Roman"/>
          <w:b/>
          <w:bCs/>
          <w:spacing w:val="-5"/>
          <w:sz w:val="18"/>
          <w:szCs w:val="18"/>
          <w:u w:val="single"/>
          <w:lang w:val="es-ES_tradnl"/>
        </w:rPr>
        <w:t>º</w:t>
      </w:r>
      <w:r>
        <w:rPr>
          <w:b/>
          <w:bCs/>
          <w:spacing w:val="-5"/>
          <w:sz w:val="18"/>
          <w:szCs w:val="18"/>
          <w:u w:val="single"/>
          <w:lang w:val="es-ES_tradnl"/>
        </w:rPr>
        <w:t xml:space="preserve"> 0195-12-EP</w:t>
      </w:r>
    </w:p>
    <w:p w14:paraId="4F67BC20" w14:textId="77777777" w:rsidR="00591D54" w:rsidRDefault="00591D54">
      <w:pPr>
        <w:shd w:val="clear" w:color="auto" w:fill="FFFFFF"/>
        <w:spacing w:line="427" w:lineRule="exact"/>
        <w:ind w:left="293"/>
      </w:pPr>
      <w:r>
        <w:rPr>
          <w:b/>
          <w:bCs/>
          <w:sz w:val="18"/>
          <w:szCs w:val="18"/>
          <w:lang w:val="es-ES_tradnl"/>
        </w:rPr>
        <w:t>CORTE CONSTITUCIONAL DEL ECUADOR</w:t>
      </w:r>
    </w:p>
    <w:p w14:paraId="4F67BC21" w14:textId="77777777" w:rsidR="00591D54" w:rsidRDefault="00591D54">
      <w:pPr>
        <w:shd w:val="clear" w:color="auto" w:fill="FFFFFF"/>
        <w:spacing w:line="427" w:lineRule="exact"/>
        <w:ind w:left="1334"/>
      </w:pPr>
      <w:r>
        <w:rPr>
          <w:b/>
          <w:bCs/>
          <w:sz w:val="18"/>
          <w:szCs w:val="18"/>
          <w:lang w:val="es-ES_tradnl"/>
        </w:rPr>
        <w:t>I. ANTECEDENTES</w:t>
      </w:r>
    </w:p>
    <w:p w14:paraId="4F67BC22" w14:textId="77777777" w:rsidR="00591D54" w:rsidRDefault="00591D54">
      <w:pPr>
        <w:shd w:val="clear" w:color="auto" w:fill="FFFFFF"/>
        <w:spacing w:line="427" w:lineRule="exact"/>
      </w:pPr>
      <w:r>
        <w:rPr>
          <w:b/>
          <w:bCs/>
          <w:spacing w:val="-9"/>
          <w:sz w:val="18"/>
          <w:szCs w:val="18"/>
          <w:lang w:val="es-ES_tradnl"/>
        </w:rPr>
        <w:t>Resumen de admisibilidad</w:t>
      </w:r>
    </w:p>
    <w:p w14:paraId="4F67BC23" w14:textId="77777777" w:rsidR="00591D54" w:rsidRDefault="00591D54">
      <w:pPr>
        <w:shd w:val="clear" w:color="auto" w:fill="FFFFFF"/>
        <w:spacing w:before="163" w:line="216" w:lineRule="exact"/>
        <w:jc w:val="both"/>
      </w:pPr>
      <w:r>
        <w:rPr>
          <w:spacing w:val="-6"/>
          <w:sz w:val="18"/>
          <w:szCs w:val="18"/>
          <w:lang w:val="es-ES_tradnl"/>
        </w:rPr>
        <w:t>Los se</w:t>
      </w:r>
      <w:r>
        <w:rPr>
          <w:rFonts w:cs="Times New Roman"/>
          <w:spacing w:val="-6"/>
          <w:sz w:val="18"/>
          <w:szCs w:val="18"/>
          <w:lang w:val="es-ES_tradnl"/>
        </w:rPr>
        <w:t>ñ</w:t>
      </w:r>
      <w:r>
        <w:rPr>
          <w:spacing w:val="-6"/>
          <w:sz w:val="18"/>
          <w:szCs w:val="18"/>
          <w:lang w:val="es-ES_tradnl"/>
        </w:rPr>
        <w:t>ores Emperatriz Mu</w:t>
      </w:r>
      <w:r>
        <w:rPr>
          <w:rFonts w:cs="Times New Roman"/>
          <w:spacing w:val="-6"/>
          <w:sz w:val="18"/>
          <w:szCs w:val="18"/>
          <w:lang w:val="es-ES_tradnl"/>
        </w:rPr>
        <w:t>ñ</w:t>
      </w:r>
      <w:r>
        <w:rPr>
          <w:spacing w:val="-6"/>
          <w:sz w:val="18"/>
          <w:szCs w:val="18"/>
          <w:lang w:val="es-ES_tradnl"/>
        </w:rPr>
        <w:t>etones Hern</w:t>
      </w:r>
      <w:r>
        <w:rPr>
          <w:rFonts w:cs="Times New Roman"/>
          <w:spacing w:val="-6"/>
          <w:sz w:val="18"/>
          <w:szCs w:val="18"/>
          <w:lang w:val="es-ES_tradnl"/>
        </w:rPr>
        <w:t>á</w:t>
      </w:r>
      <w:r>
        <w:rPr>
          <w:spacing w:val="-6"/>
          <w:sz w:val="18"/>
          <w:szCs w:val="18"/>
          <w:lang w:val="es-ES_tradnl"/>
        </w:rPr>
        <w:t xml:space="preserve">ndez y Omar </w:t>
      </w:r>
      <w:r>
        <w:rPr>
          <w:spacing w:val="-8"/>
          <w:sz w:val="18"/>
          <w:szCs w:val="18"/>
          <w:lang w:val="es-ES_tradnl"/>
        </w:rPr>
        <w:t>Josu</w:t>
      </w:r>
      <w:r>
        <w:rPr>
          <w:rFonts w:cs="Times New Roman"/>
          <w:spacing w:val="-8"/>
          <w:sz w:val="18"/>
          <w:szCs w:val="18"/>
          <w:lang w:val="es-ES_tradnl"/>
        </w:rPr>
        <w:t>é</w:t>
      </w:r>
      <w:r>
        <w:rPr>
          <w:spacing w:val="-8"/>
          <w:sz w:val="18"/>
          <w:szCs w:val="18"/>
          <w:lang w:val="es-ES_tradnl"/>
        </w:rPr>
        <w:t xml:space="preserve"> Jaramillo Mu</w:t>
      </w:r>
      <w:r>
        <w:rPr>
          <w:rFonts w:cs="Times New Roman"/>
          <w:spacing w:val="-8"/>
          <w:sz w:val="18"/>
          <w:szCs w:val="18"/>
          <w:lang w:val="es-ES_tradnl"/>
        </w:rPr>
        <w:t>ñ</w:t>
      </w:r>
      <w:r>
        <w:rPr>
          <w:spacing w:val="-8"/>
          <w:sz w:val="18"/>
          <w:szCs w:val="18"/>
          <w:lang w:val="es-ES_tradnl"/>
        </w:rPr>
        <w:t>etones, amparados en los art</w:t>
      </w:r>
      <w:r>
        <w:rPr>
          <w:rFonts w:cs="Times New Roman"/>
          <w:spacing w:val="-8"/>
          <w:sz w:val="18"/>
          <w:szCs w:val="18"/>
          <w:lang w:val="es-ES_tradnl"/>
        </w:rPr>
        <w:t>í</w:t>
      </w:r>
      <w:r>
        <w:rPr>
          <w:spacing w:val="-8"/>
          <w:sz w:val="18"/>
          <w:szCs w:val="18"/>
          <w:lang w:val="es-ES_tradnl"/>
        </w:rPr>
        <w:t xml:space="preserve">culos 94 </w:t>
      </w:r>
      <w:r>
        <w:rPr>
          <w:spacing w:val="-7"/>
          <w:sz w:val="18"/>
          <w:szCs w:val="18"/>
          <w:lang w:val="es-ES_tradnl"/>
        </w:rPr>
        <w:t>y 437 de 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blica; presentan acci</w:t>
      </w:r>
      <w:r>
        <w:rPr>
          <w:rFonts w:cs="Times New Roman"/>
          <w:spacing w:val="-7"/>
          <w:sz w:val="18"/>
          <w:szCs w:val="18"/>
          <w:lang w:val="es-ES_tradnl"/>
        </w:rPr>
        <w:t>ó</w:t>
      </w:r>
      <w:r>
        <w:rPr>
          <w:spacing w:val="-7"/>
          <w:sz w:val="18"/>
          <w:szCs w:val="18"/>
          <w:lang w:val="es-ES_tradnl"/>
        </w:rPr>
        <w:t xml:space="preserve">n </w:t>
      </w:r>
      <w:r>
        <w:rPr>
          <w:spacing w:val="-6"/>
          <w:sz w:val="18"/>
          <w:szCs w:val="18"/>
          <w:lang w:val="es-ES_tradnl"/>
        </w:rPr>
        <w:t>extraordinaria de protecci</w:t>
      </w:r>
      <w:r>
        <w:rPr>
          <w:rFonts w:cs="Times New Roman"/>
          <w:spacing w:val="-6"/>
          <w:sz w:val="18"/>
          <w:szCs w:val="18"/>
          <w:lang w:val="es-ES_tradnl"/>
        </w:rPr>
        <w:t>ó</w:t>
      </w:r>
      <w:r>
        <w:rPr>
          <w:spacing w:val="-6"/>
          <w:sz w:val="18"/>
          <w:szCs w:val="18"/>
          <w:lang w:val="es-ES_tradnl"/>
        </w:rPr>
        <w:t xml:space="preserve">n en contra de la sentencia </w:t>
      </w:r>
      <w:r>
        <w:rPr>
          <w:spacing w:val="-8"/>
          <w:sz w:val="18"/>
          <w:szCs w:val="18"/>
          <w:lang w:val="es-ES_tradnl"/>
        </w:rPr>
        <w:t xml:space="preserve">expedida el 23 de septiembre de 2011, a las 15h33, por el </w:t>
      </w:r>
      <w:r>
        <w:rPr>
          <w:spacing w:val="-12"/>
          <w:sz w:val="18"/>
          <w:szCs w:val="18"/>
          <w:lang w:val="es-ES_tradnl"/>
        </w:rPr>
        <w:t xml:space="preserve">Juzgado Sexto de Trabajo de Pichincha, que acepta en forma </w:t>
      </w:r>
      <w:r>
        <w:rPr>
          <w:spacing w:val="-8"/>
          <w:sz w:val="18"/>
          <w:szCs w:val="18"/>
          <w:lang w:val="es-ES_tradnl"/>
        </w:rPr>
        <w:t>parcial la demanda presentada por el se</w:t>
      </w:r>
      <w:r>
        <w:rPr>
          <w:rFonts w:cs="Times New Roman"/>
          <w:spacing w:val="-8"/>
          <w:sz w:val="18"/>
          <w:szCs w:val="18"/>
          <w:lang w:val="es-ES_tradnl"/>
        </w:rPr>
        <w:t>ñ</w:t>
      </w:r>
      <w:r>
        <w:rPr>
          <w:spacing w:val="-8"/>
          <w:sz w:val="18"/>
          <w:szCs w:val="18"/>
          <w:lang w:val="es-ES_tradnl"/>
        </w:rPr>
        <w:t xml:space="preserve">or Mario Javier </w:t>
      </w:r>
      <w:r>
        <w:rPr>
          <w:spacing w:val="-5"/>
          <w:sz w:val="18"/>
          <w:szCs w:val="18"/>
          <w:lang w:val="es-ES_tradnl"/>
        </w:rPr>
        <w:t>Villac</w:t>
      </w:r>
      <w:r>
        <w:rPr>
          <w:rFonts w:cs="Times New Roman"/>
          <w:spacing w:val="-5"/>
          <w:sz w:val="18"/>
          <w:szCs w:val="18"/>
          <w:lang w:val="es-ES_tradnl"/>
        </w:rPr>
        <w:t>í</w:t>
      </w:r>
      <w:r>
        <w:rPr>
          <w:spacing w:val="-5"/>
          <w:sz w:val="18"/>
          <w:szCs w:val="18"/>
          <w:lang w:val="es-ES_tradnl"/>
        </w:rPr>
        <w:t>s Garc</w:t>
      </w:r>
      <w:r>
        <w:rPr>
          <w:rFonts w:cs="Times New Roman"/>
          <w:spacing w:val="-5"/>
          <w:sz w:val="18"/>
          <w:szCs w:val="18"/>
          <w:lang w:val="es-ES_tradnl"/>
        </w:rPr>
        <w:t>í</w:t>
      </w:r>
      <w:r>
        <w:rPr>
          <w:spacing w:val="-5"/>
          <w:sz w:val="18"/>
          <w:szCs w:val="18"/>
          <w:lang w:val="es-ES_tradnl"/>
        </w:rPr>
        <w:t>a, y ordena el pago de haberes pendientes por la relaci</w:t>
      </w:r>
      <w:r>
        <w:rPr>
          <w:rFonts w:cs="Times New Roman"/>
          <w:spacing w:val="-5"/>
          <w:sz w:val="18"/>
          <w:szCs w:val="18"/>
          <w:lang w:val="es-ES_tradnl"/>
        </w:rPr>
        <w:t>ó</w:t>
      </w:r>
      <w:r>
        <w:rPr>
          <w:spacing w:val="-5"/>
          <w:sz w:val="18"/>
          <w:szCs w:val="18"/>
          <w:lang w:val="es-ES_tradnl"/>
        </w:rPr>
        <w:t>n laboral que manten</w:t>
      </w:r>
      <w:r>
        <w:rPr>
          <w:rFonts w:cs="Times New Roman"/>
          <w:spacing w:val="-5"/>
          <w:sz w:val="18"/>
          <w:szCs w:val="18"/>
          <w:lang w:val="es-ES_tradnl"/>
        </w:rPr>
        <w:t>í</w:t>
      </w:r>
      <w:r>
        <w:rPr>
          <w:spacing w:val="-5"/>
          <w:sz w:val="18"/>
          <w:szCs w:val="18"/>
          <w:lang w:val="es-ES_tradnl"/>
        </w:rPr>
        <w:t>a el demandante con los se</w:t>
      </w:r>
      <w:r>
        <w:rPr>
          <w:rFonts w:cs="Times New Roman"/>
          <w:spacing w:val="-5"/>
          <w:sz w:val="18"/>
          <w:szCs w:val="18"/>
          <w:lang w:val="es-ES_tradnl"/>
        </w:rPr>
        <w:t>ñ</w:t>
      </w:r>
      <w:r>
        <w:rPr>
          <w:spacing w:val="-5"/>
          <w:sz w:val="18"/>
          <w:szCs w:val="18"/>
          <w:lang w:val="es-ES_tradnl"/>
        </w:rPr>
        <w:t>ores Emperatriz Mu</w:t>
      </w:r>
      <w:r>
        <w:rPr>
          <w:rFonts w:cs="Times New Roman"/>
          <w:spacing w:val="-5"/>
          <w:sz w:val="18"/>
          <w:szCs w:val="18"/>
          <w:lang w:val="es-ES_tradnl"/>
        </w:rPr>
        <w:t>ñ</w:t>
      </w:r>
      <w:r>
        <w:rPr>
          <w:spacing w:val="-5"/>
          <w:sz w:val="18"/>
          <w:szCs w:val="18"/>
          <w:lang w:val="es-ES_tradnl"/>
        </w:rPr>
        <w:t>etones Hern</w:t>
      </w:r>
      <w:r>
        <w:rPr>
          <w:rFonts w:cs="Times New Roman"/>
          <w:spacing w:val="-5"/>
          <w:sz w:val="18"/>
          <w:szCs w:val="18"/>
          <w:lang w:val="es-ES_tradnl"/>
        </w:rPr>
        <w:t>á</w:t>
      </w:r>
      <w:r>
        <w:rPr>
          <w:spacing w:val="-5"/>
          <w:sz w:val="18"/>
          <w:szCs w:val="18"/>
          <w:lang w:val="es-ES_tradnl"/>
        </w:rPr>
        <w:t xml:space="preserve">ndez y Omar </w:t>
      </w:r>
      <w:r>
        <w:rPr>
          <w:spacing w:val="-9"/>
          <w:sz w:val="18"/>
          <w:szCs w:val="18"/>
          <w:lang w:val="es-ES_tradnl"/>
        </w:rPr>
        <w:t>Josu</w:t>
      </w:r>
      <w:r>
        <w:rPr>
          <w:rFonts w:cs="Times New Roman"/>
          <w:spacing w:val="-9"/>
          <w:sz w:val="18"/>
          <w:szCs w:val="18"/>
          <w:lang w:val="es-ES_tradnl"/>
        </w:rPr>
        <w:t>é</w:t>
      </w:r>
      <w:r>
        <w:rPr>
          <w:spacing w:val="-9"/>
          <w:sz w:val="18"/>
          <w:szCs w:val="18"/>
          <w:lang w:val="es-ES_tradnl"/>
        </w:rPr>
        <w:t xml:space="preserve"> Jaramillo Mu</w:t>
      </w:r>
      <w:r>
        <w:rPr>
          <w:rFonts w:cs="Times New Roman"/>
          <w:spacing w:val="-9"/>
          <w:sz w:val="18"/>
          <w:szCs w:val="18"/>
          <w:lang w:val="es-ES_tradnl"/>
        </w:rPr>
        <w:t>ñ</w:t>
      </w:r>
      <w:r>
        <w:rPr>
          <w:spacing w:val="-9"/>
          <w:sz w:val="18"/>
          <w:szCs w:val="18"/>
          <w:lang w:val="es-ES_tradnl"/>
        </w:rPr>
        <w:t>etones, representantes de la compa</w:t>
      </w:r>
      <w:r>
        <w:rPr>
          <w:rFonts w:cs="Times New Roman"/>
          <w:spacing w:val="-9"/>
          <w:sz w:val="18"/>
          <w:szCs w:val="18"/>
          <w:lang w:val="es-ES_tradnl"/>
        </w:rPr>
        <w:t>ñí</w:t>
      </w:r>
      <w:r>
        <w:rPr>
          <w:spacing w:val="-9"/>
          <w:sz w:val="18"/>
          <w:szCs w:val="18"/>
          <w:lang w:val="es-ES_tradnl"/>
        </w:rPr>
        <w:t>a S</w:t>
      </w:r>
      <w:r>
        <w:rPr>
          <w:rFonts w:cs="Times New Roman"/>
          <w:spacing w:val="-9"/>
          <w:sz w:val="18"/>
          <w:szCs w:val="18"/>
          <w:lang w:val="es-ES_tradnl"/>
        </w:rPr>
        <w:t>´</w:t>
      </w:r>
      <w:r>
        <w:rPr>
          <w:spacing w:val="-9"/>
          <w:sz w:val="18"/>
          <w:szCs w:val="18"/>
          <w:lang w:val="es-ES_tradnl"/>
        </w:rPr>
        <w:t>panes, dentro de la causa laboral signada con el N.</w:t>
      </w:r>
      <w:r>
        <w:rPr>
          <w:rFonts w:cs="Times New Roman"/>
          <w:spacing w:val="-9"/>
          <w:sz w:val="18"/>
          <w:szCs w:val="18"/>
          <w:lang w:val="es-ES_tradnl"/>
        </w:rPr>
        <w:t>º</w:t>
      </w:r>
      <w:r>
        <w:rPr>
          <w:spacing w:val="-9"/>
          <w:sz w:val="18"/>
          <w:szCs w:val="18"/>
          <w:lang w:val="es-ES_tradnl"/>
        </w:rPr>
        <w:t xml:space="preserve"> 175-</w:t>
      </w:r>
      <w:r>
        <w:rPr>
          <w:sz w:val="18"/>
          <w:szCs w:val="18"/>
          <w:lang w:val="es-ES_tradnl"/>
        </w:rPr>
        <w:t>2010.</w:t>
      </w:r>
    </w:p>
    <w:p w14:paraId="4F67BC24" w14:textId="77777777" w:rsidR="00591D54" w:rsidRDefault="00591D54">
      <w:pPr>
        <w:shd w:val="clear" w:color="auto" w:fill="FFFFFF"/>
        <w:spacing w:before="197" w:line="216" w:lineRule="exact"/>
        <w:jc w:val="both"/>
      </w:pPr>
      <w:r>
        <w:rPr>
          <w:spacing w:val="-7"/>
          <w:sz w:val="18"/>
          <w:szCs w:val="18"/>
          <w:lang w:val="es-ES_tradnl"/>
        </w:rPr>
        <w:t xml:space="preserve">Conforme consta a fs.3 del expediente constitucional, y de </w:t>
      </w:r>
      <w:r>
        <w:rPr>
          <w:spacing w:val="-6"/>
          <w:sz w:val="18"/>
          <w:szCs w:val="18"/>
          <w:lang w:val="es-ES_tradnl"/>
        </w:rPr>
        <w:t xml:space="preserve">conformidad con lo establecido en el inciso segundo del </w:t>
      </w:r>
      <w:r>
        <w:rPr>
          <w:spacing w:val="-7"/>
          <w:sz w:val="18"/>
          <w:szCs w:val="18"/>
          <w:lang w:val="es-ES_tradnl"/>
        </w:rPr>
        <w:t>art</w:t>
      </w:r>
      <w:r>
        <w:rPr>
          <w:rFonts w:cs="Times New Roman"/>
          <w:spacing w:val="-7"/>
          <w:sz w:val="18"/>
          <w:szCs w:val="18"/>
          <w:lang w:val="es-ES_tradnl"/>
        </w:rPr>
        <w:t>í</w:t>
      </w:r>
      <w:r>
        <w:rPr>
          <w:spacing w:val="-7"/>
          <w:sz w:val="18"/>
          <w:szCs w:val="18"/>
          <w:lang w:val="es-ES_tradnl"/>
        </w:rPr>
        <w:t>culo 17 del Reglamento de Sustanciaci</w:t>
      </w:r>
      <w:r>
        <w:rPr>
          <w:rFonts w:cs="Times New Roman"/>
          <w:spacing w:val="-7"/>
          <w:sz w:val="18"/>
          <w:szCs w:val="18"/>
          <w:lang w:val="es-ES_tradnl"/>
        </w:rPr>
        <w:t>ó</w:t>
      </w:r>
      <w:r>
        <w:rPr>
          <w:spacing w:val="-7"/>
          <w:sz w:val="18"/>
          <w:szCs w:val="18"/>
          <w:lang w:val="es-ES_tradnl"/>
        </w:rPr>
        <w:t>n de Procesos de Competencia de la Corte Constitucional, la Secretar</w:t>
      </w:r>
      <w:r>
        <w:rPr>
          <w:rFonts w:cs="Times New Roman"/>
          <w:spacing w:val="-7"/>
          <w:sz w:val="18"/>
          <w:szCs w:val="18"/>
          <w:lang w:val="es-ES_tradnl"/>
        </w:rPr>
        <w:t>í</w:t>
      </w:r>
      <w:r>
        <w:rPr>
          <w:spacing w:val="-7"/>
          <w:sz w:val="18"/>
          <w:szCs w:val="18"/>
          <w:lang w:val="es-ES_tradnl"/>
        </w:rPr>
        <w:t>a General de la Corte Constitucional, para el per</w:t>
      </w:r>
      <w:r>
        <w:rPr>
          <w:rFonts w:cs="Times New Roman"/>
          <w:spacing w:val="-7"/>
          <w:sz w:val="18"/>
          <w:szCs w:val="18"/>
          <w:lang w:val="es-ES_tradnl"/>
        </w:rPr>
        <w:t>í</w:t>
      </w:r>
      <w:r>
        <w:rPr>
          <w:spacing w:val="-7"/>
          <w:sz w:val="18"/>
          <w:szCs w:val="18"/>
          <w:lang w:val="es-ES_tradnl"/>
        </w:rPr>
        <w:t>odo de transici</w:t>
      </w:r>
      <w:r>
        <w:rPr>
          <w:rFonts w:cs="Times New Roman"/>
          <w:spacing w:val="-7"/>
          <w:sz w:val="18"/>
          <w:szCs w:val="18"/>
          <w:lang w:val="es-ES_tradnl"/>
        </w:rPr>
        <w:t>ó</w:t>
      </w:r>
      <w:r>
        <w:rPr>
          <w:spacing w:val="-7"/>
          <w:sz w:val="18"/>
          <w:szCs w:val="18"/>
          <w:lang w:val="es-ES_tradnl"/>
        </w:rPr>
        <w:t xml:space="preserve">n, el 30 de enero de 2012, certifica que no se ha </w:t>
      </w:r>
      <w:r>
        <w:rPr>
          <w:spacing w:val="-9"/>
          <w:sz w:val="18"/>
          <w:szCs w:val="18"/>
          <w:lang w:val="es-ES_tradnl"/>
        </w:rPr>
        <w:t>presentado otra demanda con identidad de objeto y acci</w:t>
      </w:r>
      <w:r>
        <w:rPr>
          <w:rFonts w:cs="Times New Roman"/>
          <w:spacing w:val="-9"/>
          <w:sz w:val="18"/>
          <w:szCs w:val="18"/>
          <w:lang w:val="es-ES_tradnl"/>
        </w:rPr>
        <w:t>ó</w:t>
      </w:r>
      <w:r>
        <w:rPr>
          <w:spacing w:val="-9"/>
          <w:sz w:val="18"/>
          <w:szCs w:val="18"/>
          <w:lang w:val="es-ES_tradnl"/>
        </w:rPr>
        <w:t>n.</w:t>
      </w:r>
    </w:p>
    <w:p w14:paraId="4F67BC25" w14:textId="77777777" w:rsidR="00591D54" w:rsidRDefault="00591D54">
      <w:pPr>
        <w:shd w:val="clear" w:color="auto" w:fill="FFFFFF"/>
        <w:spacing w:before="197" w:line="216" w:lineRule="exact"/>
        <w:ind w:right="5"/>
        <w:jc w:val="both"/>
      </w:pPr>
      <w:r>
        <w:rPr>
          <w:spacing w:val="-5"/>
          <w:sz w:val="18"/>
          <w:szCs w:val="18"/>
          <w:lang w:val="es-ES_tradnl"/>
        </w:rPr>
        <w:t>El 24 de abril de 2012, a las 16h59, la Sala de Admisi</w:t>
      </w:r>
      <w:r>
        <w:rPr>
          <w:rFonts w:cs="Times New Roman"/>
          <w:spacing w:val="-5"/>
          <w:sz w:val="18"/>
          <w:szCs w:val="18"/>
          <w:lang w:val="es-ES_tradnl"/>
        </w:rPr>
        <w:t>ó</w:t>
      </w:r>
      <w:r>
        <w:rPr>
          <w:spacing w:val="-5"/>
          <w:sz w:val="18"/>
          <w:szCs w:val="18"/>
          <w:lang w:val="es-ES_tradnl"/>
        </w:rPr>
        <w:t>n de la Corte Constitucional, para el per</w:t>
      </w:r>
      <w:r>
        <w:rPr>
          <w:rFonts w:cs="Times New Roman"/>
          <w:spacing w:val="-5"/>
          <w:sz w:val="18"/>
          <w:szCs w:val="18"/>
          <w:lang w:val="es-ES_tradnl"/>
        </w:rPr>
        <w:t>í</w:t>
      </w:r>
      <w:r>
        <w:rPr>
          <w:spacing w:val="-5"/>
          <w:sz w:val="18"/>
          <w:szCs w:val="18"/>
          <w:lang w:val="es-ES_tradnl"/>
        </w:rPr>
        <w:t>odo de transici</w:t>
      </w:r>
      <w:r>
        <w:rPr>
          <w:rFonts w:cs="Times New Roman"/>
          <w:spacing w:val="-5"/>
          <w:sz w:val="18"/>
          <w:szCs w:val="18"/>
          <w:lang w:val="es-ES_tradnl"/>
        </w:rPr>
        <w:t>ó</w:t>
      </w:r>
      <w:r>
        <w:rPr>
          <w:spacing w:val="-5"/>
          <w:sz w:val="18"/>
          <w:szCs w:val="18"/>
          <w:lang w:val="es-ES_tradnl"/>
        </w:rPr>
        <w:t xml:space="preserve">n, </w:t>
      </w:r>
      <w:r>
        <w:rPr>
          <w:spacing w:val="-6"/>
          <w:sz w:val="18"/>
          <w:szCs w:val="18"/>
          <w:lang w:val="es-ES_tradnl"/>
        </w:rPr>
        <w:t>de conformidad con las normas de la Constituci</w:t>
      </w:r>
      <w:r>
        <w:rPr>
          <w:rFonts w:cs="Times New Roman"/>
          <w:spacing w:val="-6"/>
          <w:sz w:val="18"/>
          <w:szCs w:val="18"/>
          <w:lang w:val="es-ES_tradnl"/>
        </w:rPr>
        <w:t>ó</w:t>
      </w:r>
      <w:r>
        <w:rPr>
          <w:spacing w:val="-6"/>
          <w:sz w:val="18"/>
          <w:szCs w:val="18"/>
          <w:lang w:val="es-ES_tradnl"/>
        </w:rPr>
        <w:t xml:space="preserve">n de la </w:t>
      </w:r>
      <w:r>
        <w:rPr>
          <w:spacing w:val="-7"/>
          <w:sz w:val="18"/>
          <w:szCs w:val="18"/>
          <w:lang w:val="es-ES_tradnl"/>
        </w:rPr>
        <w:t>Rep</w:t>
      </w:r>
      <w:r>
        <w:rPr>
          <w:rFonts w:cs="Times New Roman"/>
          <w:spacing w:val="-7"/>
          <w:sz w:val="18"/>
          <w:szCs w:val="18"/>
          <w:lang w:val="es-ES_tradnl"/>
        </w:rPr>
        <w:t>ú</w:t>
      </w:r>
      <w:r>
        <w:rPr>
          <w:spacing w:val="-7"/>
          <w:sz w:val="18"/>
          <w:szCs w:val="18"/>
          <w:lang w:val="es-ES_tradnl"/>
        </w:rPr>
        <w:t>blica y la Ley Org</w:t>
      </w:r>
      <w:r>
        <w:rPr>
          <w:rFonts w:cs="Times New Roman"/>
          <w:spacing w:val="-7"/>
          <w:sz w:val="18"/>
          <w:szCs w:val="18"/>
          <w:lang w:val="es-ES_tradnl"/>
        </w:rPr>
        <w:t>á</w:t>
      </w:r>
      <w:r>
        <w:rPr>
          <w:spacing w:val="-7"/>
          <w:sz w:val="18"/>
          <w:szCs w:val="18"/>
          <w:lang w:val="es-ES_tradnl"/>
        </w:rPr>
        <w:t>nica de Garant</w:t>
      </w:r>
      <w:r>
        <w:rPr>
          <w:rFonts w:cs="Times New Roman"/>
          <w:spacing w:val="-7"/>
          <w:sz w:val="18"/>
          <w:szCs w:val="18"/>
          <w:lang w:val="es-ES_tradnl"/>
        </w:rPr>
        <w:t>í</w:t>
      </w:r>
      <w:r>
        <w:rPr>
          <w:spacing w:val="-7"/>
          <w:sz w:val="18"/>
          <w:szCs w:val="18"/>
          <w:lang w:val="es-ES_tradnl"/>
        </w:rPr>
        <w:t xml:space="preserve">as Jurisdiccionales </w:t>
      </w:r>
      <w:r>
        <w:rPr>
          <w:spacing w:val="-4"/>
          <w:sz w:val="18"/>
          <w:szCs w:val="18"/>
          <w:lang w:val="es-ES_tradnl"/>
        </w:rPr>
        <w:t>y Control Constitucional, admiti</w:t>
      </w:r>
      <w:r>
        <w:rPr>
          <w:rFonts w:cs="Times New Roman"/>
          <w:spacing w:val="-4"/>
          <w:sz w:val="18"/>
          <w:szCs w:val="18"/>
          <w:lang w:val="es-ES_tradnl"/>
        </w:rPr>
        <w:t>ó</w:t>
      </w:r>
      <w:r>
        <w:rPr>
          <w:spacing w:val="-4"/>
          <w:sz w:val="18"/>
          <w:szCs w:val="18"/>
          <w:lang w:val="es-ES_tradnl"/>
        </w:rPr>
        <w:t xml:space="preserve"> a tr</w:t>
      </w:r>
      <w:r>
        <w:rPr>
          <w:rFonts w:cs="Times New Roman"/>
          <w:spacing w:val="-4"/>
          <w:sz w:val="18"/>
          <w:szCs w:val="18"/>
          <w:lang w:val="es-ES_tradnl"/>
        </w:rPr>
        <w:t>á</w:t>
      </w:r>
      <w:r>
        <w:rPr>
          <w:spacing w:val="-4"/>
          <w:sz w:val="18"/>
          <w:szCs w:val="18"/>
          <w:lang w:val="es-ES_tradnl"/>
        </w:rPr>
        <w:t>mite la acci</w:t>
      </w:r>
      <w:r>
        <w:rPr>
          <w:rFonts w:cs="Times New Roman"/>
          <w:spacing w:val="-4"/>
          <w:sz w:val="18"/>
          <w:szCs w:val="18"/>
          <w:lang w:val="es-ES_tradnl"/>
        </w:rPr>
        <w:t>ó</w:t>
      </w:r>
      <w:r>
        <w:rPr>
          <w:spacing w:val="-4"/>
          <w:sz w:val="18"/>
          <w:szCs w:val="18"/>
          <w:lang w:val="es-ES_tradnl"/>
        </w:rPr>
        <w:t xml:space="preserve">n </w:t>
      </w:r>
      <w:r>
        <w:rPr>
          <w:spacing w:val="-7"/>
          <w:sz w:val="18"/>
          <w:szCs w:val="18"/>
          <w:lang w:val="es-ES_tradnl"/>
        </w:rPr>
        <w:t>extraordinaria de protecci</w:t>
      </w:r>
      <w:r>
        <w:rPr>
          <w:rFonts w:cs="Times New Roman"/>
          <w:spacing w:val="-7"/>
          <w:sz w:val="18"/>
          <w:szCs w:val="18"/>
          <w:lang w:val="es-ES_tradnl"/>
        </w:rPr>
        <w:t>ó</w:t>
      </w:r>
      <w:r>
        <w:rPr>
          <w:spacing w:val="-7"/>
          <w:sz w:val="18"/>
          <w:szCs w:val="18"/>
          <w:lang w:val="es-ES_tradnl"/>
        </w:rPr>
        <w:t>n N.</w:t>
      </w:r>
      <w:r>
        <w:rPr>
          <w:rFonts w:cs="Times New Roman"/>
          <w:spacing w:val="-7"/>
          <w:sz w:val="18"/>
          <w:szCs w:val="18"/>
          <w:lang w:val="es-ES_tradnl"/>
        </w:rPr>
        <w:t>º</w:t>
      </w:r>
      <w:r>
        <w:rPr>
          <w:spacing w:val="-7"/>
          <w:sz w:val="18"/>
          <w:szCs w:val="18"/>
          <w:lang w:val="es-ES_tradnl"/>
        </w:rPr>
        <w:t xml:space="preserve"> 0195-12-EP.</w:t>
      </w:r>
    </w:p>
    <w:p w14:paraId="4F67BC26" w14:textId="77777777" w:rsidR="00591D54" w:rsidRDefault="00591D54">
      <w:pPr>
        <w:shd w:val="clear" w:color="auto" w:fill="FFFFFF"/>
        <w:spacing w:before="197" w:line="216" w:lineRule="exact"/>
        <w:ind w:right="5"/>
        <w:jc w:val="both"/>
      </w:pPr>
      <w:r>
        <w:rPr>
          <w:spacing w:val="-7"/>
          <w:sz w:val="18"/>
          <w:szCs w:val="18"/>
          <w:lang w:val="es-ES_tradnl"/>
        </w:rPr>
        <w:t>Mediante sorteo efectuado en sesi</w:t>
      </w:r>
      <w:r>
        <w:rPr>
          <w:rFonts w:cs="Times New Roman"/>
          <w:spacing w:val="-7"/>
          <w:sz w:val="18"/>
          <w:szCs w:val="18"/>
          <w:lang w:val="es-ES_tradnl"/>
        </w:rPr>
        <w:t>ó</w:t>
      </w:r>
      <w:r>
        <w:rPr>
          <w:spacing w:val="-7"/>
          <w:sz w:val="18"/>
          <w:szCs w:val="18"/>
          <w:lang w:val="es-ES_tradnl"/>
        </w:rPr>
        <w:t xml:space="preserve">n extraordinaria de 07 </w:t>
      </w:r>
      <w:r>
        <w:rPr>
          <w:spacing w:val="-6"/>
          <w:sz w:val="18"/>
          <w:szCs w:val="18"/>
          <w:lang w:val="es-ES_tradnl"/>
        </w:rPr>
        <w:t xml:space="preserve">de junio de 2012, por el Pleno de la Corte Constitucional, </w:t>
      </w:r>
      <w:r>
        <w:rPr>
          <w:spacing w:val="-9"/>
          <w:sz w:val="18"/>
          <w:szCs w:val="18"/>
          <w:lang w:val="es-ES_tradnl"/>
        </w:rPr>
        <w:t>correspondi</w:t>
      </w:r>
      <w:r>
        <w:rPr>
          <w:rFonts w:cs="Times New Roman"/>
          <w:spacing w:val="-9"/>
          <w:sz w:val="18"/>
          <w:szCs w:val="18"/>
          <w:lang w:val="es-ES_tradnl"/>
        </w:rPr>
        <w:t>ó</w:t>
      </w:r>
      <w:r>
        <w:rPr>
          <w:spacing w:val="-9"/>
          <w:sz w:val="18"/>
          <w:szCs w:val="18"/>
          <w:lang w:val="es-ES_tradnl"/>
        </w:rPr>
        <w:t xml:space="preserve"> la sustanciaci</w:t>
      </w:r>
      <w:r>
        <w:rPr>
          <w:rFonts w:cs="Times New Roman"/>
          <w:spacing w:val="-9"/>
          <w:sz w:val="18"/>
          <w:szCs w:val="18"/>
          <w:lang w:val="es-ES_tradnl"/>
        </w:rPr>
        <w:t>ó</w:t>
      </w:r>
      <w:r>
        <w:rPr>
          <w:spacing w:val="-9"/>
          <w:sz w:val="18"/>
          <w:szCs w:val="18"/>
          <w:lang w:val="es-ES_tradnl"/>
        </w:rPr>
        <w:t xml:space="preserve">n de la causa 0195-12-EP, a la ex jueza constitucional Nina Pacari Vega, quien por licencia </w:t>
      </w:r>
      <w:r>
        <w:rPr>
          <w:spacing w:val="-7"/>
          <w:sz w:val="18"/>
          <w:szCs w:val="18"/>
          <w:lang w:val="es-ES_tradnl"/>
        </w:rPr>
        <w:t xml:space="preserve">solicitada al organismo desde el 14 de junio de 2012 es </w:t>
      </w:r>
      <w:r>
        <w:rPr>
          <w:spacing w:val="-6"/>
          <w:sz w:val="18"/>
          <w:szCs w:val="18"/>
          <w:lang w:val="es-ES_tradnl"/>
        </w:rPr>
        <w:t>reemplazada en la sustanciaci</w:t>
      </w:r>
      <w:r>
        <w:rPr>
          <w:rFonts w:cs="Times New Roman"/>
          <w:spacing w:val="-6"/>
          <w:sz w:val="18"/>
          <w:szCs w:val="18"/>
          <w:lang w:val="es-ES_tradnl"/>
        </w:rPr>
        <w:t>ó</w:t>
      </w:r>
      <w:r>
        <w:rPr>
          <w:spacing w:val="-6"/>
          <w:sz w:val="18"/>
          <w:szCs w:val="18"/>
          <w:lang w:val="es-ES_tradnl"/>
        </w:rPr>
        <w:t xml:space="preserve">n de la presente casusa, </w:t>
      </w:r>
      <w:r>
        <w:rPr>
          <w:spacing w:val="-7"/>
          <w:sz w:val="18"/>
          <w:szCs w:val="18"/>
          <w:lang w:val="es-ES_tradnl"/>
        </w:rPr>
        <w:t>por el doctor Fabi</w:t>
      </w:r>
      <w:r>
        <w:rPr>
          <w:rFonts w:cs="Times New Roman"/>
          <w:spacing w:val="-7"/>
          <w:sz w:val="18"/>
          <w:szCs w:val="18"/>
          <w:lang w:val="es-ES_tradnl"/>
        </w:rPr>
        <w:t>á</w:t>
      </w:r>
      <w:r>
        <w:rPr>
          <w:spacing w:val="-7"/>
          <w:sz w:val="18"/>
          <w:szCs w:val="18"/>
          <w:lang w:val="es-ES_tradnl"/>
        </w:rPr>
        <w:t xml:space="preserve">n Sancho Lobato, en su calidad de juez </w:t>
      </w:r>
      <w:r>
        <w:rPr>
          <w:sz w:val="18"/>
          <w:szCs w:val="18"/>
          <w:lang w:val="es-ES_tradnl"/>
        </w:rPr>
        <w:t>alterno de la Corte Constitucional.</w:t>
      </w:r>
    </w:p>
    <w:p w14:paraId="4F67BC27" w14:textId="77777777" w:rsidR="00591D54" w:rsidRDefault="00591D54">
      <w:pPr>
        <w:shd w:val="clear" w:color="auto" w:fill="FFFFFF"/>
        <w:spacing w:before="197" w:line="216" w:lineRule="exact"/>
        <w:jc w:val="both"/>
      </w:pPr>
      <w:r>
        <w:rPr>
          <w:spacing w:val="-6"/>
          <w:sz w:val="18"/>
          <w:szCs w:val="18"/>
          <w:lang w:val="es-ES_tradnl"/>
        </w:rPr>
        <w:t>El doctor Fabi</w:t>
      </w:r>
      <w:r>
        <w:rPr>
          <w:rFonts w:cs="Times New Roman"/>
          <w:spacing w:val="-6"/>
          <w:sz w:val="18"/>
          <w:szCs w:val="18"/>
          <w:lang w:val="es-ES_tradnl"/>
        </w:rPr>
        <w:t>á</w:t>
      </w:r>
      <w:r>
        <w:rPr>
          <w:spacing w:val="-6"/>
          <w:sz w:val="18"/>
          <w:szCs w:val="18"/>
          <w:lang w:val="es-ES_tradnl"/>
        </w:rPr>
        <w:t xml:space="preserve">n Sancho Lobato mediante auto de 02 de </w:t>
      </w:r>
      <w:r>
        <w:rPr>
          <w:spacing w:val="-11"/>
          <w:sz w:val="18"/>
          <w:szCs w:val="18"/>
          <w:lang w:val="es-ES_tradnl"/>
        </w:rPr>
        <w:t>julio de 2012, a las 15h45 avoc</w:t>
      </w:r>
      <w:r>
        <w:rPr>
          <w:rFonts w:cs="Times New Roman"/>
          <w:spacing w:val="-11"/>
          <w:sz w:val="18"/>
          <w:szCs w:val="18"/>
          <w:lang w:val="es-ES_tradnl"/>
        </w:rPr>
        <w:t>ó</w:t>
      </w:r>
      <w:r>
        <w:rPr>
          <w:spacing w:val="-11"/>
          <w:sz w:val="18"/>
          <w:szCs w:val="18"/>
          <w:lang w:val="es-ES_tradnl"/>
        </w:rPr>
        <w:t xml:space="preserve"> conocimiento de la presente </w:t>
      </w:r>
      <w:r>
        <w:rPr>
          <w:spacing w:val="-9"/>
          <w:sz w:val="18"/>
          <w:szCs w:val="18"/>
          <w:lang w:val="es-ES_tradnl"/>
        </w:rPr>
        <w:t xml:space="preserve">causa y dispuso que se notifique la presente providencia al </w:t>
      </w:r>
      <w:r>
        <w:rPr>
          <w:spacing w:val="-8"/>
          <w:sz w:val="18"/>
          <w:szCs w:val="18"/>
          <w:lang w:val="es-ES_tradnl"/>
        </w:rPr>
        <w:t xml:space="preserve">Juzgado Sexto de Trabajo de Pichincha, a fin de que en el </w:t>
      </w:r>
      <w:r>
        <w:rPr>
          <w:spacing w:val="-6"/>
          <w:sz w:val="18"/>
          <w:szCs w:val="18"/>
          <w:lang w:val="es-ES_tradnl"/>
        </w:rPr>
        <w:t>t</w:t>
      </w:r>
      <w:r>
        <w:rPr>
          <w:rFonts w:cs="Times New Roman"/>
          <w:spacing w:val="-6"/>
          <w:sz w:val="18"/>
          <w:szCs w:val="18"/>
          <w:lang w:val="es-ES_tradnl"/>
        </w:rPr>
        <w:t>é</w:t>
      </w:r>
      <w:r>
        <w:rPr>
          <w:spacing w:val="-6"/>
          <w:sz w:val="18"/>
          <w:szCs w:val="18"/>
          <w:lang w:val="es-ES_tradnl"/>
        </w:rPr>
        <w:t>rmino de cinco d</w:t>
      </w:r>
      <w:r>
        <w:rPr>
          <w:rFonts w:cs="Times New Roman"/>
          <w:spacing w:val="-6"/>
          <w:sz w:val="18"/>
          <w:szCs w:val="18"/>
          <w:lang w:val="es-ES_tradnl"/>
        </w:rPr>
        <w:t>í</w:t>
      </w:r>
      <w:r>
        <w:rPr>
          <w:spacing w:val="-6"/>
          <w:sz w:val="18"/>
          <w:szCs w:val="18"/>
          <w:lang w:val="es-ES_tradnl"/>
        </w:rPr>
        <w:t xml:space="preserve">as presente un informe debidamente </w:t>
      </w:r>
      <w:r>
        <w:rPr>
          <w:spacing w:val="-2"/>
          <w:sz w:val="18"/>
          <w:szCs w:val="18"/>
          <w:lang w:val="es-ES_tradnl"/>
        </w:rPr>
        <w:t xml:space="preserve">motivado de descargo sobre los argumentos que </w:t>
      </w:r>
      <w:r>
        <w:rPr>
          <w:spacing w:val="-10"/>
          <w:sz w:val="18"/>
          <w:szCs w:val="18"/>
          <w:lang w:val="es-ES_tradnl"/>
        </w:rPr>
        <w:t>fundamentan la demanda, tambi</w:t>
      </w:r>
      <w:r>
        <w:rPr>
          <w:rFonts w:cs="Times New Roman"/>
          <w:spacing w:val="-10"/>
          <w:sz w:val="18"/>
          <w:szCs w:val="18"/>
          <w:lang w:val="es-ES_tradnl"/>
        </w:rPr>
        <w:t>é</w:t>
      </w:r>
      <w:r>
        <w:rPr>
          <w:spacing w:val="-10"/>
          <w:sz w:val="18"/>
          <w:szCs w:val="18"/>
          <w:lang w:val="es-ES_tradnl"/>
        </w:rPr>
        <w:t>n ordena la notificaci</w:t>
      </w:r>
      <w:r>
        <w:rPr>
          <w:rFonts w:cs="Times New Roman"/>
          <w:spacing w:val="-10"/>
          <w:sz w:val="18"/>
          <w:szCs w:val="18"/>
          <w:lang w:val="es-ES_tradnl"/>
        </w:rPr>
        <w:t>ó</w:t>
      </w:r>
      <w:r>
        <w:rPr>
          <w:spacing w:val="-10"/>
          <w:sz w:val="18"/>
          <w:szCs w:val="18"/>
          <w:lang w:val="es-ES_tradnl"/>
        </w:rPr>
        <w:t xml:space="preserve">n de </w:t>
      </w:r>
      <w:r>
        <w:rPr>
          <w:spacing w:val="-8"/>
          <w:sz w:val="18"/>
          <w:szCs w:val="18"/>
          <w:lang w:val="es-ES_tradnl"/>
        </w:rPr>
        <w:t>la demanda y de la mencionada providencia al se</w:t>
      </w:r>
      <w:r>
        <w:rPr>
          <w:rFonts w:cs="Times New Roman"/>
          <w:spacing w:val="-8"/>
          <w:sz w:val="18"/>
          <w:szCs w:val="18"/>
          <w:lang w:val="es-ES_tradnl"/>
        </w:rPr>
        <w:t>ñ</w:t>
      </w:r>
      <w:r>
        <w:rPr>
          <w:spacing w:val="-8"/>
          <w:sz w:val="18"/>
          <w:szCs w:val="18"/>
          <w:lang w:val="es-ES_tradnl"/>
        </w:rPr>
        <w:t>or Mario Javier Villac</w:t>
      </w:r>
      <w:r>
        <w:rPr>
          <w:rFonts w:cs="Times New Roman"/>
          <w:spacing w:val="-8"/>
          <w:sz w:val="18"/>
          <w:szCs w:val="18"/>
          <w:lang w:val="es-ES_tradnl"/>
        </w:rPr>
        <w:t>í</w:t>
      </w:r>
      <w:r>
        <w:rPr>
          <w:spacing w:val="-8"/>
          <w:sz w:val="18"/>
          <w:szCs w:val="18"/>
          <w:lang w:val="es-ES_tradnl"/>
        </w:rPr>
        <w:t>s Garc</w:t>
      </w:r>
      <w:r>
        <w:rPr>
          <w:rFonts w:cs="Times New Roman"/>
          <w:spacing w:val="-8"/>
          <w:sz w:val="18"/>
          <w:szCs w:val="18"/>
          <w:lang w:val="es-ES_tradnl"/>
        </w:rPr>
        <w:t>í</w:t>
      </w:r>
      <w:r>
        <w:rPr>
          <w:spacing w:val="-8"/>
          <w:sz w:val="18"/>
          <w:szCs w:val="18"/>
          <w:lang w:val="es-ES_tradnl"/>
        </w:rPr>
        <w:t>a, y a los actores de la presente acci</w:t>
      </w:r>
      <w:r>
        <w:rPr>
          <w:rFonts w:cs="Times New Roman"/>
          <w:spacing w:val="-8"/>
          <w:sz w:val="18"/>
          <w:szCs w:val="18"/>
          <w:lang w:val="es-ES_tradnl"/>
        </w:rPr>
        <w:t>ó</w:t>
      </w:r>
      <w:r>
        <w:rPr>
          <w:spacing w:val="-8"/>
          <w:sz w:val="18"/>
          <w:szCs w:val="18"/>
          <w:lang w:val="es-ES_tradnl"/>
        </w:rPr>
        <w:t xml:space="preserve">n </w:t>
      </w:r>
      <w:r>
        <w:rPr>
          <w:sz w:val="18"/>
          <w:szCs w:val="18"/>
          <w:lang w:val="es-ES_tradnl"/>
        </w:rPr>
        <w:t>extraordinaria de protecci</w:t>
      </w:r>
      <w:r>
        <w:rPr>
          <w:rFonts w:cs="Times New Roman"/>
          <w:sz w:val="18"/>
          <w:szCs w:val="18"/>
          <w:lang w:val="es-ES_tradnl"/>
        </w:rPr>
        <w:t>ó</w:t>
      </w:r>
      <w:r>
        <w:rPr>
          <w:sz w:val="18"/>
          <w:szCs w:val="18"/>
          <w:lang w:val="es-ES_tradnl"/>
        </w:rPr>
        <w:t>n.</w:t>
      </w:r>
    </w:p>
    <w:p w14:paraId="4F67BC28" w14:textId="77777777" w:rsidR="00591D54" w:rsidRDefault="00591D54">
      <w:pPr>
        <w:shd w:val="clear" w:color="auto" w:fill="FFFFFF"/>
        <w:spacing w:before="197" w:line="216" w:lineRule="exact"/>
        <w:jc w:val="both"/>
      </w:pPr>
      <w:r>
        <w:rPr>
          <w:spacing w:val="-7"/>
          <w:sz w:val="18"/>
          <w:szCs w:val="18"/>
          <w:lang w:val="es-ES_tradnl"/>
        </w:rPr>
        <w:t xml:space="preserve">El 06 de noviembre de 2012, se posesionan ante el Pleno </w:t>
      </w:r>
      <w:r>
        <w:rPr>
          <w:spacing w:val="-4"/>
          <w:sz w:val="18"/>
          <w:szCs w:val="18"/>
          <w:lang w:val="es-ES_tradnl"/>
        </w:rPr>
        <w:t>de la Asamblea Nacional los jueces de la Primera Corte</w:t>
      </w:r>
    </w:p>
    <w:p w14:paraId="4F67BC29" w14:textId="77777777" w:rsidR="00591D54" w:rsidRDefault="00591D54">
      <w:pPr>
        <w:shd w:val="clear" w:color="auto" w:fill="FFFFFF"/>
        <w:spacing w:before="163" w:line="216" w:lineRule="exact"/>
        <w:ind w:right="5"/>
        <w:jc w:val="both"/>
      </w:pPr>
      <w:r>
        <w:br w:type="column"/>
      </w:r>
      <w:r>
        <w:rPr>
          <w:spacing w:val="-5"/>
          <w:sz w:val="18"/>
          <w:szCs w:val="18"/>
          <w:lang w:val="es-ES_tradnl"/>
        </w:rPr>
        <w:t xml:space="preserve">Constitucional integrada conforme lo dispuesto en los </w:t>
      </w:r>
      <w:r>
        <w:rPr>
          <w:spacing w:val="-6"/>
          <w:sz w:val="18"/>
          <w:szCs w:val="18"/>
          <w:lang w:val="es-ES_tradnl"/>
        </w:rPr>
        <w:t>art</w:t>
      </w:r>
      <w:r>
        <w:rPr>
          <w:rFonts w:cs="Times New Roman"/>
          <w:spacing w:val="-6"/>
          <w:sz w:val="18"/>
          <w:szCs w:val="18"/>
          <w:lang w:val="es-ES_tradnl"/>
        </w:rPr>
        <w:t>í</w:t>
      </w:r>
      <w:r>
        <w:rPr>
          <w:spacing w:val="-6"/>
          <w:sz w:val="18"/>
          <w:szCs w:val="18"/>
          <w:lang w:val="es-ES_tradnl"/>
        </w:rPr>
        <w:t>culos 432 y 434 de la Constituci</w:t>
      </w:r>
      <w:r>
        <w:rPr>
          <w:rFonts w:cs="Times New Roman"/>
          <w:spacing w:val="-6"/>
          <w:sz w:val="18"/>
          <w:szCs w:val="18"/>
          <w:lang w:val="es-ES_tradnl"/>
        </w:rPr>
        <w:t>ó</w:t>
      </w:r>
      <w:r>
        <w:rPr>
          <w:spacing w:val="-6"/>
          <w:sz w:val="18"/>
          <w:szCs w:val="18"/>
          <w:lang w:val="es-ES_tradnl"/>
        </w:rPr>
        <w:t>n de la Rep</w:t>
      </w:r>
      <w:r>
        <w:rPr>
          <w:rFonts w:cs="Times New Roman"/>
          <w:spacing w:val="-6"/>
          <w:sz w:val="18"/>
          <w:szCs w:val="18"/>
          <w:lang w:val="es-ES_tradnl"/>
        </w:rPr>
        <w:t>ú</w:t>
      </w:r>
      <w:r>
        <w:rPr>
          <w:spacing w:val="-6"/>
          <w:sz w:val="18"/>
          <w:szCs w:val="18"/>
          <w:lang w:val="es-ES_tradnl"/>
        </w:rPr>
        <w:t>blica.</w:t>
      </w:r>
    </w:p>
    <w:p w14:paraId="4F67BC2A" w14:textId="77777777" w:rsidR="00591D54" w:rsidRDefault="00591D54">
      <w:pPr>
        <w:shd w:val="clear" w:color="auto" w:fill="FFFFFF"/>
        <w:spacing w:before="197" w:line="216" w:lineRule="exact"/>
        <w:ind w:right="5"/>
        <w:jc w:val="both"/>
      </w:pPr>
      <w:r>
        <w:rPr>
          <w:spacing w:val="-7"/>
          <w:sz w:val="18"/>
          <w:szCs w:val="18"/>
          <w:lang w:val="es-ES_tradnl"/>
        </w:rPr>
        <w:t>Mediante sorteo efectuado en sesi</w:t>
      </w:r>
      <w:r>
        <w:rPr>
          <w:rFonts w:cs="Times New Roman"/>
          <w:spacing w:val="-7"/>
          <w:sz w:val="18"/>
          <w:szCs w:val="18"/>
          <w:lang w:val="es-ES_tradnl"/>
        </w:rPr>
        <w:t>ó</w:t>
      </w:r>
      <w:r>
        <w:rPr>
          <w:spacing w:val="-7"/>
          <w:sz w:val="18"/>
          <w:szCs w:val="18"/>
          <w:lang w:val="es-ES_tradnl"/>
        </w:rPr>
        <w:t xml:space="preserve">n extraordinaria por el </w:t>
      </w:r>
      <w:r>
        <w:rPr>
          <w:spacing w:val="-8"/>
          <w:sz w:val="18"/>
          <w:szCs w:val="18"/>
          <w:lang w:val="es-ES_tradnl"/>
        </w:rPr>
        <w:t xml:space="preserve">Pleno de la Corte Constitucional de jueves 03 de enero de </w:t>
      </w:r>
      <w:r>
        <w:rPr>
          <w:spacing w:val="-6"/>
          <w:sz w:val="18"/>
          <w:szCs w:val="18"/>
          <w:lang w:val="es-ES_tradnl"/>
        </w:rPr>
        <w:t>2013, correspondi</w:t>
      </w:r>
      <w:r>
        <w:rPr>
          <w:rFonts w:cs="Times New Roman"/>
          <w:spacing w:val="-6"/>
          <w:sz w:val="18"/>
          <w:szCs w:val="18"/>
          <w:lang w:val="es-ES_tradnl"/>
        </w:rPr>
        <w:t>ó</w:t>
      </w:r>
      <w:r>
        <w:rPr>
          <w:spacing w:val="-6"/>
          <w:sz w:val="18"/>
          <w:szCs w:val="18"/>
          <w:lang w:val="es-ES_tradnl"/>
        </w:rPr>
        <w:t xml:space="preserve"> la sustanciaci</w:t>
      </w:r>
      <w:r>
        <w:rPr>
          <w:rFonts w:cs="Times New Roman"/>
          <w:spacing w:val="-6"/>
          <w:sz w:val="18"/>
          <w:szCs w:val="18"/>
          <w:lang w:val="es-ES_tradnl"/>
        </w:rPr>
        <w:t>ó</w:t>
      </w:r>
      <w:r>
        <w:rPr>
          <w:spacing w:val="-6"/>
          <w:sz w:val="18"/>
          <w:szCs w:val="18"/>
          <w:lang w:val="es-ES_tradnl"/>
        </w:rPr>
        <w:t xml:space="preserve">n de la presente causa </w:t>
      </w:r>
      <w:r>
        <w:rPr>
          <w:spacing w:val="-4"/>
          <w:sz w:val="18"/>
          <w:szCs w:val="18"/>
          <w:lang w:val="es-ES_tradnl"/>
        </w:rPr>
        <w:t xml:space="preserve">a la jueza constitucional Ruth Seni Pinoargote, quien </w:t>
      </w:r>
      <w:r>
        <w:rPr>
          <w:spacing w:val="-8"/>
          <w:sz w:val="18"/>
          <w:szCs w:val="18"/>
          <w:lang w:val="es-ES_tradnl"/>
        </w:rPr>
        <w:t>mediante auto de 20 de enero de 2015, a las 10h40, avoc</w:t>
      </w:r>
      <w:r>
        <w:rPr>
          <w:rFonts w:cs="Times New Roman"/>
          <w:spacing w:val="-8"/>
          <w:sz w:val="18"/>
          <w:szCs w:val="18"/>
          <w:lang w:val="es-ES_tradnl"/>
        </w:rPr>
        <w:t xml:space="preserve">ó </w:t>
      </w:r>
      <w:r>
        <w:rPr>
          <w:spacing w:val="-3"/>
          <w:sz w:val="18"/>
          <w:szCs w:val="18"/>
          <w:lang w:val="es-ES_tradnl"/>
        </w:rPr>
        <w:t xml:space="preserve">conocimiento de la presente causa y dispuso notificar </w:t>
      </w:r>
      <w:r>
        <w:rPr>
          <w:spacing w:val="-7"/>
          <w:sz w:val="18"/>
          <w:szCs w:val="18"/>
          <w:lang w:val="es-ES_tradnl"/>
        </w:rPr>
        <w:t>con el contenido de este auto al juez Sexto de Trabajo de Pichincha, mediante oficio en su despacho, previni</w:t>
      </w:r>
      <w:r>
        <w:rPr>
          <w:rFonts w:cs="Times New Roman"/>
          <w:spacing w:val="-7"/>
          <w:sz w:val="18"/>
          <w:szCs w:val="18"/>
          <w:lang w:val="es-ES_tradnl"/>
        </w:rPr>
        <w:t>é</w:t>
      </w:r>
      <w:r>
        <w:rPr>
          <w:spacing w:val="-7"/>
          <w:sz w:val="18"/>
          <w:szCs w:val="18"/>
          <w:lang w:val="es-ES_tradnl"/>
        </w:rPr>
        <w:t>ndole de la obligaci</w:t>
      </w:r>
      <w:r>
        <w:rPr>
          <w:rFonts w:cs="Times New Roman"/>
          <w:spacing w:val="-7"/>
          <w:sz w:val="18"/>
          <w:szCs w:val="18"/>
          <w:lang w:val="es-ES_tradnl"/>
        </w:rPr>
        <w:t>ó</w:t>
      </w:r>
      <w:r>
        <w:rPr>
          <w:spacing w:val="-7"/>
          <w:sz w:val="18"/>
          <w:szCs w:val="18"/>
          <w:lang w:val="es-ES_tradnl"/>
        </w:rPr>
        <w:t>n de se</w:t>
      </w:r>
      <w:r>
        <w:rPr>
          <w:rFonts w:cs="Times New Roman"/>
          <w:spacing w:val="-7"/>
          <w:sz w:val="18"/>
          <w:szCs w:val="18"/>
          <w:lang w:val="es-ES_tradnl"/>
        </w:rPr>
        <w:t>ñ</w:t>
      </w:r>
      <w:r>
        <w:rPr>
          <w:spacing w:val="-7"/>
          <w:sz w:val="18"/>
          <w:szCs w:val="18"/>
          <w:lang w:val="es-ES_tradnl"/>
        </w:rPr>
        <w:t xml:space="preserve">alar casillero constitucional o correo </w:t>
      </w:r>
      <w:r>
        <w:rPr>
          <w:spacing w:val="-10"/>
          <w:sz w:val="18"/>
          <w:szCs w:val="18"/>
          <w:lang w:val="es-ES_tradnl"/>
        </w:rPr>
        <w:t>electr</w:t>
      </w:r>
      <w:r>
        <w:rPr>
          <w:rFonts w:cs="Times New Roman"/>
          <w:spacing w:val="-10"/>
          <w:sz w:val="18"/>
          <w:szCs w:val="18"/>
          <w:lang w:val="es-ES_tradnl"/>
        </w:rPr>
        <w:t>ó</w:t>
      </w:r>
      <w:r>
        <w:rPr>
          <w:spacing w:val="-10"/>
          <w:sz w:val="18"/>
          <w:szCs w:val="18"/>
          <w:lang w:val="es-ES_tradnl"/>
        </w:rPr>
        <w:t xml:space="preserve">nico para futuras notificaciones. De la misma manera </w:t>
      </w:r>
      <w:r>
        <w:rPr>
          <w:spacing w:val="-7"/>
          <w:sz w:val="18"/>
          <w:szCs w:val="18"/>
          <w:lang w:val="es-ES_tradnl"/>
        </w:rPr>
        <w:t>se ordena la notificaci</w:t>
      </w:r>
      <w:r>
        <w:rPr>
          <w:rFonts w:cs="Times New Roman"/>
          <w:spacing w:val="-7"/>
          <w:sz w:val="18"/>
          <w:szCs w:val="18"/>
          <w:lang w:val="es-ES_tradnl"/>
        </w:rPr>
        <w:t>ó</w:t>
      </w:r>
      <w:r>
        <w:rPr>
          <w:spacing w:val="-7"/>
          <w:sz w:val="18"/>
          <w:szCs w:val="18"/>
          <w:lang w:val="es-ES_tradnl"/>
        </w:rPr>
        <w:t>n del presente auto a los se</w:t>
      </w:r>
      <w:r>
        <w:rPr>
          <w:rFonts w:cs="Times New Roman"/>
          <w:spacing w:val="-7"/>
          <w:sz w:val="18"/>
          <w:szCs w:val="18"/>
          <w:lang w:val="es-ES_tradnl"/>
        </w:rPr>
        <w:t>ñ</w:t>
      </w:r>
      <w:r>
        <w:rPr>
          <w:spacing w:val="-7"/>
          <w:sz w:val="18"/>
          <w:szCs w:val="18"/>
          <w:lang w:val="es-ES_tradnl"/>
        </w:rPr>
        <w:t xml:space="preserve">ores </w:t>
      </w:r>
      <w:r>
        <w:rPr>
          <w:spacing w:val="-8"/>
          <w:sz w:val="18"/>
          <w:szCs w:val="18"/>
          <w:lang w:val="es-ES_tradnl"/>
        </w:rPr>
        <w:t>Emperatriz Mu</w:t>
      </w:r>
      <w:r>
        <w:rPr>
          <w:rFonts w:cs="Times New Roman"/>
          <w:spacing w:val="-8"/>
          <w:sz w:val="18"/>
          <w:szCs w:val="18"/>
          <w:lang w:val="es-ES_tradnl"/>
        </w:rPr>
        <w:t>ñ</w:t>
      </w:r>
      <w:r>
        <w:rPr>
          <w:spacing w:val="-8"/>
          <w:sz w:val="18"/>
          <w:szCs w:val="18"/>
          <w:lang w:val="es-ES_tradnl"/>
        </w:rPr>
        <w:t>etones Hern</w:t>
      </w:r>
      <w:r>
        <w:rPr>
          <w:rFonts w:cs="Times New Roman"/>
          <w:spacing w:val="-8"/>
          <w:sz w:val="18"/>
          <w:szCs w:val="18"/>
          <w:lang w:val="es-ES_tradnl"/>
        </w:rPr>
        <w:t>á</w:t>
      </w:r>
      <w:r>
        <w:rPr>
          <w:spacing w:val="-8"/>
          <w:sz w:val="18"/>
          <w:szCs w:val="18"/>
          <w:lang w:val="es-ES_tradnl"/>
        </w:rPr>
        <w:t>ndez, Omar Josu</w:t>
      </w:r>
      <w:r>
        <w:rPr>
          <w:rFonts w:cs="Times New Roman"/>
          <w:spacing w:val="-8"/>
          <w:sz w:val="18"/>
          <w:szCs w:val="18"/>
          <w:lang w:val="es-ES_tradnl"/>
        </w:rPr>
        <w:t>é</w:t>
      </w:r>
      <w:r>
        <w:rPr>
          <w:spacing w:val="-8"/>
          <w:sz w:val="18"/>
          <w:szCs w:val="18"/>
          <w:lang w:val="es-ES_tradnl"/>
        </w:rPr>
        <w:t xml:space="preserve"> Jaramillo </w:t>
      </w:r>
      <w:r>
        <w:rPr>
          <w:spacing w:val="-5"/>
          <w:sz w:val="18"/>
          <w:szCs w:val="18"/>
          <w:lang w:val="es-ES_tradnl"/>
        </w:rPr>
        <w:t>Mu</w:t>
      </w:r>
      <w:r>
        <w:rPr>
          <w:rFonts w:cs="Times New Roman"/>
          <w:spacing w:val="-5"/>
          <w:sz w:val="18"/>
          <w:szCs w:val="18"/>
          <w:lang w:val="es-ES_tradnl"/>
        </w:rPr>
        <w:t>ñ</w:t>
      </w:r>
      <w:r>
        <w:rPr>
          <w:spacing w:val="-5"/>
          <w:sz w:val="18"/>
          <w:szCs w:val="18"/>
          <w:lang w:val="es-ES_tradnl"/>
        </w:rPr>
        <w:t>etones, Mario Javier Villac</w:t>
      </w:r>
      <w:r>
        <w:rPr>
          <w:rFonts w:cs="Times New Roman"/>
          <w:spacing w:val="-5"/>
          <w:sz w:val="18"/>
          <w:szCs w:val="18"/>
          <w:lang w:val="es-ES_tradnl"/>
        </w:rPr>
        <w:t>í</w:t>
      </w:r>
      <w:r>
        <w:rPr>
          <w:spacing w:val="-5"/>
          <w:sz w:val="18"/>
          <w:szCs w:val="18"/>
          <w:lang w:val="es-ES_tradnl"/>
        </w:rPr>
        <w:t>s Garc</w:t>
      </w:r>
      <w:r>
        <w:rPr>
          <w:rFonts w:cs="Times New Roman"/>
          <w:spacing w:val="-5"/>
          <w:sz w:val="18"/>
          <w:szCs w:val="18"/>
          <w:lang w:val="es-ES_tradnl"/>
        </w:rPr>
        <w:t>í</w:t>
      </w:r>
      <w:r>
        <w:rPr>
          <w:spacing w:val="-5"/>
          <w:sz w:val="18"/>
          <w:szCs w:val="18"/>
          <w:lang w:val="es-ES_tradnl"/>
        </w:rPr>
        <w:t xml:space="preserve">a y al procurador </w:t>
      </w:r>
      <w:r>
        <w:rPr>
          <w:sz w:val="18"/>
          <w:szCs w:val="18"/>
          <w:lang w:val="es-ES_tradnl"/>
        </w:rPr>
        <w:t>general del Estado.</w:t>
      </w:r>
    </w:p>
    <w:p w14:paraId="4F67BC2B" w14:textId="77777777" w:rsidR="00591D54" w:rsidRDefault="00591D54">
      <w:pPr>
        <w:shd w:val="clear" w:color="auto" w:fill="FFFFFF"/>
        <w:spacing w:before="192"/>
      </w:pPr>
      <w:r>
        <w:rPr>
          <w:b/>
          <w:bCs/>
          <w:spacing w:val="-11"/>
          <w:sz w:val="18"/>
          <w:szCs w:val="18"/>
          <w:lang w:val="es-ES_tradnl"/>
        </w:rPr>
        <w:t>Sentencia o auto que se impugna</w:t>
      </w:r>
    </w:p>
    <w:p w14:paraId="4F67BC2C" w14:textId="77777777" w:rsidR="00591D54" w:rsidRDefault="00591D54">
      <w:pPr>
        <w:shd w:val="clear" w:color="auto" w:fill="FFFFFF"/>
        <w:spacing w:before="197" w:line="216" w:lineRule="exact"/>
        <w:ind w:right="5"/>
        <w:jc w:val="both"/>
      </w:pPr>
      <w:r>
        <w:rPr>
          <w:spacing w:val="-10"/>
          <w:sz w:val="18"/>
          <w:szCs w:val="18"/>
          <w:lang w:val="es-ES_tradnl"/>
        </w:rPr>
        <w:t>Los legitimados activos presentan esta acci</w:t>
      </w:r>
      <w:r>
        <w:rPr>
          <w:rFonts w:cs="Times New Roman"/>
          <w:spacing w:val="-10"/>
          <w:sz w:val="18"/>
          <w:szCs w:val="18"/>
          <w:lang w:val="es-ES_tradnl"/>
        </w:rPr>
        <w:t>ó</w:t>
      </w:r>
      <w:r>
        <w:rPr>
          <w:spacing w:val="-10"/>
          <w:sz w:val="18"/>
          <w:szCs w:val="18"/>
          <w:lang w:val="es-ES_tradnl"/>
        </w:rPr>
        <w:t xml:space="preserve">n extraordinaria </w:t>
      </w:r>
      <w:r>
        <w:rPr>
          <w:spacing w:val="-6"/>
          <w:sz w:val="18"/>
          <w:szCs w:val="18"/>
          <w:lang w:val="es-ES_tradnl"/>
        </w:rPr>
        <w:t>de protecci</w:t>
      </w:r>
      <w:r>
        <w:rPr>
          <w:rFonts w:cs="Times New Roman"/>
          <w:spacing w:val="-6"/>
          <w:sz w:val="18"/>
          <w:szCs w:val="18"/>
          <w:lang w:val="es-ES_tradnl"/>
        </w:rPr>
        <w:t>ó</w:t>
      </w:r>
      <w:r>
        <w:rPr>
          <w:spacing w:val="-6"/>
          <w:sz w:val="18"/>
          <w:szCs w:val="18"/>
          <w:lang w:val="es-ES_tradnl"/>
        </w:rPr>
        <w:t xml:space="preserve">n, en contra de la sentencia emitida por el </w:t>
      </w:r>
      <w:r>
        <w:rPr>
          <w:spacing w:val="-2"/>
          <w:sz w:val="18"/>
          <w:szCs w:val="18"/>
          <w:lang w:val="es-ES_tradnl"/>
        </w:rPr>
        <w:t xml:space="preserve">Juzgado Sexto de Trabajo de Pichincha, el viernes 23 </w:t>
      </w:r>
      <w:r>
        <w:rPr>
          <w:spacing w:val="-7"/>
          <w:sz w:val="18"/>
          <w:szCs w:val="18"/>
          <w:lang w:val="es-ES_tradnl"/>
        </w:rPr>
        <w:t xml:space="preserve">de septiembre de 2011, a las 15h33; mediante la cual se </w:t>
      </w:r>
      <w:r>
        <w:rPr>
          <w:sz w:val="18"/>
          <w:szCs w:val="18"/>
          <w:lang w:val="es-ES_tradnl"/>
        </w:rPr>
        <w:t>dispone lo siguiente:</w:t>
      </w:r>
    </w:p>
    <w:p w14:paraId="4F67BC2D" w14:textId="77777777" w:rsidR="00591D54" w:rsidRDefault="00591D54">
      <w:pPr>
        <w:shd w:val="clear" w:color="auto" w:fill="FFFFFF"/>
        <w:spacing w:before="202" w:line="216" w:lineRule="exact"/>
        <w:ind w:left="283"/>
        <w:jc w:val="both"/>
      </w:pPr>
      <w:r>
        <w:rPr>
          <w:spacing w:val="-3"/>
          <w:sz w:val="16"/>
          <w:szCs w:val="16"/>
          <w:lang w:val="es-ES_tradnl"/>
        </w:rPr>
        <w:t xml:space="preserve">CUARTO: El cumplimiento de los requisitos del Art. 8 del </w:t>
      </w:r>
      <w:r>
        <w:rPr>
          <w:spacing w:val="-5"/>
          <w:sz w:val="16"/>
          <w:szCs w:val="16"/>
          <w:lang w:val="es-ES_tradnl"/>
        </w:rPr>
        <w:t>C</w:t>
      </w:r>
      <w:r>
        <w:rPr>
          <w:rFonts w:cs="Times New Roman"/>
          <w:spacing w:val="-5"/>
          <w:sz w:val="16"/>
          <w:szCs w:val="16"/>
          <w:lang w:val="es-ES_tradnl"/>
        </w:rPr>
        <w:t>ó</w:t>
      </w:r>
      <w:r>
        <w:rPr>
          <w:spacing w:val="-5"/>
          <w:sz w:val="16"/>
          <w:szCs w:val="16"/>
          <w:lang w:val="es-ES_tradnl"/>
        </w:rPr>
        <w:t>digo de Trabajo, esto es prestaci</w:t>
      </w:r>
      <w:r>
        <w:rPr>
          <w:rFonts w:cs="Times New Roman"/>
          <w:spacing w:val="-5"/>
          <w:sz w:val="16"/>
          <w:szCs w:val="16"/>
          <w:lang w:val="es-ES_tradnl"/>
        </w:rPr>
        <w:t>ó</w:t>
      </w:r>
      <w:r>
        <w:rPr>
          <w:spacing w:val="-5"/>
          <w:sz w:val="16"/>
          <w:szCs w:val="16"/>
          <w:lang w:val="es-ES_tradnl"/>
        </w:rPr>
        <w:t>n de servicios l</w:t>
      </w:r>
      <w:r>
        <w:rPr>
          <w:rFonts w:cs="Times New Roman"/>
          <w:spacing w:val="-5"/>
          <w:sz w:val="16"/>
          <w:szCs w:val="16"/>
          <w:lang w:val="es-ES_tradnl"/>
        </w:rPr>
        <w:t>í</w:t>
      </w:r>
      <w:r>
        <w:rPr>
          <w:spacing w:val="-5"/>
          <w:sz w:val="16"/>
          <w:szCs w:val="16"/>
          <w:lang w:val="es-ES_tradnl"/>
        </w:rPr>
        <w:t>citos y personales, subordinaci</w:t>
      </w:r>
      <w:r>
        <w:rPr>
          <w:rFonts w:cs="Times New Roman"/>
          <w:spacing w:val="-5"/>
          <w:sz w:val="16"/>
          <w:szCs w:val="16"/>
          <w:lang w:val="es-ES_tradnl"/>
        </w:rPr>
        <w:t>ó</w:t>
      </w:r>
      <w:r>
        <w:rPr>
          <w:spacing w:val="-5"/>
          <w:sz w:val="16"/>
          <w:szCs w:val="16"/>
          <w:lang w:val="es-ES_tradnl"/>
        </w:rPr>
        <w:t>n jur</w:t>
      </w:r>
      <w:r>
        <w:rPr>
          <w:rFonts w:cs="Times New Roman"/>
          <w:spacing w:val="-5"/>
          <w:sz w:val="16"/>
          <w:szCs w:val="16"/>
          <w:lang w:val="es-ES_tradnl"/>
        </w:rPr>
        <w:t>í</w:t>
      </w:r>
      <w:r>
        <w:rPr>
          <w:spacing w:val="-5"/>
          <w:sz w:val="16"/>
          <w:szCs w:val="16"/>
          <w:lang w:val="es-ES_tradnl"/>
        </w:rPr>
        <w:t xml:space="preserve">dica de la persona que realiza </w:t>
      </w:r>
      <w:r>
        <w:rPr>
          <w:spacing w:val="-6"/>
          <w:sz w:val="16"/>
          <w:szCs w:val="16"/>
          <w:lang w:val="es-ES_tradnl"/>
        </w:rPr>
        <w:t>la labor hacia quien lo contrat</w:t>
      </w:r>
      <w:r>
        <w:rPr>
          <w:rFonts w:cs="Times New Roman"/>
          <w:spacing w:val="-6"/>
          <w:sz w:val="16"/>
          <w:szCs w:val="16"/>
          <w:lang w:val="es-ES_tradnl"/>
        </w:rPr>
        <w:t>ó</w:t>
      </w:r>
      <w:r>
        <w:rPr>
          <w:spacing w:val="-6"/>
          <w:sz w:val="16"/>
          <w:szCs w:val="16"/>
          <w:lang w:val="es-ES_tradnl"/>
        </w:rPr>
        <w:t xml:space="preserve"> o hacia el beneficiario, y, una </w:t>
      </w:r>
      <w:r>
        <w:rPr>
          <w:spacing w:val="-5"/>
          <w:sz w:val="16"/>
          <w:szCs w:val="16"/>
          <w:lang w:val="es-ES_tradnl"/>
        </w:rPr>
        <w:t>remuneraci</w:t>
      </w:r>
      <w:r>
        <w:rPr>
          <w:rFonts w:cs="Times New Roman"/>
          <w:spacing w:val="-5"/>
          <w:sz w:val="16"/>
          <w:szCs w:val="16"/>
          <w:lang w:val="es-ES_tradnl"/>
        </w:rPr>
        <w:t>ó</w:t>
      </w:r>
      <w:r>
        <w:rPr>
          <w:spacing w:val="-5"/>
          <w:sz w:val="16"/>
          <w:szCs w:val="16"/>
          <w:lang w:val="es-ES_tradnl"/>
        </w:rPr>
        <w:t>n se prueban con la confesi</w:t>
      </w:r>
      <w:r>
        <w:rPr>
          <w:rFonts w:cs="Times New Roman"/>
          <w:spacing w:val="-5"/>
          <w:sz w:val="16"/>
          <w:szCs w:val="16"/>
          <w:lang w:val="es-ES_tradnl"/>
        </w:rPr>
        <w:t>ó</w:t>
      </w:r>
      <w:r>
        <w:rPr>
          <w:spacing w:val="-5"/>
          <w:sz w:val="16"/>
          <w:szCs w:val="16"/>
          <w:lang w:val="es-ES_tradnl"/>
        </w:rPr>
        <w:t xml:space="preserve">n judicial ficta del </w:t>
      </w:r>
      <w:r>
        <w:rPr>
          <w:spacing w:val="-7"/>
          <w:sz w:val="16"/>
          <w:szCs w:val="16"/>
          <w:lang w:val="es-ES_tradnl"/>
        </w:rPr>
        <w:t xml:space="preserve">demandado. La Corte Suprema de Justicia ha expedido fallos </w:t>
      </w:r>
      <w:r>
        <w:rPr>
          <w:spacing w:val="-6"/>
          <w:sz w:val="16"/>
          <w:szCs w:val="16"/>
          <w:lang w:val="es-ES_tradnl"/>
        </w:rPr>
        <w:t>de triple reiteraci</w:t>
      </w:r>
      <w:r>
        <w:rPr>
          <w:rFonts w:cs="Times New Roman"/>
          <w:spacing w:val="-6"/>
          <w:sz w:val="16"/>
          <w:szCs w:val="16"/>
          <w:lang w:val="es-ES_tradnl"/>
        </w:rPr>
        <w:t>ó</w:t>
      </w:r>
      <w:r>
        <w:rPr>
          <w:spacing w:val="-6"/>
          <w:sz w:val="16"/>
          <w:szCs w:val="16"/>
          <w:lang w:val="es-ES_tradnl"/>
        </w:rPr>
        <w:t xml:space="preserve">n aceptando el valor de prueba plena de la </w:t>
      </w:r>
      <w:r>
        <w:rPr>
          <w:spacing w:val="-9"/>
          <w:sz w:val="16"/>
          <w:szCs w:val="16"/>
          <w:lang w:val="es-ES_tradnl"/>
        </w:rPr>
        <w:t xml:space="preserve">declaratoria de confeso del demandado en los juicios laborales, </w:t>
      </w:r>
      <w:r>
        <w:rPr>
          <w:spacing w:val="-7"/>
          <w:sz w:val="16"/>
          <w:szCs w:val="16"/>
          <w:lang w:val="es-ES_tradnl"/>
        </w:rPr>
        <w:t>tanto m</w:t>
      </w:r>
      <w:r>
        <w:rPr>
          <w:rFonts w:cs="Times New Roman"/>
          <w:spacing w:val="-7"/>
          <w:sz w:val="16"/>
          <w:szCs w:val="16"/>
          <w:lang w:val="es-ES_tradnl"/>
        </w:rPr>
        <w:t>á</w:t>
      </w:r>
      <w:r>
        <w:rPr>
          <w:spacing w:val="-7"/>
          <w:sz w:val="16"/>
          <w:szCs w:val="16"/>
          <w:lang w:val="es-ES_tradnl"/>
        </w:rPr>
        <w:t>s que la alegaci</w:t>
      </w:r>
      <w:r>
        <w:rPr>
          <w:rFonts w:cs="Times New Roman"/>
          <w:spacing w:val="-7"/>
          <w:sz w:val="16"/>
          <w:szCs w:val="16"/>
          <w:lang w:val="es-ES_tradnl"/>
        </w:rPr>
        <w:t>ó</w:t>
      </w:r>
      <w:r>
        <w:rPr>
          <w:spacing w:val="-7"/>
          <w:sz w:val="16"/>
          <w:szCs w:val="16"/>
          <w:lang w:val="es-ES_tradnl"/>
        </w:rPr>
        <w:t xml:space="preserve">n de despido intempestivo se debe </w:t>
      </w:r>
      <w:r>
        <w:rPr>
          <w:spacing w:val="-2"/>
          <w:sz w:val="16"/>
          <w:szCs w:val="16"/>
          <w:lang w:val="es-ES_tradnl"/>
        </w:rPr>
        <w:t>demostrar. Al evadir la confesi</w:t>
      </w:r>
      <w:r>
        <w:rPr>
          <w:rFonts w:cs="Times New Roman"/>
          <w:spacing w:val="-2"/>
          <w:sz w:val="16"/>
          <w:szCs w:val="16"/>
          <w:lang w:val="es-ES_tradnl"/>
        </w:rPr>
        <w:t>ó</w:t>
      </w:r>
      <w:r>
        <w:rPr>
          <w:spacing w:val="-2"/>
          <w:sz w:val="16"/>
          <w:szCs w:val="16"/>
          <w:lang w:val="es-ES_tradnl"/>
        </w:rPr>
        <w:t xml:space="preserve">n judicial sin justificativo </w:t>
      </w:r>
      <w:r>
        <w:rPr>
          <w:spacing w:val="-7"/>
          <w:sz w:val="16"/>
          <w:szCs w:val="16"/>
          <w:lang w:val="es-ES_tradnl"/>
        </w:rPr>
        <w:t xml:space="preserve">legal el demandado la declaratoria de confeso tiene valor de </w:t>
      </w:r>
      <w:r>
        <w:rPr>
          <w:spacing w:val="-5"/>
          <w:sz w:val="16"/>
          <w:szCs w:val="16"/>
          <w:lang w:val="es-ES_tradnl"/>
        </w:rPr>
        <w:t>prueba plena pues evidencia la terminaci</w:t>
      </w:r>
      <w:r>
        <w:rPr>
          <w:rFonts w:cs="Times New Roman"/>
          <w:spacing w:val="-5"/>
          <w:sz w:val="16"/>
          <w:szCs w:val="16"/>
          <w:lang w:val="es-ES_tradnl"/>
        </w:rPr>
        <w:t>ó</w:t>
      </w:r>
      <w:r>
        <w:rPr>
          <w:spacing w:val="-5"/>
          <w:sz w:val="16"/>
          <w:szCs w:val="16"/>
          <w:lang w:val="es-ES_tradnl"/>
        </w:rPr>
        <w:t>n de la relaci</w:t>
      </w:r>
      <w:r>
        <w:rPr>
          <w:rFonts w:cs="Times New Roman"/>
          <w:spacing w:val="-5"/>
          <w:sz w:val="16"/>
          <w:szCs w:val="16"/>
          <w:lang w:val="es-ES_tradnl"/>
        </w:rPr>
        <w:t>ó</w:t>
      </w:r>
      <w:r>
        <w:rPr>
          <w:spacing w:val="-5"/>
          <w:sz w:val="16"/>
          <w:szCs w:val="16"/>
          <w:lang w:val="es-ES_tradnl"/>
        </w:rPr>
        <w:t xml:space="preserve">n </w:t>
      </w:r>
      <w:r>
        <w:rPr>
          <w:spacing w:val="-9"/>
          <w:sz w:val="16"/>
          <w:szCs w:val="16"/>
          <w:lang w:val="es-ES_tradnl"/>
        </w:rPr>
        <w:t xml:space="preserve">contractual en forma unilateral esto es se ha probado el despido </w:t>
      </w:r>
      <w:r>
        <w:rPr>
          <w:sz w:val="16"/>
          <w:szCs w:val="16"/>
          <w:lang w:val="es-ES_tradnl"/>
        </w:rPr>
        <w:t xml:space="preserve">intempestivo.- QUINTO: En las cuestiones de trabajo </w:t>
      </w:r>
      <w:r>
        <w:rPr>
          <w:spacing w:val="-6"/>
          <w:sz w:val="16"/>
          <w:szCs w:val="16"/>
          <w:lang w:val="es-ES_tradnl"/>
        </w:rPr>
        <w:t xml:space="preserve">prima el principio </w:t>
      </w:r>
      <w:r>
        <w:rPr>
          <w:rFonts w:cs="Times New Roman"/>
          <w:spacing w:val="-6"/>
          <w:sz w:val="16"/>
          <w:szCs w:val="16"/>
          <w:lang w:val="es-ES_tradnl"/>
        </w:rPr>
        <w:t>“</w:t>
      </w:r>
      <w:r>
        <w:rPr>
          <w:spacing w:val="-6"/>
          <w:sz w:val="16"/>
          <w:szCs w:val="16"/>
          <w:lang w:val="es-ES_tradnl"/>
        </w:rPr>
        <w:t>indubio pro operario</w:t>
      </w:r>
      <w:r>
        <w:rPr>
          <w:rFonts w:cs="Times New Roman"/>
          <w:spacing w:val="-6"/>
          <w:sz w:val="16"/>
          <w:szCs w:val="16"/>
          <w:lang w:val="es-ES_tradnl"/>
        </w:rPr>
        <w:t>”</w:t>
      </w:r>
      <w:r>
        <w:rPr>
          <w:spacing w:val="-6"/>
          <w:sz w:val="16"/>
          <w:szCs w:val="16"/>
          <w:lang w:val="es-ES_tradnl"/>
        </w:rPr>
        <w:t>, esto es la aplicaci</w:t>
      </w:r>
      <w:r>
        <w:rPr>
          <w:rFonts w:cs="Times New Roman"/>
          <w:spacing w:val="-6"/>
          <w:sz w:val="16"/>
          <w:szCs w:val="16"/>
          <w:lang w:val="es-ES_tradnl"/>
        </w:rPr>
        <w:t>ó</w:t>
      </w:r>
      <w:r>
        <w:rPr>
          <w:spacing w:val="-6"/>
          <w:sz w:val="16"/>
          <w:szCs w:val="16"/>
          <w:lang w:val="es-ES_tradnl"/>
        </w:rPr>
        <w:t xml:space="preserve">n </w:t>
      </w:r>
      <w:r>
        <w:rPr>
          <w:spacing w:val="-7"/>
          <w:sz w:val="16"/>
          <w:szCs w:val="16"/>
          <w:lang w:val="es-ES_tradnl"/>
        </w:rPr>
        <w:t xml:space="preserve">del principio de que en caso de duda debe aplicarse la Ley en </w:t>
      </w:r>
      <w:r>
        <w:rPr>
          <w:spacing w:val="-5"/>
          <w:sz w:val="16"/>
          <w:szCs w:val="16"/>
          <w:lang w:val="es-ES_tradnl"/>
        </w:rPr>
        <w:t>el sentido m</w:t>
      </w:r>
      <w:r>
        <w:rPr>
          <w:rFonts w:cs="Times New Roman"/>
          <w:spacing w:val="-5"/>
          <w:sz w:val="16"/>
          <w:szCs w:val="16"/>
          <w:lang w:val="es-ES_tradnl"/>
        </w:rPr>
        <w:t>á</w:t>
      </w:r>
      <w:r>
        <w:rPr>
          <w:spacing w:val="-5"/>
          <w:sz w:val="16"/>
          <w:szCs w:val="16"/>
          <w:lang w:val="es-ES_tradnl"/>
        </w:rPr>
        <w:t>s favorable al trabajador. La Constituci</w:t>
      </w:r>
      <w:r>
        <w:rPr>
          <w:rFonts w:cs="Times New Roman"/>
          <w:spacing w:val="-5"/>
          <w:sz w:val="16"/>
          <w:szCs w:val="16"/>
          <w:lang w:val="es-ES_tradnl"/>
        </w:rPr>
        <w:t>ó</w:t>
      </w:r>
      <w:r>
        <w:rPr>
          <w:spacing w:val="-5"/>
          <w:sz w:val="16"/>
          <w:szCs w:val="16"/>
          <w:lang w:val="es-ES_tradnl"/>
        </w:rPr>
        <w:t>n de la Rep</w:t>
      </w:r>
      <w:r>
        <w:rPr>
          <w:rFonts w:cs="Times New Roman"/>
          <w:spacing w:val="-5"/>
          <w:sz w:val="16"/>
          <w:szCs w:val="16"/>
          <w:lang w:val="es-ES_tradnl"/>
        </w:rPr>
        <w:t>ú</w:t>
      </w:r>
      <w:r>
        <w:rPr>
          <w:spacing w:val="-5"/>
          <w:sz w:val="16"/>
          <w:szCs w:val="16"/>
          <w:lang w:val="es-ES_tradnl"/>
        </w:rPr>
        <w:t xml:space="preserve">blica en los Arts. 325, 326, 327 consagra los principios </w:t>
      </w:r>
      <w:r>
        <w:rPr>
          <w:spacing w:val="-9"/>
          <w:sz w:val="16"/>
          <w:szCs w:val="16"/>
          <w:lang w:val="es-ES_tradnl"/>
        </w:rPr>
        <w:t>de derecho social que rigen las relaciones entre empleadores y trabajadores a quienes las autoridades est</w:t>
      </w:r>
      <w:r>
        <w:rPr>
          <w:rFonts w:cs="Times New Roman"/>
          <w:spacing w:val="-9"/>
          <w:sz w:val="16"/>
          <w:szCs w:val="16"/>
          <w:lang w:val="es-ES_tradnl"/>
        </w:rPr>
        <w:t>á</w:t>
      </w:r>
      <w:r>
        <w:rPr>
          <w:spacing w:val="-9"/>
          <w:sz w:val="16"/>
          <w:szCs w:val="16"/>
          <w:lang w:val="es-ES_tradnl"/>
        </w:rPr>
        <w:t xml:space="preserve">n obligadas a tutelar </w:t>
      </w:r>
      <w:r>
        <w:rPr>
          <w:spacing w:val="-5"/>
          <w:sz w:val="16"/>
          <w:szCs w:val="16"/>
          <w:lang w:val="es-ES_tradnl"/>
        </w:rPr>
        <w:t>sus derechos. Esto se ratifica en los Arts. 5 y 7 del C</w:t>
      </w:r>
      <w:r>
        <w:rPr>
          <w:rFonts w:cs="Times New Roman"/>
          <w:spacing w:val="-5"/>
          <w:sz w:val="16"/>
          <w:szCs w:val="16"/>
          <w:lang w:val="es-ES_tradnl"/>
        </w:rPr>
        <w:t>ó</w:t>
      </w:r>
      <w:r>
        <w:rPr>
          <w:spacing w:val="-5"/>
          <w:sz w:val="16"/>
          <w:szCs w:val="16"/>
          <w:lang w:val="es-ES_tradnl"/>
        </w:rPr>
        <w:t>digo Obrero. Lo referido nos permite concluir que la reclamaci</w:t>
      </w:r>
      <w:r>
        <w:rPr>
          <w:rFonts w:cs="Times New Roman"/>
          <w:spacing w:val="-5"/>
          <w:sz w:val="16"/>
          <w:szCs w:val="16"/>
          <w:lang w:val="es-ES_tradnl"/>
        </w:rPr>
        <w:t>ó</w:t>
      </w:r>
      <w:r>
        <w:rPr>
          <w:spacing w:val="-5"/>
          <w:sz w:val="16"/>
          <w:szCs w:val="16"/>
          <w:lang w:val="es-ES_tradnl"/>
        </w:rPr>
        <w:t xml:space="preserve">n </w:t>
      </w:r>
      <w:r>
        <w:rPr>
          <w:spacing w:val="-6"/>
          <w:sz w:val="16"/>
          <w:szCs w:val="16"/>
          <w:lang w:val="es-ES_tradnl"/>
        </w:rPr>
        <w:t>establecida en el C</w:t>
      </w:r>
      <w:r>
        <w:rPr>
          <w:rFonts w:cs="Times New Roman"/>
          <w:spacing w:val="-6"/>
          <w:sz w:val="16"/>
          <w:szCs w:val="16"/>
          <w:lang w:val="es-ES_tradnl"/>
        </w:rPr>
        <w:t>ó</w:t>
      </w:r>
      <w:r>
        <w:rPr>
          <w:spacing w:val="-6"/>
          <w:sz w:val="16"/>
          <w:szCs w:val="16"/>
          <w:lang w:val="es-ES_tradnl"/>
        </w:rPr>
        <w:t>digo del Trabajo (</w:t>
      </w:r>
      <w:r>
        <w:rPr>
          <w:rFonts w:cs="Times New Roman"/>
          <w:spacing w:val="-6"/>
          <w:sz w:val="16"/>
          <w:szCs w:val="16"/>
          <w:lang w:val="es-ES_tradnl"/>
        </w:rPr>
        <w:t>…</w:t>
      </w:r>
      <w:r>
        <w:rPr>
          <w:spacing w:val="-6"/>
          <w:sz w:val="16"/>
          <w:szCs w:val="16"/>
          <w:lang w:val="es-ES_tradnl"/>
        </w:rPr>
        <w:t xml:space="preserve">) ADMINISTRANDO </w:t>
      </w:r>
      <w:r>
        <w:rPr>
          <w:spacing w:val="-2"/>
          <w:sz w:val="16"/>
          <w:szCs w:val="16"/>
          <w:lang w:val="es-ES_tradnl"/>
        </w:rPr>
        <w:t xml:space="preserve">JUSTICIA EN NOMBRE DEL PUEBLO SOBERANO DEL </w:t>
      </w:r>
      <w:r>
        <w:rPr>
          <w:spacing w:val="-3"/>
          <w:sz w:val="16"/>
          <w:szCs w:val="16"/>
          <w:lang w:val="es-ES_tradnl"/>
        </w:rPr>
        <w:t>ECUADOR Y POR AUTORIDAD DE LA CONSTITUCI</w:t>
      </w:r>
      <w:r>
        <w:rPr>
          <w:rFonts w:cs="Times New Roman"/>
          <w:spacing w:val="-3"/>
          <w:sz w:val="16"/>
          <w:szCs w:val="16"/>
          <w:lang w:val="es-ES_tradnl"/>
        </w:rPr>
        <w:t>Ó</w:t>
      </w:r>
      <w:r>
        <w:rPr>
          <w:spacing w:val="-3"/>
          <w:sz w:val="16"/>
          <w:szCs w:val="16"/>
          <w:lang w:val="es-ES_tradnl"/>
        </w:rPr>
        <w:t>N Y LEYES DE LA REP</w:t>
      </w:r>
      <w:r>
        <w:rPr>
          <w:rFonts w:cs="Times New Roman"/>
          <w:spacing w:val="-3"/>
          <w:sz w:val="16"/>
          <w:szCs w:val="16"/>
          <w:lang w:val="es-ES_tradnl"/>
        </w:rPr>
        <w:t>Ú</w:t>
      </w:r>
      <w:r>
        <w:rPr>
          <w:spacing w:val="-3"/>
          <w:sz w:val="16"/>
          <w:szCs w:val="16"/>
          <w:lang w:val="es-ES_tradnl"/>
        </w:rPr>
        <w:t xml:space="preserve">BLICA, se acepta en forma parcial </w:t>
      </w:r>
      <w:r>
        <w:rPr>
          <w:spacing w:val="-6"/>
          <w:sz w:val="16"/>
          <w:szCs w:val="16"/>
          <w:lang w:val="es-ES_tradnl"/>
        </w:rPr>
        <w:t>la demanda y se ordena que EMPERATRIZ MU</w:t>
      </w:r>
      <w:r>
        <w:rPr>
          <w:rFonts w:cs="Times New Roman"/>
          <w:spacing w:val="-6"/>
          <w:sz w:val="16"/>
          <w:szCs w:val="16"/>
          <w:lang w:val="es-ES_tradnl"/>
        </w:rPr>
        <w:t>Ñ</w:t>
      </w:r>
      <w:r>
        <w:rPr>
          <w:spacing w:val="-6"/>
          <w:sz w:val="16"/>
          <w:szCs w:val="16"/>
          <w:lang w:val="es-ES_tradnl"/>
        </w:rPr>
        <w:t xml:space="preserve">ETONEZ </w:t>
      </w:r>
      <w:r>
        <w:rPr>
          <w:sz w:val="16"/>
          <w:szCs w:val="16"/>
          <w:lang w:val="es-ES_tradnl"/>
        </w:rPr>
        <w:t>HERN</w:t>
      </w:r>
      <w:r>
        <w:rPr>
          <w:rFonts w:cs="Times New Roman"/>
          <w:sz w:val="16"/>
          <w:szCs w:val="16"/>
          <w:lang w:val="es-ES_tradnl"/>
        </w:rPr>
        <w:t>Á</w:t>
      </w:r>
      <w:r>
        <w:rPr>
          <w:sz w:val="16"/>
          <w:szCs w:val="16"/>
          <w:lang w:val="es-ES_tradnl"/>
        </w:rPr>
        <w:t xml:space="preserve">NDEZ y OMAR JOSUE JARAMILLO </w:t>
      </w:r>
      <w:r>
        <w:rPr>
          <w:spacing w:val="-2"/>
          <w:sz w:val="16"/>
          <w:szCs w:val="16"/>
          <w:lang w:val="es-ES_tradnl"/>
        </w:rPr>
        <w:t>MU</w:t>
      </w:r>
      <w:r>
        <w:rPr>
          <w:rFonts w:cs="Times New Roman"/>
          <w:spacing w:val="-2"/>
          <w:sz w:val="16"/>
          <w:szCs w:val="16"/>
          <w:lang w:val="es-ES_tradnl"/>
        </w:rPr>
        <w:t>Ñ</w:t>
      </w:r>
      <w:r>
        <w:rPr>
          <w:spacing w:val="-2"/>
          <w:sz w:val="16"/>
          <w:szCs w:val="16"/>
          <w:lang w:val="es-ES_tradnl"/>
        </w:rPr>
        <w:t>ETONEZ paguen al actor MARIO JAVIER VILLAC</w:t>
      </w:r>
      <w:r>
        <w:rPr>
          <w:rFonts w:cs="Times New Roman"/>
          <w:spacing w:val="-2"/>
          <w:sz w:val="16"/>
          <w:szCs w:val="16"/>
          <w:lang w:val="es-ES_tradnl"/>
        </w:rPr>
        <w:t>Í</w:t>
      </w:r>
      <w:r>
        <w:rPr>
          <w:spacing w:val="-2"/>
          <w:sz w:val="16"/>
          <w:szCs w:val="16"/>
          <w:lang w:val="es-ES_tradnl"/>
        </w:rPr>
        <w:t xml:space="preserve">S </w:t>
      </w:r>
      <w:r>
        <w:rPr>
          <w:spacing w:val="-6"/>
          <w:sz w:val="16"/>
          <w:szCs w:val="16"/>
          <w:lang w:val="es-ES_tradnl"/>
        </w:rPr>
        <w:t>GARC</w:t>
      </w:r>
      <w:r>
        <w:rPr>
          <w:rFonts w:cs="Times New Roman"/>
          <w:spacing w:val="-6"/>
          <w:sz w:val="16"/>
          <w:szCs w:val="16"/>
          <w:lang w:val="es-ES_tradnl"/>
        </w:rPr>
        <w:t>Í</w:t>
      </w:r>
      <w:r>
        <w:rPr>
          <w:spacing w:val="-6"/>
          <w:sz w:val="16"/>
          <w:szCs w:val="16"/>
          <w:lang w:val="es-ES_tradnl"/>
        </w:rPr>
        <w:t xml:space="preserve">A los valores determinados en los Considerandos de </w:t>
      </w:r>
      <w:r>
        <w:rPr>
          <w:spacing w:val="-5"/>
          <w:sz w:val="16"/>
          <w:szCs w:val="16"/>
          <w:lang w:val="es-ES_tradnl"/>
        </w:rPr>
        <w:t>este fallo, que sumados dan una liquidaci</w:t>
      </w:r>
      <w:r>
        <w:rPr>
          <w:rFonts w:cs="Times New Roman"/>
          <w:spacing w:val="-5"/>
          <w:sz w:val="16"/>
          <w:szCs w:val="16"/>
          <w:lang w:val="es-ES_tradnl"/>
        </w:rPr>
        <w:t>ó</w:t>
      </w:r>
      <w:r>
        <w:rPr>
          <w:spacing w:val="-5"/>
          <w:sz w:val="16"/>
          <w:szCs w:val="16"/>
          <w:lang w:val="es-ES_tradnl"/>
        </w:rPr>
        <w:t xml:space="preserve">n total de USD. </w:t>
      </w:r>
      <w:r>
        <w:rPr>
          <w:sz w:val="16"/>
          <w:szCs w:val="16"/>
          <w:lang w:val="es-ES_tradnl"/>
        </w:rPr>
        <w:t>$8.778,43.</w:t>
      </w:r>
    </w:p>
    <w:p w14:paraId="4F67BC2E" w14:textId="77777777" w:rsidR="00591D54" w:rsidRDefault="00591D54">
      <w:pPr>
        <w:shd w:val="clear" w:color="auto" w:fill="FFFFFF"/>
        <w:spacing w:before="202"/>
      </w:pPr>
      <w:r>
        <w:rPr>
          <w:b/>
          <w:bCs/>
          <w:spacing w:val="-8"/>
          <w:sz w:val="18"/>
          <w:szCs w:val="18"/>
          <w:lang w:val="es-ES_tradnl"/>
        </w:rPr>
        <w:t>Detalle de la demanda</w:t>
      </w:r>
    </w:p>
    <w:p w14:paraId="4F67BC2F" w14:textId="77777777" w:rsidR="00591D54" w:rsidRDefault="00591D54">
      <w:pPr>
        <w:shd w:val="clear" w:color="auto" w:fill="FFFFFF"/>
        <w:spacing w:before="197" w:line="216" w:lineRule="exact"/>
        <w:ind w:right="5"/>
        <w:jc w:val="both"/>
      </w:pPr>
      <w:r>
        <w:rPr>
          <w:spacing w:val="-9"/>
          <w:sz w:val="18"/>
          <w:szCs w:val="18"/>
          <w:lang w:val="es-ES_tradnl"/>
        </w:rPr>
        <w:t xml:space="preserve">Como puntos principales de la demanda se encuentran los </w:t>
      </w:r>
      <w:r>
        <w:rPr>
          <w:sz w:val="18"/>
          <w:szCs w:val="18"/>
          <w:lang w:val="es-ES_tradnl"/>
        </w:rPr>
        <w:t>siguientes:</w:t>
      </w:r>
    </w:p>
    <w:p w14:paraId="4F67BC30" w14:textId="77777777" w:rsidR="00591D54" w:rsidRDefault="00591D54">
      <w:pPr>
        <w:shd w:val="clear" w:color="auto" w:fill="FFFFFF"/>
        <w:spacing w:before="197" w:line="216" w:lineRule="exact"/>
        <w:ind w:right="5"/>
        <w:jc w:val="both"/>
        <w:sectPr w:rsidR="00591D54">
          <w:type w:val="continuous"/>
          <w:pgSz w:w="11909" w:h="16834"/>
          <w:pgMar w:top="1371" w:right="1304" w:bottom="360" w:left="1308" w:header="720" w:footer="720" w:gutter="0"/>
          <w:cols w:num="2" w:space="720" w:equalWidth="0">
            <w:col w:w="4305" w:space="682"/>
            <w:col w:w="4310"/>
          </w:cols>
          <w:noEndnote/>
        </w:sectPr>
      </w:pPr>
    </w:p>
    <w:p w14:paraId="4F67BC31" w14:textId="77777777" w:rsidR="00591D54" w:rsidRDefault="00591D54">
      <w:pPr>
        <w:shd w:val="clear" w:color="auto" w:fill="FFFFFF"/>
        <w:tabs>
          <w:tab w:val="left" w:pos="4814"/>
        </w:tabs>
        <w:spacing w:after="230"/>
        <w:ind w:left="14"/>
      </w:pPr>
      <w:r>
        <w:rPr>
          <w:b/>
          <w:bCs/>
          <w:sz w:val="18"/>
          <w:szCs w:val="18"/>
          <w:lang w:val="es-ES_tradnl"/>
        </w:rPr>
        <w:t xml:space="preserve">300 -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C32" w14:textId="77777777" w:rsidR="00591D54" w:rsidRDefault="00591D54">
      <w:pPr>
        <w:shd w:val="clear" w:color="auto" w:fill="FFFFFF"/>
        <w:tabs>
          <w:tab w:val="left" w:pos="4814"/>
        </w:tabs>
        <w:spacing w:after="230"/>
        <w:ind w:left="14"/>
        <w:sectPr w:rsidR="00591D54">
          <w:pgSz w:w="11909" w:h="16834"/>
          <w:pgMar w:top="1361" w:right="1309" w:bottom="360" w:left="1308" w:header="720" w:footer="720" w:gutter="0"/>
          <w:cols w:space="60"/>
          <w:noEndnote/>
        </w:sectPr>
      </w:pPr>
    </w:p>
    <w:p w14:paraId="4F67BC33" w14:textId="77777777" w:rsidR="00591D54" w:rsidRDefault="00591D54">
      <w:pPr>
        <w:shd w:val="clear" w:color="auto" w:fill="FFFFFF"/>
        <w:spacing w:before="5" w:line="226" w:lineRule="exact"/>
        <w:jc w:val="both"/>
      </w:pPr>
      <w:r>
        <w:rPr>
          <w:spacing w:val="-4"/>
          <w:sz w:val="18"/>
          <w:szCs w:val="18"/>
          <w:lang w:val="es-ES_tradnl"/>
        </w:rPr>
        <w:t>Los accionantes, Emperatriz Mu</w:t>
      </w:r>
      <w:r>
        <w:rPr>
          <w:rFonts w:cs="Times New Roman"/>
          <w:spacing w:val="-4"/>
          <w:sz w:val="18"/>
          <w:szCs w:val="18"/>
          <w:lang w:val="es-ES_tradnl"/>
        </w:rPr>
        <w:t>ñ</w:t>
      </w:r>
      <w:r>
        <w:rPr>
          <w:spacing w:val="-4"/>
          <w:sz w:val="18"/>
          <w:szCs w:val="18"/>
          <w:lang w:val="es-ES_tradnl"/>
        </w:rPr>
        <w:t>etones Hern</w:t>
      </w:r>
      <w:r>
        <w:rPr>
          <w:rFonts w:cs="Times New Roman"/>
          <w:spacing w:val="-4"/>
          <w:sz w:val="18"/>
          <w:szCs w:val="18"/>
          <w:lang w:val="es-ES_tradnl"/>
        </w:rPr>
        <w:t>á</w:t>
      </w:r>
      <w:r>
        <w:rPr>
          <w:spacing w:val="-4"/>
          <w:sz w:val="18"/>
          <w:szCs w:val="18"/>
          <w:lang w:val="es-ES_tradnl"/>
        </w:rPr>
        <w:t xml:space="preserve">ndez y </w:t>
      </w:r>
      <w:r>
        <w:rPr>
          <w:spacing w:val="-10"/>
          <w:sz w:val="18"/>
          <w:szCs w:val="18"/>
          <w:lang w:val="es-ES_tradnl"/>
        </w:rPr>
        <w:t>Omar Josu</w:t>
      </w:r>
      <w:r>
        <w:rPr>
          <w:rFonts w:cs="Times New Roman"/>
          <w:spacing w:val="-10"/>
          <w:sz w:val="18"/>
          <w:szCs w:val="18"/>
          <w:lang w:val="es-ES_tradnl"/>
        </w:rPr>
        <w:t>é</w:t>
      </w:r>
      <w:r>
        <w:rPr>
          <w:spacing w:val="-10"/>
          <w:sz w:val="18"/>
          <w:szCs w:val="18"/>
          <w:lang w:val="es-ES_tradnl"/>
        </w:rPr>
        <w:t xml:space="preserve"> Jaramillo Mu</w:t>
      </w:r>
      <w:r>
        <w:rPr>
          <w:rFonts w:cs="Times New Roman"/>
          <w:spacing w:val="-10"/>
          <w:sz w:val="18"/>
          <w:szCs w:val="18"/>
          <w:lang w:val="es-ES_tradnl"/>
        </w:rPr>
        <w:t>ñ</w:t>
      </w:r>
      <w:r>
        <w:rPr>
          <w:spacing w:val="-10"/>
          <w:sz w:val="18"/>
          <w:szCs w:val="18"/>
          <w:lang w:val="es-ES_tradnl"/>
        </w:rPr>
        <w:t>etones, manifiestan que el se</w:t>
      </w:r>
      <w:r>
        <w:rPr>
          <w:rFonts w:cs="Times New Roman"/>
          <w:spacing w:val="-10"/>
          <w:sz w:val="18"/>
          <w:szCs w:val="18"/>
          <w:lang w:val="es-ES_tradnl"/>
        </w:rPr>
        <w:t>ñ</w:t>
      </w:r>
      <w:r>
        <w:rPr>
          <w:spacing w:val="-10"/>
          <w:sz w:val="18"/>
          <w:szCs w:val="18"/>
          <w:lang w:val="es-ES_tradnl"/>
        </w:rPr>
        <w:t xml:space="preserve">or </w:t>
      </w:r>
      <w:r>
        <w:rPr>
          <w:spacing w:val="-7"/>
          <w:sz w:val="18"/>
          <w:szCs w:val="18"/>
          <w:lang w:val="es-ES_tradnl"/>
        </w:rPr>
        <w:t>Mario Javier Garc</w:t>
      </w:r>
      <w:r>
        <w:rPr>
          <w:rFonts w:cs="Times New Roman"/>
          <w:spacing w:val="-7"/>
          <w:sz w:val="18"/>
          <w:szCs w:val="18"/>
          <w:lang w:val="es-ES_tradnl"/>
        </w:rPr>
        <w:t>í</w:t>
      </w:r>
      <w:r>
        <w:rPr>
          <w:spacing w:val="-7"/>
          <w:sz w:val="18"/>
          <w:szCs w:val="18"/>
          <w:lang w:val="es-ES_tradnl"/>
        </w:rPr>
        <w:t>a trabaj</w:t>
      </w:r>
      <w:r>
        <w:rPr>
          <w:rFonts w:cs="Times New Roman"/>
          <w:spacing w:val="-7"/>
          <w:sz w:val="18"/>
          <w:szCs w:val="18"/>
          <w:lang w:val="es-ES_tradnl"/>
        </w:rPr>
        <w:t>ó</w:t>
      </w:r>
      <w:r>
        <w:rPr>
          <w:spacing w:val="-7"/>
          <w:sz w:val="18"/>
          <w:szCs w:val="18"/>
          <w:lang w:val="es-ES_tradnl"/>
        </w:rPr>
        <w:t xml:space="preserve"> para la compa</w:t>
      </w:r>
      <w:r>
        <w:rPr>
          <w:rFonts w:cs="Times New Roman"/>
          <w:spacing w:val="-7"/>
          <w:sz w:val="18"/>
          <w:szCs w:val="18"/>
          <w:lang w:val="es-ES_tradnl"/>
        </w:rPr>
        <w:t>ñí</w:t>
      </w:r>
      <w:r>
        <w:rPr>
          <w:spacing w:val="-7"/>
          <w:sz w:val="18"/>
          <w:szCs w:val="18"/>
          <w:lang w:val="es-ES_tradnl"/>
        </w:rPr>
        <w:t>a S</w:t>
      </w:r>
      <w:r>
        <w:rPr>
          <w:rFonts w:cs="Times New Roman"/>
          <w:spacing w:val="-7"/>
          <w:sz w:val="18"/>
          <w:szCs w:val="18"/>
          <w:lang w:val="es-ES_tradnl"/>
        </w:rPr>
        <w:t>´</w:t>
      </w:r>
      <w:r>
        <w:rPr>
          <w:spacing w:val="-7"/>
          <w:sz w:val="18"/>
          <w:szCs w:val="18"/>
          <w:lang w:val="es-ES_tradnl"/>
        </w:rPr>
        <w:t>panes, y desconocen los motivos por los que dej</w:t>
      </w:r>
      <w:r>
        <w:rPr>
          <w:rFonts w:cs="Times New Roman"/>
          <w:spacing w:val="-7"/>
          <w:sz w:val="18"/>
          <w:szCs w:val="18"/>
          <w:lang w:val="es-ES_tradnl"/>
        </w:rPr>
        <w:t>ó</w:t>
      </w:r>
      <w:r>
        <w:rPr>
          <w:spacing w:val="-7"/>
          <w:sz w:val="18"/>
          <w:szCs w:val="18"/>
          <w:lang w:val="es-ES_tradnl"/>
        </w:rPr>
        <w:t xml:space="preserve"> de trabajar. Sin </w:t>
      </w:r>
      <w:r>
        <w:rPr>
          <w:spacing w:val="-8"/>
          <w:sz w:val="18"/>
          <w:szCs w:val="18"/>
          <w:lang w:val="es-ES_tradnl"/>
        </w:rPr>
        <w:t xml:space="preserve">embargo, aseguran que fue por casualidad que el 20 de </w:t>
      </w:r>
      <w:r>
        <w:rPr>
          <w:spacing w:val="-9"/>
          <w:sz w:val="18"/>
          <w:szCs w:val="18"/>
          <w:lang w:val="es-ES_tradnl"/>
        </w:rPr>
        <w:t>diciembre de 2011, toman conocimiento del proceso laboral instaurado en su contra por el ex trabajador de la compa</w:t>
      </w:r>
      <w:r>
        <w:rPr>
          <w:rFonts w:cs="Times New Roman"/>
          <w:spacing w:val="-9"/>
          <w:sz w:val="18"/>
          <w:szCs w:val="18"/>
          <w:lang w:val="es-ES_tradnl"/>
        </w:rPr>
        <w:t>ñí</w:t>
      </w:r>
      <w:r>
        <w:rPr>
          <w:spacing w:val="-9"/>
          <w:sz w:val="18"/>
          <w:szCs w:val="18"/>
          <w:lang w:val="es-ES_tradnl"/>
        </w:rPr>
        <w:t>a.</w:t>
      </w:r>
    </w:p>
    <w:p w14:paraId="4F67BC34" w14:textId="77777777" w:rsidR="00591D54" w:rsidRDefault="00591D54">
      <w:pPr>
        <w:shd w:val="clear" w:color="auto" w:fill="FFFFFF"/>
        <w:spacing w:before="206" w:line="226" w:lineRule="exact"/>
        <w:jc w:val="both"/>
      </w:pPr>
      <w:r>
        <w:rPr>
          <w:spacing w:val="-7"/>
          <w:sz w:val="18"/>
          <w:szCs w:val="18"/>
          <w:lang w:val="es-ES_tradnl"/>
        </w:rPr>
        <w:t xml:space="preserve">Adicionalmente, los legitimados activos mencionan que no </w:t>
      </w:r>
      <w:r>
        <w:rPr>
          <w:spacing w:val="-9"/>
          <w:sz w:val="18"/>
          <w:szCs w:val="18"/>
          <w:lang w:val="es-ES_tradnl"/>
        </w:rPr>
        <w:t xml:space="preserve">fueron citados con la demanda realizada en su contra, y que </w:t>
      </w:r>
      <w:r>
        <w:rPr>
          <w:spacing w:val="-10"/>
          <w:sz w:val="18"/>
          <w:szCs w:val="18"/>
          <w:lang w:val="es-ES_tradnl"/>
        </w:rPr>
        <w:t xml:space="preserve">a pesar de que en el proceso constan las razones realizadas </w:t>
      </w:r>
      <w:r>
        <w:rPr>
          <w:spacing w:val="-6"/>
          <w:sz w:val="18"/>
          <w:szCs w:val="18"/>
          <w:lang w:val="es-ES_tradnl"/>
        </w:rPr>
        <w:t xml:space="preserve">por el citador, las mismas que fueron entregados a </w:t>
      </w:r>
      <w:r>
        <w:rPr>
          <w:rFonts w:cs="Times New Roman"/>
          <w:i/>
          <w:iCs/>
          <w:spacing w:val="-6"/>
          <w:sz w:val="18"/>
          <w:szCs w:val="18"/>
          <w:lang w:val="es-ES_tradnl"/>
        </w:rPr>
        <w:t>“</w:t>
      </w:r>
      <w:r>
        <w:rPr>
          <w:i/>
          <w:iCs/>
          <w:spacing w:val="-6"/>
          <w:sz w:val="18"/>
          <w:szCs w:val="18"/>
          <w:lang w:val="es-ES_tradnl"/>
        </w:rPr>
        <w:t xml:space="preserve">un </w:t>
      </w:r>
      <w:r>
        <w:rPr>
          <w:i/>
          <w:iCs/>
          <w:spacing w:val="-8"/>
          <w:sz w:val="18"/>
          <w:szCs w:val="18"/>
          <w:lang w:val="es-ES_tradnl"/>
        </w:rPr>
        <w:t>empleado</w:t>
      </w:r>
      <w:r>
        <w:rPr>
          <w:rFonts w:cs="Times New Roman"/>
          <w:i/>
          <w:iCs/>
          <w:spacing w:val="-8"/>
          <w:sz w:val="18"/>
          <w:szCs w:val="18"/>
          <w:lang w:val="es-ES_tradnl"/>
        </w:rPr>
        <w:t>”</w:t>
      </w:r>
      <w:r>
        <w:rPr>
          <w:spacing w:val="-8"/>
          <w:sz w:val="18"/>
          <w:szCs w:val="18"/>
          <w:lang w:val="es-ES_tradnl"/>
        </w:rPr>
        <w:t xml:space="preserve">, </w:t>
      </w:r>
      <w:r>
        <w:rPr>
          <w:rFonts w:cs="Times New Roman"/>
          <w:spacing w:val="-8"/>
          <w:sz w:val="18"/>
          <w:szCs w:val="18"/>
          <w:lang w:val="es-ES_tradnl"/>
        </w:rPr>
        <w:t>é</w:t>
      </w:r>
      <w:r>
        <w:rPr>
          <w:spacing w:val="-8"/>
          <w:sz w:val="18"/>
          <w:szCs w:val="18"/>
          <w:lang w:val="es-ES_tradnl"/>
        </w:rPr>
        <w:t xml:space="preserve">stas nunca fueron entregadas a su destino. </w:t>
      </w:r>
      <w:r>
        <w:rPr>
          <w:spacing w:val="-7"/>
          <w:sz w:val="18"/>
          <w:szCs w:val="18"/>
          <w:lang w:val="es-ES_tradnl"/>
        </w:rPr>
        <w:t xml:space="preserve">Manifestando con lo mencionado que los accionantes no </w:t>
      </w:r>
      <w:r>
        <w:rPr>
          <w:spacing w:val="-5"/>
          <w:sz w:val="18"/>
          <w:szCs w:val="18"/>
          <w:lang w:val="es-ES_tradnl"/>
        </w:rPr>
        <w:t>recibieron tales boletas y que se les impidi</w:t>
      </w:r>
      <w:r>
        <w:rPr>
          <w:rFonts w:cs="Times New Roman"/>
          <w:spacing w:val="-5"/>
          <w:sz w:val="18"/>
          <w:szCs w:val="18"/>
          <w:lang w:val="es-ES_tradnl"/>
        </w:rPr>
        <w:t>ó</w:t>
      </w:r>
      <w:r>
        <w:rPr>
          <w:spacing w:val="-5"/>
          <w:sz w:val="18"/>
          <w:szCs w:val="18"/>
          <w:lang w:val="es-ES_tradnl"/>
        </w:rPr>
        <w:t xml:space="preserve"> ejercer su </w:t>
      </w:r>
      <w:r>
        <w:rPr>
          <w:spacing w:val="-9"/>
          <w:sz w:val="18"/>
          <w:szCs w:val="18"/>
          <w:lang w:val="es-ES_tradnl"/>
        </w:rPr>
        <w:t>derecho a la defensa. Alegan adem</w:t>
      </w:r>
      <w:r>
        <w:rPr>
          <w:rFonts w:cs="Times New Roman"/>
          <w:spacing w:val="-9"/>
          <w:sz w:val="18"/>
          <w:szCs w:val="18"/>
          <w:lang w:val="es-ES_tradnl"/>
        </w:rPr>
        <w:t>á</w:t>
      </w:r>
      <w:r>
        <w:rPr>
          <w:spacing w:val="-9"/>
          <w:sz w:val="18"/>
          <w:szCs w:val="18"/>
          <w:lang w:val="es-ES_tradnl"/>
        </w:rPr>
        <w:t>s, que existi</w:t>
      </w:r>
      <w:r>
        <w:rPr>
          <w:rFonts w:cs="Times New Roman"/>
          <w:spacing w:val="-9"/>
          <w:sz w:val="18"/>
          <w:szCs w:val="18"/>
          <w:lang w:val="es-ES_tradnl"/>
        </w:rPr>
        <w:t>ó</w:t>
      </w:r>
      <w:r>
        <w:rPr>
          <w:spacing w:val="-9"/>
          <w:sz w:val="18"/>
          <w:szCs w:val="18"/>
          <w:lang w:val="es-ES_tradnl"/>
        </w:rPr>
        <w:t xml:space="preserve"> falsedad </w:t>
      </w:r>
      <w:r>
        <w:rPr>
          <w:spacing w:val="-4"/>
          <w:sz w:val="18"/>
          <w:szCs w:val="18"/>
          <w:lang w:val="es-ES_tradnl"/>
        </w:rPr>
        <w:t xml:space="preserve">en las razones emitidas por el citador, ya que no consta </w:t>
      </w:r>
      <w:r>
        <w:rPr>
          <w:spacing w:val="-5"/>
          <w:sz w:val="18"/>
          <w:szCs w:val="18"/>
          <w:lang w:val="es-ES_tradnl"/>
        </w:rPr>
        <w:t>el nombre del empleado que recibi</w:t>
      </w:r>
      <w:r>
        <w:rPr>
          <w:rFonts w:cs="Times New Roman"/>
          <w:spacing w:val="-5"/>
          <w:sz w:val="18"/>
          <w:szCs w:val="18"/>
          <w:lang w:val="es-ES_tradnl"/>
        </w:rPr>
        <w:t>ó</w:t>
      </w:r>
      <w:r>
        <w:rPr>
          <w:spacing w:val="-5"/>
          <w:sz w:val="18"/>
          <w:szCs w:val="18"/>
          <w:lang w:val="es-ES_tradnl"/>
        </w:rPr>
        <w:t xml:space="preserve"> las boletas ni firma </w:t>
      </w:r>
      <w:r>
        <w:rPr>
          <w:spacing w:val="-7"/>
          <w:sz w:val="18"/>
          <w:szCs w:val="18"/>
          <w:lang w:val="es-ES_tradnl"/>
        </w:rPr>
        <w:t>alguna, que justifique que la diligencia se llev</w:t>
      </w:r>
      <w:r>
        <w:rPr>
          <w:rFonts w:cs="Times New Roman"/>
          <w:spacing w:val="-7"/>
          <w:sz w:val="18"/>
          <w:szCs w:val="18"/>
          <w:lang w:val="es-ES_tradnl"/>
        </w:rPr>
        <w:t>ó</w:t>
      </w:r>
      <w:r>
        <w:rPr>
          <w:spacing w:val="-7"/>
          <w:sz w:val="18"/>
          <w:szCs w:val="18"/>
          <w:lang w:val="es-ES_tradnl"/>
        </w:rPr>
        <w:t xml:space="preserve"> a acabo, y </w:t>
      </w:r>
      <w:r>
        <w:rPr>
          <w:spacing w:val="-9"/>
          <w:sz w:val="18"/>
          <w:szCs w:val="18"/>
          <w:lang w:val="es-ES_tradnl"/>
        </w:rPr>
        <w:t>que en la sentencia que ahora impugnan se se</w:t>
      </w:r>
      <w:r>
        <w:rPr>
          <w:rFonts w:cs="Times New Roman"/>
          <w:spacing w:val="-9"/>
          <w:sz w:val="18"/>
          <w:szCs w:val="18"/>
          <w:lang w:val="es-ES_tradnl"/>
        </w:rPr>
        <w:t>ñ</w:t>
      </w:r>
      <w:r>
        <w:rPr>
          <w:spacing w:val="-9"/>
          <w:sz w:val="18"/>
          <w:szCs w:val="18"/>
          <w:lang w:val="es-ES_tradnl"/>
        </w:rPr>
        <w:t xml:space="preserve">ala que los </w:t>
      </w:r>
      <w:r>
        <w:rPr>
          <w:spacing w:val="-8"/>
          <w:sz w:val="18"/>
          <w:szCs w:val="18"/>
          <w:lang w:val="es-ES_tradnl"/>
        </w:rPr>
        <w:t>demandados, es decir, los ahora accionantes de la acci</w:t>
      </w:r>
      <w:r>
        <w:rPr>
          <w:rFonts w:cs="Times New Roman"/>
          <w:spacing w:val="-8"/>
          <w:sz w:val="18"/>
          <w:szCs w:val="18"/>
          <w:lang w:val="es-ES_tradnl"/>
        </w:rPr>
        <w:t>ó</w:t>
      </w:r>
      <w:r>
        <w:rPr>
          <w:spacing w:val="-8"/>
          <w:sz w:val="18"/>
          <w:szCs w:val="18"/>
          <w:lang w:val="es-ES_tradnl"/>
        </w:rPr>
        <w:t xml:space="preserve">n </w:t>
      </w:r>
      <w:r>
        <w:rPr>
          <w:spacing w:val="-6"/>
          <w:sz w:val="18"/>
          <w:szCs w:val="18"/>
          <w:lang w:val="es-ES_tradnl"/>
        </w:rPr>
        <w:t>extraordinaria de protecci</w:t>
      </w:r>
      <w:r>
        <w:rPr>
          <w:rFonts w:cs="Times New Roman"/>
          <w:spacing w:val="-6"/>
          <w:sz w:val="18"/>
          <w:szCs w:val="18"/>
          <w:lang w:val="es-ES_tradnl"/>
        </w:rPr>
        <w:t>ó</w:t>
      </w:r>
      <w:r>
        <w:rPr>
          <w:spacing w:val="-6"/>
          <w:sz w:val="18"/>
          <w:szCs w:val="18"/>
          <w:lang w:val="es-ES_tradnl"/>
        </w:rPr>
        <w:t>n se</w:t>
      </w:r>
      <w:r>
        <w:rPr>
          <w:rFonts w:cs="Times New Roman"/>
          <w:spacing w:val="-6"/>
          <w:sz w:val="18"/>
          <w:szCs w:val="18"/>
          <w:lang w:val="es-ES_tradnl"/>
        </w:rPr>
        <w:t>ñ</w:t>
      </w:r>
      <w:r>
        <w:rPr>
          <w:spacing w:val="-6"/>
          <w:sz w:val="18"/>
          <w:szCs w:val="18"/>
          <w:lang w:val="es-ES_tradnl"/>
        </w:rPr>
        <w:t>alan casillero judicial.</w:t>
      </w:r>
    </w:p>
    <w:p w14:paraId="4F67BC35" w14:textId="77777777" w:rsidR="00591D54" w:rsidRDefault="00591D54">
      <w:pPr>
        <w:shd w:val="clear" w:color="auto" w:fill="FFFFFF"/>
        <w:spacing w:before="206" w:line="226" w:lineRule="exact"/>
        <w:ind w:right="5"/>
        <w:jc w:val="both"/>
      </w:pPr>
      <w:r>
        <w:rPr>
          <w:spacing w:val="-7"/>
          <w:sz w:val="18"/>
          <w:szCs w:val="18"/>
          <w:lang w:val="es-ES_tradnl"/>
        </w:rPr>
        <w:t xml:space="preserve">Para esta </w:t>
      </w:r>
      <w:r>
        <w:rPr>
          <w:rFonts w:cs="Times New Roman"/>
          <w:spacing w:val="-7"/>
          <w:sz w:val="18"/>
          <w:szCs w:val="18"/>
          <w:lang w:val="es-ES_tradnl"/>
        </w:rPr>
        <w:t>ú</w:t>
      </w:r>
      <w:r>
        <w:rPr>
          <w:spacing w:val="-7"/>
          <w:sz w:val="18"/>
          <w:szCs w:val="18"/>
          <w:lang w:val="es-ES_tradnl"/>
        </w:rPr>
        <w:t>ltima afirmaci</w:t>
      </w:r>
      <w:r>
        <w:rPr>
          <w:rFonts w:cs="Times New Roman"/>
          <w:spacing w:val="-7"/>
          <w:sz w:val="18"/>
          <w:szCs w:val="18"/>
          <w:lang w:val="es-ES_tradnl"/>
        </w:rPr>
        <w:t>ó</w:t>
      </w:r>
      <w:r>
        <w:rPr>
          <w:spacing w:val="-7"/>
          <w:sz w:val="18"/>
          <w:szCs w:val="18"/>
          <w:lang w:val="es-ES_tradnl"/>
        </w:rPr>
        <w:t xml:space="preserve">n, los accionantes manifiestan </w:t>
      </w:r>
      <w:r>
        <w:rPr>
          <w:spacing w:val="-6"/>
          <w:sz w:val="18"/>
          <w:szCs w:val="18"/>
          <w:lang w:val="es-ES_tradnl"/>
        </w:rPr>
        <w:t xml:space="preserve">que si nunca fueron notificados </w:t>
      </w:r>
      <w:r>
        <w:rPr>
          <w:rFonts w:cs="Times New Roman"/>
          <w:i/>
          <w:iCs/>
          <w:spacing w:val="-6"/>
          <w:sz w:val="18"/>
          <w:szCs w:val="18"/>
          <w:lang w:val="es-ES_tradnl"/>
        </w:rPr>
        <w:t>“…</w:t>
      </w:r>
      <w:r>
        <w:rPr>
          <w:i/>
          <w:iCs/>
          <w:spacing w:val="-6"/>
          <w:sz w:val="18"/>
          <w:szCs w:val="18"/>
          <w:lang w:val="es-ES_tradnl"/>
        </w:rPr>
        <w:t>mal pod</w:t>
      </w:r>
      <w:r>
        <w:rPr>
          <w:rFonts w:cs="Times New Roman"/>
          <w:i/>
          <w:iCs/>
          <w:spacing w:val="-6"/>
          <w:sz w:val="18"/>
          <w:szCs w:val="18"/>
          <w:lang w:val="es-ES_tradnl"/>
        </w:rPr>
        <w:t>í</w:t>
      </w:r>
      <w:r>
        <w:rPr>
          <w:i/>
          <w:iCs/>
          <w:spacing w:val="-6"/>
          <w:sz w:val="18"/>
          <w:szCs w:val="18"/>
          <w:lang w:val="es-ES_tradnl"/>
        </w:rPr>
        <w:t xml:space="preserve">amos haber </w:t>
      </w:r>
      <w:r>
        <w:rPr>
          <w:i/>
          <w:iCs/>
          <w:spacing w:val="-1"/>
          <w:sz w:val="18"/>
          <w:szCs w:val="18"/>
          <w:lang w:val="es-ES_tradnl"/>
        </w:rPr>
        <w:t>se</w:t>
      </w:r>
      <w:r>
        <w:rPr>
          <w:rFonts w:cs="Times New Roman"/>
          <w:i/>
          <w:iCs/>
          <w:spacing w:val="-1"/>
          <w:sz w:val="18"/>
          <w:szCs w:val="18"/>
          <w:lang w:val="es-ES_tradnl"/>
        </w:rPr>
        <w:t>ñ</w:t>
      </w:r>
      <w:r>
        <w:rPr>
          <w:i/>
          <w:iCs/>
          <w:spacing w:val="-1"/>
          <w:sz w:val="18"/>
          <w:szCs w:val="18"/>
          <w:lang w:val="es-ES_tradnl"/>
        </w:rPr>
        <w:t>alado casillero judicial. A fojas 8, que se</w:t>
      </w:r>
      <w:r>
        <w:rPr>
          <w:rFonts w:cs="Times New Roman"/>
          <w:i/>
          <w:iCs/>
          <w:spacing w:val="-1"/>
          <w:sz w:val="18"/>
          <w:szCs w:val="18"/>
          <w:lang w:val="es-ES_tradnl"/>
        </w:rPr>
        <w:t>ñ</w:t>
      </w:r>
      <w:r>
        <w:rPr>
          <w:i/>
          <w:iCs/>
          <w:spacing w:val="-1"/>
          <w:sz w:val="18"/>
          <w:szCs w:val="18"/>
          <w:lang w:val="es-ES_tradnl"/>
        </w:rPr>
        <w:t xml:space="preserve">ala la </w:t>
      </w:r>
      <w:r>
        <w:rPr>
          <w:i/>
          <w:iCs/>
          <w:spacing w:val="-7"/>
          <w:sz w:val="18"/>
          <w:szCs w:val="18"/>
          <w:lang w:val="es-ES_tradnl"/>
        </w:rPr>
        <w:t xml:space="preserve">sentencia, consta providencia en la que la Jueza avoca </w:t>
      </w:r>
      <w:r>
        <w:rPr>
          <w:i/>
          <w:iCs/>
          <w:spacing w:val="-8"/>
          <w:sz w:val="18"/>
          <w:szCs w:val="18"/>
          <w:lang w:val="es-ES_tradnl"/>
        </w:rPr>
        <w:t xml:space="preserve">conocimiento de la causa y manda el proceso a la Sala de </w:t>
      </w:r>
      <w:r>
        <w:rPr>
          <w:i/>
          <w:iCs/>
          <w:spacing w:val="-6"/>
          <w:sz w:val="18"/>
          <w:szCs w:val="18"/>
          <w:lang w:val="es-ES_tradnl"/>
        </w:rPr>
        <w:t>Citaciones, no consta el se</w:t>
      </w:r>
      <w:r>
        <w:rPr>
          <w:rFonts w:cs="Times New Roman"/>
          <w:i/>
          <w:iCs/>
          <w:spacing w:val="-6"/>
          <w:sz w:val="18"/>
          <w:szCs w:val="18"/>
          <w:lang w:val="es-ES_tradnl"/>
        </w:rPr>
        <w:t>ñ</w:t>
      </w:r>
      <w:r>
        <w:rPr>
          <w:i/>
          <w:iCs/>
          <w:spacing w:val="-6"/>
          <w:sz w:val="18"/>
          <w:szCs w:val="18"/>
          <w:lang w:val="es-ES_tradnl"/>
        </w:rPr>
        <w:t>alamiento de casillero</w:t>
      </w:r>
      <w:r>
        <w:rPr>
          <w:rFonts w:cs="Times New Roman"/>
          <w:i/>
          <w:iCs/>
          <w:spacing w:val="-6"/>
          <w:sz w:val="18"/>
          <w:szCs w:val="18"/>
          <w:lang w:val="es-ES_tradnl"/>
        </w:rPr>
        <w:t>…”</w:t>
      </w:r>
    </w:p>
    <w:p w14:paraId="4F67BC36" w14:textId="77777777" w:rsidR="00591D54" w:rsidRDefault="00591D54">
      <w:pPr>
        <w:shd w:val="clear" w:color="auto" w:fill="FFFFFF"/>
        <w:spacing w:before="206"/>
      </w:pPr>
      <w:r>
        <w:rPr>
          <w:spacing w:val="-7"/>
          <w:sz w:val="18"/>
          <w:szCs w:val="18"/>
          <w:lang w:val="es-ES_tradnl"/>
        </w:rPr>
        <w:t>Manifiestan lo siguiente:</w:t>
      </w:r>
    </w:p>
    <w:p w14:paraId="4F67BC37" w14:textId="77777777" w:rsidR="00591D54" w:rsidRDefault="00591D54">
      <w:pPr>
        <w:shd w:val="clear" w:color="auto" w:fill="FFFFFF"/>
        <w:spacing w:before="206" w:line="226" w:lineRule="exact"/>
        <w:ind w:left="283" w:right="5"/>
        <w:jc w:val="both"/>
      </w:pPr>
      <w:r>
        <w:rPr>
          <w:spacing w:val="-3"/>
          <w:sz w:val="16"/>
          <w:szCs w:val="16"/>
          <w:lang w:val="es-ES_tradnl"/>
        </w:rPr>
        <w:t xml:space="preserve">Nosotros NO fuimos notificados, NUNCA recibimos las </w:t>
      </w:r>
      <w:r>
        <w:rPr>
          <w:spacing w:val="-6"/>
          <w:sz w:val="16"/>
          <w:szCs w:val="16"/>
          <w:lang w:val="es-ES_tradnl"/>
        </w:rPr>
        <w:t xml:space="preserve">boletas. No pudimos defendernos a lo largo del proceso, por </w:t>
      </w:r>
      <w:r>
        <w:rPr>
          <w:spacing w:val="-7"/>
          <w:sz w:val="16"/>
          <w:szCs w:val="16"/>
          <w:lang w:val="es-ES_tradnl"/>
        </w:rPr>
        <w:t>lo tanto, no pudimos se</w:t>
      </w:r>
      <w:r>
        <w:rPr>
          <w:rFonts w:cs="Times New Roman"/>
          <w:spacing w:val="-7"/>
          <w:sz w:val="16"/>
          <w:szCs w:val="16"/>
          <w:lang w:val="es-ES_tradnl"/>
        </w:rPr>
        <w:t>ñ</w:t>
      </w:r>
      <w:r>
        <w:rPr>
          <w:spacing w:val="-7"/>
          <w:sz w:val="16"/>
          <w:szCs w:val="16"/>
          <w:lang w:val="es-ES_tradnl"/>
        </w:rPr>
        <w:t xml:space="preserve">alar casillero, contestar la demanda, </w:t>
      </w:r>
      <w:r>
        <w:rPr>
          <w:spacing w:val="-6"/>
          <w:sz w:val="16"/>
          <w:szCs w:val="16"/>
          <w:lang w:val="es-ES_tradnl"/>
        </w:rPr>
        <w:t>concurrir a la audiencia de conciliaci</w:t>
      </w:r>
      <w:r>
        <w:rPr>
          <w:rFonts w:cs="Times New Roman"/>
          <w:spacing w:val="-6"/>
          <w:sz w:val="16"/>
          <w:szCs w:val="16"/>
          <w:lang w:val="es-ES_tradnl"/>
        </w:rPr>
        <w:t>ó</w:t>
      </w:r>
      <w:r>
        <w:rPr>
          <w:spacing w:val="-6"/>
          <w:sz w:val="16"/>
          <w:szCs w:val="16"/>
          <w:lang w:val="es-ES_tradnl"/>
        </w:rPr>
        <w:t xml:space="preserve">n preliminar y audiencia </w:t>
      </w:r>
      <w:r>
        <w:rPr>
          <w:spacing w:val="-10"/>
          <w:sz w:val="16"/>
          <w:szCs w:val="16"/>
          <w:lang w:val="es-ES_tradnl"/>
        </w:rPr>
        <w:t xml:space="preserve">definitiva, presentar todas las pruebas de descargo, las mismas que obviamente hubieran abonado para que la Jueza tenga otro </w:t>
      </w:r>
      <w:r>
        <w:rPr>
          <w:spacing w:val="-7"/>
          <w:sz w:val="16"/>
          <w:szCs w:val="16"/>
          <w:lang w:val="es-ES_tradnl"/>
        </w:rPr>
        <w:t xml:space="preserve">criterio y no nos condene al pago de una exorbitante suma de </w:t>
      </w:r>
      <w:r>
        <w:rPr>
          <w:sz w:val="16"/>
          <w:szCs w:val="16"/>
          <w:lang w:val="es-ES_tradnl"/>
        </w:rPr>
        <w:t>dinero.</w:t>
      </w:r>
    </w:p>
    <w:p w14:paraId="4F67BC38" w14:textId="77777777" w:rsidR="00591D54" w:rsidRDefault="00591D54">
      <w:pPr>
        <w:shd w:val="clear" w:color="auto" w:fill="FFFFFF"/>
        <w:spacing w:before="211" w:line="226" w:lineRule="exact"/>
        <w:ind w:right="5"/>
        <w:jc w:val="both"/>
      </w:pPr>
      <w:r>
        <w:rPr>
          <w:spacing w:val="-8"/>
          <w:sz w:val="18"/>
          <w:szCs w:val="18"/>
          <w:lang w:val="es-ES_tradnl"/>
        </w:rPr>
        <w:t xml:space="preserve">De la misma manera los accionantes aseguran que no </w:t>
      </w:r>
      <w:r>
        <w:rPr>
          <w:spacing w:val="-10"/>
          <w:sz w:val="18"/>
          <w:szCs w:val="18"/>
          <w:lang w:val="es-ES_tradnl"/>
        </w:rPr>
        <w:t xml:space="preserve">concurrieron a las audiencias convocadas, ya que no fueron </w:t>
      </w:r>
      <w:r>
        <w:rPr>
          <w:spacing w:val="-8"/>
          <w:sz w:val="18"/>
          <w:szCs w:val="18"/>
          <w:lang w:val="es-ES_tradnl"/>
        </w:rPr>
        <w:t xml:space="preserve">debidamente notificados, y sin embargo de lo mencionado consignaron el pago ordenado por el Juzgado Sexto de </w:t>
      </w:r>
      <w:r>
        <w:rPr>
          <w:spacing w:val="-10"/>
          <w:sz w:val="18"/>
          <w:szCs w:val="18"/>
          <w:lang w:val="es-ES_tradnl"/>
        </w:rPr>
        <w:t xml:space="preserve">Trabajo de Pichincha a pesar de encontrarse en desacuerdo </w:t>
      </w:r>
      <w:r>
        <w:rPr>
          <w:spacing w:val="-8"/>
          <w:sz w:val="18"/>
          <w:szCs w:val="18"/>
          <w:lang w:val="es-ES_tradnl"/>
        </w:rPr>
        <w:t xml:space="preserve">con el fallo emitido, para evitar el embargo de los bienes de </w:t>
      </w:r>
      <w:r>
        <w:rPr>
          <w:sz w:val="18"/>
          <w:szCs w:val="18"/>
          <w:lang w:val="es-ES_tradnl"/>
        </w:rPr>
        <w:t>la compa</w:t>
      </w:r>
      <w:r>
        <w:rPr>
          <w:rFonts w:cs="Times New Roman"/>
          <w:sz w:val="18"/>
          <w:szCs w:val="18"/>
          <w:lang w:val="es-ES_tradnl"/>
        </w:rPr>
        <w:t>ñí</w:t>
      </w:r>
      <w:r>
        <w:rPr>
          <w:sz w:val="18"/>
          <w:szCs w:val="18"/>
          <w:lang w:val="es-ES_tradnl"/>
        </w:rPr>
        <w:t>a que administran.</w:t>
      </w:r>
    </w:p>
    <w:p w14:paraId="4F67BC39" w14:textId="77777777" w:rsidR="00591D54" w:rsidRDefault="00591D54">
      <w:pPr>
        <w:shd w:val="clear" w:color="auto" w:fill="FFFFFF"/>
        <w:spacing w:before="202"/>
      </w:pPr>
      <w:r>
        <w:rPr>
          <w:b/>
          <w:bCs/>
          <w:spacing w:val="-11"/>
          <w:sz w:val="18"/>
          <w:szCs w:val="18"/>
          <w:lang w:val="es-ES_tradnl"/>
        </w:rPr>
        <w:t>Derechos presuntamente vulnerados</w:t>
      </w:r>
    </w:p>
    <w:p w14:paraId="4F67BC3A" w14:textId="77777777" w:rsidR="00591D54" w:rsidRDefault="00591D54">
      <w:pPr>
        <w:shd w:val="clear" w:color="auto" w:fill="FFFFFF"/>
        <w:spacing w:before="206" w:line="226" w:lineRule="exact"/>
        <w:ind w:right="5"/>
        <w:jc w:val="both"/>
      </w:pPr>
      <w:r>
        <w:rPr>
          <w:spacing w:val="-8"/>
          <w:sz w:val="18"/>
          <w:szCs w:val="18"/>
          <w:lang w:val="es-ES_tradnl"/>
        </w:rPr>
        <w:t>Se</w:t>
      </w:r>
      <w:r>
        <w:rPr>
          <w:rFonts w:cs="Times New Roman"/>
          <w:spacing w:val="-8"/>
          <w:sz w:val="18"/>
          <w:szCs w:val="18"/>
          <w:lang w:val="es-ES_tradnl"/>
        </w:rPr>
        <w:t>ñ</w:t>
      </w:r>
      <w:r>
        <w:rPr>
          <w:spacing w:val="-8"/>
          <w:sz w:val="18"/>
          <w:szCs w:val="18"/>
          <w:lang w:val="es-ES_tradnl"/>
        </w:rPr>
        <w:t>alan los accionantes, que de esta forma han resultado vulnerados su derecho a la defensa y al debido proceso, establecidos en el art</w:t>
      </w:r>
      <w:r>
        <w:rPr>
          <w:rFonts w:cs="Times New Roman"/>
          <w:spacing w:val="-8"/>
          <w:sz w:val="18"/>
          <w:szCs w:val="18"/>
          <w:lang w:val="es-ES_tradnl"/>
        </w:rPr>
        <w:t>í</w:t>
      </w:r>
      <w:r>
        <w:rPr>
          <w:spacing w:val="-8"/>
          <w:sz w:val="18"/>
          <w:szCs w:val="18"/>
          <w:lang w:val="es-ES_tradnl"/>
        </w:rPr>
        <w:t>culo 76 numeral 7, de la Constituci</w:t>
      </w:r>
      <w:r>
        <w:rPr>
          <w:rFonts w:cs="Times New Roman"/>
          <w:spacing w:val="-8"/>
          <w:sz w:val="18"/>
          <w:szCs w:val="18"/>
          <w:lang w:val="es-ES_tradnl"/>
        </w:rPr>
        <w:t>ó</w:t>
      </w:r>
      <w:r>
        <w:rPr>
          <w:spacing w:val="-8"/>
          <w:sz w:val="18"/>
          <w:szCs w:val="18"/>
          <w:lang w:val="es-ES_tradnl"/>
        </w:rPr>
        <w:t xml:space="preserve">n </w:t>
      </w:r>
      <w:r>
        <w:rPr>
          <w:spacing w:val="-10"/>
          <w:sz w:val="18"/>
          <w:szCs w:val="18"/>
          <w:lang w:val="es-ES_tradnl"/>
        </w:rPr>
        <w:t>de la Rep</w:t>
      </w:r>
      <w:r>
        <w:rPr>
          <w:rFonts w:cs="Times New Roman"/>
          <w:spacing w:val="-10"/>
          <w:sz w:val="18"/>
          <w:szCs w:val="18"/>
          <w:lang w:val="es-ES_tradnl"/>
        </w:rPr>
        <w:t>ú</w:t>
      </w:r>
      <w:r>
        <w:rPr>
          <w:spacing w:val="-10"/>
          <w:sz w:val="18"/>
          <w:szCs w:val="18"/>
          <w:lang w:val="es-ES_tradnl"/>
        </w:rPr>
        <w:t xml:space="preserve">blica, asegurando que no pudieron </w:t>
      </w:r>
      <w:r>
        <w:rPr>
          <w:rFonts w:cs="Times New Roman"/>
          <w:spacing w:val="-10"/>
          <w:sz w:val="18"/>
          <w:szCs w:val="18"/>
          <w:lang w:val="es-ES_tradnl"/>
        </w:rPr>
        <w:t>“</w:t>
      </w:r>
      <w:r>
        <w:rPr>
          <w:spacing w:val="-10"/>
          <w:sz w:val="18"/>
          <w:szCs w:val="18"/>
          <w:lang w:val="es-ES_tradnl"/>
        </w:rPr>
        <w:t>ser o</w:t>
      </w:r>
      <w:r>
        <w:rPr>
          <w:rFonts w:cs="Times New Roman"/>
          <w:spacing w:val="-10"/>
          <w:sz w:val="18"/>
          <w:szCs w:val="18"/>
          <w:lang w:val="es-ES_tradnl"/>
        </w:rPr>
        <w:t>í</w:t>
      </w:r>
      <w:r>
        <w:rPr>
          <w:spacing w:val="-10"/>
          <w:sz w:val="18"/>
          <w:szCs w:val="18"/>
          <w:lang w:val="es-ES_tradnl"/>
        </w:rPr>
        <w:t xml:space="preserve">dos por </w:t>
      </w:r>
      <w:r>
        <w:rPr>
          <w:spacing w:val="-9"/>
          <w:sz w:val="18"/>
          <w:szCs w:val="18"/>
          <w:lang w:val="es-ES_tradnl"/>
        </w:rPr>
        <w:t xml:space="preserve">la Juez en igualdad de condiciones, presentar pruebas y los </w:t>
      </w:r>
      <w:r>
        <w:rPr>
          <w:spacing w:val="-7"/>
          <w:sz w:val="18"/>
          <w:szCs w:val="18"/>
          <w:lang w:val="es-ES_tradnl"/>
        </w:rPr>
        <w:t>argumentos que nos asist</w:t>
      </w:r>
      <w:r>
        <w:rPr>
          <w:rFonts w:cs="Times New Roman"/>
          <w:spacing w:val="-7"/>
          <w:sz w:val="18"/>
          <w:szCs w:val="18"/>
          <w:lang w:val="es-ES_tradnl"/>
        </w:rPr>
        <w:t>í</w:t>
      </w:r>
      <w:r>
        <w:rPr>
          <w:spacing w:val="-7"/>
          <w:sz w:val="18"/>
          <w:szCs w:val="18"/>
          <w:lang w:val="es-ES_tradnl"/>
        </w:rPr>
        <w:t xml:space="preserve">an, contar con los medios para </w:t>
      </w:r>
      <w:r>
        <w:rPr>
          <w:spacing w:val="-11"/>
          <w:sz w:val="18"/>
          <w:szCs w:val="18"/>
          <w:lang w:val="es-ES_tradnl"/>
        </w:rPr>
        <w:t>nuestra adecuada preparaci</w:t>
      </w:r>
      <w:r>
        <w:rPr>
          <w:rFonts w:cs="Times New Roman"/>
          <w:spacing w:val="-11"/>
          <w:sz w:val="18"/>
          <w:szCs w:val="18"/>
          <w:lang w:val="es-ES_tradnl"/>
        </w:rPr>
        <w:t>ó</w:t>
      </w:r>
      <w:r>
        <w:rPr>
          <w:spacing w:val="-11"/>
          <w:sz w:val="18"/>
          <w:szCs w:val="18"/>
          <w:lang w:val="es-ES_tradnl"/>
        </w:rPr>
        <w:t xml:space="preserve">n a la defensa, en definitiva nos </w:t>
      </w:r>
      <w:r>
        <w:rPr>
          <w:spacing w:val="-7"/>
          <w:sz w:val="18"/>
          <w:szCs w:val="18"/>
          <w:lang w:val="es-ES_tradnl"/>
        </w:rPr>
        <w:t>hemos visto privados del leg</w:t>
      </w:r>
      <w:r>
        <w:rPr>
          <w:rFonts w:cs="Times New Roman"/>
          <w:spacing w:val="-7"/>
          <w:sz w:val="18"/>
          <w:szCs w:val="18"/>
          <w:lang w:val="es-ES_tradnl"/>
        </w:rPr>
        <w:t>í</w:t>
      </w:r>
      <w:r>
        <w:rPr>
          <w:spacing w:val="-7"/>
          <w:sz w:val="18"/>
          <w:szCs w:val="18"/>
          <w:lang w:val="es-ES_tradnl"/>
        </w:rPr>
        <w:t xml:space="preserve">timo y elemental derecho a la </w:t>
      </w:r>
      <w:r>
        <w:rPr>
          <w:sz w:val="18"/>
          <w:szCs w:val="18"/>
          <w:lang w:val="es-ES_tradnl"/>
        </w:rPr>
        <w:t>defensa.</w:t>
      </w:r>
      <w:r>
        <w:rPr>
          <w:rFonts w:cs="Times New Roman"/>
          <w:sz w:val="18"/>
          <w:szCs w:val="18"/>
          <w:lang w:val="es-ES_tradnl"/>
        </w:rPr>
        <w:t>”</w:t>
      </w:r>
    </w:p>
    <w:p w14:paraId="4F67BC3B" w14:textId="77777777" w:rsidR="00591D54" w:rsidRDefault="00591D54">
      <w:pPr>
        <w:shd w:val="clear" w:color="auto" w:fill="FFFFFF"/>
      </w:pPr>
      <w:r>
        <w:br w:type="column"/>
      </w:r>
      <w:r>
        <w:rPr>
          <w:b/>
          <w:bCs/>
          <w:spacing w:val="-11"/>
          <w:sz w:val="18"/>
          <w:szCs w:val="18"/>
          <w:lang w:val="es-ES_tradnl"/>
        </w:rPr>
        <w:t>Pretensi</w:t>
      </w:r>
      <w:r>
        <w:rPr>
          <w:rFonts w:cs="Times New Roman"/>
          <w:b/>
          <w:bCs/>
          <w:spacing w:val="-11"/>
          <w:sz w:val="18"/>
          <w:szCs w:val="18"/>
          <w:lang w:val="es-ES_tradnl"/>
        </w:rPr>
        <w:t>ó</w:t>
      </w:r>
      <w:r>
        <w:rPr>
          <w:b/>
          <w:bCs/>
          <w:spacing w:val="-11"/>
          <w:sz w:val="18"/>
          <w:szCs w:val="18"/>
          <w:lang w:val="es-ES_tradnl"/>
        </w:rPr>
        <w:t>n</w:t>
      </w:r>
    </w:p>
    <w:p w14:paraId="4F67BC3C" w14:textId="77777777" w:rsidR="00591D54" w:rsidRDefault="00591D54">
      <w:pPr>
        <w:shd w:val="clear" w:color="auto" w:fill="FFFFFF"/>
        <w:spacing w:before="187" w:line="211" w:lineRule="exact"/>
        <w:jc w:val="both"/>
      </w:pPr>
      <w:r>
        <w:rPr>
          <w:spacing w:val="-6"/>
          <w:sz w:val="18"/>
          <w:szCs w:val="18"/>
          <w:lang w:val="es-ES_tradnl"/>
        </w:rPr>
        <w:t>Solicitan los legitimados activos que se acepte la acci</w:t>
      </w:r>
      <w:r>
        <w:rPr>
          <w:rFonts w:cs="Times New Roman"/>
          <w:spacing w:val="-6"/>
          <w:sz w:val="18"/>
          <w:szCs w:val="18"/>
          <w:lang w:val="es-ES_tradnl"/>
        </w:rPr>
        <w:t>ó</w:t>
      </w:r>
      <w:r>
        <w:rPr>
          <w:spacing w:val="-6"/>
          <w:sz w:val="18"/>
          <w:szCs w:val="18"/>
          <w:lang w:val="es-ES_tradnl"/>
        </w:rPr>
        <w:t xml:space="preserve">n </w:t>
      </w:r>
      <w:r>
        <w:rPr>
          <w:spacing w:val="-7"/>
          <w:sz w:val="18"/>
          <w:szCs w:val="18"/>
          <w:lang w:val="es-ES_tradnl"/>
        </w:rPr>
        <w:t>extraordinaria de protecci</w:t>
      </w:r>
      <w:r>
        <w:rPr>
          <w:rFonts w:cs="Times New Roman"/>
          <w:spacing w:val="-7"/>
          <w:sz w:val="18"/>
          <w:szCs w:val="18"/>
          <w:lang w:val="es-ES_tradnl"/>
        </w:rPr>
        <w:t>ó</w:t>
      </w:r>
      <w:r>
        <w:rPr>
          <w:spacing w:val="-7"/>
          <w:sz w:val="18"/>
          <w:szCs w:val="18"/>
          <w:lang w:val="es-ES_tradnl"/>
        </w:rPr>
        <w:t xml:space="preserve">n </w:t>
      </w:r>
      <w:r>
        <w:rPr>
          <w:rFonts w:cs="Times New Roman"/>
          <w:spacing w:val="-7"/>
          <w:sz w:val="18"/>
          <w:szCs w:val="18"/>
          <w:lang w:val="es-ES_tradnl"/>
        </w:rPr>
        <w:t>“…</w:t>
      </w:r>
      <w:r>
        <w:rPr>
          <w:spacing w:val="-7"/>
          <w:sz w:val="18"/>
          <w:szCs w:val="18"/>
          <w:lang w:val="es-ES_tradnl"/>
        </w:rPr>
        <w:t xml:space="preserve">y que como consecuencia </w:t>
      </w:r>
      <w:r>
        <w:rPr>
          <w:spacing w:val="-4"/>
          <w:sz w:val="18"/>
          <w:szCs w:val="18"/>
          <w:lang w:val="es-ES_tradnl"/>
        </w:rPr>
        <w:t>constitucional de dicha aceptaci</w:t>
      </w:r>
      <w:r>
        <w:rPr>
          <w:rFonts w:cs="Times New Roman"/>
          <w:spacing w:val="-4"/>
          <w:sz w:val="18"/>
          <w:szCs w:val="18"/>
          <w:lang w:val="es-ES_tradnl"/>
        </w:rPr>
        <w:t>ó</w:t>
      </w:r>
      <w:r>
        <w:rPr>
          <w:spacing w:val="-4"/>
          <w:sz w:val="18"/>
          <w:szCs w:val="18"/>
          <w:lang w:val="es-ES_tradnl"/>
        </w:rPr>
        <w:t xml:space="preserve">n, declare sin efecto </w:t>
      </w:r>
      <w:r>
        <w:rPr>
          <w:spacing w:val="-7"/>
          <w:sz w:val="18"/>
          <w:szCs w:val="18"/>
          <w:lang w:val="es-ES_tradnl"/>
        </w:rPr>
        <w:t>jur</w:t>
      </w:r>
      <w:r>
        <w:rPr>
          <w:rFonts w:cs="Times New Roman"/>
          <w:spacing w:val="-7"/>
          <w:sz w:val="18"/>
          <w:szCs w:val="18"/>
          <w:lang w:val="es-ES_tradnl"/>
        </w:rPr>
        <w:t>í</w:t>
      </w:r>
      <w:r>
        <w:rPr>
          <w:spacing w:val="-7"/>
          <w:sz w:val="18"/>
          <w:szCs w:val="18"/>
          <w:lang w:val="es-ES_tradnl"/>
        </w:rPr>
        <w:t>dico la sentencia que vulner</w:t>
      </w:r>
      <w:r>
        <w:rPr>
          <w:rFonts w:cs="Times New Roman"/>
          <w:spacing w:val="-7"/>
          <w:sz w:val="18"/>
          <w:szCs w:val="18"/>
          <w:lang w:val="es-ES_tradnl"/>
        </w:rPr>
        <w:t>ó</w:t>
      </w:r>
      <w:r>
        <w:rPr>
          <w:spacing w:val="-7"/>
          <w:sz w:val="18"/>
          <w:szCs w:val="18"/>
          <w:lang w:val="es-ES_tradnl"/>
        </w:rPr>
        <w:t xml:space="preserve"> y viol</w:t>
      </w:r>
      <w:r>
        <w:rPr>
          <w:rFonts w:cs="Times New Roman"/>
          <w:spacing w:val="-7"/>
          <w:sz w:val="18"/>
          <w:szCs w:val="18"/>
          <w:lang w:val="es-ES_tradnl"/>
        </w:rPr>
        <w:t>ó</w:t>
      </w:r>
      <w:r>
        <w:rPr>
          <w:spacing w:val="-7"/>
          <w:sz w:val="18"/>
          <w:szCs w:val="18"/>
          <w:lang w:val="es-ES_tradnl"/>
        </w:rPr>
        <w:t xml:space="preserve"> nuestros derechos </w:t>
      </w:r>
      <w:r>
        <w:rPr>
          <w:spacing w:val="-1"/>
          <w:sz w:val="18"/>
          <w:szCs w:val="18"/>
          <w:lang w:val="es-ES_tradnl"/>
        </w:rPr>
        <w:t>constitucionales, y nos caus</w:t>
      </w:r>
      <w:r>
        <w:rPr>
          <w:rFonts w:cs="Times New Roman"/>
          <w:spacing w:val="-1"/>
          <w:sz w:val="18"/>
          <w:szCs w:val="18"/>
          <w:lang w:val="es-ES_tradnl"/>
        </w:rPr>
        <w:t>ó</w:t>
      </w:r>
      <w:r>
        <w:rPr>
          <w:spacing w:val="-1"/>
          <w:sz w:val="18"/>
          <w:szCs w:val="18"/>
          <w:lang w:val="es-ES_tradnl"/>
        </w:rPr>
        <w:t xml:space="preserve"> agravio, perjuicio e </w:t>
      </w:r>
      <w:r>
        <w:rPr>
          <w:spacing w:val="-7"/>
          <w:sz w:val="18"/>
          <w:szCs w:val="18"/>
          <w:lang w:val="es-ES_tradnl"/>
        </w:rPr>
        <w:t>indefensi</w:t>
      </w:r>
      <w:r>
        <w:rPr>
          <w:rFonts w:cs="Times New Roman"/>
          <w:spacing w:val="-7"/>
          <w:sz w:val="18"/>
          <w:szCs w:val="18"/>
          <w:lang w:val="es-ES_tradnl"/>
        </w:rPr>
        <w:t>ó</w:t>
      </w:r>
      <w:r>
        <w:rPr>
          <w:spacing w:val="-7"/>
          <w:sz w:val="18"/>
          <w:szCs w:val="18"/>
          <w:lang w:val="es-ES_tradnl"/>
        </w:rPr>
        <w:t xml:space="preserve">n, expedida por la Jueza Sexta del Trabajo de </w:t>
      </w:r>
      <w:r>
        <w:rPr>
          <w:spacing w:val="-9"/>
          <w:sz w:val="18"/>
          <w:szCs w:val="18"/>
          <w:lang w:val="es-ES_tradnl"/>
        </w:rPr>
        <w:t xml:space="preserve">Pichincha, en fecha 23 de septiembre de 2011, a las 15h33, </w:t>
      </w:r>
      <w:r>
        <w:rPr>
          <w:spacing w:val="-7"/>
          <w:sz w:val="18"/>
          <w:szCs w:val="18"/>
          <w:lang w:val="es-ES_tradnl"/>
        </w:rPr>
        <w:t>y por lo tanto ordene al demandado que nos restituya el dinero que nos vimos obligados a consignar.</w:t>
      </w:r>
      <w:r>
        <w:rPr>
          <w:rFonts w:cs="Times New Roman"/>
          <w:spacing w:val="-7"/>
          <w:sz w:val="18"/>
          <w:szCs w:val="18"/>
          <w:lang w:val="es-ES_tradnl"/>
        </w:rPr>
        <w:t>”</w:t>
      </w:r>
    </w:p>
    <w:p w14:paraId="4F67BC3D" w14:textId="77777777" w:rsidR="00591D54" w:rsidRDefault="00591D54">
      <w:pPr>
        <w:shd w:val="clear" w:color="auto" w:fill="FFFFFF"/>
        <w:spacing w:before="187"/>
      </w:pPr>
      <w:r>
        <w:rPr>
          <w:b/>
          <w:bCs/>
          <w:spacing w:val="-10"/>
          <w:sz w:val="18"/>
          <w:szCs w:val="18"/>
          <w:lang w:val="es-ES_tradnl"/>
        </w:rPr>
        <w:t>Contestaci</w:t>
      </w:r>
      <w:r>
        <w:rPr>
          <w:rFonts w:cs="Times New Roman"/>
          <w:b/>
          <w:bCs/>
          <w:spacing w:val="-10"/>
          <w:sz w:val="18"/>
          <w:szCs w:val="18"/>
          <w:lang w:val="es-ES_tradnl"/>
        </w:rPr>
        <w:t>ó</w:t>
      </w:r>
      <w:r>
        <w:rPr>
          <w:b/>
          <w:bCs/>
          <w:spacing w:val="-10"/>
          <w:sz w:val="18"/>
          <w:szCs w:val="18"/>
          <w:lang w:val="es-ES_tradnl"/>
        </w:rPr>
        <w:t>n a la demanda</w:t>
      </w:r>
    </w:p>
    <w:p w14:paraId="4F67BC3E" w14:textId="77777777" w:rsidR="00591D54" w:rsidRDefault="00591D54">
      <w:pPr>
        <w:shd w:val="clear" w:color="auto" w:fill="FFFFFF"/>
        <w:spacing w:before="192" w:line="211" w:lineRule="exact"/>
        <w:jc w:val="both"/>
      </w:pPr>
      <w:r>
        <w:rPr>
          <w:spacing w:val="-5"/>
          <w:sz w:val="18"/>
          <w:szCs w:val="18"/>
          <w:lang w:val="es-ES_tradnl"/>
        </w:rPr>
        <w:t>La doctora Beatriz Cadena Land</w:t>
      </w:r>
      <w:r>
        <w:rPr>
          <w:rFonts w:cs="Times New Roman"/>
          <w:spacing w:val="-5"/>
          <w:sz w:val="18"/>
          <w:szCs w:val="18"/>
          <w:lang w:val="es-ES_tradnl"/>
        </w:rPr>
        <w:t>á</w:t>
      </w:r>
      <w:r>
        <w:rPr>
          <w:spacing w:val="-5"/>
          <w:sz w:val="18"/>
          <w:szCs w:val="18"/>
          <w:lang w:val="es-ES_tradnl"/>
        </w:rPr>
        <w:t xml:space="preserve">zuri, en su calidad de </w:t>
      </w:r>
      <w:r>
        <w:rPr>
          <w:spacing w:val="-10"/>
          <w:sz w:val="18"/>
          <w:szCs w:val="18"/>
          <w:lang w:val="es-ES_tradnl"/>
        </w:rPr>
        <w:t>jueza Sexta de Trabajo de Pichincha, se</w:t>
      </w:r>
      <w:r>
        <w:rPr>
          <w:rFonts w:cs="Times New Roman"/>
          <w:spacing w:val="-10"/>
          <w:sz w:val="18"/>
          <w:szCs w:val="18"/>
          <w:lang w:val="es-ES_tradnl"/>
        </w:rPr>
        <w:t>ñ</w:t>
      </w:r>
      <w:r>
        <w:rPr>
          <w:spacing w:val="-10"/>
          <w:sz w:val="18"/>
          <w:szCs w:val="18"/>
          <w:lang w:val="es-ES_tradnl"/>
        </w:rPr>
        <w:t>al</w:t>
      </w:r>
      <w:r>
        <w:rPr>
          <w:rFonts w:cs="Times New Roman"/>
          <w:spacing w:val="-10"/>
          <w:sz w:val="18"/>
          <w:szCs w:val="18"/>
          <w:lang w:val="es-ES_tradnl"/>
        </w:rPr>
        <w:t>ó</w:t>
      </w:r>
      <w:r>
        <w:rPr>
          <w:spacing w:val="-10"/>
          <w:sz w:val="18"/>
          <w:szCs w:val="18"/>
          <w:lang w:val="es-ES_tradnl"/>
        </w:rPr>
        <w:t xml:space="preserve"> lo siguiente, en </w:t>
      </w:r>
      <w:r>
        <w:rPr>
          <w:sz w:val="18"/>
          <w:szCs w:val="18"/>
          <w:lang w:val="es-ES_tradnl"/>
        </w:rPr>
        <w:t>escrito presentado el 10 de julio de 2012:</w:t>
      </w:r>
    </w:p>
    <w:p w14:paraId="4F67BC3F" w14:textId="77777777" w:rsidR="00591D54" w:rsidRDefault="00591D54">
      <w:pPr>
        <w:shd w:val="clear" w:color="auto" w:fill="FFFFFF"/>
        <w:spacing w:before="187" w:line="211" w:lineRule="exact"/>
        <w:jc w:val="both"/>
      </w:pPr>
      <w:r>
        <w:rPr>
          <w:spacing w:val="-6"/>
          <w:sz w:val="18"/>
          <w:szCs w:val="18"/>
          <w:lang w:val="es-ES_tradnl"/>
        </w:rPr>
        <w:t>Ampar</w:t>
      </w:r>
      <w:r>
        <w:rPr>
          <w:rFonts w:cs="Times New Roman"/>
          <w:spacing w:val="-6"/>
          <w:sz w:val="18"/>
          <w:szCs w:val="18"/>
          <w:lang w:val="es-ES_tradnl"/>
        </w:rPr>
        <w:t>á</w:t>
      </w:r>
      <w:r>
        <w:rPr>
          <w:spacing w:val="-6"/>
          <w:sz w:val="18"/>
          <w:szCs w:val="18"/>
          <w:lang w:val="es-ES_tradnl"/>
        </w:rPr>
        <w:t>ndose en lo que determina el C</w:t>
      </w:r>
      <w:r>
        <w:rPr>
          <w:rFonts w:cs="Times New Roman"/>
          <w:spacing w:val="-6"/>
          <w:sz w:val="18"/>
          <w:szCs w:val="18"/>
          <w:lang w:val="es-ES_tradnl"/>
        </w:rPr>
        <w:t>ó</w:t>
      </w:r>
      <w:r>
        <w:rPr>
          <w:spacing w:val="-6"/>
          <w:sz w:val="18"/>
          <w:szCs w:val="18"/>
          <w:lang w:val="es-ES_tradnl"/>
        </w:rPr>
        <w:t xml:space="preserve">digo de Trabajo, </w:t>
      </w:r>
      <w:r>
        <w:rPr>
          <w:spacing w:val="-7"/>
          <w:sz w:val="18"/>
          <w:szCs w:val="18"/>
          <w:lang w:val="es-ES_tradnl"/>
        </w:rPr>
        <w:t>en sus art</w:t>
      </w:r>
      <w:r>
        <w:rPr>
          <w:rFonts w:cs="Times New Roman"/>
          <w:spacing w:val="-7"/>
          <w:sz w:val="18"/>
          <w:szCs w:val="18"/>
          <w:lang w:val="es-ES_tradnl"/>
        </w:rPr>
        <w:t>í</w:t>
      </w:r>
      <w:r>
        <w:rPr>
          <w:spacing w:val="-7"/>
          <w:sz w:val="18"/>
          <w:szCs w:val="18"/>
          <w:lang w:val="es-ES_tradnl"/>
        </w:rPr>
        <w:t>culos 576 y 580, adem</w:t>
      </w:r>
      <w:r>
        <w:rPr>
          <w:rFonts w:cs="Times New Roman"/>
          <w:spacing w:val="-7"/>
          <w:sz w:val="18"/>
          <w:szCs w:val="18"/>
          <w:lang w:val="es-ES_tradnl"/>
        </w:rPr>
        <w:t>á</w:t>
      </w:r>
      <w:r>
        <w:rPr>
          <w:spacing w:val="-7"/>
          <w:sz w:val="18"/>
          <w:szCs w:val="18"/>
          <w:lang w:val="es-ES_tradnl"/>
        </w:rPr>
        <w:t>s de lo que se</w:t>
      </w:r>
      <w:r>
        <w:rPr>
          <w:rFonts w:cs="Times New Roman"/>
          <w:spacing w:val="-7"/>
          <w:sz w:val="18"/>
          <w:szCs w:val="18"/>
          <w:lang w:val="es-ES_tradnl"/>
        </w:rPr>
        <w:t>ñ</w:t>
      </w:r>
      <w:r>
        <w:rPr>
          <w:spacing w:val="-7"/>
          <w:sz w:val="18"/>
          <w:szCs w:val="18"/>
          <w:lang w:val="es-ES_tradnl"/>
        </w:rPr>
        <w:t xml:space="preserve">ala el </w:t>
      </w:r>
      <w:r>
        <w:rPr>
          <w:sz w:val="18"/>
          <w:szCs w:val="18"/>
          <w:lang w:val="es-ES_tradnl"/>
        </w:rPr>
        <w:t>C</w:t>
      </w:r>
      <w:r>
        <w:rPr>
          <w:rFonts w:cs="Times New Roman"/>
          <w:sz w:val="18"/>
          <w:szCs w:val="18"/>
          <w:lang w:val="es-ES_tradnl"/>
        </w:rPr>
        <w:t>ó</w:t>
      </w:r>
      <w:r>
        <w:rPr>
          <w:sz w:val="18"/>
          <w:szCs w:val="18"/>
          <w:lang w:val="es-ES_tradnl"/>
        </w:rPr>
        <w:t>digo de Procedimiento Civil en sus art</w:t>
      </w:r>
      <w:r>
        <w:rPr>
          <w:rFonts w:cs="Times New Roman"/>
          <w:sz w:val="18"/>
          <w:szCs w:val="18"/>
          <w:lang w:val="es-ES_tradnl"/>
        </w:rPr>
        <w:t>í</w:t>
      </w:r>
      <w:r>
        <w:rPr>
          <w:sz w:val="18"/>
          <w:szCs w:val="18"/>
          <w:lang w:val="es-ES_tradnl"/>
        </w:rPr>
        <w:t xml:space="preserve">culos 74 y </w:t>
      </w:r>
      <w:r>
        <w:rPr>
          <w:spacing w:val="-7"/>
          <w:sz w:val="18"/>
          <w:szCs w:val="18"/>
          <w:lang w:val="es-ES_tradnl"/>
        </w:rPr>
        <w:t>77, la compareciente manifiesta que dentro del proceso constan las razones debidamente suscritas por el citador que comprueban el cumplimiento de esta obligaci</w:t>
      </w:r>
      <w:r>
        <w:rPr>
          <w:rFonts w:cs="Times New Roman"/>
          <w:spacing w:val="-7"/>
          <w:sz w:val="18"/>
          <w:szCs w:val="18"/>
          <w:lang w:val="es-ES_tradnl"/>
        </w:rPr>
        <w:t>ó</w:t>
      </w:r>
      <w:r>
        <w:rPr>
          <w:spacing w:val="-7"/>
          <w:sz w:val="18"/>
          <w:szCs w:val="18"/>
          <w:lang w:val="es-ES_tradnl"/>
        </w:rPr>
        <w:t xml:space="preserve">n legal de notificar y que </w:t>
      </w:r>
      <w:r>
        <w:rPr>
          <w:rFonts w:cs="Times New Roman"/>
          <w:spacing w:val="-7"/>
          <w:sz w:val="18"/>
          <w:szCs w:val="18"/>
          <w:lang w:val="es-ES_tradnl"/>
        </w:rPr>
        <w:t>“</w:t>
      </w:r>
      <w:r>
        <w:rPr>
          <w:spacing w:val="-7"/>
          <w:sz w:val="18"/>
          <w:szCs w:val="18"/>
          <w:lang w:val="es-ES_tradnl"/>
        </w:rPr>
        <w:t xml:space="preserve">caso contrario no se hubiera efectuado </w:t>
      </w:r>
      <w:r>
        <w:rPr>
          <w:spacing w:val="-5"/>
          <w:sz w:val="18"/>
          <w:szCs w:val="18"/>
          <w:lang w:val="es-ES_tradnl"/>
        </w:rPr>
        <w:t>la audiencia preliminar de conciliaci</w:t>
      </w:r>
      <w:r>
        <w:rPr>
          <w:rFonts w:cs="Times New Roman"/>
          <w:spacing w:val="-5"/>
          <w:sz w:val="18"/>
          <w:szCs w:val="18"/>
          <w:lang w:val="es-ES_tradnl"/>
        </w:rPr>
        <w:t>ó</w:t>
      </w:r>
      <w:r>
        <w:rPr>
          <w:spacing w:val="-5"/>
          <w:sz w:val="18"/>
          <w:szCs w:val="18"/>
          <w:lang w:val="es-ES_tradnl"/>
        </w:rPr>
        <w:t>n, contestaci</w:t>
      </w:r>
      <w:r>
        <w:rPr>
          <w:rFonts w:cs="Times New Roman"/>
          <w:spacing w:val="-5"/>
          <w:sz w:val="18"/>
          <w:szCs w:val="18"/>
          <w:lang w:val="es-ES_tradnl"/>
        </w:rPr>
        <w:t>ó</w:t>
      </w:r>
      <w:r>
        <w:rPr>
          <w:spacing w:val="-5"/>
          <w:sz w:val="18"/>
          <w:szCs w:val="18"/>
          <w:lang w:val="es-ES_tradnl"/>
        </w:rPr>
        <w:t xml:space="preserve">n a la </w:t>
      </w:r>
      <w:r>
        <w:rPr>
          <w:sz w:val="18"/>
          <w:szCs w:val="18"/>
          <w:lang w:val="es-ES_tradnl"/>
        </w:rPr>
        <w:t>demanda y formulaci</w:t>
      </w:r>
      <w:r>
        <w:rPr>
          <w:rFonts w:cs="Times New Roman"/>
          <w:sz w:val="18"/>
          <w:szCs w:val="18"/>
          <w:lang w:val="es-ES_tradnl"/>
        </w:rPr>
        <w:t>ó</w:t>
      </w:r>
      <w:r>
        <w:rPr>
          <w:sz w:val="18"/>
          <w:szCs w:val="18"/>
          <w:lang w:val="es-ES_tradnl"/>
        </w:rPr>
        <w:t>n de pruebas.</w:t>
      </w:r>
      <w:r>
        <w:rPr>
          <w:rFonts w:cs="Times New Roman"/>
          <w:sz w:val="18"/>
          <w:szCs w:val="18"/>
          <w:lang w:val="es-ES_tradnl"/>
        </w:rPr>
        <w:t>”</w:t>
      </w:r>
    </w:p>
    <w:p w14:paraId="4F67BC40" w14:textId="77777777" w:rsidR="00591D54" w:rsidRDefault="00591D54">
      <w:pPr>
        <w:shd w:val="clear" w:color="auto" w:fill="FFFFFF"/>
        <w:spacing w:before="192" w:line="211" w:lineRule="exact"/>
        <w:jc w:val="both"/>
      </w:pPr>
      <w:r>
        <w:rPr>
          <w:spacing w:val="-9"/>
          <w:sz w:val="18"/>
          <w:szCs w:val="18"/>
          <w:lang w:val="es-ES_tradnl"/>
        </w:rPr>
        <w:t>Adicionalmente, la doctora Beatriz Cadena Land</w:t>
      </w:r>
      <w:r>
        <w:rPr>
          <w:rFonts w:cs="Times New Roman"/>
          <w:spacing w:val="-9"/>
          <w:sz w:val="18"/>
          <w:szCs w:val="18"/>
          <w:lang w:val="es-ES_tradnl"/>
        </w:rPr>
        <w:t>á</w:t>
      </w:r>
      <w:r>
        <w:rPr>
          <w:spacing w:val="-9"/>
          <w:sz w:val="18"/>
          <w:szCs w:val="18"/>
          <w:lang w:val="es-ES_tradnl"/>
        </w:rPr>
        <w:t xml:space="preserve">zuri, en su </w:t>
      </w:r>
      <w:r>
        <w:rPr>
          <w:spacing w:val="-10"/>
          <w:sz w:val="18"/>
          <w:szCs w:val="18"/>
          <w:lang w:val="es-ES_tradnl"/>
        </w:rPr>
        <w:t>calidad de jueza Sexta de Trabajo de Pichincha manifiesta:</w:t>
      </w:r>
    </w:p>
    <w:p w14:paraId="4F67BC41" w14:textId="77777777" w:rsidR="00591D54" w:rsidRDefault="00591D54">
      <w:pPr>
        <w:shd w:val="clear" w:color="auto" w:fill="FFFFFF"/>
        <w:spacing w:before="197" w:line="211" w:lineRule="exact"/>
        <w:ind w:left="283"/>
        <w:jc w:val="both"/>
      </w:pPr>
      <w:r>
        <w:rPr>
          <w:spacing w:val="-6"/>
          <w:sz w:val="16"/>
          <w:szCs w:val="16"/>
          <w:lang w:val="es-ES_tradnl"/>
        </w:rPr>
        <w:t>En el caso en menci</w:t>
      </w:r>
      <w:r>
        <w:rPr>
          <w:rFonts w:cs="Times New Roman"/>
          <w:spacing w:val="-6"/>
          <w:sz w:val="16"/>
          <w:szCs w:val="16"/>
          <w:lang w:val="es-ES_tradnl"/>
        </w:rPr>
        <w:t>ó</w:t>
      </w:r>
      <w:r>
        <w:rPr>
          <w:spacing w:val="-6"/>
          <w:sz w:val="16"/>
          <w:szCs w:val="16"/>
          <w:lang w:val="es-ES_tradnl"/>
        </w:rPr>
        <w:t xml:space="preserve">n en la audiencia preliminar consta que </w:t>
      </w:r>
      <w:r>
        <w:rPr>
          <w:spacing w:val="-8"/>
          <w:sz w:val="16"/>
          <w:szCs w:val="16"/>
          <w:lang w:val="es-ES_tradnl"/>
        </w:rPr>
        <w:t>se realiza en rebeld</w:t>
      </w:r>
      <w:r>
        <w:rPr>
          <w:rFonts w:cs="Times New Roman"/>
          <w:spacing w:val="-8"/>
          <w:sz w:val="16"/>
          <w:szCs w:val="16"/>
          <w:lang w:val="es-ES_tradnl"/>
        </w:rPr>
        <w:t>í</w:t>
      </w:r>
      <w:r>
        <w:rPr>
          <w:spacing w:val="-8"/>
          <w:sz w:val="16"/>
          <w:szCs w:val="16"/>
          <w:lang w:val="es-ES_tradnl"/>
        </w:rPr>
        <w:t xml:space="preserve">a de la parte demandada (diligencia de 18 </w:t>
      </w:r>
      <w:r>
        <w:rPr>
          <w:spacing w:val="-9"/>
          <w:sz w:val="16"/>
          <w:szCs w:val="16"/>
          <w:lang w:val="es-ES_tradnl"/>
        </w:rPr>
        <w:t>de noviembre de 2010), en su totalidad el proceso se sustanci</w:t>
      </w:r>
      <w:r>
        <w:rPr>
          <w:rFonts w:cs="Times New Roman"/>
          <w:spacing w:val="-9"/>
          <w:sz w:val="16"/>
          <w:szCs w:val="16"/>
          <w:lang w:val="es-ES_tradnl"/>
        </w:rPr>
        <w:t xml:space="preserve">ó </w:t>
      </w:r>
      <w:r>
        <w:rPr>
          <w:spacing w:val="-9"/>
          <w:sz w:val="16"/>
          <w:szCs w:val="16"/>
          <w:lang w:val="es-ES_tradnl"/>
        </w:rPr>
        <w:t xml:space="preserve">sin la comparecencia de los accionados, excepto cuando </w:t>
      </w:r>
      <w:r>
        <w:rPr>
          <w:rFonts w:cs="Times New Roman"/>
          <w:spacing w:val="-9"/>
          <w:sz w:val="16"/>
          <w:szCs w:val="16"/>
          <w:lang w:val="es-ES_tradnl"/>
        </w:rPr>
        <w:t>é</w:t>
      </w:r>
      <w:r>
        <w:rPr>
          <w:spacing w:val="-9"/>
          <w:sz w:val="16"/>
          <w:szCs w:val="16"/>
          <w:lang w:val="es-ES_tradnl"/>
        </w:rPr>
        <w:t xml:space="preserve">stos </w:t>
      </w:r>
      <w:r>
        <w:rPr>
          <w:spacing w:val="-8"/>
          <w:sz w:val="16"/>
          <w:szCs w:val="16"/>
          <w:lang w:val="es-ES_tradnl"/>
        </w:rPr>
        <w:t xml:space="preserve">concurrieron al juzgado a depositar los haberes del trabajador. </w:t>
      </w:r>
      <w:r>
        <w:rPr>
          <w:spacing w:val="-4"/>
          <w:sz w:val="16"/>
          <w:szCs w:val="16"/>
          <w:lang w:val="es-ES_tradnl"/>
        </w:rPr>
        <w:t>Es obligaci</w:t>
      </w:r>
      <w:r>
        <w:rPr>
          <w:rFonts w:cs="Times New Roman"/>
          <w:spacing w:val="-4"/>
          <w:sz w:val="16"/>
          <w:szCs w:val="16"/>
          <w:lang w:val="es-ES_tradnl"/>
        </w:rPr>
        <w:t>ó</w:t>
      </w:r>
      <w:r>
        <w:rPr>
          <w:spacing w:val="-4"/>
          <w:sz w:val="16"/>
          <w:szCs w:val="16"/>
          <w:lang w:val="es-ES_tradnl"/>
        </w:rPr>
        <w:t xml:space="preserve">n de las partes al tenor de lo dispuesto en los </w:t>
      </w:r>
      <w:r>
        <w:rPr>
          <w:spacing w:val="-3"/>
          <w:sz w:val="16"/>
          <w:szCs w:val="16"/>
          <w:lang w:val="es-ES_tradnl"/>
        </w:rPr>
        <w:t>Arts. 113 y 114 del C</w:t>
      </w:r>
      <w:r>
        <w:rPr>
          <w:rFonts w:cs="Times New Roman"/>
          <w:spacing w:val="-3"/>
          <w:sz w:val="16"/>
          <w:szCs w:val="16"/>
          <w:lang w:val="es-ES_tradnl"/>
        </w:rPr>
        <w:t>ó</w:t>
      </w:r>
      <w:r>
        <w:rPr>
          <w:spacing w:val="-3"/>
          <w:sz w:val="16"/>
          <w:szCs w:val="16"/>
          <w:lang w:val="es-ES_tradnl"/>
        </w:rPr>
        <w:t xml:space="preserve">digo de Procedimiento Civil, probar </w:t>
      </w:r>
      <w:r>
        <w:rPr>
          <w:spacing w:val="-5"/>
          <w:sz w:val="16"/>
          <w:szCs w:val="16"/>
          <w:lang w:val="es-ES_tradnl"/>
        </w:rPr>
        <w:t>sus afirmaciones. Seg</w:t>
      </w:r>
      <w:r>
        <w:rPr>
          <w:rFonts w:cs="Times New Roman"/>
          <w:spacing w:val="-5"/>
          <w:sz w:val="16"/>
          <w:szCs w:val="16"/>
          <w:lang w:val="es-ES_tradnl"/>
        </w:rPr>
        <w:t>ú</w:t>
      </w:r>
      <w:r>
        <w:rPr>
          <w:spacing w:val="-5"/>
          <w:sz w:val="16"/>
          <w:szCs w:val="16"/>
          <w:lang w:val="es-ES_tradnl"/>
        </w:rPr>
        <w:t xml:space="preserve">n la doctrina y jurisprudencia la no </w:t>
      </w:r>
      <w:r>
        <w:rPr>
          <w:spacing w:val="-9"/>
          <w:sz w:val="16"/>
          <w:szCs w:val="16"/>
          <w:lang w:val="es-ES_tradnl"/>
        </w:rPr>
        <w:t>contestaci</w:t>
      </w:r>
      <w:r>
        <w:rPr>
          <w:rFonts w:cs="Times New Roman"/>
          <w:spacing w:val="-9"/>
          <w:sz w:val="16"/>
          <w:szCs w:val="16"/>
          <w:lang w:val="es-ES_tradnl"/>
        </w:rPr>
        <w:t>ó</w:t>
      </w:r>
      <w:r>
        <w:rPr>
          <w:spacing w:val="-9"/>
          <w:sz w:val="16"/>
          <w:szCs w:val="16"/>
          <w:lang w:val="es-ES_tradnl"/>
        </w:rPr>
        <w:t xml:space="preserve">n a la demanda, se considera como negativa pura y </w:t>
      </w:r>
      <w:r>
        <w:rPr>
          <w:sz w:val="16"/>
          <w:szCs w:val="16"/>
          <w:lang w:val="es-ES_tradnl"/>
        </w:rPr>
        <w:t>simple de los fundamentos de la demanda.</w:t>
      </w:r>
    </w:p>
    <w:p w14:paraId="4F67BC42" w14:textId="77777777" w:rsidR="00591D54" w:rsidRDefault="00591D54">
      <w:pPr>
        <w:shd w:val="clear" w:color="auto" w:fill="FFFFFF"/>
        <w:spacing w:before="197" w:line="211" w:lineRule="exact"/>
        <w:jc w:val="both"/>
      </w:pPr>
      <w:r>
        <w:rPr>
          <w:spacing w:val="-5"/>
          <w:sz w:val="18"/>
          <w:szCs w:val="18"/>
          <w:lang w:val="es-ES_tradnl"/>
        </w:rPr>
        <w:t xml:space="preserve">El 02 de febrero de 2015, presenta un escrito el doctor </w:t>
      </w:r>
      <w:r>
        <w:rPr>
          <w:spacing w:val="-7"/>
          <w:sz w:val="18"/>
          <w:szCs w:val="18"/>
          <w:lang w:val="es-ES_tradnl"/>
        </w:rPr>
        <w:t xml:space="preserve">Edwin Pancho Males en calidad de juez Sexto de Trabajo </w:t>
      </w:r>
      <w:r>
        <w:rPr>
          <w:spacing w:val="-8"/>
          <w:sz w:val="18"/>
          <w:szCs w:val="18"/>
          <w:lang w:val="es-ES_tradnl"/>
        </w:rPr>
        <w:t>de Pichincha, se</w:t>
      </w:r>
      <w:r>
        <w:rPr>
          <w:rFonts w:cs="Times New Roman"/>
          <w:spacing w:val="-8"/>
          <w:sz w:val="18"/>
          <w:szCs w:val="18"/>
          <w:lang w:val="es-ES_tradnl"/>
        </w:rPr>
        <w:t>ñ</w:t>
      </w:r>
      <w:r>
        <w:rPr>
          <w:spacing w:val="-8"/>
          <w:sz w:val="18"/>
          <w:szCs w:val="18"/>
          <w:lang w:val="es-ES_tradnl"/>
        </w:rPr>
        <w:t>alando correos electr</w:t>
      </w:r>
      <w:r>
        <w:rPr>
          <w:rFonts w:cs="Times New Roman"/>
          <w:spacing w:val="-8"/>
          <w:sz w:val="18"/>
          <w:szCs w:val="18"/>
          <w:lang w:val="es-ES_tradnl"/>
        </w:rPr>
        <w:t>ó</w:t>
      </w:r>
      <w:r>
        <w:rPr>
          <w:spacing w:val="-8"/>
          <w:sz w:val="18"/>
          <w:szCs w:val="18"/>
          <w:lang w:val="es-ES_tradnl"/>
        </w:rPr>
        <w:t xml:space="preserve">nicos para futuras </w:t>
      </w:r>
      <w:r>
        <w:rPr>
          <w:sz w:val="18"/>
          <w:szCs w:val="18"/>
          <w:lang w:val="es-ES_tradnl"/>
        </w:rPr>
        <w:t>notificaciones.</w:t>
      </w:r>
    </w:p>
    <w:p w14:paraId="4F67BC43" w14:textId="77777777" w:rsidR="00591D54" w:rsidRDefault="00591D54">
      <w:pPr>
        <w:shd w:val="clear" w:color="auto" w:fill="FFFFFF"/>
        <w:spacing w:before="187"/>
      </w:pPr>
      <w:r>
        <w:rPr>
          <w:b/>
          <w:bCs/>
          <w:spacing w:val="-11"/>
          <w:sz w:val="18"/>
          <w:szCs w:val="18"/>
          <w:lang w:val="es-ES_tradnl"/>
        </w:rPr>
        <w:t>Terceros Interesados</w:t>
      </w:r>
    </w:p>
    <w:p w14:paraId="4F67BC44" w14:textId="77777777" w:rsidR="00591D54" w:rsidRDefault="00591D54">
      <w:pPr>
        <w:shd w:val="clear" w:color="auto" w:fill="FFFFFF"/>
        <w:spacing w:before="187"/>
      </w:pPr>
      <w:r>
        <w:rPr>
          <w:b/>
          <w:bCs/>
          <w:spacing w:val="-5"/>
          <w:sz w:val="18"/>
          <w:szCs w:val="18"/>
          <w:lang w:val="es-ES_tradnl"/>
        </w:rPr>
        <w:t>Mario Javier Villac</w:t>
      </w:r>
      <w:r>
        <w:rPr>
          <w:rFonts w:cs="Times New Roman"/>
          <w:b/>
          <w:bCs/>
          <w:spacing w:val="-5"/>
          <w:sz w:val="18"/>
          <w:szCs w:val="18"/>
          <w:lang w:val="es-ES_tradnl"/>
        </w:rPr>
        <w:t>í</w:t>
      </w:r>
      <w:r>
        <w:rPr>
          <w:b/>
          <w:bCs/>
          <w:spacing w:val="-5"/>
          <w:sz w:val="18"/>
          <w:szCs w:val="18"/>
          <w:lang w:val="es-ES_tradnl"/>
        </w:rPr>
        <w:t>s Garc</w:t>
      </w:r>
      <w:r>
        <w:rPr>
          <w:rFonts w:cs="Times New Roman"/>
          <w:b/>
          <w:bCs/>
          <w:spacing w:val="-5"/>
          <w:sz w:val="18"/>
          <w:szCs w:val="18"/>
          <w:lang w:val="es-ES_tradnl"/>
        </w:rPr>
        <w:t>í</w:t>
      </w:r>
      <w:r>
        <w:rPr>
          <w:b/>
          <w:bCs/>
          <w:spacing w:val="-5"/>
          <w:sz w:val="18"/>
          <w:szCs w:val="18"/>
          <w:lang w:val="es-ES_tradnl"/>
        </w:rPr>
        <w:t>a</w:t>
      </w:r>
    </w:p>
    <w:p w14:paraId="4F67BC45" w14:textId="77777777" w:rsidR="00591D54" w:rsidRDefault="00591D54">
      <w:pPr>
        <w:shd w:val="clear" w:color="auto" w:fill="FFFFFF"/>
        <w:spacing w:before="192" w:line="211" w:lineRule="exact"/>
        <w:jc w:val="both"/>
      </w:pPr>
      <w:r>
        <w:rPr>
          <w:sz w:val="18"/>
          <w:szCs w:val="18"/>
          <w:lang w:val="es-ES_tradnl"/>
        </w:rPr>
        <w:t xml:space="preserve">El compareciente solicita a la Corte Constitucional, </w:t>
      </w:r>
      <w:r>
        <w:rPr>
          <w:spacing w:val="-8"/>
          <w:sz w:val="18"/>
          <w:szCs w:val="18"/>
          <w:lang w:val="es-ES_tradnl"/>
        </w:rPr>
        <w:t>que se declare como improcedente, extempor</w:t>
      </w:r>
      <w:r>
        <w:rPr>
          <w:rFonts w:cs="Times New Roman"/>
          <w:spacing w:val="-8"/>
          <w:sz w:val="18"/>
          <w:szCs w:val="18"/>
          <w:lang w:val="es-ES_tradnl"/>
        </w:rPr>
        <w:t>á</w:t>
      </w:r>
      <w:r>
        <w:rPr>
          <w:spacing w:val="-8"/>
          <w:sz w:val="18"/>
          <w:szCs w:val="18"/>
          <w:lang w:val="es-ES_tradnl"/>
        </w:rPr>
        <w:t xml:space="preserve">nea y </w:t>
      </w:r>
      <w:r>
        <w:rPr>
          <w:spacing w:val="-5"/>
          <w:sz w:val="18"/>
          <w:szCs w:val="18"/>
          <w:lang w:val="es-ES_tradnl"/>
        </w:rPr>
        <w:t>malintencionada la acci</w:t>
      </w:r>
      <w:r>
        <w:rPr>
          <w:rFonts w:cs="Times New Roman"/>
          <w:spacing w:val="-5"/>
          <w:sz w:val="18"/>
          <w:szCs w:val="18"/>
          <w:lang w:val="es-ES_tradnl"/>
        </w:rPr>
        <w:t>ó</w:t>
      </w:r>
      <w:r>
        <w:rPr>
          <w:spacing w:val="-5"/>
          <w:sz w:val="18"/>
          <w:szCs w:val="18"/>
          <w:lang w:val="es-ES_tradnl"/>
        </w:rPr>
        <w:t>n extraordinaria de protecci</w:t>
      </w:r>
      <w:r>
        <w:rPr>
          <w:rFonts w:cs="Times New Roman"/>
          <w:spacing w:val="-5"/>
          <w:sz w:val="18"/>
          <w:szCs w:val="18"/>
          <w:lang w:val="es-ES_tradnl"/>
        </w:rPr>
        <w:t>ó</w:t>
      </w:r>
      <w:r>
        <w:rPr>
          <w:spacing w:val="-5"/>
          <w:sz w:val="18"/>
          <w:szCs w:val="18"/>
          <w:lang w:val="es-ES_tradnl"/>
        </w:rPr>
        <w:t xml:space="preserve">n, </w:t>
      </w:r>
      <w:r>
        <w:rPr>
          <w:spacing w:val="-3"/>
          <w:sz w:val="18"/>
          <w:szCs w:val="18"/>
          <w:lang w:val="es-ES_tradnl"/>
        </w:rPr>
        <w:t>presentada por los se</w:t>
      </w:r>
      <w:r>
        <w:rPr>
          <w:rFonts w:cs="Times New Roman"/>
          <w:spacing w:val="-3"/>
          <w:sz w:val="18"/>
          <w:szCs w:val="18"/>
          <w:lang w:val="es-ES_tradnl"/>
        </w:rPr>
        <w:t>ñ</w:t>
      </w:r>
      <w:r>
        <w:rPr>
          <w:spacing w:val="-3"/>
          <w:sz w:val="18"/>
          <w:szCs w:val="18"/>
          <w:lang w:val="es-ES_tradnl"/>
        </w:rPr>
        <w:t>ores Emperatriz Mu</w:t>
      </w:r>
      <w:r>
        <w:rPr>
          <w:rFonts w:cs="Times New Roman"/>
          <w:spacing w:val="-3"/>
          <w:sz w:val="18"/>
          <w:szCs w:val="18"/>
          <w:lang w:val="es-ES_tradnl"/>
        </w:rPr>
        <w:t>ñ</w:t>
      </w:r>
      <w:r>
        <w:rPr>
          <w:spacing w:val="-3"/>
          <w:sz w:val="18"/>
          <w:szCs w:val="18"/>
          <w:lang w:val="es-ES_tradnl"/>
        </w:rPr>
        <w:t xml:space="preserve">etones </w:t>
      </w:r>
      <w:r>
        <w:rPr>
          <w:spacing w:val="-10"/>
          <w:sz w:val="18"/>
          <w:szCs w:val="18"/>
          <w:lang w:val="es-ES_tradnl"/>
        </w:rPr>
        <w:t>Hern</w:t>
      </w:r>
      <w:r>
        <w:rPr>
          <w:rFonts w:cs="Times New Roman"/>
          <w:spacing w:val="-10"/>
          <w:sz w:val="18"/>
          <w:szCs w:val="18"/>
          <w:lang w:val="es-ES_tradnl"/>
        </w:rPr>
        <w:t>á</w:t>
      </w:r>
      <w:r>
        <w:rPr>
          <w:spacing w:val="-10"/>
          <w:sz w:val="18"/>
          <w:szCs w:val="18"/>
          <w:lang w:val="es-ES_tradnl"/>
        </w:rPr>
        <w:t>ndez y Omar Josu</w:t>
      </w:r>
      <w:r>
        <w:rPr>
          <w:rFonts w:cs="Times New Roman"/>
          <w:spacing w:val="-10"/>
          <w:sz w:val="18"/>
          <w:szCs w:val="18"/>
          <w:lang w:val="es-ES_tradnl"/>
        </w:rPr>
        <w:t>é</w:t>
      </w:r>
      <w:r>
        <w:rPr>
          <w:spacing w:val="-10"/>
          <w:sz w:val="18"/>
          <w:szCs w:val="18"/>
          <w:lang w:val="es-ES_tradnl"/>
        </w:rPr>
        <w:t xml:space="preserve"> Jaramillo Mu</w:t>
      </w:r>
      <w:r>
        <w:rPr>
          <w:rFonts w:cs="Times New Roman"/>
          <w:spacing w:val="-10"/>
          <w:sz w:val="18"/>
          <w:szCs w:val="18"/>
          <w:lang w:val="es-ES_tradnl"/>
        </w:rPr>
        <w:t>ñ</w:t>
      </w:r>
      <w:r>
        <w:rPr>
          <w:spacing w:val="-10"/>
          <w:sz w:val="18"/>
          <w:szCs w:val="18"/>
          <w:lang w:val="es-ES_tradnl"/>
        </w:rPr>
        <w:t>etones, adem</w:t>
      </w:r>
      <w:r>
        <w:rPr>
          <w:rFonts w:cs="Times New Roman"/>
          <w:spacing w:val="-10"/>
          <w:sz w:val="18"/>
          <w:szCs w:val="18"/>
          <w:lang w:val="es-ES_tradnl"/>
        </w:rPr>
        <w:t>á</w:t>
      </w:r>
      <w:r>
        <w:rPr>
          <w:spacing w:val="-10"/>
          <w:sz w:val="18"/>
          <w:szCs w:val="18"/>
          <w:lang w:val="es-ES_tradnl"/>
        </w:rPr>
        <w:t xml:space="preserve">s de </w:t>
      </w:r>
      <w:r>
        <w:rPr>
          <w:spacing w:val="-8"/>
          <w:sz w:val="18"/>
          <w:szCs w:val="18"/>
          <w:lang w:val="es-ES_tradnl"/>
        </w:rPr>
        <w:t>se</w:t>
      </w:r>
      <w:r>
        <w:rPr>
          <w:rFonts w:cs="Times New Roman"/>
          <w:spacing w:val="-8"/>
          <w:sz w:val="18"/>
          <w:szCs w:val="18"/>
          <w:lang w:val="es-ES_tradnl"/>
        </w:rPr>
        <w:t>ñ</w:t>
      </w:r>
      <w:r>
        <w:rPr>
          <w:spacing w:val="-8"/>
          <w:sz w:val="18"/>
          <w:szCs w:val="18"/>
          <w:lang w:val="es-ES_tradnl"/>
        </w:rPr>
        <w:t>alar casillero para futuras notificaciones.</w:t>
      </w:r>
    </w:p>
    <w:p w14:paraId="4F67BC46" w14:textId="77777777" w:rsidR="00591D54" w:rsidRDefault="00591D54">
      <w:pPr>
        <w:shd w:val="clear" w:color="auto" w:fill="FFFFFF"/>
        <w:spacing w:before="187"/>
      </w:pPr>
      <w:r>
        <w:rPr>
          <w:b/>
          <w:bCs/>
          <w:spacing w:val="-8"/>
          <w:sz w:val="18"/>
          <w:szCs w:val="18"/>
          <w:lang w:val="es-ES_tradnl"/>
        </w:rPr>
        <w:t>Procurador General del Estado</w:t>
      </w:r>
    </w:p>
    <w:p w14:paraId="4F67BC47" w14:textId="77777777" w:rsidR="00591D54" w:rsidRDefault="00591D54">
      <w:pPr>
        <w:shd w:val="clear" w:color="auto" w:fill="FFFFFF"/>
        <w:spacing w:before="192" w:line="211" w:lineRule="exact"/>
        <w:jc w:val="both"/>
      </w:pPr>
      <w:r>
        <w:rPr>
          <w:spacing w:val="-9"/>
          <w:sz w:val="18"/>
          <w:szCs w:val="18"/>
          <w:lang w:val="es-ES_tradnl"/>
        </w:rPr>
        <w:t xml:space="preserve">Comparece el abogado Marcos Arteaga Valenzuela, en su </w:t>
      </w:r>
      <w:r>
        <w:rPr>
          <w:spacing w:val="-6"/>
          <w:sz w:val="18"/>
          <w:szCs w:val="18"/>
          <w:lang w:val="es-ES_tradnl"/>
        </w:rPr>
        <w:t xml:space="preserve">calidad de director nacional de Patrocinio, y delegado del </w:t>
      </w:r>
      <w:r>
        <w:rPr>
          <w:spacing w:val="-8"/>
          <w:sz w:val="18"/>
          <w:szCs w:val="18"/>
          <w:lang w:val="es-ES_tradnl"/>
        </w:rPr>
        <w:t>procurador general del Estado, se</w:t>
      </w:r>
      <w:r>
        <w:rPr>
          <w:rFonts w:cs="Times New Roman"/>
          <w:spacing w:val="-8"/>
          <w:sz w:val="18"/>
          <w:szCs w:val="18"/>
          <w:lang w:val="es-ES_tradnl"/>
        </w:rPr>
        <w:t>ñ</w:t>
      </w:r>
      <w:r>
        <w:rPr>
          <w:spacing w:val="-8"/>
          <w:sz w:val="18"/>
          <w:szCs w:val="18"/>
          <w:lang w:val="es-ES_tradnl"/>
        </w:rPr>
        <w:t>alando casillero judicial para futuras notificaciones, el 30 de enero del 2015.</w:t>
      </w:r>
    </w:p>
    <w:p w14:paraId="4F67BC48" w14:textId="77777777" w:rsidR="00591D54" w:rsidRDefault="00591D54">
      <w:pPr>
        <w:shd w:val="clear" w:color="auto" w:fill="FFFFFF"/>
        <w:spacing w:before="192" w:line="211" w:lineRule="exact"/>
        <w:jc w:val="both"/>
        <w:sectPr w:rsidR="00591D54">
          <w:type w:val="continuous"/>
          <w:pgSz w:w="11909" w:h="16834"/>
          <w:pgMar w:top="1361" w:right="1309" w:bottom="360" w:left="1308" w:header="720" w:footer="720" w:gutter="0"/>
          <w:cols w:num="2" w:space="720" w:equalWidth="0">
            <w:col w:w="4305" w:space="682"/>
            <w:col w:w="4305"/>
          </w:cols>
          <w:noEndnote/>
        </w:sectPr>
      </w:pPr>
    </w:p>
    <w:p w14:paraId="4F67BC49" w14:textId="77777777" w:rsidR="00591D54" w:rsidRDefault="00591D54">
      <w:pPr>
        <w:shd w:val="clear" w:color="auto" w:fill="FFFFFF"/>
        <w:tabs>
          <w:tab w:val="left" w:pos="5842"/>
        </w:tabs>
        <w:spacing w:after="226"/>
        <w:ind w:left="5"/>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- 301</w:t>
      </w:r>
    </w:p>
    <w:p w14:paraId="4F67BC4A" w14:textId="77777777" w:rsidR="00591D54" w:rsidRDefault="00591D54">
      <w:pPr>
        <w:shd w:val="clear" w:color="auto" w:fill="FFFFFF"/>
        <w:tabs>
          <w:tab w:val="left" w:pos="5842"/>
        </w:tabs>
        <w:spacing w:after="226"/>
        <w:ind w:left="5"/>
        <w:sectPr w:rsidR="00591D54">
          <w:pgSz w:w="11909" w:h="16834"/>
          <w:pgMar w:top="1356" w:right="1304" w:bottom="360" w:left="1308" w:header="720" w:footer="720" w:gutter="0"/>
          <w:cols w:space="60"/>
          <w:noEndnote/>
        </w:sectPr>
      </w:pPr>
    </w:p>
    <w:p w14:paraId="4F67BC4B" w14:textId="77777777" w:rsidR="00591D54" w:rsidRDefault="00591D54">
      <w:pPr>
        <w:shd w:val="clear" w:color="auto" w:fill="FFFFFF"/>
        <w:spacing w:line="216" w:lineRule="exact"/>
        <w:ind w:left="686" w:right="326" w:hanging="331"/>
      </w:pPr>
      <w:r>
        <w:rPr>
          <w:b/>
          <w:bCs/>
          <w:sz w:val="18"/>
          <w:szCs w:val="18"/>
          <w:lang w:val="es-ES_tradnl"/>
        </w:rPr>
        <w:t>II CONSIDERACIONES Y FUNDAMENTOS DE LA CORTE CONSTITUCIONAL</w:t>
      </w:r>
    </w:p>
    <w:p w14:paraId="4F67BC4C" w14:textId="77777777" w:rsidR="00591D54" w:rsidRDefault="00591D54">
      <w:pPr>
        <w:shd w:val="clear" w:color="auto" w:fill="FFFFFF"/>
        <w:spacing w:before="192"/>
      </w:pPr>
      <w:r>
        <w:rPr>
          <w:b/>
          <w:bCs/>
          <w:spacing w:val="-11"/>
          <w:sz w:val="18"/>
          <w:szCs w:val="18"/>
          <w:lang w:val="es-ES_tradnl"/>
        </w:rPr>
        <w:t>Competencia</w:t>
      </w:r>
    </w:p>
    <w:p w14:paraId="4F67BC4D" w14:textId="77777777" w:rsidR="00591D54" w:rsidRDefault="00591D54">
      <w:pPr>
        <w:shd w:val="clear" w:color="auto" w:fill="FFFFFF"/>
        <w:spacing w:before="197" w:line="216" w:lineRule="exact"/>
        <w:ind w:right="5"/>
        <w:jc w:val="both"/>
      </w:pPr>
      <w:r>
        <w:rPr>
          <w:spacing w:val="-6"/>
          <w:sz w:val="18"/>
          <w:szCs w:val="18"/>
          <w:lang w:val="es-ES_tradnl"/>
        </w:rPr>
        <w:t xml:space="preserve">La Corte Constitucional es competente para conocer y </w:t>
      </w:r>
      <w:r>
        <w:rPr>
          <w:spacing w:val="-7"/>
          <w:sz w:val="18"/>
          <w:szCs w:val="18"/>
          <w:lang w:val="es-ES_tradnl"/>
        </w:rPr>
        <w:t xml:space="preserve">resolver la presente causa, de conformidad con lo previsto </w:t>
      </w:r>
      <w:r>
        <w:rPr>
          <w:spacing w:val="-5"/>
          <w:sz w:val="18"/>
          <w:szCs w:val="18"/>
          <w:lang w:val="es-ES_tradnl"/>
        </w:rPr>
        <w:t>en los art</w:t>
      </w:r>
      <w:r>
        <w:rPr>
          <w:rFonts w:cs="Times New Roman"/>
          <w:spacing w:val="-5"/>
          <w:sz w:val="18"/>
          <w:szCs w:val="18"/>
          <w:lang w:val="es-ES_tradnl"/>
        </w:rPr>
        <w:t>í</w:t>
      </w:r>
      <w:r>
        <w:rPr>
          <w:spacing w:val="-5"/>
          <w:sz w:val="18"/>
          <w:szCs w:val="18"/>
          <w:lang w:val="es-ES_tradnl"/>
        </w:rPr>
        <w:t>culos 94, 429 y 437 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 xml:space="preserve">blica, en concordancia con el Art. 191, numeral 2, </w:t>
      </w:r>
      <w:r>
        <w:rPr>
          <w:spacing w:val="-6"/>
          <w:sz w:val="18"/>
          <w:szCs w:val="18"/>
          <w:lang w:val="es-ES_tradnl"/>
        </w:rPr>
        <w:t>literal d) de la 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w:t>
      </w:r>
      <w:r>
        <w:rPr>
          <w:spacing w:val="-4"/>
          <w:sz w:val="18"/>
          <w:szCs w:val="18"/>
          <w:lang w:val="es-ES_tradnl"/>
        </w:rPr>
        <w:t xml:space="preserve">y Control Constitucional, y Art. 3, numeral 8, literal b) del </w:t>
      </w:r>
      <w:r>
        <w:rPr>
          <w:spacing w:val="-10"/>
          <w:sz w:val="18"/>
          <w:szCs w:val="18"/>
          <w:lang w:val="es-ES_tradnl"/>
        </w:rPr>
        <w:t>Reglamento de Sustanciaci</w:t>
      </w:r>
      <w:r>
        <w:rPr>
          <w:rFonts w:cs="Times New Roman"/>
          <w:spacing w:val="-10"/>
          <w:sz w:val="18"/>
          <w:szCs w:val="18"/>
          <w:lang w:val="es-ES_tradnl"/>
        </w:rPr>
        <w:t>ó</w:t>
      </w:r>
      <w:r>
        <w:rPr>
          <w:spacing w:val="-10"/>
          <w:sz w:val="18"/>
          <w:szCs w:val="18"/>
          <w:lang w:val="es-ES_tradnl"/>
        </w:rPr>
        <w:t xml:space="preserve">n de Procesos de Competencia </w:t>
      </w:r>
      <w:r>
        <w:rPr>
          <w:sz w:val="18"/>
          <w:szCs w:val="18"/>
          <w:lang w:val="es-ES_tradnl"/>
        </w:rPr>
        <w:t>de la Corte Constitucional.</w:t>
      </w:r>
    </w:p>
    <w:p w14:paraId="4F67BC4E" w14:textId="77777777" w:rsidR="00591D54" w:rsidRDefault="00591D54">
      <w:pPr>
        <w:shd w:val="clear" w:color="auto" w:fill="FFFFFF"/>
        <w:spacing w:before="197" w:line="216" w:lineRule="exact"/>
        <w:jc w:val="both"/>
      </w:pPr>
      <w:r>
        <w:rPr>
          <w:spacing w:val="-6"/>
          <w:sz w:val="18"/>
          <w:szCs w:val="18"/>
          <w:lang w:val="es-ES_tradnl"/>
        </w:rPr>
        <w:t>La presente acci</w:t>
      </w:r>
      <w:r>
        <w:rPr>
          <w:rFonts w:cs="Times New Roman"/>
          <w:spacing w:val="-6"/>
          <w:sz w:val="18"/>
          <w:szCs w:val="18"/>
          <w:lang w:val="es-ES_tradnl"/>
        </w:rPr>
        <w:t>ó</w:t>
      </w:r>
      <w:r>
        <w:rPr>
          <w:spacing w:val="-6"/>
          <w:sz w:val="18"/>
          <w:szCs w:val="18"/>
          <w:lang w:val="es-ES_tradnl"/>
        </w:rPr>
        <w:t>n ha sido tramitada de conformidad con el ordenamiento jur</w:t>
      </w:r>
      <w:r>
        <w:rPr>
          <w:rFonts w:cs="Times New Roman"/>
          <w:spacing w:val="-6"/>
          <w:sz w:val="18"/>
          <w:szCs w:val="18"/>
          <w:lang w:val="es-ES_tradnl"/>
        </w:rPr>
        <w:t>í</w:t>
      </w:r>
      <w:r>
        <w:rPr>
          <w:spacing w:val="-6"/>
          <w:sz w:val="18"/>
          <w:szCs w:val="18"/>
          <w:lang w:val="es-ES_tradnl"/>
        </w:rPr>
        <w:t xml:space="preserve">dico constitucional y legal aplicable al </w:t>
      </w:r>
      <w:r>
        <w:rPr>
          <w:sz w:val="18"/>
          <w:szCs w:val="18"/>
          <w:lang w:val="es-ES_tradnl"/>
        </w:rPr>
        <w:t>caso, por lo cual se declara su validez.</w:t>
      </w:r>
    </w:p>
    <w:p w14:paraId="4F67BC4F" w14:textId="77777777" w:rsidR="00591D54" w:rsidRDefault="00591D54">
      <w:pPr>
        <w:shd w:val="clear" w:color="auto" w:fill="FFFFFF"/>
        <w:spacing w:before="192"/>
      </w:pPr>
      <w:r>
        <w:rPr>
          <w:b/>
          <w:bCs/>
          <w:spacing w:val="-7"/>
          <w:sz w:val="18"/>
          <w:szCs w:val="18"/>
          <w:lang w:val="es-ES_tradnl"/>
        </w:rPr>
        <w:t>Naturaleza de la acci</w:t>
      </w:r>
      <w:r>
        <w:rPr>
          <w:rFonts w:cs="Times New Roman"/>
          <w:b/>
          <w:bCs/>
          <w:spacing w:val="-7"/>
          <w:sz w:val="18"/>
          <w:szCs w:val="18"/>
          <w:lang w:val="es-ES_tradnl"/>
        </w:rPr>
        <w:t>ó</w:t>
      </w:r>
      <w:r>
        <w:rPr>
          <w:b/>
          <w:bCs/>
          <w:spacing w:val="-7"/>
          <w:sz w:val="18"/>
          <w:szCs w:val="18"/>
          <w:lang w:val="es-ES_tradnl"/>
        </w:rPr>
        <w:t>n extraordinaria de protecci</w:t>
      </w:r>
      <w:r>
        <w:rPr>
          <w:rFonts w:cs="Times New Roman"/>
          <w:b/>
          <w:bCs/>
          <w:spacing w:val="-7"/>
          <w:sz w:val="18"/>
          <w:szCs w:val="18"/>
          <w:lang w:val="es-ES_tradnl"/>
        </w:rPr>
        <w:t>ó</w:t>
      </w:r>
      <w:r>
        <w:rPr>
          <w:b/>
          <w:bCs/>
          <w:spacing w:val="-7"/>
          <w:sz w:val="18"/>
          <w:szCs w:val="18"/>
          <w:lang w:val="es-ES_tradnl"/>
        </w:rPr>
        <w:t>n</w:t>
      </w:r>
    </w:p>
    <w:p w14:paraId="4F67BC50" w14:textId="77777777" w:rsidR="00591D54" w:rsidRDefault="00591D54">
      <w:pPr>
        <w:shd w:val="clear" w:color="auto" w:fill="FFFFFF"/>
        <w:spacing w:before="197" w:line="216" w:lineRule="exact"/>
        <w:jc w:val="both"/>
      </w:pPr>
      <w:r>
        <w:rPr>
          <w:spacing w:val="-5"/>
          <w:sz w:val="18"/>
          <w:szCs w:val="18"/>
          <w:lang w:val="es-ES_tradnl"/>
        </w:rPr>
        <w:t>De conformidad con lo dispuesto en el art</w:t>
      </w:r>
      <w:r>
        <w:rPr>
          <w:rFonts w:cs="Times New Roman"/>
          <w:spacing w:val="-5"/>
          <w:sz w:val="18"/>
          <w:szCs w:val="18"/>
          <w:lang w:val="es-ES_tradnl"/>
        </w:rPr>
        <w:t>í</w:t>
      </w:r>
      <w:r>
        <w:rPr>
          <w:spacing w:val="-5"/>
          <w:sz w:val="18"/>
          <w:szCs w:val="18"/>
          <w:lang w:val="es-ES_tradnl"/>
        </w:rPr>
        <w:t>culo 437 de la Constituci</w:t>
      </w:r>
      <w:r>
        <w:rPr>
          <w:rFonts w:cs="Times New Roman"/>
          <w:spacing w:val="-5"/>
          <w:sz w:val="18"/>
          <w:szCs w:val="18"/>
          <w:lang w:val="es-ES_tradnl"/>
        </w:rPr>
        <w:t>ó</w:t>
      </w:r>
      <w:r>
        <w:rPr>
          <w:spacing w:val="-5"/>
          <w:sz w:val="18"/>
          <w:szCs w:val="18"/>
          <w:lang w:val="es-ES_tradnl"/>
        </w:rPr>
        <w:t>n de la Rep</w:t>
      </w:r>
      <w:r>
        <w:rPr>
          <w:rFonts w:cs="Times New Roman"/>
          <w:spacing w:val="-5"/>
          <w:sz w:val="18"/>
          <w:szCs w:val="18"/>
          <w:lang w:val="es-ES_tradnl"/>
        </w:rPr>
        <w:t>ú</w:t>
      </w:r>
      <w:r>
        <w:rPr>
          <w:spacing w:val="-5"/>
          <w:sz w:val="18"/>
          <w:szCs w:val="18"/>
          <w:lang w:val="es-ES_tradnl"/>
        </w:rPr>
        <w:t xml:space="preserve">blica, la Corte Constitucional es </w:t>
      </w:r>
      <w:r>
        <w:rPr>
          <w:spacing w:val="-9"/>
          <w:sz w:val="18"/>
          <w:szCs w:val="18"/>
          <w:lang w:val="es-ES_tradnl"/>
        </w:rPr>
        <w:t>competente para conocer y resolver la acci</w:t>
      </w:r>
      <w:r>
        <w:rPr>
          <w:rFonts w:cs="Times New Roman"/>
          <w:spacing w:val="-9"/>
          <w:sz w:val="18"/>
          <w:szCs w:val="18"/>
          <w:lang w:val="es-ES_tradnl"/>
        </w:rPr>
        <w:t>ó</w:t>
      </w:r>
      <w:r>
        <w:rPr>
          <w:spacing w:val="-9"/>
          <w:sz w:val="18"/>
          <w:szCs w:val="18"/>
          <w:lang w:val="es-ES_tradnl"/>
        </w:rPr>
        <w:t xml:space="preserve">n extraordinaria </w:t>
      </w:r>
      <w:r>
        <w:rPr>
          <w:spacing w:val="-5"/>
          <w:sz w:val="18"/>
          <w:szCs w:val="18"/>
          <w:lang w:val="es-ES_tradnl"/>
        </w:rPr>
        <w:t>de protecci</w:t>
      </w:r>
      <w:r>
        <w:rPr>
          <w:rFonts w:cs="Times New Roman"/>
          <w:spacing w:val="-5"/>
          <w:sz w:val="18"/>
          <w:szCs w:val="18"/>
          <w:lang w:val="es-ES_tradnl"/>
        </w:rPr>
        <w:t>ó</w:t>
      </w:r>
      <w:r>
        <w:rPr>
          <w:spacing w:val="-5"/>
          <w:sz w:val="18"/>
          <w:szCs w:val="18"/>
          <w:lang w:val="es-ES_tradnl"/>
        </w:rPr>
        <w:t xml:space="preserve">n contra sentencias, autos definitivos y </w:t>
      </w:r>
      <w:r>
        <w:rPr>
          <w:spacing w:val="-9"/>
          <w:sz w:val="18"/>
          <w:szCs w:val="18"/>
          <w:lang w:val="es-ES_tradnl"/>
        </w:rPr>
        <w:t xml:space="preserve">resoluciones con fuerza de sentencia. Lo que se encuentra </w:t>
      </w:r>
      <w:r>
        <w:rPr>
          <w:sz w:val="18"/>
          <w:szCs w:val="18"/>
          <w:lang w:val="es-ES_tradnl"/>
        </w:rPr>
        <w:t>en concordancia con el art</w:t>
      </w:r>
      <w:r>
        <w:rPr>
          <w:rFonts w:cs="Times New Roman"/>
          <w:sz w:val="18"/>
          <w:szCs w:val="18"/>
          <w:lang w:val="es-ES_tradnl"/>
        </w:rPr>
        <w:t>í</w:t>
      </w:r>
      <w:r>
        <w:rPr>
          <w:sz w:val="18"/>
          <w:szCs w:val="18"/>
          <w:lang w:val="es-ES_tradnl"/>
        </w:rPr>
        <w:t xml:space="preserve">culo 58 y siguientes de la </w:t>
      </w:r>
      <w:r>
        <w:rPr>
          <w:spacing w:val="-6"/>
          <w:sz w:val="18"/>
          <w:szCs w:val="18"/>
          <w:lang w:val="es-ES_tradnl"/>
        </w:rPr>
        <w:t>Ley Org</w:t>
      </w:r>
      <w:r>
        <w:rPr>
          <w:rFonts w:cs="Times New Roman"/>
          <w:spacing w:val="-6"/>
          <w:sz w:val="18"/>
          <w:szCs w:val="18"/>
          <w:lang w:val="es-ES_tradnl"/>
        </w:rPr>
        <w:t>á</w:t>
      </w:r>
      <w:r>
        <w:rPr>
          <w:spacing w:val="-6"/>
          <w:sz w:val="18"/>
          <w:szCs w:val="18"/>
          <w:lang w:val="es-ES_tradnl"/>
        </w:rPr>
        <w:t>nica de Garant</w:t>
      </w:r>
      <w:r>
        <w:rPr>
          <w:rFonts w:cs="Times New Roman"/>
          <w:spacing w:val="-6"/>
          <w:sz w:val="18"/>
          <w:szCs w:val="18"/>
          <w:lang w:val="es-ES_tradnl"/>
        </w:rPr>
        <w:t>í</w:t>
      </w:r>
      <w:r>
        <w:rPr>
          <w:spacing w:val="-6"/>
          <w:sz w:val="18"/>
          <w:szCs w:val="18"/>
          <w:lang w:val="es-ES_tradnl"/>
        </w:rPr>
        <w:t xml:space="preserve">as Jurisdiccionales y Control </w:t>
      </w:r>
      <w:r>
        <w:rPr>
          <w:spacing w:val="-5"/>
          <w:sz w:val="18"/>
          <w:szCs w:val="18"/>
          <w:lang w:val="es-ES_tradnl"/>
        </w:rPr>
        <w:t>Constitucional y art</w:t>
      </w:r>
      <w:r>
        <w:rPr>
          <w:rFonts w:cs="Times New Roman"/>
          <w:spacing w:val="-5"/>
          <w:sz w:val="18"/>
          <w:szCs w:val="18"/>
          <w:lang w:val="es-ES_tradnl"/>
        </w:rPr>
        <w:t>í</w:t>
      </w:r>
      <w:r>
        <w:rPr>
          <w:spacing w:val="-5"/>
          <w:sz w:val="18"/>
          <w:szCs w:val="18"/>
          <w:lang w:val="es-ES_tradnl"/>
        </w:rPr>
        <w:t xml:space="preserve">culo 34 y siguientes del Reglamento </w:t>
      </w:r>
      <w:r>
        <w:rPr>
          <w:spacing w:val="-10"/>
          <w:sz w:val="18"/>
          <w:szCs w:val="18"/>
          <w:lang w:val="es-ES_tradnl"/>
        </w:rPr>
        <w:t>de Sustanciaci</w:t>
      </w:r>
      <w:r>
        <w:rPr>
          <w:rFonts w:cs="Times New Roman"/>
          <w:spacing w:val="-10"/>
          <w:sz w:val="18"/>
          <w:szCs w:val="18"/>
          <w:lang w:val="es-ES_tradnl"/>
        </w:rPr>
        <w:t>ó</w:t>
      </w:r>
      <w:r>
        <w:rPr>
          <w:spacing w:val="-10"/>
          <w:sz w:val="18"/>
          <w:szCs w:val="18"/>
          <w:lang w:val="es-ES_tradnl"/>
        </w:rPr>
        <w:t xml:space="preserve">n de Procesos de Competencia de la Corte </w:t>
      </w:r>
      <w:r>
        <w:rPr>
          <w:sz w:val="18"/>
          <w:szCs w:val="18"/>
          <w:lang w:val="es-ES_tradnl"/>
        </w:rPr>
        <w:t>Constitucional.</w:t>
      </w:r>
    </w:p>
    <w:p w14:paraId="4F67BC51" w14:textId="77777777" w:rsidR="00591D54" w:rsidRDefault="00591D54">
      <w:pPr>
        <w:shd w:val="clear" w:color="auto" w:fill="FFFFFF"/>
        <w:spacing w:before="197" w:line="216" w:lineRule="exact"/>
        <w:ind w:right="5"/>
        <w:jc w:val="both"/>
      </w:pPr>
      <w:r>
        <w:rPr>
          <w:spacing w:val="-11"/>
          <w:sz w:val="18"/>
          <w:szCs w:val="18"/>
          <w:lang w:val="es-ES_tradnl"/>
        </w:rPr>
        <w:t>En esencia, la Corte Constitucional, por medio de esta acci</w:t>
      </w:r>
      <w:r>
        <w:rPr>
          <w:rFonts w:cs="Times New Roman"/>
          <w:spacing w:val="-11"/>
          <w:sz w:val="18"/>
          <w:szCs w:val="18"/>
          <w:lang w:val="es-ES_tradnl"/>
        </w:rPr>
        <w:t>ó</w:t>
      </w:r>
      <w:r>
        <w:rPr>
          <w:spacing w:val="-11"/>
          <w:sz w:val="18"/>
          <w:szCs w:val="18"/>
          <w:lang w:val="es-ES_tradnl"/>
        </w:rPr>
        <w:t xml:space="preserve">n </w:t>
      </w:r>
      <w:r>
        <w:rPr>
          <w:spacing w:val="-9"/>
          <w:sz w:val="18"/>
          <w:szCs w:val="18"/>
          <w:lang w:val="es-ES_tradnl"/>
        </w:rPr>
        <w:t>excepcional solo se pronunciar</w:t>
      </w:r>
      <w:r>
        <w:rPr>
          <w:rFonts w:cs="Times New Roman"/>
          <w:spacing w:val="-9"/>
          <w:sz w:val="18"/>
          <w:szCs w:val="18"/>
          <w:lang w:val="es-ES_tradnl"/>
        </w:rPr>
        <w:t>á</w:t>
      </w:r>
      <w:r>
        <w:rPr>
          <w:spacing w:val="-9"/>
          <w:sz w:val="18"/>
          <w:szCs w:val="18"/>
          <w:lang w:val="es-ES_tradnl"/>
        </w:rPr>
        <w:t xml:space="preserve"> respecto a dos cuestiones </w:t>
      </w:r>
      <w:r>
        <w:rPr>
          <w:spacing w:val="-6"/>
          <w:sz w:val="18"/>
          <w:szCs w:val="18"/>
          <w:lang w:val="es-ES_tradnl"/>
        </w:rPr>
        <w:t>principales: la vulneraci</w:t>
      </w:r>
      <w:r>
        <w:rPr>
          <w:rFonts w:cs="Times New Roman"/>
          <w:spacing w:val="-6"/>
          <w:sz w:val="18"/>
          <w:szCs w:val="18"/>
          <w:lang w:val="es-ES_tradnl"/>
        </w:rPr>
        <w:t>ó</w:t>
      </w:r>
      <w:r>
        <w:rPr>
          <w:spacing w:val="-6"/>
          <w:sz w:val="18"/>
          <w:szCs w:val="18"/>
          <w:lang w:val="es-ES_tradnl"/>
        </w:rPr>
        <w:t xml:space="preserve">n de derechos constitucionales o </w:t>
      </w:r>
      <w:r>
        <w:rPr>
          <w:spacing w:val="-7"/>
          <w:sz w:val="18"/>
          <w:szCs w:val="18"/>
          <w:lang w:val="es-ES_tradnl"/>
        </w:rPr>
        <w:t>la violaci</w:t>
      </w:r>
      <w:r>
        <w:rPr>
          <w:rFonts w:cs="Times New Roman"/>
          <w:spacing w:val="-7"/>
          <w:sz w:val="18"/>
          <w:szCs w:val="18"/>
          <w:lang w:val="es-ES_tradnl"/>
        </w:rPr>
        <w:t>ó</w:t>
      </w:r>
      <w:r>
        <w:rPr>
          <w:spacing w:val="-7"/>
          <w:sz w:val="18"/>
          <w:szCs w:val="18"/>
          <w:lang w:val="es-ES_tradnl"/>
        </w:rPr>
        <w:t>n de normas del debido proceso.</w:t>
      </w:r>
    </w:p>
    <w:p w14:paraId="4F67BC52" w14:textId="77777777" w:rsidR="00591D54" w:rsidRDefault="00591D54">
      <w:pPr>
        <w:shd w:val="clear" w:color="auto" w:fill="FFFFFF"/>
        <w:spacing w:before="192" w:line="216" w:lineRule="exact"/>
        <w:ind w:right="5"/>
        <w:jc w:val="both"/>
      </w:pPr>
      <w:r>
        <w:rPr>
          <w:spacing w:val="-5"/>
          <w:sz w:val="18"/>
          <w:szCs w:val="18"/>
          <w:lang w:val="es-ES_tradnl"/>
        </w:rPr>
        <w:t>La naturaleza de la acci</w:t>
      </w:r>
      <w:r>
        <w:rPr>
          <w:rFonts w:cs="Times New Roman"/>
          <w:spacing w:val="-5"/>
          <w:sz w:val="18"/>
          <w:szCs w:val="18"/>
          <w:lang w:val="es-ES_tradnl"/>
        </w:rPr>
        <w:t>ó</w:t>
      </w:r>
      <w:r>
        <w:rPr>
          <w:spacing w:val="-5"/>
          <w:sz w:val="18"/>
          <w:szCs w:val="18"/>
          <w:lang w:val="es-ES_tradnl"/>
        </w:rPr>
        <w:t>n extraordinaria de protecci</w:t>
      </w:r>
      <w:r>
        <w:rPr>
          <w:rFonts w:cs="Times New Roman"/>
          <w:spacing w:val="-5"/>
          <w:sz w:val="18"/>
          <w:szCs w:val="18"/>
          <w:lang w:val="es-ES_tradnl"/>
        </w:rPr>
        <w:t>ó</w:t>
      </w:r>
      <w:r>
        <w:rPr>
          <w:spacing w:val="-5"/>
          <w:sz w:val="18"/>
          <w:szCs w:val="18"/>
          <w:lang w:val="es-ES_tradnl"/>
        </w:rPr>
        <w:t xml:space="preserve">n </w:t>
      </w:r>
      <w:r>
        <w:rPr>
          <w:spacing w:val="-9"/>
          <w:sz w:val="18"/>
          <w:szCs w:val="18"/>
          <w:lang w:val="es-ES_tradnl"/>
        </w:rPr>
        <w:t>consiste en que la vulneraci</w:t>
      </w:r>
      <w:r>
        <w:rPr>
          <w:rFonts w:cs="Times New Roman"/>
          <w:spacing w:val="-9"/>
          <w:sz w:val="18"/>
          <w:szCs w:val="18"/>
          <w:lang w:val="es-ES_tradnl"/>
        </w:rPr>
        <w:t>ó</w:t>
      </w:r>
      <w:r>
        <w:rPr>
          <w:spacing w:val="-9"/>
          <w:sz w:val="18"/>
          <w:szCs w:val="18"/>
          <w:lang w:val="es-ES_tradnl"/>
        </w:rPr>
        <w:t xml:space="preserve">n de derechos constitucionales </w:t>
      </w:r>
      <w:r>
        <w:rPr>
          <w:spacing w:val="-4"/>
          <w:sz w:val="18"/>
          <w:szCs w:val="18"/>
          <w:lang w:val="es-ES_tradnl"/>
        </w:rPr>
        <w:t>o la violaci</w:t>
      </w:r>
      <w:r>
        <w:rPr>
          <w:rFonts w:cs="Times New Roman"/>
          <w:spacing w:val="-4"/>
          <w:sz w:val="18"/>
          <w:szCs w:val="18"/>
          <w:lang w:val="es-ES_tradnl"/>
        </w:rPr>
        <w:t>ó</w:t>
      </w:r>
      <w:r>
        <w:rPr>
          <w:spacing w:val="-4"/>
          <w:sz w:val="18"/>
          <w:szCs w:val="18"/>
          <w:lang w:val="es-ES_tradnl"/>
        </w:rPr>
        <w:t xml:space="preserve">n de normas del debido proceso no queden </w:t>
      </w:r>
      <w:r>
        <w:rPr>
          <w:spacing w:val="-6"/>
          <w:sz w:val="18"/>
          <w:szCs w:val="18"/>
          <w:lang w:val="es-ES_tradnl"/>
        </w:rPr>
        <w:t>en la impunidad, por lo que, asumiendo el esp</w:t>
      </w:r>
      <w:r>
        <w:rPr>
          <w:rFonts w:cs="Times New Roman"/>
          <w:spacing w:val="-6"/>
          <w:sz w:val="18"/>
          <w:szCs w:val="18"/>
          <w:lang w:val="es-ES_tradnl"/>
        </w:rPr>
        <w:t>í</w:t>
      </w:r>
      <w:r>
        <w:rPr>
          <w:spacing w:val="-6"/>
          <w:sz w:val="18"/>
          <w:szCs w:val="18"/>
          <w:lang w:val="es-ES_tradnl"/>
        </w:rPr>
        <w:t xml:space="preserve">ritu tutelar, </w:t>
      </w:r>
      <w:r>
        <w:rPr>
          <w:spacing w:val="-7"/>
          <w:sz w:val="18"/>
          <w:szCs w:val="18"/>
          <w:lang w:val="es-ES_tradnl"/>
        </w:rPr>
        <w:t>la vigente Carta Fundamental, mediante esta garant</w:t>
      </w:r>
      <w:r>
        <w:rPr>
          <w:rFonts w:cs="Times New Roman"/>
          <w:spacing w:val="-7"/>
          <w:sz w:val="18"/>
          <w:szCs w:val="18"/>
          <w:lang w:val="es-ES_tradnl"/>
        </w:rPr>
        <w:t>í</w:t>
      </w:r>
      <w:r>
        <w:rPr>
          <w:spacing w:val="-7"/>
          <w:sz w:val="18"/>
          <w:szCs w:val="18"/>
          <w:lang w:val="es-ES_tradnl"/>
        </w:rPr>
        <w:t xml:space="preserve">a </w:t>
      </w:r>
      <w:r>
        <w:rPr>
          <w:spacing w:val="-2"/>
          <w:sz w:val="18"/>
          <w:szCs w:val="18"/>
          <w:lang w:val="es-ES_tradnl"/>
        </w:rPr>
        <w:t xml:space="preserve">jurisdiccional, permite que las sentencias, autos y </w:t>
      </w:r>
      <w:r>
        <w:rPr>
          <w:spacing w:val="-8"/>
          <w:sz w:val="18"/>
          <w:szCs w:val="18"/>
          <w:lang w:val="es-ES_tradnl"/>
        </w:rPr>
        <w:t xml:space="preserve">resoluciones firmes o ejecutoriados puedan ser analizados </w:t>
      </w:r>
      <w:r>
        <w:rPr>
          <w:sz w:val="18"/>
          <w:szCs w:val="18"/>
          <w:lang w:val="es-ES_tradnl"/>
        </w:rPr>
        <w:t>por parte de la Corte Constitucional.</w:t>
      </w:r>
    </w:p>
    <w:p w14:paraId="4F67BC53" w14:textId="77777777" w:rsidR="00591D54" w:rsidRDefault="00591D54">
      <w:pPr>
        <w:shd w:val="clear" w:color="auto" w:fill="FFFFFF"/>
        <w:spacing w:before="192"/>
      </w:pPr>
      <w:r>
        <w:rPr>
          <w:b/>
          <w:bCs/>
          <w:spacing w:val="-7"/>
          <w:sz w:val="18"/>
          <w:szCs w:val="18"/>
          <w:lang w:val="es-ES_tradnl"/>
        </w:rPr>
        <w:t>Determinaci</w:t>
      </w:r>
      <w:r>
        <w:rPr>
          <w:rFonts w:cs="Times New Roman"/>
          <w:b/>
          <w:bCs/>
          <w:spacing w:val="-7"/>
          <w:sz w:val="18"/>
          <w:szCs w:val="18"/>
          <w:lang w:val="es-ES_tradnl"/>
        </w:rPr>
        <w:t>ó</w:t>
      </w:r>
      <w:r>
        <w:rPr>
          <w:b/>
          <w:bCs/>
          <w:spacing w:val="-7"/>
          <w:sz w:val="18"/>
          <w:szCs w:val="18"/>
          <w:lang w:val="es-ES_tradnl"/>
        </w:rPr>
        <w:t>n del problema jur</w:t>
      </w:r>
      <w:r>
        <w:rPr>
          <w:rFonts w:cs="Times New Roman"/>
          <w:b/>
          <w:bCs/>
          <w:spacing w:val="-7"/>
          <w:sz w:val="18"/>
          <w:szCs w:val="18"/>
          <w:lang w:val="es-ES_tradnl"/>
        </w:rPr>
        <w:t>í</w:t>
      </w:r>
      <w:r>
        <w:rPr>
          <w:b/>
          <w:bCs/>
          <w:spacing w:val="-7"/>
          <w:sz w:val="18"/>
          <w:szCs w:val="18"/>
          <w:lang w:val="es-ES_tradnl"/>
        </w:rPr>
        <w:t>dico</w:t>
      </w:r>
    </w:p>
    <w:p w14:paraId="4F67BC54" w14:textId="77777777" w:rsidR="00591D54" w:rsidRDefault="00591D54">
      <w:pPr>
        <w:shd w:val="clear" w:color="auto" w:fill="FFFFFF"/>
        <w:spacing w:before="192" w:line="216" w:lineRule="exact"/>
        <w:ind w:right="5"/>
        <w:jc w:val="both"/>
      </w:pPr>
      <w:r>
        <w:rPr>
          <w:spacing w:val="-8"/>
          <w:sz w:val="18"/>
          <w:szCs w:val="18"/>
          <w:lang w:val="es-ES_tradnl"/>
        </w:rPr>
        <w:t xml:space="preserve">Para resolver la causa, esta Corte procede a efectuar el </w:t>
      </w:r>
      <w:r>
        <w:rPr>
          <w:spacing w:val="-7"/>
          <w:sz w:val="18"/>
          <w:szCs w:val="18"/>
          <w:lang w:val="es-ES_tradnl"/>
        </w:rPr>
        <w:t>an</w:t>
      </w:r>
      <w:r>
        <w:rPr>
          <w:rFonts w:cs="Times New Roman"/>
          <w:spacing w:val="-7"/>
          <w:sz w:val="18"/>
          <w:szCs w:val="18"/>
          <w:lang w:val="es-ES_tradnl"/>
        </w:rPr>
        <w:t>á</w:t>
      </w:r>
      <w:r>
        <w:rPr>
          <w:spacing w:val="-7"/>
          <w:sz w:val="18"/>
          <w:szCs w:val="18"/>
          <w:lang w:val="es-ES_tradnl"/>
        </w:rPr>
        <w:t xml:space="preserve">lisis de fondo correspondiente, en base al siguiente </w:t>
      </w:r>
      <w:r>
        <w:rPr>
          <w:sz w:val="18"/>
          <w:szCs w:val="18"/>
          <w:lang w:val="es-ES_tradnl"/>
        </w:rPr>
        <w:t>problema jur</w:t>
      </w:r>
      <w:r>
        <w:rPr>
          <w:rFonts w:cs="Times New Roman"/>
          <w:sz w:val="18"/>
          <w:szCs w:val="18"/>
          <w:lang w:val="es-ES_tradnl"/>
        </w:rPr>
        <w:t>í</w:t>
      </w:r>
      <w:r>
        <w:rPr>
          <w:sz w:val="18"/>
          <w:szCs w:val="18"/>
          <w:lang w:val="es-ES_tradnl"/>
        </w:rPr>
        <w:t>dico:</w:t>
      </w:r>
    </w:p>
    <w:p w14:paraId="4F67BC55" w14:textId="77777777" w:rsidR="00591D54" w:rsidRDefault="00591D54">
      <w:pPr>
        <w:shd w:val="clear" w:color="auto" w:fill="FFFFFF"/>
        <w:spacing w:before="192" w:line="216" w:lineRule="exact"/>
        <w:ind w:right="5"/>
        <w:jc w:val="both"/>
      </w:pPr>
      <w:r>
        <w:rPr>
          <w:rFonts w:cs="Times New Roman"/>
          <w:b/>
          <w:bCs/>
          <w:spacing w:val="-12"/>
          <w:sz w:val="18"/>
          <w:szCs w:val="18"/>
          <w:lang w:val="es-ES_tradnl"/>
        </w:rPr>
        <w:t>¿</w:t>
      </w:r>
      <w:r>
        <w:rPr>
          <w:b/>
          <w:bCs/>
          <w:spacing w:val="-12"/>
          <w:sz w:val="18"/>
          <w:szCs w:val="18"/>
          <w:lang w:val="es-ES_tradnl"/>
        </w:rPr>
        <w:t xml:space="preserve">La sentencia expedida por el Juzgado Sexto de Trabajo </w:t>
      </w:r>
      <w:r>
        <w:rPr>
          <w:b/>
          <w:bCs/>
          <w:spacing w:val="-8"/>
          <w:sz w:val="18"/>
          <w:szCs w:val="18"/>
          <w:lang w:val="es-ES_tradnl"/>
        </w:rPr>
        <w:t xml:space="preserve">de Pichincha, el 23 de septiembre de 2011, a las 15h33, </w:t>
      </w:r>
      <w:r>
        <w:rPr>
          <w:b/>
          <w:bCs/>
          <w:spacing w:val="-6"/>
          <w:sz w:val="18"/>
          <w:szCs w:val="18"/>
          <w:lang w:val="es-ES_tradnl"/>
        </w:rPr>
        <w:t xml:space="preserve">dentro del juicio de trabajo N.ᵒ 175-2010, vulnera el </w:t>
      </w:r>
      <w:r>
        <w:rPr>
          <w:b/>
          <w:bCs/>
          <w:spacing w:val="-11"/>
          <w:sz w:val="18"/>
          <w:szCs w:val="18"/>
          <w:lang w:val="es-ES_tradnl"/>
        </w:rPr>
        <w:t xml:space="preserve">derecho constitucional a la defensa y al debido proceso </w:t>
      </w:r>
      <w:r>
        <w:rPr>
          <w:b/>
          <w:bCs/>
          <w:spacing w:val="-12"/>
          <w:sz w:val="18"/>
          <w:szCs w:val="18"/>
          <w:lang w:val="es-ES_tradnl"/>
        </w:rPr>
        <w:t>de los accionantes, establecidos en el art</w:t>
      </w:r>
      <w:r>
        <w:rPr>
          <w:rFonts w:cs="Times New Roman"/>
          <w:b/>
          <w:bCs/>
          <w:spacing w:val="-12"/>
          <w:sz w:val="18"/>
          <w:szCs w:val="18"/>
          <w:lang w:val="es-ES_tradnl"/>
        </w:rPr>
        <w:t>í</w:t>
      </w:r>
      <w:r>
        <w:rPr>
          <w:b/>
          <w:bCs/>
          <w:spacing w:val="-12"/>
          <w:sz w:val="18"/>
          <w:szCs w:val="18"/>
          <w:lang w:val="es-ES_tradnl"/>
        </w:rPr>
        <w:t xml:space="preserve">culo 76 numeral </w:t>
      </w:r>
      <w:r>
        <w:rPr>
          <w:b/>
          <w:bCs/>
          <w:sz w:val="18"/>
          <w:szCs w:val="18"/>
          <w:lang w:val="es-ES_tradnl"/>
        </w:rPr>
        <w:t>7, de la Constituci</w:t>
      </w:r>
      <w:r>
        <w:rPr>
          <w:rFonts w:cs="Times New Roman"/>
          <w:b/>
          <w:bCs/>
          <w:sz w:val="18"/>
          <w:szCs w:val="18"/>
          <w:lang w:val="es-ES_tradnl"/>
        </w:rPr>
        <w:t>ó</w:t>
      </w:r>
      <w:r>
        <w:rPr>
          <w:b/>
          <w:bCs/>
          <w:sz w:val="18"/>
          <w:szCs w:val="18"/>
          <w:lang w:val="es-ES_tradnl"/>
        </w:rPr>
        <w:t>n de la Rep</w:t>
      </w:r>
      <w:r>
        <w:rPr>
          <w:rFonts w:cs="Times New Roman"/>
          <w:b/>
          <w:bCs/>
          <w:sz w:val="18"/>
          <w:szCs w:val="18"/>
          <w:lang w:val="es-ES_tradnl"/>
        </w:rPr>
        <w:t>ú</w:t>
      </w:r>
      <w:r>
        <w:rPr>
          <w:b/>
          <w:bCs/>
          <w:sz w:val="18"/>
          <w:szCs w:val="18"/>
          <w:lang w:val="es-ES_tradnl"/>
        </w:rPr>
        <w:t>blica?</w:t>
      </w:r>
    </w:p>
    <w:p w14:paraId="4F67BC56" w14:textId="77777777" w:rsidR="00591D54" w:rsidRDefault="00591D54">
      <w:pPr>
        <w:shd w:val="clear" w:color="auto" w:fill="FFFFFF"/>
        <w:spacing w:before="197" w:line="216" w:lineRule="exact"/>
        <w:jc w:val="both"/>
      </w:pPr>
      <w:r>
        <w:rPr>
          <w:spacing w:val="-9"/>
          <w:sz w:val="18"/>
          <w:szCs w:val="18"/>
          <w:lang w:val="es-ES_tradnl"/>
        </w:rPr>
        <w:t>La Constituci</w:t>
      </w:r>
      <w:r>
        <w:rPr>
          <w:rFonts w:cs="Times New Roman"/>
          <w:spacing w:val="-9"/>
          <w:sz w:val="18"/>
          <w:szCs w:val="18"/>
          <w:lang w:val="es-ES_tradnl"/>
        </w:rPr>
        <w:t>ó</w:t>
      </w:r>
      <w:r>
        <w:rPr>
          <w:spacing w:val="-9"/>
          <w:sz w:val="18"/>
          <w:szCs w:val="18"/>
          <w:lang w:val="es-ES_tradnl"/>
        </w:rPr>
        <w:t>n de la Rep</w:t>
      </w:r>
      <w:r>
        <w:rPr>
          <w:rFonts w:cs="Times New Roman"/>
          <w:spacing w:val="-9"/>
          <w:sz w:val="18"/>
          <w:szCs w:val="18"/>
          <w:lang w:val="es-ES_tradnl"/>
        </w:rPr>
        <w:t>ú</w:t>
      </w:r>
      <w:r>
        <w:rPr>
          <w:spacing w:val="-9"/>
          <w:sz w:val="18"/>
          <w:szCs w:val="18"/>
          <w:lang w:val="es-ES_tradnl"/>
        </w:rPr>
        <w:t>blica en su art</w:t>
      </w:r>
      <w:r>
        <w:rPr>
          <w:rFonts w:cs="Times New Roman"/>
          <w:spacing w:val="-9"/>
          <w:sz w:val="18"/>
          <w:szCs w:val="18"/>
          <w:lang w:val="es-ES_tradnl"/>
        </w:rPr>
        <w:t>í</w:t>
      </w:r>
      <w:r>
        <w:rPr>
          <w:spacing w:val="-9"/>
          <w:sz w:val="18"/>
          <w:szCs w:val="18"/>
          <w:lang w:val="es-ES_tradnl"/>
        </w:rPr>
        <w:t xml:space="preserve">culo 76, determina </w:t>
      </w:r>
      <w:r>
        <w:rPr>
          <w:spacing w:val="-8"/>
          <w:sz w:val="18"/>
          <w:szCs w:val="18"/>
          <w:lang w:val="es-ES_tradnl"/>
        </w:rPr>
        <w:t xml:space="preserve">el derecho de las personas a que se cumpla con el debido </w:t>
      </w:r>
      <w:r>
        <w:rPr>
          <w:spacing w:val="-7"/>
          <w:sz w:val="18"/>
          <w:szCs w:val="18"/>
          <w:lang w:val="es-ES_tradnl"/>
        </w:rPr>
        <w:t xml:space="preserve">proceso en cualquier procedimiento en que se discutan </w:t>
      </w:r>
      <w:r>
        <w:rPr>
          <w:spacing w:val="-8"/>
          <w:sz w:val="18"/>
          <w:szCs w:val="18"/>
          <w:lang w:val="es-ES_tradnl"/>
        </w:rPr>
        <w:t xml:space="preserve">derechos y obligaciones, sea este de </w:t>
      </w:r>
      <w:r>
        <w:rPr>
          <w:rFonts w:cs="Times New Roman"/>
          <w:spacing w:val="-8"/>
          <w:sz w:val="18"/>
          <w:szCs w:val="18"/>
          <w:lang w:val="es-ES_tradnl"/>
        </w:rPr>
        <w:t>í</w:t>
      </w:r>
      <w:r>
        <w:rPr>
          <w:spacing w:val="-8"/>
          <w:sz w:val="18"/>
          <w:szCs w:val="18"/>
          <w:lang w:val="es-ES_tradnl"/>
        </w:rPr>
        <w:t xml:space="preserve">ndole administrativa, </w:t>
      </w:r>
      <w:r>
        <w:rPr>
          <w:spacing w:val="-5"/>
          <w:sz w:val="18"/>
          <w:szCs w:val="18"/>
          <w:lang w:val="es-ES_tradnl"/>
        </w:rPr>
        <w:t>judicial o constitucional. En tal sentido, el debido proceso</w:t>
      </w:r>
    </w:p>
    <w:p w14:paraId="4F67BC57" w14:textId="77777777" w:rsidR="00591D54" w:rsidRDefault="00591D54">
      <w:pPr>
        <w:shd w:val="clear" w:color="auto" w:fill="FFFFFF"/>
        <w:spacing w:before="10" w:line="216" w:lineRule="exact"/>
        <w:ind w:right="5"/>
        <w:jc w:val="both"/>
      </w:pPr>
      <w:r>
        <w:br w:type="column"/>
      </w:r>
      <w:r>
        <w:rPr>
          <w:spacing w:val="-8"/>
          <w:sz w:val="18"/>
          <w:szCs w:val="18"/>
          <w:lang w:val="es-ES_tradnl"/>
        </w:rPr>
        <w:t>implica el respeto de ciertas garant</w:t>
      </w:r>
      <w:r>
        <w:rPr>
          <w:rFonts w:cs="Times New Roman"/>
          <w:spacing w:val="-8"/>
          <w:sz w:val="18"/>
          <w:szCs w:val="18"/>
          <w:lang w:val="es-ES_tradnl"/>
        </w:rPr>
        <w:t>í</w:t>
      </w:r>
      <w:r>
        <w:rPr>
          <w:spacing w:val="-8"/>
          <w:sz w:val="18"/>
          <w:szCs w:val="18"/>
          <w:lang w:val="es-ES_tradnl"/>
        </w:rPr>
        <w:t>as b</w:t>
      </w:r>
      <w:r>
        <w:rPr>
          <w:rFonts w:cs="Times New Roman"/>
          <w:spacing w:val="-8"/>
          <w:sz w:val="18"/>
          <w:szCs w:val="18"/>
          <w:lang w:val="es-ES_tradnl"/>
        </w:rPr>
        <w:t>á</w:t>
      </w:r>
      <w:r>
        <w:rPr>
          <w:spacing w:val="-8"/>
          <w:sz w:val="18"/>
          <w:szCs w:val="18"/>
          <w:lang w:val="es-ES_tradnl"/>
        </w:rPr>
        <w:t>sicas por parte de las autoridades, con la finalidad de procurar la protecci</w:t>
      </w:r>
      <w:r>
        <w:rPr>
          <w:rFonts w:cs="Times New Roman"/>
          <w:spacing w:val="-8"/>
          <w:sz w:val="18"/>
          <w:szCs w:val="18"/>
          <w:lang w:val="es-ES_tradnl"/>
        </w:rPr>
        <w:t>ó</w:t>
      </w:r>
      <w:r>
        <w:rPr>
          <w:spacing w:val="-8"/>
          <w:sz w:val="18"/>
          <w:szCs w:val="18"/>
          <w:lang w:val="es-ES_tradnl"/>
        </w:rPr>
        <w:t xml:space="preserve">n y </w:t>
      </w:r>
      <w:r>
        <w:rPr>
          <w:spacing w:val="-10"/>
          <w:sz w:val="18"/>
          <w:szCs w:val="18"/>
          <w:lang w:val="es-ES_tradnl"/>
        </w:rPr>
        <w:t xml:space="preserve">el pleno ejercicio de los derechos de las personas sometidas </w:t>
      </w:r>
      <w:r>
        <w:rPr>
          <w:spacing w:val="-5"/>
          <w:sz w:val="18"/>
          <w:szCs w:val="18"/>
          <w:lang w:val="es-ES_tradnl"/>
        </w:rPr>
        <w:t>a cualquier tipo de proceso judicial o administrativo.</w:t>
      </w:r>
    </w:p>
    <w:p w14:paraId="4F67BC58" w14:textId="77777777" w:rsidR="00591D54" w:rsidRDefault="00591D54">
      <w:pPr>
        <w:shd w:val="clear" w:color="auto" w:fill="FFFFFF"/>
        <w:spacing w:before="197" w:line="216" w:lineRule="exact"/>
        <w:jc w:val="both"/>
      </w:pPr>
      <w:r>
        <w:rPr>
          <w:spacing w:val="-7"/>
          <w:sz w:val="18"/>
          <w:szCs w:val="18"/>
          <w:lang w:val="es-ES_tradnl"/>
        </w:rPr>
        <w:t xml:space="preserve">Al referirnos al debido proceso se debe mencionar que la </w:t>
      </w:r>
      <w:r>
        <w:rPr>
          <w:spacing w:val="-8"/>
          <w:sz w:val="18"/>
          <w:szCs w:val="18"/>
          <w:lang w:val="es-ES_tradnl"/>
        </w:rPr>
        <w:t>Corte Constitucional estableci</w:t>
      </w:r>
      <w:r>
        <w:rPr>
          <w:rFonts w:cs="Times New Roman"/>
          <w:spacing w:val="-8"/>
          <w:sz w:val="18"/>
          <w:szCs w:val="18"/>
          <w:lang w:val="es-ES_tradnl"/>
        </w:rPr>
        <w:t>ó</w:t>
      </w:r>
      <w:r>
        <w:rPr>
          <w:spacing w:val="-8"/>
          <w:sz w:val="18"/>
          <w:szCs w:val="18"/>
          <w:lang w:val="es-ES_tradnl"/>
        </w:rPr>
        <w:t xml:space="preserve">, mediante la sentencia N.ᵒ </w:t>
      </w:r>
      <w:r>
        <w:rPr>
          <w:sz w:val="18"/>
          <w:szCs w:val="18"/>
          <w:lang w:val="es-ES_tradnl"/>
        </w:rPr>
        <w:t>006-13-SEP-CC, que:</w:t>
      </w:r>
    </w:p>
    <w:p w14:paraId="4F67BC59" w14:textId="77777777" w:rsidR="00591D54" w:rsidRDefault="00591D54">
      <w:pPr>
        <w:shd w:val="clear" w:color="auto" w:fill="FFFFFF"/>
        <w:spacing w:before="202" w:line="211" w:lineRule="exact"/>
        <w:ind w:left="283" w:right="5"/>
        <w:jc w:val="both"/>
      </w:pPr>
      <w:r>
        <w:rPr>
          <w:sz w:val="14"/>
          <w:szCs w:val="14"/>
          <w:lang w:val="es-ES_tradnl"/>
        </w:rPr>
        <w:t>(</w:t>
      </w:r>
      <w:r>
        <w:rPr>
          <w:rFonts w:cs="Times New Roman"/>
          <w:sz w:val="14"/>
          <w:szCs w:val="14"/>
          <w:lang w:val="es-ES_tradnl"/>
        </w:rPr>
        <w:t>…</w:t>
      </w:r>
      <w:r>
        <w:rPr>
          <w:sz w:val="14"/>
          <w:szCs w:val="14"/>
          <w:lang w:val="es-ES_tradnl"/>
        </w:rPr>
        <w:t>) el debido proceso representa sin duda alguna, el eje articulador de la validez procesal toda vez que la vulneraci</w:t>
      </w:r>
      <w:r>
        <w:rPr>
          <w:rFonts w:cs="Times New Roman"/>
          <w:sz w:val="14"/>
          <w:szCs w:val="14"/>
          <w:lang w:val="es-ES_tradnl"/>
        </w:rPr>
        <w:t>ó</w:t>
      </w:r>
      <w:r>
        <w:rPr>
          <w:sz w:val="14"/>
          <w:szCs w:val="14"/>
          <w:lang w:val="es-ES_tradnl"/>
        </w:rPr>
        <w:t>n de sus garant</w:t>
      </w:r>
      <w:r>
        <w:rPr>
          <w:rFonts w:cs="Times New Roman"/>
          <w:sz w:val="14"/>
          <w:szCs w:val="14"/>
          <w:lang w:val="es-ES_tradnl"/>
        </w:rPr>
        <w:t>í</w:t>
      </w:r>
      <w:r>
        <w:rPr>
          <w:sz w:val="14"/>
          <w:szCs w:val="14"/>
          <w:lang w:val="es-ES_tradnl"/>
        </w:rPr>
        <w:t>as constituyen un atentado grave a los derechos de las personas dentro de una causa y consecuentemente, representa una vulneraci</w:t>
      </w:r>
      <w:r>
        <w:rPr>
          <w:rFonts w:cs="Times New Roman"/>
          <w:sz w:val="14"/>
          <w:szCs w:val="14"/>
          <w:lang w:val="es-ES_tradnl"/>
        </w:rPr>
        <w:t>ó</w:t>
      </w:r>
      <w:r>
        <w:rPr>
          <w:sz w:val="14"/>
          <w:szCs w:val="14"/>
          <w:lang w:val="es-ES_tradnl"/>
        </w:rPr>
        <w:t>n al Estado y a su seguridad jur</w:t>
      </w:r>
      <w:r>
        <w:rPr>
          <w:rFonts w:cs="Times New Roman"/>
          <w:sz w:val="14"/>
          <w:szCs w:val="14"/>
          <w:lang w:val="es-ES_tradnl"/>
        </w:rPr>
        <w:t>í</w:t>
      </w:r>
      <w:r>
        <w:rPr>
          <w:sz w:val="14"/>
          <w:szCs w:val="14"/>
          <w:lang w:val="es-ES_tradnl"/>
        </w:rPr>
        <w:t>dica, considerando que dichas normas del debido proceso son las encargadas de asegurar que una causa se ventile bajo el total respeto de derechos y garant</w:t>
      </w:r>
      <w:r>
        <w:rPr>
          <w:rFonts w:cs="Times New Roman"/>
          <w:sz w:val="14"/>
          <w:szCs w:val="14"/>
          <w:lang w:val="es-ES_tradnl"/>
        </w:rPr>
        <w:t>í</w:t>
      </w:r>
      <w:r>
        <w:rPr>
          <w:sz w:val="14"/>
          <w:szCs w:val="14"/>
          <w:lang w:val="es-ES_tradnl"/>
        </w:rPr>
        <w:t>as constitucionales, que sin garant</w:t>
      </w:r>
      <w:r>
        <w:rPr>
          <w:rFonts w:cs="Times New Roman"/>
          <w:sz w:val="14"/>
          <w:szCs w:val="14"/>
          <w:lang w:val="es-ES_tradnl"/>
        </w:rPr>
        <w:t>í</w:t>
      </w:r>
      <w:r>
        <w:rPr>
          <w:sz w:val="14"/>
          <w:szCs w:val="14"/>
          <w:lang w:val="es-ES_tradnl"/>
        </w:rPr>
        <w:t>as procesales claras y efectivas, no habr</w:t>
      </w:r>
      <w:r>
        <w:rPr>
          <w:rFonts w:cs="Times New Roman"/>
          <w:sz w:val="14"/>
          <w:szCs w:val="14"/>
          <w:lang w:val="es-ES_tradnl"/>
        </w:rPr>
        <w:t>í</w:t>
      </w:r>
      <w:r>
        <w:rPr>
          <w:sz w:val="14"/>
          <w:szCs w:val="14"/>
          <w:lang w:val="es-ES_tradnl"/>
        </w:rPr>
        <w:t>a posibilidad alguna de desarrollar los derechos fundamentales</w:t>
      </w:r>
      <w:r>
        <w:rPr>
          <w:sz w:val="14"/>
          <w:szCs w:val="14"/>
          <w:vertAlign w:val="superscript"/>
          <w:lang w:val="es-ES_tradnl"/>
        </w:rPr>
        <w:t>1</w:t>
      </w:r>
      <w:r>
        <w:rPr>
          <w:sz w:val="14"/>
          <w:szCs w:val="14"/>
          <w:lang w:val="es-ES_tradnl"/>
        </w:rPr>
        <w:t>.</w:t>
      </w:r>
    </w:p>
    <w:p w14:paraId="4F67BC5A" w14:textId="77777777" w:rsidR="00591D54" w:rsidRDefault="00591D54">
      <w:pPr>
        <w:shd w:val="clear" w:color="auto" w:fill="FFFFFF"/>
        <w:spacing w:before="197" w:line="216" w:lineRule="exact"/>
        <w:ind w:right="5"/>
        <w:jc w:val="both"/>
      </w:pPr>
      <w:r>
        <w:rPr>
          <w:spacing w:val="-9"/>
          <w:sz w:val="18"/>
          <w:szCs w:val="18"/>
          <w:lang w:val="es-ES_tradnl"/>
        </w:rPr>
        <w:t>Entre las garant</w:t>
      </w:r>
      <w:r>
        <w:rPr>
          <w:rFonts w:cs="Times New Roman"/>
          <w:spacing w:val="-9"/>
          <w:sz w:val="18"/>
          <w:szCs w:val="18"/>
          <w:lang w:val="es-ES_tradnl"/>
        </w:rPr>
        <w:t>í</w:t>
      </w:r>
      <w:r>
        <w:rPr>
          <w:spacing w:val="-9"/>
          <w:sz w:val="18"/>
          <w:szCs w:val="18"/>
          <w:lang w:val="es-ES_tradnl"/>
        </w:rPr>
        <w:t>as previstas por la Constituci</w:t>
      </w:r>
      <w:r>
        <w:rPr>
          <w:rFonts w:cs="Times New Roman"/>
          <w:spacing w:val="-9"/>
          <w:sz w:val="18"/>
          <w:szCs w:val="18"/>
          <w:lang w:val="es-ES_tradnl"/>
        </w:rPr>
        <w:t>ó</w:t>
      </w:r>
      <w:r>
        <w:rPr>
          <w:spacing w:val="-9"/>
          <w:sz w:val="18"/>
          <w:szCs w:val="18"/>
          <w:lang w:val="es-ES_tradnl"/>
        </w:rPr>
        <w:t xml:space="preserve">n como parte del derecho al debido proceso, se encuentra el derecho a la </w:t>
      </w:r>
      <w:r>
        <w:rPr>
          <w:spacing w:val="-12"/>
          <w:sz w:val="18"/>
          <w:szCs w:val="18"/>
          <w:lang w:val="es-ES_tradnl"/>
        </w:rPr>
        <w:t>defensa, el cual como lo se</w:t>
      </w:r>
      <w:r>
        <w:rPr>
          <w:rFonts w:cs="Times New Roman"/>
          <w:spacing w:val="-12"/>
          <w:sz w:val="18"/>
          <w:szCs w:val="18"/>
          <w:lang w:val="es-ES_tradnl"/>
        </w:rPr>
        <w:t>ñ</w:t>
      </w:r>
      <w:r>
        <w:rPr>
          <w:spacing w:val="-12"/>
          <w:sz w:val="18"/>
          <w:szCs w:val="18"/>
          <w:lang w:val="es-ES_tradnl"/>
        </w:rPr>
        <w:t>ala la sentencia N.ᵒ 018-15-SEP-</w:t>
      </w:r>
      <w:r>
        <w:rPr>
          <w:spacing w:val="-9"/>
          <w:sz w:val="18"/>
          <w:szCs w:val="18"/>
          <w:lang w:val="es-ES_tradnl"/>
        </w:rPr>
        <w:t>CC, dentro de la causa N.ᵒ 1665-11-EP tiene por objeto:</w:t>
      </w:r>
    </w:p>
    <w:p w14:paraId="4F67BC5B" w14:textId="77777777" w:rsidR="00591D54" w:rsidRDefault="00591D54">
      <w:pPr>
        <w:shd w:val="clear" w:color="auto" w:fill="FFFFFF"/>
        <w:spacing w:before="202" w:line="216" w:lineRule="exact"/>
        <w:ind w:left="283" w:right="5"/>
        <w:jc w:val="both"/>
      </w:pPr>
      <w:r>
        <w:rPr>
          <w:sz w:val="14"/>
          <w:szCs w:val="14"/>
          <w:lang w:val="es-ES_tradnl"/>
        </w:rPr>
        <w:t>(</w:t>
      </w:r>
      <w:r>
        <w:rPr>
          <w:rFonts w:cs="Times New Roman"/>
          <w:sz w:val="14"/>
          <w:szCs w:val="14"/>
          <w:lang w:val="es-ES_tradnl"/>
        </w:rPr>
        <w:t>…</w:t>
      </w:r>
      <w:r>
        <w:rPr>
          <w:sz w:val="14"/>
          <w:szCs w:val="14"/>
          <w:lang w:val="es-ES_tradnl"/>
        </w:rPr>
        <w:t>) garantizar que las partes procesales accedan a la justicia en igualdad de condiciones y entre otras cosas, sean o</w:t>
      </w:r>
      <w:r>
        <w:rPr>
          <w:rFonts w:cs="Times New Roman"/>
          <w:sz w:val="14"/>
          <w:szCs w:val="14"/>
          <w:lang w:val="es-ES_tradnl"/>
        </w:rPr>
        <w:t>í</w:t>
      </w:r>
      <w:r>
        <w:rPr>
          <w:sz w:val="14"/>
          <w:szCs w:val="14"/>
          <w:lang w:val="es-ES_tradnl"/>
        </w:rPr>
        <w:t xml:space="preserve">das por </w:t>
      </w:r>
      <w:r>
        <w:rPr>
          <w:spacing w:val="-2"/>
          <w:sz w:val="14"/>
          <w:szCs w:val="14"/>
          <w:lang w:val="es-ES_tradnl"/>
        </w:rPr>
        <w:t xml:space="preserve">el juez de la causa, puedan presentar sus argumentos y pruebas, </w:t>
      </w:r>
      <w:r>
        <w:rPr>
          <w:sz w:val="14"/>
          <w:szCs w:val="14"/>
          <w:lang w:val="es-ES_tradnl"/>
        </w:rPr>
        <w:t>as</w:t>
      </w:r>
      <w:r>
        <w:rPr>
          <w:rFonts w:cs="Times New Roman"/>
          <w:sz w:val="14"/>
          <w:szCs w:val="14"/>
          <w:lang w:val="es-ES_tradnl"/>
        </w:rPr>
        <w:t>í</w:t>
      </w:r>
      <w:r>
        <w:rPr>
          <w:sz w:val="14"/>
          <w:szCs w:val="14"/>
          <w:lang w:val="es-ES_tradnl"/>
        </w:rPr>
        <w:t xml:space="preserve"> como contradecir y objetar las pruebas en su contra o, ejercitar los recursos de los cuales se consideren asistidos.</w:t>
      </w:r>
    </w:p>
    <w:p w14:paraId="4F67BC5C" w14:textId="77777777" w:rsidR="00591D54" w:rsidRDefault="00591D54">
      <w:pPr>
        <w:shd w:val="clear" w:color="auto" w:fill="FFFFFF"/>
        <w:spacing w:before="202" w:line="216" w:lineRule="exact"/>
        <w:ind w:right="5"/>
        <w:jc w:val="both"/>
      </w:pPr>
      <w:r>
        <w:rPr>
          <w:spacing w:val="-10"/>
          <w:sz w:val="18"/>
          <w:szCs w:val="18"/>
          <w:lang w:val="es-ES_tradnl"/>
        </w:rPr>
        <w:t>Respecto a la observancia del debido proceso en la garant</w:t>
      </w:r>
      <w:r>
        <w:rPr>
          <w:rFonts w:cs="Times New Roman"/>
          <w:spacing w:val="-10"/>
          <w:sz w:val="18"/>
          <w:szCs w:val="18"/>
          <w:lang w:val="es-ES_tradnl"/>
        </w:rPr>
        <w:t>í</w:t>
      </w:r>
      <w:r>
        <w:rPr>
          <w:spacing w:val="-10"/>
          <w:sz w:val="18"/>
          <w:szCs w:val="18"/>
          <w:lang w:val="es-ES_tradnl"/>
        </w:rPr>
        <w:t xml:space="preserve">a </w:t>
      </w:r>
      <w:r>
        <w:rPr>
          <w:spacing w:val="-5"/>
          <w:sz w:val="18"/>
          <w:szCs w:val="18"/>
          <w:lang w:val="es-ES_tradnl"/>
        </w:rPr>
        <w:t xml:space="preserve">de la defensa por parte de las autoridades judiciales, la </w:t>
      </w:r>
      <w:r>
        <w:rPr>
          <w:spacing w:val="-7"/>
          <w:sz w:val="18"/>
          <w:szCs w:val="18"/>
          <w:lang w:val="es-ES_tradnl"/>
        </w:rPr>
        <w:t>Corte Constitucional en la sentencia N.</w:t>
      </w:r>
      <w:r>
        <w:rPr>
          <w:rFonts w:cs="Times New Roman"/>
          <w:spacing w:val="-7"/>
          <w:sz w:val="18"/>
          <w:szCs w:val="18"/>
          <w:lang w:val="es-ES_tradnl"/>
        </w:rPr>
        <w:t>º</w:t>
      </w:r>
      <w:r>
        <w:rPr>
          <w:spacing w:val="-7"/>
          <w:sz w:val="18"/>
          <w:szCs w:val="18"/>
          <w:lang w:val="es-ES_tradnl"/>
        </w:rPr>
        <w:t xml:space="preserve"> 008-13-SCN-CC, </w:t>
      </w:r>
      <w:r>
        <w:rPr>
          <w:spacing w:val="-9"/>
          <w:sz w:val="18"/>
          <w:szCs w:val="18"/>
          <w:lang w:val="es-ES_tradnl"/>
        </w:rPr>
        <w:t>estableci</w:t>
      </w:r>
      <w:r>
        <w:rPr>
          <w:rFonts w:cs="Times New Roman"/>
          <w:spacing w:val="-9"/>
          <w:sz w:val="18"/>
          <w:szCs w:val="18"/>
          <w:lang w:val="es-ES_tradnl"/>
        </w:rPr>
        <w:t>ó</w:t>
      </w:r>
      <w:r>
        <w:rPr>
          <w:spacing w:val="-9"/>
          <w:sz w:val="18"/>
          <w:szCs w:val="18"/>
          <w:lang w:val="es-ES_tradnl"/>
        </w:rPr>
        <w:t xml:space="preserve"> una adecuada relaci</w:t>
      </w:r>
      <w:r>
        <w:rPr>
          <w:rFonts w:cs="Times New Roman"/>
          <w:spacing w:val="-9"/>
          <w:sz w:val="18"/>
          <w:szCs w:val="18"/>
          <w:lang w:val="es-ES_tradnl"/>
        </w:rPr>
        <w:t>ó</w:t>
      </w:r>
      <w:r>
        <w:rPr>
          <w:spacing w:val="-9"/>
          <w:sz w:val="18"/>
          <w:szCs w:val="18"/>
          <w:lang w:val="es-ES_tradnl"/>
        </w:rPr>
        <w:t>n entre aquellos, se</w:t>
      </w:r>
      <w:r>
        <w:rPr>
          <w:rFonts w:cs="Times New Roman"/>
          <w:spacing w:val="-9"/>
          <w:sz w:val="18"/>
          <w:szCs w:val="18"/>
          <w:lang w:val="es-ES_tradnl"/>
        </w:rPr>
        <w:t>ñ</w:t>
      </w:r>
      <w:r>
        <w:rPr>
          <w:spacing w:val="-9"/>
          <w:sz w:val="18"/>
          <w:szCs w:val="18"/>
          <w:lang w:val="es-ES_tradnl"/>
        </w:rPr>
        <w:t xml:space="preserve">alando </w:t>
      </w:r>
      <w:r>
        <w:rPr>
          <w:sz w:val="18"/>
          <w:szCs w:val="18"/>
          <w:lang w:val="es-ES_tradnl"/>
        </w:rPr>
        <w:t>que:</w:t>
      </w:r>
    </w:p>
    <w:p w14:paraId="4F67BC5D" w14:textId="77777777" w:rsidR="00591D54" w:rsidRDefault="00591D54">
      <w:pPr>
        <w:shd w:val="clear" w:color="auto" w:fill="FFFFFF"/>
        <w:spacing w:before="206" w:line="211" w:lineRule="exact"/>
        <w:ind w:left="283" w:right="5"/>
        <w:jc w:val="both"/>
      </w:pPr>
      <w:r>
        <w:rPr>
          <w:sz w:val="14"/>
          <w:szCs w:val="14"/>
          <w:lang w:val="es-ES_tradnl"/>
        </w:rPr>
        <w:t>Una de las principales garant</w:t>
      </w:r>
      <w:r>
        <w:rPr>
          <w:rFonts w:cs="Times New Roman"/>
          <w:sz w:val="14"/>
          <w:szCs w:val="14"/>
          <w:lang w:val="es-ES_tradnl"/>
        </w:rPr>
        <w:t>í</w:t>
      </w:r>
      <w:r>
        <w:rPr>
          <w:sz w:val="14"/>
          <w:szCs w:val="14"/>
          <w:lang w:val="es-ES_tradnl"/>
        </w:rPr>
        <w:t xml:space="preserve">as del debido proceso es precisamente el derecho a la defensa, entendido como la oportunidad reconocida a toda persona, en el </w:t>
      </w:r>
      <w:r>
        <w:rPr>
          <w:rFonts w:cs="Times New Roman"/>
          <w:sz w:val="14"/>
          <w:szCs w:val="14"/>
          <w:lang w:val="es-ES_tradnl"/>
        </w:rPr>
        <w:t>á</w:t>
      </w:r>
      <w:r>
        <w:rPr>
          <w:sz w:val="14"/>
          <w:szCs w:val="14"/>
          <w:lang w:val="es-ES_tradnl"/>
        </w:rPr>
        <w:t>mbito de cualquier proceso o actuaci</w:t>
      </w:r>
      <w:r>
        <w:rPr>
          <w:rFonts w:cs="Times New Roman"/>
          <w:sz w:val="14"/>
          <w:szCs w:val="14"/>
          <w:lang w:val="es-ES_tradnl"/>
        </w:rPr>
        <w:t>ó</w:t>
      </w:r>
      <w:r>
        <w:rPr>
          <w:sz w:val="14"/>
          <w:szCs w:val="14"/>
          <w:lang w:val="es-ES_tradnl"/>
        </w:rPr>
        <w:t>n judicial o administrativa, de ser o</w:t>
      </w:r>
      <w:r>
        <w:rPr>
          <w:rFonts w:cs="Times New Roman"/>
          <w:sz w:val="14"/>
          <w:szCs w:val="14"/>
          <w:lang w:val="es-ES_tradnl"/>
        </w:rPr>
        <w:t>í</w:t>
      </w:r>
      <w:r>
        <w:rPr>
          <w:sz w:val="14"/>
          <w:szCs w:val="14"/>
          <w:lang w:val="es-ES_tradnl"/>
        </w:rPr>
        <w:t>da, de hacer valer las razones y argumentos, de controvertir, contradecir y objetar las pruebas en contra de solicitar la pr</w:t>
      </w:r>
      <w:r>
        <w:rPr>
          <w:rFonts w:cs="Times New Roman"/>
          <w:sz w:val="14"/>
          <w:szCs w:val="14"/>
          <w:lang w:val="es-ES_tradnl"/>
        </w:rPr>
        <w:t>á</w:t>
      </w:r>
      <w:r>
        <w:rPr>
          <w:sz w:val="14"/>
          <w:szCs w:val="14"/>
          <w:lang w:val="es-ES_tradnl"/>
        </w:rPr>
        <w:t>ctica y evaluaci</w:t>
      </w:r>
      <w:r>
        <w:rPr>
          <w:rFonts w:cs="Times New Roman"/>
          <w:sz w:val="14"/>
          <w:szCs w:val="14"/>
          <w:lang w:val="es-ES_tradnl"/>
        </w:rPr>
        <w:t>ó</w:t>
      </w:r>
      <w:r>
        <w:rPr>
          <w:sz w:val="14"/>
          <w:szCs w:val="14"/>
          <w:lang w:val="es-ES_tradnl"/>
        </w:rPr>
        <w:t>n de las que se estiman favorables, as</w:t>
      </w:r>
      <w:r>
        <w:rPr>
          <w:rFonts w:cs="Times New Roman"/>
          <w:sz w:val="14"/>
          <w:szCs w:val="14"/>
          <w:lang w:val="es-ES_tradnl"/>
        </w:rPr>
        <w:t xml:space="preserve">í </w:t>
      </w:r>
      <w:r>
        <w:rPr>
          <w:sz w:val="14"/>
          <w:szCs w:val="14"/>
          <w:lang w:val="es-ES_tradnl"/>
        </w:rPr>
        <w:t>como ejercitar los recursos que la ley otorga</w:t>
      </w:r>
      <w:r>
        <w:rPr>
          <w:sz w:val="14"/>
          <w:szCs w:val="14"/>
          <w:vertAlign w:val="superscript"/>
          <w:lang w:val="es-ES_tradnl"/>
        </w:rPr>
        <w:t>2</w:t>
      </w:r>
      <w:r>
        <w:rPr>
          <w:sz w:val="14"/>
          <w:szCs w:val="14"/>
          <w:lang w:val="es-ES_tradnl"/>
        </w:rPr>
        <w:t>.</w:t>
      </w:r>
    </w:p>
    <w:p w14:paraId="4F67BC5E" w14:textId="77777777" w:rsidR="00591D54" w:rsidRDefault="00591D54">
      <w:pPr>
        <w:shd w:val="clear" w:color="auto" w:fill="FFFFFF"/>
        <w:spacing w:before="202" w:line="216" w:lineRule="exact"/>
        <w:ind w:right="5"/>
        <w:jc w:val="both"/>
      </w:pPr>
      <w:r>
        <w:rPr>
          <w:spacing w:val="-10"/>
          <w:sz w:val="18"/>
          <w:szCs w:val="18"/>
          <w:lang w:val="es-ES_tradnl"/>
        </w:rPr>
        <w:t>Los accionantes, se</w:t>
      </w:r>
      <w:r>
        <w:rPr>
          <w:rFonts w:cs="Times New Roman"/>
          <w:spacing w:val="-10"/>
          <w:sz w:val="18"/>
          <w:szCs w:val="18"/>
          <w:lang w:val="es-ES_tradnl"/>
        </w:rPr>
        <w:t>ñ</w:t>
      </w:r>
      <w:r>
        <w:rPr>
          <w:spacing w:val="-10"/>
          <w:sz w:val="18"/>
          <w:szCs w:val="18"/>
          <w:lang w:val="es-ES_tradnl"/>
        </w:rPr>
        <w:t>ores Emperatriz Mu</w:t>
      </w:r>
      <w:r>
        <w:rPr>
          <w:rFonts w:cs="Times New Roman"/>
          <w:spacing w:val="-10"/>
          <w:sz w:val="18"/>
          <w:szCs w:val="18"/>
          <w:lang w:val="es-ES_tradnl"/>
        </w:rPr>
        <w:t>ñ</w:t>
      </w:r>
      <w:r>
        <w:rPr>
          <w:spacing w:val="-10"/>
          <w:sz w:val="18"/>
          <w:szCs w:val="18"/>
          <w:lang w:val="es-ES_tradnl"/>
        </w:rPr>
        <w:t>etones Hern</w:t>
      </w:r>
      <w:r>
        <w:rPr>
          <w:rFonts w:cs="Times New Roman"/>
          <w:spacing w:val="-10"/>
          <w:sz w:val="18"/>
          <w:szCs w:val="18"/>
          <w:lang w:val="es-ES_tradnl"/>
        </w:rPr>
        <w:t>á</w:t>
      </w:r>
      <w:r>
        <w:rPr>
          <w:spacing w:val="-10"/>
          <w:sz w:val="18"/>
          <w:szCs w:val="18"/>
          <w:lang w:val="es-ES_tradnl"/>
        </w:rPr>
        <w:t xml:space="preserve">ndez </w:t>
      </w:r>
      <w:r>
        <w:rPr>
          <w:spacing w:val="-6"/>
          <w:sz w:val="18"/>
          <w:szCs w:val="18"/>
          <w:lang w:val="es-ES_tradnl"/>
        </w:rPr>
        <w:t>y Omar Josu</w:t>
      </w:r>
      <w:r>
        <w:rPr>
          <w:rFonts w:cs="Times New Roman"/>
          <w:spacing w:val="-6"/>
          <w:sz w:val="18"/>
          <w:szCs w:val="18"/>
          <w:lang w:val="es-ES_tradnl"/>
        </w:rPr>
        <w:t>é</w:t>
      </w:r>
      <w:r>
        <w:rPr>
          <w:spacing w:val="-6"/>
          <w:sz w:val="18"/>
          <w:szCs w:val="18"/>
          <w:lang w:val="es-ES_tradnl"/>
        </w:rPr>
        <w:t xml:space="preserve"> Jaramillo Mu</w:t>
      </w:r>
      <w:r>
        <w:rPr>
          <w:rFonts w:cs="Times New Roman"/>
          <w:spacing w:val="-6"/>
          <w:sz w:val="18"/>
          <w:szCs w:val="18"/>
          <w:lang w:val="es-ES_tradnl"/>
        </w:rPr>
        <w:t>ñ</w:t>
      </w:r>
      <w:r>
        <w:rPr>
          <w:spacing w:val="-6"/>
          <w:sz w:val="18"/>
          <w:szCs w:val="18"/>
          <w:lang w:val="es-ES_tradnl"/>
        </w:rPr>
        <w:t xml:space="preserve">etones, manifiestan en su </w:t>
      </w:r>
      <w:r>
        <w:rPr>
          <w:spacing w:val="-4"/>
          <w:sz w:val="18"/>
          <w:szCs w:val="18"/>
          <w:lang w:val="es-ES_tradnl"/>
        </w:rPr>
        <w:t xml:space="preserve">demanda, que la sentencia emitida el 23 de septiembre </w:t>
      </w:r>
      <w:r>
        <w:rPr>
          <w:spacing w:val="-8"/>
          <w:sz w:val="18"/>
          <w:szCs w:val="18"/>
          <w:lang w:val="es-ES_tradnl"/>
        </w:rPr>
        <w:t xml:space="preserve">de 2011, a las 15h33, por el Juzgado Sexto de Trabajo de </w:t>
      </w:r>
      <w:r>
        <w:rPr>
          <w:spacing w:val="-7"/>
          <w:sz w:val="18"/>
          <w:szCs w:val="18"/>
          <w:lang w:val="es-ES_tradnl"/>
        </w:rPr>
        <w:t>Pichincha, vulner</w:t>
      </w:r>
      <w:r>
        <w:rPr>
          <w:rFonts w:cs="Times New Roman"/>
          <w:spacing w:val="-7"/>
          <w:sz w:val="18"/>
          <w:szCs w:val="18"/>
          <w:lang w:val="es-ES_tradnl"/>
        </w:rPr>
        <w:t>ó</w:t>
      </w:r>
      <w:r>
        <w:rPr>
          <w:spacing w:val="-7"/>
          <w:sz w:val="18"/>
          <w:szCs w:val="18"/>
          <w:lang w:val="es-ES_tradnl"/>
        </w:rPr>
        <w:t xml:space="preserve"> sus derechos a la defensa y al debido </w:t>
      </w:r>
      <w:r>
        <w:rPr>
          <w:spacing w:val="-11"/>
          <w:sz w:val="18"/>
          <w:szCs w:val="18"/>
          <w:lang w:val="es-ES_tradnl"/>
        </w:rPr>
        <w:t xml:space="preserve">proceso, debido a que argumentan no haber sido notificados </w:t>
      </w:r>
      <w:r>
        <w:rPr>
          <w:spacing w:val="-8"/>
          <w:sz w:val="18"/>
          <w:szCs w:val="18"/>
          <w:lang w:val="es-ES_tradnl"/>
        </w:rPr>
        <w:t>dentro del juicio de trabajo que se segu</w:t>
      </w:r>
      <w:r>
        <w:rPr>
          <w:rFonts w:cs="Times New Roman"/>
          <w:spacing w:val="-8"/>
          <w:sz w:val="18"/>
          <w:szCs w:val="18"/>
          <w:lang w:val="es-ES_tradnl"/>
        </w:rPr>
        <w:t>í</w:t>
      </w:r>
      <w:r>
        <w:rPr>
          <w:spacing w:val="-8"/>
          <w:sz w:val="18"/>
          <w:szCs w:val="18"/>
          <w:lang w:val="es-ES_tradnl"/>
        </w:rPr>
        <w:t>a en su contra.</w:t>
      </w:r>
    </w:p>
    <w:p w14:paraId="4F67BC5F" w14:textId="77777777" w:rsidR="00591D54" w:rsidRDefault="00591D54">
      <w:pPr>
        <w:shd w:val="clear" w:color="auto" w:fill="FFFFFF"/>
        <w:spacing w:before="197" w:line="216" w:lineRule="exact"/>
        <w:ind w:right="5"/>
        <w:jc w:val="both"/>
      </w:pPr>
      <w:r>
        <w:rPr>
          <w:spacing w:val="-4"/>
          <w:sz w:val="18"/>
          <w:szCs w:val="18"/>
          <w:lang w:val="es-ES_tradnl"/>
        </w:rPr>
        <w:t xml:space="preserve">Las razones de las citaciones que constan dentro del </w:t>
      </w:r>
      <w:r>
        <w:rPr>
          <w:spacing w:val="-10"/>
          <w:sz w:val="18"/>
          <w:szCs w:val="18"/>
          <w:lang w:val="es-ES_tradnl"/>
        </w:rPr>
        <w:t xml:space="preserve">proceso laboral, argumentan los accionantes, que son falsas </w:t>
      </w:r>
      <w:r>
        <w:rPr>
          <w:spacing w:val="-8"/>
          <w:sz w:val="18"/>
          <w:szCs w:val="18"/>
          <w:lang w:val="es-ES_tradnl"/>
        </w:rPr>
        <w:t xml:space="preserve">pues </w:t>
      </w:r>
      <w:r>
        <w:rPr>
          <w:rFonts w:cs="Times New Roman"/>
          <w:spacing w:val="-8"/>
          <w:sz w:val="18"/>
          <w:szCs w:val="18"/>
          <w:lang w:val="es-ES_tradnl"/>
        </w:rPr>
        <w:t>“</w:t>
      </w:r>
      <w:r>
        <w:rPr>
          <w:spacing w:val="-8"/>
          <w:sz w:val="18"/>
          <w:szCs w:val="18"/>
          <w:lang w:val="es-ES_tradnl"/>
        </w:rPr>
        <w:t>han sido dejadas a un empleado, sin decir el nombre</w:t>
      </w:r>
    </w:p>
    <w:p w14:paraId="4F67BC60" w14:textId="77777777" w:rsidR="00591D54" w:rsidRDefault="00591D54">
      <w:pPr>
        <w:shd w:val="clear" w:color="auto" w:fill="FFFFFF"/>
        <w:tabs>
          <w:tab w:val="left" w:pos="144"/>
        </w:tabs>
        <w:spacing w:before="418" w:line="182" w:lineRule="exact"/>
        <w:ind w:left="144" w:hanging="144"/>
      </w:pPr>
      <w:r>
        <w:rPr>
          <w:sz w:val="16"/>
          <w:szCs w:val="16"/>
          <w:vertAlign w:val="superscript"/>
          <w:lang w:val="es-ES_tradnl"/>
        </w:rPr>
        <w:t>1</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º</w:t>
      </w:r>
      <w:r>
        <w:rPr>
          <w:sz w:val="18"/>
          <w:szCs w:val="18"/>
          <w:lang w:val="es-ES_tradnl"/>
        </w:rPr>
        <w:t xml:space="preserve"> </w:t>
      </w:r>
      <w:r>
        <w:rPr>
          <w:sz w:val="14"/>
          <w:szCs w:val="14"/>
          <w:lang w:val="es-ES_tradnl"/>
        </w:rPr>
        <w:t>006-13-SEP-CC, caso N</w:t>
      </w:r>
      <w:r>
        <w:rPr>
          <w:rFonts w:cs="Times New Roman"/>
          <w:sz w:val="14"/>
          <w:szCs w:val="14"/>
          <w:lang w:val="es-ES_tradnl"/>
        </w:rPr>
        <w:t>º</w:t>
      </w:r>
      <w:r>
        <w:rPr>
          <w:sz w:val="14"/>
          <w:szCs w:val="14"/>
          <w:lang w:val="es-ES_tradnl"/>
        </w:rPr>
        <w:t xml:space="preserve"> 0614-13-EP.</w:t>
      </w:r>
    </w:p>
    <w:p w14:paraId="4F67BC61" w14:textId="77777777" w:rsidR="00591D54" w:rsidRDefault="00591D54">
      <w:pPr>
        <w:shd w:val="clear" w:color="auto" w:fill="FFFFFF"/>
        <w:tabs>
          <w:tab w:val="left" w:pos="144"/>
        </w:tabs>
        <w:spacing w:before="149" w:line="178" w:lineRule="exact"/>
        <w:ind w:left="144" w:hanging="144"/>
      </w:pPr>
      <w:r>
        <w:rPr>
          <w:sz w:val="10"/>
          <w:szCs w:val="10"/>
          <w:vertAlign w:val="superscript"/>
          <w:lang w:val="es-ES_tradnl"/>
        </w:rPr>
        <w:t>2</w:t>
      </w:r>
      <w:r>
        <w:rPr>
          <w:sz w:val="18"/>
          <w:szCs w:val="18"/>
          <w:lang w:val="es-ES_tradnl"/>
        </w:rPr>
        <w:tab/>
      </w:r>
      <w:r>
        <w:rPr>
          <w:sz w:val="14"/>
          <w:szCs w:val="14"/>
          <w:lang w:val="es-ES_tradnl"/>
        </w:rPr>
        <w:t>Corte</w:t>
      </w:r>
      <w:r>
        <w:rPr>
          <w:sz w:val="18"/>
          <w:szCs w:val="18"/>
          <w:lang w:val="es-ES_tradnl"/>
        </w:rPr>
        <w:t xml:space="preserve"> </w:t>
      </w:r>
      <w:r>
        <w:rPr>
          <w:sz w:val="14"/>
          <w:szCs w:val="14"/>
          <w:lang w:val="es-ES_tradnl"/>
        </w:rPr>
        <w:t>Constitucional</w:t>
      </w:r>
      <w:r>
        <w:rPr>
          <w:sz w:val="18"/>
          <w:szCs w:val="18"/>
          <w:lang w:val="es-ES_tradnl"/>
        </w:rPr>
        <w:t xml:space="preserve"> </w:t>
      </w:r>
      <w:r>
        <w:rPr>
          <w:sz w:val="14"/>
          <w:szCs w:val="14"/>
          <w:lang w:val="es-ES_tradnl"/>
        </w:rPr>
        <w:t>del</w:t>
      </w:r>
      <w:r>
        <w:rPr>
          <w:sz w:val="18"/>
          <w:szCs w:val="18"/>
          <w:lang w:val="es-ES_tradnl"/>
        </w:rPr>
        <w:t xml:space="preserve"> </w:t>
      </w:r>
      <w:r>
        <w:rPr>
          <w:sz w:val="14"/>
          <w:szCs w:val="14"/>
          <w:lang w:val="es-ES_tradnl"/>
        </w:rPr>
        <w:t>Ecuador,</w:t>
      </w:r>
      <w:r>
        <w:rPr>
          <w:sz w:val="18"/>
          <w:szCs w:val="18"/>
          <w:lang w:val="es-ES_tradnl"/>
        </w:rPr>
        <w:t xml:space="preserve"> </w:t>
      </w:r>
      <w:r>
        <w:rPr>
          <w:sz w:val="14"/>
          <w:szCs w:val="14"/>
          <w:lang w:val="es-ES_tradnl"/>
        </w:rPr>
        <w:t>sentencia</w:t>
      </w:r>
      <w:r>
        <w:rPr>
          <w:sz w:val="18"/>
          <w:szCs w:val="18"/>
          <w:lang w:val="es-ES_tradnl"/>
        </w:rPr>
        <w:t xml:space="preserve"> </w:t>
      </w:r>
      <w:r>
        <w:rPr>
          <w:sz w:val="14"/>
          <w:szCs w:val="14"/>
          <w:lang w:val="es-ES_tradnl"/>
        </w:rPr>
        <w:t>N.</w:t>
      </w:r>
      <w:r>
        <w:rPr>
          <w:rFonts w:cs="Times New Roman"/>
          <w:sz w:val="14"/>
          <w:szCs w:val="14"/>
          <w:lang w:val="es-ES_tradnl"/>
        </w:rPr>
        <w:t>º</w:t>
      </w:r>
      <w:r>
        <w:rPr>
          <w:sz w:val="18"/>
          <w:szCs w:val="18"/>
          <w:lang w:val="es-ES_tradnl"/>
        </w:rPr>
        <w:t xml:space="preserve"> </w:t>
      </w:r>
      <w:r>
        <w:rPr>
          <w:sz w:val="14"/>
          <w:szCs w:val="14"/>
          <w:lang w:val="es-ES_tradnl"/>
        </w:rPr>
        <w:t>008-13-SCN-CC, casos N</w:t>
      </w:r>
      <w:r>
        <w:rPr>
          <w:rFonts w:cs="Times New Roman"/>
          <w:sz w:val="14"/>
          <w:szCs w:val="14"/>
          <w:lang w:val="es-ES_tradnl"/>
        </w:rPr>
        <w:t>º</w:t>
      </w:r>
      <w:r>
        <w:rPr>
          <w:sz w:val="14"/>
          <w:szCs w:val="14"/>
          <w:lang w:val="es-ES_tradnl"/>
        </w:rPr>
        <w:t xml:space="preserve"> 0033-09-CN y acumulados.</w:t>
      </w:r>
    </w:p>
    <w:p w14:paraId="4F67BC62" w14:textId="77777777" w:rsidR="00591D54" w:rsidRDefault="00591D54">
      <w:pPr>
        <w:shd w:val="clear" w:color="auto" w:fill="FFFFFF"/>
        <w:tabs>
          <w:tab w:val="left" w:pos="144"/>
        </w:tabs>
        <w:spacing w:before="149" w:line="178" w:lineRule="exact"/>
        <w:ind w:left="144" w:hanging="144"/>
        <w:sectPr w:rsidR="00591D54">
          <w:type w:val="continuous"/>
          <w:pgSz w:w="11909" w:h="16834"/>
          <w:pgMar w:top="1356" w:right="1304" w:bottom="360" w:left="1308" w:header="720" w:footer="720" w:gutter="0"/>
          <w:cols w:num="2" w:space="720" w:equalWidth="0">
            <w:col w:w="4305" w:space="682"/>
            <w:col w:w="4310"/>
          </w:cols>
          <w:noEndnote/>
        </w:sectPr>
      </w:pPr>
    </w:p>
    <w:p w14:paraId="4F67BC63" w14:textId="77777777" w:rsidR="00591D54" w:rsidRDefault="00591D54">
      <w:pPr>
        <w:shd w:val="clear" w:color="auto" w:fill="FFFFFF"/>
        <w:tabs>
          <w:tab w:val="left" w:pos="4814"/>
        </w:tabs>
        <w:spacing w:after="235"/>
        <w:ind w:left="5"/>
      </w:pPr>
      <w:r>
        <w:rPr>
          <w:b/>
          <w:bCs/>
          <w:sz w:val="18"/>
          <w:szCs w:val="18"/>
          <w:lang w:val="es-ES_tradnl"/>
        </w:rPr>
        <w:t xml:space="preserve">302 -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C64" w14:textId="77777777" w:rsidR="00591D54" w:rsidRDefault="00591D54">
      <w:pPr>
        <w:shd w:val="clear" w:color="auto" w:fill="FFFFFF"/>
        <w:tabs>
          <w:tab w:val="left" w:pos="4814"/>
        </w:tabs>
        <w:spacing w:after="235"/>
        <w:ind w:left="5"/>
        <w:sectPr w:rsidR="00591D54">
          <w:pgSz w:w="11909" w:h="16834"/>
          <w:pgMar w:top="1356" w:right="1309" w:bottom="360" w:left="1308" w:header="720" w:footer="720" w:gutter="0"/>
          <w:cols w:space="60"/>
          <w:noEndnote/>
        </w:sectPr>
      </w:pPr>
    </w:p>
    <w:p w14:paraId="4F67BC65" w14:textId="77777777" w:rsidR="00591D54" w:rsidRDefault="00591D54">
      <w:pPr>
        <w:shd w:val="clear" w:color="auto" w:fill="FFFFFF"/>
        <w:spacing w:line="216" w:lineRule="exact"/>
        <w:ind w:right="10"/>
        <w:jc w:val="both"/>
      </w:pPr>
      <w:r>
        <w:rPr>
          <w:spacing w:val="-8"/>
          <w:sz w:val="18"/>
          <w:szCs w:val="18"/>
          <w:lang w:val="es-ES_tradnl"/>
        </w:rPr>
        <w:t xml:space="preserve">del empleado, y no adjuntan la firma de dicha persona que </w:t>
      </w:r>
      <w:r>
        <w:rPr>
          <w:spacing w:val="-4"/>
          <w:sz w:val="18"/>
          <w:szCs w:val="18"/>
          <w:lang w:val="es-ES_tradnl"/>
        </w:rPr>
        <w:t>certifique que la diligencia en realidad ocurri</w:t>
      </w:r>
      <w:r>
        <w:rPr>
          <w:rFonts w:cs="Times New Roman"/>
          <w:spacing w:val="-4"/>
          <w:sz w:val="18"/>
          <w:szCs w:val="18"/>
          <w:lang w:val="es-ES_tradnl"/>
        </w:rPr>
        <w:t>ó</w:t>
      </w:r>
      <w:r>
        <w:rPr>
          <w:spacing w:val="-4"/>
          <w:sz w:val="18"/>
          <w:szCs w:val="18"/>
          <w:lang w:val="es-ES_tradnl"/>
        </w:rPr>
        <w:t xml:space="preserve">, ya que </w:t>
      </w:r>
      <w:r>
        <w:rPr>
          <w:spacing w:val="-6"/>
          <w:sz w:val="18"/>
          <w:szCs w:val="18"/>
          <w:lang w:val="es-ES_tradnl"/>
        </w:rPr>
        <w:t>NOSOTROS NUNCA RECIBIMOS dichas boletas</w:t>
      </w:r>
      <w:r>
        <w:rPr>
          <w:rFonts w:cs="Times New Roman"/>
          <w:spacing w:val="-6"/>
          <w:sz w:val="18"/>
          <w:szCs w:val="18"/>
          <w:lang w:val="es-ES_tradnl"/>
        </w:rPr>
        <w:t>”</w:t>
      </w:r>
      <w:r>
        <w:rPr>
          <w:spacing w:val="-6"/>
          <w:sz w:val="18"/>
          <w:szCs w:val="18"/>
          <w:lang w:val="es-ES_tradnl"/>
        </w:rPr>
        <w:t>.</w:t>
      </w:r>
    </w:p>
    <w:p w14:paraId="4F67BC66" w14:textId="77777777" w:rsidR="00591D54" w:rsidRDefault="00591D54">
      <w:pPr>
        <w:shd w:val="clear" w:color="auto" w:fill="FFFFFF"/>
        <w:spacing w:before="197"/>
      </w:pPr>
      <w:r>
        <w:rPr>
          <w:spacing w:val="-8"/>
          <w:sz w:val="18"/>
          <w:szCs w:val="18"/>
          <w:lang w:val="es-ES_tradnl"/>
        </w:rPr>
        <w:t>Veamos a continuaci</w:t>
      </w:r>
      <w:r>
        <w:rPr>
          <w:rFonts w:cs="Times New Roman"/>
          <w:spacing w:val="-8"/>
          <w:sz w:val="18"/>
          <w:szCs w:val="18"/>
          <w:lang w:val="es-ES_tradnl"/>
        </w:rPr>
        <w:t>ó</w:t>
      </w:r>
      <w:r>
        <w:rPr>
          <w:spacing w:val="-8"/>
          <w:sz w:val="18"/>
          <w:szCs w:val="18"/>
          <w:lang w:val="es-ES_tradnl"/>
        </w:rPr>
        <w:t>n, el contenido de la sentencia:</w:t>
      </w:r>
    </w:p>
    <w:p w14:paraId="4F67BC67" w14:textId="77777777" w:rsidR="00591D54" w:rsidRDefault="00591D54">
      <w:pPr>
        <w:shd w:val="clear" w:color="auto" w:fill="FFFFFF"/>
        <w:spacing w:before="202" w:line="216" w:lineRule="exact"/>
        <w:ind w:left="283"/>
        <w:jc w:val="both"/>
      </w:pPr>
      <w:r>
        <w:rPr>
          <w:spacing w:val="-6"/>
          <w:sz w:val="16"/>
          <w:szCs w:val="16"/>
          <w:lang w:val="es-ES_tradnl"/>
        </w:rPr>
        <w:t>(</w:t>
      </w:r>
      <w:r>
        <w:rPr>
          <w:rFonts w:cs="Times New Roman"/>
          <w:spacing w:val="-6"/>
          <w:sz w:val="16"/>
          <w:szCs w:val="16"/>
          <w:lang w:val="es-ES_tradnl"/>
        </w:rPr>
        <w:t>…</w:t>
      </w:r>
      <w:r>
        <w:rPr>
          <w:spacing w:val="-6"/>
          <w:sz w:val="16"/>
          <w:szCs w:val="16"/>
          <w:lang w:val="es-ES_tradnl"/>
        </w:rPr>
        <w:t xml:space="preserve">) CUARTO: El cumplimiento de los requisitos del Art.8 del </w:t>
      </w:r>
      <w:r>
        <w:rPr>
          <w:spacing w:val="-5"/>
          <w:sz w:val="16"/>
          <w:szCs w:val="16"/>
          <w:lang w:val="es-ES_tradnl"/>
        </w:rPr>
        <w:t>C</w:t>
      </w:r>
      <w:r>
        <w:rPr>
          <w:rFonts w:cs="Times New Roman"/>
          <w:spacing w:val="-5"/>
          <w:sz w:val="16"/>
          <w:szCs w:val="16"/>
          <w:lang w:val="es-ES_tradnl"/>
        </w:rPr>
        <w:t>ó</w:t>
      </w:r>
      <w:r>
        <w:rPr>
          <w:spacing w:val="-5"/>
          <w:sz w:val="16"/>
          <w:szCs w:val="16"/>
          <w:lang w:val="es-ES_tradnl"/>
        </w:rPr>
        <w:t>digo de Trabajo, esto es: prestaci</w:t>
      </w:r>
      <w:r>
        <w:rPr>
          <w:rFonts w:cs="Times New Roman"/>
          <w:spacing w:val="-5"/>
          <w:sz w:val="16"/>
          <w:szCs w:val="16"/>
          <w:lang w:val="es-ES_tradnl"/>
        </w:rPr>
        <w:t>ó</w:t>
      </w:r>
      <w:r>
        <w:rPr>
          <w:spacing w:val="-5"/>
          <w:sz w:val="16"/>
          <w:szCs w:val="16"/>
          <w:lang w:val="es-ES_tradnl"/>
        </w:rPr>
        <w:t>n de servicios l</w:t>
      </w:r>
      <w:r>
        <w:rPr>
          <w:rFonts w:cs="Times New Roman"/>
          <w:spacing w:val="-5"/>
          <w:sz w:val="16"/>
          <w:szCs w:val="16"/>
          <w:lang w:val="es-ES_tradnl"/>
        </w:rPr>
        <w:t>í</w:t>
      </w:r>
      <w:r>
        <w:rPr>
          <w:spacing w:val="-5"/>
          <w:sz w:val="16"/>
          <w:szCs w:val="16"/>
          <w:lang w:val="es-ES_tradnl"/>
        </w:rPr>
        <w:t>citos y personales, subordinaci</w:t>
      </w:r>
      <w:r>
        <w:rPr>
          <w:rFonts w:cs="Times New Roman"/>
          <w:spacing w:val="-5"/>
          <w:sz w:val="16"/>
          <w:szCs w:val="16"/>
          <w:lang w:val="es-ES_tradnl"/>
        </w:rPr>
        <w:t>ó</w:t>
      </w:r>
      <w:r>
        <w:rPr>
          <w:spacing w:val="-5"/>
          <w:sz w:val="16"/>
          <w:szCs w:val="16"/>
          <w:lang w:val="es-ES_tradnl"/>
        </w:rPr>
        <w:t>n jur</w:t>
      </w:r>
      <w:r>
        <w:rPr>
          <w:rFonts w:cs="Times New Roman"/>
          <w:spacing w:val="-5"/>
          <w:sz w:val="16"/>
          <w:szCs w:val="16"/>
          <w:lang w:val="es-ES_tradnl"/>
        </w:rPr>
        <w:t>í</w:t>
      </w:r>
      <w:r>
        <w:rPr>
          <w:spacing w:val="-5"/>
          <w:sz w:val="16"/>
          <w:szCs w:val="16"/>
          <w:lang w:val="es-ES_tradnl"/>
        </w:rPr>
        <w:t xml:space="preserve">dica de la persona que realiza </w:t>
      </w:r>
      <w:r>
        <w:rPr>
          <w:spacing w:val="-6"/>
          <w:sz w:val="16"/>
          <w:szCs w:val="16"/>
          <w:lang w:val="es-ES_tradnl"/>
        </w:rPr>
        <w:t>la labor hacia quien lo contrat</w:t>
      </w:r>
      <w:r>
        <w:rPr>
          <w:rFonts w:cs="Times New Roman"/>
          <w:spacing w:val="-6"/>
          <w:sz w:val="16"/>
          <w:szCs w:val="16"/>
          <w:lang w:val="es-ES_tradnl"/>
        </w:rPr>
        <w:t>ó</w:t>
      </w:r>
      <w:r>
        <w:rPr>
          <w:spacing w:val="-6"/>
          <w:sz w:val="16"/>
          <w:szCs w:val="16"/>
          <w:lang w:val="es-ES_tradnl"/>
        </w:rPr>
        <w:t xml:space="preserve"> o hacia el beneficiario, y, una </w:t>
      </w:r>
      <w:r>
        <w:rPr>
          <w:spacing w:val="-5"/>
          <w:sz w:val="16"/>
          <w:szCs w:val="16"/>
          <w:lang w:val="es-ES_tradnl"/>
        </w:rPr>
        <w:t>remuneraci</w:t>
      </w:r>
      <w:r>
        <w:rPr>
          <w:rFonts w:cs="Times New Roman"/>
          <w:spacing w:val="-5"/>
          <w:sz w:val="16"/>
          <w:szCs w:val="16"/>
          <w:lang w:val="es-ES_tradnl"/>
        </w:rPr>
        <w:t>ó</w:t>
      </w:r>
      <w:r>
        <w:rPr>
          <w:spacing w:val="-5"/>
          <w:sz w:val="16"/>
          <w:szCs w:val="16"/>
          <w:lang w:val="es-ES_tradnl"/>
        </w:rPr>
        <w:t>n se prueban con la confesi</w:t>
      </w:r>
      <w:r>
        <w:rPr>
          <w:rFonts w:cs="Times New Roman"/>
          <w:spacing w:val="-5"/>
          <w:sz w:val="16"/>
          <w:szCs w:val="16"/>
          <w:lang w:val="es-ES_tradnl"/>
        </w:rPr>
        <w:t>ó</w:t>
      </w:r>
      <w:r>
        <w:rPr>
          <w:spacing w:val="-5"/>
          <w:sz w:val="16"/>
          <w:szCs w:val="16"/>
          <w:lang w:val="es-ES_tradnl"/>
        </w:rPr>
        <w:t xml:space="preserve">n judicial ficta del </w:t>
      </w:r>
      <w:r>
        <w:rPr>
          <w:spacing w:val="-7"/>
          <w:sz w:val="16"/>
          <w:szCs w:val="16"/>
          <w:lang w:val="es-ES_tradnl"/>
        </w:rPr>
        <w:t xml:space="preserve">demandado. La Corte Suprema de Justicia ha expedido fallos </w:t>
      </w:r>
      <w:r>
        <w:rPr>
          <w:spacing w:val="-2"/>
          <w:sz w:val="16"/>
          <w:szCs w:val="16"/>
          <w:lang w:val="es-ES_tradnl"/>
        </w:rPr>
        <w:t>de triple reiteraci</w:t>
      </w:r>
      <w:r>
        <w:rPr>
          <w:rFonts w:cs="Times New Roman"/>
          <w:spacing w:val="-2"/>
          <w:sz w:val="16"/>
          <w:szCs w:val="16"/>
          <w:lang w:val="es-ES_tradnl"/>
        </w:rPr>
        <w:t>ó</w:t>
      </w:r>
      <w:r>
        <w:rPr>
          <w:spacing w:val="-2"/>
          <w:sz w:val="16"/>
          <w:szCs w:val="16"/>
          <w:lang w:val="es-ES_tradnl"/>
        </w:rPr>
        <w:t xml:space="preserve">n aceptando el valor de la prueba plena </w:t>
      </w:r>
      <w:r>
        <w:rPr>
          <w:spacing w:val="-7"/>
          <w:sz w:val="16"/>
          <w:szCs w:val="16"/>
          <w:lang w:val="es-ES_tradnl"/>
        </w:rPr>
        <w:t xml:space="preserve">de la declaratoria de confeso del demandado en los juicios </w:t>
      </w:r>
      <w:r>
        <w:rPr>
          <w:spacing w:val="-8"/>
          <w:sz w:val="16"/>
          <w:szCs w:val="16"/>
          <w:lang w:val="es-ES_tradnl"/>
        </w:rPr>
        <w:t>laborales, tanto m</w:t>
      </w:r>
      <w:r>
        <w:rPr>
          <w:rFonts w:cs="Times New Roman"/>
          <w:spacing w:val="-8"/>
          <w:sz w:val="16"/>
          <w:szCs w:val="16"/>
          <w:lang w:val="es-ES_tradnl"/>
        </w:rPr>
        <w:t>á</w:t>
      </w:r>
      <w:r>
        <w:rPr>
          <w:spacing w:val="-8"/>
          <w:sz w:val="16"/>
          <w:szCs w:val="16"/>
          <w:lang w:val="es-ES_tradnl"/>
        </w:rPr>
        <w:t>s que la alegaci</w:t>
      </w:r>
      <w:r>
        <w:rPr>
          <w:rFonts w:cs="Times New Roman"/>
          <w:spacing w:val="-8"/>
          <w:sz w:val="16"/>
          <w:szCs w:val="16"/>
          <w:lang w:val="es-ES_tradnl"/>
        </w:rPr>
        <w:t>ó</w:t>
      </w:r>
      <w:r>
        <w:rPr>
          <w:spacing w:val="-8"/>
          <w:sz w:val="16"/>
          <w:szCs w:val="16"/>
          <w:lang w:val="es-ES_tradnl"/>
        </w:rPr>
        <w:t xml:space="preserve">n de despido intempestivo </w:t>
      </w:r>
      <w:r>
        <w:rPr>
          <w:spacing w:val="-7"/>
          <w:sz w:val="16"/>
          <w:szCs w:val="16"/>
          <w:lang w:val="es-ES_tradnl"/>
        </w:rPr>
        <w:t>se debe demostrar. Al evadir confesi</w:t>
      </w:r>
      <w:r>
        <w:rPr>
          <w:rFonts w:cs="Times New Roman"/>
          <w:spacing w:val="-7"/>
          <w:sz w:val="16"/>
          <w:szCs w:val="16"/>
          <w:lang w:val="es-ES_tradnl"/>
        </w:rPr>
        <w:t>ó</w:t>
      </w:r>
      <w:r>
        <w:rPr>
          <w:spacing w:val="-7"/>
          <w:sz w:val="16"/>
          <w:szCs w:val="16"/>
          <w:lang w:val="es-ES_tradnl"/>
        </w:rPr>
        <w:t xml:space="preserve">n judicial sin justificativo legal el demandado, la declaratoria de confeso tiene valor de </w:t>
      </w:r>
      <w:r>
        <w:rPr>
          <w:spacing w:val="-6"/>
          <w:sz w:val="16"/>
          <w:szCs w:val="16"/>
          <w:lang w:val="es-ES_tradnl"/>
        </w:rPr>
        <w:t>prueba plena pues evidencia la terminaci</w:t>
      </w:r>
      <w:r>
        <w:rPr>
          <w:rFonts w:cs="Times New Roman"/>
          <w:spacing w:val="-6"/>
          <w:sz w:val="16"/>
          <w:szCs w:val="16"/>
          <w:lang w:val="es-ES_tradnl"/>
        </w:rPr>
        <w:t>ó</w:t>
      </w:r>
      <w:r>
        <w:rPr>
          <w:spacing w:val="-6"/>
          <w:sz w:val="16"/>
          <w:szCs w:val="16"/>
          <w:lang w:val="es-ES_tradnl"/>
        </w:rPr>
        <w:t>n de la relaci</w:t>
      </w:r>
      <w:r>
        <w:rPr>
          <w:rFonts w:cs="Times New Roman"/>
          <w:spacing w:val="-6"/>
          <w:sz w:val="16"/>
          <w:szCs w:val="16"/>
          <w:lang w:val="es-ES_tradnl"/>
        </w:rPr>
        <w:t>ó</w:t>
      </w:r>
      <w:r>
        <w:rPr>
          <w:spacing w:val="-6"/>
          <w:sz w:val="16"/>
          <w:szCs w:val="16"/>
          <w:lang w:val="es-ES_tradnl"/>
        </w:rPr>
        <w:t xml:space="preserve">n </w:t>
      </w:r>
      <w:r>
        <w:rPr>
          <w:spacing w:val="-9"/>
          <w:sz w:val="16"/>
          <w:szCs w:val="16"/>
          <w:lang w:val="es-ES_tradnl"/>
        </w:rPr>
        <w:t xml:space="preserve">contractual en forma unilateral esto es se ha probado el despido </w:t>
      </w:r>
      <w:r>
        <w:rPr>
          <w:spacing w:val="-6"/>
          <w:sz w:val="16"/>
          <w:szCs w:val="16"/>
          <w:lang w:val="es-ES_tradnl"/>
        </w:rPr>
        <w:t>intempestivo</w:t>
      </w:r>
      <w:r>
        <w:rPr>
          <w:rFonts w:cs="Times New Roman"/>
          <w:spacing w:val="-6"/>
          <w:sz w:val="16"/>
          <w:szCs w:val="16"/>
          <w:lang w:val="es-ES_tradnl"/>
        </w:rPr>
        <w:t>…”</w:t>
      </w:r>
      <w:r>
        <w:rPr>
          <w:spacing w:val="-6"/>
          <w:sz w:val="16"/>
          <w:szCs w:val="16"/>
          <w:lang w:val="es-ES_tradnl"/>
        </w:rPr>
        <w:t xml:space="preserve"> </w:t>
      </w:r>
      <w:r>
        <w:rPr>
          <w:rFonts w:cs="Times New Roman"/>
          <w:spacing w:val="-6"/>
          <w:sz w:val="16"/>
          <w:szCs w:val="16"/>
          <w:lang w:val="es-ES_tradnl"/>
        </w:rPr>
        <w:t>“…</w:t>
      </w:r>
      <w:r>
        <w:rPr>
          <w:spacing w:val="-6"/>
          <w:sz w:val="16"/>
          <w:szCs w:val="16"/>
          <w:lang w:val="es-ES_tradnl"/>
        </w:rPr>
        <w:t xml:space="preserve"> SEXTO: Establecida la relaci</w:t>
      </w:r>
      <w:r>
        <w:rPr>
          <w:rFonts w:cs="Times New Roman"/>
          <w:spacing w:val="-6"/>
          <w:sz w:val="16"/>
          <w:szCs w:val="16"/>
          <w:lang w:val="es-ES_tradnl"/>
        </w:rPr>
        <w:t>ó</w:t>
      </w:r>
      <w:r>
        <w:rPr>
          <w:spacing w:val="-6"/>
          <w:sz w:val="16"/>
          <w:szCs w:val="16"/>
          <w:lang w:val="es-ES_tradnl"/>
        </w:rPr>
        <w:t xml:space="preserve">n laboral y </w:t>
      </w:r>
      <w:r>
        <w:rPr>
          <w:spacing w:val="-5"/>
          <w:sz w:val="16"/>
          <w:szCs w:val="16"/>
          <w:lang w:val="es-ES_tradnl"/>
        </w:rPr>
        <w:t xml:space="preserve">de conformidad a lo prescrito en el numeral 1 del Art. 42 del </w:t>
      </w:r>
      <w:r>
        <w:rPr>
          <w:spacing w:val="-9"/>
          <w:sz w:val="16"/>
          <w:szCs w:val="16"/>
          <w:lang w:val="es-ES_tradnl"/>
        </w:rPr>
        <w:t>C</w:t>
      </w:r>
      <w:r>
        <w:rPr>
          <w:rFonts w:cs="Times New Roman"/>
          <w:spacing w:val="-9"/>
          <w:sz w:val="16"/>
          <w:szCs w:val="16"/>
          <w:lang w:val="es-ES_tradnl"/>
        </w:rPr>
        <w:t>ó</w:t>
      </w:r>
      <w:r>
        <w:rPr>
          <w:spacing w:val="-9"/>
          <w:sz w:val="16"/>
          <w:szCs w:val="16"/>
          <w:lang w:val="es-ES_tradnl"/>
        </w:rPr>
        <w:t>digo de Trabajo, la parte demandada deb</w:t>
      </w:r>
      <w:r>
        <w:rPr>
          <w:rFonts w:cs="Times New Roman"/>
          <w:spacing w:val="-9"/>
          <w:sz w:val="16"/>
          <w:szCs w:val="16"/>
          <w:lang w:val="es-ES_tradnl"/>
        </w:rPr>
        <w:t>í</w:t>
      </w:r>
      <w:r>
        <w:rPr>
          <w:spacing w:val="-9"/>
          <w:sz w:val="16"/>
          <w:szCs w:val="16"/>
          <w:lang w:val="es-ES_tradnl"/>
        </w:rPr>
        <w:t xml:space="preserve">a demostrar haber </w:t>
      </w:r>
      <w:r>
        <w:rPr>
          <w:spacing w:val="-8"/>
          <w:sz w:val="16"/>
          <w:szCs w:val="16"/>
          <w:lang w:val="es-ES_tradnl"/>
        </w:rPr>
        <w:t>pagado a la trabajadora en forma oportuna los derechos y m</w:t>
      </w:r>
      <w:r>
        <w:rPr>
          <w:rFonts w:cs="Times New Roman"/>
          <w:spacing w:val="-8"/>
          <w:sz w:val="16"/>
          <w:szCs w:val="16"/>
          <w:lang w:val="es-ES_tradnl"/>
        </w:rPr>
        <w:t>á</w:t>
      </w:r>
      <w:r>
        <w:rPr>
          <w:spacing w:val="-8"/>
          <w:sz w:val="16"/>
          <w:szCs w:val="16"/>
          <w:lang w:val="es-ES_tradnl"/>
        </w:rPr>
        <w:t xml:space="preserve">s </w:t>
      </w:r>
      <w:r>
        <w:rPr>
          <w:spacing w:val="-10"/>
          <w:sz w:val="16"/>
          <w:szCs w:val="16"/>
          <w:lang w:val="es-ES_tradnl"/>
        </w:rPr>
        <w:t>beneficios que le correspond</w:t>
      </w:r>
      <w:r>
        <w:rPr>
          <w:rFonts w:cs="Times New Roman"/>
          <w:spacing w:val="-10"/>
          <w:sz w:val="16"/>
          <w:szCs w:val="16"/>
          <w:lang w:val="es-ES_tradnl"/>
        </w:rPr>
        <w:t>í</w:t>
      </w:r>
      <w:r>
        <w:rPr>
          <w:spacing w:val="-10"/>
          <w:sz w:val="16"/>
          <w:szCs w:val="16"/>
          <w:lang w:val="es-ES_tradnl"/>
        </w:rPr>
        <w:t xml:space="preserve">an, por lo que a falta de prueba de </w:t>
      </w:r>
      <w:r>
        <w:rPr>
          <w:spacing w:val="-7"/>
          <w:sz w:val="16"/>
          <w:szCs w:val="16"/>
          <w:lang w:val="es-ES_tradnl"/>
        </w:rPr>
        <w:t>pago o soluci</w:t>
      </w:r>
      <w:r>
        <w:rPr>
          <w:rFonts w:cs="Times New Roman"/>
          <w:spacing w:val="-7"/>
          <w:sz w:val="16"/>
          <w:szCs w:val="16"/>
          <w:lang w:val="es-ES_tradnl"/>
        </w:rPr>
        <w:t>ó</w:t>
      </w:r>
      <w:r>
        <w:rPr>
          <w:spacing w:val="-7"/>
          <w:sz w:val="16"/>
          <w:szCs w:val="16"/>
          <w:lang w:val="es-ES_tradnl"/>
        </w:rPr>
        <w:t>n, est</w:t>
      </w:r>
      <w:r>
        <w:rPr>
          <w:rFonts w:cs="Times New Roman"/>
          <w:spacing w:val="-7"/>
          <w:sz w:val="16"/>
          <w:szCs w:val="16"/>
          <w:lang w:val="es-ES_tradnl"/>
        </w:rPr>
        <w:t>á</w:t>
      </w:r>
      <w:r>
        <w:rPr>
          <w:spacing w:val="-7"/>
          <w:sz w:val="16"/>
          <w:szCs w:val="16"/>
          <w:lang w:val="es-ES_tradnl"/>
        </w:rPr>
        <w:t xml:space="preserve"> obligada a satisfacer las reclamaciones </w:t>
      </w:r>
      <w:r>
        <w:rPr>
          <w:spacing w:val="-1"/>
          <w:sz w:val="16"/>
          <w:szCs w:val="16"/>
          <w:lang w:val="es-ES_tradnl"/>
        </w:rPr>
        <w:t>efectuadas en el libelo inicial</w:t>
      </w:r>
      <w:r>
        <w:rPr>
          <w:rFonts w:cs="Times New Roman"/>
          <w:spacing w:val="-1"/>
          <w:sz w:val="16"/>
          <w:szCs w:val="16"/>
          <w:lang w:val="es-ES_tradnl"/>
        </w:rPr>
        <w:t>…”</w:t>
      </w:r>
      <w:r>
        <w:rPr>
          <w:spacing w:val="-1"/>
          <w:sz w:val="16"/>
          <w:szCs w:val="16"/>
          <w:lang w:val="es-ES_tradnl"/>
        </w:rPr>
        <w:t xml:space="preserve"> </w:t>
      </w:r>
      <w:r>
        <w:rPr>
          <w:rFonts w:cs="Times New Roman"/>
          <w:spacing w:val="-1"/>
          <w:sz w:val="16"/>
          <w:szCs w:val="16"/>
          <w:lang w:val="es-ES_tradnl"/>
        </w:rPr>
        <w:t>“…</w:t>
      </w:r>
      <w:r>
        <w:rPr>
          <w:spacing w:val="-1"/>
          <w:sz w:val="16"/>
          <w:szCs w:val="16"/>
          <w:lang w:val="es-ES_tradnl"/>
        </w:rPr>
        <w:t xml:space="preserve"> ADMINISTRANDO </w:t>
      </w:r>
      <w:r>
        <w:rPr>
          <w:spacing w:val="-3"/>
          <w:sz w:val="16"/>
          <w:szCs w:val="16"/>
          <w:lang w:val="es-ES_tradnl"/>
        </w:rPr>
        <w:t>JUSTICIA, EN NOMBRE DEL PUEBLO SOBERANO DEL ECUADOR Y POR AUTORIDAD DE LA CONSTITUCI</w:t>
      </w:r>
      <w:r>
        <w:rPr>
          <w:rFonts w:cs="Times New Roman"/>
          <w:spacing w:val="-3"/>
          <w:sz w:val="16"/>
          <w:szCs w:val="16"/>
          <w:lang w:val="es-ES_tradnl"/>
        </w:rPr>
        <w:t>Ó</w:t>
      </w:r>
      <w:r>
        <w:rPr>
          <w:spacing w:val="-3"/>
          <w:sz w:val="16"/>
          <w:szCs w:val="16"/>
          <w:lang w:val="es-ES_tradnl"/>
        </w:rPr>
        <w:t>N Y LEYES DE LA REP</w:t>
      </w:r>
      <w:r>
        <w:rPr>
          <w:rFonts w:cs="Times New Roman"/>
          <w:spacing w:val="-3"/>
          <w:sz w:val="16"/>
          <w:szCs w:val="16"/>
          <w:lang w:val="es-ES_tradnl"/>
        </w:rPr>
        <w:t>Ú</w:t>
      </w:r>
      <w:r>
        <w:rPr>
          <w:spacing w:val="-3"/>
          <w:sz w:val="16"/>
          <w:szCs w:val="16"/>
          <w:lang w:val="es-ES_tradnl"/>
        </w:rPr>
        <w:t xml:space="preserve">BLICA, se acepta en forma parcial </w:t>
      </w:r>
      <w:r>
        <w:rPr>
          <w:spacing w:val="-5"/>
          <w:sz w:val="16"/>
          <w:szCs w:val="16"/>
          <w:lang w:val="es-ES_tradnl"/>
        </w:rPr>
        <w:t>la demanda y se ordena que EMPERATRIZ MU</w:t>
      </w:r>
      <w:r>
        <w:rPr>
          <w:rFonts w:cs="Times New Roman"/>
          <w:spacing w:val="-5"/>
          <w:sz w:val="16"/>
          <w:szCs w:val="16"/>
          <w:lang w:val="es-ES_tradnl"/>
        </w:rPr>
        <w:t>Ñ</w:t>
      </w:r>
      <w:r>
        <w:rPr>
          <w:spacing w:val="-5"/>
          <w:sz w:val="16"/>
          <w:szCs w:val="16"/>
          <w:lang w:val="es-ES_tradnl"/>
        </w:rPr>
        <w:t xml:space="preserve">ETONEZ </w:t>
      </w:r>
      <w:r>
        <w:rPr>
          <w:sz w:val="16"/>
          <w:szCs w:val="16"/>
          <w:lang w:val="es-ES_tradnl"/>
        </w:rPr>
        <w:t>HERN</w:t>
      </w:r>
      <w:r>
        <w:rPr>
          <w:rFonts w:cs="Times New Roman"/>
          <w:sz w:val="16"/>
          <w:szCs w:val="16"/>
          <w:lang w:val="es-ES_tradnl"/>
        </w:rPr>
        <w:t>Á</w:t>
      </w:r>
      <w:r>
        <w:rPr>
          <w:sz w:val="16"/>
          <w:szCs w:val="16"/>
          <w:lang w:val="es-ES_tradnl"/>
        </w:rPr>
        <w:t xml:space="preserve">NDEZ Y OMAR JOSUE JARAMILLO </w:t>
      </w:r>
      <w:r>
        <w:rPr>
          <w:spacing w:val="-2"/>
          <w:sz w:val="16"/>
          <w:szCs w:val="16"/>
          <w:lang w:val="es-ES_tradnl"/>
        </w:rPr>
        <w:t>MU</w:t>
      </w:r>
      <w:r>
        <w:rPr>
          <w:rFonts w:cs="Times New Roman"/>
          <w:spacing w:val="-2"/>
          <w:sz w:val="16"/>
          <w:szCs w:val="16"/>
          <w:lang w:val="es-ES_tradnl"/>
        </w:rPr>
        <w:t>Ñ</w:t>
      </w:r>
      <w:r>
        <w:rPr>
          <w:spacing w:val="-2"/>
          <w:sz w:val="16"/>
          <w:szCs w:val="16"/>
          <w:lang w:val="es-ES_tradnl"/>
        </w:rPr>
        <w:t>ETONEZ paguen al actor MARIO JAVIER VILLAC</w:t>
      </w:r>
      <w:r>
        <w:rPr>
          <w:rFonts w:cs="Times New Roman"/>
          <w:spacing w:val="-2"/>
          <w:sz w:val="16"/>
          <w:szCs w:val="16"/>
          <w:lang w:val="es-ES_tradnl"/>
        </w:rPr>
        <w:t>Í</w:t>
      </w:r>
      <w:r>
        <w:rPr>
          <w:spacing w:val="-2"/>
          <w:sz w:val="16"/>
          <w:szCs w:val="16"/>
          <w:lang w:val="es-ES_tradnl"/>
        </w:rPr>
        <w:t xml:space="preserve">S </w:t>
      </w:r>
      <w:r>
        <w:rPr>
          <w:spacing w:val="-6"/>
          <w:sz w:val="16"/>
          <w:szCs w:val="16"/>
          <w:lang w:val="es-ES_tradnl"/>
        </w:rPr>
        <w:t>GARC</w:t>
      </w:r>
      <w:r>
        <w:rPr>
          <w:rFonts w:cs="Times New Roman"/>
          <w:spacing w:val="-6"/>
          <w:sz w:val="16"/>
          <w:szCs w:val="16"/>
          <w:lang w:val="es-ES_tradnl"/>
        </w:rPr>
        <w:t>Í</w:t>
      </w:r>
      <w:r>
        <w:rPr>
          <w:spacing w:val="-6"/>
          <w:sz w:val="16"/>
          <w:szCs w:val="16"/>
          <w:lang w:val="es-ES_tradnl"/>
        </w:rPr>
        <w:t xml:space="preserve">A los valores determinados en los Considerandos de </w:t>
      </w:r>
      <w:r>
        <w:rPr>
          <w:spacing w:val="-5"/>
          <w:sz w:val="16"/>
          <w:szCs w:val="16"/>
          <w:lang w:val="es-ES_tradnl"/>
        </w:rPr>
        <w:t>este fallo, que sumados dan una liquidaci</w:t>
      </w:r>
      <w:r>
        <w:rPr>
          <w:rFonts w:cs="Times New Roman"/>
          <w:spacing w:val="-5"/>
          <w:sz w:val="16"/>
          <w:szCs w:val="16"/>
          <w:lang w:val="es-ES_tradnl"/>
        </w:rPr>
        <w:t>ó</w:t>
      </w:r>
      <w:r>
        <w:rPr>
          <w:spacing w:val="-5"/>
          <w:sz w:val="16"/>
          <w:szCs w:val="16"/>
          <w:lang w:val="es-ES_tradnl"/>
        </w:rPr>
        <w:t xml:space="preserve">n total de USD. $8.778.43 OCHO MIL SETECIENTOS SETENTA Y OCHO </w:t>
      </w:r>
      <w:r>
        <w:rPr>
          <w:sz w:val="16"/>
          <w:szCs w:val="16"/>
          <w:lang w:val="es-ES_tradnl"/>
        </w:rPr>
        <w:t>43/100 D</w:t>
      </w:r>
      <w:r>
        <w:rPr>
          <w:rFonts w:cs="Times New Roman"/>
          <w:sz w:val="16"/>
          <w:szCs w:val="16"/>
          <w:lang w:val="es-ES_tradnl"/>
        </w:rPr>
        <w:t>Ó</w:t>
      </w:r>
      <w:r>
        <w:rPr>
          <w:sz w:val="16"/>
          <w:szCs w:val="16"/>
          <w:lang w:val="es-ES_tradnl"/>
        </w:rPr>
        <w:t>LARES (</w:t>
      </w:r>
      <w:r>
        <w:rPr>
          <w:rFonts w:cs="Times New Roman"/>
          <w:sz w:val="16"/>
          <w:szCs w:val="16"/>
          <w:lang w:val="es-ES_tradnl"/>
        </w:rPr>
        <w:t>…</w:t>
      </w:r>
      <w:r>
        <w:rPr>
          <w:sz w:val="16"/>
          <w:szCs w:val="16"/>
          <w:lang w:val="es-ES_tradnl"/>
        </w:rPr>
        <w:t>).</w:t>
      </w:r>
    </w:p>
    <w:p w14:paraId="4F67BC68" w14:textId="77777777" w:rsidR="00591D54" w:rsidRDefault="00591D54">
      <w:pPr>
        <w:shd w:val="clear" w:color="auto" w:fill="FFFFFF"/>
        <w:spacing w:before="197" w:line="216" w:lineRule="exact"/>
        <w:ind w:right="10"/>
        <w:jc w:val="both"/>
      </w:pPr>
      <w:r>
        <w:rPr>
          <w:spacing w:val="-8"/>
          <w:sz w:val="18"/>
          <w:szCs w:val="18"/>
          <w:lang w:val="es-ES_tradnl"/>
        </w:rPr>
        <w:t>El debido proceso se encuentra contemplado en el art</w:t>
      </w:r>
      <w:r>
        <w:rPr>
          <w:rFonts w:cs="Times New Roman"/>
          <w:spacing w:val="-8"/>
          <w:sz w:val="18"/>
          <w:szCs w:val="18"/>
          <w:lang w:val="es-ES_tradnl"/>
        </w:rPr>
        <w:t>í</w:t>
      </w:r>
      <w:r>
        <w:rPr>
          <w:spacing w:val="-8"/>
          <w:sz w:val="18"/>
          <w:szCs w:val="18"/>
          <w:lang w:val="es-ES_tradnl"/>
        </w:rPr>
        <w:t xml:space="preserve">culo </w:t>
      </w:r>
      <w:r>
        <w:rPr>
          <w:spacing w:val="-7"/>
          <w:sz w:val="18"/>
          <w:szCs w:val="18"/>
          <w:lang w:val="es-ES_tradnl"/>
        </w:rPr>
        <w:t>76 de la Constituci</w:t>
      </w:r>
      <w:r>
        <w:rPr>
          <w:rFonts w:cs="Times New Roman"/>
          <w:spacing w:val="-7"/>
          <w:sz w:val="18"/>
          <w:szCs w:val="18"/>
          <w:lang w:val="es-ES_tradnl"/>
        </w:rPr>
        <w:t>ó</w:t>
      </w:r>
      <w:r>
        <w:rPr>
          <w:spacing w:val="-7"/>
          <w:sz w:val="18"/>
          <w:szCs w:val="18"/>
          <w:lang w:val="es-ES_tradnl"/>
        </w:rPr>
        <w:t>n de la Rep</w:t>
      </w:r>
      <w:r>
        <w:rPr>
          <w:rFonts w:cs="Times New Roman"/>
          <w:spacing w:val="-7"/>
          <w:sz w:val="18"/>
          <w:szCs w:val="18"/>
          <w:lang w:val="es-ES_tradnl"/>
        </w:rPr>
        <w:t>ú</w:t>
      </w:r>
      <w:r>
        <w:rPr>
          <w:spacing w:val="-7"/>
          <w:sz w:val="18"/>
          <w:szCs w:val="18"/>
          <w:lang w:val="es-ES_tradnl"/>
        </w:rPr>
        <w:t>blica, en el numeral 7, se detallan los par</w:t>
      </w:r>
      <w:r>
        <w:rPr>
          <w:rFonts w:cs="Times New Roman"/>
          <w:spacing w:val="-7"/>
          <w:sz w:val="18"/>
          <w:szCs w:val="18"/>
          <w:lang w:val="es-ES_tradnl"/>
        </w:rPr>
        <w:t>á</w:t>
      </w:r>
      <w:r>
        <w:rPr>
          <w:spacing w:val="-7"/>
          <w:sz w:val="18"/>
          <w:szCs w:val="18"/>
          <w:lang w:val="es-ES_tradnl"/>
        </w:rPr>
        <w:t xml:space="preserve">metros que materializan el derecho a la </w:t>
      </w:r>
      <w:r>
        <w:rPr>
          <w:spacing w:val="-10"/>
          <w:sz w:val="18"/>
          <w:szCs w:val="18"/>
          <w:lang w:val="es-ES_tradnl"/>
        </w:rPr>
        <w:t>defensa. Garant</w:t>
      </w:r>
      <w:r>
        <w:rPr>
          <w:rFonts w:cs="Times New Roman"/>
          <w:spacing w:val="-10"/>
          <w:sz w:val="18"/>
          <w:szCs w:val="18"/>
          <w:lang w:val="es-ES_tradnl"/>
        </w:rPr>
        <w:t>í</w:t>
      </w:r>
      <w:r>
        <w:rPr>
          <w:spacing w:val="-10"/>
          <w:sz w:val="18"/>
          <w:szCs w:val="18"/>
          <w:lang w:val="es-ES_tradnl"/>
        </w:rPr>
        <w:t>as b</w:t>
      </w:r>
      <w:r>
        <w:rPr>
          <w:rFonts w:cs="Times New Roman"/>
          <w:spacing w:val="-10"/>
          <w:sz w:val="18"/>
          <w:szCs w:val="18"/>
          <w:lang w:val="es-ES_tradnl"/>
        </w:rPr>
        <w:t>á</w:t>
      </w:r>
      <w:r>
        <w:rPr>
          <w:spacing w:val="-10"/>
          <w:sz w:val="18"/>
          <w:szCs w:val="18"/>
          <w:lang w:val="es-ES_tradnl"/>
        </w:rPr>
        <w:t xml:space="preserve">sicas que permiten el desarrollo de un </w:t>
      </w:r>
      <w:r>
        <w:rPr>
          <w:spacing w:val="-7"/>
          <w:sz w:val="18"/>
          <w:szCs w:val="18"/>
          <w:lang w:val="es-ES_tradnl"/>
        </w:rPr>
        <w:t xml:space="preserve">procedimiento que otorgue un resultado justo, equitativo e </w:t>
      </w:r>
      <w:r>
        <w:rPr>
          <w:spacing w:val="-10"/>
          <w:sz w:val="18"/>
          <w:szCs w:val="18"/>
          <w:lang w:val="es-ES_tradnl"/>
        </w:rPr>
        <w:t xml:space="preserve">imparcial a fin de procurar el respeto a los derechos de toda </w:t>
      </w:r>
      <w:r>
        <w:rPr>
          <w:sz w:val="18"/>
          <w:szCs w:val="18"/>
          <w:lang w:val="es-ES_tradnl"/>
        </w:rPr>
        <w:t>persona que afronta un proceso.</w:t>
      </w:r>
    </w:p>
    <w:p w14:paraId="4F67BC69" w14:textId="77777777" w:rsidR="00591D54" w:rsidRDefault="00591D54">
      <w:pPr>
        <w:shd w:val="clear" w:color="auto" w:fill="FFFFFF"/>
        <w:spacing w:before="192" w:line="211" w:lineRule="exact"/>
        <w:ind w:right="10"/>
        <w:jc w:val="both"/>
      </w:pPr>
      <w:r>
        <w:rPr>
          <w:spacing w:val="-9"/>
          <w:sz w:val="18"/>
          <w:szCs w:val="18"/>
          <w:lang w:val="es-ES_tradnl"/>
        </w:rPr>
        <w:t>Ha se</w:t>
      </w:r>
      <w:r>
        <w:rPr>
          <w:rFonts w:cs="Times New Roman"/>
          <w:spacing w:val="-9"/>
          <w:sz w:val="18"/>
          <w:szCs w:val="18"/>
          <w:lang w:val="es-ES_tradnl"/>
        </w:rPr>
        <w:t>ñ</w:t>
      </w:r>
      <w:r>
        <w:rPr>
          <w:spacing w:val="-9"/>
          <w:sz w:val="18"/>
          <w:szCs w:val="18"/>
          <w:lang w:val="es-ES_tradnl"/>
        </w:rPr>
        <w:t>alado en varias sentencias esta Corte, que el debido proceso conlleva un m</w:t>
      </w:r>
      <w:r>
        <w:rPr>
          <w:rFonts w:cs="Times New Roman"/>
          <w:spacing w:val="-9"/>
          <w:sz w:val="18"/>
          <w:szCs w:val="18"/>
          <w:lang w:val="es-ES_tradnl"/>
        </w:rPr>
        <w:t>í</w:t>
      </w:r>
      <w:r>
        <w:rPr>
          <w:spacing w:val="-9"/>
          <w:sz w:val="18"/>
          <w:szCs w:val="18"/>
          <w:lang w:val="es-ES_tradnl"/>
        </w:rPr>
        <w:t xml:space="preserve">nimo de presupuestos y condiciones para tramitar adecuadamente un procedimiento y asegurar </w:t>
      </w:r>
      <w:r>
        <w:rPr>
          <w:spacing w:val="-7"/>
          <w:sz w:val="18"/>
          <w:szCs w:val="18"/>
          <w:lang w:val="es-ES_tradnl"/>
        </w:rPr>
        <w:t>condiciones m</w:t>
      </w:r>
      <w:r>
        <w:rPr>
          <w:rFonts w:cs="Times New Roman"/>
          <w:spacing w:val="-7"/>
          <w:sz w:val="18"/>
          <w:szCs w:val="18"/>
          <w:lang w:val="es-ES_tradnl"/>
        </w:rPr>
        <w:t>í</w:t>
      </w:r>
      <w:r>
        <w:rPr>
          <w:spacing w:val="-7"/>
          <w:sz w:val="18"/>
          <w:szCs w:val="18"/>
          <w:lang w:val="es-ES_tradnl"/>
        </w:rPr>
        <w:t xml:space="preserve">nimas para la defensa, durante todas las </w:t>
      </w:r>
      <w:r>
        <w:rPr>
          <w:spacing w:val="-6"/>
          <w:sz w:val="18"/>
          <w:szCs w:val="18"/>
          <w:lang w:val="es-ES_tradnl"/>
        </w:rPr>
        <w:t xml:space="preserve">etapas del juicio. Ha definido, por tanto, a este derecho </w:t>
      </w:r>
      <w:r>
        <w:rPr>
          <w:spacing w:val="-7"/>
          <w:sz w:val="18"/>
          <w:szCs w:val="18"/>
          <w:lang w:val="es-ES_tradnl"/>
        </w:rPr>
        <w:t xml:space="preserve">como el </w:t>
      </w:r>
      <w:r>
        <w:rPr>
          <w:rFonts w:cs="Times New Roman"/>
          <w:spacing w:val="-7"/>
          <w:sz w:val="18"/>
          <w:szCs w:val="18"/>
          <w:lang w:val="es-ES_tradnl"/>
        </w:rPr>
        <w:t>“…</w:t>
      </w:r>
      <w:r>
        <w:rPr>
          <w:spacing w:val="-7"/>
          <w:sz w:val="18"/>
          <w:szCs w:val="18"/>
          <w:lang w:val="es-ES_tradnl"/>
        </w:rPr>
        <w:t xml:space="preserve"> conjunto de principios a observar en cualquier procedimiento, no solo como orientaci</w:t>
      </w:r>
      <w:r>
        <w:rPr>
          <w:rFonts w:cs="Times New Roman"/>
          <w:spacing w:val="-7"/>
          <w:sz w:val="18"/>
          <w:szCs w:val="18"/>
          <w:lang w:val="es-ES_tradnl"/>
        </w:rPr>
        <w:t>ó</w:t>
      </w:r>
      <w:r>
        <w:rPr>
          <w:spacing w:val="-7"/>
          <w:sz w:val="18"/>
          <w:szCs w:val="18"/>
          <w:lang w:val="es-ES_tradnl"/>
        </w:rPr>
        <w:t xml:space="preserve">n sino como deber, </w:t>
      </w:r>
      <w:r>
        <w:rPr>
          <w:spacing w:val="-10"/>
          <w:sz w:val="18"/>
          <w:szCs w:val="18"/>
          <w:lang w:val="es-ES_tradnl"/>
        </w:rPr>
        <w:t xml:space="preserve">destinado a garantizar de manera eficaz los derechos de las </w:t>
      </w:r>
      <w:r>
        <w:rPr>
          <w:sz w:val="18"/>
          <w:szCs w:val="18"/>
          <w:lang w:val="es-ES_tradnl"/>
        </w:rPr>
        <w:t>personas</w:t>
      </w:r>
      <w:r>
        <w:rPr>
          <w:rFonts w:cs="Times New Roman"/>
          <w:sz w:val="18"/>
          <w:szCs w:val="18"/>
          <w:lang w:val="es-ES_tradnl"/>
        </w:rPr>
        <w:t>…”</w:t>
      </w:r>
      <w:r>
        <w:rPr>
          <w:sz w:val="18"/>
          <w:szCs w:val="18"/>
          <w:lang w:val="es-ES_tradnl"/>
        </w:rPr>
        <w:t xml:space="preserve"> </w:t>
      </w:r>
      <w:r>
        <w:rPr>
          <w:sz w:val="18"/>
          <w:szCs w:val="18"/>
          <w:vertAlign w:val="superscript"/>
          <w:lang w:val="es-ES_tradnl"/>
        </w:rPr>
        <w:t>3</w:t>
      </w:r>
    </w:p>
    <w:p w14:paraId="4F67BC6A" w14:textId="77777777" w:rsidR="00591D54" w:rsidRDefault="00591D54">
      <w:pPr>
        <w:shd w:val="clear" w:color="auto" w:fill="FFFFFF"/>
        <w:spacing w:before="192" w:line="216" w:lineRule="exact"/>
        <w:ind w:right="10"/>
        <w:jc w:val="both"/>
      </w:pPr>
      <w:r>
        <w:rPr>
          <w:spacing w:val="-5"/>
          <w:sz w:val="18"/>
          <w:szCs w:val="18"/>
          <w:lang w:val="es-ES_tradnl"/>
        </w:rPr>
        <w:t>En el presente caso, los accionantes se</w:t>
      </w:r>
      <w:r>
        <w:rPr>
          <w:rFonts w:cs="Times New Roman"/>
          <w:spacing w:val="-5"/>
          <w:sz w:val="18"/>
          <w:szCs w:val="18"/>
          <w:lang w:val="es-ES_tradnl"/>
        </w:rPr>
        <w:t>ñ</w:t>
      </w:r>
      <w:r>
        <w:rPr>
          <w:spacing w:val="-5"/>
          <w:sz w:val="18"/>
          <w:szCs w:val="18"/>
          <w:lang w:val="es-ES_tradnl"/>
        </w:rPr>
        <w:t>alan que la vulneraci</w:t>
      </w:r>
      <w:r>
        <w:rPr>
          <w:rFonts w:cs="Times New Roman"/>
          <w:spacing w:val="-5"/>
          <w:sz w:val="18"/>
          <w:szCs w:val="18"/>
          <w:lang w:val="es-ES_tradnl"/>
        </w:rPr>
        <w:t>ó</w:t>
      </w:r>
      <w:r>
        <w:rPr>
          <w:spacing w:val="-5"/>
          <w:sz w:val="18"/>
          <w:szCs w:val="18"/>
          <w:lang w:val="es-ES_tradnl"/>
        </w:rPr>
        <w:t>n al derecho a la defensa, se efectu</w:t>
      </w:r>
      <w:r>
        <w:rPr>
          <w:rFonts w:cs="Times New Roman"/>
          <w:spacing w:val="-5"/>
          <w:sz w:val="18"/>
          <w:szCs w:val="18"/>
          <w:lang w:val="es-ES_tradnl"/>
        </w:rPr>
        <w:t>ó</w:t>
      </w:r>
      <w:r>
        <w:rPr>
          <w:spacing w:val="-5"/>
          <w:sz w:val="18"/>
          <w:szCs w:val="18"/>
          <w:lang w:val="es-ES_tradnl"/>
        </w:rPr>
        <w:t xml:space="preserve"> en el momento en que no se produjeron las citaciones dentro </w:t>
      </w:r>
      <w:r>
        <w:rPr>
          <w:spacing w:val="-6"/>
          <w:sz w:val="18"/>
          <w:szCs w:val="18"/>
          <w:lang w:val="es-ES_tradnl"/>
        </w:rPr>
        <w:t>del juicio laboral. Es necesario mencionar que la citaci</w:t>
      </w:r>
      <w:r>
        <w:rPr>
          <w:rFonts w:cs="Times New Roman"/>
          <w:spacing w:val="-6"/>
          <w:sz w:val="18"/>
          <w:szCs w:val="18"/>
          <w:lang w:val="es-ES_tradnl"/>
        </w:rPr>
        <w:t>ó</w:t>
      </w:r>
      <w:r>
        <w:rPr>
          <w:spacing w:val="-6"/>
          <w:sz w:val="18"/>
          <w:szCs w:val="18"/>
          <w:lang w:val="es-ES_tradnl"/>
        </w:rPr>
        <w:t>n,</w:t>
      </w:r>
    </w:p>
    <w:p w14:paraId="4F67BC6B" w14:textId="77777777" w:rsidR="00591D54" w:rsidRDefault="00591D54">
      <w:pPr>
        <w:shd w:val="clear" w:color="auto" w:fill="FFFFFF"/>
        <w:spacing w:before="509" w:line="178" w:lineRule="exact"/>
        <w:ind w:left="139" w:hanging="139"/>
      </w:pPr>
      <w:r>
        <w:rPr>
          <w:sz w:val="16"/>
          <w:szCs w:val="16"/>
          <w:vertAlign w:val="superscript"/>
          <w:lang w:val="es-ES_tradnl"/>
        </w:rPr>
        <w:t>3</w:t>
      </w:r>
      <w:r>
        <w:rPr>
          <w:sz w:val="16"/>
          <w:szCs w:val="16"/>
          <w:lang w:val="es-ES_tradnl"/>
        </w:rPr>
        <w:t xml:space="preserve">  </w:t>
      </w:r>
      <w:r>
        <w:rPr>
          <w:spacing w:val="-8"/>
          <w:sz w:val="16"/>
          <w:szCs w:val="16"/>
          <w:lang w:val="es-ES_tradnl"/>
        </w:rPr>
        <w:t xml:space="preserve">Corte Constitucional del Ecuador, sentencia N.ᵒ 027-09-SEP-CC, </w:t>
      </w:r>
      <w:r>
        <w:rPr>
          <w:sz w:val="16"/>
          <w:szCs w:val="16"/>
          <w:lang w:val="es-ES_tradnl"/>
        </w:rPr>
        <w:t>caso N.ᵒ 0011-08-EP.</w:t>
      </w:r>
    </w:p>
    <w:p w14:paraId="4F67BC6C" w14:textId="77777777" w:rsidR="00591D54" w:rsidRDefault="00591D54">
      <w:pPr>
        <w:shd w:val="clear" w:color="auto" w:fill="FFFFFF"/>
        <w:spacing w:line="216" w:lineRule="exact"/>
        <w:jc w:val="both"/>
      </w:pPr>
      <w:r>
        <w:br w:type="column"/>
      </w:r>
      <w:r>
        <w:rPr>
          <w:spacing w:val="-7"/>
          <w:sz w:val="18"/>
          <w:szCs w:val="18"/>
          <w:lang w:val="es-ES_tradnl"/>
        </w:rPr>
        <w:t xml:space="preserve">es un acto mediante el cual se pone en conocimiento del </w:t>
      </w:r>
      <w:r>
        <w:rPr>
          <w:spacing w:val="-8"/>
          <w:sz w:val="18"/>
          <w:szCs w:val="18"/>
          <w:lang w:val="es-ES_tradnl"/>
        </w:rPr>
        <w:t>demandado, y excepcionalmente a terceros con inter</w:t>
      </w:r>
      <w:r>
        <w:rPr>
          <w:rFonts w:cs="Times New Roman"/>
          <w:spacing w:val="-8"/>
          <w:sz w:val="18"/>
          <w:szCs w:val="18"/>
          <w:lang w:val="es-ES_tradnl"/>
        </w:rPr>
        <w:t>é</w:t>
      </w:r>
      <w:r>
        <w:rPr>
          <w:spacing w:val="-8"/>
          <w:sz w:val="18"/>
          <w:szCs w:val="18"/>
          <w:lang w:val="es-ES_tradnl"/>
        </w:rPr>
        <w:t xml:space="preserve">s en </w:t>
      </w:r>
      <w:r>
        <w:rPr>
          <w:spacing w:val="-6"/>
          <w:sz w:val="18"/>
          <w:szCs w:val="18"/>
          <w:lang w:val="es-ES_tradnl"/>
        </w:rPr>
        <w:t xml:space="preserve">la causa, el contenido de la demanda judicial. El objetivo </w:t>
      </w:r>
      <w:r>
        <w:rPr>
          <w:spacing w:val="-8"/>
          <w:sz w:val="18"/>
          <w:szCs w:val="18"/>
          <w:lang w:val="es-ES_tradnl"/>
        </w:rPr>
        <w:t xml:space="preserve">principal de este hecho es asegurar la vigencia del principio </w:t>
      </w:r>
      <w:r>
        <w:rPr>
          <w:spacing w:val="-9"/>
          <w:sz w:val="18"/>
          <w:szCs w:val="18"/>
          <w:lang w:val="es-ES_tradnl"/>
        </w:rPr>
        <w:t>de que nadie puede ser condenado sin haber sido o</w:t>
      </w:r>
      <w:r>
        <w:rPr>
          <w:rFonts w:cs="Times New Roman"/>
          <w:spacing w:val="-9"/>
          <w:sz w:val="18"/>
          <w:szCs w:val="18"/>
          <w:lang w:val="es-ES_tradnl"/>
        </w:rPr>
        <w:t>í</w:t>
      </w:r>
      <w:r>
        <w:rPr>
          <w:spacing w:val="-9"/>
          <w:sz w:val="18"/>
          <w:szCs w:val="18"/>
          <w:lang w:val="es-ES_tradnl"/>
        </w:rPr>
        <w:t>do.</w:t>
      </w:r>
    </w:p>
    <w:p w14:paraId="4F67BC6D" w14:textId="77777777" w:rsidR="00591D54" w:rsidRDefault="00591D54">
      <w:pPr>
        <w:shd w:val="clear" w:color="auto" w:fill="FFFFFF"/>
        <w:spacing w:before="197" w:line="211" w:lineRule="exact"/>
        <w:jc w:val="both"/>
      </w:pPr>
      <w:r>
        <w:rPr>
          <w:spacing w:val="-9"/>
          <w:sz w:val="18"/>
          <w:szCs w:val="18"/>
          <w:lang w:val="es-ES_tradnl"/>
        </w:rPr>
        <w:t xml:space="preserve">Uno de los ejes del derecho procesal es el de la igualdad de </w:t>
      </w:r>
      <w:r>
        <w:rPr>
          <w:spacing w:val="-8"/>
          <w:sz w:val="18"/>
          <w:szCs w:val="18"/>
          <w:lang w:val="es-ES_tradnl"/>
        </w:rPr>
        <w:t>las partes ante la ley, que tiene fundamento en la m</w:t>
      </w:r>
      <w:r>
        <w:rPr>
          <w:rFonts w:cs="Times New Roman"/>
          <w:spacing w:val="-8"/>
          <w:sz w:val="18"/>
          <w:szCs w:val="18"/>
          <w:lang w:val="es-ES_tradnl"/>
        </w:rPr>
        <w:t>á</w:t>
      </w:r>
      <w:r>
        <w:rPr>
          <w:spacing w:val="-8"/>
          <w:sz w:val="18"/>
          <w:szCs w:val="18"/>
          <w:lang w:val="es-ES_tradnl"/>
        </w:rPr>
        <w:t xml:space="preserve">xima </w:t>
      </w:r>
      <w:r>
        <w:rPr>
          <w:i/>
          <w:iCs/>
          <w:spacing w:val="-7"/>
          <w:sz w:val="18"/>
          <w:szCs w:val="18"/>
          <w:lang w:val="es-ES_tradnl"/>
        </w:rPr>
        <w:t>audiator et altera pars</w:t>
      </w:r>
      <w:r>
        <w:rPr>
          <w:spacing w:val="-7"/>
          <w:sz w:val="18"/>
          <w:szCs w:val="18"/>
          <w:lang w:val="es-ES_tradnl"/>
        </w:rPr>
        <w:t>, toda vez que existen verdaderos derechos procesales subjetivos y p</w:t>
      </w:r>
      <w:r>
        <w:rPr>
          <w:rFonts w:cs="Times New Roman"/>
          <w:spacing w:val="-7"/>
          <w:sz w:val="18"/>
          <w:szCs w:val="18"/>
          <w:lang w:val="es-ES_tradnl"/>
        </w:rPr>
        <w:t>ú</w:t>
      </w:r>
      <w:r>
        <w:rPr>
          <w:spacing w:val="-7"/>
          <w:sz w:val="18"/>
          <w:szCs w:val="18"/>
          <w:lang w:val="es-ES_tradnl"/>
        </w:rPr>
        <w:t xml:space="preserve">blicos de las partes, </w:t>
      </w:r>
      <w:r>
        <w:rPr>
          <w:spacing w:val="-8"/>
          <w:sz w:val="18"/>
          <w:szCs w:val="18"/>
          <w:lang w:val="es-ES_tradnl"/>
        </w:rPr>
        <w:t>como los de acci</w:t>
      </w:r>
      <w:r>
        <w:rPr>
          <w:rFonts w:cs="Times New Roman"/>
          <w:spacing w:val="-8"/>
          <w:sz w:val="18"/>
          <w:szCs w:val="18"/>
          <w:lang w:val="es-ES_tradnl"/>
        </w:rPr>
        <w:t>ó</w:t>
      </w:r>
      <w:r>
        <w:rPr>
          <w:spacing w:val="-8"/>
          <w:sz w:val="18"/>
          <w:szCs w:val="18"/>
          <w:lang w:val="es-ES_tradnl"/>
        </w:rPr>
        <w:t>n y contradicci</w:t>
      </w:r>
      <w:r>
        <w:rPr>
          <w:rFonts w:cs="Times New Roman"/>
          <w:spacing w:val="-8"/>
          <w:sz w:val="18"/>
          <w:szCs w:val="18"/>
          <w:lang w:val="es-ES_tradnl"/>
        </w:rPr>
        <w:t>ó</w:t>
      </w:r>
      <w:r>
        <w:rPr>
          <w:spacing w:val="-8"/>
          <w:sz w:val="18"/>
          <w:szCs w:val="18"/>
          <w:lang w:val="es-ES_tradnl"/>
        </w:rPr>
        <w:t xml:space="preserve">n, correspondiendo </w:t>
      </w:r>
      <w:r>
        <w:rPr>
          <w:rFonts w:cs="Times New Roman"/>
          <w:spacing w:val="-8"/>
          <w:sz w:val="18"/>
          <w:szCs w:val="18"/>
          <w:lang w:val="es-ES_tradnl"/>
        </w:rPr>
        <w:t>é</w:t>
      </w:r>
      <w:r>
        <w:rPr>
          <w:spacing w:val="-8"/>
          <w:sz w:val="18"/>
          <w:szCs w:val="18"/>
          <w:lang w:val="es-ES_tradnl"/>
        </w:rPr>
        <w:t xml:space="preserve">stos </w:t>
      </w:r>
      <w:r>
        <w:rPr>
          <w:spacing w:val="-7"/>
          <w:sz w:val="18"/>
          <w:szCs w:val="18"/>
          <w:lang w:val="es-ES_tradnl"/>
        </w:rPr>
        <w:t xml:space="preserve">tanto al actor como al demandado. El ejercicio de estos derechos, impone al juez, deberes correlativos, que son </w:t>
      </w:r>
      <w:r>
        <w:rPr>
          <w:spacing w:val="-5"/>
          <w:sz w:val="18"/>
          <w:szCs w:val="18"/>
          <w:lang w:val="es-ES_tradnl"/>
        </w:rPr>
        <w:t>tambi</w:t>
      </w:r>
      <w:r>
        <w:rPr>
          <w:rFonts w:cs="Times New Roman"/>
          <w:spacing w:val="-5"/>
          <w:sz w:val="18"/>
          <w:szCs w:val="18"/>
          <w:lang w:val="es-ES_tradnl"/>
        </w:rPr>
        <w:t>é</w:t>
      </w:r>
      <w:r>
        <w:rPr>
          <w:spacing w:val="-5"/>
          <w:sz w:val="18"/>
          <w:szCs w:val="18"/>
          <w:lang w:val="es-ES_tradnl"/>
        </w:rPr>
        <w:t>n de derecho p</w:t>
      </w:r>
      <w:r>
        <w:rPr>
          <w:rFonts w:cs="Times New Roman"/>
          <w:spacing w:val="-5"/>
          <w:sz w:val="18"/>
          <w:szCs w:val="18"/>
          <w:lang w:val="es-ES_tradnl"/>
        </w:rPr>
        <w:t>ú</w:t>
      </w:r>
      <w:r>
        <w:rPr>
          <w:spacing w:val="-5"/>
          <w:sz w:val="18"/>
          <w:szCs w:val="18"/>
          <w:lang w:val="es-ES_tradnl"/>
        </w:rPr>
        <w:t xml:space="preserve">blico, como el de proveer o iniciar </w:t>
      </w:r>
      <w:r>
        <w:rPr>
          <w:spacing w:val="-7"/>
          <w:sz w:val="18"/>
          <w:szCs w:val="18"/>
          <w:lang w:val="es-ES_tradnl"/>
        </w:rPr>
        <w:t>el proceso, de citar y o</w:t>
      </w:r>
      <w:r>
        <w:rPr>
          <w:rFonts w:cs="Times New Roman"/>
          <w:spacing w:val="-7"/>
          <w:sz w:val="18"/>
          <w:szCs w:val="18"/>
          <w:lang w:val="es-ES_tradnl"/>
        </w:rPr>
        <w:t>í</w:t>
      </w:r>
      <w:r>
        <w:rPr>
          <w:spacing w:val="-7"/>
          <w:sz w:val="18"/>
          <w:szCs w:val="18"/>
          <w:lang w:val="es-ES_tradnl"/>
        </w:rPr>
        <w:t xml:space="preserve">r al demandado, de decretar las </w:t>
      </w:r>
      <w:r>
        <w:rPr>
          <w:spacing w:val="-8"/>
          <w:sz w:val="18"/>
          <w:szCs w:val="18"/>
          <w:lang w:val="es-ES_tradnl"/>
        </w:rPr>
        <w:t xml:space="preserve">pruebas oportuna y debidamente solicitadas por las partes, de atender los recursos que se interpongan en el tiempo y </w:t>
      </w:r>
      <w:r>
        <w:rPr>
          <w:sz w:val="18"/>
          <w:szCs w:val="18"/>
          <w:lang w:val="es-ES_tradnl"/>
        </w:rPr>
        <w:t>con las formalidades legales.</w:t>
      </w:r>
      <w:r>
        <w:rPr>
          <w:sz w:val="18"/>
          <w:szCs w:val="18"/>
          <w:vertAlign w:val="superscript"/>
          <w:lang w:val="es-ES_tradnl"/>
        </w:rPr>
        <w:t>4</w:t>
      </w:r>
    </w:p>
    <w:p w14:paraId="4F67BC6E" w14:textId="77777777" w:rsidR="00591D54" w:rsidRDefault="00591D54">
      <w:pPr>
        <w:shd w:val="clear" w:color="auto" w:fill="FFFFFF"/>
        <w:spacing w:before="197" w:line="216" w:lineRule="exact"/>
        <w:jc w:val="both"/>
      </w:pPr>
      <w:r>
        <w:rPr>
          <w:spacing w:val="-8"/>
          <w:sz w:val="18"/>
          <w:szCs w:val="18"/>
          <w:lang w:val="es-ES_tradnl"/>
        </w:rPr>
        <w:t>El C</w:t>
      </w:r>
      <w:r>
        <w:rPr>
          <w:rFonts w:cs="Times New Roman"/>
          <w:spacing w:val="-8"/>
          <w:sz w:val="18"/>
          <w:szCs w:val="18"/>
          <w:lang w:val="es-ES_tradnl"/>
        </w:rPr>
        <w:t>ó</w:t>
      </w:r>
      <w:r>
        <w:rPr>
          <w:spacing w:val="-8"/>
          <w:sz w:val="18"/>
          <w:szCs w:val="18"/>
          <w:lang w:val="es-ES_tradnl"/>
        </w:rPr>
        <w:t>digo de Procedimiento Civil de nuestra legislaci</w:t>
      </w:r>
      <w:r>
        <w:rPr>
          <w:rFonts w:cs="Times New Roman"/>
          <w:spacing w:val="-8"/>
          <w:sz w:val="18"/>
          <w:szCs w:val="18"/>
          <w:lang w:val="es-ES_tradnl"/>
        </w:rPr>
        <w:t>ó</w:t>
      </w:r>
      <w:r>
        <w:rPr>
          <w:spacing w:val="-8"/>
          <w:sz w:val="18"/>
          <w:szCs w:val="18"/>
          <w:lang w:val="es-ES_tradnl"/>
        </w:rPr>
        <w:t>n, en su art</w:t>
      </w:r>
      <w:r>
        <w:rPr>
          <w:rFonts w:cs="Times New Roman"/>
          <w:spacing w:val="-8"/>
          <w:sz w:val="18"/>
          <w:szCs w:val="18"/>
          <w:lang w:val="es-ES_tradnl"/>
        </w:rPr>
        <w:t>í</w:t>
      </w:r>
      <w:r>
        <w:rPr>
          <w:spacing w:val="-8"/>
          <w:sz w:val="18"/>
          <w:szCs w:val="18"/>
          <w:lang w:val="es-ES_tradnl"/>
        </w:rPr>
        <w:t>culo 73 pone de manifiesto el concepto de citaci</w:t>
      </w:r>
      <w:r>
        <w:rPr>
          <w:rFonts w:cs="Times New Roman"/>
          <w:spacing w:val="-8"/>
          <w:sz w:val="18"/>
          <w:szCs w:val="18"/>
          <w:lang w:val="es-ES_tradnl"/>
        </w:rPr>
        <w:t>ó</w:t>
      </w:r>
      <w:r>
        <w:rPr>
          <w:spacing w:val="-8"/>
          <w:sz w:val="18"/>
          <w:szCs w:val="18"/>
          <w:lang w:val="es-ES_tradnl"/>
        </w:rPr>
        <w:t xml:space="preserve">n y </w:t>
      </w:r>
      <w:r>
        <w:rPr>
          <w:sz w:val="18"/>
          <w:szCs w:val="18"/>
          <w:lang w:val="es-ES_tradnl"/>
        </w:rPr>
        <w:t>de notificaci</w:t>
      </w:r>
      <w:r>
        <w:rPr>
          <w:rFonts w:cs="Times New Roman"/>
          <w:sz w:val="18"/>
          <w:szCs w:val="18"/>
          <w:lang w:val="es-ES_tradnl"/>
        </w:rPr>
        <w:t>ó</w:t>
      </w:r>
      <w:r>
        <w:rPr>
          <w:sz w:val="18"/>
          <w:szCs w:val="18"/>
          <w:lang w:val="es-ES_tradnl"/>
        </w:rPr>
        <w:t>n:</w:t>
      </w:r>
    </w:p>
    <w:p w14:paraId="4F67BC6F" w14:textId="77777777" w:rsidR="00591D54" w:rsidRDefault="00591D54">
      <w:pPr>
        <w:shd w:val="clear" w:color="auto" w:fill="FFFFFF"/>
        <w:spacing w:before="202" w:line="216" w:lineRule="exact"/>
        <w:ind w:left="283"/>
        <w:jc w:val="both"/>
      </w:pPr>
      <w:r>
        <w:rPr>
          <w:spacing w:val="-4"/>
          <w:sz w:val="16"/>
          <w:szCs w:val="16"/>
          <w:lang w:val="es-ES_tradnl"/>
        </w:rPr>
        <w:t>Citaci</w:t>
      </w:r>
      <w:r>
        <w:rPr>
          <w:rFonts w:cs="Times New Roman"/>
          <w:spacing w:val="-4"/>
          <w:sz w:val="16"/>
          <w:szCs w:val="16"/>
          <w:lang w:val="es-ES_tradnl"/>
        </w:rPr>
        <w:t>ó</w:t>
      </w:r>
      <w:r>
        <w:rPr>
          <w:spacing w:val="-4"/>
          <w:sz w:val="16"/>
          <w:szCs w:val="16"/>
          <w:lang w:val="es-ES_tradnl"/>
        </w:rPr>
        <w:t xml:space="preserve">n es el acto por el cual se hace saber al demandado </w:t>
      </w:r>
      <w:r>
        <w:rPr>
          <w:spacing w:val="-7"/>
          <w:sz w:val="16"/>
          <w:szCs w:val="16"/>
          <w:lang w:val="es-ES_tradnl"/>
        </w:rPr>
        <w:t xml:space="preserve">el contenido de la demanda o del acto preparatorio y las </w:t>
      </w:r>
      <w:r>
        <w:rPr>
          <w:spacing w:val="-8"/>
          <w:sz w:val="16"/>
          <w:szCs w:val="16"/>
          <w:lang w:val="es-ES_tradnl"/>
        </w:rPr>
        <w:t>providencias reca</w:t>
      </w:r>
      <w:r>
        <w:rPr>
          <w:rFonts w:cs="Times New Roman"/>
          <w:spacing w:val="-8"/>
          <w:sz w:val="16"/>
          <w:szCs w:val="16"/>
          <w:lang w:val="es-ES_tradnl"/>
        </w:rPr>
        <w:t>í</w:t>
      </w:r>
      <w:r>
        <w:rPr>
          <w:spacing w:val="-8"/>
          <w:sz w:val="16"/>
          <w:szCs w:val="16"/>
          <w:lang w:val="es-ES_tradnl"/>
        </w:rPr>
        <w:t>das en esos escritos. Notificaci</w:t>
      </w:r>
      <w:r>
        <w:rPr>
          <w:rFonts w:cs="Times New Roman"/>
          <w:spacing w:val="-8"/>
          <w:sz w:val="16"/>
          <w:szCs w:val="16"/>
          <w:lang w:val="es-ES_tradnl"/>
        </w:rPr>
        <w:t>ó</w:t>
      </w:r>
      <w:r>
        <w:rPr>
          <w:spacing w:val="-8"/>
          <w:sz w:val="16"/>
          <w:szCs w:val="16"/>
          <w:lang w:val="es-ES_tradnl"/>
        </w:rPr>
        <w:t xml:space="preserve">n es el acto </w:t>
      </w:r>
      <w:r>
        <w:rPr>
          <w:spacing w:val="-7"/>
          <w:sz w:val="16"/>
          <w:szCs w:val="16"/>
          <w:lang w:val="es-ES_tradnl"/>
        </w:rPr>
        <w:t>por el cual se pone en conocimiento de las partes, o de otras personas o funcionarios, en su caso, las sentencias, autos y dem</w:t>
      </w:r>
      <w:r>
        <w:rPr>
          <w:rFonts w:cs="Times New Roman"/>
          <w:spacing w:val="-7"/>
          <w:sz w:val="16"/>
          <w:szCs w:val="16"/>
          <w:lang w:val="es-ES_tradnl"/>
        </w:rPr>
        <w:t>á</w:t>
      </w:r>
      <w:r>
        <w:rPr>
          <w:spacing w:val="-7"/>
          <w:sz w:val="16"/>
          <w:szCs w:val="16"/>
          <w:lang w:val="es-ES_tradnl"/>
        </w:rPr>
        <w:t>s providencias judiciales, o se hace saber a qui</w:t>
      </w:r>
      <w:r>
        <w:rPr>
          <w:rFonts w:cs="Times New Roman"/>
          <w:spacing w:val="-7"/>
          <w:sz w:val="16"/>
          <w:szCs w:val="16"/>
          <w:lang w:val="es-ES_tradnl"/>
        </w:rPr>
        <w:t>é</w:t>
      </w:r>
      <w:r>
        <w:rPr>
          <w:spacing w:val="-7"/>
          <w:sz w:val="16"/>
          <w:szCs w:val="16"/>
          <w:lang w:val="es-ES_tradnl"/>
        </w:rPr>
        <w:t xml:space="preserve">n debe cumplir una orden o aceptar un nombramiento, expedidos por </w:t>
      </w:r>
      <w:r>
        <w:rPr>
          <w:sz w:val="16"/>
          <w:szCs w:val="16"/>
          <w:lang w:val="es-ES_tradnl"/>
        </w:rPr>
        <w:t>el juez.</w:t>
      </w:r>
    </w:p>
    <w:p w14:paraId="4F67BC70" w14:textId="77777777" w:rsidR="00591D54" w:rsidRDefault="00591D54">
      <w:pPr>
        <w:shd w:val="clear" w:color="auto" w:fill="FFFFFF"/>
        <w:spacing w:before="202" w:line="216" w:lineRule="exact"/>
        <w:jc w:val="both"/>
      </w:pPr>
      <w:r>
        <w:rPr>
          <w:spacing w:val="-9"/>
          <w:sz w:val="18"/>
          <w:szCs w:val="18"/>
          <w:lang w:val="es-ES_tradnl"/>
        </w:rPr>
        <w:t xml:space="preserve">Sin embargo de lo mencionado, el primero y segundo inciso </w:t>
      </w:r>
      <w:r>
        <w:rPr>
          <w:spacing w:val="-7"/>
          <w:sz w:val="18"/>
          <w:szCs w:val="18"/>
          <w:lang w:val="es-ES_tradnl"/>
        </w:rPr>
        <w:t>del art</w:t>
      </w:r>
      <w:r>
        <w:rPr>
          <w:rFonts w:cs="Times New Roman"/>
          <w:spacing w:val="-7"/>
          <w:sz w:val="18"/>
          <w:szCs w:val="18"/>
          <w:lang w:val="es-ES_tradnl"/>
        </w:rPr>
        <w:t>í</w:t>
      </w:r>
      <w:r>
        <w:rPr>
          <w:spacing w:val="-7"/>
          <w:sz w:val="18"/>
          <w:szCs w:val="18"/>
          <w:lang w:val="es-ES_tradnl"/>
        </w:rPr>
        <w:t>culo 77 del mismo cuerpo normativo se</w:t>
      </w:r>
      <w:r>
        <w:rPr>
          <w:rFonts w:cs="Times New Roman"/>
          <w:spacing w:val="-7"/>
          <w:sz w:val="18"/>
          <w:szCs w:val="18"/>
          <w:lang w:val="es-ES_tradnl"/>
        </w:rPr>
        <w:t>ñ</w:t>
      </w:r>
      <w:r>
        <w:rPr>
          <w:spacing w:val="-7"/>
          <w:sz w:val="18"/>
          <w:szCs w:val="18"/>
          <w:lang w:val="es-ES_tradnl"/>
        </w:rPr>
        <w:t>ala que:</w:t>
      </w:r>
    </w:p>
    <w:p w14:paraId="4F67BC71" w14:textId="77777777" w:rsidR="00591D54" w:rsidRDefault="00591D54">
      <w:pPr>
        <w:shd w:val="clear" w:color="auto" w:fill="FFFFFF"/>
        <w:spacing w:before="202" w:line="216" w:lineRule="exact"/>
        <w:ind w:left="283"/>
        <w:jc w:val="both"/>
      </w:pPr>
      <w:r>
        <w:rPr>
          <w:spacing w:val="-10"/>
          <w:sz w:val="16"/>
          <w:szCs w:val="16"/>
          <w:lang w:val="es-ES_tradnl"/>
        </w:rPr>
        <w:t>Si no se encontrare a la persona que debe ser citada, se la citar</w:t>
      </w:r>
      <w:r>
        <w:rPr>
          <w:rFonts w:cs="Times New Roman"/>
          <w:spacing w:val="-10"/>
          <w:sz w:val="16"/>
          <w:szCs w:val="16"/>
          <w:lang w:val="es-ES_tradnl"/>
        </w:rPr>
        <w:t xml:space="preserve">á </w:t>
      </w:r>
      <w:r>
        <w:rPr>
          <w:spacing w:val="-8"/>
          <w:sz w:val="16"/>
          <w:szCs w:val="16"/>
          <w:lang w:val="es-ES_tradnl"/>
        </w:rPr>
        <w:t>por boleta dejada en la correspondiente habitaci</w:t>
      </w:r>
      <w:r>
        <w:rPr>
          <w:rFonts w:cs="Times New Roman"/>
          <w:spacing w:val="-8"/>
          <w:sz w:val="16"/>
          <w:szCs w:val="16"/>
          <w:lang w:val="es-ES_tradnl"/>
        </w:rPr>
        <w:t>ó</w:t>
      </w:r>
      <w:r>
        <w:rPr>
          <w:spacing w:val="-8"/>
          <w:sz w:val="16"/>
          <w:szCs w:val="16"/>
          <w:lang w:val="es-ES_tradnl"/>
        </w:rPr>
        <w:t xml:space="preserve">n, a cualquier </w:t>
      </w:r>
      <w:r>
        <w:rPr>
          <w:spacing w:val="-1"/>
          <w:sz w:val="16"/>
          <w:szCs w:val="16"/>
          <w:lang w:val="es-ES_tradnl"/>
        </w:rPr>
        <w:t>individuo de su familia o de servicio. La boleta expresar</w:t>
      </w:r>
      <w:r>
        <w:rPr>
          <w:rFonts w:cs="Times New Roman"/>
          <w:spacing w:val="-1"/>
          <w:sz w:val="16"/>
          <w:szCs w:val="16"/>
          <w:lang w:val="es-ES_tradnl"/>
        </w:rPr>
        <w:t xml:space="preserve">á </w:t>
      </w:r>
      <w:r>
        <w:rPr>
          <w:spacing w:val="-3"/>
          <w:sz w:val="16"/>
          <w:szCs w:val="16"/>
          <w:lang w:val="es-ES_tradnl"/>
        </w:rPr>
        <w:t>el contenido del pedimento, la orden o prove</w:t>
      </w:r>
      <w:r>
        <w:rPr>
          <w:rFonts w:cs="Times New Roman"/>
          <w:spacing w:val="-3"/>
          <w:sz w:val="16"/>
          <w:szCs w:val="16"/>
          <w:lang w:val="es-ES_tradnl"/>
        </w:rPr>
        <w:t>í</w:t>
      </w:r>
      <w:r>
        <w:rPr>
          <w:spacing w:val="-3"/>
          <w:sz w:val="16"/>
          <w:szCs w:val="16"/>
          <w:lang w:val="es-ES_tradnl"/>
        </w:rPr>
        <w:t xml:space="preserve">do del juez, y </w:t>
      </w:r>
      <w:r>
        <w:rPr>
          <w:spacing w:val="-5"/>
          <w:sz w:val="16"/>
          <w:szCs w:val="16"/>
          <w:lang w:val="es-ES_tradnl"/>
        </w:rPr>
        <w:t>la fecha en que se hace la citaci</w:t>
      </w:r>
      <w:r>
        <w:rPr>
          <w:rFonts w:cs="Times New Roman"/>
          <w:spacing w:val="-5"/>
          <w:sz w:val="16"/>
          <w:szCs w:val="16"/>
          <w:lang w:val="es-ES_tradnl"/>
        </w:rPr>
        <w:t>ó</w:t>
      </w:r>
      <w:r>
        <w:rPr>
          <w:spacing w:val="-5"/>
          <w:sz w:val="16"/>
          <w:szCs w:val="16"/>
          <w:lang w:val="es-ES_tradnl"/>
        </w:rPr>
        <w:t xml:space="preserve">n; y si no hubiere a quien </w:t>
      </w:r>
      <w:r>
        <w:rPr>
          <w:spacing w:val="-7"/>
          <w:sz w:val="16"/>
          <w:szCs w:val="16"/>
          <w:lang w:val="es-ES_tradnl"/>
        </w:rPr>
        <w:t>entregarla, se la fijar</w:t>
      </w:r>
      <w:r>
        <w:rPr>
          <w:rFonts w:cs="Times New Roman"/>
          <w:spacing w:val="-7"/>
          <w:sz w:val="16"/>
          <w:szCs w:val="16"/>
          <w:lang w:val="es-ES_tradnl"/>
        </w:rPr>
        <w:t>á</w:t>
      </w:r>
      <w:r>
        <w:rPr>
          <w:spacing w:val="-7"/>
          <w:sz w:val="16"/>
          <w:szCs w:val="16"/>
          <w:lang w:val="es-ES_tradnl"/>
        </w:rPr>
        <w:t xml:space="preserve"> en las puertas de la referida habitaci</w:t>
      </w:r>
      <w:r>
        <w:rPr>
          <w:rFonts w:cs="Times New Roman"/>
          <w:spacing w:val="-7"/>
          <w:sz w:val="16"/>
          <w:szCs w:val="16"/>
          <w:lang w:val="es-ES_tradnl"/>
        </w:rPr>
        <w:t>ó</w:t>
      </w:r>
      <w:r>
        <w:rPr>
          <w:spacing w:val="-7"/>
          <w:sz w:val="16"/>
          <w:szCs w:val="16"/>
          <w:lang w:val="es-ES_tradnl"/>
        </w:rPr>
        <w:t>n, y el actuario o el citador, sentar</w:t>
      </w:r>
      <w:r>
        <w:rPr>
          <w:rFonts w:cs="Times New Roman"/>
          <w:spacing w:val="-7"/>
          <w:sz w:val="16"/>
          <w:szCs w:val="16"/>
          <w:lang w:val="es-ES_tradnl"/>
        </w:rPr>
        <w:t>á</w:t>
      </w:r>
      <w:r>
        <w:rPr>
          <w:spacing w:val="-7"/>
          <w:sz w:val="16"/>
          <w:szCs w:val="16"/>
          <w:lang w:val="es-ES_tradnl"/>
        </w:rPr>
        <w:t xml:space="preserve"> la diligencia correspondiente. </w:t>
      </w:r>
      <w:r>
        <w:rPr>
          <w:spacing w:val="-1"/>
          <w:sz w:val="16"/>
          <w:szCs w:val="16"/>
          <w:lang w:val="es-ES_tradnl"/>
        </w:rPr>
        <w:t>La persona que reciba la boleta suscribir</w:t>
      </w:r>
      <w:r>
        <w:rPr>
          <w:rFonts w:cs="Times New Roman"/>
          <w:spacing w:val="-1"/>
          <w:sz w:val="16"/>
          <w:szCs w:val="16"/>
          <w:lang w:val="es-ES_tradnl"/>
        </w:rPr>
        <w:t>á</w:t>
      </w:r>
      <w:r>
        <w:rPr>
          <w:spacing w:val="-1"/>
          <w:sz w:val="16"/>
          <w:szCs w:val="16"/>
          <w:lang w:val="es-ES_tradnl"/>
        </w:rPr>
        <w:t xml:space="preserve"> la diligencia, y </w:t>
      </w:r>
      <w:r>
        <w:rPr>
          <w:spacing w:val="-3"/>
          <w:sz w:val="16"/>
          <w:szCs w:val="16"/>
          <w:lang w:val="es-ES_tradnl"/>
        </w:rPr>
        <w:t xml:space="preserve">si ella, por cualquier motivo, no lo hiciere, el funcionario </w:t>
      </w:r>
      <w:r>
        <w:rPr>
          <w:spacing w:val="-6"/>
          <w:sz w:val="16"/>
          <w:szCs w:val="16"/>
          <w:lang w:val="es-ES_tradnl"/>
        </w:rPr>
        <w:t>respectivo, sentar</w:t>
      </w:r>
      <w:r>
        <w:rPr>
          <w:rFonts w:cs="Times New Roman"/>
          <w:spacing w:val="-6"/>
          <w:sz w:val="16"/>
          <w:szCs w:val="16"/>
          <w:lang w:val="es-ES_tradnl"/>
        </w:rPr>
        <w:t>á</w:t>
      </w:r>
      <w:r>
        <w:rPr>
          <w:spacing w:val="-6"/>
          <w:sz w:val="16"/>
          <w:szCs w:val="16"/>
          <w:lang w:val="es-ES_tradnl"/>
        </w:rPr>
        <w:t xml:space="preserve"> la raz</w:t>
      </w:r>
      <w:r>
        <w:rPr>
          <w:rFonts w:cs="Times New Roman"/>
          <w:spacing w:val="-6"/>
          <w:sz w:val="16"/>
          <w:szCs w:val="16"/>
          <w:lang w:val="es-ES_tradnl"/>
        </w:rPr>
        <w:t>ó</w:t>
      </w:r>
      <w:r>
        <w:rPr>
          <w:spacing w:val="-6"/>
          <w:sz w:val="16"/>
          <w:szCs w:val="16"/>
          <w:lang w:val="es-ES_tradnl"/>
        </w:rPr>
        <w:t>n del caso y la suscribir</w:t>
      </w:r>
      <w:r>
        <w:rPr>
          <w:rFonts w:cs="Times New Roman"/>
          <w:spacing w:val="-6"/>
          <w:sz w:val="16"/>
          <w:szCs w:val="16"/>
          <w:lang w:val="es-ES_tradnl"/>
        </w:rPr>
        <w:t>á</w:t>
      </w:r>
      <w:r>
        <w:rPr>
          <w:spacing w:val="-6"/>
          <w:sz w:val="16"/>
          <w:szCs w:val="16"/>
          <w:lang w:val="es-ES_tradnl"/>
        </w:rPr>
        <w:t xml:space="preserve"> (</w:t>
      </w:r>
      <w:r>
        <w:rPr>
          <w:rFonts w:cs="Times New Roman"/>
          <w:spacing w:val="-6"/>
          <w:sz w:val="16"/>
          <w:szCs w:val="16"/>
          <w:lang w:val="es-ES_tradnl"/>
        </w:rPr>
        <w:t>…</w:t>
      </w:r>
      <w:r>
        <w:rPr>
          <w:spacing w:val="-6"/>
          <w:sz w:val="16"/>
          <w:szCs w:val="16"/>
          <w:lang w:val="es-ES_tradnl"/>
        </w:rPr>
        <w:t>).</w:t>
      </w:r>
    </w:p>
    <w:p w14:paraId="4F67BC72" w14:textId="77777777" w:rsidR="00591D54" w:rsidRDefault="00591D54">
      <w:pPr>
        <w:shd w:val="clear" w:color="auto" w:fill="FFFFFF"/>
        <w:spacing w:before="202" w:line="216" w:lineRule="exact"/>
        <w:jc w:val="both"/>
      </w:pPr>
      <w:r>
        <w:rPr>
          <w:spacing w:val="-7"/>
          <w:sz w:val="18"/>
          <w:szCs w:val="18"/>
          <w:lang w:val="es-ES_tradnl"/>
        </w:rPr>
        <w:t xml:space="preserve">A fs. 4 del expediente laboral N.ᵒ 175-2010, el Juzgado Sexto de Trabajo de Pichincha, con providencia de 26 de </w:t>
      </w:r>
      <w:r>
        <w:rPr>
          <w:spacing w:val="-10"/>
          <w:sz w:val="18"/>
          <w:szCs w:val="18"/>
          <w:lang w:val="es-ES_tradnl"/>
        </w:rPr>
        <w:t>abril de 2010 ordena citar al demandado dentro del proceso, empresa S`panes en la persona de su gerente, la se</w:t>
      </w:r>
      <w:r>
        <w:rPr>
          <w:rFonts w:cs="Times New Roman"/>
          <w:spacing w:val="-10"/>
          <w:sz w:val="18"/>
          <w:szCs w:val="18"/>
          <w:lang w:val="es-ES_tradnl"/>
        </w:rPr>
        <w:t>ñ</w:t>
      </w:r>
      <w:r>
        <w:rPr>
          <w:spacing w:val="-10"/>
          <w:sz w:val="18"/>
          <w:szCs w:val="18"/>
          <w:lang w:val="es-ES_tradnl"/>
        </w:rPr>
        <w:t xml:space="preserve">ora </w:t>
      </w:r>
      <w:r>
        <w:rPr>
          <w:spacing w:val="-7"/>
          <w:sz w:val="18"/>
          <w:szCs w:val="18"/>
          <w:lang w:val="es-ES_tradnl"/>
        </w:rPr>
        <w:t>Emperatriz Mu</w:t>
      </w:r>
      <w:r>
        <w:rPr>
          <w:rFonts w:cs="Times New Roman"/>
          <w:spacing w:val="-7"/>
          <w:sz w:val="18"/>
          <w:szCs w:val="18"/>
          <w:lang w:val="es-ES_tradnl"/>
        </w:rPr>
        <w:t>ñ</w:t>
      </w:r>
      <w:r>
        <w:rPr>
          <w:spacing w:val="-7"/>
          <w:sz w:val="18"/>
          <w:szCs w:val="18"/>
          <w:lang w:val="es-ES_tradnl"/>
        </w:rPr>
        <w:t>etones Hern</w:t>
      </w:r>
      <w:r>
        <w:rPr>
          <w:rFonts w:cs="Times New Roman"/>
          <w:spacing w:val="-7"/>
          <w:sz w:val="18"/>
          <w:szCs w:val="18"/>
          <w:lang w:val="es-ES_tradnl"/>
        </w:rPr>
        <w:t>á</w:t>
      </w:r>
      <w:r>
        <w:rPr>
          <w:spacing w:val="-7"/>
          <w:sz w:val="18"/>
          <w:szCs w:val="18"/>
          <w:lang w:val="es-ES_tradnl"/>
        </w:rPr>
        <w:t>ndez, y a su representante se</w:t>
      </w:r>
      <w:r>
        <w:rPr>
          <w:rFonts w:cs="Times New Roman"/>
          <w:spacing w:val="-7"/>
          <w:sz w:val="18"/>
          <w:szCs w:val="18"/>
          <w:lang w:val="es-ES_tradnl"/>
        </w:rPr>
        <w:t>ñ</w:t>
      </w:r>
      <w:r>
        <w:rPr>
          <w:spacing w:val="-7"/>
          <w:sz w:val="18"/>
          <w:szCs w:val="18"/>
          <w:lang w:val="es-ES_tradnl"/>
        </w:rPr>
        <w:t>or Omar Josu</w:t>
      </w:r>
      <w:r>
        <w:rPr>
          <w:rFonts w:cs="Times New Roman"/>
          <w:spacing w:val="-7"/>
          <w:sz w:val="18"/>
          <w:szCs w:val="18"/>
          <w:lang w:val="es-ES_tradnl"/>
        </w:rPr>
        <w:t>é</w:t>
      </w:r>
      <w:r>
        <w:rPr>
          <w:spacing w:val="-7"/>
          <w:sz w:val="18"/>
          <w:szCs w:val="18"/>
          <w:lang w:val="es-ES_tradnl"/>
        </w:rPr>
        <w:t xml:space="preserve"> Jaramillo Mu</w:t>
      </w:r>
      <w:r>
        <w:rPr>
          <w:rFonts w:cs="Times New Roman"/>
          <w:spacing w:val="-7"/>
          <w:sz w:val="18"/>
          <w:szCs w:val="18"/>
          <w:lang w:val="es-ES_tradnl"/>
        </w:rPr>
        <w:t>ñ</w:t>
      </w:r>
      <w:r>
        <w:rPr>
          <w:spacing w:val="-7"/>
          <w:sz w:val="18"/>
          <w:szCs w:val="18"/>
          <w:lang w:val="es-ES_tradnl"/>
        </w:rPr>
        <w:t xml:space="preserve">etones, con el contenido </w:t>
      </w:r>
      <w:r>
        <w:rPr>
          <w:spacing w:val="-5"/>
          <w:sz w:val="18"/>
          <w:szCs w:val="18"/>
          <w:lang w:val="es-ES_tradnl"/>
        </w:rPr>
        <w:t>de la demanda y auto de calificaci</w:t>
      </w:r>
      <w:r>
        <w:rPr>
          <w:rFonts w:cs="Times New Roman"/>
          <w:spacing w:val="-5"/>
          <w:sz w:val="18"/>
          <w:szCs w:val="18"/>
          <w:lang w:val="es-ES_tradnl"/>
        </w:rPr>
        <w:t>ó</w:t>
      </w:r>
      <w:r>
        <w:rPr>
          <w:spacing w:val="-5"/>
          <w:sz w:val="18"/>
          <w:szCs w:val="18"/>
          <w:lang w:val="es-ES_tradnl"/>
        </w:rPr>
        <w:t xml:space="preserve">n; advirtiendo a los </w:t>
      </w:r>
      <w:r>
        <w:rPr>
          <w:spacing w:val="-7"/>
          <w:sz w:val="18"/>
          <w:szCs w:val="18"/>
          <w:lang w:val="es-ES_tradnl"/>
        </w:rPr>
        <w:t>demandados la obligaci</w:t>
      </w:r>
      <w:r>
        <w:rPr>
          <w:rFonts w:cs="Times New Roman"/>
          <w:spacing w:val="-7"/>
          <w:sz w:val="18"/>
          <w:szCs w:val="18"/>
          <w:lang w:val="es-ES_tradnl"/>
        </w:rPr>
        <w:t>ó</w:t>
      </w:r>
      <w:r>
        <w:rPr>
          <w:spacing w:val="-7"/>
          <w:sz w:val="18"/>
          <w:szCs w:val="18"/>
          <w:lang w:val="es-ES_tradnl"/>
        </w:rPr>
        <w:t>n que tienen de se</w:t>
      </w:r>
      <w:r>
        <w:rPr>
          <w:rFonts w:cs="Times New Roman"/>
          <w:spacing w:val="-7"/>
          <w:sz w:val="18"/>
          <w:szCs w:val="18"/>
          <w:lang w:val="es-ES_tradnl"/>
        </w:rPr>
        <w:t>ñ</w:t>
      </w:r>
      <w:r>
        <w:rPr>
          <w:spacing w:val="-7"/>
          <w:sz w:val="18"/>
          <w:szCs w:val="18"/>
          <w:lang w:val="es-ES_tradnl"/>
        </w:rPr>
        <w:t xml:space="preserve">alar domicilio </w:t>
      </w:r>
      <w:r>
        <w:rPr>
          <w:spacing w:val="-8"/>
          <w:sz w:val="18"/>
          <w:szCs w:val="18"/>
          <w:lang w:val="es-ES_tradnl"/>
        </w:rPr>
        <w:t>judicial para las notificaciones que le correspondan.</w:t>
      </w:r>
    </w:p>
    <w:p w14:paraId="4F67BC73" w14:textId="77777777" w:rsidR="00591D54" w:rsidRDefault="00591D54">
      <w:pPr>
        <w:shd w:val="clear" w:color="auto" w:fill="FFFFFF"/>
        <w:spacing w:before="197" w:line="216" w:lineRule="exact"/>
        <w:jc w:val="both"/>
      </w:pPr>
      <w:r>
        <w:rPr>
          <w:spacing w:val="-9"/>
          <w:sz w:val="18"/>
          <w:szCs w:val="18"/>
          <w:lang w:val="es-ES_tradnl"/>
        </w:rPr>
        <w:t xml:space="preserve">A fs. 9 del mismo expediente se encuentran las razones del </w:t>
      </w:r>
      <w:r>
        <w:rPr>
          <w:spacing w:val="-8"/>
          <w:sz w:val="18"/>
          <w:szCs w:val="18"/>
          <w:lang w:val="es-ES_tradnl"/>
        </w:rPr>
        <w:t>citador, licenciado Henry Ch</w:t>
      </w:r>
      <w:r>
        <w:rPr>
          <w:rFonts w:cs="Times New Roman"/>
          <w:spacing w:val="-8"/>
          <w:sz w:val="18"/>
          <w:szCs w:val="18"/>
          <w:lang w:val="es-ES_tradnl"/>
        </w:rPr>
        <w:t>á</w:t>
      </w:r>
      <w:r>
        <w:rPr>
          <w:spacing w:val="-8"/>
          <w:sz w:val="18"/>
          <w:szCs w:val="18"/>
          <w:lang w:val="es-ES_tradnl"/>
        </w:rPr>
        <w:t>vez Carrillo de 24, 25 y 28 de junio de 2010, que certifican la entrega de tres boletas con</w:t>
      </w:r>
    </w:p>
    <w:p w14:paraId="4F67BC74" w14:textId="77777777" w:rsidR="00591D54" w:rsidRDefault="00591D54">
      <w:pPr>
        <w:shd w:val="clear" w:color="auto" w:fill="FFFFFF"/>
        <w:spacing w:before="514" w:line="178" w:lineRule="exact"/>
        <w:ind w:left="144" w:hanging="144"/>
      </w:pPr>
      <w:r>
        <w:rPr>
          <w:sz w:val="16"/>
          <w:szCs w:val="16"/>
          <w:vertAlign w:val="superscript"/>
          <w:lang w:val="es-ES_tradnl"/>
        </w:rPr>
        <w:t>4</w:t>
      </w:r>
      <w:r>
        <w:rPr>
          <w:sz w:val="16"/>
          <w:szCs w:val="16"/>
          <w:lang w:val="es-ES_tradnl"/>
        </w:rPr>
        <w:t xml:space="preserve">  </w:t>
      </w:r>
      <w:r>
        <w:rPr>
          <w:spacing w:val="-8"/>
          <w:sz w:val="16"/>
          <w:szCs w:val="16"/>
          <w:lang w:val="es-ES_tradnl"/>
        </w:rPr>
        <w:t xml:space="preserve">Corte Constitucional del Ecuador, sentencia N.ᵒ 219-14-SEP-CC, </w:t>
      </w:r>
      <w:r>
        <w:rPr>
          <w:sz w:val="16"/>
          <w:szCs w:val="16"/>
          <w:lang w:val="es-ES_tradnl"/>
        </w:rPr>
        <w:t>caso N.ᵒ 1043-12-EP.</w:t>
      </w:r>
    </w:p>
    <w:p w14:paraId="4F67BC75" w14:textId="77777777" w:rsidR="00591D54" w:rsidRDefault="00591D54">
      <w:pPr>
        <w:shd w:val="clear" w:color="auto" w:fill="FFFFFF"/>
        <w:spacing w:before="514" w:line="178" w:lineRule="exact"/>
        <w:ind w:left="144" w:hanging="144"/>
        <w:sectPr w:rsidR="00591D54">
          <w:type w:val="continuous"/>
          <w:pgSz w:w="11909" w:h="16834"/>
          <w:pgMar w:top="1356" w:right="1309" w:bottom="360" w:left="1308" w:header="720" w:footer="720" w:gutter="0"/>
          <w:cols w:num="2" w:space="720" w:equalWidth="0">
            <w:col w:w="4310" w:space="677"/>
            <w:col w:w="4305"/>
          </w:cols>
          <w:noEndnote/>
        </w:sectPr>
      </w:pPr>
    </w:p>
    <w:p w14:paraId="4F67BC76" w14:textId="77777777" w:rsidR="00591D54" w:rsidRDefault="00591D54">
      <w:pPr>
        <w:shd w:val="clear" w:color="auto" w:fill="FFFFFF"/>
        <w:tabs>
          <w:tab w:val="left" w:pos="5971"/>
        </w:tabs>
        <w:spacing w:after="235"/>
        <w:ind w:left="134"/>
      </w:pPr>
      <w:r>
        <w:rPr>
          <w:b/>
          <w:bCs/>
          <w:sz w:val="18"/>
          <w:szCs w:val="18"/>
          <w:lang w:val="es-ES_tradnl"/>
        </w:rPr>
        <w:t>Registro Oficial N</w:t>
      </w:r>
      <w:r>
        <w:rPr>
          <w:rFonts w:cs="Times New Roman"/>
          <w:b/>
          <w:bCs/>
          <w:sz w:val="18"/>
          <w:szCs w:val="18"/>
          <w:lang w:val="es-ES_tradnl"/>
        </w:rPr>
        <w:t>º</w:t>
      </w:r>
      <w:r>
        <w:rPr>
          <w:b/>
          <w:bCs/>
          <w:sz w:val="18"/>
          <w:szCs w:val="18"/>
          <w:lang w:val="es-ES_tradnl"/>
        </w:rPr>
        <w:t xml:space="preserve"> 607 - Segundo Suplemento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- 303</w:t>
      </w:r>
    </w:p>
    <w:p w14:paraId="4F67BC77" w14:textId="77777777" w:rsidR="00591D54" w:rsidRDefault="00591D54">
      <w:pPr>
        <w:shd w:val="clear" w:color="auto" w:fill="FFFFFF"/>
        <w:tabs>
          <w:tab w:val="left" w:pos="5971"/>
        </w:tabs>
        <w:spacing w:after="235"/>
        <w:ind w:left="134"/>
        <w:sectPr w:rsidR="00591D54">
          <w:pgSz w:w="11909" w:h="16834"/>
          <w:pgMar w:top="1339" w:right="1208" w:bottom="360" w:left="1178" w:header="720" w:footer="720" w:gutter="0"/>
          <w:cols w:space="60"/>
          <w:noEndnote/>
        </w:sectPr>
      </w:pPr>
    </w:p>
    <w:p w14:paraId="4F67BC78" w14:textId="77777777" w:rsidR="00591D54" w:rsidRDefault="00591D54">
      <w:pPr>
        <w:shd w:val="clear" w:color="auto" w:fill="FFFFFF"/>
        <w:spacing w:line="221" w:lineRule="exact"/>
        <w:jc w:val="both"/>
      </w:pPr>
      <w:r>
        <w:rPr>
          <w:spacing w:val="-9"/>
          <w:sz w:val="18"/>
          <w:szCs w:val="18"/>
          <w:lang w:val="es-ES_tradnl"/>
        </w:rPr>
        <w:t>las fechas mencionadas a la se</w:t>
      </w:r>
      <w:r>
        <w:rPr>
          <w:rFonts w:cs="Times New Roman"/>
          <w:spacing w:val="-9"/>
          <w:sz w:val="18"/>
          <w:szCs w:val="18"/>
          <w:lang w:val="es-ES_tradnl"/>
        </w:rPr>
        <w:t>ñ</w:t>
      </w:r>
      <w:r>
        <w:rPr>
          <w:spacing w:val="-9"/>
          <w:sz w:val="18"/>
          <w:szCs w:val="18"/>
          <w:lang w:val="es-ES_tradnl"/>
        </w:rPr>
        <w:t>ora Emperatriz Mu</w:t>
      </w:r>
      <w:r>
        <w:rPr>
          <w:rFonts w:cs="Times New Roman"/>
          <w:spacing w:val="-9"/>
          <w:sz w:val="18"/>
          <w:szCs w:val="18"/>
          <w:lang w:val="es-ES_tradnl"/>
        </w:rPr>
        <w:t>ñ</w:t>
      </w:r>
      <w:r>
        <w:rPr>
          <w:spacing w:val="-9"/>
          <w:sz w:val="18"/>
          <w:szCs w:val="18"/>
          <w:lang w:val="es-ES_tradnl"/>
        </w:rPr>
        <w:t xml:space="preserve">etones </w:t>
      </w:r>
      <w:r>
        <w:rPr>
          <w:spacing w:val="-10"/>
          <w:sz w:val="18"/>
          <w:szCs w:val="18"/>
          <w:lang w:val="es-ES_tradnl"/>
        </w:rPr>
        <w:t>Hern</w:t>
      </w:r>
      <w:r>
        <w:rPr>
          <w:rFonts w:cs="Times New Roman"/>
          <w:spacing w:val="-10"/>
          <w:sz w:val="18"/>
          <w:szCs w:val="18"/>
          <w:lang w:val="es-ES_tradnl"/>
        </w:rPr>
        <w:t>á</w:t>
      </w:r>
      <w:r>
        <w:rPr>
          <w:spacing w:val="-10"/>
          <w:sz w:val="18"/>
          <w:szCs w:val="18"/>
          <w:lang w:val="es-ES_tradnl"/>
        </w:rPr>
        <w:t xml:space="preserve">ndez. Boletas que han sido recibidas por un empleado </w:t>
      </w:r>
      <w:r>
        <w:rPr>
          <w:spacing w:val="-5"/>
          <w:sz w:val="18"/>
          <w:szCs w:val="18"/>
          <w:lang w:val="es-ES_tradnl"/>
        </w:rPr>
        <w:t xml:space="preserve">en el domicilio del inmueble ubicado en la calle El Juncal y Eucaliptos, lote N.ᵒ 118. De la misma manera, en el </w:t>
      </w:r>
      <w:r>
        <w:rPr>
          <w:spacing w:val="-7"/>
          <w:sz w:val="18"/>
          <w:szCs w:val="18"/>
          <w:lang w:val="es-ES_tradnl"/>
        </w:rPr>
        <w:t xml:space="preserve">domicilio mencionado y en las mismas fechas, se certifica </w:t>
      </w:r>
      <w:r>
        <w:rPr>
          <w:spacing w:val="-8"/>
          <w:sz w:val="18"/>
          <w:szCs w:val="18"/>
          <w:lang w:val="es-ES_tradnl"/>
        </w:rPr>
        <w:t>la entrega de tres boletas al se</w:t>
      </w:r>
      <w:r>
        <w:rPr>
          <w:rFonts w:cs="Times New Roman"/>
          <w:spacing w:val="-8"/>
          <w:sz w:val="18"/>
          <w:szCs w:val="18"/>
          <w:lang w:val="es-ES_tradnl"/>
        </w:rPr>
        <w:t>ñ</w:t>
      </w:r>
      <w:r>
        <w:rPr>
          <w:spacing w:val="-8"/>
          <w:sz w:val="18"/>
          <w:szCs w:val="18"/>
          <w:lang w:val="es-ES_tradnl"/>
        </w:rPr>
        <w:t>or Omar Josu</w:t>
      </w:r>
      <w:r>
        <w:rPr>
          <w:rFonts w:cs="Times New Roman"/>
          <w:spacing w:val="-8"/>
          <w:sz w:val="18"/>
          <w:szCs w:val="18"/>
          <w:lang w:val="es-ES_tradnl"/>
        </w:rPr>
        <w:t>é</w:t>
      </w:r>
      <w:r>
        <w:rPr>
          <w:spacing w:val="-8"/>
          <w:sz w:val="18"/>
          <w:szCs w:val="18"/>
          <w:lang w:val="es-ES_tradnl"/>
        </w:rPr>
        <w:t xml:space="preserve"> Jaramillo </w:t>
      </w:r>
      <w:r>
        <w:rPr>
          <w:spacing w:val="-6"/>
          <w:sz w:val="18"/>
          <w:szCs w:val="18"/>
          <w:lang w:val="es-ES_tradnl"/>
        </w:rPr>
        <w:t>Mu</w:t>
      </w:r>
      <w:r>
        <w:rPr>
          <w:rFonts w:cs="Times New Roman"/>
          <w:spacing w:val="-6"/>
          <w:sz w:val="18"/>
          <w:szCs w:val="18"/>
          <w:lang w:val="es-ES_tradnl"/>
        </w:rPr>
        <w:t>ñ</w:t>
      </w:r>
      <w:r>
        <w:rPr>
          <w:spacing w:val="-6"/>
          <w:sz w:val="18"/>
          <w:szCs w:val="18"/>
          <w:lang w:val="es-ES_tradnl"/>
        </w:rPr>
        <w:t>etones, boletas que tambi</w:t>
      </w:r>
      <w:r>
        <w:rPr>
          <w:rFonts w:cs="Times New Roman"/>
          <w:spacing w:val="-6"/>
          <w:sz w:val="18"/>
          <w:szCs w:val="18"/>
          <w:lang w:val="es-ES_tradnl"/>
        </w:rPr>
        <w:t>é</w:t>
      </w:r>
      <w:r>
        <w:rPr>
          <w:spacing w:val="-6"/>
          <w:sz w:val="18"/>
          <w:szCs w:val="18"/>
          <w:lang w:val="es-ES_tradnl"/>
        </w:rPr>
        <w:t xml:space="preserve">n fueron recibidas por un </w:t>
      </w:r>
      <w:r>
        <w:rPr>
          <w:sz w:val="18"/>
          <w:szCs w:val="18"/>
          <w:lang w:val="es-ES_tradnl"/>
        </w:rPr>
        <w:t>empleado.</w:t>
      </w:r>
    </w:p>
    <w:p w14:paraId="4F67BC79" w14:textId="77777777" w:rsidR="00591D54" w:rsidRDefault="00591D54">
      <w:pPr>
        <w:shd w:val="clear" w:color="auto" w:fill="FFFFFF"/>
        <w:spacing w:before="202" w:line="221" w:lineRule="exact"/>
        <w:ind w:right="5"/>
        <w:jc w:val="both"/>
      </w:pPr>
      <w:r>
        <w:rPr>
          <w:spacing w:val="-11"/>
          <w:sz w:val="18"/>
          <w:szCs w:val="18"/>
          <w:lang w:val="es-ES_tradnl"/>
        </w:rPr>
        <w:t xml:space="preserve">En el caso que nos ocupa, corresponde a esta Corte verificar </w:t>
      </w:r>
      <w:r>
        <w:rPr>
          <w:spacing w:val="-10"/>
          <w:sz w:val="18"/>
          <w:szCs w:val="18"/>
          <w:lang w:val="es-ES_tradnl"/>
        </w:rPr>
        <w:t xml:space="preserve">que no se haya vulnerado el derecho a la defensa a partir de </w:t>
      </w:r>
      <w:r>
        <w:rPr>
          <w:spacing w:val="-8"/>
          <w:sz w:val="18"/>
          <w:szCs w:val="18"/>
          <w:lang w:val="es-ES_tradnl"/>
        </w:rPr>
        <w:t>lo refl ejado en el expediente. En este sentido, la raz</w:t>
      </w:r>
      <w:r>
        <w:rPr>
          <w:rFonts w:cs="Times New Roman"/>
          <w:spacing w:val="-8"/>
          <w:sz w:val="18"/>
          <w:szCs w:val="18"/>
          <w:lang w:val="es-ES_tradnl"/>
        </w:rPr>
        <w:t>ó</w:t>
      </w:r>
      <w:r>
        <w:rPr>
          <w:spacing w:val="-8"/>
          <w:sz w:val="18"/>
          <w:szCs w:val="18"/>
          <w:lang w:val="es-ES_tradnl"/>
        </w:rPr>
        <w:t xml:space="preserve">n que </w:t>
      </w:r>
      <w:r>
        <w:rPr>
          <w:spacing w:val="-10"/>
          <w:sz w:val="18"/>
          <w:szCs w:val="18"/>
          <w:lang w:val="es-ES_tradnl"/>
        </w:rPr>
        <w:t xml:space="preserve">certifica que las notificaciones fueron realizadas a las partes </w:t>
      </w:r>
      <w:r>
        <w:rPr>
          <w:spacing w:val="-8"/>
          <w:sz w:val="18"/>
          <w:szCs w:val="18"/>
          <w:lang w:val="es-ES_tradnl"/>
        </w:rPr>
        <w:t>procesales por el citador, licenciado Henry Ch</w:t>
      </w:r>
      <w:r>
        <w:rPr>
          <w:rFonts w:cs="Times New Roman"/>
          <w:spacing w:val="-8"/>
          <w:sz w:val="18"/>
          <w:szCs w:val="18"/>
          <w:lang w:val="es-ES_tradnl"/>
        </w:rPr>
        <w:t>á</w:t>
      </w:r>
      <w:r>
        <w:rPr>
          <w:spacing w:val="-8"/>
          <w:sz w:val="18"/>
          <w:szCs w:val="18"/>
          <w:lang w:val="es-ES_tradnl"/>
        </w:rPr>
        <w:t xml:space="preserve">vez Carrillo, </w:t>
      </w:r>
      <w:r>
        <w:rPr>
          <w:spacing w:val="-7"/>
          <w:sz w:val="18"/>
          <w:szCs w:val="18"/>
          <w:lang w:val="es-ES_tradnl"/>
        </w:rPr>
        <w:t>constituye testimonio de que el acto se llev</w:t>
      </w:r>
      <w:r>
        <w:rPr>
          <w:rFonts w:cs="Times New Roman"/>
          <w:spacing w:val="-7"/>
          <w:sz w:val="18"/>
          <w:szCs w:val="18"/>
          <w:lang w:val="es-ES_tradnl"/>
        </w:rPr>
        <w:t>ó</w:t>
      </w:r>
      <w:r>
        <w:rPr>
          <w:spacing w:val="-7"/>
          <w:sz w:val="18"/>
          <w:szCs w:val="18"/>
          <w:lang w:val="es-ES_tradnl"/>
        </w:rPr>
        <w:t xml:space="preserve"> a cabo, por lo </w:t>
      </w:r>
      <w:r>
        <w:rPr>
          <w:sz w:val="18"/>
          <w:szCs w:val="18"/>
          <w:lang w:val="es-ES_tradnl"/>
        </w:rPr>
        <w:t>que se da fe de lo actuado.</w:t>
      </w:r>
    </w:p>
    <w:p w14:paraId="4F67BC7A" w14:textId="77777777" w:rsidR="00591D54" w:rsidRDefault="00591D54">
      <w:pPr>
        <w:shd w:val="clear" w:color="auto" w:fill="FFFFFF"/>
        <w:spacing w:before="197" w:line="221" w:lineRule="exact"/>
        <w:ind w:right="5"/>
        <w:jc w:val="both"/>
      </w:pPr>
      <w:r>
        <w:rPr>
          <w:spacing w:val="-6"/>
          <w:sz w:val="18"/>
          <w:szCs w:val="18"/>
          <w:lang w:val="es-ES_tradnl"/>
        </w:rPr>
        <w:t xml:space="preserve">El derecho a la defensa, constituye uno de los pilares </w:t>
      </w:r>
      <w:r>
        <w:rPr>
          <w:spacing w:val="-7"/>
          <w:sz w:val="18"/>
          <w:szCs w:val="18"/>
          <w:lang w:val="es-ES_tradnl"/>
        </w:rPr>
        <w:t xml:space="preserve">indispensables del debido proceso y se define como el </w:t>
      </w:r>
      <w:r>
        <w:rPr>
          <w:spacing w:val="-5"/>
          <w:sz w:val="18"/>
          <w:szCs w:val="18"/>
          <w:lang w:val="es-ES_tradnl"/>
        </w:rPr>
        <w:t>principio jur</w:t>
      </w:r>
      <w:r>
        <w:rPr>
          <w:rFonts w:cs="Times New Roman"/>
          <w:spacing w:val="-5"/>
          <w:sz w:val="18"/>
          <w:szCs w:val="18"/>
          <w:lang w:val="es-ES_tradnl"/>
        </w:rPr>
        <w:t>í</w:t>
      </w:r>
      <w:r>
        <w:rPr>
          <w:spacing w:val="-5"/>
          <w:sz w:val="18"/>
          <w:szCs w:val="18"/>
          <w:lang w:val="es-ES_tradnl"/>
        </w:rPr>
        <w:t xml:space="preserve">dico procesal o sustantivo mediante el cual, </w:t>
      </w:r>
      <w:r>
        <w:rPr>
          <w:spacing w:val="-6"/>
          <w:sz w:val="18"/>
          <w:szCs w:val="18"/>
          <w:lang w:val="es-ES_tradnl"/>
        </w:rPr>
        <w:t>toda persona tiene derecho a ciertas garant</w:t>
      </w:r>
      <w:r>
        <w:rPr>
          <w:rFonts w:cs="Times New Roman"/>
          <w:spacing w:val="-6"/>
          <w:sz w:val="18"/>
          <w:szCs w:val="18"/>
          <w:lang w:val="es-ES_tradnl"/>
        </w:rPr>
        <w:t>í</w:t>
      </w:r>
      <w:r>
        <w:rPr>
          <w:spacing w:val="-6"/>
          <w:sz w:val="18"/>
          <w:szCs w:val="18"/>
          <w:lang w:val="es-ES_tradnl"/>
        </w:rPr>
        <w:t>as m</w:t>
      </w:r>
      <w:r>
        <w:rPr>
          <w:rFonts w:cs="Times New Roman"/>
          <w:spacing w:val="-6"/>
          <w:sz w:val="18"/>
          <w:szCs w:val="18"/>
          <w:lang w:val="es-ES_tradnl"/>
        </w:rPr>
        <w:t>í</w:t>
      </w:r>
      <w:r>
        <w:rPr>
          <w:spacing w:val="-6"/>
          <w:sz w:val="18"/>
          <w:szCs w:val="18"/>
          <w:lang w:val="es-ES_tradnl"/>
        </w:rPr>
        <w:t xml:space="preserve">nimas para asegurar un resultado justo y equitativo dentro del </w:t>
      </w:r>
      <w:r>
        <w:rPr>
          <w:spacing w:val="-5"/>
          <w:sz w:val="18"/>
          <w:szCs w:val="18"/>
          <w:lang w:val="es-ES_tradnl"/>
        </w:rPr>
        <w:t>proceso, el mismo que incluye la oportunidad de ser o</w:t>
      </w:r>
      <w:r>
        <w:rPr>
          <w:rFonts w:cs="Times New Roman"/>
          <w:spacing w:val="-5"/>
          <w:sz w:val="18"/>
          <w:szCs w:val="18"/>
          <w:lang w:val="es-ES_tradnl"/>
        </w:rPr>
        <w:t>í</w:t>
      </w:r>
      <w:r>
        <w:rPr>
          <w:spacing w:val="-5"/>
          <w:sz w:val="18"/>
          <w:szCs w:val="18"/>
          <w:lang w:val="es-ES_tradnl"/>
        </w:rPr>
        <w:t xml:space="preserve">do </w:t>
      </w:r>
      <w:r>
        <w:rPr>
          <w:spacing w:val="-9"/>
          <w:sz w:val="18"/>
          <w:szCs w:val="18"/>
          <w:lang w:val="es-ES_tradnl"/>
        </w:rPr>
        <w:t xml:space="preserve">y hacer valer sus pretensiones frente al juez. El derecho de </w:t>
      </w:r>
      <w:r>
        <w:rPr>
          <w:spacing w:val="-7"/>
          <w:sz w:val="18"/>
          <w:szCs w:val="18"/>
          <w:lang w:val="es-ES_tradnl"/>
        </w:rPr>
        <w:t xml:space="preserve">defensa en el </w:t>
      </w:r>
      <w:r>
        <w:rPr>
          <w:rFonts w:cs="Times New Roman"/>
          <w:spacing w:val="-7"/>
          <w:sz w:val="18"/>
          <w:szCs w:val="18"/>
          <w:lang w:val="es-ES_tradnl"/>
        </w:rPr>
        <w:t>á</w:t>
      </w:r>
      <w:r>
        <w:rPr>
          <w:spacing w:val="-7"/>
          <w:sz w:val="18"/>
          <w:szCs w:val="18"/>
          <w:lang w:val="es-ES_tradnl"/>
        </w:rPr>
        <w:t>mbito constitucional y en los instrumentos internacionales de protecci</w:t>
      </w:r>
      <w:r>
        <w:rPr>
          <w:rFonts w:cs="Times New Roman"/>
          <w:spacing w:val="-7"/>
          <w:sz w:val="18"/>
          <w:szCs w:val="18"/>
          <w:lang w:val="es-ES_tradnl"/>
        </w:rPr>
        <w:t>ó</w:t>
      </w:r>
      <w:r>
        <w:rPr>
          <w:spacing w:val="-7"/>
          <w:sz w:val="18"/>
          <w:szCs w:val="18"/>
          <w:lang w:val="es-ES_tradnl"/>
        </w:rPr>
        <w:t xml:space="preserve">n de los derechos humanos </w:t>
      </w:r>
      <w:r>
        <w:rPr>
          <w:spacing w:val="-12"/>
          <w:sz w:val="18"/>
          <w:szCs w:val="18"/>
          <w:lang w:val="es-ES_tradnl"/>
        </w:rPr>
        <w:t xml:space="preserve">obliga a que nadie sea privado de los medios necesarios para </w:t>
      </w:r>
      <w:r>
        <w:rPr>
          <w:spacing w:val="-9"/>
          <w:sz w:val="18"/>
          <w:szCs w:val="18"/>
          <w:lang w:val="es-ES_tradnl"/>
        </w:rPr>
        <w:t xml:space="preserve">proclamar y hacer respetar sus derechos en el desarrollo de </w:t>
      </w:r>
      <w:r>
        <w:rPr>
          <w:spacing w:val="-7"/>
          <w:sz w:val="18"/>
          <w:szCs w:val="18"/>
          <w:lang w:val="es-ES_tradnl"/>
        </w:rPr>
        <w:t xml:space="preserve">un proceso legal, en base a la igualdad de condiciones y </w:t>
      </w:r>
      <w:r>
        <w:rPr>
          <w:sz w:val="18"/>
          <w:szCs w:val="18"/>
          <w:lang w:val="es-ES_tradnl"/>
        </w:rPr>
        <w:t>facultades de las partes procesales.</w:t>
      </w:r>
    </w:p>
    <w:p w14:paraId="4F67BC7B" w14:textId="77777777" w:rsidR="00591D54" w:rsidRDefault="00591D54">
      <w:pPr>
        <w:shd w:val="clear" w:color="auto" w:fill="FFFFFF"/>
        <w:spacing w:before="202" w:line="221" w:lineRule="exact"/>
        <w:jc w:val="both"/>
      </w:pPr>
      <w:r>
        <w:rPr>
          <w:spacing w:val="-10"/>
          <w:sz w:val="18"/>
          <w:szCs w:val="18"/>
          <w:lang w:val="es-ES_tradnl"/>
        </w:rPr>
        <w:t xml:space="preserve">En el </w:t>
      </w:r>
      <w:r>
        <w:rPr>
          <w:rFonts w:cs="Times New Roman"/>
          <w:spacing w:val="-10"/>
          <w:sz w:val="18"/>
          <w:szCs w:val="18"/>
          <w:lang w:val="es-ES_tradnl"/>
        </w:rPr>
        <w:t>á</w:t>
      </w:r>
      <w:r>
        <w:rPr>
          <w:spacing w:val="-10"/>
          <w:sz w:val="18"/>
          <w:szCs w:val="18"/>
          <w:lang w:val="es-ES_tradnl"/>
        </w:rPr>
        <w:t>mbito jur</w:t>
      </w:r>
      <w:r>
        <w:rPr>
          <w:rFonts w:cs="Times New Roman"/>
          <w:spacing w:val="-10"/>
          <w:sz w:val="18"/>
          <w:szCs w:val="18"/>
          <w:lang w:val="es-ES_tradnl"/>
        </w:rPr>
        <w:t>í</w:t>
      </w:r>
      <w:r>
        <w:rPr>
          <w:spacing w:val="-10"/>
          <w:sz w:val="18"/>
          <w:szCs w:val="18"/>
          <w:lang w:val="es-ES_tradnl"/>
        </w:rPr>
        <w:t>dico, la fe p</w:t>
      </w:r>
      <w:r>
        <w:rPr>
          <w:rFonts w:cs="Times New Roman"/>
          <w:spacing w:val="-10"/>
          <w:sz w:val="18"/>
          <w:szCs w:val="18"/>
          <w:lang w:val="es-ES_tradnl"/>
        </w:rPr>
        <w:t>ú</w:t>
      </w:r>
      <w:r>
        <w:rPr>
          <w:spacing w:val="-10"/>
          <w:sz w:val="18"/>
          <w:szCs w:val="18"/>
          <w:lang w:val="es-ES_tradnl"/>
        </w:rPr>
        <w:t xml:space="preserve">blica presupone la existencia de </w:t>
      </w:r>
      <w:r>
        <w:rPr>
          <w:spacing w:val="-9"/>
          <w:sz w:val="18"/>
          <w:szCs w:val="18"/>
          <w:lang w:val="es-ES_tradnl"/>
        </w:rPr>
        <w:t>una verdad oficial, cuya creencia est</w:t>
      </w:r>
      <w:r>
        <w:rPr>
          <w:rFonts w:cs="Times New Roman"/>
          <w:spacing w:val="-9"/>
          <w:sz w:val="18"/>
          <w:szCs w:val="18"/>
          <w:lang w:val="es-ES_tradnl"/>
        </w:rPr>
        <w:t>á</w:t>
      </w:r>
      <w:r>
        <w:rPr>
          <w:spacing w:val="-9"/>
          <w:sz w:val="18"/>
          <w:szCs w:val="18"/>
          <w:lang w:val="es-ES_tradnl"/>
        </w:rPr>
        <w:t xml:space="preserve"> determinada por una </w:t>
      </w:r>
      <w:r>
        <w:rPr>
          <w:spacing w:val="-10"/>
          <w:sz w:val="18"/>
          <w:szCs w:val="18"/>
          <w:lang w:val="es-ES_tradnl"/>
        </w:rPr>
        <w:t>obligaci</w:t>
      </w:r>
      <w:r>
        <w:rPr>
          <w:rFonts w:cs="Times New Roman"/>
          <w:spacing w:val="-10"/>
          <w:sz w:val="18"/>
          <w:szCs w:val="18"/>
          <w:lang w:val="es-ES_tradnl"/>
        </w:rPr>
        <w:t>ó</w:t>
      </w:r>
      <w:r>
        <w:rPr>
          <w:spacing w:val="-10"/>
          <w:sz w:val="18"/>
          <w:szCs w:val="18"/>
          <w:lang w:val="es-ES_tradnl"/>
        </w:rPr>
        <w:t>n jur</w:t>
      </w:r>
      <w:r>
        <w:rPr>
          <w:rFonts w:cs="Times New Roman"/>
          <w:spacing w:val="-10"/>
          <w:sz w:val="18"/>
          <w:szCs w:val="18"/>
          <w:lang w:val="es-ES_tradnl"/>
        </w:rPr>
        <w:t>í</w:t>
      </w:r>
      <w:r>
        <w:rPr>
          <w:spacing w:val="-10"/>
          <w:sz w:val="18"/>
          <w:szCs w:val="18"/>
          <w:lang w:val="es-ES_tradnl"/>
        </w:rPr>
        <w:t xml:space="preserve">dica, que ordena que ha determinados hechos </w:t>
      </w:r>
      <w:r>
        <w:rPr>
          <w:spacing w:val="-8"/>
          <w:sz w:val="18"/>
          <w:szCs w:val="18"/>
          <w:lang w:val="es-ES_tradnl"/>
        </w:rPr>
        <w:t xml:space="preserve">o acontecimientos no pueden ser objetados su verdad, es </w:t>
      </w:r>
      <w:r>
        <w:rPr>
          <w:spacing w:val="-6"/>
          <w:sz w:val="18"/>
          <w:szCs w:val="18"/>
          <w:lang w:val="es-ES_tradnl"/>
        </w:rPr>
        <w:t>decir, la fe p</w:t>
      </w:r>
      <w:r>
        <w:rPr>
          <w:rFonts w:cs="Times New Roman"/>
          <w:spacing w:val="-6"/>
          <w:sz w:val="18"/>
          <w:szCs w:val="18"/>
          <w:lang w:val="es-ES_tradnl"/>
        </w:rPr>
        <w:t>ú</w:t>
      </w:r>
      <w:r>
        <w:rPr>
          <w:spacing w:val="-6"/>
          <w:sz w:val="18"/>
          <w:szCs w:val="18"/>
          <w:lang w:val="es-ES_tradnl"/>
        </w:rPr>
        <w:t>blica goza de presunci</w:t>
      </w:r>
      <w:r>
        <w:rPr>
          <w:rFonts w:cs="Times New Roman"/>
          <w:spacing w:val="-6"/>
          <w:sz w:val="18"/>
          <w:szCs w:val="18"/>
          <w:lang w:val="es-ES_tradnl"/>
        </w:rPr>
        <w:t>ó</w:t>
      </w:r>
      <w:r>
        <w:rPr>
          <w:spacing w:val="-6"/>
          <w:sz w:val="18"/>
          <w:szCs w:val="18"/>
          <w:lang w:val="es-ES_tradnl"/>
        </w:rPr>
        <w:t xml:space="preserve">n de verdad de los </w:t>
      </w:r>
      <w:r>
        <w:rPr>
          <w:spacing w:val="-11"/>
          <w:sz w:val="18"/>
          <w:szCs w:val="18"/>
          <w:lang w:val="es-ES_tradnl"/>
        </w:rPr>
        <w:t xml:space="preserve">hechos o actos sometidos a su amparo. Y las certificaciones </w:t>
      </w:r>
      <w:r>
        <w:rPr>
          <w:spacing w:val="-9"/>
          <w:sz w:val="18"/>
          <w:szCs w:val="18"/>
          <w:lang w:val="es-ES_tradnl"/>
        </w:rPr>
        <w:t xml:space="preserve">del citador son suficiente muestra de lo expuesto, ya que al </w:t>
      </w:r>
      <w:r>
        <w:rPr>
          <w:spacing w:val="-10"/>
          <w:sz w:val="18"/>
          <w:szCs w:val="18"/>
          <w:lang w:val="es-ES_tradnl"/>
        </w:rPr>
        <w:t>no entregar las boleta en persona a los demandados, fueron entregadas a un empleado como lo permiten los art</w:t>
      </w:r>
      <w:r>
        <w:rPr>
          <w:rFonts w:cs="Times New Roman"/>
          <w:spacing w:val="-10"/>
          <w:sz w:val="18"/>
          <w:szCs w:val="18"/>
          <w:lang w:val="es-ES_tradnl"/>
        </w:rPr>
        <w:t>í</w:t>
      </w:r>
      <w:r>
        <w:rPr>
          <w:spacing w:val="-10"/>
          <w:sz w:val="18"/>
          <w:szCs w:val="18"/>
          <w:lang w:val="es-ES_tradnl"/>
        </w:rPr>
        <w:t xml:space="preserve">culos 73 </w:t>
      </w:r>
      <w:r>
        <w:rPr>
          <w:spacing w:val="-6"/>
          <w:sz w:val="18"/>
          <w:szCs w:val="18"/>
          <w:lang w:val="es-ES_tradnl"/>
        </w:rPr>
        <w:t>y 77 del C</w:t>
      </w:r>
      <w:r>
        <w:rPr>
          <w:rFonts w:cs="Times New Roman"/>
          <w:spacing w:val="-6"/>
          <w:sz w:val="18"/>
          <w:szCs w:val="18"/>
          <w:lang w:val="es-ES_tradnl"/>
        </w:rPr>
        <w:t>ó</w:t>
      </w:r>
      <w:r>
        <w:rPr>
          <w:spacing w:val="-6"/>
          <w:sz w:val="18"/>
          <w:szCs w:val="18"/>
          <w:lang w:val="es-ES_tradnl"/>
        </w:rPr>
        <w:t>digo de Procedimiento Civil ya mencionados.</w:t>
      </w:r>
    </w:p>
    <w:p w14:paraId="4F67BC7C" w14:textId="77777777" w:rsidR="00591D54" w:rsidRDefault="00591D54">
      <w:pPr>
        <w:shd w:val="clear" w:color="auto" w:fill="FFFFFF"/>
        <w:spacing w:before="197" w:line="221" w:lineRule="exact"/>
        <w:ind w:right="5"/>
        <w:jc w:val="both"/>
      </w:pPr>
      <w:r>
        <w:rPr>
          <w:spacing w:val="-6"/>
          <w:sz w:val="18"/>
          <w:szCs w:val="18"/>
          <w:lang w:val="es-ES_tradnl"/>
        </w:rPr>
        <w:t xml:space="preserve">De lo expuesto, se evidencia que no existe circunstancia </w:t>
      </w:r>
      <w:r>
        <w:rPr>
          <w:spacing w:val="-1"/>
          <w:sz w:val="18"/>
          <w:szCs w:val="18"/>
          <w:lang w:val="es-ES_tradnl"/>
        </w:rPr>
        <w:t>que demuestre un error o falta de notificaci</w:t>
      </w:r>
      <w:r>
        <w:rPr>
          <w:rFonts w:cs="Times New Roman"/>
          <w:spacing w:val="-1"/>
          <w:sz w:val="18"/>
          <w:szCs w:val="18"/>
          <w:lang w:val="es-ES_tradnl"/>
        </w:rPr>
        <w:t>ó</w:t>
      </w:r>
      <w:r>
        <w:rPr>
          <w:spacing w:val="-1"/>
          <w:sz w:val="18"/>
          <w:szCs w:val="18"/>
          <w:lang w:val="es-ES_tradnl"/>
        </w:rPr>
        <w:t xml:space="preserve">n, por lo </w:t>
      </w:r>
      <w:r>
        <w:rPr>
          <w:spacing w:val="-8"/>
          <w:sz w:val="18"/>
          <w:szCs w:val="18"/>
          <w:lang w:val="es-ES_tradnl"/>
        </w:rPr>
        <w:t>que de ninguna manera se llega a configurar la supuesta indefensi</w:t>
      </w:r>
      <w:r>
        <w:rPr>
          <w:rFonts w:cs="Times New Roman"/>
          <w:spacing w:val="-8"/>
          <w:sz w:val="18"/>
          <w:szCs w:val="18"/>
          <w:lang w:val="es-ES_tradnl"/>
        </w:rPr>
        <w:t>ó</w:t>
      </w:r>
      <w:r>
        <w:rPr>
          <w:spacing w:val="-8"/>
          <w:sz w:val="18"/>
          <w:szCs w:val="18"/>
          <w:lang w:val="es-ES_tradnl"/>
        </w:rPr>
        <w:t xml:space="preserve">n alegada por los accionantes. Por lo tanto esta </w:t>
      </w:r>
      <w:r>
        <w:rPr>
          <w:spacing w:val="-7"/>
          <w:sz w:val="18"/>
          <w:szCs w:val="18"/>
          <w:lang w:val="es-ES_tradnl"/>
        </w:rPr>
        <w:t>Corte evidencia que los accionantes si fueron notificados conforme obra en el expediente de instancia, raz</w:t>
      </w:r>
      <w:r>
        <w:rPr>
          <w:rFonts w:cs="Times New Roman"/>
          <w:spacing w:val="-7"/>
          <w:sz w:val="18"/>
          <w:szCs w:val="18"/>
          <w:lang w:val="es-ES_tradnl"/>
        </w:rPr>
        <w:t>ó</w:t>
      </w:r>
      <w:r>
        <w:rPr>
          <w:spacing w:val="-7"/>
          <w:sz w:val="18"/>
          <w:szCs w:val="18"/>
          <w:lang w:val="es-ES_tradnl"/>
        </w:rPr>
        <w:t xml:space="preserve">n por la </w:t>
      </w:r>
      <w:r>
        <w:rPr>
          <w:spacing w:val="-8"/>
          <w:sz w:val="18"/>
          <w:szCs w:val="18"/>
          <w:lang w:val="es-ES_tradnl"/>
        </w:rPr>
        <w:t>cual, no fueron privados de su derecho a la defensa.</w:t>
      </w:r>
    </w:p>
    <w:p w14:paraId="4F67BC7D" w14:textId="77777777" w:rsidR="00591D54" w:rsidRDefault="00591D54">
      <w:pPr>
        <w:shd w:val="clear" w:color="auto" w:fill="FFFFFF"/>
        <w:spacing w:before="202" w:line="221" w:lineRule="exact"/>
        <w:ind w:right="5"/>
        <w:jc w:val="both"/>
      </w:pPr>
      <w:r>
        <w:rPr>
          <w:spacing w:val="-6"/>
          <w:sz w:val="18"/>
          <w:szCs w:val="18"/>
          <w:lang w:val="es-ES_tradnl"/>
        </w:rPr>
        <w:t>Esta Corte no advierte que haya existido una vulneraci</w:t>
      </w:r>
      <w:r>
        <w:rPr>
          <w:rFonts w:cs="Times New Roman"/>
          <w:spacing w:val="-6"/>
          <w:sz w:val="18"/>
          <w:szCs w:val="18"/>
          <w:lang w:val="es-ES_tradnl"/>
        </w:rPr>
        <w:t>ó</w:t>
      </w:r>
      <w:r>
        <w:rPr>
          <w:spacing w:val="-6"/>
          <w:sz w:val="18"/>
          <w:szCs w:val="18"/>
          <w:lang w:val="es-ES_tradnl"/>
        </w:rPr>
        <w:t xml:space="preserve">n </w:t>
      </w:r>
      <w:r>
        <w:rPr>
          <w:spacing w:val="-8"/>
          <w:sz w:val="18"/>
          <w:szCs w:val="18"/>
          <w:lang w:val="es-ES_tradnl"/>
        </w:rPr>
        <w:t>al derecho a la defensa, como lo alegan los accionantes, al</w:t>
      </w:r>
    </w:p>
    <w:p w14:paraId="4F67BC7E" w14:textId="77777777" w:rsidR="00591D54" w:rsidRDefault="00591D54">
      <w:pPr>
        <w:shd w:val="clear" w:color="auto" w:fill="FFFFFF"/>
        <w:spacing w:line="211" w:lineRule="exact"/>
        <w:jc w:val="both"/>
      </w:pPr>
      <w:r>
        <w:br w:type="column"/>
      </w:r>
      <w:r>
        <w:rPr>
          <w:spacing w:val="-7"/>
          <w:sz w:val="18"/>
          <w:szCs w:val="18"/>
          <w:lang w:val="es-ES_tradnl"/>
        </w:rPr>
        <w:t>contrario se observa que la notificaci</w:t>
      </w:r>
      <w:r>
        <w:rPr>
          <w:rFonts w:cs="Times New Roman"/>
          <w:spacing w:val="-7"/>
          <w:sz w:val="18"/>
          <w:szCs w:val="18"/>
          <w:lang w:val="es-ES_tradnl"/>
        </w:rPr>
        <w:t>ó</w:t>
      </w:r>
      <w:r>
        <w:rPr>
          <w:spacing w:val="-7"/>
          <w:sz w:val="18"/>
          <w:szCs w:val="18"/>
          <w:lang w:val="es-ES_tradnl"/>
        </w:rPr>
        <w:t xml:space="preserve">n fue efectivamente </w:t>
      </w:r>
      <w:r>
        <w:rPr>
          <w:spacing w:val="-9"/>
          <w:sz w:val="18"/>
          <w:szCs w:val="18"/>
          <w:lang w:val="es-ES_tradnl"/>
        </w:rPr>
        <w:t xml:space="preserve">realizada, conforme se desprende del propio expediente del </w:t>
      </w:r>
      <w:r>
        <w:rPr>
          <w:sz w:val="18"/>
          <w:szCs w:val="18"/>
          <w:lang w:val="es-ES_tradnl"/>
        </w:rPr>
        <w:t>inferior.</w:t>
      </w:r>
    </w:p>
    <w:p w14:paraId="4F67BC7F" w14:textId="77777777" w:rsidR="00591D54" w:rsidRDefault="00591D54">
      <w:pPr>
        <w:shd w:val="clear" w:color="auto" w:fill="FFFFFF"/>
        <w:spacing w:before="192"/>
        <w:ind w:right="5"/>
        <w:jc w:val="center"/>
      </w:pPr>
      <w:r>
        <w:rPr>
          <w:b/>
          <w:bCs/>
          <w:sz w:val="18"/>
          <w:szCs w:val="18"/>
          <w:lang w:val="es-ES_tradnl"/>
        </w:rPr>
        <w:t>III DECISI</w:t>
      </w:r>
      <w:r>
        <w:rPr>
          <w:rFonts w:cs="Times New Roman"/>
          <w:b/>
          <w:bCs/>
          <w:sz w:val="18"/>
          <w:szCs w:val="18"/>
          <w:lang w:val="es-ES_tradnl"/>
        </w:rPr>
        <w:t>Ó</w:t>
      </w:r>
      <w:r>
        <w:rPr>
          <w:b/>
          <w:bCs/>
          <w:sz w:val="18"/>
          <w:szCs w:val="18"/>
          <w:lang w:val="es-ES_tradnl"/>
        </w:rPr>
        <w:t>N</w:t>
      </w:r>
    </w:p>
    <w:p w14:paraId="4F67BC80" w14:textId="77777777" w:rsidR="00591D54" w:rsidRDefault="00591D54">
      <w:pPr>
        <w:shd w:val="clear" w:color="auto" w:fill="FFFFFF"/>
        <w:spacing w:before="187" w:line="211" w:lineRule="exact"/>
        <w:jc w:val="both"/>
      </w:pPr>
      <w:r>
        <w:rPr>
          <w:spacing w:val="-1"/>
          <w:sz w:val="18"/>
          <w:szCs w:val="18"/>
          <w:lang w:val="es-ES_tradnl"/>
        </w:rPr>
        <w:t>En m</w:t>
      </w:r>
      <w:r>
        <w:rPr>
          <w:rFonts w:cs="Times New Roman"/>
          <w:spacing w:val="-1"/>
          <w:sz w:val="18"/>
          <w:szCs w:val="18"/>
          <w:lang w:val="es-ES_tradnl"/>
        </w:rPr>
        <w:t>é</w:t>
      </w:r>
      <w:r>
        <w:rPr>
          <w:spacing w:val="-1"/>
          <w:sz w:val="18"/>
          <w:szCs w:val="18"/>
          <w:lang w:val="es-ES_tradnl"/>
        </w:rPr>
        <w:t xml:space="preserve">rito de lo expuesto, administrando justicia </w:t>
      </w:r>
      <w:r>
        <w:rPr>
          <w:spacing w:val="-5"/>
          <w:sz w:val="18"/>
          <w:szCs w:val="18"/>
          <w:lang w:val="es-ES_tradnl"/>
        </w:rPr>
        <w:t>constitucional y por mandato de la Constituci</w:t>
      </w:r>
      <w:r>
        <w:rPr>
          <w:rFonts w:cs="Times New Roman"/>
          <w:spacing w:val="-5"/>
          <w:sz w:val="18"/>
          <w:szCs w:val="18"/>
          <w:lang w:val="es-ES_tradnl"/>
        </w:rPr>
        <w:t>ó</w:t>
      </w:r>
      <w:r>
        <w:rPr>
          <w:spacing w:val="-5"/>
          <w:sz w:val="18"/>
          <w:szCs w:val="18"/>
          <w:lang w:val="es-ES_tradnl"/>
        </w:rPr>
        <w:t xml:space="preserve">n de la </w:t>
      </w:r>
      <w:r>
        <w:rPr>
          <w:spacing w:val="-8"/>
          <w:sz w:val="18"/>
          <w:szCs w:val="18"/>
          <w:lang w:val="es-ES_tradnl"/>
        </w:rPr>
        <w:t>Rep</w:t>
      </w:r>
      <w:r>
        <w:rPr>
          <w:rFonts w:cs="Times New Roman"/>
          <w:spacing w:val="-8"/>
          <w:sz w:val="18"/>
          <w:szCs w:val="18"/>
          <w:lang w:val="es-ES_tradnl"/>
        </w:rPr>
        <w:t>ú</w:t>
      </w:r>
      <w:r>
        <w:rPr>
          <w:spacing w:val="-8"/>
          <w:sz w:val="18"/>
          <w:szCs w:val="18"/>
          <w:lang w:val="es-ES_tradnl"/>
        </w:rPr>
        <w:t xml:space="preserve">blica del Ecuador, el Pleno de la Corte Constitucional, </w:t>
      </w:r>
      <w:r>
        <w:rPr>
          <w:sz w:val="18"/>
          <w:szCs w:val="18"/>
          <w:lang w:val="es-ES_tradnl"/>
        </w:rPr>
        <w:t>expide la siguiente:</w:t>
      </w:r>
    </w:p>
    <w:p w14:paraId="4F67BC81" w14:textId="77777777" w:rsidR="00591D54" w:rsidRDefault="00591D54">
      <w:pPr>
        <w:shd w:val="clear" w:color="auto" w:fill="FFFFFF"/>
        <w:spacing w:before="187"/>
        <w:ind w:left="10"/>
        <w:jc w:val="center"/>
      </w:pPr>
      <w:r>
        <w:rPr>
          <w:b/>
          <w:bCs/>
          <w:sz w:val="18"/>
          <w:szCs w:val="18"/>
          <w:lang w:val="es-ES_tradnl"/>
        </w:rPr>
        <w:t>SENTENCIA</w:t>
      </w:r>
    </w:p>
    <w:p w14:paraId="4F67BC82" w14:textId="77777777" w:rsidR="00591D54" w:rsidRDefault="00591D54" w:rsidP="00251195">
      <w:pPr>
        <w:numPr>
          <w:ilvl w:val="0"/>
          <w:numId w:val="129"/>
        </w:numPr>
        <w:shd w:val="clear" w:color="auto" w:fill="FFFFFF"/>
        <w:tabs>
          <w:tab w:val="left" w:pos="566"/>
        </w:tabs>
        <w:spacing w:before="192" w:line="211" w:lineRule="exact"/>
        <w:ind w:left="566" w:hanging="283"/>
        <w:rPr>
          <w:spacing w:val="-9"/>
          <w:sz w:val="18"/>
          <w:szCs w:val="18"/>
          <w:lang w:val="es-ES_tradnl"/>
        </w:rPr>
      </w:pPr>
      <w:r>
        <w:rPr>
          <w:spacing w:val="-3"/>
          <w:sz w:val="18"/>
          <w:szCs w:val="18"/>
          <w:lang w:val="es-ES_tradnl"/>
        </w:rPr>
        <w:t>Declarar que no existe vulneraci</w:t>
      </w:r>
      <w:r>
        <w:rPr>
          <w:rFonts w:cs="Times New Roman"/>
          <w:spacing w:val="-3"/>
          <w:sz w:val="18"/>
          <w:szCs w:val="18"/>
          <w:lang w:val="es-ES_tradnl"/>
        </w:rPr>
        <w:t>ó</w:t>
      </w:r>
      <w:r>
        <w:rPr>
          <w:spacing w:val="-3"/>
          <w:sz w:val="18"/>
          <w:szCs w:val="18"/>
          <w:lang w:val="es-ES_tradnl"/>
        </w:rPr>
        <w:t xml:space="preserve">n de derechos </w:t>
      </w:r>
      <w:r>
        <w:rPr>
          <w:sz w:val="18"/>
          <w:szCs w:val="18"/>
          <w:lang w:val="es-ES_tradnl"/>
        </w:rPr>
        <w:t>constitucionales.</w:t>
      </w:r>
    </w:p>
    <w:p w14:paraId="4F67BC83" w14:textId="77777777" w:rsidR="00591D54" w:rsidRDefault="00591D54" w:rsidP="00251195">
      <w:pPr>
        <w:numPr>
          <w:ilvl w:val="0"/>
          <w:numId w:val="129"/>
        </w:numPr>
        <w:shd w:val="clear" w:color="auto" w:fill="FFFFFF"/>
        <w:tabs>
          <w:tab w:val="left" w:pos="566"/>
        </w:tabs>
        <w:spacing w:before="192" w:line="211" w:lineRule="exact"/>
        <w:ind w:left="566" w:hanging="283"/>
        <w:rPr>
          <w:spacing w:val="-9"/>
          <w:sz w:val="18"/>
          <w:szCs w:val="18"/>
          <w:lang w:val="es-ES_tradnl"/>
        </w:rPr>
      </w:pPr>
      <w:r>
        <w:rPr>
          <w:spacing w:val="-6"/>
          <w:sz w:val="18"/>
          <w:szCs w:val="18"/>
          <w:lang w:val="es-ES_tradnl"/>
        </w:rPr>
        <w:t>Negar   la   acci</w:t>
      </w:r>
      <w:r>
        <w:rPr>
          <w:rFonts w:cs="Times New Roman"/>
          <w:spacing w:val="-6"/>
          <w:sz w:val="18"/>
          <w:szCs w:val="18"/>
          <w:lang w:val="es-ES_tradnl"/>
        </w:rPr>
        <w:t>ó</w:t>
      </w:r>
      <w:r>
        <w:rPr>
          <w:spacing w:val="-6"/>
          <w:sz w:val="18"/>
          <w:szCs w:val="18"/>
          <w:lang w:val="es-ES_tradnl"/>
        </w:rPr>
        <w:t>n   extraordinaria   de   protecci</w:t>
      </w:r>
      <w:r>
        <w:rPr>
          <w:rFonts w:cs="Times New Roman"/>
          <w:spacing w:val="-6"/>
          <w:sz w:val="18"/>
          <w:szCs w:val="18"/>
          <w:lang w:val="es-ES_tradnl"/>
        </w:rPr>
        <w:t>ó</w:t>
      </w:r>
      <w:r>
        <w:rPr>
          <w:spacing w:val="-6"/>
          <w:sz w:val="18"/>
          <w:szCs w:val="18"/>
          <w:lang w:val="es-ES_tradnl"/>
        </w:rPr>
        <w:t xml:space="preserve">n </w:t>
      </w:r>
      <w:r>
        <w:rPr>
          <w:sz w:val="18"/>
          <w:szCs w:val="18"/>
          <w:lang w:val="es-ES_tradnl"/>
        </w:rPr>
        <w:t>planteada.</w:t>
      </w:r>
    </w:p>
    <w:p w14:paraId="4F67BC84" w14:textId="77777777" w:rsidR="00591D54" w:rsidRDefault="00591D54" w:rsidP="00251195">
      <w:pPr>
        <w:numPr>
          <w:ilvl w:val="0"/>
          <w:numId w:val="129"/>
        </w:numPr>
        <w:shd w:val="clear" w:color="auto" w:fill="FFFFFF"/>
        <w:tabs>
          <w:tab w:val="left" w:pos="566"/>
        </w:tabs>
        <w:spacing w:before="24" w:line="427" w:lineRule="exact"/>
        <w:ind w:left="283"/>
        <w:rPr>
          <w:spacing w:val="-9"/>
          <w:sz w:val="18"/>
          <w:szCs w:val="18"/>
          <w:lang w:val="es-ES_tradnl"/>
        </w:rPr>
      </w:pPr>
      <w:r>
        <w:rPr>
          <w:spacing w:val="-7"/>
          <w:sz w:val="18"/>
          <w:szCs w:val="18"/>
          <w:lang w:val="es-ES_tradnl"/>
        </w:rPr>
        <w:t>Notif</w:t>
      </w:r>
      <w:r>
        <w:rPr>
          <w:rFonts w:cs="Times New Roman"/>
          <w:spacing w:val="-7"/>
          <w:sz w:val="18"/>
          <w:szCs w:val="18"/>
          <w:lang w:val="es-ES_tradnl"/>
        </w:rPr>
        <w:t>í</w:t>
      </w:r>
      <w:r>
        <w:rPr>
          <w:spacing w:val="-7"/>
          <w:sz w:val="18"/>
          <w:szCs w:val="18"/>
          <w:lang w:val="es-ES_tradnl"/>
        </w:rPr>
        <w:t>quese, publ</w:t>
      </w:r>
      <w:r>
        <w:rPr>
          <w:rFonts w:cs="Times New Roman"/>
          <w:spacing w:val="-7"/>
          <w:sz w:val="18"/>
          <w:szCs w:val="18"/>
          <w:lang w:val="es-ES_tradnl"/>
        </w:rPr>
        <w:t>í</w:t>
      </w:r>
      <w:r>
        <w:rPr>
          <w:spacing w:val="-7"/>
          <w:sz w:val="18"/>
          <w:szCs w:val="18"/>
          <w:lang w:val="es-ES_tradnl"/>
        </w:rPr>
        <w:t>quese y c</w:t>
      </w:r>
      <w:r>
        <w:rPr>
          <w:rFonts w:cs="Times New Roman"/>
          <w:spacing w:val="-7"/>
          <w:sz w:val="18"/>
          <w:szCs w:val="18"/>
          <w:lang w:val="es-ES_tradnl"/>
        </w:rPr>
        <w:t>ú</w:t>
      </w:r>
      <w:r>
        <w:rPr>
          <w:spacing w:val="-7"/>
          <w:sz w:val="18"/>
          <w:szCs w:val="18"/>
          <w:lang w:val="es-ES_tradnl"/>
        </w:rPr>
        <w:t>mplase.</w:t>
      </w:r>
    </w:p>
    <w:p w14:paraId="4F67BC85" w14:textId="77777777" w:rsidR="00591D54" w:rsidRDefault="00591D54">
      <w:pPr>
        <w:shd w:val="clear" w:color="auto" w:fill="FFFFFF"/>
        <w:spacing w:line="427" w:lineRule="exact"/>
      </w:pPr>
      <w:r>
        <w:rPr>
          <w:spacing w:val="-4"/>
          <w:sz w:val="18"/>
          <w:szCs w:val="18"/>
          <w:lang w:val="es-ES_tradnl"/>
        </w:rPr>
        <w:t>f.) Patricio Pazmi</w:t>
      </w:r>
      <w:r>
        <w:rPr>
          <w:rFonts w:cs="Times New Roman"/>
          <w:spacing w:val="-4"/>
          <w:sz w:val="18"/>
          <w:szCs w:val="18"/>
          <w:lang w:val="es-ES_tradnl"/>
        </w:rPr>
        <w:t>ñ</w:t>
      </w:r>
      <w:r>
        <w:rPr>
          <w:spacing w:val="-4"/>
          <w:sz w:val="18"/>
          <w:szCs w:val="18"/>
          <w:lang w:val="es-ES_tradnl"/>
        </w:rPr>
        <w:t xml:space="preserve">o Freire, </w:t>
      </w:r>
      <w:r>
        <w:rPr>
          <w:b/>
          <w:bCs/>
          <w:spacing w:val="-4"/>
          <w:sz w:val="18"/>
          <w:szCs w:val="18"/>
          <w:lang w:val="es-ES_tradnl"/>
        </w:rPr>
        <w:t>PRESIDENTE.</w:t>
      </w:r>
    </w:p>
    <w:p w14:paraId="4F67BC86" w14:textId="77777777" w:rsidR="00591D54" w:rsidRDefault="00591D54">
      <w:pPr>
        <w:shd w:val="clear" w:color="auto" w:fill="FFFFFF"/>
        <w:spacing w:line="427" w:lineRule="exact"/>
      </w:pPr>
      <w:r>
        <w:rPr>
          <w:spacing w:val="-4"/>
          <w:sz w:val="18"/>
          <w:szCs w:val="18"/>
          <w:lang w:val="es-ES_tradnl"/>
        </w:rPr>
        <w:t xml:space="preserve">f.) Jaime Pozo Chamorro, </w:t>
      </w:r>
      <w:r>
        <w:rPr>
          <w:b/>
          <w:bCs/>
          <w:spacing w:val="-4"/>
          <w:sz w:val="18"/>
          <w:szCs w:val="18"/>
          <w:lang w:val="es-ES_tradnl"/>
        </w:rPr>
        <w:t>SECRETARIO GENERAL.</w:t>
      </w:r>
    </w:p>
    <w:p w14:paraId="4F67BC87" w14:textId="77777777" w:rsidR="00591D54" w:rsidRDefault="00591D54">
      <w:pPr>
        <w:shd w:val="clear" w:color="auto" w:fill="FFFFFF"/>
        <w:spacing w:before="158" w:line="211" w:lineRule="exact"/>
        <w:jc w:val="both"/>
      </w:pPr>
      <w:r>
        <w:rPr>
          <w:b/>
          <w:bCs/>
          <w:spacing w:val="-1"/>
          <w:sz w:val="18"/>
          <w:szCs w:val="18"/>
          <w:lang w:val="es-ES_tradnl"/>
        </w:rPr>
        <w:t>Raz</w:t>
      </w:r>
      <w:r>
        <w:rPr>
          <w:rFonts w:cs="Times New Roman"/>
          <w:b/>
          <w:bCs/>
          <w:spacing w:val="-1"/>
          <w:sz w:val="18"/>
          <w:szCs w:val="18"/>
          <w:lang w:val="es-ES_tradnl"/>
        </w:rPr>
        <w:t>ó</w:t>
      </w:r>
      <w:r>
        <w:rPr>
          <w:b/>
          <w:bCs/>
          <w:spacing w:val="-1"/>
          <w:sz w:val="18"/>
          <w:szCs w:val="18"/>
          <w:lang w:val="es-ES_tradnl"/>
        </w:rPr>
        <w:t xml:space="preserve">n: </w:t>
      </w:r>
      <w:r>
        <w:rPr>
          <w:spacing w:val="-1"/>
          <w:sz w:val="18"/>
          <w:szCs w:val="18"/>
          <w:lang w:val="es-ES_tradnl"/>
        </w:rPr>
        <w:t xml:space="preserve">Siento por tal, que la sentencia que antecede fue aprobada por el Pleno de la Corte Constitucional, </w:t>
      </w:r>
      <w:r>
        <w:rPr>
          <w:spacing w:val="-10"/>
          <w:sz w:val="18"/>
          <w:szCs w:val="18"/>
          <w:lang w:val="es-ES_tradnl"/>
        </w:rPr>
        <w:t>con nueve votos de las se</w:t>
      </w:r>
      <w:r>
        <w:rPr>
          <w:rFonts w:cs="Times New Roman"/>
          <w:spacing w:val="-10"/>
          <w:sz w:val="18"/>
          <w:szCs w:val="18"/>
          <w:lang w:val="es-ES_tradnl"/>
        </w:rPr>
        <w:t>ñ</w:t>
      </w:r>
      <w:r>
        <w:rPr>
          <w:spacing w:val="-10"/>
          <w:sz w:val="18"/>
          <w:szCs w:val="18"/>
          <w:lang w:val="es-ES_tradnl"/>
        </w:rPr>
        <w:t>oras juezas y se</w:t>
      </w:r>
      <w:r>
        <w:rPr>
          <w:rFonts w:cs="Times New Roman"/>
          <w:spacing w:val="-10"/>
          <w:sz w:val="18"/>
          <w:szCs w:val="18"/>
          <w:lang w:val="es-ES_tradnl"/>
        </w:rPr>
        <w:t>ñ</w:t>
      </w:r>
      <w:r>
        <w:rPr>
          <w:spacing w:val="-10"/>
          <w:sz w:val="18"/>
          <w:szCs w:val="18"/>
          <w:lang w:val="es-ES_tradnl"/>
        </w:rPr>
        <w:t xml:space="preserve">ores jueces: </w:t>
      </w:r>
      <w:r>
        <w:rPr>
          <w:spacing w:val="-2"/>
          <w:sz w:val="18"/>
          <w:szCs w:val="18"/>
          <w:lang w:val="es-ES_tradnl"/>
        </w:rPr>
        <w:t>Antonio Gagliardo Loor, Marcelo Jaramillo Villa, Mar</w:t>
      </w:r>
      <w:r>
        <w:rPr>
          <w:rFonts w:cs="Times New Roman"/>
          <w:spacing w:val="-2"/>
          <w:sz w:val="18"/>
          <w:szCs w:val="18"/>
          <w:lang w:val="es-ES_tradnl"/>
        </w:rPr>
        <w:t>í</w:t>
      </w:r>
      <w:r>
        <w:rPr>
          <w:spacing w:val="-2"/>
          <w:sz w:val="18"/>
          <w:szCs w:val="18"/>
          <w:lang w:val="es-ES_tradnl"/>
        </w:rPr>
        <w:t xml:space="preserve">a </w:t>
      </w:r>
      <w:r>
        <w:rPr>
          <w:spacing w:val="-8"/>
          <w:sz w:val="18"/>
          <w:szCs w:val="18"/>
          <w:lang w:val="es-ES_tradnl"/>
        </w:rPr>
        <w:t>del Carmen Maldonado S</w:t>
      </w:r>
      <w:r>
        <w:rPr>
          <w:rFonts w:cs="Times New Roman"/>
          <w:spacing w:val="-8"/>
          <w:sz w:val="18"/>
          <w:szCs w:val="18"/>
          <w:lang w:val="es-ES_tradnl"/>
        </w:rPr>
        <w:t>á</w:t>
      </w:r>
      <w:r>
        <w:rPr>
          <w:spacing w:val="-8"/>
          <w:sz w:val="18"/>
          <w:szCs w:val="18"/>
          <w:lang w:val="es-ES_tradnl"/>
        </w:rPr>
        <w:t>nchez, Wendy Molina Andrade, Tatiana Orde</w:t>
      </w:r>
      <w:r>
        <w:rPr>
          <w:rFonts w:cs="Times New Roman"/>
          <w:spacing w:val="-8"/>
          <w:sz w:val="18"/>
          <w:szCs w:val="18"/>
          <w:lang w:val="es-ES_tradnl"/>
        </w:rPr>
        <w:t>ñ</w:t>
      </w:r>
      <w:r>
        <w:rPr>
          <w:spacing w:val="-8"/>
          <w:sz w:val="18"/>
          <w:szCs w:val="18"/>
          <w:lang w:val="es-ES_tradnl"/>
        </w:rPr>
        <w:t>ana Sierra, Alfredo Ruiz Guzm</w:t>
      </w:r>
      <w:r>
        <w:rPr>
          <w:rFonts w:cs="Times New Roman"/>
          <w:spacing w:val="-8"/>
          <w:sz w:val="18"/>
          <w:szCs w:val="18"/>
          <w:lang w:val="es-ES_tradnl"/>
        </w:rPr>
        <w:t>á</w:t>
      </w:r>
      <w:r>
        <w:rPr>
          <w:spacing w:val="-8"/>
          <w:sz w:val="18"/>
          <w:szCs w:val="18"/>
          <w:lang w:val="es-ES_tradnl"/>
        </w:rPr>
        <w:t>n, Ruth Seni Pinoargote, Manuel Viteri Olvera y Patricio Pazmi</w:t>
      </w:r>
      <w:r>
        <w:rPr>
          <w:rFonts w:cs="Times New Roman"/>
          <w:spacing w:val="-8"/>
          <w:sz w:val="18"/>
          <w:szCs w:val="18"/>
          <w:lang w:val="es-ES_tradnl"/>
        </w:rPr>
        <w:t>ñ</w:t>
      </w:r>
      <w:r>
        <w:rPr>
          <w:spacing w:val="-8"/>
          <w:sz w:val="18"/>
          <w:szCs w:val="18"/>
          <w:lang w:val="es-ES_tradnl"/>
        </w:rPr>
        <w:t>o Freire, en sesi</w:t>
      </w:r>
      <w:r>
        <w:rPr>
          <w:rFonts w:cs="Times New Roman"/>
          <w:spacing w:val="-8"/>
          <w:sz w:val="18"/>
          <w:szCs w:val="18"/>
          <w:lang w:val="es-ES_tradnl"/>
        </w:rPr>
        <w:t>ó</w:t>
      </w:r>
      <w:r>
        <w:rPr>
          <w:spacing w:val="-8"/>
          <w:sz w:val="18"/>
          <w:szCs w:val="18"/>
          <w:lang w:val="es-ES_tradnl"/>
        </w:rPr>
        <w:t>n del 02 de septiembre del 2015. Lo certifico.</w:t>
      </w:r>
    </w:p>
    <w:p w14:paraId="4F67BC88" w14:textId="77777777" w:rsidR="00591D54" w:rsidRDefault="00591D54">
      <w:pPr>
        <w:shd w:val="clear" w:color="auto" w:fill="FFFFFF"/>
        <w:spacing w:before="187"/>
      </w:pPr>
      <w:r>
        <w:rPr>
          <w:spacing w:val="-4"/>
          <w:sz w:val="18"/>
          <w:szCs w:val="18"/>
          <w:lang w:val="es-ES_tradnl"/>
        </w:rPr>
        <w:t xml:space="preserve">f.) Jaime Pozo Chamorro, </w:t>
      </w:r>
      <w:r>
        <w:rPr>
          <w:b/>
          <w:bCs/>
          <w:spacing w:val="-4"/>
          <w:sz w:val="18"/>
          <w:szCs w:val="18"/>
          <w:lang w:val="es-ES_tradnl"/>
        </w:rPr>
        <w:t>SECRETARIO GENERAL.</w:t>
      </w:r>
    </w:p>
    <w:p w14:paraId="4F67BC89" w14:textId="77777777" w:rsidR="00591D54" w:rsidRDefault="00591D54">
      <w:pPr>
        <w:shd w:val="clear" w:color="auto" w:fill="FFFFFF"/>
        <w:spacing w:before="187" w:line="211"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C8A" w14:textId="77777777" w:rsidR="00591D54" w:rsidRDefault="00591D54">
      <w:pPr>
        <w:shd w:val="clear" w:color="auto" w:fill="FFFFFF"/>
        <w:spacing w:before="187"/>
      </w:pPr>
      <w:r>
        <w:rPr>
          <w:b/>
          <w:bCs/>
          <w:spacing w:val="-5"/>
          <w:sz w:val="18"/>
          <w:szCs w:val="18"/>
          <w:u w:val="single"/>
          <w:lang w:val="es-ES_tradnl"/>
        </w:rPr>
        <w:t>CASO Nro. 0195-12-EP</w:t>
      </w:r>
    </w:p>
    <w:p w14:paraId="4F67BC8B" w14:textId="77777777" w:rsidR="00591D54" w:rsidRDefault="00591D54">
      <w:pPr>
        <w:shd w:val="clear" w:color="auto" w:fill="FFFFFF"/>
        <w:spacing w:before="187" w:line="211" w:lineRule="exact"/>
        <w:jc w:val="both"/>
      </w:pPr>
      <w:r>
        <w:rPr>
          <w:b/>
          <w:bCs/>
          <w:spacing w:val="-8"/>
          <w:sz w:val="18"/>
          <w:szCs w:val="18"/>
          <w:lang w:val="es-ES_tradnl"/>
        </w:rPr>
        <w:t>RAZ</w:t>
      </w:r>
      <w:r>
        <w:rPr>
          <w:rFonts w:cs="Times New Roman"/>
          <w:b/>
          <w:bCs/>
          <w:spacing w:val="-8"/>
          <w:sz w:val="18"/>
          <w:szCs w:val="18"/>
          <w:lang w:val="es-ES_tradnl"/>
        </w:rPr>
        <w:t>Ó</w:t>
      </w:r>
      <w:r>
        <w:rPr>
          <w:b/>
          <w:bCs/>
          <w:spacing w:val="-8"/>
          <w:sz w:val="18"/>
          <w:szCs w:val="18"/>
          <w:lang w:val="es-ES_tradnl"/>
        </w:rPr>
        <w:t xml:space="preserve">N.- </w:t>
      </w:r>
      <w:r>
        <w:rPr>
          <w:spacing w:val="-8"/>
          <w:sz w:val="18"/>
          <w:szCs w:val="18"/>
          <w:lang w:val="es-ES_tradnl"/>
        </w:rPr>
        <w:t xml:space="preserve">Siento por tal, que la sentencia que antecede fue </w:t>
      </w:r>
      <w:r>
        <w:rPr>
          <w:spacing w:val="-7"/>
          <w:sz w:val="18"/>
          <w:szCs w:val="18"/>
          <w:lang w:val="es-ES_tradnl"/>
        </w:rPr>
        <w:t>suscrita por el Juez Patricio Pazmi</w:t>
      </w:r>
      <w:r>
        <w:rPr>
          <w:rFonts w:cs="Times New Roman"/>
          <w:spacing w:val="-7"/>
          <w:sz w:val="18"/>
          <w:szCs w:val="18"/>
          <w:lang w:val="es-ES_tradnl"/>
        </w:rPr>
        <w:t>ñ</w:t>
      </w:r>
      <w:r>
        <w:rPr>
          <w:spacing w:val="-7"/>
          <w:sz w:val="18"/>
          <w:szCs w:val="18"/>
          <w:lang w:val="es-ES_tradnl"/>
        </w:rPr>
        <w:t xml:space="preserve">o Freire, Presidente de </w:t>
      </w:r>
      <w:r>
        <w:rPr>
          <w:spacing w:val="-6"/>
          <w:sz w:val="18"/>
          <w:szCs w:val="18"/>
          <w:lang w:val="es-ES_tradnl"/>
        </w:rPr>
        <w:t>la Corte Constitucional, el d</w:t>
      </w:r>
      <w:r>
        <w:rPr>
          <w:rFonts w:cs="Times New Roman"/>
          <w:spacing w:val="-6"/>
          <w:sz w:val="18"/>
          <w:szCs w:val="18"/>
          <w:lang w:val="es-ES_tradnl"/>
        </w:rPr>
        <w:t>í</w:t>
      </w:r>
      <w:r>
        <w:rPr>
          <w:spacing w:val="-6"/>
          <w:sz w:val="18"/>
          <w:szCs w:val="18"/>
          <w:lang w:val="es-ES_tradnl"/>
        </w:rPr>
        <w:t xml:space="preserve">a lunes 07 de septiembre del </w:t>
      </w:r>
      <w:r>
        <w:rPr>
          <w:sz w:val="18"/>
          <w:szCs w:val="18"/>
          <w:lang w:val="es-ES_tradnl"/>
        </w:rPr>
        <w:t>dos mil quince.- Lo certifico.</w:t>
      </w:r>
    </w:p>
    <w:p w14:paraId="4F67BC8C" w14:textId="77777777" w:rsidR="00591D54" w:rsidRDefault="00591D54">
      <w:pPr>
        <w:shd w:val="clear" w:color="auto" w:fill="FFFFFF"/>
        <w:spacing w:before="187"/>
      </w:pPr>
      <w:r>
        <w:rPr>
          <w:spacing w:val="-7"/>
          <w:sz w:val="18"/>
          <w:szCs w:val="18"/>
          <w:lang w:val="es-ES_tradnl"/>
        </w:rPr>
        <w:t xml:space="preserve">f.) Jaime Pozo Chamorro, </w:t>
      </w:r>
      <w:r>
        <w:rPr>
          <w:b/>
          <w:bCs/>
          <w:spacing w:val="-7"/>
          <w:sz w:val="18"/>
          <w:szCs w:val="18"/>
          <w:lang w:val="es-ES_tradnl"/>
        </w:rPr>
        <w:t>Secretario General.</w:t>
      </w:r>
    </w:p>
    <w:p w14:paraId="4F67BC8D" w14:textId="77777777" w:rsidR="00591D54" w:rsidRDefault="00591D54">
      <w:pPr>
        <w:shd w:val="clear" w:color="auto" w:fill="FFFFFF"/>
        <w:spacing w:before="192" w:line="211" w:lineRule="exact"/>
        <w:jc w:val="both"/>
      </w:pPr>
      <w:r>
        <w:rPr>
          <w:b/>
          <w:bCs/>
          <w:sz w:val="18"/>
          <w:szCs w:val="18"/>
          <w:lang w:val="es-ES_tradnl"/>
        </w:rPr>
        <w:t xml:space="preserve">CORTE CONSTITUCIONAL DEL ECUADOR.- </w:t>
      </w:r>
      <w:r>
        <w:rPr>
          <w:sz w:val="18"/>
          <w:szCs w:val="18"/>
          <w:lang w:val="es-ES_tradnl"/>
        </w:rPr>
        <w:t xml:space="preserve">Es fiel copia del original.- Revisado por </w:t>
      </w:r>
      <w:r>
        <w:rPr>
          <w:rFonts w:cs="Times New Roman"/>
          <w:sz w:val="18"/>
          <w:szCs w:val="18"/>
          <w:lang w:val="es-ES_tradnl"/>
        </w:rPr>
        <w:t>…</w:t>
      </w:r>
      <w:r>
        <w:rPr>
          <w:sz w:val="18"/>
          <w:szCs w:val="18"/>
          <w:lang w:val="es-ES_tradnl"/>
        </w:rPr>
        <w:t xml:space="preserve"> f.) Ilegible.-</w:t>
      </w:r>
      <w:r>
        <w:rPr>
          <w:spacing w:val="-4"/>
          <w:sz w:val="18"/>
          <w:szCs w:val="18"/>
          <w:lang w:val="es-ES_tradnl"/>
        </w:rPr>
        <w:t>Quito, a 05 de octubre de 2015.- f.) Ilegible, Secretar</w:t>
      </w:r>
      <w:r>
        <w:rPr>
          <w:rFonts w:cs="Times New Roman"/>
          <w:spacing w:val="-4"/>
          <w:sz w:val="18"/>
          <w:szCs w:val="18"/>
          <w:lang w:val="es-ES_tradnl"/>
        </w:rPr>
        <w:t>í</w:t>
      </w:r>
      <w:r>
        <w:rPr>
          <w:spacing w:val="-4"/>
          <w:sz w:val="18"/>
          <w:szCs w:val="18"/>
          <w:lang w:val="es-ES_tradnl"/>
        </w:rPr>
        <w:t xml:space="preserve">a </w:t>
      </w:r>
      <w:r>
        <w:rPr>
          <w:sz w:val="18"/>
          <w:szCs w:val="18"/>
          <w:lang w:val="es-ES_tradnl"/>
        </w:rPr>
        <w:t>General.</w:t>
      </w:r>
    </w:p>
    <w:p w14:paraId="4F67BC8E" w14:textId="77777777" w:rsidR="00591D54" w:rsidRDefault="00591D54">
      <w:pPr>
        <w:shd w:val="clear" w:color="auto" w:fill="FFFFFF"/>
        <w:spacing w:before="192" w:line="211" w:lineRule="exact"/>
        <w:jc w:val="both"/>
        <w:sectPr w:rsidR="00591D54">
          <w:type w:val="continuous"/>
          <w:pgSz w:w="11909" w:h="16834"/>
          <w:pgMar w:top="1339" w:right="1309" w:bottom="360" w:left="1308" w:header="720" w:footer="720" w:gutter="0"/>
          <w:cols w:num="2" w:space="720" w:equalWidth="0">
            <w:col w:w="4305" w:space="682"/>
            <w:col w:w="4305"/>
          </w:cols>
          <w:noEndnote/>
        </w:sectPr>
      </w:pPr>
    </w:p>
    <w:p w14:paraId="4F67BC8F" w14:textId="77777777" w:rsidR="00591D54" w:rsidRDefault="00591D54">
      <w:pPr>
        <w:spacing w:before="586" w:line="1" w:lineRule="exact"/>
        <w:rPr>
          <w:rFonts w:cs="Times New Roman"/>
          <w:sz w:val="2"/>
          <w:szCs w:val="2"/>
        </w:rPr>
      </w:pPr>
    </w:p>
    <w:p w14:paraId="4F67BC90" w14:textId="77777777" w:rsidR="00591D54" w:rsidRDefault="00591D54">
      <w:pPr>
        <w:shd w:val="clear" w:color="auto" w:fill="FFFFFF"/>
        <w:spacing w:before="192" w:line="211" w:lineRule="exact"/>
        <w:jc w:val="both"/>
        <w:sectPr w:rsidR="00591D54">
          <w:type w:val="continuous"/>
          <w:pgSz w:w="11909" w:h="16834"/>
          <w:pgMar w:top="1339" w:right="1208" w:bottom="360" w:left="1178" w:header="720" w:footer="720" w:gutter="0"/>
          <w:cols w:space="60"/>
          <w:noEndnote/>
        </w:sectPr>
      </w:pPr>
    </w:p>
    <w:p w14:paraId="4F67BC91" w14:textId="77777777" w:rsidR="00591D54" w:rsidRDefault="007D3B39">
      <w:pPr>
        <w:framePr w:h="1570" w:hSpace="10080" w:wrap="notBeside" w:vAnchor="text" w:hAnchor="margin" w:x="1" w:y="1"/>
        <w:rPr>
          <w:rFonts w:cs="Times New Roman"/>
          <w:sz w:val="24"/>
          <w:szCs w:val="24"/>
        </w:rPr>
      </w:pPr>
      <w:r>
        <w:rPr>
          <w:rFonts w:cs="Times New Roman"/>
          <w:sz w:val="24"/>
          <w:szCs w:val="24"/>
        </w:rPr>
        <w:pict w14:anchorId="4F67BC98">
          <v:shape id="_x0000_i1027" type="#_x0000_t75" style="width:476.1pt;height:78.85pt">
            <v:imagedata r:id="rId15" o:title=""/>
          </v:shape>
        </w:pict>
      </w:r>
    </w:p>
    <w:p w14:paraId="4F67BC92" w14:textId="77777777" w:rsidR="00591D54" w:rsidRDefault="00591D54">
      <w:pPr>
        <w:spacing w:line="1" w:lineRule="exact"/>
        <w:rPr>
          <w:rFonts w:cs="Times New Roman"/>
          <w:sz w:val="2"/>
          <w:szCs w:val="2"/>
        </w:rPr>
      </w:pPr>
    </w:p>
    <w:p w14:paraId="4F67BC93" w14:textId="77777777" w:rsidR="00591D54" w:rsidRDefault="00591D54">
      <w:pPr>
        <w:framePr w:h="1570" w:hSpace="10080" w:wrap="notBeside" w:vAnchor="text" w:hAnchor="margin" w:x="1" w:y="1"/>
        <w:rPr>
          <w:rFonts w:cs="Times New Roman"/>
          <w:sz w:val="24"/>
          <w:szCs w:val="24"/>
        </w:rPr>
        <w:sectPr w:rsidR="00591D54">
          <w:type w:val="continuous"/>
          <w:pgSz w:w="11909" w:h="16834"/>
          <w:pgMar w:top="1339" w:right="1208" w:bottom="360" w:left="1178" w:header="720" w:footer="720" w:gutter="0"/>
          <w:cols w:space="720"/>
          <w:noEndnote/>
        </w:sectPr>
      </w:pPr>
    </w:p>
    <w:p w14:paraId="4F67BC94" w14:textId="77777777" w:rsidR="00591D54" w:rsidRDefault="00591D54" w:rsidP="00171846">
      <w:pPr>
        <w:shd w:val="clear" w:color="auto" w:fill="FFFFFF"/>
        <w:tabs>
          <w:tab w:val="left" w:pos="4944"/>
        </w:tabs>
        <w:ind w:left="134"/>
        <w:jc w:val="center"/>
      </w:pPr>
      <w:r>
        <w:rPr>
          <w:b/>
          <w:bCs/>
          <w:sz w:val="18"/>
          <w:szCs w:val="18"/>
          <w:lang w:val="es-ES_tradnl"/>
        </w:rPr>
        <w:t xml:space="preserve">304 - </w:t>
      </w:r>
      <w:r>
        <w:rPr>
          <w:sz w:val="18"/>
          <w:szCs w:val="18"/>
          <w:lang w:val="es-ES_tradnl"/>
        </w:rPr>
        <w:t>Mi</w:t>
      </w:r>
      <w:r>
        <w:rPr>
          <w:rFonts w:cs="Times New Roman"/>
          <w:sz w:val="18"/>
          <w:szCs w:val="18"/>
          <w:lang w:val="es-ES_tradnl"/>
        </w:rPr>
        <w:t>é</w:t>
      </w:r>
      <w:r>
        <w:rPr>
          <w:sz w:val="18"/>
          <w:szCs w:val="18"/>
          <w:lang w:val="es-ES_tradnl"/>
        </w:rPr>
        <w:t xml:space="preserve">rcoles 14 de octubre de 2015 </w:t>
      </w:r>
      <w:r>
        <w:rPr>
          <w:b/>
          <w:bCs/>
          <w:sz w:val="18"/>
          <w:szCs w:val="18"/>
          <w:lang w:val="es-ES_tradnl"/>
        </w:rPr>
        <w:t>Segundo Suplemento - Registro Oficial N</w:t>
      </w:r>
      <w:r>
        <w:rPr>
          <w:rFonts w:cs="Times New Roman"/>
          <w:b/>
          <w:bCs/>
          <w:sz w:val="18"/>
          <w:szCs w:val="18"/>
          <w:lang w:val="es-ES_tradnl"/>
        </w:rPr>
        <w:t>º</w:t>
      </w:r>
      <w:r>
        <w:rPr>
          <w:b/>
          <w:bCs/>
          <w:sz w:val="18"/>
          <w:szCs w:val="18"/>
          <w:lang w:val="es-ES_tradnl"/>
        </w:rPr>
        <w:t xml:space="preserve"> 607</w:t>
      </w:r>
    </w:p>
    <w:p w14:paraId="4F67BC95" w14:textId="77777777" w:rsidR="00591D54" w:rsidRDefault="007D3B39">
      <w:pPr>
        <w:spacing w:before="278"/>
        <w:rPr>
          <w:rFonts w:cs="Times New Roman"/>
          <w:sz w:val="24"/>
          <w:szCs w:val="24"/>
        </w:rPr>
      </w:pPr>
      <w:r>
        <w:rPr>
          <w:rFonts w:cs="Times New Roman"/>
          <w:sz w:val="24"/>
          <w:szCs w:val="24"/>
        </w:rPr>
        <w:pict w14:anchorId="4F67BC99">
          <v:shape id="_x0000_i1028" type="#_x0000_t75" style="width:471.65pt;height:655.35pt">
            <v:imagedata r:id="rId16" o:title=""/>
          </v:shape>
        </w:pict>
      </w:r>
    </w:p>
    <w:sectPr w:rsidR="00591D54" w:rsidSect="00591D54">
      <w:pgSz w:w="11909" w:h="16834"/>
      <w:pgMar w:top="1440" w:right="1299" w:bottom="360" w:left="1178"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15167" w14:textId="77777777" w:rsidR="007D3B39" w:rsidRDefault="007D3B39">
      <w:r>
        <w:separator/>
      </w:r>
    </w:p>
  </w:endnote>
  <w:endnote w:type="continuationSeparator" w:id="0">
    <w:p w14:paraId="11528D21" w14:textId="77777777" w:rsidR="007D3B39" w:rsidRDefault="007D3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7BC9E" w14:textId="77777777" w:rsidR="00591D54" w:rsidRPr="00251195" w:rsidRDefault="00591D54" w:rsidP="00251195">
    <w:pPr>
      <w:pStyle w:val="Piedepgina"/>
      <w:jc w:val="center"/>
      <w:rPr>
        <w:rFonts w:ascii="Tahoma" w:hAnsi="Tahoma"/>
        <w:sz w:val="16"/>
      </w:rPr>
    </w:pPr>
    <w:r w:rsidRPr="00251195">
      <w:rPr>
        <w:rFonts w:ascii="Tahoma" w:hAnsi="Tahoma"/>
        <w:sz w:val="16"/>
      </w:rPr>
      <w:t>Documento con posibles errores digitalizado de la publicación original. Favor verificar con imagen.</w:t>
    </w:r>
  </w:p>
  <w:p w14:paraId="4F67BC9F" w14:textId="77777777" w:rsidR="00591D54" w:rsidRPr="00251195" w:rsidRDefault="007D3B39" w:rsidP="00251195">
    <w:pPr>
      <w:pStyle w:val="Piedepgina"/>
      <w:jc w:val="center"/>
      <w:rPr>
        <w:rFonts w:ascii="Tahoma" w:hAnsi="Tahoma"/>
        <w:sz w:val="16"/>
      </w:rPr>
    </w:pPr>
    <w:r>
      <w:rPr>
        <w:rFonts w:ascii="Tahoma" w:hAnsi="Tahoma"/>
        <w:sz w:val="16"/>
      </w:rPr>
      <w:pict w14:anchorId="4F67BC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0.5pt">
          <v:imagedata r:id="rId1" o:title=""/>
        </v:shape>
      </w:pict>
    </w:r>
    <w:r w:rsidR="00591D54" w:rsidRPr="00251195">
      <w:rPr>
        <w:rFonts w:ascii="Tahoma" w:hAnsi="Tahoma"/>
        <w:sz w:val="16"/>
      </w:rPr>
      <w:t xml:space="preserve"> </w:t>
    </w:r>
    <w:r w:rsidR="00591D54" w:rsidRPr="00251195">
      <w:rPr>
        <w:rFonts w:ascii="Tahoma" w:hAnsi="Tahoma"/>
        <w:color w:val="008000"/>
        <w:sz w:val="16"/>
      </w:rPr>
      <w:t>No imprima este documento a menos que sea absolutamente necesario.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222C8" w14:textId="77777777" w:rsidR="007D3B39" w:rsidRDefault="007D3B39">
      <w:r>
        <w:separator/>
      </w:r>
    </w:p>
  </w:footnote>
  <w:footnote w:type="continuationSeparator" w:id="0">
    <w:p w14:paraId="7FE2408A" w14:textId="77777777" w:rsidR="007D3B39" w:rsidRDefault="007D3B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93F"/>
    <w:multiLevelType w:val="singleLevel"/>
    <w:tmpl w:val="0E6C95BA"/>
    <w:lvl w:ilvl="0">
      <w:start w:val="1"/>
      <w:numFmt w:val="decimal"/>
      <w:lvlText w:val="%1."/>
      <w:legacy w:legacy="1" w:legacySpace="0" w:legacyIndent="283"/>
      <w:lvlJc w:val="left"/>
      <w:rPr>
        <w:rFonts w:ascii="Arial" w:hAnsi="Arial" w:cs="Arial" w:hint="default"/>
      </w:rPr>
    </w:lvl>
  </w:abstractNum>
  <w:abstractNum w:abstractNumId="1" w15:restartNumberingAfterBreak="0">
    <w:nsid w:val="038B2951"/>
    <w:multiLevelType w:val="singleLevel"/>
    <w:tmpl w:val="68F28632"/>
    <w:lvl w:ilvl="0">
      <w:start w:val="1"/>
      <w:numFmt w:val="decimal"/>
      <w:lvlText w:val="%1."/>
      <w:legacy w:legacy="1" w:legacySpace="0" w:legacyIndent="168"/>
      <w:lvlJc w:val="left"/>
      <w:rPr>
        <w:rFonts w:ascii="Arial" w:hAnsi="Arial" w:cs="Arial" w:hint="default"/>
      </w:rPr>
    </w:lvl>
  </w:abstractNum>
  <w:abstractNum w:abstractNumId="2" w15:restartNumberingAfterBreak="0">
    <w:nsid w:val="03C602C8"/>
    <w:multiLevelType w:val="singleLevel"/>
    <w:tmpl w:val="4E7078B8"/>
    <w:lvl w:ilvl="0">
      <w:start w:val="1"/>
      <w:numFmt w:val="decimal"/>
      <w:lvlText w:val="3.%1."/>
      <w:legacy w:legacy="1" w:legacySpace="0" w:legacyIndent="283"/>
      <w:lvlJc w:val="left"/>
      <w:rPr>
        <w:rFonts w:ascii="Arial" w:hAnsi="Arial" w:cs="Arial" w:hint="default"/>
      </w:rPr>
    </w:lvl>
  </w:abstractNum>
  <w:abstractNum w:abstractNumId="3" w15:restartNumberingAfterBreak="0">
    <w:nsid w:val="045278EE"/>
    <w:multiLevelType w:val="singleLevel"/>
    <w:tmpl w:val="4218F0EC"/>
    <w:lvl w:ilvl="0">
      <w:start w:val="1"/>
      <w:numFmt w:val="decimal"/>
      <w:lvlText w:val="%1."/>
      <w:legacy w:legacy="1" w:legacySpace="0" w:legacyIndent="278"/>
      <w:lvlJc w:val="left"/>
      <w:rPr>
        <w:rFonts w:ascii="Arial" w:hAnsi="Arial" w:cs="Arial" w:hint="default"/>
      </w:rPr>
    </w:lvl>
  </w:abstractNum>
  <w:abstractNum w:abstractNumId="4" w15:restartNumberingAfterBreak="0">
    <w:nsid w:val="054B3487"/>
    <w:multiLevelType w:val="singleLevel"/>
    <w:tmpl w:val="EA3A32C8"/>
    <w:lvl w:ilvl="0">
      <w:start w:val="1"/>
      <w:numFmt w:val="decimal"/>
      <w:lvlText w:val="%1."/>
      <w:legacy w:legacy="1" w:legacySpace="0" w:legacyIndent="283"/>
      <w:lvlJc w:val="left"/>
      <w:rPr>
        <w:rFonts w:ascii="Arial" w:hAnsi="Arial" w:cs="Arial" w:hint="default"/>
      </w:rPr>
    </w:lvl>
  </w:abstractNum>
  <w:abstractNum w:abstractNumId="5" w15:restartNumberingAfterBreak="0">
    <w:nsid w:val="06B03975"/>
    <w:multiLevelType w:val="singleLevel"/>
    <w:tmpl w:val="0E6C95BA"/>
    <w:lvl w:ilvl="0">
      <w:start w:val="1"/>
      <w:numFmt w:val="decimal"/>
      <w:lvlText w:val="%1."/>
      <w:legacy w:legacy="1" w:legacySpace="0" w:legacyIndent="283"/>
      <w:lvlJc w:val="left"/>
      <w:rPr>
        <w:rFonts w:ascii="Arial" w:hAnsi="Arial" w:cs="Arial" w:hint="default"/>
      </w:rPr>
    </w:lvl>
  </w:abstractNum>
  <w:abstractNum w:abstractNumId="6" w15:restartNumberingAfterBreak="0">
    <w:nsid w:val="09083107"/>
    <w:multiLevelType w:val="singleLevel"/>
    <w:tmpl w:val="1BCE14D2"/>
    <w:lvl w:ilvl="0">
      <w:start w:val="3"/>
      <w:numFmt w:val="decimal"/>
      <w:lvlText w:val="%1."/>
      <w:legacy w:legacy="1" w:legacySpace="0" w:legacyIndent="178"/>
      <w:lvlJc w:val="left"/>
      <w:rPr>
        <w:rFonts w:ascii="Arial" w:hAnsi="Arial" w:cs="Arial" w:hint="default"/>
      </w:rPr>
    </w:lvl>
  </w:abstractNum>
  <w:abstractNum w:abstractNumId="7" w15:restartNumberingAfterBreak="0">
    <w:nsid w:val="09F8203E"/>
    <w:multiLevelType w:val="singleLevel"/>
    <w:tmpl w:val="66C27AC0"/>
    <w:lvl w:ilvl="0">
      <w:start w:val="1"/>
      <w:numFmt w:val="decimal"/>
      <w:lvlText w:val="%1."/>
      <w:legacy w:legacy="1" w:legacySpace="0" w:legacyIndent="178"/>
      <w:lvlJc w:val="left"/>
      <w:rPr>
        <w:rFonts w:ascii="Arial" w:hAnsi="Arial" w:cs="Arial" w:hint="default"/>
      </w:rPr>
    </w:lvl>
  </w:abstractNum>
  <w:abstractNum w:abstractNumId="8" w15:restartNumberingAfterBreak="0">
    <w:nsid w:val="0A046F6C"/>
    <w:multiLevelType w:val="singleLevel"/>
    <w:tmpl w:val="EA3A32C8"/>
    <w:lvl w:ilvl="0">
      <w:start w:val="1"/>
      <w:numFmt w:val="decimal"/>
      <w:lvlText w:val="%1."/>
      <w:legacy w:legacy="1" w:legacySpace="0" w:legacyIndent="283"/>
      <w:lvlJc w:val="left"/>
      <w:rPr>
        <w:rFonts w:ascii="Arial" w:hAnsi="Arial" w:cs="Arial" w:hint="default"/>
      </w:rPr>
    </w:lvl>
  </w:abstractNum>
  <w:abstractNum w:abstractNumId="9" w15:restartNumberingAfterBreak="0">
    <w:nsid w:val="0AA75EA4"/>
    <w:multiLevelType w:val="singleLevel"/>
    <w:tmpl w:val="F4A88F72"/>
    <w:lvl w:ilvl="0">
      <w:start w:val="1"/>
      <w:numFmt w:val="decimal"/>
      <w:lvlText w:val="%1."/>
      <w:legacy w:legacy="1" w:legacySpace="0" w:legacyIndent="226"/>
      <w:lvlJc w:val="left"/>
      <w:rPr>
        <w:rFonts w:ascii="Arial" w:hAnsi="Arial" w:cs="Arial" w:hint="default"/>
      </w:rPr>
    </w:lvl>
  </w:abstractNum>
  <w:abstractNum w:abstractNumId="10" w15:restartNumberingAfterBreak="0">
    <w:nsid w:val="0B114BF8"/>
    <w:multiLevelType w:val="singleLevel"/>
    <w:tmpl w:val="EA3A32C8"/>
    <w:lvl w:ilvl="0">
      <w:start w:val="1"/>
      <w:numFmt w:val="decimal"/>
      <w:lvlText w:val="%1."/>
      <w:legacy w:legacy="1" w:legacySpace="0" w:legacyIndent="283"/>
      <w:lvlJc w:val="left"/>
      <w:rPr>
        <w:rFonts w:ascii="Arial" w:hAnsi="Arial" w:cs="Arial" w:hint="default"/>
      </w:rPr>
    </w:lvl>
  </w:abstractNum>
  <w:abstractNum w:abstractNumId="11" w15:restartNumberingAfterBreak="0">
    <w:nsid w:val="0C9030F8"/>
    <w:multiLevelType w:val="singleLevel"/>
    <w:tmpl w:val="8940F2F6"/>
    <w:lvl w:ilvl="0">
      <w:start w:val="2"/>
      <w:numFmt w:val="decimal"/>
      <w:lvlText w:val="(%1)"/>
      <w:legacy w:legacy="1" w:legacySpace="0" w:legacyIndent="250"/>
      <w:lvlJc w:val="left"/>
      <w:rPr>
        <w:rFonts w:ascii="Arial" w:hAnsi="Arial" w:cs="Arial" w:hint="default"/>
      </w:rPr>
    </w:lvl>
  </w:abstractNum>
  <w:abstractNum w:abstractNumId="12" w15:restartNumberingAfterBreak="0">
    <w:nsid w:val="0CAA07B4"/>
    <w:multiLevelType w:val="singleLevel"/>
    <w:tmpl w:val="0E6C95BA"/>
    <w:lvl w:ilvl="0">
      <w:start w:val="1"/>
      <w:numFmt w:val="decimal"/>
      <w:lvlText w:val="%1."/>
      <w:legacy w:legacy="1" w:legacySpace="0" w:legacyIndent="283"/>
      <w:lvlJc w:val="left"/>
      <w:rPr>
        <w:rFonts w:ascii="Arial" w:hAnsi="Arial" w:cs="Arial" w:hint="default"/>
      </w:rPr>
    </w:lvl>
  </w:abstractNum>
  <w:abstractNum w:abstractNumId="13" w15:restartNumberingAfterBreak="0">
    <w:nsid w:val="0CD323F1"/>
    <w:multiLevelType w:val="singleLevel"/>
    <w:tmpl w:val="2996B716"/>
    <w:lvl w:ilvl="0">
      <w:start w:val="1"/>
      <w:numFmt w:val="decimal"/>
      <w:lvlText w:val="3.%1"/>
      <w:legacy w:legacy="1" w:legacySpace="0" w:legacyIndent="260"/>
      <w:lvlJc w:val="left"/>
      <w:rPr>
        <w:rFonts w:ascii="Arial" w:hAnsi="Arial" w:cs="Arial" w:hint="default"/>
      </w:rPr>
    </w:lvl>
  </w:abstractNum>
  <w:abstractNum w:abstractNumId="14" w15:restartNumberingAfterBreak="0">
    <w:nsid w:val="0EFD2723"/>
    <w:multiLevelType w:val="singleLevel"/>
    <w:tmpl w:val="399EB3A2"/>
    <w:lvl w:ilvl="0">
      <w:start w:val="3"/>
      <w:numFmt w:val="decimal"/>
      <w:lvlText w:val="(%1)"/>
      <w:legacy w:legacy="1" w:legacySpace="0" w:legacyIndent="278"/>
      <w:lvlJc w:val="left"/>
      <w:rPr>
        <w:rFonts w:ascii="Arial" w:hAnsi="Arial" w:cs="Arial" w:hint="default"/>
      </w:rPr>
    </w:lvl>
  </w:abstractNum>
  <w:abstractNum w:abstractNumId="15" w15:restartNumberingAfterBreak="0">
    <w:nsid w:val="113A04D7"/>
    <w:multiLevelType w:val="singleLevel"/>
    <w:tmpl w:val="012E8A1A"/>
    <w:lvl w:ilvl="0">
      <w:start w:val="2"/>
      <w:numFmt w:val="decimal"/>
      <w:lvlText w:val="%1."/>
      <w:legacy w:legacy="1" w:legacySpace="0" w:legacyIndent="149"/>
      <w:lvlJc w:val="left"/>
      <w:rPr>
        <w:rFonts w:ascii="Arial" w:hAnsi="Arial" w:cs="Arial" w:hint="default"/>
      </w:rPr>
    </w:lvl>
  </w:abstractNum>
  <w:abstractNum w:abstractNumId="16" w15:restartNumberingAfterBreak="0">
    <w:nsid w:val="11AA4DEC"/>
    <w:multiLevelType w:val="singleLevel"/>
    <w:tmpl w:val="0E6C95BA"/>
    <w:lvl w:ilvl="0">
      <w:start w:val="1"/>
      <w:numFmt w:val="decimal"/>
      <w:lvlText w:val="%1."/>
      <w:legacy w:legacy="1" w:legacySpace="0" w:legacyIndent="283"/>
      <w:lvlJc w:val="left"/>
      <w:rPr>
        <w:rFonts w:ascii="Arial" w:hAnsi="Arial" w:cs="Arial" w:hint="default"/>
      </w:rPr>
    </w:lvl>
  </w:abstractNum>
  <w:abstractNum w:abstractNumId="17" w15:restartNumberingAfterBreak="0">
    <w:nsid w:val="13CE7822"/>
    <w:multiLevelType w:val="singleLevel"/>
    <w:tmpl w:val="2026A4AE"/>
    <w:lvl w:ilvl="0">
      <w:start w:val="1"/>
      <w:numFmt w:val="decimal"/>
      <w:lvlText w:val="(%1)"/>
      <w:legacy w:legacy="1" w:legacySpace="0" w:legacyIndent="312"/>
      <w:lvlJc w:val="left"/>
      <w:rPr>
        <w:rFonts w:ascii="Arial" w:hAnsi="Arial" w:cs="Arial" w:hint="default"/>
      </w:rPr>
    </w:lvl>
  </w:abstractNum>
  <w:abstractNum w:abstractNumId="18" w15:restartNumberingAfterBreak="0">
    <w:nsid w:val="14E3082A"/>
    <w:multiLevelType w:val="singleLevel"/>
    <w:tmpl w:val="0E6C95BA"/>
    <w:lvl w:ilvl="0">
      <w:start w:val="1"/>
      <w:numFmt w:val="decimal"/>
      <w:lvlText w:val="%1."/>
      <w:legacy w:legacy="1" w:legacySpace="0" w:legacyIndent="283"/>
      <w:lvlJc w:val="left"/>
      <w:rPr>
        <w:rFonts w:ascii="Arial" w:hAnsi="Arial" w:cs="Arial" w:hint="default"/>
      </w:rPr>
    </w:lvl>
  </w:abstractNum>
  <w:abstractNum w:abstractNumId="19" w15:restartNumberingAfterBreak="0">
    <w:nsid w:val="15D00753"/>
    <w:multiLevelType w:val="singleLevel"/>
    <w:tmpl w:val="0E6C95BA"/>
    <w:lvl w:ilvl="0">
      <w:start w:val="1"/>
      <w:numFmt w:val="decimal"/>
      <w:lvlText w:val="%1."/>
      <w:legacy w:legacy="1" w:legacySpace="0" w:legacyIndent="283"/>
      <w:lvlJc w:val="left"/>
      <w:rPr>
        <w:rFonts w:ascii="Arial" w:hAnsi="Arial" w:cs="Arial" w:hint="default"/>
      </w:rPr>
    </w:lvl>
  </w:abstractNum>
  <w:abstractNum w:abstractNumId="20" w15:restartNumberingAfterBreak="0">
    <w:nsid w:val="16393B8B"/>
    <w:multiLevelType w:val="singleLevel"/>
    <w:tmpl w:val="0E6C95BA"/>
    <w:lvl w:ilvl="0">
      <w:start w:val="1"/>
      <w:numFmt w:val="decimal"/>
      <w:lvlText w:val="%1."/>
      <w:legacy w:legacy="1" w:legacySpace="0" w:legacyIndent="283"/>
      <w:lvlJc w:val="left"/>
      <w:rPr>
        <w:rFonts w:ascii="Arial" w:hAnsi="Arial" w:cs="Arial" w:hint="default"/>
      </w:rPr>
    </w:lvl>
  </w:abstractNum>
  <w:abstractNum w:abstractNumId="21" w15:restartNumberingAfterBreak="0">
    <w:nsid w:val="166F60F8"/>
    <w:multiLevelType w:val="singleLevel"/>
    <w:tmpl w:val="9544BD4A"/>
    <w:lvl w:ilvl="0">
      <w:start w:val="7"/>
      <w:numFmt w:val="decimal"/>
      <w:lvlText w:val="%1)"/>
      <w:legacy w:legacy="1" w:legacySpace="0" w:legacyIndent="283"/>
      <w:lvlJc w:val="left"/>
      <w:rPr>
        <w:rFonts w:ascii="Arial" w:hAnsi="Arial" w:cs="Arial" w:hint="default"/>
      </w:rPr>
    </w:lvl>
  </w:abstractNum>
  <w:abstractNum w:abstractNumId="22" w15:restartNumberingAfterBreak="0">
    <w:nsid w:val="16A2016B"/>
    <w:multiLevelType w:val="singleLevel"/>
    <w:tmpl w:val="EA3A32C8"/>
    <w:lvl w:ilvl="0">
      <w:start w:val="1"/>
      <w:numFmt w:val="decimal"/>
      <w:lvlText w:val="%1."/>
      <w:legacy w:legacy="1" w:legacySpace="0" w:legacyIndent="283"/>
      <w:lvlJc w:val="left"/>
      <w:rPr>
        <w:rFonts w:ascii="Arial" w:hAnsi="Arial" w:cs="Arial" w:hint="default"/>
      </w:rPr>
    </w:lvl>
  </w:abstractNum>
  <w:abstractNum w:abstractNumId="23" w15:restartNumberingAfterBreak="0">
    <w:nsid w:val="177338FD"/>
    <w:multiLevelType w:val="singleLevel"/>
    <w:tmpl w:val="4CE0B4C0"/>
    <w:lvl w:ilvl="0">
      <w:start w:val="1"/>
      <w:numFmt w:val="decimal"/>
      <w:lvlText w:val="3.%1"/>
      <w:legacy w:legacy="1" w:legacySpace="0" w:legacyIndent="283"/>
      <w:lvlJc w:val="left"/>
      <w:rPr>
        <w:rFonts w:ascii="Arial" w:hAnsi="Arial" w:cs="Arial" w:hint="default"/>
      </w:rPr>
    </w:lvl>
  </w:abstractNum>
  <w:abstractNum w:abstractNumId="24" w15:restartNumberingAfterBreak="0">
    <w:nsid w:val="177B711B"/>
    <w:multiLevelType w:val="singleLevel"/>
    <w:tmpl w:val="C10CA5CC"/>
    <w:lvl w:ilvl="0">
      <w:start w:val="2"/>
      <w:numFmt w:val="decimal"/>
      <w:lvlText w:val="%1."/>
      <w:legacy w:legacy="1" w:legacySpace="0" w:legacyIndent="283"/>
      <w:lvlJc w:val="left"/>
      <w:rPr>
        <w:rFonts w:ascii="Arial" w:hAnsi="Arial" w:cs="Arial" w:hint="default"/>
      </w:rPr>
    </w:lvl>
  </w:abstractNum>
  <w:abstractNum w:abstractNumId="25" w15:restartNumberingAfterBreak="0">
    <w:nsid w:val="180E182E"/>
    <w:multiLevelType w:val="singleLevel"/>
    <w:tmpl w:val="EA3A32C8"/>
    <w:lvl w:ilvl="0">
      <w:start w:val="1"/>
      <w:numFmt w:val="decimal"/>
      <w:lvlText w:val="%1."/>
      <w:legacy w:legacy="1" w:legacySpace="0" w:legacyIndent="283"/>
      <w:lvlJc w:val="left"/>
      <w:rPr>
        <w:rFonts w:ascii="Arial" w:hAnsi="Arial" w:cs="Arial" w:hint="default"/>
      </w:rPr>
    </w:lvl>
  </w:abstractNum>
  <w:abstractNum w:abstractNumId="26" w15:restartNumberingAfterBreak="0">
    <w:nsid w:val="18FE76DF"/>
    <w:multiLevelType w:val="singleLevel"/>
    <w:tmpl w:val="0E6C95BA"/>
    <w:lvl w:ilvl="0">
      <w:start w:val="1"/>
      <w:numFmt w:val="decimal"/>
      <w:lvlText w:val="%1."/>
      <w:legacy w:legacy="1" w:legacySpace="0" w:legacyIndent="283"/>
      <w:lvlJc w:val="left"/>
      <w:rPr>
        <w:rFonts w:ascii="Arial" w:hAnsi="Arial" w:cs="Arial" w:hint="default"/>
      </w:rPr>
    </w:lvl>
  </w:abstractNum>
  <w:abstractNum w:abstractNumId="27" w15:restartNumberingAfterBreak="0">
    <w:nsid w:val="19C71AC9"/>
    <w:multiLevelType w:val="singleLevel"/>
    <w:tmpl w:val="69BE3D90"/>
    <w:lvl w:ilvl="0">
      <w:start w:val="2"/>
      <w:numFmt w:val="lowerLetter"/>
      <w:lvlText w:val="(%1)"/>
      <w:legacy w:legacy="1" w:legacySpace="0" w:legacyIndent="274"/>
      <w:lvlJc w:val="left"/>
      <w:rPr>
        <w:rFonts w:ascii="Arial" w:hAnsi="Arial" w:cs="Arial" w:hint="default"/>
      </w:rPr>
    </w:lvl>
  </w:abstractNum>
  <w:abstractNum w:abstractNumId="28" w15:restartNumberingAfterBreak="0">
    <w:nsid w:val="1A492707"/>
    <w:multiLevelType w:val="singleLevel"/>
    <w:tmpl w:val="EA3A32C8"/>
    <w:lvl w:ilvl="0">
      <w:start w:val="1"/>
      <w:numFmt w:val="decimal"/>
      <w:lvlText w:val="%1."/>
      <w:legacy w:legacy="1" w:legacySpace="0" w:legacyIndent="283"/>
      <w:lvlJc w:val="left"/>
      <w:rPr>
        <w:rFonts w:ascii="Arial" w:hAnsi="Arial" w:cs="Arial" w:hint="default"/>
      </w:rPr>
    </w:lvl>
  </w:abstractNum>
  <w:abstractNum w:abstractNumId="29" w15:restartNumberingAfterBreak="0">
    <w:nsid w:val="1A6D10B4"/>
    <w:multiLevelType w:val="singleLevel"/>
    <w:tmpl w:val="0E6C95BA"/>
    <w:lvl w:ilvl="0">
      <w:start w:val="1"/>
      <w:numFmt w:val="decimal"/>
      <w:lvlText w:val="%1."/>
      <w:legacy w:legacy="1" w:legacySpace="0" w:legacyIndent="283"/>
      <w:lvlJc w:val="left"/>
      <w:rPr>
        <w:rFonts w:ascii="Arial" w:hAnsi="Arial" w:cs="Arial" w:hint="default"/>
      </w:rPr>
    </w:lvl>
  </w:abstractNum>
  <w:abstractNum w:abstractNumId="30" w15:restartNumberingAfterBreak="0">
    <w:nsid w:val="1AA90E30"/>
    <w:multiLevelType w:val="singleLevel"/>
    <w:tmpl w:val="0E6C95BA"/>
    <w:lvl w:ilvl="0">
      <w:start w:val="1"/>
      <w:numFmt w:val="decimal"/>
      <w:lvlText w:val="%1."/>
      <w:legacy w:legacy="1" w:legacySpace="0" w:legacyIndent="283"/>
      <w:lvlJc w:val="left"/>
      <w:rPr>
        <w:rFonts w:ascii="Arial" w:hAnsi="Arial" w:cs="Arial" w:hint="default"/>
      </w:rPr>
    </w:lvl>
  </w:abstractNum>
  <w:abstractNum w:abstractNumId="31" w15:restartNumberingAfterBreak="0">
    <w:nsid w:val="1BD9133C"/>
    <w:multiLevelType w:val="singleLevel"/>
    <w:tmpl w:val="4E7078B8"/>
    <w:lvl w:ilvl="0">
      <w:start w:val="1"/>
      <w:numFmt w:val="decimal"/>
      <w:lvlText w:val="3.%1."/>
      <w:legacy w:legacy="1" w:legacySpace="0" w:legacyIndent="283"/>
      <w:lvlJc w:val="left"/>
      <w:rPr>
        <w:rFonts w:ascii="Arial" w:hAnsi="Arial" w:cs="Arial" w:hint="default"/>
      </w:rPr>
    </w:lvl>
  </w:abstractNum>
  <w:abstractNum w:abstractNumId="32" w15:restartNumberingAfterBreak="0">
    <w:nsid w:val="1C830AFA"/>
    <w:multiLevelType w:val="singleLevel"/>
    <w:tmpl w:val="EA3A32C8"/>
    <w:lvl w:ilvl="0">
      <w:start w:val="1"/>
      <w:numFmt w:val="decimal"/>
      <w:lvlText w:val="%1."/>
      <w:legacy w:legacy="1" w:legacySpace="0" w:legacyIndent="283"/>
      <w:lvlJc w:val="left"/>
      <w:rPr>
        <w:rFonts w:ascii="Arial" w:hAnsi="Arial" w:cs="Arial" w:hint="default"/>
      </w:rPr>
    </w:lvl>
  </w:abstractNum>
  <w:abstractNum w:abstractNumId="33" w15:restartNumberingAfterBreak="0">
    <w:nsid w:val="1D1C7BCA"/>
    <w:multiLevelType w:val="singleLevel"/>
    <w:tmpl w:val="4C1ADF82"/>
    <w:lvl w:ilvl="0">
      <w:start w:val="1"/>
      <w:numFmt w:val="decimal"/>
      <w:lvlText w:val="%1."/>
      <w:legacy w:legacy="1" w:legacySpace="0" w:legacyIndent="154"/>
      <w:lvlJc w:val="left"/>
      <w:rPr>
        <w:rFonts w:ascii="Arial" w:hAnsi="Arial" w:cs="Arial" w:hint="default"/>
      </w:rPr>
    </w:lvl>
  </w:abstractNum>
  <w:abstractNum w:abstractNumId="34" w15:restartNumberingAfterBreak="0">
    <w:nsid w:val="1D417C39"/>
    <w:multiLevelType w:val="singleLevel"/>
    <w:tmpl w:val="B37E9D30"/>
    <w:lvl w:ilvl="0">
      <w:start w:val="2"/>
      <w:numFmt w:val="decimal"/>
      <w:lvlText w:val="3.%1"/>
      <w:legacy w:legacy="1" w:legacySpace="0" w:legacyIndent="283"/>
      <w:lvlJc w:val="left"/>
      <w:rPr>
        <w:rFonts w:ascii="Arial" w:hAnsi="Arial" w:cs="Arial" w:hint="default"/>
      </w:rPr>
    </w:lvl>
  </w:abstractNum>
  <w:abstractNum w:abstractNumId="35" w15:restartNumberingAfterBreak="0">
    <w:nsid w:val="1F6A5FB5"/>
    <w:multiLevelType w:val="singleLevel"/>
    <w:tmpl w:val="C7C41EAC"/>
    <w:lvl w:ilvl="0">
      <w:start w:val="1"/>
      <w:numFmt w:val="decimal"/>
      <w:lvlText w:val="3.%1"/>
      <w:legacy w:legacy="1" w:legacySpace="0" w:legacyIndent="307"/>
      <w:lvlJc w:val="left"/>
      <w:rPr>
        <w:rFonts w:ascii="Arial" w:hAnsi="Arial" w:cs="Arial" w:hint="default"/>
      </w:rPr>
    </w:lvl>
  </w:abstractNum>
  <w:abstractNum w:abstractNumId="36" w15:restartNumberingAfterBreak="0">
    <w:nsid w:val="1FA65FD7"/>
    <w:multiLevelType w:val="singleLevel"/>
    <w:tmpl w:val="0E6C95BA"/>
    <w:lvl w:ilvl="0">
      <w:start w:val="1"/>
      <w:numFmt w:val="decimal"/>
      <w:lvlText w:val="%1."/>
      <w:legacy w:legacy="1" w:legacySpace="0" w:legacyIndent="283"/>
      <w:lvlJc w:val="left"/>
      <w:rPr>
        <w:rFonts w:ascii="Arial" w:hAnsi="Arial" w:cs="Arial" w:hint="default"/>
      </w:rPr>
    </w:lvl>
  </w:abstractNum>
  <w:abstractNum w:abstractNumId="37" w15:restartNumberingAfterBreak="0">
    <w:nsid w:val="206C7DB0"/>
    <w:multiLevelType w:val="singleLevel"/>
    <w:tmpl w:val="0E6C95BA"/>
    <w:lvl w:ilvl="0">
      <w:start w:val="1"/>
      <w:numFmt w:val="decimal"/>
      <w:lvlText w:val="%1."/>
      <w:legacy w:legacy="1" w:legacySpace="0" w:legacyIndent="283"/>
      <w:lvlJc w:val="left"/>
      <w:rPr>
        <w:rFonts w:ascii="Arial" w:hAnsi="Arial" w:cs="Arial" w:hint="default"/>
      </w:rPr>
    </w:lvl>
  </w:abstractNum>
  <w:abstractNum w:abstractNumId="38" w15:restartNumberingAfterBreak="0">
    <w:nsid w:val="207D0884"/>
    <w:multiLevelType w:val="singleLevel"/>
    <w:tmpl w:val="E5C2013E"/>
    <w:lvl w:ilvl="0">
      <w:start w:val="1"/>
      <w:numFmt w:val="decimal"/>
      <w:lvlText w:val="(%1)"/>
      <w:legacy w:legacy="1" w:legacySpace="0" w:legacyIndent="254"/>
      <w:lvlJc w:val="left"/>
      <w:rPr>
        <w:rFonts w:ascii="Arial" w:hAnsi="Arial" w:cs="Arial" w:hint="default"/>
      </w:rPr>
    </w:lvl>
  </w:abstractNum>
  <w:abstractNum w:abstractNumId="39" w15:restartNumberingAfterBreak="0">
    <w:nsid w:val="21AB52AA"/>
    <w:multiLevelType w:val="singleLevel"/>
    <w:tmpl w:val="24DA0F68"/>
    <w:lvl w:ilvl="0">
      <w:start w:val="2"/>
      <w:numFmt w:val="decimal"/>
      <w:lvlText w:val="(%1)"/>
      <w:legacy w:legacy="1" w:legacySpace="0" w:legacyIndent="264"/>
      <w:lvlJc w:val="left"/>
      <w:rPr>
        <w:rFonts w:ascii="Arial" w:hAnsi="Arial" w:cs="Arial" w:hint="default"/>
      </w:rPr>
    </w:lvl>
  </w:abstractNum>
  <w:abstractNum w:abstractNumId="40" w15:restartNumberingAfterBreak="0">
    <w:nsid w:val="22932871"/>
    <w:multiLevelType w:val="singleLevel"/>
    <w:tmpl w:val="EA3A32C8"/>
    <w:lvl w:ilvl="0">
      <w:start w:val="1"/>
      <w:numFmt w:val="decimal"/>
      <w:lvlText w:val="%1."/>
      <w:legacy w:legacy="1" w:legacySpace="0" w:legacyIndent="283"/>
      <w:lvlJc w:val="left"/>
      <w:rPr>
        <w:rFonts w:ascii="Arial" w:hAnsi="Arial" w:cs="Arial" w:hint="default"/>
      </w:rPr>
    </w:lvl>
  </w:abstractNum>
  <w:abstractNum w:abstractNumId="41" w15:restartNumberingAfterBreak="0">
    <w:nsid w:val="2337299A"/>
    <w:multiLevelType w:val="singleLevel"/>
    <w:tmpl w:val="89DEA326"/>
    <w:lvl w:ilvl="0">
      <w:start w:val="1"/>
      <w:numFmt w:val="decimal"/>
      <w:lvlText w:val="(%1)"/>
      <w:legacy w:legacy="1" w:legacySpace="0" w:legacyIndent="278"/>
      <w:lvlJc w:val="left"/>
      <w:rPr>
        <w:rFonts w:ascii="Arial" w:hAnsi="Arial" w:cs="Arial" w:hint="default"/>
      </w:rPr>
    </w:lvl>
  </w:abstractNum>
  <w:abstractNum w:abstractNumId="42" w15:restartNumberingAfterBreak="0">
    <w:nsid w:val="23F0562A"/>
    <w:multiLevelType w:val="singleLevel"/>
    <w:tmpl w:val="0E6C95BA"/>
    <w:lvl w:ilvl="0">
      <w:start w:val="1"/>
      <w:numFmt w:val="decimal"/>
      <w:lvlText w:val="%1."/>
      <w:legacy w:legacy="1" w:legacySpace="0" w:legacyIndent="283"/>
      <w:lvlJc w:val="left"/>
      <w:rPr>
        <w:rFonts w:ascii="Arial" w:hAnsi="Arial" w:cs="Arial" w:hint="default"/>
      </w:rPr>
    </w:lvl>
  </w:abstractNum>
  <w:abstractNum w:abstractNumId="43" w15:restartNumberingAfterBreak="0">
    <w:nsid w:val="25A605E5"/>
    <w:multiLevelType w:val="singleLevel"/>
    <w:tmpl w:val="98B83A80"/>
    <w:lvl w:ilvl="0">
      <w:start w:val="1"/>
      <w:numFmt w:val="lowerLetter"/>
      <w:lvlText w:val="%1)"/>
      <w:legacy w:legacy="1" w:legacySpace="0" w:legacyIndent="226"/>
      <w:lvlJc w:val="left"/>
      <w:rPr>
        <w:rFonts w:ascii="Arial" w:hAnsi="Arial" w:cs="Arial" w:hint="default"/>
      </w:rPr>
    </w:lvl>
  </w:abstractNum>
  <w:abstractNum w:abstractNumId="44" w15:restartNumberingAfterBreak="0">
    <w:nsid w:val="26106235"/>
    <w:multiLevelType w:val="singleLevel"/>
    <w:tmpl w:val="EA3A32C8"/>
    <w:lvl w:ilvl="0">
      <w:start w:val="1"/>
      <w:numFmt w:val="decimal"/>
      <w:lvlText w:val="%1."/>
      <w:legacy w:legacy="1" w:legacySpace="0" w:legacyIndent="283"/>
      <w:lvlJc w:val="left"/>
      <w:rPr>
        <w:rFonts w:ascii="Arial" w:hAnsi="Arial" w:cs="Arial" w:hint="default"/>
      </w:rPr>
    </w:lvl>
  </w:abstractNum>
  <w:abstractNum w:abstractNumId="45" w15:restartNumberingAfterBreak="0">
    <w:nsid w:val="262B0095"/>
    <w:multiLevelType w:val="singleLevel"/>
    <w:tmpl w:val="F26E18DC"/>
    <w:lvl w:ilvl="0">
      <w:start w:val="5"/>
      <w:numFmt w:val="decimal"/>
      <w:lvlText w:val="%1."/>
      <w:legacy w:legacy="1" w:legacySpace="0" w:legacyIndent="283"/>
      <w:lvlJc w:val="left"/>
      <w:rPr>
        <w:rFonts w:ascii="Arial" w:hAnsi="Arial" w:cs="Arial" w:hint="default"/>
      </w:rPr>
    </w:lvl>
  </w:abstractNum>
  <w:abstractNum w:abstractNumId="46" w15:restartNumberingAfterBreak="0">
    <w:nsid w:val="269C56A4"/>
    <w:multiLevelType w:val="singleLevel"/>
    <w:tmpl w:val="53E01D80"/>
    <w:lvl w:ilvl="0">
      <w:start w:val="1"/>
      <w:numFmt w:val="lowerLetter"/>
      <w:lvlText w:val="%1)"/>
      <w:legacy w:legacy="1" w:legacySpace="0" w:legacyIndent="158"/>
      <w:lvlJc w:val="left"/>
      <w:rPr>
        <w:rFonts w:ascii="Arial" w:hAnsi="Arial" w:cs="Arial" w:hint="default"/>
      </w:rPr>
    </w:lvl>
  </w:abstractNum>
  <w:abstractNum w:abstractNumId="47" w15:restartNumberingAfterBreak="0">
    <w:nsid w:val="285577F3"/>
    <w:multiLevelType w:val="singleLevel"/>
    <w:tmpl w:val="EA3A32C8"/>
    <w:lvl w:ilvl="0">
      <w:start w:val="1"/>
      <w:numFmt w:val="decimal"/>
      <w:lvlText w:val="%1."/>
      <w:legacy w:legacy="1" w:legacySpace="0" w:legacyIndent="283"/>
      <w:lvlJc w:val="left"/>
      <w:rPr>
        <w:rFonts w:ascii="Arial" w:hAnsi="Arial" w:cs="Arial" w:hint="default"/>
      </w:rPr>
    </w:lvl>
  </w:abstractNum>
  <w:abstractNum w:abstractNumId="48" w15:restartNumberingAfterBreak="0">
    <w:nsid w:val="289E00D2"/>
    <w:multiLevelType w:val="singleLevel"/>
    <w:tmpl w:val="4C1ADF82"/>
    <w:lvl w:ilvl="0">
      <w:start w:val="1"/>
      <w:numFmt w:val="decimal"/>
      <w:lvlText w:val="%1."/>
      <w:legacy w:legacy="1" w:legacySpace="0" w:legacyIndent="154"/>
      <w:lvlJc w:val="left"/>
      <w:rPr>
        <w:rFonts w:ascii="Arial" w:hAnsi="Arial" w:cs="Arial" w:hint="default"/>
      </w:rPr>
    </w:lvl>
  </w:abstractNum>
  <w:abstractNum w:abstractNumId="49" w15:restartNumberingAfterBreak="0">
    <w:nsid w:val="2C2A1428"/>
    <w:multiLevelType w:val="singleLevel"/>
    <w:tmpl w:val="EA3A32C8"/>
    <w:lvl w:ilvl="0">
      <w:start w:val="1"/>
      <w:numFmt w:val="decimal"/>
      <w:lvlText w:val="%1."/>
      <w:legacy w:legacy="1" w:legacySpace="0" w:legacyIndent="283"/>
      <w:lvlJc w:val="left"/>
      <w:rPr>
        <w:rFonts w:ascii="Arial" w:hAnsi="Arial" w:cs="Arial" w:hint="default"/>
      </w:rPr>
    </w:lvl>
  </w:abstractNum>
  <w:abstractNum w:abstractNumId="50" w15:restartNumberingAfterBreak="0">
    <w:nsid w:val="2CEF0EF3"/>
    <w:multiLevelType w:val="singleLevel"/>
    <w:tmpl w:val="54C0C72A"/>
    <w:lvl w:ilvl="0">
      <w:start w:val="1"/>
      <w:numFmt w:val="decimal"/>
      <w:lvlText w:val="%1)"/>
      <w:legacy w:legacy="1" w:legacySpace="0" w:legacyIndent="283"/>
      <w:lvlJc w:val="left"/>
      <w:rPr>
        <w:rFonts w:ascii="Arial" w:hAnsi="Arial" w:cs="Arial" w:hint="default"/>
      </w:rPr>
    </w:lvl>
  </w:abstractNum>
  <w:abstractNum w:abstractNumId="51" w15:restartNumberingAfterBreak="0">
    <w:nsid w:val="2CFD2C18"/>
    <w:multiLevelType w:val="singleLevel"/>
    <w:tmpl w:val="9C7E1E1E"/>
    <w:lvl w:ilvl="0">
      <w:start w:val="3"/>
      <w:numFmt w:val="decimal"/>
      <w:lvlText w:val="%1."/>
      <w:legacy w:legacy="1" w:legacySpace="0" w:legacyIndent="283"/>
      <w:lvlJc w:val="left"/>
      <w:rPr>
        <w:rFonts w:ascii="Arial" w:hAnsi="Arial" w:cs="Arial" w:hint="default"/>
      </w:rPr>
    </w:lvl>
  </w:abstractNum>
  <w:abstractNum w:abstractNumId="52" w15:restartNumberingAfterBreak="0">
    <w:nsid w:val="2E2F705B"/>
    <w:multiLevelType w:val="singleLevel"/>
    <w:tmpl w:val="69BE3D90"/>
    <w:lvl w:ilvl="0">
      <w:start w:val="2"/>
      <w:numFmt w:val="lowerLetter"/>
      <w:lvlText w:val="(%1)"/>
      <w:legacy w:legacy="1" w:legacySpace="0" w:legacyIndent="274"/>
      <w:lvlJc w:val="left"/>
      <w:rPr>
        <w:rFonts w:ascii="Arial" w:hAnsi="Arial" w:cs="Arial" w:hint="default"/>
      </w:rPr>
    </w:lvl>
  </w:abstractNum>
  <w:abstractNum w:abstractNumId="53" w15:restartNumberingAfterBreak="0">
    <w:nsid w:val="2EDE3950"/>
    <w:multiLevelType w:val="singleLevel"/>
    <w:tmpl w:val="C102F386"/>
    <w:lvl w:ilvl="0">
      <w:start w:val="4"/>
      <w:numFmt w:val="decimal"/>
      <w:lvlText w:val="(%1)"/>
      <w:legacy w:legacy="1" w:legacySpace="0" w:legacyIndent="259"/>
      <w:lvlJc w:val="left"/>
      <w:rPr>
        <w:rFonts w:ascii="Arial" w:hAnsi="Arial" w:cs="Arial" w:hint="default"/>
      </w:rPr>
    </w:lvl>
  </w:abstractNum>
  <w:abstractNum w:abstractNumId="54" w15:restartNumberingAfterBreak="0">
    <w:nsid w:val="2F8B30D8"/>
    <w:multiLevelType w:val="singleLevel"/>
    <w:tmpl w:val="2610B686"/>
    <w:lvl w:ilvl="0">
      <w:start w:val="1"/>
      <w:numFmt w:val="decimal"/>
      <w:lvlText w:val="%1."/>
      <w:legacy w:legacy="1" w:legacySpace="0" w:legacyIndent="183"/>
      <w:lvlJc w:val="left"/>
      <w:rPr>
        <w:rFonts w:ascii="Arial" w:hAnsi="Arial" w:cs="Arial" w:hint="default"/>
      </w:rPr>
    </w:lvl>
  </w:abstractNum>
  <w:abstractNum w:abstractNumId="55" w15:restartNumberingAfterBreak="0">
    <w:nsid w:val="30FC6288"/>
    <w:multiLevelType w:val="singleLevel"/>
    <w:tmpl w:val="EA3A32C8"/>
    <w:lvl w:ilvl="0">
      <w:start w:val="1"/>
      <w:numFmt w:val="decimal"/>
      <w:lvlText w:val="%1."/>
      <w:legacy w:legacy="1" w:legacySpace="0" w:legacyIndent="283"/>
      <w:lvlJc w:val="left"/>
      <w:rPr>
        <w:rFonts w:ascii="Arial" w:hAnsi="Arial" w:cs="Arial" w:hint="default"/>
      </w:rPr>
    </w:lvl>
  </w:abstractNum>
  <w:abstractNum w:abstractNumId="56" w15:restartNumberingAfterBreak="0">
    <w:nsid w:val="34277789"/>
    <w:multiLevelType w:val="singleLevel"/>
    <w:tmpl w:val="3BB4FA5E"/>
    <w:lvl w:ilvl="0">
      <w:start w:val="10"/>
      <w:numFmt w:val="decimal"/>
      <w:lvlText w:val="%1."/>
      <w:legacy w:legacy="1" w:legacySpace="0" w:legacyIndent="240"/>
      <w:lvlJc w:val="left"/>
      <w:rPr>
        <w:rFonts w:ascii="Arial" w:hAnsi="Arial" w:cs="Arial" w:hint="default"/>
      </w:rPr>
    </w:lvl>
  </w:abstractNum>
  <w:abstractNum w:abstractNumId="57" w15:restartNumberingAfterBreak="0">
    <w:nsid w:val="350072DB"/>
    <w:multiLevelType w:val="singleLevel"/>
    <w:tmpl w:val="012E8A1A"/>
    <w:lvl w:ilvl="0">
      <w:start w:val="2"/>
      <w:numFmt w:val="decimal"/>
      <w:lvlText w:val="%1."/>
      <w:legacy w:legacy="1" w:legacySpace="0" w:legacyIndent="149"/>
      <w:lvlJc w:val="left"/>
      <w:rPr>
        <w:rFonts w:ascii="Arial" w:hAnsi="Arial" w:cs="Arial" w:hint="default"/>
      </w:rPr>
    </w:lvl>
  </w:abstractNum>
  <w:abstractNum w:abstractNumId="58" w15:restartNumberingAfterBreak="0">
    <w:nsid w:val="35234427"/>
    <w:multiLevelType w:val="singleLevel"/>
    <w:tmpl w:val="840EA206"/>
    <w:lvl w:ilvl="0">
      <w:start w:val="1"/>
      <w:numFmt w:val="decimal"/>
      <w:lvlText w:val="(%1)"/>
      <w:legacy w:legacy="1" w:legacySpace="0" w:legacyIndent="346"/>
      <w:lvlJc w:val="left"/>
      <w:rPr>
        <w:rFonts w:ascii="Arial" w:hAnsi="Arial" w:cs="Arial" w:hint="default"/>
      </w:rPr>
    </w:lvl>
  </w:abstractNum>
  <w:abstractNum w:abstractNumId="59" w15:restartNumberingAfterBreak="0">
    <w:nsid w:val="362A1F94"/>
    <w:multiLevelType w:val="singleLevel"/>
    <w:tmpl w:val="355A2EF2"/>
    <w:lvl w:ilvl="0">
      <w:start w:val="1"/>
      <w:numFmt w:val="decimal"/>
      <w:lvlText w:val="(%1)"/>
      <w:legacy w:legacy="1" w:legacySpace="0" w:legacyIndent="350"/>
      <w:lvlJc w:val="left"/>
      <w:rPr>
        <w:rFonts w:ascii="Arial" w:hAnsi="Arial" w:cs="Arial" w:hint="default"/>
      </w:rPr>
    </w:lvl>
  </w:abstractNum>
  <w:abstractNum w:abstractNumId="60" w15:restartNumberingAfterBreak="0">
    <w:nsid w:val="375D3907"/>
    <w:multiLevelType w:val="singleLevel"/>
    <w:tmpl w:val="0E6C95BA"/>
    <w:lvl w:ilvl="0">
      <w:start w:val="1"/>
      <w:numFmt w:val="decimal"/>
      <w:lvlText w:val="%1."/>
      <w:legacy w:legacy="1" w:legacySpace="0" w:legacyIndent="283"/>
      <w:lvlJc w:val="left"/>
      <w:rPr>
        <w:rFonts w:ascii="Arial" w:hAnsi="Arial" w:cs="Arial" w:hint="default"/>
      </w:rPr>
    </w:lvl>
  </w:abstractNum>
  <w:abstractNum w:abstractNumId="61" w15:restartNumberingAfterBreak="0">
    <w:nsid w:val="37B13600"/>
    <w:multiLevelType w:val="singleLevel"/>
    <w:tmpl w:val="38D010DC"/>
    <w:lvl w:ilvl="0">
      <w:start w:val="1"/>
      <w:numFmt w:val="decimal"/>
      <w:lvlText w:val="%1."/>
      <w:legacy w:legacy="1" w:legacySpace="0" w:legacyIndent="149"/>
      <w:lvlJc w:val="left"/>
      <w:rPr>
        <w:rFonts w:ascii="Arial" w:hAnsi="Arial" w:cs="Arial" w:hint="default"/>
      </w:rPr>
    </w:lvl>
  </w:abstractNum>
  <w:abstractNum w:abstractNumId="62" w15:restartNumberingAfterBreak="0">
    <w:nsid w:val="37F15023"/>
    <w:multiLevelType w:val="singleLevel"/>
    <w:tmpl w:val="4E7078B8"/>
    <w:lvl w:ilvl="0">
      <w:start w:val="1"/>
      <w:numFmt w:val="decimal"/>
      <w:lvlText w:val="3.%1."/>
      <w:legacy w:legacy="1" w:legacySpace="0" w:legacyIndent="283"/>
      <w:lvlJc w:val="left"/>
      <w:rPr>
        <w:rFonts w:ascii="Arial" w:hAnsi="Arial" w:cs="Arial" w:hint="default"/>
      </w:rPr>
    </w:lvl>
  </w:abstractNum>
  <w:abstractNum w:abstractNumId="63" w15:restartNumberingAfterBreak="0">
    <w:nsid w:val="39233F48"/>
    <w:multiLevelType w:val="singleLevel"/>
    <w:tmpl w:val="C10CA5CC"/>
    <w:lvl w:ilvl="0">
      <w:start w:val="2"/>
      <w:numFmt w:val="decimal"/>
      <w:lvlText w:val="%1."/>
      <w:legacy w:legacy="1" w:legacySpace="0" w:legacyIndent="283"/>
      <w:lvlJc w:val="left"/>
      <w:rPr>
        <w:rFonts w:ascii="Arial" w:hAnsi="Arial" w:cs="Arial" w:hint="default"/>
      </w:rPr>
    </w:lvl>
  </w:abstractNum>
  <w:abstractNum w:abstractNumId="64" w15:restartNumberingAfterBreak="0">
    <w:nsid w:val="393A19B0"/>
    <w:multiLevelType w:val="singleLevel"/>
    <w:tmpl w:val="EA3A32C8"/>
    <w:lvl w:ilvl="0">
      <w:start w:val="1"/>
      <w:numFmt w:val="decimal"/>
      <w:lvlText w:val="%1."/>
      <w:legacy w:legacy="1" w:legacySpace="0" w:legacyIndent="283"/>
      <w:lvlJc w:val="left"/>
      <w:rPr>
        <w:rFonts w:ascii="Arial" w:hAnsi="Arial" w:cs="Arial" w:hint="default"/>
      </w:rPr>
    </w:lvl>
  </w:abstractNum>
  <w:abstractNum w:abstractNumId="65" w15:restartNumberingAfterBreak="0">
    <w:nsid w:val="39BD4DDA"/>
    <w:multiLevelType w:val="singleLevel"/>
    <w:tmpl w:val="EA3A32C8"/>
    <w:lvl w:ilvl="0">
      <w:start w:val="1"/>
      <w:numFmt w:val="decimal"/>
      <w:lvlText w:val="%1."/>
      <w:legacy w:legacy="1" w:legacySpace="0" w:legacyIndent="283"/>
      <w:lvlJc w:val="left"/>
      <w:rPr>
        <w:rFonts w:ascii="Arial" w:hAnsi="Arial" w:cs="Arial" w:hint="default"/>
      </w:rPr>
    </w:lvl>
  </w:abstractNum>
  <w:abstractNum w:abstractNumId="66" w15:restartNumberingAfterBreak="0">
    <w:nsid w:val="3B154275"/>
    <w:multiLevelType w:val="singleLevel"/>
    <w:tmpl w:val="4E7078B8"/>
    <w:lvl w:ilvl="0">
      <w:start w:val="1"/>
      <w:numFmt w:val="decimal"/>
      <w:lvlText w:val="3.%1."/>
      <w:legacy w:legacy="1" w:legacySpace="0" w:legacyIndent="283"/>
      <w:lvlJc w:val="left"/>
      <w:rPr>
        <w:rFonts w:ascii="Arial" w:hAnsi="Arial" w:cs="Arial" w:hint="default"/>
      </w:rPr>
    </w:lvl>
  </w:abstractNum>
  <w:abstractNum w:abstractNumId="67" w15:restartNumberingAfterBreak="0">
    <w:nsid w:val="3B1B32A7"/>
    <w:multiLevelType w:val="singleLevel"/>
    <w:tmpl w:val="EA3A32C8"/>
    <w:lvl w:ilvl="0">
      <w:start w:val="1"/>
      <w:numFmt w:val="decimal"/>
      <w:lvlText w:val="%1."/>
      <w:legacy w:legacy="1" w:legacySpace="0" w:legacyIndent="283"/>
      <w:lvlJc w:val="left"/>
      <w:rPr>
        <w:rFonts w:ascii="Arial" w:hAnsi="Arial" w:cs="Arial" w:hint="default"/>
      </w:rPr>
    </w:lvl>
  </w:abstractNum>
  <w:abstractNum w:abstractNumId="68" w15:restartNumberingAfterBreak="0">
    <w:nsid w:val="3BDC3A1B"/>
    <w:multiLevelType w:val="singleLevel"/>
    <w:tmpl w:val="EA3A32C8"/>
    <w:lvl w:ilvl="0">
      <w:start w:val="1"/>
      <w:numFmt w:val="decimal"/>
      <w:lvlText w:val="%1."/>
      <w:legacy w:legacy="1" w:legacySpace="0" w:legacyIndent="283"/>
      <w:lvlJc w:val="left"/>
      <w:rPr>
        <w:rFonts w:ascii="Arial" w:hAnsi="Arial" w:cs="Arial" w:hint="default"/>
      </w:rPr>
    </w:lvl>
  </w:abstractNum>
  <w:abstractNum w:abstractNumId="69" w15:restartNumberingAfterBreak="0">
    <w:nsid w:val="3D1C1230"/>
    <w:multiLevelType w:val="singleLevel"/>
    <w:tmpl w:val="EA3A32C8"/>
    <w:lvl w:ilvl="0">
      <w:start w:val="1"/>
      <w:numFmt w:val="decimal"/>
      <w:lvlText w:val="%1."/>
      <w:legacy w:legacy="1" w:legacySpace="0" w:legacyIndent="283"/>
      <w:lvlJc w:val="left"/>
      <w:rPr>
        <w:rFonts w:ascii="Arial" w:hAnsi="Arial" w:cs="Arial" w:hint="default"/>
      </w:rPr>
    </w:lvl>
  </w:abstractNum>
  <w:abstractNum w:abstractNumId="70" w15:restartNumberingAfterBreak="0">
    <w:nsid w:val="3DBA4D4A"/>
    <w:multiLevelType w:val="singleLevel"/>
    <w:tmpl w:val="38D010DC"/>
    <w:lvl w:ilvl="0">
      <w:start w:val="1"/>
      <w:numFmt w:val="decimal"/>
      <w:lvlText w:val="%1."/>
      <w:legacy w:legacy="1" w:legacySpace="0" w:legacyIndent="149"/>
      <w:lvlJc w:val="left"/>
      <w:rPr>
        <w:rFonts w:ascii="Arial" w:hAnsi="Arial" w:cs="Arial" w:hint="default"/>
      </w:rPr>
    </w:lvl>
  </w:abstractNum>
  <w:abstractNum w:abstractNumId="71" w15:restartNumberingAfterBreak="0">
    <w:nsid w:val="3DD55183"/>
    <w:multiLevelType w:val="singleLevel"/>
    <w:tmpl w:val="EA3A32C8"/>
    <w:lvl w:ilvl="0">
      <w:start w:val="1"/>
      <w:numFmt w:val="decimal"/>
      <w:lvlText w:val="%1."/>
      <w:legacy w:legacy="1" w:legacySpace="0" w:legacyIndent="283"/>
      <w:lvlJc w:val="left"/>
      <w:rPr>
        <w:rFonts w:ascii="Arial" w:hAnsi="Arial" w:cs="Arial" w:hint="default"/>
      </w:rPr>
    </w:lvl>
  </w:abstractNum>
  <w:abstractNum w:abstractNumId="72" w15:restartNumberingAfterBreak="0">
    <w:nsid w:val="403A200C"/>
    <w:multiLevelType w:val="singleLevel"/>
    <w:tmpl w:val="49F46704"/>
    <w:lvl w:ilvl="0">
      <w:start w:val="3"/>
      <w:numFmt w:val="lowerLetter"/>
      <w:lvlText w:val="(%1)"/>
      <w:legacy w:legacy="1" w:legacySpace="0" w:legacyIndent="240"/>
      <w:lvlJc w:val="left"/>
      <w:rPr>
        <w:rFonts w:ascii="Arial" w:hAnsi="Arial" w:cs="Arial" w:hint="default"/>
      </w:rPr>
    </w:lvl>
  </w:abstractNum>
  <w:abstractNum w:abstractNumId="73" w15:restartNumberingAfterBreak="0">
    <w:nsid w:val="42724F03"/>
    <w:multiLevelType w:val="singleLevel"/>
    <w:tmpl w:val="E9C6D38E"/>
    <w:lvl w:ilvl="0">
      <w:start w:val="6"/>
      <w:numFmt w:val="decimal"/>
      <w:lvlText w:val="%1."/>
      <w:legacy w:legacy="1" w:legacySpace="0" w:legacyIndent="159"/>
      <w:lvlJc w:val="left"/>
      <w:rPr>
        <w:rFonts w:ascii="Arial" w:hAnsi="Arial" w:cs="Arial" w:hint="default"/>
      </w:rPr>
    </w:lvl>
  </w:abstractNum>
  <w:abstractNum w:abstractNumId="74" w15:restartNumberingAfterBreak="0">
    <w:nsid w:val="43056B16"/>
    <w:multiLevelType w:val="singleLevel"/>
    <w:tmpl w:val="B8CAAAC2"/>
    <w:lvl w:ilvl="0">
      <w:start w:val="1"/>
      <w:numFmt w:val="lowerLetter"/>
      <w:lvlText w:val="%1)"/>
      <w:legacy w:legacy="1" w:legacySpace="0" w:legacyIndent="283"/>
      <w:lvlJc w:val="left"/>
      <w:rPr>
        <w:rFonts w:ascii="Arial" w:hAnsi="Arial" w:cs="Arial" w:hint="default"/>
      </w:rPr>
    </w:lvl>
  </w:abstractNum>
  <w:abstractNum w:abstractNumId="75" w15:restartNumberingAfterBreak="0">
    <w:nsid w:val="448D291E"/>
    <w:multiLevelType w:val="singleLevel"/>
    <w:tmpl w:val="EA3A32C8"/>
    <w:lvl w:ilvl="0">
      <w:start w:val="1"/>
      <w:numFmt w:val="decimal"/>
      <w:lvlText w:val="%1."/>
      <w:legacy w:legacy="1" w:legacySpace="0" w:legacyIndent="283"/>
      <w:lvlJc w:val="left"/>
      <w:rPr>
        <w:rFonts w:ascii="Arial" w:hAnsi="Arial" w:cs="Arial" w:hint="default"/>
      </w:rPr>
    </w:lvl>
  </w:abstractNum>
  <w:abstractNum w:abstractNumId="76" w15:restartNumberingAfterBreak="0">
    <w:nsid w:val="449F39F9"/>
    <w:multiLevelType w:val="singleLevel"/>
    <w:tmpl w:val="0E6C95BA"/>
    <w:lvl w:ilvl="0">
      <w:start w:val="1"/>
      <w:numFmt w:val="decimal"/>
      <w:lvlText w:val="%1."/>
      <w:legacy w:legacy="1" w:legacySpace="0" w:legacyIndent="283"/>
      <w:lvlJc w:val="left"/>
      <w:rPr>
        <w:rFonts w:ascii="Arial" w:hAnsi="Arial" w:cs="Arial" w:hint="default"/>
      </w:rPr>
    </w:lvl>
  </w:abstractNum>
  <w:abstractNum w:abstractNumId="77" w15:restartNumberingAfterBreak="0">
    <w:nsid w:val="44C46935"/>
    <w:multiLevelType w:val="singleLevel"/>
    <w:tmpl w:val="EA3A32C8"/>
    <w:lvl w:ilvl="0">
      <w:start w:val="1"/>
      <w:numFmt w:val="decimal"/>
      <w:lvlText w:val="%1."/>
      <w:legacy w:legacy="1" w:legacySpace="0" w:legacyIndent="283"/>
      <w:lvlJc w:val="left"/>
      <w:rPr>
        <w:rFonts w:ascii="Arial" w:hAnsi="Arial" w:cs="Arial" w:hint="default"/>
      </w:rPr>
    </w:lvl>
  </w:abstractNum>
  <w:abstractNum w:abstractNumId="78" w15:restartNumberingAfterBreak="0">
    <w:nsid w:val="44F47CDC"/>
    <w:multiLevelType w:val="singleLevel"/>
    <w:tmpl w:val="B5842218"/>
    <w:lvl w:ilvl="0">
      <w:start w:val="4"/>
      <w:numFmt w:val="decimal"/>
      <w:lvlText w:val="%1)"/>
      <w:legacy w:legacy="1" w:legacySpace="0" w:legacyIndent="283"/>
      <w:lvlJc w:val="left"/>
      <w:rPr>
        <w:rFonts w:ascii="Arial" w:hAnsi="Arial" w:cs="Arial" w:hint="default"/>
      </w:rPr>
    </w:lvl>
  </w:abstractNum>
  <w:abstractNum w:abstractNumId="79" w15:restartNumberingAfterBreak="0">
    <w:nsid w:val="47357FE7"/>
    <w:multiLevelType w:val="singleLevel"/>
    <w:tmpl w:val="0E6C95BA"/>
    <w:lvl w:ilvl="0">
      <w:start w:val="1"/>
      <w:numFmt w:val="decimal"/>
      <w:lvlText w:val="%1."/>
      <w:legacy w:legacy="1" w:legacySpace="0" w:legacyIndent="283"/>
      <w:lvlJc w:val="left"/>
      <w:rPr>
        <w:rFonts w:ascii="Arial" w:hAnsi="Arial" w:cs="Arial" w:hint="default"/>
      </w:rPr>
    </w:lvl>
  </w:abstractNum>
  <w:abstractNum w:abstractNumId="80" w15:restartNumberingAfterBreak="0">
    <w:nsid w:val="47F82A47"/>
    <w:multiLevelType w:val="singleLevel"/>
    <w:tmpl w:val="26247D0E"/>
    <w:lvl w:ilvl="0">
      <w:start w:val="3"/>
      <w:numFmt w:val="decimal"/>
      <w:lvlText w:val="2.%1."/>
      <w:legacy w:legacy="1" w:legacySpace="0" w:legacyIndent="283"/>
      <w:lvlJc w:val="left"/>
      <w:rPr>
        <w:rFonts w:ascii="Arial" w:hAnsi="Arial" w:cs="Arial" w:hint="default"/>
      </w:rPr>
    </w:lvl>
  </w:abstractNum>
  <w:abstractNum w:abstractNumId="81" w15:restartNumberingAfterBreak="0">
    <w:nsid w:val="48B7614E"/>
    <w:multiLevelType w:val="singleLevel"/>
    <w:tmpl w:val="4E7078B8"/>
    <w:lvl w:ilvl="0">
      <w:start w:val="1"/>
      <w:numFmt w:val="decimal"/>
      <w:lvlText w:val="3.%1."/>
      <w:legacy w:legacy="1" w:legacySpace="0" w:legacyIndent="283"/>
      <w:lvlJc w:val="left"/>
      <w:rPr>
        <w:rFonts w:ascii="Arial" w:hAnsi="Arial" w:cs="Arial" w:hint="default"/>
      </w:rPr>
    </w:lvl>
  </w:abstractNum>
  <w:abstractNum w:abstractNumId="82" w15:restartNumberingAfterBreak="0">
    <w:nsid w:val="4C1E521D"/>
    <w:multiLevelType w:val="singleLevel"/>
    <w:tmpl w:val="EA3A32C8"/>
    <w:lvl w:ilvl="0">
      <w:start w:val="1"/>
      <w:numFmt w:val="decimal"/>
      <w:lvlText w:val="%1."/>
      <w:legacy w:legacy="1" w:legacySpace="0" w:legacyIndent="283"/>
      <w:lvlJc w:val="left"/>
      <w:rPr>
        <w:rFonts w:ascii="Arial" w:hAnsi="Arial" w:cs="Arial" w:hint="default"/>
      </w:rPr>
    </w:lvl>
  </w:abstractNum>
  <w:abstractNum w:abstractNumId="83" w15:restartNumberingAfterBreak="0">
    <w:nsid w:val="4CB62C14"/>
    <w:multiLevelType w:val="singleLevel"/>
    <w:tmpl w:val="0E6C95BA"/>
    <w:lvl w:ilvl="0">
      <w:start w:val="1"/>
      <w:numFmt w:val="decimal"/>
      <w:lvlText w:val="%1."/>
      <w:legacy w:legacy="1" w:legacySpace="0" w:legacyIndent="283"/>
      <w:lvlJc w:val="left"/>
      <w:rPr>
        <w:rFonts w:ascii="Arial" w:hAnsi="Arial" w:cs="Arial" w:hint="default"/>
      </w:rPr>
    </w:lvl>
  </w:abstractNum>
  <w:abstractNum w:abstractNumId="84" w15:restartNumberingAfterBreak="0">
    <w:nsid w:val="4FA826DA"/>
    <w:multiLevelType w:val="singleLevel"/>
    <w:tmpl w:val="0E6C95BA"/>
    <w:lvl w:ilvl="0">
      <w:start w:val="1"/>
      <w:numFmt w:val="decimal"/>
      <w:lvlText w:val="%1."/>
      <w:legacy w:legacy="1" w:legacySpace="0" w:legacyIndent="283"/>
      <w:lvlJc w:val="left"/>
      <w:rPr>
        <w:rFonts w:ascii="Arial" w:hAnsi="Arial" w:cs="Arial" w:hint="default"/>
      </w:rPr>
    </w:lvl>
  </w:abstractNum>
  <w:abstractNum w:abstractNumId="85" w15:restartNumberingAfterBreak="0">
    <w:nsid w:val="500F284D"/>
    <w:multiLevelType w:val="singleLevel"/>
    <w:tmpl w:val="B9E61CF8"/>
    <w:lvl w:ilvl="0">
      <w:start w:val="1"/>
      <w:numFmt w:val="decimal"/>
      <w:lvlText w:val="%1)"/>
      <w:legacy w:legacy="1" w:legacySpace="0" w:legacyIndent="422"/>
      <w:lvlJc w:val="left"/>
      <w:rPr>
        <w:rFonts w:ascii="Arial" w:hAnsi="Arial" w:cs="Arial" w:hint="default"/>
      </w:rPr>
    </w:lvl>
  </w:abstractNum>
  <w:abstractNum w:abstractNumId="86" w15:restartNumberingAfterBreak="0">
    <w:nsid w:val="53715AB0"/>
    <w:multiLevelType w:val="singleLevel"/>
    <w:tmpl w:val="DB3663B2"/>
    <w:lvl w:ilvl="0">
      <w:start w:val="1"/>
      <w:numFmt w:val="lowerLetter"/>
      <w:lvlText w:val="%1)"/>
      <w:legacy w:legacy="1" w:legacySpace="0" w:legacyIndent="437"/>
      <w:lvlJc w:val="left"/>
      <w:rPr>
        <w:rFonts w:ascii="Arial" w:hAnsi="Arial" w:cs="Arial" w:hint="default"/>
      </w:rPr>
    </w:lvl>
  </w:abstractNum>
  <w:abstractNum w:abstractNumId="87" w15:restartNumberingAfterBreak="0">
    <w:nsid w:val="54434B98"/>
    <w:multiLevelType w:val="singleLevel"/>
    <w:tmpl w:val="B8CAAAC2"/>
    <w:lvl w:ilvl="0">
      <w:start w:val="1"/>
      <w:numFmt w:val="lowerLetter"/>
      <w:lvlText w:val="%1)"/>
      <w:legacy w:legacy="1" w:legacySpace="0" w:legacyIndent="283"/>
      <w:lvlJc w:val="left"/>
      <w:rPr>
        <w:rFonts w:ascii="Arial" w:hAnsi="Arial" w:cs="Arial" w:hint="default"/>
      </w:rPr>
    </w:lvl>
  </w:abstractNum>
  <w:abstractNum w:abstractNumId="88" w15:restartNumberingAfterBreak="0">
    <w:nsid w:val="55543598"/>
    <w:multiLevelType w:val="singleLevel"/>
    <w:tmpl w:val="0E6C95BA"/>
    <w:lvl w:ilvl="0">
      <w:start w:val="1"/>
      <w:numFmt w:val="decimal"/>
      <w:lvlText w:val="%1."/>
      <w:legacy w:legacy="1" w:legacySpace="0" w:legacyIndent="283"/>
      <w:lvlJc w:val="left"/>
      <w:rPr>
        <w:rFonts w:ascii="Arial" w:hAnsi="Arial" w:cs="Arial" w:hint="default"/>
      </w:rPr>
    </w:lvl>
  </w:abstractNum>
  <w:abstractNum w:abstractNumId="89" w15:restartNumberingAfterBreak="0">
    <w:nsid w:val="572D1FDF"/>
    <w:multiLevelType w:val="singleLevel"/>
    <w:tmpl w:val="0E6C95BA"/>
    <w:lvl w:ilvl="0">
      <w:start w:val="1"/>
      <w:numFmt w:val="decimal"/>
      <w:lvlText w:val="%1."/>
      <w:legacy w:legacy="1" w:legacySpace="0" w:legacyIndent="283"/>
      <w:lvlJc w:val="left"/>
      <w:rPr>
        <w:rFonts w:ascii="Arial" w:hAnsi="Arial" w:cs="Arial" w:hint="default"/>
      </w:rPr>
    </w:lvl>
  </w:abstractNum>
  <w:abstractNum w:abstractNumId="90" w15:restartNumberingAfterBreak="0">
    <w:nsid w:val="576D43AD"/>
    <w:multiLevelType w:val="singleLevel"/>
    <w:tmpl w:val="EA3A32C8"/>
    <w:lvl w:ilvl="0">
      <w:start w:val="1"/>
      <w:numFmt w:val="decimal"/>
      <w:lvlText w:val="%1."/>
      <w:legacy w:legacy="1" w:legacySpace="0" w:legacyIndent="283"/>
      <w:lvlJc w:val="left"/>
      <w:rPr>
        <w:rFonts w:ascii="Arial" w:hAnsi="Arial" w:cs="Arial" w:hint="default"/>
      </w:rPr>
    </w:lvl>
  </w:abstractNum>
  <w:abstractNum w:abstractNumId="91" w15:restartNumberingAfterBreak="0">
    <w:nsid w:val="58AD2EC4"/>
    <w:multiLevelType w:val="singleLevel"/>
    <w:tmpl w:val="B2E23C3E"/>
    <w:lvl w:ilvl="0">
      <w:start w:val="1"/>
      <w:numFmt w:val="decimal"/>
      <w:lvlText w:val="%1."/>
      <w:legacy w:legacy="1" w:legacySpace="0" w:legacyIndent="159"/>
      <w:lvlJc w:val="left"/>
      <w:rPr>
        <w:rFonts w:ascii="Arial" w:hAnsi="Arial" w:cs="Arial" w:hint="default"/>
      </w:rPr>
    </w:lvl>
  </w:abstractNum>
  <w:abstractNum w:abstractNumId="92" w15:restartNumberingAfterBreak="0">
    <w:nsid w:val="59723D25"/>
    <w:multiLevelType w:val="singleLevel"/>
    <w:tmpl w:val="0E6C95BA"/>
    <w:lvl w:ilvl="0">
      <w:start w:val="1"/>
      <w:numFmt w:val="decimal"/>
      <w:lvlText w:val="%1."/>
      <w:legacy w:legacy="1" w:legacySpace="0" w:legacyIndent="283"/>
      <w:lvlJc w:val="left"/>
      <w:rPr>
        <w:rFonts w:ascii="Arial" w:hAnsi="Arial" w:cs="Arial" w:hint="default"/>
      </w:rPr>
    </w:lvl>
  </w:abstractNum>
  <w:abstractNum w:abstractNumId="93" w15:restartNumberingAfterBreak="0">
    <w:nsid w:val="5B9C3ED9"/>
    <w:multiLevelType w:val="singleLevel"/>
    <w:tmpl w:val="0E6C95BA"/>
    <w:lvl w:ilvl="0">
      <w:start w:val="1"/>
      <w:numFmt w:val="decimal"/>
      <w:lvlText w:val="%1."/>
      <w:legacy w:legacy="1" w:legacySpace="0" w:legacyIndent="283"/>
      <w:lvlJc w:val="left"/>
      <w:rPr>
        <w:rFonts w:ascii="Arial" w:hAnsi="Arial" w:cs="Arial" w:hint="default"/>
      </w:rPr>
    </w:lvl>
  </w:abstractNum>
  <w:abstractNum w:abstractNumId="94" w15:restartNumberingAfterBreak="0">
    <w:nsid w:val="5CBD1792"/>
    <w:multiLevelType w:val="singleLevel"/>
    <w:tmpl w:val="4E7078B8"/>
    <w:lvl w:ilvl="0">
      <w:start w:val="1"/>
      <w:numFmt w:val="decimal"/>
      <w:lvlText w:val="3.%1."/>
      <w:legacy w:legacy="1" w:legacySpace="0" w:legacyIndent="283"/>
      <w:lvlJc w:val="left"/>
      <w:rPr>
        <w:rFonts w:ascii="Arial" w:hAnsi="Arial" w:cs="Arial" w:hint="default"/>
      </w:rPr>
    </w:lvl>
  </w:abstractNum>
  <w:abstractNum w:abstractNumId="95" w15:restartNumberingAfterBreak="0">
    <w:nsid w:val="5D277DE8"/>
    <w:multiLevelType w:val="singleLevel"/>
    <w:tmpl w:val="0E6C95BA"/>
    <w:lvl w:ilvl="0">
      <w:start w:val="1"/>
      <w:numFmt w:val="decimal"/>
      <w:lvlText w:val="%1."/>
      <w:legacy w:legacy="1" w:legacySpace="0" w:legacyIndent="283"/>
      <w:lvlJc w:val="left"/>
      <w:rPr>
        <w:rFonts w:ascii="Arial" w:hAnsi="Arial" w:cs="Arial" w:hint="default"/>
      </w:rPr>
    </w:lvl>
  </w:abstractNum>
  <w:abstractNum w:abstractNumId="96" w15:restartNumberingAfterBreak="0">
    <w:nsid w:val="5D9A2779"/>
    <w:multiLevelType w:val="singleLevel"/>
    <w:tmpl w:val="EA3A32C8"/>
    <w:lvl w:ilvl="0">
      <w:start w:val="1"/>
      <w:numFmt w:val="decimal"/>
      <w:lvlText w:val="%1."/>
      <w:legacy w:legacy="1" w:legacySpace="0" w:legacyIndent="283"/>
      <w:lvlJc w:val="left"/>
      <w:rPr>
        <w:rFonts w:ascii="Arial" w:hAnsi="Arial" w:cs="Arial" w:hint="default"/>
      </w:rPr>
    </w:lvl>
  </w:abstractNum>
  <w:abstractNum w:abstractNumId="97" w15:restartNumberingAfterBreak="0">
    <w:nsid w:val="5E92449D"/>
    <w:multiLevelType w:val="singleLevel"/>
    <w:tmpl w:val="D868BD60"/>
    <w:lvl w:ilvl="0">
      <w:start w:val="1"/>
      <w:numFmt w:val="lowerLetter"/>
      <w:lvlText w:val="%1)"/>
      <w:legacy w:legacy="1" w:legacySpace="0" w:legacyIndent="202"/>
      <w:lvlJc w:val="left"/>
      <w:rPr>
        <w:rFonts w:ascii="Arial" w:hAnsi="Arial" w:cs="Arial" w:hint="default"/>
      </w:rPr>
    </w:lvl>
  </w:abstractNum>
  <w:abstractNum w:abstractNumId="98" w15:restartNumberingAfterBreak="0">
    <w:nsid w:val="5F0D3A54"/>
    <w:multiLevelType w:val="singleLevel"/>
    <w:tmpl w:val="E8D01ED4"/>
    <w:lvl w:ilvl="0">
      <w:start w:val="3"/>
      <w:numFmt w:val="decimal"/>
      <w:lvlText w:val="%1."/>
      <w:legacy w:legacy="1" w:legacySpace="0" w:legacyIndent="202"/>
      <w:lvlJc w:val="left"/>
      <w:rPr>
        <w:rFonts w:ascii="Arial" w:hAnsi="Arial" w:cs="Arial" w:hint="default"/>
      </w:rPr>
    </w:lvl>
  </w:abstractNum>
  <w:abstractNum w:abstractNumId="99" w15:restartNumberingAfterBreak="0">
    <w:nsid w:val="62743B11"/>
    <w:multiLevelType w:val="singleLevel"/>
    <w:tmpl w:val="0E6C95BA"/>
    <w:lvl w:ilvl="0">
      <w:start w:val="1"/>
      <w:numFmt w:val="decimal"/>
      <w:lvlText w:val="%1."/>
      <w:legacy w:legacy="1" w:legacySpace="0" w:legacyIndent="283"/>
      <w:lvlJc w:val="left"/>
      <w:rPr>
        <w:rFonts w:ascii="Arial" w:hAnsi="Arial" w:cs="Arial" w:hint="default"/>
      </w:rPr>
    </w:lvl>
  </w:abstractNum>
  <w:abstractNum w:abstractNumId="100" w15:restartNumberingAfterBreak="0">
    <w:nsid w:val="63963B4C"/>
    <w:multiLevelType w:val="singleLevel"/>
    <w:tmpl w:val="352061C6"/>
    <w:lvl w:ilvl="0">
      <w:start w:val="1"/>
      <w:numFmt w:val="lowerLetter"/>
      <w:lvlText w:val="(%1)"/>
      <w:legacy w:legacy="1" w:legacySpace="0" w:legacyIndent="288"/>
      <w:lvlJc w:val="left"/>
      <w:rPr>
        <w:rFonts w:ascii="Arial" w:hAnsi="Arial" w:cs="Arial" w:hint="default"/>
      </w:rPr>
    </w:lvl>
  </w:abstractNum>
  <w:abstractNum w:abstractNumId="101" w15:restartNumberingAfterBreak="0">
    <w:nsid w:val="648B7A5A"/>
    <w:multiLevelType w:val="singleLevel"/>
    <w:tmpl w:val="EA3A32C8"/>
    <w:lvl w:ilvl="0">
      <w:start w:val="1"/>
      <w:numFmt w:val="decimal"/>
      <w:lvlText w:val="%1."/>
      <w:legacy w:legacy="1" w:legacySpace="0" w:legacyIndent="283"/>
      <w:lvlJc w:val="left"/>
      <w:rPr>
        <w:rFonts w:ascii="Arial" w:hAnsi="Arial" w:cs="Arial" w:hint="default"/>
      </w:rPr>
    </w:lvl>
  </w:abstractNum>
  <w:abstractNum w:abstractNumId="102" w15:restartNumberingAfterBreak="0">
    <w:nsid w:val="671D0CEC"/>
    <w:multiLevelType w:val="singleLevel"/>
    <w:tmpl w:val="BC3AB490"/>
    <w:lvl w:ilvl="0">
      <w:start w:val="1"/>
      <w:numFmt w:val="decimal"/>
      <w:lvlText w:val="%1."/>
      <w:legacy w:legacy="1" w:legacySpace="0" w:legacyIndent="211"/>
      <w:lvlJc w:val="left"/>
      <w:rPr>
        <w:rFonts w:ascii="Arial" w:hAnsi="Arial" w:cs="Arial" w:hint="default"/>
      </w:rPr>
    </w:lvl>
  </w:abstractNum>
  <w:abstractNum w:abstractNumId="103" w15:restartNumberingAfterBreak="0">
    <w:nsid w:val="681D7DA4"/>
    <w:multiLevelType w:val="singleLevel"/>
    <w:tmpl w:val="914A695A"/>
    <w:lvl w:ilvl="0">
      <w:start w:val="2"/>
      <w:numFmt w:val="lowerLetter"/>
      <w:lvlText w:val="%1)"/>
      <w:legacy w:legacy="1" w:legacySpace="0" w:legacyIndent="183"/>
      <w:lvlJc w:val="left"/>
      <w:rPr>
        <w:rFonts w:ascii="Arial" w:hAnsi="Arial" w:cs="Arial" w:hint="default"/>
      </w:rPr>
    </w:lvl>
  </w:abstractNum>
  <w:abstractNum w:abstractNumId="104" w15:restartNumberingAfterBreak="0">
    <w:nsid w:val="68FE2CC6"/>
    <w:multiLevelType w:val="singleLevel"/>
    <w:tmpl w:val="C10CA5CC"/>
    <w:lvl w:ilvl="0">
      <w:start w:val="2"/>
      <w:numFmt w:val="decimal"/>
      <w:lvlText w:val="%1."/>
      <w:legacy w:legacy="1" w:legacySpace="0" w:legacyIndent="283"/>
      <w:lvlJc w:val="left"/>
      <w:rPr>
        <w:rFonts w:ascii="Arial" w:hAnsi="Arial" w:cs="Arial" w:hint="default"/>
      </w:rPr>
    </w:lvl>
  </w:abstractNum>
  <w:abstractNum w:abstractNumId="105" w15:restartNumberingAfterBreak="0">
    <w:nsid w:val="69F35991"/>
    <w:multiLevelType w:val="singleLevel"/>
    <w:tmpl w:val="9A9AACE2"/>
    <w:lvl w:ilvl="0">
      <w:start w:val="4"/>
      <w:numFmt w:val="lowerLetter"/>
      <w:lvlText w:val="%1)"/>
      <w:legacy w:legacy="1" w:legacySpace="0" w:legacyIndent="226"/>
      <w:lvlJc w:val="left"/>
      <w:rPr>
        <w:rFonts w:ascii="Arial" w:hAnsi="Arial" w:cs="Arial" w:hint="default"/>
      </w:rPr>
    </w:lvl>
  </w:abstractNum>
  <w:abstractNum w:abstractNumId="106" w15:restartNumberingAfterBreak="0">
    <w:nsid w:val="6B2C45C8"/>
    <w:multiLevelType w:val="singleLevel"/>
    <w:tmpl w:val="B86EDEE4"/>
    <w:lvl w:ilvl="0">
      <w:start w:val="7"/>
      <w:numFmt w:val="decimal"/>
      <w:lvlText w:val="%1."/>
      <w:legacy w:legacy="1" w:legacySpace="0" w:legacyIndent="283"/>
      <w:lvlJc w:val="left"/>
      <w:rPr>
        <w:rFonts w:ascii="Arial" w:hAnsi="Arial" w:cs="Arial" w:hint="default"/>
      </w:rPr>
    </w:lvl>
  </w:abstractNum>
  <w:abstractNum w:abstractNumId="107" w15:restartNumberingAfterBreak="0">
    <w:nsid w:val="6B6019F6"/>
    <w:multiLevelType w:val="singleLevel"/>
    <w:tmpl w:val="38D010DC"/>
    <w:lvl w:ilvl="0">
      <w:start w:val="1"/>
      <w:numFmt w:val="decimal"/>
      <w:lvlText w:val="%1."/>
      <w:legacy w:legacy="1" w:legacySpace="0" w:legacyIndent="149"/>
      <w:lvlJc w:val="left"/>
      <w:rPr>
        <w:rFonts w:ascii="Arial" w:hAnsi="Arial" w:cs="Arial" w:hint="default"/>
      </w:rPr>
    </w:lvl>
  </w:abstractNum>
  <w:abstractNum w:abstractNumId="108" w15:restartNumberingAfterBreak="0">
    <w:nsid w:val="6B781B9D"/>
    <w:multiLevelType w:val="singleLevel"/>
    <w:tmpl w:val="09F2E8BC"/>
    <w:lvl w:ilvl="0">
      <w:start w:val="1"/>
      <w:numFmt w:val="decimal"/>
      <w:lvlText w:val="(%1)"/>
      <w:legacy w:legacy="1" w:legacySpace="0" w:legacyIndent="264"/>
      <w:lvlJc w:val="left"/>
      <w:rPr>
        <w:rFonts w:ascii="Arial" w:hAnsi="Arial" w:cs="Arial" w:hint="default"/>
      </w:rPr>
    </w:lvl>
  </w:abstractNum>
  <w:abstractNum w:abstractNumId="109" w15:restartNumberingAfterBreak="0">
    <w:nsid w:val="6B915ED4"/>
    <w:multiLevelType w:val="singleLevel"/>
    <w:tmpl w:val="EA3A32C8"/>
    <w:lvl w:ilvl="0">
      <w:start w:val="1"/>
      <w:numFmt w:val="decimal"/>
      <w:lvlText w:val="%1."/>
      <w:legacy w:legacy="1" w:legacySpace="0" w:legacyIndent="283"/>
      <w:lvlJc w:val="left"/>
      <w:rPr>
        <w:rFonts w:ascii="Arial" w:hAnsi="Arial" w:cs="Arial" w:hint="default"/>
      </w:rPr>
    </w:lvl>
  </w:abstractNum>
  <w:abstractNum w:abstractNumId="110" w15:restartNumberingAfterBreak="0">
    <w:nsid w:val="6E091886"/>
    <w:multiLevelType w:val="singleLevel"/>
    <w:tmpl w:val="0E6C95BA"/>
    <w:lvl w:ilvl="0">
      <w:start w:val="1"/>
      <w:numFmt w:val="decimal"/>
      <w:lvlText w:val="%1."/>
      <w:legacy w:legacy="1" w:legacySpace="0" w:legacyIndent="283"/>
      <w:lvlJc w:val="left"/>
      <w:rPr>
        <w:rFonts w:ascii="Arial" w:hAnsi="Arial" w:cs="Arial" w:hint="default"/>
      </w:rPr>
    </w:lvl>
  </w:abstractNum>
  <w:abstractNum w:abstractNumId="111" w15:restartNumberingAfterBreak="0">
    <w:nsid w:val="6EC420F0"/>
    <w:multiLevelType w:val="singleLevel"/>
    <w:tmpl w:val="B894B02E"/>
    <w:lvl w:ilvl="0">
      <w:start w:val="1"/>
      <w:numFmt w:val="lowerLetter"/>
      <w:lvlText w:val="%1)"/>
      <w:legacy w:legacy="1" w:legacySpace="0" w:legacyIndent="168"/>
      <w:lvlJc w:val="left"/>
      <w:rPr>
        <w:rFonts w:ascii="Arial" w:hAnsi="Arial" w:cs="Arial" w:hint="default"/>
      </w:rPr>
    </w:lvl>
  </w:abstractNum>
  <w:abstractNum w:abstractNumId="112" w15:restartNumberingAfterBreak="0">
    <w:nsid w:val="6EED5170"/>
    <w:multiLevelType w:val="singleLevel"/>
    <w:tmpl w:val="0E6C95BA"/>
    <w:lvl w:ilvl="0">
      <w:start w:val="1"/>
      <w:numFmt w:val="decimal"/>
      <w:lvlText w:val="%1."/>
      <w:legacy w:legacy="1" w:legacySpace="0" w:legacyIndent="283"/>
      <w:lvlJc w:val="left"/>
      <w:rPr>
        <w:rFonts w:ascii="Arial" w:hAnsi="Arial" w:cs="Arial" w:hint="default"/>
      </w:rPr>
    </w:lvl>
  </w:abstractNum>
  <w:abstractNum w:abstractNumId="113" w15:restartNumberingAfterBreak="0">
    <w:nsid w:val="6F224A21"/>
    <w:multiLevelType w:val="singleLevel"/>
    <w:tmpl w:val="0E6C95BA"/>
    <w:lvl w:ilvl="0">
      <w:start w:val="1"/>
      <w:numFmt w:val="decimal"/>
      <w:lvlText w:val="%1."/>
      <w:legacy w:legacy="1" w:legacySpace="0" w:legacyIndent="284"/>
      <w:lvlJc w:val="left"/>
      <w:rPr>
        <w:rFonts w:ascii="Arial" w:hAnsi="Arial" w:cs="Arial" w:hint="default"/>
      </w:rPr>
    </w:lvl>
  </w:abstractNum>
  <w:abstractNum w:abstractNumId="114" w15:restartNumberingAfterBreak="0">
    <w:nsid w:val="708023C3"/>
    <w:multiLevelType w:val="singleLevel"/>
    <w:tmpl w:val="39C8194C"/>
    <w:lvl w:ilvl="0">
      <w:start w:val="2"/>
      <w:numFmt w:val="decimal"/>
      <w:lvlText w:val="3.%1."/>
      <w:legacy w:legacy="1" w:legacySpace="0" w:legacyIndent="388"/>
      <w:lvlJc w:val="left"/>
      <w:rPr>
        <w:rFonts w:ascii="Arial" w:hAnsi="Arial" w:cs="Arial" w:hint="default"/>
      </w:rPr>
    </w:lvl>
  </w:abstractNum>
  <w:abstractNum w:abstractNumId="115" w15:restartNumberingAfterBreak="0">
    <w:nsid w:val="70B23993"/>
    <w:multiLevelType w:val="singleLevel"/>
    <w:tmpl w:val="EFC4F7FC"/>
    <w:lvl w:ilvl="0">
      <w:start w:val="4"/>
      <w:numFmt w:val="decimal"/>
      <w:lvlText w:val="%1."/>
      <w:legacy w:legacy="1" w:legacySpace="0" w:legacyIndent="283"/>
      <w:lvlJc w:val="left"/>
      <w:rPr>
        <w:rFonts w:ascii="Arial" w:hAnsi="Arial" w:cs="Arial" w:hint="default"/>
      </w:rPr>
    </w:lvl>
  </w:abstractNum>
  <w:abstractNum w:abstractNumId="116" w15:restartNumberingAfterBreak="0">
    <w:nsid w:val="76421AAD"/>
    <w:multiLevelType w:val="singleLevel"/>
    <w:tmpl w:val="B8CAAAC2"/>
    <w:lvl w:ilvl="0">
      <w:start w:val="1"/>
      <w:numFmt w:val="lowerLetter"/>
      <w:lvlText w:val="%1)"/>
      <w:legacy w:legacy="1" w:legacySpace="0" w:legacyIndent="283"/>
      <w:lvlJc w:val="left"/>
      <w:rPr>
        <w:rFonts w:ascii="Arial" w:hAnsi="Arial" w:cs="Arial" w:hint="default"/>
      </w:rPr>
    </w:lvl>
  </w:abstractNum>
  <w:abstractNum w:abstractNumId="117" w15:restartNumberingAfterBreak="0">
    <w:nsid w:val="77430603"/>
    <w:multiLevelType w:val="singleLevel"/>
    <w:tmpl w:val="EA3A32C8"/>
    <w:lvl w:ilvl="0">
      <w:start w:val="1"/>
      <w:numFmt w:val="decimal"/>
      <w:lvlText w:val="%1."/>
      <w:legacy w:legacy="1" w:legacySpace="0" w:legacyIndent="283"/>
      <w:lvlJc w:val="left"/>
      <w:rPr>
        <w:rFonts w:ascii="Arial" w:hAnsi="Arial" w:cs="Arial" w:hint="default"/>
      </w:rPr>
    </w:lvl>
  </w:abstractNum>
  <w:abstractNum w:abstractNumId="118" w15:restartNumberingAfterBreak="0">
    <w:nsid w:val="7888575C"/>
    <w:multiLevelType w:val="singleLevel"/>
    <w:tmpl w:val="0E6C95BA"/>
    <w:lvl w:ilvl="0">
      <w:start w:val="1"/>
      <w:numFmt w:val="decimal"/>
      <w:lvlText w:val="%1."/>
      <w:legacy w:legacy="1" w:legacySpace="0" w:legacyIndent="283"/>
      <w:lvlJc w:val="left"/>
      <w:rPr>
        <w:rFonts w:ascii="Arial" w:hAnsi="Arial" w:cs="Arial" w:hint="default"/>
      </w:rPr>
    </w:lvl>
  </w:abstractNum>
  <w:abstractNum w:abstractNumId="119" w15:restartNumberingAfterBreak="0">
    <w:nsid w:val="798075D2"/>
    <w:multiLevelType w:val="singleLevel"/>
    <w:tmpl w:val="0E6C95BA"/>
    <w:lvl w:ilvl="0">
      <w:start w:val="1"/>
      <w:numFmt w:val="decimal"/>
      <w:lvlText w:val="%1."/>
      <w:legacy w:legacy="1" w:legacySpace="0" w:legacyIndent="283"/>
      <w:lvlJc w:val="left"/>
      <w:rPr>
        <w:rFonts w:ascii="Arial" w:hAnsi="Arial" w:cs="Arial" w:hint="default"/>
      </w:rPr>
    </w:lvl>
  </w:abstractNum>
  <w:abstractNum w:abstractNumId="120" w15:restartNumberingAfterBreak="0">
    <w:nsid w:val="799475DF"/>
    <w:multiLevelType w:val="singleLevel"/>
    <w:tmpl w:val="38D010DC"/>
    <w:lvl w:ilvl="0">
      <w:start w:val="1"/>
      <w:numFmt w:val="decimal"/>
      <w:lvlText w:val="%1."/>
      <w:legacy w:legacy="1" w:legacySpace="0" w:legacyIndent="149"/>
      <w:lvlJc w:val="left"/>
      <w:rPr>
        <w:rFonts w:ascii="Arial" w:hAnsi="Arial" w:cs="Arial" w:hint="default"/>
      </w:rPr>
    </w:lvl>
  </w:abstractNum>
  <w:abstractNum w:abstractNumId="121" w15:restartNumberingAfterBreak="0">
    <w:nsid w:val="79EB7463"/>
    <w:multiLevelType w:val="singleLevel"/>
    <w:tmpl w:val="78DAABC4"/>
    <w:lvl w:ilvl="0">
      <w:start w:val="1"/>
      <w:numFmt w:val="decimal"/>
      <w:lvlText w:val="3.%1"/>
      <w:legacy w:legacy="1" w:legacySpace="0" w:legacyIndent="317"/>
      <w:lvlJc w:val="left"/>
      <w:rPr>
        <w:rFonts w:ascii="Arial" w:hAnsi="Arial" w:cs="Arial" w:hint="default"/>
      </w:rPr>
    </w:lvl>
  </w:abstractNum>
  <w:abstractNum w:abstractNumId="122" w15:restartNumberingAfterBreak="0">
    <w:nsid w:val="7ADD4A39"/>
    <w:multiLevelType w:val="singleLevel"/>
    <w:tmpl w:val="4CE0B4C0"/>
    <w:lvl w:ilvl="0">
      <w:start w:val="1"/>
      <w:numFmt w:val="decimal"/>
      <w:lvlText w:val="3.%1"/>
      <w:legacy w:legacy="1" w:legacySpace="0" w:legacyIndent="283"/>
      <w:lvlJc w:val="left"/>
      <w:rPr>
        <w:rFonts w:ascii="Arial" w:hAnsi="Arial" w:cs="Arial" w:hint="default"/>
      </w:rPr>
    </w:lvl>
  </w:abstractNum>
  <w:abstractNum w:abstractNumId="123" w15:restartNumberingAfterBreak="0">
    <w:nsid w:val="7B971312"/>
    <w:multiLevelType w:val="singleLevel"/>
    <w:tmpl w:val="81EA8D6C"/>
    <w:lvl w:ilvl="0">
      <w:start w:val="1"/>
      <w:numFmt w:val="lowerLetter"/>
      <w:lvlText w:val="(%1)"/>
      <w:legacy w:legacy="1" w:legacySpace="0" w:legacyIndent="245"/>
      <w:lvlJc w:val="left"/>
      <w:rPr>
        <w:rFonts w:ascii="Arial" w:hAnsi="Arial" w:cs="Arial" w:hint="default"/>
      </w:rPr>
    </w:lvl>
  </w:abstractNum>
  <w:abstractNum w:abstractNumId="124" w15:restartNumberingAfterBreak="0">
    <w:nsid w:val="7C0525B8"/>
    <w:multiLevelType w:val="singleLevel"/>
    <w:tmpl w:val="70D4F404"/>
    <w:lvl w:ilvl="0">
      <w:start w:val="2"/>
      <w:numFmt w:val="decimal"/>
      <w:lvlText w:val="(%1)"/>
      <w:legacy w:legacy="1" w:legacySpace="0" w:legacyIndent="307"/>
      <w:lvlJc w:val="left"/>
      <w:rPr>
        <w:rFonts w:ascii="Arial" w:hAnsi="Arial" w:cs="Arial" w:hint="default"/>
      </w:rPr>
    </w:lvl>
  </w:abstractNum>
  <w:abstractNum w:abstractNumId="125" w15:restartNumberingAfterBreak="0">
    <w:nsid w:val="7C5471DB"/>
    <w:multiLevelType w:val="singleLevel"/>
    <w:tmpl w:val="0E6C95BA"/>
    <w:lvl w:ilvl="0">
      <w:start w:val="1"/>
      <w:numFmt w:val="decimal"/>
      <w:lvlText w:val="%1."/>
      <w:legacy w:legacy="1" w:legacySpace="0" w:legacyIndent="283"/>
      <w:lvlJc w:val="left"/>
      <w:rPr>
        <w:rFonts w:ascii="Arial" w:hAnsi="Arial" w:cs="Arial" w:hint="default"/>
      </w:rPr>
    </w:lvl>
  </w:abstractNum>
  <w:abstractNum w:abstractNumId="126" w15:restartNumberingAfterBreak="0">
    <w:nsid w:val="7ED45333"/>
    <w:multiLevelType w:val="singleLevel"/>
    <w:tmpl w:val="17102ABA"/>
    <w:lvl w:ilvl="0">
      <w:start w:val="5"/>
      <w:numFmt w:val="lowerLetter"/>
      <w:lvlText w:val="(%1)"/>
      <w:legacy w:legacy="1" w:legacySpace="0" w:legacyIndent="288"/>
      <w:lvlJc w:val="left"/>
      <w:rPr>
        <w:rFonts w:ascii="Arial" w:hAnsi="Arial" w:cs="Arial" w:hint="default"/>
      </w:rPr>
    </w:lvl>
  </w:abstractNum>
  <w:abstractNum w:abstractNumId="127" w15:restartNumberingAfterBreak="0">
    <w:nsid w:val="7F6108F6"/>
    <w:multiLevelType w:val="singleLevel"/>
    <w:tmpl w:val="0E6C95BA"/>
    <w:lvl w:ilvl="0">
      <w:start w:val="1"/>
      <w:numFmt w:val="decimal"/>
      <w:lvlText w:val="%1."/>
      <w:legacy w:legacy="1" w:legacySpace="0" w:legacyIndent="283"/>
      <w:lvlJc w:val="left"/>
      <w:rPr>
        <w:rFonts w:ascii="Arial" w:hAnsi="Arial" w:cs="Arial" w:hint="default"/>
      </w:rPr>
    </w:lvl>
  </w:abstractNum>
  <w:num w:numId="1">
    <w:abstractNumId w:val="123"/>
  </w:num>
  <w:num w:numId="2">
    <w:abstractNumId w:val="126"/>
  </w:num>
  <w:num w:numId="3">
    <w:abstractNumId w:val="72"/>
  </w:num>
  <w:num w:numId="4">
    <w:abstractNumId w:val="52"/>
  </w:num>
  <w:num w:numId="5">
    <w:abstractNumId w:val="27"/>
  </w:num>
  <w:num w:numId="6">
    <w:abstractNumId w:val="124"/>
  </w:num>
  <w:num w:numId="7">
    <w:abstractNumId w:val="108"/>
  </w:num>
  <w:num w:numId="8">
    <w:abstractNumId w:val="17"/>
  </w:num>
  <w:num w:numId="9">
    <w:abstractNumId w:val="14"/>
  </w:num>
  <w:num w:numId="10">
    <w:abstractNumId w:val="100"/>
  </w:num>
  <w:num w:numId="11">
    <w:abstractNumId w:val="39"/>
  </w:num>
  <w:num w:numId="12">
    <w:abstractNumId w:val="41"/>
  </w:num>
  <w:num w:numId="13">
    <w:abstractNumId w:val="58"/>
  </w:num>
  <w:num w:numId="14">
    <w:abstractNumId w:val="53"/>
  </w:num>
  <w:num w:numId="15">
    <w:abstractNumId w:val="11"/>
  </w:num>
  <w:num w:numId="16">
    <w:abstractNumId w:val="59"/>
  </w:num>
  <w:num w:numId="17">
    <w:abstractNumId w:val="38"/>
  </w:num>
  <w:num w:numId="18">
    <w:abstractNumId w:val="9"/>
  </w:num>
  <w:num w:numId="19">
    <w:abstractNumId w:val="69"/>
  </w:num>
  <w:num w:numId="20">
    <w:abstractNumId w:val="68"/>
  </w:num>
  <w:num w:numId="21">
    <w:abstractNumId w:val="40"/>
  </w:num>
  <w:num w:numId="22">
    <w:abstractNumId w:val="101"/>
  </w:num>
  <w:num w:numId="23">
    <w:abstractNumId w:val="115"/>
  </w:num>
  <w:num w:numId="24">
    <w:abstractNumId w:val="28"/>
  </w:num>
  <w:num w:numId="25">
    <w:abstractNumId w:val="87"/>
  </w:num>
  <w:num w:numId="26">
    <w:abstractNumId w:val="74"/>
  </w:num>
  <w:num w:numId="27">
    <w:abstractNumId w:val="117"/>
  </w:num>
  <w:num w:numId="28">
    <w:abstractNumId w:val="51"/>
  </w:num>
  <w:num w:numId="29">
    <w:abstractNumId w:val="111"/>
  </w:num>
  <w:num w:numId="30">
    <w:abstractNumId w:val="78"/>
  </w:num>
  <w:num w:numId="31">
    <w:abstractNumId w:val="48"/>
  </w:num>
  <w:num w:numId="32">
    <w:abstractNumId w:val="21"/>
  </w:num>
  <w:num w:numId="33">
    <w:abstractNumId w:val="55"/>
  </w:num>
  <w:num w:numId="34">
    <w:abstractNumId w:val="82"/>
  </w:num>
  <w:num w:numId="35">
    <w:abstractNumId w:val="1"/>
  </w:num>
  <w:num w:numId="36">
    <w:abstractNumId w:val="109"/>
  </w:num>
  <w:num w:numId="37">
    <w:abstractNumId w:val="116"/>
  </w:num>
  <w:num w:numId="38">
    <w:abstractNumId w:val="91"/>
  </w:num>
  <w:num w:numId="39">
    <w:abstractNumId w:val="57"/>
  </w:num>
  <w:num w:numId="40">
    <w:abstractNumId w:val="73"/>
  </w:num>
  <w:num w:numId="41">
    <w:abstractNumId w:val="56"/>
  </w:num>
  <w:num w:numId="42">
    <w:abstractNumId w:val="86"/>
  </w:num>
  <w:num w:numId="43">
    <w:abstractNumId w:val="10"/>
  </w:num>
  <w:num w:numId="44">
    <w:abstractNumId w:val="80"/>
  </w:num>
  <w:num w:numId="45">
    <w:abstractNumId w:val="6"/>
  </w:num>
  <w:num w:numId="46">
    <w:abstractNumId w:val="24"/>
  </w:num>
  <w:num w:numId="47">
    <w:abstractNumId w:val="4"/>
  </w:num>
  <w:num w:numId="48">
    <w:abstractNumId w:val="102"/>
  </w:num>
  <w:num w:numId="49">
    <w:abstractNumId w:val="65"/>
  </w:num>
  <w:num w:numId="50">
    <w:abstractNumId w:val="25"/>
  </w:num>
  <w:num w:numId="51">
    <w:abstractNumId w:val="50"/>
  </w:num>
  <w:num w:numId="52">
    <w:abstractNumId w:val="47"/>
  </w:num>
  <w:num w:numId="53">
    <w:abstractNumId w:val="114"/>
  </w:num>
  <w:num w:numId="54">
    <w:abstractNumId w:val="107"/>
  </w:num>
  <w:num w:numId="55">
    <w:abstractNumId w:val="43"/>
  </w:num>
  <w:num w:numId="56">
    <w:abstractNumId w:val="105"/>
  </w:num>
  <w:num w:numId="57">
    <w:abstractNumId w:val="120"/>
  </w:num>
  <w:num w:numId="58">
    <w:abstractNumId w:val="8"/>
  </w:num>
  <w:num w:numId="59">
    <w:abstractNumId w:val="64"/>
  </w:num>
  <w:num w:numId="60">
    <w:abstractNumId w:val="106"/>
  </w:num>
  <w:num w:numId="61">
    <w:abstractNumId w:val="49"/>
  </w:num>
  <w:num w:numId="62">
    <w:abstractNumId w:val="22"/>
  </w:num>
  <w:num w:numId="63">
    <w:abstractNumId w:val="97"/>
  </w:num>
  <w:num w:numId="64">
    <w:abstractNumId w:val="90"/>
  </w:num>
  <w:num w:numId="65">
    <w:abstractNumId w:val="81"/>
  </w:num>
  <w:num w:numId="66">
    <w:abstractNumId w:val="75"/>
  </w:num>
  <w:num w:numId="67">
    <w:abstractNumId w:val="71"/>
  </w:num>
  <w:num w:numId="68">
    <w:abstractNumId w:val="2"/>
  </w:num>
  <w:num w:numId="69">
    <w:abstractNumId w:val="32"/>
  </w:num>
  <w:num w:numId="70">
    <w:abstractNumId w:val="44"/>
  </w:num>
  <w:num w:numId="71">
    <w:abstractNumId w:val="61"/>
  </w:num>
  <w:num w:numId="72">
    <w:abstractNumId w:val="33"/>
  </w:num>
  <w:num w:numId="73">
    <w:abstractNumId w:val="70"/>
  </w:num>
  <w:num w:numId="74">
    <w:abstractNumId w:val="67"/>
  </w:num>
  <w:num w:numId="75">
    <w:abstractNumId w:val="13"/>
  </w:num>
  <w:num w:numId="76">
    <w:abstractNumId w:val="45"/>
  </w:num>
  <w:num w:numId="77">
    <w:abstractNumId w:val="7"/>
  </w:num>
  <w:num w:numId="78">
    <w:abstractNumId w:val="77"/>
  </w:num>
  <w:num w:numId="79">
    <w:abstractNumId w:val="96"/>
  </w:num>
  <w:num w:numId="80">
    <w:abstractNumId w:val="113"/>
  </w:num>
  <w:num w:numId="81">
    <w:abstractNumId w:val="113"/>
    <w:lvlOverride w:ilvl="0">
      <w:lvl w:ilvl="0">
        <w:start w:val="1"/>
        <w:numFmt w:val="decimal"/>
        <w:lvlText w:val="%1."/>
        <w:legacy w:legacy="1" w:legacySpace="0" w:legacyIndent="283"/>
        <w:lvlJc w:val="left"/>
        <w:rPr>
          <w:rFonts w:ascii="Arial" w:hAnsi="Arial" w:cs="Arial" w:hint="default"/>
        </w:rPr>
      </w:lvl>
    </w:lvlOverride>
  </w:num>
  <w:num w:numId="82">
    <w:abstractNumId w:val="89"/>
  </w:num>
  <w:num w:numId="83">
    <w:abstractNumId w:val="31"/>
  </w:num>
  <w:num w:numId="84">
    <w:abstractNumId w:val="119"/>
  </w:num>
  <w:num w:numId="85">
    <w:abstractNumId w:val="83"/>
  </w:num>
  <w:num w:numId="86">
    <w:abstractNumId w:val="26"/>
  </w:num>
  <w:num w:numId="87">
    <w:abstractNumId w:val="125"/>
  </w:num>
  <w:num w:numId="88">
    <w:abstractNumId w:val="30"/>
  </w:num>
  <w:num w:numId="89">
    <w:abstractNumId w:val="63"/>
  </w:num>
  <w:num w:numId="90">
    <w:abstractNumId w:val="62"/>
  </w:num>
  <w:num w:numId="91">
    <w:abstractNumId w:val="0"/>
  </w:num>
  <w:num w:numId="92">
    <w:abstractNumId w:val="16"/>
  </w:num>
  <w:num w:numId="93">
    <w:abstractNumId w:val="34"/>
  </w:num>
  <w:num w:numId="94">
    <w:abstractNumId w:val="88"/>
  </w:num>
  <w:num w:numId="95">
    <w:abstractNumId w:val="104"/>
  </w:num>
  <w:num w:numId="96">
    <w:abstractNumId w:val="110"/>
  </w:num>
  <w:num w:numId="97">
    <w:abstractNumId w:val="29"/>
  </w:num>
  <w:num w:numId="98">
    <w:abstractNumId w:val="60"/>
  </w:num>
  <w:num w:numId="99">
    <w:abstractNumId w:val="122"/>
  </w:num>
  <w:num w:numId="100">
    <w:abstractNumId w:val="99"/>
  </w:num>
  <w:num w:numId="101">
    <w:abstractNumId w:val="95"/>
  </w:num>
  <w:num w:numId="102">
    <w:abstractNumId w:val="92"/>
  </w:num>
  <w:num w:numId="103">
    <w:abstractNumId w:val="23"/>
  </w:num>
  <w:num w:numId="104">
    <w:abstractNumId w:val="93"/>
  </w:num>
  <w:num w:numId="105">
    <w:abstractNumId w:val="46"/>
  </w:num>
  <w:num w:numId="106">
    <w:abstractNumId w:val="19"/>
  </w:num>
  <w:num w:numId="107">
    <w:abstractNumId w:val="103"/>
  </w:num>
  <w:num w:numId="108">
    <w:abstractNumId w:val="18"/>
  </w:num>
  <w:num w:numId="109">
    <w:abstractNumId w:val="66"/>
  </w:num>
  <w:num w:numId="110">
    <w:abstractNumId w:val="20"/>
  </w:num>
  <w:num w:numId="111">
    <w:abstractNumId w:val="85"/>
  </w:num>
  <w:num w:numId="112">
    <w:abstractNumId w:val="112"/>
  </w:num>
  <w:num w:numId="113">
    <w:abstractNumId w:val="121"/>
  </w:num>
  <w:num w:numId="114">
    <w:abstractNumId w:val="5"/>
  </w:num>
  <w:num w:numId="115">
    <w:abstractNumId w:val="36"/>
  </w:num>
  <w:num w:numId="116">
    <w:abstractNumId w:val="84"/>
  </w:num>
  <w:num w:numId="117">
    <w:abstractNumId w:val="76"/>
  </w:num>
  <w:num w:numId="118">
    <w:abstractNumId w:val="79"/>
  </w:num>
  <w:num w:numId="119">
    <w:abstractNumId w:val="37"/>
  </w:num>
  <w:num w:numId="120">
    <w:abstractNumId w:val="54"/>
  </w:num>
  <w:num w:numId="121">
    <w:abstractNumId w:val="98"/>
  </w:num>
  <w:num w:numId="122">
    <w:abstractNumId w:val="12"/>
  </w:num>
  <w:num w:numId="123">
    <w:abstractNumId w:val="127"/>
  </w:num>
  <w:num w:numId="124">
    <w:abstractNumId w:val="94"/>
  </w:num>
  <w:num w:numId="125">
    <w:abstractNumId w:val="3"/>
  </w:num>
  <w:num w:numId="126">
    <w:abstractNumId w:val="35"/>
  </w:num>
  <w:num w:numId="127">
    <w:abstractNumId w:val="15"/>
  </w:num>
  <w:num w:numId="128">
    <w:abstractNumId w:val="118"/>
  </w:num>
  <w:num w:numId="129">
    <w:abstractNumId w:val="42"/>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75A96"/>
    <w:rsid w:val="00146D10"/>
    <w:rsid w:val="00171846"/>
    <w:rsid w:val="00251195"/>
    <w:rsid w:val="00591D54"/>
    <w:rsid w:val="00775A96"/>
    <w:rsid w:val="007D3B3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F67A2BD"/>
  <w15:docId w15:val="{729A2CFC-ADB0-46DD-89A9-6B9922B17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Arial" w:hAnsi="Arial" w:cs="Arial"/>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51195"/>
    <w:pPr>
      <w:tabs>
        <w:tab w:val="center" w:pos="4252"/>
        <w:tab w:val="right" w:pos="8504"/>
      </w:tabs>
    </w:pPr>
  </w:style>
  <w:style w:type="character" w:customStyle="1" w:styleId="EncabezadoCar">
    <w:name w:val="Encabezado Car"/>
    <w:link w:val="Encabezado"/>
    <w:uiPriority w:val="99"/>
    <w:semiHidden/>
    <w:rsid w:val="001F0840"/>
    <w:rPr>
      <w:rFonts w:ascii="Arial" w:hAnsi="Arial" w:cs="Arial"/>
      <w:sz w:val="20"/>
      <w:szCs w:val="20"/>
      <w:lang w:val="es-ES" w:eastAsia="es-ES"/>
    </w:rPr>
  </w:style>
  <w:style w:type="paragraph" w:styleId="Piedepgina">
    <w:name w:val="footer"/>
    <w:basedOn w:val="Normal"/>
    <w:link w:val="PiedepginaCar"/>
    <w:uiPriority w:val="99"/>
    <w:rsid w:val="00251195"/>
    <w:pPr>
      <w:tabs>
        <w:tab w:val="center" w:pos="4252"/>
        <w:tab w:val="right" w:pos="8504"/>
      </w:tabs>
    </w:pPr>
  </w:style>
  <w:style w:type="character" w:customStyle="1" w:styleId="PiedepginaCar">
    <w:name w:val="Pie de página Car"/>
    <w:link w:val="Piedepgina"/>
    <w:uiPriority w:val="99"/>
    <w:semiHidden/>
    <w:rsid w:val="001F0840"/>
    <w:rPr>
      <w:rFonts w:ascii="Arial" w:hAnsi="Arial" w:cs="Arial"/>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biblio"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oiprodat.com/2013/02/25/habeas-data-y-alcances-generale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evistajuridicaonline.com/index.php?option=com_"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www.ruminahui"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enciclopedia-juridic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156</Pages>
  <Words>262805</Words>
  <Characters>1497991</Characters>
  <Application>Microsoft Office Word</Application>
  <DocSecurity>0</DocSecurity>
  <Lines>12483</Lines>
  <Paragraphs>3514</Paragraphs>
  <ScaleCrop>false</ScaleCrop>
  <Company/>
  <LinksUpToDate>false</LinksUpToDate>
  <CharactersWithSpaces>1757282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2SRO607_20151014.indd</dc:title>
  <dc:subject/>
  <dc:creator>nelly</dc:creator>
  <cp:keywords/>
  <dc:description/>
  <cp:lastModifiedBy>Andres Alberto Zambrano Espinoza</cp:lastModifiedBy>
  <cp:revision>3</cp:revision>
  <dcterms:created xsi:type="dcterms:W3CDTF">2015-10-14T17:21:00Z</dcterms:created>
  <dcterms:modified xsi:type="dcterms:W3CDTF">2022-02-08T06:57:00Z</dcterms:modified>
</cp:coreProperties>
</file>